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DBB4" w14:textId="77777777" w:rsidR="002E474C" w:rsidRDefault="00000000">
      <w:pPr>
        <w:pStyle w:val="1"/>
        <w:spacing w:before="120" w:after="120"/>
      </w:pPr>
      <w:bookmarkStart w:id="0" w:name="_Toc9430"/>
      <w:bookmarkStart w:id="1" w:name="_Toc225848836"/>
      <w:r>
        <w:t>概述</w:t>
      </w:r>
      <w:bookmarkEnd w:id="0"/>
      <w:bookmarkEnd w:id="1"/>
    </w:p>
    <w:p w14:paraId="7E9B3C9D" w14:textId="77777777" w:rsidR="002E474C" w:rsidRDefault="00000000">
      <w:pPr>
        <w:pStyle w:val="21"/>
        <w:spacing w:before="240" w:after="240"/>
        <w:rPr>
          <w:color w:val="auto"/>
        </w:rPr>
      </w:pPr>
      <w:bookmarkStart w:id="2" w:name="_Toc31253"/>
      <w:bookmarkStart w:id="3" w:name="_Toc225848837"/>
      <w:r>
        <w:rPr>
          <w:color w:val="auto"/>
        </w:rPr>
        <w:t>项目背景</w:t>
      </w:r>
      <w:bookmarkEnd w:id="2"/>
      <w:bookmarkEnd w:id="3"/>
    </w:p>
    <w:p w14:paraId="24714407" w14:textId="77777777" w:rsidR="002E474C" w:rsidRDefault="00000000">
      <w:pPr>
        <w:pStyle w:val="A-z"/>
        <w:rPr>
          <w:color w:val="auto"/>
        </w:rPr>
      </w:pPr>
      <w:r>
        <w:rPr>
          <w:color w:val="auto"/>
        </w:rPr>
        <w:t>我国危险废物的常见处理方式有综合利用和无害化处置。综合利用主要方式是金属回收、燃料利用、油脂再生等；无害化处置主要方式是物化处理、专业焚烧、水泥窑焚烧、填埋等。水泥窑协同处置危险废物以建设周期短、投资少、运营成本低及不产生飞灰和炉渣等优势，在危险废物处置领域发展迅速。新型干法水泥工艺通过高温焚烧及水泥熟料矿物化高温烧结过程，实现水泥窑协同处置危险废物高温解毒和重金属固化的作用，达到危险废物减量化、资源化和无害化目标。水泥窑本身具有温度高、</w:t>
      </w:r>
      <w:bookmarkStart w:id="4" w:name="OLE_LINK16"/>
      <w:r>
        <w:rPr>
          <w:color w:val="auto"/>
        </w:rPr>
        <w:t>热惯量大</w:t>
      </w:r>
      <w:bookmarkEnd w:id="4"/>
      <w:r>
        <w:rPr>
          <w:color w:val="auto"/>
        </w:rPr>
        <w:t>、工况稳定、气（料）流在窑系统滞留时间长，湍流强烈、碱性气氛等特点，以及最终水泥熟料产品的有效固化作用，均使得水泥窑协同处置技术在处理含重金属的危险废物时，具有得天独厚的明显优势。经过多年的发展，利用水泥窑协同处置危险废物已相当成熟。</w:t>
      </w:r>
    </w:p>
    <w:p w14:paraId="284B9716" w14:textId="77777777" w:rsidR="002E474C" w:rsidRDefault="00000000">
      <w:pPr>
        <w:pStyle w:val="A-z"/>
        <w:rPr>
          <w:color w:val="auto"/>
        </w:rPr>
      </w:pPr>
      <w:bookmarkStart w:id="5" w:name="OLE_LINK29"/>
      <w:r>
        <w:rPr>
          <w:color w:val="auto"/>
        </w:rPr>
        <w:t>随着新疆发展格局不断优化、现代产业体系加快构建、生态文明建设全面推进，特别是生态环境保护督察力度的增强以及固体废物收集体系的不断完善，新疆危险废物产生量和类别呈增长趋势。</w:t>
      </w:r>
      <w:bookmarkEnd w:id="5"/>
      <w:r>
        <w:rPr>
          <w:color w:val="auto"/>
        </w:rPr>
        <w:t>根据《关于新疆维吾尔自治区</w:t>
      </w:r>
      <w:r>
        <w:rPr>
          <w:color w:val="auto"/>
        </w:rPr>
        <w:t>2026</w:t>
      </w:r>
      <w:r>
        <w:rPr>
          <w:color w:val="auto"/>
        </w:rPr>
        <w:t>年危险废物利用处置设施投资建设引导性公告》，自治区危险废物</w:t>
      </w:r>
      <w:r>
        <w:rPr>
          <w:color w:val="auto"/>
        </w:rPr>
        <w:t>2025</w:t>
      </w:r>
      <w:r>
        <w:rPr>
          <w:color w:val="auto"/>
        </w:rPr>
        <w:t>年产生量达到</w:t>
      </w:r>
      <w:r>
        <w:rPr>
          <w:color w:val="auto"/>
        </w:rPr>
        <w:t>761.00</w:t>
      </w:r>
      <w:r>
        <w:rPr>
          <w:color w:val="auto"/>
        </w:rPr>
        <w:t>万吨，截至</w:t>
      </w:r>
      <w:r>
        <w:rPr>
          <w:color w:val="auto"/>
        </w:rPr>
        <w:t>2025</w:t>
      </w:r>
      <w:r>
        <w:rPr>
          <w:color w:val="auto"/>
        </w:rPr>
        <w:t>年</w:t>
      </w:r>
      <w:r>
        <w:rPr>
          <w:color w:val="auto"/>
        </w:rPr>
        <w:t>12</w:t>
      </w:r>
      <w:r>
        <w:rPr>
          <w:color w:val="auto"/>
        </w:rPr>
        <w:t>月底，全区持危险废物综合经营许可证的水泥窑协同处置单位</w:t>
      </w:r>
      <w:r>
        <w:rPr>
          <w:color w:val="auto"/>
        </w:rPr>
        <w:t>4</w:t>
      </w:r>
      <w:r>
        <w:rPr>
          <w:color w:val="auto"/>
        </w:rPr>
        <w:t>家，处置能力</w:t>
      </w:r>
      <w:r>
        <w:rPr>
          <w:color w:val="auto"/>
        </w:rPr>
        <w:t>36</w:t>
      </w:r>
      <w:r>
        <w:rPr>
          <w:color w:val="auto"/>
        </w:rPr>
        <w:t>万吨</w:t>
      </w:r>
      <w:r>
        <w:rPr>
          <w:color w:val="auto"/>
        </w:rPr>
        <w:t>/</w:t>
      </w:r>
      <w:r>
        <w:rPr>
          <w:color w:val="auto"/>
        </w:rPr>
        <w:t>年。实际运行中受多种原因影响，水泥窑协同处置单位处置危险废物</w:t>
      </w:r>
      <w:r>
        <w:rPr>
          <w:color w:val="auto"/>
        </w:rPr>
        <w:t>8.56</w:t>
      </w:r>
      <w:r>
        <w:rPr>
          <w:color w:val="auto"/>
        </w:rPr>
        <w:t>万吨，生产负荷率仅有</w:t>
      </w:r>
      <w:r>
        <w:rPr>
          <w:color w:val="auto"/>
        </w:rPr>
        <w:t>23.78%</w:t>
      </w:r>
      <w:r>
        <w:rPr>
          <w:color w:val="auto"/>
        </w:rPr>
        <w:t>。</w:t>
      </w:r>
    </w:p>
    <w:p w14:paraId="76EFF8F6" w14:textId="77777777" w:rsidR="002E474C" w:rsidRDefault="00000000">
      <w:pPr>
        <w:pStyle w:val="A-z"/>
        <w:rPr>
          <w:color w:val="auto"/>
        </w:rPr>
      </w:pPr>
      <w:r>
        <w:rPr>
          <w:color w:val="auto"/>
        </w:rPr>
        <w:t>2020</w:t>
      </w:r>
      <w:r>
        <w:rPr>
          <w:color w:val="auto"/>
        </w:rPr>
        <w:t>年</w:t>
      </w:r>
      <w:r>
        <w:rPr>
          <w:color w:val="auto"/>
        </w:rPr>
        <w:t>12</w:t>
      </w:r>
      <w:r>
        <w:rPr>
          <w:color w:val="auto"/>
        </w:rPr>
        <w:t>月，中建环能科技股份有限公司和新疆中建西部建设水泥制造有限公司共同出资成立了新疆中建环能北庭环保科技有限公司（以下简称</w:t>
      </w:r>
      <w:r>
        <w:rPr>
          <w:color w:val="auto"/>
        </w:rPr>
        <w:t>“</w:t>
      </w:r>
      <w:r>
        <w:rPr>
          <w:color w:val="auto"/>
        </w:rPr>
        <w:t>新疆中建环能公司</w:t>
      </w:r>
      <w:r>
        <w:rPr>
          <w:color w:val="auto"/>
        </w:rPr>
        <w:t>”</w:t>
      </w:r>
      <w:r>
        <w:rPr>
          <w:color w:val="auto"/>
        </w:rPr>
        <w:t>），建设中建合资公司利用新疆中建西部建设水泥制造有限公司水泥窑协同处置危险废物项目（以下简称</w:t>
      </w:r>
      <w:r>
        <w:rPr>
          <w:color w:val="auto"/>
        </w:rPr>
        <w:t>“</w:t>
      </w:r>
      <w:r>
        <w:rPr>
          <w:color w:val="auto"/>
        </w:rPr>
        <w:t>吉木萨尔协同处置项目</w:t>
      </w:r>
      <w:r>
        <w:rPr>
          <w:color w:val="auto"/>
        </w:rPr>
        <w:t>”</w:t>
      </w:r>
      <w:r>
        <w:rPr>
          <w:color w:val="auto"/>
        </w:rPr>
        <w:t>）。吉木萨尔协同处置项目位于吉木萨尔北三台工业园区三台片区（</w:t>
      </w:r>
      <w:r>
        <w:rPr>
          <w:color w:val="auto"/>
        </w:rPr>
        <w:t>A</w:t>
      </w:r>
      <w:r>
        <w:rPr>
          <w:color w:val="auto"/>
        </w:rPr>
        <w:t>区），利用新疆中建西部建设水泥制造有限公司现有</w:t>
      </w:r>
      <w:r>
        <w:rPr>
          <w:color w:val="auto"/>
          <w:lang w:val="en-US"/>
        </w:rPr>
        <w:t>一条</w:t>
      </w:r>
      <w:r>
        <w:rPr>
          <w:color w:val="auto"/>
        </w:rPr>
        <w:t>3000t/d</w:t>
      </w:r>
      <w:r>
        <w:rPr>
          <w:color w:val="auto"/>
        </w:rPr>
        <w:t>新型干法水泥生产线协同处置</w:t>
      </w:r>
      <w:r>
        <w:rPr>
          <w:color w:val="auto"/>
        </w:rPr>
        <w:t>10</w:t>
      </w:r>
      <w:r>
        <w:rPr>
          <w:color w:val="auto"/>
        </w:rPr>
        <w:t>万</w:t>
      </w:r>
      <w:bookmarkStart w:id="6" w:name="OLE_LINK10"/>
      <w:r>
        <w:rPr>
          <w:color w:val="auto"/>
        </w:rPr>
        <w:t>t/a</w:t>
      </w:r>
      <w:bookmarkEnd w:id="6"/>
      <w:r>
        <w:rPr>
          <w:color w:val="auto"/>
        </w:rPr>
        <w:t>危险废物项目。吉木萨尔协同处置项目于</w:t>
      </w:r>
      <w:r>
        <w:rPr>
          <w:color w:val="auto"/>
        </w:rPr>
        <w:t>2021</w:t>
      </w:r>
      <w:r>
        <w:rPr>
          <w:color w:val="auto"/>
        </w:rPr>
        <w:t>年</w:t>
      </w:r>
      <w:r>
        <w:rPr>
          <w:color w:val="auto"/>
        </w:rPr>
        <w:t>5</w:t>
      </w:r>
      <w:r>
        <w:rPr>
          <w:color w:val="auto"/>
        </w:rPr>
        <w:t>月开工建设，</w:t>
      </w:r>
      <w:r>
        <w:rPr>
          <w:color w:val="auto"/>
        </w:rPr>
        <w:t>2023</w:t>
      </w:r>
      <w:r>
        <w:rPr>
          <w:color w:val="auto"/>
        </w:rPr>
        <w:t>年</w:t>
      </w:r>
      <w:r>
        <w:rPr>
          <w:color w:val="auto"/>
        </w:rPr>
        <w:t>8</w:t>
      </w:r>
      <w:r>
        <w:rPr>
          <w:color w:val="auto"/>
        </w:rPr>
        <w:t>月完成竣工环境保护验收，经过多年运行，新疆中建环能公司积累了丰富的协同处置</w:t>
      </w:r>
      <w:r>
        <w:rPr>
          <w:color w:val="auto"/>
        </w:rPr>
        <w:lastRenderedPageBreak/>
        <w:t>项目建设与运行经验。由于水泥生产线错峰生产、设备故障等原因，</w:t>
      </w:r>
      <w:r>
        <w:rPr>
          <w:color w:val="auto"/>
        </w:rPr>
        <w:t>2025</w:t>
      </w:r>
      <w:r>
        <w:rPr>
          <w:color w:val="auto"/>
        </w:rPr>
        <w:t>年吉木萨尔协同处置项目依托的水泥生产线实际全年运行时间约为</w:t>
      </w:r>
      <w:r>
        <w:rPr>
          <w:color w:val="auto"/>
        </w:rPr>
        <w:t>120</w:t>
      </w:r>
      <w:r>
        <w:rPr>
          <w:color w:val="auto"/>
        </w:rPr>
        <w:t>天，危险废物协同处置系统实际运行时间为</w:t>
      </w:r>
      <w:r>
        <w:rPr>
          <w:color w:val="auto"/>
        </w:rPr>
        <w:t>90</w:t>
      </w:r>
      <w:r>
        <w:rPr>
          <w:color w:val="auto"/>
        </w:rPr>
        <w:t>天左右，生产负荷率仅为设计能力的</w:t>
      </w:r>
      <w:r>
        <w:rPr>
          <w:color w:val="auto"/>
        </w:rPr>
        <w:t>30%</w:t>
      </w:r>
      <w:r>
        <w:rPr>
          <w:color w:val="auto"/>
        </w:rPr>
        <w:t>。在此情况下，</w:t>
      </w:r>
      <w:bookmarkStart w:id="7" w:name="OLE_LINK30"/>
      <w:r>
        <w:rPr>
          <w:color w:val="auto"/>
        </w:rPr>
        <w:t>吉木萨尔协同处置项目危险废物预处理系统</w:t>
      </w:r>
      <w:bookmarkEnd w:id="7"/>
      <w:r>
        <w:rPr>
          <w:color w:val="auto"/>
        </w:rPr>
        <w:t>长期得不到有效利用，同时大量危险废物无法及时处置。</w:t>
      </w:r>
    </w:p>
    <w:p w14:paraId="6F2EEAA1" w14:textId="77777777" w:rsidR="002E474C" w:rsidRDefault="00000000">
      <w:pPr>
        <w:pStyle w:val="A-z"/>
        <w:rPr>
          <w:color w:val="auto"/>
        </w:rPr>
      </w:pPr>
      <w:r>
        <w:rPr>
          <w:color w:val="auto"/>
        </w:rPr>
        <w:t>在此情况下，新疆中建环能公司在托克逊能源重化工工业园区圣雄同心工业园（以下简称</w:t>
      </w:r>
      <w:r>
        <w:rPr>
          <w:color w:val="auto"/>
        </w:rPr>
        <w:t>“</w:t>
      </w:r>
      <w:r>
        <w:rPr>
          <w:color w:val="auto"/>
        </w:rPr>
        <w:t>圣雄同心工业园</w:t>
      </w:r>
      <w:r>
        <w:rPr>
          <w:color w:val="auto"/>
        </w:rPr>
        <w:t>”</w:t>
      </w:r>
      <w:r>
        <w:rPr>
          <w:color w:val="auto"/>
        </w:rPr>
        <w:t>），与</w:t>
      </w:r>
      <w:bookmarkStart w:id="8" w:name="OLE_LINK11"/>
      <w:r>
        <w:rPr>
          <w:color w:val="auto"/>
        </w:rPr>
        <w:t>新疆圣雄能源股份有限公司的子公司新疆圣雄水泥有限公司</w:t>
      </w:r>
      <w:bookmarkEnd w:id="8"/>
      <w:r>
        <w:rPr>
          <w:color w:val="auto"/>
        </w:rPr>
        <w:t>（以下简称</w:t>
      </w:r>
      <w:r>
        <w:rPr>
          <w:color w:val="auto"/>
        </w:rPr>
        <w:t>“</w:t>
      </w:r>
      <w:r>
        <w:rPr>
          <w:color w:val="auto"/>
        </w:rPr>
        <w:t>圣雄水泥公司</w:t>
      </w:r>
      <w:r>
        <w:rPr>
          <w:color w:val="auto"/>
        </w:rPr>
        <w:t>”</w:t>
      </w:r>
      <w:r>
        <w:rPr>
          <w:color w:val="auto"/>
        </w:rPr>
        <w:t>）合作，对圣雄水泥公司</w:t>
      </w:r>
      <w:r>
        <w:rPr>
          <w:color w:val="auto"/>
        </w:rPr>
        <w:t>1</w:t>
      </w:r>
      <w:r>
        <w:rPr>
          <w:color w:val="auto"/>
        </w:rPr>
        <w:t>条</w:t>
      </w:r>
      <w:r>
        <w:rPr>
          <w:color w:val="auto"/>
        </w:rPr>
        <w:t>5000t/d</w:t>
      </w:r>
      <w:r>
        <w:rPr>
          <w:color w:val="auto"/>
        </w:rPr>
        <w:t>电石渣干法水泥生产线进行技术改造，建设新疆圣雄能源股份有限公司水泥窑协同处置危险废物项目（以下简称</w:t>
      </w:r>
      <w:r>
        <w:rPr>
          <w:color w:val="auto"/>
        </w:rPr>
        <w:t>“</w:t>
      </w:r>
      <w:r>
        <w:rPr>
          <w:color w:val="auto"/>
        </w:rPr>
        <w:t>本项目</w:t>
      </w:r>
      <w:r>
        <w:rPr>
          <w:color w:val="auto"/>
        </w:rPr>
        <w:t>”</w:t>
      </w:r>
      <w:r>
        <w:rPr>
          <w:color w:val="auto"/>
        </w:rPr>
        <w:t>）。本项目协同处置的危险废物主要为吉木萨尔协同处置项目危险废物预处理系统（以下简称</w:t>
      </w:r>
      <w:r>
        <w:rPr>
          <w:color w:val="auto"/>
        </w:rPr>
        <w:t>“</w:t>
      </w:r>
      <w:r>
        <w:rPr>
          <w:color w:val="auto"/>
        </w:rPr>
        <w:t>预处理中心</w:t>
      </w:r>
      <w:r>
        <w:rPr>
          <w:color w:val="auto"/>
        </w:rPr>
        <w:t>”</w:t>
      </w:r>
      <w:r>
        <w:rPr>
          <w:color w:val="auto"/>
        </w:rPr>
        <w:t>）产出的预处理产物，少量来自吐鲁番市及周边县市收集的危险废物。本项目设计危险废物处置规模</w:t>
      </w:r>
      <w:r>
        <w:rPr>
          <w:color w:val="auto"/>
        </w:rPr>
        <w:t>5</w:t>
      </w:r>
      <w:r>
        <w:rPr>
          <w:color w:val="auto"/>
        </w:rPr>
        <w:t>万</w:t>
      </w:r>
      <w:r>
        <w:rPr>
          <w:color w:val="auto"/>
        </w:rPr>
        <w:t>t/a</w:t>
      </w:r>
      <w:r>
        <w:rPr>
          <w:color w:val="auto"/>
        </w:rPr>
        <w:t>，其中固态（含半固态）废物</w:t>
      </w:r>
      <w:r>
        <w:rPr>
          <w:color w:val="auto"/>
        </w:rPr>
        <w:t>45000t/a</w:t>
      </w:r>
      <w:r>
        <w:rPr>
          <w:color w:val="auto"/>
        </w:rPr>
        <w:t>，液态废物</w:t>
      </w:r>
      <w:r>
        <w:rPr>
          <w:color w:val="auto"/>
        </w:rPr>
        <w:t>5000t/a</w:t>
      </w:r>
      <w:r>
        <w:rPr>
          <w:color w:val="auto"/>
        </w:rPr>
        <w:t>。本项目利用圣雄水泥公司新型干法水泥窑处置危险废物，填补托克逊县当地水泥窑协同处置危险废物行业的空白，同时有利于当地危险废物无害化处理、安全处置及规范管理。</w:t>
      </w:r>
    </w:p>
    <w:p w14:paraId="75EC06AA" w14:textId="77777777" w:rsidR="002E474C" w:rsidRDefault="00000000">
      <w:pPr>
        <w:pStyle w:val="21"/>
        <w:spacing w:before="240" w:after="240"/>
        <w:rPr>
          <w:color w:val="auto"/>
        </w:rPr>
      </w:pPr>
      <w:bookmarkStart w:id="9" w:name="_Toc225848838"/>
      <w:bookmarkStart w:id="10" w:name="_Toc24834"/>
      <w:r>
        <w:rPr>
          <w:color w:val="auto"/>
        </w:rPr>
        <w:t>建设项目特点</w:t>
      </w:r>
      <w:bookmarkEnd w:id="9"/>
      <w:bookmarkEnd w:id="10"/>
    </w:p>
    <w:p w14:paraId="7AC8A26A" w14:textId="77777777" w:rsidR="002E474C" w:rsidRDefault="00000000">
      <w:pPr>
        <w:pStyle w:val="A-z"/>
        <w:rPr>
          <w:color w:val="auto"/>
        </w:rPr>
      </w:pPr>
      <w:r>
        <w:rPr>
          <w:color w:val="auto"/>
        </w:rPr>
        <w:t>（</w:t>
      </w:r>
      <w:r>
        <w:rPr>
          <w:color w:val="auto"/>
        </w:rPr>
        <w:t>1</w:t>
      </w:r>
      <w:r>
        <w:rPr>
          <w:color w:val="auto"/>
        </w:rPr>
        <w:t>）本项目依托圣雄水泥公司新型干法水泥窑协同处置</w:t>
      </w:r>
      <w:r>
        <w:rPr>
          <w:color w:val="auto"/>
        </w:rPr>
        <w:t>5</w:t>
      </w:r>
      <w:r>
        <w:rPr>
          <w:color w:val="auto"/>
        </w:rPr>
        <w:t>万</w:t>
      </w:r>
      <w:r>
        <w:rPr>
          <w:color w:val="auto"/>
        </w:rPr>
        <w:t>t/a</w:t>
      </w:r>
      <w:r>
        <w:rPr>
          <w:color w:val="auto"/>
        </w:rPr>
        <w:t>危险废物，其中固态危废</w:t>
      </w:r>
      <w:r>
        <w:rPr>
          <w:color w:val="auto"/>
        </w:rPr>
        <w:t>45000t/a</w:t>
      </w:r>
      <w:r>
        <w:rPr>
          <w:color w:val="auto"/>
        </w:rPr>
        <w:t>、液态危废</w:t>
      </w:r>
      <w:r>
        <w:rPr>
          <w:color w:val="auto"/>
        </w:rPr>
        <w:t>5000t/a</w:t>
      </w:r>
      <w:r>
        <w:rPr>
          <w:color w:val="auto"/>
        </w:rPr>
        <w:t>，协同处置的危废涉及《国家危险废物名录（</w:t>
      </w:r>
      <w:r>
        <w:rPr>
          <w:color w:val="auto"/>
        </w:rPr>
        <w:t>2025</w:t>
      </w:r>
      <w:r>
        <w:rPr>
          <w:color w:val="auto"/>
        </w:rPr>
        <w:t>年版）》中的</w:t>
      </w:r>
      <w:r>
        <w:rPr>
          <w:color w:val="auto"/>
        </w:rPr>
        <w:t>36</w:t>
      </w:r>
      <w:r>
        <w:rPr>
          <w:color w:val="auto"/>
        </w:rPr>
        <w:t>种类别</w:t>
      </w:r>
      <w:r>
        <w:rPr>
          <w:color w:val="auto"/>
        </w:rPr>
        <w:t>41</w:t>
      </w:r>
      <w:r>
        <w:rPr>
          <w:rFonts w:hint="eastAsia"/>
          <w:color w:val="auto"/>
        </w:rPr>
        <w:t>7</w:t>
      </w:r>
      <w:r>
        <w:rPr>
          <w:color w:val="auto"/>
          <w:lang w:val="en-US"/>
        </w:rPr>
        <w:t>个</w:t>
      </w:r>
      <w:r>
        <w:rPr>
          <w:color w:val="auto"/>
        </w:rPr>
        <w:t>代码。</w:t>
      </w:r>
    </w:p>
    <w:p w14:paraId="7E0BA3AE" w14:textId="77777777" w:rsidR="002E474C" w:rsidRDefault="00000000">
      <w:pPr>
        <w:pStyle w:val="A-z"/>
        <w:rPr>
          <w:color w:val="auto"/>
        </w:rPr>
      </w:pPr>
      <w:r>
        <w:rPr>
          <w:bCs/>
          <w:color w:val="auto"/>
          <w:lang w:val="en-US"/>
        </w:rPr>
        <w:t>（</w:t>
      </w:r>
      <w:r>
        <w:rPr>
          <w:bCs/>
          <w:color w:val="auto"/>
          <w:lang w:val="en-US"/>
        </w:rPr>
        <w:t>2</w:t>
      </w:r>
      <w:r>
        <w:rPr>
          <w:bCs/>
          <w:color w:val="auto"/>
          <w:lang w:val="en-US"/>
        </w:rPr>
        <w:t>）本项目采取分散联合经营模式运行，</w:t>
      </w:r>
      <w:r>
        <w:rPr>
          <w:rFonts w:hint="eastAsia"/>
          <w:bCs/>
          <w:color w:val="auto"/>
          <w:lang w:val="en-US"/>
        </w:rPr>
        <w:t>主要依托预处理中心提供预处理产物</w:t>
      </w:r>
      <w:r>
        <w:rPr>
          <w:bCs/>
          <w:color w:val="auto"/>
          <w:lang w:val="en-US"/>
        </w:rPr>
        <w:t>，</w:t>
      </w:r>
      <w:r>
        <w:rPr>
          <w:color w:val="auto"/>
          <w:spacing w:val="-6"/>
        </w:rPr>
        <w:t>仅在</w:t>
      </w:r>
      <w:r>
        <w:rPr>
          <w:rFonts w:hint="eastAsia"/>
          <w:color w:val="auto"/>
          <w:spacing w:val="-6"/>
        </w:rPr>
        <w:t>本项目</w:t>
      </w:r>
      <w:r>
        <w:rPr>
          <w:color w:val="auto"/>
          <w:spacing w:val="-6"/>
        </w:rPr>
        <w:t>固态危废预处理车间破碎废弃包装物</w:t>
      </w:r>
      <w:r>
        <w:rPr>
          <w:rFonts w:hint="eastAsia"/>
          <w:color w:val="auto"/>
          <w:spacing w:val="-6"/>
        </w:rPr>
        <w:t>和</w:t>
      </w:r>
      <w:r>
        <w:rPr>
          <w:color w:val="auto"/>
          <w:spacing w:val="-6"/>
        </w:rPr>
        <w:t>不满足直接入窑处置</w:t>
      </w:r>
      <w:r>
        <w:rPr>
          <w:rFonts w:hint="eastAsia"/>
          <w:color w:val="auto"/>
          <w:spacing w:val="-6"/>
        </w:rPr>
        <w:t>要求</w:t>
      </w:r>
      <w:r>
        <w:rPr>
          <w:color w:val="auto"/>
          <w:spacing w:val="-6"/>
        </w:rPr>
        <w:t>的物料</w:t>
      </w:r>
      <w:r>
        <w:rPr>
          <w:rFonts w:hint="eastAsia"/>
          <w:color w:val="auto"/>
          <w:spacing w:val="-6"/>
        </w:rPr>
        <w:t>，</w:t>
      </w:r>
      <w:r>
        <w:rPr>
          <w:color w:val="auto"/>
          <w:spacing w:val="-6"/>
        </w:rPr>
        <w:t>在液态处置车间对投料废液进行过滤处理</w:t>
      </w:r>
      <w:r>
        <w:rPr>
          <w:bCs/>
          <w:color w:val="auto"/>
          <w:lang w:val="en-US"/>
        </w:rPr>
        <w:t>。</w:t>
      </w:r>
    </w:p>
    <w:p w14:paraId="1F934F10" w14:textId="77777777" w:rsidR="002E474C" w:rsidRDefault="00000000">
      <w:pPr>
        <w:pStyle w:val="A-z"/>
        <w:rPr>
          <w:color w:val="auto"/>
        </w:rPr>
      </w:pPr>
      <w:r>
        <w:rPr>
          <w:color w:val="auto"/>
        </w:rPr>
        <w:t>（</w:t>
      </w:r>
      <w:r>
        <w:rPr>
          <w:color w:val="auto"/>
        </w:rPr>
        <w:t>3</w:t>
      </w:r>
      <w:r>
        <w:rPr>
          <w:color w:val="auto"/>
        </w:rPr>
        <w:t>）本项目破碎间采用</w:t>
      </w:r>
      <w:r>
        <w:rPr>
          <w:color w:val="auto"/>
        </w:rPr>
        <w:t>“</w:t>
      </w:r>
      <w:r>
        <w:rPr>
          <w:color w:val="auto"/>
        </w:rPr>
        <w:t>集气罩</w:t>
      </w:r>
      <w:r>
        <w:rPr>
          <w:color w:val="auto"/>
        </w:rPr>
        <w:t>+</w:t>
      </w:r>
      <w:r>
        <w:rPr>
          <w:color w:val="auto"/>
        </w:rPr>
        <w:t>布袋除尘器</w:t>
      </w:r>
      <w:r>
        <w:rPr>
          <w:color w:val="auto"/>
        </w:rPr>
        <w:t>”</w:t>
      </w:r>
      <w:r>
        <w:rPr>
          <w:color w:val="auto"/>
        </w:rPr>
        <w:t>处理含尘废气，危废危废贮存废气采用两级活性炭处理后达标排放。生产废水送水泥窑焚烧，不外排。</w:t>
      </w:r>
    </w:p>
    <w:p w14:paraId="714CCE3C" w14:textId="77777777" w:rsidR="002E474C" w:rsidRDefault="00000000">
      <w:pPr>
        <w:pStyle w:val="A-z"/>
        <w:ind w:firstLine="456"/>
        <w:rPr>
          <w:color w:val="auto"/>
          <w:spacing w:val="-6"/>
        </w:rPr>
      </w:pPr>
      <w:r>
        <w:rPr>
          <w:color w:val="auto"/>
          <w:spacing w:val="-6"/>
        </w:rPr>
        <w:t>（</w:t>
      </w:r>
      <w:r>
        <w:rPr>
          <w:color w:val="auto"/>
          <w:spacing w:val="-6"/>
        </w:rPr>
        <w:t>4</w:t>
      </w:r>
      <w:r>
        <w:rPr>
          <w:color w:val="auto"/>
          <w:spacing w:val="-6"/>
        </w:rPr>
        <w:t>）本项目依托的水泥窑为窑磨一体机模式的新型干法水泥窑，在窑尾配加了悬浮预热器和分解炉，把水泥窑废气引入物料粉磨系统，利用废气余热烘干物料，窑和磨排出的废气在同一套除尘设备进行处理的窑磨联合运行模式。</w:t>
      </w:r>
    </w:p>
    <w:p w14:paraId="2A90C132" w14:textId="77777777" w:rsidR="002E474C" w:rsidRDefault="00000000">
      <w:pPr>
        <w:pStyle w:val="21"/>
        <w:spacing w:before="240" w:after="240"/>
        <w:rPr>
          <w:color w:val="auto"/>
          <w:lang w:val="zh-CN"/>
        </w:rPr>
      </w:pPr>
      <w:bookmarkStart w:id="11" w:name="_Toc225848839"/>
      <w:bookmarkStart w:id="12" w:name="_Toc14954"/>
      <w:r>
        <w:rPr>
          <w:color w:val="auto"/>
          <w:lang w:val="zh-CN"/>
        </w:rPr>
        <w:lastRenderedPageBreak/>
        <w:t>环境影响评价工作过程</w:t>
      </w:r>
      <w:bookmarkEnd w:id="11"/>
      <w:bookmarkEnd w:id="12"/>
    </w:p>
    <w:p w14:paraId="0E505623" w14:textId="77777777" w:rsidR="002E474C" w:rsidRDefault="00000000">
      <w:pPr>
        <w:pStyle w:val="A-z"/>
        <w:rPr>
          <w:color w:val="auto"/>
          <w:spacing w:val="-4"/>
        </w:rPr>
      </w:pPr>
      <w:r>
        <w:rPr>
          <w:color w:val="auto"/>
        </w:rPr>
        <w:t>根据《建设项目环境影响评价分类管理名录（</w:t>
      </w:r>
      <w:r>
        <w:rPr>
          <w:color w:val="auto"/>
        </w:rPr>
        <w:t>2021</w:t>
      </w:r>
      <w:r>
        <w:rPr>
          <w:color w:val="auto"/>
        </w:rPr>
        <w:t>年版）》，本项目属于名录中的</w:t>
      </w:r>
      <w:r>
        <w:rPr>
          <w:color w:val="auto"/>
        </w:rPr>
        <w:t>“</w:t>
      </w:r>
      <w:r>
        <w:rPr>
          <w:color w:val="auto"/>
        </w:rPr>
        <w:t>四十七、生态保护和环境治理业，</w:t>
      </w:r>
      <w:r>
        <w:rPr>
          <w:color w:val="auto"/>
        </w:rPr>
        <w:t>101</w:t>
      </w:r>
      <w:r>
        <w:rPr>
          <w:color w:val="auto"/>
        </w:rPr>
        <w:t>危险废物（不含医疗废物）利用及处置，危险废物利用及处置（产生单位内部回收再利用的除外；单纯收集、贮存的除外）</w:t>
      </w:r>
      <w:r>
        <w:rPr>
          <w:color w:val="auto"/>
        </w:rPr>
        <w:t>”</w:t>
      </w:r>
      <w:r>
        <w:rPr>
          <w:color w:val="auto"/>
        </w:rPr>
        <w:t>，应编制环境影响报告书。</w:t>
      </w:r>
    </w:p>
    <w:p w14:paraId="3B052E51" w14:textId="0DC60733" w:rsidR="002E474C" w:rsidRDefault="00000000">
      <w:pPr>
        <w:pStyle w:val="A-z"/>
        <w:rPr>
          <w:color w:val="auto"/>
        </w:rPr>
      </w:pPr>
      <w:r>
        <w:rPr>
          <w:color w:val="auto"/>
        </w:rPr>
        <w:t>根据《中华人民共和国环境影响评价法》《建设项目环境保护管理条例》及有关环境保护政策法规的要求，</w:t>
      </w:r>
      <w:r>
        <w:rPr>
          <w:color w:val="auto"/>
        </w:rPr>
        <w:t>2026</w:t>
      </w:r>
      <w:r>
        <w:rPr>
          <w:color w:val="auto"/>
        </w:rPr>
        <w:t>年</w:t>
      </w:r>
      <w:r>
        <w:rPr>
          <w:rFonts w:hint="eastAsia"/>
          <w:color w:val="auto"/>
          <w:lang w:val="en-US"/>
        </w:rPr>
        <w:t>5</w:t>
      </w:r>
      <w:r>
        <w:rPr>
          <w:color w:val="auto"/>
        </w:rPr>
        <w:t>月，新疆中建环能公司委托乌鲁木齐湘永丽景环保科技有限公司承担</w:t>
      </w:r>
      <w:r>
        <w:rPr>
          <w:color w:val="auto"/>
          <w:lang w:val="en-US"/>
        </w:rPr>
        <w:t>新疆圣雄水泥有限公司水泥窑协同处置危险废物项目</w:t>
      </w:r>
      <w:r>
        <w:rPr>
          <w:color w:val="auto"/>
        </w:rPr>
        <w:t>的环境影响评价工作。</w:t>
      </w:r>
    </w:p>
    <w:p w14:paraId="50CEBCB4" w14:textId="77777777" w:rsidR="002E474C" w:rsidRDefault="00000000">
      <w:pPr>
        <w:pStyle w:val="A-z"/>
        <w:rPr>
          <w:color w:val="auto"/>
        </w:rPr>
      </w:pPr>
      <w:r>
        <w:rPr>
          <w:color w:val="auto"/>
        </w:rPr>
        <w:t>环境影响评价一般分为三个阶段，即调研分析和工作方案制定阶段，分析论证和预测评价阶段，环境影响报告书编制阶段。</w:t>
      </w:r>
    </w:p>
    <w:p w14:paraId="262A3915" w14:textId="77777777" w:rsidR="002E474C" w:rsidRDefault="00000000">
      <w:pPr>
        <w:pStyle w:val="A-z"/>
        <w:rPr>
          <w:color w:val="auto"/>
        </w:rPr>
      </w:pPr>
      <w:r>
        <w:rPr>
          <w:color w:val="auto"/>
        </w:rPr>
        <w:t>（</w:t>
      </w:r>
      <w:r>
        <w:rPr>
          <w:color w:val="auto"/>
        </w:rPr>
        <w:t>1</w:t>
      </w:r>
      <w:r>
        <w:rPr>
          <w:color w:val="auto"/>
        </w:rPr>
        <w:t>）调研和工作方案制定阶段</w:t>
      </w:r>
    </w:p>
    <w:p w14:paraId="3CDC9F7D" w14:textId="77777777" w:rsidR="002E474C" w:rsidRDefault="00000000">
      <w:pPr>
        <w:pStyle w:val="A-z"/>
        <w:rPr>
          <w:color w:val="auto"/>
        </w:rPr>
      </w:pPr>
      <w:r>
        <w:rPr>
          <w:color w:val="auto"/>
        </w:rPr>
        <w:t>评价单位接受委托后，即刻组织相关技术人员赴现场进行实地踏勘和资料收集工作，根据本项目资料及当地环境特征，按照国家及自治区生态环境保护政策以及环评技术导则、规范的要求，开展该项目的环境影响评价工作。通过初步的工程分析以及环境现状调查，识别本项目的环境影响因素，筛选主要的环境影响评价因子，明确评价重点和环境保护目标，确定环境影响评价范围、工作等级和评价标准，最后制订工作方案。</w:t>
      </w:r>
    </w:p>
    <w:p w14:paraId="76DF5579" w14:textId="77777777" w:rsidR="002E474C" w:rsidRDefault="00000000">
      <w:pPr>
        <w:pStyle w:val="A-z"/>
        <w:rPr>
          <w:color w:val="auto"/>
        </w:rPr>
      </w:pPr>
      <w:r>
        <w:rPr>
          <w:color w:val="auto"/>
        </w:rPr>
        <w:t>（</w:t>
      </w:r>
      <w:r>
        <w:rPr>
          <w:color w:val="auto"/>
        </w:rPr>
        <w:t>2</w:t>
      </w:r>
      <w:r>
        <w:rPr>
          <w:color w:val="auto"/>
        </w:rPr>
        <w:t>）分析论证和预测评价阶段</w:t>
      </w:r>
    </w:p>
    <w:p w14:paraId="70DF05B4" w14:textId="77777777" w:rsidR="002E474C" w:rsidRDefault="00000000">
      <w:pPr>
        <w:pStyle w:val="A-z"/>
        <w:rPr>
          <w:color w:val="auto"/>
        </w:rPr>
      </w:pPr>
      <w:r>
        <w:rPr>
          <w:color w:val="auto"/>
        </w:rPr>
        <w:t>在前期准备、调研分析和工作方案制定的基础上，做进一步的工程分析，进行充分的环境现状调查、监测并开展环境质量现状评价，之后根据污染源强和环境现状资料进行环境影响预测及评价。</w:t>
      </w:r>
    </w:p>
    <w:p w14:paraId="36EAC93F" w14:textId="77777777" w:rsidR="002E474C" w:rsidRDefault="00000000">
      <w:pPr>
        <w:pStyle w:val="A-z"/>
        <w:rPr>
          <w:color w:val="auto"/>
        </w:rPr>
      </w:pPr>
      <w:r>
        <w:rPr>
          <w:color w:val="auto"/>
        </w:rPr>
        <w:t>（</w:t>
      </w:r>
      <w:r>
        <w:rPr>
          <w:color w:val="auto"/>
        </w:rPr>
        <w:t>3</w:t>
      </w:r>
      <w:r>
        <w:rPr>
          <w:color w:val="auto"/>
        </w:rPr>
        <w:t>）环境影响报告书编制阶段</w:t>
      </w:r>
    </w:p>
    <w:p w14:paraId="68373D4B" w14:textId="77777777" w:rsidR="002E474C" w:rsidRDefault="00000000">
      <w:pPr>
        <w:pStyle w:val="A-z"/>
        <w:rPr>
          <w:color w:val="auto"/>
        </w:rPr>
      </w:pPr>
      <w:r>
        <w:rPr>
          <w:color w:val="auto"/>
        </w:rPr>
        <w:t>汇总、分析论证和预测评价阶段工作所取得的各种资料、数据，根据项目的环境影响及相关行业标准等的要求，依照环境影响评价相关法律法规及技术规范和相关导则要求，进行了工程分析、环境影响预测和评价，提出了相应的环境保护措施并进行了技术经济论证。在上述工作的基础上论证了项目建设的环境可行性。在整个环境影响评价过程中，建设单位作为责任主体将项目环境影响评价的基本情况和内容成果向社会公众进行了公开，广泛征集公众对项目环境保护方面</w:t>
      </w:r>
      <w:r>
        <w:rPr>
          <w:color w:val="auto"/>
        </w:rPr>
        <w:lastRenderedPageBreak/>
        <w:t>的意见。最终将项目环评报告提交生态环境主管部门和专家审查，审批后的环境影响报告书将作为该项目环境保护及环境管理的依据。</w:t>
      </w:r>
    </w:p>
    <w:p w14:paraId="6FDFA3A0" w14:textId="77777777" w:rsidR="002E474C" w:rsidRDefault="00000000">
      <w:pPr>
        <w:pStyle w:val="A-z"/>
        <w:ind w:firstLine="464"/>
        <w:rPr>
          <w:color w:val="auto"/>
          <w:spacing w:val="-4"/>
        </w:rPr>
      </w:pPr>
      <w:r>
        <w:rPr>
          <w:color w:val="auto"/>
          <w:spacing w:val="-4"/>
        </w:rPr>
        <w:t>环境影响评价工作程序见图</w:t>
      </w:r>
      <w:r>
        <w:rPr>
          <w:color w:val="auto"/>
          <w:spacing w:val="-4"/>
        </w:rPr>
        <w:t>1.3-1</w:t>
      </w:r>
      <w:r>
        <w:rPr>
          <w:color w:val="auto"/>
          <w:spacing w:val="-4"/>
        </w:rPr>
        <w:t>。</w:t>
      </w:r>
    </w:p>
    <w:p w14:paraId="253AB6D0" w14:textId="77777777" w:rsidR="002E474C" w:rsidRDefault="00000000">
      <w:pPr>
        <w:pStyle w:val="A-z"/>
        <w:ind w:firstLineChars="0" w:firstLine="0"/>
        <w:jc w:val="center"/>
      </w:pPr>
      <w:r>
        <w:rPr>
          <w:noProof/>
        </w:rPr>
        <w:drawing>
          <wp:inline distT="0" distB="0" distL="0" distR="0" wp14:anchorId="2477251A" wp14:editId="09D7202E">
            <wp:extent cx="5274310" cy="6950710"/>
            <wp:effectExtent l="0" t="0" r="2540" b="2540"/>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noChangeArrowheads="1"/>
                    </pic:cNvPicPr>
                  </pic:nvPicPr>
                  <pic:blipFill>
                    <a:blip r:embed="rId9" cstate="print"/>
                    <a:srcRect/>
                    <a:stretch>
                      <a:fillRect/>
                    </a:stretch>
                  </pic:blipFill>
                  <pic:spPr>
                    <a:xfrm>
                      <a:off x="0" y="0"/>
                      <a:ext cx="5274310" cy="6950710"/>
                    </a:xfrm>
                    <a:prstGeom prst="rect">
                      <a:avLst/>
                    </a:prstGeom>
                    <a:noFill/>
                    <a:ln w="9525">
                      <a:noFill/>
                      <a:miter lim="800000"/>
                      <a:headEnd/>
                      <a:tailEnd/>
                    </a:ln>
                  </pic:spPr>
                </pic:pic>
              </a:graphicData>
            </a:graphic>
          </wp:inline>
        </w:drawing>
      </w:r>
    </w:p>
    <w:p w14:paraId="5884085A" w14:textId="77777777" w:rsidR="002E474C" w:rsidRDefault="00000000">
      <w:pPr>
        <w:pStyle w:val="A--"/>
        <w:rPr>
          <w:color w:val="auto"/>
        </w:rPr>
      </w:pPr>
      <w:r>
        <w:rPr>
          <w:color w:val="auto"/>
        </w:rPr>
        <w:t>图</w:t>
      </w:r>
      <w:r>
        <w:rPr>
          <w:color w:val="auto"/>
        </w:rPr>
        <w:t xml:space="preserve">1.3-1  </w:t>
      </w:r>
      <w:r>
        <w:rPr>
          <w:color w:val="auto"/>
        </w:rPr>
        <w:t>环境影响评价工作程序</w:t>
      </w:r>
    </w:p>
    <w:p w14:paraId="5C4146C6" w14:textId="77777777" w:rsidR="002E474C" w:rsidRDefault="002E474C">
      <w:pPr>
        <w:sectPr w:rsidR="002E474C">
          <w:headerReference w:type="default" r:id="rId10"/>
          <w:footerReference w:type="default" r:id="rId11"/>
          <w:pgSz w:w="11906" w:h="16838"/>
          <w:pgMar w:top="1440" w:right="1800" w:bottom="1440" w:left="1800" w:header="851" w:footer="992" w:gutter="0"/>
          <w:pgNumType w:start="1"/>
          <w:cols w:space="720"/>
          <w:docGrid w:linePitch="312"/>
        </w:sectPr>
      </w:pPr>
    </w:p>
    <w:p w14:paraId="4F451137" w14:textId="77777777" w:rsidR="002E474C" w:rsidRDefault="00000000">
      <w:pPr>
        <w:pStyle w:val="21"/>
        <w:spacing w:before="240" w:after="240"/>
        <w:rPr>
          <w:color w:val="auto"/>
        </w:rPr>
      </w:pPr>
      <w:bookmarkStart w:id="13" w:name="_Toc32019"/>
      <w:bookmarkStart w:id="14" w:name="_Toc225848840"/>
      <w:r>
        <w:rPr>
          <w:color w:val="auto"/>
        </w:rPr>
        <w:lastRenderedPageBreak/>
        <w:t>分析判定相关情况</w:t>
      </w:r>
      <w:bookmarkEnd w:id="13"/>
      <w:bookmarkEnd w:id="14"/>
    </w:p>
    <w:p w14:paraId="27B24B6A" w14:textId="77777777" w:rsidR="002E474C" w:rsidRDefault="00000000">
      <w:pPr>
        <w:pStyle w:val="31"/>
        <w:spacing w:before="120" w:after="120"/>
        <w:rPr>
          <w:color w:val="auto"/>
        </w:rPr>
      </w:pPr>
      <w:r>
        <w:rPr>
          <w:color w:val="auto"/>
        </w:rPr>
        <w:t>产业政策符合性分析</w:t>
      </w:r>
    </w:p>
    <w:p w14:paraId="7E03F294" w14:textId="77777777" w:rsidR="002E474C" w:rsidRDefault="00000000">
      <w:pPr>
        <w:pStyle w:val="A-z"/>
        <w:rPr>
          <w:color w:val="auto"/>
          <w:lang w:val="en-US"/>
        </w:rPr>
      </w:pPr>
      <w:r>
        <w:rPr>
          <w:color w:val="auto"/>
          <w:lang w:val="en-US"/>
        </w:rPr>
        <w:t>（</w:t>
      </w:r>
      <w:r>
        <w:rPr>
          <w:color w:val="auto"/>
          <w:lang w:val="en-US"/>
        </w:rPr>
        <w:t>1</w:t>
      </w:r>
      <w:r>
        <w:rPr>
          <w:color w:val="auto"/>
          <w:lang w:val="en-US"/>
        </w:rPr>
        <w:t>）</w:t>
      </w:r>
      <w:r>
        <w:rPr>
          <w:color w:val="auto"/>
        </w:rPr>
        <w:t>《产业结构调整指导目录（</w:t>
      </w:r>
      <w:r>
        <w:rPr>
          <w:color w:val="auto"/>
        </w:rPr>
        <w:t>2024</w:t>
      </w:r>
      <w:r>
        <w:rPr>
          <w:color w:val="auto"/>
        </w:rPr>
        <w:t>年本）》</w:t>
      </w:r>
    </w:p>
    <w:p w14:paraId="787E0622" w14:textId="77777777" w:rsidR="002E474C" w:rsidRDefault="00000000">
      <w:pPr>
        <w:pStyle w:val="A-z"/>
        <w:rPr>
          <w:color w:val="auto"/>
        </w:rPr>
      </w:pPr>
      <w:r>
        <w:rPr>
          <w:color w:val="auto"/>
          <w:lang w:val="en-US"/>
        </w:rPr>
        <w:t>根据《国民经济行业分类》（</w:t>
      </w:r>
      <w:r>
        <w:rPr>
          <w:color w:val="auto"/>
          <w:lang w:val="en-US"/>
        </w:rPr>
        <w:t>GB/T 4754-2017</w:t>
      </w:r>
      <w:r>
        <w:rPr>
          <w:color w:val="auto"/>
          <w:lang w:val="en-US"/>
        </w:rPr>
        <w:t>），本项目属于生态保护和环境治理业，类别代码</w:t>
      </w:r>
      <w:r>
        <w:rPr>
          <w:color w:val="auto"/>
          <w:lang w:val="en-US"/>
        </w:rPr>
        <w:t>N7724</w:t>
      </w:r>
      <w:r>
        <w:rPr>
          <w:color w:val="auto"/>
          <w:lang w:val="en-US"/>
        </w:rPr>
        <w:t>危险废物治理。</w:t>
      </w:r>
    </w:p>
    <w:p w14:paraId="15BE359F" w14:textId="77777777" w:rsidR="002E474C" w:rsidRDefault="00000000">
      <w:pPr>
        <w:pStyle w:val="A-z"/>
        <w:rPr>
          <w:color w:val="auto"/>
        </w:rPr>
      </w:pPr>
      <w:r>
        <w:rPr>
          <w:color w:val="auto"/>
        </w:rPr>
        <w:t>本项目为利用新型干法水泥窑协同处置危险废物项目，属于《产业结构调整指导目录（</w:t>
      </w:r>
      <w:r>
        <w:rPr>
          <w:color w:val="auto"/>
        </w:rPr>
        <w:t>2024</w:t>
      </w:r>
      <w:r>
        <w:rPr>
          <w:color w:val="auto"/>
        </w:rPr>
        <w:t>年本）》中鼓励类中</w:t>
      </w:r>
      <w:r>
        <w:rPr>
          <w:color w:val="auto"/>
        </w:rPr>
        <w:t>“</w:t>
      </w:r>
      <w:r>
        <w:rPr>
          <w:color w:val="auto"/>
        </w:rPr>
        <w:t>四十二、环境保护与资源节约综合利用</w:t>
      </w:r>
      <w:r>
        <w:rPr>
          <w:color w:val="auto"/>
        </w:rPr>
        <w:t>1</w:t>
      </w:r>
      <w:r>
        <w:rPr>
          <w:color w:val="auto"/>
        </w:rPr>
        <w:t>、</w:t>
      </w:r>
      <w:r>
        <w:rPr>
          <w:color w:val="auto"/>
          <w:lang w:val="en-US"/>
        </w:rPr>
        <w:t>不低于</w:t>
      </w:r>
      <w:r>
        <w:rPr>
          <w:color w:val="auto"/>
          <w:lang w:val="en-US"/>
        </w:rPr>
        <w:t>20</w:t>
      </w:r>
      <w:r>
        <w:rPr>
          <w:color w:val="auto"/>
          <w:lang w:val="en-US"/>
        </w:rPr>
        <w:t>万块</w:t>
      </w:r>
      <w:r>
        <w:rPr>
          <w:color w:val="auto"/>
          <w:lang w:val="en-US"/>
        </w:rPr>
        <w:t>/</w:t>
      </w:r>
      <w:r>
        <w:rPr>
          <w:color w:val="auto"/>
          <w:lang w:val="en-US"/>
        </w:rPr>
        <w:t>日（含）新型烧结砖瓦生产线或新型干法水泥窑无害化协同处置废弃物</w:t>
      </w:r>
      <w:r>
        <w:rPr>
          <w:color w:val="auto"/>
        </w:rPr>
        <w:t>”</w:t>
      </w:r>
      <w:r>
        <w:rPr>
          <w:color w:val="auto"/>
        </w:rPr>
        <w:t>。本项目为《产业结构调整指导目录（</w:t>
      </w:r>
      <w:r>
        <w:rPr>
          <w:color w:val="auto"/>
        </w:rPr>
        <w:t>2024</w:t>
      </w:r>
      <w:r>
        <w:rPr>
          <w:color w:val="auto"/>
        </w:rPr>
        <w:t>年本）》中的鼓励类项目。</w:t>
      </w:r>
    </w:p>
    <w:p w14:paraId="3D1BE490" w14:textId="77777777" w:rsidR="002E474C" w:rsidRDefault="00000000">
      <w:pPr>
        <w:pStyle w:val="A-z"/>
        <w:rPr>
          <w:color w:val="auto"/>
          <w:lang w:val="en-US"/>
        </w:rPr>
      </w:pPr>
      <w:r>
        <w:rPr>
          <w:color w:val="auto"/>
          <w:lang w:val="en-US"/>
        </w:rPr>
        <w:t>（</w:t>
      </w:r>
      <w:r>
        <w:rPr>
          <w:color w:val="auto"/>
          <w:lang w:val="en-US"/>
        </w:rPr>
        <w:t>2</w:t>
      </w:r>
      <w:r>
        <w:rPr>
          <w:color w:val="auto"/>
          <w:lang w:val="en-US"/>
        </w:rPr>
        <w:t>）《</w:t>
      </w:r>
      <w:bookmarkStart w:id="15" w:name="OLE_LINK38"/>
      <w:r>
        <w:rPr>
          <w:color w:val="auto"/>
          <w:lang w:val="en-US"/>
        </w:rPr>
        <w:t>绿色低碳转型产业指导目录</w:t>
      </w:r>
      <w:bookmarkEnd w:id="15"/>
      <w:r>
        <w:rPr>
          <w:color w:val="auto"/>
          <w:lang w:val="en-US"/>
        </w:rPr>
        <w:t>（</w:t>
      </w:r>
      <w:r>
        <w:rPr>
          <w:color w:val="auto"/>
          <w:lang w:val="en-US"/>
        </w:rPr>
        <w:t>2024</w:t>
      </w:r>
      <w:r>
        <w:rPr>
          <w:color w:val="auto"/>
          <w:lang w:val="en-US"/>
        </w:rPr>
        <w:t>年版）》</w:t>
      </w:r>
    </w:p>
    <w:p w14:paraId="721C2CF2" w14:textId="77777777" w:rsidR="002E474C" w:rsidRDefault="00000000">
      <w:pPr>
        <w:pStyle w:val="A-z"/>
        <w:rPr>
          <w:color w:val="auto"/>
          <w:lang w:val="en-US"/>
        </w:rPr>
      </w:pPr>
      <w:r>
        <w:rPr>
          <w:color w:val="auto"/>
          <w:lang w:val="en-US"/>
        </w:rPr>
        <w:t>本项目利用新型干法水泥窑协同处置危险废物项目，为《绿色低碳转型产业指导目录（</w:t>
      </w:r>
      <w:r>
        <w:rPr>
          <w:color w:val="auto"/>
          <w:lang w:val="en-US"/>
        </w:rPr>
        <w:t>2024</w:t>
      </w:r>
      <w:r>
        <w:rPr>
          <w:color w:val="auto"/>
          <w:lang w:val="en-US"/>
        </w:rPr>
        <w:t>年版）》</w:t>
      </w:r>
      <w:r>
        <w:rPr>
          <w:color w:val="auto"/>
          <w:lang w:val="en-US"/>
        </w:rPr>
        <w:t>2</w:t>
      </w:r>
      <w:r>
        <w:rPr>
          <w:color w:val="auto"/>
          <w:lang w:val="en-US"/>
        </w:rPr>
        <w:t>环境保护产业的</w:t>
      </w:r>
      <w:r>
        <w:rPr>
          <w:color w:val="auto"/>
          <w:lang w:val="en-US"/>
        </w:rPr>
        <w:t>2.5</w:t>
      </w:r>
      <w:r>
        <w:rPr>
          <w:color w:val="auto"/>
          <w:lang w:val="en-US"/>
        </w:rPr>
        <w:t>其他污染治理和环境综合整治</w:t>
      </w:r>
      <w:r>
        <w:rPr>
          <w:color w:val="auto"/>
          <w:lang w:val="en-US"/>
        </w:rPr>
        <w:t>2.5.2</w:t>
      </w:r>
      <w:r>
        <w:rPr>
          <w:color w:val="auto"/>
          <w:lang w:val="en-US"/>
        </w:rPr>
        <w:t>危险废物处理处置。</w:t>
      </w:r>
    </w:p>
    <w:p w14:paraId="3DF52871" w14:textId="77777777" w:rsidR="002E474C" w:rsidRDefault="00000000">
      <w:pPr>
        <w:pStyle w:val="A-z"/>
        <w:rPr>
          <w:color w:val="auto"/>
          <w:lang w:val="en-US"/>
        </w:rPr>
      </w:pPr>
      <w:r>
        <w:rPr>
          <w:color w:val="auto"/>
          <w:lang w:val="en-US"/>
        </w:rPr>
        <w:t>（</w:t>
      </w:r>
      <w:r>
        <w:rPr>
          <w:color w:val="auto"/>
          <w:lang w:val="en-US"/>
        </w:rPr>
        <w:t>3</w:t>
      </w:r>
      <w:r>
        <w:rPr>
          <w:color w:val="auto"/>
          <w:lang w:val="en-US"/>
        </w:rPr>
        <w:t>）《市场准入负面清单（</w:t>
      </w:r>
      <w:r>
        <w:rPr>
          <w:color w:val="auto"/>
          <w:lang w:val="en-US"/>
        </w:rPr>
        <w:t>2025</w:t>
      </w:r>
      <w:r>
        <w:rPr>
          <w:color w:val="auto"/>
          <w:lang w:val="en-US"/>
        </w:rPr>
        <w:t>年版）》</w:t>
      </w:r>
      <w:r>
        <w:rPr>
          <w:color w:val="auto"/>
          <w:lang w:val="en-US"/>
        </w:rPr>
        <w:t xml:space="preserve"> </w:t>
      </w:r>
    </w:p>
    <w:p w14:paraId="011D3984" w14:textId="77777777" w:rsidR="002E474C" w:rsidRDefault="00000000">
      <w:pPr>
        <w:pStyle w:val="A-z"/>
        <w:rPr>
          <w:color w:val="auto"/>
        </w:rPr>
      </w:pPr>
      <w:r>
        <w:rPr>
          <w:color w:val="auto"/>
        </w:rPr>
        <w:t>本项目协同处置区域内危险废物，不涉及国家及自治区行政区域的危险废物转入及转出，主要服务于昌吉州及吐鲁番市产生危险废物的生产企业。企业投产前办理危废经营许可证方能从事危险废物贮存及处置等经营业务，</w:t>
      </w:r>
      <w:r>
        <w:rPr>
          <w:color w:val="auto"/>
          <w:lang w:val="en-US"/>
        </w:rPr>
        <w:t>不属于禁止类项目，</w:t>
      </w:r>
      <w:r>
        <w:rPr>
          <w:color w:val="auto"/>
        </w:rPr>
        <w:t>符合</w:t>
      </w:r>
      <w:r>
        <w:rPr>
          <w:color w:val="auto"/>
          <w:lang w:val="en-US"/>
        </w:rPr>
        <w:t>《市场准入负面清单（</w:t>
      </w:r>
      <w:r>
        <w:rPr>
          <w:color w:val="auto"/>
          <w:lang w:val="en-US"/>
        </w:rPr>
        <w:t>2025</w:t>
      </w:r>
      <w:r>
        <w:rPr>
          <w:color w:val="auto"/>
          <w:lang w:val="en-US"/>
        </w:rPr>
        <w:t>年版）》要求。</w:t>
      </w:r>
    </w:p>
    <w:p w14:paraId="593434D9" w14:textId="77777777" w:rsidR="002E474C" w:rsidRDefault="00000000">
      <w:pPr>
        <w:pStyle w:val="A-z"/>
        <w:rPr>
          <w:color w:val="auto"/>
          <w:lang w:val="en-US"/>
        </w:rPr>
      </w:pPr>
      <w:r>
        <w:rPr>
          <w:color w:val="auto"/>
          <w:lang w:val="en-US"/>
        </w:rPr>
        <w:t>（</w:t>
      </w:r>
      <w:r>
        <w:rPr>
          <w:color w:val="auto"/>
          <w:lang w:val="en-US"/>
        </w:rPr>
        <w:t>4</w:t>
      </w:r>
      <w:r>
        <w:rPr>
          <w:color w:val="auto"/>
          <w:lang w:val="en-US"/>
        </w:rPr>
        <w:t>）《环境保护综合名录（</w:t>
      </w:r>
      <w:r>
        <w:rPr>
          <w:color w:val="auto"/>
          <w:lang w:val="en-US"/>
        </w:rPr>
        <w:t>2021</w:t>
      </w:r>
      <w:r>
        <w:rPr>
          <w:color w:val="auto"/>
          <w:lang w:val="en-US"/>
        </w:rPr>
        <w:t>年版）》</w:t>
      </w:r>
    </w:p>
    <w:p w14:paraId="3AEE7F09" w14:textId="77777777" w:rsidR="00E3638F" w:rsidRPr="00DC2B10" w:rsidRDefault="00000000">
      <w:pPr>
        <w:pStyle w:val="A-z"/>
        <w:ind w:firstLine="456"/>
        <w:rPr>
          <w:color w:val="auto"/>
          <w:spacing w:val="-6"/>
        </w:rPr>
      </w:pPr>
      <w:r>
        <w:rPr>
          <w:color w:val="auto"/>
          <w:spacing w:val="-6"/>
          <w:lang w:val="en-US"/>
        </w:rPr>
        <w:t>对照《环境保护综合名录（</w:t>
      </w:r>
      <w:r>
        <w:rPr>
          <w:color w:val="auto"/>
          <w:spacing w:val="-6"/>
          <w:lang w:val="en-US"/>
        </w:rPr>
        <w:t>2021</w:t>
      </w:r>
      <w:r>
        <w:rPr>
          <w:color w:val="auto"/>
          <w:spacing w:val="-6"/>
          <w:lang w:val="en-US"/>
        </w:rPr>
        <w:t>年版）》，</w:t>
      </w:r>
      <w:r>
        <w:rPr>
          <w:color w:val="auto"/>
          <w:spacing w:val="-6"/>
        </w:rPr>
        <w:t>本项目处置危险废物的新型干法水泥窑是二、环境保护重点设备名录（三）固体废物污染防治设备中的</w:t>
      </w:r>
      <w:r>
        <w:rPr>
          <w:color w:val="auto"/>
          <w:spacing w:val="-6"/>
        </w:rPr>
        <w:t>1</w:t>
      </w:r>
      <w:r>
        <w:rPr>
          <w:color w:val="auto"/>
          <w:spacing w:val="-6"/>
        </w:rPr>
        <w:t>、危险废物回转窑焚烧炉，处理规模</w:t>
      </w:r>
      <w:r>
        <w:rPr>
          <w:color w:val="auto"/>
          <w:spacing w:val="-6"/>
        </w:rPr>
        <w:t>167t/d</w:t>
      </w:r>
      <w:r>
        <w:rPr>
          <w:color w:val="auto"/>
          <w:spacing w:val="-6"/>
        </w:rPr>
        <w:t>，在回转窑高于</w:t>
      </w:r>
      <w:r>
        <w:rPr>
          <w:color w:val="auto"/>
          <w:spacing w:val="-6"/>
        </w:rPr>
        <w:t>1300℃</w:t>
      </w:r>
      <w:r>
        <w:rPr>
          <w:color w:val="auto"/>
          <w:spacing w:val="-6"/>
        </w:rPr>
        <w:t>以上的停留时间大于</w:t>
      </w:r>
      <w:r>
        <w:rPr>
          <w:color w:val="auto"/>
          <w:spacing w:val="-6"/>
        </w:rPr>
        <w:t>3s</w:t>
      </w:r>
      <w:r>
        <w:rPr>
          <w:color w:val="auto"/>
          <w:spacing w:val="-6"/>
        </w:rPr>
        <w:t>，有利于危废的充分燃烧和分解，烟气排放达到《水泥工业大气污染物排放标准》（</w:t>
      </w:r>
      <w:r>
        <w:rPr>
          <w:color w:val="auto"/>
          <w:spacing w:val="-6"/>
        </w:rPr>
        <w:t>GB4915-2013</w:t>
      </w:r>
      <w:r>
        <w:rPr>
          <w:rFonts w:hint="eastAsia"/>
          <w:color w:val="auto"/>
          <w:spacing w:val="-6"/>
        </w:rPr>
        <w:t>，含</w:t>
      </w:r>
      <w:r>
        <w:rPr>
          <w:rFonts w:hint="eastAsia"/>
          <w:color w:val="auto"/>
          <w:spacing w:val="-6"/>
        </w:rPr>
        <w:t>2025</w:t>
      </w:r>
      <w:r>
        <w:rPr>
          <w:rFonts w:hint="eastAsia"/>
          <w:color w:val="auto"/>
          <w:spacing w:val="-6"/>
        </w:rPr>
        <w:t>年修改单</w:t>
      </w:r>
      <w:r>
        <w:rPr>
          <w:color w:val="auto"/>
          <w:spacing w:val="-6"/>
        </w:rPr>
        <w:t>）、《水泥窑协同处置固体废物污染控制标准》（</w:t>
      </w:r>
      <w:r>
        <w:rPr>
          <w:color w:val="auto"/>
          <w:spacing w:val="-6"/>
        </w:rPr>
        <w:t>GB30485-2013</w:t>
      </w:r>
      <w:r>
        <w:rPr>
          <w:color w:val="auto"/>
          <w:spacing w:val="-6"/>
        </w:rPr>
        <w:t>），其他参数符合</w:t>
      </w:r>
      <w:bookmarkStart w:id="16" w:name="OLE_LINK41"/>
      <w:r>
        <w:rPr>
          <w:color w:val="auto"/>
          <w:spacing w:val="-6"/>
        </w:rPr>
        <w:t>《水泥窑协同处置固体废物环境保护技术规范》（</w:t>
      </w:r>
      <w:r>
        <w:rPr>
          <w:color w:val="auto"/>
          <w:spacing w:val="-6"/>
        </w:rPr>
        <w:t>HJ662-2013</w:t>
      </w:r>
      <w:r>
        <w:rPr>
          <w:color w:val="auto"/>
          <w:spacing w:val="-6"/>
        </w:rPr>
        <w:t>）</w:t>
      </w:r>
      <w:bookmarkEnd w:id="16"/>
      <w:r>
        <w:rPr>
          <w:color w:val="auto"/>
          <w:spacing w:val="-6"/>
        </w:rPr>
        <w:t>、《水泥窑协同处置固体废物污染控制标准》（</w:t>
      </w:r>
      <w:r>
        <w:rPr>
          <w:color w:val="auto"/>
          <w:spacing w:val="-6"/>
        </w:rPr>
        <w:t>GB30485-2013</w:t>
      </w:r>
      <w:r>
        <w:rPr>
          <w:color w:val="auto"/>
          <w:spacing w:val="-6"/>
        </w:rPr>
        <w:t>）、《水泥窑协同处置固体废物技术规范》（</w:t>
      </w:r>
      <w:r>
        <w:rPr>
          <w:color w:val="auto"/>
          <w:spacing w:val="-6"/>
        </w:rPr>
        <w:t>GB/T30760-2024</w:t>
      </w:r>
      <w:r>
        <w:rPr>
          <w:color w:val="auto"/>
          <w:spacing w:val="-6"/>
        </w:rPr>
        <w:t>）、《水泥窑协同处置固体废物污染防治技术政策》（公告</w:t>
      </w:r>
      <w:r>
        <w:rPr>
          <w:color w:val="auto"/>
          <w:spacing w:val="-6"/>
        </w:rPr>
        <w:t xml:space="preserve"> 2016</w:t>
      </w:r>
      <w:r>
        <w:rPr>
          <w:color w:val="auto"/>
          <w:spacing w:val="-6"/>
        </w:rPr>
        <w:t>年第</w:t>
      </w:r>
      <w:r>
        <w:rPr>
          <w:color w:val="auto"/>
          <w:spacing w:val="-6"/>
        </w:rPr>
        <w:t>72</w:t>
      </w:r>
      <w:r>
        <w:rPr>
          <w:color w:val="auto"/>
          <w:spacing w:val="-6"/>
        </w:rPr>
        <w:t>号）等技术规范与污染控制标准。此外，本项目危废贮存</w:t>
      </w:r>
      <w:r>
        <w:rPr>
          <w:color w:val="auto"/>
          <w:spacing w:val="-6"/>
        </w:rPr>
        <w:lastRenderedPageBreak/>
        <w:t>废气净化系统采用两级活性炭吸</w:t>
      </w:r>
      <w:r w:rsidRPr="00DC2B10">
        <w:rPr>
          <w:color w:val="auto"/>
          <w:spacing w:val="-6"/>
        </w:rPr>
        <w:t>附工艺，属于二、环境保护重点设备名录（二）大气污染防治设备中的</w:t>
      </w:r>
      <w:r w:rsidRPr="00DC2B10">
        <w:rPr>
          <w:color w:val="auto"/>
          <w:spacing w:val="-6"/>
        </w:rPr>
        <w:t>10</w:t>
      </w:r>
      <w:r w:rsidRPr="00DC2B10">
        <w:rPr>
          <w:color w:val="auto"/>
          <w:spacing w:val="-6"/>
        </w:rPr>
        <w:t>、</w:t>
      </w:r>
      <w:r w:rsidRPr="00DC2B10">
        <w:rPr>
          <w:color w:val="auto"/>
          <w:spacing w:val="-6"/>
        </w:rPr>
        <w:t>VOCs</w:t>
      </w:r>
      <w:r w:rsidRPr="00DC2B10">
        <w:rPr>
          <w:color w:val="auto"/>
          <w:spacing w:val="-6"/>
        </w:rPr>
        <w:t>治理设备</w:t>
      </w:r>
      <w:r w:rsidRPr="00DC2B10">
        <w:rPr>
          <w:color w:val="auto"/>
          <w:spacing w:val="-6"/>
        </w:rPr>
        <w:t>——VOCs</w:t>
      </w:r>
      <w:r w:rsidRPr="00DC2B10">
        <w:rPr>
          <w:color w:val="auto"/>
          <w:spacing w:val="-6"/>
        </w:rPr>
        <w:t>吸附回收装置。</w:t>
      </w:r>
    </w:p>
    <w:p w14:paraId="42DC5601" w14:textId="0B12DF85" w:rsidR="002E474C" w:rsidRDefault="00000000">
      <w:pPr>
        <w:pStyle w:val="A-z"/>
        <w:ind w:firstLine="456"/>
        <w:rPr>
          <w:color w:val="auto"/>
          <w:spacing w:val="-6"/>
        </w:rPr>
      </w:pPr>
      <w:r w:rsidRPr="00DC2B10">
        <w:rPr>
          <w:color w:val="auto"/>
          <w:spacing w:val="-6"/>
          <w:lang w:val="en-US"/>
        </w:rPr>
        <w:t>根据《吸附法工业有机废气治理工程技术规范》（</w:t>
      </w:r>
      <w:r w:rsidRPr="00DC2B10">
        <w:rPr>
          <w:color w:val="auto"/>
          <w:spacing w:val="-6"/>
          <w:lang w:val="en-US"/>
        </w:rPr>
        <w:t>HJ</w:t>
      </w:r>
      <w:r w:rsidR="00E93E93" w:rsidRPr="00DC2B10">
        <w:rPr>
          <w:rFonts w:hint="eastAsia"/>
          <w:color w:val="auto"/>
          <w:spacing w:val="-6"/>
          <w:lang w:val="en-US"/>
        </w:rPr>
        <w:t xml:space="preserve"> </w:t>
      </w:r>
      <w:r w:rsidRPr="00DC2B10">
        <w:rPr>
          <w:color w:val="auto"/>
          <w:spacing w:val="-6"/>
          <w:lang w:val="en-US"/>
        </w:rPr>
        <w:t>2026-2013</w:t>
      </w:r>
      <w:r w:rsidRPr="00DC2B10">
        <w:rPr>
          <w:color w:val="auto"/>
          <w:spacing w:val="-6"/>
          <w:lang w:val="en-US"/>
        </w:rPr>
        <w:t>）</w:t>
      </w:r>
      <w:r w:rsidRPr="00DC2B10">
        <w:rPr>
          <w:color w:val="auto"/>
          <w:spacing w:val="-6"/>
          <w:lang w:val="en-US"/>
        </w:rPr>
        <w:t>6.1.3“</w:t>
      </w:r>
      <w:r w:rsidRPr="00DC2B10">
        <w:rPr>
          <w:color w:val="auto"/>
          <w:spacing w:val="-6"/>
          <w:lang w:val="en-US"/>
        </w:rPr>
        <w:t>吸附装置的净化效率不得低于</w:t>
      </w:r>
      <w:r w:rsidRPr="00DC2B10">
        <w:rPr>
          <w:color w:val="auto"/>
          <w:spacing w:val="-6"/>
          <w:lang w:val="en-US"/>
        </w:rPr>
        <w:t>90%”</w:t>
      </w:r>
      <w:r w:rsidR="00E3638F" w:rsidRPr="00DC2B10">
        <w:rPr>
          <w:rFonts w:hint="eastAsia"/>
          <w:color w:val="auto"/>
          <w:spacing w:val="-6"/>
          <w:lang w:val="en-US"/>
        </w:rPr>
        <w:t>。</w:t>
      </w:r>
      <w:r w:rsidR="005F302B" w:rsidRPr="00DC2B10">
        <w:rPr>
          <w:rFonts w:ascii="宋体" w:hAnsi="宋体" w:cs="宋体" w:hint="eastAsia"/>
          <w:kern w:val="0"/>
          <w:szCs w:val="24"/>
        </w:rPr>
        <w:t>本</w:t>
      </w:r>
      <w:r w:rsidR="005F302B" w:rsidRPr="00DC2B10">
        <w:rPr>
          <w:spacing w:val="-6"/>
          <w:lang w:val="en-US"/>
        </w:rPr>
        <w:t>项目产生的有机废气（非甲烷总烃）及臭气经密闭收集后引入</w:t>
      </w:r>
      <w:r w:rsidR="005F302B" w:rsidRPr="00DC2B10">
        <w:rPr>
          <w:b/>
          <w:bCs/>
          <w:spacing w:val="-6"/>
          <w:lang w:val="en-US"/>
        </w:rPr>
        <w:t>两级活性炭吸附装置</w:t>
      </w:r>
      <w:r w:rsidR="005F302B" w:rsidRPr="00DC2B10">
        <w:rPr>
          <w:spacing w:val="-6"/>
          <w:lang w:val="en-US"/>
        </w:rPr>
        <w:t>处理</w:t>
      </w:r>
      <w:r w:rsidR="005F302B" w:rsidRPr="00DC2B10">
        <w:rPr>
          <w:rFonts w:hint="eastAsia"/>
          <w:color w:val="auto"/>
          <w:spacing w:val="-6"/>
          <w:lang w:val="en-US"/>
        </w:rPr>
        <w:t>，采用蜂窝炭与定期更换管理措施</w:t>
      </w:r>
      <w:r w:rsidR="00C57D49" w:rsidRPr="00DC2B10">
        <w:rPr>
          <w:rFonts w:hint="eastAsia"/>
          <w:color w:val="auto"/>
          <w:spacing w:val="-6"/>
          <w:lang w:val="en-US"/>
        </w:rPr>
        <w:t>，工程设计指标为</w:t>
      </w:r>
      <w:r w:rsidR="00C57D49" w:rsidRPr="00DC2B10">
        <w:rPr>
          <w:rFonts w:hint="eastAsia"/>
          <w:color w:val="auto"/>
          <w:spacing w:val="-6"/>
          <w:lang w:val="en-US"/>
        </w:rPr>
        <w:t>90%</w:t>
      </w:r>
      <w:r w:rsidR="00C57D49" w:rsidRPr="00DC2B10">
        <w:rPr>
          <w:rFonts w:ascii="宋体" w:eastAsia="宋体" w:hAnsi="宋体" w:hint="eastAsia"/>
          <w:color w:val="auto"/>
          <w:spacing w:val="-6"/>
          <w:lang w:val="en-US"/>
        </w:rPr>
        <w:t>～</w:t>
      </w:r>
      <w:r w:rsidR="00C57D49" w:rsidRPr="00DC2B10">
        <w:rPr>
          <w:rFonts w:hint="eastAsia"/>
          <w:color w:val="auto"/>
          <w:spacing w:val="-6"/>
          <w:lang w:val="en-US"/>
        </w:rPr>
        <w:t>95%</w:t>
      </w:r>
      <w:r w:rsidR="005F302B" w:rsidRPr="00DC2B10">
        <w:rPr>
          <w:rFonts w:hint="eastAsia"/>
          <w:color w:val="auto"/>
          <w:spacing w:val="-6"/>
          <w:lang w:val="en-US"/>
        </w:rPr>
        <w:t>。</w:t>
      </w:r>
      <w:r w:rsidR="005F302B" w:rsidRPr="00DC2B10">
        <w:rPr>
          <w:spacing w:val="-6"/>
          <w:lang w:val="en-US"/>
        </w:rPr>
        <w:t>依据《吸附法工业有机废气治理工程技术规范》（</w:t>
      </w:r>
      <w:r w:rsidR="005F302B" w:rsidRPr="00DC2B10">
        <w:rPr>
          <w:spacing w:val="-6"/>
          <w:lang w:val="en-US"/>
        </w:rPr>
        <w:t>HJ 2026-2013</w:t>
      </w:r>
      <w:r w:rsidR="005F302B" w:rsidRPr="00DC2B10">
        <w:rPr>
          <w:spacing w:val="-6"/>
          <w:lang w:val="en-US"/>
        </w:rPr>
        <w:t>），两级串联活性炭吸附工艺对低浓度有机废气及恶臭污染物净化效果稳定。本项目采用一级粗吸附、二级深度吸附的治理方式，</w:t>
      </w:r>
      <w:r w:rsidR="005F302B" w:rsidRPr="00DC2B10">
        <w:rPr>
          <w:color w:val="auto"/>
          <w:spacing w:val="-6"/>
          <w:lang w:val="en-US"/>
        </w:rPr>
        <w:t>废气先进入一级活性炭吸附箱，大部分有机组分、致臭物质被活性炭孔隙吸附截留；未完全去除的微量</w:t>
      </w:r>
      <w:r w:rsidR="005F302B" w:rsidRPr="00DC2B10">
        <w:rPr>
          <w:color w:val="auto"/>
          <w:spacing w:val="-6"/>
          <w:lang w:val="en-US"/>
        </w:rPr>
        <w:t>VOCs</w:t>
      </w:r>
      <w:r w:rsidR="005F302B" w:rsidRPr="00DC2B10">
        <w:rPr>
          <w:color w:val="auto"/>
          <w:spacing w:val="-6"/>
          <w:lang w:val="en-US"/>
        </w:rPr>
        <w:t>与臭气进入二级活性炭箱进行深度吸附净化</w:t>
      </w:r>
      <w:r w:rsidR="00C57D49" w:rsidRPr="00DC2B10">
        <w:rPr>
          <w:rFonts w:hint="eastAsia"/>
          <w:color w:val="auto"/>
          <w:spacing w:val="-6"/>
          <w:lang w:val="en-US"/>
        </w:rPr>
        <w:t>。环评按两级活性炭吸附装置</w:t>
      </w:r>
      <w:r w:rsidR="005F302B" w:rsidRPr="00DC2B10">
        <w:rPr>
          <w:spacing w:val="-6"/>
          <w:lang w:val="en-US"/>
        </w:rPr>
        <w:t>对非甲烷总烃及臭气污染物</w:t>
      </w:r>
      <w:r w:rsidR="005F302B" w:rsidRPr="00DC2B10">
        <w:rPr>
          <w:b/>
          <w:bCs/>
          <w:spacing w:val="-6"/>
          <w:lang w:val="en-US"/>
        </w:rPr>
        <w:t>综合</w:t>
      </w:r>
      <w:r w:rsidRPr="00DC2B10">
        <w:rPr>
          <w:color w:val="auto"/>
          <w:spacing w:val="-6"/>
          <w:lang w:val="en-US"/>
        </w:rPr>
        <w:t>去除效率</w:t>
      </w:r>
      <w:r w:rsidRPr="00DC2B10">
        <w:rPr>
          <w:color w:val="auto"/>
          <w:spacing w:val="-6"/>
          <w:lang w:val="en-US"/>
        </w:rPr>
        <w:t>90%</w:t>
      </w:r>
      <w:r w:rsidR="00C57D49" w:rsidRPr="00DC2B10">
        <w:rPr>
          <w:rFonts w:hint="eastAsia"/>
          <w:color w:val="auto"/>
          <w:spacing w:val="-6"/>
          <w:lang w:val="en-US"/>
        </w:rPr>
        <w:t>取值</w:t>
      </w:r>
      <w:r w:rsidR="00C57D49" w:rsidRPr="00DC2B10">
        <w:rPr>
          <w:color w:val="auto"/>
          <w:spacing w:val="-6"/>
          <w:lang w:val="en-US"/>
        </w:rPr>
        <w:t>。</w:t>
      </w:r>
      <w:r w:rsidRPr="00DC2B10">
        <w:rPr>
          <w:color w:val="auto"/>
          <w:spacing w:val="-6"/>
        </w:rPr>
        <w:t>因此，本项目符合</w:t>
      </w:r>
      <w:r w:rsidRPr="00DC2B10">
        <w:rPr>
          <w:color w:val="auto"/>
          <w:spacing w:val="-6"/>
          <w:lang w:val="en-US"/>
        </w:rPr>
        <w:t>《环境保护综合名录（</w:t>
      </w:r>
      <w:r w:rsidRPr="00DC2B10">
        <w:rPr>
          <w:color w:val="auto"/>
          <w:spacing w:val="-6"/>
          <w:lang w:val="en-US"/>
        </w:rPr>
        <w:t>2021</w:t>
      </w:r>
      <w:r w:rsidRPr="00DC2B10">
        <w:rPr>
          <w:color w:val="auto"/>
          <w:spacing w:val="-6"/>
          <w:lang w:val="en-US"/>
        </w:rPr>
        <w:t>年版）》要求。</w:t>
      </w:r>
    </w:p>
    <w:p w14:paraId="19DC3C42" w14:textId="77777777" w:rsidR="002E474C" w:rsidRDefault="00000000">
      <w:pPr>
        <w:pStyle w:val="31"/>
        <w:spacing w:before="120" w:after="120"/>
        <w:ind w:left="0" w:firstLine="0"/>
        <w:rPr>
          <w:color w:val="auto"/>
        </w:rPr>
      </w:pPr>
      <w:r>
        <w:rPr>
          <w:color w:val="auto"/>
        </w:rPr>
        <w:t>水泥工业及水泥窑协同处置工业环保政策符合性分析</w:t>
      </w:r>
    </w:p>
    <w:p w14:paraId="310065ED" w14:textId="77777777" w:rsidR="002E474C" w:rsidRDefault="00000000">
      <w:pPr>
        <w:pStyle w:val="41"/>
        <w:rPr>
          <w:color w:val="auto"/>
        </w:rPr>
      </w:pPr>
      <w:r>
        <w:rPr>
          <w:color w:val="auto"/>
        </w:rPr>
        <w:t>与《水泥工业规范条件》符合性分析</w:t>
      </w:r>
    </w:p>
    <w:p w14:paraId="7753068B" w14:textId="77777777" w:rsidR="002E474C" w:rsidRDefault="00000000">
      <w:pPr>
        <w:pStyle w:val="A-z"/>
        <w:rPr>
          <w:color w:val="auto"/>
        </w:rPr>
      </w:pPr>
      <w:r>
        <w:rPr>
          <w:color w:val="auto"/>
        </w:rPr>
        <w:t>《水泥行业规范条件（</w:t>
      </w:r>
      <w:r>
        <w:rPr>
          <w:color w:val="auto"/>
        </w:rPr>
        <w:t>2015</w:t>
      </w:r>
      <w:r>
        <w:rPr>
          <w:color w:val="auto"/>
        </w:rPr>
        <w:t>年本）》提出：</w:t>
      </w:r>
    </w:p>
    <w:p w14:paraId="472EED58" w14:textId="77777777" w:rsidR="002E474C" w:rsidRDefault="00000000">
      <w:pPr>
        <w:pStyle w:val="A-z"/>
        <w:rPr>
          <w:color w:val="auto"/>
        </w:rPr>
      </w:pPr>
      <w:r>
        <w:rPr>
          <w:color w:val="auto"/>
          <w:lang w:val="en-US"/>
        </w:rPr>
        <w:t>一、建设要求与产业布局</w:t>
      </w:r>
    </w:p>
    <w:p w14:paraId="6E5423B4" w14:textId="77777777" w:rsidR="002E474C" w:rsidRDefault="00000000">
      <w:pPr>
        <w:pStyle w:val="A-z"/>
        <w:rPr>
          <w:color w:val="auto"/>
        </w:rPr>
      </w:pPr>
      <w:r>
        <w:rPr>
          <w:color w:val="auto"/>
          <w:lang w:val="en-US"/>
        </w:rPr>
        <w:t>（四）新建水泥项目应当统筹构建循环经济产业链。新建水泥熟料项目，须兼顾协同处置当地城市和产业固体废物。新建水泥粉磨项目，要统筹消纳利用当地适合用作混合材的固体废物。</w:t>
      </w:r>
    </w:p>
    <w:p w14:paraId="2CEAAF52" w14:textId="77777777" w:rsidR="002E474C" w:rsidRDefault="00000000">
      <w:pPr>
        <w:pStyle w:val="A-z"/>
        <w:rPr>
          <w:color w:val="auto"/>
        </w:rPr>
      </w:pPr>
      <w:r>
        <w:rPr>
          <w:color w:val="auto"/>
          <w:lang w:val="en-US"/>
        </w:rPr>
        <w:t>三、清洁生产和环境保护</w:t>
      </w:r>
    </w:p>
    <w:p w14:paraId="4254AB3D" w14:textId="77777777" w:rsidR="002E474C" w:rsidRDefault="00000000">
      <w:pPr>
        <w:pStyle w:val="A-z"/>
        <w:rPr>
          <w:color w:val="auto"/>
        </w:rPr>
      </w:pPr>
      <w:r>
        <w:rPr>
          <w:color w:val="auto"/>
          <w:lang w:val="en-US"/>
        </w:rPr>
        <w:t>（六）开展废物协同处置，须严格执行《水泥窑协同处置固体废弃物污染控制标准》（</w:t>
      </w:r>
      <w:r>
        <w:rPr>
          <w:color w:val="auto"/>
          <w:lang w:val="en-US"/>
        </w:rPr>
        <w:t>GB 30485</w:t>
      </w:r>
      <w:r>
        <w:rPr>
          <w:color w:val="auto"/>
          <w:lang w:val="en-US"/>
        </w:rPr>
        <w:t>）。</w:t>
      </w:r>
    </w:p>
    <w:p w14:paraId="453A23D1" w14:textId="77777777" w:rsidR="002E474C" w:rsidRDefault="00000000">
      <w:pPr>
        <w:pStyle w:val="A-z"/>
        <w:rPr>
          <w:color w:val="auto"/>
        </w:rPr>
      </w:pPr>
      <w:r>
        <w:rPr>
          <w:color w:val="auto"/>
        </w:rPr>
        <w:t>本项目利用水泥窑协同处置危险废物，有利于固体废物减量和危险废物环境治理，降低环境风险，对保护生态环境具有环境正效益。项目实施后将有效提高昌吉州及吐鲁番市危险废物利用处置能力。</w:t>
      </w:r>
    </w:p>
    <w:p w14:paraId="627CEEE7" w14:textId="77777777" w:rsidR="002E474C" w:rsidRDefault="00000000">
      <w:pPr>
        <w:pStyle w:val="A-z"/>
        <w:rPr>
          <w:color w:val="auto"/>
        </w:rPr>
      </w:pPr>
      <w:r>
        <w:rPr>
          <w:color w:val="auto"/>
        </w:rPr>
        <w:t>本项目在适用范围、协同处置设施、入窑协同处置危险废物特性、污染物排放限值、水泥产品污染物控制等方面均符合《水泥窑协同处置固体废物污染控制标准》</w:t>
      </w:r>
      <w:r>
        <w:rPr>
          <w:color w:val="auto"/>
        </w:rPr>
        <w:t>(GB30485-2013)</w:t>
      </w:r>
      <w:r>
        <w:rPr>
          <w:color w:val="auto"/>
        </w:rPr>
        <w:t>相关要求。</w:t>
      </w:r>
    </w:p>
    <w:p w14:paraId="6DE5F5EC" w14:textId="77777777" w:rsidR="002E474C" w:rsidRDefault="00000000">
      <w:pPr>
        <w:pStyle w:val="A-z"/>
        <w:rPr>
          <w:color w:val="auto"/>
        </w:rPr>
      </w:pPr>
      <w:r>
        <w:rPr>
          <w:color w:val="auto"/>
        </w:rPr>
        <w:t>综上分析，本项目建设符合《水泥行业规范条件（</w:t>
      </w:r>
      <w:r>
        <w:rPr>
          <w:color w:val="auto"/>
        </w:rPr>
        <w:t>2015</w:t>
      </w:r>
      <w:r>
        <w:rPr>
          <w:color w:val="auto"/>
        </w:rPr>
        <w:t>年本）》。</w:t>
      </w:r>
    </w:p>
    <w:p w14:paraId="2A184F0E" w14:textId="77777777" w:rsidR="002E474C" w:rsidRDefault="00000000">
      <w:pPr>
        <w:pStyle w:val="41"/>
        <w:rPr>
          <w:color w:val="auto"/>
        </w:rPr>
      </w:pPr>
      <w:r>
        <w:rPr>
          <w:color w:val="auto"/>
        </w:rPr>
        <w:lastRenderedPageBreak/>
        <w:t>与《</w:t>
      </w:r>
      <w:bookmarkStart w:id="17" w:name="OLE_LINK15"/>
      <w:r>
        <w:rPr>
          <w:color w:val="auto"/>
        </w:rPr>
        <w:t>水泥工业污染防治技术政策</w:t>
      </w:r>
      <w:bookmarkEnd w:id="17"/>
      <w:r>
        <w:rPr>
          <w:color w:val="auto"/>
        </w:rPr>
        <w:t>》符合性分析</w:t>
      </w:r>
    </w:p>
    <w:p w14:paraId="019D8A5B" w14:textId="77777777" w:rsidR="002E474C" w:rsidRDefault="00000000">
      <w:pPr>
        <w:pStyle w:val="A-z"/>
        <w:rPr>
          <w:color w:val="auto"/>
          <w:lang w:val="en-US"/>
        </w:rPr>
      </w:pPr>
      <w:r>
        <w:rPr>
          <w:color w:val="auto"/>
        </w:rPr>
        <w:t>《水泥工业污染防治技术政策》（公告</w:t>
      </w:r>
      <w:r>
        <w:rPr>
          <w:color w:val="auto"/>
        </w:rPr>
        <w:t xml:space="preserve"> 2013</w:t>
      </w:r>
      <w:r>
        <w:rPr>
          <w:color w:val="auto"/>
        </w:rPr>
        <w:t>年</w:t>
      </w:r>
      <w:r>
        <w:rPr>
          <w:color w:val="auto"/>
        </w:rPr>
        <w:t xml:space="preserve"> </w:t>
      </w:r>
      <w:r>
        <w:rPr>
          <w:color w:val="auto"/>
        </w:rPr>
        <w:t>第</w:t>
      </w:r>
      <w:r>
        <w:rPr>
          <w:color w:val="auto"/>
        </w:rPr>
        <w:t>31</w:t>
      </w:r>
      <w:r>
        <w:rPr>
          <w:color w:val="auto"/>
        </w:rPr>
        <w:t>号）</w:t>
      </w:r>
      <w:r>
        <w:rPr>
          <w:color w:val="auto"/>
          <w:lang w:val="en-US"/>
        </w:rPr>
        <w:t>提出了水泥工业污染防治可采取的技术路线、原则和方法，包括源头控制、大气污染物排放控制、利用水泥生产设施协同处置固体废物、其他污染物排放控制、研发新技术和新材料等内容。</w:t>
      </w:r>
    </w:p>
    <w:p w14:paraId="13D1765D" w14:textId="77777777" w:rsidR="002E474C" w:rsidRDefault="00000000">
      <w:pPr>
        <w:pStyle w:val="A-z"/>
        <w:rPr>
          <w:color w:val="auto"/>
          <w:lang w:val="en-US"/>
        </w:rPr>
      </w:pPr>
      <w:r>
        <w:rPr>
          <w:color w:val="auto"/>
          <w:lang w:val="en-US"/>
        </w:rPr>
        <w:t>四、利用水泥生产设施处置固体废物</w:t>
      </w:r>
    </w:p>
    <w:p w14:paraId="65B69531" w14:textId="77777777" w:rsidR="002E474C" w:rsidRDefault="00000000">
      <w:pPr>
        <w:pStyle w:val="A-z"/>
        <w:rPr>
          <w:color w:val="auto"/>
          <w:lang w:val="en-US"/>
        </w:rPr>
      </w:pPr>
      <w:r>
        <w:rPr>
          <w:color w:val="auto"/>
          <w:lang w:val="en-US"/>
        </w:rPr>
        <w:t>（二十）在确保污染物排放和其他环境保护事项符合相关法规、标准要求，并保障水泥产品使用中的环境安全前提下，可合理利用水泥生产设施处置工业废物、生活垃圾、污泥等固体废物及受污染土壤。</w:t>
      </w:r>
    </w:p>
    <w:p w14:paraId="2886621D" w14:textId="77777777" w:rsidR="002E474C" w:rsidRDefault="00000000">
      <w:pPr>
        <w:pStyle w:val="A-z"/>
        <w:rPr>
          <w:color w:val="auto"/>
          <w:lang w:val="en-US"/>
        </w:rPr>
      </w:pPr>
      <w:r>
        <w:rPr>
          <w:color w:val="auto"/>
          <w:lang w:val="en-US"/>
        </w:rPr>
        <w:t>（二十一）利用水泥生产设施处置固体废弃物，应根据废物性质，按照国家法律、法规、标准要求，采取相关措施，并做好污染物监测工作，防范环境风险。</w:t>
      </w:r>
    </w:p>
    <w:p w14:paraId="466EC482" w14:textId="77777777" w:rsidR="002E474C" w:rsidRDefault="00000000">
      <w:pPr>
        <w:pStyle w:val="A-z"/>
        <w:rPr>
          <w:color w:val="auto"/>
          <w:lang w:val="en-US"/>
        </w:rPr>
      </w:pPr>
      <w:r>
        <w:rPr>
          <w:color w:val="auto"/>
          <w:lang w:val="en-US"/>
        </w:rPr>
        <w:t>六、鼓励研究开发的新技术、新材料</w:t>
      </w:r>
    </w:p>
    <w:p w14:paraId="22757E21" w14:textId="77777777" w:rsidR="002E474C" w:rsidRDefault="00000000">
      <w:pPr>
        <w:pStyle w:val="A-z"/>
        <w:rPr>
          <w:color w:val="auto"/>
          <w:lang w:val="en-US"/>
        </w:rPr>
      </w:pPr>
      <w:r>
        <w:rPr>
          <w:color w:val="auto"/>
          <w:lang w:val="en-US"/>
        </w:rPr>
        <w:t>（二十七）研究开发水泥生产设施协同处置固体废物的资源化利用与安全处置技术、二次污染控制技术。</w:t>
      </w:r>
    </w:p>
    <w:p w14:paraId="107475BC" w14:textId="77777777" w:rsidR="002E474C" w:rsidRDefault="00000000">
      <w:pPr>
        <w:pStyle w:val="A-z"/>
        <w:rPr>
          <w:color w:val="auto"/>
        </w:rPr>
      </w:pPr>
      <w:r>
        <w:rPr>
          <w:color w:val="auto"/>
        </w:rPr>
        <w:t>本项目利用水泥窑协同处置危险废物，有利于固体废物减量和危险废物环境治理，降低环境风险，对保护生态环境具有环境正效益。项目实施后将有效提高昌吉州及吐鲁番市危险废物利用处置能力。本项目不采用国家明令淘汰的技术工艺和设备，按照《水泥窑协同处置危险废物经营许可证审查指南（试行）》申领水泥窑协同处置危险废物经营许可证</w:t>
      </w:r>
      <w:r>
        <w:rPr>
          <w:rFonts w:eastAsia="宋体"/>
          <w:color w:val="auto"/>
          <w:kern w:val="0"/>
          <w:sz w:val="21"/>
          <w:szCs w:val="21"/>
          <w:lang w:val="en-US"/>
        </w:rPr>
        <w:t>，</w:t>
      </w:r>
      <w:r>
        <w:rPr>
          <w:color w:val="auto"/>
        </w:rPr>
        <w:t>确保水泥熟料满足《硅酸盐水泥熟料》（</w:t>
      </w:r>
      <w:r>
        <w:rPr>
          <w:color w:val="auto"/>
        </w:rPr>
        <w:t>GB/T21372-2024</w:t>
      </w:r>
      <w:r>
        <w:rPr>
          <w:color w:val="auto"/>
        </w:rPr>
        <w:t>），水泥产品满足《通用硅酸盐水泥》（</w:t>
      </w:r>
      <w:r>
        <w:rPr>
          <w:color w:val="auto"/>
        </w:rPr>
        <w:t>GB175-2023</w:t>
      </w:r>
      <w:r>
        <w:rPr>
          <w:color w:val="auto"/>
        </w:rPr>
        <w:t>）。</w:t>
      </w:r>
    </w:p>
    <w:p w14:paraId="5ED5542F" w14:textId="77777777" w:rsidR="002E474C" w:rsidRDefault="00000000">
      <w:pPr>
        <w:pStyle w:val="A-z"/>
        <w:rPr>
          <w:color w:val="auto"/>
        </w:rPr>
      </w:pPr>
      <w:r>
        <w:rPr>
          <w:color w:val="auto"/>
        </w:rPr>
        <w:t>本项目在适用范围、协同处置设施、入窑协同处置危险废物特性、污染物排放限值、水泥产品污染物控制等方面均符合《水泥窑协同处置固体废物污染控制标准》</w:t>
      </w:r>
      <w:r>
        <w:rPr>
          <w:color w:val="auto"/>
        </w:rPr>
        <w:t>(GB30485-2013)</w:t>
      </w:r>
      <w:r>
        <w:rPr>
          <w:color w:val="auto"/>
        </w:rPr>
        <w:t>相关要求。本项目在适用范围、总体要求、贮存设施选址要求、贮存设施污染控制要求、容器和包装物污染控制要求、贮存过程污染控制要求、污染物排放控制要求、环境监测要求、环境应急要求等方面均符合《危险废物贮存污染控制标准》（</w:t>
      </w:r>
      <w:r>
        <w:rPr>
          <w:color w:val="auto"/>
        </w:rPr>
        <w:t>GB 18597-2023</w:t>
      </w:r>
      <w:r>
        <w:rPr>
          <w:color w:val="auto"/>
        </w:rPr>
        <w:t>）相关要求。本项目设计、建设及运行符合《水泥窑协同处置工业废物设计规范》（</w:t>
      </w:r>
      <w:r>
        <w:rPr>
          <w:color w:val="auto"/>
        </w:rPr>
        <w:t>GB50634-2010</w:t>
      </w:r>
      <w:r>
        <w:rPr>
          <w:color w:val="auto"/>
        </w:rPr>
        <w:t>）</w:t>
      </w:r>
      <w:r>
        <w:rPr>
          <w:rFonts w:hint="eastAsia"/>
          <w:color w:val="auto"/>
        </w:rPr>
        <w:t>、</w:t>
      </w:r>
      <w:r>
        <w:rPr>
          <w:color w:val="auto"/>
        </w:rPr>
        <w:t>《水泥窑协同处置固体废物环境保护技术规范》（</w:t>
      </w:r>
      <w:r>
        <w:rPr>
          <w:color w:val="auto"/>
        </w:rPr>
        <w:t>HJ662-2013</w:t>
      </w:r>
      <w:r>
        <w:rPr>
          <w:color w:val="auto"/>
        </w:rPr>
        <w:t>）及技术规范。</w:t>
      </w:r>
    </w:p>
    <w:p w14:paraId="390B7354" w14:textId="77777777" w:rsidR="002E474C" w:rsidRDefault="00000000">
      <w:pPr>
        <w:pStyle w:val="A-z"/>
        <w:rPr>
          <w:color w:val="auto"/>
        </w:rPr>
      </w:pPr>
      <w:r>
        <w:rPr>
          <w:color w:val="auto"/>
        </w:rPr>
        <w:t>综上分析，本项目建设符合《水泥工业污染防治技术政策》（公告</w:t>
      </w:r>
      <w:r>
        <w:rPr>
          <w:color w:val="auto"/>
        </w:rPr>
        <w:t xml:space="preserve"> 2013</w:t>
      </w:r>
      <w:r>
        <w:rPr>
          <w:color w:val="auto"/>
        </w:rPr>
        <w:t>年</w:t>
      </w:r>
      <w:r>
        <w:rPr>
          <w:color w:val="auto"/>
        </w:rPr>
        <w:t xml:space="preserve"> </w:t>
      </w:r>
      <w:r>
        <w:rPr>
          <w:color w:val="auto"/>
        </w:rPr>
        <w:lastRenderedPageBreak/>
        <w:t>第</w:t>
      </w:r>
      <w:r>
        <w:rPr>
          <w:color w:val="auto"/>
        </w:rPr>
        <w:t>31</w:t>
      </w:r>
      <w:r>
        <w:rPr>
          <w:color w:val="auto"/>
        </w:rPr>
        <w:t>号）。</w:t>
      </w:r>
    </w:p>
    <w:p w14:paraId="075438B5" w14:textId="77777777" w:rsidR="002E474C" w:rsidRDefault="00000000">
      <w:pPr>
        <w:pStyle w:val="41"/>
        <w:rPr>
          <w:color w:val="auto"/>
        </w:rPr>
      </w:pPr>
      <w:r>
        <w:rPr>
          <w:color w:val="auto"/>
        </w:rPr>
        <w:t>与《水泥窑协同处置危险废物经营许可证审查指南（试行）》相符性</w:t>
      </w:r>
    </w:p>
    <w:p w14:paraId="45102D67" w14:textId="77777777" w:rsidR="002E474C" w:rsidRDefault="00000000">
      <w:pPr>
        <w:pStyle w:val="A-z"/>
        <w:rPr>
          <w:color w:val="auto"/>
        </w:rPr>
      </w:pPr>
      <w:r>
        <w:rPr>
          <w:color w:val="auto"/>
        </w:rPr>
        <w:t>《水泥窑协同处置危险废物经营许可证审查指南（试行）》（环境保护部公告</w:t>
      </w:r>
      <w:r>
        <w:rPr>
          <w:color w:val="auto"/>
        </w:rPr>
        <w:t>2017</w:t>
      </w:r>
      <w:r>
        <w:rPr>
          <w:color w:val="auto"/>
        </w:rPr>
        <w:t>年第</w:t>
      </w:r>
      <w:r>
        <w:rPr>
          <w:color w:val="auto"/>
        </w:rPr>
        <w:t>22</w:t>
      </w:r>
      <w:r>
        <w:rPr>
          <w:color w:val="auto"/>
        </w:rPr>
        <w:t>号）中明确：</w:t>
      </w:r>
      <w:r>
        <w:rPr>
          <w:color w:val="auto"/>
        </w:rPr>
        <w:t>“</w:t>
      </w:r>
      <w:r>
        <w:rPr>
          <w:color w:val="auto"/>
        </w:rPr>
        <w:t>本指南适用于环境保护主管部门对水泥窑协同处置危险废物单位申请危险废物经营许可证（包括新申请、重新申请领取和换证）的审查。</w:t>
      </w:r>
      <w:r>
        <w:rPr>
          <w:color w:val="auto"/>
        </w:rPr>
        <w:t>”</w:t>
      </w:r>
    </w:p>
    <w:p w14:paraId="18AAA45C" w14:textId="77777777" w:rsidR="002E474C" w:rsidRDefault="00000000">
      <w:pPr>
        <w:pStyle w:val="A-z"/>
        <w:rPr>
          <w:color w:val="auto"/>
        </w:rPr>
      </w:pPr>
      <w:r>
        <w:rPr>
          <w:color w:val="auto"/>
        </w:rPr>
        <w:t>本项目与《水泥窑协同处置危险废物经营许可证审查指南（试行）》符合性分析，见表</w:t>
      </w:r>
      <w:r>
        <w:rPr>
          <w:color w:val="auto"/>
        </w:rPr>
        <w:t>1.4-1</w:t>
      </w:r>
      <w:r>
        <w:rPr>
          <w:color w:val="auto"/>
        </w:rPr>
        <w:t>。</w:t>
      </w:r>
    </w:p>
    <w:p w14:paraId="7F486F17" w14:textId="77777777" w:rsidR="002E474C" w:rsidRDefault="00000000">
      <w:pPr>
        <w:pStyle w:val="A-z"/>
        <w:rPr>
          <w:color w:val="auto"/>
        </w:rPr>
      </w:pPr>
      <w:bookmarkStart w:id="18" w:name="OLE_LINK21"/>
      <w:r>
        <w:rPr>
          <w:color w:val="auto"/>
        </w:rPr>
        <w:t>本项目在技术人员、危险废物运输</w:t>
      </w:r>
      <w:r>
        <w:rPr>
          <w:rFonts w:hint="eastAsia"/>
          <w:color w:val="auto"/>
        </w:rPr>
        <w:t>、</w:t>
      </w:r>
      <w:r>
        <w:rPr>
          <w:color w:val="auto"/>
        </w:rPr>
        <w:t>协同处置工艺与装置（包括：厂区、水泥窑、驻存、预处理、厂内输送</w:t>
      </w:r>
      <w:r>
        <w:rPr>
          <w:rFonts w:hint="eastAsia"/>
          <w:color w:val="auto"/>
        </w:rPr>
        <w:t>、投加、</w:t>
      </w:r>
      <w:r>
        <w:rPr>
          <w:color w:val="auto"/>
        </w:rPr>
        <w:t>协同处置危险废物的类别和规模</w:t>
      </w:r>
      <w:r>
        <w:rPr>
          <w:rFonts w:hint="eastAsia"/>
          <w:color w:val="auto"/>
        </w:rPr>
        <w:t>、</w:t>
      </w:r>
      <w:r>
        <w:rPr>
          <w:color w:val="auto"/>
        </w:rPr>
        <w:t>污染物排放控制</w:t>
      </w:r>
      <w:r>
        <w:rPr>
          <w:rFonts w:hint="eastAsia"/>
          <w:color w:val="auto"/>
        </w:rPr>
        <w:t>、</w:t>
      </w:r>
      <w:r>
        <w:rPr>
          <w:color w:val="auto"/>
        </w:rPr>
        <w:t>分析化验与质量控制）</w:t>
      </w:r>
      <w:r>
        <w:rPr>
          <w:rFonts w:hint="eastAsia"/>
          <w:color w:val="auto"/>
        </w:rPr>
        <w:t>及规</w:t>
      </w:r>
      <w:r>
        <w:rPr>
          <w:color w:val="auto"/>
        </w:rPr>
        <w:t>章制度与事故应急等方面符合《水泥窑协同处置危险废物经营许可证审查指南（试行）》要求。</w:t>
      </w:r>
    </w:p>
    <w:p w14:paraId="65700C06" w14:textId="77777777" w:rsidR="002E474C" w:rsidRDefault="00000000">
      <w:pPr>
        <w:pStyle w:val="A-z"/>
        <w:rPr>
          <w:color w:val="auto"/>
        </w:rPr>
      </w:pPr>
      <w:r>
        <w:rPr>
          <w:color w:val="auto"/>
        </w:rPr>
        <w:t>“</w:t>
      </w:r>
      <w:r>
        <w:rPr>
          <w:color w:val="auto"/>
        </w:rPr>
        <w:t>指南</w:t>
      </w:r>
      <w:r>
        <w:rPr>
          <w:color w:val="auto"/>
        </w:rPr>
        <w:t>”</w:t>
      </w:r>
      <w:bookmarkEnd w:id="18"/>
      <w:r>
        <w:rPr>
          <w:color w:val="auto"/>
        </w:rPr>
        <w:t>对投加、协同处置危险废物的类别和规模、污染物排放控制、分析化验与质量控制、水泥窑设施性能测试（试烧）等提出要求，本项目运行后将严格按照指南要求执行并申请危险废物经营许可证。</w:t>
      </w:r>
    </w:p>
    <w:p w14:paraId="5C3598DD" w14:textId="77777777" w:rsidR="002E474C" w:rsidRDefault="00000000">
      <w:pPr>
        <w:pStyle w:val="41"/>
        <w:rPr>
          <w:color w:val="auto"/>
        </w:rPr>
      </w:pPr>
      <w:r>
        <w:rPr>
          <w:color w:val="auto"/>
        </w:rPr>
        <w:t>与《自治区危险废物处置利用设施建设布局指导意见》符合性分析</w:t>
      </w:r>
    </w:p>
    <w:p w14:paraId="66FAB745" w14:textId="36C71D01" w:rsidR="00DF4F20" w:rsidRDefault="00DF4F20">
      <w:pPr>
        <w:pStyle w:val="A-z"/>
        <w:rPr>
          <w:color w:val="auto"/>
        </w:rPr>
      </w:pPr>
      <w:r w:rsidRPr="00DC2B10">
        <w:rPr>
          <w:color w:val="auto"/>
        </w:rPr>
        <w:t>《自治区危险废物处置利用设施建设布局指导意见》（新政办发〔</w:t>
      </w:r>
      <w:r w:rsidRPr="00DC2B10">
        <w:rPr>
          <w:color w:val="auto"/>
        </w:rPr>
        <w:t>2018</w:t>
      </w:r>
      <w:r w:rsidRPr="00DC2B10">
        <w:rPr>
          <w:color w:val="auto"/>
        </w:rPr>
        <w:t>〕</w:t>
      </w:r>
      <w:r w:rsidRPr="00DC2B10">
        <w:rPr>
          <w:color w:val="auto"/>
        </w:rPr>
        <w:t>106</w:t>
      </w:r>
      <w:r w:rsidRPr="00DC2B10">
        <w:rPr>
          <w:color w:val="auto"/>
        </w:rPr>
        <w:t>号）</w:t>
      </w:r>
      <w:r w:rsidRPr="00DC2B10">
        <w:rPr>
          <w:rFonts w:hint="eastAsia"/>
          <w:color w:val="auto"/>
        </w:rPr>
        <w:t>提出，有序推进水泥窑协同处置危险废物项目建设。因地制宜推进水泥窑协同处置危险废物，作为区域危险废物处置能力的有效补充。以伊犁州、吐鲁番市、哈密市、巴州、阿克苏地区、喀什地区等为重点，推进有积极性的水泥企业开展水泥窑协同处置危险废物试点，力争形成</w:t>
      </w:r>
      <w:r w:rsidRPr="00DC2B10">
        <w:rPr>
          <w:rFonts w:hint="eastAsia"/>
          <w:color w:val="auto"/>
        </w:rPr>
        <w:t>20~30</w:t>
      </w:r>
      <w:r w:rsidRPr="00DC2B10">
        <w:rPr>
          <w:rFonts w:hint="eastAsia"/>
          <w:color w:val="auto"/>
        </w:rPr>
        <w:t>万吨</w:t>
      </w:r>
      <w:r w:rsidRPr="00DC2B10">
        <w:rPr>
          <w:rFonts w:hint="eastAsia"/>
          <w:color w:val="auto"/>
        </w:rPr>
        <w:t>/</w:t>
      </w:r>
      <w:r w:rsidRPr="00DC2B10">
        <w:rPr>
          <w:rFonts w:hint="eastAsia"/>
          <w:color w:val="auto"/>
        </w:rPr>
        <w:t>年固体废物</w:t>
      </w:r>
      <w:r w:rsidRPr="00DC2B10">
        <w:rPr>
          <w:rFonts w:hint="eastAsia"/>
          <w:color w:val="auto"/>
        </w:rPr>
        <w:t>(</w:t>
      </w:r>
      <w:r w:rsidRPr="00DC2B10">
        <w:rPr>
          <w:rFonts w:hint="eastAsia"/>
          <w:color w:val="auto"/>
        </w:rPr>
        <w:t>危险废物</w:t>
      </w:r>
      <w:r w:rsidRPr="00DC2B10">
        <w:rPr>
          <w:rFonts w:hint="eastAsia"/>
          <w:color w:val="auto"/>
        </w:rPr>
        <w:t>)</w:t>
      </w:r>
      <w:r w:rsidRPr="00DC2B10">
        <w:rPr>
          <w:rFonts w:hint="eastAsia"/>
          <w:color w:val="auto"/>
        </w:rPr>
        <w:t>水泥窑协同处置能力。已有水泥窑协同处置能力且满足协同处置区域内当前及中远期危险废物处置需求的，该区域原则上不再新、改、扩建综合类危险废物处置项目中的焚烧处置项目。</w:t>
      </w:r>
      <w:r w:rsidR="00040512" w:rsidRPr="00DC2B10">
        <w:rPr>
          <w:rFonts w:hint="eastAsia"/>
          <w:color w:val="auto"/>
        </w:rPr>
        <w:t>区域内已有</w:t>
      </w:r>
      <w:r w:rsidR="00040512" w:rsidRPr="00DC2B10">
        <w:rPr>
          <w:rFonts w:hint="eastAsia"/>
          <w:color w:val="auto"/>
        </w:rPr>
        <w:t>(</w:t>
      </w:r>
      <w:r w:rsidR="00040512" w:rsidRPr="00DC2B10">
        <w:rPr>
          <w:rFonts w:hint="eastAsia"/>
          <w:color w:val="auto"/>
        </w:rPr>
        <w:t>包括已办理相关环评手续并在建</w:t>
      </w:r>
      <w:r w:rsidR="00040512" w:rsidRPr="00DC2B10">
        <w:rPr>
          <w:rFonts w:hint="eastAsia"/>
          <w:color w:val="auto"/>
        </w:rPr>
        <w:t>)</w:t>
      </w:r>
      <w:r w:rsidR="00040512" w:rsidRPr="00DC2B10">
        <w:rPr>
          <w:rFonts w:hint="eastAsia"/>
          <w:color w:val="auto"/>
        </w:rPr>
        <w:t>综合性危险废物集中处置设施的，原则上不再批准开展水泥窑协同处置危险废物项目建设。禁止利用落后产能协同处置危险废物。</w:t>
      </w:r>
    </w:p>
    <w:p w14:paraId="41A42848" w14:textId="3B55B400" w:rsidR="002E474C" w:rsidRDefault="00000000">
      <w:pPr>
        <w:pStyle w:val="A-z"/>
        <w:rPr>
          <w:color w:val="auto"/>
        </w:rPr>
      </w:pPr>
      <w:r>
        <w:rPr>
          <w:color w:val="auto"/>
        </w:rPr>
        <w:lastRenderedPageBreak/>
        <w:t>本项目与《自治区危险废物处置利用设施建设布局指导意见》（新政办发〔</w:t>
      </w:r>
      <w:r>
        <w:rPr>
          <w:color w:val="auto"/>
        </w:rPr>
        <w:t>2018</w:t>
      </w:r>
      <w:r>
        <w:rPr>
          <w:color w:val="auto"/>
        </w:rPr>
        <w:t>〕</w:t>
      </w:r>
      <w:r>
        <w:rPr>
          <w:color w:val="auto"/>
        </w:rPr>
        <w:t>106</w:t>
      </w:r>
      <w:r>
        <w:rPr>
          <w:color w:val="auto"/>
        </w:rPr>
        <w:t>号）中水泥窑协同处置设施布局意见分析，见表</w:t>
      </w:r>
      <w:r>
        <w:rPr>
          <w:color w:val="auto"/>
        </w:rPr>
        <w:t>1.4-</w:t>
      </w:r>
      <w:r>
        <w:rPr>
          <w:color w:val="auto"/>
          <w:lang w:val="en-US"/>
        </w:rPr>
        <w:t>2</w:t>
      </w:r>
      <w:r>
        <w:rPr>
          <w:color w:val="auto"/>
        </w:rPr>
        <w:t>。</w:t>
      </w:r>
    </w:p>
    <w:p w14:paraId="62F2B369" w14:textId="77777777" w:rsidR="002E474C" w:rsidRDefault="00000000">
      <w:pPr>
        <w:pStyle w:val="A-0"/>
        <w:rPr>
          <w:color w:val="auto"/>
        </w:rPr>
      </w:pPr>
      <w:r>
        <w:rPr>
          <w:color w:val="auto"/>
        </w:rPr>
        <w:t>表</w:t>
      </w:r>
      <w:r>
        <w:rPr>
          <w:color w:val="auto"/>
        </w:rPr>
        <w:t xml:space="preserve">1.4-2  </w:t>
      </w:r>
      <w:r>
        <w:rPr>
          <w:color w:val="auto"/>
        </w:rPr>
        <w:t>全区危险废物处置利用设施总体布局意见（节选）</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637"/>
        <w:gridCol w:w="1263"/>
        <w:gridCol w:w="914"/>
        <w:gridCol w:w="1004"/>
        <w:gridCol w:w="3873"/>
      </w:tblGrid>
      <w:tr w:rsidR="002E474C" w14:paraId="0CED5523" w14:textId="77777777">
        <w:tc>
          <w:tcPr>
            <w:tcW w:w="365" w:type="pct"/>
          </w:tcPr>
          <w:p w14:paraId="0BDB6633" w14:textId="77777777" w:rsidR="002E474C" w:rsidRDefault="00000000">
            <w:pPr>
              <w:pStyle w:val="A-"/>
            </w:pPr>
            <w:r>
              <w:t>设施类别</w:t>
            </w:r>
          </w:p>
        </w:tc>
        <w:tc>
          <w:tcPr>
            <w:tcW w:w="384" w:type="pct"/>
          </w:tcPr>
          <w:p w14:paraId="70BFC6DB" w14:textId="77777777" w:rsidR="002E474C" w:rsidRDefault="00000000">
            <w:pPr>
              <w:pStyle w:val="A-"/>
            </w:pPr>
            <w:r>
              <w:t>主要功能</w:t>
            </w:r>
          </w:p>
        </w:tc>
        <w:tc>
          <w:tcPr>
            <w:tcW w:w="761" w:type="pct"/>
          </w:tcPr>
          <w:p w14:paraId="06770AAE" w14:textId="77777777" w:rsidR="002E474C" w:rsidRDefault="00000000">
            <w:pPr>
              <w:pStyle w:val="A-"/>
            </w:pPr>
            <w:r>
              <w:t>设施建设布局意见</w:t>
            </w:r>
          </w:p>
        </w:tc>
        <w:tc>
          <w:tcPr>
            <w:tcW w:w="551" w:type="pct"/>
          </w:tcPr>
          <w:p w14:paraId="16519F9D" w14:textId="77777777" w:rsidR="002E474C" w:rsidRDefault="00000000">
            <w:pPr>
              <w:pStyle w:val="A-"/>
            </w:pPr>
            <w:r>
              <w:t>现有处置能力</w:t>
            </w:r>
          </w:p>
        </w:tc>
        <w:tc>
          <w:tcPr>
            <w:tcW w:w="605" w:type="pct"/>
          </w:tcPr>
          <w:p w14:paraId="3DB2BF86" w14:textId="77777777" w:rsidR="002E474C" w:rsidRDefault="00000000">
            <w:pPr>
              <w:pStyle w:val="A-"/>
            </w:pPr>
            <w:r>
              <w:t>预期形成处置能力</w:t>
            </w:r>
          </w:p>
        </w:tc>
        <w:tc>
          <w:tcPr>
            <w:tcW w:w="2334" w:type="pct"/>
          </w:tcPr>
          <w:p w14:paraId="3380C209" w14:textId="77777777" w:rsidR="002E474C" w:rsidRDefault="00000000">
            <w:pPr>
              <w:pStyle w:val="A-"/>
            </w:pPr>
            <w:r>
              <w:t>可处置危险废物类别</w:t>
            </w:r>
          </w:p>
        </w:tc>
      </w:tr>
      <w:tr w:rsidR="002E474C" w14:paraId="5658E17A" w14:textId="77777777">
        <w:tc>
          <w:tcPr>
            <w:tcW w:w="365" w:type="pct"/>
          </w:tcPr>
          <w:p w14:paraId="2DB9487B" w14:textId="77777777" w:rsidR="002E474C" w:rsidRDefault="00000000">
            <w:pPr>
              <w:pStyle w:val="A-"/>
            </w:pPr>
            <w:r>
              <w:t>水泥窑协同处置设施</w:t>
            </w:r>
          </w:p>
        </w:tc>
        <w:tc>
          <w:tcPr>
            <w:tcW w:w="384" w:type="pct"/>
          </w:tcPr>
          <w:p w14:paraId="427B420A" w14:textId="77777777" w:rsidR="002E474C" w:rsidRDefault="00000000">
            <w:pPr>
              <w:pStyle w:val="A-"/>
            </w:pPr>
            <w:r>
              <w:t>焚烧</w:t>
            </w:r>
          </w:p>
        </w:tc>
        <w:tc>
          <w:tcPr>
            <w:tcW w:w="761" w:type="pct"/>
          </w:tcPr>
          <w:p w14:paraId="1338783E" w14:textId="77777777" w:rsidR="002E474C" w:rsidRDefault="00000000">
            <w:pPr>
              <w:pStyle w:val="A-"/>
            </w:pPr>
            <w:r>
              <w:t>伊犁州、吐鲁番市、哈密市、巴州、阿克苏地区、喀什地区</w:t>
            </w:r>
          </w:p>
        </w:tc>
        <w:tc>
          <w:tcPr>
            <w:tcW w:w="551" w:type="pct"/>
          </w:tcPr>
          <w:p w14:paraId="6D81C0F6" w14:textId="77777777" w:rsidR="002E474C" w:rsidRDefault="00000000">
            <w:pPr>
              <w:pStyle w:val="A-"/>
            </w:pPr>
            <w:r>
              <w:t>5</w:t>
            </w:r>
            <w:r>
              <w:t>万吨</w:t>
            </w:r>
            <w:r>
              <w:t>/</w:t>
            </w:r>
            <w:r>
              <w:t>年</w:t>
            </w:r>
          </w:p>
        </w:tc>
        <w:tc>
          <w:tcPr>
            <w:tcW w:w="605" w:type="pct"/>
          </w:tcPr>
          <w:p w14:paraId="442F69A7" w14:textId="77777777" w:rsidR="002E474C" w:rsidRDefault="00000000">
            <w:pPr>
              <w:pStyle w:val="A-"/>
            </w:pPr>
            <w:r>
              <w:t>20~40</w:t>
            </w:r>
            <w:r>
              <w:t>万吨</w:t>
            </w:r>
            <w:r>
              <w:t>/</w:t>
            </w:r>
            <w:r>
              <w:t>年</w:t>
            </w:r>
          </w:p>
        </w:tc>
        <w:tc>
          <w:tcPr>
            <w:tcW w:w="2334" w:type="pct"/>
          </w:tcPr>
          <w:p w14:paraId="622FB628" w14:textId="77777777" w:rsidR="002E474C" w:rsidRDefault="00000000">
            <w:pPr>
              <w:pStyle w:val="A-"/>
            </w:pPr>
            <w:r>
              <w:t>HW04</w:t>
            </w:r>
            <w:r>
              <w:t>农药废物、</w:t>
            </w:r>
            <w:r>
              <w:t>HW06</w:t>
            </w:r>
            <w:r>
              <w:t>废有机溶剂及含有机溶剂废物、</w:t>
            </w:r>
            <w:r>
              <w:t>HW08</w:t>
            </w:r>
            <w:r>
              <w:t>废矿物油及含矿物油废物、</w:t>
            </w:r>
            <w:r>
              <w:t>HW11</w:t>
            </w:r>
            <w:r>
              <w:t>精</w:t>
            </w:r>
            <w:r>
              <w:t>(</w:t>
            </w:r>
            <w:r>
              <w:t>蒸）馏残渣、</w:t>
            </w:r>
            <w:r>
              <w:t>HW12</w:t>
            </w:r>
            <w:r>
              <w:t>染料涂料废物、</w:t>
            </w:r>
            <w:r>
              <w:t>HW13</w:t>
            </w:r>
            <w:r>
              <w:t>有机树脂类废物、</w:t>
            </w:r>
            <w:r>
              <w:t>HW17</w:t>
            </w:r>
            <w:r>
              <w:t>表面处理废物、</w:t>
            </w:r>
            <w:r>
              <w:t>HW18</w:t>
            </w:r>
            <w:r>
              <w:t>焚烧处置残渣、</w:t>
            </w:r>
            <w:r>
              <w:t>HW21</w:t>
            </w:r>
            <w:r>
              <w:t>含铬废物、</w:t>
            </w:r>
            <w:r>
              <w:t>HW46</w:t>
            </w:r>
            <w:r>
              <w:t>含镍废物、</w:t>
            </w:r>
            <w:r>
              <w:t>HW48</w:t>
            </w:r>
            <w:r>
              <w:t>有色金属冶炼废物、</w:t>
            </w:r>
            <w:r>
              <w:t>HW49</w:t>
            </w:r>
            <w:r>
              <w:t>其他废物、</w:t>
            </w:r>
            <w:r>
              <w:t>HW50</w:t>
            </w:r>
            <w:r>
              <w:t>废催化剂等</w:t>
            </w:r>
          </w:p>
        </w:tc>
      </w:tr>
    </w:tbl>
    <w:p w14:paraId="0DF80A0E" w14:textId="77777777" w:rsidR="002E474C" w:rsidRDefault="002E474C">
      <w:pPr>
        <w:pStyle w:val="A-z"/>
        <w:rPr>
          <w:color w:val="auto"/>
        </w:rPr>
      </w:pPr>
    </w:p>
    <w:p w14:paraId="66DC32FF" w14:textId="77777777" w:rsidR="002E474C" w:rsidRDefault="00000000">
      <w:pPr>
        <w:pStyle w:val="A-z"/>
        <w:rPr>
          <w:color w:val="auto"/>
        </w:rPr>
      </w:pPr>
      <w:r>
        <w:rPr>
          <w:color w:val="auto"/>
        </w:rPr>
        <w:t>本项目位于吐鲁番市，吐鲁番市唯一的水泥窑协同处置单位吐鲁番天山金越环境科技有限公司吐鲁番天山水泥有限责任公司已于</w:t>
      </w:r>
      <w:r>
        <w:rPr>
          <w:color w:val="auto"/>
        </w:rPr>
        <w:t>2026</w:t>
      </w:r>
      <w:r>
        <w:rPr>
          <w:color w:val="auto"/>
        </w:rPr>
        <w:t>年</w:t>
      </w:r>
      <w:r>
        <w:rPr>
          <w:color w:val="auto"/>
        </w:rPr>
        <w:t>1</w:t>
      </w:r>
      <w:r>
        <w:rPr>
          <w:color w:val="auto"/>
        </w:rPr>
        <w:t>月注销危险废物经营许可证，退出水泥窑协同处置行业，当地目前无水泥窑协同处置设施。此外，指导意见提出的可处置危险废物类别均在本项目协同处置的危险废物类别内。本项目建设符合《自治区危险废物利用处置设施建设布局指导意见》相关要求。</w:t>
      </w:r>
    </w:p>
    <w:p w14:paraId="4615C874" w14:textId="77777777" w:rsidR="002E474C" w:rsidRDefault="002E474C">
      <w:pPr>
        <w:pStyle w:val="A-z"/>
        <w:rPr>
          <w:color w:val="auto"/>
          <w:lang w:val="en-US"/>
        </w:rPr>
      </w:pPr>
    </w:p>
    <w:p w14:paraId="168A41A3" w14:textId="77777777" w:rsidR="002E474C" w:rsidRDefault="002E474C">
      <w:pPr>
        <w:pStyle w:val="A-z"/>
        <w:rPr>
          <w:color w:val="auto"/>
          <w:lang w:val="en-US"/>
        </w:rPr>
        <w:sectPr w:rsidR="002E474C">
          <w:pgSz w:w="11906" w:h="16838"/>
          <w:pgMar w:top="1440" w:right="1800" w:bottom="1440" w:left="1800" w:header="851" w:footer="992" w:gutter="0"/>
          <w:cols w:space="720"/>
          <w:docGrid w:linePitch="312"/>
        </w:sectPr>
      </w:pPr>
    </w:p>
    <w:p w14:paraId="5104BC91" w14:textId="77777777" w:rsidR="002E474C" w:rsidRDefault="00000000">
      <w:pPr>
        <w:pStyle w:val="A--"/>
        <w:rPr>
          <w:color w:val="auto"/>
        </w:rPr>
      </w:pPr>
      <w:r>
        <w:rPr>
          <w:color w:val="auto"/>
        </w:rPr>
        <w:lastRenderedPageBreak/>
        <w:t>表</w:t>
      </w:r>
      <w:r>
        <w:rPr>
          <w:color w:val="auto"/>
        </w:rPr>
        <w:t xml:space="preserve">1.4-1  </w:t>
      </w:r>
      <w:r>
        <w:rPr>
          <w:color w:val="auto"/>
        </w:rPr>
        <w:t>与《水泥窑协同处置危险废物经营许可证审查指南（试行）》符合性分析</w:t>
      </w:r>
    </w:p>
    <w:tbl>
      <w:tblPr>
        <w:tblStyle w:val="affff9"/>
        <w:tblW w:w="5000" w:type="pct"/>
        <w:tblLook w:val="04A0" w:firstRow="1" w:lastRow="0" w:firstColumn="1" w:lastColumn="0" w:noHBand="0" w:noVBand="1"/>
      </w:tblPr>
      <w:tblGrid>
        <w:gridCol w:w="846"/>
        <w:gridCol w:w="524"/>
        <w:gridCol w:w="6281"/>
        <w:gridCol w:w="4963"/>
        <w:gridCol w:w="614"/>
      </w:tblGrid>
      <w:tr w:rsidR="002E474C" w14:paraId="70B8C4BD" w14:textId="77777777">
        <w:tc>
          <w:tcPr>
            <w:tcW w:w="2892" w:type="pct"/>
            <w:gridSpan w:val="3"/>
            <w:vAlign w:val="center"/>
          </w:tcPr>
          <w:p w14:paraId="3DC2E2EA" w14:textId="77777777" w:rsidR="002E474C" w:rsidRDefault="00000000">
            <w:pPr>
              <w:pStyle w:val="A-"/>
            </w:pPr>
            <w:r>
              <w:t>审查要点</w:t>
            </w:r>
          </w:p>
        </w:tc>
        <w:tc>
          <w:tcPr>
            <w:tcW w:w="1876" w:type="pct"/>
            <w:vAlign w:val="center"/>
          </w:tcPr>
          <w:p w14:paraId="7887F57C" w14:textId="77777777" w:rsidR="002E474C" w:rsidRDefault="00000000">
            <w:pPr>
              <w:pStyle w:val="A-"/>
            </w:pPr>
            <w:r>
              <w:t>本项目情况</w:t>
            </w:r>
          </w:p>
        </w:tc>
        <w:tc>
          <w:tcPr>
            <w:tcW w:w="232" w:type="pct"/>
            <w:vAlign w:val="center"/>
          </w:tcPr>
          <w:p w14:paraId="12E18505" w14:textId="77777777" w:rsidR="002E474C" w:rsidRDefault="00000000">
            <w:pPr>
              <w:pStyle w:val="A-"/>
            </w:pPr>
            <w:r>
              <w:t>符合性</w:t>
            </w:r>
          </w:p>
        </w:tc>
      </w:tr>
      <w:tr w:rsidR="002E474C" w14:paraId="6584255C" w14:textId="77777777">
        <w:tc>
          <w:tcPr>
            <w:tcW w:w="518" w:type="pct"/>
            <w:gridSpan w:val="2"/>
            <w:vAlign w:val="center"/>
          </w:tcPr>
          <w:p w14:paraId="7B608224" w14:textId="77777777" w:rsidR="002E474C" w:rsidRDefault="00000000">
            <w:pPr>
              <w:pStyle w:val="A-"/>
            </w:pPr>
            <w:r>
              <w:t>（一）</w:t>
            </w:r>
          </w:p>
          <w:p w14:paraId="406D861B" w14:textId="77777777" w:rsidR="002E474C" w:rsidRDefault="00000000">
            <w:pPr>
              <w:pStyle w:val="A-"/>
            </w:pPr>
            <w:r>
              <w:t>技术人员</w:t>
            </w:r>
          </w:p>
        </w:tc>
        <w:tc>
          <w:tcPr>
            <w:tcW w:w="2374" w:type="pct"/>
            <w:vAlign w:val="center"/>
          </w:tcPr>
          <w:p w14:paraId="44BE8A5B" w14:textId="77777777" w:rsidR="002E474C" w:rsidRDefault="00000000">
            <w:pPr>
              <w:pStyle w:val="A-"/>
              <w:jc w:val="both"/>
            </w:pPr>
            <w:r>
              <w:t>3.</w:t>
            </w:r>
            <w:r>
              <w:t>采用分散联合经营模式的水泥生产企业，应有至少</w:t>
            </w:r>
            <w:r>
              <w:t>1</w:t>
            </w:r>
            <w:r>
              <w:t>名具备水泥工艺专业高级职称的技术人员，至少</w:t>
            </w:r>
            <w:r>
              <w:t>1</w:t>
            </w:r>
            <w:r>
              <w:t>名具备化学与化工或环境科学与工程专业中级及以上职称的技术人员。</w:t>
            </w:r>
          </w:p>
          <w:p w14:paraId="5CCEA903" w14:textId="77777777" w:rsidR="002E474C" w:rsidRDefault="00000000">
            <w:pPr>
              <w:pStyle w:val="A-"/>
              <w:jc w:val="both"/>
            </w:pPr>
            <w:r>
              <w:t>4.</w:t>
            </w:r>
            <w:r>
              <w:t>水泥生产企业应设置水泥窑协同处置危险废物管理部门，负责危险废物的协同处置和安全管理等工作。</w:t>
            </w:r>
          </w:p>
        </w:tc>
        <w:tc>
          <w:tcPr>
            <w:tcW w:w="1876" w:type="pct"/>
            <w:shd w:val="clear" w:color="auto" w:fill="auto"/>
            <w:vAlign w:val="center"/>
          </w:tcPr>
          <w:p w14:paraId="7F36BDC4" w14:textId="77777777" w:rsidR="002E474C" w:rsidRDefault="00000000">
            <w:pPr>
              <w:pStyle w:val="A-"/>
              <w:jc w:val="both"/>
            </w:pPr>
            <w:r>
              <w:t>（</w:t>
            </w:r>
            <w:r>
              <w:t>1</w:t>
            </w:r>
            <w:r>
              <w:t>）圣雄水泥公司目前具有多名水泥工艺专业高级职称的技术人员及化学与化工或环境科学与工程专业中级及以上职称的技术人员。</w:t>
            </w:r>
          </w:p>
          <w:p w14:paraId="721AF4B2" w14:textId="77777777" w:rsidR="002E474C" w:rsidRDefault="00000000">
            <w:pPr>
              <w:pStyle w:val="A-"/>
              <w:jc w:val="both"/>
            </w:pPr>
            <w:r>
              <w:t>（</w:t>
            </w:r>
            <w:r>
              <w:t>2</w:t>
            </w:r>
            <w:r>
              <w:t>）本项目建成后，圣雄水泥公司增设水泥窑协同处置危险废物管理部门，负责本项目安全管理工作。</w:t>
            </w:r>
          </w:p>
        </w:tc>
        <w:tc>
          <w:tcPr>
            <w:tcW w:w="232" w:type="pct"/>
            <w:vAlign w:val="center"/>
          </w:tcPr>
          <w:p w14:paraId="0F2A5178" w14:textId="77777777" w:rsidR="002E474C" w:rsidRDefault="00000000">
            <w:pPr>
              <w:pStyle w:val="A-"/>
            </w:pPr>
            <w:r>
              <w:t>符合</w:t>
            </w:r>
          </w:p>
        </w:tc>
      </w:tr>
      <w:tr w:rsidR="002E474C" w14:paraId="63C33B08" w14:textId="77777777">
        <w:tc>
          <w:tcPr>
            <w:tcW w:w="518" w:type="pct"/>
            <w:gridSpan w:val="2"/>
            <w:vAlign w:val="center"/>
          </w:tcPr>
          <w:p w14:paraId="199A202D" w14:textId="77777777" w:rsidR="002E474C" w:rsidRDefault="00000000">
            <w:pPr>
              <w:pStyle w:val="A-"/>
            </w:pPr>
            <w:r>
              <w:t>（二）</w:t>
            </w:r>
          </w:p>
          <w:p w14:paraId="48D12B73" w14:textId="77777777" w:rsidR="002E474C" w:rsidRDefault="00000000">
            <w:pPr>
              <w:pStyle w:val="A-"/>
            </w:pPr>
            <w:r>
              <w:t>危险废物</w:t>
            </w:r>
          </w:p>
          <w:p w14:paraId="1B7CB119" w14:textId="77777777" w:rsidR="002E474C" w:rsidRDefault="00000000">
            <w:pPr>
              <w:pStyle w:val="A-"/>
            </w:pPr>
            <w:r>
              <w:t>运输</w:t>
            </w:r>
          </w:p>
        </w:tc>
        <w:tc>
          <w:tcPr>
            <w:tcW w:w="2374" w:type="pct"/>
            <w:vAlign w:val="center"/>
          </w:tcPr>
          <w:p w14:paraId="19A2C927" w14:textId="77777777" w:rsidR="002E474C" w:rsidRDefault="00000000">
            <w:pPr>
              <w:pStyle w:val="A-"/>
              <w:jc w:val="both"/>
            </w:pPr>
            <w:r>
              <w:t>1.</w:t>
            </w:r>
            <w:r>
              <w:t>具有交通运输部门颁发的危险货物运输资质；无危险货物运输资质的申请单位应提供与具有危险货物运输资质的单位签订的运输协议或合同。</w:t>
            </w:r>
          </w:p>
          <w:p w14:paraId="150B9212" w14:textId="77777777" w:rsidR="002E474C" w:rsidRDefault="00000000">
            <w:pPr>
              <w:pStyle w:val="A-"/>
              <w:jc w:val="both"/>
            </w:pPr>
            <w:r>
              <w:t>2.</w:t>
            </w:r>
            <w:r>
              <w:t>危险废物运输的其他要求应符合《危险废物收集</w:t>
            </w:r>
            <w:r>
              <w:t xml:space="preserve"> </w:t>
            </w:r>
            <w:r>
              <w:t>贮存</w:t>
            </w:r>
            <w:r>
              <w:t xml:space="preserve"> </w:t>
            </w:r>
            <w:r>
              <w:t>运输技术规范》（</w:t>
            </w:r>
            <w:r>
              <w:t>HJ2025</w:t>
            </w:r>
            <w:r>
              <w:t>）中的相关规定。</w:t>
            </w:r>
          </w:p>
          <w:p w14:paraId="77EF7927" w14:textId="77777777" w:rsidR="002E474C" w:rsidRDefault="00000000">
            <w:pPr>
              <w:pStyle w:val="A-"/>
              <w:jc w:val="both"/>
            </w:pPr>
            <w:r>
              <w:t>3.</w:t>
            </w:r>
            <w:r>
              <w:t>预处理产物从预处理中心至水泥生产企业之间的运输应按危险废物进行管理。</w:t>
            </w:r>
          </w:p>
        </w:tc>
        <w:tc>
          <w:tcPr>
            <w:tcW w:w="1876" w:type="pct"/>
            <w:shd w:val="clear" w:color="auto" w:fill="auto"/>
            <w:vAlign w:val="center"/>
          </w:tcPr>
          <w:p w14:paraId="3907CB59" w14:textId="77777777" w:rsidR="002E474C" w:rsidRDefault="00000000">
            <w:pPr>
              <w:pStyle w:val="A-"/>
              <w:jc w:val="both"/>
            </w:pPr>
            <w:r>
              <w:t>（</w:t>
            </w:r>
            <w:r>
              <w:t>1</w:t>
            </w:r>
            <w:r>
              <w:t>）新疆中建环能公司已与乌鲁木齐迪城运输有限公司签订危险废物运输合同书，运输危险废物到达地为新疆圣雄水泥公司。乌鲁木齐迪城运输有限公司经营范围包括道路危险废物运输，公司道路运输经营许可证经营范围包括经营性道路危险废物运输。</w:t>
            </w:r>
          </w:p>
          <w:p w14:paraId="7B10EAAC" w14:textId="77777777" w:rsidR="002E474C" w:rsidRDefault="00000000">
            <w:pPr>
              <w:pStyle w:val="A-"/>
              <w:jc w:val="both"/>
            </w:pPr>
            <w:r>
              <w:t>（</w:t>
            </w:r>
            <w:r>
              <w:t>2</w:t>
            </w:r>
            <w:r>
              <w:t>）危险废物运输按照《危险废物收集</w:t>
            </w:r>
            <w:r>
              <w:t xml:space="preserve"> </w:t>
            </w:r>
            <w:r>
              <w:t>贮存</w:t>
            </w:r>
            <w:r>
              <w:t xml:space="preserve"> </w:t>
            </w:r>
            <w:r>
              <w:t>运输技术规范》（</w:t>
            </w:r>
            <w:r>
              <w:t>HJ2025-2012</w:t>
            </w:r>
            <w:r>
              <w:t>）中的相关规定执行。</w:t>
            </w:r>
          </w:p>
          <w:p w14:paraId="5307C46A" w14:textId="77777777" w:rsidR="002E474C" w:rsidRDefault="00000000">
            <w:pPr>
              <w:pStyle w:val="A-"/>
              <w:jc w:val="both"/>
            </w:pPr>
            <w:r>
              <w:t>（</w:t>
            </w:r>
            <w:r>
              <w:t>3</w:t>
            </w:r>
            <w:r>
              <w:t>）本项目属于分散集中经营模式，预处理中心的预处理产物通过危险废物运输专用车辆运输至圣雄水泥公司厂区。预处理中心至圣雄水泥公司之间的运输按照《危险废物收集</w:t>
            </w:r>
            <w:r>
              <w:t xml:space="preserve"> </w:t>
            </w:r>
            <w:r>
              <w:t>贮存</w:t>
            </w:r>
            <w:r>
              <w:t xml:space="preserve"> </w:t>
            </w:r>
            <w:r>
              <w:t>运输技术规范》（</w:t>
            </w:r>
            <w:r>
              <w:t>HJ2025-2012</w:t>
            </w:r>
            <w:r>
              <w:t>）中的相关规定执行。</w:t>
            </w:r>
          </w:p>
        </w:tc>
        <w:tc>
          <w:tcPr>
            <w:tcW w:w="232" w:type="pct"/>
            <w:vAlign w:val="center"/>
          </w:tcPr>
          <w:p w14:paraId="6C070121" w14:textId="77777777" w:rsidR="002E474C" w:rsidRDefault="00000000">
            <w:pPr>
              <w:pStyle w:val="A-"/>
            </w:pPr>
            <w:r>
              <w:t>符合</w:t>
            </w:r>
          </w:p>
        </w:tc>
      </w:tr>
      <w:tr w:rsidR="002E474C" w14:paraId="1363FB1A" w14:textId="77777777">
        <w:tc>
          <w:tcPr>
            <w:tcW w:w="320" w:type="pct"/>
            <w:vMerge w:val="restart"/>
            <w:vAlign w:val="center"/>
          </w:tcPr>
          <w:p w14:paraId="53BC9F69" w14:textId="77777777" w:rsidR="002E474C" w:rsidRDefault="00000000">
            <w:pPr>
              <w:pStyle w:val="A-"/>
            </w:pPr>
            <w:r>
              <w:t>（三）协同处置工艺与设施</w:t>
            </w:r>
          </w:p>
        </w:tc>
        <w:tc>
          <w:tcPr>
            <w:tcW w:w="198" w:type="pct"/>
            <w:vAlign w:val="center"/>
          </w:tcPr>
          <w:p w14:paraId="063C6281" w14:textId="77777777" w:rsidR="002E474C" w:rsidRDefault="00000000">
            <w:pPr>
              <w:pStyle w:val="A-"/>
            </w:pPr>
            <w:r>
              <w:t>1.</w:t>
            </w:r>
            <w:r>
              <w:t>厂区</w:t>
            </w:r>
          </w:p>
        </w:tc>
        <w:tc>
          <w:tcPr>
            <w:tcW w:w="2374" w:type="pct"/>
            <w:vAlign w:val="center"/>
          </w:tcPr>
          <w:p w14:paraId="559B9CCB" w14:textId="77777777" w:rsidR="002E474C" w:rsidRDefault="00000000">
            <w:pPr>
              <w:pStyle w:val="A-"/>
              <w:jc w:val="both"/>
            </w:pPr>
            <w:r>
              <w:t>（</w:t>
            </w:r>
            <w:r>
              <w:t>1</w:t>
            </w:r>
            <w:r>
              <w:t>）水泥窑协同处置危险废物的水泥生产企业所处位置应当符合城乡总体发展规划、城市工业发展规划的要求。</w:t>
            </w:r>
          </w:p>
          <w:p w14:paraId="4DDAFED9" w14:textId="77777777" w:rsidR="002E474C" w:rsidRDefault="00000000">
            <w:pPr>
              <w:pStyle w:val="A-"/>
              <w:jc w:val="both"/>
            </w:pPr>
            <w:r>
              <w:t>（</w:t>
            </w:r>
            <w:r>
              <w:t>2</w:t>
            </w:r>
            <w:r>
              <w:t>）水泥窑协同处置危险废物项目应当符合国家和地方产业政策、危险废物污染防治技术政策、危险废物污染防治规划的相关要求，应与地方现有及拟建危险废物处置项目统筹规划。</w:t>
            </w:r>
          </w:p>
          <w:p w14:paraId="656FA245" w14:textId="77777777" w:rsidR="002E474C" w:rsidRDefault="00000000">
            <w:pPr>
              <w:pStyle w:val="A-"/>
              <w:jc w:val="both"/>
            </w:pPr>
            <w:r>
              <w:t>（</w:t>
            </w:r>
            <w:r>
              <w:t>3</w:t>
            </w:r>
            <w:r>
              <w:t>）水泥窑协同处置危险废物项目应提供环境影响评价文件及其批复复印件等项目审批手续相关文件。</w:t>
            </w:r>
          </w:p>
          <w:p w14:paraId="06B1304C" w14:textId="77777777" w:rsidR="002E474C" w:rsidRDefault="00000000">
            <w:pPr>
              <w:pStyle w:val="A-"/>
              <w:jc w:val="both"/>
            </w:pPr>
            <w:r>
              <w:t>（</w:t>
            </w:r>
            <w:r>
              <w:t>4</w:t>
            </w:r>
            <w:r>
              <w:t>）危险废物预处理中心和水泥生产企业所在区域无洪水、潮水或内涝威胁，设施所在标高应位于重现期不小于</w:t>
            </w:r>
            <w:r>
              <w:t>100</w:t>
            </w:r>
            <w:r>
              <w:t>年一遇的洪水位之上，并建设在现有和各类规划中的水库等人工蓄水设施的淹没区和保护区之外。</w:t>
            </w:r>
          </w:p>
          <w:p w14:paraId="5696976B" w14:textId="77777777" w:rsidR="002E474C" w:rsidRDefault="00000000">
            <w:pPr>
              <w:pStyle w:val="A-"/>
              <w:jc w:val="both"/>
            </w:pPr>
            <w:r>
              <w:lastRenderedPageBreak/>
              <w:t>（</w:t>
            </w:r>
            <w:r>
              <w:t>5</w:t>
            </w:r>
            <w:r>
              <w:t>）危险废物预处理中心和水泥生产企业的危险废物贮存和作业区域周边应设置初期雨水池。</w:t>
            </w:r>
          </w:p>
          <w:p w14:paraId="6A3BCC78" w14:textId="77777777" w:rsidR="002E474C" w:rsidRDefault="00000000">
            <w:pPr>
              <w:pStyle w:val="A-"/>
              <w:jc w:val="both"/>
            </w:pPr>
            <w:r>
              <w:t>（</w:t>
            </w:r>
            <w:r>
              <w:t>6</w:t>
            </w:r>
            <w:r>
              <w:t>）危险废物运输至预处理中心和水泥生产企业的运输路线、预处理中心至水泥生产企业的预处理产物运输路线应尽量避开居民区、商业区、学校、医院等环境敏感区，当因危险废物产生单位的位置位于环境敏感区周边导致危险废物运输路线无法避开环境敏感区时，危险废物装车后应及时离开，避免长时间停留。环境影响评价确定的危险废物预处理中心和水泥生产企业的防护距离内没有居民等环境敏感点。</w:t>
            </w:r>
          </w:p>
          <w:p w14:paraId="13200751" w14:textId="77777777" w:rsidR="002E474C" w:rsidRDefault="00000000">
            <w:pPr>
              <w:pStyle w:val="A-"/>
              <w:jc w:val="both"/>
            </w:pPr>
            <w:r>
              <w:t>（</w:t>
            </w:r>
            <w:r>
              <w:t>7</w:t>
            </w:r>
            <w:r>
              <w:t>）危险废物的贮存区、预处理区、投加区应与办公区、生活区分开。</w:t>
            </w:r>
          </w:p>
        </w:tc>
        <w:tc>
          <w:tcPr>
            <w:tcW w:w="1876" w:type="pct"/>
            <w:shd w:val="clear" w:color="auto" w:fill="auto"/>
            <w:vAlign w:val="center"/>
          </w:tcPr>
          <w:p w14:paraId="4EC55B3B" w14:textId="77777777" w:rsidR="002E474C" w:rsidRDefault="00000000">
            <w:pPr>
              <w:pStyle w:val="A-"/>
              <w:jc w:val="both"/>
            </w:pPr>
            <w:r>
              <w:lastRenderedPageBreak/>
              <w:t>（</w:t>
            </w:r>
            <w:r>
              <w:t>1</w:t>
            </w:r>
            <w:r>
              <w:t>）《吐鲁番市生态环境保护</w:t>
            </w:r>
            <w:r>
              <w:t>“</w:t>
            </w:r>
            <w:r>
              <w:t>十四五</w:t>
            </w:r>
            <w:r>
              <w:t>”</w:t>
            </w:r>
            <w:r>
              <w:t>规划》提出：</w:t>
            </w:r>
            <w:r>
              <w:t>“</w:t>
            </w:r>
            <w:r>
              <w:t>提升危险废物收集与利用处置能力。积极引导重点产废企业自建危险废物利用设施，支持大型企业集团内部共享危险废物利用处置设施。吐鲁番市唯一的水泥窑协同处置单位吐鲁番天山金越环境科技有限公司吐鲁番天山水泥有限责任公司已于</w:t>
            </w:r>
            <w:r>
              <w:t>2026</w:t>
            </w:r>
            <w:r>
              <w:t>年</w:t>
            </w:r>
            <w:r>
              <w:t>1</w:t>
            </w:r>
            <w:r>
              <w:t>月注销危险废物经营许可证，退出水泥窑协同处置行业。托克逊县没有已建、在建及拟建危险废物协同处置项目，本项目将填补当地水泥窑协同处置设施空白。</w:t>
            </w:r>
          </w:p>
          <w:p w14:paraId="0449D81B" w14:textId="77777777" w:rsidR="002E474C" w:rsidRDefault="00000000">
            <w:pPr>
              <w:pStyle w:val="A-"/>
              <w:jc w:val="both"/>
            </w:pPr>
            <w:r>
              <w:t>（</w:t>
            </w:r>
            <w:r>
              <w:t>2</w:t>
            </w:r>
            <w:r>
              <w:t>）本项目符合国家和地方产业政策、危险废物污染防治技术政策、危险废物污染防治规划的相关要</w:t>
            </w:r>
            <w:r>
              <w:lastRenderedPageBreak/>
              <w:t>求。</w:t>
            </w:r>
          </w:p>
          <w:p w14:paraId="1FF425FA" w14:textId="77777777" w:rsidR="002E474C" w:rsidRDefault="00000000">
            <w:pPr>
              <w:pStyle w:val="A-"/>
              <w:jc w:val="both"/>
            </w:pPr>
            <w:r>
              <w:t>（</w:t>
            </w:r>
            <w:r>
              <w:t>3</w:t>
            </w:r>
            <w:r>
              <w:t>）本项目正在编制环境影响评价报告，待生态环境主管部门批复后作为项目审批手续。</w:t>
            </w:r>
          </w:p>
          <w:p w14:paraId="7461BB10" w14:textId="77777777" w:rsidR="002E474C" w:rsidRDefault="00000000">
            <w:pPr>
              <w:pStyle w:val="A-"/>
              <w:jc w:val="both"/>
            </w:pPr>
            <w:r>
              <w:t>（</w:t>
            </w:r>
            <w:r>
              <w:t>4</w:t>
            </w:r>
            <w:r>
              <w:t>）本项目厂区无洪水、潮水或内涝威胁。</w:t>
            </w:r>
          </w:p>
          <w:p w14:paraId="64524D72" w14:textId="77777777" w:rsidR="002E474C" w:rsidRDefault="00000000">
            <w:pPr>
              <w:pStyle w:val="A-"/>
              <w:jc w:val="both"/>
            </w:pPr>
            <w:r>
              <w:t>（</w:t>
            </w:r>
            <w:r>
              <w:t>5</w:t>
            </w:r>
            <w:r>
              <w:t>）本项目拟在危废贮存区、固态危废预处理车间和液态处置车间设置初期雨水池，在液态处置车间设置集液池。</w:t>
            </w:r>
          </w:p>
          <w:p w14:paraId="4471F956" w14:textId="77777777" w:rsidR="002E474C" w:rsidRDefault="00000000">
            <w:pPr>
              <w:pStyle w:val="A-"/>
              <w:jc w:val="both"/>
            </w:pPr>
            <w:r>
              <w:t>（</w:t>
            </w:r>
            <w:r>
              <w:t>6</w:t>
            </w:r>
            <w:r>
              <w:t>）项目危废入厂运输路线应避开环境敏感区，无法避开环境敏感区时，危险废物装车后及时离开，避免长时间停留。</w:t>
            </w:r>
          </w:p>
          <w:p w14:paraId="637739CC" w14:textId="77777777" w:rsidR="002E474C" w:rsidRDefault="00000000">
            <w:pPr>
              <w:pStyle w:val="A-"/>
              <w:jc w:val="both"/>
            </w:pPr>
            <w:r>
              <w:t>（</w:t>
            </w:r>
            <w:r>
              <w:t>7</w:t>
            </w:r>
            <w:r>
              <w:t>）项目危废贮存区、固态危废预处理车间和液态处置车间、危废投加区均位于厂区中部的生产区，与办公区有绿化带间隔，符合分开设置要求。</w:t>
            </w:r>
          </w:p>
        </w:tc>
        <w:tc>
          <w:tcPr>
            <w:tcW w:w="232" w:type="pct"/>
            <w:vAlign w:val="center"/>
          </w:tcPr>
          <w:p w14:paraId="6FF133FA" w14:textId="77777777" w:rsidR="002E474C" w:rsidRDefault="00000000">
            <w:pPr>
              <w:pStyle w:val="A-"/>
            </w:pPr>
            <w:r>
              <w:lastRenderedPageBreak/>
              <w:t>符合</w:t>
            </w:r>
          </w:p>
        </w:tc>
      </w:tr>
      <w:tr w:rsidR="002E474C" w14:paraId="3FF313E1" w14:textId="77777777">
        <w:tc>
          <w:tcPr>
            <w:tcW w:w="320" w:type="pct"/>
            <w:vMerge/>
            <w:vAlign w:val="center"/>
          </w:tcPr>
          <w:p w14:paraId="7DA4E2E4" w14:textId="77777777" w:rsidR="002E474C" w:rsidRDefault="002E474C">
            <w:pPr>
              <w:pStyle w:val="A-"/>
            </w:pPr>
          </w:p>
        </w:tc>
        <w:tc>
          <w:tcPr>
            <w:tcW w:w="198" w:type="pct"/>
            <w:vAlign w:val="center"/>
          </w:tcPr>
          <w:p w14:paraId="39A14BDA" w14:textId="77777777" w:rsidR="002E474C" w:rsidRDefault="00000000">
            <w:pPr>
              <w:pStyle w:val="A-"/>
            </w:pPr>
            <w:r>
              <w:t>2.</w:t>
            </w:r>
            <w:r>
              <w:t>水泥窑</w:t>
            </w:r>
          </w:p>
        </w:tc>
        <w:tc>
          <w:tcPr>
            <w:tcW w:w="2374" w:type="pct"/>
            <w:vAlign w:val="center"/>
          </w:tcPr>
          <w:p w14:paraId="7BE7A9F5" w14:textId="77777777" w:rsidR="002E474C" w:rsidRDefault="00000000">
            <w:pPr>
              <w:pStyle w:val="A-"/>
              <w:jc w:val="both"/>
            </w:pPr>
            <w:r>
              <w:t>（</w:t>
            </w:r>
            <w:r>
              <w:t>1</w:t>
            </w:r>
            <w:r>
              <w:t>）协同处置危险废物的水泥窑应为设计熟料生产规模不小于</w:t>
            </w:r>
            <w:r>
              <w:t>2000</w:t>
            </w:r>
            <w:r>
              <w:t>吨</w:t>
            </w:r>
            <w:r>
              <w:t>/</w:t>
            </w:r>
            <w:r>
              <w:t>天的新型干法水泥窑，窑尾烟气采用高效布袋（含电袋复合）除尘器作为除尘设施，水泥窑及窑尾余热利用系统窑尾排气筒（以下简称窑尾排气筒）配备满足《固定污染源烟气排放连续监测系统技术要求及检测方法》（</w:t>
            </w:r>
            <w:r>
              <w:t>HJ/T76</w:t>
            </w:r>
            <w:r>
              <w:t>）要求，并安装与当地环境保护主管部门联网的颗粒物、氮氧化物和二氧化硫浓度在线监测设备。</w:t>
            </w:r>
          </w:p>
          <w:p w14:paraId="01700BF3" w14:textId="77777777" w:rsidR="002E474C" w:rsidRDefault="00000000">
            <w:pPr>
              <w:pStyle w:val="A-"/>
              <w:jc w:val="both"/>
            </w:pPr>
            <w:r>
              <w:t>（</w:t>
            </w:r>
            <w:r>
              <w:t>2</w:t>
            </w:r>
            <w:r>
              <w:t>）对于改造利用原有设施协同处置危险废物的水泥窑，在改造之前，原有设施的监督性监测结果应连续两年符合《水泥工业大气污染物排放标准》（</w:t>
            </w:r>
            <w:r>
              <w:t>GB4915</w:t>
            </w:r>
            <w:r>
              <w:t>）的要求，并且无其他环境违法行为。</w:t>
            </w:r>
          </w:p>
        </w:tc>
        <w:tc>
          <w:tcPr>
            <w:tcW w:w="1876" w:type="pct"/>
            <w:shd w:val="clear" w:color="auto" w:fill="auto"/>
            <w:vAlign w:val="center"/>
          </w:tcPr>
          <w:p w14:paraId="42872B24" w14:textId="77777777" w:rsidR="002E474C" w:rsidRDefault="00000000">
            <w:pPr>
              <w:pStyle w:val="A-"/>
              <w:jc w:val="both"/>
            </w:pPr>
            <w:r>
              <w:t>本项目依托</w:t>
            </w:r>
            <w:r>
              <w:t>5000t/d</w:t>
            </w:r>
            <w:r>
              <w:t>电石渣干法水泥生产线，现有生产线窑尾烟气已配套高效电袋除尘器治理措施，且安装与当地生态环境部门联网的污染物在线监测设备，且满足连续两年符合《水泥工业大气污染物排放标准》（</w:t>
            </w:r>
            <w:r>
              <w:rPr>
                <w:rFonts w:hint="eastAsia"/>
              </w:rPr>
              <w:t>GB 4915-2013</w:t>
            </w:r>
            <w:r>
              <w:rPr>
                <w:rFonts w:hint="eastAsia"/>
              </w:rPr>
              <w:t>，含</w:t>
            </w:r>
            <w:r>
              <w:rPr>
                <w:rFonts w:hint="eastAsia"/>
              </w:rPr>
              <w:t>2025</w:t>
            </w:r>
            <w:r>
              <w:rPr>
                <w:rFonts w:hint="eastAsia"/>
              </w:rPr>
              <w:t>年修改单</w:t>
            </w:r>
            <w:r>
              <w:t>）要求并无其他环境违法行为。</w:t>
            </w:r>
          </w:p>
        </w:tc>
        <w:tc>
          <w:tcPr>
            <w:tcW w:w="232" w:type="pct"/>
            <w:vAlign w:val="center"/>
          </w:tcPr>
          <w:p w14:paraId="568ED0F4" w14:textId="77777777" w:rsidR="002E474C" w:rsidRDefault="00000000">
            <w:pPr>
              <w:pStyle w:val="A-"/>
            </w:pPr>
            <w:r>
              <w:t>符合</w:t>
            </w:r>
          </w:p>
        </w:tc>
      </w:tr>
      <w:tr w:rsidR="002E474C" w14:paraId="34AD2279" w14:textId="77777777">
        <w:tc>
          <w:tcPr>
            <w:tcW w:w="320" w:type="pct"/>
            <w:vMerge/>
            <w:vAlign w:val="center"/>
          </w:tcPr>
          <w:p w14:paraId="6B4E8683" w14:textId="77777777" w:rsidR="002E474C" w:rsidRDefault="002E474C">
            <w:pPr>
              <w:pStyle w:val="A-"/>
            </w:pPr>
          </w:p>
        </w:tc>
        <w:tc>
          <w:tcPr>
            <w:tcW w:w="198" w:type="pct"/>
            <w:vAlign w:val="center"/>
          </w:tcPr>
          <w:p w14:paraId="3E8B3F62" w14:textId="77777777" w:rsidR="002E474C" w:rsidRDefault="00000000">
            <w:pPr>
              <w:pStyle w:val="A-"/>
            </w:pPr>
            <w:r>
              <w:t>3.</w:t>
            </w:r>
            <w:r>
              <w:t>贮存</w:t>
            </w:r>
          </w:p>
        </w:tc>
        <w:tc>
          <w:tcPr>
            <w:tcW w:w="2374" w:type="pct"/>
            <w:vAlign w:val="center"/>
          </w:tcPr>
          <w:p w14:paraId="7F0B6CBD" w14:textId="77777777" w:rsidR="002E474C" w:rsidRDefault="00000000">
            <w:pPr>
              <w:pStyle w:val="A-"/>
              <w:jc w:val="both"/>
            </w:pPr>
            <w:r>
              <w:t>（</w:t>
            </w:r>
            <w:r>
              <w:t>1</w:t>
            </w:r>
            <w:r>
              <w:t>）危险废物预处理中心和水泥生产企业厂区内应建设危险废物专用贮存设施，贮存设施的选址、设计及运行管理应满足《危险废物贮存污染控制标准》（</w:t>
            </w:r>
            <w:r>
              <w:t>GB18597</w:t>
            </w:r>
            <w:r>
              <w:t>）和《危险废物收集</w:t>
            </w:r>
            <w:r>
              <w:t xml:space="preserve"> </w:t>
            </w:r>
            <w:r>
              <w:t>贮存</w:t>
            </w:r>
            <w:r>
              <w:t xml:space="preserve"> </w:t>
            </w:r>
            <w:r>
              <w:t>运输技术规范》</w:t>
            </w:r>
            <w:r>
              <w:t>(HJ2025)</w:t>
            </w:r>
            <w:r>
              <w:t>的相关要求。</w:t>
            </w:r>
          </w:p>
          <w:p w14:paraId="74577C34" w14:textId="77777777" w:rsidR="002E474C" w:rsidRDefault="00000000">
            <w:pPr>
              <w:pStyle w:val="A-"/>
              <w:jc w:val="both"/>
            </w:pPr>
            <w:r>
              <w:t>（</w:t>
            </w:r>
            <w:r>
              <w:t>2</w:t>
            </w:r>
            <w:r>
              <w:t>）采用分散联合经营模式和分散独立经营模式时，危险废物预处理中心内的危险废物贮存设施容量应不小于危险废物日预处理能力的</w:t>
            </w:r>
            <w:r>
              <w:t>15</w:t>
            </w:r>
            <w:r>
              <w:t>倍，水泥生产企业厂区内的危险废物贮存设施容量应不小于危险废物日协同处置能力的</w:t>
            </w:r>
            <w:r>
              <w:t>2</w:t>
            </w:r>
            <w:r>
              <w:t>倍。</w:t>
            </w:r>
          </w:p>
          <w:p w14:paraId="5B44C64F" w14:textId="77777777" w:rsidR="002E474C" w:rsidRDefault="00000000">
            <w:pPr>
              <w:pStyle w:val="A-"/>
              <w:jc w:val="both"/>
            </w:pPr>
            <w:r>
              <w:t>（</w:t>
            </w:r>
            <w:r>
              <w:t>4</w:t>
            </w:r>
            <w:r>
              <w:t>）贮存挥发性危险废物的贮存设施应具有较好的密闭性，贮存设施内采用微负压抽气设计，排出的废气应导入水泥窑高温区，如篦</w:t>
            </w:r>
            <w:r>
              <w:lastRenderedPageBreak/>
              <w:t>冷机的靠近窑头端（采用窑门罩抽气作为窑头余热发电热源的水泥窑除外）或分解炉三次风入口处，或经过其他气体净化装置处理后达标排放。采用导入水泥窑高温区的方式处理废气的贮存设施，还应同时配置其他气体净化装置，以备在水泥窑停窑期间使用。</w:t>
            </w:r>
          </w:p>
          <w:p w14:paraId="7878A26E" w14:textId="77777777" w:rsidR="002E474C" w:rsidRDefault="00000000">
            <w:pPr>
              <w:pStyle w:val="A-"/>
              <w:jc w:val="both"/>
            </w:pPr>
            <w:r>
              <w:t>（</w:t>
            </w:r>
            <w:r>
              <w:t>5</w:t>
            </w:r>
            <w:r>
              <w:t>）盛装危险废物的容器在再次盛装其他危险废物前应进行清洗。</w:t>
            </w:r>
          </w:p>
          <w:p w14:paraId="46FC5F14" w14:textId="77777777" w:rsidR="002E474C" w:rsidRDefault="00000000">
            <w:pPr>
              <w:pStyle w:val="A-"/>
              <w:jc w:val="both"/>
            </w:pPr>
            <w:r>
              <w:t>（</w:t>
            </w:r>
            <w:r>
              <w:t>6</w:t>
            </w:r>
            <w:r>
              <w:t>）危险废物贮存的其他要求应符合《水泥窑协同处置固体废物环境保护技术规范》（</w:t>
            </w:r>
            <w:r>
              <w:t>HJ662</w:t>
            </w:r>
            <w:r>
              <w:t>）和《危险废物收集</w:t>
            </w:r>
            <w:r>
              <w:t xml:space="preserve"> </w:t>
            </w:r>
            <w:r>
              <w:t>贮存</w:t>
            </w:r>
            <w:r>
              <w:t xml:space="preserve"> </w:t>
            </w:r>
            <w:r>
              <w:t>运输技术规范》（</w:t>
            </w:r>
            <w:r>
              <w:t>HJ2025</w:t>
            </w:r>
            <w:r>
              <w:t>）中的相关规定。</w:t>
            </w:r>
          </w:p>
        </w:tc>
        <w:tc>
          <w:tcPr>
            <w:tcW w:w="1876" w:type="pct"/>
            <w:shd w:val="clear" w:color="auto" w:fill="auto"/>
            <w:vAlign w:val="center"/>
          </w:tcPr>
          <w:p w14:paraId="5AD86BB0" w14:textId="77777777" w:rsidR="002E474C" w:rsidRDefault="00000000">
            <w:pPr>
              <w:pStyle w:val="A-"/>
              <w:jc w:val="both"/>
            </w:pPr>
            <w:r>
              <w:lastRenderedPageBreak/>
              <w:t>（</w:t>
            </w:r>
            <w:r>
              <w:t>1</w:t>
            </w:r>
            <w:r>
              <w:t>）本项目采用分散集中经营模式，预处理中心危废联合贮存库与本项目危废贮存库及固态危废预处理车间的选址、设计及运行管理符合《危险废物贮存污染控制标准》（</w:t>
            </w:r>
            <w:r>
              <w:t>GB18597-2023</w:t>
            </w:r>
            <w:r>
              <w:t>）要求。</w:t>
            </w:r>
          </w:p>
          <w:p w14:paraId="3BA82E95" w14:textId="77777777" w:rsidR="002E474C" w:rsidRDefault="00000000">
            <w:pPr>
              <w:pStyle w:val="A-"/>
              <w:jc w:val="both"/>
            </w:pPr>
            <w:r>
              <w:t>（</w:t>
            </w:r>
            <w:r>
              <w:t>2</w:t>
            </w:r>
            <w:r>
              <w:t>）本项目采用分散联合经营模式，厂内危废贮存设施容量大于危险废物日协同处置能力的</w:t>
            </w:r>
            <w:r>
              <w:t>2</w:t>
            </w:r>
            <w:r>
              <w:t>倍。预处理中心贮存能力可供应吉木萨尔协同处置项目和本项目水泥窑满负荷运行工况下协同处置</w:t>
            </w:r>
            <w:r>
              <w:t>18</w:t>
            </w:r>
            <w:r>
              <w:t>天贮存需要。</w:t>
            </w:r>
          </w:p>
          <w:p w14:paraId="3E0FD655" w14:textId="77777777" w:rsidR="002E474C" w:rsidRDefault="00000000">
            <w:pPr>
              <w:pStyle w:val="A-"/>
              <w:jc w:val="both"/>
            </w:pPr>
            <w:r>
              <w:t>（</w:t>
            </w:r>
            <w:r>
              <w:t>3</w:t>
            </w:r>
            <w:r>
              <w:t>）危废贮存设施均为密闭设施，采用微负压抽气</w:t>
            </w:r>
            <w:r>
              <w:lastRenderedPageBreak/>
              <w:t>设计，抽气经净化设施处理后达标排放。</w:t>
            </w:r>
          </w:p>
          <w:p w14:paraId="009E4A4F" w14:textId="77777777" w:rsidR="002E474C" w:rsidRDefault="00000000">
            <w:pPr>
              <w:pStyle w:val="A-"/>
              <w:jc w:val="both"/>
            </w:pPr>
            <w:r>
              <w:t>（</w:t>
            </w:r>
            <w:r>
              <w:t>4</w:t>
            </w:r>
            <w:r>
              <w:t>）设车辆及容器清洗设施。</w:t>
            </w:r>
          </w:p>
          <w:p w14:paraId="53955A7E" w14:textId="77777777" w:rsidR="002E474C" w:rsidRDefault="00000000">
            <w:pPr>
              <w:pStyle w:val="A-"/>
              <w:jc w:val="both"/>
            </w:pPr>
            <w:r>
              <w:t>（</w:t>
            </w:r>
            <w:r>
              <w:t>5</w:t>
            </w:r>
            <w:r>
              <w:t>）危险废物贮存的其他要求应符合《水泥窑协同处置固体废物环境保护技术规范》（</w:t>
            </w:r>
            <w:r>
              <w:t>HJ662-2013</w:t>
            </w:r>
            <w:r>
              <w:t>）和《危险废物收集</w:t>
            </w:r>
            <w:r>
              <w:t xml:space="preserve"> </w:t>
            </w:r>
            <w:r>
              <w:t>贮存</w:t>
            </w:r>
            <w:r>
              <w:t xml:space="preserve"> </w:t>
            </w:r>
            <w:r>
              <w:t>运输技术规范》（</w:t>
            </w:r>
            <w:r>
              <w:t>HJ2025-2012</w:t>
            </w:r>
            <w:r>
              <w:t>）中的相关规定。</w:t>
            </w:r>
          </w:p>
        </w:tc>
        <w:tc>
          <w:tcPr>
            <w:tcW w:w="232" w:type="pct"/>
            <w:vAlign w:val="center"/>
          </w:tcPr>
          <w:p w14:paraId="23BD6A8B" w14:textId="77777777" w:rsidR="002E474C" w:rsidRDefault="00000000">
            <w:pPr>
              <w:pStyle w:val="A-"/>
            </w:pPr>
            <w:r>
              <w:lastRenderedPageBreak/>
              <w:t>符合</w:t>
            </w:r>
          </w:p>
        </w:tc>
      </w:tr>
      <w:tr w:rsidR="002E474C" w14:paraId="7A5734E3" w14:textId="77777777">
        <w:tc>
          <w:tcPr>
            <w:tcW w:w="320" w:type="pct"/>
            <w:vMerge/>
            <w:vAlign w:val="center"/>
          </w:tcPr>
          <w:p w14:paraId="71105CD6" w14:textId="77777777" w:rsidR="002E474C" w:rsidRDefault="002E474C">
            <w:pPr>
              <w:pStyle w:val="A-"/>
            </w:pPr>
          </w:p>
        </w:tc>
        <w:tc>
          <w:tcPr>
            <w:tcW w:w="198" w:type="pct"/>
            <w:vAlign w:val="center"/>
          </w:tcPr>
          <w:p w14:paraId="1BC678A1" w14:textId="77777777" w:rsidR="002E474C" w:rsidRDefault="00000000">
            <w:pPr>
              <w:pStyle w:val="A-"/>
            </w:pPr>
            <w:r>
              <w:t>4.</w:t>
            </w:r>
            <w:r>
              <w:t>预处理</w:t>
            </w:r>
          </w:p>
        </w:tc>
        <w:tc>
          <w:tcPr>
            <w:tcW w:w="2374" w:type="pct"/>
            <w:vAlign w:val="center"/>
          </w:tcPr>
          <w:p w14:paraId="280E67C5" w14:textId="77777777" w:rsidR="002E474C" w:rsidRDefault="00000000">
            <w:pPr>
              <w:pStyle w:val="A-"/>
              <w:jc w:val="both"/>
            </w:pPr>
            <w:r>
              <w:t>（</w:t>
            </w:r>
            <w:r>
              <w:t>1</w:t>
            </w:r>
            <w:r>
              <w:t>）针对直接投入水泥窑进行协同处置会对水泥生产和污染控制产生不利影响的危险废物，危险废物预处理中心和采用集中经营模式的协同处置单位应根据其特性和入窑要求设置危险废物预处理设施。</w:t>
            </w:r>
          </w:p>
          <w:p w14:paraId="4BAFBBA5" w14:textId="77777777" w:rsidR="002E474C" w:rsidRDefault="00000000">
            <w:pPr>
              <w:pStyle w:val="A-"/>
              <w:jc w:val="both"/>
            </w:pPr>
            <w:r>
              <w:t>（</w:t>
            </w:r>
            <w:r>
              <w:t>2</w:t>
            </w:r>
            <w:r>
              <w:t>）危险废物的预处理设施应布置在室内车间。</w:t>
            </w:r>
          </w:p>
          <w:p w14:paraId="2FBE82EE" w14:textId="77777777" w:rsidR="002E474C" w:rsidRDefault="00000000">
            <w:pPr>
              <w:pStyle w:val="A-"/>
              <w:jc w:val="both"/>
            </w:pPr>
            <w:r>
              <w:t>（</w:t>
            </w:r>
            <w:r>
              <w:t>3</w:t>
            </w:r>
            <w:r>
              <w:t>）含挥发或半挥发性成分的危险废物的预处理车间应具有较好的密闭性，车间内应设置通风换气装置并采用微负压抽气设计，排出的废气应导入水泥窑高温区，如篦冷机的靠近窑头端（采用窑门罩抽气作为窑头余热发电热源的水泥窑除外）或分解炉三次风入口处，或经过其他气体净化装置处理后达标排放。采用导入水泥窑高温区的方式处理废气的预处理车间，还应同时配置其他气体净化装置，以备在水泥窑停窑期间使用。采用独立排气筒的预处理设施（如烘干机、预烧炉等）排放废气应经过气体净化装置处理后达标排放。</w:t>
            </w:r>
          </w:p>
          <w:p w14:paraId="3AB1C412" w14:textId="77777777" w:rsidR="002E474C" w:rsidRDefault="00000000">
            <w:pPr>
              <w:pStyle w:val="A-"/>
              <w:jc w:val="both"/>
            </w:pPr>
            <w:r>
              <w:t>（</w:t>
            </w:r>
            <w:r>
              <w:t>4</w:t>
            </w:r>
            <w:r>
              <w:t>）对固态危险废物进行破碎和研磨预处理的车间，应配备除尘装置和与之配套的除尘灰处置系统。液态危险废物预处理车间应设置堵截泄漏的裙角和泄漏液体收集装置。</w:t>
            </w:r>
          </w:p>
          <w:p w14:paraId="50BBB7B0" w14:textId="77777777" w:rsidR="002E474C" w:rsidRDefault="00000000">
            <w:pPr>
              <w:pStyle w:val="A-"/>
              <w:jc w:val="both"/>
            </w:pPr>
            <w:r>
              <w:t>（</w:t>
            </w:r>
            <w:r>
              <w:t>5</w:t>
            </w:r>
            <w:r>
              <w:t>）危险废物预处理的消防、防爆、防泄漏等其他要求应符合《水泥窑协同处置固体废物环境保护技术规范》（</w:t>
            </w:r>
            <w:r>
              <w:t>HJ662</w:t>
            </w:r>
            <w:r>
              <w:t>）中的相关规定。</w:t>
            </w:r>
          </w:p>
        </w:tc>
        <w:tc>
          <w:tcPr>
            <w:tcW w:w="1876" w:type="pct"/>
            <w:shd w:val="clear" w:color="auto" w:fill="auto"/>
            <w:vAlign w:val="center"/>
          </w:tcPr>
          <w:p w14:paraId="4C82A9E9" w14:textId="77777777" w:rsidR="002E474C" w:rsidRDefault="00000000">
            <w:pPr>
              <w:pStyle w:val="A-"/>
              <w:jc w:val="both"/>
            </w:pPr>
            <w:r>
              <w:t>（</w:t>
            </w:r>
            <w:r>
              <w:t>1</w:t>
            </w:r>
            <w:r>
              <w:t>）本项目采取分散联合经营模式运行，</w:t>
            </w:r>
            <w:r>
              <w:rPr>
                <w:rFonts w:hint="eastAsia"/>
                <w:bCs/>
              </w:rPr>
              <w:t>主要依托预处理中心提供预处理产物</w:t>
            </w:r>
            <w:r>
              <w:rPr>
                <w:bCs/>
              </w:rPr>
              <w:t>，</w:t>
            </w:r>
            <w:r>
              <w:rPr>
                <w:spacing w:val="-6"/>
              </w:rPr>
              <w:t>仅在</w:t>
            </w:r>
            <w:r>
              <w:rPr>
                <w:rFonts w:hint="eastAsia"/>
                <w:spacing w:val="-6"/>
              </w:rPr>
              <w:t>本项目</w:t>
            </w:r>
            <w:r>
              <w:rPr>
                <w:spacing w:val="-6"/>
              </w:rPr>
              <w:t>固态危废预处理车间破碎废弃包装物</w:t>
            </w:r>
            <w:r>
              <w:rPr>
                <w:rFonts w:hint="eastAsia"/>
                <w:spacing w:val="-6"/>
              </w:rPr>
              <w:t>和</w:t>
            </w:r>
            <w:r>
              <w:rPr>
                <w:spacing w:val="-6"/>
              </w:rPr>
              <w:t>不满足直接入窑处置</w:t>
            </w:r>
            <w:r>
              <w:rPr>
                <w:rFonts w:hint="eastAsia"/>
                <w:spacing w:val="-6"/>
              </w:rPr>
              <w:t>要求</w:t>
            </w:r>
            <w:r>
              <w:rPr>
                <w:spacing w:val="-6"/>
              </w:rPr>
              <w:t>的物料</w:t>
            </w:r>
            <w:r>
              <w:rPr>
                <w:rFonts w:hint="eastAsia"/>
                <w:spacing w:val="-6"/>
              </w:rPr>
              <w:t>，</w:t>
            </w:r>
            <w:r>
              <w:rPr>
                <w:spacing w:val="-6"/>
              </w:rPr>
              <w:t>在液态处置车间对投料废液进行过滤处理</w:t>
            </w:r>
            <w:r>
              <w:t>。</w:t>
            </w:r>
          </w:p>
          <w:p w14:paraId="4BBD3AB7" w14:textId="77777777" w:rsidR="002E474C" w:rsidRDefault="00000000">
            <w:pPr>
              <w:pStyle w:val="A-"/>
              <w:jc w:val="both"/>
            </w:pPr>
            <w:r>
              <w:t>（</w:t>
            </w:r>
            <w:r>
              <w:t>2</w:t>
            </w:r>
            <w:r>
              <w:t>）预处理中心的危险废物准入控制、准入评估、初步配伍及预处理方案可满足本项目危险废物协同处置要求。</w:t>
            </w:r>
          </w:p>
          <w:p w14:paraId="35826DFA" w14:textId="77777777" w:rsidR="002E474C" w:rsidRDefault="00000000">
            <w:pPr>
              <w:pStyle w:val="A-"/>
              <w:jc w:val="both"/>
            </w:pPr>
            <w:r>
              <w:t>（</w:t>
            </w:r>
            <w:r>
              <w:t>3</w:t>
            </w:r>
            <w:r>
              <w:t>）预处理中心包括固态半固态危废预处理系统和液态危废预处理系统，分别布置在</w:t>
            </w:r>
            <w:r>
              <w:t>1500m²</w:t>
            </w:r>
            <w:r>
              <w:t>固态半固态危废处置车间和</w:t>
            </w:r>
            <w:r>
              <w:t>513m²</w:t>
            </w:r>
            <w:r>
              <w:t>液态处置车间，均为密闭设施。</w:t>
            </w:r>
          </w:p>
          <w:p w14:paraId="67C1CE15" w14:textId="77777777" w:rsidR="002E474C" w:rsidRDefault="00000000">
            <w:pPr>
              <w:pStyle w:val="A-"/>
              <w:jc w:val="both"/>
            </w:pPr>
            <w:r>
              <w:t>（</w:t>
            </w:r>
            <w:r>
              <w:t>4</w:t>
            </w:r>
            <w:r>
              <w:t>）预处理中心采用微负压抽气设计，废气导入水泥窑高温区焚烧，停窑时采用净化设施处理后达标排放。</w:t>
            </w:r>
          </w:p>
          <w:p w14:paraId="110BF9A9" w14:textId="77777777" w:rsidR="002E474C" w:rsidRDefault="00000000">
            <w:pPr>
              <w:pStyle w:val="A-"/>
              <w:jc w:val="both"/>
            </w:pPr>
            <w:r>
              <w:t>（</w:t>
            </w:r>
            <w:r>
              <w:t>5</w:t>
            </w:r>
            <w:r>
              <w:t>）本项目固态危废预处理车间的破碎间、液态处置车间均采用微负压抽气设计，抽气经净化设施处理后达标排放。</w:t>
            </w:r>
          </w:p>
          <w:p w14:paraId="13758FCE" w14:textId="77777777" w:rsidR="002E474C" w:rsidRDefault="00000000">
            <w:pPr>
              <w:pStyle w:val="A-"/>
              <w:jc w:val="both"/>
            </w:pPr>
            <w:r>
              <w:t>（</w:t>
            </w:r>
            <w:r>
              <w:t>6</w:t>
            </w:r>
            <w:r>
              <w:t>）液态处置车间应设置堵截泄漏的裙角和集液池。</w:t>
            </w:r>
          </w:p>
          <w:p w14:paraId="201A8949" w14:textId="77777777" w:rsidR="002E474C" w:rsidRDefault="00000000">
            <w:pPr>
              <w:pStyle w:val="A-"/>
              <w:jc w:val="both"/>
            </w:pPr>
            <w:r>
              <w:t>（</w:t>
            </w:r>
            <w:r>
              <w:t>7</w:t>
            </w:r>
            <w:r>
              <w:t>）预处理中心和本项目固态危废预处理车间、液态处置车间的消防、防爆、防泄漏等其他要求应符合《水泥窑协同处置固体废物环境保护技术规范》（</w:t>
            </w:r>
            <w:r>
              <w:t>HJ662-2013</w:t>
            </w:r>
            <w:r>
              <w:t>）中的相关规定。</w:t>
            </w:r>
          </w:p>
        </w:tc>
        <w:tc>
          <w:tcPr>
            <w:tcW w:w="232" w:type="pct"/>
            <w:vAlign w:val="center"/>
          </w:tcPr>
          <w:p w14:paraId="351178E2" w14:textId="77777777" w:rsidR="002E474C" w:rsidRDefault="00000000">
            <w:pPr>
              <w:pStyle w:val="A-"/>
            </w:pPr>
            <w:r>
              <w:t>符合</w:t>
            </w:r>
          </w:p>
        </w:tc>
      </w:tr>
      <w:tr w:rsidR="002E474C" w14:paraId="5EE44B0B" w14:textId="77777777">
        <w:tc>
          <w:tcPr>
            <w:tcW w:w="320" w:type="pct"/>
            <w:vMerge/>
            <w:vAlign w:val="center"/>
          </w:tcPr>
          <w:p w14:paraId="7E94F0E8" w14:textId="77777777" w:rsidR="002E474C" w:rsidRDefault="002E474C">
            <w:pPr>
              <w:pStyle w:val="A-"/>
            </w:pPr>
          </w:p>
        </w:tc>
        <w:tc>
          <w:tcPr>
            <w:tcW w:w="198" w:type="pct"/>
            <w:vAlign w:val="center"/>
          </w:tcPr>
          <w:p w14:paraId="32EAEBA5" w14:textId="77777777" w:rsidR="002E474C" w:rsidRDefault="00000000">
            <w:pPr>
              <w:pStyle w:val="A-"/>
            </w:pPr>
            <w:r>
              <w:t>5.</w:t>
            </w:r>
            <w:r>
              <w:t>厂内输</w:t>
            </w:r>
            <w:r>
              <w:lastRenderedPageBreak/>
              <w:t>送</w:t>
            </w:r>
          </w:p>
        </w:tc>
        <w:tc>
          <w:tcPr>
            <w:tcW w:w="2374" w:type="pct"/>
            <w:vAlign w:val="center"/>
          </w:tcPr>
          <w:p w14:paraId="795EDA0D" w14:textId="77777777" w:rsidR="002E474C" w:rsidRDefault="00000000">
            <w:pPr>
              <w:pStyle w:val="A-"/>
              <w:jc w:val="both"/>
            </w:pPr>
            <w:r>
              <w:lastRenderedPageBreak/>
              <w:t>（</w:t>
            </w:r>
            <w:r>
              <w:t>1</w:t>
            </w:r>
            <w:r>
              <w:t>）从生料磨或水泥磨投加的危险废物的厂内输送设施可利用水泥生产常规原料、燃料和产品输送设施，其他危险废物厂内输送设施应专门配置，不能用于水泥生产常规原料、燃料和产品的输送。</w:t>
            </w:r>
          </w:p>
          <w:p w14:paraId="46E01F01" w14:textId="77777777" w:rsidR="002E474C" w:rsidRDefault="00000000">
            <w:pPr>
              <w:pStyle w:val="A-"/>
              <w:jc w:val="both"/>
            </w:pPr>
            <w:r>
              <w:lastRenderedPageBreak/>
              <w:t>（</w:t>
            </w:r>
            <w:r>
              <w:t>2</w:t>
            </w:r>
            <w:r>
              <w:t>）危险废物的物流出入口以及转运、输送路线应远离办公和生活服务设施。移动式输送设备（如各种运输车辆）在厂内运输危险废物时，应按照专用路线行驶。</w:t>
            </w:r>
          </w:p>
          <w:p w14:paraId="1F1253FD" w14:textId="77777777" w:rsidR="002E474C" w:rsidRDefault="00000000">
            <w:pPr>
              <w:pStyle w:val="A-"/>
              <w:jc w:val="both"/>
            </w:pPr>
            <w:r>
              <w:t>（</w:t>
            </w:r>
            <w:r>
              <w:t>3</w:t>
            </w:r>
            <w:r>
              <w:t>）危险废物的管道输送设备应保持良好的密闭性，防止危险废物的滴漏和溢出；非密闭输送设备（如传送带、提升机等）和移动式输送设备（如铲斗车等）应采取防护措施（如加设防护罩等），防止粉尘飘散、挥发性气体逸散和危险废物遗撒，移动式输送设备还应定期进行清洗。</w:t>
            </w:r>
          </w:p>
          <w:p w14:paraId="1D2CD699" w14:textId="77777777" w:rsidR="002E474C" w:rsidRDefault="00000000">
            <w:pPr>
              <w:pStyle w:val="A-"/>
              <w:jc w:val="both"/>
            </w:pPr>
            <w:r>
              <w:t>（</w:t>
            </w:r>
            <w:r>
              <w:t>4</w:t>
            </w:r>
            <w:r>
              <w:t>）输送危险废物的管道、传送带应在显眼处设置安全警告标识。</w:t>
            </w:r>
          </w:p>
          <w:p w14:paraId="5C315C36" w14:textId="77777777" w:rsidR="002E474C" w:rsidRDefault="00000000">
            <w:pPr>
              <w:pStyle w:val="A-"/>
              <w:jc w:val="both"/>
            </w:pPr>
            <w:r>
              <w:t>（</w:t>
            </w:r>
            <w:r>
              <w:t>5</w:t>
            </w:r>
            <w:r>
              <w:t>）厂内危险废物输送设备管理、维护产生的各种废物均应作为危险废物进行管理和处置。</w:t>
            </w:r>
          </w:p>
        </w:tc>
        <w:tc>
          <w:tcPr>
            <w:tcW w:w="1876" w:type="pct"/>
            <w:shd w:val="clear" w:color="auto" w:fill="auto"/>
            <w:vAlign w:val="center"/>
          </w:tcPr>
          <w:p w14:paraId="6CAB5908" w14:textId="77777777" w:rsidR="002E474C" w:rsidRDefault="00000000">
            <w:pPr>
              <w:pStyle w:val="A-"/>
              <w:jc w:val="both"/>
            </w:pPr>
            <w:r>
              <w:lastRenderedPageBreak/>
              <w:t>（</w:t>
            </w:r>
            <w:r>
              <w:t>1</w:t>
            </w:r>
            <w:r>
              <w:t>）本项目在厂内采用专用输送工具、专用路线运输危险废物，物流出入口以及转运、输送路线远离办公区及生活服务设施。</w:t>
            </w:r>
          </w:p>
          <w:p w14:paraId="04838ACF" w14:textId="77777777" w:rsidR="002E474C" w:rsidRDefault="00000000">
            <w:pPr>
              <w:pStyle w:val="A-"/>
              <w:jc w:val="both"/>
            </w:pPr>
            <w:r>
              <w:lastRenderedPageBreak/>
              <w:t>（</w:t>
            </w:r>
            <w:r>
              <w:t>2</w:t>
            </w:r>
            <w:r>
              <w:t>）固态危废采用非密闭输送设备（如传送带、提升机等）和移动式输送设备（如铲斗车等）应采取防护措施（如加设防护罩或车间封闭等），移动式输送设备还应定期进行清洗。液态危废采用密闭桶装输送。</w:t>
            </w:r>
          </w:p>
          <w:p w14:paraId="4570E743" w14:textId="77777777" w:rsidR="002E474C" w:rsidRDefault="00000000">
            <w:pPr>
              <w:pStyle w:val="A-"/>
              <w:jc w:val="both"/>
            </w:pPr>
            <w:r>
              <w:t>（</w:t>
            </w:r>
            <w:r>
              <w:t>3</w:t>
            </w:r>
            <w:r>
              <w:t>）危险废物传送带及专用通道在显眼处设置安全警告标识。</w:t>
            </w:r>
          </w:p>
          <w:p w14:paraId="1764DACC" w14:textId="77777777" w:rsidR="002E474C" w:rsidRDefault="00000000">
            <w:pPr>
              <w:pStyle w:val="A-"/>
              <w:jc w:val="both"/>
            </w:pPr>
            <w:r>
              <w:t>（</w:t>
            </w:r>
            <w:r>
              <w:t>4</w:t>
            </w:r>
            <w:r>
              <w:t>）厂内危险废物输送设备管理、维护产生的各种废物均应作为危险废物进行管理和处置。</w:t>
            </w:r>
          </w:p>
        </w:tc>
        <w:tc>
          <w:tcPr>
            <w:tcW w:w="232" w:type="pct"/>
            <w:vAlign w:val="center"/>
          </w:tcPr>
          <w:p w14:paraId="132A7557" w14:textId="77777777" w:rsidR="002E474C" w:rsidRDefault="00000000">
            <w:pPr>
              <w:pStyle w:val="A-"/>
            </w:pPr>
            <w:r>
              <w:lastRenderedPageBreak/>
              <w:t>符合</w:t>
            </w:r>
          </w:p>
        </w:tc>
      </w:tr>
      <w:tr w:rsidR="002E474C" w14:paraId="3C80670E" w14:textId="77777777">
        <w:tc>
          <w:tcPr>
            <w:tcW w:w="320" w:type="pct"/>
            <w:vMerge/>
            <w:vAlign w:val="center"/>
          </w:tcPr>
          <w:p w14:paraId="771FC6ED" w14:textId="77777777" w:rsidR="002E474C" w:rsidRDefault="002E474C">
            <w:pPr>
              <w:pStyle w:val="A-"/>
            </w:pPr>
          </w:p>
        </w:tc>
        <w:tc>
          <w:tcPr>
            <w:tcW w:w="198" w:type="pct"/>
            <w:vAlign w:val="center"/>
          </w:tcPr>
          <w:p w14:paraId="191F5B73" w14:textId="77777777" w:rsidR="002E474C" w:rsidRDefault="00000000">
            <w:pPr>
              <w:pStyle w:val="A-"/>
            </w:pPr>
            <w:r>
              <w:t>6.</w:t>
            </w:r>
            <w:r>
              <w:t>投加</w:t>
            </w:r>
          </w:p>
        </w:tc>
        <w:tc>
          <w:tcPr>
            <w:tcW w:w="2374" w:type="pct"/>
            <w:vAlign w:val="center"/>
          </w:tcPr>
          <w:p w14:paraId="63040D3D" w14:textId="77777777" w:rsidR="002E474C" w:rsidRDefault="00000000">
            <w:pPr>
              <w:pStyle w:val="A-"/>
              <w:jc w:val="both"/>
            </w:pPr>
            <w:r>
              <w:t>（</w:t>
            </w:r>
            <w:r>
              <w:t>1</w:t>
            </w:r>
            <w:r>
              <w:t>）应根据危险废物（或预处理产物）的特性在水泥窑中选择合适的投加位置，并设置危险废物投加设施，水泥窑的危险废物投加位置和投加设施参见《指南》附表</w:t>
            </w:r>
            <w:r>
              <w:t>1</w:t>
            </w:r>
            <w:r>
              <w:t>。作为替代混合材向水泥磨投加的危险废物应为不含有机物（有机质含量小于</w:t>
            </w:r>
            <w:r>
              <w:t>0.5%</w:t>
            </w:r>
            <w:r>
              <w:t>，二噁英类含量小于</w:t>
            </w:r>
            <w:r>
              <w:t>10ng TEQ/kg</w:t>
            </w:r>
            <w:r>
              <w:t>，其他特征有机物含量不大于水泥熟料中相应的有机物含量）和氰化物（</w:t>
            </w:r>
            <w:r>
              <w:t>CN-</w:t>
            </w:r>
            <w:r>
              <w:t>含量小于</w:t>
            </w:r>
            <w:r>
              <w:t>0.01 mg/kg</w:t>
            </w:r>
            <w:r>
              <w:t>）的固态废物，并确保水泥产品满足水泥相关质量标准以及《水泥窑协同处置固体废物环境保护技术规范》（</w:t>
            </w:r>
            <w:r>
              <w:t>HJ662</w:t>
            </w:r>
            <w:r>
              <w:t>）表</w:t>
            </w:r>
            <w:r>
              <w:t xml:space="preserve">1 </w:t>
            </w:r>
            <w:r>
              <w:t>中规定的</w:t>
            </w:r>
            <w:r>
              <w:t>“</w:t>
            </w:r>
            <w:r>
              <w:t>单位质量水泥的重金属最大允许投加量</w:t>
            </w:r>
            <w:r>
              <w:t>”</w:t>
            </w:r>
            <w:r>
              <w:t>限值。</w:t>
            </w:r>
          </w:p>
          <w:p w14:paraId="2D7CBB6C" w14:textId="77777777" w:rsidR="002E474C" w:rsidRDefault="00000000">
            <w:pPr>
              <w:pStyle w:val="A-"/>
              <w:jc w:val="both"/>
            </w:pPr>
            <w:r>
              <w:t>（</w:t>
            </w:r>
            <w:r>
              <w:t>2</w:t>
            </w:r>
            <w:r>
              <w:t>）含有机卤化物等难降解或高毒性有机物的危险废物优先从窑头（窑头主燃烧器或窑门罩）投加，若受危险废物物理特性限制（如半固态或大粒径固态危险废物）不能从窑头投加时，则优先从窑尾烟室投加，若受危险废物燃烧特性限制（如可燃或有机质含量较高的危险废物）也不能从窑尾烟室投加时，最后再选择从分解炉投加。</w:t>
            </w:r>
          </w:p>
          <w:p w14:paraId="252EE50B" w14:textId="77777777" w:rsidR="002E474C" w:rsidRDefault="00000000">
            <w:pPr>
              <w:pStyle w:val="A-"/>
              <w:jc w:val="both"/>
            </w:pPr>
            <w:r>
              <w:t>（</w:t>
            </w:r>
            <w:r>
              <w:t>3</w:t>
            </w:r>
            <w:r>
              <w:t>）采用窑门罩抽气作为窑头余热发电热源的水泥窑禁止从窑门罩投加危险废物。</w:t>
            </w:r>
          </w:p>
          <w:p w14:paraId="1315A36D" w14:textId="77777777" w:rsidR="002E474C" w:rsidRDefault="00000000">
            <w:pPr>
              <w:pStyle w:val="A-"/>
              <w:jc w:val="both"/>
            </w:pPr>
            <w:r>
              <w:t>（</w:t>
            </w:r>
            <w:r>
              <w:t>4</w:t>
            </w:r>
            <w:r>
              <w:t>）危险废物从分解炉投加时，投加位置应选择在分解炉的煤粉或三次风入口附近，并在保证分解炉内氧化气氛稳定的前提下，尽可能靠近分解炉下部，以确保足够的烟气停留时间。</w:t>
            </w:r>
          </w:p>
          <w:p w14:paraId="402B4A90" w14:textId="77777777" w:rsidR="002E474C" w:rsidRDefault="00000000">
            <w:pPr>
              <w:pStyle w:val="A-"/>
              <w:jc w:val="both"/>
            </w:pPr>
            <w:r>
              <w:t>（</w:t>
            </w:r>
            <w:r>
              <w:t>5</w:t>
            </w:r>
            <w:r>
              <w:t>）危险废物投加设施应能实现自动进料，并配置可调节投加速率的计量装置实现定量投料。在窑尾烟室或分解炉也可设置人工投加口用于临时投加自行产生或接收量少且不易进行预处理的危险废</w:t>
            </w:r>
            <w:r>
              <w:lastRenderedPageBreak/>
              <w:t>物（如危险废物的包装物、瓶装的实验室废物、专项整治活动中收缴的违禁化学品、不合格产品等）。</w:t>
            </w:r>
          </w:p>
          <w:p w14:paraId="57D85878" w14:textId="77777777" w:rsidR="002E474C" w:rsidRDefault="00000000">
            <w:pPr>
              <w:pStyle w:val="A-"/>
              <w:jc w:val="both"/>
            </w:pPr>
            <w:r>
              <w:t>（</w:t>
            </w:r>
            <w:r>
              <w:t>6</w:t>
            </w:r>
            <w:r>
              <w:t>）危险废物采用非密闭机械输送投加装置（如传送带、提升机等）或人工从分解炉或窑尾烟室投加时，应在分解炉或窑尾烟室的危险废物入口处设置锁风结构（如物料重力自卸双层折板门、程序自动控制双层门、回转锁风门等），防止在投加危险废物过程中向窑内漏风以及水泥窑工况异常时窑内高温热风外溢和回火。</w:t>
            </w:r>
          </w:p>
          <w:p w14:paraId="21C6CB7D" w14:textId="77777777" w:rsidR="002E474C" w:rsidRDefault="00000000">
            <w:pPr>
              <w:pStyle w:val="A-"/>
              <w:jc w:val="both"/>
            </w:pPr>
            <w:r>
              <w:t>（</w:t>
            </w:r>
            <w:r>
              <w:t>7</w:t>
            </w:r>
            <w:r>
              <w:t>）危险废物机械输送投加装置的卸料点应设置防风、防雨棚。</w:t>
            </w:r>
          </w:p>
          <w:p w14:paraId="6279305B" w14:textId="77777777" w:rsidR="002E474C" w:rsidRDefault="00000000">
            <w:pPr>
              <w:pStyle w:val="A-"/>
              <w:jc w:val="both"/>
            </w:pPr>
            <w:r>
              <w:t>含挥发或半挥发性成分的危险废物和固态危险废物的机械输送投加装置卸料点应设置在密闭性较好的室内车间。含挥发或半挥发性成分的危险废物的卸料车间内应设置通风换气装置并采用微负压抽气设计，排出的废气应导入水泥窑高温区，如篦冷机的靠近窑头端（采用窑门罩抽气作为窑头余热发电热源的水泥窑除外）或分解炉三次风入口处，或经过其他气体净化装置处理后达标排放。固态危险废物的卸料车间应配备除尘装置。液态危险废物的卸料区域应设置堵截泄漏的裙角和泄漏液体收集装置。</w:t>
            </w:r>
          </w:p>
          <w:p w14:paraId="5E410ADE" w14:textId="77777777" w:rsidR="002E474C" w:rsidRDefault="00000000">
            <w:pPr>
              <w:pStyle w:val="A-"/>
              <w:jc w:val="both"/>
            </w:pPr>
            <w:r>
              <w:t>（</w:t>
            </w:r>
            <w:r>
              <w:t>8</w:t>
            </w:r>
            <w:r>
              <w:t>）危险废物非密闭机械输送投加装置（如传送带、提升机等）的入料端口和人工投加口应设置在线监视系统，并将监视视频实时传输至中央控制室显示屏幕。</w:t>
            </w:r>
          </w:p>
          <w:p w14:paraId="004AD180" w14:textId="77777777" w:rsidR="002E474C" w:rsidRDefault="00000000">
            <w:pPr>
              <w:pStyle w:val="A-"/>
              <w:jc w:val="both"/>
            </w:pPr>
            <w:r>
              <w:t>（</w:t>
            </w:r>
            <w:r>
              <w:t>9</w:t>
            </w:r>
            <w:r>
              <w:t>）危险废物向水泥窑投加的其他要求应符合《水泥窑协同处置固体废物环境保护技术规范》（</w:t>
            </w:r>
            <w:r>
              <w:t>HJ662</w:t>
            </w:r>
            <w:r>
              <w:t>）中的相关规定。</w:t>
            </w:r>
          </w:p>
        </w:tc>
        <w:tc>
          <w:tcPr>
            <w:tcW w:w="1876" w:type="pct"/>
            <w:shd w:val="clear" w:color="auto" w:fill="auto"/>
            <w:vAlign w:val="center"/>
          </w:tcPr>
          <w:p w14:paraId="5153CFB9" w14:textId="77777777" w:rsidR="002E474C" w:rsidRDefault="00000000">
            <w:pPr>
              <w:pStyle w:val="A-"/>
              <w:jc w:val="both"/>
            </w:pPr>
            <w:r>
              <w:lastRenderedPageBreak/>
              <w:t>（</w:t>
            </w:r>
            <w:r>
              <w:t>1</w:t>
            </w:r>
            <w:r>
              <w:t>）本项目根据危险废物特性选择投料口，配套投料设施。协同处置的危废投料有机质和氰化物应确保水泥熟料满足《硅酸盐水泥熟料》（</w:t>
            </w:r>
            <w:r>
              <w:t>GB/T21372-2024</w:t>
            </w:r>
            <w:r>
              <w:t>），水泥产品满足《通用硅酸盐水泥》（</w:t>
            </w:r>
            <w:r>
              <w:t>GB175-2023</w:t>
            </w:r>
            <w:r>
              <w:t>），投料重金属限值满足《水泥窑协同处置固体废物环境保护技术规范》（</w:t>
            </w:r>
            <w:r>
              <w:t>HJ662</w:t>
            </w:r>
            <w:r>
              <w:t>）。投料口设在线监视系统并实时传送至中央控制室显示屏幕。</w:t>
            </w:r>
          </w:p>
          <w:p w14:paraId="1754DD34" w14:textId="77777777" w:rsidR="002E474C" w:rsidRDefault="00000000">
            <w:pPr>
              <w:pStyle w:val="A-"/>
              <w:jc w:val="both"/>
            </w:pPr>
            <w:r>
              <w:t>（</w:t>
            </w:r>
            <w:r>
              <w:t>2</w:t>
            </w:r>
            <w:r>
              <w:t>）应急系统危废投料口从窑尾烟室上侧的分解炉底部区域投加。</w:t>
            </w:r>
          </w:p>
          <w:p w14:paraId="2DB6D275" w14:textId="77777777" w:rsidR="002E474C" w:rsidRDefault="00000000">
            <w:pPr>
              <w:pStyle w:val="A-"/>
              <w:jc w:val="both"/>
            </w:pPr>
            <w:r>
              <w:t>（</w:t>
            </w:r>
            <w:r>
              <w:t>3</w:t>
            </w:r>
            <w:r>
              <w:t>）水泥窑不进行余热发电。</w:t>
            </w:r>
          </w:p>
          <w:p w14:paraId="59B49FAE" w14:textId="77777777" w:rsidR="002E474C" w:rsidRDefault="00000000">
            <w:pPr>
              <w:pStyle w:val="A-"/>
              <w:jc w:val="both"/>
            </w:pPr>
            <w:r>
              <w:t>（</w:t>
            </w:r>
            <w:r>
              <w:t>4</w:t>
            </w:r>
            <w:r>
              <w:t>）投料采用自动进料系统并配套计量装置，置锁风结构，防止投料过程中漏风、回火。投料系统卸料点设置防护设施。液态危废投料在封闭的液态处置车间内。固态加料系统与液态加料系统排出的废气导入窑头篦冷机高温段。危险废物在固态危废预处理车间卸料器卸料，配套集气罩，将卸料废气导入破碎间的布袋除尘器处理。危废贮存库液态贮存区配套堵截泄漏的裙角和集液池。</w:t>
            </w:r>
          </w:p>
          <w:p w14:paraId="015EB380" w14:textId="77777777" w:rsidR="002E474C" w:rsidRDefault="00000000">
            <w:pPr>
              <w:pStyle w:val="A-"/>
              <w:jc w:val="both"/>
            </w:pPr>
            <w:r>
              <w:t>（</w:t>
            </w:r>
            <w:r>
              <w:t>5</w:t>
            </w:r>
            <w:r>
              <w:t>）投料系统其他要求符合《水泥窑协同处置固体废物环境保护技术规范》（</w:t>
            </w:r>
            <w:r>
              <w:t>HJ662</w:t>
            </w:r>
            <w:r>
              <w:t>）中的相关规定。</w:t>
            </w:r>
          </w:p>
        </w:tc>
        <w:tc>
          <w:tcPr>
            <w:tcW w:w="232" w:type="pct"/>
            <w:vAlign w:val="center"/>
          </w:tcPr>
          <w:p w14:paraId="2918EE72" w14:textId="77777777" w:rsidR="002E474C" w:rsidRDefault="00000000">
            <w:pPr>
              <w:pStyle w:val="A-"/>
            </w:pPr>
            <w:r>
              <w:t>符合</w:t>
            </w:r>
          </w:p>
        </w:tc>
      </w:tr>
      <w:tr w:rsidR="002E474C" w14:paraId="1A40EAE0" w14:textId="77777777">
        <w:tc>
          <w:tcPr>
            <w:tcW w:w="320" w:type="pct"/>
            <w:vMerge/>
            <w:vAlign w:val="center"/>
          </w:tcPr>
          <w:p w14:paraId="24FE48AF" w14:textId="77777777" w:rsidR="002E474C" w:rsidRDefault="002E474C">
            <w:pPr>
              <w:pStyle w:val="A-"/>
            </w:pPr>
          </w:p>
        </w:tc>
        <w:tc>
          <w:tcPr>
            <w:tcW w:w="198" w:type="pct"/>
            <w:vAlign w:val="center"/>
          </w:tcPr>
          <w:p w14:paraId="4A373365" w14:textId="77777777" w:rsidR="002E474C" w:rsidRDefault="00000000">
            <w:pPr>
              <w:pStyle w:val="A-"/>
            </w:pPr>
            <w:r>
              <w:t>7.</w:t>
            </w:r>
            <w:r>
              <w:t>协同处置危险废物的类别</w:t>
            </w:r>
            <w:r>
              <w:lastRenderedPageBreak/>
              <w:t>和规模</w:t>
            </w:r>
          </w:p>
        </w:tc>
        <w:tc>
          <w:tcPr>
            <w:tcW w:w="2374" w:type="pct"/>
            <w:vAlign w:val="center"/>
          </w:tcPr>
          <w:p w14:paraId="42BB9105" w14:textId="77777777" w:rsidR="002E474C" w:rsidRDefault="00000000">
            <w:pPr>
              <w:pStyle w:val="A-"/>
              <w:jc w:val="both"/>
            </w:pPr>
            <w:r>
              <w:lastRenderedPageBreak/>
              <w:t>（</w:t>
            </w:r>
            <w:r>
              <w:t>1</w:t>
            </w:r>
            <w:r>
              <w:t>）水泥窑禁止协同处置放射性废物，爆炸物及反应性废物，未经拆解的电子废物，含汞的温度计、血压仪、荧光灯管和开关，铬渣，未知特性的不明废物。危险废物预处理中心或采用集中经营模式的协同处置单位可以接收未知特性的不明废物，但应满足《水泥窑协同处置固体废物环境保护技术规范》（</w:t>
            </w:r>
            <w:r>
              <w:t>HJ662</w:t>
            </w:r>
            <w:r>
              <w:t>）第</w:t>
            </w:r>
            <w:r>
              <w:t xml:space="preserve">9.3 </w:t>
            </w:r>
            <w:r>
              <w:t>节中有关不明性质废物的专门规定。电子废物拆解下来的废树脂可以在水泥窑进行协同处置。</w:t>
            </w:r>
          </w:p>
          <w:p w14:paraId="30B732CD" w14:textId="77777777" w:rsidR="002E474C" w:rsidRDefault="00000000">
            <w:pPr>
              <w:pStyle w:val="A-"/>
              <w:jc w:val="both"/>
            </w:pPr>
            <w:r>
              <w:t>（</w:t>
            </w:r>
            <w:r>
              <w:t>2</w:t>
            </w:r>
            <w:r>
              <w:t>）除放射性废物、爆炸物及反应性废物、含汞的温度计、血压仪、荧光灯管和开关、铬渣之外的其他危险废物，若满足或经预处理后满足《水泥窑协同处置固体废物环境保护技术规范》（</w:t>
            </w:r>
            <w:r>
              <w:t>HJ662</w:t>
            </w:r>
            <w:r>
              <w:t>）规定的入窑或替代混合材要求后，均可以进行水泥窑协同处置。</w:t>
            </w:r>
          </w:p>
          <w:p w14:paraId="7F24AEF9" w14:textId="77777777" w:rsidR="002E474C" w:rsidRDefault="00000000">
            <w:pPr>
              <w:pStyle w:val="A-"/>
              <w:jc w:val="both"/>
            </w:pPr>
            <w:r>
              <w:t>（</w:t>
            </w:r>
            <w:r>
              <w:t>3</w:t>
            </w:r>
            <w:r>
              <w:t>）水泥窑协同处置危险废物的规模和类别应与地方危险废物的</w:t>
            </w:r>
            <w:r>
              <w:lastRenderedPageBreak/>
              <w:t>产生现状和特点，以及地方现有危险废物处置设施的危险废物处置类别和能力相协调。</w:t>
            </w:r>
          </w:p>
          <w:p w14:paraId="3D5971C1" w14:textId="77777777" w:rsidR="002E474C" w:rsidRDefault="00000000">
            <w:pPr>
              <w:pStyle w:val="A-"/>
              <w:jc w:val="both"/>
            </w:pPr>
            <w:r>
              <w:t>（</w:t>
            </w:r>
            <w:r>
              <w:t>4</w:t>
            </w:r>
            <w:r>
              <w:t>）水泥窑协同处置危险废物的规模不应超过水泥窑对危险废物的最大容量。在保证水泥窑熟料产量不明显降低的条件下，水泥窑对危险废物的最大容量可参考《指南》附表</w:t>
            </w:r>
            <w:r>
              <w:t xml:space="preserve">2 </w:t>
            </w:r>
            <w:r>
              <w:t>确定。危险废物作为替代混合材时，水泥磨对危险废物的最大容量不超过水泥生产能力的</w:t>
            </w:r>
            <w:r>
              <w:t>20%</w:t>
            </w:r>
            <w:r>
              <w:t>。水泥窑协同处置危险废物的规模还应考虑危险废物中有害元素包括重金属、硫（</w:t>
            </w:r>
            <w:r>
              <w:t>S</w:t>
            </w:r>
            <w:r>
              <w:t>）、氯（</w:t>
            </w:r>
            <w:r>
              <w:t>Cl</w:t>
            </w:r>
            <w:r>
              <w:t>）、氟（</w:t>
            </w:r>
            <w:r>
              <w:t>F</w:t>
            </w:r>
            <w:r>
              <w:t>）和硝酸盐、亚硝酸盐的含量，确保由危险废物带入水泥窑（或水泥磨）的有害元素的总量满足《水泥窑协同处置固体废物环境保护技术规范》（</w:t>
            </w:r>
            <w:r>
              <w:t>HJ662</w:t>
            </w:r>
            <w:r>
              <w:t>）中第</w:t>
            </w:r>
            <w:r>
              <w:t>6.6.7</w:t>
            </w:r>
            <w:r>
              <w:t>～</w:t>
            </w:r>
            <w:r>
              <w:t xml:space="preserve">6.6.9 </w:t>
            </w:r>
            <w:r>
              <w:t>条的要求，每生产</w:t>
            </w:r>
            <w:r>
              <w:t>1</w:t>
            </w:r>
            <w:r>
              <w:t>吨熟料由危险废物带入水泥窑的硝酸盐和亚硝酸盐总量（以</w:t>
            </w:r>
            <w:r>
              <w:t>N</w:t>
            </w:r>
            <w:r>
              <w:t>元素计）不超过</w:t>
            </w:r>
            <w:r>
              <w:t>35g</w:t>
            </w:r>
            <w:r>
              <w:t>。</w:t>
            </w:r>
          </w:p>
          <w:p w14:paraId="2B6DD726" w14:textId="77777777" w:rsidR="002E474C" w:rsidRDefault="00000000">
            <w:pPr>
              <w:pStyle w:val="A-"/>
              <w:jc w:val="both"/>
            </w:pPr>
            <w:r>
              <w:t>（</w:t>
            </w:r>
            <w:r>
              <w:t>5</w:t>
            </w:r>
            <w:r>
              <w:t>）水泥窑同时协同处置可燃危险废物、不可燃的半固态、液态或含水率较高的固态危险废物时，水泥窑对可燃危险废物、不可燃的半固态、液态危险废物的最大容量应在《指南》附表</w:t>
            </w:r>
            <w:r>
              <w:t xml:space="preserve">2 </w:t>
            </w:r>
            <w:r>
              <w:t>所示的基础上进行相应的减小。</w:t>
            </w:r>
          </w:p>
        </w:tc>
        <w:tc>
          <w:tcPr>
            <w:tcW w:w="1876" w:type="pct"/>
            <w:shd w:val="clear" w:color="auto" w:fill="auto"/>
            <w:vAlign w:val="center"/>
          </w:tcPr>
          <w:p w14:paraId="2FE3A512" w14:textId="77777777" w:rsidR="002E474C" w:rsidRDefault="00000000">
            <w:pPr>
              <w:pStyle w:val="A-"/>
              <w:jc w:val="both"/>
            </w:pPr>
            <w:r>
              <w:lastRenderedPageBreak/>
              <w:t>（</w:t>
            </w:r>
            <w:r>
              <w:t>1</w:t>
            </w:r>
            <w:r>
              <w:t>）禁止入窑废物包括：危险废物中放射性废物；爆炸物及反应性废物；未经拆解的废电池、废家用电器和电子产品；含汞的温度计、血压计、荧光灯管和开关；未知特性和未经鉴定的废物。除此之外，其他废物在进入水泥窑进行协同处置之前应进行适当的预处理，防止对窑况和水泥产品质量的不良影响。</w:t>
            </w:r>
          </w:p>
          <w:p w14:paraId="4B407C54" w14:textId="77777777" w:rsidR="002E474C" w:rsidRDefault="00000000">
            <w:pPr>
              <w:pStyle w:val="A-"/>
              <w:jc w:val="both"/>
            </w:pPr>
            <w:r>
              <w:t>（</w:t>
            </w:r>
            <w:r>
              <w:t>2</w:t>
            </w:r>
            <w:r>
              <w:t>）预处理中心的危险废物准入控制、准入评估、初步配伍及预处理方案可满足本项目危险废物协同处置要求，预处理能力与贮存能力均满足本项目协同处置危废协同处置规模要求，同时具备危险废物预处理产物安全转移条件。</w:t>
            </w:r>
          </w:p>
          <w:p w14:paraId="03EE85BA" w14:textId="77777777" w:rsidR="002E474C" w:rsidRDefault="00000000">
            <w:pPr>
              <w:pStyle w:val="A-"/>
              <w:jc w:val="both"/>
            </w:pPr>
            <w:r>
              <w:t>（</w:t>
            </w:r>
            <w:r>
              <w:t>3</w:t>
            </w:r>
            <w:r>
              <w:t>）本项目实施后生料中</w:t>
            </w:r>
            <w:r>
              <w:t>Cl</w:t>
            </w:r>
            <w:r>
              <w:t>含量满足</w:t>
            </w:r>
            <w:r>
              <w:t>HJ662</w:t>
            </w:r>
            <w:r>
              <w:t>中对入窑</w:t>
            </w:r>
            <w:r>
              <w:lastRenderedPageBreak/>
              <w:t>物料含氯量的要求（＜</w:t>
            </w:r>
            <w:r>
              <w:t>0.04%</w:t>
            </w:r>
            <w:r>
              <w:t>），熟料中氯元素含量满足水泥行业控制标准的基本要求（＜</w:t>
            </w:r>
            <w:r>
              <w:t>0.06%</w:t>
            </w:r>
            <w:r>
              <w:t>）。本项目实施后入窑物料五类重金属（</w:t>
            </w:r>
            <w:r>
              <w:t>Hg</w:t>
            </w:r>
            <w:r>
              <w:t>、</w:t>
            </w:r>
            <w:r>
              <w:t>Cr</w:t>
            </w:r>
            <w:r>
              <w:t>、</w:t>
            </w:r>
            <w:r>
              <w:t>As</w:t>
            </w:r>
            <w:r>
              <w:t>、</w:t>
            </w:r>
            <w:r>
              <w:t>Cd</w:t>
            </w:r>
            <w:r>
              <w:t>、</w:t>
            </w:r>
            <w:r>
              <w:t>Pb</w:t>
            </w:r>
            <w:r>
              <w:t>）的最大含量均满足《水泥窑协同处置固体废物环境保护技术规范》（</w:t>
            </w:r>
            <w:r>
              <w:t>HJ662-2013</w:t>
            </w:r>
            <w:r>
              <w:t>）的入窑标准要求。</w:t>
            </w:r>
          </w:p>
          <w:p w14:paraId="708CD090" w14:textId="77777777" w:rsidR="002E474C" w:rsidRDefault="00000000">
            <w:pPr>
              <w:pStyle w:val="A-"/>
              <w:jc w:val="both"/>
            </w:pPr>
            <w:r>
              <w:t>（</w:t>
            </w:r>
            <w:r>
              <w:t>4</w:t>
            </w:r>
            <w:r>
              <w:t>）本项目拟处置危废中的不可燃废物</w:t>
            </w:r>
            <w:r>
              <w:t>44165.62t/a</w:t>
            </w:r>
            <w:r>
              <w:t>，不可燃废物合计占水泥窑熟料生产能力的</w:t>
            </w:r>
            <w:r>
              <w:t>2.94%</w:t>
            </w:r>
            <w:r>
              <w:t>，满足各类不可燃危废可投加的比例不超过水泥窑熟料生产能力</w:t>
            </w:r>
            <w:r>
              <w:t>4%</w:t>
            </w:r>
            <w:r>
              <w:t>～</w:t>
            </w:r>
            <w:r>
              <w:t>15%</w:t>
            </w:r>
            <w:r>
              <w:t>的最大投加质量要求。</w:t>
            </w:r>
          </w:p>
        </w:tc>
        <w:tc>
          <w:tcPr>
            <w:tcW w:w="232" w:type="pct"/>
            <w:vAlign w:val="center"/>
          </w:tcPr>
          <w:p w14:paraId="652A13A7" w14:textId="77777777" w:rsidR="002E474C" w:rsidRDefault="00000000">
            <w:pPr>
              <w:pStyle w:val="A-"/>
            </w:pPr>
            <w:r>
              <w:lastRenderedPageBreak/>
              <w:t>符合</w:t>
            </w:r>
          </w:p>
        </w:tc>
      </w:tr>
      <w:tr w:rsidR="002E474C" w14:paraId="1BF7F5E6" w14:textId="77777777">
        <w:tc>
          <w:tcPr>
            <w:tcW w:w="320" w:type="pct"/>
            <w:vMerge/>
            <w:vAlign w:val="center"/>
          </w:tcPr>
          <w:p w14:paraId="477F5ADB" w14:textId="77777777" w:rsidR="002E474C" w:rsidRDefault="002E474C">
            <w:pPr>
              <w:pStyle w:val="A-"/>
            </w:pPr>
          </w:p>
        </w:tc>
        <w:tc>
          <w:tcPr>
            <w:tcW w:w="198" w:type="pct"/>
            <w:vAlign w:val="center"/>
          </w:tcPr>
          <w:p w14:paraId="7BCD6855" w14:textId="77777777" w:rsidR="002E474C" w:rsidRDefault="00000000">
            <w:pPr>
              <w:pStyle w:val="A-"/>
            </w:pPr>
            <w:r>
              <w:t>8.</w:t>
            </w:r>
            <w:r>
              <w:t>污染物排放控制</w:t>
            </w:r>
          </w:p>
        </w:tc>
        <w:tc>
          <w:tcPr>
            <w:tcW w:w="2374" w:type="pct"/>
            <w:vAlign w:val="center"/>
          </w:tcPr>
          <w:p w14:paraId="122890D9" w14:textId="77777777" w:rsidR="002E474C" w:rsidRDefault="00000000">
            <w:pPr>
              <w:pStyle w:val="A-"/>
              <w:jc w:val="both"/>
            </w:pPr>
            <w:r>
              <w:t>（</w:t>
            </w:r>
            <w:r>
              <w:t>1</w:t>
            </w:r>
            <w:r>
              <w:t>）协同处置危险废物的水泥窑可以设置旁路放风设施。旁路放风设施应采用高效布袋除尘器作为烟气除尘设施，若采用独立的排气筒时，其排气筒高度不低于</w:t>
            </w:r>
            <w:r>
              <w:t>15m</w:t>
            </w:r>
            <w:r>
              <w:t>，且高出本体建筑物</w:t>
            </w:r>
            <w:r>
              <w:t>3m</w:t>
            </w:r>
            <w:r>
              <w:t>以上。旁路放风粉尘和窑灰可以作为替代混合材直接投入水泥磨，但应严格控制其掺加比例，确保水泥产品满足相关质量标准以及《水泥窑协同处置固体废物环境保护技术规范》（</w:t>
            </w:r>
            <w:r>
              <w:t>HJ662</w:t>
            </w:r>
            <w:r>
              <w:t>）中表</w:t>
            </w:r>
            <w:r>
              <w:t xml:space="preserve">1 </w:t>
            </w:r>
            <w:r>
              <w:t>规定的</w:t>
            </w:r>
            <w:r>
              <w:t>“</w:t>
            </w:r>
            <w:r>
              <w:t>单位质量水泥的重金属最大允许投加量</w:t>
            </w:r>
            <w:r>
              <w:t>”</w:t>
            </w:r>
            <w:r>
              <w:t>限值。如果窑灰和旁路放风粉尘需要送至水泥生产企业外进行处置，应按危险废物进行管理。</w:t>
            </w:r>
          </w:p>
          <w:p w14:paraId="394993FF" w14:textId="77777777" w:rsidR="002E474C" w:rsidRDefault="00000000">
            <w:pPr>
              <w:pStyle w:val="A-"/>
              <w:jc w:val="both"/>
            </w:pPr>
            <w:r>
              <w:t>（</w:t>
            </w:r>
            <w:r>
              <w:t>2</w:t>
            </w:r>
            <w:r>
              <w:t>）协同处置危险废物的窑尾排气筒和旁路放风设施排气筒（包括独立排气筒和与水泥窑及窑尾余热利用系统、窑头熟料冷却机或煤磨的共用排气筒）大气污染物排放浓度应满足《水泥窑协同处置固体废物污染控制标准》（</w:t>
            </w:r>
            <w:r>
              <w:t>GB30485</w:t>
            </w:r>
            <w:r>
              <w:t>）的要求。危险废物贮存设施、预处理车间和输送投加装置卸料车间有组织排放源的恶臭污染物排放浓度应满足《恶臭污染物排放标准》（</w:t>
            </w:r>
            <w:r>
              <w:t>GB14554</w:t>
            </w:r>
            <w:r>
              <w:t>）的要求，非甲烷总烃排放浓度应满足《大气污染物综合排放标准》（</w:t>
            </w:r>
            <w:r>
              <w:t>GB16297</w:t>
            </w:r>
            <w:r>
              <w:t>）的要求，颗粒物排放浓度应不超过</w:t>
            </w:r>
            <w:r>
              <w:t>20mg/m³</w:t>
            </w:r>
            <w:r>
              <w:t>（标准状态下干烟气浓度</w:t>
            </w:r>
            <w:r>
              <w:t>)</w:t>
            </w:r>
            <w:r>
              <w:t>。采用独立排气筒的预处理设施（如烘干机、预烧炉等）排气筒</w:t>
            </w:r>
            <w:r>
              <w:lastRenderedPageBreak/>
              <w:t>大气污染物排放浓度应根据预处理设施类型满足相关大气污染物排放管控要求。</w:t>
            </w:r>
          </w:p>
          <w:p w14:paraId="56BF7C32" w14:textId="77777777" w:rsidR="002E474C" w:rsidRDefault="00000000">
            <w:pPr>
              <w:pStyle w:val="A-"/>
              <w:jc w:val="both"/>
            </w:pPr>
            <w:r>
              <w:t>（</w:t>
            </w:r>
            <w:r>
              <w:t>3</w:t>
            </w:r>
            <w:r>
              <w:t>）危险废物预处理中心和协同处置危险废物水泥生产企业无组织排放源的恶臭污染物浓度应满足《恶臭污染物排放标准》（</w:t>
            </w:r>
            <w:r>
              <w:t>GB14554</w:t>
            </w:r>
            <w:r>
              <w:t>）的要求，非甲烷总烃排放浓度应满足《大气污染物综合排放标准》（</w:t>
            </w:r>
            <w:r>
              <w:t>GB16297</w:t>
            </w:r>
            <w:r>
              <w:t>）的要求，颗粒物排放浓度满足《水泥工业大气污染物排放标准》（</w:t>
            </w:r>
            <w:r>
              <w:t>GB4915</w:t>
            </w:r>
            <w:r>
              <w:t>）的要求。</w:t>
            </w:r>
          </w:p>
          <w:p w14:paraId="0B0C6CD9" w14:textId="77777777" w:rsidR="002E474C" w:rsidRDefault="00000000">
            <w:pPr>
              <w:pStyle w:val="A-"/>
              <w:jc w:val="both"/>
            </w:pPr>
            <w:r>
              <w:t>（</w:t>
            </w:r>
            <w:r>
              <w:t>4</w:t>
            </w:r>
            <w:r>
              <w:t>）协同处置危险废物的窑尾排气筒总有机碳（</w:t>
            </w:r>
            <w:r>
              <w:t>TOC</w:t>
            </w:r>
            <w:r>
              <w:t>）排放浓度应满足《水泥窑协同处置固体废物污染控制标准》（</w:t>
            </w:r>
            <w:r>
              <w:t>GB30485</w:t>
            </w:r>
            <w:r>
              <w:t>）的要求。旁路放风设施采用独立的排气筒时，其中的</w:t>
            </w:r>
            <w:r>
              <w:t xml:space="preserve">TOC </w:t>
            </w:r>
            <w:r>
              <w:t>排放浓度不应超过</w:t>
            </w:r>
            <w:r>
              <w:t>10mg/m³</w:t>
            </w:r>
            <w:r>
              <w:t>，与水泥窑及窑尾余热利用系统、窑头熟料冷却机或煤磨共用排气筒时，协同处置危险废物与未协同处置固体废物的水泥窑常规生产时</w:t>
            </w:r>
            <w:r>
              <w:t>TOC</w:t>
            </w:r>
            <w:r>
              <w:t>排放浓度的差值不应超过</w:t>
            </w:r>
            <w:r>
              <w:t>10mg/m³</w:t>
            </w:r>
            <w:r>
              <w:t>（以上浓度均指标准状态下氧含量</w:t>
            </w:r>
            <w:r>
              <w:t>10%</w:t>
            </w:r>
            <w:r>
              <w:t>的干烟气浓度）。烟气中</w:t>
            </w:r>
            <w:r>
              <w:t>TOC</w:t>
            </w:r>
            <w:r>
              <w:t>的测定方法参照《固定污染源排气中非甲烷总烃的测定气相色谱法》（</w:t>
            </w:r>
            <w:r>
              <w:t>HJ/T38</w:t>
            </w:r>
            <w:r>
              <w:t>）中总烃的测定方法。</w:t>
            </w:r>
          </w:p>
          <w:p w14:paraId="76B87CC6" w14:textId="77777777" w:rsidR="002E474C" w:rsidRDefault="00000000">
            <w:pPr>
              <w:pStyle w:val="A-"/>
              <w:jc w:val="both"/>
            </w:pPr>
            <w:r>
              <w:t>（</w:t>
            </w:r>
            <w:r>
              <w:t>5</w:t>
            </w:r>
            <w:r>
              <w:t>）危险废物预处理中心和水泥生产企业的危险废物贮存和作业区域的初期雨水以及危险废物贮存、预处理设施和危险废物容器、运输车辆清洗产生的废水应收集后按照《水泥窑协同处置固体废物污染控制标准》（</w:t>
            </w:r>
            <w:r>
              <w:t>GB30485</w:t>
            </w:r>
            <w:r>
              <w:t>）的要求进行处理并满足相关水污染物排放管控要求，上述初期雨水和废水处理产生的污泥应作为危险废物进行管理和处置。</w:t>
            </w:r>
          </w:p>
          <w:p w14:paraId="1E979DC2" w14:textId="77777777" w:rsidR="002E474C" w:rsidRDefault="00000000">
            <w:pPr>
              <w:pStyle w:val="A-"/>
              <w:jc w:val="both"/>
            </w:pPr>
            <w:r>
              <w:t>（</w:t>
            </w:r>
            <w:r>
              <w:t>6</w:t>
            </w:r>
            <w:r>
              <w:t>）水泥窑协同处置危险废物单位涉及废水和废气的污染物排放和管理要求应符合排污许可证的相关规定。</w:t>
            </w:r>
          </w:p>
        </w:tc>
        <w:tc>
          <w:tcPr>
            <w:tcW w:w="1876" w:type="pct"/>
            <w:shd w:val="clear" w:color="auto" w:fill="auto"/>
            <w:vAlign w:val="center"/>
          </w:tcPr>
          <w:p w14:paraId="398BEF9F" w14:textId="77777777" w:rsidR="002E474C" w:rsidRDefault="00000000">
            <w:pPr>
              <w:pStyle w:val="A-"/>
              <w:jc w:val="both"/>
            </w:pPr>
            <w:r>
              <w:lastRenderedPageBreak/>
              <w:t>（</w:t>
            </w:r>
            <w:r>
              <w:t>1</w:t>
            </w:r>
            <w:r>
              <w:t>）本项目不设旁路放风设施。窑灰</w:t>
            </w:r>
            <w:r>
              <w:rPr>
                <w:spacing w:val="-4"/>
              </w:rPr>
              <w:t>部分返回原料系统，部分掺入熟料生产水泥</w:t>
            </w:r>
            <w:r>
              <w:t>，同时严格控制其掺加比例，确保水泥熟料满足《硅酸盐水泥熟料》（</w:t>
            </w:r>
            <w:r>
              <w:t>GB/T21372-2024</w:t>
            </w:r>
            <w:r>
              <w:t>），水泥产品满足《通用硅酸盐水泥》（</w:t>
            </w:r>
            <w:r>
              <w:t>GB175-2023</w:t>
            </w:r>
            <w:r>
              <w:t>），投料重金属限值满足《水泥窑协同处置固体废物环境保护技术规范》（</w:t>
            </w:r>
            <w:r>
              <w:t>HJ662</w:t>
            </w:r>
            <w:r>
              <w:t>）。</w:t>
            </w:r>
          </w:p>
          <w:p w14:paraId="48747FED" w14:textId="77777777" w:rsidR="002E474C" w:rsidRDefault="00000000">
            <w:pPr>
              <w:pStyle w:val="A-"/>
              <w:jc w:val="both"/>
            </w:pPr>
            <w:r>
              <w:t>（</w:t>
            </w:r>
            <w:r>
              <w:t>2</w:t>
            </w:r>
            <w:r>
              <w:t>）窑尾烟气污染物排放浓度满足《水泥工业大气污染物排放标准》（</w:t>
            </w:r>
            <w:r>
              <w:rPr>
                <w:rFonts w:hint="eastAsia"/>
              </w:rPr>
              <w:t>GB 4915-2013</w:t>
            </w:r>
            <w:r>
              <w:rPr>
                <w:rFonts w:hint="eastAsia"/>
              </w:rPr>
              <w:t>，含</w:t>
            </w:r>
            <w:r>
              <w:rPr>
                <w:rFonts w:hint="eastAsia"/>
              </w:rPr>
              <w:t>2025</w:t>
            </w:r>
            <w:r>
              <w:rPr>
                <w:rFonts w:hint="eastAsia"/>
              </w:rPr>
              <w:t>年修改单</w:t>
            </w:r>
            <w:r>
              <w:t>）及《水泥窑协同处置固体废物污染控制标准》</w:t>
            </w:r>
            <w:r>
              <w:t>(GB30485-2013)</w:t>
            </w:r>
            <w:r>
              <w:t>。危废贮存废气污染物排放满足《恶臭污染物排放标准》（</w:t>
            </w:r>
            <w:r>
              <w:t>GB 14554-93</w:t>
            </w:r>
            <w:r>
              <w:t>），</w:t>
            </w:r>
            <w:r>
              <w:t>NMHC</w:t>
            </w:r>
            <w:r>
              <w:t>排放执行《大气污染物综合排放标准》（</w:t>
            </w:r>
            <w:r>
              <w:t>GB16297-1996</w:t>
            </w:r>
            <w:r>
              <w:t>）。厂界恶臭污染物限值满足《恶臭污染物排放标准》（</w:t>
            </w:r>
            <w:r>
              <w:t>GB 14554-93</w:t>
            </w:r>
            <w:r>
              <w:t>）。</w:t>
            </w:r>
          </w:p>
          <w:p w14:paraId="385C86C8" w14:textId="77777777" w:rsidR="002E474C" w:rsidRDefault="00000000">
            <w:pPr>
              <w:pStyle w:val="A-"/>
              <w:jc w:val="both"/>
            </w:pPr>
            <w:r>
              <w:t>（</w:t>
            </w:r>
            <w:r>
              <w:t>3</w:t>
            </w:r>
            <w:r>
              <w:t>）厂界无组织</w:t>
            </w:r>
            <w:r>
              <w:t>H</w:t>
            </w:r>
            <w:r>
              <w:rPr>
                <w:vertAlign w:val="subscript"/>
              </w:rPr>
              <w:t>2</w:t>
            </w:r>
            <w:r>
              <w:t>S</w:t>
            </w:r>
            <w:r>
              <w:t>、臭气浓度排放执行《恶臭污染物排放标准》（</w:t>
            </w:r>
            <w:r>
              <w:t>GB14554-93</w:t>
            </w:r>
            <w:r>
              <w:t>）表</w:t>
            </w:r>
            <w:r>
              <w:t>1</w:t>
            </w:r>
            <w:r>
              <w:t>新扩改建二级标准，颗粒物、</w:t>
            </w:r>
            <w:r>
              <w:t>NH</w:t>
            </w:r>
            <w:r>
              <w:rPr>
                <w:vertAlign w:val="subscript"/>
              </w:rPr>
              <w:t>3</w:t>
            </w:r>
            <w:r>
              <w:t>排放执行《水泥工业大气污染物排放标</w:t>
            </w:r>
            <w:r>
              <w:lastRenderedPageBreak/>
              <w:t>准》（</w:t>
            </w:r>
            <w:r>
              <w:rPr>
                <w:rFonts w:hint="eastAsia"/>
              </w:rPr>
              <w:t>GB 4915-2013</w:t>
            </w:r>
            <w:r>
              <w:rPr>
                <w:rFonts w:hint="eastAsia"/>
              </w:rPr>
              <w:t>，含</w:t>
            </w:r>
            <w:r>
              <w:rPr>
                <w:rFonts w:hint="eastAsia"/>
              </w:rPr>
              <w:t>2025</w:t>
            </w:r>
            <w:r>
              <w:rPr>
                <w:rFonts w:hint="eastAsia"/>
              </w:rPr>
              <w:t>年修改单</w:t>
            </w:r>
            <w:r>
              <w:t>）表</w:t>
            </w:r>
            <w:r>
              <w:t>3</w:t>
            </w:r>
            <w:r>
              <w:t>限值，</w:t>
            </w:r>
            <w:r>
              <w:t>NMHC</w:t>
            </w:r>
            <w:r>
              <w:t>排放执行《大气污染物综合排放标准》（</w:t>
            </w:r>
            <w:r>
              <w:t>GB16297-1996</w:t>
            </w:r>
            <w:r>
              <w:t>）表</w:t>
            </w:r>
            <w:r>
              <w:t>2</w:t>
            </w:r>
            <w:r>
              <w:t>限值。厂区内</w:t>
            </w:r>
            <w:r>
              <w:t>NMHC</w:t>
            </w:r>
            <w:r>
              <w:t>无组织排放执行《挥发性有机物无组织排放控制标准》（</w:t>
            </w:r>
            <w:r>
              <w:t>GB37822-2019</w:t>
            </w:r>
            <w:r>
              <w:t>）中表</w:t>
            </w:r>
            <w:r>
              <w:t>A.1</w:t>
            </w:r>
            <w:r>
              <w:t>无组织排放限值。</w:t>
            </w:r>
          </w:p>
          <w:p w14:paraId="50AB7EC5" w14:textId="77777777" w:rsidR="002E474C" w:rsidRDefault="00000000">
            <w:pPr>
              <w:pStyle w:val="A-"/>
              <w:jc w:val="both"/>
            </w:pPr>
            <w:r>
              <w:t>（</w:t>
            </w:r>
            <w:r>
              <w:t>4</w:t>
            </w:r>
            <w:r>
              <w:t>）窑尾排气筒总有机碳（</w:t>
            </w:r>
            <w:r>
              <w:t>TOC</w:t>
            </w:r>
            <w:r>
              <w:t>）排放浓度应满足《水泥窑协同处置固体废物污染控制标准》（</w:t>
            </w:r>
            <w:r>
              <w:t>GB30485</w:t>
            </w:r>
            <w:r>
              <w:t>）的要求。</w:t>
            </w:r>
          </w:p>
          <w:p w14:paraId="5E2B3CC8" w14:textId="77777777" w:rsidR="002E474C" w:rsidRDefault="00000000">
            <w:pPr>
              <w:pStyle w:val="A-"/>
              <w:jc w:val="both"/>
            </w:pPr>
            <w:r>
              <w:t>（</w:t>
            </w:r>
            <w:r>
              <w:t>5</w:t>
            </w:r>
            <w:r>
              <w:t>）初期雨水、生产废水及污泥全部进入回转窑协同处置。</w:t>
            </w:r>
          </w:p>
          <w:p w14:paraId="3BC7B01B" w14:textId="77777777" w:rsidR="002E474C" w:rsidRDefault="00000000">
            <w:pPr>
              <w:pStyle w:val="A-"/>
              <w:jc w:val="both"/>
            </w:pPr>
            <w:r>
              <w:t>（</w:t>
            </w:r>
            <w:r>
              <w:t>6</w:t>
            </w:r>
            <w:r>
              <w:t>）本项目实施后应当申请取得排污许可证。</w:t>
            </w:r>
          </w:p>
        </w:tc>
        <w:tc>
          <w:tcPr>
            <w:tcW w:w="232" w:type="pct"/>
            <w:vAlign w:val="center"/>
          </w:tcPr>
          <w:p w14:paraId="76BBC16A" w14:textId="77777777" w:rsidR="002E474C" w:rsidRDefault="00000000">
            <w:pPr>
              <w:pStyle w:val="A-"/>
            </w:pPr>
            <w:r>
              <w:lastRenderedPageBreak/>
              <w:t>符合</w:t>
            </w:r>
          </w:p>
        </w:tc>
      </w:tr>
      <w:tr w:rsidR="002E474C" w14:paraId="6E64033C" w14:textId="77777777">
        <w:tc>
          <w:tcPr>
            <w:tcW w:w="320" w:type="pct"/>
            <w:vMerge/>
            <w:vAlign w:val="center"/>
          </w:tcPr>
          <w:p w14:paraId="12A12BBC" w14:textId="77777777" w:rsidR="002E474C" w:rsidRDefault="002E474C">
            <w:pPr>
              <w:pStyle w:val="A-"/>
            </w:pPr>
          </w:p>
        </w:tc>
        <w:tc>
          <w:tcPr>
            <w:tcW w:w="198" w:type="pct"/>
            <w:vAlign w:val="center"/>
          </w:tcPr>
          <w:p w14:paraId="4C178118" w14:textId="77777777" w:rsidR="002E474C" w:rsidRDefault="00000000">
            <w:pPr>
              <w:pStyle w:val="A-"/>
            </w:pPr>
            <w:r>
              <w:t>9.</w:t>
            </w:r>
            <w:r>
              <w:t>分析化验与质量控</w:t>
            </w:r>
            <w:r>
              <w:lastRenderedPageBreak/>
              <w:t>制</w:t>
            </w:r>
          </w:p>
        </w:tc>
        <w:tc>
          <w:tcPr>
            <w:tcW w:w="2374" w:type="pct"/>
            <w:vAlign w:val="center"/>
          </w:tcPr>
          <w:p w14:paraId="3CC05F98" w14:textId="77777777" w:rsidR="002E474C" w:rsidRDefault="00000000">
            <w:pPr>
              <w:pStyle w:val="A-"/>
              <w:jc w:val="both"/>
            </w:pPr>
            <w:r>
              <w:lastRenderedPageBreak/>
              <w:t>（</w:t>
            </w:r>
            <w:r>
              <w:t>1</w:t>
            </w:r>
            <w:r>
              <w:t>）采用分散联合经营或分散独立经营模式时，危险废物预处理中心和水泥生产企业应制订预处理产物质量标准并在当地质监部门进行备案，预处理产物质量标准中至少应规定预处理产物的重金属包括汞（</w:t>
            </w:r>
            <w:r>
              <w:t>Hg</w:t>
            </w:r>
            <w:r>
              <w:t>）、镉（</w:t>
            </w:r>
            <w:r>
              <w:t>Cd</w:t>
            </w:r>
            <w:r>
              <w:t>）、铊（</w:t>
            </w:r>
            <w:r>
              <w:t>Tl</w:t>
            </w:r>
            <w:r>
              <w:t>）、砷（</w:t>
            </w:r>
            <w:r>
              <w:t>As</w:t>
            </w:r>
            <w:r>
              <w:t>）、镍（</w:t>
            </w:r>
            <w:r>
              <w:t>Ni</w:t>
            </w:r>
            <w:r>
              <w:t>）、铅（</w:t>
            </w:r>
            <w:r>
              <w:t>Pb</w:t>
            </w:r>
            <w:r>
              <w:t>）、铬（</w:t>
            </w:r>
            <w:r>
              <w:t>Cr</w:t>
            </w:r>
            <w:r>
              <w:t>）、锡（</w:t>
            </w:r>
            <w:r>
              <w:t>Sn</w:t>
            </w:r>
            <w:r>
              <w:t>）、锑（</w:t>
            </w:r>
            <w:r>
              <w:t>Sb</w:t>
            </w:r>
            <w:r>
              <w:t>）、铜（</w:t>
            </w:r>
            <w:r>
              <w:t>Cu</w:t>
            </w:r>
            <w:r>
              <w:t>）、锰（</w:t>
            </w:r>
            <w:r>
              <w:t>Mn</w:t>
            </w:r>
            <w:r>
              <w:t>）、铍（</w:t>
            </w:r>
            <w:r>
              <w:t>Be</w:t>
            </w:r>
            <w:r>
              <w:t>）、锌（</w:t>
            </w:r>
            <w:r>
              <w:t>Zn</w:t>
            </w:r>
            <w:r>
              <w:t>）、钒（</w:t>
            </w:r>
            <w:r>
              <w:t>V</w:t>
            </w:r>
            <w:r>
              <w:t>）、钴（</w:t>
            </w:r>
            <w:r>
              <w:t>Co</w:t>
            </w:r>
            <w:r>
              <w:t>）、钼（</w:t>
            </w:r>
            <w:r>
              <w:t>Mo</w:t>
            </w:r>
            <w:r>
              <w:t>）以及硫（</w:t>
            </w:r>
            <w:r>
              <w:t>S</w:t>
            </w:r>
            <w:r>
              <w:t>）、氯（</w:t>
            </w:r>
            <w:r>
              <w:t>Cl</w:t>
            </w:r>
            <w:r>
              <w:t>）、氟（</w:t>
            </w:r>
            <w:r>
              <w:t>F</w:t>
            </w:r>
            <w:r>
              <w:t>）含量限值，预处理中心生产的并运送至水泥生产企业进行协同处置的预处理产物应满足预处理产物质量标准。</w:t>
            </w:r>
          </w:p>
          <w:p w14:paraId="3B2016F2" w14:textId="77777777" w:rsidR="002E474C" w:rsidRDefault="00000000">
            <w:pPr>
              <w:pStyle w:val="A-"/>
              <w:jc w:val="both"/>
            </w:pPr>
            <w:r>
              <w:t>（</w:t>
            </w:r>
            <w:r>
              <w:t>2</w:t>
            </w:r>
            <w:r>
              <w:t>）危险废物预处理中心和采用集中经营模式的协同处置单位的</w:t>
            </w:r>
            <w:r>
              <w:lastRenderedPageBreak/>
              <w:t>实验室应具备危险废物、预处理产物、水泥生产常规原料和燃料中的重金属以及硫（</w:t>
            </w:r>
            <w:r>
              <w:t>S</w:t>
            </w:r>
            <w:r>
              <w:t>）、氯（</w:t>
            </w:r>
            <w:r>
              <w:t>Cl</w:t>
            </w:r>
            <w:r>
              <w:t>）、氟（</w:t>
            </w:r>
            <w:r>
              <w:t>F</w:t>
            </w:r>
            <w:r>
              <w:t>）含量的分析能力。</w:t>
            </w:r>
          </w:p>
          <w:p w14:paraId="591D1BC0" w14:textId="77777777" w:rsidR="002E474C" w:rsidRDefault="00000000">
            <w:pPr>
              <w:pStyle w:val="A-"/>
              <w:jc w:val="both"/>
            </w:pPr>
            <w:r>
              <w:t>（</w:t>
            </w:r>
            <w:r>
              <w:t>3</w:t>
            </w:r>
            <w:r>
              <w:t>）采用分散联合经营或分散独立经营模式的水泥生产企业如果不具备危险废物、预处理产物、水泥生产常规原料和燃料中的重金属以及硫（</w:t>
            </w:r>
            <w:r>
              <w:t>S</w:t>
            </w:r>
            <w:r>
              <w:t>）、氯（</w:t>
            </w:r>
            <w:r>
              <w:t>Cl</w:t>
            </w:r>
            <w:r>
              <w:t>）、氟（</w:t>
            </w:r>
            <w:r>
              <w:t>F</w:t>
            </w:r>
            <w:r>
              <w:t>）含量的分析能力，可经当地环保部门许可后，委托其他分析检测机构进行定期送样分析，送样分析频次应不少于每周</w:t>
            </w:r>
            <w:r>
              <w:t>1</w:t>
            </w:r>
            <w:r>
              <w:t>次，并将预处理产物的送样分析结果与预处理产物质量标准进行比对，评估预处理中心生产的预处理产物的质量可靠性。预处理产物连续</w:t>
            </w:r>
            <w:r>
              <w:t>2</w:t>
            </w:r>
            <w:r>
              <w:t>个月的送样分析结果与预处理质量标准一致时，送样分析频次可减为每月</w:t>
            </w:r>
            <w:r>
              <w:t>1</w:t>
            </w:r>
            <w:r>
              <w:t>次，若在此期间出现送样分析结果与预处理产物质量标准不一致，则送样分析频次重新调整为每周</w:t>
            </w:r>
            <w:r>
              <w:t>1</w:t>
            </w:r>
            <w:r>
              <w:t>次。</w:t>
            </w:r>
          </w:p>
          <w:p w14:paraId="4CBE8CC9" w14:textId="77777777" w:rsidR="002E474C" w:rsidRDefault="00000000">
            <w:pPr>
              <w:pStyle w:val="A-"/>
              <w:jc w:val="both"/>
            </w:pPr>
            <w:r>
              <w:t>（</w:t>
            </w:r>
            <w:r>
              <w:t>4</w:t>
            </w:r>
            <w:r>
              <w:t>）协同处置单位分析化验的其他要求应符合《水泥窑协同处置固体废物环境保护技术规范》（</w:t>
            </w:r>
            <w:r>
              <w:t>HJ662</w:t>
            </w:r>
            <w:r>
              <w:t>）中的相关规定。</w:t>
            </w:r>
          </w:p>
        </w:tc>
        <w:tc>
          <w:tcPr>
            <w:tcW w:w="1876" w:type="pct"/>
            <w:shd w:val="clear" w:color="auto" w:fill="auto"/>
            <w:vAlign w:val="center"/>
          </w:tcPr>
          <w:p w14:paraId="452BD469" w14:textId="77777777" w:rsidR="002E474C" w:rsidRDefault="00000000">
            <w:pPr>
              <w:pStyle w:val="A-"/>
              <w:jc w:val="both"/>
            </w:pPr>
            <w:r>
              <w:lastRenderedPageBreak/>
              <w:t>（</w:t>
            </w:r>
            <w:r>
              <w:t>1</w:t>
            </w:r>
            <w:r>
              <w:t>）本项目分析化验与质量控制工作依托预处理中心分析化验室，该分析化验室符合《水泥窑协同处置固体废物环境保护技术规范》（</w:t>
            </w:r>
            <w:r>
              <w:t>HJ662-2013</w:t>
            </w:r>
            <w:r>
              <w:t>）相关规定。</w:t>
            </w:r>
          </w:p>
          <w:p w14:paraId="3D808E5F" w14:textId="77777777" w:rsidR="002E474C" w:rsidRDefault="00000000">
            <w:pPr>
              <w:pStyle w:val="A-"/>
              <w:jc w:val="both"/>
            </w:pPr>
            <w:r>
              <w:t>（</w:t>
            </w:r>
            <w:r>
              <w:t>2</w:t>
            </w:r>
            <w:r>
              <w:t>）预处理中心和本项目制订预处理产物质量标准并在当地质监部门进行备案。</w:t>
            </w:r>
          </w:p>
          <w:p w14:paraId="07E29E45" w14:textId="77777777" w:rsidR="002E474C" w:rsidRDefault="00000000">
            <w:pPr>
              <w:pStyle w:val="A-"/>
              <w:jc w:val="both"/>
            </w:pPr>
            <w:r>
              <w:t>（</w:t>
            </w:r>
            <w:r>
              <w:t>3</w:t>
            </w:r>
            <w:r>
              <w:t>）本项目委托预处理中心分析化验室进行定期送样分析，送样分析频次应不少于每周</w:t>
            </w:r>
            <w:r>
              <w:t>1</w:t>
            </w:r>
            <w:r>
              <w:t>次，并将预处理产物的送样分析结果与预处理产物质量标准进行</w:t>
            </w:r>
            <w:r>
              <w:lastRenderedPageBreak/>
              <w:t>比对，评估预处理中心生产的预处理产物的质量可靠性。</w:t>
            </w:r>
          </w:p>
          <w:p w14:paraId="1BDE62AF" w14:textId="77777777" w:rsidR="002E474C" w:rsidRDefault="00000000">
            <w:pPr>
              <w:pStyle w:val="A-"/>
              <w:jc w:val="both"/>
            </w:pPr>
            <w:r>
              <w:t>（</w:t>
            </w:r>
            <w:r>
              <w:t>4</w:t>
            </w:r>
            <w:r>
              <w:t>）预处理产物连续</w:t>
            </w:r>
            <w:r>
              <w:t>2</w:t>
            </w:r>
            <w:r>
              <w:t>个月的送样分析结果与预处理质量标准一致时，送样分析频次可减为每月</w:t>
            </w:r>
            <w:r>
              <w:t>1</w:t>
            </w:r>
            <w:r>
              <w:t>次，若在此期间出现送样分析结果与预处理产物质量标准不一致，则送样分析频次重新调整为每周</w:t>
            </w:r>
            <w:r>
              <w:t>1</w:t>
            </w:r>
            <w:r>
              <w:t>次。</w:t>
            </w:r>
          </w:p>
        </w:tc>
        <w:tc>
          <w:tcPr>
            <w:tcW w:w="232" w:type="pct"/>
            <w:vAlign w:val="center"/>
          </w:tcPr>
          <w:p w14:paraId="3D7C8E18" w14:textId="77777777" w:rsidR="002E474C" w:rsidRDefault="00000000">
            <w:pPr>
              <w:pStyle w:val="A-"/>
            </w:pPr>
            <w:r>
              <w:lastRenderedPageBreak/>
              <w:t>符合</w:t>
            </w:r>
          </w:p>
        </w:tc>
      </w:tr>
      <w:tr w:rsidR="002E474C" w14:paraId="0AF7BEDB" w14:textId="77777777">
        <w:tc>
          <w:tcPr>
            <w:tcW w:w="320" w:type="pct"/>
            <w:vAlign w:val="center"/>
          </w:tcPr>
          <w:p w14:paraId="0DDD10CE" w14:textId="77777777" w:rsidR="002E474C" w:rsidRDefault="00000000">
            <w:pPr>
              <w:pStyle w:val="A-"/>
            </w:pPr>
            <w:r>
              <w:t>（四）规章制度与事故应急</w:t>
            </w:r>
          </w:p>
        </w:tc>
        <w:tc>
          <w:tcPr>
            <w:tcW w:w="198" w:type="pct"/>
            <w:vAlign w:val="center"/>
          </w:tcPr>
          <w:p w14:paraId="74DA79FC" w14:textId="77777777" w:rsidR="002E474C" w:rsidRDefault="00000000">
            <w:pPr>
              <w:pStyle w:val="A-"/>
            </w:pPr>
            <w:r>
              <w:t>/</w:t>
            </w:r>
          </w:p>
        </w:tc>
        <w:tc>
          <w:tcPr>
            <w:tcW w:w="2374" w:type="pct"/>
            <w:vAlign w:val="center"/>
          </w:tcPr>
          <w:p w14:paraId="7C86BFDD" w14:textId="77777777" w:rsidR="002E474C" w:rsidRDefault="00000000">
            <w:pPr>
              <w:pStyle w:val="A-"/>
              <w:jc w:val="both"/>
            </w:pPr>
            <w:r>
              <w:t>1.</w:t>
            </w:r>
            <w:r>
              <w:t>按照《水泥窑协同处置固体废物环境保护技术规范》（</w:t>
            </w:r>
            <w:r>
              <w:t>HJ662</w:t>
            </w:r>
            <w:r>
              <w:t>）《突发环境事件应急管理办法》《企业事业单位突发环境事件应急预案备案管理办法》的要求建立应急管理制度。</w:t>
            </w:r>
          </w:p>
          <w:p w14:paraId="587B8349" w14:textId="77777777" w:rsidR="002E474C" w:rsidRDefault="00000000">
            <w:pPr>
              <w:pStyle w:val="A-"/>
              <w:jc w:val="both"/>
            </w:pPr>
            <w:r>
              <w:t>2.</w:t>
            </w:r>
            <w:r>
              <w:t>按照《水泥窑协同处置固体废物环境保护技术规范》（</w:t>
            </w:r>
            <w:r>
              <w:t>HJ662</w:t>
            </w:r>
            <w:r>
              <w:t>）的要求建立操作运行记录制度，其中，每套投加系统的危险废物小时平均投加速率每小时记录</w:t>
            </w:r>
            <w:r>
              <w:t>1</w:t>
            </w:r>
            <w:r>
              <w:t>次，重金属吨熟料和吨水泥投加量每</w:t>
            </w:r>
            <w:r>
              <w:t>8</w:t>
            </w:r>
            <w:r>
              <w:t>小时记录</w:t>
            </w:r>
            <w:r>
              <w:t>1</w:t>
            </w:r>
            <w:r>
              <w:t>次。</w:t>
            </w:r>
          </w:p>
          <w:p w14:paraId="1568670E" w14:textId="77777777" w:rsidR="002E474C" w:rsidRDefault="00000000">
            <w:pPr>
              <w:pStyle w:val="A-"/>
              <w:jc w:val="both"/>
            </w:pPr>
            <w:r>
              <w:t>3.</w:t>
            </w:r>
            <w:r>
              <w:t>按照《水泥窑协同处置固体废物环境保护技术规范》（</w:t>
            </w:r>
            <w:r>
              <w:t>HJ662</w:t>
            </w:r>
            <w:r>
              <w:t>）的要求建立人员培训制度、安全管理制度、人员健康管理制度和环境管理制度。</w:t>
            </w:r>
          </w:p>
        </w:tc>
        <w:tc>
          <w:tcPr>
            <w:tcW w:w="1876" w:type="pct"/>
            <w:shd w:val="clear" w:color="auto" w:fill="auto"/>
            <w:vAlign w:val="center"/>
          </w:tcPr>
          <w:p w14:paraId="61464E43" w14:textId="77777777" w:rsidR="002E474C" w:rsidRDefault="00000000">
            <w:pPr>
              <w:pStyle w:val="A-"/>
              <w:jc w:val="both"/>
            </w:pPr>
            <w:r>
              <w:t>（</w:t>
            </w:r>
            <w:r>
              <w:t>1</w:t>
            </w:r>
            <w:r>
              <w:t>）本项目建成后，应纳入圣雄水泥公司应急预案管理体系，由圣雄水泥公司统一管理，编制并备案突发环境事件应急预案，定期开展突发环境事件演练，与园区突发环境事件应急预案衔接，提高应急处置能力，防控环境风险。</w:t>
            </w:r>
          </w:p>
          <w:p w14:paraId="613559CC" w14:textId="77777777" w:rsidR="002E474C" w:rsidRDefault="00000000">
            <w:pPr>
              <w:pStyle w:val="A-"/>
              <w:jc w:val="both"/>
            </w:pPr>
            <w:r>
              <w:t>（</w:t>
            </w:r>
            <w:r>
              <w:t>2</w:t>
            </w:r>
            <w:r>
              <w:t>）按照《水泥窑协同处置固体废物环境保护技术规范》（</w:t>
            </w:r>
            <w:r>
              <w:t>HJ662-2013</w:t>
            </w:r>
            <w:r>
              <w:t>）的要求建立操作运行记录制度、人员培训制度、安全管理制度、人员健康管理制度和环境管理制度。</w:t>
            </w:r>
          </w:p>
        </w:tc>
        <w:tc>
          <w:tcPr>
            <w:tcW w:w="232" w:type="pct"/>
            <w:vAlign w:val="center"/>
          </w:tcPr>
          <w:p w14:paraId="56C2D1CE" w14:textId="77777777" w:rsidR="002E474C" w:rsidRDefault="00000000">
            <w:pPr>
              <w:pStyle w:val="A-"/>
            </w:pPr>
            <w:r>
              <w:t>符合</w:t>
            </w:r>
          </w:p>
        </w:tc>
      </w:tr>
    </w:tbl>
    <w:p w14:paraId="5D618411" w14:textId="77777777" w:rsidR="002E474C" w:rsidRDefault="002E474C">
      <w:pPr>
        <w:pStyle w:val="A-z"/>
        <w:rPr>
          <w:color w:val="auto"/>
          <w:lang w:val="en-US"/>
        </w:rPr>
      </w:pPr>
    </w:p>
    <w:p w14:paraId="011455F9" w14:textId="77777777" w:rsidR="002E474C" w:rsidRDefault="002E474C">
      <w:pPr>
        <w:pStyle w:val="A-z"/>
        <w:rPr>
          <w:color w:val="auto"/>
          <w:lang w:val="en-US"/>
        </w:rPr>
        <w:sectPr w:rsidR="002E474C">
          <w:pgSz w:w="16838" w:h="11906" w:orient="landscape"/>
          <w:pgMar w:top="1440" w:right="1800" w:bottom="1440" w:left="1800" w:header="851" w:footer="992" w:gutter="0"/>
          <w:cols w:space="720"/>
          <w:docGrid w:linePitch="312"/>
        </w:sectPr>
      </w:pPr>
    </w:p>
    <w:p w14:paraId="29A39FEA" w14:textId="77777777" w:rsidR="002E474C" w:rsidRDefault="00000000">
      <w:pPr>
        <w:pStyle w:val="41"/>
        <w:rPr>
          <w:color w:val="auto"/>
        </w:rPr>
      </w:pPr>
      <w:bookmarkStart w:id="19" w:name="_Hlk151316518"/>
      <w:r>
        <w:rPr>
          <w:color w:val="auto"/>
        </w:rPr>
        <w:lastRenderedPageBreak/>
        <w:t>与《水泥窑协同处置固体废物污染防治技术政策》符合性分析</w:t>
      </w:r>
    </w:p>
    <w:p w14:paraId="053AA4C9" w14:textId="77777777" w:rsidR="002E474C" w:rsidRDefault="00000000">
      <w:pPr>
        <w:pStyle w:val="A-z"/>
        <w:rPr>
          <w:color w:val="auto"/>
        </w:rPr>
      </w:pPr>
      <w:r>
        <w:rPr>
          <w:color w:val="auto"/>
        </w:rPr>
        <w:t>《水泥窑协同处置固体废物污染防治技术政策》（公告</w:t>
      </w:r>
      <w:r>
        <w:rPr>
          <w:color w:val="auto"/>
        </w:rPr>
        <w:t>2016</w:t>
      </w:r>
      <w:r>
        <w:rPr>
          <w:color w:val="auto"/>
        </w:rPr>
        <w:t>年第</w:t>
      </w:r>
      <w:r>
        <w:rPr>
          <w:color w:val="auto"/>
        </w:rPr>
        <w:t>72</w:t>
      </w:r>
      <w:r>
        <w:rPr>
          <w:color w:val="auto"/>
        </w:rPr>
        <w:t>号）于</w:t>
      </w:r>
      <w:r>
        <w:rPr>
          <w:color w:val="auto"/>
        </w:rPr>
        <w:t>2016</w:t>
      </w:r>
      <w:r>
        <w:rPr>
          <w:color w:val="auto"/>
        </w:rPr>
        <w:t>年</w:t>
      </w:r>
      <w:r>
        <w:rPr>
          <w:color w:val="auto"/>
        </w:rPr>
        <w:t>12</w:t>
      </w:r>
      <w:r>
        <w:rPr>
          <w:color w:val="auto"/>
        </w:rPr>
        <w:t>月</w:t>
      </w:r>
      <w:r>
        <w:rPr>
          <w:color w:val="auto"/>
        </w:rPr>
        <w:t>8</w:t>
      </w:r>
      <w:r>
        <w:rPr>
          <w:color w:val="auto"/>
        </w:rPr>
        <w:t>日发布实施，为指导性文件，主要包括源头控制、清洁生产、末端治理、二次污染防治以及鼓励研发的新技术等内容。</w:t>
      </w:r>
    </w:p>
    <w:p w14:paraId="35D05F27" w14:textId="77777777" w:rsidR="002E474C" w:rsidRDefault="00000000">
      <w:pPr>
        <w:pStyle w:val="A-z"/>
        <w:rPr>
          <w:color w:val="auto"/>
        </w:rPr>
      </w:pPr>
      <w:r>
        <w:rPr>
          <w:color w:val="auto"/>
        </w:rPr>
        <w:t>本项目与《水泥窑协同处置固体废物污染防治技术政策》符合性分析，见表</w:t>
      </w:r>
      <w:r>
        <w:rPr>
          <w:color w:val="auto"/>
        </w:rPr>
        <w:t>1.4-</w:t>
      </w:r>
      <w:r>
        <w:rPr>
          <w:color w:val="auto"/>
          <w:lang w:val="en-US"/>
        </w:rPr>
        <w:t>3</w:t>
      </w:r>
      <w:r>
        <w:rPr>
          <w:color w:val="auto"/>
        </w:rPr>
        <w:t>。</w:t>
      </w:r>
    </w:p>
    <w:p w14:paraId="15DF347C" w14:textId="77777777" w:rsidR="002E474C" w:rsidRDefault="00000000">
      <w:pPr>
        <w:pStyle w:val="A-z"/>
        <w:rPr>
          <w:color w:val="auto"/>
        </w:rPr>
      </w:pPr>
      <w:r>
        <w:rPr>
          <w:color w:val="auto"/>
        </w:rPr>
        <w:t>根据分析，本项目源头控制、清洁生产、末端治理、二次污染防治等方面满足《水泥窑协同处置固体废物污染防治技术政策》要求。</w:t>
      </w:r>
    </w:p>
    <w:p w14:paraId="6F6B7498" w14:textId="77777777" w:rsidR="002E474C" w:rsidRDefault="00000000">
      <w:pPr>
        <w:pStyle w:val="31"/>
        <w:spacing w:before="120" w:after="120"/>
        <w:rPr>
          <w:color w:val="auto"/>
        </w:rPr>
      </w:pPr>
      <w:r>
        <w:rPr>
          <w:color w:val="auto"/>
        </w:rPr>
        <w:t>规划符合性分析</w:t>
      </w:r>
    </w:p>
    <w:p w14:paraId="15272073" w14:textId="77777777" w:rsidR="002E474C" w:rsidRDefault="00000000">
      <w:pPr>
        <w:pStyle w:val="A-z"/>
        <w:rPr>
          <w:color w:val="auto"/>
        </w:rPr>
      </w:pPr>
      <w:r>
        <w:rPr>
          <w:color w:val="auto"/>
        </w:rPr>
        <w:t>本项目与国家及地方发展规划和环境保护规划符合性分析，见表</w:t>
      </w:r>
      <w:r>
        <w:rPr>
          <w:color w:val="auto"/>
        </w:rPr>
        <w:t>1.4-4</w:t>
      </w:r>
      <w:r>
        <w:rPr>
          <w:color w:val="auto"/>
        </w:rPr>
        <w:t>。</w:t>
      </w:r>
    </w:p>
    <w:p w14:paraId="2D9D8E95" w14:textId="77777777" w:rsidR="002E474C" w:rsidRDefault="00000000">
      <w:pPr>
        <w:pStyle w:val="A-z"/>
        <w:rPr>
          <w:color w:val="auto"/>
          <w:lang w:val="en-US"/>
        </w:rPr>
      </w:pPr>
      <w:r>
        <w:rPr>
          <w:color w:val="auto"/>
        </w:rPr>
        <w:t>根据分析，本项目符合</w:t>
      </w:r>
      <w:r>
        <w:rPr>
          <w:color w:val="auto"/>
          <w:lang w:val="en-US"/>
        </w:rPr>
        <w:t>《中华人民共和国国民经济和社会发展第十五个五年规划纲要》《新疆维吾尔自治区国民经济和社会发展第十五个五年规划纲要》《</w:t>
      </w:r>
      <w:r>
        <w:rPr>
          <w:color w:val="auto"/>
          <w:lang w:val="en-US"/>
        </w:rPr>
        <w:t>“</w:t>
      </w:r>
      <w:r>
        <w:rPr>
          <w:color w:val="auto"/>
          <w:lang w:val="en-US"/>
        </w:rPr>
        <w:t>十四五</w:t>
      </w:r>
      <w:r>
        <w:rPr>
          <w:color w:val="auto"/>
          <w:lang w:val="en-US"/>
        </w:rPr>
        <w:t>”</w:t>
      </w:r>
      <w:r>
        <w:rPr>
          <w:color w:val="auto"/>
          <w:lang w:val="en-US"/>
        </w:rPr>
        <w:t>原材料工业发展规划》《</w:t>
      </w:r>
      <w:r>
        <w:rPr>
          <w:color w:val="auto"/>
          <w:lang w:val="en-US"/>
        </w:rPr>
        <w:t>“</w:t>
      </w:r>
      <w:r>
        <w:rPr>
          <w:color w:val="auto"/>
          <w:lang w:val="en-US"/>
        </w:rPr>
        <w:t>十四五</w:t>
      </w:r>
      <w:r>
        <w:rPr>
          <w:color w:val="auto"/>
          <w:lang w:val="en-US"/>
        </w:rPr>
        <w:t>”</w:t>
      </w:r>
      <w:r>
        <w:rPr>
          <w:color w:val="auto"/>
          <w:lang w:val="en-US"/>
        </w:rPr>
        <w:t>工业绿色发展规划》</w:t>
      </w:r>
      <w:r>
        <w:rPr>
          <w:color w:val="auto"/>
        </w:rPr>
        <w:t>《</w:t>
      </w:r>
      <w:r>
        <w:rPr>
          <w:color w:val="auto"/>
        </w:rPr>
        <w:t>“</w:t>
      </w:r>
      <w:r>
        <w:rPr>
          <w:color w:val="auto"/>
        </w:rPr>
        <w:t>十四五</w:t>
      </w:r>
      <w:r>
        <w:rPr>
          <w:color w:val="auto"/>
        </w:rPr>
        <w:t>”</w:t>
      </w:r>
      <w:r>
        <w:rPr>
          <w:color w:val="auto"/>
        </w:rPr>
        <w:t>循环经济发展规划》《新疆维吾尔自治区</w:t>
      </w:r>
      <w:r>
        <w:rPr>
          <w:color w:val="auto"/>
          <w:lang w:val="en-US"/>
        </w:rPr>
        <w:t>主体功能区规划</w:t>
      </w:r>
      <w:r>
        <w:rPr>
          <w:color w:val="auto"/>
        </w:rPr>
        <w:t>》等国家与自治区产业发展规划和主体功能区划，符合</w:t>
      </w:r>
      <w:r>
        <w:rPr>
          <w:color w:val="auto"/>
          <w:lang w:val="en-US"/>
        </w:rPr>
        <w:t>《新疆生态环境保护</w:t>
      </w:r>
      <w:r>
        <w:rPr>
          <w:color w:val="auto"/>
          <w:lang w:val="en-US"/>
        </w:rPr>
        <w:t>“</w:t>
      </w:r>
      <w:r>
        <w:rPr>
          <w:color w:val="auto"/>
          <w:lang w:val="en-US"/>
        </w:rPr>
        <w:t>十四五</w:t>
      </w:r>
      <w:r>
        <w:rPr>
          <w:color w:val="auto"/>
          <w:lang w:val="en-US"/>
        </w:rPr>
        <w:t>”</w:t>
      </w:r>
      <w:r>
        <w:rPr>
          <w:color w:val="auto"/>
          <w:lang w:val="en-US"/>
        </w:rPr>
        <w:t>规划》《吐鲁番市生态环境保护</w:t>
      </w:r>
      <w:r>
        <w:rPr>
          <w:color w:val="auto"/>
          <w:lang w:val="en-US"/>
        </w:rPr>
        <w:t>“</w:t>
      </w:r>
      <w:r>
        <w:rPr>
          <w:color w:val="auto"/>
          <w:lang w:val="en-US"/>
        </w:rPr>
        <w:t>十四五</w:t>
      </w:r>
      <w:r>
        <w:rPr>
          <w:color w:val="auto"/>
          <w:lang w:val="en-US"/>
        </w:rPr>
        <w:t>”</w:t>
      </w:r>
      <w:r>
        <w:rPr>
          <w:color w:val="auto"/>
          <w:lang w:val="en-US"/>
        </w:rPr>
        <w:t>规划》等环境保护规划。</w:t>
      </w:r>
    </w:p>
    <w:p w14:paraId="1102F055" w14:textId="77777777" w:rsidR="002E474C" w:rsidRDefault="00000000">
      <w:pPr>
        <w:pStyle w:val="31"/>
        <w:spacing w:before="120" w:after="120"/>
        <w:ind w:left="0" w:firstLine="0"/>
        <w:rPr>
          <w:color w:val="auto"/>
        </w:rPr>
      </w:pPr>
      <w:r>
        <w:rPr>
          <w:color w:val="auto"/>
        </w:rPr>
        <w:t>污染控制标准符合性分析</w:t>
      </w:r>
    </w:p>
    <w:p w14:paraId="151C45D9" w14:textId="77777777" w:rsidR="002E474C" w:rsidRDefault="00000000">
      <w:pPr>
        <w:pStyle w:val="41"/>
        <w:rPr>
          <w:color w:val="auto"/>
        </w:rPr>
      </w:pPr>
      <w:r>
        <w:rPr>
          <w:color w:val="auto"/>
        </w:rPr>
        <w:t>与《水泥窑协同处置固体废物污染控制标准》符合性分析</w:t>
      </w:r>
    </w:p>
    <w:p w14:paraId="20EC3B0E" w14:textId="77777777" w:rsidR="002E474C" w:rsidRDefault="00000000">
      <w:pPr>
        <w:pStyle w:val="A-z"/>
        <w:rPr>
          <w:color w:val="auto"/>
        </w:rPr>
      </w:pPr>
      <w:r>
        <w:rPr>
          <w:color w:val="auto"/>
        </w:rPr>
        <w:t>本项目与</w:t>
      </w:r>
      <w:bookmarkStart w:id="20" w:name="OLE_LINK6"/>
      <w:r>
        <w:rPr>
          <w:color w:val="auto"/>
        </w:rPr>
        <w:t>《水泥窑协同处置固体废物污染控制标准》（</w:t>
      </w:r>
      <w:r>
        <w:rPr>
          <w:color w:val="auto"/>
        </w:rPr>
        <w:t>GB30485-2013</w:t>
      </w:r>
      <w:r>
        <w:rPr>
          <w:color w:val="auto"/>
        </w:rPr>
        <w:t>）</w:t>
      </w:r>
      <w:bookmarkEnd w:id="20"/>
      <w:r>
        <w:rPr>
          <w:color w:val="auto"/>
        </w:rPr>
        <w:t>符合性分析，见表</w:t>
      </w:r>
      <w:r>
        <w:rPr>
          <w:color w:val="auto"/>
        </w:rPr>
        <w:t>1.4-5</w:t>
      </w:r>
      <w:r>
        <w:rPr>
          <w:color w:val="auto"/>
        </w:rPr>
        <w:t>。</w:t>
      </w:r>
    </w:p>
    <w:p w14:paraId="27673134" w14:textId="77777777" w:rsidR="002E474C" w:rsidRDefault="00000000">
      <w:pPr>
        <w:pStyle w:val="A-z"/>
        <w:rPr>
          <w:color w:val="auto"/>
        </w:rPr>
      </w:pPr>
      <w:r>
        <w:rPr>
          <w:color w:val="auto"/>
        </w:rPr>
        <w:t>本项目在适用范围、协同处置设施、入窑协同处置危险废物特性、污染物排放限值、水泥产品污染物控制等方面均符合《水泥窑协同处置固体废物污染控制标准》</w:t>
      </w:r>
      <w:r>
        <w:rPr>
          <w:color w:val="auto"/>
        </w:rPr>
        <w:t>(GB30485-2013)</w:t>
      </w:r>
      <w:r>
        <w:rPr>
          <w:color w:val="auto"/>
        </w:rPr>
        <w:t>相关要求。</w:t>
      </w:r>
    </w:p>
    <w:p w14:paraId="4D22F874" w14:textId="77777777" w:rsidR="002E474C" w:rsidRDefault="002E474C">
      <w:pPr>
        <w:pStyle w:val="A-z"/>
        <w:rPr>
          <w:color w:val="auto"/>
        </w:rPr>
      </w:pPr>
    </w:p>
    <w:p w14:paraId="5EC8C035" w14:textId="77777777" w:rsidR="002E474C" w:rsidRDefault="002E474C">
      <w:pPr>
        <w:pStyle w:val="A--"/>
        <w:rPr>
          <w:color w:val="auto"/>
        </w:rPr>
        <w:sectPr w:rsidR="002E474C">
          <w:pgSz w:w="11906" w:h="16838"/>
          <w:pgMar w:top="1800" w:right="1440" w:bottom="1800" w:left="1440" w:header="851" w:footer="992" w:gutter="0"/>
          <w:cols w:space="720"/>
          <w:docGrid w:linePitch="312"/>
        </w:sectPr>
      </w:pPr>
    </w:p>
    <w:p w14:paraId="5682A338" w14:textId="77777777" w:rsidR="002E474C" w:rsidRDefault="00000000">
      <w:pPr>
        <w:pStyle w:val="A--"/>
        <w:rPr>
          <w:color w:val="auto"/>
        </w:rPr>
      </w:pPr>
      <w:r>
        <w:rPr>
          <w:color w:val="auto"/>
        </w:rPr>
        <w:lastRenderedPageBreak/>
        <w:t>表</w:t>
      </w:r>
      <w:r>
        <w:rPr>
          <w:color w:val="auto"/>
        </w:rPr>
        <w:t xml:space="preserve">1.4-3  </w:t>
      </w:r>
      <w:r>
        <w:rPr>
          <w:color w:val="auto"/>
        </w:rPr>
        <w:t>与《水泥窑协同处置固体废物污染防治技术政策》符合性分析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423"/>
        <w:gridCol w:w="5154"/>
        <w:gridCol w:w="1002"/>
      </w:tblGrid>
      <w:tr w:rsidR="002E474C" w14:paraId="4C3049FA" w14:textId="77777777">
        <w:tc>
          <w:tcPr>
            <w:tcW w:w="7196" w:type="dxa"/>
            <w:gridSpan w:val="2"/>
            <w:vAlign w:val="center"/>
          </w:tcPr>
          <w:p w14:paraId="6CBC7FBF" w14:textId="77777777" w:rsidR="002E474C" w:rsidRDefault="00000000">
            <w:pPr>
              <w:pStyle w:val="A-"/>
            </w:pPr>
            <w:r>
              <w:t>相关内容</w:t>
            </w:r>
          </w:p>
        </w:tc>
        <w:tc>
          <w:tcPr>
            <w:tcW w:w="5242" w:type="dxa"/>
            <w:vAlign w:val="center"/>
          </w:tcPr>
          <w:p w14:paraId="167DAB84" w14:textId="77777777" w:rsidR="002E474C" w:rsidRDefault="00000000">
            <w:pPr>
              <w:pStyle w:val="A-"/>
            </w:pPr>
            <w:r>
              <w:t>本项目情况</w:t>
            </w:r>
          </w:p>
        </w:tc>
        <w:tc>
          <w:tcPr>
            <w:tcW w:w="1016" w:type="dxa"/>
            <w:vAlign w:val="center"/>
          </w:tcPr>
          <w:p w14:paraId="6E29946F" w14:textId="77777777" w:rsidR="002E474C" w:rsidRDefault="00000000">
            <w:pPr>
              <w:pStyle w:val="A-"/>
            </w:pPr>
            <w:r>
              <w:t>符合性</w:t>
            </w:r>
          </w:p>
        </w:tc>
      </w:tr>
      <w:tr w:rsidR="002E474C" w14:paraId="11D4F34E" w14:textId="77777777">
        <w:tc>
          <w:tcPr>
            <w:tcW w:w="654" w:type="dxa"/>
            <w:vMerge w:val="restart"/>
            <w:vAlign w:val="center"/>
          </w:tcPr>
          <w:p w14:paraId="7392EC23" w14:textId="77777777" w:rsidR="002E474C" w:rsidRDefault="00000000">
            <w:pPr>
              <w:pStyle w:val="A-"/>
            </w:pPr>
            <w:r>
              <w:t>源头控制</w:t>
            </w:r>
          </w:p>
        </w:tc>
        <w:tc>
          <w:tcPr>
            <w:tcW w:w="6542" w:type="dxa"/>
            <w:vAlign w:val="center"/>
          </w:tcPr>
          <w:p w14:paraId="6679DF44" w14:textId="77777777" w:rsidR="002E474C" w:rsidRDefault="00000000">
            <w:pPr>
              <w:pStyle w:val="A-"/>
              <w:jc w:val="both"/>
            </w:pPr>
            <w:r>
              <w:t>（一）协同处置固体废物应利用现有新型干法水泥窑，并采用窑磨一体化运行方式。处置固体废物应采用单线设计熟料生产规模</w:t>
            </w:r>
            <w:r>
              <w:t>2000</w:t>
            </w:r>
            <w:r>
              <w:t>吨</w:t>
            </w:r>
            <w:r>
              <w:t>/</w:t>
            </w:r>
            <w:r>
              <w:t>日及以上的水泥窑。本技术政策发布之后新建、改建或扩建处置危险废物的水泥企业，应选择单线设计熟料生产规模</w:t>
            </w:r>
            <w:r>
              <w:t>4000</w:t>
            </w:r>
            <w:r>
              <w:t>吨</w:t>
            </w:r>
            <w:r>
              <w:t>/</w:t>
            </w:r>
            <w:r>
              <w:t>日及以上水泥窑；新建、改建或扩建处置其他固体废物的水泥企业，应选择单线设计熟料生产规模</w:t>
            </w:r>
            <w:r>
              <w:t>3000</w:t>
            </w:r>
            <w:r>
              <w:t>吨</w:t>
            </w:r>
            <w:r>
              <w:t>/</w:t>
            </w:r>
            <w:r>
              <w:t>日及以上水泥窑。鼓励利用符合《</w:t>
            </w:r>
            <w:bookmarkStart w:id="21" w:name="OLE_LINK3"/>
            <w:r>
              <w:t>水泥行业规范条件</w:t>
            </w:r>
            <w:bookmarkEnd w:id="21"/>
            <w:r>
              <w:t>（</w:t>
            </w:r>
            <w:r>
              <w:t>2015</w:t>
            </w:r>
            <w:r>
              <w:t>年本）》的水泥窑协同处置固体废物，拟改造前应符合《水泥窑协同处置固体废物污染控制标准》（</w:t>
            </w:r>
            <w:r>
              <w:t>GB30485-2013</w:t>
            </w:r>
            <w:r>
              <w:t>）的要求。</w:t>
            </w:r>
          </w:p>
        </w:tc>
        <w:tc>
          <w:tcPr>
            <w:tcW w:w="5242" w:type="dxa"/>
            <w:vAlign w:val="center"/>
          </w:tcPr>
          <w:p w14:paraId="6C772AE9" w14:textId="77777777" w:rsidR="002E474C" w:rsidRDefault="00000000">
            <w:pPr>
              <w:pStyle w:val="A-"/>
              <w:jc w:val="both"/>
            </w:pPr>
            <w:r>
              <w:t>本项目用于协同处置危险废物的水泥窑为已投入运行的新型干法回转窑，并采用窑磨一体化运行方式，依托的电石渣干法水泥生产线生产规模为</w:t>
            </w:r>
            <w:r>
              <w:t>5000t/d</w:t>
            </w:r>
            <w:r>
              <w:t>。圣雄水泥公司的水泥窑符合《水泥行业规范条件（</w:t>
            </w:r>
            <w:r>
              <w:t>2015</w:t>
            </w:r>
            <w:r>
              <w:t>年本）》及《水泥窑协同处置固体废物污染控制标准》（</w:t>
            </w:r>
            <w:r>
              <w:t>GB30485-2013</w:t>
            </w:r>
            <w:r>
              <w:t>）。</w:t>
            </w:r>
          </w:p>
        </w:tc>
        <w:tc>
          <w:tcPr>
            <w:tcW w:w="1016" w:type="dxa"/>
            <w:vAlign w:val="center"/>
          </w:tcPr>
          <w:p w14:paraId="32B62C79" w14:textId="77777777" w:rsidR="002E474C" w:rsidRDefault="00000000">
            <w:pPr>
              <w:pStyle w:val="A-"/>
            </w:pPr>
            <w:r>
              <w:t>符合</w:t>
            </w:r>
          </w:p>
        </w:tc>
      </w:tr>
      <w:tr w:rsidR="002E474C" w14:paraId="062F7E7B" w14:textId="77777777">
        <w:tc>
          <w:tcPr>
            <w:tcW w:w="654" w:type="dxa"/>
            <w:vMerge/>
            <w:vAlign w:val="center"/>
          </w:tcPr>
          <w:p w14:paraId="3186A68B" w14:textId="77777777" w:rsidR="002E474C" w:rsidRDefault="002E474C">
            <w:pPr>
              <w:pStyle w:val="A-"/>
            </w:pPr>
          </w:p>
        </w:tc>
        <w:tc>
          <w:tcPr>
            <w:tcW w:w="6542" w:type="dxa"/>
            <w:vAlign w:val="center"/>
          </w:tcPr>
          <w:p w14:paraId="15AFE69C" w14:textId="77777777" w:rsidR="002E474C" w:rsidRDefault="00000000">
            <w:pPr>
              <w:pStyle w:val="A-"/>
              <w:jc w:val="both"/>
            </w:pPr>
            <w:r>
              <w:t>（二）应根据生产工艺与技术装备，合理确定水泥窑协同处置固体废物的种类及处置规模。严禁利用水泥窑协同处置具有放射性、爆炸性和反应性废物，未经拆解的废家用电器、废电池和电子产品，含汞的温度计、血压计、荧光灯管和开关，铬渣，以及未知特性和未经过检测的不明性质废物。</w:t>
            </w:r>
          </w:p>
        </w:tc>
        <w:tc>
          <w:tcPr>
            <w:tcW w:w="5242" w:type="dxa"/>
            <w:vAlign w:val="center"/>
          </w:tcPr>
          <w:p w14:paraId="182EA66C" w14:textId="77777777" w:rsidR="002E474C" w:rsidRDefault="00000000">
            <w:pPr>
              <w:pStyle w:val="A-"/>
              <w:jc w:val="both"/>
            </w:pPr>
            <w:r>
              <w:rPr>
                <w:spacing w:val="-6"/>
              </w:rPr>
              <w:t>本项目</w:t>
            </w:r>
            <w:r>
              <w:t>严禁利用水泥窑协同处置具有放射性、爆炸性和反应性废物，未经拆解的废家用电器、废电池和电子产品，含汞的温度计、血压计、荧光灯管和开关，铬渣，以及未知特性和未经过检测的不明性质废物。</w:t>
            </w:r>
          </w:p>
        </w:tc>
        <w:tc>
          <w:tcPr>
            <w:tcW w:w="1016" w:type="dxa"/>
            <w:vAlign w:val="center"/>
          </w:tcPr>
          <w:p w14:paraId="50B3361B" w14:textId="77777777" w:rsidR="002E474C" w:rsidRDefault="00000000">
            <w:pPr>
              <w:pStyle w:val="A-"/>
            </w:pPr>
            <w:r>
              <w:t>符合</w:t>
            </w:r>
          </w:p>
        </w:tc>
      </w:tr>
      <w:tr w:rsidR="002E474C" w14:paraId="194ACC38" w14:textId="77777777">
        <w:tc>
          <w:tcPr>
            <w:tcW w:w="654" w:type="dxa"/>
            <w:vMerge/>
            <w:vAlign w:val="center"/>
          </w:tcPr>
          <w:p w14:paraId="6713F1E6" w14:textId="77777777" w:rsidR="002E474C" w:rsidRDefault="002E474C">
            <w:pPr>
              <w:pStyle w:val="A-"/>
            </w:pPr>
          </w:p>
        </w:tc>
        <w:tc>
          <w:tcPr>
            <w:tcW w:w="6542" w:type="dxa"/>
            <w:vAlign w:val="center"/>
          </w:tcPr>
          <w:p w14:paraId="0333EDC2" w14:textId="77777777" w:rsidR="002E474C" w:rsidRDefault="00000000">
            <w:pPr>
              <w:pStyle w:val="A-"/>
              <w:jc w:val="both"/>
            </w:pPr>
            <w:r>
              <w:t>（三）新建水泥窑协同处置危险废物的企业在试生产期间，应按照《水泥窑协同处置固体废物环境保护技术规范》（</w:t>
            </w:r>
            <w:r>
              <w:t>HJ662-2013</w:t>
            </w:r>
            <w:r>
              <w:t>）要求对水泥窑协同处置设施进行性能测试，以检验和评价水泥窑在协同处置危险废物的过程中对有机化合物的焚毁去除能力以及对污染物排放的控制效果。利用水泥窑协同处置医疗废物，必须满足《水泥窑协同处置固体废物环境保护技术规范（</w:t>
            </w:r>
            <w:r>
              <w:t>HJ662-2013</w:t>
            </w:r>
            <w:r>
              <w:t>）的相关要求。</w:t>
            </w:r>
          </w:p>
        </w:tc>
        <w:tc>
          <w:tcPr>
            <w:tcW w:w="5242" w:type="dxa"/>
            <w:vAlign w:val="center"/>
          </w:tcPr>
          <w:p w14:paraId="7A34DFD9" w14:textId="77777777" w:rsidR="002E474C" w:rsidRDefault="00000000">
            <w:pPr>
              <w:pStyle w:val="A-"/>
              <w:jc w:val="both"/>
              <w:rPr>
                <w:spacing w:val="-6"/>
              </w:rPr>
            </w:pPr>
            <w:r>
              <w:t>本项目建成后，应按照《水泥窑协同处置固体废物环境保护技术规范》（</w:t>
            </w:r>
            <w:r>
              <w:t>HJ662-2013</w:t>
            </w:r>
            <w:r>
              <w:t>）的相关要求对水泥窑协同处置设施进行性能测试。本项目不处置医疗废物。</w:t>
            </w:r>
          </w:p>
        </w:tc>
        <w:tc>
          <w:tcPr>
            <w:tcW w:w="1016" w:type="dxa"/>
            <w:vAlign w:val="center"/>
          </w:tcPr>
          <w:p w14:paraId="597C86C3" w14:textId="77777777" w:rsidR="002E474C" w:rsidRDefault="00000000">
            <w:pPr>
              <w:pStyle w:val="A-"/>
            </w:pPr>
            <w:r>
              <w:t>符合</w:t>
            </w:r>
          </w:p>
        </w:tc>
      </w:tr>
      <w:tr w:rsidR="002E474C" w14:paraId="5ED85DAE" w14:textId="77777777">
        <w:tc>
          <w:tcPr>
            <w:tcW w:w="654" w:type="dxa"/>
            <w:vMerge/>
            <w:vAlign w:val="center"/>
          </w:tcPr>
          <w:p w14:paraId="658950F7" w14:textId="77777777" w:rsidR="002E474C" w:rsidRDefault="002E474C">
            <w:pPr>
              <w:pStyle w:val="A-"/>
            </w:pPr>
          </w:p>
        </w:tc>
        <w:tc>
          <w:tcPr>
            <w:tcW w:w="6542" w:type="dxa"/>
            <w:vAlign w:val="center"/>
          </w:tcPr>
          <w:p w14:paraId="5FF3FEA7" w14:textId="77777777" w:rsidR="002E474C" w:rsidRDefault="00000000">
            <w:pPr>
              <w:pStyle w:val="A-"/>
              <w:jc w:val="both"/>
            </w:pPr>
            <w:r>
              <w:t>（四）处置应急事件废物，应选择具有同类型危险废物经营许可证的水泥窑进行协同处置。如无法满足条件时，应按照当地省级环境保护主管部门批准的应急处置方案，选择适宜的水泥窑进行协同处置。</w:t>
            </w:r>
          </w:p>
        </w:tc>
        <w:tc>
          <w:tcPr>
            <w:tcW w:w="5242" w:type="dxa"/>
            <w:vAlign w:val="center"/>
          </w:tcPr>
          <w:p w14:paraId="2E7D2E3A" w14:textId="77777777" w:rsidR="002E474C" w:rsidRDefault="00000000">
            <w:pPr>
              <w:pStyle w:val="A-"/>
              <w:jc w:val="both"/>
              <w:rPr>
                <w:spacing w:val="-6"/>
              </w:rPr>
            </w:pPr>
            <w:r>
              <w:t>本项目按应急事件废物类型申请危险废物经营许可证，并按证处置应急事件废物。</w:t>
            </w:r>
          </w:p>
        </w:tc>
        <w:tc>
          <w:tcPr>
            <w:tcW w:w="1016" w:type="dxa"/>
            <w:vAlign w:val="center"/>
          </w:tcPr>
          <w:p w14:paraId="13632D95" w14:textId="77777777" w:rsidR="002E474C" w:rsidRDefault="00000000">
            <w:pPr>
              <w:pStyle w:val="A-"/>
            </w:pPr>
            <w:r>
              <w:t>符合</w:t>
            </w:r>
          </w:p>
        </w:tc>
      </w:tr>
      <w:tr w:rsidR="002E474C" w14:paraId="0F650727" w14:textId="77777777">
        <w:tc>
          <w:tcPr>
            <w:tcW w:w="654" w:type="dxa"/>
            <w:vMerge w:val="restart"/>
            <w:vAlign w:val="center"/>
          </w:tcPr>
          <w:p w14:paraId="2D8ED107" w14:textId="77777777" w:rsidR="002E474C" w:rsidRDefault="00000000">
            <w:pPr>
              <w:pStyle w:val="A-"/>
            </w:pPr>
            <w:r>
              <w:t>清洁生产</w:t>
            </w:r>
          </w:p>
        </w:tc>
        <w:tc>
          <w:tcPr>
            <w:tcW w:w="6542" w:type="dxa"/>
            <w:vAlign w:val="center"/>
          </w:tcPr>
          <w:p w14:paraId="5AF5B3D6" w14:textId="77777777" w:rsidR="002E474C" w:rsidRDefault="00000000">
            <w:pPr>
              <w:pStyle w:val="A-"/>
              <w:jc w:val="both"/>
            </w:pPr>
            <w:r>
              <w:t>（一）水泥窑协同处置固体废物，其清洁生产水平应按照《水泥行业清洁生产评价指标体系》（发展改革委公告</w:t>
            </w:r>
            <w:r>
              <w:t>2014</w:t>
            </w:r>
            <w:r>
              <w:t>年第</w:t>
            </w:r>
            <w:r>
              <w:t>3</w:t>
            </w:r>
            <w:r>
              <w:t>号）的要求，定期实施清洁生产审核。</w:t>
            </w:r>
          </w:p>
        </w:tc>
        <w:tc>
          <w:tcPr>
            <w:tcW w:w="5242" w:type="dxa"/>
            <w:vAlign w:val="center"/>
          </w:tcPr>
          <w:p w14:paraId="1F00FEB9" w14:textId="77777777" w:rsidR="002E474C" w:rsidRDefault="00000000">
            <w:pPr>
              <w:pStyle w:val="A-"/>
              <w:jc w:val="both"/>
            </w:pPr>
            <w:r>
              <w:t>本项目投运后，应定期实施清洁生产审核，持续提高清洁生产水平。</w:t>
            </w:r>
          </w:p>
        </w:tc>
        <w:tc>
          <w:tcPr>
            <w:tcW w:w="1016" w:type="dxa"/>
            <w:vAlign w:val="center"/>
          </w:tcPr>
          <w:p w14:paraId="0438BADB" w14:textId="77777777" w:rsidR="002E474C" w:rsidRDefault="00000000">
            <w:pPr>
              <w:pStyle w:val="A-"/>
            </w:pPr>
            <w:r>
              <w:t>符合</w:t>
            </w:r>
          </w:p>
        </w:tc>
      </w:tr>
      <w:tr w:rsidR="002E474C" w14:paraId="574B7C2C" w14:textId="77777777">
        <w:tc>
          <w:tcPr>
            <w:tcW w:w="654" w:type="dxa"/>
            <w:vMerge/>
            <w:vAlign w:val="center"/>
          </w:tcPr>
          <w:p w14:paraId="31D0215C" w14:textId="77777777" w:rsidR="002E474C" w:rsidRDefault="002E474C">
            <w:pPr>
              <w:pStyle w:val="A-"/>
            </w:pPr>
          </w:p>
        </w:tc>
        <w:tc>
          <w:tcPr>
            <w:tcW w:w="6542" w:type="dxa"/>
            <w:vAlign w:val="center"/>
          </w:tcPr>
          <w:p w14:paraId="189C971F" w14:textId="77777777" w:rsidR="002E474C" w:rsidRDefault="00000000">
            <w:pPr>
              <w:pStyle w:val="A-"/>
              <w:jc w:val="both"/>
            </w:pPr>
            <w:r>
              <w:t>（二）水泥窑协同处置固体废物，应对进场接收、贮存与输送、预处理和入窑处置等场所或设施采取密闭、负压或其他防漏散、防飞扬、防恶臭的有效措施。</w:t>
            </w:r>
          </w:p>
        </w:tc>
        <w:tc>
          <w:tcPr>
            <w:tcW w:w="5242" w:type="dxa"/>
            <w:vAlign w:val="center"/>
          </w:tcPr>
          <w:p w14:paraId="4A5E4BCA" w14:textId="77777777" w:rsidR="002E474C" w:rsidRDefault="00000000">
            <w:pPr>
              <w:pStyle w:val="A-"/>
              <w:jc w:val="both"/>
            </w:pPr>
            <w:r>
              <w:t>本项目危废贮存库、固态危废预处理车间和液态处置车间、无机危废投料系统等均为密闭设施并设负压系统。</w:t>
            </w:r>
          </w:p>
        </w:tc>
        <w:tc>
          <w:tcPr>
            <w:tcW w:w="1016" w:type="dxa"/>
            <w:vAlign w:val="center"/>
          </w:tcPr>
          <w:p w14:paraId="1E8E61D2" w14:textId="77777777" w:rsidR="002E474C" w:rsidRDefault="00000000">
            <w:pPr>
              <w:pStyle w:val="A-"/>
            </w:pPr>
            <w:r>
              <w:t>符合</w:t>
            </w:r>
          </w:p>
        </w:tc>
      </w:tr>
      <w:tr w:rsidR="002E474C" w14:paraId="47C9933A" w14:textId="77777777">
        <w:tc>
          <w:tcPr>
            <w:tcW w:w="654" w:type="dxa"/>
            <w:vMerge/>
            <w:vAlign w:val="center"/>
          </w:tcPr>
          <w:p w14:paraId="05E77762" w14:textId="77777777" w:rsidR="002E474C" w:rsidRDefault="002E474C">
            <w:pPr>
              <w:pStyle w:val="A-"/>
            </w:pPr>
          </w:p>
        </w:tc>
        <w:tc>
          <w:tcPr>
            <w:tcW w:w="6542" w:type="dxa"/>
            <w:vAlign w:val="center"/>
          </w:tcPr>
          <w:p w14:paraId="1BDBA473" w14:textId="77777777" w:rsidR="002E474C" w:rsidRDefault="00000000">
            <w:pPr>
              <w:pStyle w:val="A-"/>
              <w:jc w:val="both"/>
            </w:pPr>
            <w:r>
              <w:t>（三）固体废物在水泥企业应分类贮存，贮存设施应单独建设，不应</w:t>
            </w:r>
            <w:r>
              <w:lastRenderedPageBreak/>
              <w:t>与水泥生产原燃料或产品混合贮存。危险废物贮存还应满足《危险废物贮存污染控制标准》（</w:t>
            </w:r>
            <w:r>
              <w:t>GB18597</w:t>
            </w:r>
            <w:r>
              <w:t>）和《危险废物收集</w:t>
            </w:r>
            <w:r>
              <w:t xml:space="preserve"> </w:t>
            </w:r>
            <w:r>
              <w:t>贮存</w:t>
            </w:r>
            <w:r>
              <w:t xml:space="preserve"> </w:t>
            </w:r>
            <w:r>
              <w:t>运输技术规范》（</w:t>
            </w:r>
            <w:r>
              <w:t>HJ2025-2012</w:t>
            </w:r>
            <w:r>
              <w:t>）要求。</w:t>
            </w:r>
          </w:p>
        </w:tc>
        <w:tc>
          <w:tcPr>
            <w:tcW w:w="5242" w:type="dxa"/>
            <w:vAlign w:val="center"/>
          </w:tcPr>
          <w:p w14:paraId="54408BF2" w14:textId="77777777" w:rsidR="002E474C" w:rsidRDefault="00000000">
            <w:pPr>
              <w:pStyle w:val="A-"/>
              <w:jc w:val="both"/>
            </w:pPr>
            <w:r>
              <w:lastRenderedPageBreak/>
              <w:t>本项目危险废物在危废贮存库、固态危废预处理车间分</w:t>
            </w:r>
            <w:r>
              <w:lastRenderedPageBreak/>
              <w:t>类分区贮存，满足《危险废物贮存污染控制标准》（</w:t>
            </w:r>
            <w:r>
              <w:t>GB18597-2023</w:t>
            </w:r>
            <w:r>
              <w:t>）和《危险废物收集</w:t>
            </w:r>
            <w:r>
              <w:t xml:space="preserve"> </w:t>
            </w:r>
            <w:r>
              <w:t>贮存</w:t>
            </w:r>
            <w:r>
              <w:t xml:space="preserve"> </w:t>
            </w:r>
            <w:r>
              <w:t>运输技术规范》（</w:t>
            </w:r>
            <w:r>
              <w:t>HJ2025-2012</w:t>
            </w:r>
            <w:r>
              <w:t>）的要求。</w:t>
            </w:r>
          </w:p>
        </w:tc>
        <w:tc>
          <w:tcPr>
            <w:tcW w:w="1016" w:type="dxa"/>
            <w:vAlign w:val="center"/>
          </w:tcPr>
          <w:p w14:paraId="4B459748" w14:textId="77777777" w:rsidR="002E474C" w:rsidRDefault="00000000">
            <w:pPr>
              <w:pStyle w:val="A-"/>
            </w:pPr>
            <w:r>
              <w:lastRenderedPageBreak/>
              <w:t>符合</w:t>
            </w:r>
          </w:p>
        </w:tc>
      </w:tr>
      <w:tr w:rsidR="002E474C" w14:paraId="385C1B8F" w14:textId="77777777">
        <w:tc>
          <w:tcPr>
            <w:tcW w:w="654" w:type="dxa"/>
            <w:vMerge/>
            <w:vAlign w:val="center"/>
          </w:tcPr>
          <w:p w14:paraId="1B21EB65" w14:textId="77777777" w:rsidR="002E474C" w:rsidRDefault="002E474C">
            <w:pPr>
              <w:pStyle w:val="A-"/>
            </w:pPr>
          </w:p>
        </w:tc>
        <w:tc>
          <w:tcPr>
            <w:tcW w:w="6542" w:type="dxa"/>
            <w:vAlign w:val="center"/>
          </w:tcPr>
          <w:p w14:paraId="7F503490" w14:textId="77777777" w:rsidR="002E474C" w:rsidRDefault="00000000">
            <w:pPr>
              <w:pStyle w:val="A-"/>
              <w:jc w:val="both"/>
            </w:pPr>
            <w:r>
              <w:t>（四）根据协同处置固体废物特性及入窑要求，合理确定预处理工艺。</w:t>
            </w:r>
          </w:p>
        </w:tc>
        <w:tc>
          <w:tcPr>
            <w:tcW w:w="5242" w:type="dxa"/>
            <w:vAlign w:val="center"/>
          </w:tcPr>
          <w:p w14:paraId="42FD8554" w14:textId="77777777" w:rsidR="002E474C" w:rsidRDefault="00000000">
            <w:pPr>
              <w:pStyle w:val="A-"/>
              <w:jc w:val="both"/>
            </w:pPr>
            <w:r>
              <w:t>入厂的危险废物经过暂存、检查分析、制定处置方案、废物预处理等流程管理，使不满足入窑要求的入厂废物转变为均质性、物理特性和化学组成满足入窑要求的入窑废物，满足设施输送、投加的要求。</w:t>
            </w:r>
          </w:p>
        </w:tc>
        <w:tc>
          <w:tcPr>
            <w:tcW w:w="1016" w:type="dxa"/>
            <w:vAlign w:val="center"/>
          </w:tcPr>
          <w:p w14:paraId="12F0BBAA" w14:textId="77777777" w:rsidR="002E474C" w:rsidRDefault="00000000">
            <w:pPr>
              <w:pStyle w:val="A-"/>
            </w:pPr>
            <w:r>
              <w:t>符合</w:t>
            </w:r>
          </w:p>
        </w:tc>
      </w:tr>
      <w:tr w:rsidR="002E474C" w14:paraId="1090AE44" w14:textId="77777777">
        <w:tc>
          <w:tcPr>
            <w:tcW w:w="654" w:type="dxa"/>
            <w:vMerge/>
            <w:vAlign w:val="center"/>
          </w:tcPr>
          <w:p w14:paraId="409A1CA2" w14:textId="77777777" w:rsidR="002E474C" w:rsidRDefault="002E474C">
            <w:pPr>
              <w:pStyle w:val="A-"/>
            </w:pPr>
          </w:p>
        </w:tc>
        <w:tc>
          <w:tcPr>
            <w:tcW w:w="6542" w:type="dxa"/>
            <w:vAlign w:val="center"/>
          </w:tcPr>
          <w:p w14:paraId="73494AF7" w14:textId="77777777" w:rsidR="002E474C" w:rsidRDefault="00000000">
            <w:pPr>
              <w:pStyle w:val="A-"/>
              <w:jc w:val="both"/>
            </w:pPr>
            <w:r>
              <w:t>（五）严格控制水泥窑协同处置入窑废物中重金属含量及投加量；水泥熟料中可浸出重金属含量限值应满足《水泥窑协同处置固体废物技术规范》（</w:t>
            </w:r>
            <w:r>
              <w:t>GB30760-2014</w:t>
            </w:r>
            <w:r>
              <w:t>）的相关要求。水泥窑协同处置重金属类危险废物时，应提高对水泥熟料重金属浸出浓度的检测频次。严格控制入窑废物中氯元素的含量，保证水泥窑能稳定运行和水泥熟料质量，同时遏制二噁英类污染物的产生。</w:t>
            </w:r>
          </w:p>
        </w:tc>
        <w:tc>
          <w:tcPr>
            <w:tcW w:w="5242" w:type="dxa"/>
            <w:vAlign w:val="center"/>
          </w:tcPr>
          <w:p w14:paraId="5DCDD6F2" w14:textId="77777777" w:rsidR="002E474C" w:rsidRDefault="00000000">
            <w:pPr>
              <w:pStyle w:val="A-"/>
              <w:jc w:val="both"/>
            </w:pPr>
            <w:r>
              <w:t>本项目按照《水泥窑协同处置固体废物技术规范》（</w:t>
            </w:r>
            <w:r>
              <w:t>GB/T30760-2024</w:t>
            </w:r>
            <w:r>
              <w:t>）的相关要求设计处置方案并进行监测。严格控制随物料入窑的氯（</w:t>
            </w:r>
            <w:r>
              <w:t>Cl</w:t>
            </w:r>
            <w:r>
              <w:t>）元素的投加量，以保证水泥的正常生料和熟料质量符合国家标准。</w:t>
            </w:r>
            <w:r>
              <w:t xml:space="preserve"> </w:t>
            </w:r>
          </w:p>
        </w:tc>
        <w:tc>
          <w:tcPr>
            <w:tcW w:w="1016" w:type="dxa"/>
            <w:vAlign w:val="center"/>
          </w:tcPr>
          <w:p w14:paraId="3CBBED70" w14:textId="77777777" w:rsidR="002E474C" w:rsidRDefault="00000000">
            <w:pPr>
              <w:pStyle w:val="A-"/>
            </w:pPr>
            <w:r>
              <w:t>符合</w:t>
            </w:r>
          </w:p>
        </w:tc>
      </w:tr>
      <w:tr w:rsidR="002E474C" w14:paraId="2B21526B" w14:textId="77777777">
        <w:tc>
          <w:tcPr>
            <w:tcW w:w="654" w:type="dxa"/>
            <w:vMerge/>
            <w:vAlign w:val="center"/>
          </w:tcPr>
          <w:p w14:paraId="197A329C" w14:textId="77777777" w:rsidR="002E474C" w:rsidRDefault="002E474C">
            <w:pPr>
              <w:pStyle w:val="A-"/>
            </w:pPr>
          </w:p>
        </w:tc>
        <w:tc>
          <w:tcPr>
            <w:tcW w:w="6542" w:type="dxa"/>
            <w:vAlign w:val="center"/>
          </w:tcPr>
          <w:p w14:paraId="7FF43E38" w14:textId="77777777" w:rsidR="002E474C" w:rsidRDefault="00000000">
            <w:pPr>
              <w:pStyle w:val="A-"/>
              <w:jc w:val="both"/>
            </w:pPr>
            <w:r>
              <w:t>（六）固体废物入窑投加位置及投加方式应根据水泥窑运行条件及预处理情况在满足《水泥窑协同处置固体废物环境保护技术规范》（</w:t>
            </w:r>
            <w:r>
              <w:t>HJ662-2013</w:t>
            </w:r>
            <w:r>
              <w:t>）要求的同时，根据固体废物的成分、热值等参数进行合理配伍，保障固体废物投加后水泥窑能稳定运行。含有机挥发性物质的废物、含恶臭废物及含氰废物不能投入生料制备系统，应从高温段投入水泥窑。</w:t>
            </w:r>
          </w:p>
        </w:tc>
        <w:tc>
          <w:tcPr>
            <w:tcW w:w="5242" w:type="dxa"/>
            <w:vAlign w:val="center"/>
          </w:tcPr>
          <w:p w14:paraId="5803E959" w14:textId="77777777" w:rsidR="002E474C" w:rsidRDefault="00000000">
            <w:pPr>
              <w:pStyle w:val="A-"/>
              <w:jc w:val="both"/>
            </w:pPr>
            <w:r>
              <w:t>本项目危险废物入窑投加位置及投加方式满足《水泥窑协同处置固体废物环境保护技术规范》（</w:t>
            </w:r>
            <w:r>
              <w:t>HJ662-2013</w:t>
            </w:r>
            <w:r>
              <w:t>）要求，且根据固体废物的成分、热值等参数进行合理配伍，保障固体废物投加后水泥窑能稳定运行。含有机挥发性物质的废物、含恶臭废物及含氰废物从高温段投入水泥窑。</w:t>
            </w:r>
          </w:p>
        </w:tc>
        <w:tc>
          <w:tcPr>
            <w:tcW w:w="1016" w:type="dxa"/>
            <w:vAlign w:val="center"/>
          </w:tcPr>
          <w:p w14:paraId="291BD0AD" w14:textId="77777777" w:rsidR="002E474C" w:rsidRDefault="00000000">
            <w:pPr>
              <w:pStyle w:val="A-"/>
            </w:pPr>
            <w:r>
              <w:t>符合</w:t>
            </w:r>
          </w:p>
        </w:tc>
      </w:tr>
      <w:tr w:rsidR="002E474C" w14:paraId="43BD9046" w14:textId="77777777">
        <w:tc>
          <w:tcPr>
            <w:tcW w:w="654" w:type="dxa"/>
            <w:vMerge/>
            <w:vAlign w:val="center"/>
          </w:tcPr>
          <w:p w14:paraId="386396FB" w14:textId="77777777" w:rsidR="002E474C" w:rsidRDefault="002E474C">
            <w:pPr>
              <w:pStyle w:val="A-"/>
            </w:pPr>
          </w:p>
        </w:tc>
        <w:tc>
          <w:tcPr>
            <w:tcW w:w="6542" w:type="dxa"/>
            <w:vAlign w:val="center"/>
          </w:tcPr>
          <w:p w14:paraId="5FA3F94B" w14:textId="77777777" w:rsidR="002E474C" w:rsidRDefault="00000000">
            <w:pPr>
              <w:pStyle w:val="A-"/>
              <w:jc w:val="both"/>
            </w:pPr>
            <w:r>
              <w:t>（七）水泥窑协同处置固体废物应按照废物特性和水泥生产要求配置相应的投加计量和自动控制进料装置。</w:t>
            </w:r>
          </w:p>
        </w:tc>
        <w:tc>
          <w:tcPr>
            <w:tcW w:w="5242" w:type="dxa"/>
            <w:vAlign w:val="center"/>
          </w:tcPr>
          <w:p w14:paraId="309F917B" w14:textId="77777777" w:rsidR="002E474C" w:rsidRDefault="00000000">
            <w:pPr>
              <w:pStyle w:val="A-"/>
              <w:jc w:val="both"/>
            </w:pPr>
            <w:r>
              <w:t>本项目按照废物特性和水泥生产要求配置相应的投加计量和自动控制进料装置。</w:t>
            </w:r>
          </w:p>
        </w:tc>
        <w:tc>
          <w:tcPr>
            <w:tcW w:w="1016" w:type="dxa"/>
            <w:vAlign w:val="center"/>
          </w:tcPr>
          <w:p w14:paraId="749CF05A" w14:textId="77777777" w:rsidR="002E474C" w:rsidRDefault="00000000">
            <w:pPr>
              <w:pStyle w:val="A-"/>
            </w:pPr>
            <w:r>
              <w:t>符合</w:t>
            </w:r>
          </w:p>
        </w:tc>
      </w:tr>
      <w:tr w:rsidR="002E474C" w14:paraId="474DCEEA" w14:textId="77777777">
        <w:tc>
          <w:tcPr>
            <w:tcW w:w="654" w:type="dxa"/>
            <w:vMerge/>
            <w:vAlign w:val="center"/>
          </w:tcPr>
          <w:p w14:paraId="5A54B6B4" w14:textId="77777777" w:rsidR="002E474C" w:rsidRDefault="002E474C">
            <w:pPr>
              <w:pStyle w:val="A-"/>
            </w:pPr>
          </w:p>
        </w:tc>
        <w:tc>
          <w:tcPr>
            <w:tcW w:w="6542" w:type="dxa"/>
            <w:vAlign w:val="center"/>
          </w:tcPr>
          <w:p w14:paraId="7EF1F918" w14:textId="77777777" w:rsidR="002E474C" w:rsidRDefault="00000000">
            <w:pPr>
              <w:pStyle w:val="A-"/>
              <w:jc w:val="both"/>
            </w:pPr>
            <w:r>
              <w:t>（八）水泥窑协同处置固体废物应按照废物特性和水泥生产要求配置相应的投加计量和自动控制进料装置。</w:t>
            </w:r>
          </w:p>
        </w:tc>
        <w:tc>
          <w:tcPr>
            <w:tcW w:w="5242" w:type="dxa"/>
            <w:vAlign w:val="center"/>
          </w:tcPr>
          <w:p w14:paraId="23EE0887" w14:textId="77777777" w:rsidR="002E474C" w:rsidRDefault="00000000">
            <w:pPr>
              <w:pStyle w:val="A-"/>
              <w:jc w:val="both"/>
            </w:pPr>
            <w:r>
              <w:t>本项目按照废物特性和水泥生产要求配置相应的投加计量和自动控制进料装置。</w:t>
            </w:r>
          </w:p>
        </w:tc>
        <w:tc>
          <w:tcPr>
            <w:tcW w:w="1016" w:type="dxa"/>
            <w:vAlign w:val="center"/>
          </w:tcPr>
          <w:p w14:paraId="7DC9F1CA" w14:textId="77777777" w:rsidR="002E474C" w:rsidRDefault="00000000">
            <w:pPr>
              <w:pStyle w:val="A-"/>
            </w:pPr>
            <w:r>
              <w:t>符合</w:t>
            </w:r>
          </w:p>
        </w:tc>
      </w:tr>
      <w:tr w:rsidR="002E474C" w14:paraId="70B0F231" w14:textId="77777777">
        <w:tc>
          <w:tcPr>
            <w:tcW w:w="654" w:type="dxa"/>
            <w:vMerge w:val="restart"/>
            <w:vAlign w:val="center"/>
          </w:tcPr>
          <w:p w14:paraId="0F07BCA7" w14:textId="77777777" w:rsidR="002E474C" w:rsidRDefault="00000000">
            <w:pPr>
              <w:pStyle w:val="A-"/>
            </w:pPr>
            <w:r>
              <w:t>末端治理</w:t>
            </w:r>
          </w:p>
        </w:tc>
        <w:tc>
          <w:tcPr>
            <w:tcW w:w="6542" w:type="dxa"/>
            <w:vAlign w:val="center"/>
          </w:tcPr>
          <w:p w14:paraId="36DD1DBF" w14:textId="77777777" w:rsidR="002E474C" w:rsidRDefault="00000000">
            <w:pPr>
              <w:pStyle w:val="A-"/>
              <w:jc w:val="both"/>
            </w:pPr>
            <w:r>
              <w:t>（一）水泥窑协同处置固体废物设施，窑尾烟气除尘应采用高效袋式除尘器。加强对协同处置固体废物水泥窑除尘器的运行与维护管理，确保除尘器与水泥窑生产百分之百同步运转。</w:t>
            </w:r>
          </w:p>
        </w:tc>
        <w:tc>
          <w:tcPr>
            <w:tcW w:w="5242" w:type="dxa"/>
            <w:shd w:val="clear" w:color="auto" w:fill="auto"/>
            <w:vAlign w:val="center"/>
          </w:tcPr>
          <w:p w14:paraId="5BCB0260" w14:textId="77777777" w:rsidR="002E474C" w:rsidRDefault="00000000">
            <w:pPr>
              <w:pStyle w:val="A-"/>
              <w:jc w:val="both"/>
            </w:pPr>
            <w:r>
              <w:t>本项目窑尾烟气采用</w:t>
            </w:r>
            <w:r>
              <w:t>“SNCR+SCR+</w:t>
            </w:r>
            <w:r>
              <w:t>增湿塔（急冷）</w:t>
            </w:r>
            <w:r>
              <w:t>+</w:t>
            </w:r>
            <w:r>
              <w:t>电袋除尘</w:t>
            </w:r>
            <w:r>
              <w:t>”</w:t>
            </w:r>
            <w:r>
              <w:t>工艺处理窑尾烟气。生产管理应确保环保设施与生产设施同步运行。</w:t>
            </w:r>
          </w:p>
        </w:tc>
        <w:tc>
          <w:tcPr>
            <w:tcW w:w="1016" w:type="dxa"/>
            <w:vAlign w:val="center"/>
          </w:tcPr>
          <w:p w14:paraId="1626FC7D" w14:textId="77777777" w:rsidR="002E474C" w:rsidRDefault="00000000">
            <w:pPr>
              <w:pStyle w:val="A-"/>
            </w:pPr>
            <w:r>
              <w:t>符合</w:t>
            </w:r>
          </w:p>
        </w:tc>
      </w:tr>
      <w:tr w:rsidR="002E474C" w14:paraId="0AFF3C6B" w14:textId="77777777">
        <w:tc>
          <w:tcPr>
            <w:tcW w:w="654" w:type="dxa"/>
            <w:vMerge/>
            <w:vAlign w:val="center"/>
          </w:tcPr>
          <w:p w14:paraId="4F483723" w14:textId="77777777" w:rsidR="002E474C" w:rsidRDefault="002E474C">
            <w:pPr>
              <w:pStyle w:val="A-"/>
            </w:pPr>
          </w:p>
        </w:tc>
        <w:tc>
          <w:tcPr>
            <w:tcW w:w="6542" w:type="dxa"/>
            <w:vAlign w:val="center"/>
          </w:tcPr>
          <w:p w14:paraId="207824F1" w14:textId="77777777" w:rsidR="002E474C" w:rsidRDefault="00000000">
            <w:pPr>
              <w:pStyle w:val="A-"/>
              <w:jc w:val="both"/>
            </w:pPr>
            <w:r>
              <w:t>（二）水泥窑协同处置过程中的氮氧化物、</w:t>
            </w:r>
            <w:bookmarkStart w:id="22" w:name="OLE_LINK27"/>
            <w:r>
              <w:t>二氧化硫</w:t>
            </w:r>
            <w:bookmarkEnd w:id="22"/>
            <w:r>
              <w:t>等污染物排放控制应执行《</w:t>
            </w:r>
            <w:bookmarkStart w:id="23" w:name="OLE_LINK22"/>
            <w:r>
              <w:t>水泥工业污染防治技术政策</w:t>
            </w:r>
            <w:bookmarkEnd w:id="23"/>
            <w:r>
              <w:t>》（环境保护部公告</w:t>
            </w:r>
            <w:r>
              <w:t>2013</w:t>
            </w:r>
            <w:r>
              <w:t>年第</w:t>
            </w:r>
            <w:r>
              <w:t>31</w:t>
            </w:r>
            <w:r>
              <w:t>号）的相关要求。</w:t>
            </w:r>
          </w:p>
        </w:tc>
        <w:tc>
          <w:tcPr>
            <w:tcW w:w="5242" w:type="dxa"/>
            <w:shd w:val="clear" w:color="auto" w:fill="auto"/>
            <w:vAlign w:val="center"/>
          </w:tcPr>
          <w:p w14:paraId="3C2DE241" w14:textId="77777777" w:rsidR="002E474C" w:rsidRDefault="00000000">
            <w:pPr>
              <w:pStyle w:val="A-"/>
              <w:jc w:val="both"/>
            </w:pPr>
            <w:r>
              <w:t>本项目窑尾烟气采用</w:t>
            </w:r>
            <w:r>
              <w:t>SNCR+SCR</w:t>
            </w:r>
            <w:r>
              <w:t>联合脱硝，颗粒物、氮氧化物、二氧化硫污染物排放按照《关于推进实施水泥行业超低排放的意见》（环大气〔</w:t>
            </w:r>
            <w:r>
              <w:t>2024</w:t>
            </w:r>
            <w:r>
              <w:t>〕</w:t>
            </w:r>
            <w:r>
              <w:t>5</w:t>
            </w:r>
            <w:r>
              <w:t>号）控制。</w:t>
            </w:r>
          </w:p>
        </w:tc>
        <w:tc>
          <w:tcPr>
            <w:tcW w:w="1016" w:type="dxa"/>
            <w:vAlign w:val="center"/>
          </w:tcPr>
          <w:p w14:paraId="474DB400" w14:textId="77777777" w:rsidR="002E474C" w:rsidRDefault="00000000">
            <w:pPr>
              <w:pStyle w:val="A-"/>
            </w:pPr>
            <w:r>
              <w:t>符合</w:t>
            </w:r>
          </w:p>
        </w:tc>
      </w:tr>
      <w:tr w:rsidR="002E474C" w14:paraId="1929F59C" w14:textId="77777777">
        <w:tc>
          <w:tcPr>
            <w:tcW w:w="654" w:type="dxa"/>
            <w:vMerge/>
            <w:vAlign w:val="center"/>
          </w:tcPr>
          <w:p w14:paraId="7CBD953B" w14:textId="77777777" w:rsidR="002E474C" w:rsidRDefault="002E474C">
            <w:pPr>
              <w:pStyle w:val="A-"/>
            </w:pPr>
          </w:p>
        </w:tc>
        <w:tc>
          <w:tcPr>
            <w:tcW w:w="6542" w:type="dxa"/>
            <w:vAlign w:val="center"/>
          </w:tcPr>
          <w:p w14:paraId="1012F9C3" w14:textId="77777777" w:rsidR="002E474C" w:rsidRDefault="00000000">
            <w:pPr>
              <w:pStyle w:val="A-"/>
              <w:jc w:val="both"/>
            </w:pPr>
            <w:r>
              <w:t>（三）水泥窑协同处置固体废物产生的渗滤液、车辆清洗废水及协同处置废物过程产生的其他废水，可经适当预处理后送入城市污水处理厂处理，或单独设置污水处理装置处理达标后回用，如果废水产生量</w:t>
            </w:r>
            <w:r>
              <w:lastRenderedPageBreak/>
              <w:t>小可直接喷入水泥窑内焚烧处置。严禁将未经处理的渗滤液及废水以任何形式直接排放。</w:t>
            </w:r>
          </w:p>
        </w:tc>
        <w:tc>
          <w:tcPr>
            <w:tcW w:w="5242" w:type="dxa"/>
            <w:vAlign w:val="center"/>
          </w:tcPr>
          <w:p w14:paraId="43047519" w14:textId="77777777" w:rsidR="002E474C" w:rsidRDefault="00000000">
            <w:pPr>
              <w:pStyle w:val="A-"/>
              <w:jc w:val="both"/>
            </w:pPr>
            <w:r>
              <w:lastRenderedPageBreak/>
              <w:t>本项目生产废水全部回喷水泥窑内焚烧，不外排。</w:t>
            </w:r>
          </w:p>
        </w:tc>
        <w:tc>
          <w:tcPr>
            <w:tcW w:w="1016" w:type="dxa"/>
            <w:vAlign w:val="center"/>
          </w:tcPr>
          <w:p w14:paraId="1D0D0FF5" w14:textId="77777777" w:rsidR="002E474C" w:rsidRDefault="00000000">
            <w:pPr>
              <w:pStyle w:val="A-"/>
            </w:pPr>
            <w:r>
              <w:t>符合</w:t>
            </w:r>
          </w:p>
        </w:tc>
      </w:tr>
      <w:tr w:rsidR="002E474C" w14:paraId="2B44E5CB" w14:textId="77777777">
        <w:tc>
          <w:tcPr>
            <w:tcW w:w="654" w:type="dxa"/>
            <w:vMerge/>
            <w:vAlign w:val="center"/>
          </w:tcPr>
          <w:p w14:paraId="79C01FB6" w14:textId="77777777" w:rsidR="002E474C" w:rsidRDefault="002E474C">
            <w:pPr>
              <w:pStyle w:val="A-"/>
            </w:pPr>
          </w:p>
        </w:tc>
        <w:tc>
          <w:tcPr>
            <w:tcW w:w="6542" w:type="dxa"/>
            <w:vAlign w:val="center"/>
          </w:tcPr>
          <w:p w14:paraId="5A8D723E" w14:textId="77777777" w:rsidR="002E474C" w:rsidRDefault="00000000">
            <w:pPr>
              <w:pStyle w:val="A-"/>
              <w:jc w:val="both"/>
            </w:pPr>
            <w:r>
              <w:t>（四）水泥企业应对协同处置固体废物操作过程和环保设施运行情况进行记录，其中有条件的项目应纳入企业运行中控系统，具备即时数据查询和历史数据查询的功能。处置危险废物的数据记录应保留五年以上，处置一般固体废物的数据记录应保留一年以上。</w:t>
            </w:r>
          </w:p>
        </w:tc>
        <w:tc>
          <w:tcPr>
            <w:tcW w:w="5242" w:type="dxa"/>
            <w:vAlign w:val="center"/>
          </w:tcPr>
          <w:p w14:paraId="7F64885D" w14:textId="77777777" w:rsidR="002E474C" w:rsidRDefault="00000000">
            <w:pPr>
              <w:pStyle w:val="A-"/>
              <w:jc w:val="both"/>
            </w:pPr>
            <w:r>
              <w:t>项目运行后，应对协同处置危险废物操作过程和环保设施运行情况进行记录并纳入企业运行中控系统。处置危险废物的数据记录应保留五年以上。</w:t>
            </w:r>
          </w:p>
        </w:tc>
        <w:tc>
          <w:tcPr>
            <w:tcW w:w="1016" w:type="dxa"/>
            <w:vAlign w:val="center"/>
          </w:tcPr>
          <w:p w14:paraId="4ED061CD" w14:textId="77777777" w:rsidR="002E474C" w:rsidRDefault="00000000">
            <w:pPr>
              <w:pStyle w:val="A-"/>
            </w:pPr>
            <w:r>
              <w:t>符合</w:t>
            </w:r>
          </w:p>
        </w:tc>
      </w:tr>
      <w:tr w:rsidR="002E474C" w14:paraId="7EE05556" w14:textId="77777777">
        <w:tc>
          <w:tcPr>
            <w:tcW w:w="654" w:type="dxa"/>
            <w:vMerge/>
            <w:vAlign w:val="center"/>
          </w:tcPr>
          <w:p w14:paraId="0D305AF1" w14:textId="77777777" w:rsidR="002E474C" w:rsidRDefault="002E474C">
            <w:pPr>
              <w:pStyle w:val="A-"/>
            </w:pPr>
          </w:p>
        </w:tc>
        <w:tc>
          <w:tcPr>
            <w:tcW w:w="6542" w:type="dxa"/>
            <w:vAlign w:val="center"/>
          </w:tcPr>
          <w:p w14:paraId="131D79E3" w14:textId="77777777" w:rsidR="002E474C" w:rsidRDefault="00000000">
            <w:pPr>
              <w:pStyle w:val="A-"/>
              <w:jc w:val="both"/>
            </w:pPr>
            <w:r>
              <w:t>（五）水泥企业应建立监测制度，定期开展自行监测。重点加强对窑尾废气中氯化氢、氟化氢、重金属和二噁英类污染物的监测。</w:t>
            </w:r>
          </w:p>
          <w:p w14:paraId="6CD9C4FD" w14:textId="77777777" w:rsidR="002E474C" w:rsidRDefault="00000000">
            <w:pPr>
              <w:pStyle w:val="A-"/>
              <w:jc w:val="both"/>
              <w:rPr>
                <w:rFonts w:eastAsia="仿宋"/>
                <w:sz w:val="30"/>
                <w:szCs w:val="30"/>
              </w:rPr>
            </w:pPr>
            <w:r>
              <w:t>水泥窑排气筒必须安装大气污染物自动在线监测装置，监测数据信息应按照《国家重点监控企业污染源监督性监测及信息公开办法（试行）》的要求进行公开。</w:t>
            </w:r>
          </w:p>
        </w:tc>
        <w:tc>
          <w:tcPr>
            <w:tcW w:w="5242" w:type="dxa"/>
            <w:vAlign w:val="center"/>
          </w:tcPr>
          <w:p w14:paraId="796721B5" w14:textId="77777777" w:rsidR="002E474C" w:rsidRDefault="00000000">
            <w:pPr>
              <w:pStyle w:val="A-"/>
              <w:jc w:val="both"/>
            </w:pPr>
            <w:r>
              <w:t>现有水泥窑已配套有在线监测设备并按照自行监测计划开展自行监测工作，同时按照《国家重点监控企业污染源监督性监测及信息公开办法（试行）》的要求进行公开。本次环评也提出了完善的环境监控计划。</w:t>
            </w:r>
          </w:p>
        </w:tc>
        <w:tc>
          <w:tcPr>
            <w:tcW w:w="1016" w:type="dxa"/>
            <w:vAlign w:val="center"/>
          </w:tcPr>
          <w:p w14:paraId="04850A14" w14:textId="77777777" w:rsidR="002E474C" w:rsidRDefault="00000000">
            <w:pPr>
              <w:pStyle w:val="A-"/>
            </w:pPr>
            <w:r>
              <w:t>符合</w:t>
            </w:r>
          </w:p>
        </w:tc>
      </w:tr>
      <w:tr w:rsidR="002E474C" w14:paraId="207DF266" w14:textId="77777777">
        <w:tc>
          <w:tcPr>
            <w:tcW w:w="654" w:type="dxa"/>
            <w:vMerge/>
            <w:vAlign w:val="center"/>
          </w:tcPr>
          <w:p w14:paraId="7F36CDA8" w14:textId="77777777" w:rsidR="002E474C" w:rsidRDefault="002E474C">
            <w:pPr>
              <w:pStyle w:val="A-"/>
            </w:pPr>
          </w:p>
        </w:tc>
        <w:tc>
          <w:tcPr>
            <w:tcW w:w="6542" w:type="dxa"/>
            <w:vAlign w:val="center"/>
          </w:tcPr>
          <w:p w14:paraId="747CAB53" w14:textId="77777777" w:rsidR="002E474C" w:rsidRDefault="00000000">
            <w:pPr>
              <w:pStyle w:val="A-"/>
              <w:jc w:val="both"/>
            </w:pPr>
            <w:r>
              <w:t>（六）水泥窑旁路放风系统排出的废气不能直接排放，应与窑尾烟气混合处理或单独处理。旁路放风排气筒污染物排放限值和监测方法应执行《水泥窑协同处置固体废物污染控制标准》（</w:t>
            </w:r>
            <w:r>
              <w:t>GB30485-2013</w:t>
            </w:r>
            <w:r>
              <w:t>）的相关要求。对标准中未包含的特征污染物应符合环境影响评价提出的相关排放限值的要求。</w:t>
            </w:r>
          </w:p>
        </w:tc>
        <w:tc>
          <w:tcPr>
            <w:tcW w:w="5242" w:type="dxa"/>
            <w:vAlign w:val="center"/>
          </w:tcPr>
          <w:p w14:paraId="6DC594BF" w14:textId="77777777" w:rsidR="002E474C" w:rsidRDefault="00000000">
            <w:pPr>
              <w:pStyle w:val="A-"/>
              <w:jc w:val="both"/>
            </w:pPr>
            <w:r>
              <w:t>圣雄水泥公司水泥窑不设旁路放风系统。</w:t>
            </w:r>
          </w:p>
        </w:tc>
        <w:tc>
          <w:tcPr>
            <w:tcW w:w="1016" w:type="dxa"/>
            <w:vAlign w:val="center"/>
          </w:tcPr>
          <w:p w14:paraId="4FE85E7E" w14:textId="77777777" w:rsidR="002E474C" w:rsidRDefault="00000000">
            <w:pPr>
              <w:pStyle w:val="A-"/>
            </w:pPr>
            <w:r>
              <w:t>符合</w:t>
            </w:r>
          </w:p>
        </w:tc>
      </w:tr>
      <w:tr w:rsidR="002E474C" w14:paraId="72C5AA64" w14:textId="77777777">
        <w:tc>
          <w:tcPr>
            <w:tcW w:w="654" w:type="dxa"/>
            <w:vAlign w:val="center"/>
          </w:tcPr>
          <w:p w14:paraId="1AC8F8BE" w14:textId="77777777" w:rsidR="002E474C" w:rsidRDefault="00000000">
            <w:pPr>
              <w:pStyle w:val="A-"/>
            </w:pPr>
            <w:r>
              <w:t>二次污染防治</w:t>
            </w:r>
          </w:p>
        </w:tc>
        <w:tc>
          <w:tcPr>
            <w:tcW w:w="6542" w:type="dxa"/>
            <w:vAlign w:val="center"/>
          </w:tcPr>
          <w:p w14:paraId="2AFB41A7" w14:textId="77777777" w:rsidR="002E474C" w:rsidRDefault="00000000">
            <w:pPr>
              <w:pStyle w:val="A-"/>
              <w:jc w:val="both"/>
            </w:pPr>
            <w:r>
              <w:t>协同处置固体废物水泥窑的窑尾除尘灰宜返回原料系统，但为避免汞等挥发性重金属在窑内过度积累而排出的窑尾除尘灰和旁路放风粉尘不应返回原料系统。</w:t>
            </w:r>
          </w:p>
        </w:tc>
        <w:tc>
          <w:tcPr>
            <w:tcW w:w="5242" w:type="dxa"/>
            <w:vAlign w:val="center"/>
          </w:tcPr>
          <w:p w14:paraId="04127917" w14:textId="77777777" w:rsidR="002E474C" w:rsidRDefault="00000000">
            <w:pPr>
              <w:pStyle w:val="A-"/>
              <w:jc w:val="both"/>
            </w:pPr>
            <w:r>
              <w:t>为避免汞等挥发性重金属在窑内过度积累，本项目窑尾收尘窑灰部分返回原料系统，部分按比例掺入熟料生产水泥。</w:t>
            </w:r>
          </w:p>
        </w:tc>
        <w:tc>
          <w:tcPr>
            <w:tcW w:w="1016" w:type="dxa"/>
            <w:vAlign w:val="center"/>
          </w:tcPr>
          <w:p w14:paraId="53BC1D87" w14:textId="77777777" w:rsidR="002E474C" w:rsidRDefault="00000000">
            <w:pPr>
              <w:pStyle w:val="A-"/>
            </w:pPr>
            <w:r>
              <w:t>符合</w:t>
            </w:r>
          </w:p>
        </w:tc>
      </w:tr>
      <w:bookmarkEnd w:id="19"/>
    </w:tbl>
    <w:p w14:paraId="2426C32E"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3021ADA8" w14:textId="77777777" w:rsidR="002E474C" w:rsidRDefault="00000000">
      <w:pPr>
        <w:pStyle w:val="A--"/>
        <w:rPr>
          <w:color w:val="auto"/>
        </w:rPr>
      </w:pPr>
      <w:r>
        <w:rPr>
          <w:color w:val="auto"/>
        </w:rPr>
        <w:lastRenderedPageBreak/>
        <w:t>表</w:t>
      </w:r>
      <w:r>
        <w:rPr>
          <w:color w:val="auto"/>
        </w:rPr>
        <w:t xml:space="preserve">1.4-4  </w:t>
      </w:r>
      <w:r>
        <w:rPr>
          <w:color w:val="auto"/>
        </w:rPr>
        <w:t>本项目与国家及地方发展规划和环境保护规划符合性分析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420"/>
        <w:gridCol w:w="7228"/>
        <w:gridCol w:w="3685"/>
        <w:gridCol w:w="912"/>
      </w:tblGrid>
      <w:tr w:rsidR="002E474C" w14:paraId="7B02F29B" w14:textId="77777777">
        <w:tc>
          <w:tcPr>
            <w:tcW w:w="252" w:type="pct"/>
            <w:vAlign w:val="center"/>
          </w:tcPr>
          <w:p w14:paraId="170FC6EC" w14:textId="77777777" w:rsidR="002E474C" w:rsidRDefault="00000000">
            <w:pPr>
              <w:pStyle w:val="A-"/>
            </w:pPr>
            <w:r>
              <w:t>序号</w:t>
            </w:r>
          </w:p>
        </w:tc>
        <w:tc>
          <w:tcPr>
            <w:tcW w:w="509" w:type="pct"/>
            <w:vAlign w:val="center"/>
          </w:tcPr>
          <w:p w14:paraId="534F0AC0" w14:textId="77777777" w:rsidR="002E474C" w:rsidRDefault="00000000">
            <w:pPr>
              <w:pStyle w:val="A-"/>
            </w:pPr>
            <w:r>
              <w:t>规划名称</w:t>
            </w:r>
          </w:p>
        </w:tc>
        <w:tc>
          <w:tcPr>
            <w:tcW w:w="2591" w:type="pct"/>
            <w:vAlign w:val="center"/>
          </w:tcPr>
          <w:p w14:paraId="1A5C3860" w14:textId="77777777" w:rsidR="002E474C" w:rsidRDefault="00000000">
            <w:pPr>
              <w:pStyle w:val="A-"/>
            </w:pPr>
            <w:r>
              <w:t>管理要求</w:t>
            </w:r>
          </w:p>
        </w:tc>
        <w:tc>
          <w:tcPr>
            <w:tcW w:w="1321" w:type="pct"/>
            <w:vAlign w:val="center"/>
          </w:tcPr>
          <w:p w14:paraId="5EEB7F6F" w14:textId="77777777" w:rsidR="002E474C" w:rsidRDefault="00000000">
            <w:pPr>
              <w:pStyle w:val="A-"/>
            </w:pPr>
            <w:r>
              <w:t>本项目情况</w:t>
            </w:r>
          </w:p>
        </w:tc>
        <w:tc>
          <w:tcPr>
            <w:tcW w:w="327" w:type="pct"/>
            <w:vAlign w:val="center"/>
          </w:tcPr>
          <w:p w14:paraId="0B84A6E2" w14:textId="77777777" w:rsidR="002E474C" w:rsidRDefault="00000000">
            <w:pPr>
              <w:pStyle w:val="A-"/>
            </w:pPr>
            <w:r>
              <w:t>符合性</w:t>
            </w:r>
          </w:p>
        </w:tc>
      </w:tr>
      <w:tr w:rsidR="002E474C" w14:paraId="3B40A4CD" w14:textId="77777777">
        <w:tc>
          <w:tcPr>
            <w:tcW w:w="252" w:type="pct"/>
            <w:vAlign w:val="center"/>
          </w:tcPr>
          <w:p w14:paraId="3B222197" w14:textId="77777777" w:rsidR="002E474C" w:rsidRDefault="00000000">
            <w:pPr>
              <w:pStyle w:val="A-"/>
            </w:pPr>
            <w:r>
              <w:t>1</w:t>
            </w:r>
          </w:p>
        </w:tc>
        <w:tc>
          <w:tcPr>
            <w:tcW w:w="509" w:type="pct"/>
            <w:vAlign w:val="center"/>
          </w:tcPr>
          <w:p w14:paraId="276F6C4F" w14:textId="77777777" w:rsidR="002E474C" w:rsidRDefault="00000000">
            <w:pPr>
              <w:pStyle w:val="A-"/>
            </w:pPr>
            <w:r>
              <w:t>《中华人民共和国国民经济和社会发展第十五个五年规划纲要》</w:t>
            </w:r>
          </w:p>
        </w:tc>
        <w:tc>
          <w:tcPr>
            <w:tcW w:w="2591" w:type="pct"/>
            <w:vAlign w:val="center"/>
          </w:tcPr>
          <w:p w14:paraId="789ACCFE" w14:textId="77777777" w:rsidR="002E474C" w:rsidRDefault="00000000">
            <w:pPr>
              <w:pStyle w:val="A-"/>
              <w:jc w:val="both"/>
            </w:pPr>
            <w:r>
              <w:t>加强环境风险防控。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进新污染物治理，建立持久性有机污染物、内分泌干扰物、抗生素、微塑料等协同治理和风险管控体系。推动核设施高标准设计、高质量建设、高水平运行，深化首堆新堆安全监管，加强老旧设施退役治理和放射性废物处置，提升辐射环境监测能力。完善跨区域、跨部门联动的突发环境事件应急响应体系。开展重点区域生态环境健康风险评估。</w:t>
            </w:r>
          </w:p>
        </w:tc>
        <w:tc>
          <w:tcPr>
            <w:tcW w:w="1321" w:type="pct"/>
            <w:vAlign w:val="center"/>
          </w:tcPr>
          <w:p w14:paraId="65B71240" w14:textId="77777777" w:rsidR="002E474C" w:rsidRDefault="00000000">
            <w:pPr>
              <w:pStyle w:val="A-"/>
              <w:jc w:val="both"/>
            </w:pPr>
            <w:r>
              <w:t>本项目利用水泥窑协同处置危险废物，有利于保护生态环境，具有环境正效益。</w:t>
            </w:r>
          </w:p>
        </w:tc>
        <w:tc>
          <w:tcPr>
            <w:tcW w:w="327" w:type="pct"/>
            <w:vAlign w:val="center"/>
          </w:tcPr>
          <w:p w14:paraId="3B440355" w14:textId="77777777" w:rsidR="002E474C" w:rsidRDefault="00000000">
            <w:pPr>
              <w:pStyle w:val="A-"/>
            </w:pPr>
            <w:r>
              <w:t>符合</w:t>
            </w:r>
          </w:p>
        </w:tc>
      </w:tr>
      <w:tr w:rsidR="002E474C" w14:paraId="2C3C2CD6" w14:textId="77777777">
        <w:tc>
          <w:tcPr>
            <w:tcW w:w="252" w:type="pct"/>
            <w:vAlign w:val="center"/>
          </w:tcPr>
          <w:p w14:paraId="39FF2CE8" w14:textId="77777777" w:rsidR="002E474C" w:rsidRDefault="00000000">
            <w:pPr>
              <w:pStyle w:val="A-"/>
            </w:pPr>
            <w:r>
              <w:t>2</w:t>
            </w:r>
          </w:p>
        </w:tc>
        <w:tc>
          <w:tcPr>
            <w:tcW w:w="509" w:type="pct"/>
            <w:vAlign w:val="center"/>
          </w:tcPr>
          <w:p w14:paraId="0D6A915B" w14:textId="77777777" w:rsidR="002E474C" w:rsidRDefault="00000000">
            <w:pPr>
              <w:pStyle w:val="A-"/>
            </w:pPr>
            <w:r>
              <w:t>《新疆维吾尔自治区国民经济和社会发展第十五个五年规划纲要》</w:t>
            </w:r>
          </w:p>
        </w:tc>
        <w:tc>
          <w:tcPr>
            <w:tcW w:w="2591" w:type="pct"/>
            <w:vAlign w:val="center"/>
          </w:tcPr>
          <w:p w14:paraId="4C571810" w14:textId="77777777" w:rsidR="002E474C" w:rsidRDefault="00000000">
            <w:pPr>
              <w:pStyle w:val="A-"/>
              <w:jc w:val="both"/>
            </w:pPr>
            <w:r>
              <w:t>加强固体废物和新污染物治理。实施固体废物综合治理行动，积极推进源头减量和综合利用，提升固体废物处置规范管控水平。发挥乌鲁木齐市、克拉玛依市、博乐市等城市示范作用，梯次推进</w:t>
            </w:r>
            <w:r>
              <w:t>“</w:t>
            </w:r>
            <w:r>
              <w:t>无废城市</w:t>
            </w:r>
            <w:r>
              <w:t>”</w:t>
            </w:r>
            <w:r>
              <w:t>建设。持续推进塑料污染治理。加强危险废物环境治理，严密防控环境风险。深入推进新污染物治理，严格落实各项环境风险防控措施。加强重金属环境风险精准防控。</w:t>
            </w:r>
          </w:p>
        </w:tc>
        <w:tc>
          <w:tcPr>
            <w:tcW w:w="1321" w:type="pct"/>
            <w:vAlign w:val="center"/>
          </w:tcPr>
          <w:p w14:paraId="44430D02" w14:textId="77777777" w:rsidR="002E474C" w:rsidRDefault="00000000">
            <w:pPr>
              <w:pStyle w:val="A-"/>
              <w:jc w:val="both"/>
            </w:pPr>
            <w:r>
              <w:t>本项目利用水泥窑协同处置危险废物，有利于固体废物减量和危险废物环境治理，降低环境风险，对保护生态环境具有环境正效益。</w:t>
            </w:r>
          </w:p>
        </w:tc>
        <w:tc>
          <w:tcPr>
            <w:tcW w:w="327" w:type="pct"/>
            <w:vAlign w:val="center"/>
          </w:tcPr>
          <w:p w14:paraId="5B56CE7B" w14:textId="77777777" w:rsidR="002E474C" w:rsidRDefault="00000000">
            <w:pPr>
              <w:pStyle w:val="A-"/>
            </w:pPr>
            <w:r>
              <w:t>符合</w:t>
            </w:r>
          </w:p>
        </w:tc>
      </w:tr>
      <w:tr w:rsidR="002E474C" w14:paraId="4E9840D5" w14:textId="77777777">
        <w:tc>
          <w:tcPr>
            <w:tcW w:w="252" w:type="pct"/>
            <w:vAlign w:val="center"/>
          </w:tcPr>
          <w:p w14:paraId="1B90D3A7" w14:textId="77777777" w:rsidR="002E474C" w:rsidRDefault="00000000">
            <w:pPr>
              <w:pStyle w:val="A-"/>
            </w:pPr>
            <w:r>
              <w:t>3</w:t>
            </w:r>
          </w:p>
        </w:tc>
        <w:tc>
          <w:tcPr>
            <w:tcW w:w="509" w:type="pct"/>
            <w:vAlign w:val="center"/>
          </w:tcPr>
          <w:p w14:paraId="1E147334" w14:textId="77777777" w:rsidR="002E474C" w:rsidRDefault="00000000">
            <w:pPr>
              <w:pStyle w:val="A-"/>
            </w:pPr>
            <w:r>
              <w:t>《</w:t>
            </w:r>
            <w:r>
              <w:t>“</w:t>
            </w:r>
            <w:r>
              <w:t>十四五</w:t>
            </w:r>
            <w:r>
              <w:t>”</w:t>
            </w:r>
            <w:r>
              <w:t>原材料工业发展规划》</w:t>
            </w:r>
          </w:p>
        </w:tc>
        <w:tc>
          <w:tcPr>
            <w:tcW w:w="2591" w:type="pct"/>
            <w:vAlign w:val="center"/>
          </w:tcPr>
          <w:p w14:paraId="11945AF3" w14:textId="77777777" w:rsidR="002E474C" w:rsidRDefault="00000000">
            <w:pPr>
              <w:pStyle w:val="A-"/>
              <w:jc w:val="both"/>
            </w:pPr>
            <w:r>
              <w:t>加强产学研用深度融合，推进科研院所、高校、企业科研力量优化配置和资源共享，</w:t>
            </w:r>
            <w:r>
              <w:t>......</w:t>
            </w:r>
            <w:r>
              <w:t>攻克电石法聚氯乙烯生产无汞化、低温低浓度烟气脱硫脱硝、细颗粒物化学团聚强化除尘、固废（危废）协同处置及资源化利用等污染物防治和资源综合利用技术，提高资源能源利用率和超低排放水平；</w:t>
            </w:r>
            <w:r>
              <w:t>......</w:t>
            </w:r>
            <w:r>
              <w:t>推动建材行业向协同处置废弃物的循环经济发展模式转变。</w:t>
            </w:r>
            <w:r>
              <w:t>......</w:t>
            </w:r>
            <w:r>
              <w:t>全面推进原材料工业固废综合利用，重点围绕尾矿、废石、粉煤灰、赤泥、冶炼渣、电解锰渣、工业副产石膏、化工废渣、废弃纤维及复合材料等，建设一批工业资源综合利用基地，在重点地区建设尾矿废渣、磷石膏、电解锰渣等综合利用和钢铁有色协同处置含锌二次资源项目，以及煤气化炉、水泥窑、大型烧结砖隧道窑协同处置废弃物等示范线，加快实现无害化、减量化、资源化处置。</w:t>
            </w:r>
          </w:p>
        </w:tc>
        <w:tc>
          <w:tcPr>
            <w:tcW w:w="1321" w:type="pct"/>
            <w:vAlign w:val="center"/>
          </w:tcPr>
          <w:p w14:paraId="0371D394" w14:textId="77777777" w:rsidR="002E474C" w:rsidRDefault="00000000">
            <w:pPr>
              <w:pStyle w:val="A-"/>
              <w:jc w:val="both"/>
            </w:pPr>
            <w:r>
              <w:t>本项目利用现水泥窑协同处置危险废物，可实现水泥厂向协同处置废弃物的循环经济发展模式转变，有利于危险废物减量化、资源化、无害化。</w:t>
            </w:r>
          </w:p>
        </w:tc>
        <w:tc>
          <w:tcPr>
            <w:tcW w:w="327" w:type="pct"/>
            <w:vAlign w:val="center"/>
          </w:tcPr>
          <w:p w14:paraId="40CE8A31" w14:textId="77777777" w:rsidR="002E474C" w:rsidRDefault="00000000">
            <w:pPr>
              <w:pStyle w:val="A-"/>
            </w:pPr>
            <w:r>
              <w:t>符合</w:t>
            </w:r>
          </w:p>
        </w:tc>
      </w:tr>
      <w:tr w:rsidR="002E474C" w14:paraId="01CA7663" w14:textId="77777777">
        <w:tc>
          <w:tcPr>
            <w:tcW w:w="252" w:type="pct"/>
            <w:vAlign w:val="center"/>
          </w:tcPr>
          <w:p w14:paraId="41FC0CB6" w14:textId="77777777" w:rsidR="002E474C" w:rsidRDefault="00000000">
            <w:pPr>
              <w:pStyle w:val="A-"/>
            </w:pPr>
            <w:r>
              <w:t>4</w:t>
            </w:r>
          </w:p>
        </w:tc>
        <w:tc>
          <w:tcPr>
            <w:tcW w:w="509" w:type="pct"/>
            <w:vAlign w:val="center"/>
          </w:tcPr>
          <w:p w14:paraId="7D807A14" w14:textId="77777777" w:rsidR="002E474C" w:rsidRDefault="00000000">
            <w:pPr>
              <w:pStyle w:val="A-"/>
            </w:pPr>
            <w:r>
              <w:t>《</w:t>
            </w:r>
            <w:r>
              <w:t>“</w:t>
            </w:r>
            <w:r>
              <w:t>十四五</w:t>
            </w:r>
            <w:r>
              <w:t>”</w:t>
            </w:r>
            <w:r>
              <w:t>工业绿色发</w:t>
            </w:r>
            <w:r>
              <w:lastRenderedPageBreak/>
              <w:t>展规划》</w:t>
            </w:r>
          </w:p>
        </w:tc>
        <w:tc>
          <w:tcPr>
            <w:tcW w:w="2591" w:type="pct"/>
            <w:vAlign w:val="center"/>
          </w:tcPr>
          <w:p w14:paraId="44D85AE9" w14:textId="77777777" w:rsidR="002E474C" w:rsidRDefault="00000000">
            <w:pPr>
              <w:pStyle w:val="A-"/>
              <w:jc w:val="both"/>
            </w:pPr>
            <w:r>
              <w:lastRenderedPageBreak/>
              <w:t>推进工业固废规模化综合利用。推进尾矿、粉煤灰、煤矸石、冶炼渣、工业副产石膏、赤泥、化工渣等大宗工业固废规模化综合利用。推动钢铁窑炉、水泥</w:t>
            </w:r>
            <w:r>
              <w:lastRenderedPageBreak/>
              <w:t>窑、化工装置等协同处置固废。以工业资源综合利用基地为依托，在固废集中产生区、煤炭主产区、基础原材料产业集聚区探索建立基于区域特点的工业固废综合利用产业发展模式。鼓励有条件的园区和企业加强资源耦合和循环利用，创建</w:t>
            </w:r>
            <w:r>
              <w:t>“</w:t>
            </w:r>
            <w:r>
              <w:t>无废园区</w:t>
            </w:r>
            <w:r>
              <w:t>”</w:t>
            </w:r>
            <w:r>
              <w:t>和</w:t>
            </w:r>
            <w:r>
              <w:t>“</w:t>
            </w:r>
            <w:r>
              <w:t>无废企业</w:t>
            </w:r>
            <w:r>
              <w:t>”</w:t>
            </w:r>
            <w:r>
              <w:t>。实施工业固体废物资源综合利用评价，通过以评促用，推动有条件的地区率先实现新增工业固废能用尽用、存量工业固废有序减少。</w:t>
            </w:r>
          </w:p>
        </w:tc>
        <w:tc>
          <w:tcPr>
            <w:tcW w:w="1321" w:type="pct"/>
            <w:vAlign w:val="center"/>
          </w:tcPr>
          <w:p w14:paraId="3B246A0C" w14:textId="77777777" w:rsidR="002E474C" w:rsidRDefault="00000000">
            <w:pPr>
              <w:pStyle w:val="A-"/>
              <w:jc w:val="both"/>
            </w:pPr>
            <w:r>
              <w:lastRenderedPageBreak/>
              <w:t>本项目利用水泥窑协同处置危险废物，有利于园区和企业加强资源耦合和循</w:t>
            </w:r>
            <w:r>
              <w:lastRenderedPageBreak/>
              <w:t>环利用。</w:t>
            </w:r>
          </w:p>
        </w:tc>
        <w:tc>
          <w:tcPr>
            <w:tcW w:w="327" w:type="pct"/>
            <w:vAlign w:val="center"/>
          </w:tcPr>
          <w:p w14:paraId="7F051A2F" w14:textId="77777777" w:rsidR="002E474C" w:rsidRDefault="00000000">
            <w:pPr>
              <w:pStyle w:val="A-"/>
            </w:pPr>
            <w:r>
              <w:lastRenderedPageBreak/>
              <w:t>符合</w:t>
            </w:r>
          </w:p>
        </w:tc>
      </w:tr>
      <w:tr w:rsidR="002E474C" w14:paraId="09BB5721" w14:textId="77777777">
        <w:tc>
          <w:tcPr>
            <w:tcW w:w="252" w:type="pct"/>
            <w:vAlign w:val="center"/>
          </w:tcPr>
          <w:p w14:paraId="4F2C6A70" w14:textId="77777777" w:rsidR="002E474C" w:rsidRDefault="00000000">
            <w:pPr>
              <w:pStyle w:val="A-"/>
            </w:pPr>
            <w:r>
              <w:t>5</w:t>
            </w:r>
          </w:p>
        </w:tc>
        <w:tc>
          <w:tcPr>
            <w:tcW w:w="509" w:type="pct"/>
            <w:vAlign w:val="center"/>
          </w:tcPr>
          <w:p w14:paraId="75FC268D" w14:textId="77777777" w:rsidR="002E474C" w:rsidRDefault="00000000">
            <w:pPr>
              <w:pStyle w:val="A-"/>
            </w:pPr>
            <w:r>
              <w:t>《</w:t>
            </w:r>
            <w:r>
              <w:t>“</w:t>
            </w:r>
            <w:r>
              <w:t>十四五</w:t>
            </w:r>
            <w:r>
              <w:t>”</w:t>
            </w:r>
            <w:r>
              <w:t>循环经济发展规划》</w:t>
            </w:r>
          </w:p>
        </w:tc>
        <w:tc>
          <w:tcPr>
            <w:tcW w:w="2591" w:type="pct"/>
            <w:vAlign w:val="center"/>
          </w:tcPr>
          <w:p w14:paraId="655FD439" w14:textId="77777777" w:rsidR="002E474C" w:rsidRDefault="00000000">
            <w:pPr>
              <w:pStyle w:val="A-"/>
              <w:jc w:val="both"/>
            </w:pPr>
            <w:r>
              <w:t>5.</w:t>
            </w:r>
            <w:r>
              <w:t>推进城市废弃物协同处置。完善政策机制和标准规范，推动协同处置设施参照城市环境基础设施管理，保障设施持续稳定运行。通过市场化方式确定城市废弃物协同处置付费标准，有序推进水泥窑、冶炼窑炉协同处置医疗废物、危险废物、生活垃圾等，统筹推进生活垃圾焚烧炉协同应急处置医疗废物。推进厨余垃圾、园林废弃物、污水厂污泥等低值有机废物的统筹协同处置。</w:t>
            </w:r>
          </w:p>
        </w:tc>
        <w:tc>
          <w:tcPr>
            <w:tcW w:w="1321" w:type="pct"/>
            <w:vAlign w:val="center"/>
          </w:tcPr>
          <w:p w14:paraId="285D8937" w14:textId="77777777" w:rsidR="002E474C" w:rsidRDefault="00000000">
            <w:pPr>
              <w:pStyle w:val="A-"/>
              <w:jc w:val="both"/>
            </w:pPr>
            <w:r>
              <w:t>本项目利用现水泥窑协同处置危险废物，可实现水泥厂向协同处置废弃物的循环经济发展模式转变，有利于危险废物减量化、资源化、无害化。</w:t>
            </w:r>
          </w:p>
        </w:tc>
        <w:tc>
          <w:tcPr>
            <w:tcW w:w="327" w:type="pct"/>
            <w:vAlign w:val="center"/>
          </w:tcPr>
          <w:p w14:paraId="2765DC26" w14:textId="77777777" w:rsidR="002E474C" w:rsidRDefault="002E474C">
            <w:pPr>
              <w:pStyle w:val="A-"/>
            </w:pPr>
          </w:p>
        </w:tc>
      </w:tr>
      <w:tr w:rsidR="002E474C" w14:paraId="11D41169" w14:textId="77777777">
        <w:tc>
          <w:tcPr>
            <w:tcW w:w="252" w:type="pct"/>
            <w:vAlign w:val="center"/>
          </w:tcPr>
          <w:p w14:paraId="730A3EBD" w14:textId="77777777" w:rsidR="002E474C" w:rsidRDefault="00000000">
            <w:pPr>
              <w:pStyle w:val="A-"/>
            </w:pPr>
            <w:r>
              <w:t>6</w:t>
            </w:r>
          </w:p>
        </w:tc>
        <w:tc>
          <w:tcPr>
            <w:tcW w:w="509" w:type="pct"/>
            <w:vAlign w:val="center"/>
          </w:tcPr>
          <w:p w14:paraId="6B15C9E0" w14:textId="77777777" w:rsidR="002E474C" w:rsidRDefault="00000000">
            <w:pPr>
              <w:pStyle w:val="A-"/>
            </w:pPr>
            <w:r>
              <w:t>《新疆维吾尔自治区主体功能区规划》</w:t>
            </w:r>
          </w:p>
        </w:tc>
        <w:tc>
          <w:tcPr>
            <w:tcW w:w="2591" w:type="pct"/>
            <w:vAlign w:val="center"/>
          </w:tcPr>
          <w:p w14:paraId="3DEE81E6" w14:textId="77777777" w:rsidR="002E474C" w:rsidRDefault="00000000">
            <w:pPr>
              <w:pStyle w:val="A-"/>
              <w:jc w:val="both"/>
            </w:pPr>
            <w:r>
              <w:t>国家层面重点开发区域主要指天山北坡城市或城区以及县市城关镇和重要工业园区。</w:t>
            </w:r>
          </w:p>
          <w:p w14:paraId="01FA2136" w14:textId="77777777" w:rsidR="002E474C" w:rsidRDefault="00000000">
            <w:pPr>
              <w:pStyle w:val="A-"/>
              <w:jc w:val="both"/>
            </w:pPr>
            <w:r>
              <w:t>重点开发区域的功能定位是：支撑新疆经济增长的重要增长极，落实区域发展总体战略、促进区域协调发展的重要支撑点，新疆重要的人口和经济密集区。</w:t>
            </w:r>
            <w:r>
              <w:t xml:space="preserve"> </w:t>
            </w:r>
          </w:p>
          <w:p w14:paraId="73D8C11F" w14:textId="77777777" w:rsidR="002E474C" w:rsidRDefault="00000000">
            <w:pPr>
              <w:pStyle w:val="A-"/>
              <w:jc w:val="both"/>
            </w:pPr>
            <w:r>
              <w:t>重点开发区域应在优化结构、提高效益、降低消耗、保护环境的基础上推动经济可持续发展；大力推进新型工业化进程，提高自主创新能力，抢占市场制高点，增强产业集聚能力，加快建立符合新疆区情的现代产业体系；加速推进新型城镇化，壮大城市综合实力，改善人居环境，提高集聚人口的能力；发挥区位优势，扩大全方位开放，加强开放平台建设和通道建设，打造向西开放的重要门户。</w:t>
            </w:r>
          </w:p>
        </w:tc>
        <w:tc>
          <w:tcPr>
            <w:tcW w:w="1321" w:type="pct"/>
            <w:vAlign w:val="center"/>
          </w:tcPr>
          <w:p w14:paraId="5D75BE6B" w14:textId="77777777" w:rsidR="002E474C" w:rsidRDefault="00000000">
            <w:pPr>
              <w:pStyle w:val="A-"/>
              <w:jc w:val="both"/>
            </w:pPr>
            <w:r>
              <w:t>本项目所在的圣雄同心工业园是托克逊县内的重要工业园区，是国家层面重点开发区域。</w:t>
            </w:r>
          </w:p>
          <w:p w14:paraId="0916FEE4" w14:textId="77777777" w:rsidR="002E474C" w:rsidRDefault="00000000">
            <w:pPr>
              <w:pStyle w:val="A-"/>
              <w:jc w:val="both"/>
            </w:pPr>
            <w:r>
              <w:t>本项目利用水泥窑协同处置危险废物，有利于固体废物减量和危险废物环境治理，降低环境风险，对保护生态环境具有环境正效益。</w:t>
            </w:r>
          </w:p>
        </w:tc>
        <w:tc>
          <w:tcPr>
            <w:tcW w:w="327" w:type="pct"/>
            <w:vAlign w:val="center"/>
          </w:tcPr>
          <w:p w14:paraId="523D3982" w14:textId="77777777" w:rsidR="002E474C" w:rsidRDefault="00000000">
            <w:pPr>
              <w:pStyle w:val="A-"/>
            </w:pPr>
            <w:r>
              <w:t>符合</w:t>
            </w:r>
          </w:p>
        </w:tc>
      </w:tr>
      <w:tr w:rsidR="002E474C" w14:paraId="730936D2" w14:textId="77777777">
        <w:tc>
          <w:tcPr>
            <w:tcW w:w="252" w:type="pct"/>
            <w:vAlign w:val="center"/>
          </w:tcPr>
          <w:p w14:paraId="0FACB32D" w14:textId="77777777" w:rsidR="002E474C" w:rsidRDefault="00000000">
            <w:pPr>
              <w:pStyle w:val="A-"/>
            </w:pPr>
            <w:r>
              <w:t>7</w:t>
            </w:r>
          </w:p>
        </w:tc>
        <w:tc>
          <w:tcPr>
            <w:tcW w:w="509" w:type="pct"/>
            <w:vAlign w:val="center"/>
          </w:tcPr>
          <w:p w14:paraId="6F628A81" w14:textId="77777777" w:rsidR="002E474C" w:rsidRDefault="00000000">
            <w:pPr>
              <w:pStyle w:val="A-"/>
            </w:pPr>
            <w:r>
              <w:t>《新疆生态环境保护</w:t>
            </w:r>
            <w:r>
              <w:t>“</w:t>
            </w:r>
            <w:r>
              <w:t>十四五</w:t>
            </w:r>
            <w:r>
              <w:t>”</w:t>
            </w:r>
            <w:r>
              <w:t>规划》</w:t>
            </w:r>
          </w:p>
        </w:tc>
        <w:tc>
          <w:tcPr>
            <w:tcW w:w="2591" w:type="pct"/>
            <w:vAlign w:val="center"/>
          </w:tcPr>
          <w:p w14:paraId="326869CE" w14:textId="77777777" w:rsidR="002E474C" w:rsidRDefault="00000000">
            <w:pPr>
              <w:pStyle w:val="A-"/>
              <w:jc w:val="both"/>
            </w:pPr>
            <w:r>
              <w:t>提升危险废物收集与利用处置能力。适时修订《自治区危险废物利用处置设施建设布局指导意见》，稳步推进准东、甘泉堡、</w:t>
            </w:r>
            <w:r>
              <w:t>“</w:t>
            </w:r>
            <w:r>
              <w:t>奎</w:t>
            </w:r>
            <w:r>
              <w:t>-</w:t>
            </w:r>
            <w:r>
              <w:t>独</w:t>
            </w:r>
            <w:r>
              <w:t>-</w:t>
            </w:r>
            <w:r>
              <w:t>乌</w:t>
            </w:r>
            <w:r>
              <w:t>”</w:t>
            </w:r>
            <w:r>
              <w:t>、哈密、巴州、阿克苏等重点区域综合性危险废物处置设施建设，协调推动南疆三地州、伊犁河谷等区域解决危险废物利用处置能力不足问题。</w:t>
            </w:r>
            <w:r>
              <w:t>……</w:t>
            </w:r>
            <w:r>
              <w:t>适度发展水泥窑协同处置危险废物，引导推进有害废物处理处置能力建设</w:t>
            </w:r>
            <w:r>
              <w:t>……</w:t>
            </w:r>
            <w:r>
              <w:t>。坚持兵地统筹、区域协同规划和建设危险废物利用处置设施，实现疆内危险废物处置能力与产废情况总体匹配。深入推进油气田开采历史遗留含油污泥、磺化泥浆、黄金选矿行业氰化尾渣、铜冶炼行业砷渣以及石棉矿选矿废渣等调查和污染治理。</w:t>
            </w:r>
          </w:p>
        </w:tc>
        <w:tc>
          <w:tcPr>
            <w:tcW w:w="1321" w:type="pct"/>
            <w:vAlign w:val="center"/>
          </w:tcPr>
          <w:p w14:paraId="6AAFCFE3" w14:textId="77777777" w:rsidR="002E474C" w:rsidRDefault="00000000">
            <w:pPr>
              <w:pStyle w:val="A-"/>
              <w:jc w:val="both"/>
            </w:pPr>
            <w:r>
              <w:t>本项目依托现水泥窑协同处置危险废物项目，项目实施后将有效提高昌吉州及吐鲁番市危险废物利用处置能力。</w:t>
            </w:r>
          </w:p>
        </w:tc>
        <w:tc>
          <w:tcPr>
            <w:tcW w:w="327" w:type="pct"/>
            <w:vAlign w:val="center"/>
          </w:tcPr>
          <w:p w14:paraId="75C71F50" w14:textId="77777777" w:rsidR="002E474C" w:rsidRDefault="00000000">
            <w:pPr>
              <w:pStyle w:val="A-"/>
            </w:pPr>
            <w:r>
              <w:t>符合</w:t>
            </w:r>
          </w:p>
        </w:tc>
      </w:tr>
      <w:tr w:rsidR="002E474C" w14:paraId="7C511579" w14:textId="77777777">
        <w:tc>
          <w:tcPr>
            <w:tcW w:w="252" w:type="pct"/>
            <w:vAlign w:val="center"/>
          </w:tcPr>
          <w:p w14:paraId="438912BF" w14:textId="77777777" w:rsidR="002E474C" w:rsidRDefault="00000000">
            <w:pPr>
              <w:pStyle w:val="A-"/>
            </w:pPr>
            <w:r>
              <w:t>8</w:t>
            </w:r>
          </w:p>
        </w:tc>
        <w:tc>
          <w:tcPr>
            <w:tcW w:w="509" w:type="pct"/>
            <w:vAlign w:val="center"/>
          </w:tcPr>
          <w:p w14:paraId="7CA0F7FC" w14:textId="77777777" w:rsidR="002E474C" w:rsidRDefault="00000000">
            <w:pPr>
              <w:pStyle w:val="A-"/>
            </w:pPr>
            <w:r>
              <w:t>《吐鲁番市</w:t>
            </w:r>
            <w:r>
              <w:lastRenderedPageBreak/>
              <w:t>生态环境保护</w:t>
            </w:r>
            <w:r>
              <w:t>“</w:t>
            </w:r>
            <w:r>
              <w:t>十四五</w:t>
            </w:r>
            <w:r>
              <w:t>”</w:t>
            </w:r>
            <w:r>
              <w:t>规划》</w:t>
            </w:r>
          </w:p>
        </w:tc>
        <w:tc>
          <w:tcPr>
            <w:tcW w:w="2591" w:type="pct"/>
            <w:vAlign w:val="center"/>
          </w:tcPr>
          <w:p w14:paraId="46566D24" w14:textId="77777777" w:rsidR="002E474C" w:rsidRDefault="00000000">
            <w:pPr>
              <w:pStyle w:val="A-"/>
              <w:jc w:val="both"/>
            </w:pPr>
            <w:r>
              <w:lastRenderedPageBreak/>
              <w:t>提升危险废物收集与利用处置能力。积极引导重点产废企业自建危险废物利</w:t>
            </w:r>
            <w:r>
              <w:lastRenderedPageBreak/>
              <w:t>用设施，支持大型企业集团内部共享危险废物利用处置设施。坚持兵地统筹建设和布局危险废物利用处置设施，实现危险废物处置能力与产废情况总体匹配。加快推进生活源危废处置设施试点城市建设，鼓励吐鲁番金越科技水泥窑协同处置设施进行技术改造，扩大处置规模和种类，在鄯善县工业园区建设</w:t>
            </w:r>
            <w:r>
              <w:t>60</w:t>
            </w:r>
            <w:r>
              <w:t>万吨</w:t>
            </w:r>
            <w:r>
              <w:t>/</w:t>
            </w:r>
            <w:r>
              <w:t>年油污泥无害化处理二期项目，在托克逊县建设</w:t>
            </w:r>
            <w:r>
              <w:t>5</w:t>
            </w:r>
            <w:r>
              <w:t>万吨</w:t>
            </w:r>
            <w:r>
              <w:t>/</w:t>
            </w:r>
            <w:r>
              <w:t>年水泥窑协同处置项目。以油气资源开发、化工园区为重点，重点解决铬渣、油田含油污泥等问题突出危险废物的综合利用、污染治理和废物处理处置，持续提升油田含油污泥、化工行业工业废液综合利用和处置水平。</w:t>
            </w:r>
          </w:p>
          <w:p w14:paraId="7CA5DBCF" w14:textId="77777777" w:rsidR="002E474C" w:rsidRDefault="00000000">
            <w:pPr>
              <w:pStyle w:val="A-"/>
              <w:jc w:val="both"/>
            </w:pPr>
            <w:r>
              <w:t>选择传统产业比较集中的托克逊县阿乐惠镇等区域，推行节能减排和循环经济试点建设及循环化改造，打造煤电盐循环经济一体化，推动水泥、电石等工业窑炉、高炉实施废物协同处置。</w:t>
            </w:r>
          </w:p>
        </w:tc>
        <w:tc>
          <w:tcPr>
            <w:tcW w:w="1321" w:type="pct"/>
            <w:vAlign w:val="center"/>
          </w:tcPr>
          <w:p w14:paraId="01EE9D52" w14:textId="77777777" w:rsidR="002E474C" w:rsidRDefault="00000000">
            <w:pPr>
              <w:pStyle w:val="A-"/>
              <w:jc w:val="both"/>
            </w:pPr>
            <w:r>
              <w:lastRenderedPageBreak/>
              <w:t>吐鲁番市唯一的水泥窑协同处置单位</w:t>
            </w:r>
            <w:r>
              <w:lastRenderedPageBreak/>
              <w:t>吐鲁番天山金越环境科技有限公司吐鲁番天山水泥有限责任公司已于</w:t>
            </w:r>
            <w:r>
              <w:t>2026</w:t>
            </w:r>
            <w:r>
              <w:t>年</w:t>
            </w:r>
            <w:r>
              <w:t>1</w:t>
            </w:r>
            <w:r>
              <w:t>月注销危险废物经营许可证，退出水泥窑协同处置行业。本项目利用新疆圣雄水泥有限公司水泥窑协同处置危险废物，采取严格的防渗措施及跟踪监控措施防控地下水及土壤环境污染风险，按要求建立环境风险隐患排查制度和突发环境事件应急预案制度，提升危险废物突发环境事件应急处置水平。本项目有利于完善区域危险废物集中处置利用能力结构和布局，有利于提升区域危险废物处置利用能力。</w:t>
            </w:r>
          </w:p>
        </w:tc>
        <w:tc>
          <w:tcPr>
            <w:tcW w:w="327" w:type="pct"/>
            <w:vAlign w:val="center"/>
          </w:tcPr>
          <w:p w14:paraId="3A1615DA" w14:textId="77777777" w:rsidR="002E474C" w:rsidRDefault="00000000">
            <w:pPr>
              <w:pStyle w:val="A-"/>
            </w:pPr>
            <w:r>
              <w:lastRenderedPageBreak/>
              <w:t>符合</w:t>
            </w:r>
          </w:p>
        </w:tc>
      </w:tr>
    </w:tbl>
    <w:p w14:paraId="4DB1CC86" w14:textId="77777777" w:rsidR="002E474C" w:rsidRDefault="002E474C">
      <w:pPr>
        <w:pStyle w:val="A-z"/>
        <w:rPr>
          <w:color w:val="auto"/>
        </w:rPr>
      </w:pPr>
    </w:p>
    <w:p w14:paraId="39001D67" w14:textId="77777777" w:rsidR="002E474C" w:rsidRDefault="002E474C">
      <w:pPr>
        <w:pStyle w:val="A-z"/>
        <w:rPr>
          <w:color w:val="auto"/>
        </w:rPr>
      </w:pPr>
    </w:p>
    <w:p w14:paraId="5474C166" w14:textId="77777777" w:rsidR="002E474C" w:rsidRDefault="002E474C">
      <w:pPr>
        <w:pStyle w:val="A-z"/>
        <w:rPr>
          <w:color w:val="auto"/>
        </w:rPr>
        <w:sectPr w:rsidR="002E474C">
          <w:headerReference w:type="default" r:id="rId12"/>
          <w:pgSz w:w="16838" w:h="11906" w:orient="landscape"/>
          <w:pgMar w:top="1800" w:right="1440" w:bottom="1800" w:left="1440" w:header="851" w:footer="992" w:gutter="0"/>
          <w:cols w:space="720"/>
          <w:docGrid w:linePitch="312"/>
        </w:sectPr>
      </w:pPr>
    </w:p>
    <w:p w14:paraId="1E2C3CC0" w14:textId="77777777" w:rsidR="002E474C" w:rsidRDefault="00000000">
      <w:pPr>
        <w:pStyle w:val="A--"/>
        <w:rPr>
          <w:color w:val="auto"/>
        </w:rPr>
      </w:pPr>
      <w:r>
        <w:rPr>
          <w:color w:val="auto"/>
        </w:rPr>
        <w:lastRenderedPageBreak/>
        <w:t>表</w:t>
      </w:r>
      <w:r>
        <w:rPr>
          <w:color w:val="auto"/>
        </w:rPr>
        <w:t xml:space="preserve">1.4-5  </w:t>
      </w:r>
      <w:r>
        <w:rPr>
          <w:color w:val="auto"/>
        </w:rPr>
        <w:t>与《水泥窑协同处置固体废物污染控制标准》</w:t>
      </w:r>
      <w:r>
        <w:rPr>
          <w:color w:val="auto"/>
        </w:rPr>
        <w:t>(GB30485-2013)</w:t>
      </w:r>
      <w:r>
        <w:rPr>
          <w:color w:val="auto"/>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699"/>
        <w:gridCol w:w="4873"/>
        <w:gridCol w:w="862"/>
      </w:tblGrid>
      <w:tr w:rsidR="002E474C" w14:paraId="60E64628" w14:textId="77777777">
        <w:tc>
          <w:tcPr>
            <w:tcW w:w="2832" w:type="pct"/>
            <w:gridSpan w:val="2"/>
            <w:vAlign w:val="center"/>
          </w:tcPr>
          <w:p w14:paraId="22234B4C" w14:textId="77777777" w:rsidR="002E474C" w:rsidRDefault="00000000">
            <w:pPr>
              <w:pStyle w:val="A-"/>
            </w:pPr>
            <w:r>
              <w:t>要求</w:t>
            </w:r>
          </w:p>
        </w:tc>
        <w:tc>
          <w:tcPr>
            <w:tcW w:w="1842" w:type="pct"/>
            <w:vAlign w:val="center"/>
          </w:tcPr>
          <w:p w14:paraId="3F0C6944" w14:textId="77777777" w:rsidR="002E474C" w:rsidRDefault="00000000">
            <w:pPr>
              <w:pStyle w:val="A-"/>
            </w:pPr>
            <w:r>
              <w:t>本项目情况</w:t>
            </w:r>
          </w:p>
        </w:tc>
        <w:tc>
          <w:tcPr>
            <w:tcW w:w="326" w:type="pct"/>
            <w:vAlign w:val="center"/>
          </w:tcPr>
          <w:p w14:paraId="5A2F3A8E" w14:textId="77777777" w:rsidR="002E474C" w:rsidRDefault="00000000">
            <w:pPr>
              <w:pStyle w:val="A-"/>
            </w:pPr>
            <w:r>
              <w:t>符合性</w:t>
            </w:r>
          </w:p>
        </w:tc>
      </w:tr>
      <w:tr w:rsidR="002E474C" w14:paraId="63775D6A" w14:textId="77777777">
        <w:tc>
          <w:tcPr>
            <w:tcW w:w="300" w:type="pct"/>
            <w:vAlign w:val="center"/>
          </w:tcPr>
          <w:p w14:paraId="7D1E4DEF" w14:textId="77777777" w:rsidR="002E474C" w:rsidRDefault="00000000">
            <w:pPr>
              <w:pStyle w:val="A-"/>
            </w:pPr>
            <w:r>
              <w:t>1</w:t>
            </w:r>
            <w:r>
              <w:t>适用范围</w:t>
            </w:r>
          </w:p>
        </w:tc>
        <w:tc>
          <w:tcPr>
            <w:tcW w:w="2532" w:type="pct"/>
            <w:vAlign w:val="center"/>
          </w:tcPr>
          <w:p w14:paraId="0EA0CF20" w14:textId="77777777" w:rsidR="002E474C" w:rsidRDefault="00000000">
            <w:pPr>
              <w:pStyle w:val="A-"/>
              <w:jc w:val="both"/>
            </w:pPr>
            <w:r>
              <w:t>本标准适用于利用水泥窑协同处置危险废物、生活垃圾</w:t>
            </w:r>
            <w:r>
              <w:t>(</w:t>
            </w:r>
            <w:r>
              <w:t>包括废塑料、废橡胶、废纸、废轮胎等</w:t>
            </w:r>
            <w:r>
              <w:t>)</w:t>
            </w:r>
            <w:r>
              <w:t>、城市和工业污水处理污泥、动植物加工废物、受污染土壤、应急事件废物等固体废物过程的污染控制和监督管理。当水泥窑协同处置生活垃圾时，若掺加生活垃圾的质量超过入窑</w:t>
            </w:r>
            <w:r>
              <w:t>(</w:t>
            </w:r>
            <w:r>
              <w:t>炉</w:t>
            </w:r>
            <w:r>
              <w:t>)</w:t>
            </w:r>
            <w:r>
              <w:t>物料总质量的</w:t>
            </w:r>
            <w:r>
              <w:t>30%</w:t>
            </w:r>
            <w:r>
              <w:t>，应执行《生活垃圾焚烧污染控制标准》。</w:t>
            </w:r>
          </w:p>
        </w:tc>
        <w:tc>
          <w:tcPr>
            <w:tcW w:w="1842" w:type="pct"/>
            <w:vAlign w:val="center"/>
          </w:tcPr>
          <w:p w14:paraId="4A36B77F" w14:textId="77777777" w:rsidR="002E474C" w:rsidRDefault="00000000">
            <w:pPr>
              <w:pStyle w:val="A-"/>
              <w:jc w:val="both"/>
            </w:pPr>
            <w:r>
              <w:t>本项目利用水泥窑协同处置危险废物。</w:t>
            </w:r>
          </w:p>
        </w:tc>
        <w:tc>
          <w:tcPr>
            <w:tcW w:w="326" w:type="pct"/>
            <w:vAlign w:val="center"/>
          </w:tcPr>
          <w:p w14:paraId="302A57CF" w14:textId="77777777" w:rsidR="002E474C" w:rsidRDefault="00000000">
            <w:pPr>
              <w:pStyle w:val="A-"/>
            </w:pPr>
            <w:r>
              <w:t>符合</w:t>
            </w:r>
          </w:p>
        </w:tc>
      </w:tr>
      <w:tr w:rsidR="002E474C" w14:paraId="24D72FA7" w14:textId="77777777">
        <w:tc>
          <w:tcPr>
            <w:tcW w:w="300" w:type="pct"/>
            <w:vAlign w:val="center"/>
          </w:tcPr>
          <w:p w14:paraId="754794B4" w14:textId="77777777" w:rsidR="002E474C" w:rsidRDefault="00000000">
            <w:pPr>
              <w:pStyle w:val="A-"/>
            </w:pPr>
            <w:r>
              <w:t>4</w:t>
            </w:r>
            <w:r>
              <w:t>协同处置设施</w:t>
            </w:r>
          </w:p>
        </w:tc>
        <w:tc>
          <w:tcPr>
            <w:tcW w:w="2532" w:type="pct"/>
            <w:vAlign w:val="center"/>
          </w:tcPr>
          <w:p w14:paraId="5620BE7E" w14:textId="77777777" w:rsidR="002E474C" w:rsidRDefault="00000000">
            <w:pPr>
              <w:pStyle w:val="A-"/>
              <w:jc w:val="both"/>
            </w:pPr>
            <w:r>
              <w:t xml:space="preserve">4.1  </w:t>
            </w:r>
            <w:r>
              <w:t>用于协同处置固体废物的水泥窑应满足以下条件：</w:t>
            </w:r>
            <w:r>
              <w:t xml:space="preserve"> </w:t>
            </w:r>
          </w:p>
          <w:p w14:paraId="4138C06A" w14:textId="77777777" w:rsidR="002E474C" w:rsidRDefault="00000000">
            <w:pPr>
              <w:pStyle w:val="A-"/>
              <w:jc w:val="both"/>
            </w:pPr>
            <w:r>
              <w:t>a</w:t>
            </w:r>
            <w:r>
              <w:t>）单线设计熟料生产规模不小于</w:t>
            </w:r>
            <w:r>
              <w:t>2000</w:t>
            </w:r>
            <w:r>
              <w:t>吨</w:t>
            </w:r>
            <w:r>
              <w:t>/</w:t>
            </w:r>
            <w:r>
              <w:t>天的新型干法水泥窑；</w:t>
            </w:r>
            <w:r>
              <w:t xml:space="preserve"> </w:t>
            </w:r>
          </w:p>
          <w:p w14:paraId="393A77C7" w14:textId="77777777" w:rsidR="002E474C" w:rsidRDefault="00000000">
            <w:pPr>
              <w:pStyle w:val="A-"/>
              <w:jc w:val="both"/>
            </w:pPr>
            <w:r>
              <w:t>b</w:t>
            </w:r>
            <w:r>
              <w:t>）采用窑磨一体机模式；</w:t>
            </w:r>
            <w:r>
              <w:t xml:space="preserve"> </w:t>
            </w:r>
          </w:p>
          <w:p w14:paraId="1311DBE5" w14:textId="77777777" w:rsidR="002E474C" w:rsidRDefault="00000000">
            <w:pPr>
              <w:pStyle w:val="A-"/>
              <w:jc w:val="both"/>
            </w:pPr>
            <w:r>
              <w:t>c</w:t>
            </w:r>
            <w:r>
              <w:t>）水泥窑及窑尾余热利用系统采用高效布袋除尘器作为烟气除尘设施；</w:t>
            </w:r>
            <w:r>
              <w:t xml:space="preserve"> </w:t>
            </w:r>
          </w:p>
          <w:p w14:paraId="2F2DA86C" w14:textId="77777777" w:rsidR="002E474C" w:rsidRDefault="00000000">
            <w:pPr>
              <w:pStyle w:val="A-"/>
              <w:jc w:val="both"/>
            </w:pPr>
            <w:r>
              <w:t>d</w:t>
            </w:r>
            <w:r>
              <w:t>）协同处置危险废物的水泥窑，按</w:t>
            </w:r>
            <w:r>
              <w:t xml:space="preserve">HJ 662 </w:t>
            </w:r>
            <w:r>
              <w:t>要求测定的焚毁去除率应不小于</w:t>
            </w:r>
            <w:r>
              <w:t>99.9999%</w:t>
            </w:r>
            <w:r>
              <w:t>；</w:t>
            </w:r>
            <w:r>
              <w:t xml:space="preserve"> </w:t>
            </w:r>
          </w:p>
          <w:p w14:paraId="05A314F9" w14:textId="77777777" w:rsidR="002E474C" w:rsidRDefault="00000000">
            <w:pPr>
              <w:pStyle w:val="A-"/>
              <w:jc w:val="both"/>
            </w:pPr>
            <w:r>
              <w:t>e</w:t>
            </w:r>
            <w:r>
              <w:t>）对于改造利用原有设施协同处置固体废物的水泥窑，在进行改造之前原有设施应连续两年达到</w:t>
            </w:r>
            <w:r>
              <w:t xml:space="preserve">GB 4915 </w:t>
            </w:r>
            <w:r>
              <w:t>的要求。</w:t>
            </w:r>
            <w:r>
              <w:t xml:space="preserve"> </w:t>
            </w:r>
          </w:p>
          <w:p w14:paraId="5C6850D9" w14:textId="77777777" w:rsidR="002E474C" w:rsidRDefault="00000000">
            <w:pPr>
              <w:pStyle w:val="A-"/>
              <w:jc w:val="both"/>
            </w:pPr>
            <w:r>
              <w:t xml:space="preserve">4.2  </w:t>
            </w:r>
            <w:r>
              <w:t>用于协同处置固体废物的水泥窑所处位置应满足以下条件：</w:t>
            </w:r>
            <w:r>
              <w:t xml:space="preserve"> </w:t>
            </w:r>
          </w:p>
          <w:p w14:paraId="28F27E1C" w14:textId="77777777" w:rsidR="002E474C" w:rsidRDefault="00000000">
            <w:pPr>
              <w:pStyle w:val="A-"/>
              <w:jc w:val="both"/>
            </w:pPr>
            <w:r>
              <w:t>a</w:t>
            </w:r>
            <w:r>
              <w:t>）符合城市总体发展规划、城市工业发展规划要求；</w:t>
            </w:r>
            <w:r>
              <w:t xml:space="preserve"> </w:t>
            </w:r>
          </w:p>
          <w:p w14:paraId="79DCB383" w14:textId="77777777" w:rsidR="002E474C" w:rsidRDefault="00000000">
            <w:pPr>
              <w:pStyle w:val="A-"/>
              <w:jc w:val="both"/>
            </w:pPr>
            <w:r>
              <w:t>b</w:t>
            </w:r>
            <w:r>
              <w:t>）所在区域无洪水、潮水或内涝威胁。设施所在标高应位于重现期不小于</w:t>
            </w:r>
            <w:r>
              <w:t>100</w:t>
            </w:r>
            <w:r>
              <w:t>年一遇的洪水位之上，并建设在现有和各类规划中的水库等人工蓄水设施的淹没区和保护区之外。</w:t>
            </w:r>
          </w:p>
          <w:p w14:paraId="22DFA366" w14:textId="77777777" w:rsidR="002E474C" w:rsidRDefault="00000000">
            <w:pPr>
              <w:pStyle w:val="A-"/>
              <w:jc w:val="both"/>
            </w:pPr>
            <w:r>
              <w:t xml:space="preserve">4.3  </w:t>
            </w:r>
            <w:r>
              <w:t>应有专门的固体废物贮存设施。</w:t>
            </w:r>
            <w:r>
              <w:t xml:space="preserve"> </w:t>
            </w:r>
          </w:p>
          <w:p w14:paraId="788C4ECD" w14:textId="77777777" w:rsidR="002E474C" w:rsidRDefault="00000000">
            <w:pPr>
              <w:pStyle w:val="A-"/>
              <w:jc w:val="both"/>
            </w:pPr>
            <w:r>
              <w:t>危险废物贮存设施应满足</w:t>
            </w:r>
            <w:r>
              <w:t>GB 18597</w:t>
            </w:r>
            <w:r>
              <w:t>和</w:t>
            </w:r>
            <w:r>
              <w:t xml:space="preserve"> HJ/T176</w:t>
            </w:r>
            <w:r>
              <w:t>的规定。</w:t>
            </w:r>
            <w:r>
              <w:t xml:space="preserve"> </w:t>
            </w:r>
          </w:p>
          <w:p w14:paraId="39B80B01" w14:textId="77777777" w:rsidR="002E474C" w:rsidRDefault="00000000">
            <w:pPr>
              <w:pStyle w:val="A-"/>
              <w:jc w:val="both"/>
            </w:pPr>
            <w:r>
              <w:t>生活垃圾和城市污水处理厂污泥的贮存设施应有良好的防渗性能并设置污水收集装置；贮存设施应采用封闭措施，保证其中有生活垃圾或污泥存放时处于负压状态；贮存设施内抽取的空气应导入水泥窑高温区焚烧处理，或经过其他处理措施达标后排放。</w:t>
            </w:r>
            <w:r>
              <w:t xml:space="preserve"> </w:t>
            </w:r>
          </w:p>
          <w:p w14:paraId="648AFB01" w14:textId="77777777" w:rsidR="002E474C" w:rsidRDefault="00000000">
            <w:pPr>
              <w:pStyle w:val="A-"/>
              <w:jc w:val="both"/>
            </w:pPr>
            <w:r>
              <w:t>前述两款规定之外的其他固体废物的贮存设施应有良好的防渗性能，以及必要的防雨、防尘功能。</w:t>
            </w:r>
            <w:r>
              <w:t xml:space="preserve">  </w:t>
            </w:r>
          </w:p>
          <w:p w14:paraId="42CC46CE" w14:textId="77777777" w:rsidR="002E474C" w:rsidRDefault="00000000">
            <w:pPr>
              <w:pStyle w:val="A-"/>
              <w:jc w:val="both"/>
            </w:pPr>
            <w:r>
              <w:t xml:space="preserve">4.4  </w:t>
            </w:r>
            <w:r>
              <w:t>应根据所需要协同处置的固体废物特性设置专用固体废物投加设施。固体废物投加设施应满足</w:t>
            </w:r>
            <w:r>
              <w:t xml:space="preserve"> HJ 662 </w:t>
            </w:r>
            <w:r>
              <w:t>的要求。</w:t>
            </w:r>
            <w:r>
              <w:t xml:space="preserve"> </w:t>
            </w:r>
          </w:p>
          <w:p w14:paraId="31C526D3" w14:textId="77777777" w:rsidR="002E474C" w:rsidRDefault="00000000">
            <w:pPr>
              <w:pStyle w:val="A-"/>
              <w:jc w:val="both"/>
            </w:pPr>
            <w:r>
              <w:t xml:space="preserve">4.5  </w:t>
            </w:r>
            <w:r>
              <w:t>固体废物的协同处置应确保不会对水泥生产和污染控制产生不利影响。如果无法满足这一要求，应根据所需要协同处置固体废物的特性</w:t>
            </w:r>
            <w:r>
              <w:lastRenderedPageBreak/>
              <w:t>设置必要的预处理设施对其进行预处理；如果经过预处理后仍然无法满足这一要求，则不应在水泥窑中处置这类废物。</w:t>
            </w:r>
          </w:p>
        </w:tc>
        <w:tc>
          <w:tcPr>
            <w:tcW w:w="1842" w:type="pct"/>
            <w:vAlign w:val="center"/>
          </w:tcPr>
          <w:p w14:paraId="736F4C42" w14:textId="77777777" w:rsidR="002E474C" w:rsidRDefault="00000000">
            <w:pPr>
              <w:pStyle w:val="A-"/>
              <w:jc w:val="both"/>
            </w:pPr>
            <w:r>
              <w:lastRenderedPageBreak/>
              <w:t>（</w:t>
            </w:r>
            <w:r>
              <w:t>1</w:t>
            </w:r>
            <w:r>
              <w:t>）本项目为单线设计熟料生产规模</w:t>
            </w:r>
            <w:r>
              <w:t>5000t/d</w:t>
            </w:r>
            <w:r>
              <w:t>电石渣干法水泥生产线；采用窑磨一体机模式；窑尾烟气采用高效电袋除尘器作为烟气除尘设施；本项目水泥窑按</w:t>
            </w:r>
            <w:r>
              <w:t>HJ 662</w:t>
            </w:r>
            <w:r>
              <w:t>要求测定的焚毁去除率应不小于</w:t>
            </w:r>
            <w:r>
              <w:t>99.9999%</w:t>
            </w:r>
            <w:r>
              <w:t>；现有水泥窑连续两年符合《水泥工业大气污染物排放标准》（</w:t>
            </w:r>
            <w:r>
              <w:rPr>
                <w:rFonts w:hint="eastAsia"/>
              </w:rPr>
              <w:t>GB 4915-2013</w:t>
            </w:r>
            <w:r>
              <w:rPr>
                <w:rFonts w:hint="eastAsia"/>
              </w:rPr>
              <w:t>，含</w:t>
            </w:r>
            <w:r>
              <w:rPr>
                <w:rFonts w:hint="eastAsia"/>
              </w:rPr>
              <w:t>2025</w:t>
            </w:r>
            <w:r>
              <w:rPr>
                <w:rFonts w:hint="eastAsia"/>
              </w:rPr>
              <w:t>年修改单</w:t>
            </w:r>
            <w:r>
              <w:t>）要求并无其他环境违法行为。</w:t>
            </w:r>
          </w:p>
          <w:p w14:paraId="0FCD777E" w14:textId="77777777" w:rsidR="002E474C" w:rsidRDefault="00000000">
            <w:pPr>
              <w:pStyle w:val="A-"/>
              <w:jc w:val="both"/>
            </w:pPr>
            <w:r>
              <w:t>（</w:t>
            </w:r>
            <w:r>
              <w:t>2</w:t>
            </w:r>
            <w:r>
              <w:t>）本项目符合《托克逊能源重化工工业园区总体规划（</w:t>
            </w:r>
            <w:r>
              <w:t>2023-2035</w:t>
            </w:r>
            <w:r>
              <w:t>年）》，区域无洪水、潮水或内涝威胁。</w:t>
            </w:r>
          </w:p>
          <w:p w14:paraId="586DC575" w14:textId="77777777" w:rsidR="002E474C" w:rsidRDefault="00000000">
            <w:pPr>
              <w:pStyle w:val="A-"/>
              <w:jc w:val="both"/>
            </w:pPr>
            <w:r>
              <w:t>（</w:t>
            </w:r>
            <w:r>
              <w:t>3</w:t>
            </w:r>
            <w:r>
              <w:t>）设置专门的封闭式危废贮存库及固态危废预处理车间，并满足</w:t>
            </w:r>
            <w:r>
              <w:t>GB 18597</w:t>
            </w:r>
            <w:r>
              <w:t>和</w:t>
            </w:r>
            <w:r>
              <w:t>HJ/T176</w:t>
            </w:r>
            <w:r>
              <w:t>的规定；本项目不贮存生活垃圾和城市污水处理厂污泥。危废贮存库及固态危废预处理车间设负压集气设施，集气采用气体净化设施处理后达标排放。</w:t>
            </w:r>
          </w:p>
          <w:p w14:paraId="063D0B8C" w14:textId="77777777" w:rsidR="002E474C" w:rsidRDefault="00000000">
            <w:pPr>
              <w:pStyle w:val="A-"/>
              <w:jc w:val="both"/>
            </w:pPr>
            <w:r>
              <w:t>（</w:t>
            </w:r>
            <w:r>
              <w:t>4</w:t>
            </w:r>
            <w:r>
              <w:t>）本项目设置有专门的危废投加设施并满足《水泥窑协同处置固体废物环境保护技术规范》（</w:t>
            </w:r>
            <w:r>
              <w:t>HJ 662-2013</w:t>
            </w:r>
            <w:r>
              <w:t>）的要求；项目运行应确保危险废物协同处置不会对水泥生产和污染控制产生不利影响。</w:t>
            </w:r>
          </w:p>
        </w:tc>
        <w:tc>
          <w:tcPr>
            <w:tcW w:w="326" w:type="pct"/>
            <w:vAlign w:val="center"/>
          </w:tcPr>
          <w:p w14:paraId="6EF0BEDE" w14:textId="77777777" w:rsidR="002E474C" w:rsidRDefault="00000000">
            <w:pPr>
              <w:pStyle w:val="A-"/>
            </w:pPr>
            <w:r>
              <w:t>符合</w:t>
            </w:r>
          </w:p>
        </w:tc>
      </w:tr>
      <w:tr w:rsidR="002E474C" w14:paraId="7DF6B25A" w14:textId="77777777">
        <w:tc>
          <w:tcPr>
            <w:tcW w:w="300" w:type="pct"/>
            <w:vAlign w:val="center"/>
          </w:tcPr>
          <w:p w14:paraId="6E4BEDCF" w14:textId="77777777" w:rsidR="002E474C" w:rsidRDefault="00000000">
            <w:pPr>
              <w:pStyle w:val="A-"/>
            </w:pPr>
            <w:r>
              <w:t>5</w:t>
            </w:r>
            <w:r>
              <w:t>入窑协同处置危险废物特性</w:t>
            </w:r>
          </w:p>
        </w:tc>
        <w:tc>
          <w:tcPr>
            <w:tcW w:w="2532" w:type="pct"/>
            <w:vAlign w:val="center"/>
          </w:tcPr>
          <w:p w14:paraId="71EF1DB9" w14:textId="77777777" w:rsidR="002E474C" w:rsidRDefault="00000000">
            <w:pPr>
              <w:pStyle w:val="A-"/>
              <w:jc w:val="both"/>
            </w:pPr>
            <w:r>
              <w:t xml:space="preserve">5.1  </w:t>
            </w:r>
            <w:r>
              <w:t>禁止下列固体废物入窑进行协同处置：</w:t>
            </w:r>
            <w:r>
              <w:t xml:space="preserve"> </w:t>
            </w:r>
          </w:p>
          <w:p w14:paraId="7D544866" w14:textId="77777777" w:rsidR="002E474C" w:rsidRDefault="00000000">
            <w:pPr>
              <w:pStyle w:val="A-"/>
              <w:jc w:val="both"/>
            </w:pPr>
            <w:r>
              <w:t>——</w:t>
            </w:r>
            <w:r>
              <w:t>放射性废物；</w:t>
            </w:r>
          </w:p>
          <w:p w14:paraId="256A7D8C" w14:textId="77777777" w:rsidR="002E474C" w:rsidRDefault="00000000">
            <w:pPr>
              <w:pStyle w:val="A-"/>
              <w:jc w:val="both"/>
            </w:pPr>
            <w:r>
              <w:t>——</w:t>
            </w:r>
            <w:r>
              <w:t>爆炸物及反应性废物；</w:t>
            </w:r>
          </w:p>
          <w:p w14:paraId="015F2D85" w14:textId="77777777" w:rsidR="002E474C" w:rsidRDefault="00000000">
            <w:pPr>
              <w:pStyle w:val="A-"/>
              <w:jc w:val="both"/>
            </w:pPr>
            <w:r>
              <w:t>——</w:t>
            </w:r>
            <w:r>
              <w:t>未经拆解的废电池、废家用电器和电子产品；</w:t>
            </w:r>
          </w:p>
          <w:p w14:paraId="3B61E9A2" w14:textId="77777777" w:rsidR="002E474C" w:rsidRDefault="00000000">
            <w:pPr>
              <w:pStyle w:val="A-"/>
              <w:jc w:val="both"/>
            </w:pPr>
            <w:r>
              <w:t>——</w:t>
            </w:r>
            <w:r>
              <w:t>含汞的温度计、血压计、荧光灯管和开关；</w:t>
            </w:r>
          </w:p>
          <w:p w14:paraId="364CCD09" w14:textId="77777777" w:rsidR="002E474C" w:rsidRDefault="00000000">
            <w:pPr>
              <w:pStyle w:val="A-"/>
              <w:jc w:val="both"/>
            </w:pPr>
            <w:r>
              <w:t>——</w:t>
            </w:r>
            <w:r>
              <w:t>铬渣</w:t>
            </w:r>
          </w:p>
          <w:p w14:paraId="3B62A7C3" w14:textId="77777777" w:rsidR="002E474C" w:rsidRDefault="00000000">
            <w:pPr>
              <w:pStyle w:val="A-"/>
              <w:jc w:val="both"/>
            </w:pPr>
            <w:r>
              <w:t>——</w:t>
            </w:r>
            <w:r>
              <w:t>未知特性和未经鉴定的废物。</w:t>
            </w:r>
            <w:r>
              <w:t xml:space="preserve"> </w:t>
            </w:r>
          </w:p>
          <w:p w14:paraId="52CAC758" w14:textId="77777777" w:rsidR="002E474C" w:rsidRDefault="00000000">
            <w:pPr>
              <w:pStyle w:val="A-"/>
              <w:jc w:val="both"/>
            </w:pPr>
            <w:r>
              <w:t xml:space="preserve">5.2  </w:t>
            </w:r>
            <w:r>
              <w:t>入窑固体废物应具有相对稳定的化学组成和物理特性，其重金属以及氯、氟、硫等有害元素的含量及投加量应满足</w:t>
            </w:r>
            <w:r>
              <w:t xml:space="preserve"> HJ 662 </w:t>
            </w:r>
            <w:r>
              <w:t>的要求。</w:t>
            </w:r>
          </w:p>
        </w:tc>
        <w:tc>
          <w:tcPr>
            <w:tcW w:w="1842" w:type="pct"/>
            <w:vAlign w:val="center"/>
          </w:tcPr>
          <w:p w14:paraId="484E5D33" w14:textId="77777777" w:rsidR="002E474C" w:rsidRDefault="00000000">
            <w:pPr>
              <w:pStyle w:val="A-"/>
              <w:jc w:val="both"/>
            </w:pPr>
            <w:r>
              <w:t>（</w:t>
            </w:r>
            <w:r>
              <w:t>1</w:t>
            </w:r>
            <w:r>
              <w:t>）本项目不协同处置禁止入窑的固体废物。</w:t>
            </w:r>
          </w:p>
          <w:p w14:paraId="015A4C64" w14:textId="77777777" w:rsidR="002E474C" w:rsidRDefault="00000000">
            <w:pPr>
              <w:pStyle w:val="A-"/>
              <w:jc w:val="both"/>
            </w:pPr>
            <w:r>
              <w:t>（</w:t>
            </w:r>
            <w:r>
              <w:t>2</w:t>
            </w:r>
            <w:r>
              <w:t>）项目运行应保证入窑固废具有相对稳定的化学组成和物理特性，其重金属以及氯、氟、硫等有害元素的含量及投加量满足《水泥窑协同处置固体废物环境保护技术规范》</w:t>
            </w:r>
            <w:r>
              <w:t>(HJ 662-2013)</w:t>
            </w:r>
            <w:r>
              <w:t>的要求。</w:t>
            </w:r>
          </w:p>
        </w:tc>
        <w:tc>
          <w:tcPr>
            <w:tcW w:w="326" w:type="pct"/>
            <w:vAlign w:val="center"/>
          </w:tcPr>
          <w:p w14:paraId="00314A29" w14:textId="77777777" w:rsidR="002E474C" w:rsidRDefault="00000000">
            <w:pPr>
              <w:pStyle w:val="A-"/>
            </w:pPr>
            <w:r>
              <w:t>符合</w:t>
            </w:r>
          </w:p>
        </w:tc>
      </w:tr>
      <w:tr w:rsidR="002E474C" w14:paraId="41E00268" w14:textId="77777777">
        <w:tc>
          <w:tcPr>
            <w:tcW w:w="300" w:type="pct"/>
            <w:vAlign w:val="center"/>
          </w:tcPr>
          <w:p w14:paraId="7C251984" w14:textId="77777777" w:rsidR="002E474C" w:rsidRDefault="00000000">
            <w:pPr>
              <w:pStyle w:val="A-"/>
            </w:pPr>
            <w:r>
              <w:t>6</w:t>
            </w:r>
            <w:r>
              <w:t>运行技术要求</w:t>
            </w:r>
          </w:p>
        </w:tc>
        <w:tc>
          <w:tcPr>
            <w:tcW w:w="2532" w:type="pct"/>
            <w:vAlign w:val="center"/>
          </w:tcPr>
          <w:p w14:paraId="3650EA32" w14:textId="77777777" w:rsidR="002E474C" w:rsidRDefault="00000000">
            <w:pPr>
              <w:pStyle w:val="A-"/>
              <w:jc w:val="both"/>
            </w:pPr>
            <w:r>
              <w:t>6.1</w:t>
            </w:r>
            <w:r>
              <w:t>在运行过程中，应根据固体废物特性按照</w:t>
            </w:r>
            <w:r>
              <w:t>HJ662</w:t>
            </w:r>
            <w:r>
              <w:t>中的要求正确选择固体废物投加点和投加方式。</w:t>
            </w:r>
          </w:p>
          <w:p w14:paraId="593542C6" w14:textId="77777777" w:rsidR="002E474C" w:rsidRDefault="00000000">
            <w:pPr>
              <w:pStyle w:val="A-"/>
              <w:jc w:val="both"/>
            </w:pPr>
            <w:r>
              <w:t>6.2</w:t>
            </w:r>
            <w:r>
              <w:t>固体废物的投加过程和在水泥窑中的协同处置过程应不影响水泥的正常生产。</w:t>
            </w:r>
          </w:p>
          <w:p w14:paraId="6B4F9220" w14:textId="77777777" w:rsidR="002E474C" w:rsidRDefault="00000000">
            <w:pPr>
              <w:pStyle w:val="A-"/>
              <w:jc w:val="both"/>
            </w:pPr>
            <w:r>
              <w:t>6.3</w:t>
            </w:r>
            <w:r>
              <w:t>在水泥窑达到正常生产工况并稳定运行至少</w:t>
            </w:r>
            <w:r>
              <w:t>4</w:t>
            </w:r>
            <w:r>
              <w:t>小时后，方可开始投加固体废物；因水泥窑维修、事故检修等原因停窑前至少</w:t>
            </w:r>
            <w:r>
              <w:t>4</w:t>
            </w:r>
            <w:r>
              <w:t>小时内禁止投加固体废物。</w:t>
            </w:r>
          </w:p>
          <w:p w14:paraId="66A5BA8D" w14:textId="77777777" w:rsidR="002E474C" w:rsidRDefault="00000000">
            <w:pPr>
              <w:pStyle w:val="A-"/>
              <w:jc w:val="both"/>
            </w:pPr>
            <w:r>
              <w:t xml:space="preserve">6.4 </w:t>
            </w:r>
            <w:r>
              <w:t>当水泥窑出现故障或事故造成运行工况不正常，如窑内温度明显下降、烟气中污染物浓度明显升高等情况时，必须立即停止投加固体废物，待查明原因并恢复正常运行后方可恢复投加。</w:t>
            </w:r>
            <w:r>
              <w:t>|</w:t>
            </w:r>
          </w:p>
        </w:tc>
        <w:tc>
          <w:tcPr>
            <w:tcW w:w="1842" w:type="pct"/>
            <w:vAlign w:val="center"/>
          </w:tcPr>
          <w:p w14:paraId="7EF2A6D5" w14:textId="77777777" w:rsidR="002E474C" w:rsidRDefault="00000000">
            <w:pPr>
              <w:pStyle w:val="A-"/>
              <w:jc w:val="both"/>
            </w:pPr>
            <w:r>
              <w:t>（</w:t>
            </w:r>
            <w:r>
              <w:t>1</w:t>
            </w:r>
            <w:r>
              <w:t>）本项目根据危险废物特性选择投料口，配套投料设施。协同处置的危废投料有机质和氰化物应确保水泥熟料满足《硅酸盐水泥熟料》（</w:t>
            </w:r>
            <w:r>
              <w:t>GB/T21372-2024</w:t>
            </w:r>
            <w:r>
              <w:t>），水泥产品满足《通用硅酸盐水泥》（</w:t>
            </w:r>
            <w:r>
              <w:t>GB175-2023</w:t>
            </w:r>
            <w:r>
              <w:t>），投料重金属限值满足《水泥窑协同处置固体废物环境保护技术规范》（</w:t>
            </w:r>
            <w:r>
              <w:t>HJ662</w:t>
            </w:r>
            <w:r>
              <w:t>）。</w:t>
            </w:r>
          </w:p>
          <w:p w14:paraId="3DF743FF" w14:textId="77777777" w:rsidR="002E474C" w:rsidRDefault="00000000">
            <w:pPr>
              <w:pStyle w:val="A-"/>
              <w:jc w:val="both"/>
            </w:pPr>
            <w:r>
              <w:t>（</w:t>
            </w:r>
            <w:r>
              <w:t>2</w:t>
            </w:r>
            <w:r>
              <w:t>）当水泥窑出现故障或事故造成运行工况不正常，如窑内温度明显下降、烟气中污染物浓度明显升高等情况时，立即停止投加固体废物，待查明原因并恢复正常运行后再恢复投加；每次故障或事故持续排放污染物时间不应超过</w:t>
            </w:r>
            <w:r>
              <w:t>4h</w:t>
            </w:r>
            <w:r>
              <w:t>，每年累计不得超过</w:t>
            </w:r>
            <w:r>
              <w:t>60h</w:t>
            </w:r>
            <w:r>
              <w:t>。</w:t>
            </w:r>
          </w:p>
        </w:tc>
        <w:tc>
          <w:tcPr>
            <w:tcW w:w="326" w:type="pct"/>
            <w:vAlign w:val="center"/>
          </w:tcPr>
          <w:p w14:paraId="51F868F9" w14:textId="77777777" w:rsidR="002E474C" w:rsidRDefault="00000000">
            <w:pPr>
              <w:pStyle w:val="A-"/>
            </w:pPr>
            <w:r>
              <w:t>符合</w:t>
            </w:r>
          </w:p>
        </w:tc>
      </w:tr>
      <w:tr w:rsidR="002E474C" w14:paraId="31EFF445" w14:textId="77777777">
        <w:tc>
          <w:tcPr>
            <w:tcW w:w="300" w:type="pct"/>
            <w:vAlign w:val="center"/>
          </w:tcPr>
          <w:p w14:paraId="49C9237A" w14:textId="77777777" w:rsidR="002E474C" w:rsidRDefault="00000000">
            <w:pPr>
              <w:pStyle w:val="A-"/>
            </w:pPr>
            <w:r>
              <w:t>9</w:t>
            </w:r>
            <w:r>
              <w:t>监测要求</w:t>
            </w:r>
          </w:p>
        </w:tc>
        <w:tc>
          <w:tcPr>
            <w:tcW w:w="2532" w:type="pct"/>
            <w:vAlign w:val="center"/>
          </w:tcPr>
          <w:p w14:paraId="4462D50A" w14:textId="77777777" w:rsidR="002E474C" w:rsidRDefault="00000000">
            <w:pPr>
              <w:pStyle w:val="A-"/>
              <w:jc w:val="both"/>
            </w:pPr>
            <w:r>
              <w:t>9.1</w:t>
            </w:r>
            <w:r>
              <w:t>烟气监测</w:t>
            </w:r>
          </w:p>
          <w:p w14:paraId="1E93B2AF" w14:textId="77777777" w:rsidR="002E474C" w:rsidRDefault="00000000">
            <w:pPr>
              <w:pStyle w:val="A-"/>
              <w:jc w:val="both"/>
            </w:pPr>
            <w:r>
              <w:t xml:space="preserve">9.1.1 </w:t>
            </w:r>
            <w:r>
              <w:t>企业应按照有关法律和《环境监测管理办法》等规定，建立企业监测制度，制定监测方案，对污染物排放状况及其对周边环境质量的影响开展自行监测，保存原始监测记录，并公布监测结果。</w:t>
            </w:r>
          </w:p>
          <w:p w14:paraId="233A9315" w14:textId="77777777" w:rsidR="002E474C" w:rsidRDefault="00000000">
            <w:pPr>
              <w:pStyle w:val="A-"/>
              <w:jc w:val="both"/>
            </w:pPr>
            <w:r>
              <w:t xml:space="preserve">9.1.2 </w:t>
            </w:r>
            <w:r>
              <w:t>新建企业和现有企业安装污染物排放自动监控设备的要求，按有关法律和《污染源自动监控管理办法》的规定执行。</w:t>
            </w:r>
          </w:p>
          <w:p w14:paraId="19294640" w14:textId="77777777" w:rsidR="002E474C" w:rsidRDefault="00000000">
            <w:pPr>
              <w:pStyle w:val="A-"/>
              <w:jc w:val="both"/>
            </w:pPr>
            <w:r>
              <w:t xml:space="preserve">9.1.3 </w:t>
            </w:r>
            <w:r>
              <w:t>企业应按照环境监测管理规定和技术规范的要求，设计、建设、维护永久性采样口、采样测试平台和排污口标志。</w:t>
            </w:r>
          </w:p>
          <w:p w14:paraId="5F78D2E0" w14:textId="77777777" w:rsidR="002E474C" w:rsidRDefault="00000000">
            <w:pPr>
              <w:pStyle w:val="A-"/>
              <w:jc w:val="both"/>
            </w:pPr>
            <w:r>
              <w:t xml:space="preserve">9.1.4 </w:t>
            </w:r>
            <w:r>
              <w:t>对企业排放废气的采样，应根据监测污染物的种类，在规定的污染</w:t>
            </w:r>
            <w:r>
              <w:lastRenderedPageBreak/>
              <w:t>物排放监控位置进行。有废气处理设施的，应在该设施后监测。排气简中大气污染物的监测采样按</w:t>
            </w:r>
            <w:r>
              <w:t>GB/T16157</w:t>
            </w:r>
            <w:r>
              <w:t>、</w:t>
            </w:r>
            <w:r>
              <w:t>HJ/T397</w:t>
            </w:r>
            <w:r>
              <w:t>或</w:t>
            </w:r>
            <w:r>
              <w:t>HJ/T75</w:t>
            </w:r>
            <w:r>
              <w:t>规定执行</w:t>
            </w:r>
            <w:r>
              <w:t>;</w:t>
            </w:r>
            <w:r>
              <w:t>大气污染物无组织排放的监测按</w:t>
            </w:r>
            <w:r>
              <w:t>HJ/T55</w:t>
            </w:r>
            <w:r>
              <w:t>规定执行。</w:t>
            </w:r>
          </w:p>
          <w:p w14:paraId="393EBC1C" w14:textId="77777777" w:rsidR="002E474C" w:rsidRDefault="00000000">
            <w:pPr>
              <w:pStyle w:val="A-"/>
              <w:jc w:val="both"/>
            </w:pPr>
            <w:r>
              <w:t>9.1.5</w:t>
            </w:r>
            <w:r>
              <w:t>企业对烟气中重金属</w:t>
            </w:r>
            <w:r>
              <w:t>(</w:t>
            </w:r>
            <w:r>
              <w:t>汞、铊、镉、铅、砷、、铬、锡、锑、铜、钻、锰、镍、钒及其化合物</w:t>
            </w:r>
            <w:r>
              <w:t>)</w:t>
            </w:r>
            <w:r>
              <w:t>以及总有机碳、氯化氢、氟化氢的监测，在水泥窑协同处置危险废物时，应当每季度至少开展</w:t>
            </w:r>
            <w:r>
              <w:t>1</w:t>
            </w:r>
            <w:r>
              <w:t>次；在水泥窑协同处置非危险废物时，应当每半年至少开展</w:t>
            </w:r>
            <w:r>
              <w:t>1</w:t>
            </w:r>
            <w:r>
              <w:t>次。对烟气中二噁英类的监测应当每年至少开展</w:t>
            </w:r>
            <w:r>
              <w:t>1</w:t>
            </w:r>
            <w:r>
              <w:t>次，其采样要求按</w:t>
            </w:r>
            <w:r>
              <w:t>HJ77.2</w:t>
            </w:r>
            <w:r>
              <w:t>的有关规定执行，其浓度为连续</w:t>
            </w:r>
            <w:r>
              <w:t>3</w:t>
            </w:r>
            <w:r>
              <w:t>次测定值的算数平均值。对其他大气污染物排放情况监测的频次、采样时间等要求，按有关环境监测管理规定和技术规范的要求执行。</w:t>
            </w:r>
          </w:p>
          <w:p w14:paraId="36C344C1" w14:textId="77777777" w:rsidR="002E474C" w:rsidRDefault="00000000">
            <w:pPr>
              <w:pStyle w:val="A-"/>
              <w:jc w:val="both"/>
            </w:pPr>
            <w:r>
              <w:t>9.2</w:t>
            </w:r>
            <w:r>
              <w:t>水泥窑协同处置危险废物设施的性能测试</w:t>
            </w:r>
          </w:p>
          <w:p w14:paraId="7C317DFF" w14:textId="77777777" w:rsidR="002E474C" w:rsidRDefault="00000000">
            <w:pPr>
              <w:pStyle w:val="A-"/>
              <w:jc w:val="both"/>
            </w:pPr>
            <w:r>
              <w:t>9.2.1</w:t>
            </w:r>
            <w:r>
              <w:t>水泥生产企业在首次开展危险废物协同处置之前，应按照</w:t>
            </w:r>
            <w:r>
              <w:t>HJ662</w:t>
            </w:r>
            <w:r>
              <w:t>中的要求对水泥窑协同处置设施进行性能测试。</w:t>
            </w:r>
          </w:p>
          <w:p w14:paraId="11BB9055" w14:textId="77777777" w:rsidR="002E474C" w:rsidRDefault="00000000">
            <w:pPr>
              <w:pStyle w:val="A-"/>
              <w:jc w:val="both"/>
            </w:pPr>
            <w:r>
              <w:t>9.2.2</w:t>
            </w:r>
            <w:r>
              <w:t>应定期对开展协同处置危险废物的水泥窑设施进行性能测试，测试频率应不少于每五年一次。</w:t>
            </w:r>
          </w:p>
        </w:tc>
        <w:tc>
          <w:tcPr>
            <w:tcW w:w="1842" w:type="pct"/>
            <w:vAlign w:val="center"/>
          </w:tcPr>
          <w:p w14:paraId="639CC78C" w14:textId="77777777" w:rsidR="002E474C" w:rsidRDefault="00000000">
            <w:pPr>
              <w:pStyle w:val="A-"/>
              <w:jc w:val="both"/>
            </w:pPr>
            <w:r>
              <w:lastRenderedPageBreak/>
              <w:t>（</w:t>
            </w:r>
            <w:r>
              <w:t>1</w:t>
            </w:r>
            <w:r>
              <w:t>）危废贮存库及固态危废预处理车间的环境监测纳入水泥窑协同处置设施环境监测计划，统一管理。按照相关管理法规及规范，制订监测方案并开展自行监测，保存原始监测记录，并公布监测结果。</w:t>
            </w:r>
          </w:p>
          <w:p w14:paraId="10A02852" w14:textId="77777777" w:rsidR="002E474C" w:rsidRDefault="00000000">
            <w:pPr>
              <w:pStyle w:val="A-"/>
              <w:jc w:val="both"/>
            </w:pPr>
            <w:r>
              <w:t>（</w:t>
            </w:r>
            <w:r>
              <w:t>2</w:t>
            </w:r>
            <w:r>
              <w:t>）现有水泥窑已配套有在线监测设备并按照自行监测计划开展自行监测工作，同时按照《国家重点监控企业污染源监督性监测及信息公开办法（试行）》的要求进行公开。本次环评也提出了完善的环境监控计划。</w:t>
            </w:r>
          </w:p>
          <w:p w14:paraId="6B3778D3" w14:textId="77777777" w:rsidR="002E474C" w:rsidRDefault="00000000">
            <w:pPr>
              <w:pStyle w:val="A-"/>
              <w:jc w:val="both"/>
            </w:pPr>
            <w:r>
              <w:lastRenderedPageBreak/>
              <w:t>（</w:t>
            </w:r>
            <w:r>
              <w:t>3</w:t>
            </w:r>
            <w:r>
              <w:t>）按规范开展贮存设施有组织及无组织大气污染物排放的监测采样工作。</w:t>
            </w:r>
          </w:p>
          <w:p w14:paraId="4A2328D8" w14:textId="77777777" w:rsidR="002E474C" w:rsidRDefault="00000000">
            <w:pPr>
              <w:pStyle w:val="A-"/>
              <w:jc w:val="both"/>
            </w:pPr>
            <w:r>
              <w:t>（</w:t>
            </w:r>
            <w:r>
              <w:t>4</w:t>
            </w:r>
            <w:r>
              <w:t>）本项目按照《水泥窑协同处置危险废物经营许可证审查指南（试行）》（环境保护部公告</w:t>
            </w:r>
            <w:r>
              <w:t>2017</w:t>
            </w:r>
            <w:r>
              <w:t>年第</w:t>
            </w:r>
            <w:r>
              <w:t>22</w:t>
            </w:r>
            <w:r>
              <w:t>号）具体要求开展水泥窑协同处置危险废物设施的性能测试，测试频率应不少于每五年一次。</w:t>
            </w:r>
          </w:p>
        </w:tc>
        <w:tc>
          <w:tcPr>
            <w:tcW w:w="326" w:type="pct"/>
            <w:vAlign w:val="center"/>
          </w:tcPr>
          <w:p w14:paraId="41E2B96A" w14:textId="77777777" w:rsidR="002E474C" w:rsidRDefault="00000000">
            <w:pPr>
              <w:pStyle w:val="A-"/>
            </w:pPr>
            <w:r>
              <w:lastRenderedPageBreak/>
              <w:t>符合</w:t>
            </w:r>
          </w:p>
        </w:tc>
      </w:tr>
      <w:tr w:rsidR="002E474C" w14:paraId="3895FFE1" w14:textId="77777777">
        <w:tc>
          <w:tcPr>
            <w:tcW w:w="300" w:type="pct"/>
            <w:vAlign w:val="center"/>
          </w:tcPr>
          <w:p w14:paraId="5D7ACFF5" w14:textId="77777777" w:rsidR="002E474C" w:rsidRDefault="00000000">
            <w:pPr>
              <w:pStyle w:val="A-"/>
            </w:pPr>
            <w:r>
              <w:t>7</w:t>
            </w:r>
            <w:r>
              <w:t>污染物排放限值</w:t>
            </w:r>
          </w:p>
        </w:tc>
        <w:tc>
          <w:tcPr>
            <w:tcW w:w="2532" w:type="pct"/>
            <w:vAlign w:val="center"/>
          </w:tcPr>
          <w:p w14:paraId="4B88E27D" w14:textId="77777777" w:rsidR="002E474C" w:rsidRDefault="00000000">
            <w:pPr>
              <w:pStyle w:val="A-"/>
              <w:jc w:val="both"/>
            </w:pPr>
            <w:r>
              <w:t xml:space="preserve">7.1  </w:t>
            </w:r>
            <w:r>
              <w:t>利用水泥窑协同处置固体废物时，水泥窑及窑尾余热利用系统排气筒大气污染物中颗粒物、二氧化硫、氮氧化物和氨的排放限值按</w:t>
            </w:r>
            <w:r>
              <w:t xml:space="preserve"> GB 4915 </w:t>
            </w:r>
            <w:r>
              <w:t>中的要求执行。</w:t>
            </w:r>
            <w:r>
              <w:t xml:space="preserve"> </w:t>
            </w:r>
          </w:p>
          <w:p w14:paraId="5D65B23F" w14:textId="77777777" w:rsidR="002E474C" w:rsidRDefault="00000000">
            <w:pPr>
              <w:pStyle w:val="A-"/>
              <w:jc w:val="both"/>
            </w:pPr>
            <w:r>
              <w:t xml:space="preserve">7.2  </w:t>
            </w:r>
            <w:r>
              <w:t>利用水泥窑协同处置固体废物时，水泥窑及窑尾余热利用系统排气筒大气污染物中除列入本标准</w:t>
            </w:r>
            <w:r>
              <w:t>7.1</w:t>
            </w:r>
            <w:r>
              <w:t>条外的其他污染物执行表</w:t>
            </w:r>
            <w:r>
              <w:t>1</w:t>
            </w:r>
            <w:r>
              <w:t>规定的最高允许排放浓度。</w:t>
            </w:r>
          </w:p>
          <w:p w14:paraId="2173F6C0" w14:textId="77777777" w:rsidR="002E474C" w:rsidRDefault="00000000">
            <w:pPr>
              <w:pStyle w:val="A-"/>
              <w:jc w:val="both"/>
            </w:pPr>
            <w:r>
              <w:t xml:space="preserve">7.3  </w:t>
            </w:r>
            <w:r>
              <w:t>在本标准第</w:t>
            </w:r>
            <w:r>
              <w:t>6.4</w:t>
            </w:r>
            <w:r>
              <w:t>条规定的情况下，所获得的监测数据不作为执行本标准烟气排放限值的监测数据。每次故障或事故持续排放污染物时间不应超过</w:t>
            </w:r>
            <w:r>
              <w:t>4</w:t>
            </w:r>
            <w:r>
              <w:t>小时，每年累计不得超过</w:t>
            </w:r>
            <w:r>
              <w:t>60</w:t>
            </w:r>
            <w:r>
              <w:t>小时。</w:t>
            </w:r>
            <w:r>
              <w:t xml:space="preserve"> </w:t>
            </w:r>
          </w:p>
          <w:p w14:paraId="78CDF1BF" w14:textId="77777777" w:rsidR="002E474C" w:rsidRDefault="00000000">
            <w:pPr>
              <w:pStyle w:val="A-"/>
              <w:jc w:val="both"/>
            </w:pPr>
            <w:r>
              <w:t xml:space="preserve">7.4  </w:t>
            </w:r>
            <w:r>
              <w:t>固体废物贮存、预处理等设施产生的废气应导入水泥窑高温区焚烧；或经过处理达到</w:t>
            </w:r>
            <w:r>
              <w:t xml:space="preserve">GB14554 </w:t>
            </w:r>
            <w:r>
              <w:t>规定的限值后排放。</w:t>
            </w:r>
            <w:r>
              <w:t xml:space="preserve"> </w:t>
            </w:r>
          </w:p>
          <w:p w14:paraId="0FC02FF7" w14:textId="77777777" w:rsidR="002E474C" w:rsidRDefault="00000000">
            <w:pPr>
              <w:pStyle w:val="A-"/>
              <w:jc w:val="both"/>
            </w:pPr>
            <w:r>
              <w:t xml:space="preserve">7.5  </w:t>
            </w:r>
            <w:r>
              <w:t>生活垃圾渗滤液、车辆清洗废水以及水泥窑协同处置固体废物过程产生的其他废水收集后可采用喷入水泥窑内焚烧处置、采用密闭运输送到城市污水处理厂处理、排入城市排水管道进入城市污水处理厂处理或者自行处理等方式。废水排放应符合国家相关水污染物排放管控要求。</w:t>
            </w:r>
            <w:r>
              <w:t xml:space="preserve"> </w:t>
            </w:r>
          </w:p>
          <w:p w14:paraId="5AFCC8B5" w14:textId="77777777" w:rsidR="002E474C" w:rsidRDefault="00000000">
            <w:pPr>
              <w:pStyle w:val="A-"/>
              <w:jc w:val="both"/>
            </w:pPr>
            <w:r>
              <w:t xml:space="preserve">7.6  </w:t>
            </w:r>
            <w:r>
              <w:t>协同处置固体废物的水泥生产企业厂界恶臭污染物限值应按照</w:t>
            </w:r>
            <w:r>
              <w:t xml:space="preserve"> GB 14554 </w:t>
            </w:r>
            <w:r>
              <w:t>执行。</w:t>
            </w:r>
            <w:r>
              <w:t xml:space="preserve"> </w:t>
            </w:r>
          </w:p>
          <w:p w14:paraId="2EACA783" w14:textId="77777777" w:rsidR="002E474C" w:rsidRDefault="00000000">
            <w:pPr>
              <w:pStyle w:val="A-"/>
              <w:jc w:val="both"/>
            </w:pPr>
            <w:r>
              <w:t xml:space="preserve">7.7  </w:t>
            </w:r>
            <w:r>
              <w:t>水泥窑旁路放风排气筒大气污染物排放限值按照本标准第</w:t>
            </w:r>
            <w:r>
              <w:t>7.1</w:t>
            </w:r>
            <w:r>
              <w:t>和</w:t>
            </w:r>
            <w:r>
              <w:t>7.2</w:t>
            </w:r>
            <w:r>
              <w:lastRenderedPageBreak/>
              <w:t>条执行。</w:t>
            </w:r>
            <w:r>
              <w:t xml:space="preserve"> </w:t>
            </w:r>
          </w:p>
          <w:p w14:paraId="30A32BAD" w14:textId="77777777" w:rsidR="002E474C" w:rsidRDefault="00000000">
            <w:pPr>
              <w:pStyle w:val="A-"/>
              <w:jc w:val="both"/>
            </w:pPr>
            <w:r>
              <w:t xml:space="preserve">7.8  </w:t>
            </w:r>
            <w:r>
              <w:t>协同处置固体废物的水泥生产企业，除水泥窑及窑尾余热利用系统、旁路放风、固体废物贮存及预处理等设施排气筒外的其他原料、产品的加工、贮存、生产设施的</w:t>
            </w:r>
            <w:bookmarkStart w:id="24" w:name="OLE_LINK8"/>
            <w:r>
              <w:t>排气筒大气污染物排放和无组织排放限值及周边环境质量监控按照</w:t>
            </w:r>
            <w:r>
              <w:t xml:space="preserve"> GB 4915</w:t>
            </w:r>
            <w:bookmarkEnd w:id="24"/>
            <w:r>
              <w:t>执行。</w:t>
            </w:r>
            <w:r>
              <w:t xml:space="preserve"> </w:t>
            </w:r>
          </w:p>
          <w:p w14:paraId="7ECF5294" w14:textId="77777777" w:rsidR="002E474C" w:rsidRDefault="00000000">
            <w:pPr>
              <w:pStyle w:val="A-"/>
              <w:jc w:val="both"/>
            </w:pPr>
            <w:r>
              <w:t xml:space="preserve">7.9  </w:t>
            </w:r>
            <w:r>
              <w:t>从水泥窑循环系统排出的窑灰和旁路放风收集的粉尘如直接掺加入水泥熟料，应严格控制其掺加比例，确保满足本标准第</w:t>
            </w:r>
            <w:r>
              <w:t>8</w:t>
            </w:r>
            <w:r>
              <w:t>章要求。如果窑灰和旁路放风粉尘需要送至厂外进行处理处置，应按危险废物进行管理。</w:t>
            </w:r>
          </w:p>
        </w:tc>
        <w:tc>
          <w:tcPr>
            <w:tcW w:w="1842" w:type="pct"/>
            <w:vAlign w:val="center"/>
          </w:tcPr>
          <w:p w14:paraId="729FE396" w14:textId="77777777" w:rsidR="002E474C" w:rsidRDefault="00000000">
            <w:pPr>
              <w:pStyle w:val="A-"/>
              <w:jc w:val="both"/>
            </w:pPr>
            <w:r>
              <w:lastRenderedPageBreak/>
              <w:t>（</w:t>
            </w:r>
            <w:r>
              <w:t>1</w:t>
            </w:r>
            <w:r>
              <w:t>）本项目窑尾烟气中颗粒物、二氧化硫、氮氧化物的排放限值满足</w:t>
            </w:r>
            <w:bookmarkStart w:id="25" w:name="OLE_LINK9"/>
            <w:r>
              <w:t>《水泥工业大气污染物排放标准》（</w:t>
            </w:r>
            <w:r>
              <w:rPr>
                <w:rFonts w:hint="eastAsia"/>
              </w:rPr>
              <w:t>GB 4915-2013</w:t>
            </w:r>
            <w:r>
              <w:rPr>
                <w:rFonts w:hint="eastAsia"/>
              </w:rPr>
              <w:t>，含</w:t>
            </w:r>
            <w:r>
              <w:rPr>
                <w:rFonts w:hint="eastAsia"/>
              </w:rPr>
              <w:t>2025</w:t>
            </w:r>
            <w:r>
              <w:rPr>
                <w:rFonts w:hint="eastAsia"/>
              </w:rPr>
              <w:t>年修改单</w:t>
            </w:r>
            <w:r>
              <w:t>）</w:t>
            </w:r>
            <w:bookmarkEnd w:id="25"/>
            <w:r>
              <w:t>，同时按照《关于推进实施水泥行业超低排放的意见》（环大气〔</w:t>
            </w:r>
            <w:r>
              <w:t>2024</w:t>
            </w:r>
            <w:r>
              <w:t>〕</w:t>
            </w:r>
            <w:r>
              <w:t>5</w:t>
            </w:r>
            <w:r>
              <w:t>号）进行控制；其他污染物满足《水泥工业大气污染物排放标准》（</w:t>
            </w:r>
            <w:r>
              <w:rPr>
                <w:rFonts w:hint="eastAsia"/>
              </w:rPr>
              <w:t>GB 4915-2013</w:t>
            </w:r>
            <w:r>
              <w:rPr>
                <w:rFonts w:hint="eastAsia"/>
              </w:rPr>
              <w:t>，含</w:t>
            </w:r>
            <w:r>
              <w:rPr>
                <w:rFonts w:hint="eastAsia"/>
              </w:rPr>
              <w:t>2025</w:t>
            </w:r>
            <w:r>
              <w:rPr>
                <w:rFonts w:hint="eastAsia"/>
              </w:rPr>
              <w:t>年修改单</w:t>
            </w:r>
            <w:r>
              <w:t>）及《水泥窑协同处置固体废物污染控制标准》</w:t>
            </w:r>
            <w:r>
              <w:t>(GB30485-2013)</w:t>
            </w:r>
            <w:r>
              <w:t>。</w:t>
            </w:r>
          </w:p>
          <w:p w14:paraId="7AEADA04" w14:textId="77777777" w:rsidR="002E474C" w:rsidRDefault="00000000">
            <w:pPr>
              <w:pStyle w:val="A-"/>
              <w:jc w:val="both"/>
            </w:pPr>
            <w:r>
              <w:t>（</w:t>
            </w:r>
            <w:r>
              <w:t>2</w:t>
            </w:r>
            <w:r>
              <w:t>）当水泥窑出现故障或事故造成运行工况不正常，如窑内温度明显下降、烟气中污染物浓度明显升高等情况时，立即停止投加固体废物，待查明原因并恢复正常运行后再恢复投加；每次故障或事故持续排放污染物时间不应超过</w:t>
            </w:r>
            <w:r>
              <w:t>4h</w:t>
            </w:r>
            <w:r>
              <w:t>，每年累计不得超过</w:t>
            </w:r>
            <w:r>
              <w:t>60h</w:t>
            </w:r>
            <w:r>
              <w:t>。</w:t>
            </w:r>
          </w:p>
          <w:p w14:paraId="1EBAB448" w14:textId="77777777" w:rsidR="002E474C" w:rsidRDefault="00000000">
            <w:pPr>
              <w:pStyle w:val="A-"/>
              <w:jc w:val="both"/>
            </w:pPr>
            <w:r>
              <w:t>（</w:t>
            </w:r>
            <w:r>
              <w:t>3</w:t>
            </w:r>
            <w:r>
              <w:t>）危废贮存库及固态危废预处理车间设负压及其设施，集气采用气体净化设施处理后达标排放。固态加料系统和液态处置车间产生的废气导入水泥窑高温区焚烧，停窑时清空存量废物，设备空置停用，</w:t>
            </w:r>
            <w:r>
              <w:lastRenderedPageBreak/>
              <w:t>无危废存放、投加与过滤生产，不产生废气。</w:t>
            </w:r>
          </w:p>
          <w:p w14:paraId="7BA2E620" w14:textId="77777777" w:rsidR="002E474C" w:rsidRDefault="00000000">
            <w:pPr>
              <w:pStyle w:val="A-"/>
              <w:jc w:val="both"/>
            </w:pPr>
            <w:r>
              <w:t>（</w:t>
            </w:r>
            <w:r>
              <w:t>5</w:t>
            </w:r>
            <w:r>
              <w:t>）车辆及容器清洗废水及水泥窑协同处置危险废物过程产生的其他废水收集后喷入水泥窑内焚烧处置；厂界恶臭污染物限值满足《恶臭污染物排放标准》（</w:t>
            </w:r>
            <w:r>
              <w:t>GB 14554-93</w:t>
            </w:r>
            <w:r>
              <w:t>）。</w:t>
            </w:r>
          </w:p>
          <w:p w14:paraId="33634DC4" w14:textId="77777777" w:rsidR="002E474C" w:rsidRDefault="00000000">
            <w:pPr>
              <w:pStyle w:val="A-"/>
              <w:jc w:val="both"/>
            </w:pPr>
            <w:r>
              <w:t>（</w:t>
            </w:r>
            <w:r>
              <w:t>6</w:t>
            </w:r>
            <w:r>
              <w:t>）本项目不依托的水泥厂其他排气筒大气污染物排放和无组织排放限值及周边环境质量监控执行《水泥工业大气污染物排放标准》（</w:t>
            </w:r>
            <w:r>
              <w:rPr>
                <w:rFonts w:hint="eastAsia"/>
              </w:rPr>
              <w:t>GB 4915-2013</w:t>
            </w:r>
            <w:r>
              <w:rPr>
                <w:rFonts w:hint="eastAsia"/>
              </w:rPr>
              <w:t>，含</w:t>
            </w:r>
            <w:r>
              <w:rPr>
                <w:rFonts w:hint="eastAsia"/>
              </w:rPr>
              <w:t>2025</w:t>
            </w:r>
            <w:r>
              <w:rPr>
                <w:rFonts w:hint="eastAsia"/>
              </w:rPr>
              <w:t>年修改单</w:t>
            </w:r>
            <w:r>
              <w:t>）</w:t>
            </w:r>
            <w:r>
              <w:rPr>
                <w:rFonts w:hint="eastAsia"/>
              </w:rPr>
              <w:t>及修改单</w:t>
            </w:r>
            <w:r>
              <w:t>。水泥窑不设旁路防风系统。</w:t>
            </w:r>
          </w:p>
          <w:p w14:paraId="03AB20AA" w14:textId="77777777" w:rsidR="002E474C" w:rsidRDefault="00000000">
            <w:pPr>
              <w:pStyle w:val="A-"/>
              <w:jc w:val="both"/>
            </w:pPr>
            <w:r>
              <w:t>（</w:t>
            </w:r>
            <w:r>
              <w:t>7</w:t>
            </w:r>
            <w:r>
              <w:t>）水泥窑循环系统排出的窑灰部分掺加入水泥熟料，严格控制其掺加比例。</w:t>
            </w:r>
          </w:p>
        </w:tc>
        <w:tc>
          <w:tcPr>
            <w:tcW w:w="326" w:type="pct"/>
            <w:vAlign w:val="center"/>
          </w:tcPr>
          <w:p w14:paraId="5710BFAC" w14:textId="77777777" w:rsidR="002E474C" w:rsidRDefault="00000000">
            <w:pPr>
              <w:pStyle w:val="A-"/>
            </w:pPr>
            <w:r>
              <w:lastRenderedPageBreak/>
              <w:t>符合</w:t>
            </w:r>
          </w:p>
        </w:tc>
      </w:tr>
      <w:tr w:rsidR="002E474C" w14:paraId="33C0DBD5" w14:textId="77777777">
        <w:tc>
          <w:tcPr>
            <w:tcW w:w="300" w:type="pct"/>
            <w:vAlign w:val="center"/>
          </w:tcPr>
          <w:p w14:paraId="6D861EC5" w14:textId="77777777" w:rsidR="002E474C" w:rsidRDefault="00000000">
            <w:pPr>
              <w:pStyle w:val="A-"/>
            </w:pPr>
            <w:r>
              <w:t>8.</w:t>
            </w:r>
            <w:r>
              <w:t>水泥产品污染物控制</w:t>
            </w:r>
          </w:p>
        </w:tc>
        <w:tc>
          <w:tcPr>
            <w:tcW w:w="2532" w:type="pct"/>
            <w:vAlign w:val="center"/>
          </w:tcPr>
          <w:p w14:paraId="4D576912" w14:textId="77777777" w:rsidR="002E474C" w:rsidRDefault="00000000">
            <w:pPr>
              <w:pStyle w:val="A-"/>
              <w:jc w:val="both"/>
            </w:pPr>
            <w:r>
              <w:t xml:space="preserve">8.1  </w:t>
            </w:r>
            <w:r>
              <w:t>协同处置固体废物的水泥窑生产的水泥产品，其质量应符合国家相关标准。</w:t>
            </w:r>
            <w:r>
              <w:t xml:space="preserve"> </w:t>
            </w:r>
          </w:p>
          <w:p w14:paraId="2D66BAF8" w14:textId="77777777" w:rsidR="002E474C" w:rsidRDefault="00000000">
            <w:pPr>
              <w:pStyle w:val="A-"/>
              <w:jc w:val="both"/>
            </w:pPr>
            <w:r>
              <w:t xml:space="preserve">8.2  </w:t>
            </w:r>
            <w:r>
              <w:t>协同处置固体废物的水泥窑生产的水泥产品中污染物的浸出，应满足相关的国家标准要求。</w:t>
            </w:r>
            <w:r>
              <w:t xml:space="preserve"> </w:t>
            </w:r>
          </w:p>
          <w:p w14:paraId="591F975B" w14:textId="77777777" w:rsidR="002E474C" w:rsidRDefault="00000000">
            <w:pPr>
              <w:pStyle w:val="A-"/>
              <w:jc w:val="both"/>
            </w:pPr>
            <w:r>
              <w:t xml:space="preserve">8.3  </w:t>
            </w:r>
            <w:r>
              <w:t>利用粉煤灰、钢渣、硫酸渣、高炉矿渣、煤矸石等一般工业固体废物作为替代原料（包括混合材料）、燃料生产的水泥产品参照本标准中第</w:t>
            </w:r>
            <w:r>
              <w:t xml:space="preserve"> 8.2 </w:t>
            </w:r>
            <w:r>
              <w:t>条的规定执行。</w:t>
            </w:r>
          </w:p>
        </w:tc>
        <w:tc>
          <w:tcPr>
            <w:tcW w:w="1842" w:type="pct"/>
            <w:vAlign w:val="center"/>
          </w:tcPr>
          <w:p w14:paraId="2BFE610A" w14:textId="77777777" w:rsidR="002E474C" w:rsidRDefault="00000000">
            <w:pPr>
              <w:pStyle w:val="A-"/>
              <w:jc w:val="both"/>
            </w:pPr>
            <w:r>
              <w:t>（</w:t>
            </w:r>
            <w:r>
              <w:t>1</w:t>
            </w:r>
            <w:r>
              <w:t>）水泥产品质量符合《通用硅酸盐水泥》（</w:t>
            </w:r>
            <w:r>
              <w:t>GB 175-2023</w:t>
            </w:r>
            <w:r>
              <w:t>）。</w:t>
            </w:r>
          </w:p>
          <w:p w14:paraId="58DD9473" w14:textId="77777777" w:rsidR="002E474C" w:rsidRDefault="00000000">
            <w:pPr>
              <w:pStyle w:val="A-"/>
              <w:jc w:val="both"/>
            </w:pPr>
            <w:r>
              <w:t>（</w:t>
            </w:r>
            <w:r>
              <w:t>2</w:t>
            </w:r>
            <w:r>
              <w:t>）水泥熟料中可浸出重金属含量限值应满足《水泥窑协同处置固体废物技术规范》（</w:t>
            </w:r>
            <w:r>
              <w:rPr>
                <w:spacing w:val="-6"/>
              </w:rPr>
              <w:t>GB/T30760</w:t>
            </w:r>
            <w:r>
              <w:t>-2024</w:t>
            </w:r>
            <w:r>
              <w:t>）的相关要求。</w:t>
            </w:r>
          </w:p>
        </w:tc>
        <w:tc>
          <w:tcPr>
            <w:tcW w:w="326" w:type="pct"/>
            <w:vAlign w:val="center"/>
          </w:tcPr>
          <w:p w14:paraId="4794D51F" w14:textId="77777777" w:rsidR="002E474C" w:rsidRDefault="00000000">
            <w:pPr>
              <w:pStyle w:val="A-"/>
            </w:pPr>
            <w:r>
              <w:t>符合</w:t>
            </w:r>
          </w:p>
        </w:tc>
      </w:tr>
    </w:tbl>
    <w:p w14:paraId="08BE3E7E"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7FDAE078" w14:textId="77777777" w:rsidR="002E474C" w:rsidRDefault="00000000">
      <w:pPr>
        <w:pStyle w:val="41"/>
        <w:rPr>
          <w:color w:val="auto"/>
        </w:rPr>
      </w:pPr>
      <w:r>
        <w:rPr>
          <w:color w:val="auto"/>
        </w:rPr>
        <w:lastRenderedPageBreak/>
        <w:t>与《危险废物贮存污染控制标准》符合性分析</w:t>
      </w:r>
    </w:p>
    <w:p w14:paraId="41EA750A" w14:textId="77777777" w:rsidR="002E474C" w:rsidRDefault="00000000">
      <w:pPr>
        <w:pStyle w:val="A-z"/>
        <w:rPr>
          <w:color w:val="auto"/>
        </w:rPr>
      </w:pPr>
      <w:r>
        <w:rPr>
          <w:color w:val="auto"/>
        </w:rPr>
        <w:t>本项目与《危险废物贮存污染控制标准》（</w:t>
      </w:r>
      <w:r>
        <w:rPr>
          <w:color w:val="auto"/>
        </w:rPr>
        <w:t>GB 18597-2023</w:t>
      </w:r>
      <w:r>
        <w:rPr>
          <w:color w:val="auto"/>
        </w:rPr>
        <w:t>）符合性分析，见表</w:t>
      </w:r>
      <w:r>
        <w:rPr>
          <w:color w:val="auto"/>
        </w:rPr>
        <w:t>1.4-6</w:t>
      </w:r>
      <w:r>
        <w:rPr>
          <w:color w:val="auto"/>
        </w:rPr>
        <w:t>。</w:t>
      </w:r>
    </w:p>
    <w:p w14:paraId="35789BF4" w14:textId="77777777" w:rsidR="002E474C" w:rsidRDefault="00000000">
      <w:pPr>
        <w:pStyle w:val="A-z"/>
        <w:rPr>
          <w:color w:val="auto"/>
        </w:rPr>
      </w:pPr>
      <w:r>
        <w:rPr>
          <w:color w:val="auto"/>
        </w:rPr>
        <w:t>本项目在适用范围、总体要求、贮存设施选址要求、贮存设施污染控制要求、容器和包装物污染控制要求、贮存过程污染控制要求、污染物排放控制要求、环境监测要求、环境应急要求等方面均符合《危险废物贮存污染控制标准》（</w:t>
      </w:r>
      <w:r>
        <w:rPr>
          <w:color w:val="auto"/>
        </w:rPr>
        <w:t>GB 18597-2023</w:t>
      </w:r>
      <w:r>
        <w:rPr>
          <w:color w:val="auto"/>
        </w:rPr>
        <w:t>）相关要求。</w:t>
      </w:r>
    </w:p>
    <w:p w14:paraId="7E83091B" w14:textId="77777777" w:rsidR="002E474C" w:rsidRDefault="00000000">
      <w:pPr>
        <w:pStyle w:val="31"/>
        <w:spacing w:before="120" w:after="120"/>
        <w:ind w:left="0" w:firstLine="0"/>
        <w:rPr>
          <w:color w:val="auto"/>
        </w:rPr>
      </w:pPr>
      <w:r>
        <w:rPr>
          <w:color w:val="auto"/>
        </w:rPr>
        <w:t>相关技术规范符合性分析</w:t>
      </w:r>
    </w:p>
    <w:p w14:paraId="6FCAFE40" w14:textId="77777777" w:rsidR="002E474C" w:rsidRDefault="00000000">
      <w:pPr>
        <w:pStyle w:val="41"/>
        <w:rPr>
          <w:color w:val="auto"/>
          <w:lang w:val="en-US"/>
        </w:rPr>
      </w:pPr>
      <w:r>
        <w:rPr>
          <w:color w:val="auto"/>
          <w:lang w:val="en-US"/>
        </w:rPr>
        <w:t>与《水泥窑协同处置工业废物设计规范》相符性</w:t>
      </w:r>
    </w:p>
    <w:p w14:paraId="41EA48B0" w14:textId="77777777" w:rsidR="002E474C" w:rsidRDefault="00000000">
      <w:pPr>
        <w:pStyle w:val="A-z"/>
        <w:rPr>
          <w:color w:val="auto"/>
        </w:rPr>
      </w:pPr>
      <w:r>
        <w:rPr>
          <w:color w:val="auto"/>
        </w:rPr>
        <w:t>本项目与《水泥窑协同处置工业废物设计规范》（</w:t>
      </w:r>
      <w:r>
        <w:rPr>
          <w:color w:val="auto"/>
        </w:rPr>
        <w:t>GB50634-2010</w:t>
      </w:r>
      <w:r>
        <w:rPr>
          <w:color w:val="auto"/>
        </w:rPr>
        <w:t>）对比分析，见表</w:t>
      </w:r>
      <w:r>
        <w:rPr>
          <w:color w:val="auto"/>
        </w:rPr>
        <w:t>1.4-7</w:t>
      </w:r>
      <w:r>
        <w:rPr>
          <w:color w:val="auto"/>
        </w:rPr>
        <w:t>。</w:t>
      </w:r>
    </w:p>
    <w:p w14:paraId="1D0B684A" w14:textId="77777777" w:rsidR="002E474C" w:rsidRDefault="00000000">
      <w:pPr>
        <w:pStyle w:val="A-z"/>
        <w:rPr>
          <w:color w:val="auto"/>
        </w:rPr>
      </w:pPr>
      <w:r>
        <w:rPr>
          <w:color w:val="auto"/>
        </w:rPr>
        <w:t>本项目按照《水泥窑协同处置工业废物设计规范》（</w:t>
      </w:r>
      <w:r>
        <w:rPr>
          <w:color w:val="auto"/>
        </w:rPr>
        <w:t>GB50634-2010</w:t>
      </w:r>
      <w:r>
        <w:rPr>
          <w:color w:val="auto"/>
        </w:rPr>
        <w:t>）进行设计，在工业废物的处置规模、技术与装备要求、工业废物的主要类别及品质要求、总平面布置、工业废物的接收、运输与贮存、工业废物预处理系统及环境保护等方面符合《水泥窑协同处置工业废物设计规范》（</w:t>
      </w:r>
      <w:r>
        <w:rPr>
          <w:color w:val="auto"/>
        </w:rPr>
        <w:t>GB50634-2010</w:t>
      </w:r>
      <w:r>
        <w:rPr>
          <w:color w:val="auto"/>
        </w:rPr>
        <w:t>）要求。</w:t>
      </w:r>
    </w:p>
    <w:p w14:paraId="31DDB21C" w14:textId="77777777" w:rsidR="002E474C" w:rsidRDefault="00000000">
      <w:pPr>
        <w:pStyle w:val="41"/>
        <w:rPr>
          <w:color w:val="auto"/>
          <w:lang w:val="en-US"/>
        </w:rPr>
      </w:pPr>
      <w:r>
        <w:rPr>
          <w:color w:val="auto"/>
          <w:lang w:val="en-US"/>
        </w:rPr>
        <w:t>与</w:t>
      </w:r>
      <w:r>
        <w:rPr>
          <w:color w:val="auto"/>
        </w:rPr>
        <w:t>《水泥窑协同处置固体废物环境保护技术规范》</w:t>
      </w:r>
      <w:r>
        <w:rPr>
          <w:color w:val="auto"/>
          <w:lang w:val="en-US"/>
        </w:rPr>
        <w:t>符合性</w:t>
      </w:r>
    </w:p>
    <w:p w14:paraId="6D906D20" w14:textId="77777777" w:rsidR="002E474C" w:rsidRDefault="00000000">
      <w:pPr>
        <w:pStyle w:val="A-z"/>
        <w:rPr>
          <w:color w:val="auto"/>
        </w:rPr>
      </w:pPr>
      <w:r>
        <w:rPr>
          <w:color w:val="auto"/>
        </w:rPr>
        <w:t>本项目符合</w:t>
      </w:r>
      <w:bookmarkStart w:id="26" w:name="OLE_LINK19"/>
      <w:r>
        <w:rPr>
          <w:color w:val="auto"/>
        </w:rPr>
        <w:t>《水泥窑协同处置固体废物环境保护技术规范》（</w:t>
      </w:r>
      <w:r>
        <w:rPr>
          <w:color w:val="auto"/>
        </w:rPr>
        <w:t>HJ662-2013</w:t>
      </w:r>
      <w:r>
        <w:rPr>
          <w:color w:val="auto"/>
        </w:rPr>
        <w:t>）</w:t>
      </w:r>
      <w:bookmarkEnd w:id="26"/>
      <w:r>
        <w:rPr>
          <w:color w:val="auto"/>
        </w:rPr>
        <w:t>，具体分析见表</w:t>
      </w:r>
      <w:r>
        <w:rPr>
          <w:color w:val="auto"/>
        </w:rPr>
        <w:t>1.4-8</w:t>
      </w:r>
      <w:r>
        <w:rPr>
          <w:color w:val="auto"/>
        </w:rPr>
        <w:t>。</w:t>
      </w:r>
    </w:p>
    <w:p w14:paraId="17D489E4" w14:textId="77777777" w:rsidR="002E474C" w:rsidRDefault="00000000">
      <w:pPr>
        <w:pStyle w:val="A-z"/>
        <w:rPr>
          <w:color w:val="auto"/>
        </w:rPr>
      </w:pPr>
      <w:r>
        <w:rPr>
          <w:color w:val="auto"/>
        </w:rPr>
        <w:t>本项目在协同处置设施技术要求、固体废物特性要求、协同处置运行操作技术要求、协同处置污染物排放控制要求、协同处置危险废物设施性能测试（试烧）要求及特殊废物协同处置技术要求等方面符合《水泥窑协同处置固体废物环境保护技术规范》（</w:t>
      </w:r>
      <w:r>
        <w:rPr>
          <w:color w:val="auto"/>
        </w:rPr>
        <w:t>HJ662-2013</w:t>
      </w:r>
      <w:r>
        <w:rPr>
          <w:color w:val="auto"/>
        </w:rPr>
        <w:t>）要求。</w:t>
      </w:r>
    </w:p>
    <w:p w14:paraId="414C6B2E" w14:textId="77777777" w:rsidR="002E474C" w:rsidRDefault="00000000">
      <w:pPr>
        <w:pStyle w:val="41"/>
        <w:rPr>
          <w:color w:val="auto"/>
          <w:lang w:val="en-US"/>
        </w:rPr>
      </w:pPr>
      <w:r>
        <w:rPr>
          <w:color w:val="auto"/>
          <w:lang w:val="en-US"/>
        </w:rPr>
        <w:t>与</w:t>
      </w:r>
      <w:r>
        <w:rPr>
          <w:color w:val="auto"/>
        </w:rPr>
        <w:t>《水泥窑协同处置固体废物技术规范》</w:t>
      </w:r>
      <w:r>
        <w:rPr>
          <w:color w:val="auto"/>
          <w:lang w:val="en-US"/>
        </w:rPr>
        <w:t>符合性</w:t>
      </w:r>
    </w:p>
    <w:p w14:paraId="6059E56D" w14:textId="6DD4C2AE" w:rsidR="002E474C" w:rsidRDefault="00000000">
      <w:pPr>
        <w:pStyle w:val="A-z"/>
        <w:rPr>
          <w:color w:val="auto"/>
        </w:rPr>
      </w:pPr>
      <w:r>
        <w:rPr>
          <w:color w:val="auto"/>
        </w:rPr>
        <w:t>本项目符合《水泥窑协同处置固体废物技术规范》（</w:t>
      </w:r>
      <w:r>
        <w:rPr>
          <w:color w:val="auto"/>
        </w:rPr>
        <w:t>GB/T30760-2024</w:t>
      </w:r>
      <w:r>
        <w:rPr>
          <w:color w:val="auto"/>
        </w:rPr>
        <w:t>）相关要求，具体分析见表</w:t>
      </w:r>
      <w:r>
        <w:rPr>
          <w:color w:val="auto"/>
        </w:rPr>
        <w:t>1.4-9</w:t>
      </w:r>
      <w:r>
        <w:rPr>
          <w:color w:val="auto"/>
        </w:rPr>
        <w:t>。</w:t>
      </w:r>
    </w:p>
    <w:p w14:paraId="2A18E5F3" w14:textId="77777777" w:rsidR="002E474C" w:rsidRDefault="002E474C">
      <w:pPr>
        <w:pStyle w:val="A-z"/>
        <w:rPr>
          <w:color w:val="auto"/>
        </w:rPr>
        <w:sectPr w:rsidR="002E474C">
          <w:pgSz w:w="11906" w:h="16838"/>
          <w:pgMar w:top="1800" w:right="1440" w:bottom="1800" w:left="1440" w:header="851" w:footer="992" w:gutter="0"/>
          <w:cols w:space="720"/>
          <w:docGrid w:linePitch="312"/>
        </w:sectPr>
      </w:pPr>
    </w:p>
    <w:p w14:paraId="05701F86" w14:textId="77777777" w:rsidR="002E474C" w:rsidRDefault="00000000">
      <w:pPr>
        <w:pStyle w:val="A--"/>
        <w:rPr>
          <w:color w:val="auto"/>
        </w:rPr>
      </w:pPr>
      <w:r>
        <w:rPr>
          <w:color w:val="auto"/>
        </w:rPr>
        <w:lastRenderedPageBreak/>
        <w:t>表</w:t>
      </w:r>
      <w:r>
        <w:rPr>
          <w:color w:val="auto"/>
        </w:rPr>
        <w:t xml:space="preserve">1.4-6  </w:t>
      </w:r>
      <w:r>
        <w:rPr>
          <w:color w:val="auto"/>
        </w:rPr>
        <w:t>与《危险废物贮存污染控制标准》（</w:t>
      </w:r>
      <w:r>
        <w:rPr>
          <w:color w:val="auto"/>
        </w:rPr>
        <w:t>GB 18597-2023</w:t>
      </w:r>
      <w:r>
        <w:rPr>
          <w:color w:val="auto"/>
        </w:rPr>
        <w:t>）符合性分析</w:t>
      </w:r>
    </w:p>
    <w:tbl>
      <w:tblPr>
        <w:tblStyle w:val="affff9"/>
        <w:tblW w:w="5000" w:type="pct"/>
        <w:tblLook w:val="04A0" w:firstRow="1" w:lastRow="0" w:firstColumn="1" w:lastColumn="0" w:noHBand="0" w:noVBand="1"/>
      </w:tblPr>
      <w:tblGrid>
        <w:gridCol w:w="1221"/>
        <w:gridCol w:w="6570"/>
        <w:gridCol w:w="5250"/>
        <w:gridCol w:w="907"/>
      </w:tblGrid>
      <w:tr w:rsidR="002E474C" w14:paraId="2DA141FC" w14:textId="77777777">
        <w:tc>
          <w:tcPr>
            <w:tcW w:w="2793" w:type="pct"/>
            <w:gridSpan w:val="2"/>
          </w:tcPr>
          <w:p w14:paraId="3976108D" w14:textId="77777777" w:rsidR="002E474C" w:rsidRDefault="00000000">
            <w:pPr>
              <w:pStyle w:val="A-"/>
            </w:pPr>
            <w:r>
              <w:t>相关内容</w:t>
            </w:r>
          </w:p>
        </w:tc>
        <w:tc>
          <w:tcPr>
            <w:tcW w:w="1882" w:type="pct"/>
          </w:tcPr>
          <w:p w14:paraId="0165C5E5" w14:textId="77777777" w:rsidR="002E474C" w:rsidRDefault="00000000">
            <w:pPr>
              <w:pStyle w:val="A-"/>
            </w:pPr>
            <w:r>
              <w:t>本项目情况</w:t>
            </w:r>
          </w:p>
        </w:tc>
        <w:tc>
          <w:tcPr>
            <w:tcW w:w="325" w:type="pct"/>
          </w:tcPr>
          <w:p w14:paraId="38659F69" w14:textId="77777777" w:rsidR="002E474C" w:rsidRDefault="00000000">
            <w:pPr>
              <w:pStyle w:val="A-"/>
            </w:pPr>
            <w:r>
              <w:t>符合性</w:t>
            </w:r>
          </w:p>
        </w:tc>
      </w:tr>
      <w:tr w:rsidR="002E474C" w14:paraId="33DAE17B" w14:textId="77777777">
        <w:tc>
          <w:tcPr>
            <w:tcW w:w="438" w:type="pct"/>
            <w:vAlign w:val="center"/>
          </w:tcPr>
          <w:p w14:paraId="1E6D2063" w14:textId="77777777" w:rsidR="002E474C" w:rsidRDefault="00000000">
            <w:pPr>
              <w:pStyle w:val="A-"/>
            </w:pPr>
            <w:r>
              <w:t>1</w:t>
            </w:r>
            <w:r>
              <w:t>适用范围</w:t>
            </w:r>
          </w:p>
        </w:tc>
        <w:tc>
          <w:tcPr>
            <w:tcW w:w="2355" w:type="pct"/>
          </w:tcPr>
          <w:p w14:paraId="5B804683" w14:textId="77777777" w:rsidR="002E474C" w:rsidRDefault="00000000">
            <w:pPr>
              <w:pStyle w:val="A-"/>
              <w:jc w:val="both"/>
            </w:pPr>
            <w:r>
              <w:t>本标准适用于产生、收集、贮存、利用、处置危险废物的单位新建、改建、扩建的危险废物贮存设施选址、建设和运行的污染控制和环境管理，也适用于现有危险废物贮存设施运行过程的污染控制和环境管理。</w:t>
            </w:r>
          </w:p>
        </w:tc>
        <w:tc>
          <w:tcPr>
            <w:tcW w:w="1882" w:type="pct"/>
            <w:shd w:val="clear" w:color="auto" w:fill="auto"/>
          </w:tcPr>
          <w:p w14:paraId="631DF38B" w14:textId="77777777" w:rsidR="002E474C" w:rsidRDefault="00000000">
            <w:pPr>
              <w:pStyle w:val="A-"/>
              <w:jc w:val="both"/>
            </w:pPr>
            <w:r>
              <w:t>本项目利用水泥窑协同处置危险废物，厂内包括危险废物贮存及处置。本项目危废贮存设施选址、建设和运行的污染控制和环境管理适用于本标准。</w:t>
            </w:r>
          </w:p>
        </w:tc>
        <w:tc>
          <w:tcPr>
            <w:tcW w:w="325" w:type="pct"/>
            <w:vAlign w:val="center"/>
          </w:tcPr>
          <w:p w14:paraId="0F15012D" w14:textId="77777777" w:rsidR="002E474C" w:rsidRDefault="00000000">
            <w:pPr>
              <w:pStyle w:val="A-"/>
            </w:pPr>
            <w:r>
              <w:t>符合</w:t>
            </w:r>
          </w:p>
        </w:tc>
      </w:tr>
      <w:tr w:rsidR="002E474C" w14:paraId="4C54E977" w14:textId="77777777">
        <w:tc>
          <w:tcPr>
            <w:tcW w:w="438" w:type="pct"/>
            <w:vAlign w:val="center"/>
          </w:tcPr>
          <w:p w14:paraId="6F09061F" w14:textId="77777777" w:rsidR="002E474C" w:rsidRDefault="00000000">
            <w:pPr>
              <w:pStyle w:val="A-"/>
            </w:pPr>
            <w:r>
              <w:t>4</w:t>
            </w:r>
            <w:r>
              <w:t>总体要求</w:t>
            </w:r>
          </w:p>
        </w:tc>
        <w:tc>
          <w:tcPr>
            <w:tcW w:w="2355" w:type="pct"/>
          </w:tcPr>
          <w:p w14:paraId="483CB651" w14:textId="77777777" w:rsidR="002E474C" w:rsidRDefault="00000000">
            <w:pPr>
              <w:pStyle w:val="A-"/>
              <w:jc w:val="both"/>
            </w:pPr>
            <w:r>
              <w:t xml:space="preserve">4.1 </w:t>
            </w:r>
            <w:r>
              <w:t>产生、收集、贮存、利用、处置危险废物的单位应建造危险废物贮存设施或设置贮存场所，并根据需要选择贮存设施类型。</w:t>
            </w:r>
          </w:p>
          <w:p w14:paraId="5C2B205C" w14:textId="77777777" w:rsidR="002E474C" w:rsidRDefault="00000000">
            <w:pPr>
              <w:pStyle w:val="A-"/>
              <w:jc w:val="both"/>
            </w:pPr>
            <w:r>
              <w:t xml:space="preserve">4.2 </w:t>
            </w:r>
            <w:r>
              <w:t>贮存危险废物应根据危险废物的类别、数量、形态、物理化学性质和环境风险等因素，确定贮存设施或场所类型和规模。</w:t>
            </w:r>
          </w:p>
          <w:p w14:paraId="7D854894" w14:textId="77777777" w:rsidR="002E474C" w:rsidRDefault="00000000">
            <w:pPr>
              <w:pStyle w:val="A-"/>
              <w:jc w:val="both"/>
              <w:rPr>
                <w:spacing w:val="-6"/>
              </w:rPr>
            </w:pPr>
            <w:r>
              <w:rPr>
                <w:spacing w:val="-6"/>
              </w:rPr>
              <w:t xml:space="preserve">4.3 </w:t>
            </w:r>
            <w:r>
              <w:rPr>
                <w:spacing w:val="-6"/>
              </w:rPr>
              <w:t>贮存危险废物应根据危险废物的类别、形态、物理化学性质和污染防治要求进行分类贮存，且应避免危险废物与不相容的物质或材料接触。</w:t>
            </w:r>
          </w:p>
          <w:p w14:paraId="7D3E49D3" w14:textId="77777777" w:rsidR="002E474C" w:rsidRDefault="00000000">
            <w:pPr>
              <w:pStyle w:val="A-"/>
              <w:jc w:val="both"/>
            </w:pPr>
            <w:r>
              <w:t xml:space="preserve">4.4 </w:t>
            </w:r>
            <w:r>
              <w:t>贮存危险废物应根据危险废物的形态、物理化学性质、包装形式和污染物迁移途径，采取措施减少渗滤液及其衍生废物、渗漏的液态废物（简称渗漏液）、粉尘、</w:t>
            </w:r>
            <w:r>
              <w:t>VOCs</w:t>
            </w:r>
            <w:r>
              <w:t>、酸雾、有毒有害大气污染物和刺激性气味气体等污染物的产生，防止其污染环境。</w:t>
            </w:r>
          </w:p>
          <w:p w14:paraId="59A331CA" w14:textId="77777777" w:rsidR="002E474C" w:rsidRDefault="00000000">
            <w:pPr>
              <w:pStyle w:val="A-"/>
              <w:jc w:val="both"/>
            </w:pPr>
            <w:r>
              <w:t xml:space="preserve">4.5 </w:t>
            </w:r>
            <w:r>
              <w:t>危险废物贮存过程产生的液态废物和固态废物应分类收集，按其环境管理要求妥善处理。</w:t>
            </w:r>
          </w:p>
          <w:p w14:paraId="64BA0240" w14:textId="77777777" w:rsidR="002E474C" w:rsidRDefault="00000000">
            <w:pPr>
              <w:pStyle w:val="A-"/>
              <w:ind w:leftChars="-25" w:left="-53" w:rightChars="-25" w:right="-53"/>
              <w:jc w:val="both"/>
              <w:rPr>
                <w:spacing w:val="-6"/>
              </w:rPr>
            </w:pPr>
            <w:r>
              <w:rPr>
                <w:spacing w:val="-6"/>
              </w:rPr>
              <w:t xml:space="preserve">4.6 </w:t>
            </w:r>
            <w:r>
              <w:rPr>
                <w:spacing w:val="-6"/>
              </w:rPr>
              <w:t>贮存设施或场所、容器和包装物应按</w:t>
            </w:r>
            <w:r>
              <w:rPr>
                <w:spacing w:val="-6"/>
              </w:rPr>
              <w:t xml:space="preserve">HJ 1276 </w:t>
            </w:r>
            <w:r>
              <w:rPr>
                <w:spacing w:val="-6"/>
              </w:rPr>
              <w:t>要求设置危险废物贮存设施或场所标志、危险废物贮存分区标志和危险废物标签等危险废物识别标志。</w:t>
            </w:r>
          </w:p>
          <w:p w14:paraId="4EF5325B" w14:textId="77777777" w:rsidR="002E474C" w:rsidRDefault="00000000">
            <w:pPr>
              <w:pStyle w:val="A-"/>
              <w:jc w:val="both"/>
            </w:pPr>
            <w:r>
              <w:t xml:space="preserve">4.7 HJ 1259 </w:t>
            </w:r>
            <w: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t>3</w:t>
            </w:r>
            <w:r>
              <w:t>个月。</w:t>
            </w:r>
          </w:p>
          <w:p w14:paraId="2F99B67C" w14:textId="77777777" w:rsidR="002E474C" w:rsidRDefault="00000000">
            <w:pPr>
              <w:pStyle w:val="A-"/>
              <w:ind w:leftChars="-25" w:left="-53" w:rightChars="-25" w:right="-53"/>
              <w:jc w:val="both"/>
              <w:rPr>
                <w:spacing w:val="-6"/>
              </w:rPr>
            </w:pPr>
            <w:r>
              <w:rPr>
                <w:spacing w:val="-6"/>
              </w:rPr>
              <w:t xml:space="preserve">4.8 </w:t>
            </w:r>
            <w:r>
              <w:rPr>
                <w:spacing w:val="-6"/>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36FA7C54" w14:textId="77777777" w:rsidR="002E474C" w:rsidRDefault="00000000">
            <w:pPr>
              <w:pStyle w:val="A-"/>
              <w:jc w:val="both"/>
            </w:pPr>
            <w:r>
              <w:t xml:space="preserve">4.9 </w:t>
            </w:r>
            <w:r>
              <w:t>在常温常压下易爆、易燃及排出有毒气体的危险废物应进行预处理，使之稳定后贮存，否则应按易爆、易燃危险品贮存。</w:t>
            </w:r>
          </w:p>
          <w:p w14:paraId="42806EB8" w14:textId="77777777" w:rsidR="002E474C" w:rsidRDefault="00000000">
            <w:pPr>
              <w:pStyle w:val="A-"/>
              <w:jc w:val="both"/>
            </w:pPr>
            <w:r>
              <w:lastRenderedPageBreak/>
              <w:t xml:space="preserve">4.10 </w:t>
            </w:r>
            <w:r>
              <w:t>危险废物贮存除应满足环境保护相关要求外，还应执行国家安全生产、职业健康、交通运输、消防等法律法规和标准的相关要求。</w:t>
            </w:r>
          </w:p>
        </w:tc>
        <w:tc>
          <w:tcPr>
            <w:tcW w:w="1882" w:type="pct"/>
            <w:shd w:val="clear" w:color="auto" w:fill="auto"/>
          </w:tcPr>
          <w:p w14:paraId="54245844" w14:textId="77777777" w:rsidR="002E474C" w:rsidRDefault="00000000">
            <w:pPr>
              <w:pStyle w:val="A-"/>
              <w:jc w:val="both"/>
            </w:pPr>
            <w:r>
              <w:lastRenderedPageBreak/>
              <w:t>（</w:t>
            </w:r>
            <w:r>
              <w:t>1</w:t>
            </w:r>
            <w:r>
              <w:t>）本项目采取危废贮存库、固态危废预处理车间贮存区及清洗间贮存固态危废与液态危废。</w:t>
            </w:r>
          </w:p>
          <w:p w14:paraId="115B173A" w14:textId="77777777" w:rsidR="002E474C" w:rsidRDefault="00000000">
            <w:pPr>
              <w:pStyle w:val="A-"/>
              <w:jc w:val="both"/>
              <w:rPr>
                <w:spacing w:val="-6"/>
              </w:rPr>
            </w:pPr>
            <w:r>
              <w:rPr>
                <w:spacing w:val="-6"/>
              </w:rPr>
              <w:t>（</w:t>
            </w:r>
            <w:r>
              <w:rPr>
                <w:spacing w:val="-6"/>
              </w:rPr>
              <w:t>2</w:t>
            </w:r>
            <w:r>
              <w:rPr>
                <w:spacing w:val="-6"/>
              </w:rPr>
              <w:t>）根据各类危废的类别、数量、形态、物理化学性质和环境风险等因素设计危废贮存库及固态危废预处理车间的规模。</w:t>
            </w:r>
          </w:p>
          <w:p w14:paraId="6E96BC79" w14:textId="77777777" w:rsidR="002E474C" w:rsidRDefault="00000000">
            <w:pPr>
              <w:pStyle w:val="A-"/>
              <w:ind w:leftChars="-25" w:left="-53" w:rightChars="-25" w:right="-53"/>
              <w:jc w:val="both"/>
              <w:rPr>
                <w:spacing w:val="-6"/>
              </w:rPr>
            </w:pPr>
            <w:r>
              <w:rPr>
                <w:spacing w:val="-6"/>
              </w:rPr>
              <w:t>（</w:t>
            </w:r>
            <w:r>
              <w:rPr>
                <w:spacing w:val="-6"/>
              </w:rPr>
              <w:t>3</w:t>
            </w:r>
            <w:r>
              <w:rPr>
                <w:spacing w:val="-6"/>
              </w:rPr>
              <w:t>）危废贮存设施进行分类分区贮存预处理后的固态与液态危废，分区贮存避免危险废物与不相容的物质或材料接触。</w:t>
            </w:r>
          </w:p>
          <w:p w14:paraId="27C954D6" w14:textId="77777777" w:rsidR="002E474C" w:rsidRDefault="00000000">
            <w:pPr>
              <w:pStyle w:val="A-"/>
              <w:jc w:val="both"/>
            </w:pPr>
            <w:r>
              <w:t>（</w:t>
            </w:r>
            <w:r>
              <w:t>4</w:t>
            </w:r>
            <w:r>
              <w:t>）危废贮存设施采取防渗措施、设置集液池，避免废液或渗滤液污染环境；危废贮存库及固态危废预处理车间设置负压系统。</w:t>
            </w:r>
          </w:p>
          <w:p w14:paraId="71C8585A" w14:textId="77777777" w:rsidR="002E474C" w:rsidRDefault="00000000">
            <w:pPr>
              <w:pStyle w:val="A-"/>
              <w:jc w:val="both"/>
            </w:pPr>
            <w:r>
              <w:t>（</w:t>
            </w:r>
            <w:r>
              <w:t>5</w:t>
            </w:r>
            <w:r>
              <w:t>）危废贮存库及固态危废预处理车间进行分类贮存液态废物和固态废物，贮存过程中产生的固废返回固态危废预处理车间处置，废水废液送水泥窑焚烧。</w:t>
            </w:r>
          </w:p>
          <w:p w14:paraId="2DF260E5" w14:textId="77777777" w:rsidR="002E474C" w:rsidRDefault="00000000">
            <w:pPr>
              <w:pStyle w:val="A-"/>
              <w:jc w:val="both"/>
            </w:pPr>
            <w:r>
              <w:t>（</w:t>
            </w:r>
            <w:r>
              <w:t>6</w:t>
            </w:r>
            <w:r>
              <w:t>）危废贮存库及固态危废预处理车间按照《危险废物识别标志设置技术规范》（</w:t>
            </w:r>
            <w:r>
              <w:t>HJ 1276-2022</w:t>
            </w:r>
            <w:r>
              <w:t>）要求设置危废贮存库标志、危险废物贮存分区标志和危险废物标签等危险废物识别标志。</w:t>
            </w:r>
          </w:p>
          <w:p w14:paraId="467BEFC2" w14:textId="77777777" w:rsidR="002E474C" w:rsidRDefault="00000000">
            <w:pPr>
              <w:pStyle w:val="A-"/>
              <w:jc w:val="both"/>
            </w:pPr>
            <w:r>
              <w:t>（</w:t>
            </w:r>
            <w:r>
              <w:t>7</w:t>
            </w:r>
            <w:r>
              <w:t>）危废贮存库及固态危废预处理车间按照《危险废物管理计划和管理台账制定技术导则》（</w:t>
            </w:r>
            <w:r>
              <w:t>HJ 1259-2022</w:t>
            </w:r>
            <w:r>
              <w:t>）要求，采用电子地磅、电子标签、电子管理台账等技术手段对危险废物贮存过程进行信息化管理，确保数据完整、真实、准确；采用视频监控的应确保监控画面清晰，视频记录保存时间至少为</w:t>
            </w:r>
            <w:r>
              <w:t>3</w:t>
            </w:r>
            <w:r>
              <w:t>个月。</w:t>
            </w:r>
          </w:p>
          <w:p w14:paraId="1BA9B2A8" w14:textId="77777777" w:rsidR="002E474C" w:rsidRDefault="00000000">
            <w:pPr>
              <w:pStyle w:val="A-"/>
              <w:jc w:val="both"/>
            </w:pPr>
            <w:r>
              <w:lastRenderedPageBreak/>
              <w:t>（</w:t>
            </w:r>
            <w:r>
              <w:t>8</w:t>
            </w:r>
            <w:r>
              <w:t>）危废贮存库及固态危废预处理车间退役时，将妥善处理处置贮存设施内剩余的危险废物，并对贮存设施进行清理与消除污染；还应依据土壤污染防治相关法律法规履行场地环境风险防控责任。</w:t>
            </w:r>
          </w:p>
          <w:p w14:paraId="58378DF4" w14:textId="77777777" w:rsidR="002E474C" w:rsidRDefault="00000000">
            <w:pPr>
              <w:pStyle w:val="A-"/>
              <w:jc w:val="both"/>
            </w:pPr>
            <w:r>
              <w:t>（</w:t>
            </w:r>
            <w:r>
              <w:t>9</w:t>
            </w:r>
            <w:r>
              <w:t>）本项目危废贮存库及固态危废预处理车间主要接收预处理产物，并进行分类、分区贮存。</w:t>
            </w:r>
          </w:p>
          <w:p w14:paraId="664DA8F3" w14:textId="77777777" w:rsidR="002E474C" w:rsidRDefault="00000000">
            <w:pPr>
              <w:pStyle w:val="A-"/>
              <w:jc w:val="both"/>
            </w:pPr>
            <w:r>
              <w:t>（</w:t>
            </w:r>
            <w:r>
              <w:t>10</w:t>
            </w:r>
            <w:r>
              <w:t>）本项目危废贮存库及固态危废预处理车间设计、建设与运行过程中，除应满足环境保护相关要求外，还应执行国家安全生产、职业健康、交通运输、消防等法律法规和标准的相关要求。</w:t>
            </w:r>
          </w:p>
        </w:tc>
        <w:tc>
          <w:tcPr>
            <w:tcW w:w="325" w:type="pct"/>
            <w:vAlign w:val="center"/>
          </w:tcPr>
          <w:p w14:paraId="4C574DEA" w14:textId="77777777" w:rsidR="002E474C" w:rsidRDefault="00000000">
            <w:pPr>
              <w:pStyle w:val="A-"/>
            </w:pPr>
            <w:r>
              <w:lastRenderedPageBreak/>
              <w:t>符合</w:t>
            </w:r>
          </w:p>
        </w:tc>
      </w:tr>
      <w:tr w:rsidR="002E474C" w14:paraId="578CF652" w14:textId="77777777">
        <w:tc>
          <w:tcPr>
            <w:tcW w:w="438" w:type="pct"/>
            <w:vAlign w:val="center"/>
          </w:tcPr>
          <w:p w14:paraId="708D63CD" w14:textId="77777777" w:rsidR="002E474C" w:rsidRDefault="00000000">
            <w:pPr>
              <w:pStyle w:val="A-"/>
            </w:pPr>
            <w:r>
              <w:t>5</w:t>
            </w:r>
            <w:r>
              <w:t>贮存设施选址要求</w:t>
            </w:r>
          </w:p>
        </w:tc>
        <w:tc>
          <w:tcPr>
            <w:tcW w:w="2355" w:type="pct"/>
          </w:tcPr>
          <w:p w14:paraId="7B3AAD0D" w14:textId="77777777" w:rsidR="002E474C" w:rsidRDefault="00000000">
            <w:pPr>
              <w:pStyle w:val="A-"/>
              <w:jc w:val="both"/>
            </w:pPr>
            <w:r>
              <w:t xml:space="preserve">5.1 </w:t>
            </w:r>
            <w:r>
              <w:t>贮存设施选址应满足生态环境保护法律法规、规划和</w:t>
            </w:r>
            <w:r>
              <w:t>“</w:t>
            </w:r>
            <w:r>
              <w:t>三线一单</w:t>
            </w:r>
            <w:r>
              <w:t>”</w:t>
            </w:r>
            <w:r>
              <w:t>生态环境分区管控的要求，建设项目应依法进行环境影响评价。</w:t>
            </w:r>
          </w:p>
          <w:p w14:paraId="150DB60D" w14:textId="77777777" w:rsidR="002E474C" w:rsidRDefault="00000000">
            <w:pPr>
              <w:pStyle w:val="A-"/>
              <w:jc w:val="both"/>
            </w:pPr>
            <w:r>
              <w:t xml:space="preserve">5.2 </w:t>
            </w:r>
            <w:r>
              <w:t>集中贮存设施不应选在生态保护红线区域、永久基本农田和其他需要特别保护的区域内，不应建在溶洞区或易遭受洪水、滑坡、泥石流、潮汐等严重自然灾害影响的地区。</w:t>
            </w:r>
          </w:p>
          <w:p w14:paraId="4A0DBA9B" w14:textId="77777777" w:rsidR="002E474C" w:rsidRDefault="00000000">
            <w:pPr>
              <w:pStyle w:val="A-"/>
              <w:jc w:val="both"/>
            </w:pPr>
            <w:r>
              <w:t xml:space="preserve">5.3 </w:t>
            </w:r>
            <w:r>
              <w:t>贮存设施不应选在江河、湖泊、运河、渠道、水库及其最高水位线以下的滩地和岸坡，以及法律法规规定禁止贮存危险废物的其他地点。</w:t>
            </w:r>
          </w:p>
          <w:p w14:paraId="0BBCBAC2" w14:textId="77777777" w:rsidR="002E474C" w:rsidRDefault="00000000">
            <w:pPr>
              <w:pStyle w:val="A-"/>
              <w:jc w:val="both"/>
            </w:pPr>
            <w:r>
              <w:t xml:space="preserve">5.4 </w:t>
            </w:r>
            <w:r>
              <w:t>贮存设施场址的位置以及其与周围环境敏感目标的距离应依据环境影响评价文件确定。</w:t>
            </w:r>
          </w:p>
        </w:tc>
        <w:tc>
          <w:tcPr>
            <w:tcW w:w="1882" w:type="pct"/>
          </w:tcPr>
          <w:p w14:paraId="62554DE9" w14:textId="77777777" w:rsidR="002E474C" w:rsidRDefault="00000000">
            <w:pPr>
              <w:pStyle w:val="A-"/>
              <w:jc w:val="both"/>
            </w:pPr>
            <w:r>
              <w:t>（</w:t>
            </w:r>
            <w:r>
              <w:t>1</w:t>
            </w:r>
            <w:r>
              <w:t>）本项目满足《新疆维吾尔自治区生态环境分区管控动态更新成果》</w:t>
            </w:r>
            <w:bookmarkStart w:id="27" w:name="OLE_LINK43"/>
            <w:r>
              <w:t>《吐鲁番市生态环境分区管控成果动态更新</w:t>
            </w:r>
            <w:bookmarkEnd w:id="27"/>
            <w:r>
              <w:t>情况说明》。</w:t>
            </w:r>
          </w:p>
          <w:p w14:paraId="7D9ACEA4" w14:textId="77777777" w:rsidR="002E474C" w:rsidRDefault="00000000">
            <w:pPr>
              <w:pStyle w:val="A-"/>
              <w:jc w:val="both"/>
            </w:pPr>
            <w:r>
              <w:t>（</w:t>
            </w:r>
            <w:r>
              <w:t>2</w:t>
            </w:r>
            <w:r>
              <w:t>）项目位于托克逊能源重化工工业园区同心工业园，项目所在地位于城镇开发边界内。</w:t>
            </w:r>
          </w:p>
          <w:p w14:paraId="36F6521B" w14:textId="75350C0A" w:rsidR="002E474C" w:rsidRDefault="00000000">
            <w:pPr>
              <w:pStyle w:val="A-"/>
              <w:jc w:val="both"/>
            </w:pPr>
            <w:r>
              <w:t>（</w:t>
            </w:r>
            <w:r>
              <w:t>3</w:t>
            </w:r>
            <w:r>
              <w:t>）本项目</w:t>
            </w:r>
            <w:r w:rsidR="009A3284">
              <w:rPr>
                <w:rFonts w:hint="eastAsia"/>
              </w:rPr>
              <w:t>危废贮存库</w:t>
            </w:r>
            <w:r>
              <w:t>南侧约</w:t>
            </w:r>
            <w:r>
              <w:t>2</w:t>
            </w:r>
            <w:r w:rsidR="00D23032">
              <w:rPr>
                <w:rFonts w:hint="eastAsia"/>
              </w:rPr>
              <w:t>0</w:t>
            </w:r>
            <w:r>
              <w:t>0m</w:t>
            </w:r>
            <w:r>
              <w:t>，同时位于水泥厂厂界</w:t>
            </w:r>
            <w:r>
              <w:t>20m</w:t>
            </w:r>
            <w:r>
              <w:t>的阿拉沟干渠，干渠高程低于本项目。</w:t>
            </w:r>
          </w:p>
          <w:p w14:paraId="22B89846" w14:textId="77777777" w:rsidR="002E474C" w:rsidRDefault="00000000">
            <w:pPr>
              <w:pStyle w:val="A-"/>
              <w:jc w:val="both"/>
            </w:pPr>
            <w:r>
              <w:t>（</w:t>
            </w:r>
            <w:r>
              <w:t>4</w:t>
            </w:r>
            <w:r>
              <w:t>）距离本项目最近的生活区是中泰电石公司员工公寓，位于本项目西侧</w:t>
            </w:r>
            <w:r>
              <w:t>1.8km</w:t>
            </w:r>
            <w:r>
              <w:t>。</w:t>
            </w:r>
          </w:p>
        </w:tc>
        <w:tc>
          <w:tcPr>
            <w:tcW w:w="325" w:type="pct"/>
            <w:vAlign w:val="center"/>
          </w:tcPr>
          <w:p w14:paraId="1EB66D54" w14:textId="77777777" w:rsidR="002E474C" w:rsidRDefault="00000000">
            <w:pPr>
              <w:pStyle w:val="A-"/>
            </w:pPr>
            <w:r>
              <w:t>符合</w:t>
            </w:r>
          </w:p>
        </w:tc>
      </w:tr>
      <w:tr w:rsidR="002E474C" w14:paraId="608D9C0E" w14:textId="77777777">
        <w:tc>
          <w:tcPr>
            <w:tcW w:w="438" w:type="pct"/>
            <w:vMerge w:val="restart"/>
            <w:vAlign w:val="center"/>
          </w:tcPr>
          <w:p w14:paraId="55D29A94" w14:textId="77777777" w:rsidR="002E474C" w:rsidRDefault="00000000">
            <w:pPr>
              <w:pStyle w:val="A-"/>
            </w:pPr>
            <w:r>
              <w:t>6</w:t>
            </w:r>
            <w:r>
              <w:t>贮存设施污染控制要求</w:t>
            </w:r>
          </w:p>
        </w:tc>
        <w:tc>
          <w:tcPr>
            <w:tcW w:w="2355" w:type="pct"/>
          </w:tcPr>
          <w:p w14:paraId="0B810419" w14:textId="77777777" w:rsidR="002E474C" w:rsidRDefault="00000000">
            <w:pPr>
              <w:pStyle w:val="A-"/>
              <w:jc w:val="both"/>
            </w:pPr>
            <w:r>
              <w:t xml:space="preserve">6.1 </w:t>
            </w:r>
            <w:r>
              <w:t>一般规定</w:t>
            </w:r>
          </w:p>
          <w:p w14:paraId="6F86EEDF" w14:textId="77777777" w:rsidR="002E474C" w:rsidRDefault="00000000">
            <w:pPr>
              <w:pStyle w:val="A-"/>
              <w:jc w:val="both"/>
            </w:pPr>
            <w:r>
              <w:t xml:space="preserve">6.1.1 </w:t>
            </w:r>
            <w:r>
              <w:t>贮存设施应根据危险废物的形态、物理化学性质、包装形式和污染物迁移途径，采取必要的防风、防晒、防雨、防漏、防渗、防腐以及其他环境污染防治措施，不应露天堆放危险废物。</w:t>
            </w:r>
          </w:p>
          <w:p w14:paraId="2686DF45" w14:textId="77777777" w:rsidR="002E474C" w:rsidRDefault="00000000">
            <w:pPr>
              <w:pStyle w:val="A-"/>
              <w:jc w:val="both"/>
              <w:rPr>
                <w:spacing w:val="-6"/>
              </w:rPr>
            </w:pPr>
            <w:r>
              <w:rPr>
                <w:spacing w:val="-6"/>
              </w:rPr>
              <w:t xml:space="preserve">6.1.2 </w:t>
            </w:r>
            <w:r>
              <w:rPr>
                <w:spacing w:val="-6"/>
              </w:rPr>
              <w:t>贮存设施应根据危险废物的类别、数量、形态、物理化学性质和污染防治等要求设置必要的贮存分区，避免不相容的危险废物接触、混合。</w:t>
            </w:r>
          </w:p>
          <w:p w14:paraId="1F301018" w14:textId="77777777" w:rsidR="002E474C" w:rsidRDefault="00000000">
            <w:pPr>
              <w:pStyle w:val="A-"/>
              <w:jc w:val="both"/>
            </w:pPr>
            <w:r>
              <w:t xml:space="preserve">6.1.3 </w:t>
            </w:r>
            <w:r>
              <w:t>贮存设施或贮存分区内地面、墙面裙脚、堵截泄漏的围堰、接触危险废物的隔板和墙体等应采用坚固的材料建造，表面无裂缝。</w:t>
            </w:r>
          </w:p>
          <w:p w14:paraId="11E61AC6" w14:textId="77777777" w:rsidR="002E474C" w:rsidRDefault="00000000">
            <w:pPr>
              <w:pStyle w:val="A-"/>
              <w:jc w:val="both"/>
            </w:pPr>
            <w:r>
              <w:t xml:space="preserve">6.1.4 </w:t>
            </w:r>
            <w:r>
              <w:t>贮存设施地面与裙脚应采取表面防渗措施；表面防渗材料应与所接触的物料或污染物相容，可采用抗渗混凝土、高密度聚乙烯膜、钠基膨润土防水毯或其他防渗性能等效的材料。贮存的危险废物直接接触</w:t>
            </w:r>
            <w:r>
              <w:lastRenderedPageBreak/>
              <w:t>地面的，还应进行基础防渗，防渗层为至少</w:t>
            </w:r>
            <w:r>
              <w:t xml:space="preserve">1 m </w:t>
            </w:r>
            <w:r>
              <w:t>厚黏土层（渗透系数不大于</w:t>
            </w:r>
            <w:r>
              <w:t>10</w:t>
            </w:r>
            <w:r>
              <w:rPr>
                <w:vertAlign w:val="superscript"/>
              </w:rPr>
              <w:t>-7</w:t>
            </w:r>
            <w:r>
              <w:t>cm/s</w:t>
            </w:r>
            <w:r>
              <w:t>），或至少</w:t>
            </w:r>
            <w:r>
              <w:t xml:space="preserve">2 mm </w:t>
            </w:r>
            <w:r>
              <w:t>厚高密度聚乙烯膜等人工防渗材料（渗透系数不大于</w:t>
            </w:r>
            <w:r>
              <w:t>10</w:t>
            </w:r>
            <w:r>
              <w:rPr>
                <w:vertAlign w:val="superscript"/>
              </w:rPr>
              <w:t>-10</w:t>
            </w:r>
            <w:r>
              <w:t>cm/s</w:t>
            </w:r>
            <w:r>
              <w:t>），或其他防渗性能等效的材料。</w:t>
            </w:r>
          </w:p>
          <w:p w14:paraId="439DDE4B" w14:textId="77777777" w:rsidR="002E474C" w:rsidRDefault="00000000">
            <w:pPr>
              <w:pStyle w:val="A-"/>
              <w:jc w:val="both"/>
            </w:pPr>
            <w:r>
              <w:t xml:space="preserve">6.1.5 </w:t>
            </w:r>
            <w:r>
              <w:t>同一贮存设施宜采用相同的防渗、防腐工艺（包括防渗、防腐结构或材料），防渗、防腐材料应覆盖所有可能与废物及其渗滤液、渗漏液等接触的构筑物表面；采用不同防渗、防腐工艺应分别建设贮存分区。</w:t>
            </w:r>
          </w:p>
          <w:p w14:paraId="1A65BE36" w14:textId="77777777" w:rsidR="002E474C" w:rsidRDefault="00000000">
            <w:pPr>
              <w:pStyle w:val="A-"/>
              <w:jc w:val="both"/>
            </w:pPr>
            <w:r>
              <w:t xml:space="preserve">6.1.6 </w:t>
            </w:r>
            <w:r>
              <w:t>贮存设施应采取技术和管理措施防止无关人员进入。</w:t>
            </w:r>
          </w:p>
        </w:tc>
        <w:tc>
          <w:tcPr>
            <w:tcW w:w="1882" w:type="pct"/>
          </w:tcPr>
          <w:p w14:paraId="4C3EE4B9" w14:textId="77777777" w:rsidR="002E474C" w:rsidRDefault="00000000">
            <w:pPr>
              <w:pStyle w:val="A-"/>
              <w:jc w:val="both"/>
            </w:pPr>
            <w:r>
              <w:lastRenderedPageBreak/>
              <w:t>（</w:t>
            </w:r>
            <w:r>
              <w:t>1</w:t>
            </w:r>
            <w:r>
              <w:t>）本项目危废贮存库及固态危废预处理车间采取分类分区贮存，配套防风、防晒、防雨、防漏、防渗、防腐及微负压抽气设计，同时避免不相容的危险废物接触、混合。</w:t>
            </w:r>
          </w:p>
          <w:p w14:paraId="23D97582" w14:textId="77777777" w:rsidR="002E474C" w:rsidRDefault="00000000">
            <w:pPr>
              <w:pStyle w:val="A-"/>
              <w:jc w:val="both"/>
              <w:rPr>
                <w:spacing w:val="-6"/>
              </w:rPr>
            </w:pPr>
            <w:r>
              <w:rPr>
                <w:spacing w:val="-6"/>
              </w:rPr>
              <w:t>（</w:t>
            </w:r>
            <w:r>
              <w:rPr>
                <w:spacing w:val="-6"/>
              </w:rPr>
              <w:t>2</w:t>
            </w:r>
            <w:r>
              <w:rPr>
                <w:spacing w:val="-6"/>
              </w:rPr>
              <w:t>）危废贮存库及固态危废预处理车间贮存分区内地面、裙脚、围堰、隔板和墙体等均采取坚固材料建造，表面无裂缝。</w:t>
            </w:r>
          </w:p>
          <w:p w14:paraId="687DD012" w14:textId="77777777" w:rsidR="002E474C" w:rsidRDefault="00000000">
            <w:pPr>
              <w:pStyle w:val="A-"/>
              <w:jc w:val="both"/>
            </w:pPr>
            <w:r>
              <w:t>（</w:t>
            </w:r>
            <w:r>
              <w:t>3</w:t>
            </w:r>
            <w:r>
              <w:t>）危废贮存库及固态危废预处理车间地面与裙脚均采取有效防渗措施。</w:t>
            </w:r>
          </w:p>
          <w:p w14:paraId="3DA42632" w14:textId="77777777" w:rsidR="002E474C" w:rsidRDefault="00000000">
            <w:pPr>
              <w:pStyle w:val="A-"/>
              <w:jc w:val="both"/>
            </w:pPr>
            <w:r>
              <w:t>（</w:t>
            </w:r>
            <w:r>
              <w:t>4</w:t>
            </w:r>
            <w:r>
              <w:t>）危废贮存库及固态危废预处理车间贮存分区内地面、裙脚、围堰、隔板和墙体等均采取有效的防渗、防</w:t>
            </w:r>
            <w:r>
              <w:lastRenderedPageBreak/>
              <w:t>腐工艺。</w:t>
            </w:r>
          </w:p>
          <w:p w14:paraId="5D5A15F8" w14:textId="77777777" w:rsidR="002E474C" w:rsidRDefault="00000000">
            <w:pPr>
              <w:pStyle w:val="A-"/>
              <w:jc w:val="both"/>
            </w:pPr>
            <w:r>
              <w:t>（</w:t>
            </w:r>
            <w:r>
              <w:t>5</w:t>
            </w:r>
            <w:r>
              <w:t>）危废贮存库及固态危废预处理车间严格人员管理，防止无关人员进入。</w:t>
            </w:r>
          </w:p>
        </w:tc>
        <w:tc>
          <w:tcPr>
            <w:tcW w:w="325" w:type="pct"/>
            <w:vAlign w:val="center"/>
          </w:tcPr>
          <w:p w14:paraId="6409A1B5" w14:textId="77777777" w:rsidR="002E474C" w:rsidRDefault="00000000">
            <w:pPr>
              <w:pStyle w:val="A-"/>
            </w:pPr>
            <w:r>
              <w:lastRenderedPageBreak/>
              <w:t>符合</w:t>
            </w:r>
          </w:p>
        </w:tc>
      </w:tr>
      <w:tr w:rsidR="002E474C" w14:paraId="60C50E40" w14:textId="77777777">
        <w:tc>
          <w:tcPr>
            <w:tcW w:w="438" w:type="pct"/>
            <w:vMerge/>
            <w:vAlign w:val="center"/>
          </w:tcPr>
          <w:p w14:paraId="33A8B63B" w14:textId="77777777" w:rsidR="002E474C" w:rsidRDefault="002E474C">
            <w:pPr>
              <w:pStyle w:val="A-"/>
            </w:pPr>
          </w:p>
        </w:tc>
        <w:tc>
          <w:tcPr>
            <w:tcW w:w="2355" w:type="pct"/>
          </w:tcPr>
          <w:p w14:paraId="6A63B38C" w14:textId="77777777" w:rsidR="002E474C" w:rsidRDefault="00000000">
            <w:pPr>
              <w:pStyle w:val="A-"/>
              <w:jc w:val="both"/>
            </w:pPr>
            <w:r>
              <w:t xml:space="preserve">6.2 </w:t>
            </w:r>
            <w:r>
              <w:t>贮存库</w:t>
            </w:r>
          </w:p>
          <w:p w14:paraId="0DEBF1F5" w14:textId="77777777" w:rsidR="002E474C" w:rsidRDefault="00000000">
            <w:pPr>
              <w:pStyle w:val="A-"/>
              <w:jc w:val="both"/>
            </w:pPr>
            <w:r>
              <w:t xml:space="preserve">6.2.1 </w:t>
            </w:r>
            <w:r>
              <w:t>贮存库内不同贮存分区之间应采取隔离措施。隔离措施可根据危险废物特性采用过道、隔板或隔墙等方式。</w:t>
            </w:r>
          </w:p>
          <w:p w14:paraId="2FADED4A" w14:textId="77777777" w:rsidR="002E474C" w:rsidRDefault="00000000">
            <w:pPr>
              <w:pStyle w:val="A-"/>
              <w:jc w:val="both"/>
            </w:pPr>
            <w:r>
              <w:t xml:space="preserve">6.2.2 </w:t>
            </w:r>
            <w:r>
              <w:t>在贮存库内或通过贮存分区方式贮存液态危险废物的，应具有液体泄漏堵截设施，堵截设施最小容积不应低于对应贮存区域最大液态废物容器容积或液态废物总储量</w:t>
            </w:r>
            <w:r>
              <w:t>1/10</w:t>
            </w:r>
            <w:r>
              <w:t>（二者取较大者）；用于贮存可能产生渗滤液的危险废物的贮存库或贮存分区应设计渗滤液收集设施，收集设施容积应满足渗滤液的收集要求。</w:t>
            </w:r>
          </w:p>
          <w:p w14:paraId="3E750CF2" w14:textId="77777777" w:rsidR="002E474C" w:rsidRDefault="00000000">
            <w:pPr>
              <w:pStyle w:val="A-"/>
              <w:jc w:val="both"/>
            </w:pPr>
            <w:r>
              <w:t xml:space="preserve">6.2.3 </w:t>
            </w:r>
            <w:r>
              <w:t>贮存易产生粉尘、</w:t>
            </w:r>
            <w:r>
              <w:t>VOCs</w:t>
            </w:r>
            <w:r>
              <w:t>、酸雾、有毒有害大气污染物和刺激性气味气体的危废贮存库，应设置气体收集装置和气体净化设施；气体净化设施的排气筒高度应符合</w:t>
            </w:r>
            <w:r>
              <w:t xml:space="preserve">GB 16297 </w:t>
            </w:r>
            <w:r>
              <w:t>要求。</w:t>
            </w:r>
          </w:p>
        </w:tc>
        <w:tc>
          <w:tcPr>
            <w:tcW w:w="1882" w:type="pct"/>
          </w:tcPr>
          <w:p w14:paraId="2B7E6A52" w14:textId="77777777" w:rsidR="002E474C" w:rsidRDefault="00000000">
            <w:pPr>
              <w:pStyle w:val="A-"/>
              <w:jc w:val="both"/>
            </w:pPr>
            <w:r>
              <w:t>（</w:t>
            </w:r>
            <w:r>
              <w:t>1</w:t>
            </w:r>
            <w:r>
              <w:t>）本项目危废贮存库及固态危废预处理车间采取分类分区贮存，分区之间采取隔离措施。</w:t>
            </w:r>
          </w:p>
          <w:p w14:paraId="2BC18D6E" w14:textId="77777777" w:rsidR="002E474C" w:rsidRDefault="00000000">
            <w:pPr>
              <w:pStyle w:val="A-"/>
              <w:jc w:val="both"/>
            </w:pPr>
            <w:r>
              <w:t>（</w:t>
            </w:r>
            <w:r>
              <w:t>2</w:t>
            </w:r>
            <w:r>
              <w:t>）贮存液态危废的分区设液体泄漏堵截设施，配套容积满足渗滤液收集要求的集液池。</w:t>
            </w:r>
          </w:p>
          <w:p w14:paraId="3B5B6CEF" w14:textId="77777777" w:rsidR="002E474C" w:rsidRDefault="00000000">
            <w:pPr>
              <w:pStyle w:val="A-"/>
              <w:jc w:val="both"/>
            </w:pPr>
            <w:r>
              <w:t>（</w:t>
            </w:r>
            <w:r>
              <w:t>3</w:t>
            </w:r>
            <w:r>
              <w:t>）危废贮存库及固态危废预处理车间采用微负压抽气设计，抽气经净化设施处理后达标排放。</w:t>
            </w:r>
          </w:p>
        </w:tc>
        <w:tc>
          <w:tcPr>
            <w:tcW w:w="325" w:type="pct"/>
            <w:vAlign w:val="center"/>
          </w:tcPr>
          <w:p w14:paraId="3D6EDA9A" w14:textId="77777777" w:rsidR="002E474C" w:rsidRDefault="00000000">
            <w:pPr>
              <w:pStyle w:val="A-"/>
            </w:pPr>
            <w:r>
              <w:t>符合</w:t>
            </w:r>
          </w:p>
        </w:tc>
      </w:tr>
      <w:tr w:rsidR="002E474C" w14:paraId="1C5F51B5" w14:textId="77777777">
        <w:tc>
          <w:tcPr>
            <w:tcW w:w="438" w:type="pct"/>
            <w:vMerge/>
            <w:vAlign w:val="center"/>
          </w:tcPr>
          <w:p w14:paraId="02C091F5" w14:textId="77777777" w:rsidR="002E474C" w:rsidRDefault="002E474C">
            <w:pPr>
              <w:pStyle w:val="A-"/>
            </w:pPr>
          </w:p>
        </w:tc>
        <w:tc>
          <w:tcPr>
            <w:tcW w:w="2355" w:type="pct"/>
          </w:tcPr>
          <w:p w14:paraId="30AC1C47" w14:textId="77777777" w:rsidR="002E474C" w:rsidRDefault="00000000">
            <w:pPr>
              <w:pStyle w:val="A-"/>
              <w:jc w:val="both"/>
            </w:pPr>
            <w:r>
              <w:t xml:space="preserve">6.5 </w:t>
            </w:r>
            <w:r>
              <w:t>贮存罐区</w:t>
            </w:r>
          </w:p>
          <w:p w14:paraId="55C59314" w14:textId="77777777" w:rsidR="002E474C" w:rsidRDefault="00000000">
            <w:pPr>
              <w:pStyle w:val="A-"/>
              <w:jc w:val="both"/>
            </w:pPr>
            <w:r>
              <w:t xml:space="preserve">6.5.1 </w:t>
            </w:r>
            <w:r>
              <w:t>贮存罐区罐体应设置在围堰内，围堰的防渗、防腐性能应满足</w:t>
            </w:r>
            <w:r>
              <w:t>6.1.4</w:t>
            </w:r>
            <w:r>
              <w:t>、</w:t>
            </w:r>
            <w:r>
              <w:t xml:space="preserve">6.1.5 </w:t>
            </w:r>
            <w:r>
              <w:t>的要求。</w:t>
            </w:r>
          </w:p>
          <w:p w14:paraId="17A85B75" w14:textId="77777777" w:rsidR="002E474C" w:rsidRDefault="00000000">
            <w:pPr>
              <w:pStyle w:val="A-"/>
              <w:jc w:val="both"/>
            </w:pPr>
            <w:r>
              <w:t xml:space="preserve">6.5.2 </w:t>
            </w:r>
            <w:r>
              <w:t>贮存罐区围堰容积应至少满足其内部最大贮存罐发生意外泄漏时所需要的危险废物收集容积要求。</w:t>
            </w:r>
          </w:p>
          <w:p w14:paraId="30C94E47" w14:textId="77777777" w:rsidR="002E474C" w:rsidRDefault="00000000">
            <w:pPr>
              <w:pStyle w:val="A-"/>
              <w:jc w:val="both"/>
            </w:pPr>
            <w:r>
              <w:t xml:space="preserve">6.5.3 </w:t>
            </w:r>
            <w:r>
              <w:t>贮存罐区围堰内收集的废液、废水和初期雨水应及时处理，不应直接排放。</w:t>
            </w:r>
          </w:p>
        </w:tc>
        <w:tc>
          <w:tcPr>
            <w:tcW w:w="1882" w:type="pct"/>
          </w:tcPr>
          <w:p w14:paraId="35CCCB2B" w14:textId="77777777" w:rsidR="002E474C" w:rsidRDefault="00000000">
            <w:pPr>
              <w:pStyle w:val="A-"/>
              <w:jc w:val="both"/>
            </w:pPr>
            <w:r>
              <w:t>（</w:t>
            </w:r>
            <w:r>
              <w:t>1</w:t>
            </w:r>
            <w:r>
              <w:t>）本项目不设置储罐，液态危废采取桶装入厂。</w:t>
            </w:r>
          </w:p>
          <w:p w14:paraId="0C9AEE24" w14:textId="77777777" w:rsidR="002E474C" w:rsidRDefault="00000000">
            <w:pPr>
              <w:pStyle w:val="A-"/>
              <w:jc w:val="both"/>
            </w:pPr>
            <w:r>
              <w:t>（</w:t>
            </w:r>
            <w:r>
              <w:t>2</w:t>
            </w:r>
            <w:r>
              <w:t>）危废贮存库贮存液态危废的分区设置围堰，围堰容积满足液态危废最大储存量。</w:t>
            </w:r>
          </w:p>
          <w:p w14:paraId="2EAE936D" w14:textId="77777777" w:rsidR="002E474C" w:rsidRDefault="00000000">
            <w:pPr>
              <w:pStyle w:val="A-"/>
              <w:jc w:val="both"/>
            </w:pPr>
            <w:r>
              <w:t>（</w:t>
            </w:r>
            <w:r>
              <w:t>3</w:t>
            </w:r>
            <w:r>
              <w:t>）危废贮存库贮存液态危废的分区内地面、裙脚、围堰、隔板和墙体等均采取有效的防腐防渗措施。</w:t>
            </w:r>
          </w:p>
          <w:p w14:paraId="7A5A86D9" w14:textId="77777777" w:rsidR="002E474C" w:rsidRDefault="00000000">
            <w:pPr>
              <w:pStyle w:val="A-"/>
              <w:jc w:val="both"/>
            </w:pPr>
            <w:r>
              <w:t>（</w:t>
            </w:r>
            <w:r>
              <w:t>3</w:t>
            </w:r>
            <w:r>
              <w:t>）围堰内收集的废液、废水和初期雨水及时送水泥回转窑处置，不直接排放。</w:t>
            </w:r>
          </w:p>
        </w:tc>
        <w:tc>
          <w:tcPr>
            <w:tcW w:w="325" w:type="pct"/>
            <w:vAlign w:val="center"/>
          </w:tcPr>
          <w:p w14:paraId="7DF43341" w14:textId="77777777" w:rsidR="002E474C" w:rsidRDefault="00000000">
            <w:pPr>
              <w:pStyle w:val="A-"/>
            </w:pPr>
            <w:r>
              <w:t>符合</w:t>
            </w:r>
          </w:p>
        </w:tc>
      </w:tr>
      <w:tr w:rsidR="002E474C" w14:paraId="44A21CEC" w14:textId="77777777">
        <w:tc>
          <w:tcPr>
            <w:tcW w:w="438" w:type="pct"/>
            <w:vAlign w:val="center"/>
          </w:tcPr>
          <w:p w14:paraId="0FCE416F" w14:textId="77777777" w:rsidR="002E474C" w:rsidRDefault="00000000">
            <w:pPr>
              <w:pStyle w:val="A-"/>
            </w:pPr>
            <w:r>
              <w:t>7</w:t>
            </w:r>
            <w:r>
              <w:t>容器和包装物污染控制要求</w:t>
            </w:r>
          </w:p>
        </w:tc>
        <w:tc>
          <w:tcPr>
            <w:tcW w:w="2355" w:type="pct"/>
          </w:tcPr>
          <w:p w14:paraId="76B0E709" w14:textId="77777777" w:rsidR="002E474C" w:rsidRDefault="00000000">
            <w:pPr>
              <w:pStyle w:val="A-"/>
              <w:jc w:val="both"/>
            </w:pPr>
            <w:r>
              <w:t xml:space="preserve">7.1 </w:t>
            </w:r>
            <w:r>
              <w:t>容器和包装物材质、内衬应与盛装的危险废物相容。</w:t>
            </w:r>
          </w:p>
          <w:p w14:paraId="7B9C2872" w14:textId="77777777" w:rsidR="002E474C" w:rsidRDefault="00000000">
            <w:pPr>
              <w:pStyle w:val="A-"/>
              <w:jc w:val="both"/>
            </w:pPr>
            <w:r>
              <w:t xml:space="preserve">7.2 </w:t>
            </w:r>
            <w:r>
              <w:t>针对不同类别、形态、物理化学性质的危险废物，其容器和包装物应满足相应的防渗、防漏、防腐和强度等要求。</w:t>
            </w:r>
          </w:p>
          <w:p w14:paraId="30C89813" w14:textId="77777777" w:rsidR="002E474C" w:rsidRDefault="00000000">
            <w:pPr>
              <w:pStyle w:val="A-"/>
              <w:jc w:val="both"/>
            </w:pPr>
            <w:r>
              <w:t xml:space="preserve">7.3 </w:t>
            </w:r>
            <w:r>
              <w:t>硬质容器和包装物及其支护结构堆叠码放时不应有明显变形，无破</w:t>
            </w:r>
            <w:r>
              <w:lastRenderedPageBreak/>
              <w:t>损泄漏。</w:t>
            </w:r>
          </w:p>
          <w:p w14:paraId="1A7ED1B8" w14:textId="77777777" w:rsidR="002E474C" w:rsidRDefault="00000000">
            <w:pPr>
              <w:pStyle w:val="A-"/>
              <w:jc w:val="both"/>
            </w:pPr>
            <w:r>
              <w:t xml:space="preserve">7.4 </w:t>
            </w:r>
            <w:r>
              <w:t>柔性容器和包装物堆叠码放时应封口严密，无破损泄漏。</w:t>
            </w:r>
          </w:p>
          <w:p w14:paraId="0E4037E5" w14:textId="77777777" w:rsidR="002E474C" w:rsidRDefault="00000000">
            <w:pPr>
              <w:pStyle w:val="A-"/>
              <w:jc w:val="both"/>
            </w:pPr>
            <w:r>
              <w:t xml:space="preserve">7.5 </w:t>
            </w:r>
            <w:r>
              <w:t>使用容器盛装液态、半固态危险废物时，容器内部应留有适当的空间，以适应因温度变化等可能引发的收缩和膨胀，防止其导致容器渗漏或永久变形。</w:t>
            </w:r>
          </w:p>
          <w:p w14:paraId="50ACFA92" w14:textId="77777777" w:rsidR="002E474C" w:rsidRDefault="00000000">
            <w:pPr>
              <w:pStyle w:val="A-"/>
              <w:jc w:val="both"/>
            </w:pPr>
            <w:r>
              <w:t xml:space="preserve">7.6 </w:t>
            </w:r>
            <w:r>
              <w:t>容器和包装物外表面应保持清洁。</w:t>
            </w:r>
          </w:p>
        </w:tc>
        <w:tc>
          <w:tcPr>
            <w:tcW w:w="1882" w:type="pct"/>
          </w:tcPr>
          <w:p w14:paraId="17159D97" w14:textId="77777777" w:rsidR="002E474C" w:rsidRDefault="00000000">
            <w:pPr>
              <w:pStyle w:val="A-"/>
              <w:jc w:val="both"/>
              <w:rPr>
                <w:spacing w:val="-6"/>
              </w:rPr>
            </w:pPr>
            <w:r>
              <w:rPr>
                <w:spacing w:val="-6"/>
              </w:rPr>
              <w:lastRenderedPageBreak/>
              <w:t>（</w:t>
            </w:r>
            <w:r>
              <w:rPr>
                <w:spacing w:val="-6"/>
              </w:rPr>
              <w:t>1</w:t>
            </w:r>
            <w:r>
              <w:rPr>
                <w:spacing w:val="-6"/>
              </w:rPr>
              <w:t>）入厂的危险废物采用的容器和包装材料与废物相容。</w:t>
            </w:r>
          </w:p>
          <w:p w14:paraId="334B6892" w14:textId="77777777" w:rsidR="002E474C" w:rsidRDefault="00000000">
            <w:pPr>
              <w:pStyle w:val="A-"/>
              <w:jc w:val="both"/>
            </w:pPr>
            <w:r>
              <w:t>（</w:t>
            </w:r>
            <w:r>
              <w:t>2</w:t>
            </w:r>
            <w:r>
              <w:t>）危险废物的容器和包装物应满足相应的防渗、防漏、防腐和强度等要求。</w:t>
            </w:r>
          </w:p>
          <w:p w14:paraId="6EF78426" w14:textId="77777777" w:rsidR="002E474C" w:rsidRDefault="00000000">
            <w:pPr>
              <w:pStyle w:val="A-"/>
              <w:jc w:val="both"/>
            </w:pPr>
            <w:r>
              <w:t>（</w:t>
            </w:r>
            <w:r>
              <w:t>3</w:t>
            </w:r>
            <w:r>
              <w:t>）危险废物容器或包装物、支护结堆叠码放时不应有</w:t>
            </w:r>
            <w:r>
              <w:lastRenderedPageBreak/>
              <w:t>明显变形，无破损泄漏。</w:t>
            </w:r>
          </w:p>
          <w:p w14:paraId="2895A137" w14:textId="77777777" w:rsidR="002E474C" w:rsidRDefault="00000000">
            <w:pPr>
              <w:pStyle w:val="A-"/>
              <w:jc w:val="both"/>
            </w:pPr>
            <w:r>
              <w:t>（</w:t>
            </w:r>
            <w:r>
              <w:t>4</w:t>
            </w:r>
            <w:r>
              <w:t>）保证柔性容器和包装物堆叠码放时封口严密，无破损泄漏。</w:t>
            </w:r>
          </w:p>
          <w:p w14:paraId="0F5674C1" w14:textId="77777777" w:rsidR="002E474C" w:rsidRDefault="00000000">
            <w:pPr>
              <w:pStyle w:val="A-"/>
              <w:jc w:val="both"/>
            </w:pPr>
            <w:r>
              <w:t>（</w:t>
            </w:r>
            <w:r>
              <w:t>5</w:t>
            </w:r>
            <w:r>
              <w:t>）本项目不设置储罐，液态危废采取桶装入厂。桶之间留有空隙，防止容器渗漏或永久变形。</w:t>
            </w:r>
          </w:p>
          <w:p w14:paraId="02C9C551" w14:textId="77777777" w:rsidR="002E474C" w:rsidRDefault="00000000">
            <w:pPr>
              <w:pStyle w:val="A-"/>
              <w:jc w:val="both"/>
            </w:pPr>
            <w:r>
              <w:t>（</w:t>
            </w:r>
            <w:r>
              <w:t>6</w:t>
            </w:r>
            <w:r>
              <w:t>）危险废物的容器和包装物外表面应保持清洁。</w:t>
            </w:r>
          </w:p>
        </w:tc>
        <w:tc>
          <w:tcPr>
            <w:tcW w:w="325" w:type="pct"/>
            <w:vAlign w:val="center"/>
          </w:tcPr>
          <w:p w14:paraId="11A3668E" w14:textId="77777777" w:rsidR="002E474C" w:rsidRDefault="00000000">
            <w:pPr>
              <w:pStyle w:val="A-"/>
            </w:pPr>
            <w:r>
              <w:lastRenderedPageBreak/>
              <w:t>符合</w:t>
            </w:r>
          </w:p>
        </w:tc>
      </w:tr>
      <w:tr w:rsidR="002E474C" w14:paraId="07B784FE" w14:textId="77777777">
        <w:tc>
          <w:tcPr>
            <w:tcW w:w="438" w:type="pct"/>
            <w:vMerge w:val="restart"/>
            <w:vAlign w:val="center"/>
          </w:tcPr>
          <w:p w14:paraId="1A3C5138" w14:textId="77777777" w:rsidR="002E474C" w:rsidRDefault="00000000">
            <w:pPr>
              <w:pStyle w:val="A-"/>
            </w:pPr>
            <w:r>
              <w:t>8</w:t>
            </w:r>
            <w:r>
              <w:t>贮存过程污染控制要求</w:t>
            </w:r>
          </w:p>
        </w:tc>
        <w:tc>
          <w:tcPr>
            <w:tcW w:w="2355" w:type="pct"/>
          </w:tcPr>
          <w:p w14:paraId="17048FC3" w14:textId="77777777" w:rsidR="002E474C" w:rsidRDefault="00000000">
            <w:pPr>
              <w:pStyle w:val="A-"/>
              <w:jc w:val="both"/>
            </w:pPr>
            <w:r>
              <w:t xml:space="preserve">8.1 </w:t>
            </w:r>
            <w:r>
              <w:t>一般规定</w:t>
            </w:r>
          </w:p>
          <w:p w14:paraId="250BEB15" w14:textId="77777777" w:rsidR="002E474C" w:rsidRDefault="00000000">
            <w:pPr>
              <w:pStyle w:val="A-"/>
              <w:jc w:val="both"/>
            </w:pPr>
            <w:r>
              <w:t xml:space="preserve">8.1.1 </w:t>
            </w:r>
            <w:r>
              <w:t>在常温常压下不易水解、不易挥发的固态危险废物可分类堆放贮存，其他固态危险废物应装入容器或包装物内贮存。</w:t>
            </w:r>
          </w:p>
          <w:p w14:paraId="554643CB" w14:textId="77777777" w:rsidR="002E474C" w:rsidRDefault="00000000">
            <w:pPr>
              <w:pStyle w:val="A-"/>
              <w:jc w:val="both"/>
              <w:rPr>
                <w:spacing w:val="-6"/>
              </w:rPr>
            </w:pPr>
            <w:r>
              <w:rPr>
                <w:spacing w:val="-6"/>
              </w:rPr>
              <w:t xml:space="preserve">8.1.2 </w:t>
            </w:r>
            <w:r>
              <w:rPr>
                <w:spacing w:val="-6"/>
              </w:rPr>
              <w:t>液态危险废物应装入容器内贮存，或直接采用贮存池、贮存罐区贮存。</w:t>
            </w:r>
          </w:p>
          <w:p w14:paraId="03A3A14F" w14:textId="77777777" w:rsidR="002E474C" w:rsidRDefault="00000000">
            <w:pPr>
              <w:pStyle w:val="A-"/>
              <w:jc w:val="both"/>
              <w:rPr>
                <w:spacing w:val="-6"/>
              </w:rPr>
            </w:pPr>
            <w:r>
              <w:rPr>
                <w:spacing w:val="-6"/>
              </w:rPr>
              <w:t xml:space="preserve">8.1.3 </w:t>
            </w:r>
            <w:r>
              <w:rPr>
                <w:spacing w:val="-6"/>
              </w:rPr>
              <w:t>半固态危险废物应装入容器或包装袋内贮存，或直接采用贮存池贮存。</w:t>
            </w:r>
          </w:p>
          <w:p w14:paraId="37701004" w14:textId="77777777" w:rsidR="002E474C" w:rsidRDefault="00000000">
            <w:pPr>
              <w:pStyle w:val="A-"/>
              <w:jc w:val="both"/>
            </w:pPr>
            <w:r>
              <w:t xml:space="preserve">8.1.4 </w:t>
            </w:r>
            <w:r>
              <w:t>具有热塑性的危险废物应装入容器或包装袋内进行贮存。</w:t>
            </w:r>
          </w:p>
          <w:p w14:paraId="61234BC2" w14:textId="77777777" w:rsidR="002E474C" w:rsidRDefault="00000000">
            <w:pPr>
              <w:pStyle w:val="A-"/>
              <w:jc w:val="both"/>
            </w:pPr>
            <w:r>
              <w:t xml:space="preserve">8.1.5 </w:t>
            </w:r>
            <w:r>
              <w:t>易产生粉尘、</w:t>
            </w:r>
            <w:r>
              <w:t>VOCs</w:t>
            </w:r>
            <w:r>
              <w:t>、酸雾、有毒有害大气污染物和刺激性气味气体的危险废物应装入闭口容器或包装物内贮存。</w:t>
            </w:r>
          </w:p>
          <w:p w14:paraId="221E374E" w14:textId="77777777" w:rsidR="002E474C" w:rsidRDefault="00000000">
            <w:pPr>
              <w:pStyle w:val="A-"/>
              <w:jc w:val="both"/>
            </w:pPr>
            <w:r>
              <w:t xml:space="preserve">8.1.6 </w:t>
            </w:r>
            <w:r>
              <w:t>危险废物贮存过程中易产生粉尘等无组织排放的，应采取抑尘等有效措施。</w:t>
            </w:r>
          </w:p>
        </w:tc>
        <w:tc>
          <w:tcPr>
            <w:tcW w:w="1882" w:type="pct"/>
          </w:tcPr>
          <w:p w14:paraId="7C3C7F67" w14:textId="77777777" w:rsidR="002E474C" w:rsidRDefault="00000000">
            <w:pPr>
              <w:pStyle w:val="A-"/>
              <w:jc w:val="both"/>
            </w:pPr>
            <w:r>
              <w:t>（</w:t>
            </w:r>
            <w:r>
              <w:t>1</w:t>
            </w:r>
            <w:r>
              <w:t>）危废贮存库及固态危废预处理车间进行分类贮存，接收预处理后的固废，与液态危废分别进行分类分区贮存。分区贮存避免危险废物与不相容的物质或材料接触。</w:t>
            </w:r>
          </w:p>
          <w:p w14:paraId="37F08AFA" w14:textId="77777777" w:rsidR="002E474C" w:rsidRDefault="00000000">
            <w:pPr>
              <w:pStyle w:val="A-"/>
              <w:jc w:val="both"/>
            </w:pPr>
            <w:r>
              <w:t>（</w:t>
            </w:r>
            <w:r>
              <w:t>2</w:t>
            </w:r>
            <w:r>
              <w:t>）本项目不设置储罐，液态危废采取桶装入厂。</w:t>
            </w:r>
          </w:p>
          <w:p w14:paraId="22107CB4" w14:textId="77777777" w:rsidR="002E474C" w:rsidRDefault="00000000">
            <w:pPr>
              <w:pStyle w:val="A-"/>
              <w:jc w:val="both"/>
            </w:pPr>
            <w:r>
              <w:t>（</w:t>
            </w:r>
            <w:r>
              <w:t>3</w:t>
            </w:r>
            <w:r>
              <w:t>）本项目不贮存半固态危废。</w:t>
            </w:r>
          </w:p>
          <w:p w14:paraId="6D8CBDBC" w14:textId="77777777" w:rsidR="002E474C" w:rsidRDefault="00000000">
            <w:pPr>
              <w:pStyle w:val="A-"/>
              <w:jc w:val="both"/>
            </w:pPr>
            <w:r>
              <w:t>（</w:t>
            </w:r>
            <w:r>
              <w:t>4</w:t>
            </w:r>
            <w:r>
              <w:t>）本项目处理接收预处理产品，包装入厂，分类分区贮存。</w:t>
            </w:r>
          </w:p>
          <w:p w14:paraId="4B57C5EA" w14:textId="77777777" w:rsidR="002E474C" w:rsidRDefault="00000000">
            <w:pPr>
              <w:pStyle w:val="A-"/>
              <w:jc w:val="both"/>
            </w:pPr>
            <w:r>
              <w:t>（</w:t>
            </w:r>
            <w:r>
              <w:t>5</w:t>
            </w:r>
            <w:r>
              <w:t>）危废贮存库及固态危废预处理车间采用微负压抽气设计，抽气经净化设施处理后达标排放。</w:t>
            </w:r>
          </w:p>
        </w:tc>
        <w:tc>
          <w:tcPr>
            <w:tcW w:w="325" w:type="pct"/>
            <w:vAlign w:val="center"/>
          </w:tcPr>
          <w:p w14:paraId="01507C27" w14:textId="77777777" w:rsidR="002E474C" w:rsidRDefault="00000000">
            <w:pPr>
              <w:pStyle w:val="A-"/>
            </w:pPr>
            <w:r>
              <w:t>符合</w:t>
            </w:r>
          </w:p>
        </w:tc>
      </w:tr>
      <w:tr w:rsidR="002E474C" w14:paraId="73E54C1F" w14:textId="77777777">
        <w:tc>
          <w:tcPr>
            <w:tcW w:w="438" w:type="pct"/>
            <w:vMerge/>
            <w:vAlign w:val="center"/>
          </w:tcPr>
          <w:p w14:paraId="2675A6D2" w14:textId="77777777" w:rsidR="002E474C" w:rsidRDefault="002E474C">
            <w:pPr>
              <w:pStyle w:val="A-"/>
            </w:pPr>
          </w:p>
        </w:tc>
        <w:tc>
          <w:tcPr>
            <w:tcW w:w="2355" w:type="pct"/>
          </w:tcPr>
          <w:p w14:paraId="0A8D7B28" w14:textId="77777777" w:rsidR="002E474C" w:rsidRDefault="00000000">
            <w:pPr>
              <w:pStyle w:val="A-"/>
              <w:jc w:val="both"/>
            </w:pPr>
            <w:r>
              <w:t xml:space="preserve">8.2 </w:t>
            </w:r>
            <w:r>
              <w:t>贮存设施运行环境管理要求</w:t>
            </w:r>
          </w:p>
          <w:p w14:paraId="70BA537B" w14:textId="77777777" w:rsidR="002E474C" w:rsidRDefault="00000000">
            <w:pPr>
              <w:pStyle w:val="A-"/>
              <w:jc w:val="both"/>
            </w:pPr>
            <w:r>
              <w:t xml:space="preserve">8.2.1 </w:t>
            </w:r>
            <w:r>
              <w:t>危险废物存入贮存设施前应对危险废物类别和特性与危险废物标签等危险废物识别标志的一致性进行核验，不一致的或类别、特性不明的不应存入。</w:t>
            </w:r>
          </w:p>
          <w:p w14:paraId="372182BE" w14:textId="77777777" w:rsidR="002E474C" w:rsidRDefault="00000000">
            <w:pPr>
              <w:pStyle w:val="A-"/>
              <w:jc w:val="both"/>
            </w:pPr>
            <w:r>
              <w:t xml:space="preserve">8.2.2 </w:t>
            </w:r>
            <w:r>
              <w:t>应定期检查危险废物的贮存状况，及时清理贮存设施地面，更换破损泄漏的危险废物贮存容器和包装物，保证堆存危险废物的防雨、防风、防扬尘等设施功能完好。</w:t>
            </w:r>
          </w:p>
          <w:p w14:paraId="1BA18838" w14:textId="77777777" w:rsidR="002E474C" w:rsidRDefault="00000000">
            <w:pPr>
              <w:pStyle w:val="A-"/>
              <w:jc w:val="both"/>
            </w:pPr>
            <w:r>
              <w:t xml:space="preserve">8.2.3 </w:t>
            </w:r>
            <w:r>
              <w:t>作业设备及车辆等结束作业离开贮存设施时，应对其残留的危险废物进行清理，清理的废物或清洗废水应收集处理。</w:t>
            </w:r>
          </w:p>
          <w:p w14:paraId="1EF393FA" w14:textId="77777777" w:rsidR="002E474C" w:rsidRDefault="00000000">
            <w:pPr>
              <w:pStyle w:val="A-"/>
              <w:jc w:val="both"/>
            </w:pPr>
            <w:r>
              <w:t xml:space="preserve">8.2.4 </w:t>
            </w:r>
            <w:r>
              <w:t>贮存设施运行期间，应按国家有关标准和规定建立危险废物管理台账并保存。</w:t>
            </w:r>
          </w:p>
          <w:p w14:paraId="0180AA2D" w14:textId="77777777" w:rsidR="002E474C" w:rsidRDefault="00000000">
            <w:pPr>
              <w:pStyle w:val="A-"/>
              <w:jc w:val="both"/>
            </w:pPr>
            <w:r>
              <w:t xml:space="preserve">8.2.5 </w:t>
            </w:r>
            <w:r>
              <w:t>贮存设施所有者或运营者应建立贮存设施环境管理制度、管理人员岗位职责制度、设施运行操作制度、人员岗位培训制度等。</w:t>
            </w:r>
          </w:p>
          <w:p w14:paraId="400D3758" w14:textId="77777777" w:rsidR="002E474C" w:rsidRDefault="00000000">
            <w:pPr>
              <w:pStyle w:val="A-"/>
              <w:jc w:val="both"/>
            </w:pPr>
            <w:r>
              <w:lastRenderedPageBreak/>
              <w:t xml:space="preserve">8.2.6 </w:t>
            </w:r>
            <w:r>
              <w:t>贮存设施所有者或运营者应依据国家土壤和地下水污染防治的有关规定，结合贮存设施特点建立土壤和地下水污染隐患排查制度，并定期开展隐患排查；发现隐患应及时采取措施消除隐患，并建立档案。</w:t>
            </w:r>
          </w:p>
          <w:p w14:paraId="5611113F" w14:textId="77777777" w:rsidR="002E474C" w:rsidRDefault="00000000">
            <w:pPr>
              <w:pStyle w:val="A-"/>
              <w:jc w:val="both"/>
            </w:pPr>
            <w:r>
              <w:t xml:space="preserve">8.2.7 </w:t>
            </w:r>
            <w:r>
              <w:t>贮存设施所有者或运营者应建立贮存设施全部档案，包括设计、施工、验收、运行、监测和环境应急等，应按国家有关档案管理的法律法规进行整理和归档。</w:t>
            </w:r>
          </w:p>
        </w:tc>
        <w:tc>
          <w:tcPr>
            <w:tcW w:w="1882" w:type="pct"/>
          </w:tcPr>
          <w:p w14:paraId="67CF80DD" w14:textId="77777777" w:rsidR="002E474C" w:rsidRDefault="00000000">
            <w:pPr>
              <w:pStyle w:val="A-"/>
              <w:jc w:val="both"/>
            </w:pPr>
            <w:r>
              <w:lastRenderedPageBreak/>
              <w:t>（</w:t>
            </w:r>
            <w:r>
              <w:t>1</w:t>
            </w:r>
            <w:r>
              <w:t>）危险废物进入危废贮存库及固态危废预处理车间前应对危险废物识别标志的一致性进行核验。</w:t>
            </w:r>
          </w:p>
          <w:p w14:paraId="1E8F9C77" w14:textId="77777777" w:rsidR="002E474C" w:rsidRDefault="00000000">
            <w:pPr>
              <w:pStyle w:val="A-"/>
              <w:jc w:val="both"/>
            </w:pPr>
            <w:r>
              <w:t>（</w:t>
            </w:r>
            <w:r>
              <w:t>2</w:t>
            </w:r>
            <w:r>
              <w:t>）危废贮存库及固态危废预处理车间运行管理应定期检查危险废物的贮存状况，及时清理贮存设施地面，更换破损泄漏的危险废物贮存容器和包装物，保证堆存危险废物的防雨、防风、防扬尘等设施功能完好。</w:t>
            </w:r>
          </w:p>
          <w:p w14:paraId="06725694" w14:textId="77777777" w:rsidR="002E474C" w:rsidRDefault="00000000">
            <w:pPr>
              <w:pStyle w:val="A-"/>
              <w:jc w:val="both"/>
            </w:pPr>
            <w:r>
              <w:t>（</w:t>
            </w:r>
            <w:r>
              <w:t>3</w:t>
            </w:r>
            <w:r>
              <w:t>）作业设备及车辆离开贮存设施时，应对其残留的危险废物进行清理，清理的废物或清洗废水应及时送至水泥回转窑处置，不直接排放。</w:t>
            </w:r>
          </w:p>
          <w:p w14:paraId="6B701AF8" w14:textId="77777777" w:rsidR="002E474C" w:rsidRDefault="00000000">
            <w:pPr>
              <w:pStyle w:val="A-"/>
              <w:jc w:val="both"/>
            </w:pPr>
            <w:r>
              <w:t>（</w:t>
            </w:r>
            <w:r>
              <w:t>4</w:t>
            </w:r>
            <w:r>
              <w:t>）危废贮存库及固态危废预处理车间运行期间，按国家有关标准和规定建立危险废物管理台账并保存。</w:t>
            </w:r>
          </w:p>
          <w:p w14:paraId="46C78691" w14:textId="77777777" w:rsidR="002E474C" w:rsidRDefault="00000000">
            <w:pPr>
              <w:pStyle w:val="A-"/>
              <w:jc w:val="both"/>
            </w:pPr>
            <w:r>
              <w:t>（</w:t>
            </w:r>
            <w:r>
              <w:t>5</w:t>
            </w:r>
            <w:r>
              <w:t>）危废贮存库及固态危废预处理车间定期开展隐患排查；发现隐患应及时采取措施消除隐患，并建立档案。</w:t>
            </w:r>
          </w:p>
        </w:tc>
        <w:tc>
          <w:tcPr>
            <w:tcW w:w="325" w:type="pct"/>
            <w:vAlign w:val="center"/>
          </w:tcPr>
          <w:p w14:paraId="6F8246DC" w14:textId="77777777" w:rsidR="002E474C" w:rsidRDefault="00000000">
            <w:pPr>
              <w:pStyle w:val="A-"/>
            </w:pPr>
            <w:r>
              <w:t>符合</w:t>
            </w:r>
          </w:p>
        </w:tc>
      </w:tr>
      <w:tr w:rsidR="002E474C" w14:paraId="76D9AB11" w14:textId="77777777">
        <w:tc>
          <w:tcPr>
            <w:tcW w:w="438" w:type="pct"/>
            <w:vAlign w:val="center"/>
          </w:tcPr>
          <w:p w14:paraId="3EA6382C" w14:textId="77777777" w:rsidR="002E474C" w:rsidRDefault="00000000">
            <w:pPr>
              <w:pStyle w:val="A-"/>
            </w:pPr>
            <w:r>
              <w:t>9</w:t>
            </w:r>
            <w:r>
              <w:t>污染物排放控制要求</w:t>
            </w:r>
          </w:p>
        </w:tc>
        <w:tc>
          <w:tcPr>
            <w:tcW w:w="2355" w:type="pct"/>
          </w:tcPr>
          <w:p w14:paraId="09C5D404" w14:textId="77777777" w:rsidR="002E474C" w:rsidRDefault="00000000">
            <w:pPr>
              <w:pStyle w:val="A-"/>
              <w:jc w:val="both"/>
            </w:pPr>
            <w:r>
              <w:t xml:space="preserve">9.1 </w:t>
            </w:r>
            <w:r>
              <w:t>贮存设施产生的废水（包括贮存设施、作业设备、车辆等清洗废水，贮存罐区积存雨水，贮存事故废水等）应进行收集处理，废水排放应符合</w:t>
            </w:r>
            <w:r>
              <w:t xml:space="preserve">GB 8978 </w:t>
            </w:r>
            <w:r>
              <w:t>规定的要求。</w:t>
            </w:r>
          </w:p>
          <w:p w14:paraId="056363BD" w14:textId="77777777" w:rsidR="002E474C" w:rsidRDefault="00000000">
            <w:pPr>
              <w:pStyle w:val="A-"/>
              <w:jc w:val="both"/>
            </w:pPr>
            <w:r>
              <w:t xml:space="preserve">9.2 </w:t>
            </w:r>
            <w:r>
              <w:t>贮存设施产生的废气（含无组织废气）的排放应符合</w:t>
            </w:r>
            <w:r>
              <w:t xml:space="preserve">GB 16297 </w:t>
            </w:r>
            <w:r>
              <w:t>和</w:t>
            </w:r>
            <w:r>
              <w:t xml:space="preserve">GB 37822 </w:t>
            </w:r>
            <w:r>
              <w:t>规定的要求。</w:t>
            </w:r>
          </w:p>
          <w:p w14:paraId="50F60BAC" w14:textId="77777777" w:rsidR="002E474C" w:rsidRDefault="00000000">
            <w:pPr>
              <w:pStyle w:val="A-"/>
              <w:jc w:val="both"/>
            </w:pPr>
            <w:r>
              <w:t xml:space="preserve">9.3 </w:t>
            </w:r>
            <w:r>
              <w:t>贮存设施产生的恶臭气体的排放应符合</w:t>
            </w:r>
            <w:r>
              <w:t xml:space="preserve">GB 14554 </w:t>
            </w:r>
            <w:r>
              <w:t>规定的要求。</w:t>
            </w:r>
          </w:p>
          <w:p w14:paraId="0A2AA04D" w14:textId="77777777" w:rsidR="002E474C" w:rsidRDefault="00000000">
            <w:pPr>
              <w:pStyle w:val="A-"/>
              <w:jc w:val="both"/>
            </w:pPr>
            <w:r>
              <w:t xml:space="preserve">9.4 </w:t>
            </w:r>
            <w:r>
              <w:t>贮存设施内产生以及清理的固体废物应按固体废物分类管理要求妥善处理。</w:t>
            </w:r>
          </w:p>
          <w:p w14:paraId="20546325" w14:textId="77777777" w:rsidR="002E474C" w:rsidRDefault="00000000">
            <w:pPr>
              <w:pStyle w:val="A-"/>
              <w:jc w:val="both"/>
            </w:pPr>
            <w:r>
              <w:t xml:space="preserve">9.5 </w:t>
            </w:r>
            <w:r>
              <w:t>贮存设施排放的环境噪声应符合</w:t>
            </w:r>
            <w:r>
              <w:t xml:space="preserve">GB 12348 </w:t>
            </w:r>
            <w:r>
              <w:t>规定的要求。</w:t>
            </w:r>
          </w:p>
        </w:tc>
        <w:tc>
          <w:tcPr>
            <w:tcW w:w="1882" w:type="pct"/>
          </w:tcPr>
          <w:p w14:paraId="606C4C9E" w14:textId="77777777" w:rsidR="002E474C" w:rsidRDefault="00000000">
            <w:pPr>
              <w:pStyle w:val="A-"/>
              <w:jc w:val="both"/>
            </w:pPr>
            <w:r>
              <w:t>（</w:t>
            </w:r>
            <w:r>
              <w:t>1</w:t>
            </w:r>
            <w:r>
              <w:t>）</w:t>
            </w:r>
            <w:bookmarkStart w:id="28" w:name="OLE_LINK17"/>
            <w:r>
              <w:t>危废贮存库及固态危废预处理车间收集的渗滤液、清洗废水、漏液等及时送水泥回转窑处置，不直接排放。</w:t>
            </w:r>
            <w:bookmarkEnd w:id="28"/>
          </w:p>
          <w:p w14:paraId="35C442DC" w14:textId="77777777" w:rsidR="002E474C" w:rsidRDefault="00000000">
            <w:pPr>
              <w:pStyle w:val="A-"/>
              <w:jc w:val="both"/>
            </w:pPr>
            <w:r>
              <w:t>（</w:t>
            </w:r>
            <w:r>
              <w:t>2</w:t>
            </w:r>
            <w:r>
              <w:t>）危废贮存库及固态危废预处理车间采用微负压抽气设计，抽气经净化设施处理后达标排放。</w:t>
            </w:r>
          </w:p>
          <w:p w14:paraId="4545B642" w14:textId="77777777" w:rsidR="002E474C" w:rsidRDefault="00000000">
            <w:pPr>
              <w:pStyle w:val="A-"/>
              <w:jc w:val="both"/>
            </w:pPr>
            <w:r>
              <w:t>（</w:t>
            </w:r>
            <w:r>
              <w:t>3</w:t>
            </w:r>
            <w:r>
              <w:t>）危废贮存库运行期间，恶臭气体的排放应符合《恶臭污染物排放标准》（</w:t>
            </w:r>
            <w:r>
              <w:t>GB 14554-93</w:t>
            </w:r>
            <w:r>
              <w:t>）要求。</w:t>
            </w:r>
          </w:p>
          <w:p w14:paraId="1E6DCEA1" w14:textId="77777777" w:rsidR="002E474C" w:rsidRDefault="00000000">
            <w:pPr>
              <w:pStyle w:val="A-"/>
              <w:jc w:val="both"/>
            </w:pPr>
            <w:r>
              <w:t>（</w:t>
            </w:r>
            <w:r>
              <w:t>4</w:t>
            </w:r>
            <w:r>
              <w:t>）危废贮存库及固态危废预处理车间清理的废物或清洗废水应及时送水泥回转窑处置，不直接排放。</w:t>
            </w:r>
          </w:p>
          <w:p w14:paraId="759CC95B" w14:textId="77777777" w:rsidR="002E474C" w:rsidRDefault="00000000">
            <w:pPr>
              <w:pStyle w:val="A-"/>
              <w:jc w:val="both"/>
            </w:pPr>
            <w:r>
              <w:t>（</w:t>
            </w:r>
            <w:r>
              <w:t>5</w:t>
            </w:r>
            <w:r>
              <w:t>）危废贮存库及固态危废预处理车间运行期间，企业厂界噪声排放符合《工业企业厂界环境噪声排放标准》（</w:t>
            </w:r>
            <w:r>
              <w:t>GB 12348-2008</w:t>
            </w:r>
            <w:r>
              <w:t>）要求。</w:t>
            </w:r>
          </w:p>
        </w:tc>
        <w:tc>
          <w:tcPr>
            <w:tcW w:w="325" w:type="pct"/>
            <w:vAlign w:val="center"/>
          </w:tcPr>
          <w:p w14:paraId="1AE5A438" w14:textId="77777777" w:rsidR="002E474C" w:rsidRDefault="00000000">
            <w:pPr>
              <w:pStyle w:val="A-"/>
            </w:pPr>
            <w:r>
              <w:t>符合</w:t>
            </w:r>
          </w:p>
        </w:tc>
      </w:tr>
      <w:tr w:rsidR="002E474C" w14:paraId="2A5FAAD0" w14:textId="77777777">
        <w:tc>
          <w:tcPr>
            <w:tcW w:w="438" w:type="pct"/>
            <w:vAlign w:val="center"/>
          </w:tcPr>
          <w:p w14:paraId="1784AA42" w14:textId="77777777" w:rsidR="002E474C" w:rsidRDefault="00000000">
            <w:pPr>
              <w:pStyle w:val="A-"/>
            </w:pPr>
            <w:r>
              <w:t>10</w:t>
            </w:r>
            <w:r>
              <w:t>环境监测要求</w:t>
            </w:r>
          </w:p>
        </w:tc>
        <w:tc>
          <w:tcPr>
            <w:tcW w:w="2355" w:type="pct"/>
          </w:tcPr>
          <w:p w14:paraId="57845BD9" w14:textId="77777777" w:rsidR="002E474C" w:rsidRDefault="00000000">
            <w:pPr>
              <w:pStyle w:val="A-"/>
              <w:jc w:val="both"/>
            </w:pPr>
            <w:r>
              <w:t xml:space="preserve">10.1 </w:t>
            </w:r>
            <w:r>
              <w:t>贮存设施的环境监测应纳入主体设施的环境监测计划。</w:t>
            </w:r>
          </w:p>
          <w:p w14:paraId="0BC484AD" w14:textId="77777777" w:rsidR="002E474C" w:rsidRDefault="00000000">
            <w:pPr>
              <w:pStyle w:val="A-"/>
              <w:jc w:val="both"/>
            </w:pPr>
            <w:r>
              <w:t xml:space="preserve">10.2 </w:t>
            </w:r>
            <w:r>
              <w:t>贮存设施所有者或运营者应依据《大气污染防治法》《水污染防治法》《土壤污染防治法》等有关法律、《排污许可管理条例》等行政法规和</w:t>
            </w:r>
            <w:r>
              <w:t>HJ 819</w:t>
            </w:r>
            <w:r>
              <w:t>、</w:t>
            </w:r>
            <w:r>
              <w:t xml:space="preserve">HJ 1250 </w:t>
            </w:r>
            <w:r>
              <w:t>等规定制订监测方案，对贮存设施污染物排放状况开展自行监测，保存原始监测记录，并公布监测结果。</w:t>
            </w:r>
          </w:p>
          <w:p w14:paraId="0D22A975" w14:textId="77777777" w:rsidR="002E474C" w:rsidRDefault="00000000">
            <w:pPr>
              <w:pStyle w:val="A-"/>
              <w:jc w:val="both"/>
            </w:pPr>
            <w:r>
              <w:t xml:space="preserve">10.3 </w:t>
            </w:r>
            <w:r>
              <w:t>贮存设施废水污染物排放的监测方法和监测指标应符合国家相关标准要求。</w:t>
            </w:r>
          </w:p>
          <w:p w14:paraId="05CBA15C" w14:textId="77777777" w:rsidR="002E474C" w:rsidRDefault="00000000">
            <w:pPr>
              <w:pStyle w:val="A-"/>
              <w:jc w:val="both"/>
            </w:pPr>
            <w:r>
              <w:t xml:space="preserve">10.4 HJ 1259 </w:t>
            </w:r>
            <w:r>
              <w:t>规定的危险废物环境重点监管单位贮存设施地下水环境监测点布设应符合</w:t>
            </w:r>
            <w:r>
              <w:t xml:space="preserve">HJ 164 </w:t>
            </w:r>
            <w:r>
              <w:t>要求，监测因子应根据贮存废物的特性选择具有代表性且能表征危险废物特性的指标，地下水监测因子分析方法按照</w:t>
            </w:r>
            <w:r>
              <w:t xml:space="preserve">GB/T 14848 </w:t>
            </w:r>
            <w:r>
              <w:t>执行。</w:t>
            </w:r>
          </w:p>
          <w:p w14:paraId="6FF9EE35" w14:textId="77777777" w:rsidR="002E474C" w:rsidRDefault="00000000">
            <w:pPr>
              <w:pStyle w:val="A-"/>
              <w:jc w:val="both"/>
            </w:pPr>
            <w:r>
              <w:t xml:space="preserve">10.5 </w:t>
            </w:r>
            <w:r>
              <w:t>配有收集净化系统的贮存设施大气污染物排放的监测采样应按</w:t>
            </w:r>
            <w:r>
              <w:lastRenderedPageBreak/>
              <w:t>GB/T 16157</w:t>
            </w:r>
            <w:r>
              <w:t>、</w:t>
            </w:r>
            <w:r>
              <w:t>HJ/T 397</w:t>
            </w:r>
            <w:r>
              <w:t>、</w:t>
            </w:r>
            <w:r>
              <w:t>HJ 732</w:t>
            </w:r>
            <w:r>
              <w:t>的规定执行。</w:t>
            </w:r>
          </w:p>
          <w:p w14:paraId="62345266" w14:textId="77777777" w:rsidR="002E474C" w:rsidRDefault="00000000">
            <w:pPr>
              <w:pStyle w:val="A-"/>
              <w:jc w:val="both"/>
              <w:rPr>
                <w:spacing w:val="-6"/>
              </w:rPr>
            </w:pPr>
            <w:r>
              <w:rPr>
                <w:spacing w:val="-6"/>
              </w:rPr>
              <w:t xml:space="preserve">10.6 </w:t>
            </w:r>
            <w:r>
              <w:rPr>
                <w:spacing w:val="-6"/>
              </w:rPr>
              <w:t>贮存设施无组织气体排放监测因子应根据贮存废物的特性选择具有代表性且能表征危险废物特性的指标；采样点布设、采样及监测方法可按</w:t>
            </w:r>
            <w:r>
              <w:rPr>
                <w:spacing w:val="-6"/>
              </w:rPr>
              <w:t xml:space="preserve">HJ/T 55 </w:t>
            </w:r>
            <w:r>
              <w:rPr>
                <w:spacing w:val="-6"/>
              </w:rPr>
              <w:t>的规定执行，</w:t>
            </w:r>
            <w:r>
              <w:rPr>
                <w:spacing w:val="-6"/>
              </w:rPr>
              <w:t>VOCs</w:t>
            </w:r>
            <w:r>
              <w:rPr>
                <w:spacing w:val="-6"/>
              </w:rPr>
              <w:t>的无组织排放监测还应符合</w:t>
            </w:r>
            <w:r>
              <w:rPr>
                <w:spacing w:val="-6"/>
              </w:rPr>
              <w:t xml:space="preserve">GB 37822 </w:t>
            </w:r>
            <w:r>
              <w:rPr>
                <w:spacing w:val="-6"/>
              </w:rPr>
              <w:t>的规定。</w:t>
            </w:r>
          </w:p>
          <w:p w14:paraId="0C4A09AB" w14:textId="77777777" w:rsidR="002E474C" w:rsidRDefault="00000000">
            <w:pPr>
              <w:pStyle w:val="A-"/>
              <w:jc w:val="both"/>
            </w:pPr>
            <w:r>
              <w:t xml:space="preserve">10.7 </w:t>
            </w:r>
            <w:r>
              <w:t>贮存设施恶臭气体的排放监测应符合</w:t>
            </w:r>
            <w:r>
              <w:t>GB 14554</w:t>
            </w:r>
            <w:r>
              <w:t>、</w:t>
            </w:r>
            <w:r>
              <w:t xml:space="preserve">HJ 905 </w:t>
            </w:r>
            <w:r>
              <w:t>的规定。</w:t>
            </w:r>
          </w:p>
        </w:tc>
        <w:tc>
          <w:tcPr>
            <w:tcW w:w="1882" w:type="pct"/>
          </w:tcPr>
          <w:p w14:paraId="0F61AD35" w14:textId="77777777" w:rsidR="002E474C" w:rsidRDefault="00000000">
            <w:pPr>
              <w:pStyle w:val="A-"/>
              <w:jc w:val="both"/>
            </w:pPr>
            <w:r>
              <w:lastRenderedPageBreak/>
              <w:t>（</w:t>
            </w:r>
            <w:r>
              <w:t>1</w:t>
            </w:r>
            <w:r>
              <w:t>）危废贮存库及固态危废预处理车间的环境监测纳入水泥窑协同处置设施环境监测计划，统一管理。</w:t>
            </w:r>
          </w:p>
          <w:p w14:paraId="313E73B1" w14:textId="77777777" w:rsidR="002E474C" w:rsidRDefault="00000000">
            <w:pPr>
              <w:pStyle w:val="A-"/>
              <w:jc w:val="both"/>
            </w:pPr>
            <w:r>
              <w:t>（</w:t>
            </w:r>
            <w:r>
              <w:t>2</w:t>
            </w:r>
            <w:r>
              <w:t>）按照相关管理法规及规范，制订监测方案并开展自行监测，保存原始监测记录，并公布监测结果。</w:t>
            </w:r>
          </w:p>
          <w:p w14:paraId="43E911EF" w14:textId="77777777" w:rsidR="002E474C" w:rsidRDefault="00000000">
            <w:pPr>
              <w:pStyle w:val="A-"/>
              <w:jc w:val="both"/>
            </w:pPr>
            <w:r>
              <w:t>（</w:t>
            </w:r>
            <w:r>
              <w:t>3</w:t>
            </w:r>
            <w:r>
              <w:t>）危废贮存库及固态危废预处理车间收集的渗滤液、清洗废水、漏液等及时送水泥回转窑处置，不直接排放。</w:t>
            </w:r>
          </w:p>
          <w:p w14:paraId="5F61E659" w14:textId="77777777" w:rsidR="002E474C" w:rsidRDefault="00000000">
            <w:pPr>
              <w:pStyle w:val="A-"/>
              <w:jc w:val="both"/>
            </w:pPr>
            <w:r>
              <w:t>（</w:t>
            </w:r>
            <w:r>
              <w:t>4</w:t>
            </w:r>
            <w:r>
              <w:t>）按规范要求设置长期地下水监控井，用于地下水污染防控。</w:t>
            </w:r>
          </w:p>
          <w:p w14:paraId="49CECD15" w14:textId="77777777" w:rsidR="002E474C" w:rsidRDefault="00000000">
            <w:pPr>
              <w:pStyle w:val="A-"/>
              <w:jc w:val="both"/>
            </w:pPr>
            <w:r>
              <w:t>（</w:t>
            </w:r>
            <w:r>
              <w:t>5</w:t>
            </w:r>
            <w:r>
              <w:t>）按规范开展贮存设施有组织及无组织大气污染物排放的</w:t>
            </w:r>
            <w:r>
              <w:t>VOCs</w:t>
            </w:r>
            <w:r>
              <w:t>与恶臭监测采样工作。</w:t>
            </w:r>
          </w:p>
          <w:p w14:paraId="1D9E75EC" w14:textId="77777777" w:rsidR="002E474C" w:rsidRDefault="00000000">
            <w:pPr>
              <w:pStyle w:val="A-"/>
              <w:jc w:val="both"/>
            </w:pPr>
            <w:r>
              <w:t>（</w:t>
            </w:r>
            <w:r>
              <w:t>6</w:t>
            </w:r>
            <w:r>
              <w:t>）危废贮存废气大气污染物排放按</w:t>
            </w:r>
            <w:r>
              <w:t>GB/T 16157</w:t>
            </w:r>
            <w:r>
              <w:t>、</w:t>
            </w:r>
            <w:r>
              <w:t>HJ/T 397</w:t>
            </w:r>
            <w:r>
              <w:t>、</w:t>
            </w:r>
            <w:r>
              <w:t>HJ 732</w:t>
            </w:r>
            <w:r>
              <w:t>的规定执行。</w:t>
            </w:r>
          </w:p>
        </w:tc>
        <w:tc>
          <w:tcPr>
            <w:tcW w:w="325" w:type="pct"/>
            <w:vAlign w:val="center"/>
          </w:tcPr>
          <w:p w14:paraId="631EA9A9" w14:textId="77777777" w:rsidR="002E474C" w:rsidRDefault="00000000">
            <w:pPr>
              <w:pStyle w:val="A-"/>
            </w:pPr>
            <w:r>
              <w:t>符合</w:t>
            </w:r>
          </w:p>
        </w:tc>
      </w:tr>
      <w:tr w:rsidR="002E474C" w14:paraId="37FD3F1B" w14:textId="77777777">
        <w:tc>
          <w:tcPr>
            <w:tcW w:w="438" w:type="pct"/>
            <w:vAlign w:val="center"/>
          </w:tcPr>
          <w:p w14:paraId="3328AF0D" w14:textId="77777777" w:rsidR="002E474C" w:rsidRDefault="00000000">
            <w:pPr>
              <w:pStyle w:val="A-"/>
            </w:pPr>
            <w:r>
              <w:t>11</w:t>
            </w:r>
            <w:r>
              <w:t>环境应急要求</w:t>
            </w:r>
          </w:p>
        </w:tc>
        <w:tc>
          <w:tcPr>
            <w:tcW w:w="2355" w:type="pct"/>
          </w:tcPr>
          <w:p w14:paraId="3AD0561F" w14:textId="77777777" w:rsidR="002E474C" w:rsidRDefault="00000000">
            <w:pPr>
              <w:pStyle w:val="A-"/>
              <w:jc w:val="both"/>
              <w:rPr>
                <w:spacing w:val="-6"/>
              </w:rPr>
            </w:pPr>
            <w:r>
              <w:rPr>
                <w:spacing w:val="-6"/>
              </w:rPr>
              <w:t xml:space="preserve">11.1 </w:t>
            </w:r>
            <w:r>
              <w:rPr>
                <w:spacing w:val="-6"/>
              </w:rPr>
              <w:t>贮存设施所有者或运营者应按照国家有关规定编制突发环境事件应急预案，定期开展必要的培训和环境应急演练，并做好培训、演练记录。</w:t>
            </w:r>
          </w:p>
          <w:p w14:paraId="6584B947" w14:textId="77777777" w:rsidR="002E474C" w:rsidRDefault="00000000">
            <w:pPr>
              <w:pStyle w:val="A-"/>
              <w:jc w:val="both"/>
            </w:pPr>
            <w:r>
              <w:t xml:space="preserve">11.2 </w:t>
            </w:r>
            <w:r>
              <w:t>贮存设施所有者或运营者应配备满足其突发环境事件应急要求的应急人员、装备和物资，并应设置应急照明系统。</w:t>
            </w:r>
          </w:p>
          <w:p w14:paraId="2FC4C6B7" w14:textId="77777777" w:rsidR="002E474C" w:rsidRDefault="00000000">
            <w:pPr>
              <w:pStyle w:val="A-"/>
              <w:jc w:val="both"/>
            </w:pPr>
            <w:r>
              <w:t xml:space="preserve">11.3 </w:t>
            </w:r>
            <w:r>
              <w:t>相关部门发布自然灾害或恶劣天气预警后，贮存设施所有者或运营者应启动相应防控措施，若有必要可将危险废物转移至其他具有防护条件的地点贮存。</w:t>
            </w:r>
          </w:p>
        </w:tc>
        <w:tc>
          <w:tcPr>
            <w:tcW w:w="1882" w:type="pct"/>
          </w:tcPr>
          <w:p w14:paraId="2B081FDE" w14:textId="77777777" w:rsidR="002E474C" w:rsidRDefault="00000000">
            <w:pPr>
              <w:pStyle w:val="A-"/>
              <w:jc w:val="both"/>
            </w:pPr>
            <w:r>
              <w:t>企业建立完善的环境风险防控体系，按照规范要求编制突发环境事件应急预案，配齐应急物资和设施，强化应急救援队伍建设，定期开展应急演练。</w:t>
            </w:r>
          </w:p>
        </w:tc>
        <w:tc>
          <w:tcPr>
            <w:tcW w:w="325" w:type="pct"/>
            <w:vAlign w:val="center"/>
          </w:tcPr>
          <w:p w14:paraId="71BB42C4" w14:textId="77777777" w:rsidR="002E474C" w:rsidRDefault="00000000">
            <w:pPr>
              <w:pStyle w:val="A-"/>
            </w:pPr>
            <w:r>
              <w:t>符合</w:t>
            </w:r>
          </w:p>
        </w:tc>
      </w:tr>
    </w:tbl>
    <w:p w14:paraId="096AC9DA" w14:textId="77777777" w:rsidR="002E474C" w:rsidRDefault="002E474C">
      <w:pPr>
        <w:pStyle w:val="A-z"/>
        <w:rPr>
          <w:color w:val="auto"/>
        </w:rPr>
      </w:pPr>
    </w:p>
    <w:p w14:paraId="60CE57E8" w14:textId="77777777" w:rsidR="002E474C" w:rsidRDefault="002E474C">
      <w:pPr>
        <w:pStyle w:val="A-z"/>
        <w:rPr>
          <w:color w:val="auto"/>
        </w:rPr>
        <w:sectPr w:rsidR="002E474C">
          <w:pgSz w:w="16838" w:h="11906" w:orient="landscape"/>
          <w:pgMar w:top="1800" w:right="1440" w:bottom="1800" w:left="1440" w:header="851" w:footer="992" w:gutter="0"/>
          <w:cols w:space="720"/>
          <w:docGrid w:linePitch="312"/>
        </w:sectPr>
      </w:pPr>
    </w:p>
    <w:p w14:paraId="5E13F1C1" w14:textId="77777777" w:rsidR="002E474C" w:rsidRDefault="00000000">
      <w:pPr>
        <w:pStyle w:val="A--"/>
        <w:spacing w:beforeLines="0" w:before="0"/>
        <w:ind w:leftChars="0" w:left="0" w:rightChars="0" w:right="0"/>
        <w:rPr>
          <w:color w:val="auto"/>
        </w:rPr>
      </w:pPr>
      <w:r>
        <w:rPr>
          <w:color w:val="auto"/>
        </w:rPr>
        <w:lastRenderedPageBreak/>
        <w:t>表</w:t>
      </w:r>
      <w:r>
        <w:rPr>
          <w:color w:val="auto"/>
        </w:rPr>
        <w:t xml:space="preserve">1.4-7  </w:t>
      </w:r>
      <w:r>
        <w:rPr>
          <w:color w:val="auto"/>
        </w:rPr>
        <w:t>与《水泥窑协同处置工业废物设计规范》（</w:t>
      </w:r>
      <w:r>
        <w:rPr>
          <w:color w:val="auto"/>
        </w:rPr>
        <w:t>GB50634-2010</w:t>
      </w:r>
      <w:r>
        <w:rPr>
          <w:color w:val="auto"/>
        </w:rPr>
        <w:t>）符合性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29"/>
        <w:gridCol w:w="3587"/>
        <w:gridCol w:w="868"/>
      </w:tblGrid>
      <w:tr w:rsidR="002E474C" w14:paraId="617F2FD2" w14:textId="77777777">
        <w:tc>
          <w:tcPr>
            <w:tcW w:w="3403" w:type="pct"/>
            <w:gridSpan w:val="2"/>
            <w:vAlign w:val="center"/>
          </w:tcPr>
          <w:p w14:paraId="3E2E4F0E" w14:textId="77777777" w:rsidR="002E474C" w:rsidRDefault="00000000">
            <w:pPr>
              <w:pStyle w:val="A-"/>
              <w:spacing w:line="260" w:lineRule="exact"/>
            </w:pPr>
            <w:r>
              <w:t>要求</w:t>
            </w:r>
          </w:p>
        </w:tc>
        <w:tc>
          <w:tcPr>
            <w:tcW w:w="1286" w:type="pct"/>
          </w:tcPr>
          <w:p w14:paraId="119BB30A" w14:textId="77777777" w:rsidR="002E474C" w:rsidRDefault="00000000">
            <w:pPr>
              <w:pStyle w:val="A-"/>
              <w:spacing w:line="260" w:lineRule="exact"/>
            </w:pPr>
            <w:r>
              <w:t>本项目情况</w:t>
            </w:r>
          </w:p>
        </w:tc>
        <w:tc>
          <w:tcPr>
            <w:tcW w:w="311" w:type="pct"/>
          </w:tcPr>
          <w:p w14:paraId="1D305024" w14:textId="77777777" w:rsidR="002E474C" w:rsidRDefault="00000000">
            <w:pPr>
              <w:pStyle w:val="A-"/>
              <w:spacing w:line="260" w:lineRule="exact"/>
            </w:pPr>
            <w:r>
              <w:t>符合性</w:t>
            </w:r>
          </w:p>
        </w:tc>
      </w:tr>
      <w:tr w:rsidR="002E474C" w14:paraId="69B2E62F" w14:textId="77777777">
        <w:tc>
          <w:tcPr>
            <w:tcW w:w="489" w:type="pct"/>
            <w:vAlign w:val="center"/>
          </w:tcPr>
          <w:p w14:paraId="675A74B6" w14:textId="77777777" w:rsidR="002E474C" w:rsidRDefault="00000000">
            <w:pPr>
              <w:pStyle w:val="A-"/>
              <w:spacing w:line="260" w:lineRule="exact"/>
            </w:pPr>
            <w:r>
              <w:t xml:space="preserve">3 </w:t>
            </w:r>
            <w:r>
              <w:t>设计原则</w:t>
            </w:r>
          </w:p>
        </w:tc>
        <w:tc>
          <w:tcPr>
            <w:tcW w:w="2914" w:type="pct"/>
            <w:vAlign w:val="center"/>
          </w:tcPr>
          <w:p w14:paraId="143C59C3" w14:textId="77777777" w:rsidR="002E474C" w:rsidRDefault="00000000">
            <w:pPr>
              <w:pStyle w:val="A-"/>
              <w:spacing w:line="260" w:lineRule="exact"/>
              <w:ind w:leftChars="-25" w:left="-53" w:rightChars="-25" w:right="-53"/>
              <w:jc w:val="both"/>
            </w:pPr>
            <w:r>
              <w:t xml:space="preserve">3.1 </w:t>
            </w:r>
            <w:r>
              <w:t>总体设计原则</w:t>
            </w:r>
          </w:p>
          <w:p w14:paraId="6A4C5A0A" w14:textId="77777777" w:rsidR="002E474C" w:rsidRDefault="00000000">
            <w:pPr>
              <w:pStyle w:val="A-"/>
              <w:spacing w:line="260" w:lineRule="exact"/>
              <w:ind w:leftChars="-25" w:left="-53" w:rightChars="-25" w:right="-53"/>
              <w:jc w:val="both"/>
            </w:pPr>
            <w:r>
              <w:t xml:space="preserve">3.1.1 </w:t>
            </w:r>
            <w:r>
              <w:t>水泥窑协同处置工业废物，应依据拟处置工业废物的类别，制定工业废物预处理工艺及技术方案，并应依据所处置工业废物的特性确定处置规模。</w:t>
            </w:r>
          </w:p>
          <w:p w14:paraId="0E27276C" w14:textId="77777777" w:rsidR="002E474C" w:rsidRDefault="00000000">
            <w:pPr>
              <w:pStyle w:val="A-"/>
              <w:spacing w:line="260" w:lineRule="exact"/>
              <w:ind w:leftChars="-25" w:left="-53" w:rightChars="-25" w:right="-53"/>
              <w:jc w:val="both"/>
            </w:pPr>
            <w:r>
              <w:t xml:space="preserve">3.1.2 </w:t>
            </w:r>
            <w:r>
              <w:t>禁止采用国家明令淘汰的技术工艺和设备。</w:t>
            </w:r>
          </w:p>
          <w:p w14:paraId="0F202265" w14:textId="77777777" w:rsidR="002E474C" w:rsidRDefault="00000000">
            <w:pPr>
              <w:pStyle w:val="A-"/>
              <w:spacing w:line="260" w:lineRule="exact"/>
              <w:ind w:leftChars="-25" w:left="-53" w:rightChars="-25" w:right="-53"/>
              <w:jc w:val="both"/>
            </w:pPr>
            <w:r>
              <w:t xml:space="preserve">3.1.3 </w:t>
            </w:r>
            <w:r>
              <w:t>水泥厂从事收集、贮存、处置危险废物，应通过工业试验、或同质对比，且必须向县级以上人民政府环境保护行政主管部门申请领取经营许可证。</w:t>
            </w:r>
          </w:p>
          <w:p w14:paraId="5ED42D18" w14:textId="77777777" w:rsidR="002E474C" w:rsidRDefault="00000000">
            <w:pPr>
              <w:pStyle w:val="A-"/>
              <w:spacing w:line="260" w:lineRule="exact"/>
              <w:ind w:leftChars="-25" w:left="-53" w:rightChars="-25" w:right="-53"/>
              <w:jc w:val="both"/>
            </w:pPr>
            <w:r>
              <w:t xml:space="preserve">3.1.4 </w:t>
            </w:r>
            <w:r>
              <w:t>水泥窑协同处置工业废物后，其水泥产品质量应符合现行国家标准《通用硅酸盐水泥》</w:t>
            </w:r>
            <w:r>
              <w:t>GB175</w:t>
            </w:r>
            <w:r>
              <w:t>的规定，污染物排放应符合国家标准的有关规定。</w:t>
            </w:r>
          </w:p>
        </w:tc>
        <w:tc>
          <w:tcPr>
            <w:tcW w:w="1286" w:type="pct"/>
          </w:tcPr>
          <w:p w14:paraId="0CD2D899" w14:textId="77777777" w:rsidR="002E474C" w:rsidRDefault="00000000">
            <w:pPr>
              <w:pStyle w:val="A-"/>
              <w:spacing w:line="260" w:lineRule="exact"/>
              <w:ind w:leftChars="-25" w:left="-53" w:rightChars="-25" w:right="-53"/>
              <w:jc w:val="both"/>
            </w:pPr>
            <w:r>
              <w:t>（</w:t>
            </w:r>
            <w:r>
              <w:t>1</w:t>
            </w:r>
            <w:r>
              <w:t>）本项目根据危险废物特性设计技术方案与处置规模。</w:t>
            </w:r>
          </w:p>
          <w:p w14:paraId="0FCC281F" w14:textId="77777777" w:rsidR="002E474C" w:rsidRDefault="00000000">
            <w:pPr>
              <w:pStyle w:val="A-"/>
              <w:spacing w:line="260" w:lineRule="exact"/>
              <w:ind w:leftChars="-25" w:left="-53" w:rightChars="-25" w:right="-53"/>
              <w:jc w:val="both"/>
            </w:pPr>
            <w:r>
              <w:t>（</w:t>
            </w:r>
            <w:r>
              <w:t>2</w:t>
            </w:r>
            <w:r>
              <w:t>）本项目不采用国家明令淘汰的技术工艺和设备。</w:t>
            </w:r>
          </w:p>
          <w:p w14:paraId="262BEC21" w14:textId="77777777" w:rsidR="002E474C" w:rsidRDefault="00000000">
            <w:pPr>
              <w:pStyle w:val="A-"/>
              <w:spacing w:line="260" w:lineRule="exact"/>
              <w:ind w:leftChars="-25" w:left="-53" w:rightChars="-25" w:right="-53"/>
              <w:jc w:val="both"/>
              <w:rPr>
                <w:snapToGrid w:val="0"/>
                <w:spacing w:val="-6"/>
              </w:rPr>
            </w:pPr>
            <w:r>
              <w:rPr>
                <w:snapToGrid w:val="0"/>
                <w:spacing w:val="-6"/>
              </w:rPr>
              <w:t>（</w:t>
            </w:r>
            <w:r>
              <w:rPr>
                <w:snapToGrid w:val="0"/>
                <w:spacing w:val="-6"/>
              </w:rPr>
              <w:t>3</w:t>
            </w:r>
            <w:r>
              <w:rPr>
                <w:snapToGrid w:val="0"/>
                <w:spacing w:val="-6"/>
              </w:rPr>
              <w:t>）本项目按照《水泥窑协同处置危险废物经营许可证审查指南（试行）》申领水泥窑协同处置危险废物经营许可证。</w:t>
            </w:r>
          </w:p>
          <w:p w14:paraId="7E0E70AC" w14:textId="77777777" w:rsidR="002E474C" w:rsidRDefault="00000000">
            <w:pPr>
              <w:pStyle w:val="A-"/>
              <w:spacing w:line="260" w:lineRule="exact"/>
              <w:ind w:leftChars="-25" w:left="-53" w:rightChars="-25" w:right="-53"/>
              <w:jc w:val="both"/>
            </w:pPr>
            <w:r>
              <w:t>（</w:t>
            </w:r>
            <w:r>
              <w:t>4</w:t>
            </w:r>
            <w:r>
              <w:t>）本项目应确保水泥熟料满足《硅酸盐水泥熟料》（</w:t>
            </w:r>
            <w:r>
              <w:t>GB/T21372-2024</w:t>
            </w:r>
            <w:r>
              <w:t>），水泥产品满足《通用硅酸盐水泥》（</w:t>
            </w:r>
            <w:r>
              <w:t>GB175-2023</w:t>
            </w:r>
            <w:r>
              <w:t>）。</w:t>
            </w:r>
          </w:p>
        </w:tc>
        <w:tc>
          <w:tcPr>
            <w:tcW w:w="311" w:type="pct"/>
            <w:vAlign w:val="center"/>
          </w:tcPr>
          <w:p w14:paraId="0B0569A7" w14:textId="77777777" w:rsidR="002E474C" w:rsidRDefault="00000000">
            <w:pPr>
              <w:pStyle w:val="A-"/>
              <w:spacing w:line="260" w:lineRule="exact"/>
            </w:pPr>
            <w:r>
              <w:t>符合</w:t>
            </w:r>
          </w:p>
        </w:tc>
      </w:tr>
      <w:tr w:rsidR="002E474C" w14:paraId="65D9E606" w14:textId="77777777">
        <w:tc>
          <w:tcPr>
            <w:tcW w:w="489" w:type="pct"/>
            <w:vAlign w:val="center"/>
          </w:tcPr>
          <w:p w14:paraId="0F3593F6" w14:textId="77777777" w:rsidR="002E474C" w:rsidRDefault="00000000">
            <w:pPr>
              <w:pStyle w:val="A-"/>
              <w:spacing w:line="260" w:lineRule="exact"/>
            </w:pPr>
            <w:r>
              <w:t xml:space="preserve">4 </w:t>
            </w:r>
            <w:r>
              <w:t>工业废物的处置规模、技术与装备要求</w:t>
            </w:r>
          </w:p>
        </w:tc>
        <w:tc>
          <w:tcPr>
            <w:tcW w:w="2914" w:type="pct"/>
            <w:vAlign w:val="center"/>
          </w:tcPr>
          <w:p w14:paraId="1579F3A6" w14:textId="77777777" w:rsidR="002E474C" w:rsidRDefault="00000000">
            <w:pPr>
              <w:pStyle w:val="A-"/>
              <w:spacing w:line="260" w:lineRule="exact"/>
              <w:ind w:leftChars="-25" w:left="-53" w:rightChars="-25" w:right="-53"/>
              <w:jc w:val="both"/>
            </w:pPr>
            <w:r>
              <w:t xml:space="preserve">4.3 </w:t>
            </w:r>
            <w:r>
              <w:t>技术装备要求</w:t>
            </w:r>
          </w:p>
          <w:p w14:paraId="0284F263" w14:textId="77777777" w:rsidR="002E474C" w:rsidRDefault="00000000">
            <w:pPr>
              <w:pStyle w:val="A-"/>
              <w:spacing w:line="260" w:lineRule="exact"/>
              <w:ind w:leftChars="-25" w:left="-53" w:rightChars="-25" w:right="-53"/>
              <w:jc w:val="both"/>
            </w:pPr>
            <w:r>
              <w:t xml:space="preserve">4.3.1 </w:t>
            </w:r>
            <w:r>
              <w:t>水泥窑协同处置工业废物技术装备的确定应符合以下要求：</w:t>
            </w:r>
          </w:p>
          <w:p w14:paraId="41537397" w14:textId="77777777" w:rsidR="002E474C" w:rsidRDefault="00000000">
            <w:pPr>
              <w:pStyle w:val="A-"/>
              <w:spacing w:line="260" w:lineRule="exact"/>
              <w:ind w:leftChars="-25" w:left="-53" w:rightChars="-25" w:right="-53"/>
              <w:jc w:val="both"/>
            </w:pPr>
            <w:r>
              <w:t xml:space="preserve">1 </w:t>
            </w:r>
            <w:r>
              <w:t>水泥窑协同处置工业废物的工艺装备和自动化控制水平应不低于依托水泥熟料生产线的水平。</w:t>
            </w:r>
          </w:p>
          <w:p w14:paraId="39864778" w14:textId="77777777" w:rsidR="002E474C" w:rsidRDefault="00000000">
            <w:pPr>
              <w:pStyle w:val="A-"/>
              <w:spacing w:line="260" w:lineRule="exact"/>
              <w:ind w:leftChars="-25" w:left="-53" w:rightChars="-25" w:right="-53"/>
              <w:jc w:val="both"/>
            </w:pPr>
            <w:r>
              <w:t xml:space="preserve">2 </w:t>
            </w:r>
            <w:r>
              <w:t>预处理及共焚烧的工艺处置技术及装备应依据所处置工业废物的特点确定，需引进设备、部件及仪表，应进行技术经济论证后确定。</w:t>
            </w:r>
          </w:p>
          <w:p w14:paraId="6F708861" w14:textId="77777777" w:rsidR="002E474C" w:rsidRDefault="00000000">
            <w:pPr>
              <w:pStyle w:val="A-"/>
              <w:spacing w:line="260" w:lineRule="exact"/>
              <w:ind w:leftChars="-25" w:left="-53" w:rightChars="-25" w:right="-53"/>
              <w:jc w:val="both"/>
            </w:pPr>
            <w:r>
              <w:t xml:space="preserve">3 </w:t>
            </w:r>
            <w:r>
              <w:t>水泥窑协同处置工业废物应采用新型干法水泥熟料生产线，保证所有危险废物及可燃性一般工业废物在高温区投入水泥窑系统。</w:t>
            </w:r>
          </w:p>
          <w:p w14:paraId="4B2CDD82" w14:textId="77777777" w:rsidR="002E474C" w:rsidRDefault="00000000">
            <w:pPr>
              <w:pStyle w:val="A-"/>
              <w:spacing w:line="260" w:lineRule="exact"/>
              <w:ind w:leftChars="-25" w:left="-53" w:rightChars="-25" w:right="-53"/>
              <w:jc w:val="both"/>
            </w:pPr>
            <w:r>
              <w:t xml:space="preserve">4 </w:t>
            </w:r>
            <w:r>
              <w:t>水分含量高的一般工业废物作为替代燃料使用应设置预处理系统进行脱水处置。</w:t>
            </w:r>
          </w:p>
          <w:p w14:paraId="133AB034" w14:textId="77777777" w:rsidR="002E474C" w:rsidRDefault="00000000">
            <w:pPr>
              <w:pStyle w:val="A-"/>
              <w:spacing w:line="260" w:lineRule="exact"/>
              <w:ind w:leftChars="-25" w:left="-53" w:rightChars="-25" w:right="-53"/>
              <w:jc w:val="both"/>
            </w:pPr>
            <w:r>
              <w:t xml:space="preserve">5 </w:t>
            </w:r>
            <w:r>
              <w:t>一般工业废物应根据其成分、热值等参数进行预均化处理，并应注意相互间的相容性。处置危险废物前应预先进行配伍实验。</w:t>
            </w:r>
            <w:r>
              <w:t xml:space="preserve">6 </w:t>
            </w:r>
            <w:r>
              <w:t>含有易挥发</w:t>
            </w:r>
            <w:r>
              <w:t>(</w:t>
            </w:r>
            <w:r>
              <w:t>有机和无机</w:t>
            </w:r>
            <w:r>
              <w:t>)</w:t>
            </w:r>
            <w:r>
              <w:t>成分的替代原料必须经过处理，禁止通过正常的生料喂料方式喂料。</w:t>
            </w:r>
          </w:p>
          <w:p w14:paraId="4D86648D" w14:textId="77777777" w:rsidR="002E474C" w:rsidRDefault="00000000">
            <w:pPr>
              <w:pStyle w:val="A-"/>
              <w:spacing w:line="260" w:lineRule="exact"/>
              <w:ind w:leftChars="-25" w:left="-53" w:rightChars="-25" w:right="-53"/>
              <w:jc w:val="both"/>
            </w:pPr>
            <w:r>
              <w:t xml:space="preserve">4.3.2 </w:t>
            </w:r>
            <w:r>
              <w:t>可燃性一般工业废物焚烧处置应在</w:t>
            </w:r>
            <w:r>
              <w:t>850℃</w:t>
            </w:r>
            <w:r>
              <w:t>以上的区域投入，烟气停留时间应大于</w:t>
            </w:r>
            <w:r>
              <w:t>2</w:t>
            </w:r>
            <w:r>
              <w:t>秒。</w:t>
            </w:r>
          </w:p>
          <w:p w14:paraId="37CC4EC3" w14:textId="77777777" w:rsidR="002E474C" w:rsidRDefault="00000000">
            <w:pPr>
              <w:pStyle w:val="A-"/>
              <w:spacing w:line="260" w:lineRule="exact"/>
              <w:ind w:leftChars="-25" w:left="-53" w:rightChars="-25" w:right="-53"/>
              <w:jc w:val="both"/>
            </w:pPr>
            <w:r>
              <w:rPr>
                <w:spacing w:val="-6"/>
              </w:rPr>
              <w:t xml:space="preserve">4.3.3 </w:t>
            </w:r>
            <w:r>
              <w:rPr>
                <w:spacing w:val="-6"/>
              </w:rPr>
              <w:t>水泥窑协同处置危险废物应在温度</w:t>
            </w:r>
            <w:r>
              <w:rPr>
                <w:spacing w:val="-6"/>
              </w:rPr>
              <w:t>1100℃</w:t>
            </w:r>
            <w:r>
              <w:rPr>
                <w:spacing w:val="-6"/>
              </w:rPr>
              <w:t>以上的区域投入，烟气停留时间应大于</w:t>
            </w:r>
            <w:r>
              <w:rPr>
                <w:spacing w:val="-6"/>
              </w:rPr>
              <w:t>2</w:t>
            </w:r>
            <w:r>
              <w:rPr>
                <w:spacing w:val="-6"/>
              </w:rPr>
              <w:t>秒。</w:t>
            </w:r>
          </w:p>
        </w:tc>
        <w:tc>
          <w:tcPr>
            <w:tcW w:w="1286" w:type="pct"/>
          </w:tcPr>
          <w:p w14:paraId="33F66B01" w14:textId="77777777" w:rsidR="002E474C" w:rsidRDefault="00000000">
            <w:pPr>
              <w:pStyle w:val="A-"/>
              <w:spacing w:line="260" w:lineRule="exact"/>
              <w:ind w:leftChars="-25" w:left="-53" w:rightChars="-25" w:right="-53"/>
              <w:jc w:val="both"/>
            </w:pPr>
            <w:r>
              <w:t>（</w:t>
            </w:r>
            <w:r>
              <w:t>1</w:t>
            </w:r>
            <w:r>
              <w:t>）本项目工艺装备和自动化控制水平应不低于圣雄水泥公司现有电石渣干法水泥生产线的水平。</w:t>
            </w:r>
          </w:p>
          <w:p w14:paraId="0F73C8E1" w14:textId="77777777" w:rsidR="002E474C" w:rsidRDefault="00000000">
            <w:pPr>
              <w:pStyle w:val="A-"/>
              <w:spacing w:line="260" w:lineRule="exact"/>
              <w:ind w:leftChars="-25" w:left="-53" w:rightChars="-25" w:right="-53"/>
              <w:jc w:val="both"/>
            </w:pPr>
            <w:r>
              <w:t>（</w:t>
            </w:r>
            <w:r>
              <w:t>2</w:t>
            </w:r>
            <w:r>
              <w:t>）本项目依托的水泥窑为窑磨一体机模式的新型干法水泥窑。</w:t>
            </w:r>
          </w:p>
          <w:p w14:paraId="67EE0619" w14:textId="77777777" w:rsidR="002E474C" w:rsidRDefault="00000000">
            <w:pPr>
              <w:pStyle w:val="A-"/>
              <w:spacing w:line="260" w:lineRule="exact"/>
              <w:ind w:leftChars="-25" w:left="-53" w:rightChars="-25" w:right="-53"/>
              <w:jc w:val="both"/>
            </w:pPr>
            <w:r>
              <w:t>（</w:t>
            </w:r>
            <w:r>
              <w:t>3</w:t>
            </w:r>
            <w:r>
              <w:t>）本项目根据危险废物特性选择投料口，配套投料设施。</w:t>
            </w:r>
          </w:p>
          <w:p w14:paraId="316CED49" w14:textId="77777777" w:rsidR="002E474C" w:rsidRDefault="00000000">
            <w:pPr>
              <w:pStyle w:val="A-"/>
              <w:spacing w:line="260" w:lineRule="exact"/>
              <w:ind w:leftChars="-25" w:left="-53" w:rightChars="-25" w:right="-53"/>
              <w:jc w:val="both"/>
            </w:pPr>
            <w:r>
              <w:t>（</w:t>
            </w:r>
            <w:r>
              <w:t>4</w:t>
            </w:r>
            <w:r>
              <w:t>）预处理中心的危险废物准入控制、准入评估、初步配伍及预处理方案可满足本项目危险废物协同处置要求。</w:t>
            </w:r>
          </w:p>
          <w:p w14:paraId="3AD7DB31" w14:textId="77777777" w:rsidR="002E474C" w:rsidRDefault="00000000">
            <w:pPr>
              <w:pStyle w:val="A-"/>
              <w:spacing w:line="260" w:lineRule="exact"/>
              <w:ind w:leftChars="-25" w:left="-53" w:rightChars="-25" w:right="-53"/>
              <w:jc w:val="both"/>
            </w:pPr>
            <w:r>
              <w:t>（</w:t>
            </w:r>
            <w:r>
              <w:t>5</w:t>
            </w:r>
            <w:r>
              <w:t>）危险废物在回转窑高于</w:t>
            </w:r>
            <w:r>
              <w:t>1300℃</w:t>
            </w:r>
            <w:r>
              <w:t>以上的停留时间大于</w:t>
            </w:r>
            <w:r>
              <w:t>3s</w:t>
            </w:r>
            <w:r>
              <w:t>，有利于危废的充分燃烧和分解。</w:t>
            </w:r>
          </w:p>
        </w:tc>
        <w:tc>
          <w:tcPr>
            <w:tcW w:w="311" w:type="pct"/>
            <w:vAlign w:val="center"/>
          </w:tcPr>
          <w:p w14:paraId="0600C032" w14:textId="77777777" w:rsidR="002E474C" w:rsidRDefault="00000000">
            <w:pPr>
              <w:pStyle w:val="A-"/>
              <w:spacing w:line="260" w:lineRule="exact"/>
            </w:pPr>
            <w:r>
              <w:t>符合</w:t>
            </w:r>
          </w:p>
        </w:tc>
      </w:tr>
      <w:tr w:rsidR="002E474C" w14:paraId="5A5640C6" w14:textId="77777777">
        <w:tc>
          <w:tcPr>
            <w:tcW w:w="489" w:type="pct"/>
            <w:vMerge w:val="restart"/>
            <w:vAlign w:val="center"/>
          </w:tcPr>
          <w:p w14:paraId="735A664B" w14:textId="77777777" w:rsidR="002E474C" w:rsidRDefault="00000000">
            <w:pPr>
              <w:pStyle w:val="A-"/>
              <w:spacing w:line="260" w:lineRule="exact"/>
            </w:pPr>
            <w:r>
              <w:t>5</w:t>
            </w:r>
            <w:r>
              <w:t>工业废物的主要类别及品质要求</w:t>
            </w:r>
          </w:p>
        </w:tc>
        <w:tc>
          <w:tcPr>
            <w:tcW w:w="2914" w:type="pct"/>
            <w:vAlign w:val="center"/>
          </w:tcPr>
          <w:p w14:paraId="6E133D96" w14:textId="77777777" w:rsidR="002E474C" w:rsidRDefault="00000000">
            <w:pPr>
              <w:pStyle w:val="A-"/>
              <w:spacing w:line="260" w:lineRule="exact"/>
              <w:ind w:leftChars="-25" w:left="-53" w:rightChars="-25" w:right="-53"/>
              <w:jc w:val="both"/>
            </w:pPr>
            <w:r>
              <w:t xml:space="preserve">5.1 </w:t>
            </w:r>
            <w:r>
              <w:t>水泥窑协同处置工业废物的分类</w:t>
            </w:r>
            <w:r>
              <w:t xml:space="preserve"> </w:t>
            </w:r>
          </w:p>
          <w:p w14:paraId="732E8486" w14:textId="77777777" w:rsidR="002E474C" w:rsidRDefault="00000000">
            <w:pPr>
              <w:pStyle w:val="A-"/>
              <w:spacing w:line="260" w:lineRule="exact"/>
              <w:ind w:leftChars="-25" w:left="-53" w:rightChars="-25" w:right="-53"/>
              <w:jc w:val="both"/>
            </w:pPr>
            <w:r>
              <w:t xml:space="preserve">5.1.1 </w:t>
            </w:r>
            <w:r>
              <w:t>水泥窑协同处置工业废物，按照工业废物在水泥窑系统的主要作用，可分为替代原料、替代燃料、水泥窑销毁处置三种类别。</w:t>
            </w:r>
          </w:p>
          <w:p w14:paraId="5A9EEB36" w14:textId="77777777" w:rsidR="002E474C" w:rsidRDefault="00000000">
            <w:pPr>
              <w:pStyle w:val="A-"/>
              <w:spacing w:line="260" w:lineRule="exact"/>
              <w:ind w:leftChars="-25" w:left="-53" w:rightChars="-25" w:right="-53"/>
              <w:jc w:val="both"/>
            </w:pPr>
            <w:r>
              <w:lastRenderedPageBreak/>
              <w:t xml:space="preserve">5.1.2 </w:t>
            </w:r>
            <w:r>
              <w:t>作为替代原料的工业废物，主要要求及判别依据为：</w:t>
            </w:r>
          </w:p>
          <w:p w14:paraId="1DB24B10" w14:textId="77777777" w:rsidR="002E474C" w:rsidRDefault="00000000">
            <w:pPr>
              <w:pStyle w:val="A-"/>
              <w:spacing w:line="260" w:lineRule="exact"/>
              <w:ind w:leftChars="-25" w:left="-53" w:rightChars="-25" w:right="-53"/>
              <w:jc w:val="both"/>
            </w:pPr>
            <w:r>
              <w:t xml:space="preserve">1 </w:t>
            </w:r>
            <w:r>
              <w:t>工业废物中有用成分</w:t>
            </w:r>
            <w:proofErr w:type="spellStart"/>
            <w:r>
              <w:t>CaO</w:t>
            </w:r>
            <w:proofErr w:type="spellEnd"/>
            <w:r>
              <w:t>、</w:t>
            </w:r>
            <w:r>
              <w:t>SiO</w:t>
            </w:r>
            <w:r>
              <w:rPr>
                <w:vertAlign w:val="subscript"/>
              </w:rPr>
              <w:t>2</w:t>
            </w:r>
            <w:r>
              <w:t>、</w:t>
            </w:r>
            <w:r>
              <w:t>Al</w:t>
            </w:r>
            <w:r>
              <w:rPr>
                <w:vertAlign w:val="subscript"/>
              </w:rPr>
              <w:t>2</w:t>
            </w:r>
            <w:r>
              <w:t>O</w:t>
            </w:r>
            <w:r>
              <w:rPr>
                <w:vertAlign w:val="subscript"/>
              </w:rPr>
              <w:t>3</w:t>
            </w:r>
            <w:r>
              <w:t>、</w:t>
            </w:r>
            <w:r>
              <w:t>Fe</w:t>
            </w:r>
            <w:r>
              <w:rPr>
                <w:vertAlign w:val="subscript"/>
              </w:rPr>
              <w:t>2</w:t>
            </w:r>
            <w:r>
              <w:t>O</w:t>
            </w:r>
            <w:r>
              <w:rPr>
                <w:vertAlign w:val="subscript"/>
              </w:rPr>
              <w:t>3</w:t>
            </w:r>
            <w:r>
              <w:t>灼烧基含量总和应达到</w:t>
            </w:r>
            <w:r>
              <w:t>80%</w:t>
            </w:r>
            <w:r>
              <w:t>以上。</w:t>
            </w:r>
            <w:r>
              <w:t xml:space="preserve">  </w:t>
            </w:r>
          </w:p>
          <w:p w14:paraId="5BF6737C" w14:textId="77777777" w:rsidR="002E474C" w:rsidRDefault="00000000">
            <w:pPr>
              <w:pStyle w:val="A-"/>
              <w:spacing w:line="260" w:lineRule="exact"/>
              <w:ind w:leftChars="-25" w:left="-53" w:rightChars="-25" w:right="-53"/>
              <w:jc w:val="both"/>
            </w:pPr>
            <w:r>
              <w:t xml:space="preserve">5.1.3 </w:t>
            </w:r>
            <w:r>
              <w:t>作为燃料替代利用的工业废物，主要要求及判别依据为：</w:t>
            </w:r>
          </w:p>
          <w:p w14:paraId="18B9519D" w14:textId="77777777" w:rsidR="002E474C" w:rsidRDefault="00000000">
            <w:pPr>
              <w:pStyle w:val="A-"/>
              <w:spacing w:line="260" w:lineRule="exact"/>
              <w:ind w:leftChars="-25" w:left="-53" w:rightChars="-25" w:right="-53"/>
              <w:jc w:val="both"/>
            </w:pPr>
            <w:r>
              <w:t xml:space="preserve">1 </w:t>
            </w:r>
            <w:r>
              <w:t>入窑实物基废物的热值应大于</w:t>
            </w:r>
            <w:r>
              <w:t>11MJ/kg</w:t>
            </w:r>
            <w:r>
              <w:t>。</w:t>
            </w:r>
            <w:r>
              <w:t xml:space="preserve"> </w:t>
            </w:r>
          </w:p>
          <w:p w14:paraId="187CA74A" w14:textId="77777777" w:rsidR="002E474C" w:rsidRDefault="00000000">
            <w:pPr>
              <w:pStyle w:val="A-"/>
              <w:spacing w:line="260" w:lineRule="exact"/>
              <w:ind w:leftChars="-25" w:left="-53" w:rightChars="-25" w:right="-53"/>
              <w:jc w:val="both"/>
            </w:pPr>
            <w:r>
              <w:t xml:space="preserve">2 </w:t>
            </w:r>
            <w:r>
              <w:t>入窑灰分含量应小于</w:t>
            </w:r>
            <w:r>
              <w:t>50%</w:t>
            </w:r>
            <w:r>
              <w:t>。</w:t>
            </w:r>
            <w:r>
              <w:t xml:space="preserve"> </w:t>
            </w:r>
          </w:p>
          <w:p w14:paraId="012A7EA7" w14:textId="77777777" w:rsidR="002E474C" w:rsidRDefault="00000000">
            <w:pPr>
              <w:pStyle w:val="A-"/>
              <w:spacing w:line="260" w:lineRule="exact"/>
              <w:ind w:leftChars="-25" w:left="-53" w:rightChars="-25" w:right="-53"/>
              <w:jc w:val="both"/>
            </w:pPr>
            <w:r>
              <w:t xml:space="preserve">3 </w:t>
            </w:r>
            <w:r>
              <w:t>入窑水分含量应小于</w:t>
            </w:r>
            <w:r>
              <w:t>20%</w:t>
            </w:r>
            <w:r>
              <w:t>；或经过干化预处理后，入系统水分应小于</w:t>
            </w:r>
            <w:r>
              <w:t>20%</w:t>
            </w:r>
            <w:r>
              <w:t>。</w:t>
            </w:r>
            <w:r>
              <w:t xml:space="preserve"> </w:t>
            </w:r>
          </w:p>
          <w:p w14:paraId="56498C0E" w14:textId="77777777" w:rsidR="002E474C" w:rsidRDefault="00000000">
            <w:pPr>
              <w:pStyle w:val="A-"/>
              <w:spacing w:line="260" w:lineRule="exact"/>
              <w:ind w:leftChars="-25" w:left="-53" w:rightChars="-25" w:right="-53"/>
              <w:jc w:val="both"/>
            </w:pPr>
            <w:r>
              <w:t xml:space="preserve">5.1.4 </w:t>
            </w:r>
            <w:r>
              <w:t>不满足</w:t>
            </w:r>
            <w:r>
              <w:t>5.1.2</w:t>
            </w:r>
            <w:r>
              <w:t>、</w:t>
            </w:r>
            <w:r>
              <w:t>5.1.3</w:t>
            </w:r>
            <w:r>
              <w:t>所列条件的工业废物均视同水泥窑系统销毁处置。</w:t>
            </w:r>
          </w:p>
        </w:tc>
        <w:tc>
          <w:tcPr>
            <w:tcW w:w="1286" w:type="pct"/>
            <w:vAlign w:val="center"/>
          </w:tcPr>
          <w:p w14:paraId="5E8EE88D" w14:textId="77777777" w:rsidR="002E474C" w:rsidRDefault="00000000">
            <w:pPr>
              <w:pStyle w:val="A-"/>
              <w:spacing w:line="260" w:lineRule="exact"/>
              <w:ind w:leftChars="-25" w:left="-53" w:rightChars="-25" w:right="-53"/>
              <w:jc w:val="both"/>
            </w:pPr>
            <w:r>
              <w:lastRenderedPageBreak/>
              <w:t>本项目处置工业废物包括替代原料、替代燃料、水泥窑销毁处置三种类别，具体以入厂检验结果为依据。</w:t>
            </w:r>
          </w:p>
        </w:tc>
        <w:tc>
          <w:tcPr>
            <w:tcW w:w="311" w:type="pct"/>
            <w:vAlign w:val="center"/>
          </w:tcPr>
          <w:p w14:paraId="2B7C4B01" w14:textId="77777777" w:rsidR="002E474C" w:rsidRDefault="00000000">
            <w:pPr>
              <w:pStyle w:val="A-"/>
              <w:spacing w:line="260" w:lineRule="exact"/>
            </w:pPr>
            <w:r>
              <w:t>符合</w:t>
            </w:r>
          </w:p>
        </w:tc>
      </w:tr>
      <w:tr w:rsidR="002E474C" w14:paraId="369887B8" w14:textId="77777777">
        <w:tc>
          <w:tcPr>
            <w:tcW w:w="489" w:type="pct"/>
            <w:vMerge/>
            <w:vAlign w:val="center"/>
          </w:tcPr>
          <w:p w14:paraId="39FFDCD9" w14:textId="77777777" w:rsidR="002E474C" w:rsidRDefault="002E474C">
            <w:pPr>
              <w:pStyle w:val="A-"/>
              <w:spacing w:line="260" w:lineRule="exact"/>
            </w:pPr>
          </w:p>
        </w:tc>
        <w:tc>
          <w:tcPr>
            <w:tcW w:w="2914" w:type="pct"/>
            <w:vAlign w:val="center"/>
          </w:tcPr>
          <w:p w14:paraId="27C84068" w14:textId="77777777" w:rsidR="002E474C" w:rsidRDefault="00000000">
            <w:pPr>
              <w:pStyle w:val="A-"/>
              <w:spacing w:line="260" w:lineRule="exact"/>
              <w:ind w:leftChars="-25" w:left="-53" w:rightChars="-25" w:right="-53"/>
              <w:jc w:val="both"/>
            </w:pPr>
            <w:r>
              <w:t>5.2</w:t>
            </w:r>
            <w:r>
              <w:t>品质控制要求</w:t>
            </w:r>
            <w:r>
              <w:t xml:space="preserve"> </w:t>
            </w:r>
          </w:p>
          <w:p w14:paraId="485BABE0" w14:textId="77777777" w:rsidR="002E474C" w:rsidRDefault="00000000">
            <w:pPr>
              <w:pStyle w:val="A-"/>
              <w:spacing w:line="260" w:lineRule="exact"/>
              <w:ind w:leftChars="-25" w:left="-53" w:rightChars="-25" w:right="-53"/>
              <w:jc w:val="both"/>
            </w:pPr>
            <w:r>
              <w:t xml:space="preserve">5.2.1 </w:t>
            </w:r>
            <w:r>
              <w:t>工业废物作为替代原、燃料的品质应满足水泥工厂产品方案的要求。</w:t>
            </w:r>
          </w:p>
          <w:p w14:paraId="7FDD7EE5" w14:textId="77777777" w:rsidR="002E474C" w:rsidRDefault="00000000">
            <w:pPr>
              <w:pStyle w:val="A-"/>
              <w:spacing w:line="260" w:lineRule="exact"/>
              <w:ind w:leftChars="-25" w:left="-53" w:rightChars="-25" w:right="-53"/>
              <w:jc w:val="both"/>
            </w:pPr>
            <w:r>
              <w:t xml:space="preserve">5.2.2 </w:t>
            </w:r>
            <w:r>
              <w:t>使用工业废物作为替代原、燃料后，生产出的水泥产品应符合现行国家标准《通用硅酸盐水泥》</w:t>
            </w:r>
            <w:r>
              <w:t>GB175</w:t>
            </w:r>
            <w:r>
              <w:t>的规定。</w:t>
            </w:r>
            <w:r>
              <w:t xml:space="preserve"> </w:t>
            </w:r>
          </w:p>
          <w:p w14:paraId="6F5A252E" w14:textId="77777777" w:rsidR="002E474C" w:rsidRDefault="00000000">
            <w:pPr>
              <w:pStyle w:val="A-"/>
              <w:spacing w:line="260" w:lineRule="exact"/>
              <w:ind w:leftChars="-25" w:left="-53" w:rightChars="-25" w:right="-53"/>
              <w:jc w:val="both"/>
            </w:pPr>
            <w:r>
              <w:t xml:space="preserve">5.2.3 </w:t>
            </w:r>
            <w:r>
              <w:t>水泥窑协同处置工业废物后，水泥熟料和水泥产品中重金属含量应符合现行国家标准《水泥工厂设计规范》</w:t>
            </w:r>
            <w:r>
              <w:t>GB50295</w:t>
            </w:r>
            <w:r>
              <w:t>的规定。</w:t>
            </w:r>
          </w:p>
        </w:tc>
        <w:tc>
          <w:tcPr>
            <w:tcW w:w="1286" w:type="pct"/>
            <w:vAlign w:val="center"/>
          </w:tcPr>
          <w:p w14:paraId="705137A4" w14:textId="77777777" w:rsidR="002E474C" w:rsidRDefault="00000000">
            <w:pPr>
              <w:pStyle w:val="A-"/>
              <w:spacing w:line="260" w:lineRule="exact"/>
              <w:ind w:leftChars="-25" w:left="-53" w:rightChars="-25" w:right="-53"/>
              <w:jc w:val="both"/>
            </w:pPr>
            <w:r>
              <w:t>本项目处置工业废物作为替代原、燃料后，生产出的水泥产品符合现行国家标准《通用硅酸盐水泥》（</w:t>
            </w:r>
            <w:r>
              <w:t>GB175-2023</w:t>
            </w:r>
            <w:r>
              <w:t>）的规定。</w:t>
            </w:r>
          </w:p>
        </w:tc>
        <w:tc>
          <w:tcPr>
            <w:tcW w:w="311" w:type="pct"/>
            <w:vAlign w:val="center"/>
          </w:tcPr>
          <w:p w14:paraId="76D07800" w14:textId="77777777" w:rsidR="002E474C" w:rsidRDefault="00000000">
            <w:pPr>
              <w:pStyle w:val="A-"/>
              <w:spacing w:line="260" w:lineRule="exact"/>
            </w:pPr>
            <w:r>
              <w:t>符合</w:t>
            </w:r>
          </w:p>
        </w:tc>
      </w:tr>
      <w:tr w:rsidR="002E474C" w14:paraId="0A471D17" w14:textId="77777777">
        <w:tc>
          <w:tcPr>
            <w:tcW w:w="489" w:type="pct"/>
            <w:vAlign w:val="center"/>
          </w:tcPr>
          <w:p w14:paraId="149B7118" w14:textId="77777777" w:rsidR="002E474C" w:rsidRDefault="00000000">
            <w:pPr>
              <w:pStyle w:val="A-"/>
              <w:spacing w:line="260" w:lineRule="exact"/>
            </w:pPr>
            <w:r>
              <w:t xml:space="preserve">6 </w:t>
            </w:r>
            <w:r>
              <w:t>总平面</w:t>
            </w:r>
          </w:p>
          <w:p w14:paraId="2A4E51A1" w14:textId="77777777" w:rsidR="002E474C" w:rsidRDefault="00000000">
            <w:pPr>
              <w:pStyle w:val="A-"/>
              <w:spacing w:line="260" w:lineRule="exact"/>
            </w:pPr>
            <w:r>
              <w:t>布置</w:t>
            </w:r>
          </w:p>
        </w:tc>
        <w:tc>
          <w:tcPr>
            <w:tcW w:w="2914" w:type="pct"/>
            <w:vAlign w:val="center"/>
          </w:tcPr>
          <w:p w14:paraId="199E51E7" w14:textId="77777777" w:rsidR="002E474C" w:rsidRDefault="00000000">
            <w:pPr>
              <w:pStyle w:val="A-"/>
              <w:spacing w:line="260" w:lineRule="exact"/>
              <w:ind w:leftChars="-25" w:left="-53" w:rightChars="-25" w:right="-53"/>
              <w:jc w:val="both"/>
            </w:pPr>
            <w:r>
              <w:t>6.1</w:t>
            </w:r>
            <w:r>
              <w:t>厂址的选择</w:t>
            </w:r>
          </w:p>
          <w:p w14:paraId="69B8B82C" w14:textId="77777777" w:rsidR="002E474C" w:rsidRDefault="00000000">
            <w:pPr>
              <w:pStyle w:val="A-"/>
              <w:spacing w:line="260" w:lineRule="exact"/>
              <w:ind w:leftChars="-25" w:left="-53" w:rightChars="-25" w:right="-53"/>
              <w:jc w:val="both"/>
              <w:rPr>
                <w:spacing w:val="-6"/>
              </w:rPr>
            </w:pPr>
            <w:r>
              <w:rPr>
                <w:spacing w:val="-6"/>
              </w:rPr>
              <w:t xml:space="preserve">6.1.1 </w:t>
            </w:r>
            <w:r>
              <w:rPr>
                <w:spacing w:val="-6"/>
              </w:rPr>
              <w:t>新建水泥窑协同处置工业废物生产线，厂址的选择及工业废物预处理车间的布局应符合本地区工业布局和建设发展规划的要求，按照国家有关法律、法规及前期工作的规定进行。</w:t>
            </w:r>
          </w:p>
          <w:p w14:paraId="6E7E6518" w14:textId="77777777" w:rsidR="002E474C" w:rsidRDefault="00000000">
            <w:pPr>
              <w:pStyle w:val="A-"/>
              <w:spacing w:line="260" w:lineRule="exact"/>
              <w:ind w:leftChars="-25" w:left="-53" w:rightChars="-25" w:right="-53"/>
              <w:jc w:val="both"/>
            </w:pPr>
            <w:r>
              <w:t xml:space="preserve">6.1.2 </w:t>
            </w:r>
            <w:r>
              <w:t>现有的水泥生产线进行协同处置工业废物的技术改造工程，预处理车间的选址应根据交通运输、供电、供水、供热、工程地址条件、企业协作条件、场地现有设施、工业废物来源及贮存条件、协同处置衔接条件、预处理的环境保护等进行技术经济比较后确定。</w:t>
            </w:r>
          </w:p>
          <w:p w14:paraId="01F94641" w14:textId="77777777" w:rsidR="002E474C" w:rsidRDefault="00000000">
            <w:pPr>
              <w:pStyle w:val="A-"/>
              <w:spacing w:line="260" w:lineRule="exact"/>
              <w:ind w:leftChars="-25" w:left="-53" w:rightChars="-25" w:right="-53"/>
              <w:jc w:val="both"/>
            </w:pPr>
            <w:r>
              <w:t xml:space="preserve">6.1.3 </w:t>
            </w:r>
            <w:r>
              <w:t>厂址选择应符合城乡总体发展规划和环境保护专业规划，并应符合当地的大气污染防治、水资源保护和自然生态保护要求，同时应通过环境影响和环境风险评价。</w:t>
            </w:r>
          </w:p>
          <w:p w14:paraId="5308DAE4" w14:textId="77777777" w:rsidR="002E474C" w:rsidRDefault="00000000">
            <w:pPr>
              <w:pStyle w:val="A-"/>
              <w:spacing w:line="260" w:lineRule="exact"/>
              <w:ind w:leftChars="-25" w:left="-53" w:rightChars="-25" w:right="-53"/>
              <w:jc w:val="both"/>
            </w:pPr>
            <w:r>
              <w:t xml:space="preserve">6.1.4 </w:t>
            </w:r>
            <w:r>
              <w:t>厂址条件应符合下列要求：</w:t>
            </w:r>
          </w:p>
          <w:p w14:paraId="15C24E46" w14:textId="77777777" w:rsidR="002E474C" w:rsidRDefault="00000000">
            <w:pPr>
              <w:pStyle w:val="A-"/>
              <w:spacing w:line="260" w:lineRule="exact"/>
              <w:ind w:leftChars="-25" w:left="-53" w:rightChars="-25" w:right="-53"/>
              <w:jc w:val="both"/>
            </w:pPr>
            <w:r>
              <w:t xml:space="preserve">1 </w:t>
            </w:r>
            <w:r>
              <w:t>厂址选择应符合现行国家标准《地表水环境质量标准》</w:t>
            </w:r>
            <w:r>
              <w:t>GB3838</w:t>
            </w:r>
            <w:r>
              <w:t>和《环境空气质量标准》</w:t>
            </w:r>
            <w:r>
              <w:t>GB/T3095</w:t>
            </w:r>
            <w:r>
              <w:t>的有关规定，处置危险废物的工厂选址还应符合现行国家标准《危险废物焚烧污染控制标准》</w:t>
            </w:r>
            <w:r>
              <w:t>GB18484</w:t>
            </w:r>
            <w:r>
              <w:t>中的选址要求。</w:t>
            </w:r>
          </w:p>
          <w:p w14:paraId="5A419E0F" w14:textId="77777777" w:rsidR="002E474C" w:rsidRDefault="00000000">
            <w:pPr>
              <w:pStyle w:val="A-"/>
              <w:spacing w:line="260" w:lineRule="exact"/>
              <w:ind w:leftChars="-25" w:left="-53" w:rightChars="-25" w:right="-53"/>
              <w:jc w:val="both"/>
            </w:pPr>
            <w:r>
              <w:t xml:space="preserve">2 </w:t>
            </w:r>
            <w:r>
              <w:t>厂址应具备满足工程建设要求的工程地质条件和水文地质条件，不应建在受洪水、潮水或内涝威胁的地区。受条件限制，必须建在上述地区时，应设置抵御</w:t>
            </w:r>
            <w:r>
              <w:t>100</w:t>
            </w:r>
            <w:r>
              <w:t>年一遇洪水的防洪、排涝设施。</w:t>
            </w:r>
          </w:p>
          <w:p w14:paraId="22597BFE" w14:textId="77777777" w:rsidR="002E474C" w:rsidRDefault="00000000">
            <w:pPr>
              <w:pStyle w:val="A-"/>
              <w:spacing w:line="260" w:lineRule="exact"/>
              <w:ind w:leftChars="-25" w:left="-53" w:rightChars="-25" w:right="-53"/>
              <w:jc w:val="both"/>
            </w:pPr>
            <w:r>
              <w:t xml:space="preserve">3 </w:t>
            </w:r>
            <w:r>
              <w:t>水泥窑协同处置危险废物预处理车间与主要居民区以及学校、医院等公共设施的距离不应小于</w:t>
            </w:r>
            <w:r>
              <w:t>600</w:t>
            </w:r>
            <w:r>
              <w:t>米。</w:t>
            </w:r>
          </w:p>
          <w:p w14:paraId="5DF6913E" w14:textId="77777777" w:rsidR="002E474C" w:rsidRDefault="00000000">
            <w:pPr>
              <w:pStyle w:val="A-"/>
              <w:spacing w:line="260" w:lineRule="exact"/>
              <w:ind w:leftChars="-25" w:left="-53" w:rightChars="-25" w:right="-53"/>
              <w:jc w:val="both"/>
            </w:pPr>
            <w:r>
              <w:t xml:space="preserve">4 </w:t>
            </w:r>
            <w:r>
              <w:t>有异味产生的预处理车间应设置于主导风向的下风向，烟囱高度的设置应符合现行国</w:t>
            </w:r>
            <w:r>
              <w:lastRenderedPageBreak/>
              <w:t>家标准《恶臭污染物排放标准》</w:t>
            </w:r>
            <w:r>
              <w:t>GB14554</w:t>
            </w:r>
            <w:r>
              <w:t>中的有关规定。</w:t>
            </w:r>
          </w:p>
          <w:p w14:paraId="572EECC9" w14:textId="77777777" w:rsidR="002E474C" w:rsidRDefault="00000000">
            <w:pPr>
              <w:pStyle w:val="A-"/>
              <w:spacing w:line="260" w:lineRule="exact"/>
              <w:ind w:leftChars="-25" w:left="-53" w:rightChars="-25" w:right="-53"/>
              <w:jc w:val="both"/>
            </w:pPr>
            <w:r>
              <w:t xml:space="preserve">5 </w:t>
            </w:r>
            <w:r>
              <w:t>水泥窑协同处置危险废物应保证废物预处理车间达到双路电力供应。</w:t>
            </w:r>
          </w:p>
          <w:p w14:paraId="3E3EBF20" w14:textId="77777777" w:rsidR="002E474C" w:rsidRDefault="00000000">
            <w:pPr>
              <w:pStyle w:val="A-"/>
              <w:spacing w:line="260" w:lineRule="exact"/>
              <w:ind w:leftChars="-25" w:left="-53" w:rightChars="-25" w:right="-53"/>
              <w:jc w:val="both"/>
            </w:pPr>
            <w:r>
              <w:t xml:space="preserve">6 </w:t>
            </w:r>
            <w:r>
              <w:t>应有供水水源和污水处理及排放系统，必要时应建立独立的污水处理及排放系统。</w:t>
            </w:r>
          </w:p>
        </w:tc>
        <w:tc>
          <w:tcPr>
            <w:tcW w:w="1286" w:type="pct"/>
          </w:tcPr>
          <w:p w14:paraId="0836FBE1" w14:textId="77777777" w:rsidR="002E474C" w:rsidRDefault="00000000">
            <w:pPr>
              <w:pStyle w:val="A-"/>
              <w:spacing w:line="260" w:lineRule="exact"/>
              <w:ind w:leftChars="-25" w:left="-53" w:rightChars="-25" w:right="-53"/>
              <w:jc w:val="both"/>
            </w:pPr>
            <w:r>
              <w:lastRenderedPageBreak/>
              <w:t>（</w:t>
            </w:r>
            <w:r>
              <w:t>1</w:t>
            </w:r>
            <w:r>
              <w:t>）本项目符合《托克逊能源重化工工业园区总体规划（</w:t>
            </w:r>
            <w:r>
              <w:t>2023-2035</w:t>
            </w:r>
            <w:r>
              <w:t>年）》《托克逊能源重化工工业园区化工产业集中区总体规划（</w:t>
            </w:r>
            <w:r>
              <w:t>2023-2035</w:t>
            </w:r>
            <w:r>
              <w:t>年）》。</w:t>
            </w:r>
          </w:p>
          <w:p w14:paraId="4069A4A1" w14:textId="77777777" w:rsidR="002E474C" w:rsidRDefault="00000000">
            <w:pPr>
              <w:pStyle w:val="A-"/>
              <w:spacing w:line="260" w:lineRule="exact"/>
              <w:ind w:leftChars="-25" w:left="-53" w:rightChars="-25" w:right="-53"/>
              <w:jc w:val="both"/>
            </w:pPr>
            <w:r>
              <w:t>（</w:t>
            </w:r>
            <w:r>
              <w:t>2</w:t>
            </w:r>
            <w:r>
              <w:t>）本项目根据工程设计对水泥生产线部分装置进行改造，确保项目环境保护条件。</w:t>
            </w:r>
          </w:p>
          <w:p w14:paraId="2FDD8FAD" w14:textId="77777777" w:rsidR="002E474C" w:rsidRDefault="00000000">
            <w:pPr>
              <w:pStyle w:val="A-"/>
              <w:spacing w:line="260" w:lineRule="exact"/>
              <w:ind w:leftChars="-25" w:left="-53" w:rightChars="-25" w:right="-53"/>
              <w:jc w:val="both"/>
            </w:pPr>
            <w:r>
              <w:t>（</w:t>
            </w:r>
            <w:r>
              <w:t>3</w:t>
            </w:r>
            <w:r>
              <w:t>）本项目符合《新疆生态环境保护</w:t>
            </w:r>
            <w:r>
              <w:t>“</w:t>
            </w:r>
            <w:r>
              <w:t>十四五</w:t>
            </w:r>
            <w:r>
              <w:t>”</w:t>
            </w:r>
            <w:r>
              <w:t>规划》《吐鲁番市生态环境保护</w:t>
            </w:r>
            <w:r>
              <w:t>“</w:t>
            </w:r>
            <w:r>
              <w:t>十四五</w:t>
            </w:r>
            <w:r>
              <w:t>”</w:t>
            </w:r>
            <w:r>
              <w:t>规划》。项目选址符合《危险废物贮存污染控制标准》（</w:t>
            </w:r>
            <w:r>
              <w:t>GB18597-2023</w:t>
            </w:r>
            <w:r>
              <w:t>）、《水泥窑协同处置固体废物环境保护技术规范》（</w:t>
            </w:r>
            <w:r>
              <w:t>HJ662-2013</w:t>
            </w:r>
            <w:r>
              <w:t>）中有关选址的要求。</w:t>
            </w:r>
          </w:p>
          <w:p w14:paraId="61DDBBDC" w14:textId="77777777" w:rsidR="002E474C" w:rsidRDefault="00000000">
            <w:pPr>
              <w:pStyle w:val="A-"/>
              <w:spacing w:line="260" w:lineRule="exact"/>
              <w:ind w:leftChars="-25" w:left="-53" w:rightChars="-25" w:right="-53"/>
              <w:jc w:val="both"/>
            </w:pPr>
            <w:r>
              <w:t>（</w:t>
            </w:r>
            <w:r>
              <w:t>4</w:t>
            </w:r>
            <w:r>
              <w:t>）本项目厂区无洪水、潮水或内涝威胁，与公共设施等环境敏感目标距离满足要求。</w:t>
            </w:r>
          </w:p>
          <w:p w14:paraId="127CC2DD" w14:textId="77777777" w:rsidR="002E474C" w:rsidRDefault="00000000">
            <w:pPr>
              <w:pStyle w:val="A-"/>
              <w:spacing w:line="260" w:lineRule="exact"/>
              <w:ind w:leftChars="-25" w:left="-53" w:rightChars="-25" w:right="-53"/>
              <w:jc w:val="both"/>
            </w:pPr>
            <w:r>
              <w:t>（</w:t>
            </w:r>
            <w:r>
              <w:t>5</w:t>
            </w:r>
            <w:r>
              <w:t>）本项目保证双路电力供应。</w:t>
            </w:r>
          </w:p>
          <w:p w14:paraId="574C46E4" w14:textId="77777777" w:rsidR="002E474C" w:rsidRDefault="00000000">
            <w:pPr>
              <w:pStyle w:val="A-"/>
              <w:spacing w:line="260" w:lineRule="exact"/>
              <w:ind w:leftChars="-25" w:left="-53" w:rightChars="-25" w:right="-53"/>
              <w:jc w:val="both"/>
            </w:pPr>
            <w:r>
              <w:rPr>
                <w:spacing w:val="-6"/>
              </w:rPr>
              <w:lastRenderedPageBreak/>
              <w:t>（</w:t>
            </w:r>
            <w:r>
              <w:rPr>
                <w:spacing w:val="-6"/>
              </w:rPr>
              <w:t>6</w:t>
            </w:r>
            <w:r>
              <w:rPr>
                <w:spacing w:val="-6"/>
              </w:rPr>
              <w:t>）本项目供水系统与生活污水收集与处理系统依托圣雄水泥公司现有设施，生产废水单独收集后返回水泥窑处置。</w:t>
            </w:r>
          </w:p>
        </w:tc>
        <w:tc>
          <w:tcPr>
            <w:tcW w:w="311" w:type="pct"/>
            <w:vAlign w:val="center"/>
          </w:tcPr>
          <w:p w14:paraId="244871EB" w14:textId="77777777" w:rsidR="002E474C" w:rsidRDefault="00000000">
            <w:pPr>
              <w:pStyle w:val="A-"/>
              <w:spacing w:line="260" w:lineRule="exact"/>
            </w:pPr>
            <w:r>
              <w:lastRenderedPageBreak/>
              <w:t>符合</w:t>
            </w:r>
          </w:p>
        </w:tc>
      </w:tr>
      <w:tr w:rsidR="002E474C" w14:paraId="5740097D" w14:textId="77777777">
        <w:tc>
          <w:tcPr>
            <w:tcW w:w="489" w:type="pct"/>
            <w:vMerge w:val="restart"/>
            <w:vAlign w:val="center"/>
          </w:tcPr>
          <w:p w14:paraId="6533B13A" w14:textId="77777777" w:rsidR="002E474C" w:rsidRDefault="00000000">
            <w:pPr>
              <w:pStyle w:val="A-"/>
              <w:spacing w:line="260" w:lineRule="exact"/>
            </w:pPr>
            <w:r>
              <w:t>7</w:t>
            </w:r>
            <w:r>
              <w:t>工业废物的接收、运输与贮存</w:t>
            </w:r>
          </w:p>
        </w:tc>
        <w:tc>
          <w:tcPr>
            <w:tcW w:w="2914" w:type="pct"/>
            <w:vAlign w:val="center"/>
          </w:tcPr>
          <w:p w14:paraId="0B22EEEA" w14:textId="77777777" w:rsidR="002E474C" w:rsidRDefault="00000000">
            <w:pPr>
              <w:pStyle w:val="A-"/>
              <w:spacing w:line="260" w:lineRule="exact"/>
              <w:ind w:leftChars="-25" w:left="-53" w:rightChars="-25" w:right="-53"/>
              <w:jc w:val="both"/>
            </w:pPr>
            <w:r>
              <w:t xml:space="preserve">7.1 </w:t>
            </w:r>
            <w:r>
              <w:t>工业废物的接收</w:t>
            </w:r>
          </w:p>
          <w:p w14:paraId="56344F9D" w14:textId="77777777" w:rsidR="002E474C" w:rsidRDefault="00000000">
            <w:pPr>
              <w:pStyle w:val="A-"/>
              <w:spacing w:line="260" w:lineRule="exact"/>
              <w:ind w:leftChars="-25" w:left="-53" w:rightChars="-25" w:right="-53"/>
              <w:jc w:val="both"/>
            </w:pPr>
            <w:r>
              <w:t xml:space="preserve">7.1.1 </w:t>
            </w:r>
            <w:r>
              <w:t>工业废物的接收必须进行计量，计量设施宜选用动态汽车衡，计量站旁应设置抽样检查停车检查区，并宜与水泥生产线物料计量设施共用。</w:t>
            </w:r>
          </w:p>
          <w:p w14:paraId="2FDF1440" w14:textId="77777777" w:rsidR="002E474C" w:rsidRDefault="00000000">
            <w:pPr>
              <w:pStyle w:val="A-"/>
              <w:spacing w:line="260" w:lineRule="exact"/>
              <w:ind w:leftChars="-25" w:left="-53" w:rightChars="-25" w:right="-53"/>
              <w:jc w:val="both"/>
              <w:rPr>
                <w:spacing w:val="-6"/>
              </w:rPr>
            </w:pPr>
            <w:r>
              <w:rPr>
                <w:spacing w:val="-6"/>
              </w:rPr>
              <w:t xml:space="preserve">7.1.2 </w:t>
            </w:r>
            <w:r>
              <w:rPr>
                <w:spacing w:val="-6"/>
              </w:rPr>
              <w:t>如单独设置工业废物计量汽车衡，汽车衡的规格应按运输车最大满载重量的</w:t>
            </w:r>
            <w:r>
              <w:rPr>
                <w:spacing w:val="-6"/>
              </w:rPr>
              <w:t>1.7</w:t>
            </w:r>
            <w:r>
              <w:rPr>
                <w:spacing w:val="-6"/>
              </w:rPr>
              <w:t>倍设置。</w:t>
            </w:r>
          </w:p>
          <w:p w14:paraId="1C18A967" w14:textId="77777777" w:rsidR="002E474C" w:rsidRDefault="00000000">
            <w:pPr>
              <w:pStyle w:val="A-"/>
              <w:spacing w:line="260" w:lineRule="exact"/>
              <w:ind w:leftChars="-25" w:left="-53" w:rightChars="-25" w:right="-53"/>
              <w:jc w:val="both"/>
            </w:pPr>
            <w:r>
              <w:t xml:space="preserve">7.1.3 </w:t>
            </w:r>
            <w:r>
              <w:t>危险废物的接收应单独计量。</w:t>
            </w:r>
          </w:p>
          <w:p w14:paraId="79279933" w14:textId="77777777" w:rsidR="002E474C" w:rsidRDefault="00000000">
            <w:pPr>
              <w:pStyle w:val="A-"/>
              <w:spacing w:line="260" w:lineRule="exact"/>
              <w:ind w:leftChars="-25" w:left="-53" w:rightChars="-25" w:right="-53"/>
              <w:jc w:val="both"/>
            </w:pPr>
            <w:r>
              <w:t xml:space="preserve">7.1.4 </w:t>
            </w:r>
            <w:r>
              <w:t>厂区内部工业废物的卸、装料作业区及转运站宜布置在厂区内远离建筑物的一侧。</w:t>
            </w:r>
          </w:p>
          <w:p w14:paraId="7F2D2FFC" w14:textId="77777777" w:rsidR="002E474C" w:rsidRDefault="00000000">
            <w:pPr>
              <w:pStyle w:val="A-"/>
              <w:spacing w:line="260" w:lineRule="exact"/>
              <w:ind w:leftChars="-25" w:left="-53" w:rightChars="-25" w:right="-53"/>
              <w:jc w:val="both"/>
            </w:pPr>
            <w:r>
              <w:t xml:space="preserve">7.1.5 </w:t>
            </w:r>
            <w:r>
              <w:t>工业废物卸料及装车空间应采用密封的构筑物或建筑物，并应配置通风、降尘、除臭系统，同时应保持系统与车辆卸料动作联动。</w:t>
            </w:r>
          </w:p>
          <w:p w14:paraId="0396DD7F" w14:textId="77777777" w:rsidR="002E474C" w:rsidRDefault="00000000">
            <w:pPr>
              <w:pStyle w:val="A-"/>
              <w:spacing w:line="260" w:lineRule="exact"/>
              <w:ind w:leftChars="-25" w:left="-53" w:rightChars="-25" w:right="-53"/>
              <w:jc w:val="both"/>
            </w:pPr>
            <w:r>
              <w:t xml:space="preserve">7.1.6 </w:t>
            </w:r>
            <w:r>
              <w:t>工业废物进厂应设置质量检验，工业废物卸料、转运作业区应设置车辆作业指示标牌和安全警示标志。</w:t>
            </w:r>
          </w:p>
        </w:tc>
        <w:tc>
          <w:tcPr>
            <w:tcW w:w="1286" w:type="pct"/>
            <w:vAlign w:val="center"/>
          </w:tcPr>
          <w:p w14:paraId="4DBC09DB" w14:textId="77777777" w:rsidR="002E474C" w:rsidRDefault="00000000">
            <w:pPr>
              <w:pStyle w:val="A-"/>
              <w:spacing w:line="260" w:lineRule="exact"/>
              <w:ind w:leftChars="-25" w:left="-53" w:rightChars="-25" w:right="-53"/>
              <w:jc w:val="both"/>
            </w:pPr>
            <w:r>
              <w:t>本项目设置单独的汽车衡对接收的工业废物进行单独计量，规格满足要求；工业废物卸料在密闭危废贮存库和固态危废预处理车间内进行，采用微负压抽气设计；按要求设置工业废物入厂检验，工业废物卸料、转运作业区设置车辆作业指示标牌和安全警示标志。</w:t>
            </w:r>
          </w:p>
        </w:tc>
        <w:tc>
          <w:tcPr>
            <w:tcW w:w="311" w:type="pct"/>
            <w:vAlign w:val="center"/>
          </w:tcPr>
          <w:p w14:paraId="41D303A8" w14:textId="77777777" w:rsidR="002E474C" w:rsidRDefault="00000000">
            <w:pPr>
              <w:pStyle w:val="A-"/>
              <w:spacing w:line="260" w:lineRule="exact"/>
            </w:pPr>
            <w:r>
              <w:t>符合</w:t>
            </w:r>
          </w:p>
        </w:tc>
      </w:tr>
      <w:tr w:rsidR="002E474C" w14:paraId="03AF48E8" w14:textId="77777777">
        <w:tc>
          <w:tcPr>
            <w:tcW w:w="489" w:type="pct"/>
            <w:vMerge/>
            <w:vAlign w:val="center"/>
          </w:tcPr>
          <w:p w14:paraId="4EB8E8DC" w14:textId="77777777" w:rsidR="002E474C" w:rsidRDefault="002E474C">
            <w:pPr>
              <w:pStyle w:val="A-"/>
              <w:spacing w:line="260" w:lineRule="exact"/>
            </w:pPr>
          </w:p>
        </w:tc>
        <w:tc>
          <w:tcPr>
            <w:tcW w:w="2914" w:type="pct"/>
            <w:vAlign w:val="center"/>
          </w:tcPr>
          <w:p w14:paraId="26CA21B5" w14:textId="77777777" w:rsidR="002E474C" w:rsidRDefault="00000000">
            <w:pPr>
              <w:pStyle w:val="A-"/>
              <w:spacing w:line="260" w:lineRule="exact"/>
              <w:ind w:leftChars="-25" w:left="-53" w:rightChars="-25" w:right="-53"/>
              <w:jc w:val="both"/>
            </w:pPr>
            <w:r>
              <w:t xml:space="preserve">7.2 </w:t>
            </w:r>
            <w:r>
              <w:t>工业废物的输送</w:t>
            </w:r>
          </w:p>
          <w:p w14:paraId="337BD1CE" w14:textId="77777777" w:rsidR="002E474C" w:rsidRDefault="00000000">
            <w:pPr>
              <w:pStyle w:val="A-"/>
              <w:spacing w:line="260" w:lineRule="exact"/>
              <w:ind w:leftChars="-25" w:left="-53" w:rightChars="-25" w:right="-53"/>
              <w:jc w:val="both"/>
            </w:pPr>
            <w:r>
              <w:t xml:space="preserve">7.2.1 </w:t>
            </w:r>
            <w:r>
              <w:t>厂内工业废物的输送应依据工业废物的性质、输送能力、输送距离、输送高度等结合工艺布置选择输送设备。</w:t>
            </w:r>
          </w:p>
          <w:p w14:paraId="302C9664" w14:textId="77777777" w:rsidR="002E474C" w:rsidRDefault="00000000">
            <w:pPr>
              <w:pStyle w:val="A-"/>
              <w:spacing w:line="260" w:lineRule="exact"/>
              <w:ind w:leftChars="-25" w:left="-53" w:rightChars="-25" w:right="-53"/>
              <w:jc w:val="both"/>
            </w:pPr>
            <w:r>
              <w:t xml:space="preserve">7.2.2 </w:t>
            </w:r>
            <w:r>
              <w:t>工业废物的输送宜采用密闭方式进行，并应符合以下规定：</w:t>
            </w:r>
          </w:p>
          <w:p w14:paraId="399249E7" w14:textId="77777777" w:rsidR="002E474C" w:rsidRDefault="00000000">
            <w:pPr>
              <w:pStyle w:val="A-"/>
              <w:spacing w:line="260" w:lineRule="exact"/>
              <w:ind w:leftChars="-25" w:left="-53" w:rightChars="-25" w:right="-53"/>
              <w:jc w:val="both"/>
            </w:pPr>
            <w:r>
              <w:t>1.</w:t>
            </w:r>
            <w:r>
              <w:t>危险废物要根据其成分，用符合现行国家标准《危险废物贮存污染控制标准》</w:t>
            </w:r>
            <w:r>
              <w:t>GB18597</w:t>
            </w:r>
            <w:r>
              <w:t>的专门容器分类收集输送。</w:t>
            </w:r>
            <w:r>
              <w:t xml:space="preserve"> </w:t>
            </w:r>
          </w:p>
          <w:p w14:paraId="3C29F903" w14:textId="77777777" w:rsidR="002E474C" w:rsidRDefault="00000000">
            <w:pPr>
              <w:pStyle w:val="A-"/>
              <w:spacing w:line="260" w:lineRule="exact"/>
              <w:ind w:leftChars="-25" w:left="-53" w:rightChars="-25" w:right="-53"/>
              <w:jc w:val="both"/>
            </w:pPr>
            <w:r>
              <w:t>2.</w:t>
            </w:r>
            <w:r>
              <w:t>粉尘状的工业废物其输送转运点应设置收尘装置。</w:t>
            </w:r>
          </w:p>
          <w:p w14:paraId="3142B69E" w14:textId="77777777" w:rsidR="002E474C" w:rsidRDefault="00000000">
            <w:pPr>
              <w:pStyle w:val="A-"/>
              <w:spacing w:line="260" w:lineRule="exact"/>
              <w:ind w:leftChars="-25" w:left="-53" w:rightChars="-25" w:right="-53"/>
              <w:jc w:val="both"/>
            </w:pPr>
            <w:r>
              <w:t>3.</w:t>
            </w:r>
            <w:r>
              <w:t>有异味产生的工业废物其输送过程应设置防止异味扩散的装置。</w:t>
            </w:r>
          </w:p>
          <w:p w14:paraId="67648CA9" w14:textId="77777777" w:rsidR="002E474C" w:rsidRDefault="00000000">
            <w:pPr>
              <w:pStyle w:val="A-"/>
              <w:spacing w:line="260" w:lineRule="exact"/>
              <w:ind w:leftChars="-25" w:left="-53" w:rightChars="-25" w:right="-53"/>
              <w:jc w:val="both"/>
            </w:pPr>
            <w:r>
              <w:t>4.</w:t>
            </w:r>
            <w:r>
              <w:t>工业废物输送过程中应采取防泄漏、防散落、防破损的措施。</w:t>
            </w:r>
          </w:p>
          <w:p w14:paraId="17751141" w14:textId="77777777" w:rsidR="002E474C" w:rsidRDefault="00000000">
            <w:pPr>
              <w:pStyle w:val="A-"/>
              <w:spacing w:line="260" w:lineRule="exact"/>
              <w:ind w:leftChars="-25" w:left="-53" w:rightChars="-25" w:right="-53"/>
              <w:jc w:val="both"/>
            </w:pPr>
            <w:r>
              <w:t xml:space="preserve">7.2.3 </w:t>
            </w:r>
            <w:r>
              <w:t>液态工业废物可采用管道泵送，并应符合以下规定：</w:t>
            </w:r>
          </w:p>
          <w:p w14:paraId="0123A6A3" w14:textId="77777777" w:rsidR="002E474C" w:rsidRDefault="00000000">
            <w:pPr>
              <w:pStyle w:val="A-"/>
              <w:spacing w:line="260" w:lineRule="exact"/>
              <w:ind w:leftChars="-25" w:left="-53" w:rightChars="-25" w:right="-53"/>
              <w:jc w:val="both"/>
            </w:pPr>
            <w:r>
              <w:t>1.</w:t>
            </w:r>
            <w:r>
              <w:t>根据所输送工业废物的物理特性及所在地区的气候采取伴热管及保温处理措施。</w:t>
            </w:r>
          </w:p>
          <w:p w14:paraId="4FBC5B49" w14:textId="77777777" w:rsidR="002E474C" w:rsidRDefault="00000000">
            <w:pPr>
              <w:pStyle w:val="A-"/>
              <w:spacing w:line="260" w:lineRule="exact"/>
              <w:ind w:leftChars="-25" w:left="-53" w:rightChars="-25" w:right="-53"/>
              <w:jc w:val="both"/>
            </w:pPr>
            <w:r>
              <w:t>2.</w:t>
            </w:r>
            <w:r>
              <w:t>泵送管道应分段采用法兰连接，其连接段长度应按照废物的易凝结程度选择。</w:t>
            </w:r>
          </w:p>
          <w:p w14:paraId="0806CF79" w14:textId="77777777" w:rsidR="002E474C" w:rsidRDefault="00000000">
            <w:pPr>
              <w:pStyle w:val="A-"/>
              <w:spacing w:line="260" w:lineRule="exact"/>
              <w:ind w:leftChars="-25" w:left="-53" w:rightChars="-25" w:right="-53"/>
              <w:jc w:val="both"/>
            </w:pPr>
            <w:r>
              <w:t>3.</w:t>
            </w:r>
            <w:r>
              <w:t>管道泵送宜配置压缩空气伴行吹堵。</w:t>
            </w:r>
          </w:p>
        </w:tc>
        <w:tc>
          <w:tcPr>
            <w:tcW w:w="1286" w:type="pct"/>
            <w:vAlign w:val="center"/>
          </w:tcPr>
          <w:p w14:paraId="08520CA2" w14:textId="77777777" w:rsidR="002E474C" w:rsidRDefault="00000000">
            <w:pPr>
              <w:pStyle w:val="A-"/>
              <w:spacing w:line="260" w:lineRule="exact"/>
              <w:ind w:leftChars="-25" w:left="-53" w:rightChars="-25" w:right="-53"/>
              <w:jc w:val="both"/>
            </w:pPr>
            <w:r>
              <w:t>本项目根据废物性质选择封闭汽车、封闭提升机和管道输送等密闭输送设备，可有效防止粉尘、异味扩散，防止固废输送过程泄漏、散落等。</w:t>
            </w:r>
          </w:p>
        </w:tc>
        <w:tc>
          <w:tcPr>
            <w:tcW w:w="311" w:type="pct"/>
            <w:vAlign w:val="center"/>
          </w:tcPr>
          <w:p w14:paraId="4EBB54C1" w14:textId="77777777" w:rsidR="002E474C" w:rsidRDefault="00000000">
            <w:pPr>
              <w:pStyle w:val="A-"/>
              <w:spacing w:line="260" w:lineRule="exact"/>
            </w:pPr>
            <w:r>
              <w:t>符合</w:t>
            </w:r>
          </w:p>
        </w:tc>
      </w:tr>
      <w:tr w:rsidR="002E474C" w14:paraId="5AD3D89D" w14:textId="77777777">
        <w:tc>
          <w:tcPr>
            <w:tcW w:w="489" w:type="pct"/>
            <w:vMerge/>
            <w:vAlign w:val="center"/>
          </w:tcPr>
          <w:p w14:paraId="768CA91F" w14:textId="77777777" w:rsidR="002E474C" w:rsidRDefault="002E474C">
            <w:pPr>
              <w:pStyle w:val="A-"/>
              <w:spacing w:line="260" w:lineRule="exact"/>
            </w:pPr>
          </w:p>
        </w:tc>
        <w:tc>
          <w:tcPr>
            <w:tcW w:w="2914" w:type="pct"/>
            <w:vAlign w:val="center"/>
          </w:tcPr>
          <w:p w14:paraId="0D40F6FC" w14:textId="77777777" w:rsidR="002E474C" w:rsidRDefault="00000000">
            <w:pPr>
              <w:pStyle w:val="A-"/>
              <w:spacing w:line="260" w:lineRule="exact"/>
              <w:ind w:leftChars="-25" w:left="-53" w:rightChars="-25" w:right="-53"/>
              <w:jc w:val="both"/>
            </w:pPr>
            <w:r>
              <w:t xml:space="preserve">7.3 </w:t>
            </w:r>
            <w:r>
              <w:t>工业废物的运输车辆</w:t>
            </w:r>
            <w:r>
              <w:t xml:space="preserve"> </w:t>
            </w:r>
          </w:p>
          <w:p w14:paraId="104FEA9B" w14:textId="77777777" w:rsidR="002E474C" w:rsidRDefault="00000000">
            <w:pPr>
              <w:pStyle w:val="A-"/>
              <w:spacing w:line="260" w:lineRule="exact"/>
              <w:ind w:leftChars="-25" w:left="-53" w:rightChars="-25" w:right="-53"/>
              <w:jc w:val="both"/>
              <w:rPr>
                <w:spacing w:val="-6"/>
              </w:rPr>
            </w:pPr>
            <w:r>
              <w:rPr>
                <w:spacing w:val="-6"/>
              </w:rPr>
              <w:t xml:space="preserve">7.3.1 </w:t>
            </w:r>
            <w:r>
              <w:rPr>
                <w:spacing w:val="-6"/>
              </w:rPr>
              <w:t>一般工业废物的运输车辆，应依据工业废物的特性选择，宜选用同一型号、规格的车辆。</w:t>
            </w:r>
          </w:p>
          <w:p w14:paraId="64E7F39B" w14:textId="77777777" w:rsidR="002E474C" w:rsidRDefault="00000000">
            <w:pPr>
              <w:pStyle w:val="A-"/>
              <w:spacing w:line="260" w:lineRule="exact"/>
              <w:ind w:leftChars="-25" w:left="-53" w:rightChars="-25" w:right="-53"/>
              <w:jc w:val="both"/>
            </w:pPr>
            <w:r>
              <w:t xml:space="preserve">7.3.2 </w:t>
            </w:r>
            <w:r>
              <w:t>运输过程中有挥发性恶臭气体逸出的工业废物，应选用密封式车辆运输。</w:t>
            </w:r>
          </w:p>
          <w:p w14:paraId="31795D19" w14:textId="77777777" w:rsidR="002E474C" w:rsidRDefault="00000000">
            <w:pPr>
              <w:pStyle w:val="A-"/>
              <w:spacing w:line="260" w:lineRule="exact"/>
              <w:ind w:leftChars="-25" w:left="-53" w:rightChars="-25" w:right="-53"/>
              <w:jc w:val="both"/>
            </w:pPr>
            <w:r>
              <w:t xml:space="preserve">7.3.3 </w:t>
            </w:r>
            <w:r>
              <w:t>危险废物的运输车辆，必须按危险废物特性进行分类包装运输，并应设置危险废物专用警示标志。</w:t>
            </w:r>
          </w:p>
        </w:tc>
        <w:tc>
          <w:tcPr>
            <w:tcW w:w="1286" w:type="pct"/>
            <w:vAlign w:val="center"/>
          </w:tcPr>
          <w:p w14:paraId="17F54F1E" w14:textId="77777777" w:rsidR="002E474C" w:rsidRDefault="00000000">
            <w:pPr>
              <w:pStyle w:val="A-"/>
              <w:spacing w:line="260" w:lineRule="exact"/>
              <w:ind w:leftChars="-25" w:left="-53" w:rightChars="-25" w:right="-53"/>
              <w:jc w:val="both"/>
            </w:pPr>
            <w:r>
              <w:t>本项目委托有运输资质的单位运输危废，并签订运输协议，要求按危险废物特性进行分类包装运输，并应设置危险废物专用警示标志。</w:t>
            </w:r>
          </w:p>
        </w:tc>
        <w:tc>
          <w:tcPr>
            <w:tcW w:w="311" w:type="pct"/>
            <w:vAlign w:val="center"/>
          </w:tcPr>
          <w:p w14:paraId="38E8ECDE" w14:textId="77777777" w:rsidR="002E474C" w:rsidRDefault="00000000">
            <w:pPr>
              <w:pStyle w:val="A-"/>
              <w:spacing w:line="260" w:lineRule="exact"/>
            </w:pPr>
            <w:r>
              <w:t>符合</w:t>
            </w:r>
          </w:p>
        </w:tc>
      </w:tr>
      <w:tr w:rsidR="002E474C" w14:paraId="0E42CC20" w14:textId="77777777">
        <w:tc>
          <w:tcPr>
            <w:tcW w:w="489" w:type="pct"/>
            <w:vAlign w:val="center"/>
          </w:tcPr>
          <w:p w14:paraId="0C29E252" w14:textId="77777777" w:rsidR="002E474C" w:rsidRDefault="00000000">
            <w:pPr>
              <w:pStyle w:val="A-"/>
              <w:spacing w:line="260" w:lineRule="exact"/>
            </w:pPr>
            <w:r>
              <w:lastRenderedPageBreak/>
              <w:t>8</w:t>
            </w:r>
            <w:r>
              <w:t>工业废物预处理系统</w:t>
            </w:r>
          </w:p>
        </w:tc>
        <w:tc>
          <w:tcPr>
            <w:tcW w:w="2914" w:type="pct"/>
            <w:vAlign w:val="center"/>
          </w:tcPr>
          <w:p w14:paraId="3DDC0AC1" w14:textId="77777777" w:rsidR="002E474C" w:rsidRDefault="00000000">
            <w:pPr>
              <w:pStyle w:val="A-"/>
              <w:spacing w:line="260" w:lineRule="exact"/>
              <w:ind w:leftChars="-25" w:left="-53" w:rightChars="-25" w:right="-53"/>
              <w:jc w:val="both"/>
            </w:pPr>
            <w:r>
              <w:t>8.1</w:t>
            </w:r>
            <w:r>
              <w:t>一般规定</w:t>
            </w:r>
          </w:p>
          <w:p w14:paraId="3D9552F9" w14:textId="77777777" w:rsidR="002E474C" w:rsidRDefault="00000000">
            <w:pPr>
              <w:pStyle w:val="A-"/>
              <w:spacing w:line="260" w:lineRule="exact"/>
              <w:ind w:leftChars="-25" w:left="-53" w:rightChars="-25" w:right="-53"/>
              <w:jc w:val="both"/>
            </w:pPr>
            <w:r>
              <w:t xml:space="preserve">8.1.1 </w:t>
            </w:r>
            <w:r>
              <w:t>预处理系统工艺布置应采取防止异味、粉尘的散发、溶析及渗漏等措施。</w:t>
            </w:r>
          </w:p>
          <w:p w14:paraId="249CF187" w14:textId="77777777" w:rsidR="002E474C" w:rsidRDefault="00000000">
            <w:pPr>
              <w:pStyle w:val="A-"/>
              <w:spacing w:line="260" w:lineRule="exact"/>
              <w:ind w:leftChars="-25" w:left="-53" w:rightChars="-25" w:right="-53"/>
              <w:jc w:val="both"/>
            </w:pPr>
            <w:r>
              <w:t xml:space="preserve">8.2 </w:t>
            </w:r>
            <w:r>
              <w:t>工业废物破碎、配伍系统</w:t>
            </w:r>
          </w:p>
          <w:p w14:paraId="33EA7E11" w14:textId="77777777" w:rsidR="002E474C" w:rsidRDefault="00000000">
            <w:pPr>
              <w:pStyle w:val="A-"/>
              <w:spacing w:line="260" w:lineRule="exact"/>
              <w:ind w:leftChars="-25" w:left="-53" w:rightChars="-25" w:right="-53"/>
              <w:jc w:val="both"/>
            </w:pPr>
            <w:r>
              <w:t xml:space="preserve">8.2.1 </w:t>
            </w:r>
            <w:r>
              <w:t>工业废物的破碎、配伍系统的工艺布置，应依据工业废物的来源、贮存系统的工艺布置、水泥窑接口系统工艺条件等确定。</w:t>
            </w:r>
          </w:p>
          <w:p w14:paraId="45F32A97" w14:textId="77777777" w:rsidR="002E474C" w:rsidRDefault="00000000">
            <w:pPr>
              <w:pStyle w:val="A-"/>
              <w:spacing w:line="260" w:lineRule="exact"/>
              <w:ind w:leftChars="-25" w:left="-53" w:rightChars="-25" w:right="-53"/>
              <w:jc w:val="both"/>
            </w:pPr>
            <w:r>
              <w:t xml:space="preserve">8.2.2 </w:t>
            </w:r>
            <w:r>
              <w:t>应依据待处置工业废物的磨蚀性、来料粒度、出料粒度要求等选择破碎机的形式和破碎级数。</w:t>
            </w:r>
          </w:p>
          <w:p w14:paraId="1CB5C996" w14:textId="77777777" w:rsidR="002E474C" w:rsidRDefault="00000000">
            <w:pPr>
              <w:pStyle w:val="A-"/>
              <w:spacing w:line="260" w:lineRule="exact"/>
              <w:ind w:leftChars="-25" w:left="-53" w:rightChars="-25" w:right="-53"/>
              <w:jc w:val="both"/>
            </w:pPr>
            <w:r>
              <w:t xml:space="preserve">8.2.3 </w:t>
            </w:r>
            <w:r>
              <w:t>作为替代原料的工业废物，其破碎应优先选择与现有生产线共用破碎机。需单独设置破碎时，应依据物料的特性进行破碎机选型，并应优先选用单段破碎。</w:t>
            </w:r>
          </w:p>
          <w:p w14:paraId="05033419" w14:textId="77777777" w:rsidR="002E474C" w:rsidRDefault="00000000">
            <w:pPr>
              <w:pStyle w:val="A-"/>
              <w:spacing w:line="260" w:lineRule="exact"/>
              <w:ind w:leftChars="-25" w:left="-53" w:rightChars="-25" w:right="-53"/>
              <w:jc w:val="both"/>
            </w:pPr>
            <w:r>
              <w:t xml:space="preserve">8.2.4 </w:t>
            </w:r>
            <w:r>
              <w:t>工业废物替代燃料破碎系统宜采用多级破碎。</w:t>
            </w:r>
          </w:p>
          <w:p w14:paraId="66F243D3" w14:textId="77777777" w:rsidR="002E474C" w:rsidRDefault="00000000">
            <w:pPr>
              <w:pStyle w:val="A-"/>
              <w:spacing w:line="260" w:lineRule="exact"/>
              <w:ind w:leftChars="-25" w:left="-53" w:rightChars="-25" w:right="-53"/>
              <w:jc w:val="both"/>
            </w:pPr>
            <w:r>
              <w:t xml:space="preserve">8.2.5 </w:t>
            </w:r>
            <w:r>
              <w:t>危险废物破碎机应设置防爆通道及不可破碎物排出通道。</w:t>
            </w:r>
          </w:p>
          <w:p w14:paraId="7720DDF3" w14:textId="77777777" w:rsidR="002E474C" w:rsidRDefault="00000000">
            <w:pPr>
              <w:pStyle w:val="A-"/>
              <w:spacing w:line="260" w:lineRule="exact"/>
              <w:ind w:leftChars="-25" w:left="-53" w:rightChars="-25" w:right="-53"/>
              <w:jc w:val="both"/>
            </w:pPr>
            <w:r>
              <w:t xml:space="preserve">8.2.6 </w:t>
            </w:r>
            <w:r>
              <w:t>应采用分选工艺去除工业废物中对水泥生产有害的组分，对富集的有害组分应</w:t>
            </w:r>
          </w:p>
          <w:p w14:paraId="42EFAD7C" w14:textId="77777777" w:rsidR="002E474C" w:rsidRDefault="00000000">
            <w:pPr>
              <w:pStyle w:val="A-"/>
              <w:spacing w:line="260" w:lineRule="exact"/>
              <w:ind w:leftChars="-25" w:left="-53" w:rightChars="-25" w:right="-53"/>
              <w:jc w:val="both"/>
            </w:pPr>
            <w:r>
              <w:t>采取后续处置措施。</w:t>
            </w:r>
          </w:p>
          <w:p w14:paraId="7FDF51C6" w14:textId="77777777" w:rsidR="002E474C" w:rsidRDefault="00000000">
            <w:pPr>
              <w:pStyle w:val="A-"/>
              <w:spacing w:line="260" w:lineRule="exact"/>
              <w:ind w:leftChars="-25" w:left="-53" w:rightChars="-25" w:right="-53"/>
              <w:jc w:val="both"/>
            </w:pPr>
            <w:r>
              <w:t xml:space="preserve">8.2.7  </w:t>
            </w:r>
            <w:r>
              <w:t>工业废物的分选宜选用组合分选装置。如需采用多级装备组合，各设备的处理能力应按照工业废物分选的能力要求进行匹配。</w:t>
            </w:r>
          </w:p>
          <w:p w14:paraId="35511011" w14:textId="77777777" w:rsidR="002E474C" w:rsidRDefault="00000000">
            <w:pPr>
              <w:pStyle w:val="A-"/>
              <w:spacing w:line="260" w:lineRule="exact"/>
              <w:ind w:leftChars="-25" w:left="-53" w:rightChars="-25" w:right="-53"/>
              <w:jc w:val="both"/>
            </w:pPr>
            <w:r>
              <w:t xml:space="preserve">8.2.8 </w:t>
            </w:r>
            <w:r>
              <w:t>处置危险废物的分选设备应设置安全防爆装置。</w:t>
            </w:r>
          </w:p>
          <w:p w14:paraId="01E22ED3" w14:textId="77777777" w:rsidR="002E474C" w:rsidRDefault="00000000">
            <w:pPr>
              <w:pStyle w:val="A-"/>
              <w:spacing w:line="260" w:lineRule="exact"/>
              <w:ind w:leftChars="-25" w:left="-53" w:rightChars="-25" w:right="-53"/>
              <w:jc w:val="both"/>
            </w:pPr>
            <w:r>
              <w:t xml:space="preserve">8.2.9 </w:t>
            </w:r>
            <w:r>
              <w:t>采用混合搅拌配伍的工业废物，所选择的混料器若采用螺旋结构，应设置为可正、反转，并应可实现缠绕条状废物自解套。</w:t>
            </w:r>
          </w:p>
          <w:p w14:paraId="5D2B158A" w14:textId="77777777" w:rsidR="002E474C" w:rsidRDefault="00000000">
            <w:pPr>
              <w:pStyle w:val="A-"/>
              <w:spacing w:line="260" w:lineRule="exact"/>
              <w:ind w:leftChars="-25" w:left="-53" w:rightChars="-25" w:right="-53"/>
              <w:jc w:val="both"/>
            </w:pPr>
            <w:r>
              <w:t xml:space="preserve">8.2.10 </w:t>
            </w:r>
            <w:r>
              <w:t>处置危险废物的混合搅拌配伍设备，应设置温度、可燃气体成分与浓度监测，并应配置观察孔、防爆阀接口等设施。</w:t>
            </w:r>
          </w:p>
          <w:p w14:paraId="58E63483" w14:textId="77777777" w:rsidR="002E474C" w:rsidRDefault="00000000">
            <w:pPr>
              <w:pStyle w:val="A-"/>
              <w:spacing w:line="260" w:lineRule="exact"/>
              <w:ind w:leftChars="-25" w:left="-53" w:rightChars="-25" w:right="-53"/>
              <w:jc w:val="both"/>
            </w:pPr>
            <w:r>
              <w:t xml:space="preserve">8.2.11 </w:t>
            </w:r>
            <w:r>
              <w:t>工业废物替代燃料进行水分、热值、有害组分调配时，若采用干燥、分选、输送等设备联用可满足均化要求，则不宜设置独立的混合配伍装置。</w:t>
            </w:r>
          </w:p>
        </w:tc>
        <w:tc>
          <w:tcPr>
            <w:tcW w:w="1286" w:type="pct"/>
            <w:vAlign w:val="center"/>
          </w:tcPr>
          <w:p w14:paraId="12796D38" w14:textId="77777777" w:rsidR="002E474C" w:rsidRDefault="00000000">
            <w:pPr>
              <w:pStyle w:val="A-"/>
              <w:spacing w:line="260" w:lineRule="exact"/>
              <w:ind w:leftChars="-25" w:left="-53" w:rightChars="-25" w:right="-53"/>
              <w:jc w:val="both"/>
              <w:rPr>
                <w:bCs/>
              </w:rPr>
            </w:pPr>
            <w:r>
              <w:rPr>
                <w:spacing w:val="-6"/>
              </w:rPr>
              <w:t>本项目采取分散联合经营模式运行，</w:t>
            </w:r>
            <w:r>
              <w:rPr>
                <w:rFonts w:hint="eastAsia"/>
                <w:bCs/>
              </w:rPr>
              <w:t>主要依托预处理中心提供预处理产物</w:t>
            </w:r>
            <w:r>
              <w:rPr>
                <w:bCs/>
              </w:rPr>
              <w:t>，</w:t>
            </w:r>
            <w:r>
              <w:rPr>
                <w:spacing w:val="-6"/>
              </w:rPr>
              <w:t>仅在</w:t>
            </w:r>
            <w:r>
              <w:rPr>
                <w:rFonts w:hint="eastAsia"/>
                <w:spacing w:val="-6"/>
              </w:rPr>
              <w:t>本项目</w:t>
            </w:r>
            <w:r>
              <w:rPr>
                <w:spacing w:val="-6"/>
              </w:rPr>
              <w:t>固态危废预处理车间破碎废弃包装物</w:t>
            </w:r>
            <w:r>
              <w:rPr>
                <w:rFonts w:hint="eastAsia"/>
                <w:spacing w:val="-6"/>
              </w:rPr>
              <w:t>和</w:t>
            </w:r>
            <w:r>
              <w:rPr>
                <w:spacing w:val="-6"/>
              </w:rPr>
              <w:t>不满足直接入窑处置</w:t>
            </w:r>
            <w:r>
              <w:rPr>
                <w:rFonts w:hint="eastAsia"/>
                <w:spacing w:val="-6"/>
              </w:rPr>
              <w:t>要求</w:t>
            </w:r>
            <w:r>
              <w:rPr>
                <w:spacing w:val="-6"/>
              </w:rPr>
              <w:t>的物料，在液态处置车间对投料废液进行过滤处理。固态危废预处理车间和液态处置车间均设置负压系统，并对废气和废液、废水收集处理。</w:t>
            </w:r>
          </w:p>
        </w:tc>
        <w:tc>
          <w:tcPr>
            <w:tcW w:w="311" w:type="pct"/>
            <w:vAlign w:val="center"/>
          </w:tcPr>
          <w:p w14:paraId="575FB8D6" w14:textId="77777777" w:rsidR="002E474C" w:rsidRDefault="00000000">
            <w:pPr>
              <w:pStyle w:val="A-"/>
              <w:spacing w:line="260" w:lineRule="exact"/>
            </w:pPr>
            <w:r>
              <w:t>符合</w:t>
            </w:r>
          </w:p>
        </w:tc>
      </w:tr>
      <w:tr w:rsidR="002E474C" w14:paraId="64AE4172" w14:textId="77777777">
        <w:tc>
          <w:tcPr>
            <w:tcW w:w="489" w:type="pct"/>
            <w:vMerge w:val="restart"/>
            <w:vAlign w:val="center"/>
          </w:tcPr>
          <w:p w14:paraId="339DAE0F" w14:textId="77777777" w:rsidR="002E474C" w:rsidRDefault="00000000">
            <w:pPr>
              <w:pStyle w:val="A-"/>
              <w:spacing w:line="260" w:lineRule="exact"/>
            </w:pPr>
            <w:r>
              <w:t>10</w:t>
            </w:r>
            <w:r>
              <w:t>环境保护</w:t>
            </w:r>
          </w:p>
        </w:tc>
        <w:tc>
          <w:tcPr>
            <w:tcW w:w="2914" w:type="pct"/>
            <w:vAlign w:val="center"/>
          </w:tcPr>
          <w:p w14:paraId="432B4566" w14:textId="77777777" w:rsidR="002E474C" w:rsidRDefault="00000000">
            <w:pPr>
              <w:pStyle w:val="A-"/>
              <w:spacing w:line="260" w:lineRule="exact"/>
              <w:ind w:leftChars="-25" w:left="-53" w:rightChars="-25" w:right="-53"/>
              <w:jc w:val="both"/>
            </w:pPr>
            <w:r>
              <w:t xml:space="preserve">10.1 </w:t>
            </w:r>
            <w:r>
              <w:t>一般规定</w:t>
            </w:r>
            <w:r>
              <w:t xml:space="preserve"> </w:t>
            </w:r>
          </w:p>
          <w:p w14:paraId="6E122CA0" w14:textId="77777777" w:rsidR="002E474C" w:rsidRDefault="00000000">
            <w:pPr>
              <w:pStyle w:val="A-"/>
              <w:spacing w:line="260" w:lineRule="exact"/>
              <w:ind w:leftChars="-25" w:left="-53" w:rightChars="-25" w:right="-53"/>
              <w:jc w:val="both"/>
            </w:pPr>
            <w:r>
              <w:t xml:space="preserve">10.1.1 </w:t>
            </w:r>
            <w:r>
              <w:t>水泥窑协同处置工业废物须进行环境影响评价。</w:t>
            </w:r>
          </w:p>
          <w:p w14:paraId="4A46D668" w14:textId="77777777" w:rsidR="002E474C" w:rsidRDefault="00000000">
            <w:pPr>
              <w:pStyle w:val="A-"/>
              <w:spacing w:line="260" w:lineRule="exact"/>
              <w:ind w:leftChars="-25" w:left="-53" w:rightChars="-25" w:right="-53"/>
              <w:jc w:val="both"/>
            </w:pPr>
            <w:r>
              <w:t xml:space="preserve">10.1.2 </w:t>
            </w:r>
            <w:r>
              <w:t>水泥窑协同处置工业废物的水泥厂，与居住区之间留有的卫生防护距离，应符合相应现行国家标准《水泥厂卫生防护距离标准》</w:t>
            </w:r>
            <w:r>
              <w:t>GB18068</w:t>
            </w:r>
            <w:r>
              <w:t>的有关规定。</w:t>
            </w:r>
            <w:r>
              <w:t xml:space="preserve"> </w:t>
            </w:r>
          </w:p>
          <w:p w14:paraId="1A9C3D5C" w14:textId="77777777" w:rsidR="002E474C" w:rsidRDefault="00000000">
            <w:pPr>
              <w:pStyle w:val="A-"/>
              <w:spacing w:line="260" w:lineRule="exact"/>
              <w:ind w:leftChars="-25" w:left="-53" w:rightChars="-25" w:right="-53"/>
              <w:jc w:val="both"/>
            </w:pPr>
            <w:r>
              <w:t xml:space="preserve">10.1.3 </w:t>
            </w:r>
            <w:r>
              <w:t>水泥窑协同处置工业废物时，采取的处置方案须安全环保。产品或排放物中所含有毒有害物质浓度须符合现行国家相应产品及污染物排放标准的有关规定。</w:t>
            </w:r>
          </w:p>
          <w:p w14:paraId="76EAA346" w14:textId="77777777" w:rsidR="002E474C" w:rsidRDefault="00000000">
            <w:pPr>
              <w:pStyle w:val="A-"/>
              <w:spacing w:line="260" w:lineRule="exact"/>
              <w:ind w:leftChars="-25" w:left="-53" w:rightChars="-25" w:right="-53"/>
              <w:jc w:val="both"/>
            </w:pPr>
            <w:r>
              <w:t xml:space="preserve">10.1.4 </w:t>
            </w:r>
            <w:r>
              <w:t>防治污染的环保设施必须与水泥窑协同处置工业废物主体工程同时设计、同时施工、同时投产使用。</w:t>
            </w:r>
          </w:p>
        </w:tc>
        <w:tc>
          <w:tcPr>
            <w:tcW w:w="1286" w:type="pct"/>
            <w:vAlign w:val="center"/>
          </w:tcPr>
          <w:p w14:paraId="22869EC1" w14:textId="77777777" w:rsidR="002E474C" w:rsidRDefault="00000000">
            <w:pPr>
              <w:pStyle w:val="A-"/>
              <w:spacing w:line="260" w:lineRule="exact"/>
              <w:ind w:leftChars="-25" w:left="-53" w:rightChars="-25" w:right="-53"/>
              <w:jc w:val="both"/>
            </w:pPr>
            <w:r>
              <w:t>本项目按要求进行环境影响评价；评价根据《大气有害物质无组织排放卫生防护距离推导技术导则》设置</w:t>
            </w:r>
            <w:r>
              <w:t>100m</w:t>
            </w:r>
            <w:r>
              <w:t>卫生防护距离。</w:t>
            </w:r>
          </w:p>
          <w:p w14:paraId="2185225D" w14:textId="77777777" w:rsidR="002E474C" w:rsidRDefault="00000000">
            <w:pPr>
              <w:pStyle w:val="A-"/>
              <w:spacing w:line="260" w:lineRule="exact"/>
              <w:ind w:leftChars="-25" w:left="-53" w:rightChars="-25" w:right="-53"/>
              <w:jc w:val="both"/>
            </w:pPr>
            <w:r>
              <w:t>本项目将严格执行环保</w:t>
            </w:r>
            <w:r>
              <w:t>“</w:t>
            </w:r>
            <w:r>
              <w:t>三同时</w:t>
            </w:r>
            <w:r>
              <w:t>”</w:t>
            </w:r>
            <w:r>
              <w:t>制度。</w:t>
            </w:r>
          </w:p>
        </w:tc>
        <w:tc>
          <w:tcPr>
            <w:tcW w:w="311" w:type="pct"/>
            <w:vAlign w:val="center"/>
          </w:tcPr>
          <w:p w14:paraId="0B8411DF" w14:textId="77777777" w:rsidR="002E474C" w:rsidRDefault="00000000">
            <w:pPr>
              <w:pStyle w:val="A-"/>
              <w:spacing w:line="260" w:lineRule="exact"/>
            </w:pPr>
            <w:r>
              <w:t>符合</w:t>
            </w:r>
          </w:p>
        </w:tc>
      </w:tr>
      <w:tr w:rsidR="002E474C" w14:paraId="73A8B3F1" w14:textId="77777777">
        <w:tc>
          <w:tcPr>
            <w:tcW w:w="489" w:type="pct"/>
            <w:vMerge/>
            <w:vAlign w:val="center"/>
          </w:tcPr>
          <w:p w14:paraId="0C119D6A" w14:textId="77777777" w:rsidR="002E474C" w:rsidRDefault="002E474C">
            <w:pPr>
              <w:pStyle w:val="A-"/>
              <w:spacing w:line="260" w:lineRule="exact"/>
            </w:pPr>
          </w:p>
        </w:tc>
        <w:tc>
          <w:tcPr>
            <w:tcW w:w="2914" w:type="pct"/>
            <w:vAlign w:val="center"/>
          </w:tcPr>
          <w:p w14:paraId="1AD0ADAC" w14:textId="77777777" w:rsidR="002E474C" w:rsidRDefault="00000000">
            <w:pPr>
              <w:pStyle w:val="A-"/>
              <w:spacing w:line="260" w:lineRule="exact"/>
              <w:ind w:leftChars="-25" w:left="-53" w:rightChars="-25" w:right="-53"/>
              <w:jc w:val="both"/>
            </w:pPr>
            <w:r>
              <w:t xml:space="preserve">10.2 </w:t>
            </w:r>
            <w:r>
              <w:t>环境保护</w:t>
            </w:r>
            <w:r>
              <w:t xml:space="preserve"> </w:t>
            </w:r>
          </w:p>
          <w:p w14:paraId="52A361DF" w14:textId="77777777" w:rsidR="002E474C" w:rsidRDefault="00000000">
            <w:pPr>
              <w:pStyle w:val="A-"/>
              <w:spacing w:line="260" w:lineRule="exact"/>
              <w:ind w:leftChars="-25" w:left="-53" w:rightChars="-25" w:right="-53"/>
              <w:jc w:val="both"/>
            </w:pPr>
            <w:r>
              <w:lastRenderedPageBreak/>
              <w:t xml:space="preserve">10.2.1 </w:t>
            </w:r>
            <w:r>
              <w:t>应根据处置工业废物的特性及建厂地区的气候条件确定物料的贮存型式，贮存容器和贮存场所均应符合现行国家标准《一般工业固体废物贮存、处置场污染控制标准》</w:t>
            </w:r>
            <w:r>
              <w:t>GB18599</w:t>
            </w:r>
            <w:r>
              <w:t>、《危险废物贮存污染控制标准》</w:t>
            </w:r>
            <w:r>
              <w:t>GB18597</w:t>
            </w:r>
            <w:r>
              <w:t>的规定。</w:t>
            </w:r>
            <w:r>
              <w:t xml:space="preserve"> </w:t>
            </w:r>
          </w:p>
          <w:p w14:paraId="60EE7F4D" w14:textId="77777777" w:rsidR="002E474C" w:rsidRDefault="00000000">
            <w:pPr>
              <w:pStyle w:val="A-"/>
              <w:spacing w:line="260" w:lineRule="exact"/>
              <w:ind w:leftChars="-25" w:left="-53" w:rightChars="-25" w:right="-53"/>
              <w:jc w:val="both"/>
            </w:pPr>
            <w:r>
              <w:t xml:space="preserve">10.2.2 </w:t>
            </w:r>
            <w:r>
              <w:t>废物处理、输送、装卸过程均应密闭。其处置全过程均应做好防风、防雨、防晒、防渗、防漏、防冲刷浸泡、防有毒有害气体散发等的设计。</w:t>
            </w:r>
          </w:p>
          <w:p w14:paraId="38969E44" w14:textId="77777777" w:rsidR="002E474C" w:rsidRDefault="00000000">
            <w:pPr>
              <w:pStyle w:val="A-"/>
              <w:spacing w:line="260" w:lineRule="exact"/>
              <w:ind w:leftChars="-25" w:left="-53" w:rightChars="-25" w:right="-53"/>
              <w:jc w:val="both"/>
            </w:pPr>
            <w:r>
              <w:t xml:space="preserve">10.2.3 </w:t>
            </w:r>
            <w:r>
              <w:t>应严格控制工业废物焚烧过程</w:t>
            </w:r>
            <w:r>
              <w:t>,</w:t>
            </w:r>
            <w:r>
              <w:t>抑制烟气中各种污染物的产生。</w:t>
            </w:r>
            <w:r>
              <w:t xml:space="preserve"> </w:t>
            </w:r>
            <w:r>
              <w:t>对烟气必须采取综合处理措施：水泥窑协同处置危险废物，其烟气排放应符合现行国家标准《危险废物焚烧污染控制标准》</w:t>
            </w:r>
            <w:r>
              <w:t xml:space="preserve">GB18484 </w:t>
            </w:r>
            <w:r>
              <w:t>中的有关规定；协同处置一般工业废物，其烟气排放应符合现行国家标准《工业炉窑大气污染物排放标准》</w:t>
            </w:r>
            <w:r>
              <w:t>GB9078</w:t>
            </w:r>
            <w:r>
              <w:t>、《水泥工业大气污染物排放标准》</w:t>
            </w:r>
            <w:r>
              <w:t>GB4915</w:t>
            </w:r>
            <w:r>
              <w:t>中的有关规定。</w:t>
            </w:r>
            <w:r>
              <w:t xml:space="preserve"> </w:t>
            </w:r>
          </w:p>
          <w:p w14:paraId="054262C2" w14:textId="77777777" w:rsidR="002E474C" w:rsidRDefault="00000000">
            <w:pPr>
              <w:pStyle w:val="A-"/>
              <w:spacing w:line="260" w:lineRule="exact"/>
              <w:ind w:leftChars="-25" w:left="-53" w:rightChars="-25" w:right="-53"/>
              <w:jc w:val="both"/>
            </w:pPr>
            <w:r>
              <w:t>10.2.4</w:t>
            </w:r>
            <w:r>
              <w:t>水泥窑协同处置工业废物除尘及气体净化设备应根据生产设备的能力、工业废物的特性配置高效除尘净化设备。</w:t>
            </w:r>
          </w:p>
          <w:p w14:paraId="5ED36DF6" w14:textId="77777777" w:rsidR="002E474C" w:rsidRDefault="00000000">
            <w:pPr>
              <w:pStyle w:val="A-"/>
              <w:spacing w:line="260" w:lineRule="exact"/>
              <w:ind w:leftChars="-25" w:left="-53" w:rightChars="-25" w:right="-53"/>
              <w:jc w:val="both"/>
            </w:pPr>
            <w:r>
              <w:t>10.2.5</w:t>
            </w:r>
            <w:r>
              <w:t>除尘净化设备应与其对应的生产工艺设备应设置联锁运行装置。</w:t>
            </w:r>
            <w:r>
              <w:t xml:space="preserve"> </w:t>
            </w:r>
          </w:p>
          <w:p w14:paraId="702E6D20" w14:textId="77777777" w:rsidR="002E474C" w:rsidRDefault="00000000">
            <w:pPr>
              <w:pStyle w:val="A-"/>
              <w:spacing w:line="260" w:lineRule="exact"/>
              <w:ind w:leftChars="-25" w:left="-53" w:rightChars="-25" w:right="-53"/>
              <w:jc w:val="both"/>
            </w:pPr>
            <w:r>
              <w:t>10.2.6</w:t>
            </w:r>
            <w:r>
              <w:t>破碎易形成扬尘的工业废物，其破碎设备及转运应附设收尘设备。烟气净化系统的除尘设备应选用袋式除尘器，并应根据烟气性质选择滤袋和袋笼材质。不得使用静电除尘和机械除尘装置。</w:t>
            </w:r>
          </w:p>
          <w:p w14:paraId="401D6102" w14:textId="77777777" w:rsidR="002E474C" w:rsidRDefault="00000000">
            <w:pPr>
              <w:pStyle w:val="A-"/>
              <w:spacing w:line="260" w:lineRule="exact"/>
              <w:ind w:leftChars="-25" w:left="-53" w:rightChars="-25" w:right="-53"/>
              <w:jc w:val="both"/>
            </w:pPr>
            <w:r>
              <w:t xml:space="preserve">10.2.7 </w:t>
            </w:r>
            <w:r>
              <w:t>应采用雨污分流排水系统，废物运输车辆及贮存容器的冲洗废水、生产废水以及生活污水不得与雨水合流排放。</w:t>
            </w:r>
          </w:p>
          <w:p w14:paraId="421F5149" w14:textId="77777777" w:rsidR="002E474C" w:rsidRDefault="00000000">
            <w:pPr>
              <w:pStyle w:val="A-"/>
              <w:spacing w:line="260" w:lineRule="exact"/>
              <w:ind w:leftChars="-25" w:left="-53" w:rightChars="-25" w:right="-53"/>
              <w:jc w:val="both"/>
            </w:pPr>
            <w:r>
              <w:t xml:space="preserve">10.2.8 </w:t>
            </w:r>
            <w:r>
              <w:t>危险废物贮存设施应按照现行国家标准</w:t>
            </w:r>
            <w:r>
              <w:t xml:space="preserve"> </w:t>
            </w:r>
            <w:r>
              <w:t>《危险废物贮存污染控制标准》</w:t>
            </w:r>
            <w:r>
              <w:t xml:space="preserve"> GB18597</w:t>
            </w:r>
            <w:r>
              <w:t>的要求设置泄漏液体收集装置及气体导出口和气体净化装置。</w:t>
            </w:r>
          </w:p>
          <w:p w14:paraId="467E22E7" w14:textId="77777777" w:rsidR="002E474C" w:rsidRDefault="00000000">
            <w:pPr>
              <w:pStyle w:val="A-"/>
              <w:spacing w:line="260" w:lineRule="exact"/>
              <w:ind w:leftChars="-25" w:left="-53" w:rightChars="-25" w:right="-53"/>
              <w:jc w:val="both"/>
            </w:pPr>
            <w:r>
              <w:t xml:space="preserve">10.2.9 </w:t>
            </w:r>
            <w:r>
              <w:t>各类废物渗滤液、冲洗运输车辆及贮存设施的废水应按其性质分类收集处理。</w:t>
            </w:r>
            <w:r>
              <w:t xml:space="preserve"> </w:t>
            </w:r>
          </w:p>
          <w:p w14:paraId="700DD966" w14:textId="77777777" w:rsidR="002E474C" w:rsidRDefault="00000000">
            <w:pPr>
              <w:pStyle w:val="A-"/>
              <w:spacing w:line="260" w:lineRule="exact"/>
              <w:ind w:leftChars="-25" w:left="-53" w:rightChars="-25" w:right="-53"/>
              <w:jc w:val="both"/>
            </w:pPr>
            <w:r>
              <w:t xml:space="preserve">10.2.10 </w:t>
            </w:r>
            <w:r>
              <w:t>各类废物处置、堆存区域内的排水应采取初期雨水、地坪冲洗水的收集措施，经收集池收集的废水及作业区的初期雨水必须经处理、并应符合现行国家标准《污水综合排放标准》</w:t>
            </w:r>
            <w:r>
              <w:t>GB8978</w:t>
            </w:r>
            <w:r>
              <w:t>的规定后排放。</w:t>
            </w:r>
            <w:r>
              <w:t xml:space="preserve"> </w:t>
            </w:r>
          </w:p>
          <w:p w14:paraId="5E5A03F5" w14:textId="77777777" w:rsidR="002E474C" w:rsidRDefault="00000000">
            <w:pPr>
              <w:pStyle w:val="A-"/>
              <w:spacing w:line="260" w:lineRule="exact"/>
              <w:ind w:leftChars="-25" w:left="-53" w:rightChars="-25" w:right="-53"/>
              <w:jc w:val="both"/>
            </w:pPr>
            <w:r>
              <w:t>10.2.11</w:t>
            </w:r>
            <w:r>
              <w:t>工业废物处置过程中的废水经过处理后应优先回用。</w:t>
            </w:r>
            <w:r>
              <w:t xml:space="preserve"> </w:t>
            </w:r>
            <w:r>
              <w:t>回用水质应符合现行国家标准《城市污水再生利用</w:t>
            </w:r>
            <w:r>
              <w:t xml:space="preserve"> </w:t>
            </w:r>
            <w:r>
              <w:t>城市杂用水水质》</w:t>
            </w:r>
            <w:r>
              <w:t>GB/T 18920</w:t>
            </w:r>
            <w:r>
              <w:t>的规定。当废水需直接排入水体时</w:t>
            </w:r>
            <w:r>
              <w:t>,</w:t>
            </w:r>
            <w:r>
              <w:t>其水质应符合现行国家标准《污水综合排放标准》</w:t>
            </w:r>
            <w:r>
              <w:t>GB8978</w:t>
            </w:r>
            <w:r>
              <w:t>对应的最高允许排放浓度标准值。严禁将未经处理的废物渗滤液及污水以任何方式直接排放或随意倾倒。</w:t>
            </w:r>
          </w:p>
          <w:p w14:paraId="3E56A90B" w14:textId="77777777" w:rsidR="002E474C" w:rsidRDefault="00000000">
            <w:pPr>
              <w:pStyle w:val="A-"/>
              <w:spacing w:line="260" w:lineRule="exact"/>
              <w:ind w:leftChars="-25" w:left="-53" w:rightChars="-25" w:right="-53"/>
              <w:jc w:val="both"/>
            </w:pPr>
            <w:r>
              <w:t>10.2.12</w:t>
            </w:r>
            <w:r>
              <w:t>工业废物处置过程中产生的恶臭污染物的控制与防治应符合现行国家标准《恶臭污染物排放标准》</w:t>
            </w:r>
            <w:r>
              <w:t>GB14554</w:t>
            </w:r>
            <w:r>
              <w:t>的有关规定。</w:t>
            </w:r>
          </w:p>
        </w:tc>
        <w:tc>
          <w:tcPr>
            <w:tcW w:w="1286" w:type="pct"/>
            <w:vAlign w:val="center"/>
          </w:tcPr>
          <w:p w14:paraId="1D9FD913" w14:textId="77777777" w:rsidR="002E474C" w:rsidRDefault="00000000">
            <w:pPr>
              <w:pStyle w:val="A-"/>
              <w:spacing w:line="260" w:lineRule="exact"/>
              <w:ind w:leftChars="-25" w:left="-53" w:rightChars="-25" w:right="-53"/>
              <w:jc w:val="both"/>
            </w:pPr>
            <w:r>
              <w:lastRenderedPageBreak/>
              <w:t>（</w:t>
            </w:r>
            <w:r>
              <w:t>1</w:t>
            </w:r>
            <w:r>
              <w:t>）本项目危废贮存库及固态危废预</w:t>
            </w:r>
            <w:r>
              <w:lastRenderedPageBreak/>
              <w:t>处理车间符合《危险废物贮存污染控制标准》（</w:t>
            </w:r>
            <w:r>
              <w:t>GB18597-2023</w:t>
            </w:r>
            <w:r>
              <w:t>）的规定。废物处理、输送、装卸过程均密闭。</w:t>
            </w:r>
          </w:p>
          <w:p w14:paraId="18576BB9" w14:textId="534EFF01" w:rsidR="002E474C" w:rsidRDefault="00000000" w:rsidP="00557B92">
            <w:pPr>
              <w:pStyle w:val="A-"/>
              <w:spacing w:line="260" w:lineRule="exact"/>
              <w:ind w:leftChars="-25" w:left="-53" w:rightChars="-25" w:right="-53"/>
              <w:jc w:val="both"/>
            </w:pPr>
            <w:r>
              <w:t>）</w:t>
            </w:r>
            <w:r>
              <w:t>2</w:t>
            </w:r>
            <w:r>
              <w:t>窑尾烟气采取</w:t>
            </w:r>
            <w:r>
              <w:t>“SNCR+SCR+</w:t>
            </w:r>
            <w:r>
              <w:t>增湿塔（急冷）</w:t>
            </w:r>
            <w:r>
              <w:t>+</w:t>
            </w:r>
            <w:r>
              <w:t>电袋除尘</w:t>
            </w:r>
            <w:r>
              <w:t>”</w:t>
            </w:r>
            <w:r>
              <w:t>处理措施，其烟气排放符合现行国家标准《危险废物焚烧污染控制标准》</w:t>
            </w:r>
            <w:r>
              <w:t>GB18484</w:t>
            </w:r>
            <w:r>
              <w:t>、《水泥工业大气污染物排放标准》</w:t>
            </w:r>
            <w:r>
              <w:rPr>
                <w:rFonts w:hint="eastAsia"/>
              </w:rPr>
              <w:t>（</w:t>
            </w:r>
            <w:r>
              <w:rPr>
                <w:rFonts w:hint="eastAsia"/>
              </w:rPr>
              <w:t>GB 4915-2013</w:t>
            </w:r>
            <w:r>
              <w:rPr>
                <w:rFonts w:hint="eastAsia"/>
              </w:rPr>
              <w:t>，含</w:t>
            </w:r>
            <w:r>
              <w:rPr>
                <w:rFonts w:hint="eastAsia"/>
              </w:rPr>
              <w:t>2025</w:t>
            </w:r>
            <w:r>
              <w:rPr>
                <w:rFonts w:hint="eastAsia"/>
              </w:rPr>
              <w:t>年修改单）</w:t>
            </w:r>
            <w:r>
              <w:t>中的有关规定。除尘净化设备与其对应的生产工艺设备设置联锁运行装置。危废贮存库及固态危废预处理车间废气引入气体净化设施处理</w:t>
            </w:r>
            <w:r w:rsidRPr="00DC2B10">
              <w:t>后达标排放。采用雨污分流排水系统，生产废水以及生活污水不与雨水合流排放，设置初期雨水池。</w:t>
            </w:r>
            <w:r w:rsidR="00FE55B9" w:rsidRPr="00DC2B10">
              <w:t>危废贮存库液态贮存区配套堵截泄漏的裙角和集液池</w:t>
            </w:r>
            <w:r w:rsidR="00FE55B9" w:rsidRPr="00DC2B10">
              <w:rPr>
                <w:rFonts w:hint="eastAsia"/>
              </w:rPr>
              <w:t>，</w:t>
            </w:r>
            <w:r w:rsidR="00017FC9" w:rsidRPr="00DC2B10">
              <w:rPr>
                <w:rFonts w:hint="eastAsia"/>
              </w:rPr>
              <w:t>清洗间设废水收集系统，车辆及容器清洗废水</w:t>
            </w:r>
            <w:r w:rsidR="00017FC9" w:rsidRPr="00DC2B10">
              <w:t>送废水收集池</w:t>
            </w:r>
            <w:r w:rsidR="00557B92" w:rsidRPr="00DC2B10">
              <w:rPr>
                <w:rFonts w:hint="eastAsia"/>
              </w:rPr>
              <w:t>，</w:t>
            </w:r>
            <w:r w:rsidR="00017FC9" w:rsidRPr="00DC2B10">
              <w:rPr>
                <w:spacing w:val="-6"/>
              </w:rPr>
              <w:t>危废贮存库</w:t>
            </w:r>
            <w:r w:rsidR="00017FC9" w:rsidRPr="00DC2B10">
              <w:rPr>
                <w:rFonts w:hint="eastAsia"/>
                <w:spacing w:val="-6"/>
              </w:rPr>
              <w:t>与</w:t>
            </w:r>
            <w:r w:rsidR="00017FC9" w:rsidRPr="00DC2B10">
              <w:rPr>
                <w:spacing w:val="-6"/>
              </w:rPr>
              <w:t>固态危废预处理车间</w:t>
            </w:r>
            <w:r w:rsidR="00017FC9" w:rsidRPr="00DC2B10">
              <w:rPr>
                <w:rFonts w:hint="eastAsia"/>
                <w:spacing w:val="-6"/>
              </w:rPr>
              <w:t>南侧设初期雨水池，收集危废贮存区</w:t>
            </w:r>
            <w:r w:rsidR="00557B92" w:rsidRPr="00DC2B10">
              <w:rPr>
                <w:rFonts w:hint="eastAsia"/>
                <w:spacing w:val="-6"/>
              </w:rPr>
              <w:t>与作业区</w:t>
            </w:r>
            <w:r w:rsidR="00017FC9" w:rsidRPr="00DC2B10">
              <w:rPr>
                <w:rFonts w:hint="eastAsia"/>
                <w:spacing w:val="-6"/>
              </w:rPr>
              <w:t>的初期雨水</w:t>
            </w:r>
            <w:r w:rsidR="00557B92" w:rsidRPr="00DC2B10">
              <w:rPr>
                <w:rFonts w:hint="eastAsia"/>
                <w:spacing w:val="-6"/>
              </w:rPr>
              <w:t>。集液池废水、初期雨水与</w:t>
            </w:r>
            <w:r w:rsidRPr="00DC2B10">
              <w:t>废水收集池收集的废水</w:t>
            </w:r>
            <w:r w:rsidR="00557B92" w:rsidRPr="00DC2B10">
              <w:rPr>
                <w:rFonts w:hint="eastAsia"/>
              </w:rPr>
              <w:t>均</w:t>
            </w:r>
            <w:r w:rsidR="00557B92" w:rsidRPr="00DC2B10">
              <w:t>经液态处置车间</w:t>
            </w:r>
            <w:r w:rsidRPr="00DC2B10">
              <w:t>入窑焚烧。危废贮存库及固态危废预处理车间满足《危险废物贮存污染控制标准》（</w:t>
            </w:r>
            <w:r w:rsidRPr="00DC2B10">
              <w:t>GB18</w:t>
            </w:r>
            <w:r>
              <w:t>597-2023</w:t>
            </w:r>
            <w:r>
              <w:t>）的要求。</w:t>
            </w:r>
          </w:p>
        </w:tc>
        <w:tc>
          <w:tcPr>
            <w:tcW w:w="311" w:type="pct"/>
            <w:vAlign w:val="center"/>
          </w:tcPr>
          <w:p w14:paraId="6CCC4610" w14:textId="77777777" w:rsidR="002E474C" w:rsidRDefault="002E474C">
            <w:pPr>
              <w:pStyle w:val="A-"/>
              <w:spacing w:line="260" w:lineRule="exact"/>
            </w:pPr>
          </w:p>
        </w:tc>
      </w:tr>
    </w:tbl>
    <w:p w14:paraId="2A0C268E" w14:textId="77777777" w:rsidR="002E474C" w:rsidRDefault="002E474C">
      <w:pPr>
        <w:pStyle w:val="A-z"/>
        <w:spacing w:beforeLines="50" w:before="120"/>
        <w:rPr>
          <w:color w:val="auto"/>
          <w:lang w:val="en-US"/>
        </w:rPr>
        <w:sectPr w:rsidR="002E474C">
          <w:pgSz w:w="16838" w:h="11906" w:orient="landscape"/>
          <w:pgMar w:top="1800" w:right="1440" w:bottom="1800" w:left="1440" w:header="851" w:footer="992" w:gutter="0"/>
          <w:cols w:space="720"/>
          <w:docGrid w:linePitch="312"/>
        </w:sectPr>
      </w:pPr>
    </w:p>
    <w:p w14:paraId="2F2FCEC2" w14:textId="77777777" w:rsidR="002E474C" w:rsidRDefault="00000000">
      <w:pPr>
        <w:pStyle w:val="A--"/>
        <w:spacing w:beforeLines="0" w:before="0"/>
        <w:ind w:leftChars="0" w:left="0" w:rightChars="0" w:right="0"/>
        <w:rPr>
          <w:color w:val="auto"/>
        </w:rPr>
      </w:pPr>
      <w:bookmarkStart w:id="29" w:name="_Hlk151316546"/>
      <w:r>
        <w:rPr>
          <w:color w:val="auto"/>
        </w:rPr>
        <w:lastRenderedPageBreak/>
        <w:t>表</w:t>
      </w:r>
      <w:r>
        <w:rPr>
          <w:color w:val="auto"/>
        </w:rPr>
        <w:t xml:space="preserve">1.4-8  </w:t>
      </w:r>
      <w:r>
        <w:rPr>
          <w:color w:val="auto"/>
        </w:rPr>
        <w:t>与《水泥窑协同处置固体废物环境保护技术规范》（</w:t>
      </w:r>
      <w:r>
        <w:rPr>
          <w:color w:val="auto"/>
        </w:rPr>
        <w:t>HJ662-2013</w:t>
      </w:r>
      <w:r>
        <w:rPr>
          <w:color w:val="auto"/>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8977"/>
        <w:gridCol w:w="3161"/>
        <w:gridCol w:w="728"/>
      </w:tblGrid>
      <w:tr w:rsidR="002E474C" w14:paraId="01FCD4CF" w14:textId="77777777">
        <w:tc>
          <w:tcPr>
            <w:tcW w:w="3606" w:type="pct"/>
            <w:gridSpan w:val="2"/>
            <w:vAlign w:val="center"/>
          </w:tcPr>
          <w:p w14:paraId="581BB2A8" w14:textId="77777777" w:rsidR="002E474C" w:rsidRDefault="00000000">
            <w:pPr>
              <w:pStyle w:val="A-"/>
              <w:spacing w:line="260" w:lineRule="exact"/>
            </w:pPr>
            <w:r>
              <w:t>相关内容</w:t>
            </w:r>
          </w:p>
        </w:tc>
        <w:tc>
          <w:tcPr>
            <w:tcW w:w="1133" w:type="pct"/>
            <w:vAlign w:val="center"/>
          </w:tcPr>
          <w:p w14:paraId="39A1AA21" w14:textId="77777777" w:rsidR="002E474C" w:rsidRDefault="00000000">
            <w:pPr>
              <w:pStyle w:val="A-"/>
              <w:spacing w:line="260" w:lineRule="exact"/>
            </w:pPr>
            <w:r>
              <w:t>本项目情况</w:t>
            </w:r>
          </w:p>
        </w:tc>
        <w:tc>
          <w:tcPr>
            <w:tcW w:w="261" w:type="pct"/>
            <w:vAlign w:val="center"/>
          </w:tcPr>
          <w:p w14:paraId="0A087854" w14:textId="77777777" w:rsidR="002E474C" w:rsidRDefault="00000000">
            <w:pPr>
              <w:pStyle w:val="A-"/>
              <w:spacing w:line="260" w:lineRule="exact"/>
              <w:ind w:leftChars="-25" w:left="-53" w:rightChars="-25" w:right="-53"/>
            </w:pPr>
            <w:r>
              <w:t>符合性</w:t>
            </w:r>
          </w:p>
        </w:tc>
      </w:tr>
      <w:tr w:rsidR="002E474C" w14:paraId="2EB19FA4" w14:textId="77777777">
        <w:tc>
          <w:tcPr>
            <w:tcW w:w="388" w:type="pct"/>
            <w:vMerge w:val="restart"/>
            <w:vAlign w:val="center"/>
          </w:tcPr>
          <w:p w14:paraId="5B7CB5B5" w14:textId="77777777" w:rsidR="002E474C" w:rsidRDefault="00000000">
            <w:pPr>
              <w:pStyle w:val="A-"/>
              <w:spacing w:line="260" w:lineRule="exact"/>
            </w:pPr>
            <w:r>
              <w:t>协同处置设施技术要求</w:t>
            </w:r>
          </w:p>
        </w:tc>
        <w:tc>
          <w:tcPr>
            <w:tcW w:w="3218" w:type="pct"/>
            <w:vAlign w:val="center"/>
          </w:tcPr>
          <w:p w14:paraId="5A53B68C" w14:textId="77777777" w:rsidR="002E474C" w:rsidRDefault="00000000">
            <w:pPr>
              <w:pStyle w:val="A-"/>
              <w:spacing w:line="260" w:lineRule="exact"/>
              <w:ind w:leftChars="-25" w:left="-53" w:rightChars="-25" w:right="-53"/>
              <w:jc w:val="both"/>
            </w:pPr>
            <w:r>
              <w:t xml:space="preserve">4.1 </w:t>
            </w:r>
            <w:r>
              <w:t>水泥窑</w:t>
            </w:r>
          </w:p>
          <w:p w14:paraId="588F08E0" w14:textId="77777777" w:rsidR="002E474C" w:rsidRDefault="00000000">
            <w:pPr>
              <w:pStyle w:val="A-"/>
              <w:spacing w:line="260" w:lineRule="exact"/>
              <w:ind w:leftChars="-25" w:left="-53" w:rightChars="-25" w:right="-53"/>
              <w:jc w:val="both"/>
            </w:pPr>
            <w:r>
              <w:t xml:space="preserve">4.1.1  </w:t>
            </w:r>
            <w:r>
              <w:t>满足以下条件的水泥窑可用于协同处置固体废物：</w:t>
            </w:r>
          </w:p>
          <w:p w14:paraId="0254686C" w14:textId="77777777" w:rsidR="002E474C" w:rsidRDefault="00000000">
            <w:pPr>
              <w:pStyle w:val="A-"/>
              <w:spacing w:line="260" w:lineRule="exact"/>
              <w:ind w:leftChars="-25" w:left="-53" w:rightChars="-25" w:right="-53"/>
              <w:jc w:val="both"/>
            </w:pPr>
            <w:r>
              <w:t>a</w:t>
            </w:r>
            <w:r>
              <w:t>）窑型为新型干法水泥窑。</w:t>
            </w:r>
          </w:p>
          <w:p w14:paraId="7B36B20D" w14:textId="77777777" w:rsidR="002E474C" w:rsidRDefault="00000000">
            <w:pPr>
              <w:pStyle w:val="A-"/>
              <w:spacing w:line="260" w:lineRule="exact"/>
              <w:ind w:leftChars="-25" w:left="-53" w:rightChars="-25" w:right="-53"/>
              <w:jc w:val="both"/>
            </w:pPr>
            <w:r>
              <w:t>b</w:t>
            </w:r>
            <w:r>
              <w:t>）单线设计熟料生产规模不小于</w:t>
            </w:r>
            <w:r>
              <w:t xml:space="preserve"> 2000 </w:t>
            </w:r>
            <w:r>
              <w:t>吨</w:t>
            </w:r>
            <w:r>
              <w:t>/</w:t>
            </w:r>
            <w:r>
              <w:t>日。</w:t>
            </w:r>
          </w:p>
          <w:p w14:paraId="7C598D1D" w14:textId="77777777" w:rsidR="002E474C" w:rsidRDefault="00000000">
            <w:pPr>
              <w:pStyle w:val="A-"/>
              <w:spacing w:line="260" w:lineRule="exact"/>
              <w:ind w:leftChars="-25" w:left="-53" w:rightChars="-25" w:right="-53"/>
              <w:jc w:val="both"/>
            </w:pPr>
            <w:r>
              <w:t>c</w:t>
            </w:r>
            <w:r>
              <w:t>）对于改造利用原有设施协同处置固体废物的水泥窑，在改造之前原有设施应连续两年达到</w:t>
            </w:r>
            <w:r>
              <w:t xml:space="preserve"> GB4915 </w:t>
            </w:r>
            <w:r>
              <w:t>的要求。</w:t>
            </w:r>
          </w:p>
        </w:tc>
        <w:tc>
          <w:tcPr>
            <w:tcW w:w="1133" w:type="pct"/>
            <w:vAlign w:val="center"/>
          </w:tcPr>
          <w:p w14:paraId="12879423" w14:textId="77777777" w:rsidR="002E474C" w:rsidRDefault="00000000">
            <w:pPr>
              <w:pStyle w:val="A-"/>
              <w:spacing w:line="260" w:lineRule="exact"/>
              <w:ind w:leftChars="-25" w:left="-53" w:rightChars="-25" w:right="-53"/>
              <w:jc w:val="both"/>
            </w:pPr>
            <w:r>
              <w:t>本项目水泥窑为新型干法水泥窑，单线设计熟料生产规模</w:t>
            </w:r>
            <w:r>
              <w:t>5000t/d</w:t>
            </w:r>
            <w:r>
              <w:t>，现有水泥窑连续两年达到</w:t>
            </w:r>
            <w:r>
              <w:t>GB4915</w:t>
            </w:r>
            <w:r>
              <w:t>的要求。</w:t>
            </w:r>
          </w:p>
        </w:tc>
        <w:tc>
          <w:tcPr>
            <w:tcW w:w="261" w:type="pct"/>
            <w:vAlign w:val="center"/>
          </w:tcPr>
          <w:p w14:paraId="764ACD44" w14:textId="77777777" w:rsidR="002E474C" w:rsidRDefault="00000000">
            <w:pPr>
              <w:pStyle w:val="A-"/>
              <w:spacing w:line="260" w:lineRule="exact"/>
            </w:pPr>
            <w:r>
              <w:t>符合</w:t>
            </w:r>
          </w:p>
        </w:tc>
      </w:tr>
      <w:tr w:rsidR="002E474C" w14:paraId="19612CB7" w14:textId="77777777">
        <w:tc>
          <w:tcPr>
            <w:tcW w:w="388" w:type="pct"/>
            <w:vMerge/>
            <w:vAlign w:val="center"/>
          </w:tcPr>
          <w:p w14:paraId="6F462CD1" w14:textId="77777777" w:rsidR="002E474C" w:rsidRDefault="002E474C">
            <w:pPr>
              <w:pStyle w:val="A-"/>
              <w:spacing w:line="260" w:lineRule="exact"/>
            </w:pPr>
          </w:p>
        </w:tc>
        <w:tc>
          <w:tcPr>
            <w:tcW w:w="3218" w:type="pct"/>
            <w:vAlign w:val="center"/>
          </w:tcPr>
          <w:p w14:paraId="723250BF" w14:textId="77777777" w:rsidR="002E474C" w:rsidRDefault="00000000">
            <w:pPr>
              <w:pStyle w:val="A-"/>
              <w:spacing w:line="260" w:lineRule="exact"/>
              <w:ind w:leftChars="-25" w:left="-53" w:rightChars="-25" w:right="-53"/>
              <w:jc w:val="both"/>
            </w:pPr>
            <w:r>
              <w:t xml:space="preserve">4.1.2  </w:t>
            </w:r>
            <w:r>
              <w:t>用于协同处置固体废物的水泥窑应具备以下功能：</w:t>
            </w:r>
            <w:r>
              <w:t xml:space="preserve"> </w:t>
            </w:r>
          </w:p>
          <w:p w14:paraId="0F50B549" w14:textId="77777777" w:rsidR="002E474C" w:rsidRDefault="00000000">
            <w:pPr>
              <w:pStyle w:val="A-"/>
              <w:spacing w:line="260" w:lineRule="exact"/>
              <w:ind w:leftChars="-25" w:left="-53" w:rightChars="-25" w:right="-53"/>
              <w:jc w:val="both"/>
            </w:pPr>
            <w:r>
              <w:t>a</w:t>
            </w:r>
            <w:r>
              <w:t>）采用窑磨一体机模式。</w:t>
            </w:r>
            <w:r>
              <w:t xml:space="preserve"> </w:t>
            </w:r>
          </w:p>
          <w:p w14:paraId="26477BC6" w14:textId="77777777" w:rsidR="002E474C" w:rsidRDefault="00000000">
            <w:pPr>
              <w:pStyle w:val="A-"/>
              <w:spacing w:line="260" w:lineRule="exact"/>
              <w:ind w:leftChars="-25" w:left="-53" w:rightChars="-25" w:right="-53"/>
              <w:jc w:val="both"/>
            </w:pPr>
            <w:r>
              <w:t>b</w:t>
            </w:r>
            <w:r>
              <w:t>）配备在线监测设备，保证运行工况的稳定：包括窑头烟气温度、压力；窑表面温度；窑尾烟气温度、压力、</w:t>
            </w:r>
            <w:r>
              <w:t>O</w:t>
            </w:r>
            <w:r>
              <w:rPr>
                <w:vertAlign w:val="subscript"/>
              </w:rPr>
              <w:t>2</w:t>
            </w:r>
            <w:r>
              <w:t xml:space="preserve"> </w:t>
            </w:r>
            <w:r>
              <w:t>浓度；分解炉或最低一级旋风筒出口烟气温度、压力、</w:t>
            </w:r>
            <w:r>
              <w:t>O</w:t>
            </w:r>
            <w:r>
              <w:rPr>
                <w:vertAlign w:val="subscript"/>
              </w:rPr>
              <w:t>2</w:t>
            </w:r>
            <w:r>
              <w:t xml:space="preserve"> </w:t>
            </w:r>
            <w:r>
              <w:t>浓度；顶级旋风筒出口烟气温度、压力、</w:t>
            </w:r>
            <w:r>
              <w:t>O</w:t>
            </w:r>
            <w:r>
              <w:rPr>
                <w:vertAlign w:val="subscript"/>
              </w:rPr>
              <w:t>2</w:t>
            </w:r>
            <w:r>
              <w:t>、</w:t>
            </w:r>
            <w:r>
              <w:t>CO</w:t>
            </w:r>
            <w:r>
              <w:t>浓度。</w:t>
            </w:r>
            <w:r>
              <w:t xml:space="preserve"> </w:t>
            </w:r>
          </w:p>
          <w:p w14:paraId="1F6434FF" w14:textId="77777777" w:rsidR="002E474C" w:rsidRDefault="00000000">
            <w:pPr>
              <w:pStyle w:val="A-"/>
              <w:spacing w:line="260" w:lineRule="exact"/>
              <w:ind w:leftChars="-25" w:left="-53" w:rightChars="-25" w:right="-53"/>
              <w:jc w:val="both"/>
            </w:pPr>
            <w:r>
              <w:t>c</w:t>
            </w:r>
            <w:r>
              <w:t>）水泥窑及窑尾余热利用系统采用高效布袋除尘器作为烟气除尘设施，保证排放烟气中颗粒物浓度满足</w:t>
            </w:r>
            <w:r>
              <w:t xml:space="preserve">GB 30485 </w:t>
            </w:r>
            <w:r>
              <w:t>的要求。水泥窑及窑尾余热利用系统排气筒配备粉尘、</w:t>
            </w:r>
            <w:r>
              <w:t>NOx</w:t>
            </w:r>
            <w:r>
              <w:t>、</w:t>
            </w:r>
            <w:r>
              <w:t>SO</w:t>
            </w:r>
            <w:r>
              <w:rPr>
                <w:vertAlign w:val="subscript"/>
              </w:rPr>
              <w:t>2</w:t>
            </w:r>
            <w:r>
              <w:t>浓度在线监测设备，连续监测装置需满足</w:t>
            </w:r>
            <w:r>
              <w:t xml:space="preserve"> HJ/T76 </w:t>
            </w:r>
            <w:r>
              <w:t>的要求，并与当地监控中心联网，保证污染物排放达标。</w:t>
            </w:r>
            <w:r>
              <w:t xml:space="preserve"> </w:t>
            </w:r>
          </w:p>
          <w:p w14:paraId="6251DAD9" w14:textId="77777777" w:rsidR="002E474C" w:rsidRDefault="00000000">
            <w:pPr>
              <w:pStyle w:val="A-"/>
              <w:spacing w:line="260" w:lineRule="exact"/>
              <w:ind w:leftChars="-25" w:left="-53" w:rightChars="-25" w:right="-53"/>
              <w:jc w:val="both"/>
            </w:pPr>
            <w:r>
              <w:t>d</w:t>
            </w:r>
            <w:r>
              <w:t>）配备窑灰返窑装置，将除尘器等烟气处理装置收集的窑灰返回送往生料入窑系统。</w:t>
            </w:r>
          </w:p>
        </w:tc>
        <w:tc>
          <w:tcPr>
            <w:tcW w:w="1133" w:type="pct"/>
            <w:vAlign w:val="center"/>
          </w:tcPr>
          <w:p w14:paraId="7945AA38" w14:textId="77777777" w:rsidR="002E474C" w:rsidRDefault="00000000">
            <w:pPr>
              <w:pStyle w:val="A-"/>
              <w:spacing w:line="260" w:lineRule="exact"/>
              <w:ind w:leftChars="-25" w:left="-53" w:rightChars="-25" w:right="-53"/>
              <w:jc w:val="both"/>
            </w:pPr>
            <w:r>
              <w:rPr>
                <w:spacing w:val="-6"/>
              </w:rPr>
              <w:t>本项目采用窑磨一体机模式，已有在线监测设备保证运行工况的稳定，窑尾烟气采用</w:t>
            </w:r>
            <w:r>
              <w:rPr>
                <w:spacing w:val="-6"/>
              </w:rPr>
              <w:t>“SNCR+SCR+</w:t>
            </w:r>
            <w:r>
              <w:rPr>
                <w:spacing w:val="-6"/>
              </w:rPr>
              <w:t>增湿塔（急冷）</w:t>
            </w:r>
            <w:r>
              <w:rPr>
                <w:spacing w:val="-6"/>
              </w:rPr>
              <w:t>+</w:t>
            </w:r>
            <w:r>
              <w:rPr>
                <w:spacing w:val="-6"/>
              </w:rPr>
              <w:t>电袋除尘</w:t>
            </w:r>
            <w:r>
              <w:rPr>
                <w:spacing w:val="-6"/>
              </w:rPr>
              <w:t>”</w:t>
            </w:r>
            <w:r>
              <w:rPr>
                <w:spacing w:val="-6"/>
              </w:rPr>
              <w:t>处理，颗粒物排放满足</w:t>
            </w:r>
            <w:r>
              <w:rPr>
                <w:spacing w:val="-6"/>
              </w:rPr>
              <w:t>GB 30485</w:t>
            </w:r>
            <w:r>
              <w:rPr>
                <w:spacing w:val="-6"/>
              </w:rPr>
              <w:t>的要求，窑尾排气筒已配备粉尘、</w:t>
            </w:r>
            <w:r>
              <w:rPr>
                <w:spacing w:val="-6"/>
              </w:rPr>
              <w:t>NOx</w:t>
            </w:r>
            <w:r>
              <w:rPr>
                <w:spacing w:val="-6"/>
              </w:rPr>
              <w:t>、</w:t>
            </w:r>
            <w:r>
              <w:rPr>
                <w:spacing w:val="-6"/>
              </w:rPr>
              <w:t>SO</w:t>
            </w:r>
            <w:r>
              <w:rPr>
                <w:spacing w:val="-6"/>
                <w:vertAlign w:val="subscript"/>
              </w:rPr>
              <w:t>2</w:t>
            </w:r>
            <w:r>
              <w:rPr>
                <w:spacing w:val="-6"/>
              </w:rPr>
              <w:t>浓度在线监测设备并与当地监控中心联网。已配备窑灰返窑装置，窑灰部分返回原料系统，部分掺入熟料生产水泥，严格控制其掺加比例。</w:t>
            </w:r>
          </w:p>
        </w:tc>
        <w:tc>
          <w:tcPr>
            <w:tcW w:w="261" w:type="pct"/>
            <w:vAlign w:val="center"/>
          </w:tcPr>
          <w:p w14:paraId="00A01C0F" w14:textId="77777777" w:rsidR="002E474C" w:rsidRDefault="00000000">
            <w:pPr>
              <w:pStyle w:val="A-"/>
              <w:spacing w:line="260" w:lineRule="exact"/>
            </w:pPr>
            <w:r>
              <w:t>符合</w:t>
            </w:r>
          </w:p>
        </w:tc>
      </w:tr>
      <w:tr w:rsidR="002E474C" w14:paraId="6BAF8A99" w14:textId="77777777">
        <w:tc>
          <w:tcPr>
            <w:tcW w:w="388" w:type="pct"/>
            <w:vMerge/>
            <w:vAlign w:val="center"/>
          </w:tcPr>
          <w:p w14:paraId="3FFD23FA" w14:textId="77777777" w:rsidR="002E474C" w:rsidRDefault="002E474C">
            <w:pPr>
              <w:pStyle w:val="A-"/>
              <w:spacing w:line="260" w:lineRule="exact"/>
            </w:pPr>
          </w:p>
        </w:tc>
        <w:tc>
          <w:tcPr>
            <w:tcW w:w="3218" w:type="pct"/>
            <w:vAlign w:val="center"/>
          </w:tcPr>
          <w:p w14:paraId="6D59F556" w14:textId="77777777" w:rsidR="002E474C" w:rsidRDefault="00000000">
            <w:pPr>
              <w:pStyle w:val="A-"/>
              <w:spacing w:line="260" w:lineRule="exact"/>
              <w:ind w:leftChars="-25" w:left="-53" w:rightChars="-25" w:right="-53"/>
              <w:jc w:val="both"/>
            </w:pPr>
            <w:r>
              <w:t xml:space="preserve">4.1.3  </w:t>
            </w:r>
            <w:r>
              <w:t>用于协同处置固体废物的水泥生产设施所在位置应该满足以下条件：</w:t>
            </w:r>
            <w:r>
              <w:t xml:space="preserve"> </w:t>
            </w:r>
          </w:p>
          <w:p w14:paraId="2F25DFBA" w14:textId="77777777" w:rsidR="002E474C" w:rsidRDefault="00000000">
            <w:pPr>
              <w:pStyle w:val="A-"/>
              <w:spacing w:line="260" w:lineRule="exact"/>
              <w:ind w:leftChars="-25" w:left="-53" w:rightChars="-25" w:right="-53"/>
              <w:jc w:val="both"/>
            </w:pPr>
            <w:r>
              <w:t>a</w:t>
            </w:r>
            <w:r>
              <w:t>）符合城市总体发展规划、城市工业发展规划要求。</w:t>
            </w:r>
            <w:r>
              <w:t xml:space="preserve"> </w:t>
            </w:r>
          </w:p>
          <w:p w14:paraId="5B04A33B" w14:textId="77777777" w:rsidR="002E474C" w:rsidRDefault="00000000">
            <w:pPr>
              <w:pStyle w:val="A-"/>
              <w:spacing w:line="260" w:lineRule="exact"/>
              <w:ind w:leftChars="-25" w:left="-53" w:rightChars="-25" w:right="-53"/>
              <w:jc w:val="both"/>
            </w:pPr>
            <w:r>
              <w:t>b</w:t>
            </w:r>
            <w:r>
              <w:t>）所在区域无洪水、潮水或内涝威胁。设施所在标高应位于重现期不小于</w:t>
            </w:r>
            <w:r>
              <w:t xml:space="preserve">100 </w:t>
            </w:r>
            <w:r>
              <w:t>年一遇的洪水位之上，并建设在现有和各类规划中的水库等人工蓄水设施的淹没区和保护区之外。</w:t>
            </w:r>
          </w:p>
          <w:p w14:paraId="5BF70545" w14:textId="77777777" w:rsidR="002E474C" w:rsidRDefault="00000000">
            <w:pPr>
              <w:pStyle w:val="A-"/>
              <w:spacing w:line="260" w:lineRule="exact"/>
              <w:ind w:leftChars="-25" w:left="-53" w:rightChars="-25" w:right="-53"/>
              <w:jc w:val="both"/>
            </w:pPr>
            <w:r>
              <w:t>c</w:t>
            </w:r>
            <w:r>
              <w:t>）协同处置危险废物的设施，经当地环境保护行政主管部门批准的环境影响评价结论确认与居民区、商业区、学校、医院等环境敏感区的距离满足环境保护的需要。</w:t>
            </w:r>
            <w:r>
              <w:t xml:space="preserve"> </w:t>
            </w:r>
          </w:p>
          <w:p w14:paraId="2E92050E" w14:textId="77777777" w:rsidR="002E474C" w:rsidRDefault="00000000">
            <w:pPr>
              <w:pStyle w:val="A-"/>
              <w:spacing w:line="260" w:lineRule="exact"/>
              <w:ind w:leftChars="-25" w:left="-53" w:rightChars="-25" w:right="-53"/>
              <w:jc w:val="both"/>
            </w:pPr>
            <w:r>
              <w:t>d</w:t>
            </w:r>
            <w:r>
              <w:t>）协同处置危险废物的，其运输路线应不经过居民区、商业区、学校、医院等环境敏感区。</w:t>
            </w:r>
          </w:p>
        </w:tc>
        <w:tc>
          <w:tcPr>
            <w:tcW w:w="1133" w:type="pct"/>
            <w:vAlign w:val="center"/>
          </w:tcPr>
          <w:p w14:paraId="32D8AD86" w14:textId="77777777" w:rsidR="002E474C" w:rsidRDefault="00000000">
            <w:pPr>
              <w:pStyle w:val="A-"/>
              <w:spacing w:line="260" w:lineRule="exact"/>
              <w:ind w:leftChars="-25" w:left="-53" w:rightChars="-25" w:right="-53"/>
              <w:jc w:val="both"/>
            </w:pPr>
            <w:r>
              <w:t>本项目符合相关规划要求。符合防洪要求。经预测，本项目各污染物落地浓度均满足环境质量标准，无需设置大气防护距离。</w:t>
            </w:r>
          </w:p>
          <w:p w14:paraId="3D85B370" w14:textId="77777777" w:rsidR="002E474C" w:rsidRDefault="00000000">
            <w:pPr>
              <w:pStyle w:val="A-"/>
              <w:spacing w:line="260" w:lineRule="exact"/>
              <w:ind w:leftChars="-25" w:left="-53" w:rightChars="-25" w:right="-53"/>
              <w:jc w:val="both"/>
            </w:pPr>
            <w:r>
              <w:t>本项目仅承担接收处置危废，不负责运输危废，产废单位将委托有资质的单位进行危废运输。此外，本评价已提出运输危险废物的车辆应密闭，并应按设计拟定路线行驶，同时应配备全球卫星定位和事故报警装置。并须制定应急处理程序，一旦发生翻车或撞车等导致危</w:t>
            </w:r>
            <w:r>
              <w:lastRenderedPageBreak/>
              <w:t>险废物泄漏的事故应立即进入应急处理程序的要求。</w:t>
            </w:r>
          </w:p>
        </w:tc>
        <w:tc>
          <w:tcPr>
            <w:tcW w:w="261" w:type="pct"/>
            <w:vAlign w:val="center"/>
          </w:tcPr>
          <w:p w14:paraId="4D41ADA6" w14:textId="77777777" w:rsidR="002E474C" w:rsidRDefault="00000000">
            <w:pPr>
              <w:pStyle w:val="A-"/>
              <w:spacing w:line="260" w:lineRule="exact"/>
            </w:pPr>
            <w:r>
              <w:lastRenderedPageBreak/>
              <w:t>符合</w:t>
            </w:r>
          </w:p>
        </w:tc>
      </w:tr>
      <w:tr w:rsidR="002E474C" w14:paraId="5778CD54" w14:textId="77777777">
        <w:tc>
          <w:tcPr>
            <w:tcW w:w="388" w:type="pct"/>
            <w:vMerge/>
            <w:vAlign w:val="center"/>
          </w:tcPr>
          <w:p w14:paraId="486512DB" w14:textId="77777777" w:rsidR="002E474C" w:rsidRDefault="002E474C">
            <w:pPr>
              <w:pStyle w:val="A-"/>
              <w:spacing w:line="260" w:lineRule="exact"/>
            </w:pPr>
          </w:p>
        </w:tc>
        <w:tc>
          <w:tcPr>
            <w:tcW w:w="3218" w:type="pct"/>
            <w:vAlign w:val="center"/>
          </w:tcPr>
          <w:p w14:paraId="68913E63" w14:textId="77777777" w:rsidR="002E474C" w:rsidRDefault="00000000">
            <w:pPr>
              <w:pStyle w:val="A-"/>
              <w:spacing w:line="260" w:lineRule="exact"/>
              <w:ind w:leftChars="-25" w:left="-53" w:rightChars="-25" w:right="-53"/>
              <w:jc w:val="both"/>
            </w:pPr>
            <w:r>
              <w:t xml:space="preserve">4.2 </w:t>
            </w:r>
            <w:r>
              <w:t>固体废物投加设施</w:t>
            </w:r>
            <w:r>
              <w:t xml:space="preserve"> </w:t>
            </w:r>
          </w:p>
          <w:p w14:paraId="27134C36" w14:textId="77777777" w:rsidR="002E474C" w:rsidRDefault="00000000">
            <w:pPr>
              <w:pStyle w:val="A-"/>
              <w:spacing w:line="260" w:lineRule="exact"/>
              <w:ind w:leftChars="-25" w:left="-53" w:rightChars="-25" w:right="-53"/>
              <w:jc w:val="both"/>
            </w:pPr>
            <w:r>
              <w:t xml:space="preserve">4.2.1  </w:t>
            </w:r>
            <w:r>
              <w:t>固体废物投加设施应该满足以下条件：</w:t>
            </w:r>
            <w:r>
              <w:t xml:space="preserve"> </w:t>
            </w:r>
          </w:p>
          <w:p w14:paraId="2A5F6AD7" w14:textId="77777777" w:rsidR="002E474C" w:rsidRDefault="00000000">
            <w:pPr>
              <w:pStyle w:val="A-"/>
              <w:spacing w:line="260" w:lineRule="exact"/>
              <w:ind w:leftChars="-25" w:left="-53" w:rightChars="-25" w:right="-53"/>
              <w:jc w:val="both"/>
            </w:pPr>
            <w:r>
              <w:t>a</w:t>
            </w:r>
            <w:r>
              <w:t>）能实现自动进料，并配置可调节投加速率的计量装置实现定量投料。</w:t>
            </w:r>
            <w:r>
              <w:t xml:space="preserve"> </w:t>
            </w:r>
          </w:p>
          <w:p w14:paraId="29928EED" w14:textId="77777777" w:rsidR="002E474C" w:rsidRDefault="00000000">
            <w:pPr>
              <w:pStyle w:val="A-"/>
              <w:spacing w:line="260" w:lineRule="exact"/>
              <w:ind w:leftChars="-25" w:left="-53" w:rightChars="-25" w:right="-53"/>
              <w:jc w:val="both"/>
            </w:pPr>
            <w:r>
              <w:t>b</w:t>
            </w:r>
            <w:r>
              <w:t>）固体废物输送装置和投加口应保持密闭，固体废物投加口应具有防回火功能。</w:t>
            </w:r>
          </w:p>
          <w:p w14:paraId="7681E53F" w14:textId="77777777" w:rsidR="002E474C" w:rsidRDefault="00000000">
            <w:pPr>
              <w:pStyle w:val="A-"/>
              <w:spacing w:line="260" w:lineRule="exact"/>
              <w:ind w:leftChars="-25" w:left="-53" w:rightChars="-25" w:right="-53"/>
              <w:jc w:val="both"/>
            </w:pPr>
            <w:r>
              <w:t>c</w:t>
            </w:r>
            <w:r>
              <w:t>）保持进料通畅以防止固体废物搭桥堵塞。</w:t>
            </w:r>
            <w:r>
              <w:t xml:space="preserve"> </w:t>
            </w:r>
          </w:p>
          <w:p w14:paraId="7044A934" w14:textId="77777777" w:rsidR="002E474C" w:rsidRDefault="00000000">
            <w:pPr>
              <w:pStyle w:val="A-"/>
              <w:spacing w:line="260" w:lineRule="exact"/>
              <w:ind w:leftChars="-25" w:left="-53" w:rightChars="-25" w:right="-53"/>
              <w:jc w:val="both"/>
            </w:pPr>
            <w:r>
              <w:t>d</w:t>
            </w:r>
            <w:r>
              <w:t>）配置可实时显示固体废物投加状况的在线监视系统。</w:t>
            </w:r>
            <w:r>
              <w:t xml:space="preserve"> </w:t>
            </w:r>
          </w:p>
          <w:p w14:paraId="151C31E5" w14:textId="77777777" w:rsidR="002E474C" w:rsidRDefault="00000000">
            <w:pPr>
              <w:pStyle w:val="A-"/>
              <w:spacing w:line="260" w:lineRule="exact"/>
              <w:ind w:leftChars="-25" w:left="-53" w:rightChars="-25" w:right="-53"/>
              <w:jc w:val="both"/>
            </w:pPr>
            <w:r>
              <w:t>e</w:t>
            </w:r>
            <w:r>
              <w:t>）具有自动联机停机功能，当水泥窑或烟气处理设施因故障停止运转，或者当窑内温度、压力、窑转速、烟气中氧含量等运行参数偏离设定值时，或者烟气排放超过标准设定值</w:t>
            </w:r>
          </w:p>
          <w:p w14:paraId="75B2D75C" w14:textId="77777777" w:rsidR="002E474C" w:rsidRDefault="00000000">
            <w:pPr>
              <w:pStyle w:val="A-"/>
              <w:spacing w:line="260" w:lineRule="exact"/>
              <w:ind w:leftChars="-25" w:left="-53" w:rightChars="-25" w:right="-53"/>
              <w:jc w:val="both"/>
            </w:pPr>
            <w:r>
              <w:t>时，可自动停止固体废物投加。</w:t>
            </w:r>
            <w:r>
              <w:t xml:space="preserve"> </w:t>
            </w:r>
          </w:p>
          <w:p w14:paraId="68FCD4F6" w14:textId="77777777" w:rsidR="002E474C" w:rsidRDefault="00000000">
            <w:pPr>
              <w:pStyle w:val="A-"/>
              <w:spacing w:line="260" w:lineRule="exact"/>
              <w:ind w:leftChars="-25" w:left="-53" w:rightChars="-25" w:right="-53"/>
              <w:jc w:val="both"/>
            </w:pPr>
            <w:r>
              <w:t>f</w:t>
            </w:r>
            <w:r>
              <w:t>）处理腐蚀性废物时，投加和输送装置应采用防腐材料。</w:t>
            </w:r>
            <w:r>
              <w:t xml:space="preserve"> </w:t>
            </w:r>
          </w:p>
          <w:p w14:paraId="4682DAFA" w14:textId="77777777" w:rsidR="002E474C" w:rsidRDefault="00000000">
            <w:pPr>
              <w:pStyle w:val="A-"/>
              <w:spacing w:line="260" w:lineRule="exact"/>
              <w:ind w:leftChars="-25" w:left="-53" w:rightChars="-25" w:right="-53"/>
              <w:jc w:val="both"/>
            </w:pPr>
            <w:r>
              <w:t xml:space="preserve">4.2.2  </w:t>
            </w:r>
            <w:r>
              <w:t>固体废物在水泥窑中投加位置应根据固体废物特性从以下三处选择（参见附录</w:t>
            </w:r>
            <w:r>
              <w:t>A</w:t>
            </w:r>
            <w:r>
              <w:t>）：</w:t>
            </w:r>
            <w:r>
              <w:t xml:space="preserve"> </w:t>
            </w:r>
          </w:p>
          <w:p w14:paraId="25177B18" w14:textId="77777777" w:rsidR="002E474C" w:rsidRDefault="00000000">
            <w:pPr>
              <w:pStyle w:val="A-"/>
              <w:spacing w:line="260" w:lineRule="exact"/>
              <w:ind w:leftChars="-25" w:left="-53" w:rightChars="-25" w:right="-53"/>
              <w:jc w:val="both"/>
            </w:pPr>
            <w:r>
              <w:t>a</w:t>
            </w:r>
            <w:r>
              <w:t>）窑头高温段，包括主燃烧器投加点和窑门罩投加点。</w:t>
            </w:r>
            <w:r>
              <w:t xml:space="preserve"> </w:t>
            </w:r>
          </w:p>
          <w:p w14:paraId="10DA0C22" w14:textId="77777777" w:rsidR="002E474C" w:rsidRDefault="00000000">
            <w:pPr>
              <w:pStyle w:val="A-"/>
              <w:spacing w:line="260" w:lineRule="exact"/>
              <w:ind w:leftChars="-25" w:left="-53" w:rightChars="-25" w:right="-53"/>
              <w:jc w:val="both"/>
            </w:pPr>
            <w:r>
              <w:t>b</w:t>
            </w:r>
            <w:r>
              <w:t>）窑尾高温段，包括分解炉、窑尾烟室和上升烟道投加点。</w:t>
            </w:r>
            <w:r>
              <w:t xml:space="preserve"> </w:t>
            </w:r>
          </w:p>
          <w:p w14:paraId="1810219C" w14:textId="77777777" w:rsidR="002E474C" w:rsidRDefault="00000000">
            <w:pPr>
              <w:pStyle w:val="A-"/>
              <w:spacing w:line="260" w:lineRule="exact"/>
              <w:ind w:leftChars="-25" w:left="-53" w:rightChars="-25" w:right="-53"/>
              <w:jc w:val="both"/>
            </w:pPr>
            <w:r>
              <w:t>c</w:t>
            </w:r>
            <w:r>
              <w:t>）生料配料系统（生料磨）。</w:t>
            </w:r>
            <w:r>
              <w:t xml:space="preserve"> </w:t>
            </w:r>
          </w:p>
          <w:p w14:paraId="3DE62C6C" w14:textId="77777777" w:rsidR="002E474C" w:rsidRDefault="00000000">
            <w:pPr>
              <w:pStyle w:val="A-"/>
              <w:spacing w:line="260" w:lineRule="exact"/>
              <w:ind w:leftChars="-25" w:left="-53" w:rightChars="-25" w:right="-53"/>
              <w:jc w:val="both"/>
            </w:pPr>
            <w:r>
              <w:t xml:space="preserve">4.2.3  </w:t>
            </w:r>
            <w:r>
              <w:t>不同位置的投加设施应满足以下特殊要求：</w:t>
            </w:r>
            <w:r>
              <w:t xml:space="preserve"> </w:t>
            </w:r>
          </w:p>
          <w:p w14:paraId="42430167" w14:textId="77777777" w:rsidR="002E474C" w:rsidRDefault="00000000">
            <w:pPr>
              <w:pStyle w:val="A-"/>
              <w:spacing w:line="260" w:lineRule="exact"/>
              <w:ind w:leftChars="-25" w:left="-53" w:rightChars="-25" w:right="-53"/>
              <w:jc w:val="both"/>
            </w:pPr>
            <w:r>
              <w:t>a</w:t>
            </w:r>
            <w:r>
              <w:t>）生料磨投加可借用常规生料投料设施。</w:t>
            </w:r>
            <w:r>
              <w:t xml:space="preserve"> </w:t>
            </w:r>
          </w:p>
          <w:p w14:paraId="1F99A1EA" w14:textId="77777777" w:rsidR="002E474C" w:rsidRDefault="00000000">
            <w:pPr>
              <w:pStyle w:val="A-"/>
              <w:spacing w:line="260" w:lineRule="exact"/>
              <w:ind w:leftChars="-25" w:left="-53" w:rightChars="-25" w:right="-53"/>
              <w:jc w:val="both"/>
            </w:pPr>
            <w:r>
              <w:t>b</w:t>
            </w:r>
            <w:r>
              <w:t>）主燃烧器投加设施应采用多通道燃烧器，并配备泵力或气力输送装置；窑门罩投加设施应配备泵力输送装置，并在窑门罩的适当位置开设投料口。</w:t>
            </w:r>
            <w:r>
              <w:t xml:space="preserve"> </w:t>
            </w:r>
          </w:p>
          <w:p w14:paraId="63E54B26" w14:textId="77777777" w:rsidR="002E474C" w:rsidRDefault="00000000">
            <w:pPr>
              <w:pStyle w:val="A-"/>
              <w:spacing w:line="260" w:lineRule="exact"/>
              <w:ind w:leftChars="-25" w:left="-53" w:rightChars="-25" w:right="-53"/>
              <w:jc w:val="both"/>
            </w:pPr>
            <w:r>
              <w:t>c</w:t>
            </w:r>
            <w:r>
              <w:t>）窑尾投加设施应配备泵力、气力或机械传输带输送装置，并在窑尾烟室、上升烟道或分解炉的适当位置开设投料口；可对分解炉燃烧器的气固相通道进行适当改造，使之适合液态或小颗粒状废物的输送和投加。</w:t>
            </w:r>
          </w:p>
        </w:tc>
        <w:tc>
          <w:tcPr>
            <w:tcW w:w="1133" w:type="pct"/>
            <w:vAlign w:val="center"/>
          </w:tcPr>
          <w:p w14:paraId="6E80D308" w14:textId="77777777" w:rsidR="002E474C" w:rsidRDefault="00000000">
            <w:pPr>
              <w:pStyle w:val="A-"/>
              <w:spacing w:line="260" w:lineRule="exact"/>
              <w:ind w:leftChars="-25" w:left="-53" w:rightChars="-25" w:right="-53"/>
              <w:jc w:val="both"/>
            </w:pPr>
            <w:r>
              <w:t>本项目危废按照特性设置投加设施及投加位置，符合《水泥窑协同处置危险废物经营许可证审查指南（试行）》。</w:t>
            </w:r>
          </w:p>
        </w:tc>
        <w:tc>
          <w:tcPr>
            <w:tcW w:w="261" w:type="pct"/>
            <w:vAlign w:val="center"/>
          </w:tcPr>
          <w:p w14:paraId="5F2CDF21" w14:textId="77777777" w:rsidR="002E474C" w:rsidRDefault="00000000">
            <w:pPr>
              <w:pStyle w:val="A-"/>
              <w:spacing w:line="260" w:lineRule="exact"/>
            </w:pPr>
            <w:r>
              <w:t>符合</w:t>
            </w:r>
          </w:p>
        </w:tc>
      </w:tr>
      <w:tr w:rsidR="002E474C" w14:paraId="07D938B0" w14:textId="77777777">
        <w:tc>
          <w:tcPr>
            <w:tcW w:w="388" w:type="pct"/>
            <w:vMerge/>
            <w:vAlign w:val="center"/>
          </w:tcPr>
          <w:p w14:paraId="5069EF46" w14:textId="77777777" w:rsidR="002E474C" w:rsidRDefault="002E474C">
            <w:pPr>
              <w:pStyle w:val="A-"/>
              <w:spacing w:line="260" w:lineRule="exact"/>
            </w:pPr>
          </w:p>
        </w:tc>
        <w:tc>
          <w:tcPr>
            <w:tcW w:w="3218" w:type="pct"/>
            <w:vAlign w:val="center"/>
          </w:tcPr>
          <w:p w14:paraId="0B0D2F84" w14:textId="77777777" w:rsidR="002E474C" w:rsidRDefault="00000000">
            <w:pPr>
              <w:pStyle w:val="A-"/>
              <w:spacing w:line="260" w:lineRule="exact"/>
              <w:ind w:leftChars="-25" w:left="-53" w:rightChars="-25" w:right="-53"/>
              <w:jc w:val="both"/>
            </w:pPr>
            <w:r>
              <w:t xml:space="preserve">4.3 </w:t>
            </w:r>
            <w:r>
              <w:t>固体废物贮存设施</w:t>
            </w:r>
            <w:r>
              <w:t xml:space="preserve"> </w:t>
            </w:r>
          </w:p>
          <w:p w14:paraId="13E4A1B0" w14:textId="77777777" w:rsidR="002E474C" w:rsidRDefault="00000000">
            <w:pPr>
              <w:pStyle w:val="A-"/>
              <w:spacing w:line="260" w:lineRule="exact"/>
              <w:ind w:leftChars="-25" w:left="-53" w:rightChars="-25" w:right="-53"/>
              <w:jc w:val="both"/>
            </w:pPr>
            <w:r>
              <w:t xml:space="preserve">4.3.1  </w:t>
            </w:r>
            <w:r>
              <w:t>固体废物贮存设施应专门建设，以保证固体废物不与水泥生产原料、燃料和产品混合贮存。</w:t>
            </w:r>
            <w:r>
              <w:t xml:space="preserve"> </w:t>
            </w:r>
          </w:p>
          <w:p w14:paraId="451BA265" w14:textId="77777777" w:rsidR="002E474C" w:rsidRDefault="00000000">
            <w:pPr>
              <w:pStyle w:val="A-"/>
              <w:spacing w:line="260" w:lineRule="exact"/>
              <w:ind w:leftChars="-25" w:left="-53" w:rightChars="-25" w:right="-53"/>
              <w:jc w:val="both"/>
            </w:pPr>
            <w:r>
              <w:t xml:space="preserve">4.3.2  </w:t>
            </w:r>
            <w:r>
              <w:t>固体废物贮存设施内应专门设置不明性质废物暂存区。不明性质废物暂存区应与其他固体废物贮存区隔离，并设有专门的存取通道。</w:t>
            </w:r>
            <w:r>
              <w:t xml:space="preserve"> </w:t>
            </w:r>
          </w:p>
          <w:p w14:paraId="5031E524" w14:textId="77777777" w:rsidR="002E474C" w:rsidRDefault="00000000">
            <w:pPr>
              <w:pStyle w:val="A-"/>
              <w:spacing w:line="260" w:lineRule="exact"/>
              <w:ind w:leftChars="-25" w:left="-53" w:rightChars="-25" w:right="-53"/>
              <w:jc w:val="both"/>
            </w:pPr>
            <w:r>
              <w:t xml:space="preserve">4.3.3  </w:t>
            </w:r>
            <w:r>
              <w:t>固体废物贮存设施应符合</w:t>
            </w:r>
            <w:r>
              <w:t xml:space="preserve">GB50016 </w:t>
            </w:r>
            <w:r>
              <w:t>等相关消防规范的要求。与水泥窑窑体、分解炉和预热器保持一定的安全距离；贮存设施内应张贴严禁烟火的明显标识；应根据固体废物特性、贮存和卸载区条件配置相应的消防警报设备和灭火药剂；贮存设施中的电子设备应接地，并装备抗静电设备；应设置防爆通讯设备并保持通畅完好。</w:t>
            </w:r>
            <w:r>
              <w:t xml:space="preserve"> </w:t>
            </w:r>
          </w:p>
          <w:p w14:paraId="253077DD" w14:textId="77777777" w:rsidR="002E474C" w:rsidRDefault="00000000">
            <w:pPr>
              <w:pStyle w:val="A-"/>
              <w:spacing w:line="260" w:lineRule="exact"/>
              <w:ind w:leftChars="-25" w:left="-53" w:rightChars="-25" w:right="-53"/>
              <w:jc w:val="both"/>
            </w:pPr>
            <w:r>
              <w:lastRenderedPageBreak/>
              <w:t xml:space="preserve">4.3.4  </w:t>
            </w:r>
            <w:r>
              <w:t>危险废物贮存设施的设计、安全防护、污染防治等应满足</w:t>
            </w:r>
            <w:r>
              <w:t xml:space="preserve"> GB18597 </w:t>
            </w:r>
            <w:r>
              <w:t>和</w:t>
            </w:r>
            <w:r>
              <w:t xml:space="preserve">HJ/T176 </w:t>
            </w:r>
            <w:r>
              <w:t>中的相关要求；危废贮存区应标有明确的安全警告和清晰的撤离路线；危废贮存区及附近应配备紧急人体清洗冲淋设施，并标明用途。</w:t>
            </w:r>
            <w:r>
              <w:t xml:space="preserve"> </w:t>
            </w:r>
          </w:p>
        </w:tc>
        <w:tc>
          <w:tcPr>
            <w:tcW w:w="1133" w:type="pct"/>
            <w:vAlign w:val="center"/>
          </w:tcPr>
          <w:p w14:paraId="4F730E55" w14:textId="77777777" w:rsidR="002E474C" w:rsidRDefault="00000000">
            <w:pPr>
              <w:pStyle w:val="A-"/>
              <w:spacing w:line="260" w:lineRule="exact"/>
              <w:ind w:leftChars="-25" w:left="-53" w:rightChars="-25" w:right="-53"/>
              <w:jc w:val="both"/>
            </w:pPr>
            <w:r>
              <w:lastRenderedPageBreak/>
              <w:t>本项目设置密闭危废贮存库及固态危废预处理车间并负压运行，危废分类分区存放，危险废物贮存设施的设计、安全防护、污染防治等满足</w:t>
            </w:r>
            <w:r>
              <w:t>GB18597</w:t>
            </w:r>
            <w:r>
              <w:t>、</w:t>
            </w:r>
            <w:r>
              <w:t>GB 55037</w:t>
            </w:r>
            <w:r>
              <w:t>和</w:t>
            </w:r>
            <w:r>
              <w:t>HJ/T176</w:t>
            </w:r>
            <w:r>
              <w:t>中的相关要求和消防要求。</w:t>
            </w:r>
          </w:p>
        </w:tc>
        <w:tc>
          <w:tcPr>
            <w:tcW w:w="261" w:type="pct"/>
            <w:vAlign w:val="center"/>
          </w:tcPr>
          <w:p w14:paraId="0BF9C3CD" w14:textId="77777777" w:rsidR="002E474C" w:rsidRDefault="00000000">
            <w:pPr>
              <w:pStyle w:val="A-"/>
              <w:spacing w:line="260" w:lineRule="exact"/>
            </w:pPr>
            <w:r>
              <w:t>符合</w:t>
            </w:r>
          </w:p>
        </w:tc>
      </w:tr>
      <w:tr w:rsidR="002E474C" w14:paraId="4776A960" w14:textId="77777777">
        <w:tc>
          <w:tcPr>
            <w:tcW w:w="388" w:type="pct"/>
            <w:vMerge/>
            <w:vAlign w:val="center"/>
          </w:tcPr>
          <w:p w14:paraId="336067AB" w14:textId="77777777" w:rsidR="002E474C" w:rsidRDefault="002E474C">
            <w:pPr>
              <w:pStyle w:val="A-"/>
              <w:spacing w:line="260" w:lineRule="exact"/>
            </w:pPr>
          </w:p>
        </w:tc>
        <w:tc>
          <w:tcPr>
            <w:tcW w:w="3218" w:type="pct"/>
            <w:vAlign w:val="center"/>
          </w:tcPr>
          <w:p w14:paraId="1475D9A6" w14:textId="77777777" w:rsidR="002E474C" w:rsidRDefault="00000000">
            <w:pPr>
              <w:pStyle w:val="A-"/>
              <w:spacing w:line="260" w:lineRule="exact"/>
              <w:ind w:leftChars="-25" w:left="-53" w:rightChars="-25" w:right="-53"/>
              <w:jc w:val="both"/>
            </w:pPr>
            <w:r>
              <w:t xml:space="preserve">4.4 </w:t>
            </w:r>
            <w:r>
              <w:t>固体废物预处理设施</w:t>
            </w:r>
            <w:r>
              <w:t xml:space="preserve"> </w:t>
            </w:r>
          </w:p>
          <w:p w14:paraId="082B7692" w14:textId="77777777" w:rsidR="002E474C" w:rsidRDefault="00000000">
            <w:pPr>
              <w:pStyle w:val="A-"/>
              <w:spacing w:line="260" w:lineRule="exact"/>
              <w:ind w:leftChars="-25" w:left="-53" w:rightChars="-25" w:right="-53"/>
              <w:jc w:val="both"/>
            </w:pPr>
            <w:r>
              <w:t xml:space="preserve">4.4.1  </w:t>
            </w:r>
            <w:r>
              <w:t>固体废物的破碎、研磨、混合搅拌等预处理设施有较好的密闭性，并保证与操作人员隔离；含挥发性和半挥发性有毒有害成分的固体废物的预处理设施应布置在室内车间，车间内应设置通风换气装置，排出气体应通过处理后排放或导入水泥窑高温区焚烧。</w:t>
            </w:r>
            <w:r>
              <w:t xml:space="preserve"> </w:t>
            </w:r>
          </w:p>
          <w:p w14:paraId="06707A89" w14:textId="77777777" w:rsidR="002E474C" w:rsidRDefault="00000000">
            <w:pPr>
              <w:pStyle w:val="A-"/>
              <w:spacing w:line="260" w:lineRule="exact"/>
              <w:ind w:leftChars="-25" w:left="-53" w:rightChars="-25" w:right="-53"/>
              <w:jc w:val="both"/>
            </w:pPr>
            <w:r>
              <w:t xml:space="preserve">4.4.2  </w:t>
            </w:r>
            <w:r>
              <w:t>预处理设施所用材料需适应固体废物特性以确保不被腐蚀，并不与固体废物发生任何反应。</w:t>
            </w:r>
            <w:r>
              <w:t xml:space="preserve"> </w:t>
            </w:r>
          </w:p>
          <w:p w14:paraId="241995CA" w14:textId="77777777" w:rsidR="002E474C" w:rsidRDefault="00000000">
            <w:pPr>
              <w:pStyle w:val="A-"/>
              <w:spacing w:line="260" w:lineRule="exact"/>
              <w:ind w:leftChars="-25" w:left="-53" w:rightChars="-25" w:right="-53"/>
              <w:jc w:val="both"/>
            </w:pPr>
            <w:r>
              <w:t xml:space="preserve">4.4.3  </w:t>
            </w:r>
            <w:r>
              <w:t>预处理设施应符合</w:t>
            </w:r>
            <w:r>
              <w:t xml:space="preserve"> GB50016 </w:t>
            </w:r>
            <w:r>
              <w:t>等相关消防规范的要求。区域内应配备防火防爆装置，灭火用水储量大于</w:t>
            </w:r>
            <w:r>
              <w:t>50m</w:t>
            </w:r>
            <w:r>
              <w:rPr>
                <w:vertAlign w:val="superscript"/>
              </w:rPr>
              <w:t>3</w:t>
            </w:r>
            <w:r>
              <w:t>；配备防爆通讯设备并保持通畅完好。对易燃性固体废物进行预处理的破碎仓和混合搅拌仓，为防止发生火灾爆炸等事故，应优先配备氮气充入装置。</w:t>
            </w:r>
            <w:r>
              <w:t xml:space="preserve"> </w:t>
            </w:r>
          </w:p>
          <w:p w14:paraId="04942CD2" w14:textId="77777777" w:rsidR="002E474C" w:rsidRDefault="00000000">
            <w:pPr>
              <w:pStyle w:val="A-"/>
              <w:spacing w:line="260" w:lineRule="exact"/>
              <w:ind w:leftChars="-25" w:left="-53" w:rightChars="-25" w:right="-53"/>
              <w:jc w:val="both"/>
            </w:pPr>
            <w:r>
              <w:t xml:space="preserve">4.4.4  </w:t>
            </w:r>
            <w:r>
              <w:t>危险废物预处理区域及附近应配备紧急人体清洗冲淋设施，并标明用途。</w:t>
            </w:r>
            <w:r>
              <w:t xml:space="preserve"> </w:t>
            </w:r>
          </w:p>
          <w:p w14:paraId="43881DE0" w14:textId="77777777" w:rsidR="002E474C" w:rsidRDefault="00000000">
            <w:pPr>
              <w:pStyle w:val="A-"/>
              <w:spacing w:line="260" w:lineRule="exact"/>
              <w:ind w:leftChars="-25" w:left="-53" w:rightChars="-25" w:right="-53"/>
              <w:jc w:val="both"/>
            </w:pPr>
            <w:r>
              <w:t xml:space="preserve">4.4.5  </w:t>
            </w:r>
            <w:r>
              <w:t>应根据固体废物特性及入窑要求，确定预处理工艺流程和预处理设施：</w:t>
            </w:r>
            <w:r>
              <w:t xml:space="preserve"> </w:t>
            </w:r>
          </w:p>
          <w:p w14:paraId="57EEECF2" w14:textId="77777777" w:rsidR="002E474C" w:rsidRDefault="00000000">
            <w:pPr>
              <w:pStyle w:val="A-"/>
              <w:spacing w:line="260" w:lineRule="exact"/>
              <w:ind w:leftChars="-25" w:left="-53" w:rightChars="-25" w:right="-53"/>
              <w:jc w:val="both"/>
            </w:pPr>
            <w:r>
              <w:t>a</w:t>
            </w:r>
            <w:r>
              <w:t>）从配料系统入窑的固态废物，其预处理设施应具有破碎和配料的功能；也可根据需要配备烘干等装置。</w:t>
            </w:r>
            <w:r>
              <w:t xml:space="preserve"> </w:t>
            </w:r>
          </w:p>
          <w:p w14:paraId="0404E033" w14:textId="77777777" w:rsidR="002E474C" w:rsidRDefault="00000000">
            <w:pPr>
              <w:pStyle w:val="A-"/>
              <w:spacing w:line="260" w:lineRule="exact"/>
              <w:ind w:leftChars="-25" w:left="-53" w:rightChars="-25" w:right="-53"/>
              <w:jc w:val="both"/>
            </w:pPr>
            <w:r>
              <w:t>b</w:t>
            </w:r>
            <w:r>
              <w:t>）从窑尾入窑的固态废物，其预处理设施应具有破碎和混合搅拌的功能；也可根据需要配备分选和筛分等装置。</w:t>
            </w:r>
          </w:p>
          <w:p w14:paraId="4A19C7AA" w14:textId="77777777" w:rsidR="002E474C" w:rsidRDefault="00000000">
            <w:pPr>
              <w:pStyle w:val="A-"/>
              <w:spacing w:line="260" w:lineRule="exact"/>
              <w:ind w:leftChars="-25" w:left="-53" w:rightChars="-25" w:right="-53"/>
              <w:jc w:val="both"/>
            </w:pPr>
            <w:r>
              <w:t>c</w:t>
            </w:r>
            <w:r>
              <w:t>）从窑头入窑的固态废物，其预处理设施应具有破碎、分选和精筛的功能。</w:t>
            </w:r>
            <w:r>
              <w:t xml:space="preserve"> </w:t>
            </w:r>
          </w:p>
          <w:p w14:paraId="5A0D9501" w14:textId="77777777" w:rsidR="002E474C" w:rsidRDefault="00000000">
            <w:pPr>
              <w:pStyle w:val="A-"/>
              <w:spacing w:line="260" w:lineRule="exact"/>
              <w:ind w:leftChars="-25" w:left="-53" w:rightChars="-25" w:right="-53"/>
              <w:jc w:val="both"/>
            </w:pPr>
            <w:r>
              <w:t>d</w:t>
            </w:r>
            <w:r>
              <w:t>）液态废物，其预处理设施应具有混合搅拌功能，若液态废物中有较大的颗粒物，可在混合搅拌系统内配加研磨装置；也可根据需要配备沉淀、中和、过滤等装置。</w:t>
            </w:r>
            <w:r>
              <w:t xml:space="preserve"> </w:t>
            </w:r>
          </w:p>
          <w:p w14:paraId="561A35CE" w14:textId="77777777" w:rsidR="002E474C" w:rsidRDefault="00000000">
            <w:pPr>
              <w:pStyle w:val="A-"/>
              <w:spacing w:line="260" w:lineRule="exact"/>
              <w:ind w:leftChars="-25" w:left="-53" w:rightChars="-25" w:right="-53"/>
              <w:jc w:val="both"/>
            </w:pPr>
            <w:r>
              <w:t>e</w:t>
            </w:r>
            <w:r>
              <w:t>）半固态（浆状）废物，其预处理设施应具有混合搅拌的功能；也可根据需要配备破碎、筛分、分选、高速研磨等装置。</w:t>
            </w:r>
          </w:p>
        </w:tc>
        <w:tc>
          <w:tcPr>
            <w:tcW w:w="1133" w:type="pct"/>
            <w:vAlign w:val="center"/>
          </w:tcPr>
          <w:p w14:paraId="468F15FF" w14:textId="77777777" w:rsidR="002E474C" w:rsidRDefault="00000000">
            <w:pPr>
              <w:pStyle w:val="A-"/>
              <w:spacing w:line="260" w:lineRule="exact"/>
              <w:ind w:leftChars="-25" w:left="-53" w:rightChars="-25" w:right="-53"/>
              <w:jc w:val="both"/>
            </w:pPr>
            <w:r>
              <w:t>本项目设置废贮存库及固态危废预处理车间，与操作人员隔离；固废破碎在车间内进行，车间负压运行，抽出废气引入气体净化设施处理后达标排放。车间配备消防器材及灭火水，满足消防要求；固态危废预处理车间设置紧急人体清洗冲淋设施，并标明用途。固态危废预处理车间仅进行固态破碎功能。</w:t>
            </w:r>
          </w:p>
        </w:tc>
        <w:tc>
          <w:tcPr>
            <w:tcW w:w="261" w:type="pct"/>
            <w:vAlign w:val="center"/>
          </w:tcPr>
          <w:p w14:paraId="7A4BC2A2" w14:textId="77777777" w:rsidR="002E474C" w:rsidRDefault="00000000">
            <w:pPr>
              <w:pStyle w:val="A-"/>
              <w:spacing w:line="260" w:lineRule="exact"/>
            </w:pPr>
            <w:r>
              <w:t>符合</w:t>
            </w:r>
          </w:p>
        </w:tc>
      </w:tr>
      <w:tr w:rsidR="002E474C" w14:paraId="08B806D4" w14:textId="77777777">
        <w:tc>
          <w:tcPr>
            <w:tcW w:w="388" w:type="pct"/>
            <w:vMerge/>
            <w:vAlign w:val="center"/>
          </w:tcPr>
          <w:p w14:paraId="2E4CB0B3" w14:textId="77777777" w:rsidR="002E474C" w:rsidRDefault="002E474C">
            <w:pPr>
              <w:pStyle w:val="A-"/>
              <w:spacing w:line="260" w:lineRule="exact"/>
            </w:pPr>
          </w:p>
        </w:tc>
        <w:tc>
          <w:tcPr>
            <w:tcW w:w="3218" w:type="pct"/>
            <w:vAlign w:val="center"/>
          </w:tcPr>
          <w:p w14:paraId="4F23A149" w14:textId="77777777" w:rsidR="002E474C" w:rsidRDefault="00000000">
            <w:pPr>
              <w:pStyle w:val="A-"/>
              <w:spacing w:line="260" w:lineRule="exact"/>
              <w:ind w:leftChars="-25" w:left="-53" w:rightChars="-25" w:right="-53"/>
              <w:jc w:val="both"/>
            </w:pPr>
            <w:r>
              <w:t xml:space="preserve">4.5 </w:t>
            </w:r>
            <w:r>
              <w:t>固体废物厂内输送设施</w:t>
            </w:r>
            <w:r>
              <w:t xml:space="preserve"> </w:t>
            </w:r>
          </w:p>
          <w:p w14:paraId="24EF5AB1" w14:textId="77777777" w:rsidR="002E474C" w:rsidRDefault="00000000">
            <w:pPr>
              <w:pStyle w:val="A-"/>
              <w:spacing w:line="260" w:lineRule="exact"/>
              <w:ind w:leftChars="-25" w:left="-53" w:rightChars="-25" w:right="-53"/>
              <w:jc w:val="both"/>
            </w:pPr>
            <w:r>
              <w:t xml:space="preserve">4.5.1  </w:t>
            </w:r>
            <w:r>
              <w:t>在固体废物装卸场所、贮存场所、预处理区域、投加区域等各个区域之间，应根据固体废物特性和设施要求配备必要的输送设备。</w:t>
            </w:r>
            <w:r>
              <w:t xml:space="preserve"> </w:t>
            </w:r>
          </w:p>
          <w:p w14:paraId="0D7704BB" w14:textId="77777777" w:rsidR="002E474C" w:rsidRDefault="00000000">
            <w:pPr>
              <w:pStyle w:val="A-"/>
              <w:spacing w:line="260" w:lineRule="exact"/>
              <w:ind w:leftChars="-25" w:left="-53" w:rightChars="-25" w:right="-53"/>
              <w:jc w:val="both"/>
            </w:pPr>
            <w:r>
              <w:t xml:space="preserve">4.5.2 </w:t>
            </w:r>
            <w:r>
              <w:t>固体废物的物流出入口以及转运、输送路线应远离办公和生活服务设施。</w:t>
            </w:r>
            <w:r>
              <w:t xml:space="preserve"> </w:t>
            </w:r>
          </w:p>
          <w:p w14:paraId="29FD37E7" w14:textId="77777777" w:rsidR="002E474C" w:rsidRDefault="00000000">
            <w:pPr>
              <w:pStyle w:val="A-"/>
              <w:spacing w:line="260" w:lineRule="exact"/>
              <w:ind w:leftChars="-25" w:left="-53" w:rightChars="-25" w:right="-53"/>
              <w:jc w:val="both"/>
            </w:pPr>
            <w:r>
              <w:t xml:space="preserve">4.5.3  </w:t>
            </w:r>
            <w:r>
              <w:t>输送设备所用材料应适应固体废物特性，确保不被腐蚀和不与固体废物发生任何反应。</w:t>
            </w:r>
            <w:r>
              <w:t xml:space="preserve">  </w:t>
            </w:r>
          </w:p>
          <w:p w14:paraId="725654B5" w14:textId="77777777" w:rsidR="002E474C" w:rsidRDefault="00000000">
            <w:pPr>
              <w:pStyle w:val="A-"/>
              <w:spacing w:line="260" w:lineRule="exact"/>
              <w:ind w:leftChars="-25" w:left="-53" w:rightChars="-25" w:right="-53"/>
              <w:jc w:val="both"/>
            </w:pPr>
            <w:r>
              <w:t xml:space="preserve">4.5.4  </w:t>
            </w:r>
            <w:r>
              <w:t>管道输送设备应保持良好的密闭性能，防止固体废物的滴漏和溢出。</w:t>
            </w:r>
          </w:p>
          <w:p w14:paraId="74FCA201" w14:textId="77777777" w:rsidR="002E474C" w:rsidRDefault="00000000">
            <w:pPr>
              <w:pStyle w:val="A-"/>
              <w:spacing w:line="260" w:lineRule="exact"/>
              <w:ind w:leftChars="-25" w:left="-53" w:rightChars="-25" w:right="-53"/>
              <w:jc w:val="both"/>
            </w:pPr>
            <w:r>
              <w:t xml:space="preserve">4.5.5  </w:t>
            </w:r>
            <w:r>
              <w:t>非密闭输送设备（如传送带、抓料斗等）应采取防护措施（如加设防护罩），防止粉尘飘散。</w:t>
            </w:r>
            <w:r>
              <w:t xml:space="preserve"> </w:t>
            </w:r>
          </w:p>
          <w:p w14:paraId="1AE0031E" w14:textId="77777777" w:rsidR="002E474C" w:rsidRDefault="00000000">
            <w:pPr>
              <w:pStyle w:val="A-"/>
              <w:spacing w:line="260" w:lineRule="exact"/>
              <w:ind w:leftChars="-25" w:left="-53" w:rightChars="-25" w:right="-53"/>
              <w:jc w:val="both"/>
            </w:pPr>
            <w:r>
              <w:t xml:space="preserve">4.5.6  </w:t>
            </w:r>
            <w:r>
              <w:t>移动式输送设备，应采取措施防止粉尘飘散和固体废物遗撒。</w:t>
            </w:r>
            <w:r>
              <w:t xml:space="preserve"> </w:t>
            </w:r>
          </w:p>
          <w:p w14:paraId="1EE44807" w14:textId="77777777" w:rsidR="002E474C" w:rsidRDefault="00000000">
            <w:pPr>
              <w:pStyle w:val="A-"/>
              <w:spacing w:line="260" w:lineRule="exact"/>
              <w:ind w:leftChars="-25" w:left="-53" w:rightChars="-25" w:right="-53"/>
              <w:jc w:val="both"/>
            </w:pPr>
            <w:r>
              <w:lastRenderedPageBreak/>
              <w:t xml:space="preserve">4.5.7  </w:t>
            </w:r>
            <w:r>
              <w:t>厂内输送危险废物的管道、传送带应在显眼处标有安全警告信息。</w:t>
            </w:r>
          </w:p>
        </w:tc>
        <w:tc>
          <w:tcPr>
            <w:tcW w:w="1133" w:type="pct"/>
            <w:vAlign w:val="center"/>
          </w:tcPr>
          <w:p w14:paraId="36ABFBE0" w14:textId="77777777" w:rsidR="002E474C" w:rsidRDefault="00000000">
            <w:pPr>
              <w:pStyle w:val="A-"/>
              <w:spacing w:line="260" w:lineRule="exact"/>
              <w:ind w:leftChars="-25" w:left="-53" w:rightChars="-25" w:right="-53"/>
              <w:jc w:val="both"/>
            </w:pPr>
            <w:r>
              <w:lastRenderedPageBreak/>
              <w:t>本项目固体废物厂内输送采用专用转运车辆，固体废物的物流出入口以及转运、输送路线远离办公和生活服务设施。危废入窑采用密闭皮带和管道输送，具有防渗漏措施。</w:t>
            </w:r>
          </w:p>
        </w:tc>
        <w:tc>
          <w:tcPr>
            <w:tcW w:w="261" w:type="pct"/>
            <w:vAlign w:val="center"/>
          </w:tcPr>
          <w:p w14:paraId="7EEA9737" w14:textId="77777777" w:rsidR="002E474C" w:rsidRDefault="00000000">
            <w:pPr>
              <w:pStyle w:val="A-"/>
              <w:spacing w:line="260" w:lineRule="exact"/>
            </w:pPr>
            <w:r>
              <w:t>符合</w:t>
            </w:r>
          </w:p>
        </w:tc>
      </w:tr>
      <w:tr w:rsidR="002E474C" w14:paraId="6E24C569" w14:textId="77777777">
        <w:tc>
          <w:tcPr>
            <w:tcW w:w="388" w:type="pct"/>
            <w:vMerge/>
            <w:vAlign w:val="center"/>
          </w:tcPr>
          <w:p w14:paraId="16EAB195" w14:textId="77777777" w:rsidR="002E474C" w:rsidRDefault="002E474C">
            <w:pPr>
              <w:pStyle w:val="A-"/>
              <w:spacing w:line="260" w:lineRule="exact"/>
            </w:pPr>
          </w:p>
        </w:tc>
        <w:tc>
          <w:tcPr>
            <w:tcW w:w="3218" w:type="pct"/>
            <w:vAlign w:val="center"/>
          </w:tcPr>
          <w:p w14:paraId="44AB6E4E" w14:textId="77777777" w:rsidR="002E474C" w:rsidRDefault="00000000">
            <w:pPr>
              <w:pStyle w:val="A-"/>
              <w:spacing w:line="260" w:lineRule="exact"/>
              <w:ind w:leftChars="-25" w:left="-53" w:rightChars="-25" w:right="-53"/>
              <w:jc w:val="both"/>
            </w:pPr>
            <w:r>
              <w:t xml:space="preserve">4.6 </w:t>
            </w:r>
            <w:r>
              <w:t>分析化验室</w:t>
            </w:r>
            <w:r>
              <w:t xml:space="preserve"> </w:t>
            </w:r>
          </w:p>
          <w:p w14:paraId="7FB3839E" w14:textId="77777777" w:rsidR="002E474C" w:rsidRDefault="00000000">
            <w:pPr>
              <w:pStyle w:val="A-"/>
              <w:spacing w:line="260" w:lineRule="exact"/>
              <w:ind w:leftChars="-25" w:left="-53" w:rightChars="-25" w:right="-53"/>
              <w:jc w:val="both"/>
            </w:pPr>
            <w:r>
              <w:t xml:space="preserve">4.6.1  </w:t>
            </w:r>
            <w:r>
              <w:t>从事固体废物协同处置的企业，应在原有水泥生产分析化验室的基础上，增加必要的固体废物分析化验设备。</w:t>
            </w:r>
            <w:r>
              <w:t xml:space="preserve"> </w:t>
            </w:r>
          </w:p>
          <w:p w14:paraId="24CD4A13" w14:textId="77777777" w:rsidR="002E474C" w:rsidRDefault="00000000">
            <w:pPr>
              <w:pStyle w:val="A-"/>
              <w:spacing w:line="260" w:lineRule="exact"/>
              <w:ind w:leftChars="-25" w:left="-53" w:rightChars="-25" w:right="-53"/>
              <w:jc w:val="both"/>
            </w:pPr>
            <w:r>
              <w:t xml:space="preserve">4.6.2  </w:t>
            </w:r>
            <w:r>
              <w:t>分析化验室应具备以下检测能力：</w:t>
            </w:r>
            <w:r>
              <w:t xml:space="preserve"> </w:t>
            </w:r>
          </w:p>
          <w:p w14:paraId="729F702C" w14:textId="77777777" w:rsidR="002E474C" w:rsidRDefault="00000000">
            <w:pPr>
              <w:pStyle w:val="A-"/>
              <w:spacing w:line="260" w:lineRule="exact"/>
              <w:ind w:leftChars="-25" w:left="-53" w:rightChars="-25" w:right="-53"/>
              <w:jc w:val="both"/>
            </w:pPr>
            <w:r>
              <w:t>a</w:t>
            </w:r>
            <w:r>
              <w:t>）具备</w:t>
            </w:r>
            <w:r>
              <w:t xml:space="preserve"> HJ/T20 </w:t>
            </w:r>
            <w:r>
              <w:t>要求的采样制样能力、工具和仪器。</w:t>
            </w:r>
            <w:r>
              <w:t xml:space="preserve"> </w:t>
            </w:r>
          </w:p>
          <w:p w14:paraId="699F4DCE" w14:textId="77777777" w:rsidR="002E474C" w:rsidRDefault="00000000">
            <w:pPr>
              <w:pStyle w:val="A-"/>
              <w:spacing w:line="260" w:lineRule="exact"/>
              <w:ind w:leftChars="-25" w:left="-53" w:rightChars="-25" w:right="-53"/>
              <w:jc w:val="both"/>
            </w:pPr>
            <w:r>
              <w:t>b</w:t>
            </w:r>
            <w:r>
              <w:t>）所协同处置的固体废物、水泥生产原料中汞（</w:t>
            </w:r>
            <w:r>
              <w:t>Hg</w:t>
            </w:r>
            <w:r>
              <w:t>）、镉（</w:t>
            </w:r>
            <w:r>
              <w:t>Cd</w:t>
            </w:r>
            <w:r>
              <w:t>）、铊（</w:t>
            </w:r>
            <w:r>
              <w:t>Tl</w:t>
            </w:r>
            <w:r>
              <w:t>）、砷（</w:t>
            </w:r>
            <w:r>
              <w:t>As</w:t>
            </w:r>
            <w:r>
              <w:t>）、镍（</w:t>
            </w:r>
            <w:r>
              <w:t>Ni</w:t>
            </w:r>
            <w:r>
              <w:t>）、铅（</w:t>
            </w:r>
            <w:r>
              <w:t>Pb</w:t>
            </w:r>
            <w:r>
              <w:t>）、铬（</w:t>
            </w:r>
            <w:r>
              <w:t>Cr</w:t>
            </w:r>
            <w:r>
              <w:t>）、锡（</w:t>
            </w:r>
            <w:r>
              <w:t>Sn</w:t>
            </w:r>
            <w:r>
              <w:t>）、锑（</w:t>
            </w:r>
            <w:r>
              <w:t>Sb</w:t>
            </w:r>
            <w:r>
              <w:t>）、铜（</w:t>
            </w:r>
            <w:r>
              <w:t>Cu</w:t>
            </w:r>
            <w:r>
              <w:t>）、锰（</w:t>
            </w:r>
            <w:r>
              <w:t>Mn</w:t>
            </w:r>
            <w:r>
              <w:t>）、铍（</w:t>
            </w:r>
            <w:r>
              <w:t>Be</w:t>
            </w:r>
            <w:r>
              <w:t>）、锌（</w:t>
            </w:r>
            <w:r>
              <w:t>Zn</w:t>
            </w:r>
            <w:r>
              <w:t>）、钒（</w:t>
            </w:r>
            <w:r>
              <w:t>V</w:t>
            </w:r>
            <w:r>
              <w:t>）、钴（</w:t>
            </w:r>
            <w:r>
              <w:t>Co</w:t>
            </w:r>
            <w:r>
              <w:t>）、钼（</w:t>
            </w:r>
            <w:r>
              <w:t>Mo</w:t>
            </w:r>
            <w:r>
              <w:t>）、氟（</w:t>
            </w:r>
            <w:r>
              <w:t>F</w:t>
            </w:r>
            <w:r>
              <w:t>）、氯（</w:t>
            </w:r>
            <w:r>
              <w:t>Cl</w:t>
            </w:r>
            <w:r>
              <w:t>）和硫（</w:t>
            </w:r>
            <w:r>
              <w:t>S</w:t>
            </w:r>
            <w:r>
              <w:t>）的分析。</w:t>
            </w:r>
          </w:p>
          <w:p w14:paraId="1F78C190" w14:textId="77777777" w:rsidR="002E474C" w:rsidRDefault="00000000">
            <w:pPr>
              <w:pStyle w:val="A-"/>
              <w:spacing w:line="260" w:lineRule="exact"/>
              <w:ind w:leftChars="-25" w:left="-53" w:rightChars="-25" w:right="-53"/>
              <w:jc w:val="both"/>
            </w:pPr>
            <w:r>
              <w:t>c</w:t>
            </w:r>
            <w:r>
              <w:t>）相容性测试，一般需要配备粘度仪、搅拌仪、温度计、压力计、</w:t>
            </w:r>
            <w:r>
              <w:t xml:space="preserve">pH </w:t>
            </w:r>
            <w:r>
              <w:t>计、反应气体收集装置等。</w:t>
            </w:r>
            <w:r>
              <w:t xml:space="preserve"> </w:t>
            </w:r>
          </w:p>
          <w:p w14:paraId="76A67019" w14:textId="77777777" w:rsidR="002E474C" w:rsidRDefault="00000000">
            <w:pPr>
              <w:pStyle w:val="A-"/>
              <w:spacing w:line="260" w:lineRule="exact"/>
              <w:ind w:leftChars="-25" w:left="-53" w:rightChars="-25" w:right="-53"/>
              <w:jc w:val="both"/>
            </w:pPr>
            <w:r>
              <w:t>d</w:t>
            </w:r>
            <w:r>
              <w:t>）满足</w:t>
            </w:r>
            <w:r>
              <w:t>GB5085.1</w:t>
            </w:r>
            <w:r>
              <w:t>要求的腐蚀性检测；满足</w:t>
            </w:r>
            <w:r>
              <w:t>GB5085.4</w:t>
            </w:r>
            <w:r>
              <w:t>要求的易燃性检测；满足</w:t>
            </w:r>
            <w:r>
              <w:t>GB5085.5</w:t>
            </w:r>
            <w:r>
              <w:t>要求的反应性检测。</w:t>
            </w:r>
            <w:r>
              <w:t xml:space="preserve"> </w:t>
            </w:r>
          </w:p>
          <w:p w14:paraId="6A277786" w14:textId="77777777" w:rsidR="002E474C" w:rsidRDefault="00000000">
            <w:pPr>
              <w:pStyle w:val="A-"/>
              <w:spacing w:line="260" w:lineRule="exact"/>
              <w:ind w:leftChars="-25" w:left="-53" w:rightChars="-25" w:right="-53"/>
              <w:jc w:val="both"/>
            </w:pPr>
            <w:r>
              <w:t>e</w:t>
            </w:r>
            <w:r>
              <w:t>）满足</w:t>
            </w:r>
            <w:r>
              <w:t xml:space="preserve"> GB4915 </w:t>
            </w:r>
            <w:r>
              <w:t>和</w:t>
            </w:r>
            <w:r>
              <w:t xml:space="preserve"> GB30485 </w:t>
            </w:r>
            <w:r>
              <w:t>监测要求的烟气污染物检测。</w:t>
            </w:r>
            <w:r>
              <w:t xml:space="preserve"> </w:t>
            </w:r>
          </w:p>
          <w:p w14:paraId="0721470B" w14:textId="77777777" w:rsidR="002E474C" w:rsidRDefault="00000000">
            <w:pPr>
              <w:pStyle w:val="A-"/>
              <w:spacing w:line="260" w:lineRule="exact"/>
              <w:ind w:leftChars="-25" w:left="-53" w:rightChars="-25" w:right="-53"/>
              <w:jc w:val="both"/>
            </w:pPr>
            <w:r>
              <w:t>f</w:t>
            </w:r>
            <w:r>
              <w:t>）满足其他相关标准中要求的水泥产品环境安全性检测。</w:t>
            </w:r>
          </w:p>
          <w:p w14:paraId="22AF3209" w14:textId="77777777" w:rsidR="002E474C" w:rsidRDefault="00000000">
            <w:pPr>
              <w:pStyle w:val="A-"/>
              <w:spacing w:line="260" w:lineRule="exact"/>
              <w:ind w:leftChars="-25" w:left="-53" w:rightChars="-25" w:right="-53"/>
              <w:jc w:val="both"/>
            </w:pPr>
            <w:r>
              <w:t xml:space="preserve">4.6.3  </w:t>
            </w:r>
            <w:r>
              <w:t>分析化验室应设有样品保存库，用于贮存备份样品；样品保存库应可以确保危险固体废物样品贮存</w:t>
            </w:r>
            <w:r>
              <w:t xml:space="preserve"> 2 </w:t>
            </w:r>
            <w:r>
              <w:t>年而不使固体废物性质发生变化，并满足相应的消防要求。</w:t>
            </w:r>
            <w:r>
              <w:t xml:space="preserve"> </w:t>
            </w:r>
          </w:p>
          <w:p w14:paraId="361F5039" w14:textId="77777777" w:rsidR="002E474C" w:rsidRDefault="00000000">
            <w:pPr>
              <w:pStyle w:val="A-"/>
              <w:spacing w:line="260" w:lineRule="exact"/>
              <w:ind w:leftChars="-25" w:left="-53" w:rightChars="-25" w:right="-53"/>
              <w:jc w:val="both"/>
            </w:pPr>
            <w:r>
              <w:t xml:space="preserve">4.6.4   </w:t>
            </w:r>
            <w:r>
              <w:t>本标准第</w:t>
            </w:r>
            <w:r>
              <w:t xml:space="preserve"> 4.6.2 </w:t>
            </w:r>
            <w:r>
              <w:t>条</w:t>
            </w:r>
            <w:r>
              <w:t>a</w:t>
            </w:r>
            <w:r>
              <w:t>）、</w:t>
            </w:r>
            <w:r>
              <w:t>b</w:t>
            </w:r>
            <w:r>
              <w:t>）以及</w:t>
            </w:r>
            <w:r>
              <w:t>c</w:t>
            </w:r>
            <w:r>
              <w:t>）款为企业必须具备的条件，其他分析项目如果不具备条件，可经当地环保部门许可后委托有资质的分析监测机构进行采样分析监测。</w:t>
            </w:r>
          </w:p>
        </w:tc>
        <w:tc>
          <w:tcPr>
            <w:tcW w:w="1133" w:type="pct"/>
            <w:vAlign w:val="center"/>
          </w:tcPr>
          <w:p w14:paraId="6A556316" w14:textId="77777777" w:rsidR="002E474C" w:rsidRDefault="00000000">
            <w:pPr>
              <w:pStyle w:val="A-"/>
              <w:spacing w:line="260" w:lineRule="exact"/>
              <w:ind w:leftChars="-25" w:left="-53" w:rightChars="-25" w:right="-53"/>
              <w:jc w:val="both"/>
              <w:rPr>
                <w:spacing w:val="-6"/>
              </w:rPr>
            </w:pPr>
            <w:r>
              <w:rPr>
                <w:spacing w:val="-6"/>
              </w:rPr>
              <w:t>（</w:t>
            </w:r>
            <w:r>
              <w:rPr>
                <w:spacing w:val="-6"/>
              </w:rPr>
              <w:t>1</w:t>
            </w:r>
            <w:r>
              <w:rPr>
                <w:spacing w:val="-6"/>
              </w:rPr>
              <w:t>）本项目分析化验与质量控制工作依托吉木萨尔协同处置项目</w:t>
            </w:r>
            <w:r>
              <w:rPr>
                <w:bCs/>
                <w:spacing w:val="-6"/>
              </w:rPr>
              <w:t>危险废物</w:t>
            </w:r>
            <w:r>
              <w:rPr>
                <w:spacing w:val="-6"/>
              </w:rPr>
              <w:t>预处理中心分析化验室。该分析化验室符合本规范相关规定。</w:t>
            </w:r>
          </w:p>
          <w:p w14:paraId="68C72EA9" w14:textId="77777777" w:rsidR="002E474C" w:rsidRDefault="00000000">
            <w:pPr>
              <w:pStyle w:val="A-"/>
              <w:spacing w:line="260" w:lineRule="exact"/>
              <w:ind w:leftChars="-25" w:left="-53" w:rightChars="-25" w:right="-53"/>
              <w:jc w:val="both"/>
            </w:pPr>
            <w:r>
              <w:t>（</w:t>
            </w:r>
            <w:r>
              <w:t>2</w:t>
            </w:r>
            <w:r>
              <w:t>）预处理中心和水泥生产企业应制订预处理产物质量标准并在当地质监部门进行备案。</w:t>
            </w:r>
          </w:p>
          <w:p w14:paraId="3C560A46" w14:textId="77777777" w:rsidR="002E474C" w:rsidRDefault="00000000">
            <w:pPr>
              <w:pStyle w:val="A-"/>
              <w:spacing w:line="260" w:lineRule="exact"/>
              <w:ind w:leftChars="-25" w:left="-53" w:rightChars="-25" w:right="-53"/>
              <w:jc w:val="both"/>
            </w:pPr>
            <w:r>
              <w:t>（</w:t>
            </w:r>
            <w:r>
              <w:t>3</w:t>
            </w:r>
            <w:r>
              <w:t>）本项目委托该分析化验室进行定期送样分析，送样分析频次应不少于每周</w:t>
            </w:r>
            <w:r>
              <w:t>1</w:t>
            </w:r>
            <w:r>
              <w:t>次，并将预处理产物的送样分析结果与预处理产物质量标准进行比对，评估预处理中心生产的预处理产物的质量可靠性。</w:t>
            </w:r>
          </w:p>
          <w:p w14:paraId="4BD4E317" w14:textId="77777777" w:rsidR="002E474C" w:rsidRDefault="00000000">
            <w:pPr>
              <w:pStyle w:val="A-"/>
              <w:spacing w:line="260" w:lineRule="exact"/>
              <w:ind w:leftChars="-25" w:left="-53" w:rightChars="-25" w:right="-53"/>
              <w:jc w:val="both"/>
            </w:pPr>
            <w:r>
              <w:t>（</w:t>
            </w:r>
            <w:r>
              <w:t>4</w:t>
            </w:r>
            <w:r>
              <w:t>）预处理产物连续</w:t>
            </w:r>
            <w:r>
              <w:t>2</w:t>
            </w:r>
            <w:r>
              <w:t>个月的送样分析结果与预处理质量标准一致时，送样分析频次可减为每月</w:t>
            </w:r>
            <w:r>
              <w:t>1</w:t>
            </w:r>
            <w:r>
              <w:t>次，若在此期间出现送样分析结果与预处理产物质量标准不一致，则送样分析频次重新调整为每周</w:t>
            </w:r>
            <w:r>
              <w:t>1</w:t>
            </w:r>
            <w:r>
              <w:t>次。</w:t>
            </w:r>
          </w:p>
        </w:tc>
        <w:tc>
          <w:tcPr>
            <w:tcW w:w="261" w:type="pct"/>
            <w:vAlign w:val="center"/>
          </w:tcPr>
          <w:p w14:paraId="4118C405" w14:textId="77777777" w:rsidR="002E474C" w:rsidRDefault="00000000">
            <w:pPr>
              <w:pStyle w:val="A-"/>
              <w:spacing w:line="260" w:lineRule="exact"/>
            </w:pPr>
            <w:r>
              <w:t>符合</w:t>
            </w:r>
          </w:p>
        </w:tc>
      </w:tr>
      <w:tr w:rsidR="002E474C" w14:paraId="4FEED9CE" w14:textId="77777777">
        <w:tc>
          <w:tcPr>
            <w:tcW w:w="388" w:type="pct"/>
            <w:vMerge w:val="restart"/>
            <w:vAlign w:val="center"/>
          </w:tcPr>
          <w:p w14:paraId="13B645EF" w14:textId="77777777" w:rsidR="002E474C" w:rsidRDefault="00000000">
            <w:pPr>
              <w:pStyle w:val="A-"/>
              <w:spacing w:line="260" w:lineRule="exact"/>
            </w:pPr>
            <w:r>
              <w:t>固体废物特性要求</w:t>
            </w:r>
          </w:p>
        </w:tc>
        <w:tc>
          <w:tcPr>
            <w:tcW w:w="3218" w:type="pct"/>
            <w:vAlign w:val="center"/>
          </w:tcPr>
          <w:p w14:paraId="52A58DCE" w14:textId="77777777" w:rsidR="002E474C" w:rsidRDefault="00000000">
            <w:pPr>
              <w:pStyle w:val="A-"/>
              <w:spacing w:line="260" w:lineRule="exact"/>
              <w:ind w:leftChars="-25" w:left="-53" w:rightChars="-25" w:right="-53"/>
              <w:jc w:val="both"/>
            </w:pPr>
            <w:r>
              <w:t xml:space="preserve">5.1 </w:t>
            </w:r>
            <w:r>
              <w:t>禁止进入水泥窑协同处置的废物</w:t>
            </w:r>
            <w:r>
              <w:t xml:space="preserve"> </w:t>
            </w:r>
          </w:p>
          <w:p w14:paraId="343E0994" w14:textId="77777777" w:rsidR="002E474C" w:rsidRDefault="00000000">
            <w:pPr>
              <w:pStyle w:val="A-"/>
              <w:spacing w:line="260" w:lineRule="exact"/>
              <w:ind w:leftChars="-25" w:left="-53" w:rightChars="-25" w:right="-53"/>
              <w:jc w:val="both"/>
            </w:pPr>
            <w:r>
              <w:t>禁止在水泥窑中协同处置以下废物：</w:t>
            </w:r>
            <w:r>
              <w:t xml:space="preserve"> </w:t>
            </w:r>
          </w:p>
          <w:p w14:paraId="4B024244" w14:textId="77777777" w:rsidR="002E474C" w:rsidRDefault="00000000">
            <w:pPr>
              <w:pStyle w:val="A-"/>
              <w:spacing w:line="260" w:lineRule="exact"/>
              <w:ind w:leftChars="-25" w:left="-53" w:rightChars="-25" w:right="-53"/>
              <w:jc w:val="both"/>
            </w:pPr>
            <w:r>
              <w:t>a</w:t>
            </w:r>
            <w:r>
              <w:t>）放射性废物。</w:t>
            </w:r>
            <w:r>
              <w:t xml:space="preserve"> </w:t>
            </w:r>
          </w:p>
          <w:p w14:paraId="30B4F9D4" w14:textId="77777777" w:rsidR="002E474C" w:rsidRDefault="00000000">
            <w:pPr>
              <w:pStyle w:val="A-"/>
              <w:spacing w:line="260" w:lineRule="exact"/>
              <w:ind w:leftChars="-25" w:left="-53" w:rightChars="-25" w:right="-53"/>
              <w:jc w:val="both"/>
            </w:pPr>
            <w:r>
              <w:t>b</w:t>
            </w:r>
            <w:r>
              <w:t>）爆炸物及反应性废物。</w:t>
            </w:r>
            <w:r>
              <w:t xml:space="preserve"> </w:t>
            </w:r>
          </w:p>
          <w:p w14:paraId="29E10CAA" w14:textId="77777777" w:rsidR="002E474C" w:rsidRDefault="00000000">
            <w:pPr>
              <w:pStyle w:val="A-"/>
              <w:spacing w:line="260" w:lineRule="exact"/>
              <w:ind w:leftChars="-25" w:left="-53" w:rightChars="-25" w:right="-53"/>
              <w:jc w:val="both"/>
            </w:pPr>
            <w:r>
              <w:t>c</w:t>
            </w:r>
            <w:r>
              <w:t>）未经拆解的废电池、废家用电器和电子产品。</w:t>
            </w:r>
            <w:r>
              <w:t xml:space="preserve"> </w:t>
            </w:r>
          </w:p>
          <w:p w14:paraId="39AF96A5" w14:textId="77777777" w:rsidR="002E474C" w:rsidRDefault="00000000">
            <w:pPr>
              <w:pStyle w:val="A-"/>
              <w:spacing w:line="260" w:lineRule="exact"/>
              <w:ind w:leftChars="-25" w:left="-53" w:rightChars="-25" w:right="-53"/>
              <w:jc w:val="both"/>
            </w:pPr>
            <w:r>
              <w:t>d</w:t>
            </w:r>
            <w:r>
              <w:t>）含汞的温度计、血压计、荧光灯管和开关。</w:t>
            </w:r>
          </w:p>
          <w:p w14:paraId="20331D52" w14:textId="77777777" w:rsidR="002E474C" w:rsidRDefault="00000000">
            <w:pPr>
              <w:pStyle w:val="A-"/>
              <w:spacing w:line="260" w:lineRule="exact"/>
              <w:ind w:leftChars="-25" w:left="-53" w:rightChars="-25" w:right="-53"/>
              <w:jc w:val="both"/>
            </w:pPr>
            <w:r>
              <w:t>e</w:t>
            </w:r>
            <w:r>
              <w:t>）铬渣。</w:t>
            </w:r>
            <w:r>
              <w:t xml:space="preserve"> </w:t>
            </w:r>
          </w:p>
          <w:p w14:paraId="63F8A369" w14:textId="77777777" w:rsidR="002E474C" w:rsidRDefault="00000000">
            <w:pPr>
              <w:pStyle w:val="A-"/>
              <w:spacing w:line="260" w:lineRule="exact"/>
              <w:ind w:leftChars="-25" w:left="-53" w:rightChars="-25" w:right="-53"/>
              <w:jc w:val="both"/>
            </w:pPr>
            <w:r>
              <w:t>f</w:t>
            </w:r>
            <w:r>
              <w:t>）未知特性和未经鉴定的废物。</w:t>
            </w:r>
          </w:p>
        </w:tc>
        <w:tc>
          <w:tcPr>
            <w:tcW w:w="1133" w:type="pct"/>
            <w:vAlign w:val="center"/>
          </w:tcPr>
          <w:p w14:paraId="54A1DE11" w14:textId="77777777" w:rsidR="002E474C" w:rsidRDefault="00000000">
            <w:pPr>
              <w:pStyle w:val="A-"/>
              <w:spacing w:line="260" w:lineRule="exact"/>
              <w:ind w:leftChars="-25" w:left="-53" w:rightChars="-25" w:right="-53"/>
              <w:jc w:val="both"/>
            </w:pPr>
            <w:r>
              <w:t>本项目不接收处置表列禁止在水泥窑中协同处置的废物。</w:t>
            </w:r>
          </w:p>
        </w:tc>
        <w:tc>
          <w:tcPr>
            <w:tcW w:w="261" w:type="pct"/>
            <w:vAlign w:val="center"/>
          </w:tcPr>
          <w:p w14:paraId="60D113BB" w14:textId="77777777" w:rsidR="002E474C" w:rsidRDefault="00000000">
            <w:pPr>
              <w:pStyle w:val="A-"/>
              <w:spacing w:line="260" w:lineRule="exact"/>
            </w:pPr>
            <w:r>
              <w:t>符合</w:t>
            </w:r>
          </w:p>
        </w:tc>
      </w:tr>
      <w:tr w:rsidR="002E474C" w14:paraId="3A38E432" w14:textId="77777777">
        <w:tc>
          <w:tcPr>
            <w:tcW w:w="388" w:type="pct"/>
            <w:vMerge/>
            <w:vAlign w:val="center"/>
          </w:tcPr>
          <w:p w14:paraId="19268AC1" w14:textId="77777777" w:rsidR="002E474C" w:rsidRDefault="002E474C">
            <w:pPr>
              <w:pStyle w:val="A-"/>
              <w:spacing w:line="260" w:lineRule="exact"/>
            </w:pPr>
          </w:p>
        </w:tc>
        <w:tc>
          <w:tcPr>
            <w:tcW w:w="3218" w:type="pct"/>
            <w:vAlign w:val="center"/>
          </w:tcPr>
          <w:p w14:paraId="76A5DC8F" w14:textId="77777777" w:rsidR="002E474C" w:rsidRDefault="00000000">
            <w:pPr>
              <w:pStyle w:val="A-"/>
              <w:spacing w:line="260" w:lineRule="exact"/>
              <w:ind w:leftChars="-25" w:left="-53" w:rightChars="-25" w:right="-53"/>
              <w:jc w:val="both"/>
            </w:pPr>
            <w:r>
              <w:t xml:space="preserve">5.2 </w:t>
            </w:r>
            <w:r>
              <w:t>入窑协同处置的固体废物特性要求</w:t>
            </w:r>
            <w:r>
              <w:t xml:space="preserve"> </w:t>
            </w:r>
          </w:p>
          <w:p w14:paraId="540B60F8" w14:textId="77777777" w:rsidR="002E474C" w:rsidRDefault="00000000">
            <w:pPr>
              <w:pStyle w:val="A-"/>
              <w:spacing w:line="260" w:lineRule="exact"/>
              <w:ind w:leftChars="-25" w:left="-53" w:rightChars="-25" w:right="-53"/>
              <w:jc w:val="both"/>
            </w:pPr>
            <w:r>
              <w:t xml:space="preserve">5.2.1  </w:t>
            </w:r>
            <w:r>
              <w:t>入窑固体废物应具有稳定的化学组成和物理特性，其化学组成、理化性质等不应对水泥生产过程和水泥产品质量产生不利影响。</w:t>
            </w:r>
            <w:r>
              <w:t xml:space="preserve"> </w:t>
            </w:r>
          </w:p>
          <w:p w14:paraId="5393F038" w14:textId="77777777" w:rsidR="002E474C" w:rsidRDefault="00000000">
            <w:pPr>
              <w:pStyle w:val="A-"/>
              <w:spacing w:line="260" w:lineRule="exact"/>
              <w:ind w:leftChars="-25" w:left="-53" w:rightChars="-25" w:right="-53"/>
              <w:jc w:val="both"/>
            </w:pPr>
            <w:r>
              <w:lastRenderedPageBreak/>
              <w:t xml:space="preserve">5.2.2  </w:t>
            </w:r>
            <w:r>
              <w:t>入窑固体废物中如含有表</w:t>
            </w:r>
            <w:r>
              <w:t>1</w:t>
            </w:r>
            <w:r>
              <w:t>中所列重金属成分，其含量应该满足本标准第</w:t>
            </w:r>
            <w:r>
              <w:t>6.6.7</w:t>
            </w:r>
            <w:r>
              <w:t>条的要求。</w:t>
            </w:r>
            <w:r>
              <w:t xml:space="preserve"> </w:t>
            </w:r>
          </w:p>
          <w:p w14:paraId="6D738449" w14:textId="77777777" w:rsidR="002E474C" w:rsidRDefault="00000000">
            <w:pPr>
              <w:pStyle w:val="A-"/>
              <w:spacing w:line="260" w:lineRule="exact"/>
              <w:ind w:leftChars="-25" w:left="-53" w:rightChars="-25" w:right="-53"/>
              <w:jc w:val="both"/>
            </w:pPr>
            <w:r>
              <w:t xml:space="preserve">5.2.3  </w:t>
            </w:r>
            <w:r>
              <w:t>入窑固体废物中氯（</w:t>
            </w:r>
            <w:r>
              <w:t>Cl</w:t>
            </w:r>
            <w:r>
              <w:t>）和氟（</w:t>
            </w:r>
            <w:r>
              <w:t>F</w:t>
            </w:r>
            <w:r>
              <w:t>）元素的含量不应对水泥生产和水泥产品质量造成不利影响，其含量应该满足本标准第</w:t>
            </w:r>
            <w:r>
              <w:t>6.6.8</w:t>
            </w:r>
            <w:r>
              <w:t>条的要求。</w:t>
            </w:r>
            <w:r>
              <w:t xml:space="preserve"> </w:t>
            </w:r>
          </w:p>
          <w:p w14:paraId="03A6CC99" w14:textId="77777777" w:rsidR="002E474C" w:rsidRDefault="00000000">
            <w:pPr>
              <w:pStyle w:val="A-"/>
              <w:spacing w:line="260" w:lineRule="exact"/>
              <w:ind w:leftChars="-25" w:left="-53" w:rightChars="-25" w:right="-53"/>
              <w:jc w:val="both"/>
            </w:pPr>
            <w:r>
              <w:t xml:space="preserve">5.2.4  </w:t>
            </w:r>
            <w:r>
              <w:t>入窑固体废物中硫（</w:t>
            </w:r>
            <w:r>
              <w:t>S</w:t>
            </w:r>
            <w:r>
              <w:t>）元素含量应满足本标准第</w:t>
            </w:r>
            <w:r>
              <w:t xml:space="preserve"> 6.6.9</w:t>
            </w:r>
            <w:r>
              <w:t>条的要求。</w:t>
            </w:r>
            <w:r>
              <w:t xml:space="preserve"> </w:t>
            </w:r>
          </w:p>
          <w:p w14:paraId="3103C899" w14:textId="77777777" w:rsidR="002E474C" w:rsidRDefault="00000000">
            <w:pPr>
              <w:pStyle w:val="A-"/>
              <w:spacing w:line="260" w:lineRule="exact"/>
              <w:ind w:leftChars="-25" w:left="-53" w:rightChars="-25" w:right="-53"/>
              <w:jc w:val="both"/>
            </w:pPr>
            <w:r>
              <w:t xml:space="preserve">5.2.5  </w:t>
            </w:r>
            <w:r>
              <w:t>具有腐蚀性的固体废物，应经过预处理降低废物腐蚀性或对设施进行防腐性改造，确保不对设施造成腐蚀后方可进行协同处置。</w:t>
            </w:r>
          </w:p>
        </w:tc>
        <w:tc>
          <w:tcPr>
            <w:tcW w:w="1133" w:type="pct"/>
            <w:shd w:val="clear" w:color="auto" w:fill="auto"/>
            <w:vAlign w:val="center"/>
          </w:tcPr>
          <w:p w14:paraId="79336634" w14:textId="77777777" w:rsidR="002E474C" w:rsidRDefault="00000000">
            <w:pPr>
              <w:pStyle w:val="A-"/>
              <w:spacing w:line="260" w:lineRule="exact"/>
              <w:ind w:leftChars="-25" w:left="-53" w:rightChars="-25" w:right="-53"/>
              <w:jc w:val="both"/>
            </w:pPr>
            <w:r>
              <w:lastRenderedPageBreak/>
              <w:t>本项目实施后生料中氯元素与氟元素含量满足本标准第</w:t>
            </w:r>
            <w:r>
              <w:t>6.6.8</w:t>
            </w:r>
            <w:r>
              <w:t>条水泥行业控制标准的基本要求（＜</w:t>
            </w:r>
            <w:r>
              <w:lastRenderedPageBreak/>
              <w:t>0.06%</w:t>
            </w:r>
            <w:r>
              <w:t>）。本项目实施后入窑物料五类重金属的最大含量均满足《水泥窑协同处置固体废物环境保护技术规范》（</w:t>
            </w:r>
            <w:r>
              <w:t>HJ662-2013</w:t>
            </w:r>
            <w:r>
              <w:t>）的入窑标准要求。</w:t>
            </w:r>
          </w:p>
        </w:tc>
        <w:tc>
          <w:tcPr>
            <w:tcW w:w="261" w:type="pct"/>
            <w:vAlign w:val="center"/>
          </w:tcPr>
          <w:p w14:paraId="43E4C3D0" w14:textId="77777777" w:rsidR="002E474C" w:rsidRDefault="00000000">
            <w:pPr>
              <w:pStyle w:val="A-"/>
              <w:spacing w:line="260" w:lineRule="exact"/>
            </w:pPr>
            <w:r>
              <w:lastRenderedPageBreak/>
              <w:t>符合</w:t>
            </w:r>
          </w:p>
        </w:tc>
      </w:tr>
      <w:tr w:rsidR="002E474C" w14:paraId="222F9EB9" w14:textId="77777777">
        <w:tc>
          <w:tcPr>
            <w:tcW w:w="388" w:type="pct"/>
            <w:vMerge/>
            <w:vAlign w:val="center"/>
          </w:tcPr>
          <w:p w14:paraId="33971FA4" w14:textId="77777777" w:rsidR="002E474C" w:rsidRDefault="002E474C">
            <w:pPr>
              <w:pStyle w:val="A-"/>
              <w:spacing w:line="260" w:lineRule="exact"/>
            </w:pPr>
          </w:p>
        </w:tc>
        <w:tc>
          <w:tcPr>
            <w:tcW w:w="3218" w:type="pct"/>
            <w:vAlign w:val="center"/>
          </w:tcPr>
          <w:p w14:paraId="47A5A960" w14:textId="77777777" w:rsidR="002E474C" w:rsidRDefault="00000000">
            <w:pPr>
              <w:pStyle w:val="A-"/>
              <w:spacing w:line="260" w:lineRule="exact"/>
              <w:ind w:leftChars="-25" w:left="-53" w:rightChars="-25" w:right="-53"/>
              <w:jc w:val="both"/>
            </w:pPr>
            <w:r>
              <w:t xml:space="preserve">5.3 </w:t>
            </w:r>
            <w:r>
              <w:t>替代混合材的废物特性要求</w:t>
            </w:r>
            <w:r>
              <w:t xml:space="preserve"> </w:t>
            </w:r>
          </w:p>
          <w:p w14:paraId="395F96B3" w14:textId="77777777" w:rsidR="002E474C" w:rsidRDefault="00000000">
            <w:pPr>
              <w:pStyle w:val="A-"/>
              <w:spacing w:line="260" w:lineRule="exact"/>
              <w:ind w:leftChars="-25" w:left="-53" w:rightChars="-25" w:right="-53"/>
              <w:jc w:val="both"/>
              <w:rPr>
                <w:spacing w:val="-6"/>
              </w:rPr>
            </w:pPr>
            <w:r>
              <w:rPr>
                <w:spacing w:val="-6"/>
              </w:rPr>
              <w:t>5.3.1</w:t>
            </w:r>
            <w:r>
              <w:rPr>
                <w:spacing w:val="-6"/>
              </w:rPr>
              <w:t>作为替代混合材的固体废物应该满足国家或者行业有关标准，并且不对水泥质量产生不利影响。</w:t>
            </w:r>
            <w:r>
              <w:rPr>
                <w:spacing w:val="-6"/>
              </w:rPr>
              <w:t xml:space="preserve"> </w:t>
            </w:r>
          </w:p>
          <w:p w14:paraId="23252E2A" w14:textId="77777777" w:rsidR="002E474C" w:rsidRDefault="00000000">
            <w:pPr>
              <w:pStyle w:val="A-"/>
              <w:spacing w:line="260" w:lineRule="exact"/>
              <w:ind w:leftChars="-25" w:left="-53" w:rightChars="-25" w:right="-53"/>
              <w:jc w:val="both"/>
            </w:pPr>
            <w:r>
              <w:t xml:space="preserve">5.3.2  </w:t>
            </w:r>
            <w:r>
              <w:t>下列废物不能作为混合材原料：</w:t>
            </w:r>
            <w:r>
              <w:t xml:space="preserve"> </w:t>
            </w:r>
          </w:p>
          <w:p w14:paraId="6468D2A1" w14:textId="77777777" w:rsidR="002E474C" w:rsidRDefault="00000000">
            <w:pPr>
              <w:pStyle w:val="A-"/>
              <w:spacing w:line="260" w:lineRule="exact"/>
              <w:ind w:leftChars="-25" w:left="-53" w:rightChars="-25" w:right="-53"/>
              <w:jc w:val="both"/>
            </w:pPr>
            <w:r>
              <w:t>a</w:t>
            </w:r>
            <w:r>
              <w:t>）危险废物；</w:t>
            </w:r>
            <w:r>
              <w:t xml:space="preserve"> </w:t>
            </w:r>
          </w:p>
          <w:p w14:paraId="24654E5F" w14:textId="77777777" w:rsidR="002E474C" w:rsidRDefault="00000000">
            <w:pPr>
              <w:pStyle w:val="A-"/>
              <w:spacing w:line="260" w:lineRule="exact"/>
              <w:ind w:leftChars="-25" w:left="-53" w:rightChars="-25" w:right="-53"/>
              <w:jc w:val="both"/>
            </w:pPr>
            <w:r>
              <w:t>b</w:t>
            </w:r>
            <w:r>
              <w:t>）有机废物；</w:t>
            </w:r>
            <w:r>
              <w:t xml:space="preserve"> </w:t>
            </w:r>
          </w:p>
          <w:p w14:paraId="5D7C4ADB" w14:textId="77777777" w:rsidR="002E474C" w:rsidRDefault="00000000">
            <w:pPr>
              <w:pStyle w:val="A-"/>
              <w:spacing w:line="260" w:lineRule="exact"/>
              <w:ind w:leftChars="-25" w:left="-53" w:rightChars="-25" w:right="-53"/>
              <w:jc w:val="both"/>
            </w:pPr>
            <w:r>
              <w:t>国家法律、法规另有规定的除外。</w:t>
            </w:r>
          </w:p>
        </w:tc>
        <w:tc>
          <w:tcPr>
            <w:tcW w:w="1133" w:type="pct"/>
            <w:vAlign w:val="center"/>
          </w:tcPr>
          <w:p w14:paraId="0450A42E" w14:textId="77777777" w:rsidR="002E474C" w:rsidRDefault="00000000">
            <w:pPr>
              <w:pStyle w:val="A-"/>
              <w:spacing w:line="260" w:lineRule="exact"/>
              <w:ind w:leftChars="-25" w:left="-53" w:rightChars="-25" w:right="-53"/>
              <w:jc w:val="both"/>
            </w:pPr>
            <w:r>
              <w:t>本项目危险废物不作为混合材原料。</w:t>
            </w:r>
          </w:p>
        </w:tc>
        <w:tc>
          <w:tcPr>
            <w:tcW w:w="261" w:type="pct"/>
            <w:vAlign w:val="center"/>
          </w:tcPr>
          <w:p w14:paraId="24B72C6A" w14:textId="77777777" w:rsidR="002E474C" w:rsidRDefault="00000000">
            <w:pPr>
              <w:pStyle w:val="A-"/>
              <w:spacing w:line="260" w:lineRule="exact"/>
            </w:pPr>
            <w:r>
              <w:t>符合</w:t>
            </w:r>
          </w:p>
        </w:tc>
      </w:tr>
      <w:tr w:rsidR="002E474C" w14:paraId="7BD654C8" w14:textId="77777777">
        <w:tc>
          <w:tcPr>
            <w:tcW w:w="388" w:type="pct"/>
            <w:vMerge w:val="restart"/>
            <w:vAlign w:val="center"/>
          </w:tcPr>
          <w:p w14:paraId="17E8EC3C" w14:textId="77777777" w:rsidR="002E474C" w:rsidRDefault="00000000">
            <w:pPr>
              <w:pStyle w:val="A-"/>
              <w:spacing w:line="260" w:lineRule="exact"/>
            </w:pPr>
            <w:r>
              <w:t>协同处置运行操作技术要求</w:t>
            </w:r>
          </w:p>
        </w:tc>
        <w:tc>
          <w:tcPr>
            <w:tcW w:w="3218" w:type="pct"/>
            <w:vAlign w:val="center"/>
          </w:tcPr>
          <w:p w14:paraId="5DBB8925" w14:textId="77777777" w:rsidR="002E474C" w:rsidRDefault="00000000">
            <w:pPr>
              <w:pStyle w:val="A-"/>
              <w:spacing w:line="260" w:lineRule="exact"/>
              <w:ind w:leftChars="-25" w:left="-53" w:rightChars="-25" w:right="-53"/>
              <w:jc w:val="both"/>
            </w:pPr>
            <w:r>
              <w:t xml:space="preserve">6.1 </w:t>
            </w:r>
            <w:r>
              <w:t>固体废物的准入评估</w:t>
            </w:r>
            <w:r>
              <w:t xml:space="preserve"> </w:t>
            </w:r>
          </w:p>
          <w:p w14:paraId="7E8937FD" w14:textId="77777777" w:rsidR="002E474C" w:rsidRDefault="00000000">
            <w:pPr>
              <w:pStyle w:val="A-"/>
              <w:spacing w:line="260" w:lineRule="exact"/>
              <w:ind w:leftChars="-25" w:left="-53" w:rightChars="-25" w:right="-53"/>
              <w:jc w:val="both"/>
            </w:pPr>
            <w:r>
              <w:t xml:space="preserve">6.1.1  </w:t>
            </w:r>
            <w:r>
              <w:t>为保证协同处置过程不影响水泥生产过程和操作运行安全，确保烟气排放达标，在协同处置企业与固体废物产生企业签订协同处置合同及固体废物运输到协同处置企业之前，应对拟协同处置的固体废物进行取样及特性分析。</w:t>
            </w:r>
            <w:r>
              <w:t xml:space="preserve"> </w:t>
            </w:r>
          </w:p>
          <w:p w14:paraId="7135E629" w14:textId="77777777" w:rsidR="002E474C" w:rsidRDefault="00000000">
            <w:pPr>
              <w:pStyle w:val="A-"/>
              <w:spacing w:line="260" w:lineRule="exact"/>
              <w:ind w:leftChars="-25" w:left="-53" w:rightChars="-25" w:right="-53"/>
              <w:jc w:val="both"/>
            </w:pPr>
            <w:r>
              <w:t xml:space="preserve">6.1.2  </w:t>
            </w:r>
            <w:r>
              <w:t>在对拟协同处置的固体废物进行取样和特性分析前，应该对固体废物产生过程进行调查分析，在此基础上制定取样分析方案；样品采集完成后，针对本标准第</w:t>
            </w:r>
            <w:r>
              <w:t xml:space="preserve"> 5 </w:t>
            </w:r>
            <w:r>
              <w:t>章要求的项目以及确保运输、贮存和协同处置全过程安全、水泥生产安全、烟气排放和水泥产品质量满足标准所要求的项目，开展分析测试。固体废物特性经双方确认后在协同处置合同中注明。取样频率和取样方法应参照</w:t>
            </w:r>
            <w:r>
              <w:t xml:space="preserve"> HJ/T20</w:t>
            </w:r>
            <w:r>
              <w:t>和</w:t>
            </w:r>
            <w:r>
              <w:t xml:space="preserve"> HJ/T298 </w:t>
            </w:r>
            <w:r>
              <w:t>要求执行。</w:t>
            </w:r>
          </w:p>
          <w:p w14:paraId="3BCB9979" w14:textId="77777777" w:rsidR="002E474C" w:rsidRDefault="00000000">
            <w:pPr>
              <w:pStyle w:val="A-"/>
              <w:spacing w:line="260" w:lineRule="exact"/>
              <w:ind w:leftChars="-25" w:left="-53" w:rightChars="-25" w:right="-53"/>
              <w:jc w:val="both"/>
            </w:pPr>
            <w:r>
              <w:t xml:space="preserve">6.1.3  </w:t>
            </w:r>
            <w:r>
              <w:t>在完成样品分析测试以后，根据下列要求对固体废物是否可以进厂协同处置进行判断：</w:t>
            </w:r>
            <w:r>
              <w:t xml:space="preserve">  </w:t>
            </w:r>
          </w:p>
          <w:p w14:paraId="0CCB8410" w14:textId="77777777" w:rsidR="002E474C" w:rsidRDefault="00000000">
            <w:pPr>
              <w:pStyle w:val="A-"/>
              <w:spacing w:line="260" w:lineRule="exact"/>
              <w:ind w:leftChars="-25" w:left="-53" w:rightChars="-25" w:right="-53"/>
              <w:jc w:val="both"/>
            </w:pPr>
            <w:r>
              <w:t>a</w:t>
            </w:r>
            <w:r>
              <w:t>）该类固体废物不属于禁止进入水泥窑协同处置的废物类别，危险废物类别符合危险废物经营许可证规定的类别要求，满足国家和当地的相关法律和法规；</w:t>
            </w:r>
            <w:r>
              <w:t xml:space="preserve"> </w:t>
            </w:r>
          </w:p>
          <w:p w14:paraId="769609C3" w14:textId="77777777" w:rsidR="002E474C" w:rsidRDefault="00000000">
            <w:pPr>
              <w:pStyle w:val="A-"/>
              <w:spacing w:line="260" w:lineRule="exact"/>
              <w:ind w:leftChars="-25" w:left="-53" w:rightChars="-25" w:right="-53"/>
              <w:jc w:val="both"/>
            </w:pPr>
            <w:r>
              <w:t>b</w:t>
            </w:r>
            <w:r>
              <w:t>）协同处置企业具有协同处置该类固体废物的能力，协同处置过程中的人员健康和环境安全风险能够得到有效控制；</w:t>
            </w:r>
            <w:r>
              <w:t xml:space="preserve"> </w:t>
            </w:r>
          </w:p>
          <w:p w14:paraId="750187A1" w14:textId="77777777" w:rsidR="002E474C" w:rsidRDefault="00000000">
            <w:pPr>
              <w:pStyle w:val="A-"/>
              <w:spacing w:line="260" w:lineRule="exact"/>
              <w:ind w:leftChars="-25" w:left="-53" w:rightChars="-25" w:right="-53"/>
              <w:jc w:val="both"/>
            </w:pPr>
            <w:r>
              <w:t>c</w:t>
            </w:r>
            <w:r>
              <w:t>）该类固体废物的协同处置不会对水泥的稳定生产、烟气排放、水泥产品质量产生不利影响。</w:t>
            </w:r>
            <w:r>
              <w:t xml:space="preserve"> </w:t>
            </w:r>
          </w:p>
          <w:p w14:paraId="56BD2D30" w14:textId="77777777" w:rsidR="002E474C" w:rsidRDefault="00000000">
            <w:pPr>
              <w:pStyle w:val="A-"/>
              <w:spacing w:line="260" w:lineRule="exact"/>
              <w:ind w:leftChars="-25" w:left="-53" w:rightChars="-25" w:right="-53"/>
              <w:jc w:val="both"/>
            </w:pPr>
            <w:r>
              <w:t xml:space="preserve">6.1.4  </w:t>
            </w:r>
            <w:r>
              <w:t>对于同一产废单位同一生产工艺产生的不同批次固体废物，在生产工艺操作参数未改变的前提下，可以仅对首批次固体废物进行采样分析，其后产生的固体废物采样分析在第</w:t>
            </w:r>
            <w:r>
              <w:t xml:space="preserve">6.3 </w:t>
            </w:r>
            <w:r>
              <w:t>节制定处置方案时进行。</w:t>
            </w:r>
            <w:r>
              <w:t xml:space="preserve"> </w:t>
            </w:r>
          </w:p>
          <w:p w14:paraId="327B7476" w14:textId="77777777" w:rsidR="002E474C" w:rsidRDefault="00000000">
            <w:pPr>
              <w:pStyle w:val="A-"/>
              <w:spacing w:line="260" w:lineRule="exact"/>
              <w:ind w:leftChars="-25" w:left="-53" w:rightChars="-25" w:right="-53"/>
              <w:jc w:val="both"/>
            </w:pPr>
            <w:r>
              <w:t xml:space="preserve">6.1.5  </w:t>
            </w:r>
            <w:r>
              <w:t>对入厂前固体废物采集分析的样品，经双方确认后封装保存，用于事故和纠纷的调查。备</w:t>
            </w:r>
            <w:r>
              <w:lastRenderedPageBreak/>
              <w:t>份样品应该保存到停止协同处置该种固体废物之后。如果在保存期间备份样品的特性发生变化，应更换备份样品，保证备份样品特性与所协同处置固体废物特性一致。</w:t>
            </w:r>
          </w:p>
        </w:tc>
        <w:tc>
          <w:tcPr>
            <w:tcW w:w="1133" w:type="pct"/>
            <w:vAlign w:val="center"/>
          </w:tcPr>
          <w:p w14:paraId="452FAD88" w14:textId="77777777" w:rsidR="002E474C" w:rsidRDefault="00000000">
            <w:pPr>
              <w:pStyle w:val="A-"/>
              <w:spacing w:line="260" w:lineRule="exact"/>
              <w:ind w:leftChars="-25" w:left="-53" w:rightChars="-25" w:right="-53"/>
              <w:jc w:val="both"/>
            </w:pPr>
            <w:r>
              <w:lastRenderedPageBreak/>
              <w:t>预处理中心的危险废物准入控制、准入评估、初步配伍及预处理方案可满足本项目危险废物协同处置要求。</w:t>
            </w:r>
          </w:p>
        </w:tc>
        <w:tc>
          <w:tcPr>
            <w:tcW w:w="261" w:type="pct"/>
            <w:vAlign w:val="center"/>
          </w:tcPr>
          <w:p w14:paraId="51210C01" w14:textId="77777777" w:rsidR="002E474C" w:rsidRDefault="00000000">
            <w:pPr>
              <w:pStyle w:val="A-"/>
              <w:spacing w:line="260" w:lineRule="exact"/>
            </w:pPr>
            <w:r>
              <w:t>符合</w:t>
            </w:r>
          </w:p>
        </w:tc>
      </w:tr>
      <w:tr w:rsidR="002E474C" w14:paraId="37091908" w14:textId="77777777">
        <w:tc>
          <w:tcPr>
            <w:tcW w:w="388" w:type="pct"/>
            <w:vMerge/>
            <w:vAlign w:val="center"/>
          </w:tcPr>
          <w:p w14:paraId="687F755D" w14:textId="77777777" w:rsidR="002E474C" w:rsidRDefault="002E474C">
            <w:pPr>
              <w:pStyle w:val="A-"/>
              <w:spacing w:line="260" w:lineRule="exact"/>
            </w:pPr>
          </w:p>
        </w:tc>
        <w:tc>
          <w:tcPr>
            <w:tcW w:w="3218" w:type="pct"/>
            <w:vAlign w:val="center"/>
          </w:tcPr>
          <w:p w14:paraId="7CC66299" w14:textId="77777777" w:rsidR="002E474C" w:rsidRDefault="00000000">
            <w:pPr>
              <w:pStyle w:val="A-"/>
              <w:spacing w:line="260" w:lineRule="exact"/>
              <w:ind w:leftChars="-25" w:left="-53" w:rightChars="-25" w:right="-53"/>
              <w:jc w:val="both"/>
            </w:pPr>
            <w:r>
              <w:t xml:space="preserve">6.2 </w:t>
            </w:r>
            <w:r>
              <w:t>固体废物的接收与分析</w:t>
            </w:r>
            <w:r>
              <w:t xml:space="preserve"> </w:t>
            </w:r>
          </w:p>
          <w:p w14:paraId="61C18469" w14:textId="77777777" w:rsidR="002E474C" w:rsidRDefault="00000000">
            <w:pPr>
              <w:pStyle w:val="A-"/>
              <w:spacing w:line="260" w:lineRule="exact"/>
              <w:ind w:leftChars="-25" w:left="-53" w:rightChars="-25" w:right="-53"/>
              <w:jc w:val="both"/>
            </w:pPr>
            <w:r>
              <w:t xml:space="preserve">6.2.1 </w:t>
            </w:r>
            <w:r>
              <w:t>入厂时固体废物的检查</w:t>
            </w:r>
            <w:r>
              <w:t xml:space="preserve"> </w:t>
            </w:r>
          </w:p>
          <w:p w14:paraId="5801A1A9" w14:textId="77777777" w:rsidR="002E474C" w:rsidRDefault="00000000">
            <w:pPr>
              <w:pStyle w:val="A-"/>
              <w:spacing w:line="260" w:lineRule="exact"/>
              <w:ind w:leftChars="-25" w:left="-53" w:rightChars="-25" w:right="-53"/>
              <w:jc w:val="both"/>
            </w:pPr>
            <w:r>
              <w:t>a</w:t>
            </w:r>
            <w:r>
              <w:t>）在固体废物进入协同处置企业时，首先通过表观和气味，初步判断入厂固体废物是否与签订的合同标注的固体废物类别一致，并对固体废物进行称重，确认符合签订的合同。</w:t>
            </w:r>
            <w:r>
              <w:t xml:space="preserve">  </w:t>
            </w:r>
          </w:p>
          <w:p w14:paraId="51A3B15A" w14:textId="77777777" w:rsidR="002E474C" w:rsidRDefault="00000000">
            <w:pPr>
              <w:pStyle w:val="A-"/>
              <w:spacing w:line="260" w:lineRule="exact"/>
              <w:ind w:leftChars="-25" w:left="-53" w:rightChars="-25" w:right="-53"/>
              <w:jc w:val="both"/>
            </w:pPr>
            <w:r>
              <w:t xml:space="preserve">b)  </w:t>
            </w:r>
            <w:r>
              <w:t>对于危险废物，还应进行下列各项的检查：</w:t>
            </w:r>
            <w:r>
              <w:t xml:space="preserve"> </w:t>
            </w:r>
          </w:p>
          <w:p w14:paraId="0FD7A530" w14:textId="77777777" w:rsidR="002E474C" w:rsidRDefault="00000000">
            <w:pPr>
              <w:pStyle w:val="A-"/>
              <w:spacing w:line="260" w:lineRule="exact"/>
              <w:ind w:leftChars="-25" w:left="-53" w:rightChars="-25" w:right="-53"/>
              <w:jc w:val="both"/>
            </w:pPr>
            <w:r>
              <w:t>1</w:t>
            </w:r>
            <w:r>
              <w:t>）检查危险废物标签是否符合要求，所标注内容应与《危险废物转移联单》和签订的合同一致。</w:t>
            </w:r>
            <w:r>
              <w:t xml:space="preserve"> </w:t>
            </w:r>
          </w:p>
          <w:p w14:paraId="5EE8CD98" w14:textId="77777777" w:rsidR="002E474C" w:rsidRDefault="00000000">
            <w:pPr>
              <w:pStyle w:val="A-"/>
              <w:spacing w:line="260" w:lineRule="exact"/>
              <w:ind w:leftChars="-25" w:left="-53" w:rightChars="-25" w:right="-53"/>
              <w:jc w:val="both"/>
            </w:pPr>
            <w:r>
              <w:t>2</w:t>
            </w:r>
            <w:r>
              <w:t>）通过表观和气味初步判断的危险废物类别是否与《危险废物转移联单》一致。</w:t>
            </w:r>
            <w:r>
              <w:t xml:space="preserve"> </w:t>
            </w:r>
          </w:p>
          <w:p w14:paraId="24243209" w14:textId="77777777" w:rsidR="002E474C" w:rsidRDefault="00000000">
            <w:pPr>
              <w:pStyle w:val="A-"/>
              <w:spacing w:line="260" w:lineRule="exact"/>
              <w:ind w:leftChars="-25" w:left="-53" w:rightChars="-25" w:right="-53"/>
              <w:jc w:val="both"/>
            </w:pPr>
            <w:r>
              <w:t>3</w:t>
            </w:r>
            <w:r>
              <w:t>）对危险废物进行称重的重量是否与《危险废物转移联单》一致。</w:t>
            </w:r>
            <w:r>
              <w:t xml:space="preserve"> </w:t>
            </w:r>
          </w:p>
          <w:p w14:paraId="1BA059BD" w14:textId="77777777" w:rsidR="002E474C" w:rsidRDefault="00000000">
            <w:pPr>
              <w:pStyle w:val="A-"/>
              <w:spacing w:line="260" w:lineRule="exact"/>
              <w:ind w:leftChars="-25" w:left="-53" w:rightChars="-25" w:right="-53"/>
              <w:jc w:val="both"/>
            </w:pPr>
            <w:r>
              <w:t>4</w:t>
            </w:r>
            <w:r>
              <w:t>）检查危险废物包装是否符合要求，应无破损和泄漏现象。</w:t>
            </w:r>
            <w:r>
              <w:t xml:space="preserve"> </w:t>
            </w:r>
          </w:p>
          <w:p w14:paraId="719F72A9" w14:textId="77777777" w:rsidR="002E474C" w:rsidRDefault="00000000">
            <w:pPr>
              <w:pStyle w:val="A-"/>
              <w:spacing w:line="260" w:lineRule="exact"/>
              <w:ind w:leftChars="-25" w:left="-53" w:rightChars="-25" w:right="-53"/>
              <w:jc w:val="both"/>
            </w:pPr>
            <w:r>
              <w:t>5</w:t>
            </w:r>
            <w:r>
              <w:t>）必要时，进行放射性检验。</w:t>
            </w:r>
            <w:r>
              <w:t xml:space="preserve"> </w:t>
            </w:r>
          </w:p>
          <w:p w14:paraId="0CFEB6C8" w14:textId="77777777" w:rsidR="002E474C" w:rsidRDefault="00000000">
            <w:pPr>
              <w:pStyle w:val="A-"/>
              <w:spacing w:line="260" w:lineRule="exact"/>
              <w:ind w:leftChars="-25" w:left="-53" w:rightChars="-25" w:right="-53"/>
              <w:jc w:val="both"/>
            </w:pPr>
            <w:r>
              <w:t>在完成上述检查并确认符合各项要求时，固体废物方可进入贮存库或预处理车间。</w:t>
            </w:r>
            <w:r>
              <w:t xml:space="preserve"> </w:t>
            </w:r>
          </w:p>
          <w:p w14:paraId="22B6D406" w14:textId="77777777" w:rsidR="002E474C" w:rsidRDefault="00000000">
            <w:pPr>
              <w:pStyle w:val="A-"/>
              <w:spacing w:line="260" w:lineRule="exact"/>
              <w:ind w:leftChars="-25" w:left="-53" w:rightChars="-25" w:right="-53"/>
              <w:jc w:val="both"/>
            </w:pPr>
            <w:r>
              <w:rPr>
                <w:spacing w:val="-6"/>
              </w:rPr>
              <w:t>c</w:t>
            </w:r>
            <w:r>
              <w:rPr>
                <w:spacing w:val="-6"/>
              </w:rPr>
              <w:t>）按照</w:t>
            </w:r>
            <w:r>
              <w:rPr>
                <w:spacing w:val="-6"/>
              </w:rPr>
              <w:t>6.2.1</w:t>
            </w:r>
            <w:r>
              <w:rPr>
                <w:spacing w:val="-6"/>
              </w:rPr>
              <w:t>条</w:t>
            </w:r>
            <w:r>
              <w:rPr>
                <w:spacing w:val="-6"/>
              </w:rPr>
              <w:t xml:space="preserve"> a</w:t>
            </w:r>
            <w:r>
              <w:rPr>
                <w:spacing w:val="-6"/>
              </w:rPr>
              <w:t>）、</w:t>
            </w:r>
            <w:r>
              <w:rPr>
                <w:spacing w:val="-6"/>
              </w:rPr>
              <w:t>b)</w:t>
            </w:r>
            <w:r>
              <w:rPr>
                <w:spacing w:val="-6"/>
              </w:rPr>
              <w:t>款的规定进行检查后，如果拟入厂固体废物与转移联单或所签订合同的标注的废物类别不一致，或者危险废物包装发生破损或泄漏，应立即与固体废物产生单位、运输单位和运输责任人联系，共同进行现场判断。拟入厂危险废物与《危险废物转移联单》不一致时还应及时向当地环境保护行政主管部门报告。</w:t>
            </w:r>
            <w:r>
              <w:rPr>
                <w:spacing w:val="-6"/>
              </w:rPr>
              <w:t xml:space="preserve"> </w:t>
            </w:r>
            <w:r>
              <w:rPr>
                <w:spacing w:val="-6"/>
              </w:rPr>
              <w:t>如果在协同处置企业现有条件下可以进行协同处置，并确保在固体废物分析、贮存、运输、预处理和协同处置过程中不会对生产安全和环境保护产生不利影响，可以进入协同处置企业贮存库或者预处理车间，经特性分析鉴别后按照常规程序进行协同处置。</w:t>
            </w:r>
            <w:r>
              <w:rPr>
                <w:spacing w:val="-6"/>
              </w:rPr>
              <w:t xml:space="preserve"> </w:t>
            </w:r>
            <w:r>
              <w:rPr>
                <w:spacing w:val="-6"/>
              </w:rPr>
              <w:t>如果无法确定废物特性，将该批次废物作为不明性质废物，按照第</w:t>
            </w:r>
            <w:r>
              <w:rPr>
                <w:spacing w:val="-6"/>
              </w:rPr>
              <w:t xml:space="preserve"> 9.3</w:t>
            </w:r>
            <w:r>
              <w:rPr>
                <w:spacing w:val="-6"/>
              </w:rPr>
              <w:t>节规定处理。</w:t>
            </w:r>
            <w:r>
              <w:rPr>
                <w:spacing w:val="-6"/>
              </w:rPr>
              <w:t xml:space="preserve"> </w:t>
            </w:r>
            <w:r>
              <w:rPr>
                <w:spacing w:val="-6"/>
              </w:rPr>
              <w:t>如果确定协同处置企业无法处置该批次固体废物，应立即向当地环境保护行政主管部门报告，并退回到固体废物产生单位，或送至有关主管部门指定的专业处置单位。必要时应通知当地安全生产行政主管部门和公安部门。</w:t>
            </w:r>
          </w:p>
        </w:tc>
        <w:tc>
          <w:tcPr>
            <w:tcW w:w="1133" w:type="pct"/>
            <w:vAlign w:val="center"/>
          </w:tcPr>
          <w:p w14:paraId="5AF0BAF3" w14:textId="77777777" w:rsidR="002E474C" w:rsidRDefault="00000000">
            <w:pPr>
              <w:pStyle w:val="A-"/>
              <w:spacing w:line="260" w:lineRule="exact"/>
              <w:ind w:leftChars="-25" w:left="-53" w:rightChars="-25" w:right="-53"/>
              <w:jc w:val="both"/>
            </w:pPr>
            <w:r>
              <w:t>本项目按要求对入厂固废进行接收与分析。</w:t>
            </w:r>
          </w:p>
        </w:tc>
        <w:tc>
          <w:tcPr>
            <w:tcW w:w="261" w:type="pct"/>
            <w:vAlign w:val="center"/>
          </w:tcPr>
          <w:p w14:paraId="6040F523" w14:textId="77777777" w:rsidR="002E474C" w:rsidRDefault="00000000">
            <w:pPr>
              <w:pStyle w:val="A-"/>
              <w:spacing w:line="260" w:lineRule="exact"/>
            </w:pPr>
            <w:r>
              <w:t>符合</w:t>
            </w:r>
          </w:p>
        </w:tc>
      </w:tr>
      <w:tr w:rsidR="002E474C" w14:paraId="31660C55" w14:textId="77777777">
        <w:tc>
          <w:tcPr>
            <w:tcW w:w="388" w:type="pct"/>
            <w:vMerge/>
            <w:vAlign w:val="center"/>
          </w:tcPr>
          <w:p w14:paraId="73120F29" w14:textId="77777777" w:rsidR="002E474C" w:rsidRDefault="002E474C">
            <w:pPr>
              <w:pStyle w:val="A-"/>
              <w:spacing w:line="260" w:lineRule="exact"/>
            </w:pPr>
          </w:p>
        </w:tc>
        <w:tc>
          <w:tcPr>
            <w:tcW w:w="3218" w:type="pct"/>
            <w:vAlign w:val="center"/>
          </w:tcPr>
          <w:p w14:paraId="16DC8E22" w14:textId="77777777" w:rsidR="002E474C" w:rsidRDefault="00000000">
            <w:pPr>
              <w:pStyle w:val="A-"/>
              <w:spacing w:line="260" w:lineRule="exact"/>
              <w:ind w:leftChars="-25" w:left="-53" w:rightChars="-25" w:right="-53"/>
              <w:jc w:val="both"/>
            </w:pPr>
            <w:r>
              <w:t xml:space="preserve">6.2.2 </w:t>
            </w:r>
            <w:r>
              <w:t>入厂后固体废物的检验</w:t>
            </w:r>
            <w:r>
              <w:t xml:space="preserve"> </w:t>
            </w:r>
          </w:p>
          <w:p w14:paraId="26457A1B" w14:textId="77777777" w:rsidR="002E474C" w:rsidRDefault="00000000">
            <w:pPr>
              <w:pStyle w:val="A-"/>
              <w:spacing w:line="260" w:lineRule="exact"/>
              <w:ind w:leftChars="-25" w:left="-53" w:rightChars="-25" w:right="-53"/>
              <w:jc w:val="both"/>
            </w:pPr>
            <w:r>
              <w:t>a</w:t>
            </w:r>
            <w:r>
              <w:t>）</w:t>
            </w:r>
            <w:r>
              <w:t xml:space="preserve">  </w:t>
            </w:r>
            <w:r>
              <w:t>固体废物入厂后应及时进行取样分析，以判断固体废物特性是否与合同注明的固体废物特性一致。如果发现固体废物特性与合同注明的固体废物特性不一致，应参照第</w:t>
            </w:r>
            <w:r>
              <w:t xml:space="preserve"> 6.2.1</w:t>
            </w:r>
            <w:r>
              <w:t>条</w:t>
            </w:r>
            <w:r>
              <w:t xml:space="preserve"> c</w:t>
            </w:r>
            <w:r>
              <w:t>）款的规定进行处理。</w:t>
            </w:r>
            <w:r>
              <w:t xml:space="preserve"> </w:t>
            </w:r>
          </w:p>
          <w:p w14:paraId="526A29C9" w14:textId="77777777" w:rsidR="002E474C" w:rsidRDefault="00000000">
            <w:pPr>
              <w:pStyle w:val="A-"/>
              <w:spacing w:line="260" w:lineRule="exact"/>
              <w:ind w:leftChars="-25" w:left="-53" w:rightChars="-25" w:right="-53"/>
              <w:jc w:val="both"/>
            </w:pPr>
            <w:r>
              <w:t>b</w:t>
            </w:r>
            <w:r>
              <w:t>）</w:t>
            </w:r>
            <w:r>
              <w:t xml:space="preserve">  </w:t>
            </w:r>
            <w:r>
              <w:t>协同处置企业应对各个产废单位的相关信息进行定期的统计分析，评估其管理的能力和固体废物的稳定性，并根据评估情况适当减少检验频次。</w:t>
            </w:r>
          </w:p>
        </w:tc>
        <w:tc>
          <w:tcPr>
            <w:tcW w:w="1133" w:type="pct"/>
            <w:vAlign w:val="center"/>
          </w:tcPr>
          <w:p w14:paraId="4DD1E4E7" w14:textId="77777777" w:rsidR="002E474C" w:rsidRDefault="00000000">
            <w:pPr>
              <w:pStyle w:val="A-"/>
              <w:spacing w:line="260" w:lineRule="exact"/>
              <w:ind w:leftChars="-25" w:left="-53" w:rightChars="-25" w:right="-53"/>
              <w:jc w:val="both"/>
            </w:pPr>
            <w:r>
              <w:t>本项目按要求对入厂固废进行取样分析。</w:t>
            </w:r>
          </w:p>
        </w:tc>
        <w:tc>
          <w:tcPr>
            <w:tcW w:w="261" w:type="pct"/>
            <w:vAlign w:val="center"/>
          </w:tcPr>
          <w:p w14:paraId="08474671" w14:textId="77777777" w:rsidR="002E474C" w:rsidRDefault="00000000">
            <w:pPr>
              <w:pStyle w:val="A-"/>
              <w:spacing w:line="260" w:lineRule="exact"/>
            </w:pPr>
            <w:r>
              <w:t>符合</w:t>
            </w:r>
          </w:p>
        </w:tc>
      </w:tr>
      <w:tr w:rsidR="002E474C" w14:paraId="56043C71" w14:textId="77777777">
        <w:tc>
          <w:tcPr>
            <w:tcW w:w="388" w:type="pct"/>
            <w:vMerge/>
            <w:vAlign w:val="center"/>
          </w:tcPr>
          <w:p w14:paraId="32F3E3F5" w14:textId="77777777" w:rsidR="002E474C" w:rsidRDefault="002E474C">
            <w:pPr>
              <w:pStyle w:val="A-"/>
              <w:spacing w:line="260" w:lineRule="exact"/>
            </w:pPr>
          </w:p>
        </w:tc>
        <w:tc>
          <w:tcPr>
            <w:tcW w:w="3218" w:type="pct"/>
            <w:vAlign w:val="center"/>
          </w:tcPr>
          <w:p w14:paraId="517D07FE" w14:textId="77777777" w:rsidR="002E474C" w:rsidRDefault="00000000">
            <w:pPr>
              <w:pStyle w:val="A-"/>
              <w:spacing w:line="260" w:lineRule="exact"/>
              <w:ind w:leftChars="-25" w:left="-53" w:rightChars="-25" w:right="-53"/>
              <w:jc w:val="both"/>
            </w:pPr>
            <w:r>
              <w:t xml:space="preserve">6.2.3 </w:t>
            </w:r>
            <w:r>
              <w:t>制定协同处置方案</w:t>
            </w:r>
            <w:r>
              <w:t xml:space="preserve"> </w:t>
            </w:r>
          </w:p>
          <w:p w14:paraId="44A87AE2" w14:textId="77777777" w:rsidR="002E474C" w:rsidRDefault="00000000">
            <w:pPr>
              <w:pStyle w:val="A-"/>
              <w:spacing w:line="260" w:lineRule="exact"/>
              <w:ind w:leftChars="-25" w:left="-53" w:rightChars="-25" w:right="-53"/>
              <w:jc w:val="both"/>
            </w:pPr>
            <w:r>
              <w:t>a</w:t>
            </w:r>
            <w:r>
              <w:t>）以固体废物入厂后的分析检测结果为依据，制定固体废物协同处置方案。固体废物协同处置方案应包括固体废物贮存、输送、预处理和入窑协同处置技术流程、配伍和技术参数，以及安全风</w:t>
            </w:r>
            <w:r>
              <w:lastRenderedPageBreak/>
              <w:t>险和相应的安全操作提示。</w:t>
            </w:r>
            <w:r>
              <w:t xml:space="preserve"> </w:t>
            </w:r>
          </w:p>
          <w:p w14:paraId="0E7F0141" w14:textId="77777777" w:rsidR="002E474C" w:rsidRDefault="00000000">
            <w:pPr>
              <w:pStyle w:val="A-"/>
              <w:spacing w:line="260" w:lineRule="exact"/>
              <w:ind w:leftChars="-25" w:left="-53" w:rightChars="-25" w:right="-53"/>
              <w:jc w:val="both"/>
            </w:pPr>
            <w:r>
              <w:t>b</w:t>
            </w:r>
            <w:r>
              <w:t>）制定协同处置方案时应注意以下关键环节：</w:t>
            </w:r>
            <w:r>
              <w:t xml:space="preserve"> </w:t>
            </w:r>
          </w:p>
          <w:p w14:paraId="395FC33A" w14:textId="77777777" w:rsidR="002E474C" w:rsidRDefault="00000000">
            <w:pPr>
              <w:pStyle w:val="A-"/>
              <w:spacing w:line="260" w:lineRule="exact"/>
              <w:ind w:leftChars="-25" w:left="-53" w:rightChars="-25" w:right="-53"/>
              <w:jc w:val="both"/>
            </w:pPr>
            <w:r>
              <w:t>1)</w:t>
            </w:r>
            <w:r>
              <w:t>按固体废物特性进行分类，不同固体废物在预处理的混合、搅拌过程中，确保不发生导致急剧增温、爆炸、燃烧的化学反应，不产生有害气体，禁止将不相容的固体废物进行混合。</w:t>
            </w:r>
            <w:r>
              <w:t xml:space="preserve"> </w:t>
            </w:r>
          </w:p>
          <w:p w14:paraId="29D14CC8" w14:textId="77777777" w:rsidR="002E474C" w:rsidRDefault="00000000">
            <w:pPr>
              <w:pStyle w:val="A-"/>
              <w:spacing w:line="260" w:lineRule="exact"/>
              <w:ind w:leftChars="-25" w:left="-53" w:rightChars="-25" w:right="-53"/>
              <w:jc w:val="both"/>
            </w:pPr>
            <w:r>
              <w:t>2)</w:t>
            </w:r>
            <w:r>
              <w:t>固体废物及其混合物在贮存、厂内运输、预处理和入窑焚烧过程中不对所接触材料造成腐蚀破坏。</w:t>
            </w:r>
            <w:r>
              <w:t xml:space="preserve"> </w:t>
            </w:r>
          </w:p>
          <w:p w14:paraId="5D7B5DC9" w14:textId="77777777" w:rsidR="002E474C" w:rsidRDefault="00000000">
            <w:pPr>
              <w:pStyle w:val="A-"/>
              <w:spacing w:line="260" w:lineRule="exact"/>
              <w:ind w:leftChars="-25" w:left="-53" w:rightChars="-25" w:right="-53"/>
              <w:jc w:val="both"/>
            </w:pPr>
            <w:r>
              <w:t>3)</w:t>
            </w:r>
            <w:r>
              <w:t>入窑固体废物中有害物质的含量和投加速率满足本标准相关要求，</w:t>
            </w:r>
            <w:r>
              <w:t xml:space="preserve"> </w:t>
            </w:r>
            <w:r>
              <w:t>防止对水泥生产和水泥质量造成不利影响。</w:t>
            </w:r>
            <w:r>
              <w:t xml:space="preserve"> </w:t>
            </w:r>
          </w:p>
          <w:p w14:paraId="60C9CCA6" w14:textId="77777777" w:rsidR="002E474C" w:rsidRDefault="00000000">
            <w:pPr>
              <w:pStyle w:val="A-"/>
              <w:spacing w:line="260" w:lineRule="exact"/>
              <w:ind w:leftChars="-25" w:left="-53" w:rightChars="-25" w:right="-53"/>
              <w:jc w:val="both"/>
            </w:pPr>
            <w:r>
              <w:t>c</w:t>
            </w:r>
            <w:r>
              <w:t>）在制定协同处置方案的过程中，如果无法确认是否可以满足第</w:t>
            </w:r>
            <w:r>
              <w:t xml:space="preserve"> 6.2.3 </w:t>
            </w:r>
            <w:r>
              <w:t>条</w:t>
            </w:r>
            <w:r>
              <w:t>b</w:t>
            </w:r>
            <w:r>
              <w:t>）款的要求，应通过相容性测试确认。</w:t>
            </w:r>
            <w:r>
              <w:t xml:space="preserve"> </w:t>
            </w:r>
          </w:p>
          <w:p w14:paraId="38BCD3F9" w14:textId="77777777" w:rsidR="002E474C" w:rsidRDefault="00000000">
            <w:pPr>
              <w:pStyle w:val="A-"/>
              <w:spacing w:line="260" w:lineRule="exact"/>
              <w:ind w:leftChars="-25" w:left="-53" w:rightChars="-25" w:right="-53"/>
              <w:jc w:val="both"/>
            </w:pPr>
            <w:r>
              <w:t xml:space="preserve">6.2.4  </w:t>
            </w:r>
            <w:r>
              <w:t>固体废物入厂检查和检验结果应该记录备案，与固体废物协同处置方案共同入档保存。入厂检查和检验结果记录及固体废物协同处置方案的保存时间不应低于</w:t>
            </w:r>
            <w:r>
              <w:t xml:space="preserve"> 3 </w:t>
            </w:r>
            <w:r>
              <w:t>年。</w:t>
            </w:r>
          </w:p>
        </w:tc>
        <w:tc>
          <w:tcPr>
            <w:tcW w:w="1133" w:type="pct"/>
            <w:vAlign w:val="center"/>
          </w:tcPr>
          <w:p w14:paraId="3F1CBEDD" w14:textId="77777777" w:rsidR="002E474C" w:rsidRDefault="00000000">
            <w:pPr>
              <w:pStyle w:val="A-"/>
              <w:spacing w:line="260" w:lineRule="exact"/>
              <w:ind w:leftChars="-25" w:left="-53" w:rightChars="-25" w:right="-53"/>
              <w:jc w:val="both"/>
            </w:pPr>
            <w:r>
              <w:lastRenderedPageBreak/>
              <w:t>本项目按要求制定协同处置方案。</w:t>
            </w:r>
          </w:p>
        </w:tc>
        <w:tc>
          <w:tcPr>
            <w:tcW w:w="261" w:type="pct"/>
            <w:vAlign w:val="center"/>
          </w:tcPr>
          <w:p w14:paraId="4CD30218" w14:textId="77777777" w:rsidR="002E474C" w:rsidRDefault="00000000">
            <w:pPr>
              <w:pStyle w:val="A-"/>
              <w:spacing w:line="260" w:lineRule="exact"/>
            </w:pPr>
            <w:r>
              <w:t>符合</w:t>
            </w:r>
          </w:p>
        </w:tc>
      </w:tr>
      <w:tr w:rsidR="002E474C" w14:paraId="021C1EF2" w14:textId="77777777">
        <w:tc>
          <w:tcPr>
            <w:tcW w:w="388" w:type="pct"/>
            <w:vMerge/>
            <w:vAlign w:val="center"/>
          </w:tcPr>
          <w:p w14:paraId="7B8FA033" w14:textId="77777777" w:rsidR="002E474C" w:rsidRDefault="002E474C">
            <w:pPr>
              <w:pStyle w:val="A-"/>
              <w:spacing w:line="260" w:lineRule="exact"/>
            </w:pPr>
          </w:p>
        </w:tc>
        <w:tc>
          <w:tcPr>
            <w:tcW w:w="3218" w:type="pct"/>
            <w:vAlign w:val="center"/>
          </w:tcPr>
          <w:p w14:paraId="5001CCF9" w14:textId="77777777" w:rsidR="002E474C" w:rsidRDefault="00000000">
            <w:pPr>
              <w:pStyle w:val="A-"/>
              <w:spacing w:line="260" w:lineRule="exact"/>
              <w:ind w:leftChars="-25" w:left="-53" w:rightChars="-25" w:right="-53"/>
              <w:jc w:val="both"/>
            </w:pPr>
            <w:r>
              <w:t xml:space="preserve">6.3 </w:t>
            </w:r>
            <w:r>
              <w:t>固体废物贮存的技术要求</w:t>
            </w:r>
            <w:r>
              <w:t xml:space="preserve"> </w:t>
            </w:r>
          </w:p>
          <w:p w14:paraId="70213D74" w14:textId="77777777" w:rsidR="002E474C" w:rsidRDefault="00000000">
            <w:pPr>
              <w:pStyle w:val="A-"/>
              <w:spacing w:line="260" w:lineRule="exact"/>
              <w:ind w:leftChars="-25" w:left="-53" w:rightChars="-25" w:right="-53"/>
              <w:jc w:val="both"/>
            </w:pPr>
            <w:r>
              <w:t xml:space="preserve">6.3.1  </w:t>
            </w:r>
            <w:r>
              <w:t>固体废物应与水泥厂常规原料、燃料和产品分开贮存，禁止共用同一贮存设施。</w:t>
            </w:r>
          </w:p>
          <w:p w14:paraId="463F728B" w14:textId="77777777" w:rsidR="002E474C" w:rsidRDefault="00000000">
            <w:pPr>
              <w:pStyle w:val="A-"/>
              <w:spacing w:line="260" w:lineRule="exact"/>
              <w:ind w:leftChars="-25" w:left="-53" w:rightChars="-25" w:right="-53"/>
              <w:jc w:val="both"/>
            </w:pPr>
            <w:r>
              <w:t xml:space="preserve">6.3.2  </w:t>
            </w:r>
            <w:r>
              <w:t>在液态废物贮存区应设置足够数量的砂土等吸附物质，以用于液态废物泄漏后阻止其向外溢出。吸附危险废物后的吸附物质应作为危险废物进行管理和处置。</w:t>
            </w:r>
            <w:r>
              <w:t xml:space="preserve"> </w:t>
            </w:r>
          </w:p>
          <w:p w14:paraId="0B1A0B73" w14:textId="77777777" w:rsidR="002E474C" w:rsidRDefault="00000000">
            <w:pPr>
              <w:pStyle w:val="A-"/>
              <w:spacing w:line="260" w:lineRule="exact"/>
              <w:ind w:leftChars="-25" w:left="-53" w:rightChars="-25" w:right="-53"/>
              <w:jc w:val="both"/>
            </w:pPr>
            <w:r>
              <w:t xml:space="preserve">6.3.3  </w:t>
            </w:r>
            <w:r>
              <w:t>危险废物贮存设施的操作运行和管理应满足</w:t>
            </w:r>
            <w:r>
              <w:t xml:space="preserve"> GB18597</w:t>
            </w:r>
            <w:r>
              <w:t>和</w:t>
            </w:r>
            <w:r>
              <w:t xml:space="preserve"> HJ/T176</w:t>
            </w:r>
            <w:r>
              <w:t>中的相关要求。</w:t>
            </w:r>
            <w:r>
              <w:t xml:space="preserve"> </w:t>
            </w:r>
          </w:p>
          <w:p w14:paraId="0136032A" w14:textId="77777777" w:rsidR="002E474C" w:rsidRDefault="00000000">
            <w:pPr>
              <w:pStyle w:val="A-"/>
              <w:spacing w:line="260" w:lineRule="exact"/>
              <w:ind w:leftChars="-25" w:left="-53" w:rightChars="-25" w:right="-53"/>
              <w:jc w:val="both"/>
            </w:pPr>
            <w:r>
              <w:t xml:space="preserve">6.3.4  </w:t>
            </w:r>
            <w:r>
              <w:t>不明性质废物在水泥厂内的暂存时间不得超过</w:t>
            </w:r>
            <w:r>
              <w:t>1</w:t>
            </w:r>
            <w:r>
              <w:t>周。</w:t>
            </w:r>
          </w:p>
        </w:tc>
        <w:tc>
          <w:tcPr>
            <w:tcW w:w="1133" w:type="pct"/>
            <w:vAlign w:val="center"/>
          </w:tcPr>
          <w:p w14:paraId="10240135" w14:textId="77777777" w:rsidR="002E474C" w:rsidRDefault="00000000">
            <w:pPr>
              <w:pStyle w:val="A-"/>
              <w:spacing w:line="260" w:lineRule="exact"/>
              <w:ind w:leftChars="-25" w:left="-53" w:rightChars="-25" w:right="-53"/>
              <w:jc w:val="both"/>
            </w:pPr>
            <w:r>
              <w:t>本项目固体废物贮存满足技术要求，在液态废物贮存区设置足够数量的砂土等吸附物质。</w:t>
            </w:r>
          </w:p>
        </w:tc>
        <w:tc>
          <w:tcPr>
            <w:tcW w:w="261" w:type="pct"/>
            <w:vAlign w:val="center"/>
          </w:tcPr>
          <w:p w14:paraId="504F0268" w14:textId="77777777" w:rsidR="002E474C" w:rsidRDefault="00000000">
            <w:pPr>
              <w:pStyle w:val="A-"/>
              <w:spacing w:line="260" w:lineRule="exact"/>
            </w:pPr>
            <w:r>
              <w:t>符合</w:t>
            </w:r>
          </w:p>
        </w:tc>
      </w:tr>
      <w:tr w:rsidR="002E474C" w14:paraId="25806CC7" w14:textId="77777777">
        <w:tc>
          <w:tcPr>
            <w:tcW w:w="388" w:type="pct"/>
            <w:vMerge/>
            <w:vAlign w:val="center"/>
          </w:tcPr>
          <w:p w14:paraId="0BDBECE7" w14:textId="77777777" w:rsidR="002E474C" w:rsidRDefault="002E474C">
            <w:pPr>
              <w:pStyle w:val="A-"/>
              <w:spacing w:line="260" w:lineRule="exact"/>
            </w:pPr>
          </w:p>
        </w:tc>
        <w:tc>
          <w:tcPr>
            <w:tcW w:w="3218" w:type="pct"/>
            <w:vAlign w:val="center"/>
          </w:tcPr>
          <w:p w14:paraId="0F1C1C3C" w14:textId="77777777" w:rsidR="002E474C" w:rsidRDefault="00000000">
            <w:pPr>
              <w:pStyle w:val="A-"/>
              <w:spacing w:line="260" w:lineRule="exact"/>
              <w:ind w:leftChars="-25" w:left="-53" w:rightChars="-25" w:right="-53"/>
              <w:jc w:val="both"/>
            </w:pPr>
            <w:r>
              <w:t xml:space="preserve">6.4 </w:t>
            </w:r>
            <w:r>
              <w:t>固体废物预处理的技术要求</w:t>
            </w:r>
            <w:r>
              <w:t xml:space="preserve"> </w:t>
            </w:r>
          </w:p>
          <w:p w14:paraId="4473EAC0" w14:textId="77777777" w:rsidR="002E474C" w:rsidRDefault="00000000">
            <w:pPr>
              <w:pStyle w:val="A-"/>
              <w:spacing w:line="260" w:lineRule="exact"/>
              <w:ind w:leftChars="-25" w:left="-53" w:rightChars="-25" w:right="-53"/>
              <w:jc w:val="both"/>
            </w:pPr>
            <w:r>
              <w:t xml:space="preserve">6.4.1  </w:t>
            </w:r>
            <w:r>
              <w:t>应根据入厂固体废物的特性和入窑固体废物的要求，按照固体废物协同处置方案，对固体废物进行破碎、筛分、分选、中和、沉淀、干燥、配伍、混合、搅拌、均质等预处理。</w:t>
            </w:r>
          </w:p>
          <w:p w14:paraId="2E01A4DA" w14:textId="77777777" w:rsidR="002E474C" w:rsidRDefault="00000000">
            <w:pPr>
              <w:pStyle w:val="A-"/>
              <w:spacing w:line="260" w:lineRule="exact"/>
              <w:ind w:leftChars="-25" w:left="-53" w:rightChars="-25" w:right="-53"/>
              <w:jc w:val="both"/>
            </w:pPr>
            <w:r>
              <w:t xml:space="preserve">6.4.2  </w:t>
            </w:r>
            <w:r>
              <w:t>预处理后的固体废物应该具备以下特性：</w:t>
            </w:r>
            <w:r>
              <w:t xml:space="preserve"> </w:t>
            </w:r>
          </w:p>
          <w:p w14:paraId="101DF9F1" w14:textId="77777777" w:rsidR="002E474C" w:rsidRDefault="00000000">
            <w:pPr>
              <w:pStyle w:val="A-"/>
              <w:spacing w:line="260" w:lineRule="exact"/>
              <w:ind w:leftChars="-25" w:left="-53" w:rightChars="-25" w:right="-53"/>
              <w:jc w:val="both"/>
            </w:pPr>
            <w:r>
              <w:t>a</w:t>
            </w:r>
            <w:r>
              <w:t>）满足本标准第</w:t>
            </w:r>
            <w:r>
              <w:t xml:space="preserve"> 5 </w:t>
            </w:r>
            <w:r>
              <w:t>章要求。</w:t>
            </w:r>
            <w:r>
              <w:t xml:space="preserve"> </w:t>
            </w:r>
          </w:p>
          <w:p w14:paraId="690A559C" w14:textId="77777777" w:rsidR="002E474C" w:rsidRDefault="00000000">
            <w:pPr>
              <w:pStyle w:val="A-"/>
              <w:spacing w:line="260" w:lineRule="exact"/>
              <w:ind w:leftChars="-25" w:left="-53" w:rightChars="-25" w:right="-53"/>
              <w:jc w:val="both"/>
            </w:pPr>
            <w:r>
              <w:t>b</w:t>
            </w:r>
            <w:r>
              <w:t>）理化性质均匀，保证水泥窑运行工况的连续稳定。</w:t>
            </w:r>
            <w:r>
              <w:t xml:space="preserve"> </w:t>
            </w:r>
          </w:p>
          <w:p w14:paraId="4C833151" w14:textId="77777777" w:rsidR="002E474C" w:rsidRDefault="00000000">
            <w:pPr>
              <w:pStyle w:val="A-"/>
              <w:spacing w:line="260" w:lineRule="exact"/>
              <w:ind w:leftChars="-25" w:left="-53" w:rightChars="-25" w:right="-53"/>
              <w:jc w:val="both"/>
            </w:pPr>
            <w:r>
              <w:t>c</w:t>
            </w:r>
            <w:r>
              <w:t>）满足协同处置水泥企业已有设施进行输送、投加的要求。</w:t>
            </w:r>
            <w:r>
              <w:t xml:space="preserve"> </w:t>
            </w:r>
          </w:p>
          <w:p w14:paraId="6007BCA0" w14:textId="77777777" w:rsidR="002E474C" w:rsidRDefault="00000000">
            <w:pPr>
              <w:pStyle w:val="A-"/>
              <w:spacing w:line="260" w:lineRule="exact"/>
              <w:ind w:leftChars="-25" w:left="-53" w:rightChars="-25" w:right="-53"/>
              <w:jc w:val="both"/>
            </w:pPr>
            <w:r>
              <w:t xml:space="preserve">6.4.3  </w:t>
            </w:r>
            <w:r>
              <w:t>应采取措施，保证预处理操作区域的环境质量满足</w:t>
            </w:r>
            <w:r>
              <w:t xml:space="preserve"> GBZ 2 </w:t>
            </w:r>
            <w:r>
              <w:t>的要求。</w:t>
            </w:r>
            <w:r>
              <w:t xml:space="preserve"> </w:t>
            </w:r>
          </w:p>
          <w:p w14:paraId="23DC3BEA" w14:textId="77777777" w:rsidR="002E474C" w:rsidRDefault="00000000">
            <w:pPr>
              <w:pStyle w:val="A-"/>
              <w:spacing w:line="260" w:lineRule="exact"/>
              <w:ind w:leftChars="-25" w:left="-53" w:rightChars="-25" w:right="-53"/>
              <w:jc w:val="both"/>
              <w:rPr>
                <w:spacing w:val="-6"/>
              </w:rPr>
            </w:pPr>
            <w:r>
              <w:rPr>
                <w:spacing w:val="-6"/>
              </w:rPr>
              <w:t xml:space="preserve">6.4.4  </w:t>
            </w:r>
            <w:r>
              <w:rPr>
                <w:spacing w:val="-6"/>
              </w:rPr>
              <w:t>应及时更换预处理区域内的过期消防器材和消防材料，以保证消防器材和消防材料的有效性。</w:t>
            </w:r>
            <w:r>
              <w:rPr>
                <w:spacing w:val="-6"/>
              </w:rPr>
              <w:t xml:space="preserve"> </w:t>
            </w:r>
          </w:p>
          <w:p w14:paraId="52F3482A" w14:textId="77777777" w:rsidR="002E474C" w:rsidRDefault="00000000">
            <w:pPr>
              <w:pStyle w:val="A-"/>
              <w:spacing w:line="260" w:lineRule="exact"/>
              <w:ind w:leftChars="-25" w:left="-53" w:rightChars="-25" w:right="-53"/>
              <w:jc w:val="both"/>
            </w:pPr>
            <w:r>
              <w:t xml:space="preserve">6.4.5  </w:t>
            </w:r>
            <w:r>
              <w:t>预处理区应设置足够数量的砂土或碎木屑，以用于液态废物泄漏后阻止其向外的溢出。</w:t>
            </w:r>
          </w:p>
          <w:p w14:paraId="5A244A06" w14:textId="77777777" w:rsidR="002E474C" w:rsidRDefault="00000000">
            <w:pPr>
              <w:pStyle w:val="A-"/>
              <w:spacing w:line="260" w:lineRule="exact"/>
              <w:ind w:leftChars="-25" w:left="-53" w:rightChars="-25" w:right="-53"/>
              <w:jc w:val="both"/>
            </w:pPr>
            <w:r>
              <w:t xml:space="preserve">6.4.6  </w:t>
            </w:r>
            <w:r>
              <w:t>危险废物预处理产生的各种废物均应作为危险废物进行管理和处置。</w:t>
            </w:r>
          </w:p>
        </w:tc>
        <w:tc>
          <w:tcPr>
            <w:tcW w:w="1133" w:type="pct"/>
            <w:vAlign w:val="center"/>
          </w:tcPr>
          <w:p w14:paraId="3D38AF0F" w14:textId="77777777" w:rsidR="002E474C" w:rsidRDefault="00000000">
            <w:pPr>
              <w:pStyle w:val="A-"/>
              <w:spacing w:line="260" w:lineRule="exact"/>
              <w:ind w:leftChars="-25" w:left="-53" w:rightChars="-25" w:right="-53"/>
              <w:jc w:val="both"/>
            </w:pPr>
            <w:r>
              <w:rPr>
                <w:bCs/>
              </w:rPr>
              <w:t>本项目采取分散联合经营模式运行，</w:t>
            </w:r>
            <w:r>
              <w:rPr>
                <w:rFonts w:hint="eastAsia"/>
                <w:bCs/>
              </w:rPr>
              <w:t>主要依托预处理中心提供预处理产物</w:t>
            </w:r>
            <w:r>
              <w:rPr>
                <w:bCs/>
              </w:rPr>
              <w:t>，</w:t>
            </w:r>
            <w:r>
              <w:rPr>
                <w:spacing w:val="-6"/>
              </w:rPr>
              <w:t>仅在</w:t>
            </w:r>
            <w:r>
              <w:rPr>
                <w:rFonts w:hint="eastAsia"/>
                <w:spacing w:val="-6"/>
              </w:rPr>
              <w:t>本项目</w:t>
            </w:r>
            <w:r>
              <w:rPr>
                <w:spacing w:val="-6"/>
              </w:rPr>
              <w:t>固态危废预处理车间破碎废弃包装物</w:t>
            </w:r>
            <w:r>
              <w:rPr>
                <w:rFonts w:hint="eastAsia"/>
                <w:spacing w:val="-6"/>
              </w:rPr>
              <w:t>和</w:t>
            </w:r>
            <w:r>
              <w:rPr>
                <w:spacing w:val="-6"/>
              </w:rPr>
              <w:t>不满足直接入窑处置</w:t>
            </w:r>
            <w:r>
              <w:rPr>
                <w:rFonts w:hint="eastAsia"/>
                <w:spacing w:val="-6"/>
              </w:rPr>
              <w:t>要求</w:t>
            </w:r>
            <w:r>
              <w:rPr>
                <w:spacing w:val="-6"/>
              </w:rPr>
              <w:t>的物料</w:t>
            </w:r>
            <w:r>
              <w:rPr>
                <w:rFonts w:hint="eastAsia"/>
                <w:spacing w:val="-6"/>
              </w:rPr>
              <w:t>，</w:t>
            </w:r>
            <w:r>
              <w:rPr>
                <w:spacing w:val="-6"/>
              </w:rPr>
              <w:t>在液态处置车间对投料废液进行过滤处理</w:t>
            </w:r>
            <w:r>
              <w:t>。固态危废预处理车间和液态处置车间均设置负压系统并对废气和废液、废水收集处理。</w:t>
            </w:r>
          </w:p>
        </w:tc>
        <w:tc>
          <w:tcPr>
            <w:tcW w:w="261" w:type="pct"/>
            <w:vAlign w:val="center"/>
          </w:tcPr>
          <w:p w14:paraId="42A094FC" w14:textId="77777777" w:rsidR="002E474C" w:rsidRDefault="00000000">
            <w:pPr>
              <w:pStyle w:val="A-"/>
              <w:spacing w:line="260" w:lineRule="exact"/>
            </w:pPr>
            <w:r>
              <w:t>符合</w:t>
            </w:r>
          </w:p>
        </w:tc>
      </w:tr>
      <w:tr w:rsidR="002E474C" w14:paraId="4D3BB2AF" w14:textId="77777777">
        <w:tc>
          <w:tcPr>
            <w:tcW w:w="388" w:type="pct"/>
            <w:vMerge/>
            <w:vAlign w:val="center"/>
          </w:tcPr>
          <w:p w14:paraId="4AD9D0FB" w14:textId="77777777" w:rsidR="002E474C" w:rsidRDefault="002E474C">
            <w:pPr>
              <w:pStyle w:val="A-"/>
              <w:spacing w:line="260" w:lineRule="exact"/>
            </w:pPr>
          </w:p>
        </w:tc>
        <w:tc>
          <w:tcPr>
            <w:tcW w:w="3218" w:type="pct"/>
            <w:vAlign w:val="center"/>
          </w:tcPr>
          <w:p w14:paraId="2132F9FD" w14:textId="77777777" w:rsidR="002E474C" w:rsidRDefault="00000000">
            <w:pPr>
              <w:pStyle w:val="A-"/>
              <w:spacing w:line="260" w:lineRule="exact"/>
              <w:ind w:leftChars="-25" w:left="-53" w:rightChars="-25" w:right="-53"/>
              <w:jc w:val="both"/>
            </w:pPr>
            <w:r>
              <w:t xml:space="preserve">6.5 </w:t>
            </w:r>
            <w:r>
              <w:t>固体废物厂内输送的技术要求</w:t>
            </w:r>
            <w:r>
              <w:t xml:space="preserve"> </w:t>
            </w:r>
          </w:p>
          <w:p w14:paraId="3BAD195B" w14:textId="77777777" w:rsidR="002E474C" w:rsidRDefault="00000000">
            <w:pPr>
              <w:pStyle w:val="A-"/>
              <w:spacing w:line="260" w:lineRule="exact"/>
              <w:ind w:leftChars="-25" w:left="-53" w:rightChars="-25" w:right="-53"/>
              <w:jc w:val="both"/>
            </w:pPr>
            <w:r>
              <w:t xml:space="preserve">6.5.1  </w:t>
            </w:r>
            <w:r>
              <w:t>在进行固体废物的厂内输送时，应采取必要的措施防止固体废物的扬尘、溢出和泄漏。</w:t>
            </w:r>
            <w:r>
              <w:t xml:space="preserve">  </w:t>
            </w:r>
          </w:p>
          <w:p w14:paraId="7AB2859B" w14:textId="77777777" w:rsidR="002E474C" w:rsidRDefault="00000000">
            <w:pPr>
              <w:pStyle w:val="A-"/>
              <w:spacing w:line="260" w:lineRule="exact"/>
              <w:ind w:leftChars="-25" w:left="-53" w:rightChars="-25" w:right="-53"/>
              <w:jc w:val="both"/>
            </w:pPr>
            <w:r>
              <w:lastRenderedPageBreak/>
              <w:t xml:space="preserve">6.5.2  </w:t>
            </w:r>
            <w:r>
              <w:t>固体废物运输车辆应定期进行清洗。</w:t>
            </w:r>
            <w:r>
              <w:t xml:space="preserve"> </w:t>
            </w:r>
          </w:p>
          <w:p w14:paraId="2DBC8B70" w14:textId="77777777" w:rsidR="002E474C" w:rsidRDefault="00000000">
            <w:pPr>
              <w:pStyle w:val="A-"/>
              <w:spacing w:line="260" w:lineRule="exact"/>
              <w:ind w:leftChars="-25" w:left="-53" w:rightChars="-25" w:right="-53"/>
              <w:jc w:val="both"/>
            </w:pPr>
            <w:r>
              <w:t xml:space="preserve">6.5.3  </w:t>
            </w:r>
            <w:r>
              <w:t>采用车辆在厂内运输危险废物时，应按照运输车辆的专用路线行驶。</w:t>
            </w:r>
            <w:r>
              <w:t xml:space="preserve"> </w:t>
            </w:r>
          </w:p>
          <w:p w14:paraId="353E128B" w14:textId="77777777" w:rsidR="002E474C" w:rsidRDefault="00000000">
            <w:pPr>
              <w:pStyle w:val="A-"/>
              <w:spacing w:line="260" w:lineRule="exact"/>
              <w:ind w:leftChars="-25" w:left="-53" w:rightChars="-25" w:right="-53"/>
              <w:jc w:val="both"/>
            </w:pPr>
            <w:r>
              <w:t xml:space="preserve">6.5.4  </w:t>
            </w:r>
            <w:r>
              <w:t>厂内危险废物输送设施管理、维护产生的各种废物均应作为危险废物进行管理和处置。</w:t>
            </w:r>
            <w:r>
              <w:t xml:space="preserve">  </w:t>
            </w:r>
          </w:p>
        </w:tc>
        <w:tc>
          <w:tcPr>
            <w:tcW w:w="1133" w:type="pct"/>
            <w:vAlign w:val="center"/>
          </w:tcPr>
          <w:p w14:paraId="295A2395" w14:textId="77777777" w:rsidR="002E474C" w:rsidRDefault="00000000">
            <w:pPr>
              <w:pStyle w:val="A-"/>
              <w:spacing w:line="260" w:lineRule="exact"/>
              <w:ind w:leftChars="-25" w:left="-53" w:rightChars="-25" w:right="-53"/>
              <w:jc w:val="both"/>
            </w:pPr>
            <w:r>
              <w:lastRenderedPageBreak/>
              <w:t>本项目固废在厂内输送采用危险废物运输专用车辆防止固体废物</w:t>
            </w:r>
            <w:r>
              <w:lastRenderedPageBreak/>
              <w:t>的扬尘、溢出和泄漏，车辆定期清洗，采用专用路线行驶。</w:t>
            </w:r>
          </w:p>
        </w:tc>
        <w:tc>
          <w:tcPr>
            <w:tcW w:w="261" w:type="pct"/>
            <w:vAlign w:val="center"/>
          </w:tcPr>
          <w:p w14:paraId="0213D0BE" w14:textId="77777777" w:rsidR="002E474C" w:rsidRDefault="00000000">
            <w:pPr>
              <w:pStyle w:val="A-"/>
              <w:spacing w:line="260" w:lineRule="exact"/>
            </w:pPr>
            <w:r>
              <w:lastRenderedPageBreak/>
              <w:t>符合</w:t>
            </w:r>
          </w:p>
        </w:tc>
      </w:tr>
      <w:tr w:rsidR="002E474C" w14:paraId="0DCAF2C3" w14:textId="77777777">
        <w:tc>
          <w:tcPr>
            <w:tcW w:w="388" w:type="pct"/>
            <w:vMerge/>
            <w:vAlign w:val="center"/>
          </w:tcPr>
          <w:p w14:paraId="0642BD1F" w14:textId="77777777" w:rsidR="002E474C" w:rsidRDefault="002E474C">
            <w:pPr>
              <w:pStyle w:val="A-"/>
              <w:spacing w:line="260" w:lineRule="exact"/>
            </w:pPr>
          </w:p>
        </w:tc>
        <w:tc>
          <w:tcPr>
            <w:tcW w:w="3218" w:type="pct"/>
            <w:vAlign w:val="center"/>
          </w:tcPr>
          <w:p w14:paraId="495DF4B3" w14:textId="77777777" w:rsidR="002E474C" w:rsidRDefault="00000000">
            <w:pPr>
              <w:pStyle w:val="A-"/>
              <w:spacing w:line="260" w:lineRule="exact"/>
              <w:ind w:leftChars="-25" w:left="-53" w:rightChars="-25" w:right="-53"/>
              <w:jc w:val="both"/>
            </w:pPr>
            <w:r>
              <w:t xml:space="preserve">6.6 </w:t>
            </w:r>
            <w:r>
              <w:t>固体废物投加的技术要求</w:t>
            </w:r>
            <w:r>
              <w:t xml:space="preserve"> </w:t>
            </w:r>
          </w:p>
          <w:p w14:paraId="348157D6" w14:textId="77777777" w:rsidR="002E474C" w:rsidRDefault="00000000">
            <w:pPr>
              <w:pStyle w:val="A-"/>
              <w:spacing w:line="260" w:lineRule="exact"/>
              <w:ind w:leftChars="-25" w:left="-53" w:rightChars="-25" w:right="-53"/>
              <w:jc w:val="both"/>
              <w:rPr>
                <w:spacing w:val="-6"/>
              </w:rPr>
            </w:pPr>
            <w:r>
              <w:rPr>
                <w:spacing w:val="-6"/>
              </w:rPr>
              <w:t xml:space="preserve">6.6.1  </w:t>
            </w:r>
            <w:r>
              <w:rPr>
                <w:spacing w:val="-6"/>
              </w:rPr>
              <w:t>根据固体废物的特性和进料装置的要求和投加口的工况特点，选择适当的固体废物投加位置。</w:t>
            </w:r>
            <w:r>
              <w:rPr>
                <w:spacing w:val="-6"/>
              </w:rPr>
              <w:t xml:space="preserve"> </w:t>
            </w:r>
          </w:p>
          <w:p w14:paraId="61137A4B" w14:textId="77777777" w:rsidR="002E474C" w:rsidRDefault="00000000">
            <w:pPr>
              <w:pStyle w:val="A-"/>
              <w:spacing w:line="260" w:lineRule="exact"/>
              <w:ind w:leftChars="-25" w:left="-53" w:rightChars="-25" w:right="-53"/>
              <w:jc w:val="both"/>
            </w:pPr>
            <w:r>
              <w:t xml:space="preserve">6.6.2  </w:t>
            </w:r>
            <w:r>
              <w:t>固体废物投加时应保证窑系统工况的稳定。</w:t>
            </w:r>
            <w:r>
              <w:t xml:space="preserve"> </w:t>
            </w:r>
          </w:p>
          <w:p w14:paraId="43476903" w14:textId="77777777" w:rsidR="002E474C" w:rsidRDefault="00000000">
            <w:pPr>
              <w:pStyle w:val="A-"/>
              <w:spacing w:line="260" w:lineRule="exact"/>
              <w:ind w:leftChars="-25" w:left="-53" w:rightChars="-25" w:right="-53"/>
              <w:jc w:val="both"/>
            </w:pPr>
            <w:r>
              <w:t xml:space="preserve">6.6.3  </w:t>
            </w:r>
            <w:r>
              <w:t>在主燃烧器投加的技术要求</w:t>
            </w:r>
            <w:r>
              <w:t xml:space="preserve"> </w:t>
            </w:r>
          </w:p>
          <w:p w14:paraId="259462CC" w14:textId="77777777" w:rsidR="002E474C" w:rsidRDefault="00000000">
            <w:pPr>
              <w:pStyle w:val="A-"/>
              <w:spacing w:line="260" w:lineRule="exact"/>
              <w:ind w:leftChars="-25" w:left="-53" w:rightChars="-25" w:right="-53"/>
              <w:jc w:val="both"/>
            </w:pPr>
            <w:r>
              <w:t>a</w:t>
            </w:r>
            <w:r>
              <w:t>）具有以下特性的固体废物宜在主燃烧器投加：</w:t>
            </w:r>
            <w:r>
              <w:t xml:space="preserve"> </w:t>
            </w:r>
          </w:p>
          <w:p w14:paraId="489EE342" w14:textId="77777777" w:rsidR="002E474C" w:rsidRDefault="00000000">
            <w:pPr>
              <w:pStyle w:val="A-"/>
              <w:spacing w:line="260" w:lineRule="exact"/>
              <w:ind w:leftChars="-25" w:left="-53" w:rightChars="-25" w:right="-53"/>
              <w:jc w:val="both"/>
            </w:pPr>
            <w:r>
              <w:t>1</w:t>
            </w:r>
            <w:r>
              <w:t>）液态或易于气力输送的粉状废物；</w:t>
            </w:r>
            <w:r>
              <w:t xml:space="preserve"> </w:t>
            </w:r>
          </w:p>
          <w:p w14:paraId="128128D5" w14:textId="77777777" w:rsidR="002E474C" w:rsidRDefault="00000000">
            <w:pPr>
              <w:pStyle w:val="A-"/>
              <w:spacing w:line="260" w:lineRule="exact"/>
              <w:ind w:leftChars="-25" w:left="-53" w:rightChars="-25" w:right="-53"/>
              <w:jc w:val="both"/>
            </w:pPr>
            <w:r>
              <w:t>2</w:t>
            </w:r>
            <w:r>
              <w:t>）含</w:t>
            </w:r>
            <w:r>
              <w:t xml:space="preserve"> POPs </w:t>
            </w:r>
            <w:r>
              <w:t>物质或高氯、高毒、难降解有机物质的废物；</w:t>
            </w:r>
            <w:r>
              <w:t xml:space="preserve"> </w:t>
            </w:r>
          </w:p>
          <w:p w14:paraId="00081C4B" w14:textId="77777777" w:rsidR="002E474C" w:rsidRDefault="00000000">
            <w:pPr>
              <w:pStyle w:val="A-"/>
              <w:spacing w:line="260" w:lineRule="exact"/>
              <w:ind w:leftChars="-25" w:left="-53" w:rightChars="-25" w:right="-53"/>
              <w:jc w:val="both"/>
            </w:pPr>
            <w:r>
              <w:t>3</w:t>
            </w:r>
            <w:r>
              <w:t>）热值高、含水率低的有机废液。</w:t>
            </w:r>
          </w:p>
          <w:p w14:paraId="52322377" w14:textId="77777777" w:rsidR="002E474C" w:rsidRDefault="00000000">
            <w:pPr>
              <w:pStyle w:val="A-"/>
              <w:spacing w:line="260" w:lineRule="exact"/>
              <w:ind w:leftChars="-25" w:left="-53" w:rightChars="-25" w:right="-53"/>
              <w:jc w:val="both"/>
            </w:pPr>
            <w:r>
              <w:t>b</w:t>
            </w:r>
            <w:r>
              <w:t>）在主燃烧器投加固体废物操作中应满足以下条件：</w:t>
            </w:r>
            <w:r>
              <w:t xml:space="preserve"> </w:t>
            </w:r>
          </w:p>
          <w:p w14:paraId="68876B3D" w14:textId="77777777" w:rsidR="002E474C" w:rsidRDefault="00000000">
            <w:pPr>
              <w:pStyle w:val="A-"/>
              <w:spacing w:line="260" w:lineRule="exact"/>
              <w:ind w:leftChars="-25" w:left="-53" w:rightChars="-25" w:right="-53"/>
              <w:jc w:val="both"/>
            </w:pPr>
            <w:r>
              <w:t>1</w:t>
            </w:r>
            <w:r>
              <w:t>）通过泵力输送投加的液态废物不应含有沉淀物，以免堵塞燃烧器喷嘴；</w:t>
            </w:r>
            <w:r>
              <w:t xml:space="preserve"> </w:t>
            </w:r>
          </w:p>
          <w:p w14:paraId="2E29F6ED" w14:textId="77777777" w:rsidR="002E474C" w:rsidRDefault="00000000">
            <w:pPr>
              <w:pStyle w:val="A-"/>
              <w:spacing w:line="260" w:lineRule="exact"/>
              <w:ind w:leftChars="-25" w:left="-53" w:rightChars="-25" w:right="-53"/>
              <w:jc w:val="both"/>
            </w:pPr>
            <w:r>
              <w:t>2</w:t>
            </w:r>
            <w:r>
              <w:t>）通过气力输送投加的粉状废物，从多通道燃烧器的不同通道喷入窑内，若废物灰分含量高，尽可能喷入更远的距离，尽量达到固相反应带。</w:t>
            </w:r>
          </w:p>
        </w:tc>
        <w:tc>
          <w:tcPr>
            <w:tcW w:w="1133" w:type="pct"/>
            <w:vMerge w:val="restart"/>
            <w:vAlign w:val="center"/>
          </w:tcPr>
          <w:p w14:paraId="1AF2ADED" w14:textId="77777777" w:rsidR="002E474C" w:rsidRDefault="00000000">
            <w:pPr>
              <w:pStyle w:val="A-"/>
              <w:spacing w:line="260" w:lineRule="exact"/>
              <w:ind w:leftChars="-25" w:left="-53" w:rightChars="-25" w:right="-53"/>
              <w:jc w:val="both"/>
            </w:pPr>
            <w:r>
              <w:t>本项目按技术要求投加固体废物。</w:t>
            </w:r>
          </w:p>
        </w:tc>
        <w:tc>
          <w:tcPr>
            <w:tcW w:w="261" w:type="pct"/>
            <w:vMerge w:val="restart"/>
            <w:vAlign w:val="center"/>
          </w:tcPr>
          <w:p w14:paraId="6B07300A" w14:textId="77777777" w:rsidR="002E474C" w:rsidRDefault="00000000">
            <w:pPr>
              <w:pStyle w:val="A-"/>
              <w:spacing w:line="260" w:lineRule="exact"/>
            </w:pPr>
            <w:r>
              <w:t>符合</w:t>
            </w:r>
          </w:p>
        </w:tc>
      </w:tr>
      <w:tr w:rsidR="002E474C" w14:paraId="6CB485F8" w14:textId="77777777">
        <w:tc>
          <w:tcPr>
            <w:tcW w:w="388" w:type="pct"/>
            <w:vMerge/>
            <w:vAlign w:val="center"/>
          </w:tcPr>
          <w:p w14:paraId="3DCFD185" w14:textId="77777777" w:rsidR="002E474C" w:rsidRDefault="002E474C">
            <w:pPr>
              <w:pStyle w:val="A-"/>
              <w:spacing w:line="260" w:lineRule="exact"/>
            </w:pPr>
          </w:p>
        </w:tc>
        <w:tc>
          <w:tcPr>
            <w:tcW w:w="3218" w:type="pct"/>
            <w:vAlign w:val="center"/>
          </w:tcPr>
          <w:p w14:paraId="68A5BB5F" w14:textId="77777777" w:rsidR="002E474C" w:rsidRDefault="00000000">
            <w:pPr>
              <w:pStyle w:val="A-"/>
              <w:spacing w:line="260" w:lineRule="exact"/>
              <w:ind w:leftChars="-25" w:left="-53" w:rightChars="-25" w:right="-53"/>
              <w:jc w:val="both"/>
            </w:pPr>
            <w:r>
              <w:t xml:space="preserve">6.6.4  </w:t>
            </w:r>
            <w:r>
              <w:t>在窑门罩投加的技术要求</w:t>
            </w:r>
            <w:r>
              <w:t xml:space="preserve"> </w:t>
            </w:r>
          </w:p>
          <w:p w14:paraId="39122678" w14:textId="77777777" w:rsidR="002E474C" w:rsidRDefault="00000000">
            <w:pPr>
              <w:pStyle w:val="A-"/>
              <w:spacing w:line="260" w:lineRule="exact"/>
              <w:ind w:leftChars="-25" w:left="-53" w:rightChars="-25" w:right="-53"/>
              <w:jc w:val="both"/>
            </w:pPr>
            <w:r>
              <w:t>a</w:t>
            </w:r>
            <w:r>
              <w:t>）窑门罩宜投加不适于在窑头主燃烧器投加的液体废物，如各种低热值液态废物。</w:t>
            </w:r>
            <w:r>
              <w:t xml:space="preserve"> </w:t>
            </w:r>
          </w:p>
          <w:p w14:paraId="085AA635" w14:textId="77777777" w:rsidR="002E474C" w:rsidRDefault="00000000">
            <w:pPr>
              <w:pStyle w:val="A-"/>
              <w:spacing w:line="260" w:lineRule="exact"/>
              <w:ind w:leftChars="-25" w:left="-53" w:rightChars="-25" w:right="-53"/>
              <w:jc w:val="both"/>
            </w:pPr>
            <w:r>
              <w:t>b</w:t>
            </w:r>
            <w:r>
              <w:t>）在窑门罩投加固态废物时应采用特殊设计的投加设施。投加时应确保将固态废物投至固相反应带，确保废物反应完全。</w:t>
            </w:r>
            <w:r>
              <w:t xml:space="preserve"> </w:t>
            </w:r>
          </w:p>
          <w:p w14:paraId="18A70637" w14:textId="77777777" w:rsidR="002E474C" w:rsidRDefault="00000000">
            <w:pPr>
              <w:pStyle w:val="A-"/>
              <w:spacing w:line="260" w:lineRule="exact"/>
              <w:ind w:leftChars="-25" w:left="-53" w:rightChars="-25" w:right="-53"/>
              <w:jc w:val="both"/>
            </w:pPr>
            <w:r>
              <w:t>c</w:t>
            </w:r>
            <w:r>
              <w:t>）在窑门罩投加的液态废物应通过泵力输送至窑门罩喷入窑内。</w:t>
            </w:r>
          </w:p>
        </w:tc>
        <w:tc>
          <w:tcPr>
            <w:tcW w:w="1133" w:type="pct"/>
            <w:vMerge/>
            <w:vAlign w:val="center"/>
          </w:tcPr>
          <w:p w14:paraId="5AA61FFB" w14:textId="77777777" w:rsidR="002E474C" w:rsidRDefault="002E474C">
            <w:pPr>
              <w:pStyle w:val="A-"/>
              <w:spacing w:line="260" w:lineRule="exact"/>
              <w:ind w:leftChars="-25" w:left="-53" w:rightChars="-25" w:right="-53"/>
              <w:jc w:val="both"/>
            </w:pPr>
          </w:p>
        </w:tc>
        <w:tc>
          <w:tcPr>
            <w:tcW w:w="261" w:type="pct"/>
            <w:vMerge/>
            <w:vAlign w:val="center"/>
          </w:tcPr>
          <w:p w14:paraId="3225BC46" w14:textId="77777777" w:rsidR="002E474C" w:rsidRDefault="002E474C">
            <w:pPr>
              <w:pStyle w:val="A-"/>
              <w:spacing w:line="260" w:lineRule="exact"/>
            </w:pPr>
          </w:p>
        </w:tc>
      </w:tr>
      <w:tr w:rsidR="002E474C" w14:paraId="18967006" w14:textId="77777777">
        <w:tc>
          <w:tcPr>
            <w:tcW w:w="388" w:type="pct"/>
            <w:vMerge/>
            <w:vAlign w:val="center"/>
          </w:tcPr>
          <w:p w14:paraId="6484724E" w14:textId="77777777" w:rsidR="002E474C" w:rsidRDefault="002E474C">
            <w:pPr>
              <w:pStyle w:val="A-"/>
              <w:spacing w:line="260" w:lineRule="exact"/>
            </w:pPr>
          </w:p>
        </w:tc>
        <w:tc>
          <w:tcPr>
            <w:tcW w:w="3218" w:type="pct"/>
            <w:vAlign w:val="center"/>
          </w:tcPr>
          <w:p w14:paraId="4821F3E0" w14:textId="77777777" w:rsidR="002E474C" w:rsidRDefault="00000000">
            <w:pPr>
              <w:pStyle w:val="A-"/>
              <w:spacing w:line="260" w:lineRule="exact"/>
              <w:ind w:leftChars="-25" w:left="-53" w:rightChars="-25" w:right="-53"/>
              <w:jc w:val="both"/>
            </w:pPr>
            <w:r>
              <w:t xml:space="preserve">6.6.5  </w:t>
            </w:r>
            <w:r>
              <w:t>在窑尾投加的技术要求</w:t>
            </w:r>
            <w:r>
              <w:t xml:space="preserve"> </w:t>
            </w:r>
          </w:p>
          <w:p w14:paraId="5995B489" w14:textId="77777777" w:rsidR="002E474C" w:rsidRDefault="00000000">
            <w:pPr>
              <w:pStyle w:val="A-"/>
              <w:spacing w:line="260" w:lineRule="exact"/>
              <w:ind w:leftChars="-25" w:left="-53" w:rightChars="-25" w:right="-53"/>
              <w:jc w:val="both"/>
            </w:pPr>
            <w:r>
              <w:t>a</w:t>
            </w:r>
            <w:r>
              <w:t>）含</w:t>
            </w:r>
            <w:r>
              <w:t xml:space="preserve"> POPs </w:t>
            </w:r>
            <w:r>
              <w:t>物质和高氯、高毒、难降解有机物质的固体废物优先从窑头投加。若受物理特性限制需要从窑尾投加时，优先选择从窑尾烟室投加点。</w:t>
            </w:r>
            <w:r>
              <w:t xml:space="preserve"> </w:t>
            </w:r>
          </w:p>
          <w:p w14:paraId="5F3BD5A4" w14:textId="77777777" w:rsidR="002E474C" w:rsidRDefault="00000000">
            <w:pPr>
              <w:pStyle w:val="A-"/>
              <w:spacing w:line="260" w:lineRule="exact"/>
              <w:ind w:leftChars="-25" w:left="-53" w:rightChars="-25" w:right="-53"/>
              <w:jc w:val="both"/>
            </w:pPr>
            <w:r>
              <w:t>b</w:t>
            </w:r>
            <w:r>
              <w:t>）含水率高或块状废物应优先选择从窑尾烟室投入。</w:t>
            </w:r>
            <w:r>
              <w:t xml:space="preserve"> </w:t>
            </w:r>
          </w:p>
          <w:p w14:paraId="157FE7AC" w14:textId="77777777" w:rsidR="002E474C" w:rsidRDefault="00000000">
            <w:pPr>
              <w:pStyle w:val="A-"/>
              <w:spacing w:line="260" w:lineRule="exact"/>
              <w:ind w:leftChars="-25" w:left="-53" w:rightChars="-25" w:right="-53"/>
              <w:jc w:val="both"/>
            </w:pPr>
            <w:r>
              <w:t>c</w:t>
            </w:r>
            <w:r>
              <w:t>）在窑尾投加的液态、浆状废物应通过泵力输送，粉状废物应通过密闭的机械传送装置或气力输送，大块状废物应通过机械传送装置输送。</w:t>
            </w:r>
          </w:p>
        </w:tc>
        <w:tc>
          <w:tcPr>
            <w:tcW w:w="1133" w:type="pct"/>
            <w:vMerge/>
            <w:vAlign w:val="center"/>
          </w:tcPr>
          <w:p w14:paraId="66E764F5" w14:textId="77777777" w:rsidR="002E474C" w:rsidRDefault="002E474C">
            <w:pPr>
              <w:pStyle w:val="A-"/>
              <w:spacing w:line="260" w:lineRule="exact"/>
              <w:ind w:leftChars="-25" w:left="-53" w:rightChars="-25" w:right="-53"/>
              <w:jc w:val="both"/>
            </w:pPr>
          </w:p>
        </w:tc>
        <w:tc>
          <w:tcPr>
            <w:tcW w:w="261" w:type="pct"/>
            <w:vMerge/>
            <w:vAlign w:val="center"/>
          </w:tcPr>
          <w:p w14:paraId="5619030A" w14:textId="77777777" w:rsidR="002E474C" w:rsidRDefault="002E474C">
            <w:pPr>
              <w:pStyle w:val="A-"/>
              <w:spacing w:line="260" w:lineRule="exact"/>
            </w:pPr>
          </w:p>
        </w:tc>
      </w:tr>
      <w:tr w:rsidR="002E474C" w14:paraId="14135F97" w14:textId="77777777">
        <w:tc>
          <w:tcPr>
            <w:tcW w:w="388" w:type="pct"/>
            <w:vMerge/>
            <w:vAlign w:val="center"/>
          </w:tcPr>
          <w:p w14:paraId="5E546467" w14:textId="77777777" w:rsidR="002E474C" w:rsidRDefault="002E474C">
            <w:pPr>
              <w:pStyle w:val="A-"/>
              <w:spacing w:line="260" w:lineRule="exact"/>
            </w:pPr>
          </w:p>
        </w:tc>
        <w:tc>
          <w:tcPr>
            <w:tcW w:w="3218" w:type="pct"/>
            <w:vAlign w:val="center"/>
          </w:tcPr>
          <w:p w14:paraId="669CB588" w14:textId="77777777" w:rsidR="002E474C" w:rsidRDefault="00000000">
            <w:pPr>
              <w:pStyle w:val="A-"/>
              <w:spacing w:line="260" w:lineRule="exact"/>
              <w:ind w:leftChars="-25" w:left="-53" w:rightChars="-25" w:right="-53"/>
              <w:jc w:val="both"/>
            </w:pPr>
            <w:r>
              <w:t xml:space="preserve">6.6.6  </w:t>
            </w:r>
            <w:r>
              <w:t>在生料磨只能投加不含有机物和挥发半挥发性重金属的固态废物。</w:t>
            </w:r>
          </w:p>
        </w:tc>
        <w:tc>
          <w:tcPr>
            <w:tcW w:w="1133" w:type="pct"/>
            <w:vMerge/>
            <w:vAlign w:val="center"/>
          </w:tcPr>
          <w:p w14:paraId="24ED14C0" w14:textId="77777777" w:rsidR="002E474C" w:rsidRDefault="002E474C">
            <w:pPr>
              <w:pStyle w:val="A-"/>
              <w:spacing w:line="260" w:lineRule="exact"/>
              <w:ind w:leftChars="-25" w:left="-53" w:rightChars="-25" w:right="-53"/>
              <w:jc w:val="both"/>
            </w:pPr>
          </w:p>
        </w:tc>
        <w:tc>
          <w:tcPr>
            <w:tcW w:w="261" w:type="pct"/>
            <w:vMerge/>
            <w:vAlign w:val="center"/>
          </w:tcPr>
          <w:p w14:paraId="3641C445" w14:textId="77777777" w:rsidR="002E474C" w:rsidRDefault="002E474C">
            <w:pPr>
              <w:pStyle w:val="A-"/>
              <w:spacing w:line="260" w:lineRule="exact"/>
            </w:pPr>
          </w:p>
        </w:tc>
      </w:tr>
      <w:tr w:rsidR="002E474C" w14:paraId="1ABE316F" w14:textId="77777777">
        <w:tc>
          <w:tcPr>
            <w:tcW w:w="388" w:type="pct"/>
            <w:vMerge/>
            <w:vAlign w:val="center"/>
          </w:tcPr>
          <w:p w14:paraId="4646D323" w14:textId="77777777" w:rsidR="002E474C" w:rsidRDefault="002E474C">
            <w:pPr>
              <w:pStyle w:val="A-"/>
              <w:spacing w:line="260" w:lineRule="exact"/>
            </w:pPr>
          </w:p>
        </w:tc>
        <w:tc>
          <w:tcPr>
            <w:tcW w:w="3218" w:type="pct"/>
            <w:vAlign w:val="center"/>
          </w:tcPr>
          <w:p w14:paraId="261EB0CB" w14:textId="77777777" w:rsidR="002E474C" w:rsidRDefault="00000000">
            <w:pPr>
              <w:pStyle w:val="A-"/>
              <w:spacing w:line="260" w:lineRule="exact"/>
              <w:ind w:leftChars="-25" w:left="-53" w:rightChars="-25" w:right="-53"/>
              <w:jc w:val="both"/>
            </w:pPr>
            <w:r>
              <w:t xml:space="preserve">6.6.8  </w:t>
            </w:r>
            <w:r>
              <w:t>协同处置企业应根据水泥生产工艺特点，控制随物料入窑的氯（</w:t>
            </w:r>
            <w:r>
              <w:t>Cl</w:t>
            </w:r>
            <w:r>
              <w:t>）和氟（</w:t>
            </w:r>
            <w:r>
              <w:t>F</w:t>
            </w:r>
            <w:r>
              <w:t>）元素的投加量，以保证水泥的正常生产和熟料质量符合国家标准。入窑物料中氟元素含量不应大于</w:t>
            </w:r>
            <w:r>
              <w:t>0.5%</w:t>
            </w:r>
            <w:r>
              <w:t>，氯元素含量不应大于</w:t>
            </w:r>
            <w:r>
              <w:t>0.04%</w:t>
            </w:r>
            <w:r>
              <w:t>。</w:t>
            </w:r>
          </w:p>
        </w:tc>
        <w:tc>
          <w:tcPr>
            <w:tcW w:w="1133" w:type="pct"/>
            <w:vAlign w:val="center"/>
          </w:tcPr>
          <w:p w14:paraId="027135BD" w14:textId="77777777" w:rsidR="002E474C" w:rsidRDefault="00000000">
            <w:pPr>
              <w:pStyle w:val="A-"/>
              <w:spacing w:line="260" w:lineRule="exact"/>
              <w:ind w:leftChars="-25" w:left="-53" w:rightChars="-25" w:right="-53"/>
              <w:jc w:val="both"/>
            </w:pPr>
            <w:r>
              <w:t>本项目入窑物料中氟元素含量低于</w:t>
            </w:r>
            <w:r>
              <w:t>0.5%</w:t>
            </w:r>
            <w:r>
              <w:t>，氯元素含量低于</w:t>
            </w:r>
            <w:r>
              <w:t>0.04%</w:t>
            </w:r>
            <w:r>
              <w:t>。</w:t>
            </w:r>
          </w:p>
        </w:tc>
        <w:tc>
          <w:tcPr>
            <w:tcW w:w="261" w:type="pct"/>
            <w:vAlign w:val="center"/>
          </w:tcPr>
          <w:p w14:paraId="4C274CE8" w14:textId="77777777" w:rsidR="002E474C" w:rsidRDefault="00000000">
            <w:pPr>
              <w:pStyle w:val="A-"/>
              <w:spacing w:line="260" w:lineRule="exact"/>
            </w:pPr>
            <w:r>
              <w:t>符合</w:t>
            </w:r>
          </w:p>
        </w:tc>
      </w:tr>
      <w:tr w:rsidR="002E474C" w14:paraId="56C47CD6" w14:textId="77777777">
        <w:tc>
          <w:tcPr>
            <w:tcW w:w="388" w:type="pct"/>
            <w:vMerge/>
            <w:vAlign w:val="center"/>
          </w:tcPr>
          <w:p w14:paraId="0D7B2EF1" w14:textId="77777777" w:rsidR="002E474C" w:rsidRDefault="002E474C">
            <w:pPr>
              <w:pStyle w:val="A-"/>
              <w:spacing w:line="260" w:lineRule="exact"/>
            </w:pPr>
          </w:p>
        </w:tc>
        <w:tc>
          <w:tcPr>
            <w:tcW w:w="3218" w:type="pct"/>
            <w:vAlign w:val="center"/>
          </w:tcPr>
          <w:p w14:paraId="49C48F32" w14:textId="77777777" w:rsidR="002E474C" w:rsidRDefault="00000000">
            <w:pPr>
              <w:pStyle w:val="A-"/>
              <w:spacing w:line="260" w:lineRule="exact"/>
              <w:ind w:leftChars="-25" w:left="-53" w:rightChars="-25" w:right="-53"/>
              <w:jc w:val="both"/>
            </w:pPr>
            <w:r>
              <w:t xml:space="preserve">6.6.9  </w:t>
            </w:r>
            <w:r>
              <w:t>协同处置企业应控制物料中硫元素的投加量。通过配料系统投加的物料中硫化物硫与有机</w:t>
            </w:r>
            <w:r>
              <w:lastRenderedPageBreak/>
              <w:t>硫总含量不应大于</w:t>
            </w:r>
            <w:r>
              <w:t>0.014</w:t>
            </w:r>
            <w:r>
              <w:t>％；从窑头、窑尾高温区投加的全硫与配料系统投加的硫酸盐硫总投加量不应大于</w:t>
            </w:r>
            <w:r>
              <w:t>3000mg/kg-cli</w:t>
            </w:r>
            <w:r>
              <w:t>。</w:t>
            </w:r>
          </w:p>
        </w:tc>
        <w:tc>
          <w:tcPr>
            <w:tcW w:w="1133" w:type="pct"/>
            <w:vAlign w:val="center"/>
          </w:tcPr>
          <w:p w14:paraId="14B63B1F" w14:textId="77777777" w:rsidR="002E474C" w:rsidRDefault="00000000">
            <w:pPr>
              <w:pStyle w:val="A-"/>
              <w:spacing w:line="260" w:lineRule="exact"/>
              <w:ind w:leftChars="-25" w:left="-53" w:rightChars="-25" w:right="-53"/>
              <w:jc w:val="both"/>
            </w:pPr>
            <w:r>
              <w:lastRenderedPageBreak/>
              <w:t>本项目从配料系统投加的硫化物</w:t>
            </w:r>
            <w:r>
              <w:lastRenderedPageBreak/>
              <w:t>硫与有机硫总含量低于</w:t>
            </w:r>
            <w:r>
              <w:t>0.014</w:t>
            </w:r>
            <w:r>
              <w:t>％，从窑头、窑尾高温区投加的投加的全硫与配料系统投加的硫酸盐硫总投加量低于</w:t>
            </w:r>
            <w:r>
              <w:t>3000mg/kg-cli</w:t>
            </w:r>
          </w:p>
        </w:tc>
        <w:tc>
          <w:tcPr>
            <w:tcW w:w="261" w:type="pct"/>
            <w:vAlign w:val="center"/>
          </w:tcPr>
          <w:p w14:paraId="2E06D274" w14:textId="77777777" w:rsidR="002E474C" w:rsidRDefault="00000000">
            <w:pPr>
              <w:pStyle w:val="A-"/>
              <w:spacing w:line="260" w:lineRule="exact"/>
            </w:pPr>
            <w:r>
              <w:lastRenderedPageBreak/>
              <w:t>符合</w:t>
            </w:r>
          </w:p>
        </w:tc>
      </w:tr>
      <w:tr w:rsidR="002E474C" w14:paraId="4062E0EC" w14:textId="77777777">
        <w:tc>
          <w:tcPr>
            <w:tcW w:w="388" w:type="pct"/>
            <w:vMerge w:val="restart"/>
            <w:vAlign w:val="center"/>
          </w:tcPr>
          <w:p w14:paraId="4AF60FA2" w14:textId="77777777" w:rsidR="002E474C" w:rsidRDefault="00000000">
            <w:pPr>
              <w:pStyle w:val="A-"/>
              <w:spacing w:line="260" w:lineRule="exact"/>
            </w:pPr>
            <w:r>
              <w:t>协同处置污染物排放控制要求</w:t>
            </w:r>
          </w:p>
        </w:tc>
        <w:tc>
          <w:tcPr>
            <w:tcW w:w="3218" w:type="pct"/>
            <w:vAlign w:val="center"/>
          </w:tcPr>
          <w:p w14:paraId="5CC29749" w14:textId="77777777" w:rsidR="002E474C" w:rsidRDefault="00000000">
            <w:pPr>
              <w:pStyle w:val="A-"/>
              <w:spacing w:line="260" w:lineRule="exact"/>
              <w:ind w:leftChars="-25" w:left="-53" w:rightChars="-25" w:right="-53"/>
              <w:jc w:val="both"/>
            </w:pPr>
            <w:r>
              <w:t xml:space="preserve">7.1 </w:t>
            </w:r>
            <w:r>
              <w:t>窑灰排放和旁路放风控制</w:t>
            </w:r>
            <w:r>
              <w:t xml:space="preserve"> </w:t>
            </w:r>
          </w:p>
          <w:p w14:paraId="3032B8C4" w14:textId="77777777" w:rsidR="002E474C" w:rsidRDefault="00000000">
            <w:pPr>
              <w:pStyle w:val="A-"/>
              <w:spacing w:line="260" w:lineRule="exact"/>
              <w:ind w:leftChars="-25" w:left="-53" w:rightChars="-25" w:right="-53"/>
              <w:jc w:val="both"/>
            </w:pPr>
            <w:r>
              <w:t xml:space="preserve">7.1.1 </w:t>
            </w:r>
            <w:r>
              <w:t>为避免外循环过程中挥发性元素（</w:t>
            </w:r>
            <w:r>
              <w:t>Hg</w:t>
            </w:r>
            <w:r>
              <w:t>、</w:t>
            </w:r>
            <w:r>
              <w:t>Tl</w:t>
            </w:r>
            <w:r>
              <w:t>）在窑内的过度累积，协同处置水泥企业在发现排放烟气中</w:t>
            </w:r>
            <w:r>
              <w:t>Hg</w:t>
            </w:r>
            <w:r>
              <w:t>或</w:t>
            </w:r>
            <w:r>
              <w:t>Tl</w:t>
            </w:r>
            <w:r>
              <w:t>浓度过高时宜将除尘器收集的窑灰中的一部分排出水泥窑循环系统。</w:t>
            </w:r>
            <w:r>
              <w:t xml:space="preserve"> </w:t>
            </w:r>
          </w:p>
          <w:p w14:paraId="24E70A9A" w14:textId="77777777" w:rsidR="002E474C" w:rsidRDefault="00000000">
            <w:pPr>
              <w:pStyle w:val="A-"/>
              <w:spacing w:line="260" w:lineRule="exact"/>
              <w:ind w:leftChars="-25" w:left="-53" w:rightChars="-25" w:right="-53"/>
              <w:jc w:val="both"/>
            </w:pPr>
            <w:r>
              <w:t xml:space="preserve">7.1.2 </w:t>
            </w:r>
            <w:r>
              <w:t>为避免内循环过程中挥发性元素和物质（</w:t>
            </w:r>
            <w:r>
              <w:t>Pb</w:t>
            </w:r>
            <w:r>
              <w:t>、</w:t>
            </w:r>
            <w:r>
              <w:t>Cd</w:t>
            </w:r>
            <w:r>
              <w:t>、</w:t>
            </w:r>
            <w:r>
              <w:t xml:space="preserve">As </w:t>
            </w:r>
            <w:r>
              <w:t>和碱金属氯化物、碱金属硫酸盐等）在窑内的过渡积累，协同处置企业可定期进行旁路放风。</w:t>
            </w:r>
            <w:r>
              <w:t xml:space="preserve"> </w:t>
            </w:r>
          </w:p>
          <w:p w14:paraId="4E8E6FCA" w14:textId="77777777" w:rsidR="002E474C" w:rsidRDefault="00000000">
            <w:pPr>
              <w:pStyle w:val="A-"/>
              <w:spacing w:line="260" w:lineRule="exact"/>
              <w:ind w:leftChars="-25" w:left="-53" w:rightChars="-25" w:right="-53"/>
              <w:jc w:val="both"/>
              <w:rPr>
                <w:spacing w:val="-6"/>
              </w:rPr>
            </w:pPr>
            <w:r>
              <w:rPr>
                <w:spacing w:val="-6"/>
              </w:rPr>
              <w:t xml:space="preserve">7.1.3 </w:t>
            </w:r>
            <w:r>
              <w:rPr>
                <w:spacing w:val="-6"/>
              </w:rPr>
              <w:t>未经处置的从水泥窑循环系统排出的窑灰和旁路放风收集的粉尘不得再返回水泥窑生产熟料。</w:t>
            </w:r>
            <w:r>
              <w:rPr>
                <w:spacing w:val="-6"/>
              </w:rPr>
              <w:t xml:space="preserve"> </w:t>
            </w:r>
          </w:p>
          <w:p w14:paraId="49637AEA" w14:textId="77777777" w:rsidR="002E474C" w:rsidRDefault="00000000">
            <w:pPr>
              <w:pStyle w:val="A-"/>
              <w:spacing w:line="260" w:lineRule="exact"/>
              <w:ind w:leftChars="-25" w:left="-53" w:rightChars="-25" w:right="-53"/>
              <w:jc w:val="both"/>
            </w:pPr>
            <w:r>
              <w:t xml:space="preserve">7.1.4 </w:t>
            </w:r>
            <w:r>
              <w:t>从水泥窑循环系统排出的窑灰和旁路放风收集的粉尘若采用直接掺加入水泥熟料的处置方式，应严格控制其掺加比例，确保水泥产品中的氯、碱、硫含量满足要求，水泥产品环境安全性满足相关标准的要求。</w:t>
            </w:r>
            <w:r>
              <w:t xml:space="preserve"> </w:t>
            </w:r>
          </w:p>
          <w:p w14:paraId="086F3761" w14:textId="77777777" w:rsidR="002E474C" w:rsidRDefault="00000000">
            <w:pPr>
              <w:pStyle w:val="A-"/>
              <w:spacing w:line="260" w:lineRule="exact"/>
              <w:ind w:leftChars="-25" w:left="-53" w:rightChars="-25" w:right="-53"/>
              <w:jc w:val="both"/>
            </w:pPr>
            <w:r>
              <w:t xml:space="preserve">7.1.5  </w:t>
            </w:r>
            <w:r>
              <w:t>水泥窑旁路放风排气筒大气污染物排放限值按照</w:t>
            </w:r>
            <w:r>
              <w:t xml:space="preserve"> GB30485 </w:t>
            </w:r>
            <w:r>
              <w:t>的要求执行。</w:t>
            </w:r>
          </w:p>
        </w:tc>
        <w:tc>
          <w:tcPr>
            <w:tcW w:w="1133" w:type="pct"/>
            <w:vAlign w:val="center"/>
          </w:tcPr>
          <w:p w14:paraId="2DAC4BF2" w14:textId="77777777" w:rsidR="002E474C" w:rsidRDefault="00000000">
            <w:pPr>
              <w:pStyle w:val="A-"/>
              <w:spacing w:line="260" w:lineRule="exact"/>
              <w:ind w:leftChars="-25" w:left="-53" w:rightChars="-25" w:right="-53"/>
              <w:jc w:val="both"/>
            </w:pPr>
            <w:r>
              <w:t>（</w:t>
            </w:r>
            <w:r>
              <w:t>1</w:t>
            </w:r>
            <w:r>
              <w:t>）现有水泥窑无旁路放风系统，本项目也不设旁路放风系统。</w:t>
            </w:r>
          </w:p>
          <w:p w14:paraId="45EA563C" w14:textId="77777777" w:rsidR="002E474C" w:rsidRDefault="00000000">
            <w:pPr>
              <w:pStyle w:val="A-"/>
              <w:spacing w:line="260" w:lineRule="exact"/>
              <w:ind w:leftChars="-25" w:left="-53" w:rightChars="-25" w:right="-53"/>
              <w:jc w:val="both"/>
            </w:pPr>
            <w:r>
              <w:t>（</w:t>
            </w:r>
            <w:r>
              <w:t>2</w:t>
            </w:r>
            <w:r>
              <w:t>）本项目窑尾收尘窑灰部分返回原料系统，部分按比例掺入熟料生产水泥。</w:t>
            </w:r>
          </w:p>
        </w:tc>
        <w:tc>
          <w:tcPr>
            <w:tcW w:w="261" w:type="pct"/>
            <w:vAlign w:val="center"/>
          </w:tcPr>
          <w:p w14:paraId="49FB1509" w14:textId="77777777" w:rsidR="002E474C" w:rsidRDefault="00000000">
            <w:pPr>
              <w:pStyle w:val="A-"/>
              <w:spacing w:line="260" w:lineRule="exact"/>
            </w:pPr>
            <w:r>
              <w:t>符合</w:t>
            </w:r>
          </w:p>
        </w:tc>
      </w:tr>
      <w:tr w:rsidR="002E474C" w14:paraId="36F3498A" w14:textId="77777777">
        <w:tc>
          <w:tcPr>
            <w:tcW w:w="388" w:type="pct"/>
            <w:vMerge/>
            <w:vAlign w:val="center"/>
          </w:tcPr>
          <w:p w14:paraId="2C5B91BB" w14:textId="77777777" w:rsidR="002E474C" w:rsidRDefault="002E474C">
            <w:pPr>
              <w:pStyle w:val="A-"/>
              <w:spacing w:line="260" w:lineRule="exact"/>
            </w:pPr>
          </w:p>
        </w:tc>
        <w:tc>
          <w:tcPr>
            <w:tcW w:w="3218" w:type="pct"/>
            <w:vAlign w:val="center"/>
          </w:tcPr>
          <w:p w14:paraId="4FF27E29" w14:textId="77777777" w:rsidR="002E474C" w:rsidRDefault="00000000">
            <w:pPr>
              <w:pStyle w:val="A-"/>
              <w:spacing w:line="260" w:lineRule="exact"/>
              <w:ind w:leftChars="-25" w:left="-53" w:rightChars="-25" w:right="-53"/>
              <w:jc w:val="both"/>
            </w:pPr>
            <w:r>
              <w:t xml:space="preserve">7.2 </w:t>
            </w:r>
            <w:r>
              <w:t>水泥产品环境安全性控制</w:t>
            </w:r>
            <w:r>
              <w:t xml:space="preserve"> </w:t>
            </w:r>
          </w:p>
          <w:p w14:paraId="24DED2D2" w14:textId="77777777" w:rsidR="002E474C" w:rsidRDefault="00000000">
            <w:pPr>
              <w:pStyle w:val="A-"/>
              <w:spacing w:line="260" w:lineRule="exact"/>
              <w:ind w:leftChars="-25" w:left="-53" w:rightChars="-25" w:right="-53"/>
              <w:jc w:val="both"/>
            </w:pPr>
            <w:r>
              <w:t xml:space="preserve">7.2.1  </w:t>
            </w:r>
            <w:r>
              <w:t>生产的水泥产品质量应满足</w:t>
            </w:r>
            <w:r>
              <w:t xml:space="preserve"> GB175 </w:t>
            </w:r>
            <w:r>
              <w:t>的要求。</w:t>
            </w:r>
            <w:r>
              <w:t xml:space="preserve"> </w:t>
            </w:r>
          </w:p>
          <w:p w14:paraId="134A99A9" w14:textId="77777777" w:rsidR="002E474C" w:rsidRDefault="00000000">
            <w:pPr>
              <w:pStyle w:val="A-"/>
              <w:spacing w:line="260" w:lineRule="exact"/>
              <w:ind w:leftChars="-25" w:left="-53" w:rightChars="-25" w:right="-53"/>
              <w:jc w:val="both"/>
            </w:pPr>
            <w:r>
              <w:t xml:space="preserve">7.2.2  </w:t>
            </w:r>
            <w:r>
              <w:t>协同处置固体废物的水泥窑生产的水泥产品中污染物的浸出应满足国家相关标准。</w:t>
            </w:r>
            <w:r>
              <w:t xml:space="preserve"> </w:t>
            </w:r>
          </w:p>
          <w:p w14:paraId="2FF593EE" w14:textId="77777777" w:rsidR="002E474C" w:rsidRDefault="00000000">
            <w:pPr>
              <w:pStyle w:val="A-"/>
              <w:spacing w:line="260" w:lineRule="exact"/>
              <w:ind w:leftChars="-25" w:left="-53" w:rightChars="-25" w:right="-53"/>
              <w:jc w:val="both"/>
            </w:pPr>
            <w:r>
              <w:t xml:space="preserve">7.2.3  </w:t>
            </w:r>
            <w:r>
              <w:t>协同处置固体废物的水泥窑生产的水泥产品的检测按照国家相关标准中的规定执行。</w:t>
            </w:r>
          </w:p>
        </w:tc>
        <w:tc>
          <w:tcPr>
            <w:tcW w:w="1133" w:type="pct"/>
            <w:vAlign w:val="center"/>
          </w:tcPr>
          <w:p w14:paraId="7B38D964" w14:textId="77777777" w:rsidR="002E474C" w:rsidRDefault="00000000">
            <w:pPr>
              <w:pStyle w:val="A-"/>
              <w:spacing w:line="260" w:lineRule="exact"/>
              <w:ind w:leftChars="-25" w:left="-53" w:rightChars="-25" w:right="-53"/>
              <w:jc w:val="both"/>
            </w:pPr>
            <w:r>
              <w:t>本项目严格控制水泥产品质量满足</w:t>
            </w:r>
            <w:r>
              <w:t xml:space="preserve">GB175 </w:t>
            </w:r>
            <w:r>
              <w:t>的要求。</w:t>
            </w:r>
          </w:p>
        </w:tc>
        <w:tc>
          <w:tcPr>
            <w:tcW w:w="261" w:type="pct"/>
            <w:vAlign w:val="center"/>
          </w:tcPr>
          <w:p w14:paraId="4EF8B98E" w14:textId="77777777" w:rsidR="002E474C" w:rsidRDefault="00000000">
            <w:pPr>
              <w:pStyle w:val="A-"/>
              <w:spacing w:line="260" w:lineRule="exact"/>
            </w:pPr>
            <w:r>
              <w:t>符合</w:t>
            </w:r>
          </w:p>
        </w:tc>
      </w:tr>
      <w:tr w:rsidR="002E474C" w14:paraId="3401DE21" w14:textId="77777777">
        <w:tc>
          <w:tcPr>
            <w:tcW w:w="388" w:type="pct"/>
            <w:vMerge/>
            <w:vAlign w:val="center"/>
          </w:tcPr>
          <w:p w14:paraId="2E58FB84" w14:textId="77777777" w:rsidR="002E474C" w:rsidRDefault="002E474C">
            <w:pPr>
              <w:pStyle w:val="A-"/>
              <w:spacing w:line="260" w:lineRule="exact"/>
            </w:pPr>
          </w:p>
        </w:tc>
        <w:tc>
          <w:tcPr>
            <w:tcW w:w="3218" w:type="pct"/>
            <w:vAlign w:val="center"/>
          </w:tcPr>
          <w:p w14:paraId="26B5BC43" w14:textId="77777777" w:rsidR="002E474C" w:rsidRDefault="00000000">
            <w:pPr>
              <w:pStyle w:val="A-"/>
              <w:spacing w:line="260" w:lineRule="exact"/>
              <w:ind w:leftChars="-25" w:left="-53" w:rightChars="-25" w:right="-53"/>
              <w:jc w:val="both"/>
            </w:pPr>
            <w:r>
              <w:t xml:space="preserve">7.3 </w:t>
            </w:r>
            <w:r>
              <w:t>烟气排放控制</w:t>
            </w:r>
            <w:r>
              <w:t xml:space="preserve"> </w:t>
            </w:r>
          </w:p>
          <w:p w14:paraId="250430DB" w14:textId="77777777" w:rsidR="002E474C" w:rsidRDefault="00000000">
            <w:pPr>
              <w:pStyle w:val="A-"/>
              <w:spacing w:line="260" w:lineRule="exact"/>
              <w:ind w:leftChars="-25" w:left="-53" w:rightChars="-25" w:right="-53"/>
              <w:jc w:val="both"/>
            </w:pPr>
            <w:r>
              <w:t xml:space="preserve">7.3.1  </w:t>
            </w:r>
            <w:r>
              <w:t>水泥窑协同处置固体废物的排放烟气应满足</w:t>
            </w:r>
            <w:r>
              <w:t xml:space="preserve"> GB30485</w:t>
            </w:r>
            <w:r>
              <w:t>的要求。</w:t>
            </w:r>
            <w:r>
              <w:t xml:space="preserve"> </w:t>
            </w:r>
          </w:p>
          <w:p w14:paraId="2CD30538" w14:textId="77777777" w:rsidR="002E474C" w:rsidRDefault="00000000">
            <w:pPr>
              <w:pStyle w:val="A-"/>
              <w:spacing w:line="260" w:lineRule="exact"/>
              <w:ind w:leftChars="-25" w:left="-53" w:rightChars="-25" w:right="-53"/>
              <w:jc w:val="both"/>
            </w:pPr>
            <w:r>
              <w:t xml:space="preserve">7.3.2  </w:t>
            </w:r>
            <w:r>
              <w:t>按照</w:t>
            </w:r>
            <w:r>
              <w:t xml:space="preserve"> GB30485 </w:t>
            </w:r>
            <w:r>
              <w:t>的要求对协同处置固体废物水泥窑排放烟气进行监测。</w:t>
            </w:r>
            <w:r>
              <w:t xml:space="preserve"> </w:t>
            </w:r>
          </w:p>
          <w:p w14:paraId="367C1002" w14:textId="77777777" w:rsidR="002E474C" w:rsidRDefault="00000000">
            <w:pPr>
              <w:pStyle w:val="A-"/>
              <w:spacing w:line="260" w:lineRule="exact"/>
              <w:ind w:leftChars="-25" w:left="-53" w:rightChars="-25" w:right="-53"/>
              <w:jc w:val="both"/>
            </w:pPr>
            <w:r>
              <w:t xml:space="preserve">7.3.3  </w:t>
            </w:r>
            <w:r>
              <w:t>水泥窑及窑尾余热利用系统排气筒总有机碳（</w:t>
            </w:r>
            <w:r>
              <w:t>TOC</w:t>
            </w:r>
            <w:r>
              <w:t>）因协同处置固体废物增加的浓度应满足</w:t>
            </w:r>
            <w:r>
              <w:t xml:space="preserve"> GB30485 </w:t>
            </w:r>
            <w:r>
              <w:t>的要求。</w:t>
            </w:r>
            <w:r>
              <w:t xml:space="preserve"> </w:t>
            </w:r>
          </w:p>
          <w:p w14:paraId="507EEE53" w14:textId="77777777" w:rsidR="002E474C" w:rsidRDefault="00000000">
            <w:pPr>
              <w:pStyle w:val="A-"/>
              <w:spacing w:line="260" w:lineRule="exact"/>
              <w:ind w:leftChars="-25" w:left="-53" w:rightChars="-25" w:right="-53"/>
              <w:jc w:val="both"/>
            </w:pPr>
            <w:r>
              <w:t xml:space="preserve">TOC </w:t>
            </w:r>
            <w:r>
              <w:t>因协同处置固体废物增加的浓度的测定步骤如下：（</w:t>
            </w:r>
            <w:r>
              <w:t>1</w:t>
            </w:r>
            <w:r>
              <w:t>）测定水泥窑未协同处置固体废物时的</w:t>
            </w:r>
            <w:r>
              <w:t xml:space="preserve"> TOC </w:t>
            </w:r>
            <w:r>
              <w:t>背景排放浓度；（</w:t>
            </w:r>
            <w:r>
              <w:t>2</w:t>
            </w:r>
            <w:r>
              <w:t>）测定水泥窑协同处置固体废物时的</w:t>
            </w:r>
            <w:r>
              <w:t xml:space="preserve"> TOC </w:t>
            </w:r>
            <w:r>
              <w:t>排放浓度；（</w:t>
            </w:r>
            <w:r>
              <w:t>3</w:t>
            </w:r>
            <w:r>
              <w:t>）水泥窑协同处置固体废物时的</w:t>
            </w:r>
            <w:r>
              <w:t>TOC</w:t>
            </w:r>
            <w:r>
              <w:t>排放浓度与未协同处置固体废物时的</w:t>
            </w:r>
            <w:r>
              <w:t>TOC</w:t>
            </w:r>
            <w:r>
              <w:t>背景排放浓度之差即为</w:t>
            </w:r>
            <w:r>
              <w:t xml:space="preserve"> TOC </w:t>
            </w:r>
            <w:r>
              <w:t>因协同处置固体废物增加的浓度。其中，当水泥生产原料来源未改变时，未协同处置固体废物时的</w:t>
            </w:r>
            <w:r>
              <w:t xml:space="preserve"> TOC </w:t>
            </w:r>
            <w:r>
              <w:t>背景排放浓度可采用前次测定的数值。</w:t>
            </w:r>
          </w:p>
        </w:tc>
        <w:tc>
          <w:tcPr>
            <w:tcW w:w="1133" w:type="pct"/>
            <w:vAlign w:val="center"/>
          </w:tcPr>
          <w:p w14:paraId="3089B893" w14:textId="77777777" w:rsidR="002E474C" w:rsidRDefault="00000000">
            <w:pPr>
              <w:pStyle w:val="A-"/>
              <w:spacing w:line="260" w:lineRule="exact"/>
              <w:ind w:leftChars="-25" w:left="-53" w:rightChars="-25" w:right="-53"/>
              <w:jc w:val="both"/>
            </w:pPr>
            <w:r>
              <w:t>本项目窑尾排放烟气满足</w:t>
            </w:r>
            <w:r>
              <w:t>GB30485</w:t>
            </w:r>
            <w:r>
              <w:t>的要求，评价提出了监测计划，窑尾排气筒总有机碳（</w:t>
            </w:r>
            <w:r>
              <w:t>TOC</w:t>
            </w:r>
            <w:r>
              <w:t>）因协同处置危险废物增加的浓度满足</w:t>
            </w:r>
            <w:r>
              <w:t xml:space="preserve"> GB30485 </w:t>
            </w:r>
            <w:r>
              <w:t>的要求。</w:t>
            </w:r>
          </w:p>
        </w:tc>
        <w:tc>
          <w:tcPr>
            <w:tcW w:w="261" w:type="pct"/>
            <w:vAlign w:val="center"/>
          </w:tcPr>
          <w:p w14:paraId="2E7AB1C0" w14:textId="77777777" w:rsidR="002E474C" w:rsidRDefault="00000000">
            <w:pPr>
              <w:pStyle w:val="A-"/>
              <w:spacing w:line="260" w:lineRule="exact"/>
            </w:pPr>
            <w:r>
              <w:t>符合</w:t>
            </w:r>
          </w:p>
        </w:tc>
      </w:tr>
      <w:tr w:rsidR="002E474C" w14:paraId="0B5C8AE1" w14:textId="77777777">
        <w:tc>
          <w:tcPr>
            <w:tcW w:w="388" w:type="pct"/>
            <w:vMerge/>
            <w:vAlign w:val="center"/>
          </w:tcPr>
          <w:p w14:paraId="46B3677D" w14:textId="77777777" w:rsidR="002E474C" w:rsidRDefault="002E474C">
            <w:pPr>
              <w:pStyle w:val="A-"/>
              <w:spacing w:line="260" w:lineRule="exact"/>
            </w:pPr>
          </w:p>
        </w:tc>
        <w:tc>
          <w:tcPr>
            <w:tcW w:w="3218" w:type="pct"/>
            <w:vAlign w:val="center"/>
          </w:tcPr>
          <w:p w14:paraId="6B95F588" w14:textId="77777777" w:rsidR="002E474C" w:rsidRDefault="00000000">
            <w:pPr>
              <w:pStyle w:val="A-"/>
              <w:spacing w:line="260" w:lineRule="exact"/>
              <w:ind w:leftChars="-25" w:left="-53" w:rightChars="-25" w:right="-53"/>
              <w:jc w:val="both"/>
            </w:pPr>
            <w:r>
              <w:t xml:space="preserve">7.4 </w:t>
            </w:r>
            <w:r>
              <w:t>废水排放控制</w:t>
            </w:r>
            <w:r>
              <w:t xml:space="preserve"> </w:t>
            </w:r>
          </w:p>
          <w:p w14:paraId="72F95B6A" w14:textId="77777777" w:rsidR="002E474C" w:rsidRDefault="00000000">
            <w:pPr>
              <w:pStyle w:val="A-"/>
              <w:spacing w:line="260" w:lineRule="exact"/>
              <w:ind w:leftChars="-25" w:left="-53" w:rightChars="-25" w:right="-53"/>
              <w:jc w:val="both"/>
            </w:pPr>
            <w:r>
              <w:t xml:space="preserve">7.4.1  </w:t>
            </w:r>
            <w:r>
              <w:t>固体废物贮存和预处理设施以及固体废物运输车辆清洗产生的废水应经收集后按照</w:t>
            </w:r>
            <w:r>
              <w:t xml:space="preserve">GB30485 </w:t>
            </w:r>
            <w:r>
              <w:t>的要求进行处理。</w:t>
            </w:r>
            <w:r>
              <w:t xml:space="preserve"> </w:t>
            </w:r>
          </w:p>
          <w:p w14:paraId="6334D8D5" w14:textId="77777777" w:rsidR="002E474C" w:rsidRDefault="00000000">
            <w:pPr>
              <w:pStyle w:val="A-"/>
              <w:spacing w:line="260" w:lineRule="exact"/>
              <w:ind w:leftChars="-25" w:left="-53" w:rightChars="-25" w:right="-53"/>
              <w:jc w:val="both"/>
            </w:pPr>
            <w:r>
              <w:lastRenderedPageBreak/>
              <w:t xml:space="preserve">7.4.2  </w:t>
            </w:r>
            <w:r>
              <w:t>危险废物预处理设施和危险废物运输车辆清洗产生的废水处理污泥应作为危险废物进行管理和处置。</w:t>
            </w:r>
          </w:p>
        </w:tc>
        <w:tc>
          <w:tcPr>
            <w:tcW w:w="1133" w:type="pct"/>
            <w:vAlign w:val="center"/>
          </w:tcPr>
          <w:p w14:paraId="7D6F4FCC" w14:textId="77777777" w:rsidR="002E474C" w:rsidRDefault="00000000">
            <w:pPr>
              <w:pStyle w:val="A-"/>
              <w:spacing w:line="260" w:lineRule="exact"/>
              <w:ind w:leftChars="-25" w:left="-53" w:rightChars="-25" w:right="-53"/>
              <w:jc w:val="both"/>
            </w:pPr>
            <w:r>
              <w:lastRenderedPageBreak/>
              <w:t>本项目生产废水及废水处理污泥入窑焚烧不外排。</w:t>
            </w:r>
          </w:p>
        </w:tc>
        <w:tc>
          <w:tcPr>
            <w:tcW w:w="261" w:type="pct"/>
            <w:vAlign w:val="center"/>
          </w:tcPr>
          <w:p w14:paraId="32553EF2" w14:textId="77777777" w:rsidR="002E474C" w:rsidRDefault="00000000">
            <w:pPr>
              <w:pStyle w:val="A-"/>
              <w:spacing w:line="260" w:lineRule="exact"/>
            </w:pPr>
            <w:r>
              <w:t>符合</w:t>
            </w:r>
          </w:p>
        </w:tc>
      </w:tr>
      <w:tr w:rsidR="002E474C" w14:paraId="56DEC023" w14:textId="77777777">
        <w:tc>
          <w:tcPr>
            <w:tcW w:w="388" w:type="pct"/>
            <w:vMerge/>
            <w:vAlign w:val="center"/>
          </w:tcPr>
          <w:p w14:paraId="78489FB8" w14:textId="77777777" w:rsidR="002E474C" w:rsidRDefault="002E474C">
            <w:pPr>
              <w:pStyle w:val="A-"/>
              <w:spacing w:line="260" w:lineRule="exact"/>
            </w:pPr>
          </w:p>
        </w:tc>
        <w:tc>
          <w:tcPr>
            <w:tcW w:w="3218" w:type="pct"/>
            <w:vAlign w:val="center"/>
          </w:tcPr>
          <w:p w14:paraId="152448B6" w14:textId="77777777" w:rsidR="002E474C" w:rsidRDefault="00000000">
            <w:pPr>
              <w:pStyle w:val="A-"/>
              <w:spacing w:line="260" w:lineRule="exact"/>
              <w:ind w:leftChars="-25" w:left="-53" w:rightChars="-25" w:right="-53"/>
              <w:jc w:val="both"/>
            </w:pPr>
            <w:r>
              <w:t xml:space="preserve">7.5 </w:t>
            </w:r>
            <w:r>
              <w:t>其他污染物排放控制</w:t>
            </w:r>
            <w:r>
              <w:t xml:space="preserve"> </w:t>
            </w:r>
          </w:p>
          <w:p w14:paraId="2C063321" w14:textId="77777777" w:rsidR="002E474C" w:rsidRDefault="00000000">
            <w:pPr>
              <w:pStyle w:val="A-"/>
              <w:spacing w:line="260" w:lineRule="exact"/>
              <w:ind w:leftChars="-25" w:left="-53" w:rightChars="-25" w:right="-53"/>
              <w:jc w:val="both"/>
            </w:pPr>
            <w:r>
              <w:t xml:space="preserve">7.5.1 </w:t>
            </w:r>
            <w:r>
              <w:t>固体废物贮存、预处理等设施产生的废气应导入水泥窑高温区焚烧；或经过处理达到</w:t>
            </w:r>
            <w:r>
              <w:t xml:space="preserve">GB14554 </w:t>
            </w:r>
            <w:r>
              <w:t>规定的限值后排放。</w:t>
            </w:r>
            <w:r>
              <w:t xml:space="preserve"> </w:t>
            </w:r>
          </w:p>
          <w:p w14:paraId="04E437A2" w14:textId="77777777" w:rsidR="002E474C" w:rsidRDefault="00000000">
            <w:pPr>
              <w:pStyle w:val="A-"/>
              <w:spacing w:line="260" w:lineRule="exact"/>
              <w:ind w:leftChars="-25" w:left="-53" w:rightChars="-25" w:right="-53"/>
              <w:jc w:val="both"/>
            </w:pPr>
            <w:r>
              <w:t xml:space="preserve">7.5.2 </w:t>
            </w:r>
            <w:r>
              <w:t>协同处置固体废物的水泥生产企业厂界恶臭污染物限值应按照</w:t>
            </w:r>
            <w:r>
              <w:t xml:space="preserve"> GB14554 </w:t>
            </w:r>
            <w:r>
              <w:t>执行。</w:t>
            </w:r>
          </w:p>
        </w:tc>
        <w:tc>
          <w:tcPr>
            <w:tcW w:w="1133" w:type="pct"/>
            <w:vAlign w:val="center"/>
          </w:tcPr>
          <w:p w14:paraId="4236EFA2" w14:textId="77777777" w:rsidR="002E474C" w:rsidRDefault="00000000">
            <w:pPr>
              <w:pStyle w:val="A-"/>
              <w:spacing w:line="260" w:lineRule="exact"/>
              <w:ind w:leftChars="-25" w:left="-53" w:rightChars="-25" w:right="-53"/>
              <w:jc w:val="both"/>
            </w:pPr>
            <w:r>
              <w:t>本项目危废贮存废气导入废气净化设施处理后排放。</w:t>
            </w:r>
          </w:p>
        </w:tc>
        <w:tc>
          <w:tcPr>
            <w:tcW w:w="261" w:type="pct"/>
            <w:vAlign w:val="center"/>
          </w:tcPr>
          <w:p w14:paraId="5093F304" w14:textId="77777777" w:rsidR="002E474C" w:rsidRDefault="00000000">
            <w:pPr>
              <w:pStyle w:val="A-"/>
              <w:spacing w:line="260" w:lineRule="exact"/>
            </w:pPr>
            <w:r>
              <w:t>符合</w:t>
            </w:r>
          </w:p>
        </w:tc>
      </w:tr>
      <w:tr w:rsidR="002E474C" w14:paraId="3CF94A90" w14:textId="77777777">
        <w:tc>
          <w:tcPr>
            <w:tcW w:w="388" w:type="pct"/>
            <w:vAlign w:val="center"/>
          </w:tcPr>
          <w:p w14:paraId="3A7DD6D5" w14:textId="77777777" w:rsidR="002E474C" w:rsidRDefault="00000000">
            <w:pPr>
              <w:pStyle w:val="A-"/>
              <w:spacing w:line="260" w:lineRule="exact"/>
            </w:pPr>
            <w:r>
              <w:t>协同处置危险废物设施性能测试（试烧）要求</w:t>
            </w:r>
          </w:p>
        </w:tc>
        <w:tc>
          <w:tcPr>
            <w:tcW w:w="3218" w:type="pct"/>
            <w:vAlign w:val="center"/>
          </w:tcPr>
          <w:p w14:paraId="08A7743C" w14:textId="77777777" w:rsidR="002E474C" w:rsidRDefault="00000000">
            <w:pPr>
              <w:pStyle w:val="A-"/>
              <w:spacing w:line="260" w:lineRule="exact"/>
              <w:ind w:leftChars="-25" w:left="-53" w:rightChars="-25" w:right="-53"/>
              <w:jc w:val="both"/>
            </w:pPr>
            <w:r>
              <w:t xml:space="preserve">8.1.1 </w:t>
            </w:r>
            <w:r>
              <w:t>协同处置企业在首次开展危险废物协同处置之前，应对协同处置设施进行性能测试以检验和评价水泥窑在协同处置危险废物的过程中对有机化合物的焚毁去除能力以及对污染物排放的控制效果。</w:t>
            </w:r>
            <w:r>
              <w:t xml:space="preserve"> </w:t>
            </w:r>
            <w:r>
              <w:t>性能测试包括未投加废物的空白测试和投加危险废物的试烧测试。</w:t>
            </w:r>
            <w:r>
              <w:t xml:space="preserve"> </w:t>
            </w:r>
          </w:p>
          <w:p w14:paraId="1B22E6E2" w14:textId="77777777" w:rsidR="002E474C" w:rsidRDefault="00000000">
            <w:pPr>
              <w:pStyle w:val="A-"/>
              <w:spacing w:line="260" w:lineRule="exact"/>
              <w:ind w:leftChars="-25" w:left="-53" w:rightChars="-25" w:right="-53"/>
              <w:jc w:val="both"/>
            </w:pPr>
            <w:r>
              <w:t xml:space="preserve">8.1.2  </w:t>
            </w:r>
            <w:r>
              <w:t>空白测试工况为未投加危险废物进行正常水泥生产时的工况，并采用窑磨一体机模式。</w:t>
            </w:r>
            <w:r>
              <w:t xml:space="preserve">  </w:t>
            </w:r>
          </w:p>
          <w:p w14:paraId="250031B6" w14:textId="77777777" w:rsidR="002E474C" w:rsidRDefault="00000000">
            <w:pPr>
              <w:pStyle w:val="A-"/>
              <w:spacing w:line="260" w:lineRule="exact"/>
              <w:ind w:leftChars="-25" w:left="-53" w:rightChars="-25" w:right="-53"/>
              <w:jc w:val="both"/>
            </w:pPr>
            <w:r>
              <w:t xml:space="preserve">8.1.3  </w:t>
            </w:r>
            <w:r>
              <w:t>进行试烧测试时，应选择危险废物协同处置时的设计工况作为测试工况，采用窑磨一体机模式，按照危险废物设计的最大投加速率稳定投加危险废物，持续时间不小于</w:t>
            </w:r>
            <w:r>
              <w:t xml:space="preserve"> 12</w:t>
            </w:r>
            <w:r>
              <w:t>小时。</w:t>
            </w:r>
            <w:r>
              <w:t xml:space="preserve"> </w:t>
            </w:r>
          </w:p>
        </w:tc>
        <w:tc>
          <w:tcPr>
            <w:tcW w:w="1133" w:type="pct"/>
            <w:vAlign w:val="center"/>
          </w:tcPr>
          <w:p w14:paraId="137FE325" w14:textId="77777777" w:rsidR="002E474C" w:rsidRDefault="00000000">
            <w:pPr>
              <w:pStyle w:val="A-"/>
              <w:spacing w:line="260" w:lineRule="exact"/>
              <w:ind w:leftChars="-25" w:left="-53" w:rightChars="-25" w:right="-53"/>
              <w:jc w:val="both"/>
            </w:pPr>
            <w:r>
              <w:t>本项目实施后按要求开展协同处置危险废物设施性能测试。</w:t>
            </w:r>
          </w:p>
        </w:tc>
        <w:tc>
          <w:tcPr>
            <w:tcW w:w="261" w:type="pct"/>
            <w:vAlign w:val="center"/>
          </w:tcPr>
          <w:p w14:paraId="2C39B59E" w14:textId="77777777" w:rsidR="002E474C" w:rsidRDefault="00000000">
            <w:pPr>
              <w:pStyle w:val="A-"/>
              <w:spacing w:line="260" w:lineRule="exact"/>
            </w:pPr>
            <w:r>
              <w:t>符合</w:t>
            </w:r>
          </w:p>
        </w:tc>
      </w:tr>
      <w:tr w:rsidR="002E474C" w14:paraId="02999402" w14:textId="77777777">
        <w:tc>
          <w:tcPr>
            <w:tcW w:w="388" w:type="pct"/>
            <w:vAlign w:val="center"/>
          </w:tcPr>
          <w:p w14:paraId="42AE39D3" w14:textId="77777777" w:rsidR="002E474C" w:rsidRDefault="00000000">
            <w:pPr>
              <w:pStyle w:val="A-"/>
              <w:spacing w:line="260" w:lineRule="exact"/>
            </w:pPr>
            <w:r>
              <w:t>特殊废物协同处置技术要求</w:t>
            </w:r>
          </w:p>
        </w:tc>
        <w:tc>
          <w:tcPr>
            <w:tcW w:w="3218" w:type="pct"/>
            <w:vAlign w:val="center"/>
          </w:tcPr>
          <w:p w14:paraId="30ED2061" w14:textId="77777777" w:rsidR="002E474C" w:rsidRDefault="00000000">
            <w:pPr>
              <w:pStyle w:val="A-"/>
              <w:spacing w:line="260" w:lineRule="exact"/>
              <w:ind w:leftChars="-25" w:left="-53" w:rightChars="-25" w:right="-53"/>
              <w:jc w:val="both"/>
            </w:pPr>
            <w:r>
              <w:t xml:space="preserve">9.2 </w:t>
            </w:r>
            <w:r>
              <w:t>应急事件废物</w:t>
            </w:r>
            <w:r>
              <w:t xml:space="preserve"> </w:t>
            </w:r>
          </w:p>
          <w:p w14:paraId="14000315" w14:textId="77777777" w:rsidR="002E474C" w:rsidRDefault="00000000">
            <w:pPr>
              <w:pStyle w:val="A-"/>
              <w:spacing w:line="260" w:lineRule="exact"/>
              <w:ind w:leftChars="-25" w:left="-53" w:rightChars="-25" w:right="-53"/>
              <w:jc w:val="both"/>
            </w:pPr>
            <w:r>
              <w:t xml:space="preserve">9.2.1 </w:t>
            </w:r>
            <w:r>
              <w:t>协同处置应急事件废物应经当地省级环境保护主管部门的批准并接受其技术指导。</w:t>
            </w:r>
            <w:r>
              <w:t xml:space="preserve"> </w:t>
            </w:r>
          </w:p>
          <w:p w14:paraId="5F82E7F0" w14:textId="77777777" w:rsidR="002E474C" w:rsidRDefault="00000000">
            <w:pPr>
              <w:pStyle w:val="A-"/>
              <w:spacing w:line="260" w:lineRule="exact"/>
              <w:ind w:leftChars="-25" w:left="-53" w:rightChars="-25" w:right="-53"/>
              <w:jc w:val="both"/>
            </w:pPr>
            <w:r>
              <w:t xml:space="preserve">9.2.2 </w:t>
            </w:r>
            <w:r>
              <w:t>在对应急事件废物进行协同处置之前，应该根据废物产生源特性对废物进行必要的检测，确定废物特性后按照本标准要求确定协同处置方案。</w:t>
            </w:r>
            <w:r>
              <w:t xml:space="preserve"> </w:t>
            </w:r>
          </w:p>
          <w:p w14:paraId="3C08BB94" w14:textId="77777777" w:rsidR="002E474C" w:rsidRDefault="00000000">
            <w:pPr>
              <w:pStyle w:val="A-"/>
              <w:spacing w:line="260" w:lineRule="exact"/>
              <w:ind w:leftChars="-25" w:left="-53" w:rightChars="-25" w:right="-53"/>
              <w:jc w:val="both"/>
            </w:pPr>
            <w:r>
              <w:t xml:space="preserve">9.2.3 </w:t>
            </w:r>
            <w:r>
              <w:t>如果应急事件废物难以确定特性，应将该废物作为不明性质废物，按照第</w:t>
            </w:r>
            <w:r>
              <w:t xml:space="preserve"> 9.3 </w:t>
            </w:r>
            <w:r>
              <w:t>节规定处理。</w:t>
            </w:r>
            <w:r>
              <w:t xml:space="preserve"> </w:t>
            </w:r>
          </w:p>
          <w:p w14:paraId="3610EAFE" w14:textId="77777777" w:rsidR="002E474C" w:rsidRDefault="00000000">
            <w:pPr>
              <w:pStyle w:val="A-"/>
              <w:spacing w:line="260" w:lineRule="exact"/>
              <w:ind w:leftChars="-25" w:left="-53" w:rightChars="-25" w:right="-53"/>
              <w:jc w:val="both"/>
              <w:rPr>
                <w:spacing w:val="-6"/>
              </w:rPr>
            </w:pPr>
            <w:r>
              <w:rPr>
                <w:spacing w:val="-6"/>
              </w:rPr>
              <w:t xml:space="preserve">9.2.4 </w:t>
            </w:r>
            <w:r>
              <w:rPr>
                <w:spacing w:val="-6"/>
              </w:rPr>
              <w:t>应优先选择具有危险废物经营许可证的水泥窑设施对应急事件废物进行协同处置。如果受条件限制，经当地省级环境保护主管部门批准，可选择不具有危险废物经营许可证的水泥窑设施，该设施及相应的协同处置过程应满足本标准危险废物协同处置的相关要求，但第</w:t>
            </w:r>
            <w:r>
              <w:rPr>
                <w:spacing w:val="-6"/>
              </w:rPr>
              <w:t>4.1.1</w:t>
            </w:r>
            <w:r>
              <w:rPr>
                <w:spacing w:val="-6"/>
              </w:rPr>
              <w:t>条</w:t>
            </w:r>
            <w:r>
              <w:rPr>
                <w:spacing w:val="-6"/>
              </w:rPr>
              <w:t xml:space="preserve"> b </w:t>
            </w:r>
            <w:r>
              <w:rPr>
                <w:spacing w:val="-6"/>
              </w:rPr>
              <w:t>款、</w:t>
            </w:r>
            <w:r>
              <w:rPr>
                <w:spacing w:val="-6"/>
              </w:rPr>
              <w:t xml:space="preserve">10.1 </w:t>
            </w:r>
            <w:r>
              <w:rPr>
                <w:spacing w:val="-6"/>
              </w:rPr>
              <w:t>条除外。</w:t>
            </w:r>
          </w:p>
          <w:p w14:paraId="4213DE07" w14:textId="77777777" w:rsidR="002E474C" w:rsidRDefault="00000000">
            <w:pPr>
              <w:pStyle w:val="A-"/>
              <w:spacing w:line="260" w:lineRule="exact"/>
              <w:ind w:leftChars="-25" w:left="-53" w:rightChars="-25" w:right="-53"/>
              <w:jc w:val="both"/>
            </w:pPr>
            <w:r>
              <w:t xml:space="preserve">9.2.5 </w:t>
            </w:r>
            <w:r>
              <w:t>如果预计协同处置时间不超过</w:t>
            </w:r>
            <w:r>
              <w:t xml:space="preserve"> 3 </w:t>
            </w:r>
            <w:r>
              <w:t>个月，可以不经性能测试直接进行协同处置。如果预计协同处置时间超过</w:t>
            </w:r>
            <w:r>
              <w:t xml:space="preserve"> 3</w:t>
            </w:r>
            <w:r>
              <w:t>个月，则应按照协同处置方案确定的工况参数进行性能测试。性能测试时的试烧废物可采用拟协同处置的应急事件废物，有机标识物及其投加不受第</w:t>
            </w:r>
            <w:r>
              <w:t xml:space="preserve"> 8.1.4</w:t>
            </w:r>
            <w:r>
              <w:t>、</w:t>
            </w:r>
            <w:r>
              <w:t>8.1.5</w:t>
            </w:r>
            <w:r>
              <w:t>、</w:t>
            </w:r>
            <w:r>
              <w:t xml:space="preserve">8.1.7 </w:t>
            </w:r>
            <w:r>
              <w:t>条的限制。标识物可采用废物本身含有物质，按照设计的废物投加速率和废物本身含量投加。其他性能测试要求按照本标准第</w:t>
            </w:r>
            <w:r>
              <w:t>8</w:t>
            </w:r>
            <w:r>
              <w:t>章的相关规定执行。</w:t>
            </w:r>
            <w:r>
              <w:t xml:space="preserve"> </w:t>
            </w:r>
          </w:p>
          <w:p w14:paraId="0F397E86" w14:textId="77777777" w:rsidR="002E474C" w:rsidRDefault="00000000">
            <w:pPr>
              <w:pStyle w:val="A-"/>
              <w:spacing w:line="260" w:lineRule="exact"/>
              <w:ind w:leftChars="-25" w:left="-53" w:rightChars="-25" w:right="-53"/>
              <w:jc w:val="both"/>
            </w:pPr>
            <w:r>
              <w:t>9.2.6</w:t>
            </w:r>
            <w:r>
              <w:t>如果应急事件废物的协同处置时间超过</w:t>
            </w:r>
            <w:r>
              <w:t>1</w:t>
            </w:r>
            <w:r>
              <w:t>年，则不适用第</w:t>
            </w:r>
            <w:r>
              <w:t>9.2.4</w:t>
            </w:r>
            <w:r>
              <w:t>和</w:t>
            </w:r>
            <w:r>
              <w:t>9.2.5</w:t>
            </w:r>
            <w:r>
              <w:t>条的特殊规定，按常规危险废物协同处置的相关要求进行管理。</w:t>
            </w:r>
          </w:p>
        </w:tc>
        <w:tc>
          <w:tcPr>
            <w:tcW w:w="1133" w:type="pct"/>
            <w:vAlign w:val="center"/>
          </w:tcPr>
          <w:p w14:paraId="2BB79533" w14:textId="77777777" w:rsidR="002E474C" w:rsidRDefault="00000000">
            <w:pPr>
              <w:pStyle w:val="A-"/>
              <w:spacing w:line="260" w:lineRule="exact"/>
              <w:ind w:leftChars="-25" w:left="-53" w:rightChars="-25" w:right="-53"/>
              <w:jc w:val="both"/>
            </w:pPr>
            <w:r>
              <w:t>本项目按要求处置应急事件废物。</w:t>
            </w:r>
          </w:p>
        </w:tc>
        <w:tc>
          <w:tcPr>
            <w:tcW w:w="261" w:type="pct"/>
            <w:vAlign w:val="center"/>
          </w:tcPr>
          <w:p w14:paraId="3CE39A0C" w14:textId="77777777" w:rsidR="002E474C" w:rsidRDefault="00000000">
            <w:pPr>
              <w:pStyle w:val="A-"/>
              <w:spacing w:line="260" w:lineRule="exact"/>
            </w:pPr>
            <w:r>
              <w:t>符合</w:t>
            </w:r>
          </w:p>
        </w:tc>
      </w:tr>
      <w:bookmarkEnd w:id="29"/>
    </w:tbl>
    <w:p w14:paraId="58CFB571" w14:textId="77777777" w:rsidR="002E474C" w:rsidRDefault="002E474C">
      <w:pPr>
        <w:pStyle w:val="A-"/>
      </w:pPr>
    </w:p>
    <w:p w14:paraId="33708A0B" w14:textId="77777777" w:rsidR="002E474C" w:rsidRDefault="002E474C">
      <w:pPr>
        <w:pStyle w:val="A-z"/>
        <w:spacing w:beforeLines="50" w:before="120"/>
        <w:ind w:firstLineChars="0" w:firstLine="0"/>
        <w:rPr>
          <w:b/>
          <w:color w:val="auto"/>
        </w:rPr>
        <w:sectPr w:rsidR="002E474C">
          <w:pgSz w:w="16838" w:h="11906" w:orient="landscape"/>
          <w:pgMar w:top="1800" w:right="1440" w:bottom="1800" w:left="1440" w:header="851" w:footer="992" w:gutter="0"/>
          <w:cols w:space="720"/>
          <w:docGrid w:linePitch="312"/>
        </w:sectPr>
      </w:pPr>
    </w:p>
    <w:p w14:paraId="7F6C983E" w14:textId="77777777" w:rsidR="002E474C" w:rsidRDefault="00000000">
      <w:pPr>
        <w:pStyle w:val="A--"/>
        <w:rPr>
          <w:color w:val="auto"/>
        </w:rPr>
      </w:pPr>
      <w:r>
        <w:rPr>
          <w:color w:val="auto"/>
        </w:rPr>
        <w:lastRenderedPageBreak/>
        <w:t>表</w:t>
      </w:r>
      <w:r>
        <w:rPr>
          <w:color w:val="auto"/>
        </w:rPr>
        <w:t xml:space="preserve">1.4-9  </w:t>
      </w:r>
      <w:r>
        <w:rPr>
          <w:color w:val="auto"/>
        </w:rPr>
        <w:t>与《水泥窑协同处置固体废物技术规范》符合性分析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7116"/>
        <w:gridCol w:w="5300"/>
        <w:gridCol w:w="868"/>
      </w:tblGrid>
      <w:tr w:rsidR="002E474C" w14:paraId="1F02ACF6" w14:textId="77777777">
        <w:tc>
          <w:tcPr>
            <w:tcW w:w="2789" w:type="pct"/>
            <w:gridSpan w:val="2"/>
            <w:vAlign w:val="center"/>
          </w:tcPr>
          <w:p w14:paraId="041970F9" w14:textId="77777777" w:rsidR="002E474C" w:rsidRDefault="00000000">
            <w:pPr>
              <w:pStyle w:val="A-"/>
            </w:pPr>
            <w:r>
              <w:t>相关内容</w:t>
            </w:r>
          </w:p>
        </w:tc>
        <w:tc>
          <w:tcPr>
            <w:tcW w:w="1900" w:type="pct"/>
            <w:vAlign w:val="center"/>
          </w:tcPr>
          <w:p w14:paraId="5F0FAA0A" w14:textId="77777777" w:rsidR="002E474C" w:rsidRDefault="00000000">
            <w:pPr>
              <w:pStyle w:val="A-"/>
            </w:pPr>
            <w:r>
              <w:t>本项目情况</w:t>
            </w:r>
          </w:p>
        </w:tc>
        <w:tc>
          <w:tcPr>
            <w:tcW w:w="311" w:type="pct"/>
            <w:vAlign w:val="center"/>
          </w:tcPr>
          <w:p w14:paraId="76FB3A90" w14:textId="77777777" w:rsidR="002E474C" w:rsidRDefault="00000000">
            <w:pPr>
              <w:pStyle w:val="A-"/>
            </w:pPr>
            <w:r>
              <w:t>符合性</w:t>
            </w:r>
          </w:p>
        </w:tc>
      </w:tr>
      <w:tr w:rsidR="002E474C" w14:paraId="2AABEDED" w14:textId="77777777">
        <w:tc>
          <w:tcPr>
            <w:tcW w:w="238" w:type="pct"/>
            <w:vMerge w:val="restart"/>
            <w:vAlign w:val="center"/>
          </w:tcPr>
          <w:p w14:paraId="44B21C94" w14:textId="77777777" w:rsidR="002E474C" w:rsidRDefault="00000000">
            <w:pPr>
              <w:pStyle w:val="A-"/>
            </w:pPr>
            <w:r>
              <w:t>协同处置固体废物的鉴别和检测</w:t>
            </w:r>
          </w:p>
        </w:tc>
        <w:tc>
          <w:tcPr>
            <w:tcW w:w="2551" w:type="pct"/>
            <w:vAlign w:val="center"/>
          </w:tcPr>
          <w:p w14:paraId="7FFF30FB" w14:textId="77777777" w:rsidR="002E474C" w:rsidRDefault="00000000">
            <w:pPr>
              <w:pStyle w:val="A-"/>
              <w:ind w:leftChars="-25" w:left="-53" w:rightChars="-25" w:right="-53"/>
              <w:jc w:val="both"/>
            </w:pPr>
            <w:r>
              <w:t>4.1</w:t>
            </w:r>
            <w:r>
              <w:t>不应协同处置的废物</w:t>
            </w:r>
          </w:p>
          <w:p w14:paraId="7C06F781" w14:textId="77777777" w:rsidR="002E474C" w:rsidRDefault="00000000">
            <w:pPr>
              <w:pStyle w:val="A-"/>
              <w:ind w:leftChars="-25" w:left="-53" w:rightChars="-25" w:right="-53"/>
              <w:jc w:val="both"/>
            </w:pPr>
            <w:r>
              <w:t>下列固体废物不应入窑进行协同处置：</w:t>
            </w:r>
          </w:p>
          <w:p w14:paraId="3252067A" w14:textId="77777777" w:rsidR="002E474C" w:rsidRDefault="00000000">
            <w:pPr>
              <w:pStyle w:val="A-"/>
              <w:ind w:leftChars="-25" w:left="-53" w:rightChars="-25" w:right="-53"/>
              <w:jc w:val="both"/>
            </w:pPr>
            <w:r>
              <w:t>a)</w:t>
            </w:r>
            <w:r>
              <w:t>放射性废物；</w:t>
            </w:r>
          </w:p>
          <w:p w14:paraId="0FCF3E7B" w14:textId="77777777" w:rsidR="002E474C" w:rsidRDefault="00000000">
            <w:pPr>
              <w:pStyle w:val="A-"/>
              <w:ind w:leftChars="-25" w:left="-53" w:rightChars="-25" w:right="-53"/>
              <w:jc w:val="both"/>
            </w:pPr>
            <w:r>
              <w:t>b)</w:t>
            </w:r>
            <w:r>
              <w:t>具有传染性、爆炸性及反应性废物；</w:t>
            </w:r>
          </w:p>
          <w:p w14:paraId="1C9CA517" w14:textId="77777777" w:rsidR="002E474C" w:rsidRDefault="00000000">
            <w:pPr>
              <w:pStyle w:val="A-"/>
              <w:ind w:leftChars="-25" w:left="-53" w:rightChars="-25" w:right="-53"/>
              <w:jc w:val="both"/>
            </w:pPr>
            <w:r>
              <w:t>c)</w:t>
            </w:r>
            <w:r>
              <w:t>未经拆解的废电池、废家用电器和电子产品；</w:t>
            </w:r>
          </w:p>
          <w:p w14:paraId="407623DE" w14:textId="77777777" w:rsidR="002E474C" w:rsidRDefault="00000000">
            <w:pPr>
              <w:pStyle w:val="A-"/>
              <w:ind w:leftChars="-25" w:left="-53" w:rightChars="-25" w:right="-53"/>
              <w:jc w:val="both"/>
            </w:pPr>
            <w:r>
              <w:t>d)</w:t>
            </w:r>
            <w:r>
              <w:t>含录的温度计、血压计、荧光灯管和开关；</w:t>
            </w:r>
          </w:p>
          <w:p w14:paraId="0F4AE48D" w14:textId="77777777" w:rsidR="002E474C" w:rsidRDefault="00000000">
            <w:pPr>
              <w:pStyle w:val="A-"/>
              <w:ind w:leftChars="-25" w:left="-53" w:rightChars="-25" w:right="-53"/>
              <w:jc w:val="both"/>
            </w:pPr>
            <w:r>
              <w:t>e)</w:t>
            </w:r>
            <w:r>
              <w:t>有钙蜡烧工艺生产铭盐过程中产生的错渣；</w:t>
            </w:r>
          </w:p>
          <w:p w14:paraId="472EB416" w14:textId="77777777" w:rsidR="002E474C" w:rsidRDefault="00000000">
            <w:pPr>
              <w:pStyle w:val="A-"/>
              <w:ind w:leftChars="-25" w:left="-53" w:rightChars="-25" w:right="-53"/>
              <w:jc w:val="both"/>
            </w:pPr>
            <w:r>
              <w:t>f)</w:t>
            </w:r>
            <w:r>
              <w:t>石棉类废物；</w:t>
            </w:r>
          </w:p>
          <w:p w14:paraId="65BF990A" w14:textId="77777777" w:rsidR="002E474C" w:rsidRDefault="00000000">
            <w:pPr>
              <w:pStyle w:val="A-"/>
              <w:ind w:leftChars="-25" w:left="-53" w:rightChars="-25" w:right="-53"/>
              <w:jc w:val="both"/>
            </w:pPr>
            <w:r>
              <w:t>g)</w:t>
            </w:r>
            <w:r>
              <w:t>未知特性和未经鉴定的固体废物。</w:t>
            </w:r>
          </w:p>
        </w:tc>
        <w:tc>
          <w:tcPr>
            <w:tcW w:w="1900" w:type="pct"/>
            <w:vAlign w:val="center"/>
          </w:tcPr>
          <w:p w14:paraId="025F07CD" w14:textId="77777777" w:rsidR="002E474C" w:rsidRDefault="00000000">
            <w:pPr>
              <w:pStyle w:val="A-"/>
              <w:ind w:leftChars="-25" w:left="-53" w:rightChars="-25" w:right="-53"/>
              <w:jc w:val="both"/>
            </w:pPr>
            <w:r>
              <w:t>本项目不处置禁止协同处置的危险废物。</w:t>
            </w:r>
          </w:p>
        </w:tc>
        <w:tc>
          <w:tcPr>
            <w:tcW w:w="311" w:type="pct"/>
            <w:vAlign w:val="center"/>
          </w:tcPr>
          <w:p w14:paraId="12BAFDEB" w14:textId="77777777" w:rsidR="002E474C" w:rsidRDefault="00000000">
            <w:pPr>
              <w:pStyle w:val="A-"/>
            </w:pPr>
            <w:r>
              <w:t>符合</w:t>
            </w:r>
          </w:p>
        </w:tc>
      </w:tr>
      <w:tr w:rsidR="002E474C" w14:paraId="5A0684CF" w14:textId="77777777">
        <w:tc>
          <w:tcPr>
            <w:tcW w:w="238" w:type="pct"/>
            <w:vMerge/>
            <w:vAlign w:val="center"/>
          </w:tcPr>
          <w:p w14:paraId="20D36781" w14:textId="77777777" w:rsidR="002E474C" w:rsidRDefault="002E474C">
            <w:pPr>
              <w:pStyle w:val="A-"/>
            </w:pPr>
          </w:p>
        </w:tc>
        <w:tc>
          <w:tcPr>
            <w:tcW w:w="2551" w:type="pct"/>
            <w:vAlign w:val="center"/>
          </w:tcPr>
          <w:p w14:paraId="69368180" w14:textId="77777777" w:rsidR="002E474C" w:rsidRDefault="00000000">
            <w:pPr>
              <w:pStyle w:val="A-"/>
              <w:ind w:leftChars="-25" w:left="-53" w:rightChars="-25" w:right="-53"/>
              <w:jc w:val="both"/>
            </w:pPr>
            <w:r>
              <w:t>4.2</w:t>
            </w:r>
            <w:r>
              <w:t>协同处置固体废物的鉴别和分析</w:t>
            </w:r>
          </w:p>
          <w:p w14:paraId="6B12E9D5" w14:textId="77777777" w:rsidR="002E474C" w:rsidRDefault="00000000">
            <w:pPr>
              <w:pStyle w:val="A-"/>
              <w:ind w:leftChars="-25" w:left="-53" w:rightChars="-25" w:right="-53"/>
              <w:jc w:val="both"/>
            </w:pPr>
            <w:r>
              <w:t>水泥生产企业在接收固体废物之前，应对固体废物进行鉴别和分析，确定固体废物是否适宜水泥窑协同处置。相关程序包括：</w:t>
            </w:r>
          </w:p>
          <w:p w14:paraId="4FA18484" w14:textId="77777777" w:rsidR="002E474C" w:rsidRDefault="00000000">
            <w:pPr>
              <w:pStyle w:val="A-"/>
              <w:ind w:leftChars="-25" w:left="-53" w:rightChars="-25" w:right="-53"/>
              <w:jc w:val="both"/>
            </w:pPr>
            <w:r>
              <w:t>a)</w:t>
            </w:r>
            <w:r>
              <w:t>了解产生固体废物企业及工艺过程基本情况，确定固体废物种类、物理化学特性等基本属性。</w:t>
            </w:r>
          </w:p>
          <w:p w14:paraId="0265AAC7" w14:textId="77777777" w:rsidR="002E474C" w:rsidRDefault="00000000">
            <w:pPr>
              <w:pStyle w:val="A-"/>
              <w:ind w:leftChars="-25" w:left="-53" w:rightChars="-25" w:right="-53"/>
              <w:jc w:val="both"/>
            </w:pPr>
            <w:r>
              <w:t>b)</w:t>
            </w:r>
            <w:r>
              <w:t>列入《国家危险废物名录》或者根据</w:t>
            </w:r>
            <w:r>
              <w:t>HJ/T 298</w:t>
            </w:r>
            <w:r>
              <w:t>和</w:t>
            </w:r>
            <w:r>
              <w:t>GB 5085</w:t>
            </w:r>
            <w:r>
              <w:t>认定具有危险特性的废物按照</w:t>
            </w:r>
            <w:r>
              <w:t>HJ/T 298</w:t>
            </w:r>
            <w:r>
              <w:t>进行采样；一般废物按照</w:t>
            </w:r>
            <w:r>
              <w:t>HJ/T 20</w:t>
            </w:r>
            <w:r>
              <w:t>进行采样，记录并报告详细的采样信息。</w:t>
            </w:r>
          </w:p>
          <w:p w14:paraId="11553A36" w14:textId="77777777" w:rsidR="002E474C" w:rsidRDefault="00000000">
            <w:pPr>
              <w:pStyle w:val="A-"/>
              <w:ind w:leftChars="-25" w:left="-53" w:rightChars="-25" w:right="-53"/>
              <w:jc w:val="both"/>
            </w:pPr>
            <w:r>
              <w:t>c)</w:t>
            </w:r>
            <w:r>
              <w:t>危险废物按照</w:t>
            </w:r>
            <w:r>
              <w:t>HJ/T 298</w:t>
            </w:r>
            <w:r>
              <w:t>和</w:t>
            </w:r>
            <w:r>
              <w:t>GB 5085</w:t>
            </w:r>
            <w:r>
              <w:t>进行鉴别分析，确定危险废物的危害特性。</w:t>
            </w:r>
          </w:p>
          <w:p w14:paraId="0DA6D9A7" w14:textId="77777777" w:rsidR="002E474C" w:rsidRDefault="00000000">
            <w:pPr>
              <w:pStyle w:val="A-"/>
              <w:ind w:leftChars="-25" w:left="-53" w:rightChars="-25" w:right="-53"/>
              <w:jc w:val="both"/>
            </w:pPr>
            <w:r>
              <w:t>d)</w:t>
            </w:r>
            <w:r>
              <w:t>鉴别分析拟处置的固体废物特性，检测内容参见附录</w:t>
            </w:r>
            <w:r>
              <w:t>A</w:t>
            </w:r>
            <w:r>
              <w:t>。</w:t>
            </w:r>
          </w:p>
        </w:tc>
        <w:tc>
          <w:tcPr>
            <w:tcW w:w="1900" w:type="pct"/>
            <w:vAlign w:val="center"/>
          </w:tcPr>
          <w:p w14:paraId="54F89057" w14:textId="77777777" w:rsidR="002E474C" w:rsidRDefault="00000000">
            <w:pPr>
              <w:pStyle w:val="A-"/>
              <w:ind w:leftChars="-25" w:left="-53" w:rightChars="-25" w:right="-53"/>
              <w:jc w:val="both"/>
            </w:pPr>
            <w:r>
              <w:t>（</w:t>
            </w:r>
            <w:r>
              <w:t>1</w:t>
            </w:r>
            <w:r>
              <w:t>）本项目分析化验与质量控制工作依托</w:t>
            </w:r>
            <w:r>
              <w:rPr>
                <w:bCs/>
              </w:rPr>
              <w:t>预处理中心</w:t>
            </w:r>
            <w:r>
              <w:t>分析化验室。该分析化验室符合本规范相关规定。</w:t>
            </w:r>
          </w:p>
          <w:p w14:paraId="5EC64E0B" w14:textId="77777777" w:rsidR="002E474C" w:rsidRDefault="00000000">
            <w:pPr>
              <w:pStyle w:val="A-"/>
              <w:ind w:leftChars="-25" w:left="-53" w:rightChars="-25" w:right="-53"/>
              <w:jc w:val="both"/>
            </w:pPr>
            <w:r>
              <w:t>（</w:t>
            </w:r>
            <w:r>
              <w:t>2</w:t>
            </w:r>
            <w:r>
              <w:t>）本项目投运前，预处理中心和水泥生产企业应制订预处理产物质量标准并在当地质监部门进行备案。</w:t>
            </w:r>
          </w:p>
          <w:p w14:paraId="78ACE02C" w14:textId="77777777" w:rsidR="002E474C" w:rsidRDefault="00000000">
            <w:pPr>
              <w:pStyle w:val="A-"/>
              <w:ind w:leftChars="-25" w:left="-53" w:rightChars="-25" w:right="-53"/>
              <w:jc w:val="both"/>
            </w:pPr>
            <w:r>
              <w:t>（</w:t>
            </w:r>
            <w:r>
              <w:t>3</w:t>
            </w:r>
            <w:r>
              <w:t>）预处理产物质量标准中至少应规定预处理产物的重金属包括汞（</w:t>
            </w:r>
            <w:r>
              <w:t>Hg</w:t>
            </w:r>
            <w:r>
              <w:t>）、镉（</w:t>
            </w:r>
            <w:r>
              <w:t>Cd</w:t>
            </w:r>
            <w:r>
              <w:t>）、铊（</w:t>
            </w:r>
            <w:r>
              <w:t>Tl</w:t>
            </w:r>
            <w:r>
              <w:t>）、砷（</w:t>
            </w:r>
            <w:r>
              <w:t>As</w:t>
            </w:r>
            <w:r>
              <w:t>）、镍（</w:t>
            </w:r>
            <w:r>
              <w:t>Ni</w:t>
            </w:r>
            <w:r>
              <w:t>）、铅（</w:t>
            </w:r>
            <w:r>
              <w:t>Pb</w:t>
            </w:r>
            <w:r>
              <w:t>）、铬（</w:t>
            </w:r>
            <w:r>
              <w:t>Cr</w:t>
            </w:r>
            <w:r>
              <w:t>）、锡（</w:t>
            </w:r>
            <w:r>
              <w:t>Sn</w:t>
            </w:r>
            <w:r>
              <w:t>）、锑（</w:t>
            </w:r>
            <w:r>
              <w:t>Sb</w:t>
            </w:r>
            <w:r>
              <w:t>）、铜（</w:t>
            </w:r>
            <w:r>
              <w:t>Cu</w:t>
            </w:r>
            <w:r>
              <w:t>）、锰（</w:t>
            </w:r>
            <w:r>
              <w:t>Mn</w:t>
            </w:r>
            <w:r>
              <w:t>）、铍（</w:t>
            </w:r>
            <w:r>
              <w:t>Be</w:t>
            </w:r>
            <w:r>
              <w:t>）、锌（</w:t>
            </w:r>
            <w:r>
              <w:t>Zn</w:t>
            </w:r>
            <w:r>
              <w:t>）、钒（</w:t>
            </w:r>
            <w:r>
              <w:t>V</w:t>
            </w:r>
            <w:r>
              <w:t>）、钴（</w:t>
            </w:r>
            <w:r>
              <w:t>Co</w:t>
            </w:r>
            <w:r>
              <w:t>）、钼（</w:t>
            </w:r>
            <w:r>
              <w:t>Mo</w:t>
            </w:r>
            <w:r>
              <w:t>）以及硫（</w:t>
            </w:r>
            <w:r>
              <w:t>S</w:t>
            </w:r>
            <w:r>
              <w:t>）、氯（</w:t>
            </w:r>
            <w:r>
              <w:t>Cl</w:t>
            </w:r>
            <w:r>
              <w:t>）、氟（</w:t>
            </w:r>
            <w:r>
              <w:t>F</w:t>
            </w:r>
            <w:r>
              <w:t>）含量限值，预处理中心生产的并运送至水泥生产企业进行协同处置的预处理产物应满足预处理产物质量标准。</w:t>
            </w:r>
          </w:p>
        </w:tc>
        <w:tc>
          <w:tcPr>
            <w:tcW w:w="311" w:type="pct"/>
            <w:vAlign w:val="center"/>
          </w:tcPr>
          <w:p w14:paraId="1B20F292" w14:textId="77777777" w:rsidR="002E474C" w:rsidRDefault="00000000">
            <w:pPr>
              <w:pStyle w:val="A-"/>
            </w:pPr>
            <w:r>
              <w:t>符合</w:t>
            </w:r>
          </w:p>
        </w:tc>
      </w:tr>
      <w:tr w:rsidR="002E474C" w14:paraId="7D3F1C74" w14:textId="77777777">
        <w:tc>
          <w:tcPr>
            <w:tcW w:w="238" w:type="pct"/>
            <w:vMerge w:val="restart"/>
            <w:vAlign w:val="center"/>
          </w:tcPr>
          <w:p w14:paraId="4721D4C3" w14:textId="77777777" w:rsidR="002E474C" w:rsidRDefault="00000000">
            <w:pPr>
              <w:pStyle w:val="A-"/>
            </w:pPr>
            <w:r>
              <w:t>生产处置管理要求和工艺技术</w:t>
            </w:r>
          </w:p>
        </w:tc>
        <w:tc>
          <w:tcPr>
            <w:tcW w:w="2551" w:type="pct"/>
            <w:vAlign w:val="center"/>
          </w:tcPr>
          <w:p w14:paraId="77EC1554" w14:textId="77777777" w:rsidR="002E474C" w:rsidRDefault="00000000">
            <w:pPr>
              <w:pStyle w:val="A-"/>
              <w:ind w:leftChars="-25" w:left="-53" w:rightChars="-25" w:right="-53"/>
              <w:jc w:val="both"/>
            </w:pPr>
            <w:r>
              <w:t>5.1</w:t>
            </w:r>
            <w:r>
              <w:t>水泥窑协同处置固体废物的管理要求</w:t>
            </w:r>
          </w:p>
          <w:p w14:paraId="36FB2536" w14:textId="77777777" w:rsidR="002E474C" w:rsidRDefault="00000000">
            <w:pPr>
              <w:pStyle w:val="A-"/>
              <w:ind w:leftChars="-25" w:left="-53" w:rightChars="-25" w:right="-53"/>
              <w:jc w:val="both"/>
            </w:pPr>
            <w:r>
              <w:t>5.1.1</w:t>
            </w:r>
            <w:r>
              <w:t>协同处置固体废物企业应设立处置废物的管理机构，建立健全各项管理制度并有专职人员负责处置固体废物技术管理、环境保护和安全管理等工作。</w:t>
            </w:r>
          </w:p>
          <w:p w14:paraId="5BCF5F75" w14:textId="77777777" w:rsidR="002E474C" w:rsidRDefault="00000000">
            <w:pPr>
              <w:pStyle w:val="A-"/>
              <w:ind w:leftChars="-25" w:left="-53" w:rightChars="-25" w:right="-53"/>
              <w:jc w:val="both"/>
            </w:pPr>
            <w:r>
              <w:t>5.1.2</w:t>
            </w:r>
            <w:r>
              <w:t>专业技术人员配置宜满足</w:t>
            </w:r>
            <w:r>
              <w:t>HJ662</w:t>
            </w:r>
            <w:r>
              <w:t>相关要求；处置危险废物的企业应配备具有资质的专职安全管理人员；所有岗位的人员均应进行水泥窑协同处置固体废物相关知识及技能的培训。</w:t>
            </w:r>
          </w:p>
          <w:p w14:paraId="3D8DF959" w14:textId="77777777" w:rsidR="002E474C" w:rsidRDefault="00000000">
            <w:pPr>
              <w:pStyle w:val="A-"/>
              <w:ind w:leftChars="-25" w:left="-53" w:rightChars="-25" w:right="-53"/>
              <w:jc w:val="both"/>
            </w:pPr>
            <w:r>
              <w:t>5.1.3</w:t>
            </w:r>
            <w:r>
              <w:t>协同处置水泥企业宜通过</w:t>
            </w:r>
            <w:r>
              <w:t>GB/T19001</w:t>
            </w:r>
            <w:r>
              <w:t>、</w:t>
            </w:r>
            <w:r>
              <w:t>GB/T24001</w:t>
            </w:r>
            <w:r>
              <w:t>、</w:t>
            </w:r>
            <w:r>
              <w:t>GB/T45001</w:t>
            </w:r>
            <w:r>
              <w:t>认证。</w:t>
            </w:r>
          </w:p>
        </w:tc>
        <w:tc>
          <w:tcPr>
            <w:tcW w:w="1900" w:type="pct"/>
            <w:vAlign w:val="center"/>
          </w:tcPr>
          <w:p w14:paraId="0AA3B01D" w14:textId="77777777" w:rsidR="002E474C" w:rsidRDefault="00000000">
            <w:pPr>
              <w:pStyle w:val="A-"/>
              <w:ind w:leftChars="-25" w:left="-53" w:rightChars="-25" w:right="-53"/>
              <w:jc w:val="both"/>
            </w:pPr>
            <w:r>
              <w:t>本项目设置处置废物的管理机构，建立健全各项管理制度井有专职人员负责处置危险废物管理及环境保护有关工作；所有岗位的人员均进行有关水泥窑协同处置危险废物相关知识及技能的培训。</w:t>
            </w:r>
          </w:p>
        </w:tc>
        <w:tc>
          <w:tcPr>
            <w:tcW w:w="311" w:type="pct"/>
            <w:vAlign w:val="center"/>
          </w:tcPr>
          <w:p w14:paraId="44A807C6" w14:textId="77777777" w:rsidR="002E474C" w:rsidRDefault="00000000">
            <w:pPr>
              <w:pStyle w:val="A-"/>
            </w:pPr>
            <w:r>
              <w:t>符合</w:t>
            </w:r>
          </w:p>
        </w:tc>
      </w:tr>
      <w:tr w:rsidR="002E474C" w14:paraId="2F8353FF" w14:textId="77777777">
        <w:tc>
          <w:tcPr>
            <w:tcW w:w="238" w:type="pct"/>
            <w:vMerge/>
            <w:vAlign w:val="center"/>
          </w:tcPr>
          <w:p w14:paraId="7933930F" w14:textId="77777777" w:rsidR="002E474C" w:rsidRDefault="002E474C">
            <w:pPr>
              <w:pStyle w:val="A-"/>
            </w:pPr>
          </w:p>
        </w:tc>
        <w:tc>
          <w:tcPr>
            <w:tcW w:w="2551" w:type="pct"/>
            <w:vAlign w:val="center"/>
          </w:tcPr>
          <w:p w14:paraId="4A9DAFA5" w14:textId="77777777" w:rsidR="002E474C" w:rsidRDefault="00000000">
            <w:pPr>
              <w:pStyle w:val="A-"/>
              <w:ind w:leftChars="-25" w:left="-53" w:rightChars="-25" w:right="-53"/>
              <w:jc w:val="both"/>
            </w:pPr>
            <w:r>
              <w:t>5.2</w:t>
            </w:r>
            <w:r>
              <w:t>水泥窑协同处置设施场地与贮存</w:t>
            </w:r>
          </w:p>
          <w:p w14:paraId="1E6816E6" w14:textId="77777777" w:rsidR="002E474C" w:rsidRDefault="00000000">
            <w:pPr>
              <w:pStyle w:val="A-"/>
              <w:ind w:leftChars="-25" w:left="-53" w:rightChars="-25" w:right="-53"/>
              <w:jc w:val="both"/>
            </w:pPr>
            <w:r>
              <w:t>5.2.1</w:t>
            </w:r>
            <w:r>
              <w:t>水泥窑协同处置固体废物设施场地应满足</w:t>
            </w:r>
            <w:r>
              <w:t>GB30485</w:t>
            </w:r>
            <w:r>
              <w:t>、</w:t>
            </w:r>
            <w:r>
              <w:t>GB18597</w:t>
            </w:r>
            <w:r>
              <w:t>、</w:t>
            </w:r>
            <w:r>
              <w:t>HJ662</w:t>
            </w:r>
            <w:r>
              <w:t>要求。贮存设施防火要求应满足</w:t>
            </w:r>
            <w:r>
              <w:t>GB50016</w:t>
            </w:r>
            <w:r>
              <w:t>的要求。贮存设施宜建设围墙或栅栏等隔离设施，并在设施边界周围设置防飞扬设施、安全防护设施及防火隔离带。</w:t>
            </w:r>
          </w:p>
          <w:p w14:paraId="1A4333BF" w14:textId="77777777" w:rsidR="002E474C" w:rsidRDefault="00000000">
            <w:pPr>
              <w:pStyle w:val="A-"/>
              <w:ind w:leftChars="-25" w:left="-53" w:rightChars="-25" w:right="-53"/>
              <w:jc w:val="both"/>
            </w:pPr>
            <w:r>
              <w:t>5.2.2</w:t>
            </w:r>
            <w:r>
              <w:t>对于有挥发性或化工恶臭的固体废物，应在密闭条件或微负压条件下贮存。固体废物的贮存设施应有必要的防渗性能。贮存设施内产生的废气和渗滤液，应根据各自的性质，按照</w:t>
            </w:r>
            <w:r>
              <w:t>GB30485</w:t>
            </w:r>
            <w:r>
              <w:t>、</w:t>
            </w:r>
            <w:r>
              <w:t>GB8978</w:t>
            </w:r>
            <w:r>
              <w:t>相关要求处理和排放。</w:t>
            </w:r>
          </w:p>
        </w:tc>
        <w:tc>
          <w:tcPr>
            <w:tcW w:w="1900" w:type="pct"/>
            <w:vAlign w:val="center"/>
          </w:tcPr>
          <w:p w14:paraId="1F24F716" w14:textId="77777777" w:rsidR="002E474C" w:rsidRDefault="00000000">
            <w:pPr>
              <w:pStyle w:val="A-"/>
              <w:ind w:leftChars="-25" w:left="-53" w:rightChars="-25" w:right="-53"/>
              <w:jc w:val="both"/>
            </w:pPr>
            <w:r>
              <w:t>（</w:t>
            </w:r>
            <w:r>
              <w:t>1</w:t>
            </w:r>
            <w:r>
              <w:t>）本项目设置废贮存库及固态危废预处理车间分类分区贮存，能够保证危险废物不与水泥生产原料、燃料和产品混合贮存。</w:t>
            </w:r>
          </w:p>
          <w:p w14:paraId="6827D285" w14:textId="77777777" w:rsidR="002E474C" w:rsidRDefault="00000000">
            <w:pPr>
              <w:pStyle w:val="A-"/>
              <w:ind w:leftChars="-25" w:left="-53" w:rightChars="-25" w:right="-53"/>
              <w:jc w:val="both"/>
            </w:pPr>
            <w:r>
              <w:t>（</w:t>
            </w:r>
            <w:r>
              <w:t>2</w:t>
            </w:r>
            <w:r>
              <w:t>）设计、安全防护、污染防治等满足</w:t>
            </w:r>
            <w:r>
              <w:t>GB18597</w:t>
            </w:r>
            <w:r>
              <w:t>、</w:t>
            </w:r>
            <w:r>
              <w:t>GB 55037</w:t>
            </w:r>
            <w:r>
              <w:t>和</w:t>
            </w:r>
            <w:r>
              <w:t>HJ/T176</w:t>
            </w:r>
            <w:r>
              <w:t>中的相关要求。贮存库负压运行，废气、废液均入窑焚烧。</w:t>
            </w:r>
          </w:p>
        </w:tc>
        <w:tc>
          <w:tcPr>
            <w:tcW w:w="311" w:type="pct"/>
            <w:vAlign w:val="center"/>
          </w:tcPr>
          <w:p w14:paraId="5AC415C0" w14:textId="77777777" w:rsidR="002E474C" w:rsidRDefault="00000000">
            <w:pPr>
              <w:pStyle w:val="A-"/>
            </w:pPr>
            <w:r>
              <w:t>符合</w:t>
            </w:r>
          </w:p>
        </w:tc>
      </w:tr>
      <w:tr w:rsidR="002E474C" w14:paraId="7AD0878A" w14:textId="77777777">
        <w:tc>
          <w:tcPr>
            <w:tcW w:w="238" w:type="pct"/>
            <w:vMerge/>
            <w:vAlign w:val="center"/>
          </w:tcPr>
          <w:p w14:paraId="5C3A3108" w14:textId="77777777" w:rsidR="002E474C" w:rsidRDefault="002E474C">
            <w:pPr>
              <w:pStyle w:val="A-"/>
            </w:pPr>
          </w:p>
        </w:tc>
        <w:tc>
          <w:tcPr>
            <w:tcW w:w="2551" w:type="pct"/>
            <w:vAlign w:val="center"/>
          </w:tcPr>
          <w:p w14:paraId="3F77E01D" w14:textId="77777777" w:rsidR="002E474C" w:rsidRDefault="00000000">
            <w:pPr>
              <w:pStyle w:val="A-"/>
              <w:ind w:leftChars="-25" w:left="-53" w:rightChars="-25" w:right="-53"/>
              <w:jc w:val="both"/>
            </w:pPr>
            <w:r>
              <w:t>5.3</w:t>
            </w:r>
            <w:r>
              <w:t>水泥窑协同处置过程中固体废物的输送</w:t>
            </w:r>
          </w:p>
          <w:p w14:paraId="74DD9B10" w14:textId="77777777" w:rsidR="002E474C" w:rsidRDefault="00000000">
            <w:pPr>
              <w:pStyle w:val="A-"/>
              <w:ind w:leftChars="-25" w:left="-53" w:rightChars="-25" w:right="-53"/>
              <w:jc w:val="both"/>
            </w:pPr>
            <w:r>
              <w:t>5.3.1</w:t>
            </w:r>
            <w:r>
              <w:t>在生产处置厂区内可采用机械、气力、汽车等方式输送、转运固体废物，输送、转运过程中要有防扬尘、防异味发散、防泄漏等技术措施。厂区内宜有明确的机械、气力等输送装备或车辆专门通道，并设有明确醒目的标志标识；废气、废液的输送、转运管道应有明确醒目的方向、速度等标志标识。</w:t>
            </w:r>
          </w:p>
          <w:p w14:paraId="7492AF8B" w14:textId="77777777" w:rsidR="002E474C" w:rsidRDefault="00000000">
            <w:pPr>
              <w:pStyle w:val="A-"/>
              <w:ind w:leftChars="-25" w:left="-53" w:rightChars="-25" w:right="-53"/>
              <w:jc w:val="both"/>
            </w:pPr>
            <w:r>
              <w:t>5.3.2</w:t>
            </w:r>
            <w:r>
              <w:t>危险废物的输送、转运应满足</w:t>
            </w:r>
            <w:r>
              <w:t>HJ2025</w:t>
            </w:r>
            <w:r>
              <w:t>的要求。输送、转运管道应根据物料的安全等级设置对应的防爆技术措施。</w:t>
            </w:r>
          </w:p>
          <w:p w14:paraId="3A6555B7" w14:textId="77777777" w:rsidR="002E474C" w:rsidRDefault="00000000">
            <w:pPr>
              <w:pStyle w:val="A-"/>
              <w:ind w:leftChars="-25" w:left="-53" w:rightChars="-25" w:right="-53"/>
              <w:jc w:val="both"/>
            </w:pPr>
            <w:r>
              <w:t>5.3.3</w:t>
            </w:r>
            <w:r>
              <w:t>有挥发性或化工恶臭的固体废物，应在密闭或负压条件下输送、转运，产生的废气应导入水泥窑中或是通过空气过滤装置后达标排放。</w:t>
            </w:r>
          </w:p>
        </w:tc>
        <w:tc>
          <w:tcPr>
            <w:tcW w:w="1900" w:type="pct"/>
            <w:vAlign w:val="center"/>
          </w:tcPr>
          <w:p w14:paraId="5C962ED0" w14:textId="77777777" w:rsidR="002E474C" w:rsidRDefault="00000000">
            <w:pPr>
              <w:pStyle w:val="A-"/>
              <w:ind w:leftChars="-25" w:left="-53" w:rightChars="-25" w:right="-53"/>
              <w:jc w:val="both"/>
            </w:pPr>
            <w:r>
              <w:t>（</w:t>
            </w:r>
            <w:r>
              <w:t>1</w:t>
            </w:r>
            <w:r>
              <w:t>）本项目采用封闭汽车、封闭提升机和管道输送等密闭输送设备输送固体废物，同时局安全等级设置对应的防爆技术措施。有挥发性或化工恶臭的固体废物在密闭条件下进行输送、转运。</w:t>
            </w:r>
          </w:p>
          <w:p w14:paraId="088EB988" w14:textId="77777777" w:rsidR="002E474C" w:rsidRDefault="00000000">
            <w:pPr>
              <w:pStyle w:val="A-"/>
              <w:ind w:leftChars="-25" w:left="-53" w:rightChars="-25" w:right="-53"/>
              <w:jc w:val="both"/>
            </w:pPr>
            <w:r>
              <w:t>（</w:t>
            </w:r>
            <w:r>
              <w:t>2</w:t>
            </w:r>
            <w:r>
              <w:t>）本项目危废贮存库、固态危废预处理车间和液态处置车间、无机危废投料系统等均为密闭设施并设负压系统。</w:t>
            </w:r>
          </w:p>
          <w:p w14:paraId="66705352" w14:textId="77777777" w:rsidR="002E474C" w:rsidRDefault="00000000">
            <w:pPr>
              <w:pStyle w:val="A-"/>
              <w:ind w:leftChars="-25" w:left="-53" w:rightChars="-25" w:right="-53"/>
              <w:jc w:val="both"/>
            </w:pPr>
            <w:r>
              <w:t>（</w:t>
            </w:r>
            <w:r>
              <w:t>3</w:t>
            </w:r>
            <w:r>
              <w:t>）危废贮存库及固态危废预处理车间设负压及其设施，集气采用气体净化设施处理后达标排放。固态加料系统和液态处置车间产生的废气导入水泥窑高温区焚烧，停窑时清空存量废物，设备空置停用，无危废存放、投加与过滤生产，不产生废气。</w:t>
            </w:r>
          </w:p>
        </w:tc>
        <w:tc>
          <w:tcPr>
            <w:tcW w:w="311" w:type="pct"/>
            <w:vAlign w:val="center"/>
          </w:tcPr>
          <w:p w14:paraId="7E39647A" w14:textId="77777777" w:rsidR="002E474C" w:rsidRDefault="00000000">
            <w:pPr>
              <w:pStyle w:val="A-"/>
            </w:pPr>
            <w:r>
              <w:t>符合</w:t>
            </w:r>
          </w:p>
        </w:tc>
      </w:tr>
      <w:tr w:rsidR="002E474C" w14:paraId="746D5A88" w14:textId="77777777">
        <w:tc>
          <w:tcPr>
            <w:tcW w:w="238" w:type="pct"/>
            <w:vMerge/>
            <w:vAlign w:val="center"/>
          </w:tcPr>
          <w:p w14:paraId="2CECB6A4" w14:textId="77777777" w:rsidR="002E474C" w:rsidRDefault="002E474C">
            <w:pPr>
              <w:pStyle w:val="A-"/>
            </w:pPr>
          </w:p>
        </w:tc>
        <w:tc>
          <w:tcPr>
            <w:tcW w:w="2551" w:type="pct"/>
            <w:vAlign w:val="center"/>
          </w:tcPr>
          <w:p w14:paraId="10276EA6" w14:textId="77777777" w:rsidR="002E474C" w:rsidRDefault="00000000">
            <w:pPr>
              <w:pStyle w:val="A-"/>
              <w:ind w:leftChars="-25" w:left="-53" w:rightChars="-25" w:right="-53"/>
              <w:jc w:val="both"/>
            </w:pPr>
            <w:r>
              <w:t>5.4</w:t>
            </w:r>
            <w:r>
              <w:t>水泥协同处置厂区内固体废物的预处理</w:t>
            </w:r>
          </w:p>
          <w:p w14:paraId="53CC8B34" w14:textId="77777777" w:rsidR="002E474C" w:rsidRDefault="00000000">
            <w:pPr>
              <w:pStyle w:val="A-"/>
              <w:ind w:leftChars="-25" w:left="-53" w:rightChars="-25" w:right="-53"/>
              <w:jc w:val="both"/>
            </w:pPr>
            <w:r>
              <w:t>5.4.1</w:t>
            </w:r>
            <w:r>
              <w:t>为适应水泥窑处置的要求，可在生产处置厂区内对固体废物进行预处理，包括化学处理，如酸碱中和、氧化等；物理处理，如浮选、磁选、水洗、破碎、粉磨、烘干等；生物处理，如厌氧发酵、好氧发酵、生物分解等。</w:t>
            </w:r>
          </w:p>
          <w:p w14:paraId="69052CDE" w14:textId="77777777" w:rsidR="002E474C" w:rsidRDefault="00000000">
            <w:pPr>
              <w:pStyle w:val="A-"/>
              <w:ind w:leftChars="-25" w:left="-53" w:rightChars="-25" w:right="-53"/>
              <w:jc w:val="both"/>
            </w:pPr>
            <w:r>
              <w:t>5.4.2</w:t>
            </w:r>
            <w:r>
              <w:t>预处理工艺过程应有防扬尘、防异味发散、防泄漏、防噪音等技术措施；宜在密闭或负压条件下进行预处理。</w:t>
            </w:r>
          </w:p>
          <w:p w14:paraId="06973ED5" w14:textId="77777777" w:rsidR="002E474C" w:rsidRDefault="00000000">
            <w:pPr>
              <w:pStyle w:val="A-"/>
              <w:ind w:leftChars="-25" w:left="-53" w:rightChars="-25" w:right="-53"/>
              <w:jc w:val="both"/>
            </w:pPr>
            <w:r>
              <w:t>5.4.3</w:t>
            </w:r>
            <w:r>
              <w:t>预处理过程产生的废气和废液，应根据各自的性质，按照</w:t>
            </w:r>
            <w:r>
              <w:t>GB30485</w:t>
            </w:r>
            <w:r>
              <w:t>、</w:t>
            </w:r>
            <w:r>
              <w:t>GB8978</w:t>
            </w:r>
            <w:r>
              <w:t>相关要求处理和排放。</w:t>
            </w:r>
          </w:p>
        </w:tc>
        <w:tc>
          <w:tcPr>
            <w:tcW w:w="1900" w:type="pct"/>
            <w:vAlign w:val="center"/>
          </w:tcPr>
          <w:p w14:paraId="7352205B" w14:textId="77777777" w:rsidR="002E474C" w:rsidRDefault="00000000">
            <w:pPr>
              <w:pStyle w:val="A-"/>
              <w:ind w:leftChars="-25" w:left="-53" w:rightChars="-25" w:right="-53"/>
              <w:jc w:val="both"/>
            </w:pPr>
            <w:r>
              <w:rPr>
                <w:bCs/>
              </w:rPr>
              <w:t>本项目采取分散联合经营模式运行，</w:t>
            </w:r>
            <w:r>
              <w:rPr>
                <w:rFonts w:hint="eastAsia"/>
                <w:bCs/>
              </w:rPr>
              <w:t>主要依托预处理中心提供预处理产物</w:t>
            </w:r>
            <w:r>
              <w:rPr>
                <w:bCs/>
              </w:rPr>
              <w:t>，</w:t>
            </w:r>
            <w:r>
              <w:rPr>
                <w:spacing w:val="-6"/>
              </w:rPr>
              <w:t>仅在</w:t>
            </w:r>
            <w:r>
              <w:rPr>
                <w:rFonts w:hint="eastAsia"/>
                <w:spacing w:val="-6"/>
              </w:rPr>
              <w:t>本项目</w:t>
            </w:r>
            <w:r>
              <w:rPr>
                <w:spacing w:val="-6"/>
              </w:rPr>
              <w:t>固态危废预处理车间破碎废弃包装物</w:t>
            </w:r>
            <w:r>
              <w:rPr>
                <w:rFonts w:hint="eastAsia"/>
                <w:spacing w:val="-6"/>
              </w:rPr>
              <w:t>和</w:t>
            </w:r>
            <w:r>
              <w:rPr>
                <w:spacing w:val="-6"/>
              </w:rPr>
              <w:t>不满足直接入窑处置</w:t>
            </w:r>
            <w:r>
              <w:rPr>
                <w:rFonts w:hint="eastAsia"/>
                <w:spacing w:val="-6"/>
              </w:rPr>
              <w:t>要求</w:t>
            </w:r>
            <w:r>
              <w:rPr>
                <w:spacing w:val="-6"/>
              </w:rPr>
              <w:t>的物料</w:t>
            </w:r>
            <w:r>
              <w:rPr>
                <w:rFonts w:hint="eastAsia"/>
                <w:spacing w:val="-6"/>
              </w:rPr>
              <w:t>，</w:t>
            </w:r>
            <w:r>
              <w:rPr>
                <w:spacing w:val="-6"/>
              </w:rPr>
              <w:t>在液态处置车间对投料废液进行过滤处理</w:t>
            </w:r>
            <w:r>
              <w:t>。固态危废预处理车间和液态处置车间均设置负压系统，并对废气和废液、废水收集处理。</w:t>
            </w:r>
          </w:p>
        </w:tc>
        <w:tc>
          <w:tcPr>
            <w:tcW w:w="311" w:type="pct"/>
            <w:vAlign w:val="center"/>
          </w:tcPr>
          <w:p w14:paraId="30B03EFE" w14:textId="77777777" w:rsidR="002E474C" w:rsidRDefault="00000000">
            <w:pPr>
              <w:pStyle w:val="A-"/>
            </w:pPr>
            <w:r>
              <w:t>符合</w:t>
            </w:r>
          </w:p>
        </w:tc>
      </w:tr>
      <w:tr w:rsidR="002E474C" w14:paraId="0832B933" w14:textId="77777777">
        <w:tc>
          <w:tcPr>
            <w:tcW w:w="238" w:type="pct"/>
            <w:vMerge/>
            <w:vAlign w:val="center"/>
          </w:tcPr>
          <w:p w14:paraId="2236FF74" w14:textId="77777777" w:rsidR="002E474C" w:rsidRDefault="002E474C">
            <w:pPr>
              <w:pStyle w:val="A-"/>
            </w:pPr>
          </w:p>
        </w:tc>
        <w:tc>
          <w:tcPr>
            <w:tcW w:w="2551" w:type="pct"/>
            <w:vAlign w:val="center"/>
          </w:tcPr>
          <w:p w14:paraId="32F2DC49" w14:textId="77777777" w:rsidR="002E474C" w:rsidRDefault="00000000">
            <w:pPr>
              <w:pStyle w:val="A-"/>
              <w:ind w:leftChars="-25" w:left="-53" w:rightChars="-25" w:right="-53"/>
              <w:jc w:val="both"/>
            </w:pPr>
            <w:r>
              <w:t>5.5</w:t>
            </w:r>
            <w:r>
              <w:t>水泥窑工艺技术装备及运行</w:t>
            </w:r>
          </w:p>
          <w:p w14:paraId="29F99983" w14:textId="77777777" w:rsidR="002E474C" w:rsidRDefault="00000000">
            <w:pPr>
              <w:pStyle w:val="A-"/>
              <w:ind w:leftChars="-25" w:left="-53" w:rightChars="-25" w:right="-53"/>
              <w:jc w:val="both"/>
            </w:pPr>
            <w:r>
              <w:t>5.5.1</w:t>
            </w:r>
            <w:r>
              <w:t>协同处置固体废物的水泥窑应是新型干法预分解窑</w:t>
            </w:r>
            <w:r>
              <w:t>,</w:t>
            </w:r>
            <w:r>
              <w:t>应具备生产质量控制系统、生产管理信息分析系统。水泥窑在协同处置固体废物时，应保证窑炉及</w:t>
            </w:r>
            <w:r>
              <w:lastRenderedPageBreak/>
              <w:t>其他工艺设备的正常稳定运行。在水泥窑或烟气除尘设备出现不正常状况时，应自动联机停止固体废物投料。</w:t>
            </w:r>
          </w:p>
          <w:p w14:paraId="67830AE2" w14:textId="77777777" w:rsidR="002E474C" w:rsidRDefault="00000000">
            <w:pPr>
              <w:pStyle w:val="A-"/>
              <w:ind w:leftChars="-25" w:left="-53" w:rightChars="-25" w:right="-53"/>
              <w:jc w:val="both"/>
            </w:pPr>
            <w:r>
              <w:t>5.5.2</w:t>
            </w:r>
            <w:r>
              <w:t>窑炉烟气排放采用高效除尘器作为除尘设施，除尘器的同步运转率为</w:t>
            </w:r>
            <w:r>
              <w:t>100%</w:t>
            </w:r>
            <w:r>
              <w:t>。</w:t>
            </w:r>
          </w:p>
          <w:p w14:paraId="29456734" w14:textId="77777777" w:rsidR="002E474C" w:rsidRDefault="00000000">
            <w:pPr>
              <w:pStyle w:val="A-"/>
              <w:ind w:leftChars="-25" w:left="-53" w:rightChars="-25" w:right="-53"/>
              <w:jc w:val="both"/>
            </w:pPr>
            <w:r>
              <w:t>5.5.3</w:t>
            </w:r>
            <w:r>
              <w:t>水泥窑及窑尾余热利用系统窑尾排气筒应满足</w:t>
            </w:r>
            <w:r>
              <w:t>HJ76</w:t>
            </w:r>
            <w:r>
              <w:t>要求，安装与当地环境保护主管部门联网的颗粒物、氮氧化物</w:t>
            </w:r>
            <w:r>
              <w:t>(NOx)</w:t>
            </w:r>
            <w:r>
              <w:t>、二氧化硫</w:t>
            </w:r>
            <w:r>
              <w:t>(SO2)</w:t>
            </w:r>
            <w:r>
              <w:t>等大气污染物浓度在线监测设备。</w:t>
            </w:r>
          </w:p>
        </w:tc>
        <w:tc>
          <w:tcPr>
            <w:tcW w:w="1900" w:type="pct"/>
            <w:vAlign w:val="center"/>
          </w:tcPr>
          <w:p w14:paraId="66950D54" w14:textId="77777777" w:rsidR="002E474C" w:rsidRDefault="00000000">
            <w:pPr>
              <w:pStyle w:val="A-"/>
              <w:ind w:leftChars="-25" w:left="-53" w:rightChars="-25" w:right="-53"/>
              <w:jc w:val="both"/>
            </w:pPr>
            <w:r>
              <w:lastRenderedPageBreak/>
              <w:t>本项目协同处置危险废物的水泥窑是新型干法预分解窑，设计熟料规模</w:t>
            </w:r>
            <w:r>
              <w:t>5000t/d</w:t>
            </w:r>
            <w:r>
              <w:t>，生产过程控制采用</w:t>
            </w:r>
            <w:r>
              <w:t>DCS</w:t>
            </w:r>
            <w:r>
              <w:t>控制系统、生料质量控制系统、生产管理信息分析系统；窑尾安装大</w:t>
            </w:r>
            <w:r>
              <w:lastRenderedPageBreak/>
              <w:t>气污染物连续监测装置。窑炉烟气排放采用高效电袋除尘器除尘，除尘器的同步运转率为</w:t>
            </w:r>
            <w:r>
              <w:t>100%</w:t>
            </w:r>
            <w:r>
              <w:t>。</w:t>
            </w:r>
          </w:p>
        </w:tc>
        <w:tc>
          <w:tcPr>
            <w:tcW w:w="311" w:type="pct"/>
            <w:vAlign w:val="center"/>
          </w:tcPr>
          <w:p w14:paraId="7F2D4EBE" w14:textId="77777777" w:rsidR="002E474C" w:rsidRDefault="00000000">
            <w:pPr>
              <w:pStyle w:val="A-"/>
            </w:pPr>
            <w:r>
              <w:lastRenderedPageBreak/>
              <w:t>符合</w:t>
            </w:r>
          </w:p>
        </w:tc>
      </w:tr>
      <w:tr w:rsidR="002E474C" w14:paraId="16123873" w14:textId="77777777">
        <w:tc>
          <w:tcPr>
            <w:tcW w:w="238" w:type="pct"/>
            <w:vMerge/>
            <w:vAlign w:val="center"/>
          </w:tcPr>
          <w:p w14:paraId="1CF79BD7" w14:textId="77777777" w:rsidR="002E474C" w:rsidRDefault="002E474C">
            <w:pPr>
              <w:pStyle w:val="A-"/>
            </w:pPr>
          </w:p>
        </w:tc>
        <w:tc>
          <w:tcPr>
            <w:tcW w:w="2551" w:type="pct"/>
            <w:vAlign w:val="center"/>
          </w:tcPr>
          <w:p w14:paraId="6222576D" w14:textId="77777777" w:rsidR="002E474C" w:rsidRDefault="00000000">
            <w:pPr>
              <w:pStyle w:val="A-"/>
              <w:ind w:leftChars="-25" w:left="-53" w:rightChars="-25" w:right="-53"/>
              <w:jc w:val="both"/>
            </w:pPr>
            <w:r>
              <w:t>5.6</w:t>
            </w:r>
            <w:r>
              <w:t>水泥窑协同处置固体废物的投料</w:t>
            </w:r>
          </w:p>
          <w:p w14:paraId="5A80E602" w14:textId="77777777" w:rsidR="002E474C" w:rsidRDefault="00000000">
            <w:pPr>
              <w:pStyle w:val="A-"/>
              <w:ind w:leftChars="-25" w:left="-53" w:rightChars="-25" w:right="-53"/>
              <w:jc w:val="both"/>
            </w:pPr>
            <w:r>
              <w:t>5.6.1</w:t>
            </w:r>
            <w:r>
              <w:t>水泥窑协同处置固体废物投料点可设在生料制备系统、窑尾烟室、分解炉和回转窑系统。具体要求如下：</w:t>
            </w:r>
          </w:p>
          <w:p w14:paraId="1E04CCC5" w14:textId="77777777" w:rsidR="002E474C" w:rsidRDefault="00000000">
            <w:pPr>
              <w:pStyle w:val="A-"/>
              <w:ind w:leftChars="-25" w:left="-53" w:rightChars="-25" w:right="-53"/>
              <w:jc w:val="both"/>
            </w:pPr>
            <w:r>
              <w:t>a)</w:t>
            </w:r>
            <w:r>
              <w:t>设在分解炉和回转窑系统上的投料点应保持负压操作；</w:t>
            </w:r>
          </w:p>
          <w:p w14:paraId="39306693" w14:textId="77777777" w:rsidR="002E474C" w:rsidRDefault="00000000">
            <w:pPr>
              <w:pStyle w:val="A-"/>
              <w:ind w:leftChars="-25" w:left="-53" w:rightChars="-25" w:right="-53"/>
              <w:jc w:val="both"/>
            </w:pPr>
            <w:r>
              <w:t>b)</w:t>
            </w:r>
            <w:r>
              <w:t>含挥发性有害物质或化工恶臭的固体废物，不能投入生料制备系统；</w:t>
            </w:r>
          </w:p>
          <w:p w14:paraId="10DBFA69" w14:textId="77777777" w:rsidR="002E474C" w:rsidRDefault="00000000">
            <w:pPr>
              <w:pStyle w:val="A-"/>
              <w:ind w:leftChars="-25" w:left="-53" w:rightChars="-25" w:right="-53"/>
              <w:jc w:val="both"/>
            </w:pPr>
            <w:r>
              <w:t>c)</w:t>
            </w:r>
            <w:r>
              <w:t>含有机难降解或高毒性有机物的固体废物优先从窑头</w:t>
            </w:r>
            <w:r>
              <w:t>(</w:t>
            </w:r>
            <w:r>
              <w:t>窑头主燃烧器或窑门罩</w:t>
            </w:r>
            <w:r>
              <w:t>)</w:t>
            </w:r>
            <w:r>
              <w:t>投加；</w:t>
            </w:r>
          </w:p>
          <w:p w14:paraId="62223BED" w14:textId="77777777" w:rsidR="002E474C" w:rsidRDefault="00000000">
            <w:pPr>
              <w:pStyle w:val="A-"/>
              <w:ind w:leftChars="-25" w:left="-53" w:rightChars="-25" w:right="-53"/>
              <w:jc w:val="both"/>
            </w:pPr>
            <w:r>
              <w:t>d)</w:t>
            </w:r>
            <w:r>
              <w:t>半固态或大粒径固态废物宜优先从窑尾烟室或分解炉投加；</w:t>
            </w:r>
          </w:p>
          <w:p w14:paraId="5661CC43" w14:textId="77777777" w:rsidR="002E474C" w:rsidRDefault="00000000">
            <w:pPr>
              <w:pStyle w:val="A-"/>
              <w:ind w:leftChars="-25" w:left="-53" w:rightChars="-25" w:right="-53"/>
              <w:jc w:val="both"/>
            </w:pPr>
            <w:r>
              <w:t>e)</w:t>
            </w:r>
            <w:r>
              <w:t>可燃或有机质含量较高的固体废物优先从分解炉投加，投加位置宜选择在分解炉的煤粉或三次风入口附近，并在保证分解炉内氧化气氛稳定的前提下，尽可能靠近分解炉下部，以确保足够的烟气停留时间。</w:t>
            </w:r>
          </w:p>
          <w:p w14:paraId="00E60607" w14:textId="77777777" w:rsidR="002E474C" w:rsidRDefault="00000000">
            <w:pPr>
              <w:pStyle w:val="A-"/>
              <w:ind w:leftChars="-25" w:left="-53" w:rightChars="-25" w:right="-53"/>
              <w:jc w:val="both"/>
            </w:pPr>
            <w:r>
              <w:t>5.6.2</w:t>
            </w:r>
            <w:r>
              <w:t>水泥窑协同处置固体废物投料应有计量和自动控制进料装置。在水泥窑达到正常工况并稳定运行至少</w:t>
            </w:r>
            <w:r>
              <w:t>4h</w:t>
            </w:r>
            <w:r>
              <w:t>后，可开始投加固体废物；在水泥窑计划停机前至少</w:t>
            </w:r>
            <w:r>
              <w:t>4h</w:t>
            </w:r>
            <w:r>
              <w:t>内不应投加固体废物。</w:t>
            </w:r>
          </w:p>
          <w:p w14:paraId="1381EC4C" w14:textId="77777777" w:rsidR="002E474C" w:rsidRDefault="00000000">
            <w:pPr>
              <w:pStyle w:val="A-"/>
              <w:ind w:leftChars="-25" w:left="-53" w:rightChars="-25" w:right="-53"/>
              <w:jc w:val="both"/>
            </w:pPr>
            <w:r>
              <w:t>5.6.3</w:t>
            </w:r>
            <w:r>
              <w:t>固体废物机械输送投加装置的卸料点应设置防风、防雨设施。采用非密闭机械输送投加装置</w:t>
            </w:r>
            <w:r>
              <w:t>(</w:t>
            </w:r>
            <w:r>
              <w:t>如传送带、提升机等</w:t>
            </w:r>
            <w:r>
              <w:t>)</w:t>
            </w:r>
            <w:r>
              <w:t>的入料端口和人工投加口应设置在线监视系统，并将监视视频实时传输至中央控制室显示屏幕。</w:t>
            </w:r>
          </w:p>
        </w:tc>
        <w:tc>
          <w:tcPr>
            <w:tcW w:w="1900" w:type="pct"/>
            <w:vAlign w:val="center"/>
          </w:tcPr>
          <w:p w14:paraId="7A52EA76" w14:textId="77777777" w:rsidR="002E474C" w:rsidRDefault="00000000">
            <w:pPr>
              <w:pStyle w:val="A-"/>
              <w:ind w:leftChars="-25" w:left="-53" w:rightChars="-25" w:right="-53"/>
              <w:jc w:val="both"/>
            </w:pPr>
            <w:r>
              <w:t>本项目固废投料符合规范要求。</w:t>
            </w:r>
          </w:p>
          <w:p w14:paraId="59F9A7D1" w14:textId="77777777" w:rsidR="002E474C" w:rsidRDefault="00000000">
            <w:pPr>
              <w:pStyle w:val="A-"/>
              <w:ind w:leftChars="-25" w:left="-53" w:rightChars="-25" w:right="-53"/>
              <w:jc w:val="both"/>
            </w:pPr>
            <w:r>
              <w:t>当水泥窑出现故障或事故造成运行工况不正常，如窑内温度明显下降、烟气中污染物浓度明显升高等情况时，立即停止投加固体废物，待查明原因并恢复正常运行后再恢复投加；每次故障或事故持续排放污染物时间不应超过</w:t>
            </w:r>
            <w:r>
              <w:t>4h</w:t>
            </w:r>
            <w:r>
              <w:t>，每年累计不得超过</w:t>
            </w:r>
            <w:r>
              <w:t>60h</w:t>
            </w:r>
            <w:r>
              <w:t>。</w:t>
            </w:r>
          </w:p>
        </w:tc>
        <w:tc>
          <w:tcPr>
            <w:tcW w:w="311" w:type="pct"/>
            <w:vAlign w:val="center"/>
          </w:tcPr>
          <w:p w14:paraId="59A7D138" w14:textId="77777777" w:rsidR="002E474C" w:rsidRDefault="00000000">
            <w:pPr>
              <w:pStyle w:val="A-"/>
            </w:pPr>
            <w:r>
              <w:t>符合</w:t>
            </w:r>
          </w:p>
        </w:tc>
      </w:tr>
    </w:tbl>
    <w:p w14:paraId="540C44DB" w14:textId="77777777" w:rsidR="002E474C" w:rsidRDefault="002E474C">
      <w:pPr>
        <w:pStyle w:val="A-z"/>
        <w:spacing w:beforeLines="50" w:before="120"/>
        <w:rPr>
          <w:color w:val="auto"/>
        </w:rPr>
        <w:sectPr w:rsidR="002E474C">
          <w:pgSz w:w="16838" w:h="11906" w:orient="landscape"/>
          <w:pgMar w:top="1800" w:right="1440" w:bottom="1800" w:left="1440" w:header="851" w:footer="992" w:gutter="0"/>
          <w:cols w:space="720"/>
          <w:docGrid w:linePitch="312"/>
        </w:sectPr>
      </w:pPr>
    </w:p>
    <w:p w14:paraId="38AD5F32" w14:textId="77777777" w:rsidR="002E474C" w:rsidRDefault="00000000">
      <w:pPr>
        <w:pStyle w:val="41"/>
        <w:rPr>
          <w:color w:val="auto"/>
        </w:rPr>
      </w:pPr>
      <w:r>
        <w:rPr>
          <w:color w:val="auto"/>
        </w:rPr>
        <w:lastRenderedPageBreak/>
        <w:t>危险废物贮存设施与《</w:t>
      </w:r>
      <w:r>
        <w:rPr>
          <w:color w:val="auto"/>
          <w:lang w:val="en-US"/>
        </w:rPr>
        <w:t>危险废物集中焚烧处置工程建设技术规范</w:t>
      </w:r>
      <w:r>
        <w:rPr>
          <w:color w:val="auto"/>
        </w:rPr>
        <w:t>》符合性</w:t>
      </w:r>
    </w:p>
    <w:p w14:paraId="2A0CDF3D" w14:textId="77777777" w:rsidR="002E474C" w:rsidRDefault="00000000">
      <w:pPr>
        <w:pStyle w:val="A-z"/>
        <w:rPr>
          <w:color w:val="auto"/>
        </w:rPr>
      </w:pPr>
      <w:r>
        <w:rPr>
          <w:color w:val="auto"/>
        </w:rPr>
        <w:t>根据《水泥窑协同处置固体废物污染控制标准》</w:t>
      </w:r>
      <w:r>
        <w:rPr>
          <w:color w:val="auto"/>
        </w:rPr>
        <w:t>(GB30485-2013)</w:t>
      </w:r>
      <w:r>
        <w:rPr>
          <w:color w:val="auto"/>
        </w:rPr>
        <w:t>协同处置设施的固体废物贮存设施要求，危险废物贮存设施应满足</w:t>
      </w:r>
      <w:bookmarkStart w:id="30" w:name="OLE_LINK4"/>
      <w:r>
        <w:rPr>
          <w:color w:val="auto"/>
        </w:rPr>
        <w:t>《</w:t>
      </w:r>
      <w:r>
        <w:rPr>
          <w:color w:val="auto"/>
          <w:lang w:val="en-US"/>
        </w:rPr>
        <w:t>危险废物集中焚烧处置工程建设技术规范</w:t>
      </w:r>
      <w:r>
        <w:rPr>
          <w:color w:val="auto"/>
        </w:rPr>
        <w:t>》（</w:t>
      </w:r>
      <w:r>
        <w:rPr>
          <w:color w:val="auto"/>
          <w:lang w:val="en-US"/>
        </w:rPr>
        <w:t>HJ/T176-2005</w:t>
      </w:r>
      <w:r>
        <w:rPr>
          <w:color w:val="auto"/>
        </w:rPr>
        <w:t>）</w:t>
      </w:r>
      <w:bookmarkEnd w:id="30"/>
      <w:r>
        <w:rPr>
          <w:color w:val="auto"/>
        </w:rPr>
        <w:t>的规定。</w:t>
      </w:r>
    </w:p>
    <w:p w14:paraId="46C3E016" w14:textId="77777777" w:rsidR="002E474C" w:rsidRDefault="00000000">
      <w:pPr>
        <w:pStyle w:val="A-z"/>
        <w:rPr>
          <w:color w:val="auto"/>
          <w:lang w:val="en-US"/>
        </w:rPr>
      </w:pPr>
      <w:r>
        <w:rPr>
          <w:color w:val="auto"/>
          <w:lang w:val="en-US"/>
        </w:rPr>
        <w:t>本项目</w:t>
      </w:r>
      <w:r>
        <w:rPr>
          <w:color w:val="auto"/>
        </w:rPr>
        <w:t>危废贮存库的建设、管理与《</w:t>
      </w:r>
      <w:r>
        <w:rPr>
          <w:color w:val="auto"/>
          <w:lang w:val="en-US"/>
        </w:rPr>
        <w:t>危险废物集中焚烧处置工程建设技术规范</w:t>
      </w:r>
      <w:r>
        <w:rPr>
          <w:color w:val="auto"/>
        </w:rPr>
        <w:t>》（</w:t>
      </w:r>
      <w:r>
        <w:rPr>
          <w:color w:val="auto"/>
          <w:lang w:val="en-US"/>
        </w:rPr>
        <w:t>HJ/T176-2005</w:t>
      </w:r>
      <w:r>
        <w:rPr>
          <w:color w:val="auto"/>
        </w:rPr>
        <w:t>）符合性分析，</w:t>
      </w:r>
      <w:r>
        <w:rPr>
          <w:color w:val="auto"/>
          <w:lang w:val="en-US"/>
        </w:rPr>
        <w:t>见表</w:t>
      </w:r>
      <w:r>
        <w:rPr>
          <w:color w:val="auto"/>
        </w:rPr>
        <w:t>1.4-10</w:t>
      </w:r>
      <w:r>
        <w:rPr>
          <w:color w:val="auto"/>
        </w:rPr>
        <w:t>。</w:t>
      </w:r>
    </w:p>
    <w:p w14:paraId="7F94D4AE" w14:textId="77777777" w:rsidR="002E474C" w:rsidRDefault="00000000">
      <w:pPr>
        <w:pStyle w:val="31"/>
        <w:spacing w:before="120" w:after="120"/>
        <w:ind w:left="0" w:firstLine="0"/>
        <w:rPr>
          <w:color w:val="auto"/>
        </w:rPr>
      </w:pPr>
      <w:r>
        <w:rPr>
          <w:color w:val="auto"/>
        </w:rPr>
        <w:t>相关环境管理要求符合性分析</w:t>
      </w:r>
    </w:p>
    <w:p w14:paraId="76A6F802" w14:textId="77777777" w:rsidR="002E474C" w:rsidRDefault="00000000">
      <w:pPr>
        <w:pStyle w:val="A-z"/>
        <w:rPr>
          <w:color w:val="auto"/>
        </w:rPr>
      </w:pPr>
      <w:r>
        <w:rPr>
          <w:color w:val="auto"/>
        </w:rPr>
        <w:t>本项目与相关环境管理要求符合性分析见表</w:t>
      </w:r>
      <w:r>
        <w:rPr>
          <w:color w:val="auto"/>
        </w:rPr>
        <w:t>1.4-11</w:t>
      </w:r>
      <w:r>
        <w:rPr>
          <w:color w:val="auto"/>
        </w:rPr>
        <w:t>。</w:t>
      </w:r>
    </w:p>
    <w:p w14:paraId="6914350D" w14:textId="77777777" w:rsidR="002E474C" w:rsidRDefault="00000000">
      <w:pPr>
        <w:pStyle w:val="A-z"/>
        <w:rPr>
          <w:color w:val="auto"/>
        </w:rPr>
      </w:pPr>
      <w:r>
        <w:rPr>
          <w:color w:val="auto"/>
        </w:rPr>
        <w:t>根据分析，本项目符合《中共中央国务院关于深入打好污染防治攻坚战的意见》《空气质量持续改善行动计划》《关于全面推进美丽中国建设的意见》《关于加强重点行业建设项目区域消减措施监督管理的通知》《环境影响评价与排污许可领域协同推进碳减排工作方案》《国务院办公厅关于印发强化危险废物监管和利用处置能力改革实施方案的通知》《关于进一步加强危险废物规范化环境管理有关工作的通知》</w:t>
      </w:r>
      <w:r>
        <w:rPr>
          <w:bCs/>
          <w:color w:val="auto"/>
        </w:rPr>
        <w:t>《关于进一步加强危险废物环境治理</w:t>
      </w:r>
      <w:r>
        <w:rPr>
          <w:bCs/>
          <w:color w:val="auto"/>
        </w:rPr>
        <w:t xml:space="preserve"> </w:t>
      </w:r>
      <w:r>
        <w:rPr>
          <w:bCs/>
          <w:color w:val="auto"/>
        </w:rPr>
        <w:t>严密防控环境风险的指导意见》</w:t>
      </w:r>
      <w:r>
        <w:rPr>
          <w:color w:val="auto"/>
        </w:rPr>
        <w:t>《固体废物综合治理行动计划》《新疆维吾尔自治区土壤污染防治工作方案》《新疆维吾尔自治区</w:t>
      </w:r>
      <w:r>
        <w:rPr>
          <w:color w:val="auto"/>
        </w:rPr>
        <w:t>2025</w:t>
      </w:r>
      <w:r>
        <w:rPr>
          <w:color w:val="auto"/>
        </w:rPr>
        <w:t>年空气质量持续改善行动实施方案》《关于新疆维吾尔自治区</w:t>
      </w:r>
      <w:r>
        <w:rPr>
          <w:color w:val="auto"/>
        </w:rPr>
        <w:t>2026</w:t>
      </w:r>
      <w:r>
        <w:rPr>
          <w:color w:val="auto"/>
        </w:rPr>
        <w:t>年危险废物利用处置设施投资建设引导性公告》等国家与地方环境管理要求。</w:t>
      </w:r>
    </w:p>
    <w:p w14:paraId="26D9EAE7" w14:textId="77777777" w:rsidR="002E474C" w:rsidRDefault="002E474C">
      <w:pPr>
        <w:pStyle w:val="A-z"/>
        <w:spacing w:beforeLines="50" w:before="120"/>
        <w:rPr>
          <w:color w:val="auto"/>
        </w:rPr>
      </w:pPr>
    </w:p>
    <w:p w14:paraId="3A12916A" w14:textId="77777777" w:rsidR="002E474C" w:rsidRDefault="002E474C">
      <w:pPr>
        <w:pStyle w:val="A-z"/>
        <w:spacing w:beforeLines="50" w:before="120"/>
        <w:rPr>
          <w:color w:val="auto"/>
        </w:rPr>
        <w:sectPr w:rsidR="002E474C">
          <w:pgSz w:w="11906" w:h="16838"/>
          <w:pgMar w:top="1440" w:right="1800" w:bottom="1440" w:left="1800" w:header="851" w:footer="992" w:gutter="0"/>
          <w:cols w:space="720"/>
          <w:docGrid w:linePitch="312"/>
        </w:sectPr>
      </w:pPr>
    </w:p>
    <w:p w14:paraId="75BA5E6C" w14:textId="77777777" w:rsidR="002E474C" w:rsidRDefault="00000000">
      <w:pPr>
        <w:pStyle w:val="A--"/>
        <w:rPr>
          <w:color w:val="auto"/>
        </w:rPr>
      </w:pPr>
      <w:r>
        <w:rPr>
          <w:color w:val="auto"/>
        </w:rPr>
        <w:lastRenderedPageBreak/>
        <w:t>表</w:t>
      </w:r>
      <w:r>
        <w:rPr>
          <w:color w:val="auto"/>
        </w:rPr>
        <w:t xml:space="preserve">1.4-10   </w:t>
      </w:r>
      <w:r>
        <w:rPr>
          <w:color w:val="auto"/>
        </w:rPr>
        <w:t>本项目危废贮存设施与《危险废物集中焚烧处置工程建设技术规范》符合性分析</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6095"/>
        <w:gridCol w:w="1042"/>
      </w:tblGrid>
      <w:tr w:rsidR="002E474C" w14:paraId="01B9B512" w14:textId="77777777">
        <w:tc>
          <w:tcPr>
            <w:tcW w:w="2302" w:type="pct"/>
          </w:tcPr>
          <w:p w14:paraId="09C53F69" w14:textId="77777777" w:rsidR="002E474C" w:rsidRDefault="00000000">
            <w:pPr>
              <w:pStyle w:val="A-"/>
            </w:pPr>
            <w:r>
              <w:t>危废贮存设施要求</w:t>
            </w:r>
          </w:p>
        </w:tc>
        <w:tc>
          <w:tcPr>
            <w:tcW w:w="2304" w:type="pct"/>
          </w:tcPr>
          <w:p w14:paraId="6F1E6174" w14:textId="77777777" w:rsidR="002E474C" w:rsidRDefault="00000000">
            <w:pPr>
              <w:pStyle w:val="A-"/>
            </w:pPr>
            <w:r>
              <w:t>本项目情况</w:t>
            </w:r>
          </w:p>
        </w:tc>
        <w:tc>
          <w:tcPr>
            <w:tcW w:w="394" w:type="pct"/>
          </w:tcPr>
          <w:p w14:paraId="7B8D95D3" w14:textId="77777777" w:rsidR="002E474C" w:rsidRDefault="00000000">
            <w:pPr>
              <w:pStyle w:val="A-"/>
            </w:pPr>
            <w:r>
              <w:t>符合性</w:t>
            </w:r>
          </w:p>
        </w:tc>
      </w:tr>
      <w:tr w:rsidR="002E474C" w14:paraId="744DC1D8" w14:textId="77777777">
        <w:tc>
          <w:tcPr>
            <w:tcW w:w="2302" w:type="pct"/>
          </w:tcPr>
          <w:p w14:paraId="4C6418EE" w14:textId="77777777" w:rsidR="002E474C" w:rsidRDefault="00000000">
            <w:pPr>
              <w:pStyle w:val="A-"/>
              <w:jc w:val="both"/>
            </w:pPr>
            <w:r>
              <w:t xml:space="preserve">5.3.1 </w:t>
            </w:r>
            <w:r>
              <w:t>危险废物贮存容器应符合下列要求：</w:t>
            </w:r>
          </w:p>
          <w:p w14:paraId="371D2E71" w14:textId="77777777" w:rsidR="002E474C" w:rsidRDefault="00000000">
            <w:pPr>
              <w:pStyle w:val="A-"/>
              <w:jc w:val="both"/>
            </w:pPr>
            <w:r>
              <w:t xml:space="preserve">(1) </w:t>
            </w:r>
            <w:r>
              <w:t>应使用符合国家标准的容器盛装危险废物。</w:t>
            </w:r>
          </w:p>
          <w:p w14:paraId="758B7692" w14:textId="77777777" w:rsidR="002E474C" w:rsidRDefault="00000000">
            <w:pPr>
              <w:pStyle w:val="A-"/>
              <w:jc w:val="both"/>
            </w:pPr>
            <w:r>
              <w:t xml:space="preserve">(2) </w:t>
            </w:r>
            <w:r>
              <w:t>贮存容器必须具有耐腐蚀、耐压、密封和不与所贮存的废物发生反应等特性。贮存容器应保证完好无损并具有明显标志。</w:t>
            </w:r>
          </w:p>
          <w:p w14:paraId="0250B0DC" w14:textId="77777777" w:rsidR="002E474C" w:rsidRDefault="00000000">
            <w:pPr>
              <w:pStyle w:val="A-"/>
              <w:jc w:val="both"/>
            </w:pPr>
            <w:r>
              <w:rPr>
                <w:spacing w:val="-6"/>
              </w:rPr>
              <w:t xml:space="preserve">(3) </w:t>
            </w:r>
            <w:r>
              <w:rPr>
                <w:spacing w:val="-6"/>
              </w:rPr>
              <w:t>液体危险废物可注入开孔直径不超过</w:t>
            </w:r>
            <w:r>
              <w:rPr>
                <w:spacing w:val="-6"/>
              </w:rPr>
              <w:t>70</w:t>
            </w:r>
            <w:r>
              <w:rPr>
                <w:spacing w:val="-6"/>
              </w:rPr>
              <w:t>毫米并有放气孔的桶中。</w:t>
            </w:r>
          </w:p>
        </w:tc>
        <w:tc>
          <w:tcPr>
            <w:tcW w:w="2304" w:type="pct"/>
          </w:tcPr>
          <w:p w14:paraId="6C9D9819" w14:textId="77777777" w:rsidR="002E474C" w:rsidRDefault="00000000">
            <w:pPr>
              <w:pStyle w:val="A-"/>
              <w:jc w:val="both"/>
            </w:pPr>
            <w:r>
              <w:t>预处理产物采用吨袋、包装桶、包装箱等包装入厂。贮存容器和贮存场所均应符合《危险废物贮存污染控制标准》（</w:t>
            </w:r>
            <w:r>
              <w:t>GB18597-2023</w:t>
            </w:r>
            <w:r>
              <w:t>）的规定。</w:t>
            </w:r>
          </w:p>
        </w:tc>
        <w:tc>
          <w:tcPr>
            <w:tcW w:w="394" w:type="pct"/>
          </w:tcPr>
          <w:p w14:paraId="74E0EF6B" w14:textId="77777777" w:rsidR="002E474C" w:rsidRDefault="00000000">
            <w:pPr>
              <w:pStyle w:val="A-"/>
            </w:pPr>
            <w:r>
              <w:t>符合</w:t>
            </w:r>
          </w:p>
        </w:tc>
      </w:tr>
      <w:tr w:rsidR="002E474C" w14:paraId="08E7DAC9" w14:textId="77777777">
        <w:tc>
          <w:tcPr>
            <w:tcW w:w="2302" w:type="pct"/>
          </w:tcPr>
          <w:p w14:paraId="661283E9" w14:textId="77777777" w:rsidR="002E474C" w:rsidRDefault="00000000">
            <w:pPr>
              <w:pStyle w:val="A-"/>
              <w:jc w:val="both"/>
            </w:pPr>
            <w:r>
              <w:t xml:space="preserve">5.3.2 </w:t>
            </w:r>
            <w:r>
              <w:t>经鉴别后的危险废物应分类贮存于专用贮存设施内，危险废物贮存设施应满足以下要求：</w:t>
            </w:r>
          </w:p>
          <w:p w14:paraId="6F5B7901" w14:textId="77777777" w:rsidR="002E474C" w:rsidRDefault="00000000">
            <w:pPr>
              <w:pStyle w:val="A-"/>
              <w:jc w:val="both"/>
            </w:pPr>
            <w:r>
              <w:t xml:space="preserve">(1) </w:t>
            </w:r>
            <w:r>
              <w:t>危险废物贮存场所必须有符合《环境保护图形标志－固体废物贮存</w:t>
            </w:r>
            <w:r>
              <w:t>(</w:t>
            </w:r>
            <w:r>
              <w:t>处置</w:t>
            </w:r>
            <w:r>
              <w:t>)</w:t>
            </w:r>
            <w:r>
              <w:t>场》</w:t>
            </w:r>
            <w:r>
              <w:t>(GB15562.2-1995)</w:t>
            </w:r>
            <w:r>
              <w:t>的专用标志；</w:t>
            </w:r>
          </w:p>
          <w:p w14:paraId="233E02C4" w14:textId="77777777" w:rsidR="002E474C" w:rsidRDefault="00000000">
            <w:pPr>
              <w:pStyle w:val="A-"/>
              <w:jc w:val="both"/>
            </w:pPr>
            <w:r>
              <w:t xml:space="preserve">(2) </w:t>
            </w:r>
            <w:r>
              <w:t>不相容的危险废物必须分开存放，并设有隔离间隔断；</w:t>
            </w:r>
          </w:p>
          <w:p w14:paraId="1CFCE628" w14:textId="77777777" w:rsidR="002E474C" w:rsidRDefault="00000000">
            <w:pPr>
              <w:pStyle w:val="A-"/>
              <w:jc w:val="both"/>
            </w:pPr>
            <w:r>
              <w:t xml:space="preserve">(3) </w:t>
            </w:r>
            <w:r>
              <w:t>应建有堵截泄漏的裙角，地面与裙角要用兼顾防渗的材料建造，建筑材料必须与危险废物相容；</w:t>
            </w:r>
          </w:p>
          <w:p w14:paraId="2D1654EA" w14:textId="77777777" w:rsidR="002E474C" w:rsidRDefault="00000000">
            <w:pPr>
              <w:pStyle w:val="A-"/>
              <w:jc w:val="both"/>
            </w:pPr>
            <w:r>
              <w:t xml:space="preserve">(4) </w:t>
            </w:r>
            <w:r>
              <w:t>必须有泄漏液体收集装置及气体导出口和气体净化装置；</w:t>
            </w:r>
          </w:p>
          <w:p w14:paraId="4CC45A51" w14:textId="77777777" w:rsidR="002E474C" w:rsidRDefault="00000000">
            <w:pPr>
              <w:pStyle w:val="A-"/>
              <w:jc w:val="both"/>
            </w:pPr>
            <w:r>
              <w:t xml:space="preserve">(5) </w:t>
            </w:r>
            <w:r>
              <w:t>应有安全照明和观察窗口，并应设有应急防护设施；</w:t>
            </w:r>
          </w:p>
          <w:p w14:paraId="23C9AFF1" w14:textId="77777777" w:rsidR="002E474C" w:rsidRDefault="00000000">
            <w:pPr>
              <w:pStyle w:val="A-"/>
              <w:jc w:val="both"/>
              <w:rPr>
                <w:spacing w:val="-6"/>
              </w:rPr>
            </w:pPr>
            <w:r>
              <w:rPr>
                <w:spacing w:val="-6"/>
              </w:rPr>
              <w:t xml:space="preserve">(6) </w:t>
            </w:r>
            <w:r>
              <w:rPr>
                <w:spacing w:val="-6"/>
              </w:rPr>
              <w:t>应有隔离设施、报警装置和防风、防晒、防雨设施以及消防设施；</w:t>
            </w:r>
          </w:p>
          <w:p w14:paraId="0B6F7437" w14:textId="77777777" w:rsidR="002E474C" w:rsidRDefault="00000000">
            <w:pPr>
              <w:pStyle w:val="A-"/>
              <w:jc w:val="both"/>
            </w:pPr>
            <w:r>
              <w:t xml:space="preserve">(7) </w:t>
            </w:r>
            <w:r>
              <w:t>墙面、棚面应防吸附，用于存放装载液体、半固体危险废物容器的地方，必须有耐腐蚀的硬化地面，且表面无裂隙；</w:t>
            </w:r>
          </w:p>
          <w:p w14:paraId="4DCA1648" w14:textId="77777777" w:rsidR="002E474C" w:rsidRDefault="00000000">
            <w:pPr>
              <w:pStyle w:val="A-"/>
              <w:jc w:val="both"/>
            </w:pPr>
            <w:r>
              <w:t xml:space="preserve">(8) </w:t>
            </w:r>
            <w:r>
              <w:t>库房应设置备用通风系统和电视监视装置；</w:t>
            </w:r>
          </w:p>
          <w:p w14:paraId="5CC599C0" w14:textId="77777777" w:rsidR="002E474C" w:rsidRDefault="00000000">
            <w:pPr>
              <w:pStyle w:val="A-"/>
              <w:jc w:val="both"/>
            </w:pPr>
            <w:r>
              <w:t xml:space="preserve">(9) </w:t>
            </w:r>
            <w:r>
              <w:t>贮存库容量的设计应考虑工艺运行要求并应满足设备大修</w:t>
            </w:r>
            <w:r>
              <w:t>(</w:t>
            </w:r>
            <w:r>
              <w:t>一般以</w:t>
            </w:r>
            <w:r>
              <w:t>15</w:t>
            </w:r>
            <w:r>
              <w:t>天为宜</w:t>
            </w:r>
            <w:r>
              <w:t>)</w:t>
            </w:r>
            <w:r>
              <w:t>和废物配伍焚烧的要求；</w:t>
            </w:r>
          </w:p>
          <w:p w14:paraId="23A85389" w14:textId="77777777" w:rsidR="002E474C" w:rsidRDefault="00000000">
            <w:pPr>
              <w:pStyle w:val="A-"/>
              <w:jc w:val="both"/>
            </w:pPr>
            <w:r>
              <w:t xml:space="preserve">(10) </w:t>
            </w:r>
            <w:r>
              <w:t>贮存剧毒危险废物的场所必须有专人</w:t>
            </w:r>
            <w:r>
              <w:t>24</w:t>
            </w:r>
            <w:r>
              <w:t>小时看管。</w:t>
            </w:r>
          </w:p>
        </w:tc>
        <w:tc>
          <w:tcPr>
            <w:tcW w:w="2304" w:type="pct"/>
          </w:tcPr>
          <w:p w14:paraId="0B99811F" w14:textId="77777777" w:rsidR="002E474C" w:rsidRDefault="00000000">
            <w:pPr>
              <w:pStyle w:val="A-"/>
              <w:jc w:val="both"/>
            </w:pPr>
            <w:r>
              <w:t>（</w:t>
            </w:r>
            <w:r>
              <w:t>1</w:t>
            </w:r>
            <w:r>
              <w:t>）本项目设置密闭危废贮存库、固态危废预处理车间贮存区及清洗间，负压运行，危废分类分区存放，危险废物贮存设施的设计、安全防护、污染防治等满足</w:t>
            </w:r>
            <w:r>
              <w:t>GB18597</w:t>
            </w:r>
            <w:r>
              <w:t>、</w:t>
            </w:r>
            <w:r>
              <w:t>GB 55037</w:t>
            </w:r>
            <w:r>
              <w:t>和</w:t>
            </w:r>
            <w:r>
              <w:t>HJ/T176</w:t>
            </w:r>
            <w:r>
              <w:t>中的相关要求和消防要求。</w:t>
            </w:r>
          </w:p>
          <w:p w14:paraId="1AFB2747" w14:textId="77777777" w:rsidR="002E474C" w:rsidRDefault="00000000">
            <w:pPr>
              <w:pStyle w:val="A-"/>
              <w:jc w:val="both"/>
            </w:pPr>
            <w:r>
              <w:t>（</w:t>
            </w:r>
            <w:r>
              <w:t>2</w:t>
            </w:r>
            <w:r>
              <w:t>）液态处置车间应设置堵截泄漏的裙角和集液池。</w:t>
            </w:r>
          </w:p>
          <w:p w14:paraId="301E9E4B" w14:textId="77777777" w:rsidR="002E474C" w:rsidRDefault="00000000">
            <w:pPr>
              <w:pStyle w:val="A-"/>
              <w:jc w:val="both"/>
            </w:pPr>
            <w:r>
              <w:t>（</w:t>
            </w:r>
            <w:r>
              <w:t>3</w:t>
            </w:r>
            <w:r>
              <w:t>）项目危废贮存库与固态危废预处理车间均为密闭设施，采用微负压抽气设计，抽气经净化设施处理后达标排放。</w:t>
            </w:r>
          </w:p>
          <w:p w14:paraId="21AB725F" w14:textId="77777777" w:rsidR="002E474C" w:rsidRDefault="00000000">
            <w:pPr>
              <w:pStyle w:val="A-"/>
              <w:jc w:val="both"/>
            </w:pPr>
            <w:r>
              <w:t>（</w:t>
            </w:r>
            <w:r>
              <w:t>4</w:t>
            </w:r>
            <w:r>
              <w:t>）规范危废贮存库及固态危废预处理车间设施及管理要求。</w:t>
            </w:r>
          </w:p>
        </w:tc>
        <w:tc>
          <w:tcPr>
            <w:tcW w:w="394" w:type="pct"/>
          </w:tcPr>
          <w:p w14:paraId="494F7928" w14:textId="77777777" w:rsidR="002E474C" w:rsidRDefault="00000000">
            <w:pPr>
              <w:pStyle w:val="A-"/>
            </w:pPr>
            <w:r>
              <w:t>符合</w:t>
            </w:r>
          </w:p>
        </w:tc>
      </w:tr>
      <w:tr w:rsidR="002E474C" w14:paraId="0F0AC94F" w14:textId="77777777">
        <w:tc>
          <w:tcPr>
            <w:tcW w:w="2302" w:type="pct"/>
          </w:tcPr>
          <w:p w14:paraId="41C11009" w14:textId="77777777" w:rsidR="002E474C" w:rsidRDefault="00000000">
            <w:pPr>
              <w:pStyle w:val="A-"/>
              <w:jc w:val="both"/>
            </w:pPr>
            <w:r>
              <w:t xml:space="preserve">5.3.3 </w:t>
            </w:r>
            <w:r>
              <w:t>危险废物输送设备应根据焚烧厂的规模和危险废物的物理特性进行选择。</w:t>
            </w:r>
          </w:p>
        </w:tc>
        <w:tc>
          <w:tcPr>
            <w:tcW w:w="2304" w:type="pct"/>
          </w:tcPr>
          <w:p w14:paraId="2690F9E5" w14:textId="77777777" w:rsidR="002E474C" w:rsidRDefault="00000000">
            <w:pPr>
              <w:pStyle w:val="A-"/>
              <w:jc w:val="both"/>
            </w:pPr>
            <w:r>
              <w:t>本项目采用分散集中经营模式，厂内危废贮存库容量大于危险废物日协同处置能力的</w:t>
            </w:r>
            <w:r>
              <w:t>2</w:t>
            </w:r>
            <w:r>
              <w:t>倍。本项目设置密闭危废贮存库及固态危废预处理车间并负压运行，危废分类分区存放。</w:t>
            </w:r>
          </w:p>
        </w:tc>
        <w:tc>
          <w:tcPr>
            <w:tcW w:w="394" w:type="pct"/>
          </w:tcPr>
          <w:p w14:paraId="22CF8AC1" w14:textId="77777777" w:rsidR="002E474C" w:rsidRDefault="00000000">
            <w:pPr>
              <w:pStyle w:val="A-"/>
            </w:pPr>
            <w:r>
              <w:t>符合</w:t>
            </w:r>
          </w:p>
        </w:tc>
      </w:tr>
      <w:tr w:rsidR="002E474C" w14:paraId="0D16C2FC" w14:textId="77777777">
        <w:tc>
          <w:tcPr>
            <w:tcW w:w="2302" w:type="pct"/>
          </w:tcPr>
          <w:p w14:paraId="2BD9A235" w14:textId="77777777" w:rsidR="002E474C" w:rsidRDefault="00000000">
            <w:pPr>
              <w:pStyle w:val="A-"/>
              <w:jc w:val="both"/>
            </w:pPr>
            <w:r>
              <w:t xml:space="preserve">5.3.4 </w:t>
            </w:r>
            <w:r>
              <w:t>贮存和卸载区应设置必备的消防设施。</w:t>
            </w:r>
          </w:p>
        </w:tc>
        <w:tc>
          <w:tcPr>
            <w:tcW w:w="2304" w:type="pct"/>
          </w:tcPr>
          <w:p w14:paraId="5730A22B" w14:textId="77777777" w:rsidR="002E474C" w:rsidRDefault="00000000">
            <w:pPr>
              <w:pStyle w:val="A-"/>
              <w:jc w:val="both"/>
            </w:pPr>
            <w:r>
              <w:t>本项目危废贮存库及固态危废预处理车间设计、建设与运行过程中，除应满足环境保护相关要求外，还应执行国家安全生产、职业健康、交通运输、消防等法律法规和标准的相关要求。</w:t>
            </w:r>
          </w:p>
        </w:tc>
        <w:tc>
          <w:tcPr>
            <w:tcW w:w="394" w:type="pct"/>
          </w:tcPr>
          <w:p w14:paraId="7FCA406E" w14:textId="77777777" w:rsidR="002E474C" w:rsidRDefault="00000000">
            <w:pPr>
              <w:pStyle w:val="A-"/>
            </w:pPr>
            <w:r>
              <w:t>符合</w:t>
            </w:r>
          </w:p>
        </w:tc>
      </w:tr>
    </w:tbl>
    <w:p w14:paraId="3D42FD50" w14:textId="77777777" w:rsidR="002E474C" w:rsidRDefault="002E474C">
      <w:pPr>
        <w:pStyle w:val="A-z"/>
        <w:rPr>
          <w:color w:val="auto"/>
        </w:rPr>
      </w:pPr>
    </w:p>
    <w:p w14:paraId="4DFCAFA4" w14:textId="77777777" w:rsidR="002E474C" w:rsidRDefault="002E474C">
      <w:pPr>
        <w:pStyle w:val="A--"/>
        <w:rPr>
          <w:color w:val="auto"/>
        </w:rPr>
        <w:sectPr w:rsidR="002E474C">
          <w:pgSz w:w="16838" w:h="11906" w:orient="landscape"/>
          <w:pgMar w:top="1440" w:right="1800" w:bottom="1440" w:left="1800" w:header="851" w:footer="992" w:gutter="0"/>
          <w:cols w:space="720"/>
          <w:docGrid w:linePitch="312"/>
        </w:sectPr>
      </w:pPr>
    </w:p>
    <w:p w14:paraId="649A8B29" w14:textId="77777777" w:rsidR="002E474C" w:rsidRDefault="00000000">
      <w:pPr>
        <w:pStyle w:val="A--"/>
        <w:rPr>
          <w:color w:val="auto"/>
        </w:rPr>
      </w:pPr>
      <w:r>
        <w:rPr>
          <w:color w:val="auto"/>
        </w:rPr>
        <w:lastRenderedPageBreak/>
        <w:t>表</w:t>
      </w:r>
      <w:r>
        <w:rPr>
          <w:color w:val="auto"/>
        </w:rPr>
        <w:t xml:space="preserve">1.4-11  </w:t>
      </w:r>
      <w:r>
        <w:rPr>
          <w:color w:val="auto"/>
        </w:rPr>
        <w:t>本项目与相关环境管理要求符合性分析</w:t>
      </w:r>
    </w:p>
    <w:tbl>
      <w:tblPr>
        <w:tblStyle w:val="330"/>
        <w:tblW w:w="504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790"/>
        <w:gridCol w:w="6897"/>
        <w:gridCol w:w="3723"/>
        <w:gridCol w:w="569"/>
      </w:tblGrid>
      <w:tr w:rsidR="002E474C" w14:paraId="447659CC" w14:textId="77777777">
        <w:trPr>
          <w:trHeight w:val="227"/>
        </w:trPr>
        <w:tc>
          <w:tcPr>
            <w:tcW w:w="141" w:type="pct"/>
          </w:tcPr>
          <w:p w14:paraId="17D9945D" w14:textId="77777777" w:rsidR="002E474C" w:rsidRDefault="00000000">
            <w:pPr>
              <w:pStyle w:val="A-"/>
            </w:pPr>
            <w:r>
              <w:t>序号</w:t>
            </w:r>
          </w:p>
        </w:tc>
        <w:tc>
          <w:tcPr>
            <w:tcW w:w="670" w:type="pct"/>
          </w:tcPr>
          <w:p w14:paraId="111D7FEA" w14:textId="77777777" w:rsidR="002E474C" w:rsidRDefault="00000000">
            <w:pPr>
              <w:pStyle w:val="A-"/>
            </w:pPr>
            <w:r>
              <w:t>政策文件</w:t>
            </w:r>
          </w:p>
        </w:tc>
        <w:tc>
          <w:tcPr>
            <w:tcW w:w="2582" w:type="pct"/>
          </w:tcPr>
          <w:p w14:paraId="33C0FC77" w14:textId="77777777" w:rsidR="002E474C" w:rsidRDefault="00000000">
            <w:pPr>
              <w:pStyle w:val="A-"/>
            </w:pPr>
            <w:r>
              <w:t>具体要求</w:t>
            </w:r>
          </w:p>
        </w:tc>
        <w:tc>
          <w:tcPr>
            <w:tcW w:w="1394" w:type="pct"/>
          </w:tcPr>
          <w:p w14:paraId="0DA22D83" w14:textId="77777777" w:rsidR="002E474C" w:rsidRDefault="00000000">
            <w:pPr>
              <w:pStyle w:val="A-"/>
            </w:pPr>
            <w:r>
              <w:t>本项目情况</w:t>
            </w:r>
          </w:p>
        </w:tc>
        <w:tc>
          <w:tcPr>
            <w:tcW w:w="213" w:type="pct"/>
          </w:tcPr>
          <w:p w14:paraId="21B8AA9F" w14:textId="77777777" w:rsidR="002E474C" w:rsidRDefault="00000000">
            <w:pPr>
              <w:pStyle w:val="A-"/>
            </w:pPr>
            <w:r>
              <w:t>符合性</w:t>
            </w:r>
          </w:p>
        </w:tc>
      </w:tr>
      <w:tr w:rsidR="002E474C" w14:paraId="4EC30B3A" w14:textId="77777777">
        <w:trPr>
          <w:trHeight w:val="227"/>
        </w:trPr>
        <w:tc>
          <w:tcPr>
            <w:tcW w:w="141" w:type="pct"/>
            <w:vMerge w:val="restart"/>
          </w:tcPr>
          <w:p w14:paraId="0B5FBE41" w14:textId="77777777" w:rsidR="002E474C" w:rsidRDefault="00000000">
            <w:pPr>
              <w:pStyle w:val="A-"/>
            </w:pPr>
            <w:r>
              <w:t>1</w:t>
            </w:r>
          </w:p>
        </w:tc>
        <w:tc>
          <w:tcPr>
            <w:tcW w:w="670" w:type="pct"/>
            <w:vMerge w:val="restart"/>
          </w:tcPr>
          <w:p w14:paraId="7312809A" w14:textId="77777777" w:rsidR="002E474C" w:rsidRDefault="00000000">
            <w:pPr>
              <w:pStyle w:val="A-"/>
            </w:pPr>
            <w:r>
              <w:t>《中共中央国务院关于深入打好污染防治攻坚战的意见》（</w:t>
            </w:r>
            <w:r>
              <w:t>2021</w:t>
            </w:r>
            <w:r>
              <w:t>年</w:t>
            </w:r>
            <w:r>
              <w:t>11</w:t>
            </w:r>
            <w:r>
              <w:t>月</w:t>
            </w:r>
            <w:r>
              <w:t>2</w:t>
            </w:r>
            <w:r>
              <w:t>日）</w:t>
            </w:r>
          </w:p>
        </w:tc>
        <w:tc>
          <w:tcPr>
            <w:tcW w:w="2582" w:type="pct"/>
          </w:tcPr>
          <w:p w14:paraId="27DC8E9B" w14:textId="77777777" w:rsidR="002E474C" w:rsidRDefault="00000000">
            <w:pPr>
              <w:pStyle w:val="A-"/>
              <w:jc w:val="both"/>
            </w:pPr>
            <w:r>
              <w:t>（二十四）稳步推进</w:t>
            </w:r>
            <w:r>
              <w:t>“</w:t>
            </w:r>
            <w:r>
              <w:t>无废城市</w:t>
            </w:r>
            <w:r>
              <w:t>”</w:t>
            </w:r>
            <w:r>
              <w:t>建设。健全</w:t>
            </w:r>
            <w:r>
              <w:t>“</w:t>
            </w:r>
            <w:r>
              <w:t>无废城市</w:t>
            </w:r>
            <w:r>
              <w:t>”</w:t>
            </w:r>
            <w:r>
              <w:t>建设相关制度、技术、市场、监管体系，推进城市固体废物精细化管理。</w:t>
            </w:r>
            <w:r>
              <w:t>“</w:t>
            </w:r>
            <w:r>
              <w:t>十四五</w:t>
            </w:r>
            <w:r>
              <w:t>”</w:t>
            </w:r>
            <w:r>
              <w:t>时期，推进</w:t>
            </w:r>
            <w:r>
              <w:t>100</w:t>
            </w:r>
            <w:r>
              <w:t>个左右地级及以上城市开展</w:t>
            </w:r>
            <w:r>
              <w:t>“</w:t>
            </w:r>
            <w:r>
              <w:t>无废城市</w:t>
            </w:r>
            <w:r>
              <w:t>”</w:t>
            </w:r>
            <w:r>
              <w:t>建设，鼓励有条件的省份全域推进</w:t>
            </w:r>
            <w:r>
              <w:t>“</w:t>
            </w:r>
            <w:r>
              <w:t>无废城市</w:t>
            </w:r>
            <w:r>
              <w:t>”</w:t>
            </w:r>
            <w:r>
              <w:t>建设。</w:t>
            </w:r>
          </w:p>
        </w:tc>
        <w:tc>
          <w:tcPr>
            <w:tcW w:w="1394" w:type="pct"/>
          </w:tcPr>
          <w:p w14:paraId="5357911F" w14:textId="77777777" w:rsidR="002E474C" w:rsidRDefault="00000000">
            <w:pPr>
              <w:pStyle w:val="A-"/>
              <w:jc w:val="both"/>
            </w:pPr>
            <w:r>
              <w:t>本项目利用现水泥窑协同处置危险废物，可实现水泥厂向协同处置废弃物的循环经济发展模式转变，有利于危险废物减量化、资源化、无害化。</w:t>
            </w:r>
          </w:p>
        </w:tc>
        <w:tc>
          <w:tcPr>
            <w:tcW w:w="213" w:type="pct"/>
            <w:vMerge w:val="restart"/>
          </w:tcPr>
          <w:p w14:paraId="616730AB" w14:textId="77777777" w:rsidR="002E474C" w:rsidRDefault="00000000">
            <w:pPr>
              <w:pStyle w:val="A-"/>
            </w:pPr>
            <w:r>
              <w:t>符合</w:t>
            </w:r>
          </w:p>
        </w:tc>
      </w:tr>
      <w:tr w:rsidR="002E474C" w14:paraId="47BF05D9" w14:textId="77777777">
        <w:trPr>
          <w:trHeight w:val="227"/>
        </w:trPr>
        <w:tc>
          <w:tcPr>
            <w:tcW w:w="141" w:type="pct"/>
            <w:vMerge/>
          </w:tcPr>
          <w:p w14:paraId="2B929A9F" w14:textId="77777777" w:rsidR="002E474C" w:rsidRDefault="002E474C">
            <w:pPr>
              <w:pStyle w:val="A-"/>
            </w:pPr>
          </w:p>
        </w:tc>
        <w:tc>
          <w:tcPr>
            <w:tcW w:w="670" w:type="pct"/>
            <w:vMerge/>
          </w:tcPr>
          <w:p w14:paraId="3242847A" w14:textId="77777777" w:rsidR="002E474C" w:rsidRDefault="002E474C">
            <w:pPr>
              <w:pStyle w:val="A-"/>
            </w:pPr>
          </w:p>
        </w:tc>
        <w:tc>
          <w:tcPr>
            <w:tcW w:w="2582" w:type="pct"/>
          </w:tcPr>
          <w:p w14:paraId="3CE1176F" w14:textId="77777777" w:rsidR="002E474C" w:rsidRDefault="00000000">
            <w:pPr>
              <w:pStyle w:val="A-"/>
              <w:jc w:val="both"/>
            </w:pPr>
            <w:r>
              <w:t>（三十五）实施环境基础设施补短板行动。构建集污水、垃圾、固体废物、危险废物、医疗废物处理处置设施和监测监管能力于一体的环境基础设施体系，形成由城市向建制镇和乡村延伸覆盖的环境基础设施网络。开展污水处理厂差别化精准提标。优先推广运行费用低、管护简便的农村生活污水治理技术，加强农村生活污水处理设施长效化运行维护。推动省域内危险废物处置能力与产废情况总体匹配，加快完善医疗废物收集转运处置体系。</w:t>
            </w:r>
          </w:p>
        </w:tc>
        <w:tc>
          <w:tcPr>
            <w:tcW w:w="1394" w:type="pct"/>
          </w:tcPr>
          <w:p w14:paraId="224CD25F" w14:textId="77777777" w:rsidR="002E474C" w:rsidRDefault="00000000">
            <w:pPr>
              <w:pStyle w:val="A-"/>
              <w:jc w:val="both"/>
            </w:pPr>
            <w:r>
              <w:t>本项目依托现水泥窑协同处置危险废物项目，项目实施后将有效提高昌吉州及吐鲁番市危险废物利用处置能力。</w:t>
            </w:r>
          </w:p>
        </w:tc>
        <w:tc>
          <w:tcPr>
            <w:tcW w:w="213" w:type="pct"/>
            <w:vMerge/>
          </w:tcPr>
          <w:p w14:paraId="782F4034" w14:textId="77777777" w:rsidR="002E474C" w:rsidRDefault="002E474C">
            <w:pPr>
              <w:pStyle w:val="A-"/>
            </w:pPr>
          </w:p>
        </w:tc>
      </w:tr>
      <w:tr w:rsidR="002E474C" w14:paraId="6AB055C2" w14:textId="77777777">
        <w:trPr>
          <w:trHeight w:val="1209"/>
        </w:trPr>
        <w:tc>
          <w:tcPr>
            <w:tcW w:w="141" w:type="pct"/>
          </w:tcPr>
          <w:p w14:paraId="06503286" w14:textId="77777777" w:rsidR="002E474C" w:rsidRDefault="00000000">
            <w:pPr>
              <w:pStyle w:val="A-"/>
            </w:pPr>
            <w:r>
              <w:t>2</w:t>
            </w:r>
          </w:p>
        </w:tc>
        <w:tc>
          <w:tcPr>
            <w:tcW w:w="670" w:type="pct"/>
            <w:shd w:val="clear" w:color="auto" w:fill="auto"/>
          </w:tcPr>
          <w:p w14:paraId="4DAEE63E" w14:textId="77777777" w:rsidR="002E474C" w:rsidRDefault="00000000">
            <w:pPr>
              <w:pStyle w:val="A-"/>
            </w:pPr>
            <w:r>
              <w:t>《空气质量持续改善行动计划》（国发〔</w:t>
            </w:r>
            <w:r>
              <w:t>2023</w:t>
            </w:r>
            <w:r>
              <w:t>〕</w:t>
            </w:r>
            <w:r>
              <w:t>24</w:t>
            </w:r>
            <w:r>
              <w:t>号）</w:t>
            </w:r>
          </w:p>
        </w:tc>
        <w:tc>
          <w:tcPr>
            <w:tcW w:w="2582" w:type="pct"/>
          </w:tcPr>
          <w:p w14:paraId="49C3AEC4" w14:textId="77777777" w:rsidR="002E474C" w:rsidRDefault="00000000">
            <w:pPr>
              <w:pStyle w:val="A-"/>
              <w:jc w:val="both"/>
            </w:pPr>
            <w: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394" w:type="pct"/>
          </w:tcPr>
          <w:p w14:paraId="731471A9" w14:textId="77777777" w:rsidR="002E474C" w:rsidRDefault="00000000">
            <w:pPr>
              <w:pStyle w:val="A-"/>
              <w:jc w:val="both"/>
            </w:pPr>
            <w:r>
              <w:t>本项目采用新型干法水泥窑协同处置危险废物，不属于高耗能、高排放项目，项目建设符合国家和自治区产业规划、产业政策、生态环境分区管控方案要求等，项目建设符合方案要求。</w:t>
            </w:r>
          </w:p>
        </w:tc>
        <w:tc>
          <w:tcPr>
            <w:tcW w:w="213" w:type="pct"/>
          </w:tcPr>
          <w:p w14:paraId="72596624" w14:textId="77777777" w:rsidR="002E474C" w:rsidRDefault="00000000">
            <w:pPr>
              <w:pStyle w:val="A-"/>
            </w:pPr>
            <w:r>
              <w:t>符合</w:t>
            </w:r>
          </w:p>
        </w:tc>
      </w:tr>
      <w:tr w:rsidR="002E474C" w14:paraId="2EF176C4" w14:textId="77777777">
        <w:trPr>
          <w:trHeight w:val="227"/>
        </w:trPr>
        <w:tc>
          <w:tcPr>
            <w:tcW w:w="141" w:type="pct"/>
          </w:tcPr>
          <w:p w14:paraId="09D6D5DC" w14:textId="77777777" w:rsidR="002E474C" w:rsidRDefault="00000000">
            <w:pPr>
              <w:pStyle w:val="A-"/>
            </w:pPr>
            <w:r>
              <w:t>3</w:t>
            </w:r>
          </w:p>
        </w:tc>
        <w:tc>
          <w:tcPr>
            <w:tcW w:w="670" w:type="pct"/>
          </w:tcPr>
          <w:p w14:paraId="11D71F5C" w14:textId="77777777" w:rsidR="002E474C" w:rsidRDefault="00000000">
            <w:pPr>
              <w:pStyle w:val="A-"/>
            </w:pPr>
            <w:r>
              <w:t>《关于全面推进美丽中国建设的意见》（</w:t>
            </w:r>
            <w:r>
              <w:t>2023</w:t>
            </w:r>
            <w:r>
              <w:t>年</w:t>
            </w:r>
            <w:r>
              <w:t>12</w:t>
            </w:r>
            <w:r>
              <w:t>月</w:t>
            </w:r>
            <w:r>
              <w:t>27</w:t>
            </w:r>
            <w:r>
              <w:t>日）</w:t>
            </w:r>
          </w:p>
        </w:tc>
        <w:tc>
          <w:tcPr>
            <w:tcW w:w="2582" w:type="pct"/>
          </w:tcPr>
          <w:p w14:paraId="04DAB603" w14:textId="77777777" w:rsidR="002E474C" w:rsidRDefault="00000000">
            <w:pPr>
              <w:pStyle w:val="A-"/>
              <w:jc w:val="both"/>
            </w:pPr>
            <w:r>
              <w:t>（八）强化固体废物和新污染物治理。加快</w:t>
            </w:r>
            <w:r>
              <w:t>“</w:t>
            </w:r>
            <w:r>
              <w:t>无废城市</w:t>
            </w:r>
            <w:r>
              <w:t>”</w:t>
            </w:r>
            <w:r>
              <w:t>建设，持续推进新污染物治理行动，推动实现城乡</w:t>
            </w:r>
            <w:r>
              <w:t>“</w:t>
            </w:r>
            <w:r>
              <w:t>无废</w:t>
            </w:r>
            <w:r>
              <w:t>”</w:t>
            </w:r>
            <w:r>
              <w:t>、环境健康。加强固体废物综合治理，限制商品过度包装，全链条治理塑料污染。深化全面禁止</w:t>
            </w:r>
            <w:r>
              <w:t>“</w:t>
            </w:r>
            <w:r>
              <w:t>洋垃圾</w:t>
            </w:r>
            <w:r>
              <w:t>”</w:t>
            </w:r>
            <w:r>
              <w:t>入境工作，严防各种形式固体废物走私和变相进口。强化危险废物监管和利用处置能力，以长江经济带、黄河流域等为重点加强尾矿库污染治理。制定有毒有害化学物质环境风险管理法规。到</w:t>
            </w:r>
            <w:r>
              <w:t>2027</w:t>
            </w:r>
            <w:r>
              <w:t>年，</w:t>
            </w:r>
            <w:r>
              <w:t>“</w:t>
            </w:r>
            <w:r>
              <w:t>无废城市</w:t>
            </w:r>
            <w:r>
              <w:t>”</w:t>
            </w:r>
            <w:r>
              <w:t>建设比例达到</w:t>
            </w:r>
            <w:r>
              <w:t>60%</w:t>
            </w:r>
            <w:r>
              <w:t>，固体废物产生强度明显下降；到</w:t>
            </w:r>
            <w:r>
              <w:t>2035</w:t>
            </w:r>
            <w:r>
              <w:t>年，</w:t>
            </w:r>
            <w:r>
              <w:t>“</w:t>
            </w:r>
            <w:r>
              <w:t>无废城市</w:t>
            </w:r>
            <w:r>
              <w:t>”</w:t>
            </w:r>
            <w:r>
              <w:t>建设实现全覆盖，东部省份率先全域建成</w:t>
            </w:r>
            <w:r>
              <w:t>“</w:t>
            </w:r>
            <w:r>
              <w:t>无废城市</w:t>
            </w:r>
            <w:r>
              <w:t>”</w:t>
            </w:r>
            <w:r>
              <w:t>，新污染物环境风险得到有效管控。</w:t>
            </w:r>
          </w:p>
        </w:tc>
        <w:tc>
          <w:tcPr>
            <w:tcW w:w="1394" w:type="pct"/>
          </w:tcPr>
          <w:p w14:paraId="55853D4C" w14:textId="77777777" w:rsidR="002E474C" w:rsidRDefault="00000000">
            <w:pPr>
              <w:pStyle w:val="A-"/>
              <w:jc w:val="both"/>
            </w:pPr>
            <w:r>
              <w:t>本项目利用现有水泥窑协同处置危险废物，可实现水泥厂向协同处置废弃物的循环经济发展模式转变，有利于危险废物减量化、资源化、无害化。</w:t>
            </w:r>
          </w:p>
          <w:p w14:paraId="738D6CE4" w14:textId="77777777" w:rsidR="002E474C" w:rsidRDefault="00000000">
            <w:pPr>
              <w:pStyle w:val="A-"/>
              <w:jc w:val="both"/>
            </w:pPr>
            <w:r>
              <w:t>本项目不涉及国家及自治区行政区域的危险废物转入及转出。</w:t>
            </w:r>
          </w:p>
        </w:tc>
        <w:tc>
          <w:tcPr>
            <w:tcW w:w="213" w:type="pct"/>
          </w:tcPr>
          <w:p w14:paraId="13975055" w14:textId="77777777" w:rsidR="002E474C" w:rsidRDefault="00000000">
            <w:pPr>
              <w:pStyle w:val="A-"/>
            </w:pPr>
            <w:r>
              <w:t>符合</w:t>
            </w:r>
          </w:p>
        </w:tc>
      </w:tr>
      <w:tr w:rsidR="002E474C" w14:paraId="5768D85E" w14:textId="77777777">
        <w:trPr>
          <w:trHeight w:val="227"/>
        </w:trPr>
        <w:tc>
          <w:tcPr>
            <w:tcW w:w="141" w:type="pct"/>
          </w:tcPr>
          <w:p w14:paraId="0066054A" w14:textId="77777777" w:rsidR="002E474C" w:rsidRDefault="00000000">
            <w:pPr>
              <w:pStyle w:val="A-"/>
            </w:pPr>
            <w:r>
              <w:t>4</w:t>
            </w:r>
          </w:p>
        </w:tc>
        <w:tc>
          <w:tcPr>
            <w:tcW w:w="670" w:type="pct"/>
          </w:tcPr>
          <w:p w14:paraId="64E59151" w14:textId="77777777" w:rsidR="002E474C" w:rsidRDefault="00000000">
            <w:pPr>
              <w:pStyle w:val="A-"/>
            </w:pPr>
            <w:r>
              <w:t>《关于加强重点行业建设项目区域消减措施监督管理的通知》环办环评〔</w:t>
            </w:r>
            <w:r>
              <w:t>2020</w:t>
            </w:r>
            <w:r>
              <w:t>〕</w:t>
            </w:r>
            <w:r>
              <w:t>36</w:t>
            </w:r>
            <w:r>
              <w:t>号</w:t>
            </w:r>
          </w:p>
        </w:tc>
        <w:tc>
          <w:tcPr>
            <w:tcW w:w="2582" w:type="pct"/>
          </w:tcPr>
          <w:p w14:paraId="5604BB6C" w14:textId="77777777" w:rsidR="002E474C" w:rsidRDefault="00000000">
            <w:pPr>
              <w:pStyle w:val="A-"/>
              <w:jc w:val="both"/>
            </w:pPr>
            <w:r>
              <w:t>（一）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1394" w:type="pct"/>
          </w:tcPr>
          <w:p w14:paraId="0E971526" w14:textId="77777777" w:rsidR="002E474C" w:rsidRDefault="00000000">
            <w:pPr>
              <w:pStyle w:val="A-"/>
              <w:jc w:val="both"/>
            </w:pPr>
            <w:r>
              <w:t>本项目不新增颗粒物、</w:t>
            </w:r>
            <w:r>
              <w:t>SO</w:t>
            </w:r>
            <w:r>
              <w:rPr>
                <w:vertAlign w:val="subscript"/>
              </w:rPr>
              <w:t>2</w:t>
            </w:r>
            <w:r>
              <w:t>、</w:t>
            </w:r>
            <w:r>
              <w:t>NOx</w:t>
            </w:r>
            <w:r>
              <w:t>排放量，新增挥发性有机物（</w:t>
            </w:r>
            <w:r>
              <w:t>VOCs</w:t>
            </w:r>
            <w:r>
              <w:t>）大气污染物总量指标吐鲁番区域内等量替代，大气污染物排放符合总量控制要求。</w:t>
            </w:r>
          </w:p>
        </w:tc>
        <w:tc>
          <w:tcPr>
            <w:tcW w:w="213" w:type="pct"/>
          </w:tcPr>
          <w:p w14:paraId="55131065" w14:textId="77777777" w:rsidR="002E474C" w:rsidRDefault="00000000">
            <w:pPr>
              <w:pStyle w:val="A-"/>
            </w:pPr>
            <w:r>
              <w:t>符合</w:t>
            </w:r>
          </w:p>
        </w:tc>
      </w:tr>
      <w:tr w:rsidR="002E474C" w14:paraId="42F47DC8" w14:textId="77777777">
        <w:trPr>
          <w:trHeight w:val="227"/>
        </w:trPr>
        <w:tc>
          <w:tcPr>
            <w:tcW w:w="141" w:type="pct"/>
          </w:tcPr>
          <w:p w14:paraId="6C417AA4" w14:textId="77777777" w:rsidR="002E474C" w:rsidRDefault="00000000">
            <w:pPr>
              <w:pStyle w:val="A-"/>
            </w:pPr>
            <w:r>
              <w:lastRenderedPageBreak/>
              <w:t>5</w:t>
            </w:r>
          </w:p>
        </w:tc>
        <w:tc>
          <w:tcPr>
            <w:tcW w:w="670" w:type="pct"/>
          </w:tcPr>
          <w:p w14:paraId="270AE662" w14:textId="77777777" w:rsidR="002E474C" w:rsidRDefault="00000000">
            <w:pPr>
              <w:pStyle w:val="A-"/>
            </w:pPr>
            <w:r>
              <w:t>《环境影响评价与排污许可领域协同推进碳减排工作方案》（环办环评函〔</w:t>
            </w:r>
            <w:r>
              <w:t>2021</w:t>
            </w:r>
            <w:r>
              <w:t>〕</w:t>
            </w:r>
            <w:r>
              <w:t>277</w:t>
            </w:r>
            <w:r>
              <w:t>号）</w:t>
            </w:r>
          </w:p>
        </w:tc>
        <w:tc>
          <w:tcPr>
            <w:tcW w:w="2582" w:type="pct"/>
          </w:tcPr>
          <w:p w14:paraId="6834FA5E" w14:textId="77777777" w:rsidR="002E474C" w:rsidRDefault="00000000">
            <w:pPr>
              <w:pStyle w:val="A-"/>
              <w:jc w:val="both"/>
            </w:pPr>
            <w:r>
              <w:t>四、完善建设项目环境影响评价制度</w:t>
            </w:r>
          </w:p>
          <w:p w14:paraId="5375CDE6" w14:textId="77777777" w:rsidR="002E474C" w:rsidRDefault="00000000">
            <w:pPr>
              <w:pStyle w:val="A-"/>
              <w:jc w:val="both"/>
            </w:pPr>
            <w:r>
              <w:t>（一）组织开展试点，探索将碳排放纳入建设项目环境影响评价。印发《关于开展重点行业建设项目碳排放环境影响评价试点的通知》，</w:t>
            </w:r>
            <w:r>
              <w:t>2021-2022</w:t>
            </w:r>
            <w:r>
              <w:t>年，率先针对电力、石化、化工、钢铁、建材、有色等行业建设项目开展碳排放量核算和控制试点。分析确定建设项目二氧化碳产生的关键环节和主要类别，测算评估排放水平，结合能耗、工艺技术分析减排潜力，在环评工作中提出单位原料、产品或燃料碳排放强度或排放总量控制要求；根据国家制定的行业碳达峰方案，分别从原燃料清洁替代、节能降耗技术、余热余能利用、清洁运输方式等方面提出针对性的讲坛措施与控制要求。</w:t>
            </w:r>
          </w:p>
        </w:tc>
        <w:tc>
          <w:tcPr>
            <w:tcW w:w="1394" w:type="pct"/>
          </w:tcPr>
          <w:p w14:paraId="6968E404" w14:textId="77777777" w:rsidR="002E474C" w:rsidRDefault="00000000">
            <w:pPr>
              <w:pStyle w:val="A-"/>
              <w:jc w:val="both"/>
            </w:pPr>
            <w:r>
              <w:t>本项目一方面使危险废物中有机组分完全焚烧，释放热量替代化石燃料，减少燃料燃烧碳排放；另一方面使危废中无机组分（钙、硅、铝等）参与熟料矿物合成，替代部分电石渣及原生原料，进一步减少碳酸盐分解碳排放，从燃料燃烧和原料分解两个核心碳排放环节实现减排增效。</w:t>
            </w:r>
          </w:p>
        </w:tc>
        <w:tc>
          <w:tcPr>
            <w:tcW w:w="213" w:type="pct"/>
          </w:tcPr>
          <w:p w14:paraId="78006A21" w14:textId="77777777" w:rsidR="002E474C" w:rsidRDefault="00000000">
            <w:pPr>
              <w:pStyle w:val="A-"/>
            </w:pPr>
            <w:r>
              <w:t>符合</w:t>
            </w:r>
          </w:p>
        </w:tc>
      </w:tr>
      <w:tr w:rsidR="002E474C" w14:paraId="3C440ABD" w14:textId="77777777">
        <w:trPr>
          <w:trHeight w:val="227"/>
        </w:trPr>
        <w:tc>
          <w:tcPr>
            <w:tcW w:w="141" w:type="pct"/>
            <w:vMerge w:val="restart"/>
          </w:tcPr>
          <w:p w14:paraId="388A3CFF" w14:textId="77777777" w:rsidR="002E474C" w:rsidRDefault="00000000">
            <w:pPr>
              <w:pStyle w:val="A-"/>
            </w:pPr>
            <w:r>
              <w:t>6</w:t>
            </w:r>
          </w:p>
        </w:tc>
        <w:tc>
          <w:tcPr>
            <w:tcW w:w="670" w:type="pct"/>
            <w:vMerge w:val="restart"/>
          </w:tcPr>
          <w:p w14:paraId="2A52C639" w14:textId="77777777" w:rsidR="002E474C" w:rsidRDefault="00000000">
            <w:pPr>
              <w:pStyle w:val="A-"/>
            </w:pPr>
            <w:r>
              <w:t>《国务院办公厅关于印发强化危险废物监管和利用处置能力改革实施方案的通知》（国办函〔</w:t>
            </w:r>
            <w:r>
              <w:t>2021</w:t>
            </w:r>
            <w:r>
              <w:t>〕</w:t>
            </w:r>
            <w:r>
              <w:t>47</w:t>
            </w:r>
            <w:r>
              <w:t>号）</w:t>
            </w:r>
          </w:p>
        </w:tc>
        <w:tc>
          <w:tcPr>
            <w:tcW w:w="2582" w:type="pct"/>
          </w:tcPr>
          <w:p w14:paraId="448B4C67" w14:textId="77777777" w:rsidR="002E474C" w:rsidRDefault="00000000">
            <w:pPr>
              <w:pStyle w:val="A-"/>
              <w:jc w:val="both"/>
            </w:pPr>
            <w:r>
              <w:t>二、完善危险废物监管体制机制</w:t>
            </w:r>
          </w:p>
          <w:p w14:paraId="2EFEE123" w14:textId="77777777" w:rsidR="002E474C" w:rsidRDefault="00000000">
            <w:pPr>
              <w:pStyle w:val="A-"/>
              <w:jc w:val="both"/>
            </w:pPr>
            <w:r>
              <w:t>危险废物产生、收集、贮存、运输、利用、处置企业的主要负责人（法定代表人、实际控制人）是危险废物污染环境防治和安全生产第一责任人，严格落实危险废物污染环境防治和安全生产法律法规制度。危险废物相关企业依法及时公开危险废物污染环境防治信息，依法依规投保环境污染责任保险。</w:t>
            </w:r>
          </w:p>
        </w:tc>
        <w:tc>
          <w:tcPr>
            <w:tcW w:w="1394" w:type="pct"/>
          </w:tcPr>
          <w:p w14:paraId="030FCDC4" w14:textId="77777777" w:rsidR="002E474C" w:rsidRDefault="00000000">
            <w:pPr>
              <w:pStyle w:val="A-"/>
              <w:jc w:val="both"/>
            </w:pPr>
            <w:r>
              <w:t>本次评价已按照《企业环境信息依法披露管理办法》要求提出，企业运营过程中应及时披露环境信息。</w:t>
            </w:r>
          </w:p>
        </w:tc>
        <w:tc>
          <w:tcPr>
            <w:tcW w:w="213" w:type="pct"/>
            <w:vMerge w:val="restart"/>
          </w:tcPr>
          <w:p w14:paraId="105587B6" w14:textId="77777777" w:rsidR="002E474C" w:rsidRDefault="00000000">
            <w:pPr>
              <w:pStyle w:val="A-"/>
            </w:pPr>
            <w:r>
              <w:t>符合</w:t>
            </w:r>
          </w:p>
        </w:tc>
      </w:tr>
      <w:tr w:rsidR="002E474C" w14:paraId="11D74924" w14:textId="77777777">
        <w:trPr>
          <w:trHeight w:val="227"/>
        </w:trPr>
        <w:tc>
          <w:tcPr>
            <w:tcW w:w="141" w:type="pct"/>
            <w:vMerge/>
          </w:tcPr>
          <w:p w14:paraId="195CD94B" w14:textId="77777777" w:rsidR="002E474C" w:rsidRDefault="002E474C">
            <w:pPr>
              <w:pStyle w:val="A-"/>
            </w:pPr>
          </w:p>
        </w:tc>
        <w:tc>
          <w:tcPr>
            <w:tcW w:w="670" w:type="pct"/>
            <w:vMerge/>
          </w:tcPr>
          <w:p w14:paraId="1A08C38D" w14:textId="77777777" w:rsidR="002E474C" w:rsidRDefault="002E474C">
            <w:pPr>
              <w:pStyle w:val="A-"/>
            </w:pPr>
          </w:p>
        </w:tc>
        <w:tc>
          <w:tcPr>
            <w:tcW w:w="2582" w:type="pct"/>
          </w:tcPr>
          <w:p w14:paraId="5D42BFA1" w14:textId="77777777" w:rsidR="002E474C" w:rsidRDefault="00000000">
            <w:pPr>
              <w:pStyle w:val="A-"/>
              <w:jc w:val="both"/>
            </w:pPr>
            <w:r>
              <w:t>、强化危险废物源头管控</w:t>
            </w:r>
          </w:p>
          <w:p w14:paraId="64BE614C" w14:textId="77777777" w:rsidR="002E474C" w:rsidRDefault="00000000">
            <w:pPr>
              <w:pStyle w:val="A-"/>
              <w:jc w:val="both"/>
            </w:pPr>
            <w:r>
              <w:t>新改扩建项目要依法开展环境影响评价，严格危险废物污染环境防治设施</w:t>
            </w:r>
            <w:r>
              <w:t>“</w:t>
            </w:r>
            <w:r>
              <w:t>三同时</w:t>
            </w:r>
            <w:r>
              <w:t>”</w:t>
            </w:r>
            <w:r>
              <w:t>管理。</w:t>
            </w:r>
            <w:r>
              <w:t>……</w:t>
            </w:r>
            <w:r>
              <w:t>。依法落实工业危险废物排污许可制度。推进危险废物规范化环境管理。</w:t>
            </w:r>
          </w:p>
        </w:tc>
        <w:tc>
          <w:tcPr>
            <w:tcW w:w="1394" w:type="pct"/>
          </w:tcPr>
          <w:p w14:paraId="76A78A55" w14:textId="77777777" w:rsidR="002E474C" w:rsidRDefault="00000000">
            <w:pPr>
              <w:pStyle w:val="A-"/>
              <w:jc w:val="both"/>
            </w:pPr>
            <w:r>
              <w:t>本项目严格落实</w:t>
            </w:r>
            <w:r>
              <w:t>“</w:t>
            </w:r>
            <w:r>
              <w:t>三同时</w:t>
            </w:r>
            <w:r>
              <w:t>”</w:t>
            </w:r>
            <w:r>
              <w:t>管理，本次评价已提出项目运营前应依法取得排污许可证，按证排污。</w:t>
            </w:r>
          </w:p>
        </w:tc>
        <w:tc>
          <w:tcPr>
            <w:tcW w:w="213" w:type="pct"/>
            <w:vMerge/>
          </w:tcPr>
          <w:p w14:paraId="1472C409" w14:textId="77777777" w:rsidR="002E474C" w:rsidRDefault="002E474C">
            <w:pPr>
              <w:pStyle w:val="A-"/>
            </w:pPr>
          </w:p>
        </w:tc>
      </w:tr>
      <w:tr w:rsidR="002E474C" w14:paraId="0AEF1577" w14:textId="77777777">
        <w:trPr>
          <w:trHeight w:val="227"/>
        </w:trPr>
        <w:tc>
          <w:tcPr>
            <w:tcW w:w="141" w:type="pct"/>
            <w:vMerge/>
          </w:tcPr>
          <w:p w14:paraId="0B1DA294" w14:textId="77777777" w:rsidR="002E474C" w:rsidRDefault="002E474C">
            <w:pPr>
              <w:pStyle w:val="A-"/>
            </w:pPr>
          </w:p>
        </w:tc>
        <w:tc>
          <w:tcPr>
            <w:tcW w:w="670" w:type="pct"/>
            <w:vMerge/>
          </w:tcPr>
          <w:p w14:paraId="0AF2B999" w14:textId="77777777" w:rsidR="002E474C" w:rsidRDefault="002E474C">
            <w:pPr>
              <w:pStyle w:val="A-"/>
            </w:pPr>
          </w:p>
        </w:tc>
        <w:tc>
          <w:tcPr>
            <w:tcW w:w="2582" w:type="pct"/>
          </w:tcPr>
          <w:p w14:paraId="1CC6CE0B" w14:textId="77777777" w:rsidR="002E474C" w:rsidRDefault="00000000">
            <w:pPr>
              <w:pStyle w:val="A-"/>
              <w:jc w:val="both"/>
            </w:pPr>
            <w:r>
              <w:t>四、强化危险废物收集转运等过程监管</w:t>
            </w:r>
          </w:p>
          <w:p w14:paraId="11DB3CF6" w14:textId="77777777" w:rsidR="002E474C" w:rsidRDefault="00000000">
            <w:pPr>
              <w:pStyle w:val="A-"/>
              <w:jc w:val="both"/>
            </w:pPr>
            <w:r>
              <w:t>强化危险废物环境执法，将其作为生态环境保护综合执法重要内容。严厉打击非法排放、倾倒、收集、贮存、转移、利用、处置危险废物等环境违法犯罪行为，实施生态环境损害赔偿制度，强化行政执法与刑事司法、检察公益诉讼的协调联动。</w:t>
            </w:r>
          </w:p>
        </w:tc>
        <w:tc>
          <w:tcPr>
            <w:tcW w:w="1394" w:type="pct"/>
          </w:tcPr>
          <w:p w14:paraId="22BE6F5A" w14:textId="77777777" w:rsidR="002E474C" w:rsidRDefault="00000000">
            <w:pPr>
              <w:pStyle w:val="A-"/>
              <w:jc w:val="both"/>
            </w:pPr>
            <w:r>
              <w:t>项目运营后企业严格执行危险废物经营许可、转移等管理制度，落实《危险废物收集</w:t>
            </w:r>
            <w:r>
              <w:t xml:space="preserve"> </w:t>
            </w:r>
            <w:r>
              <w:t>贮存</w:t>
            </w:r>
            <w:r>
              <w:t xml:space="preserve"> </w:t>
            </w:r>
            <w:r>
              <w:t>运输技术规范》（</w:t>
            </w:r>
            <w:r>
              <w:t>HJ 2025-2012</w:t>
            </w:r>
            <w:r>
              <w:t>）、《危险废物贮存污染控制标准》（</w:t>
            </w:r>
            <w:r>
              <w:t>GB 18597-2023</w:t>
            </w:r>
            <w:r>
              <w:t>）、《危险废物识别标志设置技术规范》（</w:t>
            </w:r>
            <w:r>
              <w:t>HJ 1276-2022</w:t>
            </w:r>
            <w:r>
              <w:t>）、《危险废物转移管理办法》等文件要求。</w:t>
            </w:r>
          </w:p>
        </w:tc>
        <w:tc>
          <w:tcPr>
            <w:tcW w:w="213" w:type="pct"/>
            <w:vMerge/>
          </w:tcPr>
          <w:p w14:paraId="7EC29C32" w14:textId="77777777" w:rsidR="002E474C" w:rsidRDefault="002E474C">
            <w:pPr>
              <w:pStyle w:val="A-"/>
            </w:pPr>
          </w:p>
        </w:tc>
      </w:tr>
      <w:tr w:rsidR="002E474C" w14:paraId="7C8C3391" w14:textId="77777777">
        <w:trPr>
          <w:trHeight w:val="227"/>
        </w:trPr>
        <w:tc>
          <w:tcPr>
            <w:tcW w:w="141" w:type="pct"/>
            <w:vMerge/>
          </w:tcPr>
          <w:p w14:paraId="11172DE8" w14:textId="77777777" w:rsidR="002E474C" w:rsidRDefault="002E474C">
            <w:pPr>
              <w:pStyle w:val="A-"/>
            </w:pPr>
          </w:p>
        </w:tc>
        <w:tc>
          <w:tcPr>
            <w:tcW w:w="670" w:type="pct"/>
            <w:vMerge/>
          </w:tcPr>
          <w:p w14:paraId="4148CF2F" w14:textId="77777777" w:rsidR="002E474C" w:rsidRDefault="002E474C">
            <w:pPr>
              <w:pStyle w:val="A-"/>
            </w:pPr>
          </w:p>
        </w:tc>
        <w:tc>
          <w:tcPr>
            <w:tcW w:w="2582" w:type="pct"/>
          </w:tcPr>
          <w:p w14:paraId="214116DE" w14:textId="77777777" w:rsidR="002E474C" w:rsidRDefault="00000000">
            <w:pPr>
              <w:pStyle w:val="A-"/>
              <w:jc w:val="both"/>
            </w:pPr>
            <w:r>
              <w:t>七、促进危险废物利用处置产业高质量发展</w:t>
            </w:r>
          </w:p>
          <w:p w14:paraId="5916FF7D" w14:textId="77777777" w:rsidR="002E474C" w:rsidRDefault="00000000">
            <w:pPr>
              <w:pStyle w:val="A-"/>
              <w:jc w:val="both"/>
            </w:pPr>
            <w:r>
              <w:t>新建危险废物集中焚烧处置设施处置能力原则上应大于</w:t>
            </w:r>
            <w:r>
              <w:t>3</w:t>
            </w:r>
            <w:r>
              <w:t>万吨</w:t>
            </w:r>
            <w:r>
              <w:t>/</w:t>
            </w:r>
            <w:r>
              <w:t>年，控制可焚烧减量的危险废物直接填埋，适度发展水泥窑协同处置危险废物。落实</w:t>
            </w:r>
            <w:r>
              <w:t>“</w:t>
            </w:r>
            <w:r>
              <w:t>放管服</w:t>
            </w:r>
            <w:r>
              <w:t>”</w:t>
            </w:r>
            <w:r>
              <w:t>改革要求，鼓励采取多元投资和市场化方式建设规模化危险废物利用设施；鼓励企业通过兼并重组等方式做大做强，开展专业化建设运营服务，努力打造一批国际一流的危险废物利用处置企业。</w:t>
            </w:r>
          </w:p>
        </w:tc>
        <w:tc>
          <w:tcPr>
            <w:tcW w:w="1394" w:type="pct"/>
          </w:tcPr>
          <w:p w14:paraId="62544B21" w14:textId="77777777" w:rsidR="002E474C" w:rsidRDefault="00000000">
            <w:pPr>
              <w:pStyle w:val="A-"/>
              <w:jc w:val="both"/>
            </w:pPr>
            <w:r>
              <w:t>本项目属于危废水泥窑协同处置项目，属于适度发展的危险废物处置项目。</w:t>
            </w:r>
          </w:p>
        </w:tc>
        <w:tc>
          <w:tcPr>
            <w:tcW w:w="213" w:type="pct"/>
            <w:vMerge/>
          </w:tcPr>
          <w:p w14:paraId="56D32055" w14:textId="77777777" w:rsidR="002E474C" w:rsidRDefault="002E474C">
            <w:pPr>
              <w:pStyle w:val="A-"/>
            </w:pPr>
          </w:p>
        </w:tc>
      </w:tr>
      <w:tr w:rsidR="002E474C" w14:paraId="7ABA0D60" w14:textId="77777777">
        <w:trPr>
          <w:trHeight w:val="227"/>
        </w:trPr>
        <w:tc>
          <w:tcPr>
            <w:tcW w:w="141" w:type="pct"/>
            <w:vMerge w:val="restart"/>
          </w:tcPr>
          <w:p w14:paraId="29A347F3" w14:textId="77777777" w:rsidR="002E474C" w:rsidRDefault="00000000">
            <w:pPr>
              <w:pStyle w:val="A-"/>
            </w:pPr>
            <w:r>
              <w:t>7</w:t>
            </w:r>
          </w:p>
        </w:tc>
        <w:tc>
          <w:tcPr>
            <w:tcW w:w="670" w:type="pct"/>
            <w:vMerge w:val="restart"/>
          </w:tcPr>
          <w:p w14:paraId="780BFBEE" w14:textId="77777777" w:rsidR="002E474C" w:rsidRDefault="00000000">
            <w:pPr>
              <w:pStyle w:val="A-"/>
            </w:pPr>
            <w:r>
              <w:t>《关于进一步加强</w:t>
            </w:r>
            <w:r>
              <w:lastRenderedPageBreak/>
              <w:t>危险废物规范化环境管理有关工作的通知》（环办固体〔</w:t>
            </w:r>
            <w:r>
              <w:t>2023</w:t>
            </w:r>
            <w:r>
              <w:t>〕</w:t>
            </w:r>
            <w:r>
              <w:t>17</w:t>
            </w:r>
            <w:r>
              <w:t>号）</w:t>
            </w:r>
          </w:p>
        </w:tc>
        <w:tc>
          <w:tcPr>
            <w:tcW w:w="2582" w:type="pct"/>
          </w:tcPr>
          <w:p w14:paraId="7ECCE4AD" w14:textId="77777777" w:rsidR="002E474C" w:rsidRDefault="00000000">
            <w:pPr>
              <w:pStyle w:val="A-"/>
              <w:jc w:val="both"/>
            </w:pPr>
            <w:r>
              <w:lastRenderedPageBreak/>
              <w:t>（四）实行电子标签，规范源头管理。全面统一危险废物电子标签标志二维</w:t>
            </w:r>
            <w:r>
              <w:lastRenderedPageBreak/>
              <w:t>码。鼓励其他危险废物产生单位应用电子标签、电子管理台账等信息化措施。鼓励持有危险废物经营许可证的单位为危险废物产生单位提供延伸服务，协助其生成并领取电子标签、建立电子管理台账等。</w:t>
            </w:r>
          </w:p>
        </w:tc>
        <w:tc>
          <w:tcPr>
            <w:tcW w:w="1394" w:type="pct"/>
          </w:tcPr>
          <w:p w14:paraId="156DAD92" w14:textId="77777777" w:rsidR="002E474C" w:rsidRDefault="00000000">
            <w:pPr>
              <w:pStyle w:val="A-"/>
              <w:jc w:val="both"/>
            </w:pPr>
            <w:r>
              <w:lastRenderedPageBreak/>
              <w:t>本项目处置的危废统一使用电子标签标</w:t>
            </w:r>
            <w:r>
              <w:lastRenderedPageBreak/>
              <w:t>志二维码，企业配有专业技术人员，建立电子管理台账等。</w:t>
            </w:r>
          </w:p>
        </w:tc>
        <w:tc>
          <w:tcPr>
            <w:tcW w:w="213" w:type="pct"/>
            <w:vMerge w:val="restart"/>
          </w:tcPr>
          <w:p w14:paraId="2BA88319" w14:textId="77777777" w:rsidR="002E474C" w:rsidRDefault="00000000">
            <w:pPr>
              <w:pStyle w:val="A-"/>
            </w:pPr>
            <w:r>
              <w:lastRenderedPageBreak/>
              <w:t>符合</w:t>
            </w:r>
          </w:p>
        </w:tc>
      </w:tr>
      <w:tr w:rsidR="002E474C" w14:paraId="46D04675" w14:textId="77777777">
        <w:trPr>
          <w:trHeight w:val="227"/>
        </w:trPr>
        <w:tc>
          <w:tcPr>
            <w:tcW w:w="141" w:type="pct"/>
            <w:vMerge/>
          </w:tcPr>
          <w:p w14:paraId="4EA01E06" w14:textId="77777777" w:rsidR="002E474C" w:rsidRDefault="002E474C">
            <w:pPr>
              <w:pStyle w:val="A-"/>
            </w:pPr>
          </w:p>
        </w:tc>
        <w:tc>
          <w:tcPr>
            <w:tcW w:w="670" w:type="pct"/>
            <w:vMerge/>
          </w:tcPr>
          <w:p w14:paraId="6FACB9A6" w14:textId="77777777" w:rsidR="002E474C" w:rsidRDefault="002E474C">
            <w:pPr>
              <w:pStyle w:val="A-"/>
            </w:pPr>
          </w:p>
        </w:tc>
        <w:tc>
          <w:tcPr>
            <w:tcW w:w="2582" w:type="pct"/>
          </w:tcPr>
          <w:p w14:paraId="505AFD9B" w14:textId="77777777" w:rsidR="002E474C" w:rsidRDefault="00000000">
            <w:pPr>
              <w:pStyle w:val="A-"/>
              <w:jc w:val="both"/>
            </w:pPr>
            <w:r>
              <w:t>（五）运行电子联单，规范转移跟踪。全面实行全国统一编号的危险废物电子转移联单。转移的危险废物包装容器具有电子标签的，应与电子转移联单关联。鼓励持证单位在自有危险废物运输车辆安装车载卫星定位、视频监控等设备。</w:t>
            </w:r>
          </w:p>
        </w:tc>
        <w:tc>
          <w:tcPr>
            <w:tcW w:w="1394" w:type="pct"/>
          </w:tcPr>
          <w:p w14:paraId="4DBFF727" w14:textId="77777777" w:rsidR="002E474C" w:rsidRDefault="00000000">
            <w:pPr>
              <w:pStyle w:val="A-"/>
              <w:jc w:val="both"/>
            </w:pPr>
            <w:r>
              <w:t>本项目产生的危废实行全国统一编号的危险废物电子转移联单，接收产废单位危废前，核实转移联单相关信息真实性、准确性。本项目拟处置的危废委外运输，选择安装车载卫星定位、视频监控等设备的车辆。</w:t>
            </w:r>
          </w:p>
        </w:tc>
        <w:tc>
          <w:tcPr>
            <w:tcW w:w="213" w:type="pct"/>
            <w:vMerge/>
          </w:tcPr>
          <w:p w14:paraId="587976D2" w14:textId="77777777" w:rsidR="002E474C" w:rsidRDefault="002E474C">
            <w:pPr>
              <w:pStyle w:val="A-"/>
            </w:pPr>
          </w:p>
        </w:tc>
      </w:tr>
      <w:tr w:rsidR="002E474C" w14:paraId="5092195E" w14:textId="77777777">
        <w:trPr>
          <w:trHeight w:val="227"/>
        </w:trPr>
        <w:tc>
          <w:tcPr>
            <w:tcW w:w="141" w:type="pct"/>
            <w:vMerge/>
          </w:tcPr>
          <w:p w14:paraId="3F2BCD1F" w14:textId="77777777" w:rsidR="002E474C" w:rsidRDefault="002E474C">
            <w:pPr>
              <w:pStyle w:val="A-"/>
            </w:pPr>
          </w:p>
        </w:tc>
        <w:tc>
          <w:tcPr>
            <w:tcW w:w="670" w:type="pct"/>
            <w:vMerge/>
          </w:tcPr>
          <w:p w14:paraId="0E68F734" w14:textId="77777777" w:rsidR="002E474C" w:rsidRDefault="002E474C">
            <w:pPr>
              <w:pStyle w:val="A-"/>
            </w:pPr>
          </w:p>
        </w:tc>
        <w:tc>
          <w:tcPr>
            <w:tcW w:w="2582" w:type="pct"/>
          </w:tcPr>
          <w:p w14:paraId="6BE050AB" w14:textId="77777777" w:rsidR="002E474C" w:rsidRDefault="00000000">
            <w:pPr>
              <w:pStyle w:val="A-"/>
              <w:jc w:val="both"/>
            </w:pPr>
            <w:r>
              <w:t>（六）推行电子证照，规范末端管理。持证单位应按照国家关于制定危险废物电子经营情况记录簿的要求，建立与国家固废系统实时对接的电子经营情况记录簿，应用电子地磅、电子标签等加强信息化管理，并分别于每月</w:t>
            </w:r>
            <w:r>
              <w:t>15</w:t>
            </w:r>
            <w:r>
              <w:t>日和每年</w:t>
            </w:r>
            <w:r>
              <w:t>1</w:t>
            </w:r>
            <w:r>
              <w:t>月底前通过国家固废系统汇总报告上月度和上年度经营情况。鼓励持证单位在危险废物相关重点环节和关键节点应用视频监控。</w:t>
            </w:r>
          </w:p>
        </w:tc>
        <w:tc>
          <w:tcPr>
            <w:tcW w:w="1394" w:type="pct"/>
          </w:tcPr>
          <w:p w14:paraId="1783949A" w14:textId="77777777" w:rsidR="002E474C" w:rsidRDefault="00000000">
            <w:pPr>
              <w:pStyle w:val="A-"/>
              <w:jc w:val="both"/>
            </w:pPr>
            <w:r>
              <w:t>本项目属于危废处置项目，本次评价已提出企业应建立与国家固废系统实时对接的电子经营情况记录簿，应用电子地磅、电子标签等加强信息化管理，并分别于每月</w:t>
            </w:r>
            <w:r>
              <w:t>15</w:t>
            </w:r>
            <w:r>
              <w:t>日和每年</w:t>
            </w:r>
            <w:r>
              <w:t>1</w:t>
            </w:r>
            <w:r>
              <w:t>月底前通过国家固废系统汇总报告上月度和上年度经营情况。危废贮存库、装卸区、预处理及处置车间等关键节点设有视频监控。</w:t>
            </w:r>
          </w:p>
        </w:tc>
        <w:tc>
          <w:tcPr>
            <w:tcW w:w="213" w:type="pct"/>
            <w:vMerge/>
          </w:tcPr>
          <w:p w14:paraId="2DE8A1C0" w14:textId="77777777" w:rsidR="002E474C" w:rsidRDefault="002E474C">
            <w:pPr>
              <w:pStyle w:val="A-"/>
            </w:pPr>
          </w:p>
        </w:tc>
      </w:tr>
      <w:tr w:rsidR="002E474C" w14:paraId="03F28E16" w14:textId="77777777">
        <w:trPr>
          <w:trHeight w:val="227"/>
        </w:trPr>
        <w:tc>
          <w:tcPr>
            <w:tcW w:w="141" w:type="pct"/>
            <w:vMerge w:val="restart"/>
          </w:tcPr>
          <w:p w14:paraId="0FE40417" w14:textId="77777777" w:rsidR="002E474C" w:rsidRDefault="00000000">
            <w:pPr>
              <w:pStyle w:val="A-"/>
            </w:pPr>
            <w:r>
              <w:t>8</w:t>
            </w:r>
          </w:p>
        </w:tc>
        <w:tc>
          <w:tcPr>
            <w:tcW w:w="670" w:type="pct"/>
            <w:vMerge w:val="restart"/>
          </w:tcPr>
          <w:p w14:paraId="397DB122" w14:textId="77777777" w:rsidR="002E474C" w:rsidRDefault="00000000">
            <w:pPr>
              <w:pStyle w:val="A-"/>
            </w:pPr>
            <w:r>
              <w:t>《关于进一步</w:t>
            </w:r>
            <w:bookmarkStart w:id="31" w:name="OLE_LINK24"/>
            <w:r>
              <w:t>加强危险废物环境治理</w:t>
            </w:r>
            <w:r>
              <w:t xml:space="preserve"> </w:t>
            </w:r>
            <w:r>
              <w:t>严密防控环境风险的指导意见</w:t>
            </w:r>
            <w:bookmarkEnd w:id="31"/>
            <w:r>
              <w:t>》（环固体〔</w:t>
            </w:r>
            <w:r>
              <w:t>2025</w:t>
            </w:r>
            <w:r>
              <w:t>〕</w:t>
            </w:r>
            <w:r>
              <w:t>10</w:t>
            </w:r>
            <w:r>
              <w:t>号）</w:t>
            </w:r>
          </w:p>
        </w:tc>
        <w:tc>
          <w:tcPr>
            <w:tcW w:w="2582" w:type="pct"/>
          </w:tcPr>
          <w:p w14:paraId="260149D5" w14:textId="77777777" w:rsidR="002E474C" w:rsidRDefault="00000000">
            <w:pPr>
              <w:pStyle w:val="A-"/>
              <w:jc w:val="both"/>
            </w:pPr>
            <w:r>
              <w:t>三、优化危险废物利用处置方式</w:t>
            </w:r>
          </w:p>
          <w:p w14:paraId="1A7A3A1C" w14:textId="77777777" w:rsidR="002E474C" w:rsidRDefault="00000000">
            <w:pPr>
              <w:pStyle w:val="A-"/>
              <w:jc w:val="both"/>
            </w:pPr>
            <w:r>
              <w:t>（四）优化危险废物利用处置结构</w:t>
            </w:r>
          </w:p>
          <w:p w14:paraId="5E1413D2" w14:textId="77777777" w:rsidR="002E474C" w:rsidRDefault="00000000">
            <w:pPr>
              <w:pStyle w:val="A-"/>
              <w:jc w:val="both"/>
              <w:rPr>
                <w:bCs/>
                <w:kern w:val="28"/>
                <w:szCs w:val="32"/>
              </w:rPr>
            </w:pPr>
            <w:r>
              <w:t>完善处置结构。新建危险废物单套集中焚烧处置设施处置能力原则上应大于</w:t>
            </w:r>
            <w:r>
              <w:t>3</w:t>
            </w:r>
            <w:r>
              <w:t>万吨</w:t>
            </w:r>
            <w:r>
              <w:t>/</w:t>
            </w:r>
            <w:r>
              <w:t>年。引导水泥窑协同处置危险废物设施更好发挥作为危险废物利用处置能力有益补充的作用，重点处理贮存和填埋量大、类别单一的危险废物。</w:t>
            </w:r>
          </w:p>
        </w:tc>
        <w:tc>
          <w:tcPr>
            <w:tcW w:w="1394" w:type="pct"/>
          </w:tcPr>
          <w:p w14:paraId="43493C5A" w14:textId="77777777" w:rsidR="002E474C" w:rsidRDefault="00000000">
            <w:pPr>
              <w:pStyle w:val="A-"/>
              <w:jc w:val="both"/>
              <w:rPr>
                <w:bCs/>
                <w:kern w:val="28"/>
                <w:szCs w:val="32"/>
              </w:rPr>
            </w:pPr>
            <w:r>
              <w:t>本项目为危险废物单套集中焚烧处置设施处置能力为</w:t>
            </w:r>
            <w:r>
              <w:t>5</w:t>
            </w:r>
            <w:r>
              <w:t>万</w:t>
            </w:r>
            <w:r>
              <w:t>t/a</w:t>
            </w:r>
            <w:r>
              <w:t>。</w:t>
            </w:r>
          </w:p>
        </w:tc>
        <w:tc>
          <w:tcPr>
            <w:tcW w:w="213" w:type="pct"/>
            <w:vMerge w:val="restart"/>
          </w:tcPr>
          <w:p w14:paraId="6B9D1319" w14:textId="77777777" w:rsidR="002E474C" w:rsidRDefault="00000000">
            <w:pPr>
              <w:pStyle w:val="A-"/>
            </w:pPr>
            <w:r>
              <w:t>符合</w:t>
            </w:r>
          </w:p>
        </w:tc>
      </w:tr>
      <w:tr w:rsidR="002E474C" w14:paraId="43918D8F" w14:textId="77777777">
        <w:trPr>
          <w:trHeight w:val="227"/>
        </w:trPr>
        <w:tc>
          <w:tcPr>
            <w:tcW w:w="141" w:type="pct"/>
            <w:vMerge/>
          </w:tcPr>
          <w:p w14:paraId="0B4199F8" w14:textId="77777777" w:rsidR="002E474C" w:rsidRDefault="002E474C">
            <w:pPr>
              <w:pStyle w:val="A-"/>
            </w:pPr>
          </w:p>
        </w:tc>
        <w:tc>
          <w:tcPr>
            <w:tcW w:w="670" w:type="pct"/>
            <w:vMerge/>
          </w:tcPr>
          <w:p w14:paraId="6EBC6681" w14:textId="77777777" w:rsidR="002E474C" w:rsidRDefault="002E474C">
            <w:pPr>
              <w:pStyle w:val="A-"/>
            </w:pPr>
          </w:p>
        </w:tc>
        <w:tc>
          <w:tcPr>
            <w:tcW w:w="2582" w:type="pct"/>
          </w:tcPr>
          <w:p w14:paraId="4CB55188" w14:textId="77777777" w:rsidR="002E474C" w:rsidRDefault="00000000">
            <w:pPr>
              <w:pStyle w:val="A-"/>
              <w:jc w:val="both"/>
            </w:pPr>
            <w:r>
              <w:t>四、健全危险废物环境管理体系</w:t>
            </w:r>
          </w:p>
          <w:p w14:paraId="6305B32F" w14:textId="77777777" w:rsidR="002E474C" w:rsidRDefault="00000000">
            <w:pPr>
              <w:pStyle w:val="A-"/>
              <w:jc w:val="both"/>
            </w:pPr>
            <w:r>
              <w:t>（八）强化危险废物信息化环境管理</w:t>
            </w:r>
          </w:p>
          <w:p w14:paraId="6CB7F7AD" w14:textId="77777777" w:rsidR="002E474C" w:rsidRDefault="00000000">
            <w:pPr>
              <w:pStyle w:val="A-"/>
              <w:jc w:val="both"/>
              <w:rPr>
                <w:bCs/>
                <w:kern w:val="28"/>
                <w:szCs w:val="32"/>
              </w:rPr>
            </w:pPr>
            <w:r>
              <w:t>强化实时动态监控。运用物联网、区块链等新技术，紧盯产生、转移、利用处置等三个环节，运用统一的电子标签标志二维码、电子转移联单编号、电子危险废物经营许可证号等三个编码。推进危险废物产生单位</w:t>
            </w:r>
            <w:r>
              <w:t>“</w:t>
            </w:r>
            <w:r>
              <w:t>五即</w:t>
            </w:r>
            <w:r>
              <w:t>”</w:t>
            </w:r>
            <w:r>
              <w:t>规范化建设，推行危险废物即产生、即包装、即称重、即打码、即入库，强化危险废物从产生到处置的二维码全过程跟踪信息化管理，</w:t>
            </w:r>
            <w:r>
              <w:t>2025</w:t>
            </w:r>
            <w:r>
              <w:t>年长三角区域相关省份和有条件的省份率先实现。强化危险废物电子转移联单运行和转移轨迹记录。有序开展危险废物焚烧和水泥窑协同处置设施</w:t>
            </w:r>
            <w:r>
              <w:t>“</w:t>
            </w:r>
            <w:r>
              <w:t>装树联</w:t>
            </w:r>
            <w:r>
              <w:t>”</w:t>
            </w:r>
            <w:r>
              <w:t>。推广智慧填埋技术，实现危险废物填埋全过程追溯定位和渗漏风险实时监测预警。</w:t>
            </w:r>
          </w:p>
        </w:tc>
        <w:tc>
          <w:tcPr>
            <w:tcW w:w="1394" w:type="pct"/>
          </w:tcPr>
          <w:p w14:paraId="68A58D60" w14:textId="77777777" w:rsidR="002E474C" w:rsidRDefault="00000000">
            <w:pPr>
              <w:pStyle w:val="A-"/>
              <w:jc w:val="both"/>
            </w:pPr>
            <w:r>
              <w:t>项目运行后，应对协同处置危险废物操作过程和环保设施运行情况进行记录。处置危险废物的数据记录应保留五年以上，确保协同处置全过程跟踪信息化管理。</w:t>
            </w:r>
          </w:p>
          <w:p w14:paraId="322D7A83" w14:textId="77777777" w:rsidR="002E474C" w:rsidRDefault="00000000">
            <w:pPr>
              <w:pStyle w:val="A-"/>
              <w:jc w:val="both"/>
              <w:rPr>
                <w:bCs/>
                <w:kern w:val="28"/>
                <w:szCs w:val="32"/>
              </w:rPr>
            </w:pPr>
            <w:r>
              <w:t>危险废物运输按照《危险废物收集</w:t>
            </w:r>
            <w:r>
              <w:t xml:space="preserve"> </w:t>
            </w:r>
            <w:r>
              <w:t>贮存</w:t>
            </w:r>
            <w:r>
              <w:t xml:space="preserve"> </w:t>
            </w:r>
            <w:r>
              <w:t>运输技术规范》（</w:t>
            </w:r>
            <w:r>
              <w:t>HJ2025-2012</w:t>
            </w:r>
            <w:r>
              <w:t>）中的相关规定执行。</w:t>
            </w:r>
          </w:p>
        </w:tc>
        <w:tc>
          <w:tcPr>
            <w:tcW w:w="213" w:type="pct"/>
            <w:vMerge/>
          </w:tcPr>
          <w:p w14:paraId="15C1B6E1" w14:textId="77777777" w:rsidR="002E474C" w:rsidRDefault="002E474C">
            <w:pPr>
              <w:pStyle w:val="A-"/>
            </w:pPr>
          </w:p>
        </w:tc>
      </w:tr>
      <w:tr w:rsidR="002E474C" w14:paraId="04CCA794" w14:textId="77777777">
        <w:trPr>
          <w:trHeight w:val="227"/>
        </w:trPr>
        <w:tc>
          <w:tcPr>
            <w:tcW w:w="141" w:type="pct"/>
            <w:vMerge w:val="restart"/>
          </w:tcPr>
          <w:p w14:paraId="41F08D27" w14:textId="77777777" w:rsidR="002E474C" w:rsidRDefault="00000000">
            <w:pPr>
              <w:pStyle w:val="A-"/>
            </w:pPr>
            <w:r>
              <w:lastRenderedPageBreak/>
              <w:t>9</w:t>
            </w:r>
          </w:p>
        </w:tc>
        <w:tc>
          <w:tcPr>
            <w:tcW w:w="670" w:type="pct"/>
            <w:vMerge w:val="restart"/>
            <w:shd w:val="clear" w:color="auto" w:fill="auto"/>
          </w:tcPr>
          <w:p w14:paraId="4463E1B7" w14:textId="77777777" w:rsidR="002E474C" w:rsidRDefault="00000000">
            <w:pPr>
              <w:pStyle w:val="A-"/>
            </w:pPr>
            <w:r>
              <w:t>《固体废物综合治理行动计划》（国发〔</w:t>
            </w:r>
            <w:r>
              <w:t>2025</w:t>
            </w:r>
            <w:r>
              <w:t>〕</w:t>
            </w:r>
            <w:r>
              <w:t>14</w:t>
            </w:r>
            <w:r>
              <w:t>号）</w:t>
            </w:r>
          </w:p>
        </w:tc>
        <w:tc>
          <w:tcPr>
            <w:tcW w:w="2582" w:type="pct"/>
            <w:shd w:val="clear" w:color="auto" w:fill="auto"/>
          </w:tcPr>
          <w:p w14:paraId="46D70D6F" w14:textId="77777777" w:rsidR="002E474C" w:rsidRDefault="00000000">
            <w:pPr>
              <w:pStyle w:val="A-"/>
              <w:jc w:val="both"/>
            </w:pPr>
            <w:r>
              <w:t>（十）提升全过程无害化水平。加强大宗工业固体废物无害化预处理，降低贮存填埋量和环境污染风险。因地制宜确定生活垃圾处理方式，合理布局建设生活垃圾焚烧处理设施，鼓励在确保安全稳定运行前提下，协同处置城镇污水处理厂污泥和工业固体废物。新建生活垃圾焚烧项目应同步落实飞灰处理途径，逐步减少飞灰填埋量。优化污泥处理处置结构，压减填埋规模。</w:t>
            </w:r>
          </w:p>
        </w:tc>
        <w:tc>
          <w:tcPr>
            <w:tcW w:w="1394" w:type="pct"/>
            <w:shd w:val="clear" w:color="auto" w:fill="auto"/>
          </w:tcPr>
          <w:p w14:paraId="432B4101" w14:textId="77777777" w:rsidR="002E474C" w:rsidRDefault="00000000">
            <w:pPr>
              <w:pStyle w:val="A-"/>
              <w:jc w:val="both"/>
            </w:pPr>
            <w:r>
              <w:t>本项目采用新型干法水泥窑协同处置危险废物。企业建成投产前将办理危废经营许可证，方能从事危险废物贮存及处置等经营业务。本项目建设与运行符合《水泥窑协同处置固体废物环境保护技术规范》（</w:t>
            </w:r>
            <w:r>
              <w:t>HJ662-2013</w:t>
            </w:r>
            <w:r>
              <w:t>）、《水泥窑协同处置固体废物污染控制标准》（</w:t>
            </w:r>
            <w:r>
              <w:t>GB30485-2013</w:t>
            </w:r>
            <w:r>
              <w:t>）、《水泥窑协同处置固体废物技术规范》（</w:t>
            </w:r>
            <w:r>
              <w:t>GB/T30760-2024</w:t>
            </w:r>
            <w:r>
              <w:t>）等技术规范与污染控制标准。</w:t>
            </w:r>
          </w:p>
        </w:tc>
        <w:tc>
          <w:tcPr>
            <w:tcW w:w="213" w:type="pct"/>
            <w:vMerge w:val="restart"/>
          </w:tcPr>
          <w:p w14:paraId="6D69897E" w14:textId="77777777" w:rsidR="002E474C" w:rsidRDefault="00000000">
            <w:pPr>
              <w:pStyle w:val="A-"/>
            </w:pPr>
            <w:r>
              <w:t>符合</w:t>
            </w:r>
          </w:p>
        </w:tc>
      </w:tr>
      <w:tr w:rsidR="002E474C" w14:paraId="0468BACE" w14:textId="77777777">
        <w:trPr>
          <w:trHeight w:val="227"/>
        </w:trPr>
        <w:tc>
          <w:tcPr>
            <w:tcW w:w="141" w:type="pct"/>
            <w:vMerge/>
          </w:tcPr>
          <w:p w14:paraId="3A459588" w14:textId="77777777" w:rsidR="002E474C" w:rsidRDefault="002E474C">
            <w:pPr>
              <w:pStyle w:val="A-"/>
            </w:pPr>
          </w:p>
        </w:tc>
        <w:tc>
          <w:tcPr>
            <w:tcW w:w="670" w:type="pct"/>
            <w:vMerge/>
            <w:shd w:val="clear" w:color="auto" w:fill="auto"/>
          </w:tcPr>
          <w:p w14:paraId="1A866829" w14:textId="77777777" w:rsidR="002E474C" w:rsidRDefault="002E474C">
            <w:pPr>
              <w:pStyle w:val="A-"/>
            </w:pPr>
          </w:p>
        </w:tc>
        <w:tc>
          <w:tcPr>
            <w:tcW w:w="2582" w:type="pct"/>
            <w:shd w:val="clear" w:color="auto" w:fill="auto"/>
          </w:tcPr>
          <w:p w14:paraId="3156B9FF" w14:textId="77777777" w:rsidR="002E474C" w:rsidRDefault="00000000">
            <w:pPr>
              <w:pStyle w:val="A-"/>
              <w:jc w:val="both"/>
            </w:pPr>
            <w:r>
              <w:t>（十七）提升信息化监管能力。加强固体废物全生命周期信息化监管，依法强化生活垃圾焚烧处理、固体废物填埋、危险废物焚烧和工业窑炉协同处置、重金属重点行业企业自动监测，推进危险废物全过程实时动态监控。推动企业开展数智监控设备升级改造。</w:t>
            </w:r>
          </w:p>
        </w:tc>
        <w:tc>
          <w:tcPr>
            <w:tcW w:w="1394" w:type="pct"/>
            <w:shd w:val="clear" w:color="auto" w:fill="auto"/>
          </w:tcPr>
          <w:p w14:paraId="672A41F4" w14:textId="77777777" w:rsidR="002E474C" w:rsidRDefault="00000000">
            <w:pPr>
              <w:pStyle w:val="A-"/>
              <w:jc w:val="both"/>
            </w:pPr>
            <w:r>
              <w:t>本项目依托的水泥生产线为</w:t>
            </w:r>
            <w:r>
              <w:t>5000t/d</w:t>
            </w:r>
            <w:r>
              <w:t>电石渣干法水泥生产线，现有生产线窑尾烟气已配套高效电袋除尘器治理措施，且安装与当地生态环境部门联网的污染物在线监测设备。</w:t>
            </w:r>
          </w:p>
        </w:tc>
        <w:tc>
          <w:tcPr>
            <w:tcW w:w="213" w:type="pct"/>
            <w:vMerge/>
          </w:tcPr>
          <w:p w14:paraId="5B311112" w14:textId="77777777" w:rsidR="002E474C" w:rsidRDefault="002E474C">
            <w:pPr>
              <w:pStyle w:val="A-"/>
            </w:pPr>
          </w:p>
        </w:tc>
      </w:tr>
      <w:tr w:rsidR="002E474C" w14:paraId="3B7B702D" w14:textId="77777777">
        <w:trPr>
          <w:trHeight w:val="227"/>
        </w:trPr>
        <w:tc>
          <w:tcPr>
            <w:tcW w:w="141" w:type="pct"/>
          </w:tcPr>
          <w:p w14:paraId="40D32D74" w14:textId="77777777" w:rsidR="002E474C" w:rsidRDefault="00000000">
            <w:pPr>
              <w:pStyle w:val="A-"/>
            </w:pPr>
            <w:r>
              <w:t>10</w:t>
            </w:r>
          </w:p>
        </w:tc>
        <w:tc>
          <w:tcPr>
            <w:tcW w:w="670" w:type="pct"/>
          </w:tcPr>
          <w:p w14:paraId="008392F6" w14:textId="77777777" w:rsidR="002E474C" w:rsidRDefault="00000000">
            <w:pPr>
              <w:pStyle w:val="A-"/>
            </w:pPr>
            <w:r>
              <w:t>《新疆维吾尔自治区土壤污染防治工作方案》（新政发〔</w:t>
            </w:r>
            <w:r>
              <w:t>2017</w:t>
            </w:r>
            <w:r>
              <w:t>〕</w:t>
            </w:r>
            <w:r>
              <w:t>25</w:t>
            </w:r>
            <w:r>
              <w:t>号）</w:t>
            </w:r>
          </w:p>
        </w:tc>
        <w:tc>
          <w:tcPr>
            <w:tcW w:w="2582" w:type="pct"/>
          </w:tcPr>
          <w:p w14:paraId="52A99659" w14:textId="77777777" w:rsidR="002E474C" w:rsidRDefault="00000000">
            <w:pPr>
              <w:pStyle w:val="A-"/>
              <w:jc w:val="both"/>
            </w:pPr>
            <w:r>
              <w:t>6.</w:t>
            </w:r>
            <w:r>
              <w:t>加强工业废物处理处置。</w:t>
            </w:r>
            <w:r>
              <w:t>2017</w:t>
            </w:r>
            <w:r>
              <w:t>年起，全面调查我区大宗固体废物堆存情况，</w:t>
            </w:r>
            <w:r>
              <w:t>2018</w:t>
            </w:r>
            <w:r>
              <w:t>年起，对存在问题的尾矿、煤矸石、工业副产石膏、粉煤灰、钻井废弃物、冶炼渣、电石渣、铬渣以及脱硫、脱硝、除尘产生固体废物的堆存场所进行全面整治，完善防扬散、防流失、防渗漏等设施，制定整治方案并有序实施。大力推进固体废物资源化利用，到</w:t>
            </w:r>
            <w:r>
              <w:t>2020</w:t>
            </w:r>
            <w:r>
              <w:t>年全区工业固体废物综合利用率达到</w:t>
            </w:r>
            <w:r>
              <w:t>60%</w:t>
            </w:r>
            <w:r>
              <w:t>。提高油</w:t>
            </w:r>
            <w:r>
              <w:t>(</w:t>
            </w:r>
            <w:r>
              <w:t>气</w:t>
            </w:r>
            <w:r>
              <w:t>)</w:t>
            </w:r>
            <w:r>
              <w:t>田开采废弃物、有色金属冶炼废渣、化工行业工业废液等危险废物的综合利用和处置水平。推动自治区危险废物年产生量较大的有色金属冶炼和压延加工业、石油加工炼焦行业、黑色金属冶炼和压延加工业、石油和天然气开采业、化学原料和化学制品制造业等行业自建危险废物处置、利用设施，推进行业危险废物资源化综合利用和安全处置。加大工业园区的工业固体废物环境管理力度，固体废物、危险废物产生量大的工业园区应配套固体废物、危险废物处置利用设施，确保园区企业固体废物、危险废物得以安全处置和利用。鼓励现有水泥企业通过技术改造处置危险废物。</w:t>
            </w:r>
          </w:p>
        </w:tc>
        <w:tc>
          <w:tcPr>
            <w:tcW w:w="1394" w:type="pct"/>
          </w:tcPr>
          <w:p w14:paraId="4EF9A9E7" w14:textId="77777777" w:rsidR="002E474C" w:rsidRDefault="00000000">
            <w:pPr>
              <w:pStyle w:val="A-"/>
              <w:jc w:val="both"/>
            </w:pPr>
            <w:r>
              <w:t>本项目利用现有水泥窑协同处置危险废物，可实现水泥厂向协同处置废弃物的循环经济发展模式转变，有利于危险废物减量化、资源化、无害化。</w:t>
            </w:r>
          </w:p>
          <w:p w14:paraId="5AF7D27E" w14:textId="77777777" w:rsidR="002E474C" w:rsidRDefault="00000000">
            <w:pPr>
              <w:pStyle w:val="A-"/>
              <w:jc w:val="both"/>
            </w:pPr>
            <w:r>
              <w:t>本项目依托现水泥窑协同处置危险废物项目，项目实施后将有效提高昌吉州及吐鲁番市危险废物利用处置能力。</w:t>
            </w:r>
          </w:p>
        </w:tc>
        <w:tc>
          <w:tcPr>
            <w:tcW w:w="213" w:type="pct"/>
          </w:tcPr>
          <w:p w14:paraId="705301DD" w14:textId="77777777" w:rsidR="002E474C" w:rsidRDefault="00000000">
            <w:pPr>
              <w:pStyle w:val="A-"/>
            </w:pPr>
            <w:r>
              <w:t>符合</w:t>
            </w:r>
          </w:p>
        </w:tc>
      </w:tr>
      <w:tr w:rsidR="002E474C" w14:paraId="79EB5020" w14:textId="77777777">
        <w:trPr>
          <w:trHeight w:val="227"/>
        </w:trPr>
        <w:tc>
          <w:tcPr>
            <w:tcW w:w="141" w:type="pct"/>
          </w:tcPr>
          <w:p w14:paraId="098B2F9D" w14:textId="77777777" w:rsidR="002E474C" w:rsidRDefault="00000000">
            <w:pPr>
              <w:pStyle w:val="A-"/>
            </w:pPr>
            <w:r>
              <w:t>11</w:t>
            </w:r>
          </w:p>
        </w:tc>
        <w:tc>
          <w:tcPr>
            <w:tcW w:w="670" w:type="pct"/>
          </w:tcPr>
          <w:p w14:paraId="3BAE5587" w14:textId="77777777" w:rsidR="002E474C" w:rsidRDefault="00000000">
            <w:pPr>
              <w:pStyle w:val="A-"/>
            </w:pPr>
            <w:r>
              <w:t>《新疆维吾尔自治区</w:t>
            </w:r>
            <w:bookmarkStart w:id="32" w:name="OLE_LINK34"/>
            <w:r>
              <w:t>2025</w:t>
            </w:r>
            <w:r>
              <w:t>年空气质量持续改善行动</w:t>
            </w:r>
            <w:bookmarkEnd w:id="32"/>
            <w:r>
              <w:t>实施方案》（新政办发</w:t>
            </w:r>
            <w:r>
              <w:lastRenderedPageBreak/>
              <w:t>〔</w:t>
            </w:r>
            <w:r>
              <w:t>2024</w:t>
            </w:r>
            <w:r>
              <w:t>〕</w:t>
            </w:r>
            <w:r>
              <w:t>58</w:t>
            </w:r>
            <w:r>
              <w:t>号）</w:t>
            </w:r>
          </w:p>
        </w:tc>
        <w:tc>
          <w:tcPr>
            <w:tcW w:w="2582" w:type="pct"/>
          </w:tcPr>
          <w:p w14:paraId="2A13FE6D" w14:textId="77777777" w:rsidR="002E474C" w:rsidRDefault="00000000">
            <w:pPr>
              <w:pStyle w:val="A-"/>
              <w:jc w:val="both"/>
            </w:pPr>
            <w:r>
              <w:lastRenderedPageBreak/>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w:t>
            </w:r>
            <w:r>
              <w:lastRenderedPageBreak/>
              <w:t>环保绩效</w:t>
            </w:r>
            <w:r>
              <w:t>A</w:t>
            </w:r>
            <w:r>
              <w:t>级水平。涉及产能置换的项目，被置换产能及设备关停后，新建项目方可投产。</w:t>
            </w:r>
          </w:p>
        </w:tc>
        <w:tc>
          <w:tcPr>
            <w:tcW w:w="1394" w:type="pct"/>
          </w:tcPr>
          <w:p w14:paraId="5C146207" w14:textId="77777777" w:rsidR="002E474C" w:rsidRDefault="00000000">
            <w:pPr>
              <w:pStyle w:val="A-"/>
              <w:jc w:val="both"/>
            </w:pPr>
            <w:r>
              <w:lastRenderedPageBreak/>
              <w:t>本项目采用新型干法水泥窑协同处置危险废物，不属于高耗能、高排放项目，项目建设符合国家和自治区产业规划、产业政策、生态环境分区管控方案要求等，项</w:t>
            </w:r>
            <w:r>
              <w:lastRenderedPageBreak/>
              <w:t>目建设符合方案要求。</w:t>
            </w:r>
          </w:p>
        </w:tc>
        <w:tc>
          <w:tcPr>
            <w:tcW w:w="213" w:type="pct"/>
          </w:tcPr>
          <w:p w14:paraId="15019CDC" w14:textId="77777777" w:rsidR="002E474C" w:rsidRDefault="00000000">
            <w:pPr>
              <w:pStyle w:val="A-"/>
            </w:pPr>
            <w:r>
              <w:lastRenderedPageBreak/>
              <w:t>符合</w:t>
            </w:r>
          </w:p>
        </w:tc>
      </w:tr>
      <w:tr w:rsidR="002E474C" w14:paraId="5F2620D0" w14:textId="77777777">
        <w:trPr>
          <w:trHeight w:val="227"/>
        </w:trPr>
        <w:tc>
          <w:tcPr>
            <w:tcW w:w="141" w:type="pct"/>
          </w:tcPr>
          <w:p w14:paraId="536DE245" w14:textId="77777777" w:rsidR="002E474C" w:rsidRDefault="00000000">
            <w:pPr>
              <w:pStyle w:val="A-"/>
            </w:pPr>
            <w:r>
              <w:t>12</w:t>
            </w:r>
          </w:p>
        </w:tc>
        <w:tc>
          <w:tcPr>
            <w:tcW w:w="670" w:type="pct"/>
          </w:tcPr>
          <w:p w14:paraId="398E5AA4" w14:textId="77777777" w:rsidR="002E474C" w:rsidRDefault="00000000">
            <w:pPr>
              <w:pStyle w:val="A-"/>
            </w:pPr>
            <w:r>
              <w:t>《关于新疆维吾尔自治区</w:t>
            </w:r>
            <w:r>
              <w:t>2026</w:t>
            </w:r>
            <w:r>
              <w:t>年危险废物利用处置设施投资建设引导性公告》</w:t>
            </w:r>
          </w:p>
        </w:tc>
        <w:tc>
          <w:tcPr>
            <w:tcW w:w="2582" w:type="pct"/>
          </w:tcPr>
          <w:p w14:paraId="25381CCC" w14:textId="77777777" w:rsidR="002E474C" w:rsidRDefault="00000000">
            <w:pPr>
              <w:pStyle w:val="A-"/>
              <w:jc w:val="both"/>
            </w:pPr>
            <w:r>
              <w:t>全区危险废物利用、处置总能力已高于危险废物产生总量，基本形成焚烧、填埋、协同处置、综合利用等多种方式并举的综合处理体系，满足全区利用处置需求。</w:t>
            </w:r>
          </w:p>
          <w:p w14:paraId="74B58211" w14:textId="77777777" w:rsidR="002E474C" w:rsidRDefault="00000000">
            <w:pPr>
              <w:pStyle w:val="A-"/>
              <w:jc w:val="both"/>
            </w:pPr>
            <w:r>
              <w:t>三、利用处置设施投资建议</w:t>
            </w:r>
          </w:p>
          <w:p w14:paraId="724BBCB6" w14:textId="77777777" w:rsidR="002E474C" w:rsidRDefault="00000000">
            <w:pPr>
              <w:pStyle w:val="A-"/>
              <w:jc w:val="both"/>
            </w:pPr>
            <w:r>
              <w:t>为进一步引导优化我区危险废物利用处置能力结构，推动我区危险废物利用处置行业健康有序发展，避免低水平重复建设，建议社会资本投资重点关注下列内容：</w:t>
            </w:r>
          </w:p>
          <w:p w14:paraId="5E9379BE" w14:textId="77777777" w:rsidR="002E474C" w:rsidRDefault="00000000">
            <w:pPr>
              <w:pStyle w:val="A-"/>
              <w:jc w:val="both"/>
            </w:pPr>
            <w:r>
              <w:t>（一）鼓励建设类。焚烧灰渣（含生活垃圾焚烧飞灰）等以填埋为主危险废物的高标准利用项目；现有危险废物经营单位对利用处置落后工艺设备提标升级改造、延伸产业链的高标准改扩建项目；现有危险废物综合处置单位建设集物化、焚烧和填埋处置以及再生利用等于一体的技术先进、功能齐全的综合性危险废物利用处置项目。</w:t>
            </w:r>
          </w:p>
          <w:p w14:paraId="5AB24FF4" w14:textId="77777777" w:rsidR="002E474C" w:rsidRDefault="00000000">
            <w:pPr>
              <w:pStyle w:val="A-"/>
              <w:jc w:val="both"/>
            </w:pPr>
            <w:r>
              <w:t>（二）谨慎建设类。除</w:t>
            </w:r>
            <w:r>
              <w:t>“</w:t>
            </w:r>
            <w:r>
              <w:t>鼓励建设类</w:t>
            </w:r>
            <w:r>
              <w:t>”</w:t>
            </w:r>
            <w:r>
              <w:t>之外的其他危险废物利用处置项目建议谨慎投资，包括但不限于危险废物综合处置（包括焚烧、填埋）项目、水泥窑协同处置类项目；能力明显过剩的危险废物利用类项目，重点为废矿物油与含矿物油废物（主要为含油污泥、废油基岩屑、废机油）、精（蒸）馏残渣（主要为化工废液、废煤焦油）、有色金属冶炼废物（主要为大修渣、铝灰、炭渣）、废铅酸蓄电池、废包装桶、废催化剂等利用类项目，企业自建危险废物利用处置设施项目、小微企业危险废物收集转运项目等。</w:t>
            </w:r>
          </w:p>
        </w:tc>
        <w:tc>
          <w:tcPr>
            <w:tcW w:w="1394" w:type="pct"/>
          </w:tcPr>
          <w:p w14:paraId="05B22CFE" w14:textId="77777777" w:rsidR="002E474C" w:rsidRDefault="00000000">
            <w:pPr>
              <w:pStyle w:val="A-"/>
              <w:jc w:val="both"/>
            </w:pPr>
            <w:r>
              <w:t>根据《吐鲁番市生态环境保护</w:t>
            </w:r>
            <w:r>
              <w:t>“</w:t>
            </w:r>
            <w:r>
              <w:t>十四五</w:t>
            </w:r>
            <w:r>
              <w:t>”</w:t>
            </w:r>
            <w:r>
              <w:t>规划》，吐鲁番市将加快推进生活源危废处置设施试点城市建设，在托克逊县建设</w:t>
            </w:r>
            <w:r>
              <w:t>5</w:t>
            </w:r>
            <w:r>
              <w:t>万吨</w:t>
            </w:r>
            <w:r>
              <w:t>/</w:t>
            </w:r>
            <w:r>
              <w:t>年水泥窑协同处置项目。吐鲁番市唯一的水泥窑协同处置单位吐鲁番天山金越环境科技有限公司吐鲁番天山水泥有限责任公司已于</w:t>
            </w:r>
            <w:r>
              <w:t>2026</w:t>
            </w:r>
            <w:r>
              <w:t>年</w:t>
            </w:r>
            <w:r>
              <w:t>1</w:t>
            </w:r>
            <w:r>
              <w:t>月注销危险废物经营许可证，退出水泥窑协同处置行业。托克逊县没有已建、拟建危险废物协同处置项目，本项目将填补当地水泥窑协同处置设施空白。</w:t>
            </w:r>
          </w:p>
        </w:tc>
        <w:tc>
          <w:tcPr>
            <w:tcW w:w="213" w:type="pct"/>
          </w:tcPr>
          <w:p w14:paraId="1F74CE96" w14:textId="77777777" w:rsidR="002E474C" w:rsidRDefault="00000000">
            <w:pPr>
              <w:pStyle w:val="A-"/>
            </w:pPr>
            <w:r>
              <w:t>符合</w:t>
            </w:r>
          </w:p>
        </w:tc>
      </w:tr>
    </w:tbl>
    <w:p w14:paraId="54C5C0F9" w14:textId="77777777" w:rsidR="002E474C" w:rsidRDefault="002E474C">
      <w:pPr>
        <w:pStyle w:val="A-z"/>
        <w:rPr>
          <w:color w:val="auto"/>
          <w:szCs w:val="24"/>
        </w:rPr>
      </w:pPr>
    </w:p>
    <w:p w14:paraId="41890280" w14:textId="77777777" w:rsidR="002E474C" w:rsidRDefault="002E474C">
      <w:pPr>
        <w:pStyle w:val="A-z"/>
        <w:rPr>
          <w:color w:val="auto"/>
          <w:szCs w:val="24"/>
        </w:rPr>
        <w:sectPr w:rsidR="002E474C">
          <w:pgSz w:w="16838" w:h="11906" w:orient="landscape"/>
          <w:pgMar w:top="1440" w:right="1800" w:bottom="1440" w:left="1800" w:header="851" w:footer="992" w:gutter="0"/>
          <w:cols w:space="720"/>
          <w:docGrid w:linePitch="312"/>
        </w:sectPr>
      </w:pPr>
    </w:p>
    <w:p w14:paraId="4031AD82" w14:textId="77777777" w:rsidR="002E474C" w:rsidRDefault="00000000">
      <w:pPr>
        <w:pStyle w:val="31"/>
        <w:spacing w:before="120" w:after="120"/>
        <w:ind w:left="0" w:firstLine="0"/>
        <w:rPr>
          <w:color w:val="auto"/>
        </w:rPr>
      </w:pPr>
      <w:r>
        <w:rPr>
          <w:color w:val="auto"/>
        </w:rPr>
        <w:lastRenderedPageBreak/>
        <w:t>生态环境分区管控要求</w:t>
      </w:r>
    </w:p>
    <w:p w14:paraId="4CDA393B" w14:textId="77777777" w:rsidR="002E474C" w:rsidRDefault="00000000">
      <w:pPr>
        <w:pStyle w:val="41"/>
        <w:rPr>
          <w:color w:val="auto"/>
        </w:rPr>
      </w:pPr>
      <w:r>
        <w:rPr>
          <w:color w:val="auto"/>
        </w:rPr>
        <w:t>《新疆维吾尔自治区七大片区</w:t>
      </w:r>
      <w:r>
        <w:rPr>
          <w:color w:val="auto"/>
        </w:rPr>
        <w:t>“</w:t>
      </w:r>
      <w:r>
        <w:rPr>
          <w:color w:val="auto"/>
        </w:rPr>
        <w:t>三线一单</w:t>
      </w:r>
      <w:r>
        <w:rPr>
          <w:color w:val="auto"/>
        </w:rPr>
        <w:t>”</w:t>
      </w:r>
      <w:r>
        <w:rPr>
          <w:color w:val="auto"/>
        </w:rPr>
        <w:t>生态环境分区管控要求》符合性分析</w:t>
      </w:r>
    </w:p>
    <w:p w14:paraId="6AD26093" w14:textId="77777777" w:rsidR="002E474C" w:rsidRDefault="00000000">
      <w:pPr>
        <w:pStyle w:val="A-z"/>
        <w:rPr>
          <w:color w:val="auto"/>
        </w:rPr>
      </w:pPr>
      <w:r>
        <w:rPr>
          <w:color w:val="auto"/>
        </w:rPr>
        <w:t>《新疆维吾尔自治区七大片区</w:t>
      </w:r>
      <w:r>
        <w:rPr>
          <w:color w:val="auto"/>
        </w:rPr>
        <w:t>“</w:t>
      </w:r>
      <w:r>
        <w:rPr>
          <w:color w:val="auto"/>
        </w:rPr>
        <w:t>三线一单</w:t>
      </w:r>
      <w:r>
        <w:rPr>
          <w:color w:val="auto"/>
        </w:rPr>
        <w:t>”</w:t>
      </w:r>
      <w:r>
        <w:rPr>
          <w:color w:val="auto"/>
        </w:rPr>
        <w:t>生态环境分区管控要求》将全区划分为七大片区，本项目位于吐鲁番市托克逊县，属于吐哈片区，管控要求包括：</w:t>
      </w:r>
    </w:p>
    <w:p w14:paraId="23CFE6EF" w14:textId="77777777" w:rsidR="002E474C" w:rsidRDefault="00000000">
      <w:pPr>
        <w:pStyle w:val="A-z"/>
        <w:rPr>
          <w:color w:val="auto"/>
        </w:rPr>
      </w:pPr>
      <w:r>
        <w:rPr>
          <w:color w:val="auto"/>
        </w:rPr>
        <w:t>强化吐哈盆地文物古迹、坎儿井、基本农田、荒漠植被、砾幕、城镇人居环境保护。落实最严格的水资源管理制度，提高水资源集约节约高效利用水平。积极推进吐鲁番鄯善超采区、托克逊超采区和哈密超采区的地下水超采治理，逐步压减超采量，实现地下水采补平衡。</w:t>
      </w:r>
    </w:p>
    <w:p w14:paraId="79DB184B" w14:textId="77777777" w:rsidR="002E474C" w:rsidRDefault="00000000">
      <w:pPr>
        <w:pStyle w:val="A-z"/>
        <w:rPr>
          <w:color w:val="auto"/>
        </w:rPr>
      </w:pPr>
      <w:r>
        <w:rPr>
          <w:color w:val="auto"/>
        </w:rPr>
        <w:t>强化油</w:t>
      </w:r>
      <w:r>
        <w:rPr>
          <w:color w:val="auto"/>
        </w:rPr>
        <w:t>(</w:t>
      </w:r>
      <w:r>
        <w:rPr>
          <w:color w:val="auto"/>
        </w:rPr>
        <w:t>气</w:t>
      </w:r>
      <w:r>
        <w:rPr>
          <w:color w:val="auto"/>
        </w:rPr>
        <w:t>)</w:t>
      </w:r>
      <w:r>
        <w:rPr>
          <w:color w:val="auto"/>
        </w:rPr>
        <w:t>资源开发区土壤环境污染综合整治。加强涉重金属行业污染防控与工业废物处理处置。</w:t>
      </w:r>
    </w:p>
    <w:p w14:paraId="653FDB4C" w14:textId="77777777" w:rsidR="002E474C" w:rsidRDefault="00000000">
      <w:pPr>
        <w:pStyle w:val="A-z"/>
        <w:rPr>
          <w:color w:val="auto"/>
        </w:rPr>
      </w:pPr>
      <w:r>
        <w:rPr>
          <w:color w:val="auto"/>
        </w:rPr>
        <w:t>煤炭、石油、天然气开发单位应当制定生态保护和恢复治理方案，并予以实施。生态保护和恢复治理方案内容应当向社会公布，接受社会监督。</w:t>
      </w:r>
    </w:p>
    <w:p w14:paraId="5DCCDBBB" w14:textId="77777777" w:rsidR="002E474C" w:rsidRDefault="00000000">
      <w:pPr>
        <w:pStyle w:val="A-z"/>
        <w:rPr>
          <w:color w:val="auto"/>
        </w:rPr>
      </w:pPr>
      <w:bookmarkStart w:id="33" w:name="OLE_LINK13"/>
      <w:r>
        <w:rPr>
          <w:color w:val="auto"/>
        </w:rPr>
        <w:t>本项目在圣雄水泥公司现有厂区内建设水泥窑协同处置危险废物项目，不新增用地；</w:t>
      </w:r>
      <w:bookmarkEnd w:id="33"/>
      <w:r>
        <w:rPr>
          <w:color w:val="auto"/>
        </w:rPr>
        <w:t>生产用水主要用于车辆及容器冲洗，生产废水全部进入回转窑处置；项目有利于重金属污染控制及工业废物处理处置。</w:t>
      </w:r>
    </w:p>
    <w:p w14:paraId="17168F12" w14:textId="77777777" w:rsidR="002E474C" w:rsidRDefault="00000000">
      <w:pPr>
        <w:pStyle w:val="A-z"/>
        <w:rPr>
          <w:color w:val="auto"/>
        </w:rPr>
      </w:pPr>
      <w:r>
        <w:rPr>
          <w:color w:val="auto"/>
        </w:rPr>
        <w:t>项目符合《新疆维吾尔自治区七大片区</w:t>
      </w:r>
      <w:r>
        <w:rPr>
          <w:color w:val="auto"/>
        </w:rPr>
        <w:t>“</w:t>
      </w:r>
      <w:r>
        <w:rPr>
          <w:color w:val="auto"/>
        </w:rPr>
        <w:t>三线一单</w:t>
      </w:r>
      <w:r>
        <w:rPr>
          <w:color w:val="auto"/>
        </w:rPr>
        <w:t>”</w:t>
      </w:r>
      <w:r>
        <w:rPr>
          <w:color w:val="auto"/>
        </w:rPr>
        <w:t>生态环境分区管控要求》。</w:t>
      </w:r>
    </w:p>
    <w:p w14:paraId="577B5BDC" w14:textId="77777777" w:rsidR="002E474C" w:rsidRDefault="00000000">
      <w:pPr>
        <w:pStyle w:val="41"/>
        <w:rPr>
          <w:color w:val="auto"/>
        </w:rPr>
      </w:pPr>
      <w:r>
        <w:rPr>
          <w:color w:val="auto"/>
        </w:rPr>
        <w:t>生态保护红线及生态分区管控</w:t>
      </w:r>
    </w:p>
    <w:p w14:paraId="327FFB36" w14:textId="77777777" w:rsidR="002E474C" w:rsidRDefault="00000000">
      <w:pPr>
        <w:pStyle w:val="A-z"/>
        <w:rPr>
          <w:color w:val="auto"/>
        </w:rPr>
      </w:pPr>
      <w:r>
        <w:rPr>
          <w:color w:val="auto"/>
        </w:rPr>
        <w:t>根据《新疆维吾尔自治区生态环境分区管控动态更新成果》《吐鲁番市生态环境分区管控成果动态更新情况说明》开展本项目与区域生态保护红线、环境质量底线、资源利用上线符合性和协调性分析。</w:t>
      </w:r>
    </w:p>
    <w:p w14:paraId="72D51CDB" w14:textId="77777777" w:rsidR="002E474C" w:rsidRDefault="00000000">
      <w:pPr>
        <w:pStyle w:val="A-z"/>
        <w:rPr>
          <w:color w:val="auto"/>
        </w:rPr>
      </w:pPr>
      <w:r>
        <w:rPr>
          <w:color w:val="auto"/>
        </w:rPr>
        <w:t>本项目不在新疆及吐鲁番市生态保护红线范围内，也不在一般生态空间范围内，属于重点管控单元。重点管控单元要着力优化空间布局，不断提升资源利用效率，有针对性加强污染物排放管控和环境风险防控，保障生态环境质量达标，降低生态环境风险。</w:t>
      </w:r>
    </w:p>
    <w:p w14:paraId="2B2C72B9" w14:textId="77777777" w:rsidR="002E474C" w:rsidRDefault="002E474C">
      <w:pPr>
        <w:pStyle w:val="A-z"/>
        <w:rPr>
          <w:color w:val="auto"/>
        </w:rPr>
      </w:pPr>
    </w:p>
    <w:p w14:paraId="2B388F23" w14:textId="77777777" w:rsidR="003C74C5" w:rsidRDefault="003C74C5">
      <w:pPr>
        <w:pStyle w:val="A-z"/>
        <w:rPr>
          <w:rFonts w:hint="eastAsia"/>
          <w:color w:val="auto"/>
        </w:rPr>
        <w:sectPr w:rsidR="003C74C5">
          <w:pgSz w:w="11906" w:h="16838"/>
          <w:pgMar w:top="1440" w:right="1800" w:bottom="1440" w:left="1800" w:header="851" w:footer="992" w:gutter="0"/>
          <w:cols w:space="720"/>
          <w:docGrid w:linePitch="312"/>
        </w:sectPr>
      </w:pPr>
    </w:p>
    <w:p w14:paraId="066FC2C0" w14:textId="77777777" w:rsidR="002E474C" w:rsidRDefault="00000000">
      <w:pPr>
        <w:pStyle w:val="41"/>
        <w:rPr>
          <w:color w:val="auto"/>
        </w:rPr>
      </w:pPr>
      <w:r>
        <w:rPr>
          <w:color w:val="auto"/>
        </w:rPr>
        <w:lastRenderedPageBreak/>
        <w:t>环境质量底线</w:t>
      </w:r>
    </w:p>
    <w:p w14:paraId="088EFCD2" w14:textId="77777777" w:rsidR="002E474C" w:rsidRDefault="00000000">
      <w:pPr>
        <w:pStyle w:val="A-z"/>
        <w:rPr>
          <w:color w:val="auto"/>
          <w:szCs w:val="24"/>
        </w:rPr>
      </w:pPr>
      <w:bookmarkStart w:id="34" w:name="OLE_LINK69"/>
      <w:r>
        <w:rPr>
          <w:color w:val="auto"/>
        </w:rPr>
        <w:t>大气环境质量底线就是在符合大气环境区域功能区划和大气环境管理的基础上，确保大气污染物排放不对</w:t>
      </w:r>
      <w:r>
        <w:rPr>
          <w:color w:val="auto"/>
          <w:szCs w:val="24"/>
        </w:rPr>
        <w:t>区域功能区划造成影响，污染物排放总量低于大气环境容量。</w:t>
      </w:r>
    </w:p>
    <w:p w14:paraId="7085B930" w14:textId="77777777" w:rsidR="002E474C" w:rsidRDefault="00000000">
      <w:pPr>
        <w:pStyle w:val="A-z"/>
        <w:rPr>
          <w:color w:val="auto"/>
        </w:rPr>
      </w:pPr>
      <w:r>
        <w:rPr>
          <w:color w:val="auto"/>
          <w:szCs w:val="24"/>
        </w:rPr>
        <w:t>本项目不新增颗粒物、</w:t>
      </w:r>
      <w:r>
        <w:rPr>
          <w:color w:val="auto"/>
          <w:szCs w:val="24"/>
        </w:rPr>
        <w:t>SO</w:t>
      </w:r>
      <w:r>
        <w:rPr>
          <w:color w:val="auto"/>
          <w:szCs w:val="24"/>
          <w:vertAlign w:val="subscript"/>
        </w:rPr>
        <w:t>2</w:t>
      </w:r>
      <w:r>
        <w:rPr>
          <w:color w:val="auto"/>
          <w:szCs w:val="24"/>
        </w:rPr>
        <w:t>、</w:t>
      </w:r>
      <w:r>
        <w:rPr>
          <w:color w:val="auto"/>
          <w:szCs w:val="24"/>
        </w:rPr>
        <w:t>NOx</w:t>
      </w:r>
      <w:r>
        <w:rPr>
          <w:color w:val="auto"/>
          <w:szCs w:val="24"/>
        </w:rPr>
        <w:t>排放量，新增大</w:t>
      </w:r>
      <w:r>
        <w:rPr>
          <w:color w:val="auto"/>
        </w:rPr>
        <w:t>气污染物主要为氯化氢、氟化氢、挥发性有机物及重金属等，有组织废气和无组织废气均采用了成熟可行的设施进行收集处理，废气处理后严格按照行业污染物排放限值的要求规范排放</w:t>
      </w:r>
      <w:bookmarkEnd w:id="34"/>
      <w:r>
        <w:rPr>
          <w:color w:val="auto"/>
        </w:rPr>
        <w:t>，不会对区域大气环境造成明显影响。项目生产废水及生产固废全部进入回转窑协同处置，不外排。</w:t>
      </w:r>
    </w:p>
    <w:p w14:paraId="551E496B" w14:textId="77777777" w:rsidR="002E474C" w:rsidRDefault="00000000">
      <w:pPr>
        <w:pStyle w:val="A-z"/>
        <w:rPr>
          <w:color w:val="auto"/>
        </w:rPr>
      </w:pPr>
      <w:r>
        <w:rPr>
          <w:color w:val="auto"/>
        </w:rPr>
        <w:t>本项目采取的环保措施能确保本项目产生的污染物对环境质量的影响降到最小，不突破所在区域环境质量底线。</w:t>
      </w:r>
    </w:p>
    <w:p w14:paraId="05F365C4" w14:textId="77777777" w:rsidR="002E474C" w:rsidRDefault="00000000">
      <w:pPr>
        <w:pStyle w:val="41"/>
        <w:rPr>
          <w:color w:val="auto"/>
        </w:rPr>
      </w:pPr>
      <w:r>
        <w:rPr>
          <w:color w:val="auto"/>
        </w:rPr>
        <w:t>资源利用上线</w:t>
      </w:r>
    </w:p>
    <w:p w14:paraId="6593C626" w14:textId="77777777" w:rsidR="002E474C" w:rsidRDefault="00000000">
      <w:pPr>
        <w:pStyle w:val="A-z"/>
        <w:rPr>
          <w:color w:val="auto"/>
        </w:rPr>
      </w:pPr>
      <w:r>
        <w:rPr>
          <w:color w:val="auto"/>
        </w:rPr>
        <w:t>本项目为水泥窑协同处置危险废物项目，在圣雄水泥公司现有厂区内建设，不新增用地。本项目用地及能源消耗符合《托克逊能源重化工工业园区总体规划（</w:t>
      </w:r>
      <w:r>
        <w:rPr>
          <w:color w:val="auto"/>
        </w:rPr>
        <w:t>2023-2035</w:t>
      </w:r>
      <w:r>
        <w:rPr>
          <w:color w:val="auto"/>
        </w:rPr>
        <w:t>年）环境影响报告书》。项目运行后积极开展清洁生产审核，做好节能降耗工作，降低单位产品的综合能耗水平，符合资源利用上线的要求。</w:t>
      </w:r>
    </w:p>
    <w:p w14:paraId="7125979D" w14:textId="77777777" w:rsidR="002E474C" w:rsidRDefault="00000000">
      <w:pPr>
        <w:pStyle w:val="41"/>
        <w:rPr>
          <w:color w:val="auto"/>
        </w:rPr>
      </w:pPr>
      <w:r>
        <w:rPr>
          <w:color w:val="auto"/>
        </w:rPr>
        <w:t>生态环境准入清单</w:t>
      </w:r>
    </w:p>
    <w:p w14:paraId="4A364CE2" w14:textId="77777777" w:rsidR="002E474C" w:rsidRDefault="00000000">
      <w:pPr>
        <w:pStyle w:val="A-z"/>
        <w:rPr>
          <w:color w:val="auto"/>
        </w:rPr>
      </w:pPr>
      <w:r>
        <w:rPr>
          <w:color w:val="auto"/>
        </w:rPr>
        <w:t>本项目位于新疆维吾尔自治区吐鲁番市托克逊县阿乐惠镇托克逊能源工业园圣雄同心工业园新疆圣雄水泥有限公司厂区内。根据吐鲁番对重点管控单元划分的生态环境准入清单，项目区属于重点管控单元，应执行具体管控要求。根据《吐鲁番市生态环境分区管控成果动态更新情况说明》，本项目所处环境管控单元名称为托克逊县圣雄同心工业园，环境管控单元类别为重点管控单元（环境管控单元编码：</w:t>
      </w:r>
      <w:r>
        <w:rPr>
          <w:color w:val="auto"/>
        </w:rPr>
        <w:t>ZH65042220014</w:t>
      </w:r>
      <w:r>
        <w:rPr>
          <w:color w:val="auto"/>
        </w:rPr>
        <w:t>）。</w:t>
      </w:r>
    </w:p>
    <w:p w14:paraId="203054D8" w14:textId="77777777" w:rsidR="002E474C" w:rsidRDefault="00000000">
      <w:pPr>
        <w:pStyle w:val="A-z"/>
        <w:rPr>
          <w:color w:val="auto"/>
        </w:rPr>
      </w:pPr>
      <w:r>
        <w:rPr>
          <w:color w:val="auto"/>
        </w:rPr>
        <w:t>本项目与吐鲁番重点环境管控单元分类管控要求符合性分析，见表</w:t>
      </w:r>
      <w:r>
        <w:rPr>
          <w:color w:val="auto"/>
        </w:rPr>
        <w:t>1.4-12</w:t>
      </w:r>
      <w:r>
        <w:rPr>
          <w:color w:val="auto"/>
        </w:rPr>
        <w:t>。</w:t>
      </w:r>
    </w:p>
    <w:p w14:paraId="793394AB" w14:textId="77777777" w:rsidR="002E474C" w:rsidRDefault="00000000">
      <w:pPr>
        <w:pStyle w:val="A-z"/>
        <w:rPr>
          <w:color w:val="auto"/>
        </w:rPr>
      </w:pPr>
      <w:r>
        <w:rPr>
          <w:color w:val="auto"/>
        </w:rPr>
        <w:t>根据分析，本项目符合《新疆维吾尔自治区生态环境分区管控动态更新成果》《吐鲁番市生态环境分区管控成果动态更新情况说明》。</w:t>
      </w:r>
    </w:p>
    <w:p w14:paraId="4ADB58C9" w14:textId="77777777" w:rsidR="002E474C" w:rsidRDefault="002E474C">
      <w:pPr>
        <w:pStyle w:val="A-z"/>
        <w:rPr>
          <w:color w:val="auto"/>
        </w:rPr>
      </w:pPr>
    </w:p>
    <w:p w14:paraId="5BE9E9D0" w14:textId="77777777" w:rsidR="002E474C" w:rsidRDefault="002E474C">
      <w:pPr>
        <w:pStyle w:val="A-z"/>
        <w:rPr>
          <w:color w:val="auto"/>
        </w:rPr>
        <w:sectPr w:rsidR="002E474C">
          <w:headerReference w:type="default" r:id="rId13"/>
          <w:footerReference w:type="even" r:id="rId14"/>
          <w:pgSz w:w="11906" w:h="16838"/>
          <w:pgMar w:top="1440" w:right="1800" w:bottom="1440" w:left="1800" w:header="851" w:footer="992" w:gutter="0"/>
          <w:cols w:space="720"/>
          <w:docGrid w:linePitch="312"/>
        </w:sectPr>
      </w:pPr>
    </w:p>
    <w:p w14:paraId="37BBC5C0" w14:textId="77777777" w:rsidR="002E474C" w:rsidRDefault="00000000">
      <w:pPr>
        <w:pStyle w:val="A--"/>
        <w:rPr>
          <w:color w:val="auto"/>
        </w:rPr>
      </w:pPr>
      <w:r>
        <w:rPr>
          <w:color w:val="auto"/>
        </w:rPr>
        <w:lastRenderedPageBreak/>
        <w:t>表</w:t>
      </w:r>
      <w:r>
        <w:rPr>
          <w:color w:val="auto"/>
        </w:rPr>
        <w:t xml:space="preserve">1.4-12    </w:t>
      </w:r>
      <w:r>
        <w:rPr>
          <w:color w:val="auto"/>
        </w:rPr>
        <w:t>生态环境准入要求符合性分析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878"/>
        <w:gridCol w:w="878"/>
        <w:gridCol w:w="503"/>
        <w:gridCol w:w="5389"/>
        <w:gridCol w:w="4011"/>
        <w:gridCol w:w="561"/>
      </w:tblGrid>
      <w:tr w:rsidR="002E474C" w14:paraId="14527BBC" w14:textId="77777777">
        <w:tc>
          <w:tcPr>
            <w:tcW w:w="381" w:type="pct"/>
            <w:shd w:val="clear" w:color="auto" w:fill="auto"/>
            <w:vAlign w:val="center"/>
          </w:tcPr>
          <w:p w14:paraId="399E33E3" w14:textId="77777777" w:rsidR="002E474C" w:rsidRDefault="00000000">
            <w:pPr>
              <w:pStyle w:val="A-"/>
            </w:pPr>
            <w:r>
              <w:t>环境管控</w:t>
            </w:r>
          </w:p>
          <w:p w14:paraId="05395CD7" w14:textId="77777777" w:rsidR="002E474C" w:rsidRDefault="00000000">
            <w:pPr>
              <w:pStyle w:val="A-"/>
            </w:pPr>
            <w:r>
              <w:t>单元编码</w:t>
            </w:r>
          </w:p>
        </w:tc>
        <w:tc>
          <w:tcPr>
            <w:tcW w:w="332" w:type="pct"/>
            <w:vAlign w:val="center"/>
          </w:tcPr>
          <w:p w14:paraId="04AB61A0" w14:textId="77777777" w:rsidR="002E474C" w:rsidRDefault="00000000">
            <w:pPr>
              <w:pStyle w:val="A-"/>
            </w:pPr>
            <w:r>
              <w:t>环境管控</w:t>
            </w:r>
          </w:p>
          <w:p w14:paraId="3DCCEF79" w14:textId="77777777" w:rsidR="002E474C" w:rsidRDefault="00000000">
            <w:pPr>
              <w:pStyle w:val="A-"/>
            </w:pPr>
            <w:r>
              <w:t>单元名称</w:t>
            </w:r>
          </w:p>
        </w:tc>
        <w:tc>
          <w:tcPr>
            <w:tcW w:w="332" w:type="pct"/>
            <w:shd w:val="clear" w:color="auto" w:fill="auto"/>
            <w:vAlign w:val="center"/>
          </w:tcPr>
          <w:p w14:paraId="7A0BBF35" w14:textId="77777777" w:rsidR="002E474C" w:rsidRDefault="00000000">
            <w:pPr>
              <w:pStyle w:val="A-"/>
            </w:pPr>
            <w:r>
              <w:t>环境管控</w:t>
            </w:r>
          </w:p>
          <w:p w14:paraId="2FB354AF" w14:textId="77777777" w:rsidR="002E474C" w:rsidRDefault="00000000">
            <w:pPr>
              <w:pStyle w:val="A-"/>
            </w:pPr>
            <w:r>
              <w:t>单元类别</w:t>
            </w:r>
          </w:p>
        </w:tc>
        <w:tc>
          <w:tcPr>
            <w:tcW w:w="2227" w:type="pct"/>
            <w:gridSpan w:val="2"/>
            <w:shd w:val="clear" w:color="auto" w:fill="auto"/>
            <w:vAlign w:val="center"/>
          </w:tcPr>
          <w:p w14:paraId="0DC47DF1" w14:textId="77777777" w:rsidR="002E474C" w:rsidRDefault="00000000">
            <w:pPr>
              <w:pStyle w:val="A-"/>
            </w:pPr>
            <w:r>
              <w:t>管控要求</w:t>
            </w:r>
          </w:p>
        </w:tc>
        <w:tc>
          <w:tcPr>
            <w:tcW w:w="1516" w:type="pct"/>
            <w:shd w:val="clear" w:color="auto" w:fill="auto"/>
            <w:vAlign w:val="center"/>
          </w:tcPr>
          <w:p w14:paraId="46203B27" w14:textId="77777777" w:rsidR="002E474C" w:rsidRDefault="00000000">
            <w:pPr>
              <w:pStyle w:val="A-"/>
            </w:pPr>
            <w:r>
              <w:t>本项目情况</w:t>
            </w:r>
          </w:p>
        </w:tc>
        <w:tc>
          <w:tcPr>
            <w:tcW w:w="212" w:type="pct"/>
            <w:shd w:val="clear" w:color="auto" w:fill="auto"/>
            <w:vAlign w:val="center"/>
          </w:tcPr>
          <w:p w14:paraId="5D8A0E46" w14:textId="77777777" w:rsidR="002E474C" w:rsidRDefault="00000000">
            <w:pPr>
              <w:pStyle w:val="A-"/>
            </w:pPr>
            <w:r>
              <w:t>符合性</w:t>
            </w:r>
          </w:p>
        </w:tc>
      </w:tr>
      <w:tr w:rsidR="002E474C" w14:paraId="2F18CF08" w14:textId="77777777">
        <w:tc>
          <w:tcPr>
            <w:tcW w:w="381" w:type="pct"/>
            <w:vMerge w:val="restart"/>
            <w:shd w:val="clear" w:color="auto" w:fill="auto"/>
            <w:vAlign w:val="center"/>
          </w:tcPr>
          <w:p w14:paraId="3B6188C7" w14:textId="77777777" w:rsidR="002E474C" w:rsidRDefault="00000000">
            <w:pPr>
              <w:pStyle w:val="A-"/>
            </w:pPr>
            <w:bookmarkStart w:id="35" w:name="_Hlk182322142"/>
            <w:r>
              <w:t>ZH65042220014</w:t>
            </w:r>
            <w:bookmarkEnd w:id="35"/>
          </w:p>
        </w:tc>
        <w:tc>
          <w:tcPr>
            <w:tcW w:w="332" w:type="pct"/>
            <w:vMerge w:val="restart"/>
            <w:vAlign w:val="center"/>
          </w:tcPr>
          <w:p w14:paraId="27C91DF3" w14:textId="77777777" w:rsidR="002E474C" w:rsidRDefault="00000000">
            <w:pPr>
              <w:pStyle w:val="A-"/>
            </w:pPr>
            <w:r>
              <w:t>托克逊县圣雄同心工业园重点管控单元</w:t>
            </w:r>
          </w:p>
        </w:tc>
        <w:tc>
          <w:tcPr>
            <w:tcW w:w="332" w:type="pct"/>
            <w:vMerge w:val="restart"/>
            <w:shd w:val="clear" w:color="auto" w:fill="auto"/>
            <w:vAlign w:val="center"/>
          </w:tcPr>
          <w:p w14:paraId="698EBD14" w14:textId="77777777" w:rsidR="002E474C" w:rsidRDefault="00000000">
            <w:pPr>
              <w:pStyle w:val="A-"/>
            </w:pPr>
            <w:r>
              <w:t>重点管控单元</w:t>
            </w:r>
          </w:p>
        </w:tc>
        <w:tc>
          <w:tcPr>
            <w:tcW w:w="190" w:type="pct"/>
            <w:shd w:val="clear" w:color="auto" w:fill="auto"/>
            <w:vAlign w:val="center"/>
          </w:tcPr>
          <w:p w14:paraId="23F8A540" w14:textId="77777777" w:rsidR="002E474C" w:rsidRDefault="00000000">
            <w:pPr>
              <w:pStyle w:val="A-"/>
            </w:pPr>
            <w:r>
              <w:t>空间布局约束</w:t>
            </w:r>
          </w:p>
        </w:tc>
        <w:tc>
          <w:tcPr>
            <w:tcW w:w="2037" w:type="pct"/>
            <w:shd w:val="clear" w:color="auto" w:fill="auto"/>
            <w:vAlign w:val="center"/>
          </w:tcPr>
          <w:p w14:paraId="14E83AD4" w14:textId="77777777" w:rsidR="002E474C" w:rsidRDefault="00000000">
            <w:pPr>
              <w:pStyle w:val="A-"/>
              <w:jc w:val="both"/>
              <w:rPr>
                <w:snapToGrid w:val="0"/>
                <w:u w:color="000000"/>
                <w:lang w:bidi="en-US"/>
              </w:rPr>
            </w:pPr>
            <w:r>
              <w:rPr>
                <w:snapToGrid w:val="0"/>
                <w:u w:color="000000"/>
                <w:lang w:bidi="en-US"/>
              </w:rPr>
              <w:t>1.</w:t>
            </w:r>
            <w:r>
              <w:rPr>
                <w:snapToGrid w:val="0"/>
                <w:u w:color="000000"/>
                <w:lang w:bidi="en-US"/>
              </w:rPr>
              <w:t>强化国土空间规划用途管控，未经依法批准，不得在城镇开发边界外设立各类开发区、产业园区和城镇新区。</w:t>
            </w:r>
          </w:p>
          <w:p w14:paraId="2C25A1CC" w14:textId="77777777" w:rsidR="002E474C" w:rsidRDefault="00000000">
            <w:pPr>
              <w:pStyle w:val="A-"/>
              <w:jc w:val="both"/>
              <w:rPr>
                <w:snapToGrid w:val="0"/>
                <w:u w:color="000000"/>
                <w:lang w:bidi="en-US"/>
              </w:rPr>
            </w:pPr>
            <w:r>
              <w:rPr>
                <w:snapToGrid w:val="0"/>
                <w:u w:color="000000"/>
                <w:lang w:bidi="en-US"/>
              </w:rPr>
              <w:t>2.</w:t>
            </w:r>
            <w:r>
              <w:rPr>
                <w:snapToGrid w:val="0"/>
                <w:u w:color="000000"/>
                <w:lang w:bidi="en-US"/>
              </w:rPr>
              <w:t>入驻园区的建设项目应符合生态环境功能区划、国民经济发展规划、产业发展规划、国土空间规划、园区总体规划及其环评。建设项目需满足企业自身产业链需求。</w:t>
            </w:r>
          </w:p>
          <w:p w14:paraId="3ABCCD3A" w14:textId="77777777" w:rsidR="002E474C" w:rsidRDefault="00000000">
            <w:pPr>
              <w:pStyle w:val="A-"/>
              <w:jc w:val="both"/>
              <w:rPr>
                <w:lang w:bidi="en-US"/>
              </w:rPr>
            </w:pPr>
            <w:r>
              <w:rPr>
                <w:lang w:bidi="en-US"/>
              </w:rPr>
              <w:t>3.</w:t>
            </w:r>
            <w:r>
              <w:rPr>
                <w:lang w:bidi="en-US"/>
              </w:rPr>
              <w:t>禁止新建、扩建现行有效的《产业结构调整指导目录》中的淘汰类项目。禁止引入现行有效的《市场准入负面清单》中的禁止准入类事项。限制新建、扩建现行有效的《产业结构调整指导目录》中的限制类项目。鼓励引进产业符合煤炭分质清洁高效综合利用及其相关的延伸产业。</w:t>
            </w:r>
          </w:p>
          <w:p w14:paraId="7819F3CC" w14:textId="77777777" w:rsidR="002E474C" w:rsidRDefault="00000000">
            <w:pPr>
              <w:pStyle w:val="A-"/>
              <w:jc w:val="both"/>
            </w:pPr>
            <w:r>
              <w:rPr>
                <w:lang w:bidi="en-US"/>
              </w:rPr>
              <w:t>4.</w:t>
            </w:r>
            <w:r>
              <w:rPr>
                <w:lang w:bidi="en-US"/>
              </w:rPr>
              <w:t>新建和改扩建煤炭采选项目选址应符合《煤炭工业矿井设计规范》（</w:t>
            </w:r>
            <w:r>
              <w:rPr>
                <w:lang w:bidi="en-US"/>
              </w:rPr>
              <w:t>GB50215</w:t>
            </w:r>
            <w:r>
              <w:rPr>
                <w:lang w:bidi="en-US"/>
              </w:rPr>
              <w:t>）、《煤炭洗选工程设计规范》（</w:t>
            </w:r>
            <w:r>
              <w:rPr>
                <w:lang w:bidi="en-US"/>
              </w:rPr>
              <w:t>GB50359</w:t>
            </w:r>
            <w:r>
              <w:rPr>
                <w:lang w:bidi="en-US"/>
              </w:rPr>
              <w:t>）等，自治区煤炭采选行业环境准入条件有变更的，按照新要求执行。</w:t>
            </w:r>
          </w:p>
        </w:tc>
        <w:tc>
          <w:tcPr>
            <w:tcW w:w="1516" w:type="pct"/>
            <w:shd w:val="clear" w:color="auto" w:fill="auto"/>
            <w:vAlign w:val="center"/>
          </w:tcPr>
          <w:p w14:paraId="16AACF20" w14:textId="77777777" w:rsidR="002E474C" w:rsidRDefault="00000000">
            <w:pPr>
              <w:pStyle w:val="A-"/>
              <w:jc w:val="both"/>
            </w:pPr>
            <w:r>
              <w:t>（</w:t>
            </w:r>
            <w:r>
              <w:t>1</w:t>
            </w:r>
            <w:r>
              <w:t>）本项目位于托克逊能源重化工工业园区同心工业园，所在地位于城镇开发边界内。</w:t>
            </w:r>
          </w:p>
          <w:p w14:paraId="31D8B566" w14:textId="77777777" w:rsidR="002E474C" w:rsidRDefault="00000000">
            <w:pPr>
              <w:pStyle w:val="A-"/>
              <w:jc w:val="both"/>
            </w:pPr>
            <w:r>
              <w:t>（</w:t>
            </w:r>
            <w:r>
              <w:t>2</w:t>
            </w:r>
            <w:r>
              <w:t>）本项目符合自治区生态环境功能区划、新疆及吐鲁番市国民经济发展规划、园区总体规划及其环评等。</w:t>
            </w:r>
          </w:p>
          <w:p w14:paraId="61B3DB6D" w14:textId="77777777" w:rsidR="002E474C" w:rsidRDefault="00000000">
            <w:pPr>
              <w:pStyle w:val="A-"/>
              <w:jc w:val="both"/>
              <w:rPr>
                <w:kern w:val="2"/>
              </w:rPr>
            </w:pPr>
            <w:r>
              <w:t>（</w:t>
            </w:r>
            <w:r>
              <w:t>3</w:t>
            </w:r>
            <w:r>
              <w:t>）对照《产业结构调整指导目录（</w:t>
            </w:r>
            <w:r>
              <w:t>2024</w:t>
            </w:r>
            <w:r>
              <w:t>年本）》，本项目属于鼓励类。</w:t>
            </w:r>
          </w:p>
        </w:tc>
        <w:tc>
          <w:tcPr>
            <w:tcW w:w="212" w:type="pct"/>
            <w:shd w:val="clear" w:color="auto" w:fill="auto"/>
            <w:vAlign w:val="center"/>
          </w:tcPr>
          <w:p w14:paraId="4BF5C87A" w14:textId="77777777" w:rsidR="002E474C" w:rsidRDefault="00000000">
            <w:pPr>
              <w:pStyle w:val="A-"/>
            </w:pPr>
            <w:r>
              <w:t>符合</w:t>
            </w:r>
          </w:p>
        </w:tc>
      </w:tr>
      <w:tr w:rsidR="002E474C" w14:paraId="326DF50A" w14:textId="77777777">
        <w:tc>
          <w:tcPr>
            <w:tcW w:w="381" w:type="pct"/>
            <w:vMerge/>
            <w:shd w:val="clear" w:color="auto" w:fill="auto"/>
            <w:vAlign w:val="center"/>
          </w:tcPr>
          <w:p w14:paraId="65CB3029" w14:textId="77777777" w:rsidR="002E474C" w:rsidRDefault="002E474C">
            <w:pPr>
              <w:pStyle w:val="A-"/>
            </w:pPr>
          </w:p>
        </w:tc>
        <w:tc>
          <w:tcPr>
            <w:tcW w:w="332" w:type="pct"/>
            <w:vMerge/>
          </w:tcPr>
          <w:p w14:paraId="3F036EF5" w14:textId="77777777" w:rsidR="002E474C" w:rsidRDefault="002E474C">
            <w:pPr>
              <w:pStyle w:val="A-"/>
            </w:pPr>
          </w:p>
        </w:tc>
        <w:tc>
          <w:tcPr>
            <w:tcW w:w="332" w:type="pct"/>
            <w:vMerge/>
            <w:shd w:val="clear" w:color="auto" w:fill="auto"/>
            <w:vAlign w:val="center"/>
          </w:tcPr>
          <w:p w14:paraId="01C49396" w14:textId="77777777" w:rsidR="002E474C" w:rsidRDefault="002E474C">
            <w:pPr>
              <w:pStyle w:val="A-"/>
            </w:pPr>
          </w:p>
        </w:tc>
        <w:tc>
          <w:tcPr>
            <w:tcW w:w="190" w:type="pct"/>
            <w:shd w:val="clear" w:color="auto" w:fill="auto"/>
            <w:vAlign w:val="center"/>
          </w:tcPr>
          <w:p w14:paraId="6D5E8827" w14:textId="77777777" w:rsidR="002E474C" w:rsidRDefault="00000000">
            <w:pPr>
              <w:pStyle w:val="A-"/>
            </w:pPr>
            <w:r>
              <w:t>污染物排放管控</w:t>
            </w:r>
          </w:p>
        </w:tc>
        <w:tc>
          <w:tcPr>
            <w:tcW w:w="2037" w:type="pct"/>
            <w:shd w:val="clear" w:color="auto" w:fill="auto"/>
            <w:vAlign w:val="center"/>
          </w:tcPr>
          <w:p w14:paraId="5E9A35E2" w14:textId="77777777" w:rsidR="002E474C" w:rsidRDefault="00000000">
            <w:pPr>
              <w:pStyle w:val="A-"/>
              <w:jc w:val="both"/>
              <w:rPr>
                <w:bCs/>
                <w:snapToGrid w:val="0"/>
                <w:u w:color="000000"/>
                <w:lang w:bidi="en-US"/>
              </w:rPr>
            </w:pPr>
            <w:r>
              <w:rPr>
                <w:lang w:bidi="ar"/>
              </w:rPr>
              <w:t>1.</w:t>
            </w:r>
            <w:r>
              <w:rPr>
                <w:lang w:bidi="ar"/>
              </w:rPr>
              <w:t>对园区的</w:t>
            </w:r>
            <w:r>
              <w:rPr>
                <w:lang w:bidi="ar"/>
              </w:rPr>
              <w:t>SO</w:t>
            </w:r>
            <w:r>
              <w:rPr>
                <w:vertAlign w:val="subscript"/>
                <w:lang w:bidi="ar"/>
              </w:rPr>
              <w:t>2</w:t>
            </w:r>
            <w:r>
              <w:rPr>
                <w:lang w:bidi="ar"/>
              </w:rPr>
              <w:t>、</w:t>
            </w:r>
            <w:r>
              <w:rPr>
                <w:lang w:bidi="ar"/>
              </w:rPr>
              <w:t>NO</w:t>
            </w:r>
            <w:r>
              <w:rPr>
                <w:vertAlign w:val="subscript"/>
                <w:lang w:bidi="ar"/>
              </w:rPr>
              <w:t>X</w:t>
            </w:r>
            <w:r>
              <w:rPr>
                <w:lang w:bidi="ar"/>
              </w:rPr>
              <w:t>、烟粉尘和</w:t>
            </w:r>
            <w:r>
              <w:rPr>
                <w:lang w:bidi="ar"/>
              </w:rPr>
              <w:t>VOCs</w:t>
            </w:r>
            <w:r>
              <w:rPr>
                <w:lang w:bidi="ar"/>
              </w:rPr>
              <w:t>进</w:t>
            </w:r>
            <w:r>
              <w:rPr>
                <w:bCs/>
                <w:snapToGrid w:val="0"/>
                <w:u w:color="000000"/>
                <w:lang w:bidi="en-US"/>
              </w:rPr>
              <w:t>行总量控制。</w:t>
            </w:r>
          </w:p>
          <w:p w14:paraId="5D11F74A" w14:textId="77777777" w:rsidR="002E474C" w:rsidRDefault="00000000">
            <w:pPr>
              <w:pStyle w:val="A-"/>
              <w:jc w:val="both"/>
              <w:rPr>
                <w:snapToGrid w:val="0"/>
                <w:u w:color="000000"/>
                <w:lang w:bidi="en-US"/>
              </w:rPr>
            </w:pPr>
            <w:r>
              <w:rPr>
                <w:snapToGrid w:val="0"/>
                <w:u w:color="000000"/>
                <w:lang w:bidi="en-US"/>
              </w:rPr>
              <w:t>2.</w:t>
            </w:r>
            <w:r>
              <w:rPr>
                <w:snapToGrid w:val="0"/>
                <w:u w:color="000000"/>
                <w:lang w:bidi="en-US"/>
              </w:rPr>
              <w:t>推行企业重金属污染物排放总量控制制度，依法将重点行业企业纳入排污许可管理。建设单位在提交环境影响评价文件时应明确重点重金属污染物排放总量及来源。</w:t>
            </w:r>
          </w:p>
          <w:p w14:paraId="1548CA12" w14:textId="77777777" w:rsidR="002E474C" w:rsidRDefault="00000000">
            <w:pPr>
              <w:pStyle w:val="A-"/>
              <w:jc w:val="both"/>
              <w:rPr>
                <w:snapToGrid w:val="0"/>
                <w:u w:color="000000"/>
                <w:lang w:bidi="en-US"/>
              </w:rPr>
            </w:pPr>
            <w:r>
              <w:rPr>
                <w:snapToGrid w:val="0"/>
                <w:u w:color="000000"/>
                <w:lang w:bidi="en-US"/>
              </w:rPr>
              <w:t>3.</w:t>
            </w:r>
            <w:r>
              <w:rPr>
                <w:snapToGrid w:val="0"/>
                <w:u w:color="000000"/>
                <w:lang w:bidi="en-US"/>
              </w:rPr>
              <w:t>推进重点行业深度治理，实施全工况脱硫脱硝提标改造，加大无组织排放治理力度，深度开展工业炉窑综合整治，全面提升电解铝、活性炭、硅冶炼、纯碱、电石、聚氯乙烯、石化等行业污染治理水平。</w:t>
            </w:r>
          </w:p>
          <w:p w14:paraId="247CD581" w14:textId="77777777" w:rsidR="002E474C" w:rsidRDefault="00000000">
            <w:pPr>
              <w:pStyle w:val="A-"/>
              <w:jc w:val="both"/>
              <w:rPr>
                <w:snapToGrid w:val="0"/>
                <w:u w:color="000000"/>
                <w:lang w:bidi="en-US"/>
              </w:rPr>
            </w:pPr>
            <w:r>
              <w:rPr>
                <w:snapToGrid w:val="0"/>
                <w:u w:color="000000"/>
                <w:lang w:bidi="en-US"/>
              </w:rPr>
              <w:t>4.</w:t>
            </w:r>
            <w:r>
              <w:rPr>
                <w:snapToGrid w:val="0"/>
                <w:u w:color="000000"/>
                <w:lang w:bidi="en-US"/>
              </w:rPr>
              <w:t>加快推进化工行业</w:t>
            </w:r>
            <w:r>
              <w:rPr>
                <w:snapToGrid w:val="0"/>
                <w:u w:color="000000"/>
                <w:lang w:bidi="en-US"/>
              </w:rPr>
              <w:t>VOCs</w:t>
            </w:r>
            <w:r>
              <w:rPr>
                <w:snapToGrid w:val="0"/>
                <w:u w:color="000000"/>
                <w:lang w:bidi="en-US"/>
              </w:rPr>
              <w:t>综合治理，加大煤化工（含现代煤化工、炼焦、合成氨等）、橡胶制品、涂料、油墨、胶粘剂、染料、化学助剂（塑料助剂和橡胶助剂）等化工行业</w:t>
            </w:r>
            <w:r>
              <w:rPr>
                <w:snapToGrid w:val="0"/>
                <w:u w:color="000000"/>
                <w:lang w:bidi="en-US"/>
              </w:rPr>
              <w:t>VOCs</w:t>
            </w:r>
            <w:r>
              <w:rPr>
                <w:snapToGrid w:val="0"/>
                <w:u w:color="000000"/>
                <w:lang w:bidi="en-US"/>
              </w:rPr>
              <w:t>治理力度。</w:t>
            </w:r>
          </w:p>
          <w:p w14:paraId="64177BD8" w14:textId="77777777" w:rsidR="002E474C" w:rsidRDefault="00000000">
            <w:pPr>
              <w:pStyle w:val="A-"/>
              <w:jc w:val="both"/>
              <w:rPr>
                <w:snapToGrid w:val="0"/>
                <w:u w:color="000000"/>
                <w:lang w:bidi="en-US"/>
              </w:rPr>
            </w:pPr>
            <w:r>
              <w:rPr>
                <w:snapToGrid w:val="0"/>
                <w:u w:color="000000"/>
                <w:lang w:bidi="en-US"/>
              </w:rPr>
              <w:t>5.</w:t>
            </w:r>
            <w:r>
              <w:rPr>
                <w:snapToGrid w:val="0"/>
                <w:u w:color="000000"/>
                <w:lang w:bidi="en-US"/>
              </w:rPr>
              <w:t>加强无组织废气排放的管理，采用先进的、密闭性好的生产设备、化工物料存贮容器和输送管线，最大限度减少无组织废气排放。使用煤炭项目建议采用密闭输煤栈桥输送和用</w:t>
            </w:r>
            <w:r>
              <w:rPr>
                <w:snapToGrid w:val="0"/>
                <w:u w:color="000000"/>
                <w:lang w:bidi="en-US"/>
              </w:rPr>
              <w:lastRenderedPageBreak/>
              <w:t>圆筒仓储煤以减少扬尘污染，对碎煤车间、储煤仓等扬尘点采用袋式除尘器进行除尘处理，减少粉尘排放量，回收的粉尘返回生产系统。各原料及产品仓采用封闭式。</w:t>
            </w:r>
          </w:p>
          <w:p w14:paraId="73F70055" w14:textId="77777777" w:rsidR="002E474C" w:rsidRDefault="00000000">
            <w:pPr>
              <w:pStyle w:val="A-"/>
              <w:jc w:val="both"/>
              <w:rPr>
                <w:snapToGrid w:val="0"/>
                <w:u w:color="000000"/>
                <w:lang w:bidi="en-US"/>
              </w:rPr>
            </w:pPr>
            <w:r>
              <w:rPr>
                <w:snapToGrid w:val="0"/>
                <w:u w:color="000000"/>
                <w:lang w:bidi="en-US"/>
              </w:rPr>
              <w:t>6.</w:t>
            </w:r>
            <w:r>
              <w:rPr>
                <w:snapToGrid w:val="0"/>
                <w:u w:color="000000"/>
                <w:lang w:bidi="en-US"/>
              </w:rPr>
              <w:t>推进污水集中处理设施及再生水回用系统建设，推动工业园区废水实现</w:t>
            </w:r>
            <w:r>
              <w:rPr>
                <w:snapToGrid w:val="0"/>
                <w:u w:color="000000"/>
                <w:lang w:bidi="en-US"/>
              </w:rPr>
              <w:t>“</w:t>
            </w:r>
            <w:r>
              <w:rPr>
                <w:snapToGrid w:val="0"/>
                <w:u w:color="000000"/>
                <w:lang w:bidi="en-US"/>
              </w:rPr>
              <w:t>近零排放</w:t>
            </w:r>
            <w:r>
              <w:rPr>
                <w:snapToGrid w:val="0"/>
                <w:u w:color="000000"/>
                <w:lang w:bidi="en-US"/>
              </w:rPr>
              <w:t>”</w:t>
            </w:r>
            <w:r>
              <w:rPr>
                <w:snapToGrid w:val="0"/>
                <w:u w:color="000000"/>
                <w:lang w:bidi="en-US"/>
              </w:rPr>
              <w:t>。加强对各企业排放的污废水的监控，禁止在园内设置排污口。</w:t>
            </w:r>
          </w:p>
          <w:p w14:paraId="65D4A82D" w14:textId="77777777" w:rsidR="002E474C" w:rsidRDefault="00000000">
            <w:pPr>
              <w:pStyle w:val="A-"/>
              <w:jc w:val="both"/>
            </w:pPr>
            <w:r>
              <w:rPr>
                <w:snapToGrid w:val="0"/>
                <w:u w:color="000000"/>
                <w:lang w:bidi="en-US"/>
              </w:rPr>
              <w:t>7.</w:t>
            </w:r>
            <w:r>
              <w:rPr>
                <w:snapToGrid w:val="0"/>
                <w:u w:color="000000"/>
                <w:lang w:bidi="en-US"/>
              </w:rPr>
              <w:t>完善生活垃圾分类收集、运输和处置体系，坚持固体废物</w:t>
            </w:r>
            <w:r>
              <w:rPr>
                <w:snapToGrid w:val="0"/>
                <w:u w:color="000000"/>
                <w:lang w:bidi="en-US"/>
              </w:rPr>
              <w:t>“</w:t>
            </w:r>
            <w:r>
              <w:rPr>
                <w:snapToGrid w:val="0"/>
                <w:u w:color="000000"/>
                <w:lang w:bidi="en-US"/>
              </w:rPr>
              <w:t>减量化、资源化、无害化</w:t>
            </w:r>
            <w:r>
              <w:rPr>
                <w:snapToGrid w:val="0"/>
                <w:u w:color="000000"/>
                <w:lang w:bidi="en-US"/>
              </w:rPr>
              <w:t>”</w:t>
            </w:r>
            <w:r>
              <w:rPr>
                <w:snapToGrid w:val="0"/>
                <w:u w:color="000000"/>
                <w:lang w:bidi="en-US"/>
              </w:rPr>
              <w:t>原则，提高固体废弃物资源化利用率，妥善转运、处置危险废物。</w:t>
            </w:r>
          </w:p>
        </w:tc>
        <w:tc>
          <w:tcPr>
            <w:tcW w:w="1516" w:type="pct"/>
            <w:shd w:val="clear" w:color="auto" w:fill="auto"/>
            <w:vAlign w:val="center"/>
          </w:tcPr>
          <w:p w14:paraId="2A44A462" w14:textId="77777777" w:rsidR="002E474C" w:rsidRDefault="00000000">
            <w:pPr>
              <w:pStyle w:val="A-"/>
              <w:jc w:val="both"/>
            </w:pPr>
            <w:r>
              <w:lastRenderedPageBreak/>
              <w:t>（</w:t>
            </w:r>
            <w:r>
              <w:t>1</w:t>
            </w:r>
            <w:r>
              <w:t>）本项目不新增颗粒物、</w:t>
            </w:r>
            <w:r>
              <w:t>SO</w:t>
            </w:r>
            <w:r>
              <w:rPr>
                <w:vertAlign w:val="subscript"/>
              </w:rPr>
              <w:t>2</w:t>
            </w:r>
            <w:r>
              <w:t>、</w:t>
            </w:r>
            <w:r>
              <w:t>NOx</w:t>
            </w:r>
            <w:r>
              <w:t>排放量，新增挥发性有机物（</w:t>
            </w:r>
            <w:r>
              <w:t>VOCs</w:t>
            </w:r>
            <w:r>
              <w:t>）大气污染物总量指标吐鲁番区域内等量替代，大气污染物排放符合总量控制要求。</w:t>
            </w:r>
          </w:p>
          <w:p w14:paraId="26631BDE" w14:textId="77777777" w:rsidR="002E474C" w:rsidRDefault="00000000">
            <w:pPr>
              <w:pStyle w:val="A-"/>
              <w:jc w:val="both"/>
            </w:pPr>
            <w:r>
              <w:t>（</w:t>
            </w:r>
            <w:r>
              <w:t>2</w:t>
            </w:r>
            <w:r>
              <w:t>）本项目为危险废物协同处置项目，不属于重点行业，不需要执行重金属污染物排放总量控制制度。</w:t>
            </w:r>
          </w:p>
          <w:p w14:paraId="4330EC70" w14:textId="77777777" w:rsidR="002E474C" w:rsidRDefault="00000000">
            <w:pPr>
              <w:pStyle w:val="A-"/>
              <w:jc w:val="both"/>
            </w:pPr>
            <w:r>
              <w:t>（</w:t>
            </w:r>
            <w:r>
              <w:t>3</w:t>
            </w:r>
            <w:r>
              <w:t>）本项目危险废物在危废贮存库及固态危废预处理车间分类分区存放，设负压集气设施，集气采用气体净化设施处理后达标排放。</w:t>
            </w:r>
          </w:p>
          <w:p w14:paraId="46EB67E4" w14:textId="77777777" w:rsidR="002E474C" w:rsidRDefault="00000000">
            <w:pPr>
              <w:pStyle w:val="A-"/>
              <w:jc w:val="both"/>
            </w:pPr>
            <w:r>
              <w:t>（</w:t>
            </w:r>
            <w:r>
              <w:t>4</w:t>
            </w:r>
            <w:r>
              <w:t>）本项目根据废物性质选择封闭汽车、封闭提升机和管道输送等密闭输送设备，可有效防止粉尘、异味扩散，防止固废输送过程泄漏、散落等。</w:t>
            </w:r>
          </w:p>
          <w:p w14:paraId="4FFD828C" w14:textId="77777777" w:rsidR="002E474C" w:rsidRDefault="00000000">
            <w:pPr>
              <w:pStyle w:val="A-"/>
              <w:jc w:val="both"/>
            </w:pPr>
            <w:r>
              <w:t>（</w:t>
            </w:r>
            <w:r>
              <w:t>4</w:t>
            </w:r>
            <w:r>
              <w:t>）本项目生产废水及生产固废全部进入回</w:t>
            </w:r>
            <w:r>
              <w:lastRenderedPageBreak/>
              <w:t>转窑协同处置，不外排。</w:t>
            </w:r>
          </w:p>
          <w:p w14:paraId="4B862434" w14:textId="77777777" w:rsidR="002E474C" w:rsidRDefault="00000000">
            <w:pPr>
              <w:pStyle w:val="A-"/>
              <w:jc w:val="both"/>
            </w:pPr>
            <w:r>
              <w:t>（</w:t>
            </w:r>
            <w:r>
              <w:t>5</w:t>
            </w:r>
            <w:r>
              <w:t>）协同处置危险废物有利于重金属污染控制及工业废物处理处置。</w:t>
            </w:r>
          </w:p>
        </w:tc>
        <w:tc>
          <w:tcPr>
            <w:tcW w:w="212" w:type="pct"/>
            <w:shd w:val="clear" w:color="auto" w:fill="auto"/>
            <w:vAlign w:val="center"/>
          </w:tcPr>
          <w:p w14:paraId="7427B594" w14:textId="77777777" w:rsidR="002E474C" w:rsidRDefault="00000000">
            <w:pPr>
              <w:pStyle w:val="A-"/>
            </w:pPr>
            <w:r>
              <w:lastRenderedPageBreak/>
              <w:t>符合</w:t>
            </w:r>
          </w:p>
        </w:tc>
      </w:tr>
      <w:tr w:rsidR="002E474C" w14:paraId="5E40DCC5" w14:textId="77777777">
        <w:tc>
          <w:tcPr>
            <w:tcW w:w="381" w:type="pct"/>
            <w:vMerge/>
            <w:shd w:val="clear" w:color="auto" w:fill="auto"/>
            <w:vAlign w:val="center"/>
          </w:tcPr>
          <w:p w14:paraId="3F5E474A" w14:textId="77777777" w:rsidR="002E474C" w:rsidRDefault="002E474C">
            <w:pPr>
              <w:pStyle w:val="A-"/>
            </w:pPr>
          </w:p>
        </w:tc>
        <w:tc>
          <w:tcPr>
            <w:tcW w:w="332" w:type="pct"/>
            <w:vMerge/>
          </w:tcPr>
          <w:p w14:paraId="1EE1C6BD" w14:textId="77777777" w:rsidR="002E474C" w:rsidRDefault="002E474C">
            <w:pPr>
              <w:pStyle w:val="A-"/>
            </w:pPr>
          </w:p>
        </w:tc>
        <w:tc>
          <w:tcPr>
            <w:tcW w:w="332" w:type="pct"/>
            <w:vMerge/>
            <w:shd w:val="clear" w:color="auto" w:fill="auto"/>
            <w:vAlign w:val="center"/>
          </w:tcPr>
          <w:p w14:paraId="569206DE" w14:textId="77777777" w:rsidR="002E474C" w:rsidRDefault="002E474C">
            <w:pPr>
              <w:pStyle w:val="A-"/>
            </w:pPr>
          </w:p>
        </w:tc>
        <w:tc>
          <w:tcPr>
            <w:tcW w:w="190" w:type="pct"/>
            <w:shd w:val="clear" w:color="auto" w:fill="auto"/>
            <w:vAlign w:val="center"/>
          </w:tcPr>
          <w:p w14:paraId="3B1E540E" w14:textId="77777777" w:rsidR="002E474C" w:rsidRDefault="00000000">
            <w:pPr>
              <w:pStyle w:val="A-"/>
            </w:pPr>
            <w:r>
              <w:t>环境风险防控</w:t>
            </w:r>
          </w:p>
        </w:tc>
        <w:tc>
          <w:tcPr>
            <w:tcW w:w="2037" w:type="pct"/>
            <w:shd w:val="clear" w:color="auto" w:fill="auto"/>
            <w:vAlign w:val="center"/>
          </w:tcPr>
          <w:p w14:paraId="158B7C06" w14:textId="77777777" w:rsidR="002E474C" w:rsidRDefault="00000000">
            <w:pPr>
              <w:pStyle w:val="A-"/>
              <w:jc w:val="both"/>
            </w:pPr>
            <w:r>
              <w:t>1.</w:t>
            </w:r>
            <w:r>
              <w:t>强化有毒有害原辅材料运输、储存、使用等过程的监管；做好厂区分区防渗措施。涉及危险工艺的生产企业，必须装备自动化控制系统，安装液位、温度、压力超限报警设施、气体泄漏检测报警装置和紧急切断装置等。</w:t>
            </w:r>
          </w:p>
          <w:p w14:paraId="2321AAFA" w14:textId="77777777" w:rsidR="002E474C" w:rsidRDefault="00000000">
            <w:pPr>
              <w:pStyle w:val="A-"/>
              <w:jc w:val="both"/>
            </w:pPr>
            <w:r>
              <w:t>2.</w:t>
            </w:r>
            <w:r>
              <w:t>定期排查废水污染治理设施建设运行情况、并做好防腐防渗措施；园区污水集中处理设施安装自动在线监控装置；加强园区下游的水质监测。</w:t>
            </w:r>
          </w:p>
          <w:p w14:paraId="5DA90685" w14:textId="77777777" w:rsidR="002E474C" w:rsidRDefault="00000000">
            <w:pPr>
              <w:pStyle w:val="A-"/>
              <w:jc w:val="both"/>
            </w:pPr>
            <w:r>
              <w:t>3.</w:t>
            </w:r>
            <w:r>
              <w:t>落实工业企业环境风险防范主体责任，强化工业企业应急导流槽、事故调蓄池、应急闸坝等事故排水收集截留设施等建设，合理设置消防事故池。加强工业园区环境风险防范，按要求设置生态隔离带，建设相应的防护工程。</w:t>
            </w:r>
          </w:p>
          <w:p w14:paraId="386C0405" w14:textId="77777777" w:rsidR="002E474C" w:rsidRDefault="00000000">
            <w:pPr>
              <w:pStyle w:val="A-"/>
              <w:jc w:val="both"/>
              <w:rPr>
                <w:spacing w:val="-6"/>
              </w:rPr>
            </w:pPr>
            <w:r>
              <w:rPr>
                <w:spacing w:val="-6"/>
              </w:rPr>
              <w:t>4.</w:t>
            </w:r>
            <w:r>
              <w:rPr>
                <w:spacing w:val="-6"/>
              </w:rPr>
              <w:t>地面以下输送含污染物介质的废水管道应设置防渗良好、便于检修和监控的管沟，并按规范要求设置长期地下水监控井。</w:t>
            </w:r>
          </w:p>
          <w:p w14:paraId="22E2F648" w14:textId="77777777" w:rsidR="002E474C" w:rsidRDefault="00000000">
            <w:pPr>
              <w:pStyle w:val="A-"/>
              <w:jc w:val="both"/>
            </w:pPr>
            <w:r>
              <w:t>5.</w:t>
            </w:r>
            <w:r>
              <w:t>建立完善的环境风险防控体系，按照规范要求编制突发环境事件应急预案，配齐应急物资和设施，强化应急救援队伍建设，定期开展应急演练。</w:t>
            </w:r>
          </w:p>
          <w:p w14:paraId="780EE00D" w14:textId="77777777" w:rsidR="002E474C" w:rsidRDefault="00000000">
            <w:pPr>
              <w:pStyle w:val="A-"/>
              <w:jc w:val="both"/>
            </w:pPr>
            <w:r>
              <w:t>6.</w:t>
            </w:r>
            <w:r>
              <w:t>强化企业环境风险防范设施设备建设和正常运行监管，建立常态化的企业隐患排查整治监管机制。</w:t>
            </w:r>
          </w:p>
          <w:p w14:paraId="6DB63FE4" w14:textId="77777777" w:rsidR="002E474C" w:rsidRDefault="00000000">
            <w:pPr>
              <w:pStyle w:val="A-"/>
              <w:jc w:val="both"/>
            </w:pPr>
            <w:r>
              <w:t>7.</w:t>
            </w:r>
            <w:r>
              <w:t>严格污染地块开发利用和流转审批，优化污染地块及周边土地开发利用时序。按照国家有关环境标淮和技术规范，开展土壤污染状况调查、风险评估、风险管控及修复治理。</w:t>
            </w:r>
          </w:p>
        </w:tc>
        <w:tc>
          <w:tcPr>
            <w:tcW w:w="1516" w:type="pct"/>
            <w:shd w:val="clear" w:color="auto" w:fill="auto"/>
            <w:vAlign w:val="center"/>
          </w:tcPr>
          <w:p w14:paraId="03BE00B2" w14:textId="77777777" w:rsidR="002E474C" w:rsidRDefault="00000000">
            <w:pPr>
              <w:pStyle w:val="A-"/>
              <w:jc w:val="both"/>
            </w:pPr>
            <w:r>
              <w:t>（</w:t>
            </w:r>
            <w:r>
              <w:t>1</w:t>
            </w:r>
            <w:r>
              <w:t>）本项目危险废物在运输、贮存及协同处置等过程均采取了污染防治和风险防范措施，按相关规范要求加强管理；装置区采取了分区防渗。危险废物转运、贮存、投料等过程均装备自动控制系统，设应急投料系统。</w:t>
            </w:r>
          </w:p>
          <w:p w14:paraId="2B2D71AD" w14:textId="77777777" w:rsidR="002E474C" w:rsidRDefault="00000000">
            <w:pPr>
              <w:pStyle w:val="A-"/>
              <w:jc w:val="both"/>
            </w:pPr>
            <w:r>
              <w:t>（</w:t>
            </w:r>
            <w:r>
              <w:t>2</w:t>
            </w:r>
            <w:r>
              <w:t>）本项目将定期开展废水污染治理设施建设运行情况调查。</w:t>
            </w:r>
          </w:p>
          <w:p w14:paraId="096EB87E" w14:textId="77777777" w:rsidR="002E474C" w:rsidRDefault="00000000">
            <w:pPr>
              <w:pStyle w:val="A-"/>
              <w:jc w:val="both"/>
              <w:rPr>
                <w:spacing w:val="-6"/>
              </w:rPr>
            </w:pPr>
            <w:r>
              <w:rPr>
                <w:spacing w:val="-6"/>
              </w:rPr>
              <w:t>（</w:t>
            </w:r>
            <w:r>
              <w:rPr>
                <w:spacing w:val="-6"/>
              </w:rPr>
              <w:t>3</w:t>
            </w:r>
            <w:r>
              <w:rPr>
                <w:spacing w:val="-6"/>
              </w:rPr>
              <w:t>）本项目危废贮存库与固态危废预处理车间设一座集液池，项目区设置一座初期雨水池、事故池，用于收集全厂事故状态下产生的废水。</w:t>
            </w:r>
          </w:p>
          <w:p w14:paraId="77A8678D" w14:textId="77777777" w:rsidR="002E474C" w:rsidRDefault="00000000">
            <w:pPr>
              <w:pStyle w:val="A-"/>
              <w:jc w:val="both"/>
            </w:pPr>
            <w:r>
              <w:t>（</w:t>
            </w:r>
            <w:r>
              <w:t>4</w:t>
            </w:r>
            <w:r>
              <w:t>）输送生产废水管道应设置防渗良好、便于检修和监控的管沟，并按规范要求设置长期地下水监控井，用于地下水污染防控。</w:t>
            </w:r>
          </w:p>
          <w:p w14:paraId="12998BC1" w14:textId="77777777" w:rsidR="002E474C" w:rsidRDefault="00000000">
            <w:pPr>
              <w:pStyle w:val="A-"/>
              <w:jc w:val="both"/>
              <w:rPr>
                <w:spacing w:val="-6"/>
              </w:rPr>
            </w:pPr>
            <w:r>
              <w:rPr>
                <w:spacing w:val="-6"/>
              </w:rPr>
              <w:t>（</w:t>
            </w:r>
            <w:r>
              <w:rPr>
                <w:spacing w:val="-6"/>
              </w:rPr>
              <w:t>5</w:t>
            </w:r>
            <w:r>
              <w:rPr>
                <w:spacing w:val="-6"/>
              </w:rPr>
              <w:t>）本项目建成后，应纳入圣雄水泥公司应急预案管理体系，由圣雄水泥公司统一管理，编制并备案突发环境事件应急预案，定期开展突发环境事件演练，与园区突发环境事件应急预案衔接，提高应急处置能力，防控环境风险。</w:t>
            </w:r>
          </w:p>
          <w:p w14:paraId="27932496" w14:textId="77777777" w:rsidR="002E474C" w:rsidRDefault="00000000">
            <w:pPr>
              <w:pStyle w:val="A-"/>
              <w:jc w:val="both"/>
            </w:pPr>
            <w:r>
              <w:t>（</w:t>
            </w:r>
            <w:r>
              <w:t>6</w:t>
            </w:r>
            <w:r>
              <w:t>）企业应确保环境风险防范设施设备建设和正常运行监管，建立常态化的企业隐患排查整治监管机制。</w:t>
            </w:r>
          </w:p>
          <w:p w14:paraId="52EF4E2E" w14:textId="77777777" w:rsidR="002E474C" w:rsidRDefault="00000000">
            <w:pPr>
              <w:pStyle w:val="A-"/>
              <w:jc w:val="both"/>
            </w:pPr>
            <w:r>
              <w:t>（</w:t>
            </w:r>
            <w:r>
              <w:t>7</w:t>
            </w:r>
            <w:r>
              <w:t>）项目运行后，需按照国家有关环境标淮和技术规范，开展土壤污染状况调查、风险评估、风险管控及修复治理。</w:t>
            </w:r>
          </w:p>
        </w:tc>
        <w:tc>
          <w:tcPr>
            <w:tcW w:w="212" w:type="pct"/>
            <w:shd w:val="clear" w:color="auto" w:fill="auto"/>
            <w:vAlign w:val="center"/>
          </w:tcPr>
          <w:p w14:paraId="419723B0" w14:textId="77777777" w:rsidR="002E474C" w:rsidRDefault="00000000">
            <w:pPr>
              <w:pStyle w:val="A-"/>
            </w:pPr>
            <w:r>
              <w:t>符合</w:t>
            </w:r>
          </w:p>
        </w:tc>
      </w:tr>
      <w:tr w:rsidR="002E474C" w14:paraId="0C95D0CE" w14:textId="77777777">
        <w:trPr>
          <w:trHeight w:val="53"/>
        </w:trPr>
        <w:tc>
          <w:tcPr>
            <w:tcW w:w="381" w:type="pct"/>
            <w:vMerge/>
            <w:shd w:val="clear" w:color="auto" w:fill="auto"/>
            <w:vAlign w:val="center"/>
          </w:tcPr>
          <w:p w14:paraId="7962567E" w14:textId="77777777" w:rsidR="002E474C" w:rsidRDefault="002E474C">
            <w:pPr>
              <w:pStyle w:val="A-"/>
            </w:pPr>
          </w:p>
        </w:tc>
        <w:tc>
          <w:tcPr>
            <w:tcW w:w="332" w:type="pct"/>
            <w:vMerge/>
          </w:tcPr>
          <w:p w14:paraId="4C9D1350" w14:textId="77777777" w:rsidR="002E474C" w:rsidRDefault="002E474C">
            <w:pPr>
              <w:pStyle w:val="A-"/>
            </w:pPr>
          </w:p>
        </w:tc>
        <w:tc>
          <w:tcPr>
            <w:tcW w:w="332" w:type="pct"/>
            <w:vMerge/>
            <w:shd w:val="clear" w:color="auto" w:fill="auto"/>
            <w:vAlign w:val="center"/>
          </w:tcPr>
          <w:p w14:paraId="40FAC180" w14:textId="77777777" w:rsidR="002E474C" w:rsidRDefault="002E474C">
            <w:pPr>
              <w:pStyle w:val="A-"/>
            </w:pPr>
          </w:p>
        </w:tc>
        <w:tc>
          <w:tcPr>
            <w:tcW w:w="190" w:type="pct"/>
            <w:shd w:val="clear" w:color="auto" w:fill="auto"/>
            <w:vAlign w:val="center"/>
          </w:tcPr>
          <w:p w14:paraId="6EDE1261" w14:textId="77777777" w:rsidR="002E474C" w:rsidRDefault="00000000">
            <w:pPr>
              <w:pStyle w:val="A-"/>
            </w:pPr>
            <w:r>
              <w:t>资源开发效率要求</w:t>
            </w:r>
          </w:p>
        </w:tc>
        <w:tc>
          <w:tcPr>
            <w:tcW w:w="2037" w:type="pct"/>
            <w:shd w:val="clear" w:color="auto" w:fill="auto"/>
            <w:vAlign w:val="center"/>
          </w:tcPr>
          <w:p w14:paraId="58740CFF" w14:textId="77777777" w:rsidR="002E474C" w:rsidRDefault="00000000">
            <w:pPr>
              <w:pStyle w:val="A-"/>
              <w:jc w:val="both"/>
            </w:pPr>
            <w:r>
              <w:t>1.</w:t>
            </w:r>
            <w:r>
              <w:t>严格实施用水管理。新建、改建、扩建项目用水要达到行业先进水平，节水设施应与主体工程同时设计、同时施工、同时投运；再生水水量水质满足建设项目用水需求的，应优先使用再生水。</w:t>
            </w:r>
          </w:p>
          <w:p w14:paraId="772372EB" w14:textId="77777777" w:rsidR="002E474C" w:rsidRDefault="00000000">
            <w:pPr>
              <w:pStyle w:val="A-"/>
              <w:jc w:val="both"/>
            </w:pPr>
            <w:r>
              <w:t>2.</w:t>
            </w:r>
            <w:r>
              <w:t>节约集约利用土地资源。</w:t>
            </w:r>
          </w:p>
          <w:p w14:paraId="25FC8ADF" w14:textId="77777777" w:rsidR="002E474C" w:rsidRDefault="00000000">
            <w:pPr>
              <w:pStyle w:val="A-"/>
              <w:jc w:val="both"/>
            </w:pPr>
            <w:r>
              <w:t>3.</w:t>
            </w:r>
            <w:r>
              <w:t>推广使用清洁能源，持续优化用电结构，提高净外受电和绿电比例。加强对重点用能单位能源使用情况的监督管理。</w:t>
            </w:r>
          </w:p>
          <w:p w14:paraId="64685D42" w14:textId="77777777" w:rsidR="002E474C" w:rsidRDefault="00000000">
            <w:pPr>
              <w:pStyle w:val="A-"/>
              <w:jc w:val="both"/>
            </w:pPr>
            <w:r>
              <w:t>4.</w:t>
            </w:r>
            <w:r>
              <w:t>严格把关企业清洁生产水平，新建项目清洁生产水平达到</w:t>
            </w:r>
            <w:r>
              <w:t>I</w:t>
            </w:r>
            <w:r>
              <w:t>级标准以上或国内同行业清洁生产先进水平以上。</w:t>
            </w:r>
          </w:p>
        </w:tc>
        <w:tc>
          <w:tcPr>
            <w:tcW w:w="1516" w:type="pct"/>
            <w:shd w:val="clear" w:color="auto" w:fill="auto"/>
            <w:vAlign w:val="center"/>
          </w:tcPr>
          <w:p w14:paraId="12CE9B6D" w14:textId="77777777" w:rsidR="002E474C" w:rsidRDefault="00000000">
            <w:pPr>
              <w:pStyle w:val="A-"/>
              <w:jc w:val="both"/>
            </w:pPr>
            <w:r>
              <w:t>（</w:t>
            </w:r>
            <w:r>
              <w:t>1</w:t>
            </w:r>
            <w:r>
              <w:t>）本项目生产废水全部进入回转窑协同处置，不外排。</w:t>
            </w:r>
          </w:p>
          <w:p w14:paraId="1B2D4E09" w14:textId="77777777" w:rsidR="002E474C" w:rsidRDefault="00000000">
            <w:pPr>
              <w:pStyle w:val="A-"/>
              <w:jc w:val="both"/>
            </w:pPr>
            <w:r>
              <w:t>（</w:t>
            </w:r>
            <w:r>
              <w:t>2</w:t>
            </w:r>
            <w:r>
              <w:t>）本项目在圣雄水泥公司现有厂区内建设，不新增用地。</w:t>
            </w:r>
          </w:p>
          <w:p w14:paraId="341773E8" w14:textId="77777777" w:rsidR="002E474C" w:rsidRDefault="00000000">
            <w:pPr>
              <w:pStyle w:val="A-"/>
              <w:jc w:val="both"/>
            </w:pPr>
            <w:r>
              <w:t>（</w:t>
            </w:r>
            <w:r>
              <w:t>3</w:t>
            </w:r>
            <w:r>
              <w:t>）本项目用电量低，项目运行后将持续进行能耗管理提高清洁生产水平。</w:t>
            </w:r>
          </w:p>
        </w:tc>
        <w:tc>
          <w:tcPr>
            <w:tcW w:w="212" w:type="pct"/>
            <w:shd w:val="clear" w:color="auto" w:fill="auto"/>
            <w:vAlign w:val="center"/>
          </w:tcPr>
          <w:p w14:paraId="02C64D72" w14:textId="77777777" w:rsidR="002E474C" w:rsidRDefault="00000000">
            <w:pPr>
              <w:pStyle w:val="A-"/>
            </w:pPr>
            <w:r>
              <w:t>符合</w:t>
            </w:r>
          </w:p>
        </w:tc>
      </w:tr>
    </w:tbl>
    <w:p w14:paraId="6A781FC4" w14:textId="77777777" w:rsidR="002E474C" w:rsidRDefault="002E474C">
      <w:pPr>
        <w:pStyle w:val="A-z"/>
        <w:rPr>
          <w:color w:val="auto"/>
        </w:rPr>
      </w:pPr>
    </w:p>
    <w:p w14:paraId="1D678421" w14:textId="77777777" w:rsidR="002E474C" w:rsidRDefault="002E474C">
      <w:pPr>
        <w:pStyle w:val="A-z"/>
        <w:rPr>
          <w:color w:val="auto"/>
        </w:rPr>
      </w:pPr>
    </w:p>
    <w:p w14:paraId="274499B1"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0DC8DB85" w14:textId="77777777" w:rsidR="002E474C" w:rsidRDefault="00000000">
      <w:pPr>
        <w:pStyle w:val="31"/>
        <w:spacing w:before="163" w:after="163"/>
        <w:ind w:left="0" w:firstLine="0"/>
        <w:rPr>
          <w:color w:val="auto"/>
        </w:rPr>
      </w:pPr>
      <w:bookmarkStart w:id="36" w:name="_Hlk181200056"/>
      <w:bookmarkStart w:id="37" w:name="_Hlk182914882"/>
      <w:r>
        <w:rPr>
          <w:b w:val="0"/>
          <w:bCs w:val="0"/>
          <w:color w:val="auto"/>
        </w:rPr>
        <w:lastRenderedPageBreak/>
        <w:t>园区规划和规划环评符合性分析</w:t>
      </w:r>
    </w:p>
    <w:p w14:paraId="6D9A23FA" w14:textId="77777777" w:rsidR="002E474C" w:rsidRDefault="00000000">
      <w:pPr>
        <w:pStyle w:val="41"/>
        <w:spacing w:before="163" w:after="163"/>
        <w:rPr>
          <w:color w:val="auto"/>
        </w:rPr>
      </w:pPr>
      <w:r>
        <w:rPr>
          <w:color w:val="auto"/>
        </w:rPr>
        <w:t>与《托克逊能源重化工工业园区总体规划（</w:t>
      </w:r>
      <w:r>
        <w:rPr>
          <w:color w:val="auto"/>
        </w:rPr>
        <w:t>2023-2035</w:t>
      </w:r>
      <w:r>
        <w:rPr>
          <w:color w:val="auto"/>
        </w:rPr>
        <w:t>年）》及规划环评符合性</w:t>
      </w:r>
    </w:p>
    <w:p w14:paraId="4D632388" w14:textId="77777777" w:rsidR="002E474C" w:rsidRDefault="00000000">
      <w:pPr>
        <w:pStyle w:val="A-z"/>
        <w:rPr>
          <w:color w:val="auto"/>
        </w:rPr>
      </w:pPr>
      <w:r>
        <w:rPr>
          <w:color w:val="auto"/>
        </w:rPr>
        <w:t>（</w:t>
      </w:r>
      <w:r>
        <w:rPr>
          <w:color w:val="auto"/>
        </w:rPr>
        <w:t>1</w:t>
      </w:r>
      <w:r>
        <w:rPr>
          <w:color w:val="auto"/>
        </w:rPr>
        <w:t>）《托克逊能源重化工工业园区总体规划（</w:t>
      </w:r>
      <w:r>
        <w:rPr>
          <w:color w:val="auto"/>
        </w:rPr>
        <w:t>2023-2035</w:t>
      </w:r>
      <w:r>
        <w:rPr>
          <w:color w:val="auto"/>
        </w:rPr>
        <w:t>年）》及其批复</w:t>
      </w:r>
    </w:p>
    <w:p w14:paraId="6F570008" w14:textId="77777777" w:rsidR="002E474C" w:rsidRDefault="00000000">
      <w:pPr>
        <w:pStyle w:val="A-z"/>
        <w:rPr>
          <w:color w:val="auto"/>
        </w:rPr>
      </w:pPr>
      <w:r>
        <w:rPr>
          <w:color w:val="auto"/>
        </w:rPr>
        <w:t>2023</w:t>
      </w:r>
      <w:r>
        <w:rPr>
          <w:color w:val="auto"/>
        </w:rPr>
        <w:t>年</w:t>
      </w:r>
      <w:r>
        <w:rPr>
          <w:color w:val="auto"/>
        </w:rPr>
        <w:t>1</w:t>
      </w:r>
      <w:r>
        <w:rPr>
          <w:color w:val="auto"/>
        </w:rPr>
        <w:t>月</w:t>
      </w:r>
      <w:r>
        <w:rPr>
          <w:color w:val="auto"/>
        </w:rPr>
        <w:t>9</w:t>
      </w:r>
      <w:r>
        <w:rPr>
          <w:color w:val="auto"/>
        </w:rPr>
        <w:t>日，自治区人民政府以新政函〔</w:t>
      </w:r>
      <w:r>
        <w:rPr>
          <w:color w:val="auto"/>
        </w:rPr>
        <w:t>2023</w:t>
      </w:r>
      <w:r>
        <w:rPr>
          <w:color w:val="auto"/>
        </w:rPr>
        <w:t>〕</w:t>
      </w:r>
      <w:r>
        <w:rPr>
          <w:color w:val="auto"/>
        </w:rPr>
        <w:t>7</w:t>
      </w:r>
      <w:r>
        <w:rPr>
          <w:color w:val="auto"/>
        </w:rPr>
        <w:t>号文同意托克逊能源重化工工业园区扩区</w:t>
      </w:r>
      <w:r>
        <w:rPr>
          <w:color w:val="auto"/>
        </w:rPr>
        <w:t>14.99</w:t>
      </w:r>
      <w:r>
        <w:rPr>
          <w:color w:val="auto"/>
        </w:rPr>
        <w:t>平方公里，扩区后园区总面积增至</w:t>
      </w:r>
      <w:r>
        <w:rPr>
          <w:color w:val="auto"/>
        </w:rPr>
        <w:t>36.97</w:t>
      </w:r>
      <w:r>
        <w:rPr>
          <w:color w:val="auto"/>
        </w:rPr>
        <w:t>平方公里。园区扩为</w:t>
      </w:r>
      <w:r>
        <w:rPr>
          <w:color w:val="auto"/>
        </w:rPr>
        <w:t>“</w:t>
      </w:r>
      <w:r>
        <w:rPr>
          <w:color w:val="auto"/>
        </w:rPr>
        <w:t>一园三区</w:t>
      </w:r>
      <w:r>
        <w:rPr>
          <w:color w:val="auto"/>
        </w:rPr>
        <w:t>”</w:t>
      </w:r>
      <w:r>
        <w:rPr>
          <w:color w:val="auto"/>
        </w:rPr>
        <w:t>（能源重化工工业园、伊拉湖循环经济产业园、圣雄同心工业园），其中：能源重化工工业园面积保持</w:t>
      </w:r>
      <w:r>
        <w:rPr>
          <w:color w:val="auto"/>
        </w:rPr>
        <w:t>21.98</w:t>
      </w:r>
      <w:r>
        <w:rPr>
          <w:color w:val="auto"/>
        </w:rPr>
        <w:t>平方公里不变，将伊拉湖循环经济产业园</w:t>
      </w:r>
      <w:r>
        <w:rPr>
          <w:color w:val="auto"/>
        </w:rPr>
        <w:t>7.59</w:t>
      </w:r>
      <w:r>
        <w:rPr>
          <w:color w:val="auto"/>
        </w:rPr>
        <w:t>平方公里和圣雄同心工业园</w:t>
      </w:r>
      <w:r>
        <w:rPr>
          <w:color w:val="auto"/>
        </w:rPr>
        <w:t>7.4</w:t>
      </w:r>
      <w:r>
        <w:rPr>
          <w:color w:val="auto"/>
        </w:rPr>
        <w:t>平方公里并入园区。</w:t>
      </w:r>
    </w:p>
    <w:p w14:paraId="77A914C2" w14:textId="77777777" w:rsidR="002E474C" w:rsidRDefault="00000000">
      <w:pPr>
        <w:pStyle w:val="A-z"/>
        <w:rPr>
          <w:color w:val="auto"/>
        </w:rPr>
      </w:pPr>
      <w:r>
        <w:rPr>
          <w:color w:val="auto"/>
        </w:rPr>
        <w:t>2024</w:t>
      </w:r>
      <w:r>
        <w:rPr>
          <w:color w:val="auto"/>
        </w:rPr>
        <w:t>年</w:t>
      </w:r>
      <w:r>
        <w:rPr>
          <w:color w:val="auto"/>
        </w:rPr>
        <w:t>7</w:t>
      </w:r>
      <w:r>
        <w:rPr>
          <w:color w:val="auto"/>
        </w:rPr>
        <w:t>月</w:t>
      </w:r>
      <w:r>
        <w:rPr>
          <w:color w:val="auto"/>
        </w:rPr>
        <w:t>9</w:t>
      </w:r>
      <w:r>
        <w:rPr>
          <w:color w:val="auto"/>
        </w:rPr>
        <w:t>日，吐鲁番人民政府以吐政函〔</w:t>
      </w:r>
      <w:r>
        <w:rPr>
          <w:color w:val="auto"/>
        </w:rPr>
        <w:t>2024</w:t>
      </w:r>
      <w:r>
        <w:rPr>
          <w:color w:val="auto"/>
        </w:rPr>
        <w:t>〕</w:t>
      </w:r>
      <w:r>
        <w:rPr>
          <w:color w:val="auto"/>
        </w:rPr>
        <w:t>142</w:t>
      </w:r>
      <w:r>
        <w:rPr>
          <w:color w:val="auto"/>
        </w:rPr>
        <w:t>号文批复实施《托克逊能源重化工工业园区总体规划（</w:t>
      </w:r>
      <w:r>
        <w:rPr>
          <w:color w:val="auto"/>
        </w:rPr>
        <w:t>2023-2035</w:t>
      </w:r>
      <w:r>
        <w:rPr>
          <w:color w:val="auto"/>
        </w:rPr>
        <w:t>年）》。</w:t>
      </w:r>
    </w:p>
    <w:p w14:paraId="2C8E5F5F" w14:textId="77777777" w:rsidR="002E474C" w:rsidRDefault="00000000">
      <w:pPr>
        <w:pStyle w:val="A-z"/>
        <w:rPr>
          <w:color w:val="auto"/>
        </w:rPr>
      </w:pPr>
      <w:r>
        <w:rPr>
          <w:color w:val="auto"/>
        </w:rPr>
        <w:t>《托克逊能源重化工工业园区总体规划（</w:t>
      </w:r>
      <w:r>
        <w:rPr>
          <w:color w:val="auto"/>
        </w:rPr>
        <w:t>2023-2035</w:t>
      </w:r>
      <w:r>
        <w:rPr>
          <w:color w:val="auto"/>
        </w:rPr>
        <w:t>年）》对圣雄同心工业园的定位为：依托已形成氯碱产业及配套的电石、水泥、火力发电等产业为基础，加快产业转型升级，重点发展甲醇、烯烃等煤基新材料循环经济项目，并建立矿产资源开发产业基地。该区域主要集中布置依托已形成氯碱产业及配套的电石、水泥、火力发电等产业为基础的煤基新材料和矿产开发利用产业区。</w:t>
      </w:r>
    </w:p>
    <w:p w14:paraId="6CED93F4" w14:textId="77777777" w:rsidR="002E474C" w:rsidRDefault="00000000">
      <w:pPr>
        <w:pStyle w:val="A-z"/>
        <w:ind w:firstLine="456"/>
        <w:rPr>
          <w:color w:val="auto"/>
          <w:spacing w:val="-6"/>
        </w:rPr>
      </w:pPr>
      <w:r>
        <w:rPr>
          <w:color w:val="auto"/>
          <w:spacing w:val="-6"/>
        </w:rPr>
        <w:t>根据《托克逊能源重化工工业园区总体规划（</w:t>
      </w:r>
      <w:r>
        <w:rPr>
          <w:color w:val="auto"/>
          <w:spacing w:val="-6"/>
        </w:rPr>
        <w:t>2023-2035</w:t>
      </w:r>
      <w:r>
        <w:rPr>
          <w:color w:val="auto"/>
          <w:spacing w:val="-6"/>
        </w:rPr>
        <w:t>年）》环境保护规划，园区应按照《园区安全风险排查治理导则（试行）》应急〔</w:t>
      </w:r>
      <w:r>
        <w:rPr>
          <w:color w:val="auto"/>
          <w:spacing w:val="-6"/>
        </w:rPr>
        <w:t>2019</w:t>
      </w:r>
      <w:r>
        <w:rPr>
          <w:color w:val="auto"/>
          <w:spacing w:val="-6"/>
        </w:rPr>
        <w:t>〕</w:t>
      </w:r>
      <w:r>
        <w:rPr>
          <w:color w:val="auto"/>
          <w:spacing w:val="-6"/>
        </w:rPr>
        <w:t>78</w:t>
      </w:r>
      <w:r>
        <w:rPr>
          <w:color w:val="auto"/>
          <w:spacing w:val="-6"/>
        </w:rPr>
        <w:t>号对产生的固体废物特别是危险废物全部进行安全处置，必要时建设配套的固体废物特别是危险废物集中处置设施，并实行专业化运营管理，充分利用信息化等手段对危险废物种类、产生量、流向、贮存、处置、转移等全链条的风险实施监督和管理。</w:t>
      </w:r>
    </w:p>
    <w:p w14:paraId="7151ECAD" w14:textId="77777777" w:rsidR="002E474C" w:rsidRDefault="00000000">
      <w:pPr>
        <w:pStyle w:val="A-z"/>
        <w:rPr>
          <w:color w:val="auto"/>
        </w:rPr>
      </w:pPr>
      <w:r>
        <w:rPr>
          <w:color w:val="auto"/>
          <w:lang w:val="en-US"/>
        </w:rPr>
        <w:t>本项目与圣雄同心工业园产业布局规划位置关系</w:t>
      </w:r>
      <w:r>
        <w:rPr>
          <w:color w:val="auto"/>
        </w:rPr>
        <w:t>，见图</w:t>
      </w:r>
      <w:r>
        <w:rPr>
          <w:color w:val="auto"/>
        </w:rPr>
        <w:t>1.4-3</w:t>
      </w:r>
      <w:r>
        <w:rPr>
          <w:color w:val="auto"/>
        </w:rPr>
        <w:t>。</w:t>
      </w:r>
      <w:r>
        <w:rPr>
          <w:color w:val="auto"/>
          <w:lang w:val="en-US"/>
        </w:rPr>
        <w:t>本项目与圣雄同心工业园产业土地利用规划位置关系</w:t>
      </w:r>
      <w:r>
        <w:rPr>
          <w:color w:val="auto"/>
        </w:rPr>
        <w:t>，见图</w:t>
      </w:r>
      <w:r>
        <w:rPr>
          <w:color w:val="auto"/>
        </w:rPr>
        <w:t>1.4-4</w:t>
      </w:r>
      <w:r>
        <w:rPr>
          <w:color w:val="auto"/>
        </w:rPr>
        <w:t>。</w:t>
      </w:r>
    </w:p>
    <w:bookmarkEnd w:id="36"/>
    <w:p w14:paraId="6EF19E8F" w14:textId="77777777" w:rsidR="002E474C" w:rsidRDefault="00000000">
      <w:pPr>
        <w:pStyle w:val="A-z"/>
        <w:rPr>
          <w:color w:val="auto"/>
        </w:rPr>
      </w:pPr>
      <w:r>
        <w:rPr>
          <w:color w:val="auto"/>
        </w:rPr>
        <w:t>本项目位于圣雄同心工业园，圣雄水泥公司以新疆圣雄氯碱有限公司产出的电石渣为原料生产水泥产品，属于氯碱配套产业，位于氯碱配套产业区，用地为规划的三类工业用地。本项目利用圣雄水泥公司新型干法水泥窑协同处置</w:t>
      </w:r>
      <w:r>
        <w:rPr>
          <w:color w:val="auto"/>
        </w:rPr>
        <w:t>5</w:t>
      </w:r>
      <w:r>
        <w:rPr>
          <w:color w:val="auto"/>
        </w:rPr>
        <w:t>万</w:t>
      </w:r>
      <w:r>
        <w:rPr>
          <w:color w:val="auto"/>
        </w:rPr>
        <w:t>t/a</w:t>
      </w:r>
      <w:r>
        <w:rPr>
          <w:color w:val="auto"/>
        </w:rPr>
        <w:t>危险废物，有利于园区危险废物安全处置及循环经济建设，符合园区总体规划的产业分区规划、用地规划及环境保护规划。</w:t>
      </w:r>
    </w:p>
    <w:bookmarkEnd w:id="37"/>
    <w:p w14:paraId="5FEF20B4" w14:textId="77777777" w:rsidR="002E474C" w:rsidRDefault="00000000">
      <w:pPr>
        <w:pStyle w:val="A-z"/>
        <w:rPr>
          <w:color w:val="auto"/>
        </w:rPr>
      </w:pPr>
      <w:r>
        <w:rPr>
          <w:color w:val="auto"/>
        </w:rPr>
        <w:lastRenderedPageBreak/>
        <w:t>本项目符合《托克逊能源重化工工业园区总体规划（</w:t>
      </w:r>
      <w:r>
        <w:rPr>
          <w:color w:val="auto"/>
        </w:rPr>
        <w:t>2023-2035</w:t>
      </w:r>
      <w:r>
        <w:rPr>
          <w:color w:val="auto"/>
        </w:rPr>
        <w:t>年）》土地利用与产业布局。</w:t>
      </w:r>
    </w:p>
    <w:p w14:paraId="73C67DB7" w14:textId="77777777" w:rsidR="002E474C" w:rsidRDefault="00000000">
      <w:pPr>
        <w:pStyle w:val="A-z"/>
        <w:rPr>
          <w:color w:val="auto"/>
        </w:rPr>
      </w:pPr>
      <w:r>
        <w:rPr>
          <w:color w:val="auto"/>
        </w:rPr>
        <w:t>（</w:t>
      </w:r>
      <w:r>
        <w:rPr>
          <w:color w:val="auto"/>
        </w:rPr>
        <w:t>2</w:t>
      </w:r>
      <w:r>
        <w:rPr>
          <w:color w:val="auto"/>
        </w:rPr>
        <w:t>）《托克逊能源重化工工业园区总体规划（</w:t>
      </w:r>
      <w:r>
        <w:rPr>
          <w:color w:val="auto"/>
        </w:rPr>
        <w:t>2023-2035</w:t>
      </w:r>
      <w:r>
        <w:rPr>
          <w:color w:val="auto"/>
        </w:rPr>
        <w:t>年）环境影响报告书》及其审查意见</w:t>
      </w:r>
    </w:p>
    <w:p w14:paraId="20D1DE01" w14:textId="77777777" w:rsidR="002E474C" w:rsidRDefault="00000000">
      <w:pPr>
        <w:pStyle w:val="A-z"/>
        <w:rPr>
          <w:color w:val="auto"/>
        </w:rPr>
      </w:pPr>
      <w:r>
        <w:rPr>
          <w:color w:val="auto"/>
        </w:rPr>
        <w:t>2023</w:t>
      </w:r>
      <w:r>
        <w:rPr>
          <w:color w:val="auto"/>
        </w:rPr>
        <w:t>年</w:t>
      </w:r>
      <w:r>
        <w:rPr>
          <w:color w:val="auto"/>
        </w:rPr>
        <w:t>12</w:t>
      </w:r>
      <w:r>
        <w:rPr>
          <w:color w:val="auto"/>
        </w:rPr>
        <w:t>月</w:t>
      </w:r>
      <w:r>
        <w:rPr>
          <w:color w:val="auto"/>
        </w:rPr>
        <w:t>22</w:t>
      </w:r>
      <w:r>
        <w:rPr>
          <w:color w:val="auto"/>
        </w:rPr>
        <w:t>日，自治区生态环境厅以新环审〔</w:t>
      </w:r>
      <w:r>
        <w:rPr>
          <w:color w:val="auto"/>
        </w:rPr>
        <w:t>2023</w:t>
      </w:r>
      <w:r>
        <w:rPr>
          <w:color w:val="auto"/>
        </w:rPr>
        <w:t>〕</w:t>
      </w:r>
      <w:r>
        <w:rPr>
          <w:color w:val="auto"/>
        </w:rPr>
        <w:t>307</w:t>
      </w:r>
      <w:r>
        <w:rPr>
          <w:color w:val="auto"/>
        </w:rPr>
        <w:t>号文审查通过《托克逊能源重化工工业园区总体规划（</w:t>
      </w:r>
      <w:r>
        <w:rPr>
          <w:color w:val="auto"/>
        </w:rPr>
        <w:t>2023-2035</w:t>
      </w:r>
      <w:r>
        <w:rPr>
          <w:color w:val="auto"/>
        </w:rPr>
        <w:t>年）环境影响报告书》。</w:t>
      </w:r>
    </w:p>
    <w:p w14:paraId="2E3E7E0B" w14:textId="77777777" w:rsidR="002E474C" w:rsidRDefault="00000000">
      <w:pPr>
        <w:pStyle w:val="A-z"/>
        <w:rPr>
          <w:color w:val="auto"/>
        </w:rPr>
      </w:pPr>
      <w:r>
        <w:rPr>
          <w:color w:val="auto"/>
        </w:rPr>
        <w:t>根据《托克逊能源重化工工业园区总体规划（</w:t>
      </w:r>
      <w:r>
        <w:rPr>
          <w:color w:val="auto"/>
        </w:rPr>
        <w:t>2023-2035</w:t>
      </w:r>
      <w:r>
        <w:rPr>
          <w:color w:val="auto"/>
        </w:rPr>
        <w:t>年）环境影响报告书》及其审查意见，本项目位于圣雄同心工业园，项目所在位置为园区规划的氯碱配套产业区，项目用地为规划的三类工业用地。</w:t>
      </w:r>
    </w:p>
    <w:p w14:paraId="2E762FE2" w14:textId="77777777" w:rsidR="002E474C" w:rsidRDefault="00000000">
      <w:pPr>
        <w:pStyle w:val="A-z"/>
        <w:rPr>
          <w:color w:val="auto"/>
        </w:rPr>
      </w:pPr>
      <w:r>
        <w:rPr>
          <w:color w:val="auto"/>
        </w:rPr>
        <w:t>本项目与审查意见的进行对照，见表</w:t>
      </w:r>
      <w:r>
        <w:rPr>
          <w:color w:val="auto"/>
        </w:rPr>
        <w:t>1.4-13</w:t>
      </w:r>
      <w:r>
        <w:rPr>
          <w:color w:val="auto"/>
        </w:rPr>
        <w:t>。</w:t>
      </w:r>
    </w:p>
    <w:p w14:paraId="0717BA4F" w14:textId="77777777" w:rsidR="002E474C" w:rsidRDefault="00000000">
      <w:pPr>
        <w:pStyle w:val="A-z"/>
        <w:rPr>
          <w:color w:val="auto"/>
        </w:rPr>
      </w:pPr>
      <w:r>
        <w:rPr>
          <w:color w:val="auto"/>
        </w:rPr>
        <w:t>本项目利用圣雄水泥公司新型干法水泥窑协同处置</w:t>
      </w:r>
      <w:r>
        <w:rPr>
          <w:color w:val="auto"/>
        </w:rPr>
        <w:t>5</w:t>
      </w:r>
      <w:r>
        <w:rPr>
          <w:color w:val="auto"/>
        </w:rPr>
        <w:t>万</w:t>
      </w:r>
      <w:r>
        <w:rPr>
          <w:color w:val="auto"/>
        </w:rPr>
        <w:t>t/a</w:t>
      </w:r>
      <w:r>
        <w:rPr>
          <w:color w:val="auto"/>
        </w:rPr>
        <w:t>危险废物，有利于园区经济发展及环境保护工作，符合园区总体规划的产业分区规划、用地规划及环境保护规划；本项目用水由圣雄水泥公司现有供水系统供给，由阿拉沟水库供水，不使用地下水。本项目为《产业结构调整指导目录（</w:t>
      </w:r>
      <w:r>
        <w:rPr>
          <w:color w:val="auto"/>
        </w:rPr>
        <w:t>2024</w:t>
      </w:r>
      <w:r>
        <w:rPr>
          <w:color w:val="auto"/>
        </w:rPr>
        <w:t>年本）》鼓励类项目，有利于区域减污降碳协同管控。项目建成后，严格落实环境质量监测计划，定期开展突发环境事件演练，强化环境管理工作，有利于加强园区环境综合治理工作。本项目采用可靠的协同处置生产工艺与设备，污染治理技术为行业推荐技术与工艺，各类污染物排放须满足国家及自治区最严格污染物排放管控要求，清洁生产达到国内同类生产项目先进水平。项目产生的生产废水全部送回转窑焚烧处理，生活污水排入厂内综合污水处理站处理后回用。</w:t>
      </w:r>
    </w:p>
    <w:p w14:paraId="34532DEF" w14:textId="77777777" w:rsidR="002E474C" w:rsidRDefault="00000000">
      <w:pPr>
        <w:pStyle w:val="A-z"/>
        <w:rPr>
          <w:color w:val="auto"/>
        </w:rPr>
      </w:pPr>
      <w:r>
        <w:rPr>
          <w:color w:val="auto"/>
        </w:rPr>
        <w:t>本项目不在新疆及吐鲁番市生态保护红线范围内，也不在一般生态空间范围内，属于生态环境重点管控单元，符合自治区及吐鲁番市生态环境分区管控要求。</w:t>
      </w:r>
    </w:p>
    <w:p w14:paraId="7615FD5E" w14:textId="77777777" w:rsidR="002E474C" w:rsidRDefault="00000000">
      <w:pPr>
        <w:pStyle w:val="A-z"/>
        <w:rPr>
          <w:color w:val="auto"/>
        </w:rPr>
      </w:pPr>
      <w:r>
        <w:rPr>
          <w:color w:val="auto"/>
        </w:rPr>
        <w:t>综上分析，本项目符合《托克逊能源重化工工业园区总体规划（</w:t>
      </w:r>
      <w:r>
        <w:rPr>
          <w:color w:val="auto"/>
        </w:rPr>
        <w:t>2023-2035</w:t>
      </w:r>
      <w:r>
        <w:rPr>
          <w:color w:val="auto"/>
        </w:rPr>
        <w:t>年）环境影响报告书》及其审查意见。</w:t>
      </w:r>
    </w:p>
    <w:p w14:paraId="44A5ED4B" w14:textId="77777777" w:rsidR="002E474C" w:rsidRDefault="002E474C">
      <w:pPr>
        <w:pStyle w:val="w2"/>
        <w:ind w:firstLine="480"/>
      </w:pPr>
    </w:p>
    <w:p w14:paraId="2C8D30B0" w14:textId="77777777" w:rsidR="002E474C" w:rsidRDefault="002E474C">
      <w:pPr>
        <w:pStyle w:val="w2"/>
        <w:ind w:firstLine="480"/>
        <w:sectPr w:rsidR="002E474C">
          <w:pgSz w:w="11906" w:h="16838"/>
          <w:pgMar w:top="1440" w:right="1800" w:bottom="1440" w:left="1800" w:header="851" w:footer="850" w:gutter="0"/>
          <w:cols w:space="425"/>
          <w:docGrid w:type="lines" w:linePitch="326"/>
        </w:sectPr>
      </w:pPr>
    </w:p>
    <w:p w14:paraId="3F918CA1" w14:textId="77777777" w:rsidR="002E474C" w:rsidRDefault="00000000">
      <w:pPr>
        <w:pStyle w:val="A--"/>
        <w:spacing w:before="163"/>
        <w:rPr>
          <w:color w:val="auto"/>
        </w:rPr>
      </w:pPr>
      <w:r>
        <w:rPr>
          <w:color w:val="auto"/>
        </w:rPr>
        <w:lastRenderedPageBreak/>
        <w:t>表</w:t>
      </w:r>
      <w:r>
        <w:rPr>
          <w:color w:val="auto"/>
        </w:rPr>
        <w:t xml:space="preserve">1.4-13  </w:t>
      </w:r>
      <w:r>
        <w:rPr>
          <w:color w:val="auto"/>
        </w:rPr>
        <w:t>本项目与《托克逊能源重化工工业园区总体规划（</w:t>
      </w:r>
      <w:r>
        <w:rPr>
          <w:color w:val="auto"/>
        </w:rPr>
        <w:t>2023-2035</w:t>
      </w:r>
      <w:r>
        <w:rPr>
          <w:color w:val="auto"/>
        </w:rPr>
        <w:t>年）环境影响报告书》审查意见符合性分析表</w:t>
      </w:r>
    </w:p>
    <w:tbl>
      <w:tblPr>
        <w:tblStyle w:val="affff9"/>
        <w:tblW w:w="5000" w:type="pct"/>
        <w:tblLook w:val="04A0" w:firstRow="1" w:lastRow="0" w:firstColumn="1" w:lastColumn="0" w:noHBand="0" w:noVBand="1"/>
      </w:tblPr>
      <w:tblGrid>
        <w:gridCol w:w="7934"/>
        <w:gridCol w:w="4556"/>
        <w:gridCol w:w="738"/>
      </w:tblGrid>
      <w:tr w:rsidR="002E474C" w14:paraId="5387B89F" w14:textId="77777777">
        <w:trPr>
          <w:trHeight w:val="397"/>
        </w:trPr>
        <w:tc>
          <w:tcPr>
            <w:tcW w:w="2999" w:type="pct"/>
            <w:vAlign w:val="center"/>
          </w:tcPr>
          <w:p w14:paraId="4DCCDB46" w14:textId="77777777" w:rsidR="002E474C" w:rsidRDefault="00000000">
            <w:pPr>
              <w:pStyle w:val="A-"/>
            </w:pPr>
            <w:r>
              <w:t>审查意见相关内容</w:t>
            </w:r>
          </w:p>
        </w:tc>
        <w:tc>
          <w:tcPr>
            <w:tcW w:w="1722" w:type="pct"/>
            <w:vAlign w:val="center"/>
          </w:tcPr>
          <w:p w14:paraId="4704DDA7" w14:textId="77777777" w:rsidR="002E474C" w:rsidRDefault="00000000">
            <w:pPr>
              <w:pStyle w:val="A-"/>
            </w:pPr>
            <w:r>
              <w:t>本项目</w:t>
            </w:r>
          </w:p>
        </w:tc>
        <w:tc>
          <w:tcPr>
            <w:tcW w:w="279" w:type="pct"/>
            <w:vAlign w:val="center"/>
          </w:tcPr>
          <w:p w14:paraId="20B8259D" w14:textId="77777777" w:rsidR="002E474C" w:rsidRDefault="00000000">
            <w:pPr>
              <w:pStyle w:val="A-"/>
            </w:pPr>
            <w:r>
              <w:t>符合性</w:t>
            </w:r>
          </w:p>
        </w:tc>
      </w:tr>
      <w:tr w:rsidR="002E474C" w14:paraId="1AC117CD" w14:textId="77777777">
        <w:trPr>
          <w:trHeight w:val="397"/>
        </w:trPr>
        <w:tc>
          <w:tcPr>
            <w:tcW w:w="2999" w:type="pct"/>
            <w:vAlign w:val="center"/>
          </w:tcPr>
          <w:p w14:paraId="18C29BA2" w14:textId="77777777" w:rsidR="002E474C" w:rsidRDefault="00000000">
            <w:pPr>
              <w:pStyle w:val="A-"/>
              <w:jc w:val="both"/>
            </w:pPr>
            <w:r>
              <w:t>（一）坚持绿色发展，坚决遏制</w:t>
            </w:r>
            <w:r>
              <w:t>“</w:t>
            </w:r>
            <w:r>
              <w:t>两高</w:t>
            </w:r>
            <w:r>
              <w:t>”</w:t>
            </w:r>
            <w:r>
              <w:t>行业盲目发展，优化园区产业结构、规划布局和实施时序。坚持以环境质量改善为核心，遵循环保优先和绿色发展原则，结合区域实际，依据所在产业区块功能及环保要求，合理确定园区产业结构和布局，进一步论证《规划》实施后对周边居民区，园区内、外分布的坎儿井阿拉沟渠等环境敏感区和环境保护目标的影响以及各项环境保护对策与措施。严格控制高耗水化工项目发展规模，通过梳理已批复项目及《规划》后续实施项目，建议在用水总量控制前提下，制定企业水权定额分配机制，严格实行</w:t>
            </w:r>
            <w:r>
              <w:t>“</w:t>
            </w:r>
            <w:r>
              <w:t>以水定工业</w:t>
            </w:r>
            <w:r>
              <w:t>”</w:t>
            </w:r>
            <w:r>
              <w:t>，限制园区高耗水工业发展，同时严格限制使用地下水作为工业水源。通过调整能源消费结构、加强资源循环利用，统筹协调推进经济和社会发展各领域，深入开展应对气候变化工作，严格控制温室气体排放。促进经济绿色低碳可持续发展、引导产业向绿色低碳方向转型，推动减污降碳协同管控。同时综合考虑园区所处区域大气污染物排放总量、企业现状情况及环境管理要求，加强环境影响评价事中事后监管，进一步督促园区企业认真执行环境影响评价制度、排污许可制度、环保验收</w:t>
            </w:r>
            <w:r>
              <w:t>“</w:t>
            </w:r>
            <w:r>
              <w:t>三同时</w:t>
            </w:r>
            <w:r>
              <w:t>”</w:t>
            </w:r>
            <w:r>
              <w:t>制度，及时发现、查处</w:t>
            </w:r>
            <w:r>
              <w:t>“</w:t>
            </w:r>
            <w:r>
              <w:t>未批先建</w:t>
            </w:r>
            <w:r>
              <w:t>”“</w:t>
            </w:r>
            <w:r>
              <w:t>未验先投</w:t>
            </w:r>
            <w:r>
              <w:t>”</w:t>
            </w:r>
            <w:r>
              <w:t>等环境违法违规行为。针对园区存在的基础设施建设滞后、未开展环境空气质量跟踪监测以及地下水质量跟踪监测、生态绿化亟待提升、未定期开展环境质量监测，长期未开展突发环境事件演练、环境管理工作开展程度不高等方面存在的的问题等，细化整改方案和计划，进一步提出优化调整建议，并有序推进，强化园区环境综合治理，妥善解决现有环境问题。</w:t>
            </w:r>
          </w:p>
        </w:tc>
        <w:tc>
          <w:tcPr>
            <w:tcW w:w="1722" w:type="pct"/>
            <w:vAlign w:val="center"/>
          </w:tcPr>
          <w:p w14:paraId="7CD95098" w14:textId="77777777" w:rsidR="002E474C" w:rsidRDefault="00000000">
            <w:pPr>
              <w:pStyle w:val="A-"/>
              <w:jc w:val="both"/>
              <w:rPr>
                <w:spacing w:val="-6"/>
              </w:rPr>
            </w:pPr>
            <w:r>
              <w:rPr>
                <w:spacing w:val="-6"/>
              </w:rPr>
              <w:t>（</w:t>
            </w:r>
            <w:r>
              <w:rPr>
                <w:spacing w:val="-6"/>
              </w:rPr>
              <w:t>1</w:t>
            </w:r>
            <w:r>
              <w:rPr>
                <w:spacing w:val="-6"/>
              </w:rPr>
              <w:t>）圣雄水泥公司位于圣雄同心工业园氯碱配套产业区，用地为三类工业用地。本项目利用圣雄水泥公司新型干法水泥窑协同处置</w:t>
            </w:r>
            <w:r>
              <w:rPr>
                <w:spacing w:val="-6"/>
              </w:rPr>
              <w:t>5</w:t>
            </w:r>
            <w:r>
              <w:rPr>
                <w:spacing w:val="-6"/>
              </w:rPr>
              <w:t>万</w:t>
            </w:r>
            <w:r>
              <w:rPr>
                <w:spacing w:val="-6"/>
              </w:rPr>
              <w:t>t/a</w:t>
            </w:r>
            <w:r>
              <w:rPr>
                <w:spacing w:val="-6"/>
              </w:rPr>
              <w:t>危险废物，有利于推动园区基础设施建设，符合园区总体规划的产业分区规划、用地规划及环境保护规划。</w:t>
            </w:r>
          </w:p>
          <w:p w14:paraId="37F5C0A5" w14:textId="77777777" w:rsidR="002E474C" w:rsidRDefault="00000000">
            <w:pPr>
              <w:pStyle w:val="A-"/>
              <w:jc w:val="both"/>
            </w:pPr>
            <w:r>
              <w:t>（</w:t>
            </w:r>
            <w:r>
              <w:t>2</w:t>
            </w:r>
            <w:r>
              <w:t>）本项目用水由圣雄水泥公司现有供水系统供给，由阿拉沟水库供水，不使用地下水。</w:t>
            </w:r>
          </w:p>
          <w:p w14:paraId="69EC434B" w14:textId="77777777" w:rsidR="002E474C" w:rsidRDefault="00000000">
            <w:pPr>
              <w:pStyle w:val="A-"/>
              <w:jc w:val="both"/>
            </w:pPr>
            <w:r>
              <w:t>（</w:t>
            </w:r>
            <w:r>
              <w:t>3</w:t>
            </w:r>
            <w:r>
              <w:t>）本项目为《产业结构调整指导目录（</w:t>
            </w:r>
            <w:r>
              <w:t>2024</w:t>
            </w:r>
            <w:r>
              <w:t>年本）》鼓励类项目，有利于区域减污降碳协同管控。</w:t>
            </w:r>
          </w:p>
          <w:p w14:paraId="27DE8DC8" w14:textId="77777777" w:rsidR="002E474C" w:rsidRDefault="00000000">
            <w:pPr>
              <w:pStyle w:val="A-"/>
              <w:jc w:val="both"/>
            </w:pPr>
            <w:r>
              <w:t>（</w:t>
            </w:r>
            <w:r>
              <w:t>4</w:t>
            </w:r>
            <w:r>
              <w:t>）建设单位认真执行环境影响评价制度、排污许可制度、环保验收</w:t>
            </w:r>
            <w:r>
              <w:t>“</w:t>
            </w:r>
            <w:r>
              <w:t>三同时</w:t>
            </w:r>
            <w:r>
              <w:t>”</w:t>
            </w:r>
            <w:r>
              <w:t>制度。</w:t>
            </w:r>
          </w:p>
          <w:p w14:paraId="1FF1FCF6" w14:textId="77777777" w:rsidR="002E474C" w:rsidRDefault="00000000">
            <w:pPr>
              <w:pStyle w:val="A-"/>
              <w:jc w:val="both"/>
            </w:pPr>
            <w:r>
              <w:t>（</w:t>
            </w:r>
            <w:r>
              <w:t>5</w:t>
            </w:r>
            <w:r>
              <w:t>）项目建成后，严格落实环境质量监测与大气污染物排放总量控制，定期开展突发环境事件演练，强化环境管理工作，有利于加强园区环境综合治理工作。</w:t>
            </w:r>
          </w:p>
        </w:tc>
        <w:tc>
          <w:tcPr>
            <w:tcW w:w="279" w:type="pct"/>
            <w:vAlign w:val="center"/>
          </w:tcPr>
          <w:p w14:paraId="218231E6" w14:textId="77777777" w:rsidR="002E474C" w:rsidRDefault="00000000">
            <w:pPr>
              <w:pStyle w:val="A-"/>
            </w:pPr>
            <w:r>
              <w:t>符合</w:t>
            </w:r>
          </w:p>
        </w:tc>
      </w:tr>
      <w:tr w:rsidR="002E474C" w14:paraId="5B11998D" w14:textId="77777777">
        <w:trPr>
          <w:trHeight w:val="397"/>
        </w:trPr>
        <w:tc>
          <w:tcPr>
            <w:tcW w:w="2999" w:type="pct"/>
            <w:vAlign w:val="center"/>
          </w:tcPr>
          <w:p w14:paraId="7CBAE5BE" w14:textId="77777777" w:rsidR="002E474C" w:rsidRDefault="00000000">
            <w:pPr>
              <w:pStyle w:val="A-"/>
              <w:jc w:val="both"/>
            </w:pPr>
            <w:r>
              <w:t>（二）加强空间管控，严守生态保护红线。衔接吐鲁番市及托克逊县国土空间规划及</w:t>
            </w:r>
            <w:r>
              <w:t>“</w:t>
            </w:r>
            <w:r>
              <w:t>三线一单</w:t>
            </w:r>
            <w:r>
              <w:t>”</w:t>
            </w:r>
            <w:r>
              <w:t>最新成果，进一步优化园区空间布局及用地布局，明确各功能区用地要求，合理开发利用避免出现用地类型不符合规划的情况发生；进一步梳理园区现状存在的与《规划》产业布局不符的企业，提出优化调整建议并制定整改方案加以落实，严禁新增与本次规划产业布局不相符的产业类型。《规划》实施后，园区内化工企业布局较多，须衔接自治区化工园区建设和认定相关工作要求，对化工企业实施清单式管理，制定产业发展负面清单，针对化工企业空间布局，入园企业应符合规划的产业定位及功能布局要求，并严格落实化工区安全控制线距离，完善环境基础设施建设，加强环境风险防控。同时完善生态环境各要素保障，重点关注区域大气环境、地下水环境土壤环境质量，细化园区所在生态环境管控单元的管控要求，切实保障规划实施不突破区域生态保护红线、环境质量底线和资源利用上线。</w:t>
            </w:r>
          </w:p>
        </w:tc>
        <w:tc>
          <w:tcPr>
            <w:tcW w:w="1722" w:type="pct"/>
            <w:vAlign w:val="center"/>
          </w:tcPr>
          <w:p w14:paraId="290C94CC" w14:textId="77777777" w:rsidR="002E474C" w:rsidRDefault="00000000">
            <w:pPr>
              <w:pStyle w:val="A-"/>
              <w:jc w:val="both"/>
            </w:pPr>
            <w:r>
              <w:t>本项目位于圣雄同心工业园，不在新疆及吐鲁番市生态保护红线范围内，也不在一般生态空间范围内，属于重点管控单元，符合自治区及吐鲁番市生态环境分区管控要求。</w:t>
            </w:r>
          </w:p>
        </w:tc>
        <w:tc>
          <w:tcPr>
            <w:tcW w:w="279" w:type="pct"/>
            <w:vAlign w:val="center"/>
          </w:tcPr>
          <w:p w14:paraId="62B529CD" w14:textId="77777777" w:rsidR="002E474C" w:rsidRDefault="00000000">
            <w:pPr>
              <w:pStyle w:val="A-"/>
            </w:pPr>
            <w:r>
              <w:t>符合</w:t>
            </w:r>
          </w:p>
        </w:tc>
      </w:tr>
      <w:tr w:rsidR="002E474C" w14:paraId="27139A50" w14:textId="77777777">
        <w:trPr>
          <w:trHeight w:val="397"/>
        </w:trPr>
        <w:tc>
          <w:tcPr>
            <w:tcW w:w="2999" w:type="pct"/>
            <w:vAlign w:val="center"/>
          </w:tcPr>
          <w:p w14:paraId="4D3CAEA2" w14:textId="77777777" w:rsidR="002E474C" w:rsidRDefault="00000000">
            <w:pPr>
              <w:pStyle w:val="A-"/>
              <w:jc w:val="both"/>
            </w:pPr>
            <w:r>
              <w:lastRenderedPageBreak/>
              <w:t>（三）坚守环境质量底线，严格污染物总量管控。依据规划区域及周边环境质量改善目标，落实重点行业污染防治措施，纳入日常环境管理工作，并建立考核机制。督促企业积极开展清洁生产审核和验收工作，适时开展园区温室气体排放清单摸排，结合区域碳减排和碳中和实施方案，持续推进企业节能降碳改造；科学核定区域污染物排放总量，制定园区碳减排规划，提出污染物协同脱除、减污降碳协同控制要求且各类污染物排放须满足国家及自治区最新污染物排放管控要求。</w:t>
            </w:r>
          </w:p>
        </w:tc>
        <w:tc>
          <w:tcPr>
            <w:tcW w:w="1722" w:type="pct"/>
            <w:vAlign w:val="center"/>
          </w:tcPr>
          <w:p w14:paraId="2C0452B9" w14:textId="77777777" w:rsidR="002E474C" w:rsidRDefault="00000000">
            <w:pPr>
              <w:pStyle w:val="A-"/>
              <w:jc w:val="both"/>
            </w:pPr>
            <w:r>
              <w:t>（</w:t>
            </w:r>
            <w:r>
              <w:t>1</w:t>
            </w:r>
            <w:r>
              <w:t>）本项目投运后应持续提高清洁生产水平。</w:t>
            </w:r>
          </w:p>
          <w:p w14:paraId="3CE63CD4" w14:textId="77777777" w:rsidR="002E474C" w:rsidRDefault="00000000">
            <w:pPr>
              <w:pStyle w:val="A-"/>
              <w:jc w:val="both"/>
            </w:pPr>
            <w:r>
              <w:t>（</w:t>
            </w:r>
            <w:r>
              <w:t>2</w:t>
            </w:r>
            <w:r>
              <w:t>）本项目将温室气体排放纳入建设项目环境影响评价，已核算建设项目温室气体排放量，并采取相应协同降碳措施。</w:t>
            </w:r>
          </w:p>
        </w:tc>
        <w:tc>
          <w:tcPr>
            <w:tcW w:w="279" w:type="pct"/>
            <w:vAlign w:val="center"/>
          </w:tcPr>
          <w:p w14:paraId="67B85EA4" w14:textId="77777777" w:rsidR="002E474C" w:rsidRDefault="00000000">
            <w:pPr>
              <w:pStyle w:val="A-"/>
            </w:pPr>
            <w:r>
              <w:t>符合</w:t>
            </w:r>
          </w:p>
        </w:tc>
      </w:tr>
      <w:tr w:rsidR="002E474C" w14:paraId="4D380E75" w14:textId="77777777">
        <w:trPr>
          <w:trHeight w:val="397"/>
        </w:trPr>
        <w:tc>
          <w:tcPr>
            <w:tcW w:w="2999" w:type="pct"/>
            <w:vAlign w:val="center"/>
          </w:tcPr>
          <w:p w14:paraId="3613B5A5" w14:textId="77777777" w:rsidR="002E474C" w:rsidRDefault="00000000">
            <w:pPr>
              <w:pStyle w:val="A-"/>
              <w:jc w:val="both"/>
            </w:pPr>
            <w:r>
              <w:t>（四）严格入园产业项目准入。坚持</w:t>
            </w:r>
            <w:r>
              <w:t>“</w:t>
            </w:r>
            <w:r>
              <w:t>以水定产、以水定量</w:t>
            </w:r>
            <w:r>
              <w:t>”</w:t>
            </w:r>
            <w:r>
              <w:t>按照规划产业布局入驻企业，结合区域发展定位、开发布局、生态环境保护目标，实行入园企业环保准入审核制度，不符合产业政策、行业准入条件、生态环境准入清单及国家、自治区明令禁止的项目一律不得入驻园区。引进项目的生产工艺、设备、污染治理技术，以及单位产品能耗、物耗、污染物排放和资源利用率均需达到同行业国内先进水平，积极推进产业技术进步和园区循环化建设。进一步论证《规划》实施项目相关基础设施及环境保护设施的可达性。园区水资源利用不得突破批准的水资源利用上线指标，土地资源利用不得突破国土空间规划确定的城镇开发边界。</w:t>
            </w:r>
          </w:p>
        </w:tc>
        <w:tc>
          <w:tcPr>
            <w:tcW w:w="1722" w:type="pct"/>
            <w:vAlign w:val="center"/>
          </w:tcPr>
          <w:p w14:paraId="2D2C58D4" w14:textId="77777777" w:rsidR="002E474C" w:rsidRDefault="00000000">
            <w:pPr>
              <w:pStyle w:val="A-"/>
              <w:jc w:val="both"/>
            </w:pPr>
            <w:r>
              <w:t>（</w:t>
            </w:r>
            <w:r>
              <w:t>1</w:t>
            </w:r>
            <w:r>
              <w:t>）本项目位于圣雄同心工业园，为《产业结构调整指导目录（</w:t>
            </w:r>
            <w:r>
              <w:t>2024</w:t>
            </w:r>
            <w:r>
              <w:t>年本）》鼓励类项目，符合自治区及吐鲁番市生态环境分区管控要求。</w:t>
            </w:r>
          </w:p>
          <w:p w14:paraId="19588759" w14:textId="77777777" w:rsidR="002E474C" w:rsidRDefault="00000000">
            <w:pPr>
              <w:pStyle w:val="A-"/>
              <w:jc w:val="both"/>
            </w:pPr>
            <w:r>
              <w:t>（</w:t>
            </w:r>
            <w:r>
              <w:t>2</w:t>
            </w:r>
            <w:r>
              <w:t>）本项目采用可靠的协同处置生产工艺与设备，污染治理技术为行业推荐技术与工艺，各类污染物排放须满足国家及自治区最严格污染物排放管控要求，清洁生产达到国内同类生产项目先进水水平。</w:t>
            </w:r>
          </w:p>
        </w:tc>
        <w:tc>
          <w:tcPr>
            <w:tcW w:w="279" w:type="pct"/>
            <w:vAlign w:val="center"/>
          </w:tcPr>
          <w:p w14:paraId="744D1BFF" w14:textId="77777777" w:rsidR="002E474C" w:rsidRDefault="00000000">
            <w:pPr>
              <w:pStyle w:val="A-"/>
            </w:pPr>
            <w:r>
              <w:t>符合</w:t>
            </w:r>
          </w:p>
        </w:tc>
      </w:tr>
      <w:tr w:rsidR="002E474C" w14:paraId="7D66B1AD" w14:textId="77777777">
        <w:trPr>
          <w:trHeight w:val="397"/>
        </w:trPr>
        <w:tc>
          <w:tcPr>
            <w:tcW w:w="2999" w:type="pct"/>
            <w:vAlign w:val="center"/>
          </w:tcPr>
          <w:p w14:paraId="7A8F6C0D" w14:textId="77777777" w:rsidR="002E474C" w:rsidRDefault="00000000">
            <w:pPr>
              <w:pStyle w:val="A-"/>
              <w:jc w:val="both"/>
            </w:pPr>
            <w:r>
              <w:t>（五）加快完善园区环境基础设施建设，推进区域环境质量持续改善和提升。按照</w:t>
            </w:r>
            <w:r>
              <w:t>“</w:t>
            </w:r>
            <w:r>
              <w:t>清污分流</w:t>
            </w:r>
            <w:r>
              <w:t>”</w:t>
            </w:r>
            <w:r>
              <w:t>、</w:t>
            </w:r>
            <w:r>
              <w:t>“</w:t>
            </w:r>
            <w:r>
              <w:t>污污分治</w:t>
            </w:r>
            <w:r>
              <w:t>”</w:t>
            </w:r>
            <w:r>
              <w:t>原则规划、设计和建设园区内排水系统、再生水系统，逐步建成完整的污水处理和中水回用体系，提高再生水</w:t>
            </w:r>
            <w:r>
              <w:t>(</w:t>
            </w:r>
            <w:r>
              <w:t>中水</w:t>
            </w:r>
            <w:r>
              <w:t>)</w:t>
            </w:r>
            <w:r>
              <w:t>回用率。根据园区发展实际，制定切实可行的一般固体废物综合利用方案，严格按照国家有关规定，依法、合规处理处置危险废物。充分考虑资源能源综合利用、循环经济产业发展要求，进一步优化中水回用、固体废物资源化利用和处理处置配套设施规划。</w:t>
            </w:r>
          </w:p>
        </w:tc>
        <w:tc>
          <w:tcPr>
            <w:tcW w:w="1722" w:type="pct"/>
            <w:vAlign w:val="center"/>
          </w:tcPr>
          <w:p w14:paraId="6B312ED9" w14:textId="77777777" w:rsidR="002E474C" w:rsidRDefault="00000000">
            <w:pPr>
              <w:pStyle w:val="A-"/>
              <w:jc w:val="both"/>
            </w:pPr>
            <w:r>
              <w:t>（</w:t>
            </w:r>
            <w:r>
              <w:t>1</w:t>
            </w:r>
            <w:r>
              <w:t>）本项目满足清污分流、污污分流、深度处理、分质回用原则，项目产生的生产废水全部送回转窑焚烧处理，生活污水排入厂内综合污水处理站处理后回用。</w:t>
            </w:r>
          </w:p>
          <w:p w14:paraId="58DF2C0C" w14:textId="77777777" w:rsidR="002E474C" w:rsidRDefault="00000000">
            <w:pPr>
              <w:pStyle w:val="A-"/>
              <w:jc w:val="both"/>
            </w:pPr>
            <w:r>
              <w:t>（</w:t>
            </w:r>
            <w:r>
              <w:t>2</w:t>
            </w:r>
            <w:r>
              <w:t>）本项目属于危险废物集中处置设施，有利于园区循环经济建设。</w:t>
            </w:r>
          </w:p>
        </w:tc>
        <w:tc>
          <w:tcPr>
            <w:tcW w:w="279" w:type="pct"/>
            <w:vAlign w:val="center"/>
          </w:tcPr>
          <w:p w14:paraId="04A9B3E3" w14:textId="77777777" w:rsidR="002E474C" w:rsidRDefault="00000000">
            <w:pPr>
              <w:pStyle w:val="A-"/>
            </w:pPr>
            <w:r>
              <w:t>符合</w:t>
            </w:r>
          </w:p>
        </w:tc>
      </w:tr>
      <w:tr w:rsidR="002E474C" w14:paraId="1FBAAA08" w14:textId="77777777">
        <w:trPr>
          <w:trHeight w:val="397"/>
        </w:trPr>
        <w:tc>
          <w:tcPr>
            <w:tcW w:w="2999" w:type="pct"/>
            <w:vAlign w:val="center"/>
          </w:tcPr>
          <w:p w14:paraId="67BB2C1C" w14:textId="77777777" w:rsidR="002E474C" w:rsidRDefault="00000000">
            <w:pPr>
              <w:pStyle w:val="A-"/>
              <w:jc w:val="both"/>
            </w:pPr>
            <w:r>
              <w:t>（六）加强园区环境风险管理，强化突发环境事件应急响应联动机制，保障生态环境安全。加快完善园区环境应急设施建设，足额配备应急物资，定期开展应急演练，不断完善突发环境事件应急预案，提高应急处置能力，防控园区规划实施可能引发的环境风险。</w:t>
            </w:r>
          </w:p>
        </w:tc>
        <w:tc>
          <w:tcPr>
            <w:tcW w:w="1722" w:type="pct"/>
            <w:vAlign w:val="center"/>
          </w:tcPr>
          <w:p w14:paraId="12982E87" w14:textId="77777777" w:rsidR="002E474C" w:rsidRDefault="00000000">
            <w:pPr>
              <w:pStyle w:val="A-"/>
              <w:jc w:val="both"/>
            </w:pPr>
            <w:r>
              <w:t>本项目建成后，应纳入圣雄水泥公司应急预案管理体系，由圣雄水泥公司统一管理，编制并备案突发环境事件应急预案，定期开展突发环境事件演练，与园区突发环境事件应急预案衔接，提高应急处置能力，防控环境风险。</w:t>
            </w:r>
          </w:p>
        </w:tc>
        <w:tc>
          <w:tcPr>
            <w:tcW w:w="279" w:type="pct"/>
            <w:vAlign w:val="center"/>
          </w:tcPr>
          <w:p w14:paraId="733DAA49" w14:textId="77777777" w:rsidR="002E474C" w:rsidRDefault="00000000">
            <w:pPr>
              <w:pStyle w:val="A-"/>
            </w:pPr>
            <w:r>
              <w:t>符合</w:t>
            </w:r>
          </w:p>
        </w:tc>
      </w:tr>
      <w:tr w:rsidR="002E474C" w14:paraId="33B36022" w14:textId="77777777">
        <w:trPr>
          <w:trHeight w:val="397"/>
        </w:trPr>
        <w:tc>
          <w:tcPr>
            <w:tcW w:w="2999" w:type="pct"/>
            <w:vAlign w:val="center"/>
          </w:tcPr>
          <w:p w14:paraId="5719C3F4" w14:textId="77777777" w:rsidR="002E474C" w:rsidRDefault="00000000">
            <w:pPr>
              <w:pStyle w:val="A-"/>
              <w:jc w:val="both"/>
            </w:pPr>
            <w:r>
              <w:t>（八）建立畅通的公众参与平台，及时解决公众提出的环境问题，满足公众合理的环保诉求：定期发布园区企业环境信息，并主动接受社会监督。</w:t>
            </w:r>
          </w:p>
        </w:tc>
        <w:tc>
          <w:tcPr>
            <w:tcW w:w="1722" w:type="pct"/>
            <w:vAlign w:val="center"/>
          </w:tcPr>
          <w:p w14:paraId="127F59AF" w14:textId="77777777" w:rsidR="002E474C" w:rsidRDefault="00000000">
            <w:pPr>
              <w:pStyle w:val="A-"/>
              <w:jc w:val="both"/>
            </w:pPr>
            <w:r>
              <w:t>本项目已开展公众参与调查与公示，公示期间均没有收到反对意见，项目的建设得到公众的理解与支持。</w:t>
            </w:r>
          </w:p>
        </w:tc>
        <w:tc>
          <w:tcPr>
            <w:tcW w:w="279" w:type="pct"/>
            <w:vAlign w:val="center"/>
          </w:tcPr>
          <w:p w14:paraId="3AA05395" w14:textId="77777777" w:rsidR="002E474C" w:rsidRDefault="00000000">
            <w:pPr>
              <w:pStyle w:val="A-"/>
            </w:pPr>
            <w:r>
              <w:t>符合</w:t>
            </w:r>
          </w:p>
        </w:tc>
      </w:tr>
    </w:tbl>
    <w:p w14:paraId="037BCC80" w14:textId="77777777" w:rsidR="002E474C" w:rsidRDefault="002E474C">
      <w:pPr>
        <w:pStyle w:val="w2"/>
        <w:ind w:firstLine="480"/>
        <w:sectPr w:rsidR="002E474C">
          <w:pgSz w:w="16838" w:h="11906" w:orient="landscape"/>
          <w:pgMar w:top="1440" w:right="1800" w:bottom="1440" w:left="1800" w:header="851" w:footer="850" w:gutter="0"/>
          <w:cols w:space="425"/>
          <w:docGrid w:type="lines" w:linePitch="326"/>
        </w:sectPr>
      </w:pPr>
    </w:p>
    <w:p w14:paraId="3F60FD4D" w14:textId="77777777" w:rsidR="002E474C" w:rsidRDefault="00000000">
      <w:pPr>
        <w:pStyle w:val="41"/>
        <w:spacing w:before="163" w:after="163"/>
        <w:rPr>
          <w:color w:val="auto"/>
        </w:rPr>
      </w:pPr>
      <w:bookmarkStart w:id="38" w:name="_Hlk181358636"/>
      <w:r>
        <w:rPr>
          <w:color w:val="auto"/>
        </w:rPr>
        <w:lastRenderedPageBreak/>
        <w:t>与《托克逊能源重化工工业园区化工产业集中区总体规划</w:t>
      </w:r>
      <w:bookmarkStart w:id="39" w:name="OLE_LINK51"/>
      <w:r>
        <w:rPr>
          <w:color w:val="auto"/>
        </w:rPr>
        <w:t>（</w:t>
      </w:r>
      <w:r>
        <w:rPr>
          <w:color w:val="auto"/>
        </w:rPr>
        <w:t>2023-2035</w:t>
      </w:r>
      <w:r>
        <w:rPr>
          <w:color w:val="auto"/>
        </w:rPr>
        <w:t>年）</w:t>
      </w:r>
      <w:bookmarkEnd w:id="39"/>
      <w:r>
        <w:rPr>
          <w:color w:val="auto"/>
        </w:rPr>
        <w:t>》及规划环评符合性分析</w:t>
      </w:r>
    </w:p>
    <w:p w14:paraId="06E252A9" w14:textId="77777777" w:rsidR="002E474C" w:rsidRDefault="00000000">
      <w:pPr>
        <w:pStyle w:val="A-z"/>
        <w:rPr>
          <w:color w:val="auto"/>
        </w:rPr>
      </w:pPr>
      <w:r>
        <w:rPr>
          <w:color w:val="auto"/>
        </w:rPr>
        <w:t>2022</w:t>
      </w:r>
      <w:r>
        <w:rPr>
          <w:color w:val="auto"/>
        </w:rPr>
        <w:t>年</w:t>
      </w:r>
      <w:r>
        <w:rPr>
          <w:color w:val="auto"/>
        </w:rPr>
        <w:t>5</w:t>
      </w:r>
      <w:r>
        <w:rPr>
          <w:color w:val="auto"/>
        </w:rPr>
        <w:t>月</w:t>
      </w:r>
      <w:r>
        <w:rPr>
          <w:color w:val="auto"/>
        </w:rPr>
        <w:t>10</w:t>
      </w:r>
      <w:r>
        <w:rPr>
          <w:color w:val="auto"/>
        </w:rPr>
        <w:t>日，新疆维吾尔自治区工业和信息化厅、新疆维吾尔自治区自然资源厅、新疆维吾尔自治区生态环境厅、新疆维吾尔自治区住房和城乡建设厅、新疆维吾尔自治区交通运输厅、新疆维吾尔自治区应急管理厅联合印发《新疆维吾尔自治区化工园区建设和认定管理实施细则</w:t>
      </w:r>
      <w:r>
        <w:rPr>
          <w:color w:val="auto"/>
        </w:rPr>
        <w:t>(</w:t>
      </w:r>
      <w:r>
        <w:rPr>
          <w:color w:val="auto"/>
        </w:rPr>
        <w:t>试行</w:t>
      </w:r>
      <w:r>
        <w:rPr>
          <w:color w:val="auto"/>
        </w:rPr>
        <w:t>)</w:t>
      </w:r>
      <w:r>
        <w:rPr>
          <w:color w:val="auto"/>
        </w:rPr>
        <w:t>》，根据实施细则要求，化工园区应具有规划环境影响评价报告及相关部门的审查意见，</w:t>
      </w:r>
      <w:r>
        <w:rPr>
          <w:color w:val="auto"/>
        </w:rPr>
        <w:t>“</w:t>
      </w:r>
      <w:r>
        <w:rPr>
          <w:color w:val="auto"/>
        </w:rPr>
        <w:t>园中园</w:t>
      </w:r>
      <w:r>
        <w:rPr>
          <w:color w:val="auto"/>
        </w:rPr>
        <w:t>”</w:t>
      </w:r>
      <w:r>
        <w:rPr>
          <w:color w:val="auto"/>
        </w:rPr>
        <w:t>或</w:t>
      </w:r>
      <w:r>
        <w:rPr>
          <w:color w:val="auto"/>
        </w:rPr>
        <w:t>“</w:t>
      </w:r>
      <w:r>
        <w:rPr>
          <w:color w:val="auto"/>
        </w:rPr>
        <w:t>区中园</w:t>
      </w:r>
      <w:r>
        <w:rPr>
          <w:color w:val="auto"/>
        </w:rPr>
        <w:t>”</w:t>
      </w:r>
      <w:r>
        <w:rPr>
          <w:color w:val="auto"/>
        </w:rPr>
        <w:t>需拟认定化工园区部分环境影响评价报告及审查意见。托克逊能源重化工工业园区化工产业集中区本次化工产业集中区认定范围为区中园，需要编制化工园区环境影响评价报告。因此，托克逊能源重化工工业园区管理委员会委托开展托克逊能源重化工工业园区化工产业集中区总体规划环境影响评价工作。</w:t>
      </w:r>
    </w:p>
    <w:p w14:paraId="3389CF26" w14:textId="77777777" w:rsidR="002E474C" w:rsidRDefault="00000000">
      <w:pPr>
        <w:pStyle w:val="A-z"/>
        <w:rPr>
          <w:color w:val="auto"/>
        </w:rPr>
      </w:pPr>
      <w:r>
        <w:rPr>
          <w:color w:val="auto"/>
        </w:rPr>
        <w:t>（</w:t>
      </w:r>
      <w:r>
        <w:rPr>
          <w:color w:val="auto"/>
        </w:rPr>
        <w:t>1</w:t>
      </w:r>
      <w:r>
        <w:rPr>
          <w:color w:val="auto"/>
        </w:rPr>
        <w:t>）《托克逊能源重化工工业园区化工产业集中区总体规划（</w:t>
      </w:r>
      <w:r>
        <w:rPr>
          <w:color w:val="auto"/>
        </w:rPr>
        <w:t>2023-2035</w:t>
      </w:r>
      <w:r>
        <w:rPr>
          <w:color w:val="auto"/>
        </w:rPr>
        <w:t>年）》及其批复</w:t>
      </w:r>
    </w:p>
    <w:p w14:paraId="48DCAFA8" w14:textId="77777777" w:rsidR="002E474C" w:rsidRDefault="00000000">
      <w:pPr>
        <w:pStyle w:val="A-z"/>
        <w:rPr>
          <w:color w:val="auto"/>
        </w:rPr>
      </w:pPr>
      <w:r>
        <w:rPr>
          <w:color w:val="auto"/>
        </w:rPr>
        <w:t>2023</w:t>
      </w:r>
      <w:r>
        <w:rPr>
          <w:color w:val="auto"/>
        </w:rPr>
        <w:t>年</w:t>
      </w:r>
      <w:r>
        <w:rPr>
          <w:color w:val="auto"/>
        </w:rPr>
        <w:t>9</w:t>
      </w:r>
      <w:r>
        <w:rPr>
          <w:color w:val="auto"/>
        </w:rPr>
        <w:t>月</w:t>
      </w:r>
      <w:r>
        <w:rPr>
          <w:color w:val="auto"/>
        </w:rPr>
        <w:t>13</w:t>
      </w:r>
      <w:r>
        <w:rPr>
          <w:color w:val="auto"/>
        </w:rPr>
        <w:t>日，托克逊县人民政府以托政发〔</w:t>
      </w:r>
      <w:r>
        <w:rPr>
          <w:color w:val="auto"/>
        </w:rPr>
        <w:t>2023</w:t>
      </w:r>
      <w:r>
        <w:rPr>
          <w:color w:val="auto"/>
        </w:rPr>
        <w:t>〕</w:t>
      </w:r>
      <w:r>
        <w:rPr>
          <w:color w:val="auto"/>
        </w:rPr>
        <w:t>91</w:t>
      </w:r>
      <w:r>
        <w:rPr>
          <w:color w:val="auto"/>
        </w:rPr>
        <w:t>号文件，出具了关于设立托克逊能源重化工工业园区化工产业集中区的批复，同意设立托克逊能源重化工工业园区化工产业集中区。本次化工产业集中区主要分为核心区化工产业集中区、伊拉湖化工产业集中区、圣雄园区化工产业集中区，规划总面积</w:t>
      </w:r>
      <w:r>
        <w:rPr>
          <w:color w:val="auto"/>
        </w:rPr>
        <w:t>15.89</w:t>
      </w:r>
      <w:r>
        <w:rPr>
          <w:color w:val="auto"/>
        </w:rPr>
        <w:t>平方千米。</w:t>
      </w:r>
      <w:r>
        <w:rPr>
          <w:color w:val="auto"/>
        </w:rPr>
        <w:t>2024</w:t>
      </w:r>
      <w:r>
        <w:rPr>
          <w:color w:val="auto"/>
        </w:rPr>
        <w:t>年</w:t>
      </w:r>
      <w:r>
        <w:rPr>
          <w:color w:val="auto"/>
        </w:rPr>
        <w:t>4</w:t>
      </w:r>
      <w:r>
        <w:rPr>
          <w:color w:val="auto"/>
        </w:rPr>
        <w:t>月</w:t>
      </w:r>
      <w:r>
        <w:rPr>
          <w:color w:val="auto"/>
        </w:rPr>
        <w:t>15</w:t>
      </w:r>
      <w:r>
        <w:rPr>
          <w:color w:val="auto"/>
        </w:rPr>
        <w:t>日，托克逊县人民政府以托政发〔</w:t>
      </w:r>
      <w:r>
        <w:rPr>
          <w:color w:val="auto"/>
        </w:rPr>
        <w:t>2024</w:t>
      </w:r>
      <w:r>
        <w:rPr>
          <w:color w:val="auto"/>
        </w:rPr>
        <w:t>〕</w:t>
      </w:r>
      <w:r>
        <w:rPr>
          <w:color w:val="auto"/>
        </w:rPr>
        <w:t>47</w:t>
      </w:r>
      <w:r>
        <w:rPr>
          <w:color w:val="auto"/>
        </w:rPr>
        <w:t>号文批复实施《托克逊能源重化工工业园区化工产业集中区总体规划（</w:t>
      </w:r>
      <w:r>
        <w:rPr>
          <w:color w:val="auto"/>
        </w:rPr>
        <w:t>2023-2035</w:t>
      </w:r>
      <w:r>
        <w:rPr>
          <w:color w:val="auto"/>
        </w:rPr>
        <w:t>年）》。</w:t>
      </w:r>
    </w:p>
    <w:p w14:paraId="554BAB7A" w14:textId="77777777" w:rsidR="002E474C" w:rsidRDefault="00000000">
      <w:pPr>
        <w:pStyle w:val="A-z"/>
        <w:rPr>
          <w:color w:val="auto"/>
        </w:rPr>
      </w:pPr>
      <w:r>
        <w:rPr>
          <w:color w:val="auto"/>
        </w:rPr>
        <w:t>《托克逊能源重化工工业园区化工产业集中区总体规划（</w:t>
      </w:r>
      <w:r>
        <w:rPr>
          <w:color w:val="auto"/>
        </w:rPr>
        <w:t>2023-2035</w:t>
      </w:r>
      <w:r>
        <w:rPr>
          <w:color w:val="auto"/>
        </w:rPr>
        <w:t>年）》对圣雄园区化工产业集中区的功能定位为：依托已形成电石、</w:t>
      </w:r>
      <w:r>
        <w:rPr>
          <w:color w:val="auto"/>
        </w:rPr>
        <w:t>PVC</w:t>
      </w:r>
      <w:r>
        <w:rPr>
          <w:color w:val="auto"/>
        </w:rPr>
        <w:t>、水泥、火力发电等产业基础，加快产业转型升级，重点发展甲醇、烯烃、醋酸等煤基新材料循环经济项目，进一步促进该片区经济发展。</w:t>
      </w:r>
    </w:p>
    <w:bookmarkEnd w:id="38"/>
    <w:p w14:paraId="2DBCD269" w14:textId="77777777" w:rsidR="002E474C" w:rsidRDefault="00000000">
      <w:pPr>
        <w:pStyle w:val="A-z"/>
        <w:rPr>
          <w:color w:val="auto"/>
        </w:rPr>
      </w:pPr>
      <w:r>
        <w:rPr>
          <w:color w:val="auto"/>
        </w:rPr>
        <w:t>本项目位于圣雄园区化工产业集中区，圣雄水泥公司以新疆圣雄氯碱有限公司产出的电石渣为原料生产水泥产品，属于氯碱配套产业，位于氯碱配套产业区，用地为规划的三类工业用地。本项目利用圣雄园区化工产业集中区现有企业圣雄水泥公司新型干法水泥窑协同处置</w:t>
      </w:r>
      <w:r>
        <w:rPr>
          <w:color w:val="auto"/>
        </w:rPr>
        <w:t>5</w:t>
      </w:r>
      <w:r>
        <w:rPr>
          <w:color w:val="auto"/>
        </w:rPr>
        <w:t>万</w:t>
      </w:r>
      <w:r>
        <w:rPr>
          <w:color w:val="auto"/>
        </w:rPr>
        <w:t>t/a</w:t>
      </w:r>
      <w:r>
        <w:rPr>
          <w:color w:val="auto"/>
        </w:rPr>
        <w:t>危险废物，属于危险废物集中处置设施，有利于区内危险废物</w:t>
      </w:r>
      <w:r>
        <w:rPr>
          <w:color w:val="auto"/>
        </w:rPr>
        <w:lastRenderedPageBreak/>
        <w:t>安全处置及循环经济建设，符合园区总体规划的产业分区规划及土地利用规划。</w:t>
      </w:r>
    </w:p>
    <w:p w14:paraId="3FE0D8A4" w14:textId="77777777" w:rsidR="002E474C" w:rsidRDefault="00000000">
      <w:pPr>
        <w:pStyle w:val="A-z"/>
        <w:rPr>
          <w:color w:val="auto"/>
        </w:rPr>
      </w:pPr>
      <w:r>
        <w:rPr>
          <w:color w:val="auto"/>
        </w:rPr>
        <w:t>本项目符合《托克逊能源重化工工业园区化工产业集中区总体规划（</w:t>
      </w:r>
      <w:r>
        <w:rPr>
          <w:color w:val="auto"/>
        </w:rPr>
        <w:t>2023-2035</w:t>
      </w:r>
      <w:r>
        <w:rPr>
          <w:color w:val="auto"/>
        </w:rPr>
        <w:t>年）》土地利用与产业布局。</w:t>
      </w:r>
    </w:p>
    <w:p w14:paraId="2FE3E4E5" w14:textId="77777777" w:rsidR="002E474C" w:rsidRDefault="00000000">
      <w:pPr>
        <w:pStyle w:val="A-z"/>
        <w:rPr>
          <w:color w:val="auto"/>
        </w:rPr>
      </w:pPr>
      <w:r>
        <w:rPr>
          <w:color w:val="auto"/>
        </w:rPr>
        <w:t>（</w:t>
      </w:r>
      <w:r>
        <w:rPr>
          <w:color w:val="auto"/>
        </w:rPr>
        <w:t>2</w:t>
      </w:r>
      <w:r>
        <w:rPr>
          <w:color w:val="auto"/>
        </w:rPr>
        <w:t>）《托克逊能源重化工工业园区化工产业集中区总体规划（</w:t>
      </w:r>
      <w:r>
        <w:rPr>
          <w:color w:val="auto"/>
        </w:rPr>
        <w:t>2023-2035</w:t>
      </w:r>
      <w:r>
        <w:rPr>
          <w:color w:val="auto"/>
        </w:rPr>
        <w:t>年）环境影响报告书》及审查意见</w:t>
      </w:r>
    </w:p>
    <w:p w14:paraId="54D0EC73" w14:textId="77777777" w:rsidR="002E474C" w:rsidRDefault="00000000">
      <w:pPr>
        <w:pStyle w:val="A-z"/>
        <w:rPr>
          <w:color w:val="auto"/>
        </w:rPr>
      </w:pPr>
      <w:r>
        <w:rPr>
          <w:color w:val="auto"/>
        </w:rPr>
        <w:t>2024</w:t>
      </w:r>
      <w:r>
        <w:rPr>
          <w:color w:val="auto"/>
        </w:rPr>
        <w:t>年</w:t>
      </w:r>
      <w:r>
        <w:rPr>
          <w:color w:val="auto"/>
        </w:rPr>
        <w:t>4</w:t>
      </w:r>
      <w:r>
        <w:rPr>
          <w:color w:val="auto"/>
        </w:rPr>
        <w:t>月</w:t>
      </w:r>
      <w:r>
        <w:rPr>
          <w:color w:val="auto"/>
        </w:rPr>
        <w:t>11</w:t>
      </w:r>
      <w:r>
        <w:rPr>
          <w:color w:val="auto"/>
        </w:rPr>
        <w:t>日，自治区生态环境厅以新环审〔</w:t>
      </w:r>
      <w:r>
        <w:rPr>
          <w:color w:val="auto"/>
        </w:rPr>
        <w:t>2024</w:t>
      </w:r>
      <w:r>
        <w:rPr>
          <w:color w:val="auto"/>
        </w:rPr>
        <w:t>〕</w:t>
      </w:r>
      <w:r>
        <w:rPr>
          <w:color w:val="auto"/>
        </w:rPr>
        <w:t>79</w:t>
      </w:r>
      <w:r>
        <w:rPr>
          <w:color w:val="auto"/>
        </w:rPr>
        <w:t>号文审查通过《托克逊能源重化工工业园区化工产业集中区总体规划（</w:t>
      </w:r>
      <w:r>
        <w:rPr>
          <w:color w:val="auto"/>
        </w:rPr>
        <w:t>2023-2035</w:t>
      </w:r>
      <w:r>
        <w:rPr>
          <w:color w:val="auto"/>
        </w:rPr>
        <w:t>年）环境影响报告书》。</w:t>
      </w:r>
    </w:p>
    <w:p w14:paraId="6E0BC7A6" w14:textId="77777777" w:rsidR="002E474C" w:rsidRDefault="00000000">
      <w:pPr>
        <w:pStyle w:val="A-z"/>
        <w:rPr>
          <w:color w:val="auto"/>
        </w:rPr>
      </w:pPr>
      <w:r>
        <w:rPr>
          <w:color w:val="auto"/>
        </w:rPr>
        <w:t>根据《托克逊能源重化工工业园区化工产业集中区总体规划（</w:t>
      </w:r>
      <w:r>
        <w:rPr>
          <w:color w:val="auto"/>
        </w:rPr>
        <w:t>2023-2035</w:t>
      </w:r>
      <w:r>
        <w:rPr>
          <w:color w:val="auto"/>
        </w:rPr>
        <w:t>年）环境影响报告书》及其审查意见，本项目位于圣雄园区化工产业集中区，项目所在位置为园区规划的氯碱配套产业区，项目用地为规划的三类工业用地。</w:t>
      </w:r>
    </w:p>
    <w:p w14:paraId="54F71D45" w14:textId="77777777" w:rsidR="002E474C" w:rsidRDefault="00000000">
      <w:pPr>
        <w:pStyle w:val="A-z"/>
        <w:rPr>
          <w:color w:val="auto"/>
        </w:rPr>
      </w:pPr>
      <w:r>
        <w:rPr>
          <w:color w:val="auto"/>
        </w:rPr>
        <w:t>本项目与审查意见的重点工作进行对照，见表</w:t>
      </w:r>
      <w:r>
        <w:rPr>
          <w:color w:val="auto"/>
        </w:rPr>
        <w:t>1.4-14</w:t>
      </w:r>
      <w:r>
        <w:rPr>
          <w:color w:val="auto"/>
        </w:rPr>
        <w:t>。</w:t>
      </w:r>
    </w:p>
    <w:p w14:paraId="272AC48C" w14:textId="77777777" w:rsidR="002E474C" w:rsidRDefault="00000000">
      <w:pPr>
        <w:pStyle w:val="A-z"/>
        <w:ind w:firstLine="456"/>
        <w:rPr>
          <w:color w:val="auto"/>
          <w:spacing w:val="-6"/>
        </w:rPr>
      </w:pPr>
      <w:r>
        <w:rPr>
          <w:color w:val="auto"/>
          <w:spacing w:val="-6"/>
        </w:rPr>
        <w:t>圣雄水泥公司位于圣雄园区化工产业集中区氯碱配套产业区，用地为三类工业用地。本项目利用圣雄水泥公司新型干法水泥窑协同处置危险废物，有利于推动园区基础设施建设，符合总体规划的产业分区规划、用地规划及环境保护规划；由圣雄水泥公司现有供水系统，不使用地下水。本项目为《产业结构调整指导目录（</w:t>
      </w:r>
      <w:r>
        <w:rPr>
          <w:color w:val="auto"/>
          <w:spacing w:val="-6"/>
        </w:rPr>
        <w:t>2024</w:t>
      </w:r>
      <w:r>
        <w:rPr>
          <w:color w:val="auto"/>
          <w:spacing w:val="-6"/>
        </w:rPr>
        <w:t>年本）》鼓励类项目，有利于区域减污降碳协同管控。项目建成后，严格落实环境质量监测，定期开展突发环境事件演练，强化环境管理工作，有利于加强园区环境综合治理工作。本项目采用可靠的协同处置生产工艺与设备，污染治理技术为行业推荐技术与工艺，各类污染物排放满足国家及自治区污染物排放管控要求，清洁生产达到国内先进水水平。项目产生的生产废水全部送回转窑焚烧处理，生活污水排入厂内综合污水处理站处理后回用。</w:t>
      </w:r>
    </w:p>
    <w:p w14:paraId="2EC2F897" w14:textId="77777777" w:rsidR="002E474C" w:rsidRDefault="00000000">
      <w:pPr>
        <w:pStyle w:val="A-z"/>
        <w:rPr>
          <w:color w:val="auto"/>
        </w:rPr>
      </w:pPr>
      <w:r>
        <w:rPr>
          <w:color w:val="auto"/>
        </w:rPr>
        <w:t>本项目所在园区属于环境管控单元中的重点管控单元，符合自治区及吐鲁番市生分区管控要求。</w:t>
      </w:r>
    </w:p>
    <w:p w14:paraId="08C78882" w14:textId="77777777" w:rsidR="002E474C" w:rsidRDefault="00000000">
      <w:pPr>
        <w:pStyle w:val="A-z"/>
        <w:rPr>
          <w:color w:val="auto"/>
        </w:rPr>
      </w:pPr>
      <w:r>
        <w:rPr>
          <w:color w:val="auto"/>
        </w:rPr>
        <w:t>综上分析，本项目符合《托克逊能源重化工工业园区化工产业集中区总体规划（</w:t>
      </w:r>
      <w:r>
        <w:rPr>
          <w:color w:val="auto"/>
        </w:rPr>
        <w:t>2023-2035</w:t>
      </w:r>
      <w:r>
        <w:rPr>
          <w:color w:val="auto"/>
        </w:rPr>
        <w:t>年）环境影响报告书》及其审查意见。</w:t>
      </w:r>
    </w:p>
    <w:p w14:paraId="69CC99EC" w14:textId="77777777" w:rsidR="002E474C" w:rsidRDefault="002E474C">
      <w:pPr>
        <w:pStyle w:val="W4"/>
        <w:rPr>
          <w:rFonts w:ascii="Times New Roman" w:hAnsi="Times New Roman" w:cs="Times New Roman"/>
        </w:rPr>
        <w:sectPr w:rsidR="002E474C">
          <w:pgSz w:w="11906" w:h="16838"/>
          <w:pgMar w:top="1800" w:right="1440" w:bottom="1800" w:left="1440" w:header="851" w:footer="850" w:gutter="0"/>
          <w:cols w:space="425"/>
          <w:docGrid w:type="lines" w:linePitch="326"/>
        </w:sectPr>
      </w:pPr>
    </w:p>
    <w:p w14:paraId="6939E380" w14:textId="77777777" w:rsidR="002E474C" w:rsidRDefault="00000000">
      <w:pPr>
        <w:pStyle w:val="A--"/>
        <w:spacing w:beforeLines="0" w:before="0"/>
        <w:ind w:leftChars="0" w:left="0" w:rightChars="0" w:right="0"/>
        <w:rPr>
          <w:color w:val="auto"/>
          <w:spacing w:val="-6"/>
        </w:rPr>
      </w:pPr>
      <w:r>
        <w:rPr>
          <w:color w:val="auto"/>
          <w:spacing w:val="-6"/>
        </w:rPr>
        <w:lastRenderedPageBreak/>
        <w:t>表</w:t>
      </w:r>
      <w:r>
        <w:rPr>
          <w:color w:val="auto"/>
          <w:spacing w:val="-6"/>
        </w:rPr>
        <w:t>1.4-14</w:t>
      </w:r>
      <w:r>
        <w:rPr>
          <w:color w:val="auto"/>
          <w:spacing w:val="-6"/>
        </w:rPr>
        <w:t>本项目与《托克逊能源重化工工业园区化工产业集中区总体规划（</w:t>
      </w:r>
      <w:r>
        <w:rPr>
          <w:color w:val="auto"/>
          <w:spacing w:val="-6"/>
        </w:rPr>
        <w:t>2023-2035</w:t>
      </w:r>
      <w:r>
        <w:rPr>
          <w:color w:val="auto"/>
          <w:spacing w:val="-6"/>
        </w:rPr>
        <w:t>年）环境影响报告书》审查意见符合性分析表</w:t>
      </w:r>
    </w:p>
    <w:tbl>
      <w:tblPr>
        <w:tblStyle w:val="affff9"/>
        <w:tblW w:w="5000" w:type="pct"/>
        <w:tblLook w:val="04A0" w:firstRow="1" w:lastRow="0" w:firstColumn="1" w:lastColumn="0" w:noHBand="0" w:noVBand="1"/>
      </w:tblPr>
      <w:tblGrid>
        <w:gridCol w:w="7935"/>
        <w:gridCol w:w="4677"/>
        <w:gridCol w:w="616"/>
      </w:tblGrid>
      <w:tr w:rsidR="002E474C" w:rsidRPr="00DC2B10" w14:paraId="59F7C691" w14:textId="77777777" w:rsidTr="00DC2B10">
        <w:trPr>
          <w:trHeight w:val="397"/>
        </w:trPr>
        <w:tc>
          <w:tcPr>
            <w:tcW w:w="2999" w:type="pct"/>
            <w:vAlign w:val="center"/>
          </w:tcPr>
          <w:p w14:paraId="6CD98D80" w14:textId="77777777" w:rsidR="002E474C" w:rsidRPr="00DC2B10" w:rsidRDefault="00000000">
            <w:pPr>
              <w:pStyle w:val="A-"/>
            </w:pPr>
            <w:r w:rsidRPr="00DC2B10">
              <w:t>审查意见相关内容</w:t>
            </w:r>
          </w:p>
        </w:tc>
        <w:tc>
          <w:tcPr>
            <w:tcW w:w="1768" w:type="pct"/>
            <w:vAlign w:val="center"/>
          </w:tcPr>
          <w:p w14:paraId="711645D5" w14:textId="77777777" w:rsidR="002E474C" w:rsidRPr="00DC2B10" w:rsidRDefault="00000000">
            <w:pPr>
              <w:pStyle w:val="A-"/>
            </w:pPr>
            <w:r w:rsidRPr="00DC2B10">
              <w:t>本项目</w:t>
            </w:r>
          </w:p>
        </w:tc>
        <w:tc>
          <w:tcPr>
            <w:tcW w:w="233" w:type="pct"/>
            <w:vAlign w:val="center"/>
          </w:tcPr>
          <w:p w14:paraId="7E81F097" w14:textId="77777777" w:rsidR="002E474C" w:rsidRPr="00DC2B10" w:rsidRDefault="00000000">
            <w:pPr>
              <w:pStyle w:val="A-"/>
              <w:ind w:leftChars="-25" w:left="-53" w:rightChars="-25" w:right="-53"/>
            </w:pPr>
            <w:r w:rsidRPr="00DC2B10">
              <w:t>符合性</w:t>
            </w:r>
          </w:p>
        </w:tc>
      </w:tr>
      <w:tr w:rsidR="002E474C" w:rsidRPr="00DC2B10" w14:paraId="36DB3806" w14:textId="77777777" w:rsidTr="00DC2B10">
        <w:trPr>
          <w:trHeight w:val="397"/>
        </w:trPr>
        <w:tc>
          <w:tcPr>
            <w:tcW w:w="2999" w:type="pct"/>
            <w:vAlign w:val="center"/>
          </w:tcPr>
          <w:p w14:paraId="1189904E" w14:textId="77777777" w:rsidR="002E474C" w:rsidRPr="00DC2B10" w:rsidRDefault="00000000">
            <w:pPr>
              <w:pStyle w:val="A-"/>
              <w:jc w:val="both"/>
              <w:rPr>
                <w:spacing w:val="-11"/>
              </w:rPr>
            </w:pPr>
            <w:r w:rsidRPr="00DC2B10">
              <w:rPr>
                <w:spacing w:val="-11"/>
              </w:rPr>
              <w:t>（一）坚持绿色发展，优化园区产业结构、规划布局和实施时序。根据园区上位规划，结合区域实际和生态环境现状以及规划范围内企业分散式分布格局现状，进一步优化化工园区产业结构，规划布局和实施时序。园区的开发范围须符合吐鲁番市国土空间规划，严禁突破</w:t>
            </w:r>
            <w:r w:rsidRPr="00DC2B10">
              <w:rPr>
                <w:spacing w:val="-11"/>
              </w:rPr>
              <w:t>“</w:t>
            </w:r>
            <w:r w:rsidRPr="00DC2B10">
              <w:rPr>
                <w:spacing w:val="-11"/>
              </w:rPr>
              <w:t>三区三线</w:t>
            </w:r>
            <w:r w:rsidRPr="00DC2B10">
              <w:rPr>
                <w:spacing w:val="-11"/>
              </w:rPr>
              <w:t>”</w:t>
            </w:r>
            <w:r w:rsidRPr="00DC2B10">
              <w:rPr>
                <w:spacing w:val="-11"/>
              </w:rPr>
              <w:t>管控要求。进一步细化近远期用地规模，根据优化调整的产业细化用地布局，将环境影响较大的产业布局在距离居民区较远且为常年主导风向的下风向，严格执行《新疆维吾尔自治区坎儿井保护条例》相关要求，落实对坎儿井的各项保护措施，确保对环境敏感目标的影响降至最低。对于园区现状不符合规划产业布局的企业，进一步优化产业定位，调整功能布局，完善优化调整建议，确保入园项目符合相关区域、行业、产业政策、产业布局等要求。结合园区现有产业和区域资源特点，统筹考虑全园区形成延续性产业链，发挥产业集聚和工业生态效应，形成资源高效利用的产业链，避免产业重复发展。根据国家、自治区关于煤化工基地建设要求，从优布局、控规模、调结构、促转型、拖链条、强措施等方面强化规划指导作用，做好全过程环境管控。</w:t>
            </w:r>
          </w:p>
          <w:p w14:paraId="6571BBD4" w14:textId="77777777" w:rsidR="002E474C" w:rsidRPr="00DC2B10" w:rsidRDefault="00000000">
            <w:pPr>
              <w:pStyle w:val="A-"/>
              <w:jc w:val="both"/>
            </w:pPr>
            <w:r w:rsidRPr="00DC2B10">
              <w:t>以促进经济绿色低碳发展、引导重点行业和园区产业向绿色低碳方向可持续发展为目的，严格落实各项减污降碳措施，倡导绿色交通物流，推动减污降碳协同共治。同时综合考虑化工园区企业现状情况及环境管理要求，加强环境影响评价事中事后监管，进一步督促化工园区企业认真执行环境影响评价制度、排污许可制度和环保验收</w:t>
            </w:r>
            <w:r w:rsidRPr="00DC2B10">
              <w:t>“</w:t>
            </w:r>
            <w:r w:rsidRPr="00DC2B10">
              <w:t>三同时</w:t>
            </w:r>
            <w:r w:rsidRPr="00DC2B10">
              <w:t>”</w:t>
            </w:r>
            <w:r w:rsidRPr="00DC2B10">
              <w:t>制度，及时发现、查处</w:t>
            </w:r>
            <w:r w:rsidRPr="00DC2B10">
              <w:t>“</w:t>
            </w:r>
            <w:r w:rsidRPr="00DC2B10">
              <w:t>未批先建</w:t>
            </w:r>
            <w:r w:rsidRPr="00DC2B10">
              <w:t>”“</w:t>
            </w:r>
            <w:r w:rsidRPr="00DC2B10">
              <w:t>未验先投</w:t>
            </w:r>
            <w:r w:rsidRPr="00DC2B10">
              <w:t>”</w:t>
            </w:r>
            <w:r w:rsidRPr="00DC2B10">
              <w:t>等环境违法违规行为。</w:t>
            </w:r>
          </w:p>
        </w:tc>
        <w:tc>
          <w:tcPr>
            <w:tcW w:w="1768" w:type="pct"/>
            <w:vAlign w:val="center"/>
          </w:tcPr>
          <w:p w14:paraId="573F9665" w14:textId="77777777" w:rsidR="002E474C" w:rsidRPr="00DC2B10" w:rsidRDefault="00000000">
            <w:pPr>
              <w:pStyle w:val="A-"/>
              <w:jc w:val="both"/>
            </w:pPr>
            <w:r w:rsidRPr="00DC2B10">
              <w:t>（</w:t>
            </w:r>
            <w:r w:rsidRPr="00DC2B10">
              <w:t>1</w:t>
            </w:r>
            <w:r w:rsidRPr="00DC2B10">
              <w:t>）本项目建于圣雄园区化工产业集中区，属于环境管控单元中的的重点管控单元，符合自治区及吐鲁番市生态环境分区管控要求。</w:t>
            </w:r>
          </w:p>
          <w:p w14:paraId="3D798D7D" w14:textId="77777777" w:rsidR="002E474C" w:rsidRPr="00DC2B10" w:rsidRDefault="00000000">
            <w:pPr>
              <w:pStyle w:val="A-"/>
              <w:jc w:val="both"/>
              <w:rPr>
                <w:spacing w:val="-6"/>
              </w:rPr>
            </w:pPr>
            <w:r w:rsidRPr="00DC2B10">
              <w:rPr>
                <w:spacing w:val="-6"/>
              </w:rPr>
              <w:t>（</w:t>
            </w:r>
            <w:r w:rsidRPr="00DC2B10">
              <w:rPr>
                <w:spacing w:val="-6"/>
              </w:rPr>
              <w:t>2</w:t>
            </w:r>
            <w:r w:rsidRPr="00DC2B10">
              <w:rPr>
                <w:spacing w:val="-6"/>
              </w:rPr>
              <w:t>）本项目为《产业结构调整指导目录（</w:t>
            </w:r>
            <w:r w:rsidRPr="00DC2B10">
              <w:rPr>
                <w:spacing w:val="-6"/>
              </w:rPr>
              <w:t>2024</w:t>
            </w:r>
            <w:r w:rsidRPr="00DC2B10">
              <w:rPr>
                <w:spacing w:val="-6"/>
              </w:rPr>
              <w:t>年本）》鼓励类项目，有利于区域减污降碳协同管控。</w:t>
            </w:r>
          </w:p>
          <w:p w14:paraId="7B35C45B" w14:textId="77777777" w:rsidR="002E474C" w:rsidRPr="00DC2B10" w:rsidRDefault="00000000">
            <w:pPr>
              <w:pStyle w:val="A-"/>
              <w:jc w:val="both"/>
            </w:pPr>
            <w:r w:rsidRPr="00DC2B10">
              <w:t>（</w:t>
            </w:r>
            <w:r w:rsidRPr="00DC2B10">
              <w:t>3</w:t>
            </w:r>
            <w:r w:rsidRPr="00DC2B10">
              <w:t>）本项目位于圣雄园区化工产业集中区，周边区域无坎儿井分布。</w:t>
            </w:r>
          </w:p>
          <w:p w14:paraId="58BACFFE" w14:textId="77777777" w:rsidR="002E474C" w:rsidRPr="00DC2B10" w:rsidRDefault="00000000">
            <w:pPr>
              <w:pStyle w:val="A-"/>
              <w:jc w:val="both"/>
            </w:pPr>
            <w:r w:rsidRPr="00DC2B10">
              <w:t>（</w:t>
            </w:r>
            <w:r w:rsidRPr="00DC2B10">
              <w:t>4</w:t>
            </w:r>
            <w:r w:rsidRPr="00DC2B10">
              <w:t>）圣雄水泥公司位于圣雄园区化工产业集中区氯碱配套产业区，用地为三类工业用地。本项目利用圣雄水泥公司新型干法水泥窑协同处置</w:t>
            </w:r>
            <w:r w:rsidRPr="00DC2B10">
              <w:t>5</w:t>
            </w:r>
            <w:r w:rsidRPr="00DC2B10">
              <w:t>万</w:t>
            </w:r>
            <w:r w:rsidRPr="00DC2B10">
              <w:t>t/a</w:t>
            </w:r>
            <w:r w:rsidRPr="00DC2B10">
              <w:t>危险废物，有利于推动圣雄园区化工产业集中区园区经济发展，本项目符合《托克逊能源重化工工业园区化工产业集中区总体规划（</w:t>
            </w:r>
            <w:r w:rsidRPr="00DC2B10">
              <w:t>2023-2035</w:t>
            </w:r>
            <w:r w:rsidRPr="00DC2B10">
              <w:t>年）》土地利用与产业布局。</w:t>
            </w:r>
          </w:p>
          <w:p w14:paraId="11CA23B6" w14:textId="77777777" w:rsidR="002E474C" w:rsidRPr="00DC2B10" w:rsidRDefault="00000000">
            <w:pPr>
              <w:pStyle w:val="A-"/>
              <w:jc w:val="both"/>
            </w:pPr>
            <w:r w:rsidRPr="00DC2B10">
              <w:t>（</w:t>
            </w:r>
            <w:r w:rsidRPr="00DC2B10">
              <w:t>5</w:t>
            </w:r>
            <w:r w:rsidRPr="00DC2B10">
              <w:t>）本项目认真执行环境影响评价制度、排污许可制度、环保验收</w:t>
            </w:r>
            <w:r w:rsidRPr="00DC2B10">
              <w:t>“</w:t>
            </w:r>
            <w:r w:rsidRPr="00DC2B10">
              <w:t>三同时</w:t>
            </w:r>
            <w:r w:rsidRPr="00DC2B10">
              <w:t>”</w:t>
            </w:r>
            <w:r w:rsidRPr="00DC2B10">
              <w:t>制度。</w:t>
            </w:r>
          </w:p>
        </w:tc>
        <w:tc>
          <w:tcPr>
            <w:tcW w:w="233" w:type="pct"/>
            <w:vAlign w:val="center"/>
          </w:tcPr>
          <w:p w14:paraId="12C8A7D4" w14:textId="77777777" w:rsidR="002E474C" w:rsidRPr="00DC2B10" w:rsidRDefault="00000000">
            <w:pPr>
              <w:pStyle w:val="A-"/>
            </w:pPr>
            <w:r w:rsidRPr="00DC2B10">
              <w:t>符合</w:t>
            </w:r>
          </w:p>
        </w:tc>
      </w:tr>
      <w:tr w:rsidR="002E474C" w:rsidRPr="00DC2B10" w14:paraId="28BB89E0" w14:textId="77777777" w:rsidTr="00DC2B10">
        <w:trPr>
          <w:trHeight w:val="397"/>
        </w:trPr>
        <w:tc>
          <w:tcPr>
            <w:tcW w:w="2999" w:type="pct"/>
            <w:vAlign w:val="center"/>
          </w:tcPr>
          <w:p w14:paraId="13010703" w14:textId="77777777" w:rsidR="002E474C" w:rsidRPr="00DC2B10" w:rsidRDefault="00000000">
            <w:pPr>
              <w:pStyle w:val="A-"/>
              <w:jc w:val="both"/>
            </w:pPr>
            <w:r w:rsidRPr="00DC2B10">
              <w:rPr>
                <w:spacing w:val="-6"/>
              </w:rPr>
              <w:t>（二）严守生态保护红线，加强空间管控。衔接吐鲁番市及托克逊县国土空间规划及</w:t>
            </w:r>
            <w:r w:rsidRPr="00DC2B10">
              <w:rPr>
                <w:spacing w:val="-6"/>
              </w:rPr>
              <w:t>“</w:t>
            </w:r>
            <w:r w:rsidRPr="00DC2B10">
              <w:rPr>
                <w:spacing w:val="-6"/>
              </w:rPr>
              <w:t>三线一单</w:t>
            </w:r>
            <w:r w:rsidRPr="00DC2B10">
              <w:rPr>
                <w:spacing w:val="-6"/>
              </w:rPr>
              <w:t>”</w:t>
            </w:r>
            <w:r w:rsidRPr="00DC2B10">
              <w:rPr>
                <w:spacing w:val="-6"/>
              </w:rPr>
              <w:t>生态环境分区管控动态更新成果，完善生态环境准入清单，对园区内企业提出具体管控要求并严格落实，切实保障规划实施不突破区域生态保护红线、环境质量底线和资源利用上线。化工园区毗邻村庄、学校、坎儿井、阿拉沟渠，应进一步论证《规划》实施后对周边居民、学校、园区内外分布的坎儿井，阿拉沟渠等环境敏感区和环境保护目标的影响以及各项环境保护对策与措施的可行性。针对化工园区周边的敏感目标应设置合理的缓冲防护距离和安全控制线，依据所在产业区块功能及生态环境保护要求，严格控制化工园区开发范围，进一步优化产业布局，明确各功能区用地要求，强化具体管控要求，落实各项环境保护措施，确保环境敏感目标得到有效保护。</w:t>
            </w:r>
          </w:p>
        </w:tc>
        <w:tc>
          <w:tcPr>
            <w:tcW w:w="1768" w:type="pct"/>
            <w:vAlign w:val="center"/>
          </w:tcPr>
          <w:p w14:paraId="2976C6D9" w14:textId="77777777" w:rsidR="002E474C" w:rsidRPr="00DC2B10" w:rsidRDefault="00000000">
            <w:pPr>
              <w:pStyle w:val="A-"/>
              <w:jc w:val="both"/>
            </w:pPr>
            <w:r w:rsidRPr="00DC2B10">
              <w:t>（</w:t>
            </w:r>
            <w:r w:rsidRPr="00DC2B10">
              <w:t>1</w:t>
            </w:r>
            <w:r w:rsidRPr="00DC2B10">
              <w:t>）本项目位于圣雄园区化工产业集中区，属于生态环境重点管控单元，符合《新疆维吾尔自治区生态环境分区管控动态更新成果》《吐鲁番市生态环境分区管控成果动态更新情况说明》。</w:t>
            </w:r>
          </w:p>
          <w:p w14:paraId="4CB7349E" w14:textId="77777777" w:rsidR="002E474C" w:rsidRPr="00DC2B10" w:rsidRDefault="00000000">
            <w:pPr>
              <w:pStyle w:val="A-"/>
              <w:jc w:val="both"/>
            </w:pPr>
            <w:r w:rsidRPr="00DC2B10">
              <w:t>（</w:t>
            </w:r>
            <w:r w:rsidRPr="00DC2B10">
              <w:t>2</w:t>
            </w:r>
            <w:r w:rsidRPr="00DC2B10">
              <w:t>）本项目位于圣雄园区化工产业集中区，周边区域无坎儿井分布。</w:t>
            </w:r>
          </w:p>
          <w:p w14:paraId="2B6A7DAC" w14:textId="17FB6ED8" w:rsidR="002E474C" w:rsidRPr="00DC2B10" w:rsidRDefault="00000000">
            <w:pPr>
              <w:pStyle w:val="A-"/>
              <w:jc w:val="both"/>
            </w:pPr>
            <w:r w:rsidRPr="00DC2B10">
              <w:t>（</w:t>
            </w:r>
            <w:r w:rsidRPr="00DC2B10">
              <w:t>3</w:t>
            </w:r>
            <w:r w:rsidRPr="00DC2B10">
              <w:t>）本项目采用可靠的协同处置生产工艺与设备，落实各项环境保护措施，确保各类污染物排放满足国家及自治区最严格污染物排放标准要求。</w:t>
            </w:r>
          </w:p>
        </w:tc>
        <w:tc>
          <w:tcPr>
            <w:tcW w:w="233" w:type="pct"/>
            <w:vAlign w:val="center"/>
          </w:tcPr>
          <w:p w14:paraId="2F63F505" w14:textId="77777777" w:rsidR="002E474C" w:rsidRPr="00DC2B10" w:rsidRDefault="00000000">
            <w:pPr>
              <w:pStyle w:val="A-"/>
            </w:pPr>
            <w:r w:rsidRPr="00DC2B10">
              <w:t>符合</w:t>
            </w:r>
          </w:p>
        </w:tc>
      </w:tr>
      <w:tr w:rsidR="002E474C" w:rsidRPr="00DC2B10" w14:paraId="45530521" w14:textId="77777777" w:rsidTr="00DC2B10">
        <w:trPr>
          <w:trHeight w:val="397"/>
        </w:trPr>
        <w:tc>
          <w:tcPr>
            <w:tcW w:w="2999" w:type="pct"/>
            <w:vAlign w:val="center"/>
          </w:tcPr>
          <w:p w14:paraId="3DA50DAC" w14:textId="77777777" w:rsidR="002E474C" w:rsidRPr="00DC2B10" w:rsidRDefault="00000000">
            <w:pPr>
              <w:pStyle w:val="A-"/>
              <w:jc w:val="both"/>
            </w:pPr>
            <w:r w:rsidRPr="00DC2B10">
              <w:t>（三）严格管控区域污染物排放总量。严格规划项目落地、重点污染物总量控制措施、减排任务和区域煤炭减量要求，确保实现区域环境质量改善目标。采取有效措施减少二氧化硫、氮氧化物、颗粒物、挥发性有机物等大气污染物的排放量，各类大气污染</w:t>
            </w:r>
            <w:r w:rsidRPr="00DC2B10">
              <w:lastRenderedPageBreak/>
              <w:t>物排放须满足国家和自治区最新污染物排放标准，确保规划化工项目投运后区域环境空气质量改善。</w:t>
            </w:r>
          </w:p>
        </w:tc>
        <w:tc>
          <w:tcPr>
            <w:tcW w:w="1768" w:type="pct"/>
            <w:vAlign w:val="center"/>
          </w:tcPr>
          <w:p w14:paraId="000A5B47" w14:textId="77777777" w:rsidR="002E474C" w:rsidRPr="00DC2B10" w:rsidRDefault="00000000">
            <w:pPr>
              <w:pStyle w:val="A-"/>
              <w:jc w:val="both"/>
            </w:pPr>
            <w:r w:rsidRPr="00DC2B10">
              <w:lastRenderedPageBreak/>
              <w:t>（</w:t>
            </w:r>
            <w:r w:rsidRPr="00DC2B10">
              <w:t>1</w:t>
            </w:r>
            <w:r w:rsidRPr="00DC2B10">
              <w:t>）本项目采用可靠的协同处置生产工艺与设备，污染治理技术为行业推荐技术与工艺，落实各项环境保护措施，确保各类污染物排放须满足国</w:t>
            </w:r>
            <w:r w:rsidRPr="00DC2B10">
              <w:lastRenderedPageBreak/>
              <w:t>家及自治区最严格污染物排放管控要求。</w:t>
            </w:r>
          </w:p>
          <w:p w14:paraId="285C5377" w14:textId="77777777" w:rsidR="002E474C" w:rsidRPr="00DC2B10" w:rsidRDefault="00000000">
            <w:pPr>
              <w:pStyle w:val="A-"/>
              <w:jc w:val="both"/>
            </w:pPr>
            <w:r w:rsidRPr="00DC2B10">
              <w:t>（</w:t>
            </w:r>
            <w:r w:rsidRPr="00DC2B10">
              <w:t>2</w:t>
            </w:r>
            <w:r w:rsidRPr="00DC2B10">
              <w:t>）本项目严格落实实环境质量监测与大气污染物排放总量控制。</w:t>
            </w:r>
          </w:p>
        </w:tc>
        <w:tc>
          <w:tcPr>
            <w:tcW w:w="233" w:type="pct"/>
            <w:vAlign w:val="center"/>
          </w:tcPr>
          <w:p w14:paraId="78FAB733" w14:textId="77777777" w:rsidR="002E474C" w:rsidRPr="00DC2B10" w:rsidRDefault="00000000">
            <w:pPr>
              <w:pStyle w:val="A-"/>
            </w:pPr>
            <w:r w:rsidRPr="00DC2B10">
              <w:lastRenderedPageBreak/>
              <w:t>符合</w:t>
            </w:r>
          </w:p>
        </w:tc>
      </w:tr>
      <w:tr w:rsidR="002E474C" w:rsidRPr="00DC2B10" w14:paraId="0E47D6CE" w14:textId="77777777" w:rsidTr="00DC2B10">
        <w:trPr>
          <w:trHeight w:val="397"/>
        </w:trPr>
        <w:tc>
          <w:tcPr>
            <w:tcW w:w="2999" w:type="pct"/>
            <w:vAlign w:val="center"/>
          </w:tcPr>
          <w:p w14:paraId="1CF8A885" w14:textId="77777777" w:rsidR="002E474C" w:rsidRPr="00DC2B10" w:rsidRDefault="00000000">
            <w:pPr>
              <w:pStyle w:val="A-"/>
              <w:jc w:val="both"/>
            </w:pPr>
            <w:r w:rsidRPr="00DC2B10">
              <w:rPr>
                <w:spacing w:val="-11"/>
              </w:rPr>
              <w:t>（四）严格资源利用总量，制定入园产业准入条件。尽快开展化工园区水资源论证工作，根据水资源论证结果进一步论证化工园区供水的合理性与保障性，并采取有效措施，以水资源承载力为基础，坚持</w:t>
            </w:r>
            <w:r w:rsidRPr="00DC2B10">
              <w:rPr>
                <w:spacing w:val="-11"/>
              </w:rPr>
              <w:t>“</w:t>
            </w:r>
            <w:r w:rsidRPr="00DC2B10">
              <w:rPr>
                <w:spacing w:val="-11"/>
              </w:rPr>
              <w:t>以水定产、以水定量</w:t>
            </w:r>
            <w:r w:rsidRPr="00DC2B10">
              <w:rPr>
                <w:spacing w:val="-11"/>
              </w:rPr>
              <w:t>”</w:t>
            </w:r>
            <w:r w:rsidRPr="00DC2B10">
              <w:rPr>
                <w:spacing w:val="-11"/>
              </w:rPr>
              <w:t>，合理确定化工园区用水规模，确保化工园区工业用水满足水资源</w:t>
            </w:r>
            <w:r w:rsidRPr="00DC2B10">
              <w:rPr>
                <w:spacing w:val="-11"/>
              </w:rPr>
              <w:t>“</w:t>
            </w:r>
            <w:r w:rsidRPr="00DC2B10">
              <w:rPr>
                <w:spacing w:val="-11"/>
              </w:rPr>
              <w:t>三条红线</w:t>
            </w:r>
            <w:r w:rsidRPr="00DC2B10">
              <w:rPr>
                <w:spacing w:val="-11"/>
              </w:rPr>
              <w:t>”</w:t>
            </w:r>
            <w:r w:rsidRPr="00DC2B10">
              <w:rPr>
                <w:spacing w:val="-11"/>
              </w:rPr>
              <w:t>指标要求。严格控制高耗水化工项目发展规模，布局节水型煤化工产业，严格执行国家产业、环境准入和去产能政策，防止过剩或落后产能跨地区转移，依法依规推动落后产能退出，严格落实产能置换相关政策。严禁以地下水作为工业用水水源。综合考虑区域水资源、土地资源、环境承载能力，强化生态环境管控、环境风险防范要求，对化工园区企业实施清单式管理，制定产业发展负面清单，入园企业应符合规划产业定位及功能布局要求，坚决遏制</w:t>
            </w:r>
            <w:r w:rsidRPr="00DC2B10">
              <w:rPr>
                <w:spacing w:val="-11"/>
              </w:rPr>
              <w:t>“</w:t>
            </w:r>
            <w:r w:rsidRPr="00DC2B10">
              <w:rPr>
                <w:spacing w:val="-11"/>
              </w:rPr>
              <w:t>两高一低</w:t>
            </w:r>
            <w:r w:rsidRPr="00DC2B10">
              <w:rPr>
                <w:spacing w:val="-11"/>
              </w:rPr>
              <w:t>”</w:t>
            </w:r>
            <w:r w:rsidRPr="00DC2B10">
              <w:rPr>
                <w:spacing w:val="-11"/>
              </w:rPr>
              <w:t>项目盲目上马，实行入园企业环保准入审核制度，不符合产业政策、行业准入条件、生态环境准入清单及国家、自治区明令禁止的项目一律不得入驻化工园区。严格落实</w:t>
            </w:r>
            <w:r w:rsidRPr="00DC2B10">
              <w:rPr>
                <w:spacing w:val="-11"/>
              </w:rPr>
              <w:t>“</w:t>
            </w:r>
            <w:r w:rsidRPr="00DC2B10">
              <w:rPr>
                <w:spacing w:val="-11"/>
              </w:rPr>
              <w:t>两高</w:t>
            </w:r>
            <w:r w:rsidRPr="00DC2B10">
              <w:rPr>
                <w:spacing w:val="-11"/>
              </w:rPr>
              <w:t>”</w:t>
            </w:r>
            <w:r w:rsidRPr="00DC2B10">
              <w:rPr>
                <w:spacing w:val="-11"/>
              </w:rPr>
              <w:t>项目水资源消耗、污染物和碳排放的源项识别及减污降碳措施要求，推动园区绿色发展。引进项目的生产工艺、设备、污染治理技术，以及单位产品能耗、物耗、污染物排放和资源利用率均需达到同行业国内先进水平。化工园区水资源利用不得突破批准的水资源利用上线指标，土地资源利用不得突破国土空间规划确定的城镇开发边界。</w:t>
            </w:r>
          </w:p>
        </w:tc>
        <w:tc>
          <w:tcPr>
            <w:tcW w:w="1768" w:type="pct"/>
            <w:vAlign w:val="center"/>
          </w:tcPr>
          <w:p w14:paraId="0A65AE84" w14:textId="77777777" w:rsidR="002E474C" w:rsidRPr="00DC2B10" w:rsidRDefault="00000000">
            <w:pPr>
              <w:pStyle w:val="A-"/>
              <w:jc w:val="both"/>
            </w:pPr>
            <w:r w:rsidRPr="00DC2B10">
              <w:t>（</w:t>
            </w:r>
            <w:r w:rsidRPr="00DC2B10">
              <w:t>1</w:t>
            </w:r>
            <w:r w:rsidRPr="00DC2B10">
              <w:t>）本项目生产工艺不用水，仅消耗冲洗用水，且用水量较少。</w:t>
            </w:r>
          </w:p>
          <w:p w14:paraId="79E4BA44" w14:textId="77777777" w:rsidR="002E474C" w:rsidRPr="00DC2B10" w:rsidRDefault="00000000">
            <w:pPr>
              <w:pStyle w:val="A-"/>
              <w:jc w:val="both"/>
            </w:pPr>
            <w:r w:rsidRPr="00DC2B10">
              <w:t>（</w:t>
            </w:r>
            <w:r w:rsidRPr="00DC2B10">
              <w:t>2</w:t>
            </w:r>
            <w:r w:rsidRPr="00DC2B10">
              <w:t>）本项目所用水源圣雄水泥公司现有供水系统，不使用地下水。</w:t>
            </w:r>
          </w:p>
          <w:p w14:paraId="56CACB5F" w14:textId="77777777" w:rsidR="002E474C" w:rsidRPr="00DC2B10" w:rsidRDefault="00000000">
            <w:pPr>
              <w:pStyle w:val="A-"/>
              <w:jc w:val="both"/>
            </w:pPr>
            <w:r w:rsidRPr="00DC2B10">
              <w:t>（</w:t>
            </w:r>
            <w:r w:rsidRPr="00DC2B10">
              <w:t>3</w:t>
            </w:r>
            <w:r w:rsidRPr="00DC2B10">
              <w:t>）本项目符合自治区及吐鲁番市生态环境分区管控要求。</w:t>
            </w:r>
          </w:p>
          <w:p w14:paraId="3CE8E157" w14:textId="77777777" w:rsidR="002E474C" w:rsidRPr="00DC2B10" w:rsidRDefault="00000000">
            <w:pPr>
              <w:pStyle w:val="A-"/>
              <w:jc w:val="both"/>
            </w:pPr>
            <w:r w:rsidRPr="00DC2B10">
              <w:t>（</w:t>
            </w:r>
            <w:r w:rsidRPr="00DC2B10">
              <w:t>4</w:t>
            </w:r>
            <w:r w:rsidRPr="00DC2B10">
              <w:t>）本项目采用可靠的协同处置生产工艺与设备，污染治理技术为行业推荐技术与工艺，各类污染物排放须满足国家及自治区最严格污染物排放管控要求，清洁生产达到国内同类生产项目先进水水平。</w:t>
            </w:r>
          </w:p>
          <w:p w14:paraId="4D199AAD" w14:textId="77777777" w:rsidR="002E474C" w:rsidRPr="00DC2B10" w:rsidRDefault="00000000">
            <w:pPr>
              <w:pStyle w:val="A-"/>
              <w:jc w:val="both"/>
            </w:pPr>
            <w:r w:rsidRPr="00DC2B10">
              <w:t>（</w:t>
            </w:r>
            <w:r w:rsidRPr="00DC2B10">
              <w:t>5</w:t>
            </w:r>
            <w:r w:rsidRPr="00DC2B10">
              <w:t>）本项目位于圣雄园区化工产业集中区，在国土空间规划确定的城镇开发边界内。</w:t>
            </w:r>
          </w:p>
        </w:tc>
        <w:tc>
          <w:tcPr>
            <w:tcW w:w="233" w:type="pct"/>
            <w:vAlign w:val="center"/>
          </w:tcPr>
          <w:p w14:paraId="6A4FB10B" w14:textId="77777777" w:rsidR="002E474C" w:rsidRPr="00DC2B10" w:rsidRDefault="00000000">
            <w:pPr>
              <w:pStyle w:val="A-"/>
            </w:pPr>
            <w:r w:rsidRPr="00DC2B10">
              <w:t>符合</w:t>
            </w:r>
          </w:p>
        </w:tc>
      </w:tr>
      <w:tr w:rsidR="002E474C" w:rsidRPr="00DC2B10" w14:paraId="59635575" w14:textId="77777777" w:rsidTr="00DC2B10">
        <w:trPr>
          <w:trHeight w:val="397"/>
        </w:trPr>
        <w:tc>
          <w:tcPr>
            <w:tcW w:w="2999" w:type="pct"/>
            <w:vAlign w:val="center"/>
          </w:tcPr>
          <w:p w14:paraId="75084E36" w14:textId="77777777" w:rsidR="002E474C" w:rsidRPr="00DC2B10" w:rsidRDefault="00000000">
            <w:pPr>
              <w:pStyle w:val="A-"/>
              <w:jc w:val="both"/>
            </w:pPr>
            <w:r w:rsidRPr="00DC2B10">
              <w:t>（五）加快完善化工园区环境基础设施建设，推进区域环境质量持续改善和提升。尽快完成化工园区污水处理、中水回用、固废填埋场等基础设施建设，禁止新建、扩建、改建分散式燃煤锅炉用于采暖。完善园区污废水排放方案、中水回用方案，强化节水措施，优先将回用中水作为化工园区工业生产用水水源，降低废水排放量，确保各类废水安全有效利用，最大限度提高水资源综合利用率。制定切实可行的一般固体废物综合利用方案，严格按照国家有关规定，依法合规处理处置危险废物。</w:t>
            </w:r>
          </w:p>
        </w:tc>
        <w:tc>
          <w:tcPr>
            <w:tcW w:w="1768" w:type="pct"/>
            <w:vAlign w:val="center"/>
          </w:tcPr>
          <w:p w14:paraId="5AAD625B" w14:textId="77777777" w:rsidR="002E474C" w:rsidRPr="00DC2B10" w:rsidRDefault="00000000">
            <w:pPr>
              <w:pStyle w:val="A-"/>
              <w:jc w:val="both"/>
            </w:pPr>
            <w:r w:rsidRPr="00DC2B10">
              <w:t>（</w:t>
            </w:r>
            <w:r w:rsidRPr="00DC2B10">
              <w:t>1</w:t>
            </w:r>
            <w:r w:rsidRPr="00DC2B10">
              <w:t>）本项目满足清污分流、污污分流、深度处理、分质回用原则，项目产生的生产废水全部送回转窑焚烧处理，生活污水排入厂内综合污水处理站处理后回用。</w:t>
            </w:r>
          </w:p>
          <w:p w14:paraId="48A316E6" w14:textId="77777777" w:rsidR="002E474C" w:rsidRPr="00DC2B10" w:rsidRDefault="00000000">
            <w:pPr>
              <w:pStyle w:val="A-"/>
              <w:jc w:val="both"/>
            </w:pPr>
            <w:r w:rsidRPr="00DC2B10">
              <w:t>（</w:t>
            </w:r>
            <w:r w:rsidRPr="00DC2B10">
              <w:t>2</w:t>
            </w:r>
            <w:r w:rsidRPr="00DC2B10">
              <w:t>）本项目属于危险废物集中处置设施，有利于园区循环经济建设。</w:t>
            </w:r>
          </w:p>
        </w:tc>
        <w:tc>
          <w:tcPr>
            <w:tcW w:w="233" w:type="pct"/>
            <w:vAlign w:val="center"/>
          </w:tcPr>
          <w:p w14:paraId="33B2473A" w14:textId="77777777" w:rsidR="002E474C" w:rsidRPr="00DC2B10" w:rsidRDefault="00000000">
            <w:pPr>
              <w:pStyle w:val="A-"/>
            </w:pPr>
            <w:r w:rsidRPr="00DC2B10">
              <w:t>符合</w:t>
            </w:r>
          </w:p>
        </w:tc>
      </w:tr>
      <w:tr w:rsidR="002E474C" w:rsidRPr="00DC2B10" w14:paraId="73D924DB" w14:textId="77777777" w:rsidTr="00DC2B10">
        <w:trPr>
          <w:trHeight w:val="397"/>
        </w:trPr>
        <w:tc>
          <w:tcPr>
            <w:tcW w:w="2999" w:type="pct"/>
            <w:vAlign w:val="center"/>
          </w:tcPr>
          <w:p w14:paraId="52D25E17" w14:textId="77777777" w:rsidR="002E474C" w:rsidRPr="00DC2B10" w:rsidRDefault="00000000">
            <w:pPr>
              <w:pStyle w:val="A-"/>
              <w:jc w:val="both"/>
            </w:pPr>
            <w:r w:rsidRPr="00DC2B10">
              <w:t>（六）强化环境风险监控和管理，健全化工园区环境风险防控、评估和应急响应体系。限期编制完成化工园区安全风险评估报告和环境风险应急预案，合理设置防护距离及安全控制线，强化突发环境事件应急响应联动机制，保障生态环境安全。建立完善的环境空气、地表水、地下水、土壤等监控体系，提升环境风险防控和应急响应能力，保障区域环境安全。足额配备应急物资，定期开展应急演练，不断完善突发环境事件应急预案，防范规划实施可能引发的环境风险，保障区域环境安全。</w:t>
            </w:r>
          </w:p>
        </w:tc>
        <w:tc>
          <w:tcPr>
            <w:tcW w:w="1768" w:type="pct"/>
            <w:vAlign w:val="center"/>
          </w:tcPr>
          <w:p w14:paraId="6B708A78" w14:textId="77777777" w:rsidR="002E474C" w:rsidRPr="00DC2B10" w:rsidRDefault="00000000">
            <w:pPr>
              <w:pStyle w:val="A-"/>
              <w:jc w:val="both"/>
            </w:pPr>
            <w:r w:rsidRPr="00DC2B10">
              <w:t>本项目建成后，严格落实环境质量监测制度，应纳入圣雄水泥公司应急预案管理体系，由圣雄水泥公司统一管理，编制并备案突发环境事件应急预案，定期开展突发环境事件演练，与园区突发环境事件应急预案衔接，提高应急处置能力，防控环境风险。</w:t>
            </w:r>
          </w:p>
        </w:tc>
        <w:tc>
          <w:tcPr>
            <w:tcW w:w="233" w:type="pct"/>
            <w:vAlign w:val="center"/>
          </w:tcPr>
          <w:p w14:paraId="577D0FEF" w14:textId="77777777" w:rsidR="002E474C" w:rsidRPr="00DC2B10" w:rsidRDefault="00000000">
            <w:pPr>
              <w:pStyle w:val="A-"/>
            </w:pPr>
            <w:r w:rsidRPr="00DC2B10">
              <w:t>符合</w:t>
            </w:r>
          </w:p>
        </w:tc>
      </w:tr>
      <w:tr w:rsidR="002E474C" w:rsidRPr="00DC2B10" w14:paraId="62A56390" w14:textId="77777777" w:rsidTr="00DC2B10">
        <w:trPr>
          <w:trHeight w:val="397"/>
        </w:trPr>
        <w:tc>
          <w:tcPr>
            <w:tcW w:w="2999" w:type="pct"/>
            <w:vAlign w:val="center"/>
          </w:tcPr>
          <w:p w14:paraId="6C67C803" w14:textId="77777777" w:rsidR="002E474C" w:rsidRPr="00DC2B10" w:rsidRDefault="00000000">
            <w:pPr>
              <w:pStyle w:val="A-"/>
              <w:jc w:val="both"/>
            </w:pPr>
            <w:r w:rsidRPr="00DC2B10">
              <w:t>（八）建立畅通的公众参与平台，及时解决公众提出的环境问题，满足公众合理的环保诉求</w:t>
            </w:r>
            <w:r w:rsidRPr="00DC2B10">
              <w:t>;</w:t>
            </w:r>
            <w:r w:rsidRPr="00DC2B10">
              <w:t>定期发布园区企业环境信息，并主动接受社会监督。</w:t>
            </w:r>
          </w:p>
        </w:tc>
        <w:tc>
          <w:tcPr>
            <w:tcW w:w="1768" w:type="pct"/>
            <w:vAlign w:val="center"/>
          </w:tcPr>
          <w:p w14:paraId="64710F01" w14:textId="77777777" w:rsidR="002E474C" w:rsidRPr="00DC2B10" w:rsidRDefault="00000000">
            <w:pPr>
              <w:pStyle w:val="A-"/>
              <w:jc w:val="both"/>
            </w:pPr>
            <w:r w:rsidRPr="00DC2B10">
              <w:rPr>
                <w:spacing w:val="-11"/>
              </w:rPr>
              <w:t>本项目已开展公众参与调查与公示，公示期间均没有收到反对意见，项目的建设得到公众的理解与支持。</w:t>
            </w:r>
          </w:p>
        </w:tc>
        <w:tc>
          <w:tcPr>
            <w:tcW w:w="233" w:type="pct"/>
            <w:vAlign w:val="center"/>
          </w:tcPr>
          <w:p w14:paraId="60597333" w14:textId="77777777" w:rsidR="002E474C" w:rsidRPr="00DC2B10" w:rsidRDefault="00000000">
            <w:pPr>
              <w:pStyle w:val="A-"/>
            </w:pPr>
            <w:r w:rsidRPr="00DC2B10">
              <w:t>符合</w:t>
            </w:r>
          </w:p>
        </w:tc>
      </w:tr>
    </w:tbl>
    <w:p w14:paraId="7DE964B3" w14:textId="77777777" w:rsidR="002E474C" w:rsidRDefault="002E474C">
      <w:pPr>
        <w:pStyle w:val="A10"/>
        <w:jc w:val="both"/>
        <w:rPr>
          <w:rFonts w:ascii="Times New Roman" w:hAnsi="Times New Roman"/>
        </w:rPr>
      </w:pPr>
    </w:p>
    <w:p w14:paraId="7DC91B9D" w14:textId="77777777" w:rsidR="002E474C" w:rsidRDefault="002E474C">
      <w:pPr>
        <w:pStyle w:val="w2"/>
        <w:ind w:firstLineChars="0" w:firstLine="0"/>
        <w:rPr>
          <w:b/>
          <w:bCs/>
        </w:rPr>
        <w:sectPr w:rsidR="002E474C">
          <w:pgSz w:w="16838" w:h="11906" w:orient="landscape"/>
          <w:pgMar w:top="1440" w:right="1800" w:bottom="1440" w:left="1800" w:header="851" w:footer="850" w:gutter="0"/>
          <w:cols w:space="425"/>
          <w:docGrid w:type="lines" w:linePitch="326"/>
        </w:sectPr>
      </w:pPr>
    </w:p>
    <w:p w14:paraId="27354827" w14:textId="77777777" w:rsidR="002E474C" w:rsidRDefault="00000000">
      <w:pPr>
        <w:pStyle w:val="31"/>
        <w:spacing w:before="120" w:after="120"/>
        <w:ind w:left="0" w:firstLine="0"/>
        <w:rPr>
          <w:color w:val="auto"/>
        </w:rPr>
      </w:pPr>
      <w:r>
        <w:rPr>
          <w:color w:val="auto"/>
        </w:rPr>
        <w:lastRenderedPageBreak/>
        <w:t>项目选址合理性分析</w:t>
      </w:r>
    </w:p>
    <w:p w14:paraId="421DCC38" w14:textId="77777777" w:rsidR="002E474C" w:rsidRDefault="00000000">
      <w:pPr>
        <w:pStyle w:val="A-z"/>
        <w:rPr>
          <w:color w:val="auto"/>
        </w:rPr>
      </w:pPr>
      <w:r>
        <w:rPr>
          <w:color w:val="auto"/>
        </w:rPr>
        <w:t>（</w:t>
      </w:r>
      <w:r>
        <w:rPr>
          <w:color w:val="auto"/>
        </w:rPr>
        <w:t>1</w:t>
      </w:r>
      <w:r>
        <w:rPr>
          <w:color w:val="auto"/>
        </w:rPr>
        <w:t>）环境要求</w:t>
      </w:r>
    </w:p>
    <w:p w14:paraId="0C306833" w14:textId="77777777" w:rsidR="002E474C" w:rsidRDefault="00000000">
      <w:pPr>
        <w:pStyle w:val="A-z"/>
        <w:rPr>
          <w:color w:val="auto"/>
        </w:rPr>
      </w:pPr>
      <w:r>
        <w:rPr>
          <w:color w:val="auto"/>
        </w:rPr>
        <w:t>本项目所在区域不涉及国家及地方划定的自然保护区、风景名胜区、生态功能保护区、水土流失重点防治区、森林公园、地质公园、世界遗产地、国家重点文物保护单位、历史文化保护地等敏感目标，区内无珍稀野生保护动植物。</w:t>
      </w:r>
    </w:p>
    <w:p w14:paraId="381A1690" w14:textId="77777777" w:rsidR="002E474C" w:rsidRDefault="00000000">
      <w:pPr>
        <w:pStyle w:val="A-z"/>
        <w:rPr>
          <w:color w:val="auto"/>
        </w:rPr>
      </w:pPr>
      <w:r>
        <w:rPr>
          <w:color w:val="auto"/>
        </w:rPr>
        <w:t>（</w:t>
      </w:r>
      <w:r>
        <w:rPr>
          <w:color w:val="auto"/>
        </w:rPr>
        <w:t>2</w:t>
      </w:r>
      <w:r>
        <w:rPr>
          <w:color w:val="auto"/>
        </w:rPr>
        <w:t>）园区规划要求</w:t>
      </w:r>
    </w:p>
    <w:p w14:paraId="5BE06854" w14:textId="77777777" w:rsidR="002E474C" w:rsidRDefault="00000000">
      <w:pPr>
        <w:pStyle w:val="A-z"/>
        <w:rPr>
          <w:color w:val="auto"/>
        </w:rPr>
      </w:pPr>
      <w:r>
        <w:rPr>
          <w:color w:val="auto"/>
        </w:rPr>
        <w:t>本项目位于圣雄同心工业园，圣雄水泥公司以新疆圣雄氯碱有限公司产出的电石渣为原料生产水泥产品，属于氯碱配套产业，位于氯碱配套产业区，用地为规划的三类工业用地。本项目利用园区现有企业圣雄水泥公司新型干法水泥窑协同处置</w:t>
      </w:r>
      <w:r>
        <w:rPr>
          <w:color w:val="auto"/>
        </w:rPr>
        <w:t>5</w:t>
      </w:r>
      <w:r>
        <w:rPr>
          <w:color w:val="auto"/>
        </w:rPr>
        <w:t>万</w:t>
      </w:r>
      <w:r>
        <w:rPr>
          <w:color w:val="auto"/>
        </w:rPr>
        <w:t>t/a</w:t>
      </w:r>
      <w:r>
        <w:rPr>
          <w:color w:val="auto"/>
        </w:rPr>
        <w:t>危险废物，属于危险废物集中处置设施，有利于园区危险废物安全处置及循环经济建设，符合园区总体规划的产业分区规划、用地规划及环境保护规划。</w:t>
      </w:r>
    </w:p>
    <w:p w14:paraId="4B0F4C6F" w14:textId="77777777" w:rsidR="002E474C" w:rsidRDefault="00000000">
      <w:pPr>
        <w:pStyle w:val="A-z"/>
        <w:rPr>
          <w:color w:val="auto"/>
        </w:rPr>
      </w:pPr>
      <w:r>
        <w:rPr>
          <w:color w:val="auto"/>
        </w:rPr>
        <w:t>项目建设地点位于托克逊县阿乐惠镇，属于吐鲁番市生态环境分区管控方案中的重点管控单元，项目不在划定的生态保护红线范围内，符合《新疆维吾尔自治区生态环境分区管控动态更新成果》《吐鲁番市生态环境分区管控成果动态更新情况说明》。</w:t>
      </w:r>
    </w:p>
    <w:p w14:paraId="24F42A13" w14:textId="77777777" w:rsidR="002E474C" w:rsidRDefault="00000000">
      <w:pPr>
        <w:pStyle w:val="A-z"/>
        <w:rPr>
          <w:color w:val="auto"/>
        </w:rPr>
      </w:pPr>
      <w:r>
        <w:rPr>
          <w:color w:val="auto"/>
        </w:rPr>
        <w:t>（</w:t>
      </w:r>
      <w:r>
        <w:rPr>
          <w:color w:val="auto"/>
        </w:rPr>
        <w:t>3</w:t>
      </w:r>
      <w:r>
        <w:rPr>
          <w:color w:val="auto"/>
        </w:rPr>
        <w:t>）标准及规范要求</w:t>
      </w:r>
    </w:p>
    <w:p w14:paraId="45FED605" w14:textId="77777777" w:rsidR="002E474C" w:rsidRDefault="00000000">
      <w:pPr>
        <w:pStyle w:val="A-z"/>
        <w:rPr>
          <w:color w:val="auto"/>
        </w:rPr>
      </w:pPr>
      <w:r>
        <w:rPr>
          <w:color w:val="auto"/>
        </w:rPr>
        <w:t>本项目位于现有水泥厂厂区内，不新征用地，节省投资不重复建设。项目选址符合《危险废物贮存污染控制标准》（</w:t>
      </w:r>
      <w:r>
        <w:rPr>
          <w:color w:val="auto"/>
        </w:rPr>
        <w:t>GB18597-2023</w:t>
      </w:r>
      <w:r>
        <w:rPr>
          <w:color w:val="auto"/>
        </w:rPr>
        <w:t>）、《水泥窑协同处置固体废物环境保护技术规范》（</w:t>
      </w:r>
      <w:r>
        <w:rPr>
          <w:color w:val="auto"/>
        </w:rPr>
        <w:t>HJ662-2013</w:t>
      </w:r>
      <w:r>
        <w:rPr>
          <w:color w:val="auto"/>
        </w:rPr>
        <w:t>）中有关选址的要求，详见表</w:t>
      </w:r>
      <w:r>
        <w:rPr>
          <w:color w:val="auto"/>
        </w:rPr>
        <w:t>1.4-15</w:t>
      </w:r>
      <w:r>
        <w:rPr>
          <w:color w:val="auto"/>
        </w:rPr>
        <w:t>。</w:t>
      </w:r>
    </w:p>
    <w:p w14:paraId="5C6563B8" w14:textId="77777777" w:rsidR="002E474C" w:rsidRDefault="00000000">
      <w:pPr>
        <w:pStyle w:val="A--"/>
        <w:rPr>
          <w:color w:val="auto"/>
        </w:rPr>
      </w:pPr>
      <w:bookmarkStart w:id="40" w:name="_Ref132290355"/>
      <w:r>
        <w:rPr>
          <w:color w:val="auto"/>
        </w:rPr>
        <w:t>表</w:t>
      </w:r>
      <w:bookmarkEnd w:id="40"/>
      <w:r>
        <w:rPr>
          <w:color w:val="auto"/>
        </w:rPr>
        <w:t xml:space="preserve">1.4-15  </w:t>
      </w:r>
      <w:r>
        <w:rPr>
          <w:color w:val="auto"/>
        </w:rPr>
        <w:t>选址合理性分析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313"/>
        <w:gridCol w:w="3284"/>
        <w:gridCol w:w="3056"/>
      </w:tblGrid>
      <w:tr w:rsidR="002E474C" w14:paraId="180D8F7A" w14:textId="77777777">
        <w:tc>
          <w:tcPr>
            <w:tcW w:w="388" w:type="pct"/>
            <w:vAlign w:val="center"/>
          </w:tcPr>
          <w:p w14:paraId="38AF64E2" w14:textId="77777777" w:rsidR="002E474C" w:rsidRDefault="00000000">
            <w:pPr>
              <w:pStyle w:val="A-"/>
            </w:pPr>
            <w:r>
              <w:t>序号</w:t>
            </w:r>
          </w:p>
        </w:tc>
        <w:tc>
          <w:tcPr>
            <w:tcW w:w="791" w:type="pct"/>
            <w:vAlign w:val="center"/>
          </w:tcPr>
          <w:p w14:paraId="3BBE002D" w14:textId="77777777" w:rsidR="002E474C" w:rsidRDefault="00000000">
            <w:pPr>
              <w:pStyle w:val="A-"/>
            </w:pPr>
            <w:r>
              <w:t>标准规范</w:t>
            </w:r>
          </w:p>
        </w:tc>
        <w:tc>
          <w:tcPr>
            <w:tcW w:w="1979" w:type="pct"/>
            <w:vAlign w:val="center"/>
          </w:tcPr>
          <w:p w14:paraId="0319A288" w14:textId="77777777" w:rsidR="002E474C" w:rsidRDefault="00000000">
            <w:pPr>
              <w:pStyle w:val="A-"/>
            </w:pPr>
            <w:r>
              <w:t>要求</w:t>
            </w:r>
          </w:p>
        </w:tc>
        <w:tc>
          <w:tcPr>
            <w:tcW w:w="1842" w:type="pct"/>
            <w:vAlign w:val="center"/>
          </w:tcPr>
          <w:p w14:paraId="097CE944" w14:textId="77777777" w:rsidR="002E474C" w:rsidRDefault="00000000">
            <w:pPr>
              <w:pStyle w:val="A-"/>
            </w:pPr>
            <w:r>
              <w:t>本项目选址符合性分析</w:t>
            </w:r>
          </w:p>
        </w:tc>
      </w:tr>
      <w:tr w:rsidR="002E474C" w14:paraId="590E9B10" w14:textId="77777777">
        <w:tc>
          <w:tcPr>
            <w:tcW w:w="388" w:type="pct"/>
            <w:vMerge w:val="restart"/>
            <w:vAlign w:val="center"/>
          </w:tcPr>
          <w:p w14:paraId="5B460783" w14:textId="77777777" w:rsidR="002E474C" w:rsidRDefault="00000000">
            <w:pPr>
              <w:pStyle w:val="A-"/>
            </w:pPr>
            <w:r>
              <w:t>1</w:t>
            </w:r>
          </w:p>
        </w:tc>
        <w:tc>
          <w:tcPr>
            <w:tcW w:w="791" w:type="pct"/>
            <w:vMerge w:val="restart"/>
            <w:vAlign w:val="center"/>
          </w:tcPr>
          <w:p w14:paraId="289B1322" w14:textId="77777777" w:rsidR="002E474C" w:rsidRDefault="00000000">
            <w:pPr>
              <w:pStyle w:val="A-"/>
            </w:pPr>
            <w:r>
              <w:t>《危险废物贮存污染控制标准》（</w:t>
            </w:r>
            <w:r>
              <w:t>GB18597-2023</w:t>
            </w:r>
            <w:r>
              <w:t>）</w:t>
            </w:r>
          </w:p>
        </w:tc>
        <w:tc>
          <w:tcPr>
            <w:tcW w:w="1979" w:type="pct"/>
            <w:vAlign w:val="center"/>
          </w:tcPr>
          <w:p w14:paraId="6039B5BF" w14:textId="77777777" w:rsidR="002E474C" w:rsidRDefault="00000000">
            <w:pPr>
              <w:pStyle w:val="A-"/>
              <w:ind w:leftChars="-25" w:left="-53" w:rightChars="-25" w:right="-53"/>
              <w:jc w:val="both"/>
            </w:pPr>
            <w:r>
              <w:t xml:space="preserve">5.1 </w:t>
            </w:r>
            <w:r>
              <w:t>贮存设施选址应满足生态环境保护法律法规、规划和</w:t>
            </w:r>
            <w:r>
              <w:t>“</w:t>
            </w:r>
            <w:r>
              <w:t>三线一单</w:t>
            </w:r>
            <w:r>
              <w:t>”</w:t>
            </w:r>
            <w:r>
              <w:t>生态环境分区管控的要求，建设项目应依法进行环境影响评价。</w:t>
            </w:r>
          </w:p>
        </w:tc>
        <w:tc>
          <w:tcPr>
            <w:tcW w:w="1842" w:type="pct"/>
            <w:vAlign w:val="center"/>
          </w:tcPr>
          <w:p w14:paraId="20FE5BA5" w14:textId="77777777" w:rsidR="002E474C" w:rsidRDefault="00000000">
            <w:pPr>
              <w:pStyle w:val="A-"/>
              <w:jc w:val="both"/>
            </w:pPr>
            <w:r>
              <w:t>本项目危废贮存库位于现水泥厂内，由前述分析可知，选址满足生态环境保护法律法规、规划和生态环境分区管控的要求。</w:t>
            </w:r>
          </w:p>
        </w:tc>
      </w:tr>
      <w:tr w:rsidR="002E474C" w14:paraId="5A3E9CCC" w14:textId="77777777">
        <w:tc>
          <w:tcPr>
            <w:tcW w:w="388" w:type="pct"/>
            <w:vMerge/>
            <w:vAlign w:val="center"/>
          </w:tcPr>
          <w:p w14:paraId="205F91A7" w14:textId="77777777" w:rsidR="002E474C" w:rsidRDefault="002E474C">
            <w:pPr>
              <w:pStyle w:val="A-"/>
            </w:pPr>
          </w:p>
        </w:tc>
        <w:tc>
          <w:tcPr>
            <w:tcW w:w="791" w:type="pct"/>
            <w:vMerge/>
            <w:vAlign w:val="center"/>
          </w:tcPr>
          <w:p w14:paraId="0D63692C" w14:textId="77777777" w:rsidR="002E474C" w:rsidRDefault="002E474C">
            <w:pPr>
              <w:pStyle w:val="A-"/>
            </w:pPr>
          </w:p>
        </w:tc>
        <w:tc>
          <w:tcPr>
            <w:tcW w:w="1979" w:type="pct"/>
            <w:vAlign w:val="center"/>
          </w:tcPr>
          <w:p w14:paraId="39C6649F" w14:textId="77777777" w:rsidR="002E474C" w:rsidRDefault="00000000">
            <w:pPr>
              <w:pStyle w:val="A-"/>
              <w:jc w:val="both"/>
            </w:pPr>
            <w:r>
              <w:t xml:space="preserve">5.2 </w:t>
            </w:r>
            <w:r>
              <w:t>集中贮存设施不应选在生态保护红线区域、永久基本农田和其他需要特别保护的区域内，不应建在溶洞区或易遭受洪水、滑坡、泥石流、潮汐等严重自然灾害影响的地区。</w:t>
            </w:r>
          </w:p>
        </w:tc>
        <w:tc>
          <w:tcPr>
            <w:tcW w:w="1842" w:type="pct"/>
            <w:vAlign w:val="center"/>
          </w:tcPr>
          <w:p w14:paraId="0B0F04FA" w14:textId="77777777" w:rsidR="002E474C" w:rsidRDefault="00000000">
            <w:pPr>
              <w:pStyle w:val="A-"/>
              <w:ind w:leftChars="-25" w:left="-53" w:rightChars="-25" w:right="-53"/>
              <w:jc w:val="both"/>
            </w:pPr>
            <w:r>
              <w:t>本项目危废贮存库及固态危废预处理车间位于现水泥厂内，不在生态保护红线区域、永久基本农田和其他需要特别保护的区域内，也不在溶洞区或易遭受洪水、滑坡、泥石流、潮汐等严重自然灾害影响的地区。</w:t>
            </w:r>
          </w:p>
        </w:tc>
      </w:tr>
      <w:tr w:rsidR="002E474C" w14:paraId="213F173D" w14:textId="77777777">
        <w:tc>
          <w:tcPr>
            <w:tcW w:w="388" w:type="pct"/>
            <w:vMerge/>
            <w:vAlign w:val="center"/>
          </w:tcPr>
          <w:p w14:paraId="2F121DDE" w14:textId="77777777" w:rsidR="002E474C" w:rsidRDefault="002E474C">
            <w:pPr>
              <w:pStyle w:val="A-"/>
            </w:pPr>
          </w:p>
        </w:tc>
        <w:tc>
          <w:tcPr>
            <w:tcW w:w="791" w:type="pct"/>
            <w:vMerge/>
            <w:vAlign w:val="center"/>
          </w:tcPr>
          <w:p w14:paraId="6510ACBB" w14:textId="77777777" w:rsidR="002E474C" w:rsidRDefault="002E474C">
            <w:pPr>
              <w:pStyle w:val="A-"/>
            </w:pPr>
          </w:p>
        </w:tc>
        <w:tc>
          <w:tcPr>
            <w:tcW w:w="1979" w:type="pct"/>
            <w:vAlign w:val="center"/>
          </w:tcPr>
          <w:p w14:paraId="4BBF6F07" w14:textId="77777777" w:rsidR="002E474C" w:rsidRDefault="00000000">
            <w:pPr>
              <w:pStyle w:val="A-"/>
              <w:jc w:val="both"/>
            </w:pPr>
            <w:r>
              <w:t xml:space="preserve">5.3 </w:t>
            </w:r>
            <w:r>
              <w:t>贮存设施不应选在江河、湖</w:t>
            </w:r>
            <w:r>
              <w:lastRenderedPageBreak/>
              <w:t>泊、运河、渠道、水库及其最高水位线以下的滩地和岸坡，以及法律法规规定禁止贮存危险废物的其他地点。</w:t>
            </w:r>
          </w:p>
        </w:tc>
        <w:tc>
          <w:tcPr>
            <w:tcW w:w="1842" w:type="pct"/>
            <w:vAlign w:val="center"/>
          </w:tcPr>
          <w:p w14:paraId="0A134B5E" w14:textId="77777777" w:rsidR="002E474C" w:rsidRDefault="00000000">
            <w:pPr>
              <w:pStyle w:val="A-"/>
              <w:jc w:val="both"/>
            </w:pPr>
            <w:r>
              <w:lastRenderedPageBreak/>
              <w:t>本项目危废贮存库及固态危废</w:t>
            </w:r>
            <w:r>
              <w:lastRenderedPageBreak/>
              <w:t>预处理车间位于现水泥厂内，不在江河、湖泊、运河、渠道、水库及其最高水位线以下的滩地和岸坡。</w:t>
            </w:r>
          </w:p>
        </w:tc>
      </w:tr>
      <w:tr w:rsidR="002E474C" w14:paraId="11B167E4" w14:textId="77777777">
        <w:tc>
          <w:tcPr>
            <w:tcW w:w="388" w:type="pct"/>
            <w:vMerge/>
            <w:vAlign w:val="center"/>
          </w:tcPr>
          <w:p w14:paraId="0C6B3A95" w14:textId="77777777" w:rsidR="002E474C" w:rsidRDefault="002E474C">
            <w:pPr>
              <w:pStyle w:val="A-"/>
            </w:pPr>
          </w:p>
        </w:tc>
        <w:tc>
          <w:tcPr>
            <w:tcW w:w="791" w:type="pct"/>
            <w:vMerge/>
            <w:vAlign w:val="center"/>
          </w:tcPr>
          <w:p w14:paraId="08B31B2F" w14:textId="77777777" w:rsidR="002E474C" w:rsidRDefault="002E474C">
            <w:pPr>
              <w:pStyle w:val="A-"/>
            </w:pPr>
          </w:p>
        </w:tc>
        <w:tc>
          <w:tcPr>
            <w:tcW w:w="1979" w:type="pct"/>
            <w:vAlign w:val="center"/>
          </w:tcPr>
          <w:p w14:paraId="5A267E43" w14:textId="77777777" w:rsidR="002E474C" w:rsidRDefault="00000000">
            <w:pPr>
              <w:pStyle w:val="A-"/>
              <w:jc w:val="both"/>
            </w:pPr>
            <w:r>
              <w:t xml:space="preserve">5.4 </w:t>
            </w:r>
            <w:r>
              <w:t>贮存设施场址的位置以及其与周围环境敏感目标的距离应依据环境影响评价文件确定。</w:t>
            </w:r>
          </w:p>
        </w:tc>
        <w:tc>
          <w:tcPr>
            <w:tcW w:w="1842" w:type="pct"/>
            <w:vAlign w:val="center"/>
          </w:tcPr>
          <w:p w14:paraId="11C6C648" w14:textId="77777777" w:rsidR="002E474C" w:rsidRDefault="00000000">
            <w:pPr>
              <w:pStyle w:val="A-"/>
              <w:ind w:leftChars="-25" w:left="-53" w:rightChars="-25" w:right="-53"/>
              <w:jc w:val="both"/>
            </w:pPr>
            <w:r>
              <w:t>评价根据《大气有害物质无组织排放卫生防护距离推导技术导则》设置</w:t>
            </w:r>
            <w:r>
              <w:t>100m</w:t>
            </w:r>
            <w:r>
              <w:t>卫生防护距离。该区域内无环境敏感目标。</w:t>
            </w:r>
          </w:p>
        </w:tc>
      </w:tr>
      <w:tr w:rsidR="002E474C" w14:paraId="2FCA80BC" w14:textId="77777777">
        <w:tc>
          <w:tcPr>
            <w:tcW w:w="388" w:type="pct"/>
            <w:vMerge w:val="restart"/>
            <w:vAlign w:val="center"/>
          </w:tcPr>
          <w:p w14:paraId="5DEB3DFD" w14:textId="77777777" w:rsidR="002E474C" w:rsidRDefault="00000000">
            <w:pPr>
              <w:pStyle w:val="A-"/>
            </w:pPr>
            <w:r>
              <w:t>2</w:t>
            </w:r>
          </w:p>
        </w:tc>
        <w:tc>
          <w:tcPr>
            <w:tcW w:w="791" w:type="pct"/>
            <w:vMerge w:val="restart"/>
            <w:vAlign w:val="center"/>
          </w:tcPr>
          <w:p w14:paraId="24B5FA8A" w14:textId="77777777" w:rsidR="002E474C" w:rsidRDefault="00000000">
            <w:pPr>
              <w:pStyle w:val="A-"/>
            </w:pPr>
            <w:r>
              <w:t>《水泥窑协同处置固体废物环境保护技术规范》（</w:t>
            </w:r>
            <w:r>
              <w:t>HJ662-2013</w:t>
            </w:r>
            <w:r>
              <w:t>）</w:t>
            </w:r>
          </w:p>
        </w:tc>
        <w:tc>
          <w:tcPr>
            <w:tcW w:w="1979" w:type="pct"/>
            <w:vAlign w:val="center"/>
          </w:tcPr>
          <w:p w14:paraId="74593B9F" w14:textId="77777777" w:rsidR="002E474C" w:rsidRDefault="00000000">
            <w:pPr>
              <w:pStyle w:val="A-"/>
              <w:jc w:val="both"/>
            </w:pPr>
            <w:r>
              <w:t>a</w:t>
            </w:r>
            <w:r>
              <w:t>）符合城市总体发展规划、城市工业发展规划要求。</w:t>
            </w:r>
          </w:p>
        </w:tc>
        <w:tc>
          <w:tcPr>
            <w:tcW w:w="1842" w:type="pct"/>
            <w:vAlign w:val="center"/>
          </w:tcPr>
          <w:p w14:paraId="1E514B82" w14:textId="77777777" w:rsidR="002E474C" w:rsidRDefault="00000000">
            <w:pPr>
              <w:pStyle w:val="A-"/>
              <w:jc w:val="both"/>
            </w:pPr>
            <w:r>
              <w:t>本项目符合相关规划要求。</w:t>
            </w:r>
          </w:p>
        </w:tc>
      </w:tr>
      <w:tr w:rsidR="002E474C" w14:paraId="5E2216E1" w14:textId="77777777">
        <w:tc>
          <w:tcPr>
            <w:tcW w:w="388" w:type="pct"/>
            <w:vMerge/>
            <w:vAlign w:val="center"/>
          </w:tcPr>
          <w:p w14:paraId="06B98338" w14:textId="77777777" w:rsidR="002E474C" w:rsidRDefault="002E474C">
            <w:pPr>
              <w:pStyle w:val="A-"/>
            </w:pPr>
          </w:p>
        </w:tc>
        <w:tc>
          <w:tcPr>
            <w:tcW w:w="791" w:type="pct"/>
            <w:vMerge/>
          </w:tcPr>
          <w:p w14:paraId="15EBA36F" w14:textId="77777777" w:rsidR="002E474C" w:rsidRDefault="002E474C">
            <w:pPr>
              <w:pStyle w:val="A-"/>
            </w:pPr>
          </w:p>
        </w:tc>
        <w:tc>
          <w:tcPr>
            <w:tcW w:w="1979" w:type="pct"/>
            <w:vAlign w:val="center"/>
          </w:tcPr>
          <w:p w14:paraId="0BE9939F" w14:textId="77777777" w:rsidR="002E474C" w:rsidRDefault="00000000">
            <w:pPr>
              <w:pStyle w:val="A-"/>
              <w:jc w:val="both"/>
            </w:pPr>
            <w:r>
              <w:t>b</w:t>
            </w:r>
            <w:r>
              <w:t>）所在区域无洪水、潮水或内涝威胁。设施所在标高应位于重现期不小于</w:t>
            </w:r>
            <w:r>
              <w:t>100</w:t>
            </w:r>
            <w:r>
              <w:t>年一遇的洪水位之上，并建设在现有和各类规划中的水库等人工蓄水设施的淹没区和保护区之外。</w:t>
            </w:r>
          </w:p>
        </w:tc>
        <w:tc>
          <w:tcPr>
            <w:tcW w:w="1842" w:type="pct"/>
            <w:vAlign w:val="center"/>
          </w:tcPr>
          <w:p w14:paraId="1AD0FA61" w14:textId="77777777" w:rsidR="002E474C" w:rsidRDefault="00000000">
            <w:pPr>
              <w:pStyle w:val="A-"/>
              <w:jc w:val="both"/>
            </w:pPr>
            <w:r>
              <w:t>符合要求。</w:t>
            </w:r>
          </w:p>
        </w:tc>
      </w:tr>
      <w:tr w:rsidR="002E474C" w14:paraId="509E7539" w14:textId="77777777">
        <w:tc>
          <w:tcPr>
            <w:tcW w:w="388" w:type="pct"/>
            <w:vMerge/>
            <w:vAlign w:val="center"/>
          </w:tcPr>
          <w:p w14:paraId="5CD4A60E" w14:textId="77777777" w:rsidR="002E474C" w:rsidRDefault="002E474C">
            <w:pPr>
              <w:pStyle w:val="A-"/>
            </w:pPr>
          </w:p>
        </w:tc>
        <w:tc>
          <w:tcPr>
            <w:tcW w:w="791" w:type="pct"/>
            <w:vMerge/>
          </w:tcPr>
          <w:p w14:paraId="64F34BA3" w14:textId="77777777" w:rsidR="002E474C" w:rsidRDefault="002E474C">
            <w:pPr>
              <w:pStyle w:val="A-"/>
            </w:pPr>
          </w:p>
        </w:tc>
        <w:tc>
          <w:tcPr>
            <w:tcW w:w="1979" w:type="pct"/>
            <w:vAlign w:val="center"/>
          </w:tcPr>
          <w:p w14:paraId="64A9A346" w14:textId="77777777" w:rsidR="002E474C" w:rsidRDefault="00000000">
            <w:pPr>
              <w:pStyle w:val="A-"/>
              <w:ind w:leftChars="-25" w:left="-53" w:rightChars="-25" w:right="-53"/>
              <w:jc w:val="both"/>
            </w:pPr>
            <w:r>
              <w:t>c</w:t>
            </w:r>
            <w:r>
              <w:t>）协同处置危险废物的设施，经当地环境保护行政主管部门批准的环境影响评价结论确认与居民区、商业区、学校、医院等环境敏感区的距离满足环境保护的需要。</w:t>
            </w:r>
          </w:p>
        </w:tc>
        <w:tc>
          <w:tcPr>
            <w:tcW w:w="1842" w:type="pct"/>
            <w:vAlign w:val="center"/>
          </w:tcPr>
          <w:p w14:paraId="5AE9A652" w14:textId="77777777" w:rsidR="002E474C" w:rsidRDefault="00000000">
            <w:pPr>
              <w:pStyle w:val="A-"/>
              <w:jc w:val="both"/>
            </w:pPr>
            <w:r>
              <w:t>经预测，本项目各污染物落地浓度均满足环境质量标准，无需设置大气防护距离。</w:t>
            </w:r>
          </w:p>
        </w:tc>
      </w:tr>
      <w:tr w:rsidR="002E474C" w14:paraId="0B17EE91" w14:textId="77777777">
        <w:tc>
          <w:tcPr>
            <w:tcW w:w="388" w:type="pct"/>
            <w:vMerge/>
            <w:vAlign w:val="center"/>
          </w:tcPr>
          <w:p w14:paraId="6A03F8F3" w14:textId="77777777" w:rsidR="002E474C" w:rsidRDefault="002E474C">
            <w:pPr>
              <w:pStyle w:val="A-"/>
            </w:pPr>
          </w:p>
        </w:tc>
        <w:tc>
          <w:tcPr>
            <w:tcW w:w="791" w:type="pct"/>
            <w:vMerge/>
          </w:tcPr>
          <w:p w14:paraId="35727C09" w14:textId="77777777" w:rsidR="002E474C" w:rsidRDefault="002E474C">
            <w:pPr>
              <w:pStyle w:val="A-"/>
            </w:pPr>
          </w:p>
        </w:tc>
        <w:tc>
          <w:tcPr>
            <w:tcW w:w="1979" w:type="pct"/>
            <w:vAlign w:val="center"/>
          </w:tcPr>
          <w:p w14:paraId="040D457B" w14:textId="77777777" w:rsidR="002E474C" w:rsidRDefault="00000000">
            <w:pPr>
              <w:pStyle w:val="A-"/>
              <w:jc w:val="both"/>
            </w:pPr>
            <w:r>
              <w:t>d</w:t>
            </w:r>
            <w:r>
              <w:t>）协同处置危险废物的，其运输路线应不经过居民区、商业区、学校、医院等环境敏感区。</w:t>
            </w:r>
          </w:p>
        </w:tc>
        <w:tc>
          <w:tcPr>
            <w:tcW w:w="1842" w:type="pct"/>
            <w:vAlign w:val="center"/>
          </w:tcPr>
          <w:p w14:paraId="0C2F3BDB" w14:textId="77777777" w:rsidR="002E474C" w:rsidRDefault="00000000">
            <w:pPr>
              <w:pStyle w:val="A-"/>
              <w:jc w:val="both"/>
            </w:pPr>
            <w:r>
              <w:t>本项目仅承担接收处置危险废物，不负责运输危废，产废单位将委托有资质的单位进行危废运输。此外，本评价已提出运输危险废物的车辆应密闭，并应按设计拟定路线行驶，同时应配备全球卫星定位和事故报警装置。并须制定应急处理程序，一旦发生翻车或撞车等导致危险废物泄漏的事故须立即进入应急处理程序的要求。</w:t>
            </w:r>
          </w:p>
        </w:tc>
      </w:tr>
    </w:tbl>
    <w:p w14:paraId="3027F862" w14:textId="77777777" w:rsidR="002E474C" w:rsidRDefault="002E474C">
      <w:bookmarkStart w:id="41" w:name="_Toc225848841"/>
    </w:p>
    <w:p w14:paraId="08709AED" w14:textId="77777777" w:rsidR="002E474C" w:rsidRDefault="00000000">
      <w:pPr>
        <w:pStyle w:val="A-z"/>
        <w:rPr>
          <w:color w:val="auto"/>
        </w:rPr>
      </w:pPr>
      <w:r>
        <w:rPr>
          <w:color w:val="auto"/>
        </w:rPr>
        <w:t>综上分析，本项目不涉及国家及地方环境敏感目标，符合园区总体规划的产业分区规划、用地规划及环境保护规划，符合自治区及吐鲁番市生态环境分区管控方案，符合行业技术规范管理要求，选址可行。</w:t>
      </w:r>
    </w:p>
    <w:p w14:paraId="62F428F9" w14:textId="77777777" w:rsidR="002E474C" w:rsidRDefault="00000000">
      <w:pPr>
        <w:pStyle w:val="21"/>
        <w:spacing w:before="240" w:after="240"/>
        <w:rPr>
          <w:color w:val="auto"/>
        </w:rPr>
      </w:pPr>
      <w:bookmarkStart w:id="42" w:name="_Toc7205"/>
      <w:r>
        <w:rPr>
          <w:color w:val="auto"/>
        </w:rPr>
        <w:t>关注的主要环境影响及环境问题</w:t>
      </w:r>
      <w:bookmarkEnd w:id="41"/>
      <w:bookmarkEnd w:id="42"/>
    </w:p>
    <w:p w14:paraId="4BD4BF1C" w14:textId="77777777" w:rsidR="002E474C" w:rsidRDefault="00000000">
      <w:pPr>
        <w:pStyle w:val="A-z"/>
        <w:rPr>
          <w:color w:val="auto"/>
        </w:rPr>
      </w:pPr>
      <w:r>
        <w:rPr>
          <w:color w:val="auto"/>
        </w:rPr>
        <w:t>本环评关注的主要环境问题包括：项目生产过程中产生的废气污染物能否得到有效治理，生产废水能否实现安全处置，固体废物能否实现综合利用，存在的环境风险是否可以接受等是本次环评关注的主要环境问题。</w:t>
      </w:r>
    </w:p>
    <w:p w14:paraId="3BB4692B" w14:textId="77777777" w:rsidR="002E474C" w:rsidRDefault="00000000">
      <w:pPr>
        <w:pStyle w:val="A-z"/>
        <w:rPr>
          <w:color w:val="auto"/>
        </w:rPr>
      </w:pPr>
      <w:r>
        <w:rPr>
          <w:color w:val="auto"/>
        </w:rPr>
        <w:t>本项目环境影响评价工作，结合厂址地区环境特点、工程特点，重点关注以下环境影响：</w:t>
      </w:r>
    </w:p>
    <w:p w14:paraId="133361DA" w14:textId="77777777" w:rsidR="002E474C" w:rsidRDefault="00000000">
      <w:pPr>
        <w:pStyle w:val="A-z"/>
        <w:rPr>
          <w:color w:val="auto"/>
        </w:rPr>
      </w:pPr>
      <w:r>
        <w:rPr>
          <w:color w:val="auto"/>
        </w:rPr>
        <w:lastRenderedPageBreak/>
        <w:t>（</w:t>
      </w:r>
      <w:r>
        <w:rPr>
          <w:color w:val="auto"/>
        </w:rPr>
        <w:t>1</w:t>
      </w:r>
      <w:r>
        <w:rPr>
          <w:color w:val="auto"/>
        </w:rPr>
        <w:t>）水泥窑窑尾烟气、危废贮运和预处理过程中废气排放对厂区周边大气环境质量的影响。</w:t>
      </w:r>
    </w:p>
    <w:p w14:paraId="353DA9C2" w14:textId="77777777" w:rsidR="002E474C" w:rsidRDefault="00000000">
      <w:pPr>
        <w:pStyle w:val="A-z"/>
        <w:rPr>
          <w:color w:val="auto"/>
        </w:rPr>
      </w:pPr>
      <w:r>
        <w:rPr>
          <w:color w:val="auto"/>
        </w:rPr>
        <w:t>（</w:t>
      </w:r>
      <w:r>
        <w:rPr>
          <w:color w:val="auto"/>
        </w:rPr>
        <w:t>2</w:t>
      </w:r>
      <w:r>
        <w:rPr>
          <w:color w:val="auto"/>
        </w:rPr>
        <w:t>）生产废水经废水收集池收集、暂存与返回转窑焚烧过程，实现不外排，避免发生水环境污染事故，造成水环境影响。</w:t>
      </w:r>
    </w:p>
    <w:p w14:paraId="19A64ED8" w14:textId="77777777" w:rsidR="002E474C" w:rsidRDefault="00000000">
      <w:pPr>
        <w:pStyle w:val="A-z"/>
        <w:rPr>
          <w:color w:val="auto"/>
        </w:rPr>
      </w:pPr>
      <w:r>
        <w:rPr>
          <w:color w:val="auto"/>
        </w:rPr>
        <w:t>（</w:t>
      </w:r>
      <w:r>
        <w:rPr>
          <w:color w:val="auto"/>
        </w:rPr>
        <w:t>3</w:t>
      </w:r>
      <w:r>
        <w:rPr>
          <w:color w:val="auto"/>
        </w:rPr>
        <w:t>）拟处理的危险废物预处理产物及运行中产生的危险废物安全贮存及处置，避免工业危险废物对生态环境的影响。</w:t>
      </w:r>
    </w:p>
    <w:p w14:paraId="1C2B865E" w14:textId="77777777" w:rsidR="002E474C" w:rsidRDefault="00000000">
      <w:pPr>
        <w:pStyle w:val="A-z"/>
        <w:rPr>
          <w:color w:val="auto"/>
        </w:rPr>
      </w:pPr>
      <w:r>
        <w:rPr>
          <w:color w:val="auto"/>
        </w:rPr>
        <w:t>（</w:t>
      </w:r>
      <w:r>
        <w:rPr>
          <w:color w:val="auto"/>
        </w:rPr>
        <w:t>4</w:t>
      </w:r>
      <w:r>
        <w:rPr>
          <w:color w:val="auto"/>
        </w:rPr>
        <w:t>）废气处理设施、废水贮存与回用设施、协同处置设施如发生突发环境事件，可能对生态环境造成的不利影响。</w:t>
      </w:r>
    </w:p>
    <w:p w14:paraId="4CCE8C14" w14:textId="77777777" w:rsidR="002E474C" w:rsidRDefault="00000000">
      <w:pPr>
        <w:pStyle w:val="21"/>
        <w:spacing w:before="240" w:after="240"/>
        <w:rPr>
          <w:color w:val="auto"/>
        </w:rPr>
      </w:pPr>
      <w:bookmarkStart w:id="43" w:name="_Toc225848842"/>
      <w:bookmarkStart w:id="44" w:name="_Toc20155"/>
      <w:r>
        <w:rPr>
          <w:color w:val="auto"/>
        </w:rPr>
        <w:t>环境影响报告书的主要结论</w:t>
      </w:r>
      <w:bookmarkEnd w:id="43"/>
      <w:bookmarkEnd w:id="44"/>
    </w:p>
    <w:p w14:paraId="2AE0C37E" w14:textId="77777777" w:rsidR="002E474C" w:rsidRDefault="00000000">
      <w:pPr>
        <w:pStyle w:val="A-z"/>
        <w:rPr>
          <w:color w:val="auto"/>
        </w:rPr>
      </w:pPr>
      <w:r>
        <w:rPr>
          <w:color w:val="auto"/>
        </w:rPr>
        <w:t>综合分析，本项目位于托克逊县阿乐惠镇</w:t>
      </w:r>
      <w:r>
        <w:rPr>
          <w:color w:val="auto"/>
          <w:lang w:val="en-US"/>
        </w:rPr>
        <w:t>圣雄同心工业园氯碱配套产业区，用地为园区三类工业用地</w:t>
      </w:r>
      <w:r>
        <w:rPr>
          <w:color w:val="auto"/>
        </w:rPr>
        <w:t>，符合区域环境功能区划和生态功能区划的要求，选址及总平面布局合理可行；项目建设符合国家、自治区以及地方产业政策，属于鼓励类项目；在按</w:t>
      </w:r>
      <w:r>
        <w:rPr>
          <w:color w:val="auto"/>
        </w:rPr>
        <w:t>“</w:t>
      </w:r>
      <w:r>
        <w:rPr>
          <w:color w:val="auto"/>
        </w:rPr>
        <w:t>三同时</w:t>
      </w:r>
      <w:r>
        <w:rPr>
          <w:color w:val="auto"/>
        </w:rPr>
        <w:t>”</w:t>
      </w:r>
      <w:r>
        <w:rPr>
          <w:color w:val="auto"/>
        </w:rPr>
        <w:t>要求，严格落实各项污染防控措施和对策条件下，</w:t>
      </w:r>
      <w:r>
        <w:rPr>
          <w:color w:val="auto"/>
          <w:lang w:val="en-US"/>
        </w:rPr>
        <w:t>“</w:t>
      </w:r>
      <w:r>
        <w:rPr>
          <w:color w:val="auto"/>
          <w:lang w:val="en-US"/>
        </w:rPr>
        <w:t>三废</w:t>
      </w:r>
      <w:r>
        <w:rPr>
          <w:color w:val="auto"/>
          <w:lang w:val="en-US"/>
        </w:rPr>
        <w:t>”</w:t>
      </w:r>
      <w:r>
        <w:rPr>
          <w:color w:val="auto"/>
          <w:lang w:val="en-US"/>
        </w:rPr>
        <w:t>排放能够满足相应排放标准和控制标准要求，同时</w:t>
      </w:r>
      <w:r>
        <w:rPr>
          <w:color w:val="auto"/>
        </w:rPr>
        <w:t>项目建设可以有效处置区域的危险废物，解决了区域现有危险废物处置能力的矛盾，也可实现水泥生产企业的可持续发展，可以有效解决区域危险废物处置缺口的环境问题；项目的建设对于区域的环境保护总体上是有正面、积极意义的，从环保角度分析，本项目建设具有环境可行性。</w:t>
      </w:r>
    </w:p>
    <w:p w14:paraId="0BB885A7" w14:textId="77777777" w:rsidR="002E474C" w:rsidRDefault="002E474C">
      <w:pPr>
        <w:pStyle w:val="A-z"/>
        <w:rPr>
          <w:color w:val="auto"/>
        </w:rPr>
      </w:pPr>
    </w:p>
    <w:p w14:paraId="40EC1915"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3C8B040F" w14:textId="77777777" w:rsidR="002E474C" w:rsidRDefault="00000000">
      <w:pPr>
        <w:pStyle w:val="1"/>
        <w:spacing w:before="120" w:after="120"/>
      </w:pPr>
      <w:bookmarkStart w:id="45" w:name="_Toc30921"/>
      <w:bookmarkStart w:id="46" w:name="_Toc225848843"/>
      <w:r>
        <w:lastRenderedPageBreak/>
        <w:t>总则</w:t>
      </w:r>
      <w:bookmarkEnd w:id="45"/>
      <w:bookmarkEnd w:id="46"/>
    </w:p>
    <w:p w14:paraId="3C278D97" w14:textId="77777777" w:rsidR="002E474C" w:rsidRDefault="00000000">
      <w:pPr>
        <w:pStyle w:val="21"/>
        <w:spacing w:before="240" w:after="240"/>
        <w:rPr>
          <w:color w:val="auto"/>
          <w:lang w:val="zh-CN"/>
        </w:rPr>
      </w:pPr>
      <w:bookmarkStart w:id="47" w:name="_Toc8606"/>
      <w:bookmarkStart w:id="48" w:name="_Toc225848844"/>
      <w:r>
        <w:rPr>
          <w:color w:val="auto"/>
          <w:lang w:val="zh-CN"/>
        </w:rPr>
        <w:t>评价总体思路</w:t>
      </w:r>
      <w:bookmarkEnd w:id="47"/>
      <w:bookmarkEnd w:id="48"/>
    </w:p>
    <w:p w14:paraId="546FA109" w14:textId="77777777" w:rsidR="002E474C" w:rsidRDefault="00000000">
      <w:pPr>
        <w:pStyle w:val="31"/>
        <w:spacing w:before="120" w:after="120"/>
        <w:rPr>
          <w:color w:val="auto"/>
        </w:rPr>
      </w:pPr>
      <w:r>
        <w:rPr>
          <w:color w:val="auto"/>
        </w:rPr>
        <w:t>评价目的</w:t>
      </w:r>
    </w:p>
    <w:p w14:paraId="5981C589" w14:textId="77777777" w:rsidR="002E474C" w:rsidRDefault="00000000">
      <w:pPr>
        <w:pStyle w:val="A-z"/>
        <w:ind w:firstLine="456"/>
        <w:rPr>
          <w:color w:val="auto"/>
          <w:spacing w:val="-6"/>
        </w:rPr>
      </w:pPr>
      <w:r>
        <w:rPr>
          <w:color w:val="auto"/>
          <w:spacing w:val="-6"/>
        </w:rPr>
        <w:t>（</w:t>
      </w:r>
      <w:r>
        <w:rPr>
          <w:color w:val="auto"/>
          <w:spacing w:val="-6"/>
        </w:rPr>
        <w:t>1</w:t>
      </w:r>
      <w:r>
        <w:rPr>
          <w:color w:val="auto"/>
          <w:spacing w:val="-6"/>
        </w:rPr>
        <w:t>）通过调查分析建设项目所在区域的环境概况，掌握评价区域的环境敏感目标；充分收集现有资料，进行现场踏勘和必要的现场监测，查清评价区域环境现状，进行环境质量现状评价；全面深入分析建设项目工程内容，掌握建设项目运营期各污染源主要污染物的排放特征，确定污染源强，计算污染物产生及排放量。</w:t>
      </w:r>
    </w:p>
    <w:p w14:paraId="62840EDB" w14:textId="77777777" w:rsidR="002E474C" w:rsidRDefault="00000000">
      <w:pPr>
        <w:pStyle w:val="A-z"/>
        <w:ind w:firstLine="456"/>
        <w:rPr>
          <w:color w:val="auto"/>
          <w:spacing w:val="-6"/>
        </w:rPr>
      </w:pPr>
      <w:r>
        <w:rPr>
          <w:color w:val="auto"/>
          <w:spacing w:val="-6"/>
        </w:rPr>
        <w:t>（</w:t>
      </w:r>
      <w:r>
        <w:rPr>
          <w:color w:val="auto"/>
          <w:spacing w:val="-6"/>
        </w:rPr>
        <w:t>2</w:t>
      </w:r>
      <w:r>
        <w:rPr>
          <w:color w:val="auto"/>
          <w:spacing w:val="-6"/>
        </w:rPr>
        <w:t>）根据区域环境特征和项目污染物排放特征，预测和分析建设项目对周围环境影响的范围和程度，从环境保护角度分析论证建设项目对周围环境的影响。</w:t>
      </w:r>
    </w:p>
    <w:p w14:paraId="7F3ACB96" w14:textId="77777777" w:rsidR="002E474C" w:rsidRDefault="00000000">
      <w:pPr>
        <w:pStyle w:val="A-z"/>
        <w:rPr>
          <w:color w:val="auto"/>
        </w:rPr>
      </w:pPr>
      <w:r>
        <w:rPr>
          <w:color w:val="auto"/>
        </w:rPr>
        <w:t>（</w:t>
      </w:r>
      <w:r>
        <w:rPr>
          <w:color w:val="auto"/>
        </w:rPr>
        <w:t>3</w:t>
      </w:r>
      <w:r>
        <w:rPr>
          <w:color w:val="auto"/>
        </w:rPr>
        <w:t>）通过对项目污染治理设施的经济技术合理性分析和达标排放的可靠性分析，提出进一步减缓污染的对策措施和建议，为优化环境项目设计以及建设项目的环境管理与环境监测提供依据。</w:t>
      </w:r>
    </w:p>
    <w:p w14:paraId="0DA12624" w14:textId="77777777" w:rsidR="002E474C" w:rsidRDefault="00000000">
      <w:pPr>
        <w:pStyle w:val="A-z"/>
        <w:rPr>
          <w:color w:val="auto"/>
        </w:rPr>
      </w:pPr>
      <w:r>
        <w:rPr>
          <w:color w:val="auto"/>
        </w:rPr>
        <w:t>（</w:t>
      </w:r>
      <w:r>
        <w:rPr>
          <w:color w:val="auto"/>
        </w:rPr>
        <w:t>4</w:t>
      </w:r>
      <w:r>
        <w:rPr>
          <w:color w:val="auto"/>
        </w:rPr>
        <w:t>）在以上工作的基础上，从环境保护角度论证项目建设的可行性。</w:t>
      </w:r>
    </w:p>
    <w:p w14:paraId="7A40F53D" w14:textId="77777777" w:rsidR="002E474C" w:rsidRDefault="00000000">
      <w:pPr>
        <w:pStyle w:val="31"/>
        <w:spacing w:before="120" w:after="120"/>
        <w:rPr>
          <w:color w:val="auto"/>
        </w:rPr>
      </w:pPr>
      <w:r>
        <w:rPr>
          <w:color w:val="auto"/>
        </w:rPr>
        <w:t>评价原则</w:t>
      </w:r>
    </w:p>
    <w:p w14:paraId="290D0DE9" w14:textId="77777777" w:rsidR="002E474C" w:rsidRDefault="00000000">
      <w:pPr>
        <w:pStyle w:val="A-z"/>
        <w:rPr>
          <w:color w:val="auto"/>
        </w:rPr>
      </w:pPr>
      <w:r>
        <w:rPr>
          <w:color w:val="auto"/>
        </w:rPr>
        <w:t>突出环境影响评价的源头预防作用，坚持保护和改善环境质量。</w:t>
      </w:r>
    </w:p>
    <w:p w14:paraId="74DB7B15" w14:textId="77777777" w:rsidR="002E474C" w:rsidRDefault="00000000">
      <w:pPr>
        <w:pStyle w:val="A-z"/>
        <w:rPr>
          <w:color w:val="auto"/>
        </w:rPr>
      </w:pPr>
      <w:r>
        <w:rPr>
          <w:color w:val="auto"/>
        </w:rPr>
        <w:t>（</w:t>
      </w:r>
      <w:r>
        <w:rPr>
          <w:color w:val="auto"/>
        </w:rPr>
        <w:t>1</w:t>
      </w:r>
      <w:r>
        <w:rPr>
          <w:color w:val="auto"/>
        </w:rPr>
        <w:t>）依法评价</w:t>
      </w:r>
    </w:p>
    <w:p w14:paraId="230DD3DC" w14:textId="77777777" w:rsidR="002E474C" w:rsidRDefault="00000000">
      <w:pPr>
        <w:pStyle w:val="A-z"/>
        <w:rPr>
          <w:color w:val="auto"/>
        </w:rPr>
      </w:pPr>
      <w:r>
        <w:rPr>
          <w:color w:val="auto"/>
        </w:rPr>
        <w:t>贯彻执行国家、地方生态环境保护相关法律法规、标准、政策和规划等，优化本项目建设，服务环境管理。</w:t>
      </w:r>
    </w:p>
    <w:p w14:paraId="648562E1" w14:textId="77777777" w:rsidR="002E474C" w:rsidRDefault="00000000">
      <w:pPr>
        <w:pStyle w:val="A-z"/>
        <w:rPr>
          <w:color w:val="auto"/>
        </w:rPr>
      </w:pPr>
      <w:r>
        <w:rPr>
          <w:color w:val="auto"/>
        </w:rPr>
        <w:t>（</w:t>
      </w:r>
      <w:r>
        <w:rPr>
          <w:color w:val="auto"/>
        </w:rPr>
        <w:t>2</w:t>
      </w:r>
      <w:r>
        <w:rPr>
          <w:color w:val="auto"/>
        </w:rPr>
        <w:t>）科学评价</w:t>
      </w:r>
    </w:p>
    <w:p w14:paraId="6C2F4846" w14:textId="77777777" w:rsidR="002E474C" w:rsidRDefault="00000000">
      <w:pPr>
        <w:pStyle w:val="A-z"/>
        <w:rPr>
          <w:color w:val="auto"/>
        </w:rPr>
      </w:pPr>
      <w:r>
        <w:rPr>
          <w:color w:val="auto"/>
        </w:rPr>
        <w:t>采用规范的环境影响评价方法，科学分析本项目建设对环境质量的影响。</w:t>
      </w:r>
    </w:p>
    <w:p w14:paraId="6CF48CE7" w14:textId="77777777" w:rsidR="002E474C" w:rsidRDefault="00000000">
      <w:pPr>
        <w:pStyle w:val="A-z"/>
        <w:rPr>
          <w:color w:val="auto"/>
        </w:rPr>
      </w:pPr>
      <w:r>
        <w:rPr>
          <w:color w:val="auto"/>
        </w:rPr>
        <w:t>（</w:t>
      </w:r>
      <w:r>
        <w:rPr>
          <w:color w:val="auto"/>
        </w:rPr>
        <w:t>3</w:t>
      </w:r>
      <w:r>
        <w:rPr>
          <w:color w:val="auto"/>
        </w:rPr>
        <w:t>）突出重点</w:t>
      </w:r>
    </w:p>
    <w:p w14:paraId="7CCE7446" w14:textId="77777777" w:rsidR="002E474C" w:rsidRDefault="00000000">
      <w:pPr>
        <w:pStyle w:val="A-z"/>
        <w:rPr>
          <w:color w:val="auto"/>
        </w:rPr>
      </w:pPr>
      <w:r>
        <w:rPr>
          <w:color w:val="auto"/>
        </w:rPr>
        <w:t>根据本项目的工程内容及其特点，明确与环境要素间的作用效应关系，</w:t>
      </w:r>
      <w:r>
        <w:rPr>
          <w:color w:val="auto"/>
          <w:lang w:val="en-US"/>
        </w:rPr>
        <w:t>根据规划环境影响评价结论和审查意见，</w:t>
      </w:r>
      <w:r>
        <w:rPr>
          <w:color w:val="auto"/>
        </w:rPr>
        <w:t>充分利用符合时效的数据资料及成果，对本项目主要环境影响予以重点分析和评价。</w:t>
      </w:r>
    </w:p>
    <w:p w14:paraId="174F9319" w14:textId="77777777" w:rsidR="002E474C" w:rsidRDefault="00000000">
      <w:pPr>
        <w:pStyle w:val="31"/>
        <w:spacing w:before="120" w:after="120"/>
        <w:rPr>
          <w:color w:val="auto"/>
        </w:rPr>
      </w:pPr>
      <w:r>
        <w:rPr>
          <w:color w:val="auto"/>
        </w:rPr>
        <w:t>评价内容</w:t>
      </w:r>
    </w:p>
    <w:p w14:paraId="62CAEEB0" w14:textId="77777777" w:rsidR="002E474C" w:rsidRDefault="00000000">
      <w:pPr>
        <w:pStyle w:val="A-z"/>
        <w:rPr>
          <w:color w:val="auto"/>
        </w:rPr>
      </w:pPr>
      <w:r>
        <w:rPr>
          <w:color w:val="auto"/>
        </w:rPr>
        <w:lastRenderedPageBreak/>
        <w:t>根据总纲等导则要求，评价内容包括概述、总则、建设项目工程分析、环境现状调查与评价、环境影响预测与评价、环境保护措施及其可行性论证、环境影响经济损益分析、环境管理与监测计划、环境影响评价结论等内容。</w:t>
      </w:r>
    </w:p>
    <w:p w14:paraId="1E33B027" w14:textId="77777777" w:rsidR="002E474C" w:rsidRDefault="00000000">
      <w:pPr>
        <w:pStyle w:val="31"/>
        <w:spacing w:before="120" w:after="120"/>
        <w:rPr>
          <w:color w:val="auto"/>
        </w:rPr>
      </w:pPr>
      <w:r>
        <w:rPr>
          <w:color w:val="auto"/>
        </w:rPr>
        <w:t>评价重点</w:t>
      </w:r>
    </w:p>
    <w:p w14:paraId="3FF99652" w14:textId="77777777" w:rsidR="002E474C" w:rsidRDefault="00000000">
      <w:pPr>
        <w:pStyle w:val="A-z"/>
        <w:rPr>
          <w:color w:val="auto"/>
        </w:rPr>
      </w:pPr>
      <w:r>
        <w:rPr>
          <w:color w:val="auto"/>
        </w:rPr>
        <w:t>针对项目特点，确定环境影响评价工作重点为工程分析、依托工程的依托可行性以及污染防治措施可行性论证；大气和土壤环境影响预测与评价；同时结合与有关规划的相符性分析，重点从环境制约因素、环境影响程度等方面论证工程建设的环境合理性，提出切实可行的环境保护对策措施、制定环境保护管理及环境质量监测计划等，为工程建设和环境管理提供依据。</w:t>
      </w:r>
    </w:p>
    <w:p w14:paraId="65088C92" w14:textId="77777777" w:rsidR="002E474C" w:rsidRDefault="00000000">
      <w:pPr>
        <w:pStyle w:val="21"/>
        <w:spacing w:before="240" w:after="240"/>
        <w:rPr>
          <w:color w:val="auto"/>
        </w:rPr>
      </w:pPr>
      <w:bookmarkStart w:id="49" w:name="_Toc225848845"/>
      <w:bookmarkStart w:id="50" w:name="_Toc11474"/>
      <w:r>
        <w:rPr>
          <w:color w:val="auto"/>
        </w:rPr>
        <w:t>编制依据</w:t>
      </w:r>
      <w:bookmarkEnd w:id="49"/>
      <w:bookmarkEnd w:id="50"/>
    </w:p>
    <w:p w14:paraId="1405B381" w14:textId="77777777" w:rsidR="002E474C" w:rsidRDefault="00000000">
      <w:pPr>
        <w:pStyle w:val="31"/>
        <w:spacing w:before="120" w:after="120"/>
        <w:rPr>
          <w:color w:val="auto"/>
        </w:rPr>
      </w:pPr>
      <w:r>
        <w:rPr>
          <w:color w:val="auto"/>
        </w:rPr>
        <w:t>法律法规</w:t>
      </w:r>
    </w:p>
    <w:p w14:paraId="39C41602" w14:textId="77777777" w:rsidR="002E474C" w:rsidRDefault="00000000">
      <w:pPr>
        <w:pStyle w:val="A-z"/>
        <w:rPr>
          <w:color w:val="auto"/>
        </w:rPr>
      </w:pPr>
      <w:r>
        <w:rPr>
          <w:color w:val="auto"/>
        </w:rPr>
        <w:t>（</w:t>
      </w:r>
      <w:r>
        <w:rPr>
          <w:color w:val="auto"/>
        </w:rPr>
        <w:t>1</w:t>
      </w:r>
      <w:r>
        <w:rPr>
          <w:color w:val="auto"/>
        </w:rPr>
        <w:t>）《中华人民共和国环境保护法》，</w:t>
      </w:r>
      <w:r>
        <w:rPr>
          <w:color w:val="auto"/>
        </w:rPr>
        <w:t>2014</w:t>
      </w:r>
      <w:r>
        <w:rPr>
          <w:color w:val="auto"/>
        </w:rPr>
        <w:t>年</w:t>
      </w:r>
      <w:r>
        <w:rPr>
          <w:color w:val="auto"/>
        </w:rPr>
        <w:t>4</w:t>
      </w:r>
      <w:r>
        <w:rPr>
          <w:color w:val="auto"/>
        </w:rPr>
        <w:t>月</w:t>
      </w:r>
      <w:r>
        <w:rPr>
          <w:color w:val="auto"/>
        </w:rPr>
        <w:t>24</w:t>
      </w:r>
      <w:r>
        <w:rPr>
          <w:color w:val="auto"/>
        </w:rPr>
        <w:t>日修订，</w:t>
      </w:r>
      <w:r>
        <w:rPr>
          <w:color w:val="auto"/>
        </w:rPr>
        <w:t>2015</w:t>
      </w:r>
      <w:r>
        <w:rPr>
          <w:color w:val="auto"/>
        </w:rPr>
        <w:t>年</w:t>
      </w:r>
      <w:r>
        <w:rPr>
          <w:color w:val="auto"/>
        </w:rPr>
        <w:t>1</w:t>
      </w:r>
      <w:r>
        <w:rPr>
          <w:color w:val="auto"/>
        </w:rPr>
        <w:t>月</w:t>
      </w:r>
      <w:r>
        <w:rPr>
          <w:color w:val="auto"/>
        </w:rPr>
        <w:t>1</w:t>
      </w:r>
      <w:r>
        <w:rPr>
          <w:color w:val="auto"/>
        </w:rPr>
        <w:t>日起施行；</w:t>
      </w:r>
    </w:p>
    <w:p w14:paraId="328D22C5" w14:textId="77777777" w:rsidR="002E474C" w:rsidRDefault="00000000">
      <w:pPr>
        <w:pStyle w:val="A-z"/>
        <w:rPr>
          <w:color w:val="auto"/>
        </w:rPr>
      </w:pPr>
      <w:r>
        <w:rPr>
          <w:color w:val="auto"/>
        </w:rPr>
        <w:t>（</w:t>
      </w:r>
      <w:r>
        <w:rPr>
          <w:color w:val="auto"/>
        </w:rPr>
        <w:t>2</w:t>
      </w:r>
      <w:r>
        <w:rPr>
          <w:color w:val="auto"/>
        </w:rPr>
        <w:t>）《中华人民共和国环境影响评价法》，</w:t>
      </w:r>
      <w:r>
        <w:rPr>
          <w:color w:val="auto"/>
        </w:rPr>
        <w:t>2018</w:t>
      </w:r>
      <w:r>
        <w:rPr>
          <w:color w:val="auto"/>
        </w:rPr>
        <w:t>年</w:t>
      </w:r>
      <w:r>
        <w:rPr>
          <w:color w:val="auto"/>
        </w:rPr>
        <w:t>12</w:t>
      </w:r>
      <w:r>
        <w:rPr>
          <w:color w:val="auto"/>
        </w:rPr>
        <w:t>月</w:t>
      </w:r>
      <w:r>
        <w:rPr>
          <w:color w:val="auto"/>
        </w:rPr>
        <w:t>29</w:t>
      </w:r>
      <w:r>
        <w:rPr>
          <w:color w:val="auto"/>
        </w:rPr>
        <w:t>日修正并施行；</w:t>
      </w:r>
    </w:p>
    <w:p w14:paraId="6B7BA373" w14:textId="77777777" w:rsidR="002E474C" w:rsidRDefault="00000000">
      <w:pPr>
        <w:pStyle w:val="A-z"/>
        <w:rPr>
          <w:color w:val="auto"/>
        </w:rPr>
      </w:pPr>
      <w:r>
        <w:rPr>
          <w:color w:val="auto"/>
        </w:rPr>
        <w:t>（</w:t>
      </w:r>
      <w:r>
        <w:rPr>
          <w:color w:val="auto"/>
        </w:rPr>
        <w:t>3</w:t>
      </w:r>
      <w:r>
        <w:rPr>
          <w:color w:val="auto"/>
        </w:rPr>
        <w:t>）《中华人民共和国水污染防治法》，</w:t>
      </w:r>
      <w:r>
        <w:rPr>
          <w:color w:val="auto"/>
        </w:rPr>
        <w:t>2017</w:t>
      </w:r>
      <w:r>
        <w:rPr>
          <w:color w:val="auto"/>
        </w:rPr>
        <w:t>年</w:t>
      </w:r>
      <w:r>
        <w:rPr>
          <w:color w:val="auto"/>
        </w:rPr>
        <w:t>6</w:t>
      </w:r>
      <w:r>
        <w:rPr>
          <w:color w:val="auto"/>
        </w:rPr>
        <w:t>月</w:t>
      </w:r>
      <w:r>
        <w:rPr>
          <w:color w:val="auto"/>
        </w:rPr>
        <w:t>27</w:t>
      </w:r>
      <w:r>
        <w:rPr>
          <w:color w:val="auto"/>
        </w:rPr>
        <w:t>日修正，</w:t>
      </w:r>
      <w:r>
        <w:rPr>
          <w:color w:val="auto"/>
        </w:rPr>
        <w:t>2018</w:t>
      </w:r>
      <w:r>
        <w:rPr>
          <w:color w:val="auto"/>
        </w:rPr>
        <w:t>年</w:t>
      </w:r>
      <w:r>
        <w:rPr>
          <w:color w:val="auto"/>
        </w:rPr>
        <w:t>1</w:t>
      </w:r>
      <w:r>
        <w:rPr>
          <w:color w:val="auto"/>
        </w:rPr>
        <w:t>月</w:t>
      </w:r>
      <w:r>
        <w:rPr>
          <w:color w:val="auto"/>
        </w:rPr>
        <w:t>1</w:t>
      </w:r>
      <w:r>
        <w:rPr>
          <w:color w:val="auto"/>
        </w:rPr>
        <w:t>日起施行；</w:t>
      </w:r>
    </w:p>
    <w:p w14:paraId="013A625A" w14:textId="77777777" w:rsidR="002E474C" w:rsidRDefault="00000000">
      <w:pPr>
        <w:pStyle w:val="A-z"/>
        <w:rPr>
          <w:color w:val="auto"/>
        </w:rPr>
      </w:pPr>
      <w:r>
        <w:rPr>
          <w:color w:val="auto"/>
        </w:rPr>
        <w:t>（</w:t>
      </w:r>
      <w:r>
        <w:rPr>
          <w:color w:val="auto"/>
        </w:rPr>
        <w:t>4</w:t>
      </w:r>
      <w:r>
        <w:rPr>
          <w:color w:val="auto"/>
        </w:rPr>
        <w:t>）《中华人民共和国大气污染防治法》，</w:t>
      </w:r>
      <w:r>
        <w:rPr>
          <w:color w:val="auto"/>
        </w:rPr>
        <w:t>2018</w:t>
      </w:r>
      <w:r>
        <w:rPr>
          <w:color w:val="auto"/>
        </w:rPr>
        <w:t>年</w:t>
      </w:r>
      <w:r>
        <w:rPr>
          <w:color w:val="auto"/>
        </w:rPr>
        <w:t>10</w:t>
      </w:r>
      <w:r>
        <w:rPr>
          <w:color w:val="auto"/>
        </w:rPr>
        <w:t>月</w:t>
      </w:r>
      <w:r>
        <w:rPr>
          <w:color w:val="auto"/>
        </w:rPr>
        <w:t>26</w:t>
      </w:r>
      <w:r>
        <w:rPr>
          <w:color w:val="auto"/>
        </w:rPr>
        <w:t>日修正并施行；</w:t>
      </w:r>
    </w:p>
    <w:p w14:paraId="37DBB5A4" w14:textId="77777777" w:rsidR="002E474C" w:rsidRDefault="00000000">
      <w:pPr>
        <w:pStyle w:val="A-z"/>
        <w:rPr>
          <w:color w:val="auto"/>
        </w:rPr>
      </w:pPr>
      <w:r>
        <w:rPr>
          <w:color w:val="auto"/>
        </w:rPr>
        <w:t>（</w:t>
      </w:r>
      <w:r>
        <w:rPr>
          <w:color w:val="auto"/>
        </w:rPr>
        <w:t>5</w:t>
      </w:r>
      <w:r>
        <w:rPr>
          <w:color w:val="auto"/>
        </w:rPr>
        <w:t>）《中华人民共和国噪声污染防治法》，中华人民共和国主席令第一〇四号，</w:t>
      </w:r>
      <w:r>
        <w:rPr>
          <w:color w:val="auto"/>
        </w:rPr>
        <w:t>2022</w:t>
      </w:r>
      <w:r>
        <w:rPr>
          <w:color w:val="auto"/>
        </w:rPr>
        <w:t>年</w:t>
      </w:r>
      <w:r>
        <w:rPr>
          <w:color w:val="auto"/>
        </w:rPr>
        <w:t>6</w:t>
      </w:r>
      <w:r>
        <w:rPr>
          <w:color w:val="auto"/>
        </w:rPr>
        <w:t>月</w:t>
      </w:r>
      <w:r>
        <w:rPr>
          <w:color w:val="auto"/>
        </w:rPr>
        <w:t>5</w:t>
      </w:r>
      <w:r>
        <w:rPr>
          <w:color w:val="auto"/>
        </w:rPr>
        <w:t>日起施行；</w:t>
      </w:r>
    </w:p>
    <w:p w14:paraId="02D42F19" w14:textId="77777777" w:rsidR="002E474C" w:rsidRDefault="00000000">
      <w:pPr>
        <w:pStyle w:val="A-z"/>
        <w:rPr>
          <w:color w:val="auto"/>
        </w:rPr>
      </w:pPr>
      <w:r>
        <w:rPr>
          <w:color w:val="auto"/>
        </w:rPr>
        <w:t>（</w:t>
      </w:r>
      <w:r>
        <w:rPr>
          <w:color w:val="auto"/>
        </w:rPr>
        <w:t>6</w:t>
      </w:r>
      <w:r>
        <w:rPr>
          <w:color w:val="auto"/>
        </w:rPr>
        <w:t>）《中华人民共和国固体废物污染环境防治法》，</w:t>
      </w:r>
      <w:r>
        <w:rPr>
          <w:color w:val="auto"/>
        </w:rPr>
        <w:t>2020</w:t>
      </w:r>
      <w:r>
        <w:rPr>
          <w:color w:val="auto"/>
        </w:rPr>
        <w:t>年</w:t>
      </w:r>
      <w:r>
        <w:rPr>
          <w:color w:val="auto"/>
        </w:rPr>
        <w:t>4</w:t>
      </w:r>
      <w:r>
        <w:rPr>
          <w:color w:val="auto"/>
        </w:rPr>
        <w:t>月</w:t>
      </w:r>
      <w:r>
        <w:rPr>
          <w:color w:val="auto"/>
        </w:rPr>
        <w:t>29</w:t>
      </w:r>
      <w:r>
        <w:rPr>
          <w:color w:val="auto"/>
        </w:rPr>
        <w:t>日修正，</w:t>
      </w:r>
      <w:r>
        <w:rPr>
          <w:color w:val="auto"/>
        </w:rPr>
        <w:t>2020</w:t>
      </w:r>
      <w:r>
        <w:rPr>
          <w:color w:val="auto"/>
        </w:rPr>
        <w:t>年</w:t>
      </w:r>
      <w:r>
        <w:rPr>
          <w:color w:val="auto"/>
        </w:rPr>
        <w:t>9</w:t>
      </w:r>
      <w:r>
        <w:rPr>
          <w:color w:val="auto"/>
        </w:rPr>
        <w:t>月</w:t>
      </w:r>
      <w:r>
        <w:rPr>
          <w:color w:val="auto"/>
        </w:rPr>
        <w:t>1</w:t>
      </w:r>
      <w:r>
        <w:rPr>
          <w:color w:val="auto"/>
        </w:rPr>
        <w:t>日施行；</w:t>
      </w:r>
    </w:p>
    <w:p w14:paraId="211F7AD8" w14:textId="77777777" w:rsidR="002E474C" w:rsidRDefault="00000000">
      <w:pPr>
        <w:pStyle w:val="A-z"/>
        <w:rPr>
          <w:color w:val="auto"/>
        </w:rPr>
      </w:pPr>
      <w:r>
        <w:rPr>
          <w:color w:val="auto"/>
        </w:rPr>
        <w:t>（</w:t>
      </w:r>
      <w:r>
        <w:rPr>
          <w:color w:val="auto"/>
        </w:rPr>
        <w:t>7</w:t>
      </w:r>
      <w:r>
        <w:rPr>
          <w:color w:val="auto"/>
        </w:rPr>
        <w:t>）《中华人民共和国土壤污染防治法》，</w:t>
      </w:r>
      <w:r>
        <w:rPr>
          <w:color w:val="auto"/>
        </w:rPr>
        <w:t>2019</w:t>
      </w:r>
      <w:r>
        <w:rPr>
          <w:color w:val="auto"/>
        </w:rPr>
        <w:t>年</w:t>
      </w:r>
      <w:r>
        <w:rPr>
          <w:color w:val="auto"/>
        </w:rPr>
        <w:t>1</w:t>
      </w:r>
      <w:r>
        <w:rPr>
          <w:color w:val="auto"/>
        </w:rPr>
        <w:t>月</w:t>
      </w:r>
      <w:r>
        <w:rPr>
          <w:color w:val="auto"/>
        </w:rPr>
        <w:t>1</w:t>
      </w:r>
      <w:r>
        <w:rPr>
          <w:color w:val="auto"/>
        </w:rPr>
        <w:t>日起施行；</w:t>
      </w:r>
    </w:p>
    <w:p w14:paraId="4FB8831E" w14:textId="77777777" w:rsidR="002E474C" w:rsidRDefault="00000000">
      <w:pPr>
        <w:pStyle w:val="A-z"/>
        <w:rPr>
          <w:color w:val="auto"/>
        </w:rPr>
      </w:pPr>
      <w:r>
        <w:rPr>
          <w:color w:val="auto"/>
        </w:rPr>
        <w:t>（</w:t>
      </w:r>
      <w:r>
        <w:rPr>
          <w:color w:val="auto"/>
        </w:rPr>
        <w:t>8</w:t>
      </w:r>
      <w:r>
        <w:rPr>
          <w:color w:val="auto"/>
        </w:rPr>
        <w:t>）《中华人民共和国水法》，</w:t>
      </w:r>
      <w:r>
        <w:rPr>
          <w:color w:val="auto"/>
        </w:rPr>
        <w:t>2016</w:t>
      </w:r>
      <w:r>
        <w:rPr>
          <w:color w:val="auto"/>
        </w:rPr>
        <w:t>年</w:t>
      </w:r>
      <w:r>
        <w:rPr>
          <w:color w:val="auto"/>
        </w:rPr>
        <w:t>7</w:t>
      </w:r>
      <w:r>
        <w:rPr>
          <w:color w:val="auto"/>
        </w:rPr>
        <w:t>月</w:t>
      </w:r>
      <w:r>
        <w:rPr>
          <w:color w:val="auto"/>
        </w:rPr>
        <w:t>2</w:t>
      </w:r>
      <w:r>
        <w:rPr>
          <w:color w:val="auto"/>
        </w:rPr>
        <w:t>日修正，</w:t>
      </w:r>
      <w:r>
        <w:rPr>
          <w:color w:val="auto"/>
        </w:rPr>
        <w:t>2016</w:t>
      </w:r>
      <w:r>
        <w:rPr>
          <w:color w:val="auto"/>
        </w:rPr>
        <w:t>年</w:t>
      </w:r>
      <w:r>
        <w:rPr>
          <w:color w:val="auto"/>
        </w:rPr>
        <w:t>9</w:t>
      </w:r>
      <w:r>
        <w:rPr>
          <w:color w:val="auto"/>
        </w:rPr>
        <w:t>月</w:t>
      </w:r>
      <w:r>
        <w:rPr>
          <w:color w:val="auto"/>
        </w:rPr>
        <w:t>1</w:t>
      </w:r>
      <w:r>
        <w:rPr>
          <w:color w:val="auto"/>
        </w:rPr>
        <w:t>日施行；</w:t>
      </w:r>
    </w:p>
    <w:p w14:paraId="748AEDC9" w14:textId="77777777" w:rsidR="002E474C" w:rsidRDefault="00000000">
      <w:pPr>
        <w:pStyle w:val="A-z"/>
        <w:rPr>
          <w:color w:val="auto"/>
        </w:rPr>
      </w:pPr>
      <w:r>
        <w:rPr>
          <w:color w:val="auto"/>
        </w:rPr>
        <w:t>（</w:t>
      </w:r>
      <w:r>
        <w:rPr>
          <w:color w:val="auto"/>
        </w:rPr>
        <w:t>9</w:t>
      </w:r>
      <w:r>
        <w:rPr>
          <w:color w:val="auto"/>
        </w:rPr>
        <w:t>）《中华人民共和国土地管理法》，</w:t>
      </w:r>
      <w:r>
        <w:rPr>
          <w:color w:val="auto"/>
        </w:rPr>
        <w:t>2019</w:t>
      </w:r>
      <w:r>
        <w:rPr>
          <w:color w:val="auto"/>
        </w:rPr>
        <w:t>年</w:t>
      </w:r>
      <w:r>
        <w:rPr>
          <w:color w:val="auto"/>
        </w:rPr>
        <w:t>4</w:t>
      </w:r>
      <w:r>
        <w:rPr>
          <w:color w:val="auto"/>
        </w:rPr>
        <w:t>月</w:t>
      </w:r>
      <w:r>
        <w:rPr>
          <w:color w:val="auto"/>
        </w:rPr>
        <w:t>28</w:t>
      </w:r>
      <w:r>
        <w:rPr>
          <w:color w:val="auto"/>
        </w:rPr>
        <w:t>日修正，</w:t>
      </w:r>
      <w:r>
        <w:rPr>
          <w:color w:val="auto"/>
        </w:rPr>
        <w:t>2020</w:t>
      </w:r>
      <w:r>
        <w:rPr>
          <w:color w:val="auto"/>
        </w:rPr>
        <w:t>年</w:t>
      </w:r>
      <w:r>
        <w:rPr>
          <w:color w:val="auto"/>
        </w:rPr>
        <w:t>1</w:t>
      </w:r>
      <w:r>
        <w:rPr>
          <w:color w:val="auto"/>
        </w:rPr>
        <w:t>月</w:t>
      </w:r>
      <w:r>
        <w:rPr>
          <w:color w:val="auto"/>
        </w:rPr>
        <w:t>1</w:t>
      </w:r>
      <w:r>
        <w:rPr>
          <w:color w:val="auto"/>
        </w:rPr>
        <w:t>日起施行；</w:t>
      </w:r>
    </w:p>
    <w:p w14:paraId="10D13AB3" w14:textId="77777777" w:rsidR="002E474C" w:rsidRDefault="00000000">
      <w:pPr>
        <w:pStyle w:val="A-z"/>
        <w:rPr>
          <w:color w:val="auto"/>
        </w:rPr>
      </w:pPr>
      <w:r>
        <w:rPr>
          <w:color w:val="auto"/>
        </w:rPr>
        <w:t>（</w:t>
      </w:r>
      <w:r>
        <w:rPr>
          <w:color w:val="auto"/>
        </w:rPr>
        <w:t>10</w:t>
      </w:r>
      <w:r>
        <w:rPr>
          <w:color w:val="auto"/>
        </w:rPr>
        <w:t>）《中华人民共和国清洁生产促进法》，</w:t>
      </w:r>
      <w:r>
        <w:rPr>
          <w:color w:val="auto"/>
        </w:rPr>
        <w:t>2012</w:t>
      </w:r>
      <w:r>
        <w:rPr>
          <w:color w:val="auto"/>
        </w:rPr>
        <w:t>年</w:t>
      </w:r>
      <w:r>
        <w:rPr>
          <w:rFonts w:eastAsia="宋体"/>
          <w:color w:val="auto"/>
        </w:rPr>
        <w:t>2</w:t>
      </w:r>
      <w:r>
        <w:rPr>
          <w:rFonts w:eastAsia="宋体"/>
          <w:color w:val="auto"/>
        </w:rPr>
        <w:t>月</w:t>
      </w:r>
      <w:r>
        <w:rPr>
          <w:rFonts w:eastAsia="宋体"/>
          <w:color w:val="auto"/>
        </w:rPr>
        <w:t>29</w:t>
      </w:r>
      <w:r>
        <w:rPr>
          <w:rFonts w:eastAsia="宋体"/>
          <w:color w:val="auto"/>
        </w:rPr>
        <w:t>日修正</w:t>
      </w:r>
      <w:r>
        <w:rPr>
          <w:color w:val="auto"/>
        </w:rPr>
        <w:t>，</w:t>
      </w:r>
      <w:r>
        <w:rPr>
          <w:color w:val="auto"/>
        </w:rPr>
        <w:t>2012</w:t>
      </w:r>
      <w:r>
        <w:rPr>
          <w:color w:val="auto"/>
        </w:rPr>
        <w:t>年</w:t>
      </w:r>
      <w:r>
        <w:rPr>
          <w:color w:val="auto"/>
        </w:rPr>
        <w:lastRenderedPageBreak/>
        <w:t>7</w:t>
      </w:r>
      <w:r>
        <w:rPr>
          <w:color w:val="auto"/>
        </w:rPr>
        <w:t>月</w:t>
      </w:r>
      <w:r>
        <w:rPr>
          <w:color w:val="auto"/>
        </w:rPr>
        <w:t>1</w:t>
      </w:r>
      <w:r>
        <w:rPr>
          <w:color w:val="auto"/>
        </w:rPr>
        <w:t>日起施行；</w:t>
      </w:r>
    </w:p>
    <w:p w14:paraId="45C5901C" w14:textId="77777777" w:rsidR="002E474C" w:rsidRDefault="00000000">
      <w:pPr>
        <w:pStyle w:val="A-z"/>
        <w:rPr>
          <w:color w:val="auto"/>
        </w:rPr>
      </w:pPr>
      <w:r>
        <w:rPr>
          <w:color w:val="auto"/>
        </w:rPr>
        <w:t>（</w:t>
      </w:r>
      <w:r>
        <w:rPr>
          <w:color w:val="auto"/>
        </w:rPr>
        <w:t>11</w:t>
      </w:r>
      <w:r>
        <w:rPr>
          <w:color w:val="auto"/>
        </w:rPr>
        <w:t>）《中华人民共和国循环经济促进法》，</w:t>
      </w:r>
      <w:r>
        <w:rPr>
          <w:color w:val="auto"/>
        </w:rPr>
        <w:t>2018</w:t>
      </w:r>
      <w:r>
        <w:rPr>
          <w:color w:val="auto"/>
        </w:rPr>
        <w:t>年</w:t>
      </w:r>
      <w:r>
        <w:rPr>
          <w:color w:val="auto"/>
        </w:rPr>
        <w:t>10</w:t>
      </w:r>
      <w:r>
        <w:rPr>
          <w:color w:val="auto"/>
        </w:rPr>
        <w:t>月</w:t>
      </w:r>
      <w:r>
        <w:rPr>
          <w:color w:val="auto"/>
        </w:rPr>
        <w:t>26</w:t>
      </w:r>
      <w:r>
        <w:rPr>
          <w:color w:val="auto"/>
        </w:rPr>
        <w:t>日修正并施行；</w:t>
      </w:r>
    </w:p>
    <w:p w14:paraId="47366D05" w14:textId="77777777" w:rsidR="002E474C" w:rsidRDefault="00000000">
      <w:pPr>
        <w:pStyle w:val="A-z"/>
        <w:rPr>
          <w:color w:val="auto"/>
        </w:rPr>
      </w:pPr>
      <w:r>
        <w:rPr>
          <w:color w:val="auto"/>
        </w:rPr>
        <w:t>（</w:t>
      </w:r>
      <w:r>
        <w:rPr>
          <w:color w:val="auto"/>
        </w:rPr>
        <w:t>12</w:t>
      </w:r>
      <w:r>
        <w:rPr>
          <w:color w:val="auto"/>
        </w:rPr>
        <w:t>）《中华人民共和国节约能源法》，</w:t>
      </w:r>
      <w:r>
        <w:rPr>
          <w:color w:val="auto"/>
        </w:rPr>
        <w:t>2018</w:t>
      </w:r>
      <w:r>
        <w:rPr>
          <w:color w:val="auto"/>
        </w:rPr>
        <w:t>年</w:t>
      </w:r>
      <w:r>
        <w:rPr>
          <w:color w:val="auto"/>
        </w:rPr>
        <w:t>10</w:t>
      </w:r>
      <w:r>
        <w:rPr>
          <w:color w:val="auto"/>
        </w:rPr>
        <w:t>月</w:t>
      </w:r>
      <w:r>
        <w:rPr>
          <w:color w:val="auto"/>
        </w:rPr>
        <w:t>26</w:t>
      </w:r>
      <w:r>
        <w:rPr>
          <w:color w:val="auto"/>
        </w:rPr>
        <w:t>日修正并施行；</w:t>
      </w:r>
    </w:p>
    <w:p w14:paraId="0E013368" w14:textId="77777777" w:rsidR="002E474C" w:rsidRDefault="00000000">
      <w:pPr>
        <w:pStyle w:val="A-z"/>
        <w:rPr>
          <w:color w:val="auto"/>
        </w:rPr>
      </w:pPr>
      <w:r>
        <w:rPr>
          <w:color w:val="auto"/>
        </w:rPr>
        <w:t>（</w:t>
      </w:r>
      <w:r>
        <w:rPr>
          <w:color w:val="auto"/>
        </w:rPr>
        <w:t>13</w:t>
      </w:r>
      <w:r>
        <w:rPr>
          <w:color w:val="auto"/>
        </w:rPr>
        <w:t>）《中华人民共和国水土保持法》</w:t>
      </w:r>
      <w:r>
        <w:rPr>
          <w:color w:val="auto"/>
          <w:lang w:val="en-US"/>
        </w:rPr>
        <w:t>，</w:t>
      </w:r>
      <w:r>
        <w:rPr>
          <w:color w:val="auto"/>
          <w:lang w:val="en-US"/>
        </w:rPr>
        <w:t>2010</w:t>
      </w:r>
      <w:r>
        <w:rPr>
          <w:color w:val="auto"/>
          <w:lang w:val="en-US"/>
        </w:rPr>
        <w:t>年</w:t>
      </w:r>
      <w:r>
        <w:rPr>
          <w:color w:val="auto"/>
          <w:lang w:val="en-US"/>
        </w:rPr>
        <w:t>12</w:t>
      </w:r>
      <w:r>
        <w:rPr>
          <w:color w:val="auto"/>
          <w:lang w:val="en-US"/>
        </w:rPr>
        <w:t>月</w:t>
      </w:r>
      <w:r>
        <w:rPr>
          <w:color w:val="auto"/>
          <w:lang w:val="en-US"/>
        </w:rPr>
        <w:t>25</w:t>
      </w:r>
      <w:r>
        <w:rPr>
          <w:color w:val="auto"/>
          <w:lang w:val="en-US"/>
        </w:rPr>
        <w:t>日修订，</w:t>
      </w:r>
      <w:r>
        <w:rPr>
          <w:color w:val="auto"/>
        </w:rPr>
        <w:t>2011</w:t>
      </w:r>
      <w:r>
        <w:rPr>
          <w:color w:val="auto"/>
        </w:rPr>
        <w:t>年</w:t>
      </w:r>
      <w:r>
        <w:rPr>
          <w:color w:val="auto"/>
        </w:rPr>
        <w:t>3</w:t>
      </w:r>
      <w:r>
        <w:rPr>
          <w:color w:val="auto"/>
        </w:rPr>
        <w:t>月</w:t>
      </w:r>
      <w:r>
        <w:rPr>
          <w:color w:val="auto"/>
        </w:rPr>
        <w:t>1</w:t>
      </w:r>
      <w:r>
        <w:rPr>
          <w:color w:val="auto"/>
        </w:rPr>
        <w:t>日起施行；</w:t>
      </w:r>
    </w:p>
    <w:p w14:paraId="5F1DE769" w14:textId="77777777" w:rsidR="002E474C" w:rsidRDefault="00000000">
      <w:pPr>
        <w:pStyle w:val="A-z"/>
        <w:rPr>
          <w:color w:val="auto"/>
          <w:lang w:val="en-US"/>
        </w:rPr>
      </w:pPr>
      <w:r>
        <w:rPr>
          <w:color w:val="auto"/>
          <w:lang w:val="en-US"/>
        </w:rPr>
        <w:t>（</w:t>
      </w:r>
      <w:r>
        <w:rPr>
          <w:color w:val="auto"/>
          <w:lang w:val="en-US"/>
        </w:rPr>
        <w:t>14</w:t>
      </w:r>
      <w:r>
        <w:rPr>
          <w:color w:val="auto"/>
          <w:lang w:val="en-US"/>
        </w:rPr>
        <w:t>）《中华人民共和国城乡规划法》，</w:t>
      </w:r>
      <w:r>
        <w:rPr>
          <w:color w:val="auto"/>
          <w:lang w:val="en-US"/>
        </w:rPr>
        <w:t>2019</w:t>
      </w:r>
      <w:r>
        <w:rPr>
          <w:color w:val="auto"/>
          <w:lang w:val="en-US"/>
        </w:rPr>
        <w:t>年</w:t>
      </w:r>
      <w:r>
        <w:rPr>
          <w:color w:val="auto"/>
          <w:lang w:val="en-US"/>
        </w:rPr>
        <w:t>4</w:t>
      </w:r>
      <w:r>
        <w:rPr>
          <w:color w:val="auto"/>
          <w:lang w:val="en-US"/>
        </w:rPr>
        <w:t>月</w:t>
      </w:r>
      <w:r>
        <w:rPr>
          <w:color w:val="auto"/>
          <w:lang w:val="en-US"/>
        </w:rPr>
        <w:t>23</w:t>
      </w:r>
      <w:r>
        <w:rPr>
          <w:color w:val="auto"/>
          <w:lang w:val="en-US"/>
        </w:rPr>
        <w:t>日修正并施行；</w:t>
      </w:r>
    </w:p>
    <w:p w14:paraId="19437DB0" w14:textId="77777777" w:rsidR="002E474C" w:rsidRDefault="00000000">
      <w:pPr>
        <w:pStyle w:val="A-z"/>
        <w:rPr>
          <w:color w:val="auto"/>
          <w:lang w:val="en-US"/>
        </w:rPr>
      </w:pPr>
      <w:r>
        <w:rPr>
          <w:color w:val="auto"/>
          <w:lang w:val="en-US"/>
        </w:rPr>
        <w:t>（</w:t>
      </w:r>
      <w:r>
        <w:rPr>
          <w:color w:val="auto"/>
          <w:lang w:val="en-US"/>
        </w:rPr>
        <w:t>15</w:t>
      </w:r>
      <w:r>
        <w:rPr>
          <w:color w:val="auto"/>
          <w:lang w:val="en-US"/>
        </w:rPr>
        <w:t>）《中华人民共和国防沙治沙法》，</w:t>
      </w:r>
      <w:r>
        <w:rPr>
          <w:color w:val="auto"/>
          <w:lang w:val="en-US"/>
        </w:rPr>
        <w:t>2018</w:t>
      </w:r>
      <w:r>
        <w:rPr>
          <w:color w:val="auto"/>
          <w:lang w:val="en-US"/>
        </w:rPr>
        <w:t>年</w:t>
      </w:r>
      <w:r>
        <w:rPr>
          <w:color w:val="auto"/>
          <w:lang w:val="en-US"/>
        </w:rPr>
        <w:t>10</w:t>
      </w:r>
      <w:r>
        <w:rPr>
          <w:color w:val="auto"/>
          <w:lang w:val="en-US"/>
        </w:rPr>
        <w:t>月</w:t>
      </w:r>
      <w:r>
        <w:rPr>
          <w:color w:val="auto"/>
          <w:lang w:val="en-US"/>
        </w:rPr>
        <w:t>26</w:t>
      </w:r>
      <w:r>
        <w:rPr>
          <w:color w:val="auto"/>
          <w:lang w:val="en-US"/>
        </w:rPr>
        <w:t>日修正并施行；</w:t>
      </w:r>
    </w:p>
    <w:p w14:paraId="4D399AE9" w14:textId="77777777" w:rsidR="002E474C" w:rsidRDefault="00000000">
      <w:pPr>
        <w:pStyle w:val="A-z"/>
        <w:rPr>
          <w:color w:val="auto"/>
          <w:lang w:val="en-US"/>
        </w:rPr>
      </w:pPr>
      <w:r>
        <w:rPr>
          <w:color w:val="auto"/>
          <w:lang w:val="en-US"/>
        </w:rPr>
        <w:t>（</w:t>
      </w:r>
      <w:r>
        <w:rPr>
          <w:color w:val="auto"/>
          <w:lang w:val="en-US"/>
        </w:rPr>
        <w:t>16</w:t>
      </w:r>
      <w:r>
        <w:rPr>
          <w:color w:val="auto"/>
          <w:lang w:val="en-US"/>
        </w:rPr>
        <w:t>）《中华人民共和国环境保护税法》，</w:t>
      </w:r>
      <w:r>
        <w:rPr>
          <w:color w:val="auto"/>
          <w:lang w:val="en-US"/>
        </w:rPr>
        <w:t>2025</w:t>
      </w:r>
      <w:r>
        <w:rPr>
          <w:color w:val="auto"/>
          <w:lang w:val="en-US"/>
        </w:rPr>
        <w:t>年</w:t>
      </w:r>
      <w:r>
        <w:rPr>
          <w:color w:val="auto"/>
          <w:lang w:val="en-US"/>
        </w:rPr>
        <w:t>10</w:t>
      </w:r>
      <w:r>
        <w:rPr>
          <w:color w:val="auto"/>
          <w:lang w:val="en-US"/>
        </w:rPr>
        <w:t>月</w:t>
      </w:r>
      <w:r>
        <w:rPr>
          <w:color w:val="auto"/>
          <w:lang w:val="en-US"/>
        </w:rPr>
        <w:t>28</w:t>
      </w:r>
      <w:r>
        <w:rPr>
          <w:color w:val="auto"/>
          <w:lang w:val="en-US"/>
        </w:rPr>
        <w:t>日修正并施行；</w:t>
      </w:r>
    </w:p>
    <w:p w14:paraId="35F8AB8C" w14:textId="77777777" w:rsidR="002E474C" w:rsidRDefault="00000000">
      <w:pPr>
        <w:pStyle w:val="A-z"/>
        <w:ind w:firstLine="456"/>
        <w:rPr>
          <w:color w:val="auto"/>
          <w:spacing w:val="-6"/>
        </w:rPr>
      </w:pPr>
      <w:r>
        <w:rPr>
          <w:color w:val="auto"/>
          <w:spacing w:val="-6"/>
        </w:rPr>
        <w:t>（</w:t>
      </w:r>
      <w:r>
        <w:rPr>
          <w:color w:val="auto"/>
          <w:spacing w:val="-6"/>
        </w:rPr>
        <w:t>17</w:t>
      </w:r>
      <w:r>
        <w:rPr>
          <w:color w:val="auto"/>
          <w:spacing w:val="-6"/>
        </w:rPr>
        <w:t>）《中华人民共和国安全生产法》，</w:t>
      </w:r>
      <w:r>
        <w:rPr>
          <w:color w:val="auto"/>
          <w:spacing w:val="-6"/>
        </w:rPr>
        <w:t>2021</w:t>
      </w:r>
      <w:r>
        <w:rPr>
          <w:color w:val="auto"/>
          <w:spacing w:val="-6"/>
        </w:rPr>
        <w:t>年</w:t>
      </w:r>
      <w:r>
        <w:rPr>
          <w:color w:val="auto"/>
          <w:spacing w:val="-6"/>
        </w:rPr>
        <w:t>6</w:t>
      </w:r>
      <w:r>
        <w:rPr>
          <w:color w:val="auto"/>
          <w:spacing w:val="-6"/>
        </w:rPr>
        <w:t>月</w:t>
      </w:r>
      <w:r>
        <w:rPr>
          <w:color w:val="auto"/>
          <w:spacing w:val="-6"/>
        </w:rPr>
        <w:t>10</w:t>
      </w:r>
      <w:r>
        <w:rPr>
          <w:color w:val="auto"/>
          <w:spacing w:val="-6"/>
        </w:rPr>
        <w:t>日修正，</w:t>
      </w:r>
      <w:r>
        <w:rPr>
          <w:color w:val="auto"/>
          <w:spacing w:val="-6"/>
        </w:rPr>
        <w:t>2021</w:t>
      </w:r>
      <w:r>
        <w:rPr>
          <w:color w:val="auto"/>
          <w:spacing w:val="-6"/>
        </w:rPr>
        <w:t>年</w:t>
      </w:r>
      <w:r>
        <w:rPr>
          <w:color w:val="auto"/>
          <w:spacing w:val="-6"/>
        </w:rPr>
        <w:t>9</w:t>
      </w:r>
      <w:r>
        <w:rPr>
          <w:color w:val="auto"/>
          <w:spacing w:val="-6"/>
        </w:rPr>
        <w:t>月</w:t>
      </w:r>
      <w:r>
        <w:rPr>
          <w:color w:val="auto"/>
          <w:spacing w:val="-6"/>
        </w:rPr>
        <w:t>1</w:t>
      </w:r>
      <w:r>
        <w:rPr>
          <w:color w:val="auto"/>
          <w:spacing w:val="-6"/>
        </w:rPr>
        <w:t>日起施行；</w:t>
      </w:r>
    </w:p>
    <w:p w14:paraId="1FD9D79A" w14:textId="77777777" w:rsidR="002E474C" w:rsidRDefault="00000000">
      <w:pPr>
        <w:pStyle w:val="A-z"/>
        <w:rPr>
          <w:color w:val="auto"/>
        </w:rPr>
      </w:pPr>
      <w:r>
        <w:rPr>
          <w:color w:val="auto"/>
        </w:rPr>
        <w:t>（</w:t>
      </w:r>
      <w:r>
        <w:rPr>
          <w:color w:val="auto"/>
        </w:rPr>
        <w:t>18</w:t>
      </w:r>
      <w:r>
        <w:rPr>
          <w:color w:val="auto"/>
        </w:rPr>
        <w:t>）《中华人民共和国突发事件应对法》，</w:t>
      </w:r>
      <w:r>
        <w:rPr>
          <w:color w:val="auto"/>
        </w:rPr>
        <w:t>2024</w:t>
      </w:r>
      <w:r>
        <w:rPr>
          <w:color w:val="auto"/>
        </w:rPr>
        <w:t>年</w:t>
      </w:r>
      <w:r>
        <w:rPr>
          <w:color w:val="auto"/>
        </w:rPr>
        <w:t>6</w:t>
      </w:r>
      <w:r>
        <w:rPr>
          <w:color w:val="auto"/>
        </w:rPr>
        <w:t>月</w:t>
      </w:r>
      <w:r>
        <w:rPr>
          <w:color w:val="auto"/>
        </w:rPr>
        <w:t>28</w:t>
      </w:r>
      <w:r>
        <w:rPr>
          <w:color w:val="auto"/>
        </w:rPr>
        <w:t>日修订，</w:t>
      </w:r>
      <w:r>
        <w:rPr>
          <w:color w:val="auto"/>
        </w:rPr>
        <w:t>2024</w:t>
      </w:r>
      <w:r>
        <w:rPr>
          <w:color w:val="auto"/>
        </w:rPr>
        <w:t>年</w:t>
      </w:r>
      <w:r>
        <w:rPr>
          <w:color w:val="auto"/>
        </w:rPr>
        <w:t>11</w:t>
      </w:r>
      <w:r>
        <w:rPr>
          <w:color w:val="auto"/>
        </w:rPr>
        <w:t>月</w:t>
      </w:r>
      <w:r>
        <w:rPr>
          <w:color w:val="auto"/>
        </w:rPr>
        <w:t>1</w:t>
      </w:r>
      <w:r>
        <w:rPr>
          <w:color w:val="auto"/>
        </w:rPr>
        <w:t>日</w:t>
      </w:r>
      <w:r>
        <w:rPr>
          <w:color w:val="auto"/>
          <w:spacing w:val="-6"/>
        </w:rPr>
        <w:t>起</w:t>
      </w:r>
      <w:r>
        <w:rPr>
          <w:color w:val="auto"/>
        </w:rPr>
        <w:t>施行；</w:t>
      </w:r>
    </w:p>
    <w:p w14:paraId="0330FC33" w14:textId="77777777" w:rsidR="002E474C" w:rsidRDefault="00000000">
      <w:pPr>
        <w:pStyle w:val="A-z"/>
        <w:ind w:firstLine="464"/>
        <w:rPr>
          <w:color w:val="auto"/>
          <w:spacing w:val="-4"/>
        </w:rPr>
      </w:pPr>
      <w:r>
        <w:rPr>
          <w:color w:val="auto"/>
          <w:spacing w:val="-4"/>
        </w:rPr>
        <w:t>（</w:t>
      </w:r>
      <w:r>
        <w:rPr>
          <w:color w:val="auto"/>
          <w:spacing w:val="-4"/>
        </w:rPr>
        <w:t>19</w:t>
      </w:r>
      <w:r>
        <w:rPr>
          <w:color w:val="auto"/>
          <w:spacing w:val="-4"/>
        </w:rPr>
        <w:t>）《建设项目环境保护管理条例》，</w:t>
      </w:r>
      <w:r>
        <w:rPr>
          <w:color w:val="auto"/>
          <w:spacing w:val="-4"/>
          <w:lang w:val="en-US"/>
        </w:rPr>
        <w:t>国务院令第</w:t>
      </w:r>
      <w:r>
        <w:rPr>
          <w:color w:val="auto"/>
          <w:spacing w:val="-4"/>
          <w:lang w:val="en-US"/>
        </w:rPr>
        <w:t>682</w:t>
      </w:r>
      <w:r>
        <w:rPr>
          <w:color w:val="auto"/>
          <w:spacing w:val="-4"/>
          <w:lang w:val="en-US"/>
        </w:rPr>
        <w:t>号，</w:t>
      </w:r>
      <w:r>
        <w:rPr>
          <w:color w:val="auto"/>
          <w:spacing w:val="-4"/>
        </w:rPr>
        <w:t>2017</w:t>
      </w:r>
      <w:r>
        <w:rPr>
          <w:color w:val="auto"/>
          <w:spacing w:val="-4"/>
        </w:rPr>
        <w:t>年修正，</w:t>
      </w:r>
      <w:r>
        <w:rPr>
          <w:color w:val="auto"/>
          <w:spacing w:val="-4"/>
        </w:rPr>
        <w:t>2017</w:t>
      </w:r>
      <w:r>
        <w:rPr>
          <w:color w:val="auto"/>
          <w:spacing w:val="-4"/>
        </w:rPr>
        <w:t>年</w:t>
      </w:r>
      <w:r>
        <w:rPr>
          <w:color w:val="auto"/>
          <w:spacing w:val="-4"/>
        </w:rPr>
        <w:t>10</w:t>
      </w:r>
      <w:r>
        <w:rPr>
          <w:color w:val="auto"/>
          <w:spacing w:val="-4"/>
        </w:rPr>
        <w:t>月</w:t>
      </w:r>
      <w:r>
        <w:rPr>
          <w:color w:val="auto"/>
          <w:spacing w:val="-4"/>
        </w:rPr>
        <w:t>1</w:t>
      </w:r>
      <w:r>
        <w:rPr>
          <w:color w:val="auto"/>
          <w:spacing w:val="-4"/>
        </w:rPr>
        <w:t>日起施行；</w:t>
      </w:r>
    </w:p>
    <w:p w14:paraId="0947EE6C" w14:textId="77777777" w:rsidR="002E474C" w:rsidRDefault="00000000">
      <w:pPr>
        <w:pStyle w:val="A-z"/>
        <w:ind w:firstLine="456"/>
        <w:rPr>
          <w:color w:val="auto"/>
          <w:spacing w:val="-4"/>
        </w:rPr>
      </w:pPr>
      <w:r>
        <w:rPr>
          <w:color w:val="auto"/>
          <w:spacing w:val="-6"/>
        </w:rPr>
        <w:t>（</w:t>
      </w:r>
      <w:r>
        <w:rPr>
          <w:color w:val="auto"/>
          <w:spacing w:val="-6"/>
        </w:rPr>
        <w:t>20</w:t>
      </w:r>
      <w:r>
        <w:rPr>
          <w:color w:val="auto"/>
          <w:spacing w:val="-6"/>
        </w:rPr>
        <w:t>）《排污许可管理条例》，</w:t>
      </w:r>
      <w:r>
        <w:rPr>
          <w:color w:val="auto"/>
          <w:lang w:val="en-US"/>
        </w:rPr>
        <w:t>国务院令第</w:t>
      </w:r>
      <w:r>
        <w:rPr>
          <w:color w:val="auto"/>
          <w:lang w:val="en-US"/>
        </w:rPr>
        <w:t>736</w:t>
      </w:r>
      <w:r>
        <w:rPr>
          <w:color w:val="auto"/>
          <w:lang w:val="en-US"/>
        </w:rPr>
        <w:t>号，</w:t>
      </w:r>
      <w:r>
        <w:rPr>
          <w:color w:val="auto"/>
          <w:spacing w:val="-6"/>
        </w:rPr>
        <w:t>2020</w:t>
      </w:r>
      <w:r>
        <w:rPr>
          <w:color w:val="auto"/>
          <w:spacing w:val="-6"/>
        </w:rPr>
        <w:t>年</w:t>
      </w:r>
      <w:r>
        <w:rPr>
          <w:color w:val="auto"/>
          <w:spacing w:val="-6"/>
        </w:rPr>
        <w:t>12</w:t>
      </w:r>
      <w:r>
        <w:rPr>
          <w:color w:val="auto"/>
          <w:spacing w:val="-6"/>
        </w:rPr>
        <w:t>月</w:t>
      </w:r>
      <w:r>
        <w:rPr>
          <w:color w:val="auto"/>
          <w:spacing w:val="-6"/>
        </w:rPr>
        <w:t>9</w:t>
      </w:r>
      <w:r>
        <w:rPr>
          <w:color w:val="auto"/>
          <w:spacing w:val="-6"/>
        </w:rPr>
        <w:t>日通过，</w:t>
      </w:r>
      <w:r>
        <w:rPr>
          <w:color w:val="auto"/>
          <w:spacing w:val="-6"/>
        </w:rPr>
        <w:t>2021</w:t>
      </w:r>
      <w:r>
        <w:rPr>
          <w:color w:val="auto"/>
          <w:spacing w:val="-6"/>
        </w:rPr>
        <w:t>年</w:t>
      </w:r>
      <w:r>
        <w:rPr>
          <w:color w:val="auto"/>
          <w:spacing w:val="-6"/>
        </w:rPr>
        <w:t>3</w:t>
      </w:r>
      <w:r>
        <w:rPr>
          <w:color w:val="auto"/>
          <w:spacing w:val="-6"/>
        </w:rPr>
        <w:t>月</w:t>
      </w:r>
      <w:r>
        <w:rPr>
          <w:color w:val="auto"/>
          <w:spacing w:val="-6"/>
        </w:rPr>
        <w:t>1</w:t>
      </w:r>
      <w:r>
        <w:rPr>
          <w:color w:val="auto"/>
          <w:spacing w:val="-6"/>
        </w:rPr>
        <w:t>日起施行</w:t>
      </w:r>
      <w:r>
        <w:rPr>
          <w:color w:val="auto"/>
        </w:rPr>
        <w:t>。</w:t>
      </w:r>
    </w:p>
    <w:p w14:paraId="27925A10" w14:textId="77777777" w:rsidR="002E474C" w:rsidRDefault="00000000">
      <w:pPr>
        <w:pStyle w:val="31"/>
        <w:spacing w:before="120" w:after="120"/>
        <w:rPr>
          <w:color w:val="auto"/>
        </w:rPr>
      </w:pPr>
      <w:r>
        <w:rPr>
          <w:color w:val="auto"/>
        </w:rPr>
        <w:t>部门规章</w:t>
      </w:r>
    </w:p>
    <w:p w14:paraId="3495E475" w14:textId="77777777" w:rsidR="002E474C" w:rsidRDefault="00000000">
      <w:pPr>
        <w:pStyle w:val="A-z"/>
        <w:rPr>
          <w:color w:val="auto"/>
        </w:rPr>
      </w:pPr>
      <w:r>
        <w:rPr>
          <w:color w:val="auto"/>
        </w:rPr>
        <w:t>（</w:t>
      </w:r>
      <w:r>
        <w:rPr>
          <w:color w:val="auto"/>
        </w:rPr>
        <w:t>1</w:t>
      </w:r>
      <w:r>
        <w:rPr>
          <w:color w:val="auto"/>
        </w:rPr>
        <w:t>）《建设项目环境影响评价分类管理名录（</w:t>
      </w:r>
      <w:r>
        <w:rPr>
          <w:color w:val="auto"/>
        </w:rPr>
        <w:t>2021</w:t>
      </w:r>
      <w:r>
        <w:rPr>
          <w:color w:val="auto"/>
        </w:rPr>
        <w:t>年版）》，生态环境部令第</w:t>
      </w:r>
      <w:r>
        <w:rPr>
          <w:color w:val="auto"/>
        </w:rPr>
        <w:t>16</w:t>
      </w:r>
      <w:r>
        <w:rPr>
          <w:color w:val="auto"/>
        </w:rPr>
        <w:t>号，</w:t>
      </w:r>
      <w:r>
        <w:rPr>
          <w:color w:val="auto"/>
        </w:rPr>
        <w:t>2021</w:t>
      </w:r>
      <w:r>
        <w:rPr>
          <w:color w:val="auto"/>
        </w:rPr>
        <w:t>年</w:t>
      </w:r>
      <w:r>
        <w:rPr>
          <w:color w:val="auto"/>
        </w:rPr>
        <w:t>1</w:t>
      </w:r>
      <w:r>
        <w:rPr>
          <w:color w:val="auto"/>
        </w:rPr>
        <w:t>月</w:t>
      </w:r>
      <w:r>
        <w:rPr>
          <w:color w:val="auto"/>
        </w:rPr>
        <w:t>1</w:t>
      </w:r>
      <w:r>
        <w:rPr>
          <w:color w:val="auto"/>
        </w:rPr>
        <w:t>日起施行；</w:t>
      </w:r>
    </w:p>
    <w:p w14:paraId="756A2020" w14:textId="77777777" w:rsidR="002E474C" w:rsidRDefault="00000000">
      <w:pPr>
        <w:pStyle w:val="A-z"/>
        <w:rPr>
          <w:color w:val="auto"/>
        </w:rPr>
      </w:pPr>
      <w:r>
        <w:rPr>
          <w:color w:val="auto"/>
        </w:rPr>
        <w:t>（</w:t>
      </w:r>
      <w:r>
        <w:rPr>
          <w:color w:val="auto"/>
        </w:rPr>
        <w:t>2</w:t>
      </w:r>
      <w:r>
        <w:rPr>
          <w:color w:val="auto"/>
        </w:rPr>
        <w:t>）《关于进一步加强危险废物规范化环境管理有关工作的通知》，环办固体〔</w:t>
      </w:r>
      <w:r>
        <w:rPr>
          <w:color w:val="auto"/>
        </w:rPr>
        <w:t>2023</w:t>
      </w:r>
      <w:r>
        <w:rPr>
          <w:color w:val="auto"/>
        </w:rPr>
        <w:t>〕</w:t>
      </w:r>
      <w:r>
        <w:rPr>
          <w:color w:val="auto"/>
        </w:rPr>
        <w:t>17</w:t>
      </w:r>
      <w:r>
        <w:rPr>
          <w:color w:val="auto"/>
        </w:rPr>
        <w:t>号；</w:t>
      </w:r>
    </w:p>
    <w:p w14:paraId="035F55FD" w14:textId="77777777" w:rsidR="002E474C" w:rsidRDefault="00000000">
      <w:pPr>
        <w:pStyle w:val="A-z"/>
        <w:rPr>
          <w:color w:val="auto"/>
        </w:rPr>
      </w:pPr>
      <w:r>
        <w:rPr>
          <w:color w:val="auto"/>
        </w:rPr>
        <w:t>（</w:t>
      </w:r>
      <w:r>
        <w:rPr>
          <w:color w:val="auto"/>
        </w:rPr>
        <w:t>3</w:t>
      </w:r>
      <w:r>
        <w:rPr>
          <w:color w:val="auto"/>
        </w:rPr>
        <w:t>）《突发环境事件应急管理办法》，原环境保护部部令第</w:t>
      </w:r>
      <w:r>
        <w:rPr>
          <w:color w:val="auto"/>
        </w:rPr>
        <w:t>34</w:t>
      </w:r>
      <w:r>
        <w:rPr>
          <w:color w:val="auto"/>
        </w:rPr>
        <w:t>号，</w:t>
      </w:r>
      <w:r>
        <w:rPr>
          <w:color w:val="auto"/>
        </w:rPr>
        <w:t>2015</w:t>
      </w:r>
      <w:r>
        <w:rPr>
          <w:color w:val="auto"/>
        </w:rPr>
        <w:t>年</w:t>
      </w:r>
      <w:r>
        <w:rPr>
          <w:color w:val="auto"/>
        </w:rPr>
        <w:t>6</w:t>
      </w:r>
      <w:r>
        <w:rPr>
          <w:color w:val="auto"/>
        </w:rPr>
        <w:t>月</w:t>
      </w:r>
      <w:r>
        <w:rPr>
          <w:color w:val="auto"/>
        </w:rPr>
        <w:t>5</w:t>
      </w:r>
      <w:r>
        <w:rPr>
          <w:color w:val="auto"/>
        </w:rPr>
        <w:t>日起施行；</w:t>
      </w:r>
    </w:p>
    <w:p w14:paraId="7B728B6C" w14:textId="77777777" w:rsidR="002E474C" w:rsidRDefault="00000000">
      <w:pPr>
        <w:pStyle w:val="A-z"/>
        <w:ind w:leftChars="-25" w:left="-53" w:rightChars="-25" w:right="-53" w:firstLine="456"/>
        <w:rPr>
          <w:color w:val="auto"/>
          <w:spacing w:val="-6"/>
        </w:rPr>
      </w:pPr>
      <w:r>
        <w:rPr>
          <w:color w:val="auto"/>
          <w:spacing w:val="-6"/>
        </w:rPr>
        <w:t>（</w:t>
      </w:r>
      <w:r>
        <w:rPr>
          <w:color w:val="auto"/>
          <w:spacing w:val="-6"/>
        </w:rPr>
        <w:t>4</w:t>
      </w:r>
      <w:r>
        <w:rPr>
          <w:color w:val="auto"/>
          <w:spacing w:val="-6"/>
        </w:rPr>
        <w:t>）《产业结构调整指导目录（</w:t>
      </w:r>
      <w:r>
        <w:rPr>
          <w:color w:val="auto"/>
          <w:spacing w:val="-6"/>
        </w:rPr>
        <w:t>2024</w:t>
      </w:r>
      <w:r>
        <w:rPr>
          <w:color w:val="auto"/>
          <w:spacing w:val="-6"/>
        </w:rPr>
        <w:t>年本）》，国家发展和改革委员会第</w:t>
      </w:r>
      <w:r>
        <w:rPr>
          <w:color w:val="auto"/>
          <w:spacing w:val="-6"/>
        </w:rPr>
        <w:t>7</w:t>
      </w:r>
      <w:r>
        <w:rPr>
          <w:color w:val="auto"/>
          <w:spacing w:val="-6"/>
        </w:rPr>
        <w:t>号令；</w:t>
      </w:r>
    </w:p>
    <w:p w14:paraId="745B9722" w14:textId="77777777" w:rsidR="002E474C" w:rsidRDefault="00000000">
      <w:pPr>
        <w:pStyle w:val="A-z"/>
        <w:rPr>
          <w:color w:val="auto"/>
        </w:rPr>
      </w:pPr>
      <w:r>
        <w:rPr>
          <w:color w:val="auto"/>
        </w:rPr>
        <w:t>（</w:t>
      </w:r>
      <w:r>
        <w:rPr>
          <w:color w:val="auto"/>
        </w:rPr>
        <w:t>5</w:t>
      </w:r>
      <w:r>
        <w:rPr>
          <w:color w:val="auto"/>
        </w:rPr>
        <w:t>）《关于发布</w:t>
      </w:r>
      <w:r>
        <w:rPr>
          <w:color w:val="auto"/>
        </w:rPr>
        <w:t>&lt;</w:t>
      </w:r>
      <w:r>
        <w:rPr>
          <w:color w:val="auto"/>
        </w:rPr>
        <w:t>建设项目竣工环境保护验收暂行办法</w:t>
      </w:r>
      <w:r>
        <w:rPr>
          <w:color w:val="auto"/>
        </w:rPr>
        <w:t>&gt;</w:t>
      </w:r>
      <w:r>
        <w:rPr>
          <w:color w:val="auto"/>
        </w:rPr>
        <w:t>的公告》，国环规环评〔</w:t>
      </w:r>
      <w:r>
        <w:rPr>
          <w:color w:val="auto"/>
        </w:rPr>
        <w:t>2017</w:t>
      </w:r>
      <w:r>
        <w:rPr>
          <w:color w:val="auto"/>
        </w:rPr>
        <w:t>〕</w:t>
      </w:r>
      <w:r>
        <w:rPr>
          <w:color w:val="auto"/>
        </w:rPr>
        <w:t>4</w:t>
      </w:r>
      <w:r>
        <w:rPr>
          <w:color w:val="auto"/>
        </w:rPr>
        <w:t>号，</w:t>
      </w:r>
      <w:r>
        <w:rPr>
          <w:color w:val="auto"/>
        </w:rPr>
        <w:t>2017</w:t>
      </w:r>
      <w:r>
        <w:rPr>
          <w:color w:val="auto"/>
        </w:rPr>
        <w:t>年</w:t>
      </w:r>
      <w:r>
        <w:rPr>
          <w:color w:val="auto"/>
        </w:rPr>
        <w:t>11</w:t>
      </w:r>
      <w:r>
        <w:rPr>
          <w:color w:val="auto"/>
        </w:rPr>
        <w:t>月</w:t>
      </w:r>
      <w:r>
        <w:rPr>
          <w:color w:val="auto"/>
        </w:rPr>
        <w:t>20</w:t>
      </w:r>
      <w:r>
        <w:rPr>
          <w:color w:val="auto"/>
        </w:rPr>
        <w:t>日起施行；</w:t>
      </w:r>
    </w:p>
    <w:p w14:paraId="78C1D894" w14:textId="77777777" w:rsidR="002E474C" w:rsidRDefault="00000000">
      <w:pPr>
        <w:pStyle w:val="A-z"/>
        <w:ind w:firstLine="464"/>
        <w:rPr>
          <w:color w:val="auto"/>
          <w:spacing w:val="-4"/>
        </w:rPr>
      </w:pPr>
      <w:r>
        <w:rPr>
          <w:color w:val="auto"/>
          <w:spacing w:val="-4"/>
        </w:rPr>
        <w:t>（</w:t>
      </w:r>
      <w:r>
        <w:rPr>
          <w:color w:val="auto"/>
          <w:spacing w:val="-4"/>
        </w:rPr>
        <w:t>6</w:t>
      </w:r>
      <w:r>
        <w:rPr>
          <w:color w:val="auto"/>
          <w:spacing w:val="-4"/>
        </w:rPr>
        <w:t>）关于印发《环评与排污许可监管行动计划（</w:t>
      </w:r>
      <w:r>
        <w:rPr>
          <w:color w:val="auto"/>
          <w:spacing w:val="-4"/>
        </w:rPr>
        <w:t>2021-2023</w:t>
      </w:r>
      <w:r>
        <w:rPr>
          <w:color w:val="auto"/>
          <w:spacing w:val="-4"/>
        </w:rPr>
        <w:t>）、生态环境部</w:t>
      </w:r>
      <w:r>
        <w:rPr>
          <w:color w:val="auto"/>
          <w:spacing w:val="-4"/>
        </w:rPr>
        <w:t>2021</w:t>
      </w:r>
      <w:r>
        <w:rPr>
          <w:color w:val="auto"/>
          <w:spacing w:val="-4"/>
        </w:rPr>
        <w:t>年度环评环评与排污许可监管工作方案》的通知，环办环评函〔</w:t>
      </w:r>
      <w:r>
        <w:rPr>
          <w:color w:val="auto"/>
          <w:spacing w:val="-4"/>
        </w:rPr>
        <w:t>2020</w:t>
      </w:r>
      <w:r>
        <w:rPr>
          <w:color w:val="auto"/>
          <w:spacing w:val="-4"/>
        </w:rPr>
        <w:t>〕</w:t>
      </w:r>
      <w:r>
        <w:rPr>
          <w:color w:val="auto"/>
          <w:spacing w:val="-4"/>
        </w:rPr>
        <w:t>463</w:t>
      </w:r>
      <w:r>
        <w:rPr>
          <w:color w:val="auto"/>
          <w:spacing w:val="-4"/>
        </w:rPr>
        <w:t>号；</w:t>
      </w:r>
    </w:p>
    <w:p w14:paraId="3F9E8EE4" w14:textId="77777777" w:rsidR="002E474C" w:rsidRDefault="00000000">
      <w:pPr>
        <w:pStyle w:val="A-z"/>
        <w:rPr>
          <w:color w:val="auto"/>
        </w:rPr>
      </w:pPr>
      <w:r>
        <w:rPr>
          <w:color w:val="auto"/>
        </w:rPr>
        <w:t>（</w:t>
      </w:r>
      <w:r>
        <w:rPr>
          <w:color w:val="auto"/>
        </w:rPr>
        <w:t>7</w:t>
      </w:r>
      <w:r>
        <w:rPr>
          <w:color w:val="auto"/>
        </w:rPr>
        <w:t>）《国务院关于印发</w:t>
      </w:r>
      <w:r>
        <w:rPr>
          <w:color w:val="auto"/>
        </w:rPr>
        <w:t>“</w:t>
      </w:r>
      <w:r>
        <w:rPr>
          <w:color w:val="auto"/>
        </w:rPr>
        <w:t>十四五</w:t>
      </w:r>
      <w:r>
        <w:rPr>
          <w:color w:val="auto"/>
        </w:rPr>
        <w:t>”</w:t>
      </w:r>
      <w:r>
        <w:rPr>
          <w:color w:val="auto"/>
        </w:rPr>
        <w:t>节能减排综合工作方案的通知》（国发〔</w:t>
      </w:r>
      <w:r>
        <w:rPr>
          <w:color w:val="auto"/>
        </w:rPr>
        <w:t>2021</w:t>
      </w:r>
      <w:r>
        <w:rPr>
          <w:color w:val="auto"/>
        </w:rPr>
        <w:t>〕</w:t>
      </w:r>
      <w:r>
        <w:rPr>
          <w:color w:val="auto"/>
        </w:rPr>
        <w:lastRenderedPageBreak/>
        <w:t>33</w:t>
      </w:r>
      <w:r>
        <w:rPr>
          <w:color w:val="auto"/>
        </w:rPr>
        <w:t>号）；</w:t>
      </w:r>
    </w:p>
    <w:p w14:paraId="40DC94AC" w14:textId="77777777" w:rsidR="002E474C" w:rsidRDefault="00000000">
      <w:pPr>
        <w:pStyle w:val="A-z"/>
        <w:rPr>
          <w:color w:val="auto"/>
        </w:rPr>
      </w:pPr>
      <w:r>
        <w:rPr>
          <w:color w:val="auto"/>
        </w:rPr>
        <w:t>（</w:t>
      </w:r>
      <w:r>
        <w:rPr>
          <w:color w:val="auto"/>
        </w:rPr>
        <w:t>8</w:t>
      </w:r>
      <w:r>
        <w:rPr>
          <w:color w:val="auto"/>
        </w:rPr>
        <w:t>）《关于强化建设项目环境影响评价事中事后监管的实施意见》，环环评〔</w:t>
      </w:r>
      <w:r>
        <w:rPr>
          <w:color w:val="auto"/>
        </w:rPr>
        <w:t>2018</w:t>
      </w:r>
      <w:r>
        <w:rPr>
          <w:color w:val="auto"/>
        </w:rPr>
        <w:t>〕</w:t>
      </w:r>
      <w:r>
        <w:rPr>
          <w:color w:val="auto"/>
        </w:rPr>
        <w:t>11</w:t>
      </w:r>
      <w:r>
        <w:rPr>
          <w:color w:val="auto"/>
        </w:rPr>
        <w:t>号，</w:t>
      </w:r>
      <w:r>
        <w:rPr>
          <w:color w:val="auto"/>
        </w:rPr>
        <w:t>2018</w:t>
      </w:r>
      <w:r>
        <w:rPr>
          <w:color w:val="auto"/>
        </w:rPr>
        <w:t>年</w:t>
      </w:r>
      <w:r>
        <w:rPr>
          <w:color w:val="auto"/>
        </w:rPr>
        <w:t>1</w:t>
      </w:r>
      <w:r>
        <w:rPr>
          <w:color w:val="auto"/>
        </w:rPr>
        <w:t>月</w:t>
      </w:r>
      <w:r>
        <w:rPr>
          <w:color w:val="auto"/>
        </w:rPr>
        <w:t>25</w:t>
      </w:r>
      <w:r>
        <w:rPr>
          <w:color w:val="auto"/>
        </w:rPr>
        <w:t>日起施行；</w:t>
      </w:r>
    </w:p>
    <w:p w14:paraId="69406E23" w14:textId="77777777" w:rsidR="002E474C" w:rsidRDefault="00000000">
      <w:pPr>
        <w:pStyle w:val="A-z"/>
        <w:ind w:firstLine="464"/>
        <w:rPr>
          <w:color w:val="auto"/>
          <w:spacing w:val="-4"/>
        </w:rPr>
      </w:pPr>
      <w:r>
        <w:rPr>
          <w:color w:val="auto"/>
          <w:spacing w:val="-4"/>
        </w:rPr>
        <w:t>（</w:t>
      </w:r>
      <w:r>
        <w:rPr>
          <w:color w:val="auto"/>
          <w:spacing w:val="-4"/>
        </w:rPr>
        <w:t>9</w:t>
      </w:r>
      <w:r>
        <w:rPr>
          <w:color w:val="auto"/>
          <w:spacing w:val="-4"/>
        </w:rPr>
        <w:t>）《环境影响评价公众参与办法》，生态环境部令第</w:t>
      </w:r>
      <w:r>
        <w:rPr>
          <w:color w:val="auto"/>
          <w:spacing w:val="-4"/>
        </w:rPr>
        <w:t>4</w:t>
      </w:r>
      <w:r>
        <w:rPr>
          <w:color w:val="auto"/>
          <w:spacing w:val="-4"/>
        </w:rPr>
        <w:t>号，</w:t>
      </w:r>
      <w:r>
        <w:rPr>
          <w:color w:val="auto"/>
          <w:spacing w:val="-4"/>
        </w:rPr>
        <w:t>2019</w:t>
      </w:r>
      <w:r>
        <w:rPr>
          <w:color w:val="auto"/>
          <w:spacing w:val="-4"/>
        </w:rPr>
        <w:t>年</w:t>
      </w:r>
      <w:r>
        <w:rPr>
          <w:color w:val="auto"/>
          <w:spacing w:val="-4"/>
        </w:rPr>
        <w:t>1</w:t>
      </w:r>
      <w:r>
        <w:rPr>
          <w:color w:val="auto"/>
          <w:spacing w:val="-4"/>
        </w:rPr>
        <w:t>月</w:t>
      </w:r>
      <w:r>
        <w:rPr>
          <w:color w:val="auto"/>
          <w:spacing w:val="-4"/>
        </w:rPr>
        <w:t>1</w:t>
      </w:r>
      <w:r>
        <w:rPr>
          <w:color w:val="auto"/>
          <w:spacing w:val="-4"/>
        </w:rPr>
        <w:t>日起施行；</w:t>
      </w:r>
    </w:p>
    <w:p w14:paraId="67CE24E1" w14:textId="77777777" w:rsidR="002E474C" w:rsidRDefault="00000000">
      <w:pPr>
        <w:pStyle w:val="A-z"/>
        <w:rPr>
          <w:color w:val="auto"/>
        </w:rPr>
      </w:pPr>
      <w:r>
        <w:rPr>
          <w:color w:val="auto"/>
        </w:rPr>
        <w:t>（</w:t>
      </w:r>
      <w:r>
        <w:rPr>
          <w:color w:val="auto"/>
        </w:rPr>
        <w:t>10</w:t>
      </w:r>
      <w:r>
        <w:rPr>
          <w:color w:val="auto"/>
        </w:rPr>
        <w:t>）《关于以改善环境质量为核心加强环境影响评价管理的通知》，环环评〔</w:t>
      </w:r>
      <w:r>
        <w:rPr>
          <w:color w:val="auto"/>
        </w:rPr>
        <w:t>2016</w:t>
      </w:r>
      <w:r>
        <w:rPr>
          <w:color w:val="auto"/>
        </w:rPr>
        <w:t>〕</w:t>
      </w:r>
      <w:r>
        <w:rPr>
          <w:color w:val="auto"/>
        </w:rPr>
        <w:t>150</w:t>
      </w:r>
      <w:r>
        <w:rPr>
          <w:color w:val="auto"/>
        </w:rPr>
        <w:t>号，原环境保护部办公厅</w:t>
      </w:r>
      <w:r>
        <w:rPr>
          <w:color w:val="auto"/>
        </w:rPr>
        <w:t>2016</w:t>
      </w:r>
      <w:r>
        <w:rPr>
          <w:color w:val="auto"/>
        </w:rPr>
        <w:t>年</w:t>
      </w:r>
      <w:r>
        <w:rPr>
          <w:color w:val="auto"/>
        </w:rPr>
        <w:t>10</w:t>
      </w:r>
      <w:r>
        <w:rPr>
          <w:color w:val="auto"/>
        </w:rPr>
        <w:t>月</w:t>
      </w:r>
      <w:r>
        <w:rPr>
          <w:color w:val="auto"/>
        </w:rPr>
        <w:t>27</w:t>
      </w:r>
      <w:r>
        <w:rPr>
          <w:color w:val="auto"/>
        </w:rPr>
        <w:t>日印发；</w:t>
      </w:r>
    </w:p>
    <w:p w14:paraId="6A69C8B7" w14:textId="77777777" w:rsidR="002E474C" w:rsidRDefault="00000000">
      <w:pPr>
        <w:pStyle w:val="A-z"/>
        <w:rPr>
          <w:color w:val="auto"/>
        </w:rPr>
      </w:pPr>
      <w:r>
        <w:rPr>
          <w:color w:val="auto"/>
        </w:rPr>
        <w:t>（</w:t>
      </w:r>
      <w:r>
        <w:rPr>
          <w:color w:val="auto"/>
        </w:rPr>
        <w:t>11</w:t>
      </w:r>
      <w:r>
        <w:rPr>
          <w:color w:val="auto"/>
        </w:rPr>
        <w:t>）《企业环境信息依法披露管理办法》，生态环境部令第</w:t>
      </w:r>
      <w:r>
        <w:rPr>
          <w:color w:val="auto"/>
        </w:rPr>
        <w:t>24</w:t>
      </w:r>
      <w:r>
        <w:rPr>
          <w:color w:val="auto"/>
        </w:rPr>
        <w:t>号，</w:t>
      </w:r>
      <w:r>
        <w:rPr>
          <w:color w:val="auto"/>
        </w:rPr>
        <w:t>2022</w:t>
      </w:r>
      <w:r>
        <w:rPr>
          <w:color w:val="auto"/>
        </w:rPr>
        <w:t>年</w:t>
      </w:r>
      <w:r>
        <w:rPr>
          <w:color w:val="auto"/>
        </w:rPr>
        <w:t>2</w:t>
      </w:r>
      <w:r>
        <w:rPr>
          <w:color w:val="auto"/>
        </w:rPr>
        <w:t>月</w:t>
      </w:r>
      <w:r>
        <w:rPr>
          <w:color w:val="auto"/>
        </w:rPr>
        <w:t>8</w:t>
      </w:r>
      <w:r>
        <w:rPr>
          <w:color w:val="auto"/>
        </w:rPr>
        <w:t>日起施行；</w:t>
      </w:r>
    </w:p>
    <w:p w14:paraId="774613C8" w14:textId="77777777" w:rsidR="002E474C" w:rsidRDefault="00000000">
      <w:pPr>
        <w:pStyle w:val="A-z"/>
        <w:rPr>
          <w:color w:val="auto"/>
        </w:rPr>
      </w:pPr>
      <w:r>
        <w:rPr>
          <w:color w:val="auto"/>
        </w:rPr>
        <w:t>（</w:t>
      </w:r>
      <w:r>
        <w:rPr>
          <w:color w:val="auto"/>
        </w:rPr>
        <w:t>12</w:t>
      </w:r>
      <w:r>
        <w:rPr>
          <w:color w:val="auto"/>
        </w:rPr>
        <w:t>）《关于印发</w:t>
      </w:r>
      <w:r>
        <w:rPr>
          <w:color w:val="auto"/>
        </w:rPr>
        <w:t>“</w:t>
      </w:r>
      <w:r>
        <w:rPr>
          <w:color w:val="auto"/>
        </w:rPr>
        <w:t>十四五</w:t>
      </w:r>
      <w:r>
        <w:rPr>
          <w:color w:val="auto"/>
        </w:rPr>
        <w:t>”</w:t>
      </w:r>
      <w:r>
        <w:rPr>
          <w:color w:val="auto"/>
        </w:rPr>
        <w:t>噪声污染防治行动计划的通知》</w:t>
      </w:r>
      <w:r>
        <w:rPr>
          <w:color w:val="auto"/>
          <w:lang w:val="en-US"/>
        </w:rPr>
        <w:t>,</w:t>
      </w:r>
      <w:r>
        <w:rPr>
          <w:color w:val="auto"/>
        </w:rPr>
        <w:t>环大气</w:t>
      </w:r>
      <w:r>
        <w:rPr>
          <w:color w:val="auto"/>
          <w:lang w:val="en-US"/>
        </w:rPr>
        <w:t>[2</w:t>
      </w:r>
      <w:r>
        <w:rPr>
          <w:color w:val="auto"/>
        </w:rPr>
        <w:t>023</w:t>
      </w:r>
      <w:r>
        <w:rPr>
          <w:color w:val="auto"/>
          <w:lang w:val="en-US"/>
        </w:rPr>
        <w:t>]</w:t>
      </w:r>
      <w:r>
        <w:rPr>
          <w:color w:val="auto"/>
        </w:rPr>
        <w:t>1</w:t>
      </w:r>
      <w:r>
        <w:rPr>
          <w:color w:val="auto"/>
        </w:rPr>
        <w:t>号；</w:t>
      </w:r>
    </w:p>
    <w:p w14:paraId="5671D0CC" w14:textId="77777777" w:rsidR="002E474C" w:rsidRDefault="00000000">
      <w:pPr>
        <w:pStyle w:val="A-z"/>
        <w:rPr>
          <w:color w:val="auto"/>
        </w:rPr>
      </w:pPr>
      <w:r>
        <w:rPr>
          <w:color w:val="auto"/>
        </w:rPr>
        <w:t>（</w:t>
      </w:r>
      <w:r>
        <w:rPr>
          <w:color w:val="auto"/>
        </w:rPr>
        <w:t>13</w:t>
      </w:r>
      <w:r>
        <w:rPr>
          <w:color w:val="auto"/>
        </w:rPr>
        <w:t>）《环境监管重点单位名录管理办法》，生态环境部令第</w:t>
      </w:r>
      <w:r>
        <w:rPr>
          <w:color w:val="auto"/>
        </w:rPr>
        <w:t>27</w:t>
      </w:r>
      <w:r>
        <w:rPr>
          <w:color w:val="auto"/>
        </w:rPr>
        <w:t>号，</w:t>
      </w:r>
      <w:r>
        <w:rPr>
          <w:color w:val="auto"/>
        </w:rPr>
        <w:t>2023</w:t>
      </w:r>
      <w:r>
        <w:rPr>
          <w:color w:val="auto"/>
        </w:rPr>
        <w:t>年</w:t>
      </w:r>
      <w:r>
        <w:rPr>
          <w:color w:val="auto"/>
        </w:rPr>
        <w:t>1</w:t>
      </w:r>
      <w:r>
        <w:rPr>
          <w:color w:val="auto"/>
        </w:rPr>
        <w:t>月</w:t>
      </w:r>
      <w:r>
        <w:rPr>
          <w:color w:val="auto"/>
        </w:rPr>
        <w:t>1</w:t>
      </w:r>
      <w:r>
        <w:rPr>
          <w:color w:val="auto"/>
        </w:rPr>
        <w:t>日起施行；</w:t>
      </w:r>
    </w:p>
    <w:p w14:paraId="676406BC" w14:textId="77777777" w:rsidR="002E474C" w:rsidRDefault="00000000">
      <w:pPr>
        <w:pStyle w:val="A-z"/>
        <w:ind w:firstLine="456"/>
        <w:rPr>
          <w:color w:val="auto"/>
          <w:spacing w:val="-6"/>
        </w:rPr>
      </w:pPr>
      <w:r>
        <w:rPr>
          <w:color w:val="auto"/>
          <w:spacing w:val="-6"/>
        </w:rPr>
        <w:t>（</w:t>
      </w:r>
      <w:r>
        <w:rPr>
          <w:color w:val="auto"/>
          <w:spacing w:val="-6"/>
        </w:rPr>
        <w:t>14</w:t>
      </w:r>
      <w:r>
        <w:rPr>
          <w:color w:val="auto"/>
          <w:spacing w:val="-6"/>
        </w:rPr>
        <w:t>）《危险废物转移管理办法》（生态环境部公安部交通运输部部令第</w:t>
      </w:r>
      <w:r>
        <w:rPr>
          <w:color w:val="auto"/>
          <w:spacing w:val="-6"/>
        </w:rPr>
        <w:t>23</w:t>
      </w:r>
      <w:r>
        <w:rPr>
          <w:color w:val="auto"/>
          <w:spacing w:val="-6"/>
        </w:rPr>
        <w:t>号）；</w:t>
      </w:r>
    </w:p>
    <w:p w14:paraId="03635855" w14:textId="77777777" w:rsidR="002E474C" w:rsidRDefault="00000000">
      <w:pPr>
        <w:pStyle w:val="A-z"/>
        <w:rPr>
          <w:color w:val="auto"/>
        </w:rPr>
      </w:pPr>
      <w:r>
        <w:rPr>
          <w:color w:val="auto"/>
        </w:rPr>
        <w:t>（</w:t>
      </w:r>
      <w:r>
        <w:rPr>
          <w:color w:val="auto"/>
        </w:rPr>
        <w:t>15</w:t>
      </w:r>
      <w:r>
        <w:rPr>
          <w:color w:val="auto"/>
        </w:rPr>
        <w:t>）《关于做好环境影响评价制度与排污许可制衔接相关工作的通知》，环办环评〔</w:t>
      </w:r>
      <w:r>
        <w:rPr>
          <w:color w:val="auto"/>
        </w:rPr>
        <w:t>2017</w:t>
      </w:r>
      <w:r>
        <w:rPr>
          <w:color w:val="auto"/>
        </w:rPr>
        <w:t>〕</w:t>
      </w:r>
      <w:r>
        <w:rPr>
          <w:color w:val="auto"/>
        </w:rPr>
        <w:t>84</w:t>
      </w:r>
      <w:r>
        <w:rPr>
          <w:color w:val="auto"/>
        </w:rPr>
        <w:t>号；</w:t>
      </w:r>
    </w:p>
    <w:p w14:paraId="154055ED" w14:textId="77777777" w:rsidR="002E474C" w:rsidRDefault="00000000">
      <w:pPr>
        <w:pStyle w:val="A-z"/>
        <w:ind w:firstLine="456"/>
        <w:rPr>
          <w:color w:val="auto"/>
        </w:rPr>
      </w:pPr>
      <w:r>
        <w:rPr>
          <w:color w:val="auto"/>
          <w:spacing w:val="-6"/>
        </w:rPr>
        <w:t>（</w:t>
      </w:r>
      <w:r>
        <w:rPr>
          <w:color w:val="auto"/>
          <w:spacing w:val="-6"/>
        </w:rPr>
        <w:t>16</w:t>
      </w:r>
      <w:r>
        <w:rPr>
          <w:color w:val="auto"/>
          <w:spacing w:val="-6"/>
        </w:rPr>
        <w:t>）</w:t>
      </w:r>
      <w:r>
        <w:rPr>
          <w:color w:val="auto"/>
        </w:rPr>
        <w:t>《排污许可管理办法》，</w:t>
      </w:r>
      <w:r>
        <w:rPr>
          <w:color w:val="auto"/>
          <w:lang w:val="en-US"/>
        </w:rPr>
        <w:t>生态环境部</w:t>
      </w:r>
      <w:r>
        <w:rPr>
          <w:color w:val="auto"/>
        </w:rPr>
        <w:t>令第</w:t>
      </w:r>
      <w:r>
        <w:rPr>
          <w:color w:val="auto"/>
        </w:rPr>
        <w:t>32</w:t>
      </w:r>
      <w:r>
        <w:rPr>
          <w:color w:val="auto"/>
        </w:rPr>
        <w:t>号；</w:t>
      </w:r>
    </w:p>
    <w:p w14:paraId="602D1C8B" w14:textId="77777777" w:rsidR="002E474C" w:rsidRDefault="00000000">
      <w:pPr>
        <w:pStyle w:val="A-z"/>
        <w:rPr>
          <w:color w:val="auto"/>
        </w:rPr>
      </w:pPr>
      <w:r>
        <w:rPr>
          <w:color w:val="auto"/>
        </w:rPr>
        <w:t>（</w:t>
      </w:r>
      <w:r>
        <w:rPr>
          <w:color w:val="auto"/>
        </w:rPr>
        <w:t>17</w:t>
      </w:r>
      <w:r>
        <w:rPr>
          <w:color w:val="auto"/>
        </w:rPr>
        <w:t>）《环境保护综合名录（</w:t>
      </w:r>
      <w:r>
        <w:rPr>
          <w:color w:val="auto"/>
        </w:rPr>
        <w:t>2021</w:t>
      </w:r>
      <w:r>
        <w:rPr>
          <w:color w:val="auto"/>
        </w:rPr>
        <w:t>年版）》，环办综合函〔</w:t>
      </w:r>
      <w:r>
        <w:rPr>
          <w:color w:val="auto"/>
        </w:rPr>
        <w:t>2021</w:t>
      </w:r>
      <w:r>
        <w:rPr>
          <w:color w:val="auto"/>
        </w:rPr>
        <w:t>〕</w:t>
      </w:r>
      <w:r>
        <w:rPr>
          <w:color w:val="auto"/>
        </w:rPr>
        <w:t>495</w:t>
      </w:r>
      <w:r>
        <w:rPr>
          <w:color w:val="auto"/>
        </w:rPr>
        <w:t>号；</w:t>
      </w:r>
    </w:p>
    <w:p w14:paraId="3DACEA38" w14:textId="77777777" w:rsidR="002E474C" w:rsidRDefault="00000000">
      <w:pPr>
        <w:pStyle w:val="A-z"/>
        <w:rPr>
          <w:color w:val="auto"/>
        </w:rPr>
      </w:pPr>
      <w:r>
        <w:rPr>
          <w:color w:val="auto"/>
        </w:rPr>
        <w:t>（</w:t>
      </w:r>
      <w:r>
        <w:rPr>
          <w:color w:val="auto"/>
        </w:rPr>
        <w:t>18</w:t>
      </w:r>
      <w:r>
        <w:rPr>
          <w:color w:val="auto"/>
        </w:rPr>
        <w:t>）《市场准入负面清单（</w:t>
      </w:r>
      <w:r>
        <w:rPr>
          <w:color w:val="auto"/>
        </w:rPr>
        <w:t>2025</w:t>
      </w:r>
      <w:r>
        <w:rPr>
          <w:color w:val="auto"/>
        </w:rPr>
        <w:t>年版）》，发改体改规〔</w:t>
      </w:r>
      <w:r>
        <w:rPr>
          <w:color w:val="auto"/>
        </w:rPr>
        <w:t>2025</w:t>
      </w:r>
      <w:r>
        <w:rPr>
          <w:color w:val="auto"/>
        </w:rPr>
        <w:t>〕</w:t>
      </w:r>
      <w:r>
        <w:rPr>
          <w:color w:val="auto"/>
        </w:rPr>
        <w:t>466</w:t>
      </w:r>
      <w:r>
        <w:rPr>
          <w:color w:val="auto"/>
        </w:rPr>
        <w:t>号；</w:t>
      </w:r>
    </w:p>
    <w:p w14:paraId="2DA24B80" w14:textId="77777777" w:rsidR="002E474C" w:rsidRDefault="00000000">
      <w:pPr>
        <w:pStyle w:val="A-z"/>
        <w:rPr>
          <w:color w:val="auto"/>
        </w:rPr>
      </w:pPr>
      <w:r>
        <w:rPr>
          <w:color w:val="auto"/>
        </w:rPr>
        <w:t>（</w:t>
      </w:r>
      <w:r>
        <w:rPr>
          <w:color w:val="auto"/>
        </w:rPr>
        <w:t>19</w:t>
      </w:r>
      <w:r>
        <w:rPr>
          <w:color w:val="auto"/>
        </w:rPr>
        <w:t>）《国家危险废物名录（</w:t>
      </w:r>
      <w:r>
        <w:rPr>
          <w:color w:val="auto"/>
        </w:rPr>
        <w:t>2025</w:t>
      </w:r>
      <w:r>
        <w:rPr>
          <w:color w:val="auto"/>
        </w:rPr>
        <w:t>年版）》，生态环境部令第</w:t>
      </w:r>
      <w:r>
        <w:rPr>
          <w:color w:val="auto"/>
        </w:rPr>
        <w:t>36</w:t>
      </w:r>
      <w:r>
        <w:rPr>
          <w:color w:val="auto"/>
        </w:rPr>
        <w:t>号；</w:t>
      </w:r>
    </w:p>
    <w:p w14:paraId="46372938" w14:textId="77777777" w:rsidR="002E474C" w:rsidRDefault="00000000">
      <w:pPr>
        <w:pStyle w:val="A-z"/>
        <w:rPr>
          <w:color w:val="auto"/>
        </w:rPr>
      </w:pPr>
      <w:r>
        <w:rPr>
          <w:color w:val="auto"/>
        </w:rPr>
        <w:t>（</w:t>
      </w:r>
      <w:r>
        <w:rPr>
          <w:color w:val="auto"/>
        </w:rPr>
        <w:t>20</w:t>
      </w:r>
      <w:r>
        <w:rPr>
          <w:color w:val="auto"/>
        </w:rPr>
        <w:t>）《固定污染源排污许可分类管理名录（</w:t>
      </w:r>
      <w:r>
        <w:rPr>
          <w:color w:val="auto"/>
        </w:rPr>
        <w:t>2019</w:t>
      </w:r>
      <w:r>
        <w:rPr>
          <w:color w:val="auto"/>
        </w:rPr>
        <w:t>年版）》，生态环境部部令第</w:t>
      </w:r>
      <w:r>
        <w:rPr>
          <w:color w:val="auto"/>
        </w:rPr>
        <w:t>11</w:t>
      </w:r>
      <w:r>
        <w:rPr>
          <w:color w:val="auto"/>
        </w:rPr>
        <w:t>号；</w:t>
      </w:r>
    </w:p>
    <w:p w14:paraId="4D351A44" w14:textId="77777777" w:rsidR="002E474C" w:rsidRDefault="00000000">
      <w:pPr>
        <w:pStyle w:val="A-z"/>
        <w:rPr>
          <w:color w:val="auto"/>
        </w:rPr>
      </w:pPr>
      <w:r>
        <w:rPr>
          <w:color w:val="auto"/>
        </w:rPr>
        <w:t>（</w:t>
      </w:r>
      <w:r>
        <w:rPr>
          <w:color w:val="auto"/>
        </w:rPr>
        <w:t>21</w:t>
      </w:r>
      <w:r>
        <w:rPr>
          <w:color w:val="auto"/>
        </w:rPr>
        <w:t>）《中共中央国务院关于深入打好污染防治攻坚战的意见》，</w:t>
      </w:r>
      <w:r>
        <w:rPr>
          <w:color w:val="auto"/>
        </w:rPr>
        <w:t>2021</w:t>
      </w:r>
      <w:r>
        <w:rPr>
          <w:color w:val="auto"/>
        </w:rPr>
        <w:t>年</w:t>
      </w:r>
      <w:r>
        <w:rPr>
          <w:color w:val="auto"/>
        </w:rPr>
        <w:t>11</w:t>
      </w:r>
      <w:r>
        <w:rPr>
          <w:color w:val="auto"/>
        </w:rPr>
        <w:t>月</w:t>
      </w:r>
      <w:r>
        <w:rPr>
          <w:color w:val="auto"/>
        </w:rPr>
        <w:t>2</w:t>
      </w:r>
      <w:r>
        <w:rPr>
          <w:color w:val="auto"/>
        </w:rPr>
        <w:t>日；</w:t>
      </w:r>
    </w:p>
    <w:p w14:paraId="093D8324" w14:textId="77777777" w:rsidR="002E474C" w:rsidRDefault="00000000">
      <w:pPr>
        <w:pStyle w:val="A-z"/>
        <w:rPr>
          <w:color w:val="auto"/>
        </w:rPr>
      </w:pPr>
      <w:r>
        <w:rPr>
          <w:color w:val="auto"/>
        </w:rPr>
        <w:t>（</w:t>
      </w:r>
      <w:r>
        <w:rPr>
          <w:color w:val="auto"/>
        </w:rPr>
        <w:t>22</w:t>
      </w:r>
      <w:r>
        <w:rPr>
          <w:color w:val="auto"/>
        </w:rPr>
        <w:t>）《国务院办公厅关于印发控制污染物排放许可制实施方案的通知》，国办发〔</w:t>
      </w:r>
      <w:r>
        <w:rPr>
          <w:color w:val="auto"/>
        </w:rPr>
        <w:t>2016</w:t>
      </w:r>
      <w:r>
        <w:rPr>
          <w:color w:val="auto"/>
        </w:rPr>
        <w:t>〕</w:t>
      </w:r>
      <w:r>
        <w:rPr>
          <w:color w:val="auto"/>
        </w:rPr>
        <w:t>81</w:t>
      </w:r>
      <w:r>
        <w:rPr>
          <w:color w:val="auto"/>
        </w:rPr>
        <w:t>号；</w:t>
      </w:r>
    </w:p>
    <w:p w14:paraId="17DCA6CA" w14:textId="77777777" w:rsidR="002E474C" w:rsidRDefault="00000000">
      <w:pPr>
        <w:pStyle w:val="A-z"/>
        <w:rPr>
          <w:color w:val="auto"/>
        </w:rPr>
      </w:pPr>
      <w:r>
        <w:rPr>
          <w:color w:val="auto"/>
        </w:rPr>
        <w:t>（</w:t>
      </w:r>
      <w:r>
        <w:rPr>
          <w:color w:val="auto"/>
        </w:rPr>
        <w:t>23</w:t>
      </w:r>
      <w:r>
        <w:rPr>
          <w:color w:val="auto"/>
        </w:rPr>
        <w:t>）《中共中央国务院关于全面加强生态环境保护坚决打好污染防治攻坚战的意见》，</w:t>
      </w:r>
      <w:r>
        <w:rPr>
          <w:color w:val="auto"/>
        </w:rPr>
        <w:t>2018</w:t>
      </w:r>
      <w:r>
        <w:rPr>
          <w:color w:val="auto"/>
        </w:rPr>
        <w:t>年</w:t>
      </w:r>
      <w:r>
        <w:rPr>
          <w:color w:val="auto"/>
        </w:rPr>
        <w:t>6</w:t>
      </w:r>
      <w:r>
        <w:rPr>
          <w:color w:val="auto"/>
        </w:rPr>
        <w:t>月</w:t>
      </w:r>
      <w:r>
        <w:rPr>
          <w:color w:val="auto"/>
        </w:rPr>
        <w:t>16</w:t>
      </w:r>
      <w:r>
        <w:rPr>
          <w:color w:val="auto"/>
        </w:rPr>
        <w:t>日；</w:t>
      </w:r>
    </w:p>
    <w:p w14:paraId="06F75B65" w14:textId="77777777" w:rsidR="002E474C" w:rsidRDefault="00000000">
      <w:pPr>
        <w:pStyle w:val="A-z"/>
        <w:rPr>
          <w:color w:val="auto"/>
        </w:rPr>
      </w:pPr>
      <w:r>
        <w:rPr>
          <w:color w:val="auto"/>
        </w:rPr>
        <w:t>（</w:t>
      </w:r>
      <w:r>
        <w:rPr>
          <w:color w:val="auto"/>
        </w:rPr>
        <w:t>24</w:t>
      </w:r>
      <w:r>
        <w:rPr>
          <w:color w:val="auto"/>
        </w:rPr>
        <w:t>）《关于加强危险废物鉴别工作的通知》，环办固体函〔</w:t>
      </w:r>
      <w:r>
        <w:rPr>
          <w:color w:val="auto"/>
        </w:rPr>
        <w:t>2021</w:t>
      </w:r>
      <w:r>
        <w:rPr>
          <w:color w:val="auto"/>
        </w:rPr>
        <w:t>〕</w:t>
      </w:r>
      <w:r>
        <w:rPr>
          <w:color w:val="auto"/>
        </w:rPr>
        <w:t>419</w:t>
      </w:r>
      <w:r>
        <w:rPr>
          <w:color w:val="auto"/>
        </w:rPr>
        <w:t>号；</w:t>
      </w:r>
    </w:p>
    <w:p w14:paraId="5A79D428" w14:textId="77777777" w:rsidR="002E474C" w:rsidRDefault="00000000">
      <w:pPr>
        <w:pStyle w:val="A-z"/>
        <w:rPr>
          <w:color w:val="auto"/>
        </w:rPr>
      </w:pPr>
      <w:r>
        <w:rPr>
          <w:color w:val="auto"/>
        </w:rPr>
        <w:t>（</w:t>
      </w:r>
      <w:r>
        <w:rPr>
          <w:color w:val="auto"/>
        </w:rPr>
        <w:t>25</w:t>
      </w:r>
      <w:r>
        <w:rPr>
          <w:color w:val="auto"/>
        </w:rPr>
        <w:t>）《危险废物经营单位审查和许可指南》（</w:t>
      </w:r>
      <w:r>
        <w:rPr>
          <w:color w:val="auto"/>
        </w:rPr>
        <w:t>2019</w:t>
      </w:r>
      <w:r>
        <w:rPr>
          <w:color w:val="auto"/>
        </w:rPr>
        <w:t>年修订）；</w:t>
      </w:r>
    </w:p>
    <w:p w14:paraId="0ECCF1A7" w14:textId="77777777" w:rsidR="002E474C" w:rsidRDefault="00000000">
      <w:pPr>
        <w:pStyle w:val="A-z"/>
        <w:rPr>
          <w:color w:val="auto"/>
        </w:rPr>
      </w:pPr>
      <w:r>
        <w:rPr>
          <w:color w:val="auto"/>
        </w:rPr>
        <w:t>（</w:t>
      </w:r>
      <w:r>
        <w:rPr>
          <w:color w:val="auto"/>
        </w:rPr>
        <w:t>26</w:t>
      </w:r>
      <w:r>
        <w:rPr>
          <w:color w:val="auto"/>
        </w:rPr>
        <w:t>）《水泥窑协同处置危险废物经营许可证审查指南（试行）》</w:t>
      </w:r>
      <w:r>
        <w:rPr>
          <w:color w:val="auto"/>
          <w:szCs w:val="24"/>
          <w:lang w:val="en-US"/>
        </w:rPr>
        <w:t>，环境保护</w:t>
      </w:r>
      <w:r>
        <w:rPr>
          <w:color w:val="auto"/>
          <w:szCs w:val="24"/>
          <w:lang w:val="en-US"/>
        </w:rPr>
        <w:lastRenderedPageBreak/>
        <w:t>部公告</w:t>
      </w:r>
      <w:r>
        <w:rPr>
          <w:color w:val="auto"/>
          <w:szCs w:val="24"/>
          <w:lang w:val="en-US"/>
        </w:rPr>
        <w:t>2017</w:t>
      </w:r>
      <w:r>
        <w:rPr>
          <w:color w:val="auto"/>
          <w:szCs w:val="24"/>
          <w:lang w:val="en-US"/>
        </w:rPr>
        <w:t>年第</w:t>
      </w:r>
      <w:r>
        <w:rPr>
          <w:color w:val="auto"/>
          <w:szCs w:val="24"/>
          <w:lang w:val="en-US"/>
        </w:rPr>
        <w:t>22</w:t>
      </w:r>
      <w:r>
        <w:rPr>
          <w:color w:val="auto"/>
          <w:szCs w:val="24"/>
          <w:lang w:val="en-US"/>
        </w:rPr>
        <w:t>号</w:t>
      </w:r>
      <w:r>
        <w:rPr>
          <w:color w:val="auto"/>
        </w:rPr>
        <w:t>；</w:t>
      </w:r>
    </w:p>
    <w:p w14:paraId="675F5574" w14:textId="77777777" w:rsidR="002E474C" w:rsidRDefault="00000000">
      <w:pPr>
        <w:pStyle w:val="A-z"/>
        <w:rPr>
          <w:color w:val="auto"/>
        </w:rPr>
      </w:pPr>
      <w:r>
        <w:rPr>
          <w:color w:val="auto"/>
        </w:rPr>
        <w:t>（</w:t>
      </w:r>
      <w:r>
        <w:rPr>
          <w:color w:val="auto"/>
        </w:rPr>
        <w:t>27</w:t>
      </w:r>
      <w:r>
        <w:rPr>
          <w:color w:val="auto"/>
        </w:rPr>
        <w:t>）《危险废物规范化管理指标体系》，环办〔</w:t>
      </w:r>
      <w:r>
        <w:rPr>
          <w:color w:val="auto"/>
        </w:rPr>
        <w:t>2015</w:t>
      </w:r>
      <w:r>
        <w:rPr>
          <w:color w:val="auto"/>
        </w:rPr>
        <w:t>〕</w:t>
      </w:r>
      <w:r>
        <w:rPr>
          <w:color w:val="auto"/>
        </w:rPr>
        <w:t>99</w:t>
      </w:r>
      <w:r>
        <w:rPr>
          <w:color w:val="auto"/>
        </w:rPr>
        <w:t>号；</w:t>
      </w:r>
    </w:p>
    <w:p w14:paraId="4F5E2F69" w14:textId="77777777" w:rsidR="002E474C" w:rsidRDefault="00000000">
      <w:pPr>
        <w:pStyle w:val="A-z"/>
        <w:rPr>
          <w:color w:val="auto"/>
        </w:rPr>
      </w:pPr>
      <w:r>
        <w:rPr>
          <w:color w:val="auto"/>
        </w:rPr>
        <w:t>（</w:t>
      </w:r>
      <w:r>
        <w:rPr>
          <w:color w:val="auto"/>
        </w:rPr>
        <w:t>28</w:t>
      </w:r>
      <w:r>
        <w:rPr>
          <w:color w:val="auto"/>
        </w:rPr>
        <w:t>）《危险废物经营许可证管理办法》（</w:t>
      </w:r>
      <w:r>
        <w:rPr>
          <w:color w:val="auto"/>
        </w:rPr>
        <w:t>2016</w:t>
      </w:r>
      <w:r>
        <w:rPr>
          <w:color w:val="auto"/>
        </w:rPr>
        <w:t>年修订）；</w:t>
      </w:r>
    </w:p>
    <w:p w14:paraId="6B4DBB0A" w14:textId="77777777" w:rsidR="002E474C" w:rsidRDefault="00000000">
      <w:pPr>
        <w:pStyle w:val="A-z"/>
        <w:rPr>
          <w:color w:val="auto"/>
        </w:rPr>
      </w:pPr>
      <w:r>
        <w:rPr>
          <w:color w:val="auto"/>
        </w:rPr>
        <w:t>（</w:t>
      </w:r>
      <w:r>
        <w:rPr>
          <w:color w:val="auto"/>
        </w:rPr>
        <w:t>29</w:t>
      </w:r>
      <w:r>
        <w:rPr>
          <w:color w:val="auto"/>
        </w:rPr>
        <w:t>）《国务院办公厅关于印发强化危险废物监管和利用处置能力改革实施方案的通知》，国办函〔</w:t>
      </w:r>
      <w:r>
        <w:rPr>
          <w:color w:val="auto"/>
        </w:rPr>
        <w:t>2021</w:t>
      </w:r>
      <w:r>
        <w:rPr>
          <w:color w:val="auto"/>
        </w:rPr>
        <w:t>〕</w:t>
      </w:r>
      <w:r>
        <w:rPr>
          <w:color w:val="auto"/>
        </w:rPr>
        <w:t>47</w:t>
      </w:r>
      <w:r>
        <w:rPr>
          <w:color w:val="auto"/>
        </w:rPr>
        <w:t>号；</w:t>
      </w:r>
    </w:p>
    <w:p w14:paraId="200D5E0E" w14:textId="77777777" w:rsidR="002E474C" w:rsidRDefault="00000000">
      <w:pPr>
        <w:pStyle w:val="A-z"/>
        <w:rPr>
          <w:color w:val="auto"/>
        </w:rPr>
      </w:pPr>
      <w:r>
        <w:rPr>
          <w:color w:val="auto"/>
        </w:rPr>
        <w:t>（</w:t>
      </w:r>
      <w:r>
        <w:rPr>
          <w:color w:val="auto"/>
        </w:rPr>
        <w:t>30</w:t>
      </w:r>
      <w:r>
        <w:rPr>
          <w:color w:val="auto"/>
        </w:rPr>
        <w:t>）《水泥窑协同处置固体废物污染防治技术政策》（公告</w:t>
      </w:r>
      <w:r>
        <w:rPr>
          <w:color w:val="auto"/>
        </w:rPr>
        <w:t xml:space="preserve"> 2016</w:t>
      </w:r>
      <w:r>
        <w:rPr>
          <w:color w:val="auto"/>
        </w:rPr>
        <w:t>年</w:t>
      </w:r>
      <w:r>
        <w:rPr>
          <w:color w:val="auto"/>
        </w:rPr>
        <w:t xml:space="preserve"> </w:t>
      </w:r>
      <w:r>
        <w:rPr>
          <w:color w:val="auto"/>
        </w:rPr>
        <w:t>第</w:t>
      </w:r>
      <w:r>
        <w:rPr>
          <w:color w:val="auto"/>
        </w:rPr>
        <w:t>72</w:t>
      </w:r>
      <w:r>
        <w:rPr>
          <w:color w:val="auto"/>
        </w:rPr>
        <w:t>号）；</w:t>
      </w:r>
    </w:p>
    <w:p w14:paraId="3BDDF675" w14:textId="77777777" w:rsidR="002E474C" w:rsidRDefault="00000000">
      <w:pPr>
        <w:pStyle w:val="A-z"/>
        <w:rPr>
          <w:color w:val="auto"/>
        </w:rPr>
      </w:pPr>
      <w:r>
        <w:rPr>
          <w:color w:val="auto"/>
        </w:rPr>
        <w:t>（</w:t>
      </w:r>
      <w:r>
        <w:rPr>
          <w:color w:val="auto"/>
        </w:rPr>
        <w:t>31</w:t>
      </w:r>
      <w:r>
        <w:rPr>
          <w:color w:val="auto"/>
        </w:rPr>
        <w:t>）《关于印发</w:t>
      </w:r>
      <w:r>
        <w:rPr>
          <w:color w:val="auto"/>
        </w:rPr>
        <w:t>&lt;“</w:t>
      </w:r>
      <w:r>
        <w:rPr>
          <w:color w:val="auto"/>
        </w:rPr>
        <w:t>十四五</w:t>
      </w:r>
      <w:r>
        <w:rPr>
          <w:color w:val="auto"/>
        </w:rPr>
        <w:t>”</w:t>
      </w:r>
      <w:r>
        <w:rPr>
          <w:color w:val="auto"/>
        </w:rPr>
        <w:t>全国危险废物规范化环境管理评估工作方案</w:t>
      </w:r>
      <w:r>
        <w:rPr>
          <w:color w:val="auto"/>
        </w:rPr>
        <w:t>&gt;</w:t>
      </w:r>
      <w:r>
        <w:rPr>
          <w:color w:val="auto"/>
        </w:rPr>
        <w:t>的通知》，环办固体〔</w:t>
      </w:r>
      <w:r>
        <w:rPr>
          <w:color w:val="auto"/>
        </w:rPr>
        <w:t>2021</w:t>
      </w:r>
      <w:r>
        <w:rPr>
          <w:color w:val="auto"/>
        </w:rPr>
        <w:t>〕</w:t>
      </w:r>
      <w:r>
        <w:rPr>
          <w:color w:val="auto"/>
        </w:rPr>
        <w:t>20</w:t>
      </w:r>
      <w:r>
        <w:rPr>
          <w:color w:val="auto"/>
        </w:rPr>
        <w:t>号；</w:t>
      </w:r>
    </w:p>
    <w:p w14:paraId="4D44C942" w14:textId="77777777" w:rsidR="002E474C" w:rsidRDefault="00000000">
      <w:pPr>
        <w:pStyle w:val="A-z"/>
        <w:rPr>
          <w:color w:val="auto"/>
        </w:rPr>
      </w:pPr>
      <w:r>
        <w:rPr>
          <w:color w:val="auto"/>
        </w:rPr>
        <w:t>（</w:t>
      </w:r>
      <w:r>
        <w:rPr>
          <w:color w:val="auto"/>
        </w:rPr>
        <w:t>32</w:t>
      </w:r>
      <w:r>
        <w:rPr>
          <w:color w:val="auto"/>
        </w:rPr>
        <w:t>）《关于提升危险废物环境监管能力、利用处置能力和环境风险防范能力的指导意见》，环固体〔</w:t>
      </w:r>
      <w:r>
        <w:rPr>
          <w:color w:val="auto"/>
        </w:rPr>
        <w:t>2019</w:t>
      </w:r>
      <w:r>
        <w:rPr>
          <w:color w:val="auto"/>
        </w:rPr>
        <w:t>〕</w:t>
      </w:r>
      <w:r>
        <w:rPr>
          <w:color w:val="auto"/>
        </w:rPr>
        <w:t>92</w:t>
      </w:r>
      <w:r>
        <w:rPr>
          <w:color w:val="auto"/>
        </w:rPr>
        <w:t>号；</w:t>
      </w:r>
    </w:p>
    <w:p w14:paraId="62E9D240" w14:textId="77777777" w:rsidR="002E474C" w:rsidRDefault="00000000">
      <w:pPr>
        <w:pStyle w:val="A-z"/>
        <w:rPr>
          <w:color w:val="auto"/>
        </w:rPr>
      </w:pPr>
      <w:r>
        <w:rPr>
          <w:color w:val="auto"/>
        </w:rPr>
        <w:t>（</w:t>
      </w:r>
      <w:r>
        <w:rPr>
          <w:color w:val="auto"/>
        </w:rPr>
        <w:t>33</w:t>
      </w:r>
      <w:r>
        <w:rPr>
          <w:color w:val="auto"/>
        </w:rPr>
        <w:t>）《关于进一步加强危险废物环境治理</w:t>
      </w:r>
      <w:r>
        <w:rPr>
          <w:color w:val="auto"/>
        </w:rPr>
        <w:t xml:space="preserve"> </w:t>
      </w:r>
      <w:r>
        <w:rPr>
          <w:color w:val="auto"/>
        </w:rPr>
        <w:t>严密防控环境风险的指导意见》，环固体〔</w:t>
      </w:r>
      <w:r>
        <w:rPr>
          <w:color w:val="auto"/>
        </w:rPr>
        <w:t>2025</w:t>
      </w:r>
      <w:r>
        <w:rPr>
          <w:color w:val="auto"/>
        </w:rPr>
        <w:t>〕</w:t>
      </w:r>
      <w:r>
        <w:rPr>
          <w:color w:val="auto"/>
        </w:rPr>
        <w:t>10</w:t>
      </w:r>
      <w:r>
        <w:rPr>
          <w:color w:val="auto"/>
        </w:rPr>
        <w:t>号；</w:t>
      </w:r>
    </w:p>
    <w:p w14:paraId="3F33C2F5" w14:textId="77777777" w:rsidR="002E474C" w:rsidRDefault="00000000">
      <w:pPr>
        <w:pStyle w:val="A-z"/>
        <w:rPr>
          <w:color w:val="auto"/>
        </w:rPr>
      </w:pPr>
      <w:r>
        <w:rPr>
          <w:color w:val="auto"/>
        </w:rPr>
        <w:t>（</w:t>
      </w:r>
      <w:r>
        <w:rPr>
          <w:color w:val="auto"/>
        </w:rPr>
        <w:t>34</w:t>
      </w:r>
      <w:r>
        <w:rPr>
          <w:color w:val="auto"/>
        </w:rPr>
        <w:t>）《固体废物综合治理行动计划》，国发〔</w:t>
      </w:r>
      <w:r>
        <w:rPr>
          <w:color w:val="auto"/>
        </w:rPr>
        <w:t>2025</w:t>
      </w:r>
      <w:r>
        <w:rPr>
          <w:color w:val="auto"/>
        </w:rPr>
        <w:t>〕</w:t>
      </w:r>
      <w:r>
        <w:rPr>
          <w:color w:val="auto"/>
        </w:rPr>
        <w:t>14</w:t>
      </w:r>
      <w:r>
        <w:rPr>
          <w:color w:val="auto"/>
        </w:rPr>
        <w:t>号；</w:t>
      </w:r>
    </w:p>
    <w:p w14:paraId="3FCB0573" w14:textId="77777777" w:rsidR="002E474C" w:rsidRDefault="00000000">
      <w:pPr>
        <w:pStyle w:val="A-z"/>
        <w:ind w:firstLine="456"/>
        <w:rPr>
          <w:color w:val="auto"/>
          <w:spacing w:val="-6"/>
        </w:rPr>
      </w:pPr>
      <w:r>
        <w:rPr>
          <w:color w:val="auto"/>
          <w:spacing w:val="-6"/>
        </w:rPr>
        <w:t>（</w:t>
      </w:r>
      <w:r>
        <w:rPr>
          <w:color w:val="auto"/>
          <w:spacing w:val="-6"/>
        </w:rPr>
        <w:t>35</w:t>
      </w:r>
      <w:r>
        <w:rPr>
          <w:color w:val="auto"/>
          <w:spacing w:val="-6"/>
        </w:rPr>
        <w:t>）《绿色低碳转型产业指导目录（</w:t>
      </w:r>
      <w:r>
        <w:rPr>
          <w:color w:val="auto"/>
          <w:spacing w:val="-6"/>
        </w:rPr>
        <w:t>2024</w:t>
      </w:r>
      <w:r>
        <w:rPr>
          <w:color w:val="auto"/>
          <w:spacing w:val="-6"/>
        </w:rPr>
        <w:t>年版）》，发改环资〔</w:t>
      </w:r>
      <w:r>
        <w:rPr>
          <w:color w:val="auto"/>
          <w:spacing w:val="-6"/>
        </w:rPr>
        <w:t>2024</w:t>
      </w:r>
      <w:r>
        <w:rPr>
          <w:color w:val="auto"/>
          <w:spacing w:val="-6"/>
        </w:rPr>
        <w:t>〕</w:t>
      </w:r>
      <w:r>
        <w:rPr>
          <w:color w:val="auto"/>
          <w:spacing w:val="-6"/>
        </w:rPr>
        <w:t>165</w:t>
      </w:r>
      <w:r>
        <w:rPr>
          <w:color w:val="auto"/>
          <w:spacing w:val="-6"/>
        </w:rPr>
        <w:t>号；</w:t>
      </w:r>
    </w:p>
    <w:p w14:paraId="6A9CDB73" w14:textId="77777777" w:rsidR="002E474C" w:rsidRDefault="00000000">
      <w:pPr>
        <w:pStyle w:val="A-z"/>
        <w:rPr>
          <w:color w:val="auto"/>
        </w:rPr>
      </w:pPr>
      <w:r>
        <w:rPr>
          <w:color w:val="auto"/>
        </w:rPr>
        <w:t>（</w:t>
      </w:r>
      <w:r>
        <w:rPr>
          <w:color w:val="auto"/>
        </w:rPr>
        <w:t>36</w:t>
      </w:r>
      <w:r>
        <w:rPr>
          <w:color w:val="auto"/>
        </w:rPr>
        <w:t>）关于印发《</w:t>
      </w:r>
      <w:r>
        <w:rPr>
          <w:color w:val="auto"/>
        </w:rPr>
        <w:t>“</w:t>
      </w:r>
      <w:r>
        <w:rPr>
          <w:color w:val="auto"/>
        </w:rPr>
        <w:t>十四五</w:t>
      </w:r>
      <w:r>
        <w:rPr>
          <w:color w:val="auto"/>
        </w:rPr>
        <w:t>”</w:t>
      </w:r>
      <w:r>
        <w:rPr>
          <w:color w:val="auto"/>
        </w:rPr>
        <w:t>环境影响评价与排污许可工作实施方案》的通知，环环评〔</w:t>
      </w:r>
      <w:r>
        <w:rPr>
          <w:color w:val="auto"/>
        </w:rPr>
        <w:t>2022</w:t>
      </w:r>
      <w:r>
        <w:rPr>
          <w:color w:val="auto"/>
        </w:rPr>
        <w:t>〕</w:t>
      </w:r>
      <w:r>
        <w:rPr>
          <w:color w:val="auto"/>
        </w:rPr>
        <w:t>26</w:t>
      </w:r>
      <w:r>
        <w:rPr>
          <w:color w:val="auto"/>
        </w:rPr>
        <w:t>号；</w:t>
      </w:r>
    </w:p>
    <w:p w14:paraId="1E9BC058" w14:textId="77777777" w:rsidR="002E474C" w:rsidRDefault="00000000">
      <w:pPr>
        <w:pStyle w:val="A-z"/>
        <w:rPr>
          <w:color w:val="auto"/>
        </w:rPr>
      </w:pPr>
      <w:r>
        <w:rPr>
          <w:color w:val="auto"/>
        </w:rPr>
        <w:t>（</w:t>
      </w:r>
      <w:r>
        <w:rPr>
          <w:color w:val="auto"/>
        </w:rPr>
        <w:t>37</w:t>
      </w:r>
      <w:r>
        <w:rPr>
          <w:color w:val="auto"/>
        </w:rPr>
        <w:t>）《关于印发〈固体废物污染环境防治信息发布指南〉的通知》，环办固体函〔</w:t>
      </w:r>
      <w:r>
        <w:rPr>
          <w:color w:val="auto"/>
        </w:rPr>
        <w:t>2024</w:t>
      </w:r>
      <w:r>
        <w:rPr>
          <w:color w:val="auto"/>
        </w:rPr>
        <w:t>〕</w:t>
      </w:r>
      <w:r>
        <w:rPr>
          <w:color w:val="auto"/>
        </w:rPr>
        <w:t>37</w:t>
      </w:r>
      <w:r>
        <w:rPr>
          <w:color w:val="auto"/>
        </w:rPr>
        <w:t>号；</w:t>
      </w:r>
    </w:p>
    <w:p w14:paraId="582EA338" w14:textId="77777777" w:rsidR="002E474C" w:rsidRDefault="00000000">
      <w:pPr>
        <w:pStyle w:val="A-z"/>
        <w:rPr>
          <w:color w:val="auto"/>
        </w:rPr>
      </w:pPr>
      <w:r>
        <w:rPr>
          <w:color w:val="auto"/>
        </w:rPr>
        <w:t>（</w:t>
      </w:r>
      <w:r>
        <w:rPr>
          <w:color w:val="auto"/>
        </w:rPr>
        <w:t>38</w:t>
      </w:r>
      <w:r>
        <w:rPr>
          <w:color w:val="auto"/>
        </w:rPr>
        <w:t>）《关于进一步推进危险废物环境管理信息化有关工作的通知》，环办固体函〔</w:t>
      </w:r>
      <w:r>
        <w:rPr>
          <w:color w:val="auto"/>
        </w:rPr>
        <w:t>2022</w:t>
      </w:r>
      <w:r>
        <w:rPr>
          <w:color w:val="auto"/>
        </w:rPr>
        <w:t>〕</w:t>
      </w:r>
      <w:r>
        <w:rPr>
          <w:color w:val="auto"/>
        </w:rPr>
        <w:t>230</w:t>
      </w:r>
      <w:r>
        <w:rPr>
          <w:color w:val="auto"/>
        </w:rPr>
        <w:t>号；</w:t>
      </w:r>
    </w:p>
    <w:p w14:paraId="10387E7A" w14:textId="77777777" w:rsidR="002E474C" w:rsidRDefault="00000000">
      <w:pPr>
        <w:pStyle w:val="A-z"/>
        <w:rPr>
          <w:color w:val="auto"/>
        </w:rPr>
      </w:pPr>
      <w:r>
        <w:rPr>
          <w:color w:val="auto"/>
        </w:rPr>
        <w:t>（</w:t>
      </w:r>
      <w:r>
        <w:rPr>
          <w:color w:val="auto"/>
        </w:rPr>
        <w:t>39</w:t>
      </w:r>
      <w:r>
        <w:rPr>
          <w:color w:val="auto"/>
        </w:rPr>
        <w:t>）《国务院关于印发</w:t>
      </w:r>
      <w:r>
        <w:rPr>
          <w:color w:val="auto"/>
        </w:rPr>
        <w:t>“</w:t>
      </w:r>
      <w:r>
        <w:rPr>
          <w:color w:val="auto"/>
        </w:rPr>
        <w:t>十四五</w:t>
      </w:r>
      <w:r>
        <w:rPr>
          <w:color w:val="auto"/>
        </w:rPr>
        <w:t>”</w:t>
      </w:r>
      <w:r>
        <w:rPr>
          <w:color w:val="auto"/>
        </w:rPr>
        <w:t>节能减排综合性工作方案的通知》，国发〔</w:t>
      </w:r>
      <w:r>
        <w:rPr>
          <w:color w:val="auto"/>
        </w:rPr>
        <w:t>2021</w:t>
      </w:r>
      <w:r>
        <w:rPr>
          <w:color w:val="auto"/>
        </w:rPr>
        <w:t>〕</w:t>
      </w:r>
      <w:r>
        <w:rPr>
          <w:color w:val="auto"/>
        </w:rPr>
        <w:t>33</w:t>
      </w:r>
      <w:r>
        <w:rPr>
          <w:color w:val="auto"/>
        </w:rPr>
        <w:t>号；</w:t>
      </w:r>
    </w:p>
    <w:p w14:paraId="6258CDB5" w14:textId="77777777" w:rsidR="002E474C" w:rsidRDefault="00000000">
      <w:pPr>
        <w:pStyle w:val="A-z"/>
        <w:ind w:firstLine="456"/>
        <w:rPr>
          <w:color w:val="auto"/>
          <w:spacing w:val="-6"/>
        </w:rPr>
      </w:pPr>
      <w:r>
        <w:rPr>
          <w:color w:val="auto"/>
          <w:spacing w:val="-6"/>
        </w:rPr>
        <w:t>（</w:t>
      </w:r>
      <w:r>
        <w:rPr>
          <w:color w:val="auto"/>
          <w:spacing w:val="-6"/>
        </w:rPr>
        <w:t>40</w:t>
      </w:r>
      <w:r>
        <w:rPr>
          <w:color w:val="auto"/>
          <w:spacing w:val="-6"/>
        </w:rPr>
        <w:t>）《关于印发</w:t>
      </w:r>
      <w:r>
        <w:rPr>
          <w:color w:val="auto"/>
          <w:spacing w:val="-6"/>
        </w:rPr>
        <w:t>&lt;</w:t>
      </w:r>
      <w:r>
        <w:rPr>
          <w:color w:val="auto"/>
          <w:spacing w:val="-6"/>
        </w:rPr>
        <w:t>地下水污染防治实施方案</w:t>
      </w:r>
      <w:r>
        <w:rPr>
          <w:color w:val="auto"/>
          <w:spacing w:val="-6"/>
        </w:rPr>
        <w:t>&gt;</w:t>
      </w:r>
      <w:r>
        <w:rPr>
          <w:color w:val="auto"/>
          <w:spacing w:val="-6"/>
        </w:rPr>
        <w:t>的通知》，环土壤〔</w:t>
      </w:r>
      <w:r>
        <w:rPr>
          <w:color w:val="auto"/>
          <w:spacing w:val="-6"/>
        </w:rPr>
        <w:t>2019</w:t>
      </w:r>
      <w:r>
        <w:rPr>
          <w:color w:val="auto"/>
          <w:spacing w:val="-6"/>
        </w:rPr>
        <w:t>〕</w:t>
      </w:r>
      <w:r>
        <w:rPr>
          <w:color w:val="auto"/>
          <w:spacing w:val="-6"/>
        </w:rPr>
        <w:t>25</w:t>
      </w:r>
      <w:r>
        <w:rPr>
          <w:color w:val="auto"/>
          <w:spacing w:val="-6"/>
        </w:rPr>
        <w:t>号；</w:t>
      </w:r>
    </w:p>
    <w:p w14:paraId="03D88C39" w14:textId="77777777" w:rsidR="002E474C" w:rsidRDefault="00000000">
      <w:pPr>
        <w:pStyle w:val="A-z"/>
        <w:rPr>
          <w:color w:val="auto"/>
        </w:rPr>
      </w:pPr>
      <w:r>
        <w:rPr>
          <w:color w:val="auto"/>
        </w:rPr>
        <w:t>（</w:t>
      </w:r>
      <w:r>
        <w:rPr>
          <w:color w:val="auto"/>
        </w:rPr>
        <w:t>41</w:t>
      </w:r>
      <w:r>
        <w:rPr>
          <w:color w:val="auto"/>
        </w:rPr>
        <w:t>）《环境影响评价与排污许可领域协同推进碳减排工作方案》，环办环评函〔</w:t>
      </w:r>
      <w:r>
        <w:rPr>
          <w:color w:val="auto"/>
        </w:rPr>
        <w:t>2021</w:t>
      </w:r>
      <w:r>
        <w:rPr>
          <w:color w:val="auto"/>
        </w:rPr>
        <w:t>〕</w:t>
      </w:r>
      <w:r>
        <w:rPr>
          <w:color w:val="auto"/>
        </w:rPr>
        <w:t>277</w:t>
      </w:r>
      <w:r>
        <w:rPr>
          <w:color w:val="auto"/>
        </w:rPr>
        <w:t>号；</w:t>
      </w:r>
    </w:p>
    <w:p w14:paraId="258816AA" w14:textId="77777777" w:rsidR="002E474C" w:rsidRDefault="00000000">
      <w:pPr>
        <w:pStyle w:val="A-z"/>
        <w:rPr>
          <w:color w:val="auto"/>
        </w:rPr>
      </w:pPr>
      <w:r>
        <w:rPr>
          <w:color w:val="auto"/>
        </w:rPr>
        <w:t>（</w:t>
      </w:r>
      <w:r>
        <w:rPr>
          <w:color w:val="auto"/>
        </w:rPr>
        <w:t>42</w:t>
      </w:r>
      <w:r>
        <w:rPr>
          <w:color w:val="auto"/>
        </w:rPr>
        <w:t>）《关于加强规划环境影响评价与建设项目环境影响评价联动工作的意见》，环环评〔</w:t>
      </w:r>
      <w:r>
        <w:rPr>
          <w:color w:val="auto"/>
        </w:rPr>
        <w:t>2015</w:t>
      </w:r>
      <w:r>
        <w:rPr>
          <w:color w:val="auto"/>
        </w:rPr>
        <w:t>〕</w:t>
      </w:r>
      <w:r>
        <w:rPr>
          <w:color w:val="auto"/>
        </w:rPr>
        <w:t>178</w:t>
      </w:r>
      <w:r>
        <w:rPr>
          <w:color w:val="auto"/>
        </w:rPr>
        <w:t>号；</w:t>
      </w:r>
    </w:p>
    <w:p w14:paraId="70DA34D2" w14:textId="77777777" w:rsidR="002E474C" w:rsidRDefault="00000000">
      <w:pPr>
        <w:pStyle w:val="A-z"/>
        <w:rPr>
          <w:color w:val="auto"/>
        </w:rPr>
      </w:pPr>
      <w:r>
        <w:rPr>
          <w:color w:val="auto"/>
        </w:rPr>
        <w:t>（</w:t>
      </w:r>
      <w:r>
        <w:rPr>
          <w:color w:val="auto"/>
        </w:rPr>
        <w:t>43</w:t>
      </w:r>
      <w:r>
        <w:rPr>
          <w:color w:val="auto"/>
        </w:rPr>
        <w:t>）《关于进一步优化环境影响评价工作的意见》，环环评〔</w:t>
      </w:r>
      <w:r>
        <w:rPr>
          <w:color w:val="auto"/>
        </w:rPr>
        <w:t>2023</w:t>
      </w:r>
      <w:r>
        <w:rPr>
          <w:color w:val="auto"/>
        </w:rPr>
        <w:t>〕</w:t>
      </w:r>
      <w:r>
        <w:rPr>
          <w:color w:val="auto"/>
        </w:rPr>
        <w:t>52</w:t>
      </w:r>
      <w:r>
        <w:rPr>
          <w:color w:val="auto"/>
        </w:rPr>
        <w:t>号；</w:t>
      </w:r>
    </w:p>
    <w:p w14:paraId="7E295DE9" w14:textId="77777777" w:rsidR="002E474C" w:rsidRDefault="00000000">
      <w:pPr>
        <w:pStyle w:val="A-z"/>
        <w:rPr>
          <w:color w:val="auto"/>
        </w:rPr>
      </w:pPr>
      <w:r>
        <w:rPr>
          <w:color w:val="auto"/>
        </w:rPr>
        <w:t>（</w:t>
      </w:r>
      <w:r>
        <w:rPr>
          <w:color w:val="auto"/>
        </w:rPr>
        <w:t>44</w:t>
      </w:r>
      <w:r>
        <w:rPr>
          <w:color w:val="auto"/>
        </w:rPr>
        <w:t>）《国务院关于印发</w:t>
      </w:r>
      <w:r>
        <w:rPr>
          <w:color w:val="auto"/>
        </w:rPr>
        <w:t>2030</w:t>
      </w:r>
      <w:r>
        <w:rPr>
          <w:color w:val="auto"/>
        </w:rPr>
        <w:t>年前碳达峰行动方案的通知》，国发〔</w:t>
      </w:r>
      <w:r>
        <w:rPr>
          <w:color w:val="auto"/>
        </w:rPr>
        <w:t>2021</w:t>
      </w:r>
      <w:r>
        <w:rPr>
          <w:color w:val="auto"/>
        </w:rPr>
        <w:t>〕</w:t>
      </w:r>
      <w:r>
        <w:rPr>
          <w:color w:val="auto"/>
        </w:rPr>
        <w:lastRenderedPageBreak/>
        <w:t>23</w:t>
      </w:r>
      <w:r>
        <w:rPr>
          <w:color w:val="auto"/>
        </w:rPr>
        <w:t>号；</w:t>
      </w:r>
    </w:p>
    <w:p w14:paraId="1404BD24" w14:textId="77777777" w:rsidR="002E474C" w:rsidRDefault="00000000">
      <w:pPr>
        <w:pStyle w:val="A-z"/>
        <w:rPr>
          <w:color w:val="auto"/>
        </w:rPr>
      </w:pPr>
      <w:r>
        <w:rPr>
          <w:color w:val="auto"/>
        </w:rPr>
        <w:t>（</w:t>
      </w:r>
      <w:r>
        <w:rPr>
          <w:color w:val="auto"/>
        </w:rPr>
        <w:t>45</w:t>
      </w:r>
      <w:r>
        <w:rPr>
          <w:color w:val="auto"/>
        </w:rPr>
        <w:t>）《中共中央</w:t>
      </w:r>
      <w:r>
        <w:rPr>
          <w:color w:val="auto"/>
        </w:rPr>
        <w:t xml:space="preserve"> </w:t>
      </w:r>
      <w:r>
        <w:rPr>
          <w:color w:val="auto"/>
        </w:rPr>
        <w:t>国务院关于完整准确全面贯彻新发展理念做好碳达峰碳中和工作的意见》，中发〔</w:t>
      </w:r>
      <w:r>
        <w:rPr>
          <w:color w:val="auto"/>
        </w:rPr>
        <w:t>2021</w:t>
      </w:r>
      <w:r>
        <w:rPr>
          <w:color w:val="auto"/>
        </w:rPr>
        <w:t>〕</w:t>
      </w:r>
      <w:r>
        <w:rPr>
          <w:color w:val="auto"/>
        </w:rPr>
        <w:t>36</w:t>
      </w:r>
      <w:r>
        <w:rPr>
          <w:color w:val="auto"/>
        </w:rPr>
        <w:t>号；</w:t>
      </w:r>
    </w:p>
    <w:p w14:paraId="14D8CD8C" w14:textId="77777777" w:rsidR="002E474C" w:rsidRDefault="00000000">
      <w:pPr>
        <w:pStyle w:val="A-z"/>
        <w:rPr>
          <w:color w:val="auto"/>
        </w:rPr>
      </w:pPr>
      <w:r>
        <w:rPr>
          <w:color w:val="auto"/>
        </w:rPr>
        <w:t>（</w:t>
      </w:r>
      <w:r>
        <w:rPr>
          <w:color w:val="auto"/>
        </w:rPr>
        <w:t>46</w:t>
      </w:r>
      <w:r>
        <w:rPr>
          <w:color w:val="auto"/>
        </w:rPr>
        <w:t>）《建设项目危险废物环境影响评价指南》，环境保护部公告</w:t>
      </w:r>
      <w:r>
        <w:rPr>
          <w:color w:val="auto"/>
        </w:rPr>
        <w:t xml:space="preserve"> 2017</w:t>
      </w:r>
      <w:r>
        <w:rPr>
          <w:color w:val="auto"/>
        </w:rPr>
        <w:t>年第</w:t>
      </w:r>
      <w:r>
        <w:rPr>
          <w:color w:val="auto"/>
        </w:rPr>
        <w:t>43</w:t>
      </w:r>
      <w:r>
        <w:rPr>
          <w:color w:val="auto"/>
        </w:rPr>
        <w:t>号；</w:t>
      </w:r>
    </w:p>
    <w:p w14:paraId="5C522190" w14:textId="77777777" w:rsidR="002E474C" w:rsidRDefault="00000000">
      <w:pPr>
        <w:pStyle w:val="A-z"/>
        <w:rPr>
          <w:color w:val="auto"/>
        </w:rPr>
      </w:pPr>
      <w:r>
        <w:rPr>
          <w:color w:val="auto"/>
        </w:rPr>
        <w:t>（</w:t>
      </w:r>
      <w:r>
        <w:rPr>
          <w:color w:val="auto"/>
        </w:rPr>
        <w:t>47</w:t>
      </w:r>
      <w:r>
        <w:rPr>
          <w:color w:val="auto"/>
        </w:rPr>
        <w:t>）《地下水污染源防渗技术指南（试行）》，环办土壤函〔</w:t>
      </w:r>
      <w:r>
        <w:rPr>
          <w:color w:val="auto"/>
        </w:rPr>
        <w:t>2020</w:t>
      </w:r>
      <w:r>
        <w:rPr>
          <w:color w:val="auto"/>
        </w:rPr>
        <w:t>〕</w:t>
      </w:r>
      <w:r>
        <w:rPr>
          <w:color w:val="auto"/>
        </w:rPr>
        <w:t>72</w:t>
      </w:r>
      <w:r>
        <w:rPr>
          <w:color w:val="auto"/>
        </w:rPr>
        <w:t>号；</w:t>
      </w:r>
    </w:p>
    <w:p w14:paraId="55DE89DF" w14:textId="77777777" w:rsidR="002E474C" w:rsidRDefault="00000000">
      <w:pPr>
        <w:pStyle w:val="A-z"/>
        <w:rPr>
          <w:color w:val="auto"/>
        </w:rPr>
      </w:pPr>
      <w:r>
        <w:rPr>
          <w:color w:val="auto"/>
        </w:rPr>
        <w:t>（</w:t>
      </w:r>
      <w:r>
        <w:rPr>
          <w:color w:val="auto"/>
        </w:rPr>
        <w:t>48</w:t>
      </w:r>
      <w:r>
        <w:rPr>
          <w:color w:val="auto"/>
        </w:rPr>
        <w:t>）《一般工业固体废物管理台账制定指南（试行）》，生态环境部公告</w:t>
      </w:r>
      <w:r>
        <w:rPr>
          <w:color w:val="auto"/>
        </w:rPr>
        <w:t xml:space="preserve"> 2021</w:t>
      </w:r>
      <w:r>
        <w:rPr>
          <w:color w:val="auto"/>
        </w:rPr>
        <w:t>年第</w:t>
      </w:r>
      <w:r>
        <w:rPr>
          <w:color w:val="auto"/>
        </w:rPr>
        <w:t>82</w:t>
      </w:r>
      <w:r>
        <w:rPr>
          <w:color w:val="auto"/>
        </w:rPr>
        <w:t>号；</w:t>
      </w:r>
    </w:p>
    <w:p w14:paraId="555C13D1" w14:textId="77777777" w:rsidR="002E474C" w:rsidRDefault="00000000">
      <w:pPr>
        <w:pStyle w:val="A-z"/>
        <w:rPr>
          <w:color w:val="auto"/>
        </w:rPr>
      </w:pPr>
      <w:r>
        <w:rPr>
          <w:color w:val="auto"/>
        </w:rPr>
        <w:t>（</w:t>
      </w:r>
      <w:r>
        <w:rPr>
          <w:color w:val="auto"/>
        </w:rPr>
        <w:t>49</w:t>
      </w:r>
      <w:r>
        <w:rPr>
          <w:color w:val="auto"/>
        </w:rPr>
        <w:t>）《危险废物经营单位编制应急预案指南》，国家环境保护总局公告</w:t>
      </w:r>
      <w:r>
        <w:rPr>
          <w:color w:val="auto"/>
        </w:rPr>
        <w:t xml:space="preserve"> 2007</w:t>
      </w:r>
      <w:r>
        <w:rPr>
          <w:color w:val="auto"/>
        </w:rPr>
        <w:t>年第</w:t>
      </w:r>
      <w:r>
        <w:rPr>
          <w:color w:val="auto"/>
        </w:rPr>
        <w:t>48</w:t>
      </w:r>
      <w:r>
        <w:rPr>
          <w:color w:val="auto"/>
        </w:rPr>
        <w:t>号；</w:t>
      </w:r>
    </w:p>
    <w:p w14:paraId="487110AB" w14:textId="77777777" w:rsidR="002E474C" w:rsidRDefault="00000000">
      <w:pPr>
        <w:pStyle w:val="A-z"/>
        <w:rPr>
          <w:color w:val="auto"/>
        </w:rPr>
      </w:pPr>
      <w:r>
        <w:rPr>
          <w:color w:val="auto"/>
        </w:rPr>
        <w:t>（</w:t>
      </w:r>
      <w:r>
        <w:rPr>
          <w:color w:val="auto"/>
        </w:rPr>
        <w:t>50</w:t>
      </w:r>
      <w:r>
        <w:rPr>
          <w:color w:val="auto"/>
        </w:rPr>
        <w:t>）《建设项目竣工环境保护验收管理办法》，生态环境部令第</w:t>
      </w:r>
      <w:r>
        <w:rPr>
          <w:color w:val="auto"/>
        </w:rPr>
        <w:t>20</w:t>
      </w:r>
      <w:r>
        <w:rPr>
          <w:color w:val="auto"/>
        </w:rPr>
        <w:t>号（</w:t>
      </w:r>
      <w:r>
        <w:rPr>
          <w:color w:val="auto"/>
        </w:rPr>
        <w:t>2021</w:t>
      </w:r>
      <w:r>
        <w:rPr>
          <w:color w:val="auto"/>
        </w:rPr>
        <w:t>修订），</w:t>
      </w:r>
      <w:r>
        <w:rPr>
          <w:color w:val="auto"/>
        </w:rPr>
        <w:t>2021</w:t>
      </w:r>
      <w:r>
        <w:rPr>
          <w:color w:val="auto"/>
        </w:rPr>
        <w:t>年</w:t>
      </w:r>
      <w:r>
        <w:rPr>
          <w:color w:val="auto"/>
        </w:rPr>
        <w:t>1</w:t>
      </w:r>
      <w:r>
        <w:rPr>
          <w:color w:val="auto"/>
        </w:rPr>
        <w:t>月</w:t>
      </w:r>
      <w:r>
        <w:rPr>
          <w:color w:val="auto"/>
        </w:rPr>
        <w:t>4</w:t>
      </w:r>
      <w:r>
        <w:rPr>
          <w:color w:val="auto"/>
        </w:rPr>
        <w:t>日公布；</w:t>
      </w:r>
    </w:p>
    <w:p w14:paraId="34993E7F" w14:textId="77777777" w:rsidR="002E474C" w:rsidRDefault="00000000">
      <w:pPr>
        <w:pStyle w:val="A-z"/>
        <w:rPr>
          <w:color w:val="auto"/>
        </w:rPr>
      </w:pPr>
      <w:r>
        <w:rPr>
          <w:color w:val="auto"/>
        </w:rPr>
        <w:t>（</w:t>
      </w:r>
      <w:r>
        <w:rPr>
          <w:color w:val="auto"/>
        </w:rPr>
        <w:t>51</w:t>
      </w:r>
      <w:r>
        <w:rPr>
          <w:color w:val="auto"/>
        </w:rPr>
        <w:t>）《突发环境事件应急管理办法》，环境保护部令第</w:t>
      </w:r>
      <w:r>
        <w:rPr>
          <w:color w:val="auto"/>
        </w:rPr>
        <w:t>34</w:t>
      </w:r>
      <w:r>
        <w:rPr>
          <w:color w:val="auto"/>
        </w:rPr>
        <w:t>号；</w:t>
      </w:r>
    </w:p>
    <w:p w14:paraId="75FF67D3" w14:textId="77777777" w:rsidR="002E474C" w:rsidRDefault="00000000">
      <w:pPr>
        <w:pStyle w:val="A-z"/>
        <w:rPr>
          <w:color w:val="auto"/>
        </w:rPr>
      </w:pPr>
      <w:r>
        <w:rPr>
          <w:color w:val="auto"/>
        </w:rPr>
        <w:t>（</w:t>
      </w:r>
      <w:r>
        <w:rPr>
          <w:color w:val="auto"/>
        </w:rPr>
        <w:t>52</w:t>
      </w:r>
      <w:r>
        <w:rPr>
          <w:color w:val="auto"/>
        </w:rPr>
        <w:t>）《工矿用地土壤环境管理办法（试行）》，生态环境部令第</w:t>
      </w:r>
      <w:r>
        <w:rPr>
          <w:color w:val="auto"/>
        </w:rPr>
        <w:t>3</w:t>
      </w:r>
      <w:r>
        <w:rPr>
          <w:color w:val="auto"/>
        </w:rPr>
        <w:t>号；</w:t>
      </w:r>
    </w:p>
    <w:p w14:paraId="623EF3C0" w14:textId="77777777" w:rsidR="002E474C" w:rsidRDefault="00000000">
      <w:pPr>
        <w:pStyle w:val="A-z"/>
        <w:rPr>
          <w:color w:val="auto"/>
        </w:rPr>
      </w:pPr>
      <w:r>
        <w:rPr>
          <w:color w:val="auto"/>
        </w:rPr>
        <w:t>（</w:t>
      </w:r>
      <w:r>
        <w:rPr>
          <w:color w:val="auto"/>
        </w:rPr>
        <w:t>53</w:t>
      </w:r>
      <w:r>
        <w:rPr>
          <w:color w:val="auto"/>
        </w:rPr>
        <w:t>）《环境监管重点单位名录管理办法》，生态环境部令第</w:t>
      </w:r>
      <w:r>
        <w:rPr>
          <w:color w:val="auto"/>
        </w:rPr>
        <w:t>27</w:t>
      </w:r>
      <w:r>
        <w:rPr>
          <w:color w:val="auto"/>
        </w:rPr>
        <w:t>号；</w:t>
      </w:r>
    </w:p>
    <w:p w14:paraId="2419EE62" w14:textId="77777777" w:rsidR="002E474C" w:rsidRDefault="00000000">
      <w:pPr>
        <w:pStyle w:val="A-z"/>
        <w:rPr>
          <w:color w:val="auto"/>
        </w:rPr>
      </w:pPr>
      <w:r>
        <w:rPr>
          <w:color w:val="auto"/>
        </w:rPr>
        <w:t>（</w:t>
      </w:r>
      <w:r>
        <w:rPr>
          <w:color w:val="auto"/>
        </w:rPr>
        <w:t>54</w:t>
      </w:r>
      <w:r>
        <w:rPr>
          <w:color w:val="auto"/>
        </w:rPr>
        <w:t>）《道路危险货物运输管理规定》，交通运输部令</w:t>
      </w:r>
      <w:r>
        <w:rPr>
          <w:color w:val="auto"/>
        </w:rPr>
        <w:t xml:space="preserve"> 2026 </w:t>
      </w:r>
      <w:r>
        <w:rPr>
          <w:color w:val="auto"/>
        </w:rPr>
        <w:t>年第</w:t>
      </w:r>
      <w:r>
        <w:rPr>
          <w:color w:val="auto"/>
        </w:rPr>
        <w:t>6</w:t>
      </w:r>
      <w:r>
        <w:rPr>
          <w:color w:val="auto"/>
        </w:rPr>
        <w:t>号（</w:t>
      </w:r>
      <w:r>
        <w:rPr>
          <w:color w:val="auto"/>
        </w:rPr>
        <w:t>2026</w:t>
      </w:r>
      <w:r>
        <w:rPr>
          <w:color w:val="auto"/>
        </w:rPr>
        <w:t>修正），</w:t>
      </w:r>
      <w:r>
        <w:rPr>
          <w:color w:val="auto"/>
        </w:rPr>
        <w:t>2026</w:t>
      </w:r>
      <w:r>
        <w:rPr>
          <w:color w:val="auto"/>
        </w:rPr>
        <w:t>年</w:t>
      </w:r>
      <w:r>
        <w:rPr>
          <w:color w:val="auto"/>
        </w:rPr>
        <w:t>3</w:t>
      </w:r>
      <w:r>
        <w:rPr>
          <w:color w:val="auto"/>
        </w:rPr>
        <w:t>月</w:t>
      </w:r>
      <w:r>
        <w:rPr>
          <w:color w:val="auto"/>
        </w:rPr>
        <w:t>20</w:t>
      </w:r>
      <w:r>
        <w:rPr>
          <w:color w:val="auto"/>
        </w:rPr>
        <w:t>日施行；</w:t>
      </w:r>
    </w:p>
    <w:p w14:paraId="11DAF315" w14:textId="77777777" w:rsidR="002E474C" w:rsidRDefault="00000000">
      <w:pPr>
        <w:pStyle w:val="A-z"/>
        <w:rPr>
          <w:color w:val="auto"/>
        </w:rPr>
      </w:pPr>
      <w:r>
        <w:rPr>
          <w:color w:val="auto"/>
        </w:rPr>
        <w:t>（</w:t>
      </w:r>
      <w:r>
        <w:rPr>
          <w:color w:val="auto"/>
        </w:rPr>
        <w:t>55</w:t>
      </w:r>
      <w:r>
        <w:rPr>
          <w:color w:val="auto"/>
        </w:rPr>
        <w:t>）《关于发布〈排放源统计调查产排污核算方法和系数手册〉的公告》，生态环境部公告</w:t>
      </w:r>
      <w:r>
        <w:rPr>
          <w:color w:val="auto"/>
        </w:rPr>
        <w:t>2021</w:t>
      </w:r>
      <w:r>
        <w:rPr>
          <w:color w:val="auto"/>
        </w:rPr>
        <w:t>年第</w:t>
      </w:r>
      <w:r>
        <w:rPr>
          <w:color w:val="auto"/>
        </w:rPr>
        <w:t>24</w:t>
      </w:r>
      <w:r>
        <w:rPr>
          <w:color w:val="auto"/>
        </w:rPr>
        <w:t>号；</w:t>
      </w:r>
    </w:p>
    <w:p w14:paraId="17AC1910" w14:textId="77777777" w:rsidR="002E474C" w:rsidRDefault="00000000">
      <w:pPr>
        <w:pStyle w:val="A-z"/>
        <w:rPr>
          <w:color w:val="auto"/>
        </w:rPr>
      </w:pPr>
      <w:r>
        <w:rPr>
          <w:color w:val="auto"/>
        </w:rPr>
        <w:t>（</w:t>
      </w:r>
      <w:r>
        <w:rPr>
          <w:color w:val="auto"/>
        </w:rPr>
        <w:t>56</w:t>
      </w:r>
      <w:r>
        <w:rPr>
          <w:color w:val="auto"/>
        </w:rPr>
        <w:t>）《固体废物分类与代码目录》，生态环境部公告</w:t>
      </w:r>
      <w:r>
        <w:rPr>
          <w:color w:val="auto"/>
        </w:rPr>
        <w:t>2024</w:t>
      </w:r>
      <w:r>
        <w:rPr>
          <w:color w:val="auto"/>
        </w:rPr>
        <w:t>年第</w:t>
      </w:r>
      <w:r>
        <w:rPr>
          <w:color w:val="auto"/>
        </w:rPr>
        <w:t>4</w:t>
      </w:r>
      <w:r>
        <w:rPr>
          <w:color w:val="auto"/>
        </w:rPr>
        <w:t>号；</w:t>
      </w:r>
    </w:p>
    <w:p w14:paraId="404A49A3" w14:textId="77777777" w:rsidR="002E474C" w:rsidRDefault="00000000">
      <w:pPr>
        <w:pStyle w:val="A-z"/>
        <w:rPr>
          <w:color w:val="auto"/>
        </w:rPr>
      </w:pPr>
      <w:r>
        <w:rPr>
          <w:color w:val="auto"/>
        </w:rPr>
        <w:t>（</w:t>
      </w:r>
      <w:r>
        <w:rPr>
          <w:color w:val="auto"/>
        </w:rPr>
        <w:t>57</w:t>
      </w:r>
      <w:r>
        <w:rPr>
          <w:color w:val="auto"/>
        </w:rPr>
        <w:t>）《有毒有害大气污染物名录（</w:t>
      </w:r>
      <w:r>
        <w:rPr>
          <w:color w:val="auto"/>
        </w:rPr>
        <w:t>2018</w:t>
      </w:r>
      <w:r>
        <w:rPr>
          <w:color w:val="auto"/>
        </w:rPr>
        <w:t>年）》，生态环境部</w:t>
      </w:r>
      <w:r>
        <w:rPr>
          <w:color w:val="auto"/>
        </w:rPr>
        <w:t xml:space="preserve"> </w:t>
      </w:r>
      <w:r>
        <w:rPr>
          <w:color w:val="auto"/>
        </w:rPr>
        <w:t>卫健委公告</w:t>
      </w:r>
      <w:r>
        <w:rPr>
          <w:color w:val="auto"/>
        </w:rPr>
        <w:t xml:space="preserve"> 2019</w:t>
      </w:r>
      <w:r>
        <w:rPr>
          <w:color w:val="auto"/>
        </w:rPr>
        <w:t>年第</w:t>
      </w:r>
      <w:r>
        <w:rPr>
          <w:color w:val="auto"/>
        </w:rPr>
        <w:t>4</w:t>
      </w:r>
      <w:r>
        <w:rPr>
          <w:color w:val="auto"/>
        </w:rPr>
        <w:t>号；</w:t>
      </w:r>
    </w:p>
    <w:p w14:paraId="7CF7CF59" w14:textId="77777777" w:rsidR="002E474C" w:rsidRDefault="00000000">
      <w:pPr>
        <w:pStyle w:val="A-z"/>
        <w:rPr>
          <w:color w:val="auto"/>
        </w:rPr>
      </w:pPr>
      <w:r>
        <w:rPr>
          <w:color w:val="auto"/>
        </w:rPr>
        <w:t>（</w:t>
      </w:r>
      <w:r>
        <w:rPr>
          <w:color w:val="auto"/>
        </w:rPr>
        <w:t>58</w:t>
      </w:r>
      <w:r>
        <w:rPr>
          <w:color w:val="auto"/>
        </w:rPr>
        <w:t>）《危险废物排除管理清单（</w:t>
      </w:r>
      <w:r>
        <w:rPr>
          <w:color w:val="auto"/>
        </w:rPr>
        <w:t>2026</w:t>
      </w:r>
      <w:r>
        <w:rPr>
          <w:color w:val="auto"/>
        </w:rPr>
        <w:t>年版）》，生态环境部公告</w:t>
      </w:r>
      <w:r>
        <w:rPr>
          <w:color w:val="auto"/>
        </w:rPr>
        <w:t xml:space="preserve"> 2026</w:t>
      </w:r>
      <w:r>
        <w:rPr>
          <w:color w:val="auto"/>
        </w:rPr>
        <w:t>年第</w:t>
      </w:r>
      <w:r>
        <w:rPr>
          <w:color w:val="auto"/>
        </w:rPr>
        <w:t>2</w:t>
      </w:r>
      <w:r>
        <w:rPr>
          <w:color w:val="auto"/>
        </w:rPr>
        <w:t>号；</w:t>
      </w:r>
    </w:p>
    <w:p w14:paraId="49DA8111" w14:textId="77777777" w:rsidR="002E474C" w:rsidRDefault="00000000">
      <w:pPr>
        <w:pStyle w:val="A-z"/>
        <w:rPr>
          <w:color w:val="auto"/>
        </w:rPr>
      </w:pPr>
      <w:r>
        <w:rPr>
          <w:color w:val="auto"/>
        </w:rPr>
        <w:t>（</w:t>
      </w:r>
      <w:r>
        <w:rPr>
          <w:color w:val="auto"/>
        </w:rPr>
        <w:t>59</w:t>
      </w:r>
      <w:r>
        <w:rPr>
          <w:color w:val="auto"/>
        </w:rPr>
        <w:t>）《关于将巴音郭楞蒙古自治州</w:t>
      </w:r>
      <w:r>
        <w:rPr>
          <w:color w:val="auto"/>
        </w:rPr>
        <w:t xml:space="preserve"> </w:t>
      </w:r>
      <w:r>
        <w:rPr>
          <w:color w:val="auto"/>
        </w:rPr>
        <w:t>吐鲁番市</w:t>
      </w:r>
      <w:r>
        <w:rPr>
          <w:color w:val="auto"/>
        </w:rPr>
        <w:t xml:space="preserve"> </w:t>
      </w:r>
      <w:r>
        <w:rPr>
          <w:color w:val="auto"/>
        </w:rPr>
        <w:t>哈密市纳入执行〈环境影响评价技术导则</w:t>
      </w:r>
      <w:r>
        <w:rPr>
          <w:color w:val="auto"/>
        </w:rPr>
        <w:t xml:space="preserve"> </w:t>
      </w:r>
      <w:r>
        <w:rPr>
          <w:color w:val="auto"/>
        </w:rPr>
        <w:t>大气环境〉（</w:t>
      </w:r>
      <w:r>
        <w:rPr>
          <w:color w:val="auto"/>
        </w:rPr>
        <w:t>HJ2.2-2018</w:t>
      </w:r>
      <w:r>
        <w:rPr>
          <w:color w:val="auto"/>
        </w:rPr>
        <w:t>）差别化政策范围的复函》，环办环评函〔</w:t>
      </w:r>
      <w:r>
        <w:rPr>
          <w:color w:val="auto"/>
        </w:rPr>
        <w:t>2020</w:t>
      </w:r>
      <w:r>
        <w:rPr>
          <w:color w:val="auto"/>
        </w:rPr>
        <w:t>〕</w:t>
      </w:r>
      <w:r>
        <w:rPr>
          <w:color w:val="auto"/>
        </w:rPr>
        <w:t>709</w:t>
      </w:r>
      <w:r>
        <w:rPr>
          <w:color w:val="auto"/>
        </w:rPr>
        <w:t>号；</w:t>
      </w:r>
    </w:p>
    <w:p w14:paraId="5E964D34" w14:textId="77777777" w:rsidR="002E474C" w:rsidRDefault="00000000">
      <w:pPr>
        <w:pStyle w:val="A-z"/>
        <w:rPr>
          <w:color w:val="auto"/>
        </w:rPr>
      </w:pPr>
      <w:r>
        <w:rPr>
          <w:color w:val="auto"/>
        </w:rPr>
        <w:t>（</w:t>
      </w:r>
      <w:r>
        <w:rPr>
          <w:color w:val="auto"/>
        </w:rPr>
        <w:t>60</w:t>
      </w:r>
      <w:r>
        <w:rPr>
          <w:color w:val="auto"/>
        </w:rPr>
        <w:t>）《危险废物污染防治技术政策》，环发〔</w:t>
      </w:r>
      <w:r>
        <w:rPr>
          <w:color w:val="auto"/>
        </w:rPr>
        <w:t>2001</w:t>
      </w:r>
      <w:r>
        <w:rPr>
          <w:color w:val="auto"/>
        </w:rPr>
        <w:t>〕</w:t>
      </w:r>
      <w:r>
        <w:rPr>
          <w:color w:val="auto"/>
        </w:rPr>
        <w:t>199</w:t>
      </w:r>
      <w:r>
        <w:rPr>
          <w:color w:val="auto"/>
        </w:rPr>
        <w:t>号；</w:t>
      </w:r>
    </w:p>
    <w:p w14:paraId="471CB089" w14:textId="77777777" w:rsidR="002E474C" w:rsidRDefault="00000000">
      <w:pPr>
        <w:pStyle w:val="A-z"/>
        <w:rPr>
          <w:color w:val="auto"/>
        </w:rPr>
      </w:pPr>
      <w:r>
        <w:rPr>
          <w:color w:val="auto"/>
        </w:rPr>
        <w:t>（</w:t>
      </w:r>
      <w:r>
        <w:rPr>
          <w:color w:val="auto"/>
        </w:rPr>
        <w:t>61</w:t>
      </w:r>
      <w:r>
        <w:rPr>
          <w:color w:val="auto"/>
        </w:rPr>
        <w:t>）《挥发性有机物（</w:t>
      </w:r>
      <w:r>
        <w:rPr>
          <w:color w:val="auto"/>
        </w:rPr>
        <w:t>VOCs</w:t>
      </w:r>
      <w:r>
        <w:rPr>
          <w:color w:val="auto"/>
        </w:rPr>
        <w:t>）污染防治技术政策》，环发〔</w:t>
      </w:r>
      <w:r>
        <w:rPr>
          <w:color w:val="auto"/>
        </w:rPr>
        <w:t>2013</w:t>
      </w:r>
      <w:r>
        <w:rPr>
          <w:color w:val="auto"/>
        </w:rPr>
        <w:t>〕</w:t>
      </w:r>
      <w:r>
        <w:rPr>
          <w:color w:val="auto"/>
        </w:rPr>
        <w:t>31</w:t>
      </w:r>
      <w:r>
        <w:rPr>
          <w:color w:val="auto"/>
        </w:rPr>
        <w:t>号；</w:t>
      </w:r>
    </w:p>
    <w:p w14:paraId="32AD6025" w14:textId="77777777" w:rsidR="002E474C" w:rsidRDefault="00000000">
      <w:pPr>
        <w:pStyle w:val="A-z"/>
        <w:rPr>
          <w:color w:val="auto"/>
        </w:rPr>
      </w:pPr>
      <w:r>
        <w:rPr>
          <w:color w:val="auto"/>
        </w:rPr>
        <w:t>（</w:t>
      </w:r>
      <w:r>
        <w:rPr>
          <w:color w:val="auto"/>
        </w:rPr>
        <w:t>62</w:t>
      </w:r>
      <w:r>
        <w:rPr>
          <w:color w:val="auto"/>
        </w:rPr>
        <w:t>）《重点行业挥发性有机物综合治理方案》，环大气〔</w:t>
      </w:r>
      <w:r>
        <w:rPr>
          <w:color w:val="auto"/>
        </w:rPr>
        <w:t>2019</w:t>
      </w:r>
      <w:r>
        <w:rPr>
          <w:color w:val="auto"/>
        </w:rPr>
        <w:t>〕</w:t>
      </w:r>
      <w:r>
        <w:rPr>
          <w:color w:val="auto"/>
        </w:rPr>
        <w:t>53</w:t>
      </w:r>
      <w:r>
        <w:rPr>
          <w:color w:val="auto"/>
        </w:rPr>
        <w:t>号；</w:t>
      </w:r>
    </w:p>
    <w:p w14:paraId="404E4641" w14:textId="77777777" w:rsidR="002E474C" w:rsidRDefault="00000000">
      <w:pPr>
        <w:pStyle w:val="A-z"/>
        <w:rPr>
          <w:color w:val="auto"/>
        </w:rPr>
      </w:pPr>
      <w:r>
        <w:rPr>
          <w:color w:val="auto"/>
        </w:rPr>
        <w:lastRenderedPageBreak/>
        <w:t>（</w:t>
      </w:r>
      <w:r>
        <w:rPr>
          <w:color w:val="auto"/>
        </w:rPr>
        <w:t>63</w:t>
      </w:r>
      <w:r>
        <w:rPr>
          <w:color w:val="auto"/>
        </w:rPr>
        <w:t>）《重点行业二噁英类污染防治技术政策》，环发〔</w:t>
      </w:r>
      <w:r>
        <w:rPr>
          <w:color w:val="auto"/>
        </w:rPr>
        <w:t>2015</w:t>
      </w:r>
      <w:r>
        <w:rPr>
          <w:color w:val="auto"/>
        </w:rPr>
        <w:t>〕</w:t>
      </w:r>
      <w:r>
        <w:rPr>
          <w:color w:val="auto"/>
        </w:rPr>
        <w:t>165</w:t>
      </w:r>
      <w:r>
        <w:rPr>
          <w:color w:val="auto"/>
        </w:rPr>
        <w:t>号；</w:t>
      </w:r>
    </w:p>
    <w:p w14:paraId="15EA0B26" w14:textId="77777777" w:rsidR="002E474C" w:rsidRDefault="00000000">
      <w:pPr>
        <w:pStyle w:val="A-z"/>
        <w:rPr>
          <w:color w:val="auto"/>
        </w:rPr>
      </w:pPr>
      <w:r>
        <w:rPr>
          <w:color w:val="auto"/>
        </w:rPr>
        <w:t>（</w:t>
      </w:r>
      <w:r>
        <w:rPr>
          <w:color w:val="auto"/>
        </w:rPr>
        <w:t>64</w:t>
      </w:r>
      <w:r>
        <w:rPr>
          <w:color w:val="auto"/>
        </w:rPr>
        <w:t>）《水泥工业污染防治技术政策》，环境保护部公告</w:t>
      </w:r>
      <w:r>
        <w:rPr>
          <w:color w:val="auto"/>
        </w:rPr>
        <w:t xml:space="preserve"> 2013</w:t>
      </w:r>
      <w:r>
        <w:rPr>
          <w:color w:val="auto"/>
        </w:rPr>
        <w:t>年第</w:t>
      </w:r>
      <w:r>
        <w:rPr>
          <w:color w:val="auto"/>
        </w:rPr>
        <w:t>31</w:t>
      </w:r>
      <w:r>
        <w:rPr>
          <w:color w:val="auto"/>
        </w:rPr>
        <w:t>号；</w:t>
      </w:r>
    </w:p>
    <w:p w14:paraId="4EBA7AFC" w14:textId="77777777" w:rsidR="002E474C" w:rsidRDefault="00000000">
      <w:pPr>
        <w:pStyle w:val="A-z"/>
        <w:rPr>
          <w:color w:val="auto"/>
        </w:rPr>
      </w:pPr>
      <w:r>
        <w:rPr>
          <w:color w:val="auto"/>
        </w:rPr>
        <w:t>（</w:t>
      </w:r>
      <w:r>
        <w:rPr>
          <w:color w:val="auto"/>
        </w:rPr>
        <w:t>65</w:t>
      </w:r>
      <w:r>
        <w:rPr>
          <w:color w:val="auto"/>
        </w:rPr>
        <w:t>）《水泥工业污染防治可行技术指南（试行）》，环科函〔</w:t>
      </w:r>
      <w:r>
        <w:rPr>
          <w:color w:val="auto"/>
        </w:rPr>
        <w:t>2014</w:t>
      </w:r>
      <w:r>
        <w:rPr>
          <w:color w:val="auto"/>
        </w:rPr>
        <w:t>〕</w:t>
      </w:r>
      <w:r>
        <w:rPr>
          <w:color w:val="auto"/>
        </w:rPr>
        <w:t>152</w:t>
      </w:r>
      <w:r>
        <w:rPr>
          <w:color w:val="auto"/>
        </w:rPr>
        <w:t>号；</w:t>
      </w:r>
    </w:p>
    <w:p w14:paraId="630CE8A4" w14:textId="77777777" w:rsidR="002E474C" w:rsidRDefault="00000000">
      <w:pPr>
        <w:pStyle w:val="A-z"/>
        <w:rPr>
          <w:color w:val="auto"/>
        </w:rPr>
      </w:pPr>
      <w:r>
        <w:rPr>
          <w:color w:val="auto"/>
        </w:rPr>
        <w:t>（</w:t>
      </w:r>
      <w:r>
        <w:rPr>
          <w:color w:val="auto"/>
        </w:rPr>
        <w:t>66</w:t>
      </w:r>
      <w:r>
        <w:rPr>
          <w:color w:val="auto"/>
        </w:rPr>
        <w:t>）《关于印发</w:t>
      </w:r>
      <w:r>
        <w:rPr>
          <w:color w:val="auto"/>
        </w:rPr>
        <w:t>2022</w:t>
      </w:r>
      <w:r>
        <w:rPr>
          <w:color w:val="auto"/>
        </w:rPr>
        <w:t>年〈国家先进污染防治技术目录（水污染防治领域）〉的通知》，环办科财函〔</w:t>
      </w:r>
      <w:r>
        <w:rPr>
          <w:color w:val="auto"/>
        </w:rPr>
        <w:t>2022</w:t>
      </w:r>
      <w:r>
        <w:rPr>
          <w:color w:val="auto"/>
        </w:rPr>
        <w:t>〕</w:t>
      </w:r>
      <w:r>
        <w:rPr>
          <w:color w:val="auto"/>
        </w:rPr>
        <w:t>500</w:t>
      </w:r>
      <w:r>
        <w:rPr>
          <w:color w:val="auto"/>
        </w:rPr>
        <w:t>号；</w:t>
      </w:r>
    </w:p>
    <w:p w14:paraId="0145C648" w14:textId="77777777" w:rsidR="002E474C" w:rsidRDefault="00000000">
      <w:pPr>
        <w:pStyle w:val="A-z"/>
        <w:rPr>
          <w:color w:val="auto"/>
        </w:rPr>
      </w:pPr>
      <w:r>
        <w:rPr>
          <w:color w:val="auto"/>
        </w:rPr>
        <w:t>（</w:t>
      </w:r>
      <w:r>
        <w:rPr>
          <w:color w:val="auto"/>
        </w:rPr>
        <w:t>67</w:t>
      </w:r>
      <w:r>
        <w:rPr>
          <w:color w:val="auto"/>
        </w:rPr>
        <w:t>）《关于发布</w:t>
      </w:r>
      <w:r>
        <w:rPr>
          <w:color w:val="auto"/>
        </w:rPr>
        <w:t>2023</w:t>
      </w:r>
      <w:r>
        <w:rPr>
          <w:color w:val="auto"/>
        </w:rPr>
        <w:t>年〈国家先进污染防治技术目录（固体废物和土壤污染防治领域）〉的通知》，环办科财函〔</w:t>
      </w:r>
      <w:r>
        <w:rPr>
          <w:color w:val="auto"/>
        </w:rPr>
        <w:t>2024</w:t>
      </w:r>
      <w:r>
        <w:rPr>
          <w:color w:val="auto"/>
        </w:rPr>
        <w:t>〕</w:t>
      </w:r>
      <w:r>
        <w:rPr>
          <w:color w:val="auto"/>
        </w:rPr>
        <w:t>27</w:t>
      </w:r>
      <w:r>
        <w:rPr>
          <w:color w:val="auto"/>
        </w:rPr>
        <w:t>号；</w:t>
      </w:r>
    </w:p>
    <w:p w14:paraId="6CD45E71" w14:textId="77777777" w:rsidR="002E474C" w:rsidRDefault="00000000">
      <w:pPr>
        <w:pStyle w:val="A-z"/>
        <w:rPr>
          <w:color w:val="auto"/>
        </w:rPr>
      </w:pPr>
      <w:r>
        <w:rPr>
          <w:color w:val="auto"/>
        </w:rPr>
        <w:t>（</w:t>
      </w:r>
      <w:r>
        <w:rPr>
          <w:color w:val="auto"/>
        </w:rPr>
        <w:t>68</w:t>
      </w:r>
      <w:r>
        <w:rPr>
          <w:color w:val="auto"/>
        </w:rPr>
        <w:t>）《关于印发</w:t>
      </w:r>
      <w:r>
        <w:rPr>
          <w:color w:val="auto"/>
        </w:rPr>
        <w:t>2025</w:t>
      </w:r>
      <w:r>
        <w:rPr>
          <w:color w:val="auto"/>
        </w:rPr>
        <w:t>年</w:t>
      </w:r>
      <w:r>
        <w:rPr>
          <w:color w:val="auto"/>
        </w:rPr>
        <w:t>&lt;</w:t>
      </w:r>
      <w:r>
        <w:rPr>
          <w:color w:val="auto"/>
        </w:rPr>
        <w:t>国家污染防治技术指导目录</w:t>
      </w:r>
      <w:r>
        <w:rPr>
          <w:color w:val="auto"/>
        </w:rPr>
        <w:t>&gt;</w:t>
      </w:r>
      <w:r>
        <w:rPr>
          <w:color w:val="auto"/>
        </w:rPr>
        <w:t>的通知》，环办科财函〔</w:t>
      </w:r>
      <w:r>
        <w:rPr>
          <w:color w:val="auto"/>
        </w:rPr>
        <w:t>2025</w:t>
      </w:r>
      <w:r>
        <w:rPr>
          <w:color w:val="auto"/>
        </w:rPr>
        <w:t>〕</w:t>
      </w:r>
      <w:r>
        <w:rPr>
          <w:color w:val="auto"/>
        </w:rPr>
        <w:t>197</w:t>
      </w:r>
      <w:r>
        <w:rPr>
          <w:color w:val="auto"/>
        </w:rPr>
        <w:t>号。</w:t>
      </w:r>
    </w:p>
    <w:p w14:paraId="2A380E4A" w14:textId="77777777" w:rsidR="002E474C" w:rsidRDefault="00000000">
      <w:pPr>
        <w:pStyle w:val="31"/>
        <w:spacing w:before="120" w:after="120"/>
        <w:rPr>
          <w:color w:val="auto"/>
        </w:rPr>
      </w:pPr>
      <w:r>
        <w:rPr>
          <w:color w:val="auto"/>
        </w:rPr>
        <w:t>地方法规及规范性文件</w:t>
      </w:r>
    </w:p>
    <w:p w14:paraId="4388E7DA" w14:textId="77777777" w:rsidR="002E474C" w:rsidRDefault="00000000">
      <w:pPr>
        <w:pStyle w:val="A-z"/>
        <w:rPr>
          <w:color w:val="auto"/>
        </w:rPr>
      </w:pPr>
      <w:r>
        <w:rPr>
          <w:color w:val="auto"/>
        </w:rPr>
        <w:t>（</w:t>
      </w:r>
      <w:r>
        <w:rPr>
          <w:color w:val="auto"/>
        </w:rPr>
        <w:t>1</w:t>
      </w:r>
      <w:r>
        <w:rPr>
          <w:color w:val="auto"/>
        </w:rPr>
        <w:t>）《新疆维吾尔自治区环境保护条例》，</w:t>
      </w:r>
      <w:r>
        <w:rPr>
          <w:color w:val="auto"/>
        </w:rPr>
        <w:t>2018</w:t>
      </w:r>
      <w:r>
        <w:rPr>
          <w:color w:val="auto"/>
        </w:rPr>
        <w:t>年修正，</w:t>
      </w:r>
      <w:r>
        <w:rPr>
          <w:color w:val="auto"/>
        </w:rPr>
        <w:t>2018</w:t>
      </w:r>
      <w:r>
        <w:rPr>
          <w:color w:val="auto"/>
        </w:rPr>
        <w:t>年</w:t>
      </w:r>
      <w:r>
        <w:rPr>
          <w:color w:val="auto"/>
        </w:rPr>
        <w:t>9</w:t>
      </w:r>
      <w:r>
        <w:rPr>
          <w:color w:val="auto"/>
        </w:rPr>
        <w:t>月</w:t>
      </w:r>
      <w:r>
        <w:rPr>
          <w:color w:val="auto"/>
        </w:rPr>
        <w:t>21</w:t>
      </w:r>
      <w:r>
        <w:rPr>
          <w:color w:val="auto"/>
        </w:rPr>
        <w:t>日起施行；</w:t>
      </w:r>
    </w:p>
    <w:p w14:paraId="76336E28" w14:textId="77777777" w:rsidR="002E474C" w:rsidRDefault="00000000">
      <w:pPr>
        <w:pStyle w:val="A-z"/>
        <w:rPr>
          <w:color w:val="auto"/>
        </w:rPr>
      </w:pPr>
      <w:r>
        <w:rPr>
          <w:color w:val="auto"/>
        </w:rPr>
        <w:t>（</w:t>
      </w:r>
      <w:r>
        <w:rPr>
          <w:color w:val="auto"/>
        </w:rPr>
        <w:t>2</w:t>
      </w:r>
      <w:r>
        <w:rPr>
          <w:color w:val="auto"/>
        </w:rPr>
        <w:t>）《新疆维吾尔自治区大气污染防治条例》，</w:t>
      </w:r>
      <w:r>
        <w:rPr>
          <w:color w:val="auto"/>
        </w:rPr>
        <w:t>2018</w:t>
      </w:r>
      <w:r>
        <w:rPr>
          <w:color w:val="auto"/>
        </w:rPr>
        <w:t>年</w:t>
      </w:r>
      <w:r>
        <w:rPr>
          <w:color w:val="auto"/>
        </w:rPr>
        <w:t>11</w:t>
      </w:r>
      <w:r>
        <w:rPr>
          <w:color w:val="auto"/>
        </w:rPr>
        <w:t>月</w:t>
      </w:r>
      <w:r>
        <w:rPr>
          <w:color w:val="auto"/>
        </w:rPr>
        <w:t>30</w:t>
      </w:r>
      <w:r>
        <w:rPr>
          <w:color w:val="auto"/>
        </w:rPr>
        <w:t>日公布，</w:t>
      </w:r>
      <w:r>
        <w:rPr>
          <w:color w:val="auto"/>
        </w:rPr>
        <w:t>2019</w:t>
      </w:r>
      <w:r>
        <w:rPr>
          <w:color w:val="auto"/>
        </w:rPr>
        <w:t>年</w:t>
      </w:r>
      <w:r>
        <w:rPr>
          <w:color w:val="auto"/>
        </w:rPr>
        <w:t>1</w:t>
      </w:r>
      <w:r>
        <w:rPr>
          <w:color w:val="auto"/>
        </w:rPr>
        <w:t>月</w:t>
      </w:r>
      <w:r>
        <w:rPr>
          <w:color w:val="auto"/>
        </w:rPr>
        <w:t>1</w:t>
      </w:r>
      <w:r>
        <w:rPr>
          <w:color w:val="auto"/>
        </w:rPr>
        <w:t>日起施行；</w:t>
      </w:r>
    </w:p>
    <w:p w14:paraId="2E15FE2D" w14:textId="77777777" w:rsidR="002E474C" w:rsidRDefault="00000000">
      <w:pPr>
        <w:pStyle w:val="A-z"/>
        <w:rPr>
          <w:color w:val="auto"/>
        </w:rPr>
      </w:pPr>
      <w:r>
        <w:rPr>
          <w:color w:val="auto"/>
        </w:rPr>
        <w:t>（</w:t>
      </w:r>
      <w:r>
        <w:rPr>
          <w:color w:val="auto"/>
        </w:rPr>
        <w:t>3</w:t>
      </w:r>
      <w:r>
        <w:rPr>
          <w:color w:val="auto"/>
        </w:rPr>
        <w:t>）</w:t>
      </w:r>
      <w:r>
        <w:rPr>
          <w:color w:val="auto"/>
          <w:lang w:val="en-US"/>
        </w:rPr>
        <w:t>《新疆维吾尔自治区重点行业生态环境准入条件（</w:t>
      </w:r>
      <w:r>
        <w:rPr>
          <w:color w:val="auto"/>
          <w:lang w:val="en-US"/>
        </w:rPr>
        <w:t>2024</w:t>
      </w:r>
      <w:r>
        <w:rPr>
          <w:color w:val="auto"/>
          <w:lang w:val="en-US"/>
        </w:rPr>
        <w:t>年）》，</w:t>
      </w:r>
      <w:r>
        <w:rPr>
          <w:color w:val="auto"/>
          <w:lang w:val="en-US"/>
        </w:rPr>
        <w:t>2024</w:t>
      </w:r>
      <w:r>
        <w:rPr>
          <w:color w:val="auto"/>
          <w:lang w:val="en-US"/>
        </w:rPr>
        <w:t>年</w:t>
      </w:r>
      <w:r>
        <w:rPr>
          <w:color w:val="auto"/>
          <w:lang w:val="en-US"/>
        </w:rPr>
        <w:t>6</w:t>
      </w:r>
      <w:r>
        <w:rPr>
          <w:color w:val="auto"/>
          <w:lang w:val="en-US"/>
        </w:rPr>
        <w:t>月</w:t>
      </w:r>
      <w:r>
        <w:rPr>
          <w:color w:val="auto"/>
          <w:lang w:val="en-US"/>
        </w:rPr>
        <w:t>9</w:t>
      </w:r>
      <w:r>
        <w:rPr>
          <w:color w:val="auto"/>
          <w:lang w:val="en-US"/>
        </w:rPr>
        <w:t>日</w:t>
      </w:r>
      <w:r>
        <w:rPr>
          <w:color w:val="auto"/>
        </w:rPr>
        <w:t>；</w:t>
      </w:r>
    </w:p>
    <w:p w14:paraId="1CC4D1C0" w14:textId="77777777" w:rsidR="002E474C" w:rsidRDefault="00000000">
      <w:pPr>
        <w:pStyle w:val="A-z"/>
        <w:rPr>
          <w:color w:val="auto"/>
        </w:rPr>
      </w:pPr>
      <w:r>
        <w:rPr>
          <w:color w:val="auto"/>
        </w:rPr>
        <w:t>（</w:t>
      </w:r>
      <w:r>
        <w:rPr>
          <w:color w:val="auto"/>
        </w:rPr>
        <w:t>4</w:t>
      </w:r>
      <w:r>
        <w:rPr>
          <w:color w:val="auto"/>
        </w:rPr>
        <w:t>）《关于印发</w:t>
      </w:r>
      <w:r>
        <w:rPr>
          <w:color w:val="auto"/>
          <w:lang w:val="en-US"/>
        </w:rPr>
        <w:t>&lt;</w:t>
      </w:r>
      <w:r>
        <w:rPr>
          <w:color w:val="auto"/>
        </w:rPr>
        <w:t>新疆维吾尔自治区水污染防治工作方案</w:t>
      </w:r>
      <w:r>
        <w:rPr>
          <w:color w:val="auto"/>
          <w:lang w:val="en-US"/>
        </w:rPr>
        <w:t>&gt;</w:t>
      </w:r>
      <w:r>
        <w:rPr>
          <w:color w:val="auto"/>
        </w:rPr>
        <w:t>的通知》，新政发〔</w:t>
      </w:r>
      <w:r>
        <w:rPr>
          <w:color w:val="auto"/>
        </w:rPr>
        <w:t>2016</w:t>
      </w:r>
      <w:r>
        <w:rPr>
          <w:color w:val="auto"/>
        </w:rPr>
        <w:t>〕</w:t>
      </w:r>
      <w:r>
        <w:rPr>
          <w:color w:val="auto"/>
        </w:rPr>
        <w:t>21</w:t>
      </w:r>
      <w:r>
        <w:rPr>
          <w:color w:val="auto"/>
        </w:rPr>
        <w:t>号；</w:t>
      </w:r>
    </w:p>
    <w:p w14:paraId="45AF7E94" w14:textId="77777777" w:rsidR="002E474C" w:rsidRDefault="00000000">
      <w:pPr>
        <w:pStyle w:val="A-z"/>
        <w:rPr>
          <w:color w:val="auto"/>
        </w:rPr>
      </w:pPr>
      <w:r>
        <w:rPr>
          <w:color w:val="auto"/>
        </w:rPr>
        <w:t>（</w:t>
      </w:r>
      <w:r>
        <w:rPr>
          <w:color w:val="auto"/>
        </w:rPr>
        <w:t>5</w:t>
      </w:r>
      <w:r>
        <w:rPr>
          <w:color w:val="auto"/>
        </w:rPr>
        <w:t>）《关于印发</w:t>
      </w:r>
      <w:r>
        <w:rPr>
          <w:color w:val="auto"/>
          <w:lang w:val="en-US"/>
        </w:rPr>
        <w:t>&lt;</w:t>
      </w:r>
      <w:r>
        <w:rPr>
          <w:color w:val="auto"/>
        </w:rPr>
        <w:t>新疆维吾尔自治区土壤污染防治工作方案</w:t>
      </w:r>
      <w:r>
        <w:rPr>
          <w:color w:val="auto"/>
          <w:lang w:val="en-US"/>
        </w:rPr>
        <w:t>&gt;</w:t>
      </w:r>
      <w:r>
        <w:rPr>
          <w:color w:val="auto"/>
        </w:rPr>
        <w:t>的通知》，新政发〔</w:t>
      </w:r>
      <w:r>
        <w:rPr>
          <w:color w:val="auto"/>
        </w:rPr>
        <w:t>2017</w:t>
      </w:r>
      <w:r>
        <w:rPr>
          <w:color w:val="auto"/>
        </w:rPr>
        <w:t>〕</w:t>
      </w:r>
      <w:r>
        <w:rPr>
          <w:color w:val="auto"/>
        </w:rPr>
        <w:t>25</w:t>
      </w:r>
      <w:r>
        <w:rPr>
          <w:color w:val="auto"/>
        </w:rPr>
        <w:t>号；</w:t>
      </w:r>
    </w:p>
    <w:p w14:paraId="7897C6B5" w14:textId="21B0D963" w:rsidR="002E474C" w:rsidRDefault="00000000">
      <w:pPr>
        <w:pStyle w:val="A-z"/>
        <w:rPr>
          <w:color w:val="auto"/>
        </w:rPr>
      </w:pPr>
      <w:r w:rsidRPr="00DC2B10">
        <w:rPr>
          <w:color w:val="auto"/>
        </w:rPr>
        <w:t>（</w:t>
      </w:r>
      <w:r w:rsidRPr="00DC2B10">
        <w:rPr>
          <w:color w:val="auto"/>
        </w:rPr>
        <w:t>6</w:t>
      </w:r>
      <w:r w:rsidRPr="00DC2B10">
        <w:rPr>
          <w:color w:val="auto"/>
        </w:rPr>
        <w:t>）</w:t>
      </w:r>
      <w:bookmarkStart w:id="51" w:name="_Hlk151205702"/>
      <w:r w:rsidRPr="00DC2B10">
        <w:rPr>
          <w:color w:val="auto"/>
        </w:rPr>
        <w:t>《</w:t>
      </w:r>
      <w:bookmarkStart w:id="52" w:name="OLE_LINK52"/>
      <w:r w:rsidRPr="00DC2B10">
        <w:rPr>
          <w:color w:val="auto"/>
        </w:rPr>
        <w:t>新疆维吾尔自治区生态环境厅审批环境影响评价文件的建设项目目录（</w:t>
      </w:r>
      <w:r w:rsidRPr="00DC2B10">
        <w:rPr>
          <w:color w:val="auto"/>
        </w:rPr>
        <w:t>2026</w:t>
      </w:r>
      <w:r w:rsidRPr="00DC2B10">
        <w:rPr>
          <w:color w:val="auto"/>
        </w:rPr>
        <w:t>年本）</w:t>
      </w:r>
      <w:bookmarkEnd w:id="52"/>
      <w:r w:rsidRPr="00DC2B10">
        <w:rPr>
          <w:color w:val="auto"/>
        </w:rPr>
        <w:t>》</w:t>
      </w:r>
      <w:bookmarkEnd w:id="51"/>
      <w:r w:rsidR="00DA4FFB" w:rsidRPr="00DC2B10">
        <w:rPr>
          <w:rFonts w:hint="eastAsia"/>
          <w:color w:val="auto"/>
        </w:rPr>
        <w:t>，</w:t>
      </w:r>
      <w:r w:rsidR="00DA4FFB" w:rsidRPr="00DC2B10">
        <w:rPr>
          <w:rFonts w:hint="eastAsia"/>
          <w:color w:val="auto"/>
          <w:lang w:val="en-US"/>
        </w:rPr>
        <w:t>新环规〔</w:t>
      </w:r>
      <w:r w:rsidR="00DA4FFB" w:rsidRPr="00DC2B10">
        <w:rPr>
          <w:rFonts w:hint="eastAsia"/>
          <w:color w:val="auto"/>
          <w:lang w:val="en-US"/>
        </w:rPr>
        <w:t>2026</w:t>
      </w:r>
      <w:r w:rsidR="00DA4FFB" w:rsidRPr="00DC2B10">
        <w:rPr>
          <w:rFonts w:hint="eastAsia"/>
          <w:color w:val="auto"/>
          <w:lang w:val="en-US"/>
        </w:rPr>
        <w:t>〕</w:t>
      </w:r>
      <w:r w:rsidR="00DA4FFB" w:rsidRPr="00DC2B10">
        <w:rPr>
          <w:rFonts w:hint="eastAsia"/>
          <w:color w:val="auto"/>
          <w:lang w:val="en-US"/>
        </w:rPr>
        <w:t>1</w:t>
      </w:r>
      <w:r w:rsidR="00DA4FFB" w:rsidRPr="00DC2B10">
        <w:rPr>
          <w:rFonts w:hint="eastAsia"/>
          <w:color w:val="auto"/>
          <w:lang w:val="en-US"/>
        </w:rPr>
        <w:t>号</w:t>
      </w:r>
      <w:r w:rsidRPr="00DC2B10">
        <w:rPr>
          <w:color w:val="auto"/>
        </w:rPr>
        <w:t>；</w:t>
      </w:r>
    </w:p>
    <w:p w14:paraId="71AF10E0" w14:textId="78BB25FF" w:rsidR="002E474C" w:rsidRDefault="00000000">
      <w:pPr>
        <w:pStyle w:val="A-z"/>
        <w:rPr>
          <w:color w:val="auto"/>
        </w:rPr>
      </w:pPr>
      <w:r>
        <w:rPr>
          <w:color w:val="auto"/>
        </w:rPr>
        <w:t>（</w:t>
      </w:r>
      <w:r>
        <w:rPr>
          <w:color w:val="auto"/>
        </w:rPr>
        <w:t>7</w:t>
      </w:r>
      <w:r>
        <w:rPr>
          <w:color w:val="auto"/>
        </w:rPr>
        <w:t>）</w:t>
      </w:r>
      <w:r w:rsidR="007B78FD">
        <w:rPr>
          <w:color w:val="auto"/>
          <w:lang w:val="en-US"/>
        </w:rPr>
        <w:t>《新疆维吾尔自治区重金属污染防控工作方案》，新环固体发〔</w:t>
      </w:r>
      <w:r w:rsidR="007B78FD">
        <w:rPr>
          <w:color w:val="auto"/>
          <w:lang w:val="en-US"/>
        </w:rPr>
        <w:t>2022</w:t>
      </w:r>
      <w:r w:rsidR="007B78FD">
        <w:rPr>
          <w:color w:val="auto"/>
          <w:lang w:val="en-US"/>
        </w:rPr>
        <w:t>〕</w:t>
      </w:r>
      <w:r w:rsidR="007B78FD">
        <w:rPr>
          <w:color w:val="auto"/>
          <w:lang w:val="en-US"/>
        </w:rPr>
        <w:t>88</w:t>
      </w:r>
      <w:r w:rsidR="007B78FD">
        <w:rPr>
          <w:color w:val="auto"/>
          <w:lang w:val="en-US"/>
        </w:rPr>
        <w:t>号</w:t>
      </w:r>
      <w:r w:rsidR="007B78FD">
        <w:rPr>
          <w:rFonts w:hint="eastAsia"/>
          <w:color w:val="auto"/>
          <w:lang w:val="en-US"/>
        </w:rPr>
        <w:t>；</w:t>
      </w:r>
    </w:p>
    <w:p w14:paraId="64275CC8" w14:textId="77777777" w:rsidR="002E474C" w:rsidRDefault="00000000">
      <w:pPr>
        <w:pStyle w:val="A-z"/>
        <w:rPr>
          <w:color w:val="auto"/>
        </w:rPr>
      </w:pPr>
      <w:r>
        <w:rPr>
          <w:color w:val="auto"/>
        </w:rPr>
        <w:t>（</w:t>
      </w:r>
      <w:r>
        <w:rPr>
          <w:color w:val="auto"/>
        </w:rPr>
        <w:t>8</w:t>
      </w:r>
      <w:r>
        <w:rPr>
          <w:color w:val="auto"/>
        </w:rPr>
        <w:t>）《关于全面加强生态环境保护坚决打好污染防治攻坚实施方案》，自治区党委、自治区人民政府，新党发〔</w:t>
      </w:r>
      <w:r>
        <w:rPr>
          <w:color w:val="auto"/>
        </w:rPr>
        <w:t>2018</w:t>
      </w:r>
      <w:r>
        <w:rPr>
          <w:color w:val="auto"/>
        </w:rPr>
        <w:t>〕</w:t>
      </w:r>
      <w:r>
        <w:rPr>
          <w:color w:val="auto"/>
        </w:rPr>
        <w:t>23</w:t>
      </w:r>
      <w:r>
        <w:rPr>
          <w:color w:val="auto"/>
        </w:rPr>
        <w:t>号；</w:t>
      </w:r>
    </w:p>
    <w:p w14:paraId="551F44CA" w14:textId="77777777" w:rsidR="002E474C" w:rsidRDefault="00000000">
      <w:pPr>
        <w:pStyle w:val="A-z"/>
        <w:rPr>
          <w:color w:val="auto"/>
        </w:rPr>
      </w:pPr>
      <w:r>
        <w:rPr>
          <w:color w:val="auto"/>
        </w:rPr>
        <w:t>（</w:t>
      </w:r>
      <w:r>
        <w:rPr>
          <w:color w:val="auto"/>
        </w:rPr>
        <w:t>9</w:t>
      </w:r>
      <w:r>
        <w:rPr>
          <w:color w:val="auto"/>
        </w:rPr>
        <w:t>）《关于进一步加强我区危险废物和医疗废物监督管理工作的意见》，新政办发〔</w:t>
      </w:r>
      <w:r>
        <w:rPr>
          <w:color w:val="auto"/>
        </w:rPr>
        <w:t>2014</w:t>
      </w:r>
      <w:r>
        <w:rPr>
          <w:color w:val="auto"/>
        </w:rPr>
        <w:t>〕</w:t>
      </w:r>
      <w:r>
        <w:rPr>
          <w:color w:val="auto"/>
        </w:rPr>
        <w:t>38</w:t>
      </w:r>
      <w:r>
        <w:rPr>
          <w:color w:val="auto"/>
        </w:rPr>
        <w:t>号；</w:t>
      </w:r>
    </w:p>
    <w:p w14:paraId="2B9ED4F2" w14:textId="77777777" w:rsidR="002E474C" w:rsidRDefault="00000000">
      <w:pPr>
        <w:pStyle w:val="A-z"/>
        <w:rPr>
          <w:color w:val="auto"/>
          <w:lang w:val="en-US"/>
        </w:rPr>
      </w:pPr>
      <w:r>
        <w:rPr>
          <w:color w:val="auto"/>
        </w:rPr>
        <w:t>（</w:t>
      </w:r>
      <w:r>
        <w:rPr>
          <w:color w:val="auto"/>
        </w:rPr>
        <w:t>10</w:t>
      </w:r>
      <w:r>
        <w:rPr>
          <w:color w:val="auto"/>
        </w:rPr>
        <w:t>）</w:t>
      </w:r>
      <w:r>
        <w:rPr>
          <w:color w:val="auto"/>
          <w:lang w:val="en-US"/>
        </w:rPr>
        <w:t>《新疆维吾尔自治区七大片区</w:t>
      </w:r>
      <w:r>
        <w:rPr>
          <w:color w:val="auto"/>
          <w:lang w:val="en-US"/>
        </w:rPr>
        <w:t>“</w:t>
      </w:r>
      <w:r>
        <w:rPr>
          <w:color w:val="auto"/>
          <w:lang w:val="en-US"/>
        </w:rPr>
        <w:t>三线一单</w:t>
      </w:r>
      <w:r>
        <w:rPr>
          <w:color w:val="auto"/>
          <w:lang w:val="en-US"/>
        </w:rPr>
        <w:t>”</w:t>
      </w:r>
      <w:r>
        <w:rPr>
          <w:color w:val="auto"/>
          <w:lang w:val="en-US"/>
        </w:rPr>
        <w:t>生态环境分区管控要求（</w:t>
      </w:r>
      <w:r>
        <w:rPr>
          <w:color w:val="auto"/>
          <w:lang w:val="en-US"/>
        </w:rPr>
        <w:t>2021</w:t>
      </w:r>
      <w:r>
        <w:rPr>
          <w:color w:val="auto"/>
          <w:lang w:val="en-US"/>
        </w:rPr>
        <w:lastRenderedPageBreak/>
        <w:t>年版）》，新环环评发〔</w:t>
      </w:r>
      <w:r>
        <w:rPr>
          <w:color w:val="auto"/>
          <w:lang w:val="en-US"/>
        </w:rPr>
        <w:t>2021</w:t>
      </w:r>
      <w:r>
        <w:rPr>
          <w:color w:val="auto"/>
          <w:lang w:val="en-US"/>
        </w:rPr>
        <w:t>〕</w:t>
      </w:r>
      <w:r>
        <w:rPr>
          <w:color w:val="auto"/>
          <w:lang w:val="en-US"/>
        </w:rPr>
        <w:t>162</w:t>
      </w:r>
      <w:r>
        <w:rPr>
          <w:color w:val="auto"/>
          <w:lang w:val="en-US"/>
        </w:rPr>
        <w:t>号；</w:t>
      </w:r>
    </w:p>
    <w:p w14:paraId="075C2068" w14:textId="77777777" w:rsidR="002E474C" w:rsidRDefault="00000000">
      <w:pPr>
        <w:pStyle w:val="A-z"/>
        <w:rPr>
          <w:color w:val="auto"/>
          <w:lang w:val="en-US"/>
        </w:rPr>
      </w:pPr>
      <w:r>
        <w:rPr>
          <w:color w:val="auto"/>
          <w:lang w:val="en-US"/>
        </w:rPr>
        <w:t>（</w:t>
      </w:r>
      <w:r>
        <w:rPr>
          <w:color w:val="auto"/>
          <w:lang w:val="en-US"/>
        </w:rPr>
        <w:t>11</w:t>
      </w:r>
      <w:r>
        <w:rPr>
          <w:color w:val="auto"/>
          <w:lang w:val="en-US"/>
        </w:rPr>
        <w:t>）</w:t>
      </w:r>
      <w:r>
        <w:rPr>
          <w:color w:val="auto"/>
        </w:rPr>
        <w:t>《新疆维吾尔自治区生态环境分区管控动态更新成果》</w:t>
      </w:r>
      <w:r>
        <w:rPr>
          <w:color w:val="auto"/>
          <w:lang w:val="en-US"/>
        </w:rPr>
        <w:t>，新环环评发〔</w:t>
      </w:r>
      <w:r>
        <w:rPr>
          <w:color w:val="auto"/>
          <w:lang w:val="en-US"/>
        </w:rPr>
        <w:t>2024</w:t>
      </w:r>
      <w:r>
        <w:rPr>
          <w:color w:val="auto"/>
          <w:lang w:val="en-US"/>
        </w:rPr>
        <w:t>〕</w:t>
      </w:r>
      <w:r>
        <w:rPr>
          <w:color w:val="auto"/>
          <w:lang w:val="en-US"/>
        </w:rPr>
        <w:t>157</w:t>
      </w:r>
      <w:r>
        <w:rPr>
          <w:color w:val="auto"/>
          <w:lang w:val="en-US"/>
        </w:rPr>
        <w:t>号；</w:t>
      </w:r>
    </w:p>
    <w:p w14:paraId="7453FD1C" w14:textId="77777777" w:rsidR="002E474C" w:rsidRDefault="00000000">
      <w:pPr>
        <w:pStyle w:val="A-z"/>
        <w:ind w:firstLine="456"/>
        <w:rPr>
          <w:color w:val="auto"/>
          <w:spacing w:val="-6"/>
          <w:lang w:val="en-US"/>
        </w:rPr>
      </w:pPr>
      <w:r>
        <w:rPr>
          <w:color w:val="auto"/>
          <w:spacing w:val="-6"/>
          <w:lang w:val="en-US"/>
        </w:rPr>
        <w:t>（</w:t>
      </w:r>
      <w:r>
        <w:rPr>
          <w:color w:val="auto"/>
          <w:spacing w:val="-6"/>
          <w:lang w:val="en-US"/>
        </w:rPr>
        <w:t>12</w:t>
      </w:r>
      <w:r>
        <w:rPr>
          <w:color w:val="auto"/>
          <w:spacing w:val="-6"/>
          <w:lang w:val="en-US"/>
        </w:rPr>
        <w:t>）</w:t>
      </w:r>
      <w:r>
        <w:rPr>
          <w:color w:val="auto"/>
        </w:rPr>
        <w:t>《吐鲁番市生态环境分区管控成果动态更新情况说明》</w:t>
      </w:r>
      <w:r>
        <w:rPr>
          <w:color w:val="auto"/>
          <w:spacing w:val="-6"/>
          <w:lang w:val="en-US"/>
        </w:rPr>
        <w:t>，</w:t>
      </w:r>
      <w:r>
        <w:rPr>
          <w:color w:val="auto"/>
          <w:spacing w:val="-6"/>
          <w:lang w:val="en-US"/>
        </w:rPr>
        <w:t>2024</w:t>
      </w:r>
      <w:r>
        <w:rPr>
          <w:color w:val="auto"/>
          <w:spacing w:val="-6"/>
          <w:lang w:val="en-US"/>
        </w:rPr>
        <w:t>年</w:t>
      </w:r>
      <w:r>
        <w:rPr>
          <w:color w:val="auto"/>
          <w:spacing w:val="-6"/>
          <w:lang w:val="en-US"/>
        </w:rPr>
        <w:t>1</w:t>
      </w:r>
      <w:r>
        <w:rPr>
          <w:color w:val="auto"/>
          <w:spacing w:val="-6"/>
          <w:lang w:val="en-US"/>
        </w:rPr>
        <w:t>月；</w:t>
      </w:r>
    </w:p>
    <w:p w14:paraId="55221860" w14:textId="77777777" w:rsidR="002E474C" w:rsidRDefault="00000000">
      <w:pPr>
        <w:pStyle w:val="A-z"/>
        <w:rPr>
          <w:color w:val="auto"/>
          <w:lang w:val="en-US"/>
        </w:rPr>
      </w:pPr>
      <w:r>
        <w:rPr>
          <w:color w:val="auto"/>
          <w:lang w:val="en-US"/>
        </w:rPr>
        <w:t>（</w:t>
      </w:r>
      <w:r>
        <w:rPr>
          <w:color w:val="auto"/>
          <w:lang w:val="en-US"/>
        </w:rPr>
        <w:t>13</w:t>
      </w:r>
      <w:r>
        <w:rPr>
          <w:color w:val="auto"/>
          <w:lang w:val="en-US"/>
        </w:rPr>
        <w:t>）《自治区党委自治区人民政府印发</w:t>
      </w:r>
      <w:r>
        <w:rPr>
          <w:color w:val="auto"/>
          <w:lang w:val="en-US"/>
        </w:rPr>
        <w:t xml:space="preserve"> </w:t>
      </w:r>
      <w:r>
        <w:rPr>
          <w:color w:val="auto"/>
          <w:lang w:val="en-US"/>
        </w:rPr>
        <w:t>关于深入打好污染防治攻坚战的实施方案》，</w:t>
      </w:r>
      <w:r>
        <w:rPr>
          <w:color w:val="auto"/>
          <w:lang w:val="en-US"/>
        </w:rPr>
        <w:t>2022</w:t>
      </w:r>
      <w:r>
        <w:rPr>
          <w:color w:val="auto"/>
          <w:lang w:val="en-US"/>
        </w:rPr>
        <w:t>年</w:t>
      </w:r>
      <w:r>
        <w:rPr>
          <w:color w:val="auto"/>
          <w:lang w:val="en-US"/>
        </w:rPr>
        <w:t>7</w:t>
      </w:r>
      <w:r>
        <w:rPr>
          <w:color w:val="auto"/>
          <w:lang w:val="en-US"/>
        </w:rPr>
        <w:t>月</w:t>
      </w:r>
      <w:r>
        <w:rPr>
          <w:color w:val="auto"/>
          <w:lang w:val="en-US"/>
        </w:rPr>
        <w:t>26</w:t>
      </w:r>
      <w:r>
        <w:rPr>
          <w:color w:val="auto"/>
          <w:lang w:val="en-US"/>
        </w:rPr>
        <w:t>日；</w:t>
      </w:r>
    </w:p>
    <w:p w14:paraId="180E08CC" w14:textId="77777777" w:rsidR="002E474C" w:rsidRDefault="00000000">
      <w:pPr>
        <w:pStyle w:val="A-z"/>
        <w:rPr>
          <w:color w:val="auto"/>
          <w:lang w:val="en-US"/>
        </w:rPr>
      </w:pPr>
      <w:r>
        <w:rPr>
          <w:color w:val="auto"/>
          <w:lang w:val="en-US"/>
        </w:rPr>
        <w:t>（</w:t>
      </w:r>
      <w:r>
        <w:rPr>
          <w:color w:val="auto"/>
          <w:lang w:val="en-US"/>
        </w:rPr>
        <w:t>14</w:t>
      </w:r>
      <w:r>
        <w:rPr>
          <w:color w:val="auto"/>
          <w:lang w:val="en-US"/>
        </w:rPr>
        <w:t>）《关于印发</w:t>
      </w:r>
      <w:r>
        <w:rPr>
          <w:color w:val="auto"/>
          <w:lang w:val="en-US"/>
        </w:rPr>
        <w:t>&lt;</w:t>
      </w:r>
      <w:r>
        <w:rPr>
          <w:color w:val="auto"/>
          <w:lang w:val="en-US"/>
        </w:rPr>
        <w:t>自治区强化危险废物监管和利用处置能力改革工作方案</w:t>
      </w:r>
      <w:r>
        <w:rPr>
          <w:color w:val="auto"/>
          <w:lang w:val="en-US"/>
        </w:rPr>
        <w:t>&gt;</w:t>
      </w:r>
      <w:r>
        <w:rPr>
          <w:color w:val="auto"/>
          <w:lang w:val="en-US"/>
        </w:rPr>
        <w:t>的通知》，新政办发〔</w:t>
      </w:r>
      <w:r>
        <w:rPr>
          <w:color w:val="auto"/>
          <w:lang w:val="en-US"/>
        </w:rPr>
        <w:t>2021</w:t>
      </w:r>
      <w:r>
        <w:rPr>
          <w:color w:val="auto"/>
          <w:lang w:val="en-US"/>
        </w:rPr>
        <w:t>〕</w:t>
      </w:r>
      <w:r>
        <w:rPr>
          <w:color w:val="auto"/>
          <w:lang w:val="en-US"/>
        </w:rPr>
        <w:t>95</w:t>
      </w:r>
      <w:r>
        <w:rPr>
          <w:color w:val="auto"/>
          <w:lang w:val="en-US"/>
        </w:rPr>
        <w:t>号；</w:t>
      </w:r>
    </w:p>
    <w:p w14:paraId="6D743F7E" w14:textId="77777777" w:rsidR="002E474C" w:rsidRDefault="00000000">
      <w:pPr>
        <w:pStyle w:val="A-z"/>
        <w:rPr>
          <w:color w:val="auto"/>
          <w:lang w:val="en-US"/>
        </w:rPr>
      </w:pPr>
      <w:r>
        <w:rPr>
          <w:color w:val="auto"/>
          <w:lang w:val="en-US"/>
        </w:rPr>
        <w:t>（</w:t>
      </w:r>
      <w:r>
        <w:rPr>
          <w:color w:val="auto"/>
          <w:lang w:val="en-US"/>
        </w:rPr>
        <w:t>15</w:t>
      </w:r>
      <w:r>
        <w:rPr>
          <w:color w:val="auto"/>
          <w:lang w:val="en-US"/>
        </w:rPr>
        <w:t>）《关于印发</w:t>
      </w:r>
      <w:r>
        <w:rPr>
          <w:color w:val="auto"/>
          <w:lang w:val="en-US"/>
        </w:rPr>
        <w:t>&lt;</w:t>
      </w:r>
      <w:r>
        <w:rPr>
          <w:color w:val="auto"/>
          <w:lang w:val="en-US"/>
        </w:rPr>
        <w:t>自治区危险废物处置利用设施建设布局指导意见</w:t>
      </w:r>
      <w:r>
        <w:rPr>
          <w:color w:val="auto"/>
          <w:lang w:val="en-US"/>
        </w:rPr>
        <w:t>&gt;</w:t>
      </w:r>
      <w:r>
        <w:rPr>
          <w:color w:val="auto"/>
          <w:lang w:val="en-US"/>
        </w:rPr>
        <w:t>的通知》，新政办发〔</w:t>
      </w:r>
      <w:r>
        <w:rPr>
          <w:color w:val="auto"/>
          <w:lang w:val="en-US"/>
        </w:rPr>
        <w:t>2018</w:t>
      </w:r>
      <w:r>
        <w:rPr>
          <w:color w:val="auto"/>
          <w:lang w:val="en-US"/>
        </w:rPr>
        <w:t>〕</w:t>
      </w:r>
      <w:r>
        <w:rPr>
          <w:color w:val="auto"/>
          <w:lang w:val="en-US"/>
        </w:rPr>
        <w:t>106</w:t>
      </w:r>
      <w:r>
        <w:rPr>
          <w:color w:val="auto"/>
          <w:lang w:val="en-US"/>
        </w:rPr>
        <w:t>号；</w:t>
      </w:r>
    </w:p>
    <w:p w14:paraId="1FB4A642" w14:textId="77777777" w:rsidR="002E474C" w:rsidRDefault="00000000">
      <w:pPr>
        <w:pStyle w:val="A-z"/>
        <w:rPr>
          <w:color w:val="auto"/>
          <w:lang w:val="en-US"/>
        </w:rPr>
      </w:pPr>
      <w:r>
        <w:rPr>
          <w:color w:val="auto"/>
          <w:lang w:val="en-US"/>
        </w:rPr>
        <w:t>（</w:t>
      </w:r>
      <w:r>
        <w:rPr>
          <w:color w:val="auto"/>
          <w:lang w:val="en-US"/>
        </w:rPr>
        <w:t>16</w:t>
      </w:r>
      <w:r>
        <w:rPr>
          <w:color w:val="auto"/>
          <w:lang w:val="en-US"/>
        </w:rPr>
        <w:t>）《关于新疆维吾尔自治区</w:t>
      </w:r>
      <w:r>
        <w:rPr>
          <w:color w:val="auto"/>
          <w:lang w:val="en-US"/>
        </w:rPr>
        <w:t>2026</w:t>
      </w:r>
      <w:r>
        <w:rPr>
          <w:color w:val="auto"/>
          <w:lang w:val="en-US"/>
        </w:rPr>
        <w:t>年危险废物利用处置设施投资建设引导性公告》，</w:t>
      </w:r>
      <w:r>
        <w:rPr>
          <w:color w:val="auto"/>
          <w:lang w:val="en-US"/>
        </w:rPr>
        <w:t>2026</w:t>
      </w:r>
      <w:r>
        <w:rPr>
          <w:color w:val="auto"/>
          <w:lang w:val="en-US"/>
        </w:rPr>
        <w:t>年</w:t>
      </w:r>
      <w:r>
        <w:rPr>
          <w:color w:val="auto"/>
          <w:lang w:val="en-US"/>
        </w:rPr>
        <w:t>2</w:t>
      </w:r>
      <w:r>
        <w:rPr>
          <w:color w:val="auto"/>
          <w:lang w:val="en-US"/>
        </w:rPr>
        <w:t>月</w:t>
      </w:r>
      <w:r>
        <w:rPr>
          <w:color w:val="auto"/>
          <w:lang w:val="en-US"/>
        </w:rPr>
        <w:t>6</w:t>
      </w:r>
      <w:r>
        <w:rPr>
          <w:color w:val="auto"/>
          <w:lang w:val="en-US"/>
        </w:rPr>
        <w:t>日；</w:t>
      </w:r>
    </w:p>
    <w:p w14:paraId="705AF197" w14:textId="77777777" w:rsidR="002E474C" w:rsidRDefault="00000000">
      <w:pPr>
        <w:pStyle w:val="A-z"/>
        <w:rPr>
          <w:color w:val="auto"/>
          <w:lang w:val="en-US"/>
        </w:rPr>
      </w:pPr>
      <w:r>
        <w:rPr>
          <w:color w:val="auto"/>
          <w:lang w:val="en-US"/>
        </w:rPr>
        <w:t>（</w:t>
      </w:r>
      <w:r>
        <w:rPr>
          <w:color w:val="auto"/>
          <w:lang w:val="en-US"/>
        </w:rPr>
        <w:t>17</w:t>
      </w:r>
      <w:r>
        <w:rPr>
          <w:color w:val="auto"/>
          <w:lang w:val="en-US"/>
        </w:rPr>
        <w:t>）《新疆维吾尔自治区节水行动实施方案》，新政办发〔</w:t>
      </w:r>
      <w:r>
        <w:rPr>
          <w:color w:val="auto"/>
          <w:lang w:val="en-US"/>
        </w:rPr>
        <w:t>2019</w:t>
      </w:r>
      <w:r>
        <w:rPr>
          <w:color w:val="auto"/>
          <w:lang w:val="en-US"/>
        </w:rPr>
        <w:t>〕</w:t>
      </w:r>
      <w:r>
        <w:rPr>
          <w:color w:val="auto"/>
          <w:lang w:val="en-US"/>
        </w:rPr>
        <w:t>125</w:t>
      </w:r>
      <w:r>
        <w:rPr>
          <w:color w:val="auto"/>
          <w:lang w:val="en-US"/>
        </w:rPr>
        <w:t>号；</w:t>
      </w:r>
    </w:p>
    <w:p w14:paraId="6BF30FDC" w14:textId="77777777" w:rsidR="002E474C" w:rsidRDefault="00000000">
      <w:pPr>
        <w:pStyle w:val="A-z"/>
        <w:rPr>
          <w:color w:val="auto"/>
          <w:lang w:val="en-US"/>
        </w:rPr>
      </w:pPr>
      <w:r>
        <w:rPr>
          <w:color w:val="auto"/>
          <w:lang w:val="en-US"/>
        </w:rPr>
        <w:t>（</w:t>
      </w:r>
      <w:r>
        <w:rPr>
          <w:color w:val="auto"/>
          <w:lang w:val="en-US"/>
        </w:rPr>
        <w:t>18</w:t>
      </w:r>
      <w:r>
        <w:rPr>
          <w:color w:val="auto"/>
          <w:lang w:val="en-US"/>
        </w:rPr>
        <w:t>）《自治区党委</w:t>
      </w:r>
      <w:r>
        <w:rPr>
          <w:color w:val="auto"/>
          <w:lang w:val="en-US"/>
        </w:rPr>
        <w:t xml:space="preserve"> </w:t>
      </w:r>
      <w:r>
        <w:rPr>
          <w:color w:val="auto"/>
          <w:lang w:val="en-US"/>
        </w:rPr>
        <w:t>自治区人民政府印发〈新疆维吾尔自治区碳达峰实施方案〉的通知》，新党发〔</w:t>
      </w:r>
      <w:r>
        <w:rPr>
          <w:color w:val="auto"/>
          <w:lang w:val="en-US"/>
        </w:rPr>
        <w:t>2023</w:t>
      </w:r>
      <w:r>
        <w:rPr>
          <w:color w:val="auto"/>
          <w:lang w:val="en-US"/>
        </w:rPr>
        <w:t>〕</w:t>
      </w:r>
      <w:r>
        <w:rPr>
          <w:color w:val="auto"/>
          <w:lang w:val="en-US"/>
        </w:rPr>
        <w:t>13</w:t>
      </w:r>
      <w:r>
        <w:rPr>
          <w:color w:val="auto"/>
          <w:lang w:val="en-US"/>
        </w:rPr>
        <w:t>号；</w:t>
      </w:r>
    </w:p>
    <w:p w14:paraId="66B45B3D" w14:textId="77777777" w:rsidR="002E474C" w:rsidRDefault="00000000">
      <w:pPr>
        <w:pStyle w:val="A-z"/>
        <w:rPr>
          <w:color w:val="auto"/>
          <w:lang w:val="en-US"/>
        </w:rPr>
      </w:pPr>
      <w:r>
        <w:rPr>
          <w:color w:val="auto"/>
          <w:lang w:val="en-US"/>
        </w:rPr>
        <w:t>（</w:t>
      </w:r>
      <w:r>
        <w:rPr>
          <w:color w:val="auto"/>
          <w:lang w:val="en-US"/>
        </w:rPr>
        <w:t>19</w:t>
      </w:r>
      <w:r>
        <w:rPr>
          <w:color w:val="auto"/>
          <w:lang w:val="en-US"/>
        </w:rPr>
        <w:t>）《自治区减污降碳协同增效实施方案》，新环气候发〔</w:t>
      </w:r>
      <w:r>
        <w:rPr>
          <w:color w:val="auto"/>
          <w:lang w:val="en-US"/>
        </w:rPr>
        <w:t>2023</w:t>
      </w:r>
      <w:r>
        <w:rPr>
          <w:color w:val="auto"/>
          <w:lang w:val="en-US"/>
        </w:rPr>
        <w:t>〕</w:t>
      </w:r>
      <w:r>
        <w:rPr>
          <w:color w:val="auto"/>
          <w:lang w:val="en-US"/>
        </w:rPr>
        <w:t>19</w:t>
      </w:r>
      <w:r>
        <w:rPr>
          <w:color w:val="auto"/>
          <w:lang w:val="en-US"/>
        </w:rPr>
        <w:t>号；</w:t>
      </w:r>
    </w:p>
    <w:p w14:paraId="6726780C" w14:textId="2791F1F6" w:rsidR="002E474C" w:rsidRDefault="00000000">
      <w:pPr>
        <w:pStyle w:val="A-z"/>
        <w:rPr>
          <w:color w:val="auto"/>
          <w:lang w:val="en-US"/>
        </w:rPr>
      </w:pPr>
      <w:r>
        <w:rPr>
          <w:color w:val="auto"/>
          <w:lang w:val="en-US"/>
        </w:rPr>
        <w:t>（</w:t>
      </w:r>
      <w:r>
        <w:rPr>
          <w:color w:val="auto"/>
          <w:lang w:val="en-US"/>
        </w:rPr>
        <w:t>20</w:t>
      </w:r>
      <w:r>
        <w:rPr>
          <w:color w:val="auto"/>
          <w:lang w:val="en-US"/>
        </w:rPr>
        <w:t>）《关于转发</w:t>
      </w:r>
      <w:r>
        <w:rPr>
          <w:color w:val="auto"/>
          <w:lang w:val="en-US"/>
        </w:rPr>
        <w:t>&lt;</w:t>
      </w:r>
      <w:r>
        <w:rPr>
          <w:color w:val="auto"/>
          <w:lang w:val="en-US"/>
        </w:rPr>
        <w:t>危险废物规范化管理指标体系</w:t>
      </w:r>
      <w:r>
        <w:rPr>
          <w:color w:val="auto"/>
          <w:lang w:val="en-US"/>
        </w:rPr>
        <w:t>&gt;</w:t>
      </w:r>
      <w:r>
        <w:rPr>
          <w:color w:val="auto"/>
          <w:lang w:val="en-US"/>
        </w:rPr>
        <w:t>的通知》，新环办发〔</w:t>
      </w:r>
      <w:r>
        <w:rPr>
          <w:color w:val="auto"/>
          <w:lang w:val="en-US"/>
        </w:rPr>
        <w:t>2017</w:t>
      </w:r>
      <w:r>
        <w:rPr>
          <w:color w:val="auto"/>
          <w:lang w:val="en-US"/>
        </w:rPr>
        <w:t>〕</w:t>
      </w:r>
      <w:r>
        <w:rPr>
          <w:color w:val="auto"/>
          <w:lang w:val="en-US"/>
        </w:rPr>
        <w:t>65</w:t>
      </w:r>
      <w:r>
        <w:rPr>
          <w:color w:val="auto"/>
          <w:lang w:val="en-US"/>
        </w:rPr>
        <w:t>号。</w:t>
      </w:r>
    </w:p>
    <w:p w14:paraId="49D85221" w14:textId="77777777" w:rsidR="002E474C" w:rsidRDefault="00000000">
      <w:pPr>
        <w:pStyle w:val="31"/>
        <w:spacing w:before="120" w:after="120"/>
        <w:rPr>
          <w:color w:val="auto"/>
        </w:rPr>
      </w:pPr>
      <w:r>
        <w:rPr>
          <w:color w:val="auto"/>
        </w:rPr>
        <w:t>相关规划</w:t>
      </w:r>
    </w:p>
    <w:p w14:paraId="0AD399CD" w14:textId="77777777" w:rsidR="002E474C" w:rsidRDefault="00000000">
      <w:pPr>
        <w:pStyle w:val="A-z"/>
        <w:rPr>
          <w:color w:val="auto"/>
        </w:rPr>
      </w:pPr>
      <w:r>
        <w:rPr>
          <w:color w:val="auto"/>
        </w:rPr>
        <w:t>（</w:t>
      </w:r>
      <w:r>
        <w:rPr>
          <w:color w:val="auto"/>
        </w:rPr>
        <w:t>1</w:t>
      </w:r>
      <w:r>
        <w:rPr>
          <w:color w:val="auto"/>
        </w:rPr>
        <w:t>）</w:t>
      </w:r>
      <w:bookmarkStart w:id="53" w:name="OLE_LINK31"/>
      <w:r>
        <w:rPr>
          <w:color w:val="auto"/>
        </w:rPr>
        <w:t>《中华人民共和国国民经济和社会发展第十五个五年规划纲要》</w:t>
      </w:r>
      <w:bookmarkEnd w:id="53"/>
      <w:r>
        <w:rPr>
          <w:color w:val="auto"/>
        </w:rPr>
        <w:t>，</w:t>
      </w:r>
      <w:r>
        <w:rPr>
          <w:color w:val="auto"/>
        </w:rPr>
        <w:t>2026</w:t>
      </w:r>
      <w:r>
        <w:rPr>
          <w:color w:val="auto"/>
        </w:rPr>
        <w:t>年</w:t>
      </w:r>
      <w:r>
        <w:rPr>
          <w:color w:val="auto"/>
        </w:rPr>
        <w:t>3</w:t>
      </w:r>
      <w:r>
        <w:rPr>
          <w:color w:val="auto"/>
        </w:rPr>
        <w:t>月</w:t>
      </w:r>
      <w:r>
        <w:rPr>
          <w:color w:val="auto"/>
        </w:rPr>
        <w:t>12</w:t>
      </w:r>
      <w:r>
        <w:rPr>
          <w:color w:val="auto"/>
        </w:rPr>
        <w:t>日第十四届全国人民代表大会第四次会议通过；</w:t>
      </w:r>
    </w:p>
    <w:p w14:paraId="72C010D5" w14:textId="77777777" w:rsidR="002E474C" w:rsidRDefault="00000000">
      <w:pPr>
        <w:pStyle w:val="A-z"/>
        <w:rPr>
          <w:color w:val="auto"/>
        </w:rPr>
      </w:pPr>
      <w:r>
        <w:rPr>
          <w:color w:val="auto"/>
        </w:rPr>
        <w:t>（</w:t>
      </w:r>
      <w:r>
        <w:rPr>
          <w:color w:val="auto"/>
        </w:rPr>
        <w:t>2</w:t>
      </w:r>
      <w:r>
        <w:rPr>
          <w:color w:val="auto"/>
        </w:rPr>
        <w:t>）</w:t>
      </w:r>
      <w:bookmarkStart w:id="54" w:name="OLE_LINK58"/>
      <w:r>
        <w:rPr>
          <w:color w:val="auto"/>
        </w:rPr>
        <w:t>《</w:t>
      </w:r>
      <w:bookmarkStart w:id="55" w:name="OLE_LINK32"/>
      <w:r>
        <w:rPr>
          <w:color w:val="auto"/>
        </w:rPr>
        <w:t>新疆维吾尔自治区国民经济和社会发展第十五个五年规划纲要</w:t>
      </w:r>
      <w:bookmarkEnd w:id="55"/>
      <w:r>
        <w:rPr>
          <w:color w:val="auto"/>
        </w:rPr>
        <w:t>》</w:t>
      </w:r>
      <w:bookmarkEnd w:id="54"/>
      <w:r>
        <w:rPr>
          <w:color w:val="auto"/>
        </w:rPr>
        <w:t>，新疆维吾尔自治区第十四届人民代表大会第四次会议通过；</w:t>
      </w:r>
    </w:p>
    <w:p w14:paraId="4D52A088" w14:textId="77777777" w:rsidR="002E474C" w:rsidRDefault="00000000">
      <w:pPr>
        <w:pStyle w:val="A-z"/>
        <w:ind w:firstLine="456"/>
        <w:rPr>
          <w:color w:val="auto"/>
          <w:spacing w:val="-6"/>
        </w:rPr>
      </w:pPr>
      <w:r>
        <w:rPr>
          <w:color w:val="auto"/>
          <w:spacing w:val="-6"/>
        </w:rPr>
        <w:t>（</w:t>
      </w:r>
      <w:r>
        <w:rPr>
          <w:color w:val="auto"/>
          <w:spacing w:val="-6"/>
        </w:rPr>
        <w:t>3</w:t>
      </w:r>
      <w:r>
        <w:rPr>
          <w:color w:val="auto"/>
          <w:spacing w:val="-6"/>
        </w:rPr>
        <w:t>）</w:t>
      </w:r>
      <w:bookmarkStart w:id="56" w:name="OLE_LINK50"/>
      <w:r>
        <w:rPr>
          <w:color w:val="auto"/>
          <w:spacing w:val="-6"/>
        </w:rPr>
        <w:t>《吐鲁番市国民经济和社会发展第十四个五年规划和</w:t>
      </w:r>
      <w:r>
        <w:rPr>
          <w:color w:val="auto"/>
          <w:spacing w:val="-6"/>
        </w:rPr>
        <w:t>2035</w:t>
      </w:r>
      <w:r>
        <w:rPr>
          <w:color w:val="auto"/>
          <w:spacing w:val="-6"/>
        </w:rPr>
        <w:t>年远景目标纲要》。</w:t>
      </w:r>
      <w:bookmarkEnd w:id="56"/>
    </w:p>
    <w:p w14:paraId="75E563A2" w14:textId="77777777" w:rsidR="002E474C" w:rsidRDefault="00000000">
      <w:pPr>
        <w:pStyle w:val="A-z"/>
        <w:rPr>
          <w:color w:val="auto"/>
        </w:rPr>
      </w:pPr>
      <w:r>
        <w:rPr>
          <w:color w:val="auto"/>
        </w:rPr>
        <w:t>（</w:t>
      </w:r>
      <w:r>
        <w:rPr>
          <w:color w:val="auto"/>
        </w:rPr>
        <w:t>4</w:t>
      </w:r>
      <w:r>
        <w:rPr>
          <w:color w:val="auto"/>
        </w:rPr>
        <w:t>）《新疆生态环境保护</w:t>
      </w:r>
      <w:r>
        <w:rPr>
          <w:color w:val="auto"/>
        </w:rPr>
        <w:t>“</w:t>
      </w:r>
      <w:r>
        <w:rPr>
          <w:color w:val="auto"/>
        </w:rPr>
        <w:t>十四五</w:t>
      </w:r>
      <w:r>
        <w:rPr>
          <w:color w:val="auto"/>
        </w:rPr>
        <w:t>”</w:t>
      </w:r>
      <w:r>
        <w:rPr>
          <w:color w:val="auto"/>
        </w:rPr>
        <w:t>规划》；</w:t>
      </w:r>
    </w:p>
    <w:p w14:paraId="7C2C4312" w14:textId="77777777" w:rsidR="002E474C" w:rsidRDefault="00000000">
      <w:pPr>
        <w:pStyle w:val="A-z"/>
        <w:rPr>
          <w:color w:val="auto"/>
        </w:rPr>
      </w:pPr>
      <w:r>
        <w:rPr>
          <w:color w:val="auto"/>
        </w:rPr>
        <w:t>（</w:t>
      </w:r>
      <w:r>
        <w:rPr>
          <w:color w:val="auto"/>
        </w:rPr>
        <w:t>5</w:t>
      </w:r>
      <w:r>
        <w:rPr>
          <w:color w:val="auto"/>
        </w:rPr>
        <w:t>）《</w:t>
      </w:r>
      <w:bookmarkStart w:id="57" w:name="OLE_LINK26"/>
      <w:r>
        <w:rPr>
          <w:color w:val="auto"/>
        </w:rPr>
        <w:t>吐鲁番市生态环境保护</w:t>
      </w:r>
      <w:r>
        <w:rPr>
          <w:color w:val="auto"/>
        </w:rPr>
        <w:t>“</w:t>
      </w:r>
      <w:r>
        <w:rPr>
          <w:color w:val="auto"/>
        </w:rPr>
        <w:t>十四五</w:t>
      </w:r>
      <w:r>
        <w:rPr>
          <w:color w:val="auto"/>
        </w:rPr>
        <w:t>”</w:t>
      </w:r>
      <w:r>
        <w:rPr>
          <w:color w:val="auto"/>
        </w:rPr>
        <w:t>规划</w:t>
      </w:r>
      <w:bookmarkEnd w:id="57"/>
      <w:r>
        <w:rPr>
          <w:color w:val="auto"/>
        </w:rPr>
        <w:t>》；</w:t>
      </w:r>
    </w:p>
    <w:p w14:paraId="4916083E" w14:textId="77777777" w:rsidR="002E474C" w:rsidRDefault="00000000">
      <w:pPr>
        <w:pStyle w:val="A-z"/>
        <w:rPr>
          <w:color w:val="auto"/>
        </w:rPr>
      </w:pPr>
      <w:r>
        <w:rPr>
          <w:color w:val="auto"/>
        </w:rPr>
        <w:t>（</w:t>
      </w:r>
      <w:r>
        <w:rPr>
          <w:color w:val="auto"/>
        </w:rPr>
        <w:t>6</w:t>
      </w:r>
      <w:r>
        <w:rPr>
          <w:color w:val="auto"/>
        </w:rPr>
        <w:t>）《新疆维吾尔自治区主体功能区规划》；</w:t>
      </w:r>
    </w:p>
    <w:p w14:paraId="6D47125B" w14:textId="77777777" w:rsidR="002E474C" w:rsidRDefault="00000000">
      <w:pPr>
        <w:pStyle w:val="A-z"/>
        <w:rPr>
          <w:color w:val="auto"/>
        </w:rPr>
      </w:pPr>
      <w:r>
        <w:rPr>
          <w:color w:val="auto"/>
        </w:rPr>
        <w:t>（</w:t>
      </w:r>
      <w:r>
        <w:rPr>
          <w:color w:val="auto"/>
        </w:rPr>
        <w:t>7</w:t>
      </w:r>
      <w:r>
        <w:rPr>
          <w:color w:val="auto"/>
        </w:rPr>
        <w:t>）《新疆生态功能区划》；</w:t>
      </w:r>
    </w:p>
    <w:p w14:paraId="5A98131C" w14:textId="77777777" w:rsidR="002E474C" w:rsidRDefault="00000000">
      <w:pPr>
        <w:pStyle w:val="A-z"/>
        <w:rPr>
          <w:color w:val="auto"/>
        </w:rPr>
      </w:pPr>
      <w:r>
        <w:rPr>
          <w:color w:val="auto"/>
        </w:rPr>
        <w:t>（</w:t>
      </w:r>
      <w:r>
        <w:rPr>
          <w:color w:val="auto"/>
        </w:rPr>
        <w:t>8</w:t>
      </w:r>
      <w:r>
        <w:rPr>
          <w:color w:val="auto"/>
        </w:rPr>
        <w:t>）《托克逊能源重化工工业园区总体规划（</w:t>
      </w:r>
      <w:r>
        <w:rPr>
          <w:color w:val="auto"/>
        </w:rPr>
        <w:t>2023-2035</w:t>
      </w:r>
      <w:r>
        <w:rPr>
          <w:color w:val="auto"/>
        </w:rPr>
        <w:t>年）》；</w:t>
      </w:r>
    </w:p>
    <w:p w14:paraId="1722024D" w14:textId="77777777" w:rsidR="002E474C" w:rsidRDefault="00000000">
      <w:pPr>
        <w:pStyle w:val="A-z"/>
        <w:rPr>
          <w:color w:val="auto"/>
        </w:rPr>
      </w:pPr>
      <w:r>
        <w:rPr>
          <w:color w:val="auto"/>
        </w:rPr>
        <w:lastRenderedPageBreak/>
        <w:t>（</w:t>
      </w:r>
      <w:r>
        <w:rPr>
          <w:color w:val="auto"/>
        </w:rPr>
        <w:t>9</w:t>
      </w:r>
      <w:r>
        <w:rPr>
          <w:color w:val="auto"/>
        </w:rPr>
        <w:t>）《托克逊能源重化工工业园区化工产业集中区总体规划（</w:t>
      </w:r>
      <w:r>
        <w:rPr>
          <w:color w:val="auto"/>
        </w:rPr>
        <w:t>2023-2035</w:t>
      </w:r>
      <w:r>
        <w:rPr>
          <w:color w:val="auto"/>
        </w:rPr>
        <w:t>年）》；</w:t>
      </w:r>
    </w:p>
    <w:p w14:paraId="0EBEF162" w14:textId="77777777" w:rsidR="002E474C" w:rsidRDefault="00000000">
      <w:pPr>
        <w:pStyle w:val="A-z"/>
        <w:rPr>
          <w:color w:val="auto"/>
          <w:lang w:val="en-US"/>
        </w:rPr>
      </w:pPr>
      <w:r>
        <w:rPr>
          <w:color w:val="auto"/>
        </w:rPr>
        <w:t>（</w:t>
      </w:r>
      <w:r>
        <w:rPr>
          <w:color w:val="auto"/>
        </w:rPr>
        <w:t>10</w:t>
      </w:r>
      <w:r>
        <w:rPr>
          <w:color w:val="auto"/>
        </w:rPr>
        <w:t>）</w:t>
      </w:r>
      <w:r>
        <w:rPr>
          <w:color w:val="auto"/>
          <w:lang w:val="en-US"/>
        </w:rPr>
        <w:t>《</w:t>
      </w:r>
      <w:r>
        <w:rPr>
          <w:color w:val="auto"/>
          <w:lang w:val="en-US"/>
        </w:rPr>
        <w:t>“</w:t>
      </w:r>
      <w:r>
        <w:rPr>
          <w:color w:val="auto"/>
          <w:lang w:val="en-US"/>
        </w:rPr>
        <w:t>十四五</w:t>
      </w:r>
      <w:r>
        <w:rPr>
          <w:color w:val="auto"/>
          <w:lang w:val="en-US"/>
        </w:rPr>
        <w:t>”</w:t>
      </w:r>
      <w:r>
        <w:rPr>
          <w:color w:val="auto"/>
          <w:lang w:val="en-US"/>
        </w:rPr>
        <w:t>原材料工业发展规划》，工信部联规〔</w:t>
      </w:r>
      <w:r>
        <w:rPr>
          <w:color w:val="auto"/>
          <w:lang w:val="en-US"/>
        </w:rPr>
        <w:t>2021</w:t>
      </w:r>
      <w:r>
        <w:rPr>
          <w:color w:val="auto"/>
          <w:lang w:val="en-US"/>
        </w:rPr>
        <w:t>〕</w:t>
      </w:r>
      <w:r>
        <w:rPr>
          <w:color w:val="auto"/>
          <w:lang w:val="en-US"/>
        </w:rPr>
        <w:t>212</w:t>
      </w:r>
      <w:r>
        <w:rPr>
          <w:color w:val="auto"/>
          <w:lang w:val="en-US"/>
        </w:rPr>
        <w:t>号；</w:t>
      </w:r>
    </w:p>
    <w:p w14:paraId="4E3EF2ED" w14:textId="77777777" w:rsidR="002E474C" w:rsidRDefault="00000000">
      <w:pPr>
        <w:pStyle w:val="A-z"/>
        <w:rPr>
          <w:color w:val="auto"/>
          <w:lang w:val="en-US"/>
        </w:rPr>
      </w:pPr>
      <w:r>
        <w:rPr>
          <w:color w:val="auto"/>
          <w:lang w:val="en-US"/>
        </w:rPr>
        <w:t>（</w:t>
      </w:r>
      <w:r>
        <w:rPr>
          <w:color w:val="auto"/>
          <w:lang w:val="en-US"/>
        </w:rPr>
        <w:t>11</w:t>
      </w:r>
      <w:r>
        <w:rPr>
          <w:color w:val="auto"/>
          <w:lang w:val="en-US"/>
        </w:rPr>
        <w:t>）《</w:t>
      </w:r>
      <w:r>
        <w:rPr>
          <w:color w:val="auto"/>
          <w:lang w:val="en-US"/>
        </w:rPr>
        <w:t>“</w:t>
      </w:r>
      <w:r>
        <w:rPr>
          <w:color w:val="auto"/>
          <w:lang w:val="en-US"/>
        </w:rPr>
        <w:t>十四五</w:t>
      </w:r>
      <w:r>
        <w:rPr>
          <w:color w:val="auto"/>
          <w:lang w:val="en-US"/>
        </w:rPr>
        <w:t>”</w:t>
      </w:r>
      <w:r>
        <w:rPr>
          <w:color w:val="auto"/>
          <w:lang w:val="en-US"/>
        </w:rPr>
        <w:t>工业绿色发展规划》，工信部规〔</w:t>
      </w:r>
      <w:r>
        <w:rPr>
          <w:color w:val="auto"/>
          <w:lang w:val="en-US"/>
        </w:rPr>
        <w:t>2021</w:t>
      </w:r>
      <w:r>
        <w:rPr>
          <w:color w:val="auto"/>
          <w:lang w:val="en-US"/>
        </w:rPr>
        <w:t>〕</w:t>
      </w:r>
      <w:r>
        <w:rPr>
          <w:color w:val="auto"/>
          <w:lang w:val="en-US"/>
        </w:rPr>
        <w:t>178</w:t>
      </w:r>
      <w:r>
        <w:rPr>
          <w:color w:val="auto"/>
          <w:lang w:val="en-US"/>
        </w:rPr>
        <w:t>号；</w:t>
      </w:r>
    </w:p>
    <w:p w14:paraId="5FFA3C05" w14:textId="77777777" w:rsidR="002E474C" w:rsidRDefault="00000000">
      <w:pPr>
        <w:pStyle w:val="A-z"/>
        <w:rPr>
          <w:color w:val="auto"/>
        </w:rPr>
      </w:pPr>
      <w:r>
        <w:rPr>
          <w:color w:val="auto"/>
          <w:lang w:val="en-US"/>
        </w:rPr>
        <w:t>（</w:t>
      </w:r>
      <w:r>
        <w:rPr>
          <w:color w:val="auto"/>
          <w:lang w:val="en-US"/>
        </w:rPr>
        <w:t>12</w:t>
      </w:r>
      <w:r>
        <w:rPr>
          <w:color w:val="auto"/>
          <w:lang w:val="en-US"/>
        </w:rPr>
        <w:t>）《</w:t>
      </w:r>
      <w:r>
        <w:rPr>
          <w:color w:val="auto"/>
          <w:lang w:val="en-US"/>
        </w:rPr>
        <w:t>“</w:t>
      </w:r>
      <w:r>
        <w:rPr>
          <w:color w:val="auto"/>
          <w:lang w:val="en-US"/>
        </w:rPr>
        <w:t>十四五</w:t>
      </w:r>
      <w:r>
        <w:rPr>
          <w:color w:val="auto"/>
          <w:lang w:val="en-US"/>
        </w:rPr>
        <w:t>”</w:t>
      </w:r>
      <w:r>
        <w:rPr>
          <w:color w:val="auto"/>
          <w:lang w:val="en-US"/>
        </w:rPr>
        <w:t>循环经济发展规划》，发改环资〔</w:t>
      </w:r>
      <w:r>
        <w:rPr>
          <w:color w:val="auto"/>
          <w:lang w:val="en-US"/>
        </w:rPr>
        <w:t>2021</w:t>
      </w:r>
      <w:r>
        <w:rPr>
          <w:color w:val="auto"/>
          <w:lang w:val="en-US"/>
        </w:rPr>
        <w:t>〕</w:t>
      </w:r>
      <w:r>
        <w:rPr>
          <w:color w:val="auto"/>
          <w:lang w:val="en-US"/>
        </w:rPr>
        <w:t>969</w:t>
      </w:r>
      <w:r>
        <w:rPr>
          <w:color w:val="auto"/>
          <w:lang w:val="en-US"/>
        </w:rPr>
        <w:t>号</w:t>
      </w:r>
      <w:r>
        <w:rPr>
          <w:color w:val="auto"/>
        </w:rPr>
        <w:t>。</w:t>
      </w:r>
    </w:p>
    <w:p w14:paraId="1DDD886D" w14:textId="77777777" w:rsidR="002E474C" w:rsidRDefault="00000000">
      <w:pPr>
        <w:pStyle w:val="31"/>
        <w:spacing w:before="120" w:after="120"/>
        <w:rPr>
          <w:color w:val="auto"/>
        </w:rPr>
      </w:pPr>
      <w:r>
        <w:rPr>
          <w:color w:val="auto"/>
        </w:rPr>
        <w:t>技术导则及行业规范</w:t>
      </w:r>
    </w:p>
    <w:p w14:paraId="56C773B2" w14:textId="77777777" w:rsidR="002E474C" w:rsidRDefault="00000000">
      <w:pPr>
        <w:pStyle w:val="A-z"/>
        <w:rPr>
          <w:color w:val="auto"/>
        </w:rPr>
      </w:pPr>
      <w:r>
        <w:rPr>
          <w:color w:val="auto"/>
        </w:rPr>
        <w:t>（</w:t>
      </w:r>
      <w:r>
        <w:rPr>
          <w:color w:val="auto"/>
        </w:rPr>
        <w:t>1</w:t>
      </w:r>
      <w:r>
        <w:rPr>
          <w:color w:val="auto"/>
        </w:rPr>
        <w:t>）《建设项目环境影响评价技术导则</w:t>
      </w:r>
      <w:r>
        <w:rPr>
          <w:color w:val="auto"/>
        </w:rPr>
        <w:t xml:space="preserve"> </w:t>
      </w:r>
      <w:r>
        <w:rPr>
          <w:color w:val="auto"/>
        </w:rPr>
        <w:t>总纲》（</w:t>
      </w:r>
      <w:r>
        <w:rPr>
          <w:color w:val="auto"/>
        </w:rPr>
        <w:t>HJ2.1-2016</w:t>
      </w:r>
      <w:r>
        <w:rPr>
          <w:color w:val="auto"/>
        </w:rPr>
        <w:t>）；</w:t>
      </w:r>
    </w:p>
    <w:p w14:paraId="3CAE530C" w14:textId="77777777" w:rsidR="002E474C" w:rsidRDefault="00000000">
      <w:pPr>
        <w:pStyle w:val="A-z"/>
        <w:rPr>
          <w:color w:val="auto"/>
        </w:rPr>
      </w:pPr>
      <w:r>
        <w:rPr>
          <w:color w:val="auto"/>
        </w:rPr>
        <w:t>（</w:t>
      </w:r>
      <w:r>
        <w:rPr>
          <w:color w:val="auto"/>
        </w:rPr>
        <w:t>2</w:t>
      </w:r>
      <w:r>
        <w:rPr>
          <w:color w:val="auto"/>
        </w:rPr>
        <w:t>）《环境影响评价技术导则</w:t>
      </w:r>
      <w:r>
        <w:rPr>
          <w:color w:val="auto"/>
        </w:rPr>
        <w:t xml:space="preserve"> </w:t>
      </w:r>
      <w:r>
        <w:rPr>
          <w:color w:val="auto"/>
        </w:rPr>
        <w:t>大气环境》（</w:t>
      </w:r>
      <w:r>
        <w:rPr>
          <w:color w:val="auto"/>
        </w:rPr>
        <w:t>HJ2.2-2018</w:t>
      </w:r>
      <w:r>
        <w:rPr>
          <w:color w:val="auto"/>
        </w:rPr>
        <w:t>）；</w:t>
      </w:r>
    </w:p>
    <w:p w14:paraId="06B4D5F8" w14:textId="77777777" w:rsidR="002E474C" w:rsidRDefault="00000000">
      <w:pPr>
        <w:pStyle w:val="A-z"/>
        <w:rPr>
          <w:color w:val="auto"/>
        </w:rPr>
      </w:pPr>
      <w:r>
        <w:rPr>
          <w:color w:val="auto"/>
        </w:rPr>
        <w:t>（</w:t>
      </w:r>
      <w:r>
        <w:rPr>
          <w:color w:val="auto"/>
        </w:rPr>
        <w:t>3</w:t>
      </w:r>
      <w:r>
        <w:rPr>
          <w:color w:val="auto"/>
        </w:rPr>
        <w:t>）《环境影响评价技术导则</w:t>
      </w:r>
      <w:r>
        <w:rPr>
          <w:color w:val="auto"/>
        </w:rPr>
        <w:t xml:space="preserve"> </w:t>
      </w:r>
      <w:r>
        <w:rPr>
          <w:color w:val="auto"/>
        </w:rPr>
        <w:t>地表水环境》（</w:t>
      </w:r>
      <w:r>
        <w:rPr>
          <w:color w:val="auto"/>
        </w:rPr>
        <w:t>HJ2.3-2018</w:t>
      </w:r>
      <w:r>
        <w:rPr>
          <w:color w:val="auto"/>
        </w:rPr>
        <w:t>）；</w:t>
      </w:r>
    </w:p>
    <w:p w14:paraId="62814011" w14:textId="77777777" w:rsidR="002E474C" w:rsidRDefault="00000000">
      <w:pPr>
        <w:pStyle w:val="A-z"/>
        <w:rPr>
          <w:color w:val="auto"/>
        </w:rPr>
      </w:pPr>
      <w:r>
        <w:rPr>
          <w:color w:val="auto"/>
        </w:rPr>
        <w:t>（</w:t>
      </w:r>
      <w:r>
        <w:rPr>
          <w:color w:val="auto"/>
        </w:rPr>
        <w:t>4</w:t>
      </w:r>
      <w:r>
        <w:rPr>
          <w:color w:val="auto"/>
        </w:rPr>
        <w:t>）《环境影响评价技术导则</w:t>
      </w:r>
      <w:r>
        <w:rPr>
          <w:color w:val="auto"/>
        </w:rPr>
        <w:t xml:space="preserve"> </w:t>
      </w:r>
      <w:r>
        <w:rPr>
          <w:color w:val="auto"/>
        </w:rPr>
        <w:t>地下水环境》（</w:t>
      </w:r>
      <w:r>
        <w:rPr>
          <w:color w:val="auto"/>
        </w:rPr>
        <w:t>HJ610-2016</w:t>
      </w:r>
      <w:r>
        <w:rPr>
          <w:color w:val="auto"/>
        </w:rPr>
        <w:t>）；</w:t>
      </w:r>
    </w:p>
    <w:p w14:paraId="1383B621" w14:textId="77777777" w:rsidR="002E474C" w:rsidRDefault="00000000">
      <w:pPr>
        <w:pStyle w:val="A-z"/>
        <w:rPr>
          <w:color w:val="auto"/>
        </w:rPr>
      </w:pPr>
      <w:r>
        <w:rPr>
          <w:color w:val="auto"/>
        </w:rPr>
        <w:t>（</w:t>
      </w:r>
      <w:r>
        <w:rPr>
          <w:color w:val="auto"/>
        </w:rPr>
        <w:t>5</w:t>
      </w:r>
      <w:r>
        <w:rPr>
          <w:color w:val="auto"/>
        </w:rPr>
        <w:t>）《环境影响评价技术导则</w:t>
      </w:r>
      <w:r>
        <w:rPr>
          <w:color w:val="auto"/>
        </w:rPr>
        <w:t xml:space="preserve"> </w:t>
      </w:r>
      <w:r>
        <w:rPr>
          <w:color w:val="auto"/>
        </w:rPr>
        <w:t>声环境》（</w:t>
      </w:r>
      <w:r>
        <w:rPr>
          <w:color w:val="auto"/>
        </w:rPr>
        <w:t>HJ2.4-2021</w:t>
      </w:r>
      <w:r>
        <w:rPr>
          <w:color w:val="auto"/>
        </w:rPr>
        <w:t>）；</w:t>
      </w:r>
    </w:p>
    <w:p w14:paraId="3EEEBD52" w14:textId="77777777" w:rsidR="002E474C" w:rsidRDefault="00000000">
      <w:pPr>
        <w:pStyle w:val="A-z"/>
        <w:rPr>
          <w:color w:val="auto"/>
        </w:rPr>
      </w:pPr>
      <w:r>
        <w:rPr>
          <w:color w:val="auto"/>
        </w:rPr>
        <w:t>（</w:t>
      </w:r>
      <w:r>
        <w:rPr>
          <w:color w:val="auto"/>
        </w:rPr>
        <w:t>6</w:t>
      </w:r>
      <w:r>
        <w:rPr>
          <w:color w:val="auto"/>
        </w:rPr>
        <w:t>）《环境影响评价技术导则</w:t>
      </w:r>
      <w:r>
        <w:rPr>
          <w:color w:val="auto"/>
        </w:rPr>
        <w:t xml:space="preserve"> </w:t>
      </w:r>
      <w:r>
        <w:rPr>
          <w:color w:val="auto"/>
        </w:rPr>
        <w:t>生态影响》（</w:t>
      </w:r>
      <w:r>
        <w:rPr>
          <w:color w:val="auto"/>
        </w:rPr>
        <w:t>HJ19-2022</w:t>
      </w:r>
      <w:r>
        <w:rPr>
          <w:color w:val="auto"/>
        </w:rPr>
        <w:t>）；</w:t>
      </w:r>
    </w:p>
    <w:p w14:paraId="67E1C881" w14:textId="77777777" w:rsidR="002E474C" w:rsidRDefault="00000000">
      <w:pPr>
        <w:pStyle w:val="A-z"/>
        <w:rPr>
          <w:color w:val="auto"/>
        </w:rPr>
      </w:pPr>
      <w:r>
        <w:rPr>
          <w:color w:val="auto"/>
        </w:rPr>
        <w:t>（</w:t>
      </w:r>
      <w:r>
        <w:rPr>
          <w:color w:val="auto"/>
        </w:rPr>
        <w:t>7</w:t>
      </w:r>
      <w:r>
        <w:rPr>
          <w:color w:val="auto"/>
        </w:rPr>
        <w:t>）《环境影响评价技术导则</w:t>
      </w:r>
      <w:r>
        <w:rPr>
          <w:color w:val="auto"/>
        </w:rPr>
        <w:t xml:space="preserve"> </w:t>
      </w:r>
      <w:r>
        <w:rPr>
          <w:color w:val="auto"/>
        </w:rPr>
        <w:t>土壤环境（试行）》（</w:t>
      </w:r>
      <w:r>
        <w:rPr>
          <w:color w:val="auto"/>
        </w:rPr>
        <w:t>HJ964-2018</w:t>
      </w:r>
      <w:r>
        <w:rPr>
          <w:color w:val="auto"/>
        </w:rPr>
        <w:t>）；</w:t>
      </w:r>
    </w:p>
    <w:p w14:paraId="5BD5F546" w14:textId="77777777" w:rsidR="002E474C" w:rsidRDefault="00000000">
      <w:pPr>
        <w:pStyle w:val="A-z"/>
        <w:rPr>
          <w:color w:val="auto"/>
        </w:rPr>
      </w:pPr>
      <w:r>
        <w:rPr>
          <w:color w:val="auto"/>
        </w:rPr>
        <w:t>（</w:t>
      </w:r>
      <w:r>
        <w:rPr>
          <w:color w:val="auto"/>
        </w:rPr>
        <w:t>8</w:t>
      </w:r>
      <w:r>
        <w:rPr>
          <w:color w:val="auto"/>
        </w:rPr>
        <w:t>）《建设项目环境风险评价技术导则》（</w:t>
      </w:r>
      <w:r>
        <w:rPr>
          <w:color w:val="auto"/>
        </w:rPr>
        <w:t>HJ169-2018</w:t>
      </w:r>
      <w:r>
        <w:rPr>
          <w:color w:val="auto"/>
        </w:rPr>
        <w:t>）；</w:t>
      </w:r>
    </w:p>
    <w:p w14:paraId="3A2F544C" w14:textId="77777777" w:rsidR="002E474C" w:rsidRDefault="00000000">
      <w:pPr>
        <w:pStyle w:val="A-z"/>
        <w:rPr>
          <w:color w:val="auto"/>
        </w:rPr>
      </w:pPr>
      <w:r>
        <w:rPr>
          <w:color w:val="auto"/>
        </w:rPr>
        <w:t>（</w:t>
      </w:r>
      <w:r>
        <w:rPr>
          <w:color w:val="auto"/>
        </w:rPr>
        <w:t>9</w:t>
      </w:r>
      <w:r>
        <w:rPr>
          <w:color w:val="auto"/>
        </w:rPr>
        <w:t>）《固体废物处理处置工程技术导则》（</w:t>
      </w:r>
      <w:r>
        <w:rPr>
          <w:color w:val="auto"/>
        </w:rPr>
        <w:t>HJ2035-2013</w:t>
      </w:r>
      <w:r>
        <w:rPr>
          <w:color w:val="auto"/>
        </w:rPr>
        <w:t>）；</w:t>
      </w:r>
    </w:p>
    <w:p w14:paraId="44C1C798" w14:textId="77777777" w:rsidR="002E474C" w:rsidRDefault="00000000">
      <w:pPr>
        <w:pStyle w:val="A-z"/>
        <w:rPr>
          <w:color w:val="auto"/>
        </w:rPr>
      </w:pPr>
      <w:r>
        <w:rPr>
          <w:color w:val="auto"/>
        </w:rPr>
        <w:t>（</w:t>
      </w:r>
      <w:r>
        <w:rPr>
          <w:color w:val="auto"/>
        </w:rPr>
        <w:t>10</w:t>
      </w:r>
      <w:r>
        <w:rPr>
          <w:color w:val="auto"/>
        </w:rPr>
        <w:t>）《固体废物鉴别标准</w:t>
      </w:r>
      <w:r>
        <w:rPr>
          <w:color w:val="auto"/>
        </w:rPr>
        <w:t xml:space="preserve"> </w:t>
      </w:r>
      <w:r>
        <w:rPr>
          <w:color w:val="auto"/>
        </w:rPr>
        <w:t>通则》（</w:t>
      </w:r>
      <w:r>
        <w:rPr>
          <w:color w:val="auto"/>
        </w:rPr>
        <w:t>GB34330-2025</w:t>
      </w:r>
      <w:r>
        <w:rPr>
          <w:color w:val="auto"/>
        </w:rPr>
        <w:t>）；</w:t>
      </w:r>
    </w:p>
    <w:p w14:paraId="5912DFD8" w14:textId="77777777" w:rsidR="002E474C" w:rsidRDefault="00000000">
      <w:pPr>
        <w:pStyle w:val="A-z"/>
        <w:rPr>
          <w:color w:val="auto"/>
        </w:rPr>
      </w:pPr>
      <w:r>
        <w:rPr>
          <w:color w:val="auto"/>
        </w:rPr>
        <w:t>（</w:t>
      </w:r>
      <w:r>
        <w:rPr>
          <w:color w:val="auto"/>
        </w:rPr>
        <w:t>11</w:t>
      </w:r>
      <w:r>
        <w:rPr>
          <w:color w:val="auto"/>
        </w:rPr>
        <w:t>）《危险废物鉴别标准</w:t>
      </w:r>
      <w:r>
        <w:rPr>
          <w:color w:val="auto"/>
        </w:rPr>
        <w:t xml:space="preserve"> </w:t>
      </w:r>
      <w:r>
        <w:rPr>
          <w:color w:val="auto"/>
        </w:rPr>
        <w:t>通则》（</w:t>
      </w:r>
      <w:r>
        <w:rPr>
          <w:color w:val="auto"/>
        </w:rPr>
        <w:t>GB 5085.7-2019</w:t>
      </w:r>
      <w:r>
        <w:rPr>
          <w:color w:val="auto"/>
        </w:rPr>
        <w:t>）；</w:t>
      </w:r>
    </w:p>
    <w:p w14:paraId="44224234" w14:textId="77777777" w:rsidR="002E474C" w:rsidRDefault="00000000">
      <w:pPr>
        <w:pStyle w:val="A-z"/>
        <w:rPr>
          <w:color w:val="auto"/>
        </w:rPr>
      </w:pPr>
      <w:r>
        <w:rPr>
          <w:color w:val="auto"/>
        </w:rPr>
        <w:t>（</w:t>
      </w:r>
      <w:r>
        <w:rPr>
          <w:color w:val="auto"/>
        </w:rPr>
        <w:t>12</w:t>
      </w:r>
      <w:r>
        <w:rPr>
          <w:color w:val="auto"/>
        </w:rPr>
        <w:t>）《危险废物处置工程技术导则》（</w:t>
      </w:r>
      <w:r>
        <w:rPr>
          <w:color w:val="auto"/>
        </w:rPr>
        <w:t>HJ2042-2014</w:t>
      </w:r>
      <w:r>
        <w:rPr>
          <w:color w:val="auto"/>
        </w:rPr>
        <w:t>）；</w:t>
      </w:r>
    </w:p>
    <w:p w14:paraId="71528B78" w14:textId="77777777" w:rsidR="002E474C" w:rsidRDefault="00000000">
      <w:pPr>
        <w:pStyle w:val="A-z"/>
        <w:rPr>
          <w:color w:val="auto"/>
        </w:rPr>
      </w:pPr>
      <w:r>
        <w:rPr>
          <w:color w:val="auto"/>
        </w:rPr>
        <w:t>（</w:t>
      </w:r>
      <w:r>
        <w:rPr>
          <w:color w:val="auto"/>
        </w:rPr>
        <w:t>13</w:t>
      </w:r>
      <w:r>
        <w:rPr>
          <w:color w:val="auto"/>
        </w:rPr>
        <w:t>）《危险废物管理计划和管理台账制定技术导则》（</w:t>
      </w:r>
      <w:r>
        <w:rPr>
          <w:color w:val="auto"/>
        </w:rPr>
        <w:t>HJ 1259-2022</w:t>
      </w:r>
      <w:r>
        <w:rPr>
          <w:color w:val="auto"/>
        </w:rPr>
        <w:t>）；</w:t>
      </w:r>
    </w:p>
    <w:p w14:paraId="06BD7ED9" w14:textId="77777777" w:rsidR="002E474C" w:rsidRDefault="00000000">
      <w:pPr>
        <w:pStyle w:val="A-z"/>
        <w:rPr>
          <w:color w:val="auto"/>
        </w:rPr>
      </w:pPr>
      <w:r>
        <w:rPr>
          <w:color w:val="auto"/>
        </w:rPr>
        <w:t>（</w:t>
      </w:r>
      <w:r>
        <w:rPr>
          <w:color w:val="auto"/>
        </w:rPr>
        <w:t>14</w:t>
      </w:r>
      <w:r>
        <w:rPr>
          <w:color w:val="auto"/>
        </w:rPr>
        <w:t>）《危险废物收集</w:t>
      </w:r>
      <w:r>
        <w:rPr>
          <w:color w:val="auto"/>
          <w:lang w:val="en-US"/>
        </w:rPr>
        <w:t xml:space="preserve"> </w:t>
      </w:r>
      <w:r>
        <w:rPr>
          <w:color w:val="auto"/>
        </w:rPr>
        <w:t>贮存</w:t>
      </w:r>
      <w:r>
        <w:rPr>
          <w:color w:val="auto"/>
          <w:lang w:val="en-US"/>
        </w:rPr>
        <w:t xml:space="preserve"> </w:t>
      </w:r>
      <w:r>
        <w:rPr>
          <w:color w:val="auto"/>
        </w:rPr>
        <w:t>运输技术规范》（</w:t>
      </w:r>
      <w:r>
        <w:rPr>
          <w:color w:val="auto"/>
        </w:rPr>
        <w:t>HJ2025-2012</w:t>
      </w:r>
      <w:r>
        <w:rPr>
          <w:color w:val="auto"/>
        </w:rPr>
        <w:t>）；</w:t>
      </w:r>
    </w:p>
    <w:p w14:paraId="2EB7EEE0" w14:textId="77777777" w:rsidR="002E474C" w:rsidRDefault="00000000">
      <w:pPr>
        <w:pStyle w:val="A-z"/>
        <w:rPr>
          <w:color w:val="auto"/>
        </w:rPr>
      </w:pPr>
      <w:r>
        <w:rPr>
          <w:color w:val="auto"/>
        </w:rPr>
        <w:t>（</w:t>
      </w:r>
      <w:r>
        <w:rPr>
          <w:color w:val="auto"/>
        </w:rPr>
        <w:t>15</w:t>
      </w:r>
      <w:r>
        <w:rPr>
          <w:color w:val="auto"/>
        </w:rPr>
        <w:t>）《水泥窑协同处置固体废物环境保护技术规范》（</w:t>
      </w:r>
      <w:r>
        <w:rPr>
          <w:color w:val="auto"/>
        </w:rPr>
        <w:t>HJ662-2013</w:t>
      </w:r>
      <w:r>
        <w:rPr>
          <w:color w:val="auto"/>
        </w:rPr>
        <w:t>）；</w:t>
      </w:r>
    </w:p>
    <w:p w14:paraId="6153C903" w14:textId="77777777" w:rsidR="002E474C" w:rsidRDefault="00000000">
      <w:pPr>
        <w:pStyle w:val="A-z"/>
        <w:rPr>
          <w:color w:val="auto"/>
        </w:rPr>
      </w:pPr>
      <w:r>
        <w:rPr>
          <w:color w:val="auto"/>
        </w:rPr>
        <w:t>（</w:t>
      </w:r>
      <w:r>
        <w:rPr>
          <w:color w:val="auto"/>
        </w:rPr>
        <w:t>16</w:t>
      </w:r>
      <w:r>
        <w:rPr>
          <w:color w:val="auto"/>
        </w:rPr>
        <w:t>）《水泥窑协同处置固体废物污染控制标准》（</w:t>
      </w:r>
      <w:r>
        <w:rPr>
          <w:color w:val="auto"/>
        </w:rPr>
        <w:t>GB30485-2013</w:t>
      </w:r>
      <w:r>
        <w:rPr>
          <w:color w:val="auto"/>
        </w:rPr>
        <w:t>）；</w:t>
      </w:r>
    </w:p>
    <w:p w14:paraId="6653566C" w14:textId="77777777" w:rsidR="002E474C" w:rsidRDefault="00000000">
      <w:pPr>
        <w:pStyle w:val="A-z"/>
        <w:rPr>
          <w:color w:val="auto"/>
        </w:rPr>
      </w:pPr>
      <w:r>
        <w:rPr>
          <w:color w:val="auto"/>
        </w:rPr>
        <w:t>（</w:t>
      </w:r>
      <w:r>
        <w:rPr>
          <w:color w:val="auto"/>
        </w:rPr>
        <w:t>17</w:t>
      </w:r>
      <w:r>
        <w:rPr>
          <w:color w:val="auto"/>
        </w:rPr>
        <w:t>）《水泥窑协同处置固体废物技术规范》（</w:t>
      </w:r>
      <w:r>
        <w:rPr>
          <w:color w:val="auto"/>
        </w:rPr>
        <w:t>GB/T30760-2024</w:t>
      </w:r>
      <w:r>
        <w:rPr>
          <w:color w:val="auto"/>
        </w:rPr>
        <w:t>）；</w:t>
      </w:r>
    </w:p>
    <w:p w14:paraId="26276160" w14:textId="77777777" w:rsidR="002E474C" w:rsidRDefault="00000000">
      <w:pPr>
        <w:pStyle w:val="A-z"/>
        <w:rPr>
          <w:color w:val="auto"/>
        </w:rPr>
      </w:pPr>
      <w:r>
        <w:rPr>
          <w:color w:val="auto"/>
        </w:rPr>
        <w:t>（</w:t>
      </w:r>
      <w:r>
        <w:rPr>
          <w:color w:val="auto"/>
        </w:rPr>
        <w:t>18</w:t>
      </w:r>
      <w:r>
        <w:rPr>
          <w:color w:val="auto"/>
        </w:rPr>
        <w:t>）《危险废物贮存污染控制标准》（</w:t>
      </w:r>
      <w:r>
        <w:rPr>
          <w:color w:val="auto"/>
        </w:rPr>
        <w:t>GB18597-2023</w:t>
      </w:r>
      <w:r>
        <w:rPr>
          <w:color w:val="auto"/>
        </w:rPr>
        <w:t>）；</w:t>
      </w:r>
    </w:p>
    <w:p w14:paraId="4FCF682E" w14:textId="77777777" w:rsidR="002E474C" w:rsidRDefault="00000000">
      <w:pPr>
        <w:pStyle w:val="A-z"/>
        <w:rPr>
          <w:color w:val="auto"/>
        </w:rPr>
      </w:pPr>
      <w:r>
        <w:rPr>
          <w:color w:val="auto"/>
        </w:rPr>
        <w:t>（</w:t>
      </w:r>
      <w:r>
        <w:rPr>
          <w:color w:val="auto"/>
        </w:rPr>
        <w:t>19</w:t>
      </w:r>
      <w:r>
        <w:rPr>
          <w:color w:val="auto"/>
        </w:rPr>
        <w:t>）《水泥窑协同处置固体废物环境保护技术规范》（</w:t>
      </w:r>
      <w:r>
        <w:rPr>
          <w:color w:val="auto"/>
        </w:rPr>
        <w:t>HJ662-2013</w:t>
      </w:r>
      <w:r>
        <w:rPr>
          <w:color w:val="auto"/>
        </w:rPr>
        <w:t>）；</w:t>
      </w:r>
    </w:p>
    <w:p w14:paraId="62DC916A" w14:textId="77777777" w:rsidR="002E474C" w:rsidRDefault="00000000">
      <w:pPr>
        <w:pStyle w:val="A-z"/>
        <w:rPr>
          <w:color w:val="auto"/>
        </w:rPr>
      </w:pPr>
      <w:r>
        <w:rPr>
          <w:color w:val="auto"/>
        </w:rPr>
        <w:t>（</w:t>
      </w:r>
      <w:r>
        <w:rPr>
          <w:color w:val="auto"/>
        </w:rPr>
        <w:t>20</w:t>
      </w:r>
      <w:r>
        <w:rPr>
          <w:color w:val="auto"/>
        </w:rPr>
        <w:t>）《排污许可证申请与核发技术规范</w:t>
      </w:r>
      <w:r>
        <w:rPr>
          <w:color w:val="auto"/>
        </w:rPr>
        <w:t xml:space="preserve"> </w:t>
      </w:r>
      <w:r>
        <w:rPr>
          <w:color w:val="auto"/>
        </w:rPr>
        <w:t>水泥工业》（</w:t>
      </w:r>
      <w:r>
        <w:rPr>
          <w:color w:val="auto"/>
        </w:rPr>
        <w:t>HJ 847-2017</w:t>
      </w:r>
      <w:r>
        <w:rPr>
          <w:color w:val="auto"/>
        </w:rPr>
        <w:t>）；</w:t>
      </w:r>
    </w:p>
    <w:p w14:paraId="42C36E24" w14:textId="77777777" w:rsidR="002E474C" w:rsidRDefault="00000000">
      <w:pPr>
        <w:pStyle w:val="A-z"/>
        <w:rPr>
          <w:color w:val="auto"/>
        </w:rPr>
      </w:pPr>
      <w:r>
        <w:rPr>
          <w:color w:val="auto"/>
        </w:rPr>
        <w:t>（</w:t>
      </w:r>
      <w:r>
        <w:rPr>
          <w:color w:val="auto"/>
        </w:rPr>
        <w:t>21</w:t>
      </w:r>
      <w:r>
        <w:rPr>
          <w:color w:val="auto"/>
        </w:rPr>
        <w:t>）《排污单位自行监测技术指南</w:t>
      </w:r>
      <w:r>
        <w:rPr>
          <w:color w:val="auto"/>
        </w:rPr>
        <w:t xml:space="preserve"> </w:t>
      </w:r>
      <w:r>
        <w:rPr>
          <w:color w:val="auto"/>
        </w:rPr>
        <w:t>水泥工业》（</w:t>
      </w:r>
      <w:r>
        <w:rPr>
          <w:color w:val="auto"/>
        </w:rPr>
        <w:t>HJ 848-2017</w:t>
      </w:r>
      <w:r>
        <w:rPr>
          <w:color w:val="auto"/>
        </w:rPr>
        <w:t>）；</w:t>
      </w:r>
    </w:p>
    <w:p w14:paraId="5E6544BA" w14:textId="77777777" w:rsidR="002E474C" w:rsidRDefault="00000000">
      <w:pPr>
        <w:pStyle w:val="A-z"/>
        <w:rPr>
          <w:color w:val="auto"/>
        </w:rPr>
      </w:pPr>
      <w:r>
        <w:rPr>
          <w:color w:val="auto"/>
        </w:rPr>
        <w:t>（</w:t>
      </w:r>
      <w:r>
        <w:rPr>
          <w:color w:val="auto"/>
        </w:rPr>
        <w:t>22</w:t>
      </w:r>
      <w:r>
        <w:rPr>
          <w:color w:val="auto"/>
        </w:rPr>
        <w:t>）《污染源源强核算技术指南</w:t>
      </w:r>
      <w:r>
        <w:rPr>
          <w:color w:val="auto"/>
        </w:rPr>
        <w:t xml:space="preserve"> </w:t>
      </w:r>
      <w:r>
        <w:rPr>
          <w:color w:val="auto"/>
        </w:rPr>
        <w:t>水泥工业》（</w:t>
      </w:r>
      <w:r>
        <w:rPr>
          <w:color w:val="auto"/>
        </w:rPr>
        <w:t>HJ886-2018</w:t>
      </w:r>
      <w:r>
        <w:rPr>
          <w:color w:val="auto"/>
        </w:rPr>
        <w:t>）；</w:t>
      </w:r>
    </w:p>
    <w:p w14:paraId="6E0A71C1" w14:textId="77777777" w:rsidR="002E474C" w:rsidRDefault="00000000">
      <w:pPr>
        <w:pStyle w:val="A-z"/>
        <w:rPr>
          <w:color w:val="auto"/>
        </w:rPr>
      </w:pPr>
      <w:r>
        <w:rPr>
          <w:color w:val="auto"/>
        </w:rPr>
        <w:t>（</w:t>
      </w:r>
      <w:r>
        <w:rPr>
          <w:color w:val="auto"/>
        </w:rPr>
        <w:t>23</w:t>
      </w:r>
      <w:r>
        <w:rPr>
          <w:color w:val="auto"/>
        </w:rPr>
        <w:t>）《排污单位自行监测技术指南</w:t>
      </w:r>
      <w:r>
        <w:rPr>
          <w:color w:val="auto"/>
        </w:rPr>
        <w:t xml:space="preserve"> </w:t>
      </w:r>
      <w:r>
        <w:rPr>
          <w:color w:val="auto"/>
        </w:rPr>
        <w:t>总则》（</w:t>
      </w:r>
      <w:r>
        <w:rPr>
          <w:color w:val="auto"/>
        </w:rPr>
        <w:t>HJ819-2017</w:t>
      </w:r>
      <w:r>
        <w:rPr>
          <w:color w:val="auto"/>
        </w:rPr>
        <w:t>）；</w:t>
      </w:r>
    </w:p>
    <w:p w14:paraId="21BADF51" w14:textId="77777777" w:rsidR="002E474C" w:rsidRDefault="00000000">
      <w:pPr>
        <w:pStyle w:val="A-z"/>
        <w:rPr>
          <w:color w:val="auto"/>
        </w:rPr>
      </w:pPr>
      <w:r>
        <w:rPr>
          <w:color w:val="auto"/>
        </w:rPr>
        <w:t>（</w:t>
      </w:r>
      <w:r>
        <w:rPr>
          <w:color w:val="auto"/>
        </w:rPr>
        <w:t>24</w:t>
      </w:r>
      <w:r>
        <w:rPr>
          <w:color w:val="auto"/>
        </w:rPr>
        <w:t>）《地下水环境监测技术规范》（</w:t>
      </w:r>
      <w:r>
        <w:rPr>
          <w:color w:val="auto"/>
        </w:rPr>
        <w:t>HJ 164-2020</w:t>
      </w:r>
      <w:r>
        <w:rPr>
          <w:color w:val="auto"/>
        </w:rPr>
        <w:t>）；</w:t>
      </w:r>
    </w:p>
    <w:p w14:paraId="1915F6FA" w14:textId="77777777" w:rsidR="002E474C" w:rsidRDefault="00000000">
      <w:pPr>
        <w:pStyle w:val="A-z"/>
        <w:rPr>
          <w:color w:val="auto"/>
          <w:lang w:val="en-US"/>
        </w:rPr>
      </w:pPr>
      <w:r>
        <w:rPr>
          <w:color w:val="auto"/>
          <w:lang w:val="en-US"/>
        </w:rPr>
        <w:lastRenderedPageBreak/>
        <w:t>（</w:t>
      </w:r>
      <w:r>
        <w:rPr>
          <w:color w:val="auto"/>
          <w:lang w:val="en-US"/>
        </w:rPr>
        <w:t>25</w:t>
      </w:r>
      <w:r>
        <w:rPr>
          <w:color w:val="auto"/>
          <w:lang w:val="en-US"/>
        </w:rPr>
        <w:t>）《大气污染治理工程技术导则》（</w:t>
      </w:r>
      <w:r>
        <w:rPr>
          <w:color w:val="auto"/>
          <w:lang w:val="en-US"/>
        </w:rPr>
        <w:t>HJ 2000-2010</w:t>
      </w:r>
      <w:r>
        <w:rPr>
          <w:color w:val="auto"/>
          <w:lang w:val="en-US"/>
        </w:rPr>
        <w:t>）；</w:t>
      </w:r>
    </w:p>
    <w:p w14:paraId="7AB09268" w14:textId="77777777" w:rsidR="002E474C" w:rsidRDefault="00000000">
      <w:pPr>
        <w:pStyle w:val="A-z"/>
        <w:rPr>
          <w:color w:val="auto"/>
          <w:lang w:val="en-US"/>
        </w:rPr>
      </w:pPr>
      <w:r>
        <w:rPr>
          <w:color w:val="auto"/>
          <w:lang w:val="en-US"/>
        </w:rPr>
        <w:t>（</w:t>
      </w:r>
      <w:r>
        <w:rPr>
          <w:color w:val="auto"/>
          <w:lang w:val="en-US"/>
        </w:rPr>
        <w:t>26</w:t>
      </w:r>
      <w:r>
        <w:rPr>
          <w:color w:val="auto"/>
          <w:lang w:val="en-US"/>
        </w:rPr>
        <w:t>）《生态环境健康风险评估技术指南</w:t>
      </w:r>
      <w:r>
        <w:rPr>
          <w:color w:val="auto"/>
          <w:lang w:val="en-US"/>
        </w:rPr>
        <w:t xml:space="preserve"> </w:t>
      </w:r>
      <w:r>
        <w:rPr>
          <w:color w:val="auto"/>
          <w:lang w:val="en-US"/>
        </w:rPr>
        <w:t>总纲》（</w:t>
      </w:r>
      <w:r>
        <w:rPr>
          <w:color w:val="auto"/>
          <w:lang w:val="en-US"/>
        </w:rPr>
        <w:t>HJ 1111-2020</w:t>
      </w:r>
      <w:r>
        <w:rPr>
          <w:color w:val="auto"/>
          <w:lang w:val="en-US"/>
        </w:rPr>
        <w:t>）；</w:t>
      </w:r>
    </w:p>
    <w:p w14:paraId="62EDABD2" w14:textId="77777777" w:rsidR="002E474C" w:rsidRDefault="00000000">
      <w:pPr>
        <w:pStyle w:val="A-z"/>
        <w:rPr>
          <w:color w:val="auto"/>
          <w:lang w:val="en-US"/>
        </w:rPr>
      </w:pPr>
      <w:r>
        <w:rPr>
          <w:color w:val="auto"/>
          <w:lang w:val="en-US"/>
        </w:rPr>
        <w:t>（</w:t>
      </w:r>
      <w:r>
        <w:rPr>
          <w:color w:val="auto"/>
          <w:lang w:val="en-US"/>
        </w:rPr>
        <w:t>27</w:t>
      </w:r>
      <w:r>
        <w:rPr>
          <w:color w:val="auto"/>
          <w:lang w:val="en-US"/>
        </w:rPr>
        <w:t>）《排污单位环境管理台账及排污许可证执行报告技术规范</w:t>
      </w:r>
      <w:r>
        <w:rPr>
          <w:color w:val="auto"/>
          <w:lang w:val="en-US"/>
        </w:rPr>
        <w:t xml:space="preserve"> </w:t>
      </w:r>
      <w:r>
        <w:rPr>
          <w:color w:val="auto"/>
          <w:lang w:val="en-US"/>
        </w:rPr>
        <w:t>总则（试行）》（</w:t>
      </w:r>
      <w:r>
        <w:rPr>
          <w:color w:val="auto"/>
          <w:lang w:val="en-US"/>
        </w:rPr>
        <w:t>HJ 944-2018</w:t>
      </w:r>
      <w:r>
        <w:rPr>
          <w:color w:val="auto"/>
          <w:lang w:val="en-US"/>
        </w:rPr>
        <w:t>）；</w:t>
      </w:r>
    </w:p>
    <w:p w14:paraId="52E583DC" w14:textId="77777777" w:rsidR="002E474C" w:rsidRDefault="00000000">
      <w:pPr>
        <w:pStyle w:val="A-z"/>
        <w:rPr>
          <w:color w:val="auto"/>
          <w:lang w:val="en-US"/>
        </w:rPr>
      </w:pPr>
      <w:r>
        <w:rPr>
          <w:color w:val="auto"/>
          <w:lang w:val="en-US"/>
        </w:rPr>
        <w:t>（</w:t>
      </w:r>
      <w:r>
        <w:rPr>
          <w:color w:val="auto"/>
          <w:lang w:val="en-US"/>
        </w:rPr>
        <w:t>28</w:t>
      </w:r>
      <w:r>
        <w:rPr>
          <w:color w:val="auto"/>
          <w:lang w:val="en-US"/>
        </w:rPr>
        <w:t>）《污染源源强核算技术指南</w:t>
      </w:r>
      <w:r>
        <w:rPr>
          <w:color w:val="auto"/>
          <w:lang w:val="en-US"/>
        </w:rPr>
        <w:t xml:space="preserve"> </w:t>
      </w:r>
      <w:r>
        <w:rPr>
          <w:color w:val="auto"/>
          <w:lang w:val="en-US"/>
        </w:rPr>
        <w:t>准则》（</w:t>
      </w:r>
      <w:r>
        <w:rPr>
          <w:color w:val="auto"/>
          <w:lang w:val="en-US"/>
        </w:rPr>
        <w:t>HJ 884-2018</w:t>
      </w:r>
      <w:r>
        <w:rPr>
          <w:color w:val="auto"/>
          <w:lang w:val="en-US"/>
        </w:rPr>
        <w:t>）；</w:t>
      </w:r>
    </w:p>
    <w:p w14:paraId="4A007054" w14:textId="77777777" w:rsidR="002E474C" w:rsidRDefault="00000000">
      <w:pPr>
        <w:pStyle w:val="A-z"/>
        <w:rPr>
          <w:color w:val="auto"/>
          <w:lang w:val="en-US"/>
        </w:rPr>
      </w:pPr>
      <w:r>
        <w:rPr>
          <w:color w:val="auto"/>
          <w:lang w:val="en-US"/>
        </w:rPr>
        <w:t>（</w:t>
      </w:r>
      <w:r>
        <w:rPr>
          <w:color w:val="auto"/>
          <w:lang w:val="en-US"/>
        </w:rPr>
        <w:t>29</w:t>
      </w:r>
      <w:r>
        <w:rPr>
          <w:color w:val="auto"/>
          <w:lang w:val="en-US"/>
        </w:rPr>
        <w:t>）《排污许可证申请与核发技术规范</w:t>
      </w:r>
      <w:r>
        <w:rPr>
          <w:color w:val="auto"/>
          <w:lang w:val="en-US"/>
        </w:rPr>
        <w:t xml:space="preserve"> </w:t>
      </w:r>
      <w:r>
        <w:rPr>
          <w:color w:val="auto"/>
          <w:lang w:val="en-US"/>
        </w:rPr>
        <w:t>危险废物焚烧》（</w:t>
      </w:r>
      <w:r>
        <w:rPr>
          <w:color w:val="auto"/>
          <w:lang w:val="en-US"/>
        </w:rPr>
        <w:t>HJ 1038-2019</w:t>
      </w:r>
      <w:r>
        <w:rPr>
          <w:color w:val="auto"/>
          <w:lang w:val="en-US"/>
        </w:rPr>
        <w:t>）；</w:t>
      </w:r>
    </w:p>
    <w:p w14:paraId="0DE22574" w14:textId="77777777" w:rsidR="002E474C" w:rsidRDefault="00000000">
      <w:pPr>
        <w:pStyle w:val="A-z"/>
        <w:rPr>
          <w:color w:val="auto"/>
          <w:lang w:val="en-US"/>
        </w:rPr>
      </w:pPr>
      <w:r>
        <w:rPr>
          <w:color w:val="auto"/>
          <w:lang w:val="en-US"/>
        </w:rPr>
        <w:t>（</w:t>
      </w:r>
      <w:r>
        <w:rPr>
          <w:color w:val="auto"/>
          <w:lang w:val="en-US"/>
        </w:rPr>
        <w:t>30</w:t>
      </w:r>
      <w:r>
        <w:rPr>
          <w:color w:val="auto"/>
          <w:lang w:val="en-US"/>
        </w:rPr>
        <w:t>）《排污单位自行监测技术规范</w:t>
      </w:r>
      <w:r>
        <w:rPr>
          <w:color w:val="auto"/>
          <w:lang w:val="en-US"/>
        </w:rPr>
        <w:t xml:space="preserve"> </w:t>
      </w:r>
      <w:r>
        <w:rPr>
          <w:color w:val="auto"/>
          <w:lang w:val="en-US"/>
        </w:rPr>
        <w:t>工业固体废物和危险废物治理》（</w:t>
      </w:r>
      <w:r>
        <w:rPr>
          <w:color w:val="auto"/>
          <w:lang w:val="en-US"/>
        </w:rPr>
        <w:t>HJ 1250-2022</w:t>
      </w:r>
      <w:r>
        <w:rPr>
          <w:color w:val="auto"/>
          <w:lang w:val="en-US"/>
        </w:rPr>
        <w:t>）；</w:t>
      </w:r>
    </w:p>
    <w:p w14:paraId="37C38BF0" w14:textId="77777777" w:rsidR="002E474C" w:rsidRDefault="00000000">
      <w:pPr>
        <w:pStyle w:val="A-z"/>
        <w:rPr>
          <w:color w:val="auto"/>
          <w:lang w:val="en-US"/>
        </w:rPr>
      </w:pPr>
      <w:r>
        <w:rPr>
          <w:color w:val="auto"/>
          <w:lang w:val="en-US"/>
        </w:rPr>
        <w:t>（</w:t>
      </w:r>
      <w:r>
        <w:rPr>
          <w:color w:val="auto"/>
          <w:lang w:val="en-US"/>
        </w:rPr>
        <w:t>31</w:t>
      </w:r>
      <w:r>
        <w:rPr>
          <w:color w:val="auto"/>
          <w:lang w:val="en-US"/>
        </w:rPr>
        <w:t>）</w:t>
      </w:r>
      <w:r>
        <w:rPr>
          <w:color w:val="auto"/>
        </w:rPr>
        <w:t>《工业企业土壤和地下水自行监测技术指南（试行）》（</w:t>
      </w:r>
      <w:r>
        <w:rPr>
          <w:color w:val="auto"/>
        </w:rPr>
        <w:t>HJ 1209-2021</w:t>
      </w:r>
      <w:r>
        <w:rPr>
          <w:color w:val="auto"/>
        </w:rPr>
        <w:t>）；</w:t>
      </w:r>
    </w:p>
    <w:p w14:paraId="63DC43E3" w14:textId="77777777" w:rsidR="002E474C" w:rsidRDefault="00000000">
      <w:pPr>
        <w:pStyle w:val="A-z"/>
        <w:rPr>
          <w:color w:val="auto"/>
        </w:rPr>
      </w:pPr>
      <w:r>
        <w:rPr>
          <w:color w:val="auto"/>
          <w:lang w:val="en-US"/>
        </w:rPr>
        <w:t>（</w:t>
      </w:r>
      <w:r>
        <w:rPr>
          <w:color w:val="auto"/>
          <w:lang w:val="en-US"/>
        </w:rPr>
        <w:t>32</w:t>
      </w:r>
      <w:r>
        <w:rPr>
          <w:color w:val="auto"/>
          <w:lang w:val="en-US"/>
        </w:rPr>
        <w:t>）《危险废物鉴别技术规范》（</w:t>
      </w:r>
      <w:r>
        <w:rPr>
          <w:color w:val="auto"/>
          <w:lang w:val="en-US"/>
        </w:rPr>
        <w:t>HJ 298-2019</w:t>
      </w:r>
      <w:r>
        <w:rPr>
          <w:color w:val="auto"/>
          <w:lang w:val="en-US"/>
        </w:rPr>
        <w:t>）；</w:t>
      </w:r>
    </w:p>
    <w:p w14:paraId="1425432B" w14:textId="77777777" w:rsidR="002E474C" w:rsidRDefault="00000000">
      <w:pPr>
        <w:pStyle w:val="A-z"/>
        <w:rPr>
          <w:color w:val="auto"/>
        </w:rPr>
      </w:pPr>
      <w:r>
        <w:rPr>
          <w:color w:val="auto"/>
        </w:rPr>
        <w:t>（</w:t>
      </w:r>
      <w:r>
        <w:rPr>
          <w:color w:val="auto"/>
        </w:rPr>
        <w:t>33</w:t>
      </w:r>
      <w:r>
        <w:rPr>
          <w:color w:val="auto"/>
        </w:rPr>
        <w:t>）《土壤环境监测技术规范》（</w:t>
      </w:r>
      <w:r>
        <w:rPr>
          <w:color w:val="auto"/>
        </w:rPr>
        <w:t>HJ/T 166 -2026</w:t>
      </w:r>
      <w:r>
        <w:rPr>
          <w:color w:val="auto"/>
        </w:rPr>
        <w:t>）；</w:t>
      </w:r>
    </w:p>
    <w:p w14:paraId="1B7A82E4" w14:textId="77777777" w:rsidR="002E474C" w:rsidRDefault="00000000">
      <w:pPr>
        <w:pStyle w:val="A-z"/>
        <w:rPr>
          <w:color w:val="auto"/>
        </w:rPr>
      </w:pPr>
      <w:r>
        <w:rPr>
          <w:color w:val="auto"/>
        </w:rPr>
        <w:t>（</w:t>
      </w:r>
      <w:r>
        <w:rPr>
          <w:color w:val="auto"/>
        </w:rPr>
        <w:t>3</w:t>
      </w:r>
      <w:r>
        <w:rPr>
          <w:rFonts w:hint="eastAsia"/>
          <w:color w:val="auto"/>
          <w:lang w:val="en-US"/>
        </w:rPr>
        <w:t>4</w:t>
      </w:r>
      <w:r>
        <w:rPr>
          <w:color w:val="auto"/>
        </w:rPr>
        <w:t>）《危险废物识别标志设置技术规范》（</w:t>
      </w:r>
      <w:r>
        <w:rPr>
          <w:color w:val="auto"/>
        </w:rPr>
        <w:t>HJ 1276-2022</w:t>
      </w:r>
      <w:r>
        <w:rPr>
          <w:color w:val="auto"/>
        </w:rPr>
        <w:t>）；</w:t>
      </w:r>
    </w:p>
    <w:p w14:paraId="45FC2BC9" w14:textId="77777777" w:rsidR="002E474C" w:rsidRDefault="00000000">
      <w:pPr>
        <w:pStyle w:val="A-z"/>
        <w:rPr>
          <w:color w:val="auto"/>
        </w:rPr>
      </w:pPr>
      <w:r>
        <w:rPr>
          <w:color w:val="auto"/>
        </w:rPr>
        <w:t>（</w:t>
      </w:r>
      <w:r>
        <w:rPr>
          <w:color w:val="auto"/>
        </w:rPr>
        <w:t>3</w:t>
      </w:r>
      <w:r>
        <w:rPr>
          <w:rFonts w:hint="eastAsia"/>
          <w:color w:val="auto"/>
          <w:lang w:val="en-US"/>
        </w:rPr>
        <w:t>5</w:t>
      </w:r>
      <w:r>
        <w:rPr>
          <w:color w:val="auto"/>
        </w:rPr>
        <w:t>）《危险废物环境管理视频监控设置规范》（</w:t>
      </w:r>
      <w:r>
        <w:rPr>
          <w:color w:val="auto"/>
        </w:rPr>
        <w:t>DB65/T 4805-2024</w:t>
      </w:r>
      <w:r>
        <w:rPr>
          <w:color w:val="auto"/>
        </w:rPr>
        <w:t>）；</w:t>
      </w:r>
    </w:p>
    <w:p w14:paraId="76289861" w14:textId="77777777" w:rsidR="002E474C" w:rsidRDefault="00000000">
      <w:pPr>
        <w:pStyle w:val="A-z"/>
        <w:rPr>
          <w:color w:val="auto"/>
        </w:rPr>
      </w:pPr>
      <w:r>
        <w:rPr>
          <w:color w:val="auto"/>
        </w:rPr>
        <w:t>（</w:t>
      </w:r>
      <w:r>
        <w:rPr>
          <w:color w:val="auto"/>
        </w:rPr>
        <w:t>3</w:t>
      </w:r>
      <w:r>
        <w:rPr>
          <w:rFonts w:hint="eastAsia"/>
          <w:color w:val="auto"/>
          <w:lang w:val="en-US"/>
        </w:rPr>
        <w:t>6</w:t>
      </w:r>
      <w:r>
        <w:rPr>
          <w:color w:val="auto"/>
        </w:rPr>
        <w:t>）《新型干法水泥生产成套装备技术要求</w:t>
      </w:r>
      <w:r>
        <w:rPr>
          <w:color w:val="auto"/>
        </w:rPr>
        <w:t xml:space="preserve"> </w:t>
      </w:r>
      <w:r>
        <w:rPr>
          <w:color w:val="auto"/>
        </w:rPr>
        <w:t>第</w:t>
      </w:r>
      <w:r>
        <w:rPr>
          <w:color w:val="auto"/>
        </w:rPr>
        <w:t>4</w:t>
      </w:r>
      <w:r>
        <w:rPr>
          <w:color w:val="auto"/>
        </w:rPr>
        <w:t>部分：水泥窑协同处置系统》（</w:t>
      </w:r>
      <w:r>
        <w:rPr>
          <w:color w:val="auto"/>
        </w:rPr>
        <w:t>GB/T 35150.4-2024</w:t>
      </w:r>
      <w:r>
        <w:rPr>
          <w:color w:val="auto"/>
        </w:rPr>
        <w:t>）；</w:t>
      </w:r>
    </w:p>
    <w:p w14:paraId="0E6AC3B1" w14:textId="77777777" w:rsidR="002E474C" w:rsidRDefault="00000000">
      <w:pPr>
        <w:pStyle w:val="A-z"/>
        <w:rPr>
          <w:color w:val="auto"/>
        </w:rPr>
      </w:pPr>
      <w:r>
        <w:rPr>
          <w:color w:val="auto"/>
        </w:rPr>
        <w:t>（</w:t>
      </w:r>
      <w:r>
        <w:rPr>
          <w:color w:val="auto"/>
        </w:rPr>
        <w:t>3</w:t>
      </w:r>
      <w:r>
        <w:rPr>
          <w:rFonts w:hint="eastAsia"/>
          <w:color w:val="auto"/>
          <w:lang w:val="en-US"/>
        </w:rPr>
        <w:t>7</w:t>
      </w:r>
      <w:r>
        <w:rPr>
          <w:color w:val="auto"/>
        </w:rPr>
        <w:t>）《危险化学品重大危险源辨识》（</w:t>
      </w:r>
      <w:r>
        <w:rPr>
          <w:color w:val="auto"/>
        </w:rPr>
        <w:t>GB18218-2018</w:t>
      </w:r>
      <w:r>
        <w:rPr>
          <w:color w:val="auto"/>
        </w:rPr>
        <w:t>）；</w:t>
      </w:r>
    </w:p>
    <w:p w14:paraId="30E219EB" w14:textId="77777777" w:rsidR="002E474C" w:rsidRDefault="00000000">
      <w:pPr>
        <w:pStyle w:val="A-z"/>
        <w:rPr>
          <w:color w:val="auto"/>
        </w:rPr>
      </w:pPr>
      <w:r>
        <w:rPr>
          <w:color w:val="auto"/>
        </w:rPr>
        <w:t>（</w:t>
      </w:r>
      <w:r>
        <w:rPr>
          <w:color w:val="auto"/>
        </w:rPr>
        <w:t>3</w:t>
      </w:r>
      <w:r>
        <w:rPr>
          <w:rFonts w:hint="eastAsia"/>
          <w:color w:val="auto"/>
          <w:lang w:val="en-US"/>
        </w:rPr>
        <w:t>8</w:t>
      </w:r>
      <w:r>
        <w:rPr>
          <w:color w:val="auto"/>
        </w:rPr>
        <w:t>）《大气有害物质无组织排放卫生防护距离推导技术导则》（</w:t>
      </w:r>
      <w:r>
        <w:rPr>
          <w:color w:val="auto"/>
        </w:rPr>
        <w:t>GB/T39499-2020</w:t>
      </w:r>
      <w:r>
        <w:rPr>
          <w:color w:val="auto"/>
        </w:rPr>
        <w:t>）。</w:t>
      </w:r>
    </w:p>
    <w:p w14:paraId="6D09242F" w14:textId="77777777" w:rsidR="002E474C" w:rsidRDefault="00000000">
      <w:pPr>
        <w:pStyle w:val="31"/>
        <w:spacing w:before="120" w:after="120"/>
        <w:rPr>
          <w:color w:val="auto"/>
        </w:rPr>
      </w:pPr>
      <w:r>
        <w:rPr>
          <w:color w:val="auto"/>
        </w:rPr>
        <w:t>项目相关资料</w:t>
      </w:r>
    </w:p>
    <w:p w14:paraId="12BE1AC9" w14:textId="77777777" w:rsidR="002E474C" w:rsidRDefault="00000000">
      <w:pPr>
        <w:pStyle w:val="A-z"/>
        <w:rPr>
          <w:color w:val="auto"/>
        </w:rPr>
      </w:pPr>
      <w:r>
        <w:rPr>
          <w:color w:val="auto"/>
        </w:rPr>
        <w:t>（</w:t>
      </w:r>
      <w:r>
        <w:rPr>
          <w:color w:val="auto"/>
        </w:rPr>
        <w:t>1</w:t>
      </w:r>
      <w:r>
        <w:rPr>
          <w:color w:val="auto"/>
        </w:rPr>
        <w:t>）环评委托书；</w:t>
      </w:r>
    </w:p>
    <w:p w14:paraId="2216404D" w14:textId="77777777" w:rsidR="002E474C" w:rsidRDefault="00000000">
      <w:pPr>
        <w:pStyle w:val="A-z"/>
        <w:rPr>
          <w:color w:val="auto"/>
        </w:rPr>
      </w:pPr>
      <w:r>
        <w:rPr>
          <w:color w:val="auto"/>
        </w:rPr>
        <w:t>（</w:t>
      </w:r>
      <w:r>
        <w:rPr>
          <w:color w:val="auto"/>
        </w:rPr>
        <w:t>2</w:t>
      </w:r>
      <w:r>
        <w:rPr>
          <w:color w:val="auto"/>
        </w:rPr>
        <w:t>）《新疆圣雄能源股份有限公司废渣综合利用配套</w:t>
      </w:r>
      <w:r>
        <w:rPr>
          <w:color w:val="auto"/>
        </w:rPr>
        <w:t>5000</w:t>
      </w:r>
      <w:r>
        <w:rPr>
          <w:color w:val="auto"/>
        </w:rPr>
        <w:t>吨</w:t>
      </w:r>
      <w:r>
        <w:rPr>
          <w:color w:val="auto"/>
        </w:rPr>
        <w:t>/</w:t>
      </w:r>
      <w:r>
        <w:rPr>
          <w:color w:val="auto"/>
        </w:rPr>
        <w:t>日熟料新型干法水泥项目环境影响报告书》（新疆建材环境评价部与新疆化工设计研究院，</w:t>
      </w:r>
      <w:r>
        <w:rPr>
          <w:color w:val="auto"/>
        </w:rPr>
        <w:t>2012.12</w:t>
      </w:r>
      <w:r>
        <w:rPr>
          <w:color w:val="auto"/>
        </w:rPr>
        <w:t>）；</w:t>
      </w:r>
    </w:p>
    <w:p w14:paraId="4AAD950D" w14:textId="77777777" w:rsidR="002E474C" w:rsidRDefault="00000000">
      <w:pPr>
        <w:pStyle w:val="A-z"/>
        <w:rPr>
          <w:color w:val="auto"/>
        </w:rPr>
      </w:pPr>
      <w:r>
        <w:rPr>
          <w:color w:val="auto"/>
        </w:rPr>
        <w:t>（</w:t>
      </w:r>
      <w:r>
        <w:rPr>
          <w:color w:val="auto"/>
        </w:rPr>
        <w:t>3</w:t>
      </w:r>
      <w:r>
        <w:rPr>
          <w:color w:val="auto"/>
        </w:rPr>
        <w:t>）《关于新疆圣雄能源股份有限公司废渣综合利用配套</w:t>
      </w:r>
      <w:r>
        <w:rPr>
          <w:color w:val="auto"/>
        </w:rPr>
        <w:t>5000</w:t>
      </w:r>
      <w:r>
        <w:rPr>
          <w:color w:val="auto"/>
        </w:rPr>
        <w:t>吨</w:t>
      </w:r>
      <w:r>
        <w:rPr>
          <w:color w:val="auto"/>
        </w:rPr>
        <w:t>/</w:t>
      </w:r>
      <w:r>
        <w:rPr>
          <w:color w:val="auto"/>
        </w:rPr>
        <w:t>日熟料新型干法水泥项目环境影响报告书的批复》（新环评价函〔</w:t>
      </w:r>
      <w:r>
        <w:rPr>
          <w:color w:val="auto"/>
        </w:rPr>
        <w:t>2012</w:t>
      </w:r>
      <w:r>
        <w:rPr>
          <w:color w:val="auto"/>
        </w:rPr>
        <w:t>〕</w:t>
      </w:r>
      <w:r>
        <w:rPr>
          <w:color w:val="auto"/>
        </w:rPr>
        <w:t>1292</w:t>
      </w:r>
      <w:r>
        <w:rPr>
          <w:color w:val="auto"/>
        </w:rPr>
        <w:t>号）；</w:t>
      </w:r>
    </w:p>
    <w:p w14:paraId="003BEDB7" w14:textId="77777777" w:rsidR="002E474C" w:rsidRDefault="00000000">
      <w:pPr>
        <w:pStyle w:val="A-z"/>
        <w:rPr>
          <w:color w:val="auto"/>
        </w:rPr>
      </w:pPr>
      <w:r>
        <w:rPr>
          <w:color w:val="auto"/>
        </w:rPr>
        <w:t>（</w:t>
      </w:r>
      <w:r>
        <w:rPr>
          <w:color w:val="auto"/>
        </w:rPr>
        <w:t>4</w:t>
      </w:r>
      <w:r>
        <w:rPr>
          <w:color w:val="auto"/>
        </w:rPr>
        <w:t>）《新疆圣雄能源股份有限公司废渣综合利用配套</w:t>
      </w:r>
      <w:r>
        <w:rPr>
          <w:color w:val="auto"/>
        </w:rPr>
        <w:t>5000</w:t>
      </w:r>
      <w:r>
        <w:rPr>
          <w:color w:val="auto"/>
        </w:rPr>
        <w:t>吨</w:t>
      </w:r>
      <w:r>
        <w:rPr>
          <w:color w:val="auto"/>
        </w:rPr>
        <w:t>/</w:t>
      </w:r>
      <w:r>
        <w:rPr>
          <w:color w:val="auto"/>
        </w:rPr>
        <w:t>日熟料新型干法水泥项目竣工环境保护验收监测报告》（新环验〔</w:t>
      </w:r>
      <w:r>
        <w:rPr>
          <w:color w:val="auto"/>
        </w:rPr>
        <w:t>2013-HJY-119</w:t>
      </w:r>
      <w:r>
        <w:rPr>
          <w:color w:val="auto"/>
        </w:rPr>
        <w:t>〕，新疆维吾尔自治区环境监测总站，</w:t>
      </w:r>
      <w:r>
        <w:rPr>
          <w:color w:val="auto"/>
        </w:rPr>
        <w:t>2014.6</w:t>
      </w:r>
      <w:r>
        <w:rPr>
          <w:color w:val="auto"/>
        </w:rPr>
        <w:t>）；</w:t>
      </w:r>
    </w:p>
    <w:p w14:paraId="161B3EBB" w14:textId="77777777" w:rsidR="002E474C" w:rsidRDefault="00000000">
      <w:pPr>
        <w:pStyle w:val="A-z"/>
        <w:rPr>
          <w:color w:val="auto"/>
        </w:rPr>
      </w:pPr>
      <w:r>
        <w:rPr>
          <w:color w:val="auto"/>
        </w:rPr>
        <w:t>（</w:t>
      </w:r>
      <w:r>
        <w:rPr>
          <w:color w:val="auto"/>
        </w:rPr>
        <w:t>5</w:t>
      </w:r>
      <w:r>
        <w:rPr>
          <w:color w:val="auto"/>
        </w:rPr>
        <w:t>）《关于新疆圣雄能源股份有限公司废渣综合利用配套</w:t>
      </w:r>
      <w:r>
        <w:rPr>
          <w:color w:val="auto"/>
        </w:rPr>
        <w:t>5000</w:t>
      </w:r>
      <w:r>
        <w:rPr>
          <w:color w:val="auto"/>
        </w:rPr>
        <w:t>吨</w:t>
      </w:r>
      <w:r>
        <w:rPr>
          <w:color w:val="auto"/>
        </w:rPr>
        <w:t>/</w:t>
      </w:r>
      <w:r>
        <w:rPr>
          <w:color w:val="auto"/>
        </w:rPr>
        <w:t>日熟料新</w:t>
      </w:r>
      <w:r>
        <w:rPr>
          <w:color w:val="auto"/>
        </w:rPr>
        <w:lastRenderedPageBreak/>
        <w:t>型干法水泥项目竣工环境保护验收意见的函》（新环函〔</w:t>
      </w:r>
      <w:r>
        <w:rPr>
          <w:color w:val="auto"/>
        </w:rPr>
        <w:t>2014</w:t>
      </w:r>
      <w:r>
        <w:rPr>
          <w:color w:val="auto"/>
        </w:rPr>
        <w:t>〕</w:t>
      </w:r>
      <w:r>
        <w:rPr>
          <w:color w:val="auto"/>
        </w:rPr>
        <w:t>1458</w:t>
      </w:r>
      <w:r>
        <w:rPr>
          <w:color w:val="auto"/>
        </w:rPr>
        <w:t>号）；</w:t>
      </w:r>
    </w:p>
    <w:p w14:paraId="2E4236B8" w14:textId="77777777" w:rsidR="002E474C" w:rsidRDefault="00000000">
      <w:pPr>
        <w:pStyle w:val="A-z"/>
        <w:rPr>
          <w:color w:val="auto"/>
        </w:rPr>
      </w:pPr>
      <w:r>
        <w:rPr>
          <w:color w:val="auto"/>
        </w:rPr>
        <w:t>（</w:t>
      </w:r>
      <w:r>
        <w:rPr>
          <w:color w:val="auto"/>
        </w:rPr>
        <w:t>6</w:t>
      </w:r>
      <w:r>
        <w:rPr>
          <w:color w:val="auto"/>
        </w:rPr>
        <w:t>）《</w:t>
      </w:r>
      <w:r>
        <w:rPr>
          <w:color w:val="auto"/>
          <w:lang w:val="en-US"/>
        </w:rPr>
        <w:t>中建合资公司利用新疆中建西部建设水泥制造有限公司水泥窑协同处置危险废物项目</w:t>
      </w:r>
      <w:r>
        <w:rPr>
          <w:color w:val="auto"/>
        </w:rPr>
        <w:t>环境影响报告书》（乌鲁木齐湘永丽景环保科技有限公司，</w:t>
      </w:r>
      <w:r>
        <w:rPr>
          <w:color w:val="auto"/>
        </w:rPr>
        <w:t>2020.12</w:t>
      </w:r>
      <w:r>
        <w:rPr>
          <w:color w:val="auto"/>
        </w:rPr>
        <w:t>）；</w:t>
      </w:r>
    </w:p>
    <w:p w14:paraId="3D3A0E30" w14:textId="77777777" w:rsidR="002E474C" w:rsidRDefault="00000000">
      <w:pPr>
        <w:pStyle w:val="A-z"/>
        <w:rPr>
          <w:color w:val="auto"/>
        </w:rPr>
      </w:pPr>
      <w:r>
        <w:rPr>
          <w:color w:val="auto"/>
        </w:rPr>
        <w:t>（</w:t>
      </w:r>
      <w:r>
        <w:rPr>
          <w:color w:val="auto"/>
        </w:rPr>
        <w:t>7</w:t>
      </w:r>
      <w:r>
        <w:rPr>
          <w:color w:val="auto"/>
        </w:rPr>
        <w:t>）《关于</w:t>
      </w:r>
      <w:r>
        <w:rPr>
          <w:color w:val="auto"/>
          <w:lang w:val="en-US"/>
        </w:rPr>
        <w:t>中建合资公司利用新疆中建西部建设水泥制造有限公司水泥窑协同处置危险废物项目</w:t>
      </w:r>
      <w:r>
        <w:rPr>
          <w:color w:val="auto"/>
        </w:rPr>
        <w:t>环境影响报告书的批复》（新环审〔</w:t>
      </w:r>
      <w:r>
        <w:rPr>
          <w:color w:val="auto"/>
        </w:rPr>
        <w:t>2020</w:t>
      </w:r>
      <w:r>
        <w:rPr>
          <w:color w:val="auto"/>
        </w:rPr>
        <w:t>〕</w:t>
      </w:r>
      <w:r>
        <w:rPr>
          <w:color w:val="auto"/>
        </w:rPr>
        <w:t>237</w:t>
      </w:r>
      <w:r>
        <w:rPr>
          <w:color w:val="auto"/>
        </w:rPr>
        <w:t>号）；</w:t>
      </w:r>
    </w:p>
    <w:p w14:paraId="773F0F37" w14:textId="77777777" w:rsidR="002E474C" w:rsidRDefault="00000000">
      <w:pPr>
        <w:pStyle w:val="A-z"/>
        <w:rPr>
          <w:color w:val="auto"/>
        </w:rPr>
      </w:pPr>
      <w:r>
        <w:rPr>
          <w:color w:val="auto"/>
        </w:rPr>
        <w:t>（</w:t>
      </w:r>
      <w:r>
        <w:rPr>
          <w:color w:val="auto"/>
        </w:rPr>
        <w:t>8</w:t>
      </w:r>
      <w:r>
        <w:rPr>
          <w:color w:val="auto"/>
        </w:rPr>
        <w:t>）《</w:t>
      </w:r>
      <w:r>
        <w:rPr>
          <w:color w:val="auto"/>
          <w:lang w:val="en-US"/>
        </w:rPr>
        <w:t>中建合资公司利用新疆中建西部建设水泥制造有限公司水泥窑协同处置危险废物项目</w:t>
      </w:r>
      <w:r>
        <w:rPr>
          <w:color w:val="auto"/>
        </w:rPr>
        <w:t>竣工环境保护验收监测报告》（新疆绿环共创环保科技有限公司，</w:t>
      </w:r>
      <w:r>
        <w:rPr>
          <w:color w:val="auto"/>
        </w:rPr>
        <w:t>2023.8</w:t>
      </w:r>
      <w:r>
        <w:rPr>
          <w:color w:val="auto"/>
        </w:rPr>
        <w:t>）；</w:t>
      </w:r>
    </w:p>
    <w:p w14:paraId="4937B1A2" w14:textId="77777777" w:rsidR="002E474C" w:rsidRDefault="00000000">
      <w:pPr>
        <w:pStyle w:val="A-z"/>
        <w:rPr>
          <w:color w:val="auto"/>
        </w:rPr>
      </w:pPr>
      <w:r>
        <w:rPr>
          <w:color w:val="auto"/>
        </w:rPr>
        <w:t>（</w:t>
      </w:r>
      <w:r>
        <w:rPr>
          <w:color w:val="auto"/>
        </w:rPr>
        <w:t>9</w:t>
      </w:r>
      <w:r>
        <w:rPr>
          <w:color w:val="auto"/>
        </w:rPr>
        <w:t>）《</w:t>
      </w:r>
      <w:r>
        <w:rPr>
          <w:color w:val="auto"/>
          <w:lang w:val="en-US"/>
        </w:rPr>
        <w:t>中建合资公司利用新疆中建西部建设水泥制造有限公司水泥窑协同处置危险废物项目</w:t>
      </w:r>
      <w:r>
        <w:rPr>
          <w:color w:val="auto"/>
        </w:rPr>
        <w:t>竣工环境保护验收意见》（新疆中建环能北庭环保科技有限公司，</w:t>
      </w:r>
      <w:r>
        <w:rPr>
          <w:color w:val="auto"/>
        </w:rPr>
        <w:t>2023.8</w:t>
      </w:r>
      <w:r>
        <w:rPr>
          <w:color w:val="auto"/>
        </w:rPr>
        <w:t>）；</w:t>
      </w:r>
    </w:p>
    <w:p w14:paraId="78A6690B" w14:textId="77777777" w:rsidR="002E474C" w:rsidRDefault="00000000">
      <w:pPr>
        <w:pStyle w:val="A-z"/>
        <w:rPr>
          <w:color w:val="auto"/>
        </w:rPr>
      </w:pPr>
      <w:r>
        <w:rPr>
          <w:color w:val="auto"/>
        </w:rPr>
        <w:t>（</w:t>
      </w:r>
      <w:r>
        <w:rPr>
          <w:color w:val="auto"/>
        </w:rPr>
        <w:t>10</w:t>
      </w:r>
      <w:r>
        <w:rPr>
          <w:color w:val="auto"/>
        </w:rPr>
        <w:t>）《新疆圣雄能源股份有限公司水泥窑协同处置危险废物项目建议书》（</w:t>
      </w:r>
      <w:bookmarkStart w:id="58" w:name="_Toc27340"/>
      <w:bookmarkStart w:id="59" w:name="_Toc23041"/>
      <w:r>
        <w:rPr>
          <w:color w:val="auto"/>
          <w:lang w:val="en-US"/>
        </w:rPr>
        <w:t>新疆中建环能北庭环保科技有限公司</w:t>
      </w:r>
      <w:bookmarkEnd w:id="58"/>
      <w:bookmarkEnd w:id="59"/>
      <w:r>
        <w:rPr>
          <w:color w:val="auto"/>
          <w:lang w:val="en-US"/>
        </w:rPr>
        <w:t>，</w:t>
      </w:r>
      <w:r>
        <w:rPr>
          <w:color w:val="auto"/>
          <w:lang w:val="en-US"/>
        </w:rPr>
        <w:t>2025.12</w:t>
      </w:r>
      <w:r>
        <w:rPr>
          <w:color w:val="auto"/>
        </w:rPr>
        <w:t>）；</w:t>
      </w:r>
    </w:p>
    <w:p w14:paraId="2318B8FE" w14:textId="77777777" w:rsidR="002E474C" w:rsidRDefault="00000000">
      <w:pPr>
        <w:pStyle w:val="A-z"/>
        <w:rPr>
          <w:color w:val="auto"/>
        </w:rPr>
      </w:pPr>
      <w:r>
        <w:rPr>
          <w:color w:val="auto"/>
        </w:rPr>
        <w:t>（</w:t>
      </w:r>
      <w:r>
        <w:rPr>
          <w:color w:val="auto"/>
        </w:rPr>
        <w:t>11</w:t>
      </w:r>
      <w:r>
        <w:rPr>
          <w:color w:val="auto"/>
        </w:rPr>
        <w:t>）环境质量检测报告；</w:t>
      </w:r>
    </w:p>
    <w:p w14:paraId="067DB4A1" w14:textId="77777777" w:rsidR="002E474C" w:rsidRDefault="00000000">
      <w:pPr>
        <w:pStyle w:val="A-z"/>
        <w:rPr>
          <w:color w:val="auto"/>
          <w:spacing w:val="-4"/>
        </w:rPr>
      </w:pPr>
      <w:r>
        <w:rPr>
          <w:color w:val="auto"/>
        </w:rPr>
        <w:t>（</w:t>
      </w:r>
      <w:r>
        <w:rPr>
          <w:color w:val="auto"/>
        </w:rPr>
        <w:t>12</w:t>
      </w:r>
      <w:r>
        <w:rPr>
          <w:color w:val="auto"/>
        </w:rPr>
        <w:t>）建设单位提供的与本项目有关的其他资料。</w:t>
      </w:r>
    </w:p>
    <w:p w14:paraId="1F873B7D" w14:textId="77777777" w:rsidR="002E474C" w:rsidRDefault="00000000">
      <w:pPr>
        <w:pStyle w:val="21"/>
        <w:spacing w:before="240" w:after="240"/>
        <w:rPr>
          <w:color w:val="auto"/>
          <w:lang w:val="zh-CN"/>
        </w:rPr>
      </w:pPr>
      <w:bookmarkStart w:id="60" w:name="_Toc18956"/>
      <w:bookmarkStart w:id="61" w:name="_Toc225848846"/>
      <w:r>
        <w:rPr>
          <w:color w:val="auto"/>
          <w:lang w:val="zh-CN"/>
        </w:rPr>
        <w:t>环境影响因素识别及评价因子筛选</w:t>
      </w:r>
      <w:bookmarkEnd w:id="60"/>
      <w:bookmarkEnd w:id="61"/>
    </w:p>
    <w:p w14:paraId="2201EA53" w14:textId="77777777" w:rsidR="002E474C" w:rsidRDefault="00000000">
      <w:pPr>
        <w:pStyle w:val="31"/>
        <w:spacing w:before="120" w:after="120"/>
        <w:rPr>
          <w:color w:val="auto"/>
        </w:rPr>
      </w:pPr>
      <w:r>
        <w:rPr>
          <w:color w:val="auto"/>
        </w:rPr>
        <w:t>环境影响因素识别</w:t>
      </w:r>
    </w:p>
    <w:p w14:paraId="3E8749AB" w14:textId="77777777" w:rsidR="002E474C" w:rsidRDefault="00000000">
      <w:pPr>
        <w:pStyle w:val="A-z"/>
        <w:rPr>
          <w:color w:val="auto"/>
        </w:rPr>
      </w:pPr>
      <w:r>
        <w:rPr>
          <w:color w:val="auto"/>
        </w:rPr>
        <w:t>施工期对环境的影响主要是废气（车辆运输废气、施工扬尘等），噪声（施工作业噪声）、废水（施工人员生活废水、施工废水等）和固体废物（建筑垃圾等），施工期将对周围环境产生一定的影响，通过相关措施的控制及管理，其影响是暂时的、可消除的。</w:t>
      </w:r>
    </w:p>
    <w:p w14:paraId="672204F4" w14:textId="77777777" w:rsidR="002E474C" w:rsidRDefault="00000000">
      <w:pPr>
        <w:pStyle w:val="A-z"/>
        <w:rPr>
          <w:color w:val="auto"/>
        </w:rPr>
      </w:pPr>
      <w:r>
        <w:rPr>
          <w:color w:val="auto"/>
        </w:rPr>
        <w:t>生产运营期环境影响因素主要包括装置运行期间产生的废气、废水、噪声、固体废物等对区域内各环境要素（环境空气、地下水、声环境、土壤环境等）产生不同程度的影响，且影响贯穿于整个生产期。</w:t>
      </w:r>
    </w:p>
    <w:p w14:paraId="1F24EAB2" w14:textId="77777777" w:rsidR="002E474C" w:rsidRDefault="00000000">
      <w:pPr>
        <w:pStyle w:val="A-z"/>
        <w:rPr>
          <w:color w:val="auto"/>
        </w:rPr>
      </w:pPr>
      <w:r>
        <w:rPr>
          <w:color w:val="auto"/>
        </w:rPr>
        <w:t>在对建设项目现场勘查的基础上，依据该项目周边的环境状况和项目生产情况，对建设项目各阶段环境影响要素进行筛选。</w:t>
      </w:r>
    </w:p>
    <w:p w14:paraId="664C7146" w14:textId="77777777" w:rsidR="002E474C" w:rsidRDefault="00000000">
      <w:pPr>
        <w:pStyle w:val="A-z"/>
        <w:rPr>
          <w:color w:val="auto"/>
        </w:rPr>
      </w:pPr>
      <w:r>
        <w:rPr>
          <w:color w:val="auto"/>
        </w:rPr>
        <w:t>本次主要识别项目施工期和运营期的各种行为与可能受影响的环境要素间的作用效应关系、影响性质、影响范围、影响程度等，见表</w:t>
      </w:r>
      <w:r>
        <w:rPr>
          <w:color w:val="auto"/>
        </w:rPr>
        <w:t>2.3</w:t>
      </w:r>
      <w:r>
        <w:rPr>
          <w:color w:val="auto"/>
        </w:rPr>
        <w:noBreakHyphen/>
        <w:t>1</w:t>
      </w:r>
      <w:r>
        <w:rPr>
          <w:color w:val="auto"/>
        </w:rPr>
        <w:t>。</w:t>
      </w:r>
    </w:p>
    <w:p w14:paraId="1DA276A1" w14:textId="77777777" w:rsidR="002E474C" w:rsidRDefault="00000000">
      <w:pPr>
        <w:pStyle w:val="A--"/>
        <w:rPr>
          <w:color w:val="auto"/>
        </w:rPr>
      </w:pPr>
      <w:bookmarkStart w:id="62" w:name="_Ref111288929"/>
      <w:r>
        <w:rPr>
          <w:color w:val="auto"/>
        </w:rPr>
        <w:lastRenderedPageBreak/>
        <w:t>表</w:t>
      </w:r>
      <w:r>
        <w:rPr>
          <w:color w:val="auto"/>
        </w:rPr>
        <w:t>2.3</w:t>
      </w:r>
      <w:r>
        <w:rPr>
          <w:color w:val="auto"/>
        </w:rPr>
        <w:noBreakHyphen/>
        <w:t>1</w:t>
      </w:r>
      <w:bookmarkEnd w:id="62"/>
      <w:r>
        <w:rPr>
          <w:color w:val="auto"/>
        </w:rPr>
        <w:t xml:space="preserve">  </w:t>
      </w:r>
      <w:r>
        <w:rPr>
          <w:color w:val="auto"/>
        </w:rPr>
        <w:t>主要环境影响识别矩阵</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67"/>
        <w:gridCol w:w="1613"/>
        <w:gridCol w:w="593"/>
        <w:gridCol w:w="592"/>
        <w:gridCol w:w="592"/>
        <w:gridCol w:w="592"/>
        <w:gridCol w:w="592"/>
        <w:gridCol w:w="592"/>
        <w:gridCol w:w="592"/>
        <w:gridCol w:w="602"/>
        <w:gridCol w:w="592"/>
        <w:gridCol w:w="592"/>
        <w:gridCol w:w="597"/>
      </w:tblGrid>
      <w:tr w:rsidR="002E474C" w14:paraId="60A650BE" w14:textId="77777777">
        <w:trPr>
          <w:cantSplit/>
          <w:tblHeader/>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7CADBD0D" w14:textId="77777777" w:rsidR="002E474C" w:rsidRDefault="00000000">
            <w:pPr>
              <w:pStyle w:val="affffffffffff2"/>
              <w:rPr>
                <w:color w:val="auto"/>
              </w:rPr>
            </w:pPr>
            <w:r>
              <w:rPr>
                <w:color w:val="auto"/>
              </w:rPr>
              <w:t>时段</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303A8F43" w14:textId="77777777" w:rsidR="002E474C" w:rsidRDefault="00000000">
            <w:pPr>
              <w:pStyle w:val="affffffffffff2"/>
              <w:rPr>
                <w:color w:val="auto"/>
              </w:rPr>
            </w:pPr>
            <w:r>
              <w:rPr>
                <w:color w:val="auto"/>
              </w:rPr>
              <w:t>环境因子</w:t>
            </w:r>
          </w:p>
        </w:tc>
        <w:tc>
          <w:tcPr>
            <w:tcW w:w="4625" w:type="dxa"/>
            <w:gridSpan w:val="8"/>
            <w:tcBorders>
              <w:top w:val="single" w:sz="4" w:space="0" w:color="auto"/>
              <w:left w:val="single" w:sz="4" w:space="0" w:color="auto"/>
              <w:bottom w:val="single" w:sz="4" w:space="0" w:color="auto"/>
              <w:right w:val="single" w:sz="4" w:space="0" w:color="auto"/>
            </w:tcBorders>
            <w:vAlign w:val="center"/>
          </w:tcPr>
          <w:p w14:paraId="5196DAC6" w14:textId="77777777" w:rsidR="002E474C" w:rsidRDefault="00000000">
            <w:pPr>
              <w:pStyle w:val="affffffffffff2"/>
              <w:rPr>
                <w:color w:val="auto"/>
              </w:rPr>
            </w:pPr>
            <w:r>
              <w:rPr>
                <w:color w:val="auto"/>
              </w:rPr>
              <w:t>影响性质</w:t>
            </w:r>
          </w:p>
        </w:tc>
        <w:tc>
          <w:tcPr>
            <w:tcW w:w="1735" w:type="dxa"/>
            <w:gridSpan w:val="3"/>
            <w:tcBorders>
              <w:top w:val="single" w:sz="4" w:space="0" w:color="auto"/>
              <w:left w:val="single" w:sz="4" w:space="0" w:color="auto"/>
              <w:bottom w:val="single" w:sz="4" w:space="0" w:color="auto"/>
              <w:right w:val="single" w:sz="4" w:space="0" w:color="auto"/>
            </w:tcBorders>
            <w:vAlign w:val="center"/>
          </w:tcPr>
          <w:p w14:paraId="2353CB2D" w14:textId="77777777" w:rsidR="002E474C" w:rsidRDefault="00000000">
            <w:pPr>
              <w:pStyle w:val="affffffffffff2"/>
              <w:rPr>
                <w:color w:val="auto"/>
              </w:rPr>
            </w:pPr>
            <w:r>
              <w:rPr>
                <w:color w:val="auto"/>
              </w:rPr>
              <w:t>影响程度</w:t>
            </w:r>
          </w:p>
        </w:tc>
      </w:tr>
      <w:tr w:rsidR="002E474C" w14:paraId="1B541F82" w14:textId="77777777">
        <w:trPr>
          <w:cantSplit/>
          <w:tblHeader/>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774693B" w14:textId="77777777" w:rsidR="002E474C" w:rsidRDefault="002E474C">
            <w:pPr>
              <w:pStyle w:val="affffffffffff2"/>
              <w:rPr>
                <w:color w:val="auto"/>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77F5DEF6"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E777E1A" w14:textId="77777777" w:rsidR="002E474C" w:rsidRDefault="00000000">
            <w:pPr>
              <w:pStyle w:val="affffffffffff2"/>
              <w:rPr>
                <w:color w:val="auto"/>
              </w:rPr>
            </w:pPr>
            <w:r>
              <w:rPr>
                <w:color w:val="auto"/>
              </w:rPr>
              <w:t>正面</w:t>
            </w:r>
          </w:p>
        </w:tc>
        <w:tc>
          <w:tcPr>
            <w:tcW w:w="577" w:type="dxa"/>
            <w:tcBorders>
              <w:top w:val="single" w:sz="4" w:space="0" w:color="auto"/>
              <w:left w:val="single" w:sz="4" w:space="0" w:color="auto"/>
              <w:bottom w:val="single" w:sz="4" w:space="0" w:color="auto"/>
              <w:right w:val="single" w:sz="4" w:space="0" w:color="auto"/>
            </w:tcBorders>
            <w:vAlign w:val="center"/>
          </w:tcPr>
          <w:p w14:paraId="392D734D" w14:textId="77777777" w:rsidR="002E474C" w:rsidRDefault="00000000">
            <w:pPr>
              <w:pStyle w:val="affffffffffff2"/>
              <w:rPr>
                <w:color w:val="auto"/>
              </w:rPr>
            </w:pPr>
            <w:r>
              <w:rPr>
                <w:color w:val="auto"/>
              </w:rPr>
              <w:t>负面</w:t>
            </w:r>
          </w:p>
        </w:tc>
        <w:tc>
          <w:tcPr>
            <w:tcW w:w="577" w:type="dxa"/>
            <w:tcBorders>
              <w:top w:val="single" w:sz="4" w:space="0" w:color="auto"/>
              <w:left w:val="single" w:sz="4" w:space="0" w:color="auto"/>
              <w:bottom w:val="single" w:sz="4" w:space="0" w:color="auto"/>
              <w:right w:val="single" w:sz="4" w:space="0" w:color="auto"/>
            </w:tcBorders>
            <w:vAlign w:val="center"/>
          </w:tcPr>
          <w:p w14:paraId="1FAD323B" w14:textId="77777777" w:rsidR="002E474C" w:rsidRDefault="00000000">
            <w:pPr>
              <w:pStyle w:val="affffffffffff2"/>
              <w:rPr>
                <w:color w:val="auto"/>
              </w:rPr>
            </w:pPr>
            <w:r>
              <w:rPr>
                <w:color w:val="auto"/>
              </w:rPr>
              <w:t>长期</w:t>
            </w:r>
          </w:p>
        </w:tc>
        <w:tc>
          <w:tcPr>
            <w:tcW w:w="577" w:type="dxa"/>
            <w:tcBorders>
              <w:top w:val="single" w:sz="4" w:space="0" w:color="auto"/>
              <w:left w:val="single" w:sz="4" w:space="0" w:color="auto"/>
              <w:bottom w:val="single" w:sz="4" w:space="0" w:color="auto"/>
              <w:right w:val="single" w:sz="4" w:space="0" w:color="auto"/>
            </w:tcBorders>
            <w:vAlign w:val="center"/>
          </w:tcPr>
          <w:p w14:paraId="526CD26E" w14:textId="77777777" w:rsidR="002E474C" w:rsidRDefault="00000000">
            <w:pPr>
              <w:pStyle w:val="affffffffffff2"/>
              <w:rPr>
                <w:color w:val="auto"/>
              </w:rPr>
            </w:pPr>
            <w:r>
              <w:rPr>
                <w:color w:val="auto"/>
              </w:rPr>
              <w:t>短期</w:t>
            </w:r>
          </w:p>
        </w:tc>
        <w:tc>
          <w:tcPr>
            <w:tcW w:w="577" w:type="dxa"/>
            <w:tcBorders>
              <w:top w:val="single" w:sz="4" w:space="0" w:color="auto"/>
              <w:left w:val="single" w:sz="4" w:space="0" w:color="auto"/>
              <w:bottom w:val="single" w:sz="4" w:space="0" w:color="auto"/>
              <w:right w:val="single" w:sz="4" w:space="0" w:color="auto"/>
            </w:tcBorders>
            <w:vAlign w:val="center"/>
          </w:tcPr>
          <w:p w14:paraId="33D1AD5D" w14:textId="77777777" w:rsidR="002E474C" w:rsidRDefault="00000000">
            <w:pPr>
              <w:pStyle w:val="affffffffffff2"/>
              <w:rPr>
                <w:color w:val="auto"/>
              </w:rPr>
            </w:pPr>
            <w:r>
              <w:rPr>
                <w:color w:val="auto"/>
              </w:rPr>
              <w:t>可逆</w:t>
            </w:r>
          </w:p>
        </w:tc>
        <w:tc>
          <w:tcPr>
            <w:tcW w:w="577" w:type="dxa"/>
            <w:tcBorders>
              <w:top w:val="single" w:sz="4" w:space="0" w:color="auto"/>
              <w:left w:val="single" w:sz="4" w:space="0" w:color="auto"/>
              <w:bottom w:val="single" w:sz="4" w:space="0" w:color="auto"/>
              <w:right w:val="single" w:sz="4" w:space="0" w:color="auto"/>
            </w:tcBorders>
            <w:vAlign w:val="center"/>
          </w:tcPr>
          <w:p w14:paraId="0DF495BD" w14:textId="77777777" w:rsidR="002E474C" w:rsidRDefault="00000000">
            <w:pPr>
              <w:pStyle w:val="affffffffffff2"/>
              <w:rPr>
                <w:color w:val="auto"/>
              </w:rPr>
            </w:pPr>
            <w:r>
              <w:rPr>
                <w:color w:val="auto"/>
              </w:rPr>
              <w:t>非逆</w:t>
            </w:r>
          </w:p>
        </w:tc>
        <w:tc>
          <w:tcPr>
            <w:tcW w:w="577" w:type="dxa"/>
            <w:tcBorders>
              <w:top w:val="single" w:sz="4" w:space="0" w:color="auto"/>
              <w:left w:val="single" w:sz="4" w:space="0" w:color="auto"/>
              <w:bottom w:val="single" w:sz="4" w:space="0" w:color="auto"/>
              <w:right w:val="single" w:sz="4" w:space="0" w:color="auto"/>
            </w:tcBorders>
            <w:vAlign w:val="center"/>
          </w:tcPr>
          <w:p w14:paraId="7B213C0A" w14:textId="77777777" w:rsidR="002E474C" w:rsidRDefault="00000000">
            <w:pPr>
              <w:pStyle w:val="affffffffffff2"/>
              <w:rPr>
                <w:color w:val="auto"/>
              </w:rPr>
            </w:pPr>
            <w:r>
              <w:rPr>
                <w:color w:val="auto"/>
              </w:rPr>
              <w:t>直接</w:t>
            </w:r>
          </w:p>
        </w:tc>
        <w:tc>
          <w:tcPr>
            <w:tcW w:w="586" w:type="dxa"/>
            <w:tcBorders>
              <w:top w:val="single" w:sz="4" w:space="0" w:color="auto"/>
              <w:left w:val="single" w:sz="4" w:space="0" w:color="auto"/>
              <w:bottom w:val="single" w:sz="4" w:space="0" w:color="auto"/>
              <w:right w:val="single" w:sz="4" w:space="0" w:color="auto"/>
            </w:tcBorders>
            <w:vAlign w:val="center"/>
          </w:tcPr>
          <w:p w14:paraId="4509374E" w14:textId="77777777" w:rsidR="002E474C" w:rsidRDefault="00000000">
            <w:pPr>
              <w:pStyle w:val="affffffffffff2"/>
              <w:rPr>
                <w:color w:val="auto"/>
              </w:rPr>
            </w:pPr>
            <w:r>
              <w:rPr>
                <w:color w:val="auto"/>
              </w:rPr>
              <w:t>间接</w:t>
            </w:r>
          </w:p>
        </w:tc>
        <w:tc>
          <w:tcPr>
            <w:tcW w:w="577" w:type="dxa"/>
            <w:tcBorders>
              <w:top w:val="single" w:sz="4" w:space="0" w:color="auto"/>
              <w:left w:val="single" w:sz="4" w:space="0" w:color="auto"/>
              <w:bottom w:val="single" w:sz="4" w:space="0" w:color="auto"/>
              <w:right w:val="single" w:sz="4" w:space="0" w:color="auto"/>
            </w:tcBorders>
            <w:vAlign w:val="center"/>
          </w:tcPr>
          <w:p w14:paraId="0D9B85ED" w14:textId="77777777" w:rsidR="002E474C" w:rsidRDefault="00000000">
            <w:pPr>
              <w:pStyle w:val="affffffffffff2"/>
              <w:rPr>
                <w:color w:val="auto"/>
              </w:rPr>
            </w:pPr>
            <w:r>
              <w:rPr>
                <w:color w:val="auto"/>
              </w:rPr>
              <w:t>显著</w:t>
            </w:r>
          </w:p>
        </w:tc>
        <w:tc>
          <w:tcPr>
            <w:tcW w:w="577" w:type="dxa"/>
            <w:tcBorders>
              <w:top w:val="single" w:sz="4" w:space="0" w:color="auto"/>
              <w:left w:val="single" w:sz="4" w:space="0" w:color="auto"/>
              <w:bottom w:val="single" w:sz="4" w:space="0" w:color="auto"/>
              <w:right w:val="single" w:sz="4" w:space="0" w:color="auto"/>
            </w:tcBorders>
            <w:vAlign w:val="center"/>
          </w:tcPr>
          <w:p w14:paraId="226D9FBA" w14:textId="77777777" w:rsidR="002E474C" w:rsidRDefault="00000000">
            <w:pPr>
              <w:pStyle w:val="affffffffffff2"/>
              <w:rPr>
                <w:color w:val="auto"/>
              </w:rPr>
            </w:pPr>
            <w:r>
              <w:rPr>
                <w:color w:val="auto"/>
              </w:rPr>
              <w:t>一般</w:t>
            </w:r>
          </w:p>
        </w:tc>
        <w:tc>
          <w:tcPr>
            <w:tcW w:w="581" w:type="dxa"/>
            <w:tcBorders>
              <w:top w:val="single" w:sz="4" w:space="0" w:color="auto"/>
              <w:left w:val="single" w:sz="4" w:space="0" w:color="auto"/>
              <w:bottom w:val="single" w:sz="4" w:space="0" w:color="auto"/>
              <w:right w:val="single" w:sz="4" w:space="0" w:color="auto"/>
            </w:tcBorders>
            <w:vAlign w:val="center"/>
          </w:tcPr>
          <w:p w14:paraId="6295791C" w14:textId="77777777" w:rsidR="002E474C" w:rsidRDefault="00000000">
            <w:pPr>
              <w:pStyle w:val="affffffffffff2"/>
              <w:rPr>
                <w:color w:val="auto"/>
              </w:rPr>
            </w:pPr>
            <w:r>
              <w:rPr>
                <w:color w:val="auto"/>
              </w:rPr>
              <w:t>轻微</w:t>
            </w:r>
          </w:p>
        </w:tc>
      </w:tr>
      <w:tr w:rsidR="002E474C" w14:paraId="3D13906A" w14:textId="77777777">
        <w:trPr>
          <w:cantSplit/>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05498D21" w14:textId="77777777" w:rsidR="002E474C" w:rsidRDefault="00000000">
            <w:pPr>
              <w:pStyle w:val="affffffffffff2"/>
              <w:rPr>
                <w:color w:val="auto"/>
              </w:rPr>
            </w:pPr>
            <w:r>
              <w:rPr>
                <w:color w:val="auto"/>
              </w:rPr>
              <w:t>施</w:t>
            </w:r>
          </w:p>
          <w:p w14:paraId="71B7E8BA" w14:textId="77777777" w:rsidR="002E474C" w:rsidRDefault="00000000">
            <w:pPr>
              <w:pStyle w:val="affffffffffff2"/>
              <w:rPr>
                <w:color w:val="auto"/>
              </w:rPr>
            </w:pPr>
            <w:r>
              <w:rPr>
                <w:color w:val="auto"/>
              </w:rPr>
              <w:t>工</w:t>
            </w:r>
          </w:p>
          <w:p w14:paraId="37681B2F" w14:textId="77777777" w:rsidR="002E474C" w:rsidRDefault="00000000">
            <w:pPr>
              <w:pStyle w:val="affffffffffff2"/>
              <w:rPr>
                <w:color w:val="auto"/>
              </w:rPr>
            </w:pPr>
            <w:r>
              <w:rPr>
                <w:color w:val="auto"/>
              </w:rPr>
              <w:t>期</w:t>
            </w:r>
          </w:p>
        </w:tc>
        <w:tc>
          <w:tcPr>
            <w:tcW w:w="1570" w:type="dxa"/>
            <w:tcBorders>
              <w:top w:val="single" w:sz="4" w:space="0" w:color="auto"/>
              <w:left w:val="single" w:sz="4" w:space="0" w:color="auto"/>
              <w:bottom w:val="single" w:sz="4" w:space="0" w:color="auto"/>
              <w:right w:val="single" w:sz="4" w:space="0" w:color="auto"/>
            </w:tcBorders>
            <w:vAlign w:val="center"/>
          </w:tcPr>
          <w:p w14:paraId="2FE7BE68" w14:textId="77777777" w:rsidR="002E474C" w:rsidRDefault="00000000">
            <w:pPr>
              <w:pStyle w:val="affffffffffff2"/>
              <w:rPr>
                <w:color w:val="auto"/>
              </w:rPr>
            </w:pPr>
            <w:r>
              <w:rPr>
                <w:color w:val="auto"/>
              </w:rPr>
              <w:t>环境空气质量</w:t>
            </w:r>
          </w:p>
        </w:tc>
        <w:tc>
          <w:tcPr>
            <w:tcW w:w="577" w:type="dxa"/>
            <w:tcBorders>
              <w:top w:val="single" w:sz="4" w:space="0" w:color="auto"/>
              <w:left w:val="single" w:sz="4" w:space="0" w:color="auto"/>
              <w:bottom w:val="single" w:sz="4" w:space="0" w:color="auto"/>
              <w:right w:val="single" w:sz="4" w:space="0" w:color="auto"/>
            </w:tcBorders>
            <w:vAlign w:val="center"/>
          </w:tcPr>
          <w:p w14:paraId="68805792"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EAC7A4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59DC6B8E"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78171E65"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9F5F38A"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5B8CCFDF"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40F7694"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2044DA11"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C6E90E6"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8B98F6A" w14:textId="77777777" w:rsidR="002E474C" w:rsidRDefault="00000000">
            <w:pPr>
              <w:pStyle w:val="affffffffffff2"/>
              <w:rPr>
                <w:color w:val="auto"/>
              </w:rPr>
            </w:pPr>
            <w:r>
              <w:rPr>
                <w:color w:val="auto"/>
              </w:rPr>
              <w:t>√</w:t>
            </w:r>
          </w:p>
        </w:tc>
        <w:tc>
          <w:tcPr>
            <w:tcW w:w="581" w:type="dxa"/>
            <w:tcBorders>
              <w:top w:val="single" w:sz="4" w:space="0" w:color="auto"/>
              <w:left w:val="single" w:sz="4" w:space="0" w:color="auto"/>
              <w:bottom w:val="single" w:sz="4" w:space="0" w:color="auto"/>
              <w:right w:val="single" w:sz="4" w:space="0" w:color="auto"/>
            </w:tcBorders>
            <w:vAlign w:val="center"/>
          </w:tcPr>
          <w:p w14:paraId="51BF9067" w14:textId="77777777" w:rsidR="002E474C" w:rsidRDefault="002E474C">
            <w:pPr>
              <w:pStyle w:val="affffffffffff2"/>
              <w:rPr>
                <w:color w:val="auto"/>
              </w:rPr>
            </w:pPr>
          </w:p>
        </w:tc>
      </w:tr>
      <w:tr w:rsidR="002E474C" w14:paraId="4226D0B0"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329819E9"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1026CC99" w14:textId="77777777" w:rsidR="002E474C" w:rsidRDefault="00000000">
            <w:pPr>
              <w:pStyle w:val="affffffffffff2"/>
              <w:rPr>
                <w:color w:val="auto"/>
              </w:rPr>
            </w:pPr>
            <w:r>
              <w:rPr>
                <w:color w:val="auto"/>
              </w:rPr>
              <w:t>地表水环境质量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3B83D1F7"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B1AB60A"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5AC67825"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AFC0D78"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029D68E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BCDEAC9"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5B519CE"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1FABDD43"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F541C9F"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78DACBF6"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7CCF9227" w14:textId="77777777" w:rsidR="002E474C" w:rsidRDefault="00000000">
            <w:pPr>
              <w:pStyle w:val="affffffffffff2"/>
              <w:rPr>
                <w:color w:val="auto"/>
              </w:rPr>
            </w:pPr>
            <w:r>
              <w:rPr>
                <w:color w:val="auto"/>
              </w:rPr>
              <w:t>√</w:t>
            </w:r>
          </w:p>
        </w:tc>
      </w:tr>
      <w:tr w:rsidR="002E474C" w14:paraId="3FE597DB"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620C6C7"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1276AE24" w14:textId="77777777" w:rsidR="002E474C" w:rsidRDefault="00000000">
            <w:pPr>
              <w:pStyle w:val="affffffffffff2"/>
              <w:rPr>
                <w:color w:val="auto"/>
              </w:rPr>
            </w:pPr>
            <w:r>
              <w:rPr>
                <w:color w:val="auto"/>
              </w:rPr>
              <w:t>地下水环境质量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6E03597E"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18D1C61"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D867466"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A2C71FA"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61D66A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0F7DE8C"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0217E99"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40026FF9"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388E8CB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FB9C3A4"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24933F06" w14:textId="77777777" w:rsidR="002E474C" w:rsidRDefault="00000000">
            <w:pPr>
              <w:pStyle w:val="affffffffffff2"/>
              <w:rPr>
                <w:color w:val="auto"/>
              </w:rPr>
            </w:pPr>
            <w:r>
              <w:rPr>
                <w:color w:val="auto"/>
              </w:rPr>
              <w:t>√</w:t>
            </w:r>
          </w:p>
        </w:tc>
      </w:tr>
      <w:tr w:rsidR="002E474C" w14:paraId="2FD7124A"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5FF7BC1"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153B9B18" w14:textId="77777777" w:rsidR="002E474C" w:rsidRDefault="00000000">
            <w:pPr>
              <w:pStyle w:val="affffffffffff2"/>
              <w:rPr>
                <w:color w:val="auto"/>
              </w:rPr>
            </w:pPr>
            <w:r>
              <w:rPr>
                <w:color w:val="auto"/>
              </w:rPr>
              <w:t>声环境质量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2AB9A47D"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EE80ECD"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178C9B94"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8392CB9"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14757247"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8ADC2B0"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3D12E348"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18A6190D"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371BBDAC"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3E4840EF" w14:textId="77777777" w:rsidR="002E474C" w:rsidRDefault="00000000">
            <w:pPr>
              <w:pStyle w:val="affffffffffff2"/>
              <w:rPr>
                <w:color w:val="auto"/>
              </w:rPr>
            </w:pPr>
            <w:r>
              <w:rPr>
                <w:color w:val="auto"/>
              </w:rPr>
              <w:t>√</w:t>
            </w:r>
          </w:p>
        </w:tc>
        <w:tc>
          <w:tcPr>
            <w:tcW w:w="581" w:type="dxa"/>
            <w:tcBorders>
              <w:top w:val="single" w:sz="4" w:space="0" w:color="auto"/>
              <w:left w:val="single" w:sz="4" w:space="0" w:color="auto"/>
              <w:bottom w:val="single" w:sz="4" w:space="0" w:color="auto"/>
              <w:right w:val="single" w:sz="4" w:space="0" w:color="auto"/>
            </w:tcBorders>
            <w:vAlign w:val="center"/>
          </w:tcPr>
          <w:p w14:paraId="74EFD54E" w14:textId="77777777" w:rsidR="002E474C" w:rsidRDefault="002E474C">
            <w:pPr>
              <w:pStyle w:val="affffffffffff2"/>
              <w:rPr>
                <w:color w:val="auto"/>
              </w:rPr>
            </w:pPr>
          </w:p>
        </w:tc>
      </w:tr>
      <w:tr w:rsidR="002E474C" w14:paraId="69C970EA"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8E56B96"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445D3701" w14:textId="77777777" w:rsidR="002E474C" w:rsidRDefault="00000000">
            <w:pPr>
              <w:pStyle w:val="affffffffffff2"/>
              <w:rPr>
                <w:color w:val="auto"/>
              </w:rPr>
            </w:pPr>
            <w:r>
              <w:rPr>
                <w:color w:val="auto"/>
              </w:rPr>
              <w:t>固体废物处置</w:t>
            </w:r>
          </w:p>
        </w:tc>
        <w:tc>
          <w:tcPr>
            <w:tcW w:w="577" w:type="dxa"/>
            <w:tcBorders>
              <w:top w:val="single" w:sz="4" w:space="0" w:color="auto"/>
              <w:left w:val="single" w:sz="4" w:space="0" w:color="auto"/>
              <w:bottom w:val="single" w:sz="4" w:space="0" w:color="auto"/>
              <w:right w:val="single" w:sz="4" w:space="0" w:color="auto"/>
            </w:tcBorders>
            <w:vAlign w:val="center"/>
          </w:tcPr>
          <w:p w14:paraId="4713EF37"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62CCE041"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8C3FE32"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1FBA32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DAFB51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08C3E31E"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DECB7C2" w14:textId="77777777" w:rsidR="002E474C" w:rsidRDefault="002E474C">
            <w:pPr>
              <w:pStyle w:val="affffffffffff2"/>
              <w:rPr>
                <w:color w:val="auto"/>
              </w:rPr>
            </w:pPr>
          </w:p>
        </w:tc>
        <w:tc>
          <w:tcPr>
            <w:tcW w:w="586" w:type="dxa"/>
            <w:tcBorders>
              <w:top w:val="single" w:sz="4" w:space="0" w:color="auto"/>
              <w:left w:val="single" w:sz="4" w:space="0" w:color="auto"/>
              <w:bottom w:val="single" w:sz="4" w:space="0" w:color="auto"/>
              <w:right w:val="single" w:sz="4" w:space="0" w:color="auto"/>
            </w:tcBorders>
            <w:vAlign w:val="center"/>
          </w:tcPr>
          <w:p w14:paraId="5D5280B7"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120D442"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37BB169"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5B51BCEB" w14:textId="77777777" w:rsidR="002E474C" w:rsidRDefault="00000000">
            <w:pPr>
              <w:pStyle w:val="affffffffffff2"/>
              <w:rPr>
                <w:color w:val="auto"/>
              </w:rPr>
            </w:pPr>
            <w:r>
              <w:rPr>
                <w:color w:val="auto"/>
              </w:rPr>
              <w:t>√</w:t>
            </w:r>
          </w:p>
        </w:tc>
      </w:tr>
      <w:tr w:rsidR="002E474C" w14:paraId="33AEA575"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FFDB046"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72606384" w14:textId="77777777" w:rsidR="002E474C" w:rsidRDefault="00000000">
            <w:pPr>
              <w:pStyle w:val="affffffffffff2"/>
              <w:rPr>
                <w:color w:val="auto"/>
              </w:rPr>
            </w:pPr>
            <w:r>
              <w:rPr>
                <w:color w:val="auto"/>
              </w:rPr>
              <w:t>生态环境质量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76D6A2F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33763E8"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1F008457"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1E1B4E6"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7AE5DDB4"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F772FD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A73F34B"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4D49856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18905FC5"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75B6D2BE"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01BFBC7D" w14:textId="77777777" w:rsidR="002E474C" w:rsidRDefault="00000000">
            <w:pPr>
              <w:pStyle w:val="affffffffffff2"/>
              <w:rPr>
                <w:color w:val="auto"/>
              </w:rPr>
            </w:pPr>
            <w:r>
              <w:rPr>
                <w:color w:val="auto"/>
              </w:rPr>
              <w:t>√</w:t>
            </w:r>
          </w:p>
        </w:tc>
      </w:tr>
      <w:tr w:rsidR="002E474C" w14:paraId="025EEB4F"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4E0E4D20"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15B1AA61" w14:textId="77777777" w:rsidR="002E474C" w:rsidRDefault="00000000">
            <w:pPr>
              <w:pStyle w:val="affffffffffff2"/>
              <w:rPr>
                <w:color w:val="auto"/>
              </w:rPr>
            </w:pPr>
            <w:r>
              <w:rPr>
                <w:color w:val="auto"/>
              </w:rPr>
              <w:t>土壤侵蚀</w:t>
            </w:r>
          </w:p>
        </w:tc>
        <w:tc>
          <w:tcPr>
            <w:tcW w:w="577" w:type="dxa"/>
            <w:tcBorders>
              <w:top w:val="single" w:sz="4" w:space="0" w:color="auto"/>
              <w:left w:val="single" w:sz="4" w:space="0" w:color="auto"/>
              <w:bottom w:val="single" w:sz="4" w:space="0" w:color="auto"/>
              <w:right w:val="single" w:sz="4" w:space="0" w:color="auto"/>
            </w:tcBorders>
            <w:vAlign w:val="center"/>
          </w:tcPr>
          <w:p w14:paraId="5BE21857"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BCC97ED"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2ED1C2A"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D5E528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6909B4C"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34A28A6D"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5AA54CF1"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12858F1F"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8D05C60"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C74869F"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7D5D60FE" w14:textId="77777777" w:rsidR="002E474C" w:rsidRDefault="00000000">
            <w:pPr>
              <w:pStyle w:val="affffffffffff2"/>
              <w:rPr>
                <w:color w:val="auto"/>
              </w:rPr>
            </w:pPr>
            <w:r>
              <w:rPr>
                <w:color w:val="auto"/>
              </w:rPr>
              <w:t>√</w:t>
            </w:r>
          </w:p>
        </w:tc>
      </w:tr>
      <w:tr w:rsidR="002E474C" w14:paraId="1DAD053A" w14:textId="77777777">
        <w:trPr>
          <w:cantSplit/>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0E75F312" w14:textId="77777777" w:rsidR="002E474C" w:rsidRDefault="00000000">
            <w:pPr>
              <w:pStyle w:val="affffffffffff2"/>
              <w:rPr>
                <w:color w:val="auto"/>
              </w:rPr>
            </w:pPr>
            <w:r>
              <w:rPr>
                <w:color w:val="auto"/>
              </w:rPr>
              <w:t>运</w:t>
            </w:r>
          </w:p>
          <w:p w14:paraId="5DFAA3F3" w14:textId="77777777" w:rsidR="002E474C" w:rsidRDefault="00000000">
            <w:pPr>
              <w:pStyle w:val="affffffffffff2"/>
              <w:rPr>
                <w:color w:val="auto"/>
              </w:rPr>
            </w:pPr>
            <w:r>
              <w:rPr>
                <w:color w:val="auto"/>
              </w:rPr>
              <w:t>营</w:t>
            </w:r>
          </w:p>
          <w:p w14:paraId="73708AC6" w14:textId="77777777" w:rsidR="002E474C" w:rsidRDefault="00000000">
            <w:pPr>
              <w:pStyle w:val="affffffffffff2"/>
              <w:rPr>
                <w:color w:val="auto"/>
              </w:rPr>
            </w:pPr>
            <w:r>
              <w:rPr>
                <w:color w:val="auto"/>
              </w:rPr>
              <w:t>期</w:t>
            </w:r>
          </w:p>
        </w:tc>
        <w:tc>
          <w:tcPr>
            <w:tcW w:w="1570" w:type="dxa"/>
            <w:tcBorders>
              <w:top w:val="single" w:sz="4" w:space="0" w:color="auto"/>
              <w:left w:val="single" w:sz="4" w:space="0" w:color="auto"/>
              <w:bottom w:val="single" w:sz="4" w:space="0" w:color="auto"/>
              <w:right w:val="single" w:sz="4" w:space="0" w:color="auto"/>
            </w:tcBorders>
            <w:vAlign w:val="center"/>
          </w:tcPr>
          <w:p w14:paraId="3F88C48B" w14:textId="77777777" w:rsidR="002E474C" w:rsidRDefault="00000000">
            <w:pPr>
              <w:pStyle w:val="affffffffffff2"/>
              <w:rPr>
                <w:color w:val="auto"/>
              </w:rPr>
            </w:pPr>
            <w:r>
              <w:rPr>
                <w:color w:val="auto"/>
              </w:rPr>
              <w:t>环境空气质量</w:t>
            </w:r>
          </w:p>
        </w:tc>
        <w:tc>
          <w:tcPr>
            <w:tcW w:w="577" w:type="dxa"/>
            <w:tcBorders>
              <w:top w:val="single" w:sz="4" w:space="0" w:color="auto"/>
              <w:left w:val="single" w:sz="4" w:space="0" w:color="auto"/>
              <w:bottom w:val="single" w:sz="4" w:space="0" w:color="auto"/>
              <w:right w:val="single" w:sz="4" w:space="0" w:color="auto"/>
            </w:tcBorders>
            <w:vAlign w:val="center"/>
          </w:tcPr>
          <w:p w14:paraId="7CE8D0A6"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A996D70"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3B08225A"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21AA72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38BF99C"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BF3991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B458CEE"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463C647F"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5E83468"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82F2C36" w14:textId="77777777" w:rsidR="002E474C" w:rsidRDefault="00000000">
            <w:pPr>
              <w:pStyle w:val="affffffffffff2"/>
              <w:rPr>
                <w:color w:val="auto"/>
              </w:rPr>
            </w:pPr>
            <w:r>
              <w:rPr>
                <w:color w:val="auto"/>
              </w:rPr>
              <w:t>√</w:t>
            </w:r>
          </w:p>
        </w:tc>
        <w:tc>
          <w:tcPr>
            <w:tcW w:w="581" w:type="dxa"/>
            <w:tcBorders>
              <w:top w:val="single" w:sz="4" w:space="0" w:color="auto"/>
              <w:left w:val="single" w:sz="4" w:space="0" w:color="auto"/>
              <w:bottom w:val="single" w:sz="4" w:space="0" w:color="auto"/>
              <w:right w:val="single" w:sz="4" w:space="0" w:color="auto"/>
            </w:tcBorders>
            <w:vAlign w:val="center"/>
          </w:tcPr>
          <w:p w14:paraId="14BFD076" w14:textId="77777777" w:rsidR="002E474C" w:rsidRDefault="002E474C">
            <w:pPr>
              <w:pStyle w:val="affffffffffff2"/>
              <w:rPr>
                <w:color w:val="auto"/>
              </w:rPr>
            </w:pPr>
          </w:p>
        </w:tc>
      </w:tr>
      <w:tr w:rsidR="002E474C" w14:paraId="2A95EA1E"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1AE4B0E"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6682086A" w14:textId="77777777" w:rsidR="002E474C" w:rsidRDefault="00000000">
            <w:pPr>
              <w:pStyle w:val="affffffffffff2"/>
              <w:rPr>
                <w:color w:val="auto"/>
              </w:rPr>
            </w:pPr>
            <w:r>
              <w:rPr>
                <w:color w:val="auto"/>
              </w:rPr>
              <w:t>地下水环境质量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2589AA6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D5B9188"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CEACCE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6C359C3"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F576F3F"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853A2D2"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6B9A3172"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1567D67B"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B9BEE18"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3809FE83"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7275C1BA" w14:textId="77777777" w:rsidR="002E474C" w:rsidRDefault="00000000">
            <w:pPr>
              <w:pStyle w:val="affffffffffff2"/>
              <w:rPr>
                <w:color w:val="auto"/>
              </w:rPr>
            </w:pPr>
            <w:r>
              <w:rPr>
                <w:color w:val="auto"/>
              </w:rPr>
              <w:t>√</w:t>
            </w:r>
          </w:p>
        </w:tc>
      </w:tr>
      <w:tr w:rsidR="002E474C" w14:paraId="55FAE3E9"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544349F4"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3478F34D" w14:textId="77777777" w:rsidR="002E474C" w:rsidRDefault="00000000">
            <w:pPr>
              <w:pStyle w:val="affffffffffff2"/>
              <w:rPr>
                <w:color w:val="auto"/>
              </w:rPr>
            </w:pPr>
            <w:r>
              <w:rPr>
                <w:color w:val="auto"/>
              </w:rPr>
              <w:t>声环境质量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1F1AACC3"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D627BDF"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636FB58"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65536F0"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E29521B"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023FA324"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E623A93"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796DF078"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9AF1EFD"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E4478E6"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43DED0BE" w14:textId="77777777" w:rsidR="002E474C" w:rsidRDefault="00000000">
            <w:pPr>
              <w:pStyle w:val="affffffffffff2"/>
              <w:rPr>
                <w:color w:val="auto"/>
              </w:rPr>
            </w:pPr>
            <w:r>
              <w:rPr>
                <w:color w:val="auto"/>
              </w:rPr>
              <w:t>√</w:t>
            </w:r>
          </w:p>
        </w:tc>
      </w:tr>
      <w:tr w:rsidR="002E474C" w14:paraId="6B14AC01"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5064826"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2D0A9FDD" w14:textId="77777777" w:rsidR="002E474C" w:rsidRDefault="00000000">
            <w:pPr>
              <w:pStyle w:val="affffffffffff2"/>
              <w:rPr>
                <w:color w:val="auto"/>
              </w:rPr>
            </w:pPr>
            <w:r>
              <w:rPr>
                <w:color w:val="auto"/>
              </w:rPr>
              <w:t>固体废物处置</w:t>
            </w:r>
          </w:p>
        </w:tc>
        <w:tc>
          <w:tcPr>
            <w:tcW w:w="577" w:type="dxa"/>
            <w:tcBorders>
              <w:top w:val="single" w:sz="4" w:space="0" w:color="auto"/>
              <w:left w:val="single" w:sz="4" w:space="0" w:color="auto"/>
              <w:bottom w:val="single" w:sz="4" w:space="0" w:color="auto"/>
              <w:right w:val="single" w:sz="4" w:space="0" w:color="auto"/>
            </w:tcBorders>
            <w:vAlign w:val="center"/>
          </w:tcPr>
          <w:p w14:paraId="0BA3B4C2"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25A374B"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A07F04A"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1D9A41FE"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1E27189"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72A5A74"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EDCEB22" w14:textId="77777777" w:rsidR="002E474C" w:rsidRDefault="002E474C">
            <w:pPr>
              <w:pStyle w:val="affffffffffff2"/>
              <w:rPr>
                <w:color w:val="auto"/>
              </w:rPr>
            </w:pPr>
          </w:p>
        </w:tc>
        <w:tc>
          <w:tcPr>
            <w:tcW w:w="586" w:type="dxa"/>
            <w:tcBorders>
              <w:top w:val="single" w:sz="4" w:space="0" w:color="auto"/>
              <w:left w:val="single" w:sz="4" w:space="0" w:color="auto"/>
              <w:bottom w:val="single" w:sz="4" w:space="0" w:color="auto"/>
              <w:right w:val="single" w:sz="4" w:space="0" w:color="auto"/>
            </w:tcBorders>
            <w:vAlign w:val="center"/>
          </w:tcPr>
          <w:p w14:paraId="1C354CC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3CEFE1A"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76F711CB"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7F729D97" w14:textId="77777777" w:rsidR="002E474C" w:rsidRDefault="00000000">
            <w:pPr>
              <w:pStyle w:val="affffffffffff2"/>
              <w:rPr>
                <w:color w:val="auto"/>
              </w:rPr>
            </w:pPr>
            <w:r>
              <w:rPr>
                <w:color w:val="auto"/>
              </w:rPr>
              <w:t>√</w:t>
            </w:r>
          </w:p>
        </w:tc>
      </w:tr>
      <w:tr w:rsidR="002E474C" w14:paraId="0096BFAB"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3178FD6"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09F5C6C2" w14:textId="77777777" w:rsidR="002E474C" w:rsidRDefault="00000000">
            <w:pPr>
              <w:pStyle w:val="affffffffffff2"/>
              <w:rPr>
                <w:color w:val="auto"/>
              </w:rPr>
            </w:pPr>
            <w:r>
              <w:rPr>
                <w:color w:val="auto"/>
              </w:rPr>
              <w:t>生态环境质量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34D6B4ED"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BE7C7A2"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75E25C07"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07F17201"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54AF54C6"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554038C"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631906F8"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522D54A0"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3014539F"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6D8B7E8" w14:textId="77777777" w:rsidR="002E474C" w:rsidRDefault="002E474C">
            <w:pPr>
              <w:pStyle w:val="affffffffffff2"/>
              <w:rPr>
                <w:color w:val="auto"/>
              </w:rPr>
            </w:pPr>
          </w:p>
        </w:tc>
        <w:tc>
          <w:tcPr>
            <w:tcW w:w="581" w:type="dxa"/>
            <w:tcBorders>
              <w:top w:val="single" w:sz="4" w:space="0" w:color="auto"/>
              <w:left w:val="single" w:sz="4" w:space="0" w:color="auto"/>
              <w:bottom w:val="single" w:sz="4" w:space="0" w:color="auto"/>
              <w:right w:val="single" w:sz="4" w:space="0" w:color="auto"/>
            </w:tcBorders>
            <w:vAlign w:val="center"/>
          </w:tcPr>
          <w:p w14:paraId="1313FB27" w14:textId="77777777" w:rsidR="002E474C" w:rsidRDefault="00000000">
            <w:pPr>
              <w:pStyle w:val="affffffffffff2"/>
              <w:rPr>
                <w:color w:val="auto"/>
              </w:rPr>
            </w:pPr>
            <w:r>
              <w:rPr>
                <w:color w:val="auto"/>
              </w:rPr>
              <w:t>√</w:t>
            </w:r>
          </w:p>
        </w:tc>
      </w:tr>
      <w:tr w:rsidR="002E474C" w14:paraId="0F79CD47" w14:textId="77777777">
        <w:trPr>
          <w:cantSplit/>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3243B4F3" w14:textId="77777777" w:rsidR="002E474C" w:rsidRDefault="002E474C">
            <w:pPr>
              <w:pStyle w:val="affffffffffff2"/>
              <w:rPr>
                <w:color w:val="auto"/>
              </w:rPr>
            </w:pPr>
          </w:p>
        </w:tc>
        <w:tc>
          <w:tcPr>
            <w:tcW w:w="1570" w:type="dxa"/>
            <w:tcBorders>
              <w:top w:val="single" w:sz="4" w:space="0" w:color="auto"/>
              <w:left w:val="single" w:sz="4" w:space="0" w:color="auto"/>
              <w:bottom w:val="single" w:sz="4" w:space="0" w:color="auto"/>
              <w:right w:val="single" w:sz="4" w:space="0" w:color="auto"/>
            </w:tcBorders>
            <w:vAlign w:val="center"/>
          </w:tcPr>
          <w:p w14:paraId="6A81A019" w14:textId="77777777" w:rsidR="002E474C" w:rsidRDefault="00000000">
            <w:pPr>
              <w:pStyle w:val="affffffffffff2"/>
              <w:rPr>
                <w:color w:val="auto"/>
              </w:rPr>
            </w:pPr>
            <w:r>
              <w:rPr>
                <w:color w:val="auto"/>
              </w:rPr>
              <w:t>环境风险</w:t>
            </w:r>
          </w:p>
        </w:tc>
        <w:tc>
          <w:tcPr>
            <w:tcW w:w="577" w:type="dxa"/>
            <w:tcBorders>
              <w:top w:val="single" w:sz="4" w:space="0" w:color="auto"/>
              <w:left w:val="single" w:sz="4" w:space="0" w:color="auto"/>
              <w:bottom w:val="single" w:sz="4" w:space="0" w:color="auto"/>
              <w:right w:val="single" w:sz="4" w:space="0" w:color="auto"/>
            </w:tcBorders>
            <w:vAlign w:val="center"/>
          </w:tcPr>
          <w:p w14:paraId="09E7D1EA"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1D6CAC51"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6D1B5CA4"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4DBDE8C7"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997F509" w14:textId="77777777" w:rsidR="002E474C" w:rsidRDefault="00000000">
            <w:pPr>
              <w:pStyle w:val="affffffffffff2"/>
              <w:rPr>
                <w:color w:val="auto"/>
              </w:rPr>
            </w:pPr>
            <w:r>
              <w:rPr>
                <w:color w:val="auto"/>
              </w:rPr>
              <w:t>√</w:t>
            </w:r>
          </w:p>
        </w:tc>
        <w:tc>
          <w:tcPr>
            <w:tcW w:w="577" w:type="dxa"/>
            <w:tcBorders>
              <w:top w:val="single" w:sz="4" w:space="0" w:color="auto"/>
              <w:left w:val="single" w:sz="4" w:space="0" w:color="auto"/>
              <w:bottom w:val="single" w:sz="4" w:space="0" w:color="auto"/>
              <w:right w:val="single" w:sz="4" w:space="0" w:color="auto"/>
            </w:tcBorders>
            <w:vAlign w:val="center"/>
          </w:tcPr>
          <w:p w14:paraId="25A00C79"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080B4C43" w14:textId="77777777" w:rsidR="002E474C" w:rsidRDefault="00000000">
            <w:pPr>
              <w:pStyle w:val="affffffffffff2"/>
              <w:rPr>
                <w:color w:val="auto"/>
              </w:rPr>
            </w:pPr>
            <w:r>
              <w:rPr>
                <w:color w:val="auto"/>
              </w:rPr>
              <w:t>√</w:t>
            </w:r>
          </w:p>
        </w:tc>
        <w:tc>
          <w:tcPr>
            <w:tcW w:w="586" w:type="dxa"/>
            <w:tcBorders>
              <w:top w:val="single" w:sz="4" w:space="0" w:color="auto"/>
              <w:left w:val="single" w:sz="4" w:space="0" w:color="auto"/>
              <w:bottom w:val="single" w:sz="4" w:space="0" w:color="auto"/>
              <w:right w:val="single" w:sz="4" w:space="0" w:color="auto"/>
            </w:tcBorders>
            <w:vAlign w:val="center"/>
          </w:tcPr>
          <w:p w14:paraId="347952B3"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2D6664E3" w14:textId="77777777" w:rsidR="002E474C" w:rsidRDefault="002E474C">
            <w:pPr>
              <w:pStyle w:val="affffffffffff2"/>
              <w:rPr>
                <w:color w:val="auto"/>
              </w:rPr>
            </w:pPr>
          </w:p>
        </w:tc>
        <w:tc>
          <w:tcPr>
            <w:tcW w:w="577" w:type="dxa"/>
            <w:tcBorders>
              <w:top w:val="single" w:sz="4" w:space="0" w:color="auto"/>
              <w:left w:val="single" w:sz="4" w:space="0" w:color="auto"/>
              <w:bottom w:val="single" w:sz="4" w:space="0" w:color="auto"/>
              <w:right w:val="single" w:sz="4" w:space="0" w:color="auto"/>
            </w:tcBorders>
            <w:vAlign w:val="center"/>
          </w:tcPr>
          <w:p w14:paraId="4C39135C" w14:textId="77777777" w:rsidR="002E474C" w:rsidRDefault="00000000">
            <w:pPr>
              <w:pStyle w:val="affffffffffff2"/>
              <w:rPr>
                <w:color w:val="auto"/>
              </w:rPr>
            </w:pPr>
            <w:r>
              <w:rPr>
                <w:color w:val="auto"/>
              </w:rPr>
              <w:t>√</w:t>
            </w:r>
          </w:p>
        </w:tc>
        <w:tc>
          <w:tcPr>
            <w:tcW w:w="581" w:type="dxa"/>
            <w:tcBorders>
              <w:top w:val="single" w:sz="4" w:space="0" w:color="auto"/>
              <w:left w:val="single" w:sz="4" w:space="0" w:color="auto"/>
              <w:bottom w:val="single" w:sz="4" w:space="0" w:color="auto"/>
              <w:right w:val="single" w:sz="4" w:space="0" w:color="auto"/>
            </w:tcBorders>
            <w:vAlign w:val="center"/>
          </w:tcPr>
          <w:p w14:paraId="44A8816B" w14:textId="77777777" w:rsidR="002E474C" w:rsidRDefault="002E474C">
            <w:pPr>
              <w:pStyle w:val="affffffffffff2"/>
              <w:rPr>
                <w:color w:val="auto"/>
              </w:rPr>
            </w:pPr>
          </w:p>
        </w:tc>
      </w:tr>
    </w:tbl>
    <w:p w14:paraId="4EC4C361" w14:textId="77777777" w:rsidR="002E474C" w:rsidRDefault="002E474C"/>
    <w:p w14:paraId="6D884EFB" w14:textId="77777777" w:rsidR="002E474C" w:rsidRDefault="00000000">
      <w:pPr>
        <w:pStyle w:val="31"/>
        <w:spacing w:before="120" w:after="120"/>
        <w:rPr>
          <w:color w:val="auto"/>
        </w:rPr>
      </w:pPr>
      <w:r>
        <w:rPr>
          <w:color w:val="auto"/>
        </w:rPr>
        <w:t>评价因子筛选</w:t>
      </w:r>
    </w:p>
    <w:p w14:paraId="214ADEDC" w14:textId="77777777" w:rsidR="002E474C" w:rsidRDefault="00000000">
      <w:pPr>
        <w:pStyle w:val="A-z"/>
        <w:rPr>
          <w:color w:val="auto"/>
        </w:rPr>
      </w:pPr>
      <w:r>
        <w:rPr>
          <w:color w:val="auto"/>
        </w:rPr>
        <w:t>根据项目运营期的特点，结合项目所在区域环境功能及各环境因子的重要性和可能受影响的程度，在环境影响因素识别的基础上，从环境要素方面进行环境因子的识别与筛选，见表</w:t>
      </w:r>
      <w:r>
        <w:rPr>
          <w:color w:val="auto"/>
        </w:rPr>
        <w:t>2.3</w:t>
      </w:r>
      <w:r>
        <w:rPr>
          <w:color w:val="auto"/>
        </w:rPr>
        <w:noBreakHyphen/>
        <w:t>2</w:t>
      </w:r>
      <w:r>
        <w:rPr>
          <w:color w:val="auto"/>
        </w:rPr>
        <w:t>。</w:t>
      </w:r>
    </w:p>
    <w:p w14:paraId="50545225" w14:textId="77777777" w:rsidR="002E474C" w:rsidRDefault="00000000">
      <w:pPr>
        <w:pStyle w:val="A--"/>
        <w:rPr>
          <w:color w:val="auto"/>
        </w:rPr>
      </w:pPr>
      <w:bookmarkStart w:id="63" w:name="_Ref111290809"/>
      <w:r>
        <w:rPr>
          <w:color w:val="auto"/>
        </w:rPr>
        <w:t>表</w:t>
      </w:r>
      <w:r>
        <w:rPr>
          <w:color w:val="auto"/>
        </w:rPr>
        <w:t>2.3</w:t>
      </w:r>
      <w:r>
        <w:rPr>
          <w:color w:val="auto"/>
        </w:rPr>
        <w:noBreakHyphen/>
        <w:t>2</w:t>
      </w:r>
      <w:bookmarkEnd w:id="63"/>
      <w:r>
        <w:rPr>
          <w:color w:val="auto"/>
        </w:rPr>
        <w:t xml:space="preserve">  </w:t>
      </w:r>
      <w:r>
        <w:rPr>
          <w:color w:val="auto"/>
        </w:rPr>
        <w:t>评价因子筛选一览表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95"/>
        <w:gridCol w:w="6337"/>
      </w:tblGrid>
      <w:tr w:rsidR="002E474C" w14:paraId="4777A49F" w14:textId="77777777">
        <w:trPr>
          <w:trHeight w:val="90"/>
          <w:tblHeader/>
        </w:trPr>
        <w:tc>
          <w:tcPr>
            <w:tcW w:w="1280" w:type="pct"/>
            <w:gridSpan w:val="2"/>
            <w:vAlign w:val="center"/>
          </w:tcPr>
          <w:p w14:paraId="4DE0466F" w14:textId="77777777" w:rsidR="002E474C" w:rsidRDefault="00000000">
            <w:pPr>
              <w:pStyle w:val="A-"/>
            </w:pPr>
            <w:r>
              <w:rPr>
                <w:lang w:val="zh-CN"/>
              </w:rPr>
              <w:t>类别</w:t>
            </w:r>
          </w:p>
        </w:tc>
        <w:tc>
          <w:tcPr>
            <w:tcW w:w="3720" w:type="pct"/>
            <w:vAlign w:val="center"/>
          </w:tcPr>
          <w:p w14:paraId="2FFAE6DE" w14:textId="77777777" w:rsidR="002E474C" w:rsidRDefault="00000000">
            <w:pPr>
              <w:pStyle w:val="A-"/>
            </w:pPr>
            <w:r>
              <w:t>评价因子</w:t>
            </w:r>
          </w:p>
        </w:tc>
      </w:tr>
      <w:tr w:rsidR="002E474C" w14:paraId="6D961600" w14:textId="77777777">
        <w:trPr>
          <w:trHeight w:val="340"/>
        </w:trPr>
        <w:tc>
          <w:tcPr>
            <w:tcW w:w="637" w:type="pct"/>
            <w:vMerge w:val="restart"/>
            <w:vAlign w:val="center"/>
          </w:tcPr>
          <w:p w14:paraId="53F336A9" w14:textId="77777777" w:rsidR="002E474C" w:rsidRDefault="00000000">
            <w:pPr>
              <w:pStyle w:val="A-"/>
            </w:pPr>
            <w:r>
              <w:rPr>
                <w:lang w:val="zh-CN"/>
              </w:rPr>
              <w:t>环境空气</w:t>
            </w:r>
          </w:p>
        </w:tc>
        <w:tc>
          <w:tcPr>
            <w:tcW w:w="643" w:type="pct"/>
            <w:vAlign w:val="center"/>
          </w:tcPr>
          <w:p w14:paraId="3484D580" w14:textId="77777777" w:rsidR="002E474C" w:rsidRDefault="00000000">
            <w:pPr>
              <w:pStyle w:val="A-"/>
              <w:rPr>
                <w:lang w:val="zh-CN"/>
              </w:rPr>
            </w:pPr>
            <w:r>
              <w:rPr>
                <w:lang w:val="zh-CN"/>
              </w:rPr>
              <w:t>现状评价</w:t>
            </w:r>
          </w:p>
        </w:tc>
        <w:tc>
          <w:tcPr>
            <w:tcW w:w="3720" w:type="pct"/>
            <w:vAlign w:val="center"/>
          </w:tcPr>
          <w:p w14:paraId="66FF5CC0" w14:textId="77777777" w:rsidR="002E474C" w:rsidRDefault="00000000">
            <w:pPr>
              <w:pStyle w:val="A-"/>
            </w:pPr>
            <w:r>
              <w:t>PM</w:t>
            </w:r>
            <w:r>
              <w:rPr>
                <w:vertAlign w:val="subscript"/>
              </w:rPr>
              <w:t>10</w:t>
            </w:r>
            <w:r>
              <w:t>、</w:t>
            </w:r>
            <w:r>
              <w:t>PM</w:t>
            </w:r>
            <w:r>
              <w:rPr>
                <w:vertAlign w:val="subscript"/>
              </w:rPr>
              <w:t>2.5</w:t>
            </w:r>
            <w:r>
              <w:t>、</w:t>
            </w:r>
            <w:r>
              <w:t>NO</w:t>
            </w:r>
            <w:r>
              <w:rPr>
                <w:vertAlign w:val="subscript"/>
              </w:rPr>
              <w:t>2</w:t>
            </w:r>
            <w:r>
              <w:t>、</w:t>
            </w:r>
            <w:r>
              <w:t>SO</w:t>
            </w:r>
            <w:r>
              <w:rPr>
                <w:vertAlign w:val="subscript"/>
              </w:rPr>
              <w:t>2</w:t>
            </w:r>
            <w:r>
              <w:t>、</w:t>
            </w:r>
            <w:r>
              <w:t>CO</w:t>
            </w:r>
            <w:r>
              <w:t>、</w:t>
            </w:r>
            <w:r>
              <w:t>O</w:t>
            </w:r>
            <w:r>
              <w:rPr>
                <w:vertAlign w:val="subscript"/>
              </w:rPr>
              <w:t>3</w:t>
            </w:r>
            <w:r>
              <w:t>、</w:t>
            </w:r>
            <w:r>
              <w:t>TSP</w:t>
            </w:r>
            <w:r>
              <w:t>、</w:t>
            </w:r>
            <w:r>
              <w:t>NO</w:t>
            </w:r>
            <w:r>
              <w:rPr>
                <w:vertAlign w:val="subscript"/>
              </w:rPr>
              <w:t>x</w:t>
            </w:r>
            <w:r>
              <w:t>、铅（</w:t>
            </w:r>
            <w:r>
              <w:t>Pb</w:t>
            </w:r>
            <w:r>
              <w:t>）、镉（</w:t>
            </w:r>
            <w:r>
              <w:t>Cd</w:t>
            </w:r>
            <w:r>
              <w:t>）、汞（</w:t>
            </w:r>
            <w:r>
              <w:t>Hg</w:t>
            </w:r>
            <w:r>
              <w:t>）、砷（</w:t>
            </w:r>
            <w:r>
              <w:t>As</w:t>
            </w:r>
            <w:r>
              <w:t>）、六价铬（</w:t>
            </w:r>
            <w:r>
              <w:t>Cr</w:t>
            </w:r>
            <w:r>
              <w:t>（</w:t>
            </w:r>
            <w:r>
              <w:t>Ⅵ</w:t>
            </w:r>
            <w:r>
              <w:t>））、氟化物（</w:t>
            </w:r>
            <w:r>
              <w:t>F</w:t>
            </w:r>
            <w:r>
              <w:t>）、非甲烷总烃（</w:t>
            </w:r>
            <w:r>
              <w:t>NMHC</w:t>
            </w:r>
            <w:r>
              <w:t>）、</w:t>
            </w:r>
            <w:r>
              <w:t>HCl</w:t>
            </w:r>
            <w:r>
              <w:t>、</w:t>
            </w:r>
            <w:r>
              <w:t>NH</w:t>
            </w:r>
            <w:r>
              <w:rPr>
                <w:vertAlign w:val="subscript"/>
              </w:rPr>
              <w:t>3</w:t>
            </w:r>
            <w:r>
              <w:t>、</w:t>
            </w:r>
            <w:r>
              <w:t>H</w:t>
            </w:r>
            <w:r>
              <w:rPr>
                <w:vertAlign w:val="subscript"/>
              </w:rPr>
              <w:t>2</w:t>
            </w:r>
            <w:r>
              <w:t>S</w:t>
            </w:r>
            <w:r>
              <w:t>、锰及其化合物、镍（</w:t>
            </w:r>
            <w:r>
              <w:t>Ni</w:t>
            </w:r>
            <w:r>
              <w:t>）、二噁英类、臭气浓度</w:t>
            </w:r>
          </w:p>
        </w:tc>
      </w:tr>
      <w:tr w:rsidR="002E474C" w14:paraId="6478E028" w14:textId="77777777">
        <w:trPr>
          <w:trHeight w:val="340"/>
        </w:trPr>
        <w:tc>
          <w:tcPr>
            <w:tcW w:w="637" w:type="pct"/>
            <w:vMerge/>
            <w:vAlign w:val="center"/>
          </w:tcPr>
          <w:p w14:paraId="31D6FF8D" w14:textId="77777777" w:rsidR="002E474C" w:rsidRDefault="002E474C">
            <w:pPr>
              <w:pStyle w:val="A-"/>
              <w:rPr>
                <w:lang w:val="zh-CN"/>
              </w:rPr>
            </w:pPr>
          </w:p>
        </w:tc>
        <w:tc>
          <w:tcPr>
            <w:tcW w:w="643" w:type="pct"/>
            <w:vAlign w:val="center"/>
          </w:tcPr>
          <w:p w14:paraId="2016A050" w14:textId="77777777" w:rsidR="002E474C" w:rsidRDefault="00000000">
            <w:pPr>
              <w:pStyle w:val="A-"/>
              <w:rPr>
                <w:lang w:val="zh-CN"/>
              </w:rPr>
            </w:pPr>
            <w:r>
              <w:rPr>
                <w:lang w:val="zh-CN"/>
              </w:rPr>
              <w:t>影响预测</w:t>
            </w:r>
          </w:p>
        </w:tc>
        <w:tc>
          <w:tcPr>
            <w:tcW w:w="3720" w:type="pct"/>
            <w:vAlign w:val="center"/>
          </w:tcPr>
          <w:p w14:paraId="1F10D99B" w14:textId="77777777" w:rsidR="002E474C" w:rsidRDefault="00000000">
            <w:pPr>
              <w:pStyle w:val="A-"/>
            </w:pPr>
            <w:r>
              <w:t>TSP</w:t>
            </w:r>
            <w:r>
              <w:t>、</w:t>
            </w:r>
            <w:r>
              <w:t>PM</w:t>
            </w:r>
            <w:r>
              <w:rPr>
                <w:vertAlign w:val="subscript"/>
              </w:rPr>
              <w:t>10</w:t>
            </w:r>
            <w:r>
              <w:t>、</w:t>
            </w:r>
            <w:r>
              <w:t>PM</w:t>
            </w:r>
            <w:r>
              <w:rPr>
                <w:vertAlign w:val="subscript"/>
              </w:rPr>
              <w:t>2.5</w:t>
            </w:r>
            <w:r>
              <w:t>、</w:t>
            </w:r>
            <w:r>
              <w:t>Pb</w:t>
            </w:r>
            <w:r>
              <w:t>、</w:t>
            </w:r>
            <w:r>
              <w:t>Cd</w:t>
            </w:r>
            <w:r>
              <w:t>、</w:t>
            </w:r>
            <w:r>
              <w:t>Hg</w:t>
            </w:r>
            <w:r>
              <w:t>、</w:t>
            </w:r>
            <w:r>
              <w:t>As</w:t>
            </w:r>
            <w:r>
              <w:t>、</w:t>
            </w:r>
            <w:r>
              <w:t>Cr</w:t>
            </w:r>
            <w:r>
              <w:t>（</w:t>
            </w:r>
            <w:r>
              <w:t>Ⅵ</w:t>
            </w:r>
            <w:r>
              <w:t>）、</w:t>
            </w:r>
            <w:r>
              <w:t>NMHC</w:t>
            </w:r>
            <w:r>
              <w:t>、</w:t>
            </w:r>
            <w:r>
              <w:t>HCl</w:t>
            </w:r>
            <w:r>
              <w:t>、</w:t>
            </w:r>
            <w:r>
              <w:t>HF</w:t>
            </w:r>
            <w:r>
              <w:t>、</w:t>
            </w:r>
            <w:r>
              <w:t>NH</w:t>
            </w:r>
            <w:r>
              <w:rPr>
                <w:vertAlign w:val="subscript"/>
              </w:rPr>
              <w:t>3</w:t>
            </w:r>
            <w:r>
              <w:t>、</w:t>
            </w:r>
            <w:r>
              <w:t>H</w:t>
            </w:r>
            <w:r>
              <w:rPr>
                <w:vertAlign w:val="subscript"/>
              </w:rPr>
              <w:t>2</w:t>
            </w:r>
            <w:r>
              <w:t>S</w:t>
            </w:r>
            <w:r>
              <w:t>、</w:t>
            </w:r>
            <w:r>
              <w:t>Mn</w:t>
            </w:r>
            <w:r>
              <w:t>、</w:t>
            </w:r>
            <w:r>
              <w:t>Ni</w:t>
            </w:r>
            <w:r>
              <w:t>、二噁英类</w:t>
            </w:r>
          </w:p>
        </w:tc>
      </w:tr>
      <w:tr w:rsidR="002E474C" w14:paraId="7933FC70" w14:textId="77777777">
        <w:trPr>
          <w:trHeight w:val="340"/>
        </w:trPr>
        <w:tc>
          <w:tcPr>
            <w:tcW w:w="637" w:type="pct"/>
            <w:vMerge w:val="restart"/>
            <w:vAlign w:val="center"/>
          </w:tcPr>
          <w:p w14:paraId="0C3C3800" w14:textId="77777777" w:rsidR="002E474C" w:rsidRDefault="00000000">
            <w:pPr>
              <w:pStyle w:val="A-"/>
            </w:pPr>
            <w:r>
              <w:t>水环境</w:t>
            </w:r>
          </w:p>
        </w:tc>
        <w:tc>
          <w:tcPr>
            <w:tcW w:w="643" w:type="pct"/>
            <w:vAlign w:val="center"/>
          </w:tcPr>
          <w:p w14:paraId="7D3D06D4" w14:textId="77777777" w:rsidR="002E474C" w:rsidRDefault="00000000">
            <w:pPr>
              <w:pStyle w:val="A-"/>
              <w:rPr>
                <w:lang w:val="zh-CN"/>
              </w:rPr>
            </w:pPr>
            <w:r>
              <w:rPr>
                <w:lang w:val="zh-CN"/>
              </w:rPr>
              <w:t>现状评价</w:t>
            </w:r>
          </w:p>
        </w:tc>
        <w:tc>
          <w:tcPr>
            <w:tcW w:w="3720" w:type="pct"/>
            <w:vAlign w:val="center"/>
          </w:tcPr>
          <w:p w14:paraId="293BE103" w14:textId="77777777" w:rsidR="002E474C" w:rsidRDefault="00000000">
            <w:pPr>
              <w:pStyle w:val="A-"/>
            </w:pPr>
            <w:r>
              <w:t>地下水：</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r>
              <w:t>pH</w:t>
            </w:r>
            <w:r>
              <w:t>、总硬度、耗氧量、溶解性总固体、硫酸盐、氯化物、铁、锰、铜、锌、挥发酚、阴离子表面活性剂、硝酸盐、亚硝酸盐、氨氮、硫化物、氟化物、氰化物、汞、砷、镉、六价铬、铅、总大肠菌群</w:t>
            </w:r>
          </w:p>
        </w:tc>
      </w:tr>
      <w:tr w:rsidR="002E474C" w14:paraId="3C049184" w14:textId="77777777">
        <w:trPr>
          <w:trHeight w:val="340"/>
        </w:trPr>
        <w:tc>
          <w:tcPr>
            <w:tcW w:w="637" w:type="pct"/>
            <w:vMerge/>
            <w:vAlign w:val="center"/>
          </w:tcPr>
          <w:p w14:paraId="5A685869" w14:textId="77777777" w:rsidR="002E474C" w:rsidRDefault="002E474C">
            <w:pPr>
              <w:pStyle w:val="A-"/>
            </w:pPr>
          </w:p>
        </w:tc>
        <w:tc>
          <w:tcPr>
            <w:tcW w:w="643" w:type="pct"/>
            <w:vAlign w:val="center"/>
          </w:tcPr>
          <w:p w14:paraId="70149A92" w14:textId="77777777" w:rsidR="002E474C" w:rsidRDefault="00000000">
            <w:pPr>
              <w:pStyle w:val="A-"/>
              <w:rPr>
                <w:lang w:val="zh-CN"/>
              </w:rPr>
            </w:pPr>
            <w:r>
              <w:rPr>
                <w:lang w:val="zh-CN"/>
              </w:rPr>
              <w:t>影响预测</w:t>
            </w:r>
          </w:p>
        </w:tc>
        <w:tc>
          <w:tcPr>
            <w:tcW w:w="3720" w:type="pct"/>
            <w:vAlign w:val="center"/>
          </w:tcPr>
          <w:p w14:paraId="617AB87E" w14:textId="77777777" w:rsidR="002E474C" w:rsidRDefault="00000000">
            <w:pPr>
              <w:pStyle w:val="A-"/>
            </w:pPr>
            <w:r>
              <w:t>COD</w:t>
            </w:r>
            <w:r>
              <w:t>、氨氮、石油类</w:t>
            </w:r>
          </w:p>
        </w:tc>
      </w:tr>
      <w:tr w:rsidR="002E474C" w14:paraId="37FD6E8B" w14:textId="77777777">
        <w:trPr>
          <w:trHeight w:val="340"/>
        </w:trPr>
        <w:tc>
          <w:tcPr>
            <w:tcW w:w="637" w:type="pct"/>
            <w:vMerge w:val="restart"/>
            <w:vAlign w:val="center"/>
          </w:tcPr>
          <w:p w14:paraId="164F4355" w14:textId="77777777" w:rsidR="002E474C" w:rsidRDefault="00000000">
            <w:pPr>
              <w:pStyle w:val="A-"/>
            </w:pPr>
            <w:r>
              <w:t>声环境</w:t>
            </w:r>
          </w:p>
        </w:tc>
        <w:tc>
          <w:tcPr>
            <w:tcW w:w="643" w:type="pct"/>
            <w:vAlign w:val="center"/>
          </w:tcPr>
          <w:p w14:paraId="79D6C734" w14:textId="77777777" w:rsidR="002E474C" w:rsidRDefault="00000000">
            <w:pPr>
              <w:pStyle w:val="A-"/>
            </w:pPr>
            <w:r>
              <w:t>现状评价</w:t>
            </w:r>
          </w:p>
        </w:tc>
        <w:tc>
          <w:tcPr>
            <w:tcW w:w="3720" w:type="pct"/>
            <w:vAlign w:val="center"/>
          </w:tcPr>
          <w:p w14:paraId="3FA4FFFD" w14:textId="77777777" w:rsidR="002E474C" w:rsidRDefault="00000000">
            <w:pPr>
              <w:pStyle w:val="A-"/>
              <w:rPr>
                <w:lang w:val="zh-CN"/>
              </w:rPr>
            </w:pPr>
            <w:r>
              <w:t>昼、夜等效连续</w:t>
            </w:r>
            <w:r>
              <w:t>A</w:t>
            </w:r>
            <w:r>
              <w:t>声级</w:t>
            </w:r>
          </w:p>
        </w:tc>
      </w:tr>
      <w:tr w:rsidR="002E474C" w14:paraId="33E3EFD3" w14:textId="77777777">
        <w:trPr>
          <w:trHeight w:val="340"/>
        </w:trPr>
        <w:tc>
          <w:tcPr>
            <w:tcW w:w="637" w:type="pct"/>
            <w:vMerge/>
            <w:vAlign w:val="center"/>
          </w:tcPr>
          <w:p w14:paraId="108697FA" w14:textId="77777777" w:rsidR="002E474C" w:rsidRDefault="002E474C">
            <w:pPr>
              <w:pStyle w:val="A-"/>
            </w:pPr>
          </w:p>
        </w:tc>
        <w:tc>
          <w:tcPr>
            <w:tcW w:w="643" w:type="pct"/>
            <w:vAlign w:val="center"/>
          </w:tcPr>
          <w:p w14:paraId="1680FE41" w14:textId="77777777" w:rsidR="002E474C" w:rsidRDefault="00000000">
            <w:pPr>
              <w:pStyle w:val="A-"/>
            </w:pPr>
            <w:r>
              <w:t>影响预测</w:t>
            </w:r>
          </w:p>
        </w:tc>
        <w:tc>
          <w:tcPr>
            <w:tcW w:w="3720" w:type="pct"/>
            <w:vAlign w:val="center"/>
          </w:tcPr>
          <w:p w14:paraId="6DA6D26F" w14:textId="77777777" w:rsidR="002E474C" w:rsidRDefault="00000000">
            <w:pPr>
              <w:pStyle w:val="A-"/>
              <w:rPr>
                <w:lang w:val="zh-CN"/>
              </w:rPr>
            </w:pPr>
            <w:r>
              <w:t>昼、夜等效连续</w:t>
            </w:r>
            <w:r>
              <w:t>A</w:t>
            </w:r>
            <w:r>
              <w:t>声级</w:t>
            </w:r>
          </w:p>
        </w:tc>
      </w:tr>
      <w:tr w:rsidR="002E474C" w14:paraId="54E40E5A" w14:textId="77777777">
        <w:trPr>
          <w:trHeight w:val="340"/>
        </w:trPr>
        <w:tc>
          <w:tcPr>
            <w:tcW w:w="637" w:type="pct"/>
            <w:vMerge w:val="restart"/>
            <w:vAlign w:val="center"/>
          </w:tcPr>
          <w:p w14:paraId="4A744319" w14:textId="77777777" w:rsidR="002E474C" w:rsidRDefault="00000000">
            <w:pPr>
              <w:pStyle w:val="A-"/>
            </w:pPr>
            <w:r>
              <w:t>土壤环境</w:t>
            </w:r>
          </w:p>
        </w:tc>
        <w:tc>
          <w:tcPr>
            <w:tcW w:w="643" w:type="pct"/>
            <w:vAlign w:val="center"/>
          </w:tcPr>
          <w:p w14:paraId="693F00ED" w14:textId="77777777" w:rsidR="002E474C" w:rsidRDefault="00000000">
            <w:pPr>
              <w:pStyle w:val="A-"/>
            </w:pPr>
            <w:r>
              <w:t>现状评价</w:t>
            </w:r>
          </w:p>
        </w:tc>
        <w:tc>
          <w:tcPr>
            <w:tcW w:w="3720" w:type="pct"/>
            <w:vAlign w:val="center"/>
          </w:tcPr>
          <w:p w14:paraId="3113850D" w14:textId="77777777" w:rsidR="002E474C" w:rsidRDefault="00000000">
            <w:pPr>
              <w:pStyle w:val="A-"/>
            </w:pPr>
            <w:r>
              <w:t>pH</w:t>
            </w:r>
            <w:r>
              <w:t>、砷、镉、铬（六价）、铜、铅、汞、镍、四氯化碳、氯仿、氯甲烷、</w:t>
            </w:r>
            <w:r>
              <w:t>1</w:t>
            </w:r>
            <w:r>
              <w:t>，</w:t>
            </w:r>
            <w:r>
              <w:t>1-</w:t>
            </w:r>
            <w:r>
              <w:t>二氯乙烷、</w:t>
            </w:r>
            <w:r>
              <w:t>1.2-</w:t>
            </w:r>
            <w:r>
              <w:t>二氯乙烷、</w:t>
            </w:r>
            <w:r>
              <w:t>1</w:t>
            </w:r>
            <w:r>
              <w:t>，</w:t>
            </w:r>
            <w:r>
              <w:t>1-</w:t>
            </w:r>
            <w:r>
              <w:t>二氯乙烯、顺</w:t>
            </w:r>
            <w:r>
              <w:t>-1</w:t>
            </w:r>
            <w:r>
              <w:t>，</w:t>
            </w:r>
            <w:r>
              <w:t>2-</w:t>
            </w:r>
            <w:r>
              <w:t>二氯乙烯、反</w:t>
            </w:r>
            <w:r>
              <w:t>-1.2-</w:t>
            </w:r>
            <w:r>
              <w:t>二氯乙烯、二氯乙烷、</w:t>
            </w:r>
            <w:r>
              <w:t>1</w:t>
            </w:r>
            <w:r>
              <w:t>，</w:t>
            </w:r>
            <w:r>
              <w:t>2-</w:t>
            </w:r>
            <w:r>
              <w:t>二氯丙烷、</w:t>
            </w:r>
            <w:r>
              <w:t>1</w:t>
            </w:r>
            <w:r>
              <w:t>，</w:t>
            </w:r>
            <w:r>
              <w:t>1</w:t>
            </w:r>
            <w:r>
              <w:t>，</w:t>
            </w:r>
            <w:r>
              <w:t>1</w:t>
            </w:r>
            <w:r>
              <w:t>，</w:t>
            </w:r>
            <w:r>
              <w:t>2-</w:t>
            </w:r>
            <w:r>
              <w:t>四氯乙烷、</w:t>
            </w:r>
            <w:r>
              <w:t>1</w:t>
            </w:r>
            <w:r>
              <w:t>，</w:t>
            </w:r>
            <w:r>
              <w:t>1</w:t>
            </w:r>
            <w:r>
              <w:t>，</w:t>
            </w:r>
            <w:r>
              <w:t>2</w:t>
            </w:r>
            <w:r>
              <w:t>，</w:t>
            </w:r>
            <w:r>
              <w:t>2-</w:t>
            </w:r>
            <w:r>
              <w:t>四氯乙烷、四氯乙烯、</w:t>
            </w:r>
            <w:r>
              <w:t>1</w:t>
            </w:r>
            <w:r>
              <w:t>，</w:t>
            </w:r>
            <w:r>
              <w:t>1</w:t>
            </w:r>
            <w:r>
              <w:t>，</w:t>
            </w:r>
            <w:r>
              <w:t>1-</w:t>
            </w:r>
            <w:r>
              <w:t>三氯乙烷、</w:t>
            </w:r>
            <w:r>
              <w:t>1</w:t>
            </w:r>
            <w:r>
              <w:t>，</w:t>
            </w:r>
            <w:r>
              <w:t>1</w:t>
            </w:r>
            <w:r>
              <w:t>，</w:t>
            </w:r>
            <w:r>
              <w:t>2-</w:t>
            </w:r>
            <w:r>
              <w:t>三氯乙烷、三氯乙烯、</w:t>
            </w:r>
            <w:r>
              <w:t>1</w:t>
            </w:r>
            <w:r>
              <w:t>，</w:t>
            </w:r>
            <w:r>
              <w:t>2</w:t>
            </w:r>
            <w:r>
              <w:t>，</w:t>
            </w:r>
            <w:r>
              <w:t>3-</w:t>
            </w:r>
            <w:r>
              <w:t>三氯丙烷、氯乙烯、苯、氯苯、</w:t>
            </w:r>
            <w:r>
              <w:t>1</w:t>
            </w:r>
            <w:r>
              <w:t>，</w:t>
            </w:r>
            <w:r>
              <w:t>2-</w:t>
            </w:r>
            <w:r>
              <w:t>二氯苯，</w:t>
            </w:r>
            <w:r>
              <w:t>1</w:t>
            </w:r>
            <w:r>
              <w:t>，</w:t>
            </w:r>
            <w:r>
              <w:t>4-</w:t>
            </w:r>
            <w:r>
              <w:t>二氯苯、乙苯、苯乙烯、甲苯、间二甲苯</w:t>
            </w:r>
            <w:r>
              <w:t>+</w:t>
            </w:r>
            <w:r>
              <w:t>对二甲苯、邻二甲苯、硝基苯、苯胺、</w:t>
            </w:r>
            <w:r>
              <w:t>2-</w:t>
            </w:r>
            <w:r>
              <w:t>氯酚、苯并〔</w:t>
            </w:r>
            <w:r>
              <w:t>a</w:t>
            </w:r>
            <w:r>
              <w:t>〕蒽、苯并〔</w:t>
            </w:r>
            <w:r>
              <w:t>a</w:t>
            </w:r>
            <w:r>
              <w:t>〕芘、苯并〔</w:t>
            </w:r>
            <w:r>
              <w:t>b</w:t>
            </w:r>
            <w:r>
              <w:t>〕荧蒽、苯并〔</w:t>
            </w:r>
            <w:r>
              <w:t>k</w:t>
            </w:r>
            <w:r>
              <w:t>〕荧蒽、䓛、</w:t>
            </w:r>
            <w:r>
              <w:lastRenderedPageBreak/>
              <w:t>二苯并〔</w:t>
            </w:r>
            <w:r>
              <w:t>a</w:t>
            </w:r>
            <w:r>
              <w:t>，</w:t>
            </w:r>
            <w:r>
              <w:t>h</w:t>
            </w:r>
            <w:r>
              <w:t>〕蒽、茚并〔</w:t>
            </w:r>
            <w:r>
              <w:t>1</w:t>
            </w:r>
            <w:r>
              <w:t>，</w:t>
            </w:r>
            <w:r>
              <w:t>2</w:t>
            </w:r>
            <w:r>
              <w:t>，</w:t>
            </w:r>
            <w:r>
              <w:t>3-cd</w:t>
            </w:r>
            <w:r>
              <w:t>〕芘、萘、</w:t>
            </w:r>
            <w:r>
              <w:rPr>
                <w:lang w:val="zh-CN"/>
              </w:rPr>
              <w:t>钴、钒、</w:t>
            </w:r>
            <w:r>
              <w:t>石油烃（</w:t>
            </w:r>
            <w:r>
              <w:t>C</w:t>
            </w:r>
            <w:r>
              <w:rPr>
                <w:vertAlign w:val="subscript"/>
              </w:rPr>
              <w:t>10</w:t>
            </w:r>
            <w:r>
              <w:t>-C</w:t>
            </w:r>
            <w:r>
              <w:rPr>
                <w:vertAlign w:val="subscript"/>
              </w:rPr>
              <w:t>40</w:t>
            </w:r>
            <w:r>
              <w:t>）、氰化物、二噁英类</w:t>
            </w:r>
          </w:p>
        </w:tc>
      </w:tr>
      <w:tr w:rsidR="002E474C" w14:paraId="6EEA995A" w14:textId="77777777">
        <w:trPr>
          <w:trHeight w:val="340"/>
        </w:trPr>
        <w:tc>
          <w:tcPr>
            <w:tcW w:w="637" w:type="pct"/>
            <w:vMerge/>
            <w:vAlign w:val="center"/>
          </w:tcPr>
          <w:p w14:paraId="4C07693D" w14:textId="77777777" w:rsidR="002E474C" w:rsidRDefault="002E474C">
            <w:pPr>
              <w:pStyle w:val="A-"/>
            </w:pPr>
          </w:p>
        </w:tc>
        <w:tc>
          <w:tcPr>
            <w:tcW w:w="643" w:type="pct"/>
            <w:vAlign w:val="center"/>
          </w:tcPr>
          <w:p w14:paraId="535D1B21" w14:textId="77777777" w:rsidR="002E474C" w:rsidRDefault="00000000">
            <w:pPr>
              <w:pStyle w:val="A-"/>
            </w:pPr>
            <w:r>
              <w:t>影响预测</w:t>
            </w:r>
          </w:p>
        </w:tc>
        <w:tc>
          <w:tcPr>
            <w:tcW w:w="3720" w:type="pct"/>
            <w:vAlign w:val="center"/>
          </w:tcPr>
          <w:p w14:paraId="35E6B641" w14:textId="77777777" w:rsidR="002E474C" w:rsidRDefault="00000000">
            <w:pPr>
              <w:pStyle w:val="A-"/>
            </w:pPr>
            <w:r>
              <w:t>汞、砷、镉、铬、铅、</w:t>
            </w:r>
            <w:r>
              <w:t>COD</w:t>
            </w:r>
            <w:r>
              <w:t>、二噁英类</w:t>
            </w:r>
            <w:r>
              <w:rPr>
                <w:rFonts w:hint="eastAsia"/>
              </w:rPr>
              <w:t>、石油烃</w:t>
            </w:r>
          </w:p>
        </w:tc>
      </w:tr>
      <w:tr w:rsidR="002E474C" w14:paraId="1E1F0CEC" w14:textId="77777777">
        <w:trPr>
          <w:trHeight w:val="340"/>
        </w:trPr>
        <w:tc>
          <w:tcPr>
            <w:tcW w:w="637" w:type="pct"/>
            <w:vMerge w:val="restart"/>
            <w:vAlign w:val="center"/>
          </w:tcPr>
          <w:p w14:paraId="390A054F" w14:textId="77777777" w:rsidR="002E474C" w:rsidRDefault="00000000">
            <w:pPr>
              <w:pStyle w:val="A-"/>
            </w:pPr>
            <w:r>
              <w:t>固体废物</w:t>
            </w:r>
          </w:p>
        </w:tc>
        <w:tc>
          <w:tcPr>
            <w:tcW w:w="643" w:type="pct"/>
            <w:vAlign w:val="center"/>
          </w:tcPr>
          <w:p w14:paraId="507A8C07" w14:textId="77777777" w:rsidR="002E474C" w:rsidRDefault="00000000">
            <w:pPr>
              <w:pStyle w:val="A-"/>
              <w:rPr>
                <w:lang w:val="zh-CN"/>
              </w:rPr>
            </w:pPr>
            <w:r>
              <w:t>现状评价</w:t>
            </w:r>
          </w:p>
        </w:tc>
        <w:tc>
          <w:tcPr>
            <w:tcW w:w="3720" w:type="pct"/>
            <w:vAlign w:val="center"/>
          </w:tcPr>
          <w:p w14:paraId="085ACAB4" w14:textId="77777777" w:rsidR="002E474C" w:rsidRDefault="00000000">
            <w:pPr>
              <w:pStyle w:val="A-"/>
            </w:pPr>
            <w:r>
              <w:t>-</w:t>
            </w:r>
          </w:p>
        </w:tc>
      </w:tr>
      <w:tr w:rsidR="002E474C" w14:paraId="2514E459" w14:textId="77777777">
        <w:trPr>
          <w:trHeight w:val="340"/>
        </w:trPr>
        <w:tc>
          <w:tcPr>
            <w:tcW w:w="637" w:type="pct"/>
            <w:vMerge/>
            <w:vAlign w:val="center"/>
          </w:tcPr>
          <w:p w14:paraId="283F6FAF" w14:textId="77777777" w:rsidR="002E474C" w:rsidRDefault="002E474C">
            <w:pPr>
              <w:pStyle w:val="A-"/>
            </w:pPr>
          </w:p>
        </w:tc>
        <w:tc>
          <w:tcPr>
            <w:tcW w:w="643" w:type="pct"/>
            <w:vAlign w:val="center"/>
          </w:tcPr>
          <w:p w14:paraId="24AC5E06" w14:textId="77777777" w:rsidR="002E474C" w:rsidRDefault="00000000">
            <w:pPr>
              <w:pStyle w:val="A-"/>
              <w:rPr>
                <w:lang w:val="zh-CN"/>
              </w:rPr>
            </w:pPr>
            <w:r>
              <w:rPr>
                <w:lang w:val="zh-CN"/>
              </w:rPr>
              <w:t>影响分析</w:t>
            </w:r>
          </w:p>
        </w:tc>
        <w:tc>
          <w:tcPr>
            <w:tcW w:w="3720" w:type="pct"/>
            <w:vAlign w:val="center"/>
          </w:tcPr>
          <w:p w14:paraId="039FD0AB" w14:textId="77777777" w:rsidR="002E474C" w:rsidRDefault="00000000">
            <w:pPr>
              <w:pStyle w:val="A-"/>
            </w:pPr>
            <w:r>
              <w:t>废包装物、滤渣、污泥、废活性炭、废润滑油、废滤袋、收尘灰等</w:t>
            </w:r>
          </w:p>
        </w:tc>
      </w:tr>
      <w:tr w:rsidR="002E474C" w14:paraId="27DD1773" w14:textId="77777777">
        <w:trPr>
          <w:trHeight w:val="340"/>
        </w:trPr>
        <w:tc>
          <w:tcPr>
            <w:tcW w:w="637" w:type="pct"/>
            <w:vAlign w:val="center"/>
          </w:tcPr>
          <w:p w14:paraId="2D88F4F6" w14:textId="77777777" w:rsidR="002E474C" w:rsidRDefault="00000000">
            <w:pPr>
              <w:pStyle w:val="A-"/>
            </w:pPr>
            <w:r>
              <w:t>生态环境影响</w:t>
            </w:r>
          </w:p>
        </w:tc>
        <w:tc>
          <w:tcPr>
            <w:tcW w:w="643" w:type="pct"/>
            <w:vAlign w:val="center"/>
          </w:tcPr>
          <w:p w14:paraId="7A2A57E8" w14:textId="77777777" w:rsidR="002E474C" w:rsidRDefault="00000000">
            <w:pPr>
              <w:pStyle w:val="A-"/>
              <w:rPr>
                <w:lang w:val="zh-CN"/>
              </w:rPr>
            </w:pPr>
            <w:r>
              <w:t>环境影响</w:t>
            </w:r>
          </w:p>
        </w:tc>
        <w:tc>
          <w:tcPr>
            <w:tcW w:w="3720" w:type="pct"/>
            <w:vAlign w:val="center"/>
          </w:tcPr>
          <w:p w14:paraId="457B579E" w14:textId="77777777" w:rsidR="002E474C" w:rsidRDefault="00000000">
            <w:pPr>
              <w:pStyle w:val="A-"/>
            </w:pPr>
            <w:r>
              <w:rPr>
                <w:rFonts w:eastAsiaTheme="minorEastAsia" w:hint="eastAsia"/>
              </w:rPr>
              <w:t>重金属</w:t>
            </w:r>
            <w:r>
              <w:rPr>
                <w:rFonts w:hint="eastAsia"/>
              </w:rPr>
              <w:t>及二噁英类</w:t>
            </w:r>
          </w:p>
        </w:tc>
      </w:tr>
      <w:tr w:rsidR="002E474C" w14:paraId="084AA85E" w14:textId="77777777">
        <w:trPr>
          <w:trHeight w:val="340"/>
        </w:trPr>
        <w:tc>
          <w:tcPr>
            <w:tcW w:w="637" w:type="pct"/>
            <w:vAlign w:val="center"/>
          </w:tcPr>
          <w:p w14:paraId="67D96274" w14:textId="77777777" w:rsidR="002E474C" w:rsidRDefault="00000000">
            <w:pPr>
              <w:pStyle w:val="A-"/>
            </w:pPr>
            <w:r>
              <w:t>环境风险</w:t>
            </w:r>
          </w:p>
        </w:tc>
        <w:tc>
          <w:tcPr>
            <w:tcW w:w="643" w:type="pct"/>
            <w:vAlign w:val="center"/>
          </w:tcPr>
          <w:p w14:paraId="19A2E784" w14:textId="77777777" w:rsidR="002E474C" w:rsidRDefault="00000000">
            <w:pPr>
              <w:pStyle w:val="A-"/>
              <w:rPr>
                <w:lang w:val="zh-CN"/>
              </w:rPr>
            </w:pPr>
            <w:r>
              <w:t>环境影响</w:t>
            </w:r>
          </w:p>
        </w:tc>
        <w:tc>
          <w:tcPr>
            <w:tcW w:w="3720" w:type="pct"/>
            <w:vAlign w:val="center"/>
          </w:tcPr>
          <w:p w14:paraId="19987199" w14:textId="77777777" w:rsidR="002E474C" w:rsidRDefault="00000000">
            <w:pPr>
              <w:pStyle w:val="A-"/>
            </w:pPr>
            <w:r>
              <w:t>汞、砷、镉、铬、铅、</w:t>
            </w:r>
            <w:r>
              <w:t>COD</w:t>
            </w:r>
            <w:r>
              <w:t>、二噁英类</w:t>
            </w:r>
            <w:r>
              <w:rPr>
                <w:rFonts w:hint="eastAsia"/>
              </w:rPr>
              <w:t>、石油烃</w:t>
            </w:r>
          </w:p>
        </w:tc>
      </w:tr>
    </w:tbl>
    <w:p w14:paraId="3329D0F3" w14:textId="77777777" w:rsidR="002E474C" w:rsidRDefault="002E474C">
      <w:bookmarkStart w:id="64" w:name="_Toc225848847"/>
    </w:p>
    <w:p w14:paraId="6641D9F5" w14:textId="77777777" w:rsidR="002E474C" w:rsidRDefault="00000000">
      <w:pPr>
        <w:pStyle w:val="21"/>
        <w:spacing w:before="240" w:after="240"/>
        <w:rPr>
          <w:color w:val="auto"/>
          <w:lang w:val="zh-CN"/>
        </w:rPr>
      </w:pPr>
      <w:bookmarkStart w:id="65" w:name="_Toc1549"/>
      <w:r>
        <w:rPr>
          <w:color w:val="auto"/>
          <w:lang w:val="zh-CN"/>
        </w:rPr>
        <w:t>环境功能区划及评价标准</w:t>
      </w:r>
      <w:bookmarkEnd w:id="64"/>
      <w:bookmarkEnd w:id="65"/>
    </w:p>
    <w:p w14:paraId="07538A7D" w14:textId="77777777" w:rsidR="002E474C" w:rsidRDefault="00000000">
      <w:pPr>
        <w:pStyle w:val="31"/>
        <w:spacing w:before="120" w:after="120"/>
        <w:rPr>
          <w:color w:val="auto"/>
        </w:rPr>
      </w:pPr>
      <w:r>
        <w:rPr>
          <w:color w:val="auto"/>
        </w:rPr>
        <w:t>环境功能区划</w:t>
      </w:r>
    </w:p>
    <w:p w14:paraId="2AF481E7" w14:textId="77777777" w:rsidR="002E474C" w:rsidRDefault="00000000">
      <w:pPr>
        <w:pStyle w:val="A-z"/>
        <w:rPr>
          <w:color w:val="auto"/>
        </w:rPr>
      </w:pPr>
      <w:r>
        <w:rPr>
          <w:color w:val="auto"/>
        </w:rPr>
        <w:t>（</w:t>
      </w:r>
      <w:r>
        <w:rPr>
          <w:color w:val="auto"/>
        </w:rPr>
        <w:t>1</w:t>
      </w:r>
      <w:r>
        <w:rPr>
          <w:color w:val="auto"/>
        </w:rPr>
        <w:t>）环境空气</w:t>
      </w:r>
    </w:p>
    <w:p w14:paraId="01284002" w14:textId="77777777" w:rsidR="002E474C" w:rsidRDefault="00000000">
      <w:pPr>
        <w:pStyle w:val="A-z"/>
        <w:rPr>
          <w:color w:val="auto"/>
        </w:rPr>
      </w:pPr>
      <w:r>
        <w:rPr>
          <w:color w:val="auto"/>
        </w:rPr>
        <w:t>本项目位于托克逊县阿乐惠镇，根据环境空气功能区划分分类，评价区环境空气功能区为二类区，执行《环境空气质量标准》（</w:t>
      </w:r>
      <w:r>
        <w:rPr>
          <w:color w:val="auto"/>
        </w:rPr>
        <w:t>GB3095-2026</w:t>
      </w:r>
      <w:r>
        <w:rPr>
          <w:color w:val="auto"/>
        </w:rPr>
        <w:t>）中二级浓度限值。</w:t>
      </w:r>
    </w:p>
    <w:p w14:paraId="002C2BFA" w14:textId="77777777" w:rsidR="002E474C" w:rsidRDefault="00000000">
      <w:pPr>
        <w:pStyle w:val="A-z"/>
        <w:rPr>
          <w:color w:val="auto"/>
        </w:rPr>
      </w:pPr>
      <w:r>
        <w:rPr>
          <w:color w:val="auto"/>
        </w:rPr>
        <w:t>（</w:t>
      </w:r>
      <w:r>
        <w:rPr>
          <w:color w:val="auto"/>
        </w:rPr>
        <w:t>2</w:t>
      </w:r>
      <w:r>
        <w:rPr>
          <w:color w:val="auto"/>
        </w:rPr>
        <w:t>水环境</w:t>
      </w:r>
    </w:p>
    <w:p w14:paraId="399FBF7B" w14:textId="77777777" w:rsidR="002E474C" w:rsidRDefault="00000000">
      <w:pPr>
        <w:pStyle w:val="A-z"/>
        <w:rPr>
          <w:color w:val="auto"/>
        </w:rPr>
      </w:pPr>
      <w:r>
        <w:rPr>
          <w:color w:val="auto"/>
          <w:lang w:val="en-US"/>
        </w:rPr>
        <w:t>根据《中国新疆水环境功能区划》阿拉沟渠现状使用功能为饮用、农业为</w:t>
      </w:r>
      <w:r>
        <w:rPr>
          <w:color w:val="auto"/>
          <w:lang w:val="en-US"/>
        </w:rPr>
        <w:t>Ⅱ</w:t>
      </w:r>
      <w:r>
        <w:rPr>
          <w:color w:val="auto"/>
          <w:lang w:val="en-US"/>
        </w:rPr>
        <w:t>类水体，阿拉沟渠（铁克阿门断面）执行《地表水环境质量标准》（</w:t>
      </w:r>
      <w:r>
        <w:rPr>
          <w:color w:val="auto"/>
          <w:lang w:val="en-US"/>
        </w:rPr>
        <w:t>GB3838-2002</w:t>
      </w:r>
      <w:r>
        <w:rPr>
          <w:color w:val="auto"/>
          <w:lang w:val="en-US"/>
        </w:rPr>
        <w:t>）的</w:t>
      </w:r>
      <w:r>
        <w:rPr>
          <w:color w:val="auto"/>
          <w:lang w:val="en-US"/>
        </w:rPr>
        <w:t>Ⅱ</w:t>
      </w:r>
      <w:r>
        <w:rPr>
          <w:color w:val="auto"/>
          <w:lang w:val="en-US"/>
        </w:rPr>
        <w:t>类水质标准。</w:t>
      </w:r>
    </w:p>
    <w:p w14:paraId="4081B6B9" w14:textId="77777777" w:rsidR="002E474C" w:rsidRDefault="00000000">
      <w:pPr>
        <w:pStyle w:val="A-z"/>
        <w:rPr>
          <w:color w:val="auto"/>
        </w:rPr>
      </w:pPr>
      <w:r>
        <w:rPr>
          <w:color w:val="auto"/>
        </w:rPr>
        <w:t>根据《地下水质量标准》（</w:t>
      </w:r>
      <w:r>
        <w:rPr>
          <w:color w:val="auto"/>
        </w:rPr>
        <w:t>GB/T14848-2017</w:t>
      </w:r>
      <w:r>
        <w:rPr>
          <w:color w:val="auto"/>
        </w:rPr>
        <w:t>）中地下水质量分类</w:t>
      </w:r>
      <w:r>
        <w:rPr>
          <w:color w:val="auto"/>
        </w:rPr>
        <w:t>“</w:t>
      </w:r>
      <w:r>
        <w:rPr>
          <w:color w:val="auto"/>
        </w:rPr>
        <w:t>以人体健康基准值为依据</w:t>
      </w:r>
      <w:r>
        <w:rPr>
          <w:color w:val="auto"/>
        </w:rPr>
        <w:t>”</w:t>
      </w:r>
      <w:r>
        <w:rPr>
          <w:color w:val="auto"/>
        </w:rPr>
        <w:t>的要求，主要适用于集中式生活饮用水水源及工、农业用水的地下水为</w:t>
      </w:r>
      <w:r>
        <w:rPr>
          <w:color w:val="auto"/>
        </w:rPr>
        <w:t>Ⅲ</w:t>
      </w:r>
      <w:r>
        <w:rPr>
          <w:color w:val="auto"/>
        </w:rPr>
        <w:t>类水质。本项目所在区域地下水执行《地下水质量标准》（</w:t>
      </w:r>
      <w:r>
        <w:rPr>
          <w:color w:val="auto"/>
        </w:rPr>
        <w:t>GB/T14848-2017</w:t>
      </w:r>
      <w:r>
        <w:rPr>
          <w:color w:val="auto"/>
        </w:rPr>
        <w:t>）中的</w:t>
      </w:r>
      <w:r>
        <w:rPr>
          <w:color w:val="auto"/>
        </w:rPr>
        <w:t>Ⅲ</w:t>
      </w:r>
      <w:r>
        <w:rPr>
          <w:color w:val="auto"/>
        </w:rPr>
        <w:t>类标准。</w:t>
      </w:r>
    </w:p>
    <w:p w14:paraId="4B4BADE6" w14:textId="77777777" w:rsidR="002E474C" w:rsidRDefault="00000000">
      <w:pPr>
        <w:pStyle w:val="A-z"/>
        <w:rPr>
          <w:color w:val="auto"/>
        </w:rPr>
      </w:pPr>
      <w:r>
        <w:rPr>
          <w:color w:val="auto"/>
        </w:rPr>
        <w:t>（</w:t>
      </w:r>
      <w:r>
        <w:rPr>
          <w:color w:val="auto"/>
        </w:rPr>
        <w:t>3</w:t>
      </w:r>
      <w:r>
        <w:rPr>
          <w:color w:val="auto"/>
        </w:rPr>
        <w:t>）声环境</w:t>
      </w:r>
    </w:p>
    <w:p w14:paraId="315B3077" w14:textId="77777777" w:rsidR="002E474C" w:rsidRDefault="00000000">
      <w:pPr>
        <w:pStyle w:val="A-z"/>
        <w:rPr>
          <w:color w:val="auto"/>
        </w:rPr>
      </w:pPr>
      <w:r>
        <w:rPr>
          <w:color w:val="auto"/>
        </w:rPr>
        <w:t>按照《声环境质量标准》（</w:t>
      </w:r>
      <w:r>
        <w:rPr>
          <w:color w:val="auto"/>
        </w:rPr>
        <w:t>GB3096-2008</w:t>
      </w:r>
      <w:r>
        <w:rPr>
          <w:color w:val="auto"/>
        </w:rPr>
        <w:t>）和《声环境功能区划分技术规范》（</w:t>
      </w:r>
      <w:r>
        <w:rPr>
          <w:color w:val="auto"/>
        </w:rPr>
        <w:t>GB/T15190-2014</w:t>
      </w:r>
      <w:r>
        <w:rPr>
          <w:color w:val="auto"/>
        </w:rPr>
        <w:t>）的有关规定，项目所在地为</w:t>
      </w:r>
      <w:r>
        <w:rPr>
          <w:color w:val="auto"/>
        </w:rPr>
        <w:t>3</w:t>
      </w:r>
      <w:r>
        <w:rPr>
          <w:color w:val="auto"/>
        </w:rPr>
        <w:t>类声环境功能区，执行《声环境质量标准》（</w:t>
      </w:r>
      <w:r>
        <w:rPr>
          <w:color w:val="auto"/>
        </w:rPr>
        <w:t>GB3096-2008</w:t>
      </w:r>
      <w:r>
        <w:rPr>
          <w:color w:val="auto"/>
        </w:rPr>
        <w:t>）中</w:t>
      </w:r>
      <w:r>
        <w:rPr>
          <w:color w:val="auto"/>
        </w:rPr>
        <w:t>3</w:t>
      </w:r>
      <w:r>
        <w:rPr>
          <w:color w:val="auto"/>
        </w:rPr>
        <w:t>类声环境功能区噪声限值。</w:t>
      </w:r>
    </w:p>
    <w:p w14:paraId="125F0BE4" w14:textId="77777777" w:rsidR="002E474C" w:rsidRDefault="00000000">
      <w:pPr>
        <w:pStyle w:val="A-z"/>
        <w:rPr>
          <w:color w:val="auto"/>
        </w:rPr>
      </w:pPr>
      <w:r>
        <w:rPr>
          <w:color w:val="auto"/>
        </w:rPr>
        <w:t>（</w:t>
      </w:r>
      <w:r>
        <w:rPr>
          <w:color w:val="auto"/>
        </w:rPr>
        <w:t>4</w:t>
      </w:r>
      <w:r>
        <w:rPr>
          <w:color w:val="auto"/>
        </w:rPr>
        <w:t>）土壤环境</w:t>
      </w:r>
    </w:p>
    <w:p w14:paraId="6357E851" w14:textId="77777777" w:rsidR="002E474C" w:rsidRDefault="00000000">
      <w:pPr>
        <w:pStyle w:val="A-z"/>
        <w:rPr>
          <w:color w:val="auto"/>
        </w:rPr>
      </w:pPr>
      <w:r>
        <w:rPr>
          <w:color w:val="auto"/>
        </w:rPr>
        <w:t>本项目位于托克逊能源工业园圣雄同心工业园，厂区及周边用地为三类工业用地，执行《土壤环境质量</w:t>
      </w:r>
      <w:r>
        <w:rPr>
          <w:color w:val="auto"/>
        </w:rPr>
        <w:t xml:space="preserve"> </w:t>
      </w:r>
      <w:r>
        <w:rPr>
          <w:color w:val="auto"/>
        </w:rPr>
        <w:t>建设用地土壤污染风险管控标准（试行）》（</w:t>
      </w:r>
      <w:r>
        <w:rPr>
          <w:color w:val="auto"/>
        </w:rPr>
        <w:t>GB36600-2018</w:t>
      </w:r>
      <w:r>
        <w:rPr>
          <w:color w:val="auto"/>
        </w:rPr>
        <w:t>）的</w:t>
      </w:r>
      <w:r>
        <w:rPr>
          <w:color w:val="auto"/>
          <w:lang w:val="en-US"/>
        </w:rPr>
        <w:t>建设用地（第二类用地）土壤污染风险筛选值</w:t>
      </w:r>
      <w:r>
        <w:rPr>
          <w:color w:val="auto"/>
        </w:rPr>
        <w:t>。</w:t>
      </w:r>
    </w:p>
    <w:p w14:paraId="3E7857FF" w14:textId="77777777" w:rsidR="002E474C" w:rsidRDefault="00000000">
      <w:pPr>
        <w:pStyle w:val="A-z"/>
        <w:rPr>
          <w:color w:val="auto"/>
        </w:rPr>
      </w:pPr>
      <w:r>
        <w:rPr>
          <w:color w:val="auto"/>
        </w:rPr>
        <w:lastRenderedPageBreak/>
        <w:t>（</w:t>
      </w:r>
      <w:r>
        <w:rPr>
          <w:color w:val="auto"/>
        </w:rPr>
        <w:t>5</w:t>
      </w:r>
      <w:r>
        <w:rPr>
          <w:color w:val="auto"/>
        </w:rPr>
        <w:t>）生态</w:t>
      </w:r>
    </w:p>
    <w:p w14:paraId="29D4B30C" w14:textId="77777777" w:rsidR="002E474C" w:rsidRDefault="00000000">
      <w:pPr>
        <w:pStyle w:val="A-z"/>
        <w:rPr>
          <w:color w:val="auto"/>
        </w:rPr>
      </w:pPr>
      <w:r>
        <w:rPr>
          <w:color w:val="auto"/>
        </w:rPr>
        <w:t>根据《新疆生态功能区划》，项目所在区域属</w:t>
      </w:r>
      <w:r>
        <w:rPr>
          <w:color w:val="auto"/>
          <w:lang w:val="en-US"/>
        </w:rPr>
        <w:t>天山山地温性草原、森林生态区</w:t>
      </w:r>
      <w:r>
        <w:rPr>
          <w:color w:val="auto"/>
        </w:rPr>
        <w:t>，</w:t>
      </w:r>
      <w:r>
        <w:rPr>
          <w:color w:val="auto"/>
          <w:lang w:val="en-US"/>
        </w:rPr>
        <w:t>天山南坡草原牧业、绿洲农业生态亚区，觉罗塔格</w:t>
      </w:r>
      <w:r>
        <w:rPr>
          <w:color w:val="auto"/>
          <w:lang w:val="en-US"/>
        </w:rPr>
        <w:t>—</w:t>
      </w:r>
      <w:r>
        <w:rPr>
          <w:color w:val="auto"/>
          <w:lang w:val="en-US"/>
        </w:rPr>
        <w:t>库鲁克塔格山矿业开发、植被保护生态功能区</w:t>
      </w:r>
      <w:r>
        <w:rPr>
          <w:color w:val="auto"/>
        </w:rPr>
        <w:t>。</w:t>
      </w:r>
    </w:p>
    <w:p w14:paraId="5FE58BEE" w14:textId="77777777" w:rsidR="002E474C" w:rsidRDefault="00000000">
      <w:pPr>
        <w:pStyle w:val="31"/>
        <w:spacing w:before="120" w:after="120"/>
        <w:rPr>
          <w:color w:val="auto"/>
        </w:rPr>
      </w:pPr>
      <w:r>
        <w:rPr>
          <w:color w:val="auto"/>
        </w:rPr>
        <w:t>环境质量标准</w:t>
      </w:r>
    </w:p>
    <w:p w14:paraId="043608A0" w14:textId="77777777" w:rsidR="002E474C" w:rsidRDefault="00000000">
      <w:pPr>
        <w:pStyle w:val="A-z"/>
        <w:rPr>
          <w:color w:val="auto"/>
        </w:rPr>
      </w:pPr>
      <w:r>
        <w:rPr>
          <w:color w:val="auto"/>
        </w:rPr>
        <w:t>（</w:t>
      </w:r>
      <w:r>
        <w:rPr>
          <w:color w:val="auto"/>
        </w:rPr>
        <w:t>1</w:t>
      </w:r>
      <w:r>
        <w:rPr>
          <w:color w:val="auto"/>
        </w:rPr>
        <w:t>）环境空气质量标准</w:t>
      </w:r>
    </w:p>
    <w:p w14:paraId="27F58977" w14:textId="77777777" w:rsidR="002E474C" w:rsidRDefault="00000000">
      <w:pPr>
        <w:pStyle w:val="A-z"/>
        <w:rPr>
          <w:color w:val="auto"/>
        </w:rPr>
      </w:pPr>
      <w:bookmarkStart w:id="66" w:name="_Hlk230878825"/>
      <w:r>
        <w:rPr>
          <w:color w:val="auto"/>
          <w:szCs w:val="24"/>
        </w:rPr>
        <w:t>基本</w:t>
      </w:r>
      <w:r>
        <w:rPr>
          <w:color w:val="auto"/>
        </w:rPr>
        <w:t>污染物及</w:t>
      </w:r>
      <w:r>
        <w:rPr>
          <w:color w:val="auto"/>
        </w:rPr>
        <w:t>NOx</w:t>
      </w:r>
      <w:r>
        <w:rPr>
          <w:color w:val="auto"/>
        </w:rPr>
        <w:t>采用《环境空气质量标准》（</w:t>
      </w:r>
      <w:r>
        <w:rPr>
          <w:color w:val="auto"/>
        </w:rPr>
        <w:t>GB3095-2026</w:t>
      </w:r>
      <w:r>
        <w:rPr>
          <w:color w:val="auto"/>
        </w:rPr>
        <w:t>）过渡阶段二级浓度限值进行达标区判定及环境质量现状</w:t>
      </w:r>
      <w:r>
        <w:rPr>
          <w:color w:val="auto"/>
          <w:szCs w:val="24"/>
        </w:rPr>
        <w:t>评价。</w:t>
      </w:r>
      <w:bookmarkEnd w:id="66"/>
      <w:r>
        <w:rPr>
          <w:color w:val="auto"/>
          <w:szCs w:val="24"/>
        </w:rPr>
        <w:t>其他污染物</w:t>
      </w:r>
      <w:r>
        <w:rPr>
          <w:color w:val="auto"/>
        </w:rPr>
        <w:t>采用《环境空气质量标准》（</w:t>
      </w:r>
      <w:r>
        <w:rPr>
          <w:color w:val="auto"/>
        </w:rPr>
        <w:t>GB3095-2026</w:t>
      </w:r>
      <w:r>
        <w:rPr>
          <w:color w:val="auto"/>
        </w:rPr>
        <w:t>）二级浓度限值进行环境质量现状</w:t>
      </w:r>
      <w:r>
        <w:rPr>
          <w:color w:val="auto"/>
          <w:szCs w:val="24"/>
        </w:rPr>
        <w:t>评价。</w:t>
      </w:r>
      <w:r>
        <w:rPr>
          <w:color w:val="auto"/>
        </w:rPr>
        <w:t>HCl</w:t>
      </w:r>
      <w:r>
        <w:rPr>
          <w:color w:val="auto"/>
        </w:rPr>
        <w:t>、</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、锰及其化合物等参照执行《环境影响评价技术导则</w:t>
      </w:r>
      <w:r>
        <w:rPr>
          <w:color w:val="auto"/>
        </w:rPr>
        <w:t xml:space="preserve"> </w:t>
      </w:r>
      <w:r>
        <w:rPr>
          <w:color w:val="auto"/>
        </w:rPr>
        <w:t>大气环境》（</w:t>
      </w:r>
      <w:r>
        <w:rPr>
          <w:color w:val="auto"/>
        </w:rPr>
        <w:t>HJ2.2-2018</w:t>
      </w:r>
      <w:r>
        <w:rPr>
          <w:color w:val="auto"/>
        </w:rPr>
        <w:t>）中附录</w:t>
      </w:r>
      <w:r>
        <w:rPr>
          <w:color w:val="auto"/>
        </w:rPr>
        <w:t>D</w:t>
      </w:r>
      <w:r>
        <w:rPr>
          <w:color w:val="auto"/>
        </w:rPr>
        <w:t>浓度参考限值；镍、</w:t>
      </w:r>
      <w:r>
        <w:rPr>
          <w:color w:val="auto"/>
        </w:rPr>
        <w:t>NMHC</w:t>
      </w:r>
      <w:r>
        <w:rPr>
          <w:color w:val="auto"/>
        </w:rPr>
        <w:t>参照执行《大气污染物综合排放标准详解》中的推荐值；</w:t>
      </w:r>
      <w:bookmarkStart w:id="67" w:name="_Hlk151237280"/>
      <w:r>
        <w:rPr>
          <w:color w:val="auto"/>
        </w:rPr>
        <w:t>根据《关于进一步加强生物质发电项目环境影响评价管理工作的通知》（环发〔</w:t>
      </w:r>
      <w:r>
        <w:rPr>
          <w:color w:val="auto"/>
        </w:rPr>
        <w:t>2008</w:t>
      </w:r>
      <w:r>
        <w:rPr>
          <w:color w:val="auto"/>
        </w:rPr>
        <w:t>〕</w:t>
      </w:r>
      <w:r>
        <w:rPr>
          <w:color w:val="auto"/>
        </w:rPr>
        <w:t>82</w:t>
      </w:r>
      <w:r>
        <w:rPr>
          <w:color w:val="auto"/>
        </w:rPr>
        <w:t>号），在国家尚未制定二噁英类环境质量标准前，对二噁英类环境质量影响的评价参照日本年平均浓度标准（</w:t>
      </w:r>
      <w:r>
        <w:rPr>
          <w:color w:val="auto"/>
        </w:rPr>
        <w:t>0.6pgTEQ/m</w:t>
      </w:r>
      <w:r>
        <w:rPr>
          <w:color w:val="auto"/>
          <w:vertAlign w:val="superscript"/>
        </w:rPr>
        <w:t>3</w:t>
      </w:r>
      <w:r>
        <w:rPr>
          <w:color w:val="auto"/>
        </w:rPr>
        <w:t>）</w:t>
      </w:r>
      <w:bookmarkEnd w:id="67"/>
      <w:r>
        <w:rPr>
          <w:color w:val="auto"/>
        </w:rPr>
        <w:t>评价。本项目各评价因子环境空气质量标准值见表</w:t>
      </w:r>
      <w:r>
        <w:rPr>
          <w:color w:val="auto"/>
        </w:rPr>
        <w:t>2.4-1</w:t>
      </w:r>
      <w:r>
        <w:rPr>
          <w:color w:val="auto"/>
        </w:rPr>
        <w:t>。</w:t>
      </w:r>
    </w:p>
    <w:p w14:paraId="11A75B92" w14:textId="77777777" w:rsidR="002E474C" w:rsidRDefault="00000000">
      <w:pPr>
        <w:pStyle w:val="A--"/>
        <w:rPr>
          <w:color w:val="auto"/>
        </w:rPr>
      </w:pPr>
      <w:bookmarkStart w:id="68" w:name="_Ref7340173"/>
      <w:r>
        <w:rPr>
          <w:color w:val="auto"/>
        </w:rPr>
        <w:t>表</w:t>
      </w:r>
      <w:bookmarkEnd w:id="68"/>
      <w:r>
        <w:rPr>
          <w:color w:val="auto"/>
        </w:rPr>
        <w:t xml:space="preserve">2.4-1  </w:t>
      </w:r>
      <w:r>
        <w:rPr>
          <w:color w:val="auto"/>
        </w:rPr>
        <w:t>环境空气污染物浓度限值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
        <w:gridCol w:w="1308"/>
        <w:gridCol w:w="1255"/>
        <w:gridCol w:w="2025"/>
        <w:gridCol w:w="969"/>
        <w:gridCol w:w="2638"/>
      </w:tblGrid>
      <w:tr w:rsidR="002E474C" w14:paraId="2A3C2B44" w14:textId="77777777">
        <w:tc>
          <w:tcPr>
            <w:tcW w:w="192" w:type="pct"/>
            <w:vMerge w:val="restart"/>
            <w:shd w:val="clear" w:color="auto" w:fill="auto"/>
            <w:tcMar>
              <w:top w:w="15" w:type="dxa"/>
              <w:left w:w="15" w:type="dxa"/>
              <w:bottom w:w="0" w:type="dxa"/>
              <w:right w:w="15" w:type="dxa"/>
            </w:tcMar>
            <w:vAlign w:val="center"/>
          </w:tcPr>
          <w:p w14:paraId="5C70B280" w14:textId="77777777" w:rsidR="002E474C" w:rsidRDefault="00000000">
            <w:pPr>
              <w:pStyle w:val="A-"/>
            </w:pPr>
            <w:bookmarkStart w:id="69" w:name="_Hlk230878889"/>
            <w:r>
              <w:t>序号</w:t>
            </w:r>
          </w:p>
        </w:tc>
        <w:tc>
          <w:tcPr>
            <w:tcW w:w="770" w:type="pct"/>
            <w:vMerge w:val="restart"/>
            <w:shd w:val="clear" w:color="auto" w:fill="auto"/>
            <w:tcMar>
              <w:top w:w="15" w:type="dxa"/>
              <w:left w:w="15" w:type="dxa"/>
              <w:bottom w:w="0" w:type="dxa"/>
              <w:right w:w="15" w:type="dxa"/>
            </w:tcMar>
            <w:vAlign w:val="center"/>
          </w:tcPr>
          <w:p w14:paraId="6A7CB6C2" w14:textId="77777777" w:rsidR="002E474C" w:rsidRDefault="00000000">
            <w:pPr>
              <w:pStyle w:val="A-"/>
            </w:pPr>
            <w:r>
              <w:t>污染物</w:t>
            </w:r>
          </w:p>
        </w:tc>
        <w:tc>
          <w:tcPr>
            <w:tcW w:w="2487" w:type="pct"/>
            <w:gridSpan w:val="3"/>
            <w:shd w:val="clear" w:color="auto" w:fill="auto"/>
            <w:noWrap/>
            <w:tcMar>
              <w:top w:w="15" w:type="dxa"/>
              <w:left w:w="15" w:type="dxa"/>
              <w:bottom w:w="0" w:type="dxa"/>
              <w:right w:w="15" w:type="dxa"/>
            </w:tcMar>
            <w:vAlign w:val="center"/>
          </w:tcPr>
          <w:p w14:paraId="4D7C1DA6" w14:textId="77777777" w:rsidR="002E474C" w:rsidRDefault="00000000">
            <w:pPr>
              <w:pStyle w:val="A-"/>
            </w:pPr>
            <w:r>
              <w:t>标准限值（</w:t>
            </w:r>
            <w:proofErr w:type="spellStart"/>
            <w:r>
              <w:t>μg</w:t>
            </w:r>
            <w:proofErr w:type="spellEnd"/>
            <w:r>
              <w:t>/m</w:t>
            </w:r>
            <w:r>
              <w:rPr>
                <w:vertAlign w:val="superscript"/>
              </w:rPr>
              <w:t>3</w:t>
            </w:r>
            <w:r>
              <w:t>）</w:t>
            </w:r>
          </w:p>
        </w:tc>
        <w:tc>
          <w:tcPr>
            <w:tcW w:w="1551" w:type="pct"/>
            <w:vMerge w:val="restart"/>
            <w:shd w:val="clear" w:color="auto" w:fill="auto"/>
            <w:tcMar>
              <w:top w:w="15" w:type="dxa"/>
              <w:left w:w="15" w:type="dxa"/>
              <w:bottom w:w="0" w:type="dxa"/>
              <w:right w:w="15" w:type="dxa"/>
            </w:tcMar>
            <w:vAlign w:val="center"/>
          </w:tcPr>
          <w:p w14:paraId="2D8A35BC" w14:textId="77777777" w:rsidR="002E474C" w:rsidRDefault="00000000">
            <w:pPr>
              <w:pStyle w:val="A-"/>
            </w:pPr>
            <w:r>
              <w:t>标准来源</w:t>
            </w:r>
          </w:p>
        </w:tc>
      </w:tr>
      <w:tr w:rsidR="002E474C" w14:paraId="049448A1" w14:textId="77777777">
        <w:tc>
          <w:tcPr>
            <w:tcW w:w="192" w:type="pct"/>
            <w:vMerge/>
            <w:vAlign w:val="center"/>
          </w:tcPr>
          <w:p w14:paraId="61548B7F" w14:textId="77777777" w:rsidR="002E474C" w:rsidRDefault="002E474C">
            <w:pPr>
              <w:pStyle w:val="A-"/>
            </w:pPr>
          </w:p>
        </w:tc>
        <w:tc>
          <w:tcPr>
            <w:tcW w:w="770" w:type="pct"/>
            <w:vMerge/>
            <w:vAlign w:val="center"/>
          </w:tcPr>
          <w:p w14:paraId="03785F08" w14:textId="77777777" w:rsidR="002E474C" w:rsidRDefault="002E474C">
            <w:pPr>
              <w:pStyle w:val="A-"/>
            </w:pPr>
          </w:p>
        </w:tc>
        <w:tc>
          <w:tcPr>
            <w:tcW w:w="733" w:type="pct"/>
            <w:shd w:val="clear" w:color="auto" w:fill="auto"/>
            <w:tcMar>
              <w:top w:w="15" w:type="dxa"/>
              <w:left w:w="15" w:type="dxa"/>
              <w:bottom w:w="0" w:type="dxa"/>
              <w:right w:w="15" w:type="dxa"/>
            </w:tcMar>
            <w:vAlign w:val="center"/>
          </w:tcPr>
          <w:p w14:paraId="3BE26BDB" w14:textId="77777777" w:rsidR="002E474C" w:rsidRDefault="00000000">
            <w:pPr>
              <w:pStyle w:val="A-"/>
            </w:pPr>
            <w:r>
              <w:t>年平均</w:t>
            </w:r>
          </w:p>
        </w:tc>
        <w:tc>
          <w:tcPr>
            <w:tcW w:w="1183" w:type="pct"/>
            <w:shd w:val="clear" w:color="auto" w:fill="auto"/>
            <w:tcMar>
              <w:top w:w="15" w:type="dxa"/>
              <w:left w:w="15" w:type="dxa"/>
              <w:bottom w:w="0" w:type="dxa"/>
              <w:right w:w="15" w:type="dxa"/>
            </w:tcMar>
            <w:vAlign w:val="center"/>
          </w:tcPr>
          <w:p w14:paraId="78508201" w14:textId="77777777" w:rsidR="002E474C" w:rsidRDefault="00000000">
            <w:pPr>
              <w:pStyle w:val="A-"/>
            </w:pPr>
            <w:r>
              <w:t>日平均</w:t>
            </w:r>
          </w:p>
        </w:tc>
        <w:tc>
          <w:tcPr>
            <w:tcW w:w="571" w:type="pct"/>
            <w:shd w:val="clear" w:color="auto" w:fill="auto"/>
            <w:tcMar>
              <w:top w:w="15" w:type="dxa"/>
              <w:left w:w="15" w:type="dxa"/>
              <w:bottom w:w="0" w:type="dxa"/>
              <w:right w:w="15" w:type="dxa"/>
            </w:tcMar>
            <w:vAlign w:val="center"/>
          </w:tcPr>
          <w:p w14:paraId="43984B36" w14:textId="77777777" w:rsidR="002E474C" w:rsidRDefault="00000000">
            <w:pPr>
              <w:pStyle w:val="A-"/>
            </w:pPr>
            <w:r>
              <w:t>1h</w:t>
            </w:r>
            <w:r>
              <w:t>平均</w:t>
            </w:r>
          </w:p>
        </w:tc>
        <w:tc>
          <w:tcPr>
            <w:tcW w:w="1551" w:type="pct"/>
            <w:vMerge/>
            <w:vAlign w:val="center"/>
          </w:tcPr>
          <w:p w14:paraId="448A315B" w14:textId="77777777" w:rsidR="002E474C" w:rsidRDefault="002E474C">
            <w:pPr>
              <w:pStyle w:val="A-"/>
            </w:pPr>
          </w:p>
        </w:tc>
      </w:tr>
      <w:tr w:rsidR="002E474C" w14:paraId="643065E6" w14:textId="77777777">
        <w:tc>
          <w:tcPr>
            <w:tcW w:w="192" w:type="pct"/>
            <w:shd w:val="clear" w:color="auto" w:fill="auto"/>
            <w:noWrap/>
            <w:tcMar>
              <w:top w:w="15" w:type="dxa"/>
              <w:left w:w="15" w:type="dxa"/>
              <w:bottom w:w="0" w:type="dxa"/>
              <w:right w:w="15" w:type="dxa"/>
            </w:tcMar>
            <w:vAlign w:val="center"/>
          </w:tcPr>
          <w:p w14:paraId="47B2F06D"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36BE5852" w14:textId="77777777" w:rsidR="002E474C" w:rsidRDefault="00000000">
            <w:pPr>
              <w:pStyle w:val="A-"/>
            </w:pPr>
            <w:r>
              <w:t>SO</w:t>
            </w:r>
            <w:r>
              <w:rPr>
                <w:vertAlign w:val="subscript"/>
              </w:rPr>
              <w:t>2</w:t>
            </w:r>
          </w:p>
        </w:tc>
        <w:tc>
          <w:tcPr>
            <w:tcW w:w="733" w:type="pct"/>
            <w:shd w:val="clear" w:color="auto" w:fill="auto"/>
            <w:tcMar>
              <w:top w:w="15" w:type="dxa"/>
              <w:left w:w="15" w:type="dxa"/>
              <w:bottom w:w="0" w:type="dxa"/>
              <w:right w:w="15" w:type="dxa"/>
            </w:tcMar>
            <w:vAlign w:val="center"/>
          </w:tcPr>
          <w:p w14:paraId="3F4F09A5" w14:textId="77777777" w:rsidR="002E474C" w:rsidRDefault="00000000">
            <w:pPr>
              <w:pStyle w:val="A-"/>
            </w:pPr>
            <w:r>
              <w:t>60</w:t>
            </w:r>
          </w:p>
        </w:tc>
        <w:tc>
          <w:tcPr>
            <w:tcW w:w="1183" w:type="pct"/>
            <w:shd w:val="clear" w:color="auto" w:fill="auto"/>
            <w:tcMar>
              <w:top w:w="15" w:type="dxa"/>
              <w:left w:w="15" w:type="dxa"/>
              <w:bottom w:w="0" w:type="dxa"/>
              <w:right w:w="15" w:type="dxa"/>
            </w:tcMar>
            <w:vAlign w:val="center"/>
          </w:tcPr>
          <w:p w14:paraId="5631E033" w14:textId="77777777" w:rsidR="002E474C" w:rsidRDefault="00000000">
            <w:pPr>
              <w:pStyle w:val="A-"/>
            </w:pPr>
            <w:r>
              <w:t>150</w:t>
            </w:r>
          </w:p>
        </w:tc>
        <w:tc>
          <w:tcPr>
            <w:tcW w:w="571" w:type="pct"/>
            <w:shd w:val="clear" w:color="auto" w:fill="auto"/>
            <w:tcMar>
              <w:top w:w="15" w:type="dxa"/>
              <w:left w:w="15" w:type="dxa"/>
              <w:bottom w:w="0" w:type="dxa"/>
              <w:right w:w="15" w:type="dxa"/>
            </w:tcMar>
            <w:vAlign w:val="center"/>
          </w:tcPr>
          <w:p w14:paraId="5272D586" w14:textId="77777777" w:rsidR="002E474C" w:rsidRDefault="00000000">
            <w:pPr>
              <w:pStyle w:val="A-"/>
            </w:pPr>
            <w:r>
              <w:t>500</w:t>
            </w:r>
          </w:p>
        </w:tc>
        <w:tc>
          <w:tcPr>
            <w:tcW w:w="1551" w:type="pct"/>
            <w:vMerge w:val="restart"/>
            <w:shd w:val="clear" w:color="auto" w:fill="auto"/>
            <w:tcMar>
              <w:top w:w="15" w:type="dxa"/>
              <w:left w:w="15" w:type="dxa"/>
              <w:bottom w:w="0" w:type="dxa"/>
              <w:right w:w="15" w:type="dxa"/>
            </w:tcMar>
            <w:vAlign w:val="center"/>
          </w:tcPr>
          <w:p w14:paraId="1A765D15" w14:textId="77777777" w:rsidR="002E474C" w:rsidRDefault="00000000">
            <w:pPr>
              <w:pStyle w:val="A-"/>
            </w:pPr>
            <w:r>
              <w:t>《环境空气质量标准》</w:t>
            </w:r>
          </w:p>
          <w:p w14:paraId="49DDBB94" w14:textId="77777777" w:rsidR="002E474C" w:rsidRDefault="00000000">
            <w:pPr>
              <w:pStyle w:val="A-"/>
            </w:pPr>
            <w:r>
              <w:t>（</w:t>
            </w:r>
            <w:r>
              <w:t>GB3095-2012</w:t>
            </w:r>
            <w:r>
              <w:t>）</w:t>
            </w:r>
          </w:p>
          <w:p w14:paraId="5A720B82" w14:textId="77777777" w:rsidR="002E474C" w:rsidRDefault="00000000">
            <w:pPr>
              <w:pStyle w:val="A-"/>
            </w:pPr>
            <w:r>
              <w:t>二级浓度限值</w:t>
            </w:r>
          </w:p>
        </w:tc>
      </w:tr>
      <w:tr w:rsidR="002E474C" w14:paraId="05EB1581" w14:textId="77777777">
        <w:tc>
          <w:tcPr>
            <w:tcW w:w="192" w:type="pct"/>
            <w:shd w:val="clear" w:color="auto" w:fill="auto"/>
            <w:noWrap/>
            <w:tcMar>
              <w:top w:w="15" w:type="dxa"/>
              <w:left w:w="15" w:type="dxa"/>
              <w:bottom w:w="0" w:type="dxa"/>
              <w:right w:w="15" w:type="dxa"/>
            </w:tcMar>
            <w:vAlign w:val="center"/>
          </w:tcPr>
          <w:p w14:paraId="2FC20312"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40FC8D33" w14:textId="77777777" w:rsidR="002E474C" w:rsidRDefault="00000000">
            <w:pPr>
              <w:pStyle w:val="A-"/>
            </w:pPr>
            <w:r>
              <w:t>NO</w:t>
            </w:r>
            <w:r>
              <w:rPr>
                <w:vertAlign w:val="subscript"/>
              </w:rPr>
              <w:t>2</w:t>
            </w:r>
          </w:p>
        </w:tc>
        <w:tc>
          <w:tcPr>
            <w:tcW w:w="733" w:type="pct"/>
            <w:shd w:val="clear" w:color="auto" w:fill="auto"/>
            <w:tcMar>
              <w:top w:w="15" w:type="dxa"/>
              <w:left w:w="15" w:type="dxa"/>
              <w:bottom w:w="0" w:type="dxa"/>
              <w:right w:w="15" w:type="dxa"/>
            </w:tcMar>
            <w:vAlign w:val="center"/>
          </w:tcPr>
          <w:p w14:paraId="33C1B831" w14:textId="77777777" w:rsidR="002E474C" w:rsidRDefault="00000000">
            <w:pPr>
              <w:pStyle w:val="A-"/>
            </w:pPr>
            <w:r>
              <w:t>40</w:t>
            </w:r>
          </w:p>
        </w:tc>
        <w:tc>
          <w:tcPr>
            <w:tcW w:w="1183" w:type="pct"/>
            <w:shd w:val="clear" w:color="auto" w:fill="auto"/>
            <w:tcMar>
              <w:top w:w="15" w:type="dxa"/>
              <w:left w:w="15" w:type="dxa"/>
              <w:bottom w:w="0" w:type="dxa"/>
              <w:right w:w="15" w:type="dxa"/>
            </w:tcMar>
            <w:vAlign w:val="center"/>
          </w:tcPr>
          <w:p w14:paraId="29C40166" w14:textId="77777777" w:rsidR="002E474C" w:rsidRDefault="00000000">
            <w:pPr>
              <w:pStyle w:val="A-"/>
            </w:pPr>
            <w:r>
              <w:t>80</w:t>
            </w:r>
          </w:p>
        </w:tc>
        <w:tc>
          <w:tcPr>
            <w:tcW w:w="571" w:type="pct"/>
            <w:shd w:val="clear" w:color="auto" w:fill="auto"/>
            <w:tcMar>
              <w:top w:w="15" w:type="dxa"/>
              <w:left w:w="15" w:type="dxa"/>
              <w:bottom w:w="0" w:type="dxa"/>
              <w:right w:w="15" w:type="dxa"/>
            </w:tcMar>
            <w:vAlign w:val="center"/>
          </w:tcPr>
          <w:p w14:paraId="5F767879" w14:textId="77777777" w:rsidR="002E474C" w:rsidRDefault="00000000">
            <w:pPr>
              <w:pStyle w:val="A-"/>
            </w:pPr>
            <w:r>
              <w:t>200</w:t>
            </w:r>
          </w:p>
        </w:tc>
        <w:tc>
          <w:tcPr>
            <w:tcW w:w="1551" w:type="pct"/>
            <w:vMerge/>
            <w:vAlign w:val="center"/>
          </w:tcPr>
          <w:p w14:paraId="5EF8B2AA" w14:textId="77777777" w:rsidR="002E474C" w:rsidRDefault="002E474C">
            <w:pPr>
              <w:pStyle w:val="A-"/>
            </w:pPr>
          </w:p>
        </w:tc>
      </w:tr>
      <w:tr w:rsidR="002E474C" w14:paraId="3081AC6E" w14:textId="77777777">
        <w:tc>
          <w:tcPr>
            <w:tcW w:w="192" w:type="pct"/>
            <w:shd w:val="clear" w:color="auto" w:fill="auto"/>
            <w:noWrap/>
            <w:tcMar>
              <w:top w:w="15" w:type="dxa"/>
              <w:left w:w="15" w:type="dxa"/>
              <w:bottom w:w="0" w:type="dxa"/>
              <w:right w:w="15" w:type="dxa"/>
            </w:tcMar>
            <w:vAlign w:val="center"/>
          </w:tcPr>
          <w:p w14:paraId="26A49F00"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14749221" w14:textId="77777777" w:rsidR="002E474C" w:rsidRDefault="00000000">
            <w:pPr>
              <w:pStyle w:val="A-"/>
            </w:pPr>
            <w:r>
              <w:t>PM</w:t>
            </w:r>
            <w:r>
              <w:rPr>
                <w:vertAlign w:val="subscript"/>
              </w:rPr>
              <w:t>10</w:t>
            </w:r>
          </w:p>
        </w:tc>
        <w:tc>
          <w:tcPr>
            <w:tcW w:w="733" w:type="pct"/>
            <w:shd w:val="clear" w:color="auto" w:fill="auto"/>
            <w:tcMar>
              <w:top w:w="15" w:type="dxa"/>
              <w:left w:w="15" w:type="dxa"/>
              <w:bottom w:w="0" w:type="dxa"/>
              <w:right w:w="15" w:type="dxa"/>
            </w:tcMar>
            <w:vAlign w:val="center"/>
          </w:tcPr>
          <w:p w14:paraId="5716A845" w14:textId="77777777" w:rsidR="002E474C" w:rsidRDefault="00000000">
            <w:pPr>
              <w:pStyle w:val="A-"/>
            </w:pPr>
            <w:r>
              <w:t>70</w:t>
            </w:r>
          </w:p>
        </w:tc>
        <w:tc>
          <w:tcPr>
            <w:tcW w:w="1183" w:type="pct"/>
            <w:shd w:val="clear" w:color="auto" w:fill="auto"/>
            <w:tcMar>
              <w:top w:w="15" w:type="dxa"/>
              <w:left w:w="15" w:type="dxa"/>
              <w:bottom w:w="0" w:type="dxa"/>
              <w:right w:w="15" w:type="dxa"/>
            </w:tcMar>
            <w:vAlign w:val="center"/>
          </w:tcPr>
          <w:p w14:paraId="1B424652" w14:textId="77777777" w:rsidR="002E474C" w:rsidRDefault="00000000">
            <w:pPr>
              <w:pStyle w:val="A-"/>
            </w:pPr>
            <w:r>
              <w:t>150</w:t>
            </w:r>
          </w:p>
        </w:tc>
        <w:tc>
          <w:tcPr>
            <w:tcW w:w="571" w:type="pct"/>
            <w:shd w:val="clear" w:color="auto" w:fill="auto"/>
            <w:noWrap/>
            <w:tcMar>
              <w:top w:w="15" w:type="dxa"/>
              <w:left w:w="15" w:type="dxa"/>
              <w:bottom w:w="0" w:type="dxa"/>
              <w:right w:w="15" w:type="dxa"/>
            </w:tcMar>
            <w:vAlign w:val="center"/>
          </w:tcPr>
          <w:p w14:paraId="589076CD" w14:textId="77777777" w:rsidR="002E474C" w:rsidRDefault="00000000">
            <w:pPr>
              <w:pStyle w:val="A-"/>
            </w:pPr>
            <w:r>
              <w:t>-</w:t>
            </w:r>
          </w:p>
        </w:tc>
        <w:tc>
          <w:tcPr>
            <w:tcW w:w="1551" w:type="pct"/>
            <w:vMerge/>
            <w:vAlign w:val="center"/>
          </w:tcPr>
          <w:p w14:paraId="392A8D76" w14:textId="77777777" w:rsidR="002E474C" w:rsidRDefault="002E474C">
            <w:pPr>
              <w:pStyle w:val="A-"/>
            </w:pPr>
          </w:p>
        </w:tc>
      </w:tr>
      <w:tr w:rsidR="002E474C" w14:paraId="7B653DA9" w14:textId="77777777">
        <w:tc>
          <w:tcPr>
            <w:tcW w:w="192" w:type="pct"/>
            <w:shd w:val="clear" w:color="auto" w:fill="auto"/>
            <w:noWrap/>
            <w:tcMar>
              <w:top w:w="15" w:type="dxa"/>
              <w:left w:w="15" w:type="dxa"/>
              <w:bottom w:w="0" w:type="dxa"/>
              <w:right w:w="15" w:type="dxa"/>
            </w:tcMar>
            <w:vAlign w:val="center"/>
          </w:tcPr>
          <w:p w14:paraId="79C0B327"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70A5CC09" w14:textId="77777777" w:rsidR="002E474C" w:rsidRDefault="00000000">
            <w:pPr>
              <w:pStyle w:val="A-"/>
            </w:pPr>
            <w:r>
              <w:t>PM</w:t>
            </w:r>
            <w:r>
              <w:rPr>
                <w:vertAlign w:val="subscript"/>
              </w:rPr>
              <w:t>2.5</w:t>
            </w:r>
          </w:p>
        </w:tc>
        <w:tc>
          <w:tcPr>
            <w:tcW w:w="733" w:type="pct"/>
            <w:shd w:val="clear" w:color="auto" w:fill="auto"/>
            <w:tcMar>
              <w:top w:w="15" w:type="dxa"/>
              <w:left w:w="15" w:type="dxa"/>
              <w:bottom w:w="0" w:type="dxa"/>
              <w:right w:w="15" w:type="dxa"/>
            </w:tcMar>
            <w:vAlign w:val="center"/>
          </w:tcPr>
          <w:p w14:paraId="239172A0" w14:textId="77777777" w:rsidR="002E474C" w:rsidRDefault="00000000">
            <w:pPr>
              <w:pStyle w:val="A-"/>
            </w:pPr>
            <w:r>
              <w:t>35</w:t>
            </w:r>
          </w:p>
        </w:tc>
        <w:tc>
          <w:tcPr>
            <w:tcW w:w="1183" w:type="pct"/>
            <w:shd w:val="clear" w:color="auto" w:fill="auto"/>
            <w:tcMar>
              <w:top w:w="15" w:type="dxa"/>
              <w:left w:w="15" w:type="dxa"/>
              <w:bottom w:w="0" w:type="dxa"/>
              <w:right w:w="15" w:type="dxa"/>
            </w:tcMar>
            <w:vAlign w:val="center"/>
          </w:tcPr>
          <w:p w14:paraId="1DE7399F" w14:textId="77777777" w:rsidR="002E474C" w:rsidRDefault="00000000">
            <w:pPr>
              <w:pStyle w:val="A-"/>
            </w:pPr>
            <w:r>
              <w:t>75</w:t>
            </w:r>
          </w:p>
        </w:tc>
        <w:tc>
          <w:tcPr>
            <w:tcW w:w="571" w:type="pct"/>
            <w:shd w:val="clear" w:color="auto" w:fill="auto"/>
            <w:noWrap/>
            <w:tcMar>
              <w:top w:w="15" w:type="dxa"/>
              <w:left w:w="15" w:type="dxa"/>
              <w:bottom w:w="0" w:type="dxa"/>
              <w:right w:w="15" w:type="dxa"/>
            </w:tcMar>
            <w:vAlign w:val="center"/>
          </w:tcPr>
          <w:p w14:paraId="4A9A45E7" w14:textId="77777777" w:rsidR="002E474C" w:rsidRDefault="00000000">
            <w:pPr>
              <w:pStyle w:val="A-"/>
            </w:pPr>
            <w:r>
              <w:t>-</w:t>
            </w:r>
          </w:p>
        </w:tc>
        <w:tc>
          <w:tcPr>
            <w:tcW w:w="1551" w:type="pct"/>
            <w:vMerge/>
            <w:vAlign w:val="center"/>
          </w:tcPr>
          <w:p w14:paraId="1B789127" w14:textId="77777777" w:rsidR="002E474C" w:rsidRDefault="002E474C">
            <w:pPr>
              <w:pStyle w:val="A-"/>
            </w:pPr>
          </w:p>
        </w:tc>
      </w:tr>
      <w:tr w:rsidR="002E474C" w14:paraId="695A1A10" w14:textId="77777777">
        <w:tc>
          <w:tcPr>
            <w:tcW w:w="192" w:type="pct"/>
            <w:shd w:val="clear" w:color="auto" w:fill="auto"/>
            <w:noWrap/>
            <w:tcMar>
              <w:top w:w="15" w:type="dxa"/>
              <w:left w:w="15" w:type="dxa"/>
              <w:bottom w:w="0" w:type="dxa"/>
              <w:right w:w="15" w:type="dxa"/>
            </w:tcMar>
            <w:vAlign w:val="center"/>
          </w:tcPr>
          <w:p w14:paraId="75FB7AF2"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4BA88E2C" w14:textId="77777777" w:rsidR="002E474C" w:rsidRDefault="00000000">
            <w:pPr>
              <w:pStyle w:val="A-"/>
            </w:pPr>
            <w:r>
              <w:t>O</w:t>
            </w:r>
            <w:r>
              <w:rPr>
                <w:vertAlign w:val="subscript"/>
              </w:rPr>
              <w:t>3</w:t>
            </w:r>
          </w:p>
        </w:tc>
        <w:tc>
          <w:tcPr>
            <w:tcW w:w="733" w:type="pct"/>
            <w:shd w:val="clear" w:color="auto" w:fill="auto"/>
            <w:noWrap/>
            <w:tcMar>
              <w:top w:w="15" w:type="dxa"/>
              <w:left w:w="15" w:type="dxa"/>
              <w:bottom w:w="0" w:type="dxa"/>
              <w:right w:w="15" w:type="dxa"/>
            </w:tcMar>
            <w:vAlign w:val="center"/>
          </w:tcPr>
          <w:p w14:paraId="1C631C5B" w14:textId="77777777" w:rsidR="002E474C" w:rsidRDefault="00000000">
            <w:pPr>
              <w:pStyle w:val="A-"/>
            </w:pPr>
            <w:r>
              <w:t>-</w:t>
            </w:r>
          </w:p>
        </w:tc>
        <w:tc>
          <w:tcPr>
            <w:tcW w:w="1183" w:type="pct"/>
            <w:shd w:val="clear" w:color="auto" w:fill="auto"/>
            <w:tcMar>
              <w:top w:w="15" w:type="dxa"/>
              <w:left w:w="15" w:type="dxa"/>
              <w:bottom w:w="0" w:type="dxa"/>
              <w:right w:w="15" w:type="dxa"/>
            </w:tcMar>
            <w:vAlign w:val="center"/>
          </w:tcPr>
          <w:p w14:paraId="214397E4" w14:textId="77777777" w:rsidR="002E474C" w:rsidRDefault="00000000">
            <w:pPr>
              <w:pStyle w:val="A-"/>
            </w:pPr>
            <w:r>
              <w:t>160</w:t>
            </w:r>
            <w:r>
              <w:t>（日最大</w:t>
            </w:r>
            <w:r>
              <w:t>8h</w:t>
            </w:r>
            <w:r>
              <w:t>平均）</w:t>
            </w:r>
          </w:p>
        </w:tc>
        <w:tc>
          <w:tcPr>
            <w:tcW w:w="571" w:type="pct"/>
            <w:shd w:val="clear" w:color="auto" w:fill="auto"/>
            <w:tcMar>
              <w:top w:w="15" w:type="dxa"/>
              <w:left w:w="15" w:type="dxa"/>
              <w:bottom w:w="0" w:type="dxa"/>
              <w:right w:w="15" w:type="dxa"/>
            </w:tcMar>
            <w:vAlign w:val="center"/>
          </w:tcPr>
          <w:p w14:paraId="3926CE96" w14:textId="77777777" w:rsidR="002E474C" w:rsidRDefault="00000000">
            <w:pPr>
              <w:pStyle w:val="A-"/>
            </w:pPr>
            <w:r>
              <w:t>200</w:t>
            </w:r>
          </w:p>
        </w:tc>
        <w:tc>
          <w:tcPr>
            <w:tcW w:w="1551" w:type="pct"/>
            <w:vMerge/>
            <w:vAlign w:val="center"/>
          </w:tcPr>
          <w:p w14:paraId="20D01248" w14:textId="77777777" w:rsidR="002E474C" w:rsidRDefault="002E474C">
            <w:pPr>
              <w:pStyle w:val="A-"/>
            </w:pPr>
          </w:p>
        </w:tc>
      </w:tr>
      <w:tr w:rsidR="002E474C" w14:paraId="2ABDF6C8" w14:textId="77777777">
        <w:tc>
          <w:tcPr>
            <w:tcW w:w="192" w:type="pct"/>
            <w:shd w:val="clear" w:color="auto" w:fill="auto"/>
            <w:noWrap/>
            <w:tcMar>
              <w:top w:w="15" w:type="dxa"/>
              <w:left w:w="15" w:type="dxa"/>
              <w:bottom w:w="0" w:type="dxa"/>
              <w:right w:w="15" w:type="dxa"/>
            </w:tcMar>
            <w:vAlign w:val="center"/>
          </w:tcPr>
          <w:p w14:paraId="40A6C3B6"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58AEE62C" w14:textId="77777777" w:rsidR="002E474C" w:rsidRDefault="00000000">
            <w:pPr>
              <w:pStyle w:val="A-"/>
            </w:pPr>
            <w:r>
              <w:t>CO</w:t>
            </w:r>
          </w:p>
        </w:tc>
        <w:tc>
          <w:tcPr>
            <w:tcW w:w="733" w:type="pct"/>
            <w:shd w:val="clear" w:color="auto" w:fill="auto"/>
            <w:noWrap/>
            <w:tcMar>
              <w:top w:w="15" w:type="dxa"/>
              <w:left w:w="15" w:type="dxa"/>
              <w:bottom w:w="0" w:type="dxa"/>
              <w:right w:w="15" w:type="dxa"/>
            </w:tcMar>
            <w:vAlign w:val="center"/>
          </w:tcPr>
          <w:p w14:paraId="48C103A5" w14:textId="77777777" w:rsidR="002E474C" w:rsidRDefault="00000000">
            <w:pPr>
              <w:pStyle w:val="A-"/>
            </w:pPr>
            <w:r>
              <w:rPr>
                <w:rFonts w:hint="eastAsia"/>
              </w:rPr>
              <w:t>-</w:t>
            </w:r>
          </w:p>
        </w:tc>
        <w:tc>
          <w:tcPr>
            <w:tcW w:w="1183" w:type="pct"/>
            <w:shd w:val="clear" w:color="auto" w:fill="auto"/>
            <w:tcMar>
              <w:top w:w="15" w:type="dxa"/>
              <w:left w:w="15" w:type="dxa"/>
              <w:bottom w:w="0" w:type="dxa"/>
              <w:right w:w="15" w:type="dxa"/>
            </w:tcMar>
            <w:vAlign w:val="center"/>
          </w:tcPr>
          <w:p w14:paraId="2FB5ACBB" w14:textId="77777777" w:rsidR="002E474C" w:rsidRDefault="00000000">
            <w:pPr>
              <w:pStyle w:val="A-"/>
            </w:pPr>
            <w:r>
              <w:t>4000</w:t>
            </w:r>
          </w:p>
        </w:tc>
        <w:tc>
          <w:tcPr>
            <w:tcW w:w="571" w:type="pct"/>
            <w:shd w:val="clear" w:color="auto" w:fill="auto"/>
            <w:tcMar>
              <w:top w:w="15" w:type="dxa"/>
              <w:left w:w="15" w:type="dxa"/>
              <w:bottom w:w="0" w:type="dxa"/>
              <w:right w:w="15" w:type="dxa"/>
            </w:tcMar>
            <w:vAlign w:val="center"/>
          </w:tcPr>
          <w:p w14:paraId="67B048F7" w14:textId="77777777" w:rsidR="002E474C" w:rsidRDefault="00000000">
            <w:pPr>
              <w:pStyle w:val="A-"/>
            </w:pPr>
            <w:r>
              <w:t>10000</w:t>
            </w:r>
          </w:p>
        </w:tc>
        <w:tc>
          <w:tcPr>
            <w:tcW w:w="1551" w:type="pct"/>
            <w:vMerge/>
            <w:vAlign w:val="center"/>
          </w:tcPr>
          <w:p w14:paraId="70EC0D0F" w14:textId="77777777" w:rsidR="002E474C" w:rsidRDefault="002E474C">
            <w:pPr>
              <w:pStyle w:val="A-"/>
            </w:pPr>
          </w:p>
        </w:tc>
      </w:tr>
      <w:tr w:rsidR="002E474C" w14:paraId="2F62B956" w14:textId="77777777">
        <w:tc>
          <w:tcPr>
            <w:tcW w:w="192" w:type="pct"/>
            <w:shd w:val="clear" w:color="auto" w:fill="auto"/>
            <w:noWrap/>
            <w:tcMar>
              <w:top w:w="15" w:type="dxa"/>
              <w:left w:w="15" w:type="dxa"/>
              <w:bottom w:w="0" w:type="dxa"/>
              <w:right w:w="15" w:type="dxa"/>
            </w:tcMar>
            <w:vAlign w:val="center"/>
          </w:tcPr>
          <w:p w14:paraId="54B113B9"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284E7B79" w14:textId="77777777" w:rsidR="002E474C" w:rsidRDefault="00000000">
            <w:pPr>
              <w:pStyle w:val="A-"/>
            </w:pPr>
            <w:r>
              <w:t>TSP</w:t>
            </w:r>
          </w:p>
        </w:tc>
        <w:tc>
          <w:tcPr>
            <w:tcW w:w="733" w:type="pct"/>
            <w:shd w:val="clear" w:color="auto" w:fill="auto"/>
            <w:tcMar>
              <w:top w:w="15" w:type="dxa"/>
              <w:left w:w="15" w:type="dxa"/>
              <w:bottom w:w="0" w:type="dxa"/>
              <w:right w:w="15" w:type="dxa"/>
            </w:tcMar>
            <w:vAlign w:val="center"/>
          </w:tcPr>
          <w:p w14:paraId="65E38D92" w14:textId="77777777" w:rsidR="002E474C" w:rsidRDefault="00000000">
            <w:pPr>
              <w:pStyle w:val="A-"/>
            </w:pPr>
            <w:r>
              <w:t>200</w:t>
            </w:r>
          </w:p>
        </w:tc>
        <w:tc>
          <w:tcPr>
            <w:tcW w:w="1183" w:type="pct"/>
            <w:shd w:val="clear" w:color="auto" w:fill="auto"/>
            <w:tcMar>
              <w:top w:w="15" w:type="dxa"/>
              <w:left w:w="15" w:type="dxa"/>
              <w:bottom w:w="0" w:type="dxa"/>
              <w:right w:w="15" w:type="dxa"/>
            </w:tcMar>
            <w:vAlign w:val="center"/>
          </w:tcPr>
          <w:p w14:paraId="65BB1837" w14:textId="77777777" w:rsidR="002E474C" w:rsidRDefault="00000000">
            <w:pPr>
              <w:pStyle w:val="A-"/>
            </w:pPr>
            <w:r>
              <w:t>300</w:t>
            </w:r>
          </w:p>
        </w:tc>
        <w:tc>
          <w:tcPr>
            <w:tcW w:w="571" w:type="pct"/>
            <w:shd w:val="clear" w:color="auto" w:fill="auto"/>
            <w:noWrap/>
            <w:tcMar>
              <w:top w:w="15" w:type="dxa"/>
              <w:left w:w="15" w:type="dxa"/>
              <w:bottom w:w="0" w:type="dxa"/>
              <w:right w:w="15" w:type="dxa"/>
            </w:tcMar>
            <w:vAlign w:val="center"/>
          </w:tcPr>
          <w:p w14:paraId="559CF1B0" w14:textId="77777777" w:rsidR="002E474C" w:rsidRDefault="00000000">
            <w:pPr>
              <w:pStyle w:val="A-"/>
            </w:pPr>
            <w:r>
              <w:t>-</w:t>
            </w:r>
          </w:p>
        </w:tc>
        <w:tc>
          <w:tcPr>
            <w:tcW w:w="1551" w:type="pct"/>
            <w:vMerge/>
            <w:vAlign w:val="center"/>
          </w:tcPr>
          <w:p w14:paraId="00F0C283" w14:textId="77777777" w:rsidR="002E474C" w:rsidRDefault="002E474C">
            <w:pPr>
              <w:pStyle w:val="A-"/>
            </w:pPr>
          </w:p>
        </w:tc>
      </w:tr>
      <w:tr w:rsidR="002E474C" w14:paraId="67F1E64A" w14:textId="77777777">
        <w:tc>
          <w:tcPr>
            <w:tcW w:w="192" w:type="pct"/>
            <w:shd w:val="clear" w:color="auto" w:fill="auto"/>
            <w:noWrap/>
            <w:tcMar>
              <w:top w:w="15" w:type="dxa"/>
              <w:left w:w="15" w:type="dxa"/>
              <w:bottom w:w="0" w:type="dxa"/>
              <w:right w:w="15" w:type="dxa"/>
            </w:tcMar>
            <w:vAlign w:val="center"/>
          </w:tcPr>
          <w:p w14:paraId="796CF65A"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6433C56E" w14:textId="77777777" w:rsidR="002E474C" w:rsidRDefault="00000000">
            <w:pPr>
              <w:pStyle w:val="A-"/>
            </w:pPr>
            <w:r>
              <w:t>Pb</w:t>
            </w:r>
          </w:p>
        </w:tc>
        <w:tc>
          <w:tcPr>
            <w:tcW w:w="733" w:type="pct"/>
            <w:shd w:val="clear" w:color="auto" w:fill="auto"/>
            <w:tcMar>
              <w:top w:w="15" w:type="dxa"/>
              <w:left w:w="15" w:type="dxa"/>
              <w:bottom w:w="0" w:type="dxa"/>
              <w:right w:w="15" w:type="dxa"/>
            </w:tcMar>
            <w:vAlign w:val="center"/>
          </w:tcPr>
          <w:p w14:paraId="3129F064" w14:textId="77777777" w:rsidR="002E474C" w:rsidRDefault="00000000">
            <w:pPr>
              <w:pStyle w:val="A-"/>
            </w:pPr>
            <w:r>
              <w:t>0.5</w:t>
            </w:r>
          </w:p>
        </w:tc>
        <w:tc>
          <w:tcPr>
            <w:tcW w:w="1183" w:type="pct"/>
            <w:shd w:val="clear" w:color="auto" w:fill="auto"/>
            <w:noWrap/>
            <w:tcMar>
              <w:top w:w="15" w:type="dxa"/>
              <w:left w:w="15" w:type="dxa"/>
              <w:bottom w:w="0" w:type="dxa"/>
              <w:right w:w="15" w:type="dxa"/>
            </w:tcMar>
            <w:vAlign w:val="center"/>
          </w:tcPr>
          <w:p w14:paraId="30F80798"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36480ED6" w14:textId="77777777" w:rsidR="002E474C" w:rsidRDefault="00000000">
            <w:pPr>
              <w:pStyle w:val="A-"/>
            </w:pPr>
            <w:r>
              <w:t>-</w:t>
            </w:r>
          </w:p>
        </w:tc>
        <w:tc>
          <w:tcPr>
            <w:tcW w:w="1551" w:type="pct"/>
            <w:vMerge/>
            <w:vAlign w:val="center"/>
          </w:tcPr>
          <w:p w14:paraId="056DFF90" w14:textId="77777777" w:rsidR="002E474C" w:rsidRDefault="002E474C">
            <w:pPr>
              <w:pStyle w:val="A-"/>
            </w:pPr>
          </w:p>
        </w:tc>
      </w:tr>
      <w:tr w:rsidR="002E474C" w14:paraId="2F95FE55" w14:textId="77777777">
        <w:tc>
          <w:tcPr>
            <w:tcW w:w="192" w:type="pct"/>
            <w:shd w:val="clear" w:color="auto" w:fill="auto"/>
            <w:noWrap/>
            <w:tcMar>
              <w:top w:w="15" w:type="dxa"/>
              <w:left w:w="15" w:type="dxa"/>
              <w:bottom w:w="0" w:type="dxa"/>
              <w:right w:w="15" w:type="dxa"/>
            </w:tcMar>
            <w:vAlign w:val="center"/>
          </w:tcPr>
          <w:p w14:paraId="461CA0D0" w14:textId="77777777" w:rsidR="002E474C" w:rsidRDefault="002E474C">
            <w:pPr>
              <w:pStyle w:val="A-"/>
              <w:numPr>
                <w:ilvl w:val="0"/>
                <w:numId w:val="24"/>
              </w:numPr>
            </w:pPr>
          </w:p>
        </w:tc>
        <w:tc>
          <w:tcPr>
            <w:tcW w:w="770" w:type="pct"/>
            <w:shd w:val="clear" w:color="auto" w:fill="auto"/>
            <w:noWrap/>
            <w:tcMar>
              <w:top w:w="15" w:type="dxa"/>
              <w:left w:w="15" w:type="dxa"/>
              <w:bottom w:w="0" w:type="dxa"/>
              <w:right w:w="15" w:type="dxa"/>
            </w:tcMar>
            <w:vAlign w:val="center"/>
          </w:tcPr>
          <w:p w14:paraId="53523609" w14:textId="77777777" w:rsidR="002E474C" w:rsidRDefault="00000000">
            <w:pPr>
              <w:pStyle w:val="A-"/>
            </w:pPr>
            <w:r>
              <w:t>Cd</w:t>
            </w:r>
          </w:p>
        </w:tc>
        <w:tc>
          <w:tcPr>
            <w:tcW w:w="733" w:type="pct"/>
            <w:shd w:val="clear" w:color="auto" w:fill="auto"/>
            <w:tcMar>
              <w:top w:w="15" w:type="dxa"/>
              <w:left w:w="15" w:type="dxa"/>
              <w:bottom w:w="0" w:type="dxa"/>
              <w:right w:w="15" w:type="dxa"/>
            </w:tcMar>
            <w:vAlign w:val="center"/>
          </w:tcPr>
          <w:p w14:paraId="13EFD562" w14:textId="77777777" w:rsidR="002E474C" w:rsidRDefault="00000000">
            <w:pPr>
              <w:pStyle w:val="A-"/>
            </w:pPr>
            <w:r>
              <w:t>0.005</w:t>
            </w:r>
          </w:p>
        </w:tc>
        <w:tc>
          <w:tcPr>
            <w:tcW w:w="1183" w:type="pct"/>
            <w:shd w:val="clear" w:color="auto" w:fill="auto"/>
            <w:noWrap/>
            <w:tcMar>
              <w:top w:w="15" w:type="dxa"/>
              <w:left w:w="15" w:type="dxa"/>
              <w:bottom w:w="0" w:type="dxa"/>
              <w:right w:w="15" w:type="dxa"/>
            </w:tcMar>
            <w:vAlign w:val="center"/>
          </w:tcPr>
          <w:p w14:paraId="72D9C978"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2812FBA1" w14:textId="77777777" w:rsidR="002E474C" w:rsidRDefault="00000000">
            <w:pPr>
              <w:pStyle w:val="A-"/>
            </w:pPr>
            <w:r>
              <w:t>-</w:t>
            </w:r>
          </w:p>
        </w:tc>
        <w:tc>
          <w:tcPr>
            <w:tcW w:w="1551" w:type="pct"/>
            <w:vMerge/>
            <w:vAlign w:val="center"/>
          </w:tcPr>
          <w:p w14:paraId="7B4C0CDA" w14:textId="77777777" w:rsidR="002E474C" w:rsidRDefault="002E474C">
            <w:pPr>
              <w:pStyle w:val="A-"/>
            </w:pPr>
          </w:p>
        </w:tc>
      </w:tr>
      <w:tr w:rsidR="002E474C" w14:paraId="124AE743" w14:textId="77777777">
        <w:tc>
          <w:tcPr>
            <w:tcW w:w="192" w:type="pct"/>
            <w:shd w:val="clear" w:color="auto" w:fill="auto"/>
            <w:noWrap/>
            <w:tcMar>
              <w:top w:w="15" w:type="dxa"/>
              <w:left w:w="15" w:type="dxa"/>
              <w:bottom w:w="0" w:type="dxa"/>
              <w:right w:w="15" w:type="dxa"/>
            </w:tcMar>
            <w:vAlign w:val="center"/>
          </w:tcPr>
          <w:p w14:paraId="284AD587"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9EE5CEE" w14:textId="77777777" w:rsidR="002E474C" w:rsidRDefault="00000000">
            <w:pPr>
              <w:pStyle w:val="A-"/>
            </w:pPr>
            <w:r>
              <w:t>Hg</w:t>
            </w:r>
          </w:p>
        </w:tc>
        <w:tc>
          <w:tcPr>
            <w:tcW w:w="733" w:type="pct"/>
            <w:shd w:val="clear" w:color="auto" w:fill="auto"/>
            <w:tcMar>
              <w:top w:w="15" w:type="dxa"/>
              <w:left w:w="15" w:type="dxa"/>
              <w:bottom w:w="0" w:type="dxa"/>
              <w:right w:w="15" w:type="dxa"/>
            </w:tcMar>
            <w:vAlign w:val="center"/>
          </w:tcPr>
          <w:p w14:paraId="286FFBD7" w14:textId="77777777" w:rsidR="002E474C" w:rsidRDefault="00000000">
            <w:pPr>
              <w:pStyle w:val="A-"/>
            </w:pPr>
            <w:r>
              <w:t>0.05</w:t>
            </w:r>
          </w:p>
        </w:tc>
        <w:tc>
          <w:tcPr>
            <w:tcW w:w="1183" w:type="pct"/>
            <w:shd w:val="clear" w:color="auto" w:fill="auto"/>
            <w:noWrap/>
            <w:tcMar>
              <w:top w:w="15" w:type="dxa"/>
              <w:left w:w="15" w:type="dxa"/>
              <w:bottom w:w="0" w:type="dxa"/>
              <w:right w:w="15" w:type="dxa"/>
            </w:tcMar>
            <w:vAlign w:val="center"/>
          </w:tcPr>
          <w:p w14:paraId="6B1D37BA"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5AEFC57E" w14:textId="77777777" w:rsidR="002E474C" w:rsidRDefault="00000000">
            <w:pPr>
              <w:pStyle w:val="A-"/>
            </w:pPr>
            <w:r>
              <w:t>-</w:t>
            </w:r>
          </w:p>
        </w:tc>
        <w:tc>
          <w:tcPr>
            <w:tcW w:w="1551" w:type="pct"/>
            <w:vMerge/>
            <w:vAlign w:val="center"/>
          </w:tcPr>
          <w:p w14:paraId="3B785468" w14:textId="77777777" w:rsidR="002E474C" w:rsidRDefault="002E474C">
            <w:pPr>
              <w:pStyle w:val="A-"/>
            </w:pPr>
          </w:p>
        </w:tc>
      </w:tr>
      <w:tr w:rsidR="002E474C" w14:paraId="60A9C623" w14:textId="77777777">
        <w:tc>
          <w:tcPr>
            <w:tcW w:w="192" w:type="pct"/>
            <w:shd w:val="clear" w:color="auto" w:fill="auto"/>
            <w:noWrap/>
            <w:tcMar>
              <w:top w:w="15" w:type="dxa"/>
              <w:left w:w="15" w:type="dxa"/>
              <w:bottom w:w="0" w:type="dxa"/>
              <w:right w:w="15" w:type="dxa"/>
            </w:tcMar>
            <w:vAlign w:val="center"/>
          </w:tcPr>
          <w:p w14:paraId="5E96A1C5"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3C8F7C1" w14:textId="77777777" w:rsidR="002E474C" w:rsidRDefault="00000000">
            <w:pPr>
              <w:pStyle w:val="A-"/>
            </w:pPr>
            <w:r>
              <w:t>As</w:t>
            </w:r>
          </w:p>
        </w:tc>
        <w:tc>
          <w:tcPr>
            <w:tcW w:w="733" w:type="pct"/>
            <w:shd w:val="clear" w:color="auto" w:fill="auto"/>
            <w:tcMar>
              <w:top w:w="15" w:type="dxa"/>
              <w:left w:w="15" w:type="dxa"/>
              <w:bottom w:w="0" w:type="dxa"/>
              <w:right w:w="15" w:type="dxa"/>
            </w:tcMar>
            <w:vAlign w:val="center"/>
          </w:tcPr>
          <w:p w14:paraId="5FD5843F" w14:textId="77777777" w:rsidR="002E474C" w:rsidRDefault="00000000">
            <w:pPr>
              <w:pStyle w:val="A-"/>
            </w:pPr>
            <w:r>
              <w:t>0.006</w:t>
            </w:r>
          </w:p>
        </w:tc>
        <w:tc>
          <w:tcPr>
            <w:tcW w:w="1183" w:type="pct"/>
            <w:shd w:val="clear" w:color="auto" w:fill="auto"/>
            <w:noWrap/>
            <w:tcMar>
              <w:top w:w="15" w:type="dxa"/>
              <w:left w:w="15" w:type="dxa"/>
              <w:bottom w:w="0" w:type="dxa"/>
              <w:right w:w="15" w:type="dxa"/>
            </w:tcMar>
            <w:vAlign w:val="center"/>
          </w:tcPr>
          <w:p w14:paraId="1D3F5CA0"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22D123A5" w14:textId="77777777" w:rsidR="002E474C" w:rsidRDefault="00000000">
            <w:pPr>
              <w:pStyle w:val="A-"/>
            </w:pPr>
            <w:r>
              <w:t>-</w:t>
            </w:r>
          </w:p>
        </w:tc>
        <w:tc>
          <w:tcPr>
            <w:tcW w:w="1551" w:type="pct"/>
            <w:vMerge/>
            <w:vAlign w:val="center"/>
          </w:tcPr>
          <w:p w14:paraId="4C512949" w14:textId="77777777" w:rsidR="002E474C" w:rsidRDefault="002E474C">
            <w:pPr>
              <w:pStyle w:val="A-"/>
            </w:pPr>
          </w:p>
        </w:tc>
      </w:tr>
      <w:tr w:rsidR="002E474C" w14:paraId="38372419" w14:textId="77777777">
        <w:tc>
          <w:tcPr>
            <w:tcW w:w="192" w:type="pct"/>
            <w:shd w:val="clear" w:color="auto" w:fill="auto"/>
            <w:noWrap/>
            <w:tcMar>
              <w:top w:w="15" w:type="dxa"/>
              <w:left w:w="15" w:type="dxa"/>
              <w:bottom w:w="0" w:type="dxa"/>
              <w:right w:w="15" w:type="dxa"/>
            </w:tcMar>
            <w:vAlign w:val="center"/>
          </w:tcPr>
          <w:p w14:paraId="6C2306C7"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16C7E6DF" w14:textId="77777777" w:rsidR="002E474C" w:rsidRDefault="00000000">
            <w:pPr>
              <w:pStyle w:val="A-"/>
            </w:pPr>
            <w:r>
              <w:t>Cr</w:t>
            </w:r>
            <w:r>
              <w:t>（</w:t>
            </w:r>
            <w:r>
              <w:t>Ⅵ</w:t>
            </w:r>
            <w:r>
              <w:t>）</w:t>
            </w:r>
          </w:p>
        </w:tc>
        <w:tc>
          <w:tcPr>
            <w:tcW w:w="733" w:type="pct"/>
            <w:shd w:val="clear" w:color="auto" w:fill="auto"/>
            <w:tcMar>
              <w:top w:w="15" w:type="dxa"/>
              <w:left w:w="15" w:type="dxa"/>
              <w:bottom w:w="0" w:type="dxa"/>
              <w:right w:w="15" w:type="dxa"/>
            </w:tcMar>
            <w:vAlign w:val="center"/>
          </w:tcPr>
          <w:p w14:paraId="0DF0C61E" w14:textId="77777777" w:rsidR="002E474C" w:rsidRDefault="00000000">
            <w:pPr>
              <w:pStyle w:val="A-"/>
            </w:pPr>
            <w:r>
              <w:t>0.000025</w:t>
            </w:r>
          </w:p>
        </w:tc>
        <w:tc>
          <w:tcPr>
            <w:tcW w:w="1183" w:type="pct"/>
            <w:shd w:val="clear" w:color="auto" w:fill="auto"/>
            <w:noWrap/>
            <w:tcMar>
              <w:top w:w="15" w:type="dxa"/>
              <w:left w:w="15" w:type="dxa"/>
              <w:bottom w:w="0" w:type="dxa"/>
              <w:right w:w="15" w:type="dxa"/>
            </w:tcMar>
            <w:vAlign w:val="center"/>
          </w:tcPr>
          <w:p w14:paraId="68ED1CDA"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6B78BA9F" w14:textId="77777777" w:rsidR="002E474C" w:rsidRDefault="00000000">
            <w:pPr>
              <w:pStyle w:val="A-"/>
            </w:pPr>
            <w:r>
              <w:t>-</w:t>
            </w:r>
          </w:p>
        </w:tc>
        <w:tc>
          <w:tcPr>
            <w:tcW w:w="1551" w:type="pct"/>
            <w:vMerge/>
            <w:vAlign w:val="center"/>
          </w:tcPr>
          <w:p w14:paraId="119C6764" w14:textId="77777777" w:rsidR="002E474C" w:rsidRDefault="002E474C">
            <w:pPr>
              <w:pStyle w:val="A-"/>
            </w:pPr>
          </w:p>
        </w:tc>
      </w:tr>
      <w:tr w:rsidR="002E474C" w14:paraId="38587496" w14:textId="77777777">
        <w:tc>
          <w:tcPr>
            <w:tcW w:w="192" w:type="pct"/>
            <w:shd w:val="clear" w:color="auto" w:fill="auto"/>
            <w:noWrap/>
            <w:tcMar>
              <w:top w:w="15" w:type="dxa"/>
              <w:left w:w="15" w:type="dxa"/>
              <w:bottom w:w="0" w:type="dxa"/>
              <w:right w:w="15" w:type="dxa"/>
            </w:tcMar>
            <w:vAlign w:val="center"/>
          </w:tcPr>
          <w:p w14:paraId="36709279"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17AFF910" w14:textId="77777777" w:rsidR="002E474C" w:rsidRDefault="00000000">
            <w:pPr>
              <w:pStyle w:val="A-"/>
            </w:pPr>
            <w:r>
              <w:t>氟化物（</w:t>
            </w:r>
            <w:r>
              <w:t>F</w:t>
            </w:r>
            <w:r>
              <w:t>）</w:t>
            </w:r>
          </w:p>
        </w:tc>
        <w:tc>
          <w:tcPr>
            <w:tcW w:w="733" w:type="pct"/>
            <w:shd w:val="clear" w:color="auto" w:fill="auto"/>
            <w:noWrap/>
            <w:tcMar>
              <w:top w:w="15" w:type="dxa"/>
              <w:left w:w="15" w:type="dxa"/>
              <w:bottom w:w="0" w:type="dxa"/>
              <w:right w:w="15" w:type="dxa"/>
            </w:tcMar>
            <w:vAlign w:val="center"/>
          </w:tcPr>
          <w:p w14:paraId="54F28AC4"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77C264A1" w14:textId="77777777" w:rsidR="002E474C" w:rsidRDefault="00000000">
            <w:pPr>
              <w:pStyle w:val="A-"/>
            </w:pPr>
            <w:r>
              <w:t>7</w:t>
            </w:r>
          </w:p>
        </w:tc>
        <w:tc>
          <w:tcPr>
            <w:tcW w:w="571" w:type="pct"/>
            <w:shd w:val="clear" w:color="auto" w:fill="auto"/>
            <w:noWrap/>
            <w:tcMar>
              <w:top w:w="15" w:type="dxa"/>
              <w:left w:w="15" w:type="dxa"/>
              <w:bottom w:w="0" w:type="dxa"/>
              <w:right w:w="15" w:type="dxa"/>
            </w:tcMar>
            <w:vAlign w:val="center"/>
          </w:tcPr>
          <w:p w14:paraId="779B761C" w14:textId="77777777" w:rsidR="002E474C" w:rsidRDefault="00000000">
            <w:pPr>
              <w:pStyle w:val="A-"/>
            </w:pPr>
            <w:r>
              <w:t>20</w:t>
            </w:r>
          </w:p>
        </w:tc>
        <w:tc>
          <w:tcPr>
            <w:tcW w:w="1551" w:type="pct"/>
            <w:vMerge/>
            <w:vAlign w:val="center"/>
          </w:tcPr>
          <w:p w14:paraId="220F19AB" w14:textId="77777777" w:rsidR="002E474C" w:rsidRDefault="002E474C">
            <w:pPr>
              <w:pStyle w:val="A-"/>
            </w:pPr>
          </w:p>
        </w:tc>
      </w:tr>
      <w:tr w:rsidR="002E474C" w14:paraId="21B7E2D2" w14:textId="77777777">
        <w:tc>
          <w:tcPr>
            <w:tcW w:w="192" w:type="pct"/>
            <w:shd w:val="clear" w:color="auto" w:fill="auto"/>
            <w:noWrap/>
            <w:tcMar>
              <w:top w:w="15" w:type="dxa"/>
              <w:left w:w="15" w:type="dxa"/>
              <w:bottom w:w="0" w:type="dxa"/>
              <w:right w:w="15" w:type="dxa"/>
            </w:tcMar>
            <w:vAlign w:val="center"/>
          </w:tcPr>
          <w:p w14:paraId="347D7290"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4BA0D082" w14:textId="77777777" w:rsidR="002E474C" w:rsidRDefault="00000000">
            <w:pPr>
              <w:pStyle w:val="A-"/>
            </w:pPr>
            <w:r>
              <w:t>SO</w:t>
            </w:r>
            <w:r>
              <w:rPr>
                <w:vertAlign w:val="subscript"/>
              </w:rPr>
              <w:t>2</w:t>
            </w:r>
          </w:p>
        </w:tc>
        <w:tc>
          <w:tcPr>
            <w:tcW w:w="733" w:type="pct"/>
            <w:shd w:val="clear" w:color="auto" w:fill="auto"/>
            <w:noWrap/>
            <w:tcMar>
              <w:top w:w="15" w:type="dxa"/>
              <w:left w:w="15" w:type="dxa"/>
              <w:bottom w:w="0" w:type="dxa"/>
              <w:right w:w="15" w:type="dxa"/>
            </w:tcMar>
            <w:vAlign w:val="center"/>
          </w:tcPr>
          <w:p w14:paraId="736BEF07" w14:textId="77777777" w:rsidR="002E474C" w:rsidRDefault="00000000">
            <w:pPr>
              <w:pStyle w:val="A-"/>
            </w:pPr>
            <w:r>
              <w:t>60</w:t>
            </w:r>
          </w:p>
        </w:tc>
        <w:tc>
          <w:tcPr>
            <w:tcW w:w="1183" w:type="pct"/>
            <w:shd w:val="clear" w:color="auto" w:fill="auto"/>
            <w:noWrap/>
            <w:tcMar>
              <w:top w:w="15" w:type="dxa"/>
              <w:left w:w="15" w:type="dxa"/>
              <w:bottom w:w="0" w:type="dxa"/>
              <w:right w:w="15" w:type="dxa"/>
            </w:tcMar>
            <w:vAlign w:val="center"/>
          </w:tcPr>
          <w:p w14:paraId="0EBDDDA7" w14:textId="77777777" w:rsidR="002E474C" w:rsidRDefault="00000000">
            <w:pPr>
              <w:pStyle w:val="A-"/>
            </w:pPr>
            <w:r>
              <w:t>150</w:t>
            </w:r>
          </w:p>
        </w:tc>
        <w:tc>
          <w:tcPr>
            <w:tcW w:w="571" w:type="pct"/>
            <w:shd w:val="clear" w:color="auto" w:fill="auto"/>
            <w:noWrap/>
            <w:tcMar>
              <w:top w:w="15" w:type="dxa"/>
              <w:left w:w="15" w:type="dxa"/>
              <w:bottom w:w="0" w:type="dxa"/>
              <w:right w:w="15" w:type="dxa"/>
            </w:tcMar>
            <w:vAlign w:val="center"/>
          </w:tcPr>
          <w:p w14:paraId="24ECF7C2" w14:textId="77777777" w:rsidR="002E474C" w:rsidRDefault="00000000">
            <w:pPr>
              <w:pStyle w:val="A-"/>
            </w:pPr>
            <w:r>
              <w:t>500</w:t>
            </w:r>
          </w:p>
        </w:tc>
        <w:tc>
          <w:tcPr>
            <w:tcW w:w="1551" w:type="pct"/>
            <w:vMerge w:val="restart"/>
            <w:vAlign w:val="center"/>
          </w:tcPr>
          <w:p w14:paraId="31E987C6" w14:textId="77777777" w:rsidR="002E474C" w:rsidRDefault="00000000">
            <w:pPr>
              <w:pStyle w:val="A-"/>
            </w:pPr>
            <w:r>
              <w:t>《环境空气质量标准》</w:t>
            </w:r>
          </w:p>
          <w:p w14:paraId="670A768B" w14:textId="77777777" w:rsidR="002E474C" w:rsidRDefault="00000000">
            <w:pPr>
              <w:pStyle w:val="A-"/>
            </w:pPr>
            <w:r>
              <w:t>（</w:t>
            </w:r>
            <w:r>
              <w:t>GB3095-2026</w:t>
            </w:r>
            <w:r>
              <w:t>）</w:t>
            </w:r>
          </w:p>
          <w:p w14:paraId="17729481" w14:textId="77777777" w:rsidR="002E474C" w:rsidRDefault="00000000">
            <w:pPr>
              <w:pStyle w:val="A-"/>
            </w:pPr>
            <w:r>
              <w:t>二级浓度限值（过渡阶段）</w:t>
            </w:r>
          </w:p>
        </w:tc>
      </w:tr>
      <w:tr w:rsidR="002E474C" w14:paraId="5537D85D" w14:textId="77777777">
        <w:tc>
          <w:tcPr>
            <w:tcW w:w="192" w:type="pct"/>
            <w:shd w:val="clear" w:color="auto" w:fill="auto"/>
            <w:noWrap/>
            <w:tcMar>
              <w:top w:w="15" w:type="dxa"/>
              <w:left w:w="15" w:type="dxa"/>
              <w:bottom w:w="0" w:type="dxa"/>
              <w:right w:w="15" w:type="dxa"/>
            </w:tcMar>
            <w:vAlign w:val="center"/>
          </w:tcPr>
          <w:p w14:paraId="2685507B"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636D4F61" w14:textId="77777777" w:rsidR="002E474C" w:rsidRDefault="00000000">
            <w:pPr>
              <w:pStyle w:val="A-"/>
            </w:pPr>
            <w:r>
              <w:t>NO</w:t>
            </w:r>
            <w:r>
              <w:rPr>
                <w:vertAlign w:val="subscript"/>
              </w:rPr>
              <w:t>2</w:t>
            </w:r>
          </w:p>
        </w:tc>
        <w:tc>
          <w:tcPr>
            <w:tcW w:w="733" w:type="pct"/>
            <w:shd w:val="clear" w:color="auto" w:fill="auto"/>
            <w:noWrap/>
            <w:tcMar>
              <w:top w:w="15" w:type="dxa"/>
              <w:left w:w="15" w:type="dxa"/>
              <w:bottom w:w="0" w:type="dxa"/>
              <w:right w:w="15" w:type="dxa"/>
            </w:tcMar>
            <w:vAlign w:val="center"/>
          </w:tcPr>
          <w:p w14:paraId="738B2E20" w14:textId="77777777" w:rsidR="002E474C" w:rsidRDefault="00000000">
            <w:pPr>
              <w:pStyle w:val="A-"/>
            </w:pPr>
            <w:r>
              <w:t>40</w:t>
            </w:r>
          </w:p>
        </w:tc>
        <w:tc>
          <w:tcPr>
            <w:tcW w:w="1183" w:type="pct"/>
            <w:shd w:val="clear" w:color="auto" w:fill="auto"/>
            <w:noWrap/>
            <w:tcMar>
              <w:top w:w="15" w:type="dxa"/>
              <w:left w:w="15" w:type="dxa"/>
              <w:bottom w:w="0" w:type="dxa"/>
              <w:right w:w="15" w:type="dxa"/>
            </w:tcMar>
            <w:vAlign w:val="center"/>
          </w:tcPr>
          <w:p w14:paraId="3D75856D" w14:textId="77777777" w:rsidR="002E474C" w:rsidRDefault="00000000">
            <w:pPr>
              <w:pStyle w:val="A-"/>
            </w:pPr>
            <w:r>
              <w:t>80</w:t>
            </w:r>
          </w:p>
        </w:tc>
        <w:tc>
          <w:tcPr>
            <w:tcW w:w="571" w:type="pct"/>
            <w:shd w:val="clear" w:color="auto" w:fill="auto"/>
            <w:noWrap/>
            <w:tcMar>
              <w:top w:w="15" w:type="dxa"/>
              <w:left w:w="15" w:type="dxa"/>
              <w:bottom w:w="0" w:type="dxa"/>
              <w:right w:w="15" w:type="dxa"/>
            </w:tcMar>
            <w:vAlign w:val="center"/>
          </w:tcPr>
          <w:p w14:paraId="608C6D8E" w14:textId="77777777" w:rsidR="002E474C" w:rsidRDefault="00000000">
            <w:pPr>
              <w:pStyle w:val="A-"/>
            </w:pPr>
            <w:r>
              <w:t>200</w:t>
            </w:r>
          </w:p>
        </w:tc>
        <w:tc>
          <w:tcPr>
            <w:tcW w:w="1551" w:type="pct"/>
            <w:vMerge/>
            <w:vAlign w:val="center"/>
          </w:tcPr>
          <w:p w14:paraId="0653BAF4" w14:textId="77777777" w:rsidR="002E474C" w:rsidRDefault="002E474C">
            <w:pPr>
              <w:pStyle w:val="A-"/>
            </w:pPr>
          </w:p>
        </w:tc>
      </w:tr>
      <w:tr w:rsidR="002E474C" w14:paraId="3B6E438F" w14:textId="77777777">
        <w:tc>
          <w:tcPr>
            <w:tcW w:w="192" w:type="pct"/>
            <w:shd w:val="clear" w:color="auto" w:fill="auto"/>
            <w:noWrap/>
            <w:tcMar>
              <w:top w:w="15" w:type="dxa"/>
              <w:left w:w="15" w:type="dxa"/>
              <w:bottom w:w="0" w:type="dxa"/>
              <w:right w:w="15" w:type="dxa"/>
            </w:tcMar>
            <w:vAlign w:val="center"/>
          </w:tcPr>
          <w:p w14:paraId="5A744AB0"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3A623926" w14:textId="77777777" w:rsidR="002E474C" w:rsidRDefault="00000000">
            <w:pPr>
              <w:pStyle w:val="A-"/>
            </w:pPr>
            <w:r>
              <w:t>PM</w:t>
            </w:r>
            <w:r>
              <w:rPr>
                <w:vertAlign w:val="subscript"/>
              </w:rPr>
              <w:t>10</w:t>
            </w:r>
          </w:p>
        </w:tc>
        <w:tc>
          <w:tcPr>
            <w:tcW w:w="733" w:type="pct"/>
            <w:shd w:val="clear" w:color="auto" w:fill="auto"/>
            <w:noWrap/>
            <w:tcMar>
              <w:top w:w="15" w:type="dxa"/>
              <w:left w:w="15" w:type="dxa"/>
              <w:bottom w:w="0" w:type="dxa"/>
              <w:right w:w="15" w:type="dxa"/>
            </w:tcMar>
            <w:vAlign w:val="center"/>
          </w:tcPr>
          <w:p w14:paraId="65374044" w14:textId="77777777" w:rsidR="002E474C" w:rsidRDefault="00000000">
            <w:pPr>
              <w:pStyle w:val="A-"/>
            </w:pPr>
            <w:r>
              <w:t>60</w:t>
            </w:r>
          </w:p>
        </w:tc>
        <w:tc>
          <w:tcPr>
            <w:tcW w:w="1183" w:type="pct"/>
            <w:shd w:val="clear" w:color="auto" w:fill="auto"/>
            <w:noWrap/>
            <w:tcMar>
              <w:top w:w="15" w:type="dxa"/>
              <w:left w:w="15" w:type="dxa"/>
              <w:bottom w:w="0" w:type="dxa"/>
              <w:right w:w="15" w:type="dxa"/>
            </w:tcMar>
            <w:vAlign w:val="center"/>
          </w:tcPr>
          <w:p w14:paraId="13A96C43" w14:textId="77777777" w:rsidR="002E474C" w:rsidRDefault="00000000">
            <w:pPr>
              <w:pStyle w:val="A-"/>
            </w:pPr>
            <w:r>
              <w:t>120</w:t>
            </w:r>
          </w:p>
        </w:tc>
        <w:tc>
          <w:tcPr>
            <w:tcW w:w="571" w:type="pct"/>
            <w:shd w:val="clear" w:color="auto" w:fill="auto"/>
            <w:noWrap/>
            <w:tcMar>
              <w:top w:w="15" w:type="dxa"/>
              <w:left w:w="15" w:type="dxa"/>
              <w:bottom w:w="0" w:type="dxa"/>
              <w:right w:w="15" w:type="dxa"/>
            </w:tcMar>
            <w:vAlign w:val="center"/>
          </w:tcPr>
          <w:p w14:paraId="65AB0DF8" w14:textId="77777777" w:rsidR="002E474C" w:rsidRDefault="00000000">
            <w:pPr>
              <w:pStyle w:val="A-"/>
            </w:pPr>
            <w:r>
              <w:t>-</w:t>
            </w:r>
          </w:p>
        </w:tc>
        <w:tc>
          <w:tcPr>
            <w:tcW w:w="1551" w:type="pct"/>
            <w:vMerge/>
            <w:vAlign w:val="center"/>
          </w:tcPr>
          <w:p w14:paraId="6E43D5CE" w14:textId="77777777" w:rsidR="002E474C" w:rsidRDefault="002E474C">
            <w:pPr>
              <w:pStyle w:val="A-"/>
            </w:pPr>
          </w:p>
        </w:tc>
      </w:tr>
      <w:tr w:rsidR="002E474C" w14:paraId="1CC8C3EC" w14:textId="77777777">
        <w:tc>
          <w:tcPr>
            <w:tcW w:w="192" w:type="pct"/>
            <w:shd w:val="clear" w:color="auto" w:fill="auto"/>
            <w:noWrap/>
            <w:tcMar>
              <w:top w:w="15" w:type="dxa"/>
              <w:left w:w="15" w:type="dxa"/>
              <w:bottom w:w="0" w:type="dxa"/>
              <w:right w:w="15" w:type="dxa"/>
            </w:tcMar>
            <w:vAlign w:val="center"/>
          </w:tcPr>
          <w:p w14:paraId="1022AB61"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1D156755" w14:textId="77777777" w:rsidR="002E474C" w:rsidRDefault="00000000">
            <w:pPr>
              <w:pStyle w:val="A-"/>
            </w:pPr>
            <w:r>
              <w:t>PM</w:t>
            </w:r>
            <w:r>
              <w:rPr>
                <w:vertAlign w:val="subscript"/>
              </w:rPr>
              <w:t>2.5</w:t>
            </w:r>
          </w:p>
        </w:tc>
        <w:tc>
          <w:tcPr>
            <w:tcW w:w="733" w:type="pct"/>
            <w:shd w:val="clear" w:color="auto" w:fill="auto"/>
            <w:noWrap/>
            <w:tcMar>
              <w:top w:w="15" w:type="dxa"/>
              <w:left w:w="15" w:type="dxa"/>
              <w:bottom w:w="0" w:type="dxa"/>
              <w:right w:w="15" w:type="dxa"/>
            </w:tcMar>
            <w:vAlign w:val="center"/>
          </w:tcPr>
          <w:p w14:paraId="5929D91B" w14:textId="77777777" w:rsidR="002E474C" w:rsidRDefault="00000000">
            <w:pPr>
              <w:pStyle w:val="A-"/>
            </w:pPr>
            <w:r>
              <w:t>30</w:t>
            </w:r>
          </w:p>
        </w:tc>
        <w:tc>
          <w:tcPr>
            <w:tcW w:w="1183" w:type="pct"/>
            <w:shd w:val="clear" w:color="auto" w:fill="auto"/>
            <w:noWrap/>
            <w:tcMar>
              <w:top w:w="15" w:type="dxa"/>
              <w:left w:w="15" w:type="dxa"/>
              <w:bottom w:w="0" w:type="dxa"/>
              <w:right w:w="15" w:type="dxa"/>
            </w:tcMar>
            <w:vAlign w:val="center"/>
          </w:tcPr>
          <w:p w14:paraId="357AC79C" w14:textId="77777777" w:rsidR="002E474C" w:rsidRDefault="00000000">
            <w:pPr>
              <w:pStyle w:val="A-"/>
            </w:pPr>
            <w:r>
              <w:t>60</w:t>
            </w:r>
          </w:p>
        </w:tc>
        <w:tc>
          <w:tcPr>
            <w:tcW w:w="571" w:type="pct"/>
            <w:shd w:val="clear" w:color="auto" w:fill="auto"/>
            <w:noWrap/>
            <w:tcMar>
              <w:top w:w="15" w:type="dxa"/>
              <w:left w:w="15" w:type="dxa"/>
              <w:bottom w:w="0" w:type="dxa"/>
              <w:right w:w="15" w:type="dxa"/>
            </w:tcMar>
            <w:vAlign w:val="center"/>
          </w:tcPr>
          <w:p w14:paraId="42488D9A" w14:textId="77777777" w:rsidR="002E474C" w:rsidRDefault="00000000">
            <w:pPr>
              <w:pStyle w:val="A-"/>
            </w:pPr>
            <w:r>
              <w:t>-</w:t>
            </w:r>
          </w:p>
        </w:tc>
        <w:tc>
          <w:tcPr>
            <w:tcW w:w="1551" w:type="pct"/>
            <w:vMerge/>
            <w:vAlign w:val="center"/>
          </w:tcPr>
          <w:p w14:paraId="746D364B" w14:textId="77777777" w:rsidR="002E474C" w:rsidRDefault="002E474C">
            <w:pPr>
              <w:pStyle w:val="A-"/>
            </w:pPr>
          </w:p>
        </w:tc>
      </w:tr>
      <w:tr w:rsidR="002E474C" w14:paraId="32100B3C" w14:textId="77777777">
        <w:tc>
          <w:tcPr>
            <w:tcW w:w="192" w:type="pct"/>
            <w:shd w:val="clear" w:color="auto" w:fill="auto"/>
            <w:noWrap/>
            <w:tcMar>
              <w:top w:w="15" w:type="dxa"/>
              <w:left w:w="15" w:type="dxa"/>
              <w:bottom w:w="0" w:type="dxa"/>
              <w:right w:w="15" w:type="dxa"/>
            </w:tcMar>
            <w:vAlign w:val="center"/>
          </w:tcPr>
          <w:p w14:paraId="5D110522"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70FEBF5E" w14:textId="77777777" w:rsidR="002E474C" w:rsidRDefault="00000000">
            <w:pPr>
              <w:pStyle w:val="A-"/>
            </w:pPr>
            <w:r>
              <w:t>O</w:t>
            </w:r>
            <w:r>
              <w:rPr>
                <w:vertAlign w:val="subscript"/>
              </w:rPr>
              <w:t>3</w:t>
            </w:r>
          </w:p>
        </w:tc>
        <w:tc>
          <w:tcPr>
            <w:tcW w:w="733" w:type="pct"/>
            <w:shd w:val="clear" w:color="auto" w:fill="auto"/>
            <w:noWrap/>
            <w:tcMar>
              <w:top w:w="15" w:type="dxa"/>
              <w:left w:w="15" w:type="dxa"/>
              <w:bottom w:w="0" w:type="dxa"/>
              <w:right w:w="15" w:type="dxa"/>
            </w:tcMar>
            <w:vAlign w:val="center"/>
          </w:tcPr>
          <w:p w14:paraId="78006711"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427EE2FF" w14:textId="77777777" w:rsidR="002E474C" w:rsidRDefault="00000000">
            <w:pPr>
              <w:pStyle w:val="A-"/>
            </w:pPr>
            <w:r>
              <w:t>160</w:t>
            </w:r>
            <w:r>
              <w:t>（日最大</w:t>
            </w:r>
            <w:r>
              <w:t>8h</w:t>
            </w:r>
            <w:r>
              <w:t>平均）</w:t>
            </w:r>
          </w:p>
        </w:tc>
        <w:tc>
          <w:tcPr>
            <w:tcW w:w="571" w:type="pct"/>
            <w:shd w:val="clear" w:color="auto" w:fill="auto"/>
            <w:noWrap/>
            <w:tcMar>
              <w:top w:w="15" w:type="dxa"/>
              <w:left w:w="15" w:type="dxa"/>
              <w:bottom w:w="0" w:type="dxa"/>
              <w:right w:w="15" w:type="dxa"/>
            </w:tcMar>
            <w:vAlign w:val="center"/>
          </w:tcPr>
          <w:p w14:paraId="18D7392A" w14:textId="77777777" w:rsidR="002E474C" w:rsidRDefault="00000000">
            <w:pPr>
              <w:pStyle w:val="A-"/>
            </w:pPr>
            <w:r>
              <w:t>200</w:t>
            </w:r>
          </w:p>
        </w:tc>
        <w:tc>
          <w:tcPr>
            <w:tcW w:w="1551" w:type="pct"/>
            <w:vMerge/>
            <w:vAlign w:val="center"/>
          </w:tcPr>
          <w:p w14:paraId="13B8C2A6" w14:textId="77777777" w:rsidR="002E474C" w:rsidRDefault="002E474C">
            <w:pPr>
              <w:pStyle w:val="A-"/>
            </w:pPr>
          </w:p>
        </w:tc>
      </w:tr>
      <w:tr w:rsidR="002E474C" w14:paraId="5D6D0F6D" w14:textId="77777777">
        <w:tc>
          <w:tcPr>
            <w:tcW w:w="192" w:type="pct"/>
            <w:shd w:val="clear" w:color="auto" w:fill="auto"/>
            <w:noWrap/>
            <w:tcMar>
              <w:top w:w="15" w:type="dxa"/>
              <w:left w:w="15" w:type="dxa"/>
              <w:bottom w:w="0" w:type="dxa"/>
              <w:right w:w="15" w:type="dxa"/>
            </w:tcMar>
            <w:vAlign w:val="center"/>
          </w:tcPr>
          <w:p w14:paraId="2C8BC7BA"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0979F6A0" w14:textId="77777777" w:rsidR="002E474C" w:rsidRDefault="00000000">
            <w:pPr>
              <w:pStyle w:val="A-"/>
            </w:pPr>
            <w:r>
              <w:t>CO</w:t>
            </w:r>
          </w:p>
        </w:tc>
        <w:tc>
          <w:tcPr>
            <w:tcW w:w="733" w:type="pct"/>
            <w:shd w:val="clear" w:color="auto" w:fill="auto"/>
            <w:noWrap/>
            <w:tcMar>
              <w:top w:w="15" w:type="dxa"/>
              <w:left w:w="15" w:type="dxa"/>
              <w:bottom w:w="0" w:type="dxa"/>
              <w:right w:w="15" w:type="dxa"/>
            </w:tcMar>
            <w:vAlign w:val="center"/>
          </w:tcPr>
          <w:p w14:paraId="26F7199D" w14:textId="77777777" w:rsidR="002E474C" w:rsidRDefault="00000000">
            <w:pPr>
              <w:pStyle w:val="A-"/>
            </w:pPr>
            <w:r>
              <w:rPr>
                <w:rFonts w:hint="eastAsia"/>
              </w:rPr>
              <w:t>-</w:t>
            </w:r>
          </w:p>
        </w:tc>
        <w:tc>
          <w:tcPr>
            <w:tcW w:w="1183" w:type="pct"/>
            <w:shd w:val="clear" w:color="auto" w:fill="auto"/>
            <w:noWrap/>
            <w:tcMar>
              <w:top w:w="15" w:type="dxa"/>
              <w:left w:w="15" w:type="dxa"/>
              <w:bottom w:w="0" w:type="dxa"/>
              <w:right w:w="15" w:type="dxa"/>
            </w:tcMar>
            <w:vAlign w:val="center"/>
          </w:tcPr>
          <w:p w14:paraId="709E6C6E" w14:textId="77777777" w:rsidR="002E474C" w:rsidRDefault="00000000">
            <w:pPr>
              <w:pStyle w:val="A-"/>
            </w:pPr>
            <w:r>
              <w:t>4000</w:t>
            </w:r>
          </w:p>
        </w:tc>
        <w:tc>
          <w:tcPr>
            <w:tcW w:w="571" w:type="pct"/>
            <w:shd w:val="clear" w:color="auto" w:fill="auto"/>
            <w:noWrap/>
            <w:tcMar>
              <w:top w:w="15" w:type="dxa"/>
              <w:left w:w="15" w:type="dxa"/>
              <w:bottom w:w="0" w:type="dxa"/>
              <w:right w:w="15" w:type="dxa"/>
            </w:tcMar>
            <w:vAlign w:val="center"/>
          </w:tcPr>
          <w:p w14:paraId="08B2B458" w14:textId="77777777" w:rsidR="002E474C" w:rsidRDefault="00000000">
            <w:pPr>
              <w:pStyle w:val="A-"/>
            </w:pPr>
            <w:r>
              <w:t>10000</w:t>
            </w:r>
          </w:p>
        </w:tc>
        <w:tc>
          <w:tcPr>
            <w:tcW w:w="1551" w:type="pct"/>
            <w:vMerge/>
            <w:vAlign w:val="center"/>
          </w:tcPr>
          <w:p w14:paraId="4ABD5B86" w14:textId="77777777" w:rsidR="002E474C" w:rsidRDefault="002E474C">
            <w:pPr>
              <w:pStyle w:val="A-"/>
            </w:pPr>
          </w:p>
        </w:tc>
      </w:tr>
      <w:tr w:rsidR="002E474C" w14:paraId="493F74F0" w14:textId="77777777">
        <w:tc>
          <w:tcPr>
            <w:tcW w:w="192" w:type="pct"/>
            <w:shd w:val="clear" w:color="auto" w:fill="auto"/>
            <w:noWrap/>
            <w:tcMar>
              <w:top w:w="15" w:type="dxa"/>
              <w:left w:w="15" w:type="dxa"/>
              <w:bottom w:w="0" w:type="dxa"/>
              <w:right w:w="15" w:type="dxa"/>
            </w:tcMar>
            <w:vAlign w:val="center"/>
          </w:tcPr>
          <w:p w14:paraId="3BF5AA14"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A8AA72B" w14:textId="77777777" w:rsidR="002E474C" w:rsidRDefault="00000000">
            <w:pPr>
              <w:pStyle w:val="A-"/>
            </w:pPr>
            <w:r>
              <w:t>NOx</w:t>
            </w:r>
          </w:p>
        </w:tc>
        <w:tc>
          <w:tcPr>
            <w:tcW w:w="733" w:type="pct"/>
            <w:shd w:val="clear" w:color="auto" w:fill="auto"/>
            <w:noWrap/>
            <w:tcMar>
              <w:top w:w="15" w:type="dxa"/>
              <w:left w:w="15" w:type="dxa"/>
              <w:bottom w:w="0" w:type="dxa"/>
              <w:right w:w="15" w:type="dxa"/>
            </w:tcMar>
            <w:vAlign w:val="center"/>
          </w:tcPr>
          <w:p w14:paraId="143BF7A9" w14:textId="77777777" w:rsidR="002E474C" w:rsidRDefault="00000000">
            <w:pPr>
              <w:pStyle w:val="A-"/>
            </w:pPr>
            <w:r>
              <w:t>50</w:t>
            </w:r>
          </w:p>
        </w:tc>
        <w:tc>
          <w:tcPr>
            <w:tcW w:w="1183" w:type="pct"/>
            <w:shd w:val="clear" w:color="auto" w:fill="auto"/>
            <w:noWrap/>
            <w:tcMar>
              <w:top w:w="15" w:type="dxa"/>
              <w:left w:w="15" w:type="dxa"/>
              <w:bottom w:w="0" w:type="dxa"/>
              <w:right w:w="15" w:type="dxa"/>
            </w:tcMar>
            <w:vAlign w:val="center"/>
          </w:tcPr>
          <w:p w14:paraId="5B98DC78" w14:textId="77777777" w:rsidR="002E474C" w:rsidRDefault="00000000">
            <w:pPr>
              <w:pStyle w:val="A-"/>
            </w:pPr>
            <w:r>
              <w:t>100</w:t>
            </w:r>
          </w:p>
        </w:tc>
        <w:tc>
          <w:tcPr>
            <w:tcW w:w="571" w:type="pct"/>
            <w:shd w:val="clear" w:color="auto" w:fill="auto"/>
            <w:noWrap/>
            <w:tcMar>
              <w:top w:w="15" w:type="dxa"/>
              <w:left w:w="15" w:type="dxa"/>
              <w:bottom w:w="0" w:type="dxa"/>
              <w:right w:w="15" w:type="dxa"/>
            </w:tcMar>
            <w:vAlign w:val="center"/>
          </w:tcPr>
          <w:p w14:paraId="124ECBC7" w14:textId="77777777" w:rsidR="002E474C" w:rsidRDefault="00000000">
            <w:pPr>
              <w:pStyle w:val="A-"/>
            </w:pPr>
            <w:r>
              <w:t>250</w:t>
            </w:r>
          </w:p>
        </w:tc>
        <w:tc>
          <w:tcPr>
            <w:tcW w:w="1551" w:type="pct"/>
            <w:vMerge/>
            <w:vAlign w:val="center"/>
          </w:tcPr>
          <w:p w14:paraId="73EC3F25" w14:textId="77777777" w:rsidR="002E474C" w:rsidRDefault="002E474C">
            <w:pPr>
              <w:pStyle w:val="A-"/>
            </w:pPr>
          </w:p>
        </w:tc>
      </w:tr>
      <w:tr w:rsidR="002E474C" w14:paraId="721F30D8" w14:textId="77777777">
        <w:tc>
          <w:tcPr>
            <w:tcW w:w="192" w:type="pct"/>
            <w:shd w:val="clear" w:color="auto" w:fill="auto"/>
            <w:noWrap/>
            <w:tcMar>
              <w:top w:w="15" w:type="dxa"/>
              <w:left w:w="15" w:type="dxa"/>
              <w:bottom w:w="0" w:type="dxa"/>
              <w:right w:w="15" w:type="dxa"/>
            </w:tcMar>
            <w:vAlign w:val="center"/>
          </w:tcPr>
          <w:p w14:paraId="2275F6D4"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228ADC1D" w14:textId="77777777" w:rsidR="002E474C" w:rsidRDefault="00000000">
            <w:pPr>
              <w:pStyle w:val="A-"/>
            </w:pPr>
            <w:r>
              <w:t>SO</w:t>
            </w:r>
            <w:r>
              <w:rPr>
                <w:vertAlign w:val="subscript"/>
              </w:rPr>
              <w:t>2</w:t>
            </w:r>
          </w:p>
        </w:tc>
        <w:tc>
          <w:tcPr>
            <w:tcW w:w="733" w:type="pct"/>
            <w:shd w:val="clear" w:color="auto" w:fill="auto"/>
            <w:noWrap/>
            <w:tcMar>
              <w:top w:w="15" w:type="dxa"/>
              <w:left w:w="15" w:type="dxa"/>
              <w:bottom w:w="0" w:type="dxa"/>
              <w:right w:w="15" w:type="dxa"/>
            </w:tcMar>
            <w:vAlign w:val="center"/>
          </w:tcPr>
          <w:p w14:paraId="442B07BF" w14:textId="77777777" w:rsidR="002E474C" w:rsidRDefault="00000000">
            <w:pPr>
              <w:pStyle w:val="A-"/>
            </w:pPr>
            <w:r>
              <w:t>20</w:t>
            </w:r>
          </w:p>
        </w:tc>
        <w:tc>
          <w:tcPr>
            <w:tcW w:w="1183" w:type="pct"/>
            <w:shd w:val="clear" w:color="auto" w:fill="auto"/>
            <w:noWrap/>
            <w:tcMar>
              <w:top w:w="15" w:type="dxa"/>
              <w:left w:w="15" w:type="dxa"/>
              <w:bottom w:w="0" w:type="dxa"/>
              <w:right w:w="15" w:type="dxa"/>
            </w:tcMar>
            <w:vAlign w:val="center"/>
          </w:tcPr>
          <w:p w14:paraId="41D5019A" w14:textId="77777777" w:rsidR="002E474C" w:rsidRDefault="00000000">
            <w:pPr>
              <w:pStyle w:val="A-"/>
            </w:pPr>
            <w:r>
              <w:t>50</w:t>
            </w:r>
          </w:p>
        </w:tc>
        <w:tc>
          <w:tcPr>
            <w:tcW w:w="571" w:type="pct"/>
            <w:shd w:val="clear" w:color="auto" w:fill="auto"/>
            <w:noWrap/>
            <w:tcMar>
              <w:top w:w="15" w:type="dxa"/>
              <w:left w:w="15" w:type="dxa"/>
              <w:bottom w:w="0" w:type="dxa"/>
              <w:right w:w="15" w:type="dxa"/>
            </w:tcMar>
            <w:vAlign w:val="center"/>
          </w:tcPr>
          <w:p w14:paraId="23AB5B45" w14:textId="77777777" w:rsidR="002E474C" w:rsidRDefault="00000000">
            <w:pPr>
              <w:pStyle w:val="A-"/>
            </w:pPr>
            <w:r>
              <w:t>150</w:t>
            </w:r>
          </w:p>
        </w:tc>
        <w:tc>
          <w:tcPr>
            <w:tcW w:w="1551" w:type="pct"/>
            <w:vMerge w:val="restart"/>
            <w:vAlign w:val="center"/>
          </w:tcPr>
          <w:p w14:paraId="7FD9363C" w14:textId="77777777" w:rsidR="002E474C" w:rsidRDefault="00000000">
            <w:pPr>
              <w:pStyle w:val="A-"/>
            </w:pPr>
            <w:r>
              <w:t>《环境空气质量标准》</w:t>
            </w:r>
          </w:p>
          <w:p w14:paraId="4B02A9A3" w14:textId="77777777" w:rsidR="002E474C" w:rsidRDefault="00000000">
            <w:pPr>
              <w:pStyle w:val="A-"/>
            </w:pPr>
            <w:r>
              <w:t>（</w:t>
            </w:r>
            <w:r>
              <w:t>GB3095-2026</w:t>
            </w:r>
            <w:r>
              <w:t>）</w:t>
            </w:r>
          </w:p>
          <w:p w14:paraId="4032A636" w14:textId="77777777" w:rsidR="002E474C" w:rsidRDefault="00000000">
            <w:pPr>
              <w:pStyle w:val="A-"/>
            </w:pPr>
            <w:r>
              <w:t>二级浓度限值</w:t>
            </w:r>
          </w:p>
        </w:tc>
      </w:tr>
      <w:tr w:rsidR="002E474C" w14:paraId="6E0B07E7" w14:textId="77777777">
        <w:tc>
          <w:tcPr>
            <w:tcW w:w="192" w:type="pct"/>
            <w:shd w:val="clear" w:color="auto" w:fill="auto"/>
            <w:noWrap/>
            <w:tcMar>
              <w:top w:w="15" w:type="dxa"/>
              <w:left w:w="15" w:type="dxa"/>
              <w:bottom w:w="0" w:type="dxa"/>
              <w:right w:w="15" w:type="dxa"/>
            </w:tcMar>
            <w:vAlign w:val="center"/>
          </w:tcPr>
          <w:p w14:paraId="31A1B665"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23DF1823" w14:textId="77777777" w:rsidR="002E474C" w:rsidRDefault="00000000">
            <w:pPr>
              <w:pStyle w:val="A-"/>
            </w:pPr>
            <w:r>
              <w:t>NO</w:t>
            </w:r>
            <w:r>
              <w:rPr>
                <w:vertAlign w:val="subscript"/>
              </w:rPr>
              <w:t>2</w:t>
            </w:r>
          </w:p>
        </w:tc>
        <w:tc>
          <w:tcPr>
            <w:tcW w:w="733" w:type="pct"/>
            <w:shd w:val="clear" w:color="auto" w:fill="auto"/>
            <w:noWrap/>
            <w:tcMar>
              <w:top w:w="15" w:type="dxa"/>
              <w:left w:w="15" w:type="dxa"/>
              <w:bottom w:w="0" w:type="dxa"/>
              <w:right w:w="15" w:type="dxa"/>
            </w:tcMar>
            <w:vAlign w:val="center"/>
          </w:tcPr>
          <w:p w14:paraId="40ADA938" w14:textId="77777777" w:rsidR="002E474C" w:rsidRDefault="00000000">
            <w:pPr>
              <w:pStyle w:val="A-"/>
            </w:pPr>
            <w:r>
              <w:t>30</w:t>
            </w:r>
          </w:p>
        </w:tc>
        <w:tc>
          <w:tcPr>
            <w:tcW w:w="1183" w:type="pct"/>
            <w:shd w:val="clear" w:color="auto" w:fill="auto"/>
            <w:noWrap/>
            <w:tcMar>
              <w:top w:w="15" w:type="dxa"/>
              <w:left w:w="15" w:type="dxa"/>
              <w:bottom w:w="0" w:type="dxa"/>
              <w:right w:w="15" w:type="dxa"/>
            </w:tcMar>
            <w:vAlign w:val="center"/>
          </w:tcPr>
          <w:p w14:paraId="61418D27" w14:textId="77777777" w:rsidR="002E474C" w:rsidRDefault="00000000">
            <w:pPr>
              <w:pStyle w:val="A-"/>
            </w:pPr>
            <w:r>
              <w:t>50</w:t>
            </w:r>
          </w:p>
        </w:tc>
        <w:tc>
          <w:tcPr>
            <w:tcW w:w="571" w:type="pct"/>
            <w:shd w:val="clear" w:color="auto" w:fill="auto"/>
            <w:noWrap/>
            <w:tcMar>
              <w:top w:w="15" w:type="dxa"/>
              <w:left w:w="15" w:type="dxa"/>
              <w:bottom w:w="0" w:type="dxa"/>
              <w:right w:w="15" w:type="dxa"/>
            </w:tcMar>
            <w:vAlign w:val="center"/>
          </w:tcPr>
          <w:p w14:paraId="2AD0F9C5" w14:textId="77777777" w:rsidR="002E474C" w:rsidRDefault="00000000">
            <w:pPr>
              <w:pStyle w:val="A-"/>
            </w:pPr>
            <w:r>
              <w:t>200</w:t>
            </w:r>
          </w:p>
        </w:tc>
        <w:tc>
          <w:tcPr>
            <w:tcW w:w="1551" w:type="pct"/>
            <w:vMerge/>
            <w:vAlign w:val="center"/>
          </w:tcPr>
          <w:p w14:paraId="2E0AC3EC" w14:textId="77777777" w:rsidR="002E474C" w:rsidRDefault="002E474C">
            <w:pPr>
              <w:pStyle w:val="A-"/>
            </w:pPr>
          </w:p>
        </w:tc>
      </w:tr>
      <w:tr w:rsidR="002E474C" w14:paraId="4ED0A108" w14:textId="77777777">
        <w:tc>
          <w:tcPr>
            <w:tcW w:w="192" w:type="pct"/>
            <w:shd w:val="clear" w:color="auto" w:fill="auto"/>
            <w:noWrap/>
            <w:tcMar>
              <w:top w:w="15" w:type="dxa"/>
              <w:left w:w="15" w:type="dxa"/>
              <w:bottom w:w="0" w:type="dxa"/>
              <w:right w:w="15" w:type="dxa"/>
            </w:tcMar>
            <w:vAlign w:val="center"/>
          </w:tcPr>
          <w:p w14:paraId="383B1A96"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4E77B519" w14:textId="77777777" w:rsidR="002E474C" w:rsidRDefault="00000000">
            <w:pPr>
              <w:pStyle w:val="A-"/>
            </w:pPr>
            <w:r>
              <w:t>PM</w:t>
            </w:r>
            <w:r>
              <w:rPr>
                <w:vertAlign w:val="subscript"/>
              </w:rPr>
              <w:t>10</w:t>
            </w:r>
          </w:p>
        </w:tc>
        <w:tc>
          <w:tcPr>
            <w:tcW w:w="733" w:type="pct"/>
            <w:shd w:val="clear" w:color="auto" w:fill="auto"/>
            <w:noWrap/>
            <w:tcMar>
              <w:top w:w="15" w:type="dxa"/>
              <w:left w:w="15" w:type="dxa"/>
              <w:bottom w:w="0" w:type="dxa"/>
              <w:right w:w="15" w:type="dxa"/>
            </w:tcMar>
            <w:vAlign w:val="center"/>
          </w:tcPr>
          <w:p w14:paraId="616B5A4B" w14:textId="77777777" w:rsidR="002E474C" w:rsidRDefault="00000000">
            <w:pPr>
              <w:pStyle w:val="A-"/>
            </w:pPr>
            <w:r>
              <w:t>50</w:t>
            </w:r>
          </w:p>
        </w:tc>
        <w:tc>
          <w:tcPr>
            <w:tcW w:w="1183" w:type="pct"/>
            <w:shd w:val="clear" w:color="auto" w:fill="auto"/>
            <w:noWrap/>
            <w:tcMar>
              <w:top w:w="15" w:type="dxa"/>
              <w:left w:w="15" w:type="dxa"/>
              <w:bottom w:w="0" w:type="dxa"/>
              <w:right w:w="15" w:type="dxa"/>
            </w:tcMar>
            <w:vAlign w:val="center"/>
          </w:tcPr>
          <w:p w14:paraId="6E73E3C2" w14:textId="77777777" w:rsidR="002E474C" w:rsidRDefault="00000000">
            <w:pPr>
              <w:pStyle w:val="A-"/>
            </w:pPr>
            <w:r>
              <w:t>100</w:t>
            </w:r>
          </w:p>
        </w:tc>
        <w:tc>
          <w:tcPr>
            <w:tcW w:w="571" w:type="pct"/>
            <w:shd w:val="clear" w:color="auto" w:fill="auto"/>
            <w:noWrap/>
            <w:tcMar>
              <w:top w:w="15" w:type="dxa"/>
              <w:left w:w="15" w:type="dxa"/>
              <w:bottom w:w="0" w:type="dxa"/>
              <w:right w:w="15" w:type="dxa"/>
            </w:tcMar>
            <w:vAlign w:val="center"/>
          </w:tcPr>
          <w:p w14:paraId="6EF5749F" w14:textId="77777777" w:rsidR="002E474C" w:rsidRDefault="00000000">
            <w:pPr>
              <w:pStyle w:val="A-"/>
            </w:pPr>
            <w:r>
              <w:t>-</w:t>
            </w:r>
          </w:p>
        </w:tc>
        <w:tc>
          <w:tcPr>
            <w:tcW w:w="1551" w:type="pct"/>
            <w:vMerge/>
            <w:vAlign w:val="center"/>
          </w:tcPr>
          <w:p w14:paraId="5987EE5F" w14:textId="77777777" w:rsidR="002E474C" w:rsidRDefault="002E474C">
            <w:pPr>
              <w:pStyle w:val="A-"/>
            </w:pPr>
          </w:p>
        </w:tc>
      </w:tr>
      <w:tr w:rsidR="002E474C" w14:paraId="3041E591" w14:textId="77777777">
        <w:tc>
          <w:tcPr>
            <w:tcW w:w="192" w:type="pct"/>
            <w:shd w:val="clear" w:color="auto" w:fill="auto"/>
            <w:noWrap/>
            <w:tcMar>
              <w:top w:w="15" w:type="dxa"/>
              <w:left w:w="15" w:type="dxa"/>
              <w:bottom w:w="0" w:type="dxa"/>
              <w:right w:w="15" w:type="dxa"/>
            </w:tcMar>
            <w:vAlign w:val="center"/>
          </w:tcPr>
          <w:p w14:paraId="34BE86AD"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0C415B5D" w14:textId="77777777" w:rsidR="002E474C" w:rsidRDefault="00000000">
            <w:pPr>
              <w:pStyle w:val="A-"/>
            </w:pPr>
            <w:r>
              <w:t>PM</w:t>
            </w:r>
            <w:r>
              <w:rPr>
                <w:vertAlign w:val="subscript"/>
              </w:rPr>
              <w:t>2.5</w:t>
            </w:r>
          </w:p>
        </w:tc>
        <w:tc>
          <w:tcPr>
            <w:tcW w:w="733" w:type="pct"/>
            <w:shd w:val="clear" w:color="auto" w:fill="auto"/>
            <w:noWrap/>
            <w:tcMar>
              <w:top w:w="15" w:type="dxa"/>
              <w:left w:w="15" w:type="dxa"/>
              <w:bottom w:w="0" w:type="dxa"/>
              <w:right w:w="15" w:type="dxa"/>
            </w:tcMar>
            <w:vAlign w:val="center"/>
          </w:tcPr>
          <w:p w14:paraId="425AC152" w14:textId="77777777" w:rsidR="002E474C" w:rsidRDefault="00000000">
            <w:pPr>
              <w:pStyle w:val="A-"/>
            </w:pPr>
            <w:r>
              <w:t>25</w:t>
            </w:r>
          </w:p>
        </w:tc>
        <w:tc>
          <w:tcPr>
            <w:tcW w:w="1183" w:type="pct"/>
            <w:shd w:val="clear" w:color="auto" w:fill="auto"/>
            <w:noWrap/>
            <w:tcMar>
              <w:top w:w="15" w:type="dxa"/>
              <w:left w:w="15" w:type="dxa"/>
              <w:bottom w:w="0" w:type="dxa"/>
              <w:right w:w="15" w:type="dxa"/>
            </w:tcMar>
            <w:vAlign w:val="center"/>
          </w:tcPr>
          <w:p w14:paraId="2EB74C05" w14:textId="77777777" w:rsidR="002E474C" w:rsidRDefault="00000000">
            <w:pPr>
              <w:pStyle w:val="A-"/>
            </w:pPr>
            <w:r>
              <w:t>50</w:t>
            </w:r>
          </w:p>
        </w:tc>
        <w:tc>
          <w:tcPr>
            <w:tcW w:w="571" w:type="pct"/>
            <w:shd w:val="clear" w:color="auto" w:fill="auto"/>
            <w:noWrap/>
            <w:tcMar>
              <w:top w:w="15" w:type="dxa"/>
              <w:left w:w="15" w:type="dxa"/>
              <w:bottom w:w="0" w:type="dxa"/>
              <w:right w:w="15" w:type="dxa"/>
            </w:tcMar>
            <w:vAlign w:val="center"/>
          </w:tcPr>
          <w:p w14:paraId="48EC1E81" w14:textId="77777777" w:rsidR="002E474C" w:rsidRDefault="00000000">
            <w:pPr>
              <w:pStyle w:val="A-"/>
            </w:pPr>
            <w:r>
              <w:t>-</w:t>
            </w:r>
          </w:p>
        </w:tc>
        <w:tc>
          <w:tcPr>
            <w:tcW w:w="1551" w:type="pct"/>
            <w:vMerge/>
            <w:vAlign w:val="center"/>
          </w:tcPr>
          <w:p w14:paraId="255B07AB" w14:textId="77777777" w:rsidR="002E474C" w:rsidRDefault="002E474C">
            <w:pPr>
              <w:pStyle w:val="A-"/>
            </w:pPr>
          </w:p>
        </w:tc>
      </w:tr>
      <w:tr w:rsidR="002E474C" w14:paraId="45C877BF" w14:textId="77777777">
        <w:tc>
          <w:tcPr>
            <w:tcW w:w="192" w:type="pct"/>
            <w:shd w:val="clear" w:color="auto" w:fill="auto"/>
            <w:noWrap/>
            <w:tcMar>
              <w:top w:w="15" w:type="dxa"/>
              <w:left w:w="15" w:type="dxa"/>
              <w:bottom w:w="0" w:type="dxa"/>
              <w:right w:w="15" w:type="dxa"/>
            </w:tcMar>
            <w:vAlign w:val="center"/>
          </w:tcPr>
          <w:p w14:paraId="6B10B939"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7B9EBFD5" w14:textId="77777777" w:rsidR="002E474C" w:rsidRDefault="00000000">
            <w:pPr>
              <w:pStyle w:val="A-"/>
            </w:pPr>
            <w:r>
              <w:t>O</w:t>
            </w:r>
            <w:r>
              <w:rPr>
                <w:vertAlign w:val="subscript"/>
              </w:rPr>
              <w:t>3</w:t>
            </w:r>
          </w:p>
        </w:tc>
        <w:tc>
          <w:tcPr>
            <w:tcW w:w="733" w:type="pct"/>
            <w:shd w:val="clear" w:color="auto" w:fill="auto"/>
            <w:noWrap/>
            <w:tcMar>
              <w:top w:w="15" w:type="dxa"/>
              <w:left w:w="15" w:type="dxa"/>
              <w:bottom w:w="0" w:type="dxa"/>
              <w:right w:w="15" w:type="dxa"/>
            </w:tcMar>
            <w:vAlign w:val="center"/>
          </w:tcPr>
          <w:p w14:paraId="14323F99"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66BE95BD" w14:textId="77777777" w:rsidR="002E474C" w:rsidRDefault="00000000">
            <w:pPr>
              <w:pStyle w:val="A-"/>
            </w:pPr>
            <w:r>
              <w:t>160</w:t>
            </w:r>
            <w:r>
              <w:t>（日最大</w:t>
            </w:r>
            <w:r>
              <w:t>8h</w:t>
            </w:r>
            <w:r>
              <w:t>平均）</w:t>
            </w:r>
          </w:p>
        </w:tc>
        <w:tc>
          <w:tcPr>
            <w:tcW w:w="571" w:type="pct"/>
            <w:shd w:val="clear" w:color="auto" w:fill="auto"/>
            <w:noWrap/>
            <w:tcMar>
              <w:top w:w="15" w:type="dxa"/>
              <w:left w:w="15" w:type="dxa"/>
              <w:bottom w:w="0" w:type="dxa"/>
              <w:right w:w="15" w:type="dxa"/>
            </w:tcMar>
            <w:vAlign w:val="center"/>
          </w:tcPr>
          <w:p w14:paraId="3883669A" w14:textId="77777777" w:rsidR="002E474C" w:rsidRDefault="00000000">
            <w:pPr>
              <w:pStyle w:val="A-"/>
            </w:pPr>
            <w:r>
              <w:t>200</w:t>
            </w:r>
          </w:p>
        </w:tc>
        <w:tc>
          <w:tcPr>
            <w:tcW w:w="1551" w:type="pct"/>
            <w:vMerge/>
            <w:vAlign w:val="center"/>
          </w:tcPr>
          <w:p w14:paraId="2403EDDA" w14:textId="77777777" w:rsidR="002E474C" w:rsidRDefault="002E474C">
            <w:pPr>
              <w:pStyle w:val="A-"/>
            </w:pPr>
          </w:p>
        </w:tc>
      </w:tr>
      <w:tr w:rsidR="002E474C" w14:paraId="1D5FBF97" w14:textId="77777777">
        <w:tc>
          <w:tcPr>
            <w:tcW w:w="192" w:type="pct"/>
            <w:shd w:val="clear" w:color="auto" w:fill="auto"/>
            <w:noWrap/>
            <w:tcMar>
              <w:top w:w="15" w:type="dxa"/>
              <w:left w:w="15" w:type="dxa"/>
              <w:bottom w:w="0" w:type="dxa"/>
              <w:right w:w="15" w:type="dxa"/>
            </w:tcMar>
            <w:vAlign w:val="center"/>
          </w:tcPr>
          <w:p w14:paraId="36A6B307"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342EE8D0" w14:textId="77777777" w:rsidR="002E474C" w:rsidRDefault="00000000">
            <w:pPr>
              <w:pStyle w:val="A-"/>
            </w:pPr>
            <w:r>
              <w:t>CO</w:t>
            </w:r>
          </w:p>
        </w:tc>
        <w:tc>
          <w:tcPr>
            <w:tcW w:w="733" w:type="pct"/>
            <w:shd w:val="clear" w:color="auto" w:fill="auto"/>
            <w:noWrap/>
            <w:tcMar>
              <w:top w:w="15" w:type="dxa"/>
              <w:left w:w="15" w:type="dxa"/>
              <w:bottom w:w="0" w:type="dxa"/>
              <w:right w:w="15" w:type="dxa"/>
            </w:tcMar>
            <w:vAlign w:val="center"/>
          </w:tcPr>
          <w:p w14:paraId="06A6422B" w14:textId="77777777" w:rsidR="002E474C" w:rsidRDefault="00000000">
            <w:pPr>
              <w:pStyle w:val="A-"/>
            </w:pPr>
            <w:r>
              <w:rPr>
                <w:rFonts w:hint="eastAsia"/>
              </w:rPr>
              <w:t>-</w:t>
            </w:r>
          </w:p>
        </w:tc>
        <w:tc>
          <w:tcPr>
            <w:tcW w:w="1183" w:type="pct"/>
            <w:shd w:val="clear" w:color="auto" w:fill="auto"/>
            <w:noWrap/>
            <w:tcMar>
              <w:top w:w="15" w:type="dxa"/>
              <w:left w:w="15" w:type="dxa"/>
              <w:bottom w:w="0" w:type="dxa"/>
              <w:right w:w="15" w:type="dxa"/>
            </w:tcMar>
            <w:vAlign w:val="center"/>
          </w:tcPr>
          <w:p w14:paraId="33450D7D" w14:textId="77777777" w:rsidR="002E474C" w:rsidRDefault="00000000">
            <w:pPr>
              <w:pStyle w:val="A-"/>
            </w:pPr>
            <w:r>
              <w:t>4000</w:t>
            </w:r>
          </w:p>
        </w:tc>
        <w:tc>
          <w:tcPr>
            <w:tcW w:w="571" w:type="pct"/>
            <w:shd w:val="clear" w:color="auto" w:fill="auto"/>
            <w:noWrap/>
            <w:tcMar>
              <w:top w:w="15" w:type="dxa"/>
              <w:left w:w="15" w:type="dxa"/>
              <w:bottom w:w="0" w:type="dxa"/>
              <w:right w:w="15" w:type="dxa"/>
            </w:tcMar>
            <w:vAlign w:val="center"/>
          </w:tcPr>
          <w:p w14:paraId="7B235224" w14:textId="77777777" w:rsidR="002E474C" w:rsidRDefault="00000000">
            <w:pPr>
              <w:pStyle w:val="A-"/>
            </w:pPr>
            <w:r>
              <w:t>10000</w:t>
            </w:r>
          </w:p>
        </w:tc>
        <w:tc>
          <w:tcPr>
            <w:tcW w:w="1551" w:type="pct"/>
            <w:vMerge/>
            <w:vAlign w:val="center"/>
          </w:tcPr>
          <w:p w14:paraId="15133833" w14:textId="77777777" w:rsidR="002E474C" w:rsidRDefault="002E474C">
            <w:pPr>
              <w:pStyle w:val="A-"/>
            </w:pPr>
          </w:p>
        </w:tc>
      </w:tr>
      <w:tr w:rsidR="002E474C" w14:paraId="6889FDF4" w14:textId="77777777">
        <w:tc>
          <w:tcPr>
            <w:tcW w:w="192" w:type="pct"/>
            <w:shd w:val="clear" w:color="auto" w:fill="auto"/>
            <w:noWrap/>
            <w:tcMar>
              <w:top w:w="15" w:type="dxa"/>
              <w:left w:w="15" w:type="dxa"/>
              <w:bottom w:w="0" w:type="dxa"/>
              <w:right w:w="15" w:type="dxa"/>
            </w:tcMar>
            <w:vAlign w:val="center"/>
          </w:tcPr>
          <w:p w14:paraId="7D45CD22"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79DB83EA" w14:textId="77777777" w:rsidR="002E474C" w:rsidRDefault="00000000">
            <w:pPr>
              <w:pStyle w:val="A-"/>
            </w:pPr>
            <w:r>
              <w:t>NOx</w:t>
            </w:r>
          </w:p>
        </w:tc>
        <w:tc>
          <w:tcPr>
            <w:tcW w:w="733" w:type="pct"/>
            <w:shd w:val="clear" w:color="auto" w:fill="auto"/>
            <w:noWrap/>
            <w:tcMar>
              <w:top w:w="15" w:type="dxa"/>
              <w:left w:w="15" w:type="dxa"/>
              <w:bottom w:w="0" w:type="dxa"/>
              <w:right w:w="15" w:type="dxa"/>
            </w:tcMar>
            <w:vAlign w:val="center"/>
          </w:tcPr>
          <w:p w14:paraId="75609DDE" w14:textId="77777777" w:rsidR="002E474C" w:rsidRDefault="00000000">
            <w:pPr>
              <w:pStyle w:val="A-"/>
            </w:pPr>
            <w:r>
              <w:t>40</w:t>
            </w:r>
          </w:p>
        </w:tc>
        <w:tc>
          <w:tcPr>
            <w:tcW w:w="1183" w:type="pct"/>
            <w:shd w:val="clear" w:color="auto" w:fill="auto"/>
            <w:noWrap/>
            <w:tcMar>
              <w:top w:w="15" w:type="dxa"/>
              <w:left w:w="15" w:type="dxa"/>
              <w:bottom w:w="0" w:type="dxa"/>
              <w:right w:w="15" w:type="dxa"/>
            </w:tcMar>
            <w:vAlign w:val="center"/>
          </w:tcPr>
          <w:p w14:paraId="16954337" w14:textId="77777777" w:rsidR="002E474C" w:rsidRDefault="00000000">
            <w:pPr>
              <w:pStyle w:val="A-"/>
            </w:pPr>
            <w:r>
              <w:t>70</w:t>
            </w:r>
          </w:p>
        </w:tc>
        <w:tc>
          <w:tcPr>
            <w:tcW w:w="571" w:type="pct"/>
            <w:shd w:val="clear" w:color="auto" w:fill="auto"/>
            <w:noWrap/>
            <w:tcMar>
              <w:top w:w="15" w:type="dxa"/>
              <w:left w:w="15" w:type="dxa"/>
              <w:bottom w:w="0" w:type="dxa"/>
              <w:right w:w="15" w:type="dxa"/>
            </w:tcMar>
            <w:vAlign w:val="center"/>
          </w:tcPr>
          <w:p w14:paraId="7740484E" w14:textId="77777777" w:rsidR="002E474C" w:rsidRDefault="00000000">
            <w:pPr>
              <w:pStyle w:val="A-"/>
            </w:pPr>
            <w:r>
              <w:t>250</w:t>
            </w:r>
          </w:p>
        </w:tc>
        <w:tc>
          <w:tcPr>
            <w:tcW w:w="1551" w:type="pct"/>
            <w:vMerge/>
            <w:vAlign w:val="center"/>
          </w:tcPr>
          <w:p w14:paraId="7822C26E" w14:textId="77777777" w:rsidR="002E474C" w:rsidRDefault="002E474C">
            <w:pPr>
              <w:pStyle w:val="A-"/>
            </w:pPr>
          </w:p>
        </w:tc>
      </w:tr>
      <w:tr w:rsidR="002E474C" w14:paraId="48AE34E1" w14:textId="77777777">
        <w:tc>
          <w:tcPr>
            <w:tcW w:w="192" w:type="pct"/>
            <w:shd w:val="clear" w:color="auto" w:fill="auto"/>
            <w:noWrap/>
            <w:tcMar>
              <w:top w:w="15" w:type="dxa"/>
              <w:left w:w="15" w:type="dxa"/>
              <w:bottom w:w="0" w:type="dxa"/>
              <w:right w:w="15" w:type="dxa"/>
            </w:tcMar>
            <w:vAlign w:val="center"/>
          </w:tcPr>
          <w:p w14:paraId="10E06D8F"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0CD7BA5A" w14:textId="77777777" w:rsidR="002E474C" w:rsidRDefault="00000000">
            <w:pPr>
              <w:pStyle w:val="A-"/>
            </w:pPr>
            <w:r>
              <w:t>TSP</w:t>
            </w:r>
          </w:p>
        </w:tc>
        <w:tc>
          <w:tcPr>
            <w:tcW w:w="733" w:type="pct"/>
            <w:shd w:val="clear" w:color="auto" w:fill="auto"/>
            <w:noWrap/>
            <w:tcMar>
              <w:top w:w="15" w:type="dxa"/>
              <w:left w:w="15" w:type="dxa"/>
              <w:bottom w:w="0" w:type="dxa"/>
              <w:right w:w="15" w:type="dxa"/>
            </w:tcMar>
            <w:vAlign w:val="center"/>
          </w:tcPr>
          <w:p w14:paraId="4B14D966" w14:textId="77777777" w:rsidR="002E474C" w:rsidRDefault="00000000">
            <w:pPr>
              <w:pStyle w:val="A-"/>
            </w:pPr>
            <w:r>
              <w:t>200</w:t>
            </w:r>
          </w:p>
        </w:tc>
        <w:tc>
          <w:tcPr>
            <w:tcW w:w="1183" w:type="pct"/>
            <w:shd w:val="clear" w:color="auto" w:fill="auto"/>
            <w:noWrap/>
            <w:tcMar>
              <w:top w:w="15" w:type="dxa"/>
              <w:left w:w="15" w:type="dxa"/>
              <w:bottom w:w="0" w:type="dxa"/>
              <w:right w:w="15" w:type="dxa"/>
            </w:tcMar>
            <w:vAlign w:val="center"/>
          </w:tcPr>
          <w:p w14:paraId="79E4FB90" w14:textId="77777777" w:rsidR="002E474C" w:rsidRDefault="00000000">
            <w:pPr>
              <w:pStyle w:val="A-"/>
            </w:pPr>
            <w:r>
              <w:t>300</w:t>
            </w:r>
          </w:p>
        </w:tc>
        <w:tc>
          <w:tcPr>
            <w:tcW w:w="571" w:type="pct"/>
            <w:shd w:val="clear" w:color="auto" w:fill="auto"/>
            <w:noWrap/>
            <w:tcMar>
              <w:top w:w="15" w:type="dxa"/>
              <w:left w:w="15" w:type="dxa"/>
              <w:bottom w:w="0" w:type="dxa"/>
              <w:right w:w="15" w:type="dxa"/>
            </w:tcMar>
            <w:vAlign w:val="center"/>
          </w:tcPr>
          <w:p w14:paraId="6093B786" w14:textId="77777777" w:rsidR="002E474C" w:rsidRDefault="00000000">
            <w:pPr>
              <w:pStyle w:val="A-"/>
            </w:pPr>
            <w:r>
              <w:t>-</w:t>
            </w:r>
          </w:p>
        </w:tc>
        <w:tc>
          <w:tcPr>
            <w:tcW w:w="1551" w:type="pct"/>
            <w:vMerge/>
            <w:vAlign w:val="center"/>
          </w:tcPr>
          <w:p w14:paraId="1DF48565" w14:textId="77777777" w:rsidR="002E474C" w:rsidRDefault="002E474C">
            <w:pPr>
              <w:pStyle w:val="A-"/>
            </w:pPr>
          </w:p>
        </w:tc>
      </w:tr>
      <w:tr w:rsidR="002E474C" w14:paraId="0B9119A5" w14:textId="77777777">
        <w:tc>
          <w:tcPr>
            <w:tcW w:w="192" w:type="pct"/>
            <w:shd w:val="clear" w:color="auto" w:fill="auto"/>
            <w:noWrap/>
            <w:tcMar>
              <w:top w:w="15" w:type="dxa"/>
              <w:left w:w="15" w:type="dxa"/>
              <w:bottom w:w="0" w:type="dxa"/>
              <w:right w:w="15" w:type="dxa"/>
            </w:tcMar>
            <w:vAlign w:val="center"/>
          </w:tcPr>
          <w:p w14:paraId="5E2F76A0"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DE6BEA0" w14:textId="77777777" w:rsidR="002E474C" w:rsidRDefault="00000000">
            <w:pPr>
              <w:pStyle w:val="A-"/>
            </w:pPr>
            <w:r>
              <w:t>Pb</w:t>
            </w:r>
          </w:p>
        </w:tc>
        <w:tc>
          <w:tcPr>
            <w:tcW w:w="733" w:type="pct"/>
            <w:shd w:val="clear" w:color="auto" w:fill="auto"/>
            <w:noWrap/>
            <w:tcMar>
              <w:top w:w="15" w:type="dxa"/>
              <w:left w:w="15" w:type="dxa"/>
              <w:bottom w:w="0" w:type="dxa"/>
              <w:right w:w="15" w:type="dxa"/>
            </w:tcMar>
            <w:vAlign w:val="center"/>
          </w:tcPr>
          <w:p w14:paraId="782BEC8B" w14:textId="77777777" w:rsidR="002E474C" w:rsidRDefault="00000000">
            <w:pPr>
              <w:pStyle w:val="A-"/>
            </w:pPr>
            <w:r>
              <w:t>0.5</w:t>
            </w:r>
          </w:p>
        </w:tc>
        <w:tc>
          <w:tcPr>
            <w:tcW w:w="1183" w:type="pct"/>
            <w:shd w:val="clear" w:color="auto" w:fill="auto"/>
            <w:noWrap/>
            <w:tcMar>
              <w:top w:w="15" w:type="dxa"/>
              <w:left w:w="15" w:type="dxa"/>
              <w:bottom w:w="0" w:type="dxa"/>
              <w:right w:w="15" w:type="dxa"/>
            </w:tcMar>
            <w:vAlign w:val="center"/>
          </w:tcPr>
          <w:p w14:paraId="481E8A54"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56AD9FD7" w14:textId="77777777" w:rsidR="002E474C" w:rsidRDefault="00000000">
            <w:pPr>
              <w:pStyle w:val="A-"/>
            </w:pPr>
            <w:r>
              <w:t>-</w:t>
            </w:r>
          </w:p>
        </w:tc>
        <w:tc>
          <w:tcPr>
            <w:tcW w:w="1551" w:type="pct"/>
            <w:vMerge/>
            <w:vAlign w:val="center"/>
          </w:tcPr>
          <w:p w14:paraId="5DD9E773" w14:textId="77777777" w:rsidR="002E474C" w:rsidRDefault="002E474C">
            <w:pPr>
              <w:pStyle w:val="A-"/>
            </w:pPr>
          </w:p>
        </w:tc>
      </w:tr>
      <w:tr w:rsidR="002E474C" w14:paraId="177998B0" w14:textId="77777777">
        <w:tc>
          <w:tcPr>
            <w:tcW w:w="192" w:type="pct"/>
            <w:shd w:val="clear" w:color="auto" w:fill="auto"/>
            <w:noWrap/>
            <w:tcMar>
              <w:top w:w="15" w:type="dxa"/>
              <w:left w:w="15" w:type="dxa"/>
              <w:bottom w:w="0" w:type="dxa"/>
              <w:right w:w="15" w:type="dxa"/>
            </w:tcMar>
            <w:vAlign w:val="center"/>
          </w:tcPr>
          <w:p w14:paraId="589193E0"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63E2D668" w14:textId="77777777" w:rsidR="002E474C" w:rsidRDefault="00000000">
            <w:pPr>
              <w:pStyle w:val="A-"/>
            </w:pPr>
            <w:r>
              <w:t>Cd</w:t>
            </w:r>
          </w:p>
        </w:tc>
        <w:tc>
          <w:tcPr>
            <w:tcW w:w="733" w:type="pct"/>
            <w:shd w:val="clear" w:color="auto" w:fill="auto"/>
            <w:noWrap/>
            <w:tcMar>
              <w:top w:w="15" w:type="dxa"/>
              <w:left w:w="15" w:type="dxa"/>
              <w:bottom w:w="0" w:type="dxa"/>
              <w:right w:w="15" w:type="dxa"/>
            </w:tcMar>
            <w:vAlign w:val="center"/>
          </w:tcPr>
          <w:p w14:paraId="1048526A" w14:textId="77777777" w:rsidR="002E474C" w:rsidRDefault="00000000">
            <w:pPr>
              <w:pStyle w:val="A-"/>
            </w:pPr>
            <w:r>
              <w:t>0.005</w:t>
            </w:r>
          </w:p>
        </w:tc>
        <w:tc>
          <w:tcPr>
            <w:tcW w:w="1183" w:type="pct"/>
            <w:shd w:val="clear" w:color="auto" w:fill="auto"/>
            <w:noWrap/>
            <w:tcMar>
              <w:top w:w="15" w:type="dxa"/>
              <w:left w:w="15" w:type="dxa"/>
              <w:bottom w:w="0" w:type="dxa"/>
              <w:right w:w="15" w:type="dxa"/>
            </w:tcMar>
            <w:vAlign w:val="center"/>
          </w:tcPr>
          <w:p w14:paraId="418E5EEF"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0DDCDA08" w14:textId="77777777" w:rsidR="002E474C" w:rsidRDefault="00000000">
            <w:pPr>
              <w:pStyle w:val="A-"/>
            </w:pPr>
            <w:r>
              <w:t>-</w:t>
            </w:r>
          </w:p>
        </w:tc>
        <w:tc>
          <w:tcPr>
            <w:tcW w:w="1551" w:type="pct"/>
            <w:vMerge/>
            <w:vAlign w:val="center"/>
          </w:tcPr>
          <w:p w14:paraId="6CA52B43" w14:textId="77777777" w:rsidR="002E474C" w:rsidRDefault="002E474C">
            <w:pPr>
              <w:pStyle w:val="A-"/>
            </w:pPr>
          </w:p>
        </w:tc>
      </w:tr>
      <w:tr w:rsidR="002E474C" w14:paraId="58225F4A" w14:textId="77777777">
        <w:tc>
          <w:tcPr>
            <w:tcW w:w="192" w:type="pct"/>
            <w:shd w:val="clear" w:color="auto" w:fill="auto"/>
            <w:noWrap/>
            <w:tcMar>
              <w:top w:w="15" w:type="dxa"/>
              <w:left w:w="15" w:type="dxa"/>
              <w:bottom w:w="0" w:type="dxa"/>
              <w:right w:w="15" w:type="dxa"/>
            </w:tcMar>
            <w:vAlign w:val="center"/>
          </w:tcPr>
          <w:p w14:paraId="2EE3486B"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605DF85A" w14:textId="77777777" w:rsidR="002E474C" w:rsidRDefault="00000000">
            <w:pPr>
              <w:pStyle w:val="A-"/>
            </w:pPr>
            <w:r>
              <w:t>Hg</w:t>
            </w:r>
          </w:p>
        </w:tc>
        <w:tc>
          <w:tcPr>
            <w:tcW w:w="733" w:type="pct"/>
            <w:shd w:val="clear" w:color="auto" w:fill="auto"/>
            <w:noWrap/>
            <w:tcMar>
              <w:top w:w="15" w:type="dxa"/>
              <w:left w:w="15" w:type="dxa"/>
              <w:bottom w:w="0" w:type="dxa"/>
              <w:right w:w="15" w:type="dxa"/>
            </w:tcMar>
            <w:vAlign w:val="center"/>
          </w:tcPr>
          <w:p w14:paraId="100D797A" w14:textId="77777777" w:rsidR="002E474C" w:rsidRDefault="00000000">
            <w:pPr>
              <w:pStyle w:val="A-"/>
            </w:pPr>
            <w:r>
              <w:t>0.05</w:t>
            </w:r>
          </w:p>
        </w:tc>
        <w:tc>
          <w:tcPr>
            <w:tcW w:w="1183" w:type="pct"/>
            <w:shd w:val="clear" w:color="auto" w:fill="auto"/>
            <w:noWrap/>
            <w:tcMar>
              <w:top w:w="15" w:type="dxa"/>
              <w:left w:w="15" w:type="dxa"/>
              <w:bottom w:w="0" w:type="dxa"/>
              <w:right w:w="15" w:type="dxa"/>
            </w:tcMar>
            <w:vAlign w:val="center"/>
          </w:tcPr>
          <w:p w14:paraId="6FF9FC8F"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645ADF7A" w14:textId="77777777" w:rsidR="002E474C" w:rsidRDefault="00000000">
            <w:pPr>
              <w:pStyle w:val="A-"/>
            </w:pPr>
            <w:r>
              <w:t>-</w:t>
            </w:r>
          </w:p>
        </w:tc>
        <w:tc>
          <w:tcPr>
            <w:tcW w:w="1551" w:type="pct"/>
            <w:vMerge/>
            <w:vAlign w:val="center"/>
          </w:tcPr>
          <w:p w14:paraId="0D3C29F5" w14:textId="77777777" w:rsidR="002E474C" w:rsidRDefault="002E474C">
            <w:pPr>
              <w:pStyle w:val="A-"/>
            </w:pPr>
          </w:p>
        </w:tc>
      </w:tr>
      <w:tr w:rsidR="002E474C" w14:paraId="7CFF7E78" w14:textId="77777777">
        <w:tc>
          <w:tcPr>
            <w:tcW w:w="192" w:type="pct"/>
            <w:shd w:val="clear" w:color="auto" w:fill="auto"/>
            <w:noWrap/>
            <w:tcMar>
              <w:top w:w="15" w:type="dxa"/>
              <w:left w:w="15" w:type="dxa"/>
              <w:bottom w:w="0" w:type="dxa"/>
              <w:right w:w="15" w:type="dxa"/>
            </w:tcMar>
            <w:vAlign w:val="center"/>
          </w:tcPr>
          <w:p w14:paraId="39AE7812"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75410A60" w14:textId="77777777" w:rsidR="002E474C" w:rsidRDefault="00000000">
            <w:pPr>
              <w:pStyle w:val="A-"/>
            </w:pPr>
            <w:r>
              <w:t>As</w:t>
            </w:r>
          </w:p>
        </w:tc>
        <w:tc>
          <w:tcPr>
            <w:tcW w:w="733" w:type="pct"/>
            <w:shd w:val="clear" w:color="auto" w:fill="auto"/>
            <w:noWrap/>
            <w:tcMar>
              <w:top w:w="15" w:type="dxa"/>
              <w:left w:w="15" w:type="dxa"/>
              <w:bottom w:w="0" w:type="dxa"/>
              <w:right w:w="15" w:type="dxa"/>
            </w:tcMar>
            <w:vAlign w:val="center"/>
          </w:tcPr>
          <w:p w14:paraId="5B37FBC9" w14:textId="77777777" w:rsidR="002E474C" w:rsidRDefault="00000000">
            <w:pPr>
              <w:pStyle w:val="A-"/>
            </w:pPr>
            <w:r>
              <w:t>0.006</w:t>
            </w:r>
          </w:p>
        </w:tc>
        <w:tc>
          <w:tcPr>
            <w:tcW w:w="1183" w:type="pct"/>
            <w:shd w:val="clear" w:color="auto" w:fill="auto"/>
            <w:noWrap/>
            <w:tcMar>
              <w:top w:w="15" w:type="dxa"/>
              <w:left w:w="15" w:type="dxa"/>
              <w:bottom w:w="0" w:type="dxa"/>
              <w:right w:w="15" w:type="dxa"/>
            </w:tcMar>
            <w:vAlign w:val="center"/>
          </w:tcPr>
          <w:p w14:paraId="0DC3320D"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1463E302" w14:textId="77777777" w:rsidR="002E474C" w:rsidRDefault="00000000">
            <w:pPr>
              <w:pStyle w:val="A-"/>
            </w:pPr>
            <w:r>
              <w:t>-</w:t>
            </w:r>
          </w:p>
        </w:tc>
        <w:tc>
          <w:tcPr>
            <w:tcW w:w="1551" w:type="pct"/>
            <w:vMerge/>
            <w:vAlign w:val="center"/>
          </w:tcPr>
          <w:p w14:paraId="570885BD" w14:textId="77777777" w:rsidR="002E474C" w:rsidRDefault="002E474C">
            <w:pPr>
              <w:pStyle w:val="A-"/>
            </w:pPr>
          </w:p>
        </w:tc>
      </w:tr>
      <w:tr w:rsidR="002E474C" w14:paraId="2DFFAEF7" w14:textId="77777777">
        <w:tc>
          <w:tcPr>
            <w:tcW w:w="192" w:type="pct"/>
            <w:shd w:val="clear" w:color="auto" w:fill="auto"/>
            <w:noWrap/>
            <w:tcMar>
              <w:top w:w="15" w:type="dxa"/>
              <w:left w:w="15" w:type="dxa"/>
              <w:bottom w:w="0" w:type="dxa"/>
              <w:right w:w="15" w:type="dxa"/>
            </w:tcMar>
            <w:vAlign w:val="center"/>
          </w:tcPr>
          <w:p w14:paraId="70A3C77D"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628F707" w14:textId="77777777" w:rsidR="002E474C" w:rsidRDefault="00000000">
            <w:pPr>
              <w:pStyle w:val="A-"/>
            </w:pPr>
            <w:r>
              <w:t>Cr</w:t>
            </w:r>
            <w:r>
              <w:t>（</w:t>
            </w:r>
            <w:r>
              <w:t>Ⅵ</w:t>
            </w:r>
            <w:r>
              <w:t>）</w:t>
            </w:r>
          </w:p>
        </w:tc>
        <w:tc>
          <w:tcPr>
            <w:tcW w:w="733" w:type="pct"/>
            <w:shd w:val="clear" w:color="auto" w:fill="auto"/>
            <w:noWrap/>
            <w:tcMar>
              <w:top w:w="15" w:type="dxa"/>
              <w:left w:w="15" w:type="dxa"/>
              <w:bottom w:w="0" w:type="dxa"/>
              <w:right w:w="15" w:type="dxa"/>
            </w:tcMar>
            <w:vAlign w:val="center"/>
          </w:tcPr>
          <w:p w14:paraId="7C99A1AE" w14:textId="77777777" w:rsidR="002E474C" w:rsidRDefault="00000000">
            <w:pPr>
              <w:pStyle w:val="A-"/>
            </w:pPr>
            <w:r>
              <w:t>0.000025</w:t>
            </w:r>
          </w:p>
        </w:tc>
        <w:tc>
          <w:tcPr>
            <w:tcW w:w="1183" w:type="pct"/>
            <w:shd w:val="clear" w:color="auto" w:fill="auto"/>
            <w:noWrap/>
            <w:tcMar>
              <w:top w:w="15" w:type="dxa"/>
              <w:left w:w="15" w:type="dxa"/>
              <w:bottom w:w="0" w:type="dxa"/>
              <w:right w:w="15" w:type="dxa"/>
            </w:tcMar>
            <w:vAlign w:val="center"/>
          </w:tcPr>
          <w:p w14:paraId="2CDC7DC2"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21D14489" w14:textId="77777777" w:rsidR="002E474C" w:rsidRDefault="00000000">
            <w:pPr>
              <w:pStyle w:val="A-"/>
            </w:pPr>
            <w:r>
              <w:t>-</w:t>
            </w:r>
          </w:p>
        </w:tc>
        <w:tc>
          <w:tcPr>
            <w:tcW w:w="1551" w:type="pct"/>
            <w:vMerge/>
            <w:vAlign w:val="center"/>
          </w:tcPr>
          <w:p w14:paraId="743EF310" w14:textId="77777777" w:rsidR="002E474C" w:rsidRDefault="002E474C">
            <w:pPr>
              <w:pStyle w:val="A-"/>
            </w:pPr>
          </w:p>
        </w:tc>
      </w:tr>
      <w:tr w:rsidR="002E474C" w14:paraId="46F9EAE4" w14:textId="77777777">
        <w:tc>
          <w:tcPr>
            <w:tcW w:w="192" w:type="pct"/>
            <w:shd w:val="clear" w:color="auto" w:fill="auto"/>
            <w:noWrap/>
            <w:tcMar>
              <w:top w:w="15" w:type="dxa"/>
              <w:left w:w="15" w:type="dxa"/>
              <w:bottom w:w="0" w:type="dxa"/>
              <w:right w:w="15" w:type="dxa"/>
            </w:tcMar>
            <w:vAlign w:val="center"/>
          </w:tcPr>
          <w:p w14:paraId="44E800D6"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1374FA0C" w14:textId="77777777" w:rsidR="002E474C" w:rsidRDefault="00000000">
            <w:pPr>
              <w:pStyle w:val="A-"/>
            </w:pPr>
            <w:r>
              <w:t>氟化物（</w:t>
            </w:r>
            <w:r>
              <w:t>F</w:t>
            </w:r>
            <w:r>
              <w:t>）</w:t>
            </w:r>
          </w:p>
        </w:tc>
        <w:tc>
          <w:tcPr>
            <w:tcW w:w="733" w:type="pct"/>
            <w:shd w:val="clear" w:color="auto" w:fill="auto"/>
            <w:noWrap/>
            <w:tcMar>
              <w:top w:w="15" w:type="dxa"/>
              <w:left w:w="15" w:type="dxa"/>
              <w:bottom w:w="0" w:type="dxa"/>
              <w:right w:w="15" w:type="dxa"/>
            </w:tcMar>
            <w:vAlign w:val="center"/>
          </w:tcPr>
          <w:p w14:paraId="09A94BD8"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3ECF5AC3" w14:textId="77777777" w:rsidR="002E474C" w:rsidRDefault="00000000">
            <w:pPr>
              <w:pStyle w:val="A-"/>
            </w:pPr>
            <w:r>
              <w:t>7</w:t>
            </w:r>
          </w:p>
        </w:tc>
        <w:tc>
          <w:tcPr>
            <w:tcW w:w="571" w:type="pct"/>
            <w:shd w:val="clear" w:color="auto" w:fill="auto"/>
            <w:noWrap/>
            <w:tcMar>
              <w:top w:w="15" w:type="dxa"/>
              <w:left w:w="15" w:type="dxa"/>
              <w:bottom w:w="0" w:type="dxa"/>
              <w:right w:w="15" w:type="dxa"/>
            </w:tcMar>
            <w:vAlign w:val="center"/>
          </w:tcPr>
          <w:p w14:paraId="33D9B4A5" w14:textId="77777777" w:rsidR="002E474C" w:rsidRDefault="00000000">
            <w:pPr>
              <w:pStyle w:val="A-"/>
            </w:pPr>
            <w:r>
              <w:t>20</w:t>
            </w:r>
          </w:p>
        </w:tc>
        <w:tc>
          <w:tcPr>
            <w:tcW w:w="1551" w:type="pct"/>
            <w:vMerge/>
            <w:vAlign w:val="center"/>
          </w:tcPr>
          <w:p w14:paraId="41F3F48F" w14:textId="77777777" w:rsidR="002E474C" w:rsidRDefault="002E474C">
            <w:pPr>
              <w:pStyle w:val="A-"/>
            </w:pPr>
          </w:p>
        </w:tc>
      </w:tr>
      <w:tr w:rsidR="002E474C" w14:paraId="7A1B90C1" w14:textId="77777777">
        <w:tc>
          <w:tcPr>
            <w:tcW w:w="192" w:type="pct"/>
            <w:shd w:val="clear" w:color="auto" w:fill="auto"/>
            <w:noWrap/>
            <w:tcMar>
              <w:top w:w="15" w:type="dxa"/>
              <w:left w:w="15" w:type="dxa"/>
              <w:bottom w:w="0" w:type="dxa"/>
              <w:right w:w="15" w:type="dxa"/>
            </w:tcMar>
            <w:vAlign w:val="center"/>
          </w:tcPr>
          <w:p w14:paraId="7CB4F79A"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458BD9CA" w14:textId="77777777" w:rsidR="002E474C" w:rsidRDefault="00000000">
            <w:pPr>
              <w:pStyle w:val="A-"/>
            </w:pPr>
            <w:r>
              <w:t>HCl</w:t>
            </w:r>
          </w:p>
        </w:tc>
        <w:tc>
          <w:tcPr>
            <w:tcW w:w="733" w:type="pct"/>
            <w:shd w:val="clear" w:color="auto" w:fill="auto"/>
            <w:noWrap/>
            <w:tcMar>
              <w:top w:w="15" w:type="dxa"/>
              <w:left w:w="15" w:type="dxa"/>
              <w:bottom w:w="0" w:type="dxa"/>
              <w:right w:w="15" w:type="dxa"/>
            </w:tcMar>
            <w:vAlign w:val="center"/>
          </w:tcPr>
          <w:p w14:paraId="212EE430"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1EF4DC0F" w14:textId="77777777" w:rsidR="002E474C" w:rsidRDefault="00000000">
            <w:pPr>
              <w:pStyle w:val="A-"/>
            </w:pPr>
            <w:r>
              <w:t>15</w:t>
            </w:r>
          </w:p>
        </w:tc>
        <w:tc>
          <w:tcPr>
            <w:tcW w:w="571" w:type="pct"/>
            <w:shd w:val="clear" w:color="auto" w:fill="auto"/>
            <w:noWrap/>
            <w:tcMar>
              <w:top w:w="15" w:type="dxa"/>
              <w:left w:w="15" w:type="dxa"/>
              <w:bottom w:w="0" w:type="dxa"/>
              <w:right w:w="15" w:type="dxa"/>
            </w:tcMar>
            <w:vAlign w:val="center"/>
          </w:tcPr>
          <w:p w14:paraId="32AADE07" w14:textId="77777777" w:rsidR="002E474C" w:rsidRDefault="00000000">
            <w:pPr>
              <w:pStyle w:val="A-"/>
            </w:pPr>
            <w:r>
              <w:t>50</w:t>
            </w:r>
          </w:p>
        </w:tc>
        <w:tc>
          <w:tcPr>
            <w:tcW w:w="1551" w:type="pct"/>
            <w:vMerge w:val="restart"/>
            <w:shd w:val="clear" w:color="auto" w:fill="auto"/>
            <w:tcMar>
              <w:top w:w="15" w:type="dxa"/>
              <w:left w:w="15" w:type="dxa"/>
              <w:bottom w:w="0" w:type="dxa"/>
              <w:right w:w="15" w:type="dxa"/>
            </w:tcMar>
            <w:vAlign w:val="center"/>
          </w:tcPr>
          <w:p w14:paraId="60147D52" w14:textId="77777777" w:rsidR="002E474C" w:rsidRDefault="00000000">
            <w:pPr>
              <w:pStyle w:val="A-"/>
            </w:pPr>
            <w:r>
              <w:t>《环境影响评价技术导则</w:t>
            </w:r>
          </w:p>
          <w:p w14:paraId="0D189745" w14:textId="77777777" w:rsidR="002E474C" w:rsidRDefault="00000000">
            <w:pPr>
              <w:pStyle w:val="A-"/>
            </w:pPr>
            <w:r>
              <w:t xml:space="preserve"> </w:t>
            </w:r>
            <w:r>
              <w:t>大气环境》（</w:t>
            </w:r>
            <w:r>
              <w:t>HJ2.2-2018</w:t>
            </w:r>
            <w:r>
              <w:t>）</w:t>
            </w:r>
          </w:p>
          <w:p w14:paraId="036FFBCD" w14:textId="77777777" w:rsidR="002E474C" w:rsidRDefault="00000000">
            <w:pPr>
              <w:pStyle w:val="A-"/>
            </w:pPr>
            <w:r>
              <w:t>附录</w:t>
            </w:r>
            <w:r>
              <w:t>D</w:t>
            </w:r>
          </w:p>
        </w:tc>
      </w:tr>
      <w:tr w:rsidR="002E474C" w14:paraId="77FD889B" w14:textId="77777777">
        <w:tc>
          <w:tcPr>
            <w:tcW w:w="192" w:type="pct"/>
            <w:shd w:val="clear" w:color="auto" w:fill="auto"/>
            <w:noWrap/>
            <w:tcMar>
              <w:top w:w="15" w:type="dxa"/>
              <w:left w:w="15" w:type="dxa"/>
              <w:bottom w:w="0" w:type="dxa"/>
              <w:right w:w="15" w:type="dxa"/>
            </w:tcMar>
            <w:vAlign w:val="center"/>
          </w:tcPr>
          <w:p w14:paraId="0E8D3F8A"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BCB5BAF" w14:textId="77777777" w:rsidR="002E474C" w:rsidRDefault="00000000">
            <w:pPr>
              <w:pStyle w:val="A-"/>
            </w:pPr>
            <w:r>
              <w:t>NH</w:t>
            </w:r>
            <w:r>
              <w:rPr>
                <w:vertAlign w:val="subscript"/>
              </w:rPr>
              <w:t>3</w:t>
            </w:r>
          </w:p>
        </w:tc>
        <w:tc>
          <w:tcPr>
            <w:tcW w:w="733" w:type="pct"/>
            <w:shd w:val="clear" w:color="auto" w:fill="auto"/>
            <w:noWrap/>
            <w:tcMar>
              <w:top w:w="15" w:type="dxa"/>
              <w:left w:w="15" w:type="dxa"/>
              <w:bottom w:w="0" w:type="dxa"/>
              <w:right w:w="15" w:type="dxa"/>
            </w:tcMar>
            <w:vAlign w:val="center"/>
          </w:tcPr>
          <w:p w14:paraId="23893E83"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632FFDAE" w14:textId="77777777" w:rsidR="002E474C" w:rsidRDefault="00000000">
            <w:pPr>
              <w:pStyle w:val="A-"/>
            </w:pPr>
            <w:r>
              <w:t>-</w:t>
            </w:r>
          </w:p>
        </w:tc>
        <w:tc>
          <w:tcPr>
            <w:tcW w:w="571" w:type="pct"/>
            <w:shd w:val="clear" w:color="auto" w:fill="auto"/>
            <w:tcMar>
              <w:top w:w="15" w:type="dxa"/>
              <w:left w:w="15" w:type="dxa"/>
              <w:bottom w:w="0" w:type="dxa"/>
              <w:right w:w="15" w:type="dxa"/>
            </w:tcMar>
            <w:vAlign w:val="center"/>
          </w:tcPr>
          <w:p w14:paraId="4323F119" w14:textId="77777777" w:rsidR="002E474C" w:rsidRDefault="00000000">
            <w:pPr>
              <w:pStyle w:val="A-"/>
            </w:pPr>
            <w:r>
              <w:t>200</w:t>
            </w:r>
          </w:p>
        </w:tc>
        <w:tc>
          <w:tcPr>
            <w:tcW w:w="1551" w:type="pct"/>
            <w:vMerge/>
            <w:vAlign w:val="center"/>
          </w:tcPr>
          <w:p w14:paraId="54E533B5" w14:textId="77777777" w:rsidR="002E474C" w:rsidRDefault="002E474C">
            <w:pPr>
              <w:pStyle w:val="A-"/>
            </w:pPr>
          </w:p>
        </w:tc>
      </w:tr>
      <w:tr w:rsidR="002E474C" w14:paraId="385E2B8E" w14:textId="77777777">
        <w:tc>
          <w:tcPr>
            <w:tcW w:w="192" w:type="pct"/>
            <w:shd w:val="clear" w:color="auto" w:fill="auto"/>
            <w:noWrap/>
            <w:tcMar>
              <w:top w:w="15" w:type="dxa"/>
              <w:left w:w="15" w:type="dxa"/>
              <w:bottom w:w="0" w:type="dxa"/>
              <w:right w:w="15" w:type="dxa"/>
            </w:tcMar>
            <w:vAlign w:val="center"/>
          </w:tcPr>
          <w:p w14:paraId="546EAB0D"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34A4FE98" w14:textId="77777777" w:rsidR="002E474C" w:rsidRDefault="00000000">
            <w:pPr>
              <w:pStyle w:val="A-"/>
            </w:pPr>
            <w:r>
              <w:t>H</w:t>
            </w:r>
            <w:r>
              <w:rPr>
                <w:vertAlign w:val="subscript"/>
              </w:rPr>
              <w:t>2</w:t>
            </w:r>
            <w:r>
              <w:t>S</w:t>
            </w:r>
          </w:p>
        </w:tc>
        <w:tc>
          <w:tcPr>
            <w:tcW w:w="733" w:type="pct"/>
            <w:shd w:val="clear" w:color="auto" w:fill="auto"/>
            <w:noWrap/>
            <w:tcMar>
              <w:top w:w="15" w:type="dxa"/>
              <w:left w:w="15" w:type="dxa"/>
              <w:bottom w:w="0" w:type="dxa"/>
              <w:right w:w="15" w:type="dxa"/>
            </w:tcMar>
            <w:vAlign w:val="center"/>
          </w:tcPr>
          <w:p w14:paraId="38C7E423"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6787E12A" w14:textId="77777777" w:rsidR="002E474C" w:rsidRDefault="00000000">
            <w:pPr>
              <w:pStyle w:val="A-"/>
            </w:pPr>
            <w:r>
              <w:t>-</w:t>
            </w:r>
          </w:p>
        </w:tc>
        <w:tc>
          <w:tcPr>
            <w:tcW w:w="571" w:type="pct"/>
            <w:shd w:val="clear" w:color="auto" w:fill="auto"/>
            <w:tcMar>
              <w:top w:w="15" w:type="dxa"/>
              <w:left w:w="15" w:type="dxa"/>
              <w:bottom w:w="0" w:type="dxa"/>
              <w:right w:w="15" w:type="dxa"/>
            </w:tcMar>
            <w:vAlign w:val="center"/>
          </w:tcPr>
          <w:p w14:paraId="62D5E8EA" w14:textId="77777777" w:rsidR="002E474C" w:rsidRDefault="00000000">
            <w:pPr>
              <w:pStyle w:val="A-"/>
            </w:pPr>
            <w:r>
              <w:t>10</w:t>
            </w:r>
          </w:p>
        </w:tc>
        <w:tc>
          <w:tcPr>
            <w:tcW w:w="1551" w:type="pct"/>
            <w:vMerge/>
            <w:vAlign w:val="center"/>
          </w:tcPr>
          <w:p w14:paraId="43553EFC" w14:textId="77777777" w:rsidR="002E474C" w:rsidRDefault="002E474C">
            <w:pPr>
              <w:pStyle w:val="A-"/>
            </w:pPr>
          </w:p>
        </w:tc>
      </w:tr>
      <w:tr w:rsidR="002E474C" w14:paraId="08C14226" w14:textId="77777777">
        <w:tc>
          <w:tcPr>
            <w:tcW w:w="192" w:type="pct"/>
            <w:shd w:val="clear" w:color="auto" w:fill="auto"/>
            <w:noWrap/>
            <w:tcMar>
              <w:top w:w="15" w:type="dxa"/>
              <w:left w:w="15" w:type="dxa"/>
              <w:bottom w:w="0" w:type="dxa"/>
              <w:right w:w="15" w:type="dxa"/>
            </w:tcMar>
            <w:vAlign w:val="center"/>
          </w:tcPr>
          <w:p w14:paraId="0FB9B08B"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61B682AF" w14:textId="77777777" w:rsidR="002E474C" w:rsidRDefault="00000000">
            <w:pPr>
              <w:pStyle w:val="A-"/>
            </w:pPr>
            <w:r>
              <w:t>锰及其化合物（以</w:t>
            </w:r>
            <w:r>
              <w:t>MnO</w:t>
            </w:r>
            <w:r>
              <w:rPr>
                <w:vertAlign w:val="subscript"/>
              </w:rPr>
              <w:t>2</w:t>
            </w:r>
            <w:r>
              <w:t>计）</w:t>
            </w:r>
          </w:p>
        </w:tc>
        <w:tc>
          <w:tcPr>
            <w:tcW w:w="733" w:type="pct"/>
            <w:shd w:val="clear" w:color="auto" w:fill="auto"/>
            <w:noWrap/>
            <w:tcMar>
              <w:top w:w="15" w:type="dxa"/>
              <w:left w:w="15" w:type="dxa"/>
              <w:bottom w:w="0" w:type="dxa"/>
              <w:right w:w="15" w:type="dxa"/>
            </w:tcMar>
            <w:vAlign w:val="center"/>
          </w:tcPr>
          <w:p w14:paraId="31C06AA3"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3DC7BABE" w14:textId="77777777" w:rsidR="002E474C" w:rsidRDefault="00000000">
            <w:pPr>
              <w:pStyle w:val="A-"/>
            </w:pPr>
            <w:r>
              <w:t>10</w:t>
            </w:r>
          </w:p>
        </w:tc>
        <w:tc>
          <w:tcPr>
            <w:tcW w:w="571" w:type="pct"/>
            <w:shd w:val="clear" w:color="auto" w:fill="auto"/>
            <w:noWrap/>
            <w:tcMar>
              <w:top w:w="15" w:type="dxa"/>
              <w:left w:w="15" w:type="dxa"/>
              <w:bottom w:w="0" w:type="dxa"/>
              <w:right w:w="15" w:type="dxa"/>
            </w:tcMar>
            <w:vAlign w:val="center"/>
          </w:tcPr>
          <w:p w14:paraId="3253E876" w14:textId="77777777" w:rsidR="002E474C" w:rsidRDefault="00000000">
            <w:pPr>
              <w:pStyle w:val="A-"/>
            </w:pPr>
            <w:r>
              <w:t>-</w:t>
            </w:r>
          </w:p>
        </w:tc>
        <w:tc>
          <w:tcPr>
            <w:tcW w:w="1551" w:type="pct"/>
            <w:vMerge/>
            <w:vAlign w:val="center"/>
          </w:tcPr>
          <w:p w14:paraId="5809BDC0" w14:textId="77777777" w:rsidR="002E474C" w:rsidRDefault="002E474C">
            <w:pPr>
              <w:pStyle w:val="A-"/>
            </w:pPr>
          </w:p>
        </w:tc>
      </w:tr>
      <w:tr w:rsidR="002E474C" w14:paraId="045ACAFB" w14:textId="77777777">
        <w:tc>
          <w:tcPr>
            <w:tcW w:w="192" w:type="pct"/>
            <w:shd w:val="clear" w:color="auto" w:fill="auto"/>
            <w:noWrap/>
            <w:tcMar>
              <w:top w:w="15" w:type="dxa"/>
              <w:left w:w="15" w:type="dxa"/>
              <w:bottom w:w="0" w:type="dxa"/>
              <w:right w:w="15" w:type="dxa"/>
            </w:tcMar>
            <w:vAlign w:val="center"/>
          </w:tcPr>
          <w:p w14:paraId="791365A5"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782F73D5" w14:textId="77777777" w:rsidR="002E474C" w:rsidRDefault="00000000">
            <w:pPr>
              <w:pStyle w:val="A-"/>
            </w:pPr>
            <w:r>
              <w:t>NMHC</w:t>
            </w:r>
          </w:p>
        </w:tc>
        <w:tc>
          <w:tcPr>
            <w:tcW w:w="733" w:type="pct"/>
            <w:shd w:val="clear" w:color="auto" w:fill="auto"/>
            <w:noWrap/>
            <w:tcMar>
              <w:top w:w="15" w:type="dxa"/>
              <w:left w:w="15" w:type="dxa"/>
              <w:bottom w:w="0" w:type="dxa"/>
              <w:right w:w="15" w:type="dxa"/>
            </w:tcMar>
            <w:vAlign w:val="center"/>
          </w:tcPr>
          <w:p w14:paraId="4F7BAD30"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56AFD930"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332BDC9B" w14:textId="77777777" w:rsidR="002E474C" w:rsidRDefault="00000000">
            <w:pPr>
              <w:pStyle w:val="A-"/>
            </w:pPr>
            <w:r>
              <w:t>2000</w:t>
            </w:r>
          </w:p>
        </w:tc>
        <w:tc>
          <w:tcPr>
            <w:tcW w:w="1551" w:type="pct"/>
            <w:vMerge w:val="restart"/>
            <w:shd w:val="clear" w:color="auto" w:fill="auto"/>
            <w:tcMar>
              <w:top w:w="15" w:type="dxa"/>
              <w:left w:w="15" w:type="dxa"/>
              <w:bottom w:w="0" w:type="dxa"/>
              <w:right w:w="15" w:type="dxa"/>
            </w:tcMar>
            <w:vAlign w:val="center"/>
          </w:tcPr>
          <w:p w14:paraId="34BAFBCE" w14:textId="77777777" w:rsidR="002E474C" w:rsidRDefault="00000000">
            <w:pPr>
              <w:pStyle w:val="A-"/>
            </w:pPr>
            <w:r>
              <w:t>《大气污染物综合排放标准详解》</w:t>
            </w:r>
          </w:p>
        </w:tc>
      </w:tr>
      <w:tr w:rsidR="002E474C" w14:paraId="01EFDC0E" w14:textId="77777777">
        <w:tc>
          <w:tcPr>
            <w:tcW w:w="192" w:type="pct"/>
            <w:shd w:val="clear" w:color="auto" w:fill="auto"/>
            <w:noWrap/>
            <w:tcMar>
              <w:top w:w="15" w:type="dxa"/>
              <w:left w:w="15" w:type="dxa"/>
              <w:bottom w:w="0" w:type="dxa"/>
              <w:right w:w="15" w:type="dxa"/>
            </w:tcMar>
            <w:vAlign w:val="center"/>
          </w:tcPr>
          <w:p w14:paraId="2A29BB0E"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1DF9C096" w14:textId="77777777" w:rsidR="002E474C" w:rsidRDefault="00000000">
            <w:pPr>
              <w:pStyle w:val="A-"/>
            </w:pPr>
            <w:r>
              <w:t>Ni</w:t>
            </w:r>
          </w:p>
        </w:tc>
        <w:tc>
          <w:tcPr>
            <w:tcW w:w="733" w:type="pct"/>
            <w:shd w:val="clear" w:color="auto" w:fill="auto"/>
            <w:noWrap/>
            <w:tcMar>
              <w:top w:w="15" w:type="dxa"/>
              <w:left w:w="15" w:type="dxa"/>
              <w:bottom w:w="0" w:type="dxa"/>
              <w:right w:w="15" w:type="dxa"/>
            </w:tcMar>
            <w:vAlign w:val="center"/>
          </w:tcPr>
          <w:p w14:paraId="115DEC53" w14:textId="77777777" w:rsidR="002E474C" w:rsidRDefault="00000000">
            <w:pPr>
              <w:pStyle w:val="A-"/>
            </w:pPr>
            <w:r>
              <w:t>-</w:t>
            </w:r>
          </w:p>
        </w:tc>
        <w:tc>
          <w:tcPr>
            <w:tcW w:w="1183" w:type="pct"/>
            <w:shd w:val="clear" w:color="auto" w:fill="auto"/>
            <w:noWrap/>
            <w:tcMar>
              <w:top w:w="15" w:type="dxa"/>
              <w:left w:w="15" w:type="dxa"/>
              <w:bottom w:w="0" w:type="dxa"/>
              <w:right w:w="15" w:type="dxa"/>
            </w:tcMar>
            <w:vAlign w:val="center"/>
          </w:tcPr>
          <w:p w14:paraId="5B3FD79C" w14:textId="77777777" w:rsidR="002E474C" w:rsidRDefault="00000000">
            <w:pPr>
              <w:pStyle w:val="A-"/>
            </w:pPr>
            <w:r>
              <w:t>30</w:t>
            </w:r>
          </w:p>
        </w:tc>
        <w:tc>
          <w:tcPr>
            <w:tcW w:w="571" w:type="pct"/>
            <w:shd w:val="clear" w:color="auto" w:fill="auto"/>
            <w:noWrap/>
            <w:tcMar>
              <w:top w:w="15" w:type="dxa"/>
              <w:left w:w="15" w:type="dxa"/>
              <w:bottom w:w="0" w:type="dxa"/>
              <w:right w:w="15" w:type="dxa"/>
            </w:tcMar>
            <w:vAlign w:val="center"/>
          </w:tcPr>
          <w:p w14:paraId="3B3F6300" w14:textId="77777777" w:rsidR="002E474C" w:rsidRDefault="00000000">
            <w:pPr>
              <w:pStyle w:val="A-"/>
            </w:pPr>
            <w:r>
              <w:t>-</w:t>
            </w:r>
          </w:p>
        </w:tc>
        <w:tc>
          <w:tcPr>
            <w:tcW w:w="1551" w:type="pct"/>
            <w:vMerge/>
            <w:shd w:val="clear" w:color="auto" w:fill="auto"/>
            <w:tcMar>
              <w:top w:w="15" w:type="dxa"/>
              <w:left w:w="15" w:type="dxa"/>
              <w:bottom w:w="0" w:type="dxa"/>
              <w:right w:w="15" w:type="dxa"/>
            </w:tcMar>
            <w:vAlign w:val="center"/>
          </w:tcPr>
          <w:p w14:paraId="09C5BCFD" w14:textId="77777777" w:rsidR="002E474C" w:rsidRDefault="002E474C">
            <w:pPr>
              <w:pStyle w:val="A-"/>
            </w:pPr>
          </w:p>
        </w:tc>
      </w:tr>
      <w:tr w:rsidR="002E474C" w14:paraId="5A1FE97F" w14:textId="77777777">
        <w:tc>
          <w:tcPr>
            <w:tcW w:w="192" w:type="pct"/>
            <w:shd w:val="clear" w:color="auto" w:fill="auto"/>
            <w:noWrap/>
            <w:tcMar>
              <w:top w:w="15" w:type="dxa"/>
              <w:left w:w="15" w:type="dxa"/>
              <w:bottom w:w="0" w:type="dxa"/>
              <w:right w:w="15" w:type="dxa"/>
            </w:tcMar>
            <w:vAlign w:val="center"/>
          </w:tcPr>
          <w:p w14:paraId="69D9A3A8" w14:textId="77777777" w:rsidR="002E474C" w:rsidRDefault="002E474C">
            <w:pPr>
              <w:pStyle w:val="A-"/>
              <w:numPr>
                <w:ilvl w:val="0"/>
                <w:numId w:val="24"/>
              </w:numPr>
            </w:pPr>
          </w:p>
        </w:tc>
        <w:tc>
          <w:tcPr>
            <w:tcW w:w="770" w:type="pct"/>
            <w:shd w:val="clear" w:color="auto" w:fill="auto"/>
            <w:tcMar>
              <w:top w:w="15" w:type="dxa"/>
              <w:left w:w="15" w:type="dxa"/>
              <w:bottom w:w="0" w:type="dxa"/>
              <w:right w:w="15" w:type="dxa"/>
            </w:tcMar>
            <w:vAlign w:val="center"/>
          </w:tcPr>
          <w:p w14:paraId="5D684211" w14:textId="77777777" w:rsidR="002E474C" w:rsidRDefault="00000000">
            <w:pPr>
              <w:pStyle w:val="A-"/>
            </w:pPr>
            <w:r>
              <w:t>二噁英类</w:t>
            </w:r>
          </w:p>
        </w:tc>
        <w:tc>
          <w:tcPr>
            <w:tcW w:w="733" w:type="pct"/>
            <w:shd w:val="clear" w:color="auto" w:fill="auto"/>
            <w:noWrap/>
            <w:tcMar>
              <w:top w:w="15" w:type="dxa"/>
              <w:left w:w="15" w:type="dxa"/>
              <w:bottom w:w="0" w:type="dxa"/>
              <w:right w:w="15" w:type="dxa"/>
            </w:tcMar>
            <w:vAlign w:val="center"/>
          </w:tcPr>
          <w:p w14:paraId="03BB7573" w14:textId="77777777" w:rsidR="002E474C" w:rsidRDefault="00000000">
            <w:pPr>
              <w:pStyle w:val="A-"/>
            </w:pPr>
            <w:r>
              <w:t>0.6pg TEQ/m</w:t>
            </w:r>
            <w:r>
              <w:rPr>
                <w:vertAlign w:val="superscript"/>
              </w:rPr>
              <w:t>3</w:t>
            </w:r>
          </w:p>
        </w:tc>
        <w:tc>
          <w:tcPr>
            <w:tcW w:w="1183" w:type="pct"/>
            <w:shd w:val="clear" w:color="auto" w:fill="auto"/>
            <w:noWrap/>
            <w:tcMar>
              <w:top w:w="15" w:type="dxa"/>
              <w:left w:w="15" w:type="dxa"/>
              <w:bottom w:w="0" w:type="dxa"/>
              <w:right w:w="15" w:type="dxa"/>
            </w:tcMar>
            <w:vAlign w:val="center"/>
          </w:tcPr>
          <w:p w14:paraId="49956623" w14:textId="77777777" w:rsidR="002E474C" w:rsidRDefault="00000000">
            <w:pPr>
              <w:pStyle w:val="A-"/>
            </w:pPr>
            <w:r>
              <w:t>-</w:t>
            </w:r>
          </w:p>
        </w:tc>
        <w:tc>
          <w:tcPr>
            <w:tcW w:w="571" w:type="pct"/>
            <w:shd w:val="clear" w:color="auto" w:fill="auto"/>
            <w:noWrap/>
            <w:tcMar>
              <w:top w:w="15" w:type="dxa"/>
              <w:left w:w="15" w:type="dxa"/>
              <w:bottom w:w="0" w:type="dxa"/>
              <w:right w:w="15" w:type="dxa"/>
            </w:tcMar>
            <w:vAlign w:val="center"/>
          </w:tcPr>
          <w:p w14:paraId="037C30C0" w14:textId="77777777" w:rsidR="002E474C" w:rsidRDefault="00000000">
            <w:pPr>
              <w:pStyle w:val="A-"/>
            </w:pPr>
            <w:r>
              <w:t>-</w:t>
            </w:r>
          </w:p>
        </w:tc>
        <w:tc>
          <w:tcPr>
            <w:tcW w:w="1551" w:type="pct"/>
            <w:shd w:val="clear" w:color="auto" w:fill="auto"/>
            <w:tcMar>
              <w:top w:w="15" w:type="dxa"/>
              <w:left w:w="15" w:type="dxa"/>
              <w:bottom w:w="0" w:type="dxa"/>
              <w:right w:w="15" w:type="dxa"/>
            </w:tcMar>
            <w:vAlign w:val="center"/>
          </w:tcPr>
          <w:p w14:paraId="4E66D5AB" w14:textId="77777777" w:rsidR="002E474C" w:rsidRDefault="00000000">
            <w:pPr>
              <w:pStyle w:val="A-"/>
            </w:pPr>
            <w:r>
              <w:t>参照日本环境标准</w:t>
            </w:r>
          </w:p>
        </w:tc>
      </w:tr>
      <w:bookmarkEnd w:id="69"/>
    </w:tbl>
    <w:p w14:paraId="154D87F4" w14:textId="77777777" w:rsidR="002E474C" w:rsidRDefault="002E474C"/>
    <w:p w14:paraId="5A6554CF" w14:textId="77777777" w:rsidR="002E474C" w:rsidRDefault="00000000">
      <w:pPr>
        <w:pStyle w:val="A-z"/>
        <w:rPr>
          <w:color w:val="auto"/>
        </w:rPr>
      </w:pPr>
      <w:r>
        <w:rPr>
          <w:color w:val="auto"/>
        </w:rPr>
        <w:t>（</w:t>
      </w:r>
      <w:r>
        <w:rPr>
          <w:color w:val="auto"/>
        </w:rPr>
        <w:t>2</w:t>
      </w:r>
      <w:r>
        <w:rPr>
          <w:color w:val="auto"/>
        </w:rPr>
        <w:t>）地下水质量标准</w:t>
      </w:r>
    </w:p>
    <w:p w14:paraId="7C7379BD" w14:textId="77777777" w:rsidR="002E474C" w:rsidRDefault="00000000">
      <w:pPr>
        <w:pStyle w:val="A-z"/>
        <w:rPr>
          <w:color w:val="auto"/>
        </w:rPr>
      </w:pPr>
      <w:r>
        <w:rPr>
          <w:color w:val="auto"/>
        </w:rPr>
        <w:t>地下水执行《地下水质量标准》（</w:t>
      </w:r>
      <w:r>
        <w:rPr>
          <w:color w:val="auto"/>
        </w:rPr>
        <w:t>GB/T14848-2017</w:t>
      </w:r>
      <w:r>
        <w:rPr>
          <w:color w:val="auto"/>
        </w:rPr>
        <w:t>）</w:t>
      </w:r>
      <w:r>
        <w:rPr>
          <w:color w:val="auto"/>
        </w:rPr>
        <w:t>Ⅲ</w:t>
      </w:r>
      <w:r>
        <w:rPr>
          <w:color w:val="auto"/>
        </w:rPr>
        <w:t>类标准。石油类参照《地表水环境质量标准》（</w:t>
      </w:r>
      <w:r>
        <w:rPr>
          <w:color w:val="auto"/>
        </w:rPr>
        <w:t>GB 3838-2002</w:t>
      </w:r>
      <w:r>
        <w:rPr>
          <w:color w:val="auto"/>
        </w:rPr>
        <w:t>）</w:t>
      </w:r>
      <w:r>
        <w:rPr>
          <w:color w:val="auto"/>
        </w:rPr>
        <w:t>Ⅲ</w:t>
      </w:r>
      <w:r>
        <w:rPr>
          <w:color w:val="auto"/>
        </w:rPr>
        <w:t>类标准。具体评价标准值，见表</w:t>
      </w:r>
      <w:r>
        <w:rPr>
          <w:color w:val="auto"/>
        </w:rPr>
        <w:t>2.4-2</w:t>
      </w:r>
      <w:r>
        <w:rPr>
          <w:color w:val="auto"/>
        </w:rPr>
        <w:t>。</w:t>
      </w:r>
    </w:p>
    <w:p w14:paraId="7512411E" w14:textId="77777777" w:rsidR="002E474C" w:rsidRDefault="00000000">
      <w:pPr>
        <w:pStyle w:val="A--"/>
        <w:rPr>
          <w:color w:val="auto"/>
        </w:rPr>
      </w:pPr>
      <w:bookmarkStart w:id="70" w:name="_Ref81931638"/>
      <w:r>
        <w:rPr>
          <w:color w:val="auto"/>
        </w:rPr>
        <w:t>表</w:t>
      </w:r>
      <w:r>
        <w:rPr>
          <w:color w:val="auto"/>
        </w:rPr>
        <w:t>2.4</w:t>
      </w:r>
      <w:r>
        <w:rPr>
          <w:color w:val="auto"/>
        </w:rPr>
        <w:noBreakHyphen/>
      </w:r>
      <w:bookmarkEnd w:id="70"/>
      <w:r>
        <w:rPr>
          <w:color w:val="auto"/>
        </w:rPr>
        <w:t xml:space="preserve">2  </w:t>
      </w:r>
      <w:r>
        <w:rPr>
          <w:color w:val="auto"/>
        </w:rPr>
        <w:t>地下水监测项目标准限值</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27"/>
        <w:gridCol w:w="2802"/>
        <w:gridCol w:w="1675"/>
      </w:tblGrid>
      <w:tr w:rsidR="002E474C" w14:paraId="373E6A98" w14:textId="77777777">
        <w:trPr>
          <w:tblHeader/>
        </w:trPr>
        <w:tc>
          <w:tcPr>
            <w:tcW w:w="419" w:type="pct"/>
          </w:tcPr>
          <w:p w14:paraId="585906AC" w14:textId="77777777" w:rsidR="002E474C" w:rsidRDefault="00000000">
            <w:pPr>
              <w:pStyle w:val="A-"/>
            </w:pPr>
            <w:r>
              <w:t>序号</w:t>
            </w:r>
          </w:p>
        </w:tc>
        <w:tc>
          <w:tcPr>
            <w:tcW w:w="1952" w:type="pct"/>
          </w:tcPr>
          <w:p w14:paraId="6A61C82D" w14:textId="77777777" w:rsidR="002E474C" w:rsidRDefault="00000000">
            <w:pPr>
              <w:pStyle w:val="A-"/>
            </w:pPr>
            <w:r>
              <w:t>检测项目</w:t>
            </w:r>
          </w:p>
        </w:tc>
        <w:tc>
          <w:tcPr>
            <w:tcW w:w="1644" w:type="pct"/>
          </w:tcPr>
          <w:p w14:paraId="4449626E" w14:textId="77777777" w:rsidR="002E474C" w:rsidRDefault="00000000">
            <w:pPr>
              <w:pStyle w:val="A-"/>
            </w:pPr>
            <w:r>
              <w:t>单位</w:t>
            </w:r>
          </w:p>
        </w:tc>
        <w:tc>
          <w:tcPr>
            <w:tcW w:w="982" w:type="pct"/>
            <w:noWrap/>
          </w:tcPr>
          <w:p w14:paraId="4E51E802" w14:textId="77777777" w:rsidR="002E474C" w:rsidRDefault="00000000">
            <w:pPr>
              <w:pStyle w:val="A-"/>
            </w:pPr>
            <w:r>
              <w:t>Ⅲ</w:t>
            </w:r>
            <w:r>
              <w:t>类标准</w:t>
            </w:r>
          </w:p>
        </w:tc>
      </w:tr>
      <w:tr w:rsidR="002E474C" w14:paraId="55BCF35A" w14:textId="77777777">
        <w:tc>
          <w:tcPr>
            <w:tcW w:w="419" w:type="pct"/>
          </w:tcPr>
          <w:p w14:paraId="708C2933" w14:textId="77777777" w:rsidR="002E474C" w:rsidRDefault="00000000">
            <w:pPr>
              <w:pStyle w:val="A-"/>
            </w:pPr>
            <w:r>
              <w:t>1</w:t>
            </w:r>
          </w:p>
        </w:tc>
        <w:tc>
          <w:tcPr>
            <w:tcW w:w="1952" w:type="pct"/>
          </w:tcPr>
          <w:p w14:paraId="4C157D84" w14:textId="77777777" w:rsidR="002E474C" w:rsidRDefault="00000000">
            <w:pPr>
              <w:pStyle w:val="A-"/>
            </w:pPr>
            <w:r>
              <w:t>pH</w:t>
            </w:r>
          </w:p>
        </w:tc>
        <w:tc>
          <w:tcPr>
            <w:tcW w:w="1644" w:type="pct"/>
          </w:tcPr>
          <w:p w14:paraId="6F7D11AF" w14:textId="77777777" w:rsidR="002E474C" w:rsidRDefault="00000000">
            <w:pPr>
              <w:pStyle w:val="A-"/>
            </w:pPr>
            <w:r>
              <w:t>/</w:t>
            </w:r>
          </w:p>
        </w:tc>
        <w:tc>
          <w:tcPr>
            <w:tcW w:w="982" w:type="pct"/>
            <w:noWrap/>
          </w:tcPr>
          <w:p w14:paraId="2C1C5386" w14:textId="77777777" w:rsidR="002E474C" w:rsidRDefault="00000000">
            <w:pPr>
              <w:pStyle w:val="A-"/>
            </w:pPr>
            <w:r>
              <w:t>6.5-8.5</w:t>
            </w:r>
          </w:p>
        </w:tc>
      </w:tr>
      <w:tr w:rsidR="002E474C" w14:paraId="08755FCD" w14:textId="77777777">
        <w:tc>
          <w:tcPr>
            <w:tcW w:w="419" w:type="pct"/>
          </w:tcPr>
          <w:p w14:paraId="4CD09BF6" w14:textId="77777777" w:rsidR="002E474C" w:rsidRDefault="00000000">
            <w:pPr>
              <w:pStyle w:val="A-"/>
            </w:pPr>
            <w:r>
              <w:t>2</w:t>
            </w:r>
          </w:p>
        </w:tc>
        <w:tc>
          <w:tcPr>
            <w:tcW w:w="1952" w:type="pct"/>
          </w:tcPr>
          <w:p w14:paraId="79FC0527" w14:textId="77777777" w:rsidR="002E474C" w:rsidRDefault="00000000">
            <w:pPr>
              <w:pStyle w:val="A-"/>
            </w:pPr>
            <w:r>
              <w:t>总硬度</w:t>
            </w:r>
            <w:r>
              <w:t>(</w:t>
            </w:r>
            <w:r>
              <w:t>以</w:t>
            </w:r>
            <w:r>
              <w:t>CaCO</w:t>
            </w:r>
            <w:r>
              <w:rPr>
                <w:vertAlign w:val="subscript"/>
              </w:rPr>
              <w:t>3</w:t>
            </w:r>
            <w:r>
              <w:t>计</w:t>
            </w:r>
            <w:r>
              <w:t>)</w:t>
            </w:r>
          </w:p>
        </w:tc>
        <w:tc>
          <w:tcPr>
            <w:tcW w:w="1644" w:type="pct"/>
          </w:tcPr>
          <w:p w14:paraId="545EB2BC" w14:textId="77777777" w:rsidR="002E474C" w:rsidRDefault="00000000">
            <w:pPr>
              <w:pStyle w:val="A-"/>
            </w:pPr>
            <w:r>
              <w:t>mg/L</w:t>
            </w:r>
          </w:p>
        </w:tc>
        <w:tc>
          <w:tcPr>
            <w:tcW w:w="982" w:type="pct"/>
            <w:noWrap/>
          </w:tcPr>
          <w:p w14:paraId="4FFBC304" w14:textId="77777777" w:rsidR="002E474C" w:rsidRDefault="00000000">
            <w:pPr>
              <w:pStyle w:val="A-"/>
            </w:pPr>
            <w:r>
              <w:t>≤450</w:t>
            </w:r>
          </w:p>
        </w:tc>
      </w:tr>
      <w:tr w:rsidR="002E474C" w14:paraId="091FD297" w14:textId="77777777">
        <w:tc>
          <w:tcPr>
            <w:tcW w:w="419" w:type="pct"/>
          </w:tcPr>
          <w:p w14:paraId="19E8EBCE" w14:textId="77777777" w:rsidR="002E474C" w:rsidRDefault="00000000">
            <w:pPr>
              <w:pStyle w:val="A-"/>
            </w:pPr>
            <w:r>
              <w:t>3</w:t>
            </w:r>
          </w:p>
        </w:tc>
        <w:tc>
          <w:tcPr>
            <w:tcW w:w="1952" w:type="pct"/>
          </w:tcPr>
          <w:p w14:paraId="17AAF762" w14:textId="77777777" w:rsidR="002E474C" w:rsidRDefault="00000000">
            <w:pPr>
              <w:pStyle w:val="A-"/>
            </w:pPr>
            <w:r>
              <w:t>耗氧量（</w:t>
            </w:r>
            <w:proofErr w:type="spellStart"/>
            <w:r>
              <w:t>COD</w:t>
            </w:r>
            <w:r>
              <w:rPr>
                <w:vertAlign w:val="subscript"/>
              </w:rPr>
              <w:t>Mn</w:t>
            </w:r>
            <w:proofErr w:type="spellEnd"/>
            <w:r>
              <w:t>法，以</w:t>
            </w:r>
            <w:r>
              <w:t>O</w:t>
            </w:r>
            <w:r>
              <w:rPr>
                <w:vertAlign w:val="subscript"/>
              </w:rPr>
              <w:t>2</w:t>
            </w:r>
            <w:r>
              <w:t>计）</w:t>
            </w:r>
          </w:p>
        </w:tc>
        <w:tc>
          <w:tcPr>
            <w:tcW w:w="1644" w:type="pct"/>
          </w:tcPr>
          <w:p w14:paraId="14E13143" w14:textId="77777777" w:rsidR="002E474C" w:rsidRDefault="00000000">
            <w:pPr>
              <w:pStyle w:val="A-"/>
            </w:pPr>
            <w:r>
              <w:t>mg/L</w:t>
            </w:r>
          </w:p>
        </w:tc>
        <w:tc>
          <w:tcPr>
            <w:tcW w:w="982" w:type="pct"/>
            <w:noWrap/>
          </w:tcPr>
          <w:p w14:paraId="1E2B95D5" w14:textId="77777777" w:rsidR="002E474C" w:rsidRDefault="00000000">
            <w:pPr>
              <w:pStyle w:val="A-"/>
            </w:pPr>
            <w:r>
              <w:t>≤3.0</w:t>
            </w:r>
          </w:p>
        </w:tc>
      </w:tr>
      <w:tr w:rsidR="002E474C" w14:paraId="565CBD6F" w14:textId="77777777">
        <w:tc>
          <w:tcPr>
            <w:tcW w:w="419" w:type="pct"/>
          </w:tcPr>
          <w:p w14:paraId="24DEA5E7" w14:textId="77777777" w:rsidR="002E474C" w:rsidRDefault="00000000">
            <w:pPr>
              <w:pStyle w:val="A-"/>
            </w:pPr>
            <w:r>
              <w:t>4</w:t>
            </w:r>
          </w:p>
        </w:tc>
        <w:tc>
          <w:tcPr>
            <w:tcW w:w="1952" w:type="pct"/>
          </w:tcPr>
          <w:p w14:paraId="0C8F477E" w14:textId="77777777" w:rsidR="002E474C" w:rsidRDefault="00000000">
            <w:pPr>
              <w:pStyle w:val="A-"/>
            </w:pPr>
            <w:r>
              <w:t>溶解性总固体</w:t>
            </w:r>
          </w:p>
        </w:tc>
        <w:tc>
          <w:tcPr>
            <w:tcW w:w="1644" w:type="pct"/>
          </w:tcPr>
          <w:p w14:paraId="6FB66591" w14:textId="77777777" w:rsidR="002E474C" w:rsidRDefault="00000000">
            <w:pPr>
              <w:pStyle w:val="A-"/>
            </w:pPr>
            <w:r>
              <w:t>mg/L</w:t>
            </w:r>
          </w:p>
        </w:tc>
        <w:tc>
          <w:tcPr>
            <w:tcW w:w="982" w:type="pct"/>
            <w:noWrap/>
          </w:tcPr>
          <w:p w14:paraId="43635FBD" w14:textId="77777777" w:rsidR="002E474C" w:rsidRDefault="00000000">
            <w:pPr>
              <w:pStyle w:val="A-"/>
            </w:pPr>
            <w:r>
              <w:t>≤1000</w:t>
            </w:r>
          </w:p>
        </w:tc>
      </w:tr>
      <w:tr w:rsidR="002E474C" w14:paraId="45590B2D" w14:textId="77777777">
        <w:tc>
          <w:tcPr>
            <w:tcW w:w="419" w:type="pct"/>
          </w:tcPr>
          <w:p w14:paraId="3EDC3B1E" w14:textId="77777777" w:rsidR="002E474C" w:rsidRDefault="00000000">
            <w:pPr>
              <w:pStyle w:val="A-"/>
            </w:pPr>
            <w:r>
              <w:t>5</w:t>
            </w:r>
          </w:p>
        </w:tc>
        <w:tc>
          <w:tcPr>
            <w:tcW w:w="1952" w:type="pct"/>
          </w:tcPr>
          <w:p w14:paraId="21D4C80A" w14:textId="77777777" w:rsidR="002E474C" w:rsidRDefault="00000000">
            <w:pPr>
              <w:pStyle w:val="A-"/>
            </w:pPr>
            <w:r>
              <w:t>硫酸盐</w:t>
            </w:r>
          </w:p>
        </w:tc>
        <w:tc>
          <w:tcPr>
            <w:tcW w:w="1644" w:type="pct"/>
          </w:tcPr>
          <w:p w14:paraId="7B0AEED0" w14:textId="77777777" w:rsidR="002E474C" w:rsidRDefault="00000000">
            <w:pPr>
              <w:pStyle w:val="A-"/>
            </w:pPr>
            <w:r>
              <w:t>mg/L</w:t>
            </w:r>
          </w:p>
        </w:tc>
        <w:tc>
          <w:tcPr>
            <w:tcW w:w="982" w:type="pct"/>
            <w:noWrap/>
          </w:tcPr>
          <w:p w14:paraId="6D7890D4" w14:textId="77777777" w:rsidR="002E474C" w:rsidRDefault="00000000">
            <w:pPr>
              <w:pStyle w:val="A-"/>
            </w:pPr>
            <w:r>
              <w:t>≤250</w:t>
            </w:r>
          </w:p>
        </w:tc>
      </w:tr>
      <w:tr w:rsidR="002E474C" w14:paraId="41938BC1" w14:textId="77777777">
        <w:tc>
          <w:tcPr>
            <w:tcW w:w="419" w:type="pct"/>
          </w:tcPr>
          <w:p w14:paraId="040EA86D" w14:textId="77777777" w:rsidR="002E474C" w:rsidRDefault="00000000">
            <w:pPr>
              <w:pStyle w:val="A-"/>
            </w:pPr>
            <w:r>
              <w:t>6</w:t>
            </w:r>
          </w:p>
        </w:tc>
        <w:tc>
          <w:tcPr>
            <w:tcW w:w="1952" w:type="pct"/>
          </w:tcPr>
          <w:p w14:paraId="4160005D" w14:textId="77777777" w:rsidR="002E474C" w:rsidRDefault="00000000">
            <w:pPr>
              <w:pStyle w:val="A-"/>
            </w:pPr>
            <w:r>
              <w:t>氯化物</w:t>
            </w:r>
          </w:p>
        </w:tc>
        <w:tc>
          <w:tcPr>
            <w:tcW w:w="1644" w:type="pct"/>
          </w:tcPr>
          <w:p w14:paraId="1AFAD46B" w14:textId="77777777" w:rsidR="002E474C" w:rsidRDefault="00000000">
            <w:pPr>
              <w:pStyle w:val="A-"/>
            </w:pPr>
            <w:r>
              <w:t>mg/L</w:t>
            </w:r>
          </w:p>
        </w:tc>
        <w:tc>
          <w:tcPr>
            <w:tcW w:w="982" w:type="pct"/>
            <w:noWrap/>
          </w:tcPr>
          <w:p w14:paraId="23B3BE2D" w14:textId="77777777" w:rsidR="002E474C" w:rsidRDefault="00000000">
            <w:pPr>
              <w:pStyle w:val="A-"/>
            </w:pPr>
            <w:r>
              <w:t>≤250</w:t>
            </w:r>
          </w:p>
        </w:tc>
      </w:tr>
      <w:tr w:rsidR="002E474C" w14:paraId="1D8C5C76" w14:textId="77777777">
        <w:tc>
          <w:tcPr>
            <w:tcW w:w="419" w:type="pct"/>
          </w:tcPr>
          <w:p w14:paraId="546548EC" w14:textId="77777777" w:rsidR="002E474C" w:rsidRDefault="00000000">
            <w:pPr>
              <w:pStyle w:val="A-"/>
            </w:pPr>
            <w:r>
              <w:t>7</w:t>
            </w:r>
          </w:p>
        </w:tc>
        <w:tc>
          <w:tcPr>
            <w:tcW w:w="1952" w:type="pct"/>
          </w:tcPr>
          <w:p w14:paraId="4CAB6F75" w14:textId="77777777" w:rsidR="002E474C" w:rsidRDefault="00000000">
            <w:pPr>
              <w:pStyle w:val="A-"/>
            </w:pPr>
            <w:r>
              <w:t>铁</w:t>
            </w:r>
          </w:p>
        </w:tc>
        <w:tc>
          <w:tcPr>
            <w:tcW w:w="1644" w:type="pct"/>
          </w:tcPr>
          <w:p w14:paraId="67DFC0A8" w14:textId="77777777" w:rsidR="002E474C" w:rsidRDefault="00000000">
            <w:pPr>
              <w:pStyle w:val="A-"/>
            </w:pPr>
            <w:r>
              <w:t>mg/L</w:t>
            </w:r>
          </w:p>
        </w:tc>
        <w:tc>
          <w:tcPr>
            <w:tcW w:w="982" w:type="pct"/>
            <w:noWrap/>
          </w:tcPr>
          <w:p w14:paraId="0DEECF1E" w14:textId="77777777" w:rsidR="002E474C" w:rsidRDefault="00000000">
            <w:pPr>
              <w:pStyle w:val="A-"/>
            </w:pPr>
            <w:r>
              <w:t>≤0.3</w:t>
            </w:r>
          </w:p>
        </w:tc>
      </w:tr>
      <w:tr w:rsidR="002E474C" w14:paraId="728214E2" w14:textId="77777777">
        <w:tc>
          <w:tcPr>
            <w:tcW w:w="419" w:type="pct"/>
          </w:tcPr>
          <w:p w14:paraId="2CC3D4F0" w14:textId="77777777" w:rsidR="002E474C" w:rsidRDefault="00000000">
            <w:pPr>
              <w:pStyle w:val="A-"/>
            </w:pPr>
            <w:r>
              <w:t>8</w:t>
            </w:r>
          </w:p>
        </w:tc>
        <w:tc>
          <w:tcPr>
            <w:tcW w:w="1952" w:type="pct"/>
          </w:tcPr>
          <w:p w14:paraId="6FCCCC42" w14:textId="77777777" w:rsidR="002E474C" w:rsidRDefault="00000000">
            <w:pPr>
              <w:pStyle w:val="A-"/>
            </w:pPr>
            <w:r>
              <w:t>锰</w:t>
            </w:r>
          </w:p>
        </w:tc>
        <w:tc>
          <w:tcPr>
            <w:tcW w:w="1644" w:type="pct"/>
          </w:tcPr>
          <w:p w14:paraId="1EC4EE59" w14:textId="77777777" w:rsidR="002E474C" w:rsidRDefault="00000000">
            <w:pPr>
              <w:pStyle w:val="A-"/>
            </w:pPr>
            <w:r>
              <w:t>mg/L</w:t>
            </w:r>
          </w:p>
        </w:tc>
        <w:tc>
          <w:tcPr>
            <w:tcW w:w="982" w:type="pct"/>
            <w:noWrap/>
          </w:tcPr>
          <w:p w14:paraId="03F8953E" w14:textId="77777777" w:rsidR="002E474C" w:rsidRDefault="00000000">
            <w:pPr>
              <w:pStyle w:val="A-"/>
            </w:pPr>
            <w:r>
              <w:t>≤0.10</w:t>
            </w:r>
          </w:p>
        </w:tc>
      </w:tr>
      <w:tr w:rsidR="002E474C" w14:paraId="55F5AFD6" w14:textId="77777777">
        <w:tc>
          <w:tcPr>
            <w:tcW w:w="419" w:type="pct"/>
          </w:tcPr>
          <w:p w14:paraId="03680623" w14:textId="77777777" w:rsidR="002E474C" w:rsidRDefault="00000000">
            <w:pPr>
              <w:pStyle w:val="A-"/>
            </w:pPr>
            <w:r>
              <w:t>9</w:t>
            </w:r>
          </w:p>
        </w:tc>
        <w:tc>
          <w:tcPr>
            <w:tcW w:w="1952" w:type="pct"/>
          </w:tcPr>
          <w:p w14:paraId="48C00CB6" w14:textId="77777777" w:rsidR="002E474C" w:rsidRDefault="00000000">
            <w:pPr>
              <w:pStyle w:val="A-"/>
            </w:pPr>
            <w:r>
              <w:t>铜</w:t>
            </w:r>
          </w:p>
        </w:tc>
        <w:tc>
          <w:tcPr>
            <w:tcW w:w="1644" w:type="pct"/>
          </w:tcPr>
          <w:p w14:paraId="0AB46B1A" w14:textId="77777777" w:rsidR="002E474C" w:rsidRDefault="00000000">
            <w:pPr>
              <w:pStyle w:val="A-"/>
            </w:pPr>
            <w:r>
              <w:t>mg/L</w:t>
            </w:r>
          </w:p>
        </w:tc>
        <w:tc>
          <w:tcPr>
            <w:tcW w:w="982" w:type="pct"/>
            <w:noWrap/>
          </w:tcPr>
          <w:p w14:paraId="467D74C6" w14:textId="77777777" w:rsidR="002E474C" w:rsidRDefault="00000000">
            <w:pPr>
              <w:pStyle w:val="A-"/>
            </w:pPr>
            <w:r>
              <w:t>≤1.00</w:t>
            </w:r>
          </w:p>
        </w:tc>
      </w:tr>
      <w:tr w:rsidR="002E474C" w14:paraId="2BB7F7CF" w14:textId="77777777">
        <w:tc>
          <w:tcPr>
            <w:tcW w:w="419" w:type="pct"/>
          </w:tcPr>
          <w:p w14:paraId="4D6791C3" w14:textId="77777777" w:rsidR="002E474C" w:rsidRDefault="00000000">
            <w:pPr>
              <w:pStyle w:val="A-"/>
            </w:pPr>
            <w:r>
              <w:t>10</w:t>
            </w:r>
          </w:p>
        </w:tc>
        <w:tc>
          <w:tcPr>
            <w:tcW w:w="1952" w:type="pct"/>
          </w:tcPr>
          <w:p w14:paraId="194FCAB2" w14:textId="77777777" w:rsidR="002E474C" w:rsidRDefault="00000000">
            <w:pPr>
              <w:pStyle w:val="A-"/>
            </w:pPr>
            <w:r>
              <w:t>锌</w:t>
            </w:r>
          </w:p>
        </w:tc>
        <w:tc>
          <w:tcPr>
            <w:tcW w:w="1644" w:type="pct"/>
          </w:tcPr>
          <w:p w14:paraId="251FD4E0" w14:textId="77777777" w:rsidR="002E474C" w:rsidRDefault="00000000">
            <w:pPr>
              <w:pStyle w:val="A-"/>
            </w:pPr>
            <w:r>
              <w:t>mg/L</w:t>
            </w:r>
          </w:p>
        </w:tc>
        <w:tc>
          <w:tcPr>
            <w:tcW w:w="982" w:type="pct"/>
            <w:noWrap/>
          </w:tcPr>
          <w:p w14:paraId="5136506B" w14:textId="77777777" w:rsidR="002E474C" w:rsidRDefault="00000000">
            <w:pPr>
              <w:pStyle w:val="A-"/>
            </w:pPr>
            <w:r>
              <w:t>≤1.00</w:t>
            </w:r>
          </w:p>
        </w:tc>
      </w:tr>
      <w:tr w:rsidR="002E474C" w14:paraId="55C31522" w14:textId="77777777">
        <w:tc>
          <w:tcPr>
            <w:tcW w:w="419" w:type="pct"/>
          </w:tcPr>
          <w:p w14:paraId="4BAA78FF" w14:textId="77777777" w:rsidR="002E474C" w:rsidRDefault="00000000">
            <w:pPr>
              <w:pStyle w:val="A-"/>
            </w:pPr>
            <w:r>
              <w:t>11</w:t>
            </w:r>
          </w:p>
        </w:tc>
        <w:tc>
          <w:tcPr>
            <w:tcW w:w="1952" w:type="pct"/>
          </w:tcPr>
          <w:p w14:paraId="65F09C56" w14:textId="77777777" w:rsidR="002E474C" w:rsidRDefault="00000000">
            <w:pPr>
              <w:pStyle w:val="A-"/>
            </w:pPr>
            <w:r>
              <w:t>挥发性酚类（以苯酚计）</w:t>
            </w:r>
          </w:p>
        </w:tc>
        <w:tc>
          <w:tcPr>
            <w:tcW w:w="1644" w:type="pct"/>
          </w:tcPr>
          <w:p w14:paraId="5AAA76F1" w14:textId="77777777" w:rsidR="002E474C" w:rsidRDefault="00000000">
            <w:pPr>
              <w:pStyle w:val="A-"/>
            </w:pPr>
            <w:r>
              <w:t>mg/L</w:t>
            </w:r>
          </w:p>
        </w:tc>
        <w:tc>
          <w:tcPr>
            <w:tcW w:w="982" w:type="pct"/>
            <w:noWrap/>
          </w:tcPr>
          <w:p w14:paraId="58A1E460" w14:textId="77777777" w:rsidR="002E474C" w:rsidRDefault="00000000">
            <w:pPr>
              <w:pStyle w:val="A-"/>
            </w:pPr>
            <w:r>
              <w:t>≤0.002</w:t>
            </w:r>
          </w:p>
        </w:tc>
      </w:tr>
      <w:tr w:rsidR="002E474C" w14:paraId="062C3DE8" w14:textId="77777777">
        <w:tc>
          <w:tcPr>
            <w:tcW w:w="419" w:type="pct"/>
          </w:tcPr>
          <w:p w14:paraId="380EA686" w14:textId="77777777" w:rsidR="002E474C" w:rsidRDefault="00000000">
            <w:pPr>
              <w:pStyle w:val="A-"/>
            </w:pPr>
            <w:r>
              <w:t>12</w:t>
            </w:r>
          </w:p>
        </w:tc>
        <w:tc>
          <w:tcPr>
            <w:tcW w:w="1952" w:type="pct"/>
          </w:tcPr>
          <w:p w14:paraId="25172F1C" w14:textId="77777777" w:rsidR="002E474C" w:rsidRDefault="00000000">
            <w:pPr>
              <w:pStyle w:val="A-"/>
            </w:pPr>
            <w:r>
              <w:t>阴离子表面活性剂</w:t>
            </w:r>
          </w:p>
        </w:tc>
        <w:tc>
          <w:tcPr>
            <w:tcW w:w="1644" w:type="pct"/>
          </w:tcPr>
          <w:p w14:paraId="05770324" w14:textId="77777777" w:rsidR="002E474C" w:rsidRDefault="00000000">
            <w:pPr>
              <w:pStyle w:val="A-"/>
            </w:pPr>
            <w:r>
              <w:t>mg/L</w:t>
            </w:r>
          </w:p>
        </w:tc>
        <w:tc>
          <w:tcPr>
            <w:tcW w:w="982" w:type="pct"/>
            <w:noWrap/>
          </w:tcPr>
          <w:p w14:paraId="41C037DF" w14:textId="77777777" w:rsidR="002E474C" w:rsidRDefault="00000000">
            <w:pPr>
              <w:pStyle w:val="A-"/>
            </w:pPr>
            <w:r>
              <w:t>≤0.3</w:t>
            </w:r>
          </w:p>
        </w:tc>
      </w:tr>
      <w:tr w:rsidR="002E474C" w14:paraId="79005E41" w14:textId="77777777">
        <w:tc>
          <w:tcPr>
            <w:tcW w:w="419" w:type="pct"/>
          </w:tcPr>
          <w:p w14:paraId="6A4FA33A" w14:textId="77777777" w:rsidR="002E474C" w:rsidRDefault="00000000">
            <w:pPr>
              <w:pStyle w:val="A-"/>
            </w:pPr>
            <w:r>
              <w:t>13</w:t>
            </w:r>
          </w:p>
        </w:tc>
        <w:tc>
          <w:tcPr>
            <w:tcW w:w="1952" w:type="pct"/>
          </w:tcPr>
          <w:p w14:paraId="0C35DFE2" w14:textId="77777777" w:rsidR="002E474C" w:rsidRDefault="00000000">
            <w:pPr>
              <w:pStyle w:val="A-"/>
            </w:pPr>
            <w:r>
              <w:t>氨氮（以</w:t>
            </w:r>
            <w:r>
              <w:t>N</w:t>
            </w:r>
            <w:r>
              <w:t>计）</w:t>
            </w:r>
          </w:p>
        </w:tc>
        <w:tc>
          <w:tcPr>
            <w:tcW w:w="1644" w:type="pct"/>
          </w:tcPr>
          <w:p w14:paraId="09DAA597" w14:textId="77777777" w:rsidR="002E474C" w:rsidRDefault="00000000">
            <w:pPr>
              <w:pStyle w:val="A-"/>
            </w:pPr>
            <w:r>
              <w:t>mg/L</w:t>
            </w:r>
          </w:p>
        </w:tc>
        <w:tc>
          <w:tcPr>
            <w:tcW w:w="982" w:type="pct"/>
            <w:noWrap/>
          </w:tcPr>
          <w:p w14:paraId="240F4615" w14:textId="77777777" w:rsidR="002E474C" w:rsidRDefault="00000000">
            <w:pPr>
              <w:pStyle w:val="A-"/>
            </w:pPr>
            <w:r>
              <w:t>≤0.50</w:t>
            </w:r>
          </w:p>
        </w:tc>
      </w:tr>
      <w:tr w:rsidR="002E474C" w14:paraId="2CEAAF4C" w14:textId="77777777">
        <w:tc>
          <w:tcPr>
            <w:tcW w:w="419" w:type="pct"/>
          </w:tcPr>
          <w:p w14:paraId="1E2CE085" w14:textId="77777777" w:rsidR="002E474C" w:rsidRDefault="00000000">
            <w:pPr>
              <w:pStyle w:val="A-"/>
            </w:pPr>
            <w:r>
              <w:t>14</w:t>
            </w:r>
          </w:p>
        </w:tc>
        <w:tc>
          <w:tcPr>
            <w:tcW w:w="1952" w:type="pct"/>
          </w:tcPr>
          <w:p w14:paraId="3AAE205D" w14:textId="77777777" w:rsidR="002E474C" w:rsidRDefault="00000000">
            <w:pPr>
              <w:pStyle w:val="A-"/>
            </w:pPr>
            <w:r>
              <w:t>硫化物</w:t>
            </w:r>
          </w:p>
        </w:tc>
        <w:tc>
          <w:tcPr>
            <w:tcW w:w="1644" w:type="pct"/>
          </w:tcPr>
          <w:p w14:paraId="451C65A7" w14:textId="77777777" w:rsidR="002E474C" w:rsidRDefault="00000000">
            <w:pPr>
              <w:pStyle w:val="A-"/>
            </w:pPr>
            <w:r>
              <w:t>mg/L</w:t>
            </w:r>
          </w:p>
        </w:tc>
        <w:tc>
          <w:tcPr>
            <w:tcW w:w="982" w:type="pct"/>
            <w:noWrap/>
          </w:tcPr>
          <w:p w14:paraId="6D7497A6" w14:textId="77777777" w:rsidR="002E474C" w:rsidRDefault="00000000">
            <w:pPr>
              <w:pStyle w:val="A-"/>
            </w:pPr>
            <w:r>
              <w:t>≤0.02</w:t>
            </w:r>
          </w:p>
        </w:tc>
      </w:tr>
      <w:tr w:rsidR="002E474C" w14:paraId="2F9E6A9C" w14:textId="77777777">
        <w:tc>
          <w:tcPr>
            <w:tcW w:w="419" w:type="pct"/>
          </w:tcPr>
          <w:p w14:paraId="4253B0FB" w14:textId="77777777" w:rsidR="002E474C" w:rsidRDefault="00000000">
            <w:pPr>
              <w:pStyle w:val="A-"/>
            </w:pPr>
            <w:r>
              <w:t>15</w:t>
            </w:r>
          </w:p>
        </w:tc>
        <w:tc>
          <w:tcPr>
            <w:tcW w:w="1952" w:type="pct"/>
          </w:tcPr>
          <w:p w14:paraId="1FB953C5" w14:textId="77777777" w:rsidR="002E474C" w:rsidRDefault="00000000">
            <w:pPr>
              <w:pStyle w:val="A-"/>
            </w:pPr>
            <w:r>
              <w:t>钠</w:t>
            </w:r>
          </w:p>
        </w:tc>
        <w:tc>
          <w:tcPr>
            <w:tcW w:w="1644" w:type="pct"/>
          </w:tcPr>
          <w:p w14:paraId="23CF6417" w14:textId="77777777" w:rsidR="002E474C" w:rsidRDefault="00000000">
            <w:pPr>
              <w:pStyle w:val="A-"/>
            </w:pPr>
            <w:r>
              <w:t>mg/L</w:t>
            </w:r>
          </w:p>
        </w:tc>
        <w:tc>
          <w:tcPr>
            <w:tcW w:w="982" w:type="pct"/>
            <w:noWrap/>
          </w:tcPr>
          <w:p w14:paraId="663F90AF" w14:textId="77777777" w:rsidR="002E474C" w:rsidRDefault="00000000">
            <w:pPr>
              <w:pStyle w:val="A-"/>
            </w:pPr>
            <w:r>
              <w:t>≤200</w:t>
            </w:r>
          </w:p>
        </w:tc>
      </w:tr>
      <w:tr w:rsidR="002E474C" w14:paraId="54AB570C" w14:textId="77777777">
        <w:tc>
          <w:tcPr>
            <w:tcW w:w="419" w:type="pct"/>
          </w:tcPr>
          <w:p w14:paraId="6B6C9EC3" w14:textId="77777777" w:rsidR="002E474C" w:rsidRDefault="00000000">
            <w:pPr>
              <w:pStyle w:val="A-"/>
            </w:pPr>
            <w:r>
              <w:t>16</w:t>
            </w:r>
          </w:p>
        </w:tc>
        <w:tc>
          <w:tcPr>
            <w:tcW w:w="1952" w:type="pct"/>
          </w:tcPr>
          <w:p w14:paraId="4113929B" w14:textId="77777777" w:rsidR="002E474C" w:rsidRDefault="00000000">
            <w:pPr>
              <w:pStyle w:val="A-"/>
            </w:pPr>
            <w:r>
              <w:t>亚硝酸盐氮（以</w:t>
            </w:r>
            <w:r>
              <w:t>N</w:t>
            </w:r>
            <w:r>
              <w:t>计）</w:t>
            </w:r>
          </w:p>
        </w:tc>
        <w:tc>
          <w:tcPr>
            <w:tcW w:w="1644" w:type="pct"/>
          </w:tcPr>
          <w:p w14:paraId="26EC1036" w14:textId="77777777" w:rsidR="002E474C" w:rsidRDefault="00000000">
            <w:pPr>
              <w:pStyle w:val="A-"/>
            </w:pPr>
            <w:r>
              <w:t>mg/L</w:t>
            </w:r>
          </w:p>
        </w:tc>
        <w:tc>
          <w:tcPr>
            <w:tcW w:w="982" w:type="pct"/>
            <w:noWrap/>
          </w:tcPr>
          <w:p w14:paraId="4936C188" w14:textId="77777777" w:rsidR="002E474C" w:rsidRDefault="00000000">
            <w:pPr>
              <w:pStyle w:val="A-"/>
            </w:pPr>
            <w:r>
              <w:t>≤1.00</w:t>
            </w:r>
          </w:p>
        </w:tc>
      </w:tr>
      <w:tr w:rsidR="002E474C" w14:paraId="0838BCD4" w14:textId="77777777">
        <w:tc>
          <w:tcPr>
            <w:tcW w:w="419" w:type="pct"/>
          </w:tcPr>
          <w:p w14:paraId="4C373CA1" w14:textId="77777777" w:rsidR="002E474C" w:rsidRDefault="00000000">
            <w:pPr>
              <w:pStyle w:val="A-"/>
            </w:pPr>
            <w:r>
              <w:t>17</w:t>
            </w:r>
          </w:p>
        </w:tc>
        <w:tc>
          <w:tcPr>
            <w:tcW w:w="1952" w:type="pct"/>
          </w:tcPr>
          <w:p w14:paraId="7E1DBB16" w14:textId="77777777" w:rsidR="002E474C" w:rsidRDefault="00000000">
            <w:pPr>
              <w:pStyle w:val="A-"/>
            </w:pPr>
            <w:r>
              <w:t>硝酸盐氮（以</w:t>
            </w:r>
            <w:r>
              <w:t>N</w:t>
            </w:r>
            <w:r>
              <w:t>计）</w:t>
            </w:r>
          </w:p>
        </w:tc>
        <w:tc>
          <w:tcPr>
            <w:tcW w:w="1644" w:type="pct"/>
          </w:tcPr>
          <w:p w14:paraId="559F2996" w14:textId="77777777" w:rsidR="002E474C" w:rsidRDefault="00000000">
            <w:pPr>
              <w:pStyle w:val="A-"/>
            </w:pPr>
            <w:r>
              <w:t>mg/L</w:t>
            </w:r>
          </w:p>
        </w:tc>
        <w:tc>
          <w:tcPr>
            <w:tcW w:w="982" w:type="pct"/>
            <w:noWrap/>
          </w:tcPr>
          <w:p w14:paraId="560B3D3A" w14:textId="77777777" w:rsidR="002E474C" w:rsidRDefault="00000000">
            <w:pPr>
              <w:pStyle w:val="A-"/>
            </w:pPr>
            <w:r>
              <w:t>≤20.0</w:t>
            </w:r>
          </w:p>
        </w:tc>
      </w:tr>
      <w:tr w:rsidR="002E474C" w14:paraId="36E0B994" w14:textId="77777777">
        <w:tc>
          <w:tcPr>
            <w:tcW w:w="419" w:type="pct"/>
          </w:tcPr>
          <w:p w14:paraId="03B0D3EE" w14:textId="77777777" w:rsidR="002E474C" w:rsidRDefault="00000000">
            <w:pPr>
              <w:pStyle w:val="A-"/>
            </w:pPr>
            <w:r>
              <w:t>18</w:t>
            </w:r>
          </w:p>
        </w:tc>
        <w:tc>
          <w:tcPr>
            <w:tcW w:w="1952" w:type="pct"/>
          </w:tcPr>
          <w:p w14:paraId="31BF0CCE" w14:textId="77777777" w:rsidR="002E474C" w:rsidRDefault="00000000">
            <w:pPr>
              <w:pStyle w:val="A-"/>
            </w:pPr>
            <w:r>
              <w:t>氟化物</w:t>
            </w:r>
          </w:p>
        </w:tc>
        <w:tc>
          <w:tcPr>
            <w:tcW w:w="1644" w:type="pct"/>
          </w:tcPr>
          <w:p w14:paraId="095B0F49" w14:textId="77777777" w:rsidR="002E474C" w:rsidRDefault="00000000">
            <w:pPr>
              <w:pStyle w:val="A-"/>
            </w:pPr>
            <w:r>
              <w:t>mg/L</w:t>
            </w:r>
          </w:p>
        </w:tc>
        <w:tc>
          <w:tcPr>
            <w:tcW w:w="982" w:type="pct"/>
            <w:noWrap/>
          </w:tcPr>
          <w:p w14:paraId="05660BD6" w14:textId="77777777" w:rsidR="002E474C" w:rsidRDefault="00000000">
            <w:pPr>
              <w:pStyle w:val="A-"/>
            </w:pPr>
            <w:r>
              <w:t>≤1.0</w:t>
            </w:r>
          </w:p>
        </w:tc>
      </w:tr>
      <w:tr w:rsidR="002E474C" w14:paraId="28E1A023" w14:textId="77777777">
        <w:tc>
          <w:tcPr>
            <w:tcW w:w="419" w:type="pct"/>
          </w:tcPr>
          <w:p w14:paraId="663C3C61" w14:textId="77777777" w:rsidR="002E474C" w:rsidRDefault="00000000">
            <w:pPr>
              <w:pStyle w:val="A-"/>
            </w:pPr>
            <w:r>
              <w:lastRenderedPageBreak/>
              <w:t>19</w:t>
            </w:r>
          </w:p>
        </w:tc>
        <w:tc>
          <w:tcPr>
            <w:tcW w:w="1952" w:type="pct"/>
          </w:tcPr>
          <w:p w14:paraId="2FE5385F" w14:textId="77777777" w:rsidR="002E474C" w:rsidRDefault="00000000">
            <w:pPr>
              <w:pStyle w:val="A-"/>
            </w:pPr>
            <w:r>
              <w:t>氰化物</w:t>
            </w:r>
          </w:p>
        </w:tc>
        <w:tc>
          <w:tcPr>
            <w:tcW w:w="1644" w:type="pct"/>
          </w:tcPr>
          <w:p w14:paraId="07B053E8" w14:textId="77777777" w:rsidR="002E474C" w:rsidRDefault="00000000">
            <w:pPr>
              <w:pStyle w:val="A-"/>
            </w:pPr>
            <w:r>
              <w:t>mg/L</w:t>
            </w:r>
          </w:p>
        </w:tc>
        <w:tc>
          <w:tcPr>
            <w:tcW w:w="982" w:type="pct"/>
            <w:noWrap/>
          </w:tcPr>
          <w:p w14:paraId="128F9206" w14:textId="77777777" w:rsidR="002E474C" w:rsidRDefault="00000000">
            <w:pPr>
              <w:pStyle w:val="A-"/>
            </w:pPr>
            <w:r>
              <w:t>≤0.05</w:t>
            </w:r>
          </w:p>
        </w:tc>
      </w:tr>
      <w:tr w:rsidR="002E474C" w14:paraId="606662B6" w14:textId="77777777">
        <w:tc>
          <w:tcPr>
            <w:tcW w:w="419" w:type="pct"/>
          </w:tcPr>
          <w:p w14:paraId="72C91BC7" w14:textId="77777777" w:rsidR="002E474C" w:rsidRDefault="00000000">
            <w:pPr>
              <w:pStyle w:val="A-"/>
            </w:pPr>
            <w:r>
              <w:t>20</w:t>
            </w:r>
          </w:p>
        </w:tc>
        <w:tc>
          <w:tcPr>
            <w:tcW w:w="1952" w:type="pct"/>
          </w:tcPr>
          <w:p w14:paraId="283BA2EC" w14:textId="77777777" w:rsidR="002E474C" w:rsidRDefault="00000000">
            <w:pPr>
              <w:pStyle w:val="A-"/>
            </w:pPr>
            <w:r>
              <w:t>汞</w:t>
            </w:r>
          </w:p>
        </w:tc>
        <w:tc>
          <w:tcPr>
            <w:tcW w:w="1644" w:type="pct"/>
          </w:tcPr>
          <w:p w14:paraId="12E5F481" w14:textId="77777777" w:rsidR="002E474C" w:rsidRDefault="00000000">
            <w:pPr>
              <w:pStyle w:val="A-"/>
            </w:pPr>
            <w:r>
              <w:t>mg/L</w:t>
            </w:r>
          </w:p>
        </w:tc>
        <w:tc>
          <w:tcPr>
            <w:tcW w:w="982" w:type="pct"/>
            <w:noWrap/>
          </w:tcPr>
          <w:p w14:paraId="1AE1B841" w14:textId="77777777" w:rsidR="002E474C" w:rsidRDefault="00000000">
            <w:pPr>
              <w:pStyle w:val="A-"/>
            </w:pPr>
            <w:r>
              <w:t>≤0.001</w:t>
            </w:r>
          </w:p>
        </w:tc>
      </w:tr>
      <w:tr w:rsidR="002E474C" w14:paraId="76F9E54C" w14:textId="77777777">
        <w:tc>
          <w:tcPr>
            <w:tcW w:w="419" w:type="pct"/>
          </w:tcPr>
          <w:p w14:paraId="52E5DCCC" w14:textId="77777777" w:rsidR="002E474C" w:rsidRDefault="00000000">
            <w:pPr>
              <w:pStyle w:val="A-"/>
            </w:pPr>
            <w:r>
              <w:t>21</w:t>
            </w:r>
          </w:p>
        </w:tc>
        <w:tc>
          <w:tcPr>
            <w:tcW w:w="1952" w:type="pct"/>
          </w:tcPr>
          <w:p w14:paraId="5754618A" w14:textId="77777777" w:rsidR="002E474C" w:rsidRDefault="00000000">
            <w:pPr>
              <w:pStyle w:val="A-"/>
            </w:pPr>
            <w:r>
              <w:t>砷</w:t>
            </w:r>
          </w:p>
        </w:tc>
        <w:tc>
          <w:tcPr>
            <w:tcW w:w="1644" w:type="pct"/>
          </w:tcPr>
          <w:p w14:paraId="5B2EC665" w14:textId="77777777" w:rsidR="002E474C" w:rsidRDefault="00000000">
            <w:pPr>
              <w:pStyle w:val="A-"/>
            </w:pPr>
            <w:r>
              <w:t>mg/L</w:t>
            </w:r>
          </w:p>
        </w:tc>
        <w:tc>
          <w:tcPr>
            <w:tcW w:w="982" w:type="pct"/>
            <w:noWrap/>
          </w:tcPr>
          <w:p w14:paraId="2C7DF3AC" w14:textId="77777777" w:rsidR="002E474C" w:rsidRDefault="00000000">
            <w:pPr>
              <w:pStyle w:val="A-"/>
            </w:pPr>
            <w:r>
              <w:t>≤0.01</w:t>
            </w:r>
          </w:p>
        </w:tc>
      </w:tr>
      <w:tr w:rsidR="002E474C" w14:paraId="24CBBC77" w14:textId="77777777">
        <w:tc>
          <w:tcPr>
            <w:tcW w:w="419" w:type="pct"/>
          </w:tcPr>
          <w:p w14:paraId="6BDE9050" w14:textId="77777777" w:rsidR="002E474C" w:rsidRDefault="00000000">
            <w:pPr>
              <w:pStyle w:val="A-"/>
            </w:pPr>
            <w:r>
              <w:t>22</w:t>
            </w:r>
          </w:p>
        </w:tc>
        <w:tc>
          <w:tcPr>
            <w:tcW w:w="1952" w:type="pct"/>
          </w:tcPr>
          <w:p w14:paraId="54534911" w14:textId="77777777" w:rsidR="002E474C" w:rsidRDefault="00000000">
            <w:pPr>
              <w:pStyle w:val="A-"/>
            </w:pPr>
            <w:r>
              <w:t>镉</w:t>
            </w:r>
          </w:p>
        </w:tc>
        <w:tc>
          <w:tcPr>
            <w:tcW w:w="1644" w:type="pct"/>
          </w:tcPr>
          <w:p w14:paraId="1A2702B2" w14:textId="77777777" w:rsidR="002E474C" w:rsidRDefault="00000000">
            <w:pPr>
              <w:pStyle w:val="A-"/>
            </w:pPr>
            <w:r>
              <w:t>mg/L</w:t>
            </w:r>
          </w:p>
        </w:tc>
        <w:tc>
          <w:tcPr>
            <w:tcW w:w="982" w:type="pct"/>
            <w:noWrap/>
          </w:tcPr>
          <w:p w14:paraId="659F2142" w14:textId="77777777" w:rsidR="002E474C" w:rsidRDefault="00000000">
            <w:pPr>
              <w:pStyle w:val="A-"/>
            </w:pPr>
            <w:r>
              <w:t>≤0.005</w:t>
            </w:r>
          </w:p>
        </w:tc>
      </w:tr>
      <w:tr w:rsidR="002E474C" w14:paraId="4F01246F" w14:textId="77777777">
        <w:tc>
          <w:tcPr>
            <w:tcW w:w="419" w:type="pct"/>
          </w:tcPr>
          <w:p w14:paraId="3709F2C1" w14:textId="77777777" w:rsidR="002E474C" w:rsidRDefault="00000000">
            <w:pPr>
              <w:pStyle w:val="A-"/>
            </w:pPr>
            <w:r>
              <w:t>23</w:t>
            </w:r>
          </w:p>
        </w:tc>
        <w:tc>
          <w:tcPr>
            <w:tcW w:w="1952" w:type="pct"/>
          </w:tcPr>
          <w:p w14:paraId="13B2A192" w14:textId="77777777" w:rsidR="002E474C" w:rsidRDefault="00000000">
            <w:pPr>
              <w:pStyle w:val="A-"/>
            </w:pPr>
            <w:r>
              <w:t>铅</w:t>
            </w:r>
          </w:p>
        </w:tc>
        <w:tc>
          <w:tcPr>
            <w:tcW w:w="1644" w:type="pct"/>
          </w:tcPr>
          <w:p w14:paraId="46ED0E25" w14:textId="77777777" w:rsidR="002E474C" w:rsidRDefault="00000000">
            <w:pPr>
              <w:pStyle w:val="A-"/>
            </w:pPr>
            <w:r>
              <w:t>mg/L</w:t>
            </w:r>
          </w:p>
        </w:tc>
        <w:tc>
          <w:tcPr>
            <w:tcW w:w="982" w:type="pct"/>
            <w:noWrap/>
          </w:tcPr>
          <w:p w14:paraId="0F446C73" w14:textId="77777777" w:rsidR="002E474C" w:rsidRDefault="00000000">
            <w:pPr>
              <w:pStyle w:val="A-"/>
            </w:pPr>
            <w:r>
              <w:t>≤0.01</w:t>
            </w:r>
          </w:p>
        </w:tc>
      </w:tr>
      <w:tr w:rsidR="002E474C" w14:paraId="6495C779" w14:textId="77777777">
        <w:tc>
          <w:tcPr>
            <w:tcW w:w="419" w:type="pct"/>
          </w:tcPr>
          <w:p w14:paraId="79DF9A0D" w14:textId="77777777" w:rsidR="002E474C" w:rsidRDefault="00000000">
            <w:pPr>
              <w:pStyle w:val="A-"/>
            </w:pPr>
            <w:r>
              <w:t>24</w:t>
            </w:r>
          </w:p>
        </w:tc>
        <w:tc>
          <w:tcPr>
            <w:tcW w:w="1952" w:type="pct"/>
          </w:tcPr>
          <w:p w14:paraId="1225DBDD" w14:textId="77777777" w:rsidR="002E474C" w:rsidRDefault="00000000">
            <w:pPr>
              <w:pStyle w:val="A-"/>
            </w:pPr>
            <w:r>
              <w:t>铬（六价）</w:t>
            </w:r>
          </w:p>
        </w:tc>
        <w:tc>
          <w:tcPr>
            <w:tcW w:w="1644" w:type="pct"/>
          </w:tcPr>
          <w:p w14:paraId="51705991" w14:textId="77777777" w:rsidR="002E474C" w:rsidRDefault="00000000">
            <w:pPr>
              <w:pStyle w:val="A-"/>
            </w:pPr>
            <w:r>
              <w:t>mg/L</w:t>
            </w:r>
          </w:p>
        </w:tc>
        <w:tc>
          <w:tcPr>
            <w:tcW w:w="982" w:type="pct"/>
            <w:noWrap/>
          </w:tcPr>
          <w:p w14:paraId="5E28F6ED" w14:textId="77777777" w:rsidR="002E474C" w:rsidRDefault="00000000">
            <w:pPr>
              <w:pStyle w:val="A-"/>
            </w:pPr>
            <w:r>
              <w:t>≤0.05</w:t>
            </w:r>
          </w:p>
        </w:tc>
      </w:tr>
      <w:tr w:rsidR="002E474C" w14:paraId="2CA371C9" w14:textId="77777777">
        <w:tc>
          <w:tcPr>
            <w:tcW w:w="419" w:type="pct"/>
          </w:tcPr>
          <w:p w14:paraId="611263F1" w14:textId="77777777" w:rsidR="002E474C" w:rsidRDefault="00000000">
            <w:pPr>
              <w:pStyle w:val="A-"/>
            </w:pPr>
            <w:r>
              <w:t>25</w:t>
            </w:r>
          </w:p>
        </w:tc>
        <w:tc>
          <w:tcPr>
            <w:tcW w:w="1952" w:type="pct"/>
          </w:tcPr>
          <w:p w14:paraId="1990FF7A" w14:textId="77777777" w:rsidR="002E474C" w:rsidRDefault="00000000">
            <w:pPr>
              <w:pStyle w:val="A-"/>
            </w:pPr>
            <w:r>
              <w:t>总大肠菌群</w:t>
            </w:r>
          </w:p>
        </w:tc>
        <w:tc>
          <w:tcPr>
            <w:tcW w:w="1644" w:type="pct"/>
          </w:tcPr>
          <w:p w14:paraId="6AA5A683" w14:textId="77777777" w:rsidR="002E474C" w:rsidRDefault="00000000">
            <w:pPr>
              <w:pStyle w:val="A-"/>
            </w:pPr>
            <w:proofErr w:type="spellStart"/>
            <w:r>
              <w:t>MPNb</w:t>
            </w:r>
            <w:proofErr w:type="spellEnd"/>
            <w:r>
              <w:t>/100mL</w:t>
            </w:r>
            <w:r>
              <w:t>或</w:t>
            </w:r>
            <w:r>
              <w:t>CFU°/100mL</w:t>
            </w:r>
          </w:p>
        </w:tc>
        <w:tc>
          <w:tcPr>
            <w:tcW w:w="982" w:type="pct"/>
            <w:noWrap/>
          </w:tcPr>
          <w:p w14:paraId="6FF1DC75" w14:textId="77777777" w:rsidR="002E474C" w:rsidRDefault="00000000">
            <w:pPr>
              <w:pStyle w:val="A-"/>
            </w:pPr>
            <w:r>
              <w:t>≤3.0</w:t>
            </w:r>
          </w:p>
        </w:tc>
      </w:tr>
    </w:tbl>
    <w:p w14:paraId="1550FA79" w14:textId="77777777" w:rsidR="002E474C" w:rsidRDefault="002E474C"/>
    <w:p w14:paraId="5EA5AE40" w14:textId="77777777" w:rsidR="002E474C" w:rsidRDefault="00000000">
      <w:pPr>
        <w:pStyle w:val="A-z"/>
        <w:rPr>
          <w:color w:val="auto"/>
        </w:rPr>
      </w:pPr>
      <w:r>
        <w:rPr>
          <w:color w:val="auto"/>
        </w:rPr>
        <w:t>（</w:t>
      </w:r>
      <w:r>
        <w:rPr>
          <w:color w:val="auto"/>
        </w:rPr>
        <w:t>3</w:t>
      </w:r>
      <w:r>
        <w:rPr>
          <w:color w:val="auto"/>
        </w:rPr>
        <w:t>）声环境质量标准</w:t>
      </w:r>
    </w:p>
    <w:p w14:paraId="151AB33B" w14:textId="77777777" w:rsidR="002E474C" w:rsidRDefault="00000000">
      <w:pPr>
        <w:pStyle w:val="A-z"/>
        <w:rPr>
          <w:color w:val="auto"/>
        </w:rPr>
      </w:pPr>
      <w:r>
        <w:rPr>
          <w:color w:val="auto"/>
        </w:rPr>
        <w:t>声环境质量执行《声环境质量标准》（</w:t>
      </w:r>
      <w:r>
        <w:rPr>
          <w:color w:val="auto"/>
        </w:rPr>
        <w:t>GB3096-2008</w:t>
      </w:r>
      <w:r>
        <w:rPr>
          <w:color w:val="auto"/>
        </w:rPr>
        <w:t>）</w:t>
      </w:r>
      <w:r>
        <w:rPr>
          <w:color w:val="auto"/>
        </w:rPr>
        <w:t>3</w:t>
      </w:r>
      <w:r>
        <w:rPr>
          <w:color w:val="auto"/>
        </w:rPr>
        <w:t>类标准，即昼间</w:t>
      </w:r>
      <w:r>
        <w:rPr>
          <w:color w:val="auto"/>
        </w:rPr>
        <w:t>65dB</w:t>
      </w:r>
      <w:r>
        <w:rPr>
          <w:color w:val="auto"/>
        </w:rPr>
        <w:t>（</w:t>
      </w:r>
      <w:r>
        <w:rPr>
          <w:color w:val="auto"/>
        </w:rPr>
        <w:t>A</w:t>
      </w:r>
      <w:r>
        <w:rPr>
          <w:color w:val="auto"/>
        </w:rPr>
        <w:t>），夜间</w:t>
      </w:r>
      <w:r>
        <w:rPr>
          <w:color w:val="auto"/>
        </w:rPr>
        <w:t>55dB</w:t>
      </w:r>
      <w:r>
        <w:rPr>
          <w:color w:val="auto"/>
        </w:rPr>
        <w:t>（</w:t>
      </w:r>
      <w:r>
        <w:rPr>
          <w:color w:val="auto"/>
        </w:rPr>
        <w:t>A</w:t>
      </w:r>
      <w:r>
        <w:rPr>
          <w:color w:val="auto"/>
        </w:rPr>
        <w:t>）。</w:t>
      </w:r>
    </w:p>
    <w:p w14:paraId="3C5A9A14" w14:textId="77777777" w:rsidR="002E474C" w:rsidRDefault="00000000">
      <w:pPr>
        <w:pStyle w:val="A-z"/>
        <w:rPr>
          <w:color w:val="auto"/>
        </w:rPr>
      </w:pPr>
      <w:r>
        <w:rPr>
          <w:color w:val="auto"/>
        </w:rPr>
        <w:t>（</w:t>
      </w:r>
      <w:r>
        <w:rPr>
          <w:color w:val="auto"/>
        </w:rPr>
        <w:t>4</w:t>
      </w:r>
      <w:r>
        <w:rPr>
          <w:color w:val="auto"/>
        </w:rPr>
        <w:t>）土壤环境质量标准</w:t>
      </w:r>
    </w:p>
    <w:p w14:paraId="7AD5BB37" w14:textId="77777777" w:rsidR="002E474C" w:rsidRDefault="00000000">
      <w:pPr>
        <w:pStyle w:val="A-z"/>
        <w:rPr>
          <w:color w:val="auto"/>
        </w:rPr>
      </w:pPr>
      <w:r>
        <w:rPr>
          <w:color w:val="auto"/>
        </w:rPr>
        <w:t>本项目占地范围内外均为工业用地。土壤环境质量现状评价执行《土壤环境质量建设用地土壤污染风险管控标准（试行）》（</w:t>
      </w:r>
      <w:r>
        <w:rPr>
          <w:color w:val="auto"/>
        </w:rPr>
        <w:t>GB36600-2018</w:t>
      </w:r>
      <w:r>
        <w:rPr>
          <w:color w:val="auto"/>
        </w:rPr>
        <w:t>）第二类用地筛选值，见表</w:t>
      </w:r>
      <w:r>
        <w:rPr>
          <w:color w:val="auto"/>
        </w:rPr>
        <w:t>2.4-3</w:t>
      </w:r>
      <w:r>
        <w:rPr>
          <w:color w:val="auto"/>
        </w:rPr>
        <w:t>。</w:t>
      </w:r>
    </w:p>
    <w:p w14:paraId="747C37E5" w14:textId="77777777" w:rsidR="002E474C" w:rsidRDefault="00000000">
      <w:pPr>
        <w:pStyle w:val="A--"/>
        <w:rPr>
          <w:color w:val="auto"/>
        </w:rPr>
      </w:pPr>
      <w:bookmarkStart w:id="71" w:name="_Ref7346476"/>
      <w:r>
        <w:rPr>
          <w:color w:val="auto"/>
        </w:rPr>
        <w:t>表</w:t>
      </w:r>
      <w:r>
        <w:rPr>
          <w:color w:val="auto"/>
        </w:rPr>
        <w:t>2.4</w:t>
      </w:r>
      <w:r>
        <w:rPr>
          <w:color w:val="auto"/>
        </w:rPr>
        <w:noBreakHyphen/>
      </w:r>
      <w:bookmarkEnd w:id="71"/>
      <w:r>
        <w:rPr>
          <w:color w:val="auto"/>
        </w:rPr>
        <w:t xml:space="preserve">3  </w:t>
      </w:r>
      <w:r>
        <w:rPr>
          <w:color w:val="auto"/>
        </w:rPr>
        <w:t>建设用地土壤环境质量标准</w:t>
      </w:r>
      <w:r>
        <w:rPr>
          <w:color w:val="auto"/>
        </w:rPr>
        <w:t xml:space="preserve">              </w:t>
      </w:r>
      <w:r>
        <w:rPr>
          <w:color w:val="auto"/>
        </w:rPr>
        <w:t>单位：</w:t>
      </w:r>
      <w:r>
        <w:rPr>
          <w:color w:val="auto"/>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891"/>
        <w:gridCol w:w="2250"/>
        <w:gridCol w:w="2649"/>
      </w:tblGrid>
      <w:tr w:rsidR="002E474C" w14:paraId="0C1FAC15" w14:textId="77777777">
        <w:trPr>
          <w:jc w:val="center"/>
        </w:trPr>
        <w:tc>
          <w:tcPr>
            <w:tcW w:w="427" w:type="pct"/>
            <w:vAlign w:val="center"/>
          </w:tcPr>
          <w:p w14:paraId="5C794367" w14:textId="77777777" w:rsidR="002E474C" w:rsidRDefault="00000000">
            <w:pPr>
              <w:pStyle w:val="A-"/>
              <w:rPr>
                <w:lang w:val="zh-CN"/>
              </w:rPr>
            </w:pPr>
            <w:r>
              <w:rPr>
                <w:lang w:val="zh-CN"/>
              </w:rPr>
              <w:t>序号</w:t>
            </w:r>
          </w:p>
        </w:tc>
        <w:tc>
          <w:tcPr>
            <w:tcW w:w="1697" w:type="pct"/>
            <w:vAlign w:val="center"/>
          </w:tcPr>
          <w:p w14:paraId="331B9FF5" w14:textId="77777777" w:rsidR="002E474C" w:rsidRDefault="00000000">
            <w:pPr>
              <w:pStyle w:val="A-"/>
              <w:rPr>
                <w:lang w:val="zh-CN"/>
              </w:rPr>
            </w:pPr>
            <w:r>
              <w:rPr>
                <w:lang w:val="zh-CN"/>
              </w:rPr>
              <w:t>污染物项目</w:t>
            </w:r>
          </w:p>
        </w:tc>
        <w:tc>
          <w:tcPr>
            <w:tcW w:w="1321" w:type="pct"/>
            <w:vAlign w:val="center"/>
          </w:tcPr>
          <w:p w14:paraId="45D4562A" w14:textId="77777777" w:rsidR="002E474C" w:rsidRDefault="00000000">
            <w:pPr>
              <w:pStyle w:val="A-"/>
              <w:rPr>
                <w:lang w:val="zh-CN"/>
              </w:rPr>
            </w:pPr>
            <w:r>
              <w:rPr>
                <w:lang w:val="zh-CN"/>
              </w:rPr>
              <w:t>CAS</w:t>
            </w:r>
            <w:r>
              <w:rPr>
                <w:lang w:val="zh-CN"/>
              </w:rPr>
              <w:t>编号</w:t>
            </w:r>
          </w:p>
        </w:tc>
        <w:tc>
          <w:tcPr>
            <w:tcW w:w="1556" w:type="pct"/>
          </w:tcPr>
          <w:p w14:paraId="7DFA7321" w14:textId="77777777" w:rsidR="002E474C" w:rsidRDefault="00000000">
            <w:pPr>
              <w:pStyle w:val="A-"/>
              <w:rPr>
                <w:lang w:val="zh-CN"/>
              </w:rPr>
            </w:pPr>
            <w:r>
              <w:rPr>
                <w:lang w:val="zh-CN"/>
              </w:rPr>
              <w:t>筛选值（第二类用地）</w:t>
            </w:r>
          </w:p>
        </w:tc>
      </w:tr>
      <w:tr w:rsidR="002E474C" w14:paraId="04E2BE7C" w14:textId="77777777">
        <w:trPr>
          <w:jc w:val="center"/>
        </w:trPr>
        <w:tc>
          <w:tcPr>
            <w:tcW w:w="5000" w:type="pct"/>
            <w:gridSpan w:val="4"/>
            <w:vAlign w:val="center"/>
          </w:tcPr>
          <w:p w14:paraId="3619551B" w14:textId="77777777" w:rsidR="002E474C" w:rsidRDefault="00000000">
            <w:pPr>
              <w:pStyle w:val="A-"/>
              <w:rPr>
                <w:lang w:val="zh-CN"/>
              </w:rPr>
            </w:pPr>
            <w:r>
              <w:rPr>
                <w:lang w:val="zh-CN"/>
              </w:rPr>
              <w:t>重金属和无机物</w:t>
            </w:r>
          </w:p>
        </w:tc>
      </w:tr>
      <w:tr w:rsidR="002E474C" w14:paraId="447947E2" w14:textId="77777777">
        <w:trPr>
          <w:jc w:val="center"/>
        </w:trPr>
        <w:tc>
          <w:tcPr>
            <w:tcW w:w="427" w:type="pct"/>
            <w:vAlign w:val="center"/>
          </w:tcPr>
          <w:p w14:paraId="09B24E14" w14:textId="77777777" w:rsidR="002E474C" w:rsidRDefault="00000000">
            <w:pPr>
              <w:pStyle w:val="A-"/>
              <w:rPr>
                <w:lang w:val="zh-CN"/>
              </w:rPr>
            </w:pPr>
            <w:r>
              <w:rPr>
                <w:lang w:val="zh-CN"/>
              </w:rPr>
              <w:t>1</w:t>
            </w:r>
          </w:p>
        </w:tc>
        <w:tc>
          <w:tcPr>
            <w:tcW w:w="1697" w:type="pct"/>
            <w:vAlign w:val="center"/>
          </w:tcPr>
          <w:p w14:paraId="1869FD21" w14:textId="77777777" w:rsidR="002E474C" w:rsidRDefault="00000000">
            <w:pPr>
              <w:pStyle w:val="A-"/>
              <w:rPr>
                <w:lang w:val="zh-CN"/>
              </w:rPr>
            </w:pPr>
            <w:r>
              <w:rPr>
                <w:lang w:val="zh-CN"/>
              </w:rPr>
              <w:t>砷</w:t>
            </w:r>
          </w:p>
        </w:tc>
        <w:tc>
          <w:tcPr>
            <w:tcW w:w="1321" w:type="pct"/>
            <w:vAlign w:val="center"/>
          </w:tcPr>
          <w:p w14:paraId="3520A6BE" w14:textId="77777777" w:rsidR="002E474C" w:rsidRDefault="00000000">
            <w:pPr>
              <w:pStyle w:val="A-"/>
              <w:rPr>
                <w:lang w:val="zh-CN"/>
              </w:rPr>
            </w:pPr>
            <w:r>
              <w:rPr>
                <w:lang w:val="zh-CN"/>
              </w:rPr>
              <w:t>7440-38-2</w:t>
            </w:r>
          </w:p>
        </w:tc>
        <w:tc>
          <w:tcPr>
            <w:tcW w:w="1556" w:type="pct"/>
            <w:vAlign w:val="center"/>
          </w:tcPr>
          <w:p w14:paraId="40A99300" w14:textId="77777777" w:rsidR="002E474C" w:rsidRDefault="00000000">
            <w:pPr>
              <w:pStyle w:val="A-"/>
              <w:rPr>
                <w:lang w:val="zh-CN"/>
              </w:rPr>
            </w:pPr>
            <w:r>
              <w:rPr>
                <w:lang w:val="zh-CN"/>
              </w:rPr>
              <w:t>60</w:t>
            </w:r>
          </w:p>
        </w:tc>
      </w:tr>
      <w:tr w:rsidR="002E474C" w14:paraId="7A2FDB24" w14:textId="77777777">
        <w:trPr>
          <w:jc w:val="center"/>
        </w:trPr>
        <w:tc>
          <w:tcPr>
            <w:tcW w:w="427" w:type="pct"/>
            <w:vAlign w:val="center"/>
          </w:tcPr>
          <w:p w14:paraId="7BC77D9E" w14:textId="77777777" w:rsidR="002E474C" w:rsidRDefault="00000000">
            <w:pPr>
              <w:pStyle w:val="A-"/>
              <w:rPr>
                <w:lang w:val="zh-CN"/>
              </w:rPr>
            </w:pPr>
            <w:r>
              <w:rPr>
                <w:lang w:val="zh-CN"/>
              </w:rPr>
              <w:t>2</w:t>
            </w:r>
          </w:p>
        </w:tc>
        <w:tc>
          <w:tcPr>
            <w:tcW w:w="1697" w:type="pct"/>
            <w:vAlign w:val="center"/>
          </w:tcPr>
          <w:p w14:paraId="2F2B1268" w14:textId="77777777" w:rsidR="002E474C" w:rsidRDefault="00000000">
            <w:pPr>
              <w:pStyle w:val="A-"/>
              <w:rPr>
                <w:lang w:val="zh-CN"/>
              </w:rPr>
            </w:pPr>
            <w:r>
              <w:rPr>
                <w:lang w:val="zh-CN"/>
              </w:rPr>
              <w:t>镉</w:t>
            </w:r>
          </w:p>
        </w:tc>
        <w:tc>
          <w:tcPr>
            <w:tcW w:w="1321" w:type="pct"/>
            <w:vAlign w:val="center"/>
          </w:tcPr>
          <w:p w14:paraId="226DEAF0" w14:textId="77777777" w:rsidR="002E474C" w:rsidRDefault="00000000">
            <w:pPr>
              <w:pStyle w:val="A-"/>
              <w:rPr>
                <w:lang w:val="zh-CN"/>
              </w:rPr>
            </w:pPr>
            <w:r>
              <w:rPr>
                <w:lang w:val="zh-CN"/>
              </w:rPr>
              <w:t>7440-43-9</w:t>
            </w:r>
          </w:p>
        </w:tc>
        <w:tc>
          <w:tcPr>
            <w:tcW w:w="1556" w:type="pct"/>
            <w:vAlign w:val="center"/>
          </w:tcPr>
          <w:p w14:paraId="6DDAB3C7" w14:textId="77777777" w:rsidR="002E474C" w:rsidRDefault="00000000">
            <w:pPr>
              <w:pStyle w:val="A-"/>
              <w:rPr>
                <w:lang w:val="zh-CN"/>
              </w:rPr>
            </w:pPr>
            <w:r>
              <w:rPr>
                <w:lang w:val="zh-CN"/>
              </w:rPr>
              <w:t>65</w:t>
            </w:r>
          </w:p>
        </w:tc>
      </w:tr>
      <w:tr w:rsidR="002E474C" w14:paraId="756A7B17" w14:textId="77777777">
        <w:trPr>
          <w:jc w:val="center"/>
        </w:trPr>
        <w:tc>
          <w:tcPr>
            <w:tcW w:w="427" w:type="pct"/>
            <w:vAlign w:val="center"/>
          </w:tcPr>
          <w:p w14:paraId="18F6EC0B" w14:textId="77777777" w:rsidR="002E474C" w:rsidRDefault="00000000">
            <w:pPr>
              <w:pStyle w:val="A-"/>
              <w:rPr>
                <w:lang w:val="zh-CN"/>
              </w:rPr>
            </w:pPr>
            <w:r>
              <w:rPr>
                <w:lang w:val="zh-CN"/>
              </w:rPr>
              <w:t>3</w:t>
            </w:r>
          </w:p>
        </w:tc>
        <w:tc>
          <w:tcPr>
            <w:tcW w:w="1697" w:type="pct"/>
            <w:vAlign w:val="center"/>
          </w:tcPr>
          <w:p w14:paraId="53CA0E21" w14:textId="77777777" w:rsidR="002E474C" w:rsidRDefault="00000000">
            <w:pPr>
              <w:pStyle w:val="A-"/>
              <w:rPr>
                <w:lang w:val="zh-CN"/>
              </w:rPr>
            </w:pPr>
            <w:r>
              <w:rPr>
                <w:lang w:val="zh-CN"/>
              </w:rPr>
              <w:t>铬（六价）</w:t>
            </w:r>
          </w:p>
        </w:tc>
        <w:tc>
          <w:tcPr>
            <w:tcW w:w="1321" w:type="pct"/>
            <w:vAlign w:val="center"/>
          </w:tcPr>
          <w:p w14:paraId="098CE14E" w14:textId="77777777" w:rsidR="002E474C" w:rsidRDefault="00000000">
            <w:pPr>
              <w:pStyle w:val="A-"/>
              <w:rPr>
                <w:lang w:val="zh-CN"/>
              </w:rPr>
            </w:pPr>
            <w:r>
              <w:rPr>
                <w:lang w:val="zh-CN"/>
              </w:rPr>
              <w:t>18540-29-9</w:t>
            </w:r>
          </w:p>
        </w:tc>
        <w:tc>
          <w:tcPr>
            <w:tcW w:w="1556" w:type="pct"/>
            <w:vAlign w:val="center"/>
          </w:tcPr>
          <w:p w14:paraId="7CAC3497" w14:textId="77777777" w:rsidR="002E474C" w:rsidRDefault="00000000">
            <w:pPr>
              <w:pStyle w:val="A-"/>
              <w:rPr>
                <w:lang w:val="zh-CN"/>
              </w:rPr>
            </w:pPr>
            <w:r>
              <w:rPr>
                <w:lang w:val="zh-CN"/>
              </w:rPr>
              <w:t>5.7</w:t>
            </w:r>
          </w:p>
        </w:tc>
      </w:tr>
      <w:tr w:rsidR="002E474C" w14:paraId="7D552403" w14:textId="77777777">
        <w:trPr>
          <w:jc w:val="center"/>
        </w:trPr>
        <w:tc>
          <w:tcPr>
            <w:tcW w:w="427" w:type="pct"/>
            <w:vAlign w:val="center"/>
          </w:tcPr>
          <w:p w14:paraId="11011379" w14:textId="77777777" w:rsidR="002E474C" w:rsidRDefault="00000000">
            <w:pPr>
              <w:pStyle w:val="A-"/>
              <w:rPr>
                <w:lang w:val="zh-CN"/>
              </w:rPr>
            </w:pPr>
            <w:r>
              <w:rPr>
                <w:lang w:val="zh-CN"/>
              </w:rPr>
              <w:t>4</w:t>
            </w:r>
          </w:p>
        </w:tc>
        <w:tc>
          <w:tcPr>
            <w:tcW w:w="1697" w:type="pct"/>
            <w:vAlign w:val="center"/>
          </w:tcPr>
          <w:p w14:paraId="7154D502" w14:textId="77777777" w:rsidR="002E474C" w:rsidRDefault="00000000">
            <w:pPr>
              <w:pStyle w:val="A-"/>
              <w:rPr>
                <w:lang w:val="zh-CN"/>
              </w:rPr>
            </w:pPr>
            <w:r>
              <w:rPr>
                <w:lang w:val="zh-CN"/>
              </w:rPr>
              <w:t>铜</w:t>
            </w:r>
          </w:p>
        </w:tc>
        <w:tc>
          <w:tcPr>
            <w:tcW w:w="1321" w:type="pct"/>
            <w:vAlign w:val="center"/>
          </w:tcPr>
          <w:p w14:paraId="5E7C9593" w14:textId="77777777" w:rsidR="002E474C" w:rsidRDefault="00000000">
            <w:pPr>
              <w:pStyle w:val="A-"/>
              <w:rPr>
                <w:lang w:val="zh-CN"/>
              </w:rPr>
            </w:pPr>
            <w:r>
              <w:rPr>
                <w:lang w:val="zh-CN"/>
              </w:rPr>
              <w:t>7440-50-8</w:t>
            </w:r>
          </w:p>
        </w:tc>
        <w:tc>
          <w:tcPr>
            <w:tcW w:w="1556" w:type="pct"/>
            <w:vAlign w:val="center"/>
          </w:tcPr>
          <w:p w14:paraId="6C831F50" w14:textId="77777777" w:rsidR="002E474C" w:rsidRDefault="00000000">
            <w:pPr>
              <w:pStyle w:val="A-"/>
              <w:rPr>
                <w:lang w:val="zh-CN"/>
              </w:rPr>
            </w:pPr>
            <w:r>
              <w:rPr>
                <w:lang w:val="zh-CN"/>
              </w:rPr>
              <w:t>18000</w:t>
            </w:r>
          </w:p>
        </w:tc>
      </w:tr>
      <w:tr w:rsidR="002E474C" w14:paraId="64A7DB2B" w14:textId="77777777">
        <w:trPr>
          <w:jc w:val="center"/>
        </w:trPr>
        <w:tc>
          <w:tcPr>
            <w:tcW w:w="427" w:type="pct"/>
            <w:vAlign w:val="center"/>
          </w:tcPr>
          <w:p w14:paraId="46539348" w14:textId="77777777" w:rsidR="002E474C" w:rsidRDefault="00000000">
            <w:pPr>
              <w:pStyle w:val="A-"/>
              <w:rPr>
                <w:lang w:val="zh-CN"/>
              </w:rPr>
            </w:pPr>
            <w:r>
              <w:rPr>
                <w:lang w:val="zh-CN"/>
              </w:rPr>
              <w:t>5</w:t>
            </w:r>
          </w:p>
        </w:tc>
        <w:tc>
          <w:tcPr>
            <w:tcW w:w="1697" w:type="pct"/>
            <w:vAlign w:val="center"/>
          </w:tcPr>
          <w:p w14:paraId="0F46054E" w14:textId="77777777" w:rsidR="002E474C" w:rsidRDefault="00000000">
            <w:pPr>
              <w:pStyle w:val="A-"/>
              <w:rPr>
                <w:lang w:val="zh-CN"/>
              </w:rPr>
            </w:pPr>
            <w:r>
              <w:rPr>
                <w:lang w:val="zh-CN"/>
              </w:rPr>
              <w:t>铅</w:t>
            </w:r>
          </w:p>
        </w:tc>
        <w:tc>
          <w:tcPr>
            <w:tcW w:w="1321" w:type="pct"/>
            <w:vAlign w:val="center"/>
          </w:tcPr>
          <w:p w14:paraId="0C463424" w14:textId="77777777" w:rsidR="002E474C" w:rsidRDefault="00000000">
            <w:pPr>
              <w:pStyle w:val="A-"/>
              <w:rPr>
                <w:lang w:val="zh-CN"/>
              </w:rPr>
            </w:pPr>
            <w:r>
              <w:rPr>
                <w:lang w:val="zh-CN"/>
              </w:rPr>
              <w:t>7439-92-1</w:t>
            </w:r>
          </w:p>
        </w:tc>
        <w:tc>
          <w:tcPr>
            <w:tcW w:w="1556" w:type="pct"/>
            <w:vAlign w:val="center"/>
          </w:tcPr>
          <w:p w14:paraId="7C4B0265" w14:textId="77777777" w:rsidR="002E474C" w:rsidRDefault="00000000">
            <w:pPr>
              <w:pStyle w:val="A-"/>
              <w:rPr>
                <w:lang w:val="zh-CN"/>
              </w:rPr>
            </w:pPr>
            <w:r>
              <w:rPr>
                <w:lang w:val="zh-CN"/>
              </w:rPr>
              <w:t>800</w:t>
            </w:r>
          </w:p>
        </w:tc>
      </w:tr>
      <w:tr w:rsidR="002E474C" w14:paraId="1A719E2A" w14:textId="77777777">
        <w:trPr>
          <w:jc w:val="center"/>
        </w:trPr>
        <w:tc>
          <w:tcPr>
            <w:tcW w:w="427" w:type="pct"/>
            <w:vAlign w:val="center"/>
          </w:tcPr>
          <w:p w14:paraId="168FF1D7" w14:textId="77777777" w:rsidR="002E474C" w:rsidRDefault="00000000">
            <w:pPr>
              <w:pStyle w:val="A-"/>
              <w:rPr>
                <w:lang w:val="zh-CN"/>
              </w:rPr>
            </w:pPr>
            <w:r>
              <w:rPr>
                <w:lang w:val="zh-CN"/>
              </w:rPr>
              <w:t>6</w:t>
            </w:r>
          </w:p>
        </w:tc>
        <w:tc>
          <w:tcPr>
            <w:tcW w:w="1697" w:type="pct"/>
            <w:vAlign w:val="center"/>
          </w:tcPr>
          <w:p w14:paraId="2B3D8A31" w14:textId="77777777" w:rsidR="002E474C" w:rsidRDefault="00000000">
            <w:pPr>
              <w:pStyle w:val="A-"/>
              <w:rPr>
                <w:lang w:val="zh-CN"/>
              </w:rPr>
            </w:pPr>
            <w:r>
              <w:rPr>
                <w:lang w:val="zh-CN"/>
              </w:rPr>
              <w:t>汞</w:t>
            </w:r>
          </w:p>
        </w:tc>
        <w:tc>
          <w:tcPr>
            <w:tcW w:w="1321" w:type="pct"/>
            <w:vAlign w:val="center"/>
          </w:tcPr>
          <w:p w14:paraId="72EB3F68" w14:textId="77777777" w:rsidR="002E474C" w:rsidRDefault="00000000">
            <w:pPr>
              <w:pStyle w:val="A-"/>
              <w:rPr>
                <w:lang w:val="zh-CN"/>
              </w:rPr>
            </w:pPr>
            <w:r>
              <w:rPr>
                <w:lang w:val="zh-CN"/>
              </w:rPr>
              <w:t>7439-97-6</w:t>
            </w:r>
          </w:p>
        </w:tc>
        <w:tc>
          <w:tcPr>
            <w:tcW w:w="1556" w:type="pct"/>
            <w:vAlign w:val="center"/>
          </w:tcPr>
          <w:p w14:paraId="45EC6F2B" w14:textId="77777777" w:rsidR="002E474C" w:rsidRDefault="00000000">
            <w:pPr>
              <w:pStyle w:val="A-"/>
              <w:rPr>
                <w:lang w:val="zh-CN"/>
              </w:rPr>
            </w:pPr>
            <w:r>
              <w:rPr>
                <w:lang w:val="zh-CN"/>
              </w:rPr>
              <w:t>38</w:t>
            </w:r>
          </w:p>
        </w:tc>
      </w:tr>
      <w:tr w:rsidR="002E474C" w14:paraId="5185449F" w14:textId="77777777">
        <w:trPr>
          <w:jc w:val="center"/>
        </w:trPr>
        <w:tc>
          <w:tcPr>
            <w:tcW w:w="427" w:type="pct"/>
            <w:vAlign w:val="center"/>
          </w:tcPr>
          <w:p w14:paraId="13CD670F" w14:textId="77777777" w:rsidR="002E474C" w:rsidRDefault="00000000">
            <w:pPr>
              <w:pStyle w:val="A-"/>
              <w:rPr>
                <w:lang w:val="zh-CN"/>
              </w:rPr>
            </w:pPr>
            <w:r>
              <w:rPr>
                <w:lang w:val="zh-CN"/>
              </w:rPr>
              <w:t>7</w:t>
            </w:r>
          </w:p>
        </w:tc>
        <w:tc>
          <w:tcPr>
            <w:tcW w:w="1697" w:type="pct"/>
            <w:vAlign w:val="center"/>
          </w:tcPr>
          <w:p w14:paraId="49F76DF6" w14:textId="77777777" w:rsidR="002E474C" w:rsidRDefault="00000000">
            <w:pPr>
              <w:pStyle w:val="A-"/>
              <w:rPr>
                <w:lang w:val="zh-CN"/>
              </w:rPr>
            </w:pPr>
            <w:r>
              <w:rPr>
                <w:lang w:val="zh-CN"/>
              </w:rPr>
              <w:t>镍</w:t>
            </w:r>
          </w:p>
        </w:tc>
        <w:tc>
          <w:tcPr>
            <w:tcW w:w="1321" w:type="pct"/>
            <w:vAlign w:val="center"/>
          </w:tcPr>
          <w:p w14:paraId="34424318" w14:textId="77777777" w:rsidR="002E474C" w:rsidRDefault="00000000">
            <w:pPr>
              <w:pStyle w:val="A-"/>
              <w:rPr>
                <w:lang w:val="zh-CN"/>
              </w:rPr>
            </w:pPr>
            <w:r>
              <w:rPr>
                <w:lang w:val="zh-CN"/>
              </w:rPr>
              <w:t>7440-02-0</w:t>
            </w:r>
          </w:p>
        </w:tc>
        <w:tc>
          <w:tcPr>
            <w:tcW w:w="1556" w:type="pct"/>
            <w:vAlign w:val="center"/>
          </w:tcPr>
          <w:p w14:paraId="6D14C98E" w14:textId="77777777" w:rsidR="002E474C" w:rsidRDefault="00000000">
            <w:pPr>
              <w:pStyle w:val="A-"/>
              <w:rPr>
                <w:lang w:val="zh-CN"/>
              </w:rPr>
            </w:pPr>
            <w:r>
              <w:rPr>
                <w:lang w:val="zh-CN"/>
              </w:rPr>
              <w:t>900</w:t>
            </w:r>
          </w:p>
        </w:tc>
      </w:tr>
      <w:tr w:rsidR="002E474C" w14:paraId="09EFA323" w14:textId="77777777">
        <w:trPr>
          <w:jc w:val="center"/>
        </w:trPr>
        <w:tc>
          <w:tcPr>
            <w:tcW w:w="5000" w:type="pct"/>
            <w:gridSpan w:val="4"/>
            <w:vAlign w:val="center"/>
          </w:tcPr>
          <w:p w14:paraId="00A6614E" w14:textId="77777777" w:rsidR="002E474C" w:rsidRDefault="00000000">
            <w:pPr>
              <w:pStyle w:val="A-"/>
              <w:rPr>
                <w:lang w:val="zh-CN"/>
              </w:rPr>
            </w:pPr>
            <w:r>
              <w:rPr>
                <w:lang w:val="zh-CN"/>
              </w:rPr>
              <w:t>挥发性有机物</w:t>
            </w:r>
          </w:p>
        </w:tc>
      </w:tr>
      <w:tr w:rsidR="002E474C" w14:paraId="6F3351A9" w14:textId="77777777">
        <w:trPr>
          <w:jc w:val="center"/>
        </w:trPr>
        <w:tc>
          <w:tcPr>
            <w:tcW w:w="427" w:type="pct"/>
            <w:vAlign w:val="center"/>
          </w:tcPr>
          <w:p w14:paraId="4952393A" w14:textId="77777777" w:rsidR="002E474C" w:rsidRDefault="00000000">
            <w:pPr>
              <w:pStyle w:val="A-"/>
              <w:rPr>
                <w:lang w:val="zh-CN"/>
              </w:rPr>
            </w:pPr>
            <w:r>
              <w:rPr>
                <w:lang w:val="zh-CN"/>
              </w:rPr>
              <w:t>8</w:t>
            </w:r>
          </w:p>
        </w:tc>
        <w:tc>
          <w:tcPr>
            <w:tcW w:w="1697" w:type="pct"/>
            <w:vAlign w:val="center"/>
          </w:tcPr>
          <w:p w14:paraId="726A3E4C" w14:textId="77777777" w:rsidR="002E474C" w:rsidRDefault="00000000">
            <w:pPr>
              <w:pStyle w:val="A-"/>
              <w:rPr>
                <w:lang w:val="zh-CN"/>
              </w:rPr>
            </w:pPr>
            <w:r>
              <w:rPr>
                <w:lang w:val="zh-CN"/>
              </w:rPr>
              <w:t>四氯化碳</w:t>
            </w:r>
          </w:p>
        </w:tc>
        <w:tc>
          <w:tcPr>
            <w:tcW w:w="1321" w:type="pct"/>
            <w:vAlign w:val="center"/>
          </w:tcPr>
          <w:p w14:paraId="70E4D20F" w14:textId="77777777" w:rsidR="002E474C" w:rsidRDefault="00000000">
            <w:pPr>
              <w:pStyle w:val="A-"/>
              <w:rPr>
                <w:lang w:val="zh-CN"/>
              </w:rPr>
            </w:pPr>
            <w:r>
              <w:rPr>
                <w:lang w:val="zh-CN"/>
              </w:rPr>
              <w:t>56-23-5</w:t>
            </w:r>
          </w:p>
        </w:tc>
        <w:tc>
          <w:tcPr>
            <w:tcW w:w="1556" w:type="pct"/>
            <w:vAlign w:val="center"/>
          </w:tcPr>
          <w:p w14:paraId="155B6B62" w14:textId="77777777" w:rsidR="002E474C" w:rsidRDefault="00000000">
            <w:pPr>
              <w:pStyle w:val="A-"/>
              <w:rPr>
                <w:lang w:val="zh-CN"/>
              </w:rPr>
            </w:pPr>
            <w:r>
              <w:rPr>
                <w:lang w:val="zh-CN"/>
              </w:rPr>
              <w:t>2.8</w:t>
            </w:r>
          </w:p>
        </w:tc>
      </w:tr>
      <w:tr w:rsidR="002E474C" w14:paraId="4B9DCE77" w14:textId="77777777">
        <w:trPr>
          <w:jc w:val="center"/>
        </w:trPr>
        <w:tc>
          <w:tcPr>
            <w:tcW w:w="427" w:type="pct"/>
            <w:vAlign w:val="center"/>
          </w:tcPr>
          <w:p w14:paraId="1ED0B00A" w14:textId="77777777" w:rsidR="002E474C" w:rsidRDefault="00000000">
            <w:pPr>
              <w:pStyle w:val="A-"/>
              <w:rPr>
                <w:lang w:val="zh-CN"/>
              </w:rPr>
            </w:pPr>
            <w:r>
              <w:rPr>
                <w:lang w:val="zh-CN"/>
              </w:rPr>
              <w:t>9</w:t>
            </w:r>
          </w:p>
        </w:tc>
        <w:tc>
          <w:tcPr>
            <w:tcW w:w="1697" w:type="pct"/>
            <w:vAlign w:val="center"/>
          </w:tcPr>
          <w:p w14:paraId="46FE3BFC" w14:textId="77777777" w:rsidR="002E474C" w:rsidRDefault="00000000">
            <w:pPr>
              <w:pStyle w:val="A-"/>
              <w:rPr>
                <w:lang w:val="zh-CN"/>
              </w:rPr>
            </w:pPr>
            <w:r>
              <w:rPr>
                <w:lang w:val="zh-CN"/>
              </w:rPr>
              <w:t>氯仿</w:t>
            </w:r>
          </w:p>
        </w:tc>
        <w:tc>
          <w:tcPr>
            <w:tcW w:w="1321" w:type="pct"/>
            <w:vAlign w:val="center"/>
          </w:tcPr>
          <w:p w14:paraId="22500FE9" w14:textId="77777777" w:rsidR="002E474C" w:rsidRDefault="00000000">
            <w:pPr>
              <w:pStyle w:val="A-"/>
              <w:rPr>
                <w:lang w:val="zh-CN"/>
              </w:rPr>
            </w:pPr>
            <w:r>
              <w:rPr>
                <w:lang w:val="zh-CN"/>
              </w:rPr>
              <w:t>67-66-3</w:t>
            </w:r>
          </w:p>
        </w:tc>
        <w:tc>
          <w:tcPr>
            <w:tcW w:w="1556" w:type="pct"/>
            <w:vAlign w:val="center"/>
          </w:tcPr>
          <w:p w14:paraId="747F1D8E" w14:textId="77777777" w:rsidR="002E474C" w:rsidRDefault="00000000">
            <w:pPr>
              <w:pStyle w:val="A-"/>
              <w:rPr>
                <w:lang w:val="zh-CN"/>
              </w:rPr>
            </w:pPr>
            <w:r>
              <w:rPr>
                <w:lang w:val="zh-CN"/>
              </w:rPr>
              <w:t>0.9</w:t>
            </w:r>
          </w:p>
        </w:tc>
      </w:tr>
      <w:tr w:rsidR="002E474C" w14:paraId="34C05E53" w14:textId="77777777">
        <w:trPr>
          <w:jc w:val="center"/>
        </w:trPr>
        <w:tc>
          <w:tcPr>
            <w:tcW w:w="427" w:type="pct"/>
            <w:vAlign w:val="center"/>
          </w:tcPr>
          <w:p w14:paraId="00068B11" w14:textId="77777777" w:rsidR="002E474C" w:rsidRDefault="00000000">
            <w:pPr>
              <w:pStyle w:val="A-"/>
              <w:rPr>
                <w:lang w:val="zh-CN"/>
              </w:rPr>
            </w:pPr>
            <w:r>
              <w:rPr>
                <w:lang w:val="zh-CN"/>
              </w:rPr>
              <w:t>10</w:t>
            </w:r>
          </w:p>
        </w:tc>
        <w:tc>
          <w:tcPr>
            <w:tcW w:w="1697" w:type="pct"/>
            <w:vAlign w:val="center"/>
          </w:tcPr>
          <w:p w14:paraId="1611CADE" w14:textId="77777777" w:rsidR="002E474C" w:rsidRDefault="00000000">
            <w:pPr>
              <w:pStyle w:val="A-"/>
              <w:rPr>
                <w:lang w:val="zh-CN"/>
              </w:rPr>
            </w:pPr>
            <w:r>
              <w:rPr>
                <w:lang w:val="zh-CN"/>
              </w:rPr>
              <w:t>氯甲烷</w:t>
            </w:r>
          </w:p>
        </w:tc>
        <w:tc>
          <w:tcPr>
            <w:tcW w:w="1321" w:type="pct"/>
            <w:vAlign w:val="center"/>
          </w:tcPr>
          <w:p w14:paraId="43A06943" w14:textId="77777777" w:rsidR="002E474C" w:rsidRDefault="00000000">
            <w:pPr>
              <w:pStyle w:val="A-"/>
              <w:rPr>
                <w:lang w:val="zh-CN"/>
              </w:rPr>
            </w:pPr>
            <w:r>
              <w:rPr>
                <w:lang w:val="zh-CN"/>
              </w:rPr>
              <w:t>74-87-3</w:t>
            </w:r>
          </w:p>
        </w:tc>
        <w:tc>
          <w:tcPr>
            <w:tcW w:w="1556" w:type="pct"/>
            <w:vAlign w:val="center"/>
          </w:tcPr>
          <w:p w14:paraId="7BF302D3" w14:textId="77777777" w:rsidR="002E474C" w:rsidRDefault="00000000">
            <w:pPr>
              <w:pStyle w:val="A-"/>
              <w:rPr>
                <w:lang w:val="zh-CN"/>
              </w:rPr>
            </w:pPr>
            <w:r>
              <w:rPr>
                <w:lang w:val="zh-CN"/>
              </w:rPr>
              <w:t>37</w:t>
            </w:r>
          </w:p>
        </w:tc>
      </w:tr>
      <w:tr w:rsidR="002E474C" w14:paraId="19B21FEC" w14:textId="77777777">
        <w:trPr>
          <w:jc w:val="center"/>
        </w:trPr>
        <w:tc>
          <w:tcPr>
            <w:tcW w:w="427" w:type="pct"/>
            <w:vAlign w:val="center"/>
          </w:tcPr>
          <w:p w14:paraId="52EF71CA" w14:textId="77777777" w:rsidR="002E474C" w:rsidRDefault="00000000">
            <w:pPr>
              <w:pStyle w:val="A-"/>
              <w:rPr>
                <w:lang w:val="zh-CN"/>
              </w:rPr>
            </w:pPr>
            <w:r>
              <w:rPr>
                <w:lang w:val="zh-CN"/>
              </w:rPr>
              <w:t>11</w:t>
            </w:r>
          </w:p>
        </w:tc>
        <w:tc>
          <w:tcPr>
            <w:tcW w:w="1697" w:type="pct"/>
            <w:vAlign w:val="center"/>
          </w:tcPr>
          <w:p w14:paraId="46ED31D7" w14:textId="77777777" w:rsidR="002E474C" w:rsidRDefault="00000000">
            <w:pPr>
              <w:pStyle w:val="A-"/>
              <w:rPr>
                <w:lang w:val="zh-CN"/>
              </w:rPr>
            </w:pPr>
            <w:r>
              <w:rPr>
                <w:lang w:val="zh-CN"/>
              </w:rPr>
              <w:t>1,1-</w:t>
            </w:r>
            <w:r>
              <w:rPr>
                <w:lang w:val="zh-CN"/>
              </w:rPr>
              <w:t>二氯乙烷</w:t>
            </w:r>
          </w:p>
        </w:tc>
        <w:tc>
          <w:tcPr>
            <w:tcW w:w="1321" w:type="pct"/>
            <w:vAlign w:val="center"/>
          </w:tcPr>
          <w:p w14:paraId="149DEEAF" w14:textId="77777777" w:rsidR="002E474C" w:rsidRDefault="00000000">
            <w:pPr>
              <w:pStyle w:val="A-"/>
              <w:rPr>
                <w:lang w:val="zh-CN"/>
              </w:rPr>
            </w:pPr>
            <w:r>
              <w:rPr>
                <w:lang w:val="zh-CN"/>
              </w:rPr>
              <w:t>75-34-3</w:t>
            </w:r>
          </w:p>
        </w:tc>
        <w:tc>
          <w:tcPr>
            <w:tcW w:w="1556" w:type="pct"/>
            <w:vAlign w:val="center"/>
          </w:tcPr>
          <w:p w14:paraId="09DA606E" w14:textId="77777777" w:rsidR="002E474C" w:rsidRDefault="00000000">
            <w:pPr>
              <w:pStyle w:val="A-"/>
              <w:rPr>
                <w:lang w:val="zh-CN"/>
              </w:rPr>
            </w:pPr>
            <w:r>
              <w:rPr>
                <w:lang w:val="zh-CN"/>
              </w:rPr>
              <w:t>9</w:t>
            </w:r>
          </w:p>
        </w:tc>
      </w:tr>
      <w:tr w:rsidR="002E474C" w14:paraId="108BFF1D" w14:textId="77777777">
        <w:trPr>
          <w:jc w:val="center"/>
        </w:trPr>
        <w:tc>
          <w:tcPr>
            <w:tcW w:w="427" w:type="pct"/>
            <w:vAlign w:val="center"/>
          </w:tcPr>
          <w:p w14:paraId="617F70E8" w14:textId="77777777" w:rsidR="002E474C" w:rsidRDefault="00000000">
            <w:pPr>
              <w:pStyle w:val="A-"/>
              <w:rPr>
                <w:lang w:val="zh-CN"/>
              </w:rPr>
            </w:pPr>
            <w:r>
              <w:rPr>
                <w:lang w:val="zh-CN"/>
              </w:rPr>
              <w:t>12</w:t>
            </w:r>
          </w:p>
        </w:tc>
        <w:tc>
          <w:tcPr>
            <w:tcW w:w="1697" w:type="pct"/>
            <w:vAlign w:val="center"/>
          </w:tcPr>
          <w:p w14:paraId="711B5BC1" w14:textId="77777777" w:rsidR="002E474C" w:rsidRDefault="00000000">
            <w:pPr>
              <w:pStyle w:val="A-"/>
              <w:rPr>
                <w:lang w:val="zh-CN"/>
              </w:rPr>
            </w:pPr>
            <w:r>
              <w:rPr>
                <w:lang w:val="zh-CN"/>
              </w:rPr>
              <w:t>1,2-</w:t>
            </w:r>
            <w:r>
              <w:rPr>
                <w:lang w:val="zh-CN"/>
              </w:rPr>
              <w:t>二氯乙烷</w:t>
            </w:r>
          </w:p>
        </w:tc>
        <w:tc>
          <w:tcPr>
            <w:tcW w:w="1321" w:type="pct"/>
            <w:vAlign w:val="center"/>
          </w:tcPr>
          <w:p w14:paraId="419BF565" w14:textId="77777777" w:rsidR="002E474C" w:rsidRDefault="00000000">
            <w:pPr>
              <w:pStyle w:val="A-"/>
              <w:rPr>
                <w:lang w:val="zh-CN"/>
              </w:rPr>
            </w:pPr>
            <w:r>
              <w:rPr>
                <w:lang w:val="zh-CN"/>
              </w:rPr>
              <w:t>107-06-2</w:t>
            </w:r>
          </w:p>
        </w:tc>
        <w:tc>
          <w:tcPr>
            <w:tcW w:w="1556" w:type="pct"/>
            <w:vAlign w:val="center"/>
          </w:tcPr>
          <w:p w14:paraId="17220E51" w14:textId="77777777" w:rsidR="002E474C" w:rsidRDefault="00000000">
            <w:pPr>
              <w:pStyle w:val="A-"/>
              <w:rPr>
                <w:lang w:val="zh-CN"/>
              </w:rPr>
            </w:pPr>
            <w:r>
              <w:rPr>
                <w:lang w:val="zh-CN"/>
              </w:rPr>
              <w:t>5</w:t>
            </w:r>
          </w:p>
        </w:tc>
      </w:tr>
      <w:tr w:rsidR="002E474C" w14:paraId="55F36D20" w14:textId="77777777">
        <w:trPr>
          <w:jc w:val="center"/>
        </w:trPr>
        <w:tc>
          <w:tcPr>
            <w:tcW w:w="427" w:type="pct"/>
            <w:vAlign w:val="center"/>
          </w:tcPr>
          <w:p w14:paraId="65C6AC29" w14:textId="77777777" w:rsidR="002E474C" w:rsidRDefault="00000000">
            <w:pPr>
              <w:pStyle w:val="A-"/>
              <w:rPr>
                <w:lang w:val="zh-CN"/>
              </w:rPr>
            </w:pPr>
            <w:r>
              <w:rPr>
                <w:lang w:val="zh-CN"/>
              </w:rPr>
              <w:t>13</w:t>
            </w:r>
          </w:p>
        </w:tc>
        <w:tc>
          <w:tcPr>
            <w:tcW w:w="1697" w:type="pct"/>
            <w:vAlign w:val="center"/>
          </w:tcPr>
          <w:p w14:paraId="11C79CAE" w14:textId="77777777" w:rsidR="002E474C" w:rsidRDefault="00000000">
            <w:pPr>
              <w:pStyle w:val="A-"/>
              <w:rPr>
                <w:lang w:val="zh-CN"/>
              </w:rPr>
            </w:pPr>
            <w:r>
              <w:rPr>
                <w:lang w:val="zh-CN"/>
              </w:rPr>
              <w:t>1,1-</w:t>
            </w:r>
            <w:r>
              <w:rPr>
                <w:lang w:val="zh-CN"/>
              </w:rPr>
              <w:t>二氯乙烯</w:t>
            </w:r>
          </w:p>
        </w:tc>
        <w:tc>
          <w:tcPr>
            <w:tcW w:w="1321" w:type="pct"/>
            <w:vAlign w:val="center"/>
          </w:tcPr>
          <w:p w14:paraId="31D27563" w14:textId="77777777" w:rsidR="002E474C" w:rsidRDefault="00000000">
            <w:pPr>
              <w:pStyle w:val="A-"/>
              <w:rPr>
                <w:lang w:val="zh-CN"/>
              </w:rPr>
            </w:pPr>
            <w:r>
              <w:rPr>
                <w:lang w:val="zh-CN"/>
              </w:rPr>
              <w:t>75-35-4</w:t>
            </w:r>
          </w:p>
        </w:tc>
        <w:tc>
          <w:tcPr>
            <w:tcW w:w="1556" w:type="pct"/>
            <w:vAlign w:val="center"/>
          </w:tcPr>
          <w:p w14:paraId="71EE16F3" w14:textId="77777777" w:rsidR="002E474C" w:rsidRDefault="00000000">
            <w:pPr>
              <w:pStyle w:val="A-"/>
              <w:rPr>
                <w:lang w:val="zh-CN"/>
              </w:rPr>
            </w:pPr>
            <w:r>
              <w:rPr>
                <w:lang w:val="zh-CN"/>
              </w:rPr>
              <w:t>66</w:t>
            </w:r>
          </w:p>
        </w:tc>
      </w:tr>
      <w:tr w:rsidR="002E474C" w14:paraId="7E6D0E71" w14:textId="77777777">
        <w:trPr>
          <w:jc w:val="center"/>
        </w:trPr>
        <w:tc>
          <w:tcPr>
            <w:tcW w:w="427" w:type="pct"/>
            <w:vAlign w:val="center"/>
          </w:tcPr>
          <w:p w14:paraId="76AE4069" w14:textId="77777777" w:rsidR="002E474C" w:rsidRDefault="00000000">
            <w:pPr>
              <w:pStyle w:val="A-"/>
              <w:rPr>
                <w:lang w:val="zh-CN"/>
              </w:rPr>
            </w:pPr>
            <w:r>
              <w:rPr>
                <w:lang w:val="zh-CN"/>
              </w:rPr>
              <w:t>14</w:t>
            </w:r>
          </w:p>
        </w:tc>
        <w:tc>
          <w:tcPr>
            <w:tcW w:w="1697" w:type="pct"/>
            <w:vAlign w:val="center"/>
          </w:tcPr>
          <w:p w14:paraId="15E9E98B" w14:textId="77777777" w:rsidR="002E474C" w:rsidRDefault="00000000">
            <w:pPr>
              <w:pStyle w:val="A-"/>
              <w:rPr>
                <w:lang w:val="zh-CN"/>
              </w:rPr>
            </w:pPr>
            <w:r>
              <w:rPr>
                <w:lang w:val="zh-CN"/>
              </w:rPr>
              <w:t>顺</w:t>
            </w:r>
            <w:r>
              <w:rPr>
                <w:lang w:val="zh-CN"/>
              </w:rPr>
              <w:t>-1,2-</w:t>
            </w:r>
            <w:r>
              <w:rPr>
                <w:lang w:val="zh-CN"/>
              </w:rPr>
              <w:t>二氯乙烯</w:t>
            </w:r>
          </w:p>
        </w:tc>
        <w:tc>
          <w:tcPr>
            <w:tcW w:w="1321" w:type="pct"/>
            <w:vAlign w:val="center"/>
          </w:tcPr>
          <w:p w14:paraId="49B13477" w14:textId="77777777" w:rsidR="002E474C" w:rsidRDefault="00000000">
            <w:pPr>
              <w:pStyle w:val="A-"/>
              <w:rPr>
                <w:lang w:val="zh-CN"/>
              </w:rPr>
            </w:pPr>
            <w:r>
              <w:rPr>
                <w:lang w:val="zh-CN"/>
              </w:rPr>
              <w:t>156-59-2</w:t>
            </w:r>
          </w:p>
        </w:tc>
        <w:tc>
          <w:tcPr>
            <w:tcW w:w="1556" w:type="pct"/>
            <w:vAlign w:val="center"/>
          </w:tcPr>
          <w:p w14:paraId="2E369133" w14:textId="77777777" w:rsidR="002E474C" w:rsidRDefault="00000000">
            <w:pPr>
              <w:pStyle w:val="A-"/>
              <w:rPr>
                <w:lang w:val="zh-CN"/>
              </w:rPr>
            </w:pPr>
            <w:r>
              <w:rPr>
                <w:lang w:val="zh-CN"/>
              </w:rPr>
              <w:t>596</w:t>
            </w:r>
          </w:p>
        </w:tc>
      </w:tr>
      <w:tr w:rsidR="002E474C" w14:paraId="41F94124" w14:textId="77777777">
        <w:trPr>
          <w:jc w:val="center"/>
        </w:trPr>
        <w:tc>
          <w:tcPr>
            <w:tcW w:w="427" w:type="pct"/>
            <w:vAlign w:val="center"/>
          </w:tcPr>
          <w:p w14:paraId="38CFF8BE" w14:textId="77777777" w:rsidR="002E474C" w:rsidRDefault="00000000">
            <w:pPr>
              <w:pStyle w:val="A-"/>
              <w:rPr>
                <w:lang w:val="zh-CN"/>
              </w:rPr>
            </w:pPr>
            <w:r>
              <w:rPr>
                <w:lang w:val="zh-CN"/>
              </w:rPr>
              <w:t>15</w:t>
            </w:r>
          </w:p>
        </w:tc>
        <w:tc>
          <w:tcPr>
            <w:tcW w:w="1697" w:type="pct"/>
            <w:vAlign w:val="center"/>
          </w:tcPr>
          <w:p w14:paraId="1D8655E3" w14:textId="77777777" w:rsidR="002E474C" w:rsidRDefault="00000000">
            <w:pPr>
              <w:pStyle w:val="A-"/>
              <w:rPr>
                <w:lang w:val="zh-CN"/>
              </w:rPr>
            </w:pPr>
            <w:r>
              <w:rPr>
                <w:lang w:val="zh-CN"/>
              </w:rPr>
              <w:t>反</w:t>
            </w:r>
            <w:r>
              <w:rPr>
                <w:lang w:val="zh-CN"/>
              </w:rPr>
              <w:t>-1,2-</w:t>
            </w:r>
            <w:r>
              <w:rPr>
                <w:lang w:val="zh-CN"/>
              </w:rPr>
              <w:t>二氯乙烯</w:t>
            </w:r>
          </w:p>
        </w:tc>
        <w:tc>
          <w:tcPr>
            <w:tcW w:w="1321" w:type="pct"/>
            <w:vAlign w:val="center"/>
          </w:tcPr>
          <w:p w14:paraId="4599962B" w14:textId="77777777" w:rsidR="002E474C" w:rsidRDefault="00000000">
            <w:pPr>
              <w:pStyle w:val="A-"/>
              <w:rPr>
                <w:lang w:val="zh-CN"/>
              </w:rPr>
            </w:pPr>
            <w:r>
              <w:rPr>
                <w:lang w:val="zh-CN"/>
              </w:rPr>
              <w:t>156-60-5</w:t>
            </w:r>
          </w:p>
        </w:tc>
        <w:tc>
          <w:tcPr>
            <w:tcW w:w="1556" w:type="pct"/>
            <w:vAlign w:val="center"/>
          </w:tcPr>
          <w:p w14:paraId="3022CC02" w14:textId="77777777" w:rsidR="002E474C" w:rsidRDefault="00000000">
            <w:pPr>
              <w:pStyle w:val="A-"/>
              <w:rPr>
                <w:lang w:val="zh-CN"/>
              </w:rPr>
            </w:pPr>
            <w:r>
              <w:rPr>
                <w:lang w:val="zh-CN"/>
              </w:rPr>
              <w:t>54</w:t>
            </w:r>
          </w:p>
        </w:tc>
      </w:tr>
      <w:tr w:rsidR="002E474C" w14:paraId="2DFAF9E5" w14:textId="77777777">
        <w:trPr>
          <w:jc w:val="center"/>
        </w:trPr>
        <w:tc>
          <w:tcPr>
            <w:tcW w:w="427" w:type="pct"/>
            <w:vAlign w:val="center"/>
          </w:tcPr>
          <w:p w14:paraId="1244E8CF" w14:textId="77777777" w:rsidR="002E474C" w:rsidRDefault="00000000">
            <w:pPr>
              <w:pStyle w:val="A-"/>
              <w:rPr>
                <w:lang w:val="zh-CN"/>
              </w:rPr>
            </w:pPr>
            <w:r>
              <w:rPr>
                <w:lang w:val="zh-CN"/>
              </w:rPr>
              <w:t>16</w:t>
            </w:r>
          </w:p>
        </w:tc>
        <w:tc>
          <w:tcPr>
            <w:tcW w:w="1697" w:type="pct"/>
            <w:vAlign w:val="center"/>
          </w:tcPr>
          <w:p w14:paraId="78A401CC" w14:textId="77777777" w:rsidR="002E474C" w:rsidRDefault="00000000">
            <w:pPr>
              <w:pStyle w:val="A-"/>
              <w:rPr>
                <w:lang w:val="zh-CN"/>
              </w:rPr>
            </w:pPr>
            <w:r>
              <w:rPr>
                <w:lang w:val="zh-CN"/>
              </w:rPr>
              <w:t>二氯甲烷</w:t>
            </w:r>
          </w:p>
        </w:tc>
        <w:tc>
          <w:tcPr>
            <w:tcW w:w="1321" w:type="pct"/>
            <w:vAlign w:val="center"/>
          </w:tcPr>
          <w:p w14:paraId="46E5DC94" w14:textId="77777777" w:rsidR="002E474C" w:rsidRDefault="00000000">
            <w:pPr>
              <w:pStyle w:val="A-"/>
              <w:rPr>
                <w:lang w:val="zh-CN"/>
              </w:rPr>
            </w:pPr>
            <w:r>
              <w:rPr>
                <w:lang w:val="zh-CN"/>
              </w:rPr>
              <w:t>27639</w:t>
            </w:r>
          </w:p>
        </w:tc>
        <w:tc>
          <w:tcPr>
            <w:tcW w:w="1556" w:type="pct"/>
            <w:vAlign w:val="center"/>
          </w:tcPr>
          <w:p w14:paraId="7B4C0223" w14:textId="77777777" w:rsidR="002E474C" w:rsidRDefault="00000000">
            <w:pPr>
              <w:pStyle w:val="A-"/>
              <w:rPr>
                <w:lang w:val="zh-CN"/>
              </w:rPr>
            </w:pPr>
            <w:r>
              <w:rPr>
                <w:lang w:val="zh-CN"/>
              </w:rPr>
              <w:t>616</w:t>
            </w:r>
          </w:p>
        </w:tc>
      </w:tr>
      <w:tr w:rsidR="002E474C" w14:paraId="456C6059" w14:textId="77777777">
        <w:trPr>
          <w:jc w:val="center"/>
        </w:trPr>
        <w:tc>
          <w:tcPr>
            <w:tcW w:w="427" w:type="pct"/>
            <w:vAlign w:val="center"/>
          </w:tcPr>
          <w:p w14:paraId="10517F5D" w14:textId="77777777" w:rsidR="002E474C" w:rsidRDefault="00000000">
            <w:pPr>
              <w:pStyle w:val="A-"/>
              <w:rPr>
                <w:lang w:val="zh-CN"/>
              </w:rPr>
            </w:pPr>
            <w:r>
              <w:rPr>
                <w:lang w:val="zh-CN"/>
              </w:rPr>
              <w:t>17</w:t>
            </w:r>
          </w:p>
        </w:tc>
        <w:tc>
          <w:tcPr>
            <w:tcW w:w="1697" w:type="pct"/>
            <w:vAlign w:val="center"/>
          </w:tcPr>
          <w:p w14:paraId="218FDCF7" w14:textId="77777777" w:rsidR="002E474C" w:rsidRDefault="00000000">
            <w:pPr>
              <w:pStyle w:val="A-"/>
              <w:rPr>
                <w:lang w:val="zh-CN"/>
              </w:rPr>
            </w:pPr>
            <w:r>
              <w:rPr>
                <w:lang w:val="zh-CN"/>
              </w:rPr>
              <w:t>1,2-</w:t>
            </w:r>
            <w:r>
              <w:rPr>
                <w:lang w:val="zh-CN"/>
              </w:rPr>
              <w:t>二氯丙烷</w:t>
            </w:r>
          </w:p>
        </w:tc>
        <w:tc>
          <w:tcPr>
            <w:tcW w:w="1321" w:type="pct"/>
            <w:vAlign w:val="center"/>
          </w:tcPr>
          <w:p w14:paraId="271CC2D4" w14:textId="77777777" w:rsidR="002E474C" w:rsidRDefault="00000000">
            <w:pPr>
              <w:pStyle w:val="A-"/>
              <w:rPr>
                <w:lang w:val="zh-CN"/>
              </w:rPr>
            </w:pPr>
            <w:r>
              <w:rPr>
                <w:lang w:val="zh-CN"/>
              </w:rPr>
              <w:t>78-87-5</w:t>
            </w:r>
          </w:p>
        </w:tc>
        <w:tc>
          <w:tcPr>
            <w:tcW w:w="1556" w:type="pct"/>
            <w:vAlign w:val="center"/>
          </w:tcPr>
          <w:p w14:paraId="156B035A" w14:textId="77777777" w:rsidR="002E474C" w:rsidRDefault="00000000">
            <w:pPr>
              <w:pStyle w:val="A-"/>
              <w:rPr>
                <w:lang w:val="zh-CN"/>
              </w:rPr>
            </w:pPr>
            <w:r>
              <w:rPr>
                <w:lang w:val="zh-CN"/>
              </w:rPr>
              <w:t>5</w:t>
            </w:r>
          </w:p>
        </w:tc>
      </w:tr>
      <w:tr w:rsidR="002E474C" w14:paraId="38FDF94E" w14:textId="77777777">
        <w:trPr>
          <w:jc w:val="center"/>
        </w:trPr>
        <w:tc>
          <w:tcPr>
            <w:tcW w:w="427" w:type="pct"/>
            <w:vAlign w:val="center"/>
          </w:tcPr>
          <w:p w14:paraId="69B90933" w14:textId="77777777" w:rsidR="002E474C" w:rsidRDefault="00000000">
            <w:pPr>
              <w:pStyle w:val="A-"/>
              <w:rPr>
                <w:lang w:val="zh-CN"/>
              </w:rPr>
            </w:pPr>
            <w:r>
              <w:rPr>
                <w:lang w:val="zh-CN"/>
              </w:rPr>
              <w:t>18</w:t>
            </w:r>
          </w:p>
        </w:tc>
        <w:tc>
          <w:tcPr>
            <w:tcW w:w="1697" w:type="pct"/>
            <w:vAlign w:val="center"/>
          </w:tcPr>
          <w:p w14:paraId="7AA2E5AE" w14:textId="77777777" w:rsidR="002E474C" w:rsidRDefault="00000000">
            <w:pPr>
              <w:pStyle w:val="A-"/>
              <w:rPr>
                <w:lang w:val="zh-CN"/>
              </w:rPr>
            </w:pPr>
            <w:r>
              <w:rPr>
                <w:lang w:val="zh-CN"/>
              </w:rPr>
              <w:t>1,1,1,2-</w:t>
            </w:r>
            <w:r>
              <w:rPr>
                <w:lang w:val="zh-CN"/>
              </w:rPr>
              <w:t>四氯乙烷</w:t>
            </w:r>
          </w:p>
        </w:tc>
        <w:tc>
          <w:tcPr>
            <w:tcW w:w="1321" w:type="pct"/>
            <w:vAlign w:val="center"/>
          </w:tcPr>
          <w:p w14:paraId="56524397" w14:textId="77777777" w:rsidR="002E474C" w:rsidRDefault="00000000">
            <w:pPr>
              <w:pStyle w:val="A-"/>
              <w:rPr>
                <w:lang w:val="zh-CN"/>
              </w:rPr>
            </w:pPr>
            <w:r>
              <w:rPr>
                <w:lang w:val="zh-CN"/>
              </w:rPr>
              <w:t>630-20-6</w:t>
            </w:r>
          </w:p>
        </w:tc>
        <w:tc>
          <w:tcPr>
            <w:tcW w:w="1556" w:type="pct"/>
            <w:vAlign w:val="center"/>
          </w:tcPr>
          <w:p w14:paraId="2CF7C99B" w14:textId="77777777" w:rsidR="002E474C" w:rsidRDefault="00000000">
            <w:pPr>
              <w:pStyle w:val="A-"/>
              <w:rPr>
                <w:lang w:val="zh-CN"/>
              </w:rPr>
            </w:pPr>
            <w:r>
              <w:rPr>
                <w:lang w:val="zh-CN"/>
              </w:rPr>
              <w:t>10</w:t>
            </w:r>
          </w:p>
        </w:tc>
      </w:tr>
      <w:tr w:rsidR="002E474C" w14:paraId="4A928A52" w14:textId="77777777">
        <w:trPr>
          <w:jc w:val="center"/>
        </w:trPr>
        <w:tc>
          <w:tcPr>
            <w:tcW w:w="427" w:type="pct"/>
            <w:vAlign w:val="center"/>
          </w:tcPr>
          <w:p w14:paraId="0251EF72" w14:textId="77777777" w:rsidR="002E474C" w:rsidRDefault="00000000">
            <w:pPr>
              <w:pStyle w:val="A-"/>
              <w:rPr>
                <w:lang w:val="zh-CN"/>
              </w:rPr>
            </w:pPr>
            <w:r>
              <w:rPr>
                <w:lang w:val="zh-CN"/>
              </w:rPr>
              <w:t>19</w:t>
            </w:r>
          </w:p>
        </w:tc>
        <w:tc>
          <w:tcPr>
            <w:tcW w:w="1697" w:type="pct"/>
            <w:vAlign w:val="center"/>
          </w:tcPr>
          <w:p w14:paraId="1C5B8E2E" w14:textId="77777777" w:rsidR="002E474C" w:rsidRDefault="00000000">
            <w:pPr>
              <w:pStyle w:val="A-"/>
              <w:rPr>
                <w:lang w:val="zh-CN"/>
              </w:rPr>
            </w:pPr>
            <w:r>
              <w:rPr>
                <w:lang w:val="zh-CN"/>
              </w:rPr>
              <w:t>1,1,2,2-</w:t>
            </w:r>
            <w:r>
              <w:rPr>
                <w:lang w:val="zh-CN"/>
              </w:rPr>
              <w:t>四氯乙烷</w:t>
            </w:r>
          </w:p>
        </w:tc>
        <w:tc>
          <w:tcPr>
            <w:tcW w:w="1321" w:type="pct"/>
            <w:vAlign w:val="center"/>
          </w:tcPr>
          <w:p w14:paraId="7F6A432A" w14:textId="77777777" w:rsidR="002E474C" w:rsidRDefault="00000000">
            <w:pPr>
              <w:pStyle w:val="A-"/>
              <w:rPr>
                <w:lang w:val="zh-CN"/>
              </w:rPr>
            </w:pPr>
            <w:r>
              <w:rPr>
                <w:lang w:val="zh-CN"/>
              </w:rPr>
              <w:t>79-34-5</w:t>
            </w:r>
          </w:p>
        </w:tc>
        <w:tc>
          <w:tcPr>
            <w:tcW w:w="1556" w:type="pct"/>
            <w:vAlign w:val="center"/>
          </w:tcPr>
          <w:p w14:paraId="2A9FABE7" w14:textId="77777777" w:rsidR="002E474C" w:rsidRDefault="00000000">
            <w:pPr>
              <w:pStyle w:val="A-"/>
              <w:rPr>
                <w:lang w:val="zh-CN"/>
              </w:rPr>
            </w:pPr>
            <w:r>
              <w:rPr>
                <w:lang w:val="zh-CN"/>
              </w:rPr>
              <w:t>6.8</w:t>
            </w:r>
          </w:p>
        </w:tc>
      </w:tr>
      <w:tr w:rsidR="002E474C" w14:paraId="439B0607" w14:textId="77777777">
        <w:trPr>
          <w:jc w:val="center"/>
        </w:trPr>
        <w:tc>
          <w:tcPr>
            <w:tcW w:w="427" w:type="pct"/>
            <w:vAlign w:val="center"/>
          </w:tcPr>
          <w:p w14:paraId="72D1379D" w14:textId="77777777" w:rsidR="002E474C" w:rsidRDefault="00000000">
            <w:pPr>
              <w:pStyle w:val="A-"/>
              <w:rPr>
                <w:lang w:val="zh-CN"/>
              </w:rPr>
            </w:pPr>
            <w:r>
              <w:rPr>
                <w:lang w:val="zh-CN"/>
              </w:rPr>
              <w:t>20</w:t>
            </w:r>
          </w:p>
        </w:tc>
        <w:tc>
          <w:tcPr>
            <w:tcW w:w="1697" w:type="pct"/>
            <w:vAlign w:val="center"/>
          </w:tcPr>
          <w:p w14:paraId="5F4F7B58" w14:textId="77777777" w:rsidR="002E474C" w:rsidRDefault="00000000">
            <w:pPr>
              <w:pStyle w:val="A-"/>
              <w:rPr>
                <w:lang w:val="zh-CN"/>
              </w:rPr>
            </w:pPr>
            <w:r>
              <w:rPr>
                <w:lang w:val="zh-CN"/>
              </w:rPr>
              <w:t>四氯乙烯</w:t>
            </w:r>
          </w:p>
        </w:tc>
        <w:tc>
          <w:tcPr>
            <w:tcW w:w="1321" w:type="pct"/>
            <w:vAlign w:val="center"/>
          </w:tcPr>
          <w:p w14:paraId="073BBBCF" w14:textId="77777777" w:rsidR="002E474C" w:rsidRDefault="00000000">
            <w:pPr>
              <w:pStyle w:val="A-"/>
              <w:rPr>
                <w:lang w:val="zh-CN"/>
              </w:rPr>
            </w:pPr>
            <w:r>
              <w:rPr>
                <w:lang w:val="zh-CN"/>
              </w:rPr>
              <w:t>127-18-4</w:t>
            </w:r>
          </w:p>
        </w:tc>
        <w:tc>
          <w:tcPr>
            <w:tcW w:w="1556" w:type="pct"/>
            <w:vAlign w:val="center"/>
          </w:tcPr>
          <w:p w14:paraId="19A0A9B3" w14:textId="77777777" w:rsidR="002E474C" w:rsidRDefault="00000000">
            <w:pPr>
              <w:pStyle w:val="A-"/>
              <w:rPr>
                <w:lang w:val="zh-CN"/>
              </w:rPr>
            </w:pPr>
            <w:r>
              <w:rPr>
                <w:lang w:val="zh-CN"/>
              </w:rPr>
              <w:t>53</w:t>
            </w:r>
          </w:p>
        </w:tc>
      </w:tr>
      <w:tr w:rsidR="002E474C" w14:paraId="28D15351" w14:textId="77777777">
        <w:trPr>
          <w:jc w:val="center"/>
        </w:trPr>
        <w:tc>
          <w:tcPr>
            <w:tcW w:w="427" w:type="pct"/>
            <w:vAlign w:val="center"/>
          </w:tcPr>
          <w:p w14:paraId="2D4317C1" w14:textId="77777777" w:rsidR="002E474C" w:rsidRDefault="00000000">
            <w:pPr>
              <w:pStyle w:val="A-"/>
              <w:rPr>
                <w:lang w:val="zh-CN"/>
              </w:rPr>
            </w:pPr>
            <w:r>
              <w:rPr>
                <w:lang w:val="zh-CN"/>
              </w:rPr>
              <w:t>21</w:t>
            </w:r>
          </w:p>
        </w:tc>
        <w:tc>
          <w:tcPr>
            <w:tcW w:w="1697" w:type="pct"/>
            <w:vAlign w:val="center"/>
          </w:tcPr>
          <w:p w14:paraId="01F31F75" w14:textId="77777777" w:rsidR="002E474C" w:rsidRDefault="00000000">
            <w:pPr>
              <w:pStyle w:val="A-"/>
              <w:rPr>
                <w:lang w:val="zh-CN"/>
              </w:rPr>
            </w:pPr>
            <w:r>
              <w:rPr>
                <w:lang w:val="zh-CN"/>
              </w:rPr>
              <w:t>1,1,1-</w:t>
            </w:r>
            <w:r>
              <w:rPr>
                <w:lang w:val="zh-CN"/>
              </w:rPr>
              <w:t>三氯乙烷</w:t>
            </w:r>
          </w:p>
        </w:tc>
        <w:tc>
          <w:tcPr>
            <w:tcW w:w="1321" w:type="pct"/>
            <w:vAlign w:val="center"/>
          </w:tcPr>
          <w:p w14:paraId="670A84E6" w14:textId="77777777" w:rsidR="002E474C" w:rsidRDefault="00000000">
            <w:pPr>
              <w:pStyle w:val="A-"/>
              <w:rPr>
                <w:lang w:val="zh-CN"/>
              </w:rPr>
            </w:pPr>
            <w:r>
              <w:rPr>
                <w:lang w:val="zh-CN"/>
              </w:rPr>
              <w:t>71-55-6</w:t>
            </w:r>
          </w:p>
        </w:tc>
        <w:tc>
          <w:tcPr>
            <w:tcW w:w="1556" w:type="pct"/>
            <w:vAlign w:val="center"/>
          </w:tcPr>
          <w:p w14:paraId="19994AA5" w14:textId="77777777" w:rsidR="002E474C" w:rsidRDefault="00000000">
            <w:pPr>
              <w:pStyle w:val="A-"/>
              <w:rPr>
                <w:lang w:val="zh-CN"/>
              </w:rPr>
            </w:pPr>
            <w:r>
              <w:rPr>
                <w:lang w:val="zh-CN"/>
              </w:rPr>
              <w:t>840</w:t>
            </w:r>
          </w:p>
        </w:tc>
      </w:tr>
      <w:tr w:rsidR="002E474C" w14:paraId="39ADE263" w14:textId="77777777">
        <w:trPr>
          <w:jc w:val="center"/>
        </w:trPr>
        <w:tc>
          <w:tcPr>
            <w:tcW w:w="427" w:type="pct"/>
            <w:vAlign w:val="center"/>
          </w:tcPr>
          <w:p w14:paraId="017606D2" w14:textId="77777777" w:rsidR="002E474C" w:rsidRDefault="00000000">
            <w:pPr>
              <w:pStyle w:val="A-"/>
              <w:rPr>
                <w:lang w:val="zh-CN"/>
              </w:rPr>
            </w:pPr>
            <w:r>
              <w:rPr>
                <w:lang w:val="zh-CN"/>
              </w:rPr>
              <w:t>22</w:t>
            </w:r>
          </w:p>
        </w:tc>
        <w:tc>
          <w:tcPr>
            <w:tcW w:w="1697" w:type="pct"/>
            <w:vAlign w:val="center"/>
          </w:tcPr>
          <w:p w14:paraId="27F06934" w14:textId="77777777" w:rsidR="002E474C" w:rsidRDefault="00000000">
            <w:pPr>
              <w:pStyle w:val="A-"/>
              <w:rPr>
                <w:lang w:val="zh-CN"/>
              </w:rPr>
            </w:pPr>
            <w:r>
              <w:rPr>
                <w:lang w:val="zh-CN"/>
              </w:rPr>
              <w:t>1,1,2-</w:t>
            </w:r>
            <w:r>
              <w:rPr>
                <w:lang w:val="zh-CN"/>
              </w:rPr>
              <w:t>三氯乙烷</w:t>
            </w:r>
          </w:p>
        </w:tc>
        <w:tc>
          <w:tcPr>
            <w:tcW w:w="1321" w:type="pct"/>
            <w:vAlign w:val="center"/>
          </w:tcPr>
          <w:p w14:paraId="4D00AB3C" w14:textId="77777777" w:rsidR="002E474C" w:rsidRDefault="00000000">
            <w:pPr>
              <w:pStyle w:val="A-"/>
              <w:rPr>
                <w:lang w:val="zh-CN"/>
              </w:rPr>
            </w:pPr>
            <w:r>
              <w:rPr>
                <w:lang w:val="zh-CN"/>
              </w:rPr>
              <w:t>79-00-5</w:t>
            </w:r>
          </w:p>
        </w:tc>
        <w:tc>
          <w:tcPr>
            <w:tcW w:w="1556" w:type="pct"/>
            <w:vAlign w:val="center"/>
          </w:tcPr>
          <w:p w14:paraId="2DB5FCBE" w14:textId="77777777" w:rsidR="002E474C" w:rsidRDefault="00000000">
            <w:pPr>
              <w:pStyle w:val="A-"/>
              <w:rPr>
                <w:lang w:val="zh-CN"/>
              </w:rPr>
            </w:pPr>
            <w:r>
              <w:rPr>
                <w:lang w:val="zh-CN"/>
              </w:rPr>
              <w:t>2.8</w:t>
            </w:r>
          </w:p>
        </w:tc>
      </w:tr>
      <w:tr w:rsidR="002E474C" w14:paraId="54F9DC5B" w14:textId="77777777">
        <w:trPr>
          <w:jc w:val="center"/>
        </w:trPr>
        <w:tc>
          <w:tcPr>
            <w:tcW w:w="427" w:type="pct"/>
            <w:vAlign w:val="center"/>
          </w:tcPr>
          <w:p w14:paraId="5ED2AFE1" w14:textId="77777777" w:rsidR="002E474C" w:rsidRDefault="00000000">
            <w:pPr>
              <w:pStyle w:val="A-"/>
              <w:rPr>
                <w:lang w:val="zh-CN"/>
              </w:rPr>
            </w:pPr>
            <w:r>
              <w:rPr>
                <w:lang w:val="zh-CN"/>
              </w:rPr>
              <w:t>23</w:t>
            </w:r>
          </w:p>
        </w:tc>
        <w:tc>
          <w:tcPr>
            <w:tcW w:w="1697" w:type="pct"/>
            <w:vAlign w:val="center"/>
          </w:tcPr>
          <w:p w14:paraId="53B22241" w14:textId="77777777" w:rsidR="002E474C" w:rsidRDefault="00000000">
            <w:pPr>
              <w:pStyle w:val="A-"/>
              <w:rPr>
                <w:lang w:val="zh-CN"/>
              </w:rPr>
            </w:pPr>
            <w:r>
              <w:rPr>
                <w:lang w:val="zh-CN"/>
              </w:rPr>
              <w:t>三氯乙烯</w:t>
            </w:r>
          </w:p>
        </w:tc>
        <w:tc>
          <w:tcPr>
            <w:tcW w:w="1321" w:type="pct"/>
            <w:vAlign w:val="center"/>
          </w:tcPr>
          <w:p w14:paraId="73D8F772" w14:textId="77777777" w:rsidR="002E474C" w:rsidRDefault="00000000">
            <w:pPr>
              <w:pStyle w:val="A-"/>
              <w:rPr>
                <w:lang w:val="zh-CN"/>
              </w:rPr>
            </w:pPr>
            <w:r>
              <w:rPr>
                <w:lang w:val="zh-CN"/>
              </w:rPr>
              <w:t>79-01-6</w:t>
            </w:r>
          </w:p>
        </w:tc>
        <w:tc>
          <w:tcPr>
            <w:tcW w:w="1556" w:type="pct"/>
            <w:vAlign w:val="center"/>
          </w:tcPr>
          <w:p w14:paraId="6599B677" w14:textId="77777777" w:rsidR="002E474C" w:rsidRDefault="00000000">
            <w:pPr>
              <w:pStyle w:val="A-"/>
              <w:rPr>
                <w:lang w:val="zh-CN"/>
              </w:rPr>
            </w:pPr>
            <w:r>
              <w:rPr>
                <w:lang w:val="zh-CN"/>
              </w:rPr>
              <w:t>2.8</w:t>
            </w:r>
          </w:p>
        </w:tc>
      </w:tr>
      <w:tr w:rsidR="002E474C" w14:paraId="20F15796" w14:textId="77777777">
        <w:trPr>
          <w:jc w:val="center"/>
        </w:trPr>
        <w:tc>
          <w:tcPr>
            <w:tcW w:w="427" w:type="pct"/>
            <w:vAlign w:val="center"/>
          </w:tcPr>
          <w:p w14:paraId="108762D5" w14:textId="77777777" w:rsidR="002E474C" w:rsidRDefault="00000000">
            <w:pPr>
              <w:pStyle w:val="A-"/>
              <w:rPr>
                <w:lang w:val="zh-CN"/>
              </w:rPr>
            </w:pPr>
            <w:r>
              <w:rPr>
                <w:lang w:val="zh-CN"/>
              </w:rPr>
              <w:lastRenderedPageBreak/>
              <w:t>24</w:t>
            </w:r>
          </w:p>
        </w:tc>
        <w:tc>
          <w:tcPr>
            <w:tcW w:w="1697" w:type="pct"/>
            <w:vAlign w:val="center"/>
          </w:tcPr>
          <w:p w14:paraId="34E73BB4" w14:textId="77777777" w:rsidR="002E474C" w:rsidRDefault="00000000">
            <w:pPr>
              <w:pStyle w:val="A-"/>
              <w:rPr>
                <w:lang w:val="zh-CN"/>
              </w:rPr>
            </w:pPr>
            <w:r>
              <w:rPr>
                <w:lang w:val="zh-CN"/>
              </w:rPr>
              <w:t>1,2,3-</w:t>
            </w:r>
            <w:r>
              <w:rPr>
                <w:lang w:val="zh-CN"/>
              </w:rPr>
              <w:t>三氯丙烷</w:t>
            </w:r>
          </w:p>
        </w:tc>
        <w:tc>
          <w:tcPr>
            <w:tcW w:w="1321" w:type="pct"/>
            <w:vAlign w:val="center"/>
          </w:tcPr>
          <w:p w14:paraId="25EA3651" w14:textId="77777777" w:rsidR="002E474C" w:rsidRDefault="00000000">
            <w:pPr>
              <w:pStyle w:val="A-"/>
              <w:rPr>
                <w:lang w:val="zh-CN"/>
              </w:rPr>
            </w:pPr>
            <w:r>
              <w:rPr>
                <w:lang w:val="zh-CN"/>
              </w:rPr>
              <w:t>96-18-4</w:t>
            </w:r>
          </w:p>
        </w:tc>
        <w:tc>
          <w:tcPr>
            <w:tcW w:w="1556" w:type="pct"/>
            <w:vAlign w:val="center"/>
          </w:tcPr>
          <w:p w14:paraId="253297AC" w14:textId="77777777" w:rsidR="002E474C" w:rsidRDefault="00000000">
            <w:pPr>
              <w:pStyle w:val="A-"/>
              <w:rPr>
                <w:lang w:val="zh-CN"/>
              </w:rPr>
            </w:pPr>
            <w:r>
              <w:rPr>
                <w:lang w:val="zh-CN"/>
              </w:rPr>
              <w:t>0.5</w:t>
            </w:r>
          </w:p>
        </w:tc>
      </w:tr>
      <w:tr w:rsidR="002E474C" w14:paraId="325B6A79" w14:textId="77777777">
        <w:trPr>
          <w:jc w:val="center"/>
        </w:trPr>
        <w:tc>
          <w:tcPr>
            <w:tcW w:w="427" w:type="pct"/>
            <w:vAlign w:val="center"/>
          </w:tcPr>
          <w:p w14:paraId="65B9CE83" w14:textId="77777777" w:rsidR="002E474C" w:rsidRDefault="00000000">
            <w:pPr>
              <w:pStyle w:val="A-"/>
              <w:rPr>
                <w:lang w:val="zh-CN"/>
              </w:rPr>
            </w:pPr>
            <w:r>
              <w:rPr>
                <w:lang w:val="zh-CN"/>
              </w:rPr>
              <w:t>25</w:t>
            </w:r>
          </w:p>
        </w:tc>
        <w:tc>
          <w:tcPr>
            <w:tcW w:w="1697" w:type="pct"/>
            <w:vAlign w:val="center"/>
          </w:tcPr>
          <w:p w14:paraId="24345A33" w14:textId="77777777" w:rsidR="002E474C" w:rsidRDefault="00000000">
            <w:pPr>
              <w:pStyle w:val="A-"/>
              <w:rPr>
                <w:lang w:val="zh-CN"/>
              </w:rPr>
            </w:pPr>
            <w:r>
              <w:rPr>
                <w:lang w:val="zh-CN"/>
              </w:rPr>
              <w:t>氯乙烯</w:t>
            </w:r>
          </w:p>
        </w:tc>
        <w:tc>
          <w:tcPr>
            <w:tcW w:w="1321" w:type="pct"/>
            <w:vAlign w:val="center"/>
          </w:tcPr>
          <w:p w14:paraId="07750B81" w14:textId="77777777" w:rsidR="002E474C" w:rsidRDefault="00000000">
            <w:pPr>
              <w:pStyle w:val="A-"/>
              <w:rPr>
                <w:lang w:val="zh-CN"/>
              </w:rPr>
            </w:pPr>
            <w:r>
              <w:rPr>
                <w:lang w:val="zh-CN"/>
              </w:rPr>
              <w:t>27398</w:t>
            </w:r>
          </w:p>
        </w:tc>
        <w:tc>
          <w:tcPr>
            <w:tcW w:w="1556" w:type="pct"/>
            <w:vAlign w:val="center"/>
          </w:tcPr>
          <w:p w14:paraId="30471773" w14:textId="77777777" w:rsidR="002E474C" w:rsidRDefault="00000000">
            <w:pPr>
              <w:pStyle w:val="A-"/>
              <w:rPr>
                <w:lang w:val="zh-CN"/>
              </w:rPr>
            </w:pPr>
            <w:r>
              <w:rPr>
                <w:lang w:val="zh-CN"/>
              </w:rPr>
              <w:t>0.43</w:t>
            </w:r>
          </w:p>
        </w:tc>
      </w:tr>
      <w:tr w:rsidR="002E474C" w14:paraId="09A03AFE" w14:textId="77777777">
        <w:trPr>
          <w:jc w:val="center"/>
        </w:trPr>
        <w:tc>
          <w:tcPr>
            <w:tcW w:w="427" w:type="pct"/>
            <w:vAlign w:val="center"/>
          </w:tcPr>
          <w:p w14:paraId="781079AC" w14:textId="77777777" w:rsidR="002E474C" w:rsidRDefault="00000000">
            <w:pPr>
              <w:pStyle w:val="A-"/>
              <w:rPr>
                <w:lang w:val="zh-CN"/>
              </w:rPr>
            </w:pPr>
            <w:r>
              <w:rPr>
                <w:lang w:val="zh-CN"/>
              </w:rPr>
              <w:t>26</w:t>
            </w:r>
          </w:p>
        </w:tc>
        <w:tc>
          <w:tcPr>
            <w:tcW w:w="1697" w:type="pct"/>
            <w:vAlign w:val="center"/>
          </w:tcPr>
          <w:p w14:paraId="2B18B3E5" w14:textId="77777777" w:rsidR="002E474C" w:rsidRDefault="00000000">
            <w:pPr>
              <w:pStyle w:val="A-"/>
              <w:rPr>
                <w:lang w:val="zh-CN"/>
              </w:rPr>
            </w:pPr>
            <w:r>
              <w:rPr>
                <w:lang w:val="zh-CN"/>
              </w:rPr>
              <w:t>苯</w:t>
            </w:r>
          </w:p>
        </w:tc>
        <w:tc>
          <w:tcPr>
            <w:tcW w:w="1321" w:type="pct"/>
            <w:vAlign w:val="center"/>
          </w:tcPr>
          <w:p w14:paraId="6DBA2E22" w14:textId="77777777" w:rsidR="002E474C" w:rsidRDefault="00000000">
            <w:pPr>
              <w:pStyle w:val="A-"/>
              <w:rPr>
                <w:lang w:val="zh-CN"/>
              </w:rPr>
            </w:pPr>
            <w:r>
              <w:rPr>
                <w:lang w:val="zh-CN"/>
              </w:rPr>
              <w:t>71-43-2</w:t>
            </w:r>
          </w:p>
        </w:tc>
        <w:tc>
          <w:tcPr>
            <w:tcW w:w="1556" w:type="pct"/>
            <w:vAlign w:val="center"/>
          </w:tcPr>
          <w:p w14:paraId="1A88B54E" w14:textId="77777777" w:rsidR="002E474C" w:rsidRDefault="00000000">
            <w:pPr>
              <w:pStyle w:val="A-"/>
              <w:rPr>
                <w:lang w:val="zh-CN"/>
              </w:rPr>
            </w:pPr>
            <w:r>
              <w:rPr>
                <w:lang w:val="zh-CN"/>
              </w:rPr>
              <w:t>4</w:t>
            </w:r>
          </w:p>
        </w:tc>
      </w:tr>
      <w:tr w:rsidR="002E474C" w14:paraId="6D4425DF" w14:textId="77777777">
        <w:trPr>
          <w:jc w:val="center"/>
        </w:trPr>
        <w:tc>
          <w:tcPr>
            <w:tcW w:w="427" w:type="pct"/>
            <w:vAlign w:val="center"/>
          </w:tcPr>
          <w:p w14:paraId="6303EAF4" w14:textId="77777777" w:rsidR="002E474C" w:rsidRDefault="00000000">
            <w:pPr>
              <w:pStyle w:val="A-"/>
              <w:rPr>
                <w:lang w:val="zh-CN"/>
              </w:rPr>
            </w:pPr>
            <w:r>
              <w:rPr>
                <w:lang w:val="zh-CN"/>
              </w:rPr>
              <w:t>27</w:t>
            </w:r>
          </w:p>
        </w:tc>
        <w:tc>
          <w:tcPr>
            <w:tcW w:w="1697" w:type="pct"/>
            <w:vAlign w:val="center"/>
          </w:tcPr>
          <w:p w14:paraId="285973D3" w14:textId="77777777" w:rsidR="002E474C" w:rsidRDefault="00000000">
            <w:pPr>
              <w:pStyle w:val="A-"/>
              <w:rPr>
                <w:lang w:val="zh-CN"/>
              </w:rPr>
            </w:pPr>
            <w:r>
              <w:rPr>
                <w:lang w:val="zh-CN"/>
              </w:rPr>
              <w:t>氯苯</w:t>
            </w:r>
          </w:p>
        </w:tc>
        <w:tc>
          <w:tcPr>
            <w:tcW w:w="1321" w:type="pct"/>
            <w:vAlign w:val="center"/>
          </w:tcPr>
          <w:p w14:paraId="0ABD2FAF" w14:textId="77777777" w:rsidR="002E474C" w:rsidRDefault="00000000">
            <w:pPr>
              <w:pStyle w:val="A-"/>
              <w:rPr>
                <w:lang w:val="zh-CN"/>
              </w:rPr>
            </w:pPr>
            <w:r>
              <w:rPr>
                <w:lang w:val="zh-CN"/>
              </w:rPr>
              <w:t>108-90-7</w:t>
            </w:r>
          </w:p>
        </w:tc>
        <w:tc>
          <w:tcPr>
            <w:tcW w:w="1556" w:type="pct"/>
            <w:vAlign w:val="center"/>
          </w:tcPr>
          <w:p w14:paraId="16DB11BC" w14:textId="77777777" w:rsidR="002E474C" w:rsidRDefault="00000000">
            <w:pPr>
              <w:pStyle w:val="A-"/>
              <w:rPr>
                <w:lang w:val="zh-CN"/>
              </w:rPr>
            </w:pPr>
            <w:r>
              <w:rPr>
                <w:lang w:val="zh-CN"/>
              </w:rPr>
              <w:t>270</w:t>
            </w:r>
          </w:p>
        </w:tc>
      </w:tr>
      <w:tr w:rsidR="002E474C" w14:paraId="346F0E2C" w14:textId="77777777">
        <w:trPr>
          <w:jc w:val="center"/>
        </w:trPr>
        <w:tc>
          <w:tcPr>
            <w:tcW w:w="427" w:type="pct"/>
            <w:vAlign w:val="center"/>
          </w:tcPr>
          <w:p w14:paraId="6A6DCE46" w14:textId="77777777" w:rsidR="002E474C" w:rsidRDefault="00000000">
            <w:pPr>
              <w:pStyle w:val="A-"/>
              <w:rPr>
                <w:lang w:val="zh-CN"/>
              </w:rPr>
            </w:pPr>
            <w:r>
              <w:rPr>
                <w:lang w:val="zh-CN"/>
              </w:rPr>
              <w:t>28</w:t>
            </w:r>
          </w:p>
        </w:tc>
        <w:tc>
          <w:tcPr>
            <w:tcW w:w="1697" w:type="pct"/>
            <w:vAlign w:val="center"/>
          </w:tcPr>
          <w:p w14:paraId="118F53C9" w14:textId="77777777" w:rsidR="002E474C" w:rsidRDefault="00000000">
            <w:pPr>
              <w:pStyle w:val="A-"/>
              <w:rPr>
                <w:lang w:val="zh-CN"/>
              </w:rPr>
            </w:pPr>
            <w:r>
              <w:rPr>
                <w:lang w:val="zh-CN"/>
              </w:rPr>
              <w:t>1,2-</w:t>
            </w:r>
            <w:r>
              <w:rPr>
                <w:lang w:val="zh-CN"/>
              </w:rPr>
              <w:t>二氯苯</w:t>
            </w:r>
          </w:p>
        </w:tc>
        <w:tc>
          <w:tcPr>
            <w:tcW w:w="1321" w:type="pct"/>
            <w:vAlign w:val="center"/>
          </w:tcPr>
          <w:p w14:paraId="428DFF44" w14:textId="77777777" w:rsidR="002E474C" w:rsidRDefault="00000000">
            <w:pPr>
              <w:pStyle w:val="A-"/>
              <w:rPr>
                <w:lang w:val="zh-CN"/>
              </w:rPr>
            </w:pPr>
            <w:r>
              <w:rPr>
                <w:lang w:val="zh-CN"/>
              </w:rPr>
              <w:t>95-50-1</w:t>
            </w:r>
          </w:p>
        </w:tc>
        <w:tc>
          <w:tcPr>
            <w:tcW w:w="1556" w:type="pct"/>
            <w:vAlign w:val="center"/>
          </w:tcPr>
          <w:p w14:paraId="5C86A4D9" w14:textId="77777777" w:rsidR="002E474C" w:rsidRDefault="00000000">
            <w:pPr>
              <w:pStyle w:val="A-"/>
              <w:rPr>
                <w:lang w:val="zh-CN"/>
              </w:rPr>
            </w:pPr>
            <w:r>
              <w:rPr>
                <w:lang w:val="zh-CN"/>
              </w:rPr>
              <w:t>560</w:t>
            </w:r>
          </w:p>
        </w:tc>
      </w:tr>
      <w:tr w:rsidR="002E474C" w14:paraId="49CDB8C6" w14:textId="77777777">
        <w:trPr>
          <w:jc w:val="center"/>
        </w:trPr>
        <w:tc>
          <w:tcPr>
            <w:tcW w:w="427" w:type="pct"/>
            <w:vAlign w:val="center"/>
          </w:tcPr>
          <w:p w14:paraId="237F72B2" w14:textId="77777777" w:rsidR="002E474C" w:rsidRDefault="00000000">
            <w:pPr>
              <w:pStyle w:val="A-"/>
              <w:rPr>
                <w:lang w:val="zh-CN"/>
              </w:rPr>
            </w:pPr>
            <w:r>
              <w:rPr>
                <w:lang w:val="zh-CN"/>
              </w:rPr>
              <w:t>29</w:t>
            </w:r>
          </w:p>
        </w:tc>
        <w:tc>
          <w:tcPr>
            <w:tcW w:w="1697" w:type="pct"/>
            <w:vAlign w:val="center"/>
          </w:tcPr>
          <w:p w14:paraId="6B5FDFCB" w14:textId="77777777" w:rsidR="002E474C" w:rsidRDefault="00000000">
            <w:pPr>
              <w:pStyle w:val="A-"/>
              <w:rPr>
                <w:lang w:val="zh-CN"/>
              </w:rPr>
            </w:pPr>
            <w:r>
              <w:rPr>
                <w:lang w:val="zh-CN"/>
              </w:rPr>
              <w:t>1,4-</w:t>
            </w:r>
            <w:r>
              <w:rPr>
                <w:lang w:val="zh-CN"/>
              </w:rPr>
              <w:t>二氯苯</w:t>
            </w:r>
          </w:p>
        </w:tc>
        <w:tc>
          <w:tcPr>
            <w:tcW w:w="1321" w:type="pct"/>
            <w:vAlign w:val="center"/>
          </w:tcPr>
          <w:p w14:paraId="58195360" w14:textId="77777777" w:rsidR="002E474C" w:rsidRDefault="00000000">
            <w:pPr>
              <w:pStyle w:val="A-"/>
              <w:rPr>
                <w:lang w:val="zh-CN"/>
              </w:rPr>
            </w:pPr>
            <w:r>
              <w:rPr>
                <w:lang w:val="zh-CN"/>
              </w:rPr>
              <w:t>106-46-7</w:t>
            </w:r>
          </w:p>
        </w:tc>
        <w:tc>
          <w:tcPr>
            <w:tcW w:w="1556" w:type="pct"/>
            <w:vAlign w:val="center"/>
          </w:tcPr>
          <w:p w14:paraId="5EA0619D" w14:textId="77777777" w:rsidR="002E474C" w:rsidRDefault="00000000">
            <w:pPr>
              <w:pStyle w:val="A-"/>
              <w:rPr>
                <w:lang w:val="zh-CN"/>
              </w:rPr>
            </w:pPr>
            <w:r>
              <w:rPr>
                <w:lang w:val="zh-CN"/>
              </w:rPr>
              <w:t>20</w:t>
            </w:r>
          </w:p>
        </w:tc>
      </w:tr>
      <w:tr w:rsidR="002E474C" w14:paraId="664F70CA" w14:textId="77777777">
        <w:trPr>
          <w:jc w:val="center"/>
        </w:trPr>
        <w:tc>
          <w:tcPr>
            <w:tcW w:w="427" w:type="pct"/>
            <w:vAlign w:val="center"/>
          </w:tcPr>
          <w:p w14:paraId="74365D9E" w14:textId="77777777" w:rsidR="002E474C" w:rsidRDefault="00000000">
            <w:pPr>
              <w:pStyle w:val="A-"/>
              <w:rPr>
                <w:lang w:val="zh-CN"/>
              </w:rPr>
            </w:pPr>
            <w:r>
              <w:rPr>
                <w:lang w:val="zh-CN"/>
              </w:rPr>
              <w:t>30</w:t>
            </w:r>
          </w:p>
        </w:tc>
        <w:tc>
          <w:tcPr>
            <w:tcW w:w="1697" w:type="pct"/>
            <w:vAlign w:val="center"/>
          </w:tcPr>
          <w:p w14:paraId="64B2607F" w14:textId="77777777" w:rsidR="002E474C" w:rsidRDefault="00000000">
            <w:pPr>
              <w:pStyle w:val="A-"/>
              <w:rPr>
                <w:lang w:val="zh-CN"/>
              </w:rPr>
            </w:pPr>
            <w:r>
              <w:rPr>
                <w:lang w:val="zh-CN"/>
              </w:rPr>
              <w:t>乙苯</w:t>
            </w:r>
          </w:p>
        </w:tc>
        <w:tc>
          <w:tcPr>
            <w:tcW w:w="1321" w:type="pct"/>
            <w:vAlign w:val="center"/>
          </w:tcPr>
          <w:p w14:paraId="2A2CC9C5" w14:textId="77777777" w:rsidR="002E474C" w:rsidRDefault="00000000">
            <w:pPr>
              <w:pStyle w:val="A-"/>
              <w:rPr>
                <w:lang w:val="zh-CN"/>
              </w:rPr>
            </w:pPr>
            <w:r>
              <w:rPr>
                <w:lang w:val="zh-CN"/>
              </w:rPr>
              <w:t>100-41-4</w:t>
            </w:r>
          </w:p>
        </w:tc>
        <w:tc>
          <w:tcPr>
            <w:tcW w:w="1556" w:type="pct"/>
            <w:vAlign w:val="center"/>
          </w:tcPr>
          <w:p w14:paraId="1345580C" w14:textId="77777777" w:rsidR="002E474C" w:rsidRDefault="00000000">
            <w:pPr>
              <w:pStyle w:val="A-"/>
              <w:rPr>
                <w:lang w:val="zh-CN"/>
              </w:rPr>
            </w:pPr>
            <w:r>
              <w:rPr>
                <w:lang w:val="zh-CN"/>
              </w:rPr>
              <w:t>28</w:t>
            </w:r>
          </w:p>
        </w:tc>
      </w:tr>
      <w:tr w:rsidR="002E474C" w14:paraId="24DC3CA9" w14:textId="77777777">
        <w:trPr>
          <w:jc w:val="center"/>
        </w:trPr>
        <w:tc>
          <w:tcPr>
            <w:tcW w:w="427" w:type="pct"/>
            <w:vAlign w:val="center"/>
          </w:tcPr>
          <w:p w14:paraId="10A6EA93" w14:textId="77777777" w:rsidR="002E474C" w:rsidRDefault="00000000">
            <w:pPr>
              <w:pStyle w:val="A-"/>
              <w:rPr>
                <w:lang w:val="zh-CN"/>
              </w:rPr>
            </w:pPr>
            <w:r>
              <w:rPr>
                <w:lang w:val="zh-CN"/>
              </w:rPr>
              <w:t>31</w:t>
            </w:r>
          </w:p>
        </w:tc>
        <w:tc>
          <w:tcPr>
            <w:tcW w:w="1697" w:type="pct"/>
            <w:vAlign w:val="center"/>
          </w:tcPr>
          <w:p w14:paraId="6E81C02C" w14:textId="77777777" w:rsidR="002E474C" w:rsidRDefault="00000000">
            <w:pPr>
              <w:pStyle w:val="A-"/>
              <w:rPr>
                <w:lang w:val="zh-CN"/>
              </w:rPr>
            </w:pPr>
            <w:r>
              <w:rPr>
                <w:lang w:val="zh-CN"/>
              </w:rPr>
              <w:t>苯乙烯</w:t>
            </w:r>
          </w:p>
        </w:tc>
        <w:tc>
          <w:tcPr>
            <w:tcW w:w="1321" w:type="pct"/>
            <w:vAlign w:val="center"/>
          </w:tcPr>
          <w:p w14:paraId="02B64FB9" w14:textId="77777777" w:rsidR="002E474C" w:rsidRDefault="00000000">
            <w:pPr>
              <w:pStyle w:val="A-"/>
              <w:rPr>
                <w:lang w:val="zh-CN"/>
              </w:rPr>
            </w:pPr>
            <w:r>
              <w:rPr>
                <w:lang w:val="zh-CN"/>
              </w:rPr>
              <w:t>100-42-5</w:t>
            </w:r>
          </w:p>
        </w:tc>
        <w:tc>
          <w:tcPr>
            <w:tcW w:w="1556" w:type="pct"/>
            <w:vAlign w:val="center"/>
          </w:tcPr>
          <w:p w14:paraId="271D29E0" w14:textId="77777777" w:rsidR="002E474C" w:rsidRDefault="00000000">
            <w:pPr>
              <w:pStyle w:val="A-"/>
              <w:rPr>
                <w:lang w:val="zh-CN"/>
              </w:rPr>
            </w:pPr>
            <w:r>
              <w:rPr>
                <w:lang w:val="zh-CN"/>
              </w:rPr>
              <w:t>1290</w:t>
            </w:r>
          </w:p>
        </w:tc>
      </w:tr>
      <w:tr w:rsidR="002E474C" w14:paraId="67426B5D" w14:textId="77777777">
        <w:trPr>
          <w:jc w:val="center"/>
        </w:trPr>
        <w:tc>
          <w:tcPr>
            <w:tcW w:w="427" w:type="pct"/>
            <w:vAlign w:val="center"/>
          </w:tcPr>
          <w:p w14:paraId="300FF869" w14:textId="77777777" w:rsidR="002E474C" w:rsidRDefault="00000000">
            <w:pPr>
              <w:pStyle w:val="A-"/>
              <w:rPr>
                <w:lang w:val="zh-CN"/>
              </w:rPr>
            </w:pPr>
            <w:r>
              <w:rPr>
                <w:lang w:val="zh-CN"/>
              </w:rPr>
              <w:t>32</w:t>
            </w:r>
          </w:p>
        </w:tc>
        <w:tc>
          <w:tcPr>
            <w:tcW w:w="1697" w:type="pct"/>
            <w:vAlign w:val="center"/>
          </w:tcPr>
          <w:p w14:paraId="6FB9A5E4" w14:textId="77777777" w:rsidR="002E474C" w:rsidRDefault="00000000">
            <w:pPr>
              <w:pStyle w:val="A-"/>
              <w:rPr>
                <w:lang w:val="zh-CN"/>
              </w:rPr>
            </w:pPr>
            <w:r>
              <w:rPr>
                <w:lang w:val="zh-CN"/>
              </w:rPr>
              <w:t>甲苯</w:t>
            </w:r>
          </w:p>
        </w:tc>
        <w:tc>
          <w:tcPr>
            <w:tcW w:w="1321" w:type="pct"/>
            <w:vAlign w:val="center"/>
          </w:tcPr>
          <w:p w14:paraId="401DFC30" w14:textId="77777777" w:rsidR="002E474C" w:rsidRDefault="00000000">
            <w:pPr>
              <w:pStyle w:val="A-"/>
              <w:rPr>
                <w:lang w:val="zh-CN"/>
              </w:rPr>
            </w:pPr>
            <w:r>
              <w:rPr>
                <w:lang w:val="zh-CN"/>
              </w:rPr>
              <w:t>108-88-3</w:t>
            </w:r>
          </w:p>
        </w:tc>
        <w:tc>
          <w:tcPr>
            <w:tcW w:w="1556" w:type="pct"/>
            <w:vAlign w:val="center"/>
          </w:tcPr>
          <w:p w14:paraId="596087B1" w14:textId="77777777" w:rsidR="002E474C" w:rsidRDefault="00000000">
            <w:pPr>
              <w:pStyle w:val="A-"/>
              <w:rPr>
                <w:lang w:val="zh-CN"/>
              </w:rPr>
            </w:pPr>
            <w:r>
              <w:rPr>
                <w:lang w:val="zh-CN"/>
              </w:rPr>
              <w:t>1200</w:t>
            </w:r>
          </w:p>
        </w:tc>
      </w:tr>
      <w:tr w:rsidR="002E474C" w14:paraId="0C325E0E" w14:textId="77777777">
        <w:trPr>
          <w:jc w:val="center"/>
        </w:trPr>
        <w:tc>
          <w:tcPr>
            <w:tcW w:w="427" w:type="pct"/>
            <w:vAlign w:val="center"/>
          </w:tcPr>
          <w:p w14:paraId="7A1DB55C" w14:textId="77777777" w:rsidR="002E474C" w:rsidRDefault="00000000">
            <w:pPr>
              <w:pStyle w:val="A-"/>
              <w:rPr>
                <w:lang w:val="zh-CN"/>
              </w:rPr>
            </w:pPr>
            <w:r>
              <w:rPr>
                <w:lang w:val="zh-CN"/>
              </w:rPr>
              <w:t>33</w:t>
            </w:r>
          </w:p>
        </w:tc>
        <w:tc>
          <w:tcPr>
            <w:tcW w:w="1697" w:type="pct"/>
            <w:vAlign w:val="center"/>
          </w:tcPr>
          <w:p w14:paraId="60C37DCF" w14:textId="77777777" w:rsidR="002E474C" w:rsidRDefault="00000000">
            <w:pPr>
              <w:pStyle w:val="A-"/>
              <w:rPr>
                <w:lang w:val="zh-CN"/>
              </w:rPr>
            </w:pPr>
            <w:r>
              <w:rPr>
                <w:lang w:val="zh-CN"/>
              </w:rPr>
              <w:t>间二甲苯</w:t>
            </w:r>
            <w:r>
              <w:rPr>
                <w:lang w:val="zh-CN"/>
              </w:rPr>
              <w:t>+</w:t>
            </w:r>
            <w:r>
              <w:rPr>
                <w:lang w:val="zh-CN"/>
              </w:rPr>
              <w:t>对二甲苯</w:t>
            </w:r>
          </w:p>
        </w:tc>
        <w:tc>
          <w:tcPr>
            <w:tcW w:w="1321" w:type="pct"/>
            <w:vAlign w:val="center"/>
          </w:tcPr>
          <w:p w14:paraId="46BE63E9" w14:textId="77777777" w:rsidR="002E474C" w:rsidRDefault="00000000">
            <w:pPr>
              <w:pStyle w:val="A-"/>
              <w:rPr>
                <w:lang w:val="zh-CN"/>
              </w:rPr>
            </w:pPr>
            <w:r>
              <w:rPr>
                <w:lang w:val="zh-CN"/>
              </w:rPr>
              <w:t>108-38-3</w:t>
            </w:r>
            <w:r>
              <w:rPr>
                <w:lang w:val="zh-CN"/>
              </w:rPr>
              <w:t>，</w:t>
            </w:r>
            <w:r>
              <w:rPr>
                <w:lang w:val="zh-CN"/>
              </w:rPr>
              <w:t>106-42-3</w:t>
            </w:r>
          </w:p>
        </w:tc>
        <w:tc>
          <w:tcPr>
            <w:tcW w:w="1556" w:type="pct"/>
            <w:vAlign w:val="center"/>
          </w:tcPr>
          <w:p w14:paraId="110BC933" w14:textId="77777777" w:rsidR="002E474C" w:rsidRDefault="00000000">
            <w:pPr>
              <w:pStyle w:val="A-"/>
              <w:rPr>
                <w:lang w:val="zh-CN"/>
              </w:rPr>
            </w:pPr>
            <w:r>
              <w:rPr>
                <w:lang w:val="zh-CN"/>
              </w:rPr>
              <w:t>570</w:t>
            </w:r>
          </w:p>
        </w:tc>
      </w:tr>
      <w:tr w:rsidR="002E474C" w14:paraId="15008FE9" w14:textId="77777777">
        <w:trPr>
          <w:jc w:val="center"/>
        </w:trPr>
        <w:tc>
          <w:tcPr>
            <w:tcW w:w="427" w:type="pct"/>
            <w:vAlign w:val="center"/>
          </w:tcPr>
          <w:p w14:paraId="034EFF3B" w14:textId="77777777" w:rsidR="002E474C" w:rsidRDefault="00000000">
            <w:pPr>
              <w:pStyle w:val="A-"/>
              <w:rPr>
                <w:lang w:val="zh-CN"/>
              </w:rPr>
            </w:pPr>
            <w:r>
              <w:rPr>
                <w:lang w:val="zh-CN"/>
              </w:rPr>
              <w:t>34</w:t>
            </w:r>
          </w:p>
        </w:tc>
        <w:tc>
          <w:tcPr>
            <w:tcW w:w="1697" w:type="pct"/>
            <w:vAlign w:val="center"/>
          </w:tcPr>
          <w:p w14:paraId="08A21A22" w14:textId="77777777" w:rsidR="002E474C" w:rsidRDefault="00000000">
            <w:pPr>
              <w:pStyle w:val="A-"/>
              <w:rPr>
                <w:lang w:val="zh-CN"/>
              </w:rPr>
            </w:pPr>
            <w:r>
              <w:rPr>
                <w:lang w:val="zh-CN"/>
              </w:rPr>
              <w:t>邻二甲苯</w:t>
            </w:r>
          </w:p>
        </w:tc>
        <w:tc>
          <w:tcPr>
            <w:tcW w:w="1321" w:type="pct"/>
            <w:vAlign w:val="center"/>
          </w:tcPr>
          <w:p w14:paraId="4DD13776" w14:textId="77777777" w:rsidR="002E474C" w:rsidRDefault="00000000">
            <w:pPr>
              <w:pStyle w:val="A-"/>
              <w:rPr>
                <w:lang w:val="zh-CN"/>
              </w:rPr>
            </w:pPr>
            <w:r>
              <w:rPr>
                <w:lang w:val="zh-CN"/>
              </w:rPr>
              <w:t>95-47-6</w:t>
            </w:r>
          </w:p>
        </w:tc>
        <w:tc>
          <w:tcPr>
            <w:tcW w:w="1556" w:type="pct"/>
            <w:vAlign w:val="center"/>
          </w:tcPr>
          <w:p w14:paraId="6E4981AC" w14:textId="77777777" w:rsidR="002E474C" w:rsidRDefault="00000000">
            <w:pPr>
              <w:pStyle w:val="A-"/>
              <w:rPr>
                <w:lang w:val="zh-CN"/>
              </w:rPr>
            </w:pPr>
            <w:r>
              <w:rPr>
                <w:lang w:val="zh-CN"/>
              </w:rPr>
              <w:t>640</w:t>
            </w:r>
          </w:p>
        </w:tc>
      </w:tr>
      <w:tr w:rsidR="002E474C" w14:paraId="23E3AECD" w14:textId="77777777">
        <w:trPr>
          <w:jc w:val="center"/>
        </w:trPr>
        <w:tc>
          <w:tcPr>
            <w:tcW w:w="5000" w:type="pct"/>
            <w:gridSpan w:val="4"/>
            <w:vAlign w:val="center"/>
          </w:tcPr>
          <w:p w14:paraId="519D8AD3" w14:textId="77777777" w:rsidR="002E474C" w:rsidRDefault="00000000">
            <w:pPr>
              <w:pStyle w:val="A-"/>
              <w:rPr>
                <w:lang w:val="zh-CN"/>
              </w:rPr>
            </w:pPr>
            <w:r>
              <w:rPr>
                <w:lang w:val="zh-CN"/>
              </w:rPr>
              <w:t>半挥发性有机物</w:t>
            </w:r>
          </w:p>
        </w:tc>
      </w:tr>
      <w:tr w:rsidR="002E474C" w14:paraId="606B6E4D" w14:textId="77777777">
        <w:trPr>
          <w:jc w:val="center"/>
        </w:trPr>
        <w:tc>
          <w:tcPr>
            <w:tcW w:w="427" w:type="pct"/>
            <w:vAlign w:val="center"/>
          </w:tcPr>
          <w:p w14:paraId="70B5A265" w14:textId="77777777" w:rsidR="002E474C" w:rsidRDefault="00000000">
            <w:pPr>
              <w:pStyle w:val="A-"/>
              <w:rPr>
                <w:lang w:val="zh-CN"/>
              </w:rPr>
            </w:pPr>
            <w:r>
              <w:rPr>
                <w:lang w:val="zh-CN"/>
              </w:rPr>
              <w:t>35</w:t>
            </w:r>
          </w:p>
        </w:tc>
        <w:tc>
          <w:tcPr>
            <w:tcW w:w="1697" w:type="pct"/>
            <w:vAlign w:val="center"/>
          </w:tcPr>
          <w:p w14:paraId="0323F82D" w14:textId="77777777" w:rsidR="002E474C" w:rsidRDefault="00000000">
            <w:pPr>
              <w:pStyle w:val="A-"/>
              <w:rPr>
                <w:lang w:val="zh-CN"/>
              </w:rPr>
            </w:pPr>
            <w:r>
              <w:rPr>
                <w:lang w:val="zh-CN"/>
              </w:rPr>
              <w:t>硝基苯</w:t>
            </w:r>
          </w:p>
        </w:tc>
        <w:tc>
          <w:tcPr>
            <w:tcW w:w="1321" w:type="pct"/>
            <w:vAlign w:val="center"/>
          </w:tcPr>
          <w:p w14:paraId="15F49703" w14:textId="77777777" w:rsidR="002E474C" w:rsidRDefault="00000000">
            <w:pPr>
              <w:pStyle w:val="A-"/>
              <w:rPr>
                <w:lang w:val="zh-CN"/>
              </w:rPr>
            </w:pPr>
            <w:r>
              <w:rPr>
                <w:lang w:val="zh-CN"/>
              </w:rPr>
              <w:t>98-95-3</w:t>
            </w:r>
          </w:p>
        </w:tc>
        <w:tc>
          <w:tcPr>
            <w:tcW w:w="1556" w:type="pct"/>
            <w:vAlign w:val="center"/>
          </w:tcPr>
          <w:p w14:paraId="63521E90" w14:textId="77777777" w:rsidR="002E474C" w:rsidRDefault="00000000">
            <w:pPr>
              <w:pStyle w:val="A-"/>
              <w:rPr>
                <w:lang w:val="zh-CN"/>
              </w:rPr>
            </w:pPr>
            <w:r>
              <w:rPr>
                <w:lang w:val="zh-CN"/>
              </w:rPr>
              <w:t>76</w:t>
            </w:r>
          </w:p>
        </w:tc>
      </w:tr>
      <w:tr w:rsidR="002E474C" w14:paraId="3F70B775" w14:textId="77777777">
        <w:trPr>
          <w:jc w:val="center"/>
        </w:trPr>
        <w:tc>
          <w:tcPr>
            <w:tcW w:w="427" w:type="pct"/>
            <w:vAlign w:val="center"/>
          </w:tcPr>
          <w:p w14:paraId="147360B5" w14:textId="77777777" w:rsidR="002E474C" w:rsidRDefault="00000000">
            <w:pPr>
              <w:pStyle w:val="A-"/>
              <w:rPr>
                <w:lang w:val="zh-CN"/>
              </w:rPr>
            </w:pPr>
            <w:r>
              <w:rPr>
                <w:lang w:val="zh-CN"/>
              </w:rPr>
              <w:t>36</w:t>
            </w:r>
          </w:p>
        </w:tc>
        <w:tc>
          <w:tcPr>
            <w:tcW w:w="1697" w:type="pct"/>
            <w:vAlign w:val="center"/>
          </w:tcPr>
          <w:p w14:paraId="2951C657" w14:textId="77777777" w:rsidR="002E474C" w:rsidRDefault="00000000">
            <w:pPr>
              <w:pStyle w:val="A-"/>
              <w:rPr>
                <w:lang w:val="zh-CN"/>
              </w:rPr>
            </w:pPr>
            <w:r>
              <w:rPr>
                <w:lang w:val="zh-CN"/>
              </w:rPr>
              <w:t>苯胺</w:t>
            </w:r>
          </w:p>
        </w:tc>
        <w:tc>
          <w:tcPr>
            <w:tcW w:w="1321" w:type="pct"/>
            <w:vAlign w:val="center"/>
          </w:tcPr>
          <w:p w14:paraId="4132AF21" w14:textId="77777777" w:rsidR="002E474C" w:rsidRDefault="00000000">
            <w:pPr>
              <w:pStyle w:val="A-"/>
              <w:rPr>
                <w:lang w:val="zh-CN"/>
              </w:rPr>
            </w:pPr>
            <w:r>
              <w:rPr>
                <w:lang w:val="zh-CN"/>
              </w:rPr>
              <w:t>62-53-3</w:t>
            </w:r>
          </w:p>
        </w:tc>
        <w:tc>
          <w:tcPr>
            <w:tcW w:w="1556" w:type="pct"/>
            <w:vAlign w:val="center"/>
          </w:tcPr>
          <w:p w14:paraId="50754F51" w14:textId="77777777" w:rsidR="002E474C" w:rsidRDefault="00000000">
            <w:pPr>
              <w:pStyle w:val="A-"/>
              <w:rPr>
                <w:lang w:val="zh-CN"/>
              </w:rPr>
            </w:pPr>
            <w:r>
              <w:rPr>
                <w:lang w:val="zh-CN"/>
              </w:rPr>
              <w:t>260</w:t>
            </w:r>
          </w:p>
        </w:tc>
      </w:tr>
      <w:tr w:rsidR="002E474C" w14:paraId="12B22AFB" w14:textId="77777777">
        <w:trPr>
          <w:jc w:val="center"/>
        </w:trPr>
        <w:tc>
          <w:tcPr>
            <w:tcW w:w="427" w:type="pct"/>
            <w:vAlign w:val="center"/>
          </w:tcPr>
          <w:p w14:paraId="623AE5F5" w14:textId="77777777" w:rsidR="002E474C" w:rsidRDefault="00000000">
            <w:pPr>
              <w:pStyle w:val="A-"/>
              <w:rPr>
                <w:lang w:val="zh-CN"/>
              </w:rPr>
            </w:pPr>
            <w:r>
              <w:rPr>
                <w:lang w:val="zh-CN"/>
              </w:rPr>
              <w:t>37</w:t>
            </w:r>
          </w:p>
        </w:tc>
        <w:tc>
          <w:tcPr>
            <w:tcW w:w="1697" w:type="pct"/>
            <w:vAlign w:val="center"/>
          </w:tcPr>
          <w:p w14:paraId="0894DBC6" w14:textId="77777777" w:rsidR="002E474C" w:rsidRDefault="00000000">
            <w:pPr>
              <w:pStyle w:val="A-"/>
              <w:rPr>
                <w:lang w:val="zh-CN"/>
              </w:rPr>
            </w:pPr>
            <w:r>
              <w:rPr>
                <w:lang w:val="zh-CN"/>
              </w:rPr>
              <w:t>2-</w:t>
            </w:r>
            <w:r>
              <w:rPr>
                <w:lang w:val="zh-CN"/>
              </w:rPr>
              <w:t>氯酚</w:t>
            </w:r>
          </w:p>
        </w:tc>
        <w:tc>
          <w:tcPr>
            <w:tcW w:w="1321" w:type="pct"/>
            <w:vAlign w:val="center"/>
          </w:tcPr>
          <w:p w14:paraId="51BFE065" w14:textId="77777777" w:rsidR="002E474C" w:rsidRDefault="00000000">
            <w:pPr>
              <w:pStyle w:val="A-"/>
              <w:rPr>
                <w:lang w:val="zh-CN"/>
              </w:rPr>
            </w:pPr>
            <w:r>
              <w:rPr>
                <w:lang w:val="zh-CN"/>
              </w:rPr>
              <w:t>95-57-8</w:t>
            </w:r>
          </w:p>
        </w:tc>
        <w:tc>
          <w:tcPr>
            <w:tcW w:w="1556" w:type="pct"/>
            <w:vAlign w:val="center"/>
          </w:tcPr>
          <w:p w14:paraId="491055A3" w14:textId="77777777" w:rsidR="002E474C" w:rsidRDefault="00000000">
            <w:pPr>
              <w:pStyle w:val="A-"/>
              <w:rPr>
                <w:lang w:val="zh-CN"/>
              </w:rPr>
            </w:pPr>
            <w:r>
              <w:rPr>
                <w:lang w:val="zh-CN"/>
              </w:rPr>
              <w:t>2256</w:t>
            </w:r>
          </w:p>
        </w:tc>
      </w:tr>
      <w:tr w:rsidR="002E474C" w14:paraId="50CD8ED1" w14:textId="77777777">
        <w:trPr>
          <w:jc w:val="center"/>
        </w:trPr>
        <w:tc>
          <w:tcPr>
            <w:tcW w:w="427" w:type="pct"/>
            <w:vAlign w:val="center"/>
          </w:tcPr>
          <w:p w14:paraId="58278DB7" w14:textId="77777777" w:rsidR="002E474C" w:rsidRDefault="00000000">
            <w:pPr>
              <w:pStyle w:val="A-"/>
              <w:rPr>
                <w:lang w:val="zh-CN"/>
              </w:rPr>
            </w:pPr>
            <w:r>
              <w:rPr>
                <w:lang w:val="zh-CN"/>
              </w:rPr>
              <w:t>38</w:t>
            </w:r>
          </w:p>
        </w:tc>
        <w:tc>
          <w:tcPr>
            <w:tcW w:w="1697" w:type="pct"/>
            <w:vAlign w:val="center"/>
          </w:tcPr>
          <w:p w14:paraId="0074779B" w14:textId="77777777" w:rsidR="002E474C" w:rsidRDefault="00000000">
            <w:pPr>
              <w:pStyle w:val="A-"/>
              <w:rPr>
                <w:lang w:val="zh-CN"/>
              </w:rPr>
            </w:pPr>
            <w:r>
              <w:rPr>
                <w:lang w:val="zh-CN"/>
              </w:rPr>
              <w:t>苯并〔</w:t>
            </w:r>
            <w:r>
              <w:rPr>
                <w:lang w:val="zh-CN"/>
              </w:rPr>
              <w:t>a</w:t>
            </w:r>
            <w:r>
              <w:rPr>
                <w:lang w:val="zh-CN"/>
              </w:rPr>
              <w:t>〕蒽</w:t>
            </w:r>
          </w:p>
        </w:tc>
        <w:tc>
          <w:tcPr>
            <w:tcW w:w="1321" w:type="pct"/>
            <w:vAlign w:val="center"/>
          </w:tcPr>
          <w:p w14:paraId="0F1D2BC9" w14:textId="77777777" w:rsidR="002E474C" w:rsidRDefault="00000000">
            <w:pPr>
              <w:pStyle w:val="A-"/>
              <w:rPr>
                <w:lang w:val="zh-CN"/>
              </w:rPr>
            </w:pPr>
            <w:r>
              <w:rPr>
                <w:lang w:val="zh-CN"/>
              </w:rPr>
              <w:t>56-55-3</w:t>
            </w:r>
          </w:p>
        </w:tc>
        <w:tc>
          <w:tcPr>
            <w:tcW w:w="1556" w:type="pct"/>
            <w:vAlign w:val="center"/>
          </w:tcPr>
          <w:p w14:paraId="6D257384" w14:textId="77777777" w:rsidR="002E474C" w:rsidRDefault="00000000">
            <w:pPr>
              <w:pStyle w:val="A-"/>
              <w:rPr>
                <w:lang w:val="zh-CN"/>
              </w:rPr>
            </w:pPr>
            <w:r>
              <w:rPr>
                <w:lang w:val="zh-CN"/>
              </w:rPr>
              <w:t>15</w:t>
            </w:r>
          </w:p>
        </w:tc>
      </w:tr>
      <w:tr w:rsidR="002E474C" w14:paraId="5A1FF302" w14:textId="77777777">
        <w:trPr>
          <w:jc w:val="center"/>
        </w:trPr>
        <w:tc>
          <w:tcPr>
            <w:tcW w:w="427" w:type="pct"/>
            <w:vAlign w:val="center"/>
          </w:tcPr>
          <w:p w14:paraId="78ECD3E5" w14:textId="77777777" w:rsidR="002E474C" w:rsidRDefault="00000000">
            <w:pPr>
              <w:pStyle w:val="A-"/>
              <w:rPr>
                <w:lang w:val="zh-CN"/>
              </w:rPr>
            </w:pPr>
            <w:r>
              <w:rPr>
                <w:lang w:val="zh-CN"/>
              </w:rPr>
              <w:t>39</w:t>
            </w:r>
          </w:p>
        </w:tc>
        <w:tc>
          <w:tcPr>
            <w:tcW w:w="1697" w:type="pct"/>
            <w:vAlign w:val="center"/>
          </w:tcPr>
          <w:p w14:paraId="3089EE94" w14:textId="77777777" w:rsidR="002E474C" w:rsidRDefault="00000000">
            <w:pPr>
              <w:pStyle w:val="A-"/>
              <w:rPr>
                <w:lang w:val="zh-CN"/>
              </w:rPr>
            </w:pPr>
            <w:r>
              <w:rPr>
                <w:lang w:val="zh-CN"/>
              </w:rPr>
              <w:t>苯并〔</w:t>
            </w:r>
            <w:r>
              <w:rPr>
                <w:lang w:val="zh-CN"/>
              </w:rPr>
              <w:t>a</w:t>
            </w:r>
            <w:r>
              <w:rPr>
                <w:lang w:val="zh-CN"/>
              </w:rPr>
              <w:t>〕芘</w:t>
            </w:r>
          </w:p>
        </w:tc>
        <w:tc>
          <w:tcPr>
            <w:tcW w:w="1321" w:type="pct"/>
            <w:vAlign w:val="center"/>
          </w:tcPr>
          <w:p w14:paraId="36927D4E" w14:textId="77777777" w:rsidR="002E474C" w:rsidRDefault="00000000">
            <w:pPr>
              <w:pStyle w:val="A-"/>
              <w:rPr>
                <w:lang w:val="zh-CN"/>
              </w:rPr>
            </w:pPr>
            <w:r>
              <w:rPr>
                <w:lang w:val="zh-CN"/>
              </w:rPr>
              <w:t>50-32-8</w:t>
            </w:r>
          </w:p>
        </w:tc>
        <w:tc>
          <w:tcPr>
            <w:tcW w:w="1556" w:type="pct"/>
            <w:vAlign w:val="center"/>
          </w:tcPr>
          <w:p w14:paraId="2CDDF580" w14:textId="77777777" w:rsidR="002E474C" w:rsidRDefault="00000000">
            <w:pPr>
              <w:pStyle w:val="A-"/>
              <w:rPr>
                <w:lang w:val="zh-CN"/>
              </w:rPr>
            </w:pPr>
            <w:r>
              <w:rPr>
                <w:lang w:val="zh-CN"/>
              </w:rPr>
              <w:t>1.5</w:t>
            </w:r>
          </w:p>
        </w:tc>
      </w:tr>
      <w:tr w:rsidR="002E474C" w14:paraId="7CF89C6D" w14:textId="77777777">
        <w:trPr>
          <w:jc w:val="center"/>
        </w:trPr>
        <w:tc>
          <w:tcPr>
            <w:tcW w:w="427" w:type="pct"/>
            <w:vAlign w:val="center"/>
          </w:tcPr>
          <w:p w14:paraId="16BA86D2" w14:textId="77777777" w:rsidR="002E474C" w:rsidRDefault="00000000">
            <w:pPr>
              <w:pStyle w:val="A-"/>
              <w:rPr>
                <w:lang w:val="zh-CN"/>
              </w:rPr>
            </w:pPr>
            <w:r>
              <w:rPr>
                <w:lang w:val="zh-CN"/>
              </w:rPr>
              <w:t>40</w:t>
            </w:r>
          </w:p>
        </w:tc>
        <w:tc>
          <w:tcPr>
            <w:tcW w:w="1697" w:type="pct"/>
            <w:vAlign w:val="center"/>
          </w:tcPr>
          <w:p w14:paraId="0CD2D9C5" w14:textId="77777777" w:rsidR="002E474C" w:rsidRDefault="00000000">
            <w:pPr>
              <w:pStyle w:val="A-"/>
              <w:rPr>
                <w:lang w:val="zh-CN"/>
              </w:rPr>
            </w:pPr>
            <w:r>
              <w:rPr>
                <w:lang w:val="zh-CN"/>
              </w:rPr>
              <w:t>苯并〔</w:t>
            </w:r>
            <w:r>
              <w:rPr>
                <w:lang w:val="zh-CN"/>
              </w:rPr>
              <w:t>b</w:t>
            </w:r>
            <w:r>
              <w:rPr>
                <w:lang w:val="zh-CN"/>
              </w:rPr>
              <w:t>〕荧蒽</w:t>
            </w:r>
          </w:p>
        </w:tc>
        <w:tc>
          <w:tcPr>
            <w:tcW w:w="1321" w:type="pct"/>
            <w:vAlign w:val="center"/>
          </w:tcPr>
          <w:p w14:paraId="0FF905E1" w14:textId="77777777" w:rsidR="002E474C" w:rsidRDefault="00000000">
            <w:pPr>
              <w:pStyle w:val="A-"/>
              <w:rPr>
                <w:lang w:val="zh-CN"/>
              </w:rPr>
            </w:pPr>
            <w:r>
              <w:rPr>
                <w:lang w:val="zh-CN"/>
              </w:rPr>
              <w:t>205-99-2</w:t>
            </w:r>
          </w:p>
        </w:tc>
        <w:tc>
          <w:tcPr>
            <w:tcW w:w="1556" w:type="pct"/>
            <w:vAlign w:val="center"/>
          </w:tcPr>
          <w:p w14:paraId="5F633BC3" w14:textId="77777777" w:rsidR="002E474C" w:rsidRDefault="00000000">
            <w:pPr>
              <w:pStyle w:val="A-"/>
              <w:rPr>
                <w:lang w:val="zh-CN"/>
              </w:rPr>
            </w:pPr>
            <w:r>
              <w:rPr>
                <w:lang w:val="zh-CN"/>
              </w:rPr>
              <w:t>15</w:t>
            </w:r>
          </w:p>
        </w:tc>
      </w:tr>
      <w:tr w:rsidR="002E474C" w14:paraId="5AD368E4" w14:textId="77777777">
        <w:trPr>
          <w:jc w:val="center"/>
        </w:trPr>
        <w:tc>
          <w:tcPr>
            <w:tcW w:w="427" w:type="pct"/>
            <w:vAlign w:val="center"/>
          </w:tcPr>
          <w:p w14:paraId="6895F3B6" w14:textId="77777777" w:rsidR="002E474C" w:rsidRDefault="00000000">
            <w:pPr>
              <w:pStyle w:val="A-"/>
              <w:rPr>
                <w:lang w:val="zh-CN"/>
              </w:rPr>
            </w:pPr>
            <w:r>
              <w:rPr>
                <w:lang w:val="zh-CN"/>
              </w:rPr>
              <w:t>41</w:t>
            </w:r>
          </w:p>
        </w:tc>
        <w:tc>
          <w:tcPr>
            <w:tcW w:w="1697" w:type="pct"/>
            <w:vAlign w:val="center"/>
          </w:tcPr>
          <w:p w14:paraId="5BB37F88" w14:textId="77777777" w:rsidR="002E474C" w:rsidRDefault="00000000">
            <w:pPr>
              <w:pStyle w:val="A-"/>
              <w:rPr>
                <w:lang w:val="zh-CN"/>
              </w:rPr>
            </w:pPr>
            <w:r>
              <w:rPr>
                <w:lang w:val="zh-CN"/>
              </w:rPr>
              <w:t>苯并〔</w:t>
            </w:r>
            <w:r>
              <w:rPr>
                <w:lang w:val="zh-CN"/>
              </w:rPr>
              <w:t>k</w:t>
            </w:r>
            <w:r>
              <w:rPr>
                <w:lang w:val="zh-CN"/>
              </w:rPr>
              <w:t>〕荧蒽</w:t>
            </w:r>
          </w:p>
        </w:tc>
        <w:tc>
          <w:tcPr>
            <w:tcW w:w="1321" w:type="pct"/>
            <w:vAlign w:val="center"/>
          </w:tcPr>
          <w:p w14:paraId="10306C43" w14:textId="77777777" w:rsidR="002E474C" w:rsidRDefault="00000000">
            <w:pPr>
              <w:pStyle w:val="A-"/>
              <w:rPr>
                <w:lang w:val="zh-CN"/>
              </w:rPr>
            </w:pPr>
            <w:r>
              <w:rPr>
                <w:lang w:val="zh-CN"/>
              </w:rPr>
              <w:t>207-08-9</w:t>
            </w:r>
          </w:p>
        </w:tc>
        <w:tc>
          <w:tcPr>
            <w:tcW w:w="1556" w:type="pct"/>
            <w:vAlign w:val="center"/>
          </w:tcPr>
          <w:p w14:paraId="2CB5F060" w14:textId="77777777" w:rsidR="002E474C" w:rsidRDefault="00000000">
            <w:pPr>
              <w:pStyle w:val="A-"/>
              <w:rPr>
                <w:lang w:val="zh-CN"/>
              </w:rPr>
            </w:pPr>
            <w:r>
              <w:rPr>
                <w:lang w:val="zh-CN"/>
              </w:rPr>
              <w:t>151</w:t>
            </w:r>
          </w:p>
        </w:tc>
      </w:tr>
      <w:tr w:rsidR="002E474C" w14:paraId="02805DDA" w14:textId="77777777">
        <w:trPr>
          <w:jc w:val="center"/>
        </w:trPr>
        <w:tc>
          <w:tcPr>
            <w:tcW w:w="427" w:type="pct"/>
            <w:vAlign w:val="center"/>
          </w:tcPr>
          <w:p w14:paraId="7B6BE0BF" w14:textId="77777777" w:rsidR="002E474C" w:rsidRDefault="00000000">
            <w:pPr>
              <w:pStyle w:val="A-"/>
              <w:rPr>
                <w:lang w:val="zh-CN"/>
              </w:rPr>
            </w:pPr>
            <w:r>
              <w:rPr>
                <w:lang w:val="zh-CN"/>
              </w:rPr>
              <w:t>42</w:t>
            </w:r>
          </w:p>
        </w:tc>
        <w:tc>
          <w:tcPr>
            <w:tcW w:w="1697" w:type="pct"/>
            <w:vAlign w:val="center"/>
          </w:tcPr>
          <w:p w14:paraId="7499EB21" w14:textId="77777777" w:rsidR="002E474C" w:rsidRDefault="00000000">
            <w:pPr>
              <w:pStyle w:val="A-"/>
              <w:rPr>
                <w:lang w:val="zh-CN"/>
              </w:rPr>
            </w:pPr>
            <w:r>
              <w:rPr>
                <w:lang w:val="zh-CN"/>
              </w:rPr>
              <w:t>䓛</w:t>
            </w:r>
          </w:p>
        </w:tc>
        <w:tc>
          <w:tcPr>
            <w:tcW w:w="1321" w:type="pct"/>
            <w:vAlign w:val="center"/>
          </w:tcPr>
          <w:p w14:paraId="4FDE58FC" w14:textId="77777777" w:rsidR="002E474C" w:rsidRDefault="00000000">
            <w:pPr>
              <w:pStyle w:val="A-"/>
              <w:rPr>
                <w:lang w:val="zh-CN"/>
              </w:rPr>
            </w:pPr>
            <w:r>
              <w:rPr>
                <w:lang w:val="zh-CN"/>
              </w:rPr>
              <w:t>218-01-9</w:t>
            </w:r>
          </w:p>
        </w:tc>
        <w:tc>
          <w:tcPr>
            <w:tcW w:w="1556" w:type="pct"/>
            <w:vAlign w:val="center"/>
          </w:tcPr>
          <w:p w14:paraId="2008891A" w14:textId="77777777" w:rsidR="002E474C" w:rsidRDefault="00000000">
            <w:pPr>
              <w:pStyle w:val="A-"/>
              <w:rPr>
                <w:lang w:val="zh-CN"/>
              </w:rPr>
            </w:pPr>
            <w:r>
              <w:rPr>
                <w:lang w:val="zh-CN"/>
              </w:rPr>
              <w:t>1293</w:t>
            </w:r>
          </w:p>
        </w:tc>
      </w:tr>
      <w:tr w:rsidR="002E474C" w14:paraId="2B9EF205" w14:textId="77777777">
        <w:trPr>
          <w:jc w:val="center"/>
        </w:trPr>
        <w:tc>
          <w:tcPr>
            <w:tcW w:w="427" w:type="pct"/>
            <w:vAlign w:val="center"/>
          </w:tcPr>
          <w:p w14:paraId="119D188A" w14:textId="77777777" w:rsidR="002E474C" w:rsidRDefault="00000000">
            <w:pPr>
              <w:pStyle w:val="A-"/>
              <w:rPr>
                <w:lang w:val="zh-CN"/>
              </w:rPr>
            </w:pPr>
            <w:r>
              <w:rPr>
                <w:lang w:val="zh-CN"/>
              </w:rPr>
              <w:t>43</w:t>
            </w:r>
          </w:p>
        </w:tc>
        <w:tc>
          <w:tcPr>
            <w:tcW w:w="1697" w:type="pct"/>
            <w:vAlign w:val="center"/>
          </w:tcPr>
          <w:p w14:paraId="52C31D48" w14:textId="77777777" w:rsidR="002E474C" w:rsidRDefault="00000000">
            <w:pPr>
              <w:pStyle w:val="A-"/>
              <w:rPr>
                <w:lang w:val="zh-CN"/>
              </w:rPr>
            </w:pPr>
            <w:r>
              <w:rPr>
                <w:lang w:val="zh-CN"/>
              </w:rPr>
              <w:t>二苯并〔</w:t>
            </w:r>
            <w:r>
              <w:rPr>
                <w:lang w:val="zh-CN"/>
              </w:rPr>
              <w:t>a</w:t>
            </w:r>
            <w:r>
              <w:rPr>
                <w:lang w:val="zh-CN"/>
              </w:rPr>
              <w:t>，</w:t>
            </w:r>
            <w:r>
              <w:rPr>
                <w:lang w:val="zh-CN"/>
              </w:rPr>
              <w:t>h</w:t>
            </w:r>
            <w:r>
              <w:rPr>
                <w:lang w:val="zh-CN"/>
              </w:rPr>
              <w:t>〕蒽</w:t>
            </w:r>
          </w:p>
        </w:tc>
        <w:tc>
          <w:tcPr>
            <w:tcW w:w="1321" w:type="pct"/>
            <w:vAlign w:val="center"/>
          </w:tcPr>
          <w:p w14:paraId="22473803" w14:textId="77777777" w:rsidR="002E474C" w:rsidRDefault="00000000">
            <w:pPr>
              <w:pStyle w:val="A-"/>
              <w:rPr>
                <w:lang w:val="zh-CN"/>
              </w:rPr>
            </w:pPr>
            <w:r>
              <w:rPr>
                <w:lang w:val="zh-CN"/>
              </w:rPr>
              <w:t>53-70-3</w:t>
            </w:r>
          </w:p>
        </w:tc>
        <w:tc>
          <w:tcPr>
            <w:tcW w:w="1556" w:type="pct"/>
            <w:vAlign w:val="center"/>
          </w:tcPr>
          <w:p w14:paraId="213C914D" w14:textId="77777777" w:rsidR="002E474C" w:rsidRDefault="00000000">
            <w:pPr>
              <w:pStyle w:val="A-"/>
              <w:rPr>
                <w:lang w:val="zh-CN"/>
              </w:rPr>
            </w:pPr>
            <w:r>
              <w:rPr>
                <w:lang w:val="zh-CN"/>
              </w:rPr>
              <w:t>1.5</w:t>
            </w:r>
          </w:p>
        </w:tc>
      </w:tr>
      <w:tr w:rsidR="002E474C" w14:paraId="1129DB06" w14:textId="77777777">
        <w:trPr>
          <w:jc w:val="center"/>
        </w:trPr>
        <w:tc>
          <w:tcPr>
            <w:tcW w:w="427" w:type="pct"/>
            <w:vAlign w:val="center"/>
          </w:tcPr>
          <w:p w14:paraId="0BB76264" w14:textId="77777777" w:rsidR="002E474C" w:rsidRDefault="00000000">
            <w:pPr>
              <w:pStyle w:val="A-"/>
              <w:rPr>
                <w:lang w:val="zh-CN"/>
              </w:rPr>
            </w:pPr>
            <w:r>
              <w:rPr>
                <w:lang w:val="zh-CN"/>
              </w:rPr>
              <w:t>44</w:t>
            </w:r>
          </w:p>
        </w:tc>
        <w:tc>
          <w:tcPr>
            <w:tcW w:w="1697" w:type="pct"/>
            <w:vAlign w:val="center"/>
          </w:tcPr>
          <w:p w14:paraId="15464F20" w14:textId="77777777" w:rsidR="002E474C" w:rsidRDefault="00000000">
            <w:pPr>
              <w:pStyle w:val="A-"/>
              <w:rPr>
                <w:lang w:val="zh-CN"/>
              </w:rPr>
            </w:pPr>
            <w:r>
              <w:rPr>
                <w:lang w:val="zh-CN"/>
              </w:rPr>
              <w:t>茚并〔</w:t>
            </w:r>
            <w:r>
              <w:rPr>
                <w:lang w:val="zh-CN"/>
              </w:rPr>
              <w:t>1,2,3-cd</w:t>
            </w:r>
            <w:r>
              <w:rPr>
                <w:lang w:val="zh-CN"/>
              </w:rPr>
              <w:t>〕芘</w:t>
            </w:r>
          </w:p>
        </w:tc>
        <w:tc>
          <w:tcPr>
            <w:tcW w:w="1321" w:type="pct"/>
            <w:vAlign w:val="center"/>
          </w:tcPr>
          <w:p w14:paraId="45564C53" w14:textId="77777777" w:rsidR="002E474C" w:rsidRDefault="00000000">
            <w:pPr>
              <w:pStyle w:val="A-"/>
              <w:rPr>
                <w:lang w:val="zh-CN"/>
              </w:rPr>
            </w:pPr>
            <w:r>
              <w:rPr>
                <w:lang w:val="zh-CN"/>
              </w:rPr>
              <w:t>193-39-5</w:t>
            </w:r>
          </w:p>
        </w:tc>
        <w:tc>
          <w:tcPr>
            <w:tcW w:w="1556" w:type="pct"/>
            <w:vAlign w:val="center"/>
          </w:tcPr>
          <w:p w14:paraId="1ABAF3DB" w14:textId="77777777" w:rsidR="002E474C" w:rsidRDefault="00000000">
            <w:pPr>
              <w:pStyle w:val="A-"/>
              <w:rPr>
                <w:lang w:val="zh-CN"/>
              </w:rPr>
            </w:pPr>
            <w:r>
              <w:rPr>
                <w:lang w:val="zh-CN"/>
              </w:rPr>
              <w:t>15</w:t>
            </w:r>
          </w:p>
        </w:tc>
      </w:tr>
      <w:tr w:rsidR="002E474C" w14:paraId="79E6BAB2" w14:textId="77777777">
        <w:trPr>
          <w:jc w:val="center"/>
        </w:trPr>
        <w:tc>
          <w:tcPr>
            <w:tcW w:w="427" w:type="pct"/>
            <w:vAlign w:val="center"/>
          </w:tcPr>
          <w:p w14:paraId="0DC42D14" w14:textId="77777777" w:rsidR="002E474C" w:rsidRDefault="00000000">
            <w:pPr>
              <w:pStyle w:val="A-"/>
              <w:rPr>
                <w:lang w:val="zh-CN"/>
              </w:rPr>
            </w:pPr>
            <w:r>
              <w:rPr>
                <w:lang w:val="zh-CN"/>
              </w:rPr>
              <w:t>45</w:t>
            </w:r>
          </w:p>
        </w:tc>
        <w:tc>
          <w:tcPr>
            <w:tcW w:w="1697" w:type="pct"/>
            <w:vAlign w:val="center"/>
          </w:tcPr>
          <w:p w14:paraId="3A021F13" w14:textId="77777777" w:rsidR="002E474C" w:rsidRDefault="00000000">
            <w:pPr>
              <w:pStyle w:val="A-"/>
              <w:rPr>
                <w:lang w:val="zh-CN"/>
              </w:rPr>
            </w:pPr>
            <w:r>
              <w:rPr>
                <w:lang w:val="zh-CN"/>
              </w:rPr>
              <w:t>萘</w:t>
            </w:r>
          </w:p>
        </w:tc>
        <w:tc>
          <w:tcPr>
            <w:tcW w:w="1321" w:type="pct"/>
            <w:vAlign w:val="center"/>
          </w:tcPr>
          <w:p w14:paraId="7E6EE853" w14:textId="77777777" w:rsidR="002E474C" w:rsidRDefault="00000000">
            <w:pPr>
              <w:pStyle w:val="A-"/>
              <w:rPr>
                <w:lang w:val="zh-CN"/>
              </w:rPr>
            </w:pPr>
            <w:r>
              <w:rPr>
                <w:lang w:val="zh-CN"/>
              </w:rPr>
              <w:t>91-20-3</w:t>
            </w:r>
          </w:p>
        </w:tc>
        <w:tc>
          <w:tcPr>
            <w:tcW w:w="1556" w:type="pct"/>
            <w:vAlign w:val="center"/>
          </w:tcPr>
          <w:p w14:paraId="7FD3C2D7" w14:textId="77777777" w:rsidR="002E474C" w:rsidRDefault="00000000">
            <w:pPr>
              <w:pStyle w:val="A-"/>
              <w:rPr>
                <w:lang w:val="zh-CN"/>
              </w:rPr>
            </w:pPr>
            <w:r>
              <w:rPr>
                <w:lang w:val="zh-CN"/>
              </w:rPr>
              <w:t>70</w:t>
            </w:r>
          </w:p>
        </w:tc>
      </w:tr>
      <w:tr w:rsidR="002E474C" w14:paraId="305D139A" w14:textId="77777777">
        <w:trPr>
          <w:jc w:val="center"/>
        </w:trPr>
        <w:tc>
          <w:tcPr>
            <w:tcW w:w="5000" w:type="pct"/>
            <w:gridSpan w:val="4"/>
            <w:vAlign w:val="center"/>
          </w:tcPr>
          <w:p w14:paraId="239543F7" w14:textId="77777777" w:rsidR="002E474C" w:rsidRDefault="00000000">
            <w:pPr>
              <w:pStyle w:val="A-"/>
              <w:rPr>
                <w:lang w:val="zh-CN"/>
              </w:rPr>
            </w:pPr>
            <w:r>
              <w:rPr>
                <w:lang w:val="zh-CN"/>
              </w:rPr>
              <w:t>其他项目</w:t>
            </w:r>
          </w:p>
        </w:tc>
      </w:tr>
      <w:tr w:rsidR="002E474C" w14:paraId="62004339" w14:textId="77777777">
        <w:trPr>
          <w:jc w:val="center"/>
        </w:trPr>
        <w:tc>
          <w:tcPr>
            <w:tcW w:w="427" w:type="pct"/>
            <w:vAlign w:val="center"/>
          </w:tcPr>
          <w:p w14:paraId="7DC5CF9C" w14:textId="77777777" w:rsidR="002E474C" w:rsidRDefault="00000000">
            <w:pPr>
              <w:pStyle w:val="A-"/>
              <w:rPr>
                <w:lang w:val="zh-CN"/>
              </w:rPr>
            </w:pPr>
            <w:r>
              <w:rPr>
                <w:lang w:val="zh-CN"/>
              </w:rPr>
              <w:t>46</w:t>
            </w:r>
          </w:p>
        </w:tc>
        <w:tc>
          <w:tcPr>
            <w:tcW w:w="1697" w:type="pct"/>
            <w:vAlign w:val="center"/>
          </w:tcPr>
          <w:p w14:paraId="28BA9D9E" w14:textId="77777777" w:rsidR="002E474C" w:rsidRDefault="00000000">
            <w:pPr>
              <w:pStyle w:val="A-"/>
              <w:rPr>
                <w:lang w:val="zh-CN"/>
              </w:rPr>
            </w:pPr>
            <w:r>
              <w:t>钴</w:t>
            </w:r>
          </w:p>
        </w:tc>
        <w:tc>
          <w:tcPr>
            <w:tcW w:w="1321" w:type="pct"/>
            <w:vAlign w:val="center"/>
          </w:tcPr>
          <w:p w14:paraId="1A3D7950" w14:textId="77777777" w:rsidR="002E474C" w:rsidRDefault="00000000">
            <w:pPr>
              <w:pStyle w:val="A-"/>
              <w:rPr>
                <w:lang w:val="zh-CN"/>
              </w:rPr>
            </w:pPr>
            <w:r>
              <w:t>7440-48-4</w:t>
            </w:r>
          </w:p>
        </w:tc>
        <w:tc>
          <w:tcPr>
            <w:tcW w:w="1556" w:type="pct"/>
            <w:vAlign w:val="center"/>
          </w:tcPr>
          <w:p w14:paraId="4363AD68" w14:textId="77777777" w:rsidR="002E474C" w:rsidRDefault="00000000">
            <w:pPr>
              <w:pStyle w:val="A-"/>
            </w:pPr>
            <w:r>
              <w:t>70</w:t>
            </w:r>
          </w:p>
        </w:tc>
      </w:tr>
      <w:tr w:rsidR="002E474C" w14:paraId="2B4322F1" w14:textId="77777777">
        <w:trPr>
          <w:jc w:val="center"/>
        </w:trPr>
        <w:tc>
          <w:tcPr>
            <w:tcW w:w="427" w:type="pct"/>
            <w:vAlign w:val="center"/>
          </w:tcPr>
          <w:p w14:paraId="3F1FD6BF" w14:textId="77777777" w:rsidR="002E474C" w:rsidRDefault="00000000">
            <w:pPr>
              <w:pStyle w:val="A-"/>
              <w:rPr>
                <w:lang w:val="zh-CN"/>
              </w:rPr>
            </w:pPr>
            <w:r>
              <w:rPr>
                <w:lang w:val="zh-CN"/>
              </w:rPr>
              <w:t>47</w:t>
            </w:r>
          </w:p>
        </w:tc>
        <w:tc>
          <w:tcPr>
            <w:tcW w:w="1697" w:type="pct"/>
            <w:vAlign w:val="center"/>
          </w:tcPr>
          <w:p w14:paraId="437E2C96" w14:textId="77777777" w:rsidR="002E474C" w:rsidRDefault="00000000">
            <w:pPr>
              <w:pStyle w:val="A-"/>
              <w:rPr>
                <w:lang w:val="zh-CN"/>
              </w:rPr>
            </w:pPr>
            <w:r>
              <w:t>钒</w:t>
            </w:r>
          </w:p>
        </w:tc>
        <w:tc>
          <w:tcPr>
            <w:tcW w:w="1321" w:type="pct"/>
            <w:vAlign w:val="center"/>
          </w:tcPr>
          <w:p w14:paraId="5A81501B" w14:textId="77777777" w:rsidR="002E474C" w:rsidRDefault="00000000">
            <w:pPr>
              <w:pStyle w:val="A-"/>
              <w:rPr>
                <w:lang w:val="zh-CN"/>
              </w:rPr>
            </w:pPr>
            <w:r>
              <w:t>7440-62-2</w:t>
            </w:r>
          </w:p>
        </w:tc>
        <w:tc>
          <w:tcPr>
            <w:tcW w:w="1556" w:type="pct"/>
            <w:vAlign w:val="center"/>
          </w:tcPr>
          <w:p w14:paraId="2DEAFEF1" w14:textId="77777777" w:rsidR="002E474C" w:rsidRDefault="00000000">
            <w:pPr>
              <w:pStyle w:val="A-"/>
            </w:pPr>
            <w:r>
              <w:t>752</w:t>
            </w:r>
          </w:p>
        </w:tc>
      </w:tr>
      <w:tr w:rsidR="002E474C" w14:paraId="14A6F8C3" w14:textId="77777777">
        <w:trPr>
          <w:jc w:val="center"/>
        </w:trPr>
        <w:tc>
          <w:tcPr>
            <w:tcW w:w="427" w:type="pct"/>
            <w:vAlign w:val="center"/>
          </w:tcPr>
          <w:p w14:paraId="49A044A7" w14:textId="77777777" w:rsidR="002E474C" w:rsidRDefault="00000000">
            <w:pPr>
              <w:pStyle w:val="A-"/>
              <w:rPr>
                <w:lang w:val="zh-CN"/>
              </w:rPr>
            </w:pPr>
            <w:r>
              <w:rPr>
                <w:lang w:val="zh-CN"/>
              </w:rPr>
              <w:t>48</w:t>
            </w:r>
          </w:p>
        </w:tc>
        <w:tc>
          <w:tcPr>
            <w:tcW w:w="1697" w:type="pct"/>
            <w:vAlign w:val="center"/>
          </w:tcPr>
          <w:p w14:paraId="247690FD" w14:textId="77777777" w:rsidR="002E474C" w:rsidRDefault="00000000">
            <w:pPr>
              <w:pStyle w:val="A-"/>
              <w:rPr>
                <w:lang w:val="zh-CN"/>
              </w:rPr>
            </w:pPr>
            <w:r>
              <w:t>氰化物</w:t>
            </w:r>
          </w:p>
        </w:tc>
        <w:tc>
          <w:tcPr>
            <w:tcW w:w="1321" w:type="pct"/>
            <w:vAlign w:val="center"/>
          </w:tcPr>
          <w:p w14:paraId="73A4F6F9" w14:textId="77777777" w:rsidR="002E474C" w:rsidRDefault="00000000">
            <w:pPr>
              <w:pStyle w:val="A-"/>
              <w:rPr>
                <w:lang w:val="zh-CN"/>
              </w:rPr>
            </w:pPr>
            <w:r>
              <w:t>57-12-5</w:t>
            </w:r>
          </w:p>
        </w:tc>
        <w:tc>
          <w:tcPr>
            <w:tcW w:w="1556" w:type="pct"/>
            <w:vAlign w:val="center"/>
          </w:tcPr>
          <w:p w14:paraId="1AA3B016" w14:textId="77777777" w:rsidR="002E474C" w:rsidRDefault="00000000">
            <w:pPr>
              <w:pStyle w:val="A-"/>
            </w:pPr>
            <w:r>
              <w:t>135</w:t>
            </w:r>
          </w:p>
        </w:tc>
      </w:tr>
      <w:tr w:rsidR="002E474C" w14:paraId="60DC2F7F" w14:textId="77777777">
        <w:trPr>
          <w:jc w:val="center"/>
        </w:trPr>
        <w:tc>
          <w:tcPr>
            <w:tcW w:w="427" w:type="pct"/>
            <w:vAlign w:val="center"/>
          </w:tcPr>
          <w:p w14:paraId="64A2103A" w14:textId="77777777" w:rsidR="002E474C" w:rsidRDefault="00000000">
            <w:pPr>
              <w:pStyle w:val="A-"/>
              <w:rPr>
                <w:lang w:val="zh-CN"/>
              </w:rPr>
            </w:pPr>
            <w:r>
              <w:rPr>
                <w:lang w:val="zh-CN"/>
              </w:rPr>
              <w:t>49</w:t>
            </w:r>
          </w:p>
        </w:tc>
        <w:tc>
          <w:tcPr>
            <w:tcW w:w="1697" w:type="pct"/>
            <w:vAlign w:val="center"/>
          </w:tcPr>
          <w:p w14:paraId="38557489" w14:textId="77777777" w:rsidR="002E474C" w:rsidRDefault="00000000">
            <w:pPr>
              <w:pStyle w:val="A-"/>
              <w:rPr>
                <w:lang w:val="zh-CN"/>
              </w:rPr>
            </w:pPr>
            <w:r>
              <w:t>石油烃</w:t>
            </w:r>
            <w:r>
              <w:t>C</w:t>
            </w:r>
            <w:r>
              <w:rPr>
                <w:vertAlign w:val="subscript"/>
              </w:rPr>
              <w:t>10</w:t>
            </w:r>
            <w:r>
              <w:t>-C</w:t>
            </w:r>
            <w:r>
              <w:rPr>
                <w:vertAlign w:val="subscript"/>
              </w:rPr>
              <w:t>40</w:t>
            </w:r>
            <w:r>
              <w:t>）</w:t>
            </w:r>
          </w:p>
        </w:tc>
        <w:tc>
          <w:tcPr>
            <w:tcW w:w="1321" w:type="pct"/>
            <w:vAlign w:val="center"/>
          </w:tcPr>
          <w:p w14:paraId="41648216" w14:textId="77777777" w:rsidR="002E474C" w:rsidRDefault="00000000">
            <w:pPr>
              <w:pStyle w:val="A-"/>
              <w:rPr>
                <w:lang w:val="zh-CN"/>
              </w:rPr>
            </w:pPr>
            <w:r>
              <w:t>-</w:t>
            </w:r>
          </w:p>
        </w:tc>
        <w:tc>
          <w:tcPr>
            <w:tcW w:w="1556" w:type="pct"/>
            <w:vAlign w:val="center"/>
          </w:tcPr>
          <w:p w14:paraId="47DF696C" w14:textId="77777777" w:rsidR="002E474C" w:rsidRDefault="00000000">
            <w:pPr>
              <w:pStyle w:val="A-"/>
            </w:pPr>
            <w:r>
              <w:t>4500</w:t>
            </w:r>
          </w:p>
        </w:tc>
      </w:tr>
      <w:tr w:rsidR="002E474C" w14:paraId="3E8987D1" w14:textId="77777777">
        <w:trPr>
          <w:jc w:val="center"/>
        </w:trPr>
        <w:tc>
          <w:tcPr>
            <w:tcW w:w="427" w:type="pct"/>
            <w:vAlign w:val="center"/>
          </w:tcPr>
          <w:p w14:paraId="7A16FE1D" w14:textId="77777777" w:rsidR="002E474C" w:rsidRDefault="00000000">
            <w:pPr>
              <w:pStyle w:val="A-"/>
              <w:rPr>
                <w:lang w:val="zh-CN"/>
              </w:rPr>
            </w:pPr>
            <w:r>
              <w:rPr>
                <w:lang w:val="zh-CN"/>
              </w:rPr>
              <w:t>50</w:t>
            </w:r>
          </w:p>
        </w:tc>
        <w:tc>
          <w:tcPr>
            <w:tcW w:w="1697" w:type="pct"/>
            <w:vAlign w:val="center"/>
          </w:tcPr>
          <w:p w14:paraId="5F1F9CB6" w14:textId="77777777" w:rsidR="002E474C" w:rsidRDefault="00000000">
            <w:pPr>
              <w:pStyle w:val="A-"/>
            </w:pPr>
            <w:r>
              <w:t>二噁英类（总毒性当量）</w:t>
            </w:r>
          </w:p>
        </w:tc>
        <w:tc>
          <w:tcPr>
            <w:tcW w:w="1321" w:type="pct"/>
            <w:vAlign w:val="center"/>
          </w:tcPr>
          <w:p w14:paraId="5ACBEDD3" w14:textId="77777777" w:rsidR="002E474C" w:rsidRDefault="00000000">
            <w:pPr>
              <w:pStyle w:val="A-"/>
            </w:pPr>
            <w:r>
              <w:t>-</w:t>
            </w:r>
          </w:p>
        </w:tc>
        <w:tc>
          <w:tcPr>
            <w:tcW w:w="1556" w:type="pct"/>
            <w:vAlign w:val="center"/>
          </w:tcPr>
          <w:p w14:paraId="5C6F8D38" w14:textId="77777777" w:rsidR="002E474C" w:rsidRDefault="00000000">
            <w:pPr>
              <w:pStyle w:val="A-"/>
            </w:pPr>
            <w:r>
              <w:t>4×10</w:t>
            </w:r>
            <w:r>
              <w:rPr>
                <w:vertAlign w:val="superscript"/>
              </w:rPr>
              <w:t>-5</w:t>
            </w:r>
          </w:p>
        </w:tc>
      </w:tr>
    </w:tbl>
    <w:p w14:paraId="3D2C3B09" w14:textId="77777777" w:rsidR="002E474C" w:rsidRDefault="002E474C"/>
    <w:p w14:paraId="64E1A780" w14:textId="77777777" w:rsidR="002E474C" w:rsidRDefault="00000000">
      <w:pPr>
        <w:pStyle w:val="31"/>
        <w:spacing w:before="120" w:after="120"/>
        <w:rPr>
          <w:color w:val="auto"/>
        </w:rPr>
      </w:pPr>
      <w:bookmarkStart w:id="72" w:name="_Hlk151316614"/>
      <w:r>
        <w:rPr>
          <w:color w:val="auto"/>
        </w:rPr>
        <w:t>污染物排放标准</w:t>
      </w:r>
    </w:p>
    <w:p w14:paraId="3FE3D488" w14:textId="77777777" w:rsidR="002E474C" w:rsidRDefault="00000000">
      <w:pPr>
        <w:pStyle w:val="A-z"/>
        <w:rPr>
          <w:color w:val="auto"/>
        </w:rPr>
      </w:pPr>
      <w:r>
        <w:rPr>
          <w:color w:val="auto"/>
        </w:rPr>
        <w:t>（</w:t>
      </w:r>
      <w:r>
        <w:rPr>
          <w:color w:val="auto"/>
        </w:rPr>
        <w:t>1</w:t>
      </w:r>
      <w:r>
        <w:rPr>
          <w:color w:val="auto"/>
        </w:rPr>
        <w:t>）大气污染物排放标准</w:t>
      </w:r>
    </w:p>
    <w:bookmarkEnd w:id="72"/>
    <w:p w14:paraId="225D48FD" w14:textId="77777777" w:rsidR="002E474C" w:rsidRDefault="00000000">
      <w:pPr>
        <w:pStyle w:val="A-z"/>
        <w:rPr>
          <w:color w:val="auto"/>
        </w:rPr>
      </w:pPr>
      <w:r>
        <w:rPr>
          <w:color w:val="auto"/>
        </w:rPr>
        <w:t>1</w:t>
      </w:r>
      <w:r>
        <w:rPr>
          <w:color w:val="auto"/>
        </w:rPr>
        <w:t>）有组织废气</w:t>
      </w:r>
    </w:p>
    <w:p w14:paraId="6FC5D4BE" w14:textId="77777777" w:rsidR="002E474C" w:rsidRDefault="00000000">
      <w:pPr>
        <w:pStyle w:val="A-z"/>
        <w:rPr>
          <w:color w:val="auto"/>
        </w:rPr>
      </w:pPr>
      <w:r>
        <w:rPr>
          <w:color w:val="auto"/>
        </w:rPr>
        <w:t>①</w:t>
      </w:r>
      <w:r>
        <w:rPr>
          <w:color w:val="auto"/>
        </w:rPr>
        <w:t>窑尾烟气</w:t>
      </w:r>
    </w:p>
    <w:p w14:paraId="548A2886" w14:textId="77777777" w:rsidR="002E474C" w:rsidRDefault="00000000">
      <w:pPr>
        <w:pStyle w:val="A-z"/>
        <w:rPr>
          <w:color w:val="auto"/>
        </w:rPr>
      </w:pPr>
      <w:r>
        <w:rPr>
          <w:color w:val="auto"/>
        </w:rPr>
        <w:t>根据《水泥窑协同处置固体废物污染控制标准》（</w:t>
      </w:r>
      <w:r>
        <w:rPr>
          <w:color w:val="auto"/>
        </w:rPr>
        <w:t>GB30485-2013</w:t>
      </w:r>
      <w:r>
        <w:rPr>
          <w:color w:val="auto"/>
        </w:rPr>
        <w:t>）中</w:t>
      </w:r>
      <w:r>
        <w:rPr>
          <w:color w:val="auto"/>
        </w:rPr>
        <w:t>7.1</w:t>
      </w:r>
      <w:r>
        <w:rPr>
          <w:color w:val="auto"/>
        </w:rPr>
        <w:t>规定，利用水泥窑协同处置危险废物时，水泥窑及窑尾余热利用系统排气筒大气污染物中颗粒物、</w:t>
      </w:r>
      <w:r>
        <w:rPr>
          <w:color w:val="auto"/>
        </w:rPr>
        <w:t>SO</w:t>
      </w:r>
      <w:r>
        <w:rPr>
          <w:color w:val="auto"/>
          <w:vertAlign w:val="subscript"/>
        </w:rPr>
        <w:t>2</w:t>
      </w:r>
      <w:r>
        <w:rPr>
          <w:color w:val="auto"/>
        </w:rPr>
        <w:t>、</w:t>
      </w:r>
      <w:r>
        <w:rPr>
          <w:color w:val="auto"/>
        </w:rPr>
        <w:t>NOx</w:t>
      </w:r>
      <w:r>
        <w:rPr>
          <w:color w:val="auto"/>
        </w:rPr>
        <w:t>和</w:t>
      </w:r>
      <w:r>
        <w:rPr>
          <w:color w:val="auto"/>
        </w:rPr>
        <w:t>NH</w:t>
      </w:r>
      <w:r>
        <w:rPr>
          <w:color w:val="auto"/>
          <w:vertAlign w:val="subscript"/>
        </w:rPr>
        <w:t>3</w:t>
      </w:r>
      <w:r>
        <w:rPr>
          <w:color w:val="auto"/>
        </w:rPr>
        <w:t>的排放限值按《水泥工业大气污染物排放标准》（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）中的要求执行。同时，按照《关于推进实施水泥行业超低排放的意见》（环大气〔</w:t>
      </w:r>
      <w:r>
        <w:rPr>
          <w:color w:val="auto"/>
        </w:rPr>
        <w:t>2024</w:t>
      </w:r>
      <w:r>
        <w:rPr>
          <w:color w:val="auto"/>
        </w:rPr>
        <w:t>〕</w:t>
      </w:r>
      <w:r>
        <w:rPr>
          <w:color w:val="auto"/>
        </w:rPr>
        <w:t>5</w:t>
      </w:r>
      <w:r>
        <w:rPr>
          <w:color w:val="auto"/>
        </w:rPr>
        <w:t>号）、《新疆维吾尔自治区水泥行业超低排放改造实施计划》（新环大气发〔</w:t>
      </w:r>
      <w:r>
        <w:rPr>
          <w:color w:val="auto"/>
        </w:rPr>
        <w:t>2024</w:t>
      </w:r>
      <w:r>
        <w:rPr>
          <w:color w:val="auto"/>
        </w:rPr>
        <w:t>〕</w:t>
      </w:r>
      <w:r>
        <w:rPr>
          <w:color w:val="auto"/>
        </w:rPr>
        <w:t>117</w:t>
      </w:r>
      <w:r>
        <w:rPr>
          <w:color w:val="auto"/>
        </w:rPr>
        <w:t>号），</w:t>
      </w:r>
      <w:r>
        <w:rPr>
          <w:rFonts w:hint="eastAsia"/>
          <w:color w:val="auto"/>
        </w:rPr>
        <w:t>圣雄水泥公司计划完成超低排放改造时间为</w:t>
      </w:r>
      <w:r>
        <w:rPr>
          <w:rFonts w:hint="eastAsia"/>
          <w:color w:val="auto"/>
        </w:rPr>
        <w:t>2027</w:t>
      </w:r>
      <w:r>
        <w:rPr>
          <w:rFonts w:hint="eastAsia"/>
          <w:color w:val="auto"/>
        </w:rPr>
        <w:t>年</w:t>
      </w:r>
      <w:r>
        <w:rPr>
          <w:rFonts w:hint="eastAsia"/>
          <w:color w:val="auto"/>
        </w:rPr>
        <w:t>6</w:t>
      </w:r>
      <w:r>
        <w:rPr>
          <w:rFonts w:hint="eastAsia"/>
          <w:color w:val="auto"/>
        </w:rPr>
        <w:t>月，计划完成评估监测和公示时间为</w:t>
      </w:r>
      <w:r>
        <w:rPr>
          <w:rFonts w:hint="eastAsia"/>
          <w:color w:val="auto"/>
        </w:rPr>
        <w:t>2027</w:t>
      </w:r>
      <w:r>
        <w:rPr>
          <w:rFonts w:hint="eastAsia"/>
          <w:color w:val="auto"/>
        </w:rPr>
        <w:t>年</w:t>
      </w:r>
      <w:r>
        <w:rPr>
          <w:rFonts w:hint="eastAsia"/>
          <w:color w:val="auto"/>
        </w:rPr>
        <w:t>12</w:t>
      </w:r>
      <w:r>
        <w:rPr>
          <w:rFonts w:hint="eastAsia"/>
          <w:color w:val="auto"/>
        </w:rPr>
        <w:t>月。</w:t>
      </w:r>
    </w:p>
    <w:p w14:paraId="137F7E21" w14:textId="77777777" w:rsidR="002E474C" w:rsidRDefault="00000000">
      <w:pPr>
        <w:pStyle w:val="A-z"/>
        <w:rPr>
          <w:color w:val="auto"/>
        </w:rPr>
      </w:pPr>
      <w:r>
        <w:rPr>
          <w:rFonts w:hint="eastAsia"/>
          <w:color w:val="auto"/>
        </w:rPr>
        <w:lastRenderedPageBreak/>
        <w:t>综上分析，本项目建成投运后，在圣雄水泥公司完成超低排放改造完成前，</w:t>
      </w:r>
      <w:r>
        <w:rPr>
          <w:color w:val="auto"/>
        </w:rPr>
        <w:t>水泥窑及窑尾余热利用系统排气筒大气污染物中颗粒物、</w:t>
      </w:r>
      <w:r>
        <w:rPr>
          <w:color w:val="auto"/>
        </w:rPr>
        <w:t>SO</w:t>
      </w:r>
      <w:r>
        <w:rPr>
          <w:color w:val="auto"/>
          <w:vertAlign w:val="subscript"/>
        </w:rPr>
        <w:t>2</w:t>
      </w:r>
      <w:r>
        <w:rPr>
          <w:color w:val="auto"/>
        </w:rPr>
        <w:t>、</w:t>
      </w:r>
      <w:r>
        <w:rPr>
          <w:color w:val="auto"/>
        </w:rPr>
        <w:t>NOx</w:t>
      </w:r>
      <w:r>
        <w:rPr>
          <w:color w:val="auto"/>
        </w:rPr>
        <w:t>和</w:t>
      </w:r>
      <w:r>
        <w:rPr>
          <w:color w:val="auto"/>
        </w:rPr>
        <w:t>NH</w:t>
      </w:r>
      <w:r>
        <w:rPr>
          <w:color w:val="auto"/>
          <w:vertAlign w:val="subscript"/>
        </w:rPr>
        <w:t>3</w:t>
      </w:r>
      <w:r>
        <w:rPr>
          <w:rFonts w:hint="eastAsia"/>
          <w:color w:val="auto"/>
        </w:rPr>
        <w:t>排放执行</w:t>
      </w:r>
      <w:r>
        <w:rPr>
          <w:color w:val="auto"/>
        </w:rPr>
        <w:t>《水泥工业大气污染物排放标准》（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w:t>
      </w:r>
      <w:r>
        <w:rPr>
          <w:rFonts w:hint="eastAsia"/>
          <w:color w:val="auto"/>
        </w:rPr>
        <w:t>表</w:t>
      </w:r>
      <w:r>
        <w:rPr>
          <w:rFonts w:hint="eastAsia"/>
          <w:color w:val="auto"/>
        </w:rPr>
        <w:t>1</w:t>
      </w:r>
      <w:r>
        <w:rPr>
          <w:rFonts w:hint="eastAsia"/>
          <w:color w:val="auto"/>
        </w:rPr>
        <w:t>排放限值。圣雄水泥公司完成超低排放改造后，</w:t>
      </w:r>
      <w:r>
        <w:rPr>
          <w:color w:val="auto"/>
        </w:rPr>
        <w:t>水泥窑及窑尾余热利用系统排气筒大气污染物中颗粒物、</w:t>
      </w:r>
      <w:r>
        <w:rPr>
          <w:color w:val="auto"/>
        </w:rPr>
        <w:t>SO</w:t>
      </w:r>
      <w:r>
        <w:rPr>
          <w:color w:val="auto"/>
          <w:vertAlign w:val="subscript"/>
        </w:rPr>
        <w:t>2</w:t>
      </w:r>
      <w:r>
        <w:rPr>
          <w:color w:val="auto"/>
        </w:rPr>
        <w:t>和</w:t>
      </w:r>
      <w:r>
        <w:rPr>
          <w:color w:val="auto"/>
        </w:rPr>
        <w:t>NOx</w:t>
      </w:r>
      <w:r>
        <w:rPr>
          <w:color w:val="auto"/>
        </w:rPr>
        <w:t>排放执行《关于推进实施水泥行业超低排放的意见》（环大气〔</w:t>
      </w:r>
      <w:r>
        <w:rPr>
          <w:color w:val="auto"/>
        </w:rPr>
        <w:t>2024</w:t>
      </w:r>
      <w:r>
        <w:rPr>
          <w:color w:val="auto"/>
        </w:rPr>
        <w:t>〕</w:t>
      </w:r>
      <w:r>
        <w:rPr>
          <w:color w:val="auto"/>
        </w:rPr>
        <w:t>5</w:t>
      </w:r>
      <w:r>
        <w:rPr>
          <w:color w:val="auto"/>
        </w:rPr>
        <w:t>号）附表</w:t>
      </w:r>
      <w:r>
        <w:rPr>
          <w:color w:val="auto"/>
        </w:rPr>
        <w:t>1</w:t>
      </w:r>
      <w:r>
        <w:rPr>
          <w:color w:val="auto"/>
        </w:rPr>
        <w:t>有组织排放指</w:t>
      </w:r>
      <w:r>
        <w:rPr>
          <w:rFonts w:hint="eastAsia"/>
          <w:color w:val="auto"/>
          <w:lang w:val="en-US"/>
        </w:rPr>
        <w:t>控制指标</w:t>
      </w:r>
      <w:r>
        <w:rPr>
          <w:rFonts w:hint="eastAsia"/>
          <w:color w:val="auto"/>
        </w:rPr>
        <w:t>，</w:t>
      </w:r>
      <w:r>
        <w:rPr>
          <w:color w:val="auto"/>
        </w:rPr>
        <w:t>NH</w:t>
      </w:r>
      <w:r>
        <w:rPr>
          <w:color w:val="auto"/>
          <w:vertAlign w:val="subscript"/>
        </w:rPr>
        <w:t>3</w:t>
      </w:r>
      <w:r>
        <w:rPr>
          <w:rFonts w:hint="eastAsia"/>
          <w:color w:val="auto"/>
        </w:rPr>
        <w:t>排放执行</w:t>
      </w:r>
      <w:r>
        <w:rPr>
          <w:color w:val="auto"/>
        </w:rPr>
        <w:t>《水泥工业大气污染物排放标准》（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w:t>
      </w:r>
      <w:r>
        <w:rPr>
          <w:rFonts w:hint="eastAsia"/>
          <w:color w:val="auto"/>
        </w:rPr>
        <w:t>中表</w:t>
      </w:r>
      <w:r>
        <w:rPr>
          <w:rFonts w:hint="eastAsia"/>
          <w:color w:val="auto"/>
        </w:rPr>
        <w:t>1</w:t>
      </w:r>
      <w:r>
        <w:rPr>
          <w:rFonts w:hint="eastAsia"/>
          <w:color w:val="auto"/>
        </w:rPr>
        <w:t>排放限值。</w:t>
      </w:r>
    </w:p>
    <w:p w14:paraId="1D166A45" w14:textId="77777777" w:rsidR="002E474C" w:rsidRDefault="00000000">
      <w:pPr>
        <w:pStyle w:val="A-z"/>
        <w:rPr>
          <w:color w:val="auto"/>
        </w:rPr>
      </w:pPr>
      <w:r>
        <w:rPr>
          <w:color w:val="auto"/>
          <w:lang w:val="en-US"/>
        </w:rPr>
        <w:t>根据《水泥窑协同处置固体废物污染控制标准》（</w:t>
      </w:r>
      <w:r>
        <w:rPr>
          <w:color w:val="auto"/>
          <w:lang w:val="en-US"/>
        </w:rPr>
        <w:t>GB30485-2013</w:t>
      </w:r>
      <w:r>
        <w:rPr>
          <w:color w:val="auto"/>
          <w:lang w:val="en-US"/>
        </w:rPr>
        <w:t>）中</w:t>
      </w:r>
      <w:r>
        <w:rPr>
          <w:color w:val="auto"/>
          <w:lang w:val="en-US"/>
        </w:rPr>
        <w:t>7.2</w:t>
      </w:r>
      <w:r>
        <w:rPr>
          <w:color w:val="auto"/>
          <w:lang w:val="en-US"/>
        </w:rPr>
        <w:t>，本项目有组织废气中其他污染物氯化氢（</w:t>
      </w:r>
      <w:r>
        <w:rPr>
          <w:color w:val="auto"/>
        </w:rPr>
        <w:t>HCl</w:t>
      </w:r>
      <w:r>
        <w:rPr>
          <w:color w:val="auto"/>
          <w:lang w:val="en-US"/>
        </w:rPr>
        <w:t>）</w:t>
      </w:r>
      <w:r>
        <w:rPr>
          <w:color w:val="auto"/>
        </w:rPr>
        <w:t>，氟化氢（</w:t>
      </w:r>
      <w:r>
        <w:rPr>
          <w:color w:val="auto"/>
        </w:rPr>
        <w:t>HF</w:t>
      </w:r>
      <w:r>
        <w:rPr>
          <w:color w:val="auto"/>
        </w:rPr>
        <w:t>），</w:t>
      </w:r>
      <w:r>
        <w:rPr>
          <w:color w:val="auto"/>
          <w:lang w:val="en-US"/>
        </w:rPr>
        <w:t>汞及其化合物（以</w:t>
      </w:r>
      <w:r>
        <w:rPr>
          <w:color w:val="auto"/>
          <w:lang w:val="en-US"/>
        </w:rPr>
        <w:t>Hg</w:t>
      </w:r>
      <w:r>
        <w:rPr>
          <w:color w:val="auto"/>
          <w:lang w:val="en-US"/>
        </w:rPr>
        <w:t>计），</w:t>
      </w:r>
      <w:r>
        <w:rPr>
          <w:color w:val="auto"/>
        </w:rPr>
        <w:t>铊、镉、铅、砷及其化合物（以</w:t>
      </w:r>
      <w:r>
        <w:rPr>
          <w:color w:val="auto"/>
        </w:rPr>
        <w:t>Tl+Cd+Pb+As</w:t>
      </w:r>
      <w:r>
        <w:rPr>
          <w:color w:val="auto"/>
        </w:rPr>
        <w:t>计），铍、铬、锡、锑、铜、钴、锰、镍、钒及其化合物（以</w:t>
      </w:r>
      <w:r>
        <w:rPr>
          <w:color w:val="auto"/>
        </w:rPr>
        <w:t>Be+Cr+Sn+Sb+Cu+Co+Mn+Ni+V</w:t>
      </w:r>
      <w:r>
        <w:rPr>
          <w:color w:val="auto"/>
        </w:rPr>
        <w:t>计），二噁英类执行《水泥窑协同处置固体废物污染控制标准》（</w:t>
      </w:r>
      <w:r>
        <w:rPr>
          <w:color w:val="auto"/>
        </w:rPr>
        <w:t>GB30485-2013</w:t>
      </w:r>
      <w:r>
        <w:rPr>
          <w:color w:val="auto"/>
        </w:rPr>
        <w:t>）表</w:t>
      </w:r>
      <w:r>
        <w:rPr>
          <w:color w:val="auto"/>
        </w:rPr>
        <w:t>1</w:t>
      </w:r>
      <w:r>
        <w:rPr>
          <w:color w:val="auto"/>
        </w:rPr>
        <w:t>规定的最高允许排放浓度。</w:t>
      </w:r>
    </w:p>
    <w:p w14:paraId="7FF787F8" w14:textId="77777777" w:rsidR="002E474C" w:rsidRDefault="00000000">
      <w:pPr>
        <w:pStyle w:val="A-z"/>
        <w:rPr>
          <w:color w:val="auto"/>
        </w:rPr>
      </w:pPr>
      <w:r>
        <w:rPr>
          <w:color w:val="auto"/>
        </w:rPr>
        <w:t>②</w:t>
      </w:r>
      <w:r>
        <w:rPr>
          <w:color w:val="auto"/>
        </w:rPr>
        <w:t>贮存及预处理废气</w:t>
      </w:r>
    </w:p>
    <w:p w14:paraId="56282A0E" w14:textId="77777777" w:rsidR="002E474C" w:rsidRDefault="00000000">
      <w:pPr>
        <w:pStyle w:val="A-z"/>
        <w:rPr>
          <w:color w:val="auto"/>
        </w:rPr>
      </w:pPr>
      <w:r>
        <w:rPr>
          <w:color w:val="auto"/>
        </w:rPr>
        <w:t>危废贮存库和固态危废预处理车间采用</w:t>
      </w:r>
      <w:r>
        <w:rPr>
          <w:color w:val="auto"/>
        </w:rPr>
        <w:t>1</w:t>
      </w:r>
      <w:r>
        <w:rPr>
          <w:color w:val="auto"/>
        </w:rPr>
        <w:t>套微负压集气设计，废气送气体净化设施处理后经</w:t>
      </w:r>
      <w:r>
        <w:rPr>
          <w:color w:val="auto"/>
        </w:rPr>
        <w:t>15m</w:t>
      </w:r>
      <w:r>
        <w:rPr>
          <w:color w:val="auto"/>
        </w:rPr>
        <w:t>排气筒达标排放，主要污染物</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、臭气浓度等排放执行《恶臭污染物排放标准》（</w:t>
      </w:r>
      <w:r>
        <w:rPr>
          <w:color w:val="auto"/>
        </w:rPr>
        <w:t>GB14554-93</w:t>
      </w:r>
      <w:r>
        <w:rPr>
          <w:color w:val="auto"/>
        </w:rPr>
        <w:t>）表</w:t>
      </w:r>
      <w:r>
        <w:rPr>
          <w:color w:val="auto"/>
        </w:rPr>
        <w:t>2</w:t>
      </w:r>
      <w:r>
        <w:rPr>
          <w:color w:val="auto"/>
        </w:rPr>
        <w:t>中要求，挥发性有机物（以非甲烷总烃计）排放执行《大气污染物综合排放标准》（</w:t>
      </w:r>
      <w:r>
        <w:rPr>
          <w:color w:val="auto"/>
        </w:rPr>
        <w:t>GB16297-1996</w:t>
      </w:r>
      <w:r>
        <w:rPr>
          <w:color w:val="auto"/>
        </w:rPr>
        <w:t>）表</w:t>
      </w:r>
      <w:r>
        <w:rPr>
          <w:color w:val="auto"/>
        </w:rPr>
        <w:t>2</w:t>
      </w:r>
      <w:r>
        <w:rPr>
          <w:color w:val="auto"/>
        </w:rPr>
        <w:t>中要求。</w:t>
      </w:r>
    </w:p>
    <w:p w14:paraId="5DE249C1" w14:textId="77777777" w:rsidR="002E474C" w:rsidRDefault="00000000">
      <w:pPr>
        <w:pStyle w:val="A-z"/>
        <w:rPr>
          <w:color w:val="auto"/>
        </w:rPr>
      </w:pPr>
      <w:r>
        <w:rPr>
          <w:color w:val="auto"/>
        </w:rPr>
        <w:t>2</w:t>
      </w:r>
      <w:r>
        <w:rPr>
          <w:color w:val="auto"/>
        </w:rPr>
        <w:t>）无组织废气</w:t>
      </w:r>
    </w:p>
    <w:p w14:paraId="4D3455D1" w14:textId="77777777" w:rsidR="002E474C" w:rsidRDefault="00000000">
      <w:pPr>
        <w:pStyle w:val="A-z"/>
        <w:rPr>
          <w:color w:val="auto"/>
        </w:rPr>
      </w:pPr>
      <w:r>
        <w:rPr>
          <w:color w:val="auto"/>
        </w:rPr>
        <w:t>厂界无组织</w:t>
      </w:r>
      <w:r>
        <w:rPr>
          <w:color w:val="auto"/>
        </w:rPr>
        <w:t>H</w:t>
      </w:r>
      <w:r>
        <w:rPr>
          <w:color w:val="auto"/>
          <w:vertAlign w:val="subscript"/>
        </w:rPr>
        <w:t>2</w:t>
      </w:r>
      <w:r>
        <w:rPr>
          <w:color w:val="auto"/>
        </w:rPr>
        <w:t>S</w:t>
      </w:r>
      <w:r>
        <w:rPr>
          <w:color w:val="auto"/>
        </w:rPr>
        <w:t>、臭气浓度排放执行《恶臭污染物排放标准》（</w:t>
      </w:r>
      <w:r>
        <w:rPr>
          <w:color w:val="auto"/>
        </w:rPr>
        <w:t>GB14554-93</w:t>
      </w:r>
      <w:r>
        <w:rPr>
          <w:color w:val="auto"/>
        </w:rPr>
        <w:t>）表</w:t>
      </w:r>
      <w:r>
        <w:rPr>
          <w:color w:val="auto"/>
        </w:rPr>
        <w:t>1</w:t>
      </w:r>
      <w:r>
        <w:rPr>
          <w:color w:val="auto"/>
        </w:rPr>
        <w:t>新扩改建二级标准，</w:t>
      </w:r>
      <w:r>
        <w:rPr>
          <w:color w:val="auto"/>
          <w:kern w:val="0"/>
          <w:lang w:val="en-US"/>
        </w:rPr>
        <w:t>颗粒物、</w:t>
      </w:r>
      <w:r>
        <w:rPr>
          <w:color w:val="auto"/>
        </w:rPr>
        <w:t>NH</w:t>
      </w:r>
      <w:r>
        <w:rPr>
          <w:color w:val="auto"/>
          <w:vertAlign w:val="subscript"/>
        </w:rPr>
        <w:t>3</w:t>
      </w:r>
      <w:r>
        <w:rPr>
          <w:color w:val="auto"/>
        </w:rPr>
        <w:t>排放执行《水泥工业大气污染物排放标准》（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3</w:t>
      </w:r>
      <w:r>
        <w:rPr>
          <w:color w:val="auto"/>
        </w:rPr>
        <w:t>无组织排放限值，</w:t>
      </w:r>
      <w:r>
        <w:rPr>
          <w:color w:val="auto"/>
        </w:rPr>
        <w:t>NMHC</w:t>
      </w:r>
      <w:r>
        <w:rPr>
          <w:color w:val="auto"/>
        </w:rPr>
        <w:t>排放执行《大气污染物综合排放标准》（</w:t>
      </w:r>
      <w:r>
        <w:rPr>
          <w:color w:val="auto"/>
        </w:rPr>
        <w:t>GB16297-1996</w:t>
      </w:r>
      <w:r>
        <w:rPr>
          <w:color w:val="auto"/>
        </w:rPr>
        <w:t>）表</w:t>
      </w:r>
      <w:r>
        <w:rPr>
          <w:color w:val="auto"/>
        </w:rPr>
        <w:t>2</w:t>
      </w:r>
      <w:r>
        <w:rPr>
          <w:color w:val="auto"/>
        </w:rPr>
        <w:t>无组织排放限值。厂区内</w:t>
      </w:r>
      <w:r>
        <w:rPr>
          <w:color w:val="auto"/>
        </w:rPr>
        <w:t>NMHC</w:t>
      </w:r>
      <w:r>
        <w:rPr>
          <w:color w:val="auto"/>
        </w:rPr>
        <w:t>无组织排放执行《挥发性有机物无组织排放控制标准》（</w:t>
      </w:r>
      <w:r>
        <w:rPr>
          <w:color w:val="auto"/>
        </w:rPr>
        <w:t>GB37822-2019</w:t>
      </w:r>
      <w:r>
        <w:rPr>
          <w:color w:val="auto"/>
        </w:rPr>
        <w:t>）中表</w:t>
      </w:r>
      <w:r>
        <w:rPr>
          <w:color w:val="auto"/>
        </w:rPr>
        <w:t>A.1</w:t>
      </w:r>
      <w:r>
        <w:rPr>
          <w:color w:val="auto"/>
        </w:rPr>
        <w:t>无组织排放限值。</w:t>
      </w:r>
    </w:p>
    <w:p w14:paraId="6BCD118F" w14:textId="77777777" w:rsidR="002E474C" w:rsidRDefault="00000000">
      <w:pPr>
        <w:pStyle w:val="A-z"/>
        <w:rPr>
          <w:color w:val="auto"/>
        </w:rPr>
      </w:pPr>
      <w:r>
        <w:rPr>
          <w:color w:val="auto"/>
        </w:rPr>
        <w:t>本项目大气污染物排放标准具体见表</w:t>
      </w:r>
      <w:r>
        <w:rPr>
          <w:color w:val="auto"/>
        </w:rPr>
        <w:t>3.4-4</w:t>
      </w:r>
      <w:r>
        <w:rPr>
          <w:color w:val="auto"/>
        </w:rPr>
        <w:t>。</w:t>
      </w:r>
    </w:p>
    <w:p w14:paraId="35278499" w14:textId="77777777" w:rsidR="002E474C" w:rsidRDefault="00000000">
      <w:pPr>
        <w:pStyle w:val="A--"/>
        <w:rPr>
          <w:color w:val="auto"/>
        </w:rPr>
      </w:pPr>
      <w:bookmarkStart w:id="73" w:name="_Ref111291684"/>
      <w:r>
        <w:rPr>
          <w:color w:val="auto"/>
        </w:rPr>
        <w:t>表</w:t>
      </w:r>
      <w:r>
        <w:rPr>
          <w:color w:val="auto"/>
        </w:rPr>
        <w:t>2.4</w:t>
      </w:r>
      <w:r>
        <w:rPr>
          <w:color w:val="auto"/>
        </w:rPr>
        <w:noBreakHyphen/>
      </w:r>
      <w:bookmarkEnd w:id="73"/>
      <w:r>
        <w:rPr>
          <w:color w:val="auto"/>
        </w:rPr>
        <w:t xml:space="preserve">4  </w:t>
      </w:r>
      <w:r>
        <w:rPr>
          <w:color w:val="auto"/>
        </w:rPr>
        <w:t>本项目大气污染物排放标准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937"/>
        <w:gridCol w:w="1005"/>
        <w:gridCol w:w="1332"/>
        <w:gridCol w:w="993"/>
        <w:gridCol w:w="804"/>
        <w:gridCol w:w="2982"/>
      </w:tblGrid>
      <w:tr w:rsidR="002E474C" w14:paraId="136A8D62" w14:textId="77777777">
        <w:trPr>
          <w:cantSplit/>
          <w:trHeight w:val="338"/>
          <w:jc w:val="center"/>
        </w:trPr>
        <w:tc>
          <w:tcPr>
            <w:tcW w:w="272" w:type="pct"/>
            <w:vMerge w:val="restart"/>
            <w:vAlign w:val="center"/>
          </w:tcPr>
          <w:p w14:paraId="4816BFEB" w14:textId="77777777" w:rsidR="002E474C" w:rsidRDefault="00000000">
            <w:pPr>
              <w:pStyle w:val="A-"/>
            </w:pPr>
            <w:r>
              <w:t>序号</w:t>
            </w:r>
          </w:p>
        </w:tc>
        <w:tc>
          <w:tcPr>
            <w:tcW w:w="550" w:type="pct"/>
            <w:vMerge w:val="restart"/>
            <w:vAlign w:val="center"/>
          </w:tcPr>
          <w:p w14:paraId="2BCD6826" w14:textId="77777777" w:rsidR="002E474C" w:rsidRDefault="00000000">
            <w:pPr>
              <w:pStyle w:val="A-"/>
            </w:pPr>
            <w:r>
              <w:t>排放源</w:t>
            </w:r>
          </w:p>
        </w:tc>
        <w:tc>
          <w:tcPr>
            <w:tcW w:w="1372" w:type="pct"/>
            <w:gridSpan w:val="2"/>
            <w:vMerge w:val="restart"/>
            <w:vAlign w:val="center"/>
          </w:tcPr>
          <w:p w14:paraId="0221421D" w14:textId="77777777" w:rsidR="002E474C" w:rsidRDefault="00000000">
            <w:pPr>
              <w:pStyle w:val="A-"/>
            </w:pPr>
            <w:r>
              <w:t>污染物</w:t>
            </w:r>
          </w:p>
        </w:tc>
        <w:tc>
          <w:tcPr>
            <w:tcW w:w="1055" w:type="pct"/>
            <w:gridSpan w:val="2"/>
            <w:vAlign w:val="center"/>
          </w:tcPr>
          <w:p w14:paraId="50F210E0" w14:textId="77777777" w:rsidR="002E474C" w:rsidRDefault="00000000">
            <w:pPr>
              <w:pStyle w:val="A-"/>
            </w:pPr>
            <w:r>
              <w:t>最高允许排放浓度限值</w:t>
            </w:r>
          </w:p>
        </w:tc>
        <w:tc>
          <w:tcPr>
            <w:tcW w:w="1751" w:type="pct"/>
            <w:vMerge w:val="restart"/>
            <w:vAlign w:val="center"/>
          </w:tcPr>
          <w:p w14:paraId="717E4002" w14:textId="77777777" w:rsidR="002E474C" w:rsidRDefault="00000000">
            <w:pPr>
              <w:pStyle w:val="A-"/>
            </w:pPr>
            <w:r>
              <w:t>标准来源</w:t>
            </w:r>
          </w:p>
        </w:tc>
      </w:tr>
      <w:tr w:rsidR="002E474C" w14:paraId="38F145D1" w14:textId="77777777">
        <w:trPr>
          <w:cantSplit/>
          <w:trHeight w:val="338"/>
          <w:jc w:val="center"/>
        </w:trPr>
        <w:tc>
          <w:tcPr>
            <w:tcW w:w="272" w:type="pct"/>
            <w:vMerge/>
            <w:vAlign w:val="center"/>
          </w:tcPr>
          <w:p w14:paraId="79BE976E" w14:textId="77777777" w:rsidR="002E474C" w:rsidRDefault="002E474C">
            <w:pPr>
              <w:pStyle w:val="A-"/>
            </w:pPr>
          </w:p>
        </w:tc>
        <w:tc>
          <w:tcPr>
            <w:tcW w:w="550" w:type="pct"/>
            <w:vMerge/>
            <w:vAlign w:val="center"/>
          </w:tcPr>
          <w:p w14:paraId="1FC444F5" w14:textId="77777777" w:rsidR="002E474C" w:rsidRDefault="002E474C">
            <w:pPr>
              <w:pStyle w:val="A-"/>
            </w:pPr>
          </w:p>
        </w:tc>
        <w:tc>
          <w:tcPr>
            <w:tcW w:w="1372" w:type="pct"/>
            <w:gridSpan w:val="2"/>
            <w:vMerge/>
            <w:vAlign w:val="center"/>
          </w:tcPr>
          <w:p w14:paraId="4796375B" w14:textId="77777777" w:rsidR="002E474C" w:rsidRDefault="002E474C">
            <w:pPr>
              <w:pStyle w:val="A-"/>
            </w:pPr>
          </w:p>
        </w:tc>
        <w:tc>
          <w:tcPr>
            <w:tcW w:w="583" w:type="pct"/>
            <w:vAlign w:val="center"/>
          </w:tcPr>
          <w:p w14:paraId="68D67B6B" w14:textId="77777777" w:rsidR="002E474C" w:rsidRDefault="00000000">
            <w:pPr>
              <w:pStyle w:val="A-"/>
            </w:pPr>
            <w:r>
              <w:t>浓度</w:t>
            </w:r>
            <w:r>
              <w:rPr>
                <w:rFonts w:hint="eastAsia"/>
              </w:rPr>
              <w:t>(mg/m</w:t>
            </w:r>
            <w:r>
              <w:rPr>
                <w:rFonts w:hint="eastAsia"/>
              </w:rPr>
              <w:t>³</w:t>
            </w:r>
            <w:r>
              <w:rPr>
                <w:rFonts w:hint="eastAsia"/>
              </w:rPr>
              <w:t>)</w:t>
            </w:r>
          </w:p>
        </w:tc>
        <w:tc>
          <w:tcPr>
            <w:tcW w:w="472" w:type="pct"/>
            <w:vAlign w:val="center"/>
          </w:tcPr>
          <w:p w14:paraId="07499E27" w14:textId="77777777" w:rsidR="002E474C" w:rsidRDefault="00000000">
            <w:pPr>
              <w:pStyle w:val="A-"/>
            </w:pPr>
            <w:r>
              <w:t>速率</w:t>
            </w:r>
          </w:p>
          <w:p w14:paraId="2E44EF53" w14:textId="77777777" w:rsidR="002E474C" w:rsidRDefault="00000000">
            <w:pPr>
              <w:pStyle w:val="A-"/>
            </w:pPr>
            <w:r>
              <w:rPr>
                <w:rFonts w:hint="eastAsia"/>
              </w:rPr>
              <w:t>(</w:t>
            </w:r>
            <w:r>
              <w:t>kg/h</w:t>
            </w:r>
            <w:r>
              <w:rPr>
                <w:rFonts w:hint="eastAsia"/>
              </w:rPr>
              <w:t>)</w:t>
            </w:r>
          </w:p>
        </w:tc>
        <w:tc>
          <w:tcPr>
            <w:tcW w:w="1751" w:type="pct"/>
            <w:vMerge/>
            <w:vAlign w:val="center"/>
          </w:tcPr>
          <w:p w14:paraId="259DFCA0" w14:textId="77777777" w:rsidR="002E474C" w:rsidRDefault="002E474C">
            <w:pPr>
              <w:pStyle w:val="A-"/>
            </w:pPr>
          </w:p>
        </w:tc>
      </w:tr>
      <w:tr w:rsidR="002E474C" w14:paraId="387B8781" w14:textId="77777777">
        <w:trPr>
          <w:cantSplit/>
          <w:trHeight w:val="338"/>
          <w:jc w:val="center"/>
        </w:trPr>
        <w:tc>
          <w:tcPr>
            <w:tcW w:w="272" w:type="pct"/>
            <w:vAlign w:val="center"/>
          </w:tcPr>
          <w:p w14:paraId="1B10258A" w14:textId="77777777" w:rsidR="002E474C" w:rsidRDefault="00000000">
            <w:pPr>
              <w:pStyle w:val="A-"/>
            </w:pPr>
            <w:r>
              <w:lastRenderedPageBreak/>
              <w:t>1</w:t>
            </w:r>
          </w:p>
        </w:tc>
        <w:tc>
          <w:tcPr>
            <w:tcW w:w="550" w:type="pct"/>
            <w:vMerge w:val="restart"/>
            <w:vAlign w:val="center"/>
          </w:tcPr>
          <w:p w14:paraId="557CE4F7" w14:textId="77777777" w:rsidR="002E474C" w:rsidRDefault="00000000">
            <w:pPr>
              <w:pStyle w:val="A-"/>
            </w:pPr>
            <w:r>
              <w:t>窑尾烟气排气筒</w:t>
            </w:r>
            <w:r>
              <w:t>(85m)</w:t>
            </w:r>
          </w:p>
        </w:tc>
        <w:tc>
          <w:tcPr>
            <w:tcW w:w="1372" w:type="pct"/>
            <w:gridSpan w:val="2"/>
            <w:vAlign w:val="center"/>
          </w:tcPr>
          <w:p w14:paraId="3368BCA9" w14:textId="77777777" w:rsidR="002E474C" w:rsidRDefault="00000000">
            <w:pPr>
              <w:pStyle w:val="A-"/>
            </w:pPr>
            <w:r>
              <w:t>颗粒物</w:t>
            </w:r>
          </w:p>
        </w:tc>
        <w:tc>
          <w:tcPr>
            <w:tcW w:w="583" w:type="pct"/>
            <w:vAlign w:val="center"/>
          </w:tcPr>
          <w:p w14:paraId="541A6C92" w14:textId="77777777" w:rsidR="002E474C" w:rsidRDefault="00000000">
            <w:pPr>
              <w:pStyle w:val="A-"/>
            </w:pPr>
            <w:r>
              <w:rPr>
                <w:rFonts w:hint="eastAsia"/>
              </w:rPr>
              <w:t>30</w:t>
            </w:r>
          </w:p>
        </w:tc>
        <w:tc>
          <w:tcPr>
            <w:tcW w:w="472" w:type="pct"/>
            <w:vAlign w:val="center"/>
          </w:tcPr>
          <w:p w14:paraId="14C3FA54" w14:textId="77777777" w:rsidR="002E474C" w:rsidRDefault="00000000">
            <w:pPr>
              <w:pStyle w:val="A-"/>
            </w:pPr>
            <w:r>
              <w:t>/</w:t>
            </w:r>
          </w:p>
        </w:tc>
        <w:tc>
          <w:tcPr>
            <w:tcW w:w="1751" w:type="pct"/>
            <w:vMerge w:val="restart"/>
            <w:vAlign w:val="center"/>
          </w:tcPr>
          <w:p w14:paraId="3D672176" w14:textId="77777777" w:rsidR="002E474C" w:rsidRDefault="00000000">
            <w:pPr>
              <w:pStyle w:val="A-"/>
              <w:ind w:leftChars="-25" w:left="-53" w:rightChars="-25" w:right="-53"/>
            </w:pPr>
            <w:r>
              <w:t>《水泥工业大气污染物排放标准》（</w:t>
            </w:r>
            <w:r>
              <w:rPr>
                <w:rFonts w:hint="eastAsia"/>
              </w:rPr>
              <w:t>GB 4915-2013</w:t>
            </w:r>
            <w:r>
              <w:rPr>
                <w:rFonts w:hint="eastAsia"/>
              </w:rPr>
              <w:t>，含</w:t>
            </w:r>
            <w:r>
              <w:rPr>
                <w:rFonts w:hint="eastAsia"/>
              </w:rPr>
              <w:t>2025</w:t>
            </w:r>
            <w:r>
              <w:rPr>
                <w:rFonts w:hint="eastAsia"/>
              </w:rPr>
              <w:t>年修改单</w:t>
            </w:r>
            <w:r>
              <w:t>）表</w:t>
            </w:r>
            <w:r>
              <w:rPr>
                <w:rFonts w:hint="eastAsia"/>
              </w:rPr>
              <w:t>1</w:t>
            </w:r>
          </w:p>
        </w:tc>
      </w:tr>
      <w:tr w:rsidR="002E474C" w14:paraId="2EA57441" w14:textId="77777777">
        <w:trPr>
          <w:cantSplit/>
          <w:trHeight w:val="338"/>
          <w:jc w:val="center"/>
        </w:trPr>
        <w:tc>
          <w:tcPr>
            <w:tcW w:w="272" w:type="pct"/>
            <w:vAlign w:val="center"/>
          </w:tcPr>
          <w:p w14:paraId="760A3F52" w14:textId="77777777" w:rsidR="002E474C" w:rsidRDefault="00000000">
            <w:pPr>
              <w:pStyle w:val="A-"/>
            </w:pPr>
            <w:r>
              <w:t>2</w:t>
            </w:r>
          </w:p>
        </w:tc>
        <w:tc>
          <w:tcPr>
            <w:tcW w:w="550" w:type="pct"/>
            <w:vMerge/>
            <w:vAlign w:val="center"/>
          </w:tcPr>
          <w:p w14:paraId="022C165E" w14:textId="77777777" w:rsidR="002E474C" w:rsidRDefault="002E474C">
            <w:pPr>
              <w:pStyle w:val="A-"/>
            </w:pPr>
          </w:p>
        </w:tc>
        <w:tc>
          <w:tcPr>
            <w:tcW w:w="1372" w:type="pct"/>
            <w:gridSpan w:val="2"/>
            <w:vAlign w:val="center"/>
          </w:tcPr>
          <w:p w14:paraId="7062C513" w14:textId="77777777" w:rsidR="002E474C" w:rsidRDefault="00000000">
            <w:pPr>
              <w:pStyle w:val="A-"/>
            </w:pPr>
            <w:r>
              <w:t>SO</w:t>
            </w:r>
            <w:r>
              <w:rPr>
                <w:vertAlign w:val="subscript"/>
              </w:rPr>
              <w:t>2</w:t>
            </w:r>
          </w:p>
        </w:tc>
        <w:tc>
          <w:tcPr>
            <w:tcW w:w="583" w:type="pct"/>
            <w:vAlign w:val="center"/>
          </w:tcPr>
          <w:p w14:paraId="182F5B33" w14:textId="77777777" w:rsidR="002E474C" w:rsidRDefault="00000000">
            <w:pPr>
              <w:pStyle w:val="A-"/>
            </w:pPr>
            <w:r>
              <w:rPr>
                <w:rFonts w:hint="eastAsia"/>
              </w:rPr>
              <w:t>200</w:t>
            </w:r>
          </w:p>
        </w:tc>
        <w:tc>
          <w:tcPr>
            <w:tcW w:w="472" w:type="pct"/>
            <w:vAlign w:val="center"/>
          </w:tcPr>
          <w:p w14:paraId="6BCA704B" w14:textId="77777777" w:rsidR="002E474C" w:rsidRDefault="00000000">
            <w:pPr>
              <w:pStyle w:val="A-"/>
            </w:pPr>
            <w:r>
              <w:t>/</w:t>
            </w:r>
          </w:p>
        </w:tc>
        <w:tc>
          <w:tcPr>
            <w:tcW w:w="1751" w:type="pct"/>
            <w:vMerge/>
            <w:vAlign w:val="center"/>
          </w:tcPr>
          <w:p w14:paraId="5042D300" w14:textId="77777777" w:rsidR="002E474C" w:rsidRDefault="002E474C">
            <w:pPr>
              <w:pStyle w:val="A-"/>
            </w:pPr>
          </w:p>
        </w:tc>
      </w:tr>
      <w:tr w:rsidR="002E474C" w14:paraId="587C9CF6" w14:textId="77777777">
        <w:trPr>
          <w:cantSplit/>
          <w:trHeight w:val="338"/>
          <w:jc w:val="center"/>
        </w:trPr>
        <w:tc>
          <w:tcPr>
            <w:tcW w:w="272" w:type="pct"/>
            <w:vAlign w:val="center"/>
          </w:tcPr>
          <w:p w14:paraId="1C699F82" w14:textId="77777777" w:rsidR="002E474C" w:rsidRDefault="00000000">
            <w:pPr>
              <w:pStyle w:val="A-"/>
            </w:pPr>
            <w:r>
              <w:t>3</w:t>
            </w:r>
          </w:p>
        </w:tc>
        <w:tc>
          <w:tcPr>
            <w:tcW w:w="550" w:type="pct"/>
            <w:vMerge/>
            <w:vAlign w:val="center"/>
          </w:tcPr>
          <w:p w14:paraId="1B18F30E" w14:textId="77777777" w:rsidR="002E474C" w:rsidRDefault="002E474C">
            <w:pPr>
              <w:pStyle w:val="A-"/>
            </w:pPr>
          </w:p>
        </w:tc>
        <w:tc>
          <w:tcPr>
            <w:tcW w:w="1372" w:type="pct"/>
            <w:gridSpan w:val="2"/>
            <w:vAlign w:val="center"/>
          </w:tcPr>
          <w:p w14:paraId="273115BD" w14:textId="77777777" w:rsidR="002E474C" w:rsidRDefault="00000000">
            <w:pPr>
              <w:pStyle w:val="A-"/>
            </w:pPr>
            <w:r>
              <w:t>NOx</w:t>
            </w:r>
          </w:p>
        </w:tc>
        <w:tc>
          <w:tcPr>
            <w:tcW w:w="583" w:type="pct"/>
            <w:vAlign w:val="center"/>
          </w:tcPr>
          <w:p w14:paraId="211BA93C" w14:textId="77777777" w:rsidR="002E474C" w:rsidRDefault="00000000">
            <w:pPr>
              <w:pStyle w:val="A-"/>
            </w:pPr>
            <w:r>
              <w:rPr>
                <w:rFonts w:hint="eastAsia"/>
              </w:rPr>
              <w:t>400</w:t>
            </w:r>
          </w:p>
        </w:tc>
        <w:tc>
          <w:tcPr>
            <w:tcW w:w="472" w:type="pct"/>
            <w:vAlign w:val="center"/>
          </w:tcPr>
          <w:p w14:paraId="3D3837C4" w14:textId="77777777" w:rsidR="002E474C" w:rsidRDefault="00000000">
            <w:pPr>
              <w:pStyle w:val="A-"/>
            </w:pPr>
            <w:r>
              <w:t>/</w:t>
            </w:r>
          </w:p>
        </w:tc>
        <w:tc>
          <w:tcPr>
            <w:tcW w:w="1751" w:type="pct"/>
            <w:vMerge/>
            <w:vAlign w:val="center"/>
          </w:tcPr>
          <w:p w14:paraId="30C0334B" w14:textId="77777777" w:rsidR="002E474C" w:rsidRDefault="002E474C">
            <w:pPr>
              <w:pStyle w:val="A-"/>
            </w:pPr>
          </w:p>
        </w:tc>
      </w:tr>
      <w:tr w:rsidR="002E474C" w14:paraId="3C09AD3C" w14:textId="77777777">
        <w:trPr>
          <w:cantSplit/>
          <w:trHeight w:val="338"/>
          <w:jc w:val="center"/>
        </w:trPr>
        <w:tc>
          <w:tcPr>
            <w:tcW w:w="272" w:type="pct"/>
            <w:vAlign w:val="center"/>
          </w:tcPr>
          <w:p w14:paraId="3F9E659B" w14:textId="77777777" w:rsidR="002E474C" w:rsidRDefault="00000000">
            <w:pPr>
              <w:pStyle w:val="A-"/>
            </w:pPr>
            <w:r>
              <w:t>4</w:t>
            </w:r>
          </w:p>
        </w:tc>
        <w:tc>
          <w:tcPr>
            <w:tcW w:w="550" w:type="pct"/>
            <w:vMerge/>
            <w:vAlign w:val="center"/>
          </w:tcPr>
          <w:p w14:paraId="3AACB5CA" w14:textId="77777777" w:rsidR="002E474C" w:rsidRDefault="002E474C">
            <w:pPr>
              <w:pStyle w:val="A-"/>
            </w:pPr>
          </w:p>
        </w:tc>
        <w:tc>
          <w:tcPr>
            <w:tcW w:w="1372" w:type="pct"/>
            <w:gridSpan w:val="2"/>
            <w:vAlign w:val="center"/>
          </w:tcPr>
          <w:p w14:paraId="0EC6CEFE" w14:textId="77777777" w:rsidR="002E474C" w:rsidRDefault="00000000">
            <w:pPr>
              <w:pStyle w:val="A-"/>
            </w:pPr>
            <w:r>
              <w:t>颗粒物</w:t>
            </w:r>
          </w:p>
        </w:tc>
        <w:tc>
          <w:tcPr>
            <w:tcW w:w="583" w:type="pct"/>
            <w:vAlign w:val="center"/>
          </w:tcPr>
          <w:p w14:paraId="7BFF9A1F" w14:textId="77777777" w:rsidR="002E474C" w:rsidRDefault="00000000">
            <w:pPr>
              <w:pStyle w:val="A-"/>
            </w:pPr>
            <w:r>
              <w:t>10</w:t>
            </w:r>
          </w:p>
        </w:tc>
        <w:tc>
          <w:tcPr>
            <w:tcW w:w="472" w:type="pct"/>
            <w:vAlign w:val="center"/>
          </w:tcPr>
          <w:p w14:paraId="17C88BC7" w14:textId="77777777" w:rsidR="002E474C" w:rsidRDefault="00000000">
            <w:pPr>
              <w:pStyle w:val="A-"/>
            </w:pPr>
            <w:r>
              <w:t>/</w:t>
            </w:r>
          </w:p>
        </w:tc>
        <w:tc>
          <w:tcPr>
            <w:tcW w:w="1751" w:type="pct"/>
            <w:vMerge w:val="restart"/>
            <w:vAlign w:val="center"/>
          </w:tcPr>
          <w:p w14:paraId="03A71628" w14:textId="77777777" w:rsidR="002E474C" w:rsidRDefault="00000000">
            <w:pPr>
              <w:pStyle w:val="A-"/>
            </w:pPr>
            <w:r>
              <w:t>《关于推进实施水泥行业超低排放的意见》（环大气〔</w:t>
            </w:r>
            <w:r>
              <w:t>2024</w:t>
            </w:r>
            <w:r>
              <w:t>〕</w:t>
            </w:r>
            <w:r>
              <w:t>5</w:t>
            </w:r>
            <w:r>
              <w:t>号）附表</w:t>
            </w:r>
            <w:r>
              <w:t>1</w:t>
            </w:r>
            <w:r>
              <w:t>有组织排放指</w:t>
            </w:r>
            <w:r>
              <w:rPr>
                <w:rFonts w:hint="eastAsia"/>
              </w:rPr>
              <w:t>控制指标</w:t>
            </w:r>
          </w:p>
        </w:tc>
      </w:tr>
      <w:tr w:rsidR="002E474C" w14:paraId="3DC83D6A" w14:textId="77777777">
        <w:trPr>
          <w:cantSplit/>
          <w:trHeight w:val="338"/>
          <w:jc w:val="center"/>
        </w:trPr>
        <w:tc>
          <w:tcPr>
            <w:tcW w:w="272" w:type="pct"/>
            <w:vAlign w:val="center"/>
          </w:tcPr>
          <w:p w14:paraId="5A47B32F" w14:textId="77777777" w:rsidR="002E474C" w:rsidRDefault="00000000">
            <w:pPr>
              <w:pStyle w:val="A-"/>
            </w:pPr>
            <w:r>
              <w:t>5</w:t>
            </w:r>
          </w:p>
        </w:tc>
        <w:tc>
          <w:tcPr>
            <w:tcW w:w="550" w:type="pct"/>
            <w:vMerge/>
            <w:vAlign w:val="center"/>
          </w:tcPr>
          <w:p w14:paraId="0BB1EA7E" w14:textId="77777777" w:rsidR="002E474C" w:rsidRDefault="002E474C">
            <w:pPr>
              <w:pStyle w:val="A-"/>
            </w:pPr>
          </w:p>
        </w:tc>
        <w:tc>
          <w:tcPr>
            <w:tcW w:w="1372" w:type="pct"/>
            <w:gridSpan w:val="2"/>
            <w:vAlign w:val="center"/>
          </w:tcPr>
          <w:p w14:paraId="437DA423" w14:textId="77777777" w:rsidR="002E474C" w:rsidRDefault="00000000">
            <w:pPr>
              <w:pStyle w:val="A-"/>
            </w:pPr>
            <w:r>
              <w:t>SO</w:t>
            </w:r>
            <w:r>
              <w:rPr>
                <w:vertAlign w:val="subscript"/>
              </w:rPr>
              <w:t>2</w:t>
            </w:r>
          </w:p>
        </w:tc>
        <w:tc>
          <w:tcPr>
            <w:tcW w:w="583" w:type="pct"/>
            <w:vAlign w:val="center"/>
          </w:tcPr>
          <w:p w14:paraId="460EADAE" w14:textId="77777777" w:rsidR="002E474C" w:rsidRDefault="00000000">
            <w:pPr>
              <w:pStyle w:val="A-"/>
            </w:pPr>
            <w:r>
              <w:t>35</w:t>
            </w:r>
          </w:p>
        </w:tc>
        <w:tc>
          <w:tcPr>
            <w:tcW w:w="472" w:type="pct"/>
            <w:vAlign w:val="center"/>
          </w:tcPr>
          <w:p w14:paraId="3C29B352" w14:textId="77777777" w:rsidR="002E474C" w:rsidRDefault="00000000">
            <w:pPr>
              <w:pStyle w:val="A-"/>
            </w:pPr>
            <w:r>
              <w:t>/</w:t>
            </w:r>
          </w:p>
        </w:tc>
        <w:tc>
          <w:tcPr>
            <w:tcW w:w="1751" w:type="pct"/>
            <w:vMerge/>
            <w:vAlign w:val="center"/>
          </w:tcPr>
          <w:p w14:paraId="26D112BA" w14:textId="77777777" w:rsidR="002E474C" w:rsidRDefault="002E474C">
            <w:pPr>
              <w:pStyle w:val="A-"/>
            </w:pPr>
          </w:p>
        </w:tc>
      </w:tr>
      <w:tr w:rsidR="002E474C" w14:paraId="370B7C36" w14:textId="77777777">
        <w:trPr>
          <w:cantSplit/>
          <w:trHeight w:val="338"/>
          <w:jc w:val="center"/>
        </w:trPr>
        <w:tc>
          <w:tcPr>
            <w:tcW w:w="272" w:type="pct"/>
            <w:vAlign w:val="center"/>
          </w:tcPr>
          <w:p w14:paraId="45E8EF2A" w14:textId="77777777" w:rsidR="002E474C" w:rsidRDefault="00000000">
            <w:pPr>
              <w:pStyle w:val="A-"/>
            </w:pPr>
            <w:r>
              <w:t>6</w:t>
            </w:r>
          </w:p>
        </w:tc>
        <w:tc>
          <w:tcPr>
            <w:tcW w:w="550" w:type="pct"/>
            <w:vMerge/>
            <w:vAlign w:val="center"/>
          </w:tcPr>
          <w:p w14:paraId="142BE811" w14:textId="77777777" w:rsidR="002E474C" w:rsidRDefault="002E474C">
            <w:pPr>
              <w:pStyle w:val="A-"/>
            </w:pPr>
          </w:p>
        </w:tc>
        <w:tc>
          <w:tcPr>
            <w:tcW w:w="1372" w:type="pct"/>
            <w:gridSpan w:val="2"/>
            <w:vAlign w:val="center"/>
          </w:tcPr>
          <w:p w14:paraId="7372846D" w14:textId="77777777" w:rsidR="002E474C" w:rsidRDefault="00000000">
            <w:pPr>
              <w:pStyle w:val="A-"/>
            </w:pPr>
            <w:r>
              <w:t>NOx</w:t>
            </w:r>
          </w:p>
        </w:tc>
        <w:tc>
          <w:tcPr>
            <w:tcW w:w="583" w:type="pct"/>
            <w:vAlign w:val="center"/>
          </w:tcPr>
          <w:p w14:paraId="0B4F48E8" w14:textId="77777777" w:rsidR="002E474C" w:rsidRDefault="00000000">
            <w:pPr>
              <w:pStyle w:val="A-"/>
            </w:pPr>
            <w:r>
              <w:t>50</w:t>
            </w:r>
          </w:p>
        </w:tc>
        <w:tc>
          <w:tcPr>
            <w:tcW w:w="472" w:type="pct"/>
            <w:vAlign w:val="center"/>
          </w:tcPr>
          <w:p w14:paraId="7BAC90C5" w14:textId="77777777" w:rsidR="002E474C" w:rsidRDefault="00000000">
            <w:pPr>
              <w:pStyle w:val="A-"/>
            </w:pPr>
            <w:r>
              <w:t>/</w:t>
            </w:r>
          </w:p>
        </w:tc>
        <w:tc>
          <w:tcPr>
            <w:tcW w:w="1751" w:type="pct"/>
            <w:vMerge/>
            <w:vAlign w:val="center"/>
          </w:tcPr>
          <w:p w14:paraId="263AC104" w14:textId="77777777" w:rsidR="002E474C" w:rsidRDefault="002E474C">
            <w:pPr>
              <w:pStyle w:val="A-"/>
            </w:pPr>
          </w:p>
        </w:tc>
      </w:tr>
      <w:tr w:rsidR="002E474C" w14:paraId="71CA6AED" w14:textId="77777777">
        <w:trPr>
          <w:cantSplit/>
          <w:trHeight w:val="338"/>
          <w:jc w:val="center"/>
        </w:trPr>
        <w:tc>
          <w:tcPr>
            <w:tcW w:w="272" w:type="pct"/>
            <w:vAlign w:val="center"/>
          </w:tcPr>
          <w:p w14:paraId="4EA90194" w14:textId="77777777" w:rsidR="002E474C" w:rsidRDefault="00000000">
            <w:pPr>
              <w:pStyle w:val="A-"/>
            </w:pPr>
            <w:r>
              <w:t>7</w:t>
            </w:r>
          </w:p>
        </w:tc>
        <w:tc>
          <w:tcPr>
            <w:tcW w:w="550" w:type="pct"/>
            <w:vMerge/>
            <w:vAlign w:val="center"/>
          </w:tcPr>
          <w:p w14:paraId="44AE5C10" w14:textId="77777777" w:rsidR="002E474C" w:rsidRDefault="002E474C">
            <w:pPr>
              <w:pStyle w:val="A-"/>
            </w:pPr>
          </w:p>
        </w:tc>
        <w:tc>
          <w:tcPr>
            <w:tcW w:w="1372" w:type="pct"/>
            <w:gridSpan w:val="2"/>
            <w:vAlign w:val="center"/>
          </w:tcPr>
          <w:p w14:paraId="700EAEB9" w14:textId="77777777" w:rsidR="002E474C" w:rsidRDefault="00000000">
            <w:pPr>
              <w:pStyle w:val="A-"/>
            </w:pPr>
            <w:r>
              <w:t>氨</w:t>
            </w:r>
          </w:p>
        </w:tc>
        <w:tc>
          <w:tcPr>
            <w:tcW w:w="583" w:type="pct"/>
            <w:vAlign w:val="center"/>
          </w:tcPr>
          <w:p w14:paraId="7E51D209" w14:textId="77777777" w:rsidR="002E474C" w:rsidRDefault="00000000">
            <w:pPr>
              <w:pStyle w:val="A-"/>
            </w:pPr>
            <w:r>
              <w:t>10</w:t>
            </w:r>
          </w:p>
        </w:tc>
        <w:tc>
          <w:tcPr>
            <w:tcW w:w="472" w:type="pct"/>
            <w:vAlign w:val="center"/>
          </w:tcPr>
          <w:p w14:paraId="23F39397" w14:textId="77777777" w:rsidR="002E474C" w:rsidRDefault="002E474C">
            <w:pPr>
              <w:pStyle w:val="A-"/>
            </w:pPr>
          </w:p>
        </w:tc>
        <w:tc>
          <w:tcPr>
            <w:tcW w:w="1751" w:type="pct"/>
            <w:vAlign w:val="center"/>
          </w:tcPr>
          <w:p w14:paraId="5271C61F" w14:textId="77777777" w:rsidR="002E474C" w:rsidRDefault="00000000">
            <w:pPr>
              <w:pStyle w:val="A-"/>
            </w:pPr>
            <w:r>
              <w:t>《水泥工业大气污染物排放标准》（</w:t>
            </w:r>
            <w:r>
              <w:rPr>
                <w:rFonts w:hint="eastAsia"/>
              </w:rPr>
              <w:t>GB 4915-2013</w:t>
            </w:r>
            <w:r>
              <w:rPr>
                <w:rFonts w:hint="eastAsia"/>
              </w:rPr>
              <w:t>，含</w:t>
            </w:r>
            <w:r>
              <w:rPr>
                <w:rFonts w:hint="eastAsia"/>
              </w:rPr>
              <w:t>2025</w:t>
            </w:r>
            <w:r>
              <w:rPr>
                <w:rFonts w:hint="eastAsia"/>
              </w:rPr>
              <w:t>年修改单</w:t>
            </w:r>
            <w:r>
              <w:t>）表</w:t>
            </w:r>
            <w:r>
              <w:rPr>
                <w:rFonts w:hint="eastAsia"/>
              </w:rPr>
              <w:t>1</w:t>
            </w:r>
          </w:p>
        </w:tc>
      </w:tr>
      <w:tr w:rsidR="002E474C" w14:paraId="5F664CB3" w14:textId="77777777">
        <w:trPr>
          <w:cantSplit/>
          <w:trHeight w:val="338"/>
          <w:jc w:val="center"/>
        </w:trPr>
        <w:tc>
          <w:tcPr>
            <w:tcW w:w="272" w:type="pct"/>
            <w:vAlign w:val="center"/>
          </w:tcPr>
          <w:p w14:paraId="7D74F3DD" w14:textId="77777777" w:rsidR="002E474C" w:rsidRDefault="00000000">
            <w:pPr>
              <w:pStyle w:val="A-"/>
            </w:pPr>
            <w:r>
              <w:t>8</w:t>
            </w:r>
          </w:p>
        </w:tc>
        <w:tc>
          <w:tcPr>
            <w:tcW w:w="550" w:type="pct"/>
            <w:vMerge/>
            <w:vAlign w:val="center"/>
          </w:tcPr>
          <w:p w14:paraId="0ABC698A" w14:textId="77777777" w:rsidR="002E474C" w:rsidRDefault="002E474C">
            <w:pPr>
              <w:pStyle w:val="A-"/>
            </w:pPr>
          </w:p>
        </w:tc>
        <w:tc>
          <w:tcPr>
            <w:tcW w:w="1372" w:type="pct"/>
            <w:gridSpan w:val="2"/>
            <w:vAlign w:val="center"/>
          </w:tcPr>
          <w:p w14:paraId="7929772C" w14:textId="77777777" w:rsidR="002E474C" w:rsidRDefault="00000000">
            <w:pPr>
              <w:pStyle w:val="A-"/>
            </w:pPr>
            <w:r>
              <w:t>氟化物（以总</w:t>
            </w:r>
            <w:r>
              <w:t>F</w:t>
            </w:r>
            <w:r>
              <w:t>计）</w:t>
            </w:r>
          </w:p>
        </w:tc>
        <w:tc>
          <w:tcPr>
            <w:tcW w:w="583" w:type="pct"/>
            <w:vAlign w:val="center"/>
          </w:tcPr>
          <w:p w14:paraId="46CDBAFC" w14:textId="77777777" w:rsidR="002E474C" w:rsidRDefault="00000000">
            <w:pPr>
              <w:pStyle w:val="A-"/>
            </w:pPr>
            <w:r>
              <w:t>5</w:t>
            </w:r>
          </w:p>
        </w:tc>
        <w:tc>
          <w:tcPr>
            <w:tcW w:w="472" w:type="pct"/>
            <w:vAlign w:val="center"/>
          </w:tcPr>
          <w:p w14:paraId="5D8B33E1" w14:textId="77777777" w:rsidR="002E474C" w:rsidRDefault="002E474C">
            <w:pPr>
              <w:pStyle w:val="A-"/>
            </w:pPr>
          </w:p>
        </w:tc>
        <w:tc>
          <w:tcPr>
            <w:tcW w:w="1751" w:type="pct"/>
            <w:vMerge w:val="restart"/>
            <w:vAlign w:val="center"/>
          </w:tcPr>
          <w:p w14:paraId="405232E1" w14:textId="77777777" w:rsidR="002E474C" w:rsidRDefault="00000000">
            <w:pPr>
              <w:pStyle w:val="A-"/>
            </w:pPr>
            <w:r>
              <w:t>《水泥窑协同处置固体废物污染控制标准》</w:t>
            </w:r>
          </w:p>
          <w:p w14:paraId="2C76AA0C" w14:textId="77777777" w:rsidR="002E474C" w:rsidRDefault="00000000">
            <w:pPr>
              <w:pStyle w:val="A-"/>
            </w:pPr>
            <w:r>
              <w:t>（</w:t>
            </w:r>
            <w:r>
              <w:t>GB30485-2013</w:t>
            </w:r>
            <w:r>
              <w:t>）表</w:t>
            </w:r>
            <w:r>
              <w:t>1</w:t>
            </w:r>
          </w:p>
        </w:tc>
      </w:tr>
      <w:tr w:rsidR="002E474C" w14:paraId="01138EC1" w14:textId="77777777">
        <w:trPr>
          <w:cantSplit/>
          <w:trHeight w:val="338"/>
          <w:jc w:val="center"/>
        </w:trPr>
        <w:tc>
          <w:tcPr>
            <w:tcW w:w="272" w:type="pct"/>
            <w:vAlign w:val="center"/>
          </w:tcPr>
          <w:p w14:paraId="72994DA9" w14:textId="77777777" w:rsidR="002E474C" w:rsidRDefault="00000000">
            <w:pPr>
              <w:pStyle w:val="A-"/>
            </w:pPr>
            <w:r>
              <w:t>9</w:t>
            </w:r>
          </w:p>
        </w:tc>
        <w:tc>
          <w:tcPr>
            <w:tcW w:w="550" w:type="pct"/>
            <w:vMerge/>
            <w:vAlign w:val="center"/>
          </w:tcPr>
          <w:p w14:paraId="7E45360A" w14:textId="77777777" w:rsidR="002E474C" w:rsidRDefault="002E474C">
            <w:pPr>
              <w:pStyle w:val="A-"/>
            </w:pPr>
          </w:p>
        </w:tc>
        <w:tc>
          <w:tcPr>
            <w:tcW w:w="1372" w:type="pct"/>
            <w:gridSpan w:val="2"/>
            <w:vAlign w:val="center"/>
          </w:tcPr>
          <w:p w14:paraId="40372255" w14:textId="77777777" w:rsidR="002E474C" w:rsidRDefault="00000000">
            <w:pPr>
              <w:pStyle w:val="A-"/>
            </w:pPr>
            <w:r>
              <w:t>汞及其化合物</w:t>
            </w:r>
          </w:p>
        </w:tc>
        <w:tc>
          <w:tcPr>
            <w:tcW w:w="583" w:type="pct"/>
            <w:vAlign w:val="center"/>
          </w:tcPr>
          <w:p w14:paraId="1E2CE4BB" w14:textId="77777777" w:rsidR="002E474C" w:rsidRDefault="00000000">
            <w:pPr>
              <w:pStyle w:val="A-"/>
            </w:pPr>
            <w:r>
              <w:t>0.05</w:t>
            </w:r>
          </w:p>
        </w:tc>
        <w:tc>
          <w:tcPr>
            <w:tcW w:w="472" w:type="pct"/>
            <w:vAlign w:val="center"/>
          </w:tcPr>
          <w:p w14:paraId="3B4FA935" w14:textId="77777777" w:rsidR="002E474C" w:rsidRDefault="002E474C">
            <w:pPr>
              <w:pStyle w:val="A-"/>
            </w:pPr>
          </w:p>
        </w:tc>
        <w:tc>
          <w:tcPr>
            <w:tcW w:w="1751" w:type="pct"/>
            <w:vMerge/>
            <w:vAlign w:val="center"/>
          </w:tcPr>
          <w:p w14:paraId="7A1B36D5" w14:textId="77777777" w:rsidR="002E474C" w:rsidRDefault="002E474C">
            <w:pPr>
              <w:pStyle w:val="A-"/>
            </w:pPr>
          </w:p>
        </w:tc>
      </w:tr>
      <w:tr w:rsidR="002E474C" w14:paraId="50D9C4DA" w14:textId="77777777">
        <w:trPr>
          <w:cantSplit/>
          <w:trHeight w:val="338"/>
          <w:jc w:val="center"/>
        </w:trPr>
        <w:tc>
          <w:tcPr>
            <w:tcW w:w="272" w:type="pct"/>
            <w:vAlign w:val="center"/>
          </w:tcPr>
          <w:p w14:paraId="665841E0" w14:textId="77777777" w:rsidR="002E474C" w:rsidRDefault="00000000">
            <w:pPr>
              <w:pStyle w:val="A-"/>
            </w:pPr>
            <w:r>
              <w:t>10</w:t>
            </w:r>
          </w:p>
        </w:tc>
        <w:tc>
          <w:tcPr>
            <w:tcW w:w="550" w:type="pct"/>
            <w:vMerge/>
            <w:vAlign w:val="center"/>
          </w:tcPr>
          <w:p w14:paraId="62E41E51" w14:textId="77777777" w:rsidR="002E474C" w:rsidRDefault="002E474C">
            <w:pPr>
              <w:pStyle w:val="A-"/>
            </w:pPr>
          </w:p>
        </w:tc>
        <w:tc>
          <w:tcPr>
            <w:tcW w:w="1372" w:type="pct"/>
            <w:gridSpan w:val="2"/>
            <w:vAlign w:val="center"/>
          </w:tcPr>
          <w:p w14:paraId="646BFCF7" w14:textId="77777777" w:rsidR="002E474C" w:rsidRDefault="00000000">
            <w:pPr>
              <w:pStyle w:val="A-"/>
            </w:pPr>
            <w:r>
              <w:t>HCl</w:t>
            </w:r>
          </w:p>
        </w:tc>
        <w:tc>
          <w:tcPr>
            <w:tcW w:w="583" w:type="pct"/>
            <w:vAlign w:val="center"/>
          </w:tcPr>
          <w:p w14:paraId="1DD46D05" w14:textId="77777777" w:rsidR="002E474C" w:rsidRDefault="00000000">
            <w:pPr>
              <w:pStyle w:val="A-"/>
            </w:pPr>
            <w:r>
              <w:t>10</w:t>
            </w:r>
          </w:p>
        </w:tc>
        <w:tc>
          <w:tcPr>
            <w:tcW w:w="472" w:type="pct"/>
            <w:vAlign w:val="center"/>
          </w:tcPr>
          <w:p w14:paraId="796711C2" w14:textId="77777777" w:rsidR="002E474C" w:rsidRDefault="00000000">
            <w:pPr>
              <w:pStyle w:val="A-"/>
            </w:pPr>
            <w:r>
              <w:t>/</w:t>
            </w:r>
          </w:p>
        </w:tc>
        <w:tc>
          <w:tcPr>
            <w:tcW w:w="1751" w:type="pct"/>
            <w:vMerge/>
            <w:vAlign w:val="center"/>
          </w:tcPr>
          <w:p w14:paraId="0221417B" w14:textId="77777777" w:rsidR="002E474C" w:rsidRDefault="002E474C">
            <w:pPr>
              <w:pStyle w:val="A-"/>
            </w:pPr>
          </w:p>
        </w:tc>
      </w:tr>
      <w:tr w:rsidR="002E474C" w14:paraId="704BE16A" w14:textId="77777777">
        <w:trPr>
          <w:cantSplit/>
          <w:jc w:val="center"/>
        </w:trPr>
        <w:tc>
          <w:tcPr>
            <w:tcW w:w="272" w:type="pct"/>
            <w:vAlign w:val="center"/>
          </w:tcPr>
          <w:p w14:paraId="4D61CFBD" w14:textId="77777777" w:rsidR="002E474C" w:rsidRDefault="00000000">
            <w:pPr>
              <w:pStyle w:val="A-"/>
            </w:pPr>
            <w:r>
              <w:t>11</w:t>
            </w:r>
          </w:p>
        </w:tc>
        <w:tc>
          <w:tcPr>
            <w:tcW w:w="550" w:type="pct"/>
            <w:vMerge/>
            <w:vAlign w:val="center"/>
          </w:tcPr>
          <w:p w14:paraId="3C6B6FC2" w14:textId="77777777" w:rsidR="002E474C" w:rsidRDefault="002E474C">
            <w:pPr>
              <w:pStyle w:val="A-"/>
            </w:pPr>
          </w:p>
        </w:tc>
        <w:tc>
          <w:tcPr>
            <w:tcW w:w="1372" w:type="pct"/>
            <w:gridSpan w:val="2"/>
            <w:vAlign w:val="center"/>
          </w:tcPr>
          <w:p w14:paraId="00AB471D" w14:textId="77777777" w:rsidR="002E474C" w:rsidRDefault="00000000">
            <w:pPr>
              <w:pStyle w:val="A-"/>
            </w:pPr>
            <w:r>
              <w:t>HF</w:t>
            </w:r>
          </w:p>
        </w:tc>
        <w:tc>
          <w:tcPr>
            <w:tcW w:w="583" w:type="pct"/>
            <w:vAlign w:val="center"/>
          </w:tcPr>
          <w:p w14:paraId="45D3CAA6" w14:textId="77777777" w:rsidR="002E474C" w:rsidRDefault="00000000">
            <w:pPr>
              <w:pStyle w:val="A-"/>
            </w:pPr>
            <w:r>
              <w:t>1</w:t>
            </w:r>
          </w:p>
        </w:tc>
        <w:tc>
          <w:tcPr>
            <w:tcW w:w="472" w:type="pct"/>
            <w:vAlign w:val="center"/>
          </w:tcPr>
          <w:p w14:paraId="69121519" w14:textId="77777777" w:rsidR="002E474C" w:rsidRDefault="00000000">
            <w:pPr>
              <w:pStyle w:val="A-"/>
            </w:pPr>
            <w:r>
              <w:t>/</w:t>
            </w:r>
          </w:p>
        </w:tc>
        <w:tc>
          <w:tcPr>
            <w:tcW w:w="1751" w:type="pct"/>
            <w:vMerge/>
            <w:vAlign w:val="center"/>
          </w:tcPr>
          <w:p w14:paraId="75C060BB" w14:textId="77777777" w:rsidR="002E474C" w:rsidRDefault="002E474C">
            <w:pPr>
              <w:pStyle w:val="A-"/>
            </w:pPr>
          </w:p>
        </w:tc>
      </w:tr>
      <w:tr w:rsidR="002E474C" w14:paraId="53573B7A" w14:textId="77777777">
        <w:trPr>
          <w:cantSplit/>
          <w:jc w:val="center"/>
        </w:trPr>
        <w:tc>
          <w:tcPr>
            <w:tcW w:w="272" w:type="pct"/>
            <w:vAlign w:val="center"/>
          </w:tcPr>
          <w:p w14:paraId="2A138689" w14:textId="77777777" w:rsidR="002E474C" w:rsidRDefault="00000000">
            <w:pPr>
              <w:pStyle w:val="A-"/>
            </w:pPr>
            <w:r>
              <w:t>12</w:t>
            </w:r>
          </w:p>
        </w:tc>
        <w:tc>
          <w:tcPr>
            <w:tcW w:w="550" w:type="pct"/>
            <w:vMerge/>
            <w:vAlign w:val="center"/>
          </w:tcPr>
          <w:p w14:paraId="4A1D0651" w14:textId="77777777" w:rsidR="002E474C" w:rsidRDefault="002E474C">
            <w:pPr>
              <w:pStyle w:val="A-"/>
            </w:pPr>
          </w:p>
        </w:tc>
        <w:tc>
          <w:tcPr>
            <w:tcW w:w="1372" w:type="pct"/>
            <w:gridSpan w:val="2"/>
            <w:vAlign w:val="center"/>
          </w:tcPr>
          <w:p w14:paraId="56883561" w14:textId="77777777" w:rsidR="002E474C" w:rsidRDefault="00000000">
            <w:pPr>
              <w:pStyle w:val="A-"/>
            </w:pPr>
            <w:r>
              <w:t>汞及其化合物</w:t>
            </w:r>
          </w:p>
          <w:p w14:paraId="4274AFEB" w14:textId="77777777" w:rsidR="002E474C" w:rsidRDefault="00000000">
            <w:pPr>
              <w:pStyle w:val="A-"/>
            </w:pPr>
            <w:r>
              <w:t>（以</w:t>
            </w:r>
            <w:r>
              <w:t>Hg</w:t>
            </w:r>
            <w:r>
              <w:t>计）</w:t>
            </w:r>
          </w:p>
        </w:tc>
        <w:tc>
          <w:tcPr>
            <w:tcW w:w="583" w:type="pct"/>
            <w:vAlign w:val="center"/>
          </w:tcPr>
          <w:p w14:paraId="118D9082" w14:textId="77777777" w:rsidR="002E474C" w:rsidRDefault="00000000">
            <w:pPr>
              <w:pStyle w:val="A-"/>
            </w:pPr>
            <w:r>
              <w:t>0.05</w:t>
            </w:r>
          </w:p>
        </w:tc>
        <w:tc>
          <w:tcPr>
            <w:tcW w:w="472" w:type="pct"/>
            <w:vAlign w:val="center"/>
          </w:tcPr>
          <w:p w14:paraId="7EED7F4C" w14:textId="77777777" w:rsidR="002E474C" w:rsidRDefault="00000000">
            <w:pPr>
              <w:pStyle w:val="A-"/>
            </w:pPr>
            <w:r>
              <w:t>/</w:t>
            </w:r>
          </w:p>
        </w:tc>
        <w:tc>
          <w:tcPr>
            <w:tcW w:w="1751" w:type="pct"/>
            <w:vMerge/>
            <w:vAlign w:val="center"/>
          </w:tcPr>
          <w:p w14:paraId="78399006" w14:textId="77777777" w:rsidR="002E474C" w:rsidRDefault="002E474C">
            <w:pPr>
              <w:pStyle w:val="A-"/>
            </w:pPr>
          </w:p>
        </w:tc>
      </w:tr>
      <w:tr w:rsidR="002E474C" w14:paraId="6B6AE092" w14:textId="77777777">
        <w:trPr>
          <w:cantSplit/>
          <w:jc w:val="center"/>
        </w:trPr>
        <w:tc>
          <w:tcPr>
            <w:tcW w:w="272" w:type="pct"/>
            <w:vAlign w:val="center"/>
          </w:tcPr>
          <w:p w14:paraId="5491968E" w14:textId="77777777" w:rsidR="002E474C" w:rsidRDefault="00000000">
            <w:pPr>
              <w:pStyle w:val="A-"/>
            </w:pPr>
            <w:r>
              <w:t>13</w:t>
            </w:r>
          </w:p>
        </w:tc>
        <w:tc>
          <w:tcPr>
            <w:tcW w:w="550" w:type="pct"/>
            <w:vMerge/>
            <w:vAlign w:val="center"/>
          </w:tcPr>
          <w:p w14:paraId="70499A41" w14:textId="77777777" w:rsidR="002E474C" w:rsidRDefault="002E474C">
            <w:pPr>
              <w:pStyle w:val="A-"/>
            </w:pPr>
          </w:p>
        </w:tc>
        <w:tc>
          <w:tcPr>
            <w:tcW w:w="1372" w:type="pct"/>
            <w:gridSpan w:val="2"/>
            <w:vAlign w:val="center"/>
          </w:tcPr>
          <w:p w14:paraId="52AF9331" w14:textId="77777777" w:rsidR="002E474C" w:rsidRDefault="00000000">
            <w:pPr>
              <w:pStyle w:val="A-"/>
            </w:pPr>
            <w:proofErr w:type="spellStart"/>
            <w:r>
              <w:t>Tl+Cd+Pb+As</w:t>
            </w:r>
            <w:proofErr w:type="spellEnd"/>
          </w:p>
        </w:tc>
        <w:tc>
          <w:tcPr>
            <w:tcW w:w="583" w:type="pct"/>
            <w:vAlign w:val="center"/>
          </w:tcPr>
          <w:p w14:paraId="34AEA813" w14:textId="77777777" w:rsidR="002E474C" w:rsidRDefault="00000000">
            <w:pPr>
              <w:pStyle w:val="A-"/>
            </w:pPr>
            <w:r>
              <w:t>1.0</w:t>
            </w:r>
          </w:p>
        </w:tc>
        <w:tc>
          <w:tcPr>
            <w:tcW w:w="472" w:type="pct"/>
            <w:vAlign w:val="center"/>
          </w:tcPr>
          <w:p w14:paraId="2B72C29C" w14:textId="77777777" w:rsidR="002E474C" w:rsidRDefault="00000000">
            <w:pPr>
              <w:pStyle w:val="A-"/>
            </w:pPr>
            <w:r>
              <w:t>/</w:t>
            </w:r>
          </w:p>
        </w:tc>
        <w:tc>
          <w:tcPr>
            <w:tcW w:w="1751" w:type="pct"/>
            <w:vMerge/>
            <w:vAlign w:val="center"/>
          </w:tcPr>
          <w:p w14:paraId="6CA0AF1D" w14:textId="77777777" w:rsidR="002E474C" w:rsidRDefault="002E474C">
            <w:pPr>
              <w:pStyle w:val="A-"/>
            </w:pPr>
          </w:p>
        </w:tc>
      </w:tr>
      <w:tr w:rsidR="002E474C" w14:paraId="004299FB" w14:textId="77777777">
        <w:trPr>
          <w:cantSplit/>
          <w:jc w:val="center"/>
        </w:trPr>
        <w:tc>
          <w:tcPr>
            <w:tcW w:w="272" w:type="pct"/>
            <w:vAlign w:val="center"/>
          </w:tcPr>
          <w:p w14:paraId="7E3636BF" w14:textId="77777777" w:rsidR="002E474C" w:rsidRDefault="00000000">
            <w:pPr>
              <w:pStyle w:val="A-"/>
            </w:pPr>
            <w:r>
              <w:t>14</w:t>
            </w:r>
          </w:p>
        </w:tc>
        <w:tc>
          <w:tcPr>
            <w:tcW w:w="550" w:type="pct"/>
            <w:vMerge/>
            <w:vAlign w:val="center"/>
          </w:tcPr>
          <w:p w14:paraId="00DF4B61" w14:textId="77777777" w:rsidR="002E474C" w:rsidRDefault="002E474C">
            <w:pPr>
              <w:pStyle w:val="A-"/>
            </w:pPr>
          </w:p>
        </w:tc>
        <w:tc>
          <w:tcPr>
            <w:tcW w:w="1372" w:type="pct"/>
            <w:gridSpan w:val="2"/>
            <w:vAlign w:val="center"/>
          </w:tcPr>
          <w:p w14:paraId="115B83CF" w14:textId="77777777" w:rsidR="002E474C" w:rsidRDefault="00000000">
            <w:pPr>
              <w:pStyle w:val="A-"/>
            </w:pPr>
            <w:proofErr w:type="spellStart"/>
            <w:r>
              <w:t>Be+Cr+Sn+Sb+Cu+Co+Mn+Ni+V</w:t>
            </w:r>
            <w:proofErr w:type="spellEnd"/>
          </w:p>
        </w:tc>
        <w:tc>
          <w:tcPr>
            <w:tcW w:w="583" w:type="pct"/>
            <w:vAlign w:val="center"/>
          </w:tcPr>
          <w:p w14:paraId="7EDC5F2F" w14:textId="77777777" w:rsidR="002E474C" w:rsidRDefault="00000000">
            <w:pPr>
              <w:pStyle w:val="A-"/>
            </w:pPr>
            <w:r>
              <w:t>0.5</w:t>
            </w:r>
          </w:p>
        </w:tc>
        <w:tc>
          <w:tcPr>
            <w:tcW w:w="472" w:type="pct"/>
            <w:vAlign w:val="center"/>
          </w:tcPr>
          <w:p w14:paraId="673C8240" w14:textId="77777777" w:rsidR="002E474C" w:rsidRDefault="00000000">
            <w:pPr>
              <w:pStyle w:val="A-"/>
            </w:pPr>
            <w:r>
              <w:t>/</w:t>
            </w:r>
          </w:p>
        </w:tc>
        <w:tc>
          <w:tcPr>
            <w:tcW w:w="1751" w:type="pct"/>
            <w:vMerge/>
            <w:vAlign w:val="center"/>
          </w:tcPr>
          <w:p w14:paraId="175DB056" w14:textId="77777777" w:rsidR="002E474C" w:rsidRDefault="002E474C">
            <w:pPr>
              <w:pStyle w:val="A-"/>
            </w:pPr>
          </w:p>
        </w:tc>
      </w:tr>
      <w:tr w:rsidR="002E474C" w14:paraId="6D8100CA" w14:textId="77777777">
        <w:trPr>
          <w:cantSplit/>
          <w:jc w:val="center"/>
        </w:trPr>
        <w:tc>
          <w:tcPr>
            <w:tcW w:w="272" w:type="pct"/>
            <w:vAlign w:val="center"/>
          </w:tcPr>
          <w:p w14:paraId="1619D148" w14:textId="77777777" w:rsidR="002E474C" w:rsidRDefault="00000000">
            <w:pPr>
              <w:pStyle w:val="A-"/>
            </w:pPr>
            <w:r>
              <w:t>15</w:t>
            </w:r>
          </w:p>
        </w:tc>
        <w:tc>
          <w:tcPr>
            <w:tcW w:w="550" w:type="pct"/>
            <w:vMerge/>
            <w:vAlign w:val="center"/>
          </w:tcPr>
          <w:p w14:paraId="777E793E" w14:textId="77777777" w:rsidR="002E474C" w:rsidRDefault="002E474C">
            <w:pPr>
              <w:pStyle w:val="A-"/>
            </w:pPr>
          </w:p>
        </w:tc>
        <w:tc>
          <w:tcPr>
            <w:tcW w:w="1372" w:type="pct"/>
            <w:gridSpan w:val="2"/>
            <w:vAlign w:val="center"/>
          </w:tcPr>
          <w:p w14:paraId="49FE2FAC" w14:textId="77777777" w:rsidR="002E474C" w:rsidRDefault="00000000">
            <w:pPr>
              <w:pStyle w:val="A-"/>
            </w:pPr>
            <w:r>
              <w:t>二噁英类</w:t>
            </w:r>
          </w:p>
        </w:tc>
        <w:tc>
          <w:tcPr>
            <w:tcW w:w="583" w:type="pct"/>
            <w:vAlign w:val="center"/>
          </w:tcPr>
          <w:p w14:paraId="3777B7F8" w14:textId="77777777" w:rsidR="002E474C" w:rsidRDefault="00000000">
            <w:pPr>
              <w:pStyle w:val="A-"/>
              <w:ind w:leftChars="-25" w:left="-53" w:rightChars="-25" w:right="-53"/>
            </w:pPr>
            <w:r>
              <w:rPr>
                <w:spacing w:val="-6"/>
              </w:rPr>
              <w:t>0.1ngTEQ/m</w:t>
            </w:r>
            <w:r>
              <w:rPr>
                <w:spacing w:val="-6"/>
                <w:vertAlign w:val="superscript"/>
              </w:rPr>
              <w:t>3</w:t>
            </w:r>
          </w:p>
        </w:tc>
        <w:tc>
          <w:tcPr>
            <w:tcW w:w="472" w:type="pct"/>
            <w:vAlign w:val="center"/>
          </w:tcPr>
          <w:p w14:paraId="06D980CF" w14:textId="77777777" w:rsidR="002E474C" w:rsidRDefault="00000000">
            <w:pPr>
              <w:pStyle w:val="A-"/>
            </w:pPr>
            <w:r>
              <w:t>/</w:t>
            </w:r>
          </w:p>
        </w:tc>
        <w:tc>
          <w:tcPr>
            <w:tcW w:w="1751" w:type="pct"/>
            <w:vMerge/>
            <w:vAlign w:val="center"/>
          </w:tcPr>
          <w:p w14:paraId="612F4543" w14:textId="77777777" w:rsidR="002E474C" w:rsidRDefault="002E474C">
            <w:pPr>
              <w:pStyle w:val="A-"/>
            </w:pPr>
          </w:p>
        </w:tc>
      </w:tr>
      <w:tr w:rsidR="002E474C" w14:paraId="3F57DC0F" w14:textId="77777777">
        <w:trPr>
          <w:cantSplit/>
          <w:jc w:val="center"/>
        </w:trPr>
        <w:tc>
          <w:tcPr>
            <w:tcW w:w="272" w:type="pct"/>
            <w:vAlign w:val="center"/>
          </w:tcPr>
          <w:p w14:paraId="09084357" w14:textId="77777777" w:rsidR="002E474C" w:rsidRDefault="00000000">
            <w:pPr>
              <w:pStyle w:val="A-"/>
            </w:pPr>
            <w:r>
              <w:t>16</w:t>
            </w:r>
          </w:p>
        </w:tc>
        <w:tc>
          <w:tcPr>
            <w:tcW w:w="550" w:type="pct"/>
            <w:vMerge w:val="restart"/>
            <w:vAlign w:val="center"/>
          </w:tcPr>
          <w:p w14:paraId="1D0C211F" w14:textId="77777777" w:rsidR="002E474C" w:rsidRDefault="00000000">
            <w:pPr>
              <w:pStyle w:val="A-"/>
            </w:pPr>
            <w:r>
              <w:t>危废贮存废气排气筒</w:t>
            </w:r>
            <w:r>
              <w:t>(15m)</w:t>
            </w:r>
          </w:p>
        </w:tc>
        <w:tc>
          <w:tcPr>
            <w:tcW w:w="1372" w:type="pct"/>
            <w:gridSpan w:val="2"/>
            <w:vAlign w:val="center"/>
          </w:tcPr>
          <w:p w14:paraId="755F64CC" w14:textId="77777777" w:rsidR="002E474C" w:rsidRDefault="00000000">
            <w:pPr>
              <w:pStyle w:val="A-"/>
            </w:pPr>
            <w:r>
              <w:t>NH</w:t>
            </w:r>
            <w:r>
              <w:rPr>
                <w:vertAlign w:val="subscript"/>
              </w:rPr>
              <w:t>3</w:t>
            </w:r>
          </w:p>
        </w:tc>
        <w:tc>
          <w:tcPr>
            <w:tcW w:w="583" w:type="pct"/>
            <w:vAlign w:val="center"/>
          </w:tcPr>
          <w:p w14:paraId="67AACB56" w14:textId="77777777" w:rsidR="002E474C" w:rsidRDefault="00000000">
            <w:pPr>
              <w:pStyle w:val="A-"/>
            </w:pPr>
            <w:r>
              <w:t>/</w:t>
            </w:r>
          </w:p>
        </w:tc>
        <w:tc>
          <w:tcPr>
            <w:tcW w:w="472" w:type="pct"/>
            <w:vAlign w:val="center"/>
          </w:tcPr>
          <w:p w14:paraId="1E478B5E" w14:textId="77777777" w:rsidR="002E474C" w:rsidRDefault="00000000">
            <w:pPr>
              <w:pStyle w:val="A-"/>
            </w:pPr>
            <w:r>
              <w:t>4.9</w:t>
            </w:r>
          </w:p>
        </w:tc>
        <w:tc>
          <w:tcPr>
            <w:tcW w:w="1751" w:type="pct"/>
            <w:vMerge w:val="restart"/>
            <w:vAlign w:val="center"/>
          </w:tcPr>
          <w:p w14:paraId="39BA68EB" w14:textId="77777777" w:rsidR="002E474C" w:rsidRDefault="00000000">
            <w:pPr>
              <w:pStyle w:val="A-"/>
            </w:pPr>
            <w:r>
              <w:t>《恶臭污染物排放标准》（</w:t>
            </w:r>
            <w:r>
              <w:t>GB14554-93</w:t>
            </w:r>
            <w:r>
              <w:t>）表</w:t>
            </w:r>
            <w:r>
              <w:t>2</w:t>
            </w:r>
          </w:p>
        </w:tc>
      </w:tr>
      <w:tr w:rsidR="002E474C" w14:paraId="0D8053EB" w14:textId="77777777">
        <w:trPr>
          <w:cantSplit/>
          <w:jc w:val="center"/>
        </w:trPr>
        <w:tc>
          <w:tcPr>
            <w:tcW w:w="272" w:type="pct"/>
            <w:vAlign w:val="center"/>
          </w:tcPr>
          <w:p w14:paraId="28A1F960" w14:textId="77777777" w:rsidR="002E474C" w:rsidRDefault="00000000">
            <w:pPr>
              <w:pStyle w:val="A-"/>
            </w:pPr>
            <w:r>
              <w:t>17</w:t>
            </w:r>
          </w:p>
        </w:tc>
        <w:tc>
          <w:tcPr>
            <w:tcW w:w="550" w:type="pct"/>
            <w:vMerge/>
            <w:vAlign w:val="center"/>
          </w:tcPr>
          <w:p w14:paraId="68E8AE1E" w14:textId="77777777" w:rsidR="002E474C" w:rsidRDefault="002E474C">
            <w:pPr>
              <w:pStyle w:val="A-"/>
            </w:pPr>
          </w:p>
        </w:tc>
        <w:tc>
          <w:tcPr>
            <w:tcW w:w="1372" w:type="pct"/>
            <w:gridSpan w:val="2"/>
            <w:vAlign w:val="center"/>
          </w:tcPr>
          <w:p w14:paraId="416C915C" w14:textId="77777777" w:rsidR="002E474C" w:rsidRDefault="00000000">
            <w:pPr>
              <w:pStyle w:val="A-"/>
            </w:pPr>
            <w:r>
              <w:t>H</w:t>
            </w:r>
            <w:r>
              <w:rPr>
                <w:vertAlign w:val="subscript"/>
              </w:rPr>
              <w:t>2</w:t>
            </w:r>
            <w:r>
              <w:t>S</w:t>
            </w:r>
          </w:p>
        </w:tc>
        <w:tc>
          <w:tcPr>
            <w:tcW w:w="583" w:type="pct"/>
            <w:vAlign w:val="center"/>
          </w:tcPr>
          <w:p w14:paraId="7D1155CD" w14:textId="77777777" w:rsidR="002E474C" w:rsidRDefault="00000000">
            <w:pPr>
              <w:pStyle w:val="A-"/>
            </w:pPr>
            <w:r>
              <w:t>/</w:t>
            </w:r>
          </w:p>
        </w:tc>
        <w:tc>
          <w:tcPr>
            <w:tcW w:w="472" w:type="pct"/>
            <w:vAlign w:val="center"/>
          </w:tcPr>
          <w:p w14:paraId="1D15A272" w14:textId="77777777" w:rsidR="002E474C" w:rsidRDefault="00000000">
            <w:pPr>
              <w:pStyle w:val="A-"/>
            </w:pPr>
            <w:r>
              <w:t>0.33</w:t>
            </w:r>
          </w:p>
        </w:tc>
        <w:tc>
          <w:tcPr>
            <w:tcW w:w="1751" w:type="pct"/>
            <w:vMerge/>
            <w:vAlign w:val="center"/>
          </w:tcPr>
          <w:p w14:paraId="6205A463" w14:textId="77777777" w:rsidR="002E474C" w:rsidRDefault="002E474C">
            <w:pPr>
              <w:pStyle w:val="A-"/>
            </w:pPr>
          </w:p>
        </w:tc>
      </w:tr>
      <w:tr w:rsidR="002E474C" w14:paraId="798CA0C5" w14:textId="77777777">
        <w:trPr>
          <w:cantSplit/>
          <w:jc w:val="center"/>
        </w:trPr>
        <w:tc>
          <w:tcPr>
            <w:tcW w:w="272" w:type="pct"/>
            <w:vAlign w:val="center"/>
          </w:tcPr>
          <w:p w14:paraId="0F200BB5" w14:textId="77777777" w:rsidR="002E474C" w:rsidRDefault="00000000">
            <w:pPr>
              <w:pStyle w:val="A-"/>
            </w:pPr>
            <w:r>
              <w:t>18</w:t>
            </w:r>
          </w:p>
        </w:tc>
        <w:tc>
          <w:tcPr>
            <w:tcW w:w="550" w:type="pct"/>
            <w:vMerge/>
            <w:vAlign w:val="center"/>
          </w:tcPr>
          <w:p w14:paraId="5B6DCE1B" w14:textId="77777777" w:rsidR="002E474C" w:rsidRDefault="002E474C">
            <w:pPr>
              <w:pStyle w:val="A-"/>
            </w:pPr>
          </w:p>
        </w:tc>
        <w:tc>
          <w:tcPr>
            <w:tcW w:w="1372" w:type="pct"/>
            <w:gridSpan w:val="2"/>
            <w:vAlign w:val="center"/>
          </w:tcPr>
          <w:p w14:paraId="1E88DA39" w14:textId="77777777" w:rsidR="002E474C" w:rsidRDefault="00000000">
            <w:pPr>
              <w:pStyle w:val="A-"/>
            </w:pPr>
            <w:r>
              <w:t>臭气浓度（无量纲）</w:t>
            </w:r>
          </w:p>
        </w:tc>
        <w:tc>
          <w:tcPr>
            <w:tcW w:w="583" w:type="pct"/>
            <w:vAlign w:val="center"/>
          </w:tcPr>
          <w:p w14:paraId="03286C37" w14:textId="77777777" w:rsidR="002E474C" w:rsidRDefault="00000000">
            <w:pPr>
              <w:pStyle w:val="A-"/>
            </w:pPr>
            <w:r>
              <w:t>/</w:t>
            </w:r>
          </w:p>
        </w:tc>
        <w:tc>
          <w:tcPr>
            <w:tcW w:w="472" w:type="pct"/>
            <w:vAlign w:val="center"/>
          </w:tcPr>
          <w:p w14:paraId="40CC339A" w14:textId="77777777" w:rsidR="002E474C" w:rsidRDefault="00000000">
            <w:pPr>
              <w:pStyle w:val="A-"/>
            </w:pPr>
            <w:r>
              <w:t>2000</w:t>
            </w:r>
          </w:p>
        </w:tc>
        <w:tc>
          <w:tcPr>
            <w:tcW w:w="1751" w:type="pct"/>
            <w:vMerge/>
            <w:vAlign w:val="center"/>
          </w:tcPr>
          <w:p w14:paraId="74E46892" w14:textId="77777777" w:rsidR="002E474C" w:rsidRDefault="002E474C">
            <w:pPr>
              <w:pStyle w:val="A-"/>
            </w:pPr>
          </w:p>
        </w:tc>
      </w:tr>
      <w:tr w:rsidR="002E474C" w14:paraId="6AF140CD" w14:textId="77777777">
        <w:trPr>
          <w:cantSplit/>
          <w:jc w:val="center"/>
        </w:trPr>
        <w:tc>
          <w:tcPr>
            <w:tcW w:w="272" w:type="pct"/>
            <w:vAlign w:val="center"/>
          </w:tcPr>
          <w:p w14:paraId="2300AFF6" w14:textId="77777777" w:rsidR="002E474C" w:rsidRDefault="00000000">
            <w:pPr>
              <w:pStyle w:val="A-"/>
            </w:pPr>
            <w:r>
              <w:t>19</w:t>
            </w:r>
          </w:p>
        </w:tc>
        <w:tc>
          <w:tcPr>
            <w:tcW w:w="550" w:type="pct"/>
            <w:vMerge/>
            <w:vAlign w:val="center"/>
          </w:tcPr>
          <w:p w14:paraId="6C6B36B9" w14:textId="77777777" w:rsidR="002E474C" w:rsidRDefault="002E474C">
            <w:pPr>
              <w:pStyle w:val="A-"/>
            </w:pPr>
          </w:p>
        </w:tc>
        <w:tc>
          <w:tcPr>
            <w:tcW w:w="1372" w:type="pct"/>
            <w:gridSpan w:val="2"/>
            <w:vAlign w:val="center"/>
          </w:tcPr>
          <w:p w14:paraId="681F468C" w14:textId="77777777" w:rsidR="002E474C" w:rsidRDefault="00000000">
            <w:pPr>
              <w:pStyle w:val="A-"/>
            </w:pPr>
            <w:r>
              <w:t>NMHC</w:t>
            </w:r>
          </w:p>
        </w:tc>
        <w:tc>
          <w:tcPr>
            <w:tcW w:w="583" w:type="pct"/>
            <w:vAlign w:val="center"/>
          </w:tcPr>
          <w:p w14:paraId="12E26611" w14:textId="77777777" w:rsidR="002E474C" w:rsidRDefault="00000000">
            <w:pPr>
              <w:pStyle w:val="A-"/>
            </w:pPr>
            <w:r>
              <w:t>120</w:t>
            </w:r>
          </w:p>
        </w:tc>
        <w:tc>
          <w:tcPr>
            <w:tcW w:w="472" w:type="pct"/>
            <w:vAlign w:val="center"/>
          </w:tcPr>
          <w:p w14:paraId="127261A9" w14:textId="77777777" w:rsidR="002E474C" w:rsidRDefault="00000000">
            <w:pPr>
              <w:pStyle w:val="A-"/>
            </w:pPr>
            <w:r>
              <w:t>10</w:t>
            </w:r>
          </w:p>
        </w:tc>
        <w:tc>
          <w:tcPr>
            <w:tcW w:w="1751" w:type="pct"/>
            <w:vAlign w:val="center"/>
          </w:tcPr>
          <w:p w14:paraId="49194ECF" w14:textId="77777777" w:rsidR="002E474C" w:rsidRDefault="00000000">
            <w:pPr>
              <w:pStyle w:val="A-"/>
            </w:pPr>
            <w:r>
              <w:t>《大气污染物综合排放标准》（</w:t>
            </w:r>
            <w:r>
              <w:t>GB16297-1996</w:t>
            </w:r>
            <w:r>
              <w:t>）表</w:t>
            </w:r>
            <w:r>
              <w:t>2</w:t>
            </w:r>
            <w:r>
              <w:t>二级</w:t>
            </w:r>
          </w:p>
        </w:tc>
      </w:tr>
      <w:tr w:rsidR="002E474C" w14:paraId="7F1AED0F" w14:textId="77777777">
        <w:trPr>
          <w:cantSplit/>
          <w:jc w:val="center"/>
        </w:trPr>
        <w:tc>
          <w:tcPr>
            <w:tcW w:w="272" w:type="pct"/>
            <w:vAlign w:val="center"/>
          </w:tcPr>
          <w:p w14:paraId="444FDE00" w14:textId="77777777" w:rsidR="002E474C" w:rsidRDefault="00000000">
            <w:pPr>
              <w:pStyle w:val="A-"/>
            </w:pPr>
            <w:r>
              <w:t>20</w:t>
            </w:r>
          </w:p>
        </w:tc>
        <w:tc>
          <w:tcPr>
            <w:tcW w:w="550" w:type="pct"/>
            <w:vMerge w:val="restart"/>
            <w:vAlign w:val="center"/>
          </w:tcPr>
          <w:p w14:paraId="470484A2" w14:textId="77777777" w:rsidR="002E474C" w:rsidRDefault="00000000">
            <w:pPr>
              <w:pStyle w:val="A-"/>
            </w:pPr>
            <w:r>
              <w:t>厂界无组织</w:t>
            </w:r>
          </w:p>
        </w:tc>
        <w:tc>
          <w:tcPr>
            <w:tcW w:w="1372" w:type="pct"/>
            <w:gridSpan w:val="2"/>
            <w:vAlign w:val="center"/>
          </w:tcPr>
          <w:p w14:paraId="13612481" w14:textId="77777777" w:rsidR="002E474C" w:rsidRDefault="00000000">
            <w:pPr>
              <w:pStyle w:val="A-"/>
            </w:pPr>
            <w:r>
              <w:t>H</w:t>
            </w:r>
            <w:r>
              <w:rPr>
                <w:vertAlign w:val="subscript"/>
              </w:rPr>
              <w:t>2</w:t>
            </w:r>
            <w:r>
              <w:t>S</w:t>
            </w:r>
          </w:p>
        </w:tc>
        <w:tc>
          <w:tcPr>
            <w:tcW w:w="583" w:type="pct"/>
            <w:vAlign w:val="center"/>
          </w:tcPr>
          <w:p w14:paraId="10C220B0" w14:textId="77777777" w:rsidR="002E474C" w:rsidRDefault="00000000">
            <w:pPr>
              <w:pStyle w:val="A-"/>
            </w:pPr>
            <w:r>
              <w:t>0.06</w:t>
            </w:r>
          </w:p>
        </w:tc>
        <w:tc>
          <w:tcPr>
            <w:tcW w:w="472" w:type="pct"/>
            <w:vAlign w:val="center"/>
          </w:tcPr>
          <w:p w14:paraId="026CBFC8" w14:textId="77777777" w:rsidR="002E474C" w:rsidRDefault="002E474C">
            <w:pPr>
              <w:pStyle w:val="A-"/>
            </w:pPr>
          </w:p>
        </w:tc>
        <w:tc>
          <w:tcPr>
            <w:tcW w:w="1751" w:type="pct"/>
            <w:vMerge w:val="restart"/>
            <w:vAlign w:val="center"/>
          </w:tcPr>
          <w:p w14:paraId="210605D8" w14:textId="77777777" w:rsidR="002E474C" w:rsidRDefault="00000000">
            <w:pPr>
              <w:pStyle w:val="A-"/>
            </w:pPr>
            <w:r>
              <w:t>《恶臭污染物排放标准》（</w:t>
            </w:r>
            <w:r>
              <w:t>GB14554-93</w:t>
            </w:r>
            <w:r>
              <w:t>）表</w:t>
            </w:r>
            <w:r>
              <w:t>1</w:t>
            </w:r>
          </w:p>
        </w:tc>
      </w:tr>
      <w:tr w:rsidR="002E474C" w14:paraId="7D54194B" w14:textId="77777777">
        <w:trPr>
          <w:cantSplit/>
          <w:jc w:val="center"/>
        </w:trPr>
        <w:tc>
          <w:tcPr>
            <w:tcW w:w="272" w:type="pct"/>
            <w:vAlign w:val="center"/>
          </w:tcPr>
          <w:p w14:paraId="47055521" w14:textId="77777777" w:rsidR="002E474C" w:rsidRDefault="00000000">
            <w:pPr>
              <w:pStyle w:val="A-"/>
            </w:pPr>
            <w:r>
              <w:t>2</w:t>
            </w:r>
            <w:r>
              <w:rPr>
                <w:rFonts w:hint="eastAsia"/>
              </w:rPr>
              <w:t>1</w:t>
            </w:r>
          </w:p>
        </w:tc>
        <w:tc>
          <w:tcPr>
            <w:tcW w:w="550" w:type="pct"/>
            <w:vMerge/>
            <w:vAlign w:val="center"/>
          </w:tcPr>
          <w:p w14:paraId="329FB66B" w14:textId="77777777" w:rsidR="002E474C" w:rsidRDefault="002E474C">
            <w:pPr>
              <w:pStyle w:val="A-"/>
            </w:pPr>
          </w:p>
        </w:tc>
        <w:tc>
          <w:tcPr>
            <w:tcW w:w="1372" w:type="pct"/>
            <w:gridSpan w:val="2"/>
            <w:vAlign w:val="center"/>
          </w:tcPr>
          <w:p w14:paraId="34260223" w14:textId="77777777" w:rsidR="002E474C" w:rsidRDefault="00000000">
            <w:pPr>
              <w:pStyle w:val="A-"/>
            </w:pPr>
            <w:r>
              <w:t>臭气浓度（无量纲）</w:t>
            </w:r>
          </w:p>
        </w:tc>
        <w:tc>
          <w:tcPr>
            <w:tcW w:w="583" w:type="pct"/>
            <w:vAlign w:val="center"/>
          </w:tcPr>
          <w:p w14:paraId="312CB555" w14:textId="77777777" w:rsidR="002E474C" w:rsidRDefault="00000000">
            <w:pPr>
              <w:pStyle w:val="A-"/>
            </w:pPr>
            <w:r>
              <w:t>20</w:t>
            </w:r>
          </w:p>
        </w:tc>
        <w:tc>
          <w:tcPr>
            <w:tcW w:w="472" w:type="pct"/>
            <w:vAlign w:val="center"/>
          </w:tcPr>
          <w:p w14:paraId="1B3555B3" w14:textId="77777777" w:rsidR="002E474C" w:rsidRDefault="00000000">
            <w:pPr>
              <w:pStyle w:val="A-"/>
            </w:pPr>
            <w:r>
              <w:t>/</w:t>
            </w:r>
          </w:p>
        </w:tc>
        <w:tc>
          <w:tcPr>
            <w:tcW w:w="1751" w:type="pct"/>
            <w:vMerge/>
            <w:vAlign w:val="center"/>
          </w:tcPr>
          <w:p w14:paraId="68256301" w14:textId="77777777" w:rsidR="002E474C" w:rsidRDefault="002E474C">
            <w:pPr>
              <w:pStyle w:val="A-"/>
            </w:pPr>
          </w:p>
        </w:tc>
      </w:tr>
      <w:tr w:rsidR="002E474C" w14:paraId="18A585A2" w14:textId="77777777">
        <w:trPr>
          <w:cantSplit/>
          <w:jc w:val="center"/>
        </w:trPr>
        <w:tc>
          <w:tcPr>
            <w:tcW w:w="272" w:type="pct"/>
            <w:vAlign w:val="center"/>
          </w:tcPr>
          <w:p w14:paraId="1E5B3CB9" w14:textId="77777777" w:rsidR="002E474C" w:rsidRDefault="00000000">
            <w:pPr>
              <w:pStyle w:val="A-"/>
            </w:pPr>
            <w:r>
              <w:rPr>
                <w:rFonts w:hint="eastAsia"/>
              </w:rPr>
              <w:t>22</w:t>
            </w:r>
          </w:p>
        </w:tc>
        <w:tc>
          <w:tcPr>
            <w:tcW w:w="550" w:type="pct"/>
            <w:vMerge/>
            <w:vAlign w:val="center"/>
          </w:tcPr>
          <w:p w14:paraId="2D353D08" w14:textId="77777777" w:rsidR="002E474C" w:rsidRDefault="002E474C">
            <w:pPr>
              <w:pStyle w:val="A-"/>
            </w:pPr>
          </w:p>
        </w:tc>
        <w:tc>
          <w:tcPr>
            <w:tcW w:w="1372" w:type="pct"/>
            <w:gridSpan w:val="2"/>
            <w:vAlign w:val="center"/>
          </w:tcPr>
          <w:p w14:paraId="6E731BBE" w14:textId="77777777" w:rsidR="002E474C" w:rsidRDefault="00000000">
            <w:pPr>
              <w:pStyle w:val="A-"/>
            </w:pPr>
            <w:r>
              <w:t>NH</w:t>
            </w:r>
            <w:r>
              <w:rPr>
                <w:vertAlign w:val="subscript"/>
              </w:rPr>
              <w:t>3</w:t>
            </w:r>
          </w:p>
        </w:tc>
        <w:tc>
          <w:tcPr>
            <w:tcW w:w="583" w:type="pct"/>
            <w:vAlign w:val="center"/>
          </w:tcPr>
          <w:p w14:paraId="50FC3EEF" w14:textId="77777777" w:rsidR="002E474C" w:rsidRDefault="00000000">
            <w:pPr>
              <w:pStyle w:val="A-"/>
            </w:pPr>
            <w:r>
              <w:t>1.5</w:t>
            </w:r>
          </w:p>
        </w:tc>
        <w:tc>
          <w:tcPr>
            <w:tcW w:w="472" w:type="pct"/>
            <w:vAlign w:val="center"/>
          </w:tcPr>
          <w:p w14:paraId="78073ADA" w14:textId="77777777" w:rsidR="002E474C" w:rsidRDefault="00000000">
            <w:pPr>
              <w:pStyle w:val="A-"/>
            </w:pPr>
            <w:r>
              <w:t>/</w:t>
            </w:r>
          </w:p>
        </w:tc>
        <w:tc>
          <w:tcPr>
            <w:tcW w:w="1751" w:type="pct"/>
            <w:vMerge w:val="restart"/>
            <w:vAlign w:val="center"/>
          </w:tcPr>
          <w:p w14:paraId="4869A9D7" w14:textId="77777777" w:rsidR="002E474C" w:rsidRDefault="00000000">
            <w:pPr>
              <w:pStyle w:val="A-"/>
            </w:pPr>
            <w:r>
              <w:t>《水泥工业大气污染物排放标准》（</w:t>
            </w:r>
            <w:r>
              <w:rPr>
                <w:rFonts w:hint="eastAsia"/>
              </w:rPr>
              <w:t>GB 4915-2013</w:t>
            </w:r>
            <w:r>
              <w:rPr>
                <w:rFonts w:hint="eastAsia"/>
              </w:rPr>
              <w:t>，含</w:t>
            </w:r>
            <w:r>
              <w:rPr>
                <w:rFonts w:hint="eastAsia"/>
              </w:rPr>
              <w:t>2025</w:t>
            </w:r>
            <w:r>
              <w:rPr>
                <w:rFonts w:hint="eastAsia"/>
              </w:rPr>
              <w:t>年修改单</w:t>
            </w:r>
            <w:r>
              <w:t>）表</w:t>
            </w:r>
            <w:r>
              <w:t>3</w:t>
            </w:r>
          </w:p>
        </w:tc>
      </w:tr>
      <w:tr w:rsidR="002E474C" w14:paraId="10814BF3" w14:textId="77777777">
        <w:trPr>
          <w:cantSplit/>
          <w:jc w:val="center"/>
        </w:trPr>
        <w:tc>
          <w:tcPr>
            <w:tcW w:w="272" w:type="pct"/>
            <w:vAlign w:val="center"/>
          </w:tcPr>
          <w:p w14:paraId="21045A3E" w14:textId="77777777" w:rsidR="002E474C" w:rsidRDefault="00000000">
            <w:pPr>
              <w:pStyle w:val="A-"/>
            </w:pPr>
            <w:r>
              <w:rPr>
                <w:rFonts w:hint="eastAsia"/>
              </w:rPr>
              <w:t>23</w:t>
            </w:r>
          </w:p>
        </w:tc>
        <w:tc>
          <w:tcPr>
            <w:tcW w:w="550" w:type="pct"/>
            <w:vMerge/>
            <w:vAlign w:val="center"/>
          </w:tcPr>
          <w:p w14:paraId="3F06AD74" w14:textId="77777777" w:rsidR="002E474C" w:rsidRDefault="002E474C">
            <w:pPr>
              <w:pStyle w:val="A-"/>
            </w:pPr>
          </w:p>
        </w:tc>
        <w:tc>
          <w:tcPr>
            <w:tcW w:w="1372" w:type="pct"/>
            <w:gridSpan w:val="2"/>
            <w:vAlign w:val="center"/>
          </w:tcPr>
          <w:p w14:paraId="7E390611" w14:textId="77777777" w:rsidR="002E474C" w:rsidRDefault="00000000">
            <w:pPr>
              <w:pStyle w:val="A-"/>
            </w:pPr>
            <w:r>
              <w:t>TSP</w:t>
            </w:r>
          </w:p>
        </w:tc>
        <w:tc>
          <w:tcPr>
            <w:tcW w:w="583" w:type="pct"/>
            <w:vAlign w:val="center"/>
          </w:tcPr>
          <w:p w14:paraId="6CAAAC97" w14:textId="77777777" w:rsidR="002E474C" w:rsidRDefault="00000000">
            <w:pPr>
              <w:pStyle w:val="A-"/>
            </w:pPr>
            <w:r>
              <w:t>0.5</w:t>
            </w:r>
          </w:p>
        </w:tc>
        <w:tc>
          <w:tcPr>
            <w:tcW w:w="472" w:type="pct"/>
            <w:vAlign w:val="center"/>
          </w:tcPr>
          <w:p w14:paraId="6AAC04C7" w14:textId="77777777" w:rsidR="002E474C" w:rsidRDefault="00000000">
            <w:pPr>
              <w:pStyle w:val="A-"/>
            </w:pPr>
            <w:r>
              <w:t>/</w:t>
            </w:r>
          </w:p>
        </w:tc>
        <w:tc>
          <w:tcPr>
            <w:tcW w:w="1751" w:type="pct"/>
            <w:vMerge/>
            <w:vAlign w:val="center"/>
          </w:tcPr>
          <w:p w14:paraId="64404418" w14:textId="77777777" w:rsidR="002E474C" w:rsidRDefault="002E474C">
            <w:pPr>
              <w:pStyle w:val="A-"/>
            </w:pPr>
          </w:p>
        </w:tc>
      </w:tr>
      <w:tr w:rsidR="002E474C" w14:paraId="6A0C3C6A" w14:textId="77777777">
        <w:trPr>
          <w:cantSplit/>
          <w:jc w:val="center"/>
        </w:trPr>
        <w:tc>
          <w:tcPr>
            <w:tcW w:w="272" w:type="pct"/>
            <w:vAlign w:val="center"/>
          </w:tcPr>
          <w:p w14:paraId="4B4B6D16" w14:textId="77777777" w:rsidR="002E474C" w:rsidRDefault="00000000">
            <w:pPr>
              <w:pStyle w:val="A-"/>
            </w:pPr>
            <w:r>
              <w:rPr>
                <w:rFonts w:hint="eastAsia"/>
              </w:rPr>
              <w:t>24</w:t>
            </w:r>
          </w:p>
        </w:tc>
        <w:tc>
          <w:tcPr>
            <w:tcW w:w="550" w:type="pct"/>
            <w:vMerge/>
            <w:vAlign w:val="center"/>
          </w:tcPr>
          <w:p w14:paraId="27A4CD98" w14:textId="77777777" w:rsidR="002E474C" w:rsidRDefault="002E474C">
            <w:pPr>
              <w:pStyle w:val="A-"/>
            </w:pPr>
          </w:p>
        </w:tc>
        <w:tc>
          <w:tcPr>
            <w:tcW w:w="1372" w:type="pct"/>
            <w:gridSpan w:val="2"/>
            <w:vAlign w:val="center"/>
          </w:tcPr>
          <w:p w14:paraId="78700992" w14:textId="77777777" w:rsidR="002E474C" w:rsidRDefault="00000000">
            <w:pPr>
              <w:pStyle w:val="A-"/>
            </w:pPr>
            <w:r>
              <w:t>NMHC</w:t>
            </w:r>
          </w:p>
        </w:tc>
        <w:tc>
          <w:tcPr>
            <w:tcW w:w="583" w:type="pct"/>
            <w:vAlign w:val="center"/>
          </w:tcPr>
          <w:p w14:paraId="7D2C1F92" w14:textId="77777777" w:rsidR="002E474C" w:rsidRDefault="00000000">
            <w:pPr>
              <w:pStyle w:val="A-"/>
            </w:pPr>
            <w:r>
              <w:t>4.0</w:t>
            </w:r>
          </w:p>
        </w:tc>
        <w:tc>
          <w:tcPr>
            <w:tcW w:w="472" w:type="pct"/>
            <w:vAlign w:val="center"/>
          </w:tcPr>
          <w:p w14:paraId="20C415DB" w14:textId="77777777" w:rsidR="002E474C" w:rsidRDefault="00000000">
            <w:pPr>
              <w:pStyle w:val="A-"/>
            </w:pPr>
            <w:r>
              <w:t>/</w:t>
            </w:r>
          </w:p>
        </w:tc>
        <w:tc>
          <w:tcPr>
            <w:tcW w:w="1751" w:type="pct"/>
            <w:vAlign w:val="center"/>
          </w:tcPr>
          <w:p w14:paraId="1D87491A" w14:textId="77777777" w:rsidR="002E474C" w:rsidRDefault="00000000">
            <w:pPr>
              <w:pStyle w:val="A-"/>
            </w:pPr>
            <w:r>
              <w:t>《大气污染物综合排放标准》（</w:t>
            </w:r>
            <w:r>
              <w:t>GB16297-1996</w:t>
            </w:r>
            <w:r>
              <w:t>）表</w:t>
            </w:r>
            <w:r>
              <w:t>2</w:t>
            </w:r>
          </w:p>
        </w:tc>
      </w:tr>
      <w:tr w:rsidR="002E474C" w14:paraId="7DEC7773" w14:textId="77777777">
        <w:trPr>
          <w:cantSplit/>
          <w:jc w:val="center"/>
        </w:trPr>
        <w:tc>
          <w:tcPr>
            <w:tcW w:w="272" w:type="pct"/>
            <w:vMerge w:val="restart"/>
            <w:vAlign w:val="center"/>
          </w:tcPr>
          <w:p w14:paraId="7276A3C5" w14:textId="77777777" w:rsidR="002E474C" w:rsidRDefault="00000000">
            <w:pPr>
              <w:pStyle w:val="A-"/>
            </w:pPr>
            <w:r>
              <w:rPr>
                <w:rFonts w:hint="eastAsia"/>
              </w:rPr>
              <w:t>25</w:t>
            </w:r>
          </w:p>
        </w:tc>
        <w:tc>
          <w:tcPr>
            <w:tcW w:w="550" w:type="pct"/>
            <w:vMerge w:val="restart"/>
            <w:vAlign w:val="center"/>
          </w:tcPr>
          <w:p w14:paraId="4C75A0AC" w14:textId="77777777" w:rsidR="002E474C" w:rsidRDefault="00000000">
            <w:pPr>
              <w:pStyle w:val="A-"/>
            </w:pPr>
            <w:r>
              <w:t>厂区内无组织</w:t>
            </w:r>
          </w:p>
        </w:tc>
        <w:tc>
          <w:tcPr>
            <w:tcW w:w="590" w:type="pct"/>
            <w:vMerge w:val="restart"/>
            <w:vAlign w:val="center"/>
          </w:tcPr>
          <w:p w14:paraId="57A1B3BC" w14:textId="77777777" w:rsidR="002E474C" w:rsidRDefault="00000000">
            <w:pPr>
              <w:pStyle w:val="A-"/>
            </w:pPr>
            <w:r>
              <w:t>NMHC</w:t>
            </w:r>
          </w:p>
        </w:tc>
        <w:tc>
          <w:tcPr>
            <w:tcW w:w="782" w:type="pct"/>
            <w:vAlign w:val="center"/>
          </w:tcPr>
          <w:p w14:paraId="7179178C" w14:textId="77777777" w:rsidR="002E474C" w:rsidRDefault="00000000">
            <w:pPr>
              <w:pStyle w:val="A-"/>
            </w:pPr>
            <w:r>
              <w:t>监控点处</w:t>
            </w:r>
            <w:r>
              <w:t>1h</w:t>
            </w:r>
            <w:r>
              <w:t>平均浓度值</w:t>
            </w:r>
          </w:p>
        </w:tc>
        <w:tc>
          <w:tcPr>
            <w:tcW w:w="583" w:type="pct"/>
            <w:vAlign w:val="center"/>
          </w:tcPr>
          <w:p w14:paraId="4D895769" w14:textId="77777777" w:rsidR="002E474C" w:rsidRDefault="00000000">
            <w:pPr>
              <w:pStyle w:val="A-"/>
            </w:pPr>
            <w:r>
              <w:t>10</w:t>
            </w:r>
          </w:p>
        </w:tc>
        <w:tc>
          <w:tcPr>
            <w:tcW w:w="472" w:type="pct"/>
            <w:vAlign w:val="center"/>
          </w:tcPr>
          <w:p w14:paraId="28EB333C" w14:textId="77777777" w:rsidR="002E474C" w:rsidRDefault="00000000">
            <w:pPr>
              <w:pStyle w:val="A-"/>
            </w:pPr>
            <w:r>
              <w:t>/</w:t>
            </w:r>
          </w:p>
        </w:tc>
        <w:tc>
          <w:tcPr>
            <w:tcW w:w="1751" w:type="pct"/>
            <w:vMerge w:val="restart"/>
            <w:vAlign w:val="center"/>
          </w:tcPr>
          <w:p w14:paraId="62194156" w14:textId="77777777" w:rsidR="002E474C" w:rsidRDefault="00000000">
            <w:pPr>
              <w:pStyle w:val="A-"/>
            </w:pPr>
            <w:r>
              <w:t>《挥发性有机物无组织排放控制标准》（</w:t>
            </w:r>
            <w:r>
              <w:t>GB37822-2019</w:t>
            </w:r>
            <w:r>
              <w:t>）表</w:t>
            </w:r>
            <w:r>
              <w:t>A.1</w:t>
            </w:r>
            <w:r>
              <w:rPr>
                <w:rFonts w:hint="eastAsia"/>
              </w:rPr>
              <w:t>无组织排放限值</w:t>
            </w:r>
          </w:p>
        </w:tc>
      </w:tr>
      <w:tr w:rsidR="002E474C" w14:paraId="74CDC798" w14:textId="77777777">
        <w:trPr>
          <w:cantSplit/>
          <w:trHeight w:val="427"/>
          <w:jc w:val="center"/>
        </w:trPr>
        <w:tc>
          <w:tcPr>
            <w:tcW w:w="272" w:type="pct"/>
            <w:vMerge/>
            <w:vAlign w:val="center"/>
          </w:tcPr>
          <w:p w14:paraId="73AF769A" w14:textId="77777777" w:rsidR="002E474C" w:rsidRDefault="002E474C">
            <w:pPr>
              <w:pStyle w:val="A-"/>
            </w:pPr>
          </w:p>
        </w:tc>
        <w:tc>
          <w:tcPr>
            <w:tcW w:w="550" w:type="pct"/>
            <w:vMerge/>
            <w:vAlign w:val="center"/>
          </w:tcPr>
          <w:p w14:paraId="2D65EDA7" w14:textId="77777777" w:rsidR="002E474C" w:rsidRDefault="002E474C">
            <w:pPr>
              <w:pStyle w:val="A-"/>
            </w:pPr>
          </w:p>
        </w:tc>
        <w:tc>
          <w:tcPr>
            <w:tcW w:w="590" w:type="pct"/>
            <w:vMerge/>
            <w:vAlign w:val="center"/>
          </w:tcPr>
          <w:p w14:paraId="3A5AF550" w14:textId="77777777" w:rsidR="002E474C" w:rsidRDefault="002E474C">
            <w:pPr>
              <w:pStyle w:val="A-"/>
            </w:pPr>
          </w:p>
        </w:tc>
        <w:tc>
          <w:tcPr>
            <w:tcW w:w="782" w:type="pct"/>
            <w:vAlign w:val="center"/>
          </w:tcPr>
          <w:p w14:paraId="4E81C924" w14:textId="77777777" w:rsidR="002E474C" w:rsidRDefault="00000000">
            <w:pPr>
              <w:pStyle w:val="A-"/>
              <w:ind w:leftChars="-25" w:left="-53" w:rightChars="-25" w:right="-53"/>
            </w:pPr>
            <w:r>
              <w:rPr>
                <w:spacing w:val="-6"/>
              </w:rPr>
              <w:t>监控点处任意一次浓度值</w:t>
            </w:r>
          </w:p>
        </w:tc>
        <w:tc>
          <w:tcPr>
            <w:tcW w:w="583" w:type="pct"/>
            <w:vAlign w:val="center"/>
          </w:tcPr>
          <w:p w14:paraId="640E4411" w14:textId="77777777" w:rsidR="002E474C" w:rsidRDefault="00000000">
            <w:pPr>
              <w:pStyle w:val="A-"/>
            </w:pPr>
            <w:r>
              <w:t>30</w:t>
            </w:r>
          </w:p>
        </w:tc>
        <w:tc>
          <w:tcPr>
            <w:tcW w:w="472" w:type="pct"/>
            <w:vAlign w:val="center"/>
          </w:tcPr>
          <w:p w14:paraId="12561FCA" w14:textId="77777777" w:rsidR="002E474C" w:rsidRDefault="00000000">
            <w:pPr>
              <w:pStyle w:val="A-"/>
            </w:pPr>
            <w:r>
              <w:t>/</w:t>
            </w:r>
          </w:p>
        </w:tc>
        <w:tc>
          <w:tcPr>
            <w:tcW w:w="1751" w:type="pct"/>
            <w:vMerge/>
            <w:vAlign w:val="center"/>
          </w:tcPr>
          <w:p w14:paraId="0D0E332C" w14:textId="77777777" w:rsidR="002E474C" w:rsidRDefault="002E474C">
            <w:pPr>
              <w:pStyle w:val="A-"/>
            </w:pPr>
          </w:p>
        </w:tc>
      </w:tr>
    </w:tbl>
    <w:p w14:paraId="156EFD4B" w14:textId="77777777" w:rsidR="002E474C" w:rsidRDefault="002E474C"/>
    <w:p w14:paraId="5DF7EF73" w14:textId="77777777" w:rsidR="002E474C" w:rsidRDefault="00000000">
      <w:pPr>
        <w:pStyle w:val="A-z"/>
        <w:rPr>
          <w:color w:val="auto"/>
        </w:rPr>
      </w:pPr>
      <w:r>
        <w:rPr>
          <w:color w:val="auto"/>
        </w:rPr>
        <w:t>（</w:t>
      </w:r>
      <w:r>
        <w:rPr>
          <w:color w:val="auto"/>
        </w:rPr>
        <w:t>2</w:t>
      </w:r>
      <w:r>
        <w:rPr>
          <w:color w:val="auto"/>
        </w:rPr>
        <w:t>）废水排放标准</w:t>
      </w:r>
    </w:p>
    <w:p w14:paraId="0BA9FA61" w14:textId="77777777" w:rsidR="002E474C" w:rsidRDefault="00000000">
      <w:pPr>
        <w:pStyle w:val="A-z"/>
        <w:rPr>
          <w:color w:val="auto"/>
        </w:rPr>
      </w:pPr>
      <w:r>
        <w:rPr>
          <w:color w:val="auto"/>
        </w:rPr>
        <w:t>本项目生产废水收集后入窑焚烧，不外排。</w:t>
      </w:r>
    </w:p>
    <w:p w14:paraId="12F7086C" w14:textId="77777777" w:rsidR="002E474C" w:rsidRDefault="00000000">
      <w:pPr>
        <w:pStyle w:val="A-z"/>
        <w:rPr>
          <w:color w:val="auto"/>
        </w:rPr>
      </w:pPr>
      <w:r>
        <w:rPr>
          <w:color w:val="auto"/>
        </w:rPr>
        <w:t>本项目新增定员生活污水依托圣雄水泥公司污水管网排至厂内综合污水处理站，处理后的出水达到《污水综合排放标准》（</w:t>
      </w:r>
      <w:r>
        <w:rPr>
          <w:color w:val="auto"/>
        </w:rPr>
        <w:t>GB8978-1996</w:t>
      </w:r>
      <w:r>
        <w:rPr>
          <w:color w:val="auto"/>
        </w:rPr>
        <w:t>）中</w:t>
      </w:r>
      <w:r>
        <w:rPr>
          <w:rFonts w:hint="eastAsia"/>
          <w:color w:val="auto"/>
        </w:rPr>
        <w:t>表</w:t>
      </w:r>
      <w:r>
        <w:rPr>
          <w:rFonts w:hint="eastAsia"/>
          <w:color w:val="auto"/>
        </w:rPr>
        <w:t>4</w:t>
      </w:r>
      <w:r>
        <w:rPr>
          <w:color w:val="auto"/>
        </w:rPr>
        <w:t>二级标准后，回用于循环水系统补水</w:t>
      </w:r>
      <w:r>
        <w:rPr>
          <w:rFonts w:hint="eastAsia"/>
          <w:color w:val="auto"/>
        </w:rPr>
        <w:t>或绿化灌溉</w:t>
      </w:r>
      <w:r>
        <w:rPr>
          <w:color w:val="auto"/>
        </w:rPr>
        <w:t>，不外排。具体排放标准，见表</w:t>
      </w:r>
      <w:r>
        <w:rPr>
          <w:color w:val="auto"/>
        </w:rPr>
        <w:t>2.4-5</w:t>
      </w:r>
      <w:r>
        <w:rPr>
          <w:color w:val="auto"/>
        </w:rPr>
        <w:t>。</w:t>
      </w:r>
    </w:p>
    <w:p w14:paraId="2A0ADF04" w14:textId="77777777" w:rsidR="002E474C" w:rsidRDefault="00000000">
      <w:pPr>
        <w:pStyle w:val="A--"/>
        <w:spacing w:beforeLines="0" w:before="0"/>
        <w:ind w:leftChars="0" w:left="0" w:rightChars="0" w:right="0"/>
        <w:rPr>
          <w:color w:val="auto"/>
        </w:rPr>
      </w:pPr>
      <w:bookmarkStart w:id="74" w:name="_Ref111291946"/>
      <w:r>
        <w:rPr>
          <w:color w:val="auto"/>
        </w:rPr>
        <w:t>表</w:t>
      </w:r>
      <w:r>
        <w:rPr>
          <w:color w:val="auto"/>
        </w:rPr>
        <w:t>2.4</w:t>
      </w:r>
      <w:r>
        <w:rPr>
          <w:color w:val="auto"/>
        </w:rPr>
        <w:noBreakHyphen/>
      </w:r>
      <w:bookmarkEnd w:id="74"/>
      <w:r>
        <w:rPr>
          <w:color w:val="auto"/>
        </w:rPr>
        <w:t xml:space="preserve">5  </w:t>
      </w:r>
      <w:r>
        <w:rPr>
          <w:color w:val="auto"/>
        </w:rPr>
        <w:t>水污染物排放执行标准一览表</w:t>
      </w:r>
      <w:r>
        <w:rPr>
          <w:color w:val="auto"/>
        </w:rPr>
        <w:t xml:space="preserve">            </w:t>
      </w:r>
      <w:r>
        <w:rPr>
          <w:color w:val="auto"/>
        </w:rPr>
        <w:t>单位：</w:t>
      </w:r>
      <w:r>
        <w:rPr>
          <w:color w:val="auto"/>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608"/>
        <w:gridCol w:w="3065"/>
      </w:tblGrid>
      <w:tr w:rsidR="002E474C" w14:paraId="10B70449" w14:textId="77777777">
        <w:trPr>
          <w:trHeight w:val="290"/>
        </w:trPr>
        <w:tc>
          <w:tcPr>
            <w:tcW w:w="1083" w:type="pct"/>
            <w:vAlign w:val="center"/>
          </w:tcPr>
          <w:p w14:paraId="7E1A76BD" w14:textId="77777777" w:rsidR="002E474C" w:rsidRDefault="00000000">
            <w:pPr>
              <w:pStyle w:val="A-"/>
            </w:pPr>
            <w:r>
              <w:t>序号</w:t>
            </w:r>
          </w:p>
        </w:tc>
        <w:tc>
          <w:tcPr>
            <w:tcW w:w="2118" w:type="pct"/>
            <w:vAlign w:val="center"/>
          </w:tcPr>
          <w:p w14:paraId="584A2C24" w14:textId="77777777" w:rsidR="002E474C" w:rsidRDefault="00000000">
            <w:pPr>
              <w:pStyle w:val="A-"/>
            </w:pPr>
            <w:r>
              <w:t>污染物</w:t>
            </w:r>
          </w:p>
        </w:tc>
        <w:tc>
          <w:tcPr>
            <w:tcW w:w="1799" w:type="pct"/>
          </w:tcPr>
          <w:p w14:paraId="308C481B" w14:textId="77777777" w:rsidR="002E474C" w:rsidRDefault="00000000">
            <w:pPr>
              <w:pStyle w:val="A-"/>
            </w:pPr>
            <w:r>
              <w:t>二级标准</w:t>
            </w:r>
          </w:p>
        </w:tc>
      </w:tr>
      <w:tr w:rsidR="002E474C" w14:paraId="477B1419" w14:textId="77777777">
        <w:trPr>
          <w:trHeight w:val="266"/>
        </w:trPr>
        <w:tc>
          <w:tcPr>
            <w:tcW w:w="1083" w:type="pct"/>
            <w:vAlign w:val="center"/>
          </w:tcPr>
          <w:p w14:paraId="582C1B24" w14:textId="77777777" w:rsidR="002E474C" w:rsidRDefault="00000000">
            <w:pPr>
              <w:pStyle w:val="A-"/>
            </w:pPr>
            <w:bookmarkStart w:id="75" w:name="_Hlk229764614"/>
            <w:r>
              <w:t>1</w:t>
            </w:r>
          </w:p>
        </w:tc>
        <w:tc>
          <w:tcPr>
            <w:tcW w:w="2118" w:type="pct"/>
            <w:vAlign w:val="center"/>
          </w:tcPr>
          <w:p w14:paraId="2F1A1DE1" w14:textId="77777777" w:rsidR="002E474C" w:rsidRDefault="00000000">
            <w:pPr>
              <w:pStyle w:val="A-"/>
            </w:pPr>
            <w:r>
              <w:t>pH(</w:t>
            </w:r>
            <w:r>
              <w:t>无量纲</w:t>
            </w:r>
            <w:r>
              <w:t>)</w:t>
            </w:r>
          </w:p>
        </w:tc>
        <w:tc>
          <w:tcPr>
            <w:tcW w:w="1799" w:type="pct"/>
          </w:tcPr>
          <w:p w14:paraId="17F90680" w14:textId="77777777" w:rsidR="002E474C" w:rsidRDefault="00000000">
            <w:pPr>
              <w:pStyle w:val="A-"/>
            </w:pPr>
            <w:r>
              <w:t>6~9</w:t>
            </w:r>
          </w:p>
        </w:tc>
      </w:tr>
      <w:tr w:rsidR="002E474C" w14:paraId="58083518" w14:textId="77777777">
        <w:trPr>
          <w:trHeight w:val="290"/>
        </w:trPr>
        <w:tc>
          <w:tcPr>
            <w:tcW w:w="1083" w:type="pct"/>
            <w:vAlign w:val="center"/>
          </w:tcPr>
          <w:p w14:paraId="57BED461" w14:textId="77777777" w:rsidR="002E474C" w:rsidRDefault="00000000">
            <w:pPr>
              <w:pStyle w:val="A-"/>
            </w:pPr>
            <w:r>
              <w:lastRenderedPageBreak/>
              <w:t>2</w:t>
            </w:r>
          </w:p>
        </w:tc>
        <w:tc>
          <w:tcPr>
            <w:tcW w:w="2118" w:type="pct"/>
            <w:vAlign w:val="center"/>
          </w:tcPr>
          <w:p w14:paraId="4EE66A26" w14:textId="77777777" w:rsidR="002E474C" w:rsidRDefault="00000000">
            <w:pPr>
              <w:pStyle w:val="A-"/>
            </w:pPr>
            <w:proofErr w:type="spellStart"/>
            <w:r>
              <w:t>CODcr</w:t>
            </w:r>
            <w:proofErr w:type="spellEnd"/>
          </w:p>
        </w:tc>
        <w:tc>
          <w:tcPr>
            <w:tcW w:w="1799" w:type="pct"/>
          </w:tcPr>
          <w:p w14:paraId="788316A2" w14:textId="77777777" w:rsidR="002E474C" w:rsidRDefault="00000000">
            <w:pPr>
              <w:pStyle w:val="A-"/>
            </w:pPr>
            <w:r>
              <w:t>150</w:t>
            </w:r>
          </w:p>
        </w:tc>
      </w:tr>
      <w:tr w:rsidR="002E474C" w14:paraId="4E62BFF0" w14:textId="77777777">
        <w:trPr>
          <w:trHeight w:val="290"/>
        </w:trPr>
        <w:tc>
          <w:tcPr>
            <w:tcW w:w="1083" w:type="pct"/>
            <w:vAlign w:val="center"/>
          </w:tcPr>
          <w:p w14:paraId="4DE9B774" w14:textId="77777777" w:rsidR="002E474C" w:rsidRDefault="00000000">
            <w:pPr>
              <w:pStyle w:val="A-"/>
            </w:pPr>
            <w:r>
              <w:t>3</w:t>
            </w:r>
          </w:p>
        </w:tc>
        <w:tc>
          <w:tcPr>
            <w:tcW w:w="2118" w:type="pct"/>
            <w:vAlign w:val="center"/>
          </w:tcPr>
          <w:p w14:paraId="1A2FBFE6" w14:textId="77777777" w:rsidR="002E474C" w:rsidRDefault="00000000">
            <w:pPr>
              <w:pStyle w:val="A-"/>
            </w:pPr>
            <w:r>
              <w:t>BOD</w:t>
            </w:r>
            <w:r>
              <w:rPr>
                <w:vertAlign w:val="subscript"/>
              </w:rPr>
              <w:t>5</w:t>
            </w:r>
          </w:p>
        </w:tc>
        <w:tc>
          <w:tcPr>
            <w:tcW w:w="1799" w:type="pct"/>
          </w:tcPr>
          <w:p w14:paraId="34E19D77" w14:textId="77777777" w:rsidR="002E474C" w:rsidRDefault="00000000">
            <w:pPr>
              <w:pStyle w:val="A-"/>
            </w:pPr>
            <w:r>
              <w:t>30</w:t>
            </w:r>
          </w:p>
        </w:tc>
      </w:tr>
      <w:tr w:rsidR="002E474C" w14:paraId="4A342923" w14:textId="77777777">
        <w:trPr>
          <w:trHeight w:val="290"/>
        </w:trPr>
        <w:tc>
          <w:tcPr>
            <w:tcW w:w="1083" w:type="pct"/>
            <w:vAlign w:val="center"/>
          </w:tcPr>
          <w:p w14:paraId="3D6A2EA2" w14:textId="77777777" w:rsidR="002E474C" w:rsidRDefault="00000000">
            <w:pPr>
              <w:pStyle w:val="A-"/>
            </w:pPr>
            <w:r>
              <w:t>4</w:t>
            </w:r>
          </w:p>
        </w:tc>
        <w:tc>
          <w:tcPr>
            <w:tcW w:w="2118" w:type="pct"/>
            <w:vAlign w:val="center"/>
          </w:tcPr>
          <w:p w14:paraId="2D8BCB87" w14:textId="77777777" w:rsidR="002E474C" w:rsidRDefault="00000000">
            <w:pPr>
              <w:pStyle w:val="A-"/>
            </w:pPr>
            <w:r>
              <w:t>氨氮</w:t>
            </w:r>
          </w:p>
        </w:tc>
        <w:tc>
          <w:tcPr>
            <w:tcW w:w="1799" w:type="pct"/>
          </w:tcPr>
          <w:p w14:paraId="670BC93D" w14:textId="77777777" w:rsidR="002E474C" w:rsidRDefault="00000000">
            <w:pPr>
              <w:pStyle w:val="A-"/>
            </w:pPr>
            <w:r>
              <w:t>25</w:t>
            </w:r>
          </w:p>
        </w:tc>
      </w:tr>
      <w:tr w:rsidR="002E474C" w14:paraId="2FCBF898" w14:textId="77777777">
        <w:trPr>
          <w:trHeight w:val="290"/>
        </w:trPr>
        <w:tc>
          <w:tcPr>
            <w:tcW w:w="1083" w:type="pct"/>
            <w:vAlign w:val="center"/>
          </w:tcPr>
          <w:p w14:paraId="4E1B06D8" w14:textId="77777777" w:rsidR="002E474C" w:rsidRDefault="00000000">
            <w:pPr>
              <w:pStyle w:val="A-"/>
            </w:pPr>
            <w:r>
              <w:t>5</w:t>
            </w:r>
          </w:p>
        </w:tc>
        <w:tc>
          <w:tcPr>
            <w:tcW w:w="2118" w:type="pct"/>
            <w:vAlign w:val="center"/>
          </w:tcPr>
          <w:p w14:paraId="7DE27238" w14:textId="77777777" w:rsidR="002E474C" w:rsidRDefault="00000000">
            <w:pPr>
              <w:pStyle w:val="A-"/>
            </w:pPr>
            <w:r>
              <w:t>SS</w:t>
            </w:r>
          </w:p>
        </w:tc>
        <w:tc>
          <w:tcPr>
            <w:tcW w:w="1799" w:type="pct"/>
          </w:tcPr>
          <w:p w14:paraId="7344C1CE" w14:textId="77777777" w:rsidR="002E474C" w:rsidRDefault="00000000">
            <w:pPr>
              <w:pStyle w:val="A-"/>
            </w:pPr>
            <w:r>
              <w:t>150</w:t>
            </w:r>
          </w:p>
        </w:tc>
      </w:tr>
      <w:tr w:rsidR="002E474C" w14:paraId="00EAB618" w14:textId="77777777">
        <w:trPr>
          <w:trHeight w:val="290"/>
        </w:trPr>
        <w:tc>
          <w:tcPr>
            <w:tcW w:w="1083" w:type="pct"/>
            <w:vAlign w:val="center"/>
          </w:tcPr>
          <w:p w14:paraId="3F0CA354" w14:textId="77777777" w:rsidR="002E474C" w:rsidRDefault="00000000">
            <w:pPr>
              <w:pStyle w:val="A-"/>
            </w:pPr>
            <w:r>
              <w:t>6</w:t>
            </w:r>
          </w:p>
        </w:tc>
        <w:tc>
          <w:tcPr>
            <w:tcW w:w="2118" w:type="pct"/>
            <w:vAlign w:val="center"/>
          </w:tcPr>
          <w:p w14:paraId="62E2ABA0" w14:textId="77777777" w:rsidR="002E474C" w:rsidRDefault="00000000">
            <w:pPr>
              <w:pStyle w:val="A-"/>
            </w:pPr>
            <w:r>
              <w:t>石油类</w:t>
            </w:r>
          </w:p>
        </w:tc>
        <w:tc>
          <w:tcPr>
            <w:tcW w:w="1799" w:type="pct"/>
          </w:tcPr>
          <w:p w14:paraId="2CDEF85C" w14:textId="77777777" w:rsidR="002E474C" w:rsidRDefault="00000000">
            <w:pPr>
              <w:pStyle w:val="A-"/>
            </w:pPr>
            <w:r>
              <w:t>10</w:t>
            </w:r>
          </w:p>
        </w:tc>
      </w:tr>
      <w:tr w:rsidR="002E474C" w14:paraId="5B8CE526" w14:textId="77777777">
        <w:trPr>
          <w:trHeight w:val="290"/>
        </w:trPr>
        <w:tc>
          <w:tcPr>
            <w:tcW w:w="1083" w:type="pct"/>
            <w:vAlign w:val="center"/>
          </w:tcPr>
          <w:p w14:paraId="475873EF" w14:textId="77777777" w:rsidR="002E474C" w:rsidRDefault="00000000">
            <w:pPr>
              <w:pStyle w:val="A-"/>
            </w:pPr>
            <w:r>
              <w:t>7</w:t>
            </w:r>
          </w:p>
        </w:tc>
        <w:tc>
          <w:tcPr>
            <w:tcW w:w="2118" w:type="pct"/>
            <w:vAlign w:val="center"/>
          </w:tcPr>
          <w:p w14:paraId="27648107" w14:textId="77777777" w:rsidR="002E474C" w:rsidRDefault="00000000">
            <w:pPr>
              <w:pStyle w:val="A-"/>
            </w:pPr>
            <w:r>
              <w:t>氟化物</w:t>
            </w:r>
          </w:p>
        </w:tc>
        <w:tc>
          <w:tcPr>
            <w:tcW w:w="1799" w:type="pct"/>
          </w:tcPr>
          <w:p w14:paraId="55B6A962" w14:textId="77777777" w:rsidR="002E474C" w:rsidRDefault="00000000">
            <w:pPr>
              <w:pStyle w:val="A-"/>
            </w:pPr>
            <w:r>
              <w:t>10</w:t>
            </w:r>
          </w:p>
        </w:tc>
      </w:tr>
      <w:bookmarkEnd w:id="75"/>
    </w:tbl>
    <w:p w14:paraId="473FC6C2" w14:textId="77777777" w:rsidR="002E474C" w:rsidRDefault="002E474C"/>
    <w:p w14:paraId="74B8E627" w14:textId="77777777" w:rsidR="002E474C" w:rsidRDefault="00000000">
      <w:pPr>
        <w:pStyle w:val="A-z"/>
        <w:rPr>
          <w:color w:val="auto"/>
        </w:rPr>
      </w:pPr>
      <w:r>
        <w:rPr>
          <w:color w:val="auto"/>
        </w:rPr>
        <w:t>（</w:t>
      </w:r>
      <w:r>
        <w:rPr>
          <w:color w:val="auto"/>
        </w:rPr>
        <w:t>3</w:t>
      </w:r>
      <w:r>
        <w:rPr>
          <w:color w:val="auto"/>
        </w:rPr>
        <w:t>）噪声排放标准</w:t>
      </w:r>
    </w:p>
    <w:p w14:paraId="746252A9" w14:textId="77777777" w:rsidR="002E474C" w:rsidRDefault="00000000">
      <w:pPr>
        <w:pStyle w:val="A-z"/>
        <w:rPr>
          <w:color w:val="auto"/>
        </w:rPr>
      </w:pPr>
      <w:r>
        <w:rPr>
          <w:color w:val="auto"/>
        </w:rPr>
        <w:t>项目施工期噪声排放执行《建筑施工噪声排放标准》（</w:t>
      </w:r>
      <w:r>
        <w:rPr>
          <w:color w:val="auto"/>
        </w:rPr>
        <w:t>GB12523-2025</w:t>
      </w:r>
      <w:r>
        <w:rPr>
          <w:color w:val="auto"/>
        </w:rPr>
        <w:t>）；运营期噪声排放执行《工业企业厂界环境噪声排放标准》（</w:t>
      </w:r>
      <w:r>
        <w:rPr>
          <w:color w:val="auto"/>
        </w:rPr>
        <w:t>GB12348-2008</w:t>
      </w:r>
      <w:r>
        <w:rPr>
          <w:color w:val="auto"/>
        </w:rPr>
        <w:t>）中</w:t>
      </w:r>
      <w:r>
        <w:rPr>
          <w:color w:val="auto"/>
        </w:rPr>
        <w:t>3</w:t>
      </w:r>
      <w:r>
        <w:rPr>
          <w:color w:val="auto"/>
        </w:rPr>
        <w:t>类区环境噪声排放限值，具体标准限值详见表</w:t>
      </w:r>
      <w:r>
        <w:rPr>
          <w:color w:val="auto"/>
        </w:rPr>
        <w:t>2.4-6</w:t>
      </w:r>
      <w:r>
        <w:rPr>
          <w:color w:val="auto"/>
        </w:rPr>
        <w:t>。</w:t>
      </w:r>
    </w:p>
    <w:p w14:paraId="7B0A1E31" w14:textId="77777777" w:rsidR="002E474C" w:rsidRDefault="00000000">
      <w:pPr>
        <w:pStyle w:val="A--"/>
        <w:spacing w:beforeLines="0" w:before="0"/>
        <w:ind w:leftChars="0" w:left="0" w:rightChars="0" w:right="0"/>
        <w:rPr>
          <w:color w:val="auto"/>
        </w:rPr>
      </w:pPr>
      <w:bookmarkStart w:id="76" w:name="_Ref111292253"/>
      <w:r>
        <w:rPr>
          <w:color w:val="auto"/>
        </w:rPr>
        <w:t>表</w:t>
      </w:r>
      <w:r>
        <w:rPr>
          <w:color w:val="auto"/>
        </w:rPr>
        <w:t>2.4</w:t>
      </w:r>
      <w:r>
        <w:rPr>
          <w:color w:val="auto"/>
        </w:rPr>
        <w:noBreakHyphen/>
      </w:r>
      <w:bookmarkEnd w:id="76"/>
      <w:r>
        <w:rPr>
          <w:color w:val="auto"/>
        </w:rPr>
        <w:t xml:space="preserve">6  </w:t>
      </w:r>
      <w:r>
        <w:rPr>
          <w:color w:val="auto"/>
        </w:rPr>
        <w:t>声排放标准一览表</w:t>
      </w:r>
      <w:r>
        <w:rPr>
          <w:color w:val="auto"/>
        </w:rPr>
        <w:t xml:space="preserve">          </w:t>
      </w:r>
      <w:r>
        <w:rPr>
          <w:color w:val="auto"/>
        </w:rPr>
        <w:t>单位：</w:t>
      </w:r>
      <w:r>
        <w:rPr>
          <w:color w:val="auto"/>
        </w:rPr>
        <w:t>dB</w:t>
      </w:r>
      <w:r>
        <w:rPr>
          <w:color w:val="auto"/>
        </w:rPr>
        <w:t>（</w:t>
      </w:r>
      <w:r>
        <w:rPr>
          <w:color w:val="auto"/>
        </w:rPr>
        <w:t>A</w:t>
      </w:r>
      <w:r>
        <w:rPr>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2557"/>
        <w:gridCol w:w="2557"/>
      </w:tblGrid>
      <w:tr w:rsidR="002E474C" w14:paraId="23B87CCE" w14:textId="77777777">
        <w:trPr>
          <w:trHeight w:val="290"/>
        </w:trPr>
        <w:tc>
          <w:tcPr>
            <w:tcW w:w="1998" w:type="pct"/>
            <w:vAlign w:val="center"/>
          </w:tcPr>
          <w:p w14:paraId="4E35474B" w14:textId="77777777" w:rsidR="002E474C" w:rsidRDefault="00000000">
            <w:pPr>
              <w:pStyle w:val="A-"/>
            </w:pPr>
            <w:r>
              <w:t>时段</w:t>
            </w:r>
          </w:p>
        </w:tc>
        <w:tc>
          <w:tcPr>
            <w:tcW w:w="1501" w:type="pct"/>
            <w:vAlign w:val="center"/>
          </w:tcPr>
          <w:p w14:paraId="6CFCEE12" w14:textId="77777777" w:rsidR="002E474C" w:rsidRDefault="00000000">
            <w:pPr>
              <w:pStyle w:val="A-"/>
            </w:pPr>
            <w:r>
              <w:t>昼间</w:t>
            </w:r>
          </w:p>
        </w:tc>
        <w:tc>
          <w:tcPr>
            <w:tcW w:w="1501" w:type="pct"/>
            <w:vAlign w:val="center"/>
          </w:tcPr>
          <w:p w14:paraId="3E4622F9" w14:textId="77777777" w:rsidR="002E474C" w:rsidRDefault="00000000">
            <w:pPr>
              <w:pStyle w:val="A-"/>
            </w:pPr>
            <w:r>
              <w:t>夜间</w:t>
            </w:r>
          </w:p>
        </w:tc>
      </w:tr>
      <w:tr w:rsidR="002E474C" w14:paraId="3FE1A3B7" w14:textId="77777777">
        <w:trPr>
          <w:trHeight w:val="290"/>
        </w:trPr>
        <w:tc>
          <w:tcPr>
            <w:tcW w:w="1998" w:type="pct"/>
            <w:vAlign w:val="center"/>
          </w:tcPr>
          <w:p w14:paraId="7798B636" w14:textId="77777777" w:rsidR="002E474C" w:rsidRDefault="00000000">
            <w:pPr>
              <w:pStyle w:val="A-"/>
            </w:pPr>
            <w:r>
              <w:t>施工期</w:t>
            </w:r>
          </w:p>
        </w:tc>
        <w:tc>
          <w:tcPr>
            <w:tcW w:w="1501" w:type="pct"/>
            <w:vAlign w:val="center"/>
          </w:tcPr>
          <w:p w14:paraId="38932B7B" w14:textId="77777777" w:rsidR="002E474C" w:rsidRDefault="00000000">
            <w:pPr>
              <w:pStyle w:val="A-"/>
            </w:pPr>
            <w:r>
              <w:t>70</w:t>
            </w:r>
          </w:p>
        </w:tc>
        <w:tc>
          <w:tcPr>
            <w:tcW w:w="1501" w:type="pct"/>
            <w:vAlign w:val="center"/>
          </w:tcPr>
          <w:p w14:paraId="00F7DCE3" w14:textId="77777777" w:rsidR="002E474C" w:rsidRDefault="00000000">
            <w:pPr>
              <w:pStyle w:val="A-"/>
            </w:pPr>
            <w:r>
              <w:t>55</w:t>
            </w:r>
          </w:p>
        </w:tc>
      </w:tr>
      <w:tr w:rsidR="002E474C" w14:paraId="7353E09D" w14:textId="77777777">
        <w:trPr>
          <w:trHeight w:val="290"/>
        </w:trPr>
        <w:tc>
          <w:tcPr>
            <w:tcW w:w="1998" w:type="pct"/>
            <w:vAlign w:val="center"/>
          </w:tcPr>
          <w:p w14:paraId="4E52869C" w14:textId="77777777" w:rsidR="002E474C" w:rsidRDefault="00000000">
            <w:pPr>
              <w:pStyle w:val="A-"/>
            </w:pPr>
            <w:r>
              <w:t>运营期</w:t>
            </w:r>
          </w:p>
        </w:tc>
        <w:tc>
          <w:tcPr>
            <w:tcW w:w="1501" w:type="pct"/>
            <w:vAlign w:val="center"/>
          </w:tcPr>
          <w:p w14:paraId="4F02FFE3" w14:textId="77777777" w:rsidR="002E474C" w:rsidRDefault="00000000">
            <w:pPr>
              <w:pStyle w:val="A-"/>
            </w:pPr>
            <w:r>
              <w:t>65</w:t>
            </w:r>
          </w:p>
        </w:tc>
        <w:tc>
          <w:tcPr>
            <w:tcW w:w="1501" w:type="pct"/>
            <w:vAlign w:val="center"/>
          </w:tcPr>
          <w:p w14:paraId="411F92EA" w14:textId="77777777" w:rsidR="002E474C" w:rsidRDefault="00000000">
            <w:pPr>
              <w:pStyle w:val="A-"/>
            </w:pPr>
            <w:r>
              <w:t>55</w:t>
            </w:r>
          </w:p>
        </w:tc>
      </w:tr>
    </w:tbl>
    <w:p w14:paraId="73DCDD6B" w14:textId="77777777" w:rsidR="002E474C" w:rsidRDefault="002E474C"/>
    <w:p w14:paraId="7B2751C5" w14:textId="77777777" w:rsidR="002E474C" w:rsidRDefault="00000000">
      <w:pPr>
        <w:pStyle w:val="A-z"/>
        <w:rPr>
          <w:color w:val="auto"/>
        </w:rPr>
      </w:pPr>
      <w:r>
        <w:rPr>
          <w:color w:val="auto"/>
        </w:rPr>
        <w:t>（</w:t>
      </w:r>
      <w:r>
        <w:rPr>
          <w:color w:val="auto"/>
        </w:rPr>
        <w:t>4</w:t>
      </w:r>
      <w:r>
        <w:rPr>
          <w:color w:val="auto"/>
        </w:rPr>
        <w:t>）固体废物污染控制标准</w:t>
      </w:r>
    </w:p>
    <w:p w14:paraId="2E78F52B" w14:textId="77777777" w:rsidR="002E474C" w:rsidRDefault="00000000">
      <w:pPr>
        <w:pStyle w:val="A-z"/>
        <w:rPr>
          <w:color w:val="auto"/>
        </w:rPr>
      </w:pPr>
      <w:r>
        <w:rPr>
          <w:color w:val="auto"/>
        </w:rPr>
        <w:t>本项目产生的危险废物执行《危险废物贮存污染控制标准》（</w:t>
      </w:r>
      <w:r>
        <w:rPr>
          <w:color w:val="auto"/>
        </w:rPr>
        <w:t>GB18597-2023</w:t>
      </w:r>
      <w:r>
        <w:rPr>
          <w:color w:val="auto"/>
        </w:rPr>
        <w:t>）、《水泥窑协同处置固体废物环境保护技术规范》（</w:t>
      </w:r>
      <w:r>
        <w:rPr>
          <w:color w:val="auto"/>
        </w:rPr>
        <w:t>HJ662-2013</w:t>
      </w:r>
      <w:r>
        <w:rPr>
          <w:color w:val="auto"/>
        </w:rPr>
        <w:t>）。</w:t>
      </w:r>
    </w:p>
    <w:p w14:paraId="71623D2C" w14:textId="77777777" w:rsidR="002E474C" w:rsidRDefault="00000000">
      <w:pPr>
        <w:pStyle w:val="21"/>
        <w:spacing w:before="240" w:after="240"/>
        <w:rPr>
          <w:color w:val="auto"/>
          <w:lang w:val="zh-CN"/>
        </w:rPr>
      </w:pPr>
      <w:bookmarkStart w:id="77" w:name="_Toc225848848"/>
      <w:bookmarkStart w:id="78" w:name="_Toc26227"/>
      <w:r>
        <w:rPr>
          <w:color w:val="auto"/>
          <w:lang w:val="zh-CN"/>
        </w:rPr>
        <w:t>评价等级与评价范围</w:t>
      </w:r>
      <w:bookmarkEnd w:id="77"/>
      <w:bookmarkEnd w:id="78"/>
    </w:p>
    <w:p w14:paraId="60D1B6EB" w14:textId="77777777" w:rsidR="002E474C" w:rsidRDefault="00000000">
      <w:pPr>
        <w:pStyle w:val="A-z"/>
        <w:rPr>
          <w:color w:val="auto"/>
        </w:rPr>
      </w:pPr>
      <w:r>
        <w:rPr>
          <w:color w:val="auto"/>
        </w:rPr>
        <w:t>按照《建设项目环境影响评价技术导则</w:t>
      </w:r>
      <w:r>
        <w:rPr>
          <w:color w:val="auto"/>
        </w:rPr>
        <w:t xml:space="preserve"> </w:t>
      </w:r>
      <w:r>
        <w:rPr>
          <w:color w:val="auto"/>
        </w:rPr>
        <w:t>总纲》（</w:t>
      </w:r>
      <w:r>
        <w:rPr>
          <w:color w:val="auto"/>
        </w:rPr>
        <w:t>HJ2.1-2016</w:t>
      </w:r>
      <w:r>
        <w:rPr>
          <w:color w:val="auto"/>
        </w:rPr>
        <w:t>）、环境要素环境影响评价技术导则、专题环境影响评价技术导则的要求，并根据本项目的排污特征、污染物排放量及项目所在地的环境功能区划要求，确定评价工作等级。</w:t>
      </w:r>
    </w:p>
    <w:p w14:paraId="686351FA" w14:textId="77777777" w:rsidR="002E474C" w:rsidRDefault="00000000">
      <w:pPr>
        <w:pStyle w:val="31"/>
        <w:spacing w:before="120" w:after="120"/>
        <w:rPr>
          <w:color w:val="auto"/>
        </w:rPr>
      </w:pPr>
      <w:r>
        <w:rPr>
          <w:color w:val="auto"/>
        </w:rPr>
        <w:t>大气环境</w:t>
      </w:r>
    </w:p>
    <w:p w14:paraId="454CC048" w14:textId="77777777" w:rsidR="002E474C" w:rsidRDefault="00000000">
      <w:pPr>
        <w:pStyle w:val="A-z"/>
        <w:rPr>
          <w:color w:val="auto"/>
          <w:lang w:val="en-US"/>
        </w:rPr>
      </w:pPr>
      <w:bookmarkStart w:id="79" w:name="_Hlk151316685"/>
      <w:r>
        <w:rPr>
          <w:color w:val="auto"/>
        </w:rPr>
        <w:t>根据</w:t>
      </w:r>
      <w:r>
        <w:rPr>
          <w:color w:val="auto"/>
          <w:lang w:val="en-US"/>
        </w:rPr>
        <w:t>《水泥窑协同处置固体废物污染控制标准（</w:t>
      </w:r>
      <w:r>
        <w:rPr>
          <w:color w:val="auto"/>
          <w:lang w:val="en-US"/>
        </w:rPr>
        <w:t>GB30485-2013</w:t>
      </w:r>
      <w:r>
        <w:rPr>
          <w:color w:val="auto"/>
          <w:lang w:val="en-US"/>
        </w:rPr>
        <w:t>）编制说明》及</w:t>
      </w:r>
      <w:r>
        <w:rPr>
          <w:color w:val="auto"/>
        </w:rPr>
        <w:t>生态环境部关于《水泥工业大气污染物排放标准》和《</w:t>
      </w:r>
      <w:bookmarkStart w:id="80" w:name="OLE_LINK39"/>
      <w:r>
        <w:rPr>
          <w:color w:val="auto"/>
        </w:rPr>
        <w:t>水泥窑协同处置固体废物</w:t>
      </w:r>
      <w:bookmarkEnd w:id="80"/>
      <w:r>
        <w:rPr>
          <w:color w:val="auto"/>
        </w:rPr>
        <w:t>污染控制标准》解读</w:t>
      </w:r>
      <w:r>
        <w:rPr>
          <w:color w:val="auto"/>
          <w:lang w:val="en-US"/>
        </w:rPr>
        <w:t>（</w:t>
      </w:r>
      <w:r>
        <w:rPr>
          <w:color w:val="auto"/>
          <w:lang w:val="en-US"/>
        </w:rPr>
        <w:t>2013</w:t>
      </w:r>
      <w:r>
        <w:rPr>
          <w:color w:val="auto"/>
          <w:lang w:val="en-US"/>
        </w:rPr>
        <w:t>年</w:t>
      </w:r>
      <w:r>
        <w:rPr>
          <w:color w:val="auto"/>
          <w:lang w:val="en-US"/>
        </w:rPr>
        <w:t>12</w:t>
      </w:r>
      <w:r>
        <w:rPr>
          <w:color w:val="auto"/>
          <w:lang w:val="en-US"/>
        </w:rPr>
        <w:t>月）</w:t>
      </w:r>
      <w:r>
        <w:rPr>
          <w:color w:val="auto"/>
        </w:rPr>
        <w:t>，水泥窑协同处置危废过程中，</w:t>
      </w:r>
      <w:r>
        <w:rPr>
          <w:color w:val="auto"/>
          <w:lang w:val="en-US"/>
        </w:rPr>
        <w:t>窑内热工制度、烧成制度保持稳定，窑尾烟气产生量基本不发生变化；窑尾烟气</w:t>
      </w:r>
      <w:r>
        <w:rPr>
          <w:color w:val="auto"/>
        </w:rPr>
        <w:t>中</w:t>
      </w:r>
      <w:r>
        <w:rPr>
          <w:color w:val="auto"/>
          <w:lang w:val="en-US"/>
        </w:rPr>
        <w:t>颗粒物、</w:t>
      </w:r>
      <w:r>
        <w:rPr>
          <w:color w:val="auto"/>
        </w:rPr>
        <w:t>SO₂</w:t>
      </w:r>
      <w:r>
        <w:rPr>
          <w:color w:val="auto"/>
        </w:rPr>
        <w:t>、</w:t>
      </w:r>
      <w:r>
        <w:rPr>
          <w:color w:val="auto"/>
        </w:rPr>
        <w:t>NOₓ</w:t>
      </w:r>
      <w:r>
        <w:rPr>
          <w:color w:val="auto"/>
        </w:rPr>
        <w:t>排放浓度与排放量主要</w:t>
      </w:r>
      <w:r>
        <w:rPr>
          <w:color w:val="auto"/>
          <w:lang w:val="en-US"/>
        </w:rPr>
        <w:t>受生产原料、燃料、煅烧工况及窑尾脱硝治理设施运行条件控制，协同处置危险废物带入的常规污染物占比极低，</w:t>
      </w:r>
      <w:r>
        <w:rPr>
          <w:color w:val="auto"/>
        </w:rPr>
        <w:t>在正常监测波动范围内（</w:t>
      </w:r>
      <w:r>
        <w:rPr>
          <w:color w:val="auto"/>
        </w:rPr>
        <w:t>±10%</w:t>
      </w:r>
      <w:r>
        <w:rPr>
          <w:color w:val="auto"/>
        </w:rPr>
        <w:t>）；窑尾烟气中</w:t>
      </w:r>
      <w:r>
        <w:rPr>
          <w:color w:val="auto"/>
        </w:rPr>
        <w:t>NH₃</w:t>
      </w:r>
      <w:r>
        <w:rPr>
          <w:color w:val="auto"/>
          <w:lang w:val="en-US"/>
        </w:rPr>
        <w:t>主要来源于烟气脱硝过程中投加的氨水、尿素等含氨还原剂，属于脱硝工序氨逃逸，与危险废物协同处置过程无关联。</w:t>
      </w:r>
    </w:p>
    <w:p w14:paraId="2C79698B" w14:textId="77777777" w:rsidR="002E474C" w:rsidRDefault="00000000">
      <w:pPr>
        <w:pStyle w:val="A-z"/>
        <w:rPr>
          <w:color w:val="auto"/>
        </w:rPr>
      </w:pPr>
      <w:r>
        <w:rPr>
          <w:color w:val="auto"/>
          <w:lang w:val="en-US"/>
        </w:rPr>
        <w:lastRenderedPageBreak/>
        <w:t>本项目依托圣雄水泥公司现有水泥生产设施运行，不新增水泥产能，不改变现有生产工艺及污染治理设施情况下，项目实施后窑尾烟气中颗粒物、</w:t>
      </w:r>
      <w:r>
        <w:rPr>
          <w:color w:val="auto"/>
        </w:rPr>
        <w:t>SO₂</w:t>
      </w:r>
      <w:r>
        <w:rPr>
          <w:color w:val="auto"/>
        </w:rPr>
        <w:t>、</w:t>
      </w:r>
      <w:r>
        <w:rPr>
          <w:color w:val="auto"/>
        </w:rPr>
        <w:t>NOₓ</w:t>
      </w:r>
      <w:r>
        <w:rPr>
          <w:color w:val="auto"/>
          <w:lang w:val="en-US"/>
        </w:rPr>
        <w:t>、</w:t>
      </w:r>
      <w:r>
        <w:rPr>
          <w:color w:val="auto"/>
        </w:rPr>
        <w:t>NH₃</w:t>
      </w:r>
      <w:r>
        <w:rPr>
          <w:color w:val="auto"/>
          <w:lang w:val="en-US"/>
        </w:rPr>
        <w:t>四项常规污染物排放方式、排放强度及排放总量基本保持不变，无新增污染物排放量。根据《环境影响评价技术导则</w:t>
      </w:r>
      <w:r>
        <w:rPr>
          <w:color w:val="auto"/>
          <w:lang w:val="en-US"/>
        </w:rPr>
        <w:t xml:space="preserve"> </w:t>
      </w:r>
      <w:r>
        <w:rPr>
          <w:color w:val="auto"/>
          <w:lang w:val="en-US"/>
        </w:rPr>
        <w:t>大气环境》（</w:t>
      </w:r>
      <w:r>
        <w:rPr>
          <w:color w:val="auto"/>
          <w:lang w:val="en-US"/>
        </w:rPr>
        <w:t>HJ2.2-2018</w:t>
      </w:r>
      <w:r>
        <w:rPr>
          <w:color w:val="auto"/>
          <w:lang w:val="en-US"/>
        </w:rPr>
        <w:t>）评价等级判定原则，本次评价不将上述四项常规污染物纳入大气评价等级计算，仅针对本项目协同处置特征污染物开展评价等级判定及环境影响预测分析。</w:t>
      </w:r>
      <w:bookmarkEnd w:id="79"/>
      <w:r>
        <w:rPr>
          <w:color w:val="auto"/>
        </w:rPr>
        <w:t>本项目利用现有水泥窑处置危险废物，窑尾主要排放</w:t>
      </w:r>
      <w:r>
        <w:rPr>
          <w:color w:val="auto"/>
        </w:rPr>
        <w:t>HF</w:t>
      </w:r>
      <w:r>
        <w:rPr>
          <w:color w:val="auto"/>
        </w:rPr>
        <w:t>、</w:t>
      </w:r>
      <w:r>
        <w:rPr>
          <w:color w:val="auto"/>
        </w:rPr>
        <w:t>HCl</w:t>
      </w:r>
      <w:r>
        <w:rPr>
          <w:color w:val="auto"/>
        </w:rPr>
        <w:t>、重金属、二噁英类等污染物，危废贮存废气主要排放</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、非甲烷总烃、臭气浓度等污染物。</w:t>
      </w:r>
    </w:p>
    <w:p w14:paraId="48D2B5BD" w14:textId="77777777" w:rsidR="002E474C" w:rsidRDefault="00000000">
      <w:pPr>
        <w:pStyle w:val="A-z"/>
        <w:ind w:firstLine="456"/>
        <w:rPr>
          <w:color w:val="auto"/>
          <w:spacing w:val="-6"/>
        </w:rPr>
      </w:pPr>
      <w:r>
        <w:rPr>
          <w:color w:val="auto"/>
          <w:spacing w:val="-6"/>
        </w:rPr>
        <w:t>基于此，并结合项目所在地区的地形特点和环境功能区划，按照《环境影响评价技术导则</w:t>
      </w:r>
      <w:r>
        <w:rPr>
          <w:color w:val="auto"/>
          <w:spacing w:val="-6"/>
        </w:rPr>
        <w:t xml:space="preserve"> </w:t>
      </w:r>
      <w:r>
        <w:rPr>
          <w:color w:val="auto"/>
          <w:spacing w:val="-6"/>
        </w:rPr>
        <w:t>大气环境》（</w:t>
      </w:r>
      <w:r>
        <w:rPr>
          <w:color w:val="auto"/>
          <w:spacing w:val="-6"/>
        </w:rPr>
        <w:t>HJ2.2-2018</w:t>
      </w:r>
      <w:r>
        <w:rPr>
          <w:color w:val="auto"/>
          <w:spacing w:val="-6"/>
        </w:rPr>
        <w:t>）中评价等级的判定的方法，选择项目污染源正常排放的主要污染物及排放参数，采用导则推荐的</w:t>
      </w:r>
      <w:r>
        <w:rPr>
          <w:color w:val="auto"/>
          <w:spacing w:val="-6"/>
        </w:rPr>
        <w:t>AERSCREEN</w:t>
      </w:r>
      <w:r>
        <w:rPr>
          <w:color w:val="auto"/>
          <w:spacing w:val="-6"/>
        </w:rPr>
        <w:t>模型分别计算项目污染源的最大环境影响，然后按评价工作分级判据确定大气环境评价工作等级。</w:t>
      </w:r>
    </w:p>
    <w:p w14:paraId="5692EEFF" w14:textId="77777777" w:rsidR="002E474C" w:rsidRDefault="00000000">
      <w:pPr>
        <w:pStyle w:val="A-z"/>
        <w:rPr>
          <w:color w:val="auto"/>
        </w:rPr>
      </w:pPr>
      <w:r>
        <w:rPr>
          <w:color w:val="auto"/>
        </w:rPr>
        <w:t>（</w:t>
      </w:r>
      <w:r>
        <w:rPr>
          <w:color w:val="auto"/>
        </w:rPr>
        <w:t>1</w:t>
      </w:r>
      <w:r>
        <w:rPr>
          <w:color w:val="auto"/>
        </w:rPr>
        <w:t>）判定依据</w:t>
      </w:r>
    </w:p>
    <w:p w14:paraId="5DE79695" w14:textId="77777777" w:rsidR="002E474C" w:rsidRDefault="00000000">
      <w:pPr>
        <w:pStyle w:val="A-z"/>
        <w:rPr>
          <w:color w:val="auto"/>
        </w:rPr>
      </w:pPr>
      <w:r>
        <w:rPr>
          <w:color w:val="auto"/>
        </w:rPr>
        <w:t>根据项目特点和污染特征以及周围环境状况，采用《环境影响评价技术导则</w:t>
      </w:r>
      <w:r>
        <w:rPr>
          <w:color w:val="auto"/>
          <w:lang w:val="en-US"/>
        </w:rPr>
        <w:t xml:space="preserve"> </w:t>
      </w:r>
      <w:r>
        <w:rPr>
          <w:color w:val="auto"/>
        </w:rPr>
        <w:t>大气环境》（</w:t>
      </w:r>
      <w:r>
        <w:rPr>
          <w:color w:val="auto"/>
        </w:rPr>
        <w:t>HJ2.2-2018</w:t>
      </w:r>
      <w:r>
        <w:rPr>
          <w:color w:val="auto"/>
        </w:rPr>
        <w:t>）中</w:t>
      </w:r>
      <w:r>
        <w:rPr>
          <w:color w:val="auto"/>
        </w:rPr>
        <w:t>5.3“</w:t>
      </w:r>
      <w:r>
        <w:rPr>
          <w:color w:val="auto"/>
        </w:rPr>
        <w:t>评价等级判定</w:t>
      </w:r>
      <w:r>
        <w:rPr>
          <w:color w:val="auto"/>
        </w:rPr>
        <w:t>”</w:t>
      </w:r>
      <w:r>
        <w:rPr>
          <w:color w:val="auto"/>
        </w:rPr>
        <w:t>规定的方法核算，计算公式及评价工作级别表</w:t>
      </w:r>
      <w:r>
        <w:rPr>
          <w:color w:val="auto"/>
        </w:rPr>
        <w:t>(</w:t>
      </w:r>
      <w:r>
        <w:rPr>
          <w:color w:val="auto"/>
        </w:rPr>
        <w:t>表</w:t>
      </w:r>
      <w:r>
        <w:rPr>
          <w:color w:val="auto"/>
        </w:rPr>
        <w:t>2.4-1)</w:t>
      </w:r>
      <w:r>
        <w:rPr>
          <w:color w:val="auto"/>
        </w:rPr>
        <w:t>如下：</w:t>
      </w:r>
    </w:p>
    <w:p w14:paraId="1888CC31" w14:textId="77777777" w:rsidR="002E474C" w:rsidRDefault="00000000">
      <w:pPr>
        <w:pStyle w:val="A-z"/>
        <w:jc w:val="center"/>
        <w:rPr>
          <w:color w:val="auto"/>
        </w:rPr>
      </w:pPr>
      <w:r>
        <w:rPr>
          <w:noProof/>
          <w:color w:val="auto"/>
          <w:position w:val="-30"/>
        </w:rPr>
        <w:drawing>
          <wp:inline distT="0" distB="0" distL="0" distR="0" wp14:anchorId="2A6992D1" wp14:editId="2F321DF0">
            <wp:extent cx="1157605" cy="461645"/>
            <wp:effectExtent l="0" t="0" r="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57605" cy="461645"/>
                    </a:xfrm>
                    <a:prstGeom prst="rect">
                      <a:avLst/>
                    </a:prstGeom>
                    <a:noFill/>
                    <a:ln>
                      <a:noFill/>
                    </a:ln>
                  </pic:spPr>
                </pic:pic>
              </a:graphicData>
            </a:graphic>
          </wp:inline>
        </w:drawing>
      </w:r>
    </w:p>
    <w:p w14:paraId="530E2328" w14:textId="77777777" w:rsidR="002E474C" w:rsidRDefault="00000000">
      <w:pPr>
        <w:pStyle w:val="A-z"/>
        <w:rPr>
          <w:color w:val="auto"/>
        </w:rPr>
      </w:pPr>
      <w:r>
        <w:rPr>
          <w:color w:val="auto"/>
        </w:rPr>
        <w:t>式中：</w:t>
      </w:r>
      <w:r>
        <w:rPr>
          <w:rFonts w:eastAsia="宋体"/>
          <w:color w:val="auto"/>
          <w:position w:val="-12"/>
          <w:lang w:val="en-US"/>
        </w:rPr>
        <w:object w:dxaOrig="285" w:dyaOrig="435" w14:anchorId="0493A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20.55pt" o:ole="">
            <v:imagedata r:id="rId16" o:title=""/>
          </v:shape>
          <o:OLEObject Type="Embed" ProgID="Equation.3" ShapeID="_x0000_i1025" DrawAspect="Content" ObjectID="_1844604890" r:id="rId17"/>
        </w:object>
      </w:r>
      <w:r>
        <w:rPr>
          <w:rFonts w:eastAsia="宋体"/>
          <w:color w:val="auto"/>
          <w:lang w:val="en-US"/>
        </w:rPr>
        <w:t>-</w:t>
      </w:r>
      <w:r>
        <w:rPr>
          <w:color w:val="auto"/>
        </w:rPr>
        <w:t>第</w:t>
      </w:r>
      <w:r>
        <w:rPr>
          <w:noProof/>
          <w:color w:val="auto"/>
          <w:position w:val="-6"/>
        </w:rPr>
        <w:drawing>
          <wp:inline distT="0" distB="0" distL="0" distR="0" wp14:anchorId="30B35B00" wp14:editId="6BB6EE88">
            <wp:extent cx="33655" cy="226695"/>
            <wp:effectExtent l="0" t="0" r="4445" b="0"/>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655" cy="226695"/>
                    </a:xfrm>
                    <a:prstGeom prst="rect">
                      <a:avLst/>
                    </a:prstGeom>
                    <a:noFill/>
                    <a:ln>
                      <a:noFill/>
                    </a:ln>
                  </pic:spPr>
                </pic:pic>
              </a:graphicData>
            </a:graphic>
          </wp:inline>
        </w:drawing>
      </w:r>
      <w:r>
        <w:rPr>
          <w:color w:val="auto"/>
        </w:rPr>
        <w:t>个污染物的最大地面空气质量浓度占标率，</w:t>
      </w:r>
      <w:r>
        <w:rPr>
          <w:color w:val="auto"/>
        </w:rPr>
        <w:t>%</w:t>
      </w:r>
      <w:r>
        <w:rPr>
          <w:color w:val="auto"/>
        </w:rPr>
        <w:t>；</w:t>
      </w:r>
    </w:p>
    <w:p w14:paraId="60678793" w14:textId="77777777" w:rsidR="002E474C" w:rsidRDefault="00000000">
      <w:pPr>
        <w:pStyle w:val="A-z"/>
        <w:ind w:leftChars="-25" w:left="-53" w:rightChars="-20" w:right="-42" w:firstLineChars="500" w:firstLine="1200"/>
        <w:rPr>
          <w:color w:val="auto"/>
          <w:spacing w:val="-6"/>
        </w:rPr>
      </w:pPr>
      <w:r>
        <w:rPr>
          <w:noProof/>
          <w:color w:val="auto"/>
          <w:spacing w:val="-6"/>
          <w:position w:val="-12"/>
        </w:rPr>
        <w:drawing>
          <wp:inline distT="0" distB="0" distL="114300" distR="114300" wp14:anchorId="63E9C7F2" wp14:editId="1AA88886">
            <wp:extent cx="158115" cy="232410"/>
            <wp:effectExtent l="0" t="0" r="13335" b="16510"/>
            <wp:docPr id="6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0"/>
                    <pic:cNvPicPr>
                      <a:picLocks noChangeAspect="1"/>
                    </pic:cNvPicPr>
                  </pic:nvPicPr>
                  <pic:blipFill>
                    <a:blip r:embed="rId19"/>
                    <a:stretch>
                      <a:fillRect/>
                    </a:stretch>
                  </pic:blipFill>
                  <pic:spPr>
                    <a:xfrm>
                      <a:off x="0" y="0"/>
                      <a:ext cx="158115" cy="232410"/>
                    </a:xfrm>
                    <a:prstGeom prst="rect">
                      <a:avLst/>
                    </a:prstGeom>
                    <a:noFill/>
                    <a:ln>
                      <a:noFill/>
                    </a:ln>
                  </pic:spPr>
                </pic:pic>
              </a:graphicData>
            </a:graphic>
          </wp:inline>
        </w:drawing>
      </w:r>
      <w:r>
        <w:rPr>
          <w:color w:val="auto"/>
          <w:spacing w:val="-6"/>
          <w:lang w:val="en-US"/>
        </w:rPr>
        <w:t>-</w:t>
      </w:r>
      <w:r>
        <w:rPr>
          <w:color w:val="auto"/>
          <w:spacing w:val="-6"/>
        </w:rPr>
        <w:t>采用估算模式计算出的第</w:t>
      </w:r>
      <w:r>
        <w:rPr>
          <w:noProof/>
          <w:color w:val="auto"/>
          <w:spacing w:val="-6"/>
          <w:position w:val="-6"/>
        </w:rPr>
        <w:drawing>
          <wp:inline distT="0" distB="0" distL="0" distR="0" wp14:anchorId="4E8A4EF3" wp14:editId="2B03AB0D">
            <wp:extent cx="33655" cy="226695"/>
            <wp:effectExtent l="0" t="0" r="4445"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655" cy="226695"/>
                    </a:xfrm>
                    <a:prstGeom prst="rect">
                      <a:avLst/>
                    </a:prstGeom>
                    <a:noFill/>
                    <a:ln>
                      <a:noFill/>
                    </a:ln>
                  </pic:spPr>
                </pic:pic>
              </a:graphicData>
            </a:graphic>
          </wp:inline>
        </w:drawing>
      </w:r>
      <w:r>
        <w:rPr>
          <w:color w:val="auto"/>
          <w:spacing w:val="-6"/>
        </w:rPr>
        <w:t>个污染物的最大</w:t>
      </w:r>
      <w:r>
        <w:rPr>
          <w:color w:val="auto"/>
          <w:spacing w:val="-6"/>
        </w:rPr>
        <w:t>1h</w:t>
      </w:r>
      <w:r>
        <w:rPr>
          <w:color w:val="auto"/>
          <w:spacing w:val="-6"/>
        </w:rPr>
        <w:t>地面空气质量浓度，</w:t>
      </w:r>
      <w:r>
        <w:rPr>
          <w:color w:val="auto"/>
          <w:spacing w:val="-6"/>
        </w:rPr>
        <w:t>μg/m</w:t>
      </w:r>
      <w:r>
        <w:rPr>
          <w:color w:val="auto"/>
          <w:spacing w:val="-6"/>
          <w:vertAlign w:val="superscript"/>
        </w:rPr>
        <w:t>3</w:t>
      </w:r>
      <w:r>
        <w:rPr>
          <w:color w:val="auto"/>
          <w:spacing w:val="-6"/>
        </w:rPr>
        <w:t>；</w:t>
      </w:r>
    </w:p>
    <w:p w14:paraId="7EC90EA1" w14:textId="77777777" w:rsidR="002E474C" w:rsidRDefault="00000000">
      <w:pPr>
        <w:pStyle w:val="A-z"/>
        <w:ind w:firstLineChars="500" w:firstLine="1200"/>
        <w:rPr>
          <w:color w:val="auto"/>
        </w:rPr>
      </w:pPr>
      <w:r>
        <w:rPr>
          <w:noProof/>
          <w:color w:val="auto"/>
          <w:position w:val="-12"/>
        </w:rPr>
        <w:drawing>
          <wp:inline distT="0" distB="0" distL="114300" distR="114300" wp14:anchorId="46C5E558" wp14:editId="30FC2FB8">
            <wp:extent cx="219075" cy="219075"/>
            <wp:effectExtent l="0" t="0" r="9525" b="6985"/>
            <wp:docPr id="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pic:cNvPicPr>
                      <a:picLocks noChangeAspect="1"/>
                    </pic:cNvPicPr>
                  </pic:nvPicPr>
                  <pic:blipFill>
                    <a:blip r:embed="rId20"/>
                    <a:stretch>
                      <a:fillRect/>
                    </a:stretch>
                  </pic:blipFill>
                  <pic:spPr>
                    <a:xfrm>
                      <a:off x="0" y="0"/>
                      <a:ext cx="219075" cy="219075"/>
                    </a:xfrm>
                    <a:prstGeom prst="rect">
                      <a:avLst/>
                    </a:prstGeom>
                    <a:noFill/>
                    <a:ln>
                      <a:noFill/>
                    </a:ln>
                  </pic:spPr>
                </pic:pic>
              </a:graphicData>
            </a:graphic>
          </wp:inline>
        </w:drawing>
      </w:r>
      <w:r>
        <w:rPr>
          <w:color w:val="auto"/>
          <w:lang w:val="en-US"/>
        </w:rPr>
        <w:t>-</w:t>
      </w:r>
      <w:r>
        <w:rPr>
          <w:color w:val="auto"/>
        </w:rPr>
        <w:t>第</w:t>
      </w:r>
      <w:r>
        <w:rPr>
          <w:noProof/>
          <w:color w:val="auto"/>
          <w:position w:val="-6"/>
        </w:rPr>
        <w:drawing>
          <wp:inline distT="0" distB="0" distL="0" distR="0" wp14:anchorId="55BF7C03" wp14:editId="2E055496">
            <wp:extent cx="33655" cy="226695"/>
            <wp:effectExtent l="0" t="0" r="4445" b="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655" cy="226695"/>
                    </a:xfrm>
                    <a:prstGeom prst="rect">
                      <a:avLst/>
                    </a:prstGeom>
                    <a:noFill/>
                    <a:ln>
                      <a:noFill/>
                    </a:ln>
                  </pic:spPr>
                </pic:pic>
              </a:graphicData>
            </a:graphic>
          </wp:inline>
        </w:drawing>
      </w:r>
      <w:r>
        <w:rPr>
          <w:color w:val="auto"/>
        </w:rPr>
        <w:t>个污染物的环境空气质量浓度标准，</w:t>
      </w:r>
      <w:r>
        <w:rPr>
          <w:color w:val="auto"/>
        </w:rPr>
        <w:t>μg/m</w:t>
      </w:r>
      <w:r>
        <w:rPr>
          <w:color w:val="auto"/>
          <w:vertAlign w:val="superscript"/>
        </w:rPr>
        <w:t>3</w:t>
      </w:r>
      <w:r>
        <w:rPr>
          <w:color w:val="auto"/>
        </w:rPr>
        <w:t>。选用</w:t>
      </w:r>
      <w:r>
        <w:rPr>
          <w:color w:val="auto"/>
        </w:rPr>
        <w:t>GB3095</w:t>
      </w:r>
      <w:r>
        <w:rPr>
          <w:color w:val="auto"/>
        </w:rPr>
        <w:t>中</w:t>
      </w:r>
      <w:r>
        <w:rPr>
          <w:color w:val="auto"/>
        </w:rPr>
        <w:t>1h</w:t>
      </w:r>
      <w:r>
        <w:rPr>
          <w:color w:val="auto"/>
        </w:rPr>
        <w:t>平均质量浓度的二级浓度限值；对该标准中未包含的污染物，使用各评价因子</w:t>
      </w:r>
      <w:r>
        <w:rPr>
          <w:color w:val="auto"/>
        </w:rPr>
        <w:t>1h</w:t>
      </w:r>
      <w:r>
        <w:rPr>
          <w:color w:val="auto"/>
        </w:rPr>
        <w:t>平均质量浓度限值。对仅有</w:t>
      </w:r>
      <w:r>
        <w:rPr>
          <w:color w:val="auto"/>
        </w:rPr>
        <w:t>8h</w:t>
      </w:r>
      <w:r>
        <w:rPr>
          <w:color w:val="auto"/>
        </w:rPr>
        <w:t>平均质量浓度限值、日平均质量浓度限值或年平均质量浓度限值的，分别按</w:t>
      </w:r>
      <w:r>
        <w:rPr>
          <w:color w:val="auto"/>
        </w:rPr>
        <w:t>2</w:t>
      </w:r>
      <w:r>
        <w:rPr>
          <w:color w:val="auto"/>
        </w:rPr>
        <w:t>倍、</w:t>
      </w:r>
      <w:r>
        <w:rPr>
          <w:color w:val="auto"/>
        </w:rPr>
        <w:t>3</w:t>
      </w:r>
      <w:r>
        <w:rPr>
          <w:color w:val="auto"/>
        </w:rPr>
        <w:t>倍、</w:t>
      </w:r>
      <w:r>
        <w:rPr>
          <w:color w:val="auto"/>
        </w:rPr>
        <w:t>6</w:t>
      </w:r>
      <w:r>
        <w:rPr>
          <w:color w:val="auto"/>
        </w:rPr>
        <w:t>倍折算为</w:t>
      </w:r>
      <w:r>
        <w:rPr>
          <w:color w:val="auto"/>
        </w:rPr>
        <w:t>1h</w:t>
      </w:r>
      <w:r>
        <w:rPr>
          <w:color w:val="auto"/>
        </w:rPr>
        <w:t>平均质量浓度限值。</w:t>
      </w:r>
    </w:p>
    <w:p w14:paraId="02433CD7" w14:textId="77777777" w:rsidR="002E474C" w:rsidRDefault="00000000">
      <w:pPr>
        <w:pStyle w:val="A-z"/>
        <w:rPr>
          <w:color w:val="auto"/>
        </w:rPr>
      </w:pPr>
      <w:r>
        <w:rPr>
          <w:color w:val="auto"/>
        </w:rPr>
        <w:t>如污染物数</w:t>
      </w:r>
      <w:r>
        <w:rPr>
          <w:color w:val="auto"/>
        </w:rPr>
        <w:t>i</w:t>
      </w:r>
      <w:r>
        <w:rPr>
          <w:color w:val="auto"/>
        </w:rPr>
        <w:t>大于</w:t>
      </w:r>
      <w:r>
        <w:rPr>
          <w:color w:val="auto"/>
        </w:rPr>
        <w:t>1</w:t>
      </w:r>
      <w:r>
        <w:rPr>
          <w:color w:val="auto"/>
        </w:rPr>
        <w:t>，取</w:t>
      </w:r>
      <w:r>
        <w:rPr>
          <w:color w:val="auto"/>
        </w:rPr>
        <w:t>P</w:t>
      </w:r>
      <w:r>
        <w:rPr>
          <w:color w:val="auto"/>
        </w:rPr>
        <w:t>值中最大者</w:t>
      </w:r>
      <w:r>
        <w:rPr>
          <w:color w:val="auto"/>
        </w:rPr>
        <w:t>P</w:t>
      </w:r>
      <w:r>
        <w:rPr>
          <w:color w:val="auto"/>
          <w:vertAlign w:val="subscript"/>
        </w:rPr>
        <w:t>max</w:t>
      </w:r>
      <w:r>
        <w:rPr>
          <w:color w:val="auto"/>
        </w:rPr>
        <w:t>，大气评价工作等级判据见表</w:t>
      </w:r>
      <w:r>
        <w:rPr>
          <w:color w:val="auto"/>
        </w:rPr>
        <w:t>2.5</w:t>
      </w:r>
      <w:r>
        <w:rPr>
          <w:color w:val="auto"/>
        </w:rPr>
        <w:noBreakHyphen/>
        <w:t>1</w:t>
      </w:r>
      <w:r>
        <w:rPr>
          <w:color w:val="auto"/>
        </w:rPr>
        <w:t>。</w:t>
      </w:r>
    </w:p>
    <w:p w14:paraId="0EE1716A" w14:textId="77777777" w:rsidR="002E474C" w:rsidRDefault="002E474C">
      <w:pPr>
        <w:pStyle w:val="A-z"/>
        <w:rPr>
          <w:color w:val="auto"/>
        </w:rPr>
      </w:pPr>
    </w:p>
    <w:p w14:paraId="6881AB71" w14:textId="77777777" w:rsidR="002E474C" w:rsidRDefault="00000000">
      <w:pPr>
        <w:pStyle w:val="A--"/>
        <w:rPr>
          <w:color w:val="auto"/>
        </w:rPr>
      </w:pPr>
      <w:bookmarkStart w:id="81" w:name="_Ref534575039"/>
      <w:r>
        <w:rPr>
          <w:color w:val="auto"/>
        </w:rPr>
        <w:t>表</w:t>
      </w:r>
      <w:r>
        <w:rPr>
          <w:color w:val="auto"/>
        </w:rPr>
        <w:t>2.5</w:t>
      </w:r>
      <w:r>
        <w:rPr>
          <w:color w:val="auto"/>
        </w:rPr>
        <w:noBreakHyphen/>
        <w:t>1</w:t>
      </w:r>
      <w:bookmarkEnd w:id="81"/>
      <w:r>
        <w:rPr>
          <w:color w:val="auto"/>
        </w:rPr>
        <w:t xml:space="preserve">  </w:t>
      </w:r>
      <w:r>
        <w:rPr>
          <w:color w:val="auto"/>
        </w:rPr>
        <w:t>评价工作等级判别表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4789"/>
      </w:tblGrid>
      <w:tr w:rsidR="002E474C" w14:paraId="7118F0F5" w14:textId="77777777">
        <w:tc>
          <w:tcPr>
            <w:tcW w:w="2189" w:type="pct"/>
          </w:tcPr>
          <w:p w14:paraId="519AF5C1" w14:textId="77777777" w:rsidR="002E474C" w:rsidRDefault="00000000">
            <w:pPr>
              <w:pStyle w:val="A-"/>
            </w:pPr>
            <w:r>
              <w:t>评价工作等级</w:t>
            </w:r>
          </w:p>
        </w:tc>
        <w:tc>
          <w:tcPr>
            <w:tcW w:w="2811" w:type="pct"/>
          </w:tcPr>
          <w:p w14:paraId="40D2C694" w14:textId="77777777" w:rsidR="002E474C" w:rsidRDefault="00000000">
            <w:pPr>
              <w:pStyle w:val="A-"/>
            </w:pPr>
            <w:r>
              <w:t>评价工作分级判据</w:t>
            </w:r>
          </w:p>
        </w:tc>
      </w:tr>
      <w:tr w:rsidR="002E474C" w14:paraId="71D0B30E" w14:textId="77777777">
        <w:tc>
          <w:tcPr>
            <w:tcW w:w="2189" w:type="pct"/>
          </w:tcPr>
          <w:p w14:paraId="64E0D4FF" w14:textId="77777777" w:rsidR="002E474C" w:rsidRDefault="00000000">
            <w:pPr>
              <w:pStyle w:val="A-"/>
            </w:pPr>
            <w:r>
              <w:t>一级评价</w:t>
            </w:r>
          </w:p>
        </w:tc>
        <w:tc>
          <w:tcPr>
            <w:tcW w:w="2811" w:type="pct"/>
          </w:tcPr>
          <w:p w14:paraId="20582D5B" w14:textId="77777777" w:rsidR="002E474C" w:rsidRDefault="00000000">
            <w:pPr>
              <w:pStyle w:val="A-"/>
            </w:pPr>
            <w:r>
              <w:t>Pmax≥10%</w:t>
            </w:r>
          </w:p>
        </w:tc>
      </w:tr>
      <w:tr w:rsidR="002E474C" w14:paraId="4D544AC0" w14:textId="77777777">
        <w:tc>
          <w:tcPr>
            <w:tcW w:w="2189" w:type="pct"/>
          </w:tcPr>
          <w:p w14:paraId="6E72065C" w14:textId="77777777" w:rsidR="002E474C" w:rsidRDefault="00000000">
            <w:pPr>
              <w:pStyle w:val="A-"/>
            </w:pPr>
            <w:r>
              <w:t>二级评价</w:t>
            </w:r>
          </w:p>
        </w:tc>
        <w:tc>
          <w:tcPr>
            <w:tcW w:w="2811" w:type="pct"/>
          </w:tcPr>
          <w:p w14:paraId="276AF561" w14:textId="77777777" w:rsidR="002E474C" w:rsidRDefault="00000000">
            <w:pPr>
              <w:pStyle w:val="A-"/>
            </w:pPr>
            <w:r>
              <w:t>1%≤Pmax &lt;10%</w:t>
            </w:r>
          </w:p>
        </w:tc>
      </w:tr>
      <w:tr w:rsidR="002E474C" w14:paraId="58BCEB74" w14:textId="77777777">
        <w:tc>
          <w:tcPr>
            <w:tcW w:w="2189" w:type="pct"/>
          </w:tcPr>
          <w:p w14:paraId="35C490A7" w14:textId="77777777" w:rsidR="002E474C" w:rsidRDefault="00000000">
            <w:pPr>
              <w:pStyle w:val="A-"/>
            </w:pPr>
            <w:r>
              <w:t>三级评价</w:t>
            </w:r>
          </w:p>
        </w:tc>
        <w:tc>
          <w:tcPr>
            <w:tcW w:w="2811" w:type="pct"/>
          </w:tcPr>
          <w:p w14:paraId="50EE1588" w14:textId="77777777" w:rsidR="002E474C" w:rsidRDefault="00000000">
            <w:pPr>
              <w:pStyle w:val="A-"/>
            </w:pPr>
            <w:r>
              <w:t>Pmax &lt;1%</w:t>
            </w:r>
          </w:p>
        </w:tc>
      </w:tr>
    </w:tbl>
    <w:p w14:paraId="62A1B44E" w14:textId="77777777" w:rsidR="002E474C" w:rsidRDefault="00000000">
      <w:pPr>
        <w:pStyle w:val="A-z"/>
        <w:spacing w:beforeLines="25" w:before="60"/>
        <w:rPr>
          <w:color w:val="auto"/>
        </w:rPr>
      </w:pPr>
      <w:bookmarkStart w:id="82" w:name="_Ref111293714"/>
      <w:r>
        <w:rPr>
          <w:color w:val="auto"/>
        </w:rPr>
        <w:lastRenderedPageBreak/>
        <w:t>（</w:t>
      </w:r>
      <w:r>
        <w:rPr>
          <w:color w:val="auto"/>
        </w:rPr>
        <w:t>2</w:t>
      </w:r>
      <w:r>
        <w:rPr>
          <w:color w:val="auto"/>
        </w:rPr>
        <w:t>）估算模型及其参数</w:t>
      </w:r>
    </w:p>
    <w:p w14:paraId="708EF524" w14:textId="77777777" w:rsidR="002E474C" w:rsidRDefault="00000000">
      <w:pPr>
        <w:pStyle w:val="A-z"/>
        <w:rPr>
          <w:color w:val="auto"/>
        </w:rPr>
      </w:pPr>
      <w:r>
        <w:rPr>
          <w:color w:val="auto"/>
        </w:rPr>
        <w:t>估算模型参数见表</w:t>
      </w:r>
      <w:r>
        <w:rPr>
          <w:color w:val="auto"/>
        </w:rPr>
        <w:t>2.5-2</w:t>
      </w:r>
      <w:r>
        <w:rPr>
          <w:color w:val="auto"/>
        </w:rPr>
        <w:t>。</w:t>
      </w:r>
    </w:p>
    <w:p w14:paraId="375F59FE" w14:textId="77777777" w:rsidR="002E474C" w:rsidRDefault="00000000">
      <w:pPr>
        <w:pStyle w:val="A--"/>
        <w:rPr>
          <w:color w:val="auto"/>
        </w:rPr>
      </w:pPr>
      <w:r>
        <w:rPr>
          <w:color w:val="auto"/>
        </w:rPr>
        <w:t>表</w:t>
      </w:r>
      <w:r>
        <w:rPr>
          <w:color w:val="auto"/>
        </w:rPr>
        <w:t>2.5</w:t>
      </w:r>
      <w:r>
        <w:rPr>
          <w:color w:val="auto"/>
        </w:rPr>
        <w:noBreakHyphen/>
        <w:t>2</w:t>
      </w:r>
      <w:bookmarkEnd w:id="82"/>
      <w:r>
        <w:rPr>
          <w:color w:val="auto"/>
        </w:rPr>
        <w:t xml:space="preserve">  </w:t>
      </w:r>
      <w:r>
        <w:rPr>
          <w:color w:val="auto"/>
        </w:rPr>
        <w:t>估算模型参数表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3538"/>
        <w:gridCol w:w="2084"/>
      </w:tblGrid>
      <w:tr w:rsidR="002E474C" w14:paraId="71AD83A4" w14:textId="77777777">
        <w:tc>
          <w:tcPr>
            <w:tcW w:w="3777" w:type="pct"/>
            <w:gridSpan w:val="2"/>
            <w:vAlign w:val="center"/>
          </w:tcPr>
          <w:p w14:paraId="600C3F1C" w14:textId="77777777" w:rsidR="002E474C" w:rsidRDefault="00000000">
            <w:pPr>
              <w:pStyle w:val="A-"/>
            </w:pPr>
            <w:r>
              <w:t>参数</w:t>
            </w:r>
          </w:p>
        </w:tc>
        <w:tc>
          <w:tcPr>
            <w:tcW w:w="1223" w:type="pct"/>
            <w:vAlign w:val="center"/>
          </w:tcPr>
          <w:p w14:paraId="50DE0D35" w14:textId="77777777" w:rsidR="002E474C" w:rsidRDefault="00000000">
            <w:pPr>
              <w:pStyle w:val="A-"/>
            </w:pPr>
            <w:r>
              <w:t>取值</w:t>
            </w:r>
          </w:p>
        </w:tc>
      </w:tr>
      <w:tr w:rsidR="002E474C" w14:paraId="665DC213" w14:textId="77777777">
        <w:tc>
          <w:tcPr>
            <w:tcW w:w="1700" w:type="pct"/>
            <w:vMerge w:val="restart"/>
            <w:vAlign w:val="center"/>
          </w:tcPr>
          <w:p w14:paraId="28A01F2B" w14:textId="77777777" w:rsidR="002E474C" w:rsidRDefault="00000000">
            <w:pPr>
              <w:pStyle w:val="A-"/>
            </w:pPr>
            <w:r>
              <w:t>城市</w:t>
            </w:r>
            <w:r>
              <w:t>/</w:t>
            </w:r>
            <w:r>
              <w:t>农村选项</w:t>
            </w:r>
          </w:p>
        </w:tc>
        <w:tc>
          <w:tcPr>
            <w:tcW w:w="2077" w:type="pct"/>
            <w:vAlign w:val="center"/>
          </w:tcPr>
          <w:p w14:paraId="21D88060" w14:textId="77777777" w:rsidR="002E474C" w:rsidRDefault="00000000">
            <w:pPr>
              <w:pStyle w:val="A-"/>
            </w:pPr>
            <w:r>
              <w:t>城市</w:t>
            </w:r>
            <w:r>
              <w:t>/</w:t>
            </w:r>
            <w:r>
              <w:t>农村</w:t>
            </w:r>
          </w:p>
        </w:tc>
        <w:tc>
          <w:tcPr>
            <w:tcW w:w="1223" w:type="pct"/>
            <w:vAlign w:val="center"/>
          </w:tcPr>
          <w:p w14:paraId="09C1AEDB" w14:textId="77777777" w:rsidR="002E474C" w:rsidRDefault="00000000">
            <w:pPr>
              <w:pStyle w:val="A-"/>
            </w:pPr>
            <w:r>
              <w:t>农村</w:t>
            </w:r>
          </w:p>
        </w:tc>
      </w:tr>
      <w:tr w:rsidR="002E474C" w14:paraId="15C9B4BC" w14:textId="77777777">
        <w:tc>
          <w:tcPr>
            <w:tcW w:w="1700" w:type="pct"/>
            <w:vMerge/>
            <w:vAlign w:val="center"/>
          </w:tcPr>
          <w:p w14:paraId="35EB4DC9" w14:textId="77777777" w:rsidR="002E474C" w:rsidRDefault="002E474C">
            <w:pPr>
              <w:pStyle w:val="A-"/>
            </w:pPr>
          </w:p>
        </w:tc>
        <w:tc>
          <w:tcPr>
            <w:tcW w:w="2077" w:type="pct"/>
            <w:vAlign w:val="center"/>
          </w:tcPr>
          <w:p w14:paraId="1F13EDAA" w14:textId="77777777" w:rsidR="002E474C" w:rsidRDefault="00000000">
            <w:pPr>
              <w:pStyle w:val="A-"/>
            </w:pPr>
            <w:r>
              <w:t>人口数（城市选项时）</w:t>
            </w:r>
          </w:p>
        </w:tc>
        <w:tc>
          <w:tcPr>
            <w:tcW w:w="1223" w:type="pct"/>
            <w:vAlign w:val="center"/>
          </w:tcPr>
          <w:p w14:paraId="5A915DD6" w14:textId="77777777" w:rsidR="002E474C" w:rsidRDefault="00000000">
            <w:pPr>
              <w:pStyle w:val="A-"/>
            </w:pPr>
            <w:r>
              <w:t>/</w:t>
            </w:r>
          </w:p>
        </w:tc>
      </w:tr>
      <w:tr w:rsidR="002E474C" w14:paraId="3199CAFE" w14:textId="77777777">
        <w:tc>
          <w:tcPr>
            <w:tcW w:w="3777" w:type="pct"/>
            <w:gridSpan w:val="2"/>
            <w:vAlign w:val="center"/>
          </w:tcPr>
          <w:p w14:paraId="7627498A" w14:textId="77777777" w:rsidR="002E474C" w:rsidRDefault="00000000">
            <w:pPr>
              <w:pStyle w:val="A-"/>
            </w:pPr>
            <w:r>
              <w:t>最高环境温度</w:t>
            </w:r>
            <w:r>
              <w:t>/℃</w:t>
            </w:r>
          </w:p>
        </w:tc>
        <w:tc>
          <w:tcPr>
            <w:tcW w:w="1223" w:type="pct"/>
            <w:vAlign w:val="center"/>
          </w:tcPr>
          <w:p w14:paraId="5C3D2AA4" w14:textId="77777777" w:rsidR="002E474C" w:rsidRDefault="00000000">
            <w:pPr>
              <w:pStyle w:val="A-"/>
            </w:pPr>
            <w:r>
              <w:t>46.66</w:t>
            </w:r>
          </w:p>
        </w:tc>
      </w:tr>
      <w:tr w:rsidR="002E474C" w14:paraId="361D8B62" w14:textId="77777777">
        <w:tc>
          <w:tcPr>
            <w:tcW w:w="3777" w:type="pct"/>
            <w:gridSpan w:val="2"/>
            <w:vAlign w:val="center"/>
          </w:tcPr>
          <w:p w14:paraId="740D3DF3" w14:textId="77777777" w:rsidR="002E474C" w:rsidRDefault="00000000">
            <w:pPr>
              <w:pStyle w:val="A-"/>
            </w:pPr>
            <w:r>
              <w:t>最低环境温度</w:t>
            </w:r>
            <w:r>
              <w:t>/℃</w:t>
            </w:r>
          </w:p>
        </w:tc>
        <w:tc>
          <w:tcPr>
            <w:tcW w:w="1223" w:type="pct"/>
            <w:vAlign w:val="center"/>
          </w:tcPr>
          <w:p w14:paraId="3B0E7EA6" w14:textId="77777777" w:rsidR="002E474C" w:rsidRDefault="00000000">
            <w:pPr>
              <w:pStyle w:val="A-"/>
            </w:pPr>
            <w:r>
              <w:t>-14.28</w:t>
            </w:r>
          </w:p>
        </w:tc>
      </w:tr>
      <w:tr w:rsidR="002E474C" w14:paraId="3A13A2BD" w14:textId="77777777">
        <w:tc>
          <w:tcPr>
            <w:tcW w:w="3777" w:type="pct"/>
            <w:gridSpan w:val="2"/>
            <w:vAlign w:val="center"/>
          </w:tcPr>
          <w:p w14:paraId="267909B7" w14:textId="77777777" w:rsidR="002E474C" w:rsidRDefault="00000000">
            <w:pPr>
              <w:pStyle w:val="A-"/>
            </w:pPr>
            <w:r>
              <w:t>土地利用类型</w:t>
            </w:r>
          </w:p>
        </w:tc>
        <w:tc>
          <w:tcPr>
            <w:tcW w:w="1223" w:type="pct"/>
            <w:vAlign w:val="center"/>
          </w:tcPr>
          <w:p w14:paraId="0C768687" w14:textId="77777777" w:rsidR="002E474C" w:rsidRDefault="00000000">
            <w:pPr>
              <w:pStyle w:val="A-"/>
            </w:pPr>
            <w:r>
              <w:t>沙漠化荒地</w:t>
            </w:r>
          </w:p>
        </w:tc>
      </w:tr>
      <w:tr w:rsidR="002E474C" w14:paraId="1A343308" w14:textId="77777777">
        <w:tc>
          <w:tcPr>
            <w:tcW w:w="3777" w:type="pct"/>
            <w:gridSpan w:val="2"/>
            <w:vAlign w:val="center"/>
          </w:tcPr>
          <w:p w14:paraId="1E570142" w14:textId="77777777" w:rsidR="002E474C" w:rsidRDefault="00000000">
            <w:pPr>
              <w:pStyle w:val="A-"/>
            </w:pPr>
            <w:r>
              <w:t>区域湿度条件</w:t>
            </w:r>
          </w:p>
        </w:tc>
        <w:tc>
          <w:tcPr>
            <w:tcW w:w="1223" w:type="pct"/>
            <w:vAlign w:val="center"/>
          </w:tcPr>
          <w:p w14:paraId="0AD7F73A" w14:textId="77777777" w:rsidR="002E474C" w:rsidRDefault="00000000">
            <w:pPr>
              <w:pStyle w:val="A-"/>
            </w:pPr>
            <w:r>
              <w:t>干燥</w:t>
            </w:r>
          </w:p>
        </w:tc>
      </w:tr>
      <w:tr w:rsidR="002E474C" w14:paraId="106E1FF0" w14:textId="77777777">
        <w:tc>
          <w:tcPr>
            <w:tcW w:w="1700" w:type="pct"/>
            <w:vMerge w:val="restart"/>
            <w:vAlign w:val="center"/>
          </w:tcPr>
          <w:p w14:paraId="5F966DE8" w14:textId="77777777" w:rsidR="002E474C" w:rsidRDefault="00000000">
            <w:pPr>
              <w:pStyle w:val="A-"/>
            </w:pPr>
            <w:r>
              <w:t>是否考虑地形</w:t>
            </w:r>
          </w:p>
        </w:tc>
        <w:tc>
          <w:tcPr>
            <w:tcW w:w="2077" w:type="pct"/>
            <w:vAlign w:val="center"/>
          </w:tcPr>
          <w:p w14:paraId="2903395F" w14:textId="77777777" w:rsidR="002E474C" w:rsidRDefault="00000000">
            <w:pPr>
              <w:pStyle w:val="A-"/>
            </w:pPr>
            <w:r>
              <w:t>考虑地形</w:t>
            </w:r>
          </w:p>
        </w:tc>
        <w:tc>
          <w:tcPr>
            <w:tcW w:w="1223" w:type="pct"/>
            <w:vAlign w:val="center"/>
          </w:tcPr>
          <w:p w14:paraId="7BBCAE0D" w14:textId="77777777" w:rsidR="002E474C" w:rsidRDefault="00000000">
            <w:pPr>
              <w:pStyle w:val="A-"/>
            </w:pPr>
            <w:r>
              <w:t></w:t>
            </w:r>
            <w:r>
              <w:rPr>
                <w:spacing w:val="-10"/>
                <w:szCs w:val="22"/>
              </w:rPr>
              <w:sym w:font="Wingdings 2" w:char="0052"/>
            </w:r>
            <w:r>
              <w:t>是</w:t>
            </w:r>
            <w:r>
              <w:t xml:space="preserve">  □</w:t>
            </w:r>
            <w:r>
              <w:t>否</w:t>
            </w:r>
          </w:p>
        </w:tc>
      </w:tr>
      <w:tr w:rsidR="002E474C" w14:paraId="10C82EDB" w14:textId="77777777">
        <w:tc>
          <w:tcPr>
            <w:tcW w:w="1700" w:type="pct"/>
            <w:vMerge/>
            <w:vAlign w:val="center"/>
          </w:tcPr>
          <w:p w14:paraId="6BCBED5C" w14:textId="77777777" w:rsidR="002E474C" w:rsidRDefault="002E474C">
            <w:pPr>
              <w:pStyle w:val="A-"/>
            </w:pPr>
          </w:p>
        </w:tc>
        <w:tc>
          <w:tcPr>
            <w:tcW w:w="2077" w:type="pct"/>
            <w:vAlign w:val="center"/>
          </w:tcPr>
          <w:p w14:paraId="095DE4F3" w14:textId="77777777" w:rsidR="002E474C" w:rsidRDefault="00000000">
            <w:pPr>
              <w:pStyle w:val="A-"/>
            </w:pPr>
            <w:r>
              <w:t>地形数据分辨率</w:t>
            </w:r>
          </w:p>
        </w:tc>
        <w:tc>
          <w:tcPr>
            <w:tcW w:w="1223" w:type="pct"/>
            <w:vAlign w:val="center"/>
          </w:tcPr>
          <w:p w14:paraId="722501EF" w14:textId="77777777" w:rsidR="002E474C" w:rsidRDefault="00000000">
            <w:pPr>
              <w:pStyle w:val="A-"/>
            </w:pPr>
            <w:r>
              <w:t>90</w:t>
            </w:r>
          </w:p>
        </w:tc>
      </w:tr>
      <w:tr w:rsidR="002E474C" w14:paraId="1A2894E1" w14:textId="77777777">
        <w:tc>
          <w:tcPr>
            <w:tcW w:w="1700" w:type="pct"/>
            <w:vMerge w:val="restart"/>
            <w:vAlign w:val="center"/>
          </w:tcPr>
          <w:p w14:paraId="6ABA32F1" w14:textId="77777777" w:rsidR="002E474C" w:rsidRDefault="00000000">
            <w:pPr>
              <w:pStyle w:val="A-"/>
            </w:pPr>
            <w:r>
              <w:t>是否考虑岸线熏烟</w:t>
            </w:r>
          </w:p>
        </w:tc>
        <w:tc>
          <w:tcPr>
            <w:tcW w:w="2077" w:type="pct"/>
            <w:vAlign w:val="center"/>
          </w:tcPr>
          <w:p w14:paraId="044127EA" w14:textId="77777777" w:rsidR="002E474C" w:rsidRDefault="00000000">
            <w:pPr>
              <w:pStyle w:val="A-"/>
            </w:pPr>
            <w:r>
              <w:t>考虑岸线熏烟</w:t>
            </w:r>
          </w:p>
        </w:tc>
        <w:tc>
          <w:tcPr>
            <w:tcW w:w="1223" w:type="pct"/>
            <w:vAlign w:val="center"/>
          </w:tcPr>
          <w:p w14:paraId="52A4DFBF" w14:textId="77777777" w:rsidR="002E474C" w:rsidRDefault="00000000">
            <w:pPr>
              <w:pStyle w:val="A-"/>
            </w:pPr>
            <w:r>
              <w:t>□</w:t>
            </w:r>
            <w:r>
              <w:t>是</w:t>
            </w:r>
            <w:r>
              <w:t xml:space="preserve">  </w:t>
            </w:r>
            <w:r>
              <w:rPr>
                <w:spacing w:val="-10"/>
                <w:szCs w:val="22"/>
              </w:rPr>
              <w:sym w:font="Wingdings 2" w:char="0052"/>
            </w:r>
            <w:r>
              <w:t>否</w:t>
            </w:r>
          </w:p>
        </w:tc>
      </w:tr>
      <w:tr w:rsidR="002E474C" w14:paraId="5E51D873" w14:textId="77777777">
        <w:tc>
          <w:tcPr>
            <w:tcW w:w="1700" w:type="pct"/>
            <w:vMerge/>
            <w:vAlign w:val="center"/>
          </w:tcPr>
          <w:p w14:paraId="21E44432" w14:textId="77777777" w:rsidR="002E474C" w:rsidRDefault="002E474C">
            <w:pPr>
              <w:pStyle w:val="A-"/>
            </w:pPr>
          </w:p>
        </w:tc>
        <w:tc>
          <w:tcPr>
            <w:tcW w:w="2077" w:type="pct"/>
            <w:vAlign w:val="center"/>
          </w:tcPr>
          <w:p w14:paraId="4D18FE71" w14:textId="77777777" w:rsidR="002E474C" w:rsidRDefault="00000000">
            <w:pPr>
              <w:pStyle w:val="A-"/>
            </w:pPr>
            <w:r>
              <w:t>岸线距离</w:t>
            </w:r>
            <w:r>
              <w:t>/m</w:t>
            </w:r>
          </w:p>
        </w:tc>
        <w:tc>
          <w:tcPr>
            <w:tcW w:w="1223" w:type="pct"/>
            <w:vAlign w:val="center"/>
          </w:tcPr>
          <w:p w14:paraId="52E60B71" w14:textId="77777777" w:rsidR="002E474C" w:rsidRDefault="00000000">
            <w:pPr>
              <w:pStyle w:val="A-"/>
            </w:pPr>
            <w:r>
              <w:t>/</w:t>
            </w:r>
          </w:p>
        </w:tc>
      </w:tr>
      <w:tr w:rsidR="002E474C" w14:paraId="0FDF2864" w14:textId="77777777">
        <w:tc>
          <w:tcPr>
            <w:tcW w:w="1700" w:type="pct"/>
            <w:vMerge/>
            <w:vAlign w:val="center"/>
          </w:tcPr>
          <w:p w14:paraId="04E98AEC" w14:textId="77777777" w:rsidR="002E474C" w:rsidRDefault="002E474C">
            <w:pPr>
              <w:pStyle w:val="A-"/>
            </w:pPr>
          </w:p>
        </w:tc>
        <w:tc>
          <w:tcPr>
            <w:tcW w:w="2077" w:type="pct"/>
            <w:vAlign w:val="center"/>
          </w:tcPr>
          <w:p w14:paraId="0E833CBB" w14:textId="77777777" w:rsidR="002E474C" w:rsidRDefault="00000000">
            <w:pPr>
              <w:pStyle w:val="A-"/>
            </w:pPr>
            <w:r>
              <w:t>岸线方向</w:t>
            </w:r>
            <w:r>
              <w:t>/°</w:t>
            </w:r>
          </w:p>
        </w:tc>
        <w:tc>
          <w:tcPr>
            <w:tcW w:w="1223" w:type="pct"/>
            <w:vAlign w:val="center"/>
          </w:tcPr>
          <w:p w14:paraId="5BBD7FDD" w14:textId="77777777" w:rsidR="002E474C" w:rsidRDefault="00000000">
            <w:pPr>
              <w:pStyle w:val="A-"/>
            </w:pPr>
            <w:r>
              <w:t>/</w:t>
            </w:r>
          </w:p>
        </w:tc>
      </w:tr>
    </w:tbl>
    <w:p w14:paraId="7F1D3567" w14:textId="77777777" w:rsidR="002E474C" w:rsidRDefault="002E474C"/>
    <w:p w14:paraId="1E96AFA6" w14:textId="77777777" w:rsidR="002E474C" w:rsidRDefault="00000000">
      <w:pPr>
        <w:pStyle w:val="A-z"/>
        <w:rPr>
          <w:color w:val="auto"/>
        </w:rPr>
      </w:pPr>
      <w:r>
        <w:rPr>
          <w:color w:val="auto"/>
        </w:rPr>
        <w:t>（</w:t>
      </w:r>
      <w:r>
        <w:rPr>
          <w:color w:val="auto"/>
        </w:rPr>
        <w:t>3</w:t>
      </w:r>
      <w:r>
        <w:rPr>
          <w:color w:val="auto"/>
        </w:rPr>
        <w:t>）污染源参数</w:t>
      </w:r>
    </w:p>
    <w:p w14:paraId="15DD3744" w14:textId="77777777" w:rsidR="002E474C" w:rsidRDefault="00000000">
      <w:pPr>
        <w:pStyle w:val="A-z"/>
        <w:rPr>
          <w:color w:val="auto"/>
        </w:rPr>
      </w:pPr>
      <w:r>
        <w:rPr>
          <w:color w:val="auto"/>
        </w:rPr>
        <w:t>本项目估算模型采用满负荷运行条件下排放强度及对应的污染源参数，具体见表</w:t>
      </w:r>
      <w:r>
        <w:rPr>
          <w:color w:val="auto"/>
        </w:rPr>
        <w:t>2.5</w:t>
      </w:r>
      <w:r>
        <w:rPr>
          <w:color w:val="auto"/>
        </w:rPr>
        <w:noBreakHyphen/>
        <w:t>3</w:t>
      </w:r>
      <w:r>
        <w:rPr>
          <w:color w:val="auto"/>
        </w:rPr>
        <w:t>和表</w:t>
      </w:r>
      <w:r>
        <w:rPr>
          <w:color w:val="auto"/>
        </w:rPr>
        <w:t>2.5</w:t>
      </w:r>
      <w:r>
        <w:rPr>
          <w:color w:val="auto"/>
        </w:rPr>
        <w:noBreakHyphen/>
        <w:t>4</w:t>
      </w:r>
      <w:r>
        <w:rPr>
          <w:color w:val="auto"/>
        </w:rPr>
        <w:t>。</w:t>
      </w:r>
    </w:p>
    <w:p w14:paraId="629DFBE0" w14:textId="77777777" w:rsidR="002E474C" w:rsidRDefault="00000000">
      <w:pPr>
        <w:pStyle w:val="A-z"/>
        <w:rPr>
          <w:color w:val="auto"/>
        </w:rPr>
      </w:pPr>
      <w:r>
        <w:rPr>
          <w:color w:val="auto"/>
        </w:rPr>
        <w:t>（</w:t>
      </w:r>
      <w:r>
        <w:rPr>
          <w:color w:val="auto"/>
        </w:rPr>
        <w:t>4</w:t>
      </w:r>
      <w:r>
        <w:rPr>
          <w:color w:val="auto"/>
        </w:rPr>
        <w:t>）估算模型计算结果</w:t>
      </w:r>
    </w:p>
    <w:p w14:paraId="61D4A7D9" w14:textId="77777777" w:rsidR="002E474C" w:rsidRDefault="00000000">
      <w:pPr>
        <w:pStyle w:val="A-z"/>
        <w:rPr>
          <w:color w:val="auto"/>
        </w:rPr>
      </w:pPr>
      <w:r>
        <w:rPr>
          <w:color w:val="auto"/>
        </w:rPr>
        <w:t>采用</w:t>
      </w:r>
      <w:r>
        <w:rPr>
          <w:color w:val="auto"/>
          <w:lang w:val="en-US"/>
        </w:rPr>
        <w:t>《环境影响评价技术导则</w:t>
      </w:r>
      <w:r>
        <w:rPr>
          <w:color w:val="auto"/>
          <w:lang w:val="en-US"/>
        </w:rPr>
        <w:t xml:space="preserve"> </w:t>
      </w:r>
      <w:r>
        <w:rPr>
          <w:color w:val="auto"/>
          <w:lang w:val="en-US"/>
        </w:rPr>
        <w:t>大气环境》（</w:t>
      </w:r>
      <w:r>
        <w:rPr>
          <w:color w:val="auto"/>
          <w:lang w:val="en-US"/>
        </w:rPr>
        <w:t>HJ 2.2-2018</w:t>
      </w:r>
      <w:r>
        <w:rPr>
          <w:color w:val="auto"/>
          <w:lang w:val="en-US"/>
        </w:rPr>
        <w:t>）</w:t>
      </w:r>
      <w:r>
        <w:rPr>
          <w:color w:val="auto"/>
        </w:rPr>
        <w:t>推荐的估算模型对项目废气进行估算，各污染物估算结果最大地面浓度占标率</w:t>
      </w:r>
      <w:r>
        <w:rPr>
          <w:color w:val="auto"/>
        </w:rPr>
        <w:t>Pmax</w:t>
      </w:r>
      <w:r>
        <w:rPr>
          <w:color w:val="auto"/>
        </w:rPr>
        <w:t>计算结果见表</w:t>
      </w:r>
      <w:r>
        <w:rPr>
          <w:color w:val="auto"/>
        </w:rPr>
        <w:t>2.5</w:t>
      </w:r>
      <w:r>
        <w:rPr>
          <w:color w:val="auto"/>
        </w:rPr>
        <w:noBreakHyphen/>
        <w:t>5</w:t>
      </w:r>
      <w:r>
        <w:rPr>
          <w:color w:val="auto"/>
        </w:rPr>
        <w:t>。</w:t>
      </w:r>
    </w:p>
    <w:p w14:paraId="36382A1E" w14:textId="77777777" w:rsidR="002E474C" w:rsidRDefault="00000000">
      <w:pPr>
        <w:pStyle w:val="A-z"/>
        <w:rPr>
          <w:color w:val="auto"/>
        </w:rPr>
      </w:pPr>
      <w:r>
        <w:rPr>
          <w:color w:val="auto"/>
        </w:rPr>
        <w:t>根据</w:t>
      </w:r>
      <w:r>
        <w:rPr>
          <w:color w:val="auto"/>
          <w:lang w:val="en-US"/>
        </w:rPr>
        <w:t>AERSCREEN</w:t>
      </w:r>
      <w:r>
        <w:rPr>
          <w:color w:val="auto"/>
        </w:rPr>
        <w:t>模式估算结果，项目排放的废气中污染物最大地面空气质量浓度占标率为</w:t>
      </w:r>
      <w:r>
        <w:rPr>
          <w:color w:val="auto"/>
        </w:rPr>
        <w:t>65.19%</w:t>
      </w:r>
      <w:r>
        <w:rPr>
          <w:color w:val="auto"/>
        </w:rPr>
        <w:t>（窑尾烟气的六价铬）；项目排放污染物的最远影响距离（</w:t>
      </w:r>
      <w:r>
        <w:rPr>
          <w:color w:val="auto"/>
        </w:rPr>
        <w:t>D</w:t>
      </w:r>
      <w:r>
        <w:rPr>
          <w:color w:val="auto"/>
          <w:vertAlign w:val="subscript"/>
        </w:rPr>
        <w:t>10%</w:t>
      </w:r>
      <w:r>
        <w:rPr>
          <w:color w:val="auto"/>
        </w:rPr>
        <w:t>）为</w:t>
      </w:r>
      <w:r>
        <w:rPr>
          <w:color w:val="auto"/>
        </w:rPr>
        <w:t>13000m</w:t>
      </w:r>
      <w:r>
        <w:rPr>
          <w:color w:val="auto"/>
        </w:rPr>
        <w:t>（窑尾烟气的六价铬）。</w:t>
      </w:r>
    </w:p>
    <w:p w14:paraId="23B48529" w14:textId="77777777" w:rsidR="002E474C" w:rsidRDefault="00000000">
      <w:pPr>
        <w:pStyle w:val="A-z"/>
        <w:rPr>
          <w:color w:val="auto"/>
        </w:rPr>
      </w:pPr>
      <w:r>
        <w:rPr>
          <w:color w:val="auto"/>
        </w:rPr>
        <w:t>本项目运营期间排放的主要大气污染物中最大地面空气质量浓度占标率（</w:t>
      </w:r>
      <w:r>
        <w:rPr>
          <w:color w:val="auto"/>
        </w:rPr>
        <w:t>Pi</w:t>
      </w:r>
      <w:r>
        <w:rPr>
          <w:color w:val="auto"/>
        </w:rPr>
        <w:t>）为</w:t>
      </w:r>
      <w:r>
        <w:rPr>
          <w:color w:val="auto"/>
        </w:rPr>
        <w:t>65.19%</w:t>
      </w:r>
      <w:r>
        <w:rPr>
          <w:color w:val="auto"/>
        </w:rPr>
        <w:t>＞</w:t>
      </w:r>
      <w:r>
        <w:rPr>
          <w:color w:val="auto"/>
        </w:rPr>
        <w:t>10%</w:t>
      </w:r>
      <w:r>
        <w:rPr>
          <w:color w:val="auto"/>
        </w:rPr>
        <w:t>，根据《环境影响评价技术导则</w:t>
      </w:r>
      <w:r>
        <w:rPr>
          <w:color w:val="auto"/>
          <w:lang w:val="en-US"/>
        </w:rPr>
        <w:t xml:space="preserve"> </w:t>
      </w:r>
      <w:r>
        <w:rPr>
          <w:color w:val="auto"/>
        </w:rPr>
        <w:t>大气环境》（</w:t>
      </w:r>
      <w:r>
        <w:rPr>
          <w:color w:val="auto"/>
        </w:rPr>
        <w:t>HJ 2.2-2018</w:t>
      </w:r>
      <w:r>
        <w:rPr>
          <w:color w:val="auto"/>
        </w:rPr>
        <w:t>）中的工作等级分级判据，确定本项目大气环境影响评价工作等级为一级。</w:t>
      </w:r>
    </w:p>
    <w:p w14:paraId="49AB73C2" w14:textId="77777777" w:rsidR="002E474C" w:rsidRDefault="00000000">
      <w:pPr>
        <w:pStyle w:val="A-z"/>
        <w:rPr>
          <w:color w:val="auto"/>
        </w:rPr>
      </w:pPr>
      <w:r>
        <w:rPr>
          <w:color w:val="auto"/>
        </w:rPr>
        <w:t>根据</w:t>
      </w:r>
      <w:r>
        <w:rPr>
          <w:color w:val="auto"/>
          <w:lang w:val="en-US"/>
        </w:rPr>
        <w:t>《环境影响评价技术导则</w:t>
      </w:r>
      <w:r>
        <w:rPr>
          <w:color w:val="auto"/>
          <w:lang w:val="en-US"/>
        </w:rPr>
        <w:t xml:space="preserve"> </w:t>
      </w:r>
      <w:r>
        <w:rPr>
          <w:color w:val="auto"/>
          <w:lang w:val="en-US"/>
        </w:rPr>
        <w:t>大气环境》（</w:t>
      </w:r>
      <w:r>
        <w:rPr>
          <w:color w:val="auto"/>
          <w:lang w:val="en-US"/>
        </w:rPr>
        <w:t>HJ 2.2-2018</w:t>
      </w:r>
      <w:r>
        <w:rPr>
          <w:color w:val="auto"/>
          <w:lang w:val="en-US"/>
        </w:rPr>
        <w:t>），以项目厂址为中心区域，自厂界外延</w:t>
      </w:r>
      <w:r>
        <w:rPr>
          <w:color w:val="auto"/>
          <w:lang w:val="en-US"/>
        </w:rPr>
        <w:t>D</w:t>
      </w:r>
      <w:r>
        <w:rPr>
          <w:color w:val="auto"/>
          <w:vertAlign w:val="subscript"/>
          <w:lang w:val="en-US"/>
        </w:rPr>
        <w:t>10%</w:t>
      </w:r>
      <w:r>
        <w:rPr>
          <w:color w:val="auto"/>
          <w:lang w:val="en-US"/>
        </w:rPr>
        <w:t>的矩形区域</w:t>
      </w:r>
      <w:r>
        <w:rPr>
          <w:color w:val="auto"/>
        </w:rPr>
        <w:t>大气评价范围。本项目大气评价范围是</w:t>
      </w:r>
      <w:r>
        <w:rPr>
          <w:color w:val="auto"/>
          <w:lang w:val="en-US"/>
        </w:rPr>
        <w:t>以厂址为中心，厂界外延</w:t>
      </w:r>
      <w:r>
        <w:rPr>
          <w:color w:val="auto"/>
          <w:lang w:val="en-US"/>
        </w:rPr>
        <w:t>13km</w:t>
      </w:r>
      <w:r>
        <w:rPr>
          <w:color w:val="auto"/>
          <w:lang w:val="en-US"/>
        </w:rPr>
        <w:t>的</w:t>
      </w:r>
      <w:r>
        <w:rPr>
          <w:color w:val="auto"/>
          <w:lang w:val="en-US"/>
        </w:rPr>
        <w:t>27km×26.5km</w:t>
      </w:r>
      <w:r>
        <w:rPr>
          <w:color w:val="auto"/>
          <w:lang w:val="en-US"/>
        </w:rPr>
        <w:t>矩形区域。</w:t>
      </w:r>
    </w:p>
    <w:p w14:paraId="5184AEE5" w14:textId="77777777" w:rsidR="002E474C" w:rsidRDefault="002E474C">
      <w:pPr>
        <w:pStyle w:val="A-z"/>
        <w:rPr>
          <w:color w:val="auto"/>
        </w:rPr>
        <w:sectPr w:rsidR="002E474C">
          <w:headerReference w:type="default" r:id="rId21"/>
          <w:pgSz w:w="11906" w:h="16838"/>
          <w:pgMar w:top="1440" w:right="1689" w:bottom="1440" w:left="1689" w:header="851" w:footer="992" w:gutter="0"/>
          <w:cols w:space="720"/>
          <w:docGrid w:linePitch="312"/>
        </w:sectPr>
      </w:pPr>
    </w:p>
    <w:p w14:paraId="6A3663BA" w14:textId="77777777" w:rsidR="002E474C" w:rsidRDefault="00000000">
      <w:pPr>
        <w:pStyle w:val="A--"/>
        <w:rPr>
          <w:color w:val="auto"/>
        </w:rPr>
      </w:pPr>
      <w:bookmarkStart w:id="83" w:name="_Ref149579844"/>
      <w:r>
        <w:rPr>
          <w:color w:val="auto"/>
        </w:rPr>
        <w:lastRenderedPageBreak/>
        <w:t>表</w:t>
      </w:r>
      <w:r>
        <w:rPr>
          <w:color w:val="auto"/>
        </w:rPr>
        <w:t>2.5</w:t>
      </w:r>
      <w:r>
        <w:rPr>
          <w:color w:val="auto"/>
        </w:rPr>
        <w:noBreakHyphen/>
        <w:t>3</w:t>
      </w:r>
      <w:bookmarkEnd w:id="83"/>
      <w:r>
        <w:rPr>
          <w:color w:val="auto"/>
        </w:rPr>
        <w:t xml:space="preserve">  </w:t>
      </w:r>
      <w:r>
        <w:rPr>
          <w:color w:val="auto"/>
        </w:rPr>
        <w:t>本项目点源估算模型参数表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93"/>
        <w:gridCol w:w="541"/>
        <w:gridCol w:w="453"/>
        <w:gridCol w:w="482"/>
        <w:gridCol w:w="400"/>
        <w:gridCol w:w="438"/>
        <w:gridCol w:w="472"/>
        <w:gridCol w:w="482"/>
        <w:gridCol w:w="572"/>
        <w:gridCol w:w="392"/>
        <w:gridCol w:w="550"/>
        <w:gridCol w:w="484"/>
        <w:gridCol w:w="648"/>
        <w:gridCol w:w="601"/>
        <w:gridCol w:w="648"/>
        <w:gridCol w:w="730"/>
        <w:gridCol w:w="730"/>
        <w:gridCol w:w="648"/>
        <w:gridCol w:w="648"/>
        <w:gridCol w:w="648"/>
        <w:gridCol w:w="616"/>
        <w:gridCol w:w="616"/>
        <w:gridCol w:w="646"/>
      </w:tblGrid>
      <w:tr w:rsidR="002E474C" w14:paraId="311FC245" w14:textId="77777777">
        <w:tc>
          <w:tcPr>
            <w:tcW w:w="147" w:type="pct"/>
            <w:vMerge w:val="restart"/>
          </w:tcPr>
          <w:p w14:paraId="439CBCEC" w14:textId="77777777" w:rsidR="002E474C" w:rsidRDefault="00000000">
            <w:pPr>
              <w:pStyle w:val="A-"/>
            </w:pPr>
            <w:r>
              <w:t>编号</w:t>
            </w:r>
          </w:p>
        </w:tc>
        <w:tc>
          <w:tcPr>
            <w:tcW w:w="148" w:type="pct"/>
            <w:vMerge w:val="restart"/>
          </w:tcPr>
          <w:p w14:paraId="6F088837" w14:textId="77777777" w:rsidR="002E474C" w:rsidRDefault="00000000">
            <w:pPr>
              <w:pStyle w:val="A-"/>
            </w:pPr>
            <w:r>
              <w:t>名称</w:t>
            </w:r>
          </w:p>
        </w:tc>
        <w:tc>
          <w:tcPr>
            <w:tcW w:w="375" w:type="pct"/>
            <w:gridSpan w:val="2"/>
          </w:tcPr>
          <w:p w14:paraId="355EA80F" w14:textId="77777777" w:rsidR="002E474C" w:rsidRDefault="00000000">
            <w:pPr>
              <w:pStyle w:val="A-"/>
            </w:pPr>
            <w:r>
              <w:t>排气筒底部中心坐标</w:t>
            </w:r>
            <w:r>
              <w:t>/m</w:t>
            </w:r>
          </w:p>
        </w:tc>
        <w:tc>
          <w:tcPr>
            <w:tcW w:w="182" w:type="pct"/>
            <w:vMerge w:val="restart"/>
          </w:tcPr>
          <w:p w14:paraId="0B620784" w14:textId="77777777" w:rsidR="002E474C" w:rsidRDefault="00000000">
            <w:pPr>
              <w:pStyle w:val="A-"/>
            </w:pPr>
            <w:r>
              <w:t>排气筒底部海拔高度</w:t>
            </w:r>
            <w:r>
              <w:t>/m</w:t>
            </w:r>
          </w:p>
        </w:tc>
        <w:tc>
          <w:tcPr>
            <w:tcW w:w="151" w:type="pct"/>
            <w:vMerge w:val="restart"/>
          </w:tcPr>
          <w:p w14:paraId="4AC7120B" w14:textId="77777777" w:rsidR="002E474C" w:rsidRDefault="00000000">
            <w:pPr>
              <w:pStyle w:val="A-"/>
            </w:pPr>
            <w:r>
              <w:t>排气筒高度</w:t>
            </w:r>
            <w:r>
              <w:t>/m</w:t>
            </w:r>
          </w:p>
        </w:tc>
        <w:tc>
          <w:tcPr>
            <w:tcW w:w="165" w:type="pct"/>
            <w:vMerge w:val="restart"/>
          </w:tcPr>
          <w:p w14:paraId="520C0796" w14:textId="77777777" w:rsidR="002E474C" w:rsidRDefault="00000000">
            <w:pPr>
              <w:pStyle w:val="A-"/>
            </w:pPr>
            <w:r>
              <w:t>排气筒出口内径</w:t>
            </w:r>
            <w:r>
              <w:t>/m</w:t>
            </w:r>
          </w:p>
        </w:tc>
        <w:tc>
          <w:tcPr>
            <w:tcW w:w="178" w:type="pct"/>
            <w:vMerge w:val="restart"/>
          </w:tcPr>
          <w:p w14:paraId="328BEC4C" w14:textId="77777777" w:rsidR="002E474C" w:rsidRDefault="00000000">
            <w:pPr>
              <w:pStyle w:val="A-"/>
            </w:pPr>
            <w:r>
              <w:t>烟气流速</w:t>
            </w:r>
            <w:r>
              <w:t>/</w:t>
            </w:r>
          </w:p>
          <w:p w14:paraId="3CF4DB2E" w14:textId="77777777" w:rsidR="002E474C" w:rsidRDefault="00000000">
            <w:pPr>
              <w:pStyle w:val="A-"/>
            </w:pPr>
            <w:r>
              <w:t>m/s</w:t>
            </w:r>
          </w:p>
        </w:tc>
        <w:tc>
          <w:tcPr>
            <w:tcW w:w="182" w:type="pct"/>
            <w:vMerge w:val="restart"/>
          </w:tcPr>
          <w:p w14:paraId="188936B3" w14:textId="77777777" w:rsidR="002E474C" w:rsidRDefault="00000000">
            <w:pPr>
              <w:pStyle w:val="A-"/>
            </w:pPr>
            <w:r>
              <w:t>烟气温度</w:t>
            </w:r>
            <w:r>
              <w:t>/℃</w:t>
            </w:r>
          </w:p>
        </w:tc>
        <w:tc>
          <w:tcPr>
            <w:tcW w:w="216" w:type="pct"/>
            <w:vMerge w:val="restart"/>
          </w:tcPr>
          <w:p w14:paraId="63043356" w14:textId="77777777" w:rsidR="002E474C" w:rsidRDefault="00000000">
            <w:pPr>
              <w:pStyle w:val="A-"/>
            </w:pPr>
            <w:r>
              <w:t>年排放小时数</w:t>
            </w:r>
            <w:r>
              <w:t>/h</w:t>
            </w:r>
          </w:p>
        </w:tc>
        <w:tc>
          <w:tcPr>
            <w:tcW w:w="148" w:type="pct"/>
            <w:vMerge w:val="restart"/>
          </w:tcPr>
          <w:p w14:paraId="333260EE" w14:textId="77777777" w:rsidR="002E474C" w:rsidRDefault="00000000">
            <w:pPr>
              <w:pStyle w:val="A-"/>
            </w:pPr>
            <w:r>
              <w:t>排放工况</w:t>
            </w:r>
          </w:p>
        </w:tc>
        <w:tc>
          <w:tcPr>
            <w:tcW w:w="3105" w:type="pct"/>
            <w:gridSpan w:val="13"/>
          </w:tcPr>
          <w:p w14:paraId="2EBD5983" w14:textId="77777777" w:rsidR="002E474C" w:rsidRDefault="00000000">
            <w:pPr>
              <w:pStyle w:val="A-"/>
            </w:pPr>
            <w:r>
              <w:t>污染物排放速率</w:t>
            </w:r>
            <w:r>
              <w:t>/</w:t>
            </w:r>
            <w:r>
              <w:t>（</w:t>
            </w:r>
            <w:r>
              <w:t>kg/h</w:t>
            </w:r>
            <w:r>
              <w:t>）</w:t>
            </w:r>
          </w:p>
        </w:tc>
      </w:tr>
      <w:tr w:rsidR="002E474C" w14:paraId="13961167" w14:textId="77777777">
        <w:tc>
          <w:tcPr>
            <w:tcW w:w="147" w:type="pct"/>
            <w:vMerge/>
          </w:tcPr>
          <w:p w14:paraId="2A6C9614" w14:textId="77777777" w:rsidR="002E474C" w:rsidRDefault="002E474C">
            <w:pPr>
              <w:pStyle w:val="A-"/>
            </w:pPr>
          </w:p>
        </w:tc>
        <w:tc>
          <w:tcPr>
            <w:tcW w:w="148" w:type="pct"/>
            <w:vMerge/>
          </w:tcPr>
          <w:p w14:paraId="22C63BE8" w14:textId="77777777" w:rsidR="002E474C" w:rsidRDefault="002E474C">
            <w:pPr>
              <w:pStyle w:val="A-"/>
            </w:pPr>
          </w:p>
        </w:tc>
        <w:tc>
          <w:tcPr>
            <w:tcW w:w="204" w:type="pct"/>
          </w:tcPr>
          <w:p w14:paraId="29F5076D" w14:textId="77777777" w:rsidR="002E474C" w:rsidRDefault="00000000">
            <w:pPr>
              <w:pStyle w:val="A-"/>
            </w:pPr>
            <w:r>
              <w:t>X</w:t>
            </w:r>
          </w:p>
        </w:tc>
        <w:tc>
          <w:tcPr>
            <w:tcW w:w="171" w:type="pct"/>
          </w:tcPr>
          <w:p w14:paraId="382AB9C3" w14:textId="77777777" w:rsidR="002E474C" w:rsidRDefault="00000000">
            <w:pPr>
              <w:pStyle w:val="A-"/>
            </w:pPr>
            <w:r>
              <w:t>Y</w:t>
            </w:r>
          </w:p>
        </w:tc>
        <w:tc>
          <w:tcPr>
            <w:tcW w:w="182" w:type="pct"/>
            <w:vMerge/>
          </w:tcPr>
          <w:p w14:paraId="5A254D86" w14:textId="77777777" w:rsidR="002E474C" w:rsidRDefault="002E474C">
            <w:pPr>
              <w:pStyle w:val="A-"/>
            </w:pPr>
          </w:p>
        </w:tc>
        <w:tc>
          <w:tcPr>
            <w:tcW w:w="151" w:type="pct"/>
            <w:vMerge/>
          </w:tcPr>
          <w:p w14:paraId="641BE5CB" w14:textId="77777777" w:rsidR="002E474C" w:rsidRDefault="002E474C">
            <w:pPr>
              <w:pStyle w:val="A-"/>
            </w:pPr>
          </w:p>
        </w:tc>
        <w:tc>
          <w:tcPr>
            <w:tcW w:w="165" w:type="pct"/>
            <w:vMerge/>
          </w:tcPr>
          <w:p w14:paraId="1D4B8DF7" w14:textId="77777777" w:rsidR="002E474C" w:rsidRDefault="002E474C">
            <w:pPr>
              <w:pStyle w:val="A-"/>
            </w:pPr>
          </w:p>
        </w:tc>
        <w:tc>
          <w:tcPr>
            <w:tcW w:w="178" w:type="pct"/>
            <w:vMerge/>
          </w:tcPr>
          <w:p w14:paraId="769201D0" w14:textId="77777777" w:rsidR="002E474C" w:rsidRDefault="002E474C">
            <w:pPr>
              <w:pStyle w:val="A-"/>
            </w:pPr>
          </w:p>
        </w:tc>
        <w:tc>
          <w:tcPr>
            <w:tcW w:w="182" w:type="pct"/>
            <w:vMerge/>
          </w:tcPr>
          <w:p w14:paraId="5A5C7488" w14:textId="77777777" w:rsidR="002E474C" w:rsidRDefault="002E474C">
            <w:pPr>
              <w:pStyle w:val="A-"/>
            </w:pPr>
          </w:p>
        </w:tc>
        <w:tc>
          <w:tcPr>
            <w:tcW w:w="216" w:type="pct"/>
            <w:vMerge/>
          </w:tcPr>
          <w:p w14:paraId="27EF7BDF" w14:textId="77777777" w:rsidR="002E474C" w:rsidRDefault="002E474C">
            <w:pPr>
              <w:pStyle w:val="A-"/>
            </w:pPr>
          </w:p>
        </w:tc>
        <w:tc>
          <w:tcPr>
            <w:tcW w:w="148" w:type="pct"/>
            <w:vMerge/>
          </w:tcPr>
          <w:p w14:paraId="296FD428" w14:textId="77777777" w:rsidR="002E474C" w:rsidRDefault="002E474C">
            <w:pPr>
              <w:pStyle w:val="A-"/>
            </w:pPr>
          </w:p>
        </w:tc>
        <w:tc>
          <w:tcPr>
            <w:tcW w:w="208" w:type="pct"/>
          </w:tcPr>
          <w:p w14:paraId="422ADA92" w14:textId="77777777" w:rsidR="002E474C" w:rsidRDefault="00000000">
            <w:pPr>
              <w:pStyle w:val="A-"/>
              <w:ind w:leftChars="-25" w:left="-53" w:rightChars="-25" w:right="-53"/>
            </w:pPr>
            <w:r>
              <w:t>HCl</w:t>
            </w:r>
          </w:p>
        </w:tc>
        <w:tc>
          <w:tcPr>
            <w:tcW w:w="183" w:type="pct"/>
          </w:tcPr>
          <w:p w14:paraId="010FFD4B" w14:textId="77777777" w:rsidR="002E474C" w:rsidRDefault="00000000">
            <w:pPr>
              <w:pStyle w:val="A-"/>
              <w:ind w:leftChars="-25" w:left="-53" w:rightChars="-25" w:right="-53"/>
            </w:pPr>
            <w:r>
              <w:t>HF</w:t>
            </w:r>
          </w:p>
        </w:tc>
        <w:tc>
          <w:tcPr>
            <w:tcW w:w="245" w:type="pct"/>
          </w:tcPr>
          <w:p w14:paraId="5D74C916" w14:textId="77777777" w:rsidR="002E474C" w:rsidRDefault="00000000">
            <w:pPr>
              <w:pStyle w:val="A-"/>
            </w:pPr>
            <w:r>
              <w:t>Cr</w:t>
            </w:r>
          </w:p>
        </w:tc>
        <w:tc>
          <w:tcPr>
            <w:tcW w:w="227" w:type="pct"/>
          </w:tcPr>
          <w:p w14:paraId="64533C97" w14:textId="77777777" w:rsidR="002E474C" w:rsidRDefault="00000000">
            <w:pPr>
              <w:pStyle w:val="A-"/>
            </w:pPr>
            <w:r>
              <w:t>Cd</w:t>
            </w:r>
          </w:p>
        </w:tc>
        <w:tc>
          <w:tcPr>
            <w:tcW w:w="245" w:type="pct"/>
          </w:tcPr>
          <w:p w14:paraId="68484BDD" w14:textId="77777777" w:rsidR="002E474C" w:rsidRDefault="00000000">
            <w:pPr>
              <w:pStyle w:val="A-"/>
            </w:pPr>
            <w:r>
              <w:t>Pb</w:t>
            </w:r>
          </w:p>
        </w:tc>
        <w:tc>
          <w:tcPr>
            <w:tcW w:w="276" w:type="pct"/>
          </w:tcPr>
          <w:p w14:paraId="3893436A" w14:textId="77777777" w:rsidR="002E474C" w:rsidRDefault="00000000">
            <w:pPr>
              <w:pStyle w:val="A-"/>
            </w:pPr>
            <w:r>
              <w:t>Mn</w:t>
            </w:r>
          </w:p>
        </w:tc>
        <w:tc>
          <w:tcPr>
            <w:tcW w:w="276" w:type="pct"/>
          </w:tcPr>
          <w:p w14:paraId="048E0317" w14:textId="77777777" w:rsidR="002E474C" w:rsidRDefault="00000000">
            <w:pPr>
              <w:pStyle w:val="A-"/>
            </w:pPr>
            <w:r>
              <w:t>Ni</w:t>
            </w:r>
          </w:p>
        </w:tc>
        <w:tc>
          <w:tcPr>
            <w:tcW w:w="245" w:type="pct"/>
          </w:tcPr>
          <w:p w14:paraId="57194B11" w14:textId="77777777" w:rsidR="002E474C" w:rsidRDefault="00000000">
            <w:pPr>
              <w:pStyle w:val="A-"/>
            </w:pPr>
            <w:r>
              <w:t>As</w:t>
            </w:r>
          </w:p>
        </w:tc>
        <w:tc>
          <w:tcPr>
            <w:tcW w:w="245" w:type="pct"/>
          </w:tcPr>
          <w:p w14:paraId="0061B07C" w14:textId="77777777" w:rsidR="002E474C" w:rsidRDefault="00000000">
            <w:pPr>
              <w:pStyle w:val="A-"/>
            </w:pPr>
            <w:r>
              <w:t>Hg</w:t>
            </w:r>
          </w:p>
        </w:tc>
        <w:tc>
          <w:tcPr>
            <w:tcW w:w="245" w:type="pct"/>
          </w:tcPr>
          <w:p w14:paraId="3EBC2857" w14:textId="77777777" w:rsidR="002E474C" w:rsidRDefault="00000000">
            <w:pPr>
              <w:pStyle w:val="A-"/>
            </w:pPr>
            <w:r>
              <w:t>二噁英类</w:t>
            </w:r>
          </w:p>
        </w:tc>
        <w:tc>
          <w:tcPr>
            <w:tcW w:w="233" w:type="pct"/>
          </w:tcPr>
          <w:p w14:paraId="53645A49" w14:textId="77777777" w:rsidR="002E474C" w:rsidRDefault="00000000">
            <w:pPr>
              <w:pStyle w:val="A-"/>
            </w:pPr>
            <w:r>
              <w:t>H</w:t>
            </w:r>
            <w:r>
              <w:rPr>
                <w:vertAlign w:val="subscript"/>
              </w:rPr>
              <w:t>2</w:t>
            </w:r>
            <w:r>
              <w:t>S</w:t>
            </w:r>
          </w:p>
        </w:tc>
        <w:tc>
          <w:tcPr>
            <w:tcW w:w="233" w:type="pct"/>
          </w:tcPr>
          <w:p w14:paraId="4BE89216" w14:textId="77777777" w:rsidR="002E474C" w:rsidRDefault="00000000">
            <w:pPr>
              <w:pStyle w:val="A-"/>
              <w:ind w:leftChars="-25" w:left="-53" w:rightChars="-25" w:right="-53"/>
            </w:pPr>
            <w:r>
              <w:t>NH</w:t>
            </w:r>
            <w:r>
              <w:rPr>
                <w:vertAlign w:val="subscript"/>
              </w:rPr>
              <w:t>3</w:t>
            </w:r>
          </w:p>
        </w:tc>
        <w:tc>
          <w:tcPr>
            <w:tcW w:w="239" w:type="pct"/>
          </w:tcPr>
          <w:p w14:paraId="34394197" w14:textId="77777777" w:rsidR="002E474C" w:rsidRDefault="00000000">
            <w:pPr>
              <w:pStyle w:val="A-"/>
            </w:pPr>
            <w:r>
              <w:t>非甲烷总烃</w:t>
            </w:r>
          </w:p>
        </w:tc>
      </w:tr>
      <w:tr w:rsidR="002E474C" w14:paraId="2019AA2C" w14:textId="77777777">
        <w:tc>
          <w:tcPr>
            <w:tcW w:w="147" w:type="pct"/>
          </w:tcPr>
          <w:p w14:paraId="7F266432" w14:textId="77777777" w:rsidR="002E474C" w:rsidRDefault="00000000">
            <w:pPr>
              <w:pStyle w:val="A-"/>
            </w:pPr>
            <w:r>
              <w:t>1</w:t>
            </w:r>
          </w:p>
        </w:tc>
        <w:tc>
          <w:tcPr>
            <w:tcW w:w="148" w:type="pct"/>
          </w:tcPr>
          <w:p w14:paraId="7EDED2D0" w14:textId="77777777" w:rsidR="002E474C" w:rsidRDefault="00000000">
            <w:pPr>
              <w:pStyle w:val="A-"/>
            </w:pPr>
            <w:r>
              <w:t>窑尾烟气</w:t>
            </w:r>
          </w:p>
        </w:tc>
        <w:tc>
          <w:tcPr>
            <w:tcW w:w="204" w:type="pct"/>
            <w:shd w:val="clear" w:color="auto" w:fill="auto"/>
          </w:tcPr>
          <w:p w14:paraId="454A711F" w14:textId="77777777" w:rsidR="002E474C" w:rsidRDefault="00000000">
            <w:pPr>
              <w:pStyle w:val="A-"/>
              <w:ind w:leftChars="-25" w:left="-53" w:rightChars="-25" w:right="-53"/>
              <w:rPr>
                <w:spacing w:val="-11"/>
              </w:rPr>
            </w:pPr>
            <w:r>
              <w:rPr>
                <w:spacing w:val="-11"/>
              </w:rPr>
              <w:t>-83</w:t>
            </w:r>
          </w:p>
        </w:tc>
        <w:tc>
          <w:tcPr>
            <w:tcW w:w="171" w:type="pct"/>
            <w:shd w:val="clear" w:color="auto" w:fill="auto"/>
          </w:tcPr>
          <w:p w14:paraId="53E279F8" w14:textId="77777777" w:rsidR="002E474C" w:rsidRDefault="00000000">
            <w:pPr>
              <w:pStyle w:val="A-"/>
              <w:ind w:leftChars="-25" w:left="-53" w:rightChars="-25" w:right="-53"/>
              <w:rPr>
                <w:spacing w:val="-11"/>
              </w:rPr>
            </w:pPr>
            <w:r>
              <w:rPr>
                <w:spacing w:val="-11"/>
              </w:rPr>
              <w:t>-58</w:t>
            </w:r>
          </w:p>
        </w:tc>
        <w:tc>
          <w:tcPr>
            <w:tcW w:w="182" w:type="pct"/>
            <w:shd w:val="clear" w:color="auto" w:fill="auto"/>
          </w:tcPr>
          <w:p w14:paraId="326DF26A" w14:textId="77777777" w:rsidR="002E474C" w:rsidRDefault="00000000">
            <w:pPr>
              <w:pStyle w:val="A-"/>
              <w:ind w:leftChars="-25" w:left="-53" w:rightChars="-25" w:right="-53"/>
              <w:rPr>
                <w:spacing w:val="-11"/>
              </w:rPr>
            </w:pPr>
            <w:r>
              <w:rPr>
                <w:spacing w:val="-11"/>
              </w:rPr>
              <w:t>672</w:t>
            </w:r>
          </w:p>
        </w:tc>
        <w:tc>
          <w:tcPr>
            <w:tcW w:w="151" w:type="pct"/>
          </w:tcPr>
          <w:p w14:paraId="3EF9A5BF" w14:textId="77777777" w:rsidR="002E474C" w:rsidRDefault="00000000">
            <w:pPr>
              <w:pStyle w:val="A-"/>
              <w:ind w:leftChars="-25" w:left="-53" w:rightChars="-25" w:right="-53"/>
              <w:rPr>
                <w:spacing w:val="-11"/>
              </w:rPr>
            </w:pPr>
            <w:r>
              <w:rPr>
                <w:spacing w:val="-11"/>
              </w:rPr>
              <w:t>85</w:t>
            </w:r>
          </w:p>
        </w:tc>
        <w:tc>
          <w:tcPr>
            <w:tcW w:w="165" w:type="pct"/>
          </w:tcPr>
          <w:p w14:paraId="0A58770B" w14:textId="77777777" w:rsidR="002E474C" w:rsidRDefault="00000000">
            <w:pPr>
              <w:pStyle w:val="A-"/>
              <w:ind w:leftChars="-25" w:left="-53" w:rightChars="-25" w:right="-53"/>
              <w:rPr>
                <w:spacing w:val="-11"/>
              </w:rPr>
            </w:pPr>
            <w:r>
              <w:rPr>
                <w:spacing w:val="-11"/>
              </w:rPr>
              <w:t>5.2</w:t>
            </w:r>
          </w:p>
        </w:tc>
        <w:tc>
          <w:tcPr>
            <w:tcW w:w="178" w:type="pct"/>
          </w:tcPr>
          <w:p w14:paraId="7EDB8EA0" w14:textId="77777777" w:rsidR="002E474C" w:rsidRDefault="00000000">
            <w:pPr>
              <w:pStyle w:val="A-"/>
            </w:pPr>
            <w:r>
              <w:t>9.4</w:t>
            </w:r>
          </w:p>
        </w:tc>
        <w:tc>
          <w:tcPr>
            <w:tcW w:w="182" w:type="pct"/>
          </w:tcPr>
          <w:p w14:paraId="47FB81B7" w14:textId="77777777" w:rsidR="002E474C" w:rsidRDefault="00000000">
            <w:pPr>
              <w:pStyle w:val="A-"/>
            </w:pPr>
            <w:r>
              <w:t>130</w:t>
            </w:r>
          </w:p>
        </w:tc>
        <w:tc>
          <w:tcPr>
            <w:tcW w:w="216" w:type="pct"/>
          </w:tcPr>
          <w:p w14:paraId="16AC3169" w14:textId="77777777" w:rsidR="002E474C" w:rsidRDefault="00000000">
            <w:pPr>
              <w:pStyle w:val="A-"/>
              <w:ind w:leftChars="-50" w:left="-105" w:rightChars="-50" w:right="-105"/>
            </w:pPr>
            <w:r>
              <w:t>7200</w:t>
            </w:r>
          </w:p>
        </w:tc>
        <w:tc>
          <w:tcPr>
            <w:tcW w:w="148" w:type="pct"/>
          </w:tcPr>
          <w:p w14:paraId="66F03A25" w14:textId="77777777" w:rsidR="002E474C" w:rsidRDefault="00000000">
            <w:pPr>
              <w:pStyle w:val="A-"/>
            </w:pPr>
            <w:r>
              <w:t>正常</w:t>
            </w:r>
          </w:p>
        </w:tc>
        <w:tc>
          <w:tcPr>
            <w:tcW w:w="208" w:type="pct"/>
          </w:tcPr>
          <w:p w14:paraId="28F395B4" w14:textId="77777777" w:rsidR="002E474C" w:rsidRDefault="00000000">
            <w:pPr>
              <w:pStyle w:val="A-"/>
              <w:ind w:leftChars="-25" w:left="-53" w:rightChars="-25" w:right="-53"/>
              <w:rPr>
                <w:spacing w:val="-11"/>
              </w:rPr>
            </w:pPr>
            <w:r>
              <w:rPr>
                <w:spacing w:val="-11"/>
              </w:rPr>
              <w:t>3.597</w:t>
            </w:r>
          </w:p>
        </w:tc>
        <w:tc>
          <w:tcPr>
            <w:tcW w:w="183" w:type="pct"/>
          </w:tcPr>
          <w:p w14:paraId="23C2E253" w14:textId="77777777" w:rsidR="002E474C" w:rsidRDefault="00000000">
            <w:pPr>
              <w:pStyle w:val="A-"/>
              <w:ind w:leftChars="-25" w:left="-53" w:rightChars="-25" w:right="-53"/>
              <w:rPr>
                <w:spacing w:val="-11"/>
              </w:rPr>
            </w:pPr>
            <w:r>
              <w:rPr>
                <w:spacing w:val="-11"/>
              </w:rPr>
              <w:t>0.2</w:t>
            </w:r>
          </w:p>
        </w:tc>
        <w:tc>
          <w:tcPr>
            <w:tcW w:w="245" w:type="pct"/>
          </w:tcPr>
          <w:p w14:paraId="06714C05" w14:textId="77777777" w:rsidR="002E474C" w:rsidRDefault="00000000">
            <w:pPr>
              <w:pStyle w:val="A-"/>
              <w:ind w:leftChars="-25" w:left="-53" w:rightChars="-25" w:right="-53"/>
            </w:pPr>
            <w:r>
              <w:t>1.44×</w:t>
            </w:r>
          </w:p>
          <w:p w14:paraId="437E0254" w14:textId="77777777" w:rsidR="002E474C" w:rsidRDefault="00000000">
            <w:pPr>
              <w:pStyle w:val="A-"/>
              <w:ind w:leftChars="-25" w:left="-53" w:rightChars="-25" w:right="-53"/>
            </w:pPr>
            <w:r>
              <w:t>10</w:t>
            </w:r>
            <w:r>
              <w:rPr>
                <w:vertAlign w:val="superscript"/>
              </w:rPr>
              <w:t>-4</w:t>
            </w:r>
          </w:p>
        </w:tc>
        <w:tc>
          <w:tcPr>
            <w:tcW w:w="227" w:type="pct"/>
          </w:tcPr>
          <w:p w14:paraId="542C384A" w14:textId="77777777" w:rsidR="002E474C" w:rsidRDefault="00000000">
            <w:pPr>
              <w:pStyle w:val="A-"/>
              <w:ind w:leftChars="-25" w:left="-53" w:rightChars="-25" w:right="-53"/>
            </w:pPr>
            <w:r>
              <w:t>1.59×</w:t>
            </w:r>
          </w:p>
          <w:p w14:paraId="3F785EAD" w14:textId="77777777" w:rsidR="002E474C" w:rsidRDefault="00000000">
            <w:pPr>
              <w:pStyle w:val="A-"/>
              <w:ind w:leftChars="-25" w:left="-53" w:rightChars="-25" w:right="-53"/>
            </w:pPr>
            <w:r>
              <w:t>10</w:t>
            </w:r>
            <w:r>
              <w:rPr>
                <w:vertAlign w:val="superscript"/>
              </w:rPr>
              <w:t>-5</w:t>
            </w:r>
          </w:p>
        </w:tc>
        <w:tc>
          <w:tcPr>
            <w:tcW w:w="245" w:type="pct"/>
          </w:tcPr>
          <w:p w14:paraId="07D4ECFD" w14:textId="77777777" w:rsidR="002E474C" w:rsidRDefault="00000000">
            <w:pPr>
              <w:pStyle w:val="A-"/>
              <w:ind w:leftChars="-25" w:left="-53" w:rightChars="-25" w:right="-53"/>
            </w:pPr>
            <w:r>
              <w:t>3.6×</w:t>
            </w:r>
          </w:p>
          <w:p w14:paraId="0E946D18" w14:textId="77777777" w:rsidR="002E474C" w:rsidRDefault="00000000">
            <w:pPr>
              <w:pStyle w:val="A-"/>
              <w:ind w:leftChars="-25" w:left="-53" w:rightChars="-25" w:right="-53"/>
            </w:pPr>
            <w:r>
              <w:t>10</w:t>
            </w:r>
            <w:r>
              <w:rPr>
                <w:vertAlign w:val="superscript"/>
              </w:rPr>
              <w:t>-4</w:t>
            </w:r>
          </w:p>
        </w:tc>
        <w:tc>
          <w:tcPr>
            <w:tcW w:w="276" w:type="pct"/>
          </w:tcPr>
          <w:p w14:paraId="6F29FA9F" w14:textId="77777777" w:rsidR="002E474C" w:rsidRDefault="00000000">
            <w:pPr>
              <w:pStyle w:val="A-"/>
              <w:ind w:leftChars="-25" w:left="-53" w:rightChars="-25" w:right="-53"/>
            </w:pPr>
            <w:r>
              <w:t>8.86×</w:t>
            </w:r>
          </w:p>
          <w:p w14:paraId="38809BD9" w14:textId="77777777" w:rsidR="002E474C" w:rsidRDefault="00000000">
            <w:pPr>
              <w:pStyle w:val="A-"/>
              <w:ind w:leftChars="-25" w:left="-53" w:rightChars="-25" w:right="-53"/>
            </w:pPr>
            <w:r>
              <w:t>10</w:t>
            </w:r>
            <w:r>
              <w:rPr>
                <w:vertAlign w:val="superscript"/>
              </w:rPr>
              <w:t>-4</w:t>
            </w:r>
          </w:p>
        </w:tc>
        <w:tc>
          <w:tcPr>
            <w:tcW w:w="276" w:type="pct"/>
          </w:tcPr>
          <w:p w14:paraId="38E7B7DD" w14:textId="77777777" w:rsidR="002E474C" w:rsidRDefault="00000000">
            <w:pPr>
              <w:pStyle w:val="A-"/>
              <w:ind w:leftChars="-25" w:left="-53" w:rightChars="-25" w:right="-53"/>
            </w:pPr>
            <w:r>
              <w:t>6.10×</w:t>
            </w:r>
          </w:p>
          <w:p w14:paraId="2C855F92" w14:textId="77777777" w:rsidR="002E474C" w:rsidRDefault="00000000">
            <w:pPr>
              <w:pStyle w:val="A-"/>
              <w:ind w:leftChars="-25" w:left="-53" w:rightChars="-25" w:right="-53"/>
              <w:rPr>
                <w:rFonts w:eastAsia="等线"/>
              </w:rPr>
            </w:pPr>
            <w:r>
              <w:t>10</w:t>
            </w:r>
            <w:r>
              <w:rPr>
                <w:vertAlign w:val="superscript"/>
              </w:rPr>
              <w:t>-6</w:t>
            </w:r>
          </w:p>
        </w:tc>
        <w:tc>
          <w:tcPr>
            <w:tcW w:w="245" w:type="pct"/>
          </w:tcPr>
          <w:p w14:paraId="13B0260E" w14:textId="77777777" w:rsidR="002E474C" w:rsidRDefault="00000000">
            <w:pPr>
              <w:pStyle w:val="A-"/>
              <w:ind w:leftChars="-25" w:left="-53" w:rightChars="-25" w:right="-53"/>
            </w:pPr>
            <w:r>
              <w:t>2.4×</w:t>
            </w:r>
          </w:p>
          <w:p w14:paraId="67B09B89" w14:textId="77777777" w:rsidR="002E474C" w:rsidRDefault="00000000">
            <w:pPr>
              <w:pStyle w:val="A-"/>
              <w:ind w:leftChars="-25" w:left="-53" w:rightChars="-25" w:right="-53"/>
            </w:pPr>
            <w:r>
              <w:t>10</w:t>
            </w:r>
            <w:r>
              <w:rPr>
                <w:vertAlign w:val="superscript"/>
              </w:rPr>
              <w:t>-5</w:t>
            </w:r>
          </w:p>
        </w:tc>
        <w:tc>
          <w:tcPr>
            <w:tcW w:w="245" w:type="pct"/>
          </w:tcPr>
          <w:p w14:paraId="7D4BB64D" w14:textId="77777777" w:rsidR="002E474C" w:rsidRDefault="00000000">
            <w:pPr>
              <w:pStyle w:val="A-"/>
              <w:ind w:leftChars="-25" w:left="-53" w:rightChars="-25" w:right="-53"/>
            </w:pPr>
            <w:r>
              <w:rPr>
                <w:rFonts w:hint="eastAsia"/>
              </w:rPr>
              <w:t>9.37</w:t>
            </w:r>
            <w:r>
              <w:t>×</w:t>
            </w:r>
          </w:p>
          <w:p w14:paraId="5C9D9883" w14:textId="77777777" w:rsidR="002E474C" w:rsidRDefault="00000000">
            <w:pPr>
              <w:pStyle w:val="A-"/>
              <w:ind w:leftChars="-25" w:left="-53" w:rightChars="-25" w:right="-53"/>
            </w:pPr>
            <w:r>
              <w:t>10</w:t>
            </w:r>
            <w:r>
              <w:rPr>
                <w:vertAlign w:val="superscript"/>
              </w:rPr>
              <w:t>-4</w:t>
            </w:r>
          </w:p>
        </w:tc>
        <w:tc>
          <w:tcPr>
            <w:tcW w:w="245" w:type="pct"/>
          </w:tcPr>
          <w:p w14:paraId="24F0D333" w14:textId="77777777" w:rsidR="002E474C" w:rsidRDefault="00000000">
            <w:pPr>
              <w:pStyle w:val="A-"/>
              <w:ind w:leftChars="-25" w:left="-53" w:rightChars="-25" w:right="-53"/>
            </w:pPr>
            <w:r>
              <w:t>3.6×</w:t>
            </w:r>
          </w:p>
          <w:p w14:paraId="45E31DCC" w14:textId="77777777" w:rsidR="002E474C" w:rsidRDefault="00000000">
            <w:pPr>
              <w:pStyle w:val="A-"/>
              <w:ind w:leftChars="-25" w:left="-53" w:rightChars="-25" w:right="-53"/>
            </w:pPr>
            <w:r>
              <w:t>10</w:t>
            </w:r>
            <w:r>
              <w:rPr>
                <w:vertAlign w:val="superscript"/>
              </w:rPr>
              <w:t>-8</w:t>
            </w:r>
          </w:p>
        </w:tc>
        <w:tc>
          <w:tcPr>
            <w:tcW w:w="233" w:type="pct"/>
          </w:tcPr>
          <w:p w14:paraId="34FB05E2" w14:textId="77777777" w:rsidR="002E474C" w:rsidRDefault="002E474C">
            <w:pPr>
              <w:pStyle w:val="A-"/>
            </w:pPr>
          </w:p>
        </w:tc>
        <w:tc>
          <w:tcPr>
            <w:tcW w:w="233" w:type="pct"/>
          </w:tcPr>
          <w:p w14:paraId="1D1D82B9" w14:textId="77777777" w:rsidR="002E474C" w:rsidRDefault="002E474C">
            <w:pPr>
              <w:pStyle w:val="A-"/>
            </w:pPr>
          </w:p>
        </w:tc>
        <w:tc>
          <w:tcPr>
            <w:tcW w:w="239" w:type="pct"/>
          </w:tcPr>
          <w:p w14:paraId="102CC1F6" w14:textId="77777777" w:rsidR="002E474C" w:rsidRDefault="002E474C">
            <w:pPr>
              <w:pStyle w:val="A-"/>
            </w:pPr>
          </w:p>
        </w:tc>
      </w:tr>
      <w:tr w:rsidR="002E474C" w14:paraId="4E7F0F09" w14:textId="77777777">
        <w:tc>
          <w:tcPr>
            <w:tcW w:w="147" w:type="pct"/>
          </w:tcPr>
          <w:p w14:paraId="13A22F7B" w14:textId="77777777" w:rsidR="002E474C" w:rsidRDefault="00000000">
            <w:pPr>
              <w:pStyle w:val="A-"/>
            </w:pPr>
            <w:r>
              <w:t>2</w:t>
            </w:r>
          </w:p>
        </w:tc>
        <w:tc>
          <w:tcPr>
            <w:tcW w:w="148" w:type="pct"/>
          </w:tcPr>
          <w:p w14:paraId="50043ED3" w14:textId="77777777" w:rsidR="002E474C" w:rsidRDefault="00000000">
            <w:pPr>
              <w:pStyle w:val="A-"/>
            </w:pPr>
            <w:r>
              <w:t>危废贮存废气</w:t>
            </w:r>
          </w:p>
        </w:tc>
        <w:tc>
          <w:tcPr>
            <w:tcW w:w="204" w:type="pct"/>
            <w:shd w:val="clear" w:color="auto" w:fill="auto"/>
          </w:tcPr>
          <w:p w14:paraId="4DEB06E2" w14:textId="77777777" w:rsidR="002E474C" w:rsidRDefault="00000000">
            <w:pPr>
              <w:pStyle w:val="A-"/>
              <w:ind w:leftChars="-25" w:left="-53" w:rightChars="-25" w:right="-53"/>
              <w:rPr>
                <w:spacing w:val="-11"/>
              </w:rPr>
            </w:pPr>
            <w:r>
              <w:rPr>
                <w:spacing w:val="-11"/>
              </w:rPr>
              <w:t>-491</w:t>
            </w:r>
          </w:p>
        </w:tc>
        <w:tc>
          <w:tcPr>
            <w:tcW w:w="171" w:type="pct"/>
            <w:shd w:val="clear" w:color="auto" w:fill="auto"/>
          </w:tcPr>
          <w:p w14:paraId="4C73EAF6" w14:textId="77777777" w:rsidR="002E474C" w:rsidRDefault="00000000">
            <w:pPr>
              <w:pStyle w:val="A-"/>
              <w:ind w:leftChars="-25" w:left="-53" w:rightChars="-25" w:right="-53"/>
              <w:rPr>
                <w:spacing w:val="-11"/>
              </w:rPr>
            </w:pPr>
            <w:r>
              <w:rPr>
                <w:spacing w:val="-11"/>
              </w:rPr>
              <w:t>-18</w:t>
            </w:r>
          </w:p>
        </w:tc>
        <w:tc>
          <w:tcPr>
            <w:tcW w:w="182" w:type="pct"/>
            <w:shd w:val="clear" w:color="auto" w:fill="auto"/>
          </w:tcPr>
          <w:p w14:paraId="1609B790" w14:textId="77777777" w:rsidR="002E474C" w:rsidRDefault="00000000">
            <w:pPr>
              <w:pStyle w:val="A-"/>
              <w:ind w:leftChars="-25" w:left="-53" w:rightChars="-25" w:right="-53"/>
              <w:rPr>
                <w:spacing w:val="-11"/>
              </w:rPr>
            </w:pPr>
            <w:r>
              <w:rPr>
                <w:spacing w:val="-11"/>
              </w:rPr>
              <w:t>678</w:t>
            </w:r>
          </w:p>
        </w:tc>
        <w:tc>
          <w:tcPr>
            <w:tcW w:w="151" w:type="pct"/>
          </w:tcPr>
          <w:p w14:paraId="0DD3BAC6" w14:textId="77777777" w:rsidR="002E474C" w:rsidRDefault="00000000">
            <w:pPr>
              <w:pStyle w:val="A-"/>
              <w:ind w:leftChars="-25" w:left="-53" w:rightChars="-25" w:right="-53"/>
              <w:rPr>
                <w:spacing w:val="-11"/>
              </w:rPr>
            </w:pPr>
            <w:r>
              <w:rPr>
                <w:spacing w:val="-11"/>
              </w:rPr>
              <w:t>15</w:t>
            </w:r>
          </w:p>
        </w:tc>
        <w:tc>
          <w:tcPr>
            <w:tcW w:w="165" w:type="pct"/>
            <w:shd w:val="clear" w:color="auto" w:fill="auto"/>
          </w:tcPr>
          <w:p w14:paraId="0EB0FEE5" w14:textId="77777777" w:rsidR="002E474C" w:rsidRDefault="00000000">
            <w:pPr>
              <w:pStyle w:val="A-"/>
              <w:ind w:leftChars="-25" w:left="-53" w:rightChars="-25" w:right="-53"/>
              <w:rPr>
                <w:spacing w:val="-11"/>
              </w:rPr>
            </w:pPr>
            <w:r>
              <w:rPr>
                <w:spacing w:val="-11"/>
              </w:rPr>
              <w:t>0.8</w:t>
            </w:r>
          </w:p>
        </w:tc>
        <w:tc>
          <w:tcPr>
            <w:tcW w:w="178" w:type="pct"/>
            <w:shd w:val="clear" w:color="auto" w:fill="auto"/>
          </w:tcPr>
          <w:p w14:paraId="372F5D2D" w14:textId="77777777" w:rsidR="002E474C" w:rsidRDefault="00000000">
            <w:pPr>
              <w:pStyle w:val="A-"/>
            </w:pPr>
            <w:r>
              <w:t>8.3</w:t>
            </w:r>
          </w:p>
        </w:tc>
        <w:tc>
          <w:tcPr>
            <w:tcW w:w="182" w:type="pct"/>
          </w:tcPr>
          <w:p w14:paraId="2F1653DA" w14:textId="77777777" w:rsidR="002E474C" w:rsidRDefault="00000000">
            <w:pPr>
              <w:pStyle w:val="A-"/>
            </w:pPr>
            <w:r>
              <w:t>20</w:t>
            </w:r>
          </w:p>
        </w:tc>
        <w:tc>
          <w:tcPr>
            <w:tcW w:w="216" w:type="pct"/>
          </w:tcPr>
          <w:p w14:paraId="069B9722" w14:textId="77777777" w:rsidR="002E474C" w:rsidRDefault="00000000">
            <w:pPr>
              <w:pStyle w:val="A-"/>
              <w:ind w:leftChars="-50" w:left="-105" w:rightChars="-50" w:right="-105"/>
            </w:pPr>
            <w:r>
              <w:t>7200</w:t>
            </w:r>
          </w:p>
        </w:tc>
        <w:tc>
          <w:tcPr>
            <w:tcW w:w="148" w:type="pct"/>
          </w:tcPr>
          <w:p w14:paraId="1A01AB07" w14:textId="77777777" w:rsidR="002E474C" w:rsidRDefault="00000000">
            <w:pPr>
              <w:pStyle w:val="A-"/>
            </w:pPr>
            <w:r>
              <w:t>正常</w:t>
            </w:r>
          </w:p>
        </w:tc>
        <w:tc>
          <w:tcPr>
            <w:tcW w:w="208" w:type="pct"/>
          </w:tcPr>
          <w:p w14:paraId="4D0ADD72" w14:textId="77777777" w:rsidR="002E474C" w:rsidRDefault="002E474C">
            <w:pPr>
              <w:pStyle w:val="A-"/>
            </w:pPr>
          </w:p>
        </w:tc>
        <w:tc>
          <w:tcPr>
            <w:tcW w:w="183" w:type="pct"/>
          </w:tcPr>
          <w:p w14:paraId="34DE3735" w14:textId="77777777" w:rsidR="002E474C" w:rsidRDefault="002E474C">
            <w:pPr>
              <w:pStyle w:val="A-"/>
            </w:pPr>
          </w:p>
        </w:tc>
        <w:tc>
          <w:tcPr>
            <w:tcW w:w="245" w:type="pct"/>
          </w:tcPr>
          <w:p w14:paraId="4BF8A918" w14:textId="77777777" w:rsidR="002E474C" w:rsidRDefault="002E474C">
            <w:pPr>
              <w:pStyle w:val="A-"/>
            </w:pPr>
          </w:p>
        </w:tc>
        <w:tc>
          <w:tcPr>
            <w:tcW w:w="227" w:type="pct"/>
          </w:tcPr>
          <w:p w14:paraId="1D7BEA71" w14:textId="77777777" w:rsidR="002E474C" w:rsidRDefault="002E474C">
            <w:pPr>
              <w:pStyle w:val="A-"/>
            </w:pPr>
          </w:p>
        </w:tc>
        <w:tc>
          <w:tcPr>
            <w:tcW w:w="245" w:type="pct"/>
          </w:tcPr>
          <w:p w14:paraId="35DDBA08" w14:textId="77777777" w:rsidR="002E474C" w:rsidRDefault="002E474C">
            <w:pPr>
              <w:pStyle w:val="A-"/>
            </w:pPr>
          </w:p>
        </w:tc>
        <w:tc>
          <w:tcPr>
            <w:tcW w:w="276" w:type="pct"/>
          </w:tcPr>
          <w:p w14:paraId="16369B9A" w14:textId="77777777" w:rsidR="002E474C" w:rsidRDefault="002E474C">
            <w:pPr>
              <w:pStyle w:val="A-"/>
            </w:pPr>
          </w:p>
        </w:tc>
        <w:tc>
          <w:tcPr>
            <w:tcW w:w="276" w:type="pct"/>
          </w:tcPr>
          <w:p w14:paraId="47FC1C7D" w14:textId="77777777" w:rsidR="002E474C" w:rsidRDefault="002E474C">
            <w:pPr>
              <w:pStyle w:val="A-"/>
            </w:pPr>
          </w:p>
        </w:tc>
        <w:tc>
          <w:tcPr>
            <w:tcW w:w="245" w:type="pct"/>
          </w:tcPr>
          <w:p w14:paraId="2DDDD46F" w14:textId="77777777" w:rsidR="002E474C" w:rsidRDefault="002E474C">
            <w:pPr>
              <w:pStyle w:val="A-"/>
            </w:pPr>
          </w:p>
        </w:tc>
        <w:tc>
          <w:tcPr>
            <w:tcW w:w="245" w:type="pct"/>
          </w:tcPr>
          <w:p w14:paraId="322B64D1" w14:textId="77777777" w:rsidR="002E474C" w:rsidRDefault="002E474C">
            <w:pPr>
              <w:pStyle w:val="A-"/>
            </w:pPr>
          </w:p>
        </w:tc>
        <w:tc>
          <w:tcPr>
            <w:tcW w:w="245" w:type="pct"/>
          </w:tcPr>
          <w:p w14:paraId="45C76C22" w14:textId="77777777" w:rsidR="002E474C" w:rsidRDefault="002E474C">
            <w:pPr>
              <w:pStyle w:val="A-"/>
            </w:pPr>
          </w:p>
        </w:tc>
        <w:tc>
          <w:tcPr>
            <w:tcW w:w="233" w:type="pct"/>
          </w:tcPr>
          <w:p w14:paraId="0E8C35C3" w14:textId="77777777" w:rsidR="002E474C" w:rsidRDefault="00000000">
            <w:pPr>
              <w:pStyle w:val="A-"/>
              <w:ind w:leftChars="-25" w:left="-53" w:rightChars="-25" w:right="-53"/>
              <w:rPr>
                <w:spacing w:val="-6"/>
              </w:rPr>
            </w:pPr>
            <w:r>
              <w:rPr>
                <w:spacing w:val="-6"/>
              </w:rPr>
              <w:t>0.005</w:t>
            </w:r>
          </w:p>
        </w:tc>
        <w:tc>
          <w:tcPr>
            <w:tcW w:w="233" w:type="pct"/>
          </w:tcPr>
          <w:p w14:paraId="33F73269" w14:textId="77777777" w:rsidR="002E474C" w:rsidRDefault="00000000">
            <w:pPr>
              <w:pStyle w:val="A-"/>
              <w:ind w:leftChars="-25" w:left="-53" w:rightChars="-25" w:right="-53"/>
              <w:rPr>
                <w:spacing w:val="-6"/>
              </w:rPr>
            </w:pPr>
            <w:r>
              <w:rPr>
                <w:spacing w:val="-6"/>
              </w:rPr>
              <w:t>0.058</w:t>
            </w:r>
          </w:p>
        </w:tc>
        <w:tc>
          <w:tcPr>
            <w:tcW w:w="239" w:type="pct"/>
          </w:tcPr>
          <w:p w14:paraId="2D55C54E" w14:textId="77777777" w:rsidR="002E474C" w:rsidRDefault="00000000">
            <w:pPr>
              <w:pStyle w:val="A-"/>
              <w:ind w:leftChars="-25" w:left="-53" w:rightChars="-25" w:right="-53"/>
              <w:rPr>
                <w:spacing w:val="-6"/>
              </w:rPr>
            </w:pPr>
            <w:r>
              <w:rPr>
                <w:spacing w:val="-6"/>
              </w:rPr>
              <w:t>0.063</w:t>
            </w:r>
          </w:p>
        </w:tc>
      </w:tr>
    </w:tbl>
    <w:p w14:paraId="7B70B3F8" w14:textId="77777777" w:rsidR="002E474C" w:rsidRDefault="002E474C">
      <w:bookmarkStart w:id="84" w:name="_Ref149579832"/>
    </w:p>
    <w:p w14:paraId="2DB519EB" w14:textId="77777777" w:rsidR="002E474C" w:rsidRDefault="00000000">
      <w:pPr>
        <w:pStyle w:val="A--"/>
        <w:rPr>
          <w:color w:val="auto"/>
        </w:rPr>
      </w:pPr>
      <w:r>
        <w:rPr>
          <w:color w:val="auto"/>
        </w:rPr>
        <w:t>表</w:t>
      </w:r>
      <w:r>
        <w:rPr>
          <w:color w:val="auto"/>
        </w:rPr>
        <w:t>2.5</w:t>
      </w:r>
      <w:r>
        <w:rPr>
          <w:color w:val="auto"/>
        </w:rPr>
        <w:noBreakHyphen/>
        <w:t>4</w:t>
      </w:r>
      <w:bookmarkEnd w:id="84"/>
      <w:r>
        <w:rPr>
          <w:color w:val="auto"/>
        </w:rPr>
        <w:t xml:space="preserve">  </w:t>
      </w:r>
      <w:r>
        <w:rPr>
          <w:color w:val="auto"/>
        </w:rPr>
        <w:t>本项目矩形面源估算模型参数表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249"/>
        <w:gridCol w:w="558"/>
        <w:gridCol w:w="516"/>
        <w:gridCol w:w="1101"/>
        <w:gridCol w:w="876"/>
        <w:gridCol w:w="876"/>
        <w:gridCol w:w="1410"/>
        <w:gridCol w:w="1341"/>
        <w:gridCol w:w="1159"/>
        <w:gridCol w:w="754"/>
        <w:gridCol w:w="987"/>
        <w:gridCol w:w="987"/>
        <w:gridCol w:w="884"/>
      </w:tblGrid>
      <w:tr w:rsidR="002E474C" w14:paraId="442653F4" w14:textId="77777777">
        <w:tc>
          <w:tcPr>
            <w:tcW w:w="200" w:type="pct"/>
            <w:vMerge w:val="restart"/>
          </w:tcPr>
          <w:p w14:paraId="17B02AB5" w14:textId="77777777" w:rsidR="002E474C" w:rsidRDefault="00000000">
            <w:pPr>
              <w:pStyle w:val="A-"/>
              <w:rPr>
                <w:lang w:val="zh-CN"/>
              </w:rPr>
            </w:pPr>
            <w:r>
              <w:rPr>
                <w:lang w:val="zh-CN"/>
              </w:rPr>
              <w:t>编号</w:t>
            </w:r>
          </w:p>
        </w:tc>
        <w:tc>
          <w:tcPr>
            <w:tcW w:w="472" w:type="pct"/>
            <w:vMerge w:val="restart"/>
          </w:tcPr>
          <w:p w14:paraId="5C632F87" w14:textId="77777777" w:rsidR="002E474C" w:rsidRDefault="00000000">
            <w:pPr>
              <w:pStyle w:val="A-"/>
              <w:rPr>
                <w:lang w:val="zh-CN"/>
              </w:rPr>
            </w:pPr>
            <w:r>
              <w:rPr>
                <w:lang w:val="zh-CN"/>
              </w:rPr>
              <w:t>名称</w:t>
            </w:r>
          </w:p>
        </w:tc>
        <w:tc>
          <w:tcPr>
            <w:tcW w:w="406" w:type="pct"/>
            <w:gridSpan w:val="2"/>
          </w:tcPr>
          <w:p w14:paraId="64233CB6" w14:textId="77777777" w:rsidR="002E474C" w:rsidRDefault="00000000">
            <w:pPr>
              <w:pStyle w:val="A-"/>
              <w:rPr>
                <w:lang w:val="zh-CN"/>
              </w:rPr>
            </w:pPr>
            <w:r>
              <w:rPr>
                <w:lang w:val="zh-CN"/>
              </w:rPr>
              <w:t>面源起点坐标</w:t>
            </w:r>
            <w:r>
              <w:rPr>
                <w:lang w:val="zh-CN"/>
              </w:rPr>
              <w:t>/m</w:t>
            </w:r>
          </w:p>
        </w:tc>
        <w:tc>
          <w:tcPr>
            <w:tcW w:w="416" w:type="pct"/>
            <w:vMerge w:val="restart"/>
          </w:tcPr>
          <w:p w14:paraId="36DCF6D2" w14:textId="77777777" w:rsidR="002E474C" w:rsidRDefault="00000000">
            <w:pPr>
              <w:pStyle w:val="A-"/>
              <w:rPr>
                <w:lang w:val="zh-CN"/>
              </w:rPr>
            </w:pPr>
            <w:r>
              <w:rPr>
                <w:lang w:val="zh-CN"/>
              </w:rPr>
              <w:t>面源海拔高度</w:t>
            </w:r>
            <w:r>
              <w:rPr>
                <w:lang w:val="zh-CN"/>
              </w:rPr>
              <w:t>/m</w:t>
            </w:r>
          </w:p>
        </w:tc>
        <w:tc>
          <w:tcPr>
            <w:tcW w:w="331" w:type="pct"/>
            <w:vMerge w:val="restart"/>
          </w:tcPr>
          <w:p w14:paraId="55F5B4EC" w14:textId="77777777" w:rsidR="002E474C" w:rsidRDefault="00000000">
            <w:pPr>
              <w:pStyle w:val="A-"/>
              <w:rPr>
                <w:lang w:val="zh-CN"/>
              </w:rPr>
            </w:pPr>
            <w:r>
              <w:rPr>
                <w:lang w:val="zh-CN"/>
              </w:rPr>
              <w:t>面源长度</w:t>
            </w:r>
            <w:r>
              <w:rPr>
                <w:lang w:val="zh-CN"/>
              </w:rPr>
              <w:t>/m</w:t>
            </w:r>
          </w:p>
        </w:tc>
        <w:tc>
          <w:tcPr>
            <w:tcW w:w="331" w:type="pct"/>
            <w:vMerge w:val="restart"/>
          </w:tcPr>
          <w:p w14:paraId="4E2AAB62" w14:textId="77777777" w:rsidR="002E474C" w:rsidRDefault="00000000">
            <w:pPr>
              <w:pStyle w:val="A-"/>
              <w:rPr>
                <w:lang w:val="zh-CN"/>
              </w:rPr>
            </w:pPr>
            <w:r>
              <w:rPr>
                <w:lang w:val="zh-CN"/>
              </w:rPr>
              <w:t>面源宽度</w:t>
            </w:r>
            <w:r>
              <w:rPr>
                <w:lang w:val="zh-CN"/>
              </w:rPr>
              <w:t>/m</w:t>
            </w:r>
          </w:p>
        </w:tc>
        <w:tc>
          <w:tcPr>
            <w:tcW w:w="533" w:type="pct"/>
            <w:vMerge w:val="restart"/>
          </w:tcPr>
          <w:p w14:paraId="55FDACC9" w14:textId="77777777" w:rsidR="002E474C" w:rsidRDefault="00000000">
            <w:pPr>
              <w:pStyle w:val="A-"/>
              <w:rPr>
                <w:lang w:val="zh-CN"/>
              </w:rPr>
            </w:pPr>
            <w:r>
              <w:rPr>
                <w:lang w:val="zh-CN"/>
              </w:rPr>
              <w:t>与正北向夹角</w:t>
            </w:r>
            <w:r>
              <w:rPr>
                <w:lang w:val="zh-CN"/>
              </w:rPr>
              <w:t>/</w:t>
            </w:r>
            <w:r>
              <w:rPr>
                <w:lang w:val="zh-CN"/>
              </w:rPr>
              <w:t>（</w:t>
            </w:r>
            <w:r>
              <w:rPr>
                <w:lang w:val="zh-CN"/>
              </w:rPr>
              <w:t>°</w:t>
            </w:r>
            <w:r>
              <w:rPr>
                <w:lang w:val="zh-CN"/>
              </w:rPr>
              <w:t>）</w:t>
            </w:r>
          </w:p>
        </w:tc>
        <w:tc>
          <w:tcPr>
            <w:tcW w:w="507" w:type="pct"/>
            <w:vMerge w:val="restart"/>
          </w:tcPr>
          <w:p w14:paraId="7FDA8138" w14:textId="77777777" w:rsidR="002E474C" w:rsidRDefault="00000000">
            <w:pPr>
              <w:pStyle w:val="A-"/>
              <w:rPr>
                <w:lang w:val="zh-CN"/>
              </w:rPr>
            </w:pPr>
            <w:r>
              <w:rPr>
                <w:lang w:val="zh-CN"/>
              </w:rPr>
              <w:t>面源有效排放高度</w:t>
            </w:r>
            <w:r>
              <w:rPr>
                <w:lang w:val="zh-CN"/>
              </w:rPr>
              <w:t>/m</w:t>
            </w:r>
          </w:p>
        </w:tc>
        <w:tc>
          <w:tcPr>
            <w:tcW w:w="438" w:type="pct"/>
            <w:vMerge w:val="restart"/>
          </w:tcPr>
          <w:p w14:paraId="7C9C3840" w14:textId="77777777" w:rsidR="002E474C" w:rsidRDefault="00000000">
            <w:pPr>
              <w:pStyle w:val="A-"/>
              <w:rPr>
                <w:lang w:val="zh-CN"/>
              </w:rPr>
            </w:pPr>
            <w:r>
              <w:rPr>
                <w:lang w:val="zh-CN"/>
              </w:rPr>
              <w:t>年排放小时数</w:t>
            </w:r>
            <w:r>
              <w:rPr>
                <w:lang w:val="zh-CN"/>
              </w:rPr>
              <w:t>/h</w:t>
            </w:r>
          </w:p>
        </w:tc>
        <w:tc>
          <w:tcPr>
            <w:tcW w:w="285" w:type="pct"/>
            <w:vMerge w:val="restart"/>
          </w:tcPr>
          <w:p w14:paraId="1026F9A5" w14:textId="77777777" w:rsidR="002E474C" w:rsidRDefault="00000000">
            <w:pPr>
              <w:pStyle w:val="A-"/>
              <w:rPr>
                <w:lang w:val="zh-CN"/>
              </w:rPr>
            </w:pPr>
            <w:r>
              <w:rPr>
                <w:lang w:val="zh-CN"/>
              </w:rPr>
              <w:t>排放工况</w:t>
            </w:r>
          </w:p>
        </w:tc>
        <w:tc>
          <w:tcPr>
            <w:tcW w:w="1080" w:type="pct"/>
            <w:gridSpan w:val="3"/>
          </w:tcPr>
          <w:p w14:paraId="4243F54D" w14:textId="77777777" w:rsidR="002E474C" w:rsidRDefault="00000000">
            <w:pPr>
              <w:pStyle w:val="A-"/>
              <w:rPr>
                <w:lang w:val="zh-CN"/>
              </w:rPr>
            </w:pPr>
            <w:r>
              <w:rPr>
                <w:lang w:val="zh-CN"/>
              </w:rPr>
              <w:t>污染物排放速率</w:t>
            </w:r>
            <w:r>
              <w:rPr>
                <w:lang w:val="zh-CN"/>
              </w:rPr>
              <w:t>/</w:t>
            </w:r>
            <w:r>
              <w:rPr>
                <w:lang w:val="zh-CN"/>
              </w:rPr>
              <w:t>（</w:t>
            </w:r>
            <w:r>
              <w:rPr>
                <w:lang w:val="zh-CN"/>
              </w:rPr>
              <w:t>kg/h</w:t>
            </w:r>
            <w:r>
              <w:rPr>
                <w:lang w:val="zh-CN"/>
              </w:rPr>
              <w:t>）</w:t>
            </w:r>
          </w:p>
        </w:tc>
      </w:tr>
      <w:tr w:rsidR="002E474C" w14:paraId="09E967B0" w14:textId="77777777">
        <w:tc>
          <w:tcPr>
            <w:tcW w:w="200" w:type="pct"/>
            <w:vMerge/>
          </w:tcPr>
          <w:p w14:paraId="0D6F8E56" w14:textId="77777777" w:rsidR="002E474C" w:rsidRDefault="002E474C">
            <w:pPr>
              <w:pStyle w:val="A-"/>
              <w:rPr>
                <w:lang w:val="zh-CN"/>
              </w:rPr>
            </w:pPr>
          </w:p>
        </w:tc>
        <w:tc>
          <w:tcPr>
            <w:tcW w:w="472" w:type="pct"/>
            <w:vMerge/>
          </w:tcPr>
          <w:p w14:paraId="0BB432CA" w14:textId="77777777" w:rsidR="002E474C" w:rsidRDefault="002E474C">
            <w:pPr>
              <w:pStyle w:val="A-"/>
              <w:rPr>
                <w:lang w:val="zh-CN"/>
              </w:rPr>
            </w:pPr>
          </w:p>
        </w:tc>
        <w:tc>
          <w:tcPr>
            <w:tcW w:w="211" w:type="pct"/>
          </w:tcPr>
          <w:p w14:paraId="1B0D360B" w14:textId="77777777" w:rsidR="002E474C" w:rsidRDefault="00000000">
            <w:pPr>
              <w:pStyle w:val="A-"/>
              <w:rPr>
                <w:lang w:val="zh-CN"/>
              </w:rPr>
            </w:pPr>
            <w:r>
              <w:rPr>
                <w:lang w:val="zh-CN"/>
              </w:rPr>
              <w:t>X</w:t>
            </w:r>
          </w:p>
        </w:tc>
        <w:tc>
          <w:tcPr>
            <w:tcW w:w="195" w:type="pct"/>
          </w:tcPr>
          <w:p w14:paraId="64DF027C" w14:textId="77777777" w:rsidR="002E474C" w:rsidRDefault="00000000">
            <w:pPr>
              <w:pStyle w:val="A-"/>
              <w:rPr>
                <w:lang w:val="zh-CN"/>
              </w:rPr>
            </w:pPr>
            <w:r>
              <w:rPr>
                <w:lang w:val="zh-CN"/>
              </w:rPr>
              <w:t>Y</w:t>
            </w:r>
          </w:p>
        </w:tc>
        <w:tc>
          <w:tcPr>
            <w:tcW w:w="416" w:type="pct"/>
            <w:vMerge/>
          </w:tcPr>
          <w:p w14:paraId="5A6F3B9E" w14:textId="77777777" w:rsidR="002E474C" w:rsidRDefault="002E474C">
            <w:pPr>
              <w:pStyle w:val="A-"/>
              <w:rPr>
                <w:lang w:val="zh-CN"/>
              </w:rPr>
            </w:pPr>
          </w:p>
        </w:tc>
        <w:tc>
          <w:tcPr>
            <w:tcW w:w="331" w:type="pct"/>
            <w:vMerge/>
          </w:tcPr>
          <w:p w14:paraId="784EFDCD" w14:textId="77777777" w:rsidR="002E474C" w:rsidRDefault="002E474C">
            <w:pPr>
              <w:pStyle w:val="A-"/>
              <w:rPr>
                <w:lang w:val="zh-CN"/>
              </w:rPr>
            </w:pPr>
          </w:p>
        </w:tc>
        <w:tc>
          <w:tcPr>
            <w:tcW w:w="331" w:type="pct"/>
            <w:vMerge/>
          </w:tcPr>
          <w:p w14:paraId="096BA6C6" w14:textId="77777777" w:rsidR="002E474C" w:rsidRDefault="002E474C">
            <w:pPr>
              <w:pStyle w:val="A-"/>
              <w:rPr>
                <w:lang w:val="zh-CN"/>
              </w:rPr>
            </w:pPr>
          </w:p>
        </w:tc>
        <w:tc>
          <w:tcPr>
            <w:tcW w:w="533" w:type="pct"/>
            <w:vMerge/>
          </w:tcPr>
          <w:p w14:paraId="01E9B2CE" w14:textId="77777777" w:rsidR="002E474C" w:rsidRDefault="002E474C">
            <w:pPr>
              <w:pStyle w:val="A-"/>
              <w:rPr>
                <w:lang w:val="zh-CN"/>
              </w:rPr>
            </w:pPr>
          </w:p>
        </w:tc>
        <w:tc>
          <w:tcPr>
            <w:tcW w:w="507" w:type="pct"/>
            <w:vMerge/>
          </w:tcPr>
          <w:p w14:paraId="7D7D3723" w14:textId="77777777" w:rsidR="002E474C" w:rsidRDefault="002E474C">
            <w:pPr>
              <w:pStyle w:val="A-"/>
              <w:rPr>
                <w:lang w:val="zh-CN"/>
              </w:rPr>
            </w:pPr>
          </w:p>
        </w:tc>
        <w:tc>
          <w:tcPr>
            <w:tcW w:w="438" w:type="pct"/>
            <w:vMerge/>
          </w:tcPr>
          <w:p w14:paraId="47B943A9" w14:textId="77777777" w:rsidR="002E474C" w:rsidRDefault="002E474C">
            <w:pPr>
              <w:pStyle w:val="A-"/>
              <w:rPr>
                <w:lang w:val="zh-CN"/>
              </w:rPr>
            </w:pPr>
          </w:p>
        </w:tc>
        <w:tc>
          <w:tcPr>
            <w:tcW w:w="285" w:type="pct"/>
            <w:vMerge/>
          </w:tcPr>
          <w:p w14:paraId="2965843C" w14:textId="77777777" w:rsidR="002E474C" w:rsidRDefault="002E474C">
            <w:pPr>
              <w:pStyle w:val="A-"/>
              <w:rPr>
                <w:lang w:val="zh-CN"/>
              </w:rPr>
            </w:pPr>
          </w:p>
        </w:tc>
        <w:tc>
          <w:tcPr>
            <w:tcW w:w="373" w:type="pct"/>
          </w:tcPr>
          <w:p w14:paraId="368EC378" w14:textId="77777777" w:rsidR="002E474C" w:rsidRDefault="00000000">
            <w:pPr>
              <w:pStyle w:val="A-"/>
              <w:rPr>
                <w:lang w:val="zh-CN"/>
              </w:rPr>
            </w:pPr>
            <w:r>
              <w:rPr>
                <w:lang w:val="zh-CN"/>
              </w:rPr>
              <w:t>H</w:t>
            </w:r>
            <w:r>
              <w:rPr>
                <w:vertAlign w:val="subscript"/>
                <w:lang w:val="zh-CN"/>
              </w:rPr>
              <w:t>2</w:t>
            </w:r>
            <w:r>
              <w:rPr>
                <w:lang w:val="zh-CN"/>
              </w:rPr>
              <w:t>S</w:t>
            </w:r>
          </w:p>
        </w:tc>
        <w:tc>
          <w:tcPr>
            <w:tcW w:w="373" w:type="pct"/>
          </w:tcPr>
          <w:p w14:paraId="1DEDABFC" w14:textId="77777777" w:rsidR="002E474C" w:rsidRDefault="00000000">
            <w:pPr>
              <w:pStyle w:val="A-"/>
              <w:rPr>
                <w:lang w:val="zh-CN"/>
              </w:rPr>
            </w:pPr>
            <w:r>
              <w:rPr>
                <w:lang w:val="zh-CN"/>
              </w:rPr>
              <w:t>NH</w:t>
            </w:r>
            <w:r>
              <w:rPr>
                <w:vertAlign w:val="subscript"/>
                <w:lang w:val="zh-CN"/>
              </w:rPr>
              <w:t>3</w:t>
            </w:r>
          </w:p>
        </w:tc>
        <w:tc>
          <w:tcPr>
            <w:tcW w:w="334" w:type="pct"/>
          </w:tcPr>
          <w:p w14:paraId="41EBB0C6" w14:textId="77777777" w:rsidR="002E474C" w:rsidRDefault="00000000">
            <w:pPr>
              <w:pStyle w:val="A-"/>
              <w:rPr>
                <w:lang w:val="zh-CN"/>
              </w:rPr>
            </w:pPr>
            <w:r>
              <w:rPr>
                <w:lang w:val="zh-CN"/>
              </w:rPr>
              <w:t>NMHC</w:t>
            </w:r>
          </w:p>
        </w:tc>
      </w:tr>
      <w:tr w:rsidR="002E474C" w14:paraId="5BCA41BC" w14:textId="77777777">
        <w:tc>
          <w:tcPr>
            <w:tcW w:w="200" w:type="pct"/>
          </w:tcPr>
          <w:p w14:paraId="5A3B708D" w14:textId="77777777" w:rsidR="002E474C" w:rsidRDefault="00000000">
            <w:pPr>
              <w:pStyle w:val="A-"/>
              <w:rPr>
                <w:lang w:val="zh-CN"/>
              </w:rPr>
            </w:pPr>
            <w:r>
              <w:rPr>
                <w:lang w:val="zh-CN"/>
              </w:rPr>
              <w:t>1</w:t>
            </w:r>
          </w:p>
        </w:tc>
        <w:tc>
          <w:tcPr>
            <w:tcW w:w="472" w:type="pct"/>
          </w:tcPr>
          <w:p w14:paraId="3559B21B" w14:textId="77777777" w:rsidR="002E474C" w:rsidRDefault="00000000">
            <w:pPr>
              <w:pStyle w:val="A-"/>
              <w:rPr>
                <w:lang w:val="zh-CN"/>
              </w:rPr>
            </w:pPr>
            <w:r>
              <w:rPr>
                <w:lang w:val="zh-CN"/>
              </w:rPr>
              <w:t>危废贮存库</w:t>
            </w:r>
          </w:p>
        </w:tc>
        <w:tc>
          <w:tcPr>
            <w:tcW w:w="211" w:type="pct"/>
            <w:shd w:val="clear" w:color="auto" w:fill="auto"/>
          </w:tcPr>
          <w:p w14:paraId="4D128A54" w14:textId="77777777" w:rsidR="002E474C" w:rsidRDefault="00000000">
            <w:pPr>
              <w:pStyle w:val="A-"/>
            </w:pPr>
            <w:r>
              <w:t>-451</w:t>
            </w:r>
          </w:p>
        </w:tc>
        <w:tc>
          <w:tcPr>
            <w:tcW w:w="195" w:type="pct"/>
            <w:shd w:val="clear" w:color="auto" w:fill="auto"/>
          </w:tcPr>
          <w:p w14:paraId="5B518E28" w14:textId="77777777" w:rsidR="002E474C" w:rsidRDefault="00000000">
            <w:pPr>
              <w:pStyle w:val="A-"/>
            </w:pPr>
            <w:r>
              <w:rPr>
                <w:lang w:val="zh-CN"/>
              </w:rPr>
              <w:t>29</w:t>
            </w:r>
          </w:p>
        </w:tc>
        <w:tc>
          <w:tcPr>
            <w:tcW w:w="416" w:type="pct"/>
            <w:shd w:val="clear" w:color="auto" w:fill="auto"/>
          </w:tcPr>
          <w:p w14:paraId="62C785F9" w14:textId="77777777" w:rsidR="002E474C" w:rsidRDefault="00000000">
            <w:pPr>
              <w:pStyle w:val="A-"/>
              <w:rPr>
                <w:lang w:val="zh-CN"/>
              </w:rPr>
            </w:pPr>
            <w:r>
              <w:rPr>
                <w:lang w:val="zh-CN"/>
              </w:rPr>
              <w:t>677</w:t>
            </w:r>
          </w:p>
        </w:tc>
        <w:tc>
          <w:tcPr>
            <w:tcW w:w="331" w:type="pct"/>
          </w:tcPr>
          <w:p w14:paraId="1B6B7B73" w14:textId="77777777" w:rsidR="002E474C" w:rsidRDefault="00000000">
            <w:pPr>
              <w:pStyle w:val="A-"/>
              <w:rPr>
                <w:lang w:val="zh-CN"/>
              </w:rPr>
            </w:pPr>
            <w:r>
              <w:rPr>
                <w:lang w:val="zh-CN"/>
              </w:rPr>
              <w:t>15</w:t>
            </w:r>
          </w:p>
        </w:tc>
        <w:tc>
          <w:tcPr>
            <w:tcW w:w="331" w:type="pct"/>
          </w:tcPr>
          <w:p w14:paraId="056BA407" w14:textId="77777777" w:rsidR="002E474C" w:rsidRDefault="00000000">
            <w:pPr>
              <w:pStyle w:val="A-"/>
              <w:rPr>
                <w:lang w:val="zh-CN"/>
              </w:rPr>
            </w:pPr>
            <w:r>
              <w:rPr>
                <w:lang w:val="zh-CN"/>
              </w:rPr>
              <w:t>14</w:t>
            </w:r>
          </w:p>
        </w:tc>
        <w:tc>
          <w:tcPr>
            <w:tcW w:w="533" w:type="pct"/>
          </w:tcPr>
          <w:p w14:paraId="0D804B55" w14:textId="77777777" w:rsidR="002E474C" w:rsidRDefault="00000000">
            <w:pPr>
              <w:pStyle w:val="A-"/>
              <w:rPr>
                <w:lang w:val="zh-CN"/>
              </w:rPr>
            </w:pPr>
            <w:r>
              <w:rPr>
                <w:lang w:val="zh-CN"/>
              </w:rPr>
              <w:t>0</w:t>
            </w:r>
          </w:p>
        </w:tc>
        <w:tc>
          <w:tcPr>
            <w:tcW w:w="507" w:type="pct"/>
          </w:tcPr>
          <w:p w14:paraId="0DD6A47E" w14:textId="77777777" w:rsidR="002E474C" w:rsidRDefault="00000000">
            <w:pPr>
              <w:pStyle w:val="A-"/>
              <w:rPr>
                <w:lang w:val="zh-CN"/>
              </w:rPr>
            </w:pPr>
            <w:r>
              <w:rPr>
                <w:lang w:val="zh-CN"/>
              </w:rPr>
              <w:t>5.7</w:t>
            </w:r>
          </w:p>
        </w:tc>
        <w:tc>
          <w:tcPr>
            <w:tcW w:w="438" w:type="pct"/>
          </w:tcPr>
          <w:p w14:paraId="7E713A7B" w14:textId="77777777" w:rsidR="002E474C" w:rsidRDefault="00000000">
            <w:pPr>
              <w:pStyle w:val="A-"/>
              <w:rPr>
                <w:lang w:val="zh-CN"/>
              </w:rPr>
            </w:pPr>
            <w:r>
              <w:rPr>
                <w:lang w:val="zh-CN"/>
              </w:rPr>
              <w:t>7200</w:t>
            </w:r>
          </w:p>
        </w:tc>
        <w:tc>
          <w:tcPr>
            <w:tcW w:w="285" w:type="pct"/>
          </w:tcPr>
          <w:p w14:paraId="58DD702D" w14:textId="77777777" w:rsidR="002E474C" w:rsidRDefault="00000000">
            <w:pPr>
              <w:pStyle w:val="A-"/>
              <w:rPr>
                <w:lang w:val="zh-CN"/>
              </w:rPr>
            </w:pPr>
            <w:r>
              <w:rPr>
                <w:lang w:val="zh-CN"/>
              </w:rPr>
              <w:t>正常</w:t>
            </w:r>
          </w:p>
        </w:tc>
        <w:tc>
          <w:tcPr>
            <w:tcW w:w="373" w:type="pct"/>
          </w:tcPr>
          <w:p w14:paraId="422552FA" w14:textId="77777777" w:rsidR="002E474C" w:rsidRDefault="00000000">
            <w:pPr>
              <w:pStyle w:val="A-"/>
            </w:pPr>
            <w:r>
              <w:rPr>
                <w:rFonts w:hint="eastAsia"/>
              </w:rPr>
              <w:t>0.00087</w:t>
            </w:r>
          </w:p>
        </w:tc>
        <w:tc>
          <w:tcPr>
            <w:tcW w:w="373" w:type="pct"/>
          </w:tcPr>
          <w:p w14:paraId="2CED187D" w14:textId="77777777" w:rsidR="002E474C" w:rsidRDefault="00000000">
            <w:pPr>
              <w:pStyle w:val="A-"/>
            </w:pPr>
            <w:r>
              <w:rPr>
                <w:rFonts w:hint="eastAsia"/>
              </w:rPr>
              <w:t>0.0106</w:t>
            </w:r>
          </w:p>
        </w:tc>
        <w:tc>
          <w:tcPr>
            <w:tcW w:w="334" w:type="pct"/>
          </w:tcPr>
          <w:p w14:paraId="1ED13AD2" w14:textId="77777777" w:rsidR="002E474C" w:rsidRDefault="00000000">
            <w:pPr>
              <w:pStyle w:val="A-"/>
            </w:pPr>
            <w:r>
              <w:rPr>
                <w:rFonts w:hint="eastAsia"/>
              </w:rPr>
              <w:t>0.0116</w:t>
            </w:r>
          </w:p>
        </w:tc>
      </w:tr>
      <w:tr w:rsidR="002E474C" w14:paraId="628349A2" w14:textId="77777777">
        <w:tc>
          <w:tcPr>
            <w:tcW w:w="200" w:type="pct"/>
          </w:tcPr>
          <w:p w14:paraId="7948B304" w14:textId="77777777" w:rsidR="002E474C" w:rsidRDefault="00000000">
            <w:pPr>
              <w:pStyle w:val="A-"/>
              <w:rPr>
                <w:lang w:val="zh-CN"/>
              </w:rPr>
            </w:pPr>
            <w:r>
              <w:rPr>
                <w:lang w:val="zh-CN"/>
              </w:rPr>
              <w:t>2</w:t>
            </w:r>
          </w:p>
        </w:tc>
        <w:tc>
          <w:tcPr>
            <w:tcW w:w="472" w:type="pct"/>
          </w:tcPr>
          <w:p w14:paraId="7508ABF7" w14:textId="77777777" w:rsidR="002E474C" w:rsidRDefault="00000000">
            <w:pPr>
              <w:pStyle w:val="A-"/>
            </w:pPr>
            <w:r>
              <w:t>固态危废预处理车间</w:t>
            </w:r>
          </w:p>
        </w:tc>
        <w:tc>
          <w:tcPr>
            <w:tcW w:w="211" w:type="pct"/>
            <w:shd w:val="clear" w:color="auto" w:fill="auto"/>
          </w:tcPr>
          <w:p w14:paraId="68BA2B53" w14:textId="77777777" w:rsidR="002E474C" w:rsidRDefault="00000000">
            <w:pPr>
              <w:pStyle w:val="A-"/>
            </w:pPr>
            <w:r>
              <w:t>-458</w:t>
            </w:r>
          </w:p>
        </w:tc>
        <w:tc>
          <w:tcPr>
            <w:tcW w:w="195" w:type="pct"/>
            <w:shd w:val="clear" w:color="auto" w:fill="auto"/>
          </w:tcPr>
          <w:p w14:paraId="491CEE16" w14:textId="77777777" w:rsidR="002E474C" w:rsidRDefault="00000000">
            <w:pPr>
              <w:pStyle w:val="A-"/>
            </w:pPr>
            <w:r>
              <w:t>-72</w:t>
            </w:r>
          </w:p>
        </w:tc>
        <w:tc>
          <w:tcPr>
            <w:tcW w:w="416" w:type="pct"/>
            <w:shd w:val="clear" w:color="auto" w:fill="auto"/>
          </w:tcPr>
          <w:p w14:paraId="75E6A126" w14:textId="77777777" w:rsidR="002E474C" w:rsidRDefault="00000000">
            <w:pPr>
              <w:pStyle w:val="A-"/>
              <w:rPr>
                <w:lang w:val="zh-CN"/>
              </w:rPr>
            </w:pPr>
            <w:r>
              <w:rPr>
                <w:lang w:val="zh-CN"/>
              </w:rPr>
              <w:t>676</w:t>
            </w:r>
          </w:p>
        </w:tc>
        <w:tc>
          <w:tcPr>
            <w:tcW w:w="331" w:type="pct"/>
          </w:tcPr>
          <w:p w14:paraId="2BC122DF" w14:textId="77777777" w:rsidR="002E474C" w:rsidRDefault="00000000">
            <w:pPr>
              <w:pStyle w:val="A-"/>
              <w:rPr>
                <w:lang w:val="zh-CN"/>
              </w:rPr>
            </w:pPr>
            <w:r>
              <w:rPr>
                <w:lang w:val="zh-CN"/>
              </w:rPr>
              <w:t>30</w:t>
            </w:r>
          </w:p>
        </w:tc>
        <w:tc>
          <w:tcPr>
            <w:tcW w:w="331" w:type="pct"/>
          </w:tcPr>
          <w:p w14:paraId="2B63866D" w14:textId="77777777" w:rsidR="002E474C" w:rsidRDefault="00000000">
            <w:pPr>
              <w:pStyle w:val="A-"/>
              <w:rPr>
                <w:lang w:val="zh-CN"/>
              </w:rPr>
            </w:pPr>
            <w:r>
              <w:rPr>
                <w:lang w:val="zh-CN"/>
              </w:rPr>
              <w:t>32</w:t>
            </w:r>
          </w:p>
        </w:tc>
        <w:tc>
          <w:tcPr>
            <w:tcW w:w="533" w:type="pct"/>
          </w:tcPr>
          <w:p w14:paraId="2428CD08" w14:textId="77777777" w:rsidR="002E474C" w:rsidRDefault="00000000">
            <w:pPr>
              <w:pStyle w:val="A-"/>
              <w:rPr>
                <w:lang w:val="zh-CN"/>
              </w:rPr>
            </w:pPr>
            <w:r>
              <w:rPr>
                <w:lang w:val="zh-CN"/>
              </w:rPr>
              <w:t>0</w:t>
            </w:r>
          </w:p>
        </w:tc>
        <w:tc>
          <w:tcPr>
            <w:tcW w:w="507" w:type="pct"/>
          </w:tcPr>
          <w:p w14:paraId="4C4E5FAE" w14:textId="77777777" w:rsidR="002E474C" w:rsidRDefault="00000000">
            <w:pPr>
              <w:pStyle w:val="A-"/>
              <w:rPr>
                <w:lang w:val="zh-CN"/>
              </w:rPr>
            </w:pPr>
            <w:r>
              <w:rPr>
                <w:lang w:val="zh-CN"/>
              </w:rPr>
              <w:t>7.5</w:t>
            </w:r>
          </w:p>
        </w:tc>
        <w:tc>
          <w:tcPr>
            <w:tcW w:w="438" w:type="pct"/>
          </w:tcPr>
          <w:p w14:paraId="75B983C1" w14:textId="77777777" w:rsidR="002E474C" w:rsidRDefault="00000000">
            <w:pPr>
              <w:pStyle w:val="A-"/>
              <w:rPr>
                <w:lang w:val="zh-CN"/>
              </w:rPr>
            </w:pPr>
            <w:r>
              <w:rPr>
                <w:lang w:val="zh-CN"/>
              </w:rPr>
              <w:t>7200</w:t>
            </w:r>
          </w:p>
        </w:tc>
        <w:tc>
          <w:tcPr>
            <w:tcW w:w="285" w:type="pct"/>
          </w:tcPr>
          <w:p w14:paraId="69007261" w14:textId="77777777" w:rsidR="002E474C" w:rsidRDefault="00000000">
            <w:pPr>
              <w:pStyle w:val="A-"/>
              <w:rPr>
                <w:lang w:val="zh-CN"/>
              </w:rPr>
            </w:pPr>
            <w:r>
              <w:rPr>
                <w:lang w:val="zh-CN"/>
              </w:rPr>
              <w:t>正常</w:t>
            </w:r>
          </w:p>
        </w:tc>
        <w:tc>
          <w:tcPr>
            <w:tcW w:w="373" w:type="pct"/>
          </w:tcPr>
          <w:p w14:paraId="5130E966" w14:textId="77777777" w:rsidR="002E474C" w:rsidRDefault="00000000">
            <w:pPr>
              <w:pStyle w:val="A-"/>
            </w:pPr>
            <w:r>
              <w:rPr>
                <w:rFonts w:hint="eastAsia"/>
              </w:rPr>
              <w:t>0.0043</w:t>
            </w:r>
          </w:p>
        </w:tc>
        <w:tc>
          <w:tcPr>
            <w:tcW w:w="373" w:type="pct"/>
          </w:tcPr>
          <w:p w14:paraId="5C76D90D" w14:textId="77777777" w:rsidR="002E474C" w:rsidRDefault="00000000">
            <w:pPr>
              <w:pStyle w:val="A-"/>
            </w:pPr>
            <w:r>
              <w:rPr>
                <w:rFonts w:hint="eastAsia"/>
              </w:rPr>
              <w:t>0.0532</w:t>
            </w:r>
          </w:p>
        </w:tc>
        <w:tc>
          <w:tcPr>
            <w:tcW w:w="334" w:type="pct"/>
          </w:tcPr>
          <w:p w14:paraId="5671B03F" w14:textId="77777777" w:rsidR="002E474C" w:rsidRDefault="00000000">
            <w:pPr>
              <w:pStyle w:val="A-"/>
            </w:pPr>
            <w:r>
              <w:rPr>
                <w:rFonts w:hint="eastAsia"/>
              </w:rPr>
              <w:t>0.0579</w:t>
            </w:r>
          </w:p>
        </w:tc>
      </w:tr>
    </w:tbl>
    <w:p w14:paraId="61ACC981"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3CBB4B28" w14:textId="77777777" w:rsidR="002E474C" w:rsidRDefault="002E474C">
      <w:pPr>
        <w:pStyle w:val="A-0"/>
        <w:rPr>
          <w:color w:val="auto"/>
        </w:rPr>
      </w:pPr>
    </w:p>
    <w:p w14:paraId="783F0995" w14:textId="77777777" w:rsidR="002E474C" w:rsidRDefault="002E474C">
      <w:pPr>
        <w:pStyle w:val="A-0"/>
        <w:rPr>
          <w:color w:val="auto"/>
        </w:rPr>
      </w:pPr>
    </w:p>
    <w:p w14:paraId="255F80FB" w14:textId="77777777" w:rsidR="002E474C" w:rsidRDefault="00000000">
      <w:pPr>
        <w:pStyle w:val="A--"/>
        <w:rPr>
          <w:color w:val="auto"/>
        </w:rPr>
      </w:pPr>
      <w:bookmarkStart w:id="85" w:name="_Ref111293752"/>
      <w:r>
        <w:rPr>
          <w:color w:val="auto"/>
        </w:rPr>
        <w:t>表</w:t>
      </w:r>
      <w:r>
        <w:rPr>
          <w:color w:val="auto"/>
        </w:rPr>
        <w:t>2.5</w:t>
      </w:r>
      <w:r>
        <w:rPr>
          <w:color w:val="auto"/>
        </w:rPr>
        <w:noBreakHyphen/>
        <w:t>5</w:t>
      </w:r>
      <w:bookmarkEnd w:id="85"/>
      <w:r>
        <w:rPr>
          <w:color w:val="auto"/>
        </w:rPr>
        <w:t xml:space="preserve">  </w:t>
      </w:r>
      <w:r>
        <w:rPr>
          <w:color w:val="auto"/>
        </w:rPr>
        <w:t>各污染物估算模式计算结果</w:t>
      </w:r>
    </w:p>
    <w:tbl>
      <w:tblPr>
        <w:tblStyle w:val="affff9"/>
        <w:tblW w:w="5000" w:type="pct"/>
        <w:tblLayout w:type="fixed"/>
        <w:tblLook w:val="04A0" w:firstRow="1" w:lastRow="0" w:firstColumn="1" w:lastColumn="0" w:noHBand="0" w:noVBand="1"/>
      </w:tblPr>
      <w:tblGrid>
        <w:gridCol w:w="467"/>
        <w:gridCol w:w="1121"/>
        <w:gridCol w:w="630"/>
        <w:gridCol w:w="633"/>
        <w:gridCol w:w="678"/>
        <w:gridCol w:w="692"/>
        <w:gridCol w:w="692"/>
        <w:gridCol w:w="664"/>
        <w:gridCol w:w="678"/>
        <w:gridCol w:w="1004"/>
        <w:gridCol w:w="856"/>
        <w:gridCol w:w="753"/>
        <w:gridCol w:w="856"/>
        <w:gridCol w:w="887"/>
        <w:gridCol w:w="829"/>
        <w:gridCol w:w="887"/>
        <w:gridCol w:w="901"/>
        <w:gridCol w:w="720"/>
      </w:tblGrid>
      <w:tr w:rsidR="002E474C" w14:paraId="029C86AB" w14:textId="77777777">
        <w:trPr>
          <w:trHeight w:val="270"/>
        </w:trPr>
        <w:tc>
          <w:tcPr>
            <w:tcW w:w="167" w:type="pct"/>
            <w:noWrap/>
            <w:vAlign w:val="center"/>
          </w:tcPr>
          <w:p w14:paraId="5BE3EDBB" w14:textId="77777777" w:rsidR="002E474C" w:rsidRDefault="00000000">
            <w:pPr>
              <w:pStyle w:val="A-"/>
            </w:pPr>
            <w:r>
              <w:t>序号</w:t>
            </w:r>
          </w:p>
        </w:tc>
        <w:tc>
          <w:tcPr>
            <w:tcW w:w="401" w:type="pct"/>
            <w:noWrap/>
            <w:vAlign w:val="center"/>
          </w:tcPr>
          <w:p w14:paraId="522402E3" w14:textId="77777777" w:rsidR="002E474C" w:rsidRDefault="00000000">
            <w:pPr>
              <w:pStyle w:val="A-"/>
            </w:pPr>
            <w:r>
              <w:t>污染源</w:t>
            </w:r>
          </w:p>
          <w:p w14:paraId="4A8FA424" w14:textId="77777777" w:rsidR="002E474C" w:rsidRDefault="00000000">
            <w:pPr>
              <w:pStyle w:val="A-"/>
            </w:pPr>
            <w:r>
              <w:t>名称</w:t>
            </w:r>
          </w:p>
        </w:tc>
        <w:tc>
          <w:tcPr>
            <w:tcW w:w="226" w:type="pct"/>
            <w:noWrap/>
            <w:vAlign w:val="center"/>
          </w:tcPr>
          <w:p w14:paraId="0398E594" w14:textId="77777777" w:rsidR="002E474C" w:rsidRDefault="00000000">
            <w:pPr>
              <w:pStyle w:val="A-"/>
            </w:pPr>
            <w:r>
              <w:t>方位角度</w:t>
            </w:r>
          </w:p>
        </w:tc>
        <w:tc>
          <w:tcPr>
            <w:tcW w:w="227" w:type="pct"/>
            <w:noWrap/>
            <w:vAlign w:val="center"/>
          </w:tcPr>
          <w:p w14:paraId="1BAC12D8" w14:textId="77777777" w:rsidR="002E474C" w:rsidRDefault="00000000">
            <w:pPr>
              <w:pStyle w:val="A-"/>
            </w:pPr>
            <w:r>
              <w:t>离源距离</w:t>
            </w:r>
          </w:p>
        </w:tc>
        <w:tc>
          <w:tcPr>
            <w:tcW w:w="243" w:type="pct"/>
            <w:noWrap/>
            <w:vAlign w:val="center"/>
          </w:tcPr>
          <w:p w14:paraId="335BA529" w14:textId="77777777" w:rsidR="002E474C" w:rsidRDefault="00000000">
            <w:pPr>
              <w:pStyle w:val="A-"/>
            </w:pPr>
            <w:r>
              <w:t>相对源高</w:t>
            </w:r>
          </w:p>
        </w:tc>
        <w:tc>
          <w:tcPr>
            <w:tcW w:w="248" w:type="pct"/>
            <w:noWrap/>
            <w:vAlign w:val="center"/>
          </w:tcPr>
          <w:p w14:paraId="5DDBF4AD" w14:textId="77777777" w:rsidR="002E474C" w:rsidRDefault="00000000">
            <w:pPr>
              <w:pStyle w:val="A-"/>
            </w:pPr>
            <w:r>
              <w:t>铅</w:t>
            </w:r>
            <w:r>
              <w:t>Pb|D</w:t>
            </w:r>
            <w:r>
              <w:rPr>
                <w:vertAlign w:val="subscript"/>
              </w:rPr>
              <w:t>10%</w:t>
            </w:r>
          </w:p>
        </w:tc>
        <w:tc>
          <w:tcPr>
            <w:tcW w:w="248" w:type="pct"/>
            <w:noWrap/>
            <w:vAlign w:val="center"/>
          </w:tcPr>
          <w:p w14:paraId="5A46886F" w14:textId="77777777" w:rsidR="002E474C" w:rsidRDefault="00000000">
            <w:pPr>
              <w:pStyle w:val="A-"/>
            </w:pPr>
            <w:r>
              <w:t>镉</w:t>
            </w:r>
            <w:r>
              <w:t>|D</w:t>
            </w:r>
            <w:r>
              <w:rPr>
                <w:vertAlign w:val="subscript"/>
              </w:rPr>
              <w:t>10%</w:t>
            </w:r>
          </w:p>
        </w:tc>
        <w:tc>
          <w:tcPr>
            <w:tcW w:w="238" w:type="pct"/>
            <w:noWrap/>
            <w:vAlign w:val="center"/>
          </w:tcPr>
          <w:p w14:paraId="5EECE044" w14:textId="77777777" w:rsidR="002E474C" w:rsidRDefault="00000000">
            <w:pPr>
              <w:pStyle w:val="A-"/>
            </w:pPr>
            <w:r>
              <w:t>汞</w:t>
            </w:r>
            <w:r>
              <w:t>|D</w:t>
            </w:r>
            <w:r>
              <w:rPr>
                <w:vertAlign w:val="subscript"/>
              </w:rPr>
              <w:t>10%</w:t>
            </w:r>
          </w:p>
        </w:tc>
        <w:tc>
          <w:tcPr>
            <w:tcW w:w="243" w:type="pct"/>
            <w:noWrap/>
            <w:vAlign w:val="center"/>
          </w:tcPr>
          <w:p w14:paraId="406477A8" w14:textId="77777777" w:rsidR="002E474C" w:rsidRDefault="00000000">
            <w:pPr>
              <w:pStyle w:val="A-"/>
            </w:pPr>
            <w:r>
              <w:t>砷</w:t>
            </w:r>
            <w:r>
              <w:t>|D</w:t>
            </w:r>
            <w:r>
              <w:rPr>
                <w:vertAlign w:val="subscript"/>
              </w:rPr>
              <w:t>10%</w:t>
            </w:r>
          </w:p>
        </w:tc>
        <w:tc>
          <w:tcPr>
            <w:tcW w:w="359" w:type="pct"/>
            <w:noWrap/>
            <w:vAlign w:val="center"/>
          </w:tcPr>
          <w:p w14:paraId="694F3189" w14:textId="77777777" w:rsidR="002E474C" w:rsidRDefault="00000000">
            <w:pPr>
              <w:pStyle w:val="A-"/>
            </w:pPr>
            <w:r>
              <w:t>六价铬</w:t>
            </w:r>
            <w:r>
              <w:t>|D</w:t>
            </w:r>
            <w:r>
              <w:rPr>
                <w:vertAlign w:val="subscript"/>
              </w:rPr>
              <w:t>10%</w:t>
            </w:r>
          </w:p>
        </w:tc>
        <w:tc>
          <w:tcPr>
            <w:tcW w:w="306" w:type="pct"/>
            <w:noWrap/>
            <w:vAlign w:val="center"/>
          </w:tcPr>
          <w:p w14:paraId="1E2C35E1" w14:textId="77777777" w:rsidR="002E474C" w:rsidRDefault="00000000">
            <w:pPr>
              <w:pStyle w:val="A-"/>
            </w:pPr>
            <w:r>
              <w:t>氟化物</w:t>
            </w:r>
            <w:r>
              <w:t>|D</w:t>
            </w:r>
            <w:r>
              <w:rPr>
                <w:vertAlign w:val="subscript"/>
              </w:rPr>
              <w:t>10%</w:t>
            </w:r>
          </w:p>
        </w:tc>
        <w:tc>
          <w:tcPr>
            <w:tcW w:w="269" w:type="pct"/>
            <w:noWrap/>
            <w:vAlign w:val="center"/>
          </w:tcPr>
          <w:p w14:paraId="211BBBCD" w14:textId="77777777" w:rsidR="002E474C" w:rsidRDefault="00000000">
            <w:pPr>
              <w:pStyle w:val="A-"/>
            </w:pPr>
            <w:r>
              <w:t>锰</w:t>
            </w:r>
            <w:r>
              <w:t>|D</w:t>
            </w:r>
            <w:r>
              <w:rPr>
                <w:vertAlign w:val="subscript"/>
              </w:rPr>
              <w:t>10%</w:t>
            </w:r>
          </w:p>
        </w:tc>
        <w:tc>
          <w:tcPr>
            <w:tcW w:w="306" w:type="pct"/>
            <w:noWrap/>
            <w:vAlign w:val="center"/>
          </w:tcPr>
          <w:p w14:paraId="400070C1" w14:textId="77777777" w:rsidR="002E474C" w:rsidRDefault="00000000">
            <w:pPr>
              <w:pStyle w:val="A-"/>
            </w:pPr>
            <w:r>
              <w:t>氯化氢</w:t>
            </w:r>
            <w:r>
              <w:t>|D</w:t>
            </w:r>
            <w:r>
              <w:rPr>
                <w:vertAlign w:val="subscript"/>
              </w:rPr>
              <w:t>10%</w:t>
            </w:r>
          </w:p>
        </w:tc>
        <w:tc>
          <w:tcPr>
            <w:tcW w:w="317" w:type="pct"/>
            <w:noWrap/>
            <w:vAlign w:val="center"/>
          </w:tcPr>
          <w:p w14:paraId="6BF26850" w14:textId="77777777" w:rsidR="002E474C" w:rsidRDefault="00000000">
            <w:pPr>
              <w:pStyle w:val="A-"/>
            </w:pPr>
            <w:r>
              <w:t>硫化氢</w:t>
            </w:r>
            <w:r>
              <w:t>|D</w:t>
            </w:r>
            <w:r>
              <w:rPr>
                <w:vertAlign w:val="subscript"/>
              </w:rPr>
              <w:t>10%</w:t>
            </w:r>
            <w:r>
              <w:t xml:space="preserve"> </w:t>
            </w:r>
          </w:p>
        </w:tc>
        <w:tc>
          <w:tcPr>
            <w:tcW w:w="296" w:type="pct"/>
            <w:noWrap/>
            <w:vAlign w:val="center"/>
          </w:tcPr>
          <w:p w14:paraId="4D98BAD9" w14:textId="77777777" w:rsidR="002E474C" w:rsidRDefault="00000000">
            <w:pPr>
              <w:pStyle w:val="A-"/>
            </w:pPr>
            <w:r>
              <w:t>氨</w:t>
            </w:r>
            <w:r>
              <w:t>|D</w:t>
            </w:r>
            <w:r>
              <w:rPr>
                <w:vertAlign w:val="subscript"/>
              </w:rPr>
              <w:t>10%</w:t>
            </w:r>
          </w:p>
        </w:tc>
        <w:tc>
          <w:tcPr>
            <w:tcW w:w="317" w:type="pct"/>
            <w:noWrap/>
            <w:vAlign w:val="center"/>
          </w:tcPr>
          <w:p w14:paraId="77450559" w14:textId="77777777" w:rsidR="002E474C" w:rsidRDefault="00000000">
            <w:pPr>
              <w:pStyle w:val="A-"/>
            </w:pPr>
            <w:r>
              <w:t>非甲烷总烃</w:t>
            </w:r>
            <w:r>
              <w:t>|D</w:t>
            </w:r>
            <w:r>
              <w:rPr>
                <w:vertAlign w:val="subscript"/>
              </w:rPr>
              <w:t>10%</w:t>
            </w:r>
          </w:p>
        </w:tc>
        <w:tc>
          <w:tcPr>
            <w:tcW w:w="322" w:type="pct"/>
            <w:noWrap/>
            <w:vAlign w:val="center"/>
          </w:tcPr>
          <w:p w14:paraId="2DEB2477" w14:textId="77777777" w:rsidR="002E474C" w:rsidRDefault="00000000">
            <w:pPr>
              <w:pStyle w:val="A-"/>
            </w:pPr>
            <w:r>
              <w:t>二噁英类</w:t>
            </w:r>
            <w:r>
              <w:t>|D</w:t>
            </w:r>
            <w:r>
              <w:rPr>
                <w:vertAlign w:val="subscript"/>
              </w:rPr>
              <w:t>10%</w:t>
            </w:r>
          </w:p>
        </w:tc>
        <w:tc>
          <w:tcPr>
            <w:tcW w:w="257" w:type="pct"/>
            <w:noWrap/>
            <w:vAlign w:val="center"/>
          </w:tcPr>
          <w:p w14:paraId="30E2A9E5" w14:textId="77777777" w:rsidR="002E474C" w:rsidRDefault="00000000">
            <w:pPr>
              <w:pStyle w:val="A-"/>
            </w:pPr>
            <w:r>
              <w:t>镍</w:t>
            </w:r>
            <w:r>
              <w:t>|D</w:t>
            </w:r>
            <w:r>
              <w:rPr>
                <w:vertAlign w:val="subscript"/>
              </w:rPr>
              <w:t>10%</w:t>
            </w:r>
          </w:p>
        </w:tc>
      </w:tr>
      <w:tr w:rsidR="002E474C" w14:paraId="1EFDFED4" w14:textId="77777777">
        <w:trPr>
          <w:trHeight w:val="270"/>
        </w:trPr>
        <w:tc>
          <w:tcPr>
            <w:tcW w:w="568" w:type="pct"/>
            <w:gridSpan w:val="2"/>
            <w:noWrap/>
            <w:vAlign w:val="center"/>
          </w:tcPr>
          <w:p w14:paraId="49E704BE" w14:textId="77777777" w:rsidR="002E474C" w:rsidRDefault="00000000">
            <w:pPr>
              <w:pStyle w:val="A-"/>
            </w:pPr>
            <w:r>
              <w:t>单位</w:t>
            </w:r>
          </w:p>
        </w:tc>
        <w:tc>
          <w:tcPr>
            <w:tcW w:w="226" w:type="pct"/>
            <w:noWrap/>
            <w:vAlign w:val="center"/>
          </w:tcPr>
          <w:p w14:paraId="3EADD6D3" w14:textId="77777777" w:rsidR="002E474C" w:rsidRDefault="00000000">
            <w:pPr>
              <w:pStyle w:val="A-"/>
            </w:pPr>
            <w:r>
              <w:t>度</w:t>
            </w:r>
          </w:p>
        </w:tc>
        <w:tc>
          <w:tcPr>
            <w:tcW w:w="227" w:type="pct"/>
            <w:noWrap/>
            <w:vAlign w:val="center"/>
          </w:tcPr>
          <w:p w14:paraId="2E17396A" w14:textId="77777777" w:rsidR="002E474C" w:rsidRDefault="00000000">
            <w:pPr>
              <w:pStyle w:val="A-"/>
            </w:pPr>
            <w:r>
              <w:t>m</w:t>
            </w:r>
          </w:p>
        </w:tc>
        <w:tc>
          <w:tcPr>
            <w:tcW w:w="243" w:type="pct"/>
            <w:noWrap/>
          </w:tcPr>
          <w:p w14:paraId="4C026C67" w14:textId="77777777" w:rsidR="002E474C" w:rsidRDefault="00000000">
            <w:pPr>
              <w:pStyle w:val="A-"/>
            </w:pPr>
            <w:r>
              <w:t>m</w:t>
            </w:r>
          </w:p>
        </w:tc>
        <w:tc>
          <w:tcPr>
            <w:tcW w:w="248" w:type="pct"/>
            <w:noWrap/>
          </w:tcPr>
          <w:p w14:paraId="14057D8B" w14:textId="77777777" w:rsidR="002E474C" w:rsidRDefault="00000000">
            <w:pPr>
              <w:pStyle w:val="A-"/>
            </w:pPr>
            <w:r>
              <w:t>m</w:t>
            </w:r>
          </w:p>
        </w:tc>
        <w:tc>
          <w:tcPr>
            <w:tcW w:w="248" w:type="pct"/>
            <w:noWrap/>
          </w:tcPr>
          <w:p w14:paraId="31ADF3F8" w14:textId="77777777" w:rsidR="002E474C" w:rsidRDefault="00000000">
            <w:pPr>
              <w:pStyle w:val="A-"/>
            </w:pPr>
            <w:r>
              <w:t>m</w:t>
            </w:r>
          </w:p>
        </w:tc>
        <w:tc>
          <w:tcPr>
            <w:tcW w:w="238" w:type="pct"/>
            <w:noWrap/>
          </w:tcPr>
          <w:p w14:paraId="79754CF4" w14:textId="77777777" w:rsidR="002E474C" w:rsidRDefault="00000000">
            <w:pPr>
              <w:pStyle w:val="A-"/>
            </w:pPr>
            <w:r>
              <w:t>m</w:t>
            </w:r>
          </w:p>
        </w:tc>
        <w:tc>
          <w:tcPr>
            <w:tcW w:w="243" w:type="pct"/>
            <w:noWrap/>
          </w:tcPr>
          <w:p w14:paraId="24162102" w14:textId="77777777" w:rsidR="002E474C" w:rsidRDefault="00000000">
            <w:pPr>
              <w:pStyle w:val="A-"/>
            </w:pPr>
            <w:r>
              <w:t>m</w:t>
            </w:r>
          </w:p>
        </w:tc>
        <w:tc>
          <w:tcPr>
            <w:tcW w:w="359" w:type="pct"/>
            <w:noWrap/>
          </w:tcPr>
          <w:p w14:paraId="7FFD00A5" w14:textId="77777777" w:rsidR="002E474C" w:rsidRDefault="00000000">
            <w:pPr>
              <w:pStyle w:val="A-"/>
            </w:pPr>
            <w:r>
              <w:t>m</w:t>
            </w:r>
          </w:p>
        </w:tc>
        <w:tc>
          <w:tcPr>
            <w:tcW w:w="306" w:type="pct"/>
            <w:noWrap/>
          </w:tcPr>
          <w:p w14:paraId="280EBF9E" w14:textId="77777777" w:rsidR="002E474C" w:rsidRDefault="00000000">
            <w:pPr>
              <w:pStyle w:val="A-"/>
            </w:pPr>
            <w:r>
              <w:t>m</w:t>
            </w:r>
          </w:p>
        </w:tc>
        <w:tc>
          <w:tcPr>
            <w:tcW w:w="269" w:type="pct"/>
            <w:noWrap/>
          </w:tcPr>
          <w:p w14:paraId="58D9C5AC" w14:textId="77777777" w:rsidR="002E474C" w:rsidRDefault="00000000">
            <w:pPr>
              <w:pStyle w:val="A-"/>
            </w:pPr>
            <w:r>
              <w:t>m</w:t>
            </w:r>
          </w:p>
        </w:tc>
        <w:tc>
          <w:tcPr>
            <w:tcW w:w="306" w:type="pct"/>
            <w:noWrap/>
          </w:tcPr>
          <w:p w14:paraId="358136F2" w14:textId="77777777" w:rsidR="002E474C" w:rsidRDefault="00000000">
            <w:pPr>
              <w:pStyle w:val="A-"/>
            </w:pPr>
            <w:r>
              <w:t>m</w:t>
            </w:r>
          </w:p>
        </w:tc>
        <w:tc>
          <w:tcPr>
            <w:tcW w:w="317" w:type="pct"/>
            <w:noWrap/>
          </w:tcPr>
          <w:p w14:paraId="3925A520" w14:textId="77777777" w:rsidR="002E474C" w:rsidRDefault="00000000">
            <w:pPr>
              <w:pStyle w:val="A-"/>
            </w:pPr>
            <w:r>
              <w:t>m</w:t>
            </w:r>
          </w:p>
        </w:tc>
        <w:tc>
          <w:tcPr>
            <w:tcW w:w="296" w:type="pct"/>
            <w:noWrap/>
          </w:tcPr>
          <w:p w14:paraId="743C93D7" w14:textId="77777777" w:rsidR="002E474C" w:rsidRDefault="00000000">
            <w:pPr>
              <w:pStyle w:val="A-"/>
            </w:pPr>
            <w:r>
              <w:t>m</w:t>
            </w:r>
          </w:p>
        </w:tc>
        <w:tc>
          <w:tcPr>
            <w:tcW w:w="317" w:type="pct"/>
            <w:noWrap/>
          </w:tcPr>
          <w:p w14:paraId="5300896E" w14:textId="77777777" w:rsidR="002E474C" w:rsidRDefault="00000000">
            <w:pPr>
              <w:pStyle w:val="A-"/>
            </w:pPr>
            <w:r>
              <w:t>m</w:t>
            </w:r>
          </w:p>
        </w:tc>
        <w:tc>
          <w:tcPr>
            <w:tcW w:w="322" w:type="pct"/>
            <w:noWrap/>
          </w:tcPr>
          <w:p w14:paraId="56A51135" w14:textId="77777777" w:rsidR="002E474C" w:rsidRDefault="00000000">
            <w:pPr>
              <w:pStyle w:val="A-"/>
            </w:pPr>
            <w:r>
              <w:t>m</w:t>
            </w:r>
          </w:p>
        </w:tc>
        <w:tc>
          <w:tcPr>
            <w:tcW w:w="257" w:type="pct"/>
            <w:noWrap/>
          </w:tcPr>
          <w:p w14:paraId="15920CB3" w14:textId="77777777" w:rsidR="002E474C" w:rsidRDefault="00000000">
            <w:pPr>
              <w:pStyle w:val="A-"/>
            </w:pPr>
            <w:r>
              <w:t>m</w:t>
            </w:r>
          </w:p>
        </w:tc>
      </w:tr>
      <w:tr w:rsidR="002E474C" w14:paraId="5FD91FB3" w14:textId="77777777">
        <w:trPr>
          <w:trHeight w:val="270"/>
        </w:trPr>
        <w:tc>
          <w:tcPr>
            <w:tcW w:w="167" w:type="pct"/>
            <w:noWrap/>
            <w:vAlign w:val="center"/>
          </w:tcPr>
          <w:p w14:paraId="1125CFA7" w14:textId="77777777" w:rsidR="002E474C" w:rsidRDefault="00000000">
            <w:pPr>
              <w:pStyle w:val="A-"/>
            </w:pPr>
            <w:r>
              <w:t>1</w:t>
            </w:r>
          </w:p>
        </w:tc>
        <w:tc>
          <w:tcPr>
            <w:tcW w:w="401" w:type="pct"/>
            <w:noWrap/>
            <w:vAlign w:val="center"/>
          </w:tcPr>
          <w:p w14:paraId="729BFBD4" w14:textId="77777777" w:rsidR="002E474C" w:rsidRDefault="00000000">
            <w:pPr>
              <w:pStyle w:val="A-"/>
            </w:pPr>
            <w:r>
              <w:t>窑尾烟气</w:t>
            </w:r>
          </w:p>
        </w:tc>
        <w:tc>
          <w:tcPr>
            <w:tcW w:w="226" w:type="pct"/>
            <w:noWrap/>
            <w:vAlign w:val="center"/>
          </w:tcPr>
          <w:p w14:paraId="6518DCC3" w14:textId="77777777" w:rsidR="002E474C" w:rsidRDefault="00000000">
            <w:pPr>
              <w:pStyle w:val="A-"/>
            </w:pPr>
            <w:r>
              <w:t>210</w:t>
            </w:r>
          </w:p>
        </w:tc>
        <w:tc>
          <w:tcPr>
            <w:tcW w:w="227" w:type="pct"/>
            <w:noWrap/>
            <w:vAlign w:val="center"/>
          </w:tcPr>
          <w:p w14:paraId="05DA22A6" w14:textId="77777777" w:rsidR="002E474C" w:rsidRDefault="00000000">
            <w:pPr>
              <w:pStyle w:val="A-"/>
            </w:pPr>
            <w:r>
              <w:t>1610</w:t>
            </w:r>
          </w:p>
        </w:tc>
        <w:tc>
          <w:tcPr>
            <w:tcW w:w="243" w:type="pct"/>
            <w:noWrap/>
            <w:vAlign w:val="center"/>
          </w:tcPr>
          <w:p w14:paraId="1C6FECCF" w14:textId="77777777" w:rsidR="002E474C" w:rsidRDefault="00000000">
            <w:pPr>
              <w:pStyle w:val="A-"/>
            </w:pPr>
            <w:r>
              <w:t>149.9</w:t>
            </w:r>
          </w:p>
        </w:tc>
        <w:tc>
          <w:tcPr>
            <w:tcW w:w="248" w:type="pct"/>
            <w:noWrap/>
            <w:vAlign w:val="center"/>
          </w:tcPr>
          <w:p w14:paraId="0CDC8503" w14:textId="77777777" w:rsidR="002E474C" w:rsidRDefault="00000000">
            <w:pPr>
              <w:pStyle w:val="A-"/>
              <w:ind w:leftChars="-25" w:left="-53" w:rightChars="-25" w:right="-53"/>
            </w:pPr>
            <w:r>
              <w:t>0.08|0</w:t>
            </w:r>
          </w:p>
        </w:tc>
        <w:tc>
          <w:tcPr>
            <w:tcW w:w="248" w:type="pct"/>
            <w:noWrap/>
            <w:vAlign w:val="center"/>
          </w:tcPr>
          <w:p w14:paraId="02E78655" w14:textId="77777777" w:rsidR="002E474C" w:rsidRDefault="00000000">
            <w:pPr>
              <w:pStyle w:val="A-"/>
              <w:ind w:leftChars="-25" w:left="-53" w:rightChars="-25" w:right="-53"/>
            </w:pPr>
            <w:r>
              <w:t>0.36|0</w:t>
            </w:r>
          </w:p>
        </w:tc>
        <w:tc>
          <w:tcPr>
            <w:tcW w:w="238" w:type="pct"/>
            <w:noWrap/>
            <w:vAlign w:val="center"/>
          </w:tcPr>
          <w:p w14:paraId="07190DE0" w14:textId="77777777" w:rsidR="002E474C" w:rsidRDefault="00000000">
            <w:pPr>
              <w:pStyle w:val="A-"/>
              <w:ind w:leftChars="-25" w:left="-53" w:rightChars="-25" w:right="-53"/>
            </w:pPr>
            <w:r>
              <w:t>0.38|0</w:t>
            </w:r>
          </w:p>
        </w:tc>
        <w:tc>
          <w:tcPr>
            <w:tcW w:w="243" w:type="pct"/>
            <w:noWrap/>
            <w:vAlign w:val="center"/>
          </w:tcPr>
          <w:p w14:paraId="6735F72F" w14:textId="77777777" w:rsidR="002E474C" w:rsidRDefault="00000000">
            <w:pPr>
              <w:pStyle w:val="A-"/>
              <w:ind w:leftChars="-25" w:left="-53" w:rightChars="-25" w:right="-53"/>
            </w:pPr>
            <w:r>
              <w:t>0.45|0</w:t>
            </w:r>
          </w:p>
        </w:tc>
        <w:tc>
          <w:tcPr>
            <w:tcW w:w="359" w:type="pct"/>
            <w:noWrap/>
            <w:vAlign w:val="center"/>
          </w:tcPr>
          <w:p w14:paraId="1C58A860" w14:textId="77777777" w:rsidR="002E474C" w:rsidRDefault="00000000">
            <w:pPr>
              <w:pStyle w:val="A-"/>
            </w:pPr>
            <w:r>
              <w:t>65.19|12800</w:t>
            </w:r>
          </w:p>
        </w:tc>
        <w:tc>
          <w:tcPr>
            <w:tcW w:w="306" w:type="pct"/>
            <w:noWrap/>
            <w:vAlign w:val="center"/>
          </w:tcPr>
          <w:p w14:paraId="10401B0F" w14:textId="77777777" w:rsidR="002E474C" w:rsidRDefault="00000000">
            <w:pPr>
              <w:pStyle w:val="A-"/>
            </w:pPr>
            <w:r>
              <w:t>8.93|0</w:t>
            </w:r>
          </w:p>
        </w:tc>
        <w:tc>
          <w:tcPr>
            <w:tcW w:w="269" w:type="pct"/>
            <w:noWrap/>
            <w:vAlign w:val="center"/>
          </w:tcPr>
          <w:p w14:paraId="065ABA10" w14:textId="77777777" w:rsidR="002E474C" w:rsidRDefault="00000000">
            <w:pPr>
              <w:pStyle w:val="A-"/>
            </w:pPr>
            <w:r>
              <w:t>0.02|0</w:t>
            </w:r>
          </w:p>
        </w:tc>
        <w:tc>
          <w:tcPr>
            <w:tcW w:w="306" w:type="pct"/>
            <w:noWrap/>
            <w:vAlign w:val="center"/>
          </w:tcPr>
          <w:p w14:paraId="61A0A059" w14:textId="77777777" w:rsidR="002E474C" w:rsidRDefault="00000000">
            <w:pPr>
              <w:pStyle w:val="A-"/>
            </w:pPr>
            <w:r>
              <w:t>48.86|9000</w:t>
            </w:r>
          </w:p>
        </w:tc>
        <w:tc>
          <w:tcPr>
            <w:tcW w:w="317" w:type="pct"/>
            <w:noWrap/>
            <w:vAlign w:val="center"/>
          </w:tcPr>
          <w:p w14:paraId="6A345A6F" w14:textId="77777777" w:rsidR="002E474C" w:rsidRDefault="00000000">
            <w:pPr>
              <w:pStyle w:val="A-"/>
            </w:pPr>
            <w:r>
              <w:t>0.00|0</w:t>
            </w:r>
          </w:p>
        </w:tc>
        <w:tc>
          <w:tcPr>
            <w:tcW w:w="296" w:type="pct"/>
            <w:noWrap/>
            <w:vAlign w:val="center"/>
          </w:tcPr>
          <w:p w14:paraId="757E47F0" w14:textId="77777777" w:rsidR="002E474C" w:rsidRDefault="00000000">
            <w:pPr>
              <w:pStyle w:val="A-"/>
            </w:pPr>
            <w:r>
              <w:t>0.00|0</w:t>
            </w:r>
          </w:p>
        </w:tc>
        <w:tc>
          <w:tcPr>
            <w:tcW w:w="317" w:type="pct"/>
            <w:noWrap/>
            <w:vAlign w:val="center"/>
          </w:tcPr>
          <w:p w14:paraId="089AA672" w14:textId="77777777" w:rsidR="002E474C" w:rsidRDefault="00000000">
            <w:pPr>
              <w:pStyle w:val="A-"/>
            </w:pPr>
            <w:r>
              <w:t>0.00|0</w:t>
            </w:r>
          </w:p>
        </w:tc>
        <w:tc>
          <w:tcPr>
            <w:tcW w:w="322" w:type="pct"/>
            <w:noWrap/>
            <w:vAlign w:val="center"/>
          </w:tcPr>
          <w:p w14:paraId="2FF01864" w14:textId="77777777" w:rsidR="002E474C" w:rsidRDefault="00000000">
            <w:pPr>
              <w:pStyle w:val="A-"/>
            </w:pPr>
            <w:r>
              <w:t>0.00|0</w:t>
            </w:r>
          </w:p>
        </w:tc>
        <w:tc>
          <w:tcPr>
            <w:tcW w:w="257" w:type="pct"/>
            <w:noWrap/>
            <w:vAlign w:val="center"/>
          </w:tcPr>
          <w:p w14:paraId="28E477EA" w14:textId="77777777" w:rsidR="002E474C" w:rsidRDefault="00000000">
            <w:pPr>
              <w:pStyle w:val="A-"/>
              <w:ind w:leftChars="-25" w:left="-53" w:rightChars="-25" w:right="-53"/>
            </w:pPr>
            <w:r>
              <w:t>0.00|0</w:t>
            </w:r>
          </w:p>
        </w:tc>
      </w:tr>
      <w:tr w:rsidR="002E474C" w14:paraId="074B068A" w14:textId="77777777">
        <w:trPr>
          <w:trHeight w:val="270"/>
        </w:trPr>
        <w:tc>
          <w:tcPr>
            <w:tcW w:w="167" w:type="pct"/>
            <w:noWrap/>
            <w:vAlign w:val="center"/>
          </w:tcPr>
          <w:p w14:paraId="27A2121C" w14:textId="77777777" w:rsidR="002E474C" w:rsidRDefault="00000000">
            <w:pPr>
              <w:pStyle w:val="A-"/>
            </w:pPr>
            <w:r>
              <w:t>2</w:t>
            </w:r>
          </w:p>
        </w:tc>
        <w:tc>
          <w:tcPr>
            <w:tcW w:w="401" w:type="pct"/>
            <w:noWrap/>
            <w:vAlign w:val="center"/>
          </w:tcPr>
          <w:p w14:paraId="0F9D8E39" w14:textId="77777777" w:rsidR="002E474C" w:rsidRDefault="00000000">
            <w:pPr>
              <w:pStyle w:val="A-"/>
            </w:pPr>
            <w:r>
              <w:t>危废贮存废气</w:t>
            </w:r>
          </w:p>
        </w:tc>
        <w:tc>
          <w:tcPr>
            <w:tcW w:w="226" w:type="pct"/>
            <w:noWrap/>
            <w:vAlign w:val="center"/>
          </w:tcPr>
          <w:p w14:paraId="2A65D037" w14:textId="77777777" w:rsidR="002E474C" w:rsidRDefault="00000000">
            <w:pPr>
              <w:pStyle w:val="A-"/>
            </w:pPr>
            <w:r>
              <w:t>260</w:t>
            </w:r>
          </w:p>
        </w:tc>
        <w:tc>
          <w:tcPr>
            <w:tcW w:w="227" w:type="pct"/>
            <w:noWrap/>
            <w:vAlign w:val="center"/>
          </w:tcPr>
          <w:p w14:paraId="1EF1879A" w14:textId="77777777" w:rsidR="002E474C" w:rsidRDefault="00000000">
            <w:pPr>
              <w:pStyle w:val="A-"/>
            </w:pPr>
            <w:r>
              <w:t>267</w:t>
            </w:r>
          </w:p>
        </w:tc>
        <w:tc>
          <w:tcPr>
            <w:tcW w:w="243" w:type="pct"/>
            <w:noWrap/>
            <w:vAlign w:val="center"/>
          </w:tcPr>
          <w:p w14:paraId="32EBEC92" w14:textId="77777777" w:rsidR="002E474C" w:rsidRDefault="00000000">
            <w:pPr>
              <w:pStyle w:val="A-"/>
            </w:pPr>
            <w:r>
              <w:t>15.1</w:t>
            </w:r>
          </w:p>
        </w:tc>
        <w:tc>
          <w:tcPr>
            <w:tcW w:w="248" w:type="pct"/>
            <w:noWrap/>
            <w:vAlign w:val="center"/>
          </w:tcPr>
          <w:p w14:paraId="1FDF7DC6" w14:textId="77777777" w:rsidR="002E474C" w:rsidRDefault="00000000">
            <w:pPr>
              <w:pStyle w:val="A-"/>
              <w:ind w:leftChars="-25" w:left="-53" w:rightChars="-25" w:right="-53"/>
            </w:pPr>
            <w:r>
              <w:t>0.00|0</w:t>
            </w:r>
          </w:p>
        </w:tc>
        <w:tc>
          <w:tcPr>
            <w:tcW w:w="248" w:type="pct"/>
            <w:noWrap/>
            <w:vAlign w:val="center"/>
          </w:tcPr>
          <w:p w14:paraId="5BE8DB83" w14:textId="77777777" w:rsidR="002E474C" w:rsidRDefault="00000000">
            <w:pPr>
              <w:pStyle w:val="A-"/>
              <w:ind w:leftChars="-25" w:left="-53" w:rightChars="-25" w:right="-53"/>
            </w:pPr>
            <w:r>
              <w:t>0.00|0</w:t>
            </w:r>
          </w:p>
        </w:tc>
        <w:tc>
          <w:tcPr>
            <w:tcW w:w="238" w:type="pct"/>
            <w:noWrap/>
            <w:vAlign w:val="center"/>
          </w:tcPr>
          <w:p w14:paraId="0F3A0E7A" w14:textId="77777777" w:rsidR="002E474C" w:rsidRDefault="00000000">
            <w:pPr>
              <w:pStyle w:val="A-"/>
              <w:ind w:leftChars="-25" w:left="-53" w:rightChars="-25" w:right="-53"/>
            </w:pPr>
            <w:r>
              <w:t>0.00|0</w:t>
            </w:r>
          </w:p>
        </w:tc>
        <w:tc>
          <w:tcPr>
            <w:tcW w:w="243" w:type="pct"/>
            <w:noWrap/>
            <w:vAlign w:val="center"/>
          </w:tcPr>
          <w:p w14:paraId="414A28A6" w14:textId="77777777" w:rsidR="002E474C" w:rsidRDefault="00000000">
            <w:pPr>
              <w:pStyle w:val="A-"/>
              <w:ind w:leftChars="-25" w:left="-53" w:rightChars="-25" w:right="-53"/>
            </w:pPr>
            <w:r>
              <w:t>0.00|0</w:t>
            </w:r>
          </w:p>
        </w:tc>
        <w:tc>
          <w:tcPr>
            <w:tcW w:w="359" w:type="pct"/>
            <w:noWrap/>
            <w:vAlign w:val="center"/>
          </w:tcPr>
          <w:p w14:paraId="55064956" w14:textId="77777777" w:rsidR="002E474C" w:rsidRDefault="00000000">
            <w:pPr>
              <w:pStyle w:val="A-"/>
            </w:pPr>
            <w:r>
              <w:t>0.00|0</w:t>
            </w:r>
          </w:p>
        </w:tc>
        <w:tc>
          <w:tcPr>
            <w:tcW w:w="306" w:type="pct"/>
            <w:noWrap/>
            <w:vAlign w:val="center"/>
          </w:tcPr>
          <w:p w14:paraId="6D384AB2" w14:textId="77777777" w:rsidR="002E474C" w:rsidRDefault="00000000">
            <w:pPr>
              <w:pStyle w:val="A-"/>
            </w:pPr>
            <w:r>
              <w:t>0.00|0</w:t>
            </w:r>
          </w:p>
        </w:tc>
        <w:tc>
          <w:tcPr>
            <w:tcW w:w="269" w:type="pct"/>
            <w:noWrap/>
            <w:vAlign w:val="center"/>
          </w:tcPr>
          <w:p w14:paraId="2396826E" w14:textId="77777777" w:rsidR="002E474C" w:rsidRDefault="00000000">
            <w:pPr>
              <w:pStyle w:val="A-"/>
            </w:pPr>
            <w:r>
              <w:t>0.00|0</w:t>
            </w:r>
          </w:p>
        </w:tc>
        <w:tc>
          <w:tcPr>
            <w:tcW w:w="306" w:type="pct"/>
            <w:noWrap/>
            <w:vAlign w:val="center"/>
          </w:tcPr>
          <w:p w14:paraId="601681DD" w14:textId="77777777" w:rsidR="002E474C" w:rsidRDefault="00000000">
            <w:pPr>
              <w:pStyle w:val="A-"/>
            </w:pPr>
            <w:r>
              <w:t>0.00|0</w:t>
            </w:r>
          </w:p>
        </w:tc>
        <w:tc>
          <w:tcPr>
            <w:tcW w:w="317" w:type="pct"/>
            <w:noWrap/>
            <w:vAlign w:val="center"/>
          </w:tcPr>
          <w:p w14:paraId="5A80D533" w14:textId="77777777" w:rsidR="002E474C" w:rsidRDefault="00000000">
            <w:pPr>
              <w:pStyle w:val="A-"/>
            </w:pPr>
            <w:r>
              <w:t>56.16|975</w:t>
            </w:r>
          </w:p>
        </w:tc>
        <w:tc>
          <w:tcPr>
            <w:tcW w:w="296" w:type="pct"/>
            <w:noWrap/>
            <w:vAlign w:val="center"/>
          </w:tcPr>
          <w:p w14:paraId="1B7FDE2C" w14:textId="77777777" w:rsidR="002E474C" w:rsidRDefault="00000000">
            <w:pPr>
              <w:pStyle w:val="A-"/>
            </w:pPr>
            <w:r>
              <w:t>32.57|375</w:t>
            </w:r>
          </w:p>
        </w:tc>
        <w:tc>
          <w:tcPr>
            <w:tcW w:w="317" w:type="pct"/>
            <w:noWrap/>
            <w:vAlign w:val="center"/>
          </w:tcPr>
          <w:p w14:paraId="137AECE4" w14:textId="77777777" w:rsidR="002E474C" w:rsidRDefault="00000000">
            <w:pPr>
              <w:pStyle w:val="A-"/>
            </w:pPr>
            <w:r>
              <w:t>3.54|0</w:t>
            </w:r>
          </w:p>
        </w:tc>
        <w:tc>
          <w:tcPr>
            <w:tcW w:w="322" w:type="pct"/>
            <w:noWrap/>
            <w:vAlign w:val="center"/>
          </w:tcPr>
          <w:p w14:paraId="6DDEB56D" w14:textId="77777777" w:rsidR="002E474C" w:rsidRDefault="00000000">
            <w:pPr>
              <w:pStyle w:val="A-"/>
            </w:pPr>
            <w:r>
              <w:t>0.00|0</w:t>
            </w:r>
          </w:p>
        </w:tc>
        <w:tc>
          <w:tcPr>
            <w:tcW w:w="257" w:type="pct"/>
            <w:noWrap/>
            <w:vAlign w:val="center"/>
          </w:tcPr>
          <w:p w14:paraId="13E30532" w14:textId="77777777" w:rsidR="002E474C" w:rsidRDefault="00000000">
            <w:pPr>
              <w:pStyle w:val="A-"/>
              <w:ind w:leftChars="-25" w:left="-53" w:rightChars="-25" w:right="-53"/>
            </w:pPr>
            <w:r>
              <w:t>0.00|0</w:t>
            </w:r>
          </w:p>
        </w:tc>
      </w:tr>
      <w:tr w:rsidR="002E474C" w14:paraId="491A03D1" w14:textId="77777777">
        <w:trPr>
          <w:trHeight w:val="270"/>
        </w:trPr>
        <w:tc>
          <w:tcPr>
            <w:tcW w:w="167" w:type="pct"/>
            <w:noWrap/>
            <w:vAlign w:val="center"/>
          </w:tcPr>
          <w:p w14:paraId="64469886" w14:textId="77777777" w:rsidR="002E474C" w:rsidRDefault="00000000">
            <w:pPr>
              <w:pStyle w:val="A-"/>
            </w:pPr>
            <w:r>
              <w:t>3</w:t>
            </w:r>
          </w:p>
        </w:tc>
        <w:tc>
          <w:tcPr>
            <w:tcW w:w="401" w:type="pct"/>
            <w:noWrap/>
            <w:vAlign w:val="center"/>
          </w:tcPr>
          <w:p w14:paraId="035635F5" w14:textId="77777777" w:rsidR="002E474C" w:rsidRDefault="00000000">
            <w:pPr>
              <w:pStyle w:val="A-"/>
            </w:pPr>
            <w:r>
              <w:t>危废</w:t>
            </w:r>
          </w:p>
          <w:p w14:paraId="1D60B359" w14:textId="77777777" w:rsidR="002E474C" w:rsidRDefault="00000000">
            <w:pPr>
              <w:pStyle w:val="A-"/>
            </w:pPr>
            <w:r>
              <w:t>贮存库</w:t>
            </w:r>
          </w:p>
        </w:tc>
        <w:tc>
          <w:tcPr>
            <w:tcW w:w="226" w:type="pct"/>
            <w:noWrap/>
            <w:vAlign w:val="center"/>
          </w:tcPr>
          <w:p w14:paraId="21CD31C7" w14:textId="77777777" w:rsidR="002E474C" w:rsidRDefault="00000000">
            <w:pPr>
              <w:pStyle w:val="A-"/>
            </w:pPr>
            <w:r>
              <w:t>35</w:t>
            </w:r>
          </w:p>
        </w:tc>
        <w:tc>
          <w:tcPr>
            <w:tcW w:w="227" w:type="pct"/>
            <w:noWrap/>
            <w:vAlign w:val="center"/>
          </w:tcPr>
          <w:p w14:paraId="57FB6DF7" w14:textId="77777777" w:rsidR="002E474C" w:rsidRDefault="00000000">
            <w:pPr>
              <w:pStyle w:val="A-"/>
            </w:pPr>
            <w:r>
              <w:t>12</w:t>
            </w:r>
          </w:p>
        </w:tc>
        <w:tc>
          <w:tcPr>
            <w:tcW w:w="243" w:type="pct"/>
            <w:noWrap/>
            <w:vAlign w:val="center"/>
          </w:tcPr>
          <w:p w14:paraId="63B6924B" w14:textId="77777777" w:rsidR="002E474C" w:rsidRDefault="00000000">
            <w:pPr>
              <w:pStyle w:val="A-"/>
            </w:pPr>
            <w:r>
              <w:t>0</w:t>
            </w:r>
          </w:p>
        </w:tc>
        <w:tc>
          <w:tcPr>
            <w:tcW w:w="248" w:type="pct"/>
            <w:noWrap/>
            <w:vAlign w:val="center"/>
          </w:tcPr>
          <w:p w14:paraId="6E1720DC" w14:textId="77777777" w:rsidR="002E474C" w:rsidRDefault="00000000">
            <w:pPr>
              <w:pStyle w:val="A-"/>
              <w:ind w:leftChars="-25" w:left="-53" w:rightChars="-25" w:right="-53"/>
            </w:pPr>
            <w:r>
              <w:t>0.00|0</w:t>
            </w:r>
          </w:p>
        </w:tc>
        <w:tc>
          <w:tcPr>
            <w:tcW w:w="248" w:type="pct"/>
            <w:noWrap/>
            <w:vAlign w:val="center"/>
          </w:tcPr>
          <w:p w14:paraId="08547B0E" w14:textId="77777777" w:rsidR="002E474C" w:rsidRDefault="00000000">
            <w:pPr>
              <w:pStyle w:val="A-"/>
              <w:ind w:leftChars="-25" w:left="-53" w:rightChars="-25" w:right="-53"/>
            </w:pPr>
            <w:r>
              <w:t>0.00|0</w:t>
            </w:r>
          </w:p>
        </w:tc>
        <w:tc>
          <w:tcPr>
            <w:tcW w:w="238" w:type="pct"/>
            <w:noWrap/>
            <w:vAlign w:val="center"/>
          </w:tcPr>
          <w:p w14:paraId="2C01878D" w14:textId="77777777" w:rsidR="002E474C" w:rsidRDefault="00000000">
            <w:pPr>
              <w:pStyle w:val="A-"/>
              <w:ind w:leftChars="-25" w:left="-53" w:rightChars="-25" w:right="-53"/>
            </w:pPr>
            <w:r>
              <w:t>0.00|0</w:t>
            </w:r>
          </w:p>
        </w:tc>
        <w:tc>
          <w:tcPr>
            <w:tcW w:w="243" w:type="pct"/>
            <w:noWrap/>
            <w:vAlign w:val="center"/>
          </w:tcPr>
          <w:p w14:paraId="51BA004B" w14:textId="77777777" w:rsidR="002E474C" w:rsidRDefault="00000000">
            <w:pPr>
              <w:pStyle w:val="A-"/>
              <w:ind w:leftChars="-25" w:left="-53" w:rightChars="-25" w:right="-53"/>
            </w:pPr>
            <w:r>
              <w:t>0.00|0</w:t>
            </w:r>
          </w:p>
        </w:tc>
        <w:tc>
          <w:tcPr>
            <w:tcW w:w="359" w:type="pct"/>
            <w:noWrap/>
            <w:vAlign w:val="center"/>
          </w:tcPr>
          <w:p w14:paraId="67AA0F71" w14:textId="77777777" w:rsidR="002E474C" w:rsidRDefault="00000000">
            <w:pPr>
              <w:pStyle w:val="A-"/>
            </w:pPr>
            <w:r>
              <w:t>0.00|0</w:t>
            </w:r>
          </w:p>
        </w:tc>
        <w:tc>
          <w:tcPr>
            <w:tcW w:w="306" w:type="pct"/>
            <w:noWrap/>
            <w:vAlign w:val="center"/>
          </w:tcPr>
          <w:p w14:paraId="021F45DC" w14:textId="77777777" w:rsidR="002E474C" w:rsidRDefault="00000000">
            <w:pPr>
              <w:pStyle w:val="A-"/>
            </w:pPr>
            <w:r>
              <w:t>0.00|0</w:t>
            </w:r>
          </w:p>
        </w:tc>
        <w:tc>
          <w:tcPr>
            <w:tcW w:w="269" w:type="pct"/>
            <w:noWrap/>
            <w:vAlign w:val="center"/>
          </w:tcPr>
          <w:p w14:paraId="04C7BA4E" w14:textId="77777777" w:rsidR="002E474C" w:rsidRDefault="00000000">
            <w:pPr>
              <w:pStyle w:val="A-"/>
            </w:pPr>
            <w:r>
              <w:t>0.00|0</w:t>
            </w:r>
          </w:p>
        </w:tc>
        <w:tc>
          <w:tcPr>
            <w:tcW w:w="306" w:type="pct"/>
            <w:noWrap/>
            <w:vAlign w:val="center"/>
          </w:tcPr>
          <w:p w14:paraId="7D42EA59" w14:textId="77777777" w:rsidR="002E474C" w:rsidRDefault="00000000">
            <w:pPr>
              <w:pStyle w:val="A-"/>
            </w:pPr>
            <w:r>
              <w:t>0.00|0</w:t>
            </w:r>
          </w:p>
        </w:tc>
        <w:tc>
          <w:tcPr>
            <w:tcW w:w="317" w:type="pct"/>
            <w:noWrap/>
            <w:vAlign w:val="center"/>
          </w:tcPr>
          <w:p w14:paraId="0B254905" w14:textId="77777777" w:rsidR="002E474C" w:rsidRDefault="00000000">
            <w:pPr>
              <w:pStyle w:val="A-"/>
            </w:pPr>
            <w:r>
              <w:t>1.83|0</w:t>
            </w:r>
          </w:p>
        </w:tc>
        <w:tc>
          <w:tcPr>
            <w:tcW w:w="296" w:type="pct"/>
            <w:noWrap/>
            <w:vAlign w:val="center"/>
          </w:tcPr>
          <w:p w14:paraId="306EF05A" w14:textId="77777777" w:rsidR="002E474C" w:rsidRDefault="00000000">
            <w:pPr>
              <w:pStyle w:val="A-"/>
            </w:pPr>
            <w:r>
              <w:t>1.11|0</w:t>
            </w:r>
          </w:p>
        </w:tc>
        <w:tc>
          <w:tcPr>
            <w:tcW w:w="317" w:type="pct"/>
            <w:noWrap/>
            <w:vAlign w:val="center"/>
          </w:tcPr>
          <w:p w14:paraId="2B0774A1" w14:textId="77777777" w:rsidR="002E474C" w:rsidRDefault="00000000">
            <w:pPr>
              <w:pStyle w:val="A-"/>
            </w:pPr>
            <w:r>
              <w:t>0.12|0</w:t>
            </w:r>
          </w:p>
        </w:tc>
        <w:tc>
          <w:tcPr>
            <w:tcW w:w="322" w:type="pct"/>
            <w:noWrap/>
            <w:vAlign w:val="center"/>
          </w:tcPr>
          <w:p w14:paraId="58120659" w14:textId="77777777" w:rsidR="002E474C" w:rsidRDefault="00000000">
            <w:pPr>
              <w:pStyle w:val="A-"/>
            </w:pPr>
            <w:r>
              <w:t>0.00|0</w:t>
            </w:r>
          </w:p>
        </w:tc>
        <w:tc>
          <w:tcPr>
            <w:tcW w:w="257" w:type="pct"/>
            <w:noWrap/>
            <w:vAlign w:val="center"/>
          </w:tcPr>
          <w:p w14:paraId="468A7792" w14:textId="77777777" w:rsidR="002E474C" w:rsidRDefault="00000000">
            <w:pPr>
              <w:pStyle w:val="A-"/>
              <w:ind w:leftChars="-25" w:left="-53" w:rightChars="-25" w:right="-53"/>
            </w:pPr>
            <w:r>
              <w:t>0.00|0</w:t>
            </w:r>
          </w:p>
        </w:tc>
      </w:tr>
      <w:tr w:rsidR="002E474C" w14:paraId="172C8835" w14:textId="77777777">
        <w:trPr>
          <w:trHeight w:val="270"/>
        </w:trPr>
        <w:tc>
          <w:tcPr>
            <w:tcW w:w="167" w:type="pct"/>
            <w:noWrap/>
            <w:vAlign w:val="center"/>
          </w:tcPr>
          <w:p w14:paraId="0611325C" w14:textId="77777777" w:rsidR="002E474C" w:rsidRDefault="00000000">
            <w:pPr>
              <w:pStyle w:val="A-"/>
            </w:pPr>
            <w:r>
              <w:t>4</w:t>
            </w:r>
          </w:p>
        </w:tc>
        <w:tc>
          <w:tcPr>
            <w:tcW w:w="401" w:type="pct"/>
            <w:noWrap/>
            <w:vAlign w:val="center"/>
          </w:tcPr>
          <w:p w14:paraId="5CC5A732" w14:textId="77777777" w:rsidR="002E474C" w:rsidRDefault="00000000">
            <w:pPr>
              <w:pStyle w:val="A-"/>
            </w:pPr>
            <w:r>
              <w:t>固态危废预处理车间</w:t>
            </w:r>
          </w:p>
        </w:tc>
        <w:tc>
          <w:tcPr>
            <w:tcW w:w="226" w:type="pct"/>
            <w:noWrap/>
            <w:vAlign w:val="center"/>
          </w:tcPr>
          <w:p w14:paraId="25AC16B6" w14:textId="77777777" w:rsidR="002E474C" w:rsidRDefault="00000000">
            <w:pPr>
              <w:pStyle w:val="A-"/>
            </w:pPr>
            <w:r>
              <w:t>30</w:t>
            </w:r>
          </w:p>
        </w:tc>
        <w:tc>
          <w:tcPr>
            <w:tcW w:w="227" w:type="pct"/>
            <w:noWrap/>
            <w:vAlign w:val="center"/>
          </w:tcPr>
          <w:p w14:paraId="55F00D05" w14:textId="77777777" w:rsidR="002E474C" w:rsidRDefault="00000000">
            <w:pPr>
              <w:pStyle w:val="A-"/>
            </w:pPr>
            <w:r>
              <w:t>30</w:t>
            </w:r>
          </w:p>
        </w:tc>
        <w:tc>
          <w:tcPr>
            <w:tcW w:w="243" w:type="pct"/>
            <w:noWrap/>
            <w:vAlign w:val="center"/>
          </w:tcPr>
          <w:p w14:paraId="75306EE7" w14:textId="77777777" w:rsidR="002E474C" w:rsidRDefault="00000000">
            <w:pPr>
              <w:pStyle w:val="A-"/>
            </w:pPr>
            <w:r>
              <w:t>0</w:t>
            </w:r>
          </w:p>
        </w:tc>
        <w:tc>
          <w:tcPr>
            <w:tcW w:w="248" w:type="pct"/>
            <w:noWrap/>
            <w:vAlign w:val="center"/>
          </w:tcPr>
          <w:p w14:paraId="5E1B77F2" w14:textId="77777777" w:rsidR="002E474C" w:rsidRDefault="00000000">
            <w:pPr>
              <w:pStyle w:val="A-"/>
              <w:ind w:leftChars="-25" w:left="-53" w:rightChars="-25" w:right="-53"/>
            </w:pPr>
            <w:r>
              <w:t>0.00|0</w:t>
            </w:r>
          </w:p>
        </w:tc>
        <w:tc>
          <w:tcPr>
            <w:tcW w:w="248" w:type="pct"/>
            <w:noWrap/>
            <w:vAlign w:val="center"/>
          </w:tcPr>
          <w:p w14:paraId="5ED56BA2" w14:textId="77777777" w:rsidR="002E474C" w:rsidRDefault="00000000">
            <w:pPr>
              <w:pStyle w:val="A-"/>
              <w:ind w:leftChars="-25" w:left="-53" w:rightChars="-25" w:right="-53"/>
            </w:pPr>
            <w:r>
              <w:t>0.00|0</w:t>
            </w:r>
          </w:p>
        </w:tc>
        <w:tc>
          <w:tcPr>
            <w:tcW w:w="238" w:type="pct"/>
            <w:noWrap/>
            <w:vAlign w:val="center"/>
          </w:tcPr>
          <w:p w14:paraId="3C8F1532" w14:textId="77777777" w:rsidR="002E474C" w:rsidRDefault="00000000">
            <w:pPr>
              <w:pStyle w:val="A-"/>
              <w:ind w:leftChars="-25" w:left="-53" w:rightChars="-25" w:right="-53"/>
            </w:pPr>
            <w:r>
              <w:t>0.00|0</w:t>
            </w:r>
          </w:p>
        </w:tc>
        <w:tc>
          <w:tcPr>
            <w:tcW w:w="243" w:type="pct"/>
            <w:noWrap/>
            <w:vAlign w:val="center"/>
          </w:tcPr>
          <w:p w14:paraId="582CF5DB" w14:textId="77777777" w:rsidR="002E474C" w:rsidRDefault="00000000">
            <w:pPr>
              <w:pStyle w:val="A-"/>
              <w:ind w:leftChars="-25" w:left="-53" w:rightChars="-25" w:right="-53"/>
            </w:pPr>
            <w:r>
              <w:t>0.00|0</w:t>
            </w:r>
          </w:p>
        </w:tc>
        <w:tc>
          <w:tcPr>
            <w:tcW w:w="359" w:type="pct"/>
            <w:noWrap/>
            <w:vAlign w:val="center"/>
          </w:tcPr>
          <w:p w14:paraId="4FE0B277" w14:textId="77777777" w:rsidR="002E474C" w:rsidRDefault="00000000">
            <w:pPr>
              <w:pStyle w:val="A-"/>
            </w:pPr>
            <w:r>
              <w:t>0.00|0</w:t>
            </w:r>
          </w:p>
        </w:tc>
        <w:tc>
          <w:tcPr>
            <w:tcW w:w="306" w:type="pct"/>
            <w:noWrap/>
            <w:vAlign w:val="center"/>
          </w:tcPr>
          <w:p w14:paraId="7A2B6C3F" w14:textId="77777777" w:rsidR="002E474C" w:rsidRDefault="00000000">
            <w:pPr>
              <w:pStyle w:val="A-"/>
            </w:pPr>
            <w:r>
              <w:t>0.00|0</w:t>
            </w:r>
          </w:p>
        </w:tc>
        <w:tc>
          <w:tcPr>
            <w:tcW w:w="269" w:type="pct"/>
            <w:noWrap/>
            <w:vAlign w:val="center"/>
          </w:tcPr>
          <w:p w14:paraId="6EE4B81A" w14:textId="77777777" w:rsidR="002E474C" w:rsidRDefault="00000000">
            <w:pPr>
              <w:pStyle w:val="A-"/>
            </w:pPr>
            <w:r>
              <w:t>0.00|0</w:t>
            </w:r>
          </w:p>
        </w:tc>
        <w:tc>
          <w:tcPr>
            <w:tcW w:w="306" w:type="pct"/>
            <w:noWrap/>
            <w:vAlign w:val="center"/>
          </w:tcPr>
          <w:p w14:paraId="5777AA2A" w14:textId="77777777" w:rsidR="002E474C" w:rsidRDefault="00000000">
            <w:pPr>
              <w:pStyle w:val="A-"/>
            </w:pPr>
            <w:r>
              <w:t>0.00|0</w:t>
            </w:r>
          </w:p>
        </w:tc>
        <w:tc>
          <w:tcPr>
            <w:tcW w:w="317" w:type="pct"/>
            <w:noWrap/>
            <w:vAlign w:val="center"/>
          </w:tcPr>
          <w:p w14:paraId="24C7FCAE" w14:textId="77777777" w:rsidR="002E474C" w:rsidRDefault="00000000">
            <w:pPr>
              <w:pStyle w:val="A-"/>
            </w:pPr>
            <w:r>
              <w:t>3.68|0</w:t>
            </w:r>
          </w:p>
        </w:tc>
        <w:tc>
          <w:tcPr>
            <w:tcW w:w="296" w:type="pct"/>
            <w:noWrap/>
            <w:vAlign w:val="center"/>
          </w:tcPr>
          <w:p w14:paraId="27355683" w14:textId="77777777" w:rsidR="002E474C" w:rsidRDefault="00000000">
            <w:pPr>
              <w:pStyle w:val="A-"/>
            </w:pPr>
            <w:r>
              <w:t>2.25|0</w:t>
            </w:r>
          </w:p>
        </w:tc>
        <w:tc>
          <w:tcPr>
            <w:tcW w:w="317" w:type="pct"/>
            <w:noWrap/>
            <w:vAlign w:val="center"/>
          </w:tcPr>
          <w:p w14:paraId="44449504" w14:textId="77777777" w:rsidR="002E474C" w:rsidRDefault="00000000">
            <w:pPr>
              <w:pStyle w:val="A-"/>
            </w:pPr>
            <w:r>
              <w:t>0.24|0</w:t>
            </w:r>
          </w:p>
        </w:tc>
        <w:tc>
          <w:tcPr>
            <w:tcW w:w="322" w:type="pct"/>
            <w:noWrap/>
            <w:vAlign w:val="center"/>
          </w:tcPr>
          <w:p w14:paraId="1615817D" w14:textId="77777777" w:rsidR="002E474C" w:rsidRDefault="00000000">
            <w:pPr>
              <w:pStyle w:val="A-"/>
            </w:pPr>
            <w:r>
              <w:t>0.00|0</w:t>
            </w:r>
          </w:p>
        </w:tc>
        <w:tc>
          <w:tcPr>
            <w:tcW w:w="257" w:type="pct"/>
            <w:noWrap/>
            <w:vAlign w:val="center"/>
          </w:tcPr>
          <w:p w14:paraId="52155361" w14:textId="77777777" w:rsidR="002E474C" w:rsidRDefault="00000000">
            <w:pPr>
              <w:pStyle w:val="A-"/>
              <w:ind w:leftChars="-25" w:left="-53" w:rightChars="-25" w:right="-53"/>
            </w:pPr>
            <w:r>
              <w:t>0.00|0</w:t>
            </w:r>
          </w:p>
        </w:tc>
      </w:tr>
      <w:tr w:rsidR="002E474C" w14:paraId="1A4244E2" w14:textId="77777777">
        <w:trPr>
          <w:trHeight w:val="270"/>
        </w:trPr>
        <w:tc>
          <w:tcPr>
            <w:tcW w:w="167" w:type="pct"/>
            <w:noWrap/>
            <w:vAlign w:val="center"/>
          </w:tcPr>
          <w:p w14:paraId="2272162C" w14:textId="77777777" w:rsidR="002E474C" w:rsidRDefault="00000000">
            <w:pPr>
              <w:pStyle w:val="A-"/>
            </w:pPr>
            <w:r>
              <w:t>5</w:t>
            </w:r>
          </w:p>
        </w:tc>
        <w:tc>
          <w:tcPr>
            <w:tcW w:w="401" w:type="pct"/>
            <w:noWrap/>
            <w:vAlign w:val="center"/>
          </w:tcPr>
          <w:p w14:paraId="0DC96350" w14:textId="77777777" w:rsidR="002E474C" w:rsidRDefault="00000000">
            <w:pPr>
              <w:pStyle w:val="A-"/>
            </w:pPr>
            <w:r>
              <w:t>各源</w:t>
            </w:r>
          </w:p>
          <w:p w14:paraId="01F3B8ED" w14:textId="77777777" w:rsidR="002E474C" w:rsidRDefault="00000000">
            <w:pPr>
              <w:pStyle w:val="A-"/>
            </w:pPr>
            <w:r>
              <w:t>最大值</w:t>
            </w:r>
          </w:p>
        </w:tc>
        <w:tc>
          <w:tcPr>
            <w:tcW w:w="226" w:type="pct"/>
            <w:noWrap/>
            <w:vAlign w:val="center"/>
          </w:tcPr>
          <w:p w14:paraId="7E0A0CCC" w14:textId="77777777" w:rsidR="002E474C" w:rsidRDefault="00000000">
            <w:pPr>
              <w:pStyle w:val="A-"/>
            </w:pPr>
            <w:r>
              <w:t>--</w:t>
            </w:r>
          </w:p>
        </w:tc>
        <w:tc>
          <w:tcPr>
            <w:tcW w:w="227" w:type="pct"/>
            <w:noWrap/>
            <w:vAlign w:val="center"/>
          </w:tcPr>
          <w:p w14:paraId="6299F0DC" w14:textId="77777777" w:rsidR="002E474C" w:rsidRDefault="00000000">
            <w:pPr>
              <w:pStyle w:val="A-"/>
            </w:pPr>
            <w:r>
              <w:t>--</w:t>
            </w:r>
          </w:p>
        </w:tc>
        <w:tc>
          <w:tcPr>
            <w:tcW w:w="243" w:type="pct"/>
            <w:noWrap/>
            <w:vAlign w:val="center"/>
          </w:tcPr>
          <w:p w14:paraId="46BA1757" w14:textId="77777777" w:rsidR="002E474C" w:rsidRDefault="00000000">
            <w:pPr>
              <w:pStyle w:val="A-"/>
            </w:pPr>
            <w:r>
              <w:t>--</w:t>
            </w:r>
          </w:p>
        </w:tc>
        <w:tc>
          <w:tcPr>
            <w:tcW w:w="248" w:type="pct"/>
            <w:noWrap/>
            <w:vAlign w:val="center"/>
          </w:tcPr>
          <w:p w14:paraId="6C1E4243" w14:textId="77777777" w:rsidR="002E474C" w:rsidRDefault="00000000">
            <w:pPr>
              <w:pStyle w:val="A-"/>
            </w:pPr>
            <w:r>
              <w:t>0.08</w:t>
            </w:r>
          </w:p>
        </w:tc>
        <w:tc>
          <w:tcPr>
            <w:tcW w:w="248" w:type="pct"/>
            <w:noWrap/>
            <w:vAlign w:val="center"/>
          </w:tcPr>
          <w:p w14:paraId="5FE1067D" w14:textId="77777777" w:rsidR="002E474C" w:rsidRDefault="00000000">
            <w:pPr>
              <w:pStyle w:val="A-"/>
            </w:pPr>
            <w:r>
              <w:t>0.36</w:t>
            </w:r>
          </w:p>
        </w:tc>
        <w:tc>
          <w:tcPr>
            <w:tcW w:w="238" w:type="pct"/>
            <w:noWrap/>
            <w:vAlign w:val="center"/>
          </w:tcPr>
          <w:p w14:paraId="56C2D6E1" w14:textId="77777777" w:rsidR="002E474C" w:rsidRDefault="00000000">
            <w:pPr>
              <w:pStyle w:val="A-"/>
            </w:pPr>
            <w:r>
              <w:t>0.38</w:t>
            </w:r>
          </w:p>
        </w:tc>
        <w:tc>
          <w:tcPr>
            <w:tcW w:w="243" w:type="pct"/>
            <w:noWrap/>
            <w:vAlign w:val="center"/>
          </w:tcPr>
          <w:p w14:paraId="0BBA5E0B" w14:textId="77777777" w:rsidR="002E474C" w:rsidRDefault="00000000">
            <w:pPr>
              <w:pStyle w:val="A-"/>
            </w:pPr>
            <w:r>
              <w:t>0.45</w:t>
            </w:r>
          </w:p>
        </w:tc>
        <w:tc>
          <w:tcPr>
            <w:tcW w:w="359" w:type="pct"/>
            <w:noWrap/>
            <w:vAlign w:val="center"/>
          </w:tcPr>
          <w:p w14:paraId="07B6797B" w14:textId="77777777" w:rsidR="002E474C" w:rsidRDefault="00000000">
            <w:pPr>
              <w:pStyle w:val="A-"/>
            </w:pPr>
            <w:r>
              <w:t>65.19</w:t>
            </w:r>
          </w:p>
        </w:tc>
        <w:tc>
          <w:tcPr>
            <w:tcW w:w="306" w:type="pct"/>
            <w:noWrap/>
            <w:vAlign w:val="center"/>
          </w:tcPr>
          <w:p w14:paraId="7E5F20F9" w14:textId="77777777" w:rsidR="002E474C" w:rsidRDefault="00000000">
            <w:pPr>
              <w:pStyle w:val="A-"/>
            </w:pPr>
            <w:r>
              <w:t>8.93</w:t>
            </w:r>
          </w:p>
        </w:tc>
        <w:tc>
          <w:tcPr>
            <w:tcW w:w="269" w:type="pct"/>
            <w:noWrap/>
            <w:vAlign w:val="center"/>
          </w:tcPr>
          <w:p w14:paraId="2280E0A0" w14:textId="77777777" w:rsidR="002E474C" w:rsidRDefault="00000000">
            <w:pPr>
              <w:pStyle w:val="A-"/>
            </w:pPr>
            <w:r>
              <w:t>0.02</w:t>
            </w:r>
          </w:p>
        </w:tc>
        <w:tc>
          <w:tcPr>
            <w:tcW w:w="306" w:type="pct"/>
            <w:noWrap/>
            <w:vAlign w:val="center"/>
          </w:tcPr>
          <w:p w14:paraId="453630D1" w14:textId="77777777" w:rsidR="002E474C" w:rsidRDefault="00000000">
            <w:pPr>
              <w:pStyle w:val="A-"/>
            </w:pPr>
            <w:r>
              <w:t>48.86</w:t>
            </w:r>
          </w:p>
        </w:tc>
        <w:tc>
          <w:tcPr>
            <w:tcW w:w="317" w:type="pct"/>
            <w:noWrap/>
            <w:vAlign w:val="center"/>
          </w:tcPr>
          <w:p w14:paraId="4AFBA1D5" w14:textId="77777777" w:rsidR="002E474C" w:rsidRDefault="00000000">
            <w:pPr>
              <w:pStyle w:val="A-"/>
            </w:pPr>
            <w:r>
              <w:t>56.16</w:t>
            </w:r>
          </w:p>
        </w:tc>
        <w:tc>
          <w:tcPr>
            <w:tcW w:w="296" w:type="pct"/>
            <w:noWrap/>
            <w:vAlign w:val="center"/>
          </w:tcPr>
          <w:p w14:paraId="327C5567" w14:textId="77777777" w:rsidR="002E474C" w:rsidRDefault="00000000">
            <w:pPr>
              <w:pStyle w:val="A-"/>
            </w:pPr>
            <w:r>
              <w:t>32.57</w:t>
            </w:r>
          </w:p>
        </w:tc>
        <w:tc>
          <w:tcPr>
            <w:tcW w:w="317" w:type="pct"/>
            <w:noWrap/>
            <w:vAlign w:val="center"/>
          </w:tcPr>
          <w:p w14:paraId="66E50EE8" w14:textId="77777777" w:rsidR="002E474C" w:rsidRDefault="00000000">
            <w:pPr>
              <w:pStyle w:val="A-"/>
            </w:pPr>
            <w:r>
              <w:t>3.54</w:t>
            </w:r>
          </w:p>
        </w:tc>
        <w:tc>
          <w:tcPr>
            <w:tcW w:w="322" w:type="pct"/>
            <w:noWrap/>
            <w:vAlign w:val="center"/>
          </w:tcPr>
          <w:p w14:paraId="7C79C6D9" w14:textId="77777777" w:rsidR="002E474C" w:rsidRDefault="00000000">
            <w:pPr>
              <w:pStyle w:val="A-"/>
            </w:pPr>
            <w:r>
              <w:t>0</w:t>
            </w:r>
          </w:p>
        </w:tc>
        <w:tc>
          <w:tcPr>
            <w:tcW w:w="257" w:type="pct"/>
            <w:noWrap/>
            <w:vAlign w:val="center"/>
          </w:tcPr>
          <w:p w14:paraId="66CE7A9A" w14:textId="77777777" w:rsidR="002E474C" w:rsidRDefault="00000000">
            <w:pPr>
              <w:pStyle w:val="A-"/>
            </w:pPr>
            <w:r>
              <w:t>0</w:t>
            </w:r>
          </w:p>
        </w:tc>
      </w:tr>
    </w:tbl>
    <w:p w14:paraId="7B594AE5" w14:textId="77777777" w:rsidR="002E474C" w:rsidRDefault="002E474C">
      <w:pPr>
        <w:pStyle w:val="A-0"/>
        <w:rPr>
          <w:color w:val="auto"/>
        </w:rPr>
      </w:pPr>
    </w:p>
    <w:p w14:paraId="2B9B2742" w14:textId="77777777" w:rsidR="002E474C" w:rsidRDefault="002E474C">
      <w:pPr>
        <w:pStyle w:val="A-0"/>
        <w:rPr>
          <w:color w:val="auto"/>
        </w:rPr>
        <w:sectPr w:rsidR="002E474C">
          <w:pgSz w:w="16838" w:h="11906" w:orient="landscape"/>
          <w:pgMar w:top="1800" w:right="1440" w:bottom="1800" w:left="1440" w:header="851" w:footer="992" w:gutter="0"/>
          <w:cols w:space="720"/>
          <w:docGrid w:linePitch="312"/>
        </w:sectPr>
      </w:pPr>
    </w:p>
    <w:p w14:paraId="7A3DD063" w14:textId="77777777" w:rsidR="002E474C" w:rsidRDefault="00000000">
      <w:pPr>
        <w:pStyle w:val="31"/>
        <w:spacing w:before="120" w:after="120"/>
        <w:rPr>
          <w:color w:val="auto"/>
        </w:rPr>
      </w:pPr>
      <w:r>
        <w:rPr>
          <w:color w:val="auto"/>
        </w:rPr>
        <w:lastRenderedPageBreak/>
        <w:t>地表水环境</w:t>
      </w:r>
    </w:p>
    <w:p w14:paraId="307055C2" w14:textId="77777777" w:rsidR="002E474C" w:rsidRDefault="00000000">
      <w:pPr>
        <w:pStyle w:val="A-z"/>
        <w:rPr>
          <w:color w:val="auto"/>
        </w:rPr>
      </w:pPr>
      <w:r>
        <w:rPr>
          <w:color w:val="auto"/>
        </w:rPr>
        <w:t>《环境影响评价技术导则</w:t>
      </w:r>
      <w:r>
        <w:rPr>
          <w:color w:val="auto"/>
        </w:rPr>
        <w:t xml:space="preserve"> </w:t>
      </w:r>
      <w:r>
        <w:rPr>
          <w:color w:val="auto"/>
        </w:rPr>
        <w:t>地表水环境》（</w:t>
      </w:r>
      <w:r>
        <w:rPr>
          <w:color w:val="auto"/>
        </w:rPr>
        <w:t>HJ2.3-2018</w:t>
      </w:r>
      <w:r>
        <w:rPr>
          <w:color w:val="auto"/>
        </w:rPr>
        <w:t>）中地表水环境影响评价工作等级分级判据主要按照影响类型、排放方式、排放量或影响情况、受纳水体环境质量现状、水环境保护目标等综合确定。</w:t>
      </w:r>
    </w:p>
    <w:p w14:paraId="6096CD9D" w14:textId="77777777" w:rsidR="002E474C" w:rsidRDefault="00000000">
      <w:pPr>
        <w:pStyle w:val="A-z"/>
        <w:rPr>
          <w:color w:val="auto"/>
        </w:rPr>
      </w:pPr>
      <w:r>
        <w:rPr>
          <w:color w:val="auto"/>
        </w:rPr>
        <w:t>本项目产生的生产废水全部入窑焚烧，不外排。新增生活污水经管网排至厂内综合污水处理站处理后回用于生产</w:t>
      </w:r>
      <w:r>
        <w:rPr>
          <w:rFonts w:hint="eastAsia"/>
          <w:color w:val="auto"/>
        </w:rPr>
        <w:t>或绿化</w:t>
      </w:r>
      <w:r>
        <w:rPr>
          <w:color w:val="auto"/>
        </w:rPr>
        <w:t>，据此判定项目地表水评价等级为三级</w:t>
      </w:r>
      <w:r>
        <w:rPr>
          <w:color w:val="auto"/>
        </w:rPr>
        <w:t>B</w:t>
      </w:r>
      <w:r>
        <w:rPr>
          <w:color w:val="auto"/>
        </w:rPr>
        <w:t>。可不必进行地表水环境影响预测，对项目依托污水处理设施的环境可行性进行分析。</w:t>
      </w:r>
    </w:p>
    <w:p w14:paraId="145AED95" w14:textId="77777777" w:rsidR="002E474C" w:rsidRDefault="00000000">
      <w:pPr>
        <w:pStyle w:val="A-z"/>
        <w:rPr>
          <w:color w:val="auto"/>
        </w:rPr>
      </w:pPr>
      <w:r>
        <w:rPr>
          <w:color w:val="auto"/>
        </w:rPr>
        <w:t>本项目不设地表水评价范围。</w:t>
      </w:r>
    </w:p>
    <w:p w14:paraId="7F593608" w14:textId="77777777" w:rsidR="002E474C" w:rsidRDefault="00000000">
      <w:pPr>
        <w:pStyle w:val="31"/>
        <w:spacing w:before="120" w:after="120"/>
        <w:rPr>
          <w:color w:val="auto"/>
        </w:rPr>
      </w:pPr>
      <w:r>
        <w:rPr>
          <w:color w:val="auto"/>
        </w:rPr>
        <w:t>地下水环境</w:t>
      </w:r>
    </w:p>
    <w:p w14:paraId="1C7AC6FF" w14:textId="77777777" w:rsidR="002E474C" w:rsidRDefault="00000000">
      <w:pPr>
        <w:pStyle w:val="A-z"/>
        <w:rPr>
          <w:color w:val="auto"/>
        </w:rPr>
      </w:pPr>
      <w:r>
        <w:rPr>
          <w:color w:val="auto"/>
        </w:rPr>
        <w:t>（</w:t>
      </w:r>
      <w:r>
        <w:rPr>
          <w:color w:val="auto"/>
        </w:rPr>
        <w:t>1</w:t>
      </w:r>
      <w:r>
        <w:rPr>
          <w:color w:val="auto"/>
        </w:rPr>
        <w:t>）划分依据</w:t>
      </w:r>
    </w:p>
    <w:p w14:paraId="2D30E24E" w14:textId="77777777" w:rsidR="002E474C" w:rsidRDefault="00000000">
      <w:pPr>
        <w:pStyle w:val="A-z"/>
        <w:rPr>
          <w:color w:val="auto"/>
        </w:rPr>
      </w:pPr>
      <w:r>
        <w:rPr>
          <w:color w:val="auto"/>
        </w:rPr>
        <w:t>根据《环境影响评价技术导则</w:t>
      </w:r>
      <w:r>
        <w:rPr>
          <w:color w:val="auto"/>
        </w:rPr>
        <w:t xml:space="preserve"> </w:t>
      </w:r>
      <w:r>
        <w:rPr>
          <w:color w:val="auto"/>
        </w:rPr>
        <w:t>地下水环境》（</w:t>
      </w:r>
      <w:r>
        <w:rPr>
          <w:color w:val="auto"/>
        </w:rPr>
        <w:t>HJ610-2016</w:t>
      </w:r>
      <w:r>
        <w:rPr>
          <w:color w:val="auto"/>
        </w:rPr>
        <w:t>），地下水评价工作等级划分依据如下：</w:t>
      </w:r>
    </w:p>
    <w:p w14:paraId="4766909E" w14:textId="77777777" w:rsidR="002E474C" w:rsidRDefault="00000000">
      <w:pPr>
        <w:pStyle w:val="A-z"/>
        <w:rPr>
          <w:color w:val="auto"/>
        </w:rPr>
      </w:pPr>
      <w:r>
        <w:rPr>
          <w:color w:val="auto"/>
        </w:rPr>
        <w:t>1</w:t>
      </w:r>
      <w:r>
        <w:rPr>
          <w:color w:val="auto"/>
        </w:rPr>
        <w:t>）本项目地下水环境影响评价行业类别为</w:t>
      </w:r>
      <w:r>
        <w:rPr>
          <w:color w:val="auto"/>
        </w:rPr>
        <w:t>“151</w:t>
      </w:r>
      <w:r>
        <w:rPr>
          <w:color w:val="auto"/>
        </w:rPr>
        <w:t>、危险废物（含医疗废物）集中处置及综合利用</w:t>
      </w:r>
      <w:r>
        <w:rPr>
          <w:color w:val="auto"/>
        </w:rPr>
        <w:t>”</w:t>
      </w:r>
      <w:r>
        <w:rPr>
          <w:color w:val="auto"/>
        </w:rPr>
        <w:t>，地下水环境影响评价项目类别为</w:t>
      </w:r>
      <w:r>
        <w:rPr>
          <w:color w:val="auto"/>
        </w:rPr>
        <w:t>I</w:t>
      </w:r>
      <w:r>
        <w:rPr>
          <w:color w:val="auto"/>
        </w:rPr>
        <w:t>类。</w:t>
      </w:r>
    </w:p>
    <w:p w14:paraId="44C6E5C6" w14:textId="77777777" w:rsidR="002E474C" w:rsidRDefault="00000000">
      <w:pPr>
        <w:pStyle w:val="A-z"/>
        <w:rPr>
          <w:color w:val="auto"/>
        </w:rPr>
      </w:pPr>
      <w:r>
        <w:rPr>
          <w:color w:val="auto"/>
        </w:rPr>
        <w:t>2</w:t>
      </w:r>
      <w:r>
        <w:rPr>
          <w:color w:val="auto"/>
        </w:rPr>
        <w:t>）建设项目的地下水环境敏感程度可分为敏感、较敏感、不敏感三级，分级原则见表</w:t>
      </w:r>
      <w:r>
        <w:rPr>
          <w:color w:val="auto"/>
        </w:rPr>
        <w:t>2.5</w:t>
      </w:r>
      <w:r>
        <w:rPr>
          <w:color w:val="auto"/>
        </w:rPr>
        <w:noBreakHyphen/>
        <w:t>6</w:t>
      </w:r>
      <w:r>
        <w:rPr>
          <w:color w:val="auto"/>
        </w:rPr>
        <w:t>。</w:t>
      </w:r>
    </w:p>
    <w:p w14:paraId="1D69B7BF" w14:textId="77777777" w:rsidR="002E474C" w:rsidRDefault="00000000">
      <w:pPr>
        <w:pStyle w:val="A--"/>
        <w:rPr>
          <w:color w:val="auto"/>
        </w:rPr>
      </w:pPr>
      <w:bookmarkStart w:id="86" w:name="_Ref10480448"/>
      <w:r>
        <w:rPr>
          <w:color w:val="auto"/>
        </w:rPr>
        <w:t>表</w:t>
      </w:r>
      <w:r>
        <w:rPr>
          <w:color w:val="auto"/>
        </w:rPr>
        <w:t>2.5</w:t>
      </w:r>
      <w:r>
        <w:rPr>
          <w:color w:val="auto"/>
        </w:rPr>
        <w:noBreakHyphen/>
        <w:t>6</w:t>
      </w:r>
      <w:bookmarkEnd w:id="86"/>
      <w:r>
        <w:rPr>
          <w:color w:val="auto"/>
        </w:rPr>
        <w:t xml:space="preserve">  </w:t>
      </w:r>
      <w:r>
        <w:rPr>
          <w:color w:val="auto"/>
        </w:rPr>
        <w:t>地下水环境敏感程度分级表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204"/>
      </w:tblGrid>
      <w:tr w:rsidR="002E474C" w14:paraId="0B46C83D" w14:textId="77777777">
        <w:tc>
          <w:tcPr>
            <w:tcW w:w="658" w:type="pct"/>
          </w:tcPr>
          <w:p w14:paraId="7BBAD38E" w14:textId="77777777" w:rsidR="002E474C" w:rsidRDefault="00000000">
            <w:pPr>
              <w:pStyle w:val="A-"/>
            </w:pPr>
            <w:r>
              <w:t>敏感程度</w:t>
            </w:r>
          </w:p>
        </w:tc>
        <w:tc>
          <w:tcPr>
            <w:tcW w:w="4342" w:type="pct"/>
          </w:tcPr>
          <w:p w14:paraId="4952DF21" w14:textId="77777777" w:rsidR="002E474C" w:rsidRDefault="00000000">
            <w:pPr>
              <w:pStyle w:val="A-"/>
            </w:pPr>
            <w:r>
              <w:t>地下水环境敏感特征</w:t>
            </w:r>
          </w:p>
        </w:tc>
      </w:tr>
      <w:tr w:rsidR="002E474C" w14:paraId="26A553E6" w14:textId="77777777">
        <w:tc>
          <w:tcPr>
            <w:tcW w:w="658" w:type="pct"/>
          </w:tcPr>
          <w:p w14:paraId="357C7812" w14:textId="77777777" w:rsidR="002E474C" w:rsidRDefault="00000000">
            <w:pPr>
              <w:pStyle w:val="A-"/>
            </w:pPr>
            <w:r>
              <w:t>敏感</w:t>
            </w:r>
          </w:p>
        </w:tc>
        <w:tc>
          <w:tcPr>
            <w:tcW w:w="4342" w:type="pct"/>
          </w:tcPr>
          <w:p w14:paraId="03170EF4" w14:textId="77777777" w:rsidR="002E474C" w:rsidRDefault="00000000">
            <w:pPr>
              <w:pStyle w:val="A-"/>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2E474C" w14:paraId="663DE5A7" w14:textId="77777777">
        <w:tc>
          <w:tcPr>
            <w:tcW w:w="658" w:type="pct"/>
          </w:tcPr>
          <w:p w14:paraId="2F906D4F" w14:textId="77777777" w:rsidR="002E474C" w:rsidRDefault="00000000">
            <w:pPr>
              <w:pStyle w:val="A-"/>
            </w:pPr>
            <w:r>
              <w:t>较敏感</w:t>
            </w:r>
          </w:p>
        </w:tc>
        <w:tc>
          <w:tcPr>
            <w:tcW w:w="4342" w:type="pct"/>
          </w:tcPr>
          <w:p w14:paraId="52BE3681" w14:textId="77777777" w:rsidR="002E474C" w:rsidRDefault="00000000">
            <w:pPr>
              <w:pStyle w:val="A-"/>
            </w:pPr>
            <w:r>
              <w:t>集中式饮用水水源（包括已建成的在用、备用、应急水源，在建和规划的饮用水水源）准保护区以外的补给径流区；为划定准保护区的集中式饮用水水源，其保护区以外的补给径流区；分散式饮用水水源地；特殊地下水资源（如矿泉水、温泉等）保护区以外的分布区等其他未列入上述敏感分级的环境敏感区。</w:t>
            </w:r>
          </w:p>
        </w:tc>
      </w:tr>
      <w:tr w:rsidR="002E474C" w14:paraId="0FEF2ECA" w14:textId="77777777">
        <w:tc>
          <w:tcPr>
            <w:tcW w:w="658" w:type="pct"/>
          </w:tcPr>
          <w:p w14:paraId="6FA01BFF" w14:textId="77777777" w:rsidR="002E474C" w:rsidRDefault="00000000">
            <w:pPr>
              <w:pStyle w:val="A-"/>
            </w:pPr>
            <w:r>
              <w:t>不敏感</w:t>
            </w:r>
          </w:p>
        </w:tc>
        <w:tc>
          <w:tcPr>
            <w:tcW w:w="4342" w:type="pct"/>
          </w:tcPr>
          <w:p w14:paraId="6C5EE7CA" w14:textId="77777777" w:rsidR="002E474C" w:rsidRDefault="00000000">
            <w:pPr>
              <w:pStyle w:val="A-"/>
            </w:pPr>
            <w:r>
              <w:t>上述地区之外的其他地区。</w:t>
            </w:r>
          </w:p>
        </w:tc>
      </w:tr>
      <w:tr w:rsidR="002E474C" w14:paraId="46D36324" w14:textId="77777777">
        <w:tc>
          <w:tcPr>
            <w:tcW w:w="5000" w:type="pct"/>
            <w:gridSpan w:val="2"/>
          </w:tcPr>
          <w:p w14:paraId="65E2BF57" w14:textId="77777777" w:rsidR="002E474C" w:rsidRDefault="00000000">
            <w:pPr>
              <w:pStyle w:val="A-"/>
              <w:jc w:val="both"/>
            </w:pPr>
            <w:r>
              <w:t>注：</w:t>
            </w:r>
            <w:r>
              <w:t>“</w:t>
            </w:r>
            <w:r>
              <w:t>环境敏感区</w:t>
            </w:r>
            <w:r>
              <w:t>”</w:t>
            </w:r>
            <w:r>
              <w:t>是指《建设项目环境影响评价分类管理名录》中所界定的涉及地下水的环境敏感区。</w:t>
            </w:r>
          </w:p>
        </w:tc>
      </w:tr>
    </w:tbl>
    <w:p w14:paraId="368F438E" w14:textId="77777777" w:rsidR="002E474C" w:rsidRDefault="002E474C"/>
    <w:p w14:paraId="311F7282" w14:textId="77777777" w:rsidR="002E474C" w:rsidRDefault="00000000">
      <w:pPr>
        <w:pStyle w:val="A-z"/>
        <w:rPr>
          <w:color w:val="auto"/>
        </w:rPr>
      </w:pPr>
      <w:r>
        <w:rPr>
          <w:color w:val="auto"/>
        </w:rPr>
        <w:t>根据现场调查，项目所在评价区域范围内无集中式饮用水水源准保护区，无分散式饮用水水源地，无特殊地下水资源（如矿泉水、温泉等）保护区，判定项</w:t>
      </w:r>
      <w:r>
        <w:rPr>
          <w:color w:val="auto"/>
        </w:rPr>
        <w:lastRenderedPageBreak/>
        <w:t>目所在区域地下水环境为不敏感。</w:t>
      </w:r>
    </w:p>
    <w:p w14:paraId="1E78A97D" w14:textId="77777777" w:rsidR="002E474C" w:rsidRDefault="00000000">
      <w:pPr>
        <w:pStyle w:val="A-z"/>
        <w:rPr>
          <w:color w:val="auto"/>
        </w:rPr>
      </w:pPr>
      <w:r>
        <w:rPr>
          <w:color w:val="auto"/>
        </w:rPr>
        <w:t>（</w:t>
      </w:r>
      <w:r>
        <w:rPr>
          <w:color w:val="auto"/>
        </w:rPr>
        <w:t>2</w:t>
      </w:r>
      <w:r>
        <w:rPr>
          <w:color w:val="auto"/>
        </w:rPr>
        <w:t>）等级判定</w:t>
      </w:r>
    </w:p>
    <w:p w14:paraId="160AE619" w14:textId="77777777" w:rsidR="002E474C" w:rsidRDefault="00000000">
      <w:pPr>
        <w:pStyle w:val="A-z"/>
        <w:ind w:firstLine="456"/>
        <w:rPr>
          <w:color w:val="auto"/>
          <w:spacing w:val="-6"/>
        </w:rPr>
      </w:pPr>
      <w:bookmarkStart w:id="87" w:name="_Hlk60081391"/>
      <w:r>
        <w:rPr>
          <w:color w:val="auto"/>
          <w:spacing w:val="-6"/>
        </w:rPr>
        <w:t>根据《环境影响评价技术导则</w:t>
      </w:r>
      <w:r>
        <w:rPr>
          <w:color w:val="auto"/>
          <w:spacing w:val="-6"/>
        </w:rPr>
        <w:t xml:space="preserve"> </w:t>
      </w:r>
      <w:r>
        <w:rPr>
          <w:color w:val="auto"/>
          <w:spacing w:val="-6"/>
        </w:rPr>
        <w:t>地下水环境》（</w:t>
      </w:r>
      <w:r>
        <w:rPr>
          <w:color w:val="auto"/>
          <w:spacing w:val="-6"/>
        </w:rPr>
        <w:t>HJ610-2016</w:t>
      </w:r>
      <w:r>
        <w:rPr>
          <w:color w:val="auto"/>
          <w:spacing w:val="-6"/>
        </w:rPr>
        <w:t>），本建设项目属</w:t>
      </w:r>
      <w:r>
        <w:rPr>
          <w:color w:val="auto"/>
          <w:spacing w:val="-6"/>
        </w:rPr>
        <w:t>I</w:t>
      </w:r>
      <w:r>
        <w:rPr>
          <w:color w:val="auto"/>
          <w:spacing w:val="-6"/>
        </w:rPr>
        <w:t>类项目，地下水环境敏感程度分级为不敏感，地下水环境影响评价等级为二级。</w:t>
      </w:r>
      <w:bookmarkEnd w:id="87"/>
    </w:p>
    <w:p w14:paraId="3B29FDB6" w14:textId="77777777" w:rsidR="002E474C" w:rsidRDefault="00000000">
      <w:pPr>
        <w:pStyle w:val="A-z"/>
        <w:rPr>
          <w:color w:val="auto"/>
        </w:rPr>
      </w:pPr>
      <w:r>
        <w:rPr>
          <w:color w:val="auto"/>
        </w:rPr>
        <w:t>地下水评价工作等级划分依据见表</w:t>
      </w:r>
      <w:r>
        <w:rPr>
          <w:color w:val="auto"/>
        </w:rPr>
        <w:t>2.5</w:t>
      </w:r>
      <w:r>
        <w:rPr>
          <w:color w:val="auto"/>
        </w:rPr>
        <w:noBreakHyphen/>
        <w:t>7</w:t>
      </w:r>
      <w:r>
        <w:rPr>
          <w:color w:val="auto"/>
        </w:rPr>
        <w:t>。</w:t>
      </w:r>
    </w:p>
    <w:p w14:paraId="54F70489" w14:textId="77777777" w:rsidR="002E474C" w:rsidRDefault="00000000">
      <w:pPr>
        <w:pStyle w:val="A--"/>
        <w:rPr>
          <w:color w:val="auto"/>
        </w:rPr>
      </w:pPr>
      <w:bookmarkStart w:id="88" w:name="_Ref23156087"/>
      <w:bookmarkStart w:id="89" w:name="_Ref604597"/>
      <w:r>
        <w:rPr>
          <w:color w:val="auto"/>
        </w:rPr>
        <w:t>表</w:t>
      </w:r>
      <w:r>
        <w:rPr>
          <w:color w:val="auto"/>
        </w:rPr>
        <w:t>2.5</w:t>
      </w:r>
      <w:r>
        <w:rPr>
          <w:color w:val="auto"/>
        </w:rPr>
        <w:noBreakHyphen/>
        <w:t>7</w:t>
      </w:r>
      <w:bookmarkEnd w:id="88"/>
      <w:bookmarkEnd w:id="89"/>
      <w:r>
        <w:rPr>
          <w:color w:val="auto"/>
        </w:rPr>
        <w:t xml:space="preserve">  </w:t>
      </w:r>
      <w:r>
        <w:rPr>
          <w:color w:val="auto"/>
        </w:rPr>
        <w:t>地下水评价工作等级分级表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05"/>
        <w:gridCol w:w="1765"/>
        <w:gridCol w:w="1764"/>
        <w:gridCol w:w="1762"/>
      </w:tblGrid>
      <w:tr w:rsidR="002E474C" w14:paraId="230118F3" w14:textId="77777777">
        <w:trPr>
          <w:trHeight w:val="70"/>
        </w:trPr>
        <w:tc>
          <w:tcPr>
            <w:tcW w:w="1811" w:type="pct"/>
            <w:tcBorders>
              <w:top w:val="single" w:sz="4" w:space="0" w:color="auto"/>
              <w:left w:val="single" w:sz="4" w:space="0" w:color="auto"/>
              <w:bottom w:val="single" w:sz="4" w:space="0" w:color="auto"/>
              <w:right w:val="single" w:sz="4" w:space="0" w:color="auto"/>
              <w:tl2br w:val="single" w:sz="4" w:space="0" w:color="auto"/>
            </w:tcBorders>
            <w:vAlign w:val="center"/>
          </w:tcPr>
          <w:p w14:paraId="2375D84F" w14:textId="77777777" w:rsidR="002E474C" w:rsidRDefault="00000000">
            <w:pPr>
              <w:pStyle w:val="A-"/>
            </w:pPr>
            <w:r>
              <w:t xml:space="preserve">                  </w:t>
            </w:r>
            <w:r>
              <w:t>项目类别</w:t>
            </w:r>
          </w:p>
          <w:p w14:paraId="7AF80EAF" w14:textId="77777777" w:rsidR="002E474C" w:rsidRDefault="00000000">
            <w:pPr>
              <w:pStyle w:val="A-"/>
            </w:pPr>
            <w:r>
              <w:t>环境敏感程度</w:t>
            </w:r>
          </w:p>
        </w:tc>
        <w:tc>
          <w:tcPr>
            <w:tcW w:w="1064" w:type="pct"/>
            <w:tcBorders>
              <w:top w:val="single" w:sz="4" w:space="0" w:color="auto"/>
              <w:left w:val="single" w:sz="4" w:space="0" w:color="auto"/>
              <w:bottom w:val="single" w:sz="4" w:space="0" w:color="auto"/>
              <w:right w:val="single" w:sz="4" w:space="0" w:color="auto"/>
            </w:tcBorders>
            <w:vAlign w:val="center"/>
          </w:tcPr>
          <w:p w14:paraId="1958546D" w14:textId="77777777" w:rsidR="002E474C" w:rsidRDefault="00000000">
            <w:pPr>
              <w:pStyle w:val="A-"/>
            </w:pPr>
            <w:r>
              <w:t>Ⅰ</w:t>
            </w:r>
            <w:r>
              <w:t>类项目</w:t>
            </w:r>
          </w:p>
        </w:tc>
        <w:tc>
          <w:tcPr>
            <w:tcW w:w="1063" w:type="pct"/>
            <w:tcBorders>
              <w:top w:val="single" w:sz="4" w:space="0" w:color="auto"/>
              <w:left w:val="single" w:sz="4" w:space="0" w:color="auto"/>
              <w:bottom w:val="single" w:sz="4" w:space="0" w:color="auto"/>
              <w:right w:val="single" w:sz="4" w:space="0" w:color="auto"/>
            </w:tcBorders>
            <w:vAlign w:val="center"/>
          </w:tcPr>
          <w:p w14:paraId="6CAB8F05" w14:textId="77777777" w:rsidR="002E474C" w:rsidRDefault="00000000">
            <w:pPr>
              <w:pStyle w:val="A-"/>
            </w:pPr>
            <w:r>
              <w:t>Ⅱ</w:t>
            </w:r>
            <w:r>
              <w:t>类项目</w:t>
            </w:r>
          </w:p>
        </w:tc>
        <w:tc>
          <w:tcPr>
            <w:tcW w:w="1062" w:type="pct"/>
            <w:tcBorders>
              <w:top w:val="single" w:sz="4" w:space="0" w:color="auto"/>
              <w:left w:val="single" w:sz="4" w:space="0" w:color="auto"/>
              <w:bottom w:val="single" w:sz="4" w:space="0" w:color="auto"/>
              <w:right w:val="single" w:sz="4" w:space="0" w:color="auto"/>
            </w:tcBorders>
            <w:vAlign w:val="center"/>
          </w:tcPr>
          <w:p w14:paraId="0C9AA037" w14:textId="77777777" w:rsidR="002E474C" w:rsidRDefault="00000000">
            <w:pPr>
              <w:pStyle w:val="A-"/>
            </w:pPr>
            <w:r>
              <w:t>Ⅲ</w:t>
            </w:r>
            <w:r>
              <w:t>类项目</w:t>
            </w:r>
          </w:p>
        </w:tc>
      </w:tr>
      <w:tr w:rsidR="002E474C" w14:paraId="56EC76BA" w14:textId="77777777">
        <w:tc>
          <w:tcPr>
            <w:tcW w:w="1811" w:type="pct"/>
            <w:tcBorders>
              <w:top w:val="single" w:sz="4" w:space="0" w:color="auto"/>
              <w:left w:val="single" w:sz="4" w:space="0" w:color="auto"/>
              <w:bottom w:val="single" w:sz="4" w:space="0" w:color="auto"/>
              <w:right w:val="single" w:sz="4" w:space="0" w:color="auto"/>
            </w:tcBorders>
            <w:vAlign w:val="center"/>
          </w:tcPr>
          <w:p w14:paraId="7C26FA3D" w14:textId="77777777" w:rsidR="002E474C" w:rsidRDefault="00000000">
            <w:pPr>
              <w:pStyle w:val="A-"/>
            </w:pPr>
            <w:r>
              <w:t>敏感</w:t>
            </w:r>
          </w:p>
        </w:tc>
        <w:tc>
          <w:tcPr>
            <w:tcW w:w="1064" w:type="pct"/>
            <w:tcBorders>
              <w:top w:val="single" w:sz="4" w:space="0" w:color="auto"/>
              <w:left w:val="single" w:sz="4" w:space="0" w:color="auto"/>
              <w:bottom w:val="single" w:sz="4" w:space="0" w:color="auto"/>
              <w:right w:val="single" w:sz="4" w:space="0" w:color="auto"/>
            </w:tcBorders>
            <w:vAlign w:val="center"/>
          </w:tcPr>
          <w:p w14:paraId="7E5AFFCD" w14:textId="77777777" w:rsidR="002E474C" w:rsidRDefault="00000000">
            <w:pPr>
              <w:pStyle w:val="A-"/>
            </w:pPr>
            <w:r>
              <w:t>一</w:t>
            </w:r>
          </w:p>
        </w:tc>
        <w:tc>
          <w:tcPr>
            <w:tcW w:w="1063" w:type="pct"/>
            <w:tcBorders>
              <w:top w:val="single" w:sz="4" w:space="0" w:color="auto"/>
              <w:left w:val="single" w:sz="4" w:space="0" w:color="auto"/>
              <w:bottom w:val="single" w:sz="4" w:space="0" w:color="auto"/>
              <w:right w:val="single" w:sz="4" w:space="0" w:color="auto"/>
            </w:tcBorders>
            <w:vAlign w:val="center"/>
          </w:tcPr>
          <w:p w14:paraId="04144F3E" w14:textId="77777777" w:rsidR="002E474C" w:rsidRDefault="00000000">
            <w:pPr>
              <w:pStyle w:val="A-"/>
            </w:pPr>
            <w:r>
              <w:t>一</w:t>
            </w:r>
          </w:p>
        </w:tc>
        <w:tc>
          <w:tcPr>
            <w:tcW w:w="1062" w:type="pct"/>
            <w:tcBorders>
              <w:top w:val="single" w:sz="4" w:space="0" w:color="auto"/>
              <w:left w:val="single" w:sz="4" w:space="0" w:color="auto"/>
              <w:bottom w:val="single" w:sz="4" w:space="0" w:color="auto"/>
              <w:right w:val="single" w:sz="4" w:space="0" w:color="auto"/>
            </w:tcBorders>
            <w:vAlign w:val="center"/>
          </w:tcPr>
          <w:p w14:paraId="1A30A311" w14:textId="77777777" w:rsidR="002E474C" w:rsidRDefault="00000000">
            <w:pPr>
              <w:pStyle w:val="A-"/>
            </w:pPr>
            <w:r>
              <w:t>二</w:t>
            </w:r>
          </w:p>
        </w:tc>
      </w:tr>
      <w:tr w:rsidR="002E474C" w14:paraId="5250B484" w14:textId="77777777">
        <w:tc>
          <w:tcPr>
            <w:tcW w:w="1811" w:type="pct"/>
            <w:tcBorders>
              <w:top w:val="single" w:sz="4" w:space="0" w:color="auto"/>
              <w:left w:val="single" w:sz="4" w:space="0" w:color="auto"/>
              <w:bottom w:val="single" w:sz="4" w:space="0" w:color="auto"/>
              <w:right w:val="single" w:sz="4" w:space="0" w:color="auto"/>
            </w:tcBorders>
            <w:vAlign w:val="center"/>
          </w:tcPr>
          <w:p w14:paraId="48939636" w14:textId="77777777" w:rsidR="002E474C" w:rsidRDefault="00000000">
            <w:pPr>
              <w:pStyle w:val="A-"/>
            </w:pPr>
            <w:r>
              <w:t>较敏感</w:t>
            </w:r>
          </w:p>
        </w:tc>
        <w:tc>
          <w:tcPr>
            <w:tcW w:w="1064" w:type="pct"/>
            <w:tcBorders>
              <w:top w:val="single" w:sz="4" w:space="0" w:color="auto"/>
              <w:left w:val="single" w:sz="4" w:space="0" w:color="auto"/>
              <w:bottom w:val="single" w:sz="4" w:space="0" w:color="auto"/>
              <w:right w:val="single" w:sz="4" w:space="0" w:color="auto"/>
            </w:tcBorders>
            <w:vAlign w:val="center"/>
          </w:tcPr>
          <w:p w14:paraId="60F66AE2" w14:textId="77777777" w:rsidR="002E474C" w:rsidRDefault="00000000">
            <w:pPr>
              <w:pStyle w:val="A-"/>
            </w:pPr>
            <w:r>
              <w:t>一</w:t>
            </w:r>
          </w:p>
        </w:tc>
        <w:tc>
          <w:tcPr>
            <w:tcW w:w="1063" w:type="pct"/>
            <w:tcBorders>
              <w:top w:val="single" w:sz="4" w:space="0" w:color="auto"/>
              <w:left w:val="single" w:sz="4" w:space="0" w:color="auto"/>
              <w:bottom w:val="single" w:sz="4" w:space="0" w:color="auto"/>
              <w:right w:val="single" w:sz="4" w:space="0" w:color="auto"/>
            </w:tcBorders>
            <w:vAlign w:val="center"/>
          </w:tcPr>
          <w:p w14:paraId="686F5510" w14:textId="77777777" w:rsidR="002E474C" w:rsidRDefault="00000000">
            <w:pPr>
              <w:pStyle w:val="A-"/>
            </w:pPr>
            <w:r>
              <w:t>二</w:t>
            </w:r>
          </w:p>
        </w:tc>
        <w:tc>
          <w:tcPr>
            <w:tcW w:w="1062" w:type="pct"/>
            <w:tcBorders>
              <w:top w:val="single" w:sz="4" w:space="0" w:color="auto"/>
              <w:left w:val="single" w:sz="4" w:space="0" w:color="auto"/>
              <w:bottom w:val="single" w:sz="4" w:space="0" w:color="auto"/>
              <w:right w:val="single" w:sz="4" w:space="0" w:color="auto"/>
            </w:tcBorders>
            <w:vAlign w:val="center"/>
          </w:tcPr>
          <w:p w14:paraId="121F3569" w14:textId="77777777" w:rsidR="002E474C" w:rsidRDefault="00000000">
            <w:pPr>
              <w:pStyle w:val="A-"/>
            </w:pPr>
            <w:r>
              <w:t>三</w:t>
            </w:r>
          </w:p>
        </w:tc>
      </w:tr>
      <w:tr w:rsidR="002E474C" w14:paraId="61E23D3A" w14:textId="77777777">
        <w:tc>
          <w:tcPr>
            <w:tcW w:w="1811" w:type="pct"/>
            <w:tcBorders>
              <w:top w:val="single" w:sz="4" w:space="0" w:color="auto"/>
              <w:left w:val="single" w:sz="4" w:space="0" w:color="auto"/>
              <w:bottom w:val="single" w:sz="4" w:space="0" w:color="auto"/>
              <w:right w:val="single" w:sz="4" w:space="0" w:color="auto"/>
            </w:tcBorders>
            <w:vAlign w:val="center"/>
          </w:tcPr>
          <w:p w14:paraId="7D2A0EB5" w14:textId="77777777" w:rsidR="002E474C" w:rsidRDefault="00000000">
            <w:pPr>
              <w:pStyle w:val="A-"/>
            </w:pPr>
            <w:r>
              <w:t>不敏感</w:t>
            </w:r>
          </w:p>
        </w:tc>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31F07" w14:textId="77777777" w:rsidR="002E474C" w:rsidRDefault="00000000">
            <w:pPr>
              <w:pStyle w:val="A-"/>
            </w:pPr>
            <w:r>
              <w:t>二</w:t>
            </w:r>
          </w:p>
        </w:tc>
        <w:tc>
          <w:tcPr>
            <w:tcW w:w="1063" w:type="pct"/>
            <w:tcBorders>
              <w:top w:val="single" w:sz="4" w:space="0" w:color="auto"/>
              <w:left w:val="single" w:sz="4" w:space="0" w:color="auto"/>
              <w:bottom w:val="single" w:sz="4" w:space="0" w:color="auto"/>
              <w:right w:val="single" w:sz="4" w:space="0" w:color="auto"/>
            </w:tcBorders>
            <w:vAlign w:val="center"/>
          </w:tcPr>
          <w:p w14:paraId="2E4A3153" w14:textId="77777777" w:rsidR="002E474C" w:rsidRDefault="00000000">
            <w:pPr>
              <w:pStyle w:val="A-"/>
            </w:pPr>
            <w:r>
              <w:t>三</w:t>
            </w:r>
          </w:p>
        </w:tc>
        <w:tc>
          <w:tcPr>
            <w:tcW w:w="1062" w:type="pct"/>
            <w:tcBorders>
              <w:top w:val="single" w:sz="4" w:space="0" w:color="auto"/>
              <w:left w:val="single" w:sz="4" w:space="0" w:color="auto"/>
              <w:bottom w:val="single" w:sz="4" w:space="0" w:color="auto"/>
              <w:right w:val="single" w:sz="4" w:space="0" w:color="auto"/>
            </w:tcBorders>
            <w:vAlign w:val="center"/>
          </w:tcPr>
          <w:p w14:paraId="6F531890" w14:textId="77777777" w:rsidR="002E474C" w:rsidRDefault="00000000">
            <w:pPr>
              <w:pStyle w:val="A-"/>
            </w:pPr>
            <w:r>
              <w:t>三</w:t>
            </w:r>
          </w:p>
        </w:tc>
      </w:tr>
    </w:tbl>
    <w:p w14:paraId="3F53D015" w14:textId="77777777" w:rsidR="002E474C" w:rsidRDefault="002E474C"/>
    <w:p w14:paraId="0D6292B1" w14:textId="77777777" w:rsidR="002E474C" w:rsidRDefault="00000000">
      <w:pPr>
        <w:pStyle w:val="A-z"/>
        <w:rPr>
          <w:color w:val="auto"/>
        </w:rPr>
      </w:pPr>
      <w:r>
        <w:rPr>
          <w:color w:val="auto"/>
        </w:rPr>
        <w:t>（</w:t>
      </w:r>
      <w:r>
        <w:rPr>
          <w:color w:val="auto"/>
        </w:rPr>
        <w:t>3</w:t>
      </w:r>
      <w:r>
        <w:rPr>
          <w:color w:val="auto"/>
        </w:rPr>
        <w:t>）评价范围</w:t>
      </w:r>
    </w:p>
    <w:p w14:paraId="19A25AB5" w14:textId="77777777" w:rsidR="002E474C" w:rsidRDefault="00000000">
      <w:pPr>
        <w:pStyle w:val="A-z"/>
        <w:rPr>
          <w:color w:val="auto"/>
        </w:rPr>
      </w:pPr>
      <w:r>
        <w:rPr>
          <w:color w:val="auto"/>
        </w:rPr>
        <w:t>根据《环境影响评价技术导则</w:t>
      </w:r>
      <w:r>
        <w:rPr>
          <w:color w:val="auto"/>
        </w:rPr>
        <w:t xml:space="preserve"> </w:t>
      </w:r>
      <w:r>
        <w:rPr>
          <w:color w:val="auto"/>
        </w:rPr>
        <w:t>地下水环境》（</w:t>
      </w:r>
      <w:r>
        <w:rPr>
          <w:color w:val="auto"/>
        </w:rPr>
        <w:t>HJ610-2016</w:t>
      </w:r>
      <w:r>
        <w:rPr>
          <w:color w:val="auto"/>
        </w:rPr>
        <w:t>），环评采用查表法确定本项目确定地下水评价范围。评价区地下水大体由西向东流动。</w:t>
      </w:r>
      <w:bookmarkStart w:id="90" w:name="_Hlk151314092"/>
      <w:bookmarkStart w:id="91" w:name="_Hlk151316579"/>
      <w:r>
        <w:rPr>
          <w:color w:val="auto"/>
        </w:rPr>
        <w:t>评价范围为厂界上游外延</w:t>
      </w:r>
      <w:r>
        <w:rPr>
          <w:color w:val="auto"/>
        </w:rPr>
        <w:t>500m</w:t>
      </w:r>
      <w:r>
        <w:rPr>
          <w:color w:val="auto"/>
        </w:rPr>
        <w:t>，厂界外垂向两侧各外延</w:t>
      </w:r>
      <w:r>
        <w:rPr>
          <w:color w:val="auto"/>
        </w:rPr>
        <w:t>1000m</w:t>
      </w:r>
      <w:r>
        <w:rPr>
          <w:color w:val="auto"/>
        </w:rPr>
        <w:t>，下游外延</w:t>
      </w:r>
      <w:r>
        <w:rPr>
          <w:color w:val="auto"/>
        </w:rPr>
        <w:t>2000m</w:t>
      </w:r>
      <w:r>
        <w:rPr>
          <w:color w:val="auto"/>
        </w:rPr>
        <w:t>，面积约</w:t>
      </w:r>
      <w:r>
        <w:rPr>
          <w:color w:val="auto"/>
        </w:rPr>
        <w:t>8.15km</w:t>
      </w:r>
      <w:r>
        <w:rPr>
          <w:color w:val="auto"/>
          <w:vertAlign w:val="superscript"/>
        </w:rPr>
        <w:t>2</w:t>
      </w:r>
      <w:r>
        <w:rPr>
          <w:color w:val="auto"/>
        </w:rPr>
        <w:t>的区域。</w:t>
      </w:r>
      <w:bookmarkEnd w:id="90"/>
      <w:bookmarkEnd w:id="91"/>
    </w:p>
    <w:p w14:paraId="047E9365" w14:textId="77777777" w:rsidR="002E474C" w:rsidRDefault="00000000">
      <w:pPr>
        <w:pStyle w:val="31"/>
        <w:spacing w:before="120" w:after="120"/>
        <w:rPr>
          <w:color w:val="auto"/>
        </w:rPr>
      </w:pPr>
      <w:r>
        <w:rPr>
          <w:color w:val="auto"/>
        </w:rPr>
        <w:t>声环境</w:t>
      </w:r>
    </w:p>
    <w:p w14:paraId="06E941AB" w14:textId="77777777" w:rsidR="002E474C" w:rsidRDefault="00000000">
      <w:pPr>
        <w:pStyle w:val="A-z"/>
        <w:rPr>
          <w:color w:val="auto"/>
        </w:rPr>
      </w:pPr>
      <w:r>
        <w:rPr>
          <w:color w:val="auto"/>
        </w:rPr>
        <w:t>根据《环境影响评价技术导则</w:t>
      </w:r>
      <w:r>
        <w:rPr>
          <w:color w:val="auto"/>
        </w:rPr>
        <w:t xml:space="preserve"> </w:t>
      </w:r>
      <w:r>
        <w:rPr>
          <w:color w:val="auto"/>
        </w:rPr>
        <w:t>声环境》（</w:t>
      </w:r>
      <w:r>
        <w:rPr>
          <w:color w:val="auto"/>
        </w:rPr>
        <w:t>HJ2.4-2021</w:t>
      </w:r>
      <w:r>
        <w:rPr>
          <w:color w:val="auto"/>
        </w:rPr>
        <w:t>），本项目声环境功能区为</w:t>
      </w:r>
      <w:r>
        <w:rPr>
          <w:color w:val="auto"/>
        </w:rPr>
        <w:t>3</w:t>
      </w:r>
      <w:r>
        <w:rPr>
          <w:color w:val="auto"/>
        </w:rPr>
        <w:t>类，建成前后评价范围内无声环境保护目标，且受影响人口数量变化不大，据此确定本项目噪声环境影响评价工作等级为三级。声环境影响评价工作等级判据详见表</w:t>
      </w:r>
      <w:r>
        <w:rPr>
          <w:color w:val="auto"/>
        </w:rPr>
        <w:t>2.5</w:t>
      </w:r>
      <w:r>
        <w:rPr>
          <w:color w:val="auto"/>
        </w:rPr>
        <w:noBreakHyphen/>
        <w:t>8</w:t>
      </w:r>
      <w:r>
        <w:rPr>
          <w:color w:val="auto"/>
        </w:rPr>
        <w:t>。</w:t>
      </w:r>
    </w:p>
    <w:p w14:paraId="3D88E489" w14:textId="77777777" w:rsidR="002E474C" w:rsidRDefault="00000000">
      <w:pPr>
        <w:pStyle w:val="A--"/>
        <w:rPr>
          <w:color w:val="auto"/>
        </w:rPr>
      </w:pPr>
      <w:bookmarkStart w:id="92" w:name="_Ref48129105"/>
      <w:r>
        <w:rPr>
          <w:color w:val="auto"/>
        </w:rPr>
        <w:t>表</w:t>
      </w:r>
      <w:r>
        <w:rPr>
          <w:color w:val="auto"/>
        </w:rPr>
        <w:t>2.5</w:t>
      </w:r>
      <w:r>
        <w:rPr>
          <w:color w:val="auto"/>
        </w:rPr>
        <w:noBreakHyphen/>
        <w:t>8</w:t>
      </w:r>
      <w:bookmarkEnd w:id="92"/>
      <w:r>
        <w:rPr>
          <w:color w:val="auto"/>
        </w:rPr>
        <w:t xml:space="preserve">  </w:t>
      </w:r>
      <w:r>
        <w:rPr>
          <w:color w:val="auto"/>
        </w:rPr>
        <w:t>声环境影响评价工作等级判据表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563"/>
        <w:gridCol w:w="3557"/>
        <w:gridCol w:w="2056"/>
      </w:tblGrid>
      <w:tr w:rsidR="002E474C" w14:paraId="3E80FADD" w14:textId="77777777">
        <w:tc>
          <w:tcPr>
            <w:tcW w:w="675" w:type="pct"/>
            <w:shd w:val="clear" w:color="auto" w:fill="auto"/>
            <w:vAlign w:val="center"/>
          </w:tcPr>
          <w:p w14:paraId="47B42413" w14:textId="77777777" w:rsidR="002E474C" w:rsidRDefault="00000000">
            <w:pPr>
              <w:pStyle w:val="A-"/>
            </w:pPr>
            <w:r>
              <w:t>评价等级</w:t>
            </w:r>
          </w:p>
        </w:tc>
        <w:tc>
          <w:tcPr>
            <w:tcW w:w="942" w:type="pct"/>
            <w:vAlign w:val="center"/>
          </w:tcPr>
          <w:p w14:paraId="64D8D19B" w14:textId="77777777" w:rsidR="002E474C" w:rsidRDefault="00000000">
            <w:pPr>
              <w:pStyle w:val="A-"/>
            </w:pPr>
            <w:r>
              <w:t>声环境功能区</w:t>
            </w:r>
          </w:p>
        </w:tc>
        <w:tc>
          <w:tcPr>
            <w:tcW w:w="2144" w:type="pct"/>
            <w:vAlign w:val="center"/>
          </w:tcPr>
          <w:p w14:paraId="6CEE05F1" w14:textId="77777777" w:rsidR="002E474C" w:rsidRDefault="00000000">
            <w:pPr>
              <w:pStyle w:val="A-"/>
            </w:pPr>
            <w:r>
              <w:t>建设项目建设前后评价范围内声环境保护目标噪声级增量</w:t>
            </w:r>
          </w:p>
        </w:tc>
        <w:tc>
          <w:tcPr>
            <w:tcW w:w="1239" w:type="pct"/>
            <w:shd w:val="clear" w:color="auto" w:fill="auto"/>
            <w:vAlign w:val="center"/>
          </w:tcPr>
          <w:p w14:paraId="0266D834" w14:textId="77777777" w:rsidR="002E474C" w:rsidRDefault="00000000">
            <w:pPr>
              <w:pStyle w:val="A-"/>
            </w:pPr>
            <w:r>
              <w:t>受影响人口数量</w:t>
            </w:r>
          </w:p>
        </w:tc>
      </w:tr>
      <w:tr w:rsidR="002E474C" w14:paraId="2E0CEEAA" w14:textId="77777777">
        <w:tc>
          <w:tcPr>
            <w:tcW w:w="675" w:type="pct"/>
            <w:shd w:val="clear" w:color="auto" w:fill="auto"/>
            <w:vAlign w:val="center"/>
          </w:tcPr>
          <w:p w14:paraId="7524BE0F" w14:textId="77777777" w:rsidR="002E474C" w:rsidRDefault="00000000">
            <w:pPr>
              <w:pStyle w:val="A-"/>
            </w:pPr>
            <w:r>
              <w:t>一级</w:t>
            </w:r>
          </w:p>
        </w:tc>
        <w:tc>
          <w:tcPr>
            <w:tcW w:w="942" w:type="pct"/>
            <w:vAlign w:val="center"/>
          </w:tcPr>
          <w:p w14:paraId="1D9C4B20" w14:textId="77777777" w:rsidR="002E474C" w:rsidRDefault="00000000">
            <w:pPr>
              <w:pStyle w:val="A-"/>
            </w:pPr>
            <w:r>
              <w:t>0</w:t>
            </w:r>
            <w:r>
              <w:t>类</w:t>
            </w:r>
          </w:p>
        </w:tc>
        <w:tc>
          <w:tcPr>
            <w:tcW w:w="2144" w:type="pct"/>
            <w:vAlign w:val="center"/>
          </w:tcPr>
          <w:p w14:paraId="0FFABFE7" w14:textId="77777777" w:rsidR="002E474C" w:rsidRDefault="00000000">
            <w:pPr>
              <w:pStyle w:val="A-"/>
            </w:pPr>
            <w:r>
              <w:t>（或）</w:t>
            </w:r>
            <w:r>
              <w:t>5 dB(A)</w:t>
            </w:r>
            <w:r>
              <w:t>以上（不含</w:t>
            </w:r>
            <w:r>
              <w:t>5dB(A)</w:t>
            </w:r>
            <w:r>
              <w:t>）</w:t>
            </w:r>
          </w:p>
        </w:tc>
        <w:tc>
          <w:tcPr>
            <w:tcW w:w="1239" w:type="pct"/>
            <w:shd w:val="clear" w:color="auto" w:fill="auto"/>
            <w:vAlign w:val="center"/>
          </w:tcPr>
          <w:p w14:paraId="21A0BA04" w14:textId="77777777" w:rsidR="002E474C" w:rsidRDefault="00000000">
            <w:pPr>
              <w:pStyle w:val="A-"/>
            </w:pPr>
            <w:r>
              <w:t>（或）显著增加</w:t>
            </w:r>
          </w:p>
        </w:tc>
      </w:tr>
      <w:tr w:rsidR="002E474C" w14:paraId="4AA9C16F" w14:textId="77777777">
        <w:tc>
          <w:tcPr>
            <w:tcW w:w="675" w:type="pct"/>
            <w:shd w:val="clear" w:color="auto" w:fill="auto"/>
            <w:vAlign w:val="center"/>
          </w:tcPr>
          <w:p w14:paraId="412CC6F9" w14:textId="77777777" w:rsidR="002E474C" w:rsidRDefault="00000000">
            <w:pPr>
              <w:pStyle w:val="A-"/>
            </w:pPr>
            <w:r>
              <w:t>二级</w:t>
            </w:r>
          </w:p>
        </w:tc>
        <w:tc>
          <w:tcPr>
            <w:tcW w:w="942" w:type="pct"/>
            <w:vAlign w:val="center"/>
          </w:tcPr>
          <w:p w14:paraId="6DDA28C7" w14:textId="77777777" w:rsidR="002E474C" w:rsidRDefault="00000000">
            <w:pPr>
              <w:pStyle w:val="A-"/>
            </w:pPr>
            <w:r>
              <w:t>1</w:t>
            </w:r>
            <w:r>
              <w:t>、</w:t>
            </w:r>
            <w:r>
              <w:t>2</w:t>
            </w:r>
            <w:r>
              <w:t>类</w:t>
            </w:r>
          </w:p>
        </w:tc>
        <w:tc>
          <w:tcPr>
            <w:tcW w:w="2144" w:type="pct"/>
            <w:vAlign w:val="center"/>
          </w:tcPr>
          <w:p w14:paraId="655B50D4" w14:textId="77777777" w:rsidR="002E474C" w:rsidRDefault="00000000">
            <w:pPr>
              <w:pStyle w:val="A-"/>
            </w:pPr>
            <w:r>
              <w:t>（或）</w:t>
            </w:r>
            <w:r>
              <w:t>3 dB(A)</w:t>
            </w:r>
            <w:r>
              <w:t>～</w:t>
            </w:r>
            <w:r>
              <w:t>5 dB(A)</w:t>
            </w:r>
          </w:p>
        </w:tc>
        <w:tc>
          <w:tcPr>
            <w:tcW w:w="1239" w:type="pct"/>
            <w:shd w:val="clear" w:color="auto" w:fill="auto"/>
            <w:vAlign w:val="center"/>
          </w:tcPr>
          <w:p w14:paraId="7B38BCA3" w14:textId="77777777" w:rsidR="002E474C" w:rsidRDefault="00000000">
            <w:pPr>
              <w:pStyle w:val="A-"/>
            </w:pPr>
            <w:r>
              <w:t>（或）增加较多</w:t>
            </w:r>
          </w:p>
        </w:tc>
      </w:tr>
      <w:tr w:rsidR="002E474C" w14:paraId="7EEDAAB8" w14:textId="77777777">
        <w:tc>
          <w:tcPr>
            <w:tcW w:w="675" w:type="pct"/>
            <w:shd w:val="clear" w:color="auto" w:fill="auto"/>
            <w:vAlign w:val="center"/>
          </w:tcPr>
          <w:p w14:paraId="6D6EA1DA" w14:textId="77777777" w:rsidR="002E474C" w:rsidRDefault="00000000">
            <w:pPr>
              <w:pStyle w:val="A-"/>
            </w:pPr>
            <w:r>
              <w:t>三级</w:t>
            </w:r>
          </w:p>
        </w:tc>
        <w:tc>
          <w:tcPr>
            <w:tcW w:w="942" w:type="pct"/>
            <w:vAlign w:val="center"/>
          </w:tcPr>
          <w:p w14:paraId="484422ED" w14:textId="77777777" w:rsidR="002E474C" w:rsidRDefault="00000000">
            <w:pPr>
              <w:pStyle w:val="A-"/>
            </w:pPr>
            <w:r>
              <w:t>3</w:t>
            </w:r>
            <w:r>
              <w:t>、</w:t>
            </w:r>
            <w:r>
              <w:t>4</w:t>
            </w:r>
            <w:r>
              <w:t>类</w:t>
            </w:r>
          </w:p>
        </w:tc>
        <w:tc>
          <w:tcPr>
            <w:tcW w:w="2144" w:type="pct"/>
            <w:vAlign w:val="center"/>
          </w:tcPr>
          <w:p w14:paraId="78FCCC50" w14:textId="77777777" w:rsidR="002E474C" w:rsidRDefault="00000000">
            <w:pPr>
              <w:pStyle w:val="A-"/>
            </w:pPr>
            <w:r>
              <w:t>（或）</w:t>
            </w:r>
            <w:r>
              <w:t>3 dB(A)</w:t>
            </w:r>
            <w:r>
              <w:t>以下（不含</w:t>
            </w:r>
            <w:r>
              <w:t>3 dB(A)</w:t>
            </w:r>
            <w:r>
              <w:t>）</w:t>
            </w:r>
          </w:p>
        </w:tc>
        <w:tc>
          <w:tcPr>
            <w:tcW w:w="1239" w:type="pct"/>
            <w:shd w:val="clear" w:color="auto" w:fill="auto"/>
            <w:vAlign w:val="center"/>
          </w:tcPr>
          <w:p w14:paraId="153720B0" w14:textId="77777777" w:rsidR="002E474C" w:rsidRDefault="00000000">
            <w:pPr>
              <w:pStyle w:val="A-"/>
            </w:pPr>
            <w:r>
              <w:t>（且）变化不大</w:t>
            </w:r>
          </w:p>
        </w:tc>
      </w:tr>
    </w:tbl>
    <w:p w14:paraId="7EBB4A2E" w14:textId="77777777" w:rsidR="002E474C" w:rsidRDefault="002E474C"/>
    <w:p w14:paraId="7219B1EE" w14:textId="77777777" w:rsidR="002E474C" w:rsidRDefault="00000000">
      <w:pPr>
        <w:pStyle w:val="A-z"/>
        <w:rPr>
          <w:color w:val="auto"/>
        </w:rPr>
      </w:pPr>
      <w:r>
        <w:rPr>
          <w:color w:val="auto"/>
        </w:rPr>
        <w:t>本项目噪声评价范围为厂界外</w:t>
      </w:r>
      <w:r>
        <w:rPr>
          <w:color w:val="auto"/>
        </w:rPr>
        <w:t>200m</w:t>
      </w:r>
      <w:r>
        <w:rPr>
          <w:color w:val="auto"/>
        </w:rPr>
        <w:t>范围</w:t>
      </w:r>
      <w:r>
        <w:rPr>
          <w:rFonts w:hint="eastAsia"/>
          <w:color w:val="auto"/>
          <w:lang w:val="en-US"/>
        </w:rPr>
        <w:t>内</w:t>
      </w:r>
      <w:r>
        <w:rPr>
          <w:color w:val="auto"/>
        </w:rPr>
        <w:t>。</w:t>
      </w:r>
    </w:p>
    <w:p w14:paraId="5ECBF4F7" w14:textId="77777777" w:rsidR="002E474C" w:rsidRDefault="00000000">
      <w:pPr>
        <w:pStyle w:val="31"/>
        <w:spacing w:before="120" w:after="120"/>
        <w:rPr>
          <w:color w:val="auto"/>
        </w:rPr>
      </w:pPr>
      <w:r>
        <w:rPr>
          <w:color w:val="auto"/>
        </w:rPr>
        <w:tab/>
      </w:r>
      <w:r>
        <w:rPr>
          <w:color w:val="auto"/>
        </w:rPr>
        <w:t>土壤环境</w:t>
      </w:r>
    </w:p>
    <w:p w14:paraId="51818B29" w14:textId="77777777" w:rsidR="002E474C" w:rsidRDefault="00000000">
      <w:pPr>
        <w:pStyle w:val="A-z"/>
        <w:rPr>
          <w:color w:val="auto"/>
        </w:rPr>
      </w:pPr>
      <w:r>
        <w:rPr>
          <w:rFonts w:hint="eastAsia"/>
          <w:color w:val="auto"/>
        </w:rPr>
        <w:t>（</w:t>
      </w:r>
      <w:r>
        <w:rPr>
          <w:rFonts w:hint="eastAsia"/>
          <w:color w:val="auto"/>
          <w:lang w:val="en-US"/>
        </w:rPr>
        <w:t>1</w:t>
      </w:r>
      <w:r>
        <w:rPr>
          <w:rFonts w:hint="eastAsia"/>
          <w:color w:val="auto"/>
        </w:rPr>
        <w:t>）</w:t>
      </w:r>
      <w:r>
        <w:rPr>
          <w:color w:val="auto"/>
        </w:rPr>
        <w:t>土壤环境影响评价项目类别</w:t>
      </w:r>
    </w:p>
    <w:p w14:paraId="71C47F28"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），本项目</w:t>
      </w:r>
      <w:r>
        <w:rPr>
          <w:color w:val="auto"/>
        </w:rPr>
        <w:lastRenderedPageBreak/>
        <w:t>为环境和公共设施管理业，项目类别为</w:t>
      </w:r>
      <w:r>
        <w:rPr>
          <w:color w:val="auto"/>
        </w:rPr>
        <w:t>Ⅰ</w:t>
      </w:r>
      <w:r>
        <w:rPr>
          <w:color w:val="auto"/>
        </w:rPr>
        <w:t>类危险废物利用及处置。</w:t>
      </w:r>
    </w:p>
    <w:p w14:paraId="1A4F0484" w14:textId="77777777" w:rsidR="002E474C" w:rsidRDefault="00000000">
      <w:pPr>
        <w:pStyle w:val="A-z"/>
        <w:rPr>
          <w:color w:val="auto"/>
        </w:rPr>
      </w:pPr>
      <w:r>
        <w:rPr>
          <w:color w:val="auto"/>
        </w:rPr>
        <w:t>（</w:t>
      </w:r>
      <w:r>
        <w:rPr>
          <w:color w:val="auto"/>
        </w:rPr>
        <w:t>2</w:t>
      </w:r>
      <w:r>
        <w:rPr>
          <w:color w:val="auto"/>
        </w:rPr>
        <w:t>）项目占地规模</w:t>
      </w:r>
    </w:p>
    <w:p w14:paraId="646CED7B"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 964-2018</w:t>
      </w:r>
      <w:r>
        <w:rPr>
          <w:color w:val="auto"/>
        </w:rPr>
        <w:t>），污染影响型项目工程永久占地面积分为大型（</w:t>
      </w:r>
      <w:r>
        <w:rPr>
          <w:color w:val="auto"/>
        </w:rPr>
        <w:t>≥50hm</w:t>
      </w:r>
      <w:r>
        <w:rPr>
          <w:color w:val="auto"/>
          <w:vertAlign w:val="superscript"/>
        </w:rPr>
        <w:t>2</w:t>
      </w:r>
      <w:r>
        <w:rPr>
          <w:color w:val="auto"/>
        </w:rPr>
        <w:t>）、中型（</w:t>
      </w:r>
      <w:r>
        <w:rPr>
          <w:color w:val="auto"/>
        </w:rPr>
        <w:t>5~50hm</w:t>
      </w:r>
      <w:r>
        <w:rPr>
          <w:color w:val="auto"/>
          <w:vertAlign w:val="superscript"/>
        </w:rPr>
        <w:t>2</w:t>
      </w:r>
      <w:r>
        <w:rPr>
          <w:color w:val="auto"/>
        </w:rPr>
        <w:t>）、小型（</w:t>
      </w:r>
      <w:r>
        <w:rPr>
          <w:color w:val="auto"/>
        </w:rPr>
        <w:t>≤5hm</w:t>
      </w:r>
      <w:r>
        <w:rPr>
          <w:color w:val="auto"/>
          <w:vertAlign w:val="superscript"/>
        </w:rPr>
        <w:t>2</w:t>
      </w:r>
      <w:r>
        <w:rPr>
          <w:color w:val="auto"/>
        </w:rPr>
        <w:t>）三类。本项目位于现水泥厂内预留用地，水泥厂永久占地面积</w:t>
      </w:r>
      <w:r>
        <w:rPr>
          <w:color w:val="auto"/>
        </w:rPr>
        <w:t>31485m</w:t>
      </w:r>
      <w:r>
        <w:rPr>
          <w:color w:val="auto"/>
          <w:vertAlign w:val="superscript"/>
        </w:rPr>
        <w:t>2</w:t>
      </w:r>
      <w:r>
        <w:rPr>
          <w:color w:val="auto"/>
        </w:rPr>
        <w:t>，本项目占地面积约</w:t>
      </w:r>
      <w:r>
        <w:rPr>
          <w:color w:val="auto"/>
        </w:rPr>
        <w:t>4500m</w:t>
      </w:r>
      <w:r>
        <w:rPr>
          <w:color w:val="auto"/>
          <w:vertAlign w:val="superscript"/>
        </w:rPr>
        <w:t>2</w:t>
      </w:r>
      <w:r>
        <w:rPr>
          <w:color w:val="auto"/>
        </w:rPr>
        <w:t>，属于小型项目。</w:t>
      </w:r>
    </w:p>
    <w:p w14:paraId="41DF63FF" w14:textId="77777777" w:rsidR="002E474C" w:rsidRDefault="00000000">
      <w:pPr>
        <w:pStyle w:val="A-z"/>
        <w:rPr>
          <w:color w:val="auto"/>
        </w:rPr>
      </w:pPr>
      <w:r>
        <w:rPr>
          <w:color w:val="auto"/>
        </w:rPr>
        <w:t>（</w:t>
      </w:r>
      <w:r>
        <w:rPr>
          <w:color w:val="auto"/>
        </w:rPr>
        <w:t>3</w:t>
      </w:r>
      <w:r>
        <w:rPr>
          <w:color w:val="auto"/>
        </w:rPr>
        <w:t>）土壤环境敏感程度</w:t>
      </w:r>
    </w:p>
    <w:p w14:paraId="320BFF16" w14:textId="77777777" w:rsidR="002E474C" w:rsidRDefault="00000000">
      <w:pPr>
        <w:pStyle w:val="A-z"/>
        <w:rPr>
          <w:color w:val="auto"/>
        </w:rPr>
      </w:pPr>
      <w:r>
        <w:rPr>
          <w:color w:val="auto"/>
        </w:rPr>
        <w:t>项目区周边无耕地、园地、居民区等土壤环境敏感目标，因此项目周边土壤环境不敏感。</w:t>
      </w:r>
    </w:p>
    <w:p w14:paraId="1145B37B" w14:textId="77777777" w:rsidR="002E474C" w:rsidRDefault="00000000">
      <w:pPr>
        <w:pStyle w:val="A-z"/>
        <w:rPr>
          <w:color w:val="auto"/>
        </w:rPr>
      </w:pPr>
      <w:r>
        <w:rPr>
          <w:color w:val="auto"/>
        </w:rPr>
        <w:t>（</w:t>
      </w:r>
      <w:r>
        <w:rPr>
          <w:color w:val="auto"/>
        </w:rPr>
        <w:t>4</w:t>
      </w:r>
      <w:r>
        <w:rPr>
          <w:color w:val="auto"/>
        </w:rPr>
        <w:t>）评价工作等级判定</w:t>
      </w:r>
    </w:p>
    <w:p w14:paraId="3A0329E9"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），污染影响型评价工作等级划分见表</w:t>
      </w:r>
      <w:r>
        <w:rPr>
          <w:color w:val="auto"/>
        </w:rPr>
        <w:t>2.5</w:t>
      </w:r>
      <w:r>
        <w:rPr>
          <w:color w:val="auto"/>
        </w:rPr>
        <w:noBreakHyphen/>
        <w:t>9</w:t>
      </w:r>
      <w:r>
        <w:rPr>
          <w:color w:val="auto"/>
        </w:rPr>
        <w:t>。</w:t>
      </w:r>
    </w:p>
    <w:p w14:paraId="266B9A46" w14:textId="77777777" w:rsidR="002E474C" w:rsidRDefault="00000000">
      <w:pPr>
        <w:pStyle w:val="A--"/>
        <w:rPr>
          <w:color w:val="auto"/>
        </w:rPr>
      </w:pPr>
      <w:bookmarkStart w:id="93" w:name="_Ref16154419"/>
      <w:r>
        <w:rPr>
          <w:color w:val="auto"/>
        </w:rPr>
        <w:t>表</w:t>
      </w:r>
      <w:r>
        <w:rPr>
          <w:color w:val="auto"/>
        </w:rPr>
        <w:t>2.5</w:t>
      </w:r>
      <w:r>
        <w:rPr>
          <w:color w:val="auto"/>
        </w:rPr>
        <w:noBreakHyphen/>
        <w:t>9</w:t>
      </w:r>
      <w:bookmarkEnd w:id="93"/>
      <w:r>
        <w:rPr>
          <w:color w:val="auto"/>
        </w:rPr>
        <w:t xml:space="preserve">  </w:t>
      </w:r>
      <w:r>
        <w:rPr>
          <w:color w:val="auto"/>
        </w:rPr>
        <w:t>污染影响型评价工作等级划分表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690"/>
        <w:gridCol w:w="687"/>
        <w:gridCol w:w="690"/>
        <w:gridCol w:w="690"/>
        <w:gridCol w:w="690"/>
        <w:gridCol w:w="697"/>
        <w:gridCol w:w="689"/>
        <w:gridCol w:w="690"/>
        <w:gridCol w:w="737"/>
      </w:tblGrid>
      <w:tr w:rsidR="002E474C" w14:paraId="4EA43930" w14:textId="77777777">
        <w:tc>
          <w:tcPr>
            <w:tcW w:w="1227" w:type="pct"/>
            <w:vMerge w:val="restart"/>
            <w:shd w:val="clear" w:color="auto" w:fill="auto"/>
            <w:vAlign w:val="center"/>
          </w:tcPr>
          <w:p w14:paraId="090A45FA" w14:textId="77777777" w:rsidR="002E474C" w:rsidRDefault="00000000">
            <w:pPr>
              <w:pStyle w:val="A-"/>
            </w:pPr>
            <w:r>
              <w:rPr>
                <w:noProof/>
              </w:rPr>
              <mc:AlternateContent>
                <mc:Choice Requires="wps">
                  <w:drawing>
                    <wp:anchor distT="0" distB="0" distL="114300" distR="114300" simplePos="0" relativeHeight="251660288" behindDoc="0" locked="0" layoutInCell="1" allowOverlap="1" wp14:anchorId="1D8ABBA3" wp14:editId="6E4D1814">
                      <wp:simplePos x="0" y="0"/>
                      <wp:positionH relativeFrom="column">
                        <wp:posOffset>565785</wp:posOffset>
                      </wp:positionH>
                      <wp:positionV relativeFrom="paragraph">
                        <wp:posOffset>-20320</wp:posOffset>
                      </wp:positionV>
                      <wp:extent cx="685800" cy="511175"/>
                      <wp:effectExtent l="0" t="0" r="19050" b="22225"/>
                      <wp:wrapNone/>
                      <wp:docPr id="41" name="直接连接符 41"/>
                      <wp:cNvGraphicFramePr/>
                      <a:graphic xmlns:a="http://schemas.openxmlformats.org/drawingml/2006/main">
                        <a:graphicData uri="http://schemas.microsoft.com/office/word/2010/wordprocessingShape">
                          <wps:wsp>
                            <wps:cNvCnPr/>
                            <wps:spPr>
                              <a:xfrm flipH="1" flipV="1">
                                <a:off x="0" y="0"/>
                                <a:ext cx="685800" cy="5111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x y;margin-left:44.55pt;margin-top:-1.6pt;height:40.25pt;width:54pt;z-index:251660288;mso-width-relative:page;mso-height-relative:page;" filled="f" stroked="t" coordsize="21600,21600" o:gfxdata="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l3wB9cA&#10;AAAIAQAADwAAAAAAAAABACAAAAAiAAAAZHJzL2Rvd25yZXYueG1sUEsBAhQAFAAAAAgAh07iQBXX&#10;LRrnAQAAtAMAAA4AAAAAAAAAAQAgAAAAJgEAAGRycy9lMm9Eb2MueG1sUEsFBgAAAAAGAAYAWQEA&#10;AH8FAAAAAA==&#10;">
                      <v:fill on="f" focussize="0,0"/>
                      <v:stroke weight="0.5pt" color="#000000 [3213]" joinstyle="round"/>
                      <v:imagedata o:title=""/>
                      <o:lock v:ext="edit" aspectratio="f"/>
                    </v:line>
                  </w:pict>
                </mc:Fallback>
              </mc:AlternateContent>
            </w:r>
            <w:r>
              <w:t xml:space="preserve">         </w:t>
            </w:r>
            <w:r>
              <w:t>占地规模</w:t>
            </w:r>
          </w:p>
          <w:p w14:paraId="6A2B336D" w14:textId="77777777" w:rsidR="002E474C" w:rsidRDefault="00000000">
            <w:pPr>
              <w:pStyle w:val="A-"/>
              <w:jc w:val="both"/>
            </w:pPr>
            <w:r>
              <w:rPr>
                <w:noProof/>
              </w:rPr>
              <mc:AlternateContent>
                <mc:Choice Requires="wps">
                  <w:drawing>
                    <wp:anchor distT="0" distB="0" distL="114300" distR="114300" simplePos="0" relativeHeight="251661312" behindDoc="0" locked="0" layoutInCell="1" allowOverlap="1" wp14:anchorId="1EA1BC7E" wp14:editId="3DC8DFC0">
                      <wp:simplePos x="0" y="0"/>
                      <wp:positionH relativeFrom="column">
                        <wp:posOffset>-50165</wp:posOffset>
                      </wp:positionH>
                      <wp:positionV relativeFrom="paragraph">
                        <wp:posOffset>153670</wp:posOffset>
                      </wp:positionV>
                      <wp:extent cx="1295400" cy="172720"/>
                      <wp:effectExtent l="0" t="0" r="19050" b="36830"/>
                      <wp:wrapNone/>
                      <wp:docPr id="42" name="直接连接符 42"/>
                      <wp:cNvGraphicFramePr/>
                      <a:graphic xmlns:a="http://schemas.openxmlformats.org/drawingml/2006/main">
                        <a:graphicData uri="http://schemas.microsoft.com/office/word/2010/wordprocessingShape">
                          <wps:wsp>
                            <wps:cNvCnPr/>
                            <wps:spPr>
                              <a:xfrm>
                                <a:off x="0" y="0"/>
                                <a:ext cx="1295400" cy="1727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95pt;margin-top:12.1pt;height:13.6pt;width:102pt;z-index:251661312;mso-width-relative:page;mso-height-relative:page;" filled="f" stroked="t" coordsize="21600,21600" o:gfxdata="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OUB+nVAAAACAEAAA8AAAAA&#10;AAAAAQAgAAAAIgAAAGRycy9kb3ducmV2LnhtbFBLAQIUABQAAAAIAIdO4kCPjZmD3gEAAKEDAAAO&#10;AAAAAAAAAAEAIAAAACQBAABkcnMvZTJvRG9jLnhtbFBLBQYAAAAABgAGAFkBAAB0BQAAAAA=&#10;">
                      <v:fill on="f" focussize="0,0"/>
                      <v:stroke weight="0.5pt" color="#000000 [3213]" joinstyle="round"/>
                      <v:imagedata o:title=""/>
                      <o:lock v:ext="edit" aspectratio="f"/>
                    </v:line>
                  </w:pict>
                </mc:Fallback>
              </mc:AlternateContent>
            </w:r>
            <w:r>
              <w:t>评价工作等级</w:t>
            </w:r>
          </w:p>
          <w:p w14:paraId="1660D1DD" w14:textId="77777777" w:rsidR="002E474C" w:rsidRDefault="00000000">
            <w:pPr>
              <w:pStyle w:val="A-"/>
              <w:jc w:val="both"/>
            </w:pPr>
            <w:r>
              <w:t>敏感程度</w:t>
            </w:r>
          </w:p>
        </w:tc>
        <w:tc>
          <w:tcPr>
            <w:tcW w:w="1246" w:type="pct"/>
            <w:gridSpan w:val="3"/>
            <w:shd w:val="clear" w:color="auto" w:fill="auto"/>
            <w:vAlign w:val="center"/>
          </w:tcPr>
          <w:p w14:paraId="1B5FC907" w14:textId="77777777" w:rsidR="002E474C" w:rsidRDefault="00000000">
            <w:pPr>
              <w:pStyle w:val="A-"/>
            </w:pPr>
            <w:r>
              <w:t>Ⅰ</w:t>
            </w:r>
            <w:r>
              <w:t>类项目</w:t>
            </w:r>
          </w:p>
        </w:tc>
        <w:tc>
          <w:tcPr>
            <w:tcW w:w="1252" w:type="pct"/>
            <w:gridSpan w:val="3"/>
            <w:shd w:val="clear" w:color="auto" w:fill="auto"/>
            <w:vAlign w:val="center"/>
          </w:tcPr>
          <w:p w14:paraId="44AFDECB" w14:textId="77777777" w:rsidR="002E474C" w:rsidRDefault="00000000">
            <w:pPr>
              <w:pStyle w:val="A-"/>
            </w:pPr>
            <w:r>
              <w:t>Ⅱ</w:t>
            </w:r>
            <w:r>
              <w:t>类项目</w:t>
            </w:r>
          </w:p>
        </w:tc>
        <w:tc>
          <w:tcPr>
            <w:tcW w:w="1275" w:type="pct"/>
            <w:gridSpan w:val="3"/>
            <w:shd w:val="clear" w:color="auto" w:fill="auto"/>
            <w:vAlign w:val="center"/>
          </w:tcPr>
          <w:p w14:paraId="2A02F600" w14:textId="77777777" w:rsidR="002E474C" w:rsidRDefault="00000000">
            <w:pPr>
              <w:pStyle w:val="A-"/>
            </w:pPr>
            <w:r>
              <w:t>Ⅲ</w:t>
            </w:r>
            <w:r>
              <w:t>类项目</w:t>
            </w:r>
          </w:p>
        </w:tc>
      </w:tr>
      <w:tr w:rsidR="002E474C" w14:paraId="72943B92" w14:textId="77777777">
        <w:tc>
          <w:tcPr>
            <w:tcW w:w="1227" w:type="pct"/>
            <w:vMerge/>
            <w:shd w:val="clear" w:color="auto" w:fill="auto"/>
            <w:vAlign w:val="center"/>
          </w:tcPr>
          <w:p w14:paraId="0D32C274" w14:textId="77777777" w:rsidR="002E474C" w:rsidRDefault="002E474C">
            <w:pPr>
              <w:pStyle w:val="A-"/>
            </w:pPr>
          </w:p>
        </w:tc>
        <w:tc>
          <w:tcPr>
            <w:tcW w:w="416" w:type="pct"/>
            <w:shd w:val="clear" w:color="auto" w:fill="auto"/>
            <w:vAlign w:val="center"/>
          </w:tcPr>
          <w:p w14:paraId="6F5A91B6" w14:textId="77777777" w:rsidR="002E474C" w:rsidRDefault="00000000">
            <w:pPr>
              <w:pStyle w:val="A-"/>
            </w:pPr>
            <w:r>
              <w:t>大</w:t>
            </w:r>
          </w:p>
        </w:tc>
        <w:tc>
          <w:tcPr>
            <w:tcW w:w="414" w:type="pct"/>
            <w:shd w:val="clear" w:color="auto" w:fill="auto"/>
            <w:vAlign w:val="center"/>
          </w:tcPr>
          <w:p w14:paraId="0094EE74" w14:textId="77777777" w:rsidR="002E474C" w:rsidRDefault="00000000">
            <w:pPr>
              <w:pStyle w:val="A-"/>
            </w:pPr>
            <w:r>
              <w:t>中</w:t>
            </w:r>
          </w:p>
        </w:tc>
        <w:tc>
          <w:tcPr>
            <w:tcW w:w="416" w:type="pct"/>
            <w:shd w:val="clear" w:color="auto" w:fill="auto"/>
            <w:vAlign w:val="center"/>
          </w:tcPr>
          <w:p w14:paraId="6C8C8B04" w14:textId="77777777" w:rsidR="002E474C" w:rsidRDefault="00000000">
            <w:pPr>
              <w:pStyle w:val="A-"/>
            </w:pPr>
            <w:r>
              <w:t>小</w:t>
            </w:r>
          </w:p>
        </w:tc>
        <w:tc>
          <w:tcPr>
            <w:tcW w:w="416" w:type="pct"/>
            <w:shd w:val="clear" w:color="auto" w:fill="auto"/>
            <w:vAlign w:val="center"/>
          </w:tcPr>
          <w:p w14:paraId="66BDFF1B" w14:textId="77777777" w:rsidR="002E474C" w:rsidRDefault="00000000">
            <w:pPr>
              <w:pStyle w:val="A-"/>
            </w:pPr>
            <w:r>
              <w:t>大</w:t>
            </w:r>
          </w:p>
        </w:tc>
        <w:tc>
          <w:tcPr>
            <w:tcW w:w="416" w:type="pct"/>
            <w:shd w:val="clear" w:color="auto" w:fill="auto"/>
            <w:vAlign w:val="center"/>
          </w:tcPr>
          <w:p w14:paraId="21F08E58" w14:textId="77777777" w:rsidR="002E474C" w:rsidRDefault="00000000">
            <w:pPr>
              <w:pStyle w:val="A-"/>
            </w:pPr>
            <w:r>
              <w:t>中</w:t>
            </w:r>
          </w:p>
        </w:tc>
        <w:tc>
          <w:tcPr>
            <w:tcW w:w="420" w:type="pct"/>
            <w:shd w:val="clear" w:color="auto" w:fill="auto"/>
            <w:vAlign w:val="center"/>
          </w:tcPr>
          <w:p w14:paraId="24919026" w14:textId="77777777" w:rsidR="002E474C" w:rsidRDefault="00000000">
            <w:pPr>
              <w:pStyle w:val="A-"/>
            </w:pPr>
            <w:r>
              <w:t>小</w:t>
            </w:r>
          </w:p>
        </w:tc>
        <w:tc>
          <w:tcPr>
            <w:tcW w:w="415" w:type="pct"/>
            <w:shd w:val="clear" w:color="auto" w:fill="auto"/>
            <w:vAlign w:val="center"/>
          </w:tcPr>
          <w:p w14:paraId="7F53D4E6" w14:textId="77777777" w:rsidR="002E474C" w:rsidRDefault="00000000">
            <w:pPr>
              <w:pStyle w:val="A-"/>
            </w:pPr>
            <w:r>
              <w:t>大</w:t>
            </w:r>
          </w:p>
        </w:tc>
        <w:tc>
          <w:tcPr>
            <w:tcW w:w="416" w:type="pct"/>
            <w:shd w:val="clear" w:color="auto" w:fill="auto"/>
            <w:vAlign w:val="center"/>
          </w:tcPr>
          <w:p w14:paraId="4E1B6641" w14:textId="77777777" w:rsidR="002E474C" w:rsidRDefault="00000000">
            <w:pPr>
              <w:pStyle w:val="A-"/>
            </w:pPr>
            <w:r>
              <w:t>中</w:t>
            </w:r>
          </w:p>
        </w:tc>
        <w:tc>
          <w:tcPr>
            <w:tcW w:w="444" w:type="pct"/>
            <w:shd w:val="clear" w:color="auto" w:fill="auto"/>
            <w:vAlign w:val="center"/>
          </w:tcPr>
          <w:p w14:paraId="0C2E9845" w14:textId="77777777" w:rsidR="002E474C" w:rsidRDefault="00000000">
            <w:pPr>
              <w:pStyle w:val="A-"/>
            </w:pPr>
            <w:r>
              <w:t>小</w:t>
            </w:r>
          </w:p>
        </w:tc>
      </w:tr>
      <w:tr w:rsidR="002E474C" w14:paraId="71193AA0" w14:textId="77777777">
        <w:tc>
          <w:tcPr>
            <w:tcW w:w="1227" w:type="pct"/>
            <w:shd w:val="clear" w:color="auto" w:fill="auto"/>
            <w:vAlign w:val="center"/>
          </w:tcPr>
          <w:p w14:paraId="3BBE4C32" w14:textId="77777777" w:rsidR="002E474C" w:rsidRDefault="00000000">
            <w:pPr>
              <w:pStyle w:val="A-"/>
            </w:pPr>
            <w:r>
              <w:t>敏感</w:t>
            </w:r>
          </w:p>
        </w:tc>
        <w:tc>
          <w:tcPr>
            <w:tcW w:w="416" w:type="pct"/>
            <w:shd w:val="clear" w:color="auto" w:fill="auto"/>
            <w:vAlign w:val="center"/>
          </w:tcPr>
          <w:p w14:paraId="0E7DF342" w14:textId="77777777" w:rsidR="002E474C" w:rsidRDefault="00000000">
            <w:pPr>
              <w:pStyle w:val="A-"/>
            </w:pPr>
            <w:r>
              <w:t>一级</w:t>
            </w:r>
          </w:p>
        </w:tc>
        <w:tc>
          <w:tcPr>
            <w:tcW w:w="414" w:type="pct"/>
            <w:shd w:val="clear" w:color="auto" w:fill="auto"/>
            <w:vAlign w:val="center"/>
          </w:tcPr>
          <w:p w14:paraId="10E9DD55" w14:textId="77777777" w:rsidR="002E474C" w:rsidRDefault="00000000">
            <w:pPr>
              <w:pStyle w:val="A-"/>
            </w:pPr>
            <w:r>
              <w:t>一级</w:t>
            </w:r>
          </w:p>
        </w:tc>
        <w:tc>
          <w:tcPr>
            <w:tcW w:w="416" w:type="pct"/>
            <w:shd w:val="clear" w:color="auto" w:fill="auto"/>
            <w:vAlign w:val="center"/>
          </w:tcPr>
          <w:p w14:paraId="76DCBBC0" w14:textId="77777777" w:rsidR="002E474C" w:rsidRDefault="00000000">
            <w:pPr>
              <w:pStyle w:val="A-"/>
            </w:pPr>
            <w:r>
              <w:t>一级</w:t>
            </w:r>
          </w:p>
        </w:tc>
        <w:tc>
          <w:tcPr>
            <w:tcW w:w="416" w:type="pct"/>
            <w:shd w:val="clear" w:color="auto" w:fill="auto"/>
            <w:vAlign w:val="center"/>
          </w:tcPr>
          <w:p w14:paraId="0D1BA598" w14:textId="77777777" w:rsidR="002E474C" w:rsidRDefault="00000000">
            <w:pPr>
              <w:pStyle w:val="A-"/>
            </w:pPr>
            <w:r>
              <w:t>二级</w:t>
            </w:r>
          </w:p>
        </w:tc>
        <w:tc>
          <w:tcPr>
            <w:tcW w:w="416" w:type="pct"/>
            <w:shd w:val="clear" w:color="auto" w:fill="auto"/>
            <w:vAlign w:val="center"/>
          </w:tcPr>
          <w:p w14:paraId="78AC80F9" w14:textId="77777777" w:rsidR="002E474C" w:rsidRDefault="00000000">
            <w:pPr>
              <w:pStyle w:val="A-"/>
            </w:pPr>
            <w:r>
              <w:t>二级</w:t>
            </w:r>
          </w:p>
        </w:tc>
        <w:tc>
          <w:tcPr>
            <w:tcW w:w="420" w:type="pct"/>
            <w:shd w:val="clear" w:color="auto" w:fill="auto"/>
            <w:vAlign w:val="center"/>
          </w:tcPr>
          <w:p w14:paraId="0CDCB89C" w14:textId="77777777" w:rsidR="002E474C" w:rsidRDefault="00000000">
            <w:pPr>
              <w:pStyle w:val="A-"/>
            </w:pPr>
            <w:r>
              <w:t>二级</w:t>
            </w:r>
          </w:p>
        </w:tc>
        <w:tc>
          <w:tcPr>
            <w:tcW w:w="415" w:type="pct"/>
            <w:shd w:val="clear" w:color="auto" w:fill="auto"/>
            <w:vAlign w:val="center"/>
          </w:tcPr>
          <w:p w14:paraId="0AA2FEBC" w14:textId="77777777" w:rsidR="002E474C" w:rsidRDefault="00000000">
            <w:pPr>
              <w:pStyle w:val="A-"/>
            </w:pPr>
            <w:r>
              <w:t>三级</w:t>
            </w:r>
          </w:p>
        </w:tc>
        <w:tc>
          <w:tcPr>
            <w:tcW w:w="416" w:type="pct"/>
            <w:shd w:val="clear" w:color="auto" w:fill="auto"/>
            <w:vAlign w:val="center"/>
          </w:tcPr>
          <w:p w14:paraId="2A131F68" w14:textId="77777777" w:rsidR="002E474C" w:rsidRDefault="00000000">
            <w:pPr>
              <w:pStyle w:val="A-"/>
            </w:pPr>
            <w:r>
              <w:t>三级</w:t>
            </w:r>
          </w:p>
        </w:tc>
        <w:tc>
          <w:tcPr>
            <w:tcW w:w="444" w:type="pct"/>
            <w:shd w:val="clear" w:color="auto" w:fill="auto"/>
            <w:vAlign w:val="center"/>
          </w:tcPr>
          <w:p w14:paraId="3AA89998" w14:textId="77777777" w:rsidR="002E474C" w:rsidRDefault="00000000">
            <w:pPr>
              <w:pStyle w:val="A-"/>
            </w:pPr>
            <w:r>
              <w:t>三级</w:t>
            </w:r>
          </w:p>
        </w:tc>
      </w:tr>
      <w:tr w:rsidR="002E474C" w14:paraId="11343A27" w14:textId="77777777">
        <w:tc>
          <w:tcPr>
            <w:tcW w:w="1227" w:type="pct"/>
            <w:shd w:val="clear" w:color="auto" w:fill="auto"/>
            <w:vAlign w:val="center"/>
          </w:tcPr>
          <w:p w14:paraId="6FEB073B" w14:textId="77777777" w:rsidR="002E474C" w:rsidRDefault="00000000">
            <w:pPr>
              <w:pStyle w:val="A-"/>
            </w:pPr>
            <w:r>
              <w:t>较敏感</w:t>
            </w:r>
          </w:p>
        </w:tc>
        <w:tc>
          <w:tcPr>
            <w:tcW w:w="416" w:type="pct"/>
            <w:shd w:val="clear" w:color="auto" w:fill="auto"/>
            <w:vAlign w:val="center"/>
          </w:tcPr>
          <w:p w14:paraId="26814D0F" w14:textId="77777777" w:rsidR="002E474C" w:rsidRDefault="00000000">
            <w:pPr>
              <w:pStyle w:val="A-"/>
            </w:pPr>
            <w:r>
              <w:t>一级</w:t>
            </w:r>
          </w:p>
        </w:tc>
        <w:tc>
          <w:tcPr>
            <w:tcW w:w="414" w:type="pct"/>
            <w:shd w:val="clear" w:color="auto" w:fill="auto"/>
            <w:vAlign w:val="center"/>
          </w:tcPr>
          <w:p w14:paraId="4975FE35" w14:textId="77777777" w:rsidR="002E474C" w:rsidRDefault="00000000">
            <w:pPr>
              <w:pStyle w:val="A-"/>
            </w:pPr>
            <w:r>
              <w:t>一级</w:t>
            </w:r>
          </w:p>
        </w:tc>
        <w:tc>
          <w:tcPr>
            <w:tcW w:w="416" w:type="pct"/>
            <w:shd w:val="clear" w:color="auto" w:fill="auto"/>
            <w:vAlign w:val="center"/>
          </w:tcPr>
          <w:p w14:paraId="4EA61537" w14:textId="77777777" w:rsidR="002E474C" w:rsidRDefault="00000000">
            <w:pPr>
              <w:pStyle w:val="A-"/>
            </w:pPr>
            <w:r>
              <w:t>二级</w:t>
            </w:r>
          </w:p>
        </w:tc>
        <w:tc>
          <w:tcPr>
            <w:tcW w:w="416" w:type="pct"/>
            <w:shd w:val="clear" w:color="auto" w:fill="auto"/>
            <w:vAlign w:val="center"/>
          </w:tcPr>
          <w:p w14:paraId="5488B047" w14:textId="77777777" w:rsidR="002E474C" w:rsidRDefault="00000000">
            <w:pPr>
              <w:pStyle w:val="A-"/>
            </w:pPr>
            <w:r>
              <w:t>二级</w:t>
            </w:r>
          </w:p>
        </w:tc>
        <w:tc>
          <w:tcPr>
            <w:tcW w:w="416" w:type="pct"/>
            <w:shd w:val="clear" w:color="auto" w:fill="auto"/>
            <w:vAlign w:val="center"/>
          </w:tcPr>
          <w:p w14:paraId="1ADF70B5" w14:textId="77777777" w:rsidR="002E474C" w:rsidRDefault="00000000">
            <w:pPr>
              <w:pStyle w:val="A-"/>
            </w:pPr>
            <w:r>
              <w:t>二级</w:t>
            </w:r>
          </w:p>
        </w:tc>
        <w:tc>
          <w:tcPr>
            <w:tcW w:w="420" w:type="pct"/>
            <w:shd w:val="clear" w:color="auto" w:fill="auto"/>
            <w:vAlign w:val="center"/>
          </w:tcPr>
          <w:p w14:paraId="08F38C3A" w14:textId="77777777" w:rsidR="002E474C" w:rsidRDefault="00000000">
            <w:pPr>
              <w:pStyle w:val="A-"/>
            </w:pPr>
            <w:r>
              <w:t>三级</w:t>
            </w:r>
          </w:p>
        </w:tc>
        <w:tc>
          <w:tcPr>
            <w:tcW w:w="415" w:type="pct"/>
            <w:shd w:val="clear" w:color="auto" w:fill="auto"/>
            <w:vAlign w:val="center"/>
          </w:tcPr>
          <w:p w14:paraId="02573097" w14:textId="77777777" w:rsidR="002E474C" w:rsidRDefault="00000000">
            <w:pPr>
              <w:pStyle w:val="A-"/>
            </w:pPr>
            <w:r>
              <w:t>三级</w:t>
            </w:r>
          </w:p>
        </w:tc>
        <w:tc>
          <w:tcPr>
            <w:tcW w:w="416" w:type="pct"/>
            <w:shd w:val="clear" w:color="auto" w:fill="auto"/>
            <w:vAlign w:val="center"/>
          </w:tcPr>
          <w:p w14:paraId="65EFC813" w14:textId="77777777" w:rsidR="002E474C" w:rsidRDefault="00000000">
            <w:pPr>
              <w:pStyle w:val="A-"/>
            </w:pPr>
            <w:r>
              <w:t>三级</w:t>
            </w:r>
          </w:p>
        </w:tc>
        <w:tc>
          <w:tcPr>
            <w:tcW w:w="444" w:type="pct"/>
            <w:shd w:val="clear" w:color="auto" w:fill="auto"/>
            <w:vAlign w:val="center"/>
          </w:tcPr>
          <w:p w14:paraId="3ADB7C16" w14:textId="77777777" w:rsidR="002E474C" w:rsidRDefault="00000000">
            <w:pPr>
              <w:pStyle w:val="A-"/>
            </w:pPr>
            <w:r>
              <w:t>—</w:t>
            </w:r>
          </w:p>
        </w:tc>
      </w:tr>
      <w:tr w:rsidR="002E474C" w14:paraId="64359758" w14:textId="77777777">
        <w:tc>
          <w:tcPr>
            <w:tcW w:w="1227" w:type="pct"/>
            <w:shd w:val="clear" w:color="auto" w:fill="auto"/>
            <w:vAlign w:val="center"/>
          </w:tcPr>
          <w:p w14:paraId="1BA79BB3" w14:textId="77777777" w:rsidR="002E474C" w:rsidRDefault="00000000">
            <w:pPr>
              <w:pStyle w:val="A-"/>
            </w:pPr>
            <w:r>
              <w:t>不敏感</w:t>
            </w:r>
          </w:p>
        </w:tc>
        <w:tc>
          <w:tcPr>
            <w:tcW w:w="416" w:type="pct"/>
            <w:shd w:val="clear" w:color="auto" w:fill="auto"/>
            <w:vAlign w:val="center"/>
          </w:tcPr>
          <w:p w14:paraId="080CD7FB" w14:textId="77777777" w:rsidR="002E474C" w:rsidRDefault="00000000">
            <w:pPr>
              <w:pStyle w:val="A-"/>
            </w:pPr>
            <w:r>
              <w:t>一级</w:t>
            </w:r>
          </w:p>
        </w:tc>
        <w:tc>
          <w:tcPr>
            <w:tcW w:w="414" w:type="pct"/>
            <w:shd w:val="clear" w:color="auto" w:fill="auto"/>
            <w:vAlign w:val="center"/>
          </w:tcPr>
          <w:p w14:paraId="6FC66344" w14:textId="77777777" w:rsidR="002E474C" w:rsidRDefault="00000000">
            <w:pPr>
              <w:pStyle w:val="A-"/>
            </w:pPr>
            <w:r>
              <w:t>二级</w:t>
            </w:r>
          </w:p>
        </w:tc>
        <w:tc>
          <w:tcPr>
            <w:tcW w:w="416" w:type="pct"/>
            <w:shd w:val="clear" w:color="auto" w:fill="D9D9D9" w:themeFill="background1" w:themeFillShade="D9"/>
            <w:vAlign w:val="center"/>
          </w:tcPr>
          <w:p w14:paraId="28DB128D" w14:textId="77777777" w:rsidR="002E474C" w:rsidRDefault="00000000">
            <w:pPr>
              <w:pStyle w:val="A-"/>
            </w:pPr>
            <w:r>
              <w:t>二级</w:t>
            </w:r>
          </w:p>
        </w:tc>
        <w:tc>
          <w:tcPr>
            <w:tcW w:w="416" w:type="pct"/>
            <w:shd w:val="clear" w:color="auto" w:fill="auto"/>
            <w:vAlign w:val="center"/>
          </w:tcPr>
          <w:p w14:paraId="776385F5" w14:textId="77777777" w:rsidR="002E474C" w:rsidRDefault="00000000">
            <w:pPr>
              <w:pStyle w:val="A-"/>
            </w:pPr>
            <w:r>
              <w:t>二级</w:t>
            </w:r>
          </w:p>
        </w:tc>
        <w:tc>
          <w:tcPr>
            <w:tcW w:w="416" w:type="pct"/>
            <w:shd w:val="clear" w:color="auto" w:fill="auto"/>
            <w:vAlign w:val="center"/>
          </w:tcPr>
          <w:p w14:paraId="401706EF" w14:textId="77777777" w:rsidR="002E474C" w:rsidRDefault="00000000">
            <w:pPr>
              <w:pStyle w:val="A-"/>
            </w:pPr>
            <w:r>
              <w:t>三级</w:t>
            </w:r>
          </w:p>
        </w:tc>
        <w:tc>
          <w:tcPr>
            <w:tcW w:w="420" w:type="pct"/>
            <w:shd w:val="clear" w:color="auto" w:fill="auto"/>
            <w:vAlign w:val="center"/>
          </w:tcPr>
          <w:p w14:paraId="4E71CD46" w14:textId="77777777" w:rsidR="002E474C" w:rsidRDefault="00000000">
            <w:pPr>
              <w:pStyle w:val="A-"/>
            </w:pPr>
            <w:r>
              <w:t>三级</w:t>
            </w:r>
          </w:p>
        </w:tc>
        <w:tc>
          <w:tcPr>
            <w:tcW w:w="415" w:type="pct"/>
            <w:shd w:val="clear" w:color="auto" w:fill="auto"/>
            <w:vAlign w:val="center"/>
          </w:tcPr>
          <w:p w14:paraId="7EDCD715" w14:textId="77777777" w:rsidR="002E474C" w:rsidRDefault="00000000">
            <w:pPr>
              <w:pStyle w:val="A-"/>
            </w:pPr>
            <w:r>
              <w:t>三级</w:t>
            </w:r>
          </w:p>
        </w:tc>
        <w:tc>
          <w:tcPr>
            <w:tcW w:w="416" w:type="pct"/>
            <w:shd w:val="clear" w:color="auto" w:fill="auto"/>
            <w:vAlign w:val="center"/>
          </w:tcPr>
          <w:p w14:paraId="79344CF7" w14:textId="77777777" w:rsidR="002E474C" w:rsidRDefault="00000000">
            <w:pPr>
              <w:pStyle w:val="A-"/>
            </w:pPr>
            <w:r>
              <w:t>—</w:t>
            </w:r>
          </w:p>
        </w:tc>
        <w:tc>
          <w:tcPr>
            <w:tcW w:w="444" w:type="pct"/>
            <w:shd w:val="clear" w:color="auto" w:fill="auto"/>
            <w:vAlign w:val="center"/>
          </w:tcPr>
          <w:p w14:paraId="6679A82C" w14:textId="77777777" w:rsidR="002E474C" w:rsidRDefault="00000000">
            <w:pPr>
              <w:pStyle w:val="A-"/>
            </w:pPr>
            <w:r>
              <w:t>—</w:t>
            </w:r>
          </w:p>
        </w:tc>
      </w:tr>
      <w:tr w:rsidR="002E474C" w14:paraId="3A8DF377" w14:textId="77777777">
        <w:tc>
          <w:tcPr>
            <w:tcW w:w="5000" w:type="pct"/>
            <w:gridSpan w:val="10"/>
            <w:shd w:val="clear" w:color="auto" w:fill="auto"/>
            <w:vAlign w:val="center"/>
          </w:tcPr>
          <w:p w14:paraId="76FBF25E" w14:textId="77777777" w:rsidR="002E474C" w:rsidRDefault="00000000">
            <w:pPr>
              <w:pStyle w:val="A-"/>
            </w:pPr>
            <w:r>
              <w:t>注：</w:t>
            </w:r>
            <w:r>
              <w:t>“—”</w:t>
            </w:r>
            <w:r>
              <w:t>表示可不开展土壤环境影响评价</w:t>
            </w:r>
          </w:p>
        </w:tc>
      </w:tr>
    </w:tbl>
    <w:p w14:paraId="72C1E4AF" w14:textId="77777777" w:rsidR="002E474C" w:rsidRDefault="002E474C"/>
    <w:p w14:paraId="136F0038" w14:textId="77777777" w:rsidR="002E474C" w:rsidRDefault="00000000">
      <w:pPr>
        <w:pStyle w:val="A-z"/>
        <w:rPr>
          <w:color w:val="auto"/>
        </w:rPr>
      </w:pPr>
      <w:r>
        <w:rPr>
          <w:color w:val="auto"/>
        </w:rPr>
        <w:t>本项目土壤环境影响评价工作等级为土壤污染影响型二级。</w:t>
      </w:r>
    </w:p>
    <w:p w14:paraId="24681486" w14:textId="77777777" w:rsidR="002E474C" w:rsidRDefault="00000000">
      <w:pPr>
        <w:pStyle w:val="A-z"/>
        <w:rPr>
          <w:color w:val="auto"/>
        </w:rPr>
      </w:pPr>
      <w:r>
        <w:rPr>
          <w:color w:val="auto"/>
        </w:rPr>
        <w:t>（</w:t>
      </w:r>
      <w:r>
        <w:rPr>
          <w:color w:val="auto"/>
        </w:rPr>
        <w:t>5</w:t>
      </w:r>
      <w:r>
        <w:rPr>
          <w:color w:val="auto"/>
        </w:rPr>
        <w:t>）评价范围</w:t>
      </w:r>
    </w:p>
    <w:p w14:paraId="47E82AA7" w14:textId="77777777" w:rsidR="002E474C" w:rsidRDefault="00000000">
      <w:pPr>
        <w:pStyle w:val="A-z"/>
        <w:rPr>
          <w:color w:val="auto"/>
        </w:rPr>
      </w:pPr>
      <w:r>
        <w:rPr>
          <w:color w:val="auto"/>
        </w:rPr>
        <w:t>据《环境影响评价技术导则</w:t>
      </w:r>
      <w:r>
        <w:rPr>
          <w:color w:val="auto"/>
        </w:rPr>
        <w:t xml:space="preserve"> </w:t>
      </w:r>
      <w:r>
        <w:rPr>
          <w:color w:val="auto"/>
        </w:rPr>
        <w:t>土壤环境（试行）》（</w:t>
      </w:r>
      <w:r>
        <w:rPr>
          <w:color w:val="auto"/>
        </w:rPr>
        <w:t>HJ964-2018</w:t>
      </w:r>
      <w:r>
        <w:rPr>
          <w:color w:val="auto"/>
        </w:rPr>
        <w:t>），土壤环境影响现状调查评价范围为占地范围内全部及占地范围外</w:t>
      </w:r>
      <w:r>
        <w:rPr>
          <w:color w:val="auto"/>
        </w:rPr>
        <w:t>200m</w:t>
      </w:r>
      <w:r>
        <w:rPr>
          <w:color w:val="auto"/>
        </w:rPr>
        <w:t>范围</w:t>
      </w:r>
      <w:r>
        <w:rPr>
          <w:rFonts w:hint="eastAsia"/>
          <w:color w:val="auto"/>
          <w:lang w:val="en-US"/>
        </w:rPr>
        <w:t>内</w:t>
      </w:r>
      <w:r>
        <w:rPr>
          <w:color w:val="auto"/>
        </w:rPr>
        <w:t>。</w:t>
      </w:r>
    </w:p>
    <w:p w14:paraId="30B91792" w14:textId="77777777" w:rsidR="002E474C" w:rsidRDefault="00000000">
      <w:pPr>
        <w:pStyle w:val="31"/>
        <w:spacing w:before="120" w:after="120"/>
        <w:rPr>
          <w:color w:val="auto"/>
        </w:rPr>
      </w:pPr>
      <w:r>
        <w:rPr>
          <w:color w:val="auto"/>
        </w:rPr>
        <w:t>生态环境</w:t>
      </w:r>
    </w:p>
    <w:p w14:paraId="47C9F9C8" w14:textId="77777777" w:rsidR="002E474C" w:rsidRDefault="00000000">
      <w:pPr>
        <w:pStyle w:val="A-z"/>
        <w:rPr>
          <w:color w:val="auto"/>
        </w:rPr>
      </w:pPr>
      <w:r>
        <w:rPr>
          <w:color w:val="auto"/>
        </w:rPr>
        <w:t>本项目属于符合生态环境分区管控要求且位于原厂界范围内的污染影响类建设项目，根据《环境影响评价技术导则</w:t>
      </w:r>
      <w:r>
        <w:rPr>
          <w:color w:val="auto"/>
        </w:rPr>
        <w:t xml:space="preserve"> </w:t>
      </w:r>
      <w:r>
        <w:rPr>
          <w:color w:val="auto"/>
        </w:rPr>
        <w:t>生态影响》（</w:t>
      </w:r>
      <w:r>
        <w:rPr>
          <w:color w:val="auto"/>
        </w:rPr>
        <w:t>HJ19-2022</w:t>
      </w:r>
      <w:r>
        <w:rPr>
          <w:color w:val="auto"/>
        </w:rPr>
        <w:t>）中评价等级判定原则，本项目不设生态影响评价等级，直接进行简单分析。</w:t>
      </w:r>
    </w:p>
    <w:p w14:paraId="2A803AE9" w14:textId="77777777" w:rsidR="002E474C" w:rsidRDefault="00000000">
      <w:pPr>
        <w:pStyle w:val="A-z"/>
        <w:rPr>
          <w:color w:val="auto"/>
        </w:rPr>
      </w:pPr>
      <w:r>
        <w:rPr>
          <w:color w:val="auto"/>
        </w:rPr>
        <w:t>本项目不设生态影响评价等级，直接进行简单分析。根据《环境影响评价技术导则</w:t>
      </w:r>
      <w:r>
        <w:rPr>
          <w:color w:val="auto"/>
        </w:rPr>
        <w:t xml:space="preserve"> </w:t>
      </w:r>
      <w:r>
        <w:rPr>
          <w:color w:val="auto"/>
        </w:rPr>
        <w:t>生态影响》（</w:t>
      </w:r>
      <w:r>
        <w:rPr>
          <w:color w:val="auto"/>
        </w:rPr>
        <w:t>HJ19-2022</w:t>
      </w:r>
      <w:r>
        <w:rPr>
          <w:color w:val="auto"/>
        </w:rPr>
        <w:t>）</w:t>
      </w:r>
      <w:r>
        <w:rPr>
          <w:color w:val="auto"/>
        </w:rPr>
        <w:t>6.2.8</w:t>
      </w:r>
      <w:r>
        <w:rPr>
          <w:color w:val="auto"/>
        </w:rPr>
        <w:t>污染影响类建设项目评价范围应涵盖直接占用区域以及污染物排放产生的间接生态影响区域。本项目生态影响评价范围为</w:t>
      </w:r>
      <w:r>
        <w:rPr>
          <w:color w:val="auto"/>
        </w:rPr>
        <w:lastRenderedPageBreak/>
        <w:t>占地范围内全部及占地范围外</w:t>
      </w:r>
      <w:r>
        <w:rPr>
          <w:color w:val="auto"/>
        </w:rPr>
        <w:t>200m</w:t>
      </w:r>
      <w:r>
        <w:rPr>
          <w:color w:val="auto"/>
        </w:rPr>
        <w:t>范围。</w:t>
      </w:r>
    </w:p>
    <w:p w14:paraId="1460BA8A" w14:textId="77777777" w:rsidR="002E474C" w:rsidRDefault="00000000">
      <w:pPr>
        <w:pStyle w:val="31"/>
        <w:spacing w:before="120" w:after="120"/>
        <w:rPr>
          <w:color w:val="auto"/>
        </w:rPr>
      </w:pPr>
      <w:r>
        <w:rPr>
          <w:color w:val="auto"/>
        </w:rPr>
        <w:t>环境风险</w:t>
      </w:r>
    </w:p>
    <w:p w14:paraId="5DE0F4F5" w14:textId="77777777" w:rsidR="002E474C" w:rsidRDefault="00000000">
      <w:pPr>
        <w:pStyle w:val="A-z"/>
        <w:rPr>
          <w:color w:val="auto"/>
        </w:rPr>
      </w:pPr>
      <w:r>
        <w:rPr>
          <w:color w:val="auto"/>
        </w:rPr>
        <w:t>依据《建设项目环境风险评价技术导则》（</w:t>
      </w:r>
      <w:r>
        <w:rPr>
          <w:color w:val="auto"/>
        </w:rPr>
        <w:t>HJ169-2018</w:t>
      </w:r>
      <w:r>
        <w:rPr>
          <w:color w:val="auto"/>
        </w:rPr>
        <w:t>）中评价工作等级划分要求，项目大气环境风险潜势和地下水环境风险潜势均为</w:t>
      </w:r>
      <w:r>
        <w:rPr>
          <w:color w:val="auto"/>
        </w:rPr>
        <w:t>Ⅰ</w:t>
      </w:r>
      <w:r>
        <w:rPr>
          <w:color w:val="auto"/>
        </w:rPr>
        <w:t>，判定项目大气、地下水环境风险评价工作等级为简单分析。因项目不向地表水排污，和地表水无直接水力联系，不存在导则中依据事故情况下危险物质泄漏到水体的排放点的风险，因此无需地表水环境风险评价。</w:t>
      </w:r>
    </w:p>
    <w:p w14:paraId="1A223705" w14:textId="77777777" w:rsidR="002E474C" w:rsidRDefault="00000000">
      <w:pPr>
        <w:pStyle w:val="A-z"/>
        <w:rPr>
          <w:color w:val="auto"/>
        </w:rPr>
      </w:pPr>
      <w:r>
        <w:rPr>
          <w:color w:val="auto"/>
        </w:rPr>
        <w:t>环境风险评价工作等级划分依据见表</w:t>
      </w:r>
      <w:r>
        <w:rPr>
          <w:color w:val="auto"/>
        </w:rPr>
        <w:t>2.5</w:t>
      </w:r>
      <w:r>
        <w:rPr>
          <w:color w:val="auto"/>
        </w:rPr>
        <w:noBreakHyphen/>
        <w:t>10</w:t>
      </w:r>
      <w:r>
        <w:rPr>
          <w:color w:val="auto"/>
        </w:rPr>
        <w:t>。</w:t>
      </w:r>
    </w:p>
    <w:p w14:paraId="2DA57064" w14:textId="77777777" w:rsidR="002E474C" w:rsidRDefault="00000000">
      <w:pPr>
        <w:pStyle w:val="A--"/>
        <w:rPr>
          <w:color w:val="auto"/>
        </w:rPr>
      </w:pPr>
      <w:bookmarkStart w:id="94" w:name="_Ref16157468"/>
      <w:r>
        <w:rPr>
          <w:color w:val="auto"/>
        </w:rPr>
        <w:t>表</w:t>
      </w:r>
      <w:r>
        <w:rPr>
          <w:color w:val="auto"/>
        </w:rPr>
        <w:t>2.5</w:t>
      </w:r>
      <w:r>
        <w:rPr>
          <w:color w:val="auto"/>
        </w:rPr>
        <w:noBreakHyphen/>
        <w:t>10</w:t>
      </w:r>
      <w:bookmarkEnd w:id="94"/>
      <w:r>
        <w:rPr>
          <w:color w:val="auto"/>
        </w:rPr>
        <w:t xml:space="preserve">  </w:t>
      </w:r>
      <w:r>
        <w:rPr>
          <w:color w:val="auto"/>
        </w:rPr>
        <w:t>风险评价工作级别划分一览表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603"/>
        <w:gridCol w:w="1686"/>
        <w:gridCol w:w="1840"/>
        <w:gridCol w:w="1424"/>
      </w:tblGrid>
      <w:tr w:rsidR="002E474C" w14:paraId="11D3C1E6" w14:textId="77777777">
        <w:trPr>
          <w:jc w:val="center"/>
        </w:trPr>
        <w:tc>
          <w:tcPr>
            <w:tcW w:w="1051" w:type="pct"/>
            <w:vAlign w:val="center"/>
          </w:tcPr>
          <w:p w14:paraId="3ED5814C" w14:textId="77777777" w:rsidR="002E474C" w:rsidRDefault="00000000">
            <w:pPr>
              <w:pStyle w:val="A-"/>
            </w:pPr>
            <w:r>
              <w:t>环境风险潜势</w:t>
            </w:r>
          </w:p>
        </w:tc>
        <w:tc>
          <w:tcPr>
            <w:tcW w:w="966" w:type="pct"/>
            <w:vAlign w:val="center"/>
          </w:tcPr>
          <w:p w14:paraId="1FCE19B4" w14:textId="77777777" w:rsidR="002E474C" w:rsidRDefault="00000000">
            <w:pPr>
              <w:pStyle w:val="A-"/>
            </w:pPr>
            <w:r>
              <w:t>Ⅳ</w:t>
            </w:r>
            <w:r>
              <w:t>、</w:t>
            </w:r>
            <w:r>
              <w:t>Ⅳ</w:t>
            </w:r>
            <w:r>
              <w:rPr>
                <w:vertAlign w:val="superscript"/>
              </w:rPr>
              <w:t>+</w:t>
            </w:r>
          </w:p>
        </w:tc>
        <w:tc>
          <w:tcPr>
            <w:tcW w:w="1016" w:type="pct"/>
            <w:vAlign w:val="center"/>
          </w:tcPr>
          <w:p w14:paraId="40BCC0BE" w14:textId="77777777" w:rsidR="002E474C" w:rsidRDefault="00000000">
            <w:pPr>
              <w:pStyle w:val="A-"/>
            </w:pPr>
            <w:r>
              <w:t>Ⅲ</w:t>
            </w:r>
          </w:p>
        </w:tc>
        <w:tc>
          <w:tcPr>
            <w:tcW w:w="1109" w:type="pct"/>
            <w:vAlign w:val="center"/>
          </w:tcPr>
          <w:p w14:paraId="243B1543" w14:textId="77777777" w:rsidR="002E474C" w:rsidRDefault="00000000">
            <w:pPr>
              <w:pStyle w:val="A-"/>
            </w:pPr>
            <w:r>
              <w:t>Ⅱ</w:t>
            </w:r>
          </w:p>
        </w:tc>
        <w:tc>
          <w:tcPr>
            <w:tcW w:w="858" w:type="pct"/>
            <w:vAlign w:val="center"/>
          </w:tcPr>
          <w:p w14:paraId="09AB75D2" w14:textId="77777777" w:rsidR="002E474C" w:rsidRDefault="00000000">
            <w:pPr>
              <w:pStyle w:val="A-"/>
            </w:pPr>
            <w:r>
              <w:t>Ⅰ</w:t>
            </w:r>
          </w:p>
        </w:tc>
      </w:tr>
      <w:tr w:rsidR="002E474C" w14:paraId="6C8DD2F1" w14:textId="77777777">
        <w:trPr>
          <w:jc w:val="center"/>
        </w:trPr>
        <w:tc>
          <w:tcPr>
            <w:tcW w:w="1051" w:type="pct"/>
            <w:vAlign w:val="center"/>
          </w:tcPr>
          <w:p w14:paraId="03C24869" w14:textId="77777777" w:rsidR="002E474C" w:rsidRDefault="00000000">
            <w:pPr>
              <w:pStyle w:val="A-"/>
            </w:pPr>
            <w:r>
              <w:t>评价工作等级</w:t>
            </w:r>
          </w:p>
        </w:tc>
        <w:tc>
          <w:tcPr>
            <w:tcW w:w="966" w:type="pct"/>
            <w:vAlign w:val="center"/>
          </w:tcPr>
          <w:p w14:paraId="4F608BEE" w14:textId="77777777" w:rsidR="002E474C" w:rsidRDefault="00000000">
            <w:pPr>
              <w:pStyle w:val="A-"/>
            </w:pPr>
            <w:r>
              <w:t>一</w:t>
            </w:r>
          </w:p>
        </w:tc>
        <w:tc>
          <w:tcPr>
            <w:tcW w:w="1016" w:type="pct"/>
            <w:vAlign w:val="center"/>
          </w:tcPr>
          <w:p w14:paraId="45E5149C" w14:textId="77777777" w:rsidR="002E474C" w:rsidRDefault="00000000">
            <w:pPr>
              <w:pStyle w:val="A-"/>
            </w:pPr>
            <w:r>
              <w:t>二</w:t>
            </w:r>
          </w:p>
        </w:tc>
        <w:tc>
          <w:tcPr>
            <w:tcW w:w="1109" w:type="pct"/>
            <w:vAlign w:val="center"/>
          </w:tcPr>
          <w:p w14:paraId="005474C6" w14:textId="77777777" w:rsidR="002E474C" w:rsidRDefault="00000000">
            <w:pPr>
              <w:pStyle w:val="A-"/>
            </w:pPr>
            <w:r>
              <w:t>三</w:t>
            </w:r>
          </w:p>
        </w:tc>
        <w:tc>
          <w:tcPr>
            <w:tcW w:w="858" w:type="pct"/>
            <w:shd w:val="clear" w:color="auto" w:fill="D9D9D9" w:themeFill="background1" w:themeFillShade="D9"/>
            <w:vAlign w:val="center"/>
          </w:tcPr>
          <w:p w14:paraId="43108A13" w14:textId="77777777" w:rsidR="002E474C" w:rsidRDefault="00000000">
            <w:pPr>
              <w:pStyle w:val="A-"/>
            </w:pPr>
            <w:r>
              <w:t>简单分析</w:t>
            </w:r>
            <w:r>
              <w:rPr>
                <w:vertAlign w:val="superscript"/>
              </w:rPr>
              <w:t>a</w:t>
            </w:r>
          </w:p>
        </w:tc>
      </w:tr>
      <w:tr w:rsidR="002E474C" w14:paraId="6290D5FF" w14:textId="77777777">
        <w:trPr>
          <w:jc w:val="center"/>
        </w:trPr>
        <w:tc>
          <w:tcPr>
            <w:tcW w:w="5000" w:type="pct"/>
            <w:gridSpan w:val="5"/>
            <w:vAlign w:val="center"/>
          </w:tcPr>
          <w:p w14:paraId="17E26030" w14:textId="77777777" w:rsidR="002E474C" w:rsidRDefault="00000000">
            <w:pPr>
              <w:pStyle w:val="A-"/>
              <w:jc w:val="both"/>
            </w:pPr>
            <w:bookmarkStart w:id="95" w:name="OLE_LINK83"/>
            <w:r>
              <w:rPr>
                <w:vertAlign w:val="superscript"/>
              </w:rPr>
              <w:t>a</w:t>
            </w:r>
            <w:r>
              <w:t xml:space="preserve"> </w:t>
            </w:r>
            <w:r>
              <w:t>是相对于详细评价工作内容而言，在描述危险物质、环境影响途径、环境危害后果、风险防范措施等方面给出定性的说明。</w:t>
            </w:r>
            <w:bookmarkEnd w:id="95"/>
          </w:p>
        </w:tc>
      </w:tr>
    </w:tbl>
    <w:p w14:paraId="696E7931" w14:textId="77777777" w:rsidR="002E474C" w:rsidRDefault="002E474C"/>
    <w:p w14:paraId="4E2C39AC" w14:textId="77777777" w:rsidR="002E474C" w:rsidRDefault="00000000">
      <w:pPr>
        <w:pStyle w:val="A-z"/>
        <w:rPr>
          <w:color w:val="auto"/>
        </w:rPr>
      </w:pPr>
      <w:r>
        <w:rPr>
          <w:color w:val="auto"/>
        </w:rPr>
        <w:t>本项目环境风险评价等级为简单分析，根据《建设项目环境风险评价技术导则》</w:t>
      </w:r>
      <w:r>
        <w:rPr>
          <w:color w:val="auto"/>
        </w:rPr>
        <w:t>(HJ169-2018)</w:t>
      </w:r>
      <w:r>
        <w:rPr>
          <w:color w:val="auto"/>
        </w:rPr>
        <w:t>，可不设环境风险评价范围。</w:t>
      </w:r>
    </w:p>
    <w:p w14:paraId="11AD5268" w14:textId="77777777" w:rsidR="002E474C" w:rsidRDefault="00000000">
      <w:pPr>
        <w:pStyle w:val="31"/>
        <w:spacing w:before="120" w:after="120"/>
        <w:rPr>
          <w:color w:val="auto"/>
        </w:rPr>
      </w:pPr>
      <w:r>
        <w:rPr>
          <w:color w:val="auto"/>
        </w:rPr>
        <w:t>评价工作等级和评价范围汇总</w:t>
      </w:r>
    </w:p>
    <w:p w14:paraId="413F07DE" w14:textId="77777777" w:rsidR="002E474C" w:rsidRDefault="00000000">
      <w:pPr>
        <w:pStyle w:val="A-z"/>
        <w:rPr>
          <w:color w:val="auto"/>
        </w:rPr>
      </w:pPr>
      <w:r>
        <w:rPr>
          <w:color w:val="auto"/>
        </w:rPr>
        <w:t>本项目工作等级及评价范围见表</w:t>
      </w:r>
      <w:r>
        <w:rPr>
          <w:color w:val="auto"/>
        </w:rPr>
        <w:t>2.5</w:t>
      </w:r>
      <w:r>
        <w:rPr>
          <w:color w:val="auto"/>
        </w:rPr>
        <w:noBreakHyphen/>
        <w:t>11</w:t>
      </w:r>
      <w:r>
        <w:rPr>
          <w:color w:val="auto"/>
        </w:rPr>
        <w:t>。评价范围见图</w:t>
      </w:r>
      <w:r>
        <w:rPr>
          <w:color w:val="auto"/>
        </w:rPr>
        <w:t>2.5</w:t>
      </w:r>
      <w:r>
        <w:rPr>
          <w:color w:val="auto"/>
        </w:rPr>
        <w:noBreakHyphen/>
        <w:t>1</w:t>
      </w:r>
      <w:r>
        <w:rPr>
          <w:color w:val="auto"/>
        </w:rPr>
        <w:t>。</w:t>
      </w:r>
    </w:p>
    <w:p w14:paraId="2A1DB04F" w14:textId="77777777" w:rsidR="002E474C" w:rsidRDefault="00000000">
      <w:pPr>
        <w:pStyle w:val="A--"/>
        <w:rPr>
          <w:color w:val="auto"/>
        </w:rPr>
      </w:pPr>
      <w:bookmarkStart w:id="96" w:name="_Ref79050896"/>
      <w:r>
        <w:rPr>
          <w:color w:val="auto"/>
        </w:rPr>
        <w:t>表</w:t>
      </w:r>
      <w:r>
        <w:rPr>
          <w:color w:val="auto"/>
        </w:rPr>
        <w:t>2.5</w:t>
      </w:r>
      <w:r>
        <w:rPr>
          <w:color w:val="auto"/>
        </w:rPr>
        <w:noBreakHyphen/>
        <w:t>11</w:t>
      </w:r>
      <w:bookmarkEnd w:id="96"/>
      <w:r>
        <w:rPr>
          <w:color w:val="auto"/>
        </w:rPr>
        <w:t xml:space="preserve">  </w:t>
      </w:r>
      <w:r>
        <w:rPr>
          <w:color w:val="auto"/>
        </w:rPr>
        <w:t>评价等级及评价范围汇总表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543"/>
        <w:gridCol w:w="5389"/>
      </w:tblGrid>
      <w:tr w:rsidR="002E474C" w14:paraId="73098753" w14:textId="77777777">
        <w:tc>
          <w:tcPr>
            <w:tcW w:w="822" w:type="pct"/>
          </w:tcPr>
          <w:p w14:paraId="50018650" w14:textId="77777777" w:rsidR="002E474C" w:rsidRDefault="00000000">
            <w:pPr>
              <w:pStyle w:val="A-"/>
            </w:pPr>
            <w:r>
              <w:t>评价内容</w:t>
            </w:r>
          </w:p>
        </w:tc>
        <w:tc>
          <w:tcPr>
            <w:tcW w:w="930" w:type="pct"/>
          </w:tcPr>
          <w:p w14:paraId="658A8D11" w14:textId="77777777" w:rsidR="002E474C" w:rsidRDefault="00000000">
            <w:pPr>
              <w:pStyle w:val="A-"/>
            </w:pPr>
            <w:r>
              <w:t>评价工作等级</w:t>
            </w:r>
          </w:p>
        </w:tc>
        <w:tc>
          <w:tcPr>
            <w:tcW w:w="3248" w:type="pct"/>
          </w:tcPr>
          <w:p w14:paraId="0F52B57F" w14:textId="77777777" w:rsidR="002E474C" w:rsidRDefault="00000000">
            <w:pPr>
              <w:pStyle w:val="A-"/>
            </w:pPr>
            <w:r>
              <w:t>评价范围</w:t>
            </w:r>
          </w:p>
        </w:tc>
      </w:tr>
      <w:tr w:rsidR="002E474C" w14:paraId="1874ED89" w14:textId="77777777">
        <w:tc>
          <w:tcPr>
            <w:tcW w:w="822" w:type="pct"/>
          </w:tcPr>
          <w:p w14:paraId="4F997236" w14:textId="77777777" w:rsidR="002E474C" w:rsidRDefault="00000000">
            <w:pPr>
              <w:pStyle w:val="A-"/>
            </w:pPr>
            <w:r>
              <w:t>大气环境</w:t>
            </w:r>
          </w:p>
        </w:tc>
        <w:tc>
          <w:tcPr>
            <w:tcW w:w="930" w:type="pct"/>
          </w:tcPr>
          <w:p w14:paraId="4CBF7395" w14:textId="77777777" w:rsidR="002E474C" w:rsidRDefault="00000000">
            <w:pPr>
              <w:pStyle w:val="A-"/>
            </w:pPr>
            <w:r>
              <w:t>一级</w:t>
            </w:r>
          </w:p>
        </w:tc>
        <w:tc>
          <w:tcPr>
            <w:tcW w:w="3248" w:type="pct"/>
            <w:shd w:val="clear" w:color="auto" w:fill="auto"/>
          </w:tcPr>
          <w:p w14:paraId="67C1FF88" w14:textId="77777777" w:rsidR="002E474C" w:rsidRDefault="00000000">
            <w:pPr>
              <w:pStyle w:val="A-"/>
            </w:pPr>
            <w:r>
              <w:t>厂界外延</w:t>
            </w:r>
            <w:r>
              <w:t>13km</w:t>
            </w:r>
            <w:r>
              <w:t>的</w:t>
            </w:r>
            <w:r>
              <w:t>27km×26.5km</w:t>
            </w:r>
            <w:r>
              <w:t>矩形区域</w:t>
            </w:r>
          </w:p>
        </w:tc>
      </w:tr>
      <w:tr w:rsidR="002E474C" w14:paraId="34B4B868" w14:textId="77777777">
        <w:tc>
          <w:tcPr>
            <w:tcW w:w="822" w:type="pct"/>
          </w:tcPr>
          <w:p w14:paraId="58C94E2D" w14:textId="77777777" w:rsidR="002E474C" w:rsidRDefault="00000000">
            <w:pPr>
              <w:pStyle w:val="A-"/>
            </w:pPr>
            <w:r>
              <w:t>地表水环境</w:t>
            </w:r>
          </w:p>
        </w:tc>
        <w:tc>
          <w:tcPr>
            <w:tcW w:w="930" w:type="pct"/>
          </w:tcPr>
          <w:p w14:paraId="3DC8F109" w14:textId="77777777" w:rsidR="002E474C" w:rsidRDefault="00000000">
            <w:pPr>
              <w:pStyle w:val="A-"/>
            </w:pPr>
            <w:r>
              <w:t>三级</w:t>
            </w:r>
            <w:r>
              <w:t>B</w:t>
            </w:r>
          </w:p>
        </w:tc>
        <w:tc>
          <w:tcPr>
            <w:tcW w:w="3248" w:type="pct"/>
          </w:tcPr>
          <w:p w14:paraId="60D3B431" w14:textId="77777777" w:rsidR="002E474C" w:rsidRDefault="00000000">
            <w:pPr>
              <w:pStyle w:val="A-"/>
            </w:pPr>
            <w:r>
              <w:t>无</w:t>
            </w:r>
          </w:p>
        </w:tc>
      </w:tr>
      <w:tr w:rsidR="002E474C" w14:paraId="39FDD0CE" w14:textId="77777777">
        <w:tc>
          <w:tcPr>
            <w:tcW w:w="822" w:type="pct"/>
          </w:tcPr>
          <w:p w14:paraId="14134A3F" w14:textId="77777777" w:rsidR="002E474C" w:rsidRDefault="00000000">
            <w:pPr>
              <w:pStyle w:val="A-"/>
            </w:pPr>
            <w:r>
              <w:t>地下水环境</w:t>
            </w:r>
          </w:p>
        </w:tc>
        <w:tc>
          <w:tcPr>
            <w:tcW w:w="930" w:type="pct"/>
          </w:tcPr>
          <w:p w14:paraId="43140BE8" w14:textId="77777777" w:rsidR="002E474C" w:rsidRDefault="00000000">
            <w:pPr>
              <w:pStyle w:val="A-"/>
            </w:pPr>
            <w:r>
              <w:t>二级</w:t>
            </w:r>
          </w:p>
        </w:tc>
        <w:tc>
          <w:tcPr>
            <w:tcW w:w="3248" w:type="pct"/>
          </w:tcPr>
          <w:p w14:paraId="7319A5E2" w14:textId="77777777" w:rsidR="002E474C" w:rsidRDefault="00000000">
            <w:pPr>
              <w:pStyle w:val="A-"/>
            </w:pPr>
            <w:r>
              <w:t>厂界上游外延</w:t>
            </w:r>
            <w:r>
              <w:t>500m</w:t>
            </w:r>
            <w:r>
              <w:t>，两侧各外延</w:t>
            </w:r>
            <w:r>
              <w:t>1000m</w:t>
            </w:r>
            <w:r>
              <w:t>，下游外延</w:t>
            </w:r>
            <w:r>
              <w:t>2000m</w:t>
            </w:r>
            <w:r>
              <w:t>，总面积约</w:t>
            </w:r>
            <w:r>
              <w:t>8.15km</w:t>
            </w:r>
            <w:r>
              <w:rPr>
                <w:vertAlign w:val="superscript"/>
              </w:rPr>
              <w:t>2</w:t>
            </w:r>
            <w:r>
              <w:t>的区域</w:t>
            </w:r>
          </w:p>
        </w:tc>
      </w:tr>
      <w:tr w:rsidR="002E474C" w14:paraId="7F9012F5" w14:textId="77777777">
        <w:tc>
          <w:tcPr>
            <w:tcW w:w="822" w:type="pct"/>
          </w:tcPr>
          <w:p w14:paraId="5940327F" w14:textId="77777777" w:rsidR="002E474C" w:rsidRDefault="00000000">
            <w:pPr>
              <w:pStyle w:val="A-"/>
            </w:pPr>
            <w:r>
              <w:t>声环境</w:t>
            </w:r>
          </w:p>
        </w:tc>
        <w:tc>
          <w:tcPr>
            <w:tcW w:w="930" w:type="pct"/>
          </w:tcPr>
          <w:p w14:paraId="0EDE0CCE" w14:textId="77777777" w:rsidR="002E474C" w:rsidRDefault="00000000">
            <w:pPr>
              <w:pStyle w:val="A-"/>
            </w:pPr>
            <w:r>
              <w:t>二级</w:t>
            </w:r>
          </w:p>
        </w:tc>
        <w:tc>
          <w:tcPr>
            <w:tcW w:w="3248" w:type="pct"/>
          </w:tcPr>
          <w:p w14:paraId="779DE611" w14:textId="77777777" w:rsidR="002E474C" w:rsidRDefault="00000000">
            <w:pPr>
              <w:pStyle w:val="A-"/>
            </w:pPr>
            <w:r>
              <w:t>厂界外</w:t>
            </w:r>
            <w:r>
              <w:t>200m</w:t>
            </w:r>
            <w:r>
              <w:t>范围内</w:t>
            </w:r>
          </w:p>
        </w:tc>
      </w:tr>
      <w:tr w:rsidR="002E474C" w14:paraId="3249FF40" w14:textId="77777777">
        <w:trPr>
          <w:trHeight w:val="249"/>
        </w:trPr>
        <w:tc>
          <w:tcPr>
            <w:tcW w:w="822" w:type="pct"/>
          </w:tcPr>
          <w:p w14:paraId="553439B6" w14:textId="77777777" w:rsidR="002E474C" w:rsidRDefault="00000000">
            <w:pPr>
              <w:pStyle w:val="A-"/>
            </w:pPr>
            <w:r>
              <w:t>土壤环境</w:t>
            </w:r>
          </w:p>
        </w:tc>
        <w:tc>
          <w:tcPr>
            <w:tcW w:w="930" w:type="pct"/>
          </w:tcPr>
          <w:p w14:paraId="4F96ECEF" w14:textId="77777777" w:rsidR="002E474C" w:rsidRDefault="00000000">
            <w:pPr>
              <w:pStyle w:val="A-"/>
            </w:pPr>
            <w:r>
              <w:t>二级</w:t>
            </w:r>
          </w:p>
        </w:tc>
        <w:tc>
          <w:tcPr>
            <w:tcW w:w="3248" w:type="pct"/>
          </w:tcPr>
          <w:p w14:paraId="6C0C634A" w14:textId="77777777" w:rsidR="002E474C" w:rsidRDefault="00000000">
            <w:pPr>
              <w:pStyle w:val="A-"/>
            </w:pPr>
            <w:r>
              <w:t>占地范围内全部及占地范围外</w:t>
            </w:r>
            <w:r>
              <w:t>200m</w:t>
            </w:r>
            <w:r>
              <w:t>范围内</w:t>
            </w:r>
          </w:p>
        </w:tc>
      </w:tr>
      <w:tr w:rsidR="002E474C" w14:paraId="3B1A65CD" w14:textId="77777777">
        <w:tc>
          <w:tcPr>
            <w:tcW w:w="822" w:type="pct"/>
          </w:tcPr>
          <w:p w14:paraId="5BD20D58" w14:textId="77777777" w:rsidR="002E474C" w:rsidRDefault="00000000">
            <w:pPr>
              <w:pStyle w:val="A-"/>
            </w:pPr>
            <w:r>
              <w:t>生态影响</w:t>
            </w:r>
          </w:p>
        </w:tc>
        <w:tc>
          <w:tcPr>
            <w:tcW w:w="930" w:type="pct"/>
          </w:tcPr>
          <w:p w14:paraId="2456D3AB" w14:textId="77777777" w:rsidR="002E474C" w:rsidRDefault="00000000">
            <w:pPr>
              <w:pStyle w:val="A-"/>
            </w:pPr>
            <w:r>
              <w:t>简单分析</w:t>
            </w:r>
          </w:p>
        </w:tc>
        <w:tc>
          <w:tcPr>
            <w:tcW w:w="3248" w:type="pct"/>
          </w:tcPr>
          <w:p w14:paraId="320313C6" w14:textId="77777777" w:rsidR="002E474C" w:rsidRDefault="00000000">
            <w:pPr>
              <w:pStyle w:val="A-"/>
            </w:pPr>
            <w:r>
              <w:t>占地范围内全部及占地范围外</w:t>
            </w:r>
            <w:r>
              <w:t>200m</w:t>
            </w:r>
            <w:r>
              <w:t>范围内</w:t>
            </w:r>
          </w:p>
        </w:tc>
      </w:tr>
      <w:tr w:rsidR="002E474C" w14:paraId="0D5C2137" w14:textId="77777777">
        <w:trPr>
          <w:trHeight w:val="306"/>
        </w:trPr>
        <w:tc>
          <w:tcPr>
            <w:tcW w:w="822" w:type="pct"/>
          </w:tcPr>
          <w:p w14:paraId="7EC03F43" w14:textId="77777777" w:rsidR="002E474C" w:rsidRDefault="00000000">
            <w:pPr>
              <w:pStyle w:val="A-"/>
            </w:pPr>
            <w:r>
              <w:t>环境风险</w:t>
            </w:r>
          </w:p>
        </w:tc>
        <w:tc>
          <w:tcPr>
            <w:tcW w:w="930" w:type="pct"/>
          </w:tcPr>
          <w:p w14:paraId="3047ECB8" w14:textId="77777777" w:rsidR="002E474C" w:rsidRDefault="00000000">
            <w:pPr>
              <w:pStyle w:val="A-"/>
            </w:pPr>
            <w:r>
              <w:t>简单分析</w:t>
            </w:r>
          </w:p>
        </w:tc>
        <w:tc>
          <w:tcPr>
            <w:tcW w:w="3248" w:type="pct"/>
          </w:tcPr>
          <w:p w14:paraId="52512097" w14:textId="77777777" w:rsidR="002E474C" w:rsidRDefault="00000000">
            <w:pPr>
              <w:pStyle w:val="A-"/>
            </w:pPr>
            <w:r>
              <w:t>无</w:t>
            </w:r>
          </w:p>
        </w:tc>
      </w:tr>
    </w:tbl>
    <w:p w14:paraId="372CE91F" w14:textId="77777777" w:rsidR="002E474C" w:rsidRDefault="00000000">
      <w:pPr>
        <w:pStyle w:val="21"/>
        <w:spacing w:before="240" w:after="240"/>
        <w:rPr>
          <w:color w:val="auto"/>
        </w:rPr>
      </w:pPr>
      <w:bookmarkStart w:id="97" w:name="_Toc225848849"/>
      <w:bookmarkStart w:id="98" w:name="_Toc22966"/>
      <w:r>
        <w:rPr>
          <w:color w:val="auto"/>
        </w:rPr>
        <w:t>污染控制及环境保护目标</w:t>
      </w:r>
      <w:bookmarkEnd w:id="97"/>
      <w:bookmarkEnd w:id="98"/>
    </w:p>
    <w:p w14:paraId="50F820A7" w14:textId="77777777" w:rsidR="002E474C" w:rsidRDefault="00000000">
      <w:pPr>
        <w:pStyle w:val="31"/>
        <w:spacing w:before="120" w:after="120"/>
        <w:rPr>
          <w:color w:val="auto"/>
        </w:rPr>
      </w:pPr>
      <w:bookmarkStart w:id="99" w:name="_Toc344462279"/>
      <w:bookmarkStart w:id="100" w:name="_Toc320564592"/>
      <w:bookmarkStart w:id="101" w:name="_Toc29500"/>
      <w:r>
        <w:rPr>
          <w:color w:val="auto"/>
        </w:rPr>
        <w:t>污染控制目标</w:t>
      </w:r>
      <w:bookmarkEnd w:id="99"/>
      <w:bookmarkEnd w:id="100"/>
      <w:bookmarkEnd w:id="101"/>
    </w:p>
    <w:p w14:paraId="5A099111" w14:textId="77777777" w:rsidR="002E474C" w:rsidRDefault="00000000">
      <w:pPr>
        <w:pStyle w:val="A-z"/>
        <w:rPr>
          <w:color w:val="auto"/>
        </w:rPr>
      </w:pPr>
      <w:r>
        <w:rPr>
          <w:color w:val="auto"/>
        </w:rPr>
        <w:t>（</w:t>
      </w:r>
      <w:r>
        <w:rPr>
          <w:color w:val="auto"/>
        </w:rPr>
        <w:t>1</w:t>
      </w:r>
      <w:r>
        <w:rPr>
          <w:color w:val="auto"/>
        </w:rPr>
        <w:t>）环境空气：保护评价区环境空气质量，确保本项目废气污染物稳定达标排放，区域环境空气质量不因本项目运行而降低，使区域环境空气质量达到</w:t>
      </w:r>
      <w:r>
        <w:rPr>
          <w:color w:val="auto"/>
          <w:szCs w:val="24"/>
        </w:rPr>
        <w:t>《环</w:t>
      </w:r>
      <w:r>
        <w:rPr>
          <w:color w:val="auto"/>
          <w:szCs w:val="24"/>
        </w:rPr>
        <w:lastRenderedPageBreak/>
        <w:t>境空气质量标准》（</w:t>
      </w:r>
      <w:r>
        <w:rPr>
          <w:color w:val="auto"/>
          <w:szCs w:val="24"/>
        </w:rPr>
        <w:t>GB3095-2026</w:t>
      </w:r>
      <w:r>
        <w:rPr>
          <w:color w:val="auto"/>
          <w:szCs w:val="24"/>
        </w:rPr>
        <w:t>）二级浓度</w:t>
      </w:r>
      <w:r>
        <w:rPr>
          <w:color w:val="auto"/>
        </w:rPr>
        <w:t>。</w:t>
      </w:r>
    </w:p>
    <w:p w14:paraId="3C0F1051" w14:textId="77777777" w:rsidR="002E474C" w:rsidRDefault="00000000">
      <w:pPr>
        <w:pStyle w:val="A-z"/>
        <w:rPr>
          <w:color w:val="auto"/>
        </w:rPr>
      </w:pPr>
      <w:r>
        <w:rPr>
          <w:color w:val="auto"/>
        </w:rPr>
        <w:t>（</w:t>
      </w:r>
      <w:r>
        <w:rPr>
          <w:color w:val="auto"/>
        </w:rPr>
        <w:t>2</w:t>
      </w:r>
      <w:r>
        <w:rPr>
          <w:color w:val="auto"/>
        </w:rPr>
        <w:t>）土壤及地下水环境：严格落实土壤和地下水污染防治措施。使评价区内土壤和地下水质量不受建设项目影响，土壤质量达到《土壤环境质量建设用地土壤污染风险管控标准（试行）》（</w:t>
      </w:r>
      <w:r>
        <w:rPr>
          <w:color w:val="auto"/>
        </w:rPr>
        <w:t>GB36600-2018</w:t>
      </w:r>
      <w:r>
        <w:rPr>
          <w:color w:val="auto"/>
        </w:rPr>
        <w:t>）第二类用地筛选值，地下水质量达到《地下水质量标准》（</w:t>
      </w:r>
      <w:r>
        <w:rPr>
          <w:color w:val="auto"/>
        </w:rPr>
        <w:t>GB/T14848-2017</w:t>
      </w:r>
      <w:r>
        <w:rPr>
          <w:color w:val="auto"/>
        </w:rPr>
        <w:t>）</w:t>
      </w:r>
      <w:r>
        <w:rPr>
          <w:color w:val="auto"/>
        </w:rPr>
        <w:t>Ⅲ</w:t>
      </w:r>
      <w:r>
        <w:rPr>
          <w:color w:val="auto"/>
        </w:rPr>
        <w:t>类标准。按照</w:t>
      </w:r>
      <w:r>
        <w:rPr>
          <w:color w:val="auto"/>
        </w:rPr>
        <w:t>“</w:t>
      </w:r>
      <w:r>
        <w:rPr>
          <w:color w:val="auto"/>
        </w:rPr>
        <w:t>源头控制、分区防治、污染监控、应急响应</w:t>
      </w:r>
      <w:r>
        <w:rPr>
          <w:color w:val="auto"/>
        </w:rPr>
        <w:t>”</w:t>
      </w:r>
      <w:r>
        <w:rPr>
          <w:color w:val="auto"/>
        </w:rPr>
        <w:t>原则做好地下水和土壤污染防治，重点防治区（涉及危废贮存库及固态危废预处理车间、液态处置车间）及废水、废液的收集、输送、处理等采取防腐防渗处理。按照环境法律法规规定要求制定环境监测计划，加强厂区和周边区域地下水及土壤环境质量监控，一旦发现污染情况，必须立即采取措施，防止污染扩散。</w:t>
      </w:r>
    </w:p>
    <w:p w14:paraId="28F1D6C8" w14:textId="77777777" w:rsidR="002E474C" w:rsidRDefault="00000000">
      <w:pPr>
        <w:pStyle w:val="A-z"/>
        <w:rPr>
          <w:color w:val="auto"/>
        </w:rPr>
      </w:pPr>
      <w:r>
        <w:rPr>
          <w:color w:val="auto"/>
        </w:rPr>
        <w:t>（</w:t>
      </w:r>
      <w:r>
        <w:rPr>
          <w:color w:val="auto"/>
        </w:rPr>
        <w:t>3</w:t>
      </w:r>
      <w:r>
        <w:rPr>
          <w:color w:val="auto"/>
        </w:rPr>
        <w:t>）声环境：控制设备噪声、运输车辆噪声，使厂界噪声达标。厂界噪声达到</w:t>
      </w:r>
      <w:r>
        <w:rPr>
          <w:color w:val="auto"/>
          <w:lang w:val="en-US"/>
        </w:rPr>
        <w:t>《工业企业厂界环境噪声排放标准》（</w:t>
      </w:r>
      <w:r>
        <w:rPr>
          <w:color w:val="auto"/>
          <w:lang w:val="en-US"/>
        </w:rPr>
        <w:t>GB12348-2008</w:t>
      </w:r>
      <w:r>
        <w:rPr>
          <w:color w:val="auto"/>
          <w:lang w:val="en-US"/>
        </w:rPr>
        <w:t>）</w:t>
      </w:r>
      <w:r>
        <w:rPr>
          <w:color w:val="auto"/>
        </w:rPr>
        <w:t>3</w:t>
      </w:r>
      <w:r>
        <w:rPr>
          <w:color w:val="auto"/>
        </w:rPr>
        <w:t>类标准。</w:t>
      </w:r>
    </w:p>
    <w:p w14:paraId="60C98AF3" w14:textId="77777777" w:rsidR="002E474C" w:rsidRDefault="00000000">
      <w:pPr>
        <w:pStyle w:val="A-z"/>
        <w:rPr>
          <w:color w:val="auto"/>
        </w:rPr>
      </w:pPr>
      <w:r>
        <w:rPr>
          <w:color w:val="auto"/>
        </w:rPr>
        <w:t>（</w:t>
      </w:r>
      <w:r>
        <w:rPr>
          <w:color w:val="auto"/>
        </w:rPr>
        <w:t>4</w:t>
      </w:r>
      <w:r>
        <w:rPr>
          <w:color w:val="auto"/>
        </w:rPr>
        <w:t>）固废：固体废物分类妥善处置，不对周围环境产生危害和二次污染。</w:t>
      </w:r>
    </w:p>
    <w:p w14:paraId="2EE47361" w14:textId="77777777" w:rsidR="002E474C" w:rsidRDefault="00000000">
      <w:pPr>
        <w:pStyle w:val="A-z"/>
        <w:rPr>
          <w:color w:val="auto"/>
        </w:rPr>
      </w:pPr>
      <w:r>
        <w:rPr>
          <w:color w:val="auto"/>
        </w:rPr>
        <w:t>（</w:t>
      </w:r>
      <w:r>
        <w:rPr>
          <w:color w:val="auto"/>
        </w:rPr>
        <w:t>5</w:t>
      </w:r>
      <w:r>
        <w:rPr>
          <w:color w:val="auto"/>
        </w:rPr>
        <w:t>）环境风险：采取有效的事故预防及应急措施，避免事故状态下对周围环境造成直接或伴生污染影响。</w:t>
      </w:r>
    </w:p>
    <w:p w14:paraId="0D2B27AF" w14:textId="77777777" w:rsidR="002E474C" w:rsidRDefault="00000000">
      <w:pPr>
        <w:pStyle w:val="31"/>
        <w:spacing w:before="120" w:after="120"/>
        <w:rPr>
          <w:color w:val="auto"/>
        </w:rPr>
      </w:pPr>
      <w:bookmarkStart w:id="102" w:name="_Toc18880"/>
      <w:bookmarkStart w:id="103" w:name="_Toc344462280"/>
      <w:bookmarkStart w:id="104" w:name="_Toc320564593"/>
      <w:r>
        <w:rPr>
          <w:color w:val="auto"/>
        </w:rPr>
        <w:t>环境保护目标</w:t>
      </w:r>
      <w:bookmarkEnd w:id="102"/>
      <w:bookmarkEnd w:id="103"/>
      <w:bookmarkEnd w:id="104"/>
    </w:p>
    <w:p w14:paraId="4B9E1713" w14:textId="77777777" w:rsidR="002E474C" w:rsidRDefault="00000000">
      <w:pPr>
        <w:pStyle w:val="A-z"/>
        <w:rPr>
          <w:color w:val="auto"/>
        </w:rPr>
      </w:pPr>
      <w:r>
        <w:rPr>
          <w:color w:val="auto"/>
        </w:rPr>
        <w:t>本项目位于工业园区内，项目评价范围内的主要环境敏感区分布见表</w:t>
      </w:r>
      <w:r>
        <w:rPr>
          <w:color w:val="auto"/>
        </w:rPr>
        <w:t>2.6-1</w:t>
      </w:r>
      <w:r>
        <w:rPr>
          <w:color w:val="auto"/>
        </w:rPr>
        <w:t>及图</w:t>
      </w:r>
      <w:r>
        <w:rPr>
          <w:color w:val="auto"/>
        </w:rPr>
        <w:t>2.5-1</w:t>
      </w:r>
      <w:r>
        <w:rPr>
          <w:color w:val="auto"/>
        </w:rPr>
        <w:t>。</w:t>
      </w:r>
    </w:p>
    <w:p w14:paraId="23086179" w14:textId="77777777" w:rsidR="002E474C" w:rsidRDefault="00000000">
      <w:pPr>
        <w:pStyle w:val="A--"/>
        <w:rPr>
          <w:color w:val="auto"/>
        </w:rPr>
      </w:pPr>
      <w:r>
        <w:rPr>
          <w:color w:val="auto"/>
        </w:rPr>
        <w:t>表</w:t>
      </w:r>
      <w:r>
        <w:rPr>
          <w:color w:val="auto"/>
        </w:rPr>
        <w:t xml:space="preserve">2.6-1    </w:t>
      </w:r>
      <w:r>
        <w:rPr>
          <w:color w:val="auto"/>
        </w:rPr>
        <w:t>项目环境保护目标一览表</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2"/>
        <w:gridCol w:w="417"/>
        <w:gridCol w:w="1218"/>
        <w:gridCol w:w="670"/>
        <w:gridCol w:w="716"/>
        <w:gridCol w:w="768"/>
        <w:gridCol w:w="796"/>
        <w:gridCol w:w="2871"/>
      </w:tblGrid>
      <w:tr w:rsidR="002E474C" w14:paraId="4888938C" w14:textId="77777777">
        <w:trPr>
          <w:trHeight w:val="284"/>
        </w:trPr>
        <w:tc>
          <w:tcPr>
            <w:tcW w:w="512" w:type="pct"/>
            <w:vAlign w:val="center"/>
          </w:tcPr>
          <w:p w14:paraId="1390313B" w14:textId="77777777" w:rsidR="002E474C" w:rsidRDefault="00000000">
            <w:pPr>
              <w:pStyle w:val="A-"/>
            </w:pPr>
            <w:bookmarkStart w:id="105" w:name="_Hlk159583572"/>
            <w:r>
              <w:t>环境要素</w:t>
            </w:r>
          </w:p>
        </w:tc>
        <w:tc>
          <w:tcPr>
            <w:tcW w:w="251" w:type="pct"/>
            <w:vAlign w:val="center"/>
          </w:tcPr>
          <w:p w14:paraId="1DBD68D8" w14:textId="77777777" w:rsidR="002E474C" w:rsidRDefault="00000000">
            <w:pPr>
              <w:pStyle w:val="A-"/>
            </w:pPr>
            <w:r>
              <w:t>编号</w:t>
            </w:r>
          </w:p>
        </w:tc>
        <w:tc>
          <w:tcPr>
            <w:tcW w:w="732" w:type="pct"/>
            <w:vAlign w:val="center"/>
          </w:tcPr>
          <w:p w14:paraId="066BFA18" w14:textId="77777777" w:rsidR="002E474C" w:rsidRDefault="00000000">
            <w:pPr>
              <w:pStyle w:val="A-"/>
            </w:pPr>
            <w:r>
              <w:t>名称</w:t>
            </w:r>
          </w:p>
        </w:tc>
        <w:tc>
          <w:tcPr>
            <w:tcW w:w="403" w:type="pct"/>
            <w:vAlign w:val="center"/>
          </w:tcPr>
          <w:p w14:paraId="7766131A" w14:textId="77777777" w:rsidR="002E474C" w:rsidRDefault="00000000">
            <w:pPr>
              <w:pStyle w:val="A-"/>
            </w:pPr>
            <w:r>
              <w:t>方位</w:t>
            </w:r>
          </w:p>
        </w:tc>
        <w:tc>
          <w:tcPr>
            <w:tcW w:w="431" w:type="pct"/>
            <w:vAlign w:val="center"/>
          </w:tcPr>
          <w:p w14:paraId="21F7C8FA" w14:textId="77777777" w:rsidR="002E474C" w:rsidRDefault="00000000">
            <w:pPr>
              <w:pStyle w:val="A-"/>
            </w:pPr>
            <w:r>
              <w:t>距离</w:t>
            </w:r>
          </w:p>
        </w:tc>
        <w:tc>
          <w:tcPr>
            <w:tcW w:w="462" w:type="pct"/>
            <w:vAlign w:val="center"/>
          </w:tcPr>
          <w:p w14:paraId="39E5F477" w14:textId="77777777" w:rsidR="002E474C" w:rsidRDefault="00000000">
            <w:pPr>
              <w:pStyle w:val="A-"/>
            </w:pPr>
            <w:r>
              <w:t>功能</w:t>
            </w:r>
          </w:p>
        </w:tc>
        <w:tc>
          <w:tcPr>
            <w:tcW w:w="479" w:type="pct"/>
            <w:vAlign w:val="center"/>
          </w:tcPr>
          <w:p w14:paraId="45E0444F" w14:textId="77777777" w:rsidR="002E474C" w:rsidRDefault="00000000">
            <w:pPr>
              <w:pStyle w:val="A-"/>
            </w:pPr>
            <w:r>
              <w:t>人口数</w:t>
            </w:r>
          </w:p>
        </w:tc>
        <w:tc>
          <w:tcPr>
            <w:tcW w:w="1727" w:type="pct"/>
            <w:vAlign w:val="center"/>
          </w:tcPr>
          <w:p w14:paraId="47A964B0" w14:textId="77777777" w:rsidR="002E474C" w:rsidRDefault="00000000">
            <w:pPr>
              <w:pStyle w:val="A-"/>
            </w:pPr>
            <w:r>
              <w:t>环境保护要求</w:t>
            </w:r>
          </w:p>
        </w:tc>
      </w:tr>
      <w:tr w:rsidR="002E474C" w14:paraId="688FE43F" w14:textId="77777777">
        <w:trPr>
          <w:trHeight w:val="284"/>
        </w:trPr>
        <w:tc>
          <w:tcPr>
            <w:tcW w:w="512" w:type="pct"/>
            <w:vMerge w:val="restart"/>
            <w:vAlign w:val="center"/>
          </w:tcPr>
          <w:p w14:paraId="3A913302" w14:textId="77777777" w:rsidR="002E474C" w:rsidRDefault="00000000">
            <w:pPr>
              <w:pStyle w:val="A-"/>
            </w:pPr>
            <w:r>
              <w:t>环境空气</w:t>
            </w:r>
          </w:p>
        </w:tc>
        <w:tc>
          <w:tcPr>
            <w:tcW w:w="251" w:type="pct"/>
            <w:vAlign w:val="center"/>
          </w:tcPr>
          <w:p w14:paraId="6F5EA2B3" w14:textId="77777777" w:rsidR="002E474C" w:rsidRDefault="00000000">
            <w:pPr>
              <w:pStyle w:val="A-"/>
            </w:pPr>
            <w:r>
              <w:t>1</w:t>
            </w:r>
          </w:p>
        </w:tc>
        <w:tc>
          <w:tcPr>
            <w:tcW w:w="732" w:type="pct"/>
            <w:vAlign w:val="center"/>
          </w:tcPr>
          <w:p w14:paraId="1C94981A" w14:textId="77777777" w:rsidR="002E474C" w:rsidRDefault="00000000">
            <w:pPr>
              <w:pStyle w:val="A-"/>
            </w:pPr>
            <w:r>
              <w:t>阿乐惠镇</w:t>
            </w:r>
          </w:p>
        </w:tc>
        <w:tc>
          <w:tcPr>
            <w:tcW w:w="403" w:type="pct"/>
            <w:vAlign w:val="center"/>
          </w:tcPr>
          <w:p w14:paraId="0B9BE6A7" w14:textId="77777777" w:rsidR="002E474C" w:rsidRDefault="00000000">
            <w:pPr>
              <w:pStyle w:val="A-"/>
            </w:pPr>
            <w:r>
              <w:t>西</w:t>
            </w:r>
          </w:p>
        </w:tc>
        <w:tc>
          <w:tcPr>
            <w:tcW w:w="431" w:type="pct"/>
            <w:vAlign w:val="center"/>
          </w:tcPr>
          <w:p w14:paraId="76EC59E6" w14:textId="77777777" w:rsidR="002E474C" w:rsidRDefault="00000000">
            <w:pPr>
              <w:pStyle w:val="A-"/>
            </w:pPr>
            <w:r>
              <w:t>3 km</w:t>
            </w:r>
          </w:p>
        </w:tc>
        <w:tc>
          <w:tcPr>
            <w:tcW w:w="462" w:type="pct"/>
            <w:vAlign w:val="center"/>
          </w:tcPr>
          <w:p w14:paraId="6441C676" w14:textId="77777777" w:rsidR="002E474C" w:rsidRDefault="00000000">
            <w:pPr>
              <w:pStyle w:val="A-"/>
            </w:pPr>
            <w:r>
              <w:t>城镇</w:t>
            </w:r>
          </w:p>
        </w:tc>
        <w:tc>
          <w:tcPr>
            <w:tcW w:w="479" w:type="pct"/>
            <w:vAlign w:val="center"/>
          </w:tcPr>
          <w:p w14:paraId="4A678B16" w14:textId="77777777" w:rsidR="002E474C" w:rsidRDefault="00000000">
            <w:pPr>
              <w:pStyle w:val="A-"/>
            </w:pPr>
            <w:r>
              <w:t>1600</w:t>
            </w:r>
          </w:p>
        </w:tc>
        <w:tc>
          <w:tcPr>
            <w:tcW w:w="1727" w:type="pct"/>
            <w:vMerge w:val="restart"/>
            <w:vAlign w:val="center"/>
          </w:tcPr>
          <w:p w14:paraId="014FAC41" w14:textId="77777777" w:rsidR="002E474C" w:rsidRDefault="00000000">
            <w:pPr>
              <w:pStyle w:val="A-"/>
            </w:pPr>
            <w:r>
              <w:t>《环境空气质量标准》（</w:t>
            </w:r>
            <w:r>
              <w:t>GB3095-2026</w:t>
            </w:r>
            <w:r>
              <w:t>）二级</w:t>
            </w:r>
          </w:p>
        </w:tc>
      </w:tr>
      <w:tr w:rsidR="002E474C" w14:paraId="2675DA0B" w14:textId="77777777">
        <w:trPr>
          <w:trHeight w:val="284"/>
        </w:trPr>
        <w:tc>
          <w:tcPr>
            <w:tcW w:w="512" w:type="pct"/>
            <w:vMerge/>
            <w:vAlign w:val="center"/>
          </w:tcPr>
          <w:p w14:paraId="73342C49" w14:textId="77777777" w:rsidR="002E474C" w:rsidRDefault="002E474C">
            <w:pPr>
              <w:pStyle w:val="A-"/>
            </w:pPr>
          </w:p>
        </w:tc>
        <w:tc>
          <w:tcPr>
            <w:tcW w:w="251" w:type="pct"/>
            <w:vAlign w:val="center"/>
          </w:tcPr>
          <w:p w14:paraId="3393EB4D" w14:textId="77777777" w:rsidR="002E474C" w:rsidRDefault="00000000">
            <w:pPr>
              <w:pStyle w:val="A-"/>
            </w:pPr>
            <w:r>
              <w:t>2</w:t>
            </w:r>
          </w:p>
        </w:tc>
        <w:tc>
          <w:tcPr>
            <w:tcW w:w="732" w:type="pct"/>
            <w:vAlign w:val="center"/>
          </w:tcPr>
          <w:p w14:paraId="4CB6A956" w14:textId="77777777" w:rsidR="002E474C" w:rsidRDefault="00000000">
            <w:pPr>
              <w:pStyle w:val="A-"/>
            </w:pPr>
            <w:r>
              <w:t>电石公司员工公寓</w:t>
            </w:r>
          </w:p>
        </w:tc>
        <w:tc>
          <w:tcPr>
            <w:tcW w:w="403" w:type="pct"/>
            <w:vAlign w:val="center"/>
          </w:tcPr>
          <w:p w14:paraId="168B2335" w14:textId="77777777" w:rsidR="002E474C" w:rsidRDefault="00000000">
            <w:pPr>
              <w:pStyle w:val="A-"/>
            </w:pPr>
            <w:r>
              <w:t>西</w:t>
            </w:r>
          </w:p>
        </w:tc>
        <w:tc>
          <w:tcPr>
            <w:tcW w:w="431" w:type="pct"/>
            <w:vAlign w:val="center"/>
          </w:tcPr>
          <w:p w14:paraId="72D26F5C" w14:textId="77777777" w:rsidR="002E474C" w:rsidRDefault="00000000">
            <w:pPr>
              <w:pStyle w:val="A-"/>
            </w:pPr>
            <w:r>
              <w:t>1.8 km</w:t>
            </w:r>
          </w:p>
        </w:tc>
        <w:tc>
          <w:tcPr>
            <w:tcW w:w="462" w:type="pct"/>
            <w:vAlign w:val="center"/>
          </w:tcPr>
          <w:p w14:paraId="0E0704BA" w14:textId="77777777" w:rsidR="002E474C" w:rsidRDefault="00000000">
            <w:pPr>
              <w:pStyle w:val="A-"/>
            </w:pPr>
            <w:r>
              <w:t>集中居住区</w:t>
            </w:r>
          </w:p>
        </w:tc>
        <w:tc>
          <w:tcPr>
            <w:tcW w:w="479" w:type="pct"/>
            <w:vAlign w:val="center"/>
          </w:tcPr>
          <w:p w14:paraId="3E4D010D" w14:textId="77777777" w:rsidR="002E474C" w:rsidRDefault="00000000">
            <w:pPr>
              <w:pStyle w:val="A-"/>
            </w:pPr>
            <w:r>
              <w:t>450</w:t>
            </w:r>
          </w:p>
        </w:tc>
        <w:tc>
          <w:tcPr>
            <w:tcW w:w="1727" w:type="pct"/>
            <w:vMerge/>
            <w:vAlign w:val="center"/>
          </w:tcPr>
          <w:p w14:paraId="2B2E3361" w14:textId="77777777" w:rsidR="002E474C" w:rsidRDefault="002E474C">
            <w:pPr>
              <w:pStyle w:val="A-"/>
            </w:pPr>
          </w:p>
        </w:tc>
      </w:tr>
      <w:tr w:rsidR="002E474C" w14:paraId="18417102" w14:textId="77777777">
        <w:trPr>
          <w:trHeight w:val="284"/>
        </w:trPr>
        <w:tc>
          <w:tcPr>
            <w:tcW w:w="512" w:type="pct"/>
            <w:vAlign w:val="center"/>
          </w:tcPr>
          <w:p w14:paraId="123AAE9E" w14:textId="77777777" w:rsidR="002E474C" w:rsidRDefault="00000000">
            <w:pPr>
              <w:pStyle w:val="A-"/>
            </w:pPr>
            <w:r>
              <w:t>地表水</w:t>
            </w:r>
          </w:p>
        </w:tc>
        <w:tc>
          <w:tcPr>
            <w:tcW w:w="984" w:type="pct"/>
            <w:gridSpan w:val="2"/>
            <w:vAlign w:val="center"/>
          </w:tcPr>
          <w:p w14:paraId="704995F9" w14:textId="77777777" w:rsidR="002E474C" w:rsidRDefault="00000000">
            <w:pPr>
              <w:pStyle w:val="A-"/>
            </w:pPr>
            <w:r>
              <w:t>阿拉沟干渠</w:t>
            </w:r>
          </w:p>
        </w:tc>
        <w:tc>
          <w:tcPr>
            <w:tcW w:w="403" w:type="pct"/>
            <w:vAlign w:val="center"/>
          </w:tcPr>
          <w:p w14:paraId="520B6299" w14:textId="77777777" w:rsidR="002E474C" w:rsidRDefault="00000000">
            <w:pPr>
              <w:pStyle w:val="A-"/>
            </w:pPr>
            <w:r>
              <w:t>南</w:t>
            </w:r>
          </w:p>
        </w:tc>
        <w:tc>
          <w:tcPr>
            <w:tcW w:w="431" w:type="pct"/>
            <w:vAlign w:val="center"/>
          </w:tcPr>
          <w:p w14:paraId="19D26C37" w14:textId="77777777" w:rsidR="002E474C" w:rsidRDefault="00000000">
            <w:pPr>
              <w:pStyle w:val="A-"/>
            </w:pPr>
            <w:r>
              <w:t>20m</w:t>
            </w:r>
          </w:p>
        </w:tc>
        <w:tc>
          <w:tcPr>
            <w:tcW w:w="462" w:type="pct"/>
            <w:vAlign w:val="center"/>
          </w:tcPr>
          <w:p w14:paraId="388E2B49" w14:textId="77777777" w:rsidR="002E474C" w:rsidRDefault="00000000">
            <w:pPr>
              <w:pStyle w:val="A-"/>
            </w:pPr>
            <w:r>
              <w:t>沟渠</w:t>
            </w:r>
          </w:p>
        </w:tc>
        <w:tc>
          <w:tcPr>
            <w:tcW w:w="479" w:type="pct"/>
            <w:vAlign w:val="center"/>
          </w:tcPr>
          <w:p w14:paraId="411F56ED" w14:textId="77777777" w:rsidR="002E474C" w:rsidRDefault="00000000">
            <w:pPr>
              <w:pStyle w:val="A-"/>
            </w:pPr>
            <w:r>
              <w:t>--</w:t>
            </w:r>
          </w:p>
        </w:tc>
        <w:tc>
          <w:tcPr>
            <w:tcW w:w="1727" w:type="pct"/>
            <w:vAlign w:val="center"/>
          </w:tcPr>
          <w:p w14:paraId="6A569FE8" w14:textId="77777777" w:rsidR="002E474C" w:rsidRDefault="00000000">
            <w:pPr>
              <w:pStyle w:val="A-"/>
            </w:pPr>
            <w:r>
              <w:t>《地表水环境质量标准》（</w:t>
            </w:r>
            <w:r>
              <w:t>GB3838-2002</w:t>
            </w:r>
            <w:r>
              <w:t>）</w:t>
            </w:r>
            <w:r>
              <w:t>Ⅱ</w:t>
            </w:r>
            <w:r>
              <w:t>类标准</w:t>
            </w:r>
          </w:p>
        </w:tc>
      </w:tr>
      <w:tr w:rsidR="002E474C" w14:paraId="744F7D99" w14:textId="77777777">
        <w:trPr>
          <w:trHeight w:val="284"/>
        </w:trPr>
        <w:tc>
          <w:tcPr>
            <w:tcW w:w="512" w:type="pct"/>
            <w:vAlign w:val="center"/>
          </w:tcPr>
          <w:p w14:paraId="21991885" w14:textId="77777777" w:rsidR="002E474C" w:rsidRDefault="00000000">
            <w:pPr>
              <w:pStyle w:val="A-"/>
            </w:pPr>
            <w:r>
              <w:t>地下水</w:t>
            </w:r>
          </w:p>
        </w:tc>
        <w:tc>
          <w:tcPr>
            <w:tcW w:w="984" w:type="pct"/>
            <w:gridSpan w:val="2"/>
            <w:vAlign w:val="center"/>
          </w:tcPr>
          <w:p w14:paraId="094E620A" w14:textId="77777777" w:rsidR="002E474C" w:rsidRDefault="00000000">
            <w:pPr>
              <w:pStyle w:val="A-"/>
            </w:pPr>
            <w:r>
              <w:t>厂址周边浅层</w:t>
            </w:r>
          </w:p>
          <w:p w14:paraId="1F13C432" w14:textId="77777777" w:rsidR="002E474C" w:rsidRDefault="00000000">
            <w:pPr>
              <w:pStyle w:val="A-"/>
            </w:pPr>
            <w:r>
              <w:t>地下水</w:t>
            </w:r>
          </w:p>
        </w:tc>
        <w:tc>
          <w:tcPr>
            <w:tcW w:w="403" w:type="pct"/>
            <w:vAlign w:val="center"/>
          </w:tcPr>
          <w:p w14:paraId="545A6C3C" w14:textId="77777777" w:rsidR="002E474C" w:rsidRDefault="00000000">
            <w:pPr>
              <w:pStyle w:val="A-"/>
            </w:pPr>
            <w:r>
              <w:t>--</w:t>
            </w:r>
          </w:p>
        </w:tc>
        <w:tc>
          <w:tcPr>
            <w:tcW w:w="431" w:type="pct"/>
            <w:vAlign w:val="center"/>
          </w:tcPr>
          <w:p w14:paraId="2BF70ADF" w14:textId="77777777" w:rsidR="002E474C" w:rsidRDefault="00000000">
            <w:pPr>
              <w:pStyle w:val="A-"/>
            </w:pPr>
            <w:r>
              <w:t>--</w:t>
            </w:r>
          </w:p>
        </w:tc>
        <w:tc>
          <w:tcPr>
            <w:tcW w:w="462" w:type="pct"/>
            <w:vAlign w:val="center"/>
          </w:tcPr>
          <w:p w14:paraId="3F68D505" w14:textId="77777777" w:rsidR="002E474C" w:rsidRDefault="00000000">
            <w:pPr>
              <w:pStyle w:val="A-"/>
            </w:pPr>
            <w:r>
              <w:t>--</w:t>
            </w:r>
          </w:p>
        </w:tc>
        <w:tc>
          <w:tcPr>
            <w:tcW w:w="479" w:type="pct"/>
            <w:vAlign w:val="center"/>
          </w:tcPr>
          <w:p w14:paraId="33C0E9A6" w14:textId="77777777" w:rsidR="002E474C" w:rsidRDefault="00000000">
            <w:pPr>
              <w:pStyle w:val="A-"/>
            </w:pPr>
            <w:r>
              <w:t>--</w:t>
            </w:r>
          </w:p>
        </w:tc>
        <w:tc>
          <w:tcPr>
            <w:tcW w:w="1727" w:type="pct"/>
            <w:vAlign w:val="center"/>
          </w:tcPr>
          <w:p w14:paraId="0AD04E10" w14:textId="77777777" w:rsidR="002E474C" w:rsidRDefault="00000000">
            <w:pPr>
              <w:pStyle w:val="A-"/>
            </w:pPr>
            <w:r>
              <w:t>《地下水质量标准》（</w:t>
            </w:r>
            <w:r>
              <w:t>GB/T14848-</w:t>
            </w:r>
            <w:r>
              <w:rPr>
                <w:rFonts w:hint="eastAsia"/>
              </w:rPr>
              <w:t>2017</w:t>
            </w:r>
            <w:r>
              <w:t>）</w:t>
            </w:r>
            <w:r>
              <w:t>Ⅲ</w:t>
            </w:r>
            <w:r>
              <w:t>类</w:t>
            </w:r>
          </w:p>
        </w:tc>
      </w:tr>
      <w:tr w:rsidR="002E474C" w14:paraId="68B6D788" w14:textId="77777777">
        <w:trPr>
          <w:trHeight w:val="284"/>
        </w:trPr>
        <w:tc>
          <w:tcPr>
            <w:tcW w:w="512" w:type="pct"/>
            <w:vAlign w:val="center"/>
          </w:tcPr>
          <w:p w14:paraId="289242DB" w14:textId="77777777" w:rsidR="002E474C" w:rsidRDefault="00000000">
            <w:pPr>
              <w:pStyle w:val="A-"/>
            </w:pPr>
            <w:r>
              <w:t>声环境</w:t>
            </w:r>
          </w:p>
        </w:tc>
        <w:tc>
          <w:tcPr>
            <w:tcW w:w="984" w:type="pct"/>
            <w:gridSpan w:val="2"/>
            <w:vAlign w:val="center"/>
          </w:tcPr>
          <w:p w14:paraId="0E1B912C" w14:textId="77777777" w:rsidR="002E474C" w:rsidRDefault="00000000">
            <w:pPr>
              <w:pStyle w:val="A-"/>
            </w:pPr>
            <w:r>
              <w:t>厂区周围</w:t>
            </w:r>
            <w:r>
              <w:t>200m</w:t>
            </w:r>
          </w:p>
          <w:p w14:paraId="529CEEA5" w14:textId="77777777" w:rsidR="002E474C" w:rsidRDefault="00000000">
            <w:pPr>
              <w:pStyle w:val="A-"/>
            </w:pPr>
            <w:r>
              <w:t>范围内</w:t>
            </w:r>
          </w:p>
        </w:tc>
        <w:tc>
          <w:tcPr>
            <w:tcW w:w="403" w:type="pct"/>
            <w:vAlign w:val="center"/>
          </w:tcPr>
          <w:p w14:paraId="697C097A" w14:textId="77777777" w:rsidR="002E474C" w:rsidRDefault="00000000">
            <w:pPr>
              <w:pStyle w:val="A-"/>
            </w:pPr>
            <w:r>
              <w:t>--</w:t>
            </w:r>
          </w:p>
        </w:tc>
        <w:tc>
          <w:tcPr>
            <w:tcW w:w="431" w:type="pct"/>
            <w:vAlign w:val="center"/>
          </w:tcPr>
          <w:p w14:paraId="56848FD8" w14:textId="77777777" w:rsidR="002E474C" w:rsidRDefault="00000000">
            <w:pPr>
              <w:pStyle w:val="A-"/>
            </w:pPr>
            <w:r>
              <w:t>--</w:t>
            </w:r>
          </w:p>
        </w:tc>
        <w:tc>
          <w:tcPr>
            <w:tcW w:w="462" w:type="pct"/>
            <w:vAlign w:val="center"/>
          </w:tcPr>
          <w:p w14:paraId="368F3B58" w14:textId="77777777" w:rsidR="002E474C" w:rsidRDefault="00000000">
            <w:pPr>
              <w:pStyle w:val="A-"/>
            </w:pPr>
            <w:r>
              <w:t>--</w:t>
            </w:r>
          </w:p>
        </w:tc>
        <w:tc>
          <w:tcPr>
            <w:tcW w:w="479" w:type="pct"/>
            <w:vAlign w:val="center"/>
          </w:tcPr>
          <w:p w14:paraId="2FE46BB2" w14:textId="77777777" w:rsidR="002E474C" w:rsidRDefault="00000000">
            <w:pPr>
              <w:pStyle w:val="A-"/>
            </w:pPr>
            <w:r>
              <w:t>--</w:t>
            </w:r>
          </w:p>
        </w:tc>
        <w:tc>
          <w:tcPr>
            <w:tcW w:w="1727" w:type="pct"/>
            <w:vAlign w:val="center"/>
          </w:tcPr>
          <w:p w14:paraId="69046580" w14:textId="77777777" w:rsidR="002E474C" w:rsidRDefault="00000000">
            <w:pPr>
              <w:pStyle w:val="A-"/>
            </w:pPr>
            <w:r>
              <w:t>《声环境质量标准》（</w:t>
            </w:r>
            <w:r>
              <w:t>GB3096-2008</w:t>
            </w:r>
            <w:r>
              <w:t>）</w:t>
            </w:r>
            <w:r>
              <w:t>3</w:t>
            </w:r>
            <w:r>
              <w:t>类</w:t>
            </w:r>
          </w:p>
        </w:tc>
      </w:tr>
      <w:tr w:rsidR="002E474C" w14:paraId="17625FC0" w14:textId="77777777">
        <w:trPr>
          <w:trHeight w:val="284"/>
        </w:trPr>
        <w:tc>
          <w:tcPr>
            <w:tcW w:w="512" w:type="pct"/>
            <w:vAlign w:val="center"/>
          </w:tcPr>
          <w:p w14:paraId="49777C29" w14:textId="77777777" w:rsidR="002E474C" w:rsidRDefault="00000000">
            <w:pPr>
              <w:pStyle w:val="A-"/>
            </w:pPr>
            <w:r>
              <w:t>土壤环境</w:t>
            </w:r>
          </w:p>
        </w:tc>
        <w:tc>
          <w:tcPr>
            <w:tcW w:w="984" w:type="pct"/>
            <w:gridSpan w:val="2"/>
            <w:vAlign w:val="center"/>
          </w:tcPr>
          <w:p w14:paraId="07E2FF20" w14:textId="77777777" w:rsidR="002E474C" w:rsidRDefault="00000000">
            <w:pPr>
              <w:pStyle w:val="A-"/>
            </w:pPr>
            <w:r>
              <w:t>厂区周围</w:t>
            </w:r>
            <w:r>
              <w:t>200m</w:t>
            </w:r>
          </w:p>
          <w:p w14:paraId="2A621404" w14:textId="77777777" w:rsidR="002E474C" w:rsidRDefault="00000000">
            <w:pPr>
              <w:pStyle w:val="A-"/>
            </w:pPr>
            <w:r>
              <w:t>范围内</w:t>
            </w:r>
          </w:p>
        </w:tc>
        <w:tc>
          <w:tcPr>
            <w:tcW w:w="403" w:type="pct"/>
            <w:vAlign w:val="center"/>
          </w:tcPr>
          <w:p w14:paraId="0FA6A96F" w14:textId="77777777" w:rsidR="002E474C" w:rsidRDefault="00000000">
            <w:pPr>
              <w:pStyle w:val="A-"/>
            </w:pPr>
            <w:r>
              <w:t>--</w:t>
            </w:r>
          </w:p>
        </w:tc>
        <w:tc>
          <w:tcPr>
            <w:tcW w:w="431" w:type="pct"/>
            <w:vAlign w:val="center"/>
          </w:tcPr>
          <w:p w14:paraId="07BEC1D9" w14:textId="77777777" w:rsidR="002E474C" w:rsidRDefault="00000000">
            <w:pPr>
              <w:pStyle w:val="A-"/>
            </w:pPr>
            <w:r>
              <w:t>--</w:t>
            </w:r>
          </w:p>
        </w:tc>
        <w:tc>
          <w:tcPr>
            <w:tcW w:w="462" w:type="pct"/>
            <w:vAlign w:val="center"/>
          </w:tcPr>
          <w:p w14:paraId="3C1F4FFD" w14:textId="77777777" w:rsidR="002E474C" w:rsidRDefault="00000000">
            <w:pPr>
              <w:pStyle w:val="A-"/>
            </w:pPr>
            <w:r>
              <w:t>--</w:t>
            </w:r>
          </w:p>
        </w:tc>
        <w:tc>
          <w:tcPr>
            <w:tcW w:w="479" w:type="pct"/>
            <w:vAlign w:val="center"/>
          </w:tcPr>
          <w:p w14:paraId="184C728E" w14:textId="77777777" w:rsidR="002E474C" w:rsidRDefault="00000000">
            <w:pPr>
              <w:pStyle w:val="A-"/>
            </w:pPr>
            <w:r>
              <w:t>--</w:t>
            </w:r>
          </w:p>
        </w:tc>
        <w:tc>
          <w:tcPr>
            <w:tcW w:w="1727" w:type="pct"/>
            <w:vAlign w:val="center"/>
          </w:tcPr>
          <w:p w14:paraId="47D37CAA" w14:textId="77777777" w:rsidR="002E474C" w:rsidRDefault="00000000">
            <w:pPr>
              <w:pStyle w:val="A-"/>
            </w:pPr>
            <w:r>
              <w:t>《土壤环境质量</w:t>
            </w:r>
            <w:r>
              <w:t xml:space="preserve"> </w:t>
            </w:r>
            <w:r>
              <w:t>建设用地土壤污染风险管控标准（试行）》（</w:t>
            </w:r>
            <w:r>
              <w:t>GB 36600-2018</w:t>
            </w:r>
            <w:r>
              <w:t>）</w:t>
            </w:r>
          </w:p>
        </w:tc>
      </w:tr>
      <w:tr w:rsidR="002E474C" w14:paraId="014B49C4" w14:textId="77777777">
        <w:trPr>
          <w:trHeight w:val="284"/>
        </w:trPr>
        <w:tc>
          <w:tcPr>
            <w:tcW w:w="512" w:type="pct"/>
            <w:vMerge w:val="restart"/>
            <w:vAlign w:val="center"/>
          </w:tcPr>
          <w:p w14:paraId="340001FF" w14:textId="77777777" w:rsidR="002E474C" w:rsidRDefault="00000000">
            <w:pPr>
              <w:pStyle w:val="A-"/>
            </w:pPr>
            <w:r>
              <w:t>环境风险</w:t>
            </w:r>
          </w:p>
        </w:tc>
        <w:tc>
          <w:tcPr>
            <w:tcW w:w="984" w:type="pct"/>
            <w:gridSpan w:val="2"/>
            <w:vAlign w:val="center"/>
          </w:tcPr>
          <w:p w14:paraId="7F5964C8" w14:textId="77777777" w:rsidR="002E474C" w:rsidRDefault="00000000">
            <w:pPr>
              <w:pStyle w:val="A-"/>
            </w:pPr>
            <w:r>
              <w:t>大气</w:t>
            </w:r>
          </w:p>
        </w:tc>
        <w:tc>
          <w:tcPr>
            <w:tcW w:w="403" w:type="pct"/>
            <w:vAlign w:val="center"/>
          </w:tcPr>
          <w:p w14:paraId="237C41FF" w14:textId="77777777" w:rsidR="002E474C" w:rsidRDefault="00000000">
            <w:pPr>
              <w:pStyle w:val="A-"/>
            </w:pPr>
            <w:r>
              <w:t>--</w:t>
            </w:r>
          </w:p>
        </w:tc>
        <w:tc>
          <w:tcPr>
            <w:tcW w:w="431" w:type="pct"/>
            <w:vAlign w:val="center"/>
          </w:tcPr>
          <w:p w14:paraId="70FC987E" w14:textId="77777777" w:rsidR="002E474C" w:rsidRDefault="00000000">
            <w:pPr>
              <w:pStyle w:val="A-"/>
            </w:pPr>
            <w:r>
              <w:t>--</w:t>
            </w:r>
          </w:p>
        </w:tc>
        <w:tc>
          <w:tcPr>
            <w:tcW w:w="462" w:type="pct"/>
            <w:vAlign w:val="center"/>
          </w:tcPr>
          <w:p w14:paraId="25731735" w14:textId="77777777" w:rsidR="002E474C" w:rsidRDefault="002E474C">
            <w:pPr>
              <w:pStyle w:val="A-"/>
            </w:pPr>
          </w:p>
        </w:tc>
        <w:tc>
          <w:tcPr>
            <w:tcW w:w="479" w:type="pct"/>
            <w:vAlign w:val="center"/>
          </w:tcPr>
          <w:p w14:paraId="4B4E026D" w14:textId="77777777" w:rsidR="002E474C" w:rsidRDefault="00000000">
            <w:pPr>
              <w:pStyle w:val="A-"/>
            </w:pPr>
            <w:r>
              <w:t>--</w:t>
            </w:r>
          </w:p>
        </w:tc>
        <w:tc>
          <w:tcPr>
            <w:tcW w:w="1727" w:type="pct"/>
            <w:vAlign w:val="center"/>
          </w:tcPr>
          <w:p w14:paraId="0ABFF5F4" w14:textId="77777777" w:rsidR="002E474C" w:rsidRDefault="00000000">
            <w:pPr>
              <w:pStyle w:val="A-"/>
            </w:pPr>
            <w:r>
              <w:t>《环境空气质量标准》（</w:t>
            </w:r>
            <w:r>
              <w:t>GB3095-2012</w:t>
            </w:r>
            <w:r>
              <w:t>）二级</w:t>
            </w:r>
          </w:p>
        </w:tc>
      </w:tr>
      <w:tr w:rsidR="002E474C" w14:paraId="15BE3072" w14:textId="77777777">
        <w:trPr>
          <w:trHeight w:val="284"/>
        </w:trPr>
        <w:tc>
          <w:tcPr>
            <w:tcW w:w="512" w:type="pct"/>
            <w:vMerge/>
            <w:vAlign w:val="center"/>
          </w:tcPr>
          <w:p w14:paraId="4059998D" w14:textId="77777777" w:rsidR="002E474C" w:rsidRDefault="002E474C">
            <w:pPr>
              <w:pStyle w:val="A-"/>
            </w:pPr>
          </w:p>
        </w:tc>
        <w:tc>
          <w:tcPr>
            <w:tcW w:w="984" w:type="pct"/>
            <w:gridSpan w:val="2"/>
            <w:vAlign w:val="center"/>
          </w:tcPr>
          <w:p w14:paraId="48649CA7" w14:textId="77777777" w:rsidR="002E474C" w:rsidRDefault="00000000">
            <w:pPr>
              <w:pStyle w:val="A-"/>
            </w:pPr>
            <w:r>
              <w:t>阿拉沟干渠</w:t>
            </w:r>
          </w:p>
        </w:tc>
        <w:tc>
          <w:tcPr>
            <w:tcW w:w="403" w:type="pct"/>
            <w:vAlign w:val="center"/>
          </w:tcPr>
          <w:p w14:paraId="56DA7D38" w14:textId="77777777" w:rsidR="002E474C" w:rsidRDefault="00000000">
            <w:pPr>
              <w:pStyle w:val="A-"/>
            </w:pPr>
            <w:r>
              <w:t>南</w:t>
            </w:r>
          </w:p>
        </w:tc>
        <w:tc>
          <w:tcPr>
            <w:tcW w:w="431" w:type="pct"/>
            <w:vAlign w:val="center"/>
          </w:tcPr>
          <w:p w14:paraId="1702C349" w14:textId="77777777" w:rsidR="002E474C" w:rsidRDefault="00000000">
            <w:pPr>
              <w:pStyle w:val="A-"/>
            </w:pPr>
            <w:r>
              <w:t>20m</w:t>
            </w:r>
          </w:p>
        </w:tc>
        <w:tc>
          <w:tcPr>
            <w:tcW w:w="462" w:type="pct"/>
            <w:vAlign w:val="center"/>
          </w:tcPr>
          <w:p w14:paraId="600A773F" w14:textId="77777777" w:rsidR="002E474C" w:rsidRDefault="00000000">
            <w:pPr>
              <w:pStyle w:val="A-"/>
            </w:pPr>
            <w:r>
              <w:t>沟渠</w:t>
            </w:r>
          </w:p>
        </w:tc>
        <w:tc>
          <w:tcPr>
            <w:tcW w:w="479" w:type="pct"/>
            <w:vAlign w:val="center"/>
          </w:tcPr>
          <w:p w14:paraId="0C8DA0C7" w14:textId="77777777" w:rsidR="002E474C" w:rsidRDefault="00000000">
            <w:pPr>
              <w:pStyle w:val="A-"/>
            </w:pPr>
            <w:r>
              <w:t>--</w:t>
            </w:r>
          </w:p>
        </w:tc>
        <w:tc>
          <w:tcPr>
            <w:tcW w:w="1727" w:type="pct"/>
            <w:vAlign w:val="center"/>
          </w:tcPr>
          <w:p w14:paraId="305DB38F" w14:textId="77777777" w:rsidR="002E474C" w:rsidRDefault="00000000">
            <w:pPr>
              <w:pStyle w:val="A-"/>
            </w:pPr>
            <w:r>
              <w:t>《地表水环境质量标准》</w:t>
            </w:r>
            <w:r>
              <w:lastRenderedPageBreak/>
              <w:t>（</w:t>
            </w:r>
            <w:r>
              <w:t>GB3838-2002</w:t>
            </w:r>
            <w:r>
              <w:t>）</w:t>
            </w:r>
            <w:r>
              <w:t>Ⅱ</w:t>
            </w:r>
            <w:r>
              <w:t>类标准</w:t>
            </w:r>
          </w:p>
        </w:tc>
      </w:tr>
      <w:tr w:rsidR="002E474C" w14:paraId="044640C5" w14:textId="77777777">
        <w:trPr>
          <w:trHeight w:val="284"/>
        </w:trPr>
        <w:tc>
          <w:tcPr>
            <w:tcW w:w="512" w:type="pct"/>
            <w:vMerge/>
            <w:vAlign w:val="center"/>
          </w:tcPr>
          <w:p w14:paraId="3C55416F" w14:textId="77777777" w:rsidR="002E474C" w:rsidRDefault="002E474C">
            <w:pPr>
              <w:pStyle w:val="A-"/>
            </w:pPr>
          </w:p>
        </w:tc>
        <w:tc>
          <w:tcPr>
            <w:tcW w:w="984" w:type="pct"/>
            <w:gridSpan w:val="2"/>
            <w:vAlign w:val="center"/>
          </w:tcPr>
          <w:p w14:paraId="2DBC05C2" w14:textId="77777777" w:rsidR="002E474C" w:rsidRDefault="00000000">
            <w:pPr>
              <w:pStyle w:val="A-"/>
            </w:pPr>
            <w:r>
              <w:t>厂址周边浅层</w:t>
            </w:r>
          </w:p>
          <w:p w14:paraId="2135B36D" w14:textId="77777777" w:rsidR="002E474C" w:rsidRDefault="00000000">
            <w:pPr>
              <w:pStyle w:val="A-"/>
            </w:pPr>
            <w:r>
              <w:t>地下水</w:t>
            </w:r>
          </w:p>
        </w:tc>
        <w:tc>
          <w:tcPr>
            <w:tcW w:w="403" w:type="pct"/>
            <w:vAlign w:val="center"/>
          </w:tcPr>
          <w:p w14:paraId="24312F2C" w14:textId="77777777" w:rsidR="002E474C" w:rsidRDefault="00000000">
            <w:pPr>
              <w:pStyle w:val="A-"/>
            </w:pPr>
            <w:r>
              <w:t>--</w:t>
            </w:r>
          </w:p>
        </w:tc>
        <w:tc>
          <w:tcPr>
            <w:tcW w:w="431" w:type="pct"/>
            <w:vAlign w:val="center"/>
          </w:tcPr>
          <w:p w14:paraId="0DEB64E8" w14:textId="77777777" w:rsidR="002E474C" w:rsidRDefault="00000000">
            <w:pPr>
              <w:pStyle w:val="A-"/>
            </w:pPr>
            <w:r>
              <w:t>--</w:t>
            </w:r>
          </w:p>
        </w:tc>
        <w:tc>
          <w:tcPr>
            <w:tcW w:w="462" w:type="pct"/>
            <w:vAlign w:val="center"/>
          </w:tcPr>
          <w:p w14:paraId="1A8ADB6B" w14:textId="77777777" w:rsidR="002E474C" w:rsidRDefault="002E474C">
            <w:pPr>
              <w:pStyle w:val="A-"/>
            </w:pPr>
          </w:p>
        </w:tc>
        <w:tc>
          <w:tcPr>
            <w:tcW w:w="479" w:type="pct"/>
            <w:vAlign w:val="center"/>
          </w:tcPr>
          <w:p w14:paraId="5C10681E" w14:textId="77777777" w:rsidR="002E474C" w:rsidRDefault="00000000">
            <w:pPr>
              <w:pStyle w:val="A-"/>
            </w:pPr>
            <w:r>
              <w:t>--</w:t>
            </w:r>
          </w:p>
        </w:tc>
        <w:tc>
          <w:tcPr>
            <w:tcW w:w="1727" w:type="pct"/>
            <w:vAlign w:val="center"/>
          </w:tcPr>
          <w:p w14:paraId="7C773557" w14:textId="77777777" w:rsidR="002E474C" w:rsidRDefault="00000000">
            <w:pPr>
              <w:pStyle w:val="A-"/>
            </w:pPr>
            <w:r>
              <w:t>《地下水质量标准》（</w:t>
            </w:r>
            <w:r>
              <w:t>GB/T14848-2017</w:t>
            </w:r>
            <w:r>
              <w:t>）</w:t>
            </w:r>
            <w:r>
              <w:t>Ⅲ</w:t>
            </w:r>
            <w:r>
              <w:t>类</w:t>
            </w:r>
          </w:p>
        </w:tc>
      </w:tr>
      <w:tr w:rsidR="002E474C" w14:paraId="3D50A1D8" w14:textId="77777777">
        <w:trPr>
          <w:trHeight w:val="284"/>
        </w:trPr>
        <w:tc>
          <w:tcPr>
            <w:tcW w:w="512" w:type="pct"/>
            <w:vAlign w:val="center"/>
          </w:tcPr>
          <w:p w14:paraId="162F8A47" w14:textId="77777777" w:rsidR="002E474C" w:rsidRDefault="00000000">
            <w:pPr>
              <w:pStyle w:val="A-"/>
            </w:pPr>
            <w:r>
              <w:t>生态环境</w:t>
            </w:r>
          </w:p>
        </w:tc>
        <w:tc>
          <w:tcPr>
            <w:tcW w:w="984" w:type="pct"/>
            <w:gridSpan w:val="2"/>
            <w:vAlign w:val="center"/>
          </w:tcPr>
          <w:p w14:paraId="38D88EEC" w14:textId="77777777" w:rsidR="002E474C" w:rsidRDefault="00000000">
            <w:pPr>
              <w:pStyle w:val="A-"/>
            </w:pPr>
            <w:r>
              <w:t>厂区周围</w:t>
            </w:r>
            <w:r>
              <w:t>200m</w:t>
            </w:r>
          </w:p>
          <w:p w14:paraId="66EFD85C" w14:textId="77777777" w:rsidR="002E474C" w:rsidRDefault="00000000">
            <w:pPr>
              <w:pStyle w:val="A-"/>
            </w:pPr>
            <w:r>
              <w:t>范围内</w:t>
            </w:r>
          </w:p>
        </w:tc>
        <w:tc>
          <w:tcPr>
            <w:tcW w:w="403" w:type="pct"/>
            <w:vAlign w:val="center"/>
          </w:tcPr>
          <w:p w14:paraId="1A4C3F74" w14:textId="77777777" w:rsidR="002E474C" w:rsidRDefault="00000000">
            <w:pPr>
              <w:pStyle w:val="A-"/>
            </w:pPr>
            <w:r>
              <w:t>--</w:t>
            </w:r>
          </w:p>
        </w:tc>
        <w:tc>
          <w:tcPr>
            <w:tcW w:w="431" w:type="pct"/>
            <w:vAlign w:val="center"/>
          </w:tcPr>
          <w:p w14:paraId="7A2B0C8B" w14:textId="77777777" w:rsidR="002E474C" w:rsidRDefault="00000000">
            <w:pPr>
              <w:pStyle w:val="A-"/>
            </w:pPr>
            <w:r>
              <w:t>--</w:t>
            </w:r>
          </w:p>
        </w:tc>
        <w:tc>
          <w:tcPr>
            <w:tcW w:w="462" w:type="pct"/>
            <w:vAlign w:val="center"/>
          </w:tcPr>
          <w:p w14:paraId="608D34AB" w14:textId="77777777" w:rsidR="002E474C" w:rsidRDefault="002E474C">
            <w:pPr>
              <w:pStyle w:val="A-"/>
            </w:pPr>
          </w:p>
        </w:tc>
        <w:tc>
          <w:tcPr>
            <w:tcW w:w="479" w:type="pct"/>
            <w:vAlign w:val="center"/>
          </w:tcPr>
          <w:p w14:paraId="242A6DD9" w14:textId="77777777" w:rsidR="002E474C" w:rsidRDefault="00000000">
            <w:pPr>
              <w:pStyle w:val="A-"/>
            </w:pPr>
            <w:r>
              <w:t>--</w:t>
            </w:r>
          </w:p>
        </w:tc>
        <w:tc>
          <w:tcPr>
            <w:tcW w:w="1727" w:type="pct"/>
            <w:vAlign w:val="center"/>
          </w:tcPr>
          <w:p w14:paraId="0AC4DCA0" w14:textId="77777777" w:rsidR="002E474C" w:rsidRDefault="00000000">
            <w:pPr>
              <w:pStyle w:val="A-"/>
            </w:pPr>
            <w:r>
              <w:t>保证不因本项目的实施降低生态环境质量</w:t>
            </w:r>
          </w:p>
        </w:tc>
      </w:tr>
      <w:bookmarkEnd w:id="105"/>
    </w:tbl>
    <w:p w14:paraId="595DAC64" w14:textId="77777777" w:rsidR="002E474C" w:rsidRDefault="002E474C">
      <w:pPr>
        <w:pStyle w:val="A-z"/>
        <w:rPr>
          <w:color w:val="auto"/>
        </w:rPr>
      </w:pPr>
    </w:p>
    <w:p w14:paraId="79AB58C2" w14:textId="77777777" w:rsidR="002E474C" w:rsidRDefault="002E474C">
      <w:pPr>
        <w:pStyle w:val="A-"/>
      </w:pPr>
    </w:p>
    <w:p w14:paraId="3D7901EA" w14:textId="77777777" w:rsidR="002E474C" w:rsidRDefault="002E474C">
      <w:pPr>
        <w:pStyle w:val="A-"/>
        <w:sectPr w:rsidR="002E474C">
          <w:pgSz w:w="11906" w:h="16838"/>
          <w:pgMar w:top="1440" w:right="1800" w:bottom="1440" w:left="1800" w:header="851" w:footer="992" w:gutter="0"/>
          <w:cols w:space="720"/>
          <w:docGrid w:linePitch="312"/>
        </w:sectPr>
      </w:pPr>
    </w:p>
    <w:p w14:paraId="664B3629" w14:textId="77777777" w:rsidR="002E474C" w:rsidRDefault="00000000">
      <w:pPr>
        <w:pStyle w:val="1"/>
        <w:spacing w:before="120" w:after="120"/>
      </w:pPr>
      <w:bookmarkStart w:id="106" w:name="_Toc225848850"/>
      <w:bookmarkStart w:id="107" w:name="_Toc3451"/>
      <w:r>
        <w:lastRenderedPageBreak/>
        <w:t>建设项目工程分析</w:t>
      </w:r>
      <w:bookmarkEnd w:id="106"/>
      <w:bookmarkEnd w:id="107"/>
    </w:p>
    <w:p w14:paraId="6E69C006" w14:textId="77777777" w:rsidR="002E474C" w:rsidRDefault="00000000">
      <w:pPr>
        <w:pStyle w:val="21"/>
        <w:spacing w:before="240" w:after="240"/>
        <w:rPr>
          <w:color w:val="auto"/>
        </w:rPr>
      </w:pPr>
      <w:bookmarkStart w:id="108" w:name="_Toc225848851"/>
      <w:bookmarkStart w:id="109" w:name="_Toc10418"/>
      <w:r>
        <w:rPr>
          <w:color w:val="auto"/>
        </w:rPr>
        <w:t>依托圣雄水泥生产项目概况</w:t>
      </w:r>
      <w:bookmarkEnd w:id="108"/>
      <w:bookmarkEnd w:id="109"/>
    </w:p>
    <w:p w14:paraId="69F88D0E" w14:textId="77777777" w:rsidR="002E474C" w:rsidRDefault="00000000">
      <w:pPr>
        <w:pStyle w:val="31"/>
        <w:spacing w:before="120" w:after="120"/>
        <w:rPr>
          <w:color w:val="auto"/>
        </w:rPr>
      </w:pPr>
      <w:r>
        <w:rPr>
          <w:color w:val="auto"/>
        </w:rPr>
        <w:t>项目基本情况与环保手续执行情况</w:t>
      </w:r>
    </w:p>
    <w:p w14:paraId="1F758831" w14:textId="77777777" w:rsidR="002E474C" w:rsidRDefault="00000000">
      <w:pPr>
        <w:pStyle w:val="41"/>
        <w:rPr>
          <w:color w:val="auto"/>
        </w:rPr>
      </w:pPr>
      <w:r>
        <w:rPr>
          <w:rFonts w:hint="eastAsia"/>
          <w:color w:val="auto"/>
        </w:rPr>
        <w:t>圣雄水泥生产项目环境影响评价与竣工环境保护验收情况</w:t>
      </w:r>
    </w:p>
    <w:p w14:paraId="02BBBCAD" w14:textId="77777777" w:rsidR="002E474C" w:rsidRDefault="00000000">
      <w:pPr>
        <w:pStyle w:val="A-z"/>
        <w:rPr>
          <w:color w:val="auto"/>
        </w:rPr>
      </w:pPr>
      <w:r>
        <w:rPr>
          <w:color w:val="auto"/>
        </w:rPr>
        <w:t>圣雄水泥公司占地面积</w:t>
      </w:r>
      <w:r>
        <w:rPr>
          <w:color w:val="auto"/>
        </w:rPr>
        <w:t>314835m²</w:t>
      </w:r>
      <w:r>
        <w:rPr>
          <w:color w:val="auto"/>
        </w:rPr>
        <w:t>，其中工业建筑面积</w:t>
      </w:r>
      <w:r>
        <w:rPr>
          <w:color w:val="auto"/>
        </w:rPr>
        <w:t>132000m²</w:t>
      </w:r>
      <w:r>
        <w:rPr>
          <w:color w:val="auto"/>
        </w:rPr>
        <w:t>，总资产</w:t>
      </w:r>
      <w:r>
        <w:rPr>
          <w:color w:val="auto"/>
        </w:rPr>
        <w:t>8.5</w:t>
      </w:r>
      <w:r>
        <w:rPr>
          <w:color w:val="auto"/>
        </w:rPr>
        <w:t>亿元（含电石渣处理系统）。公司利用电石渣及石灰石</w:t>
      </w:r>
      <w:r>
        <w:rPr>
          <w:rFonts w:hint="eastAsia"/>
          <w:color w:val="auto"/>
        </w:rPr>
        <w:t>原料</w:t>
      </w:r>
      <w:r>
        <w:rPr>
          <w:color w:val="auto"/>
        </w:rPr>
        <w:t>作为生产水泥的钙质原料，采用</w:t>
      </w:r>
      <w:r>
        <w:rPr>
          <w:color w:val="auto"/>
        </w:rPr>
        <w:t>5000t/d</w:t>
      </w:r>
      <w:r>
        <w:rPr>
          <w:color w:val="auto"/>
        </w:rPr>
        <w:t>窑外分解新型干法生产水泥工艺技术，为</w:t>
      </w:r>
      <w:r>
        <w:rPr>
          <w:color w:val="auto"/>
        </w:rPr>
        <w:t>50</w:t>
      </w:r>
      <w:r>
        <w:rPr>
          <w:color w:val="auto"/>
        </w:rPr>
        <w:t>万</w:t>
      </w:r>
      <w:r>
        <w:rPr>
          <w:color w:val="auto"/>
        </w:rPr>
        <w:t>t/aPVC</w:t>
      </w:r>
      <w:r>
        <w:rPr>
          <w:color w:val="auto"/>
        </w:rPr>
        <w:t>项目配套。圣雄水泥产熟料</w:t>
      </w:r>
      <w:r>
        <w:rPr>
          <w:color w:val="auto"/>
        </w:rPr>
        <w:t>5000t/d</w:t>
      </w:r>
      <w:r>
        <w:rPr>
          <w:color w:val="auto"/>
        </w:rPr>
        <w:t>，产优质高标号水泥</w:t>
      </w:r>
      <w:r>
        <w:rPr>
          <w:color w:val="auto"/>
        </w:rPr>
        <w:t>200</w:t>
      </w:r>
      <w:r>
        <w:rPr>
          <w:color w:val="auto"/>
        </w:rPr>
        <w:t>万</w:t>
      </w:r>
      <w:r>
        <w:rPr>
          <w:color w:val="auto"/>
        </w:rPr>
        <w:t>t/a</w:t>
      </w:r>
      <w:r>
        <w:rPr>
          <w:color w:val="auto"/>
        </w:rPr>
        <w:t>。主要产品为：普通</w:t>
      </w:r>
      <w:r>
        <w:rPr>
          <w:color w:val="auto"/>
        </w:rPr>
        <w:t>42.5R</w:t>
      </w:r>
      <w:r>
        <w:rPr>
          <w:color w:val="auto"/>
        </w:rPr>
        <w:t>、</w:t>
      </w:r>
      <w:r>
        <w:rPr>
          <w:color w:val="auto"/>
        </w:rPr>
        <w:t>52.5R</w:t>
      </w:r>
      <w:r>
        <w:rPr>
          <w:color w:val="auto"/>
        </w:rPr>
        <w:t>等级通用硅酸盐水泥、低碱水泥。</w:t>
      </w:r>
    </w:p>
    <w:p w14:paraId="7AF676DF" w14:textId="77777777" w:rsidR="002E474C" w:rsidRDefault="00000000">
      <w:pPr>
        <w:pStyle w:val="A-z"/>
        <w:ind w:firstLine="456"/>
        <w:rPr>
          <w:color w:val="auto"/>
          <w:spacing w:val="-6"/>
        </w:rPr>
      </w:pPr>
      <w:r>
        <w:rPr>
          <w:color w:val="auto"/>
          <w:spacing w:val="-6"/>
        </w:rPr>
        <w:t>2012</w:t>
      </w:r>
      <w:r>
        <w:rPr>
          <w:color w:val="auto"/>
          <w:spacing w:val="-6"/>
        </w:rPr>
        <w:t>年</w:t>
      </w:r>
      <w:r>
        <w:rPr>
          <w:color w:val="auto"/>
          <w:spacing w:val="-6"/>
        </w:rPr>
        <w:t>12</w:t>
      </w:r>
      <w:r>
        <w:rPr>
          <w:color w:val="auto"/>
          <w:spacing w:val="-6"/>
        </w:rPr>
        <w:t>月</w:t>
      </w:r>
      <w:r>
        <w:rPr>
          <w:color w:val="auto"/>
          <w:spacing w:val="-6"/>
        </w:rPr>
        <w:t>19</w:t>
      </w:r>
      <w:r>
        <w:rPr>
          <w:color w:val="auto"/>
          <w:spacing w:val="-6"/>
        </w:rPr>
        <w:t>日，原自治区环保厅以《关于新疆圣雄能源股份有限公司废渣综合利用配套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日熟料新型干法水泥项目环境影响报告书的批复》（新环评价函〔</w:t>
      </w:r>
      <w:r>
        <w:rPr>
          <w:color w:val="auto"/>
          <w:spacing w:val="-6"/>
        </w:rPr>
        <w:t>2012</w:t>
      </w:r>
      <w:r>
        <w:rPr>
          <w:color w:val="auto"/>
          <w:spacing w:val="-6"/>
        </w:rPr>
        <w:t>〕</w:t>
      </w:r>
      <w:r>
        <w:rPr>
          <w:color w:val="auto"/>
          <w:spacing w:val="-6"/>
        </w:rPr>
        <w:t>1292</w:t>
      </w:r>
      <w:r>
        <w:rPr>
          <w:color w:val="auto"/>
          <w:spacing w:val="-6"/>
        </w:rPr>
        <w:t>号）文件给予批复。</w:t>
      </w:r>
      <w:r>
        <w:rPr>
          <w:color w:val="auto"/>
          <w:spacing w:val="-6"/>
        </w:rPr>
        <w:t>2013</w:t>
      </w:r>
      <w:r>
        <w:rPr>
          <w:color w:val="auto"/>
          <w:spacing w:val="-6"/>
        </w:rPr>
        <w:t>年</w:t>
      </w:r>
      <w:r>
        <w:rPr>
          <w:color w:val="auto"/>
          <w:spacing w:val="-6"/>
        </w:rPr>
        <w:t>12</w:t>
      </w:r>
      <w:r>
        <w:rPr>
          <w:color w:val="auto"/>
          <w:spacing w:val="-6"/>
        </w:rPr>
        <w:t>月</w:t>
      </w:r>
      <w:r>
        <w:rPr>
          <w:color w:val="auto"/>
          <w:spacing w:val="-6"/>
        </w:rPr>
        <w:t>9</w:t>
      </w:r>
      <w:r>
        <w:rPr>
          <w:color w:val="auto"/>
          <w:spacing w:val="-6"/>
        </w:rPr>
        <w:t>日，自治区发改委同意该项目企业法人由</w:t>
      </w:r>
      <w:r>
        <w:rPr>
          <w:color w:val="auto"/>
          <w:spacing w:val="-6"/>
        </w:rPr>
        <w:t>“</w:t>
      </w:r>
      <w:r>
        <w:rPr>
          <w:color w:val="auto"/>
          <w:spacing w:val="-6"/>
        </w:rPr>
        <w:t>新疆圣雄能源股份有限公司</w:t>
      </w:r>
      <w:r>
        <w:rPr>
          <w:color w:val="auto"/>
          <w:spacing w:val="-6"/>
        </w:rPr>
        <w:t>”</w:t>
      </w:r>
      <w:r>
        <w:rPr>
          <w:color w:val="auto"/>
          <w:spacing w:val="-6"/>
        </w:rPr>
        <w:t>变更为</w:t>
      </w:r>
      <w:r>
        <w:rPr>
          <w:color w:val="auto"/>
          <w:spacing w:val="-6"/>
        </w:rPr>
        <w:t>“</w:t>
      </w:r>
      <w:r>
        <w:rPr>
          <w:color w:val="auto"/>
          <w:spacing w:val="-6"/>
        </w:rPr>
        <w:t>新疆圣雄水泥有限公司</w:t>
      </w:r>
      <w:r>
        <w:rPr>
          <w:color w:val="auto"/>
          <w:spacing w:val="-6"/>
        </w:rPr>
        <w:t>”</w:t>
      </w:r>
      <w:r>
        <w:rPr>
          <w:color w:val="auto"/>
          <w:spacing w:val="-6"/>
        </w:rPr>
        <w:t>。新疆圣雄水泥有限公司为新疆圣雄能源股份有限公司的全资子公司，法人变更后本项目名称由</w:t>
      </w:r>
      <w:r>
        <w:rPr>
          <w:color w:val="auto"/>
          <w:spacing w:val="-6"/>
        </w:rPr>
        <w:t>“</w:t>
      </w:r>
      <w:r>
        <w:rPr>
          <w:color w:val="auto"/>
          <w:spacing w:val="-6"/>
        </w:rPr>
        <w:t>新疆圣雄能源股份有限公司废渣综合利用配套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w:t>
      </w:r>
      <w:r>
        <w:rPr>
          <w:color w:val="auto"/>
          <w:spacing w:val="-6"/>
        </w:rPr>
        <w:t>”</w:t>
      </w:r>
      <w:r>
        <w:rPr>
          <w:color w:val="auto"/>
          <w:spacing w:val="-6"/>
        </w:rPr>
        <w:t>变为</w:t>
      </w:r>
      <w:r>
        <w:rPr>
          <w:color w:val="auto"/>
          <w:spacing w:val="-6"/>
        </w:rPr>
        <w:t>“</w:t>
      </w:r>
      <w:r>
        <w:rPr>
          <w:color w:val="auto"/>
          <w:spacing w:val="-6"/>
        </w:rPr>
        <w:t>新疆圣雄水泥有限公司废渣综合利用配套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w:t>
      </w:r>
      <w:r>
        <w:rPr>
          <w:color w:val="auto"/>
          <w:spacing w:val="-6"/>
        </w:rPr>
        <w:t>”</w:t>
      </w:r>
      <w:r>
        <w:rPr>
          <w:color w:val="auto"/>
          <w:spacing w:val="-6"/>
        </w:rPr>
        <w:t>。</w:t>
      </w:r>
      <w:r>
        <w:rPr>
          <w:color w:val="auto"/>
          <w:spacing w:val="-6"/>
        </w:rPr>
        <w:t>2015</w:t>
      </w:r>
      <w:r>
        <w:rPr>
          <w:color w:val="auto"/>
          <w:spacing w:val="-6"/>
        </w:rPr>
        <w:t>年</w:t>
      </w:r>
      <w:r>
        <w:rPr>
          <w:color w:val="auto"/>
          <w:spacing w:val="-6"/>
        </w:rPr>
        <w:t>3</w:t>
      </w:r>
      <w:r>
        <w:rPr>
          <w:color w:val="auto"/>
          <w:spacing w:val="-6"/>
        </w:rPr>
        <w:t>月</w:t>
      </w:r>
      <w:r>
        <w:rPr>
          <w:color w:val="auto"/>
          <w:spacing w:val="-6"/>
        </w:rPr>
        <w:t>10</w:t>
      </w:r>
      <w:r>
        <w:rPr>
          <w:color w:val="auto"/>
          <w:spacing w:val="-6"/>
        </w:rPr>
        <w:t>日，原自治区环保厅以《关于新疆圣雄水泥有限公司废渣综合利用配套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日熟料新型干法水泥项目竣工环境保护验收意见的函》（新环函〔</w:t>
      </w:r>
      <w:r>
        <w:rPr>
          <w:color w:val="auto"/>
          <w:spacing w:val="-6"/>
        </w:rPr>
        <w:t>2014</w:t>
      </w:r>
      <w:r>
        <w:rPr>
          <w:color w:val="auto"/>
          <w:spacing w:val="-6"/>
        </w:rPr>
        <w:t>〕</w:t>
      </w:r>
      <w:r>
        <w:rPr>
          <w:color w:val="auto"/>
          <w:spacing w:val="-6"/>
        </w:rPr>
        <w:t>1458</w:t>
      </w:r>
      <w:r>
        <w:rPr>
          <w:color w:val="auto"/>
          <w:spacing w:val="-6"/>
        </w:rPr>
        <w:t>号）同意该项目通过竣工环保验收。</w:t>
      </w:r>
    </w:p>
    <w:p w14:paraId="5C3B3641" w14:textId="77777777" w:rsidR="002E474C" w:rsidRDefault="00000000">
      <w:pPr>
        <w:pStyle w:val="A-z"/>
        <w:rPr>
          <w:color w:val="auto"/>
        </w:rPr>
      </w:pPr>
      <w:r>
        <w:rPr>
          <w:color w:val="auto"/>
        </w:rPr>
        <w:t>2016</w:t>
      </w:r>
      <w:r>
        <w:rPr>
          <w:color w:val="auto"/>
        </w:rPr>
        <w:t>年，圣雄水泥公司将原有窑头及窑尾静电收尘器改造为电袋复合除尘器。窑头静电收尘共</w:t>
      </w:r>
      <w:r>
        <w:rPr>
          <w:color w:val="auto"/>
        </w:rPr>
        <w:t>4</w:t>
      </w:r>
      <w:r>
        <w:rPr>
          <w:color w:val="auto"/>
        </w:rPr>
        <w:t>个电场，保留</w:t>
      </w:r>
      <w:r>
        <w:rPr>
          <w:color w:val="auto"/>
        </w:rPr>
        <w:t>2</w:t>
      </w:r>
      <w:r>
        <w:rPr>
          <w:color w:val="auto"/>
        </w:rPr>
        <w:t>个电场，</w:t>
      </w:r>
      <w:r>
        <w:rPr>
          <w:color w:val="auto"/>
        </w:rPr>
        <w:t>2</w:t>
      </w:r>
      <w:r>
        <w:rPr>
          <w:color w:val="auto"/>
        </w:rPr>
        <w:t>个电场改为耐高温滤袋；窑尾静电收尘器共</w:t>
      </w:r>
      <w:r>
        <w:rPr>
          <w:color w:val="auto"/>
        </w:rPr>
        <w:t>8</w:t>
      </w:r>
      <w:r>
        <w:rPr>
          <w:color w:val="auto"/>
        </w:rPr>
        <w:t>个电场，保留</w:t>
      </w:r>
      <w:r>
        <w:rPr>
          <w:color w:val="auto"/>
        </w:rPr>
        <w:t>2</w:t>
      </w:r>
      <w:r>
        <w:rPr>
          <w:color w:val="auto"/>
        </w:rPr>
        <w:t>个电场，</w:t>
      </w:r>
      <w:r>
        <w:rPr>
          <w:color w:val="auto"/>
        </w:rPr>
        <w:t>6</w:t>
      </w:r>
      <w:r>
        <w:rPr>
          <w:color w:val="auto"/>
        </w:rPr>
        <w:t>个电场改为耐高温滤袋。</w:t>
      </w:r>
      <w:r>
        <w:rPr>
          <w:color w:val="auto"/>
        </w:rPr>
        <w:t>2016</w:t>
      </w:r>
      <w:r>
        <w:rPr>
          <w:color w:val="auto"/>
        </w:rPr>
        <w:t>年</w:t>
      </w:r>
      <w:r>
        <w:rPr>
          <w:color w:val="auto"/>
        </w:rPr>
        <w:t>12</w:t>
      </w:r>
      <w:r>
        <w:rPr>
          <w:color w:val="auto"/>
        </w:rPr>
        <w:t>月</w:t>
      </w:r>
      <w:r>
        <w:rPr>
          <w:color w:val="auto"/>
        </w:rPr>
        <w:t>12</w:t>
      </w:r>
      <w:r>
        <w:rPr>
          <w:color w:val="auto"/>
        </w:rPr>
        <w:t>日，原托克逊县环境保护局以《关于新疆圣雄能源股份有限公司窑头、电石渣（窑尾）静电收尘器技改电袋复合除尘器建设项目环境影响报告表的批复》（托环〔</w:t>
      </w:r>
      <w:r>
        <w:rPr>
          <w:color w:val="auto"/>
        </w:rPr>
        <w:t>2016</w:t>
      </w:r>
      <w:r>
        <w:rPr>
          <w:color w:val="auto"/>
        </w:rPr>
        <w:t>〕</w:t>
      </w:r>
      <w:r>
        <w:rPr>
          <w:color w:val="auto"/>
        </w:rPr>
        <w:t>143</w:t>
      </w:r>
      <w:r>
        <w:rPr>
          <w:color w:val="auto"/>
        </w:rPr>
        <w:t>号）文件给予批复。</w:t>
      </w:r>
      <w:r>
        <w:rPr>
          <w:color w:val="auto"/>
        </w:rPr>
        <w:t>2017</w:t>
      </w:r>
      <w:r>
        <w:rPr>
          <w:color w:val="auto"/>
        </w:rPr>
        <w:t>年</w:t>
      </w:r>
      <w:r>
        <w:rPr>
          <w:color w:val="auto"/>
        </w:rPr>
        <w:t>11</w:t>
      </w:r>
      <w:r>
        <w:rPr>
          <w:color w:val="auto"/>
        </w:rPr>
        <w:t>月</w:t>
      </w:r>
      <w:r>
        <w:rPr>
          <w:rFonts w:hint="eastAsia"/>
          <w:color w:val="auto"/>
        </w:rPr>
        <w:t>7</w:t>
      </w:r>
      <w:r>
        <w:rPr>
          <w:color w:val="auto"/>
        </w:rPr>
        <w:t>日，圣雄水泥公司组织开展对新疆圣雄能源股份有限公司窑头、电石渣（窑尾）静电收尘器技改电袋复</w:t>
      </w:r>
      <w:r>
        <w:rPr>
          <w:color w:val="auto"/>
        </w:rPr>
        <w:lastRenderedPageBreak/>
        <w:t>合除尘器建设项目竣工环境保护验收工作。根据验收情况，在落实环境保护</w:t>
      </w:r>
      <w:r>
        <w:rPr>
          <w:color w:val="auto"/>
        </w:rPr>
        <w:t>“</w:t>
      </w:r>
      <w:r>
        <w:rPr>
          <w:color w:val="auto"/>
        </w:rPr>
        <w:t>三同时</w:t>
      </w:r>
      <w:r>
        <w:rPr>
          <w:color w:val="auto"/>
        </w:rPr>
        <w:t>”</w:t>
      </w:r>
      <w:r>
        <w:rPr>
          <w:color w:val="auto"/>
        </w:rPr>
        <w:t>制度的基础上，项目收尘设施提标改造后减少了粉尘排放，粉尘回用于生产</w:t>
      </w:r>
      <w:r>
        <w:rPr>
          <w:rFonts w:hint="eastAsia"/>
          <w:color w:val="auto"/>
        </w:rPr>
        <w:t>，</w:t>
      </w:r>
      <w:r>
        <w:rPr>
          <w:color w:val="auto"/>
        </w:rPr>
        <w:t>同时企业经济效益得到提高，环保设施运行正常，主要污染物达标排放，通过竣工环保验收。</w:t>
      </w:r>
    </w:p>
    <w:p w14:paraId="669D5585" w14:textId="77777777" w:rsidR="002E474C" w:rsidRDefault="00000000">
      <w:pPr>
        <w:pStyle w:val="A-z"/>
        <w:rPr>
          <w:color w:val="auto"/>
        </w:rPr>
      </w:pPr>
      <w:r>
        <w:rPr>
          <w:color w:val="auto"/>
        </w:rPr>
        <w:t>环评审批及环保措施落实情况见表</w:t>
      </w:r>
      <w:r>
        <w:rPr>
          <w:color w:val="auto"/>
        </w:rPr>
        <w:t>3.1-1</w:t>
      </w:r>
      <w:r>
        <w:rPr>
          <w:color w:val="auto"/>
        </w:rPr>
        <w:t>。</w:t>
      </w:r>
    </w:p>
    <w:p w14:paraId="3CE6BD76" w14:textId="77777777" w:rsidR="002E474C" w:rsidRDefault="00000000">
      <w:pPr>
        <w:pStyle w:val="A--"/>
        <w:rPr>
          <w:color w:val="auto"/>
        </w:rPr>
      </w:pPr>
      <w:r>
        <w:rPr>
          <w:color w:val="auto"/>
        </w:rPr>
        <w:t>表</w:t>
      </w:r>
      <w:r>
        <w:rPr>
          <w:color w:val="auto"/>
        </w:rPr>
        <w:t xml:space="preserve">3.1-1    </w:t>
      </w:r>
      <w:r>
        <w:rPr>
          <w:color w:val="auto"/>
        </w:rPr>
        <w:t>圣雄水泥公司水泥项目环评审批及环保措施落实情况</w:t>
      </w:r>
    </w:p>
    <w:tbl>
      <w:tblPr>
        <w:tblW w:w="5000" w:type="pct"/>
        <w:tblLook w:val="04A0" w:firstRow="1" w:lastRow="0" w:firstColumn="1" w:lastColumn="0" w:noHBand="0" w:noVBand="1"/>
      </w:tblPr>
      <w:tblGrid>
        <w:gridCol w:w="656"/>
        <w:gridCol w:w="4969"/>
        <w:gridCol w:w="2671"/>
      </w:tblGrid>
      <w:tr w:rsidR="002E474C" w14:paraId="23F77D5B" w14:textId="77777777">
        <w:trPr>
          <w:tblHeader/>
        </w:trPr>
        <w:tc>
          <w:tcPr>
            <w:tcW w:w="395" w:type="pct"/>
            <w:tcBorders>
              <w:top w:val="single" w:sz="4" w:space="0" w:color="auto"/>
              <w:left w:val="single" w:sz="4" w:space="0" w:color="auto"/>
              <w:bottom w:val="single" w:sz="4" w:space="0" w:color="auto"/>
              <w:right w:val="single" w:sz="4" w:space="0" w:color="auto"/>
            </w:tcBorders>
            <w:vAlign w:val="center"/>
          </w:tcPr>
          <w:p w14:paraId="7AFF3227" w14:textId="77777777" w:rsidR="002E474C" w:rsidRDefault="00000000">
            <w:pPr>
              <w:pStyle w:val="A-"/>
            </w:pPr>
            <w:r>
              <w:t>序号</w:t>
            </w:r>
          </w:p>
        </w:tc>
        <w:tc>
          <w:tcPr>
            <w:tcW w:w="2995" w:type="pct"/>
            <w:tcBorders>
              <w:top w:val="single" w:sz="4" w:space="0" w:color="auto"/>
              <w:left w:val="single" w:sz="4" w:space="0" w:color="auto"/>
              <w:bottom w:val="single" w:sz="4" w:space="0" w:color="auto"/>
              <w:right w:val="single" w:sz="4" w:space="0" w:color="auto"/>
            </w:tcBorders>
            <w:vAlign w:val="center"/>
          </w:tcPr>
          <w:p w14:paraId="2B33FDA7" w14:textId="77777777" w:rsidR="002E474C" w:rsidRDefault="00000000">
            <w:pPr>
              <w:pStyle w:val="A-"/>
            </w:pPr>
            <w:r>
              <w:t>环评及批复要求</w:t>
            </w:r>
          </w:p>
        </w:tc>
        <w:tc>
          <w:tcPr>
            <w:tcW w:w="1610" w:type="pct"/>
            <w:tcBorders>
              <w:top w:val="single" w:sz="4" w:space="0" w:color="auto"/>
              <w:left w:val="nil"/>
              <w:bottom w:val="single" w:sz="4" w:space="0" w:color="auto"/>
              <w:right w:val="single" w:sz="4" w:space="0" w:color="auto"/>
            </w:tcBorders>
            <w:vAlign w:val="center"/>
          </w:tcPr>
          <w:p w14:paraId="0496B056" w14:textId="77777777" w:rsidR="002E474C" w:rsidRDefault="00000000">
            <w:pPr>
              <w:pStyle w:val="A-"/>
            </w:pPr>
            <w:r>
              <w:t>落实情况</w:t>
            </w:r>
          </w:p>
        </w:tc>
      </w:tr>
      <w:tr w:rsidR="002E474C" w14:paraId="4B1429CB" w14:textId="77777777">
        <w:tc>
          <w:tcPr>
            <w:tcW w:w="395" w:type="pct"/>
            <w:tcBorders>
              <w:top w:val="nil"/>
              <w:left w:val="single" w:sz="4" w:space="0" w:color="auto"/>
              <w:bottom w:val="single" w:sz="4" w:space="0" w:color="auto"/>
              <w:right w:val="single" w:sz="4" w:space="0" w:color="auto"/>
            </w:tcBorders>
            <w:vAlign w:val="center"/>
          </w:tcPr>
          <w:p w14:paraId="6890C2AE" w14:textId="77777777" w:rsidR="002E474C" w:rsidRDefault="00000000">
            <w:pPr>
              <w:pStyle w:val="A-"/>
            </w:pPr>
            <w:r>
              <w:t>1</w:t>
            </w:r>
          </w:p>
        </w:tc>
        <w:tc>
          <w:tcPr>
            <w:tcW w:w="2995" w:type="pct"/>
            <w:tcBorders>
              <w:top w:val="nil"/>
              <w:left w:val="single" w:sz="4" w:space="0" w:color="auto"/>
              <w:bottom w:val="single" w:sz="4" w:space="0" w:color="auto"/>
              <w:right w:val="single" w:sz="4" w:space="0" w:color="auto"/>
            </w:tcBorders>
            <w:vAlign w:val="center"/>
          </w:tcPr>
          <w:p w14:paraId="14897703" w14:textId="77777777" w:rsidR="002E474C" w:rsidRDefault="00000000">
            <w:pPr>
              <w:pStyle w:val="A-"/>
            </w:pPr>
            <w:r>
              <w:t>本项目须确保与你公司聚氯乙烯项目同步投入运行。</w:t>
            </w:r>
          </w:p>
        </w:tc>
        <w:tc>
          <w:tcPr>
            <w:tcW w:w="1610" w:type="pct"/>
            <w:tcBorders>
              <w:top w:val="nil"/>
              <w:left w:val="nil"/>
              <w:bottom w:val="single" w:sz="4" w:space="0" w:color="auto"/>
              <w:right w:val="single" w:sz="4" w:space="0" w:color="auto"/>
            </w:tcBorders>
            <w:vAlign w:val="center"/>
          </w:tcPr>
          <w:p w14:paraId="78A773D8" w14:textId="77777777" w:rsidR="002E474C" w:rsidRDefault="00000000">
            <w:pPr>
              <w:pStyle w:val="A-"/>
            </w:pPr>
            <w:r>
              <w:t>已落实。</w:t>
            </w:r>
          </w:p>
        </w:tc>
      </w:tr>
      <w:tr w:rsidR="002E474C" w14:paraId="259629D2" w14:textId="77777777">
        <w:tc>
          <w:tcPr>
            <w:tcW w:w="395" w:type="pct"/>
            <w:tcBorders>
              <w:top w:val="nil"/>
              <w:left w:val="single" w:sz="4" w:space="0" w:color="auto"/>
              <w:bottom w:val="single" w:sz="4" w:space="0" w:color="auto"/>
              <w:right w:val="single" w:sz="4" w:space="0" w:color="auto"/>
            </w:tcBorders>
            <w:vAlign w:val="center"/>
          </w:tcPr>
          <w:p w14:paraId="5F942231" w14:textId="77777777" w:rsidR="002E474C" w:rsidRDefault="00000000">
            <w:pPr>
              <w:pStyle w:val="A-"/>
            </w:pPr>
            <w:r>
              <w:t>2</w:t>
            </w:r>
          </w:p>
        </w:tc>
        <w:tc>
          <w:tcPr>
            <w:tcW w:w="2995" w:type="pct"/>
            <w:tcBorders>
              <w:top w:val="nil"/>
              <w:left w:val="single" w:sz="4" w:space="0" w:color="auto"/>
              <w:bottom w:val="single" w:sz="4" w:space="0" w:color="auto"/>
              <w:right w:val="single" w:sz="4" w:space="0" w:color="auto"/>
            </w:tcBorders>
            <w:vAlign w:val="center"/>
          </w:tcPr>
          <w:p w14:paraId="50F09CA6" w14:textId="77777777" w:rsidR="002E474C" w:rsidRDefault="00000000">
            <w:pPr>
              <w:pStyle w:val="A-"/>
              <w:rPr>
                <w:spacing w:val="-6"/>
              </w:rPr>
            </w:pPr>
            <w:r>
              <w:rPr>
                <w:spacing w:val="-6"/>
              </w:rPr>
              <w:t>制定施工期污染防治计划，采取有效措施，确保施工期扬尘、噪声等达标排放，避免对周围环境敏感点的影响。</w:t>
            </w:r>
          </w:p>
        </w:tc>
        <w:tc>
          <w:tcPr>
            <w:tcW w:w="1610" w:type="pct"/>
            <w:tcBorders>
              <w:top w:val="nil"/>
              <w:left w:val="nil"/>
              <w:bottom w:val="single" w:sz="4" w:space="0" w:color="auto"/>
              <w:right w:val="single" w:sz="4" w:space="0" w:color="auto"/>
            </w:tcBorders>
            <w:vAlign w:val="center"/>
          </w:tcPr>
          <w:p w14:paraId="39B666E5" w14:textId="77777777" w:rsidR="002E474C" w:rsidRDefault="00000000">
            <w:pPr>
              <w:pStyle w:val="A-"/>
            </w:pPr>
            <w:r>
              <w:t>已落实。</w:t>
            </w:r>
          </w:p>
        </w:tc>
      </w:tr>
      <w:tr w:rsidR="002E474C" w14:paraId="64604E52" w14:textId="77777777">
        <w:tc>
          <w:tcPr>
            <w:tcW w:w="395" w:type="pct"/>
            <w:tcBorders>
              <w:top w:val="nil"/>
              <w:left w:val="single" w:sz="4" w:space="0" w:color="auto"/>
              <w:bottom w:val="single" w:sz="4" w:space="0" w:color="auto"/>
              <w:right w:val="single" w:sz="4" w:space="0" w:color="auto"/>
            </w:tcBorders>
            <w:vAlign w:val="center"/>
          </w:tcPr>
          <w:p w14:paraId="0CCF33D6" w14:textId="77777777" w:rsidR="002E474C" w:rsidRDefault="00000000">
            <w:pPr>
              <w:pStyle w:val="A-"/>
            </w:pPr>
            <w:r>
              <w:t>3</w:t>
            </w:r>
          </w:p>
        </w:tc>
        <w:tc>
          <w:tcPr>
            <w:tcW w:w="2995" w:type="pct"/>
            <w:tcBorders>
              <w:top w:val="nil"/>
              <w:left w:val="single" w:sz="4" w:space="0" w:color="auto"/>
              <w:bottom w:val="single" w:sz="4" w:space="0" w:color="auto"/>
              <w:right w:val="single" w:sz="4" w:space="0" w:color="auto"/>
            </w:tcBorders>
            <w:vAlign w:val="center"/>
          </w:tcPr>
          <w:p w14:paraId="0404445B" w14:textId="77777777" w:rsidR="002E474C" w:rsidRDefault="00000000">
            <w:pPr>
              <w:pStyle w:val="A-"/>
              <w:rPr>
                <w:spacing w:val="-6"/>
              </w:rPr>
            </w:pPr>
            <w:r>
              <w:rPr>
                <w:spacing w:val="-6"/>
              </w:rPr>
              <w:t>生产废气中窑头采用电收尘，原料配料站、煤粉制备、生料均化、窑尾、熟料储存及输送等工艺过程中设置袋式收尘器，安装脱硝效率不低于</w:t>
            </w:r>
            <w:r>
              <w:rPr>
                <w:spacing w:val="-6"/>
              </w:rPr>
              <w:t>60%</w:t>
            </w:r>
            <w:r>
              <w:rPr>
                <w:spacing w:val="-6"/>
              </w:rPr>
              <w:t>的脱硝装置，确保各排气筒各项污染物浓度均低于《水泥工业大气污染物排放标准》</w:t>
            </w:r>
            <w:r>
              <w:rPr>
                <w:spacing w:val="-6"/>
              </w:rPr>
              <w:t>(GB4915-2004)</w:t>
            </w:r>
            <w:r>
              <w:rPr>
                <w:spacing w:val="-6"/>
              </w:rPr>
              <w:t>中污染物排放控制标准限值，各排气筒高度不得低于《水泥工业大气污染物排放标准》</w:t>
            </w:r>
            <w:r>
              <w:rPr>
                <w:spacing w:val="-6"/>
              </w:rPr>
              <w:t>(GB4915-2004)</w:t>
            </w:r>
            <w:r>
              <w:rPr>
                <w:spacing w:val="-6"/>
              </w:rPr>
              <w:t>中排气筒高度要求的限值。</w:t>
            </w:r>
          </w:p>
        </w:tc>
        <w:tc>
          <w:tcPr>
            <w:tcW w:w="1610" w:type="pct"/>
            <w:tcBorders>
              <w:top w:val="nil"/>
              <w:left w:val="nil"/>
              <w:bottom w:val="single" w:sz="4" w:space="0" w:color="auto"/>
              <w:right w:val="single" w:sz="4" w:space="0" w:color="auto"/>
            </w:tcBorders>
            <w:vAlign w:val="center"/>
          </w:tcPr>
          <w:p w14:paraId="32BEFF99" w14:textId="77777777" w:rsidR="002E474C" w:rsidRDefault="00000000">
            <w:pPr>
              <w:pStyle w:val="A-"/>
            </w:pPr>
            <w:r>
              <w:t>已落实。安装除尘设施</w:t>
            </w:r>
            <w:r>
              <w:t>54</w:t>
            </w:r>
            <w:r>
              <w:t>台。经监测，脱硝装置的脱硝效率大于环评要求的</w:t>
            </w:r>
            <w:r>
              <w:t>60%</w:t>
            </w:r>
            <w:r>
              <w:t>；主要污染物均达标排放。</w:t>
            </w:r>
          </w:p>
        </w:tc>
      </w:tr>
      <w:tr w:rsidR="002E474C" w14:paraId="4BC1297F" w14:textId="77777777">
        <w:trPr>
          <w:trHeight w:val="1893"/>
        </w:trPr>
        <w:tc>
          <w:tcPr>
            <w:tcW w:w="395" w:type="pct"/>
            <w:tcBorders>
              <w:top w:val="nil"/>
              <w:left w:val="single" w:sz="4" w:space="0" w:color="auto"/>
              <w:bottom w:val="single" w:sz="4" w:space="0" w:color="auto"/>
              <w:right w:val="single" w:sz="4" w:space="0" w:color="auto"/>
            </w:tcBorders>
            <w:vAlign w:val="center"/>
          </w:tcPr>
          <w:p w14:paraId="5DA99367" w14:textId="77777777" w:rsidR="002E474C" w:rsidRDefault="00000000">
            <w:pPr>
              <w:pStyle w:val="A-"/>
            </w:pPr>
            <w:r>
              <w:t>4</w:t>
            </w:r>
          </w:p>
        </w:tc>
        <w:tc>
          <w:tcPr>
            <w:tcW w:w="2995" w:type="pct"/>
            <w:tcBorders>
              <w:top w:val="nil"/>
              <w:left w:val="single" w:sz="4" w:space="0" w:color="auto"/>
              <w:bottom w:val="single" w:sz="4" w:space="0" w:color="auto"/>
              <w:right w:val="single" w:sz="4" w:space="0" w:color="auto"/>
            </w:tcBorders>
            <w:vAlign w:val="center"/>
          </w:tcPr>
          <w:p w14:paraId="4D88BAAC" w14:textId="77777777" w:rsidR="002E474C" w:rsidRDefault="00000000">
            <w:pPr>
              <w:pStyle w:val="A-"/>
              <w:rPr>
                <w:spacing w:val="-6"/>
              </w:rPr>
            </w:pPr>
            <w:r>
              <w:rPr>
                <w:spacing w:val="-6"/>
              </w:rPr>
              <w:t>加强生产运行管理，减少不必要的输送环节，减少扬尘点。原辅燃料采用密闭储存、生料均化库采取密闭措施，采用加强密闭和密封料口及管道连接处、运输车辆加盖蓬布、厂区洒水等防治措施，严格控制物料堆场及输送系统等环节粉尘的无组织排放，确保厂界大气污染物无组织排放浓度均低于《水泥工业大气污染物排放标准》</w:t>
            </w:r>
            <w:r>
              <w:rPr>
                <w:spacing w:val="-6"/>
              </w:rPr>
              <w:t>(GB4915-2004)</w:t>
            </w:r>
            <w:r>
              <w:rPr>
                <w:spacing w:val="-6"/>
              </w:rPr>
              <w:t>中无组织排放监控浓度限值。</w:t>
            </w:r>
          </w:p>
        </w:tc>
        <w:tc>
          <w:tcPr>
            <w:tcW w:w="1610" w:type="pct"/>
            <w:tcBorders>
              <w:top w:val="nil"/>
              <w:left w:val="nil"/>
              <w:bottom w:val="single" w:sz="4" w:space="0" w:color="auto"/>
              <w:right w:val="single" w:sz="4" w:space="0" w:color="auto"/>
            </w:tcBorders>
            <w:vAlign w:val="center"/>
          </w:tcPr>
          <w:p w14:paraId="116E33AD" w14:textId="77777777" w:rsidR="002E474C" w:rsidRDefault="00000000">
            <w:pPr>
              <w:pStyle w:val="A-"/>
            </w:pPr>
            <w:r>
              <w:t>已落实。原辅材料及燃料均采用密闭措施。运输系统采取密闭输送廊道，运输车辆加盖蓬布、厂区洒水降尘。经监测，厂界大气污染物无组织排放均能达标排放。</w:t>
            </w:r>
          </w:p>
        </w:tc>
      </w:tr>
      <w:tr w:rsidR="002E474C" w14:paraId="4BF03429" w14:textId="77777777">
        <w:tc>
          <w:tcPr>
            <w:tcW w:w="395" w:type="pct"/>
            <w:tcBorders>
              <w:top w:val="nil"/>
              <w:left w:val="single" w:sz="4" w:space="0" w:color="auto"/>
              <w:bottom w:val="single" w:sz="4" w:space="0" w:color="auto"/>
              <w:right w:val="single" w:sz="4" w:space="0" w:color="auto"/>
            </w:tcBorders>
            <w:vAlign w:val="center"/>
          </w:tcPr>
          <w:p w14:paraId="4C61C913" w14:textId="77777777" w:rsidR="002E474C" w:rsidRDefault="00000000">
            <w:pPr>
              <w:pStyle w:val="A-"/>
            </w:pPr>
            <w:r>
              <w:t>5</w:t>
            </w:r>
          </w:p>
        </w:tc>
        <w:tc>
          <w:tcPr>
            <w:tcW w:w="2995" w:type="pct"/>
            <w:tcBorders>
              <w:top w:val="nil"/>
              <w:left w:val="single" w:sz="4" w:space="0" w:color="auto"/>
              <w:bottom w:val="single" w:sz="4" w:space="0" w:color="auto"/>
              <w:right w:val="single" w:sz="4" w:space="0" w:color="auto"/>
            </w:tcBorders>
            <w:vAlign w:val="center"/>
          </w:tcPr>
          <w:p w14:paraId="5E6BB2DF" w14:textId="77777777" w:rsidR="002E474C" w:rsidRDefault="00000000">
            <w:pPr>
              <w:pStyle w:val="A-"/>
            </w:pPr>
            <w:r>
              <w:t>做好项目水污染控制工作。按照</w:t>
            </w:r>
            <w:r>
              <w:t>“</w:t>
            </w:r>
            <w:r>
              <w:t>清污分流、一水多用、重复利用</w:t>
            </w:r>
            <w:r>
              <w:t>”</w:t>
            </w:r>
            <w:r>
              <w:t>的原则，切实提高水的循环使用率和重复利用率。生产废水、生活污水经厂区污水处理站处理达标后，用于厂区绿化、降尘等。</w:t>
            </w:r>
          </w:p>
        </w:tc>
        <w:tc>
          <w:tcPr>
            <w:tcW w:w="1610" w:type="pct"/>
            <w:tcBorders>
              <w:top w:val="nil"/>
              <w:left w:val="nil"/>
              <w:bottom w:val="single" w:sz="4" w:space="0" w:color="auto"/>
              <w:right w:val="single" w:sz="4" w:space="0" w:color="auto"/>
            </w:tcBorders>
            <w:vAlign w:val="center"/>
          </w:tcPr>
          <w:p w14:paraId="64B9EE19" w14:textId="77777777" w:rsidR="002E474C" w:rsidRDefault="00000000">
            <w:pPr>
              <w:pStyle w:val="A-"/>
              <w:ind w:leftChars="-25" w:left="-53" w:rightChars="-25" w:right="-53"/>
            </w:pPr>
            <w:r>
              <w:rPr>
                <w:spacing w:val="-6"/>
              </w:rPr>
              <w:t>已落实。本项目生产过程中，无生产废水外排，生产冷却水均循环使用。厂区内废水只有少量生活办公排水。生活污水经厂内综合污水处理站处理达标后用于工业生产和绿化灌溉。经监测均达标后综合利用。</w:t>
            </w:r>
          </w:p>
        </w:tc>
      </w:tr>
      <w:tr w:rsidR="002E474C" w14:paraId="07138F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590DE521" w14:textId="77777777" w:rsidR="002E474C" w:rsidRDefault="00000000">
            <w:pPr>
              <w:pStyle w:val="A-"/>
              <w:rPr>
                <w:bCs/>
              </w:rPr>
            </w:pPr>
            <w:r>
              <w:rPr>
                <w:bCs/>
              </w:rPr>
              <w:t>6</w:t>
            </w:r>
          </w:p>
        </w:tc>
        <w:tc>
          <w:tcPr>
            <w:tcW w:w="2995" w:type="pct"/>
            <w:vAlign w:val="center"/>
          </w:tcPr>
          <w:p w14:paraId="051C13D6" w14:textId="77777777" w:rsidR="002E474C" w:rsidRDefault="00000000">
            <w:pPr>
              <w:pStyle w:val="A-"/>
            </w:pPr>
            <w:r>
              <w:t>选择低噪声设备，对高噪声设备采取安装消音器、密闭隔离等措施，厂界噪声须满足《工业企业厂界环境噪声排放标准》</w:t>
            </w:r>
            <w:r>
              <w:t>(GB12348-2008)3</w:t>
            </w:r>
            <w:r>
              <w:t>类标准。</w:t>
            </w:r>
          </w:p>
        </w:tc>
        <w:tc>
          <w:tcPr>
            <w:tcW w:w="1610" w:type="pct"/>
            <w:vAlign w:val="center"/>
          </w:tcPr>
          <w:p w14:paraId="21319AFD" w14:textId="77777777" w:rsidR="002E474C" w:rsidRDefault="00000000">
            <w:pPr>
              <w:pStyle w:val="A-"/>
            </w:pPr>
            <w:r>
              <w:t>已落实。经监测，厂界噪声均能达标。</w:t>
            </w:r>
          </w:p>
        </w:tc>
      </w:tr>
      <w:tr w:rsidR="002E474C" w14:paraId="4D0168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147EF9FE" w14:textId="77777777" w:rsidR="002E474C" w:rsidRDefault="00000000">
            <w:pPr>
              <w:pStyle w:val="A-"/>
              <w:rPr>
                <w:bCs/>
              </w:rPr>
            </w:pPr>
            <w:r>
              <w:rPr>
                <w:bCs/>
              </w:rPr>
              <w:t>7</w:t>
            </w:r>
          </w:p>
        </w:tc>
        <w:tc>
          <w:tcPr>
            <w:tcW w:w="2995" w:type="pct"/>
            <w:vAlign w:val="center"/>
          </w:tcPr>
          <w:p w14:paraId="66494A0E" w14:textId="77777777" w:rsidR="002E474C" w:rsidRDefault="00000000">
            <w:pPr>
              <w:pStyle w:val="A-"/>
              <w:rPr>
                <w:bCs/>
              </w:rPr>
            </w:pPr>
            <w:r>
              <w:rPr>
                <w:bCs/>
              </w:rPr>
              <w:t>严格落实各类固体废物的收集、处置和综合利用措施，所有固体废物要全部进行综合利用或安全无害化处置，不准乱堆和随意排放。</w:t>
            </w:r>
          </w:p>
        </w:tc>
        <w:tc>
          <w:tcPr>
            <w:tcW w:w="1610" w:type="pct"/>
            <w:vAlign w:val="center"/>
          </w:tcPr>
          <w:p w14:paraId="24AAF18D" w14:textId="77777777" w:rsidR="002E474C" w:rsidRDefault="00000000">
            <w:pPr>
              <w:pStyle w:val="A-"/>
              <w:rPr>
                <w:bCs/>
              </w:rPr>
            </w:pPr>
            <w:r>
              <w:t>已落实。所有固体废物已全部进行综合利用或安全无害化处置。</w:t>
            </w:r>
          </w:p>
        </w:tc>
      </w:tr>
      <w:tr w:rsidR="002E474C" w14:paraId="328EF6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4A0DB630" w14:textId="77777777" w:rsidR="002E474C" w:rsidRDefault="00000000">
            <w:pPr>
              <w:pStyle w:val="A-"/>
              <w:rPr>
                <w:bCs/>
              </w:rPr>
            </w:pPr>
            <w:r>
              <w:rPr>
                <w:bCs/>
              </w:rPr>
              <w:t>8</w:t>
            </w:r>
          </w:p>
        </w:tc>
        <w:tc>
          <w:tcPr>
            <w:tcW w:w="2995" w:type="pct"/>
            <w:vAlign w:val="center"/>
          </w:tcPr>
          <w:p w14:paraId="0B1339B0" w14:textId="77777777" w:rsidR="002E474C" w:rsidRDefault="00000000">
            <w:pPr>
              <w:pStyle w:val="A-"/>
              <w:rPr>
                <w:bCs/>
              </w:rPr>
            </w:pPr>
            <w:r>
              <w:rPr>
                <w:bCs/>
              </w:rPr>
              <w:t>按照排污口设置及规范化整治管理的相关规定设置各类排污口，按要求标识。按规范安装烟气在线连续监测系统并在项目竣工环境保护验收前，接入新疆污染源在线监控平台。</w:t>
            </w:r>
          </w:p>
        </w:tc>
        <w:tc>
          <w:tcPr>
            <w:tcW w:w="1610" w:type="pct"/>
            <w:vAlign w:val="center"/>
          </w:tcPr>
          <w:p w14:paraId="7B98DE24" w14:textId="77777777" w:rsidR="002E474C" w:rsidRDefault="00000000">
            <w:pPr>
              <w:pStyle w:val="A-"/>
            </w:pPr>
            <w:r>
              <w:t>已按规范安装烟气在线连续监测系统并接入新疆污染源在线监控平台。各类排污口按要求标识。</w:t>
            </w:r>
          </w:p>
        </w:tc>
      </w:tr>
      <w:tr w:rsidR="002E474C" w14:paraId="22DF22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319A1E65" w14:textId="77777777" w:rsidR="002E474C" w:rsidRDefault="00000000">
            <w:pPr>
              <w:pStyle w:val="A-"/>
              <w:rPr>
                <w:bCs/>
              </w:rPr>
            </w:pPr>
            <w:r>
              <w:rPr>
                <w:bCs/>
              </w:rPr>
              <w:t>9</w:t>
            </w:r>
          </w:p>
        </w:tc>
        <w:tc>
          <w:tcPr>
            <w:tcW w:w="2995" w:type="pct"/>
            <w:vAlign w:val="center"/>
          </w:tcPr>
          <w:p w14:paraId="008CD07A" w14:textId="77777777" w:rsidR="002E474C" w:rsidRDefault="00000000">
            <w:pPr>
              <w:pStyle w:val="A-"/>
              <w:rPr>
                <w:bCs/>
              </w:rPr>
            </w:pPr>
            <w:r>
              <w:rPr>
                <w:spacing w:val="-6"/>
              </w:rPr>
              <w:t>项目须设置足够的卫生防护距离，此距离内不得规划、建设居民区、医院、学校等对环境敏感的建筑，也不得</w:t>
            </w:r>
            <w:r>
              <w:rPr>
                <w:spacing w:val="-6"/>
              </w:rPr>
              <w:lastRenderedPageBreak/>
              <w:t>建设食品、粮油加工、轻工、纺织、精密仪器等生产企业。</w:t>
            </w:r>
          </w:p>
        </w:tc>
        <w:tc>
          <w:tcPr>
            <w:tcW w:w="1610" w:type="pct"/>
            <w:vAlign w:val="center"/>
          </w:tcPr>
          <w:p w14:paraId="35268C3F" w14:textId="77777777" w:rsidR="002E474C" w:rsidRDefault="00000000">
            <w:pPr>
              <w:pStyle w:val="A-"/>
            </w:pPr>
            <w:r>
              <w:lastRenderedPageBreak/>
              <w:t>已落实。项目设置了足够的卫生防护距离。</w:t>
            </w:r>
          </w:p>
        </w:tc>
      </w:tr>
      <w:tr w:rsidR="002E474C" w14:paraId="1E036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652872E4" w14:textId="77777777" w:rsidR="002E474C" w:rsidRDefault="00000000">
            <w:pPr>
              <w:pStyle w:val="A-"/>
              <w:rPr>
                <w:bCs/>
              </w:rPr>
            </w:pPr>
            <w:r>
              <w:rPr>
                <w:bCs/>
              </w:rPr>
              <w:t>10</w:t>
            </w:r>
          </w:p>
        </w:tc>
        <w:tc>
          <w:tcPr>
            <w:tcW w:w="2995" w:type="pct"/>
            <w:vAlign w:val="center"/>
          </w:tcPr>
          <w:p w14:paraId="5BCC73F3" w14:textId="77777777" w:rsidR="002E474C" w:rsidRDefault="00000000">
            <w:pPr>
              <w:pStyle w:val="A-"/>
              <w:rPr>
                <w:bCs/>
              </w:rPr>
            </w:pPr>
            <w:r>
              <w:rPr>
                <w:bCs/>
              </w:rPr>
              <w:t>按照《清洁生产标准水泥行业》</w:t>
            </w:r>
            <w:r>
              <w:rPr>
                <w:bCs/>
              </w:rPr>
              <w:t>(HJ467-2009)</w:t>
            </w:r>
            <w:r>
              <w:rPr>
                <w:bCs/>
              </w:rPr>
              <w:t>的要求，做好项目清洁生产工作，项目建成后须开展清洁生产审核工作，落实各项清洁生产指标。</w:t>
            </w:r>
          </w:p>
        </w:tc>
        <w:tc>
          <w:tcPr>
            <w:tcW w:w="1610" w:type="pct"/>
            <w:vAlign w:val="center"/>
          </w:tcPr>
          <w:p w14:paraId="4D890EA3" w14:textId="77777777" w:rsidR="002E474C" w:rsidRDefault="00000000">
            <w:pPr>
              <w:pStyle w:val="A-"/>
            </w:pPr>
            <w:r>
              <w:t>已完成第一轮清洁生产审核及验收工作。</w:t>
            </w:r>
          </w:p>
        </w:tc>
      </w:tr>
      <w:tr w:rsidR="002E474C" w14:paraId="408F90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 w:type="pct"/>
            <w:vAlign w:val="center"/>
          </w:tcPr>
          <w:p w14:paraId="03F2DE4B" w14:textId="77777777" w:rsidR="002E474C" w:rsidRDefault="00000000">
            <w:pPr>
              <w:pStyle w:val="A-"/>
              <w:rPr>
                <w:bCs/>
              </w:rPr>
            </w:pPr>
            <w:r>
              <w:rPr>
                <w:bCs/>
              </w:rPr>
              <w:t>11</w:t>
            </w:r>
          </w:p>
        </w:tc>
        <w:tc>
          <w:tcPr>
            <w:tcW w:w="2995" w:type="pct"/>
            <w:vAlign w:val="center"/>
          </w:tcPr>
          <w:p w14:paraId="17469CB8" w14:textId="77777777" w:rsidR="002E474C" w:rsidRDefault="00000000">
            <w:pPr>
              <w:pStyle w:val="A-"/>
              <w:rPr>
                <w:bCs/>
              </w:rPr>
            </w:pPr>
            <w:r>
              <w:rPr>
                <w:spacing w:val="-6"/>
              </w:rPr>
              <w:t>制订完善的环保规章制度和预防事故应急预案，严格操作规程，做好运行记录，定期检修生产设备和除尘设施，发现隐患及时处理，杜绝盲目生产造成电除尘器断电和电场关闭等非正常工况或事故排放对环境产生影响。</w:t>
            </w:r>
          </w:p>
        </w:tc>
        <w:tc>
          <w:tcPr>
            <w:tcW w:w="1610" w:type="pct"/>
            <w:vAlign w:val="center"/>
          </w:tcPr>
          <w:p w14:paraId="0AF6FE89" w14:textId="77777777" w:rsidR="002E474C" w:rsidRDefault="00000000">
            <w:pPr>
              <w:pStyle w:val="A-"/>
            </w:pPr>
            <w:r>
              <w:t>已落实。制定《新疆圣雄能源股份有限公司废渣综合利用配套</w:t>
            </w:r>
            <w:r>
              <w:t>5000</w:t>
            </w:r>
            <w:r>
              <w:t>吨</w:t>
            </w:r>
            <w:r>
              <w:t>/</w:t>
            </w:r>
            <w:r>
              <w:t>日熟料新型干法水泥项目突发环境事件应急预案》并完成备案。</w:t>
            </w:r>
          </w:p>
        </w:tc>
      </w:tr>
    </w:tbl>
    <w:p w14:paraId="5EA2C56F" w14:textId="77777777" w:rsidR="002E474C" w:rsidRDefault="002E474C"/>
    <w:p w14:paraId="257D1841" w14:textId="77777777" w:rsidR="002E474C" w:rsidRDefault="00000000">
      <w:pPr>
        <w:pStyle w:val="A-z"/>
        <w:rPr>
          <w:color w:val="auto"/>
        </w:rPr>
      </w:pPr>
      <w:r>
        <w:rPr>
          <w:rFonts w:hint="eastAsia"/>
          <w:color w:val="auto"/>
        </w:rPr>
        <w:t>根据自治区环境监测总站编制的《新疆圣雄水泥有限公司废渣综合利用配套</w:t>
      </w:r>
      <w:r>
        <w:rPr>
          <w:rFonts w:hint="eastAsia"/>
          <w:color w:val="auto"/>
        </w:rPr>
        <w:t>5000</w:t>
      </w:r>
      <w:r>
        <w:rPr>
          <w:rFonts w:hint="eastAsia"/>
          <w:color w:val="auto"/>
        </w:rPr>
        <w:t>吨</w:t>
      </w:r>
      <w:r>
        <w:rPr>
          <w:rFonts w:hint="eastAsia"/>
          <w:color w:val="auto"/>
        </w:rPr>
        <w:t>/</w:t>
      </w:r>
      <w:r>
        <w:rPr>
          <w:rFonts w:hint="eastAsia"/>
          <w:color w:val="auto"/>
        </w:rPr>
        <w:t>日熟料新型干法水泥项目竣工环境保护验收监测报告》</w:t>
      </w:r>
      <w:r>
        <w:rPr>
          <w:color w:val="auto"/>
        </w:rPr>
        <w:t>（新环验〔</w:t>
      </w:r>
      <w:r>
        <w:rPr>
          <w:color w:val="auto"/>
        </w:rPr>
        <w:t>2013-HJY-119</w:t>
      </w:r>
      <w:r>
        <w:rPr>
          <w:color w:val="auto"/>
        </w:rPr>
        <w:t>〕）</w:t>
      </w:r>
      <w:r>
        <w:rPr>
          <w:rFonts w:hint="eastAsia"/>
          <w:color w:val="auto"/>
        </w:rPr>
        <w:t>及</w:t>
      </w:r>
      <w:r>
        <w:rPr>
          <w:color w:val="auto"/>
        </w:rPr>
        <w:t>新环函〔</w:t>
      </w:r>
      <w:r>
        <w:rPr>
          <w:color w:val="auto"/>
        </w:rPr>
        <w:t>2014</w:t>
      </w:r>
      <w:r>
        <w:rPr>
          <w:color w:val="auto"/>
        </w:rPr>
        <w:t>〕</w:t>
      </w:r>
      <w:r>
        <w:rPr>
          <w:color w:val="auto"/>
        </w:rPr>
        <w:t>1458</w:t>
      </w:r>
      <w:r>
        <w:rPr>
          <w:color w:val="auto"/>
        </w:rPr>
        <w:t>号</w:t>
      </w:r>
      <w:r>
        <w:rPr>
          <w:rFonts w:hint="eastAsia"/>
          <w:color w:val="auto"/>
        </w:rPr>
        <w:t>：</w:t>
      </w:r>
    </w:p>
    <w:p w14:paraId="4B1842CA" w14:textId="77777777" w:rsidR="002E474C" w:rsidRDefault="00000000">
      <w:pPr>
        <w:pStyle w:val="A-z"/>
        <w:rPr>
          <w:color w:val="auto"/>
        </w:rPr>
      </w:pPr>
      <w:r>
        <w:rPr>
          <w:rFonts w:hint="eastAsia"/>
          <w:color w:val="auto"/>
        </w:rPr>
        <w:t>（一）各类破碎、输送、储库、磨机、煤磨等产尘工段均配套安装了除尘器、经除尘后的粉尘排放浓度和吨产品排放量均符合《水泥工业大气污染物排放标准》</w:t>
      </w:r>
      <w:r>
        <w:rPr>
          <w:rFonts w:hint="eastAsia"/>
          <w:color w:val="auto"/>
        </w:rPr>
        <w:t>(GB4915-2004)</w:t>
      </w:r>
      <w:r>
        <w:rPr>
          <w:rFonts w:hint="eastAsia"/>
          <w:color w:val="auto"/>
        </w:rPr>
        <w:t>中相应设备标准；窑头、窑尾排放废气中主要污染物排放浓度和吨产品排放量均符合《水泥工业大气污染物排放标准》</w:t>
      </w:r>
      <w:r>
        <w:rPr>
          <w:rFonts w:hint="eastAsia"/>
          <w:color w:val="auto"/>
        </w:rPr>
        <w:t>(GB4915-2004)</w:t>
      </w:r>
      <w:r>
        <w:rPr>
          <w:rFonts w:hint="eastAsia"/>
          <w:color w:val="auto"/>
        </w:rPr>
        <w:t>中相应标准要求；厂界外颗粒物排放浓度符合《水泥工业大气污染物排放标准》</w:t>
      </w:r>
      <w:r>
        <w:rPr>
          <w:rFonts w:hint="eastAsia"/>
          <w:color w:val="auto"/>
        </w:rPr>
        <w:t>(GB4915-2004)</w:t>
      </w:r>
      <w:r>
        <w:rPr>
          <w:rFonts w:hint="eastAsia"/>
          <w:color w:val="auto"/>
        </w:rPr>
        <w:t>中相应标准要求。</w:t>
      </w:r>
    </w:p>
    <w:p w14:paraId="7CC71CAA" w14:textId="77777777" w:rsidR="002E474C" w:rsidRDefault="00000000">
      <w:pPr>
        <w:pStyle w:val="A-z"/>
        <w:rPr>
          <w:color w:val="auto"/>
        </w:rPr>
      </w:pPr>
      <w:r>
        <w:rPr>
          <w:rFonts w:hint="eastAsia"/>
          <w:color w:val="auto"/>
        </w:rPr>
        <w:t>（二）本项目生产废水经处理后循环利用，不外排；生活污水经污水处理设施处理后用于循环水补水、厂区绿化、洒水降尘。生活污水各项污染物指标监测值均符合《污水综合排放标准》</w:t>
      </w:r>
      <w:r>
        <w:rPr>
          <w:rFonts w:hint="eastAsia"/>
          <w:color w:val="auto"/>
        </w:rPr>
        <w:t>(GB8978-1996)</w:t>
      </w:r>
      <w:r>
        <w:rPr>
          <w:rFonts w:hint="eastAsia"/>
          <w:color w:val="auto"/>
        </w:rPr>
        <w:t>中二级标准。</w:t>
      </w:r>
    </w:p>
    <w:p w14:paraId="7DA3AB6D" w14:textId="77777777" w:rsidR="002E474C" w:rsidRDefault="00000000">
      <w:pPr>
        <w:pStyle w:val="A-z"/>
        <w:rPr>
          <w:color w:val="auto"/>
        </w:rPr>
      </w:pPr>
      <w:r>
        <w:rPr>
          <w:rFonts w:hint="eastAsia"/>
          <w:color w:val="auto"/>
        </w:rPr>
        <w:t>（三）监测结果显示，厂界外昼夜噪声监测值均符合《工业企业厂界环境噪声排放标准》</w:t>
      </w:r>
      <w:r>
        <w:rPr>
          <w:rFonts w:hint="eastAsia"/>
          <w:color w:val="auto"/>
        </w:rPr>
        <w:t>(GB12348-2008)</w:t>
      </w:r>
      <w:r>
        <w:rPr>
          <w:rFonts w:hint="eastAsia"/>
          <w:color w:val="auto"/>
        </w:rPr>
        <w:t>中</w:t>
      </w:r>
      <w:r>
        <w:rPr>
          <w:rFonts w:hint="eastAsia"/>
          <w:color w:val="auto"/>
        </w:rPr>
        <w:t>3</w:t>
      </w:r>
      <w:r>
        <w:rPr>
          <w:rFonts w:hint="eastAsia"/>
          <w:color w:val="auto"/>
        </w:rPr>
        <w:t>类标准。</w:t>
      </w:r>
    </w:p>
    <w:p w14:paraId="0AF4769A" w14:textId="77777777" w:rsidR="002E474C" w:rsidRDefault="00000000">
      <w:pPr>
        <w:pStyle w:val="A-z"/>
        <w:rPr>
          <w:color w:val="auto"/>
        </w:rPr>
      </w:pPr>
      <w:r>
        <w:rPr>
          <w:rFonts w:hint="eastAsia"/>
          <w:color w:val="auto"/>
        </w:rPr>
        <w:t>（四）本项目产生的粉尘等固体废物全部综合利用</w:t>
      </w:r>
      <w:r>
        <w:rPr>
          <w:rFonts w:hint="eastAsia"/>
          <w:color w:val="auto"/>
        </w:rPr>
        <w:t>;</w:t>
      </w:r>
      <w:r>
        <w:rPr>
          <w:rFonts w:hint="eastAsia"/>
          <w:color w:val="auto"/>
        </w:rPr>
        <w:t>生活垃圾运至阿乐惠镇垃圾填埋点填埋处理。</w:t>
      </w:r>
    </w:p>
    <w:p w14:paraId="5F76AB1D" w14:textId="77777777" w:rsidR="002E474C" w:rsidRDefault="00000000">
      <w:pPr>
        <w:pStyle w:val="A-z"/>
        <w:rPr>
          <w:color w:val="auto"/>
        </w:rPr>
      </w:pPr>
      <w:r>
        <w:rPr>
          <w:rFonts w:hint="eastAsia"/>
          <w:color w:val="auto"/>
        </w:rPr>
        <w:t>（五）据实测核算，项目主要污染物二氧化硫排放量为</w:t>
      </w:r>
      <w:r>
        <w:rPr>
          <w:rFonts w:hint="eastAsia"/>
          <w:color w:val="auto"/>
        </w:rPr>
        <w:t>86.26t/a</w:t>
      </w:r>
      <w:r>
        <w:rPr>
          <w:rFonts w:hint="eastAsia"/>
          <w:color w:val="auto"/>
        </w:rPr>
        <w:t>，氮氧化物</w:t>
      </w:r>
      <w:r>
        <w:rPr>
          <w:rFonts w:hint="eastAsia"/>
          <w:color w:val="auto"/>
        </w:rPr>
        <w:t>531.65t/a</w:t>
      </w:r>
      <w:r>
        <w:rPr>
          <w:rFonts w:hint="eastAsia"/>
          <w:color w:val="auto"/>
        </w:rPr>
        <w:t>，符合环评批复的总量控制指标要求。</w:t>
      </w:r>
    </w:p>
    <w:p w14:paraId="668F6813" w14:textId="77777777" w:rsidR="002E474C" w:rsidRDefault="00000000">
      <w:pPr>
        <w:pStyle w:val="A-z"/>
        <w:rPr>
          <w:color w:val="auto"/>
        </w:rPr>
      </w:pPr>
      <w:r>
        <w:rPr>
          <w:rFonts w:hint="eastAsia"/>
          <w:color w:val="auto"/>
        </w:rPr>
        <w:t>新疆圣雄水泥有限公司废渣综合利用配套</w:t>
      </w:r>
      <w:r>
        <w:rPr>
          <w:rFonts w:hint="eastAsia"/>
          <w:color w:val="auto"/>
        </w:rPr>
        <w:t>5000</w:t>
      </w:r>
      <w:r>
        <w:rPr>
          <w:rFonts w:hint="eastAsia"/>
          <w:color w:val="auto"/>
        </w:rPr>
        <w:t>吨</w:t>
      </w:r>
      <w:r>
        <w:rPr>
          <w:rFonts w:hint="eastAsia"/>
          <w:color w:val="auto"/>
        </w:rPr>
        <w:t>/</w:t>
      </w:r>
      <w:r>
        <w:rPr>
          <w:rFonts w:hint="eastAsia"/>
          <w:color w:val="auto"/>
        </w:rPr>
        <w:t>日熟料新型干法水泥项目基本落实了环评及环评批复中提出的各项污染治理措施，污染物达标排放，项目竣工环境保护验收基本合格。</w:t>
      </w:r>
    </w:p>
    <w:p w14:paraId="26989A5D" w14:textId="77777777" w:rsidR="002E474C" w:rsidRDefault="00000000">
      <w:pPr>
        <w:pStyle w:val="41"/>
        <w:rPr>
          <w:color w:val="auto"/>
        </w:rPr>
      </w:pPr>
      <w:r>
        <w:rPr>
          <w:rFonts w:hint="eastAsia"/>
          <w:color w:val="auto"/>
        </w:rPr>
        <w:t>圣雄水泥环保制度执行概况</w:t>
      </w:r>
    </w:p>
    <w:p w14:paraId="4766A61F" w14:textId="77777777" w:rsidR="002E474C" w:rsidRDefault="00000000">
      <w:pPr>
        <w:pStyle w:val="A-z"/>
        <w:rPr>
          <w:color w:val="auto"/>
        </w:rPr>
      </w:pPr>
      <w:r>
        <w:rPr>
          <w:rFonts w:hint="eastAsia"/>
          <w:color w:val="auto"/>
        </w:rPr>
        <w:lastRenderedPageBreak/>
        <w:t>（</w:t>
      </w:r>
      <w:r>
        <w:rPr>
          <w:rFonts w:hint="eastAsia"/>
          <w:color w:val="auto"/>
        </w:rPr>
        <w:t>1</w:t>
      </w:r>
      <w:r>
        <w:rPr>
          <w:rFonts w:hint="eastAsia"/>
          <w:color w:val="auto"/>
        </w:rPr>
        <w:t>）排污许可制度</w:t>
      </w:r>
    </w:p>
    <w:p w14:paraId="47FFBFEA" w14:textId="77777777" w:rsidR="002E474C" w:rsidRDefault="00000000">
      <w:pPr>
        <w:pStyle w:val="A-z"/>
        <w:rPr>
          <w:color w:val="auto"/>
        </w:rPr>
      </w:pPr>
      <w:r>
        <w:rPr>
          <w:color w:val="auto"/>
        </w:rPr>
        <w:t>新疆圣雄水泥有限公司于</w:t>
      </w:r>
      <w:r>
        <w:rPr>
          <w:color w:val="auto"/>
        </w:rPr>
        <w:t>2017</w:t>
      </w:r>
      <w:r>
        <w:rPr>
          <w:color w:val="auto"/>
        </w:rPr>
        <w:t>年</w:t>
      </w:r>
      <w:r>
        <w:rPr>
          <w:color w:val="auto"/>
        </w:rPr>
        <w:t>12</w:t>
      </w:r>
      <w:r>
        <w:rPr>
          <w:color w:val="auto"/>
        </w:rPr>
        <w:t>月</w:t>
      </w:r>
      <w:r>
        <w:rPr>
          <w:color w:val="auto"/>
        </w:rPr>
        <w:t>14</w:t>
      </w:r>
      <w:r>
        <w:rPr>
          <w:color w:val="auto"/>
        </w:rPr>
        <w:t>日申领排污许可证至今，多次变更与延续排污许可证，企业排污许可证编号为：</w:t>
      </w:r>
      <w:r>
        <w:rPr>
          <w:color w:val="auto"/>
          <w:lang w:val="en-US"/>
        </w:rPr>
        <w:t>91650422592808846B001P</w:t>
      </w:r>
      <w:r>
        <w:rPr>
          <w:color w:val="auto"/>
        </w:rPr>
        <w:t>，有效期：自</w:t>
      </w:r>
      <w:r>
        <w:rPr>
          <w:color w:val="auto"/>
        </w:rPr>
        <w:t>2025</w:t>
      </w:r>
      <w:r>
        <w:rPr>
          <w:color w:val="auto"/>
        </w:rPr>
        <w:t>年</w:t>
      </w:r>
      <w:r>
        <w:rPr>
          <w:color w:val="auto"/>
        </w:rPr>
        <w:t>12</w:t>
      </w:r>
      <w:r>
        <w:rPr>
          <w:color w:val="auto"/>
        </w:rPr>
        <w:t>月</w:t>
      </w:r>
      <w:r>
        <w:rPr>
          <w:color w:val="auto"/>
        </w:rPr>
        <w:t>1</w:t>
      </w:r>
      <w:r>
        <w:rPr>
          <w:color w:val="auto"/>
        </w:rPr>
        <w:t>日至</w:t>
      </w:r>
      <w:r>
        <w:rPr>
          <w:color w:val="auto"/>
        </w:rPr>
        <w:t>2030</w:t>
      </w:r>
      <w:r>
        <w:rPr>
          <w:color w:val="auto"/>
        </w:rPr>
        <w:t>年</w:t>
      </w:r>
      <w:r>
        <w:rPr>
          <w:color w:val="auto"/>
        </w:rPr>
        <w:t>11</w:t>
      </w:r>
      <w:r>
        <w:rPr>
          <w:color w:val="auto"/>
        </w:rPr>
        <w:t>月</w:t>
      </w:r>
      <w:r>
        <w:rPr>
          <w:color w:val="auto"/>
        </w:rPr>
        <w:t>30</w:t>
      </w:r>
      <w:r>
        <w:rPr>
          <w:color w:val="auto"/>
        </w:rPr>
        <w:t>日止。</w:t>
      </w:r>
    </w:p>
    <w:p w14:paraId="397246E1" w14:textId="77777777" w:rsidR="002E474C" w:rsidRDefault="00000000">
      <w:pPr>
        <w:pStyle w:val="A-z"/>
        <w:rPr>
          <w:color w:val="auto"/>
        </w:rPr>
      </w:pPr>
      <w:r>
        <w:rPr>
          <w:color w:val="auto"/>
        </w:rPr>
        <w:t>企业按要求公开了排污许可证执行报告月报、季报、年报，公开平台为全国排污许可证管理信息平台。</w:t>
      </w:r>
    </w:p>
    <w:p w14:paraId="7015FB87" w14:textId="77777777" w:rsidR="002E474C" w:rsidRDefault="00000000">
      <w:pPr>
        <w:pStyle w:val="A-z"/>
        <w:rPr>
          <w:color w:val="auto"/>
        </w:rPr>
      </w:pPr>
      <w:r>
        <w:rPr>
          <w:rFonts w:hint="eastAsia"/>
          <w:color w:val="auto"/>
        </w:rPr>
        <w:t>（</w:t>
      </w:r>
      <w:r>
        <w:rPr>
          <w:rFonts w:hint="eastAsia"/>
          <w:color w:val="auto"/>
        </w:rPr>
        <w:t>2</w:t>
      </w:r>
      <w:r>
        <w:rPr>
          <w:rFonts w:hint="eastAsia"/>
          <w:color w:val="auto"/>
        </w:rPr>
        <w:t>）企业自行监测制度</w:t>
      </w:r>
    </w:p>
    <w:p w14:paraId="165F696D" w14:textId="77777777" w:rsidR="002E474C" w:rsidRDefault="00000000">
      <w:pPr>
        <w:pStyle w:val="A-z"/>
        <w:rPr>
          <w:color w:val="auto"/>
        </w:rPr>
      </w:pPr>
      <w:r>
        <w:rPr>
          <w:color w:val="auto"/>
        </w:rPr>
        <w:t>企业制定了《新疆圣雄水泥有限公司企业自行监测方案》，按要求</w:t>
      </w:r>
      <w:r>
        <w:rPr>
          <w:rFonts w:hint="eastAsia"/>
          <w:color w:val="auto"/>
        </w:rPr>
        <w:t>落实了企业自行检测工作。</w:t>
      </w:r>
    </w:p>
    <w:p w14:paraId="655C25FB" w14:textId="77777777" w:rsidR="002E474C" w:rsidRDefault="00000000">
      <w:pPr>
        <w:pStyle w:val="A-z"/>
        <w:rPr>
          <w:color w:val="auto"/>
        </w:rPr>
      </w:pPr>
      <w:r>
        <w:rPr>
          <w:rFonts w:hint="eastAsia"/>
          <w:color w:val="auto"/>
        </w:rPr>
        <w:t>（</w:t>
      </w:r>
      <w:r>
        <w:rPr>
          <w:rFonts w:hint="eastAsia"/>
          <w:color w:val="auto"/>
        </w:rPr>
        <w:t>3</w:t>
      </w:r>
      <w:r>
        <w:rPr>
          <w:rFonts w:hint="eastAsia"/>
          <w:color w:val="auto"/>
        </w:rPr>
        <w:t>）排污口规范化制度</w:t>
      </w:r>
    </w:p>
    <w:p w14:paraId="1B29EE8B" w14:textId="77777777" w:rsidR="002E474C" w:rsidRDefault="00000000">
      <w:pPr>
        <w:pStyle w:val="A-z"/>
        <w:rPr>
          <w:color w:val="auto"/>
        </w:rPr>
      </w:pPr>
      <w:r>
        <w:rPr>
          <w:color w:val="auto"/>
        </w:rPr>
        <w:t>厂内废气排放各监测点位均搭设采样平台并设有永久性采样孔；设置了规范化的污染物排放标识牌。</w:t>
      </w:r>
    </w:p>
    <w:p w14:paraId="32B1149A" w14:textId="77777777" w:rsidR="002E474C" w:rsidRDefault="00000000">
      <w:pPr>
        <w:pStyle w:val="A-z"/>
        <w:rPr>
          <w:color w:val="auto"/>
        </w:rPr>
      </w:pPr>
      <w:r>
        <w:rPr>
          <w:rFonts w:hint="eastAsia"/>
          <w:color w:val="auto"/>
        </w:rPr>
        <w:t>（</w:t>
      </w:r>
      <w:r>
        <w:rPr>
          <w:rFonts w:hint="eastAsia"/>
          <w:color w:val="auto"/>
        </w:rPr>
        <w:t>4</w:t>
      </w:r>
      <w:r>
        <w:rPr>
          <w:rFonts w:hint="eastAsia"/>
          <w:color w:val="auto"/>
        </w:rPr>
        <w:t>）清洁生产审核制度</w:t>
      </w:r>
    </w:p>
    <w:p w14:paraId="4E702412" w14:textId="77777777" w:rsidR="002E474C" w:rsidRDefault="00000000">
      <w:pPr>
        <w:pStyle w:val="A-z"/>
        <w:rPr>
          <w:color w:val="auto"/>
        </w:rPr>
      </w:pPr>
      <w:r>
        <w:rPr>
          <w:color w:val="auto"/>
        </w:rPr>
        <w:t>2016</w:t>
      </w:r>
      <w:r>
        <w:rPr>
          <w:color w:val="auto"/>
        </w:rPr>
        <w:t>年</w:t>
      </w:r>
      <w:r>
        <w:rPr>
          <w:color w:val="auto"/>
        </w:rPr>
        <w:t>9</w:t>
      </w:r>
      <w:r>
        <w:rPr>
          <w:color w:val="auto"/>
        </w:rPr>
        <w:t>月圣雄水泥开展第一轮清洁生产验收工作，于</w:t>
      </w:r>
      <w:r>
        <w:rPr>
          <w:color w:val="auto"/>
        </w:rPr>
        <w:t>2018</w:t>
      </w:r>
      <w:r>
        <w:rPr>
          <w:color w:val="auto"/>
        </w:rPr>
        <w:t>年</w:t>
      </w:r>
      <w:r>
        <w:rPr>
          <w:color w:val="auto"/>
        </w:rPr>
        <w:t>3</w:t>
      </w:r>
      <w:r>
        <w:rPr>
          <w:color w:val="auto"/>
        </w:rPr>
        <w:t>月</w:t>
      </w:r>
      <w:r>
        <w:rPr>
          <w:color w:val="auto"/>
        </w:rPr>
        <w:t>27</w:t>
      </w:r>
      <w:r>
        <w:rPr>
          <w:color w:val="auto"/>
        </w:rPr>
        <w:t>日取得了新疆环境工程评估中心出具的《新疆圣雄水泥有限公司第一轮清洁生产审核验收意见》（新环估清验〔</w:t>
      </w:r>
      <w:r>
        <w:rPr>
          <w:color w:val="auto"/>
        </w:rPr>
        <w:t>2018</w:t>
      </w:r>
      <w:r>
        <w:rPr>
          <w:color w:val="auto"/>
        </w:rPr>
        <w:t>〕</w:t>
      </w:r>
      <w:r>
        <w:rPr>
          <w:color w:val="auto"/>
        </w:rPr>
        <w:t>004</w:t>
      </w:r>
      <w:r>
        <w:rPr>
          <w:color w:val="auto"/>
        </w:rPr>
        <w:t>号），于</w:t>
      </w:r>
      <w:r>
        <w:rPr>
          <w:color w:val="auto"/>
        </w:rPr>
        <w:t>2018</w:t>
      </w:r>
      <w:r>
        <w:rPr>
          <w:color w:val="auto"/>
        </w:rPr>
        <w:t>年</w:t>
      </w:r>
      <w:r>
        <w:rPr>
          <w:color w:val="auto"/>
        </w:rPr>
        <w:t>4</w:t>
      </w:r>
      <w:r>
        <w:rPr>
          <w:color w:val="auto"/>
        </w:rPr>
        <w:t>月</w:t>
      </w:r>
      <w:r>
        <w:rPr>
          <w:color w:val="auto"/>
        </w:rPr>
        <w:t>25</w:t>
      </w:r>
      <w:r>
        <w:rPr>
          <w:color w:val="auto"/>
        </w:rPr>
        <w:t>日取得了新疆维吾尔自治区环境保护厅出具的《关于新疆圣雄水泥有限公司第一轮清洁生产审核验收意见的函》（新环函〔</w:t>
      </w:r>
      <w:r>
        <w:rPr>
          <w:color w:val="auto"/>
        </w:rPr>
        <w:t>2018</w:t>
      </w:r>
      <w:r>
        <w:rPr>
          <w:color w:val="auto"/>
        </w:rPr>
        <w:t>〕</w:t>
      </w:r>
      <w:r>
        <w:rPr>
          <w:color w:val="auto"/>
        </w:rPr>
        <w:t>523</w:t>
      </w:r>
      <w:r>
        <w:rPr>
          <w:color w:val="auto"/>
        </w:rPr>
        <w:t>号）。</w:t>
      </w:r>
    </w:p>
    <w:p w14:paraId="3F24B55C" w14:textId="77777777" w:rsidR="002E474C" w:rsidRDefault="00000000">
      <w:pPr>
        <w:pStyle w:val="A-z"/>
        <w:rPr>
          <w:color w:val="auto"/>
        </w:rPr>
      </w:pPr>
      <w:r>
        <w:rPr>
          <w:rFonts w:hint="eastAsia"/>
          <w:color w:val="auto"/>
        </w:rPr>
        <w:t>（</w:t>
      </w:r>
      <w:r>
        <w:rPr>
          <w:rFonts w:hint="eastAsia"/>
          <w:color w:val="auto"/>
        </w:rPr>
        <w:t>5</w:t>
      </w:r>
      <w:r>
        <w:rPr>
          <w:rFonts w:hint="eastAsia"/>
          <w:color w:val="auto"/>
        </w:rPr>
        <w:t>）突发环境事件应急预案</w:t>
      </w:r>
    </w:p>
    <w:p w14:paraId="7E4E56B2" w14:textId="77777777" w:rsidR="002E474C" w:rsidRDefault="00000000">
      <w:pPr>
        <w:pStyle w:val="A-z"/>
        <w:rPr>
          <w:color w:val="auto"/>
        </w:rPr>
      </w:pPr>
      <w:r>
        <w:rPr>
          <w:color w:val="auto"/>
        </w:rPr>
        <w:t>圣雄水泥公司于</w:t>
      </w:r>
      <w:r>
        <w:rPr>
          <w:color w:val="auto"/>
        </w:rPr>
        <w:t>2023</w:t>
      </w:r>
      <w:r>
        <w:rPr>
          <w:color w:val="auto"/>
        </w:rPr>
        <w:t>年</w:t>
      </w:r>
      <w:r>
        <w:rPr>
          <w:color w:val="auto"/>
        </w:rPr>
        <w:t>7</w:t>
      </w:r>
      <w:r>
        <w:rPr>
          <w:color w:val="auto"/>
        </w:rPr>
        <w:t>月修订并发布了《新疆</w:t>
      </w:r>
      <w:r>
        <w:rPr>
          <w:color w:val="auto"/>
          <w:lang w:val="en-US"/>
        </w:rPr>
        <w:t>圣雄水泥有限公司</w:t>
      </w:r>
      <w:r>
        <w:rPr>
          <w:color w:val="auto"/>
        </w:rPr>
        <w:t>突发环境事件应急预案》，并在吐鲁番市生态环境局托克逊县分局完成备案，备案编号为：</w:t>
      </w:r>
      <w:r>
        <w:rPr>
          <w:color w:val="auto"/>
        </w:rPr>
        <w:t>650422-2023-026-L</w:t>
      </w:r>
      <w:r>
        <w:rPr>
          <w:color w:val="auto"/>
        </w:rPr>
        <w:t>。圣雄水泥公司定期组织员工学习各项相关制度，在各个生产装置进行实际演练</w:t>
      </w:r>
      <w:r>
        <w:rPr>
          <w:rFonts w:hint="eastAsia"/>
          <w:color w:val="auto"/>
        </w:rPr>
        <w:t>。</w:t>
      </w:r>
    </w:p>
    <w:p w14:paraId="1E60E76C" w14:textId="77777777" w:rsidR="002E474C" w:rsidRDefault="00000000">
      <w:pPr>
        <w:pStyle w:val="41"/>
        <w:rPr>
          <w:color w:val="auto"/>
        </w:rPr>
      </w:pPr>
      <w:r>
        <w:rPr>
          <w:rFonts w:hint="eastAsia"/>
          <w:color w:val="auto"/>
        </w:rPr>
        <w:t>圣雄水泥生产项目运行工况</w:t>
      </w:r>
    </w:p>
    <w:p w14:paraId="069ADE59" w14:textId="77777777" w:rsidR="002E474C" w:rsidRDefault="00000000">
      <w:pPr>
        <w:pStyle w:val="A-z"/>
        <w:rPr>
          <w:color w:val="auto"/>
        </w:rPr>
      </w:pPr>
      <w:r>
        <w:rPr>
          <w:rFonts w:hint="eastAsia"/>
          <w:color w:val="auto"/>
        </w:rPr>
        <w:t>根据</w:t>
      </w:r>
      <w:r>
        <w:rPr>
          <w:color w:val="auto"/>
          <w:spacing w:val="-6"/>
        </w:rPr>
        <w:t>《关于新疆圣雄能源股份有限公司废渣综合利用配套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日熟料新型干法水泥项目环境影响报告书的批复》（新环评价函〔</w:t>
      </w:r>
      <w:r>
        <w:rPr>
          <w:color w:val="auto"/>
          <w:spacing w:val="-6"/>
        </w:rPr>
        <w:t>2012</w:t>
      </w:r>
      <w:r>
        <w:rPr>
          <w:color w:val="auto"/>
          <w:spacing w:val="-6"/>
        </w:rPr>
        <w:t>〕</w:t>
      </w:r>
      <w:r>
        <w:rPr>
          <w:color w:val="auto"/>
          <w:spacing w:val="-6"/>
        </w:rPr>
        <w:t>1292</w:t>
      </w:r>
      <w:r>
        <w:rPr>
          <w:color w:val="auto"/>
          <w:spacing w:val="-6"/>
        </w:rPr>
        <w:t>号）</w:t>
      </w:r>
      <w:r>
        <w:rPr>
          <w:rFonts w:hint="eastAsia"/>
          <w:color w:val="auto"/>
          <w:spacing w:val="-6"/>
        </w:rPr>
        <w:t>及</w:t>
      </w:r>
      <w:r>
        <w:rPr>
          <w:color w:val="auto"/>
          <w:spacing w:val="-6"/>
        </w:rPr>
        <w:t>《关于新疆圣雄水泥有限公司废渣综合利用配套</w:t>
      </w:r>
      <w:r>
        <w:rPr>
          <w:color w:val="auto"/>
          <w:spacing w:val="-6"/>
        </w:rPr>
        <w:t>5000</w:t>
      </w:r>
      <w:r>
        <w:rPr>
          <w:color w:val="auto"/>
          <w:spacing w:val="-6"/>
        </w:rPr>
        <w:t>吨</w:t>
      </w:r>
      <w:r>
        <w:rPr>
          <w:color w:val="auto"/>
          <w:spacing w:val="-6"/>
        </w:rPr>
        <w:t>/</w:t>
      </w:r>
      <w:r>
        <w:rPr>
          <w:color w:val="auto"/>
          <w:spacing w:val="-6"/>
        </w:rPr>
        <w:t>日熟料新型干法水泥项目竣工环境保护验收意见的函》（新环函〔</w:t>
      </w:r>
      <w:r>
        <w:rPr>
          <w:color w:val="auto"/>
          <w:spacing w:val="-6"/>
        </w:rPr>
        <w:t>2014</w:t>
      </w:r>
      <w:r>
        <w:rPr>
          <w:color w:val="auto"/>
          <w:spacing w:val="-6"/>
        </w:rPr>
        <w:t>〕</w:t>
      </w:r>
      <w:r>
        <w:rPr>
          <w:color w:val="auto"/>
          <w:spacing w:val="-6"/>
        </w:rPr>
        <w:t>1458</w:t>
      </w:r>
      <w:r>
        <w:rPr>
          <w:color w:val="auto"/>
          <w:spacing w:val="-6"/>
        </w:rPr>
        <w:t>号）</w:t>
      </w:r>
      <w:r>
        <w:rPr>
          <w:rFonts w:hint="eastAsia"/>
          <w:color w:val="auto"/>
          <w:spacing w:val="-6"/>
        </w:rPr>
        <w:t>，</w:t>
      </w:r>
      <w:r>
        <w:rPr>
          <w:color w:val="auto"/>
        </w:rPr>
        <w:t>圣雄水泥公司现有</w:t>
      </w:r>
      <w:r>
        <w:rPr>
          <w:color w:val="auto"/>
        </w:rPr>
        <w:t>1</w:t>
      </w:r>
      <w:r>
        <w:rPr>
          <w:color w:val="auto"/>
        </w:rPr>
        <w:t>条</w:t>
      </w:r>
      <w:r>
        <w:rPr>
          <w:color w:val="auto"/>
        </w:rPr>
        <w:t>5000t/d</w:t>
      </w:r>
      <w:r>
        <w:rPr>
          <w:color w:val="auto"/>
        </w:rPr>
        <w:t>电石渣干法水泥生产线，</w:t>
      </w:r>
      <w:r>
        <w:rPr>
          <w:rFonts w:hint="eastAsia"/>
          <w:color w:val="auto"/>
        </w:rPr>
        <w:t>建设规模为日产水泥熟料</w:t>
      </w:r>
      <w:r>
        <w:rPr>
          <w:rFonts w:hint="eastAsia"/>
          <w:color w:val="auto"/>
        </w:rPr>
        <w:t>5000t</w:t>
      </w:r>
      <w:r>
        <w:rPr>
          <w:rFonts w:hint="eastAsia"/>
          <w:color w:val="auto"/>
        </w:rPr>
        <w:t>，年产熟料</w:t>
      </w:r>
      <w:r>
        <w:rPr>
          <w:rFonts w:hint="eastAsia"/>
          <w:color w:val="auto"/>
        </w:rPr>
        <w:t>155</w:t>
      </w:r>
      <w:r>
        <w:rPr>
          <w:rFonts w:hint="eastAsia"/>
          <w:color w:val="auto"/>
        </w:rPr>
        <w:t>万</w:t>
      </w:r>
      <w:r>
        <w:rPr>
          <w:rFonts w:hint="eastAsia"/>
          <w:color w:val="auto"/>
        </w:rPr>
        <w:t>t</w:t>
      </w:r>
      <w:r>
        <w:rPr>
          <w:rFonts w:hint="eastAsia"/>
          <w:color w:val="auto"/>
        </w:rPr>
        <w:t>。</w:t>
      </w:r>
      <w:r>
        <w:rPr>
          <w:color w:val="auto"/>
        </w:rPr>
        <w:t>设</w:t>
      </w:r>
      <w:r>
        <w:rPr>
          <w:color w:val="auto"/>
        </w:rPr>
        <w:lastRenderedPageBreak/>
        <w:t>计规模为熟料</w:t>
      </w:r>
      <w:r>
        <w:rPr>
          <w:color w:val="auto"/>
        </w:rPr>
        <w:t>155</w:t>
      </w:r>
      <w:r>
        <w:rPr>
          <w:color w:val="auto"/>
        </w:rPr>
        <w:t>万</w:t>
      </w:r>
      <w:r>
        <w:rPr>
          <w:color w:val="auto"/>
        </w:rPr>
        <w:t>t/a</w:t>
      </w:r>
      <w:r>
        <w:rPr>
          <w:color w:val="auto"/>
        </w:rPr>
        <w:t>，水泥</w:t>
      </w:r>
      <w:r>
        <w:rPr>
          <w:color w:val="auto"/>
        </w:rPr>
        <w:t>200</w:t>
      </w:r>
      <w:r>
        <w:rPr>
          <w:color w:val="auto"/>
        </w:rPr>
        <w:t>万</w:t>
      </w:r>
      <w:r>
        <w:rPr>
          <w:color w:val="auto"/>
        </w:rPr>
        <w:t>t/a</w:t>
      </w:r>
      <w:r>
        <w:rPr>
          <w:color w:val="auto"/>
        </w:rPr>
        <w:t>。根据《新疆圣雄水泥有限公司废渣综合利用配套</w:t>
      </w:r>
      <w:r>
        <w:rPr>
          <w:color w:val="auto"/>
        </w:rPr>
        <w:t>5000</w:t>
      </w:r>
      <w:r>
        <w:rPr>
          <w:color w:val="auto"/>
        </w:rPr>
        <w:t>吨</w:t>
      </w:r>
      <w:r>
        <w:rPr>
          <w:color w:val="auto"/>
        </w:rPr>
        <w:t>/</w:t>
      </w:r>
      <w:r>
        <w:rPr>
          <w:color w:val="auto"/>
        </w:rPr>
        <w:t>日熟料新型干法水泥项目竣工环境保护验收监测报告》（新环验〔</w:t>
      </w:r>
      <w:r>
        <w:rPr>
          <w:color w:val="auto"/>
        </w:rPr>
        <w:t>2013-HJY-119</w:t>
      </w:r>
      <w:r>
        <w:rPr>
          <w:color w:val="auto"/>
        </w:rPr>
        <w:t>〕），</w:t>
      </w:r>
      <w:r>
        <w:rPr>
          <w:rFonts w:hint="eastAsia"/>
          <w:color w:val="auto"/>
        </w:rPr>
        <w:t>项目投运后，</w:t>
      </w:r>
      <w:r>
        <w:rPr>
          <w:color w:val="auto"/>
        </w:rPr>
        <w:t>年计划工作</w:t>
      </w:r>
      <w:r>
        <w:rPr>
          <w:color w:val="auto"/>
        </w:rPr>
        <w:t>300</w:t>
      </w:r>
      <w:r>
        <w:rPr>
          <w:color w:val="auto"/>
        </w:rPr>
        <w:t>日，年工作时间</w:t>
      </w:r>
      <w:r>
        <w:rPr>
          <w:color w:val="auto"/>
        </w:rPr>
        <w:t>7200h</w:t>
      </w:r>
      <w:r>
        <w:rPr>
          <w:rFonts w:hint="eastAsia"/>
          <w:color w:val="auto"/>
        </w:rPr>
        <w:t>，熟料生产规模为</w:t>
      </w:r>
      <w:r>
        <w:rPr>
          <w:rFonts w:hint="eastAsia"/>
          <w:color w:val="auto"/>
        </w:rPr>
        <w:t>5000t/d</w:t>
      </w:r>
      <w:r>
        <w:rPr>
          <w:rFonts w:hint="eastAsia"/>
          <w:color w:val="auto"/>
        </w:rPr>
        <w:t>，熟料产量为</w:t>
      </w:r>
      <w:r>
        <w:rPr>
          <w:rFonts w:hint="eastAsia"/>
          <w:color w:val="auto"/>
        </w:rPr>
        <w:t>150</w:t>
      </w:r>
      <w:r>
        <w:rPr>
          <w:rFonts w:hint="eastAsia"/>
          <w:color w:val="auto"/>
        </w:rPr>
        <w:t>万</w:t>
      </w:r>
      <w:r>
        <w:rPr>
          <w:rFonts w:hint="eastAsia"/>
          <w:color w:val="auto"/>
        </w:rPr>
        <w:t>t/a</w:t>
      </w:r>
      <w:r>
        <w:rPr>
          <w:color w:val="auto"/>
        </w:rPr>
        <w:t>。</w:t>
      </w:r>
    </w:p>
    <w:p w14:paraId="7E50B413" w14:textId="77777777" w:rsidR="002E474C" w:rsidRDefault="00000000">
      <w:pPr>
        <w:pStyle w:val="A-z"/>
        <w:rPr>
          <w:color w:val="auto"/>
        </w:rPr>
      </w:pPr>
      <w:r>
        <w:rPr>
          <w:color w:val="auto"/>
        </w:rPr>
        <w:t>圣雄水泥公司电石渣干法水泥生产线目前正常运行。</w:t>
      </w:r>
    </w:p>
    <w:p w14:paraId="7919427F" w14:textId="77777777" w:rsidR="002E474C" w:rsidRDefault="00000000">
      <w:pPr>
        <w:pStyle w:val="31"/>
        <w:spacing w:before="120" w:after="120"/>
        <w:rPr>
          <w:color w:val="auto"/>
        </w:rPr>
      </w:pPr>
      <w:r>
        <w:rPr>
          <w:color w:val="auto"/>
        </w:rPr>
        <w:t>项目</w:t>
      </w:r>
      <w:r>
        <w:rPr>
          <w:rFonts w:hint="eastAsia"/>
          <w:color w:val="auto"/>
        </w:rPr>
        <w:t>主要建设内容</w:t>
      </w:r>
    </w:p>
    <w:p w14:paraId="5918FD3E" w14:textId="77777777" w:rsidR="002E474C" w:rsidRDefault="00000000">
      <w:pPr>
        <w:pStyle w:val="A-z"/>
        <w:rPr>
          <w:color w:val="auto"/>
        </w:rPr>
      </w:pPr>
      <w:r>
        <w:rPr>
          <w:color w:val="auto"/>
        </w:rPr>
        <w:t>圣雄水泥公司电石渣干法水泥生产线建设内容包括主体工程（电石渣输送系统、原料破碎系统、原料备料系统、煤预均化系统、辅助原料磨系统、煤粉制备系统、熟料煅烧系统、熟料散装、石膏破碎系统、水泥粉磨系统、水泥包装系统及储存设施等）、公用工程、</w:t>
      </w:r>
      <w:r>
        <w:rPr>
          <w:rFonts w:hint="eastAsia"/>
          <w:color w:val="auto"/>
        </w:rPr>
        <w:t>环保工程</w:t>
      </w:r>
      <w:r>
        <w:rPr>
          <w:color w:val="auto"/>
        </w:rPr>
        <w:t>及辅助生产设施等。项目</w:t>
      </w:r>
      <w:r>
        <w:rPr>
          <w:rFonts w:hint="eastAsia"/>
          <w:color w:val="auto"/>
        </w:rPr>
        <w:t>主要建设内容，见</w:t>
      </w:r>
      <w:r>
        <w:rPr>
          <w:color w:val="auto"/>
        </w:rPr>
        <w:t>表</w:t>
      </w:r>
      <w:r>
        <w:rPr>
          <w:color w:val="auto"/>
        </w:rPr>
        <w:t>3.1-2</w:t>
      </w:r>
      <w:r>
        <w:rPr>
          <w:color w:val="auto"/>
        </w:rPr>
        <w:t>。</w:t>
      </w:r>
    </w:p>
    <w:p w14:paraId="2EB81E26" w14:textId="77777777" w:rsidR="002E474C" w:rsidRDefault="00000000">
      <w:pPr>
        <w:pStyle w:val="A--"/>
        <w:rPr>
          <w:color w:val="auto"/>
        </w:rPr>
      </w:pPr>
      <w:bookmarkStart w:id="110" w:name="_Ref126593417"/>
      <w:r>
        <w:rPr>
          <w:color w:val="auto"/>
        </w:rPr>
        <w:t>表</w:t>
      </w:r>
      <w:r>
        <w:rPr>
          <w:color w:val="auto"/>
        </w:rPr>
        <w:t>3.1</w:t>
      </w:r>
      <w:r>
        <w:rPr>
          <w:color w:val="auto"/>
        </w:rPr>
        <w:noBreakHyphen/>
      </w:r>
      <w:bookmarkEnd w:id="110"/>
      <w:r>
        <w:rPr>
          <w:color w:val="auto"/>
        </w:rPr>
        <w:t xml:space="preserve">2  </w:t>
      </w:r>
      <w:r>
        <w:rPr>
          <w:color w:val="auto"/>
        </w:rPr>
        <w:t>圣雄水泥项目</w:t>
      </w:r>
      <w:r>
        <w:rPr>
          <w:rFonts w:hint="eastAsia"/>
          <w:color w:val="auto"/>
        </w:rPr>
        <w:t>主要建设内容</w:t>
      </w:r>
      <w:r>
        <w:rPr>
          <w:color w:val="auto"/>
        </w:rPr>
        <w:t>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788"/>
        <w:gridCol w:w="5634"/>
      </w:tblGrid>
      <w:tr w:rsidR="002E474C" w14:paraId="30D41548" w14:textId="77777777">
        <w:trPr>
          <w:trHeight w:val="340"/>
        </w:trPr>
        <w:tc>
          <w:tcPr>
            <w:tcW w:w="1100" w:type="dxa"/>
            <w:vAlign w:val="center"/>
          </w:tcPr>
          <w:p w14:paraId="68695D7C" w14:textId="77777777" w:rsidR="002E474C" w:rsidRDefault="00000000">
            <w:pPr>
              <w:pStyle w:val="A-"/>
            </w:pPr>
            <w:r>
              <w:t>工程类别</w:t>
            </w:r>
          </w:p>
        </w:tc>
        <w:tc>
          <w:tcPr>
            <w:tcW w:w="1788" w:type="dxa"/>
            <w:vAlign w:val="center"/>
          </w:tcPr>
          <w:p w14:paraId="2D345B67" w14:textId="77777777" w:rsidR="002E474C" w:rsidRDefault="00000000">
            <w:pPr>
              <w:pStyle w:val="A-"/>
            </w:pPr>
            <w:r>
              <w:t>主体生产装置</w:t>
            </w:r>
          </w:p>
        </w:tc>
        <w:tc>
          <w:tcPr>
            <w:tcW w:w="5634" w:type="dxa"/>
            <w:vAlign w:val="center"/>
          </w:tcPr>
          <w:p w14:paraId="4CA353D6" w14:textId="77777777" w:rsidR="002E474C" w:rsidRDefault="00000000">
            <w:pPr>
              <w:pStyle w:val="A-"/>
            </w:pPr>
            <w:r>
              <w:t>组成内容</w:t>
            </w:r>
          </w:p>
        </w:tc>
      </w:tr>
      <w:tr w:rsidR="002E474C" w14:paraId="73FDFD93" w14:textId="77777777">
        <w:trPr>
          <w:trHeight w:val="340"/>
        </w:trPr>
        <w:tc>
          <w:tcPr>
            <w:tcW w:w="1100" w:type="dxa"/>
            <w:vMerge w:val="restart"/>
            <w:vAlign w:val="center"/>
          </w:tcPr>
          <w:p w14:paraId="53412B25" w14:textId="77777777" w:rsidR="002E474C" w:rsidRDefault="00000000">
            <w:pPr>
              <w:pStyle w:val="A-"/>
            </w:pPr>
            <w:r>
              <w:t>主体工程</w:t>
            </w:r>
          </w:p>
        </w:tc>
        <w:tc>
          <w:tcPr>
            <w:tcW w:w="1788" w:type="dxa"/>
            <w:vMerge w:val="restart"/>
            <w:vAlign w:val="center"/>
          </w:tcPr>
          <w:p w14:paraId="062108EE" w14:textId="77777777" w:rsidR="002E474C" w:rsidRDefault="00000000">
            <w:pPr>
              <w:pStyle w:val="A-"/>
            </w:pPr>
            <w:r>
              <w:t>一条</w:t>
            </w:r>
            <w:r>
              <w:t>5000t/d</w:t>
            </w:r>
          </w:p>
          <w:p w14:paraId="3C6047CF" w14:textId="77777777" w:rsidR="002E474C" w:rsidRDefault="00000000">
            <w:pPr>
              <w:pStyle w:val="A-"/>
            </w:pPr>
            <w:r>
              <w:t>电石渣干法水泥生产线</w:t>
            </w:r>
          </w:p>
        </w:tc>
        <w:tc>
          <w:tcPr>
            <w:tcW w:w="5634" w:type="dxa"/>
            <w:vAlign w:val="center"/>
          </w:tcPr>
          <w:p w14:paraId="54AFB6A0" w14:textId="77777777" w:rsidR="002E474C" w:rsidRDefault="00000000">
            <w:pPr>
              <w:pStyle w:val="A-"/>
              <w:jc w:val="left"/>
            </w:pPr>
            <w:r>
              <w:t>1.</w:t>
            </w:r>
            <w:r>
              <w:t>原料准备系统：砂岩破碎；原煤破碎；电石渣烘干破碎。</w:t>
            </w:r>
            <w:r>
              <w:t>2.</w:t>
            </w:r>
            <w:r>
              <w:t>煤预均化系统。</w:t>
            </w:r>
            <w:r>
              <w:t>3.</w:t>
            </w:r>
            <w:r>
              <w:t>辅助原料磨系统。</w:t>
            </w:r>
            <w:r>
              <w:t>4.</w:t>
            </w:r>
            <w:r>
              <w:t>煤粉制备系统</w:t>
            </w:r>
          </w:p>
        </w:tc>
      </w:tr>
      <w:tr w:rsidR="002E474C" w14:paraId="530CEA4F" w14:textId="77777777">
        <w:trPr>
          <w:trHeight w:val="340"/>
        </w:trPr>
        <w:tc>
          <w:tcPr>
            <w:tcW w:w="1100" w:type="dxa"/>
            <w:vMerge/>
            <w:vAlign w:val="center"/>
          </w:tcPr>
          <w:p w14:paraId="71F5EE5B" w14:textId="77777777" w:rsidR="002E474C" w:rsidRDefault="002E474C">
            <w:pPr>
              <w:pStyle w:val="A-"/>
            </w:pPr>
          </w:p>
        </w:tc>
        <w:tc>
          <w:tcPr>
            <w:tcW w:w="1788" w:type="dxa"/>
            <w:vMerge/>
            <w:vAlign w:val="center"/>
          </w:tcPr>
          <w:p w14:paraId="02C5FFF0" w14:textId="77777777" w:rsidR="002E474C" w:rsidRDefault="002E474C">
            <w:pPr>
              <w:pStyle w:val="A-"/>
            </w:pPr>
          </w:p>
        </w:tc>
        <w:tc>
          <w:tcPr>
            <w:tcW w:w="5634" w:type="dxa"/>
            <w:vAlign w:val="center"/>
          </w:tcPr>
          <w:p w14:paraId="00F85CCE" w14:textId="77777777" w:rsidR="002E474C" w:rsidRDefault="00000000">
            <w:pPr>
              <w:pStyle w:val="A-"/>
            </w:pPr>
            <w:r>
              <w:t>熟料煅烧系统：</w:t>
            </w:r>
            <w:r>
              <w:t>Φ4.8×72m</w:t>
            </w:r>
            <w:r>
              <w:t>回转窑（带分解炉和四级预热器）；篦冷机；多通道喷煤管。</w:t>
            </w:r>
          </w:p>
        </w:tc>
      </w:tr>
      <w:tr w:rsidR="002E474C" w14:paraId="400E6AAD" w14:textId="77777777">
        <w:trPr>
          <w:trHeight w:val="340"/>
        </w:trPr>
        <w:tc>
          <w:tcPr>
            <w:tcW w:w="1100" w:type="dxa"/>
            <w:vMerge/>
            <w:vAlign w:val="center"/>
          </w:tcPr>
          <w:p w14:paraId="3185AE43" w14:textId="77777777" w:rsidR="002E474C" w:rsidRDefault="002E474C">
            <w:pPr>
              <w:pStyle w:val="A-"/>
            </w:pPr>
          </w:p>
        </w:tc>
        <w:tc>
          <w:tcPr>
            <w:tcW w:w="1788" w:type="dxa"/>
            <w:vMerge/>
            <w:vAlign w:val="center"/>
          </w:tcPr>
          <w:p w14:paraId="707B17B4" w14:textId="77777777" w:rsidR="002E474C" w:rsidRDefault="002E474C">
            <w:pPr>
              <w:pStyle w:val="A-"/>
            </w:pPr>
          </w:p>
        </w:tc>
        <w:tc>
          <w:tcPr>
            <w:tcW w:w="5634" w:type="dxa"/>
            <w:vAlign w:val="center"/>
          </w:tcPr>
          <w:p w14:paraId="3D494CA7" w14:textId="77777777" w:rsidR="002E474C" w:rsidRDefault="00000000">
            <w:pPr>
              <w:pStyle w:val="A-"/>
            </w:pPr>
            <w:r>
              <w:t>熟料散装</w:t>
            </w:r>
          </w:p>
        </w:tc>
      </w:tr>
      <w:tr w:rsidR="002E474C" w14:paraId="17F80903" w14:textId="77777777">
        <w:trPr>
          <w:trHeight w:val="340"/>
        </w:trPr>
        <w:tc>
          <w:tcPr>
            <w:tcW w:w="1100" w:type="dxa"/>
            <w:vMerge/>
            <w:vAlign w:val="center"/>
          </w:tcPr>
          <w:p w14:paraId="041F37AF" w14:textId="77777777" w:rsidR="002E474C" w:rsidRDefault="002E474C">
            <w:pPr>
              <w:pStyle w:val="A-"/>
            </w:pPr>
          </w:p>
        </w:tc>
        <w:tc>
          <w:tcPr>
            <w:tcW w:w="1788" w:type="dxa"/>
            <w:vAlign w:val="center"/>
          </w:tcPr>
          <w:p w14:paraId="3CA7D6F8" w14:textId="77777777" w:rsidR="002E474C" w:rsidRDefault="00000000">
            <w:pPr>
              <w:pStyle w:val="A-"/>
            </w:pPr>
            <w:r>
              <w:t>运输系统</w:t>
            </w:r>
          </w:p>
        </w:tc>
        <w:tc>
          <w:tcPr>
            <w:tcW w:w="5634" w:type="dxa"/>
            <w:vAlign w:val="center"/>
          </w:tcPr>
          <w:p w14:paraId="0DEEA9E2" w14:textId="77777777" w:rsidR="002E474C" w:rsidRDefault="00000000">
            <w:pPr>
              <w:pStyle w:val="A-"/>
            </w:pPr>
            <w:r>
              <w:t>电石渣输送系统</w:t>
            </w:r>
          </w:p>
        </w:tc>
      </w:tr>
      <w:tr w:rsidR="002E474C" w14:paraId="51091E4C" w14:textId="77777777">
        <w:trPr>
          <w:trHeight w:val="340"/>
        </w:trPr>
        <w:tc>
          <w:tcPr>
            <w:tcW w:w="1100" w:type="dxa"/>
            <w:vMerge/>
            <w:vAlign w:val="center"/>
          </w:tcPr>
          <w:p w14:paraId="217E7DA0" w14:textId="77777777" w:rsidR="002E474C" w:rsidRDefault="002E474C">
            <w:pPr>
              <w:pStyle w:val="A-"/>
            </w:pPr>
          </w:p>
        </w:tc>
        <w:tc>
          <w:tcPr>
            <w:tcW w:w="1788" w:type="dxa"/>
            <w:vAlign w:val="center"/>
          </w:tcPr>
          <w:p w14:paraId="0CA62C2F" w14:textId="77777777" w:rsidR="002E474C" w:rsidRDefault="00000000">
            <w:pPr>
              <w:pStyle w:val="A-"/>
            </w:pPr>
            <w:r>
              <w:t>水泥粉磨</w:t>
            </w:r>
          </w:p>
        </w:tc>
        <w:tc>
          <w:tcPr>
            <w:tcW w:w="5634" w:type="dxa"/>
            <w:vAlign w:val="center"/>
          </w:tcPr>
          <w:p w14:paraId="5DF9BE5F" w14:textId="77777777" w:rsidR="002E474C" w:rsidRDefault="00000000">
            <w:pPr>
              <w:pStyle w:val="A-"/>
            </w:pPr>
            <w:r>
              <w:t>1.</w:t>
            </w:r>
            <w:r>
              <w:t>石膏破碎系统；</w:t>
            </w:r>
            <w:r>
              <w:t>2.</w:t>
            </w:r>
            <w:r>
              <w:t>水泥粉磨系统；</w:t>
            </w:r>
            <w:r>
              <w:t>3.</w:t>
            </w:r>
            <w:r>
              <w:t>水泥包装系统</w:t>
            </w:r>
          </w:p>
        </w:tc>
      </w:tr>
      <w:tr w:rsidR="002E474C" w14:paraId="744D40AD" w14:textId="77777777">
        <w:trPr>
          <w:trHeight w:val="340"/>
        </w:trPr>
        <w:tc>
          <w:tcPr>
            <w:tcW w:w="1100" w:type="dxa"/>
            <w:vMerge w:val="restart"/>
            <w:vAlign w:val="center"/>
          </w:tcPr>
          <w:p w14:paraId="65DC3701" w14:textId="77777777" w:rsidR="002E474C" w:rsidRDefault="00000000">
            <w:pPr>
              <w:pStyle w:val="A-"/>
            </w:pPr>
            <w:r>
              <w:t>公用工程</w:t>
            </w:r>
          </w:p>
        </w:tc>
        <w:tc>
          <w:tcPr>
            <w:tcW w:w="1788" w:type="dxa"/>
            <w:vAlign w:val="center"/>
          </w:tcPr>
          <w:p w14:paraId="4C3702B2" w14:textId="77777777" w:rsidR="002E474C" w:rsidRDefault="00000000">
            <w:pPr>
              <w:pStyle w:val="A-"/>
            </w:pPr>
            <w:r>
              <w:t>给排水系统</w:t>
            </w:r>
          </w:p>
        </w:tc>
        <w:tc>
          <w:tcPr>
            <w:tcW w:w="5634" w:type="dxa"/>
            <w:vAlign w:val="center"/>
          </w:tcPr>
          <w:p w14:paraId="756F3EA0" w14:textId="77777777" w:rsidR="002E474C" w:rsidRDefault="00000000">
            <w:pPr>
              <w:pStyle w:val="A-"/>
            </w:pPr>
            <w:r>
              <w:rPr>
                <w:rFonts w:hint="eastAsia"/>
              </w:rPr>
              <w:t>园区水厂供水能力</w:t>
            </w:r>
            <w:r>
              <w:rPr>
                <w:rFonts w:hint="eastAsia"/>
              </w:rPr>
              <w:t>11.2</w:t>
            </w:r>
            <w:r>
              <w:rPr>
                <w:rFonts w:hint="eastAsia"/>
              </w:rPr>
              <w:t>万</w:t>
            </w:r>
            <w:r>
              <w:rPr>
                <w:rFonts w:hint="eastAsia"/>
              </w:rPr>
              <w:t>m</w:t>
            </w:r>
            <w:r>
              <w:rPr>
                <w:rFonts w:hint="eastAsia"/>
                <w:vertAlign w:val="superscript"/>
              </w:rPr>
              <w:t>3</w:t>
            </w:r>
            <w:r>
              <w:rPr>
                <w:rFonts w:hint="eastAsia"/>
              </w:rPr>
              <w:t>/d</w:t>
            </w:r>
            <w:r>
              <w:rPr>
                <w:rFonts w:hint="eastAsia"/>
              </w:rPr>
              <w:t>，水源来自</w:t>
            </w:r>
            <w:r>
              <w:t>阿拉沟水库</w:t>
            </w:r>
            <w:r>
              <w:rPr>
                <w:rFonts w:hint="eastAsia"/>
              </w:rPr>
              <w:t>。</w:t>
            </w:r>
          </w:p>
          <w:p w14:paraId="47C289C5" w14:textId="77777777" w:rsidR="002E474C" w:rsidRDefault="00000000">
            <w:pPr>
              <w:pStyle w:val="A-"/>
            </w:pPr>
            <w:r>
              <w:rPr>
                <w:rFonts w:hint="eastAsia"/>
                <w:bCs/>
              </w:rPr>
              <w:t>厂区给水系统分为：生活、生产给水管网系统、循环水管网系统。生活、生产给水系统供职工生活用水、化验室用水及窑尾增湿及立磨喷雾直流用水等，循环水管网系统供应</w:t>
            </w:r>
            <w:r>
              <w:rPr>
                <w:rFonts w:hint="eastAsia"/>
              </w:rPr>
              <w:t>熟料生产线设备冷却水，循环水量为</w:t>
            </w:r>
            <w:r>
              <w:rPr>
                <w:rFonts w:hint="eastAsia"/>
              </w:rPr>
              <w:t>592</w:t>
            </w:r>
            <w:r>
              <w:t>.</w:t>
            </w:r>
            <w:r>
              <w:rPr>
                <w:rFonts w:hint="eastAsia"/>
              </w:rPr>
              <w:t>5t/h</w:t>
            </w:r>
            <w:r>
              <w:rPr>
                <w:rFonts w:hint="eastAsia"/>
              </w:rPr>
              <w:t>。</w:t>
            </w:r>
            <w:r>
              <w:rPr>
                <w:rFonts w:hint="eastAsia"/>
                <w:bCs/>
              </w:rPr>
              <w:t>消防水源由化工园区的消防给水系统提供，接管管径</w:t>
            </w:r>
            <w:r>
              <w:rPr>
                <w:rFonts w:hint="eastAsia"/>
                <w:bCs/>
              </w:rPr>
              <w:t>DN200</w:t>
            </w:r>
            <w:r>
              <w:rPr>
                <w:rFonts w:hint="eastAsia"/>
                <w:bCs/>
              </w:rPr>
              <w:t>。</w:t>
            </w:r>
          </w:p>
          <w:p w14:paraId="0D2C17F9" w14:textId="77777777" w:rsidR="002E474C" w:rsidRDefault="00000000">
            <w:pPr>
              <w:pStyle w:val="A-"/>
            </w:pPr>
            <w:r>
              <w:t>厂区排水系统，中水回用系统，综合污水处理站。</w:t>
            </w:r>
          </w:p>
          <w:p w14:paraId="6FA050EB" w14:textId="77777777" w:rsidR="002E474C" w:rsidRDefault="00000000">
            <w:pPr>
              <w:pStyle w:val="A-"/>
            </w:pPr>
            <w:r>
              <w:t>（包括消防水系统、循环水系统、生产、生活用水）</w:t>
            </w:r>
          </w:p>
        </w:tc>
      </w:tr>
      <w:tr w:rsidR="002E474C" w14:paraId="3EDD36DB" w14:textId="77777777">
        <w:trPr>
          <w:trHeight w:val="340"/>
        </w:trPr>
        <w:tc>
          <w:tcPr>
            <w:tcW w:w="1100" w:type="dxa"/>
            <w:vMerge/>
            <w:vAlign w:val="center"/>
          </w:tcPr>
          <w:p w14:paraId="52B7300C" w14:textId="77777777" w:rsidR="002E474C" w:rsidRDefault="002E474C">
            <w:pPr>
              <w:pStyle w:val="A-"/>
            </w:pPr>
          </w:p>
        </w:tc>
        <w:tc>
          <w:tcPr>
            <w:tcW w:w="1788" w:type="dxa"/>
            <w:vAlign w:val="center"/>
          </w:tcPr>
          <w:p w14:paraId="58BB184C" w14:textId="77777777" w:rsidR="002E474C" w:rsidRDefault="00000000">
            <w:pPr>
              <w:pStyle w:val="A-"/>
            </w:pPr>
            <w:r>
              <w:t>供电系统</w:t>
            </w:r>
          </w:p>
        </w:tc>
        <w:tc>
          <w:tcPr>
            <w:tcW w:w="5634" w:type="dxa"/>
            <w:vAlign w:val="center"/>
          </w:tcPr>
          <w:p w14:paraId="1C9FF095" w14:textId="77777777" w:rsidR="002E474C" w:rsidRDefault="00000000">
            <w:pPr>
              <w:pStyle w:val="A-"/>
            </w:pPr>
            <w:r>
              <w:t>供电电源由圣雄工业园区</w:t>
            </w:r>
            <w:r>
              <w:t>110kV</w:t>
            </w:r>
            <w:r>
              <w:t>变电站提供</w:t>
            </w:r>
          </w:p>
        </w:tc>
      </w:tr>
      <w:tr w:rsidR="002E474C" w14:paraId="7AE5A78C" w14:textId="77777777">
        <w:trPr>
          <w:trHeight w:val="340"/>
        </w:trPr>
        <w:tc>
          <w:tcPr>
            <w:tcW w:w="1100" w:type="dxa"/>
            <w:vMerge/>
            <w:vAlign w:val="center"/>
          </w:tcPr>
          <w:p w14:paraId="478E4846" w14:textId="77777777" w:rsidR="002E474C" w:rsidRDefault="002E474C">
            <w:pPr>
              <w:pStyle w:val="A-"/>
            </w:pPr>
          </w:p>
        </w:tc>
        <w:tc>
          <w:tcPr>
            <w:tcW w:w="1788" w:type="dxa"/>
            <w:vAlign w:val="center"/>
          </w:tcPr>
          <w:p w14:paraId="387781AB" w14:textId="77777777" w:rsidR="002E474C" w:rsidRDefault="00000000">
            <w:pPr>
              <w:pStyle w:val="A-"/>
            </w:pPr>
            <w:r>
              <w:t>供热系统</w:t>
            </w:r>
          </w:p>
        </w:tc>
        <w:tc>
          <w:tcPr>
            <w:tcW w:w="5634" w:type="dxa"/>
            <w:vAlign w:val="center"/>
          </w:tcPr>
          <w:p w14:paraId="5BB64799" w14:textId="77777777" w:rsidR="002E474C" w:rsidRDefault="00000000">
            <w:pPr>
              <w:pStyle w:val="A-"/>
            </w:pPr>
            <w:r>
              <w:t>厂区内自建换热站一座</w:t>
            </w:r>
            <w:r>
              <w:rPr>
                <w:rFonts w:hint="eastAsia"/>
              </w:rPr>
              <w:t>，热源由圣雄能源</w:t>
            </w:r>
            <w:r>
              <w:rPr>
                <w:rFonts w:hint="eastAsia"/>
              </w:rPr>
              <w:t>4</w:t>
            </w:r>
            <w:r>
              <w:rPr>
                <w:rFonts w:hint="eastAsia"/>
              </w:rPr>
              <w:t>×</w:t>
            </w:r>
            <w:r>
              <w:rPr>
                <w:rFonts w:hint="eastAsia"/>
              </w:rPr>
              <w:t>300MW</w:t>
            </w:r>
            <w:r>
              <w:rPr>
                <w:rFonts w:hint="eastAsia"/>
              </w:rPr>
              <w:t>循环流化床资源综合利用发电机组提供。</w:t>
            </w:r>
          </w:p>
        </w:tc>
      </w:tr>
      <w:tr w:rsidR="002E474C" w14:paraId="2D8B08D9" w14:textId="77777777">
        <w:trPr>
          <w:trHeight w:val="340"/>
        </w:trPr>
        <w:tc>
          <w:tcPr>
            <w:tcW w:w="1100" w:type="dxa"/>
            <w:vMerge/>
            <w:vAlign w:val="center"/>
          </w:tcPr>
          <w:p w14:paraId="5759A66F" w14:textId="77777777" w:rsidR="002E474C" w:rsidRDefault="002E474C">
            <w:pPr>
              <w:pStyle w:val="A-"/>
            </w:pPr>
          </w:p>
        </w:tc>
        <w:tc>
          <w:tcPr>
            <w:tcW w:w="1788" w:type="dxa"/>
            <w:vAlign w:val="center"/>
          </w:tcPr>
          <w:p w14:paraId="2552E4D7" w14:textId="77777777" w:rsidR="002E474C" w:rsidRDefault="00000000">
            <w:pPr>
              <w:pStyle w:val="A-"/>
            </w:pPr>
            <w:r>
              <w:rPr>
                <w:rFonts w:hint="eastAsia"/>
              </w:rPr>
              <w:t>其他</w:t>
            </w:r>
          </w:p>
        </w:tc>
        <w:tc>
          <w:tcPr>
            <w:tcW w:w="5634" w:type="dxa"/>
            <w:vAlign w:val="center"/>
          </w:tcPr>
          <w:p w14:paraId="7821D0E3" w14:textId="77777777" w:rsidR="002E474C" w:rsidRDefault="00000000">
            <w:pPr>
              <w:pStyle w:val="A-"/>
              <w:jc w:val="left"/>
            </w:pPr>
            <w:r>
              <w:rPr>
                <w:rFonts w:hint="eastAsia"/>
              </w:rPr>
              <w:t>（</w:t>
            </w:r>
            <w:r>
              <w:rPr>
                <w:rFonts w:hint="eastAsia"/>
              </w:rPr>
              <w:t>1</w:t>
            </w:r>
            <w:r>
              <w:rPr>
                <w:rFonts w:hint="eastAsia"/>
              </w:rPr>
              <w:t>）</w:t>
            </w:r>
            <w:r>
              <w:t>生活福利设施：行政办公及生活服务设施</w:t>
            </w:r>
          </w:p>
          <w:p w14:paraId="44578AED" w14:textId="77777777" w:rsidR="002E474C" w:rsidRDefault="00000000">
            <w:pPr>
              <w:pStyle w:val="A-"/>
              <w:jc w:val="left"/>
            </w:pPr>
            <w:r>
              <w:rPr>
                <w:rFonts w:hint="eastAsia"/>
              </w:rPr>
              <w:t>（</w:t>
            </w:r>
            <w:r>
              <w:rPr>
                <w:rFonts w:hint="eastAsia"/>
              </w:rPr>
              <w:t>2</w:t>
            </w:r>
            <w:r>
              <w:rPr>
                <w:rFonts w:hint="eastAsia"/>
              </w:rPr>
              <w:t>）</w:t>
            </w:r>
            <w:r>
              <w:t>化验室：水泥生产原、辅料及产品检验设备</w:t>
            </w:r>
          </w:p>
          <w:p w14:paraId="6D7986AE" w14:textId="77777777" w:rsidR="002E474C" w:rsidRDefault="00000000">
            <w:pPr>
              <w:pStyle w:val="A-"/>
              <w:jc w:val="left"/>
            </w:pPr>
            <w:r>
              <w:rPr>
                <w:rFonts w:hint="eastAsia"/>
              </w:rPr>
              <w:t>（</w:t>
            </w:r>
            <w:r>
              <w:rPr>
                <w:rFonts w:hint="eastAsia"/>
              </w:rPr>
              <w:t>3</w:t>
            </w:r>
            <w:r>
              <w:rPr>
                <w:rFonts w:hint="eastAsia"/>
              </w:rPr>
              <w:t>）</w:t>
            </w:r>
            <w:r>
              <w:t>空压站，空气压缩机</w:t>
            </w:r>
          </w:p>
          <w:p w14:paraId="6A30A038" w14:textId="77777777" w:rsidR="002E474C" w:rsidRDefault="00000000">
            <w:pPr>
              <w:pStyle w:val="A-"/>
              <w:jc w:val="left"/>
            </w:pPr>
            <w:r>
              <w:rPr>
                <w:rFonts w:hint="eastAsia"/>
              </w:rPr>
              <w:t>（</w:t>
            </w:r>
            <w:r>
              <w:rPr>
                <w:rFonts w:hint="eastAsia"/>
              </w:rPr>
              <w:t>4</w:t>
            </w:r>
            <w:r>
              <w:rPr>
                <w:rFonts w:hint="eastAsia"/>
              </w:rPr>
              <w:t>）</w:t>
            </w:r>
            <w:r>
              <w:t>计量站：自动配比系统控制定量给料机计量；冲板流量计计量；煤粉专用秤计量；熟料专用高温计量秤；料计量仓、原煤仓、储仓荷重传感器计量。</w:t>
            </w:r>
          </w:p>
          <w:p w14:paraId="667F6A78" w14:textId="77777777" w:rsidR="002E474C" w:rsidRDefault="00000000">
            <w:pPr>
              <w:pStyle w:val="A-"/>
            </w:pPr>
            <w:r>
              <w:rPr>
                <w:rFonts w:hint="eastAsia"/>
              </w:rPr>
              <w:t>（</w:t>
            </w:r>
            <w:r>
              <w:rPr>
                <w:rFonts w:hint="eastAsia"/>
              </w:rPr>
              <w:t>5</w:t>
            </w:r>
            <w:r>
              <w:rPr>
                <w:rFonts w:hint="eastAsia"/>
              </w:rPr>
              <w:t>）</w:t>
            </w:r>
            <w:r>
              <w:t>机修间：生产设备的小修和日常维护工作</w:t>
            </w:r>
          </w:p>
          <w:p w14:paraId="41246D89" w14:textId="77777777" w:rsidR="002E474C" w:rsidRDefault="00000000">
            <w:pPr>
              <w:pStyle w:val="A-"/>
            </w:pPr>
            <w:r>
              <w:rPr>
                <w:rFonts w:hint="eastAsia"/>
              </w:rPr>
              <w:t>（</w:t>
            </w:r>
            <w:r>
              <w:rPr>
                <w:rFonts w:hint="eastAsia"/>
              </w:rPr>
              <w:t>6</w:t>
            </w:r>
            <w:r>
              <w:rPr>
                <w:rFonts w:hint="eastAsia"/>
              </w:rPr>
              <w:t>）</w:t>
            </w:r>
            <w:r>
              <w:t>地坪硬化，厂区隔声绿化带</w:t>
            </w:r>
          </w:p>
        </w:tc>
      </w:tr>
      <w:tr w:rsidR="002E474C" w14:paraId="667F842A" w14:textId="77777777">
        <w:trPr>
          <w:trHeight w:val="340"/>
        </w:trPr>
        <w:tc>
          <w:tcPr>
            <w:tcW w:w="1100" w:type="dxa"/>
            <w:vAlign w:val="center"/>
          </w:tcPr>
          <w:p w14:paraId="49DF2BC6" w14:textId="77777777" w:rsidR="002E474C" w:rsidRDefault="00000000">
            <w:pPr>
              <w:pStyle w:val="A-"/>
            </w:pPr>
            <w:r>
              <w:rPr>
                <w:rFonts w:hint="eastAsia"/>
              </w:rPr>
              <w:lastRenderedPageBreak/>
              <w:t>储运工程</w:t>
            </w:r>
          </w:p>
        </w:tc>
        <w:tc>
          <w:tcPr>
            <w:tcW w:w="1788" w:type="dxa"/>
            <w:vAlign w:val="center"/>
          </w:tcPr>
          <w:p w14:paraId="119F1496" w14:textId="77777777" w:rsidR="002E474C" w:rsidRDefault="00000000">
            <w:pPr>
              <w:pStyle w:val="A-"/>
            </w:pPr>
            <w:r>
              <w:rPr>
                <w:rFonts w:hint="eastAsia"/>
              </w:rPr>
              <w:t>原料、辅料、燃料及产品储存</w:t>
            </w:r>
          </w:p>
        </w:tc>
        <w:tc>
          <w:tcPr>
            <w:tcW w:w="5634" w:type="dxa"/>
            <w:vAlign w:val="center"/>
          </w:tcPr>
          <w:p w14:paraId="1EE5872D" w14:textId="77777777" w:rsidR="002E474C" w:rsidRDefault="00000000">
            <w:pPr>
              <w:pStyle w:val="A-"/>
              <w:jc w:val="left"/>
            </w:pPr>
            <w:r>
              <w:rPr>
                <w:rFonts w:hint="eastAsia"/>
              </w:rPr>
              <w:t>储存设施均为封闭堆棚和密闭储仓和储库。</w:t>
            </w:r>
            <w:r>
              <w:t>电石渣堆棚、电石渣干粉</w:t>
            </w:r>
            <w:r>
              <w:rPr>
                <w:rFonts w:hint="eastAsia"/>
              </w:rPr>
              <w:t>储存</w:t>
            </w:r>
            <w:r>
              <w:t>库、</w:t>
            </w:r>
            <w:r>
              <w:rPr>
                <w:rFonts w:hint="eastAsia"/>
              </w:rPr>
              <w:t>电石渣干粉调配库、预均化堆棚、联合预均化堆棚、</w:t>
            </w:r>
            <w:r>
              <w:t>原煤仓、</w:t>
            </w:r>
            <w:r>
              <w:rPr>
                <w:rFonts w:hint="eastAsia"/>
              </w:rPr>
              <w:t>调配</w:t>
            </w:r>
            <w:r>
              <w:t>库、灰库、窑灰配料库、生料均化库、熟料</w:t>
            </w:r>
            <w:r>
              <w:rPr>
                <w:rFonts w:hint="eastAsia"/>
              </w:rPr>
              <w:t>堆棚</w:t>
            </w:r>
            <w:r>
              <w:t>、</w:t>
            </w:r>
            <w:r>
              <w:rPr>
                <w:rFonts w:hint="eastAsia"/>
              </w:rPr>
              <w:t>熟料库、</w:t>
            </w:r>
            <w:r>
              <w:t>粉煤灰库、</w:t>
            </w:r>
            <w:r>
              <w:rPr>
                <w:rFonts w:hint="eastAsia"/>
              </w:rPr>
              <w:t>水泥磨调配库</w:t>
            </w:r>
            <w:r>
              <w:t>水泥库等</w:t>
            </w:r>
            <w:r>
              <w:rPr>
                <w:rFonts w:hint="eastAsia"/>
              </w:rPr>
              <w:t>。</w:t>
            </w:r>
          </w:p>
        </w:tc>
      </w:tr>
      <w:tr w:rsidR="002E474C" w14:paraId="029D1541" w14:textId="77777777">
        <w:trPr>
          <w:trHeight w:val="340"/>
        </w:trPr>
        <w:tc>
          <w:tcPr>
            <w:tcW w:w="1100" w:type="dxa"/>
            <w:vMerge w:val="restart"/>
            <w:vAlign w:val="center"/>
          </w:tcPr>
          <w:p w14:paraId="44FE2FA6" w14:textId="77777777" w:rsidR="002E474C" w:rsidRDefault="00000000">
            <w:pPr>
              <w:pStyle w:val="A-"/>
            </w:pPr>
            <w:r>
              <w:t>环保工程</w:t>
            </w:r>
          </w:p>
        </w:tc>
        <w:tc>
          <w:tcPr>
            <w:tcW w:w="1788" w:type="dxa"/>
            <w:vAlign w:val="center"/>
          </w:tcPr>
          <w:p w14:paraId="6676DED3" w14:textId="77777777" w:rsidR="002E474C" w:rsidRDefault="00000000">
            <w:pPr>
              <w:pStyle w:val="A-"/>
            </w:pPr>
            <w:r>
              <w:rPr>
                <w:rFonts w:hint="eastAsia"/>
              </w:rPr>
              <w:t>废气污染防治措施</w:t>
            </w:r>
          </w:p>
        </w:tc>
        <w:tc>
          <w:tcPr>
            <w:tcW w:w="5634" w:type="dxa"/>
            <w:vAlign w:val="center"/>
          </w:tcPr>
          <w:p w14:paraId="794F3797" w14:textId="77777777" w:rsidR="002E474C" w:rsidRDefault="00000000">
            <w:pPr>
              <w:pStyle w:val="A-"/>
            </w:pPr>
            <w:r>
              <w:rPr>
                <w:rFonts w:hint="eastAsia"/>
              </w:rPr>
              <w:t>有组织废气：原辅材料、燃料及成品</w:t>
            </w:r>
            <w:r>
              <w:t>料仓、料棚、库</w:t>
            </w:r>
            <w:r>
              <w:rPr>
                <w:rFonts w:hint="eastAsia"/>
              </w:rPr>
              <w:t>，物料</w:t>
            </w:r>
            <w:r>
              <w:t>破碎</w:t>
            </w:r>
            <w:r>
              <w:rPr>
                <w:rFonts w:hint="eastAsia"/>
              </w:rPr>
              <w:t>、</w:t>
            </w:r>
            <w:r>
              <w:t>粉磨</w:t>
            </w:r>
            <w:r>
              <w:rPr>
                <w:rFonts w:hint="eastAsia"/>
              </w:rPr>
              <w:t>、调配、均化生产工艺，水泥粉磨、包装、散装生产工艺，</w:t>
            </w:r>
            <w:r>
              <w:t>窑头废气</w:t>
            </w:r>
            <w:r>
              <w:rPr>
                <w:rFonts w:hint="eastAsia"/>
              </w:rPr>
              <w:t>等废气除尘后排放，窑尾烟气采用</w:t>
            </w:r>
            <w:r>
              <w:t>SNCR</w:t>
            </w:r>
            <w:r>
              <w:t>脱硝</w:t>
            </w:r>
            <w:r>
              <w:t>+</w:t>
            </w:r>
            <w:r>
              <w:t>电袋除尘</w:t>
            </w:r>
            <w:r>
              <w:rPr>
                <w:rFonts w:hint="eastAsia"/>
              </w:rPr>
              <w:t>后排放。</w:t>
            </w:r>
          </w:p>
          <w:p w14:paraId="6F148E1E" w14:textId="77777777" w:rsidR="002E474C" w:rsidRDefault="002E474C">
            <w:pPr>
              <w:pStyle w:val="A-"/>
            </w:pPr>
          </w:p>
        </w:tc>
      </w:tr>
      <w:tr w:rsidR="002E474C" w14:paraId="2A507650" w14:textId="77777777">
        <w:trPr>
          <w:trHeight w:val="340"/>
        </w:trPr>
        <w:tc>
          <w:tcPr>
            <w:tcW w:w="1100" w:type="dxa"/>
            <w:vMerge/>
            <w:vAlign w:val="center"/>
          </w:tcPr>
          <w:p w14:paraId="5F4517EF" w14:textId="77777777" w:rsidR="002E474C" w:rsidRDefault="002E474C">
            <w:pPr>
              <w:pStyle w:val="A-"/>
            </w:pPr>
          </w:p>
        </w:tc>
        <w:tc>
          <w:tcPr>
            <w:tcW w:w="1788" w:type="dxa"/>
            <w:vAlign w:val="center"/>
          </w:tcPr>
          <w:p w14:paraId="78B403F0" w14:textId="77777777" w:rsidR="002E474C" w:rsidRDefault="00000000">
            <w:pPr>
              <w:pStyle w:val="A-"/>
            </w:pPr>
            <w:r>
              <w:rPr>
                <w:rFonts w:hint="eastAsia"/>
              </w:rPr>
              <w:t>废水污染防治措施</w:t>
            </w:r>
          </w:p>
        </w:tc>
        <w:tc>
          <w:tcPr>
            <w:tcW w:w="5634" w:type="dxa"/>
            <w:vAlign w:val="center"/>
          </w:tcPr>
          <w:p w14:paraId="2D081669" w14:textId="77777777" w:rsidR="002E474C" w:rsidRDefault="00000000">
            <w:pPr>
              <w:pStyle w:val="A-"/>
            </w:pPr>
            <w:r>
              <w:rPr>
                <w:rFonts w:hint="eastAsia"/>
              </w:rPr>
              <w:t>辅助设施排污水及</w:t>
            </w:r>
            <w:r>
              <w:t>生活</w:t>
            </w:r>
            <w:r>
              <w:rPr>
                <w:rFonts w:hint="eastAsia"/>
              </w:rPr>
              <w:t>办公杂排水均由管道直接送入</w:t>
            </w:r>
            <w:r>
              <w:t>厂区</w:t>
            </w:r>
            <w:r>
              <w:t>100m</w:t>
            </w:r>
            <w:r>
              <w:rPr>
                <w:vertAlign w:val="superscript"/>
              </w:rPr>
              <w:t>3</w:t>
            </w:r>
            <w:r>
              <w:t>/h</w:t>
            </w:r>
            <w:r>
              <w:rPr>
                <w:rFonts w:hint="eastAsia"/>
              </w:rPr>
              <w:t>综合污水处理站</w:t>
            </w:r>
            <w:r>
              <w:t>处理，采用缺氧＋好氧生物接触氧化法＋后续深度的处理工艺，处理后废水用于冷却水补水和厂区绿化，不外排</w:t>
            </w:r>
            <w:r>
              <w:rPr>
                <w:rFonts w:hint="eastAsia"/>
              </w:rPr>
              <w:t>。</w:t>
            </w:r>
          </w:p>
        </w:tc>
      </w:tr>
      <w:tr w:rsidR="002E474C" w14:paraId="745D3D2D" w14:textId="77777777">
        <w:trPr>
          <w:trHeight w:val="340"/>
        </w:trPr>
        <w:tc>
          <w:tcPr>
            <w:tcW w:w="1100" w:type="dxa"/>
            <w:vMerge/>
            <w:vAlign w:val="center"/>
          </w:tcPr>
          <w:p w14:paraId="6BD7AF6E" w14:textId="77777777" w:rsidR="002E474C" w:rsidRDefault="002E474C">
            <w:pPr>
              <w:pStyle w:val="A-"/>
            </w:pPr>
          </w:p>
        </w:tc>
        <w:tc>
          <w:tcPr>
            <w:tcW w:w="1788" w:type="dxa"/>
            <w:vAlign w:val="center"/>
          </w:tcPr>
          <w:p w14:paraId="4C71FD08" w14:textId="77777777" w:rsidR="002E474C" w:rsidRDefault="00000000">
            <w:pPr>
              <w:pStyle w:val="A-"/>
            </w:pPr>
            <w:r>
              <w:rPr>
                <w:rFonts w:hint="eastAsia"/>
              </w:rPr>
              <w:t>噪声污染防治措施</w:t>
            </w:r>
          </w:p>
        </w:tc>
        <w:tc>
          <w:tcPr>
            <w:tcW w:w="5634" w:type="dxa"/>
            <w:vAlign w:val="center"/>
          </w:tcPr>
          <w:p w14:paraId="4C04EF4D" w14:textId="77777777" w:rsidR="002E474C" w:rsidRDefault="00000000">
            <w:pPr>
              <w:pStyle w:val="A-"/>
            </w:pPr>
            <w:r>
              <w:t>对各类磨机、破碎机产生的机械性噪声采用隔声、隔振处理方法，对噪声设备安装弹性橡胶衬垫、底座，以减少装置的振动噪声。</w:t>
            </w:r>
          </w:p>
        </w:tc>
      </w:tr>
      <w:tr w:rsidR="002E474C" w14:paraId="0529AAC5" w14:textId="77777777">
        <w:trPr>
          <w:trHeight w:val="340"/>
        </w:trPr>
        <w:tc>
          <w:tcPr>
            <w:tcW w:w="1100" w:type="dxa"/>
            <w:vMerge/>
            <w:vAlign w:val="center"/>
          </w:tcPr>
          <w:p w14:paraId="3800F03E" w14:textId="77777777" w:rsidR="002E474C" w:rsidRDefault="002E474C">
            <w:pPr>
              <w:pStyle w:val="A-"/>
            </w:pPr>
          </w:p>
        </w:tc>
        <w:tc>
          <w:tcPr>
            <w:tcW w:w="1788" w:type="dxa"/>
            <w:vAlign w:val="center"/>
          </w:tcPr>
          <w:p w14:paraId="170D4EF8" w14:textId="77777777" w:rsidR="002E474C" w:rsidRDefault="00000000">
            <w:pPr>
              <w:pStyle w:val="A-"/>
            </w:pPr>
            <w:r>
              <w:rPr>
                <w:rFonts w:hint="eastAsia"/>
              </w:rPr>
              <w:t>固体废物污染防治措施</w:t>
            </w:r>
          </w:p>
        </w:tc>
        <w:tc>
          <w:tcPr>
            <w:tcW w:w="5634" w:type="dxa"/>
            <w:vAlign w:val="center"/>
          </w:tcPr>
          <w:p w14:paraId="749B4EC4" w14:textId="77777777" w:rsidR="002E474C" w:rsidRDefault="00000000">
            <w:pPr>
              <w:pStyle w:val="A-"/>
            </w:pPr>
            <w:r>
              <w:t>生产过程中基本上不外排固体废物。各类收尘器收集的粉尘完全回用到相应工序中，不外排。检修维护所产生的少量废钢铁集中清运。回转窑产生的耐火砖全部作为水泥的填充料，不外排。</w:t>
            </w:r>
          </w:p>
        </w:tc>
      </w:tr>
      <w:tr w:rsidR="002E474C" w14:paraId="16731A6A" w14:textId="77777777">
        <w:trPr>
          <w:trHeight w:val="340"/>
        </w:trPr>
        <w:tc>
          <w:tcPr>
            <w:tcW w:w="1100" w:type="dxa"/>
            <w:vAlign w:val="center"/>
          </w:tcPr>
          <w:p w14:paraId="2A88FAE5" w14:textId="77777777" w:rsidR="002E474C" w:rsidRDefault="00000000">
            <w:pPr>
              <w:pStyle w:val="A-"/>
            </w:pPr>
            <w:r>
              <w:rPr>
                <w:rFonts w:hint="eastAsia"/>
              </w:rPr>
              <w:t>风险防范</w:t>
            </w:r>
          </w:p>
        </w:tc>
        <w:tc>
          <w:tcPr>
            <w:tcW w:w="1788" w:type="dxa"/>
            <w:vAlign w:val="center"/>
          </w:tcPr>
          <w:p w14:paraId="640DE6ED" w14:textId="77777777" w:rsidR="002E474C" w:rsidRDefault="00000000">
            <w:pPr>
              <w:pStyle w:val="A-"/>
            </w:pPr>
            <w:r>
              <w:rPr>
                <w:rFonts w:hint="eastAsia"/>
              </w:rPr>
              <w:t>环境风险防控</w:t>
            </w:r>
          </w:p>
        </w:tc>
        <w:tc>
          <w:tcPr>
            <w:tcW w:w="5634" w:type="dxa"/>
            <w:vAlign w:val="center"/>
          </w:tcPr>
          <w:p w14:paraId="0460F3BC" w14:textId="77777777" w:rsidR="002E474C" w:rsidRDefault="00000000">
            <w:pPr>
              <w:pStyle w:val="A-"/>
            </w:pPr>
            <w:r>
              <w:rPr>
                <w:rFonts w:hint="eastAsia"/>
              </w:rPr>
              <w:t>编制</w:t>
            </w:r>
            <w:r>
              <w:t>《新疆圣雄水泥有限公司突发环境事件应急预案》</w:t>
            </w:r>
            <w:r>
              <w:rPr>
                <w:rFonts w:hint="eastAsia"/>
              </w:rPr>
              <w:t>，在生态环境部门备案，定期演练。</w:t>
            </w:r>
          </w:p>
        </w:tc>
      </w:tr>
    </w:tbl>
    <w:p w14:paraId="58C900F0" w14:textId="77777777" w:rsidR="002E474C" w:rsidRDefault="002E474C"/>
    <w:p w14:paraId="3235EC60" w14:textId="77777777" w:rsidR="002E474C" w:rsidRDefault="00000000">
      <w:pPr>
        <w:pStyle w:val="31"/>
        <w:spacing w:before="120" w:after="120"/>
        <w:rPr>
          <w:color w:val="auto"/>
        </w:rPr>
      </w:pPr>
      <w:r>
        <w:rPr>
          <w:color w:val="auto"/>
        </w:rPr>
        <w:t>厂区平面布置</w:t>
      </w:r>
    </w:p>
    <w:p w14:paraId="59B9FC02" w14:textId="77777777" w:rsidR="002E474C" w:rsidRDefault="00000000">
      <w:pPr>
        <w:pStyle w:val="A-z"/>
        <w:rPr>
          <w:color w:val="auto"/>
        </w:rPr>
      </w:pPr>
      <w:r>
        <w:rPr>
          <w:color w:val="auto"/>
        </w:rPr>
        <w:t>圣雄水泥公司占地总面积为</w:t>
      </w:r>
      <w:r>
        <w:rPr>
          <w:color w:val="auto"/>
        </w:rPr>
        <w:t>314835m²</w:t>
      </w:r>
      <w:r>
        <w:rPr>
          <w:color w:val="auto"/>
        </w:rPr>
        <w:t>。</w:t>
      </w:r>
    </w:p>
    <w:p w14:paraId="4F05D076" w14:textId="77777777" w:rsidR="002E474C" w:rsidRDefault="00000000">
      <w:pPr>
        <w:pStyle w:val="A-z"/>
        <w:rPr>
          <w:color w:val="auto"/>
        </w:rPr>
      </w:pPr>
      <w:r>
        <w:rPr>
          <w:color w:val="auto"/>
          <w:lang w:val="en-US"/>
        </w:rPr>
        <w:t>厂内原料配料、熟料烧成系统（窑尾、窑中、窑头及熟料冷却）、熟料储库及水泥配料库由西向东呈</w:t>
      </w:r>
      <w:r>
        <w:rPr>
          <w:color w:val="auto"/>
          <w:lang w:val="en-US"/>
        </w:rPr>
        <w:t>“</w:t>
      </w:r>
      <w:r>
        <w:rPr>
          <w:color w:val="auto"/>
          <w:lang w:val="en-US"/>
        </w:rPr>
        <w:t>一</w:t>
      </w:r>
      <w:r>
        <w:rPr>
          <w:color w:val="auto"/>
          <w:lang w:val="en-US"/>
        </w:rPr>
        <w:t>”</w:t>
      </w:r>
      <w:r>
        <w:rPr>
          <w:color w:val="auto"/>
          <w:lang w:val="en-US"/>
        </w:rPr>
        <w:t>字型布置在厂区中部，厂区南、西部布置水泥生产线原、燃料储存区，成品储存及发运区布置在厂区南部靠近工业区主干道，辅助生产及公用设施布置在场地中北部。</w:t>
      </w:r>
    </w:p>
    <w:p w14:paraId="2D1B22C0" w14:textId="77777777" w:rsidR="002E474C" w:rsidRDefault="00000000">
      <w:pPr>
        <w:pStyle w:val="A-z"/>
        <w:rPr>
          <w:color w:val="auto"/>
        </w:rPr>
      </w:pPr>
      <w:r>
        <w:rPr>
          <w:color w:val="auto"/>
        </w:rPr>
        <w:t>圣雄水泥公司平面布置，见图</w:t>
      </w:r>
      <w:r>
        <w:rPr>
          <w:color w:val="auto"/>
        </w:rPr>
        <w:t>3.1-1</w:t>
      </w:r>
      <w:r>
        <w:rPr>
          <w:color w:val="auto"/>
        </w:rPr>
        <w:t>。</w:t>
      </w:r>
    </w:p>
    <w:p w14:paraId="7300CA45" w14:textId="77777777" w:rsidR="002E474C" w:rsidRDefault="00000000">
      <w:pPr>
        <w:pStyle w:val="31"/>
        <w:spacing w:before="120" w:after="120"/>
        <w:rPr>
          <w:color w:val="auto"/>
        </w:rPr>
      </w:pPr>
      <w:r>
        <w:rPr>
          <w:color w:val="auto"/>
        </w:rPr>
        <w:t>生产设施</w:t>
      </w:r>
    </w:p>
    <w:p w14:paraId="005C9D40" w14:textId="77777777" w:rsidR="002E474C" w:rsidRDefault="00000000">
      <w:pPr>
        <w:pStyle w:val="A-z"/>
        <w:rPr>
          <w:color w:val="auto"/>
        </w:rPr>
      </w:pPr>
      <w:r>
        <w:rPr>
          <w:color w:val="auto"/>
        </w:rPr>
        <w:t>圣雄水泥公司干法水泥生产线主要生产设施见表</w:t>
      </w:r>
      <w:r>
        <w:rPr>
          <w:color w:val="auto"/>
        </w:rPr>
        <w:t>3.1-3</w:t>
      </w:r>
      <w:r>
        <w:rPr>
          <w:color w:val="auto"/>
        </w:rPr>
        <w:t>。</w:t>
      </w:r>
    </w:p>
    <w:p w14:paraId="7C094E2D" w14:textId="77777777" w:rsidR="002E474C" w:rsidRDefault="00000000">
      <w:pPr>
        <w:pStyle w:val="A--"/>
        <w:rPr>
          <w:color w:val="auto"/>
        </w:rPr>
      </w:pPr>
      <w:bookmarkStart w:id="111" w:name="_Ref126604931"/>
      <w:r>
        <w:rPr>
          <w:color w:val="auto"/>
        </w:rPr>
        <w:t>表</w:t>
      </w:r>
      <w:bookmarkEnd w:id="111"/>
      <w:r>
        <w:rPr>
          <w:color w:val="auto"/>
        </w:rPr>
        <w:t xml:space="preserve">3.1-3  </w:t>
      </w:r>
      <w:r>
        <w:rPr>
          <w:color w:val="auto"/>
        </w:rPr>
        <w:t>圣雄水泥项目主要生产设施一览表</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4"/>
        <w:gridCol w:w="1846"/>
        <w:gridCol w:w="3686"/>
        <w:gridCol w:w="745"/>
      </w:tblGrid>
      <w:tr w:rsidR="002E474C" w14:paraId="790750D3" w14:textId="77777777">
        <w:trPr>
          <w:trHeight w:val="305"/>
        </w:trPr>
        <w:tc>
          <w:tcPr>
            <w:tcW w:w="709" w:type="dxa"/>
            <w:vAlign w:val="center"/>
          </w:tcPr>
          <w:p w14:paraId="0C0921D1" w14:textId="77777777" w:rsidR="002E474C" w:rsidRDefault="00000000">
            <w:pPr>
              <w:pStyle w:val="A-"/>
            </w:pPr>
            <w:r>
              <w:t>序号</w:t>
            </w:r>
          </w:p>
        </w:tc>
        <w:tc>
          <w:tcPr>
            <w:tcW w:w="1414" w:type="dxa"/>
            <w:vAlign w:val="center"/>
          </w:tcPr>
          <w:p w14:paraId="55630E64" w14:textId="77777777" w:rsidR="002E474C" w:rsidRDefault="00000000">
            <w:pPr>
              <w:pStyle w:val="A-"/>
            </w:pPr>
            <w:r>
              <w:t>车间名称</w:t>
            </w:r>
          </w:p>
        </w:tc>
        <w:tc>
          <w:tcPr>
            <w:tcW w:w="1846" w:type="dxa"/>
            <w:vAlign w:val="center"/>
          </w:tcPr>
          <w:p w14:paraId="542BE666" w14:textId="77777777" w:rsidR="002E474C" w:rsidRDefault="00000000">
            <w:pPr>
              <w:pStyle w:val="A-"/>
            </w:pPr>
            <w:r>
              <w:t>设备名称</w:t>
            </w:r>
          </w:p>
        </w:tc>
        <w:tc>
          <w:tcPr>
            <w:tcW w:w="3686" w:type="dxa"/>
            <w:vAlign w:val="center"/>
          </w:tcPr>
          <w:p w14:paraId="3332A941" w14:textId="77777777" w:rsidR="002E474C" w:rsidRDefault="00000000">
            <w:pPr>
              <w:pStyle w:val="A-"/>
            </w:pPr>
            <w:r>
              <w:t>型号规格</w:t>
            </w:r>
          </w:p>
        </w:tc>
        <w:tc>
          <w:tcPr>
            <w:tcW w:w="745" w:type="dxa"/>
            <w:vAlign w:val="center"/>
          </w:tcPr>
          <w:p w14:paraId="3993E00E" w14:textId="77777777" w:rsidR="002E474C" w:rsidRDefault="00000000">
            <w:pPr>
              <w:pStyle w:val="A-"/>
            </w:pPr>
            <w:r>
              <w:t>数量</w:t>
            </w:r>
          </w:p>
        </w:tc>
      </w:tr>
      <w:tr w:rsidR="002E474C" w14:paraId="79085BCD" w14:textId="77777777">
        <w:trPr>
          <w:trHeight w:val="20"/>
        </w:trPr>
        <w:tc>
          <w:tcPr>
            <w:tcW w:w="709" w:type="dxa"/>
            <w:vAlign w:val="center"/>
          </w:tcPr>
          <w:p w14:paraId="28B4A364" w14:textId="77777777" w:rsidR="002E474C" w:rsidRDefault="00000000">
            <w:pPr>
              <w:pStyle w:val="A-"/>
            </w:pPr>
            <w:r>
              <w:t>1</w:t>
            </w:r>
          </w:p>
        </w:tc>
        <w:tc>
          <w:tcPr>
            <w:tcW w:w="1414" w:type="dxa"/>
            <w:vAlign w:val="center"/>
          </w:tcPr>
          <w:p w14:paraId="34ED0D2B" w14:textId="77777777" w:rsidR="002E474C" w:rsidRDefault="00000000">
            <w:pPr>
              <w:pStyle w:val="A-"/>
              <w:ind w:leftChars="-25" w:left="-53" w:rightChars="-25" w:right="-53"/>
            </w:pPr>
            <w:r>
              <w:rPr>
                <w:spacing w:val="-6"/>
              </w:rPr>
              <w:t>硅石、页岩破碎</w:t>
            </w:r>
          </w:p>
        </w:tc>
        <w:tc>
          <w:tcPr>
            <w:tcW w:w="1846" w:type="dxa"/>
            <w:vAlign w:val="center"/>
          </w:tcPr>
          <w:p w14:paraId="051EFC4C" w14:textId="77777777" w:rsidR="002E474C" w:rsidRDefault="00000000">
            <w:pPr>
              <w:pStyle w:val="A-"/>
            </w:pPr>
            <w:r>
              <w:t>锤式破碎机</w:t>
            </w:r>
          </w:p>
        </w:tc>
        <w:tc>
          <w:tcPr>
            <w:tcW w:w="3686" w:type="dxa"/>
            <w:vAlign w:val="center"/>
          </w:tcPr>
          <w:p w14:paraId="10C1A2A4" w14:textId="77777777" w:rsidR="002E474C" w:rsidRDefault="00000000">
            <w:pPr>
              <w:pStyle w:val="A-"/>
            </w:pPr>
            <w:r>
              <w:t>PC1616</w:t>
            </w:r>
          </w:p>
        </w:tc>
        <w:tc>
          <w:tcPr>
            <w:tcW w:w="745" w:type="dxa"/>
            <w:vAlign w:val="center"/>
          </w:tcPr>
          <w:p w14:paraId="6F891570" w14:textId="77777777" w:rsidR="002E474C" w:rsidRDefault="00000000">
            <w:pPr>
              <w:pStyle w:val="A-"/>
            </w:pPr>
            <w:r>
              <w:t>1</w:t>
            </w:r>
          </w:p>
        </w:tc>
      </w:tr>
      <w:tr w:rsidR="002E474C" w14:paraId="72EC9CBF" w14:textId="77777777">
        <w:trPr>
          <w:trHeight w:val="20"/>
        </w:trPr>
        <w:tc>
          <w:tcPr>
            <w:tcW w:w="709" w:type="dxa"/>
            <w:vAlign w:val="center"/>
          </w:tcPr>
          <w:p w14:paraId="50B6B9E3" w14:textId="77777777" w:rsidR="002E474C" w:rsidRDefault="00000000">
            <w:pPr>
              <w:pStyle w:val="A-"/>
            </w:pPr>
            <w:r>
              <w:t>2</w:t>
            </w:r>
          </w:p>
        </w:tc>
        <w:tc>
          <w:tcPr>
            <w:tcW w:w="1414" w:type="dxa"/>
            <w:vAlign w:val="center"/>
          </w:tcPr>
          <w:p w14:paraId="0D062165" w14:textId="77777777" w:rsidR="002E474C" w:rsidRDefault="00000000">
            <w:pPr>
              <w:pStyle w:val="A-"/>
              <w:ind w:leftChars="-25" w:left="-53" w:rightChars="-25" w:right="-53"/>
            </w:pPr>
            <w:r>
              <w:t>原煤预均化库</w:t>
            </w:r>
          </w:p>
        </w:tc>
        <w:tc>
          <w:tcPr>
            <w:tcW w:w="1846" w:type="dxa"/>
            <w:vAlign w:val="center"/>
          </w:tcPr>
          <w:p w14:paraId="3F3BD0B2" w14:textId="77777777" w:rsidR="002E474C" w:rsidRDefault="00000000">
            <w:pPr>
              <w:pStyle w:val="A-"/>
            </w:pPr>
            <w:r>
              <w:t>侧式悬臂堆料机</w:t>
            </w:r>
          </w:p>
        </w:tc>
        <w:tc>
          <w:tcPr>
            <w:tcW w:w="3686" w:type="dxa"/>
            <w:vAlign w:val="center"/>
          </w:tcPr>
          <w:p w14:paraId="74C20E8F" w14:textId="77777777" w:rsidR="002E474C" w:rsidRDefault="00000000">
            <w:pPr>
              <w:pStyle w:val="A-"/>
            </w:pPr>
            <w:r>
              <w:t>堆料能力：</w:t>
            </w:r>
            <w:r>
              <w:t>300 t/h</w:t>
            </w:r>
          </w:p>
        </w:tc>
        <w:tc>
          <w:tcPr>
            <w:tcW w:w="745" w:type="dxa"/>
            <w:vAlign w:val="center"/>
          </w:tcPr>
          <w:p w14:paraId="53B5723E" w14:textId="77777777" w:rsidR="002E474C" w:rsidRDefault="00000000">
            <w:pPr>
              <w:pStyle w:val="A-"/>
            </w:pPr>
            <w:r>
              <w:t>2</w:t>
            </w:r>
          </w:p>
        </w:tc>
      </w:tr>
      <w:tr w:rsidR="002E474C" w14:paraId="4141ECA8" w14:textId="77777777">
        <w:trPr>
          <w:trHeight w:val="20"/>
        </w:trPr>
        <w:tc>
          <w:tcPr>
            <w:tcW w:w="709" w:type="dxa"/>
            <w:vAlign w:val="center"/>
          </w:tcPr>
          <w:p w14:paraId="7A463EA0" w14:textId="77777777" w:rsidR="002E474C" w:rsidRDefault="00000000">
            <w:pPr>
              <w:pStyle w:val="A-"/>
            </w:pPr>
            <w:r>
              <w:t>3</w:t>
            </w:r>
          </w:p>
        </w:tc>
        <w:tc>
          <w:tcPr>
            <w:tcW w:w="1414" w:type="dxa"/>
            <w:vAlign w:val="center"/>
          </w:tcPr>
          <w:p w14:paraId="73DD680C" w14:textId="77777777" w:rsidR="002E474C" w:rsidRDefault="00000000">
            <w:pPr>
              <w:pStyle w:val="A-"/>
            </w:pPr>
            <w:r>
              <w:t>原料磨</w:t>
            </w:r>
          </w:p>
        </w:tc>
        <w:tc>
          <w:tcPr>
            <w:tcW w:w="1846" w:type="dxa"/>
            <w:vAlign w:val="center"/>
          </w:tcPr>
          <w:p w14:paraId="0FED922B" w14:textId="77777777" w:rsidR="002E474C" w:rsidRDefault="00000000">
            <w:pPr>
              <w:pStyle w:val="A-"/>
            </w:pPr>
            <w:r>
              <w:t>辊压机</w:t>
            </w:r>
          </w:p>
        </w:tc>
        <w:tc>
          <w:tcPr>
            <w:tcW w:w="3686" w:type="dxa"/>
            <w:vAlign w:val="center"/>
          </w:tcPr>
          <w:p w14:paraId="280D2E33" w14:textId="77777777" w:rsidR="002E474C" w:rsidRDefault="00000000">
            <w:pPr>
              <w:pStyle w:val="A-"/>
            </w:pPr>
            <w:r>
              <w:t>型号：</w:t>
            </w:r>
            <w:r>
              <w:t>CLF180120-D-SD</w:t>
            </w:r>
          </w:p>
          <w:p w14:paraId="1CB2254F" w14:textId="77777777" w:rsidR="002E474C" w:rsidRDefault="00000000">
            <w:pPr>
              <w:pStyle w:val="A-"/>
            </w:pPr>
            <w:r>
              <w:t>生产能力：</w:t>
            </w:r>
            <w:r>
              <w:t>220 t/h-280 t/h</w:t>
            </w:r>
          </w:p>
        </w:tc>
        <w:tc>
          <w:tcPr>
            <w:tcW w:w="745" w:type="dxa"/>
            <w:vAlign w:val="center"/>
          </w:tcPr>
          <w:p w14:paraId="794E05D0" w14:textId="77777777" w:rsidR="002E474C" w:rsidRDefault="00000000">
            <w:pPr>
              <w:pStyle w:val="A-"/>
            </w:pPr>
            <w:r>
              <w:t>2</w:t>
            </w:r>
          </w:p>
        </w:tc>
      </w:tr>
      <w:tr w:rsidR="002E474C" w14:paraId="4D302B05" w14:textId="77777777">
        <w:trPr>
          <w:trHeight w:val="20"/>
        </w:trPr>
        <w:tc>
          <w:tcPr>
            <w:tcW w:w="709" w:type="dxa"/>
            <w:vAlign w:val="center"/>
          </w:tcPr>
          <w:p w14:paraId="1920B8AF" w14:textId="77777777" w:rsidR="002E474C" w:rsidRDefault="00000000">
            <w:pPr>
              <w:pStyle w:val="A-"/>
            </w:pPr>
            <w:r>
              <w:t>4</w:t>
            </w:r>
          </w:p>
        </w:tc>
        <w:tc>
          <w:tcPr>
            <w:tcW w:w="1414" w:type="dxa"/>
            <w:vAlign w:val="center"/>
          </w:tcPr>
          <w:p w14:paraId="1759C846" w14:textId="77777777" w:rsidR="002E474C" w:rsidRDefault="00000000">
            <w:pPr>
              <w:pStyle w:val="A-"/>
            </w:pPr>
            <w:r>
              <w:t>电石渣烘干</w:t>
            </w:r>
            <w:r>
              <w:lastRenderedPageBreak/>
              <w:t>破碎</w:t>
            </w:r>
          </w:p>
        </w:tc>
        <w:tc>
          <w:tcPr>
            <w:tcW w:w="1846" w:type="dxa"/>
            <w:vAlign w:val="center"/>
          </w:tcPr>
          <w:p w14:paraId="6A64EFD5" w14:textId="77777777" w:rsidR="002E474C" w:rsidRDefault="00000000">
            <w:pPr>
              <w:pStyle w:val="A-"/>
            </w:pPr>
            <w:r>
              <w:lastRenderedPageBreak/>
              <w:t>破碎机</w:t>
            </w:r>
          </w:p>
        </w:tc>
        <w:tc>
          <w:tcPr>
            <w:tcW w:w="3686" w:type="dxa"/>
            <w:vAlign w:val="center"/>
          </w:tcPr>
          <w:p w14:paraId="3D51A661" w14:textId="77777777" w:rsidR="002E474C" w:rsidRDefault="00000000">
            <w:pPr>
              <w:pStyle w:val="A-"/>
            </w:pPr>
            <w:r>
              <w:t>PCG4225 Ф4250mm</w:t>
            </w:r>
          </w:p>
          <w:p w14:paraId="0068B594" w14:textId="77777777" w:rsidR="002E474C" w:rsidRDefault="00000000">
            <w:pPr>
              <w:pStyle w:val="A-"/>
            </w:pPr>
            <w:r>
              <w:lastRenderedPageBreak/>
              <w:t>生产能力</w:t>
            </w:r>
            <w:r>
              <w:t>100 t/h</w:t>
            </w:r>
            <w:r>
              <w:t>（干粉）</w:t>
            </w:r>
          </w:p>
        </w:tc>
        <w:tc>
          <w:tcPr>
            <w:tcW w:w="745" w:type="dxa"/>
            <w:vAlign w:val="center"/>
          </w:tcPr>
          <w:p w14:paraId="4C0A962D" w14:textId="77777777" w:rsidR="002E474C" w:rsidRDefault="00000000">
            <w:pPr>
              <w:pStyle w:val="A-"/>
            </w:pPr>
            <w:r>
              <w:lastRenderedPageBreak/>
              <w:t>2</w:t>
            </w:r>
          </w:p>
        </w:tc>
      </w:tr>
      <w:tr w:rsidR="002E474C" w14:paraId="03B70BEA" w14:textId="77777777">
        <w:trPr>
          <w:trHeight w:val="20"/>
        </w:trPr>
        <w:tc>
          <w:tcPr>
            <w:tcW w:w="709" w:type="dxa"/>
            <w:vAlign w:val="center"/>
          </w:tcPr>
          <w:p w14:paraId="4BEF2B8B" w14:textId="77777777" w:rsidR="002E474C" w:rsidRDefault="00000000">
            <w:pPr>
              <w:pStyle w:val="A-"/>
            </w:pPr>
            <w:r>
              <w:t>5</w:t>
            </w:r>
          </w:p>
        </w:tc>
        <w:tc>
          <w:tcPr>
            <w:tcW w:w="1414" w:type="dxa"/>
            <w:vAlign w:val="center"/>
          </w:tcPr>
          <w:p w14:paraId="31664D56" w14:textId="77777777" w:rsidR="002E474C" w:rsidRDefault="00000000">
            <w:pPr>
              <w:pStyle w:val="A-"/>
            </w:pPr>
            <w:r>
              <w:t>窑尾</w:t>
            </w:r>
          </w:p>
        </w:tc>
        <w:tc>
          <w:tcPr>
            <w:tcW w:w="1846" w:type="dxa"/>
            <w:vAlign w:val="center"/>
          </w:tcPr>
          <w:p w14:paraId="3CB1ADEA" w14:textId="77777777" w:rsidR="002E474C" w:rsidRDefault="00000000">
            <w:pPr>
              <w:pStyle w:val="A-"/>
            </w:pPr>
            <w:r>
              <w:t>四级预热预分解系统</w:t>
            </w:r>
            <w:r>
              <w:t>CDCR</w:t>
            </w:r>
            <w:r>
              <w:t>分解炉</w:t>
            </w:r>
          </w:p>
        </w:tc>
        <w:tc>
          <w:tcPr>
            <w:tcW w:w="3686" w:type="dxa"/>
            <w:vAlign w:val="center"/>
          </w:tcPr>
          <w:p w14:paraId="0769C367" w14:textId="77777777" w:rsidR="002E474C" w:rsidRDefault="00000000">
            <w:pPr>
              <w:pStyle w:val="A-"/>
            </w:pPr>
            <w:r>
              <w:t>生产能力</w:t>
            </w:r>
            <w:r>
              <w:t>5000 t/d</w:t>
            </w:r>
          </w:p>
        </w:tc>
        <w:tc>
          <w:tcPr>
            <w:tcW w:w="745" w:type="dxa"/>
            <w:vAlign w:val="center"/>
          </w:tcPr>
          <w:p w14:paraId="7F79EE47" w14:textId="77777777" w:rsidR="002E474C" w:rsidRDefault="00000000">
            <w:pPr>
              <w:pStyle w:val="A-"/>
            </w:pPr>
            <w:r>
              <w:t>1</w:t>
            </w:r>
          </w:p>
        </w:tc>
      </w:tr>
      <w:tr w:rsidR="002E474C" w14:paraId="5B0CC2EF" w14:textId="77777777">
        <w:trPr>
          <w:trHeight w:val="20"/>
        </w:trPr>
        <w:tc>
          <w:tcPr>
            <w:tcW w:w="709" w:type="dxa"/>
            <w:vAlign w:val="center"/>
          </w:tcPr>
          <w:p w14:paraId="2050B5B3" w14:textId="77777777" w:rsidR="002E474C" w:rsidRDefault="00000000">
            <w:pPr>
              <w:pStyle w:val="A-"/>
            </w:pPr>
            <w:r>
              <w:t>6</w:t>
            </w:r>
          </w:p>
        </w:tc>
        <w:tc>
          <w:tcPr>
            <w:tcW w:w="1414" w:type="dxa"/>
            <w:vMerge w:val="restart"/>
            <w:vAlign w:val="center"/>
          </w:tcPr>
          <w:p w14:paraId="53575584" w14:textId="77777777" w:rsidR="002E474C" w:rsidRDefault="00000000">
            <w:pPr>
              <w:pStyle w:val="A-"/>
            </w:pPr>
            <w:r>
              <w:t>窑尾废气</w:t>
            </w:r>
          </w:p>
          <w:p w14:paraId="5878795A" w14:textId="77777777" w:rsidR="002E474C" w:rsidRDefault="00000000">
            <w:pPr>
              <w:pStyle w:val="A-"/>
            </w:pPr>
            <w:r>
              <w:t>处理</w:t>
            </w:r>
          </w:p>
        </w:tc>
        <w:tc>
          <w:tcPr>
            <w:tcW w:w="1846" w:type="dxa"/>
            <w:tcMar>
              <w:left w:w="0" w:type="dxa"/>
              <w:right w:w="0" w:type="dxa"/>
            </w:tcMar>
            <w:vAlign w:val="center"/>
          </w:tcPr>
          <w:p w14:paraId="20D447B7" w14:textId="77777777" w:rsidR="002E474C" w:rsidRDefault="00000000">
            <w:pPr>
              <w:pStyle w:val="A-"/>
            </w:pPr>
            <w:r>
              <w:t>预热器高温风机</w:t>
            </w:r>
          </w:p>
        </w:tc>
        <w:tc>
          <w:tcPr>
            <w:tcW w:w="3686" w:type="dxa"/>
            <w:vAlign w:val="center"/>
          </w:tcPr>
          <w:p w14:paraId="0ACFFF0A" w14:textId="77777777" w:rsidR="002E474C" w:rsidRDefault="00000000">
            <w:pPr>
              <w:pStyle w:val="A-"/>
            </w:pPr>
            <w:r>
              <w:t>风量</w:t>
            </w:r>
            <w:r>
              <w:t>980000</w:t>
            </w:r>
            <w:r>
              <w:rPr>
                <w:rFonts w:hint="eastAsia"/>
              </w:rPr>
              <w:t>m</w:t>
            </w:r>
            <w:r>
              <w:rPr>
                <w:rFonts w:hint="eastAsia"/>
              </w:rPr>
              <w:t>³</w:t>
            </w:r>
            <w:r>
              <w:t>/h</w:t>
            </w:r>
            <w:r>
              <w:t>；风压</w:t>
            </w:r>
            <w:r>
              <w:t>7800Pa</w:t>
            </w:r>
          </w:p>
        </w:tc>
        <w:tc>
          <w:tcPr>
            <w:tcW w:w="745" w:type="dxa"/>
            <w:vAlign w:val="center"/>
          </w:tcPr>
          <w:p w14:paraId="6877E804" w14:textId="77777777" w:rsidR="002E474C" w:rsidRDefault="00000000">
            <w:pPr>
              <w:pStyle w:val="A-"/>
            </w:pPr>
            <w:r>
              <w:t>1</w:t>
            </w:r>
          </w:p>
        </w:tc>
      </w:tr>
      <w:tr w:rsidR="002E474C" w14:paraId="0479D254" w14:textId="77777777">
        <w:trPr>
          <w:trHeight w:val="20"/>
        </w:trPr>
        <w:tc>
          <w:tcPr>
            <w:tcW w:w="709" w:type="dxa"/>
            <w:vAlign w:val="center"/>
          </w:tcPr>
          <w:p w14:paraId="139F30BB" w14:textId="77777777" w:rsidR="002E474C" w:rsidRDefault="00000000">
            <w:pPr>
              <w:pStyle w:val="A-"/>
            </w:pPr>
            <w:r>
              <w:t>7</w:t>
            </w:r>
          </w:p>
        </w:tc>
        <w:tc>
          <w:tcPr>
            <w:tcW w:w="1414" w:type="dxa"/>
            <w:vMerge/>
            <w:vAlign w:val="center"/>
          </w:tcPr>
          <w:p w14:paraId="5D1D2A9B" w14:textId="77777777" w:rsidR="002E474C" w:rsidRDefault="002E474C">
            <w:pPr>
              <w:pStyle w:val="A-"/>
            </w:pPr>
          </w:p>
        </w:tc>
        <w:tc>
          <w:tcPr>
            <w:tcW w:w="1846" w:type="dxa"/>
            <w:vAlign w:val="center"/>
          </w:tcPr>
          <w:p w14:paraId="42F870BF" w14:textId="77777777" w:rsidR="002E474C" w:rsidRDefault="00000000">
            <w:pPr>
              <w:pStyle w:val="A-"/>
            </w:pPr>
            <w:r>
              <w:t>KDM</w:t>
            </w:r>
            <w:r>
              <w:t>型行喷脉冲袋式除尘器</w:t>
            </w:r>
          </w:p>
        </w:tc>
        <w:tc>
          <w:tcPr>
            <w:tcW w:w="3686" w:type="dxa"/>
            <w:vAlign w:val="center"/>
          </w:tcPr>
          <w:p w14:paraId="500A3391" w14:textId="77777777" w:rsidR="002E474C" w:rsidRDefault="00000000">
            <w:pPr>
              <w:pStyle w:val="A-"/>
            </w:pPr>
            <w:r>
              <w:t>型号：</w:t>
            </w:r>
            <w:r>
              <w:t>KDM240-2×12</w:t>
            </w:r>
            <w:r>
              <w:rPr>
                <w:rFonts w:hint="eastAsia"/>
              </w:rPr>
              <w:t xml:space="preserve">  </w:t>
            </w:r>
            <w:r>
              <w:t>处理风量：</w:t>
            </w:r>
            <w:r>
              <w:t>960000m3/h</w:t>
            </w:r>
            <w:r>
              <w:t>，总过滤面积：</w:t>
            </w:r>
            <w:r>
              <w:t>18720m</w:t>
            </w:r>
            <w:r>
              <w:rPr>
                <w:vertAlign w:val="superscript"/>
              </w:rPr>
              <w:t>2</w:t>
            </w:r>
            <w:r>
              <w:t xml:space="preserve">  </w:t>
            </w:r>
            <w:r>
              <w:t>净过滤面积：</w:t>
            </w:r>
            <w:r>
              <w:t>17940m</w:t>
            </w:r>
            <w:r>
              <w:rPr>
                <w:vertAlign w:val="superscript"/>
              </w:rPr>
              <w:t>2</w:t>
            </w:r>
            <w:r>
              <w:t>气体含尘浓度：进口</w:t>
            </w:r>
            <w:r>
              <w:t>&lt;100g/m</w:t>
            </w:r>
            <w:r>
              <w:rPr>
                <w:vertAlign w:val="superscript"/>
              </w:rPr>
              <w:t>3</w:t>
            </w:r>
            <w:r>
              <w:t xml:space="preserve">  </w:t>
            </w:r>
            <w:r>
              <w:t>出口</w:t>
            </w:r>
            <w:r>
              <w:t>&lt;30mg/m</w:t>
            </w:r>
            <w:r>
              <w:rPr>
                <w:vertAlign w:val="superscript"/>
              </w:rPr>
              <w:t>3</w:t>
            </w:r>
          </w:p>
        </w:tc>
        <w:tc>
          <w:tcPr>
            <w:tcW w:w="745" w:type="dxa"/>
            <w:vAlign w:val="center"/>
          </w:tcPr>
          <w:p w14:paraId="326915E5" w14:textId="77777777" w:rsidR="002E474C" w:rsidRDefault="00000000">
            <w:pPr>
              <w:pStyle w:val="A-"/>
            </w:pPr>
            <w:r>
              <w:t>1</w:t>
            </w:r>
          </w:p>
        </w:tc>
      </w:tr>
      <w:tr w:rsidR="002E474C" w14:paraId="3B091FAE" w14:textId="77777777">
        <w:trPr>
          <w:trHeight w:val="20"/>
        </w:trPr>
        <w:tc>
          <w:tcPr>
            <w:tcW w:w="709" w:type="dxa"/>
            <w:vAlign w:val="center"/>
          </w:tcPr>
          <w:p w14:paraId="508695B7" w14:textId="77777777" w:rsidR="002E474C" w:rsidRDefault="00000000">
            <w:pPr>
              <w:pStyle w:val="A-"/>
            </w:pPr>
            <w:r>
              <w:t>8</w:t>
            </w:r>
          </w:p>
        </w:tc>
        <w:tc>
          <w:tcPr>
            <w:tcW w:w="1414" w:type="dxa"/>
            <w:vMerge/>
            <w:vAlign w:val="center"/>
          </w:tcPr>
          <w:p w14:paraId="562A65F8" w14:textId="77777777" w:rsidR="002E474C" w:rsidRDefault="002E474C">
            <w:pPr>
              <w:pStyle w:val="A-"/>
            </w:pPr>
          </w:p>
        </w:tc>
        <w:tc>
          <w:tcPr>
            <w:tcW w:w="1846" w:type="dxa"/>
            <w:vAlign w:val="center"/>
          </w:tcPr>
          <w:p w14:paraId="3396C8CA" w14:textId="77777777" w:rsidR="002E474C" w:rsidRDefault="00000000">
            <w:pPr>
              <w:pStyle w:val="A-"/>
            </w:pPr>
            <w:r>
              <w:t>排风机</w:t>
            </w:r>
          </w:p>
        </w:tc>
        <w:tc>
          <w:tcPr>
            <w:tcW w:w="3686" w:type="dxa"/>
            <w:vAlign w:val="center"/>
          </w:tcPr>
          <w:p w14:paraId="3AA1C43A" w14:textId="77777777" w:rsidR="002E474C" w:rsidRDefault="00000000">
            <w:pPr>
              <w:pStyle w:val="A-"/>
            </w:pPr>
            <w:r>
              <w:t>型号：</w:t>
            </w:r>
            <w:r>
              <w:t xml:space="preserve">XY4J-DY2600F  </w:t>
            </w:r>
          </w:p>
          <w:p w14:paraId="6AF1AC8D" w14:textId="77777777" w:rsidR="002E474C" w:rsidRDefault="00000000">
            <w:pPr>
              <w:pStyle w:val="A-"/>
            </w:pPr>
            <w:r>
              <w:t>风量：</w:t>
            </w:r>
            <w:r>
              <w:t xml:space="preserve">980000m³/h  </w:t>
            </w:r>
            <w:r>
              <w:t>全压：</w:t>
            </w:r>
            <w:r>
              <w:t>4600Pa</w:t>
            </w:r>
          </w:p>
        </w:tc>
        <w:tc>
          <w:tcPr>
            <w:tcW w:w="745" w:type="dxa"/>
            <w:vAlign w:val="center"/>
          </w:tcPr>
          <w:p w14:paraId="54758200" w14:textId="77777777" w:rsidR="002E474C" w:rsidRDefault="00000000">
            <w:pPr>
              <w:pStyle w:val="A-"/>
            </w:pPr>
            <w:r>
              <w:t>1</w:t>
            </w:r>
          </w:p>
        </w:tc>
      </w:tr>
      <w:tr w:rsidR="002E474C" w14:paraId="45E3146D" w14:textId="77777777">
        <w:trPr>
          <w:trHeight w:val="20"/>
        </w:trPr>
        <w:tc>
          <w:tcPr>
            <w:tcW w:w="709" w:type="dxa"/>
            <w:vAlign w:val="center"/>
          </w:tcPr>
          <w:p w14:paraId="68111C57" w14:textId="77777777" w:rsidR="002E474C" w:rsidRDefault="00000000">
            <w:pPr>
              <w:pStyle w:val="A-"/>
            </w:pPr>
            <w:r>
              <w:t>9</w:t>
            </w:r>
          </w:p>
        </w:tc>
        <w:tc>
          <w:tcPr>
            <w:tcW w:w="1414" w:type="dxa"/>
            <w:vAlign w:val="center"/>
          </w:tcPr>
          <w:p w14:paraId="73793668" w14:textId="77777777" w:rsidR="002E474C" w:rsidRDefault="00000000">
            <w:pPr>
              <w:pStyle w:val="A-"/>
            </w:pPr>
            <w:r>
              <w:t>窑中</w:t>
            </w:r>
          </w:p>
        </w:tc>
        <w:tc>
          <w:tcPr>
            <w:tcW w:w="1846" w:type="dxa"/>
            <w:vAlign w:val="center"/>
          </w:tcPr>
          <w:p w14:paraId="0C2916D7" w14:textId="77777777" w:rsidR="002E474C" w:rsidRDefault="00000000">
            <w:pPr>
              <w:pStyle w:val="A-"/>
            </w:pPr>
            <w:r>
              <w:t>Φ4.8×74m</w:t>
            </w:r>
            <w:r>
              <w:t>回转窑</w:t>
            </w:r>
          </w:p>
        </w:tc>
        <w:tc>
          <w:tcPr>
            <w:tcW w:w="3686" w:type="dxa"/>
            <w:vAlign w:val="center"/>
          </w:tcPr>
          <w:p w14:paraId="1F5DEEAE" w14:textId="77777777" w:rsidR="002E474C" w:rsidRDefault="00000000">
            <w:pPr>
              <w:pStyle w:val="A-"/>
            </w:pPr>
            <w:r>
              <w:t>5000t/d</w:t>
            </w:r>
          </w:p>
        </w:tc>
        <w:tc>
          <w:tcPr>
            <w:tcW w:w="745" w:type="dxa"/>
            <w:vAlign w:val="center"/>
          </w:tcPr>
          <w:p w14:paraId="719A4201" w14:textId="77777777" w:rsidR="002E474C" w:rsidRDefault="00000000">
            <w:pPr>
              <w:pStyle w:val="A-"/>
            </w:pPr>
            <w:r>
              <w:t>1</w:t>
            </w:r>
          </w:p>
        </w:tc>
      </w:tr>
      <w:tr w:rsidR="002E474C" w14:paraId="470BD94A" w14:textId="77777777">
        <w:trPr>
          <w:trHeight w:val="20"/>
        </w:trPr>
        <w:tc>
          <w:tcPr>
            <w:tcW w:w="709" w:type="dxa"/>
            <w:vAlign w:val="center"/>
          </w:tcPr>
          <w:p w14:paraId="33938160" w14:textId="77777777" w:rsidR="002E474C" w:rsidRDefault="00000000">
            <w:pPr>
              <w:pStyle w:val="A-"/>
            </w:pPr>
            <w:r>
              <w:t>10</w:t>
            </w:r>
          </w:p>
        </w:tc>
        <w:tc>
          <w:tcPr>
            <w:tcW w:w="1414" w:type="dxa"/>
            <w:vMerge w:val="restart"/>
            <w:vAlign w:val="center"/>
          </w:tcPr>
          <w:p w14:paraId="3CD7094E" w14:textId="77777777" w:rsidR="002E474C" w:rsidRDefault="00000000">
            <w:pPr>
              <w:pStyle w:val="A-"/>
            </w:pPr>
            <w:r>
              <w:t>窑头及熟料冷却</w:t>
            </w:r>
          </w:p>
        </w:tc>
        <w:tc>
          <w:tcPr>
            <w:tcW w:w="1846" w:type="dxa"/>
            <w:vAlign w:val="center"/>
          </w:tcPr>
          <w:p w14:paraId="208CCF7A" w14:textId="77777777" w:rsidR="002E474C" w:rsidRDefault="00000000">
            <w:pPr>
              <w:pStyle w:val="A-"/>
            </w:pPr>
            <w:r>
              <w:t>篦式冷却机</w:t>
            </w:r>
          </w:p>
        </w:tc>
        <w:tc>
          <w:tcPr>
            <w:tcW w:w="3686" w:type="dxa"/>
            <w:vAlign w:val="center"/>
          </w:tcPr>
          <w:p w14:paraId="55004280" w14:textId="77777777" w:rsidR="002E474C" w:rsidRDefault="00000000">
            <w:pPr>
              <w:pStyle w:val="A-"/>
            </w:pPr>
            <w:r>
              <w:t>型号</w:t>
            </w:r>
            <w:r>
              <w:t xml:space="preserve">: LBF6000(W10-L10-L16) </w:t>
            </w:r>
          </w:p>
          <w:p w14:paraId="060417C6" w14:textId="77777777" w:rsidR="002E474C" w:rsidRDefault="00000000">
            <w:pPr>
              <w:pStyle w:val="A-"/>
            </w:pPr>
            <w:r>
              <w:t>生产能力：</w:t>
            </w:r>
            <w:r>
              <w:t xml:space="preserve"> 5500~5800t/d</w:t>
            </w:r>
          </w:p>
          <w:p w14:paraId="6610B04A" w14:textId="77777777" w:rsidR="002E474C" w:rsidRDefault="00000000">
            <w:pPr>
              <w:pStyle w:val="A-"/>
            </w:pPr>
            <w:r>
              <w:t>篦床面积</w:t>
            </w:r>
            <w:r>
              <w:t>:131m</w:t>
            </w:r>
            <w:r>
              <w:rPr>
                <w:vertAlign w:val="superscript"/>
              </w:rPr>
              <w:t>2</w:t>
            </w:r>
          </w:p>
        </w:tc>
        <w:tc>
          <w:tcPr>
            <w:tcW w:w="745" w:type="dxa"/>
            <w:vAlign w:val="center"/>
          </w:tcPr>
          <w:p w14:paraId="2947EAEA" w14:textId="77777777" w:rsidR="002E474C" w:rsidRDefault="00000000">
            <w:pPr>
              <w:pStyle w:val="A-"/>
            </w:pPr>
            <w:r>
              <w:t>1</w:t>
            </w:r>
          </w:p>
        </w:tc>
      </w:tr>
      <w:tr w:rsidR="002E474C" w14:paraId="3748FB04" w14:textId="77777777">
        <w:trPr>
          <w:trHeight w:val="20"/>
        </w:trPr>
        <w:tc>
          <w:tcPr>
            <w:tcW w:w="709" w:type="dxa"/>
            <w:vAlign w:val="center"/>
          </w:tcPr>
          <w:p w14:paraId="2C9BD442" w14:textId="77777777" w:rsidR="002E474C" w:rsidRDefault="00000000">
            <w:pPr>
              <w:pStyle w:val="A-"/>
            </w:pPr>
            <w:r>
              <w:t>11</w:t>
            </w:r>
          </w:p>
        </w:tc>
        <w:tc>
          <w:tcPr>
            <w:tcW w:w="1414" w:type="dxa"/>
            <w:vMerge/>
            <w:vAlign w:val="center"/>
          </w:tcPr>
          <w:p w14:paraId="712AC2C9" w14:textId="77777777" w:rsidR="002E474C" w:rsidRDefault="002E474C">
            <w:pPr>
              <w:pStyle w:val="A-"/>
            </w:pPr>
          </w:p>
        </w:tc>
        <w:tc>
          <w:tcPr>
            <w:tcW w:w="1846" w:type="dxa"/>
            <w:vAlign w:val="center"/>
          </w:tcPr>
          <w:p w14:paraId="107F9EEB" w14:textId="77777777" w:rsidR="002E474C" w:rsidRDefault="00000000">
            <w:pPr>
              <w:pStyle w:val="A-"/>
            </w:pPr>
            <w:r>
              <w:t>多通道喷煤管</w:t>
            </w:r>
          </w:p>
        </w:tc>
        <w:tc>
          <w:tcPr>
            <w:tcW w:w="3686" w:type="dxa"/>
            <w:vAlign w:val="center"/>
          </w:tcPr>
          <w:p w14:paraId="0B0067A1" w14:textId="77777777" w:rsidR="002E474C" w:rsidRDefault="00000000">
            <w:pPr>
              <w:pStyle w:val="A-"/>
            </w:pPr>
            <w:r>
              <w:t>型号</w:t>
            </w:r>
            <w:r>
              <w:t>: DC50-00</w:t>
            </w:r>
            <w:r>
              <w:t>正常喂料量：</w:t>
            </w:r>
            <w:r>
              <w:t>16t/h</w:t>
            </w:r>
          </w:p>
        </w:tc>
        <w:tc>
          <w:tcPr>
            <w:tcW w:w="745" w:type="dxa"/>
            <w:vAlign w:val="center"/>
          </w:tcPr>
          <w:p w14:paraId="29943F31" w14:textId="77777777" w:rsidR="002E474C" w:rsidRDefault="00000000">
            <w:pPr>
              <w:pStyle w:val="A-"/>
            </w:pPr>
            <w:r>
              <w:t>1</w:t>
            </w:r>
          </w:p>
        </w:tc>
      </w:tr>
      <w:tr w:rsidR="002E474C" w14:paraId="45F51790" w14:textId="77777777">
        <w:trPr>
          <w:trHeight w:val="20"/>
        </w:trPr>
        <w:tc>
          <w:tcPr>
            <w:tcW w:w="709" w:type="dxa"/>
            <w:vAlign w:val="center"/>
          </w:tcPr>
          <w:p w14:paraId="05D2957C" w14:textId="77777777" w:rsidR="002E474C" w:rsidRDefault="00000000">
            <w:pPr>
              <w:pStyle w:val="A-"/>
            </w:pPr>
            <w:r>
              <w:t>12</w:t>
            </w:r>
          </w:p>
        </w:tc>
        <w:tc>
          <w:tcPr>
            <w:tcW w:w="1414" w:type="dxa"/>
            <w:vMerge w:val="restart"/>
            <w:vAlign w:val="center"/>
          </w:tcPr>
          <w:p w14:paraId="7ABD5F08" w14:textId="77777777" w:rsidR="002E474C" w:rsidRDefault="00000000">
            <w:pPr>
              <w:pStyle w:val="A-"/>
            </w:pPr>
            <w:r>
              <w:t>窑头废气</w:t>
            </w:r>
          </w:p>
          <w:p w14:paraId="4DF39D75" w14:textId="77777777" w:rsidR="002E474C" w:rsidRDefault="00000000">
            <w:pPr>
              <w:pStyle w:val="A-"/>
            </w:pPr>
            <w:r>
              <w:t>处理</w:t>
            </w:r>
          </w:p>
        </w:tc>
        <w:tc>
          <w:tcPr>
            <w:tcW w:w="1846" w:type="dxa"/>
            <w:vAlign w:val="center"/>
          </w:tcPr>
          <w:p w14:paraId="15EC6C8B" w14:textId="77777777" w:rsidR="002E474C" w:rsidRDefault="00000000">
            <w:pPr>
              <w:pStyle w:val="A-"/>
              <w:ind w:leftChars="-25" w:left="-53" w:rightChars="-25" w:right="-53"/>
            </w:pPr>
            <w:r>
              <w:t>窑头废气电袋收尘</w:t>
            </w:r>
          </w:p>
        </w:tc>
        <w:tc>
          <w:tcPr>
            <w:tcW w:w="3686" w:type="dxa"/>
            <w:vAlign w:val="center"/>
          </w:tcPr>
          <w:p w14:paraId="2A0CDE93" w14:textId="77777777" w:rsidR="002E474C" w:rsidRDefault="00000000">
            <w:pPr>
              <w:pStyle w:val="A-"/>
            </w:pPr>
            <w:r>
              <w:t>2</w:t>
            </w:r>
            <w:r>
              <w:t>电场</w:t>
            </w:r>
            <w:r>
              <w:t>+</w:t>
            </w:r>
            <w:r>
              <w:t>耐高温滤袋</w:t>
            </w:r>
          </w:p>
        </w:tc>
        <w:tc>
          <w:tcPr>
            <w:tcW w:w="745" w:type="dxa"/>
            <w:vAlign w:val="center"/>
          </w:tcPr>
          <w:p w14:paraId="4AC36B38" w14:textId="77777777" w:rsidR="002E474C" w:rsidRDefault="00000000">
            <w:pPr>
              <w:pStyle w:val="A-"/>
            </w:pPr>
            <w:r>
              <w:t>1</w:t>
            </w:r>
          </w:p>
        </w:tc>
      </w:tr>
      <w:tr w:rsidR="002E474C" w14:paraId="5BF56A07" w14:textId="77777777">
        <w:trPr>
          <w:trHeight w:val="20"/>
        </w:trPr>
        <w:tc>
          <w:tcPr>
            <w:tcW w:w="709" w:type="dxa"/>
            <w:vAlign w:val="center"/>
          </w:tcPr>
          <w:p w14:paraId="6695CF72" w14:textId="77777777" w:rsidR="002E474C" w:rsidRDefault="00000000">
            <w:pPr>
              <w:pStyle w:val="A-"/>
            </w:pPr>
            <w:r>
              <w:t>13</w:t>
            </w:r>
          </w:p>
        </w:tc>
        <w:tc>
          <w:tcPr>
            <w:tcW w:w="1414" w:type="dxa"/>
            <w:vMerge/>
            <w:vAlign w:val="center"/>
          </w:tcPr>
          <w:p w14:paraId="1C4423FB" w14:textId="77777777" w:rsidR="002E474C" w:rsidRDefault="002E474C">
            <w:pPr>
              <w:pStyle w:val="A-"/>
            </w:pPr>
          </w:p>
        </w:tc>
        <w:tc>
          <w:tcPr>
            <w:tcW w:w="1846" w:type="dxa"/>
            <w:vAlign w:val="center"/>
          </w:tcPr>
          <w:p w14:paraId="7D25064F" w14:textId="77777777" w:rsidR="002E474C" w:rsidRDefault="00000000">
            <w:pPr>
              <w:pStyle w:val="A-"/>
            </w:pPr>
            <w:r>
              <w:t>窑头引风机</w:t>
            </w:r>
          </w:p>
        </w:tc>
        <w:tc>
          <w:tcPr>
            <w:tcW w:w="3686" w:type="dxa"/>
            <w:vAlign w:val="center"/>
          </w:tcPr>
          <w:p w14:paraId="106FF266" w14:textId="77777777" w:rsidR="002E474C" w:rsidRDefault="00000000">
            <w:pPr>
              <w:pStyle w:val="A-"/>
            </w:pPr>
            <w:r>
              <w:t>流量：</w:t>
            </w:r>
            <w:r>
              <w:t>620000m3/h(</w:t>
            </w:r>
            <w:r>
              <w:t>预热发电关</w:t>
            </w:r>
            <w:r>
              <w:t xml:space="preserve">)  </w:t>
            </w:r>
          </w:p>
          <w:p w14:paraId="31B2E389" w14:textId="77777777" w:rsidR="002E474C" w:rsidRDefault="00000000">
            <w:pPr>
              <w:pStyle w:val="A-"/>
            </w:pPr>
            <w:r>
              <w:t>全压：</w:t>
            </w:r>
            <w:r>
              <w:t>2800Pa</w:t>
            </w:r>
          </w:p>
        </w:tc>
        <w:tc>
          <w:tcPr>
            <w:tcW w:w="745" w:type="dxa"/>
            <w:vAlign w:val="center"/>
          </w:tcPr>
          <w:p w14:paraId="36CFC641" w14:textId="77777777" w:rsidR="002E474C" w:rsidRDefault="00000000">
            <w:pPr>
              <w:pStyle w:val="A-"/>
            </w:pPr>
            <w:r>
              <w:t>1</w:t>
            </w:r>
          </w:p>
        </w:tc>
      </w:tr>
      <w:tr w:rsidR="002E474C" w14:paraId="30C6D9A3" w14:textId="77777777">
        <w:trPr>
          <w:trHeight w:val="20"/>
        </w:trPr>
        <w:tc>
          <w:tcPr>
            <w:tcW w:w="709" w:type="dxa"/>
            <w:vAlign w:val="center"/>
          </w:tcPr>
          <w:p w14:paraId="70F17425" w14:textId="77777777" w:rsidR="002E474C" w:rsidRDefault="00000000">
            <w:pPr>
              <w:pStyle w:val="A-"/>
            </w:pPr>
            <w:r>
              <w:t>14</w:t>
            </w:r>
          </w:p>
        </w:tc>
        <w:tc>
          <w:tcPr>
            <w:tcW w:w="1414" w:type="dxa"/>
            <w:vAlign w:val="center"/>
          </w:tcPr>
          <w:p w14:paraId="7A0194F7" w14:textId="77777777" w:rsidR="002E474C" w:rsidRDefault="00000000">
            <w:pPr>
              <w:pStyle w:val="A-"/>
            </w:pPr>
            <w:r>
              <w:t>煤粉制备</w:t>
            </w:r>
          </w:p>
        </w:tc>
        <w:tc>
          <w:tcPr>
            <w:tcW w:w="1846" w:type="dxa"/>
            <w:vAlign w:val="center"/>
          </w:tcPr>
          <w:p w14:paraId="29BCCCBB" w14:textId="77777777" w:rsidR="002E474C" w:rsidRDefault="00000000">
            <w:pPr>
              <w:pStyle w:val="A-"/>
            </w:pPr>
            <w:r>
              <w:t>煤磨</w:t>
            </w:r>
            <w:r>
              <w:t>(</w:t>
            </w:r>
            <w:r>
              <w:t>风扫式球磨</w:t>
            </w:r>
            <w:r>
              <w:t>)</w:t>
            </w:r>
          </w:p>
        </w:tc>
        <w:tc>
          <w:tcPr>
            <w:tcW w:w="3686" w:type="dxa"/>
            <w:vAlign w:val="center"/>
          </w:tcPr>
          <w:p w14:paraId="4B06E54B" w14:textId="77777777" w:rsidR="002E474C" w:rsidRDefault="00000000">
            <w:pPr>
              <w:pStyle w:val="A-"/>
            </w:pPr>
            <w:r>
              <w:t>规格：</w:t>
            </w:r>
            <w:r>
              <w:t>Ø 3.8×</w:t>
            </w:r>
            <w:r>
              <w:t>（</w:t>
            </w:r>
            <w:r>
              <w:t>8.75+3.5</w:t>
            </w:r>
            <w:r>
              <w:t>）</w:t>
            </w:r>
            <w:r>
              <w:t>m</w:t>
            </w:r>
          </w:p>
          <w:p w14:paraId="62975366" w14:textId="77777777" w:rsidR="002E474C" w:rsidRDefault="00000000">
            <w:pPr>
              <w:pStyle w:val="A-"/>
            </w:pPr>
            <w:r>
              <w:t>生产能力：</w:t>
            </w:r>
            <w:r>
              <w:t>40</w:t>
            </w:r>
            <w:r>
              <w:t>～</w:t>
            </w:r>
            <w:r>
              <w:t xml:space="preserve">48t/h </w:t>
            </w:r>
            <w:r>
              <w:t>出磨成平细度方孔筛：</w:t>
            </w:r>
            <w:r>
              <w:t>80um</w:t>
            </w:r>
            <w:r>
              <w:t>筛筛余</w:t>
            </w:r>
            <w:r>
              <w:t>3~5</w:t>
            </w:r>
          </w:p>
        </w:tc>
        <w:tc>
          <w:tcPr>
            <w:tcW w:w="745" w:type="dxa"/>
            <w:vAlign w:val="center"/>
          </w:tcPr>
          <w:p w14:paraId="62675222" w14:textId="77777777" w:rsidR="002E474C" w:rsidRDefault="00000000">
            <w:pPr>
              <w:pStyle w:val="A-"/>
            </w:pPr>
            <w:r>
              <w:t>1</w:t>
            </w:r>
          </w:p>
        </w:tc>
      </w:tr>
      <w:tr w:rsidR="002E474C" w14:paraId="2FE55205" w14:textId="77777777">
        <w:trPr>
          <w:trHeight w:val="20"/>
        </w:trPr>
        <w:tc>
          <w:tcPr>
            <w:tcW w:w="709" w:type="dxa"/>
            <w:vAlign w:val="center"/>
          </w:tcPr>
          <w:p w14:paraId="579822A5" w14:textId="77777777" w:rsidR="002E474C" w:rsidRDefault="00000000">
            <w:pPr>
              <w:pStyle w:val="A-"/>
            </w:pPr>
            <w:r>
              <w:t>15</w:t>
            </w:r>
          </w:p>
        </w:tc>
        <w:tc>
          <w:tcPr>
            <w:tcW w:w="1414" w:type="dxa"/>
            <w:vAlign w:val="center"/>
          </w:tcPr>
          <w:p w14:paraId="02760B62" w14:textId="77777777" w:rsidR="002E474C" w:rsidRDefault="00000000">
            <w:pPr>
              <w:pStyle w:val="A-"/>
            </w:pPr>
            <w:r>
              <w:t>石灰石破碎</w:t>
            </w:r>
          </w:p>
        </w:tc>
        <w:tc>
          <w:tcPr>
            <w:tcW w:w="1846" w:type="dxa"/>
            <w:vAlign w:val="center"/>
          </w:tcPr>
          <w:p w14:paraId="059F5040" w14:textId="77777777" w:rsidR="002E474C" w:rsidRDefault="00000000">
            <w:pPr>
              <w:pStyle w:val="A-"/>
            </w:pPr>
            <w:r>
              <w:t>单段锤式破碎机</w:t>
            </w:r>
          </w:p>
        </w:tc>
        <w:tc>
          <w:tcPr>
            <w:tcW w:w="3686" w:type="dxa"/>
            <w:vAlign w:val="center"/>
          </w:tcPr>
          <w:p w14:paraId="4BD649B8" w14:textId="77777777" w:rsidR="002E474C" w:rsidRDefault="00000000">
            <w:pPr>
              <w:pStyle w:val="A-"/>
            </w:pPr>
            <w:r>
              <w:t>型号：</w:t>
            </w:r>
            <w:r>
              <w:t>PPC1616</w:t>
            </w:r>
            <w:r>
              <w:t>生产能力：</w:t>
            </w:r>
            <w:r>
              <w:t>160</w:t>
            </w:r>
            <w:r>
              <w:t>～</w:t>
            </w:r>
            <w:r>
              <w:t>240t/h</w:t>
            </w:r>
            <w:r>
              <w:t>最大给料尺寸：</w:t>
            </w:r>
            <w:r>
              <w:t>90%</w:t>
            </w:r>
            <w:r>
              <w:t>＜</w:t>
            </w:r>
            <w:r>
              <w:t>800×800×800mm</w:t>
            </w:r>
          </w:p>
        </w:tc>
        <w:tc>
          <w:tcPr>
            <w:tcW w:w="745" w:type="dxa"/>
            <w:vAlign w:val="center"/>
          </w:tcPr>
          <w:p w14:paraId="76D6F797" w14:textId="77777777" w:rsidR="002E474C" w:rsidRDefault="00000000">
            <w:pPr>
              <w:pStyle w:val="A-"/>
            </w:pPr>
            <w:r>
              <w:t>1</w:t>
            </w:r>
          </w:p>
        </w:tc>
      </w:tr>
      <w:tr w:rsidR="002E474C" w14:paraId="5759E3FE" w14:textId="77777777">
        <w:trPr>
          <w:trHeight w:val="20"/>
        </w:trPr>
        <w:tc>
          <w:tcPr>
            <w:tcW w:w="709" w:type="dxa"/>
            <w:vAlign w:val="center"/>
          </w:tcPr>
          <w:p w14:paraId="0B884E87" w14:textId="77777777" w:rsidR="002E474C" w:rsidRDefault="00000000">
            <w:pPr>
              <w:pStyle w:val="A-"/>
            </w:pPr>
            <w:r>
              <w:t>16</w:t>
            </w:r>
          </w:p>
        </w:tc>
        <w:tc>
          <w:tcPr>
            <w:tcW w:w="1414" w:type="dxa"/>
            <w:vAlign w:val="center"/>
          </w:tcPr>
          <w:p w14:paraId="07395A2D" w14:textId="77777777" w:rsidR="002E474C" w:rsidRDefault="00000000">
            <w:pPr>
              <w:pStyle w:val="A-"/>
            </w:pPr>
            <w:r>
              <w:t>石膏破碎</w:t>
            </w:r>
          </w:p>
        </w:tc>
        <w:tc>
          <w:tcPr>
            <w:tcW w:w="1846" w:type="dxa"/>
            <w:vAlign w:val="center"/>
          </w:tcPr>
          <w:p w14:paraId="3E452E9D" w14:textId="77777777" w:rsidR="002E474C" w:rsidRDefault="00000000">
            <w:pPr>
              <w:pStyle w:val="A-"/>
            </w:pPr>
            <w:bookmarkStart w:id="112" w:name="_Hlk230447481"/>
            <w:r>
              <w:t>单段锤式破碎机</w:t>
            </w:r>
            <w:bookmarkEnd w:id="112"/>
          </w:p>
        </w:tc>
        <w:tc>
          <w:tcPr>
            <w:tcW w:w="3686" w:type="dxa"/>
            <w:vAlign w:val="center"/>
          </w:tcPr>
          <w:p w14:paraId="7F1A14B3" w14:textId="77777777" w:rsidR="002E474C" w:rsidRDefault="00000000">
            <w:pPr>
              <w:pStyle w:val="A-"/>
            </w:pPr>
            <w:r>
              <w:t>型号：</w:t>
            </w:r>
            <w:r>
              <w:t>PPC1616</w:t>
            </w:r>
            <w:r>
              <w:t>生产能力：</w:t>
            </w:r>
            <w:r>
              <w:t>160</w:t>
            </w:r>
            <w:r>
              <w:t>～</w:t>
            </w:r>
            <w:r>
              <w:t>240t/h</w:t>
            </w:r>
            <w:r>
              <w:t>最大给料尺寸：</w:t>
            </w:r>
            <w:r>
              <w:t>90%</w:t>
            </w:r>
            <w:r>
              <w:t>＜</w:t>
            </w:r>
            <w:r>
              <w:t>800×800×800mm</w:t>
            </w:r>
          </w:p>
        </w:tc>
        <w:tc>
          <w:tcPr>
            <w:tcW w:w="745" w:type="dxa"/>
            <w:vAlign w:val="center"/>
          </w:tcPr>
          <w:p w14:paraId="269904CD" w14:textId="77777777" w:rsidR="002E474C" w:rsidRDefault="00000000">
            <w:pPr>
              <w:pStyle w:val="A-"/>
            </w:pPr>
            <w:r>
              <w:t>1</w:t>
            </w:r>
          </w:p>
        </w:tc>
      </w:tr>
      <w:tr w:rsidR="002E474C" w14:paraId="2D31BF30" w14:textId="77777777">
        <w:trPr>
          <w:trHeight w:val="20"/>
        </w:trPr>
        <w:tc>
          <w:tcPr>
            <w:tcW w:w="709" w:type="dxa"/>
            <w:vAlign w:val="center"/>
          </w:tcPr>
          <w:p w14:paraId="2E8C77F8" w14:textId="77777777" w:rsidR="002E474C" w:rsidRDefault="00000000">
            <w:pPr>
              <w:pStyle w:val="A-"/>
            </w:pPr>
            <w:r>
              <w:t>17</w:t>
            </w:r>
          </w:p>
        </w:tc>
        <w:tc>
          <w:tcPr>
            <w:tcW w:w="1414" w:type="dxa"/>
            <w:vAlign w:val="center"/>
          </w:tcPr>
          <w:p w14:paraId="5DE31FC3" w14:textId="77777777" w:rsidR="002E474C" w:rsidRDefault="00000000">
            <w:pPr>
              <w:pStyle w:val="A-"/>
            </w:pPr>
            <w:r>
              <w:t>包装机</w:t>
            </w:r>
          </w:p>
        </w:tc>
        <w:tc>
          <w:tcPr>
            <w:tcW w:w="1846" w:type="dxa"/>
            <w:vAlign w:val="center"/>
          </w:tcPr>
          <w:p w14:paraId="6D465E4B" w14:textId="77777777" w:rsidR="002E474C" w:rsidRDefault="00000000">
            <w:pPr>
              <w:pStyle w:val="A-"/>
              <w:ind w:leftChars="-25" w:left="-53" w:rightChars="-25" w:right="-53"/>
            </w:pPr>
            <w:r>
              <w:t>八嘴回转式包装机</w:t>
            </w:r>
          </w:p>
        </w:tc>
        <w:tc>
          <w:tcPr>
            <w:tcW w:w="3686" w:type="dxa"/>
            <w:vAlign w:val="center"/>
          </w:tcPr>
          <w:p w14:paraId="3F9C5703" w14:textId="77777777" w:rsidR="002E474C" w:rsidRDefault="00000000">
            <w:pPr>
              <w:pStyle w:val="A-"/>
            </w:pPr>
            <w:r>
              <w:t>BHYW-8D   120t/h</w:t>
            </w:r>
          </w:p>
        </w:tc>
        <w:tc>
          <w:tcPr>
            <w:tcW w:w="745" w:type="dxa"/>
            <w:vAlign w:val="center"/>
          </w:tcPr>
          <w:p w14:paraId="6BC2D9FD" w14:textId="77777777" w:rsidR="002E474C" w:rsidRDefault="00000000">
            <w:pPr>
              <w:pStyle w:val="A-"/>
            </w:pPr>
            <w:r>
              <w:t>4</w:t>
            </w:r>
          </w:p>
        </w:tc>
      </w:tr>
      <w:tr w:rsidR="002E474C" w14:paraId="621C023B" w14:textId="77777777">
        <w:trPr>
          <w:trHeight w:val="20"/>
        </w:trPr>
        <w:tc>
          <w:tcPr>
            <w:tcW w:w="709" w:type="dxa"/>
            <w:vAlign w:val="center"/>
          </w:tcPr>
          <w:p w14:paraId="68806D13" w14:textId="77777777" w:rsidR="002E474C" w:rsidRDefault="00000000">
            <w:pPr>
              <w:pStyle w:val="A-"/>
            </w:pPr>
            <w:r>
              <w:t>18</w:t>
            </w:r>
          </w:p>
        </w:tc>
        <w:tc>
          <w:tcPr>
            <w:tcW w:w="1414" w:type="dxa"/>
            <w:vAlign w:val="center"/>
          </w:tcPr>
          <w:p w14:paraId="21E56D89" w14:textId="77777777" w:rsidR="002E474C" w:rsidRDefault="00000000">
            <w:pPr>
              <w:pStyle w:val="A-"/>
            </w:pPr>
            <w:r>
              <w:t>水泥磨</w:t>
            </w:r>
          </w:p>
        </w:tc>
        <w:tc>
          <w:tcPr>
            <w:tcW w:w="1846" w:type="dxa"/>
            <w:vAlign w:val="center"/>
          </w:tcPr>
          <w:p w14:paraId="79A7EF5E" w14:textId="77777777" w:rsidR="002E474C" w:rsidRDefault="00000000">
            <w:pPr>
              <w:pStyle w:val="A-"/>
            </w:pPr>
            <w:r>
              <w:t>水泥磨</w:t>
            </w:r>
          </w:p>
        </w:tc>
        <w:tc>
          <w:tcPr>
            <w:tcW w:w="3686" w:type="dxa"/>
            <w:vAlign w:val="center"/>
          </w:tcPr>
          <w:p w14:paraId="3A96D7BE" w14:textId="77777777" w:rsidR="002E474C" w:rsidRDefault="00000000">
            <w:pPr>
              <w:pStyle w:val="A-"/>
            </w:pPr>
            <w:r>
              <w:t>规格：</w:t>
            </w:r>
            <w:r>
              <w:t>Φ4.2×13m</w:t>
            </w:r>
            <w:r>
              <w:t>能力：</w:t>
            </w:r>
            <w:r>
              <w:t>200~240t/h(</w:t>
            </w:r>
            <w:r>
              <w:t>圈流，两仓，配辊压机，</w:t>
            </w:r>
            <w:r>
              <w:t>V</w:t>
            </w:r>
            <w:r>
              <w:t>选</w:t>
            </w:r>
            <w:r>
              <w:t>)</w:t>
            </w:r>
          </w:p>
        </w:tc>
        <w:tc>
          <w:tcPr>
            <w:tcW w:w="745" w:type="dxa"/>
            <w:vAlign w:val="center"/>
          </w:tcPr>
          <w:p w14:paraId="47DF71C2" w14:textId="77777777" w:rsidR="002E474C" w:rsidRDefault="00000000">
            <w:pPr>
              <w:pStyle w:val="A-"/>
            </w:pPr>
            <w:r>
              <w:t>2</w:t>
            </w:r>
          </w:p>
        </w:tc>
      </w:tr>
    </w:tbl>
    <w:p w14:paraId="678E7AB5" w14:textId="77777777" w:rsidR="002E474C" w:rsidRDefault="002E474C">
      <w:bookmarkStart w:id="113" w:name="_Hlk151223940"/>
    </w:p>
    <w:bookmarkEnd w:id="113"/>
    <w:p w14:paraId="60065375" w14:textId="77777777" w:rsidR="002E474C" w:rsidRDefault="00000000">
      <w:pPr>
        <w:pStyle w:val="31"/>
        <w:spacing w:before="120" w:after="120"/>
        <w:rPr>
          <w:color w:val="auto"/>
        </w:rPr>
      </w:pPr>
      <w:r>
        <w:rPr>
          <w:color w:val="auto"/>
        </w:rPr>
        <w:t>原辅材料消耗</w:t>
      </w:r>
    </w:p>
    <w:p w14:paraId="6DBCAA4F" w14:textId="77777777" w:rsidR="002E474C" w:rsidRDefault="00000000">
      <w:pPr>
        <w:pStyle w:val="A-z"/>
        <w:rPr>
          <w:color w:val="auto"/>
        </w:rPr>
      </w:pPr>
      <w:bookmarkStart w:id="114" w:name="OLE_LINK73"/>
      <w:r>
        <w:rPr>
          <w:color w:val="auto"/>
        </w:rPr>
        <w:t>根据圣雄水泥公司</w:t>
      </w:r>
      <w:r>
        <w:rPr>
          <w:color w:val="auto"/>
        </w:rPr>
        <w:t>2025</w:t>
      </w:r>
      <w:r>
        <w:rPr>
          <w:color w:val="auto"/>
        </w:rPr>
        <w:t>年生产台账，回转窑年产出熟料</w:t>
      </w:r>
      <w:r>
        <w:rPr>
          <w:color w:val="auto"/>
        </w:rPr>
        <w:t>131.46</w:t>
      </w:r>
      <w:r>
        <w:rPr>
          <w:color w:val="auto"/>
        </w:rPr>
        <w:t>万</w:t>
      </w:r>
      <w:r>
        <w:rPr>
          <w:color w:val="auto"/>
        </w:rPr>
        <w:t>t</w:t>
      </w:r>
      <w:r>
        <w:rPr>
          <w:rFonts w:hint="eastAsia"/>
          <w:color w:val="auto"/>
        </w:rPr>
        <w:t>。其中，</w:t>
      </w:r>
      <w:r>
        <w:rPr>
          <w:rFonts w:hint="eastAsia"/>
          <w:color w:val="auto"/>
        </w:rPr>
        <w:t>97.57</w:t>
      </w:r>
      <w:r>
        <w:rPr>
          <w:rFonts w:hint="eastAsia"/>
          <w:color w:val="auto"/>
        </w:rPr>
        <w:t>万</w:t>
      </w:r>
      <w:r>
        <w:rPr>
          <w:rFonts w:hint="eastAsia"/>
          <w:color w:val="auto"/>
        </w:rPr>
        <w:t>t</w:t>
      </w:r>
      <w:r>
        <w:rPr>
          <w:rFonts w:hint="eastAsia"/>
          <w:color w:val="auto"/>
        </w:rPr>
        <w:t>熟料用于</w:t>
      </w:r>
      <w:r>
        <w:rPr>
          <w:color w:val="auto"/>
        </w:rPr>
        <w:t>水泥车间</w:t>
      </w:r>
      <w:r>
        <w:rPr>
          <w:rFonts w:hint="eastAsia"/>
          <w:color w:val="auto"/>
        </w:rPr>
        <w:t>生产</w:t>
      </w:r>
      <w:r>
        <w:rPr>
          <w:color w:val="auto"/>
        </w:rPr>
        <w:t>水泥产品</w:t>
      </w:r>
      <w:r>
        <w:rPr>
          <w:color w:val="auto"/>
        </w:rPr>
        <w:t>116.93</w:t>
      </w:r>
      <w:r>
        <w:rPr>
          <w:color w:val="auto"/>
        </w:rPr>
        <w:t>万</w:t>
      </w:r>
      <w:r>
        <w:rPr>
          <w:color w:val="auto"/>
        </w:rPr>
        <w:t>t</w:t>
      </w:r>
      <w:bookmarkEnd w:id="114"/>
      <w:r>
        <w:rPr>
          <w:rFonts w:hint="eastAsia"/>
          <w:color w:val="auto"/>
        </w:rPr>
        <w:t>，另有</w:t>
      </w:r>
      <w:r>
        <w:rPr>
          <w:rFonts w:hint="eastAsia"/>
          <w:color w:val="auto"/>
        </w:rPr>
        <w:t>33.89</w:t>
      </w:r>
      <w:r>
        <w:rPr>
          <w:rFonts w:hint="eastAsia"/>
          <w:color w:val="auto"/>
        </w:rPr>
        <w:t>万</w:t>
      </w:r>
      <w:r>
        <w:rPr>
          <w:rFonts w:hint="eastAsia"/>
          <w:color w:val="auto"/>
        </w:rPr>
        <w:t>t</w:t>
      </w:r>
      <w:r>
        <w:rPr>
          <w:rFonts w:hint="eastAsia"/>
          <w:color w:val="auto"/>
        </w:rPr>
        <w:t>熟料调配出厂</w:t>
      </w:r>
      <w:r>
        <w:rPr>
          <w:color w:val="auto"/>
        </w:rPr>
        <w:t>。企业水泥生产线</w:t>
      </w:r>
      <w:r>
        <w:rPr>
          <w:color w:val="auto"/>
        </w:rPr>
        <w:t>2025</w:t>
      </w:r>
      <w:r>
        <w:rPr>
          <w:color w:val="auto"/>
        </w:rPr>
        <w:t>年原辅材料、燃料用量及储运情况，见表</w:t>
      </w:r>
      <w:r>
        <w:rPr>
          <w:color w:val="auto"/>
        </w:rPr>
        <w:t>3.1-4</w:t>
      </w:r>
      <w:r>
        <w:rPr>
          <w:color w:val="auto"/>
        </w:rPr>
        <w:t>。</w:t>
      </w:r>
    </w:p>
    <w:p w14:paraId="79DE8DBC" w14:textId="77777777" w:rsidR="002E474C" w:rsidRDefault="00000000">
      <w:pPr>
        <w:pStyle w:val="A--"/>
        <w:rPr>
          <w:color w:val="auto"/>
        </w:rPr>
      </w:pPr>
      <w:bookmarkStart w:id="115" w:name="_Ref126605173"/>
      <w:r>
        <w:rPr>
          <w:color w:val="auto"/>
        </w:rPr>
        <w:t>表</w:t>
      </w:r>
      <w:bookmarkEnd w:id="115"/>
      <w:r>
        <w:rPr>
          <w:color w:val="auto"/>
        </w:rPr>
        <w:t xml:space="preserve">3.1-4  </w:t>
      </w:r>
      <w:r>
        <w:rPr>
          <w:color w:val="auto"/>
        </w:rPr>
        <w:t>圣雄水泥公司原辅材料、燃料用量及配比情况一览</w:t>
      </w:r>
    </w:p>
    <w:tbl>
      <w:tblPr>
        <w:tblStyle w:val="affff9"/>
        <w:tblW w:w="5000" w:type="pct"/>
        <w:tblLook w:val="04A0" w:firstRow="1" w:lastRow="0" w:firstColumn="1" w:lastColumn="0" w:noHBand="0" w:noVBand="1"/>
      </w:tblPr>
      <w:tblGrid>
        <w:gridCol w:w="646"/>
        <w:gridCol w:w="1279"/>
        <w:gridCol w:w="1490"/>
        <w:gridCol w:w="1279"/>
        <w:gridCol w:w="2339"/>
        <w:gridCol w:w="1263"/>
      </w:tblGrid>
      <w:tr w:rsidR="002E474C" w14:paraId="0B522D6B" w14:textId="77777777">
        <w:tc>
          <w:tcPr>
            <w:tcW w:w="389" w:type="pct"/>
            <w:vAlign w:val="center"/>
          </w:tcPr>
          <w:p w14:paraId="69F05B02" w14:textId="77777777" w:rsidR="002E474C" w:rsidRDefault="00000000">
            <w:pPr>
              <w:pStyle w:val="A-"/>
            </w:pPr>
            <w:r>
              <w:t>序号</w:t>
            </w:r>
          </w:p>
        </w:tc>
        <w:tc>
          <w:tcPr>
            <w:tcW w:w="771" w:type="pct"/>
            <w:vAlign w:val="center"/>
          </w:tcPr>
          <w:p w14:paraId="44E0435A" w14:textId="77777777" w:rsidR="002E474C" w:rsidRDefault="00000000">
            <w:pPr>
              <w:pStyle w:val="A-"/>
            </w:pPr>
            <w:r>
              <w:t>物料名称</w:t>
            </w:r>
          </w:p>
        </w:tc>
        <w:tc>
          <w:tcPr>
            <w:tcW w:w="898" w:type="pct"/>
            <w:vAlign w:val="center"/>
          </w:tcPr>
          <w:p w14:paraId="6A84B58D" w14:textId="77777777" w:rsidR="002E474C" w:rsidRDefault="00000000">
            <w:pPr>
              <w:pStyle w:val="A-"/>
            </w:pPr>
            <w:r>
              <w:t>消耗量（</w:t>
            </w:r>
            <w:r>
              <w:t>t/a</w:t>
            </w:r>
            <w:r>
              <w:t>）</w:t>
            </w:r>
          </w:p>
        </w:tc>
        <w:tc>
          <w:tcPr>
            <w:tcW w:w="771" w:type="pct"/>
            <w:vAlign w:val="center"/>
          </w:tcPr>
          <w:p w14:paraId="0035C49C" w14:textId="77777777" w:rsidR="002E474C" w:rsidRDefault="00000000">
            <w:pPr>
              <w:pStyle w:val="A-"/>
            </w:pPr>
            <w:r>
              <w:t>运输方式</w:t>
            </w:r>
          </w:p>
        </w:tc>
        <w:tc>
          <w:tcPr>
            <w:tcW w:w="1410" w:type="pct"/>
            <w:vAlign w:val="center"/>
          </w:tcPr>
          <w:p w14:paraId="29C434BE" w14:textId="77777777" w:rsidR="002E474C" w:rsidRDefault="00000000">
            <w:pPr>
              <w:pStyle w:val="A-"/>
            </w:pPr>
            <w:r>
              <w:t>储存方式</w:t>
            </w:r>
          </w:p>
        </w:tc>
        <w:tc>
          <w:tcPr>
            <w:tcW w:w="761" w:type="pct"/>
            <w:vAlign w:val="center"/>
          </w:tcPr>
          <w:p w14:paraId="67282CF9" w14:textId="77777777" w:rsidR="002E474C" w:rsidRDefault="00000000">
            <w:pPr>
              <w:pStyle w:val="A-"/>
            </w:pPr>
            <w:r>
              <w:t>备注</w:t>
            </w:r>
          </w:p>
        </w:tc>
      </w:tr>
      <w:tr w:rsidR="002E474C" w14:paraId="5A30AAE7" w14:textId="77777777">
        <w:tc>
          <w:tcPr>
            <w:tcW w:w="389" w:type="pct"/>
            <w:vMerge w:val="restart"/>
            <w:vAlign w:val="center"/>
          </w:tcPr>
          <w:p w14:paraId="6AA516FE" w14:textId="77777777" w:rsidR="002E474C" w:rsidRDefault="00000000">
            <w:pPr>
              <w:pStyle w:val="A-"/>
            </w:pPr>
            <w:r>
              <w:t>1</w:t>
            </w:r>
          </w:p>
        </w:tc>
        <w:tc>
          <w:tcPr>
            <w:tcW w:w="771" w:type="pct"/>
            <w:vAlign w:val="center"/>
          </w:tcPr>
          <w:p w14:paraId="5A700628" w14:textId="77777777" w:rsidR="002E474C" w:rsidRDefault="00000000">
            <w:pPr>
              <w:pStyle w:val="A-"/>
            </w:pPr>
            <w:r>
              <w:t>电石渣</w:t>
            </w:r>
          </w:p>
          <w:p w14:paraId="16A91E5A" w14:textId="77777777" w:rsidR="002E474C" w:rsidRDefault="00000000">
            <w:pPr>
              <w:pStyle w:val="A-"/>
            </w:pPr>
            <w:r>
              <w:t>（湿基</w:t>
            </w:r>
            <w:r>
              <w:rPr>
                <w:rFonts w:hint="eastAsia"/>
              </w:rPr>
              <w:t>，含水约</w:t>
            </w:r>
            <w:r>
              <w:rPr>
                <w:rFonts w:hint="eastAsia"/>
              </w:rPr>
              <w:t>30%</w:t>
            </w:r>
            <w:r>
              <w:t>）</w:t>
            </w:r>
          </w:p>
        </w:tc>
        <w:tc>
          <w:tcPr>
            <w:tcW w:w="898" w:type="pct"/>
            <w:vAlign w:val="center"/>
          </w:tcPr>
          <w:p w14:paraId="70FE12CC" w14:textId="77777777" w:rsidR="002E474C" w:rsidRDefault="00000000">
            <w:pPr>
              <w:pStyle w:val="A-"/>
            </w:pPr>
            <w:r>
              <w:t>181668</w:t>
            </w:r>
            <w:r>
              <w:rPr>
                <w:rFonts w:hint="eastAsia"/>
              </w:rPr>
              <w:t>5</w:t>
            </w:r>
            <w:r>
              <w:t>.67</w:t>
            </w:r>
          </w:p>
        </w:tc>
        <w:tc>
          <w:tcPr>
            <w:tcW w:w="771" w:type="pct"/>
            <w:vAlign w:val="center"/>
          </w:tcPr>
          <w:p w14:paraId="5E240D79" w14:textId="77777777" w:rsidR="002E474C" w:rsidRDefault="00000000">
            <w:pPr>
              <w:pStyle w:val="A-"/>
            </w:pPr>
            <w:r>
              <w:t>胶带输送机</w:t>
            </w:r>
          </w:p>
        </w:tc>
        <w:tc>
          <w:tcPr>
            <w:tcW w:w="1410" w:type="pct"/>
            <w:vAlign w:val="center"/>
          </w:tcPr>
          <w:p w14:paraId="2825D46B" w14:textId="77777777" w:rsidR="002E474C" w:rsidRDefault="00000000">
            <w:pPr>
              <w:pStyle w:val="A-"/>
            </w:pPr>
            <w:r>
              <w:t>电石渣堆棚</w:t>
            </w:r>
          </w:p>
        </w:tc>
        <w:tc>
          <w:tcPr>
            <w:tcW w:w="761" w:type="pct"/>
            <w:vAlign w:val="center"/>
          </w:tcPr>
          <w:p w14:paraId="4E52D135" w14:textId="77777777" w:rsidR="002E474C" w:rsidRDefault="00000000">
            <w:pPr>
              <w:pStyle w:val="A-"/>
            </w:pPr>
            <w:r>
              <w:t>来自</w:t>
            </w:r>
            <w:r>
              <w:t>PVC</w:t>
            </w:r>
            <w:r>
              <w:t>厂</w:t>
            </w:r>
          </w:p>
        </w:tc>
      </w:tr>
      <w:tr w:rsidR="002E474C" w14:paraId="05752B2C" w14:textId="77777777">
        <w:tc>
          <w:tcPr>
            <w:tcW w:w="389" w:type="pct"/>
            <w:vMerge/>
            <w:vAlign w:val="center"/>
          </w:tcPr>
          <w:p w14:paraId="67044C82" w14:textId="77777777" w:rsidR="002E474C" w:rsidRDefault="002E474C">
            <w:pPr>
              <w:pStyle w:val="A-"/>
            </w:pPr>
          </w:p>
        </w:tc>
        <w:tc>
          <w:tcPr>
            <w:tcW w:w="771" w:type="pct"/>
            <w:vAlign w:val="center"/>
          </w:tcPr>
          <w:p w14:paraId="2C95E784" w14:textId="77777777" w:rsidR="002E474C" w:rsidRDefault="00000000">
            <w:pPr>
              <w:pStyle w:val="A-"/>
            </w:pPr>
            <w:r>
              <w:t>电石渣</w:t>
            </w:r>
            <w:r>
              <w:rPr>
                <w:rFonts w:hint="eastAsia"/>
              </w:rPr>
              <w:t>干粉</w:t>
            </w:r>
          </w:p>
          <w:p w14:paraId="2AF810C3" w14:textId="77777777" w:rsidR="002E474C" w:rsidRDefault="00000000">
            <w:pPr>
              <w:pStyle w:val="A-"/>
            </w:pPr>
            <w:r>
              <w:t>（</w:t>
            </w:r>
            <w:r>
              <w:rPr>
                <w:rFonts w:hint="eastAsia"/>
              </w:rPr>
              <w:t>干</w:t>
            </w:r>
            <w:r>
              <w:t>基）</w:t>
            </w:r>
          </w:p>
        </w:tc>
        <w:tc>
          <w:tcPr>
            <w:tcW w:w="898" w:type="pct"/>
            <w:vAlign w:val="center"/>
          </w:tcPr>
          <w:p w14:paraId="09A7D425" w14:textId="77777777" w:rsidR="002E474C" w:rsidRDefault="00000000">
            <w:pPr>
              <w:pStyle w:val="A-"/>
            </w:pPr>
            <w:r>
              <w:rPr>
                <w:rFonts w:hint="eastAsia"/>
              </w:rPr>
              <w:t>1252247.62</w:t>
            </w:r>
          </w:p>
        </w:tc>
        <w:tc>
          <w:tcPr>
            <w:tcW w:w="771" w:type="pct"/>
            <w:vAlign w:val="center"/>
          </w:tcPr>
          <w:p w14:paraId="068257FA" w14:textId="77777777" w:rsidR="002E474C" w:rsidRDefault="00000000">
            <w:pPr>
              <w:pStyle w:val="A-"/>
            </w:pPr>
            <w:r>
              <w:rPr>
                <w:rFonts w:hint="eastAsia"/>
              </w:rPr>
              <w:t>气力输送</w:t>
            </w:r>
          </w:p>
        </w:tc>
        <w:tc>
          <w:tcPr>
            <w:tcW w:w="1410" w:type="pct"/>
            <w:vAlign w:val="center"/>
          </w:tcPr>
          <w:p w14:paraId="5175BEB4" w14:textId="77777777" w:rsidR="002E474C" w:rsidRDefault="00000000">
            <w:pPr>
              <w:pStyle w:val="A-"/>
            </w:pPr>
            <w:r>
              <w:rPr>
                <w:szCs w:val="24"/>
              </w:rPr>
              <w:t>电石渣干粉调配库</w:t>
            </w:r>
            <w:r>
              <w:rPr>
                <w:rFonts w:hint="eastAsia"/>
                <w:szCs w:val="24"/>
              </w:rPr>
              <w:t>、</w:t>
            </w:r>
            <w:r>
              <w:rPr>
                <w:szCs w:val="24"/>
              </w:rPr>
              <w:t>电石渣干粉储存库</w:t>
            </w:r>
            <w:r>
              <w:rPr>
                <w:rFonts w:hint="eastAsia"/>
              </w:rPr>
              <w:t>、</w:t>
            </w:r>
            <w:r>
              <w:t>生料均化库</w:t>
            </w:r>
          </w:p>
        </w:tc>
        <w:tc>
          <w:tcPr>
            <w:tcW w:w="761" w:type="pct"/>
            <w:vAlign w:val="center"/>
          </w:tcPr>
          <w:p w14:paraId="2D21D1AA" w14:textId="77777777" w:rsidR="002E474C" w:rsidRDefault="00000000">
            <w:pPr>
              <w:pStyle w:val="A-"/>
            </w:pPr>
            <w:r>
              <w:rPr>
                <w:rFonts w:hint="eastAsia"/>
              </w:rPr>
              <w:t>电石渣烘干系统</w:t>
            </w:r>
          </w:p>
        </w:tc>
      </w:tr>
      <w:tr w:rsidR="002E474C" w14:paraId="11F7CCE9" w14:textId="77777777">
        <w:tc>
          <w:tcPr>
            <w:tcW w:w="389" w:type="pct"/>
            <w:vAlign w:val="center"/>
          </w:tcPr>
          <w:p w14:paraId="18195928" w14:textId="77777777" w:rsidR="002E474C" w:rsidRDefault="00000000">
            <w:pPr>
              <w:pStyle w:val="A-"/>
            </w:pPr>
            <w:r>
              <w:t>2</w:t>
            </w:r>
          </w:p>
        </w:tc>
        <w:tc>
          <w:tcPr>
            <w:tcW w:w="771" w:type="pct"/>
            <w:vAlign w:val="center"/>
          </w:tcPr>
          <w:p w14:paraId="1F7E02F7" w14:textId="77777777" w:rsidR="002E474C" w:rsidRDefault="00000000">
            <w:pPr>
              <w:pStyle w:val="A-"/>
            </w:pPr>
            <w:r>
              <w:t>石灰石</w:t>
            </w:r>
            <w:r>
              <w:rPr>
                <w:rFonts w:hint="eastAsia"/>
              </w:rPr>
              <w:t>（沫）</w:t>
            </w:r>
          </w:p>
        </w:tc>
        <w:tc>
          <w:tcPr>
            <w:tcW w:w="898" w:type="pct"/>
            <w:vAlign w:val="center"/>
          </w:tcPr>
          <w:p w14:paraId="40447062" w14:textId="77777777" w:rsidR="002E474C" w:rsidRDefault="00000000">
            <w:pPr>
              <w:pStyle w:val="A-"/>
            </w:pPr>
            <w:r>
              <w:t>185867.62</w:t>
            </w:r>
          </w:p>
        </w:tc>
        <w:tc>
          <w:tcPr>
            <w:tcW w:w="771" w:type="pct"/>
            <w:vAlign w:val="center"/>
          </w:tcPr>
          <w:p w14:paraId="1C98315A" w14:textId="77777777" w:rsidR="002E474C" w:rsidRDefault="00000000">
            <w:pPr>
              <w:pStyle w:val="A-"/>
            </w:pPr>
            <w:r>
              <w:t>公路运输</w:t>
            </w:r>
          </w:p>
        </w:tc>
        <w:tc>
          <w:tcPr>
            <w:tcW w:w="1410" w:type="pct"/>
            <w:vAlign w:val="center"/>
          </w:tcPr>
          <w:p w14:paraId="15AA03B1" w14:textId="77777777" w:rsidR="002E474C" w:rsidRDefault="00000000">
            <w:pPr>
              <w:pStyle w:val="A-"/>
            </w:pPr>
            <w:r>
              <w:t>预均化堆棚</w:t>
            </w:r>
            <w:r>
              <w:rPr>
                <w:rFonts w:hint="eastAsia"/>
              </w:rPr>
              <w:t>、</w:t>
            </w:r>
            <w:r>
              <w:t>调配库</w:t>
            </w:r>
            <w:r>
              <w:rPr>
                <w:rFonts w:hint="eastAsia"/>
              </w:rPr>
              <w:t>、</w:t>
            </w:r>
            <w:r>
              <w:t>生料均化库</w:t>
            </w:r>
            <w:r>
              <w:rPr>
                <w:rFonts w:hint="eastAsia"/>
              </w:rPr>
              <w:t>、</w:t>
            </w:r>
            <w:r>
              <w:t>联合预均化堆棚、</w:t>
            </w:r>
            <w:r>
              <w:rPr>
                <w:rFonts w:hint="eastAsia"/>
              </w:rPr>
              <w:t>水泥磨</w:t>
            </w:r>
            <w:r>
              <w:t>调配库</w:t>
            </w:r>
          </w:p>
        </w:tc>
        <w:tc>
          <w:tcPr>
            <w:tcW w:w="761" w:type="pct"/>
            <w:vAlign w:val="center"/>
          </w:tcPr>
          <w:p w14:paraId="365C6768" w14:textId="77777777" w:rsidR="002E474C" w:rsidRDefault="00000000">
            <w:pPr>
              <w:pStyle w:val="A-"/>
            </w:pPr>
            <w:r>
              <w:t>来自</w:t>
            </w:r>
            <w:r>
              <w:t>PVC</w:t>
            </w:r>
            <w:r>
              <w:t>厂</w:t>
            </w:r>
          </w:p>
        </w:tc>
      </w:tr>
      <w:tr w:rsidR="002E474C" w14:paraId="6E079085" w14:textId="77777777">
        <w:tc>
          <w:tcPr>
            <w:tcW w:w="389" w:type="pct"/>
            <w:vAlign w:val="center"/>
          </w:tcPr>
          <w:p w14:paraId="6A7CCF19" w14:textId="77777777" w:rsidR="002E474C" w:rsidRDefault="00000000">
            <w:pPr>
              <w:pStyle w:val="A-"/>
            </w:pPr>
            <w:r>
              <w:lastRenderedPageBreak/>
              <w:t>3</w:t>
            </w:r>
          </w:p>
        </w:tc>
        <w:tc>
          <w:tcPr>
            <w:tcW w:w="771" w:type="pct"/>
            <w:vAlign w:val="center"/>
          </w:tcPr>
          <w:p w14:paraId="5121E4B9" w14:textId="77777777" w:rsidR="002E474C" w:rsidRDefault="00000000">
            <w:pPr>
              <w:pStyle w:val="A-"/>
            </w:pPr>
            <w:r>
              <w:t>页岩</w:t>
            </w:r>
          </w:p>
        </w:tc>
        <w:tc>
          <w:tcPr>
            <w:tcW w:w="898" w:type="pct"/>
            <w:vAlign w:val="center"/>
          </w:tcPr>
          <w:p w14:paraId="1C50639A" w14:textId="77777777" w:rsidR="002E474C" w:rsidRDefault="00000000">
            <w:pPr>
              <w:pStyle w:val="A-"/>
            </w:pPr>
            <w:r>
              <w:t>144930.72</w:t>
            </w:r>
          </w:p>
        </w:tc>
        <w:tc>
          <w:tcPr>
            <w:tcW w:w="771" w:type="pct"/>
            <w:vAlign w:val="center"/>
          </w:tcPr>
          <w:p w14:paraId="5309CEFB" w14:textId="77777777" w:rsidR="002E474C" w:rsidRDefault="00000000">
            <w:pPr>
              <w:pStyle w:val="A-"/>
            </w:pPr>
            <w:r>
              <w:t>公路运输</w:t>
            </w:r>
          </w:p>
        </w:tc>
        <w:tc>
          <w:tcPr>
            <w:tcW w:w="1410" w:type="pct"/>
            <w:vAlign w:val="center"/>
          </w:tcPr>
          <w:p w14:paraId="3A564A53" w14:textId="77777777" w:rsidR="002E474C" w:rsidRDefault="00000000">
            <w:pPr>
              <w:pStyle w:val="A-"/>
            </w:pPr>
            <w:r>
              <w:t>预均化堆棚、生料均化库</w:t>
            </w:r>
          </w:p>
        </w:tc>
        <w:tc>
          <w:tcPr>
            <w:tcW w:w="761" w:type="pct"/>
            <w:vAlign w:val="center"/>
          </w:tcPr>
          <w:p w14:paraId="1B6E3583" w14:textId="77777777" w:rsidR="002E474C" w:rsidRDefault="00000000">
            <w:pPr>
              <w:pStyle w:val="A-"/>
            </w:pPr>
            <w:r>
              <w:t>库米什</w:t>
            </w:r>
          </w:p>
        </w:tc>
      </w:tr>
      <w:tr w:rsidR="002E474C" w14:paraId="35200941" w14:textId="77777777">
        <w:tc>
          <w:tcPr>
            <w:tcW w:w="389" w:type="pct"/>
            <w:vAlign w:val="center"/>
          </w:tcPr>
          <w:p w14:paraId="3340256B" w14:textId="77777777" w:rsidR="002E474C" w:rsidRDefault="00000000">
            <w:pPr>
              <w:pStyle w:val="A-"/>
            </w:pPr>
            <w:r>
              <w:t>4</w:t>
            </w:r>
          </w:p>
        </w:tc>
        <w:tc>
          <w:tcPr>
            <w:tcW w:w="771" w:type="pct"/>
            <w:vAlign w:val="center"/>
          </w:tcPr>
          <w:p w14:paraId="3EE85150" w14:textId="77777777" w:rsidR="002E474C" w:rsidRDefault="00000000">
            <w:pPr>
              <w:pStyle w:val="A-"/>
            </w:pPr>
            <w:r>
              <w:t>粉煤灰</w:t>
            </w:r>
          </w:p>
        </w:tc>
        <w:tc>
          <w:tcPr>
            <w:tcW w:w="898" w:type="pct"/>
            <w:vAlign w:val="center"/>
          </w:tcPr>
          <w:p w14:paraId="718442ED" w14:textId="77777777" w:rsidR="002E474C" w:rsidRDefault="00000000">
            <w:pPr>
              <w:pStyle w:val="A-"/>
            </w:pPr>
            <w:r>
              <w:t>85410.66</w:t>
            </w:r>
          </w:p>
        </w:tc>
        <w:tc>
          <w:tcPr>
            <w:tcW w:w="771" w:type="pct"/>
            <w:vAlign w:val="center"/>
          </w:tcPr>
          <w:p w14:paraId="7A086845" w14:textId="77777777" w:rsidR="002E474C" w:rsidRDefault="00000000">
            <w:pPr>
              <w:pStyle w:val="A-"/>
            </w:pPr>
            <w:r>
              <w:t>公路运输</w:t>
            </w:r>
          </w:p>
        </w:tc>
        <w:tc>
          <w:tcPr>
            <w:tcW w:w="1410" w:type="pct"/>
            <w:vAlign w:val="center"/>
          </w:tcPr>
          <w:p w14:paraId="2F9507BE" w14:textId="77777777" w:rsidR="002E474C" w:rsidRDefault="00000000">
            <w:pPr>
              <w:pStyle w:val="A-"/>
            </w:pPr>
            <w:r>
              <w:rPr>
                <w:rFonts w:hint="eastAsia"/>
              </w:rPr>
              <w:t>粉煤灰库、调配库、</w:t>
            </w:r>
            <w:r>
              <w:t>生料均化库</w:t>
            </w:r>
          </w:p>
        </w:tc>
        <w:tc>
          <w:tcPr>
            <w:tcW w:w="761" w:type="pct"/>
            <w:vAlign w:val="center"/>
          </w:tcPr>
          <w:p w14:paraId="0356D46D" w14:textId="77777777" w:rsidR="002E474C" w:rsidRDefault="00000000">
            <w:pPr>
              <w:pStyle w:val="A-"/>
            </w:pPr>
            <w:r>
              <w:t>来自电厂</w:t>
            </w:r>
          </w:p>
        </w:tc>
      </w:tr>
      <w:tr w:rsidR="002E474C" w14:paraId="39FAA9E3" w14:textId="77777777">
        <w:tc>
          <w:tcPr>
            <w:tcW w:w="389" w:type="pct"/>
            <w:vAlign w:val="center"/>
          </w:tcPr>
          <w:p w14:paraId="290FCA2C" w14:textId="77777777" w:rsidR="002E474C" w:rsidRDefault="00000000">
            <w:pPr>
              <w:pStyle w:val="A-"/>
            </w:pPr>
            <w:r>
              <w:t>5</w:t>
            </w:r>
          </w:p>
        </w:tc>
        <w:tc>
          <w:tcPr>
            <w:tcW w:w="771" w:type="pct"/>
            <w:vAlign w:val="center"/>
          </w:tcPr>
          <w:p w14:paraId="5DCBBF5E" w14:textId="77777777" w:rsidR="002E474C" w:rsidRDefault="00000000">
            <w:pPr>
              <w:pStyle w:val="A-"/>
            </w:pPr>
            <w:r>
              <w:t>铁矿粉</w:t>
            </w:r>
          </w:p>
        </w:tc>
        <w:tc>
          <w:tcPr>
            <w:tcW w:w="898" w:type="pct"/>
            <w:vAlign w:val="center"/>
          </w:tcPr>
          <w:p w14:paraId="6C795AA1" w14:textId="77777777" w:rsidR="002E474C" w:rsidRDefault="00000000">
            <w:pPr>
              <w:pStyle w:val="A-"/>
            </w:pPr>
            <w:r>
              <w:t>80913.24</w:t>
            </w:r>
          </w:p>
        </w:tc>
        <w:tc>
          <w:tcPr>
            <w:tcW w:w="771" w:type="pct"/>
            <w:vAlign w:val="center"/>
          </w:tcPr>
          <w:p w14:paraId="0696B865" w14:textId="77777777" w:rsidR="002E474C" w:rsidRDefault="00000000">
            <w:pPr>
              <w:pStyle w:val="A-"/>
            </w:pPr>
            <w:r>
              <w:t>公路运输</w:t>
            </w:r>
          </w:p>
        </w:tc>
        <w:tc>
          <w:tcPr>
            <w:tcW w:w="1410" w:type="pct"/>
            <w:vAlign w:val="center"/>
          </w:tcPr>
          <w:p w14:paraId="5F2CAF5D" w14:textId="77777777" w:rsidR="002E474C" w:rsidRDefault="00000000">
            <w:pPr>
              <w:pStyle w:val="A-"/>
            </w:pPr>
            <w:r>
              <w:t>预均化堆棚</w:t>
            </w:r>
            <w:r>
              <w:rPr>
                <w:rFonts w:hint="eastAsia"/>
              </w:rPr>
              <w:t>、</w:t>
            </w:r>
            <w:r>
              <w:t>生料均化库</w:t>
            </w:r>
            <w:r>
              <w:rPr>
                <w:rFonts w:hint="eastAsia"/>
              </w:rPr>
              <w:t>、</w:t>
            </w:r>
            <w:r>
              <w:t>联合预均化堆棚、</w:t>
            </w:r>
            <w:r>
              <w:rPr>
                <w:rFonts w:hint="eastAsia"/>
              </w:rPr>
              <w:t>水泥磨</w:t>
            </w:r>
            <w:r>
              <w:t>调配库</w:t>
            </w:r>
          </w:p>
        </w:tc>
        <w:tc>
          <w:tcPr>
            <w:tcW w:w="761" w:type="pct"/>
            <w:vAlign w:val="center"/>
          </w:tcPr>
          <w:p w14:paraId="50507739" w14:textId="77777777" w:rsidR="002E474C" w:rsidRDefault="00000000">
            <w:pPr>
              <w:pStyle w:val="A-"/>
            </w:pPr>
            <w:r>
              <w:t>库米什</w:t>
            </w:r>
          </w:p>
        </w:tc>
      </w:tr>
      <w:tr w:rsidR="002E474C" w14:paraId="1B2EAF48" w14:textId="77777777">
        <w:tc>
          <w:tcPr>
            <w:tcW w:w="389" w:type="pct"/>
            <w:vAlign w:val="center"/>
          </w:tcPr>
          <w:p w14:paraId="60543DAF" w14:textId="77777777" w:rsidR="002E474C" w:rsidRDefault="00000000">
            <w:pPr>
              <w:pStyle w:val="A-"/>
            </w:pPr>
            <w:r>
              <w:t>6</w:t>
            </w:r>
          </w:p>
        </w:tc>
        <w:tc>
          <w:tcPr>
            <w:tcW w:w="771" w:type="pct"/>
            <w:vAlign w:val="center"/>
          </w:tcPr>
          <w:p w14:paraId="1ACF42B6" w14:textId="77777777" w:rsidR="002E474C" w:rsidRDefault="00000000">
            <w:pPr>
              <w:pStyle w:val="A-"/>
            </w:pPr>
            <w:r>
              <w:t>硅石</w:t>
            </w:r>
          </w:p>
        </w:tc>
        <w:tc>
          <w:tcPr>
            <w:tcW w:w="898" w:type="pct"/>
            <w:vAlign w:val="center"/>
          </w:tcPr>
          <w:p w14:paraId="1C3EF552" w14:textId="77777777" w:rsidR="002E474C" w:rsidRDefault="00000000">
            <w:pPr>
              <w:pStyle w:val="A-"/>
            </w:pPr>
            <w:r>
              <w:t>14429.00</w:t>
            </w:r>
          </w:p>
        </w:tc>
        <w:tc>
          <w:tcPr>
            <w:tcW w:w="771" w:type="pct"/>
            <w:vAlign w:val="center"/>
          </w:tcPr>
          <w:p w14:paraId="3655FCEB" w14:textId="77777777" w:rsidR="002E474C" w:rsidRDefault="00000000">
            <w:pPr>
              <w:pStyle w:val="A-"/>
            </w:pPr>
            <w:r>
              <w:t>公路运输</w:t>
            </w:r>
          </w:p>
        </w:tc>
        <w:tc>
          <w:tcPr>
            <w:tcW w:w="1410" w:type="pct"/>
          </w:tcPr>
          <w:p w14:paraId="1BD48AB5" w14:textId="77777777" w:rsidR="002E474C" w:rsidRDefault="00000000">
            <w:pPr>
              <w:pStyle w:val="A-"/>
            </w:pPr>
            <w:r>
              <w:t>预均化堆棚</w:t>
            </w:r>
            <w:r>
              <w:rPr>
                <w:rFonts w:hint="eastAsia"/>
              </w:rPr>
              <w:t>、</w:t>
            </w:r>
            <w:r>
              <w:t>生料均化库</w:t>
            </w:r>
          </w:p>
        </w:tc>
        <w:tc>
          <w:tcPr>
            <w:tcW w:w="761" w:type="pct"/>
            <w:vAlign w:val="center"/>
          </w:tcPr>
          <w:p w14:paraId="43D9F23C" w14:textId="77777777" w:rsidR="002E474C" w:rsidRDefault="002E474C">
            <w:pPr>
              <w:pStyle w:val="A-"/>
            </w:pPr>
          </w:p>
        </w:tc>
      </w:tr>
      <w:tr w:rsidR="002E474C" w14:paraId="7593B265" w14:textId="77777777">
        <w:tc>
          <w:tcPr>
            <w:tcW w:w="389" w:type="pct"/>
            <w:vAlign w:val="center"/>
          </w:tcPr>
          <w:p w14:paraId="69071B92" w14:textId="77777777" w:rsidR="002E474C" w:rsidRDefault="00000000">
            <w:pPr>
              <w:pStyle w:val="A-"/>
            </w:pPr>
            <w:r>
              <w:t>7</w:t>
            </w:r>
          </w:p>
        </w:tc>
        <w:tc>
          <w:tcPr>
            <w:tcW w:w="771" w:type="pct"/>
            <w:vAlign w:val="center"/>
          </w:tcPr>
          <w:p w14:paraId="50B995A4" w14:textId="77777777" w:rsidR="002E474C" w:rsidRDefault="00000000">
            <w:pPr>
              <w:pStyle w:val="A-"/>
            </w:pPr>
            <w:r>
              <w:t>气化细渣</w:t>
            </w:r>
          </w:p>
        </w:tc>
        <w:tc>
          <w:tcPr>
            <w:tcW w:w="898" w:type="pct"/>
            <w:vAlign w:val="center"/>
          </w:tcPr>
          <w:p w14:paraId="7AAE9A1A" w14:textId="77777777" w:rsidR="002E474C" w:rsidRDefault="00000000">
            <w:pPr>
              <w:pStyle w:val="A-"/>
            </w:pPr>
            <w:r>
              <w:t>8543.48</w:t>
            </w:r>
          </w:p>
        </w:tc>
        <w:tc>
          <w:tcPr>
            <w:tcW w:w="771" w:type="pct"/>
            <w:vAlign w:val="center"/>
          </w:tcPr>
          <w:p w14:paraId="175ADC5F" w14:textId="77777777" w:rsidR="002E474C" w:rsidRDefault="00000000">
            <w:pPr>
              <w:pStyle w:val="A-"/>
            </w:pPr>
            <w:r>
              <w:t>公路运输</w:t>
            </w:r>
          </w:p>
        </w:tc>
        <w:tc>
          <w:tcPr>
            <w:tcW w:w="1410" w:type="pct"/>
          </w:tcPr>
          <w:p w14:paraId="13C4E4FB" w14:textId="77777777" w:rsidR="002E474C" w:rsidRDefault="00000000">
            <w:pPr>
              <w:pStyle w:val="A-"/>
            </w:pPr>
            <w:r>
              <w:t>预均化堆棚、生料均化库</w:t>
            </w:r>
          </w:p>
        </w:tc>
        <w:tc>
          <w:tcPr>
            <w:tcW w:w="761" w:type="pct"/>
            <w:vAlign w:val="center"/>
          </w:tcPr>
          <w:p w14:paraId="03913B11" w14:textId="77777777" w:rsidR="002E474C" w:rsidRDefault="002E474C">
            <w:pPr>
              <w:pStyle w:val="A-"/>
            </w:pPr>
          </w:p>
        </w:tc>
      </w:tr>
      <w:tr w:rsidR="002E474C" w14:paraId="3BC93A27" w14:textId="77777777">
        <w:tc>
          <w:tcPr>
            <w:tcW w:w="389" w:type="pct"/>
            <w:vAlign w:val="center"/>
          </w:tcPr>
          <w:p w14:paraId="3E2FC7E0" w14:textId="77777777" w:rsidR="002E474C" w:rsidRDefault="00000000">
            <w:pPr>
              <w:pStyle w:val="A-"/>
            </w:pPr>
            <w:r>
              <w:t>8</w:t>
            </w:r>
          </w:p>
        </w:tc>
        <w:tc>
          <w:tcPr>
            <w:tcW w:w="771" w:type="pct"/>
            <w:vAlign w:val="center"/>
          </w:tcPr>
          <w:p w14:paraId="4A13A787" w14:textId="77777777" w:rsidR="002E474C" w:rsidRDefault="00000000">
            <w:pPr>
              <w:pStyle w:val="A-"/>
            </w:pPr>
            <w:r>
              <w:t>炉渣</w:t>
            </w:r>
          </w:p>
        </w:tc>
        <w:tc>
          <w:tcPr>
            <w:tcW w:w="898" w:type="pct"/>
            <w:vAlign w:val="center"/>
          </w:tcPr>
          <w:p w14:paraId="6F0EC6FF" w14:textId="77777777" w:rsidR="002E474C" w:rsidRDefault="00000000">
            <w:pPr>
              <w:pStyle w:val="A-"/>
            </w:pPr>
            <w:r>
              <w:t>118912.72</w:t>
            </w:r>
          </w:p>
        </w:tc>
        <w:tc>
          <w:tcPr>
            <w:tcW w:w="771" w:type="pct"/>
            <w:vAlign w:val="center"/>
          </w:tcPr>
          <w:p w14:paraId="24F5267D" w14:textId="77777777" w:rsidR="002E474C" w:rsidRDefault="00000000">
            <w:pPr>
              <w:pStyle w:val="A-"/>
            </w:pPr>
            <w:r>
              <w:t>公路运输</w:t>
            </w:r>
          </w:p>
        </w:tc>
        <w:tc>
          <w:tcPr>
            <w:tcW w:w="1410" w:type="pct"/>
          </w:tcPr>
          <w:p w14:paraId="6BD25B01" w14:textId="77777777" w:rsidR="002E474C" w:rsidRDefault="00000000">
            <w:pPr>
              <w:pStyle w:val="A-"/>
            </w:pPr>
            <w:r>
              <w:t>预均化堆棚、生料均化库</w:t>
            </w:r>
            <w:r>
              <w:rPr>
                <w:rFonts w:hint="eastAsia"/>
              </w:rPr>
              <w:t>、</w:t>
            </w:r>
            <w:r>
              <w:t>调配库</w:t>
            </w:r>
          </w:p>
        </w:tc>
        <w:tc>
          <w:tcPr>
            <w:tcW w:w="761" w:type="pct"/>
            <w:vAlign w:val="center"/>
          </w:tcPr>
          <w:p w14:paraId="7FFA2E25" w14:textId="77777777" w:rsidR="002E474C" w:rsidRDefault="00000000">
            <w:pPr>
              <w:pStyle w:val="A-"/>
            </w:pPr>
            <w:r>
              <w:t>来自电厂</w:t>
            </w:r>
          </w:p>
        </w:tc>
      </w:tr>
      <w:tr w:rsidR="002E474C" w14:paraId="4875FEFD" w14:textId="77777777">
        <w:tc>
          <w:tcPr>
            <w:tcW w:w="389" w:type="pct"/>
            <w:vAlign w:val="center"/>
          </w:tcPr>
          <w:p w14:paraId="31C8B59F" w14:textId="77777777" w:rsidR="002E474C" w:rsidRDefault="00000000">
            <w:pPr>
              <w:pStyle w:val="A-"/>
            </w:pPr>
            <w:r>
              <w:t>9</w:t>
            </w:r>
          </w:p>
        </w:tc>
        <w:tc>
          <w:tcPr>
            <w:tcW w:w="771" w:type="pct"/>
            <w:vAlign w:val="center"/>
          </w:tcPr>
          <w:p w14:paraId="7BEC6B3A" w14:textId="77777777" w:rsidR="002E474C" w:rsidRDefault="00000000">
            <w:pPr>
              <w:pStyle w:val="A-"/>
            </w:pPr>
            <w:r>
              <w:t>低热值沫煤</w:t>
            </w:r>
          </w:p>
        </w:tc>
        <w:tc>
          <w:tcPr>
            <w:tcW w:w="898" w:type="pct"/>
            <w:vAlign w:val="center"/>
          </w:tcPr>
          <w:p w14:paraId="37DA8170" w14:textId="77777777" w:rsidR="002E474C" w:rsidRDefault="00000000">
            <w:pPr>
              <w:pStyle w:val="A-"/>
            </w:pPr>
            <w:r>
              <w:t>7669.76</w:t>
            </w:r>
          </w:p>
        </w:tc>
        <w:tc>
          <w:tcPr>
            <w:tcW w:w="771" w:type="pct"/>
            <w:vAlign w:val="center"/>
          </w:tcPr>
          <w:p w14:paraId="54A478C8" w14:textId="77777777" w:rsidR="002E474C" w:rsidRDefault="00000000">
            <w:pPr>
              <w:pStyle w:val="A-"/>
            </w:pPr>
            <w:r>
              <w:t>公路运输</w:t>
            </w:r>
          </w:p>
        </w:tc>
        <w:tc>
          <w:tcPr>
            <w:tcW w:w="1410" w:type="pct"/>
            <w:vAlign w:val="center"/>
          </w:tcPr>
          <w:p w14:paraId="44BA7B5B" w14:textId="77777777" w:rsidR="002E474C" w:rsidRDefault="00000000">
            <w:pPr>
              <w:pStyle w:val="A-"/>
            </w:pPr>
            <w:r>
              <w:rPr>
                <w:rFonts w:hint="eastAsia"/>
              </w:rPr>
              <w:t>原煤仓</w:t>
            </w:r>
            <w:r>
              <w:t>、联合预均化堆棚、调配库</w:t>
            </w:r>
          </w:p>
        </w:tc>
        <w:tc>
          <w:tcPr>
            <w:tcW w:w="761" w:type="pct"/>
            <w:vAlign w:val="center"/>
          </w:tcPr>
          <w:p w14:paraId="411B1EB6" w14:textId="77777777" w:rsidR="002E474C" w:rsidRDefault="00000000">
            <w:pPr>
              <w:pStyle w:val="A-"/>
            </w:pPr>
            <w:r>
              <w:t>来自煤矿</w:t>
            </w:r>
          </w:p>
        </w:tc>
      </w:tr>
      <w:tr w:rsidR="002E474C" w14:paraId="2A4373A8" w14:textId="77777777">
        <w:tc>
          <w:tcPr>
            <w:tcW w:w="389" w:type="pct"/>
            <w:vAlign w:val="center"/>
          </w:tcPr>
          <w:p w14:paraId="71C405B3" w14:textId="77777777" w:rsidR="002E474C" w:rsidRDefault="00000000">
            <w:pPr>
              <w:pStyle w:val="A-"/>
            </w:pPr>
            <w:r>
              <w:t>10</w:t>
            </w:r>
          </w:p>
        </w:tc>
        <w:tc>
          <w:tcPr>
            <w:tcW w:w="771" w:type="pct"/>
            <w:vAlign w:val="center"/>
          </w:tcPr>
          <w:p w14:paraId="081BA369" w14:textId="77777777" w:rsidR="002E474C" w:rsidRDefault="00000000">
            <w:pPr>
              <w:pStyle w:val="A-"/>
            </w:pPr>
            <w:r>
              <w:rPr>
                <w:rFonts w:hint="eastAsia"/>
              </w:rPr>
              <w:t>原煤</w:t>
            </w:r>
          </w:p>
        </w:tc>
        <w:tc>
          <w:tcPr>
            <w:tcW w:w="898" w:type="pct"/>
            <w:vAlign w:val="center"/>
          </w:tcPr>
          <w:p w14:paraId="27589E88" w14:textId="77777777" w:rsidR="002E474C" w:rsidRDefault="00000000">
            <w:pPr>
              <w:pStyle w:val="A-"/>
            </w:pPr>
            <w:r>
              <w:t>121516.70</w:t>
            </w:r>
          </w:p>
        </w:tc>
        <w:tc>
          <w:tcPr>
            <w:tcW w:w="771" w:type="pct"/>
            <w:vAlign w:val="center"/>
          </w:tcPr>
          <w:p w14:paraId="0DC68167" w14:textId="77777777" w:rsidR="002E474C" w:rsidRDefault="00000000">
            <w:pPr>
              <w:pStyle w:val="A-"/>
            </w:pPr>
            <w:r>
              <w:t>公路运输</w:t>
            </w:r>
          </w:p>
        </w:tc>
        <w:tc>
          <w:tcPr>
            <w:tcW w:w="1410" w:type="pct"/>
            <w:vAlign w:val="center"/>
          </w:tcPr>
          <w:p w14:paraId="135F1686" w14:textId="77777777" w:rsidR="002E474C" w:rsidRDefault="00000000">
            <w:pPr>
              <w:pStyle w:val="A-"/>
            </w:pPr>
            <w:r>
              <w:rPr>
                <w:rFonts w:hint="eastAsia"/>
              </w:rPr>
              <w:t>原煤仓</w:t>
            </w:r>
            <w:r>
              <w:t>、联合预均化堆棚、调配库</w:t>
            </w:r>
          </w:p>
        </w:tc>
        <w:tc>
          <w:tcPr>
            <w:tcW w:w="761" w:type="pct"/>
            <w:vAlign w:val="center"/>
          </w:tcPr>
          <w:p w14:paraId="41EFDECF" w14:textId="77777777" w:rsidR="002E474C" w:rsidRDefault="00000000">
            <w:pPr>
              <w:pStyle w:val="A-"/>
            </w:pPr>
            <w:r>
              <w:t>来自煤矿</w:t>
            </w:r>
          </w:p>
        </w:tc>
      </w:tr>
      <w:tr w:rsidR="002E474C" w14:paraId="46F44E6F" w14:textId="77777777">
        <w:tc>
          <w:tcPr>
            <w:tcW w:w="389" w:type="pct"/>
            <w:vAlign w:val="center"/>
          </w:tcPr>
          <w:p w14:paraId="78B8C04E" w14:textId="77777777" w:rsidR="002E474C" w:rsidRDefault="00000000">
            <w:pPr>
              <w:pStyle w:val="A-"/>
            </w:pPr>
            <w:r>
              <w:t>11</w:t>
            </w:r>
          </w:p>
        </w:tc>
        <w:tc>
          <w:tcPr>
            <w:tcW w:w="771" w:type="pct"/>
            <w:vAlign w:val="center"/>
          </w:tcPr>
          <w:p w14:paraId="62B66D17" w14:textId="77777777" w:rsidR="002E474C" w:rsidRDefault="00000000">
            <w:pPr>
              <w:pStyle w:val="A-"/>
            </w:pPr>
            <w:r>
              <w:t>煤矸石</w:t>
            </w:r>
          </w:p>
        </w:tc>
        <w:tc>
          <w:tcPr>
            <w:tcW w:w="898" w:type="pct"/>
            <w:vAlign w:val="center"/>
          </w:tcPr>
          <w:p w14:paraId="0B83F5D5" w14:textId="77777777" w:rsidR="002E474C" w:rsidRDefault="00000000">
            <w:pPr>
              <w:pStyle w:val="A-"/>
            </w:pPr>
            <w:r>
              <w:t>17593.90</w:t>
            </w:r>
          </w:p>
        </w:tc>
        <w:tc>
          <w:tcPr>
            <w:tcW w:w="771" w:type="pct"/>
            <w:vAlign w:val="center"/>
          </w:tcPr>
          <w:p w14:paraId="607AA420" w14:textId="77777777" w:rsidR="002E474C" w:rsidRDefault="00000000">
            <w:pPr>
              <w:pStyle w:val="A-"/>
            </w:pPr>
            <w:r>
              <w:t>公路运输</w:t>
            </w:r>
          </w:p>
        </w:tc>
        <w:tc>
          <w:tcPr>
            <w:tcW w:w="1410" w:type="pct"/>
            <w:vAlign w:val="center"/>
          </w:tcPr>
          <w:p w14:paraId="5BF73EDC" w14:textId="77777777" w:rsidR="002E474C" w:rsidRDefault="00000000">
            <w:pPr>
              <w:pStyle w:val="A-"/>
            </w:pPr>
            <w:r>
              <w:t>预均化堆棚、生料均化库</w:t>
            </w:r>
          </w:p>
        </w:tc>
        <w:tc>
          <w:tcPr>
            <w:tcW w:w="761" w:type="pct"/>
            <w:vAlign w:val="center"/>
          </w:tcPr>
          <w:p w14:paraId="37335297" w14:textId="77777777" w:rsidR="002E474C" w:rsidRDefault="00000000">
            <w:pPr>
              <w:pStyle w:val="A-"/>
            </w:pPr>
            <w:r>
              <w:t>来自电厂</w:t>
            </w:r>
          </w:p>
        </w:tc>
      </w:tr>
      <w:tr w:rsidR="002E474C" w14:paraId="06228E04" w14:textId="77777777">
        <w:tc>
          <w:tcPr>
            <w:tcW w:w="389" w:type="pct"/>
            <w:vAlign w:val="center"/>
          </w:tcPr>
          <w:p w14:paraId="2571E187" w14:textId="77777777" w:rsidR="002E474C" w:rsidRDefault="00000000">
            <w:pPr>
              <w:pStyle w:val="A-"/>
            </w:pPr>
            <w:r>
              <w:t>12</w:t>
            </w:r>
          </w:p>
        </w:tc>
        <w:tc>
          <w:tcPr>
            <w:tcW w:w="771" w:type="pct"/>
            <w:vAlign w:val="center"/>
          </w:tcPr>
          <w:p w14:paraId="1CE5AC6C" w14:textId="77777777" w:rsidR="002E474C" w:rsidRDefault="00000000">
            <w:pPr>
              <w:pStyle w:val="A-"/>
            </w:pPr>
            <w:r>
              <w:t>熟料</w:t>
            </w:r>
          </w:p>
        </w:tc>
        <w:tc>
          <w:tcPr>
            <w:tcW w:w="898" w:type="pct"/>
            <w:vAlign w:val="center"/>
          </w:tcPr>
          <w:p w14:paraId="32145D70" w14:textId="77777777" w:rsidR="002E474C" w:rsidRDefault="00000000">
            <w:pPr>
              <w:pStyle w:val="A-"/>
            </w:pPr>
            <w:r>
              <w:t>975735.53</w:t>
            </w:r>
          </w:p>
        </w:tc>
        <w:tc>
          <w:tcPr>
            <w:tcW w:w="771" w:type="pct"/>
            <w:vAlign w:val="center"/>
          </w:tcPr>
          <w:p w14:paraId="52515FFD" w14:textId="77777777" w:rsidR="002E474C" w:rsidRDefault="00000000">
            <w:pPr>
              <w:pStyle w:val="A-"/>
            </w:pPr>
            <w:r>
              <w:t>胶带输送机</w:t>
            </w:r>
          </w:p>
        </w:tc>
        <w:tc>
          <w:tcPr>
            <w:tcW w:w="1410" w:type="pct"/>
            <w:vAlign w:val="center"/>
          </w:tcPr>
          <w:p w14:paraId="16DC3FA2" w14:textId="77777777" w:rsidR="002E474C" w:rsidRDefault="00000000">
            <w:pPr>
              <w:pStyle w:val="A-"/>
            </w:pPr>
            <w:r>
              <w:rPr>
                <w:rFonts w:hint="eastAsia"/>
              </w:rPr>
              <w:t>熟料库、熟料堆棚</w:t>
            </w:r>
          </w:p>
        </w:tc>
        <w:tc>
          <w:tcPr>
            <w:tcW w:w="761" w:type="pct"/>
            <w:vAlign w:val="center"/>
          </w:tcPr>
          <w:p w14:paraId="1A81F1B6" w14:textId="77777777" w:rsidR="002E474C" w:rsidRDefault="00000000">
            <w:pPr>
              <w:pStyle w:val="A-"/>
            </w:pPr>
            <w:r>
              <w:t>自产</w:t>
            </w:r>
          </w:p>
        </w:tc>
      </w:tr>
      <w:tr w:rsidR="002E474C" w14:paraId="2D60DF35" w14:textId="77777777">
        <w:tc>
          <w:tcPr>
            <w:tcW w:w="389" w:type="pct"/>
            <w:vAlign w:val="center"/>
          </w:tcPr>
          <w:p w14:paraId="76AEDA16" w14:textId="77777777" w:rsidR="002E474C" w:rsidRDefault="00000000">
            <w:pPr>
              <w:pStyle w:val="A-"/>
            </w:pPr>
            <w:r>
              <w:t>13</w:t>
            </w:r>
          </w:p>
        </w:tc>
        <w:tc>
          <w:tcPr>
            <w:tcW w:w="771" w:type="pct"/>
            <w:vAlign w:val="center"/>
          </w:tcPr>
          <w:p w14:paraId="2CF16565" w14:textId="77777777" w:rsidR="002E474C" w:rsidRDefault="00000000">
            <w:pPr>
              <w:pStyle w:val="A-"/>
            </w:pPr>
            <w:r>
              <w:t>尾渣</w:t>
            </w:r>
          </w:p>
        </w:tc>
        <w:tc>
          <w:tcPr>
            <w:tcW w:w="898" w:type="pct"/>
            <w:vAlign w:val="center"/>
          </w:tcPr>
          <w:p w14:paraId="43CBA0A5" w14:textId="77777777" w:rsidR="002E474C" w:rsidRDefault="00000000">
            <w:pPr>
              <w:pStyle w:val="A-"/>
            </w:pPr>
            <w:r>
              <w:t>22200.96</w:t>
            </w:r>
          </w:p>
        </w:tc>
        <w:tc>
          <w:tcPr>
            <w:tcW w:w="771" w:type="pct"/>
            <w:vAlign w:val="center"/>
          </w:tcPr>
          <w:p w14:paraId="75DEA252" w14:textId="77777777" w:rsidR="002E474C" w:rsidRDefault="00000000">
            <w:pPr>
              <w:pStyle w:val="A-"/>
            </w:pPr>
            <w:r>
              <w:t>公路运输</w:t>
            </w:r>
          </w:p>
        </w:tc>
        <w:tc>
          <w:tcPr>
            <w:tcW w:w="1410" w:type="pct"/>
            <w:vAlign w:val="center"/>
          </w:tcPr>
          <w:p w14:paraId="79060F75" w14:textId="77777777" w:rsidR="002E474C" w:rsidRDefault="00000000">
            <w:pPr>
              <w:pStyle w:val="A-"/>
            </w:pPr>
            <w:r>
              <w:t>预均化堆棚、生料均化库</w:t>
            </w:r>
            <w:r>
              <w:rPr>
                <w:rFonts w:hint="eastAsia"/>
              </w:rPr>
              <w:t>、</w:t>
            </w:r>
            <w:r>
              <w:t>调配库</w:t>
            </w:r>
          </w:p>
        </w:tc>
        <w:tc>
          <w:tcPr>
            <w:tcW w:w="761" w:type="pct"/>
            <w:vAlign w:val="center"/>
          </w:tcPr>
          <w:p w14:paraId="788BFC74" w14:textId="77777777" w:rsidR="002E474C" w:rsidRDefault="00000000">
            <w:pPr>
              <w:pStyle w:val="A-"/>
            </w:pPr>
            <w:r>
              <w:t>鄯善</w:t>
            </w:r>
          </w:p>
        </w:tc>
      </w:tr>
      <w:tr w:rsidR="002E474C" w14:paraId="01273051" w14:textId="77777777">
        <w:tc>
          <w:tcPr>
            <w:tcW w:w="389" w:type="pct"/>
            <w:vAlign w:val="center"/>
          </w:tcPr>
          <w:p w14:paraId="785FD1D6" w14:textId="77777777" w:rsidR="002E474C" w:rsidRDefault="00000000">
            <w:pPr>
              <w:pStyle w:val="A-"/>
            </w:pPr>
            <w:r>
              <w:t>14</w:t>
            </w:r>
          </w:p>
        </w:tc>
        <w:tc>
          <w:tcPr>
            <w:tcW w:w="771" w:type="pct"/>
            <w:vAlign w:val="center"/>
          </w:tcPr>
          <w:p w14:paraId="0F01F9ED" w14:textId="77777777" w:rsidR="002E474C" w:rsidRDefault="00000000">
            <w:pPr>
              <w:pStyle w:val="A-"/>
            </w:pPr>
            <w:r>
              <w:t>石膏</w:t>
            </w:r>
          </w:p>
        </w:tc>
        <w:tc>
          <w:tcPr>
            <w:tcW w:w="898" w:type="pct"/>
            <w:vAlign w:val="center"/>
          </w:tcPr>
          <w:p w14:paraId="59DDC440" w14:textId="77777777" w:rsidR="002E474C" w:rsidRDefault="00000000">
            <w:pPr>
              <w:pStyle w:val="A-"/>
            </w:pPr>
            <w:r>
              <w:t>17518.98</w:t>
            </w:r>
          </w:p>
        </w:tc>
        <w:tc>
          <w:tcPr>
            <w:tcW w:w="771" w:type="pct"/>
          </w:tcPr>
          <w:p w14:paraId="2BBEAC35" w14:textId="77777777" w:rsidR="002E474C" w:rsidRDefault="00000000">
            <w:pPr>
              <w:pStyle w:val="A-"/>
            </w:pPr>
            <w:r>
              <w:t>公路运输</w:t>
            </w:r>
          </w:p>
        </w:tc>
        <w:tc>
          <w:tcPr>
            <w:tcW w:w="1410" w:type="pct"/>
          </w:tcPr>
          <w:p w14:paraId="4CE148BE" w14:textId="77777777" w:rsidR="002E474C" w:rsidRDefault="00000000">
            <w:pPr>
              <w:pStyle w:val="A-"/>
            </w:pPr>
            <w:r>
              <w:t>联合预均化堆棚、</w:t>
            </w:r>
            <w:r>
              <w:rPr>
                <w:rFonts w:hint="eastAsia"/>
              </w:rPr>
              <w:t>水泥磨</w:t>
            </w:r>
            <w:r>
              <w:t>调配库</w:t>
            </w:r>
          </w:p>
        </w:tc>
        <w:tc>
          <w:tcPr>
            <w:tcW w:w="761" w:type="pct"/>
            <w:vAlign w:val="center"/>
          </w:tcPr>
          <w:p w14:paraId="79B0728B" w14:textId="77777777" w:rsidR="002E474C" w:rsidRDefault="00000000">
            <w:pPr>
              <w:pStyle w:val="A-"/>
            </w:pPr>
            <w:r>
              <w:rPr>
                <w:rFonts w:hint="eastAsia"/>
              </w:rPr>
              <w:t>小草湖</w:t>
            </w:r>
          </w:p>
        </w:tc>
      </w:tr>
      <w:tr w:rsidR="002E474C" w14:paraId="3875558A" w14:textId="77777777">
        <w:tc>
          <w:tcPr>
            <w:tcW w:w="389" w:type="pct"/>
            <w:vAlign w:val="center"/>
          </w:tcPr>
          <w:p w14:paraId="5775439B" w14:textId="77777777" w:rsidR="002E474C" w:rsidRDefault="00000000">
            <w:pPr>
              <w:pStyle w:val="A-"/>
            </w:pPr>
            <w:r>
              <w:t>15</w:t>
            </w:r>
          </w:p>
        </w:tc>
        <w:tc>
          <w:tcPr>
            <w:tcW w:w="771" w:type="pct"/>
            <w:vAlign w:val="center"/>
          </w:tcPr>
          <w:p w14:paraId="48AF6348" w14:textId="77777777" w:rsidR="002E474C" w:rsidRDefault="00000000">
            <w:pPr>
              <w:pStyle w:val="A-"/>
            </w:pPr>
            <w:r>
              <w:t>脱硫石膏</w:t>
            </w:r>
          </w:p>
        </w:tc>
        <w:tc>
          <w:tcPr>
            <w:tcW w:w="898" w:type="pct"/>
            <w:vAlign w:val="center"/>
          </w:tcPr>
          <w:p w14:paraId="0B809B86" w14:textId="77777777" w:rsidR="002E474C" w:rsidRDefault="00000000">
            <w:pPr>
              <w:pStyle w:val="A-"/>
            </w:pPr>
            <w:r>
              <w:t>45647.54</w:t>
            </w:r>
          </w:p>
        </w:tc>
        <w:tc>
          <w:tcPr>
            <w:tcW w:w="771" w:type="pct"/>
          </w:tcPr>
          <w:p w14:paraId="5FDB1967" w14:textId="77777777" w:rsidR="002E474C" w:rsidRDefault="00000000">
            <w:pPr>
              <w:pStyle w:val="A-"/>
            </w:pPr>
            <w:r>
              <w:t>公路运输</w:t>
            </w:r>
          </w:p>
        </w:tc>
        <w:tc>
          <w:tcPr>
            <w:tcW w:w="1410" w:type="pct"/>
          </w:tcPr>
          <w:p w14:paraId="736A6752" w14:textId="77777777" w:rsidR="002E474C" w:rsidRDefault="00000000">
            <w:pPr>
              <w:pStyle w:val="A-"/>
            </w:pPr>
            <w:r>
              <w:t>联合预均化堆棚</w:t>
            </w:r>
            <w:r>
              <w:rPr>
                <w:rFonts w:hint="eastAsia"/>
              </w:rPr>
              <w:t>、水泥磨</w:t>
            </w:r>
            <w:r>
              <w:t>调配库</w:t>
            </w:r>
          </w:p>
        </w:tc>
        <w:tc>
          <w:tcPr>
            <w:tcW w:w="761" w:type="pct"/>
            <w:vAlign w:val="center"/>
          </w:tcPr>
          <w:p w14:paraId="540AAC00" w14:textId="77777777" w:rsidR="002E474C" w:rsidRDefault="00000000">
            <w:pPr>
              <w:pStyle w:val="A-"/>
            </w:pPr>
            <w:r>
              <w:t>来自电厂</w:t>
            </w:r>
          </w:p>
        </w:tc>
      </w:tr>
      <w:tr w:rsidR="002E474C" w14:paraId="5F4EDD59" w14:textId="77777777">
        <w:tc>
          <w:tcPr>
            <w:tcW w:w="389" w:type="pct"/>
            <w:vAlign w:val="center"/>
          </w:tcPr>
          <w:p w14:paraId="085F6B4C" w14:textId="77777777" w:rsidR="002E474C" w:rsidRDefault="00000000">
            <w:pPr>
              <w:pStyle w:val="A-"/>
            </w:pPr>
            <w:r>
              <w:t>16</w:t>
            </w:r>
          </w:p>
        </w:tc>
        <w:tc>
          <w:tcPr>
            <w:tcW w:w="771" w:type="pct"/>
            <w:vAlign w:val="center"/>
          </w:tcPr>
          <w:p w14:paraId="4FA4061E" w14:textId="77777777" w:rsidR="002E474C" w:rsidRDefault="00000000">
            <w:pPr>
              <w:pStyle w:val="A-"/>
            </w:pPr>
            <w:r>
              <w:t>高炉水渣</w:t>
            </w:r>
          </w:p>
        </w:tc>
        <w:tc>
          <w:tcPr>
            <w:tcW w:w="898" w:type="pct"/>
            <w:vAlign w:val="center"/>
          </w:tcPr>
          <w:p w14:paraId="628B9FFD" w14:textId="77777777" w:rsidR="002E474C" w:rsidRDefault="00000000">
            <w:pPr>
              <w:pStyle w:val="A-"/>
            </w:pPr>
            <w:r>
              <w:t>37958.83</w:t>
            </w:r>
          </w:p>
        </w:tc>
        <w:tc>
          <w:tcPr>
            <w:tcW w:w="771" w:type="pct"/>
          </w:tcPr>
          <w:p w14:paraId="218586C0" w14:textId="77777777" w:rsidR="002E474C" w:rsidRDefault="00000000">
            <w:pPr>
              <w:pStyle w:val="A-"/>
            </w:pPr>
            <w:r>
              <w:t>公路运输</w:t>
            </w:r>
          </w:p>
        </w:tc>
        <w:tc>
          <w:tcPr>
            <w:tcW w:w="1410" w:type="pct"/>
          </w:tcPr>
          <w:p w14:paraId="1A8F456D" w14:textId="77777777" w:rsidR="002E474C" w:rsidRDefault="00000000">
            <w:pPr>
              <w:pStyle w:val="A-"/>
            </w:pPr>
            <w:r>
              <w:t>预均化堆棚、</w:t>
            </w:r>
            <w:r>
              <w:rPr>
                <w:rFonts w:hint="eastAsia"/>
              </w:rPr>
              <w:t>水泥磨</w:t>
            </w:r>
            <w:r>
              <w:t>调配库</w:t>
            </w:r>
          </w:p>
        </w:tc>
        <w:tc>
          <w:tcPr>
            <w:tcW w:w="761" w:type="pct"/>
            <w:vAlign w:val="center"/>
          </w:tcPr>
          <w:p w14:paraId="056719A1" w14:textId="77777777" w:rsidR="002E474C" w:rsidRDefault="002E474C">
            <w:pPr>
              <w:pStyle w:val="A-"/>
            </w:pPr>
          </w:p>
        </w:tc>
      </w:tr>
    </w:tbl>
    <w:p w14:paraId="753180A5" w14:textId="77777777" w:rsidR="002E474C" w:rsidRDefault="002E474C"/>
    <w:p w14:paraId="072131FB" w14:textId="77777777" w:rsidR="002E474C" w:rsidRDefault="00000000">
      <w:pPr>
        <w:pStyle w:val="31"/>
        <w:spacing w:before="120" w:after="120"/>
        <w:rPr>
          <w:color w:val="auto"/>
        </w:rPr>
      </w:pPr>
      <w:r>
        <w:rPr>
          <w:color w:val="auto"/>
        </w:rPr>
        <w:t>工艺流程及产污环节</w:t>
      </w:r>
    </w:p>
    <w:p w14:paraId="1F871D5D" w14:textId="77777777" w:rsidR="002E474C" w:rsidRDefault="00000000">
      <w:pPr>
        <w:pStyle w:val="A-z"/>
        <w:rPr>
          <w:color w:val="auto"/>
        </w:rPr>
      </w:pPr>
      <w:r>
        <w:rPr>
          <w:rFonts w:hint="eastAsia"/>
          <w:color w:val="auto"/>
        </w:rPr>
        <w:t>圣雄水泥公司</w:t>
      </w:r>
      <w:r>
        <w:rPr>
          <w:color w:val="auto"/>
        </w:rPr>
        <w:t>干法水泥生产线的生产工艺主要包括原料破碎与储存，电石渣烘干、生料粉磨及生料均化、储存，原煤储存及煤粉制备、熟料烧成，水泥制成及水泥包装、散装。</w:t>
      </w:r>
    </w:p>
    <w:p w14:paraId="1D7E2E96" w14:textId="77777777" w:rsidR="002E474C" w:rsidRDefault="00000000">
      <w:pPr>
        <w:pStyle w:val="A-z"/>
        <w:rPr>
          <w:color w:val="auto"/>
        </w:rPr>
      </w:pPr>
      <w:r>
        <w:rPr>
          <w:color w:val="auto"/>
        </w:rPr>
        <w:t>本项目依托</w:t>
      </w:r>
      <w:r>
        <w:rPr>
          <w:rFonts w:hint="eastAsia"/>
          <w:color w:val="auto"/>
        </w:rPr>
        <w:t>圣雄水泥公司</w:t>
      </w:r>
      <w:r>
        <w:rPr>
          <w:color w:val="auto"/>
        </w:rPr>
        <w:t>5000t/d</w:t>
      </w:r>
      <w:r>
        <w:rPr>
          <w:color w:val="auto"/>
        </w:rPr>
        <w:t>电石渣干法水泥生产线的主要生产环节为生料粉磨环节设置无机危废投料系统、熟料烧成系统的分解炉设置固态危废投料系统与应急处置系统、回转窑设置液态危废投料系统。</w:t>
      </w:r>
    </w:p>
    <w:p w14:paraId="0CCDF402" w14:textId="77777777" w:rsidR="002E474C" w:rsidRDefault="00000000">
      <w:pPr>
        <w:pStyle w:val="A-z"/>
        <w:rPr>
          <w:color w:val="auto"/>
        </w:rPr>
      </w:pPr>
      <w:r>
        <w:rPr>
          <w:color w:val="auto"/>
        </w:rPr>
        <w:t>电石渣干法水泥生产线的工艺流程及产污环节见图</w:t>
      </w:r>
      <w:r>
        <w:rPr>
          <w:color w:val="auto"/>
        </w:rPr>
        <w:t>3.1-2</w:t>
      </w:r>
      <w:r>
        <w:rPr>
          <w:color w:val="auto"/>
        </w:rPr>
        <w:t>。</w:t>
      </w:r>
    </w:p>
    <w:p w14:paraId="30983D23" w14:textId="77777777" w:rsidR="002E474C" w:rsidRDefault="00000000">
      <w:pPr>
        <w:pStyle w:val="A-z"/>
        <w:rPr>
          <w:color w:val="auto"/>
        </w:rPr>
      </w:pPr>
      <w:r>
        <w:rPr>
          <w:color w:val="auto"/>
        </w:rPr>
        <w:t>电石渣干法水泥生产线的生产工艺流程主要包括以下几部分：</w:t>
      </w:r>
    </w:p>
    <w:p w14:paraId="5B6E2694" w14:textId="77777777" w:rsidR="002E474C" w:rsidRDefault="00000000">
      <w:pPr>
        <w:pStyle w:val="A-z"/>
        <w:rPr>
          <w:color w:val="auto"/>
        </w:rPr>
      </w:pPr>
      <w:r>
        <w:rPr>
          <w:color w:val="auto"/>
        </w:rPr>
        <w:t>（</w:t>
      </w:r>
      <w:r>
        <w:rPr>
          <w:color w:val="auto"/>
        </w:rPr>
        <w:t>1</w:t>
      </w:r>
      <w:r>
        <w:rPr>
          <w:color w:val="auto"/>
        </w:rPr>
        <w:t>）</w:t>
      </w:r>
      <w:r>
        <w:rPr>
          <w:rFonts w:hint="eastAsia"/>
          <w:color w:val="auto"/>
        </w:rPr>
        <w:t>原料</w:t>
      </w:r>
      <w:r>
        <w:rPr>
          <w:color w:val="auto"/>
        </w:rPr>
        <w:t>的储存</w:t>
      </w:r>
    </w:p>
    <w:p w14:paraId="2BCAE4D1" w14:textId="77777777" w:rsidR="002E474C" w:rsidRDefault="00000000">
      <w:pPr>
        <w:pStyle w:val="A-z"/>
        <w:rPr>
          <w:color w:val="auto"/>
        </w:rPr>
      </w:pPr>
      <w:r>
        <w:rPr>
          <w:color w:val="auto"/>
        </w:rPr>
        <w:t>石灰石</w:t>
      </w:r>
      <w:r>
        <w:rPr>
          <w:rFonts w:hint="eastAsia"/>
          <w:color w:val="auto"/>
        </w:rPr>
        <w:t>、页岩、气化细渣、炉渣、煤矸石、铁矿粉、硅石、石灰石沫等原料</w:t>
      </w:r>
      <w:r>
        <w:rPr>
          <w:color w:val="auto"/>
        </w:rPr>
        <w:t>由汽车运输到厂，经破碎机破碎后的</w:t>
      </w:r>
      <w:r>
        <w:rPr>
          <w:rFonts w:hint="eastAsia"/>
          <w:color w:val="auto"/>
        </w:rPr>
        <w:t>原料与入厂石灰石沫</w:t>
      </w:r>
      <w:r>
        <w:rPr>
          <w:color w:val="auto"/>
        </w:rPr>
        <w:t>由胶带机输送送入预均</w:t>
      </w:r>
      <w:r>
        <w:rPr>
          <w:color w:val="auto"/>
        </w:rPr>
        <w:lastRenderedPageBreak/>
        <w:t>化堆棚，由</w:t>
      </w:r>
      <w:r>
        <w:rPr>
          <w:color w:val="auto"/>
          <w:lang w:val="en-US"/>
        </w:rPr>
        <w:t>侧</w:t>
      </w:r>
      <w:r>
        <w:rPr>
          <w:color w:val="auto"/>
        </w:rPr>
        <w:t>式悬臂堆料机进行堆料、桥式刮板取料机取料，经胶带输送机送至调配库。</w:t>
      </w:r>
    </w:p>
    <w:p w14:paraId="21B8F2BB" w14:textId="77777777" w:rsidR="002E474C" w:rsidRDefault="00000000">
      <w:pPr>
        <w:pStyle w:val="A-z"/>
        <w:rPr>
          <w:color w:val="auto"/>
        </w:rPr>
      </w:pPr>
      <w:r>
        <w:rPr>
          <w:color w:val="auto"/>
        </w:rPr>
        <w:t>（</w:t>
      </w:r>
      <w:r>
        <w:rPr>
          <w:color w:val="auto"/>
        </w:rPr>
        <w:t>2</w:t>
      </w:r>
      <w:r>
        <w:rPr>
          <w:color w:val="auto"/>
        </w:rPr>
        <w:t>）原煤、辅助原料均化、储存</w:t>
      </w:r>
    </w:p>
    <w:p w14:paraId="4F44AA61" w14:textId="77777777" w:rsidR="002E474C" w:rsidRDefault="00000000">
      <w:pPr>
        <w:pStyle w:val="A-z"/>
        <w:rPr>
          <w:color w:val="auto"/>
        </w:rPr>
      </w:pPr>
      <w:r>
        <w:rPr>
          <w:color w:val="auto"/>
        </w:rPr>
        <w:t>原煤或辅助原料，由汽车运输到厂，由装载机卸入受料斗，经破碎机破碎后，通过胶带机送至原煤、辅助原料联合预均化堆棚，由</w:t>
      </w:r>
      <w:r>
        <w:rPr>
          <w:color w:val="auto"/>
          <w:lang w:val="en-US"/>
        </w:rPr>
        <w:t>侧</w:t>
      </w:r>
      <w:r>
        <w:rPr>
          <w:color w:val="auto"/>
        </w:rPr>
        <w:t>式悬臂堆料机进行堆料。原煤由一台桥式斗轮取料机取出，经胶带输送机送至煤粉制备原煤仓中储存。辅助原料由一台桥式刮板取料机取出，经胶带输送机送至调配库。</w:t>
      </w:r>
    </w:p>
    <w:p w14:paraId="184918CB" w14:textId="77777777" w:rsidR="002E474C" w:rsidRDefault="00000000">
      <w:pPr>
        <w:pStyle w:val="A-z"/>
        <w:rPr>
          <w:color w:val="auto"/>
        </w:rPr>
      </w:pPr>
      <w:r>
        <w:rPr>
          <w:color w:val="auto"/>
        </w:rPr>
        <w:t>粉煤灰通过气力输送管道送入粉煤灰活化处理喂料小仓，经活化处理后入粉煤灰库储存。</w:t>
      </w:r>
    </w:p>
    <w:p w14:paraId="4748D726" w14:textId="77777777" w:rsidR="002E474C" w:rsidRDefault="00000000">
      <w:pPr>
        <w:pStyle w:val="A-z"/>
        <w:rPr>
          <w:color w:val="auto"/>
        </w:rPr>
      </w:pPr>
      <w:r>
        <w:rPr>
          <w:color w:val="auto"/>
        </w:rPr>
        <w:t>（</w:t>
      </w:r>
      <w:r>
        <w:rPr>
          <w:color w:val="auto"/>
        </w:rPr>
        <w:t>3</w:t>
      </w:r>
      <w:r>
        <w:rPr>
          <w:color w:val="auto"/>
        </w:rPr>
        <w:t>）原料调配</w:t>
      </w:r>
    </w:p>
    <w:p w14:paraId="50729782" w14:textId="77777777" w:rsidR="002E474C" w:rsidRDefault="00000000">
      <w:pPr>
        <w:pStyle w:val="A-z"/>
        <w:rPr>
          <w:color w:val="auto"/>
        </w:rPr>
      </w:pPr>
      <w:r>
        <w:rPr>
          <w:color w:val="auto"/>
        </w:rPr>
        <w:t>原料调配库下均设有两套计量喂料装置，供两套原料磨喂料。</w:t>
      </w:r>
    </w:p>
    <w:p w14:paraId="572B33BC" w14:textId="77777777" w:rsidR="002E474C" w:rsidRDefault="00000000">
      <w:pPr>
        <w:pStyle w:val="A-z"/>
        <w:rPr>
          <w:color w:val="auto"/>
        </w:rPr>
      </w:pPr>
      <w:r>
        <w:rPr>
          <w:color w:val="auto"/>
        </w:rPr>
        <w:t>每种物料均由定量给料机按比例计量控制卸出，并经胶带输送机送至原料磨粉磨。</w:t>
      </w:r>
    </w:p>
    <w:p w14:paraId="2F6CA783" w14:textId="77777777" w:rsidR="002E474C" w:rsidRDefault="00000000">
      <w:pPr>
        <w:pStyle w:val="A-z"/>
        <w:rPr>
          <w:color w:val="auto"/>
        </w:rPr>
      </w:pPr>
      <w:r>
        <w:rPr>
          <w:color w:val="auto"/>
        </w:rPr>
        <w:t>（</w:t>
      </w:r>
      <w:r>
        <w:rPr>
          <w:color w:val="auto"/>
        </w:rPr>
        <w:t>4</w:t>
      </w:r>
      <w:r>
        <w:rPr>
          <w:color w:val="auto"/>
        </w:rPr>
        <w:t>）原料粉磨及废气处理</w:t>
      </w:r>
    </w:p>
    <w:p w14:paraId="76631BDC" w14:textId="77777777" w:rsidR="002E474C" w:rsidRDefault="00000000">
      <w:pPr>
        <w:pStyle w:val="A-z"/>
        <w:rPr>
          <w:color w:val="auto"/>
        </w:rPr>
      </w:pPr>
      <w:r>
        <w:rPr>
          <w:color w:val="auto"/>
        </w:rPr>
        <w:t>原料磨采用两套辊压机终粉磨系统，并设有高温风机、原料磨风机、废气处理风机即采用三风机系统。</w:t>
      </w:r>
    </w:p>
    <w:p w14:paraId="5330CDDE" w14:textId="77777777" w:rsidR="002E474C" w:rsidRDefault="00000000">
      <w:pPr>
        <w:pStyle w:val="A-z"/>
        <w:rPr>
          <w:color w:val="auto"/>
          <w:kern w:val="0"/>
        </w:rPr>
      </w:pPr>
      <w:r>
        <w:rPr>
          <w:color w:val="auto"/>
          <w:kern w:val="0"/>
        </w:rPr>
        <w:t>当辊压机运行时，粉磨系统利用预热器的废气作为生料的烘干热源。窑尾高温废气经过</w:t>
      </w:r>
      <w:r>
        <w:rPr>
          <w:color w:val="auto"/>
          <w:kern w:val="0"/>
        </w:rPr>
        <w:t>SNCR</w:t>
      </w:r>
      <w:r>
        <w:rPr>
          <w:color w:val="auto"/>
          <w:kern w:val="0"/>
        </w:rPr>
        <w:t>脱硝后在管道增湿降温，再经窑尾高温风机送至粉磨系统。按照质量控制要求配好的原料，经带式输送机送入</w:t>
      </w:r>
      <w:r>
        <w:rPr>
          <w:color w:val="auto"/>
          <w:kern w:val="0"/>
        </w:rPr>
        <w:t>V</w:t>
      </w:r>
      <w:r>
        <w:rPr>
          <w:color w:val="auto"/>
          <w:kern w:val="0"/>
        </w:rPr>
        <w:t>型选粉机内进行初选，大块物料经斗提送入辊压机内进行挤压，小块物料随气流进入</w:t>
      </w:r>
      <w:r>
        <w:rPr>
          <w:color w:val="auto"/>
          <w:kern w:val="0"/>
        </w:rPr>
        <w:t>XR</w:t>
      </w:r>
      <w:r>
        <w:rPr>
          <w:color w:val="auto"/>
          <w:kern w:val="0"/>
        </w:rPr>
        <w:t>选粉机再次分选，粗料再回到辊压机进行二次挤压，细粉随热风进入旋风分离器，收集下来后经斜槽和斗提送入生料均化库，通过辊压机的物料经过斗提送入</w:t>
      </w:r>
      <w:r>
        <w:rPr>
          <w:color w:val="auto"/>
          <w:kern w:val="0"/>
        </w:rPr>
        <w:t>V</w:t>
      </w:r>
      <w:r>
        <w:rPr>
          <w:color w:val="auto"/>
          <w:kern w:val="0"/>
        </w:rPr>
        <w:t>型选粉机进行循环。出旋风分离器的废气经袋收尘器净化处理后，由排风机排入大气。</w:t>
      </w:r>
    </w:p>
    <w:p w14:paraId="12569CBC" w14:textId="77777777" w:rsidR="002E474C" w:rsidRDefault="00000000">
      <w:pPr>
        <w:pStyle w:val="A-z"/>
        <w:rPr>
          <w:color w:val="auto"/>
          <w:kern w:val="0"/>
        </w:rPr>
      </w:pPr>
      <w:r>
        <w:rPr>
          <w:color w:val="auto"/>
          <w:kern w:val="0"/>
        </w:rPr>
        <w:t>当辊压机停止运行时，窑尾高温废气经过高温风机前的管道喷雾增湿及高温风机后配置的增湿塔喷雾降温后，直接进入袋收尘器净化处理后，由排风机排入大气。</w:t>
      </w:r>
    </w:p>
    <w:p w14:paraId="1FC79F08" w14:textId="77777777" w:rsidR="002E474C" w:rsidRDefault="00000000">
      <w:pPr>
        <w:pStyle w:val="A-z"/>
        <w:rPr>
          <w:color w:val="auto"/>
          <w:kern w:val="0"/>
        </w:rPr>
      </w:pPr>
      <w:r>
        <w:rPr>
          <w:color w:val="auto"/>
          <w:kern w:val="0"/>
        </w:rPr>
        <w:t>窑尾高温废气喷水量将根据收尘器入口废气温度自动控制，使废气温度处于袋收尘器的允许范围内。</w:t>
      </w:r>
    </w:p>
    <w:p w14:paraId="482CBB5D" w14:textId="77777777" w:rsidR="002E474C" w:rsidRDefault="00000000">
      <w:pPr>
        <w:pStyle w:val="A-z"/>
        <w:rPr>
          <w:color w:val="auto"/>
        </w:rPr>
      </w:pPr>
      <w:r>
        <w:rPr>
          <w:color w:val="auto"/>
        </w:rPr>
        <w:t>（</w:t>
      </w:r>
      <w:r>
        <w:rPr>
          <w:color w:val="auto"/>
        </w:rPr>
        <w:t>5</w:t>
      </w:r>
      <w:r>
        <w:rPr>
          <w:color w:val="auto"/>
        </w:rPr>
        <w:t>）生料均化库及生料入窑喂料系统</w:t>
      </w:r>
    </w:p>
    <w:p w14:paraId="771CC73B" w14:textId="77777777" w:rsidR="002E474C" w:rsidRDefault="00000000">
      <w:pPr>
        <w:pStyle w:val="A-z"/>
        <w:rPr>
          <w:color w:val="auto"/>
        </w:rPr>
      </w:pPr>
      <w:r>
        <w:rPr>
          <w:color w:val="auto"/>
        </w:rPr>
        <w:t>设置一座生料均化库，有效储量为</w:t>
      </w:r>
      <w:r>
        <w:rPr>
          <w:color w:val="auto"/>
        </w:rPr>
        <w:t>20000t</w:t>
      </w:r>
      <w:r>
        <w:rPr>
          <w:color w:val="auto"/>
        </w:rPr>
        <w:t>。</w:t>
      </w:r>
    </w:p>
    <w:p w14:paraId="26142A95" w14:textId="77777777" w:rsidR="002E474C" w:rsidRDefault="00000000">
      <w:pPr>
        <w:pStyle w:val="A-z"/>
        <w:rPr>
          <w:color w:val="auto"/>
        </w:rPr>
      </w:pPr>
      <w:r>
        <w:rPr>
          <w:color w:val="auto"/>
        </w:rPr>
        <w:lastRenderedPageBreak/>
        <w:t>出库生料经库底部的卸料口卸至生料计量仓，仓下设有流量控制阀，经计量后的生料喂入窑尾预热器系统。</w:t>
      </w:r>
    </w:p>
    <w:p w14:paraId="6EB24B40" w14:textId="77777777" w:rsidR="002E474C" w:rsidRDefault="00000000">
      <w:pPr>
        <w:pStyle w:val="A-z"/>
        <w:rPr>
          <w:color w:val="auto"/>
        </w:rPr>
      </w:pPr>
      <w:r>
        <w:rPr>
          <w:color w:val="auto"/>
        </w:rPr>
        <w:t>（</w:t>
      </w:r>
      <w:r>
        <w:rPr>
          <w:color w:val="auto"/>
        </w:rPr>
        <w:t>6</w:t>
      </w:r>
      <w:r>
        <w:rPr>
          <w:color w:val="auto"/>
        </w:rPr>
        <w:t>）电石渣烘干、储存及配料系统</w:t>
      </w:r>
    </w:p>
    <w:p w14:paraId="48FDCE23" w14:textId="77777777" w:rsidR="002E474C" w:rsidRDefault="00000000">
      <w:pPr>
        <w:pStyle w:val="A-z"/>
        <w:rPr>
          <w:color w:val="auto"/>
          <w:szCs w:val="24"/>
        </w:rPr>
      </w:pPr>
      <w:r>
        <w:rPr>
          <w:color w:val="auto"/>
          <w:szCs w:val="24"/>
        </w:rPr>
        <w:t>由</w:t>
      </w:r>
      <w:r>
        <w:rPr>
          <w:rFonts w:hint="eastAsia"/>
          <w:color w:val="auto"/>
          <w:szCs w:val="24"/>
        </w:rPr>
        <w:t>圣雄能源电石厂的</w:t>
      </w:r>
      <w:r>
        <w:rPr>
          <w:color w:val="auto"/>
          <w:szCs w:val="24"/>
        </w:rPr>
        <w:t>电石装置压滤机压滤后</w:t>
      </w:r>
      <w:r>
        <w:rPr>
          <w:rFonts w:hint="eastAsia"/>
          <w:color w:val="auto"/>
          <w:szCs w:val="24"/>
        </w:rPr>
        <w:t>，</w:t>
      </w:r>
      <w:r>
        <w:rPr>
          <w:color w:val="auto"/>
          <w:szCs w:val="24"/>
        </w:rPr>
        <w:t>含水</w:t>
      </w:r>
      <w:r>
        <w:rPr>
          <w:rFonts w:hint="eastAsia"/>
          <w:color w:val="auto"/>
          <w:szCs w:val="24"/>
        </w:rPr>
        <w:t>约</w:t>
      </w:r>
      <w:r>
        <w:rPr>
          <w:color w:val="auto"/>
          <w:szCs w:val="24"/>
        </w:rPr>
        <w:t>3</w:t>
      </w:r>
      <w:r>
        <w:rPr>
          <w:rFonts w:hint="eastAsia"/>
          <w:color w:val="auto"/>
          <w:szCs w:val="24"/>
        </w:rPr>
        <w:t>0</w:t>
      </w:r>
      <w:r>
        <w:rPr>
          <w:color w:val="auto"/>
          <w:szCs w:val="24"/>
        </w:rPr>
        <w:t>%</w:t>
      </w:r>
      <w:r>
        <w:rPr>
          <w:color w:val="auto"/>
          <w:szCs w:val="24"/>
        </w:rPr>
        <w:t>电石渣滤饼由胶带输送机一部分送入窑尾烘干破碎机内，另一部分送入窑头烘干破碎机内。经窑尾烘干破碎后的电石渣由高效旋风收尘器收集后进入电石渣干粉储存调配库储存。经窑头烘干破碎后的电石渣由高效旋风收尘器收集后进入窑头电石渣干粉储存库储存，由库底气力输送泵送入窑尾电石渣干粉储存。烘干热源来自窑尾预热器废气及窑头篦冷机排出的</w:t>
      </w:r>
      <w:r>
        <w:rPr>
          <w:rFonts w:hint="eastAsia"/>
          <w:color w:val="auto"/>
          <w:szCs w:val="24"/>
        </w:rPr>
        <w:t>高温废气</w:t>
      </w:r>
      <w:r>
        <w:rPr>
          <w:color w:val="auto"/>
          <w:szCs w:val="24"/>
        </w:rPr>
        <w:t>，出高效旋风收尘器的气体进入窑尾废气处理系统及窑头废气处理</w:t>
      </w:r>
      <w:r>
        <w:rPr>
          <w:rFonts w:hint="eastAsia"/>
          <w:color w:val="auto"/>
          <w:szCs w:val="24"/>
        </w:rPr>
        <w:t>系统</w:t>
      </w:r>
      <w:r>
        <w:rPr>
          <w:color w:val="auto"/>
          <w:szCs w:val="24"/>
        </w:rPr>
        <w:t>。当窑尾系统检修时，压滤后含水分</w:t>
      </w:r>
      <w:r>
        <w:rPr>
          <w:color w:val="auto"/>
          <w:szCs w:val="24"/>
        </w:rPr>
        <w:t>37%</w:t>
      </w:r>
      <w:r>
        <w:rPr>
          <w:color w:val="auto"/>
          <w:szCs w:val="24"/>
        </w:rPr>
        <w:t>电石渣滤饼由胶带输送机送入电石渣露天堆场储存。</w:t>
      </w:r>
    </w:p>
    <w:p w14:paraId="4BD9E02B" w14:textId="77777777" w:rsidR="002E474C" w:rsidRDefault="00000000">
      <w:pPr>
        <w:pStyle w:val="A-z"/>
        <w:rPr>
          <w:snapToGrid w:val="0"/>
          <w:color w:val="auto"/>
        </w:rPr>
      </w:pPr>
      <w:r>
        <w:rPr>
          <w:snapToGrid w:val="0"/>
          <w:color w:val="auto"/>
        </w:rPr>
        <w:t>露天堆放的电石渣，在夏季，由胶带输送机直接送入带有分散器的烘干破碎机烘干；在冬季，通过对冻凝电石渣进行破碎，然后送入烘干破碎机对电石渣进行烘干。电石渣干粉库下设转子秤配料系统，烘干后的电石渣化学成分稳定，电石渣水分</w:t>
      </w:r>
      <w:r>
        <w:rPr>
          <w:snapToGrid w:val="0"/>
          <w:color w:val="auto"/>
        </w:rPr>
        <w:t>≤1</w:t>
      </w:r>
      <w:r>
        <w:rPr>
          <w:snapToGrid w:val="0"/>
          <w:color w:val="auto"/>
          <w:lang w:val="en-US"/>
        </w:rPr>
        <w:t>%</w:t>
      </w:r>
      <w:r>
        <w:rPr>
          <w:snapToGrid w:val="0"/>
          <w:color w:val="auto"/>
        </w:rPr>
        <w:t>，可直接进入生料辊压机终粉磨系统；通过辊压机终粉磨系统进行选粉、混合，混合搅拌后的合格生料进入生料均库储存。</w:t>
      </w:r>
    </w:p>
    <w:p w14:paraId="0079A818" w14:textId="77777777" w:rsidR="002E474C" w:rsidRDefault="00000000">
      <w:pPr>
        <w:pStyle w:val="A-z"/>
        <w:rPr>
          <w:color w:val="auto"/>
        </w:rPr>
      </w:pPr>
      <w:r>
        <w:rPr>
          <w:color w:val="auto"/>
        </w:rPr>
        <w:t>（</w:t>
      </w:r>
      <w:r>
        <w:rPr>
          <w:color w:val="auto"/>
        </w:rPr>
        <w:t>7</w:t>
      </w:r>
      <w:r>
        <w:rPr>
          <w:color w:val="auto"/>
        </w:rPr>
        <w:t>）熟料烧成系统</w:t>
      </w:r>
    </w:p>
    <w:p w14:paraId="5632455C" w14:textId="77777777" w:rsidR="002E474C" w:rsidRDefault="00000000">
      <w:pPr>
        <w:pStyle w:val="A-z"/>
        <w:rPr>
          <w:color w:val="auto"/>
        </w:rPr>
      </w:pPr>
      <w:r>
        <w:rPr>
          <w:color w:val="auto"/>
        </w:rPr>
        <w:t>熟料烧成系统采用</w:t>
      </w:r>
      <w:r>
        <w:rPr>
          <w:color w:val="auto"/>
        </w:rPr>
        <w:t>φ4.8</w:t>
      </w:r>
      <w:r>
        <w:rPr>
          <w:color w:val="auto"/>
        </w:rPr>
        <w:sym w:font="Symbol" w:char="F0B4"/>
      </w:r>
      <w:r>
        <w:rPr>
          <w:color w:val="auto"/>
        </w:rPr>
        <w:t>72m</w:t>
      </w:r>
      <w:r>
        <w:rPr>
          <w:color w:val="auto"/>
        </w:rPr>
        <w:t>回转窑，双系列五级旋风预热器和管道分解炉，系统能力</w:t>
      </w:r>
      <w:r>
        <w:rPr>
          <w:color w:val="auto"/>
        </w:rPr>
        <w:t>5000t/d</w:t>
      </w:r>
      <w:r>
        <w:rPr>
          <w:color w:val="auto"/>
        </w:rPr>
        <w:t>。</w:t>
      </w:r>
    </w:p>
    <w:p w14:paraId="619BAD71" w14:textId="77777777" w:rsidR="002E474C" w:rsidRDefault="00000000">
      <w:pPr>
        <w:pStyle w:val="A-z"/>
        <w:rPr>
          <w:color w:val="auto"/>
        </w:rPr>
      </w:pPr>
      <w:r>
        <w:rPr>
          <w:color w:val="auto"/>
        </w:rPr>
        <w:t>分解炉用三次风从窑头罩抽取，通过三次风管送至分解炉。分解炉和窑头均采用多通道燃烧器，以保证煤的正常稳定煅烧。</w:t>
      </w:r>
    </w:p>
    <w:p w14:paraId="2C59B73F" w14:textId="77777777" w:rsidR="002E474C" w:rsidRDefault="00000000">
      <w:pPr>
        <w:pStyle w:val="A-z"/>
        <w:rPr>
          <w:color w:val="auto"/>
        </w:rPr>
      </w:pPr>
      <w:r>
        <w:rPr>
          <w:color w:val="auto"/>
        </w:rPr>
        <w:t>熟料冷却采用控制流篦式冷却机，出冷却机熟料温度为</w:t>
      </w:r>
      <w:r>
        <w:rPr>
          <w:color w:val="auto"/>
        </w:rPr>
        <w:t>65</w:t>
      </w:r>
      <w:r>
        <w:rPr>
          <w:color w:val="auto"/>
        </w:rPr>
        <w:sym w:font="Symbol" w:char="F0B0"/>
      </w:r>
      <w:r>
        <w:rPr>
          <w:color w:val="auto"/>
        </w:rPr>
        <w:t>C</w:t>
      </w:r>
      <w:r>
        <w:rPr>
          <w:color w:val="auto"/>
        </w:rPr>
        <w:t>＋环境温度。冷却机出口设有熟料破碎机，出破碎机的熟料经槽式输送机送至熟料储存库。冷却机废气经电袋收尘器净化处理后排入大气。</w:t>
      </w:r>
    </w:p>
    <w:p w14:paraId="08D7B4A5" w14:textId="77777777" w:rsidR="002E474C" w:rsidRDefault="00000000">
      <w:pPr>
        <w:pStyle w:val="A-z"/>
        <w:rPr>
          <w:color w:val="auto"/>
        </w:rPr>
      </w:pPr>
      <w:r>
        <w:rPr>
          <w:color w:val="auto"/>
        </w:rPr>
        <w:t>（</w:t>
      </w:r>
      <w:r>
        <w:rPr>
          <w:color w:val="auto"/>
        </w:rPr>
        <w:t>8</w:t>
      </w:r>
      <w:r>
        <w:rPr>
          <w:color w:val="auto"/>
        </w:rPr>
        <w:t>）煤粉制备</w:t>
      </w:r>
    </w:p>
    <w:p w14:paraId="5639DFBA" w14:textId="77777777" w:rsidR="002E474C" w:rsidRDefault="00000000">
      <w:pPr>
        <w:pStyle w:val="A-z"/>
        <w:rPr>
          <w:color w:val="auto"/>
        </w:rPr>
      </w:pPr>
      <w:r>
        <w:rPr>
          <w:color w:val="auto"/>
        </w:rPr>
        <w:t>煤磨设置在窑头，利用出窑头废气作为烘干热源。原煤经原煤仓下定量给料机计量后喂入煤磨，在磨内进行烘干、粉磨、选粉，出磨成品煤粉</w:t>
      </w:r>
      <w:r>
        <w:rPr>
          <w:rFonts w:hint="eastAsia"/>
          <w:color w:val="auto"/>
        </w:rPr>
        <w:t>与入厂低热值沫煤，</w:t>
      </w:r>
      <w:r>
        <w:rPr>
          <w:color w:val="auto"/>
        </w:rPr>
        <w:t>随同气流进入袋收尘器，气体经净化后排入大气。收下的煤粉经螺旋输送机送入煤粉仓。</w:t>
      </w:r>
    </w:p>
    <w:p w14:paraId="0548CED8" w14:textId="77777777" w:rsidR="002E474C" w:rsidRDefault="00000000">
      <w:pPr>
        <w:pStyle w:val="A-z"/>
        <w:rPr>
          <w:color w:val="auto"/>
        </w:rPr>
      </w:pPr>
      <w:r>
        <w:rPr>
          <w:color w:val="auto"/>
        </w:rPr>
        <w:t>煤粉仓下设有煤粉计量输送装置，煤粉经此计量后分别送入窑头及窑尾分解</w:t>
      </w:r>
      <w:r>
        <w:rPr>
          <w:color w:val="auto"/>
        </w:rPr>
        <w:lastRenderedPageBreak/>
        <w:t>炉燃烧器。</w:t>
      </w:r>
    </w:p>
    <w:p w14:paraId="5533FA00" w14:textId="77777777" w:rsidR="002E474C" w:rsidRDefault="00000000">
      <w:pPr>
        <w:pStyle w:val="A-z"/>
        <w:rPr>
          <w:color w:val="auto"/>
        </w:rPr>
      </w:pPr>
      <w:r>
        <w:rPr>
          <w:color w:val="auto"/>
        </w:rPr>
        <w:t>煤粉制备系统设计了周全的安全措施，如防爆阀、</w:t>
      </w:r>
      <w:r>
        <w:rPr>
          <w:color w:val="auto"/>
        </w:rPr>
        <w:t>CO</w:t>
      </w:r>
      <w:r>
        <w:rPr>
          <w:color w:val="auto"/>
          <w:vertAlign w:val="subscript"/>
        </w:rPr>
        <w:t>2</w:t>
      </w:r>
      <w:r>
        <w:rPr>
          <w:color w:val="auto"/>
        </w:rPr>
        <w:t>灭火系统、消防水系统等。</w:t>
      </w:r>
    </w:p>
    <w:p w14:paraId="460AC16B" w14:textId="77777777" w:rsidR="002E474C" w:rsidRDefault="00000000">
      <w:pPr>
        <w:pStyle w:val="A-z"/>
        <w:rPr>
          <w:color w:val="auto"/>
        </w:rPr>
      </w:pPr>
      <w:r>
        <w:rPr>
          <w:color w:val="auto"/>
        </w:rPr>
        <w:t>（</w:t>
      </w:r>
      <w:r>
        <w:rPr>
          <w:color w:val="auto"/>
        </w:rPr>
        <w:t>9</w:t>
      </w:r>
      <w:r>
        <w:rPr>
          <w:color w:val="auto"/>
        </w:rPr>
        <w:t>）熟料储存及输送</w:t>
      </w:r>
    </w:p>
    <w:p w14:paraId="25AB0389" w14:textId="77777777" w:rsidR="002E474C" w:rsidRDefault="00000000">
      <w:pPr>
        <w:pStyle w:val="A-z"/>
        <w:rPr>
          <w:color w:val="auto"/>
        </w:rPr>
      </w:pPr>
      <w:r>
        <w:rPr>
          <w:color w:val="auto"/>
        </w:rPr>
        <w:t>熟料生产线设置带有库侧散装的熟料储存库及熟料堆棚。</w:t>
      </w:r>
    </w:p>
    <w:p w14:paraId="2CB35432" w14:textId="77777777" w:rsidR="002E474C" w:rsidRDefault="00000000">
      <w:pPr>
        <w:pStyle w:val="A-z"/>
        <w:rPr>
          <w:color w:val="auto"/>
        </w:rPr>
      </w:pPr>
      <w:r>
        <w:rPr>
          <w:color w:val="auto"/>
        </w:rPr>
        <w:t>（</w:t>
      </w:r>
      <w:r>
        <w:rPr>
          <w:color w:val="auto"/>
        </w:rPr>
        <w:t>10</w:t>
      </w:r>
      <w:r>
        <w:rPr>
          <w:color w:val="auto"/>
        </w:rPr>
        <w:t>）石膏、混合材破碎</w:t>
      </w:r>
    </w:p>
    <w:p w14:paraId="76B1C931" w14:textId="77777777" w:rsidR="002E474C" w:rsidRDefault="00000000">
      <w:pPr>
        <w:pStyle w:val="A-z"/>
        <w:rPr>
          <w:color w:val="auto"/>
        </w:rPr>
      </w:pPr>
      <w:r>
        <w:rPr>
          <w:color w:val="auto"/>
        </w:rPr>
        <w:t>石膏、混合材</w:t>
      </w:r>
      <w:r>
        <w:rPr>
          <w:rFonts w:hint="eastAsia"/>
          <w:color w:val="auto"/>
        </w:rPr>
        <w:t>（包括石灰石、石灰石沫、脱离石膏、铁矿粉、高炉水渣、粉煤灰、炉渣等）</w:t>
      </w:r>
      <w:r>
        <w:rPr>
          <w:color w:val="auto"/>
        </w:rPr>
        <w:t>由汽车运输进厂，存放于联合预均化堆棚内。由装载机取料喂入卸车坑，经破碎机破碎后的石膏、混合材经胶带输送机送至</w:t>
      </w:r>
      <w:r>
        <w:rPr>
          <w:rFonts w:hint="eastAsia"/>
          <w:color w:val="auto"/>
        </w:rPr>
        <w:t>水泥磨</w:t>
      </w:r>
      <w:r>
        <w:rPr>
          <w:color w:val="auto"/>
        </w:rPr>
        <w:t>调配库。</w:t>
      </w:r>
    </w:p>
    <w:p w14:paraId="1D806480" w14:textId="77777777" w:rsidR="002E474C" w:rsidRDefault="00000000">
      <w:pPr>
        <w:pStyle w:val="A-z"/>
        <w:rPr>
          <w:color w:val="auto"/>
        </w:rPr>
      </w:pPr>
      <w:r>
        <w:rPr>
          <w:color w:val="auto"/>
        </w:rPr>
        <w:t>（</w:t>
      </w:r>
      <w:r>
        <w:rPr>
          <w:color w:val="auto"/>
        </w:rPr>
        <w:t>11</w:t>
      </w:r>
      <w:r>
        <w:rPr>
          <w:color w:val="auto"/>
        </w:rPr>
        <w:t>）水泥调配</w:t>
      </w:r>
    </w:p>
    <w:p w14:paraId="619C342D" w14:textId="77777777" w:rsidR="002E474C" w:rsidRDefault="00000000">
      <w:pPr>
        <w:pStyle w:val="A-z"/>
        <w:rPr>
          <w:color w:val="auto"/>
        </w:rPr>
      </w:pPr>
      <w:r>
        <w:rPr>
          <w:color w:val="auto"/>
        </w:rPr>
        <w:t>粉煤灰由汽车运输进厂并直接喂入粉煤灰库。</w:t>
      </w:r>
    </w:p>
    <w:p w14:paraId="408A8C99" w14:textId="77777777" w:rsidR="002E474C" w:rsidRDefault="00000000">
      <w:pPr>
        <w:pStyle w:val="A-z"/>
        <w:rPr>
          <w:color w:val="auto"/>
        </w:rPr>
      </w:pPr>
      <w:r>
        <w:rPr>
          <w:color w:val="auto"/>
        </w:rPr>
        <w:t>调配库中的熟料、石膏、混合材和粉煤灰一起由定量给料机按一定比例计量配料送至水泥粉磨。</w:t>
      </w:r>
    </w:p>
    <w:p w14:paraId="1E4092CA" w14:textId="77777777" w:rsidR="002E474C" w:rsidRDefault="00000000">
      <w:pPr>
        <w:pStyle w:val="A-z"/>
        <w:rPr>
          <w:color w:val="auto"/>
        </w:rPr>
      </w:pPr>
      <w:r>
        <w:rPr>
          <w:color w:val="auto"/>
        </w:rPr>
        <w:t>（</w:t>
      </w:r>
      <w:r>
        <w:rPr>
          <w:color w:val="auto"/>
        </w:rPr>
        <w:t>12</w:t>
      </w:r>
      <w:r>
        <w:rPr>
          <w:color w:val="auto"/>
        </w:rPr>
        <w:t>）水泥粉磨</w:t>
      </w:r>
    </w:p>
    <w:p w14:paraId="2E4C149E" w14:textId="77777777" w:rsidR="002E474C" w:rsidRDefault="00000000">
      <w:pPr>
        <w:pStyle w:val="A-z"/>
        <w:rPr>
          <w:color w:val="auto"/>
        </w:rPr>
      </w:pPr>
      <w:r>
        <w:rPr>
          <w:color w:val="auto"/>
        </w:rPr>
        <w:t>水泥粉磨系统采用两套由辊压机、球磨机组成的联合双闭路粉磨系统，系统能力</w:t>
      </w:r>
      <w:r>
        <w:rPr>
          <w:color w:val="auto"/>
        </w:rPr>
        <w:t>2×2</w:t>
      </w:r>
      <w:r>
        <w:rPr>
          <w:rFonts w:hint="eastAsia"/>
          <w:color w:val="auto"/>
        </w:rPr>
        <w:t>4</w:t>
      </w:r>
      <w:r>
        <w:rPr>
          <w:color w:val="auto"/>
        </w:rPr>
        <w:t>0t/h</w:t>
      </w:r>
      <w:r>
        <w:rPr>
          <w:color w:val="auto"/>
        </w:rPr>
        <w:t>。</w:t>
      </w:r>
    </w:p>
    <w:p w14:paraId="37BFC4F2" w14:textId="77777777" w:rsidR="002E474C" w:rsidRDefault="00000000">
      <w:pPr>
        <w:pStyle w:val="A-z"/>
        <w:rPr>
          <w:color w:val="auto"/>
        </w:rPr>
      </w:pPr>
      <w:r>
        <w:rPr>
          <w:color w:val="auto"/>
        </w:rPr>
        <w:t>来自水泥粉磨调配库的混合料，经辊压机预粉磨后喂入</w:t>
      </w:r>
      <w:r>
        <w:rPr>
          <w:color w:val="auto"/>
        </w:rPr>
        <w:t>V</w:t>
      </w:r>
      <w:r>
        <w:rPr>
          <w:color w:val="auto"/>
        </w:rPr>
        <w:t>型选粉机，由</w:t>
      </w:r>
      <w:r>
        <w:rPr>
          <w:color w:val="auto"/>
        </w:rPr>
        <w:t>V</w:t>
      </w:r>
      <w:r>
        <w:rPr>
          <w:color w:val="auto"/>
        </w:rPr>
        <w:t>型选粉机分选出来的粗料回到辊压机，较细料随气流进入旋风筒，收下的物料进入磨机进行粉磨。出旋风筒气体进入袋收尘器，净化后排入大气。出磨物料经过提升机进入高效选粉机后选出成品水泥，经斜槽提升机输送到水泥库，粗粉回到磨内继续循环粉磨直至成为合格产品。磨机内含尘气体进入袋收尘器，净化后排入大气。</w:t>
      </w:r>
    </w:p>
    <w:p w14:paraId="52F33FB2" w14:textId="77777777" w:rsidR="002E474C" w:rsidRDefault="00000000">
      <w:pPr>
        <w:pStyle w:val="A-z"/>
        <w:rPr>
          <w:color w:val="auto"/>
        </w:rPr>
      </w:pPr>
      <w:r>
        <w:rPr>
          <w:color w:val="auto"/>
        </w:rPr>
        <w:t>（</w:t>
      </w:r>
      <w:r>
        <w:rPr>
          <w:color w:val="auto"/>
        </w:rPr>
        <w:t>13</w:t>
      </w:r>
      <w:r>
        <w:rPr>
          <w:color w:val="auto"/>
        </w:rPr>
        <w:t>）水泥储存及输送</w:t>
      </w:r>
    </w:p>
    <w:p w14:paraId="58DF69F4" w14:textId="77777777" w:rsidR="002E474C" w:rsidRDefault="00000000">
      <w:pPr>
        <w:pStyle w:val="A-z"/>
        <w:rPr>
          <w:color w:val="auto"/>
        </w:rPr>
      </w:pPr>
      <w:r>
        <w:rPr>
          <w:color w:val="auto"/>
        </w:rPr>
        <w:t>设置</w:t>
      </w:r>
      <w:r>
        <w:rPr>
          <w:color w:val="auto"/>
        </w:rPr>
        <w:t>6</w:t>
      </w:r>
      <w:r>
        <w:rPr>
          <w:color w:val="auto"/>
        </w:rPr>
        <w:t>座</w:t>
      </w:r>
      <w:r>
        <w:rPr>
          <w:color w:val="auto"/>
          <w:lang w:val="en-US"/>
        </w:rPr>
        <w:sym w:font="Symbol" w:char="F046"/>
      </w:r>
      <w:r>
        <w:rPr>
          <w:rFonts w:hint="eastAsia"/>
          <w:color w:val="auto"/>
          <w:lang w:val="en-US"/>
        </w:rPr>
        <w:t>7.5</w:t>
      </w:r>
      <w:r>
        <w:rPr>
          <w:color w:val="auto"/>
          <w:lang w:val="en-US"/>
        </w:rPr>
        <w:t>×</w:t>
      </w:r>
      <w:r>
        <w:rPr>
          <w:rFonts w:hint="eastAsia"/>
          <w:color w:val="auto"/>
          <w:lang w:val="en-US"/>
        </w:rPr>
        <w:t>24.8</w:t>
      </w:r>
      <w:r>
        <w:rPr>
          <w:color w:val="auto"/>
          <w:lang w:val="en-US"/>
        </w:rPr>
        <w:t>m</w:t>
      </w:r>
      <w:r>
        <w:rPr>
          <w:color w:val="auto"/>
          <w:lang w:val="en-US"/>
        </w:rPr>
        <w:t>水泥库</w:t>
      </w:r>
      <w:r>
        <w:rPr>
          <w:color w:val="auto"/>
        </w:rPr>
        <w:t>，库底设有减压锥及充气装置，由罗茨鼓风机供气。出库水泥经库底卸料装置、空气输送斜槽、胶带输送机、斗式提升机等送至水泥汽车散装库及水泥包装系统。</w:t>
      </w:r>
    </w:p>
    <w:p w14:paraId="0DF08AC3" w14:textId="77777777" w:rsidR="002E474C" w:rsidRDefault="00000000">
      <w:pPr>
        <w:pStyle w:val="A-z"/>
        <w:rPr>
          <w:color w:val="auto"/>
        </w:rPr>
      </w:pPr>
      <w:r>
        <w:rPr>
          <w:color w:val="auto"/>
        </w:rPr>
        <w:t>（</w:t>
      </w:r>
      <w:r>
        <w:rPr>
          <w:color w:val="auto"/>
        </w:rPr>
        <w:t>14</w:t>
      </w:r>
      <w:r>
        <w:rPr>
          <w:color w:val="auto"/>
        </w:rPr>
        <w:t>）水泥散装发运</w:t>
      </w:r>
    </w:p>
    <w:p w14:paraId="60081B80" w14:textId="77777777" w:rsidR="002E474C" w:rsidRDefault="00000000">
      <w:pPr>
        <w:pStyle w:val="A-z"/>
        <w:rPr>
          <w:color w:val="auto"/>
        </w:rPr>
      </w:pPr>
      <w:r>
        <w:rPr>
          <w:color w:val="auto"/>
        </w:rPr>
        <w:t>水泥汽车散装发运系统，设有</w:t>
      </w:r>
      <w:r>
        <w:rPr>
          <w:color w:val="auto"/>
        </w:rPr>
        <w:t>3</w:t>
      </w:r>
      <w:r>
        <w:rPr>
          <w:color w:val="auto"/>
        </w:rPr>
        <w:t>个水泥汽车散装库。</w:t>
      </w:r>
    </w:p>
    <w:p w14:paraId="3213F456" w14:textId="77777777" w:rsidR="002E474C" w:rsidRDefault="00000000">
      <w:pPr>
        <w:pStyle w:val="A-z"/>
        <w:rPr>
          <w:color w:val="auto"/>
        </w:rPr>
      </w:pPr>
      <w:r>
        <w:rPr>
          <w:color w:val="auto"/>
        </w:rPr>
        <w:t>（</w:t>
      </w:r>
      <w:r>
        <w:rPr>
          <w:color w:val="auto"/>
        </w:rPr>
        <w:t>15</w:t>
      </w:r>
      <w:r>
        <w:rPr>
          <w:color w:val="auto"/>
        </w:rPr>
        <w:t>）水泥包装及成品发运</w:t>
      </w:r>
    </w:p>
    <w:p w14:paraId="4291643A" w14:textId="77777777" w:rsidR="002E474C" w:rsidRDefault="00000000">
      <w:pPr>
        <w:pStyle w:val="A-z"/>
        <w:rPr>
          <w:color w:val="auto"/>
        </w:rPr>
      </w:pPr>
      <w:r>
        <w:rPr>
          <w:color w:val="auto"/>
        </w:rPr>
        <w:t>包装车间设置</w:t>
      </w:r>
      <w:r>
        <w:rPr>
          <w:rFonts w:hint="eastAsia"/>
          <w:color w:val="auto"/>
        </w:rPr>
        <w:t>4</w:t>
      </w:r>
      <w:r>
        <w:rPr>
          <w:color w:val="auto"/>
        </w:rPr>
        <w:t>套回转式包装机，袋装水泥经自动装车机直接卸入汽车发运</w:t>
      </w:r>
      <w:r>
        <w:rPr>
          <w:color w:val="auto"/>
        </w:rPr>
        <w:lastRenderedPageBreak/>
        <w:t>出厂。</w:t>
      </w:r>
    </w:p>
    <w:p w14:paraId="5EBEEEDE" w14:textId="77777777" w:rsidR="002E474C" w:rsidRDefault="00000000">
      <w:pPr>
        <w:pStyle w:val="31"/>
        <w:spacing w:before="120" w:after="120"/>
        <w:rPr>
          <w:color w:val="auto"/>
        </w:rPr>
      </w:pPr>
      <w:r>
        <w:rPr>
          <w:color w:val="auto"/>
        </w:rPr>
        <w:t>污染治理措施及达标排放情况</w:t>
      </w:r>
    </w:p>
    <w:p w14:paraId="5DDEA6C5" w14:textId="77777777" w:rsidR="002E474C" w:rsidRDefault="00000000">
      <w:pPr>
        <w:pStyle w:val="A-z"/>
        <w:rPr>
          <w:color w:val="auto"/>
        </w:rPr>
      </w:pPr>
      <w:r>
        <w:rPr>
          <w:color w:val="auto"/>
        </w:rPr>
        <w:t>圣雄水泥公司</w:t>
      </w:r>
      <w:r>
        <w:rPr>
          <w:color w:val="auto"/>
        </w:rPr>
        <w:t>2025</w:t>
      </w:r>
      <w:r>
        <w:rPr>
          <w:color w:val="auto"/>
        </w:rPr>
        <w:t>年</w:t>
      </w:r>
      <w:r>
        <w:rPr>
          <w:color w:val="auto"/>
          <w:lang w:val="en-US"/>
        </w:rPr>
        <w:t>分</w:t>
      </w:r>
      <w:r>
        <w:rPr>
          <w:color w:val="auto"/>
        </w:rPr>
        <w:t>四个季度分别在</w:t>
      </w:r>
      <w:r>
        <w:rPr>
          <w:color w:val="auto"/>
        </w:rPr>
        <w:t>2</w:t>
      </w:r>
      <w:r>
        <w:rPr>
          <w:color w:val="auto"/>
        </w:rPr>
        <w:t>月</w:t>
      </w:r>
      <w:r>
        <w:rPr>
          <w:color w:val="auto"/>
        </w:rPr>
        <w:t>14</w:t>
      </w:r>
      <w:r>
        <w:rPr>
          <w:color w:val="auto"/>
        </w:rPr>
        <w:t>日～</w:t>
      </w:r>
      <w:r>
        <w:rPr>
          <w:color w:val="auto"/>
        </w:rPr>
        <w:t>2</w:t>
      </w:r>
      <w:r>
        <w:rPr>
          <w:color w:val="auto"/>
        </w:rPr>
        <w:t>月</w:t>
      </w:r>
      <w:r>
        <w:rPr>
          <w:color w:val="auto"/>
        </w:rPr>
        <w:t>18</w:t>
      </w:r>
      <w:r>
        <w:rPr>
          <w:color w:val="auto"/>
        </w:rPr>
        <w:t>日、</w:t>
      </w:r>
      <w:r>
        <w:rPr>
          <w:color w:val="auto"/>
        </w:rPr>
        <w:t>5</w:t>
      </w:r>
      <w:r>
        <w:rPr>
          <w:color w:val="auto"/>
        </w:rPr>
        <w:t>月</w:t>
      </w:r>
      <w:r>
        <w:rPr>
          <w:color w:val="auto"/>
        </w:rPr>
        <w:t>26</w:t>
      </w:r>
      <w:r>
        <w:rPr>
          <w:color w:val="auto"/>
        </w:rPr>
        <w:t>日～</w:t>
      </w:r>
      <w:r>
        <w:rPr>
          <w:color w:val="auto"/>
        </w:rPr>
        <w:t>6</w:t>
      </w:r>
      <w:r>
        <w:rPr>
          <w:color w:val="auto"/>
        </w:rPr>
        <w:t>月</w:t>
      </w:r>
      <w:r>
        <w:rPr>
          <w:color w:val="auto"/>
        </w:rPr>
        <w:t>4</w:t>
      </w:r>
      <w:r>
        <w:rPr>
          <w:color w:val="auto"/>
        </w:rPr>
        <w:t>日、</w:t>
      </w:r>
      <w:r>
        <w:rPr>
          <w:color w:val="auto"/>
        </w:rPr>
        <w:t>7</w:t>
      </w:r>
      <w:r>
        <w:rPr>
          <w:color w:val="auto"/>
        </w:rPr>
        <w:t>月</w:t>
      </w:r>
      <w:r>
        <w:rPr>
          <w:color w:val="auto"/>
        </w:rPr>
        <w:t>21</w:t>
      </w:r>
      <w:r>
        <w:rPr>
          <w:color w:val="auto"/>
        </w:rPr>
        <w:t>日～</w:t>
      </w:r>
      <w:r>
        <w:rPr>
          <w:color w:val="auto"/>
        </w:rPr>
        <w:t>8</w:t>
      </w:r>
      <w:r>
        <w:rPr>
          <w:color w:val="auto"/>
        </w:rPr>
        <w:t>月</w:t>
      </w:r>
      <w:r>
        <w:rPr>
          <w:color w:val="auto"/>
        </w:rPr>
        <w:t>2</w:t>
      </w:r>
      <w:r>
        <w:rPr>
          <w:color w:val="auto"/>
        </w:rPr>
        <w:t>日及</w:t>
      </w:r>
      <w:r>
        <w:rPr>
          <w:color w:val="auto"/>
        </w:rPr>
        <w:t>9</w:t>
      </w:r>
      <w:r>
        <w:rPr>
          <w:color w:val="auto"/>
        </w:rPr>
        <w:t>月</w:t>
      </w:r>
      <w:r>
        <w:rPr>
          <w:color w:val="auto"/>
        </w:rPr>
        <w:t>2</w:t>
      </w:r>
      <w:r>
        <w:rPr>
          <w:color w:val="auto"/>
        </w:rPr>
        <w:t>日、</w:t>
      </w:r>
      <w:r>
        <w:rPr>
          <w:color w:val="auto"/>
        </w:rPr>
        <w:t>10</w:t>
      </w:r>
      <w:r>
        <w:rPr>
          <w:color w:val="auto"/>
        </w:rPr>
        <w:t>月</w:t>
      </w:r>
      <w:r>
        <w:rPr>
          <w:color w:val="auto"/>
        </w:rPr>
        <w:t>10</w:t>
      </w:r>
      <w:r>
        <w:rPr>
          <w:color w:val="auto"/>
        </w:rPr>
        <w:t>日～</w:t>
      </w:r>
      <w:r>
        <w:rPr>
          <w:color w:val="auto"/>
        </w:rPr>
        <w:t>10</w:t>
      </w:r>
      <w:r>
        <w:rPr>
          <w:color w:val="auto"/>
        </w:rPr>
        <w:t>月</w:t>
      </w:r>
      <w:r>
        <w:rPr>
          <w:color w:val="auto"/>
        </w:rPr>
        <w:t>21</w:t>
      </w:r>
      <w:r>
        <w:rPr>
          <w:color w:val="auto"/>
        </w:rPr>
        <w:t>日开展污染物排放自行监测工作。</w:t>
      </w:r>
      <w:r>
        <w:rPr>
          <w:color w:val="auto"/>
          <w:lang w:val="en-US"/>
        </w:rPr>
        <w:t>本次</w:t>
      </w:r>
      <w:r>
        <w:rPr>
          <w:color w:val="auto"/>
        </w:rPr>
        <w:t>环评根据</w:t>
      </w:r>
      <w:r>
        <w:rPr>
          <w:color w:val="auto"/>
        </w:rPr>
        <w:t>2025</w:t>
      </w:r>
      <w:r>
        <w:rPr>
          <w:color w:val="auto"/>
        </w:rPr>
        <w:t>年企业自行监测报告，评价厂内污染物达标排放情况。</w:t>
      </w:r>
    </w:p>
    <w:p w14:paraId="41B0B187" w14:textId="77777777" w:rsidR="002E474C" w:rsidRDefault="00000000">
      <w:pPr>
        <w:pStyle w:val="41"/>
        <w:rPr>
          <w:color w:val="auto"/>
        </w:rPr>
      </w:pPr>
      <w:r>
        <w:rPr>
          <w:color w:val="auto"/>
        </w:rPr>
        <w:t>废气</w:t>
      </w:r>
    </w:p>
    <w:p w14:paraId="32975957" w14:textId="77777777" w:rsidR="002E474C" w:rsidRDefault="00000000">
      <w:pPr>
        <w:pStyle w:val="A-z"/>
        <w:rPr>
          <w:color w:val="auto"/>
        </w:rPr>
      </w:pPr>
      <w:r>
        <w:rPr>
          <w:color w:val="auto"/>
        </w:rPr>
        <w:t>圣雄水泥公司于</w:t>
      </w:r>
      <w:r>
        <w:rPr>
          <w:color w:val="auto"/>
        </w:rPr>
        <w:t>2023</w:t>
      </w:r>
      <w:r>
        <w:rPr>
          <w:color w:val="auto"/>
        </w:rPr>
        <w:t>年</w:t>
      </w:r>
      <w:r>
        <w:rPr>
          <w:color w:val="auto"/>
        </w:rPr>
        <w:t>8</w:t>
      </w:r>
      <w:r>
        <w:rPr>
          <w:color w:val="auto"/>
        </w:rPr>
        <w:t>月</w:t>
      </w:r>
      <w:r>
        <w:rPr>
          <w:color w:val="auto"/>
        </w:rPr>
        <w:t>10</w:t>
      </w:r>
      <w:r>
        <w:rPr>
          <w:color w:val="auto"/>
        </w:rPr>
        <w:t>日印发并实施《新疆圣雄水泥有限公司大气污染治理</w:t>
      </w:r>
      <w:r>
        <w:rPr>
          <w:color w:val="auto"/>
        </w:rPr>
        <w:t>“</w:t>
      </w:r>
      <w:r>
        <w:rPr>
          <w:color w:val="auto"/>
        </w:rPr>
        <w:t>一企一策</w:t>
      </w:r>
      <w:r>
        <w:rPr>
          <w:color w:val="auto"/>
        </w:rPr>
        <w:t>”</w:t>
      </w:r>
      <w:r>
        <w:rPr>
          <w:color w:val="auto"/>
        </w:rPr>
        <w:t>方案》，从有组织污染物管控、无组织污染物管控、运输方式及运输监管、原辅材料、燃料、水泥熟料车辆运输、环境管理水平等方面全面分析大气污染治理现状，提出大气污染治理减排目标，在料场全封闭、熟料堆棚改造、攻关控制氮氧化物、门禁系统和电子台账、安装洗车台现场监管等方面采取具体大气污染治理措施，加强大气污染治理。</w:t>
      </w:r>
    </w:p>
    <w:p w14:paraId="734B3B84" w14:textId="77777777" w:rsidR="002E474C" w:rsidRDefault="00000000">
      <w:pPr>
        <w:pStyle w:val="A-z"/>
        <w:rPr>
          <w:color w:val="auto"/>
        </w:rPr>
      </w:pPr>
      <w:r>
        <w:rPr>
          <w:color w:val="auto"/>
        </w:rPr>
        <w:t>（</w:t>
      </w:r>
      <w:r>
        <w:rPr>
          <w:color w:val="auto"/>
        </w:rPr>
        <w:t>1</w:t>
      </w:r>
      <w:r>
        <w:rPr>
          <w:color w:val="auto"/>
        </w:rPr>
        <w:t>）有组织废气</w:t>
      </w:r>
    </w:p>
    <w:p w14:paraId="283719C9" w14:textId="77777777" w:rsidR="002E474C" w:rsidRDefault="00000000">
      <w:pPr>
        <w:pStyle w:val="A-z"/>
        <w:rPr>
          <w:color w:val="auto"/>
        </w:rPr>
      </w:pPr>
      <w:r>
        <w:rPr>
          <w:color w:val="auto"/>
        </w:rPr>
        <w:t>电石渣干法水泥生产线的废气主要为水泥窑废气，窑头废气污染物为颗粒物，环保治理设施为电袋除尘器；窑尾废气污染物为颗粒物、二氧化硫、氮氧化物、汞及其化合物、氨、氟化物</w:t>
      </w:r>
      <w:r>
        <w:rPr>
          <w:color w:val="auto"/>
          <w:lang w:val="en-US"/>
        </w:rPr>
        <w:t>等</w:t>
      </w:r>
      <w:r>
        <w:rPr>
          <w:color w:val="auto"/>
        </w:rPr>
        <w:t>，采用窑磨一体机模式，环保治理设施为电袋除尘和</w:t>
      </w:r>
      <w:r>
        <w:rPr>
          <w:color w:val="auto"/>
        </w:rPr>
        <w:t>SNCR</w:t>
      </w:r>
      <w:r>
        <w:rPr>
          <w:color w:val="auto"/>
        </w:rPr>
        <w:t>脱硝系统。各破碎机、磨机及其他通风生产设备产生的废气污染物为颗粒物，环保治理设施均为袋式除尘器。</w:t>
      </w:r>
    </w:p>
    <w:p w14:paraId="64E4FDF9" w14:textId="77777777" w:rsidR="002E474C" w:rsidRDefault="00000000">
      <w:pPr>
        <w:pStyle w:val="A-z"/>
        <w:rPr>
          <w:color w:val="auto"/>
        </w:rPr>
      </w:pPr>
      <w:r>
        <w:rPr>
          <w:color w:val="auto"/>
        </w:rPr>
        <w:t>1</w:t>
      </w:r>
      <w:r>
        <w:rPr>
          <w:color w:val="auto"/>
        </w:rPr>
        <w:t>）主要排放口</w:t>
      </w:r>
      <w:r>
        <w:rPr>
          <w:color w:val="auto"/>
          <w:lang w:val="en-US"/>
        </w:rPr>
        <w:t>包括</w:t>
      </w:r>
      <w:r>
        <w:rPr>
          <w:color w:val="auto"/>
        </w:rPr>
        <w:t>窑头排放口（</w:t>
      </w:r>
      <w:r>
        <w:rPr>
          <w:color w:val="auto"/>
        </w:rPr>
        <w:t>DA032</w:t>
      </w:r>
      <w:r>
        <w:rPr>
          <w:color w:val="auto"/>
        </w:rPr>
        <w:t>）、窑尾排放口（</w:t>
      </w:r>
      <w:r>
        <w:rPr>
          <w:color w:val="auto"/>
        </w:rPr>
        <w:t>DA030</w:t>
      </w:r>
      <w:r>
        <w:rPr>
          <w:color w:val="auto"/>
        </w:rPr>
        <w:t>）。</w:t>
      </w:r>
    </w:p>
    <w:p w14:paraId="3FF01E03" w14:textId="77777777" w:rsidR="002E474C" w:rsidRDefault="00000000">
      <w:pPr>
        <w:pStyle w:val="A-z"/>
        <w:rPr>
          <w:color w:val="auto"/>
        </w:rPr>
      </w:pPr>
      <w:r>
        <w:rPr>
          <w:color w:val="auto"/>
        </w:rPr>
        <w:t>2</w:t>
      </w:r>
      <w:r>
        <w:rPr>
          <w:color w:val="auto"/>
        </w:rPr>
        <w:t>）一般排放口包括</w:t>
      </w:r>
      <w:r>
        <w:rPr>
          <w:color w:val="auto"/>
        </w:rPr>
        <w:t>DA001</w:t>
      </w:r>
      <w:r>
        <w:rPr>
          <w:color w:val="auto"/>
        </w:rPr>
        <w:t>至</w:t>
      </w:r>
      <w:r>
        <w:rPr>
          <w:color w:val="auto"/>
        </w:rPr>
        <w:t>DA0029</w:t>
      </w:r>
      <w:r>
        <w:rPr>
          <w:color w:val="auto"/>
        </w:rPr>
        <w:t>、</w:t>
      </w:r>
      <w:r>
        <w:rPr>
          <w:color w:val="auto"/>
        </w:rPr>
        <w:t>DA0031</w:t>
      </w:r>
      <w:r>
        <w:rPr>
          <w:color w:val="auto"/>
        </w:rPr>
        <w:t>、</w:t>
      </w:r>
      <w:r>
        <w:rPr>
          <w:color w:val="auto"/>
        </w:rPr>
        <w:t>DA033</w:t>
      </w:r>
      <w:r>
        <w:rPr>
          <w:color w:val="auto"/>
        </w:rPr>
        <w:t>至</w:t>
      </w:r>
      <w:r>
        <w:rPr>
          <w:color w:val="auto"/>
        </w:rPr>
        <w:t>DA054</w:t>
      </w:r>
      <w:r>
        <w:rPr>
          <w:color w:val="auto"/>
        </w:rPr>
        <w:t>，污染物均为颗粒物。</w:t>
      </w:r>
    </w:p>
    <w:p w14:paraId="79BC29C9" w14:textId="77777777" w:rsidR="002E474C" w:rsidRDefault="00000000">
      <w:pPr>
        <w:pStyle w:val="A-z"/>
        <w:rPr>
          <w:color w:val="auto"/>
        </w:rPr>
      </w:pPr>
      <w:r>
        <w:rPr>
          <w:color w:val="auto"/>
        </w:rPr>
        <w:t>根据</w:t>
      </w:r>
      <w:r>
        <w:rPr>
          <w:color w:val="auto"/>
        </w:rPr>
        <w:t>2025</w:t>
      </w:r>
      <w:r>
        <w:rPr>
          <w:color w:val="auto"/>
        </w:rPr>
        <w:t>年企业自行监测情况，厂内电石渣干法水泥生产线废气污染物采取环保措施治理后，各有组织废气各类污染物排放</w:t>
      </w:r>
      <w:r>
        <w:rPr>
          <w:color w:val="auto"/>
          <w:lang w:val="en-US"/>
        </w:rPr>
        <w:t>浓度</w:t>
      </w:r>
      <w:r>
        <w:rPr>
          <w:color w:val="auto"/>
        </w:rPr>
        <w:t>均满足《水泥工业大气污染物排放标准》（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）标准要求。</w:t>
      </w:r>
    </w:p>
    <w:p w14:paraId="429BF5E9" w14:textId="77777777" w:rsidR="002E474C" w:rsidRDefault="00000000">
      <w:pPr>
        <w:pStyle w:val="A-z"/>
        <w:rPr>
          <w:color w:val="auto"/>
        </w:rPr>
      </w:pPr>
      <w:r>
        <w:rPr>
          <w:color w:val="auto"/>
        </w:rPr>
        <w:t>电石渣干法水泥生产线有组织废气污染源治理措施及排放情况见表</w:t>
      </w:r>
      <w:r>
        <w:rPr>
          <w:color w:val="auto"/>
        </w:rPr>
        <w:t>3.1-5</w:t>
      </w:r>
      <w:r>
        <w:rPr>
          <w:color w:val="auto"/>
        </w:rPr>
        <w:t>。</w:t>
      </w:r>
    </w:p>
    <w:p w14:paraId="7435C914" w14:textId="77777777" w:rsidR="002E474C" w:rsidRDefault="00000000">
      <w:pPr>
        <w:pStyle w:val="A--"/>
        <w:rPr>
          <w:color w:val="auto"/>
        </w:rPr>
      </w:pPr>
      <w:bookmarkStart w:id="116" w:name="_Ref130913216"/>
      <w:r>
        <w:rPr>
          <w:color w:val="auto"/>
        </w:rPr>
        <w:t>表</w:t>
      </w:r>
      <w:bookmarkEnd w:id="116"/>
      <w:r>
        <w:rPr>
          <w:color w:val="auto"/>
        </w:rPr>
        <w:t xml:space="preserve">3.1-5  </w:t>
      </w:r>
      <w:r>
        <w:rPr>
          <w:color w:val="auto"/>
        </w:rPr>
        <w:t>圣雄水泥公司有组织废气污染源治理措施及排放情况汇总表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809"/>
        <w:gridCol w:w="1159"/>
        <w:gridCol w:w="1328"/>
        <w:gridCol w:w="1200"/>
        <w:gridCol w:w="1197"/>
        <w:gridCol w:w="755"/>
      </w:tblGrid>
      <w:tr w:rsidR="002E474C" w14:paraId="01207A97" w14:textId="77777777">
        <w:trPr>
          <w:tblHeader/>
        </w:trPr>
        <w:tc>
          <w:tcPr>
            <w:tcW w:w="515" w:type="pct"/>
            <w:vAlign w:val="center"/>
          </w:tcPr>
          <w:p w14:paraId="4E6FF183" w14:textId="77777777" w:rsidR="002E474C" w:rsidRDefault="00000000">
            <w:pPr>
              <w:pStyle w:val="A-"/>
            </w:pPr>
            <w:r>
              <w:lastRenderedPageBreak/>
              <w:t>排放口编号</w:t>
            </w:r>
          </w:p>
        </w:tc>
        <w:tc>
          <w:tcPr>
            <w:tcW w:w="1093" w:type="pct"/>
            <w:vAlign w:val="center"/>
          </w:tcPr>
          <w:p w14:paraId="37910223" w14:textId="77777777" w:rsidR="002E474C" w:rsidRDefault="00000000">
            <w:pPr>
              <w:pStyle w:val="A-"/>
            </w:pPr>
            <w:r>
              <w:t>排放口名称</w:t>
            </w:r>
          </w:p>
        </w:tc>
        <w:tc>
          <w:tcPr>
            <w:tcW w:w="701" w:type="pct"/>
            <w:vAlign w:val="center"/>
          </w:tcPr>
          <w:p w14:paraId="510BC07F" w14:textId="77777777" w:rsidR="002E474C" w:rsidRDefault="00000000">
            <w:pPr>
              <w:pStyle w:val="A-"/>
            </w:pPr>
            <w:r>
              <w:t>污染物</w:t>
            </w:r>
          </w:p>
        </w:tc>
        <w:tc>
          <w:tcPr>
            <w:tcW w:w="803" w:type="pct"/>
            <w:vAlign w:val="center"/>
          </w:tcPr>
          <w:p w14:paraId="4AE4A26D" w14:textId="77777777" w:rsidR="002E474C" w:rsidRDefault="00000000">
            <w:pPr>
              <w:pStyle w:val="A-"/>
            </w:pPr>
            <w:r>
              <w:t>治理措施</w:t>
            </w:r>
          </w:p>
        </w:tc>
        <w:tc>
          <w:tcPr>
            <w:tcW w:w="725" w:type="pct"/>
            <w:vAlign w:val="center"/>
          </w:tcPr>
          <w:p w14:paraId="403804B7" w14:textId="77777777" w:rsidR="002E474C" w:rsidRDefault="00000000">
            <w:pPr>
              <w:pStyle w:val="A-"/>
            </w:pPr>
            <w:r>
              <w:t>实测浓度</w:t>
            </w:r>
          </w:p>
          <w:p w14:paraId="4019C782" w14:textId="77777777" w:rsidR="002E474C" w:rsidRDefault="00000000">
            <w:pPr>
              <w:pStyle w:val="A-"/>
            </w:pPr>
            <w:r>
              <w:t>（</w:t>
            </w:r>
            <w:r>
              <w:t>mg/m</w:t>
            </w:r>
            <w:r>
              <w:rPr>
                <w:vertAlign w:val="superscript"/>
              </w:rPr>
              <w:t>3</w:t>
            </w:r>
            <w:r>
              <w:t>）</w:t>
            </w:r>
          </w:p>
        </w:tc>
        <w:tc>
          <w:tcPr>
            <w:tcW w:w="701" w:type="pct"/>
            <w:vAlign w:val="center"/>
          </w:tcPr>
          <w:p w14:paraId="380796B3" w14:textId="77777777" w:rsidR="002E474C" w:rsidRDefault="00000000">
            <w:pPr>
              <w:pStyle w:val="A-"/>
            </w:pPr>
            <w:r>
              <w:t>标准限值</w:t>
            </w:r>
          </w:p>
          <w:p w14:paraId="162D2E04" w14:textId="77777777" w:rsidR="002E474C" w:rsidRDefault="00000000">
            <w:pPr>
              <w:pStyle w:val="A-"/>
            </w:pPr>
            <w:r>
              <w:t>（</w:t>
            </w:r>
            <w:r>
              <w:t>mg/m</w:t>
            </w:r>
            <w:r>
              <w:rPr>
                <w:vertAlign w:val="superscript"/>
              </w:rPr>
              <w:t>3</w:t>
            </w:r>
            <w:r>
              <w:t>）</w:t>
            </w:r>
          </w:p>
        </w:tc>
        <w:tc>
          <w:tcPr>
            <w:tcW w:w="458" w:type="pct"/>
            <w:vAlign w:val="center"/>
          </w:tcPr>
          <w:p w14:paraId="5E4B12E3" w14:textId="77777777" w:rsidR="002E474C" w:rsidRDefault="00000000">
            <w:pPr>
              <w:pStyle w:val="A-"/>
            </w:pPr>
            <w:r>
              <w:t>达标情况</w:t>
            </w:r>
          </w:p>
        </w:tc>
      </w:tr>
      <w:tr w:rsidR="002E474C" w14:paraId="2E3530D6" w14:textId="77777777">
        <w:tc>
          <w:tcPr>
            <w:tcW w:w="515" w:type="pct"/>
            <w:vAlign w:val="center"/>
          </w:tcPr>
          <w:p w14:paraId="560BAA74" w14:textId="77777777" w:rsidR="002E474C" w:rsidRDefault="00000000">
            <w:pPr>
              <w:pStyle w:val="A-"/>
            </w:pPr>
            <w:r>
              <w:t>DA001</w:t>
            </w:r>
          </w:p>
        </w:tc>
        <w:tc>
          <w:tcPr>
            <w:tcW w:w="1093" w:type="pct"/>
            <w:vAlign w:val="center"/>
          </w:tcPr>
          <w:p w14:paraId="1896F571" w14:textId="77777777" w:rsidR="002E474C" w:rsidRDefault="00000000">
            <w:pPr>
              <w:pStyle w:val="A-"/>
            </w:pPr>
            <w:r>
              <w:t>原料破碎收尘</w:t>
            </w:r>
          </w:p>
        </w:tc>
        <w:tc>
          <w:tcPr>
            <w:tcW w:w="701" w:type="pct"/>
            <w:vAlign w:val="center"/>
          </w:tcPr>
          <w:p w14:paraId="7252B20F" w14:textId="77777777" w:rsidR="002E474C" w:rsidRDefault="00000000">
            <w:pPr>
              <w:pStyle w:val="A-"/>
            </w:pPr>
            <w:r>
              <w:t>颗粒物</w:t>
            </w:r>
          </w:p>
        </w:tc>
        <w:tc>
          <w:tcPr>
            <w:tcW w:w="803" w:type="pct"/>
            <w:vAlign w:val="center"/>
          </w:tcPr>
          <w:p w14:paraId="6985EAA0" w14:textId="77777777" w:rsidR="002E474C" w:rsidRDefault="00000000">
            <w:pPr>
              <w:pStyle w:val="A-"/>
            </w:pPr>
            <w:r>
              <w:t>布袋除尘</w:t>
            </w:r>
          </w:p>
        </w:tc>
        <w:tc>
          <w:tcPr>
            <w:tcW w:w="725" w:type="pct"/>
            <w:vAlign w:val="center"/>
          </w:tcPr>
          <w:p w14:paraId="5186DBA8" w14:textId="77777777" w:rsidR="002E474C" w:rsidRDefault="00000000">
            <w:pPr>
              <w:pStyle w:val="A-"/>
            </w:pPr>
            <w:r>
              <w:t>1.8</w:t>
            </w:r>
            <w:r>
              <w:t>～</w:t>
            </w:r>
            <w:r>
              <w:t>18.1</w:t>
            </w:r>
          </w:p>
        </w:tc>
        <w:tc>
          <w:tcPr>
            <w:tcW w:w="701" w:type="pct"/>
            <w:vAlign w:val="center"/>
          </w:tcPr>
          <w:p w14:paraId="3DA5AC93" w14:textId="77777777" w:rsidR="002E474C" w:rsidRDefault="00000000">
            <w:pPr>
              <w:pStyle w:val="A-"/>
            </w:pPr>
            <w:r>
              <w:t>20</w:t>
            </w:r>
          </w:p>
        </w:tc>
        <w:tc>
          <w:tcPr>
            <w:tcW w:w="458" w:type="pct"/>
          </w:tcPr>
          <w:p w14:paraId="17DA5680" w14:textId="77777777" w:rsidR="002E474C" w:rsidRDefault="00000000">
            <w:pPr>
              <w:pStyle w:val="A-"/>
            </w:pPr>
            <w:r>
              <w:t>达标</w:t>
            </w:r>
          </w:p>
        </w:tc>
      </w:tr>
      <w:tr w:rsidR="002E474C" w14:paraId="24A28067" w14:textId="77777777">
        <w:tc>
          <w:tcPr>
            <w:tcW w:w="515" w:type="pct"/>
            <w:vAlign w:val="center"/>
          </w:tcPr>
          <w:p w14:paraId="499F4E65" w14:textId="77777777" w:rsidR="002E474C" w:rsidRDefault="00000000">
            <w:pPr>
              <w:pStyle w:val="A-"/>
            </w:pPr>
            <w:r>
              <w:t>DA002</w:t>
            </w:r>
          </w:p>
        </w:tc>
        <w:tc>
          <w:tcPr>
            <w:tcW w:w="1093" w:type="pct"/>
            <w:vAlign w:val="center"/>
          </w:tcPr>
          <w:p w14:paraId="7F8F4B8F" w14:textId="77777777" w:rsidR="002E474C" w:rsidRDefault="00000000">
            <w:pPr>
              <w:pStyle w:val="A-"/>
            </w:pPr>
            <w:r>
              <w:t>熟料库顶</w:t>
            </w:r>
          </w:p>
        </w:tc>
        <w:tc>
          <w:tcPr>
            <w:tcW w:w="701" w:type="pct"/>
            <w:vAlign w:val="center"/>
          </w:tcPr>
          <w:p w14:paraId="3752A91B" w14:textId="77777777" w:rsidR="002E474C" w:rsidRDefault="00000000">
            <w:pPr>
              <w:pStyle w:val="A-"/>
            </w:pPr>
            <w:r>
              <w:t>颗粒物</w:t>
            </w:r>
          </w:p>
        </w:tc>
        <w:tc>
          <w:tcPr>
            <w:tcW w:w="803" w:type="pct"/>
            <w:vAlign w:val="center"/>
          </w:tcPr>
          <w:p w14:paraId="792E49E5" w14:textId="77777777" w:rsidR="002E474C" w:rsidRDefault="00000000">
            <w:pPr>
              <w:pStyle w:val="A-"/>
            </w:pPr>
            <w:r>
              <w:t>布袋除尘</w:t>
            </w:r>
          </w:p>
        </w:tc>
        <w:tc>
          <w:tcPr>
            <w:tcW w:w="725" w:type="pct"/>
            <w:vAlign w:val="center"/>
          </w:tcPr>
          <w:p w14:paraId="7FD5D544" w14:textId="77777777" w:rsidR="002E474C" w:rsidRDefault="00000000">
            <w:pPr>
              <w:pStyle w:val="A-"/>
            </w:pPr>
            <w:r>
              <w:t>5.5</w:t>
            </w:r>
            <w:r>
              <w:t>～</w:t>
            </w:r>
            <w:r>
              <w:t>5.8</w:t>
            </w:r>
          </w:p>
        </w:tc>
        <w:tc>
          <w:tcPr>
            <w:tcW w:w="701" w:type="pct"/>
            <w:vAlign w:val="center"/>
          </w:tcPr>
          <w:p w14:paraId="4963944E" w14:textId="77777777" w:rsidR="002E474C" w:rsidRDefault="00000000">
            <w:pPr>
              <w:pStyle w:val="A-"/>
            </w:pPr>
            <w:r>
              <w:t>20</w:t>
            </w:r>
          </w:p>
        </w:tc>
        <w:tc>
          <w:tcPr>
            <w:tcW w:w="458" w:type="pct"/>
          </w:tcPr>
          <w:p w14:paraId="0C3D3EE5" w14:textId="77777777" w:rsidR="002E474C" w:rsidRDefault="00000000">
            <w:pPr>
              <w:pStyle w:val="A-"/>
            </w:pPr>
            <w:r>
              <w:t>达标</w:t>
            </w:r>
          </w:p>
        </w:tc>
      </w:tr>
      <w:tr w:rsidR="002E474C" w14:paraId="7E0047A9" w14:textId="77777777">
        <w:tc>
          <w:tcPr>
            <w:tcW w:w="515" w:type="pct"/>
            <w:vAlign w:val="center"/>
          </w:tcPr>
          <w:p w14:paraId="0924C584" w14:textId="77777777" w:rsidR="002E474C" w:rsidRDefault="00000000">
            <w:pPr>
              <w:pStyle w:val="A-"/>
            </w:pPr>
            <w:r>
              <w:t>DA003</w:t>
            </w:r>
          </w:p>
        </w:tc>
        <w:tc>
          <w:tcPr>
            <w:tcW w:w="1093" w:type="pct"/>
            <w:vAlign w:val="center"/>
          </w:tcPr>
          <w:p w14:paraId="62BA011D" w14:textId="77777777" w:rsidR="002E474C" w:rsidRDefault="00000000">
            <w:pPr>
              <w:pStyle w:val="A-"/>
            </w:pPr>
            <w:r>
              <w:t>小库顶收尘</w:t>
            </w:r>
          </w:p>
        </w:tc>
        <w:tc>
          <w:tcPr>
            <w:tcW w:w="701" w:type="pct"/>
            <w:vAlign w:val="center"/>
          </w:tcPr>
          <w:p w14:paraId="14C99D2A" w14:textId="77777777" w:rsidR="002E474C" w:rsidRDefault="00000000">
            <w:pPr>
              <w:pStyle w:val="A-"/>
            </w:pPr>
            <w:r>
              <w:t>颗粒物</w:t>
            </w:r>
          </w:p>
        </w:tc>
        <w:tc>
          <w:tcPr>
            <w:tcW w:w="803" w:type="pct"/>
            <w:vAlign w:val="center"/>
          </w:tcPr>
          <w:p w14:paraId="159F0FC1" w14:textId="77777777" w:rsidR="002E474C" w:rsidRDefault="00000000">
            <w:pPr>
              <w:pStyle w:val="A-"/>
            </w:pPr>
            <w:r>
              <w:t>布袋除尘</w:t>
            </w:r>
          </w:p>
        </w:tc>
        <w:tc>
          <w:tcPr>
            <w:tcW w:w="725" w:type="pct"/>
            <w:vAlign w:val="center"/>
          </w:tcPr>
          <w:p w14:paraId="122C1B22" w14:textId="77777777" w:rsidR="002E474C" w:rsidRDefault="00000000">
            <w:pPr>
              <w:pStyle w:val="A-"/>
            </w:pPr>
            <w:r>
              <w:t>3.0</w:t>
            </w:r>
            <w:r>
              <w:t>～</w:t>
            </w:r>
            <w:r>
              <w:t>3.7</w:t>
            </w:r>
          </w:p>
        </w:tc>
        <w:tc>
          <w:tcPr>
            <w:tcW w:w="701" w:type="pct"/>
            <w:vAlign w:val="center"/>
          </w:tcPr>
          <w:p w14:paraId="4119ADC9" w14:textId="77777777" w:rsidR="002E474C" w:rsidRDefault="00000000">
            <w:pPr>
              <w:pStyle w:val="A-"/>
            </w:pPr>
            <w:r>
              <w:t>20</w:t>
            </w:r>
          </w:p>
        </w:tc>
        <w:tc>
          <w:tcPr>
            <w:tcW w:w="458" w:type="pct"/>
          </w:tcPr>
          <w:p w14:paraId="112CC7F9" w14:textId="77777777" w:rsidR="002E474C" w:rsidRDefault="00000000">
            <w:pPr>
              <w:pStyle w:val="A-"/>
            </w:pPr>
            <w:r>
              <w:t>达标</w:t>
            </w:r>
          </w:p>
        </w:tc>
      </w:tr>
      <w:tr w:rsidR="002E474C" w14:paraId="59350167" w14:textId="77777777">
        <w:tc>
          <w:tcPr>
            <w:tcW w:w="515" w:type="pct"/>
            <w:vAlign w:val="center"/>
          </w:tcPr>
          <w:p w14:paraId="6BCA250A" w14:textId="77777777" w:rsidR="002E474C" w:rsidRDefault="00000000">
            <w:pPr>
              <w:pStyle w:val="A-"/>
            </w:pPr>
            <w:r>
              <w:t>DA004</w:t>
            </w:r>
          </w:p>
        </w:tc>
        <w:tc>
          <w:tcPr>
            <w:tcW w:w="1093" w:type="pct"/>
            <w:vAlign w:val="center"/>
          </w:tcPr>
          <w:p w14:paraId="44FBDA35" w14:textId="77777777" w:rsidR="002E474C" w:rsidRDefault="00000000">
            <w:pPr>
              <w:pStyle w:val="A-"/>
            </w:pPr>
            <w:r>
              <w:t>调配库底收尘</w:t>
            </w:r>
          </w:p>
        </w:tc>
        <w:tc>
          <w:tcPr>
            <w:tcW w:w="701" w:type="pct"/>
            <w:vAlign w:val="center"/>
          </w:tcPr>
          <w:p w14:paraId="0CEEFA8C" w14:textId="77777777" w:rsidR="002E474C" w:rsidRDefault="00000000">
            <w:pPr>
              <w:pStyle w:val="A-"/>
            </w:pPr>
            <w:r>
              <w:t>颗粒物</w:t>
            </w:r>
          </w:p>
        </w:tc>
        <w:tc>
          <w:tcPr>
            <w:tcW w:w="803" w:type="pct"/>
            <w:vAlign w:val="center"/>
          </w:tcPr>
          <w:p w14:paraId="470E97CA" w14:textId="77777777" w:rsidR="002E474C" w:rsidRDefault="00000000">
            <w:pPr>
              <w:pStyle w:val="A-"/>
            </w:pPr>
            <w:r>
              <w:t>布袋除尘</w:t>
            </w:r>
          </w:p>
        </w:tc>
        <w:tc>
          <w:tcPr>
            <w:tcW w:w="725" w:type="pct"/>
            <w:vAlign w:val="center"/>
          </w:tcPr>
          <w:p w14:paraId="15E1EC70" w14:textId="77777777" w:rsidR="002E474C" w:rsidRDefault="00000000">
            <w:pPr>
              <w:pStyle w:val="A-"/>
            </w:pPr>
            <w:r>
              <w:t>2.9</w:t>
            </w:r>
            <w:r>
              <w:t>～</w:t>
            </w:r>
            <w:r>
              <w:t>3.8</w:t>
            </w:r>
          </w:p>
        </w:tc>
        <w:tc>
          <w:tcPr>
            <w:tcW w:w="701" w:type="pct"/>
            <w:vAlign w:val="center"/>
          </w:tcPr>
          <w:p w14:paraId="1738462D" w14:textId="77777777" w:rsidR="002E474C" w:rsidRDefault="00000000">
            <w:pPr>
              <w:pStyle w:val="A-"/>
            </w:pPr>
            <w:r>
              <w:t>20</w:t>
            </w:r>
          </w:p>
        </w:tc>
        <w:tc>
          <w:tcPr>
            <w:tcW w:w="458" w:type="pct"/>
          </w:tcPr>
          <w:p w14:paraId="64E8FCBE" w14:textId="77777777" w:rsidR="002E474C" w:rsidRDefault="00000000">
            <w:pPr>
              <w:pStyle w:val="A-"/>
            </w:pPr>
            <w:r>
              <w:t>达标</w:t>
            </w:r>
          </w:p>
        </w:tc>
      </w:tr>
      <w:tr w:rsidR="002E474C" w14:paraId="41743636" w14:textId="77777777">
        <w:tc>
          <w:tcPr>
            <w:tcW w:w="515" w:type="pct"/>
            <w:vAlign w:val="center"/>
          </w:tcPr>
          <w:p w14:paraId="6183BA56" w14:textId="77777777" w:rsidR="002E474C" w:rsidRDefault="00000000">
            <w:pPr>
              <w:pStyle w:val="A-"/>
            </w:pPr>
            <w:r>
              <w:t>DA005</w:t>
            </w:r>
          </w:p>
        </w:tc>
        <w:tc>
          <w:tcPr>
            <w:tcW w:w="1093" w:type="pct"/>
            <w:vAlign w:val="center"/>
          </w:tcPr>
          <w:p w14:paraId="159060FE" w14:textId="77777777" w:rsidR="002E474C" w:rsidRDefault="00000000">
            <w:pPr>
              <w:pStyle w:val="A-"/>
            </w:pPr>
            <w:r>
              <w:t>熟料库南侧</w:t>
            </w:r>
          </w:p>
        </w:tc>
        <w:tc>
          <w:tcPr>
            <w:tcW w:w="701" w:type="pct"/>
            <w:vAlign w:val="center"/>
          </w:tcPr>
          <w:p w14:paraId="5EE5AB64" w14:textId="77777777" w:rsidR="002E474C" w:rsidRDefault="00000000">
            <w:pPr>
              <w:pStyle w:val="A-"/>
            </w:pPr>
            <w:r>
              <w:t>颗粒物</w:t>
            </w:r>
          </w:p>
        </w:tc>
        <w:tc>
          <w:tcPr>
            <w:tcW w:w="803" w:type="pct"/>
            <w:vAlign w:val="center"/>
          </w:tcPr>
          <w:p w14:paraId="2BED013B" w14:textId="77777777" w:rsidR="002E474C" w:rsidRDefault="00000000">
            <w:pPr>
              <w:pStyle w:val="A-"/>
            </w:pPr>
            <w:r>
              <w:t>布袋除尘</w:t>
            </w:r>
          </w:p>
        </w:tc>
        <w:tc>
          <w:tcPr>
            <w:tcW w:w="725" w:type="pct"/>
            <w:vAlign w:val="center"/>
          </w:tcPr>
          <w:p w14:paraId="3E550F79" w14:textId="77777777" w:rsidR="002E474C" w:rsidRDefault="00000000">
            <w:pPr>
              <w:pStyle w:val="A-"/>
            </w:pPr>
            <w:r>
              <w:t>1.8</w:t>
            </w:r>
            <w:r>
              <w:t>～</w:t>
            </w:r>
            <w:r>
              <w:t>2.3</w:t>
            </w:r>
          </w:p>
        </w:tc>
        <w:tc>
          <w:tcPr>
            <w:tcW w:w="701" w:type="pct"/>
            <w:vAlign w:val="center"/>
          </w:tcPr>
          <w:p w14:paraId="603F6308" w14:textId="77777777" w:rsidR="002E474C" w:rsidRDefault="00000000">
            <w:pPr>
              <w:pStyle w:val="A-"/>
            </w:pPr>
            <w:r>
              <w:t>20</w:t>
            </w:r>
          </w:p>
        </w:tc>
        <w:tc>
          <w:tcPr>
            <w:tcW w:w="458" w:type="pct"/>
          </w:tcPr>
          <w:p w14:paraId="7AC70E15" w14:textId="77777777" w:rsidR="002E474C" w:rsidRDefault="00000000">
            <w:pPr>
              <w:pStyle w:val="A-"/>
            </w:pPr>
            <w:r>
              <w:t>达标</w:t>
            </w:r>
          </w:p>
        </w:tc>
      </w:tr>
      <w:tr w:rsidR="002E474C" w14:paraId="1F75CA8C" w14:textId="77777777">
        <w:tc>
          <w:tcPr>
            <w:tcW w:w="515" w:type="pct"/>
            <w:vAlign w:val="center"/>
          </w:tcPr>
          <w:p w14:paraId="225095C1" w14:textId="77777777" w:rsidR="002E474C" w:rsidRDefault="00000000">
            <w:pPr>
              <w:pStyle w:val="A-"/>
            </w:pPr>
            <w:r>
              <w:t>DA006</w:t>
            </w:r>
          </w:p>
        </w:tc>
        <w:tc>
          <w:tcPr>
            <w:tcW w:w="1093" w:type="pct"/>
            <w:vAlign w:val="center"/>
          </w:tcPr>
          <w:p w14:paraId="088DC251" w14:textId="77777777" w:rsidR="002E474C" w:rsidRDefault="00000000">
            <w:pPr>
              <w:pStyle w:val="A-"/>
            </w:pPr>
            <w:r>
              <w:t>石膏破碎</w:t>
            </w:r>
          </w:p>
        </w:tc>
        <w:tc>
          <w:tcPr>
            <w:tcW w:w="701" w:type="pct"/>
            <w:vAlign w:val="center"/>
          </w:tcPr>
          <w:p w14:paraId="41644F8E" w14:textId="77777777" w:rsidR="002E474C" w:rsidRDefault="00000000">
            <w:pPr>
              <w:pStyle w:val="A-"/>
            </w:pPr>
            <w:r>
              <w:t>颗粒物</w:t>
            </w:r>
          </w:p>
        </w:tc>
        <w:tc>
          <w:tcPr>
            <w:tcW w:w="803" w:type="pct"/>
            <w:vAlign w:val="center"/>
          </w:tcPr>
          <w:p w14:paraId="404CC1EB" w14:textId="77777777" w:rsidR="002E474C" w:rsidRDefault="00000000">
            <w:pPr>
              <w:pStyle w:val="A-"/>
            </w:pPr>
            <w:r>
              <w:t>布袋除尘</w:t>
            </w:r>
          </w:p>
        </w:tc>
        <w:tc>
          <w:tcPr>
            <w:tcW w:w="725" w:type="pct"/>
            <w:vAlign w:val="center"/>
          </w:tcPr>
          <w:p w14:paraId="5BB82B36" w14:textId="77777777" w:rsidR="002E474C" w:rsidRDefault="00000000">
            <w:pPr>
              <w:pStyle w:val="A-"/>
            </w:pPr>
            <w:r>
              <w:t>1.5</w:t>
            </w:r>
            <w:r>
              <w:t>～</w:t>
            </w:r>
            <w:r>
              <w:t>17.6</w:t>
            </w:r>
          </w:p>
        </w:tc>
        <w:tc>
          <w:tcPr>
            <w:tcW w:w="701" w:type="pct"/>
            <w:vAlign w:val="center"/>
          </w:tcPr>
          <w:p w14:paraId="435EA476" w14:textId="77777777" w:rsidR="002E474C" w:rsidRDefault="00000000">
            <w:pPr>
              <w:pStyle w:val="A-"/>
            </w:pPr>
            <w:r>
              <w:t>20</w:t>
            </w:r>
          </w:p>
        </w:tc>
        <w:tc>
          <w:tcPr>
            <w:tcW w:w="458" w:type="pct"/>
          </w:tcPr>
          <w:p w14:paraId="20D827A6" w14:textId="77777777" w:rsidR="002E474C" w:rsidRDefault="00000000">
            <w:pPr>
              <w:pStyle w:val="A-"/>
            </w:pPr>
            <w:r>
              <w:t>达标</w:t>
            </w:r>
          </w:p>
        </w:tc>
      </w:tr>
      <w:tr w:rsidR="002E474C" w14:paraId="0C916E78" w14:textId="77777777">
        <w:tc>
          <w:tcPr>
            <w:tcW w:w="515" w:type="pct"/>
            <w:vAlign w:val="center"/>
          </w:tcPr>
          <w:p w14:paraId="04E81C07" w14:textId="77777777" w:rsidR="002E474C" w:rsidRDefault="00000000">
            <w:pPr>
              <w:pStyle w:val="A-"/>
            </w:pPr>
            <w:r>
              <w:t>DA007</w:t>
            </w:r>
          </w:p>
        </w:tc>
        <w:tc>
          <w:tcPr>
            <w:tcW w:w="1093" w:type="pct"/>
            <w:vAlign w:val="center"/>
          </w:tcPr>
          <w:p w14:paraId="5787F0BD" w14:textId="77777777" w:rsidR="002E474C" w:rsidRDefault="00000000">
            <w:pPr>
              <w:pStyle w:val="A-"/>
            </w:pPr>
            <w:r>
              <w:t>3#</w:t>
            </w:r>
            <w:r>
              <w:t>包装机收尘</w:t>
            </w:r>
          </w:p>
        </w:tc>
        <w:tc>
          <w:tcPr>
            <w:tcW w:w="701" w:type="pct"/>
            <w:vAlign w:val="center"/>
          </w:tcPr>
          <w:p w14:paraId="152B6558" w14:textId="77777777" w:rsidR="002E474C" w:rsidRDefault="00000000">
            <w:pPr>
              <w:pStyle w:val="A-"/>
            </w:pPr>
            <w:r>
              <w:t>颗粒物</w:t>
            </w:r>
          </w:p>
        </w:tc>
        <w:tc>
          <w:tcPr>
            <w:tcW w:w="803" w:type="pct"/>
            <w:vAlign w:val="center"/>
          </w:tcPr>
          <w:p w14:paraId="3CDB9CE9" w14:textId="77777777" w:rsidR="002E474C" w:rsidRDefault="00000000">
            <w:pPr>
              <w:pStyle w:val="A-"/>
            </w:pPr>
            <w:r>
              <w:t>布袋除尘</w:t>
            </w:r>
          </w:p>
        </w:tc>
        <w:tc>
          <w:tcPr>
            <w:tcW w:w="725" w:type="pct"/>
            <w:shd w:val="clear" w:color="auto" w:fill="auto"/>
          </w:tcPr>
          <w:p w14:paraId="501F7C79" w14:textId="77777777" w:rsidR="002E474C" w:rsidRDefault="00000000">
            <w:pPr>
              <w:pStyle w:val="A-"/>
            </w:pPr>
            <w:r>
              <w:t>—</w:t>
            </w:r>
          </w:p>
        </w:tc>
        <w:tc>
          <w:tcPr>
            <w:tcW w:w="701" w:type="pct"/>
            <w:vAlign w:val="center"/>
          </w:tcPr>
          <w:p w14:paraId="62F70206" w14:textId="77777777" w:rsidR="002E474C" w:rsidRDefault="00000000">
            <w:pPr>
              <w:pStyle w:val="A-"/>
            </w:pPr>
            <w:r>
              <w:t>20</w:t>
            </w:r>
          </w:p>
        </w:tc>
        <w:tc>
          <w:tcPr>
            <w:tcW w:w="458" w:type="pct"/>
          </w:tcPr>
          <w:p w14:paraId="391598BD" w14:textId="77777777" w:rsidR="002E474C" w:rsidRDefault="00000000">
            <w:pPr>
              <w:pStyle w:val="A-"/>
            </w:pPr>
            <w:r>
              <w:t>—</w:t>
            </w:r>
          </w:p>
        </w:tc>
      </w:tr>
      <w:tr w:rsidR="002E474C" w14:paraId="1B0A5C0A" w14:textId="77777777">
        <w:tc>
          <w:tcPr>
            <w:tcW w:w="515" w:type="pct"/>
            <w:vAlign w:val="center"/>
          </w:tcPr>
          <w:p w14:paraId="4247A2F9" w14:textId="77777777" w:rsidR="002E474C" w:rsidRDefault="00000000">
            <w:pPr>
              <w:pStyle w:val="A-"/>
            </w:pPr>
            <w:r>
              <w:t>DA008</w:t>
            </w:r>
          </w:p>
        </w:tc>
        <w:tc>
          <w:tcPr>
            <w:tcW w:w="1093" w:type="pct"/>
            <w:vAlign w:val="center"/>
          </w:tcPr>
          <w:p w14:paraId="5143F8D5" w14:textId="77777777" w:rsidR="002E474C" w:rsidRDefault="00000000">
            <w:pPr>
              <w:pStyle w:val="A-"/>
            </w:pPr>
            <w:r>
              <w:t>4#</w:t>
            </w:r>
            <w:r>
              <w:t>包装机收尘</w:t>
            </w:r>
          </w:p>
        </w:tc>
        <w:tc>
          <w:tcPr>
            <w:tcW w:w="701" w:type="pct"/>
            <w:vAlign w:val="center"/>
          </w:tcPr>
          <w:p w14:paraId="37ADDD12" w14:textId="77777777" w:rsidR="002E474C" w:rsidRDefault="00000000">
            <w:pPr>
              <w:pStyle w:val="A-"/>
            </w:pPr>
            <w:r>
              <w:t>颗粒物</w:t>
            </w:r>
          </w:p>
        </w:tc>
        <w:tc>
          <w:tcPr>
            <w:tcW w:w="803" w:type="pct"/>
            <w:vAlign w:val="center"/>
          </w:tcPr>
          <w:p w14:paraId="2406BF47" w14:textId="77777777" w:rsidR="002E474C" w:rsidRDefault="00000000">
            <w:pPr>
              <w:pStyle w:val="A-"/>
            </w:pPr>
            <w:r>
              <w:t>布袋除尘</w:t>
            </w:r>
          </w:p>
        </w:tc>
        <w:tc>
          <w:tcPr>
            <w:tcW w:w="725" w:type="pct"/>
            <w:shd w:val="clear" w:color="auto" w:fill="auto"/>
          </w:tcPr>
          <w:p w14:paraId="31E4C210" w14:textId="77777777" w:rsidR="002E474C" w:rsidRDefault="00000000">
            <w:pPr>
              <w:pStyle w:val="A-"/>
            </w:pPr>
            <w:r>
              <w:t>—</w:t>
            </w:r>
          </w:p>
        </w:tc>
        <w:tc>
          <w:tcPr>
            <w:tcW w:w="701" w:type="pct"/>
            <w:vAlign w:val="center"/>
          </w:tcPr>
          <w:p w14:paraId="2FF5AD4A" w14:textId="77777777" w:rsidR="002E474C" w:rsidRDefault="00000000">
            <w:pPr>
              <w:pStyle w:val="A-"/>
            </w:pPr>
            <w:r>
              <w:t>20</w:t>
            </w:r>
          </w:p>
        </w:tc>
        <w:tc>
          <w:tcPr>
            <w:tcW w:w="458" w:type="pct"/>
          </w:tcPr>
          <w:p w14:paraId="7F05C2AD" w14:textId="77777777" w:rsidR="002E474C" w:rsidRDefault="00000000">
            <w:pPr>
              <w:pStyle w:val="A-"/>
            </w:pPr>
            <w:r>
              <w:t>—</w:t>
            </w:r>
          </w:p>
        </w:tc>
      </w:tr>
      <w:tr w:rsidR="002E474C" w14:paraId="30821D23" w14:textId="77777777">
        <w:tc>
          <w:tcPr>
            <w:tcW w:w="515" w:type="pct"/>
            <w:vAlign w:val="center"/>
          </w:tcPr>
          <w:p w14:paraId="7779A267" w14:textId="77777777" w:rsidR="002E474C" w:rsidRDefault="00000000">
            <w:pPr>
              <w:pStyle w:val="A-"/>
            </w:pPr>
            <w:r>
              <w:t>DA009</w:t>
            </w:r>
          </w:p>
        </w:tc>
        <w:tc>
          <w:tcPr>
            <w:tcW w:w="1093" w:type="pct"/>
            <w:vAlign w:val="center"/>
          </w:tcPr>
          <w:p w14:paraId="10584128" w14:textId="77777777" w:rsidR="002E474C" w:rsidRDefault="00000000">
            <w:pPr>
              <w:pStyle w:val="A-"/>
            </w:pPr>
            <w:r>
              <w:t>1805</w:t>
            </w:r>
            <w:r>
              <w:t>皮带机头</w:t>
            </w:r>
          </w:p>
        </w:tc>
        <w:tc>
          <w:tcPr>
            <w:tcW w:w="701" w:type="pct"/>
            <w:vAlign w:val="center"/>
          </w:tcPr>
          <w:p w14:paraId="24C85933" w14:textId="77777777" w:rsidR="002E474C" w:rsidRDefault="00000000">
            <w:pPr>
              <w:pStyle w:val="A-"/>
            </w:pPr>
            <w:r>
              <w:t>颗粒物</w:t>
            </w:r>
          </w:p>
        </w:tc>
        <w:tc>
          <w:tcPr>
            <w:tcW w:w="803" w:type="pct"/>
            <w:vAlign w:val="center"/>
          </w:tcPr>
          <w:p w14:paraId="3512BFD0" w14:textId="77777777" w:rsidR="002E474C" w:rsidRDefault="00000000">
            <w:pPr>
              <w:pStyle w:val="A-"/>
            </w:pPr>
            <w:r>
              <w:t>布袋除尘</w:t>
            </w:r>
          </w:p>
        </w:tc>
        <w:tc>
          <w:tcPr>
            <w:tcW w:w="725" w:type="pct"/>
            <w:vAlign w:val="center"/>
          </w:tcPr>
          <w:p w14:paraId="2B555093" w14:textId="77777777" w:rsidR="002E474C" w:rsidRDefault="00000000">
            <w:pPr>
              <w:pStyle w:val="A-"/>
            </w:pPr>
            <w:r>
              <w:t>1.0</w:t>
            </w:r>
            <w:r>
              <w:t>～</w:t>
            </w:r>
            <w:r>
              <w:t>1.2</w:t>
            </w:r>
          </w:p>
        </w:tc>
        <w:tc>
          <w:tcPr>
            <w:tcW w:w="701" w:type="pct"/>
            <w:vAlign w:val="center"/>
          </w:tcPr>
          <w:p w14:paraId="0300F238" w14:textId="77777777" w:rsidR="002E474C" w:rsidRDefault="00000000">
            <w:pPr>
              <w:pStyle w:val="A-"/>
            </w:pPr>
            <w:r>
              <w:t>20</w:t>
            </w:r>
          </w:p>
        </w:tc>
        <w:tc>
          <w:tcPr>
            <w:tcW w:w="458" w:type="pct"/>
          </w:tcPr>
          <w:p w14:paraId="56590783" w14:textId="77777777" w:rsidR="002E474C" w:rsidRDefault="00000000">
            <w:pPr>
              <w:pStyle w:val="A-"/>
            </w:pPr>
            <w:r>
              <w:t>达标</w:t>
            </w:r>
          </w:p>
        </w:tc>
      </w:tr>
      <w:tr w:rsidR="002E474C" w14:paraId="10884BF2" w14:textId="77777777">
        <w:tc>
          <w:tcPr>
            <w:tcW w:w="515" w:type="pct"/>
            <w:vAlign w:val="center"/>
          </w:tcPr>
          <w:p w14:paraId="0AA48B74" w14:textId="77777777" w:rsidR="002E474C" w:rsidRDefault="00000000">
            <w:pPr>
              <w:pStyle w:val="A-"/>
            </w:pPr>
            <w:r>
              <w:t>DA010</w:t>
            </w:r>
          </w:p>
        </w:tc>
        <w:tc>
          <w:tcPr>
            <w:tcW w:w="1093" w:type="pct"/>
            <w:vAlign w:val="center"/>
          </w:tcPr>
          <w:p w14:paraId="65869C68" w14:textId="77777777" w:rsidR="002E474C" w:rsidRDefault="00000000">
            <w:pPr>
              <w:pStyle w:val="A-"/>
            </w:pPr>
            <w:r>
              <w:t>水泥磨收尘</w:t>
            </w:r>
          </w:p>
        </w:tc>
        <w:tc>
          <w:tcPr>
            <w:tcW w:w="701" w:type="pct"/>
            <w:vAlign w:val="center"/>
          </w:tcPr>
          <w:p w14:paraId="782B359E" w14:textId="77777777" w:rsidR="002E474C" w:rsidRDefault="00000000">
            <w:pPr>
              <w:pStyle w:val="A-"/>
            </w:pPr>
            <w:r>
              <w:t>颗粒物</w:t>
            </w:r>
          </w:p>
        </w:tc>
        <w:tc>
          <w:tcPr>
            <w:tcW w:w="803" w:type="pct"/>
            <w:vAlign w:val="center"/>
          </w:tcPr>
          <w:p w14:paraId="2CB4E78F" w14:textId="77777777" w:rsidR="002E474C" w:rsidRDefault="00000000">
            <w:pPr>
              <w:pStyle w:val="A-"/>
            </w:pPr>
            <w:r>
              <w:t>布袋除尘</w:t>
            </w:r>
          </w:p>
        </w:tc>
        <w:tc>
          <w:tcPr>
            <w:tcW w:w="725" w:type="pct"/>
            <w:vAlign w:val="center"/>
          </w:tcPr>
          <w:p w14:paraId="332427DA" w14:textId="77777777" w:rsidR="002E474C" w:rsidRDefault="00000000">
            <w:pPr>
              <w:pStyle w:val="A-"/>
            </w:pPr>
            <w:r>
              <w:t>1.1</w:t>
            </w:r>
            <w:r>
              <w:t>～</w:t>
            </w:r>
            <w:r>
              <w:t>4.6</w:t>
            </w:r>
          </w:p>
        </w:tc>
        <w:tc>
          <w:tcPr>
            <w:tcW w:w="701" w:type="pct"/>
            <w:vAlign w:val="center"/>
          </w:tcPr>
          <w:p w14:paraId="0D1993F1" w14:textId="77777777" w:rsidR="002E474C" w:rsidRDefault="00000000">
            <w:pPr>
              <w:pStyle w:val="A-"/>
            </w:pPr>
            <w:r>
              <w:t>20</w:t>
            </w:r>
          </w:p>
        </w:tc>
        <w:tc>
          <w:tcPr>
            <w:tcW w:w="458" w:type="pct"/>
          </w:tcPr>
          <w:p w14:paraId="294D2B71" w14:textId="77777777" w:rsidR="002E474C" w:rsidRDefault="00000000">
            <w:pPr>
              <w:pStyle w:val="A-"/>
            </w:pPr>
            <w:r>
              <w:t>达标</w:t>
            </w:r>
          </w:p>
        </w:tc>
      </w:tr>
      <w:tr w:rsidR="002E474C" w14:paraId="2665A84D" w14:textId="77777777">
        <w:tc>
          <w:tcPr>
            <w:tcW w:w="515" w:type="pct"/>
            <w:vAlign w:val="center"/>
          </w:tcPr>
          <w:p w14:paraId="57D637BD" w14:textId="77777777" w:rsidR="002E474C" w:rsidRDefault="00000000">
            <w:pPr>
              <w:pStyle w:val="A-"/>
            </w:pPr>
            <w:r>
              <w:t>DA011</w:t>
            </w:r>
          </w:p>
        </w:tc>
        <w:tc>
          <w:tcPr>
            <w:tcW w:w="1093" w:type="pct"/>
            <w:vAlign w:val="center"/>
          </w:tcPr>
          <w:p w14:paraId="502529AC" w14:textId="77777777" w:rsidR="002E474C" w:rsidRDefault="00000000">
            <w:pPr>
              <w:pStyle w:val="A-"/>
            </w:pPr>
            <w:r>
              <w:t>水泥磨收尘</w:t>
            </w:r>
          </w:p>
        </w:tc>
        <w:tc>
          <w:tcPr>
            <w:tcW w:w="701" w:type="pct"/>
            <w:vAlign w:val="center"/>
          </w:tcPr>
          <w:p w14:paraId="3CBC876C" w14:textId="77777777" w:rsidR="002E474C" w:rsidRDefault="00000000">
            <w:pPr>
              <w:pStyle w:val="A-"/>
            </w:pPr>
            <w:r>
              <w:t>颗粒物</w:t>
            </w:r>
          </w:p>
        </w:tc>
        <w:tc>
          <w:tcPr>
            <w:tcW w:w="803" w:type="pct"/>
            <w:vAlign w:val="center"/>
          </w:tcPr>
          <w:p w14:paraId="27A40F34" w14:textId="77777777" w:rsidR="002E474C" w:rsidRDefault="00000000">
            <w:pPr>
              <w:pStyle w:val="A-"/>
            </w:pPr>
            <w:r>
              <w:t>布袋除尘</w:t>
            </w:r>
          </w:p>
        </w:tc>
        <w:tc>
          <w:tcPr>
            <w:tcW w:w="725" w:type="pct"/>
            <w:vAlign w:val="center"/>
          </w:tcPr>
          <w:p w14:paraId="5BE816FB" w14:textId="77777777" w:rsidR="002E474C" w:rsidRDefault="00000000">
            <w:pPr>
              <w:pStyle w:val="A-"/>
            </w:pPr>
            <w:r>
              <w:t>＜</w:t>
            </w:r>
            <w:r>
              <w:t>1</w:t>
            </w:r>
            <w:r>
              <w:t>～</w:t>
            </w:r>
            <w:r>
              <w:t>19.9</w:t>
            </w:r>
          </w:p>
        </w:tc>
        <w:tc>
          <w:tcPr>
            <w:tcW w:w="701" w:type="pct"/>
            <w:vAlign w:val="center"/>
          </w:tcPr>
          <w:p w14:paraId="71C673E5" w14:textId="77777777" w:rsidR="002E474C" w:rsidRDefault="00000000">
            <w:pPr>
              <w:pStyle w:val="A-"/>
            </w:pPr>
            <w:r>
              <w:t>20</w:t>
            </w:r>
          </w:p>
        </w:tc>
        <w:tc>
          <w:tcPr>
            <w:tcW w:w="458" w:type="pct"/>
          </w:tcPr>
          <w:p w14:paraId="65591ACA" w14:textId="77777777" w:rsidR="002E474C" w:rsidRDefault="00000000">
            <w:pPr>
              <w:pStyle w:val="A-"/>
            </w:pPr>
            <w:r>
              <w:t>达标</w:t>
            </w:r>
          </w:p>
        </w:tc>
      </w:tr>
      <w:tr w:rsidR="002E474C" w14:paraId="56957EC9" w14:textId="77777777">
        <w:tc>
          <w:tcPr>
            <w:tcW w:w="515" w:type="pct"/>
            <w:vAlign w:val="center"/>
          </w:tcPr>
          <w:p w14:paraId="24F6618C" w14:textId="77777777" w:rsidR="002E474C" w:rsidRDefault="00000000">
            <w:pPr>
              <w:pStyle w:val="A-"/>
            </w:pPr>
            <w:r>
              <w:t>DA012</w:t>
            </w:r>
          </w:p>
        </w:tc>
        <w:tc>
          <w:tcPr>
            <w:tcW w:w="1093" w:type="pct"/>
            <w:vAlign w:val="center"/>
          </w:tcPr>
          <w:p w14:paraId="1B090DF4" w14:textId="77777777" w:rsidR="002E474C" w:rsidRDefault="00000000">
            <w:pPr>
              <w:pStyle w:val="A-"/>
            </w:pPr>
            <w:r>
              <w:t>水泥磨收尘</w:t>
            </w:r>
          </w:p>
        </w:tc>
        <w:tc>
          <w:tcPr>
            <w:tcW w:w="701" w:type="pct"/>
            <w:vAlign w:val="center"/>
          </w:tcPr>
          <w:p w14:paraId="4569182A" w14:textId="77777777" w:rsidR="002E474C" w:rsidRDefault="00000000">
            <w:pPr>
              <w:pStyle w:val="A-"/>
            </w:pPr>
            <w:r>
              <w:t>颗粒物</w:t>
            </w:r>
          </w:p>
        </w:tc>
        <w:tc>
          <w:tcPr>
            <w:tcW w:w="803" w:type="pct"/>
            <w:vAlign w:val="center"/>
          </w:tcPr>
          <w:p w14:paraId="6BD0EAE2" w14:textId="77777777" w:rsidR="002E474C" w:rsidRDefault="00000000">
            <w:pPr>
              <w:pStyle w:val="A-"/>
            </w:pPr>
            <w:r>
              <w:t>布袋除尘</w:t>
            </w:r>
          </w:p>
        </w:tc>
        <w:tc>
          <w:tcPr>
            <w:tcW w:w="725" w:type="pct"/>
            <w:vAlign w:val="center"/>
          </w:tcPr>
          <w:p w14:paraId="48CFC1F5" w14:textId="77777777" w:rsidR="002E474C" w:rsidRDefault="00000000">
            <w:pPr>
              <w:pStyle w:val="A-"/>
            </w:pPr>
            <w:r>
              <w:t>2.6</w:t>
            </w:r>
            <w:r>
              <w:t>～</w:t>
            </w:r>
            <w:r>
              <w:t>19.4</w:t>
            </w:r>
          </w:p>
        </w:tc>
        <w:tc>
          <w:tcPr>
            <w:tcW w:w="701" w:type="pct"/>
            <w:vAlign w:val="center"/>
          </w:tcPr>
          <w:p w14:paraId="6550B688" w14:textId="77777777" w:rsidR="002E474C" w:rsidRDefault="00000000">
            <w:pPr>
              <w:pStyle w:val="A-"/>
            </w:pPr>
            <w:r>
              <w:t>20</w:t>
            </w:r>
          </w:p>
        </w:tc>
        <w:tc>
          <w:tcPr>
            <w:tcW w:w="458" w:type="pct"/>
          </w:tcPr>
          <w:p w14:paraId="64777A23" w14:textId="77777777" w:rsidR="002E474C" w:rsidRDefault="00000000">
            <w:pPr>
              <w:pStyle w:val="A-"/>
            </w:pPr>
            <w:r>
              <w:t>达标</w:t>
            </w:r>
          </w:p>
        </w:tc>
      </w:tr>
      <w:tr w:rsidR="002E474C" w14:paraId="6342F524" w14:textId="77777777">
        <w:tc>
          <w:tcPr>
            <w:tcW w:w="515" w:type="pct"/>
            <w:vAlign w:val="center"/>
          </w:tcPr>
          <w:p w14:paraId="402DB857" w14:textId="77777777" w:rsidR="002E474C" w:rsidRDefault="00000000">
            <w:pPr>
              <w:pStyle w:val="A-"/>
            </w:pPr>
            <w:r>
              <w:t>DA013</w:t>
            </w:r>
          </w:p>
        </w:tc>
        <w:tc>
          <w:tcPr>
            <w:tcW w:w="1093" w:type="pct"/>
            <w:vAlign w:val="center"/>
          </w:tcPr>
          <w:p w14:paraId="3505BAD9" w14:textId="77777777" w:rsidR="002E474C" w:rsidRDefault="00000000">
            <w:pPr>
              <w:pStyle w:val="A-"/>
            </w:pPr>
            <w:r>
              <w:t>水泥磨收尘</w:t>
            </w:r>
          </w:p>
        </w:tc>
        <w:tc>
          <w:tcPr>
            <w:tcW w:w="701" w:type="pct"/>
            <w:vAlign w:val="center"/>
          </w:tcPr>
          <w:p w14:paraId="37DDD71F" w14:textId="77777777" w:rsidR="002E474C" w:rsidRDefault="00000000">
            <w:pPr>
              <w:pStyle w:val="A-"/>
            </w:pPr>
            <w:r>
              <w:t>颗粒物</w:t>
            </w:r>
          </w:p>
        </w:tc>
        <w:tc>
          <w:tcPr>
            <w:tcW w:w="803" w:type="pct"/>
            <w:vAlign w:val="center"/>
          </w:tcPr>
          <w:p w14:paraId="54929441" w14:textId="77777777" w:rsidR="002E474C" w:rsidRDefault="00000000">
            <w:pPr>
              <w:pStyle w:val="A-"/>
            </w:pPr>
            <w:r>
              <w:t>布袋除尘</w:t>
            </w:r>
          </w:p>
        </w:tc>
        <w:tc>
          <w:tcPr>
            <w:tcW w:w="725" w:type="pct"/>
            <w:vAlign w:val="center"/>
          </w:tcPr>
          <w:p w14:paraId="164E7335" w14:textId="77777777" w:rsidR="002E474C" w:rsidRDefault="00000000">
            <w:pPr>
              <w:pStyle w:val="A-"/>
            </w:pPr>
            <w:r>
              <w:t>2.1</w:t>
            </w:r>
            <w:r>
              <w:t>～</w:t>
            </w:r>
            <w:r>
              <w:t>9.8</w:t>
            </w:r>
          </w:p>
        </w:tc>
        <w:tc>
          <w:tcPr>
            <w:tcW w:w="701" w:type="pct"/>
            <w:vAlign w:val="center"/>
          </w:tcPr>
          <w:p w14:paraId="5AA679D1" w14:textId="77777777" w:rsidR="002E474C" w:rsidRDefault="00000000">
            <w:pPr>
              <w:pStyle w:val="A-"/>
            </w:pPr>
            <w:r>
              <w:t>20</w:t>
            </w:r>
          </w:p>
        </w:tc>
        <w:tc>
          <w:tcPr>
            <w:tcW w:w="458" w:type="pct"/>
          </w:tcPr>
          <w:p w14:paraId="3F9C1E4B" w14:textId="77777777" w:rsidR="002E474C" w:rsidRDefault="00000000">
            <w:pPr>
              <w:pStyle w:val="A-"/>
            </w:pPr>
            <w:r>
              <w:t>达标</w:t>
            </w:r>
          </w:p>
        </w:tc>
      </w:tr>
      <w:tr w:rsidR="002E474C" w14:paraId="70E558B0" w14:textId="77777777">
        <w:tc>
          <w:tcPr>
            <w:tcW w:w="515" w:type="pct"/>
            <w:vAlign w:val="center"/>
          </w:tcPr>
          <w:p w14:paraId="1AC35460" w14:textId="77777777" w:rsidR="002E474C" w:rsidRDefault="00000000">
            <w:pPr>
              <w:pStyle w:val="A-"/>
            </w:pPr>
            <w:r>
              <w:t>DA014</w:t>
            </w:r>
          </w:p>
        </w:tc>
        <w:tc>
          <w:tcPr>
            <w:tcW w:w="1093" w:type="pct"/>
            <w:vAlign w:val="center"/>
          </w:tcPr>
          <w:p w14:paraId="5288A8BC" w14:textId="77777777" w:rsidR="002E474C" w:rsidRDefault="00000000">
            <w:pPr>
              <w:pStyle w:val="A-"/>
            </w:pPr>
            <w:r>
              <w:t>1#</w:t>
            </w:r>
            <w:r>
              <w:t>水泥库顶</w:t>
            </w:r>
          </w:p>
        </w:tc>
        <w:tc>
          <w:tcPr>
            <w:tcW w:w="701" w:type="pct"/>
            <w:vAlign w:val="center"/>
          </w:tcPr>
          <w:p w14:paraId="5FBE2789" w14:textId="77777777" w:rsidR="002E474C" w:rsidRDefault="00000000">
            <w:pPr>
              <w:pStyle w:val="A-"/>
            </w:pPr>
            <w:r>
              <w:t>颗粒物</w:t>
            </w:r>
          </w:p>
        </w:tc>
        <w:tc>
          <w:tcPr>
            <w:tcW w:w="803" w:type="pct"/>
            <w:vAlign w:val="center"/>
          </w:tcPr>
          <w:p w14:paraId="1CFF9A8C" w14:textId="77777777" w:rsidR="002E474C" w:rsidRDefault="00000000">
            <w:pPr>
              <w:pStyle w:val="A-"/>
            </w:pPr>
            <w:r>
              <w:t>布袋除尘</w:t>
            </w:r>
          </w:p>
        </w:tc>
        <w:tc>
          <w:tcPr>
            <w:tcW w:w="725" w:type="pct"/>
            <w:vAlign w:val="center"/>
          </w:tcPr>
          <w:p w14:paraId="14D8B64B" w14:textId="77777777" w:rsidR="002E474C" w:rsidRDefault="00000000">
            <w:pPr>
              <w:pStyle w:val="A-"/>
            </w:pPr>
            <w:r>
              <w:t>1.1</w:t>
            </w:r>
            <w:r>
              <w:t>～</w:t>
            </w:r>
            <w:r>
              <w:t>1.6</w:t>
            </w:r>
          </w:p>
        </w:tc>
        <w:tc>
          <w:tcPr>
            <w:tcW w:w="701" w:type="pct"/>
            <w:vAlign w:val="center"/>
          </w:tcPr>
          <w:p w14:paraId="58D60F05" w14:textId="77777777" w:rsidR="002E474C" w:rsidRDefault="00000000">
            <w:pPr>
              <w:pStyle w:val="A-"/>
            </w:pPr>
            <w:r>
              <w:t>20</w:t>
            </w:r>
          </w:p>
        </w:tc>
        <w:tc>
          <w:tcPr>
            <w:tcW w:w="458" w:type="pct"/>
          </w:tcPr>
          <w:p w14:paraId="270B205D" w14:textId="77777777" w:rsidR="002E474C" w:rsidRDefault="00000000">
            <w:pPr>
              <w:pStyle w:val="A-"/>
            </w:pPr>
            <w:r>
              <w:t>达标</w:t>
            </w:r>
          </w:p>
        </w:tc>
      </w:tr>
      <w:tr w:rsidR="002E474C" w14:paraId="2350027B" w14:textId="77777777">
        <w:tc>
          <w:tcPr>
            <w:tcW w:w="515" w:type="pct"/>
            <w:vAlign w:val="center"/>
          </w:tcPr>
          <w:p w14:paraId="29884E07" w14:textId="77777777" w:rsidR="002E474C" w:rsidRDefault="00000000">
            <w:pPr>
              <w:pStyle w:val="A-"/>
            </w:pPr>
            <w:r>
              <w:t>DA015</w:t>
            </w:r>
          </w:p>
        </w:tc>
        <w:tc>
          <w:tcPr>
            <w:tcW w:w="1093" w:type="pct"/>
            <w:vAlign w:val="center"/>
          </w:tcPr>
          <w:p w14:paraId="6D262035" w14:textId="77777777" w:rsidR="002E474C" w:rsidRDefault="00000000">
            <w:pPr>
              <w:pStyle w:val="A-"/>
            </w:pPr>
            <w:r>
              <w:t>4#</w:t>
            </w:r>
            <w:r>
              <w:t>水泥库顶</w:t>
            </w:r>
          </w:p>
        </w:tc>
        <w:tc>
          <w:tcPr>
            <w:tcW w:w="701" w:type="pct"/>
            <w:vAlign w:val="center"/>
          </w:tcPr>
          <w:p w14:paraId="6AAE7DE6" w14:textId="77777777" w:rsidR="002E474C" w:rsidRDefault="00000000">
            <w:pPr>
              <w:pStyle w:val="A-"/>
            </w:pPr>
            <w:r>
              <w:t>颗粒物</w:t>
            </w:r>
          </w:p>
        </w:tc>
        <w:tc>
          <w:tcPr>
            <w:tcW w:w="803" w:type="pct"/>
            <w:vAlign w:val="center"/>
          </w:tcPr>
          <w:p w14:paraId="4320C914" w14:textId="77777777" w:rsidR="002E474C" w:rsidRDefault="00000000">
            <w:pPr>
              <w:pStyle w:val="A-"/>
            </w:pPr>
            <w:r>
              <w:t>布袋除尘</w:t>
            </w:r>
          </w:p>
        </w:tc>
        <w:tc>
          <w:tcPr>
            <w:tcW w:w="725" w:type="pct"/>
            <w:vAlign w:val="center"/>
          </w:tcPr>
          <w:p w14:paraId="5BCEED04" w14:textId="77777777" w:rsidR="002E474C" w:rsidRDefault="00000000">
            <w:pPr>
              <w:pStyle w:val="A-"/>
            </w:pPr>
            <w:r>
              <w:t>1.6</w:t>
            </w:r>
            <w:r>
              <w:t>～</w:t>
            </w:r>
            <w:r>
              <w:t>1.7</w:t>
            </w:r>
          </w:p>
        </w:tc>
        <w:tc>
          <w:tcPr>
            <w:tcW w:w="701" w:type="pct"/>
            <w:vAlign w:val="center"/>
          </w:tcPr>
          <w:p w14:paraId="2C6789BF" w14:textId="77777777" w:rsidR="002E474C" w:rsidRDefault="00000000">
            <w:pPr>
              <w:pStyle w:val="A-"/>
            </w:pPr>
            <w:r>
              <w:t>20</w:t>
            </w:r>
          </w:p>
        </w:tc>
        <w:tc>
          <w:tcPr>
            <w:tcW w:w="458" w:type="pct"/>
          </w:tcPr>
          <w:p w14:paraId="1B1C2F51" w14:textId="77777777" w:rsidR="002E474C" w:rsidRDefault="00000000">
            <w:pPr>
              <w:pStyle w:val="A-"/>
            </w:pPr>
            <w:r>
              <w:t>达标</w:t>
            </w:r>
          </w:p>
        </w:tc>
      </w:tr>
      <w:tr w:rsidR="002E474C" w14:paraId="6E8A082B" w14:textId="77777777">
        <w:tc>
          <w:tcPr>
            <w:tcW w:w="515" w:type="pct"/>
            <w:vAlign w:val="center"/>
          </w:tcPr>
          <w:p w14:paraId="4F7BEA2C" w14:textId="77777777" w:rsidR="002E474C" w:rsidRDefault="00000000">
            <w:pPr>
              <w:pStyle w:val="A-"/>
            </w:pPr>
            <w:r>
              <w:t>DA016</w:t>
            </w:r>
          </w:p>
        </w:tc>
        <w:tc>
          <w:tcPr>
            <w:tcW w:w="1093" w:type="pct"/>
            <w:vAlign w:val="center"/>
          </w:tcPr>
          <w:p w14:paraId="5FD36A61" w14:textId="77777777" w:rsidR="002E474C" w:rsidRDefault="00000000">
            <w:pPr>
              <w:pStyle w:val="A-"/>
            </w:pPr>
            <w:r>
              <w:t>2#</w:t>
            </w:r>
            <w:r>
              <w:t>水泥库顶</w:t>
            </w:r>
          </w:p>
        </w:tc>
        <w:tc>
          <w:tcPr>
            <w:tcW w:w="701" w:type="pct"/>
            <w:vAlign w:val="center"/>
          </w:tcPr>
          <w:p w14:paraId="4CA5079E" w14:textId="77777777" w:rsidR="002E474C" w:rsidRDefault="00000000">
            <w:pPr>
              <w:pStyle w:val="A-"/>
            </w:pPr>
            <w:r>
              <w:t>颗粒物</w:t>
            </w:r>
          </w:p>
        </w:tc>
        <w:tc>
          <w:tcPr>
            <w:tcW w:w="803" w:type="pct"/>
            <w:vAlign w:val="center"/>
          </w:tcPr>
          <w:p w14:paraId="72222651" w14:textId="77777777" w:rsidR="002E474C" w:rsidRDefault="00000000">
            <w:pPr>
              <w:pStyle w:val="A-"/>
            </w:pPr>
            <w:r>
              <w:t>布袋除尘</w:t>
            </w:r>
          </w:p>
        </w:tc>
        <w:tc>
          <w:tcPr>
            <w:tcW w:w="725" w:type="pct"/>
            <w:vAlign w:val="center"/>
          </w:tcPr>
          <w:p w14:paraId="2324DD2D" w14:textId="77777777" w:rsidR="002E474C" w:rsidRDefault="00000000">
            <w:pPr>
              <w:pStyle w:val="A-"/>
            </w:pPr>
            <w:r>
              <w:t>1.4</w:t>
            </w:r>
            <w:r>
              <w:t>～</w:t>
            </w:r>
            <w:r>
              <w:t>1.9</w:t>
            </w:r>
          </w:p>
        </w:tc>
        <w:tc>
          <w:tcPr>
            <w:tcW w:w="701" w:type="pct"/>
            <w:vAlign w:val="center"/>
          </w:tcPr>
          <w:p w14:paraId="5845C29D" w14:textId="77777777" w:rsidR="002E474C" w:rsidRDefault="00000000">
            <w:pPr>
              <w:pStyle w:val="A-"/>
            </w:pPr>
            <w:r>
              <w:t>20</w:t>
            </w:r>
          </w:p>
        </w:tc>
        <w:tc>
          <w:tcPr>
            <w:tcW w:w="458" w:type="pct"/>
          </w:tcPr>
          <w:p w14:paraId="0747F4E1" w14:textId="77777777" w:rsidR="002E474C" w:rsidRDefault="00000000">
            <w:pPr>
              <w:pStyle w:val="A-"/>
            </w:pPr>
            <w:r>
              <w:t>达标</w:t>
            </w:r>
          </w:p>
        </w:tc>
      </w:tr>
      <w:tr w:rsidR="002E474C" w14:paraId="7DF90BC1" w14:textId="77777777">
        <w:tc>
          <w:tcPr>
            <w:tcW w:w="515" w:type="pct"/>
            <w:vAlign w:val="center"/>
          </w:tcPr>
          <w:p w14:paraId="40684ECF" w14:textId="77777777" w:rsidR="002E474C" w:rsidRDefault="00000000">
            <w:pPr>
              <w:pStyle w:val="A-"/>
            </w:pPr>
            <w:r>
              <w:t>DA017</w:t>
            </w:r>
          </w:p>
        </w:tc>
        <w:tc>
          <w:tcPr>
            <w:tcW w:w="1093" w:type="pct"/>
            <w:vAlign w:val="center"/>
          </w:tcPr>
          <w:p w14:paraId="7CA43855" w14:textId="77777777" w:rsidR="002E474C" w:rsidRDefault="00000000">
            <w:pPr>
              <w:pStyle w:val="A-"/>
            </w:pPr>
            <w:r>
              <w:t>3#</w:t>
            </w:r>
            <w:r>
              <w:t>水泥库顶</w:t>
            </w:r>
          </w:p>
        </w:tc>
        <w:tc>
          <w:tcPr>
            <w:tcW w:w="701" w:type="pct"/>
            <w:vAlign w:val="center"/>
          </w:tcPr>
          <w:p w14:paraId="43120C9D" w14:textId="77777777" w:rsidR="002E474C" w:rsidRDefault="00000000">
            <w:pPr>
              <w:pStyle w:val="A-"/>
            </w:pPr>
            <w:r>
              <w:t>颗粒物</w:t>
            </w:r>
          </w:p>
        </w:tc>
        <w:tc>
          <w:tcPr>
            <w:tcW w:w="803" w:type="pct"/>
            <w:vAlign w:val="center"/>
          </w:tcPr>
          <w:p w14:paraId="267AC711" w14:textId="77777777" w:rsidR="002E474C" w:rsidRDefault="00000000">
            <w:pPr>
              <w:pStyle w:val="A-"/>
            </w:pPr>
            <w:r>
              <w:t>布袋除尘</w:t>
            </w:r>
          </w:p>
        </w:tc>
        <w:tc>
          <w:tcPr>
            <w:tcW w:w="725" w:type="pct"/>
            <w:vAlign w:val="center"/>
          </w:tcPr>
          <w:p w14:paraId="4F339D75" w14:textId="77777777" w:rsidR="002E474C" w:rsidRDefault="00000000">
            <w:pPr>
              <w:pStyle w:val="A-"/>
            </w:pPr>
            <w:r>
              <w:t>1.1</w:t>
            </w:r>
            <w:r>
              <w:t>～</w:t>
            </w:r>
            <w:r>
              <w:t>1.4</w:t>
            </w:r>
          </w:p>
        </w:tc>
        <w:tc>
          <w:tcPr>
            <w:tcW w:w="701" w:type="pct"/>
            <w:vAlign w:val="center"/>
          </w:tcPr>
          <w:p w14:paraId="0A2C79E2" w14:textId="77777777" w:rsidR="002E474C" w:rsidRDefault="00000000">
            <w:pPr>
              <w:pStyle w:val="A-"/>
            </w:pPr>
            <w:r>
              <w:t>20</w:t>
            </w:r>
          </w:p>
        </w:tc>
        <w:tc>
          <w:tcPr>
            <w:tcW w:w="458" w:type="pct"/>
          </w:tcPr>
          <w:p w14:paraId="674C878D" w14:textId="77777777" w:rsidR="002E474C" w:rsidRDefault="00000000">
            <w:pPr>
              <w:pStyle w:val="A-"/>
            </w:pPr>
            <w:r>
              <w:t>达标</w:t>
            </w:r>
          </w:p>
        </w:tc>
      </w:tr>
      <w:tr w:rsidR="002E474C" w14:paraId="0212CD6F" w14:textId="77777777">
        <w:tc>
          <w:tcPr>
            <w:tcW w:w="515" w:type="pct"/>
            <w:vAlign w:val="center"/>
          </w:tcPr>
          <w:p w14:paraId="5644DBA8" w14:textId="77777777" w:rsidR="002E474C" w:rsidRDefault="00000000">
            <w:pPr>
              <w:pStyle w:val="A-"/>
            </w:pPr>
            <w:r>
              <w:t>DA018</w:t>
            </w:r>
          </w:p>
        </w:tc>
        <w:tc>
          <w:tcPr>
            <w:tcW w:w="1093" w:type="pct"/>
            <w:vAlign w:val="center"/>
          </w:tcPr>
          <w:p w14:paraId="2AAB8F47" w14:textId="77777777" w:rsidR="002E474C" w:rsidRDefault="00000000">
            <w:pPr>
              <w:pStyle w:val="A-"/>
            </w:pPr>
            <w:r>
              <w:t>1#</w:t>
            </w:r>
            <w:r>
              <w:t>水泥散装库顶</w:t>
            </w:r>
          </w:p>
        </w:tc>
        <w:tc>
          <w:tcPr>
            <w:tcW w:w="701" w:type="pct"/>
            <w:vAlign w:val="center"/>
          </w:tcPr>
          <w:p w14:paraId="12A46911" w14:textId="77777777" w:rsidR="002E474C" w:rsidRDefault="00000000">
            <w:pPr>
              <w:pStyle w:val="A-"/>
            </w:pPr>
            <w:r>
              <w:t>颗粒物</w:t>
            </w:r>
          </w:p>
        </w:tc>
        <w:tc>
          <w:tcPr>
            <w:tcW w:w="803" w:type="pct"/>
            <w:vAlign w:val="center"/>
          </w:tcPr>
          <w:p w14:paraId="485F7596" w14:textId="77777777" w:rsidR="002E474C" w:rsidRDefault="00000000">
            <w:pPr>
              <w:pStyle w:val="A-"/>
            </w:pPr>
            <w:r>
              <w:t>布袋除尘</w:t>
            </w:r>
          </w:p>
        </w:tc>
        <w:tc>
          <w:tcPr>
            <w:tcW w:w="725" w:type="pct"/>
            <w:vAlign w:val="center"/>
          </w:tcPr>
          <w:p w14:paraId="112ECF1E" w14:textId="77777777" w:rsidR="002E474C" w:rsidRDefault="00000000">
            <w:pPr>
              <w:pStyle w:val="A-"/>
            </w:pPr>
            <w:r>
              <w:t>1.0</w:t>
            </w:r>
            <w:r>
              <w:t>～</w:t>
            </w:r>
            <w:r>
              <w:t>1.1</w:t>
            </w:r>
          </w:p>
        </w:tc>
        <w:tc>
          <w:tcPr>
            <w:tcW w:w="701" w:type="pct"/>
            <w:vAlign w:val="center"/>
          </w:tcPr>
          <w:p w14:paraId="4BCC5A49" w14:textId="77777777" w:rsidR="002E474C" w:rsidRDefault="00000000">
            <w:pPr>
              <w:pStyle w:val="A-"/>
            </w:pPr>
            <w:r>
              <w:t>20</w:t>
            </w:r>
          </w:p>
        </w:tc>
        <w:tc>
          <w:tcPr>
            <w:tcW w:w="458" w:type="pct"/>
          </w:tcPr>
          <w:p w14:paraId="79B078AF" w14:textId="77777777" w:rsidR="002E474C" w:rsidRDefault="00000000">
            <w:pPr>
              <w:pStyle w:val="A-"/>
            </w:pPr>
            <w:r>
              <w:t>达标</w:t>
            </w:r>
          </w:p>
        </w:tc>
      </w:tr>
      <w:tr w:rsidR="002E474C" w14:paraId="4001C3B5" w14:textId="77777777">
        <w:tc>
          <w:tcPr>
            <w:tcW w:w="515" w:type="pct"/>
            <w:vAlign w:val="center"/>
          </w:tcPr>
          <w:p w14:paraId="265FD88B" w14:textId="77777777" w:rsidR="002E474C" w:rsidRDefault="00000000">
            <w:pPr>
              <w:pStyle w:val="A-"/>
            </w:pPr>
            <w:r>
              <w:t>DA019</w:t>
            </w:r>
          </w:p>
        </w:tc>
        <w:tc>
          <w:tcPr>
            <w:tcW w:w="1093" w:type="pct"/>
            <w:vAlign w:val="center"/>
          </w:tcPr>
          <w:p w14:paraId="46030F56" w14:textId="77777777" w:rsidR="002E474C" w:rsidRDefault="00000000">
            <w:pPr>
              <w:pStyle w:val="A-"/>
              <w:ind w:leftChars="-50" w:left="-105" w:rightChars="-50" w:right="-105"/>
            </w:pPr>
            <w:r>
              <w:t>粉煤灰库底提升机中间</w:t>
            </w:r>
          </w:p>
        </w:tc>
        <w:tc>
          <w:tcPr>
            <w:tcW w:w="701" w:type="pct"/>
            <w:vAlign w:val="center"/>
          </w:tcPr>
          <w:p w14:paraId="7E70219E" w14:textId="77777777" w:rsidR="002E474C" w:rsidRDefault="00000000">
            <w:pPr>
              <w:pStyle w:val="A-"/>
            </w:pPr>
            <w:r>
              <w:t>颗粒物</w:t>
            </w:r>
          </w:p>
        </w:tc>
        <w:tc>
          <w:tcPr>
            <w:tcW w:w="803" w:type="pct"/>
            <w:vAlign w:val="center"/>
          </w:tcPr>
          <w:p w14:paraId="2EC6A043" w14:textId="77777777" w:rsidR="002E474C" w:rsidRDefault="00000000">
            <w:pPr>
              <w:pStyle w:val="A-"/>
            </w:pPr>
            <w:r>
              <w:t>布袋除尘</w:t>
            </w:r>
          </w:p>
        </w:tc>
        <w:tc>
          <w:tcPr>
            <w:tcW w:w="725" w:type="pct"/>
            <w:vAlign w:val="center"/>
          </w:tcPr>
          <w:p w14:paraId="14FEF98B" w14:textId="77777777" w:rsidR="002E474C" w:rsidRDefault="00000000">
            <w:pPr>
              <w:pStyle w:val="A-"/>
            </w:pPr>
            <w:r>
              <w:t>18.3</w:t>
            </w:r>
            <w:r>
              <w:t>～</w:t>
            </w:r>
            <w:r>
              <w:t>19.3</w:t>
            </w:r>
          </w:p>
        </w:tc>
        <w:tc>
          <w:tcPr>
            <w:tcW w:w="701" w:type="pct"/>
            <w:vAlign w:val="center"/>
          </w:tcPr>
          <w:p w14:paraId="14B7FCC0" w14:textId="77777777" w:rsidR="002E474C" w:rsidRDefault="00000000">
            <w:pPr>
              <w:pStyle w:val="A-"/>
            </w:pPr>
            <w:r>
              <w:t>20</w:t>
            </w:r>
          </w:p>
        </w:tc>
        <w:tc>
          <w:tcPr>
            <w:tcW w:w="458" w:type="pct"/>
            <w:vAlign w:val="center"/>
          </w:tcPr>
          <w:p w14:paraId="71680E84" w14:textId="77777777" w:rsidR="002E474C" w:rsidRDefault="00000000">
            <w:pPr>
              <w:pStyle w:val="A-"/>
            </w:pPr>
            <w:r>
              <w:t>达标</w:t>
            </w:r>
          </w:p>
        </w:tc>
      </w:tr>
      <w:tr w:rsidR="002E474C" w14:paraId="5B388E2A" w14:textId="77777777">
        <w:tc>
          <w:tcPr>
            <w:tcW w:w="515" w:type="pct"/>
            <w:vAlign w:val="center"/>
          </w:tcPr>
          <w:p w14:paraId="1EBDC402" w14:textId="77777777" w:rsidR="002E474C" w:rsidRDefault="00000000">
            <w:pPr>
              <w:pStyle w:val="A-"/>
            </w:pPr>
            <w:r>
              <w:t>DA020</w:t>
            </w:r>
          </w:p>
        </w:tc>
        <w:tc>
          <w:tcPr>
            <w:tcW w:w="1093" w:type="pct"/>
            <w:vAlign w:val="center"/>
          </w:tcPr>
          <w:p w14:paraId="71153E9D" w14:textId="77777777" w:rsidR="002E474C" w:rsidRDefault="00000000">
            <w:pPr>
              <w:pStyle w:val="A-"/>
            </w:pPr>
            <w:r>
              <w:t>3#</w:t>
            </w:r>
            <w:r>
              <w:t>水泥散装库顶</w:t>
            </w:r>
          </w:p>
        </w:tc>
        <w:tc>
          <w:tcPr>
            <w:tcW w:w="701" w:type="pct"/>
            <w:vAlign w:val="center"/>
          </w:tcPr>
          <w:p w14:paraId="57100E96" w14:textId="77777777" w:rsidR="002E474C" w:rsidRDefault="00000000">
            <w:pPr>
              <w:pStyle w:val="A-"/>
            </w:pPr>
            <w:r>
              <w:t>颗粒物</w:t>
            </w:r>
          </w:p>
        </w:tc>
        <w:tc>
          <w:tcPr>
            <w:tcW w:w="803" w:type="pct"/>
            <w:vAlign w:val="center"/>
          </w:tcPr>
          <w:p w14:paraId="1E0C6C95" w14:textId="77777777" w:rsidR="002E474C" w:rsidRDefault="00000000">
            <w:pPr>
              <w:pStyle w:val="A-"/>
            </w:pPr>
            <w:r>
              <w:t>布袋除尘</w:t>
            </w:r>
          </w:p>
        </w:tc>
        <w:tc>
          <w:tcPr>
            <w:tcW w:w="725" w:type="pct"/>
            <w:vAlign w:val="center"/>
          </w:tcPr>
          <w:p w14:paraId="5DAE4CAB" w14:textId="77777777" w:rsidR="002E474C" w:rsidRDefault="00000000">
            <w:pPr>
              <w:pStyle w:val="A-"/>
            </w:pPr>
            <w:r>
              <w:t>1.1</w:t>
            </w:r>
            <w:r>
              <w:t>～</w:t>
            </w:r>
            <w:r>
              <w:t>1.5</w:t>
            </w:r>
          </w:p>
        </w:tc>
        <w:tc>
          <w:tcPr>
            <w:tcW w:w="701" w:type="pct"/>
            <w:vAlign w:val="center"/>
          </w:tcPr>
          <w:p w14:paraId="02C03356" w14:textId="77777777" w:rsidR="002E474C" w:rsidRDefault="00000000">
            <w:pPr>
              <w:pStyle w:val="A-"/>
            </w:pPr>
            <w:r>
              <w:t>20</w:t>
            </w:r>
          </w:p>
        </w:tc>
        <w:tc>
          <w:tcPr>
            <w:tcW w:w="458" w:type="pct"/>
          </w:tcPr>
          <w:p w14:paraId="227E1D58" w14:textId="77777777" w:rsidR="002E474C" w:rsidRDefault="00000000">
            <w:pPr>
              <w:pStyle w:val="A-"/>
            </w:pPr>
            <w:r>
              <w:t>达标</w:t>
            </w:r>
          </w:p>
        </w:tc>
      </w:tr>
      <w:tr w:rsidR="002E474C" w14:paraId="40C17889" w14:textId="77777777">
        <w:tc>
          <w:tcPr>
            <w:tcW w:w="515" w:type="pct"/>
            <w:vAlign w:val="center"/>
          </w:tcPr>
          <w:p w14:paraId="23B2BFE5" w14:textId="77777777" w:rsidR="002E474C" w:rsidRDefault="00000000">
            <w:pPr>
              <w:pStyle w:val="A-"/>
            </w:pPr>
            <w:r>
              <w:t>DA021</w:t>
            </w:r>
          </w:p>
        </w:tc>
        <w:tc>
          <w:tcPr>
            <w:tcW w:w="1093" w:type="pct"/>
            <w:vAlign w:val="center"/>
          </w:tcPr>
          <w:p w14:paraId="1B78777B" w14:textId="77777777" w:rsidR="002E474C" w:rsidRDefault="00000000">
            <w:pPr>
              <w:pStyle w:val="A-"/>
              <w:ind w:leftChars="-50" w:left="-105" w:rightChars="-50" w:right="-105"/>
            </w:pPr>
            <w:r>
              <w:rPr>
                <w:spacing w:val="-6"/>
              </w:rPr>
              <w:t>生料制备粉煤灰库顶</w:t>
            </w:r>
          </w:p>
        </w:tc>
        <w:tc>
          <w:tcPr>
            <w:tcW w:w="701" w:type="pct"/>
            <w:vAlign w:val="center"/>
          </w:tcPr>
          <w:p w14:paraId="778C6181" w14:textId="77777777" w:rsidR="002E474C" w:rsidRDefault="00000000">
            <w:pPr>
              <w:pStyle w:val="A-"/>
            </w:pPr>
            <w:r>
              <w:t>颗粒物</w:t>
            </w:r>
          </w:p>
        </w:tc>
        <w:tc>
          <w:tcPr>
            <w:tcW w:w="803" w:type="pct"/>
            <w:vAlign w:val="center"/>
          </w:tcPr>
          <w:p w14:paraId="5F857810" w14:textId="77777777" w:rsidR="002E474C" w:rsidRDefault="00000000">
            <w:pPr>
              <w:pStyle w:val="A-"/>
            </w:pPr>
            <w:r>
              <w:t>布袋除尘</w:t>
            </w:r>
          </w:p>
        </w:tc>
        <w:tc>
          <w:tcPr>
            <w:tcW w:w="725" w:type="pct"/>
            <w:vAlign w:val="center"/>
          </w:tcPr>
          <w:p w14:paraId="1E5BF4BA" w14:textId="77777777" w:rsidR="002E474C" w:rsidRDefault="00000000">
            <w:pPr>
              <w:pStyle w:val="A-"/>
            </w:pPr>
            <w:r>
              <w:t>11.2</w:t>
            </w:r>
            <w:r>
              <w:t>～</w:t>
            </w:r>
            <w:r>
              <w:t>13.2</w:t>
            </w:r>
          </w:p>
        </w:tc>
        <w:tc>
          <w:tcPr>
            <w:tcW w:w="701" w:type="pct"/>
            <w:vAlign w:val="center"/>
          </w:tcPr>
          <w:p w14:paraId="48C84129" w14:textId="77777777" w:rsidR="002E474C" w:rsidRDefault="00000000">
            <w:pPr>
              <w:pStyle w:val="A-"/>
            </w:pPr>
            <w:r>
              <w:t>20</w:t>
            </w:r>
          </w:p>
        </w:tc>
        <w:tc>
          <w:tcPr>
            <w:tcW w:w="458" w:type="pct"/>
          </w:tcPr>
          <w:p w14:paraId="4578A792" w14:textId="77777777" w:rsidR="002E474C" w:rsidRDefault="00000000">
            <w:pPr>
              <w:pStyle w:val="A-"/>
            </w:pPr>
            <w:r>
              <w:t>达标</w:t>
            </w:r>
          </w:p>
        </w:tc>
      </w:tr>
      <w:tr w:rsidR="002E474C" w14:paraId="32363297" w14:textId="77777777">
        <w:tc>
          <w:tcPr>
            <w:tcW w:w="515" w:type="pct"/>
            <w:vAlign w:val="center"/>
          </w:tcPr>
          <w:p w14:paraId="5939FA35" w14:textId="77777777" w:rsidR="002E474C" w:rsidRDefault="00000000">
            <w:pPr>
              <w:pStyle w:val="A-"/>
            </w:pPr>
            <w:r>
              <w:t>DA022</w:t>
            </w:r>
          </w:p>
        </w:tc>
        <w:tc>
          <w:tcPr>
            <w:tcW w:w="1093" w:type="pct"/>
            <w:vAlign w:val="center"/>
          </w:tcPr>
          <w:p w14:paraId="2040A650" w14:textId="77777777" w:rsidR="002E474C" w:rsidRDefault="00000000">
            <w:pPr>
              <w:pStyle w:val="A-"/>
              <w:ind w:leftChars="-50" w:left="-105" w:rightChars="-50" w:right="-105"/>
            </w:pPr>
            <w:r>
              <w:rPr>
                <w:spacing w:val="-6"/>
              </w:rPr>
              <w:t>水泥车间粉煤灰库顶</w:t>
            </w:r>
          </w:p>
        </w:tc>
        <w:tc>
          <w:tcPr>
            <w:tcW w:w="701" w:type="pct"/>
            <w:vAlign w:val="center"/>
          </w:tcPr>
          <w:p w14:paraId="6B39037B" w14:textId="77777777" w:rsidR="002E474C" w:rsidRDefault="00000000">
            <w:pPr>
              <w:pStyle w:val="A-"/>
            </w:pPr>
            <w:r>
              <w:t>颗粒物</w:t>
            </w:r>
          </w:p>
        </w:tc>
        <w:tc>
          <w:tcPr>
            <w:tcW w:w="803" w:type="pct"/>
            <w:vAlign w:val="center"/>
          </w:tcPr>
          <w:p w14:paraId="05477D46" w14:textId="77777777" w:rsidR="002E474C" w:rsidRDefault="00000000">
            <w:pPr>
              <w:pStyle w:val="A-"/>
            </w:pPr>
            <w:r>
              <w:t>布袋除尘</w:t>
            </w:r>
          </w:p>
        </w:tc>
        <w:tc>
          <w:tcPr>
            <w:tcW w:w="725" w:type="pct"/>
            <w:vAlign w:val="center"/>
          </w:tcPr>
          <w:p w14:paraId="229D9603" w14:textId="77777777" w:rsidR="002E474C" w:rsidRDefault="00000000">
            <w:pPr>
              <w:pStyle w:val="A-"/>
            </w:pPr>
            <w:r>
              <w:t>1.1</w:t>
            </w:r>
            <w:r>
              <w:t>～</w:t>
            </w:r>
            <w:r>
              <w:t>1.6</w:t>
            </w:r>
          </w:p>
        </w:tc>
        <w:tc>
          <w:tcPr>
            <w:tcW w:w="701" w:type="pct"/>
            <w:vAlign w:val="center"/>
          </w:tcPr>
          <w:p w14:paraId="1290B1AE" w14:textId="77777777" w:rsidR="002E474C" w:rsidRDefault="00000000">
            <w:pPr>
              <w:pStyle w:val="A-"/>
            </w:pPr>
            <w:r>
              <w:t>20</w:t>
            </w:r>
          </w:p>
        </w:tc>
        <w:tc>
          <w:tcPr>
            <w:tcW w:w="458" w:type="pct"/>
          </w:tcPr>
          <w:p w14:paraId="53FD29B7" w14:textId="77777777" w:rsidR="002E474C" w:rsidRDefault="00000000">
            <w:pPr>
              <w:pStyle w:val="A-"/>
            </w:pPr>
            <w:r>
              <w:t>达标</w:t>
            </w:r>
          </w:p>
        </w:tc>
      </w:tr>
      <w:tr w:rsidR="002E474C" w14:paraId="794B6CF4" w14:textId="77777777">
        <w:tc>
          <w:tcPr>
            <w:tcW w:w="515" w:type="pct"/>
            <w:vAlign w:val="center"/>
          </w:tcPr>
          <w:p w14:paraId="643F8DEA" w14:textId="77777777" w:rsidR="002E474C" w:rsidRDefault="00000000">
            <w:pPr>
              <w:pStyle w:val="A-"/>
            </w:pPr>
            <w:r>
              <w:t>DA023</w:t>
            </w:r>
          </w:p>
        </w:tc>
        <w:tc>
          <w:tcPr>
            <w:tcW w:w="1093" w:type="pct"/>
            <w:vAlign w:val="center"/>
          </w:tcPr>
          <w:p w14:paraId="753439A6" w14:textId="77777777" w:rsidR="002E474C" w:rsidRDefault="00000000">
            <w:pPr>
              <w:pStyle w:val="A-"/>
            </w:pPr>
            <w:r>
              <w:t>1#</w:t>
            </w:r>
            <w:r>
              <w:t>包装机</w:t>
            </w:r>
          </w:p>
        </w:tc>
        <w:tc>
          <w:tcPr>
            <w:tcW w:w="701" w:type="pct"/>
            <w:vAlign w:val="center"/>
          </w:tcPr>
          <w:p w14:paraId="6F9487DE" w14:textId="77777777" w:rsidR="002E474C" w:rsidRDefault="00000000">
            <w:pPr>
              <w:pStyle w:val="A-"/>
            </w:pPr>
            <w:r>
              <w:t>颗粒物</w:t>
            </w:r>
          </w:p>
        </w:tc>
        <w:tc>
          <w:tcPr>
            <w:tcW w:w="803" w:type="pct"/>
            <w:vAlign w:val="center"/>
          </w:tcPr>
          <w:p w14:paraId="302D4583" w14:textId="77777777" w:rsidR="002E474C" w:rsidRDefault="00000000">
            <w:pPr>
              <w:pStyle w:val="A-"/>
            </w:pPr>
            <w:r>
              <w:t>布袋除尘</w:t>
            </w:r>
          </w:p>
        </w:tc>
        <w:tc>
          <w:tcPr>
            <w:tcW w:w="725" w:type="pct"/>
            <w:vAlign w:val="center"/>
          </w:tcPr>
          <w:p w14:paraId="53D081CA" w14:textId="77777777" w:rsidR="002E474C" w:rsidRDefault="00000000">
            <w:pPr>
              <w:pStyle w:val="A-"/>
            </w:pPr>
            <w:r>
              <w:t>1.0</w:t>
            </w:r>
            <w:r>
              <w:t>～</w:t>
            </w:r>
            <w:r>
              <w:t>16.8</w:t>
            </w:r>
          </w:p>
        </w:tc>
        <w:tc>
          <w:tcPr>
            <w:tcW w:w="701" w:type="pct"/>
            <w:vAlign w:val="center"/>
          </w:tcPr>
          <w:p w14:paraId="010FFC00" w14:textId="77777777" w:rsidR="002E474C" w:rsidRDefault="00000000">
            <w:pPr>
              <w:pStyle w:val="A-"/>
            </w:pPr>
            <w:r>
              <w:t>20</w:t>
            </w:r>
          </w:p>
        </w:tc>
        <w:tc>
          <w:tcPr>
            <w:tcW w:w="458" w:type="pct"/>
          </w:tcPr>
          <w:p w14:paraId="5D4348C4" w14:textId="77777777" w:rsidR="002E474C" w:rsidRDefault="00000000">
            <w:pPr>
              <w:pStyle w:val="A-"/>
            </w:pPr>
            <w:r>
              <w:t>达标</w:t>
            </w:r>
          </w:p>
        </w:tc>
      </w:tr>
      <w:tr w:rsidR="002E474C" w14:paraId="5661A7BD" w14:textId="77777777">
        <w:tc>
          <w:tcPr>
            <w:tcW w:w="515" w:type="pct"/>
            <w:vAlign w:val="center"/>
          </w:tcPr>
          <w:p w14:paraId="5D9FCB91" w14:textId="77777777" w:rsidR="002E474C" w:rsidRDefault="00000000">
            <w:pPr>
              <w:pStyle w:val="A-"/>
            </w:pPr>
            <w:r>
              <w:t>DA024</w:t>
            </w:r>
          </w:p>
        </w:tc>
        <w:tc>
          <w:tcPr>
            <w:tcW w:w="1093" w:type="pct"/>
            <w:vAlign w:val="center"/>
          </w:tcPr>
          <w:p w14:paraId="56516E7D" w14:textId="77777777" w:rsidR="002E474C" w:rsidRDefault="00000000">
            <w:pPr>
              <w:pStyle w:val="A-"/>
            </w:pPr>
            <w:r>
              <w:t>2#</w:t>
            </w:r>
            <w:r>
              <w:t>包装机</w:t>
            </w:r>
          </w:p>
        </w:tc>
        <w:tc>
          <w:tcPr>
            <w:tcW w:w="701" w:type="pct"/>
            <w:vAlign w:val="center"/>
          </w:tcPr>
          <w:p w14:paraId="0D089212" w14:textId="77777777" w:rsidR="002E474C" w:rsidRDefault="00000000">
            <w:pPr>
              <w:pStyle w:val="A-"/>
            </w:pPr>
            <w:r>
              <w:t>颗粒物</w:t>
            </w:r>
          </w:p>
        </w:tc>
        <w:tc>
          <w:tcPr>
            <w:tcW w:w="803" w:type="pct"/>
            <w:vAlign w:val="center"/>
          </w:tcPr>
          <w:p w14:paraId="1CD87C28" w14:textId="77777777" w:rsidR="002E474C" w:rsidRDefault="00000000">
            <w:pPr>
              <w:pStyle w:val="A-"/>
            </w:pPr>
            <w:r>
              <w:t>布袋除尘</w:t>
            </w:r>
          </w:p>
        </w:tc>
        <w:tc>
          <w:tcPr>
            <w:tcW w:w="725" w:type="pct"/>
            <w:vAlign w:val="center"/>
          </w:tcPr>
          <w:p w14:paraId="381FC62D" w14:textId="77777777" w:rsidR="002E474C" w:rsidRDefault="00000000">
            <w:pPr>
              <w:pStyle w:val="A-"/>
            </w:pPr>
            <w:r>
              <w:t>2.1</w:t>
            </w:r>
            <w:r>
              <w:t>～</w:t>
            </w:r>
            <w:r>
              <w:t>9.6</w:t>
            </w:r>
          </w:p>
        </w:tc>
        <w:tc>
          <w:tcPr>
            <w:tcW w:w="701" w:type="pct"/>
            <w:vAlign w:val="center"/>
          </w:tcPr>
          <w:p w14:paraId="3602764E" w14:textId="77777777" w:rsidR="002E474C" w:rsidRDefault="00000000">
            <w:pPr>
              <w:pStyle w:val="A-"/>
            </w:pPr>
            <w:r>
              <w:t>20</w:t>
            </w:r>
          </w:p>
        </w:tc>
        <w:tc>
          <w:tcPr>
            <w:tcW w:w="458" w:type="pct"/>
          </w:tcPr>
          <w:p w14:paraId="17814C87" w14:textId="77777777" w:rsidR="002E474C" w:rsidRDefault="00000000">
            <w:pPr>
              <w:pStyle w:val="A-"/>
            </w:pPr>
            <w:r>
              <w:t>达标</w:t>
            </w:r>
          </w:p>
        </w:tc>
      </w:tr>
      <w:tr w:rsidR="002E474C" w14:paraId="376C7221" w14:textId="77777777">
        <w:tc>
          <w:tcPr>
            <w:tcW w:w="515" w:type="pct"/>
            <w:vAlign w:val="center"/>
          </w:tcPr>
          <w:p w14:paraId="7B6CEF8C" w14:textId="77777777" w:rsidR="002E474C" w:rsidRDefault="00000000">
            <w:pPr>
              <w:pStyle w:val="A-"/>
            </w:pPr>
            <w:r>
              <w:t>DA025</w:t>
            </w:r>
          </w:p>
        </w:tc>
        <w:tc>
          <w:tcPr>
            <w:tcW w:w="1093" w:type="pct"/>
            <w:vAlign w:val="center"/>
          </w:tcPr>
          <w:p w14:paraId="1D2ED1A9" w14:textId="77777777" w:rsidR="002E474C" w:rsidRDefault="00000000">
            <w:pPr>
              <w:pStyle w:val="A-"/>
              <w:ind w:leftChars="-50" w:left="-105" w:rightChars="-50" w:right="-105"/>
              <w:rPr>
                <w:spacing w:val="-6"/>
              </w:rPr>
            </w:pPr>
            <w:r>
              <w:rPr>
                <w:spacing w:val="-6"/>
              </w:rPr>
              <w:t>石灰石库顶</w:t>
            </w:r>
            <w:r>
              <w:rPr>
                <w:spacing w:val="-6"/>
              </w:rPr>
              <w:t>0806</w:t>
            </w:r>
            <w:r>
              <w:rPr>
                <w:spacing w:val="-6"/>
              </w:rPr>
              <w:t>收尘</w:t>
            </w:r>
          </w:p>
        </w:tc>
        <w:tc>
          <w:tcPr>
            <w:tcW w:w="701" w:type="pct"/>
            <w:vAlign w:val="center"/>
          </w:tcPr>
          <w:p w14:paraId="282E075A" w14:textId="77777777" w:rsidR="002E474C" w:rsidRDefault="00000000">
            <w:pPr>
              <w:pStyle w:val="A-"/>
            </w:pPr>
            <w:r>
              <w:t>颗粒物</w:t>
            </w:r>
          </w:p>
        </w:tc>
        <w:tc>
          <w:tcPr>
            <w:tcW w:w="803" w:type="pct"/>
            <w:vAlign w:val="center"/>
          </w:tcPr>
          <w:p w14:paraId="08DCE210" w14:textId="77777777" w:rsidR="002E474C" w:rsidRDefault="00000000">
            <w:pPr>
              <w:pStyle w:val="A-"/>
            </w:pPr>
            <w:r>
              <w:t>布袋除尘</w:t>
            </w:r>
          </w:p>
        </w:tc>
        <w:tc>
          <w:tcPr>
            <w:tcW w:w="725" w:type="pct"/>
            <w:vAlign w:val="center"/>
          </w:tcPr>
          <w:p w14:paraId="1CD9358A" w14:textId="77777777" w:rsidR="002E474C" w:rsidRDefault="00000000">
            <w:pPr>
              <w:pStyle w:val="A-"/>
            </w:pPr>
            <w:r>
              <w:t>1.0</w:t>
            </w:r>
            <w:r>
              <w:t>～</w:t>
            </w:r>
            <w:r>
              <w:t>1.4</w:t>
            </w:r>
          </w:p>
        </w:tc>
        <w:tc>
          <w:tcPr>
            <w:tcW w:w="701" w:type="pct"/>
            <w:vAlign w:val="center"/>
          </w:tcPr>
          <w:p w14:paraId="53E7ABAD" w14:textId="77777777" w:rsidR="002E474C" w:rsidRDefault="00000000">
            <w:pPr>
              <w:pStyle w:val="A-"/>
            </w:pPr>
            <w:r>
              <w:t>20</w:t>
            </w:r>
          </w:p>
        </w:tc>
        <w:tc>
          <w:tcPr>
            <w:tcW w:w="458" w:type="pct"/>
          </w:tcPr>
          <w:p w14:paraId="79B1DCB1" w14:textId="77777777" w:rsidR="002E474C" w:rsidRDefault="00000000">
            <w:pPr>
              <w:pStyle w:val="A-"/>
            </w:pPr>
            <w:r>
              <w:t>达标</w:t>
            </w:r>
          </w:p>
        </w:tc>
      </w:tr>
      <w:tr w:rsidR="002E474C" w14:paraId="54037C69" w14:textId="77777777">
        <w:tc>
          <w:tcPr>
            <w:tcW w:w="515" w:type="pct"/>
            <w:vAlign w:val="center"/>
          </w:tcPr>
          <w:p w14:paraId="56633155" w14:textId="77777777" w:rsidR="002E474C" w:rsidRDefault="00000000">
            <w:pPr>
              <w:pStyle w:val="A-"/>
            </w:pPr>
            <w:r>
              <w:t>DA026</w:t>
            </w:r>
          </w:p>
        </w:tc>
        <w:tc>
          <w:tcPr>
            <w:tcW w:w="1093" w:type="pct"/>
            <w:vAlign w:val="center"/>
          </w:tcPr>
          <w:p w14:paraId="36685F73" w14:textId="77777777" w:rsidR="002E474C" w:rsidRDefault="00000000">
            <w:pPr>
              <w:pStyle w:val="A-"/>
              <w:ind w:leftChars="-50" w:left="-105" w:rightChars="-50" w:right="-105"/>
              <w:rPr>
                <w:spacing w:val="-6"/>
              </w:rPr>
            </w:pPr>
            <w:r>
              <w:rPr>
                <w:spacing w:val="-6"/>
              </w:rPr>
              <w:t>炉渣库顶</w:t>
            </w:r>
            <w:r>
              <w:rPr>
                <w:spacing w:val="-6"/>
              </w:rPr>
              <w:t>0800</w:t>
            </w:r>
            <w:r>
              <w:rPr>
                <w:spacing w:val="-6"/>
              </w:rPr>
              <w:t>收尘</w:t>
            </w:r>
          </w:p>
        </w:tc>
        <w:tc>
          <w:tcPr>
            <w:tcW w:w="701" w:type="pct"/>
            <w:vAlign w:val="center"/>
          </w:tcPr>
          <w:p w14:paraId="5D2282E3" w14:textId="77777777" w:rsidR="002E474C" w:rsidRDefault="00000000">
            <w:pPr>
              <w:pStyle w:val="A-"/>
            </w:pPr>
            <w:r>
              <w:t>颗粒物</w:t>
            </w:r>
          </w:p>
        </w:tc>
        <w:tc>
          <w:tcPr>
            <w:tcW w:w="803" w:type="pct"/>
            <w:vAlign w:val="center"/>
          </w:tcPr>
          <w:p w14:paraId="10041C94" w14:textId="77777777" w:rsidR="002E474C" w:rsidRDefault="00000000">
            <w:pPr>
              <w:pStyle w:val="A-"/>
            </w:pPr>
            <w:r>
              <w:t>布袋除尘</w:t>
            </w:r>
          </w:p>
        </w:tc>
        <w:tc>
          <w:tcPr>
            <w:tcW w:w="725" w:type="pct"/>
            <w:vAlign w:val="center"/>
          </w:tcPr>
          <w:p w14:paraId="08C912A4" w14:textId="77777777" w:rsidR="002E474C" w:rsidRDefault="00000000">
            <w:pPr>
              <w:pStyle w:val="A-"/>
            </w:pPr>
            <w:r>
              <w:t>1.3</w:t>
            </w:r>
            <w:r>
              <w:t>～</w:t>
            </w:r>
            <w:r>
              <w:t>1.4</w:t>
            </w:r>
          </w:p>
        </w:tc>
        <w:tc>
          <w:tcPr>
            <w:tcW w:w="701" w:type="pct"/>
            <w:vAlign w:val="center"/>
          </w:tcPr>
          <w:p w14:paraId="24DCCBE3" w14:textId="77777777" w:rsidR="002E474C" w:rsidRDefault="00000000">
            <w:pPr>
              <w:pStyle w:val="A-"/>
            </w:pPr>
            <w:r>
              <w:t>20</w:t>
            </w:r>
          </w:p>
        </w:tc>
        <w:tc>
          <w:tcPr>
            <w:tcW w:w="458" w:type="pct"/>
          </w:tcPr>
          <w:p w14:paraId="458680AE" w14:textId="77777777" w:rsidR="002E474C" w:rsidRDefault="00000000">
            <w:pPr>
              <w:pStyle w:val="A-"/>
            </w:pPr>
            <w:r>
              <w:t>达标</w:t>
            </w:r>
          </w:p>
        </w:tc>
      </w:tr>
      <w:tr w:rsidR="002E474C" w14:paraId="271E5628" w14:textId="77777777">
        <w:tc>
          <w:tcPr>
            <w:tcW w:w="515" w:type="pct"/>
            <w:vAlign w:val="center"/>
          </w:tcPr>
          <w:p w14:paraId="24C8A2E2" w14:textId="77777777" w:rsidR="002E474C" w:rsidRDefault="00000000">
            <w:pPr>
              <w:pStyle w:val="A-"/>
            </w:pPr>
            <w:r>
              <w:t>DA027</w:t>
            </w:r>
          </w:p>
        </w:tc>
        <w:tc>
          <w:tcPr>
            <w:tcW w:w="1093" w:type="pct"/>
            <w:vAlign w:val="center"/>
          </w:tcPr>
          <w:p w14:paraId="401D90AB" w14:textId="77777777" w:rsidR="002E474C" w:rsidRDefault="00000000">
            <w:pPr>
              <w:pStyle w:val="A-"/>
              <w:ind w:leftChars="-50" w:left="-105" w:rightChars="-50" w:right="-105"/>
              <w:rPr>
                <w:spacing w:val="-6"/>
              </w:rPr>
            </w:pPr>
            <w:r>
              <w:rPr>
                <w:spacing w:val="-6"/>
              </w:rPr>
              <w:t>铁粉库顶</w:t>
            </w:r>
            <w:r>
              <w:rPr>
                <w:spacing w:val="-6"/>
              </w:rPr>
              <w:t>0802</w:t>
            </w:r>
            <w:r>
              <w:rPr>
                <w:spacing w:val="-6"/>
              </w:rPr>
              <w:t>收尘</w:t>
            </w:r>
          </w:p>
        </w:tc>
        <w:tc>
          <w:tcPr>
            <w:tcW w:w="701" w:type="pct"/>
            <w:vAlign w:val="center"/>
          </w:tcPr>
          <w:p w14:paraId="4943BE6C" w14:textId="77777777" w:rsidR="002E474C" w:rsidRDefault="00000000">
            <w:pPr>
              <w:pStyle w:val="A-"/>
            </w:pPr>
            <w:r>
              <w:t>颗粒物</w:t>
            </w:r>
          </w:p>
        </w:tc>
        <w:tc>
          <w:tcPr>
            <w:tcW w:w="803" w:type="pct"/>
            <w:vAlign w:val="center"/>
          </w:tcPr>
          <w:p w14:paraId="46ED07F5" w14:textId="77777777" w:rsidR="002E474C" w:rsidRDefault="00000000">
            <w:pPr>
              <w:pStyle w:val="A-"/>
            </w:pPr>
            <w:r>
              <w:t>布袋除尘</w:t>
            </w:r>
          </w:p>
        </w:tc>
        <w:tc>
          <w:tcPr>
            <w:tcW w:w="725" w:type="pct"/>
            <w:vAlign w:val="center"/>
          </w:tcPr>
          <w:p w14:paraId="0E5709DD" w14:textId="77777777" w:rsidR="002E474C" w:rsidRDefault="00000000">
            <w:pPr>
              <w:pStyle w:val="A-"/>
            </w:pPr>
            <w:r>
              <w:t>8.5</w:t>
            </w:r>
            <w:r>
              <w:t>～</w:t>
            </w:r>
            <w:r>
              <w:t>9.7</w:t>
            </w:r>
          </w:p>
        </w:tc>
        <w:tc>
          <w:tcPr>
            <w:tcW w:w="701" w:type="pct"/>
            <w:vAlign w:val="center"/>
          </w:tcPr>
          <w:p w14:paraId="3C221E2E" w14:textId="77777777" w:rsidR="002E474C" w:rsidRDefault="00000000">
            <w:pPr>
              <w:pStyle w:val="A-"/>
            </w:pPr>
            <w:r>
              <w:t>20</w:t>
            </w:r>
          </w:p>
        </w:tc>
        <w:tc>
          <w:tcPr>
            <w:tcW w:w="458" w:type="pct"/>
          </w:tcPr>
          <w:p w14:paraId="03EC9BB6" w14:textId="77777777" w:rsidR="002E474C" w:rsidRDefault="00000000">
            <w:pPr>
              <w:pStyle w:val="A-"/>
            </w:pPr>
            <w:r>
              <w:t>达标</w:t>
            </w:r>
          </w:p>
        </w:tc>
      </w:tr>
      <w:tr w:rsidR="002E474C" w14:paraId="2E20AC90" w14:textId="77777777">
        <w:tc>
          <w:tcPr>
            <w:tcW w:w="515" w:type="pct"/>
            <w:vAlign w:val="center"/>
          </w:tcPr>
          <w:p w14:paraId="51DC097B" w14:textId="77777777" w:rsidR="002E474C" w:rsidRDefault="00000000">
            <w:pPr>
              <w:pStyle w:val="A-"/>
            </w:pPr>
            <w:r>
              <w:t>DA028</w:t>
            </w:r>
          </w:p>
        </w:tc>
        <w:tc>
          <w:tcPr>
            <w:tcW w:w="1093" w:type="pct"/>
            <w:vAlign w:val="center"/>
          </w:tcPr>
          <w:p w14:paraId="0164A26F" w14:textId="77777777" w:rsidR="002E474C" w:rsidRDefault="00000000">
            <w:pPr>
              <w:pStyle w:val="A-"/>
              <w:ind w:leftChars="-50" w:left="-105" w:rightChars="-50" w:right="-105"/>
              <w:rPr>
                <w:spacing w:val="-6"/>
              </w:rPr>
            </w:pPr>
            <w:r>
              <w:rPr>
                <w:spacing w:val="-6"/>
              </w:rPr>
              <w:t>石灰石库底</w:t>
            </w:r>
            <w:r>
              <w:rPr>
                <w:spacing w:val="-6"/>
              </w:rPr>
              <w:t>0820</w:t>
            </w:r>
            <w:r>
              <w:rPr>
                <w:spacing w:val="-6"/>
              </w:rPr>
              <w:t>收尘</w:t>
            </w:r>
          </w:p>
        </w:tc>
        <w:tc>
          <w:tcPr>
            <w:tcW w:w="701" w:type="pct"/>
            <w:vAlign w:val="center"/>
          </w:tcPr>
          <w:p w14:paraId="0CB81B46" w14:textId="77777777" w:rsidR="002E474C" w:rsidRDefault="00000000">
            <w:pPr>
              <w:pStyle w:val="A-"/>
            </w:pPr>
            <w:r>
              <w:t>颗粒物</w:t>
            </w:r>
          </w:p>
        </w:tc>
        <w:tc>
          <w:tcPr>
            <w:tcW w:w="803" w:type="pct"/>
            <w:vAlign w:val="center"/>
          </w:tcPr>
          <w:p w14:paraId="0DFB0096" w14:textId="77777777" w:rsidR="002E474C" w:rsidRDefault="00000000">
            <w:pPr>
              <w:pStyle w:val="A-"/>
            </w:pPr>
            <w:r>
              <w:t>布袋除尘</w:t>
            </w:r>
          </w:p>
        </w:tc>
        <w:tc>
          <w:tcPr>
            <w:tcW w:w="725" w:type="pct"/>
            <w:vAlign w:val="center"/>
          </w:tcPr>
          <w:p w14:paraId="7152234A" w14:textId="77777777" w:rsidR="002E474C" w:rsidRDefault="00000000">
            <w:pPr>
              <w:pStyle w:val="A-"/>
            </w:pPr>
            <w:r>
              <w:t>3.6</w:t>
            </w:r>
            <w:r>
              <w:t>～</w:t>
            </w:r>
            <w:r>
              <w:t>4.2</w:t>
            </w:r>
          </w:p>
        </w:tc>
        <w:tc>
          <w:tcPr>
            <w:tcW w:w="701" w:type="pct"/>
            <w:vAlign w:val="center"/>
          </w:tcPr>
          <w:p w14:paraId="7720B731" w14:textId="77777777" w:rsidR="002E474C" w:rsidRDefault="00000000">
            <w:pPr>
              <w:pStyle w:val="A-"/>
            </w:pPr>
            <w:r>
              <w:t>20</w:t>
            </w:r>
          </w:p>
        </w:tc>
        <w:tc>
          <w:tcPr>
            <w:tcW w:w="458" w:type="pct"/>
          </w:tcPr>
          <w:p w14:paraId="3D20CB36" w14:textId="77777777" w:rsidR="002E474C" w:rsidRDefault="00000000">
            <w:pPr>
              <w:pStyle w:val="A-"/>
            </w:pPr>
            <w:r>
              <w:t>达标</w:t>
            </w:r>
          </w:p>
        </w:tc>
      </w:tr>
      <w:tr w:rsidR="002E474C" w14:paraId="164ADF86" w14:textId="77777777">
        <w:tc>
          <w:tcPr>
            <w:tcW w:w="515" w:type="pct"/>
            <w:vMerge w:val="restart"/>
            <w:vAlign w:val="center"/>
          </w:tcPr>
          <w:p w14:paraId="3688D0E7" w14:textId="77777777" w:rsidR="002E474C" w:rsidRDefault="00000000">
            <w:pPr>
              <w:pStyle w:val="A-"/>
            </w:pPr>
            <w:r>
              <w:t>DA029</w:t>
            </w:r>
          </w:p>
        </w:tc>
        <w:tc>
          <w:tcPr>
            <w:tcW w:w="1093" w:type="pct"/>
            <w:vMerge w:val="restart"/>
            <w:vAlign w:val="center"/>
          </w:tcPr>
          <w:p w14:paraId="39C2F76C" w14:textId="77777777" w:rsidR="002E474C" w:rsidRDefault="00000000">
            <w:pPr>
              <w:pStyle w:val="A-"/>
            </w:pPr>
            <w:r>
              <w:t>生料制备收尘</w:t>
            </w:r>
          </w:p>
        </w:tc>
        <w:tc>
          <w:tcPr>
            <w:tcW w:w="701" w:type="pct"/>
            <w:vAlign w:val="center"/>
          </w:tcPr>
          <w:p w14:paraId="079ACB58" w14:textId="77777777" w:rsidR="002E474C" w:rsidRDefault="00000000">
            <w:pPr>
              <w:pStyle w:val="A-"/>
            </w:pPr>
            <w:r>
              <w:t>二氧化硫</w:t>
            </w:r>
          </w:p>
        </w:tc>
        <w:tc>
          <w:tcPr>
            <w:tcW w:w="803" w:type="pct"/>
            <w:vMerge w:val="restart"/>
            <w:vAlign w:val="center"/>
          </w:tcPr>
          <w:p w14:paraId="5877B207" w14:textId="77777777" w:rsidR="002E474C" w:rsidRDefault="00000000">
            <w:pPr>
              <w:pStyle w:val="A-"/>
            </w:pPr>
            <w:r>
              <w:t>布袋除尘</w:t>
            </w:r>
          </w:p>
        </w:tc>
        <w:tc>
          <w:tcPr>
            <w:tcW w:w="725" w:type="pct"/>
            <w:vAlign w:val="center"/>
          </w:tcPr>
          <w:p w14:paraId="02F5A631" w14:textId="77777777" w:rsidR="002E474C" w:rsidRDefault="00000000">
            <w:pPr>
              <w:pStyle w:val="A-"/>
            </w:pPr>
            <w:r>
              <w:t>＜</w:t>
            </w:r>
            <w:r>
              <w:t>2</w:t>
            </w:r>
          </w:p>
        </w:tc>
        <w:tc>
          <w:tcPr>
            <w:tcW w:w="701" w:type="pct"/>
            <w:vAlign w:val="center"/>
          </w:tcPr>
          <w:p w14:paraId="24F54BA4" w14:textId="77777777" w:rsidR="002E474C" w:rsidRDefault="00000000">
            <w:pPr>
              <w:pStyle w:val="A-"/>
            </w:pPr>
            <w:r>
              <w:t>600</w:t>
            </w:r>
          </w:p>
        </w:tc>
        <w:tc>
          <w:tcPr>
            <w:tcW w:w="458" w:type="pct"/>
          </w:tcPr>
          <w:p w14:paraId="7163A200" w14:textId="77777777" w:rsidR="002E474C" w:rsidRDefault="00000000">
            <w:pPr>
              <w:pStyle w:val="A-"/>
            </w:pPr>
            <w:r>
              <w:t>达标</w:t>
            </w:r>
          </w:p>
        </w:tc>
      </w:tr>
      <w:tr w:rsidR="002E474C" w14:paraId="7371F985" w14:textId="77777777">
        <w:tc>
          <w:tcPr>
            <w:tcW w:w="515" w:type="pct"/>
            <w:vMerge/>
            <w:vAlign w:val="center"/>
          </w:tcPr>
          <w:p w14:paraId="516DE588" w14:textId="77777777" w:rsidR="002E474C" w:rsidRDefault="002E474C">
            <w:pPr>
              <w:pStyle w:val="A-"/>
            </w:pPr>
          </w:p>
        </w:tc>
        <w:tc>
          <w:tcPr>
            <w:tcW w:w="1093" w:type="pct"/>
            <w:vMerge/>
            <w:vAlign w:val="center"/>
          </w:tcPr>
          <w:p w14:paraId="000B61AF" w14:textId="77777777" w:rsidR="002E474C" w:rsidRDefault="002E474C">
            <w:pPr>
              <w:pStyle w:val="A-"/>
            </w:pPr>
          </w:p>
        </w:tc>
        <w:tc>
          <w:tcPr>
            <w:tcW w:w="701" w:type="pct"/>
            <w:vAlign w:val="center"/>
          </w:tcPr>
          <w:p w14:paraId="4FAF30CB" w14:textId="77777777" w:rsidR="002E474C" w:rsidRDefault="00000000">
            <w:pPr>
              <w:pStyle w:val="A-"/>
            </w:pPr>
            <w:r>
              <w:t>氮氧化物</w:t>
            </w:r>
          </w:p>
        </w:tc>
        <w:tc>
          <w:tcPr>
            <w:tcW w:w="803" w:type="pct"/>
            <w:vMerge/>
            <w:vAlign w:val="center"/>
          </w:tcPr>
          <w:p w14:paraId="0EEFBAC3" w14:textId="77777777" w:rsidR="002E474C" w:rsidRDefault="002E474C">
            <w:pPr>
              <w:pStyle w:val="A-"/>
            </w:pPr>
          </w:p>
        </w:tc>
        <w:tc>
          <w:tcPr>
            <w:tcW w:w="725" w:type="pct"/>
            <w:vAlign w:val="center"/>
          </w:tcPr>
          <w:p w14:paraId="1DDC71E1" w14:textId="77777777" w:rsidR="002E474C" w:rsidRDefault="00000000">
            <w:pPr>
              <w:pStyle w:val="A-"/>
            </w:pPr>
            <w:r>
              <w:t>＜</w:t>
            </w:r>
            <w:r>
              <w:t>2</w:t>
            </w:r>
            <w:r>
              <w:t>～</w:t>
            </w:r>
            <w:r>
              <w:t>11</w:t>
            </w:r>
          </w:p>
        </w:tc>
        <w:tc>
          <w:tcPr>
            <w:tcW w:w="701" w:type="pct"/>
            <w:vAlign w:val="center"/>
          </w:tcPr>
          <w:p w14:paraId="2D099091" w14:textId="77777777" w:rsidR="002E474C" w:rsidRDefault="00000000">
            <w:pPr>
              <w:pStyle w:val="A-"/>
            </w:pPr>
            <w:r>
              <w:t>400</w:t>
            </w:r>
          </w:p>
        </w:tc>
        <w:tc>
          <w:tcPr>
            <w:tcW w:w="458" w:type="pct"/>
          </w:tcPr>
          <w:p w14:paraId="62FBDD9F" w14:textId="77777777" w:rsidR="002E474C" w:rsidRDefault="00000000">
            <w:pPr>
              <w:pStyle w:val="A-"/>
            </w:pPr>
            <w:r>
              <w:t>达标</w:t>
            </w:r>
          </w:p>
        </w:tc>
      </w:tr>
      <w:tr w:rsidR="002E474C" w14:paraId="0BF4D075" w14:textId="77777777">
        <w:tc>
          <w:tcPr>
            <w:tcW w:w="515" w:type="pct"/>
            <w:vMerge/>
            <w:vAlign w:val="center"/>
          </w:tcPr>
          <w:p w14:paraId="767E5E92" w14:textId="77777777" w:rsidR="002E474C" w:rsidRDefault="002E474C">
            <w:pPr>
              <w:pStyle w:val="A-"/>
            </w:pPr>
          </w:p>
        </w:tc>
        <w:tc>
          <w:tcPr>
            <w:tcW w:w="1093" w:type="pct"/>
            <w:vMerge/>
            <w:vAlign w:val="center"/>
          </w:tcPr>
          <w:p w14:paraId="68FEFF99" w14:textId="77777777" w:rsidR="002E474C" w:rsidRDefault="002E474C">
            <w:pPr>
              <w:pStyle w:val="A-"/>
            </w:pPr>
          </w:p>
        </w:tc>
        <w:tc>
          <w:tcPr>
            <w:tcW w:w="701" w:type="pct"/>
            <w:vAlign w:val="center"/>
          </w:tcPr>
          <w:p w14:paraId="19A07477" w14:textId="77777777" w:rsidR="002E474C" w:rsidRDefault="00000000">
            <w:pPr>
              <w:pStyle w:val="A-"/>
            </w:pPr>
            <w:r>
              <w:t>颗粒物</w:t>
            </w:r>
          </w:p>
        </w:tc>
        <w:tc>
          <w:tcPr>
            <w:tcW w:w="803" w:type="pct"/>
            <w:vMerge/>
            <w:vAlign w:val="center"/>
          </w:tcPr>
          <w:p w14:paraId="3BA0B194" w14:textId="77777777" w:rsidR="002E474C" w:rsidRDefault="002E474C">
            <w:pPr>
              <w:pStyle w:val="A-"/>
            </w:pPr>
          </w:p>
        </w:tc>
        <w:tc>
          <w:tcPr>
            <w:tcW w:w="725" w:type="pct"/>
            <w:vAlign w:val="center"/>
          </w:tcPr>
          <w:p w14:paraId="1EC94506" w14:textId="77777777" w:rsidR="002E474C" w:rsidRDefault="00000000">
            <w:pPr>
              <w:pStyle w:val="A-"/>
            </w:pPr>
            <w:r>
              <w:t>＜</w:t>
            </w:r>
            <w:r>
              <w:t>1</w:t>
            </w:r>
            <w:r>
              <w:t>～</w:t>
            </w:r>
            <w:r>
              <w:t>2.0</w:t>
            </w:r>
          </w:p>
        </w:tc>
        <w:tc>
          <w:tcPr>
            <w:tcW w:w="701" w:type="pct"/>
            <w:vAlign w:val="center"/>
          </w:tcPr>
          <w:p w14:paraId="2A69AAE2" w14:textId="77777777" w:rsidR="002E474C" w:rsidRDefault="00000000">
            <w:pPr>
              <w:pStyle w:val="A-"/>
            </w:pPr>
            <w:r>
              <w:t>30</w:t>
            </w:r>
          </w:p>
        </w:tc>
        <w:tc>
          <w:tcPr>
            <w:tcW w:w="458" w:type="pct"/>
          </w:tcPr>
          <w:p w14:paraId="32CD6051" w14:textId="77777777" w:rsidR="002E474C" w:rsidRDefault="00000000">
            <w:pPr>
              <w:pStyle w:val="A-"/>
            </w:pPr>
            <w:r>
              <w:t>达标</w:t>
            </w:r>
          </w:p>
        </w:tc>
      </w:tr>
      <w:tr w:rsidR="002E474C" w14:paraId="7051CCC2" w14:textId="77777777">
        <w:tc>
          <w:tcPr>
            <w:tcW w:w="515" w:type="pct"/>
            <w:vMerge w:val="restart"/>
            <w:vAlign w:val="center"/>
          </w:tcPr>
          <w:p w14:paraId="49EDC17D" w14:textId="77777777" w:rsidR="002E474C" w:rsidRDefault="00000000">
            <w:pPr>
              <w:pStyle w:val="A-"/>
            </w:pPr>
            <w:r>
              <w:t>DA030</w:t>
            </w:r>
          </w:p>
        </w:tc>
        <w:tc>
          <w:tcPr>
            <w:tcW w:w="1093" w:type="pct"/>
            <w:vMerge w:val="restart"/>
            <w:vAlign w:val="center"/>
          </w:tcPr>
          <w:p w14:paraId="4124BFF6" w14:textId="77777777" w:rsidR="002E474C" w:rsidRDefault="00000000">
            <w:pPr>
              <w:pStyle w:val="A-"/>
            </w:pPr>
            <w:r>
              <w:t>窑尾排放口</w:t>
            </w:r>
          </w:p>
        </w:tc>
        <w:tc>
          <w:tcPr>
            <w:tcW w:w="701" w:type="pct"/>
            <w:vAlign w:val="center"/>
          </w:tcPr>
          <w:p w14:paraId="39E51B42" w14:textId="77777777" w:rsidR="002E474C" w:rsidRDefault="00000000">
            <w:pPr>
              <w:pStyle w:val="A-"/>
            </w:pPr>
            <w:r>
              <w:t>二氧化硫</w:t>
            </w:r>
          </w:p>
        </w:tc>
        <w:tc>
          <w:tcPr>
            <w:tcW w:w="803" w:type="pct"/>
            <w:vMerge w:val="restart"/>
            <w:vAlign w:val="center"/>
          </w:tcPr>
          <w:p w14:paraId="2553731E" w14:textId="77777777" w:rsidR="002E474C" w:rsidRDefault="00000000">
            <w:pPr>
              <w:pStyle w:val="A-"/>
            </w:pPr>
            <w:r>
              <w:t>SNCR</w:t>
            </w:r>
            <w:r>
              <w:t>脱硝</w:t>
            </w:r>
            <w:r>
              <w:t>+</w:t>
            </w:r>
            <w:r>
              <w:t>电袋除尘</w:t>
            </w:r>
          </w:p>
        </w:tc>
        <w:tc>
          <w:tcPr>
            <w:tcW w:w="725" w:type="pct"/>
            <w:vAlign w:val="center"/>
          </w:tcPr>
          <w:p w14:paraId="0D740BF6" w14:textId="77777777" w:rsidR="002E474C" w:rsidRDefault="00000000">
            <w:pPr>
              <w:pStyle w:val="A-"/>
            </w:pPr>
            <w:r>
              <w:t>/</w:t>
            </w:r>
          </w:p>
        </w:tc>
        <w:tc>
          <w:tcPr>
            <w:tcW w:w="701" w:type="pct"/>
            <w:vAlign w:val="center"/>
          </w:tcPr>
          <w:p w14:paraId="37FB897A" w14:textId="77777777" w:rsidR="002E474C" w:rsidRDefault="00000000">
            <w:pPr>
              <w:pStyle w:val="A-"/>
            </w:pPr>
            <w:r>
              <w:t>200</w:t>
            </w:r>
          </w:p>
        </w:tc>
        <w:tc>
          <w:tcPr>
            <w:tcW w:w="458" w:type="pct"/>
            <w:vAlign w:val="center"/>
          </w:tcPr>
          <w:p w14:paraId="47D5CE22" w14:textId="77777777" w:rsidR="002E474C" w:rsidRDefault="00000000">
            <w:pPr>
              <w:pStyle w:val="A-"/>
            </w:pPr>
            <w:r>
              <w:t>/</w:t>
            </w:r>
          </w:p>
        </w:tc>
      </w:tr>
      <w:tr w:rsidR="002E474C" w14:paraId="1D9C9A21" w14:textId="77777777">
        <w:tc>
          <w:tcPr>
            <w:tcW w:w="515" w:type="pct"/>
            <w:vMerge/>
            <w:vAlign w:val="center"/>
          </w:tcPr>
          <w:p w14:paraId="0D292996" w14:textId="77777777" w:rsidR="002E474C" w:rsidRDefault="002E474C">
            <w:pPr>
              <w:pStyle w:val="A-"/>
            </w:pPr>
          </w:p>
        </w:tc>
        <w:tc>
          <w:tcPr>
            <w:tcW w:w="1093" w:type="pct"/>
            <w:vMerge/>
            <w:vAlign w:val="center"/>
          </w:tcPr>
          <w:p w14:paraId="7F2D23C0" w14:textId="77777777" w:rsidR="002E474C" w:rsidRDefault="002E474C">
            <w:pPr>
              <w:pStyle w:val="A-"/>
            </w:pPr>
          </w:p>
        </w:tc>
        <w:tc>
          <w:tcPr>
            <w:tcW w:w="701" w:type="pct"/>
            <w:vAlign w:val="center"/>
          </w:tcPr>
          <w:p w14:paraId="01C168CD" w14:textId="77777777" w:rsidR="002E474C" w:rsidRDefault="00000000">
            <w:pPr>
              <w:pStyle w:val="A-"/>
            </w:pPr>
            <w:r>
              <w:t>氮氧化物</w:t>
            </w:r>
          </w:p>
        </w:tc>
        <w:tc>
          <w:tcPr>
            <w:tcW w:w="803" w:type="pct"/>
            <w:vMerge/>
            <w:vAlign w:val="center"/>
          </w:tcPr>
          <w:p w14:paraId="73DE3140" w14:textId="77777777" w:rsidR="002E474C" w:rsidRDefault="002E474C">
            <w:pPr>
              <w:pStyle w:val="A-"/>
            </w:pPr>
          </w:p>
        </w:tc>
        <w:tc>
          <w:tcPr>
            <w:tcW w:w="725" w:type="pct"/>
            <w:vAlign w:val="center"/>
          </w:tcPr>
          <w:p w14:paraId="2E14479C" w14:textId="77777777" w:rsidR="002E474C" w:rsidRDefault="00000000">
            <w:pPr>
              <w:pStyle w:val="A-"/>
            </w:pPr>
            <w:r>
              <w:t>/</w:t>
            </w:r>
          </w:p>
        </w:tc>
        <w:tc>
          <w:tcPr>
            <w:tcW w:w="701" w:type="pct"/>
            <w:vAlign w:val="center"/>
          </w:tcPr>
          <w:p w14:paraId="5B0BF0AE" w14:textId="77777777" w:rsidR="002E474C" w:rsidRDefault="00000000">
            <w:pPr>
              <w:pStyle w:val="A-"/>
            </w:pPr>
            <w:r>
              <w:t>400</w:t>
            </w:r>
          </w:p>
        </w:tc>
        <w:tc>
          <w:tcPr>
            <w:tcW w:w="458" w:type="pct"/>
            <w:vAlign w:val="center"/>
          </w:tcPr>
          <w:p w14:paraId="741D2836" w14:textId="77777777" w:rsidR="002E474C" w:rsidRDefault="00000000">
            <w:pPr>
              <w:pStyle w:val="A-"/>
            </w:pPr>
            <w:r>
              <w:t>/</w:t>
            </w:r>
          </w:p>
        </w:tc>
      </w:tr>
      <w:tr w:rsidR="002E474C" w14:paraId="302855D3" w14:textId="77777777">
        <w:tc>
          <w:tcPr>
            <w:tcW w:w="515" w:type="pct"/>
            <w:vMerge/>
            <w:vAlign w:val="center"/>
          </w:tcPr>
          <w:p w14:paraId="1BD196DE" w14:textId="77777777" w:rsidR="002E474C" w:rsidRDefault="002E474C">
            <w:pPr>
              <w:pStyle w:val="A-"/>
            </w:pPr>
          </w:p>
        </w:tc>
        <w:tc>
          <w:tcPr>
            <w:tcW w:w="1093" w:type="pct"/>
            <w:vMerge/>
            <w:vAlign w:val="center"/>
          </w:tcPr>
          <w:p w14:paraId="529582F0" w14:textId="77777777" w:rsidR="002E474C" w:rsidRDefault="002E474C">
            <w:pPr>
              <w:pStyle w:val="A-"/>
            </w:pPr>
          </w:p>
        </w:tc>
        <w:tc>
          <w:tcPr>
            <w:tcW w:w="701" w:type="pct"/>
            <w:vAlign w:val="center"/>
          </w:tcPr>
          <w:p w14:paraId="4CCD052F" w14:textId="77777777" w:rsidR="002E474C" w:rsidRDefault="00000000">
            <w:pPr>
              <w:pStyle w:val="A-"/>
            </w:pPr>
            <w:r>
              <w:t>颗粒物</w:t>
            </w:r>
          </w:p>
        </w:tc>
        <w:tc>
          <w:tcPr>
            <w:tcW w:w="803" w:type="pct"/>
            <w:vMerge/>
            <w:vAlign w:val="center"/>
          </w:tcPr>
          <w:p w14:paraId="704CA74D" w14:textId="77777777" w:rsidR="002E474C" w:rsidRDefault="002E474C">
            <w:pPr>
              <w:pStyle w:val="A-"/>
            </w:pPr>
          </w:p>
        </w:tc>
        <w:tc>
          <w:tcPr>
            <w:tcW w:w="725" w:type="pct"/>
            <w:vAlign w:val="center"/>
          </w:tcPr>
          <w:p w14:paraId="47BB1CE6" w14:textId="77777777" w:rsidR="002E474C" w:rsidRDefault="00000000">
            <w:pPr>
              <w:pStyle w:val="A-"/>
            </w:pPr>
            <w:r>
              <w:t>/</w:t>
            </w:r>
          </w:p>
        </w:tc>
        <w:tc>
          <w:tcPr>
            <w:tcW w:w="701" w:type="pct"/>
            <w:vAlign w:val="center"/>
          </w:tcPr>
          <w:p w14:paraId="70507AFE" w14:textId="77777777" w:rsidR="002E474C" w:rsidRDefault="00000000">
            <w:pPr>
              <w:pStyle w:val="A-"/>
            </w:pPr>
            <w:r>
              <w:t>30</w:t>
            </w:r>
          </w:p>
        </w:tc>
        <w:tc>
          <w:tcPr>
            <w:tcW w:w="458" w:type="pct"/>
            <w:vAlign w:val="center"/>
          </w:tcPr>
          <w:p w14:paraId="5A8B6180" w14:textId="77777777" w:rsidR="002E474C" w:rsidRDefault="00000000">
            <w:pPr>
              <w:pStyle w:val="A-"/>
            </w:pPr>
            <w:r>
              <w:t>/</w:t>
            </w:r>
          </w:p>
        </w:tc>
      </w:tr>
      <w:tr w:rsidR="002E474C" w14:paraId="45F72388" w14:textId="77777777">
        <w:tc>
          <w:tcPr>
            <w:tcW w:w="515" w:type="pct"/>
            <w:vMerge/>
            <w:vAlign w:val="center"/>
          </w:tcPr>
          <w:p w14:paraId="16714FD4" w14:textId="77777777" w:rsidR="002E474C" w:rsidRDefault="002E474C">
            <w:pPr>
              <w:pStyle w:val="A-"/>
            </w:pPr>
          </w:p>
        </w:tc>
        <w:tc>
          <w:tcPr>
            <w:tcW w:w="1093" w:type="pct"/>
            <w:vMerge/>
            <w:vAlign w:val="center"/>
          </w:tcPr>
          <w:p w14:paraId="14103922" w14:textId="77777777" w:rsidR="002E474C" w:rsidRDefault="002E474C">
            <w:pPr>
              <w:pStyle w:val="A-"/>
            </w:pPr>
          </w:p>
        </w:tc>
        <w:tc>
          <w:tcPr>
            <w:tcW w:w="701" w:type="pct"/>
            <w:vAlign w:val="center"/>
          </w:tcPr>
          <w:p w14:paraId="4D6C7AE8" w14:textId="77777777" w:rsidR="002E474C" w:rsidRDefault="00000000">
            <w:pPr>
              <w:pStyle w:val="A-"/>
            </w:pPr>
            <w:r>
              <w:t>氨</w:t>
            </w:r>
          </w:p>
        </w:tc>
        <w:tc>
          <w:tcPr>
            <w:tcW w:w="803" w:type="pct"/>
            <w:vMerge/>
            <w:vAlign w:val="center"/>
          </w:tcPr>
          <w:p w14:paraId="55B400E7" w14:textId="77777777" w:rsidR="002E474C" w:rsidRDefault="002E474C">
            <w:pPr>
              <w:pStyle w:val="A-"/>
            </w:pPr>
          </w:p>
        </w:tc>
        <w:tc>
          <w:tcPr>
            <w:tcW w:w="725" w:type="pct"/>
            <w:vAlign w:val="center"/>
          </w:tcPr>
          <w:p w14:paraId="759389F6" w14:textId="77777777" w:rsidR="002E474C" w:rsidRDefault="00000000">
            <w:pPr>
              <w:pStyle w:val="A-"/>
            </w:pPr>
            <w:r>
              <w:t>0.78</w:t>
            </w:r>
            <w:r>
              <w:t>～</w:t>
            </w:r>
            <w:r>
              <w:t>8.93</w:t>
            </w:r>
          </w:p>
        </w:tc>
        <w:tc>
          <w:tcPr>
            <w:tcW w:w="701" w:type="pct"/>
            <w:vAlign w:val="center"/>
          </w:tcPr>
          <w:p w14:paraId="38209FB9" w14:textId="77777777" w:rsidR="002E474C" w:rsidRDefault="00000000">
            <w:pPr>
              <w:pStyle w:val="A-"/>
            </w:pPr>
            <w:r>
              <w:t>10</w:t>
            </w:r>
          </w:p>
        </w:tc>
        <w:tc>
          <w:tcPr>
            <w:tcW w:w="458" w:type="pct"/>
            <w:vAlign w:val="center"/>
          </w:tcPr>
          <w:p w14:paraId="569C51B3" w14:textId="77777777" w:rsidR="002E474C" w:rsidRDefault="00000000">
            <w:pPr>
              <w:pStyle w:val="A-"/>
            </w:pPr>
            <w:r>
              <w:t>达标</w:t>
            </w:r>
          </w:p>
        </w:tc>
      </w:tr>
      <w:tr w:rsidR="002E474C" w14:paraId="01898EDB" w14:textId="77777777">
        <w:tc>
          <w:tcPr>
            <w:tcW w:w="515" w:type="pct"/>
            <w:vMerge/>
            <w:vAlign w:val="center"/>
          </w:tcPr>
          <w:p w14:paraId="351AFAA3" w14:textId="77777777" w:rsidR="002E474C" w:rsidRDefault="002E474C">
            <w:pPr>
              <w:pStyle w:val="A-"/>
            </w:pPr>
          </w:p>
        </w:tc>
        <w:tc>
          <w:tcPr>
            <w:tcW w:w="1093" w:type="pct"/>
            <w:vMerge/>
            <w:vAlign w:val="center"/>
          </w:tcPr>
          <w:p w14:paraId="670E1E12" w14:textId="77777777" w:rsidR="002E474C" w:rsidRDefault="002E474C">
            <w:pPr>
              <w:pStyle w:val="A-"/>
            </w:pPr>
          </w:p>
        </w:tc>
        <w:tc>
          <w:tcPr>
            <w:tcW w:w="701" w:type="pct"/>
            <w:vAlign w:val="center"/>
          </w:tcPr>
          <w:p w14:paraId="23A49718" w14:textId="77777777" w:rsidR="002E474C" w:rsidRDefault="00000000">
            <w:pPr>
              <w:pStyle w:val="A-"/>
            </w:pPr>
            <w:r>
              <w:t>氟化物</w:t>
            </w:r>
          </w:p>
        </w:tc>
        <w:tc>
          <w:tcPr>
            <w:tcW w:w="803" w:type="pct"/>
            <w:vMerge/>
            <w:vAlign w:val="center"/>
          </w:tcPr>
          <w:p w14:paraId="7C454589" w14:textId="77777777" w:rsidR="002E474C" w:rsidRDefault="002E474C">
            <w:pPr>
              <w:pStyle w:val="A-"/>
            </w:pPr>
          </w:p>
        </w:tc>
        <w:tc>
          <w:tcPr>
            <w:tcW w:w="725" w:type="pct"/>
            <w:vAlign w:val="center"/>
          </w:tcPr>
          <w:p w14:paraId="0889A676" w14:textId="77777777" w:rsidR="002E474C" w:rsidRDefault="00000000">
            <w:pPr>
              <w:pStyle w:val="A-"/>
            </w:pPr>
            <w:r>
              <w:t>0.24</w:t>
            </w:r>
            <w:r>
              <w:t>～</w:t>
            </w:r>
            <w:r>
              <w:t>0.43</w:t>
            </w:r>
          </w:p>
        </w:tc>
        <w:tc>
          <w:tcPr>
            <w:tcW w:w="701" w:type="pct"/>
            <w:vAlign w:val="center"/>
          </w:tcPr>
          <w:p w14:paraId="23C3C2ED" w14:textId="77777777" w:rsidR="002E474C" w:rsidRDefault="00000000">
            <w:pPr>
              <w:pStyle w:val="A-"/>
            </w:pPr>
            <w:r>
              <w:t>5</w:t>
            </w:r>
          </w:p>
        </w:tc>
        <w:tc>
          <w:tcPr>
            <w:tcW w:w="458" w:type="pct"/>
          </w:tcPr>
          <w:p w14:paraId="2819D192" w14:textId="77777777" w:rsidR="002E474C" w:rsidRDefault="00000000">
            <w:pPr>
              <w:pStyle w:val="A-"/>
            </w:pPr>
            <w:r>
              <w:t>达标</w:t>
            </w:r>
          </w:p>
        </w:tc>
      </w:tr>
      <w:tr w:rsidR="002E474C" w14:paraId="4AE9EA47" w14:textId="77777777">
        <w:tc>
          <w:tcPr>
            <w:tcW w:w="515" w:type="pct"/>
            <w:vMerge/>
            <w:vAlign w:val="center"/>
          </w:tcPr>
          <w:p w14:paraId="153A1F9C" w14:textId="77777777" w:rsidR="002E474C" w:rsidRDefault="002E474C">
            <w:pPr>
              <w:pStyle w:val="A-"/>
            </w:pPr>
          </w:p>
        </w:tc>
        <w:tc>
          <w:tcPr>
            <w:tcW w:w="1093" w:type="pct"/>
            <w:vMerge/>
            <w:vAlign w:val="center"/>
          </w:tcPr>
          <w:p w14:paraId="71DB520D" w14:textId="77777777" w:rsidR="002E474C" w:rsidRDefault="002E474C">
            <w:pPr>
              <w:pStyle w:val="A-"/>
            </w:pPr>
          </w:p>
        </w:tc>
        <w:tc>
          <w:tcPr>
            <w:tcW w:w="701" w:type="pct"/>
            <w:vAlign w:val="center"/>
          </w:tcPr>
          <w:p w14:paraId="05E7B2C7" w14:textId="77777777" w:rsidR="002E474C" w:rsidRDefault="00000000">
            <w:pPr>
              <w:pStyle w:val="A-"/>
            </w:pPr>
            <w:r>
              <w:t>汞及其化合物</w:t>
            </w:r>
          </w:p>
        </w:tc>
        <w:tc>
          <w:tcPr>
            <w:tcW w:w="803" w:type="pct"/>
            <w:vMerge/>
            <w:vAlign w:val="center"/>
          </w:tcPr>
          <w:p w14:paraId="24C22355" w14:textId="77777777" w:rsidR="002E474C" w:rsidRDefault="002E474C">
            <w:pPr>
              <w:pStyle w:val="A-"/>
            </w:pPr>
          </w:p>
        </w:tc>
        <w:tc>
          <w:tcPr>
            <w:tcW w:w="725" w:type="pct"/>
            <w:vAlign w:val="center"/>
          </w:tcPr>
          <w:p w14:paraId="46D23FB5" w14:textId="77777777" w:rsidR="002E474C" w:rsidRDefault="00000000">
            <w:pPr>
              <w:pStyle w:val="A-"/>
            </w:pPr>
            <w:r>
              <w:t>＜</w:t>
            </w:r>
            <w:r>
              <w:t>0.0038</w:t>
            </w:r>
          </w:p>
        </w:tc>
        <w:tc>
          <w:tcPr>
            <w:tcW w:w="701" w:type="pct"/>
            <w:vAlign w:val="center"/>
          </w:tcPr>
          <w:p w14:paraId="0AE2D5B4" w14:textId="77777777" w:rsidR="002E474C" w:rsidRDefault="00000000">
            <w:pPr>
              <w:pStyle w:val="A-"/>
            </w:pPr>
            <w:r>
              <w:t>0.05</w:t>
            </w:r>
          </w:p>
        </w:tc>
        <w:tc>
          <w:tcPr>
            <w:tcW w:w="458" w:type="pct"/>
            <w:vAlign w:val="center"/>
          </w:tcPr>
          <w:p w14:paraId="3B2D10CA" w14:textId="77777777" w:rsidR="002E474C" w:rsidRDefault="00000000">
            <w:pPr>
              <w:pStyle w:val="A-"/>
            </w:pPr>
            <w:r>
              <w:t>达标</w:t>
            </w:r>
          </w:p>
        </w:tc>
      </w:tr>
      <w:tr w:rsidR="002E474C" w14:paraId="36E2F07D" w14:textId="77777777">
        <w:tc>
          <w:tcPr>
            <w:tcW w:w="515" w:type="pct"/>
            <w:vMerge w:val="restart"/>
            <w:vAlign w:val="center"/>
          </w:tcPr>
          <w:p w14:paraId="0ACD77EB" w14:textId="77777777" w:rsidR="002E474C" w:rsidRDefault="00000000">
            <w:pPr>
              <w:pStyle w:val="A-"/>
            </w:pPr>
            <w:r>
              <w:t>DA031</w:t>
            </w:r>
          </w:p>
        </w:tc>
        <w:tc>
          <w:tcPr>
            <w:tcW w:w="1093" w:type="pct"/>
            <w:vMerge w:val="restart"/>
            <w:vAlign w:val="center"/>
          </w:tcPr>
          <w:p w14:paraId="077E28D9" w14:textId="77777777" w:rsidR="002E474C" w:rsidRDefault="00000000">
            <w:pPr>
              <w:pStyle w:val="A-"/>
            </w:pPr>
            <w:r>
              <w:t>煤磨收尘</w:t>
            </w:r>
          </w:p>
        </w:tc>
        <w:tc>
          <w:tcPr>
            <w:tcW w:w="701" w:type="pct"/>
            <w:vAlign w:val="center"/>
          </w:tcPr>
          <w:p w14:paraId="0DF1C256" w14:textId="77777777" w:rsidR="002E474C" w:rsidRDefault="00000000">
            <w:pPr>
              <w:pStyle w:val="A-"/>
            </w:pPr>
            <w:r>
              <w:t>二氧化硫</w:t>
            </w:r>
          </w:p>
        </w:tc>
        <w:tc>
          <w:tcPr>
            <w:tcW w:w="803" w:type="pct"/>
            <w:vMerge w:val="restart"/>
            <w:vAlign w:val="center"/>
          </w:tcPr>
          <w:p w14:paraId="0EB904E2" w14:textId="77777777" w:rsidR="002E474C" w:rsidRDefault="00000000">
            <w:pPr>
              <w:pStyle w:val="A-"/>
            </w:pPr>
            <w:r>
              <w:t>布袋除尘</w:t>
            </w:r>
          </w:p>
        </w:tc>
        <w:tc>
          <w:tcPr>
            <w:tcW w:w="725" w:type="pct"/>
            <w:vAlign w:val="center"/>
          </w:tcPr>
          <w:p w14:paraId="6AFD08F2" w14:textId="77777777" w:rsidR="002E474C" w:rsidRDefault="00000000">
            <w:pPr>
              <w:pStyle w:val="A-"/>
            </w:pPr>
            <w:r>
              <w:t>＜</w:t>
            </w:r>
            <w:r>
              <w:t>2</w:t>
            </w:r>
          </w:p>
        </w:tc>
        <w:tc>
          <w:tcPr>
            <w:tcW w:w="701" w:type="pct"/>
            <w:vAlign w:val="center"/>
          </w:tcPr>
          <w:p w14:paraId="084D2A9F" w14:textId="77777777" w:rsidR="002E474C" w:rsidRDefault="00000000">
            <w:pPr>
              <w:pStyle w:val="A-"/>
            </w:pPr>
            <w:r>
              <w:t>600</w:t>
            </w:r>
          </w:p>
        </w:tc>
        <w:tc>
          <w:tcPr>
            <w:tcW w:w="458" w:type="pct"/>
          </w:tcPr>
          <w:p w14:paraId="1368CF3C" w14:textId="77777777" w:rsidR="002E474C" w:rsidRDefault="00000000">
            <w:pPr>
              <w:pStyle w:val="A-"/>
            </w:pPr>
            <w:r>
              <w:t>达标</w:t>
            </w:r>
          </w:p>
        </w:tc>
      </w:tr>
      <w:tr w:rsidR="002E474C" w14:paraId="3CD3B57F" w14:textId="77777777">
        <w:tc>
          <w:tcPr>
            <w:tcW w:w="515" w:type="pct"/>
            <w:vMerge/>
            <w:vAlign w:val="center"/>
          </w:tcPr>
          <w:p w14:paraId="3B30AE06" w14:textId="77777777" w:rsidR="002E474C" w:rsidRDefault="002E474C">
            <w:pPr>
              <w:pStyle w:val="A-"/>
            </w:pPr>
          </w:p>
        </w:tc>
        <w:tc>
          <w:tcPr>
            <w:tcW w:w="1093" w:type="pct"/>
            <w:vMerge/>
            <w:vAlign w:val="center"/>
          </w:tcPr>
          <w:p w14:paraId="5590E203" w14:textId="77777777" w:rsidR="002E474C" w:rsidRDefault="002E474C">
            <w:pPr>
              <w:pStyle w:val="A-"/>
            </w:pPr>
          </w:p>
        </w:tc>
        <w:tc>
          <w:tcPr>
            <w:tcW w:w="701" w:type="pct"/>
            <w:vAlign w:val="center"/>
          </w:tcPr>
          <w:p w14:paraId="323B7205" w14:textId="77777777" w:rsidR="002E474C" w:rsidRDefault="00000000">
            <w:pPr>
              <w:pStyle w:val="A-"/>
            </w:pPr>
            <w:r>
              <w:t>氮氧化物</w:t>
            </w:r>
          </w:p>
        </w:tc>
        <w:tc>
          <w:tcPr>
            <w:tcW w:w="803" w:type="pct"/>
            <w:vMerge/>
            <w:vAlign w:val="center"/>
          </w:tcPr>
          <w:p w14:paraId="2D91F6FE" w14:textId="77777777" w:rsidR="002E474C" w:rsidRDefault="002E474C">
            <w:pPr>
              <w:pStyle w:val="A-"/>
            </w:pPr>
          </w:p>
        </w:tc>
        <w:tc>
          <w:tcPr>
            <w:tcW w:w="725" w:type="pct"/>
            <w:vAlign w:val="center"/>
          </w:tcPr>
          <w:p w14:paraId="53BD4B8F" w14:textId="77777777" w:rsidR="002E474C" w:rsidRDefault="00000000">
            <w:pPr>
              <w:pStyle w:val="A-"/>
            </w:pPr>
            <w:r>
              <w:t>＜</w:t>
            </w:r>
            <w:r>
              <w:t>2</w:t>
            </w:r>
          </w:p>
        </w:tc>
        <w:tc>
          <w:tcPr>
            <w:tcW w:w="701" w:type="pct"/>
            <w:vAlign w:val="center"/>
          </w:tcPr>
          <w:p w14:paraId="20088C43" w14:textId="77777777" w:rsidR="002E474C" w:rsidRDefault="00000000">
            <w:pPr>
              <w:pStyle w:val="A-"/>
            </w:pPr>
            <w:r>
              <w:t>400</w:t>
            </w:r>
          </w:p>
        </w:tc>
        <w:tc>
          <w:tcPr>
            <w:tcW w:w="458" w:type="pct"/>
          </w:tcPr>
          <w:p w14:paraId="02F99B9E" w14:textId="77777777" w:rsidR="002E474C" w:rsidRDefault="00000000">
            <w:pPr>
              <w:pStyle w:val="A-"/>
            </w:pPr>
            <w:r>
              <w:t>达标</w:t>
            </w:r>
          </w:p>
        </w:tc>
      </w:tr>
      <w:tr w:rsidR="002E474C" w14:paraId="4D8B22B4" w14:textId="77777777">
        <w:tc>
          <w:tcPr>
            <w:tcW w:w="515" w:type="pct"/>
            <w:vMerge/>
            <w:vAlign w:val="center"/>
          </w:tcPr>
          <w:p w14:paraId="20E68C5A" w14:textId="77777777" w:rsidR="002E474C" w:rsidRDefault="002E474C">
            <w:pPr>
              <w:pStyle w:val="A-"/>
            </w:pPr>
          </w:p>
        </w:tc>
        <w:tc>
          <w:tcPr>
            <w:tcW w:w="1093" w:type="pct"/>
            <w:vMerge/>
            <w:vAlign w:val="center"/>
          </w:tcPr>
          <w:p w14:paraId="47A3208D" w14:textId="77777777" w:rsidR="002E474C" w:rsidRDefault="002E474C">
            <w:pPr>
              <w:pStyle w:val="A-"/>
            </w:pPr>
          </w:p>
        </w:tc>
        <w:tc>
          <w:tcPr>
            <w:tcW w:w="701" w:type="pct"/>
            <w:vAlign w:val="center"/>
          </w:tcPr>
          <w:p w14:paraId="5824A27A" w14:textId="77777777" w:rsidR="002E474C" w:rsidRDefault="00000000">
            <w:pPr>
              <w:pStyle w:val="A-"/>
            </w:pPr>
            <w:r>
              <w:t>颗粒物</w:t>
            </w:r>
          </w:p>
        </w:tc>
        <w:tc>
          <w:tcPr>
            <w:tcW w:w="803" w:type="pct"/>
            <w:vMerge/>
            <w:vAlign w:val="center"/>
          </w:tcPr>
          <w:p w14:paraId="107A19AF" w14:textId="77777777" w:rsidR="002E474C" w:rsidRDefault="002E474C">
            <w:pPr>
              <w:pStyle w:val="A-"/>
            </w:pPr>
          </w:p>
        </w:tc>
        <w:tc>
          <w:tcPr>
            <w:tcW w:w="725" w:type="pct"/>
            <w:vAlign w:val="center"/>
          </w:tcPr>
          <w:p w14:paraId="37380F9D" w14:textId="77777777" w:rsidR="002E474C" w:rsidRDefault="00000000">
            <w:pPr>
              <w:pStyle w:val="A-"/>
            </w:pPr>
            <w:r>
              <w:t>1.8</w:t>
            </w:r>
            <w:r>
              <w:t>～</w:t>
            </w:r>
            <w:r>
              <w:t>19.1</w:t>
            </w:r>
          </w:p>
        </w:tc>
        <w:tc>
          <w:tcPr>
            <w:tcW w:w="701" w:type="pct"/>
            <w:vAlign w:val="center"/>
          </w:tcPr>
          <w:p w14:paraId="7CBBC6FC" w14:textId="77777777" w:rsidR="002E474C" w:rsidRDefault="00000000">
            <w:pPr>
              <w:pStyle w:val="A-"/>
            </w:pPr>
            <w:r>
              <w:t>30</w:t>
            </w:r>
          </w:p>
        </w:tc>
        <w:tc>
          <w:tcPr>
            <w:tcW w:w="458" w:type="pct"/>
            <w:vAlign w:val="center"/>
          </w:tcPr>
          <w:p w14:paraId="4ACDA04A" w14:textId="77777777" w:rsidR="002E474C" w:rsidRDefault="00000000">
            <w:pPr>
              <w:pStyle w:val="A-"/>
            </w:pPr>
            <w:r>
              <w:t>达标</w:t>
            </w:r>
          </w:p>
        </w:tc>
      </w:tr>
      <w:tr w:rsidR="002E474C" w14:paraId="5F70D2E6" w14:textId="77777777">
        <w:tc>
          <w:tcPr>
            <w:tcW w:w="515" w:type="pct"/>
            <w:vAlign w:val="center"/>
          </w:tcPr>
          <w:p w14:paraId="6DBF3BD7" w14:textId="77777777" w:rsidR="002E474C" w:rsidRDefault="00000000">
            <w:pPr>
              <w:pStyle w:val="A-"/>
            </w:pPr>
            <w:r>
              <w:t>DA032</w:t>
            </w:r>
          </w:p>
        </w:tc>
        <w:tc>
          <w:tcPr>
            <w:tcW w:w="1093" w:type="pct"/>
            <w:vAlign w:val="center"/>
          </w:tcPr>
          <w:p w14:paraId="5C6788E3" w14:textId="77777777" w:rsidR="002E474C" w:rsidRDefault="00000000">
            <w:pPr>
              <w:pStyle w:val="A-"/>
            </w:pPr>
            <w:r>
              <w:t>窑头排放口</w:t>
            </w:r>
          </w:p>
        </w:tc>
        <w:tc>
          <w:tcPr>
            <w:tcW w:w="701" w:type="pct"/>
            <w:vAlign w:val="center"/>
          </w:tcPr>
          <w:p w14:paraId="0AFB47F5" w14:textId="77777777" w:rsidR="002E474C" w:rsidRDefault="00000000">
            <w:pPr>
              <w:pStyle w:val="A-"/>
            </w:pPr>
            <w:r>
              <w:t>颗粒物</w:t>
            </w:r>
          </w:p>
        </w:tc>
        <w:tc>
          <w:tcPr>
            <w:tcW w:w="803" w:type="pct"/>
            <w:vAlign w:val="center"/>
          </w:tcPr>
          <w:p w14:paraId="65042D29" w14:textId="77777777" w:rsidR="002E474C" w:rsidRDefault="00000000">
            <w:pPr>
              <w:pStyle w:val="A-"/>
            </w:pPr>
            <w:r>
              <w:t>电袋除尘</w:t>
            </w:r>
          </w:p>
        </w:tc>
        <w:tc>
          <w:tcPr>
            <w:tcW w:w="725" w:type="pct"/>
            <w:vAlign w:val="center"/>
          </w:tcPr>
          <w:p w14:paraId="6C456FB5" w14:textId="77777777" w:rsidR="002E474C" w:rsidRDefault="00000000">
            <w:pPr>
              <w:pStyle w:val="A-"/>
            </w:pPr>
            <w:r>
              <w:t>/</w:t>
            </w:r>
          </w:p>
        </w:tc>
        <w:tc>
          <w:tcPr>
            <w:tcW w:w="701" w:type="pct"/>
            <w:vAlign w:val="center"/>
          </w:tcPr>
          <w:p w14:paraId="3EDB6F96" w14:textId="77777777" w:rsidR="002E474C" w:rsidRDefault="00000000">
            <w:pPr>
              <w:pStyle w:val="A-"/>
            </w:pPr>
            <w:r>
              <w:t>30</w:t>
            </w:r>
          </w:p>
        </w:tc>
        <w:tc>
          <w:tcPr>
            <w:tcW w:w="458" w:type="pct"/>
            <w:vAlign w:val="center"/>
          </w:tcPr>
          <w:p w14:paraId="035498A6" w14:textId="77777777" w:rsidR="002E474C" w:rsidRDefault="00000000">
            <w:pPr>
              <w:pStyle w:val="A-"/>
            </w:pPr>
            <w:r>
              <w:t>/</w:t>
            </w:r>
          </w:p>
        </w:tc>
      </w:tr>
      <w:tr w:rsidR="002E474C" w14:paraId="54CF636B" w14:textId="77777777">
        <w:tc>
          <w:tcPr>
            <w:tcW w:w="515" w:type="pct"/>
            <w:vAlign w:val="center"/>
          </w:tcPr>
          <w:p w14:paraId="06579D0C" w14:textId="77777777" w:rsidR="002E474C" w:rsidRDefault="00000000">
            <w:pPr>
              <w:pStyle w:val="A-"/>
            </w:pPr>
            <w:r>
              <w:t>DA033</w:t>
            </w:r>
          </w:p>
        </w:tc>
        <w:tc>
          <w:tcPr>
            <w:tcW w:w="1093" w:type="pct"/>
            <w:vAlign w:val="center"/>
          </w:tcPr>
          <w:p w14:paraId="6A309785" w14:textId="77777777" w:rsidR="002E474C" w:rsidRDefault="00000000">
            <w:pPr>
              <w:pStyle w:val="A-"/>
            </w:pPr>
            <w:r>
              <w:t>矿渣库顶</w:t>
            </w:r>
          </w:p>
        </w:tc>
        <w:tc>
          <w:tcPr>
            <w:tcW w:w="701" w:type="pct"/>
            <w:vAlign w:val="center"/>
          </w:tcPr>
          <w:p w14:paraId="6531B210" w14:textId="77777777" w:rsidR="002E474C" w:rsidRDefault="00000000">
            <w:pPr>
              <w:pStyle w:val="A-"/>
            </w:pPr>
            <w:r>
              <w:t>颗粒物</w:t>
            </w:r>
          </w:p>
        </w:tc>
        <w:tc>
          <w:tcPr>
            <w:tcW w:w="803" w:type="pct"/>
            <w:vAlign w:val="center"/>
          </w:tcPr>
          <w:p w14:paraId="3E890D78" w14:textId="77777777" w:rsidR="002E474C" w:rsidRDefault="00000000">
            <w:pPr>
              <w:pStyle w:val="A-"/>
            </w:pPr>
            <w:r>
              <w:t>布袋除尘</w:t>
            </w:r>
          </w:p>
        </w:tc>
        <w:tc>
          <w:tcPr>
            <w:tcW w:w="725" w:type="pct"/>
            <w:vAlign w:val="center"/>
          </w:tcPr>
          <w:p w14:paraId="2AD67F86" w14:textId="77777777" w:rsidR="002E474C" w:rsidRDefault="00000000">
            <w:pPr>
              <w:pStyle w:val="A-"/>
            </w:pPr>
            <w:r>
              <w:t>1.0</w:t>
            </w:r>
            <w:r>
              <w:t>～</w:t>
            </w:r>
            <w:r>
              <w:t>1.2</w:t>
            </w:r>
          </w:p>
        </w:tc>
        <w:tc>
          <w:tcPr>
            <w:tcW w:w="701" w:type="pct"/>
            <w:vAlign w:val="center"/>
          </w:tcPr>
          <w:p w14:paraId="01E703BC" w14:textId="77777777" w:rsidR="002E474C" w:rsidRDefault="00000000">
            <w:pPr>
              <w:pStyle w:val="A-"/>
            </w:pPr>
            <w:r>
              <w:t>20</w:t>
            </w:r>
          </w:p>
        </w:tc>
        <w:tc>
          <w:tcPr>
            <w:tcW w:w="458" w:type="pct"/>
          </w:tcPr>
          <w:p w14:paraId="168704C9" w14:textId="77777777" w:rsidR="002E474C" w:rsidRDefault="00000000">
            <w:pPr>
              <w:pStyle w:val="A-"/>
            </w:pPr>
            <w:r>
              <w:t>达标</w:t>
            </w:r>
          </w:p>
        </w:tc>
      </w:tr>
      <w:tr w:rsidR="002E474C" w14:paraId="4AE71FA6" w14:textId="77777777">
        <w:tc>
          <w:tcPr>
            <w:tcW w:w="515" w:type="pct"/>
            <w:vAlign w:val="center"/>
          </w:tcPr>
          <w:p w14:paraId="3325ECE5" w14:textId="77777777" w:rsidR="002E474C" w:rsidRDefault="00000000">
            <w:pPr>
              <w:pStyle w:val="A-"/>
            </w:pPr>
            <w:r>
              <w:t>DA034</w:t>
            </w:r>
          </w:p>
        </w:tc>
        <w:tc>
          <w:tcPr>
            <w:tcW w:w="1093" w:type="pct"/>
            <w:vAlign w:val="center"/>
          </w:tcPr>
          <w:p w14:paraId="50FDCBAE" w14:textId="77777777" w:rsidR="002E474C" w:rsidRDefault="00000000">
            <w:pPr>
              <w:pStyle w:val="A-"/>
            </w:pPr>
            <w:r>
              <w:t>熟料外加</w:t>
            </w:r>
            <w:r>
              <w:t>1#</w:t>
            </w:r>
            <w:r>
              <w:t>西侧</w:t>
            </w:r>
            <w:r>
              <w:t>2209</w:t>
            </w:r>
            <w:r>
              <w:t>收尘</w:t>
            </w:r>
          </w:p>
        </w:tc>
        <w:tc>
          <w:tcPr>
            <w:tcW w:w="701" w:type="pct"/>
            <w:vAlign w:val="center"/>
          </w:tcPr>
          <w:p w14:paraId="337BBEC8" w14:textId="77777777" w:rsidR="002E474C" w:rsidRDefault="00000000">
            <w:pPr>
              <w:pStyle w:val="A-"/>
            </w:pPr>
            <w:r>
              <w:t>颗粒物</w:t>
            </w:r>
          </w:p>
        </w:tc>
        <w:tc>
          <w:tcPr>
            <w:tcW w:w="803" w:type="pct"/>
            <w:vAlign w:val="center"/>
          </w:tcPr>
          <w:p w14:paraId="2D52E011" w14:textId="77777777" w:rsidR="002E474C" w:rsidRDefault="00000000">
            <w:pPr>
              <w:pStyle w:val="A-"/>
            </w:pPr>
            <w:r>
              <w:t>布袋除尘</w:t>
            </w:r>
          </w:p>
        </w:tc>
        <w:tc>
          <w:tcPr>
            <w:tcW w:w="725" w:type="pct"/>
            <w:vAlign w:val="center"/>
          </w:tcPr>
          <w:p w14:paraId="5F6AA4BF" w14:textId="77777777" w:rsidR="002E474C" w:rsidRDefault="00000000">
            <w:pPr>
              <w:pStyle w:val="A-"/>
            </w:pPr>
            <w:r>
              <w:t>6.0</w:t>
            </w:r>
            <w:r>
              <w:t>～</w:t>
            </w:r>
            <w:r>
              <w:t>7.4</w:t>
            </w:r>
          </w:p>
        </w:tc>
        <w:tc>
          <w:tcPr>
            <w:tcW w:w="701" w:type="pct"/>
            <w:vAlign w:val="center"/>
          </w:tcPr>
          <w:p w14:paraId="193F128C" w14:textId="77777777" w:rsidR="002E474C" w:rsidRDefault="00000000">
            <w:pPr>
              <w:pStyle w:val="A-"/>
            </w:pPr>
            <w:r>
              <w:t>20</w:t>
            </w:r>
          </w:p>
        </w:tc>
        <w:tc>
          <w:tcPr>
            <w:tcW w:w="458" w:type="pct"/>
            <w:vAlign w:val="center"/>
          </w:tcPr>
          <w:p w14:paraId="23B75290" w14:textId="77777777" w:rsidR="002E474C" w:rsidRDefault="00000000">
            <w:pPr>
              <w:pStyle w:val="A-"/>
            </w:pPr>
            <w:r>
              <w:t>达标</w:t>
            </w:r>
          </w:p>
        </w:tc>
      </w:tr>
      <w:tr w:rsidR="002E474C" w14:paraId="40BB7510" w14:textId="77777777">
        <w:tc>
          <w:tcPr>
            <w:tcW w:w="515" w:type="pct"/>
            <w:vAlign w:val="center"/>
          </w:tcPr>
          <w:p w14:paraId="1FB60C22" w14:textId="77777777" w:rsidR="002E474C" w:rsidRDefault="00000000">
            <w:pPr>
              <w:pStyle w:val="A-"/>
            </w:pPr>
            <w:r>
              <w:t>DA035</w:t>
            </w:r>
          </w:p>
        </w:tc>
        <w:tc>
          <w:tcPr>
            <w:tcW w:w="1093" w:type="pct"/>
            <w:vAlign w:val="center"/>
          </w:tcPr>
          <w:p w14:paraId="25FC2C40" w14:textId="77777777" w:rsidR="002E474C" w:rsidRDefault="00000000">
            <w:pPr>
              <w:pStyle w:val="A-"/>
            </w:pPr>
            <w:r>
              <w:t>熟料外加</w:t>
            </w:r>
            <w:r>
              <w:t>2#</w:t>
            </w:r>
            <w:r>
              <w:t>东侧</w:t>
            </w:r>
            <w:r>
              <w:lastRenderedPageBreak/>
              <w:t>2212</w:t>
            </w:r>
            <w:r>
              <w:t>收尘</w:t>
            </w:r>
          </w:p>
        </w:tc>
        <w:tc>
          <w:tcPr>
            <w:tcW w:w="701" w:type="pct"/>
            <w:vAlign w:val="center"/>
          </w:tcPr>
          <w:p w14:paraId="563A5A0E" w14:textId="77777777" w:rsidR="002E474C" w:rsidRDefault="00000000">
            <w:pPr>
              <w:pStyle w:val="A-"/>
            </w:pPr>
            <w:r>
              <w:lastRenderedPageBreak/>
              <w:t>颗粒物</w:t>
            </w:r>
          </w:p>
        </w:tc>
        <w:tc>
          <w:tcPr>
            <w:tcW w:w="803" w:type="pct"/>
            <w:vAlign w:val="center"/>
          </w:tcPr>
          <w:p w14:paraId="179DBDE1" w14:textId="77777777" w:rsidR="002E474C" w:rsidRDefault="00000000">
            <w:pPr>
              <w:pStyle w:val="A-"/>
            </w:pPr>
            <w:r>
              <w:t>布袋除尘</w:t>
            </w:r>
          </w:p>
        </w:tc>
        <w:tc>
          <w:tcPr>
            <w:tcW w:w="725" w:type="pct"/>
            <w:vAlign w:val="center"/>
          </w:tcPr>
          <w:p w14:paraId="198A1EB5" w14:textId="77777777" w:rsidR="002E474C" w:rsidRDefault="00000000">
            <w:pPr>
              <w:pStyle w:val="A-"/>
            </w:pPr>
            <w:r>
              <w:t>6.1</w:t>
            </w:r>
            <w:r>
              <w:t>～</w:t>
            </w:r>
            <w:r>
              <w:t>8.4</w:t>
            </w:r>
          </w:p>
        </w:tc>
        <w:tc>
          <w:tcPr>
            <w:tcW w:w="701" w:type="pct"/>
            <w:vAlign w:val="center"/>
          </w:tcPr>
          <w:p w14:paraId="62C8C18B" w14:textId="77777777" w:rsidR="002E474C" w:rsidRDefault="00000000">
            <w:pPr>
              <w:pStyle w:val="A-"/>
            </w:pPr>
            <w:r>
              <w:t>20</w:t>
            </w:r>
          </w:p>
        </w:tc>
        <w:tc>
          <w:tcPr>
            <w:tcW w:w="458" w:type="pct"/>
          </w:tcPr>
          <w:p w14:paraId="4AB5EFC0" w14:textId="77777777" w:rsidR="002E474C" w:rsidRDefault="00000000">
            <w:pPr>
              <w:pStyle w:val="A-"/>
            </w:pPr>
            <w:r>
              <w:t>达标</w:t>
            </w:r>
          </w:p>
        </w:tc>
      </w:tr>
      <w:tr w:rsidR="002E474C" w14:paraId="277B02F0" w14:textId="77777777">
        <w:tc>
          <w:tcPr>
            <w:tcW w:w="515" w:type="pct"/>
            <w:vAlign w:val="center"/>
          </w:tcPr>
          <w:p w14:paraId="7286B842" w14:textId="77777777" w:rsidR="002E474C" w:rsidRDefault="00000000">
            <w:pPr>
              <w:pStyle w:val="A-"/>
            </w:pPr>
            <w:r>
              <w:t>DA036</w:t>
            </w:r>
          </w:p>
        </w:tc>
        <w:tc>
          <w:tcPr>
            <w:tcW w:w="1093" w:type="pct"/>
            <w:vAlign w:val="center"/>
          </w:tcPr>
          <w:p w14:paraId="3557A6D3" w14:textId="77777777" w:rsidR="002E474C" w:rsidRDefault="00000000">
            <w:pPr>
              <w:pStyle w:val="A-"/>
            </w:pPr>
            <w:r>
              <w:t>大小库中间收尘</w:t>
            </w:r>
          </w:p>
        </w:tc>
        <w:tc>
          <w:tcPr>
            <w:tcW w:w="701" w:type="pct"/>
            <w:vAlign w:val="center"/>
          </w:tcPr>
          <w:p w14:paraId="7EA7C763" w14:textId="77777777" w:rsidR="002E474C" w:rsidRDefault="00000000">
            <w:pPr>
              <w:pStyle w:val="A-"/>
            </w:pPr>
            <w:r>
              <w:t>颗粒物</w:t>
            </w:r>
          </w:p>
        </w:tc>
        <w:tc>
          <w:tcPr>
            <w:tcW w:w="803" w:type="pct"/>
            <w:vAlign w:val="center"/>
          </w:tcPr>
          <w:p w14:paraId="05991FE6" w14:textId="77777777" w:rsidR="002E474C" w:rsidRDefault="00000000">
            <w:pPr>
              <w:pStyle w:val="A-"/>
            </w:pPr>
            <w:r>
              <w:t>布袋除尘</w:t>
            </w:r>
          </w:p>
        </w:tc>
        <w:tc>
          <w:tcPr>
            <w:tcW w:w="725" w:type="pct"/>
            <w:vAlign w:val="center"/>
          </w:tcPr>
          <w:p w14:paraId="5E6962A4" w14:textId="77777777" w:rsidR="002E474C" w:rsidRDefault="00000000">
            <w:pPr>
              <w:pStyle w:val="A-"/>
            </w:pPr>
            <w:r>
              <w:t>1.0</w:t>
            </w:r>
            <w:r>
              <w:t>～</w:t>
            </w:r>
            <w:r>
              <w:t>1.5</w:t>
            </w:r>
          </w:p>
        </w:tc>
        <w:tc>
          <w:tcPr>
            <w:tcW w:w="701" w:type="pct"/>
            <w:vAlign w:val="center"/>
          </w:tcPr>
          <w:p w14:paraId="0BFA0E3D" w14:textId="77777777" w:rsidR="002E474C" w:rsidRDefault="00000000">
            <w:pPr>
              <w:pStyle w:val="A-"/>
            </w:pPr>
            <w:r>
              <w:t>20</w:t>
            </w:r>
          </w:p>
        </w:tc>
        <w:tc>
          <w:tcPr>
            <w:tcW w:w="458" w:type="pct"/>
          </w:tcPr>
          <w:p w14:paraId="1300F9C7" w14:textId="77777777" w:rsidR="002E474C" w:rsidRDefault="00000000">
            <w:pPr>
              <w:pStyle w:val="A-"/>
            </w:pPr>
            <w:r>
              <w:t>达标</w:t>
            </w:r>
          </w:p>
        </w:tc>
      </w:tr>
      <w:tr w:rsidR="002E474C" w14:paraId="6F038A48" w14:textId="77777777">
        <w:tc>
          <w:tcPr>
            <w:tcW w:w="515" w:type="pct"/>
            <w:vAlign w:val="center"/>
          </w:tcPr>
          <w:p w14:paraId="352C7B25" w14:textId="77777777" w:rsidR="002E474C" w:rsidRDefault="00000000">
            <w:pPr>
              <w:pStyle w:val="A-"/>
            </w:pPr>
            <w:r>
              <w:t>DA037</w:t>
            </w:r>
          </w:p>
        </w:tc>
        <w:tc>
          <w:tcPr>
            <w:tcW w:w="1093" w:type="pct"/>
            <w:vAlign w:val="center"/>
          </w:tcPr>
          <w:p w14:paraId="067CF8A3" w14:textId="77777777" w:rsidR="002E474C" w:rsidRDefault="00000000">
            <w:pPr>
              <w:pStyle w:val="A-"/>
            </w:pPr>
            <w:r>
              <w:t>5#</w:t>
            </w:r>
            <w:r>
              <w:t>水泥库顶收尘</w:t>
            </w:r>
          </w:p>
        </w:tc>
        <w:tc>
          <w:tcPr>
            <w:tcW w:w="701" w:type="pct"/>
            <w:vAlign w:val="center"/>
          </w:tcPr>
          <w:p w14:paraId="035B2F8E" w14:textId="77777777" w:rsidR="002E474C" w:rsidRDefault="00000000">
            <w:pPr>
              <w:pStyle w:val="A-"/>
            </w:pPr>
            <w:r>
              <w:t>颗粒物</w:t>
            </w:r>
          </w:p>
        </w:tc>
        <w:tc>
          <w:tcPr>
            <w:tcW w:w="803" w:type="pct"/>
            <w:vAlign w:val="center"/>
          </w:tcPr>
          <w:p w14:paraId="5C3BFFC0" w14:textId="77777777" w:rsidR="002E474C" w:rsidRDefault="00000000">
            <w:pPr>
              <w:pStyle w:val="A-"/>
            </w:pPr>
            <w:r>
              <w:t>布袋除尘</w:t>
            </w:r>
          </w:p>
        </w:tc>
        <w:tc>
          <w:tcPr>
            <w:tcW w:w="725" w:type="pct"/>
            <w:vAlign w:val="center"/>
          </w:tcPr>
          <w:p w14:paraId="04CF4631" w14:textId="77777777" w:rsidR="002E474C" w:rsidRDefault="00000000">
            <w:pPr>
              <w:pStyle w:val="A-"/>
            </w:pPr>
            <w:r>
              <w:t>1.8</w:t>
            </w:r>
            <w:r>
              <w:t>～</w:t>
            </w:r>
            <w:r>
              <w:t>2.2</w:t>
            </w:r>
          </w:p>
        </w:tc>
        <w:tc>
          <w:tcPr>
            <w:tcW w:w="701" w:type="pct"/>
            <w:vAlign w:val="center"/>
          </w:tcPr>
          <w:p w14:paraId="1EC46652" w14:textId="77777777" w:rsidR="002E474C" w:rsidRDefault="00000000">
            <w:pPr>
              <w:pStyle w:val="A-"/>
            </w:pPr>
            <w:r>
              <w:t>20</w:t>
            </w:r>
          </w:p>
        </w:tc>
        <w:tc>
          <w:tcPr>
            <w:tcW w:w="458" w:type="pct"/>
          </w:tcPr>
          <w:p w14:paraId="6F962B2F" w14:textId="77777777" w:rsidR="002E474C" w:rsidRDefault="00000000">
            <w:pPr>
              <w:pStyle w:val="A-"/>
            </w:pPr>
            <w:r>
              <w:t>达标</w:t>
            </w:r>
          </w:p>
        </w:tc>
      </w:tr>
      <w:tr w:rsidR="002E474C" w14:paraId="433B7A77" w14:textId="77777777">
        <w:tc>
          <w:tcPr>
            <w:tcW w:w="515" w:type="pct"/>
            <w:vAlign w:val="center"/>
          </w:tcPr>
          <w:p w14:paraId="75DCCEAF" w14:textId="77777777" w:rsidR="002E474C" w:rsidRDefault="00000000">
            <w:pPr>
              <w:pStyle w:val="A-"/>
            </w:pPr>
            <w:r>
              <w:t>DA038</w:t>
            </w:r>
          </w:p>
        </w:tc>
        <w:tc>
          <w:tcPr>
            <w:tcW w:w="1093" w:type="pct"/>
            <w:vAlign w:val="center"/>
          </w:tcPr>
          <w:p w14:paraId="32F20A62" w14:textId="77777777" w:rsidR="002E474C" w:rsidRDefault="00000000">
            <w:pPr>
              <w:pStyle w:val="A-"/>
            </w:pPr>
            <w:r>
              <w:t>6#</w:t>
            </w:r>
            <w:r>
              <w:t>水泥库顶</w:t>
            </w:r>
          </w:p>
        </w:tc>
        <w:tc>
          <w:tcPr>
            <w:tcW w:w="701" w:type="pct"/>
            <w:vAlign w:val="center"/>
          </w:tcPr>
          <w:p w14:paraId="0A85205B" w14:textId="77777777" w:rsidR="002E474C" w:rsidRDefault="00000000">
            <w:pPr>
              <w:pStyle w:val="A-"/>
            </w:pPr>
            <w:r>
              <w:t>颗粒物</w:t>
            </w:r>
          </w:p>
        </w:tc>
        <w:tc>
          <w:tcPr>
            <w:tcW w:w="803" w:type="pct"/>
            <w:vAlign w:val="center"/>
          </w:tcPr>
          <w:p w14:paraId="3036F2DD" w14:textId="77777777" w:rsidR="002E474C" w:rsidRDefault="00000000">
            <w:pPr>
              <w:pStyle w:val="A-"/>
            </w:pPr>
            <w:r>
              <w:t>布袋除尘</w:t>
            </w:r>
          </w:p>
        </w:tc>
        <w:tc>
          <w:tcPr>
            <w:tcW w:w="725" w:type="pct"/>
            <w:shd w:val="clear" w:color="auto" w:fill="auto"/>
            <w:vAlign w:val="center"/>
          </w:tcPr>
          <w:p w14:paraId="470FDDC7" w14:textId="77777777" w:rsidR="002E474C" w:rsidRDefault="00000000">
            <w:pPr>
              <w:pStyle w:val="A-"/>
            </w:pPr>
            <w:r>
              <w:t>—</w:t>
            </w:r>
          </w:p>
        </w:tc>
        <w:tc>
          <w:tcPr>
            <w:tcW w:w="701" w:type="pct"/>
            <w:vAlign w:val="center"/>
          </w:tcPr>
          <w:p w14:paraId="46BBFECC" w14:textId="77777777" w:rsidR="002E474C" w:rsidRDefault="00000000">
            <w:pPr>
              <w:pStyle w:val="A-"/>
            </w:pPr>
            <w:r>
              <w:t>20</w:t>
            </w:r>
          </w:p>
        </w:tc>
        <w:tc>
          <w:tcPr>
            <w:tcW w:w="458" w:type="pct"/>
            <w:vAlign w:val="center"/>
          </w:tcPr>
          <w:p w14:paraId="352ABA57" w14:textId="77777777" w:rsidR="002E474C" w:rsidRDefault="00000000">
            <w:pPr>
              <w:pStyle w:val="A-"/>
            </w:pPr>
            <w:r>
              <w:t>—</w:t>
            </w:r>
          </w:p>
        </w:tc>
      </w:tr>
      <w:tr w:rsidR="002E474C" w14:paraId="6479F592" w14:textId="77777777">
        <w:tc>
          <w:tcPr>
            <w:tcW w:w="515" w:type="pct"/>
            <w:vAlign w:val="center"/>
          </w:tcPr>
          <w:p w14:paraId="5BD5FF6B" w14:textId="77777777" w:rsidR="002E474C" w:rsidRDefault="00000000">
            <w:pPr>
              <w:pStyle w:val="A-"/>
            </w:pPr>
            <w:r>
              <w:t>DA039</w:t>
            </w:r>
          </w:p>
        </w:tc>
        <w:tc>
          <w:tcPr>
            <w:tcW w:w="1093" w:type="pct"/>
            <w:vAlign w:val="center"/>
          </w:tcPr>
          <w:p w14:paraId="3BB4A40F" w14:textId="77777777" w:rsidR="002E474C" w:rsidRDefault="00000000">
            <w:pPr>
              <w:pStyle w:val="A-"/>
            </w:pPr>
            <w:r>
              <w:t>水泥库与散装库中间收尘</w:t>
            </w:r>
          </w:p>
        </w:tc>
        <w:tc>
          <w:tcPr>
            <w:tcW w:w="701" w:type="pct"/>
            <w:vAlign w:val="center"/>
          </w:tcPr>
          <w:p w14:paraId="1C06946A" w14:textId="77777777" w:rsidR="002E474C" w:rsidRDefault="00000000">
            <w:pPr>
              <w:pStyle w:val="A-"/>
            </w:pPr>
            <w:r>
              <w:t>颗粒物</w:t>
            </w:r>
          </w:p>
        </w:tc>
        <w:tc>
          <w:tcPr>
            <w:tcW w:w="803" w:type="pct"/>
            <w:vAlign w:val="center"/>
          </w:tcPr>
          <w:p w14:paraId="43786C7E" w14:textId="77777777" w:rsidR="002E474C" w:rsidRDefault="00000000">
            <w:pPr>
              <w:pStyle w:val="A-"/>
            </w:pPr>
            <w:r>
              <w:t>布袋除尘</w:t>
            </w:r>
          </w:p>
        </w:tc>
        <w:tc>
          <w:tcPr>
            <w:tcW w:w="725" w:type="pct"/>
            <w:vAlign w:val="center"/>
          </w:tcPr>
          <w:p w14:paraId="7DE6EA46" w14:textId="77777777" w:rsidR="002E474C" w:rsidRDefault="00000000">
            <w:pPr>
              <w:pStyle w:val="A-"/>
            </w:pPr>
            <w:r>
              <w:t>2.0</w:t>
            </w:r>
            <w:r>
              <w:t>～</w:t>
            </w:r>
            <w:r>
              <w:t>2.6</w:t>
            </w:r>
          </w:p>
        </w:tc>
        <w:tc>
          <w:tcPr>
            <w:tcW w:w="701" w:type="pct"/>
            <w:vAlign w:val="center"/>
          </w:tcPr>
          <w:p w14:paraId="1EB66ABB" w14:textId="77777777" w:rsidR="002E474C" w:rsidRDefault="00000000">
            <w:pPr>
              <w:pStyle w:val="A-"/>
            </w:pPr>
            <w:r>
              <w:t>20</w:t>
            </w:r>
          </w:p>
        </w:tc>
        <w:tc>
          <w:tcPr>
            <w:tcW w:w="458" w:type="pct"/>
          </w:tcPr>
          <w:p w14:paraId="57293F9B" w14:textId="77777777" w:rsidR="002E474C" w:rsidRDefault="00000000">
            <w:pPr>
              <w:pStyle w:val="A-"/>
            </w:pPr>
            <w:r>
              <w:t>达标</w:t>
            </w:r>
          </w:p>
        </w:tc>
      </w:tr>
      <w:tr w:rsidR="002E474C" w14:paraId="0DDE6992" w14:textId="77777777">
        <w:tc>
          <w:tcPr>
            <w:tcW w:w="515" w:type="pct"/>
            <w:vAlign w:val="center"/>
          </w:tcPr>
          <w:p w14:paraId="35CEE131" w14:textId="77777777" w:rsidR="002E474C" w:rsidRDefault="00000000">
            <w:pPr>
              <w:pStyle w:val="A-"/>
            </w:pPr>
            <w:r>
              <w:t>DA040</w:t>
            </w:r>
          </w:p>
        </w:tc>
        <w:tc>
          <w:tcPr>
            <w:tcW w:w="1093" w:type="pct"/>
            <w:vAlign w:val="center"/>
          </w:tcPr>
          <w:p w14:paraId="5CA1F801" w14:textId="77777777" w:rsidR="002E474C" w:rsidRDefault="00000000">
            <w:pPr>
              <w:pStyle w:val="A-"/>
              <w:ind w:leftChars="-50" w:left="-105" w:rightChars="-50" w:right="-105"/>
              <w:rPr>
                <w:spacing w:val="-6"/>
              </w:rPr>
            </w:pPr>
            <w:r>
              <w:rPr>
                <w:spacing w:val="-6"/>
              </w:rPr>
              <w:t>石灰石皮带</w:t>
            </w:r>
            <w:r>
              <w:rPr>
                <w:spacing w:val="-6"/>
              </w:rPr>
              <w:t>0705</w:t>
            </w:r>
            <w:r>
              <w:rPr>
                <w:spacing w:val="-6"/>
              </w:rPr>
              <w:t>除尘</w:t>
            </w:r>
          </w:p>
        </w:tc>
        <w:tc>
          <w:tcPr>
            <w:tcW w:w="701" w:type="pct"/>
            <w:vAlign w:val="center"/>
          </w:tcPr>
          <w:p w14:paraId="4CB42B15" w14:textId="77777777" w:rsidR="002E474C" w:rsidRDefault="00000000">
            <w:pPr>
              <w:pStyle w:val="A-"/>
            </w:pPr>
            <w:r>
              <w:t>颗粒物</w:t>
            </w:r>
          </w:p>
        </w:tc>
        <w:tc>
          <w:tcPr>
            <w:tcW w:w="803" w:type="pct"/>
            <w:vAlign w:val="center"/>
          </w:tcPr>
          <w:p w14:paraId="36E5B3F9" w14:textId="77777777" w:rsidR="002E474C" w:rsidRDefault="00000000">
            <w:pPr>
              <w:pStyle w:val="A-"/>
            </w:pPr>
            <w:r>
              <w:t>布袋除尘</w:t>
            </w:r>
          </w:p>
        </w:tc>
        <w:tc>
          <w:tcPr>
            <w:tcW w:w="725" w:type="pct"/>
            <w:vAlign w:val="center"/>
          </w:tcPr>
          <w:p w14:paraId="25362E27" w14:textId="77777777" w:rsidR="002E474C" w:rsidRDefault="00000000">
            <w:pPr>
              <w:pStyle w:val="A-"/>
            </w:pPr>
            <w:r>
              <w:t>1.1</w:t>
            </w:r>
            <w:r>
              <w:t>～</w:t>
            </w:r>
            <w:r>
              <w:t>1.3</w:t>
            </w:r>
          </w:p>
        </w:tc>
        <w:tc>
          <w:tcPr>
            <w:tcW w:w="701" w:type="pct"/>
            <w:vAlign w:val="center"/>
          </w:tcPr>
          <w:p w14:paraId="2A9547B7" w14:textId="77777777" w:rsidR="002E474C" w:rsidRDefault="00000000">
            <w:pPr>
              <w:pStyle w:val="A-"/>
            </w:pPr>
            <w:r>
              <w:t>20</w:t>
            </w:r>
          </w:p>
        </w:tc>
        <w:tc>
          <w:tcPr>
            <w:tcW w:w="458" w:type="pct"/>
          </w:tcPr>
          <w:p w14:paraId="3BECFE23" w14:textId="77777777" w:rsidR="002E474C" w:rsidRDefault="00000000">
            <w:pPr>
              <w:pStyle w:val="A-"/>
            </w:pPr>
            <w:r>
              <w:t>达标</w:t>
            </w:r>
          </w:p>
        </w:tc>
      </w:tr>
      <w:tr w:rsidR="002E474C" w14:paraId="55620002" w14:textId="77777777">
        <w:tc>
          <w:tcPr>
            <w:tcW w:w="515" w:type="pct"/>
            <w:vAlign w:val="center"/>
          </w:tcPr>
          <w:p w14:paraId="2884CC40" w14:textId="77777777" w:rsidR="002E474C" w:rsidRDefault="00000000">
            <w:pPr>
              <w:pStyle w:val="A-"/>
            </w:pPr>
            <w:r>
              <w:t>DA041</w:t>
            </w:r>
          </w:p>
        </w:tc>
        <w:tc>
          <w:tcPr>
            <w:tcW w:w="1093" w:type="pct"/>
            <w:vAlign w:val="center"/>
          </w:tcPr>
          <w:p w14:paraId="099C6E4C" w14:textId="77777777" w:rsidR="002E474C" w:rsidRDefault="00000000">
            <w:pPr>
              <w:pStyle w:val="A-"/>
              <w:ind w:leftChars="-50" w:left="-105" w:rightChars="-50" w:right="-105"/>
              <w:rPr>
                <w:spacing w:val="-6"/>
              </w:rPr>
            </w:pPr>
            <w:r>
              <w:rPr>
                <w:spacing w:val="-6"/>
              </w:rPr>
              <w:t>石灰石库底</w:t>
            </w:r>
            <w:r>
              <w:rPr>
                <w:spacing w:val="-6"/>
              </w:rPr>
              <w:t>0841</w:t>
            </w:r>
            <w:r>
              <w:rPr>
                <w:spacing w:val="-6"/>
              </w:rPr>
              <w:t>收尘</w:t>
            </w:r>
          </w:p>
        </w:tc>
        <w:tc>
          <w:tcPr>
            <w:tcW w:w="701" w:type="pct"/>
            <w:vAlign w:val="center"/>
          </w:tcPr>
          <w:p w14:paraId="5140122E" w14:textId="77777777" w:rsidR="002E474C" w:rsidRDefault="00000000">
            <w:pPr>
              <w:pStyle w:val="A-"/>
            </w:pPr>
            <w:r>
              <w:t>颗粒物</w:t>
            </w:r>
          </w:p>
        </w:tc>
        <w:tc>
          <w:tcPr>
            <w:tcW w:w="803" w:type="pct"/>
            <w:vAlign w:val="center"/>
          </w:tcPr>
          <w:p w14:paraId="22064DDF" w14:textId="77777777" w:rsidR="002E474C" w:rsidRDefault="00000000">
            <w:pPr>
              <w:pStyle w:val="A-"/>
            </w:pPr>
            <w:r>
              <w:t>布袋除尘</w:t>
            </w:r>
          </w:p>
        </w:tc>
        <w:tc>
          <w:tcPr>
            <w:tcW w:w="725" w:type="pct"/>
            <w:vAlign w:val="center"/>
          </w:tcPr>
          <w:p w14:paraId="66E631B6" w14:textId="77777777" w:rsidR="002E474C" w:rsidRDefault="00000000">
            <w:pPr>
              <w:pStyle w:val="A-"/>
            </w:pPr>
            <w:r>
              <w:t>1.0</w:t>
            </w:r>
            <w:r>
              <w:t>～</w:t>
            </w:r>
            <w:r>
              <w:t>1.6</w:t>
            </w:r>
          </w:p>
        </w:tc>
        <w:tc>
          <w:tcPr>
            <w:tcW w:w="701" w:type="pct"/>
            <w:vAlign w:val="center"/>
          </w:tcPr>
          <w:p w14:paraId="280DFAD2" w14:textId="77777777" w:rsidR="002E474C" w:rsidRDefault="00000000">
            <w:pPr>
              <w:pStyle w:val="A-"/>
            </w:pPr>
            <w:r>
              <w:t>20</w:t>
            </w:r>
          </w:p>
        </w:tc>
        <w:tc>
          <w:tcPr>
            <w:tcW w:w="458" w:type="pct"/>
          </w:tcPr>
          <w:p w14:paraId="3B5C0CC0" w14:textId="77777777" w:rsidR="002E474C" w:rsidRDefault="00000000">
            <w:pPr>
              <w:pStyle w:val="A-"/>
            </w:pPr>
            <w:r>
              <w:t>达标</w:t>
            </w:r>
          </w:p>
        </w:tc>
      </w:tr>
      <w:tr w:rsidR="002E474C" w14:paraId="2AD95C76" w14:textId="77777777">
        <w:tc>
          <w:tcPr>
            <w:tcW w:w="515" w:type="pct"/>
            <w:vAlign w:val="center"/>
          </w:tcPr>
          <w:p w14:paraId="2BA739E6" w14:textId="77777777" w:rsidR="002E474C" w:rsidRDefault="00000000">
            <w:pPr>
              <w:pStyle w:val="A-"/>
            </w:pPr>
            <w:r>
              <w:t>DA042</w:t>
            </w:r>
          </w:p>
        </w:tc>
        <w:tc>
          <w:tcPr>
            <w:tcW w:w="1093" w:type="pct"/>
            <w:vAlign w:val="center"/>
          </w:tcPr>
          <w:p w14:paraId="4964F8FB" w14:textId="77777777" w:rsidR="002E474C" w:rsidRDefault="00000000">
            <w:pPr>
              <w:pStyle w:val="A-"/>
            </w:pPr>
            <w:r>
              <w:t>均化库顶</w:t>
            </w:r>
          </w:p>
        </w:tc>
        <w:tc>
          <w:tcPr>
            <w:tcW w:w="701" w:type="pct"/>
            <w:vAlign w:val="center"/>
          </w:tcPr>
          <w:p w14:paraId="41B09983" w14:textId="77777777" w:rsidR="002E474C" w:rsidRDefault="00000000">
            <w:pPr>
              <w:pStyle w:val="A-"/>
            </w:pPr>
            <w:r>
              <w:t>颗粒物</w:t>
            </w:r>
          </w:p>
        </w:tc>
        <w:tc>
          <w:tcPr>
            <w:tcW w:w="803" w:type="pct"/>
            <w:vAlign w:val="center"/>
          </w:tcPr>
          <w:p w14:paraId="2EFE18BF" w14:textId="77777777" w:rsidR="002E474C" w:rsidRDefault="00000000">
            <w:pPr>
              <w:pStyle w:val="A-"/>
            </w:pPr>
            <w:r>
              <w:t>布袋除尘</w:t>
            </w:r>
          </w:p>
        </w:tc>
        <w:tc>
          <w:tcPr>
            <w:tcW w:w="725" w:type="pct"/>
            <w:vAlign w:val="center"/>
          </w:tcPr>
          <w:p w14:paraId="65082F47" w14:textId="77777777" w:rsidR="002E474C" w:rsidRDefault="00000000">
            <w:pPr>
              <w:pStyle w:val="A-"/>
            </w:pPr>
            <w:r>
              <w:t>2.0</w:t>
            </w:r>
            <w:r>
              <w:t>～</w:t>
            </w:r>
            <w:r>
              <w:t>2.9</w:t>
            </w:r>
          </w:p>
        </w:tc>
        <w:tc>
          <w:tcPr>
            <w:tcW w:w="701" w:type="pct"/>
            <w:vAlign w:val="center"/>
          </w:tcPr>
          <w:p w14:paraId="060A931C" w14:textId="77777777" w:rsidR="002E474C" w:rsidRDefault="00000000">
            <w:pPr>
              <w:pStyle w:val="A-"/>
            </w:pPr>
            <w:r>
              <w:t>20</w:t>
            </w:r>
          </w:p>
        </w:tc>
        <w:tc>
          <w:tcPr>
            <w:tcW w:w="458" w:type="pct"/>
          </w:tcPr>
          <w:p w14:paraId="5EBA4441" w14:textId="77777777" w:rsidR="002E474C" w:rsidRDefault="00000000">
            <w:pPr>
              <w:pStyle w:val="A-"/>
            </w:pPr>
            <w:r>
              <w:t>达标</w:t>
            </w:r>
          </w:p>
        </w:tc>
      </w:tr>
      <w:tr w:rsidR="002E474C" w14:paraId="0EEFE6C9" w14:textId="77777777">
        <w:tc>
          <w:tcPr>
            <w:tcW w:w="515" w:type="pct"/>
            <w:vAlign w:val="center"/>
          </w:tcPr>
          <w:p w14:paraId="6FBCF574" w14:textId="77777777" w:rsidR="002E474C" w:rsidRDefault="00000000">
            <w:pPr>
              <w:pStyle w:val="A-"/>
            </w:pPr>
            <w:r>
              <w:t>DA043</w:t>
            </w:r>
          </w:p>
        </w:tc>
        <w:tc>
          <w:tcPr>
            <w:tcW w:w="1093" w:type="pct"/>
            <w:vAlign w:val="center"/>
          </w:tcPr>
          <w:p w14:paraId="3F215422" w14:textId="77777777" w:rsidR="002E474C" w:rsidRDefault="00000000">
            <w:pPr>
              <w:pStyle w:val="A-"/>
            </w:pPr>
            <w:r>
              <w:t>均化库底收尘</w:t>
            </w:r>
          </w:p>
        </w:tc>
        <w:tc>
          <w:tcPr>
            <w:tcW w:w="701" w:type="pct"/>
            <w:vAlign w:val="center"/>
          </w:tcPr>
          <w:p w14:paraId="7CA572E4" w14:textId="77777777" w:rsidR="002E474C" w:rsidRDefault="00000000">
            <w:pPr>
              <w:pStyle w:val="A-"/>
            </w:pPr>
            <w:r>
              <w:t>颗粒物</w:t>
            </w:r>
          </w:p>
        </w:tc>
        <w:tc>
          <w:tcPr>
            <w:tcW w:w="803" w:type="pct"/>
            <w:vAlign w:val="center"/>
          </w:tcPr>
          <w:p w14:paraId="72358D29" w14:textId="77777777" w:rsidR="002E474C" w:rsidRDefault="00000000">
            <w:pPr>
              <w:pStyle w:val="A-"/>
            </w:pPr>
            <w:r>
              <w:t>布袋除尘</w:t>
            </w:r>
          </w:p>
        </w:tc>
        <w:tc>
          <w:tcPr>
            <w:tcW w:w="725" w:type="pct"/>
            <w:vAlign w:val="center"/>
          </w:tcPr>
          <w:p w14:paraId="0B755350" w14:textId="77777777" w:rsidR="002E474C" w:rsidRDefault="00000000">
            <w:pPr>
              <w:pStyle w:val="A-"/>
            </w:pPr>
            <w:r>
              <w:t>1.0</w:t>
            </w:r>
            <w:r>
              <w:t>～</w:t>
            </w:r>
            <w:r>
              <w:t>1.8</w:t>
            </w:r>
          </w:p>
        </w:tc>
        <w:tc>
          <w:tcPr>
            <w:tcW w:w="701" w:type="pct"/>
            <w:vAlign w:val="center"/>
          </w:tcPr>
          <w:p w14:paraId="2F09C974" w14:textId="77777777" w:rsidR="002E474C" w:rsidRDefault="00000000">
            <w:pPr>
              <w:pStyle w:val="A-"/>
            </w:pPr>
            <w:r>
              <w:t>20</w:t>
            </w:r>
          </w:p>
        </w:tc>
        <w:tc>
          <w:tcPr>
            <w:tcW w:w="458" w:type="pct"/>
          </w:tcPr>
          <w:p w14:paraId="2582331F" w14:textId="77777777" w:rsidR="002E474C" w:rsidRDefault="00000000">
            <w:pPr>
              <w:pStyle w:val="A-"/>
            </w:pPr>
            <w:r>
              <w:t>达标</w:t>
            </w:r>
          </w:p>
        </w:tc>
      </w:tr>
      <w:tr w:rsidR="002E474C" w14:paraId="13F60F76" w14:textId="77777777">
        <w:tc>
          <w:tcPr>
            <w:tcW w:w="515" w:type="pct"/>
            <w:vAlign w:val="center"/>
          </w:tcPr>
          <w:p w14:paraId="24755B2D" w14:textId="77777777" w:rsidR="002E474C" w:rsidRDefault="00000000">
            <w:pPr>
              <w:pStyle w:val="A-"/>
            </w:pPr>
            <w:r>
              <w:t>DA044</w:t>
            </w:r>
          </w:p>
        </w:tc>
        <w:tc>
          <w:tcPr>
            <w:tcW w:w="1093" w:type="pct"/>
            <w:vAlign w:val="center"/>
          </w:tcPr>
          <w:p w14:paraId="4537A2FE" w14:textId="77777777" w:rsidR="002E474C" w:rsidRDefault="00000000">
            <w:pPr>
              <w:pStyle w:val="A-"/>
              <w:ind w:leftChars="-25" w:left="-53" w:rightChars="-25" w:right="-53"/>
            </w:pPr>
            <w:r>
              <w:t>熟料小库放料收尘</w:t>
            </w:r>
          </w:p>
        </w:tc>
        <w:tc>
          <w:tcPr>
            <w:tcW w:w="701" w:type="pct"/>
            <w:vAlign w:val="center"/>
          </w:tcPr>
          <w:p w14:paraId="0274B55B" w14:textId="77777777" w:rsidR="002E474C" w:rsidRDefault="00000000">
            <w:pPr>
              <w:pStyle w:val="A-"/>
            </w:pPr>
            <w:r>
              <w:t>颗粒物</w:t>
            </w:r>
          </w:p>
        </w:tc>
        <w:tc>
          <w:tcPr>
            <w:tcW w:w="803" w:type="pct"/>
            <w:vAlign w:val="center"/>
          </w:tcPr>
          <w:p w14:paraId="525E17AF" w14:textId="77777777" w:rsidR="002E474C" w:rsidRDefault="00000000">
            <w:pPr>
              <w:pStyle w:val="A-"/>
            </w:pPr>
            <w:r>
              <w:t>布袋除尘</w:t>
            </w:r>
          </w:p>
        </w:tc>
        <w:tc>
          <w:tcPr>
            <w:tcW w:w="725" w:type="pct"/>
            <w:shd w:val="clear" w:color="auto" w:fill="auto"/>
          </w:tcPr>
          <w:p w14:paraId="7EBF742E" w14:textId="77777777" w:rsidR="002E474C" w:rsidRDefault="00000000">
            <w:pPr>
              <w:pStyle w:val="A-"/>
            </w:pPr>
            <w:r>
              <w:t>—</w:t>
            </w:r>
          </w:p>
        </w:tc>
        <w:tc>
          <w:tcPr>
            <w:tcW w:w="701" w:type="pct"/>
            <w:vAlign w:val="center"/>
          </w:tcPr>
          <w:p w14:paraId="11D9173A" w14:textId="77777777" w:rsidR="002E474C" w:rsidRDefault="00000000">
            <w:pPr>
              <w:pStyle w:val="A-"/>
            </w:pPr>
            <w:r>
              <w:t>20</w:t>
            </w:r>
          </w:p>
        </w:tc>
        <w:tc>
          <w:tcPr>
            <w:tcW w:w="458" w:type="pct"/>
          </w:tcPr>
          <w:p w14:paraId="505CD221" w14:textId="77777777" w:rsidR="002E474C" w:rsidRDefault="00000000">
            <w:pPr>
              <w:pStyle w:val="A-"/>
            </w:pPr>
            <w:r>
              <w:t>—</w:t>
            </w:r>
          </w:p>
        </w:tc>
      </w:tr>
      <w:tr w:rsidR="002E474C" w14:paraId="50B5E94E" w14:textId="77777777">
        <w:tc>
          <w:tcPr>
            <w:tcW w:w="515" w:type="pct"/>
            <w:vAlign w:val="center"/>
          </w:tcPr>
          <w:p w14:paraId="61BBE2AE" w14:textId="77777777" w:rsidR="002E474C" w:rsidRDefault="00000000">
            <w:pPr>
              <w:pStyle w:val="A-"/>
            </w:pPr>
            <w:r>
              <w:t>DA045</w:t>
            </w:r>
          </w:p>
        </w:tc>
        <w:tc>
          <w:tcPr>
            <w:tcW w:w="1093" w:type="pct"/>
            <w:vAlign w:val="center"/>
          </w:tcPr>
          <w:p w14:paraId="7FF40B9E" w14:textId="77777777" w:rsidR="002E474C" w:rsidRDefault="00000000">
            <w:pPr>
              <w:pStyle w:val="A-"/>
              <w:ind w:leftChars="-50" w:left="-105" w:rightChars="-50" w:right="-105"/>
            </w:pPr>
            <w:r>
              <w:rPr>
                <w:spacing w:val="-6"/>
              </w:rPr>
              <w:t>水泥车间辅材库收尘</w:t>
            </w:r>
          </w:p>
        </w:tc>
        <w:tc>
          <w:tcPr>
            <w:tcW w:w="701" w:type="pct"/>
            <w:vAlign w:val="center"/>
          </w:tcPr>
          <w:p w14:paraId="506EA781" w14:textId="77777777" w:rsidR="002E474C" w:rsidRDefault="00000000">
            <w:pPr>
              <w:pStyle w:val="A-"/>
            </w:pPr>
            <w:r>
              <w:t>颗粒物</w:t>
            </w:r>
          </w:p>
        </w:tc>
        <w:tc>
          <w:tcPr>
            <w:tcW w:w="803" w:type="pct"/>
            <w:vAlign w:val="center"/>
          </w:tcPr>
          <w:p w14:paraId="401CEA7D" w14:textId="77777777" w:rsidR="002E474C" w:rsidRDefault="00000000">
            <w:pPr>
              <w:pStyle w:val="A-"/>
            </w:pPr>
            <w:r>
              <w:t>布袋除尘</w:t>
            </w:r>
          </w:p>
        </w:tc>
        <w:tc>
          <w:tcPr>
            <w:tcW w:w="725" w:type="pct"/>
            <w:shd w:val="clear" w:color="auto" w:fill="auto"/>
          </w:tcPr>
          <w:p w14:paraId="305C8318" w14:textId="77777777" w:rsidR="002E474C" w:rsidRDefault="00000000">
            <w:pPr>
              <w:pStyle w:val="A-"/>
            </w:pPr>
            <w:r>
              <w:t>—</w:t>
            </w:r>
          </w:p>
        </w:tc>
        <w:tc>
          <w:tcPr>
            <w:tcW w:w="701" w:type="pct"/>
            <w:vAlign w:val="center"/>
          </w:tcPr>
          <w:p w14:paraId="681E06B5" w14:textId="77777777" w:rsidR="002E474C" w:rsidRDefault="00000000">
            <w:pPr>
              <w:pStyle w:val="A-"/>
            </w:pPr>
            <w:r>
              <w:t>20</w:t>
            </w:r>
          </w:p>
        </w:tc>
        <w:tc>
          <w:tcPr>
            <w:tcW w:w="458" w:type="pct"/>
          </w:tcPr>
          <w:p w14:paraId="62F44989" w14:textId="77777777" w:rsidR="002E474C" w:rsidRDefault="00000000">
            <w:pPr>
              <w:pStyle w:val="A-"/>
            </w:pPr>
            <w:r>
              <w:t>—</w:t>
            </w:r>
          </w:p>
        </w:tc>
      </w:tr>
      <w:tr w:rsidR="002E474C" w14:paraId="70B70029" w14:textId="77777777">
        <w:tc>
          <w:tcPr>
            <w:tcW w:w="515" w:type="pct"/>
            <w:vAlign w:val="center"/>
          </w:tcPr>
          <w:p w14:paraId="6DC43BAF" w14:textId="77777777" w:rsidR="002E474C" w:rsidRDefault="00000000">
            <w:pPr>
              <w:pStyle w:val="A-"/>
            </w:pPr>
            <w:r>
              <w:t>DA046</w:t>
            </w:r>
          </w:p>
        </w:tc>
        <w:tc>
          <w:tcPr>
            <w:tcW w:w="1093" w:type="pct"/>
            <w:vAlign w:val="center"/>
          </w:tcPr>
          <w:p w14:paraId="1C32AD6D" w14:textId="77777777" w:rsidR="002E474C" w:rsidRDefault="00000000">
            <w:pPr>
              <w:pStyle w:val="A-"/>
            </w:pPr>
            <w:r>
              <w:t>石膏库顶</w:t>
            </w:r>
          </w:p>
        </w:tc>
        <w:tc>
          <w:tcPr>
            <w:tcW w:w="701" w:type="pct"/>
            <w:vAlign w:val="center"/>
          </w:tcPr>
          <w:p w14:paraId="5F33E405" w14:textId="77777777" w:rsidR="002E474C" w:rsidRDefault="00000000">
            <w:pPr>
              <w:pStyle w:val="A-"/>
            </w:pPr>
            <w:r>
              <w:t>颗粒物</w:t>
            </w:r>
          </w:p>
        </w:tc>
        <w:tc>
          <w:tcPr>
            <w:tcW w:w="803" w:type="pct"/>
            <w:vAlign w:val="center"/>
          </w:tcPr>
          <w:p w14:paraId="64BF8136" w14:textId="77777777" w:rsidR="002E474C" w:rsidRDefault="00000000">
            <w:pPr>
              <w:pStyle w:val="A-"/>
            </w:pPr>
            <w:r>
              <w:t>布袋除尘</w:t>
            </w:r>
          </w:p>
        </w:tc>
        <w:tc>
          <w:tcPr>
            <w:tcW w:w="725" w:type="pct"/>
            <w:vAlign w:val="center"/>
          </w:tcPr>
          <w:p w14:paraId="21CCD5F4" w14:textId="77777777" w:rsidR="002E474C" w:rsidRDefault="00000000">
            <w:pPr>
              <w:pStyle w:val="A-"/>
            </w:pPr>
            <w:r>
              <w:t>2.1</w:t>
            </w:r>
            <w:r>
              <w:t>～</w:t>
            </w:r>
            <w:r>
              <w:t>2.6</w:t>
            </w:r>
          </w:p>
        </w:tc>
        <w:tc>
          <w:tcPr>
            <w:tcW w:w="701" w:type="pct"/>
            <w:vAlign w:val="center"/>
          </w:tcPr>
          <w:p w14:paraId="4A38A33E" w14:textId="77777777" w:rsidR="002E474C" w:rsidRDefault="00000000">
            <w:pPr>
              <w:pStyle w:val="A-"/>
            </w:pPr>
            <w:r>
              <w:t>20</w:t>
            </w:r>
          </w:p>
        </w:tc>
        <w:tc>
          <w:tcPr>
            <w:tcW w:w="458" w:type="pct"/>
          </w:tcPr>
          <w:p w14:paraId="79DB64CD" w14:textId="77777777" w:rsidR="002E474C" w:rsidRDefault="00000000">
            <w:pPr>
              <w:pStyle w:val="A-"/>
            </w:pPr>
            <w:r>
              <w:t>达标</w:t>
            </w:r>
          </w:p>
        </w:tc>
      </w:tr>
      <w:tr w:rsidR="002E474C" w14:paraId="38C7DD58" w14:textId="77777777">
        <w:tc>
          <w:tcPr>
            <w:tcW w:w="515" w:type="pct"/>
            <w:vAlign w:val="center"/>
          </w:tcPr>
          <w:p w14:paraId="378E101E" w14:textId="77777777" w:rsidR="002E474C" w:rsidRDefault="00000000">
            <w:pPr>
              <w:pStyle w:val="A-"/>
            </w:pPr>
            <w:r>
              <w:t>DA047</w:t>
            </w:r>
          </w:p>
        </w:tc>
        <w:tc>
          <w:tcPr>
            <w:tcW w:w="1093" w:type="pct"/>
            <w:vAlign w:val="center"/>
          </w:tcPr>
          <w:p w14:paraId="600D260A" w14:textId="77777777" w:rsidR="002E474C" w:rsidRDefault="00000000">
            <w:pPr>
              <w:pStyle w:val="A-"/>
              <w:ind w:leftChars="-50" w:left="-105" w:rightChars="-50" w:right="-105"/>
            </w:pPr>
            <w:r>
              <w:t>石灰石输送皮带</w:t>
            </w:r>
            <w:r>
              <w:t>0604</w:t>
            </w:r>
            <w:r>
              <w:t>除尘</w:t>
            </w:r>
          </w:p>
        </w:tc>
        <w:tc>
          <w:tcPr>
            <w:tcW w:w="701" w:type="pct"/>
            <w:vAlign w:val="center"/>
          </w:tcPr>
          <w:p w14:paraId="737930FC" w14:textId="77777777" w:rsidR="002E474C" w:rsidRDefault="00000000">
            <w:pPr>
              <w:pStyle w:val="A-"/>
            </w:pPr>
            <w:r>
              <w:t>颗粒物</w:t>
            </w:r>
          </w:p>
        </w:tc>
        <w:tc>
          <w:tcPr>
            <w:tcW w:w="803" w:type="pct"/>
            <w:vAlign w:val="center"/>
          </w:tcPr>
          <w:p w14:paraId="0B592E35" w14:textId="77777777" w:rsidR="002E474C" w:rsidRDefault="00000000">
            <w:pPr>
              <w:pStyle w:val="A-"/>
            </w:pPr>
            <w:r>
              <w:t>布袋除尘</w:t>
            </w:r>
          </w:p>
        </w:tc>
        <w:tc>
          <w:tcPr>
            <w:tcW w:w="725" w:type="pct"/>
            <w:vAlign w:val="center"/>
          </w:tcPr>
          <w:p w14:paraId="774E6810" w14:textId="77777777" w:rsidR="002E474C" w:rsidRDefault="00000000">
            <w:pPr>
              <w:pStyle w:val="A-"/>
            </w:pPr>
            <w:r>
              <w:t>1.3</w:t>
            </w:r>
            <w:r>
              <w:t>～</w:t>
            </w:r>
            <w:r>
              <w:t>1.5</w:t>
            </w:r>
          </w:p>
        </w:tc>
        <w:tc>
          <w:tcPr>
            <w:tcW w:w="701" w:type="pct"/>
            <w:vAlign w:val="center"/>
          </w:tcPr>
          <w:p w14:paraId="15FB3297" w14:textId="77777777" w:rsidR="002E474C" w:rsidRDefault="00000000">
            <w:pPr>
              <w:pStyle w:val="A-"/>
            </w:pPr>
            <w:r>
              <w:t>20</w:t>
            </w:r>
          </w:p>
        </w:tc>
        <w:tc>
          <w:tcPr>
            <w:tcW w:w="458" w:type="pct"/>
            <w:vAlign w:val="center"/>
          </w:tcPr>
          <w:p w14:paraId="60D0793C" w14:textId="77777777" w:rsidR="002E474C" w:rsidRDefault="00000000">
            <w:pPr>
              <w:pStyle w:val="A-"/>
            </w:pPr>
            <w:r>
              <w:t>达标</w:t>
            </w:r>
          </w:p>
        </w:tc>
      </w:tr>
      <w:tr w:rsidR="002E474C" w14:paraId="52F32BED" w14:textId="77777777">
        <w:tc>
          <w:tcPr>
            <w:tcW w:w="515" w:type="pct"/>
            <w:vAlign w:val="center"/>
          </w:tcPr>
          <w:p w14:paraId="66835E0C" w14:textId="77777777" w:rsidR="002E474C" w:rsidRDefault="00000000">
            <w:pPr>
              <w:pStyle w:val="A-"/>
            </w:pPr>
            <w:r>
              <w:t>DA048</w:t>
            </w:r>
          </w:p>
        </w:tc>
        <w:tc>
          <w:tcPr>
            <w:tcW w:w="1093" w:type="pct"/>
            <w:vAlign w:val="center"/>
          </w:tcPr>
          <w:p w14:paraId="58BBCD79" w14:textId="77777777" w:rsidR="002E474C" w:rsidRDefault="00000000">
            <w:pPr>
              <w:pStyle w:val="A-"/>
              <w:ind w:leftChars="-50" w:left="-105" w:rightChars="-50" w:right="-105"/>
            </w:pPr>
            <w:r>
              <w:t>2207</w:t>
            </w:r>
            <w:r>
              <w:t>皮带廊道中间收尘</w:t>
            </w:r>
          </w:p>
        </w:tc>
        <w:tc>
          <w:tcPr>
            <w:tcW w:w="701" w:type="pct"/>
            <w:vAlign w:val="center"/>
          </w:tcPr>
          <w:p w14:paraId="37C67000" w14:textId="77777777" w:rsidR="002E474C" w:rsidRDefault="00000000">
            <w:pPr>
              <w:pStyle w:val="A-"/>
            </w:pPr>
            <w:r>
              <w:t>颗粒物</w:t>
            </w:r>
          </w:p>
        </w:tc>
        <w:tc>
          <w:tcPr>
            <w:tcW w:w="803" w:type="pct"/>
            <w:vAlign w:val="center"/>
          </w:tcPr>
          <w:p w14:paraId="52C3900F" w14:textId="77777777" w:rsidR="002E474C" w:rsidRDefault="00000000">
            <w:pPr>
              <w:pStyle w:val="A-"/>
            </w:pPr>
            <w:r>
              <w:t>布袋除尘</w:t>
            </w:r>
          </w:p>
        </w:tc>
        <w:tc>
          <w:tcPr>
            <w:tcW w:w="725" w:type="pct"/>
            <w:vAlign w:val="center"/>
          </w:tcPr>
          <w:p w14:paraId="337A640B" w14:textId="77777777" w:rsidR="002E474C" w:rsidRDefault="00000000">
            <w:pPr>
              <w:pStyle w:val="A-"/>
            </w:pPr>
            <w:r>
              <w:t>9.4</w:t>
            </w:r>
            <w:r>
              <w:t>～</w:t>
            </w:r>
            <w:r>
              <w:t>11.7</w:t>
            </w:r>
          </w:p>
        </w:tc>
        <w:tc>
          <w:tcPr>
            <w:tcW w:w="701" w:type="pct"/>
            <w:vAlign w:val="center"/>
          </w:tcPr>
          <w:p w14:paraId="795CD69B" w14:textId="77777777" w:rsidR="002E474C" w:rsidRDefault="00000000">
            <w:pPr>
              <w:pStyle w:val="A-"/>
            </w:pPr>
            <w:r>
              <w:t>20</w:t>
            </w:r>
          </w:p>
        </w:tc>
        <w:tc>
          <w:tcPr>
            <w:tcW w:w="458" w:type="pct"/>
            <w:vAlign w:val="center"/>
          </w:tcPr>
          <w:p w14:paraId="79A1E5A0" w14:textId="77777777" w:rsidR="002E474C" w:rsidRDefault="00000000">
            <w:pPr>
              <w:pStyle w:val="A-"/>
            </w:pPr>
            <w:r>
              <w:t>达标</w:t>
            </w:r>
          </w:p>
        </w:tc>
      </w:tr>
      <w:tr w:rsidR="002E474C" w14:paraId="0FB2BFA3" w14:textId="77777777">
        <w:tc>
          <w:tcPr>
            <w:tcW w:w="515" w:type="pct"/>
            <w:vAlign w:val="center"/>
          </w:tcPr>
          <w:p w14:paraId="55E9063A" w14:textId="77777777" w:rsidR="002E474C" w:rsidRDefault="00000000">
            <w:pPr>
              <w:pStyle w:val="A-"/>
            </w:pPr>
            <w:r>
              <w:t>DA049</w:t>
            </w:r>
          </w:p>
        </w:tc>
        <w:tc>
          <w:tcPr>
            <w:tcW w:w="1093" w:type="pct"/>
            <w:vAlign w:val="center"/>
          </w:tcPr>
          <w:p w14:paraId="67A0C4D2" w14:textId="77777777" w:rsidR="002E474C" w:rsidRDefault="00000000">
            <w:pPr>
              <w:pStyle w:val="A-"/>
            </w:pPr>
            <w:r>
              <w:t>原煤输送皮带</w:t>
            </w:r>
          </w:p>
        </w:tc>
        <w:tc>
          <w:tcPr>
            <w:tcW w:w="701" w:type="pct"/>
            <w:vAlign w:val="center"/>
          </w:tcPr>
          <w:p w14:paraId="1DAB9FC2" w14:textId="77777777" w:rsidR="002E474C" w:rsidRDefault="00000000">
            <w:pPr>
              <w:pStyle w:val="A-"/>
            </w:pPr>
            <w:r>
              <w:t>颗粒物</w:t>
            </w:r>
          </w:p>
        </w:tc>
        <w:tc>
          <w:tcPr>
            <w:tcW w:w="803" w:type="pct"/>
            <w:vAlign w:val="center"/>
          </w:tcPr>
          <w:p w14:paraId="5C1C856E" w14:textId="77777777" w:rsidR="002E474C" w:rsidRDefault="00000000">
            <w:pPr>
              <w:pStyle w:val="A-"/>
            </w:pPr>
            <w:r>
              <w:t>布袋除尘</w:t>
            </w:r>
          </w:p>
        </w:tc>
        <w:tc>
          <w:tcPr>
            <w:tcW w:w="725" w:type="pct"/>
            <w:vAlign w:val="center"/>
          </w:tcPr>
          <w:p w14:paraId="4D37B064" w14:textId="77777777" w:rsidR="002E474C" w:rsidRDefault="00000000">
            <w:pPr>
              <w:pStyle w:val="A-"/>
            </w:pPr>
            <w:r>
              <w:t>2.6</w:t>
            </w:r>
            <w:r>
              <w:t>～</w:t>
            </w:r>
            <w:r>
              <w:t>3.3</w:t>
            </w:r>
          </w:p>
        </w:tc>
        <w:tc>
          <w:tcPr>
            <w:tcW w:w="701" w:type="pct"/>
            <w:vAlign w:val="center"/>
          </w:tcPr>
          <w:p w14:paraId="6C76C797" w14:textId="77777777" w:rsidR="002E474C" w:rsidRDefault="00000000">
            <w:pPr>
              <w:pStyle w:val="A-"/>
            </w:pPr>
            <w:r>
              <w:t>20</w:t>
            </w:r>
          </w:p>
        </w:tc>
        <w:tc>
          <w:tcPr>
            <w:tcW w:w="458" w:type="pct"/>
          </w:tcPr>
          <w:p w14:paraId="23D3CED6" w14:textId="77777777" w:rsidR="002E474C" w:rsidRDefault="00000000">
            <w:pPr>
              <w:pStyle w:val="A-"/>
            </w:pPr>
            <w:r>
              <w:t>达标</w:t>
            </w:r>
          </w:p>
        </w:tc>
      </w:tr>
      <w:tr w:rsidR="002E474C" w14:paraId="02763498" w14:textId="77777777">
        <w:tc>
          <w:tcPr>
            <w:tcW w:w="515" w:type="pct"/>
            <w:vAlign w:val="center"/>
          </w:tcPr>
          <w:p w14:paraId="576E862A" w14:textId="77777777" w:rsidR="002E474C" w:rsidRDefault="00000000">
            <w:pPr>
              <w:pStyle w:val="A-"/>
            </w:pPr>
            <w:r>
              <w:t>DA050</w:t>
            </w:r>
          </w:p>
        </w:tc>
        <w:tc>
          <w:tcPr>
            <w:tcW w:w="1093" w:type="pct"/>
            <w:vAlign w:val="center"/>
          </w:tcPr>
          <w:p w14:paraId="461DCAB4" w14:textId="77777777" w:rsidR="002E474C" w:rsidRDefault="00000000">
            <w:pPr>
              <w:pStyle w:val="A-"/>
            </w:pPr>
            <w:r>
              <w:t>1901</w:t>
            </w:r>
            <w:r>
              <w:t>皮带机尾</w:t>
            </w:r>
          </w:p>
        </w:tc>
        <w:tc>
          <w:tcPr>
            <w:tcW w:w="701" w:type="pct"/>
            <w:vAlign w:val="center"/>
          </w:tcPr>
          <w:p w14:paraId="7FF6463C" w14:textId="77777777" w:rsidR="002E474C" w:rsidRDefault="00000000">
            <w:pPr>
              <w:pStyle w:val="A-"/>
            </w:pPr>
            <w:r>
              <w:t>颗粒物</w:t>
            </w:r>
          </w:p>
        </w:tc>
        <w:tc>
          <w:tcPr>
            <w:tcW w:w="803" w:type="pct"/>
            <w:vAlign w:val="center"/>
          </w:tcPr>
          <w:p w14:paraId="25F16CC0" w14:textId="77777777" w:rsidR="002E474C" w:rsidRDefault="00000000">
            <w:pPr>
              <w:pStyle w:val="A-"/>
            </w:pPr>
            <w:r>
              <w:t>布袋除尘</w:t>
            </w:r>
          </w:p>
        </w:tc>
        <w:tc>
          <w:tcPr>
            <w:tcW w:w="725" w:type="pct"/>
            <w:vAlign w:val="center"/>
          </w:tcPr>
          <w:p w14:paraId="39E5CC74" w14:textId="77777777" w:rsidR="002E474C" w:rsidRDefault="00000000">
            <w:pPr>
              <w:pStyle w:val="A-"/>
            </w:pPr>
            <w:r>
              <w:t>8.6</w:t>
            </w:r>
            <w:r>
              <w:t>～</w:t>
            </w:r>
            <w:r>
              <w:t>9.6</w:t>
            </w:r>
          </w:p>
        </w:tc>
        <w:tc>
          <w:tcPr>
            <w:tcW w:w="701" w:type="pct"/>
            <w:vAlign w:val="center"/>
          </w:tcPr>
          <w:p w14:paraId="3FE15BA7" w14:textId="77777777" w:rsidR="002E474C" w:rsidRDefault="00000000">
            <w:pPr>
              <w:pStyle w:val="A-"/>
            </w:pPr>
            <w:r>
              <w:t>20</w:t>
            </w:r>
          </w:p>
        </w:tc>
        <w:tc>
          <w:tcPr>
            <w:tcW w:w="458" w:type="pct"/>
          </w:tcPr>
          <w:p w14:paraId="4385E385" w14:textId="77777777" w:rsidR="002E474C" w:rsidRDefault="00000000">
            <w:pPr>
              <w:pStyle w:val="A-"/>
            </w:pPr>
            <w:r>
              <w:t>达标</w:t>
            </w:r>
          </w:p>
        </w:tc>
      </w:tr>
      <w:tr w:rsidR="002E474C" w14:paraId="2888CE3D" w14:textId="77777777">
        <w:tc>
          <w:tcPr>
            <w:tcW w:w="515" w:type="pct"/>
            <w:vAlign w:val="center"/>
          </w:tcPr>
          <w:p w14:paraId="0BCC6571" w14:textId="77777777" w:rsidR="002E474C" w:rsidRDefault="00000000">
            <w:pPr>
              <w:pStyle w:val="A-"/>
            </w:pPr>
            <w:r>
              <w:t>DA051</w:t>
            </w:r>
          </w:p>
        </w:tc>
        <w:tc>
          <w:tcPr>
            <w:tcW w:w="1093" w:type="pct"/>
            <w:vAlign w:val="center"/>
          </w:tcPr>
          <w:p w14:paraId="3B5C58B3" w14:textId="77777777" w:rsidR="002E474C" w:rsidRDefault="00000000">
            <w:pPr>
              <w:pStyle w:val="A-"/>
            </w:pPr>
            <w:r>
              <w:t>1811</w:t>
            </w:r>
            <w:r>
              <w:t>皮带机尾</w:t>
            </w:r>
          </w:p>
        </w:tc>
        <w:tc>
          <w:tcPr>
            <w:tcW w:w="701" w:type="pct"/>
            <w:vAlign w:val="center"/>
          </w:tcPr>
          <w:p w14:paraId="60C3A1C9" w14:textId="77777777" w:rsidR="002E474C" w:rsidRDefault="00000000">
            <w:pPr>
              <w:pStyle w:val="A-"/>
            </w:pPr>
            <w:r>
              <w:t>颗粒物</w:t>
            </w:r>
          </w:p>
        </w:tc>
        <w:tc>
          <w:tcPr>
            <w:tcW w:w="803" w:type="pct"/>
            <w:vAlign w:val="center"/>
          </w:tcPr>
          <w:p w14:paraId="4C22739C" w14:textId="77777777" w:rsidR="002E474C" w:rsidRDefault="00000000">
            <w:pPr>
              <w:pStyle w:val="A-"/>
            </w:pPr>
            <w:r>
              <w:t>布袋除尘</w:t>
            </w:r>
          </w:p>
        </w:tc>
        <w:tc>
          <w:tcPr>
            <w:tcW w:w="725" w:type="pct"/>
            <w:vAlign w:val="center"/>
          </w:tcPr>
          <w:p w14:paraId="60BA0E79" w14:textId="77777777" w:rsidR="002E474C" w:rsidRDefault="00000000">
            <w:pPr>
              <w:pStyle w:val="A-"/>
            </w:pPr>
            <w:r>
              <w:t>16.2</w:t>
            </w:r>
            <w:r>
              <w:t>～</w:t>
            </w:r>
            <w:r>
              <w:t>19.7</w:t>
            </w:r>
          </w:p>
        </w:tc>
        <w:tc>
          <w:tcPr>
            <w:tcW w:w="701" w:type="pct"/>
            <w:vAlign w:val="center"/>
          </w:tcPr>
          <w:p w14:paraId="5CCA19E3" w14:textId="77777777" w:rsidR="002E474C" w:rsidRDefault="00000000">
            <w:pPr>
              <w:pStyle w:val="A-"/>
            </w:pPr>
            <w:r>
              <w:t>20</w:t>
            </w:r>
          </w:p>
        </w:tc>
        <w:tc>
          <w:tcPr>
            <w:tcW w:w="458" w:type="pct"/>
          </w:tcPr>
          <w:p w14:paraId="505002D0" w14:textId="77777777" w:rsidR="002E474C" w:rsidRDefault="00000000">
            <w:pPr>
              <w:pStyle w:val="A-"/>
            </w:pPr>
            <w:r>
              <w:t>达标</w:t>
            </w:r>
          </w:p>
        </w:tc>
      </w:tr>
      <w:tr w:rsidR="002E474C" w14:paraId="2932C853" w14:textId="77777777">
        <w:tc>
          <w:tcPr>
            <w:tcW w:w="515" w:type="pct"/>
            <w:vAlign w:val="center"/>
          </w:tcPr>
          <w:p w14:paraId="235CCA7C" w14:textId="77777777" w:rsidR="002E474C" w:rsidRDefault="00000000">
            <w:pPr>
              <w:pStyle w:val="A-"/>
            </w:pPr>
            <w:r>
              <w:t>DA052</w:t>
            </w:r>
          </w:p>
        </w:tc>
        <w:tc>
          <w:tcPr>
            <w:tcW w:w="1093" w:type="pct"/>
            <w:vAlign w:val="center"/>
          </w:tcPr>
          <w:p w14:paraId="39D0C619" w14:textId="77777777" w:rsidR="002E474C" w:rsidRDefault="00000000">
            <w:pPr>
              <w:pStyle w:val="A-"/>
              <w:ind w:leftChars="-50" w:left="-105" w:rightChars="-50" w:right="-105"/>
            </w:pPr>
            <w:r>
              <w:t>石灰石堆棚下料口东侧</w:t>
            </w:r>
          </w:p>
        </w:tc>
        <w:tc>
          <w:tcPr>
            <w:tcW w:w="701" w:type="pct"/>
            <w:vAlign w:val="center"/>
          </w:tcPr>
          <w:p w14:paraId="194C78C3" w14:textId="77777777" w:rsidR="002E474C" w:rsidRDefault="00000000">
            <w:pPr>
              <w:pStyle w:val="A-"/>
            </w:pPr>
            <w:r>
              <w:t>颗粒物</w:t>
            </w:r>
          </w:p>
        </w:tc>
        <w:tc>
          <w:tcPr>
            <w:tcW w:w="803" w:type="pct"/>
            <w:vAlign w:val="center"/>
          </w:tcPr>
          <w:p w14:paraId="25C195DA" w14:textId="77777777" w:rsidR="002E474C" w:rsidRDefault="00000000">
            <w:pPr>
              <w:pStyle w:val="A-"/>
            </w:pPr>
            <w:r>
              <w:t>布袋除尘</w:t>
            </w:r>
          </w:p>
        </w:tc>
        <w:tc>
          <w:tcPr>
            <w:tcW w:w="725" w:type="pct"/>
            <w:vAlign w:val="center"/>
          </w:tcPr>
          <w:p w14:paraId="0E9E8AD7" w14:textId="77777777" w:rsidR="002E474C" w:rsidRDefault="00000000">
            <w:pPr>
              <w:pStyle w:val="A-"/>
            </w:pPr>
            <w:r>
              <w:t>1.3</w:t>
            </w:r>
            <w:r>
              <w:t>～</w:t>
            </w:r>
            <w:r>
              <w:t>1.9</w:t>
            </w:r>
          </w:p>
        </w:tc>
        <w:tc>
          <w:tcPr>
            <w:tcW w:w="701" w:type="pct"/>
            <w:vAlign w:val="center"/>
          </w:tcPr>
          <w:p w14:paraId="734107E2" w14:textId="77777777" w:rsidR="002E474C" w:rsidRDefault="00000000">
            <w:pPr>
              <w:pStyle w:val="A-"/>
            </w:pPr>
            <w:r>
              <w:t>20</w:t>
            </w:r>
          </w:p>
        </w:tc>
        <w:tc>
          <w:tcPr>
            <w:tcW w:w="458" w:type="pct"/>
          </w:tcPr>
          <w:p w14:paraId="20D868A2" w14:textId="77777777" w:rsidR="002E474C" w:rsidRDefault="00000000">
            <w:pPr>
              <w:pStyle w:val="A-"/>
            </w:pPr>
            <w:r>
              <w:t>达标</w:t>
            </w:r>
          </w:p>
        </w:tc>
      </w:tr>
      <w:tr w:rsidR="002E474C" w14:paraId="0675FB49" w14:textId="77777777">
        <w:tc>
          <w:tcPr>
            <w:tcW w:w="515" w:type="pct"/>
            <w:vAlign w:val="center"/>
          </w:tcPr>
          <w:p w14:paraId="1C3BD7D8" w14:textId="77777777" w:rsidR="002E474C" w:rsidRDefault="00000000">
            <w:pPr>
              <w:pStyle w:val="A-"/>
            </w:pPr>
            <w:r>
              <w:t>DA053</w:t>
            </w:r>
          </w:p>
        </w:tc>
        <w:tc>
          <w:tcPr>
            <w:tcW w:w="1093" w:type="pct"/>
            <w:vAlign w:val="center"/>
          </w:tcPr>
          <w:p w14:paraId="3ED43C15" w14:textId="77777777" w:rsidR="002E474C" w:rsidRDefault="00000000">
            <w:pPr>
              <w:pStyle w:val="A-"/>
              <w:ind w:leftChars="-25" w:left="-53" w:rightChars="-25" w:right="-53"/>
            </w:pPr>
            <w:r>
              <w:t>石灰石下料口西侧</w:t>
            </w:r>
          </w:p>
        </w:tc>
        <w:tc>
          <w:tcPr>
            <w:tcW w:w="701" w:type="pct"/>
            <w:vAlign w:val="center"/>
          </w:tcPr>
          <w:p w14:paraId="6F11B776" w14:textId="77777777" w:rsidR="002E474C" w:rsidRDefault="00000000">
            <w:pPr>
              <w:pStyle w:val="A-"/>
            </w:pPr>
            <w:r>
              <w:t>颗粒物</w:t>
            </w:r>
          </w:p>
        </w:tc>
        <w:tc>
          <w:tcPr>
            <w:tcW w:w="803" w:type="pct"/>
            <w:vAlign w:val="center"/>
          </w:tcPr>
          <w:p w14:paraId="15B80ECC" w14:textId="77777777" w:rsidR="002E474C" w:rsidRDefault="00000000">
            <w:pPr>
              <w:pStyle w:val="A-"/>
            </w:pPr>
            <w:r>
              <w:t>布袋除尘</w:t>
            </w:r>
          </w:p>
        </w:tc>
        <w:tc>
          <w:tcPr>
            <w:tcW w:w="725" w:type="pct"/>
            <w:vAlign w:val="center"/>
          </w:tcPr>
          <w:p w14:paraId="511C755C" w14:textId="77777777" w:rsidR="002E474C" w:rsidRDefault="00000000">
            <w:pPr>
              <w:pStyle w:val="A-"/>
            </w:pPr>
            <w:r>
              <w:t>4.4</w:t>
            </w:r>
            <w:r>
              <w:t>～</w:t>
            </w:r>
            <w:r>
              <w:t>6.0</w:t>
            </w:r>
          </w:p>
        </w:tc>
        <w:tc>
          <w:tcPr>
            <w:tcW w:w="701" w:type="pct"/>
            <w:vAlign w:val="center"/>
          </w:tcPr>
          <w:p w14:paraId="4BCF2EAD" w14:textId="77777777" w:rsidR="002E474C" w:rsidRDefault="00000000">
            <w:pPr>
              <w:pStyle w:val="A-"/>
            </w:pPr>
            <w:r>
              <w:t>20</w:t>
            </w:r>
          </w:p>
        </w:tc>
        <w:tc>
          <w:tcPr>
            <w:tcW w:w="458" w:type="pct"/>
          </w:tcPr>
          <w:p w14:paraId="663E7E09" w14:textId="77777777" w:rsidR="002E474C" w:rsidRDefault="00000000">
            <w:pPr>
              <w:pStyle w:val="A-"/>
            </w:pPr>
            <w:r>
              <w:t>达标</w:t>
            </w:r>
          </w:p>
        </w:tc>
      </w:tr>
      <w:tr w:rsidR="002E474C" w14:paraId="48C3E6BF" w14:textId="77777777">
        <w:tc>
          <w:tcPr>
            <w:tcW w:w="515" w:type="pct"/>
            <w:vAlign w:val="center"/>
          </w:tcPr>
          <w:p w14:paraId="7735D517" w14:textId="77777777" w:rsidR="002E474C" w:rsidRDefault="00000000">
            <w:pPr>
              <w:pStyle w:val="A-"/>
            </w:pPr>
            <w:r>
              <w:t>DA054</w:t>
            </w:r>
          </w:p>
        </w:tc>
        <w:tc>
          <w:tcPr>
            <w:tcW w:w="1093" w:type="pct"/>
            <w:vAlign w:val="center"/>
          </w:tcPr>
          <w:p w14:paraId="673CCEAF" w14:textId="77777777" w:rsidR="002E474C" w:rsidRDefault="00000000">
            <w:pPr>
              <w:pStyle w:val="A-"/>
            </w:pPr>
            <w:r>
              <w:t>9#</w:t>
            </w:r>
            <w:r>
              <w:t>干粉库底收尘</w:t>
            </w:r>
          </w:p>
        </w:tc>
        <w:tc>
          <w:tcPr>
            <w:tcW w:w="701" w:type="pct"/>
            <w:vAlign w:val="center"/>
          </w:tcPr>
          <w:p w14:paraId="22D20F2E" w14:textId="77777777" w:rsidR="002E474C" w:rsidRDefault="00000000">
            <w:pPr>
              <w:pStyle w:val="A-"/>
            </w:pPr>
            <w:r>
              <w:t>颗粒物</w:t>
            </w:r>
          </w:p>
        </w:tc>
        <w:tc>
          <w:tcPr>
            <w:tcW w:w="803" w:type="pct"/>
            <w:vAlign w:val="center"/>
          </w:tcPr>
          <w:p w14:paraId="6F9D17FF" w14:textId="77777777" w:rsidR="002E474C" w:rsidRDefault="00000000">
            <w:pPr>
              <w:pStyle w:val="A-"/>
            </w:pPr>
            <w:r>
              <w:t>布袋除尘</w:t>
            </w:r>
          </w:p>
        </w:tc>
        <w:tc>
          <w:tcPr>
            <w:tcW w:w="725" w:type="pct"/>
            <w:shd w:val="clear" w:color="auto" w:fill="auto"/>
            <w:vAlign w:val="center"/>
          </w:tcPr>
          <w:p w14:paraId="78AE8BFE" w14:textId="77777777" w:rsidR="002E474C" w:rsidRDefault="00000000">
            <w:pPr>
              <w:pStyle w:val="A-"/>
            </w:pPr>
            <w:r>
              <w:t>—</w:t>
            </w:r>
          </w:p>
        </w:tc>
        <w:tc>
          <w:tcPr>
            <w:tcW w:w="701" w:type="pct"/>
            <w:vAlign w:val="center"/>
          </w:tcPr>
          <w:p w14:paraId="5B3D80F0" w14:textId="77777777" w:rsidR="002E474C" w:rsidRDefault="00000000">
            <w:pPr>
              <w:pStyle w:val="A-"/>
            </w:pPr>
            <w:r>
              <w:t>20</w:t>
            </w:r>
          </w:p>
        </w:tc>
        <w:tc>
          <w:tcPr>
            <w:tcW w:w="458" w:type="pct"/>
            <w:vAlign w:val="center"/>
          </w:tcPr>
          <w:p w14:paraId="61886628" w14:textId="77777777" w:rsidR="002E474C" w:rsidRDefault="00000000">
            <w:pPr>
              <w:pStyle w:val="A-"/>
            </w:pPr>
            <w:r>
              <w:t>—</w:t>
            </w:r>
          </w:p>
        </w:tc>
      </w:tr>
    </w:tbl>
    <w:p w14:paraId="1E77FB8A" w14:textId="77777777" w:rsidR="002E474C" w:rsidRDefault="00000000">
      <w:pPr>
        <w:pStyle w:val="A-z"/>
        <w:spacing w:beforeLines="50" w:before="120" w:line="240" w:lineRule="auto"/>
        <w:ind w:firstLine="420"/>
        <w:rPr>
          <w:color w:val="auto"/>
          <w:sz w:val="21"/>
          <w:szCs w:val="21"/>
        </w:rPr>
      </w:pPr>
      <w:r>
        <w:rPr>
          <w:color w:val="auto"/>
          <w:sz w:val="21"/>
          <w:szCs w:val="21"/>
        </w:rPr>
        <w:t>注：</w:t>
      </w:r>
      <w:r>
        <w:rPr>
          <w:color w:val="auto"/>
          <w:sz w:val="21"/>
          <w:szCs w:val="21"/>
        </w:rPr>
        <w:t>“—”2025</w:t>
      </w:r>
      <w:r>
        <w:rPr>
          <w:color w:val="auto"/>
          <w:sz w:val="21"/>
          <w:szCs w:val="21"/>
        </w:rPr>
        <w:t>年未运行装置，因此未进行自行监测。</w:t>
      </w:r>
    </w:p>
    <w:p w14:paraId="7BF9A1EA" w14:textId="77777777" w:rsidR="002E474C" w:rsidRDefault="00000000">
      <w:pPr>
        <w:pStyle w:val="A-z"/>
        <w:spacing w:beforeLines="50" w:before="120" w:line="240" w:lineRule="auto"/>
        <w:ind w:firstLineChars="300" w:firstLine="630"/>
        <w:rPr>
          <w:color w:val="auto"/>
          <w:sz w:val="21"/>
          <w:szCs w:val="21"/>
        </w:rPr>
      </w:pPr>
      <w:r>
        <w:rPr>
          <w:color w:val="auto"/>
          <w:sz w:val="21"/>
          <w:szCs w:val="21"/>
        </w:rPr>
        <w:t>“/”</w:t>
      </w:r>
      <w:r>
        <w:rPr>
          <w:color w:val="auto"/>
          <w:sz w:val="21"/>
          <w:szCs w:val="21"/>
        </w:rPr>
        <w:t>在线监测项目，仅进行比对监测，未进行手工监测。</w:t>
      </w:r>
    </w:p>
    <w:p w14:paraId="32C58478" w14:textId="77777777" w:rsidR="002E474C" w:rsidRDefault="002E474C">
      <w:pPr>
        <w:pStyle w:val="A-1"/>
        <w:rPr>
          <w:color w:val="auto"/>
        </w:rPr>
      </w:pPr>
    </w:p>
    <w:p w14:paraId="5E77D02D" w14:textId="77777777" w:rsidR="002E474C" w:rsidRDefault="00000000">
      <w:pPr>
        <w:pStyle w:val="A-z"/>
        <w:rPr>
          <w:color w:val="auto"/>
        </w:rPr>
      </w:pPr>
      <w:r>
        <w:rPr>
          <w:color w:val="auto"/>
        </w:rPr>
        <w:t>（</w:t>
      </w:r>
      <w:r>
        <w:rPr>
          <w:color w:val="auto"/>
        </w:rPr>
        <w:t>2</w:t>
      </w:r>
      <w:r>
        <w:rPr>
          <w:color w:val="auto"/>
        </w:rPr>
        <w:t>）无组织废气</w:t>
      </w:r>
    </w:p>
    <w:p w14:paraId="357A2D5C" w14:textId="77777777" w:rsidR="002E474C" w:rsidRDefault="00000000">
      <w:pPr>
        <w:pStyle w:val="A-z"/>
        <w:rPr>
          <w:color w:val="auto"/>
        </w:rPr>
      </w:pPr>
      <w:r>
        <w:rPr>
          <w:color w:val="auto"/>
        </w:rPr>
        <w:t>1</w:t>
      </w:r>
      <w:r>
        <w:rPr>
          <w:color w:val="auto"/>
        </w:rPr>
        <w:t>）厂内采取的无组织废气控制措施</w:t>
      </w:r>
    </w:p>
    <w:p w14:paraId="2B2AE230" w14:textId="333C8F00" w:rsidR="002E474C" w:rsidRDefault="00000000">
      <w:pPr>
        <w:pStyle w:val="A-z"/>
        <w:rPr>
          <w:color w:val="auto"/>
        </w:rPr>
      </w:pPr>
      <w:r>
        <w:rPr>
          <w:color w:val="auto"/>
        </w:rPr>
        <w:t>电石渣干法水泥生产线无组织排放源主要为原辅材料及燃料装卸、堆放、运输过程中产生的扬尘。</w:t>
      </w:r>
      <w:r>
        <w:rPr>
          <w:rFonts w:hint="eastAsia"/>
          <w:color w:val="auto"/>
        </w:rPr>
        <w:t>对照</w:t>
      </w:r>
      <w:r>
        <w:rPr>
          <w:color w:val="auto"/>
        </w:rPr>
        <w:t>《排污许可证申请与核发技术规范</w:t>
      </w:r>
      <w:r>
        <w:rPr>
          <w:color w:val="auto"/>
        </w:rPr>
        <w:t xml:space="preserve"> </w:t>
      </w:r>
      <w:r>
        <w:rPr>
          <w:color w:val="auto"/>
        </w:rPr>
        <w:t>水泥工业》（</w:t>
      </w:r>
      <w:r>
        <w:rPr>
          <w:color w:val="auto"/>
        </w:rPr>
        <w:t>HJ 847-2017</w:t>
      </w:r>
      <w:r>
        <w:rPr>
          <w:color w:val="auto"/>
        </w:rPr>
        <w:t>）</w:t>
      </w:r>
      <w:r>
        <w:rPr>
          <w:rFonts w:hint="eastAsia"/>
          <w:color w:val="auto"/>
        </w:rPr>
        <w:t>无组织排放控制要求，</w:t>
      </w:r>
      <w:r>
        <w:rPr>
          <w:color w:val="auto"/>
        </w:rPr>
        <w:t>厂内现有无组织废气控制措施汇总见表</w:t>
      </w:r>
      <w:r>
        <w:rPr>
          <w:color w:val="auto"/>
        </w:rPr>
        <w:t>3.1-6</w:t>
      </w:r>
      <w:r>
        <w:rPr>
          <w:color w:val="auto"/>
        </w:rPr>
        <w:t>。</w:t>
      </w:r>
    </w:p>
    <w:p w14:paraId="27341505" w14:textId="77777777" w:rsidR="002E474C" w:rsidRDefault="00000000">
      <w:pPr>
        <w:pStyle w:val="A--"/>
        <w:rPr>
          <w:color w:val="auto"/>
        </w:rPr>
      </w:pPr>
      <w:bookmarkStart w:id="117" w:name="_Hlk151317189"/>
      <w:r>
        <w:rPr>
          <w:color w:val="auto"/>
        </w:rPr>
        <w:t>表</w:t>
      </w:r>
      <w:r>
        <w:rPr>
          <w:color w:val="auto"/>
        </w:rPr>
        <w:t xml:space="preserve">3.1-6  </w:t>
      </w:r>
      <w:r>
        <w:rPr>
          <w:color w:val="auto"/>
        </w:rPr>
        <w:t>厂内现有无组织废气控制措施一览表</w:t>
      </w:r>
    </w:p>
    <w:tbl>
      <w:tblPr>
        <w:tblW w:w="5000" w:type="pct"/>
        <w:tblLook w:val="04A0" w:firstRow="1" w:lastRow="0" w:firstColumn="1" w:lastColumn="0" w:noHBand="0" w:noVBand="1"/>
      </w:tblPr>
      <w:tblGrid>
        <w:gridCol w:w="426"/>
        <w:gridCol w:w="845"/>
        <w:gridCol w:w="3687"/>
        <w:gridCol w:w="3338"/>
      </w:tblGrid>
      <w:tr w:rsidR="002E474C" w14:paraId="7295E509" w14:textId="77777777">
        <w:tc>
          <w:tcPr>
            <w:tcW w:w="257" w:type="pct"/>
            <w:tcBorders>
              <w:top w:val="single" w:sz="4" w:space="0" w:color="auto"/>
              <w:left w:val="single" w:sz="4" w:space="0" w:color="auto"/>
              <w:bottom w:val="single" w:sz="4" w:space="0" w:color="auto"/>
              <w:right w:val="single" w:sz="4" w:space="0" w:color="auto"/>
            </w:tcBorders>
            <w:vAlign w:val="center"/>
          </w:tcPr>
          <w:p w14:paraId="14172288" w14:textId="77777777" w:rsidR="002E474C" w:rsidRDefault="00000000">
            <w:pPr>
              <w:pStyle w:val="A-"/>
            </w:pPr>
            <w:r>
              <w:t>序号</w:t>
            </w:r>
          </w:p>
        </w:tc>
        <w:tc>
          <w:tcPr>
            <w:tcW w:w="509" w:type="pct"/>
            <w:tcBorders>
              <w:top w:val="single" w:sz="4" w:space="0" w:color="auto"/>
              <w:left w:val="single" w:sz="4" w:space="0" w:color="auto"/>
              <w:bottom w:val="single" w:sz="4" w:space="0" w:color="auto"/>
              <w:right w:val="single" w:sz="4" w:space="0" w:color="auto"/>
            </w:tcBorders>
          </w:tcPr>
          <w:p w14:paraId="0C44F72D" w14:textId="77777777" w:rsidR="002E474C" w:rsidRDefault="00000000">
            <w:pPr>
              <w:pStyle w:val="A-"/>
            </w:pPr>
            <w:r>
              <w:rPr>
                <w:rFonts w:hint="eastAsia"/>
              </w:rPr>
              <w:t>生产</w:t>
            </w:r>
          </w:p>
          <w:p w14:paraId="56947A58" w14:textId="77777777" w:rsidR="002E474C" w:rsidRDefault="00000000">
            <w:pPr>
              <w:pStyle w:val="A-"/>
            </w:pPr>
            <w:r>
              <w:rPr>
                <w:rFonts w:hint="eastAsia"/>
              </w:rPr>
              <w:t>单元</w:t>
            </w:r>
          </w:p>
        </w:tc>
        <w:tc>
          <w:tcPr>
            <w:tcW w:w="2222" w:type="pct"/>
            <w:tcBorders>
              <w:top w:val="single" w:sz="4" w:space="0" w:color="auto"/>
              <w:left w:val="single" w:sz="4" w:space="0" w:color="auto"/>
              <w:bottom w:val="single" w:sz="4" w:space="0" w:color="auto"/>
              <w:right w:val="single" w:sz="4" w:space="0" w:color="auto"/>
            </w:tcBorders>
            <w:vAlign w:val="center"/>
          </w:tcPr>
          <w:p w14:paraId="192671FD" w14:textId="77777777" w:rsidR="002E474C" w:rsidRDefault="00000000">
            <w:pPr>
              <w:pStyle w:val="A-"/>
            </w:pPr>
            <w:r>
              <w:t>要求</w:t>
            </w:r>
          </w:p>
        </w:tc>
        <w:tc>
          <w:tcPr>
            <w:tcW w:w="2012" w:type="pct"/>
            <w:tcBorders>
              <w:top w:val="single" w:sz="4" w:space="0" w:color="auto"/>
              <w:left w:val="nil"/>
              <w:bottom w:val="single" w:sz="4" w:space="0" w:color="auto"/>
              <w:right w:val="single" w:sz="4" w:space="0" w:color="auto"/>
            </w:tcBorders>
            <w:vAlign w:val="center"/>
          </w:tcPr>
          <w:p w14:paraId="72EFBF96" w14:textId="77777777" w:rsidR="002E474C" w:rsidRDefault="00000000">
            <w:pPr>
              <w:pStyle w:val="A-"/>
            </w:pPr>
            <w:r>
              <w:t>落实情况</w:t>
            </w:r>
          </w:p>
        </w:tc>
      </w:tr>
      <w:tr w:rsidR="002E474C" w14:paraId="113E1917" w14:textId="77777777">
        <w:trPr>
          <w:trHeight w:val="502"/>
        </w:trPr>
        <w:tc>
          <w:tcPr>
            <w:tcW w:w="257" w:type="pct"/>
            <w:tcBorders>
              <w:top w:val="nil"/>
              <w:left w:val="single" w:sz="4" w:space="0" w:color="auto"/>
              <w:bottom w:val="single" w:sz="4" w:space="0" w:color="auto"/>
              <w:right w:val="single" w:sz="4" w:space="0" w:color="auto"/>
            </w:tcBorders>
            <w:vAlign w:val="center"/>
          </w:tcPr>
          <w:p w14:paraId="7B807ABC" w14:textId="77777777" w:rsidR="002E474C" w:rsidRDefault="00000000">
            <w:pPr>
              <w:pStyle w:val="A-"/>
            </w:pPr>
            <w:r>
              <w:t>1</w:t>
            </w:r>
          </w:p>
        </w:tc>
        <w:tc>
          <w:tcPr>
            <w:tcW w:w="509" w:type="pct"/>
            <w:tcBorders>
              <w:top w:val="nil"/>
              <w:left w:val="single" w:sz="4" w:space="0" w:color="auto"/>
              <w:bottom w:val="single" w:sz="4" w:space="0" w:color="auto"/>
              <w:right w:val="single" w:sz="4" w:space="0" w:color="auto"/>
            </w:tcBorders>
          </w:tcPr>
          <w:p w14:paraId="0AF170DE" w14:textId="77777777" w:rsidR="002E474C" w:rsidRDefault="00000000">
            <w:pPr>
              <w:pStyle w:val="A-"/>
            </w:pPr>
            <w:r>
              <w:rPr>
                <w:rFonts w:hint="eastAsia"/>
              </w:rPr>
              <w:t>原辅料堆存</w:t>
            </w:r>
          </w:p>
        </w:tc>
        <w:tc>
          <w:tcPr>
            <w:tcW w:w="2222" w:type="pct"/>
            <w:tcBorders>
              <w:top w:val="nil"/>
              <w:left w:val="single" w:sz="4" w:space="0" w:color="auto"/>
              <w:bottom w:val="single" w:sz="4" w:space="0" w:color="auto"/>
              <w:right w:val="single" w:sz="4" w:space="0" w:color="auto"/>
            </w:tcBorders>
            <w:vAlign w:val="center"/>
          </w:tcPr>
          <w:p w14:paraId="6B839DC8" w14:textId="77777777" w:rsidR="002E474C" w:rsidRDefault="00000000">
            <w:pPr>
              <w:pStyle w:val="A-"/>
            </w:pPr>
            <w:r>
              <w:t>（</w:t>
            </w:r>
            <w:r>
              <w:t>1</w:t>
            </w:r>
            <w:r>
              <w:t>）粉状物料全部密闭储存，其他块石、粘湿物料、浆料等辅材设置不低于堆放物高度的严密围挡，并采取有效覆盖等措施防治扬尘污染</w:t>
            </w:r>
            <w:r>
              <w:rPr>
                <w:rFonts w:hint="eastAsia"/>
              </w:rPr>
              <w:t>。</w:t>
            </w:r>
          </w:p>
        </w:tc>
        <w:tc>
          <w:tcPr>
            <w:tcW w:w="2012" w:type="pct"/>
            <w:tcBorders>
              <w:top w:val="nil"/>
              <w:left w:val="nil"/>
              <w:bottom w:val="single" w:sz="4" w:space="0" w:color="auto"/>
              <w:right w:val="single" w:sz="4" w:space="0" w:color="auto"/>
            </w:tcBorders>
            <w:vAlign w:val="center"/>
          </w:tcPr>
          <w:p w14:paraId="3348F725" w14:textId="77777777" w:rsidR="002E474C" w:rsidRDefault="00000000">
            <w:pPr>
              <w:pStyle w:val="A-"/>
              <w:ind w:leftChars="-25" w:left="-53" w:rightChars="-25" w:right="-53"/>
            </w:pPr>
            <w:r>
              <w:t>厂区内原辅材料以及各类物料均为密封储存</w:t>
            </w:r>
            <w:r>
              <w:rPr>
                <w:rFonts w:hint="eastAsia"/>
              </w:rPr>
              <w:t>。</w:t>
            </w:r>
          </w:p>
        </w:tc>
      </w:tr>
      <w:tr w:rsidR="002E474C" w14:paraId="062BA0B9" w14:textId="77777777">
        <w:trPr>
          <w:trHeight w:val="502"/>
        </w:trPr>
        <w:tc>
          <w:tcPr>
            <w:tcW w:w="257" w:type="pct"/>
            <w:tcBorders>
              <w:top w:val="nil"/>
              <w:left w:val="single" w:sz="4" w:space="0" w:color="auto"/>
              <w:bottom w:val="single" w:sz="4" w:space="0" w:color="auto"/>
              <w:right w:val="single" w:sz="4" w:space="0" w:color="auto"/>
            </w:tcBorders>
            <w:vAlign w:val="center"/>
          </w:tcPr>
          <w:p w14:paraId="1655483F" w14:textId="77777777" w:rsidR="002E474C" w:rsidRDefault="00000000">
            <w:pPr>
              <w:pStyle w:val="A-"/>
            </w:pPr>
            <w:r>
              <w:t>2</w:t>
            </w:r>
          </w:p>
        </w:tc>
        <w:tc>
          <w:tcPr>
            <w:tcW w:w="509" w:type="pct"/>
            <w:tcBorders>
              <w:top w:val="nil"/>
              <w:left w:val="single" w:sz="4" w:space="0" w:color="auto"/>
              <w:bottom w:val="single" w:sz="4" w:space="0" w:color="auto"/>
              <w:right w:val="single" w:sz="4" w:space="0" w:color="auto"/>
            </w:tcBorders>
          </w:tcPr>
          <w:p w14:paraId="60C157E6" w14:textId="77777777" w:rsidR="002E474C" w:rsidRDefault="00000000">
            <w:pPr>
              <w:pStyle w:val="A-"/>
            </w:pPr>
            <w:r>
              <w:rPr>
                <w:rFonts w:hint="eastAsia"/>
              </w:rPr>
              <w:t>原辅料转运</w:t>
            </w:r>
          </w:p>
        </w:tc>
        <w:tc>
          <w:tcPr>
            <w:tcW w:w="2222" w:type="pct"/>
            <w:tcBorders>
              <w:top w:val="nil"/>
              <w:left w:val="single" w:sz="4" w:space="0" w:color="auto"/>
              <w:bottom w:val="single" w:sz="4" w:space="0" w:color="auto"/>
              <w:right w:val="single" w:sz="4" w:space="0" w:color="auto"/>
            </w:tcBorders>
            <w:vAlign w:val="center"/>
          </w:tcPr>
          <w:p w14:paraId="7456098A" w14:textId="77777777" w:rsidR="002E474C" w:rsidRDefault="00000000">
            <w:pPr>
              <w:pStyle w:val="A-"/>
            </w:pPr>
            <w:r>
              <w:rPr>
                <w:rFonts w:hint="eastAsia"/>
              </w:rPr>
              <w:t>（</w:t>
            </w:r>
            <w:r>
              <w:rPr>
                <w:rFonts w:hint="eastAsia"/>
              </w:rPr>
              <w:t>2</w:t>
            </w:r>
            <w:r>
              <w:rPr>
                <w:rFonts w:hint="eastAsia"/>
              </w:rPr>
              <w:t>）运输</w:t>
            </w:r>
            <w:r>
              <w:t>皮带、斗提、斜槽运输，对块石、粘湿物料、浆料等装卸过程也可采取其他有抑尘措施的运输方式，各转载、下料口等产尘点应设置集尘</w:t>
            </w:r>
            <w:r>
              <w:lastRenderedPageBreak/>
              <w:t>罩并配备袋式除尘器，库顶等泄压口配备袋式除尘器</w:t>
            </w:r>
            <w:r>
              <w:rPr>
                <w:rFonts w:hint="eastAsia"/>
              </w:rPr>
              <w:t>。</w:t>
            </w:r>
          </w:p>
        </w:tc>
        <w:tc>
          <w:tcPr>
            <w:tcW w:w="2012" w:type="pct"/>
            <w:tcBorders>
              <w:top w:val="nil"/>
              <w:left w:val="nil"/>
              <w:bottom w:val="single" w:sz="4" w:space="0" w:color="auto"/>
              <w:right w:val="single" w:sz="4" w:space="0" w:color="auto"/>
            </w:tcBorders>
            <w:vAlign w:val="center"/>
          </w:tcPr>
          <w:p w14:paraId="23B8DE0F" w14:textId="77777777" w:rsidR="002E474C" w:rsidRDefault="00000000">
            <w:pPr>
              <w:pStyle w:val="A-"/>
              <w:ind w:leftChars="-25" w:left="-53" w:rightChars="-25" w:right="-53"/>
            </w:pPr>
            <w:r>
              <w:lastRenderedPageBreak/>
              <w:t>物料</w:t>
            </w:r>
            <w:r>
              <w:rPr>
                <w:rFonts w:hint="eastAsia"/>
              </w:rPr>
              <w:t>采用封闭皮带廊道转运，并在</w:t>
            </w:r>
            <w:r>
              <w:t>转运点、下料点等扬尘点设置集尘罩并配备袋式除尘器，库顶等泄压口配备袋式除尘器，含尘气体处理</w:t>
            </w:r>
            <w:r>
              <w:lastRenderedPageBreak/>
              <w:t>后达标排放</w:t>
            </w:r>
            <w:r>
              <w:rPr>
                <w:rFonts w:hint="eastAsia"/>
              </w:rPr>
              <w:t>。</w:t>
            </w:r>
            <w:r>
              <w:t>粉煤灰采用密闭罐车运输。</w:t>
            </w:r>
          </w:p>
        </w:tc>
      </w:tr>
      <w:tr w:rsidR="002E474C" w14:paraId="01E4AE76" w14:textId="77777777">
        <w:trPr>
          <w:trHeight w:val="502"/>
        </w:trPr>
        <w:tc>
          <w:tcPr>
            <w:tcW w:w="257" w:type="pct"/>
            <w:tcBorders>
              <w:top w:val="nil"/>
              <w:left w:val="single" w:sz="4" w:space="0" w:color="auto"/>
              <w:bottom w:val="single" w:sz="4" w:space="0" w:color="auto"/>
              <w:right w:val="single" w:sz="4" w:space="0" w:color="auto"/>
            </w:tcBorders>
            <w:vAlign w:val="center"/>
          </w:tcPr>
          <w:p w14:paraId="52C18052" w14:textId="77777777" w:rsidR="002E474C" w:rsidRDefault="00000000">
            <w:pPr>
              <w:pStyle w:val="A-"/>
            </w:pPr>
            <w:r>
              <w:t>3</w:t>
            </w:r>
          </w:p>
        </w:tc>
        <w:tc>
          <w:tcPr>
            <w:tcW w:w="509" w:type="pct"/>
            <w:tcBorders>
              <w:top w:val="nil"/>
              <w:left w:val="single" w:sz="4" w:space="0" w:color="auto"/>
              <w:bottom w:val="single" w:sz="4" w:space="0" w:color="auto"/>
              <w:right w:val="single" w:sz="4" w:space="0" w:color="auto"/>
            </w:tcBorders>
          </w:tcPr>
          <w:p w14:paraId="64649C95" w14:textId="77777777" w:rsidR="002E474C" w:rsidRDefault="00000000">
            <w:pPr>
              <w:pStyle w:val="A-"/>
            </w:pPr>
            <w:r>
              <w:rPr>
                <w:rFonts w:hint="eastAsia"/>
              </w:rPr>
              <w:t>原煤储存</w:t>
            </w:r>
          </w:p>
        </w:tc>
        <w:tc>
          <w:tcPr>
            <w:tcW w:w="2222" w:type="pct"/>
            <w:tcBorders>
              <w:top w:val="nil"/>
              <w:left w:val="single" w:sz="4" w:space="0" w:color="auto"/>
              <w:bottom w:val="single" w:sz="4" w:space="0" w:color="auto"/>
              <w:right w:val="single" w:sz="4" w:space="0" w:color="auto"/>
            </w:tcBorders>
            <w:vAlign w:val="center"/>
          </w:tcPr>
          <w:p w14:paraId="02D7F552" w14:textId="77777777" w:rsidR="002E474C" w:rsidRDefault="00000000">
            <w:pPr>
              <w:pStyle w:val="A-"/>
            </w:pPr>
            <w:r>
              <w:rPr>
                <w:rFonts w:hint="eastAsia"/>
              </w:rPr>
              <w:t>（</w:t>
            </w:r>
            <w:r>
              <w:rPr>
                <w:rFonts w:hint="eastAsia"/>
              </w:rPr>
              <w:t>3</w:t>
            </w:r>
            <w:r>
              <w:rPr>
                <w:rFonts w:hint="eastAsia"/>
              </w:rPr>
              <w:t>）原煤采用封闭储库，或设置不低于堆放物高度的严密围挡并配套洒水抑</w:t>
            </w:r>
          </w:p>
          <w:p w14:paraId="31EB0190" w14:textId="77777777" w:rsidR="002E474C" w:rsidRDefault="00000000">
            <w:pPr>
              <w:pStyle w:val="A-"/>
            </w:pPr>
            <w:r>
              <w:rPr>
                <w:rFonts w:hint="eastAsia"/>
              </w:rPr>
              <w:t>尘装置。</w:t>
            </w:r>
          </w:p>
        </w:tc>
        <w:tc>
          <w:tcPr>
            <w:tcW w:w="2012" w:type="pct"/>
            <w:tcBorders>
              <w:top w:val="nil"/>
              <w:left w:val="nil"/>
              <w:bottom w:val="single" w:sz="4" w:space="0" w:color="auto"/>
              <w:right w:val="single" w:sz="4" w:space="0" w:color="auto"/>
            </w:tcBorders>
            <w:vAlign w:val="center"/>
          </w:tcPr>
          <w:p w14:paraId="1FA7C2B0" w14:textId="77777777" w:rsidR="002E474C" w:rsidRDefault="00000000">
            <w:pPr>
              <w:pStyle w:val="A-"/>
              <w:ind w:leftChars="-25" w:left="-53" w:rightChars="-25" w:right="-53"/>
            </w:pPr>
            <w:r>
              <w:t>原煤全部密封储存，物料不外堆，进原煤车辆全部进行覆盖同时定期对道路进行洒水，减少扬尘。</w:t>
            </w:r>
          </w:p>
        </w:tc>
      </w:tr>
      <w:tr w:rsidR="002E474C" w14:paraId="796029F5" w14:textId="77777777">
        <w:trPr>
          <w:trHeight w:val="502"/>
        </w:trPr>
        <w:tc>
          <w:tcPr>
            <w:tcW w:w="257" w:type="pct"/>
            <w:tcBorders>
              <w:top w:val="nil"/>
              <w:left w:val="single" w:sz="4" w:space="0" w:color="auto"/>
              <w:bottom w:val="single" w:sz="4" w:space="0" w:color="auto"/>
              <w:right w:val="single" w:sz="4" w:space="0" w:color="auto"/>
            </w:tcBorders>
            <w:vAlign w:val="center"/>
          </w:tcPr>
          <w:p w14:paraId="3D059426" w14:textId="77777777" w:rsidR="002E474C" w:rsidRDefault="00000000">
            <w:pPr>
              <w:pStyle w:val="A-"/>
            </w:pPr>
            <w:r>
              <w:t>4</w:t>
            </w:r>
          </w:p>
        </w:tc>
        <w:tc>
          <w:tcPr>
            <w:tcW w:w="509" w:type="pct"/>
            <w:tcBorders>
              <w:top w:val="nil"/>
              <w:left w:val="single" w:sz="4" w:space="0" w:color="auto"/>
              <w:bottom w:val="single" w:sz="4" w:space="0" w:color="auto"/>
              <w:right w:val="single" w:sz="4" w:space="0" w:color="auto"/>
            </w:tcBorders>
          </w:tcPr>
          <w:p w14:paraId="1A1140E3" w14:textId="77777777" w:rsidR="002E474C" w:rsidRDefault="00000000">
            <w:pPr>
              <w:pStyle w:val="A-"/>
            </w:pPr>
            <w:r>
              <w:rPr>
                <w:rFonts w:hint="eastAsia"/>
              </w:rPr>
              <w:t>煤粉制备及转运</w:t>
            </w:r>
          </w:p>
        </w:tc>
        <w:tc>
          <w:tcPr>
            <w:tcW w:w="2222" w:type="pct"/>
            <w:tcBorders>
              <w:top w:val="nil"/>
              <w:left w:val="single" w:sz="4" w:space="0" w:color="auto"/>
              <w:bottom w:val="single" w:sz="4" w:space="0" w:color="auto"/>
              <w:right w:val="single" w:sz="4" w:space="0" w:color="auto"/>
            </w:tcBorders>
            <w:vAlign w:val="center"/>
          </w:tcPr>
          <w:p w14:paraId="22F30F18" w14:textId="77777777" w:rsidR="002E474C" w:rsidRDefault="00000000">
            <w:pPr>
              <w:pStyle w:val="A-"/>
            </w:pPr>
            <w:r>
              <w:rPr>
                <w:rFonts w:hint="eastAsia"/>
              </w:rPr>
              <w:t>（</w:t>
            </w:r>
            <w:r>
              <w:rPr>
                <w:rFonts w:hint="eastAsia"/>
              </w:rPr>
              <w:t>4</w:t>
            </w:r>
            <w:r>
              <w:rPr>
                <w:rFonts w:hint="eastAsia"/>
              </w:rPr>
              <w:t>）煤粉采用密闭储仓</w:t>
            </w:r>
          </w:p>
          <w:p w14:paraId="6196E242" w14:textId="77777777" w:rsidR="002E474C" w:rsidRDefault="00000000">
            <w:pPr>
              <w:pStyle w:val="A-"/>
            </w:pPr>
            <w:r>
              <w:rPr>
                <w:rFonts w:hint="eastAsia"/>
              </w:rPr>
              <w:t>（</w:t>
            </w:r>
            <w:r>
              <w:rPr>
                <w:rFonts w:hint="eastAsia"/>
              </w:rPr>
              <w:t>5</w:t>
            </w:r>
            <w:r>
              <w:rPr>
                <w:rFonts w:hint="eastAsia"/>
              </w:rPr>
              <w:t>）运输皮带、绞刀、斜槽等应封闭，各转载、破碎、下料口等产尘点应设置集尘罩并配备除尘器。</w:t>
            </w:r>
          </w:p>
        </w:tc>
        <w:tc>
          <w:tcPr>
            <w:tcW w:w="2012" w:type="pct"/>
            <w:tcBorders>
              <w:top w:val="nil"/>
              <w:left w:val="nil"/>
              <w:bottom w:val="single" w:sz="4" w:space="0" w:color="auto"/>
              <w:right w:val="single" w:sz="4" w:space="0" w:color="auto"/>
            </w:tcBorders>
            <w:vAlign w:val="center"/>
          </w:tcPr>
          <w:p w14:paraId="7472F64F" w14:textId="77777777" w:rsidR="002E474C" w:rsidRDefault="00000000">
            <w:pPr>
              <w:pStyle w:val="A-"/>
              <w:ind w:leftChars="-25" w:left="-53" w:rightChars="-25" w:right="-53"/>
            </w:pPr>
            <w:r>
              <w:rPr>
                <w:rFonts w:hint="eastAsia"/>
              </w:rPr>
              <w:t>煤粉采用密闭储仓储存，</w:t>
            </w:r>
            <w:r>
              <w:t>煤粉采用密封储存，运输皮带、绞刀等全部密封，</w:t>
            </w:r>
            <w:r>
              <w:rPr>
                <w:rFonts w:hint="eastAsia"/>
              </w:rPr>
              <w:t>产尘点设机器系统并配套布袋除尘器，</w:t>
            </w:r>
            <w:r>
              <w:t>减少扬尘。</w:t>
            </w:r>
          </w:p>
        </w:tc>
      </w:tr>
      <w:tr w:rsidR="002E474C" w14:paraId="2C29FBFC" w14:textId="77777777">
        <w:trPr>
          <w:trHeight w:val="502"/>
        </w:trPr>
        <w:tc>
          <w:tcPr>
            <w:tcW w:w="257" w:type="pct"/>
            <w:tcBorders>
              <w:top w:val="nil"/>
              <w:left w:val="single" w:sz="4" w:space="0" w:color="auto"/>
              <w:bottom w:val="single" w:sz="4" w:space="0" w:color="auto"/>
              <w:right w:val="single" w:sz="4" w:space="0" w:color="auto"/>
            </w:tcBorders>
            <w:vAlign w:val="center"/>
          </w:tcPr>
          <w:p w14:paraId="7936A68B" w14:textId="77777777" w:rsidR="002E474C" w:rsidRDefault="00000000">
            <w:pPr>
              <w:pStyle w:val="A-"/>
            </w:pPr>
            <w:r>
              <w:t>5</w:t>
            </w:r>
          </w:p>
        </w:tc>
        <w:tc>
          <w:tcPr>
            <w:tcW w:w="509" w:type="pct"/>
            <w:tcBorders>
              <w:top w:val="nil"/>
              <w:left w:val="single" w:sz="4" w:space="0" w:color="auto"/>
              <w:bottom w:val="single" w:sz="4" w:space="0" w:color="auto"/>
              <w:right w:val="single" w:sz="4" w:space="0" w:color="auto"/>
            </w:tcBorders>
          </w:tcPr>
          <w:p w14:paraId="40A01D27" w14:textId="77777777" w:rsidR="002E474C" w:rsidRDefault="00000000">
            <w:pPr>
              <w:pStyle w:val="A-"/>
            </w:pPr>
            <w:r>
              <w:rPr>
                <w:rFonts w:hint="eastAsia"/>
              </w:rPr>
              <w:t>熟料储存</w:t>
            </w:r>
          </w:p>
        </w:tc>
        <w:tc>
          <w:tcPr>
            <w:tcW w:w="2222" w:type="pct"/>
            <w:tcBorders>
              <w:top w:val="nil"/>
              <w:left w:val="single" w:sz="4" w:space="0" w:color="auto"/>
              <w:bottom w:val="single" w:sz="4" w:space="0" w:color="auto"/>
              <w:right w:val="single" w:sz="4" w:space="0" w:color="auto"/>
            </w:tcBorders>
            <w:vAlign w:val="center"/>
          </w:tcPr>
          <w:p w14:paraId="598B4858" w14:textId="77777777" w:rsidR="002E474C" w:rsidRDefault="00000000">
            <w:pPr>
              <w:pStyle w:val="A-"/>
            </w:pPr>
            <w:r>
              <w:rPr>
                <w:rFonts w:hint="eastAsia"/>
              </w:rPr>
              <w:t>（</w:t>
            </w:r>
            <w:r>
              <w:rPr>
                <w:rFonts w:hint="eastAsia"/>
              </w:rPr>
              <w:t>6</w:t>
            </w:r>
            <w:r>
              <w:rPr>
                <w:rFonts w:hint="eastAsia"/>
              </w:rPr>
              <w:t>）熟料封闭储存，或者设置不低于堆放物高度的严密围挡存储，并采取有效覆盖等措施防治扬尘污染。</w:t>
            </w:r>
          </w:p>
        </w:tc>
        <w:tc>
          <w:tcPr>
            <w:tcW w:w="2012" w:type="pct"/>
            <w:tcBorders>
              <w:top w:val="nil"/>
              <w:left w:val="nil"/>
              <w:bottom w:val="single" w:sz="4" w:space="0" w:color="auto"/>
              <w:right w:val="single" w:sz="4" w:space="0" w:color="auto"/>
            </w:tcBorders>
            <w:vAlign w:val="center"/>
          </w:tcPr>
          <w:p w14:paraId="4F633661" w14:textId="77777777" w:rsidR="002E474C" w:rsidRDefault="00000000">
            <w:pPr>
              <w:pStyle w:val="A-"/>
              <w:ind w:leftChars="-25" w:left="-53" w:rightChars="-25" w:right="-53"/>
            </w:pPr>
            <w:r>
              <w:rPr>
                <w:rFonts w:hint="eastAsia"/>
              </w:rPr>
              <w:t>熟料采用封闭熟料大棚储存</w:t>
            </w:r>
          </w:p>
        </w:tc>
      </w:tr>
      <w:tr w:rsidR="002E474C" w14:paraId="6AB13890" w14:textId="77777777">
        <w:trPr>
          <w:trHeight w:val="502"/>
        </w:trPr>
        <w:tc>
          <w:tcPr>
            <w:tcW w:w="257" w:type="pct"/>
            <w:tcBorders>
              <w:top w:val="nil"/>
              <w:left w:val="single" w:sz="4" w:space="0" w:color="auto"/>
              <w:bottom w:val="single" w:sz="4" w:space="0" w:color="auto"/>
              <w:right w:val="single" w:sz="4" w:space="0" w:color="auto"/>
            </w:tcBorders>
            <w:vAlign w:val="center"/>
          </w:tcPr>
          <w:p w14:paraId="61B4B6BB" w14:textId="77777777" w:rsidR="002E474C" w:rsidRDefault="00000000">
            <w:pPr>
              <w:pStyle w:val="A-"/>
            </w:pPr>
            <w:r>
              <w:t>6</w:t>
            </w:r>
          </w:p>
        </w:tc>
        <w:tc>
          <w:tcPr>
            <w:tcW w:w="509" w:type="pct"/>
            <w:tcBorders>
              <w:top w:val="nil"/>
              <w:left w:val="single" w:sz="4" w:space="0" w:color="auto"/>
              <w:bottom w:val="single" w:sz="4" w:space="0" w:color="auto"/>
              <w:right w:val="single" w:sz="4" w:space="0" w:color="auto"/>
            </w:tcBorders>
          </w:tcPr>
          <w:p w14:paraId="6CD30902" w14:textId="77777777" w:rsidR="002E474C" w:rsidRDefault="00000000">
            <w:pPr>
              <w:pStyle w:val="A-"/>
            </w:pPr>
            <w:r>
              <w:rPr>
                <w:rFonts w:hint="eastAsia"/>
              </w:rPr>
              <w:t>熟料输送及转运</w:t>
            </w:r>
          </w:p>
        </w:tc>
        <w:tc>
          <w:tcPr>
            <w:tcW w:w="2222" w:type="pct"/>
            <w:tcBorders>
              <w:top w:val="nil"/>
              <w:left w:val="single" w:sz="4" w:space="0" w:color="auto"/>
              <w:bottom w:val="single" w:sz="4" w:space="0" w:color="auto"/>
              <w:right w:val="single" w:sz="4" w:space="0" w:color="auto"/>
            </w:tcBorders>
            <w:vAlign w:val="center"/>
          </w:tcPr>
          <w:p w14:paraId="770D9333" w14:textId="77777777" w:rsidR="002E474C" w:rsidRDefault="00000000">
            <w:pPr>
              <w:pStyle w:val="A-"/>
            </w:pPr>
            <w:r>
              <w:rPr>
                <w:rFonts w:hint="eastAsia"/>
              </w:rPr>
              <w:t>（</w:t>
            </w:r>
            <w:r>
              <w:rPr>
                <w:rFonts w:hint="eastAsia"/>
              </w:rPr>
              <w:t>7</w:t>
            </w:r>
            <w:r>
              <w:rPr>
                <w:rFonts w:hint="eastAsia"/>
              </w:rPr>
              <w:t>）运输皮带、斗提等应封闭，各转载、下料口等产尘点应设置集尘罩并配置袋式除尘器，库顶等泄压口应配备袋式除尘器。</w:t>
            </w:r>
          </w:p>
          <w:p w14:paraId="5ED506EF" w14:textId="77777777" w:rsidR="002E474C" w:rsidRDefault="00000000">
            <w:pPr>
              <w:pStyle w:val="A-"/>
            </w:pPr>
            <w:r>
              <w:rPr>
                <w:rFonts w:hint="eastAsia"/>
              </w:rPr>
              <w:t>（</w:t>
            </w:r>
            <w:r>
              <w:rPr>
                <w:rFonts w:hint="eastAsia"/>
              </w:rPr>
              <w:t>8</w:t>
            </w:r>
            <w:r>
              <w:rPr>
                <w:rFonts w:hint="eastAsia"/>
              </w:rPr>
              <w:t>）熟料散装车辆应采用封闭或覆盖等抑尘措施。</w:t>
            </w:r>
          </w:p>
        </w:tc>
        <w:tc>
          <w:tcPr>
            <w:tcW w:w="2012" w:type="pct"/>
            <w:tcBorders>
              <w:top w:val="nil"/>
              <w:left w:val="nil"/>
              <w:bottom w:val="single" w:sz="4" w:space="0" w:color="auto"/>
              <w:right w:val="single" w:sz="4" w:space="0" w:color="auto"/>
            </w:tcBorders>
            <w:vAlign w:val="center"/>
          </w:tcPr>
          <w:p w14:paraId="2D77DEF5" w14:textId="77777777" w:rsidR="002E474C" w:rsidRDefault="00000000">
            <w:pPr>
              <w:pStyle w:val="A-"/>
              <w:ind w:leftChars="-25" w:left="-53" w:rightChars="-25" w:right="-53"/>
            </w:pPr>
            <w:r>
              <w:t>熟料</w:t>
            </w:r>
            <w:r>
              <w:rPr>
                <w:rFonts w:hint="eastAsia"/>
              </w:rPr>
              <w:t>在熟料大棚</w:t>
            </w:r>
            <w:r>
              <w:t>密封储存，</w:t>
            </w:r>
            <w:r>
              <w:rPr>
                <w:rFonts w:hint="eastAsia"/>
              </w:rPr>
              <w:t>采用封闭皮带廊道转运，</w:t>
            </w:r>
            <w:r>
              <w:t>进下料口、出下料口全部配置</w:t>
            </w:r>
            <w:r>
              <w:rPr>
                <w:rFonts w:hint="eastAsia"/>
              </w:rPr>
              <w:t>及其设施与布袋除尘器</w:t>
            </w:r>
            <w:r>
              <w:t>，熟料严禁外堆，减少扬尘。熟料发运出厂要求全部进行</w:t>
            </w:r>
            <w:r>
              <w:rPr>
                <w:rFonts w:hint="eastAsia"/>
              </w:rPr>
              <w:t>篷布</w:t>
            </w:r>
            <w:r>
              <w:t>覆盖出厂。</w:t>
            </w:r>
          </w:p>
        </w:tc>
      </w:tr>
      <w:tr w:rsidR="002E474C" w14:paraId="67B53DC4" w14:textId="77777777">
        <w:trPr>
          <w:trHeight w:val="502"/>
        </w:trPr>
        <w:tc>
          <w:tcPr>
            <w:tcW w:w="257" w:type="pct"/>
            <w:tcBorders>
              <w:top w:val="nil"/>
              <w:left w:val="single" w:sz="4" w:space="0" w:color="auto"/>
              <w:bottom w:val="single" w:sz="4" w:space="0" w:color="auto"/>
              <w:right w:val="single" w:sz="4" w:space="0" w:color="auto"/>
            </w:tcBorders>
            <w:vAlign w:val="center"/>
          </w:tcPr>
          <w:p w14:paraId="2BD3EB2B" w14:textId="77777777" w:rsidR="002E474C" w:rsidRDefault="00000000">
            <w:pPr>
              <w:pStyle w:val="A-"/>
            </w:pPr>
            <w:r>
              <w:t>7</w:t>
            </w:r>
          </w:p>
        </w:tc>
        <w:tc>
          <w:tcPr>
            <w:tcW w:w="509" w:type="pct"/>
            <w:tcBorders>
              <w:top w:val="nil"/>
              <w:left w:val="single" w:sz="4" w:space="0" w:color="auto"/>
              <w:bottom w:val="single" w:sz="4" w:space="0" w:color="auto"/>
              <w:right w:val="single" w:sz="4" w:space="0" w:color="auto"/>
            </w:tcBorders>
          </w:tcPr>
          <w:p w14:paraId="7BF197F3" w14:textId="77777777" w:rsidR="002E474C" w:rsidRDefault="00000000">
            <w:pPr>
              <w:pStyle w:val="A-"/>
            </w:pPr>
            <w:r>
              <w:rPr>
                <w:rFonts w:hint="eastAsia"/>
              </w:rPr>
              <w:t>脱硝</w:t>
            </w:r>
          </w:p>
        </w:tc>
        <w:tc>
          <w:tcPr>
            <w:tcW w:w="2222" w:type="pct"/>
            <w:tcBorders>
              <w:top w:val="nil"/>
              <w:left w:val="single" w:sz="4" w:space="0" w:color="auto"/>
              <w:bottom w:val="single" w:sz="4" w:space="0" w:color="auto"/>
              <w:right w:val="single" w:sz="4" w:space="0" w:color="auto"/>
            </w:tcBorders>
            <w:vAlign w:val="center"/>
          </w:tcPr>
          <w:p w14:paraId="7E5F427B" w14:textId="77777777" w:rsidR="002E474C" w:rsidRDefault="00000000">
            <w:pPr>
              <w:pStyle w:val="A-"/>
            </w:pPr>
            <w:r>
              <w:rPr>
                <w:rFonts w:hint="eastAsia"/>
              </w:rPr>
              <w:t>（</w:t>
            </w:r>
            <w:r>
              <w:rPr>
                <w:rFonts w:hint="eastAsia"/>
              </w:rPr>
              <w:t>9</w:t>
            </w:r>
            <w:r>
              <w:rPr>
                <w:rFonts w:hint="eastAsia"/>
              </w:rPr>
              <w:t>）氨水用全封闭罐车运输、配氨气回收或吸收回用装置、氨罐区设氨气泄漏检测设施。</w:t>
            </w:r>
          </w:p>
        </w:tc>
        <w:tc>
          <w:tcPr>
            <w:tcW w:w="2012" w:type="pct"/>
            <w:tcBorders>
              <w:top w:val="nil"/>
              <w:left w:val="nil"/>
              <w:bottom w:val="single" w:sz="4" w:space="0" w:color="auto"/>
              <w:right w:val="single" w:sz="4" w:space="0" w:color="auto"/>
            </w:tcBorders>
            <w:vAlign w:val="center"/>
          </w:tcPr>
          <w:p w14:paraId="2786569B" w14:textId="77777777" w:rsidR="002E474C" w:rsidRDefault="00000000">
            <w:pPr>
              <w:pStyle w:val="A-"/>
              <w:ind w:leftChars="-25" w:left="-53" w:rightChars="-25" w:right="-53"/>
            </w:pPr>
            <w:r>
              <w:t>氨水进厂使用全封闭罐车运输，氨水罐区域配氨气回收装置，设氨气泄漏检测设施。</w:t>
            </w:r>
          </w:p>
        </w:tc>
      </w:tr>
      <w:tr w:rsidR="002E474C" w14:paraId="3547671C" w14:textId="77777777">
        <w:trPr>
          <w:trHeight w:val="502"/>
        </w:trPr>
        <w:tc>
          <w:tcPr>
            <w:tcW w:w="257" w:type="pct"/>
            <w:tcBorders>
              <w:top w:val="nil"/>
              <w:left w:val="single" w:sz="4" w:space="0" w:color="auto"/>
              <w:bottom w:val="single" w:sz="4" w:space="0" w:color="auto"/>
              <w:right w:val="single" w:sz="4" w:space="0" w:color="auto"/>
            </w:tcBorders>
            <w:vAlign w:val="center"/>
          </w:tcPr>
          <w:p w14:paraId="2F0F70A8" w14:textId="77777777" w:rsidR="002E474C" w:rsidRDefault="00000000">
            <w:pPr>
              <w:pStyle w:val="A-"/>
            </w:pPr>
            <w:r>
              <w:t>8</w:t>
            </w:r>
          </w:p>
        </w:tc>
        <w:tc>
          <w:tcPr>
            <w:tcW w:w="509" w:type="pct"/>
            <w:tcBorders>
              <w:top w:val="nil"/>
              <w:left w:val="single" w:sz="4" w:space="0" w:color="auto"/>
              <w:bottom w:val="single" w:sz="4" w:space="0" w:color="auto"/>
              <w:right w:val="single" w:sz="4" w:space="0" w:color="auto"/>
            </w:tcBorders>
          </w:tcPr>
          <w:p w14:paraId="7E619872" w14:textId="77777777" w:rsidR="002E474C" w:rsidRDefault="00000000">
            <w:pPr>
              <w:pStyle w:val="A-"/>
            </w:pPr>
            <w:r>
              <w:rPr>
                <w:rFonts w:hint="eastAsia"/>
              </w:rPr>
              <w:t>水泥辅料堆存</w:t>
            </w:r>
          </w:p>
        </w:tc>
        <w:tc>
          <w:tcPr>
            <w:tcW w:w="2222" w:type="pct"/>
            <w:tcBorders>
              <w:top w:val="nil"/>
              <w:left w:val="single" w:sz="4" w:space="0" w:color="auto"/>
              <w:bottom w:val="single" w:sz="4" w:space="0" w:color="auto"/>
              <w:right w:val="single" w:sz="4" w:space="0" w:color="auto"/>
            </w:tcBorders>
            <w:vAlign w:val="center"/>
          </w:tcPr>
          <w:p w14:paraId="01224F32" w14:textId="77777777" w:rsidR="002E474C" w:rsidRDefault="00000000">
            <w:pPr>
              <w:pStyle w:val="A-"/>
            </w:pPr>
            <w:r>
              <w:rPr>
                <w:rFonts w:hint="eastAsia"/>
              </w:rPr>
              <w:t>（</w:t>
            </w:r>
            <w:r>
              <w:rPr>
                <w:rFonts w:hint="eastAsia"/>
              </w:rPr>
              <w:t>1</w:t>
            </w:r>
            <w:r>
              <w:rPr>
                <w:rFonts w:hint="eastAsia"/>
              </w:rPr>
              <w:t>）粉状物料全部密闭储存，其他块石、粘湿物料、浆料等辅材设置不低于堆放物高度的严密围挡，并采取有效覆盖等措施防治扬尘污染。</w:t>
            </w:r>
          </w:p>
          <w:p w14:paraId="1C44D55B" w14:textId="77777777" w:rsidR="002E474C" w:rsidRDefault="00000000">
            <w:pPr>
              <w:pStyle w:val="A-"/>
            </w:pPr>
            <w:r>
              <w:rPr>
                <w:rFonts w:hint="eastAsia"/>
              </w:rPr>
              <w:t>（</w:t>
            </w:r>
            <w:r>
              <w:rPr>
                <w:rFonts w:hint="eastAsia"/>
              </w:rPr>
              <w:t>2</w:t>
            </w:r>
            <w:r>
              <w:rPr>
                <w:rFonts w:hint="eastAsia"/>
              </w:rPr>
              <w:t>）封闭式皮带、斗提、斜槽运输，对块石、粘湿物料、浆料等装卸过程也可采取其他有抑尘措施的运输方式，各转载、下料口等产尘点应设置集尘罩并配备袋式除尘器，库顶等泄压口配备袋式除尘器。</w:t>
            </w:r>
          </w:p>
          <w:p w14:paraId="17B9D3A3" w14:textId="77777777" w:rsidR="002E474C" w:rsidRDefault="00000000">
            <w:pPr>
              <w:pStyle w:val="A-"/>
            </w:pPr>
            <w:r>
              <w:rPr>
                <w:rFonts w:hint="eastAsia"/>
              </w:rPr>
              <w:t>（</w:t>
            </w:r>
            <w:r>
              <w:rPr>
                <w:rFonts w:hint="eastAsia"/>
              </w:rPr>
              <w:t>3</w:t>
            </w:r>
            <w:r>
              <w:rPr>
                <w:rFonts w:hint="eastAsia"/>
              </w:rPr>
              <w:t>）粉煤灰采用密闭罐车运输</w:t>
            </w:r>
          </w:p>
        </w:tc>
        <w:tc>
          <w:tcPr>
            <w:tcW w:w="2012" w:type="pct"/>
            <w:tcBorders>
              <w:top w:val="nil"/>
              <w:left w:val="nil"/>
              <w:bottom w:val="single" w:sz="4" w:space="0" w:color="auto"/>
              <w:right w:val="single" w:sz="4" w:space="0" w:color="auto"/>
            </w:tcBorders>
            <w:vAlign w:val="center"/>
          </w:tcPr>
          <w:p w14:paraId="4EF8CF72" w14:textId="77777777" w:rsidR="002E474C" w:rsidRDefault="00000000">
            <w:pPr>
              <w:pStyle w:val="A-"/>
              <w:ind w:leftChars="-25" w:left="-53" w:rightChars="-25" w:right="-53"/>
            </w:pPr>
            <w:r>
              <w:rPr>
                <w:rFonts w:hint="eastAsia"/>
              </w:rPr>
              <w:t>（</w:t>
            </w:r>
            <w:r>
              <w:rPr>
                <w:rFonts w:hint="eastAsia"/>
              </w:rPr>
              <w:t>1</w:t>
            </w:r>
            <w:r>
              <w:rPr>
                <w:rFonts w:hint="eastAsia"/>
              </w:rPr>
              <w:t>）</w:t>
            </w:r>
            <w:r>
              <w:t>厂区内原辅材料以及各类物料均为密封储存</w:t>
            </w:r>
            <w:r>
              <w:rPr>
                <w:rFonts w:hint="eastAsia"/>
              </w:rPr>
              <w:t>。</w:t>
            </w:r>
          </w:p>
          <w:p w14:paraId="3A3B2597" w14:textId="77777777" w:rsidR="002E474C" w:rsidRDefault="00000000">
            <w:pPr>
              <w:pStyle w:val="A-"/>
              <w:ind w:leftChars="-25" w:left="-53" w:rightChars="-25" w:right="-53"/>
            </w:pPr>
            <w:r>
              <w:rPr>
                <w:rFonts w:hint="eastAsia"/>
              </w:rPr>
              <w:t>（</w:t>
            </w:r>
            <w:r>
              <w:rPr>
                <w:rFonts w:hint="eastAsia"/>
              </w:rPr>
              <w:t>2</w:t>
            </w:r>
            <w:r>
              <w:rPr>
                <w:rFonts w:hint="eastAsia"/>
              </w:rPr>
              <w:t>）</w:t>
            </w:r>
            <w:r>
              <w:t>物料转运点、下料点等扬尘点设置集尘罩并配备袋式除尘器，库顶等泄压口配备袋式除尘器，含尘气体处理后达标排放</w:t>
            </w:r>
            <w:r>
              <w:rPr>
                <w:rFonts w:hint="eastAsia"/>
              </w:rPr>
              <w:t>。</w:t>
            </w:r>
          </w:p>
          <w:p w14:paraId="0A1DD37F" w14:textId="77777777" w:rsidR="002E474C" w:rsidRDefault="00000000">
            <w:pPr>
              <w:pStyle w:val="A-"/>
              <w:ind w:leftChars="-25" w:left="-53" w:rightChars="-25" w:right="-53"/>
            </w:pPr>
            <w:r>
              <w:rPr>
                <w:rFonts w:hint="eastAsia"/>
              </w:rPr>
              <w:t>（</w:t>
            </w:r>
            <w:r>
              <w:rPr>
                <w:rFonts w:hint="eastAsia"/>
              </w:rPr>
              <w:t>3</w:t>
            </w:r>
            <w:r>
              <w:rPr>
                <w:rFonts w:hint="eastAsia"/>
              </w:rPr>
              <w:t>）</w:t>
            </w:r>
            <w:r>
              <w:t>粉煤灰采用密闭罐车运输。</w:t>
            </w:r>
          </w:p>
        </w:tc>
      </w:tr>
      <w:tr w:rsidR="002E474C" w14:paraId="105942D9" w14:textId="77777777">
        <w:trPr>
          <w:trHeight w:val="502"/>
        </w:trPr>
        <w:tc>
          <w:tcPr>
            <w:tcW w:w="257" w:type="pct"/>
            <w:tcBorders>
              <w:top w:val="nil"/>
              <w:left w:val="single" w:sz="4" w:space="0" w:color="auto"/>
              <w:bottom w:val="single" w:sz="4" w:space="0" w:color="auto"/>
              <w:right w:val="single" w:sz="4" w:space="0" w:color="auto"/>
            </w:tcBorders>
            <w:vAlign w:val="center"/>
          </w:tcPr>
          <w:p w14:paraId="0F4B6AF3" w14:textId="77777777" w:rsidR="002E474C" w:rsidRDefault="00000000">
            <w:pPr>
              <w:pStyle w:val="A-"/>
            </w:pPr>
            <w:r>
              <w:t>9</w:t>
            </w:r>
          </w:p>
        </w:tc>
        <w:tc>
          <w:tcPr>
            <w:tcW w:w="509" w:type="pct"/>
            <w:tcBorders>
              <w:top w:val="nil"/>
              <w:left w:val="single" w:sz="4" w:space="0" w:color="auto"/>
              <w:bottom w:val="single" w:sz="4" w:space="0" w:color="auto"/>
              <w:right w:val="single" w:sz="4" w:space="0" w:color="auto"/>
            </w:tcBorders>
          </w:tcPr>
          <w:p w14:paraId="5B52B495" w14:textId="77777777" w:rsidR="002E474C" w:rsidRDefault="00000000">
            <w:pPr>
              <w:pStyle w:val="A-"/>
            </w:pPr>
            <w:r>
              <w:rPr>
                <w:rFonts w:hint="eastAsia"/>
              </w:rPr>
              <w:t>水泥散装</w:t>
            </w:r>
          </w:p>
        </w:tc>
        <w:tc>
          <w:tcPr>
            <w:tcW w:w="2222" w:type="pct"/>
            <w:tcBorders>
              <w:top w:val="nil"/>
              <w:left w:val="single" w:sz="4" w:space="0" w:color="auto"/>
              <w:bottom w:val="single" w:sz="4" w:space="0" w:color="auto"/>
              <w:right w:val="single" w:sz="4" w:space="0" w:color="auto"/>
            </w:tcBorders>
            <w:vAlign w:val="center"/>
          </w:tcPr>
          <w:p w14:paraId="0EE69CD6" w14:textId="77777777" w:rsidR="002E474C" w:rsidRDefault="00000000">
            <w:pPr>
              <w:pStyle w:val="A-"/>
            </w:pPr>
            <w:r>
              <w:rPr>
                <w:rFonts w:hint="eastAsia"/>
              </w:rPr>
              <w:t>（</w:t>
            </w:r>
            <w:r>
              <w:rPr>
                <w:rFonts w:hint="eastAsia"/>
              </w:rPr>
              <w:t>4</w:t>
            </w:r>
            <w:r>
              <w:rPr>
                <w:rFonts w:hint="eastAsia"/>
              </w:rPr>
              <w:t>）水泥散装采用密闭罐车，散装应采用带抽风口的散装卸料装置，物料装</w:t>
            </w:r>
          </w:p>
          <w:p w14:paraId="401B7603" w14:textId="77777777" w:rsidR="002E474C" w:rsidRDefault="00000000">
            <w:pPr>
              <w:pStyle w:val="A-"/>
            </w:pPr>
            <w:r>
              <w:rPr>
                <w:rFonts w:hint="eastAsia"/>
              </w:rPr>
              <w:t>车与除尘设施同步运行。</w:t>
            </w:r>
          </w:p>
        </w:tc>
        <w:tc>
          <w:tcPr>
            <w:tcW w:w="2012" w:type="pct"/>
            <w:tcBorders>
              <w:top w:val="nil"/>
              <w:left w:val="nil"/>
              <w:bottom w:val="single" w:sz="4" w:space="0" w:color="auto"/>
              <w:right w:val="single" w:sz="4" w:space="0" w:color="auto"/>
            </w:tcBorders>
            <w:vAlign w:val="center"/>
          </w:tcPr>
          <w:p w14:paraId="788B3ABC" w14:textId="77777777" w:rsidR="002E474C" w:rsidRDefault="00000000">
            <w:pPr>
              <w:pStyle w:val="A-"/>
              <w:ind w:leftChars="-25" w:left="-53" w:rightChars="-25" w:right="-53"/>
            </w:pPr>
            <w:r>
              <w:t>（</w:t>
            </w:r>
            <w:r>
              <w:t>1</w:t>
            </w:r>
            <w:r>
              <w:t>）水泥散装采取封闭罐车运输，散装装车设施配置高效脉冲袋式除尘器并带有排气筒；（</w:t>
            </w:r>
            <w:r>
              <w:t>2</w:t>
            </w:r>
            <w:r>
              <w:t>）物料装车与除尘同步进行，抽取的气体除尘后排放。</w:t>
            </w:r>
          </w:p>
        </w:tc>
      </w:tr>
      <w:tr w:rsidR="002E474C" w14:paraId="6AEBEEAF" w14:textId="77777777">
        <w:trPr>
          <w:trHeight w:val="502"/>
        </w:trPr>
        <w:tc>
          <w:tcPr>
            <w:tcW w:w="257" w:type="pct"/>
            <w:tcBorders>
              <w:top w:val="nil"/>
              <w:left w:val="single" w:sz="4" w:space="0" w:color="auto"/>
              <w:bottom w:val="single" w:sz="4" w:space="0" w:color="auto"/>
              <w:right w:val="single" w:sz="4" w:space="0" w:color="auto"/>
            </w:tcBorders>
            <w:vAlign w:val="center"/>
          </w:tcPr>
          <w:p w14:paraId="4B663EBF" w14:textId="77777777" w:rsidR="002E474C" w:rsidRDefault="00000000">
            <w:pPr>
              <w:pStyle w:val="A-"/>
            </w:pPr>
            <w:r>
              <w:rPr>
                <w:rFonts w:hint="eastAsia"/>
              </w:rPr>
              <w:t>10</w:t>
            </w:r>
          </w:p>
        </w:tc>
        <w:tc>
          <w:tcPr>
            <w:tcW w:w="509" w:type="pct"/>
            <w:tcBorders>
              <w:top w:val="nil"/>
              <w:left w:val="single" w:sz="4" w:space="0" w:color="auto"/>
              <w:bottom w:val="single" w:sz="4" w:space="0" w:color="auto"/>
              <w:right w:val="single" w:sz="4" w:space="0" w:color="auto"/>
            </w:tcBorders>
          </w:tcPr>
          <w:p w14:paraId="2C81FCE8" w14:textId="77777777" w:rsidR="002E474C" w:rsidRDefault="00000000">
            <w:pPr>
              <w:pStyle w:val="A-"/>
            </w:pPr>
            <w:r>
              <w:rPr>
                <w:rFonts w:hint="eastAsia"/>
              </w:rPr>
              <w:t>包装运输</w:t>
            </w:r>
          </w:p>
        </w:tc>
        <w:tc>
          <w:tcPr>
            <w:tcW w:w="2222" w:type="pct"/>
            <w:tcBorders>
              <w:top w:val="nil"/>
              <w:left w:val="single" w:sz="4" w:space="0" w:color="auto"/>
              <w:bottom w:val="single" w:sz="4" w:space="0" w:color="auto"/>
              <w:right w:val="single" w:sz="4" w:space="0" w:color="auto"/>
            </w:tcBorders>
            <w:vAlign w:val="center"/>
          </w:tcPr>
          <w:p w14:paraId="11D009C1" w14:textId="77777777" w:rsidR="002E474C" w:rsidRDefault="00000000">
            <w:pPr>
              <w:pStyle w:val="A-"/>
            </w:pPr>
            <w:r>
              <w:rPr>
                <w:rFonts w:hint="eastAsia"/>
              </w:rPr>
              <w:t>（</w:t>
            </w:r>
            <w:r>
              <w:rPr>
                <w:rFonts w:hint="eastAsia"/>
              </w:rPr>
              <w:t>5</w:t>
            </w:r>
            <w:r>
              <w:rPr>
                <w:rFonts w:hint="eastAsia"/>
              </w:rPr>
              <w:t>）包装车间全封闭；</w:t>
            </w:r>
          </w:p>
          <w:p w14:paraId="7512F0CD" w14:textId="77777777" w:rsidR="002E474C" w:rsidRDefault="00000000">
            <w:pPr>
              <w:pStyle w:val="A-"/>
            </w:pPr>
            <w:r>
              <w:rPr>
                <w:rFonts w:hint="eastAsia"/>
              </w:rPr>
              <w:t>（</w:t>
            </w:r>
            <w:r>
              <w:rPr>
                <w:rFonts w:hint="eastAsia"/>
              </w:rPr>
              <w:t>6</w:t>
            </w:r>
            <w:r>
              <w:rPr>
                <w:rFonts w:hint="eastAsia"/>
              </w:rPr>
              <w:t>）袋装水泥装车点位采用集中通风除尘系统。</w:t>
            </w:r>
          </w:p>
        </w:tc>
        <w:tc>
          <w:tcPr>
            <w:tcW w:w="2012" w:type="pct"/>
            <w:tcBorders>
              <w:top w:val="nil"/>
              <w:left w:val="nil"/>
              <w:bottom w:val="single" w:sz="4" w:space="0" w:color="auto"/>
              <w:right w:val="single" w:sz="4" w:space="0" w:color="auto"/>
            </w:tcBorders>
            <w:vAlign w:val="center"/>
          </w:tcPr>
          <w:p w14:paraId="72ACD172" w14:textId="77777777" w:rsidR="002E474C" w:rsidRDefault="00000000">
            <w:pPr>
              <w:pStyle w:val="A-"/>
              <w:ind w:leftChars="-25" w:left="-53" w:rightChars="-25" w:right="-53"/>
            </w:pPr>
            <w:r>
              <w:t>（</w:t>
            </w:r>
            <w:r>
              <w:t>1</w:t>
            </w:r>
            <w:r>
              <w:t>）包装车间全封闭；（</w:t>
            </w:r>
            <w:r>
              <w:t>2</w:t>
            </w:r>
            <w:r>
              <w:t>）袋装水泥装车前点位采用集中除尘系统</w:t>
            </w:r>
            <w:r>
              <w:rPr>
                <w:rFonts w:hint="eastAsia"/>
              </w:rPr>
              <w:t>。</w:t>
            </w:r>
          </w:p>
        </w:tc>
      </w:tr>
      <w:tr w:rsidR="002E474C" w14:paraId="4F1F557F" w14:textId="77777777">
        <w:tc>
          <w:tcPr>
            <w:tcW w:w="257" w:type="pct"/>
            <w:tcBorders>
              <w:top w:val="nil"/>
              <w:left w:val="single" w:sz="4" w:space="0" w:color="auto"/>
              <w:bottom w:val="single" w:sz="4" w:space="0" w:color="auto"/>
              <w:right w:val="single" w:sz="4" w:space="0" w:color="auto"/>
            </w:tcBorders>
            <w:vAlign w:val="center"/>
          </w:tcPr>
          <w:p w14:paraId="78309B8B" w14:textId="77777777" w:rsidR="002E474C" w:rsidRDefault="00000000">
            <w:pPr>
              <w:pStyle w:val="A-"/>
            </w:pPr>
            <w:r>
              <w:rPr>
                <w:rFonts w:hint="eastAsia"/>
              </w:rPr>
              <w:t>11</w:t>
            </w:r>
          </w:p>
        </w:tc>
        <w:tc>
          <w:tcPr>
            <w:tcW w:w="509" w:type="pct"/>
            <w:tcBorders>
              <w:top w:val="nil"/>
              <w:left w:val="single" w:sz="4" w:space="0" w:color="auto"/>
              <w:bottom w:val="single" w:sz="4" w:space="0" w:color="auto"/>
              <w:right w:val="single" w:sz="4" w:space="0" w:color="auto"/>
            </w:tcBorders>
          </w:tcPr>
          <w:p w14:paraId="7BCC19F4" w14:textId="77777777" w:rsidR="002E474C" w:rsidRDefault="00000000">
            <w:pPr>
              <w:pStyle w:val="A-"/>
            </w:pPr>
            <w:r>
              <w:rPr>
                <w:rFonts w:hint="eastAsia"/>
              </w:rPr>
              <w:t>其他</w:t>
            </w:r>
          </w:p>
        </w:tc>
        <w:tc>
          <w:tcPr>
            <w:tcW w:w="2222" w:type="pct"/>
            <w:tcBorders>
              <w:top w:val="nil"/>
              <w:left w:val="single" w:sz="4" w:space="0" w:color="auto"/>
              <w:bottom w:val="single" w:sz="4" w:space="0" w:color="auto"/>
              <w:right w:val="single" w:sz="4" w:space="0" w:color="auto"/>
            </w:tcBorders>
            <w:vAlign w:val="center"/>
          </w:tcPr>
          <w:p w14:paraId="600CAC96" w14:textId="77777777" w:rsidR="002E474C" w:rsidRDefault="00000000">
            <w:pPr>
              <w:pStyle w:val="A-"/>
            </w:pPr>
            <w:r>
              <w:t>（</w:t>
            </w:r>
            <w:r>
              <w:t>1</w:t>
            </w:r>
            <w:r>
              <w:t>）厂区、码头运输道路全硬化，定期洒水，及时清扫；（</w:t>
            </w:r>
            <w:r>
              <w:t>2</w:t>
            </w:r>
            <w:r>
              <w:t>）各收尘器、管道等设备应完好运行，无粉尘外溢；（</w:t>
            </w:r>
            <w:r>
              <w:t>3</w:t>
            </w:r>
            <w:r>
              <w:t>）厂区设置车轮清洗、清扫装置。</w:t>
            </w:r>
          </w:p>
        </w:tc>
        <w:tc>
          <w:tcPr>
            <w:tcW w:w="2012" w:type="pct"/>
            <w:tcBorders>
              <w:top w:val="nil"/>
              <w:left w:val="nil"/>
              <w:bottom w:val="single" w:sz="4" w:space="0" w:color="auto"/>
              <w:right w:val="single" w:sz="4" w:space="0" w:color="auto"/>
            </w:tcBorders>
            <w:vAlign w:val="center"/>
          </w:tcPr>
          <w:p w14:paraId="6145D593" w14:textId="77777777" w:rsidR="002E474C" w:rsidRDefault="00000000">
            <w:pPr>
              <w:pStyle w:val="A-"/>
            </w:pPr>
            <w:r>
              <w:t>（</w:t>
            </w:r>
            <w:r>
              <w:t>1</w:t>
            </w:r>
            <w:r>
              <w:t>）厂区运输道路全硬化，定期洒水，及时清扫；（</w:t>
            </w:r>
            <w:r>
              <w:t>2</w:t>
            </w:r>
            <w:r>
              <w:t>）产生粉尘的各生产环节配套及其与除尘设施，且保证收尘器、管道等设备应完好运行，无粉尘外溢；（</w:t>
            </w:r>
            <w:r>
              <w:t>3</w:t>
            </w:r>
            <w:r>
              <w:t>）厂区设置车轮清洗、清扫装置。</w:t>
            </w:r>
          </w:p>
        </w:tc>
      </w:tr>
      <w:bookmarkEnd w:id="117"/>
    </w:tbl>
    <w:p w14:paraId="001FD4F6" w14:textId="77777777" w:rsidR="002E474C" w:rsidRDefault="002E474C">
      <w:pPr>
        <w:pStyle w:val="A-1"/>
        <w:rPr>
          <w:color w:val="auto"/>
        </w:rPr>
      </w:pPr>
    </w:p>
    <w:p w14:paraId="6039A374" w14:textId="77777777" w:rsidR="002E474C" w:rsidRDefault="00000000">
      <w:pPr>
        <w:pStyle w:val="A-z"/>
        <w:rPr>
          <w:color w:val="auto"/>
          <w:lang w:val="en-US"/>
        </w:rPr>
      </w:pPr>
      <w:r>
        <w:rPr>
          <w:rFonts w:hint="eastAsia"/>
          <w:color w:val="auto"/>
          <w:lang w:val="en-US"/>
        </w:rPr>
        <w:t>本项目在物料储存方面：原料及辅料储存均为密闭料仓或储库，</w:t>
      </w:r>
      <w:r>
        <w:rPr>
          <w:color w:val="auto"/>
        </w:rPr>
        <w:t>库顶等泄压口配备袋式除尘器</w:t>
      </w:r>
      <w:r>
        <w:rPr>
          <w:rFonts w:hint="eastAsia"/>
          <w:color w:val="auto"/>
          <w:lang w:val="en-US"/>
        </w:rPr>
        <w:t>，车辆行驶区域及出入口地面均硬化并安装自动门；在物料输</w:t>
      </w:r>
      <w:r>
        <w:rPr>
          <w:rFonts w:hint="eastAsia"/>
          <w:color w:val="auto"/>
          <w:lang w:val="en-US"/>
        </w:rPr>
        <w:lastRenderedPageBreak/>
        <w:t>送方面：块粒状物料、粘湿物料及其他物料采用封闭皮带廊道转运并在</w:t>
      </w:r>
      <w:r>
        <w:rPr>
          <w:color w:val="auto"/>
        </w:rPr>
        <w:t>物料转运点、下料点等扬尘点设置集尘罩并配备袋式除尘器</w:t>
      </w:r>
      <w:r>
        <w:rPr>
          <w:rFonts w:hint="eastAsia"/>
          <w:color w:val="auto"/>
        </w:rPr>
        <w:t>，</w:t>
      </w:r>
      <w:r>
        <w:rPr>
          <w:rFonts w:hint="eastAsia"/>
          <w:color w:val="auto"/>
          <w:lang w:val="en-US"/>
        </w:rPr>
        <w:t>粉状物料输送采用管道气力密闭输送或罐车密闭运输，其他物料采用密闭罐车、封闭车厢或全苫盖方式运输，物料倒运、转载、下料等产尘点设置集气罩并配备布袋除尘器；在生产工艺方面：破碎机、磨机进出料口应封闭或设置集气罩并配备布袋除尘器，连接处应密，物料均化在均化库密闭进行，水泥窑系统保持负压，熟料冷却、卸料均设置集气罩并配备除尘设施，水泥包装车间封闭，袋装水泥装车点设置集气罩并配备布袋除尘器；除尘设施设置锁风装置，除尘灰通过密闭管道返回至生产系统；在其他方面：氨水采用专用罐车运输，储罐配套氨气回收装置并设置氨气泄漏检测设施，厂区道路均进行硬化，路面采取清扫、洒水等措施，企业厂区出口或汽车运输料场出口处已设置车轮高压清洗装置。</w:t>
      </w:r>
    </w:p>
    <w:p w14:paraId="1E407AED" w14:textId="77777777" w:rsidR="002E474C" w:rsidRDefault="00000000">
      <w:pPr>
        <w:pStyle w:val="A-z"/>
        <w:rPr>
          <w:color w:val="auto"/>
        </w:rPr>
      </w:pPr>
      <w:r>
        <w:rPr>
          <w:rFonts w:hint="eastAsia"/>
          <w:color w:val="auto"/>
        </w:rPr>
        <w:t>根据分析，本项目采取的无组织排放控制措施可达到</w:t>
      </w:r>
      <w:r>
        <w:rPr>
          <w:rFonts w:hint="eastAsia"/>
          <w:color w:val="auto"/>
          <w:lang w:val="en-US"/>
        </w:rPr>
        <w:t>《水泥工业大气污染物排放标准》（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rFonts w:hint="eastAsia"/>
          <w:color w:val="auto"/>
        </w:rPr>
        <w:t>控制措施要求。</w:t>
      </w:r>
    </w:p>
    <w:p w14:paraId="2AB89989" w14:textId="77777777" w:rsidR="002E474C" w:rsidRDefault="00000000">
      <w:pPr>
        <w:pStyle w:val="A-z"/>
        <w:rPr>
          <w:color w:val="auto"/>
        </w:rPr>
      </w:pPr>
      <w:r>
        <w:rPr>
          <w:color w:val="auto"/>
        </w:rPr>
        <w:t>根据</w:t>
      </w:r>
      <w:r>
        <w:rPr>
          <w:color w:val="auto"/>
        </w:rPr>
        <w:t>2025</w:t>
      </w:r>
      <w:r>
        <w:rPr>
          <w:color w:val="auto"/>
        </w:rPr>
        <w:t>年企业开展的自行监测数据，</w:t>
      </w:r>
      <w:r>
        <w:rPr>
          <w:rFonts w:hint="eastAsia"/>
          <w:color w:val="auto"/>
        </w:rPr>
        <w:t>采取相应的环保措施</w:t>
      </w:r>
      <w:r>
        <w:rPr>
          <w:color w:val="auto"/>
        </w:rPr>
        <w:t>后，厂内无组织废气颗粒物排放均满足《水泥工业大气污染物排放标准》（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w:t>
      </w:r>
      <w:r>
        <w:rPr>
          <w:rFonts w:hint="eastAsia"/>
          <w:color w:val="auto"/>
        </w:rPr>
        <w:t>表</w:t>
      </w:r>
      <w:r>
        <w:rPr>
          <w:rFonts w:hint="eastAsia"/>
          <w:color w:val="auto"/>
        </w:rPr>
        <w:t>3</w:t>
      </w:r>
      <w:r>
        <w:rPr>
          <w:rFonts w:hint="eastAsia"/>
          <w:color w:val="auto"/>
        </w:rPr>
        <w:t>浓度限值</w:t>
      </w:r>
      <w:r>
        <w:rPr>
          <w:color w:val="auto"/>
        </w:rPr>
        <w:t>要求。现水泥厂无组织废气监测结果见表</w:t>
      </w:r>
      <w:r>
        <w:rPr>
          <w:color w:val="auto"/>
        </w:rPr>
        <w:t>3.1-7</w:t>
      </w:r>
      <w:r>
        <w:rPr>
          <w:color w:val="auto"/>
        </w:rPr>
        <w:t>。</w:t>
      </w:r>
    </w:p>
    <w:p w14:paraId="06E6E288" w14:textId="77777777" w:rsidR="002E474C" w:rsidRDefault="00000000">
      <w:pPr>
        <w:pStyle w:val="A--"/>
        <w:rPr>
          <w:color w:val="auto"/>
        </w:rPr>
      </w:pPr>
      <w:bookmarkStart w:id="118" w:name="_Ref130921756"/>
      <w:r>
        <w:rPr>
          <w:color w:val="auto"/>
        </w:rPr>
        <w:t>表</w:t>
      </w:r>
      <w:bookmarkEnd w:id="118"/>
      <w:r>
        <w:rPr>
          <w:color w:val="auto"/>
        </w:rPr>
        <w:t xml:space="preserve">3.1-7  </w:t>
      </w:r>
      <w:r>
        <w:rPr>
          <w:color w:val="auto"/>
        </w:rPr>
        <w:t>厂内无组织废气自行监测情况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37"/>
        <w:gridCol w:w="2336"/>
        <w:gridCol w:w="1210"/>
      </w:tblGrid>
      <w:tr w:rsidR="002E474C" w14:paraId="4D42C880" w14:textId="77777777">
        <w:trPr>
          <w:tblHeader/>
        </w:trPr>
        <w:tc>
          <w:tcPr>
            <w:tcW w:w="1454" w:type="pct"/>
            <w:vAlign w:val="center"/>
          </w:tcPr>
          <w:p w14:paraId="628D3300" w14:textId="77777777" w:rsidR="002E474C" w:rsidRDefault="00000000">
            <w:pPr>
              <w:pStyle w:val="A-"/>
            </w:pPr>
            <w:r>
              <w:t>监测项目</w:t>
            </w:r>
          </w:p>
        </w:tc>
        <w:tc>
          <w:tcPr>
            <w:tcW w:w="1408" w:type="pct"/>
            <w:vAlign w:val="center"/>
          </w:tcPr>
          <w:p w14:paraId="5DEA7EA9" w14:textId="77777777" w:rsidR="002E474C" w:rsidRDefault="00000000">
            <w:pPr>
              <w:pStyle w:val="A-"/>
            </w:pPr>
            <w:r>
              <w:t>实测浓度（</w:t>
            </w:r>
            <w:r>
              <w:t>mg/m</w:t>
            </w:r>
            <w:r>
              <w:rPr>
                <w:vertAlign w:val="superscript"/>
              </w:rPr>
              <w:t>3</w:t>
            </w:r>
            <w:r>
              <w:t>）</w:t>
            </w:r>
          </w:p>
        </w:tc>
        <w:tc>
          <w:tcPr>
            <w:tcW w:w="1408" w:type="pct"/>
            <w:vAlign w:val="center"/>
          </w:tcPr>
          <w:p w14:paraId="0809F64F" w14:textId="77777777" w:rsidR="002E474C" w:rsidRDefault="00000000">
            <w:pPr>
              <w:pStyle w:val="A-"/>
            </w:pPr>
            <w:r>
              <w:t>限值（</w:t>
            </w:r>
            <w:r>
              <w:t>mg/m</w:t>
            </w:r>
            <w:r>
              <w:rPr>
                <w:vertAlign w:val="superscript"/>
              </w:rPr>
              <w:t>3</w:t>
            </w:r>
            <w:r>
              <w:t>）</w:t>
            </w:r>
          </w:p>
        </w:tc>
        <w:tc>
          <w:tcPr>
            <w:tcW w:w="729" w:type="pct"/>
            <w:vAlign w:val="center"/>
          </w:tcPr>
          <w:p w14:paraId="013AF12C" w14:textId="77777777" w:rsidR="002E474C" w:rsidRDefault="00000000">
            <w:pPr>
              <w:pStyle w:val="A-"/>
            </w:pPr>
            <w:r>
              <w:t>达标情况</w:t>
            </w:r>
          </w:p>
        </w:tc>
      </w:tr>
      <w:tr w:rsidR="002E474C" w14:paraId="4CEF4633" w14:textId="77777777">
        <w:tc>
          <w:tcPr>
            <w:tcW w:w="1454" w:type="pct"/>
            <w:vAlign w:val="center"/>
          </w:tcPr>
          <w:p w14:paraId="1612B417" w14:textId="77777777" w:rsidR="002E474C" w:rsidRDefault="00000000">
            <w:pPr>
              <w:pStyle w:val="A-"/>
            </w:pPr>
            <w:r>
              <w:t>TSP</w:t>
            </w:r>
          </w:p>
        </w:tc>
        <w:tc>
          <w:tcPr>
            <w:tcW w:w="1408" w:type="pct"/>
          </w:tcPr>
          <w:p w14:paraId="66939046" w14:textId="77777777" w:rsidR="002E474C" w:rsidRDefault="00000000">
            <w:pPr>
              <w:pStyle w:val="A-"/>
            </w:pPr>
            <w:r>
              <w:t>0.169</w:t>
            </w:r>
            <w:r>
              <w:t>～</w:t>
            </w:r>
            <w:r>
              <w:t>0.446</w:t>
            </w:r>
          </w:p>
        </w:tc>
        <w:tc>
          <w:tcPr>
            <w:tcW w:w="1408" w:type="pct"/>
            <w:vAlign w:val="center"/>
          </w:tcPr>
          <w:p w14:paraId="4612B6EE" w14:textId="77777777" w:rsidR="002E474C" w:rsidRDefault="00000000">
            <w:pPr>
              <w:pStyle w:val="A-"/>
            </w:pPr>
            <w:r>
              <w:t>0.5</w:t>
            </w:r>
          </w:p>
        </w:tc>
        <w:tc>
          <w:tcPr>
            <w:tcW w:w="729" w:type="pct"/>
            <w:vAlign w:val="center"/>
          </w:tcPr>
          <w:p w14:paraId="570098B5" w14:textId="77777777" w:rsidR="002E474C" w:rsidRDefault="00000000">
            <w:pPr>
              <w:pStyle w:val="A-"/>
            </w:pPr>
            <w:r>
              <w:t>达标</w:t>
            </w:r>
          </w:p>
        </w:tc>
      </w:tr>
      <w:tr w:rsidR="002E474C" w14:paraId="52625DFE" w14:textId="77777777">
        <w:tc>
          <w:tcPr>
            <w:tcW w:w="1454" w:type="pct"/>
            <w:vAlign w:val="center"/>
          </w:tcPr>
          <w:p w14:paraId="1264E254" w14:textId="77777777" w:rsidR="002E474C" w:rsidRDefault="00000000">
            <w:pPr>
              <w:pStyle w:val="A-"/>
            </w:pPr>
            <w:r>
              <w:t>硫酸雾</w:t>
            </w:r>
          </w:p>
        </w:tc>
        <w:tc>
          <w:tcPr>
            <w:tcW w:w="1408" w:type="pct"/>
          </w:tcPr>
          <w:p w14:paraId="434B7526" w14:textId="77777777" w:rsidR="002E474C" w:rsidRDefault="00000000">
            <w:pPr>
              <w:pStyle w:val="A-"/>
            </w:pPr>
            <w:r>
              <w:t>0.021</w:t>
            </w:r>
            <w:r>
              <w:t>～</w:t>
            </w:r>
            <w:r>
              <w:t>0.028</w:t>
            </w:r>
          </w:p>
        </w:tc>
        <w:tc>
          <w:tcPr>
            <w:tcW w:w="1408" w:type="pct"/>
            <w:vAlign w:val="center"/>
          </w:tcPr>
          <w:p w14:paraId="40DA1B54" w14:textId="77777777" w:rsidR="002E474C" w:rsidRDefault="00000000">
            <w:pPr>
              <w:pStyle w:val="A-"/>
            </w:pPr>
            <w:r>
              <w:t>1.2</w:t>
            </w:r>
          </w:p>
        </w:tc>
        <w:tc>
          <w:tcPr>
            <w:tcW w:w="729" w:type="pct"/>
          </w:tcPr>
          <w:p w14:paraId="0A574E45" w14:textId="77777777" w:rsidR="002E474C" w:rsidRDefault="00000000">
            <w:pPr>
              <w:pStyle w:val="A-"/>
            </w:pPr>
            <w:r>
              <w:t>达标</w:t>
            </w:r>
          </w:p>
        </w:tc>
      </w:tr>
      <w:tr w:rsidR="002E474C" w14:paraId="2D3A86F2" w14:textId="77777777">
        <w:tc>
          <w:tcPr>
            <w:tcW w:w="1454" w:type="pct"/>
            <w:vAlign w:val="center"/>
          </w:tcPr>
          <w:p w14:paraId="22BCCA91" w14:textId="77777777" w:rsidR="002E474C" w:rsidRDefault="00000000">
            <w:pPr>
              <w:pStyle w:val="A-"/>
            </w:pPr>
            <w:r>
              <w:t>氨</w:t>
            </w:r>
          </w:p>
        </w:tc>
        <w:tc>
          <w:tcPr>
            <w:tcW w:w="1408" w:type="pct"/>
          </w:tcPr>
          <w:p w14:paraId="3FB3E8BA" w14:textId="77777777" w:rsidR="002E474C" w:rsidRDefault="00000000">
            <w:pPr>
              <w:pStyle w:val="A-"/>
            </w:pPr>
            <w:r>
              <w:t>0.02</w:t>
            </w:r>
            <w:r>
              <w:t>～</w:t>
            </w:r>
            <w:r>
              <w:t>0.25</w:t>
            </w:r>
          </w:p>
        </w:tc>
        <w:tc>
          <w:tcPr>
            <w:tcW w:w="1408" w:type="pct"/>
            <w:vAlign w:val="center"/>
          </w:tcPr>
          <w:p w14:paraId="73F40F6B" w14:textId="77777777" w:rsidR="002E474C" w:rsidRDefault="00000000">
            <w:pPr>
              <w:pStyle w:val="A-"/>
            </w:pPr>
            <w:r>
              <w:t>1.0</w:t>
            </w:r>
          </w:p>
        </w:tc>
        <w:tc>
          <w:tcPr>
            <w:tcW w:w="729" w:type="pct"/>
          </w:tcPr>
          <w:p w14:paraId="750072A1" w14:textId="77777777" w:rsidR="002E474C" w:rsidRDefault="00000000">
            <w:pPr>
              <w:pStyle w:val="A-"/>
            </w:pPr>
            <w:r>
              <w:t>达标</w:t>
            </w:r>
          </w:p>
        </w:tc>
      </w:tr>
      <w:tr w:rsidR="002E474C" w14:paraId="5260FCC9" w14:textId="77777777">
        <w:tc>
          <w:tcPr>
            <w:tcW w:w="1454" w:type="pct"/>
            <w:tcBorders>
              <w:top w:val="single" w:sz="4" w:space="0" w:color="auto"/>
              <w:left w:val="single" w:sz="4" w:space="0" w:color="auto"/>
              <w:bottom w:val="single" w:sz="4" w:space="0" w:color="auto"/>
              <w:right w:val="single" w:sz="4" w:space="0" w:color="auto"/>
            </w:tcBorders>
            <w:vAlign w:val="center"/>
          </w:tcPr>
          <w:p w14:paraId="3957C084" w14:textId="77777777" w:rsidR="002E474C" w:rsidRDefault="00000000">
            <w:pPr>
              <w:pStyle w:val="A-"/>
            </w:pPr>
            <w:r>
              <w:t>非甲烷总烃</w:t>
            </w:r>
          </w:p>
        </w:tc>
        <w:tc>
          <w:tcPr>
            <w:tcW w:w="1408" w:type="pct"/>
            <w:tcBorders>
              <w:top w:val="single" w:sz="4" w:space="0" w:color="auto"/>
              <w:left w:val="single" w:sz="4" w:space="0" w:color="auto"/>
              <w:bottom w:val="single" w:sz="4" w:space="0" w:color="auto"/>
              <w:right w:val="single" w:sz="4" w:space="0" w:color="auto"/>
            </w:tcBorders>
          </w:tcPr>
          <w:p w14:paraId="7681502E" w14:textId="77777777" w:rsidR="002E474C" w:rsidRDefault="00000000">
            <w:pPr>
              <w:pStyle w:val="A-"/>
            </w:pPr>
            <w:r>
              <w:t>0.10</w:t>
            </w:r>
            <w:r>
              <w:t>～</w:t>
            </w:r>
            <w:r>
              <w:t>1.88</w:t>
            </w:r>
          </w:p>
        </w:tc>
        <w:tc>
          <w:tcPr>
            <w:tcW w:w="1408" w:type="pct"/>
            <w:tcBorders>
              <w:top w:val="single" w:sz="4" w:space="0" w:color="auto"/>
              <w:left w:val="single" w:sz="4" w:space="0" w:color="auto"/>
              <w:bottom w:val="single" w:sz="4" w:space="0" w:color="auto"/>
              <w:right w:val="single" w:sz="4" w:space="0" w:color="auto"/>
            </w:tcBorders>
            <w:vAlign w:val="center"/>
          </w:tcPr>
          <w:p w14:paraId="59EDF8CF" w14:textId="77777777" w:rsidR="002E474C" w:rsidRDefault="00000000">
            <w:pPr>
              <w:pStyle w:val="A-"/>
            </w:pPr>
            <w:r>
              <w:t>4</w:t>
            </w:r>
          </w:p>
        </w:tc>
        <w:tc>
          <w:tcPr>
            <w:tcW w:w="729" w:type="pct"/>
            <w:tcBorders>
              <w:top w:val="single" w:sz="4" w:space="0" w:color="auto"/>
              <w:left w:val="single" w:sz="4" w:space="0" w:color="auto"/>
              <w:bottom w:val="single" w:sz="4" w:space="0" w:color="auto"/>
              <w:right w:val="single" w:sz="4" w:space="0" w:color="auto"/>
            </w:tcBorders>
          </w:tcPr>
          <w:p w14:paraId="196F0008" w14:textId="77777777" w:rsidR="002E474C" w:rsidRDefault="00000000">
            <w:pPr>
              <w:pStyle w:val="A-"/>
            </w:pPr>
            <w:r>
              <w:t>达标</w:t>
            </w:r>
          </w:p>
        </w:tc>
      </w:tr>
      <w:tr w:rsidR="002E474C" w14:paraId="524D5AE8" w14:textId="77777777">
        <w:tc>
          <w:tcPr>
            <w:tcW w:w="1454" w:type="pct"/>
            <w:tcBorders>
              <w:top w:val="single" w:sz="4" w:space="0" w:color="auto"/>
              <w:left w:val="single" w:sz="4" w:space="0" w:color="auto"/>
              <w:bottom w:val="single" w:sz="4" w:space="0" w:color="auto"/>
              <w:right w:val="single" w:sz="4" w:space="0" w:color="auto"/>
            </w:tcBorders>
            <w:vAlign w:val="center"/>
          </w:tcPr>
          <w:p w14:paraId="6DCE889A" w14:textId="77777777" w:rsidR="002E474C" w:rsidRDefault="00000000">
            <w:pPr>
              <w:pStyle w:val="A-"/>
            </w:pPr>
            <w:r>
              <w:t>非甲烷总烃（厂内）</w:t>
            </w:r>
          </w:p>
        </w:tc>
        <w:tc>
          <w:tcPr>
            <w:tcW w:w="1408" w:type="pct"/>
            <w:tcBorders>
              <w:top w:val="single" w:sz="4" w:space="0" w:color="auto"/>
              <w:left w:val="single" w:sz="4" w:space="0" w:color="auto"/>
              <w:bottom w:val="single" w:sz="4" w:space="0" w:color="auto"/>
              <w:right w:val="single" w:sz="4" w:space="0" w:color="auto"/>
            </w:tcBorders>
          </w:tcPr>
          <w:p w14:paraId="275B7721" w14:textId="77777777" w:rsidR="002E474C" w:rsidRDefault="00000000">
            <w:pPr>
              <w:pStyle w:val="A-"/>
            </w:pPr>
            <w:r>
              <w:t>0.13</w:t>
            </w:r>
            <w:r>
              <w:t>～</w:t>
            </w:r>
            <w:r>
              <w:t>1.49</w:t>
            </w:r>
          </w:p>
        </w:tc>
        <w:tc>
          <w:tcPr>
            <w:tcW w:w="1408" w:type="pct"/>
            <w:tcBorders>
              <w:top w:val="single" w:sz="4" w:space="0" w:color="auto"/>
              <w:left w:val="single" w:sz="4" w:space="0" w:color="auto"/>
              <w:bottom w:val="single" w:sz="4" w:space="0" w:color="auto"/>
              <w:right w:val="single" w:sz="4" w:space="0" w:color="auto"/>
            </w:tcBorders>
            <w:vAlign w:val="center"/>
          </w:tcPr>
          <w:p w14:paraId="7AF5F823" w14:textId="77777777" w:rsidR="002E474C" w:rsidRDefault="00000000">
            <w:pPr>
              <w:pStyle w:val="A-"/>
            </w:pPr>
            <w:r>
              <w:t>10</w:t>
            </w:r>
          </w:p>
        </w:tc>
        <w:tc>
          <w:tcPr>
            <w:tcW w:w="729" w:type="pct"/>
            <w:tcBorders>
              <w:top w:val="single" w:sz="4" w:space="0" w:color="auto"/>
              <w:left w:val="single" w:sz="4" w:space="0" w:color="auto"/>
              <w:bottom w:val="single" w:sz="4" w:space="0" w:color="auto"/>
              <w:right w:val="single" w:sz="4" w:space="0" w:color="auto"/>
            </w:tcBorders>
          </w:tcPr>
          <w:p w14:paraId="493D5E09" w14:textId="77777777" w:rsidR="002E474C" w:rsidRDefault="00000000">
            <w:pPr>
              <w:pStyle w:val="A-"/>
            </w:pPr>
            <w:r>
              <w:t>达标</w:t>
            </w:r>
          </w:p>
        </w:tc>
      </w:tr>
    </w:tbl>
    <w:p w14:paraId="7CA555BD" w14:textId="77777777" w:rsidR="002E474C" w:rsidRDefault="002E474C"/>
    <w:p w14:paraId="6DD71D3B" w14:textId="77777777" w:rsidR="002E474C" w:rsidRDefault="00000000">
      <w:pPr>
        <w:pStyle w:val="A-z"/>
        <w:rPr>
          <w:color w:val="auto"/>
        </w:rPr>
      </w:pPr>
      <w:r>
        <w:rPr>
          <w:color w:val="auto"/>
        </w:rPr>
        <w:t>（</w:t>
      </w:r>
      <w:r>
        <w:rPr>
          <w:color w:val="auto"/>
        </w:rPr>
        <w:t>3</w:t>
      </w:r>
      <w:r>
        <w:rPr>
          <w:color w:val="auto"/>
        </w:rPr>
        <w:t>）窑头、窑尾在线监测</w:t>
      </w:r>
    </w:p>
    <w:p w14:paraId="70895E16" w14:textId="77777777" w:rsidR="002E474C" w:rsidRDefault="00000000">
      <w:pPr>
        <w:pStyle w:val="A-z"/>
        <w:rPr>
          <w:color w:val="auto"/>
        </w:rPr>
      </w:pPr>
      <w:r>
        <w:rPr>
          <w:color w:val="auto"/>
        </w:rPr>
        <w:t>根据</w:t>
      </w:r>
      <w:r>
        <w:rPr>
          <w:color w:val="auto"/>
        </w:rPr>
        <w:t>2025</w:t>
      </w:r>
      <w:r>
        <w:rPr>
          <w:color w:val="auto"/>
        </w:rPr>
        <w:t>年企业连续一年在线监测数据进行分析，电石渣干法水泥生产线窑头废气的颗粒物和窑尾废气的颗粒物、二氧化硫、氮氧化物小时平均排放浓度均能达到《水泥工业大气污染物排放标准》（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规定的大气污染物排放限值。窑头及窑尾废气在线监测数据汇总，见表</w:t>
      </w:r>
      <w:r>
        <w:rPr>
          <w:color w:val="auto"/>
        </w:rPr>
        <w:t>3.1-8</w:t>
      </w:r>
      <w:r>
        <w:rPr>
          <w:color w:val="auto"/>
        </w:rPr>
        <w:t>、表</w:t>
      </w:r>
      <w:r>
        <w:rPr>
          <w:color w:val="auto"/>
        </w:rPr>
        <w:t>3.1-9</w:t>
      </w:r>
      <w:r>
        <w:rPr>
          <w:color w:val="auto"/>
        </w:rPr>
        <w:t>。</w:t>
      </w:r>
    </w:p>
    <w:p w14:paraId="3E69382D" w14:textId="77777777" w:rsidR="003C74C5" w:rsidRDefault="003C74C5">
      <w:pPr>
        <w:pStyle w:val="A-z"/>
        <w:rPr>
          <w:color w:val="auto"/>
        </w:rPr>
      </w:pPr>
    </w:p>
    <w:p w14:paraId="4E8543B9" w14:textId="77777777" w:rsidR="003C74C5" w:rsidRDefault="003C74C5">
      <w:pPr>
        <w:pStyle w:val="A-z"/>
        <w:rPr>
          <w:color w:val="auto"/>
        </w:rPr>
      </w:pPr>
    </w:p>
    <w:p w14:paraId="6647D585" w14:textId="77777777" w:rsidR="003C74C5" w:rsidRDefault="003C74C5">
      <w:pPr>
        <w:pStyle w:val="A-z"/>
        <w:rPr>
          <w:rFonts w:hint="eastAsia"/>
          <w:color w:val="auto"/>
        </w:rPr>
      </w:pPr>
    </w:p>
    <w:p w14:paraId="60EB635B" w14:textId="77777777" w:rsidR="002E474C" w:rsidRDefault="00000000">
      <w:pPr>
        <w:pStyle w:val="A--"/>
        <w:rPr>
          <w:color w:val="auto"/>
        </w:rPr>
      </w:pPr>
      <w:bookmarkStart w:id="119" w:name="_Ref150873865"/>
      <w:r>
        <w:rPr>
          <w:color w:val="auto"/>
        </w:rPr>
        <w:lastRenderedPageBreak/>
        <w:t>表</w:t>
      </w:r>
      <w:bookmarkEnd w:id="119"/>
      <w:r>
        <w:rPr>
          <w:color w:val="auto"/>
        </w:rPr>
        <w:t>3.1-8  2025</w:t>
      </w:r>
      <w:r>
        <w:rPr>
          <w:color w:val="auto"/>
        </w:rPr>
        <w:t>年水泥厂窑头废气颗粒物在线监测结果统计表</w:t>
      </w:r>
      <w:r>
        <w:rPr>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244"/>
        <w:gridCol w:w="2587"/>
        <w:gridCol w:w="1704"/>
      </w:tblGrid>
      <w:tr w:rsidR="002E474C" w14:paraId="56B67D30" w14:textId="77777777">
        <w:trPr>
          <w:jc w:val="center"/>
        </w:trPr>
        <w:tc>
          <w:tcPr>
            <w:tcW w:w="1061" w:type="pct"/>
            <w:vAlign w:val="center"/>
          </w:tcPr>
          <w:p w14:paraId="414F9385" w14:textId="77777777" w:rsidR="002E474C" w:rsidRDefault="00000000">
            <w:pPr>
              <w:pStyle w:val="A-"/>
            </w:pPr>
            <w:r>
              <w:t>监测时间</w:t>
            </w:r>
          </w:p>
        </w:tc>
        <w:tc>
          <w:tcPr>
            <w:tcW w:w="1352" w:type="pct"/>
            <w:vAlign w:val="center"/>
          </w:tcPr>
          <w:p w14:paraId="24DB19A7" w14:textId="77777777" w:rsidR="002E474C" w:rsidRDefault="00000000">
            <w:pPr>
              <w:pStyle w:val="A-"/>
            </w:pPr>
            <w:r>
              <w:t>监测值（</w:t>
            </w:r>
            <w:r>
              <w:t>mg/m</w:t>
            </w:r>
            <w:r>
              <w:rPr>
                <w:vertAlign w:val="superscript"/>
              </w:rPr>
              <w:t>3</w:t>
            </w:r>
            <w:r>
              <w:t>）</w:t>
            </w:r>
          </w:p>
        </w:tc>
        <w:tc>
          <w:tcPr>
            <w:tcW w:w="1559" w:type="pct"/>
            <w:vAlign w:val="center"/>
          </w:tcPr>
          <w:p w14:paraId="0473E853" w14:textId="77777777" w:rsidR="002E474C" w:rsidRDefault="00000000">
            <w:pPr>
              <w:pStyle w:val="A-"/>
            </w:pPr>
            <w:r>
              <w:t>标准限值（</w:t>
            </w:r>
            <w:r>
              <w:t>mg/m</w:t>
            </w:r>
            <w:r>
              <w:rPr>
                <w:vertAlign w:val="superscript"/>
              </w:rPr>
              <w:t>3</w:t>
            </w:r>
            <w:r>
              <w:t>）</w:t>
            </w:r>
          </w:p>
        </w:tc>
        <w:tc>
          <w:tcPr>
            <w:tcW w:w="1027" w:type="pct"/>
            <w:vAlign w:val="center"/>
          </w:tcPr>
          <w:p w14:paraId="6DA464A8" w14:textId="77777777" w:rsidR="002E474C" w:rsidRDefault="00000000">
            <w:pPr>
              <w:pStyle w:val="A-"/>
            </w:pPr>
            <w:r>
              <w:t>达标情况</w:t>
            </w:r>
          </w:p>
        </w:tc>
      </w:tr>
      <w:tr w:rsidR="002E474C" w14:paraId="7F1343D7" w14:textId="77777777">
        <w:trPr>
          <w:jc w:val="center"/>
        </w:trPr>
        <w:tc>
          <w:tcPr>
            <w:tcW w:w="1061" w:type="pct"/>
            <w:vAlign w:val="center"/>
          </w:tcPr>
          <w:p w14:paraId="31ED7387" w14:textId="77777777" w:rsidR="002E474C" w:rsidRDefault="00000000">
            <w:pPr>
              <w:pStyle w:val="A-"/>
            </w:pPr>
            <w:r>
              <w:t>1</w:t>
            </w:r>
            <w:r>
              <w:t>月</w:t>
            </w:r>
          </w:p>
        </w:tc>
        <w:tc>
          <w:tcPr>
            <w:tcW w:w="1352" w:type="pct"/>
            <w:vAlign w:val="center"/>
          </w:tcPr>
          <w:p w14:paraId="7D75DAC1" w14:textId="77777777" w:rsidR="002E474C" w:rsidRDefault="00000000">
            <w:pPr>
              <w:pStyle w:val="A-"/>
            </w:pPr>
            <w:r>
              <w:t>1.6</w:t>
            </w:r>
            <w:r>
              <w:t>～</w:t>
            </w:r>
            <w:r>
              <w:t>2.0</w:t>
            </w:r>
          </w:p>
        </w:tc>
        <w:tc>
          <w:tcPr>
            <w:tcW w:w="1559" w:type="pct"/>
            <w:vMerge w:val="restart"/>
            <w:vAlign w:val="center"/>
          </w:tcPr>
          <w:p w14:paraId="2D5620B7" w14:textId="77777777" w:rsidR="002E474C" w:rsidRDefault="00000000">
            <w:pPr>
              <w:pStyle w:val="A-"/>
            </w:pPr>
            <w:r>
              <w:t>30</w:t>
            </w:r>
          </w:p>
        </w:tc>
        <w:tc>
          <w:tcPr>
            <w:tcW w:w="1027" w:type="pct"/>
            <w:vAlign w:val="center"/>
          </w:tcPr>
          <w:p w14:paraId="5C31D708" w14:textId="77777777" w:rsidR="002E474C" w:rsidRDefault="00000000">
            <w:pPr>
              <w:pStyle w:val="A-"/>
            </w:pPr>
            <w:r>
              <w:t>达标</w:t>
            </w:r>
          </w:p>
        </w:tc>
      </w:tr>
      <w:tr w:rsidR="002E474C" w14:paraId="273256F3" w14:textId="77777777">
        <w:trPr>
          <w:jc w:val="center"/>
        </w:trPr>
        <w:tc>
          <w:tcPr>
            <w:tcW w:w="1061" w:type="pct"/>
          </w:tcPr>
          <w:p w14:paraId="211E8B90" w14:textId="77777777" w:rsidR="002E474C" w:rsidRDefault="00000000">
            <w:pPr>
              <w:pStyle w:val="A-"/>
            </w:pPr>
            <w:r>
              <w:t>2</w:t>
            </w:r>
            <w:r>
              <w:t>月</w:t>
            </w:r>
          </w:p>
        </w:tc>
        <w:tc>
          <w:tcPr>
            <w:tcW w:w="1352" w:type="pct"/>
            <w:vAlign w:val="center"/>
          </w:tcPr>
          <w:p w14:paraId="2BDCE1EA" w14:textId="77777777" w:rsidR="002E474C" w:rsidRDefault="00000000">
            <w:pPr>
              <w:pStyle w:val="A-"/>
            </w:pPr>
            <w:r>
              <w:t>1.1</w:t>
            </w:r>
            <w:r>
              <w:t>～</w:t>
            </w:r>
            <w:r>
              <w:t>2.1</w:t>
            </w:r>
          </w:p>
        </w:tc>
        <w:tc>
          <w:tcPr>
            <w:tcW w:w="1559" w:type="pct"/>
            <w:vMerge/>
            <w:vAlign w:val="center"/>
          </w:tcPr>
          <w:p w14:paraId="53D3963D" w14:textId="77777777" w:rsidR="002E474C" w:rsidRDefault="002E474C">
            <w:pPr>
              <w:pStyle w:val="A-"/>
            </w:pPr>
          </w:p>
        </w:tc>
        <w:tc>
          <w:tcPr>
            <w:tcW w:w="1027" w:type="pct"/>
          </w:tcPr>
          <w:p w14:paraId="77377FE4" w14:textId="77777777" w:rsidR="002E474C" w:rsidRDefault="00000000">
            <w:pPr>
              <w:pStyle w:val="A-"/>
            </w:pPr>
            <w:r>
              <w:t>达标</w:t>
            </w:r>
          </w:p>
        </w:tc>
      </w:tr>
      <w:tr w:rsidR="002E474C" w14:paraId="5E76DB04" w14:textId="77777777">
        <w:trPr>
          <w:jc w:val="center"/>
        </w:trPr>
        <w:tc>
          <w:tcPr>
            <w:tcW w:w="1061" w:type="pct"/>
          </w:tcPr>
          <w:p w14:paraId="513E6B56" w14:textId="77777777" w:rsidR="002E474C" w:rsidRDefault="00000000">
            <w:pPr>
              <w:pStyle w:val="A-"/>
            </w:pPr>
            <w:r>
              <w:t>3</w:t>
            </w:r>
            <w:r>
              <w:t>月</w:t>
            </w:r>
          </w:p>
        </w:tc>
        <w:tc>
          <w:tcPr>
            <w:tcW w:w="1352" w:type="pct"/>
            <w:vAlign w:val="center"/>
          </w:tcPr>
          <w:p w14:paraId="62A8B1E2" w14:textId="77777777" w:rsidR="002E474C" w:rsidRDefault="00000000">
            <w:pPr>
              <w:pStyle w:val="A-"/>
            </w:pPr>
            <w:r>
              <w:t>1.1</w:t>
            </w:r>
            <w:r>
              <w:t>～</w:t>
            </w:r>
            <w:r>
              <w:t>1.8</w:t>
            </w:r>
          </w:p>
        </w:tc>
        <w:tc>
          <w:tcPr>
            <w:tcW w:w="1559" w:type="pct"/>
            <w:vMerge/>
            <w:vAlign w:val="center"/>
          </w:tcPr>
          <w:p w14:paraId="7CBD1DAA" w14:textId="77777777" w:rsidR="002E474C" w:rsidRDefault="002E474C">
            <w:pPr>
              <w:pStyle w:val="A-"/>
            </w:pPr>
          </w:p>
        </w:tc>
        <w:tc>
          <w:tcPr>
            <w:tcW w:w="1027" w:type="pct"/>
          </w:tcPr>
          <w:p w14:paraId="7E27F88B" w14:textId="77777777" w:rsidR="002E474C" w:rsidRDefault="00000000">
            <w:pPr>
              <w:pStyle w:val="A-"/>
            </w:pPr>
            <w:r>
              <w:t>达标</w:t>
            </w:r>
          </w:p>
        </w:tc>
      </w:tr>
      <w:tr w:rsidR="002E474C" w14:paraId="444DB42B" w14:textId="77777777">
        <w:trPr>
          <w:jc w:val="center"/>
        </w:trPr>
        <w:tc>
          <w:tcPr>
            <w:tcW w:w="1061" w:type="pct"/>
          </w:tcPr>
          <w:p w14:paraId="10BCFF4C" w14:textId="77777777" w:rsidR="002E474C" w:rsidRDefault="00000000">
            <w:pPr>
              <w:pStyle w:val="A-"/>
            </w:pPr>
            <w:r>
              <w:t>4</w:t>
            </w:r>
            <w:r>
              <w:t>月</w:t>
            </w:r>
          </w:p>
        </w:tc>
        <w:tc>
          <w:tcPr>
            <w:tcW w:w="1352" w:type="pct"/>
            <w:vAlign w:val="center"/>
          </w:tcPr>
          <w:p w14:paraId="3D9ACE17" w14:textId="77777777" w:rsidR="002E474C" w:rsidRDefault="00000000">
            <w:pPr>
              <w:pStyle w:val="A-"/>
            </w:pPr>
            <w:r>
              <w:t>检修</w:t>
            </w:r>
          </w:p>
        </w:tc>
        <w:tc>
          <w:tcPr>
            <w:tcW w:w="1559" w:type="pct"/>
            <w:vMerge/>
            <w:vAlign w:val="center"/>
          </w:tcPr>
          <w:p w14:paraId="76E12D22" w14:textId="77777777" w:rsidR="002E474C" w:rsidRDefault="002E474C">
            <w:pPr>
              <w:pStyle w:val="A-"/>
            </w:pPr>
          </w:p>
        </w:tc>
        <w:tc>
          <w:tcPr>
            <w:tcW w:w="1027" w:type="pct"/>
            <w:vAlign w:val="center"/>
          </w:tcPr>
          <w:p w14:paraId="378D56F5" w14:textId="77777777" w:rsidR="002E474C" w:rsidRDefault="00000000">
            <w:pPr>
              <w:pStyle w:val="A-"/>
            </w:pPr>
            <w:r>
              <w:t>/</w:t>
            </w:r>
          </w:p>
        </w:tc>
      </w:tr>
      <w:tr w:rsidR="002E474C" w14:paraId="6C2C722B" w14:textId="77777777">
        <w:trPr>
          <w:jc w:val="center"/>
        </w:trPr>
        <w:tc>
          <w:tcPr>
            <w:tcW w:w="1061" w:type="pct"/>
          </w:tcPr>
          <w:p w14:paraId="7405B42E" w14:textId="77777777" w:rsidR="002E474C" w:rsidRDefault="00000000">
            <w:pPr>
              <w:pStyle w:val="A-"/>
            </w:pPr>
            <w:r>
              <w:t>5</w:t>
            </w:r>
            <w:r>
              <w:t>月</w:t>
            </w:r>
          </w:p>
        </w:tc>
        <w:tc>
          <w:tcPr>
            <w:tcW w:w="1352" w:type="pct"/>
            <w:vAlign w:val="center"/>
          </w:tcPr>
          <w:p w14:paraId="19DE2B65" w14:textId="77777777" w:rsidR="002E474C" w:rsidRDefault="00000000">
            <w:pPr>
              <w:pStyle w:val="A-"/>
            </w:pPr>
            <w:r>
              <w:t>1.3</w:t>
            </w:r>
            <w:r>
              <w:t>～</w:t>
            </w:r>
            <w:r>
              <w:t>2.3</w:t>
            </w:r>
          </w:p>
        </w:tc>
        <w:tc>
          <w:tcPr>
            <w:tcW w:w="1559" w:type="pct"/>
            <w:vMerge/>
            <w:vAlign w:val="center"/>
          </w:tcPr>
          <w:p w14:paraId="7B337DB5" w14:textId="77777777" w:rsidR="002E474C" w:rsidRDefault="002E474C">
            <w:pPr>
              <w:pStyle w:val="A-"/>
            </w:pPr>
          </w:p>
        </w:tc>
        <w:tc>
          <w:tcPr>
            <w:tcW w:w="1027" w:type="pct"/>
          </w:tcPr>
          <w:p w14:paraId="016A758E" w14:textId="77777777" w:rsidR="002E474C" w:rsidRDefault="00000000">
            <w:pPr>
              <w:pStyle w:val="A-"/>
            </w:pPr>
            <w:r>
              <w:t>达标</w:t>
            </w:r>
          </w:p>
        </w:tc>
      </w:tr>
      <w:tr w:rsidR="002E474C" w14:paraId="39DC3690" w14:textId="77777777">
        <w:trPr>
          <w:jc w:val="center"/>
        </w:trPr>
        <w:tc>
          <w:tcPr>
            <w:tcW w:w="1061" w:type="pct"/>
          </w:tcPr>
          <w:p w14:paraId="0024D490" w14:textId="77777777" w:rsidR="002E474C" w:rsidRDefault="00000000">
            <w:pPr>
              <w:pStyle w:val="A-"/>
            </w:pPr>
            <w:r>
              <w:t>6</w:t>
            </w:r>
            <w:r>
              <w:t>月</w:t>
            </w:r>
          </w:p>
        </w:tc>
        <w:tc>
          <w:tcPr>
            <w:tcW w:w="1352" w:type="pct"/>
            <w:vAlign w:val="center"/>
          </w:tcPr>
          <w:p w14:paraId="1FFB3769" w14:textId="77777777" w:rsidR="002E474C" w:rsidRDefault="00000000">
            <w:pPr>
              <w:pStyle w:val="A-"/>
            </w:pPr>
            <w:r>
              <w:t>1.2</w:t>
            </w:r>
            <w:r>
              <w:t>～</w:t>
            </w:r>
            <w:r>
              <w:t>2.0</w:t>
            </w:r>
          </w:p>
        </w:tc>
        <w:tc>
          <w:tcPr>
            <w:tcW w:w="1559" w:type="pct"/>
            <w:vMerge/>
            <w:vAlign w:val="center"/>
          </w:tcPr>
          <w:p w14:paraId="0389793D" w14:textId="77777777" w:rsidR="002E474C" w:rsidRDefault="002E474C">
            <w:pPr>
              <w:pStyle w:val="A-"/>
            </w:pPr>
          </w:p>
        </w:tc>
        <w:tc>
          <w:tcPr>
            <w:tcW w:w="1027" w:type="pct"/>
          </w:tcPr>
          <w:p w14:paraId="4BFCBC9A" w14:textId="77777777" w:rsidR="002E474C" w:rsidRDefault="00000000">
            <w:pPr>
              <w:pStyle w:val="A-"/>
            </w:pPr>
            <w:r>
              <w:t>达标</w:t>
            </w:r>
          </w:p>
        </w:tc>
      </w:tr>
      <w:tr w:rsidR="002E474C" w14:paraId="4F1DD31C" w14:textId="77777777">
        <w:trPr>
          <w:jc w:val="center"/>
        </w:trPr>
        <w:tc>
          <w:tcPr>
            <w:tcW w:w="1061" w:type="pct"/>
          </w:tcPr>
          <w:p w14:paraId="50260B40" w14:textId="77777777" w:rsidR="002E474C" w:rsidRDefault="00000000">
            <w:pPr>
              <w:pStyle w:val="A-"/>
            </w:pPr>
            <w:r>
              <w:t>7</w:t>
            </w:r>
            <w:r>
              <w:t>月</w:t>
            </w:r>
          </w:p>
        </w:tc>
        <w:tc>
          <w:tcPr>
            <w:tcW w:w="1352" w:type="pct"/>
            <w:vAlign w:val="center"/>
          </w:tcPr>
          <w:p w14:paraId="5E8A8764" w14:textId="77777777" w:rsidR="002E474C" w:rsidRDefault="00000000">
            <w:pPr>
              <w:pStyle w:val="A-"/>
            </w:pPr>
            <w:r>
              <w:t>1.3</w:t>
            </w:r>
            <w:r>
              <w:t>～</w:t>
            </w:r>
            <w:r>
              <w:t>2.5</w:t>
            </w:r>
          </w:p>
        </w:tc>
        <w:tc>
          <w:tcPr>
            <w:tcW w:w="1559" w:type="pct"/>
            <w:vMerge/>
            <w:vAlign w:val="center"/>
          </w:tcPr>
          <w:p w14:paraId="0378EBD0" w14:textId="77777777" w:rsidR="002E474C" w:rsidRDefault="002E474C">
            <w:pPr>
              <w:pStyle w:val="A-"/>
            </w:pPr>
          </w:p>
        </w:tc>
        <w:tc>
          <w:tcPr>
            <w:tcW w:w="1027" w:type="pct"/>
          </w:tcPr>
          <w:p w14:paraId="50FB2DEE" w14:textId="77777777" w:rsidR="002E474C" w:rsidRDefault="00000000">
            <w:pPr>
              <w:pStyle w:val="A-"/>
            </w:pPr>
            <w:r>
              <w:t>达标</w:t>
            </w:r>
          </w:p>
        </w:tc>
      </w:tr>
      <w:tr w:rsidR="002E474C" w14:paraId="0B88D618" w14:textId="77777777">
        <w:trPr>
          <w:jc w:val="center"/>
        </w:trPr>
        <w:tc>
          <w:tcPr>
            <w:tcW w:w="1061" w:type="pct"/>
          </w:tcPr>
          <w:p w14:paraId="4638B63C" w14:textId="77777777" w:rsidR="002E474C" w:rsidRDefault="00000000">
            <w:pPr>
              <w:pStyle w:val="A-"/>
            </w:pPr>
            <w:r>
              <w:t>8</w:t>
            </w:r>
            <w:r>
              <w:t>月</w:t>
            </w:r>
          </w:p>
        </w:tc>
        <w:tc>
          <w:tcPr>
            <w:tcW w:w="1352" w:type="pct"/>
            <w:vAlign w:val="center"/>
          </w:tcPr>
          <w:p w14:paraId="08B3E634" w14:textId="77777777" w:rsidR="002E474C" w:rsidRDefault="00000000">
            <w:pPr>
              <w:pStyle w:val="A-"/>
            </w:pPr>
            <w:r>
              <w:t>1.2</w:t>
            </w:r>
            <w:r>
              <w:t>～</w:t>
            </w:r>
            <w:r>
              <w:t>1.8</w:t>
            </w:r>
          </w:p>
        </w:tc>
        <w:tc>
          <w:tcPr>
            <w:tcW w:w="1559" w:type="pct"/>
            <w:vMerge/>
            <w:vAlign w:val="center"/>
          </w:tcPr>
          <w:p w14:paraId="78931A86" w14:textId="77777777" w:rsidR="002E474C" w:rsidRDefault="002E474C">
            <w:pPr>
              <w:pStyle w:val="A-"/>
            </w:pPr>
          </w:p>
        </w:tc>
        <w:tc>
          <w:tcPr>
            <w:tcW w:w="1027" w:type="pct"/>
          </w:tcPr>
          <w:p w14:paraId="3E6D8B61" w14:textId="77777777" w:rsidR="002E474C" w:rsidRDefault="00000000">
            <w:pPr>
              <w:pStyle w:val="A-"/>
            </w:pPr>
            <w:r>
              <w:t>达标</w:t>
            </w:r>
          </w:p>
        </w:tc>
      </w:tr>
      <w:tr w:rsidR="002E474C" w14:paraId="0ECA207E" w14:textId="77777777">
        <w:trPr>
          <w:jc w:val="center"/>
        </w:trPr>
        <w:tc>
          <w:tcPr>
            <w:tcW w:w="1061" w:type="pct"/>
          </w:tcPr>
          <w:p w14:paraId="1B89FFA2" w14:textId="77777777" w:rsidR="002E474C" w:rsidRDefault="00000000">
            <w:pPr>
              <w:pStyle w:val="A-"/>
            </w:pPr>
            <w:r>
              <w:t>9</w:t>
            </w:r>
            <w:r>
              <w:t>月</w:t>
            </w:r>
          </w:p>
        </w:tc>
        <w:tc>
          <w:tcPr>
            <w:tcW w:w="1352" w:type="pct"/>
            <w:vAlign w:val="center"/>
          </w:tcPr>
          <w:p w14:paraId="1820A413" w14:textId="77777777" w:rsidR="002E474C" w:rsidRDefault="00000000">
            <w:pPr>
              <w:pStyle w:val="A-"/>
            </w:pPr>
            <w:r>
              <w:t>1.2</w:t>
            </w:r>
            <w:r>
              <w:t>～</w:t>
            </w:r>
            <w:r>
              <w:t>1.8</w:t>
            </w:r>
          </w:p>
        </w:tc>
        <w:tc>
          <w:tcPr>
            <w:tcW w:w="1559" w:type="pct"/>
            <w:vMerge/>
            <w:vAlign w:val="center"/>
          </w:tcPr>
          <w:p w14:paraId="3743258D" w14:textId="77777777" w:rsidR="002E474C" w:rsidRDefault="002E474C">
            <w:pPr>
              <w:pStyle w:val="A-"/>
            </w:pPr>
          </w:p>
        </w:tc>
        <w:tc>
          <w:tcPr>
            <w:tcW w:w="1027" w:type="pct"/>
          </w:tcPr>
          <w:p w14:paraId="260451FD" w14:textId="77777777" w:rsidR="002E474C" w:rsidRDefault="00000000">
            <w:pPr>
              <w:pStyle w:val="A-"/>
            </w:pPr>
            <w:r>
              <w:t>达标</w:t>
            </w:r>
          </w:p>
        </w:tc>
      </w:tr>
      <w:tr w:rsidR="002E474C" w14:paraId="0E296036" w14:textId="77777777">
        <w:trPr>
          <w:jc w:val="center"/>
        </w:trPr>
        <w:tc>
          <w:tcPr>
            <w:tcW w:w="1061" w:type="pct"/>
          </w:tcPr>
          <w:p w14:paraId="7B4D437B" w14:textId="77777777" w:rsidR="002E474C" w:rsidRDefault="00000000">
            <w:pPr>
              <w:pStyle w:val="A-"/>
            </w:pPr>
            <w:r>
              <w:t>10</w:t>
            </w:r>
            <w:r>
              <w:t>月</w:t>
            </w:r>
          </w:p>
        </w:tc>
        <w:tc>
          <w:tcPr>
            <w:tcW w:w="1352" w:type="pct"/>
            <w:vAlign w:val="center"/>
          </w:tcPr>
          <w:p w14:paraId="5E22D159" w14:textId="77777777" w:rsidR="002E474C" w:rsidRDefault="00000000">
            <w:pPr>
              <w:pStyle w:val="A-"/>
            </w:pPr>
            <w:r>
              <w:t>1.1</w:t>
            </w:r>
            <w:r>
              <w:t>～</w:t>
            </w:r>
            <w:r>
              <w:t>1.8</w:t>
            </w:r>
          </w:p>
        </w:tc>
        <w:tc>
          <w:tcPr>
            <w:tcW w:w="1559" w:type="pct"/>
            <w:vMerge/>
            <w:vAlign w:val="center"/>
          </w:tcPr>
          <w:p w14:paraId="78C63359" w14:textId="77777777" w:rsidR="002E474C" w:rsidRDefault="002E474C">
            <w:pPr>
              <w:pStyle w:val="A-"/>
            </w:pPr>
          </w:p>
        </w:tc>
        <w:tc>
          <w:tcPr>
            <w:tcW w:w="1027" w:type="pct"/>
          </w:tcPr>
          <w:p w14:paraId="66ACCC60" w14:textId="77777777" w:rsidR="002E474C" w:rsidRDefault="00000000">
            <w:pPr>
              <w:pStyle w:val="A-"/>
            </w:pPr>
            <w:r>
              <w:t>达标</w:t>
            </w:r>
          </w:p>
        </w:tc>
      </w:tr>
      <w:tr w:rsidR="002E474C" w14:paraId="621D9D11" w14:textId="77777777">
        <w:trPr>
          <w:jc w:val="center"/>
        </w:trPr>
        <w:tc>
          <w:tcPr>
            <w:tcW w:w="1061" w:type="pct"/>
          </w:tcPr>
          <w:p w14:paraId="645CA938" w14:textId="77777777" w:rsidR="002E474C" w:rsidRDefault="00000000">
            <w:pPr>
              <w:pStyle w:val="A-"/>
            </w:pPr>
            <w:r>
              <w:t>11</w:t>
            </w:r>
            <w:r>
              <w:t>月</w:t>
            </w:r>
          </w:p>
        </w:tc>
        <w:tc>
          <w:tcPr>
            <w:tcW w:w="1352" w:type="pct"/>
            <w:vAlign w:val="center"/>
          </w:tcPr>
          <w:p w14:paraId="51D4AC9F" w14:textId="77777777" w:rsidR="002E474C" w:rsidRDefault="00000000">
            <w:pPr>
              <w:pStyle w:val="A-"/>
            </w:pPr>
            <w:r>
              <w:t>1.4</w:t>
            </w:r>
            <w:r>
              <w:t>～</w:t>
            </w:r>
            <w:r>
              <w:t>2.8</w:t>
            </w:r>
          </w:p>
        </w:tc>
        <w:tc>
          <w:tcPr>
            <w:tcW w:w="1559" w:type="pct"/>
            <w:vMerge/>
            <w:vAlign w:val="center"/>
          </w:tcPr>
          <w:p w14:paraId="66EF4373" w14:textId="77777777" w:rsidR="002E474C" w:rsidRDefault="002E474C">
            <w:pPr>
              <w:pStyle w:val="A-"/>
            </w:pPr>
          </w:p>
        </w:tc>
        <w:tc>
          <w:tcPr>
            <w:tcW w:w="1027" w:type="pct"/>
          </w:tcPr>
          <w:p w14:paraId="03FB7E01" w14:textId="77777777" w:rsidR="002E474C" w:rsidRDefault="00000000">
            <w:pPr>
              <w:pStyle w:val="A-"/>
            </w:pPr>
            <w:r>
              <w:t>达标</w:t>
            </w:r>
          </w:p>
        </w:tc>
      </w:tr>
      <w:tr w:rsidR="002E474C" w14:paraId="38852783" w14:textId="77777777">
        <w:trPr>
          <w:jc w:val="center"/>
        </w:trPr>
        <w:tc>
          <w:tcPr>
            <w:tcW w:w="1061" w:type="pct"/>
          </w:tcPr>
          <w:p w14:paraId="251F7190" w14:textId="77777777" w:rsidR="002E474C" w:rsidRDefault="00000000">
            <w:pPr>
              <w:pStyle w:val="A-"/>
            </w:pPr>
            <w:r>
              <w:t>12</w:t>
            </w:r>
            <w:r>
              <w:t>月</w:t>
            </w:r>
          </w:p>
        </w:tc>
        <w:tc>
          <w:tcPr>
            <w:tcW w:w="1352" w:type="pct"/>
            <w:vAlign w:val="center"/>
          </w:tcPr>
          <w:p w14:paraId="425479BA" w14:textId="77777777" w:rsidR="002E474C" w:rsidRDefault="00000000">
            <w:pPr>
              <w:pStyle w:val="A-"/>
            </w:pPr>
            <w:r>
              <w:t>1.6</w:t>
            </w:r>
            <w:r>
              <w:t>～</w:t>
            </w:r>
            <w:r>
              <w:t>2.9</w:t>
            </w:r>
          </w:p>
        </w:tc>
        <w:tc>
          <w:tcPr>
            <w:tcW w:w="1559" w:type="pct"/>
            <w:vMerge/>
            <w:vAlign w:val="center"/>
          </w:tcPr>
          <w:p w14:paraId="3DCEBB4C" w14:textId="77777777" w:rsidR="002E474C" w:rsidRDefault="002E474C">
            <w:pPr>
              <w:pStyle w:val="A-"/>
            </w:pPr>
          </w:p>
        </w:tc>
        <w:tc>
          <w:tcPr>
            <w:tcW w:w="1027" w:type="pct"/>
          </w:tcPr>
          <w:p w14:paraId="3EF42D93" w14:textId="77777777" w:rsidR="002E474C" w:rsidRDefault="00000000">
            <w:pPr>
              <w:pStyle w:val="A-"/>
            </w:pPr>
            <w:r>
              <w:t>达标</w:t>
            </w:r>
          </w:p>
        </w:tc>
      </w:tr>
    </w:tbl>
    <w:p w14:paraId="67498E86" w14:textId="77777777" w:rsidR="002E474C" w:rsidRDefault="002E474C">
      <w:pPr>
        <w:pStyle w:val="A-0"/>
        <w:rPr>
          <w:color w:val="auto"/>
        </w:rPr>
      </w:pPr>
      <w:bookmarkStart w:id="120" w:name="_Ref150873867"/>
    </w:p>
    <w:p w14:paraId="5E49ABEE" w14:textId="77777777" w:rsidR="002E474C" w:rsidRDefault="00000000">
      <w:pPr>
        <w:pStyle w:val="A-z"/>
        <w:rPr>
          <w:color w:val="auto"/>
        </w:rPr>
      </w:pPr>
      <w:r>
        <w:rPr>
          <w:color w:val="auto"/>
        </w:rPr>
        <w:t>根据调查，烟气在线监测数据有两个特征：</w:t>
      </w:r>
      <w:r>
        <w:rPr>
          <w:color w:val="auto"/>
        </w:rPr>
        <w:t>①</w:t>
      </w:r>
      <w:r>
        <w:rPr>
          <w:color w:val="auto"/>
        </w:rPr>
        <w:t>在稳定排放情况下，在线监测数据在合理、达标范围内上下波动，波动范围相对较大；</w:t>
      </w:r>
      <w:r>
        <w:rPr>
          <w:color w:val="auto"/>
        </w:rPr>
        <w:t>②</w:t>
      </w:r>
      <w:r>
        <w:rPr>
          <w:color w:val="auto"/>
        </w:rPr>
        <w:t>局部某个范围内存在短时间的超标情况。结合生产线运行情况综合分析，主要有以下两个方面的原因：</w:t>
      </w:r>
    </w:p>
    <w:p w14:paraId="2520A0FA" w14:textId="77777777" w:rsidR="002E474C" w:rsidRDefault="00000000">
      <w:pPr>
        <w:pStyle w:val="A-z"/>
        <w:rPr>
          <w:color w:val="auto"/>
        </w:rPr>
      </w:pPr>
      <w:r>
        <w:rPr>
          <w:color w:val="auto"/>
        </w:rPr>
        <w:t>1</w:t>
      </w:r>
      <w:r>
        <w:rPr>
          <w:color w:val="auto"/>
        </w:rPr>
        <w:t>）受原辅材料及燃料成分波动、生产工况调节的影响，水泥窑正常运行时的窑尾排放烟气也会在一定程度范围内波动，但整体上能够实现达标排放。</w:t>
      </w:r>
    </w:p>
    <w:p w14:paraId="79C26789" w14:textId="77777777" w:rsidR="002E474C" w:rsidRDefault="00000000">
      <w:pPr>
        <w:pStyle w:val="A-z"/>
        <w:rPr>
          <w:color w:val="auto"/>
        </w:rPr>
      </w:pPr>
      <w:r>
        <w:rPr>
          <w:color w:val="auto"/>
        </w:rPr>
        <w:t>2</w:t>
      </w:r>
      <w:r>
        <w:rPr>
          <w:color w:val="auto"/>
        </w:rPr>
        <w:t>）水泥行业正常生产过程中，为确保水泥生产线稳定运行，需定期进行维修检修、系统调试；同时，由于生产设施、监测设备及运行工况异常等原因会出现临时停机情况，这些情况的产生都伴随着窑炉的重新开机、停机。根据水泥行业实际生产操作经验，窑炉开机、停机时窑尾排放烟气在一定范围内出现超标，是水泥行业不可避免的生产工作状态，属于非正常工况。</w:t>
      </w:r>
    </w:p>
    <w:p w14:paraId="269C8B8E" w14:textId="77777777" w:rsidR="002E474C" w:rsidRDefault="00000000">
      <w:pPr>
        <w:pStyle w:val="A-z"/>
        <w:rPr>
          <w:color w:val="auto"/>
        </w:rPr>
      </w:pPr>
      <w:r>
        <w:rPr>
          <w:color w:val="auto"/>
        </w:rPr>
        <w:t>3</w:t>
      </w:r>
      <w:r>
        <w:rPr>
          <w:color w:val="auto"/>
        </w:rPr>
        <w:t>）窑头烟气电袋除尘设施运行稳定，未出现超标情况。</w:t>
      </w:r>
    </w:p>
    <w:p w14:paraId="0F964521" w14:textId="77777777" w:rsidR="002E474C" w:rsidRDefault="002E474C">
      <w:pPr>
        <w:pStyle w:val="A-0"/>
        <w:jc w:val="left"/>
        <w:rPr>
          <w:color w:val="auto"/>
        </w:rPr>
      </w:pPr>
    </w:p>
    <w:p w14:paraId="36DB7C1F" w14:textId="77777777" w:rsidR="002E474C" w:rsidRDefault="002E474C">
      <w:pPr>
        <w:pStyle w:val="A-0"/>
        <w:rPr>
          <w:color w:val="auto"/>
        </w:rPr>
        <w:sectPr w:rsidR="002E474C">
          <w:headerReference w:type="default" r:id="rId22"/>
          <w:pgSz w:w="11906" w:h="16838"/>
          <w:pgMar w:top="1440" w:right="1800" w:bottom="1440" w:left="1800" w:header="851" w:footer="992" w:gutter="0"/>
          <w:cols w:space="720"/>
          <w:docGrid w:linePitch="312"/>
        </w:sectPr>
      </w:pPr>
    </w:p>
    <w:p w14:paraId="1D357B12" w14:textId="77777777" w:rsidR="002E474C" w:rsidRDefault="002E474C">
      <w:pPr>
        <w:pStyle w:val="A-0"/>
        <w:spacing w:beforeLines="0" w:before="0" w:line="240" w:lineRule="exact"/>
        <w:rPr>
          <w:color w:val="auto"/>
        </w:rPr>
      </w:pPr>
    </w:p>
    <w:p w14:paraId="27BF11CB" w14:textId="77777777" w:rsidR="002E474C" w:rsidRDefault="00000000">
      <w:pPr>
        <w:pStyle w:val="A--"/>
        <w:rPr>
          <w:color w:val="auto"/>
        </w:rPr>
      </w:pPr>
      <w:r>
        <w:rPr>
          <w:color w:val="auto"/>
        </w:rPr>
        <w:t>表</w:t>
      </w:r>
      <w:bookmarkEnd w:id="120"/>
      <w:r>
        <w:rPr>
          <w:color w:val="auto"/>
        </w:rPr>
        <w:t>3.1-9  2025</w:t>
      </w:r>
      <w:r>
        <w:rPr>
          <w:color w:val="auto"/>
        </w:rPr>
        <w:t>年水泥厂窑尾废气在线监测结果统计表</w:t>
      </w:r>
      <w:r>
        <w:rPr>
          <w:color w:val="auto"/>
        </w:rPr>
        <w:t xml:space="preserve">  </w:t>
      </w:r>
      <w:r>
        <w:rPr>
          <w:color w:val="auto"/>
        </w:rPr>
        <w:t>单位：</w:t>
      </w:r>
      <w:r>
        <w:rPr>
          <w:color w:val="auto"/>
        </w:rPr>
        <w:t>mg/m</w:t>
      </w:r>
      <w:r>
        <w:rPr>
          <w:color w:val="auto"/>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478"/>
        <w:gridCol w:w="1286"/>
        <w:gridCol w:w="1286"/>
        <w:gridCol w:w="1607"/>
        <w:gridCol w:w="1286"/>
        <w:gridCol w:w="1286"/>
        <w:gridCol w:w="1861"/>
        <w:gridCol w:w="1286"/>
        <w:gridCol w:w="1286"/>
      </w:tblGrid>
      <w:tr w:rsidR="002E474C" w14:paraId="203C1CBC" w14:textId="77777777">
        <w:trPr>
          <w:tblHeader/>
        </w:trPr>
        <w:tc>
          <w:tcPr>
            <w:tcW w:w="461" w:type="pct"/>
            <w:vMerge w:val="restart"/>
            <w:vAlign w:val="center"/>
          </w:tcPr>
          <w:p w14:paraId="681A71AF" w14:textId="77777777" w:rsidR="002E474C" w:rsidRDefault="00000000">
            <w:pPr>
              <w:pStyle w:val="A-"/>
            </w:pPr>
            <w:r>
              <w:t>监测时间</w:t>
            </w:r>
          </w:p>
        </w:tc>
        <w:tc>
          <w:tcPr>
            <w:tcW w:w="1452" w:type="pct"/>
            <w:gridSpan w:val="3"/>
            <w:vAlign w:val="center"/>
          </w:tcPr>
          <w:p w14:paraId="598837B7" w14:textId="77777777" w:rsidR="002E474C" w:rsidRDefault="00000000">
            <w:pPr>
              <w:pStyle w:val="A-"/>
            </w:pPr>
            <w:r>
              <w:t>颗粒物</w:t>
            </w:r>
          </w:p>
        </w:tc>
        <w:tc>
          <w:tcPr>
            <w:tcW w:w="1498" w:type="pct"/>
            <w:gridSpan w:val="3"/>
            <w:vAlign w:val="center"/>
          </w:tcPr>
          <w:p w14:paraId="59CE4BF5" w14:textId="77777777" w:rsidR="002E474C" w:rsidRDefault="00000000">
            <w:pPr>
              <w:pStyle w:val="A-"/>
            </w:pPr>
            <w:r>
              <w:t>二氧化硫</w:t>
            </w:r>
          </w:p>
        </w:tc>
        <w:tc>
          <w:tcPr>
            <w:tcW w:w="1589" w:type="pct"/>
            <w:gridSpan w:val="3"/>
            <w:vAlign w:val="center"/>
          </w:tcPr>
          <w:p w14:paraId="5A44E618" w14:textId="77777777" w:rsidR="002E474C" w:rsidRDefault="00000000">
            <w:pPr>
              <w:pStyle w:val="A-"/>
            </w:pPr>
            <w:r>
              <w:t>氮氧化物</w:t>
            </w:r>
          </w:p>
        </w:tc>
      </w:tr>
      <w:tr w:rsidR="002E474C" w14:paraId="0D4A6E5B" w14:textId="77777777">
        <w:trPr>
          <w:tblHeader/>
        </w:trPr>
        <w:tc>
          <w:tcPr>
            <w:tcW w:w="461" w:type="pct"/>
            <w:vMerge/>
            <w:vAlign w:val="center"/>
          </w:tcPr>
          <w:p w14:paraId="3D270EFF" w14:textId="77777777" w:rsidR="002E474C" w:rsidRDefault="002E474C">
            <w:pPr>
              <w:pStyle w:val="A-"/>
            </w:pPr>
          </w:p>
        </w:tc>
        <w:tc>
          <w:tcPr>
            <w:tcW w:w="530" w:type="pct"/>
            <w:vAlign w:val="center"/>
          </w:tcPr>
          <w:p w14:paraId="1E77170B" w14:textId="77777777" w:rsidR="002E474C" w:rsidRDefault="00000000">
            <w:pPr>
              <w:pStyle w:val="A-"/>
            </w:pPr>
            <w:r>
              <w:t>折算浓度值</w:t>
            </w:r>
          </w:p>
        </w:tc>
        <w:tc>
          <w:tcPr>
            <w:tcW w:w="461" w:type="pct"/>
            <w:vAlign w:val="center"/>
          </w:tcPr>
          <w:p w14:paraId="59BBC2A2" w14:textId="77777777" w:rsidR="002E474C" w:rsidRDefault="00000000">
            <w:pPr>
              <w:pStyle w:val="A-"/>
            </w:pPr>
            <w:r>
              <w:t>标准限值</w:t>
            </w:r>
          </w:p>
        </w:tc>
        <w:tc>
          <w:tcPr>
            <w:tcW w:w="461" w:type="pct"/>
            <w:vAlign w:val="center"/>
          </w:tcPr>
          <w:p w14:paraId="13269F30" w14:textId="77777777" w:rsidR="002E474C" w:rsidRDefault="00000000">
            <w:pPr>
              <w:pStyle w:val="A-"/>
            </w:pPr>
            <w:r>
              <w:t>达标情况</w:t>
            </w:r>
          </w:p>
        </w:tc>
        <w:tc>
          <w:tcPr>
            <w:tcW w:w="576" w:type="pct"/>
            <w:vAlign w:val="center"/>
          </w:tcPr>
          <w:p w14:paraId="4BB5C236" w14:textId="77777777" w:rsidR="002E474C" w:rsidRDefault="00000000">
            <w:pPr>
              <w:pStyle w:val="A-"/>
            </w:pPr>
            <w:r>
              <w:t>折算浓度值</w:t>
            </w:r>
          </w:p>
        </w:tc>
        <w:tc>
          <w:tcPr>
            <w:tcW w:w="461" w:type="pct"/>
            <w:vAlign w:val="center"/>
          </w:tcPr>
          <w:p w14:paraId="16E8804A" w14:textId="77777777" w:rsidR="002E474C" w:rsidRDefault="00000000">
            <w:pPr>
              <w:pStyle w:val="A-"/>
            </w:pPr>
            <w:r>
              <w:t>标准限值</w:t>
            </w:r>
          </w:p>
        </w:tc>
        <w:tc>
          <w:tcPr>
            <w:tcW w:w="461" w:type="pct"/>
            <w:vAlign w:val="center"/>
          </w:tcPr>
          <w:p w14:paraId="708E5538" w14:textId="77777777" w:rsidR="002E474C" w:rsidRDefault="00000000">
            <w:pPr>
              <w:pStyle w:val="A-"/>
            </w:pPr>
            <w:r>
              <w:t>达标情况</w:t>
            </w:r>
          </w:p>
        </w:tc>
        <w:tc>
          <w:tcPr>
            <w:tcW w:w="667" w:type="pct"/>
            <w:vAlign w:val="center"/>
          </w:tcPr>
          <w:p w14:paraId="1F684A58" w14:textId="77777777" w:rsidR="002E474C" w:rsidRDefault="00000000">
            <w:pPr>
              <w:pStyle w:val="A-"/>
            </w:pPr>
            <w:r>
              <w:t>折算浓度值</w:t>
            </w:r>
          </w:p>
        </w:tc>
        <w:tc>
          <w:tcPr>
            <w:tcW w:w="461" w:type="pct"/>
            <w:vAlign w:val="center"/>
          </w:tcPr>
          <w:p w14:paraId="7EF8D553" w14:textId="77777777" w:rsidR="002E474C" w:rsidRDefault="00000000">
            <w:pPr>
              <w:pStyle w:val="A-"/>
            </w:pPr>
            <w:r>
              <w:t>标准限值</w:t>
            </w:r>
          </w:p>
        </w:tc>
        <w:tc>
          <w:tcPr>
            <w:tcW w:w="461" w:type="pct"/>
            <w:vAlign w:val="center"/>
          </w:tcPr>
          <w:p w14:paraId="2B1CDCAC" w14:textId="77777777" w:rsidR="002E474C" w:rsidRDefault="00000000">
            <w:pPr>
              <w:pStyle w:val="A-"/>
            </w:pPr>
            <w:r>
              <w:t>达标情况</w:t>
            </w:r>
          </w:p>
        </w:tc>
      </w:tr>
      <w:tr w:rsidR="002E474C" w14:paraId="6CC5EB3C" w14:textId="77777777">
        <w:trPr>
          <w:tblHeader/>
        </w:trPr>
        <w:tc>
          <w:tcPr>
            <w:tcW w:w="461" w:type="pct"/>
            <w:vAlign w:val="center"/>
          </w:tcPr>
          <w:p w14:paraId="7B78518D" w14:textId="77777777" w:rsidR="002E474C" w:rsidRDefault="00000000">
            <w:pPr>
              <w:pStyle w:val="A-"/>
            </w:pPr>
            <w:r>
              <w:t>1</w:t>
            </w:r>
            <w:r>
              <w:t>月</w:t>
            </w:r>
          </w:p>
        </w:tc>
        <w:tc>
          <w:tcPr>
            <w:tcW w:w="530" w:type="pct"/>
            <w:vAlign w:val="center"/>
          </w:tcPr>
          <w:p w14:paraId="51DD8CC7" w14:textId="77777777" w:rsidR="002E474C" w:rsidRDefault="00000000">
            <w:pPr>
              <w:pStyle w:val="A-"/>
            </w:pPr>
            <w:r>
              <w:t>3.11</w:t>
            </w:r>
            <w:r>
              <w:t>～</w:t>
            </w:r>
            <w:r>
              <w:t>5.12</w:t>
            </w:r>
          </w:p>
        </w:tc>
        <w:tc>
          <w:tcPr>
            <w:tcW w:w="461" w:type="pct"/>
            <w:vMerge w:val="restart"/>
            <w:vAlign w:val="center"/>
          </w:tcPr>
          <w:p w14:paraId="3B6E8031" w14:textId="77777777" w:rsidR="002E474C" w:rsidRDefault="00000000">
            <w:pPr>
              <w:pStyle w:val="A-"/>
            </w:pPr>
            <w:r>
              <w:t>30</w:t>
            </w:r>
          </w:p>
        </w:tc>
        <w:tc>
          <w:tcPr>
            <w:tcW w:w="461" w:type="pct"/>
            <w:vAlign w:val="center"/>
          </w:tcPr>
          <w:p w14:paraId="19389FBC" w14:textId="77777777" w:rsidR="002E474C" w:rsidRDefault="00000000">
            <w:pPr>
              <w:pStyle w:val="A-"/>
            </w:pPr>
            <w:r>
              <w:t>达标</w:t>
            </w:r>
          </w:p>
        </w:tc>
        <w:tc>
          <w:tcPr>
            <w:tcW w:w="576" w:type="pct"/>
            <w:vAlign w:val="center"/>
          </w:tcPr>
          <w:p w14:paraId="2C54B129" w14:textId="77777777" w:rsidR="002E474C" w:rsidRDefault="00000000">
            <w:pPr>
              <w:pStyle w:val="A-"/>
            </w:pPr>
            <w:r>
              <w:t>9.84</w:t>
            </w:r>
            <w:r>
              <w:t>～</w:t>
            </w:r>
            <w:r>
              <w:t>32.34</w:t>
            </w:r>
          </w:p>
        </w:tc>
        <w:tc>
          <w:tcPr>
            <w:tcW w:w="461" w:type="pct"/>
            <w:vMerge w:val="restart"/>
            <w:vAlign w:val="center"/>
          </w:tcPr>
          <w:p w14:paraId="481D3EC5" w14:textId="77777777" w:rsidR="002E474C" w:rsidRDefault="00000000">
            <w:pPr>
              <w:pStyle w:val="A-"/>
            </w:pPr>
            <w:r>
              <w:t>200</w:t>
            </w:r>
          </w:p>
        </w:tc>
        <w:tc>
          <w:tcPr>
            <w:tcW w:w="461" w:type="pct"/>
            <w:vAlign w:val="center"/>
          </w:tcPr>
          <w:p w14:paraId="24FDF358" w14:textId="77777777" w:rsidR="002E474C" w:rsidRDefault="00000000">
            <w:pPr>
              <w:pStyle w:val="A-"/>
            </w:pPr>
            <w:r>
              <w:t>达标</w:t>
            </w:r>
          </w:p>
        </w:tc>
        <w:tc>
          <w:tcPr>
            <w:tcW w:w="667" w:type="pct"/>
            <w:vAlign w:val="center"/>
          </w:tcPr>
          <w:p w14:paraId="3D6D4066" w14:textId="77777777" w:rsidR="002E474C" w:rsidRDefault="00000000">
            <w:pPr>
              <w:pStyle w:val="A-"/>
            </w:pPr>
            <w:r>
              <w:t>45.08</w:t>
            </w:r>
            <w:r>
              <w:t>～</w:t>
            </w:r>
            <w:r>
              <w:t>159.04</w:t>
            </w:r>
          </w:p>
        </w:tc>
        <w:tc>
          <w:tcPr>
            <w:tcW w:w="461" w:type="pct"/>
            <w:vMerge w:val="restart"/>
            <w:vAlign w:val="center"/>
          </w:tcPr>
          <w:p w14:paraId="234C6332" w14:textId="77777777" w:rsidR="002E474C" w:rsidRDefault="00000000">
            <w:pPr>
              <w:pStyle w:val="A-"/>
            </w:pPr>
            <w:r>
              <w:t>400</w:t>
            </w:r>
          </w:p>
        </w:tc>
        <w:tc>
          <w:tcPr>
            <w:tcW w:w="461" w:type="pct"/>
            <w:vAlign w:val="center"/>
          </w:tcPr>
          <w:p w14:paraId="44863C59" w14:textId="77777777" w:rsidR="002E474C" w:rsidRDefault="00000000">
            <w:pPr>
              <w:pStyle w:val="A-"/>
            </w:pPr>
            <w:r>
              <w:t>达标</w:t>
            </w:r>
          </w:p>
        </w:tc>
      </w:tr>
      <w:tr w:rsidR="002E474C" w14:paraId="4DCDA8C9" w14:textId="77777777">
        <w:trPr>
          <w:tblHeader/>
        </w:trPr>
        <w:tc>
          <w:tcPr>
            <w:tcW w:w="461" w:type="pct"/>
            <w:vAlign w:val="center"/>
          </w:tcPr>
          <w:p w14:paraId="7FDE52E1" w14:textId="77777777" w:rsidR="002E474C" w:rsidRDefault="00000000">
            <w:pPr>
              <w:pStyle w:val="A-"/>
            </w:pPr>
            <w:r>
              <w:t>2</w:t>
            </w:r>
            <w:r>
              <w:t>月</w:t>
            </w:r>
          </w:p>
        </w:tc>
        <w:tc>
          <w:tcPr>
            <w:tcW w:w="530" w:type="pct"/>
            <w:vAlign w:val="center"/>
          </w:tcPr>
          <w:p w14:paraId="0F1E8C22" w14:textId="77777777" w:rsidR="002E474C" w:rsidRDefault="00000000">
            <w:pPr>
              <w:pStyle w:val="A-"/>
            </w:pPr>
            <w:r>
              <w:t>3.28</w:t>
            </w:r>
            <w:r>
              <w:t>～</w:t>
            </w:r>
            <w:r>
              <w:t>6.26</w:t>
            </w:r>
          </w:p>
        </w:tc>
        <w:tc>
          <w:tcPr>
            <w:tcW w:w="461" w:type="pct"/>
            <w:vMerge/>
            <w:vAlign w:val="center"/>
          </w:tcPr>
          <w:p w14:paraId="21F2BAB6" w14:textId="77777777" w:rsidR="002E474C" w:rsidRDefault="002E474C">
            <w:pPr>
              <w:pStyle w:val="A-"/>
            </w:pPr>
          </w:p>
        </w:tc>
        <w:tc>
          <w:tcPr>
            <w:tcW w:w="461" w:type="pct"/>
          </w:tcPr>
          <w:p w14:paraId="77F1A118" w14:textId="77777777" w:rsidR="002E474C" w:rsidRDefault="00000000">
            <w:pPr>
              <w:pStyle w:val="A-"/>
            </w:pPr>
            <w:r>
              <w:t>达标</w:t>
            </w:r>
          </w:p>
        </w:tc>
        <w:tc>
          <w:tcPr>
            <w:tcW w:w="576" w:type="pct"/>
            <w:vAlign w:val="center"/>
          </w:tcPr>
          <w:p w14:paraId="0BBE12C7" w14:textId="77777777" w:rsidR="002E474C" w:rsidRDefault="00000000">
            <w:pPr>
              <w:pStyle w:val="A-"/>
            </w:pPr>
            <w:r>
              <w:t>9.51</w:t>
            </w:r>
            <w:r>
              <w:t>～</w:t>
            </w:r>
            <w:r>
              <w:t>13.88</w:t>
            </w:r>
          </w:p>
        </w:tc>
        <w:tc>
          <w:tcPr>
            <w:tcW w:w="461" w:type="pct"/>
            <w:vMerge/>
            <w:vAlign w:val="center"/>
          </w:tcPr>
          <w:p w14:paraId="15E315EA" w14:textId="77777777" w:rsidR="002E474C" w:rsidRDefault="002E474C">
            <w:pPr>
              <w:pStyle w:val="A-"/>
            </w:pPr>
          </w:p>
        </w:tc>
        <w:tc>
          <w:tcPr>
            <w:tcW w:w="461" w:type="pct"/>
          </w:tcPr>
          <w:p w14:paraId="43CC7FA2" w14:textId="77777777" w:rsidR="002E474C" w:rsidRDefault="00000000">
            <w:pPr>
              <w:pStyle w:val="A-"/>
            </w:pPr>
            <w:r>
              <w:t>达标</w:t>
            </w:r>
          </w:p>
        </w:tc>
        <w:tc>
          <w:tcPr>
            <w:tcW w:w="667" w:type="pct"/>
            <w:vAlign w:val="center"/>
          </w:tcPr>
          <w:p w14:paraId="17494A96" w14:textId="77777777" w:rsidR="002E474C" w:rsidRDefault="00000000">
            <w:pPr>
              <w:pStyle w:val="A-"/>
            </w:pPr>
            <w:r>
              <w:t>93.52</w:t>
            </w:r>
            <w:r>
              <w:t>～</w:t>
            </w:r>
            <w:r>
              <w:t>142.59</w:t>
            </w:r>
          </w:p>
        </w:tc>
        <w:tc>
          <w:tcPr>
            <w:tcW w:w="461" w:type="pct"/>
            <w:vMerge/>
            <w:vAlign w:val="center"/>
          </w:tcPr>
          <w:p w14:paraId="71BF2312" w14:textId="77777777" w:rsidR="002E474C" w:rsidRDefault="002E474C">
            <w:pPr>
              <w:pStyle w:val="A-"/>
            </w:pPr>
          </w:p>
        </w:tc>
        <w:tc>
          <w:tcPr>
            <w:tcW w:w="461" w:type="pct"/>
          </w:tcPr>
          <w:p w14:paraId="4CB16DC9" w14:textId="77777777" w:rsidR="002E474C" w:rsidRDefault="00000000">
            <w:pPr>
              <w:pStyle w:val="A-"/>
            </w:pPr>
            <w:r>
              <w:t>达标</w:t>
            </w:r>
          </w:p>
        </w:tc>
      </w:tr>
      <w:tr w:rsidR="002E474C" w14:paraId="0C26A28D" w14:textId="77777777">
        <w:trPr>
          <w:tblHeader/>
        </w:trPr>
        <w:tc>
          <w:tcPr>
            <w:tcW w:w="461" w:type="pct"/>
            <w:vAlign w:val="center"/>
          </w:tcPr>
          <w:p w14:paraId="65D10F05" w14:textId="77777777" w:rsidR="002E474C" w:rsidRDefault="00000000">
            <w:pPr>
              <w:pStyle w:val="A-"/>
            </w:pPr>
            <w:r>
              <w:t>3</w:t>
            </w:r>
            <w:r>
              <w:t>月</w:t>
            </w:r>
          </w:p>
        </w:tc>
        <w:tc>
          <w:tcPr>
            <w:tcW w:w="530" w:type="pct"/>
            <w:vAlign w:val="center"/>
          </w:tcPr>
          <w:p w14:paraId="203A1127" w14:textId="77777777" w:rsidR="002E474C" w:rsidRDefault="00000000">
            <w:pPr>
              <w:pStyle w:val="A-"/>
            </w:pPr>
            <w:r>
              <w:t>3.17</w:t>
            </w:r>
            <w:r>
              <w:t>～</w:t>
            </w:r>
            <w:r>
              <w:t>9.16</w:t>
            </w:r>
          </w:p>
        </w:tc>
        <w:tc>
          <w:tcPr>
            <w:tcW w:w="461" w:type="pct"/>
            <w:vMerge/>
            <w:vAlign w:val="center"/>
          </w:tcPr>
          <w:p w14:paraId="6EB0D2F1" w14:textId="77777777" w:rsidR="002E474C" w:rsidRDefault="002E474C">
            <w:pPr>
              <w:pStyle w:val="A-"/>
            </w:pPr>
          </w:p>
        </w:tc>
        <w:tc>
          <w:tcPr>
            <w:tcW w:w="461" w:type="pct"/>
          </w:tcPr>
          <w:p w14:paraId="10995639" w14:textId="77777777" w:rsidR="002E474C" w:rsidRDefault="00000000">
            <w:pPr>
              <w:pStyle w:val="A-"/>
            </w:pPr>
            <w:r>
              <w:t>达标</w:t>
            </w:r>
          </w:p>
        </w:tc>
        <w:tc>
          <w:tcPr>
            <w:tcW w:w="576" w:type="pct"/>
            <w:vAlign w:val="center"/>
          </w:tcPr>
          <w:p w14:paraId="658D871F" w14:textId="77777777" w:rsidR="002E474C" w:rsidRDefault="00000000">
            <w:pPr>
              <w:pStyle w:val="A-"/>
            </w:pPr>
            <w:r>
              <w:t>1.74</w:t>
            </w:r>
            <w:r>
              <w:t>～</w:t>
            </w:r>
            <w:r>
              <w:t>14.04</w:t>
            </w:r>
          </w:p>
        </w:tc>
        <w:tc>
          <w:tcPr>
            <w:tcW w:w="461" w:type="pct"/>
            <w:vMerge/>
            <w:vAlign w:val="center"/>
          </w:tcPr>
          <w:p w14:paraId="018595DE" w14:textId="77777777" w:rsidR="002E474C" w:rsidRDefault="002E474C">
            <w:pPr>
              <w:pStyle w:val="A-"/>
            </w:pPr>
          </w:p>
        </w:tc>
        <w:tc>
          <w:tcPr>
            <w:tcW w:w="461" w:type="pct"/>
          </w:tcPr>
          <w:p w14:paraId="7CD324CF" w14:textId="77777777" w:rsidR="002E474C" w:rsidRDefault="00000000">
            <w:pPr>
              <w:pStyle w:val="A-"/>
            </w:pPr>
            <w:r>
              <w:t>达标</w:t>
            </w:r>
          </w:p>
        </w:tc>
        <w:tc>
          <w:tcPr>
            <w:tcW w:w="667" w:type="pct"/>
            <w:vAlign w:val="center"/>
          </w:tcPr>
          <w:p w14:paraId="4B381E1F" w14:textId="77777777" w:rsidR="002E474C" w:rsidRDefault="00000000">
            <w:pPr>
              <w:pStyle w:val="A-"/>
            </w:pPr>
            <w:r>
              <w:t>30.62</w:t>
            </w:r>
            <w:r>
              <w:t>～</w:t>
            </w:r>
            <w:r>
              <w:t>144.17</w:t>
            </w:r>
          </w:p>
        </w:tc>
        <w:tc>
          <w:tcPr>
            <w:tcW w:w="461" w:type="pct"/>
            <w:vMerge/>
            <w:vAlign w:val="center"/>
          </w:tcPr>
          <w:p w14:paraId="42E8797B" w14:textId="77777777" w:rsidR="002E474C" w:rsidRDefault="002E474C">
            <w:pPr>
              <w:pStyle w:val="A-"/>
            </w:pPr>
          </w:p>
        </w:tc>
        <w:tc>
          <w:tcPr>
            <w:tcW w:w="461" w:type="pct"/>
          </w:tcPr>
          <w:p w14:paraId="6B8944F0" w14:textId="77777777" w:rsidR="002E474C" w:rsidRDefault="00000000">
            <w:pPr>
              <w:pStyle w:val="A-"/>
            </w:pPr>
            <w:r>
              <w:t>达标</w:t>
            </w:r>
          </w:p>
        </w:tc>
      </w:tr>
      <w:tr w:rsidR="002E474C" w14:paraId="5CC38F09" w14:textId="77777777">
        <w:trPr>
          <w:tblHeader/>
        </w:trPr>
        <w:tc>
          <w:tcPr>
            <w:tcW w:w="461" w:type="pct"/>
            <w:vAlign w:val="center"/>
          </w:tcPr>
          <w:p w14:paraId="4136BC56" w14:textId="77777777" w:rsidR="002E474C" w:rsidRDefault="00000000">
            <w:pPr>
              <w:pStyle w:val="A-"/>
            </w:pPr>
            <w:r>
              <w:t>4</w:t>
            </w:r>
            <w:r>
              <w:t>月</w:t>
            </w:r>
          </w:p>
        </w:tc>
        <w:tc>
          <w:tcPr>
            <w:tcW w:w="530" w:type="pct"/>
            <w:vAlign w:val="center"/>
          </w:tcPr>
          <w:p w14:paraId="6BE40329" w14:textId="77777777" w:rsidR="002E474C" w:rsidRDefault="00000000">
            <w:pPr>
              <w:pStyle w:val="A-"/>
            </w:pPr>
            <w:r>
              <w:t>/</w:t>
            </w:r>
          </w:p>
        </w:tc>
        <w:tc>
          <w:tcPr>
            <w:tcW w:w="461" w:type="pct"/>
            <w:vMerge/>
            <w:vAlign w:val="center"/>
          </w:tcPr>
          <w:p w14:paraId="255A2685" w14:textId="77777777" w:rsidR="002E474C" w:rsidRDefault="002E474C">
            <w:pPr>
              <w:pStyle w:val="A-"/>
            </w:pPr>
          </w:p>
        </w:tc>
        <w:tc>
          <w:tcPr>
            <w:tcW w:w="461" w:type="pct"/>
            <w:vAlign w:val="center"/>
          </w:tcPr>
          <w:p w14:paraId="0E848214" w14:textId="77777777" w:rsidR="002E474C" w:rsidRDefault="00000000">
            <w:pPr>
              <w:pStyle w:val="A-"/>
            </w:pPr>
            <w:r>
              <w:t>/</w:t>
            </w:r>
          </w:p>
        </w:tc>
        <w:tc>
          <w:tcPr>
            <w:tcW w:w="576" w:type="pct"/>
            <w:vAlign w:val="center"/>
          </w:tcPr>
          <w:p w14:paraId="0C7EF0DE" w14:textId="77777777" w:rsidR="002E474C" w:rsidRDefault="00000000">
            <w:pPr>
              <w:pStyle w:val="A-"/>
            </w:pPr>
            <w:r>
              <w:t>/</w:t>
            </w:r>
          </w:p>
        </w:tc>
        <w:tc>
          <w:tcPr>
            <w:tcW w:w="461" w:type="pct"/>
            <w:vMerge/>
            <w:vAlign w:val="center"/>
          </w:tcPr>
          <w:p w14:paraId="7CEB1F94" w14:textId="77777777" w:rsidR="002E474C" w:rsidRDefault="002E474C">
            <w:pPr>
              <w:pStyle w:val="A-"/>
            </w:pPr>
          </w:p>
        </w:tc>
        <w:tc>
          <w:tcPr>
            <w:tcW w:w="461" w:type="pct"/>
            <w:vAlign w:val="center"/>
          </w:tcPr>
          <w:p w14:paraId="6327740A" w14:textId="77777777" w:rsidR="002E474C" w:rsidRDefault="00000000">
            <w:pPr>
              <w:pStyle w:val="A-"/>
            </w:pPr>
            <w:r>
              <w:t>/</w:t>
            </w:r>
          </w:p>
        </w:tc>
        <w:tc>
          <w:tcPr>
            <w:tcW w:w="667" w:type="pct"/>
            <w:vAlign w:val="center"/>
          </w:tcPr>
          <w:p w14:paraId="7B9B8676" w14:textId="77777777" w:rsidR="002E474C" w:rsidRDefault="00000000">
            <w:pPr>
              <w:pStyle w:val="A-"/>
            </w:pPr>
            <w:r>
              <w:t>/</w:t>
            </w:r>
          </w:p>
        </w:tc>
        <w:tc>
          <w:tcPr>
            <w:tcW w:w="461" w:type="pct"/>
            <w:vMerge/>
            <w:vAlign w:val="center"/>
          </w:tcPr>
          <w:p w14:paraId="18824D1D" w14:textId="77777777" w:rsidR="002E474C" w:rsidRDefault="002E474C">
            <w:pPr>
              <w:pStyle w:val="A-"/>
            </w:pPr>
          </w:p>
        </w:tc>
        <w:tc>
          <w:tcPr>
            <w:tcW w:w="461" w:type="pct"/>
            <w:vAlign w:val="center"/>
          </w:tcPr>
          <w:p w14:paraId="59D508E8" w14:textId="77777777" w:rsidR="002E474C" w:rsidRDefault="00000000">
            <w:pPr>
              <w:pStyle w:val="A-"/>
            </w:pPr>
            <w:r>
              <w:t>/</w:t>
            </w:r>
          </w:p>
        </w:tc>
      </w:tr>
      <w:tr w:rsidR="002E474C" w14:paraId="3F036C89" w14:textId="77777777">
        <w:trPr>
          <w:tblHeader/>
        </w:trPr>
        <w:tc>
          <w:tcPr>
            <w:tcW w:w="461" w:type="pct"/>
            <w:vAlign w:val="center"/>
          </w:tcPr>
          <w:p w14:paraId="5553358B" w14:textId="77777777" w:rsidR="002E474C" w:rsidRDefault="00000000">
            <w:pPr>
              <w:pStyle w:val="A-"/>
            </w:pPr>
            <w:r>
              <w:t>5</w:t>
            </w:r>
            <w:r>
              <w:t>月</w:t>
            </w:r>
          </w:p>
        </w:tc>
        <w:tc>
          <w:tcPr>
            <w:tcW w:w="530" w:type="pct"/>
            <w:vAlign w:val="center"/>
          </w:tcPr>
          <w:p w14:paraId="7439F733" w14:textId="77777777" w:rsidR="002E474C" w:rsidRDefault="00000000">
            <w:pPr>
              <w:pStyle w:val="A-"/>
            </w:pPr>
            <w:r>
              <w:t>3.41</w:t>
            </w:r>
            <w:r>
              <w:t>～</w:t>
            </w:r>
            <w:r>
              <w:t>4.12</w:t>
            </w:r>
          </w:p>
        </w:tc>
        <w:tc>
          <w:tcPr>
            <w:tcW w:w="461" w:type="pct"/>
            <w:vMerge/>
            <w:vAlign w:val="center"/>
          </w:tcPr>
          <w:p w14:paraId="6ECD5A55" w14:textId="77777777" w:rsidR="002E474C" w:rsidRDefault="002E474C">
            <w:pPr>
              <w:pStyle w:val="A-"/>
            </w:pPr>
          </w:p>
        </w:tc>
        <w:tc>
          <w:tcPr>
            <w:tcW w:w="461" w:type="pct"/>
          </w:tcPr>
          <w:p w14:paraId="570F63FE" w14:textId="77777777" w:rsidR="002E474C" w:rsidRDefault="00000000">
            <w:pPr>
              <w:pStyle w:val="A-"/>
            </w:pPr>
            <w:r>
              <w:t>达标</w:t>
            </w:r>
          </w:p>
        </w:tc>
        <w:tc>
          <w:tcPr>
            <w:tcW w:w="576" w:type="pct"/>
            <w:vAlign w:val="center"/>
          </w:tcPr>
          <w:p w14:paraId="047BDD85" w14:textId="77777777" w:rsidR="002E474C" w:rsidRDefault="00000000">
            <w:pPr>
              <w:pStyle w:val="A-"/>
            </w:pPr>
            <w:r>
              <w:t>2.40</w:t>
            </w:r>
            <w:r>
              <w:t>～</w:t>
            </w:r>
            <w:r>
              <w:t>7.33</w:t>
            </w:r>
          </w:p>
        </w:tc>
        <w:tc>
          <w:tcPr>
            <w:tcW w:w="461" w:type="pct"/>
            <w:vMerge/>
            <w:vAlign w:val="center"/>
          </w:tcPr>
          <w:p w14:paraId="1EEDED6B" w14:textId="77777777" w:rsidR="002E474C" w:rsidRDefault="002E474C">
            <w:pPr>
              <w:pStyle w:val="A-"/>
            </w:pPr>
          </w:p>
        </w:tc>
        <w:tc>
          <w:tcPr>
            <w:tcW w:w="461" w:type="pct"/>
          </w:tcPr>
          <w:p w14:paraId="28B9DAE5" w14:textId="77777777" w:rsidR="002E474C" w:rsidRDefault="00000000">
            <w:pPr>
              <w:pStyle w:val="A-"/>
            </w:pPr>
            <w:r>
              <w:t>达标</w:t>
            </w:r>
          </w:p>
        </w:tc>
        <w:tc>
          <w:tcPr>
            <w:tcW w:w="667" w:type="pct"/>
            <w:vAlign w:val="center"/>
          </w:tcPr>
          <w:p w14:paraId="7D0F3F6E" w14:textId="77777777" w:rsidR="002E474C" w:rsidRDefault="00000000">
            <w:pPr>
              <w:pStyle w:val="A-"/>
            </w:pPr>
            <w:r>
              <w:t>81.51</w:t>
            </w:r>
            <w:r>
              <w:t>～</w:t>
            </w:r>
            <w:r>
              <w:t>212.48</w:t>
            </w:r>
          </w:p>
        </w:tc>
        <w:tc>
          <w:tcPr>
            <w:tcW w:w="461" w:type="pct"/>
            <w:vMerge/>
            <w:vAlign w:val="center"/>
          </w:tcPr>
          <w:p w14:paraId="4D0160A9" w14:textId="77777777" w:rsidR="002E474C" w:rsidRDefault="002E474C">
            <w:pPr>
              <w:pStyle w:val="A-"/>
            </w:pPr>
          </w:p>
        </w:tc>
        <w:tc>
          <w:tcPr>
            <w:tcW w:w="461" w:type="pct"/>
          </w:tcPr>
          <w:p w14:paraId="48E61D6B" w14:textId="77777777" w:rsidR="002E474C" w:rsidRDefault="00000000">
            <w:pPr>
              <w:pStyle w:val="A-"/>
            </w:pPr>
            <w:r>
              <w:t>达标</w:t>
            </w:r>
          </w:p>
        </w:tc>
      </w:tr>
      <w:tr w:rsidR="002E474C" w14:paraId="7DCB7839" w14:textId="77777777">
        <w:trPr>
          <w:tblHeader/>
        </w:trPr>
        <w:tc>
          <w:tcPr>
            <w:tcW w:w="461" w:type="pct"/>
            <w:vAlign w:val="center"/>
          </w:tcPr>
          <w:p w14:paraId="0167955F" w14:textId="77777777" w:rsidR="002E474C" w:rsidRDefault="00000000">
            <w:pPr>
              <w:pStyle w:val="A-"/>
            </w:pPr>
            <w:r>
              <w:t>6</w:t>
            </w:r>
            <w:r>
              <w:t>月</w:t>
            </w:r>
          </w:p>
        </w:tc>
        <w:tc>
          <w:tcPr>
            <w:tcW w:w="530" w:type="pct"/>
            <w:vAlign w:val="center"/>
          </w:tcPr>
          <w:p w14:paraId="7DDA0991" w14:textId="77777777" w:rsidR="002E474C" w:rsidRDefault="00000000">
            <w:pPr>
              <w:pStyle w:val="A-"/>
            </w:pPr>
            <w:r>
              <w:t>3.37</w:t>
            </w:r>
            <w:r>
              <w:t>～</w:t>
            </w:r>
            <w:r>
              <w:t>4.58</w:t>
            </w:r>
          </w:p>
        </w:tc>
        <w:tc>
          <w:tcPr>
            <w:tcW w:w="461" w:type="pct"/>
            <w:vMerge/>
            <w:vAlign w:val="center"/>
          </w:tcPr>
          <w:p w14:paraId="30ADF863" w14:textId="77777777" w:rsidR="002E474C" w:rsidRDefault="002E474C">
            <w:pPr>
              <w:pStyle w:val="A-"/>
            </w:pPr>
          </w:p>
        </w:tc>
        <w:tc>
          <w:tcPr>
            <w:tcW w:w="461" w:type="pct"/>
          </w:tcPr>
          <w:p w14:paraId="1D1EC4F6" w14:textId="77777777" w:rsidR="002E474C" w:rsidRDefault="00000000">
            <w:pPr>
              <w:pStyle w:val="A-"/>
            </w:pPr>
            <w:r>
              <w:t>达标</w:t>
            </w:r>
          </w:p>
        </w:tc>
        <w:tc>
          <w:tcPr>
            <w:tcW w:w="576" w:type="pct"/>
            <w:vAlign w:val="center"/>
          </w:tcPr>
          <w:p w14:paraId="4076C06C" w14:textId="77777777" w:rsidR="002E474C" w:rsidRDefault="00000000">
            <w:pPr>
              <w:pStyle w:val="A-"/>
            </w:pPr>
            <w:r>
              <w:t>4.11</w:t>
            </w:r>
            <w:r>
              <w:t>～</w:t>
            </w:r>
            <w:r>
              <w:t>10.67</w:t>
            </w:r>
          </w:p>
        </w:tc>
        <w:tc>
          <w:tcPr>
            <w:tcW w:w="461" w:type="pct"/>
            <w:vMerge/>
            <w:vAlign w:val="center"/>
          </w:tcPr>
          <w:p w14:paraId="26C0CBC6" w14:textId="77777777" w:rsidR="002E474C" w:rsidRDefault="002E474C">
            <w:pPr>
              <w:pStyle w:val="A-"/>
            </w:pPr>
          </w:p>
        </w:tc>
        <w:tc>
          <w:tcPr>
            <w:tcW w:w="461" w:type="pct"/>
          </w:tcPr>
          <w:p w14:paraId="4D562AEB" w14:textId="77777777" w:rsidR="002E474C" w:rsidRDefault="00000000">
            <w:pPr>
              <w:pStyle w:val="A-"/>
            </w:pPr>
            <w:r>
              <w:t>达标</w:t>
            </w:r>
          </w:p>
        </w:tc>
        <w:tc>
          <w:tcPr>
            <w:tcW w:w="667" w:type="pct"/>
            <w:vAlign w:val="center"/>
          </w:tcPr>
          <w:p w14:paraId="7DB957DA" w14:textId="77777777" w:rsidR="002E474C" w:rsidRDefault="00000000">
            <w:pPr>
              <w:pStyle w:val="A-"/>
            </w:pPr>
            <w:r>
              <w:t>91.73</w:t>
            </w:r>
            <w:r>
              <w:t>～</w:t>
            </w:r>
            <w:r>
              <w:t>203.58</w:t>
            </w:r>
          </w:p>
        </w:tc>
        <w:tc>
          <w:tcPr>
            <w:tcW w:w="461" w:type="pct"/>
            <w:vMerge/>
            <w:vAlign w:val="center"/>
          </w:tcPr>
          <w:p w14:paraId="4A6C4845" w14:textId="77777777" w:rsidR="002E474C" w:rsidRDefault="002E474C">
            <w:pPr>
              <w:pStyle w:val="A-"/>
            </w:pPr>
          </w:p>
        </w:tc>
        <w:tc>
          <w:tcPr>
            <w:tcW w:w="461" w:type="pct"/>
          </w:tcPr>
          <w:p w14:paraId="371D657F" w14:textId="77777777" w:rsidR="002E474C" w:rsidRDefault="00000000">
            <w:pPr>
              <w:pStyle w:val="A-"/>
            </w:pPr>
            <w:r>
              <w:t>达标</w:t>
            </w:r>
          </w:p>
        </w:tc>
      </w:tr>
      <w:tr w:rsidR="002E474C" w14:paraId="05208517" w14:textId="77777777">
        <w:trPr>
          <w:tblHeader/>
        </w:trPr>
        <w:tc>
          <w:tcPr>
            <w:tcW w:w="461" w:type="pct"/>
            <w:vAlign w:val="center"/>
          </w:tcPr>
          <w:p w14:paraId="01D020AA" w14:textId="77777777" w:rsidR="002E474C" w:rsidRDefault="00000000">
            <w:pPr>
              <w:pStyle w:val="A-"/>
            </w:pPr>
            <w:r>
              <w:t>7</w:t>
            </w:r>
            <w:r>
              <w:t>月</w:t>
            </w:r>
          </w:p>
        </w:tc>
        <w:tc>
          <w:tcPr>
            <w:tcW w:w="530" w:type="pct"/>
            <w:vAlign w:val="center"/>
          </w:tcPr>
          <w:p w14:paraId="2881DA46" w14:textId="77777777" w:rsidR="002E474C" w:rsidRDefault="00000000">
            <w:pPr>
              <w:pStyle w:val="A-"/>
            </w:pPr>
            <w:r>
              <w:t>2.98</w:t>
            </w:r>
            <w:r>
              <w:t>～</w:t>
            </w:r>
            <w:r>
              <w:t>6.14</w:t>
            </w:r>
          </w:p>
        </w:tc>
        <w:tc>
          <w:tcPr>
            <w:tcW w:w="461" w:type="pct"/>
            <w:vMerge/>
            <w:vAlign w:val="center"/>
          </w:tcPr>
          <w:p w14:paraId="189F71F9" w14:textId="77777777" w:rsidR="002E474C" w:rsidRDefault="002E474C">
            <w:pPr>
              <w:pStyle w:val="A-"/>
            </w:pPr>
          </w:p>
        </w:tc>
        <w:tc>
          <w:tcPr>
            <w:tcW w:w="461" w:type="pct"/>
          </w:tcPr>
          <w:p w14:paraId="37E40CF6" w14:textId="77777777" w:rsidR="002E474C" w:rsidRDefault="00000000">
            <w:pPr>
              <w:pStyle w:val="A-"/>
            </w:pPr>
            <w:r>
              <w:t>达标</w:t>
            </w:r>
          </w:p>
        </w:tc>
        <w:tc>
          <w:tcPr>
            <w:tcW w:w="576" w:type="pct"/>
            <w:vAlign w:val="center"/>
          </w:tcPr>
          <w:p w14:paraId="42D2195A" w14:textId="77777777" w:rsidR="002E474C" w:rsidRDefault="00000000">
            <w:pPr>
              <w:pStyle w:val="A-"/>
            </w:pPr>
            <w:r>
              <w:t>2.45</w:t>
            </w:r>
            <w:r>
              <w:t>～</w:t>
            </w:r>
            <w:r>
              <w:t>9.42</w:t>
            </w:r>
          </w:p>
        </w:tc>
        <w:tc>
          <w:tcPr>
            <w:tcW w:w="461" w:type="pct"/>
            <w:vMerge/>
            <w:vAlign w:val="center"/>
          </w:tcPr>
          <w:p w14:paraId="11235F53" w14:textId="77777777" w:rsidR="002E474C" w:rsidRDefault="002E474C">
            <w:pPr>
              <w:pStyle w:val="A-"/>
            </w:pPr>
          </w:p>
        </w:tc>
        <w:tc>
          <w:tcPr>
            <w:tcW w:w="461" w:type="pct"/>
          </w:tcPr>
          <w:p w14:paraId="150CAD86" w14:textId="77777777" w:rsidR="002E474C" w:rsidRDefault="00000000">
            <w:pPr>
              <w:pStyle w:val="A-"/>
            </w:pPr>
            <w:r>
              <w:t>达标</w:t>
            </w:r>
          </w:p>
        </w:tc>
        <w:tc>
          <w:tcPr>
            <w:tcW w:w="667" w:type="pct"/>
            <w:vAlign w:val="center"/>
          </w:tcPr>
          <w:p w14:paraId="2269B444" w14:textId="77777777" w:rsidR="002E474C" w:rsidRDefault="00000000">
            <w:pPr>
              <w:pStyle w:val="A-"/>
            </w:pPr>
            <w:r>
              <w:t>48.72</w:t>
            </w:r>
            <w:r>
              <w:t>～</w:t>
            </w:r>
            <w:r>
              <w:t>148.94</w:t>
            </w:r>
          </w:p>
        </w:tc>
        <w:tc>
          <w:tcPr>
            <w:tcW w:w="461" w:type="pct"/>
            <w:vMerge/>
            <w:vAlign w:val="center"/>
          </w:tcPr>
          <w:p w14:paraId="4C354C39" w14:textId="77777777" w:rsidR="002E474C" w:rsidRDefault="002E474C">
            <w:pPr>
              <w:pStyle w:val="A-"/>
            </w:pPr>
          </w:p>
        </w:tc>
        <w:tc>
          <w:tcPr>
            <w:tcW w:w="461" w:type="pct"/>
          </w:tcPr>
          <w:p w14:paraId="33BA1766" w14:textId="77777777" w:rsidR="002E474C" w:rsidRDefault="00000000">
            <w:pPr>
              <w:pStyle w:val="A-"/>
            </w:pPr>
            <w:r>
              <w:t>达标</w:t>
            </w:r>
          </w:p>
        </w:tc>
      </w:tr>
      <w:tr w:rsidR="002E474C" w14:paraId="38F732E8" w14:textId="77777777">
        <w:trPr>
          <w:tblHeader/>
        </w:trPr>
        <w:tc>
          <w:tcPr>
            <w:tcW w:w="461" w:type="pct"/>
            <w:vAlign w:val="center"/>
          </w:tcPr>
          <w:p w14:paraId="4B9E7F73" w14:textId="77777777" w:rsidR="002E474C" w:rsidRDefault="00000000">
            <w:pPr>
              <w:pStyle w:val="A-"/>
            </w:pPr>
            <w:r>
              <w:t>8</w:t>
            </w:r>
            <w:r>
              <w:t>月</w:t>
            </w:r>
          </w:p>
        </w:tc>
        <w:tc>
          <w:tcPr>
            <w:tcW w:w="530" w:type="pct"/>
            <w:vAlign w:val="center"/>
          </w:tcPr>
          <w:p w14:paraId="1A8C2C2E" w14:textId="77777777" w:rsidR="002E474C" w:rsidRDefault="00000000">
            <w:pPr>
              <w:pStyle w:val="A-"/>
            </w:pPr>
            <w:r>
              <w:t>3.03</w:t>
            </w:r>
            <w:r>
              <w:t>～</w:t>
            </w:r>
            <w:r>
              <w:t>4.90</w:t>
            </w:r>
          </w:p>
        </w:tc>
        <w:tc>
          <w:tcPr>
            <w:tcW w:w="461" w:type="pct"/>
            <w:vMerge/>
            <w:vAlign w:val="center"/>
          </w:tcPr>
          <w:p w14:paraId="0E87AC8B" w14:textId="77777777" w:rsidR="002E474C" w:rsidRDefault="002E474C">
            <w:pPr>
              <w:pStyle w:val="A-"/>
            </w:pPr>
          </w:p>
        </w:tc>
        <w:tc>
          <w:tcPr>
            <w:tcW w:w="461" w:type="pct"/>
          </w:tcPr>
          <w:p w14:paraId="05F2FD15" w14:textId="77777777" w:rsidR="002E474C" w:rsidRDefault="00000000">
            <w:pPr>
              <w:pStyle w:val="A-"/>
            </w:pPr>
            <w:r>
              <w:t>达标</w:t>
            </w:r>
          </w:p>
        </w:tc>
        <w:tc>
          <w:tcPr>
            <w:tcW w:w="576" w:type="pct"/>
            <w:vAlign w:val="center"/>
          </w:tcPr>
          <w:p w14:paraId="55E3C507" w14:textId="77777777" w:rsidR="002E474C" w:rsidRDefault="00000000">
            <w:pPr>
              <w:pStyle w:val="A-"/>
            </w:pPr>
            <w:r>
              <w:t>2.38</w:t>
            </w:r>
            <w:r>
              <w:t>～</w:t>
            </w:r>
            <w:r>
              <w:t>12.05</w:t>
            </w:r>
          </w:p>
        </w:tc>
        <w:tc>
          <w:tcPr>
            <w:tcW w:w="461" w:type="pct"/>
            <w:vMerge/>
            <w:vAlign w:val="center"/>
          </w:tcPr>
          <w:p w14:paraId="1E0A7270" w14:textId="77777777" w:rsidR="002E474C" w:rsidRDefault="002E474C">
            <w:pPr>
              <w:pStyle w:val="A-"/>
            </w:pPr>
          </w:p>
        </w:tc>
        <w:tc>
          <w:tcPr>
            <w:tcW w:w="461" w:type="pct"/>
          </w:tcPr>
          <w:p w14:paraId="11D504D0" w14:textId="77777777" w:rsidR="002E474C" w:rsidRDefault="00000000">
            <w:pPr>
              <w:pStyle w:val="A-"/>
            </w:pPr>
            <w:r>
              <w:t>达标</w:t>
            </w:r>
          </w:p>
        </w:tc>
        <w:tc>
          <w:tcPr>
            <w:tcW w:w="667" w:type="pct"/>
            <w:vAlign w:val="center"/>
          </w:tcPr>
          <w:p w14:paraId="34265609" w14:textId="77777777" w:rsidR="002E474C" w:rsidRDefault="00000000">
            <w:pPr>
              <w:pStyle w:val="A-"/>
            </w:pPr>
            <w:r>
              <w:t>48.66</w:t>
            </w:r>
            <w:r>
              <w:t>～</w:t>
            </w:r>
            <w:r>
              <w:t>161.23</w:t>
            </w:r>
          </w:p>
        </w:tc>
        <w:tc>
          <w:tcPr>
            <w:tcW w:w="461" w:type="pct"/>
            <w:vMerge/>
            <w:vAlign w:val="center"/>
          </w:tcPr>
          <w:p w14:paraId="3DBF7322" w14:textId="77777777" w:rsidR="002E474C" w:rsidRDefault="002E474C">
            <w:pPr>
              <w:pStyle w:val="A-"/>
            </w:pPr>
          </w:p>
        </w:tc>
        <w:tc>
          <w:tcPr>
            <w:tcW w:w="461" w:type="pct"/>
          </w:tcPr>
          <w:p w14:paraId="74B0AD59" w14:textId="77777777" w:rsidR="002E474C" w:rsidRDefault="00000000">
            <w:pPr>
              <w:pStyle w:val="A-"/>
            </w:pPr>
            <w:r>
              <w:t>达标</w:t>
            </w:r>
          </w:p>
        </w:tc>
      </w:tr>
      <w:tr w:rsidR="002E474C" w14:paraId="47B1A406" w14:textId="77777777">
        <w:trPr>
          <w:tblHeader/>
        </w:trPr>
        <w:tc>
          <w:tcPr>
            <w:tcW w:w="461" w:type="pct"/>
            <w:vAlign w:val="center"/>
          </w:tcPr>
          <w:p w14:paraId="7E68C69E" w14:textId="77777777" w:rsidR="002E474C" w:rsidRDefault="00000000">
            <w:pPr>
              <w:pStyle w:val="A-"/>
            </w:pPr>
            <w:r>
              <w:t>9</w:t>
            </w:r>
            <w:r>
              <w:t>月</w:t>
            </w:r>
          </w:p>
        </w:tc>
        <w:tc>
          <w:tcPr>
            <w:tcW w:w="530" w:type="pct"/>
            <w:vAlign w:val="center"/>
          </w:tcPr>
          <w:p w14:paraId="1498A186" w14:textId="77777777" w:rsidR="002E474C" w:rsidRDefault="00000000">
            <w:pPr>
              <w:pStyle w:val="A-"/>
            </w:pPr>
            <w:r>
              <w:t>3.03</w:t>
            </w:r>
            <w:r>
              <w:t>～</w:t>
            </w:r>
            <w:r>
              <w:t>5.71</w:t>
            </w:r>
          </w:p>
        </w:tc>
        <w:tc>
          <w:tcPr>
            <w:tcW w:w="461" w:type="pct"/>
            <w:vMerge/>
            <w:vAlign w:val="center"/>
          </w:tcPr>
          <w:p w14:paraId="3E794A8D" w14:textId="77777777" w:rsidR="002E474C" w:rsidRDefault="002E474C">
            <w:pPr>
              <w:pStyle w:val="A-"/>
            </w:pPr>
          </w:p>
        </w:tc>
        <w:tc>
          <w:tcPr>
            <w:tcW w:w="461" w:type="pct"/>
          </w:tcPr>
          <w:p w14:paraId="4E2DD7E4" w14:textId="77777777" w:rsidR="002E474C" w:rsidRDefault="00000000">
            <w:pPr>
              <w:pStyle w:val="A-"/>
            </w:pPr>
            <w:r>
              <w:t>达标</w:t>
            </w:r>
          </w:p>
        </w:tc>
        <w:tc>
          <w:tcPr>
            <w:tcW w:w="576" w:type="pct"/>
            <w:vAlign w:val="center"/>
          </w:tcPr>
          <w:p w14:paraId="4FC02968" w14:textId="77777777" w:rsidR="002E474C" w:rsidRDefault="00000000">
            <w:pPr>
              <w:pStyle w:val="A-"/>
            </w:pPr>
            <w:r>
              <w:t>4.69</w:t>
            </w:r>
            <w:r>
              <w:t>～</w:t>
            </w:r>
            <w:r>
              <w:t>17.98</w:t>
            </w:r>
          </w:p>
        </w:tc>
        <w:tc>
          <w:tcPr>
            <w:tcW w:w="461" w:type="pct"/>
            <w:vMerge/>
            <w:vAlign w:val="center"/>
          </w:tcPr>
          <w:p w14:paraId="1A0163FC" w14:textId="77777777" w:rsidR="002E474C" w:rsidRDefault="002E474C">
            <w:pPr>
              <w:pStyle w:val="A-"/>
            </w:pPr>
          </w:p>
        </w:tc>
        <w:tc>
          <w:tcPr>
            <w:tcW w:w="461" w:type="pct"/>
          </w:tcPr>
          <w:p w14:paraId="42656EEC" w14:textId="77777777" w:rsidR="002E474C" w:rsidRDefault="00000000">
            <w:pPr>
              <w:pStyle w:val="A-"/>
            </w:pPr>
            <w:r>
              <w:t>达标</w:t>
            </w:r>
          </w:p>
        </w:tc>
        <w:tc>
          <w:tcPr>
            <w:tcW w:w="667" w:type="pct"/>
            <w:vAlign w:val="center"/>
          </w:tcPr>
          <w:p w14:paraId="485D2C4D" w14:textId="77777777" w:rsidR="002E474C" w:rsidRDefault="00000000">
            <w:pPr>
              <w:pStyle w:val="A-"/>
            </w:pPr>
            <w:r>
              <w:t>67.78</w:t>
            </w:r>
            <w:r>
              <w:t>～</w:t>
            </w:r>
            <w:r>
              <w:t>136.21</w:t>
            </w:r>
          </w:p>
        </w:tc>
        <w:tc>
          <w:tcPr>
            <w:tcW w:w="461" w:type="pct"/>
            <w:vMerge/>
            <w:vAlign w:val="center"/>
          </w:tcPr>
          <w:p w14:paraId="39795446" w14:textId="77777777" w:rsidR="002E474C" w:rsidRDefault="002E474C">
            <w:pPr>
              <w:pStyle w:val="A-"/>
            </w:pPr>
          </w:p>
        </w:tc>
        <w:tc>
          <w:tcPr>
            <w:tcW w:w="461" w:type="pct"/>
          </w:tcPr>
          <w:p w14:paraId="7EA2D426" w14:textId="77777777" w:rsidR="002E474C" w:rsidRDefault="00000000">
            <w:pPr>
              <w:pStyle w:val="A-"/>
            </w:pPr>
            <w:r>
              <w:t>达标</w:t>
            </w:r>
          </w:p>
        </w:tc>
      </w:tr>
      <w:tr w:rsidR="002E474C" w14:paraId="659DBCDF" w14:textId="77777777">
        <w:trPr>
          <w:tblHeader/>
        </w:trPr>
        <w:tc>
          <w:tcPr>
            <w:tcW w:w="461" w:type="pct"/>
            <w:vAlign w:val="center"/>
          </w:tcPr>
          <w:p w14:paraId="04EE5B84" w14:textId="77777777" w:rsidR="002E474C" w:rsidRDefault="00000000">
            <w:pPr>
              <w:pStyle w:val="A-"/>
            </w:pPr>
            <w:r>
              <w:t>10</w:t>
            </w:r>
            <w:r>
              <w:t>月</w:t>
            </w:r>
          </w:p>
        </w:tc>
        <w:tc>
          <w:tcPr>
            <w:tcW w:w="530" w:type="pct"/>
            <w:vAlign w:val="center"/>
          </w:tcPr>
          <w:p w14:paraId="4739888E" w14:textId="77777777" w:rsidR="002E474C" w:rsidRDefault="00000000">
            <w:pPr>
              <w:pStyle w:val="A-"/>
            </w:pPr>
            <w:r>
              <w:t>1.29</w:t>
            </w:r>
            <w:r>
              <w:t>～</w:t>
            </w:r>
            <w:r>
              <w:t>6.14</w:t>
            </w:r>
          </w:p>
        </w:tc>
        <w:tc>
          <w:tcPr>
            <w:tcW w:w="461" w:type="pct"/>
            <w:vMerge/>
            <w:vAlign w:val="center"/>
          </w:tcPr>
          <w:p w14:paraId="053892DF" w14:textId="77777777" w:rsidR="002E474C" w:rsidRDefault="002E474C">
            <w:pPr>
              <w:pStyle w:val="A-"/>
            </w:pPr>
          </w:p>
        </w:tc>
        <w:tc>
          <w:tcPr>
            <w:tcW w:w="461" w:type="pct"/>
          </w:tcPr>
          <w:p w14:paraId="66671BF9" w14:textId="77777777" w:rsidR="002E474C" w:rsidRDefault="00000000">
            <w:pPr>
              <w:pStyle w:val="A-"/>
            </w:pPr>
            <w:r>
              <w:t>达标</w:t>
            </w:r>
          </w:p>
        </w:tc>
        <w:tc>
          <w:tcPr>
            <w:tcW w:w="576" w:type="pct"/>
            <w:vAlign w:val="center"/>
          </w:tcPr>
          <w:p w14:paraId="1CA90AAF" w14:textId="77777777" w:rsidR="002E474C" w:rsidRDefault="00000000">
            <w:pPr>
              <w:pStyle w:val="A-"/>
            </w:pPr>
            <w:r>
              <w:t>8.15</w:t>
            </w:r>
            <w:r>
              <w:t>～</w:t>
            </w:r>
            <w:r>
              <w:t>25.76</w:t>
            </w:r>
          </w:p>
        </w:tc>
        <w:tc>
          <w:tcPr>
            <w:tcW w:w="461" w:type="pct"/>
            <w:vMerge/>
            <w:vAlign w:val="center"/>
          </w:tcPr>
          <w:p w14:paraId="1C0B8C48" w14:textId="77777777" w:rsidR="002E474C" w:rsidRDefault="002E474C">
            <w:pPr>
              <w:pStyle w:val="A-"/>
            </w:pPr>
          </w:p>
        </w:tc>
        <w:tc>
          <w:tcPr>
            <w:tcW w:w="461" w:type="pct"/>
          </w:tcPr>
          <w:p w14:paraId="02115C2F" w14:textId="77777777" w:rsidR="002E474C" w:rsidRDefault="00000000">
            <w:pPr>
              <w:pStyle w:val="A-"/>
            </w:pPr>
            <w:r>
              <w:t>达标</w:t>
            </w:r>
          </w:p>
        </w:tc>
        <w:tc>
          <w:tcPr>
            <w:tcW w:w="667" w:type="pct"/>
            <w:vAlign w:val="center"/>
          </w:tcPr>
          <w:p w14:paraId="6F0A2920" w14:textId="77777777" w:rsidR="002E474C" w:rsidRDefault="00000000">
            <w:pPr>
              <w:pStyle w:val="A-"/>
            </w:pPr>
            <w:r>
              <w:t>58.21</w:t>
            </w:r>
            <w:r>
              <w:t>～</w:t>
            </w:r>
            <w:r>
              <w:t>132.57</w:t>
            </w:r>
          </w:p>
        </w:tc>
        <w:tc>
          <w:tcPr>
            <w:tcW w:w="461" w:type="pct"/>
            <w:vMerge/>
            <w:vAlign w:val="center"/>
          </w:tcPr>
          <w:p w14:paraId="73D8975A" w14:textId="77777777" w:rsidR="002E474C" w:rsidRDefault="002E474C">
            <w:pPr>
              <w:pStyle w:val="A-"/>
            </w:pPr>
          </w:p>
        </w:tc>
        <w:tc>
          <w:tcPr>
            <w:tcW w:w="461" w:type="pct"/>
          </w:tcPr>
          <w:p w14:paraId="573349A9" w14:textId="77777777" w:rsidR="002E474C" w:rsidRDefault="00000000">
            <w:pPr>
              <w:pStyle w:val="A-"/>
            </w:pPr>
            <w:r>
              <w:t>达标</w:t>
            </w:r>
          </w:p>
        </w:tc>
      </w:tr>
      <w:tr w:rsidR="002E474C" w14:paraId="7CA9DAE3" w14:textId="77777777">
        <w:trPr>
          <w:tblHeader/>
        </w:trPr>
        <w:tc>
          <w:tcPr>
            <w:tcW w:w="461" w:type="pct"/>
            <w:vAlign w:val="center"/>
          </w:tcPr>
          <w:p w14:paraId="6F63A71A" w14:textId="77777777" w:rsidR="002E474C" w:rsidRDefault="00000000">
            <w:pPr>
              <w:pStyle w:val="A-"/>
            </w:pPr>
            <w:r>
              <w:t>11</w:t>
            </w:r>
            <w:r>
              <w:t>月</w:t>
            </w:r>
          </w:p>
        </w:tc>
        <w:tc>
          <w:tcPr>
            <w:tcW w:w="530" w:type="pct"/>
            <w:vAlign w:val="center"/>
          </w:tcPr>
          <w:p w14:paraId="5D0E8675" w14:textId="77777777" w:rsidR="002E474C" w:rsidRDefault="00000000">
            <w:pPr>
              <w:pStyle w:val="A-"/>
            </w:pPr>
            <w:r>
              <w:t>2.92</w:t>
            </w:r>
            <w:r>
              <w:t>～</w:t>
            </w:r>
            <w:r>
              <w:t>3.96</w:t>
            </w:r>
          </w:p>
        </w:tc>
        <w:tc>
          <w:tcPr>
            <w:tcW w:w="461" w:type="pct"/>
            <w:vMerge/>
            <w:vAlign w:val="center"/>
          </w:tcPr>
          <w:p w14:paraId="114913A5" w14:textId="77777777" w:rsidR="002E474C" w:rsidRDefault="002E474C">
            <w:pPr>
              <w:pStyle w:val="A-"/>
            </w:pPr>
          </w:p>
        </w:tc>
        <w:tc>
          <w:tcPr>
            <w:tcW w:w="461" w:type="pct"/>
          </w:tcPr>
          <w:p w14:paraId="3B834BF3" w14:textId="77777777" w:rsidR="002E474C" w:rsidRDefault="00000000">
            <w:pPr>
              <w:pStyle w:val="A-"/>
            </w:pPr>
            <w:r>
              <w:t>达标</w:t>
            </w:r>
          </w:p>
        </w:tc>
        <w:tc>
          <w:tcPr>
            <w:tcW w:w="576" w:type="pct"/>
            <w:vAlign w:val="center"/>
          </w:tcPr>
          <w:p w14:paraId="37058D28" w14:textId="77777777" w:rsidR="002E474C" w:rsidRDefault="00000000">
            <w:pPr>
              <w:pStyle w:val="A-"/>
            </w:pPr>
            <w:r>
              <w:t>5.03</w:t>
            </w:r>
            <w:r>
              <w:t>～</w:t>
            </w:r>
            <w:r>
              <w:t>16.99</w:t>
            </w:r>
          </w:p>
        </w:tc>
        <w:tc>
          <w:tcPr>
            <w:tcW w:w="461" w:type="pct"/>
            <w:vMerge/>
            <w:vAlign w:val="center"/>
          </w:tcPr>
          <w:p w14:paraId="6B05163D" w14:textId="77777777" w:rsidR="002E474C" w:rsidRDefault="002E474C">
            <w:pPr>
              <w:pStyle w:val="A-"/>
            </w:pPr>
          </w:p>
        </w:tc>
        <w:tc>
          <w:tcPr>
            <w:tcW w:w="461" w:type="pct"/>
          </w:tcPr>
          <w:p w14:paraId="3D3312C7" w14:textId="77777777" w:rsidR="002E474C" w:rsidRDefault="00000000">
            <w:pPr>
              <w:pStyle w:val="A-"/>
            </w:pPr>
            <w:r>
              <w:t>达标</w:t>
            </w:r>
          </w:p>
        </w:tc>
        <w:tc>
          <w:tcPr>
            <w:tcW w:w="667" w:type="pct"/>
            <w:vAlign w:val="center"/>
          </w:tcPr>
          <w:p w14:paraId="6B64366E" w14:textId="77777777" w:rsidR="002E474C" w:rsidRDefault="00000000">
            <w:pPr>
              <w:pStyle w:val="A-"/>
            </w:pPr>
            <w:r>
              <w:t>67.84</w:t>
            </w:r>
            <w:r>
              <w:t>～</w:t>
            </w:r>
            <w:r>
              <w:t>148.65</w:t>
            </w:r>
          </w:p>
        </w:tc>
        <w:tc>
          <w:tcPr>
            <w:tcW w:w="461" w:type="pct"/>
            <w:vMerge/>
            <w:vAlign w:val="center"/>
          </w:tcPr>
          <w:p w14:paraId="7E890781" w14:textId="77777777" w:rsidR="002E474C" w:rsidRDefault="002E474C">
            <w:pPr>
              <w:pStyle w:val="A-"/>
            </w:pPr>
          </w:p>
        </w:tc>
        <w:tc>
          <w:tcPr>
            <w:tcW w:w="461" w:type="pct"/>
          </w:tcPr>
          <w:p w14:paraId="69F1CF48" w14:textId="77777777" w:rsidR="002E474C" w:rsidRDefault="00000000">
            <w:pPr>
              <w:pStyle w:val="A-"/>
            </w:pPr>
            <w:r>
              <w:t>达标</w:t>
            </w:r>
          </w:p>
        </w:tc>
      </w:tr>
      <w:tr w:rsidR="002E474C" w14:paraId="3D9300A8" w14:textId="77777777">
        <w:trPr>
          <w:tblHeader/>
        </w:trPr>
        <w:tc>
          <w:tcPr>
            <w:tcW w:w="461" w:type="pct"/>
            <w:vAlign w:val="center"/>
          </w:tcPr>
          <w:p w14:paraId="1B3F3F96" w14:textId="77777777" w:rsidR="002E474C" w:rsidRDefault="00000000">
            <w:pPr>
              <w:pStyle w:val="A-"/>
            </w:pPr>
            <w:r>
              <w:t>12</w:t>
            </w:r>
            <w:r>
              <w:t>月</w:t>
            </w:r>
          </w:p>
        </w:tc>
        <w:tc>
          <w:tcPr>
            <w:tcW w:w="530" w:type="pct"/>
            <w:vAlign w:val="center"/>
          </w:tcPr>
          <w:p w14:paraId="6477208D" w14:textId="77777777" w:rsidR="002E474C" w:rsidRDefault="00000000">
            <w:pPr>
              <w:pStyle w:val="A-"/>
            </w:pPr>
            <w:r>
              <w:t>3.03</w:t>
            </w:r>
            <w:r>
              <w:t>～</w:t>
            </w:r>
            <w:r>
              <w:t>7.43</w:t>
            </w:r>
          </w:p>
        </w:tc>
        <w:tc>
          <w:tcPr>
            <w:tcW w:w="461" w:type="pct"/>
            <w:vMerge/>
            <w:vAlign w:val="center"/>
          </w:tcPr>
          <w:p w14:paraId="4928B0DE" w14:textId="77777777" w:rsidR="002E474C" w:rsidRDefault="002E474C">
            <w:pPr>
              <w:pStyle w:val="A-"/>
            </w:pPr>
          </w:p>
        </w:tc>
        <w:tc>
          <w:tcPr>
            <w:tcW w:w="461" w:type="pct"/>
          </w:tcPr>
          <w:p w14:paraId="391600DA" w14:textId="77777777" w:rsidR="002E474C" w:rsidRDefault="00000000">
            <w:pPr>
              <w:pStyle w:val="A-"/>
            </w:pPr>
            <w:r>
              <w:t>达标</w:t>
            </w:r>
          </w:p>
        </w:tc>
        <w:tc>
          <w:tcPr>
            <w:tcW w:w="576" w:type="pct"/>
            <w:vAlign w:val="center"/>
          </w:tcPr>
          <w:p w14:paraId="1C2B7A9F" w14:textId="77777777" w:rsidR="002E474C" w:rsidRDefault="00000000">
            <w:pPr>
              <w:pStyle w:val="A-"/>
            </w:pPr>
            <w:r>
              <w:t>6.37</w:t>
            </w:r>
            <w:r>
              <w:t>～</w:t>
            </w:r>
            <w:r>
              <w:t>21.10</w:t>
            </w:r>
          </w:p>
        </w:tc>
        <w:tc>
          <w:tcPr>
            <w:tcW w:w="461" w:type="pct"/>
            <w:vMerge/>
            <w:vAlign w:val="center"/>
          </w:tcPr>
          <w:p w14:paraId="4B0BEDEB" w14:textId="77777777" w:rsidR="002E474C" w:rsidRDefault="002E474C">
            <w:pPr>
              <w:pStyle w:val="A-"/>
            </w:pPr>
          </w:p>
        </w:tc>
        <w:tc>
          <w:tcPr>
            <w:tcW w:w="461" w:type="pct"/>
          </w:tcPr>
          <w:p w14:paraId="23B32724" w14:textId="77777777" w:rsidR="002E474C" w:rsidRDefault="00000000">
            <w:pPr>
              <w:pStyle w:val="A-"/>
            </w:pPr>
            <w:r>
              <w:t>达标</w:t>
            </w:r>
          </w:p>
        </w:tc>
        <w:tc>
          <w:tcPr>
            <w:tcW w:w="667" w:type="pct"/>
            <w:vAlign w:val="center"/>
          </w:tcPr>
          <w:p w14:paraId="2AF15098" w14:textId="77777777" w:rsidR="002E474C" w:rsidRDefault="00000000">
            <w:pPr>
              <w:pStyle w:val="A-"/>
            </w:pPr>
            <w:r>
              <w:t>39.51</w:t>
            </w:r>
            <w:r>
              <w:t>～</w:t>
            </w:r>
            <w:r>
              <w:t>203.95</w:t>
            </w:r>
          </w:p>
        </w:tc>
        <w:tc>
          <w:tcPr>
            <w:tcW w:w="461" w:type="pct"/>
            <w:vMerge/>
            <w:vAlign w:val="center"/>
          </w:tcPr>
          <w:p w14:paraId="06AD99C2" w14:textId="77777777" w:rsidR="002E474C" w:rsidRDefault="002E474C">
            <w:pPr>
              <w:pStyle w:val="A-"/>
            </w:pPr>
          </w:p>
        </w:tc>
        <w:tc>
          <w:tcPr>
            <w:tcW w:w="461" w:type="pct"/>
          </w:tcPr>
          <w:p w14:paraId="4CF06657" w14:textId="77777777" w:rsidR="002E474C" w:rsidRDefault="00000000">
            <w:pPr>
              <w:pStyle w:val="A-"/>
            </w:pPr>
            <w:r>
              <w:t>达标</w:t>
            </w:r>
          </w:p>
        </w:tc>
      </w:tr>
    </w:tbl>
    <w:p w14:paraId="4B8CF9D5" w14:textId="77777777" w:rsidR="002E474C" w:rsidRDefault="002E474C">
      <w:pPr>
        <w:pStyle w:val="A-0"/>
        <w:rPr>
          <w:color w:val="auto"/>
        </w:rPr>
      </w:pPr>
    </w:p>
    <w:p w14:paraId="7A59412F" w14:textId="77777777" w:rsidR="002E474C" w:rsidRDefault="002E474C">
      <w:pPr>
        <w:pStyle w:val="A-z"/>
        <w:spacing w:beforeLines="50" w:before="120"/>
        <w:rPr>
          <w:color w:val="auto"/>
        </w:rPr>
      </w:pPr>
    </w:p>
    <w:p w14:paraId="4D269BFD" w14:textId="77777777" w:rsidR="002E474C" w:rsidRDefault="002E474C">
      <w:pPr>
        <w:pStyle w:val="A-z"/>
        <w:rPr>
          <w:color w:val="auto"/>
        </w:rPr>
        <w:sectPr w:rsidR="002E474C">
          <w:pgSz w:w="16838" w:h="11906" w:orient="landscape"/>
          <w:pgMar w:top="1800" w:right="1440" w:bottom="1800" w:left="1440" w:header="851" w:footer="992" w:gutter="0"/>
          <w:cols w:space="720"/>
          <w:docGrid w:linePitch="312"/>
        </w:sectPr>
      </w:pPr>
    </w:p>
    <w:p w14:paraId="3A19DD73" w14:textId="77777777" w:rsidR="002E474C" w:rsidRDefault="00000000">
      <w:pPr>
        <w:pStyle w:val="41"/>
        <w:rPr>
          <w:color w:val="auto"/>
        </w:rPr>
      </w:pPr>
      <w:r>
        <w:rPr>
          <w:color w:val="auto"/>
        </w:rPr>
        <w:lastRenderedPageBreak/>
        <w:t>废水</w:t>
      </w:r>
    </w:p>
    <w:p w14:paraId="0D5150C2" w14:textId="77777777" w:rsidR="002E474C" w:rsidRDefault="00000000">
      <w:pPr>
        <w:pStyle w:val="A-z"/>
        <w:rPr>
          <w:color w:val="auto"/>
        </w:rPr>
      </w:pPr>
      <w:r>
        <w:rPr>
          <w:color w:val="auto"/>
        </w:rPr>
        <w:t>生产冷却水均循环使用，厂区内废水主要有循环水系统排水、辅助设施排污水和生活办公排水。循环冷却水主要是回转窑、各类磨机、空压机和部分仪表等的高温、高速运转设备需要的间接冷却水，冷却水采用循环系统。电石渣干法水泥生产线各生产车间设备冷却水全部进入循环水池，经沉淀后循环使用。循环水池排水、辅助设施排污水与生活污水经厂内综合污水处理站处理。</w:t>
      </w:r>
      <w:bookmarkStart w:id="121" w:name="_Hlk226018457"/>
      <w:r>
        <w:rPr>
          <w:color w:val="auto"/>
        </w:rPr>
        <w:t>污水处理站采用</w:t>
      </w:r>
      <w:r>
        <w:rPr>
          <w:color w:val="auto"/>
        </w:rPr>
        <w:t>“</w:t>
      </w:r>
      <w:r>
        <w:rPr>
          <w:color w:val="auto"/>
        </w:rPr>
        <w:t>缺氧＋好氧生物接触氧化法＋活性炭过滤</w:t>
      </w:r>
      <w:r>
        <w:rPr>
          <w:color w:val="auto"/>
        </w:rPr>
        <w:t>”</w:t>
      </w:r>
      <w:r>
        <w:rPr>
          <w:color w:val="auto"/>
        </w:rPr>
        <w:t>的处理工艺，设计处理能力</w:t>
      </w:r>
      <w:r>
        <w:rPr>
          <w:color w:val="auto"/>
        </w:rPr>
        <w:t>100m³/h</w:t>
      </w:r>
      <w:r>
        <w:rPr>
          <w:color w:val="auto"/>
        </w:rPr>
        <w:t>。处理后的出水达到《污水综合排放标准》（</w:t>
      </w:r>
      <w:r>
        <w:rPr>
          <w:color w:val="auto"/>
        </w:rPr>
        <w:t>GB8978-1996</w:t>
      </w:r>
      <w:r>
        <w:rPr>
          <w:color w:val="auto"/>
        </w:rPr>
        <w:t>）中</w:t>
      </w:r>
      <w:r>
        <w:rPr>
          <w:rFonts w:hint="eastAsia"/>
          <w:color w:val="auto"/>
        </w:rPr>
        <w:t>表</w:t>
      </w:r>
      <w:r>
        <w:rPr>
          <w:rFonts w:hint="eastAsia"/>
          <w:color w:val="auto"/>
        </w:rPr>
        <w:t>4</w:t>
      </w:r>
      <w:r>
        <w:rPr>
          <w:color w:val="auto"/>
        </w:rPr>
        <w:t>二级标准后，回用于循环水系统补水</w:t>
      </w:r>
      <w:bookmarkEnd w:id="121"/>
      <w:r>
        <w:rPr>
          <w:rFonts w:hint="eastAsia"/>
          <w:color w:val="auto"/>
        </w:rPr>
        <w:t>或绿化灌溉</w:t>
      </w:r>
      <w:r>
        <w:rPr>
          <w:color w:val="auto"/>
        </w:rPr>
        <w:t>，不外排。</w:t>
      </w:r>
    </w:p>
    <w:p w14:paraId="0393DD00" w14:textId="77777777" w:rsidR="002E474C" w:rsidRDefault="00000000">
      <w:pPr>
        <w:pStyle w:val="A-z"/>
        <w:rPr>
          <w:color w:val="auto"/>
        </w:rPr>
      </w:pPr>
      <w:r>
        <w:rPr>
          <w:color w:val="auto"/>
        </w:rPr>
        <w:t>根据</w:t>
      </w:r>
      <w:r>
        <w:rPr>
          <w:color w:val="auto"/>
        </w:rPr>
        <w:t>2025</w:t>
      </w:r>
      <w:r>
        <w:rPr>
          <w:color w:val="auto"/>
        </w:rPr>
        <w:t>年企业开展的自行监测情况，综合污水处理站进出水水质监测结果见表</w:t>
      </w:r>
      <w:r>
        <w:rPr>
          <w:color w:val="auto"/>
        </w:rPr>
        <w:t>3.1-10</w:t>
      </w:r>
      <w:r>
        <w:rPr>
          <w:color w:val="auto"/>
        </w:rPr>
        <w:t>。</w:t>
      </w:r>
    </w:p>
    <w:p w14:paraId="5A91F728" w14:textId="77777777" w:rsidR="002E474C" w:rsidRDefault="00000000">
      <w:pPr>
        <w:pStyle w:val="A--"/>
        <w:rPr>
          <w:color w:val="auto"/>
        </w:rPr>
      </w:pPr>
      <w:r>
        <w:rPr>
          <w:color w:val="auto"/>
        </w:rPr>
        <w:t>表</w:t>
      </w:r>
      <w:r>
        <w:rPr>
          <w:color w:val="auto"/>
        </w:rPr>
        <w:t xml:space="preserve">3.1-10  </w:t>
      </w:r>
      <w:r>
        <w:rPr>
          <w:color w:val="auto"/>
        </w:rPr>
        <w:t>污水处理站进出水监测结果</w:t>
      </w:r>
      <w:r>
        <w:rPr>
          <w:color w:val="auto"/>
        </w:rPr>
        <w:t xml:space="preserve">  </w:t>
      </w:r>
      <w:r>
        <w:rPr>
          <w:color w:val="auto"/>
        </w:rPr>
        <w:t>单位：</w:t>
      </w:r>
      <w:r>
        <w:rPr>
          <w:color w:val="auto"/>
        </w:rPr>
        <w:t>mg/L</w:t>
      </w:r>
      <w:r>
        <w:rPr>
          <w:color w:val="auto"/>
        </w:rPr>
        <w:t>，</w:t>
      </w:r>
      <w:r>
        <w:rPr>
          <w:color w:val="auto"/>
        </w:rPr>
        <w:t>pH</w:t>
      </w:r>
      <w:r>
        <w:rPr>
          <w:color w:val="auto"/>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689"/>
        <w:gridCol w:w="628"/>
        <w:gridCol w:w="685"/>
        <w:gridCol w:w="779"/>
        <w:gridCol w:w="987"/>
        <w:gridCol w:w="945"/>
        <w:gridCol w:w="1035"/>
        <w:gridCol w:w="882"/>
        <w:gridCol w:w="885"/>
      </w:tblGrid>
      <w:tr w:rsidR="002E474C" w14:paraId="412C2032" w14:textId="77777777">
        <w:trPr>
          <w:trHeight w:val="123"/>
          <w:jc w:val="center"/>
        </w:trPr>
        <w:tc>
          <w:tcPr>
            <w:tcW w:w="472" w:type="pct"/>
            <w:vAlign w:val="center"/>
          </w:tcPr>
          <w:p w14:paraId="2CC38F2D" w14:textId="77777777" w:rsidR="002E474C" w:rsidRDefault="00000000">
            <w:pPr>
              <w:pStyle w:val="A-"/>
            </w:pPr>
            <w:r>
              <w:t>检测项目</w:t>
            </w:r>
          </w:p>
        </w:tc>
        <w:tc>
          <w:tcPr>
            <w:tcW w:w="404" w:type="pct"/>
            <w:vAlign w:val="center"/>
          </w:tcPr>
          <w:p w14:paraId="65587C6D" w14:textId="77777777" w:rsidR="002E474C" w:rsidRDefault="00000000">
            <w:pPr>
              <w:pStyle w:val="A-"/>
            </w:pPr>
            <w:r>
              <w:t>pH</w:t>
            </w:r>
          </w:p>
        </w:tc>
        <w:tc>
          <w:tcPr>
            <w:tcW w:w="380" w:type="pct"/>
            <w:vAlign w:val="center"/>
          </w:tcPr>
          <w:p w14:paraId="0EAA3B97" w14:textId="77777777" w:rsidR="002E474C" w:rsidRDefault="00000000">
            <w:pPr>
              <w:pStyle w:val="A-"/>
            </w:pPr>
            <w:r>
              <w:t>SS</w:t>
            </w:r>
          </w:p>
        </w:tc>
        <w:tc>
          <w:tcPr>
            <w:tcW w:w="414" w:type="pct"/>
            <w:vAlign w:val="center"/>
          </w:tcPr>
          <w:p w14:paraId="33BCC91A" w14:textId="77777777" w:rsidR="002E474C" w:rsidRDefault="00000000">
            <w:pPr>
              <w:pStyle w:val="A-"/>
            </w:pPr>
            <w:r>
              <w:t>COD</w:t>
            </w:r>
          </w:p>
        </w:tc>
        <w:tc>
          <w:tcPr>
            <w:tcW w:w="471" w:type="pct"/>
            <w:vAlign w:val="center"/>
          </w:tcPr>
          <w:p w14:paraId="6C7BBB97" w14:textId="77777777" w:rsidR="002E474C" w:rsidRDefault="00000000">
            <w:pPr>
              <w:pStyle w:val="A-"/>
            </w:pPr>
            <w:r>
              <w:t>BOD</w:t>
            </w:r>
            <w:r>
              <w:rPr>
                <w:vertAlign w:val="subscript"/>
              </w:rPr>
              <w:t>5</w:t>
            </w:r>
          </w:p>
        </w:tc>
        <w:tc>
          <w:tcPr>
            <w:tcW w:w="596" w:type="pct"/>
            <w:vAlign w:val="center"/>
          </w:tcPr>
          <w:p w14:paraId="61D88531" w14:textId="77777777" w:rsidR="002E474C" w:rsidRDefault="00000000">
            <w:pPr>
              <w:pStyle w:val="A-"/>
            </w:pPr>
            <w:r>
              <w:t>氨氮</w:t>
            </w:r>
          </w:p>
        </w:tc>
        <w:tc>
          <w:tcPr>
            <w:tcW w:w="571" w:type="pct"/>
            <w:vAlign w:val="center"/>
          </w:tcPr>
          <w:p w14:paraId="4A7A9406" w14:textId="77777777" w:rsidR="002E474C" w:rsidRDefault="00000000">
            <w:pPr>
              <w:pStyle w:val="A-"/>
            </w:pPr>
            <w:r>
              <w:t>石油类</w:t>
            </w:r>
          </w:p>
        </w:tc>
        <w:tc>
          <w:tcPr>
            <w:tcW w:w="625" w:type="pct"/>
            <w:vAlign w:val="center"/>
          </w:tcPr>
          <w:p w14:paraId="5B8D813F" w14:textId="77777777" w:rsidR="002E474C" w:rsidRDefault="00000000">
            <w:pPr>
              <w:pStyle w:val="A-"/>
            </w:pPr>
            <w:r>
              <w:t>氟化物</w:t>
            </w:r>
          </w:p>
        </w:tc>
        <w:tc>
          <w:tcPr>
            <w:tcW w:w="533" w:type="pct"/>
            <w:vAlign w:val="center"/>
          </w:tcPr>
          <w:p w14:paraId="5EA42A46" w14:textId="77777777" w:rsidR="002E474C" w:rsidRDefault="00000000">
            <w:pPr>
              <w:pStyle w:val="A-"/>
            </w:pPr>
            <w:r>
              <w:t>总磷</w:t>
            </w:r>
          </w:p>
        </w:tc>
        <w:tc>
          <w:tcPr>
            <w:tcW w:w="534" w:type="pct"/>
            <w:vAlign w:val="center"/>
          </w:tcPr>
          <w:p w14:paraId="5AF697D8" w14:textId="77777777" w:rsidR="002E474C" w:rsidRDefault="00000000">
            <w:pPr>
              <w:pStyle w:val="A-"/>
            </w:pPr>
            <w:r>
              <w:t>温度</w:t>
            </w:r>
          </w:p>
        </w:tc>
      </w:tr>
      <w:tr w:rsidR="002E474C" w14:paraId="4BABB327" w14:textId="77777777">
        <w:trPr>
          <w:trHeight w:val="123"/>
          <w:jc w:val="center"/>
        </w:trPr>
        <w:tc>
          <w:tcPr>
            <w:tcW w:w="472" w:type="pct"/>
            <w:vAlign w:val="center"/>
          </w:tcPr>
          <w:p w14:paraId="54DBF920" w14:textId="77777777" w:rsidR="002E474C" w:rsidRDefault="00000000">
            <w:pPr>
              <w:pStyle w:val="A-"/>
            </w:pPr>
            <w:r>
              <w:t>进口水质</w:t>
            </w:r>
          </w:p>
        </w:tc>
        <w:tc>
          <w:tcPr>
            <w:tcW w:w="404" w:type="pct"/>
            <w:vAlign w:val="center"/>
          </w:tcPr>
          <w:p w14:paraId="15F12E19" w14:textId="77777777" w:rsidR="002E474C" w:rsidRDefault="00000000">
            <w:pPr>
              <w:pStyle w:val="A-"/>
            </w:pPr>
            <w:r>
              <w:t>7.3</w:t>
            </w:r>
            <w:r>
              <w:t>～</w:t>
            </w:r>
            <w:r>
              <w:t>7.8</w:t>
            </w:r>
          </w:p>
        </w:tc>
        <w:tc>
          <w:tcPr>
            <w:tcW w:w="380" w:type="pct"/>
            <w:vAlign w:val="center"/>
          </w:tcPr>
          <w:p w14:paraId="60823704" w14:textId="77777777" w:rsidR="002E474C" w:rsidRDefault="00000000">
            <w:pPr>
              <w:pStyle w:val="A-"/>
            </w:pPr>
            <w:r>
              <w:t>6</w:t>
            </w:r>
            <w:r>
              <w:t>～</w:t>
            </w:r>
            <w:r>
              <w:t>16</w:t>
            </w:r>
          </w:p>
        </w:tc>
        <w:tc>
          <w:tcPr>
            <w:tcW w:w="414" w:type="pct"/>
            <w:vAlign w:val="center"/>
          </w:tcPr>
          <w:p w14:paraId="7E858EA8" w14:textId="77777777" w:rsidR="002E474C" w:rsidRDefault="00000000">
            <w:pPr>
              <w:pStyle w:val="A-"/>
            </w:pPr>
            <w:r>
              <w:t>21</w:t>
            </w:r>
            <w:r>
              <w:t>～</w:t>
            </w:r>
            <w:r>
              <w:t>42</w:t>
            </w:r>
          </w:p>
        </w:tc>
        <w:tc>
          <w:tcPr>
            <w:tcW w:w="471" w:type="pct"/>
            <w:vAlign w:val="center"/>
          </w:tcPr>
          <w:p w14:paraId="64BECD0C" w14:textId="77777777" w:rsidR="002E474C" w:rsidRDefault="00000000">
            <w:pPr>
              <w:pStyle w:val="A-"/>
            </w:pPr>
            <w:r>
              <w:t>7.0</w:t>
            </w:r>
            <w:r>
              <w:t>～</w:t>
            </w:r>
            <w:r>
              <w:t>9.7</w:t>
            </w:r>
          </w:p>
        </w:tc>
        <w:tc>
          <w:tcPr>
            <w:tcW w:w="596" w:type="pct"/>
            <w:vAlign w:val="center"/>
          </w:tcPr>
          <w:p w14:paraId="06CD35AE" w14:textId="77777777" w:rsidR="002E474C" w:rsidRDefault="00000000">
            <w:pPr>
              <w:pStyle w:val="A-"/>
            </w:pPr>
            <w:r>
              <w:t>0.606</w:t>
            </w:r>
            <w:r>
              <w:t>～</w:t>
            </w:r>
            <w:r>
              <w:t>4.15</w:t>
            </w:r>
          </w:p>
        </w:tc>
        <w:tc>
          <w:tcPr>
            <w:tcW w:w="571" w:type="pct"/>
            <w:vAlign w:val="center"/>
          </w:tcPr>
          <w:p w14:paraId="09911268" w14:textId="77777777" w:rsidR="002E474C" w:rsidRDefault="00000000">
            <w:pPr>
              <w:pStyle w:val="A-"/>
            </w:pPr>
            <w:r>
              <w:t>＜</w:t>
            </w:r>
            <w:r>
              <w:t>0.06</w:t>
            </w:r>
            <w:r>
              <w:t>～</w:t>
            </w:r>
            <w:r>
              <w:t>0.23</w:t>
            </w:r>
          </w:p>
        </w:tc>
        <w:tc>
          <w:tcPr>
            <w:tcW w:w="625" w:type="pct"/>
            <w:vAlign w:val="center"/>
          </w:tcPr>
          <w:p w14:paraId="1D7BCA1E" w14:textId="77777777" w:rsidR="002E474C" w:rsidRDefault="00000000">
            <w:pPr>
              <w:pStyle w:val="A-"/>
            </w:pPr>
            <w:r>
              <w:t>0.34</w:t>
            </w:r>
            <w:r>
              <w:t>～</w:t>
            </w:r>
            <w:r>
              <w:t>0.38</w:t>
            </w:r>
          </w:p>
        </w:tc>
        <w:tc>
          <w:tcPr>
            <w:tcW w:w="533" w:type="pct"/>
            <w:vAlign w:val="center"/>
          </w:tcPr>
          <w:p w14:paraId="3105AC6D" w14:textId="77777777" w:rsidR="002E474C" w:rsidRDefault="00000000">
            <w:pPr>
              <w:pStyle w:val="A-"/>
            </w:pPr>
            <w:r>
              <w:t>0.20</w:t>
            </w:r>
            <w:r>
              <w:t>～</w:t>
            </w:r>
            <w:r>
              <w:t>0.64</w:t>
            </w:r>
          </w:p>
        </w:tc>
        <w:tc>
          <w:tcPr>
            <w:tcW w:w="534" w:type="pct"/>
            <w:vAlign w:val="center"/>
          </w:tcPr>
          <w:p w14:paraId="41B4AF09" w14:textId="77777777" w:rsidR="002E474C" w:rsidRDefault="00000000">
            <w:pPr>
              <w:pStyle w:val="A-"/>
            </w:pPr>
            <w:r>
              <w:t>14.2</w:t>
            </w:r>
            <w:r>
              <w:t>～</w:t>
            </w:r>
            <w:r>
              <w:t>29.2</w:t>
            </w:r>
          </w:p>
        </w:tc>
      </w:tr>
      <w:tr w:rsidR="002E474C" w14:paraId="4C7642F1" w14:textId="77777777">
        <w:trPr>
          <w:trHeight w:val="123"/>
          <w:jc w:val="center"/>
        </w:trPr>
        <w:tc>
          <w:tcPr>
            <w:tcW w:w="472" w:type="pct"/>
            <w:vAlign w:val="center"/>
          </w:tcPr>
          <w:p w14:paraId="1504B291" w14:textId="77777777" w:rsidR="002E474C" w:rsidRDefault="00000000">
            <w:pPr>
              <w:pStyle w:val="A-"/>
            </w:pPr>
            <w:r>
              <w:t>出口水质</w:t>
            </w:r>
          </w:p>
        </w:tc>
        <w:tc>
          <w:tcPr>
            <w:tcW w:w="404" w:type="pct"/>
            <w:vAlign w:val="center"/>
          </w:tcPr>
          <w:p w14:paraId="70431E85" w14:textId="77777777" w:rsidR="002E474C" w:rsidRDefault="00000000">
            <w:pPr>
              <w:pStyle w:val="A-"/>
            </w:pPr>
            <w:r>
              <w:t>7.4</w:t>
            </w:r>
            <w:r>
              <w:t>～</w:t>
            </w:r>
            <w:r>
              <w:t>7.6</w:t>
            </w:r>
          </w:p>
        </w:tc>
        <w:tc>
          <w:tcPr>
            <w:tcW w:w="380" w:type="pct"/>
            <w:vAlign w:val="center"/>
          </w:tcPr>
          <w:p w14:paraId="59F6B6D9" w14:textId="77777777" w:rsidR="002E474C" w:rsidRDefault="00000000">
            <w:pPr>
              <w:pStyle w:val="A-"/>
            </w:pPr>
            <w:r>
              <w:t>＜</w:t>
            </w:r>
            <w:r>
              <w:t>4</w:t>
            </w:r>
            <w:r>
              <w:t>～</w:t>
            </w:r>
            <w:r>
              <w:t>10</w:t>
            </w:r>
          </w:p>
        </w:tc>
        <w:tc>
          <w:tcPr>
            <w:tcW w:w="414" w:type="pct"/>
            <w:vAlign w:val="center"/>
          </w:tcPr>
          <w:p w14:paraId="68D17746" w14:textId="77777777" w:rsidR="002E474C" w:rsidRDefault="00000000">
            <w:pPr>
              <w:pStyle w:val="A-"/>
            </w:pPr>
            <w:r>
              <w:t>12</w:t>
            </w:r>
            <w:r>
              <w:t>～</w:t>
            </w:r>
            <w:r>
              <w:t>22</w:t>
            </w:r>
          </w:p>
        </w:tc>
        <w:tc>
          <w:tcPr>
            <w:tcW w:w="471" w:type="pct"/>
            <w:vAlign w:val="center"/>
          </w:tcPr>
          <w:p w14:paraId="46D9AD78" w14:textId="77777777" w:rsidR="002E474C" w:rsidRDefault="00000000">
            <w:pPr>
              <w:pStyle w:val="A-"/>
            </w:pPr>
            <w:r>
              <w:t>2.2</w:t>
            </w:r>
            <w:r>
              <w:t>～</w:t>
            </w:r>
            <w:r>
              <w:t>8.9</w:t>
            </w:r>
          </w:p>
        </w:tc>
        <w:tc>
          <w:tcPr>
            <w:tcW w:w="596" w:type="pct"/>
            <w:vAlign w:val="center"/>
          </w:tcPr>
          <w:p w14:paraId="27E0A3CB" w14:textId="77777777" w:rsidR="002E474C" w:rsidRDefault="00000000">
            <w:pPr>
              <w:pStyle w:val="A-"/>
            </w:pPr>
            <w:r>
              <w:t>0.057</w:t>
            </w:r>
            <w:r>
              <w:t>～</w:t>
            </w:r>
            <w:r>
              <w:t>1.31</w:t>
            </w:r>
          </w:p>
        </w:tc>
        <w:tc>
          <w:tcPr>
            <w:tcW w:w="571" w:type="pct"/>
            <w:vAlign w:val="center"/>
          </w:tcPr>
          <w:p w14:paraId="6FF87C5C" w14:textId="77777777" w:rsidR="002E474C" w:rsidRDefault="00000000">
            <w:pPr>
              <w:pStyle w:val="A-"/>
            </w:pPr>
            <w:r>
              <w:t>＜</w:t>
            </w:r>
            <w:r>
              <w:t>0.06</w:t>
            </w:r>
            <w:r>
              <w:t>～</w:t>
            </w:r>
            <w:r>
              <w:t>0.10</w:t>
            </w:r>
          </w:p>
        </w:tc>
        <w:tc>
          <w:tcPr>
            <w:tcW w:w="625" w:type="pct"/>
            <w:vAlign w:val="center"/>
          </w:tcPr>
          <w:p w14:paraId="2AC7B88E" w14:textId="77777777" w:rsidR="002E474C" w:rsidRDefault="00000000">
            <w:pPr>
              <w:pStyle w:val="A-"/>
            </w:pPr>
            <w:r>
              <w:t>0.0.25</w:t>
            </w:r>
            <w:r>
              <w:t>～</w:t>
            </w:r>
            <w:r>
              <w:t>0.35</w:t>
            </w:r>
          </w:p>
        </w:tc>
        <w:tc>
          <w:tcPr>
            <w:tcW w:w="533" w:type="pct"/>
            <w:vAlign w:val="center"/>
          </w:tcPr>
          <w:p w14:paraId="4AFFDF0D" w14:textId="77777777" w:rsidR="002E474C" w:rsidRDefault="00000000">
            <w:pPr>
              <w:pStyle w:val="A-"/>
            </w:pPr>
            <w:r>
              <w:t>0.13</w:t>
            </w:r>
            <w:r>
              <w:t>～</w:t>
            </w:r>
            <w:r>
              <w:t>0.35</w:t>
            </w:r>
          </w:p>
        </w:tc>
        <w:tc>
          <w:tcPr>
            <w:tcW w:w="534" w:type="pct"/>
            <w:vAlign w:val="center"/>
          </w:tcPr>
          <w:p w14:paraId="551CC9CB" w14:textId="77777777" w:rsidR="002E474C" w:rsidRDefault="00000000">
            <w:pPr>
              <w:pStyle w:val="A-"/>
            </w:pPr>
            <w:r>
              <w:t>19.8</w:t>
            </w:r>
            <w:r>
              <w:t>～</w:t>
            </w:r>
            <w:r>
              <w:t>28.2</w:t>
            </w:r>
          </w:p>
        </w:tc>
      </w:tr>
      <w:tr w:rsidR="002E474C" w14:paraId="74598FEF" w14:textId="77777777">
        <w:trPr>
          <w:trHeight w:val="123"/>
          <w:jc w:val="center"/>
        </w:trPr>
        <w:tc>
          <w:tcPr>
            <w:tcW w:w="472" w:type="pct"/>
            <w:vAlign w:val="center"/>
          </w:tcPr>
          <w:p w14:paraId="6FF2FB5A" w14:textId="77777777" w:rsidR="002E474C" w:rsidRDefault="00000000">
            <w:pPr>
              <w:pStyle w:val="A-"/>
            </w:pPr>
            <w:r>
              <w:t>标准限值</w:t>
            </w:r>
          </w:p>
        </w:tc>
        <w:tc>
          <w:tcPr>
            <w:tcW w:w="404" w:type="pct"/>
            <w:shd w:val="clear" w:color="auto" w:fill="auto"/>
            <w:vAlign w:val="center"/>
          </w:tcPr>
          <w:p w14:paraId="57A1A9CC" w14:textId="77777777" w:rsidR="002E474C" w:rsidRDefault="00000000">
            <w:pPr>
              <w:pStyle w:val="A-"/>
            </w:pPr>
            <w:r>
              <w:t>6~9</w:t>
            </w:r>
          </w:p>
        </w:tc>
        <w:tc>
          <w:tcPr>
            <w:tcW w:w="380" w:type="pct"/>
            <w:shd w:val="clear" w:color="auto" w:fill="auto"/>
            <w:vAlign w:val="center"/>
          </w:tcPr>
          <w:p w14:paraId="6FFBEBEC" w14:textId="77777777" w:rsidR="002E474C" w:rsidRDefault="00000000">
            <w:pPr>
              <w:pStyle w:val="A-"/>
            </w:pPr>
            <w:r>
              <w:t>150</w:t>
            </w:r>
          </w:p>
        </w:tc>
        <w:tc>
          <w:tcPr>
            <w:tcW w:w="414" w:type="pct"/>
            <w:shd w:val="clear" w:color="auto" w:fill="auto"/>
            <w:vAlign w:val="center"/>
          </w:tcPr>
          <w:p w14:paraId="2E969D65" w14:textId="77777777" w:rsidR="002E474C" w:rsidRDefault="00000000">
            <w:pPr>
              <w:pStyle w:val="A-"/>
            </w:pPr>
            <w:r>
              <w:t>150</w:t>
            </w:r>
          </w:p>
        </w:tc>
        <w:tc>
          <w:tcPr>
            <w:tcW w:w="471" w:type="pct"/>
            <w:shd w:val="clear" w:color="auto" w:fill="auto"/>
            <w:vAlign w:val="center"/>
          </w:tcPr>
          <w:p w14:paraId="6320EB74" w14:textId="77777777" w:rsidR="002E474C" w:rsidRDefault="00000000">
            <w:pPr>
              <w:pStyle w:val="A-"/>
            </w:pPr>
            <w:r>
              <w:t>30</w:t>
            </w:r>
          </w:p>
        </w:tc>
        <w:tc>
          <w:tcPr>
            <w:tcW w:w="596" w:type="pct"/>
            <w:shd w:val="clear" w:color="auto" w:fill="auto"/>
            <w:vAlign w:val="center"/>
          </w:tcPr>
          <w:p w14:paraId="00F5B116" w14:textId="77777777" w:rsidR="002E474C" w:rsidRDefault="00000000">
            <w:pPr>
              <w:pStyle w:val="A-"/>
            </w:pPr>
            <w:r>
              <w:t>25</w:t>
            </w:r>
          </w:p>
        </w:tc>
        <w:tc>
          <w:tcPr>
            <w:tcW w:w="571" w:type="pct"/>
            <w:shd w:val="clear" w:color="auto" w:fill="auto"/>
            <w:vAlign w:val="center"/>
          </w:tcPr>
          <w:p w14:paraId="6C975AB4" w14:textId="77777777" w:rsidR="002E474C" w:rsidRDefault="00000000">
            <w:pPr>
              <w:pStyle w:val="A-"/>
            </w:pPr>
            <w:r>
              <w:t>10</w:t>
            </w:r>
          </w:p>
        </w:tc>
        <w:tc>
          <w:tcPr>
            <w:tcW w:w="625" w:type="pct"/>
            <w:shd w:val="clear" w:color="auto" w:fill="auto"/>
            <w:vAlign w:val="center"/>
          </w:tcPr>
          <w:p w14:paraId="057F90B3" w14:textId="77777777" w:rsidR="002E474C" w:rsidRDefault="00000000">
            <w:pPr>
              <w:pStyle w:val="A-"/>
            </w:pPr>
            <w:r>
              <w:t>10</w:t>
            </w:r>
          </w:p>
        </w:tc>
        <w:tc>
          <w:tcPr>
            <w:tcW w:w="533" w:type="pct"/>
            <w:shd w:val="clear" w:color="auto" w:fill="auto"/>
            <w:vAlign w:val="center"/>
          </w:tcPr>
          <w:p w14:paraId="09DED1DC" w14:textId="77777777" w:rsidR="002E474C" w:rsidRDefault="00000000">
            <w:pPr>
              <w:pStyle w:val="A-"/>
            </w:pPr>
            <w:r>
              <w:t>/</w:t>
            </w:r>
          </w:p>
        </w:tc>
        <w:tc>
          <w:tcPr>
            <w:tcW w:w="534" w:type="pct"/>
            <w:shd w:val="clear" w:color="auto" w:fill="auto"/>
            <w:vAlign w:val="center"/>
          </w:tcPr>
          <w:p w14:paraId="4425AC8E" w14:textId="77777777" w:rsidR="002E474C" w:rsidRDefault="00000000">
            <w:pPr>
              <w:pStyle w:val="A-"/>
            </w:pPr>
            <w:r>
              <w:t>/</w:t>
            </w:r>
          </w:p>
        </w:tc>
      </w:tr>
      <w:tr w:rsidR="002E474C" w14:paraId="58C89CAC" w14:textId="77777777">
        <w:trPr>
          <w:trHeight w:val="123"/>
          <w:jc w:val="center"/>
        </w:trPr>
        <w:tc>
          <w:tcPr>
            <w:tcW w:w="472" w:type="pct"/>
            <w:vAlign w:val="center"/>
          </w:tcPr>
          <w:p w14:paraId="2AF3C78D" w14:textId="77777777" w:rsidR="002E474C" w:rsidRDefault="00000000">
            <w:pPr>
              <w:pStyle w:val="A-"/>
            </w:pPr>
            <w:r>
              <w:t>达标情况</w:t>
            </w:r>
          </w:p>
        </w:tc>
        <w:tc>
          <w:tcPr>
            <w:tcW w:w="404" w:type="pct"/>
            <w:shd w:val="clear" w:color="auto" w:fill="auto"/>
            <w:vAlign w:val="center"/>
          </w:tcPr>
          <w:p w14:paraId="653B2C49" w14:textId="77777777" w:rsidR="002E474C" w:rsidRDefault="00000000">
            <w:pPr>
              <w:pStyle w:val="A-"/>
            </w:pPr>
            <w:r>
              <w:t>达标</w:t>
            </w:r>
          </w:p>
        </w:tc>
        <w:tc>
          <w:tcPr>
            <w:tcW w:w="380" w:type="pct"/>
            <w:shd w:val="clear" w:color="auto" w:fill="auto"/>
            <w:vAlign w:val="center"/>
          </w:tcPr>
          <w:p w14:paraId="2A1ED1F9" w14:textId="77777777" w:rsidR="002E474C" w:rsidRDefault="00000000">
            <w:pPr>
              <w:pStyle w:val="A-"/>
            </w:pPr>
            <w:r>
              <w:t>达标</w:t>
            </w:r>
          </w:p>
        </w:tc>
        <w:tc>
          <w:tcPr>
            <w:tcW w:w="414" w:type="pct"/>
            <w:shd w:val="clear" w:color="auto" w:fill="auto"/>
            <w:vAlign w:val="center"/>
          </w:tcPr>
          <w:p w14:paraId="7B6A150B" w14:textId="77777777" w:rsidR="002E474C" w:rsidRDefault="00000000">
            <w:pPr>
              <w:pStyle w:val="A-"/>
            </w:pPr>
            <w:r>
              <w:t>达标</w:t>
            </w:r>
          </w:p>
        </w:tc>
        <w:tc>
          <w:tcPr>
            <w:tcW w:w="471" w:type="pct"/>
            <w:shd w:val="clear" w:color="auto" w:fill="auto"/>
            <w:vAlign w:val="center"/>
          </w:tcPr>
          <w:p w14:paraId="2FB6542A" w14:textId="77777777" w:rsidR="002E474C" w:rsidRDefault="00000000">
            <w:pPr>
              <w:pStyle w:val="A-"/>
            </w:pPr>
            <w:r>
              <w:t>达标</w:t>
            </w:r>
          </w:p>
        </w:tc>
        <w:tc>
          <w:tcPr>
            <w:tcW w:w="596" w:type="pct"/>
            <w:shd w:val="clear" w:color="auto" w:fill="auto"/>
            <w:vAlign w:val="center"/>
          </w:tcPr>
          <w:p w14:paraId="00C78AD4" w14:textId="77777777" w:rsidR="002E474C" w:rsidRDefault="00000000">
            <w:pPr>
              <w:pStyle w:val="A-"/>
            </w:pPr>
            <w:r>
              <w:t>达标</w:t>
            </w:r>
          </w:p>
        </w:tc>
        <w:tc>
          <w:tcPr>
            <w:tcW w:w="571" w:type="pct"/>
            <w:shd w:val="clear" w:color="auto" w:fill="auto"/>
            <w:vAlign w:val="center"/>
          </w:tcPr>
          <w:p w14:paraId="0225AA01" w14:textId="77777777" w:rsidR="002E474C" w:rsidRDefault="00000000">
            <w:pPr>
              <w:pStyle w:val="A-"/>
            </w:pPr>
            <w:r>
              <w:t>达标</w:t>
            </w:r>
          </w:p>
        </w:tc>
        <w:tc>
          <w:tcPr>
            <w:tcW w:w="625" w:type="pct"/>
            <w:shd w:val="clear" w:color="auto" w:fill="auto"/>
            <w:vAlign w:val="center"/>
          </w:tcPr>
          <w:p w14:paraId="79F7AAAC" w14:textId="77777777" w:rsidR="002E474C" w:rsidRDefault="00000000">
            <w:pPr>
              <w:pStyle w:val="A-"/>
            </w:pPr>
            <w:r>
              <w:t>达标</w:t>
            </w:r>
          </w:p>
        </w:tc>
        <w:tc>
          <w:tcPr>
            <w:tcW w:w="533" w:type="pct"/>
            <w:shd w:val="clear" w:color="auto" w:fill="auto"/>
            <w:vAlign w:val="center"/>
          </w:tcPr>
          <w:p w14:paraId="2D5B8AAC" w14:textId="77777777" w:rsidR="002E474C" w:rsidRDefault="00000000">
            <w:pPr>
              <w:pStyle w:val="A-"/>
            </w:pPr>
            <w:r>
              <w:t>/</w:t>
            </w:r>
          </w:p>
        </w:tc>
        <w:tc>
          <w:tcPr>
            <w:tcW w:w="534" w:type="pct"/>
            <w:shd w:val="clear" w:color="auto" w:fill="auto"/>
            <w:vAlign w:val="center"/>
          </w:tcPr>
          <w:p w14:paraId="2BE3AF4B" w14:textId="77777777" w:rsidR="002E474C" w:rsidRDefault="00000000">
            <w:pPr>
              <w:pStyle w:val="A-"/>
            </w:pPr>
            <w:r>
              <w:t>/</w:t>
            </w:r>
          </w:p>
        </w:tc>
      </w:tr>
    </w:tbl>
    <w:p w14:paraId="232F56D1" w14:textId="77777777" w:rsidR="002E474C" w:rsidRDefault="002E474C"/>
    <w:p w14:paraId="6A224BB7" w14:textId="77777777" w:rsidR="002E474C" w:rsidRDefault="00000000">
      <w:pPr>
        <w:pStyle w:val="41"/>
        <w:rPr>
          <w:color w:val="auto"/>
        </w:rPr>
      </w:pPr>
      <w:r>
        <w:rPr>
          <w:color w:val="auto"/>
        </w:rPr>
        <w:t>噪声</w:t>
      </w:r>
    </w:p>
    <w:p w14:paraId="40BFA9BC" w14:textId="77777777" w:rsidR="002E474C" w:rsidRDefault="00000000">
      <w:pPr>
        <w:pStyle w:val="A-z"/>
        <w:rPr>
          <w:color w:val="auto"/>
        </w:rPr>
      </w:pPr>
      <w:r>
        <w:rPr>
          <w:color w:val="auto"/>
        </w:rPr>
        <w:t>电石渣干法水泥生产线噪声主要来源于破碎机、生料磨、煤磨、罗茨风机、空压机、冷却机等机械设备运转过程中产生的振动、摩擦、撞击等机械噪声。主要高噪声设备及防治措施见表</w:t>
      </w:r>
      <w:r>
        <w:rPr>
          <w:color w:val="auto"/>
        </w:rPr>
        <w:t>3.1-11</w:t>
      </w:r>
      <w:r>
        <w:rPr>
          <w:color w:val="auto"/>
        </w:rPr>
        <w:t>。</w:t>
      </w:r>
    </w:p>
    <w:p w14:paraId="13DF6D9D" w14:textId="77777777" w:rsidR="002E474C" w:rsidRDefault="00000000">
      <w:pPr>
        <w:pStyle w:val="A-z"/>
        <w:rPr>
          <w:color w:val="auto"/>
        </w:rPr>
      </w:pPr>
      <w:r>
        <w:rPr>
          <w:color w:val="auto"/>
        </w:rPr>
        <w:t>根据</w:t>
      </w:r>
      <w:r>
        <w:rPr>
          <w:color w:val="auto"/>
        </w:rPr>
        <w:t>2025</w:t>
      </w:r>
      <w:r>
        <w:rPr>
          <w:color w:val="auto"/>
        </w:rPr>
        <w:t>年企业开展的自行监测情况，厂界昼、夜间噪声均符合</w:t>
      </w:r>
      <w:r>
        <w:rPr>
          <w:color w:val="auto"/>
          <w:lang w:val="en-US"/>
        </w:rPr>
        <w:t>《工业企业厂界环境噪声排放标准》（</w:t>
      </w:r>
      <w:r>
        <w:rPr>
          <w:color w:val="auto"/>
          <w:lang w:val="en-US"/>
        </w:rPr>
        <w:t>GB12348-2008</w:t>
      </w:r>
      <w:r>
        <w:rPr>
          <w:color w:val="auto"/>
          <w:lang w:val="en-US"/>
        </w:rPr>
        <w:t>）</w:t>
      </w:r>
      <w:r>
        <w:rPr>
          <w:color w:val="auto"/>
          <w:lang w:val="en-US"/>
        </w:rPr>
        <w:t>3</w:t>
      </w:r>
      <w:r>
        <w:rPr>
          <w:color w:val="auto"/>
          <w:lang w:val="en-US"/>
        </w:rPr>
        <w:t>类标准。</w:t>
      </w:r>
      <w:r>
        <w:rPr>
          <w:color w:val="auto"/>
        </w:rPr>
        <w:t>厂界昼、夜间噪声监测结果，见表</w:t>
      </w:r>
      <w:r>
        <w:rPr>
          <w:color w:val="auto"/>
        </w:rPr>
        <w:t>3.1-12</w:t>
      </w:r>
      <w:r>
        <w:rPr>
          <w:color w:val="auto"/>
        </w:rPr>
        <w:t>。</w:t>
      </w:r>
    </w:p>
    <w:p w14:paraId="32C53E59" w14:textId="77777777" w:rsidR="002E474C" w:rsidRDefault="002E474C">
      <w:pPr>
        <w:pStyle w:val="A-z"/>
        <w:rPr>
          <w:color w:val="auto"/>
        </w:rPr>
      </w:pPr>
    </w:p>
    <w:p w14:paraId="669BA12F" w14:textId="77777777" w:rsidR="002E474C" w:rsidRDefault="002E474C">
      <w:pPr>
        <w:pStyle w:val="A-z"/>
        <w:rPr>
          <w:color w:val="auto"/>
        </w:rPr>
      </w:pPr>
    </w:p>
    <w:p w14:paraId="7D7CCB1E" w14:textId="77777777" w:rsidR="002E474C" w:rsidRDefault="00000000">
      <w:pPr>
        <w:pStyle w:val="A--"/>
        <w:rPr>
          <w:color w:val="auto"/>
        </w:rPr>
      </w:pPr>
      <w:bookmarkStart w:id="122" w:name="_Ref131418034"/>
      <w:r>
        <w:rPr>
          <w:color w:val="auto"/>
        </w:rPr>
        <w:lastRenderedPageBreak/>
        <w:t>表</w:t>
      </w:r>
      <w:bookmarkEnd w:id="122"/>
      <w:r>
        <w:rPr>
          <w:color w:val="auto"/>
        </w:rPr>
        <w:t xml:space="preserve">3.1-11  </w:t>
      </w:r>
      <w:r>
        <w:rPr>
          <w:color w:val="auto"/>
        </w:rPr>
        <w:t>圣雄水泥公司噪声源及环保治理措施一览表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688"/>
        <w:gridCol w:w="2545"/>
        <w:gridCol w:w="1329"/>
      </w:tblGrid>
      <w:tr w:rsidR="002E474C" w14:paraId="1525542B" w14:textId="77777777">
        <w:tc>
          <w:tcPr>
            <w:tcW w:w="442" w:type="pct"/>
            <w:vAlign w:val="center"/>
          </w:tcPr>
          <w:p w14:paraId="378928BF" w14:textId="77777777" w:rsidR="002E474C" w:rsidRDefault="00000000">
            <w:pPr>
              <w:pStyle w:val="A-"/>
            </w:pPr>
            <w:r>
              <w:t>序号</w:t>
            </w:r>
          </w:p>
        </w:tc>
        <w:tc>
          <w:tcPr>
            <w:tcW w:w="2223" w:type="pct"/>
            <w:vAlign w:val="center"/>
          </w:tcPr>
          <w:p w14:paraId="23ED0220" w14:textId="77777777" w:rsidR="002E474C" w:rsidRDefault="00000000">
            <w:pPr>
              <w:pStyle w:val="A-"/>
            </w:pPr>
            <w:r>
              <w:t>噪声源</w:t>
            </w:r>
          </w:p>
        </w:tc>
        <w:tc>
          <w:tcPr>
            <w:tcW w:w="1534" w:type="pct"/>
            <w:vAlign w:val="center"/>
          </w:tcPr>
          <w:p w14:paraId="56775E30" w14:textId="77777777" w:rsidR="002E474C" w:rsidRDefault="00000000">
            <w:pPr>
              <w:pStyle w:val="A-"/>
            </w:pPr>
            <w:r>
              <w:t>防治措施</w:t>
            </w:r>
          </w:p>
        </w:tc>
        <w:tc>
          <w:tcPr>
            <w:tcW w:w="801" w:type="pct"/>
            <w:vAlign w:val="center"/>
          </w:tcPr>
          <w:p w14:paraId="3C654C1A" w14:textId="77777777" w:rsidR="002E474C" w:rsidRDefault="00000000">
            <w:pPr>
              <w:pStyle w:val="A-"/>
            </w:pPr>
            <w:r>
              <w:t>工作状况</w:t>
            </w:r>
          </w:p>
        </w:tc>
      </w:tr>
      <w:tr w:rsidR="002E474C" w14:paraId="16A63F7A" w14:textId="77777777">
        <w:tc>
          <w:tcPr>
            <w:tcW w:w="442" w:type="pct"/>
            <w:vAlign w:val="center"/>
          </w:tcPr>
          <w:p w14:paraId="541ABD7A" w14:textId="77777777" w:rsidR="002E474C" w:rsidRDefault="00000000">
            <w:pPr>
              <w:pStyle w:val="A-"/>
            </w:pPr>
            <w:r>
              <w:t>1</w:t>
            </w:r>
          </w:p>
        </w:tc>
        <w:tc>
          <w:tcPr>
            <w:tcW w:w="2223" w:type="pct"/>
            <w:vAlign w:val="center"/>
          </w:tcPr>
          <w:p w14:paraId="20E3D294" w14:textId="77777777" w:rsidR="002E474C" w:rsidRDefault="00000000">
            <w:pPr>
              <w:pStyle w:val="A-"/>
            </w:pPr>
            <w:r>
              <w:t>破碎机</w:t>
            </w:r>
          </w:p>
        </w:tc>
        <w:tc>
          <w:tcPr>
            <w:tcW w:w="1534" w:type="pct"/>
            <w:vAlign w:val="center"/>
          </w:tcPr>
          <w:p w14:paraId="5F1248C3" w14:textId="77777777" w:rsidR="002E474C" w:rsidRDefault="00000000">
            <w:pPr>
              <w:pStyle w:val="A-"/>
            </w:pPr>
            <w:r>
              <w:t>基础减振、建筑阻隔</w:t>
            </w:r>
          </w:p>
        </w:tc>
        <w:tc>
          <w:tcPr>
            <w:tcW w:w="801" w:type="pct"/>
            <w:vAlign w:val="center"/>
          </w:tcPr>
          <w:p w14:paraId="5B7E483D" w14:textId="77777777" w:rsidR="002E474C" w:rsidRDefault="00000000">
            <w:pPr>
              <w:pStyle w:val="A-"/>
            </w:pPr>
            <w:r>
              <w:t>间断</w:t>
            </w:r>
          </w:p>
        </w:tc>
      </w:tr>
      <w:tr w:rsidR="002E474C" w14:paraId="5858777E" w14:textId="77777777">
        <w:trPr>
          <w:trHeight w:val="217"/>
        </w:trPr>
        <w:tc>
          <w:tcPr>
            <w:tcW w:w="442" w:type="pct"/>
            <w:vAlign w:val="center"/>
          </w:tcPr>
          <w:p w14:paraId="02DDF3B5" w14:textId="77777777" w:rsidR="002E474C" w:rsidRDefault="00000000">
            <w:pPr>
              <w:pStyle w:val="A-"/>
            </w:pPr>
            <w:r>
              <w:t>2</w:t>
            </w:r>
          </w:p>
        </w:tc>
        <w:tc>
          <w:tcPr>
            <w:tcW w:w="2223" w:type="pct"/>
            <w:vAlign w:val="center"/>
          </w:tcPr>
          <w:p w14:paraId="17DB05B4" w14:textId="77777777" w:rsidR="002E474C" w:rsidRDefault="00000000">
            <w:pPr>
              <w:pStyle w:val="A-"/>
            </w:pPr>
            <w:r>
              <w:t>原料磨、煤磨</w:t>
            </w:r>
          </w:p>
        </w:tc>
        <w:tc>
          <w:tcPr>
            <w:tcW w:w="1534" w:type="pct"/>
            <w:vAlign w:val="center"/>
          </w:tcPr>
          <w:p w14:paraId="48767E8B" w14:textId="77777777" w:rsidR="002E474C" w:rsidRDefault="00000000">
            <w:pPr>
              <w:pStyle w:val="A-"/>
            </w:pPr>
            <w:r>
              <w:t>基础减振、建筑阻隔</w:t>
            </w:r>
          </w:p>
        </w:tc>
        <w:tc>
          <w:tcPr>
            <w:tcW w:w="801" w:type="pct"/>
            <w:vAlign w:val="center"/>
          </w:tcPr>
          <w:p w14:paraId="04E1752A" w14:textId="77777777" w:rsidR="002E474C" w:rsidRDefault="00000000">
            <w:pPr>
              <w:pStyle w:val="A-"/>
            </w:pPr>
            <w:r>
              <w:t>连续</w:t>
            </w:r>
          </w:p>
        </w:tc>
      </w:tr>
      <w:tr w:rsidR="002E474C" w14:paraId="16EF8659" w14:textId="77777777">
        <w:tc>
          <w:tcPr>
            <w:tcW w:w="442" w:type="pct"/>
            <w:vAlign w:val="center"/>
          </w:tcPr>
          <w:p w14:paraId="54ECEF32" w14:textId="77777777" w:rsidR="002E474C" w:rsidRDefault="00000000">
            <w:pPr>
              <w:pStyle w:val="A-"/>
            </w:pPr>
            <w:r>
              <w:t>3</w:t>
            </w:r>
          </w:p>
        </w:tc>
        <w:tc>
          <w:tcPr>
            <w:tcW w:w="2223" w:type="pct"/>
            <w:vAlign w:val="center"/>
          </w:tcPr>
          <w:p w14:paraId="20A12383" w14:textId="77777777" w:rsidR="002E474C" w:rsidRDefault="00000000">
            <w:pPr>
              <w:pStyle w:val="A-"/>
            </w:pPr>
            <w:r>
              <w:t>鼓风机、排风机、篦冷机、空压机等</w:t>
            </w:r>
          </w:p>
        </w:tc>
        <w:tc>
          <w:tcPr>
            <w:tcW w:w="1534" w:type="pct"/>
            <w:vAlign w:val="center"/>
          </w:tcPr>
          <w:p w14:paraId="60DC23F7" w14:textId="77777777" w:rsidR="002E474C" w:rsidRDefault="00000000">
            <w:pPr>
              <w:pStyle w:val="A-"/>
            </w:pPr>
            <w:r>
              <w:t>基础减振、安装消音器</w:t>
            </w:r>
          </w:p>
        </w:tc>
        <w:tc>
          <w:tcPr>
            <w:tcW w:w="801" w:type="pct"/>
            <w:vAlign w:val="center"/>
          </w:tcPr>
          <w:p w14:paraId="785CB097" w14:textId="77777777" w:rsidR="002E474C" w:rsidRDefault="00000000">
            <w:pPr>
              <w:pStyle w:val="A-"/>
            </w:pPr>
            <w:r>
              <w:t>连续</w:t>
            </w:r>
          </w:p>
        </w:tc>
      </w:tr>
      <w:tr w:rsidR="002E474C" w14:paraId="5A4BB80D" w14:textId="77777777">
        <w:tc>
          <w:tcPr>
            <w:tcW w:w="442" w:type="pct"/>
            <w:vAlign w:val="center"/>
          </w:tcPr>
          <w:p w14:paraId="7E01B09C" w14:textId="77777777" w:rsidR="002E474C" w:rsidRDefault="00000000">
            <w:pPr>
              <w:pStyle w:val="A-"/>
            </w:pPr>
            <w:r>
              <w:t>4</w:t>
            </w:r>
          </w:p>
        </w:tc>
        <w:tc>
          <w:tcPr>
            <w:tcW w:w="2223" w:type="pct"/>
            <w:vAlign w:val="center"/>
          </w:tcPr>
          <w:p w14:paraId="21E15E4A" w14:textId="77777777" w:rsidR="002E474C" w:rsidRDefault="00000000">
            <w:pPr>
              <w:pStyle w:val="A-"/>
            </w:pPr>
            <w:r>
              <w:t>水泵、包装机、冷却塔等</w:t>
            </w:r>
          </w:p>
        </w:tc>
        <w:tc>
          <w:tcPr>
            <w:tcW w:w="1534" w:type="pct"/>
            <w:vAlign w:val="center"/>
          </w:tcPr>
          <w:p w14:paraId="5DEAFC0C" w14:textId="77777777" w:rsidR="002E474C" w:rsidRDefault="00000000">
            <w:pPr>
              <w:pStyle w:val="A-"/>
            </w:pPr>
            <w:r>
              <w:t>基础减振、柔性接头</w:t>
            </w:r>
          </w:p>
        </w:tc>
        <w:tc>
          <w:tcPr>
            <w:tcW w:w="801" w:type="pct"/>
            <w:vAlign w:val="center"/>
          </w:tcPr>
          <w:p w14:paraId="1AD436EC" w14:textId="77777777" w:rsidR="002E474C" w:rsidRDefault="00000000">
            <w:pPr>
              <w:pStyle w:val="A-"/>
            </w:pPr>
            <w:r>
              <w:t>连续</w:t>
            </w:r>
          </w:p>
        </w:tc>
      </w:tr>
    </w:tbl>
    <w:p w14:paraId="25E0AD08" w14:textId="77777777" w:rsidR="002E474C" w:rsidRDefault="002E474C">
      <w:bookmarkStart w:id="123" w:name="_Ref131418121"/>
    </w:p>
    <w:p w14:paraId="375ACB5F" w14:textId="77777777" w:rsidR="002E474C" w:rsidRDefault="00000000">
      <w:pPr>
        <w:pStyle w:val="A--"/>
        <w:rPr>
          <w:color w:val="auto"/>
        </w:rPr>
      </w:pPr>
      <w:r>
        <w:rPr>
          <w:color w:val="auto"/>
        </w:rPr>
        <w:t>表</w:t>
      </w:r>
      <w:bookmarkEnd w:id="123"/>
      <w:r>
        <w:rPr>
          <w:color w:val="auto"/>
        </w:rPr>
        <w:t xml:space="preserve">3.1-12  </w:t>
      </w:r>
      <w:r>
        <w:rPr>
          <w:color w:val="auto"/>
        </w:rPr>
        <w:t>厂界噪声监测结果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3"/>
        <w:gridCol w:w="1560"/>
        <w:gridCol w:w="1526"/>
        <w:gridCol w:w="1692"/>
        <w:gridCol w:w="1405"/>
      </w:tblGrid>
      <w:tr w:rsidR="002E474C" w14:paraId="463196BF" w14:textId="77777777">
        <w:trPr>
          <w:jc w:val="center"/>
        </w:trPr>
        <w:tc>
          <w:tcPr>
            <w:tcW w:w="1273" w:type="pct"/>
            <w:vMerge w:val="restart"/>
            <w:shd w:val="clear" w:color="auto" w:fill="auto"/>
            <w:vAlign w:val="center"/>
          </w:tcPr>
          <w:p w14:paraId="3138CF95" w14:textId="77777777" w:rsidR="002E474C" w:rsidRDefault="00000000">
            <w:pPr>
              <w:pStyle w:val="A-"/>
            </w:pPr>
            <w:r>
              <w:t>监测方位</w:t>
            </w:r>
          </w:p>
        </w:tc>
        <w:tc>
          <w:tcPr>
            <w:tcW w:w="1860" w:type="pct"/>
            <w:gridSpan w:val="2"/>
            <w:shd w:val="clear" w:color="auto" w:fill="auto"/>
            <w:vAlign w:val="center"/>
          </w:tcPr>
          <w:p w14:paraId="6B805953" w14:textId="77777777" w:rsidR="002E474C" w:rsidRDefault="00000000">
            <w:pPr>
              <w:pStyle w:val="A-"/>
            </w:pPr>
            <w:r>
              <w:t>昼间</w:t>
            </w:r>
          </w:p>
        </w:tc>
        <w:tc>
          <w:tcPr>
            <w:tcW w:w="1867" w:type="pct"/>
            <w:gridSpan w:val="2"/>
            <w:shd w:val="clear" w:color="auto" w:fill="auto"/>
            <w:vAlign w:val="center"/>
          </w:tcPr>
          <w:p w14:paraId="35EFA8F5" w14:textId="77777777" w:rsidR="002E474C" w:rsidRDefault="00000000">
            <w:pPr>
              <w:pStyle w:val="A-"/>
            </w:pPr>
            <w:r>
              <w:t>夜间</w:t>
            </w:r>
          </w:p>
        </w:tc>
      </w:tr>
      <w:tr w:rsidR="002E474C" w14:paraId="6819C14A" w14:textId="77777777">
        <w:trPr>
          <w:jc w:val="center"/>
        </w:trPr>
        <w:tc>
          <w:tcPr>
            <w:tcW w:w="1273" w:type="pct"/>
            <w:vMerge/>
            <w:shd w:val="clear" w:color="auto" w:fill="auto"/>
            <w:vAlign w:val="center"/>
          </w:tcPr>
          <w:p w14:paraId="7770EBC2" w14:textId="77777777" w:rsidR="002E474C" w:rsidRDefault="002E474C">
            <w:pPr>
              <w:pStyle w:val="A-"/>
            </w:pPr>
          </w:p>
        </w:tc>
        <w:tc>
          <w:tcPr>
            <w:tcW w:w="940" w:type="pct"/>
            <w:shd w:val="clear" w:color="auto" w:fill="auto"/>
            <w:vAlign w:val="center"/>
          </w:tcPr>
          <w:p w14:paraId="42117187" w14:textId="77777777" w:rsidR="002E474C" w:rsidRDefault="00000000">
            <w:pPr>
              <w:pStyle w:val="A-"/>
            </w:pPr>
            <w:r>
              <w:t>监测值</w:t>
            </w:r>
          </w:p>
        </w:tc>
        <w:tc>
          <w:tcPr>
            <w:tcW w:w="920" w:type="pct"/>
            <w:shd w:val="clear" w:color="auto" w:fill="auto"/>
            <w:vAlign w:val="center"/>
          </w:tcPr>
          <w:p w14:paraId="323D3238" w14:textId="77777777" w:rsidR="002E474C" w:rsidRDefault="00000000">
            <w:pPr>
              <w:pStyle w:val="A-"/>
            </w:pPr>
            <w:r>
              <w:t>标准值</w:t>
            </w:r>
          </w:p>
        </w:tc>
        <w:tc>
          <w:tcPr>
            <w:tcW w:w="1020" w:type="pct"/>
            <w:shd w:val="clear" w:color="auto" w:fill="auto"/>
            <w:vAlign w:val="center"/>
          </w:tcPr>
          <w:p w14:paraId="70BC5094" w14:textId="77777777" w:rsidR="002E474C" w:rsidRDefault="00000000">
            <w:pPr>
              <w:pStyle w:val="A-"/>
            </w:pPr>
            <w:r>
              <w:t>监测值</w:t>
            </w:r>
          </w:p>
        </w:tc>
        <w:tc>
          <w:tcPr>
            <w:tcW w:w="847" w:type="pct"/>
            <w:shd w:val="clear" w:color="auto" w:fill="auto"/>
            <w:vAlign w:val="center"/>
          </w:tcPr>
          <w:p w14:paraId="036C2D7D" w14:textId="77777777" w:rsidR="002E474C" w:rsidRDefault="00000000">
            <w:pPr>
              <w:pStyle w:val="A-"/>
            </w:pPr>
            <w:r>
              <w:t>标准值</w:t>
            </w:r>
          </w:p>
        </w:tc>
      </w:tr>
      <w:tr w:rsidR="002E474C" w14:paraId="368CEFF9" w14:textId="77777777">
        <w:trPr>
          <w:jc w:val="center"/>
        </w:trPr>
        <w:tc>
          <w:tcPr>
            <w:tcW w:w="1273" w:type="pct"/>
            <w:shd w:val="clear" w:color="auto" w:fill="auto"/>
            <w:vAlign w:val="center"/>
          </w:tcPr>
          <w:p w14:paraId="3F192C85" w14:textId="77777777" w:rsidR="002E474C" w:rsidRDefault="00000000">
            <w:pPr>
              <w:pStyle w:val="A-"/>
            </w:pPr>
            <w:r>
              <w:t>1#</w:t>
            </w:r>
            <w:r>
              <w:t>东厂界外</w:t>
            </w:r>
            <w:r>
              <w:t>1m</w:t>
            </w:r>
          </w:p>
        </w:tc>
        <w:tc>
          <w:tcPr>
            <w:tcW w:w="940" w:type="pct"/>
            <w:shd w:val="clear" w:color="auto" w:fill="auto"/>
            <w:vAlign w:val="center"/>
          </w:tcPr>
          <w:p w14:paraId="43CDAEBA" w14:textId="77777777" w:rsidR="002E474C" w:rsidRDefault="00000000">
            <w:pPr>
              <w:pStyle w:val="A-"/>
            </w:pPr>
            <w:r>
              <w:t>57</w:t>
            </w:r>
            <w:r>
              <w:t>～</w:t>
            </w:r>
            <w:r>
              <w:t>65</w:t>
            </w:r>
          </w:p>
        </w:tc>
        <w:tc>
          <w:tcPr>
            <w:tcW w:w="920" w:type="pct"/>
            <w:shd w:val="clear" w:color="auto" w:fill="auto"/>
            <w:vAlign w:val="center"/>
          </w:tcPr>
          <w:p w14:paraId="44B4E931" w14:textId="77777777" w:rsidR="002E474C" w:rsidRDefault="00000000">
            <w:pPr>
              <w:pStyle w:val="A-"/>
            </w:pPr>
            <w:r>
              <w:t>65</w:t>
            </w:r>
          </w:p>
        </w:tc>
        <w:tc>
          <w:tcPr>
            <w:tcW w:w="1020" w:type="pct"/>
            <w:shd w:val="clear" w:color="auto" w:fill="auto"/>
            <w:vAlign w:val="center"/>
          </w:tcPr>
          <w:p w14:paraId="6B62CB8C" w14:textId="77777777" w:rsidR="002E474C" w:rsidRDefault="00000000">
            <w:pPr>
              <w:pStyle w:val="A-"/>
            </w:pPr>
            <w:r>
              <w:t>44</w:t>
            </w:r>
            <w:r>
              <w:t>～</w:t>
            </w:r>
            <w:r>
              <w:t>54</w:t>
            </w:r>
          </w:p>
        </w:tc>
        <w:tc>
          <w:tcPr>
            <w:tcW w:w="847" w:type="pct"/>
            <w:shd w:val="clear" w:color="auto" w:fill="auto"/>
            <w:vAlign w:val="center"/>
          </w:tcPr>
          <w:p w14:paraId="4827B664" w14:textId="77777777" w:rsidR="002E474C" w:rsidRDefault="00000000">
            <w:pPr>
              <w:pStyle w:val="A-"/>
            </w:pPr>
            <w:r>
              <w:t>55</w:t>
            </w:r>
          </w:p>
        </w:tc>
      </w:tr>
      <w:tr w:rsidR="002E474C" w14:paraId="37C6C7CC" w14:textId="77777777">
        <w:trPr>
          <w:jc w:val="center"/>
        </w:trPr>
        <w:tc>
          <w:tcPr>
            <w:tcW w:w="1273" w:type="pct"/>
            <w:shd w:val="clear" w:color="auto" w:fill="auto"/>
            <w:vAlign w:val="center"/>
          </w:tcPr>
          <w:p w14:paraId="57DEEE89" w14:textId="77777777" w:rsidR="002E474C" w:rsidRDefault="00000000">
            <w:pPr>
              <w:pStyle w:val="A-"/>
            </w:pPr>
            <w:r>
              <w:t>2#</w:t>
            </w:r>
            <w:r>
              <w:t>南厂界外</w:t>
            </w:r>
            <w:r>
              <w:t>1m</w:t>
            </w:r>
          </w:p>
        </w:tc>
        <w:tc>
          <w:tcPr>
            <w:tcW w:w="940" w:type="pct"/>
            <w:shd w:val="clear" w:color="auto" w:fill="auto"/>
            <w:vAlign w:val="center"/>
          </w:tcPr>
          <w:p w14:paraId="1E71D7C3" w14:textId="77777777" w:rsidR="002E474C" w:rsidRDefault="00000000">
            <w:pPr>
              <w:pStyle w:val="A-"/>
            </w:pPr>
            <w:r>
              <w:t>57</w:t>
            </w:r>
            <w:r>
              <w:t>～</w:t>
            </w:r>
            <w:r>
              <w:t>62</w:t>
            </w:r>
          </w:p>
        </w:tc>
        <w:tc>
          <w:tcPr>
            <w:tcW w:w="920" w:type="pct"/>
            <w:shd w:val="clear" w:color="auto" w:fill="auto"/>
          </w:tcPr>
          <w:p w14:paraId="106F0D17" w14:textId="77777777" w:rsidR="002E474C" w:rsidRDefault="00000000">
            <w:pPr>
              <w:pStyle w:val="A-"/>
            </w:pPr>
            <w:r>
              <w:t>65</w:t>
            </w:r>
          </w:p>
        </w:tc>
        <w:tc>
          <w:tcPr>
            <w:tcW w:w="1020" w:type="pct"/>
            <w:shd w:val="clear" w:color="auto" w:fill="auto"/>
            <w:vAlign w:val="center"/>
          </w:tcPr>
          <w:p w14:paraId="0F55D625" w14:textId="77777777" w:rsidR="002E474C" w:rsidRDefault="00000000">
            <w:pPr>
              <w:pStyle w:val="A-"/>
            </w:pPr>
            <w:r>
              <w:t>42</w:t>
            </w:r>
            <w:r>
              <w:t>～</w:t>
            </w:r>
            <w:r>
              <w:t>54</w:t>
            </w:r>
          </w:p>
        </w:tc>
        <w:tc>
          <w:tcPr>
            <w:tcW w:w="847" w:type="pct"/>
            <w:shd w:val="clear" w:color="auto" w:fill="auto"/>
          </w:tcPr>
          <w:p w14:paraId="6B04F20D" w14:textId="77777777" w:rsidR="002E474C" w:rsidRDefault="00000000">
            <w:pPr>
              <w:pStyle w:val="A-"/>
            </w:pPr>
            <w:r>
              <w:t>55</w:t>
            </w:r>
          </w:p>
        </w:tc>
      </w:tr>
      <w:tr w:rsidR="002E474C" w14:paraId="76B12CA1" w14:textId="77777777">
        <w:trPr>
          <w:jc w:val="center"/>
        </w:trPr>
        <w:tc>
          <w:tcPr>
            <w:tcW w:w="1273" w:type="pct"/>
            <w:shd w:val="clear" w:color="auto" w:fill="auto"/>
            <w:vAlign w:val="center"/>
          </w:tcPr>
          <w:p w14:paraId="5FEBA650" w14:textId="77777777" w:rsidR="002E474C" w:rsidRDefault="00000000">
            <w:pPr>
              <w:pStyle w:val="A-"/>
            </w:pPr>
            <w:r>
              <w:t>3#</w:t>
            </w:r>
            <w:r>
              <w:t>西厂界外</w:t>
            </w:r>
            <w:r>
              <w:t>1m</w:t>
            </w:r>
          </w:p>
        </w:tc>
        <w:tc>
          <w:tcPr>
            <w:tcW w:w="940" w:type="pct"/>
            <w:shd w:val="clear" w:color="auto" w:fill="auto"/>
            <w:vAlign w:val="center"/>
          </w:tcPr>
          <w:p w14:paraId="6E5836A8" w14:textId="77777777" w:rsidR="002E474C" w:rsidRDefault="00000000">
            <w:pPr>
              <w:pStyle w:val="A-"/>
            </w:pPr>
            <w:r>
              <w:t>56</w:t>
            </w:r>
            <w:r>
              <w:t>～</w:t>
            </w:r>
            <w:r>
              <w:t>63</w:t>
            </w:r>
          </w:p>
        </w:tc>
        <w:tc>
          <w:tcPr>
            <w:tcW w:w="920" w:type="pct"/>
            <w:shd w:val="clear" w:color="auto" w:fill="auto"/>
          </w:tcPr>
          <w:p w14:paraId="4935C4F0" w14:textId="77777777" w:rsidR="002E474C" w:rsidRDefault="00000000">
            <w:pPr>
              <w:pStyle w:val="A-"/>
            </w:pPr>
            <w:r>
              <w:t>65</w:t>
            </w:r>
          </w:p>
        </w:tc>
        <w:tc>
          <w:tcPr>
            <w:tcW w:w="1020" w:type="pct"/>
            <w:shd w:val="clear" w:color="auto" w:fill="auto"/>
            <w:vAlign w:val="center"/>
          </w:tcPr>
          <w:p w14:paraId="2ED11969" w14:textId="77777777" w:rsidR="002E474C" w:rsidRDefault="00000000">
            <w:pPr>
              <w:pStyle w:val="A-"/>
            </w:pPr>
            <w:r>
              <w:t>40</w:t>
            </w:r>
            <w:r>
              <w:t>～</w:t>
            </w:r>
            <w:r>
              <w:t>54</w:t>
            </w:r>
          </w:p>
        </w:tc>
        <w:tc>
          <w:tcPr>
            <w:tcW w:w="847" w:type="pct"/>
            <w:shd w:val="clear" w:color="auto" w:fill="auto"/>
          </w:tcPr>
          <w:p w14:paraId="26C88C0A" w14:textId="77777777" w:rsidR="002E474C" w:rsidRDefault="00000000">
            <w:pPr>
              <w:pStyle w:val="A-"/>
            </w:pPr>
            <w:r>
              <w:t>55</w:t>
            </w:r>
          </w:p>
        </w:tc>
      </w:tr>
      <w:tr w:rsidR="002E474C" w14:paraId="36DFFED6" w14:textId="77777777">
        <w:trPr>
          <w:jc w:val="center"/>
        </w:trPr>
        <w:tc>
          <w:tcPr>
            <w:tcW w:w="1273" w:type="pct"/>
            <w:shd w:val="clear" w:color="auto" w:fill="auto"/>
            <w:vAlign w:val="center"/>
          </w:tcPr>
          <w:p w14:paraId="060A03E5" w14:textId="77777777" w:rsidR="002E474C" w:rsidRDefault="00000000">
            <w:pPr>
              <w:pStyle w:val="A-"/>
            </w:pPr>
            <w:r>
              <w:t>4#</w:t>
            </w:r>
            <w:r>
              <w:t>北厂界外</w:t>
            </w:r>
            <w:r>
              <w:t>1m</w:t>
            </w:r>
          </w:p>
        </w:tc>
        <w:tc>
          <w:tcPr>
            <w:tcW w:w="940" w:type="pct"/>
            <w:shd w:val="clear" w:color="auto" w:fill="auto"/>
            <w:vAlign w:val="center"/>
          </w:tcPr>
          <w:p w14:paraId="49440EC7" w14:textId="77777777" w:rsidR="002E474C" w:rsidRDefault="00000000">
            <w:pPr>
              <w:pStyle w:val="A-"/>
            </w:pPr>
            <w:r>
              <w:t>56</w:t>
            </w:r>
            <w:r>
              <w:t>～</w:t>
            </w:r>
            <w:r>
              <w:t>64</w:t>
            </w:r>
          </w:p>
        </w:tc>
        <w:tc>
          <w:tcPr>
            <w:tcW w:w="920" w:type="pct"/>
            <w:shd w:val="clear" w:color="auto" w:fill="auto"/>
          </w:tcPr>
          <w:p w14:paraId="52F7D709" w14:textId="77777777" w:rsidR="002E474C" w:rsidRDefault="00000000">
            <w:pPr>
              <w:pStyle w:val="A-"/>
            </w:pPr>
            <w:r>
              <w:t>65</w:t>
            </w:r>
          </w:p>
        </w:tc>
        <w:tc>
          <w:tcPr>
            <w:tcW w:w="1020" w:type="pct"/>
            <w:shd w:val="clear" w:color="auto" w:fill="auto"/>
            <w:vAlign w:val="center"/>
          </w:tcPr>
          <w:p w14:paraId="09015FF2" w14:textId="77777777" w:rsidR="002E474C" w:rsidRDefault="00000000">
            <w:pPr>
              <w:pStyle w:val="A-"/>
            </w:pPr>
            <w:r>
              <w:t>39</w:t>
            </w:r>
            <w:r>
              <w:t>～</w:t>
            </w:r>
            <w:r>
              <w:t>54</w:t>
            </w:r>
          </w:p>
        </w:tc>
        <w:tc>
          <w:tcPr>
            <w:tcW w:w="847" w:type="pct"/>
            <w:shd w:val="clear" w:color="auto" w:fill="auto"/>
          </w:tcPr>
          <w:p w14:paraId="14CA7B11" w14:textId="77777777" w:rsidR="002E474C" w:rsidRDefault="00000000">
            <w:pPr>
              <w:pStyle w:val="A-"/>
            </w:pPr>
            <w:r>
              <w:t>55</w:t>
            </w:r>
          </w:p>
        </w:tc>
      </w:tr>
    </w:tbl>
    <w:p w14:paraId="4A403268" w14:textId="77777777" w:rsidR="002E474C" w:rsidRDefault="002E474C"/>
    <w:p w14:paraId="1BDA9161" w14:textId="77777777" w:rsidR="002E474C" w:rsidRDefault="00000000">
      <w:pPr>
        <w:pStyle w:val="41"/>
        <w:rPr>
          <w:color w:val="auto"/>
        </w:rPr>
      </w:pPr>
      <w:r>
        <w:rPr>
          <w:color w:val="auto"/>
        </w:rPr>
        <w:t>固体废物</w:t>
      </w:r>
    </w:p>
    <w:p w14:paraId="2B0808A9" w14:textId="77777777" w:rsidR="002E474C" w:rsidRDefault="00000000">
      <w:pPr>
        <w:pStyle w:val="A-z"/>
        <w:rPr>
          <w:color w:val="auto"/>
        </w:rPr>
      </w:pPr>
      <w:r>
        <w:rPr>
          <w:color w:val="auto"/>
        </w:rPr>
        <w:t>生产过程中各类收尘器收集的粉尘全部回用到相应工序中，不外排。废耐火砖经破碎、粉磨后可作为原料使用，不外排。</w:t>
      </w:r>
    </w:p>
    <w:p w14:paraId="6E410DBD" w14:textId="5776A0CD" w:rsidR="002E474C" w:rsidRDefault="00000000">
      <w:pPr>
        <w:pStyle w:val="A-z"/>
        <w:rPr>
          <w:color w:val="auto"/>
        </w:rPr>
      </w:pPr>
      <w:bookmarkStart w:id="124" w:name="_Hlk151224004"/>
      <w:r>
        <w:rPr>
          <w:color w:val="auto"/>
        </w:rPr>
        <w:t>危险废物主要是生料磨、水泥磨等主机设</w:t>
      </w:r>
      <w:r w:rsidRPr="00DC2B10">
        <w:rPr>
          <w:color w:val="auto"/>
        </w:rPr>
        <w:t>备产生的废机油，危废代码</w:t>
      </w:r>
      <w:r w:rsidRPr="00DC2B10">
        <w:rPr>
          <w:color w:val="auto"/>
        </w:rPr>
        <w:t>900-214-08</w:t>
      </w:r>
      <w:r w:rsidRPr="00DC2B10">
        <w:rPr>
          <w:color w:val="auto"/>
        </w:rPr>
        <w:t>，暂存于</w:t>
      </w:r>
      <w:r w:rsidRPr="00DC2B10">
        <w:rPr>
          <w:color w:val="auto"/>
        </w:rPr>
        <w:t>192m²</w:t>
      </w:r>
      <w:r w:rsidR="001274BA" w:rsidRPr="00DC2B10">
        <w:rPr>
          <w:rFonts w:hint="eastAsia"/>
          <w:color w:val="auto"/>
          <w:lang w:val="en-US"/>
        </w:rPr>
        <w:t>危险废物库</w:t>
      </w:r>
      <w:r w:rsidRPr="00DC2B10">
        <w:rPr>
          <w:color w:val="auto"/>
        </w:rPr>
        <w:t>内，</w:t>
      </w:r>
      <w:r w:rsidRPr="00DC2B10">
        <w:rPr>
          <w:rFonts w:hint="eastAsia"/>
          <w:color w:val="auto"/>
        </w:rPr>
        <w:t>由</w:t>
      </w:r>
      <w:r w:rsidRPr="00DC2B10">
        <w:rPr>
          <w:rFonts w:hint="eastAsia"/>
          <w:color w:val="auto"/>
          <w:lang w:val="en-US"/>
        </w:rPr>
        <w:t>新疆鑫鸿</w:t>
      </w:r>
      <w:r>
        <w:rPr>
          <w:rFonts w:hint="eastAsia"/>
          <w:color w:val="auto"/>
          <w:lang w:val="en-US"/>
        </w:rPr>
        <w:t>伟环保科技有限公司收集处置</w:t>
      </w:r>
      <w:r>
        <w:rPr>
          <w:color w:val="auto"/>
        </w:rPr>
        <w:t>。</w:t>
      </w:r>
      <w:bookmarkEnd w:id="124"/>
    </w:p>
    <w:p w14:paraId="50B8FD67" w14:textId="77777777" w:rsidR="002E474C" w:rsidRDefault="00000000">
      <w:pPr>
        <w:pStyle w:val="A-z"/>
        <w:rPr>
          <w:color w:val="auto"/>
        </w:rPr>
      </w:pPr>
      <w:r>
        <w:rPr>
          <w:color w:val="auto"/>
        </w:rPr>
        <w:t>生活垃圾在厂区内集中收集后由垃圾清运至圣雄股份公司垃圾场填埋处理。</w:t>
      </w:r>
    </w:p>
    <w:p w14:paraId="63DE2811" w14:textId="77777777" w:rsidR="002E474C" w:rsidRDefault="00000000">
      <w:pPr>
        <w:pStyle w:val="41"/>
        <w:rPr>
          <w:color w:val="auto"/>
        </w:rPr>
      </w:pPr>
      <w:r>
        <w:rPr>
          <w:color w:val="auto"/>
        </w:rPr>
        <w:t>污染物排放及总量控制分析</w:t>
      </w:r>
    </w:p>
    <w:p w14:paraId="5CB3F13C" w14:textId="77777777" w:rsidR="002E474C" w:rsidRDefault="00000000">
      <w:pPr>
        <w:pStyle w:val="A-z"/>
        <w:rPr>
          <w:color w:val="auto"/>
        </w:rPr>
      </w:pPr>
      <w:r>
        <w:rPr>
          <w:color w:val="auto"/>
        </w:rPr>
        <w:t>根据《新疆圣雄水泥有限公司排污许可证执行报告年报（</w:t>
      </w:r>
      <w:r>
        <w:rPr>
          <w:color w:val="auto"/>
        </w:rPr>
        <w:t>2025</w:t>
      </w:r>
      <w:r>
        <w:rPr>
          <w:color w:val="auto"/>
        </w:rPr>
        <w:t>年）》，厂内电石渣干法水泥生产线污染物排放量，见表</w:t>
      </w:r>
      <w:r>
        <w:rPr>
          <w:color w:val="auto"/>
        </w:rPr>
        <w:t>3.1-13</w:t>
      </w:r>
      <w:r>
        <w:rPr>
          <w:color w:val="auto"/>
        </w:rPr>
        <w:t>。</w:t>
      </w:r>
    </w:p>
    <w:p w14:paraId="7E3A7B8F" w14:textId="77777777" w:rsidR="002E474C" w:rsidRDefault="00000000">
      <w:pPr>
        <w:pStyle w:val="A--"/>
        <w:rPr>
          <w:color w:val="auto"/>
        </w:rPr>
      </w:pPr>
      <w:r>
        <w:rPr>
          <w:color w:val="auto"/>
        </w:rPr>
        <w:t>表</w:t>
      </w:r>
      <w:r>
        <w:rPr>
          <w:color w:val="auto"/>
        </w:rPr>
        <w:t xml:space="preserve">3.1-13    </w:t>
      </w:r>
      <w:r>
        <w:rPr>
          <w:color w:val="auto"/>
        </w:rPr>
        <w:t>现有工程污染物排放汇总表</w:t>
      </w:r>
      <w:r>
        <w:rPr>
          <w:color w:val="auto"/>
        </w:rPr>
        <w:t xml:space="preserve">    </w:t>
      </w:r>
      <w:r>
        <w:rPr>
          <w:color w:val="auto"/>
        </w:rPr>
        <w:t>单位：</w:t>
      </w:r>
      <w:r>
        <w:rPr>
          <w:color w:val="auto"/>
        </w:rPr>
        <w:t>t/a</w:t>
      </w:r>
    </w:p>
    <w:tbl>
      <w:tblPr>
        <w:tblStyle w:val="affff9"/>
        <w:tblW w:w="5000" w:type="pct"/>
        <w:tblLook w:val="04A0" w:firstRow="1" w:lastRow="0" w:firstColumn="1" w:lastColumn="0" w:noHBand="0" w:noVBand="1"/>
      </w:tblPr>
      <w:tblGrid>
        <w:gridCol w:w="1348"/>
        <w:gridCol w:w="2346"/>
        <w:gridCol w:w="2341"/>
        <w:gridCol w:w="2261"/>
      </w:tblGrid>
      <w:tr w:rsidR="002E474C" w14:paraId="6F58CD5A" w14:textId="77777777">
        <w:tc>
          <w:tcPr>
            <w:tcW w:w="812" w:type="pct"/>
            <w:vAlign w:val="center"/>
          </w:tcPr>
          <w:p w14:paraId="24A32B51" w14:textId="77777777" w:rsidR="002E474C" w:rsidRDefault="00000000">
            <w:pPr>
              <w:pStyle w:val="A-"/>
            </w:pPr>
            <w:r>
              <w:t>类别</w:t>
            </w:r>
          </w:p>
        </w:tc>
        <w:tc>
          <w:tcPr>
            <w:tcW w:w="1414" w:type="pct"/>
            <w:vAlign w:val="center"/>
          </w:tcPr>
          <w:p w14:paraId="22C17A66" w14:textId="77777777" w:rsidR="002E474C" w:rsidRDefault="00000000">
            <w:pPr>
              <w:pStyle w:val="A-"/>
            </w:pPr>
            <w:r>
              <w:t>污染物</w:t>
            </w:r>
          </w:p>
        </w:tc>
        <w:tc>
          <w:tcPr>
            <w:tcW w:w="1411" w:type="pct"/>
            <w:vAlign w:val="center"/>
          </w:tcPr>
          <w:p w14:paraId="738168D4" w14:textId="77777777" w:rsidR="002E474C" w:rsidRDefault="00000000">
            <w:pPr>
              <w:pStyle w:val="A-"/>
            </w:pPr>
            <w:r>
              <w:t>污染物排放量</w:t>
            </w:r>
          </w:p>
        </w:tc>
        <w:tc>
          <w:tcPr>
            <w:tcW w:w="1363" w:type="pct"/>
            <w:vAlign w:val="center"/>
          </w:tcPr>
          <w:p w14:paraId="469F7BAF" w14:textId="77777777" w:rsidR="002E474C" w:rsidRDefault="00000000">
            <w:pPr>
              <w:pStyle w:val="A-"/>
            </w:pPr>
            <w:r>
              <w:t>排污许可量</w:t>
            </w:r>
          </w:p>
        </w:tc>
      </w:tr>
      <w:tr w:rsidR="002E474C" w14:paraId="79ABF18D" w14:textId="77777777">
        <w:tc>
          <w:tcPr>
            <w:tcW w:w="812" w:type="pct"/>
            <w:vMerge w:val="restart"/>
            <w:vAlign w:val="center"/>
          </w:tcPr>
          <w:p w14:paraId="3CCADB4C" w14:textId="77777777" w:rsidR="002E474C" w:rsidRDefault="00000000">
            <w:pPr>
              <w:pStyle w:val="A-"/>
            </w:pPr>
            <w:r>
              <w:t>废气</w:t>
            </w:r>
          </w:p>
        </w:tc>
        <w:tc>
          <w:tcPr>
            <w:tcW w:w="1414" w:type="pct"/>
            <w:vAlign w:val="center"/>
          </w:tcPr>
          <w:p w14:paraId="4D4BD823" w14:textId="77777777" w:rsidR="002E474C" w:rsidRDefault="00000000">
            <w:pPr>
              <w:pStyle w:val="A-"/>
            </w:pPr>
            <w:r>
              <w:t>颗粒物</w:t>
            </w:r>
          </w:p>
        </w:tc>
        <w:tc>
          <w:tcPr>
            <w:tcW w:w="1411" w:type="pct"/>
            <w:vAlign w:val="center"/>
          </w:tcPr>
          <w:p w14:paraId="71AF9546" w14:textId="77777777" w:rsidR="002E474C" w:rsidRDefault="00000000">
            <w:pPr>
              <w:pStyle w:val="A-"/>
            </w:pPr>
            <w:r>
              <w:t>36.440</w:t>
            </w:r>
          </w:p>
        </w:tc>
        <w:tc>
          <w:tcPr>
            <w:tcW w:w="1363" w:type="pct"/>
            <w:vAlign w:val="center"/>
          </w:tcPr>
          <w:p w14:paraId="77FE811B" w14:textId="77777777" w:rsidR="002E474C" w:rsidRDefault="00000000">
            <w:pPr>
              <w:pStyle w:val="A-"/>
            </w:pPr>
            <w:r>
              <w:t>325.94</w:t>
            </w:r>
          </w:p>
        </w:tc>
      </w:tr>
      <w:tr w:rsidR="002E474C" w14:paraId="2B21D3B1" w14:textId="77777777">
        <w:tc>
          <w:tcPr>
            <w:tcW w:w="812" w:type="pct"/>
            <w:vMerge/>
            <w:vAlign w:val="center"/>
          </w:tcPr>
          <w:p w14:paraId="545E9B18" w14:textId="77777777" w:rsidR="002E474C" w:rsidRDefault="002E474C">
            <w:pPr>
              <w:pStyle w:val="A-"/>
            </w:pPr>
          </w:p>
        </w:tc>
        <w:tc>
          <w:tcPr>
            <w:tcW w:w="1414" w:type="pct"/>
            <w:vAlign w:val="center"/>
          </w:tcPr>
          <w:p w14:paraId="4C70BEB6" w14:textId="77777777" w:rsidR="002E474C" w:rsidRDefault="00000000">
            <w:pPr>
              <w:pStyle w:val="A-"/>
            </w:pPr>
            <w:r>
              <w:t>二氧化硫</w:t>
            </w:r>
          </w:p>
        </w:tc>
        <w:tc>
          <w:tcPr>
            <w:tcW w:w="1411" w:type="pct"/>
            <w:vAlign w:val="center"/>
          </w:tcPr>
          <w:p w14:paraId="1C51218A" w14:textId="77777777" w:rsidR="002E474C" w:rsidRDefault="00000000">
            <w:pPr>
              <w:pStyle w:val="A-"/>
            </w:pPr>
            <w:r>
              <w:t>29.655</w:t>
            </w:r>
          </w:p>
        </w:tc>
        <w:tc>
          <w:tcPr>
            <w:tcW w:w="1363" w:type="pct"/>
            <w:vAlign w:val="center"/>
          </w:tcPr>
          <w:p w14:paraId="6F80614E" w14:textId="77777777" w:rsidR="002E474C" w:rsidRDefault="00000000">
            <w:pPr>
              <w:pStyle w:val="A-"/>
            </w:pPr>
            <w:r>
              <w:t>289.4</w:t>
            </w:r>
          </w:p>
        </w:tc>
      </w:tr>
      <w:tr w:rsidR="002E474C" w14:paraId="2F73B9C8" w14:textId="77777777">
        <w:tc>
          <w:tcPr>
            <w:tcW w:w="812" w:type="pct"/>
            <w:vMerge/>
            <w:vAlign w:val="center"/>
          </w:tcPr>
          <w:p w14:paraId="4BC2E592" w14:textId="77777777" w:rsidR="002E474C" w:rsidRDefault="002E474C">
            <w:pPr>
              <w:pStyle w:val="A-"/>
            </w:pPr>
          </w:p>
        </w:tc>
        <w:tc>
          <w:tcPr>
            <w:tcW w:w="1414" w:type="pct"/>
            <w:vAlign w:val="center"/>
          </w:tcPr>
          <w:p w14:paraId="0EEDFBB1" w14:textId="77777777" w:rsidR="002E474C" w:rsidRDefault="00000000">
            <w:pPr>
              <w:pStyle w:val="A-"/>
            </w:pPr>
            <w:r>
              <w:t>氮氧化物</w:t>
            </w:r>
          </w:p>
        </w:tc>
        <w:tc>
          <w:tcPr>
            <w:tcW w:w="1411" w:type="pct"/>
            <w:vAlign w:val="center"/>
          </w:tcPr>
          <w:p w14:paraId="5ADD6D1F" w14:textId="77777777" w:rsidR="002E474C" w:rsidRDefault="00000000">
            <w:pPr>
              <w:pStyle w:val="A-"/>
            </w:pPr>
            <w:r>
              <w:t>334.659</w:t>
            </w:r>
          </w:p>
        </w:tc>
        <w:tc>
          <w:tcPr>
            <w:tcW w:w="1363" w:type="pct"/>
            <w:vAlign w:val="center"/>
          </w:tcPr>
          <w:p w14:paraId="7BB02476" w14:textId="77777777" w:rsidR="002E474C" w:rsidRDefault="00000000">
            <w:pPr>
              <w:pStyle w:val="A-"/>
            </w:pPr>
            <w:r>
              <w:t>1012</w:t>
            </w:r>
          </w:p>
        </w:tc>
      </w:tr>
      <w:tr w:rsidR="002E474C" w14:paraId="6C1D33A3" w14:textId="77777777">
        <w:tc>
          <w:tcPr>
            <w:tcW w:w="812" w:type="pct"/>
            <w:vMerge/>
            <w:vAlign w:val="center"/>
          </w:tcPr>
          <w:p w14:paraId="05AAEB53" w14:textId="77777777" w:rsidR="002E474C" w:rsidRDefault="002E474C">
            <w:pPr>
              <w:pStyle w:val="A-"/>
            </w:pPr>
          </w:p>
        </w:tc>
        <w:tc>
          <w:tcPr>
            <w:tcW w:w="1414" w:type="pct"/>
            <w:vAlign w:val="center"/>
          </w:tcPr>
          <w:p w14:paraId="09129570" w14:textId="77777777" w:rsidR="002E474C" w:rsidRDefault="00000000">
            <w:pPr>
              <w:pStyle w:val="A-"/>
            </w:pPr>
            <w:r>
              <w:t>非甲烷总烃</w:t>
            </w:r>
          </w:p>
        </w:tc>
        <w:tc>
          <w:tcPr>
            <w:tcW w:w="1411" w:type="pct"/>
            <w:vAlign w:val="center"/>
          </w:tcPr>
          <w:p w14:paraId="28FBABB3" w14:textId="77777777" w:rsidR="002E474C" w:rsidRDefault="00000000">
            <w:pPr>
              <w:pStyle w:val="A-"/>
            </w:pPr>
            <w:r>
              <w:t>0</w:t>
            </w:r>
          </w:p>
        </w:tc>
        <w:tc>
          <w:tcPr>
            <w:tcW w:w="1363" w:type="pct"/>
            <w:vAlign w:val="center"/>
          </w:tcPr>
          <w:p w14:paraId="59F6CCD7" w14:textId="77777777" w:rsidR="002E474C" w:rsidRDefault="00000000">
            <w:pPr>
              <w:pStyle w:val="A-"/>
            </w:pPr>
            <w:r>
              <w:t>/</w:t>
            </w:r>
          </w:p>
        </w:tc>
      </w:tr>
      <w:tr w:rsidR="002E474C" w14:paraId="138DCA58" w14:textId="77777777">
        <w:tc>
          <w:tcPr>
            <w:tcW w:w="812" w:type="pct"/>
            <w:vMerge w:val="restart"/>
            <w:vAlign w:val="center"/>
          </w:tcPr>
          <w:p w14:paraId="3752E4C2" w14:textId="77777777" w:rsidR="002E474C" w:rsidRDefault="00000000">
            <w:pPr>
              <w:pStyle w:val="A-"/>
            </w:pPr>
            <w:r>
              <w:t>废水</w:t>
            </w:r>
          </w:p>
        </w:tc>
        <w:tc>
          <w:tcPr>
            <w:tcW w:w="1414" w:type="pct"/>
            <w:vAlign w:val="center"/>
          </w:tcPr>
          <w:p w14:paraId="021EB9BA" w14:textId="77777777" w:rsidR="002E474C" w:rsidRDefault="00000000">
            <w:pPr>
              <w:pStyle w:val="A-"/>
            </w:pPr>
            <w:r>
              <w:t>COD</w:t>
            </w:r>
          </w:p>
        </w:tc>
        <w:tc>
          <w:tcPr>
            <w:tcW w:w="1411" w:type="pct"/>
            <w:vAlign w:val="center"/>
          </w:tcPr>
          <w:p w14:paraId="6FC7C07A" w14:textId="77777777" w:rsidR="002E474C" w:rsidRDefault="00000000">
            <w:pPr>
              <w:pStyle w:val="A-"/>
            </w:pPr>
            <w:r>
              <w:t>0</w:t>
            </w:r>
          </w:p>
        </w:tc>
        <w:tc>
          <w:tcPr>
            <w:tcW w:w="1363" w:type="pct"/>
            <w:vAlign w:val="center"/>
          </w:tcPr>
          <w:p w14:paraId="5D2FF318" w14:textId="77777777" w:rsidR="002E474C" w:rsidRDefault="00000000">
            <w:pPr>
              <w:pStyle w:val="A-"/>
            </w:pPr>
            <w:r>
              <w:t>/</w:t>
            </w:r>
          </w:p>
        </w:tc>
      </w:tr>
      <w:tr w:rsidR="002E474C" w14:paraId="53824D82" w14:textId="77777777">
        <w:tc>
          <w:tcPr>
            <w:tcW w:w="812" w:type="pct"/>
            <w:vMerge/>
            <w:vAlign w:val="center"/>
          </w:tcPr>
          <w:p w14:paraId="419857A7" w14:textId="77777777" w:rsidR="002E474C" w:rsidRDefault="002E474C">
            <w:pPr>
              <w:pStyle w:val="A-"/>
            </w:pPr>
          </w:p>
        </w:tc>
        <w:tc>
          <w:tcPr>
            <w:tcW w:w="1414" w:type="pct"/>
            <w:vAlign w:val="center"/>
          </w:tcPr>
          <w:p w14:paraId="0C6778AA" w14:textId="77777777" w:rsidR="002E474C" w:rsidRDefault="00000000">
            <w:pPr>
              <w:pStyle w:val="A-"/>
            </w:pPr>
            <w:r>
              <w:t>氨氮</w:t>
            </w:r>
          </w:p>
        </w:tc>
        <w:tc>
          <w:tcPr>
            <w:tcW w:w="1411" w:type="pct"/>
            <w:vAlign w:val="center"/>
          </w:tcPr>
          <w:p w14:paraId="788CC0CF" w14:textId="77777777" w:rsidR="002E474C" w:rsidRDefault="00000000">
            <w:pPr>
              <w:pStyle w:val="A-"/>
            </w:pPr>
            <w:r>
              <w:t>0</w:t>
            </w:r>
          </w:p>
        </w:tc>
        <w:tc>
          <w:tcPr>
            <w:tcW w:w="1363" w:type="pct"/>
            <w:vAlign w:val="center"/>
          </w:tcPr>
          <w:p w14:paraId="4ACDC819" w14:textId="77777777" w:rsidR="002E474C" w:rsidRDefault="00000000">
            <w:pPr>
              <w:pStyle w:val="A-"/>
            </w:pPr>
            <w:r>
              <w:t>/</w:t>
            </w:r>
          </w:p>
        </w:tc>
      </w:tr>
    </w:tbl>
    <w:p w14:paraId="48E459AE" w14:textId="77777777" w:rsidR="002E474C" w:rsidRDefault="002E474C">
      <w:pPr>
        <w:pStyle w:val="affffffffffff4"/>
        <w:rPr>
          <w:rFonts w:cs="Times New Roman"/>
        </w:rPr>
      </w:pPr>
    </w:p>
    <w:p w14:paraId="7B513FCC" w14:textId="77777777" w:rsidR="002E474C" w:rsidRDefault="00000000">
      <w:pPr>
        <w:pStyle w:val="A-z"/>
        <w:rPr>
          <w:color w:val="auto"/>
        </w:rPr>
      </w:pPr>
      <w:r>
        <w:rPr>
          <w:color w:val="auto"/>
        </w:rPr>
        <w:t>根据分析，厂内排污许可证执行报告年报登记的污染物排放量未超出排污许可年排放量，污染物排放满足污染物总量控制指标要求。</w:t>
      </w:r>
    </w:p>
    <w:p w14:paraId="79014FBD" w14:textId="77777777" w:rsidR="002E474C" w:rsidRDefault="002E474C">
      <w:pPr>
        <w:pStyle w:val="A-z"/>
        <w:rPr>
          <w:color w:val="auto"/>
        </w:rPr>
      </w:pPr>
    </w:p>
    <w:p w14:paraId="669F2F59" w14:textId="77777777" w:rsidR="003C74C5" w:rsidRDefault="003C74C5">
      <w:pPr>
        <w:pStyle w:val="A-z"/>
        <w:rPr>
          <w:rFonts w:hint="eastAsia"/>
          <w:color w:val="auto"/>
        </w:rPr>
      </w:pPr>
    </w:p>
    <w:p w14:paraId="77098245" w14:textId="77777777" w:rsidR="002E474C" w:rsidRDefault="00000000">
      <w:pPr>
        <w:pStyle w:val="31"/>
        <w:spacing w:before="120" w:after="120"/>
        <w:rPr>
          <w:color w:val="auto"/>
        </w:rPr>
      </w:pPr>
      <w:r>
        <w:rPr>
          <w:color w:val="auto"/>
        </w:rPr>
        <w:lastRenderedPageBreak/>
        <w:t>环保制度执行情况</w:t>
      </w:r>
    </w:p>
    <w:p w14:paraId="42D7995C" w14:textId="77777777" w:rsidR="002E474C" w:rsidRDefault="00000000">
      <w:pPr>
        <w:pStyle w:val="41"/>
        <w:rPr>
          <w:color w:val="auto"/>
        </w:rPr>
      </w:pPr>
      <w:bookmarkStart w:id="125" w:name="_Hlk151317124"/>
      <w:r>
        <w:rPr>
          <w:color w:val="auto"/>
        </w:rPr>
        <w:t>排污许可及执行报告情况</w:t>
      </w:r>
    </w:p>
    <w:p w14:paraId="642347D8" w14:textId="77777777" w:rsidR="002E474C" w:rsidRDefault="00000000">
      <w:pPr>
        <w:pStyle w:val="A-z"/>
        <w:rPr>
          <w:color w:val="auto"/>
        </w:rPr>
      </w:pPr>
      <w:r>
        <w:rPr>
          <w:color w:val="auto"/>
        </w:rPr>
        <w:t>圣雄水泥公司于</w:t>
      </w:r>
      <w:r>
        <w:rPr>
          <w:color w:val="auto"/>
        </w:rPr>
        <w:t>2017</w:t>
      </w:r>
      <w:r>
        <w:rPr>
          <w:color w:val="auto"/>
        </w:rPr>
        <w:t>年</w:t>
      </w:r>
      <w:r>
        <w:rPr>
          <w:color w:val="auto"/>
        </w:rPr>
        <w:t>12</w:t>
      </w:r>
      <w:r>
        <w:rPr>
          <w:color w:val="auto"/>
        </w:rPr>
        <w:t>月</w:t>
      </w:r>
      <w:r>
        <w:rPr>
          <w:color w:val="auto"/>
        </w:rPr>
        <w:t>14</w:t>
      </w:r>
      <w:r>
        <w:rPr>
          <w:color w:val="auto"/>
        </w:rPr>
        <w:t>日申领排污许可证至今，多次变更与延续排污许可证，企业排污许可证编号为：</w:t>
      </w:r>
      <w:r>
        <w:rPr>
          <w:color w:val="auto"/>
          <w:lang w:val="en-US"/>
        </w:rPr>
        <w:t>91650422592808846B001P</w:t>
      </w:r>
      <w:r>
        <w:rPr>
          <w:color w:val="auto"/>
        </w:rPr>
        <w:t>，有效期：自</w:t>
      </w:r>
      <w:r>
        <w:rPr>
          <w:color w:val="auto"/>
        </w:rPr>
        <w:t>2025</w:t>
      </w:r>
      <w:r>
        <w:rPr>
          <w:color w:val="auto"/>
        </w:rPr>
        <w:t>年</w:t>
      </w:r>
      <w:r>
        <w:rPr>
          <w:color w:val="auto"/>
        </w:rPr>
        <w:t>12</w:t>
      </w:r>
      <w:r>
        <w:rPr>
          <w:color w:val="auto"/>
        </w:rPr>
        <w:t>月</w:t>
      </w:r>
      <w:r>
        <w:rPr>
          <w:color w:val="auto"/>
        </w:rPr>
        <w:t>1</w:t>
      </w:r>
      <w:r>
        <w:rPr>
          <w:color w:val="auto"/>
        </w:rPr>
        <w:t>日至</w:t>
      </w:r>
      <w:r>
        <w:rPr>
          <w:color w:val="auto"/>
        </w:rPr>
        <w:t>2030</w:t>
      </w:r>
      <w:r>
        <w:rPr>
          <w:color w:val="auto"/>
        </w:rPr>
        <w:t>年</w:t>
      </w:r>
      <w:r>
        <w:rPr>
          <w:color w:val="auto"/>
        </w:rPr>
        <w:t>11</w:t>
      </w:r>
      <w:r>
        <w:rPr>
          <w:color w:val="auto"/>
        </w:rPr>
        <w:t>月</w:t>
      </w:r>
      <w:r>
        <w:rPr>
          <w:color w:val="auto"/>
        </w:rPr>
        <w:t>30</w:t>
      </w:r>
      <w:r>
        <w:rPr>
          <w:color w:val="auto"/>
        </w:rPr>
        <w:t>日止。</w:t>
      </w:r>
    </w:p>
    <w:p w14:paraId="3888191D" w14:textId="77777777" w:rsidR="002E474C" w:rsidRDefault="00000000">
      <w:pPr>
        <w:pStyle w:val="A-z"/>
        <w:rPr>
          <w:color w:val="auto"/>
        </w:rPr>
      </w:pPr>
      <w:r>
        <w:rPr>
          <w:color w:val="auto"/>
        </w:rPr>
        <w:t>圣雄水泥公司按要求公开了排污许可证执行报告月报、季报、年报，公开平台为全国排污许可证管理信息平台。月报</w:t>
      </w:r>
      <w:r>
        <w:rPr>
          <w:color w:val="auto"/>
        </w:rPr>
        <w:t>/</w:t>
      </w:r>
      <w:r>
        <w:rPr>
          <w:color w:val="auto"/>
        </w:rPr>
        <w:t>季报主要内容包括：污染物实际排放浓度和排放量、合规判定分析、超标排放或污染防治设施异常情况说明等内容。年报主要内容包括：排污单位基本情况、污染防治设施运行情况、自行监测执行情况、环境管理台账执行情况、实际排放情况及合规判定分析、信息公开情况、排污单位内部环境管理体系建设与运行情况、其他排污许可证规定的内容执行情况、其他需要说明的问题、结论、附图附件等。</w:t>
      </w:r>
    </w:p>
    <w:p w14:paraId="583839BC" w14:textId="77777777" w:rsidR="002E474C" w:rsidRDefault="00000000">
      <w:pPr>
        <w:pStyle w:val="A-z"/>
        <w:rPr>
          <w:color w:val="auto"/>
        </w:rPr>
      </w:pPr>
      <w:r>
        <w:rPr>
          <w:color w:val="auto"/>
        </w:rPr>
        <w:t>圣雄水泥公司按要求设置了环境管理台账，台账包括基本信息、监测记录信息、其他环境管理信息、生产设施运行管理信息、污染治理设施运行管理信息等，台账采用电子台账</w:t>
      </w:r>
      <w:r>
        <w:rPr>
          <w:color w:val="auto"/>
        </w:rPr>
        <w:t>+</w:t>
      </w:r>
      <w:r>
        <w:rPr>
          <w:color w:val="auto"/>
        </w:rPr>
        <w:t>纸质台账的记录形式，保存期限不少于五年，满足《排污许可证申请与核发技术规范</w:t>
      </w:r>
      <w:r>
        <w:rPr>
          <w:color w:val="auto"/>
        </w:rPr>
        <w:t xml:space="preserve"> </w:t>
      </w:r>
      <w:r>
        <w:rPr>
          <w:color w:val="auto"/>
        </w:rPr>
        <w:t>水泥工业》（</w:t>
      </w:r>
      <w:r>
        <w:rPr>
          <w:color w:val="auto"/>
        </w:rPr>
        <w:t>HJ847-2017</w:t>
      </w:r>
      <w:r>
        <w:rPr>
          <w:color w:val="auto"/>
        </w:rPr>
        <w:t>）中相关要求。</w:t>
      </w:r>
      <w:bookmarkEnd w:id="125"/>
    </w:p>
    <w:p w14:paraId="000BD717" w14:textId="77777777" w:rsidR="002E474C" w:rsidRDefault="00000000">
      <w:pPr>
        <w:pStyle w:val="41"/>
        <w:rPr>
          <w:color w:val="auto"/>
        </w:rPr>
      </w:pPr>
      <w:r>
        <w:rPr>
          <w:color w:val="auto"/>
        </w:rPr>
        <w:t>自行监测情况</w:t>
      </w:r>
    </w:p>
    <w:p w14:paraId="61472F25" w14:textId="77777777" w:rsidR="002E474C" w:rsidRDefault="00000000">
      <w:pPr>
        <w:pStyle w:val="A-z"/>
        <w:rPr>
          <w:color w:val="auto"/>
        </w:rPr>
      </w:pPr>
      <w:r>
        <w:rPr>
          <w:color w:val="auto"/>
        </w:rPr>
        <w:t>圣雄水泥公司制定了《新疆圣雄水泥有限公司企业自行监测方案》，按要求建立了监测档案信息管理制度，保存原始监测记录和监测数据报告，纸质版和电子版信息全部保存五年以上，监测期间生产记录以及企业委托手工监测或第三方运维自动监测设备的委托合同、承担委托任务单位的资质和单位基本情况等资料。</w:t>
      </w:r>
    </w:p>
    <w:p w14:paraId="02E89B94" w14:textId="77777777" w:rsidR="002E474C" w:rsidRDefault="00000000">
      <w:pPr>
        <w:pStyle w:val="A-z"/>
        <w:rPr>
          <w:color w:val="auto"/>
        </w:rPr>
      </w:pPr>
      <w:r>
        <w:rPr>
          <w:color w:val="auto"/>
        </w:rPr>
        <w:t>根据《排污许可证申请与核发技术规范</w:t>
      </w:r>
      <w:r>
        <w:rPr>
          <w:color w:val="auto"/>
        </w:rPr>
        <w:t xml:space="preserve"> </w:t>
      </w:r>
      <w:r>
        <w:rPr>
          <w:color w:val="auto"/>
        </w:rPr>
        <w:t>水泥工业》（</w:t>
      </w:r>
      <w:r>
        <w:rPr>
          <w:color w:val="auto"/>
        </w:rPr>
        <w:t>HJ 847-2017</w:t>
      </w:r>
      <w:r>
        <w:rPr>
          <w:color w:val="auto"/>
        </w:rPr>
        <w:t>），对于</w:t>
      </w:r>
      <w:r>
        <w:rPr>
          <w:color w:val="auto"/>
        </w:rPr>
        <w:t>2015</w:t>
      </w:r>
      <w:r>
        <w:rPr>
          <w:color w:val="auto"/>
        </w:rPr>
        <w:t>年</w:t>
      </w:r>
      <w:r>
        <w:rPr>
          <w:color w:val="auto"/>
        </w:rPr>
        <w:t>1</w:t>
      </w:r>
      <w:r>
        <w:rPr>
          <w:color w:val="auto"/>
        </w:rPr>
        <w:t>月</w:t>
      </w:r>
      <w:r>
        <w:rPr>
          <w:color w:val="auto"/>
        </w:rPr>
        <w:t>1</w:t>
      </w:r>
      <w:r>
        <w:rPr>
          <w:color w:val="auto"/>
        </w:rPr>
        <w:t>日（含）后取得环境影响评价批复的排污单位，周边环境质量影响监测点位按照环境影响评价文件的要求设置。新疆圣雄水泥有限公司废渣综合利用配套</w:t>
      </w:r>
      <w:r>
        <w:rPr>
          <w:color w:val="auto"/>
        </w:rPr>
        <w:t>5000</w:t>
      </w:r>
      <w:r>
        <w:rPr>
          <w:color w:val="auto"/>
        </w:rPr>
        <w:t>吨</w:t>
      </w:r>
      <w:r>
        <w:rPr>
          <w:color w:val="auto"/>
        </w:rPr>
        <w:t>/</w:t>
      </w:r>
      <w:r>
        <w:rPr>
          <w:color w:val="auto"/>
        </w:rPr>
        <w:t>日熟料新型干法水泥项目于</w:t>
      </w:r>
      <w:r>
        <w:rPr>
          <w:color w:val="auto"/>
        </w:rPr>
        <w:t>2012</w:t>
      </w:r>
      <w:r>
        <w:rPr>
          <w:color w:val="auto"/>
        </w:rPr>
        <w:t>年取得环境影响评价批复，且其环境影响评价文件及批复没有要求开展周边环境质量监测。因此，圣雄水泥公司未开展环境质量影响监测工作</w:t>
      </w:r>
      <w:r>
        <w:rPr>
          <w:rFonts w:hint="eastAsia"/>
          <w:color w:val="auto"/>
        </w:rPr>
        <w:t>，符合</w:t>
      </w:r>
      <w:r>
        <w:rPr>
          <w:color w:val="auto"/>
        </w:rPr>
        <w:t>《排污许可证申请与核发技术规范</w:t>
      </w:r>
      <w:r>
        <w:rPr>
          <w:color w:val="auto"/>
        </w:rPr>
        <w:t xml:space="preserve"> </w:t>
      </w:r>
      <w:r>
        <w:rPr>
          <w:color w:val="auto"/>
        </w:rPr>
        <w:t>水泥工业》（</w:t>
      </w:r>
      <w:r>
        <w:rPr>
          <w:color w:val="auto"/>
        </w:rPr>
        <w:t>HJ 847-2017</w:t>
      </w:r>
      <w:r>
        <w:rPr>
          <w:color w:val="auto"/>
        </w:rPr>
        <w:t>）</w:t>
      </w:r>
      <w:r>
        <w:rPr>
          <w:rFonts w:hint="eastAsia"/>
          <w:color w:val="auto"/>
        </w:rPr>
        <w:t>的要求</w:t>
      </w:r>
      <w:r>
        <w:rPr>
          <w:color w:val="auto"/>
        </w:rPr>
        <w:t>。</w:t>
      </w:r>
      <w:r>
        <w:rPr>
          <w:rFonts w:hint="eastAsia"/>
          <w:color w:val="auto"/>
        </w:rPr>
        <w:t>本项目建成投运后，应按照本次环境影响报告</w:t>
      </w:r>
      <w:r>
        <w:rPr>
          <w:rFonts w:hint="eastAsia"/>
          <w:color w:val="auto"/>
        </w:rPr>
        <w:lastRenderedPageBreak/>
        <w:t>书提出的环境质量监测计划开展</w:t>
      </w:r>
      <w:r>
        <w:rPr>
          <w:color w:val="auto"/>
        </w:rPr>
        <w:t>周边环境质量监测</w:t>
      </w:r>
      <w:r>
        <w:rPr>
          <w:rFonts w:hint="eastAsia"/>
          <w:color w:val="auto"/>
        </w:rPr>
        <w:t>。</w:t>
      </w:r>
    </w:p>
    <w:p w14:paraId="30A5248E" w14:textId="77777777" w:rsidR="002E474C" w:rsidRDefault="00000000">
      <w:pPr>
        <w:pStyle w:val="41"/>
        <w:rPr>
          <w:color w:val="auto"/>
        </w:rPr>
      </w:pPr>
      <w:r>
        <w:rPr>
          <w:color w:val="auto"/>
        </w:rPr>
        <w:t>排污口规范化管理</w:t>
      </w:r>
    </w:p>
    <w:p w14:paraId="4A78205F" w14:textId="77777777" w:rsidR="002E474C" w:rsidRDefault="00000000">
      <w:pPr>
        <w:pStyle w:val="A-z"/>
        <w:rPr>
          <w:color w:val="auto"/>
        </w:rPr>
      </w:pPr>
      <w:r>
        <w:rPr>
          <w:color w:val="auto"/>
        </w:rPr>
        <w:t>圣雄水泥公司废气排放各监测点位均搭设采样平台并设有永久性采样孔；</w:t>
      </w:r>
      <w:r>
        <w:rPr>
          <w:rFonts w:hint="eastAsia"/>
          <w:color w:val="auto"/>
        </w:rPr>
        <w:t>在废气排放口、废水排放口、噪声排放点、固体废物暂存库及危险废物暂存库</w:t>
      </w:r>
      <w:r>
        <w:rPr>
          <w:color w:val="auto"/>
        </w:rPr>
        <w:t>设置了规范化的污染物排放标识牌。</w:t>
      </w:r>
    </w:p>
    <w:p w14:paraId="7D7EC39C" w14:textId="77777777" w:rsidR="002E474C" w:rsidRDefault="00000000">
      <w:pPr>
        <w:pStyle w:val="41"/>
        <w:rPr>
          <w:color w:val="auto"/>
        </w:rPr>
      </w:pPr>
      <w:r>
        <w:rPr>
          <w:color w:val="auto"/>
          <w:lang w:val="en-US"/>
        </w:rPr>
        <w:t>清洁生产审核及验收情况</w:t>
      </w:r>
    </w:p>
    <w:p w14:paraId="0323357B" w14:textId="77777777" w:rsidR="002E474C" w:rsidRDefault="00000000">
      <w:pPr>
        <w:pStyle w:val="A-z"/>
        <w:rPr>
          <w:color w:val="auto"/>
        </w:rPr>
      </w:pPr>
      <w:r>
        <w:rPr>
          <w:color w:val="auto"/>
        </w:rPr>
        <w:t>2013</w:t>
      </w:r>
      <w:r>
        <w:rPr>
          <w:color w:val="auto"/>
        </w:rPr>
        <w:t>年</w:t>
      </w:r>
      <w:r>
        <w:rPr>
          <w:color w:val="auto"/>
        </w:rPr>
        <w:t>11</w:t>
      </w:r>
      <w:r>
        <w:rPr>
          <w:color w:val="auto"/>
        </w:rPr>
        <w:t>月，新疆绿佳源环保科技有限公司对圣雄水泥公司开展清洁生产第一轮审核工作，于</w:t>
      </w:r>
      <w:r>
        <w:rPr>
          <w:color w:val="auto"/>
        </w:rPr>
        <w:t>2015</w:t>
      </w:r>
      <w:r>
        <w:rPr>
          <w:color w:val="auto"/>
        </w:rPr>
        <w:t>年</w:t>
      </w:r>
      <w:r>
        <w:rPr>
          <w:color w:val="auto"/>
        </w:rPr>
        <w:t>8</w:t>
      </w:r>
      <w:r>
        <w:rPr>
          <w:color w:val="auto"/>
        </w:rPr>
        <w:t>月</w:t>
      </w:r>
      <w:r>
        <w:rPr>
          <w:color w:val="auto"/>
        </w:rPr>
        <w:t>20</w:t>
      </w:r>
      <w:r>
        <w:rPr>
          <w:color w:val="auto"/>
        </w:rPr>
        <w:t>日取得了新疆维吾尔自治区环境保护厅出具的《关于新疆圣雄水泥有限公司清洁生产审核报告的审查意见》（新环函〔</w:t>
      </w:r>
      <w:r>
        <w:rPr>
          <w:color w:val="auto"/>
        </w:rPr>
        <w:t>2015</w:t>
      </w:r>
      <w:r>
        <w:rPr>
          <w:color w:val="auto"/>
        </w:rPr>
        <w:t>〕</w:t>
      </w:r>
      <w:r>
        <w:rPr>
          <w:color w:val="auto"/>
        </w:rPr>
        <w:t>940</w:t>
      </w:r>
      <w:r>
        <w:rPr>
          <w:color w:val="auto"/>
        </w:rPr>
        <w:t>号）。</w:t>
      </w:r>
      <w:r>
        <w:rPr>
          <w:color w:val="auto"/>
        </w:rPr>
        <w:t>2016</w:t>
      </w:r>
      <w:r>
        <w:rPr>
          <w:color w:val="auto"/>
        </w:rPr>
        <w:t>年</w:t>
      </w:r>
      <w:r>
        <w:rPr>
          <w:color w:val="auto"/>
        </w:rPr>
        <w:t>9</w:t>
      </w:r>
      <w:r>
        <w:rPr>
          <w:color w:val="auto"/>
        </w:rPr>
        <w:t>月圣雄水泥开展第一轮清洁生产验收工作，于</w:t>
      </w:r>
      <w:r>
        <w:rPr>
          <w:color w:val="auto"/>
        </w:rPr>
        <w:t>2018</w:t>
      </w:r>
      <w:r>
        <w:rPr>
          <w:color w:val="auto"/>
        </w:rPr>
        <w:t>年</w:t>
      </w:r>
      <w:r>
        <w:rPr>
          <w:color w:val="auto"/>
        </w:rPr>
        <w:t>3</w:t>
      </w:r>
      <w:r>
        <w:rPr>
          <w:color w:val="auto"/>
        </w:rPr>
        <w:t>月</w:t>
      </w:r>
      <w:r>
        <w:rPr>
          <w:color w:val="auto"/>
        </w:rPr>
        <w:t>27</w:t>
      </w:r>
      <w:r>
        <w:rPr>
          <w:color w:val="auto"/>
        </w:rPr>
        <w:t>日取得了新疆环境工程评估中心出具的《新疆圣雄水泥有限公司第一轮清洁生产审核验收意见》（新环估清验〔</w:t>
      </w:r>
      <w:r>
        <w:rPr>
          <w:color w:val="auto"/>
        </w:rPr>
        <w:t>2018</w:t>
      </w:r>
      <w:r>
        <w:rPr>
          <w:color w:val="auto"/>
        </w:rPr>
        <w:t>〕</w:t>
      </w:r>
      <w:r>
        <w:rPr>
          <w:color w:val="auto"/>
        </w:rPr>
        <w:t>004</w:t>
      </w:r>
      <w:r>
        <w:rPr>
          <w:color w:val="auto"/>
        </w:rPr>
        <w:t>号），于</w:t>
      </w:r>
      <w:r>
        <w:rPr>
          <w:color w:val="auto"/>
        </w:rPr>
        <w:t>2018</w:t>
      </w:r>
      <w:r>
        <w:rPr>
          <w:color w:val="auto"/>
        </w:rPr>
        <w:t>年</w:t>
      </w:r>
      <w:r>
        <w:rPr>
          <w:color w:val="auto"/>
        </w:rPr>
        <w:t>4</w:t>
      </w:r>
      <w:r>
        <w:rPr>
          <w:color w:val="auto"/>
        </w:rPr>
        <w:t>月</w:t>
      </w:r>
      <w:r>
        <w:rPr>
          <w:color w:val="auto"/>
        </w:rPr>
        <w:t>25</w:t>
      </w:r>
      <w:r>
        <w:rPr>
          <w:color w:val="auto"/>
        </w:rPr>
        <w:t>日取得了新疆维吾尔自治区环境保护厅出具的《关于新疆圣雄水泥有限公司第一轮清洁生产审核验收意见的函》（新环函〔</w:t>
      </w:r>
      <w:r>
        <w:rPr>
          <w:color w:val="auto"/>
        </w:rPr>
        <w:t>2018</w:t>
      </w:r>
      <w:r>
        <w:rPr>
          <w:color w:val="auto"/>
        </w:rPr>
        <w:t>〕</w:t>
      </w:r>
      <w:r>
        <w:rPr>
          <w:color w:val="auto"/>
        </w:rPr>
        <w:t>523</w:t>
      </w:r>
      <w:r>
        <w:rPr>
          <w:color w:val="auto"/>
        </w:rPr>
        <w:t>号）。</w:t>
      </w:r>
      <w:r>
        <w:rPr>
          <w:color w:val="auto"/>
        </w:rPr>
        <w:t>2021</w:t>
      </w:r>
      <w:r>
        <w:rPr>
          <w:color w:val="auto"/>
        </w:rPr>
        <w:t>年</w:t>
      </w:r>
      <w:r>
        <w:rPr>
          <w:color w:val="auto"/>
        </w:rPr>
        <w:t>10</w:t>
      </w:r>
      <w:r>
        <w:rPr>
          <w:color w:val="auto"/>
        </w:rPr>
        <w:t>月新疆绿佳源环保科技有限公司对圣雄水泥公司开展清洁生产第二轮审核工作。目前正在实施持续清洁生产计划。</w:t>
      </w:r>
    </w:p>
    <w:p w14:paraId="78C76242" w14:textId="77777777" w:rsidR="002E474C" w:rsidRDefault="00000000">
      <w:pPr>
        <w:pStyle w:val="41"/>
        <w:rPr>
          <w:color w:val="auto"/>
        </w:rPr>
      </w:pPr>
      <w:r>
        <w:rPr>
          <w:color w:val="auto"/>
          <w:lang w:val="en-US"/>
        </w:rPr>
        <w:t>应急预案与演练</w:t>
      </w:r>
    </w:p>
    <w:p w14:paraId="14116F20" w14:textId="77777777" w:rsidR="002E474C" w:rsidRDefault="00000000">
      <w:pPr>
        <w:pStyle w:val="A-z"/>
        <w:rPr>
          <w:color w:val="auto"/>
        </w:rPr>
      </w:pPr>
      <w:r>
        <w:rPr>
          <w:color w:val="auto"/>
        </w:rPr>
        <w:t>圣雄水泥公司针对生产过程中可能出现的污染事故制定了《新疆</w:t>
      </w:r>
      <w:r>
        <w:rPr>
          <w:color w:val="auto"/>
          <w:lang w:val="en-US"/>
        </w:rPr>
        <w:t>圣雄水泥有限公司</w:t>
      </w:r>
      <w:r>
        <w:rPr>
          <w:color w:val="auto"/>
        </w:rPr>
        <w:t>突发环境事件应急预案》，以应对事故状况下的污染物排放，并定期组织员工学习各项相关制度，在各个生产装置进行实际演练，切实做到警钟长鸣，防患于未然。</w:t>
      </w:r>
    </w:p>
    <w:p w14:paraId="7BE0CD74" w14:textId="77777777" w:rsidR="002E474C" w:rsidRDefault="00000000">
      <w:pPr>
        <w:pStyle w:val="A-z"/>
        <w:rPr>
          <w:color w:val="auto"/>
        </w:rPr>
      </w:pPr>
      <w:r>
        <w:rPr>
          <w:color w:val="auto"/>
        </w:rPr>
        <w:t>圣雄水泥公司于</w:t>
      </w:r>
      <w:r>
        <w:rPr>
          <w:color w:val="auto"/>
        </w:rPr>
        <w:t>2023</w:t>
      </w:r>
      <w:r>
        <w:rPr>
          <w:color w:val="auto"/>
        </w:rPr>
        <w:t>年</w:t>
      </w:r>
      <w:r>
        <w:rPr>
          <w:color w:val="auto"/>
        </w:rPr>
        <w:t>7</w:t>
      </w:r>
      <w:r>
        <w:rPr>
          <w:color w:val="auto"/>
        </w:rPr>
        <w:t>月修订并发布了《新疆</w:t>
      </w:r>
      <w:r>
        <w:rPr>
          <w:color w:val="auto"/>
          <w:lang w:val="en-US"/>
        </w:rPr>
        <w:t>圣雄水泥有限公司</w:t>
      </w:r>
      <w:r>
        <w:rPr>
          <w:color w:val="auto"/>
        </w:rPr>
        <w:t>突发环境事件应急预案》，并在吐鲁番市生态环境局托克逊县分局完成备案，备案编号为：</w:t>
      </w:r>
      <w:r>
        <w:rPr>
          <w:color w:val="auto"/>
        </w:rPr>
        <w:t>650422-2023-026-L</w:t>
      </w:r>
      <w:r>
        <w:rPr>
          <w:color w:val="auto"/>
        </w:rPr>
        <w:t>。</w:t>
      </w:r>
    </w:p>
    <w:p w14:paraId="7A36C922" w14:textId="77777777" w:rsidR="002E474C" w:rsidRDefault="00000000">
      <w:pPr>
        <w:pStyle w:val="31"/>
        <w:spacing w:before="120" w:after="120"/>
        <w:rPr>
          <w:color w:val="auto"/>
        </w:rPr>
      </w:pPr>
      <w:r>
        <w:rPr>
          <w:rFonts w:hint="eastAsia"/>
          <w:color w:val="auto"/>
        </w:rPr>
        <w:t>本项目依托圣雄水泥公司现有工程的可行性分析</w:t>
      </w:r>
    </w:p>
    <w:p w14:paraId="22CF1012" w14:textId="77777777" w:rsidR="002E474C" w:rsidRDefault="00000000">
      <w:pPr>
        <w:pStyle w:val="A-z"/>
        <w:rPr>
          <w:color w:val="auto"/>
        </w:rPr>
      </w:pPr>
      <w:r>
        <w:rPr>
          <w:rFonts w:hint="eastAsia"/>
          <w:color w:val="auto"/>
        </w:rPr>
        <w:t>（</w:t>
      </w:r>
      <w:r>
        <w:rPr>
          <w:rFonts w:hint="eastAsia"/>
          <w:color w:val="auto"/>
        </w:rPr>
        <w:t>1</w:t>
      </w:r>
      <w:r>
        <w:rPr>
          <w:rFonts w:hint="eastAsia"/>
          <w:color w:val="auto"/>
        </w:rPr>
        <w:t>）</w:t>
      </w:r>
      <w:r>
        <w:rPr>
          <w:color w:val="auto"/>
        </w:rPr>
        <w:t>5000t/d</w:t>
      </w:r>
      <w:r>
        <w:rPr>
          <w:color w:val="auto"/>
        </w:rPr>
        <w:t>电石渣干法水泥生产线</w:t>
      </w:r>
      <w:r>
        <w:rPr>
          <w:rFonts w:hint="eastAsia"/>
          <w:color w:val="auto"/>
        </w:rPr>
        <w:t>运行状况</w:t>
      </w:r>
    </w:p>
    <w:p w14:paraId="7CA8399C" w14:textId="77777777" w:rsidR="002E474C" w:rsidRDefault="00000000">
      <w:pPr>
        <w:pStyle w:val="A-z"/>
        <w:rPr>
          <w:color w:val="auto"/>
        </w:rPr>
      </w:pPr>
      <w:r>
        <w:rPr>
          <w:rFonts w:hint="eastAsia"/>
          <w:color w:val="auto"/>
        </w:rPr>
        <w:t>圣雄水泥公司</w:t>
      </w:r>
      <w:r>
        <w:rPr>
          <w:color w:val="auto"/>
        </w:rPr>
        <w:t>5000t/d</w:t>
      </w:r>
      <w:r>
        <w:rPr>
          <w:color w:val="auto"/>
        </w:rPr>
        <w:t>电石渣干法水泥生产线</w:t>
      </w:r>
      <w:r>
        <w:rPr>
          <w:rFonts w:hint="eastAsia"/>
          <w:color w:val="auto"/>
        </w:rPr>
        <w:t>建成后，正常运行，</w:t>
      </w:r>
      <w:r>
        <w:rPr>
          <w:color w:val="auto"/>
        </w:rPr>
        <w:t>年工作</w:t>
      </w:r>
      <w:r>
        <w:rPr>
          <w:color w:val="auto"/>
        </w:rPr>
        <w:t>300</w:t>
      </w:r>
      <w:r>
        <w:rPr>
          <w:color w:val="auto"/>
        </w:rPr>
        <w:lastRenderedPageBreak/>
        <w:t>日，年工作时间</w:t>
      </w:r>
      <w:r>
        <w:rPr>
          <w:color w:val="auto"/>
        </w:rPr>
        <w:t>7200h</w:t>
      </w:r>
      <w:r>
        <w:rPr>
          <w:rFonts w:hint="eastAsia"/>
          <w:color w:val="auto"/>
        </w:rPr>
        <w:t>，熟料生产规模为</w:t>
      </w:r>
      <w:r>
        <w:rPr>
          <w:rFonts w:hint="eastAsia"/>
          <w:color w:val="auto"/>
        </w:rPr>
        <w:t>5000t/d</w:t>
      </w:r>
      <w:r>
        <w:rPr>
          <w:rFonts w:hint="eastAsia"/>
          <w:color w:val="auto"/>
        </w:rPr>
        <w:t>，熟料产量为</w:t>
      </w:r>
      <w:r>
        <w:rPr>
          <w:rFonts w:hint="eastAsia"/>
          <w:color w:val="auto"/>
        </w:rPr>
        <w:t>150</w:t>
      </w:r>
      <w:r>
        <w:rPr>
          <w:rFonts w:hint="eastAsia"/>
          <w:color w:val="auto"/>
        </w:rPr>
        <w:t>万</w:t>
      </w:r>
      <w:r>
        <w:rPr>
          <w:rFonts w:hint="eastAsia"/>
          <w:color w:val="auto"/>
        </w:rPr>
        <w:t>t/a</w:t>
      </w:r>
      <w:r>
        <w:rPr>
          <w:color w:val="auto"/>
        </w:rPr>
        <w:t>。</w:t>
      </w:r>
    </w:p>
    <w:p w14:paraId="3C1354B1" w14:textId="77777777" w:rsidR="002E474C" w:rsidRDefault="00000000">
      <w:pPr>
        <w:pStyle w:val="A-z"/>
        <w:rPr>
          <w:color w:val="auto"/>
        </w:rPr>
      </w:pPr>
      <w:r>
        <w:rPr>
          <w:rFonts w:hint="eastAsia"/>
          <w:color w:val="auto"/>
        </w:rPr>
        <w:t>项目建设环境影响评价与环保竣工验收手续齐全，已建立并完善厂内环境管理制度；申领排污许可证，制定企业自行监测方案，并开展自行检测工作；厂内已完成排污口规范话工作，目前正在进行第二轮清洁生产审核工作。企业修订并发布突发环境事件应急预案，经生态环境部门备案后，定时开展应急演练工作。</w:t>
      </w:r>
    </w:p>
    <w:p w14:paraId="3885B6C0" w14:textId="77777777" w:rsidR="002E474C" w:rsidRDefault="00000000">
      <w:pPr>
        <w:pStyle w:val="A-z"/>
        <w:rPr>
          <w:color w:val="auto"/>
        </w:rPr>
      </w:pPr>
      <w:r>
        <w:rPr>
          <w:rFonts w:hint="eastAsia"/>
          <w:color w:val="auto"/>
        </w:rPr>
        <w:t>（</w:t>
      </w:r>
      <w:r>
        <w:rPr>
          <w:rFonts w:hint="eastAsia"/>
          <w:color w:val="auto"/>
        </w:rPr>
        <w:t>2</w:t>
      </w:r>
      <w:r>
        <w:rPr>
          <w:rFonts w:hint="eastAsia"/>
          <w:color w:val="auto"/>
        </w:rPr>
        <w:t>）圣雄水泥公司现有工程符合相关规划与管理要求</w:t>
      </w:r>
    </w:p>
    <w:p w14:paraId="710F8EB1" w14:textId="77777777" w:rsidR="002E474C" w:rsidRDefault="00000000">
      <w:pPr>
        <w:pStyle w:val="A-z"/>
        <w:rPr>
          <w:color w:val="auto"/>
        </w:rPr>
      </w:pPr>
      <w:r>
        <w:rPr>
          <w:rFonts w:hint="eastAsia"/>
          <w:color w:val="auto"/>
        </w:rPr>
        <w:t>圣雄水泥公司为</w:t>
      </w:r>
      <w:r>
        <w:rPr>
          <w:color w:val="auto"/>
        </w:rPr>
        <w:t>圣雄同心工业园</w:t>
      </w:r>
      <w:r>
        <w:rPr>
          <w:rFonts w:hint="eastAsia"/>
          <w:color w:val="auto"/>
        </w:rPr>
        <w:t>内的现有企业，</w:t>
      </w:r>
      <w:r>
        <w:rPr>
          <w:color w:val="auto"/>
        </w:rPr>
        <w:t>以新疆圣雄氯碱有限公司产出的电石渣为原料生产水泥产品，属于氯碱配套产业，位于氯碱配套产业区，用地为规划的三类工业用地</w:t>
      </w:r>
      <w:r>
        <w:rPr>
          <w:rFonts w:hint="eastAsia"/>
          <w:color w:val="auto"/>
        </w:rPr>
        <w:t>，符合</w:t>
      </w:r>
      <w:r>
        <w:rPr>
          <w:color w:val="auto"/>
        </w:rPr>
        <w:t>《托克逊能源重化工工业园区总体规划（</w:t>
      </w:r>
      <w:r>
        <w:rPr>
          <w:color w:val="auto"/>
        </w:rPr>
        <w:t>2023-2035</w:t>
      </w:r>
      <w:r>
        <w:rPr>
          <w:color w:val="auto"/>
        </w:rPr>
        <w:t>年）》</w:t>
      </w:r>
      <w:r>
        <w:rPr>
          <w:rFonts w:hint="eastAsia"/>
          <w:color w:val="auto"/>
        </w:rPr>
        <w:t>及规划环评要求，符合</w:t>
      </w:r>
      <w:r>
        <w:rPr>
          <w:color w:val="auto"/>
        </w:rPr>
        <w:t>《托克逊能源重化工工业园区化工产业集中区总体规划（</w:t>
      </w:r>
      <w:r>
        <w:rPr>
          <w:color w:val="auto"/>
        </w:rPr>
        <w:t>2023-2035</w:t>
      </w:r>
      <w:r>
        <w:rPr>
          <w:color w:val="auto"/>
        </w:rPr>
        <w:t>年）》</w:t>
      </w:r>
      <w:r>
        <w:rPr>
          <w:rFonts w:hint="eastAsia"/>
          <w:color w:val="auto"/>
        </w:rPr>
        <w:t>及规划环评要求。</w:t>
      </w:r>
    </w:p>
    <w:p w14:paraId="4B4192EC" w14:textId="77777777" w:rsidR="002E474C" w:rsidRDefault="00000000">
      <w:pPr>
        <w:pStyle w:val="A-z"/>
        <w:rPr>
          <w:color w:val="auto"/>
        </w:rPr>
      </w:pPr>
      <w:r>
        <w:rPr>
          <w:rFonts w:hint="eastAsia"/>
          <w:color w:val="auto"/>
        </w:rPr>
        <w:t>圣雄水泥公司</w:t>
      </w:r>
      <w:r>
        <w:rPr>
          <w:color w:val="auto"/>
        </w:rPr>
        <w:t>不涉及国家及地方划定的自然保护区、风景名胜区、生态功能保护区、水土流失重点防治区、森林公园、地质公园、世界遗产地、国家重点文物保护单位、历史文化保护地等敏感目标，区内无珍稀野生保护动植物。</w:t>
      </w:r>
    </w:p>
    <w:p w14:paraId="24ED1DD7" w14:textId="77777777" w:rsidR="002E474C" w:rsidRDefault="00000000">
      <w:pPr>
        <w:pStyle w:val="A-z"/>
        <w:rPr>
          <w:color w:val="auto"/>
          <w:lang w:val="en-US"/>
        </w:rPr>
      </w:pPr>
      <w:r>
        <w:rPr>
          <w:color w:val="auto"/>
        </w:rPr>
        <w:t>本项目利用园区现有企业圣雄水泥公司新型干法水泥窑协同处置</w:t>
      </w:r>
      <w:r>
        <w:rPr>
          <w:color w:val="auto"/>
        </w:rPr>
        <w:t>5</w:t>
      </w:r>
      <w:r>
        <w:rPr>
          <w:color w:val="auto"/>
        </w:rPr>
        <w:t>万</w:t>
      </w:r>
      <w:r>
        <w:rPr>
          <w:color w:val="auto"/>
        </w:rPr>
        <w:t>t/a</w:t>
      </w:r>
      <w:r>
        <w:rPr>
          <w:color w:val="auto"/>
        </w:rPr>
        <w:t>危险废物，属于危险废物集中处置设施，有利于园区危险废物安全处置及循环经济建设，符合园区总体规划的产业分区规划、用地规划及环境保护规划。</w:t>
      </w:r>
    </w:p>
    <w:p w14:paraId="69A99F5E" w14:textId="77777777" w:rsidR="002E474C" w:rsidRDefault="00000000">
      <w:pPr>
        <w:pStyle w:val="A-z"/>
        <w:rPr>
          <w:color w:val="auto"/>
        </w:rPr>
      </w:pPr>
      <w:r>
        <w:rPr>
          <w:rFonts w:hint="eastAsia"/>
          <w:color w:val="auto"/>
        </w:rPr>
        <w:t>圣雄水泥公司</w:t>
      </w:r>
      <w:r>
        <w:rPr>
          <w:color w:val="auto"/>
        </w:rPr>
        <w:t>5000t/d</w:t>
      </w:r>
      <w:r>
        <w:rPr>
          <w:color w:val="auto"/>
        </w:rPr>
        <w:t>电石渣干法水泥生产线现有窑尾烟气已配套高效电袋除尘器治理措施，且安装与当地生态环境部门联网的污染物在线监测设备，且满足连续两年符合《水泥工业大气污染物排放标》（</w:t>
      </w:r>
      <w:r>
        <w:rPr>
          <w:rFonts w:hint="eastAsia"/>
          <w:color w:val="auto"/>
        </w:rPr>
        <w:t>GB 4915-2013</w:t>
      </w:r>
      <w:r>
        <w:rPr>
          <w:rFonts w:hint="eastAsia"/>
          <w:color w:val="auto"/>
        </w:rPr>
        <w:t>，含</w:t>
      </w:r>
      <w:r>
        <w:rPr>
          <w:rFonts w:hint="eastAsia"/>
          <w:color w:val="auto"/>
        </w:rPr>
        <w:t>2025</w:t>
      </w:r>
      <w:r>
        <w:rPr>
          <w:rFonts w:hint="eastAsia"/>
          <w:color w:val="auto"/>
        </w:rPr>
        <w:t>年修改单</w:t>
      </w:r>
      <w:r>
        <w:rPr>
          <w:color w:val="auto"/>
        </w:rPr>
        <w:t>）要求并无其他环境违法行为。圣雄水泥公司目前具有多名水泥工艺专业高级职称的技术人员及化学与化工或环境科学与工程专业中级及以上职称的技术人员。本项目建成后，圣雄水泥公司增设水泥窑协同处置危险废物管理部门，负责本项目安全管理工作。</w:t>
      </w:r>
    </w:p>
    <w:p w14:paraId="0976AB4B" w14:textId="77777777" w:rsidR="002E474C" w:rsidRDefault="00000000">
      <w:pPr>
        <w:pStyle w:val="A-z"/>
        <w:rPr>
          <w:color w:val="auto"/>
        </w:rPr>
      </w:pPr>
      <w:r>
        <w:rPr>
          <w:rFonts w:hint="eastAsia"/>
          <w:color w:val="auto"/>
        </w:rPr>
        <w:t>（</w:t>
      </w:r>
      <w:r>
        <w:rPr>
          <w:rFonts w:hint="eastAsia"/>
          <w:color w:val="auto"/>
        </w:rPr>
        <w:t>3</w:t>
      </w:r>
      <w:r>
        <w:rPr>
          <w:rFonts w:hint="eastAsia"/>
          <w:color w:val="auto"/>
        </w:rPr>
        <w:t>）公用工程依托可行性</w:t>
      </w:r>
    </w:p>
    <w:p w14:paraId="6B7783AF" w14:textId="77777777" w:rsidR="002E474C" w:rsidRDefault="00000000">
      <w:pPr>
        <w:pStyle w:val="A-z"/>
        <w:rPr>
          <w:color w:val="auto"/>
        </w:rPr>
      </w:pPr>
      <w:r>
        <w:rPr>
          <w:color w:val="auto"/>
        </w:rPr>
        <w:t>圣雄水泥公司现有厂区内</w:t>
      </w:r>
      <w:r>
        <w:rPr>
          <w:rFonts w:hint="eastAsia"/>
          <w:color w:val="auto"/>
        </w:rPr>
        <w:t>的空地满足本项目</w:t>
      </w:r>
      <w:r>
        <w:rPr>
          <w:color w:val="auto"/>
        </w:rPr>
        <w:t>建设</w:t>
      </w:r>
      <w:r>
        <w:rPr>
          <w:rFonts w:hint="eastAsia"/>
          <w:color w:val="auto"/>
        </w:rPr>
        <w:t>用地需求</w:t>
      </w:r>
      <w:r>
        <w:rPr>
          <w:color w:val="auto"/>
        </w:rPr>
        <w:t>，不新增用地。</w:t>
      </w:r>
    </w:p>
    <w:p w14:paraId="205F82CE" w14:textId="77777777" w:rsidR="002E474C" w:rsidRDefault="00000000">
      <w:pPr>
        <w:pStyle w:val="A-z"/>
        <w:rPr>
          <w:color w:val="auto"/>
        </w:rPr>
      </w:pPr>
      <w:r>
        <w:rPr>
          <w:rFonts w:hint="eastAsia"/>
          <w:color w:val="auto"/>
        </w:rPr>
        <w:t>圣雄水泥公司给排水系统</w:t>
      </w:r>
      <w:r>
        <w:rPr>
          <w:color w:val="auto"/>
        </w:rPr>
        <w:t>满足项目需要。项目排水为生活污水，经管网排至厂内综合污水处理站处理后回用于生产</w:t>
      </w:r>
      <w:r>
        <w:rPr>
          <w:rFonts w:hint="eastAsia"/>
          <w:color w:val="auto"/>
        </w:rPr>
        <w:t>或绿化</w:t>
      </w:r>
      <w:r>
        <w:rPr>
          <w:color w:val="auto"/>
        </w:rPr>
        <w:t>。水泥厂现有实验室</w:t>
      </w:r>
      <w:r>
        <w:rPr>
          <w:rFonts w:hint="eastAsia"/>
          <w:color w:val="auto"/>
        </w:rPr>
        <w:t>、</w:t>
      </w:r>
      <w:r>
        <w:rPr>
          <w:color w:val="auto"/>
        </w:rPr>
        <w:t>办公生活区</w:t>
      </w:r>
      <w:r>
        <w:rPr>
          <w:rFonts w:hint="eastAsia"/>
          <w:color w:val="auto"/>
        </w:rPr>
        <w:t>、供电设施为本项目提供依托条件</w:t>
      </w:r>
      <w:r>
        <w:rPr>
          <w:color w:val="auto"/>
        </w:rPr>
        <w:t>。</w:t>
      </w:r>
    </w:p>
    <w:p w14:paraId="5E508211" w14:textId="77777777" w:rsidR="002E474C" w:rsidRDefault="00000000">
      <w:pPr>
        <w:pStyle w:val="A-z"/>
        <w:rPr>
          <w:color w:val="auto"/>
          <w:lang w:val="en-US"/>
        </w:rPr>
      </w:pPr>
      <w:r>
        <w:rPr>
          <w:rFonts w:hint="eastAsia"/>
          <w:color w:val="auto"/>
        </w:rPr>
        <w:t>综上分析，本项目可依托</w:t>
      </w:r>
      <w:r>
        <w:rPr>
          <w:rFonts w:hint="eastAsia"/>
          <w:color w:val="auto"/>
          <w:lang w:val="en-US"/>
        </w:rPr>
        <w:t>圣雄水泥公司</w:t>
      </w:r>
      <w:r>
        <w:rPr>
          <w:color w:val="auto"/>
          <w:lang w:val="en-US"/>
        </w:rPr>
        <w:t>5000t/d</w:t>
      </w:r>
      <w:r>
        <w:rPr>
          <w:color w:val="auto"/>
          <w:lang w:val="en-US"/>
        </w:rPr>
        <w:t>电石渣干法水泥生产线</w:t>
      </w:r>
      <w:r>
        <w:rPr>
          <w:rFonts w:hint="eastAsia"/>
          <w:color w:val="auto"/>
          <w:lang w:val="en-US"/>
        </w:rPr>
        <w:t>协同</w:t>
      </w:r>
      <w:r>
        <w:rPr>
          <w:rFonts w:hint="eastAsia"/>
          <w:color w:val="auto"/>
          <w:lang w:val="en-US"/>
        </w:rPr>
        <w:lastRenderedPageBreak/>
        <w:t>处置</w:t>
      </w:r>
      <w:r>
        <w:rPr>
          <w:rFonts w:hint="eastAsia"/>
          <w:color w:val="auto"/>
          <w:lang w:val="en-US"/>
        </w:rPr>
        <w:t>5</w:t>
      </w:r>
      <w:r>
        <w:rPr>
          <w:rFonts w:hint="eastAsia"/>
          <w:color w:val="auto"/>
          <w:lang w:val="en-US"/>
        </w:rPr>
        <w:t>万</w:t>
      </w:r>
      <w:r>
        <w:rPr>
          <w:rFonts w:hint="eastAsia"/>
          <w:color w:val="auto"/>
          <w:lang w:val="en-US"/>
        </w:rPr>
        <w:t>t/a</w:t>
      </w:r>
      <w:r>
        <w:rPr>
          <w:rFonts w:hint="eastAsia"/>
          <w:color w:val="auto"/>
          <w:lang w:val="en-US"/>
        </w:rPr>
        <w:t>危险废物。</w:t>
      </w:r>
    </w:p>
    <w:p w14:paraId="1B408D19" w14:textId="77777777" w:rsidR="002E474C" w:rsidRDefault="00000000">
      <w:pPr>
        <w:pStyle w:val="A-z"/>
        <w:rPr>
          <w:color w:val="auto"/>
        </w:rPr>
      </w:pPr>
      <w:r>
        <w:rPr>
          <w:rFonts w:hint="eastAsia"/>
          <w:color w:val="auto"/>
          <w:lang w:val="en-US"/>
        </w:rPr>
        <w:t>根据对圣雄水泥公司进行的调查与回顾性分析，企业正常生产运行不存在现有环境问题。</w:t>
      </w:r>
    </w:p>
    <w:p w14:paraId="034A3328" w14:textId="77777777" w:rsidR="002E474C" w:rsidRDefault="00000000">
      <w:pPr>
        <w:pStyle w:val="21"/>
        <w:spacing w:before="240" w:after="240"/>
        <w:rPr>
          <w:color w:val="auto"/>
        </w:rPr>
      </w:pPr>
      <w:bookmarkStart w:id="126" w:name="_Toc225848852"/>
      <w:bookmarkStart w:id="127" w:name="_Toc21994"/>
      <w:r>
        <w:rPr>
          <w:color w:val="auto"/>
        </w:rPr>
        <w:t>依托预处理中心概况</w:t>
      </w:r>
      <w:bookmarkEnd w:id="126"/>
      <w:bookmarkEnd w:id="127"/>
    </w:p>
    <w:p w14:paraId="5099399B" w14:textId="77777777" w:rsidR="002E474C" w:rsidRDefault="00000000">
      <w:pPr>
        <w:pStyle w:val="31"/>
        <w:spacing w:before="120" w:after="120"/>
        <w:rPr>
          <w:color w:val="auto"/>
        </w:rPr>
      </w:pPr>
      <w:r>
        <w:rPr>
          <w:color w:val="auto"/>
        </w:rPr>
        <w:t>项目基本情况与环保手续执行情况</w:t>
      </w:r>
    </w:p>
    <w:p w14:paraId="2143D25E" w14:textId="77777777" w:rsidR="002E474C" w:rsidRDefault="00000000">
      <w:pPr>
        <w:pStyle w:val="A-z"/>
        <w:rPr>
          <w:color w:val="auto"/>
        </w:rPr>
      </w:pPr>
      <w:r>
        <w:rPr>
          <w:color w:val="auto"/>
        </w:rPr>
        <w:t>2020</w:t>
      </w:r>
      <w:r>
        <w:rPr>
          <w:color w:val="auto"/>
        </w:rPr>
        <w:t>年，中建环能科技股份有限公司和新疆中建西部建设水泥制造有限公司（原吉木萨尔县天宇华鑫水泥开发有限公司，</w:t>
      </w:r>
      <w:r>
        <w:rPr>
          <w:color w:val="auto"/>
        </w:rPr>
        <w:t>2017</w:t>
      </w:r>
      <w:r>
        <w:rPr>
          <w:color w:val="auto"/>
        </w:rPr>
        <w:t>年</w:t>
      </w:r>
      <w:r>
        <w:rPr>
          <w:color w:val="auto"/>
        </w:rPr>
        <w:t>1</w:t>
      </w:r>
      <w:r>
        <w:rPr>
          <w:color w:val="auto"/>
        </w:rPr>
        <w:t>月更名）共同出资，采用集中经营模式建设吉木萨尔协同处置项目，即在水泥生产企业厂区内对危险废物进行预处理和协同处置的经营模式。吉木萨尔协同处置项目利用新疆中建西部建设水泥制造有限公司现有</w:t>
      </w:r>
      <w:r>
        <w:rPr>
          <w:color w:val="auto"/>
        </w:rPr>
        <w:t>3000t/d</w:t>
      </w:r>
      <w:r>
        <w:rPr>
          <w:color w:val="auto"/>
        </w:rPr>
        <w:t>熟料新型干法水泥生产线协同处置</w:t>
      </w:r>
      <w:r>
        <w:rPr>
          <w:color w:val="auto"/>
        </w:rPr>
        <w:t>10</w:t>
      </w:r>
      <w:r>
        <w:rPr>
          <w:color w:val="auto"/>
        </w:rPr>
        <w:t>万</w:t>
      </w:r>
      <w:r>
        <w:rPr>
          <w:color w:val="auto"/>
        </w:rPr>
        <w:t>t/a</w:t>
      </w:r>
      <w:r>
        <w:rPr>
          <w:color w:val="auto"/>
        </w:rPr>
        <w:t>危险废物，其中液态危险废物</w:t>
      </w:r>
      <w:r>
        <w:rPr>
          <w:color w:val="auto"/>
        </w:rPr>
        <w:t>2.0</w:t>
      </w:r>
      <w:r>
        <w:rPr>
          <w:color w:val="auto"/>
        </w:rPr>
        <w:t>万</w:t>
      </w:r>
      <w:r>
        <w:rPr>
          <w:color w:val="auto"/>
        </w:rPr>
        <w:t>t/a</w:t>
      </w:r>
      <w:r>
        <w:rPr>
          <w:color w:val="auto"/>
        </w:rPr>
        <w:t>；半固态危险废物</w:t>
      </w:r>
      <w:r>
        <w:rPr>
          <w:color w:val="auto"/>
        </w:rPr>
        <w:t>5.0</w:t>
      </w:r>
      <w:r>
        <w:rPr>
          <w:color w:val="auto"/>
        </w:rPr>
        <w:t>万吨</w:t>
      </w:r>
      <w:r>
        <w:rPr>
          <w:color w:val="auto"/>
        </w:rPr>
        <w:t>t/a</w:t>
      </w:r>
      <w:r>
        <w:rPr>
          <w:color w:val="auto"/>
        </w:rPr>
        <w:t>；固态危险废物</w:t>
      </w:r>
      <w:r>
        <w:rPr>
          <w:color w:val="auto"/>
        </w:rPr>
        <w:t>3.0</w:t>
      </w:r>
      <w:r>
        <w:rPr>
          <w:color w:val="auto"/>
        </w:rPr>
        <w:t>万</w:t>
      </w:r>
      <w:r>
        <w:rPr>
          <w:color w:val="auto"/>
        </w:rPr>
        <w:t>t/a</w:t>
      </w:r>
      <w:r>
        <w:rPr>
          <w:rFonts w:hint="eastAsia"/>
          <w:color w:val="auto"/>
        </w:rPr>
        <w:t>，</w:t>
      </w:r>
      <w:r>
        <w:rPr>
          <w:rFonts w:hint="eastAsia"/>
          <w:color w:val="auto"/>
          <w:lang w:val="en-US"/>
        </w:rPr>
        <w:t>项目处置的危险废物共涉及《国家危险废物名录</w:t>
      </w:r>
      <w:r>
        <w:rPr>
          <w:rFonts w:hint="eastAsia"/>
          <w:color w:val="auto"/>
          <w:lang w:val="en-US"/>
        </w:rPr>
        <w:t>(2016)</w:t>
      </w:r>
      <w:r>
        <w:rPr>
          <w:rFonts w:hint="eastAsia"/>
          <w:color w:val="auto"/>
          <w:lang w:val="en-US"/>
        </w:rPr>
        <w:t>》中的</w:t>
      </w:r>
      <w:r>
        <w:rPr>
          <w:rFonts w:hint="eastAsia"/>
          <w:color w:val="auto"/>
          <w:lang w:val="en-US"/>
        </w:rPr>
        <w:t>35</w:t>
      </w:r>
      <w:r>
        <w:rPr>
          <w:rFonts w:hint="eastAsia"/>
          <w:color w:val="auto"/>
          <w:lang w:val="en-US"/>
        </w:rPr>
        <w:t>种类别</w:t>
      </w:r>
      <w:r>
        <w:rPr>
          <w:rFonts w:hint="eastAsia"/>
          <w:color w:val="auto"/>
          <w:lang w:val="en-US"/>
        </w:rPr>
        <w:t>428</w:t>
      </w:r>
      <w:r>
        <w:rPr>
          <w:rFonts w:hint="eastAsia"/>
          <w:color w:val="auto"/>
          <w:lang w:val="en-US"/>
        </w:rPr>
        <w:t>个代码。</w:t>
      </w:r>
      <w:r>
        <w:rPr>
          <w:color w:val="auto"/>
        </w:rPr>
        <w:t>通过高温焚烧及水泥熟料矿物化高温烧结过程，实现水泥窑协同处置危险废物高温解毒和重金属固化的作用，达到危险废物减量化、资源化和无害化目标。吉木萨尔协同处置项目主要建设内容包括进厂废物取样、分析鉴别系统、预处理系统、暂存系统等，项目公用工程和生活区等依托新疆中建西部建设水泥制造有限公司现有工程设施。</w:t>
      </w:r>
    </w:p>
    <w:p w14:paraId="41EA2F93" w14:textId="77777777" w:rsidR="002E474C" w:rsidRDefault="00000000">
      <w:pPr>
        <w:pStyle w:val="A-z"/>
        <w:ind w:firstLine="456"/>
        <w:rPr>
          <w:color w:val="auto"/>
          <w:spacing w:val="-6"/>
        </w:rPr>
      </w:pPr>
      <w:r>
        <w:rPr>
          <w:color w:val="auto"/>
          <w:spacing w:val="-6"/>
        </w:rPr>
        <w:t>2020</w:t>
      </w:r>
      <w:r>
        <w:rPr>
          <w:color w:val="auto"/>
          <w:spacing w:val="-6"/>
        </w:rPr>
        <w:t>年</w:t>
      </w:r>
      <w:r>
        <w:rPr>
          <w:color w:val="auto"/>
          <w:spacing w:val="-6"/>
        </w:rPr>
        <w:t>12</w:t>
      </w:r>
      <w:r>
        <w:rPr>
          <w:color w:val="auto"/>
          <w:spacing w:val="-6"/>
        </w:rPr>
        <w:t>月</w:t>
      </w:r>
      <w:r>
        <w:rPr>
          <w:color w:val="auto"/>
          <w:spacing w:val="-6"/>
        </w:rPr>
        <w:t>12</w:t>
      </w:r>
      <w:r>
        <w:rPr>
          <w:color w:val="auto"/>
          <w:spacing w:val="-6"/>
        </w:rPr>
        <w:t>日，自治区生态环境厅以《关于中建合资公司利用新疆中建西部建设水泥制造有限公司水泥窑协同处置危险废物项目环境影响报告书的批复》（新环审〔</w:t>
      </w:r>
      <w:r>
        <w:rPr>
          <w:color w:val="auto"/>
          <w:spacing w:val="-6"/>
        </w:rPr>
        <w:t>2020</w:t>
      </w:r>
      <w:r>
        <w:rPr>
          <w:color w:val="auto"/>
          <w:spacing w:val="-6"/>
        </w:rPr>
        <w:t>〕</w:t>
      </w:r>
      <w:r>
        <w:rPr>
          <w:color w:val="auto"/>
          <w:spacing w:val="-6"/>
        </w:rPr>
        <w:t>237</w:t>
      </w:r>
      <w:r>
        <w:rPr>
          <w:color w:val="auto"/>
          <w:spacing w:val="-6"/>
        </w:rPr>
        <w:t>号）对项目进行了批复。该项目于</w:t>
      </w:r>
      <w:r>
        <w:rPr>
          <w:color w:val="auto"/>
          <w:spacing w:val="-6"/>
        </w:rPr>
        <w:t>2021</w:t>
      </w:r>
      <w:r>
        <w:rPr>
          <w:color w:val="auto"/>
          <w:spacing w:val="-6"/>
        </w:rPr>
        <w:t>年</w:t>
      </w:r>
      <w:r>
        <w:rPr>
          <w:color w:val="auto"/>
          <w:spacing w:val="-6"/>
        </w:rPr>
        <w:t>5</w:t>
      </w:r>
      <w:r>
        <w:rPr>
          <w:color w:val="auto"/>
          <w:spacing w:val="-6"/>
        </w:rPr>
        <w:t>月开工建设，</w:t>
      </w:r>
      <w:r>
        <w:rPr>
          <w:color w:val="auto"/>
          <w:spacing w:val="-6"/>
        </w:rPr>
        <w:t>2021</w:t>
      </w:r>
      <w:r>
        <w:rPr>
          <w:color w:val="auto"/>
          <w:spacing w:val="-6"/>
        </w:rPr>
        <w:t>年</w:t>
      </w:r>
      <w:r>
        <w:rPr>
          <w:color w:val="auto"/>
          <w:spacing w:val="-6"/>
        </w:rPr>
        <w:t>12</w:t>
      </w:r>
      <w:r>
        <w:rPr>
          <w:color w:val="auto"/>
          <w:spacing w:val="-6"/>
        </w:rPr>
        <w:t>月建成。</w:t>
      </w:r>
      <w:r>
        <w:rPr>
          <w:color w:val="auto"/>
          <w:spacing w:val="-6"/>
        </w:rPr>
        <w:t>2022</w:t>
      </w:r>
      <w:r>
        <w:rPr>
          <w:color w:val="auto"/>
          <w:spacing w:val="-6"/>
        </w:rPr>
        <w:t>年</w:t>
      </w:r>
      <w:r>
        <w:rPr>
          <w:color w:val="auto"/>
          <w:spacing w:val="-6"/>
        </w:rPr>
        <w:t>3</w:t>
      </w:r>
      <w:r>
        <w:rPr>
          <w:color w:val="auto"/>
          <w:spacing w:val="-6"/>
        </w:rPr>
        <w:t>月</w:t>
      </w:r>
      <w:r>
        <w:rPr>
          <w:color w:val="auto"/>
          <w:spacing w:val="-6"/>
        </w:rPr>
        <w:t>19</w:t>
      </w:r>
      <w:r>
        <w:rPr>
          <w:color w:val="auto"/>
          <w:spacing w:val="-6"/>
        </w:rPr>
        <w:t>日，取得新疆维吾尔自治区生态环境厅的危险废物经营许可证（证号：</w:t>
      </w:r>
      <w:r>
        <w:rPr>
          <w:color w:val="auto"/>
          <w:spacing w:val="-6"/>
        </w:rPr>
        <w:t>6523270119</w:t>
      </w:r>
      <w:r>
        <w:rPr>
          <w:color w:val="auto"/>
          <w:spacing w:val="-6"/>
        </w:rPr>
        <w:t>），并于</w:t>
      </w:r>
      <w:r>
        <w:rPr>
          <w:color w:val="auto"/>
          <w:spacing w:val="-6"/>
        </w:rPr>
        <w:t>2022</w:t>
      </w:r>
      <w:r>
        <w:rPr>
          <w:color w:val="auto"/>
          <w:spacing w:val="-6"/>
        </w:rPr>
        <w:t>年</w:t>
      </w:r>
      <w:r>
        <w:rPr>
          <w:color w:val="auto"/>
          <w:spacing w:val="-6"/>
        </w:rPr>
        <w:t>7</w:t>
      </w:r>
      <w:r>
        <w:rPr>
          <w:color w:val="auto"/>
          <w:spacing w:val="-6"/>
        </w:rPr>
        <w:t>月开始试生产。</w:t>
      </w:r>
    </w:p>
    <w:p w14:paraId="502FE28F" w14:textId="77777777" w:rsidR="002E474C" w:rsidRDefault="00000000">
      <w:pPr>
        <w:pStyle w:val="A-z"/>
        <w:rPr>
          <w:color w:val="auto"/>
        </w:rPr>
      </w:pPr>
      <w:r>
        <w:rPr>
          <w:color w:val="auto"/>
        </w:rPr>
        <w:t>2022</w:t>
      </w:r>
      <w:r>
        <w:rPr>
          <w:color w:val="auto"/>
        </w:rPr>
        <w:t>年</w:t>
      </w:r>
      <w:r>
        <w:rPr>
          <w:color w:val="auto"/>
        </w:rPr>
        <w:t>11</w:t>
      </w:r>
      <w:r>
        <w:rPr>
          <w:color w:val="auto"/>
        </w:rPr>
        <w:t>月，新疆中建环能北庭环保科技有限公司委托新疆绿环共创环保科技有限公司开展</w:t>
      </w:r>
      <w:r>
        <w:rPr>
          <w:color w:val="auto"/>
        </w:rPr>
        <w:t>“</w:t>
      </w:r>
      <w:r>
        <w:rPr>
          <w:color w:val="auto"/>
        </w:rPr>
        <w:t>中建合资公司利用新疆中建西部建设水泥制造有限公司水泥窑协同处置危险废物项目</w:t>
      </w:r>
      <w:r>
        <w:rPr>
          <w:color w:val="auto"/>
        </w:rPr>
        <w:t>”</w:t>
      </w:r>
      <w:r>
        <w:rPr>
          <w:color w:val="auto"/>
        </w:rPr>
        <w:t>的竣工环境保护验收工作。</w:t>
      </w:r>
    </w:p>
    <w:p w14:paraId="58135EB7" w14:textId="77777777" w:rsidR="002E474C" w:rsidRDefault="00000000">
      <w:pPr>
        <w:pStyle w:val="A-z"/>
        <w:rPr>
          <w:color w:val="auto"/>
        </w:rPr>
      </w:pPr>
      <w:r>
        <w:rPr>
          <w:color w:val="auto"/>
        </w:rPr>
        <w:t>2023</w:t>
      </w:r>
      <w:r>
        <w:rPr>
          <w:color w:val="auto"/>
        </w:rPr>
        <w:t>年</w:t>
      </w:r>
      <w:r>
        <w:rPr>
          <w:color w:val="auto"/>
        </w:rPr>
        <w:t>8</w:t>
      </w:r>
      <w:r>
        <w:rPr>
          <w:color w:val="auto"/>
        </w:rPr>
        <w:t>月</w:t>
      </w:r>
      <w:r>
        <w:rPr>
          <w:color w:val="auto"/>
        </w:rPr>
        <w:t>9</w:t>
      </w:r>
      <w:r>
        <w:rPr>
          <w:color w:val="auto"/>
        </w:rPr>
        <w:t>日，新疆中建环能北庭环保科技有限公司组织开展对中建合资公司利用新疆中建西部建设水泥制造有限公司水泥窑协同处置危险废物项目竣工环境保护验收工作。根据验收情况，项目</w:t>
      </w:r>
      <w:r>
        <w:rPr>
          <w:rFonts w:hint="eastAsia"/>
          <w:color w:val="auto"/>
        </w:rPr>
        <w:t>环评文件</w:t>
      </w:r>
      <w:r>
        <w:rPr>
          <w:color w:val="auto"/>
        </w:rPr>
        <w:t>审批手续齐全，</w:t>
      </w:r>
      <w:r>
        <w:rPr>
          <w:rFonts w:hint="eastAsia"/>
          <w:color w:val="auto"/>
        </w:rPr>
        <w:t>项目建设</w:t>
      </w:r>
      <w:r>
        <w:rPr>
          <w:rFonts w:hint="eastAsia"/>
          <w:color w:val="auto"/>
        </w:rPr>
        <w:lastRenderedPageBreak/>
        <w:t>中</w:t>
      </w:r>
      <w:r>
        <w:rPr>
          <w:color w:val="auto"/>
        </w:rPr>
        <w:t>落实了环境影响评价文件及其审批意见的要求</w:t>
      </w:r>
      <w:r>
        <w:rPr>
          <w:rFonts w:hint="eastAsia"/>
          <w:color w:val="auto"/>
        </w:rPr>
        <w:t>，</w:t>
      </w:r>
      <w:r>
        <w:rPr>
          <w:color w:val="auto"/>
        </w:rPr>
        <w:t>建立了环境管理制度，</w:t>
      </w:r>
      <w:r>
        <w:rPr>
          <w:rFonts w:hint="eastAsia"/>
          <w:color w:val="auto"/>
        </w:rPr>
        <w:t>申领了排污许可证，完善了排污口规范化管理，编制了突发环境事件应急预案并完成备案。项目</w:t>
      </w:r>
      <w:r>
        <w:rPr>
          <w:color w:val="auto"/>
        </w:rPr>
        <w:t>排放</w:t>
      </w:r>
      <w:r>
        <w:rPr>
          <w:rFonts w:hint="eastAsia"/>
          <w:color w:val="auto"/>
        </w:rPr>
        <w:t>的各类</w:t>
      </w:r>
      <w:r>
        <w:rPr>
          <w:color w:val="auto"/>
        </w:rPr>
        <w:t>污染物均达标排放，符合项目竣工环境保护验收合格条件，通过竣工环保验收。</w:t>
      </w:r>
    </w:p>
    <w:p w14:paraId="7A25795B" w14:textId="77777777" w:rsidR="002E474C" w:rsidRDefault="00000000">
      <w:pPr>
        <w:pStyle w:val="A-z"/>
        <w:rPr>
          <w:color w:val="auto"/>
        </w:rPr>
      </w:pPr>
      <w:r>
        <w:rPr>
          <w:color w:val="auto"/>
        </w:rPr>
        <w:t>由于水泥生产线错峰生产、设备故障等原因，</w:t>
      </w:r>
      <w:r>
        <w:rPr>
          <w:color w:val="auto"/>
        </w:rPr>
        <w:t>2025</w:t>
      </w:r>
      <w:r>
        <w:rPr>
          <w:color w:val="auto"/>
        </w:rPr>
        <w:t>年吉木萨尔协同处置项目依托的水泥生产线实际全年运行时间约为</w:t>
      </w:r>
      <w:r>
        <w:rPr>
          <w:color w:val="auto"/>
        </w:rPr>
        <w:t>110</w:t>
      </w:r>
      <w:r>
        <w:rPr>
          <w:color w:val="auto"/>
        </w:rPr>
        <w:t>天，危险废物协同处置系统实际运行时间仅为</w:t>
      </w:r>
      <w:r>
        <w:rPr>
          <w:color w:val="auto"/>
        </w:rPr>
        <w:t>90</w:t>
      </w:r>
      <w:r>
        <w:rPr>
          <w:color w:val="auto"/>
        </w:rPr>
        <w:t>天左右，生产负荷率仅为设计能力的</w:t>
      </w:r>
      <w:r>
        <w:rPr>
          <w:color w:val="auto"/>
        </w:rPr>
        <w:t>30%</w:t>
      </w:r>
      <w:r>
        <w:rPr>
          <w:color w:val="auto"/>
        </w:rPr>
        <w:t>。</w:t>
      </w:r>
      <w:r>
        <w:rPr>
          <w:rFonts w:hint="eastAsia"/>
          <w:color w:val="auto"/>
        </w:rPr>
        <w:t>在水泥生产线运行时长不足的情况下，</w:t>
      </w:r>
      <w:r>
        <w:rPr>
          <w:color w:val="auto"/>
        </w:rPr>
        <w:t>危险废物协同处置系统</w:t>
      </w:r>
      <w:r>
        <w:rPr>
          <w:rFonts w:hint="eastAsia"/>
          <w:color w:val="auto"/>
        </w:rPr>
        <w:t>仅有少量危险废物在危废联合贮存库存放。</w:t>
      </w:r>
    </w:p>
    <w:p w14:paraId="0AAD80F6" w14:textId="77777777" w:rsidR="002E474C" w:rsidRDefault="00000000">
      <w:pPr>
        <w:pStyle w:val="31"/>
        <w:spacing w:before="120" w:after="120"/>
        <w:rPr>
          <w:color w:val="auto"/>
        </w:rPr>
      </w:pPr>
      <w:r>
        <w:rPr>
          <w:color w:val="auto"/>
        </w:rPr>
        <w:t>项目建设内容</w:t>
      </w:r>
    </w:p>
    <w:p w14:paraId="3D391C3C" w14:textId="77777777" w:rsidR="002E474C" w:rsidRDefault="00000000">
      <w:pPr>
        <w:pStyle w:val="A-z"/>
        <w:ind w:firstLine="456"/>
        <w:rPr>
          <w:color w:val="auto"/>
          <w:spacing w:val="-6"/>
        </w:rPr>
      </w:pPr>
      <w:r>
        <w:rPr>
          <w:color w:val="auto"/>
          <w:spacing w:val="-6"/>
        </w:rPr>
        <w:t>吉木萨尔协同处置项目利用新疆中建西部建设水泥制造有限公司的</w:t>
      </w:r>
      <w:r>
        <w:rPr>
          <w:color w:val="auto"/>
          <w:spacing w:val="-6"/>
        </w:rPr>
        <w:t>3000t/d</w:t>
      </w:r>
      <w:r>
        <w:rPr>
          <w:color w:val="auto"/>
          <w:spacing w:val="-6"/>
        </w:rPr>
        <w:t>熟料生产线上建设一套水泥窑协同处置</w:t>
      </w:r>
      <w:r>
        <w:rPr>
          <w:color w:val="auto"/>
          <w:spacing w:val="-6"/>
        </w:rPr>
        <w:t>10</w:t>
      </w:r>
      <w:r>
        <w:rPr>
          <w:color w:val="auto"/>
          <w:spacing w:val="-6"/>
        </w:rPr>
        <w:t>万吨</w:t>
      </w:r>
      <w:r>
        <w:rPr>
          <w:color w:val="auto"/>
          <w:spacing w:val="-6"/>
        </w:rPr>
        <w:t>/</w:t>
      </w:r>
      <w:r>
        <w:rPr>
          <w:color w:val="auto"/>
          <w:spacing w:val="-6"/>
        </w:rPr>
        <w:t>年工业危险废物系统，孰料生产产能不变。建设内容为进厂废物取样、分析鉴别系统、危废联合贮存库、预处理系统、危险废物喂料系统及其他辅助工程及环保工程等。项目实际建设内容见表</w:t>
      </w:r>
      <w:r>
        <w:rPr>
          <w:color w:val="auto"/>
          <w:spacing w:val="-6"/>
        </w:rPr>
        <w:t>3.2-1</w:t>
      </w:r>
      <w:r>
        <w:rPr>
          <w:color w:val="auto"/>
          <w:spacing w:val="-6"/>
        </w:rPr>
        <w:t>。</w:t>
      </w:r>
    </w:p>
    <w:p w14:paraId="52FCEC7B" w14:textId="77777777" w:rsidR="002E474C" w:rsidRDefault="00000000">
      <w:pPr>
        <w:pStyle w:val="A--"/>
        <w:rPr>
          <w:color w:val="auto"/>
        </w:rPr>
      </w:pPr>
      <w:r>
        <w:rPr>
          <w:color w:val="auto"/>
        </w:rPr>
        <w:t>表</w:t>
      </w:r>
      <w:r>
        <w:rPr>
          <w:color w:val="auto"/>
        </w:rPr>
        <w:t xml:space="preserve">3.2-1  </w:t>
      </w:r>
      <w:r>
        <w:rPr>
          <w:color w:val="auto"/>
        </w:rPr>
        <w:t>吉木萨尔协同处置项目实际建设内容一览表</w:t>
      </w:r>
    </w:p>
    <w:tbl>
      <w:tblPr>
        <w:tblStyle w:val="affff9"/>
        <w:tblW w:w="8522" w:type="dxa"/>
        <w:tblLayout w:type="fixed"/>
        <w:tblLook w:val="04A0" w:firstRow="1" w:lastRow="0" w:firstColumn="1" w:lastColumn="0" w:noHBand="0" w:noVBand="1"/>
      </w:tblPr>
      <w:tblGrid>
        <w:gridCol w:w="675"/>
        <w:gridCol w:w="352"/>
        <w:gridCol w:w="924"/>
        <w:gridCol w:w="6571"/>
      </w:tblGrid>
      <w:tr w:rsidR="002E474C" w14:paraId="789F44D0" w14:textId="77777777">
        <w:tc>
          <w:tcPr>
            <w:tcW w:w="675" w:type="dxa"/>
            <w:vAlign w:val="center"/>
          </w:tcPr>
          <w:p w14:paraId="4C091DD9" w14:textId="77777777" w:rsidR="002E474C" w:rsidRDefault="00000000">
            <w:pPr>
              <w:pStyle w:val="A-"/>
            </w:pPr>
            <w:r>
              <w:t>项目</w:t>
            </w:r>
          </w:p>
          <w:p w14:paraId="14CAEEA4" w14:textId="77777777" w:rsidR="002E474C" w:rsidRDefault="00000000">
            <w:pPr>
              <w:pStyle w:val="A-"/>
            </w:pPr>
            <w:r>
              <w:t>组成</w:t>
            </w:r>
          </w:p>
        </w:tc>
        <w:tc>
          <w:tcPr>
            <w:tcW w:w="1276" w:type="dxa"/>
            <w:gridSpan w:val="2"/>
            <w:vAlign w:val="center"/>
          </w:tcPr>
          <w:p w14:paraId="4831D721" w14:textId="77777777" w:rsidR="002E474C" w:rsidRDefault="00000000">
            <w:pPr>
              <w:pStyle w:val="A-"/>
            </w:pPr>
            <w:r>
              <w:t>工程名称</w:t>
            </w:r>
          </w:p>
        </w:tc>
        <w:tc>
          <w:tcPr>
            <w:tcW w:w="6571" w:type="dxa"/>
            <w:vAlign w:val="center"/>
          </w:tcPr>
          <w:p w14:paraId="3B16E6C1" w14:textId="77777777" w:rsidR="002E474C" w:rsidRDefault="00000000">
            <w:pPr>
              <w:pStyle w:val="A-"/>
            </w:pPr>
            <w:r>
              <w:t>实际建设内容</w:t>
            </w:r>
          </w:p>
        </w:tc>
      </w:tr>
      <w:tr w:rsidR="002E474C" w14:paraId="6DAB12CB" w14:textId="77777777">
        <w:tc>
          <w:tcPr>
            <w:tcW w:w="675" w:type="dxa"/>
            <w:vAlign w:val="center"/>
          </w:tcPr>
          <w:p w14:paraId="111FE371" w14:textId="77777777" w:rsidR="002E474C" w:rsidRDefault="00000000">
            <w:pPr>
              <w:pStyle w:val="A-"/>
            </w:pPr>
            <w:r>
              <w:t>主体工程</w:t>
            </w:r>
          </w:p>
        </w:tc>
        <w:tc>
          <w:tcPr>
            <w:tcW w:w="1276" w:type="dxa"/>
            <w:gridSpan w:val="2"/>
            <w:vAlign w:val="center"/>
          </w:tcPr>
          <w:p w14:paraId="0F650D8B" w14:textId="77777777" w:rsidR="002E474C" w:rsidRDefault="00000000">
            <w:pPr>
              <w:pStyle w:val="A-"/>
            </w:pPr>
            <w:r>
              <w:t>水泥窑</w:t>
            </w:r>
          </w:p>
          <w:p w14:paraId="32C53668" w14:textId="77777777" w:rsidR="002E474C" w:rsidRDefault="00000000">
            <w:pPr>
              <w:pStyle w:val="A-"/>
            </w:pPr>
            <w:r>
              <w:t>焚烧系统</w:t>
            </w:r>
          </w:p>
        </w:tc>
        <w:tc>
          <w:tcPr>
            <w:tcW w:w="6571" w:type="dxa"/>
            <w:vAlign w:val="center"/>
          </w:tcPr>
          <w:p w14:paraId="52C5145D" w14:textId="77777777" w:rsidR="002E474C" w:rsidRDefault="00000000">
            <w:pPr>
              <w:pStyle w:val="A-"/>
            </w:pPr>
            <w:r>
              <w:t>依托现有</w:t>
            </w:r>
            <w:r>
              <w:t>3000t/d</w:t>
            </w:r>
            <w:r>
              <w:t>熟料新型干法水泥生产线处置</w:t>
            </w:r>
            <w:r>
              <w:t>10</w:t>
            </w:r>
            <w:r>
              <w:t>万</w:t>
            </w:r>
            <w:r>
              <w:t>t/a</w:t>
            </w:r>
            <w:r>
              <w:t>危险废物，熟料烧成系统：烧成窑尾（五级旋风预热器和在线分解炉）、烧成窑中（回转窑）、烧成窑头（篦式冷却机）。</w:t>
            </w:r>
          </w:p>
        </w:tc>
      </w:tr>
      <w:tr w:rsidR="002E474C" w14:paraId="6C556AE0" w14:textId="77777777">
        <w:tc>
          <w:tcPr>
            <w:tcW w:w="675" w:type="dxa"/>
            <w:vMerge w:val="restart"/>
            <w:vAlign w:val="center"/>
          </w:tcPr>
          <w:p w14:paraId="56FCDBDF" w14:textId="77777777" w:rsidR="002E474C" w:rsidRDefault="00000000">
            <w:pPr>
              <w:pStyle w:val="A-"/>
            </w:pPr>
            <w:r>
              <w:t>配套工程</w:t>
            </w:r>
          </w:p>
        </w:tc>
        <w:tc>
          <w:tcPr>
            <w:tcW w:w="1276" w:type="dxa"/>
            <w:gridSpan w:val="2"/>
            <w:vAlign w:val="center"/>
          </w:tcPr>
          <w:p w14:paraId="3D8BEA08" w14:textId="77777777" w:rsidR="002E474C" w:rsidRDefault="00000000">
            <w:pPr>
              <w:pStyle w:val="A-"/>
            </w:pPr>
            <w:r>
              <w:t>入场检验</w:t>
            </w:r>
          </w:p>
          <w:p w14:paraId="3B9DFD96" w14:textId="77777777" w:rsidR="002E474C" w:rsidRDefault="00000000">
            <w:pPr>
              <w:pStyle w:val="A-"/>
            </w:pPr>
            <w:r>
              <w:t>分析系统</w:t>
            </w:r>
          </w:p>
        </w:tc>
        <w:tc>
          <w:tcPr>
            <w:tcW w:w="6571" w:type="dxa"/>
            <w:vAlign w:val="center"/>
          </w:tcPr>
          <w:p w14:paraId="371644AD" w14:textId="77777777" w:rsidR="002E474C" w:rsidRDefault="00000000">
            <w:pPr>
              <w:pStyle w:val="A-"/>
            </w:pPr>
            <w:r>
              <w:t>电子汽车衡、厂区实验室、贮存车间。</w:t>
            </w:r>
          </w:p>
        </w:tc>
      </w:tr>
      <w:tr w:rsidR="002E474C" w14:paraId="593AF4E2" w14:textId="77777777">
        <w:tc>
          <w:tcPr>
            <w:tcW w:w="675" w:type="dxa"/>
            <w:vMerge/>
            <w:vAlign w:val="center"/>
          </w:tcPr>
          <w:p w14:paraId="23F1FEE6" w14:textId="77777777" w:rsidR="002E474C" w:rsidRDefault="002E474C">
            <w:pPr>
              <w:pStyle w:val="A-"/>
            </w:pPr>
          </w:p>
        </w:tc>
        <w:tc>
          <w:tcPr>
            <w:tcW w:w="1276" w:type="dxa"/>
            <w:gridSpan w:val="2"/>
            <w:vAlign w:val="center"/>
          </w:tcPr>
          <w:p w14:paraId="15CC8A36" w14:textId="77777777" w:rsidR="002E474C" w:rsidRDefault="00000000">
            <w:pPr>
              <w:pStyle w:val="A-"/>
            </w:pPr>
            <w:r>
              <w:t>车辆清洗</w:t>
            </w:r>
          </w:p>
          <w:p w14:paraId="62DEE61F" w14:textId="77777777" w:rsidR="002E474C" w:rsidRDefault="00000000">
            <w:pPr>
              <w:pStyle w:val="A-"/>
            </w:pPr>
            <w:r>
              <w:t>设施</w:t>
            </w:r>
          </w:p>
        </w:tc>
        <w:tc>
          <w:tcPr>
            <w:tcW w:w="6571" w:type="dxa"/>
            <w:vAlign w:val="center"/>
          </w:tcPr>
          <w:p w14:paraId="1C2F2F6C" w14:textId="77777777" w:rsidR="002E474C" w:rsidRDefault="00000000">
            <w:pPr>
              <w:pStyle w:val="A-"/>
            </w:pPr>
            <w:r>
              <w:t>设置清洗车间</w:t>
            </w:r>
            <w:r>
              <w:t>1</w:t>
            </w:r>
            <w:r>
              <w:t>座，建筑面积：</w:t>
            </w:r>
            <w:r>
              <w:t>216m²</w:t>
            </w:r>
            <w:r>
              <w:t>。</w:t>
            </w:r>
          </w:p>
        </w:tc>
      </w:tr>
      <w:tr w:rsidR="002E474C" w14:paraId="14AC9551" w14:textId="77777777">
        <w:tc>
          <w:tcPr>
            <w:tcW w:w="675" w:type="dxa"/>
            <w:vMerge/>
            <w:vAlign w:val="center"/>
          </w:tcPr>
          <w:p w14:paraId="2FE2A552" w14:textId="77777777" w:rsidR="002E474C" w:rsidRDefault="002E474C">
            <w:pPr>
              <w:pStyle w:val="A-"/>
            </w:pPr>
          </w:p>
        </w:tc>
        <w:tc>
          <w:tcPr>
            <w:tcW w:w="1276" w:type="dxa"/>
            <w:gridSpan w:val="2"/>
            <w:vAlign w:val="center"/>
          </w:tcPr>
          <w:p w14:paraId="24ED112F" w14:textId="77777777" w:rsidR="002E474C" w:rsidRDefault="00000000">
            <w:pPr>
              <w:pStyle w:val="A-"/>
            </w:pPr>
            <w:r>
              <w:t>预处理系统</w:t>
            </w:r>
          </w:p>
        </w:tc>
        <w:tc>
          <w:tcPr>
            <w:tcW w:w="6571" w:type="dxa"/>
            <w:vAlign w:val="center"/>
          </w:tcPr>
          <w:p w14:paraId="35B8FC1C" w14:textId="77777777" w:rsidR="002E474C" w:rsidRDefault="00000000">
            <w:pPr>
              <w:pStyle w:val="A-"/>
            </w:pPr>
            <w:r>
              <w:t>建设固态半固态危废</w:t>
            </w:r>
            <w:r>
              <w:rPr>
                <w:rFonts w:hint="eastAsia"/>
              </w:rPr>
              <w:t>预处理车间</w:t>
            </w:r>
            <w:r>
              <w:t>建筑面积</w:t>
            </w:r>
            <w:r>
              <w:t>1500m²</w:t>
            </w:r>
            <w:r>
              <w:t>，包含固态废物预处理系统和半固态废物预处理系统；液态危废预处理</w:t>
            </w:r>
            <w:r>
              <w:rPr>
                <w:rFonts w:hint="eastAsia"/>
              </w:rPr>
              <w:t>车间</w:t>
            </w:r>
            <w:r>
              <w:t>建筑面积：</w:t>
            </w:r>
            <w:r>
              <w:t>513m²</w:t>
            </w:r>
            <w:r>
              <w:t>，设置</w:t>
            </w:r>
            <w:r>
              <w:t>4</w:t>
            </w:r>
            <w:r>
              <w:t>套储存罐配伍系统。</w:t>
            </w:r>
          </w:p>
        </w:tc>
      </w:tr>
      <w:tr w:rsidR="002E474C" w14:paraId="4DA754DD" w14:textId="77777777">
        <w:tc>
          <w:tcPr>
            <w:tcW w:w="675" w:type="dxa"/>
            <w:vMerge/>
            <w:vAlign w:val="center"/>
          </w:tcPr>
          <w:p w14:paraId="3BE9016B" w14:textId="77777777" w:rsidR="002E474C" w:rsidRDefault="002E474C">
            <w:pPr>
              <w:pStyle w:val="A-"/>
            </w:pPr>
          </w:p>
        </w:tc>
        <w:tc>
          <w:tcPr>
            <w:tcW w:w="1276" w:type="dxa"/>
            <w:gridSpan w:val="2"/>
            <w:vMerge w:val="restart"/>
            <w:vAlign w:val="center"/>
          </w:tcPr>
          <w:p w14:paraId="74E83A2A" w14:textId="77777777" w:rsidR="002E474C" w:rsidRDefault="00000000">
            <w:pPr>
              <w:pStyle w:val="A-"/>
            </w:pPr>
            <w:r>
              <w:t>投料系统</w:t>
            </w:r>
          </w:p>
        </w:tc>
        <w:tc>
          <w:tcPr>
            <w:tcW w:w="6571" w:type="dxa"/>
            <w:vAlign w:val="center"/>
          </w:tcPr>
          <w:p w14:paraId="0C0C445D" w14:textId="77777777" w:rsidR="002E474C" w:rsidRDefault="00000000">
            <w:pPr>
              <w:pStyle w:val="A-"/>
            </w:pPr>
            <w:r>
              <w:t>固态危险废物：预处理后的物料经大倾角皮带机、喂料皮带秤及喂料锁风装置送入分解炉高温焚烧处置。</w:t>
            </w:r>
          </w:p>
        </w:tc>
      </w:tr>
      <w:tr w:rsidR="002E474C" w14:paraId="57D39597" w14:textId="77777777">
        <w:tc>
          <w:tcPr>
            <w:tcW w:w="675" w:type="dxa"/>
            <w:vMerge/>
            <w:vAlign w:val="center"/>
          </w:tcPr>
          <w:p w14:paraId="276F7B27" w14:textId="77777777" w:rsidR="002E474C" w:rsidRDefault="002E474C">
            <w:pPr>
              <w:pStyle w:val="A-"/>
            </w:pPr>
          </w:p>
        </w:tc>
        <w:tc>
          <w:tcPr>
            <w:tcW w:w="1276" w:type="dxa"/>
            <w:gridSpan w:val="2"/>
            <w:vMerge/>
            <w:vAlign w:val="center"/>
          </w:tcPr>
          <w:p w14:paraId="7AD44AFA" w14:textId="77777777" w:rsidR="002E474C" w:rsidRDefault="002E474C">
            <w:pPr>
              <w:pStyle w:val="A-"/>
            </w:pPr>
          </w:p>
        </w:tc>
        <w:tc>
          <w:tcPr>
            <w:tcW w:w="6571" w:type="dxa"/>
            <w:vAlign w:val="center"/>
          </w:tcPr>
          <w:p w14:paraId="3D4D416C" w14:textId="77777777" w:rsidR="002E474C" w:rsidRDefault="00000000">
            <w:pPr>
              <w:pStyle w:val="A-"/>
            </w:pPr>
            <w:r>
              <w:t>半固态危险废物：半固态危废由</w:t>
            </w:r>
            <w:r>
              <w:t>SMP</w:t>
            </w:r>
            <w:r>
              <w:t>系统预处理，经螺旋输送机喂入柱塞泵将半固态危废输送至窑尾分解炉内高温处置。</w:t>
            </w:r>
          </w:p>
        </w:tc>
      </w:tr>
      <w:tr w:rsidR="002E474C" w14:paraId="5D9A53E6" w14:textId="77777777">
        <w:tc>
          <w:tcPr>
            <w:tcW w:w="675" w:type="dxa"/>
            <w:vMerge/>
            <w:vAlign w:val="center"/>
          </w:tcPr>
          <w:p w14:paraId="6B1E9506" w14:textId="77777777" w:rsidR="002E474C" w:rsidRDefault="002E474C">
            <w:pPr>
              <w:pStyle w:val="A-"/>
            </w:pPr>
          </w:p>
        </w:tc>
        <w:tc>
          <w:tcPr>
            <w:tcW w:w="1276" w:type="dxa"/>
            <w:gridSpan w:val="2"/>
            <w:vMerge/>
            <w:vAlign w:val="center"/>
          </w:tcPr>
          <w:p w14:paraId="0F47F8D9" w14:textId="77777777" w:rsidR="002E474C" w:rsidRDefault="002E474C">
            <w:pPr>
              <w:pStyle w:val="A-"/>
            </w:pPr>
          </w:p>
        </w:tc>
        <w:tc>
          <w:tcPr>
            <w:tcW w:w="6571" w:type="dxa"/>
            <w:vAlign w:val="center"/>
          </w:tcPr>
          <w:p w14:paraId="57226570" w14:textId="77777777" w:rsidR="002E474C" w:rsidRDefault="00000000">
            <w:pPr>
              <w:pStyle w:val="A-"/>
            </w:pPr>
            <w:r>
              <w:t>纯无机类（不挥发）危废投料系统、应急处置系统：计量后的无机废物经提升机和皮带机输送至水泥厂原有生产系统生料配料站配料皮带上，通过生料粉磨系统最终入窑焚烧处置。针对化学试剂、剧毒类等小包装物类废物，因其不具备预处理条件，通过窑尾提升装置和窑尾投料装置直接投入窑尾烟室入窑焚烧处置。</w:t>
            </w:r>
          </w:p>
        </w:tc>
      </w:tr>
      <w:tr w:rsidR="002E474C" w14:paraId="207205C3" w14:textId="77777777">
        <w:tc>
          <w:tcPr>
            <w:tcW w:w="675" w:type="dxa"/>
            <w:vMerge/>
            <w:vAlign w:val="center"/>
          </w:tcPr>
          <w:p w14:paraId="04919312" w14:textId="77777777" w:rsidR="002E474C" w:rsidRDefault="002E474C">
            <w:pPr>
              <w:pStyle w:val="A-"/>
            </w:pPr>
          </w:p>
        </w:tc>
        <w:tc>
          <w:tcPr>
            <w:tcW w:w="1276" w:type="dxa"/>
            <w:gridSpan w:val="2"/>
            <w:vMerge/>
            <w:vAlign w:val="center"/>
          </w:tcPr>
          <w:p w14:paraId="5FC3DE52" w14:textId="77777777" w:rsidR="002E474C" w:rsidRDefault="002E474C">
            <w:pPr>
              <w:pStyle w:val="A-"/>
            </w:pPr>
          </w:p>
        </w:tc>
        <w:tc>
          <w:tcPr>
            <w:tcW w:w="6571" w:type="dxa"/>
            <w:vAlign w:val="center"/>
          </w:tcPr>
          <w:p w14:paraId="7834E63F" w14:textId="77777777" w:rsidR="002E474C" w:rsidRDefault="00000000">
            <w:pPr>
              <w:pStyle w:val="A-"/>
            </w:pPr>
            <w:r>
              <w:t>液态危险废物：经过预处理的液态危险废物由输送泵喷枪射入水泥窑窑头主燃烧器、窑尾分解炉内进行焚烧。</w:t>
            </w:r>
          </w:p>
        </w:tc>
      </w:tr>
      <w:tr w:rsidR="002E474C" w14:paraId="5E6C756D" w14:textId="77777777">
        <w:tc>
          <w:tcPr>
            <w:tcW w:w="675" w:type="dxa"/>
            <w:vAlign w:val="center"/>
          </w:tcPr>
          <w:p w14:paraId="41EDD197" w14:textId="77777777" w:rsidR="002E474C" w:rsidRDefault="00000000">
            <w:pPr>
              <w:pStyle w:val="A-"/>
            </w:pPr>
            <w:r>
              <w:rPr>
                <w:rFonts w:hint="eastAsia"/>
              </w:rPr>
              <w:lastRenderedPageBreak/>
              <w:t>储运工程</w:t>
            </w:r>
          </w:p>
        </w:tc>
        <w:tc>
          <w:tcPr>
            <w:tcW w:w="1276" w:type="dxa"/>
            <w:gridSpan w:val="2"/>
            <w:vAlign w:val="center"/>
          </w:tcPr>
          <w:p w14:paraId="49E44C92" w14:textId="77777777" w:rsidR="002E474C" w:rsidRDefault="00000000">
            <w:pPr>
              <w:pStyle w:val="A-"/>
            </w:pPr>
            <w:r>
              <w:t>危废联合</w:t>
            </w:r>
          </w:p>
          <w:p w14:paraId="5B8E63B9" w14:textId="77777777" w:rsidR="002E474C" w:rsidRDefault="00000000">
            <w:pPr>
              <w:pStyle w:val="A-"/>
            </w:pPr>
            <w:r>
              <w:t>贮存库</w:t>
            </w:r>
          </w:p>
        </w:tc>
        <w:tc>
          <w:tcPr>
            <w:tcW w:w="6571" w:type="dxa"/>
            <w:vAlign w:val="center"/>
          </w:tcPr>
          <w:p w14:paraId="00949032" w14:textId="77777777" w:rsidR="002E474C" w:rsidRDefault="00000000">
            <w:pPr>
              <w:pStyle w:val="A-"/>
            </w:pPr>
            <w:r>
              <w:rPr>
                <w:spacing w:val="-6"/>
              </w:rPr>
              <w:t>建设联合贮存库房</w:t>
            </w:r>
            <w:r>
              <w:rPr>
                <w:spacing w:val="-6"/>
              </w:rPr>
              <w:t>13</w:t>
            </w:r>
            <w:r>
              <w:rPr>
                <w:spacing w:val="-6"/>
              </w:rPr>
              <w:t>个，贮存面积</w:t>
            </w:r>
            <w:r>
              <w:rPr>
                <w:spacing w:val="-6"/>
              </w:rPr>
              <w:t>6012m²</w:t>
            </w:r>
            <w:r>
              <w:rPr>
                <w:spacing w:val="-6"/>
              </w:rPr>
              <w:t>，储存规模</w:t>
            </w:r>
            <w:r>
              <w:rPr>
                <w:spacing w:val="-6"/>
              </w:rPr>
              <w:t>6012t</w:t>
            </w:r>
            <w:r>
              <w:rPr>
                <w:spacing w:val="-6"/>
              </w:rPr>
              <w:t>；清洗物品贮存库</w:t>
            </w:r>
            <w:r>
              <w:rPr>
                <w:spacing w:val="-6"/>
              </w:rPr>
              <w:t>1</w:t>
            </w:r>
            <w:r>
              <w:rPr>
                <w:spacing w:val="-6"/>
              </w:rPr>
              <w:t>个，贮存面积</w:t>
            </w:r>
            <w:r>
              <w:rPr>
                <w:spacing w:val="-6"/>
              </w:rPr>
              <w:t>216m²</w:t>
            </w:r>
            <w:r>
              <w:rPr>
                <w:spacing w:val="-6"/>
              </w:rPr>
              <w:t>，储存规模</w:t>
            </w:r>
            <w:r>
              <w:rPr>
                <w:spacing w:val="-6"/>
              </w:rPr>
              <w:t>216t</w:t>
            </w:r>
            <w:r>
              <w:rPr>
                <w:spacing w:val="-6"/>
              </w:rPr>
              <w:t>；废液罐</w:t>
            </w:r>
            <w:r>
              <w:rPr>
                <w:spacing w:val="-6"/>
              </w:rPr>
              <w:t>4</w:t>
            </w:r>
            <w:r>
              <w:rPr>
                <w:spacing w:val="-6"/>
              </w:rPr>
              <w:t>个，储存规模</w:t>
            </w:r>
            <w:r>
              <w:rPr>
                <w:spacing w:val="-6"/>
              </w:rPr>
              <w:t>140t</w:t>
            </w:r>
            <w:r>
              <w:rPr>
                <w:spacing w:val="-6"/>
              </w:rPr>
              <w:t>；固态半固态危废</w:t>
            </w:r>
            <w:r>
              <w:rPr>
                <w:rFonts w:hint="eastAsia"/>
                <w:spacing w:val="-6"/>
              </w:rPr>
              <w:t>预处理车间</w:t>
            </w:r>
            <w:r>
              <w:rPr>
                <w:spacing w:val="-6"/>
              </w:rPr>
              <w:t>危废贮存区域，贮存面积</w:t>
            </w:r>
            <w:r>
              <w:rPr>
                <w:spacing w:val="-6"/>
              </w:rPr>
              <w:t>660m²</w:t>
            </w:r>
            <w:r>
              <w:rPr>
                <w:spacing w:val="-6"/>
              </w:rPr>
              <w:t>，储存规模</w:t>
            </w:r>
            <w:r>
              <w:rPr>
                <w:spacing w:val="-6"/>
              </w:rPr>
              <w:t>2400t</w:t>
            </w:r>
            <w:r>
              <w:rPr>
                <w:spacing w:val="-6"/>
              </w:rPr>
              <w:t>。</w:t>
            </w:r>
          </w:p>
        </w:tc>
      </w:tr>
      <w:tr w:rsidR="002E474C" w14:paraId="5F52B150" w14:textId="77777777">
        <w:tc>
          <w:tcPr>
            <w:tcW w:w="675" w:type="dxa"/>
            <w:vMerge w:val="restart"/>
            <w:vAlign w:val="center"/>
          </w:tcPr>
          <w:p w14:paraId="5153BB84" w14:textId="77777777" w:rsidR="002E474C" w:rsidRDefault="00000000">
            <w:pPr>
              <w:pStyle w:val="A-"/>
            </w:pPr>
            <w:r>
              <w:t>公用及辅助工程</w:t>
            </w:r>
          </w:p>
        </w:tc>
        <w:tc>
          <w:tcPr>
            <w:tcW w:w="1276" w:type="dxa"/>
            <w:gridSpan w:val="2"/>
            <w:vAlign w:val="center"/>
          </w:tcPr>
          <w:p w14:paraId="144DA134" w14:textId="77777777" w:rsidR="002E474C" w:rsidRDefault="00000000">
            <w:pPr>
              <w:pStyle w:val="A-"/>
            </w:pPr>
            <w:r>
              <w:t>办公区</w:t>
            </w:r>
          </w:p>
        </w:tc>
        <w:tc>
          <w:tcPr>
            <w:tcW w:w="6571" w:type="dxa"/>
            <w:vAlign w:val="center"/>
          </w:tcPr>
          <w:p w14:paraId="012E111A" w14:textId="77777777" w:rsidR="002E474C" w:rsidRDefault="00000000">
            <w:pPr>
              <w:pStyle w:val="A-"/>
            </w:pPr>
            <w:r>
              <w:rPr>
                <w:spacing w:val="-6"/>
              </w:rPr>
              <w:t>生产办公区设置在预处理车间楼内，行政办公区利用水泥厂现有办公楼。</w:t>
            </w:r>
          </w:p>
        </w:tc>
      </w:tr>
      <w:tr w:rsidR="002E474C" w14:paraId="5D57DE2B" w14:textId="77777777">
        <w:tc>
          <w:tcPr>
            <w:tcW w:w="675" w:type="dxa"/>
            <w:vMerge/>
            <w:vAlign w:val="center"/>
          </w:tcPr>
          <w:p w14:paraId="026943FA" w14:textId="77777777" w:rsidR="002E474C" w:rsidRDefault="002E474C">
            <w:pPr>
              <w:pStyle w:val="A-"/>
            </w:pPr>
          </w:p>
        </w:tc>
        <w:tc>
          <w:tcPr>
            <w:tcW w:w="1276" w:type="dxa"/>
            <w:gridSpan w:val="2"/>
            <w:vAlign w:val="center"/>
          </w:tcPr>
          <w:p w14:paraId="1B617AB4" w14:textId="77777777" w:rsidR="002E474C" w:rsidRDefault="00000000">
            <w:pPr>
              <w:pStyle w:val="A-"/>
            </w:pPr>
            <w:r>
              <w:t>供电工程</w:t>
            </w:r>
          </w:p>
        </w:tc>
        <w:tc>
          <w:tcPr>
            <w:tcW w:w="6571" w:type="dxa"/>
            <w:vAlign w:val="center"/>
          </w:tcPr>
          <w:p w14:paraId="05AD1DAB" w14:textId="77777777" w:rsidR="002E474C" w:rsidRDefault="00000000">
            <w:pPr>
              <w:pStyle w:val="A-"/>
            </w:pPr>
            <w:r>
              <w:t>供电电源来自现有水泥厂的</w:t>
            </w:r>
            <w:r>
              <w:t>10kV</w:t>
            </w:r>
            <w:r>
              <w:t>侧的不同母线段，变电站增加</w:t>
            </w:r>
            <w:r>
              <w:t>1</w:t>
            </w:r>
            <w:r>
              <w:t>台</w:t>
            </w:r>
            <w:r>
              <w:t>10/0.4kV2500kVA</w:t>
            </w:r>
            <w:r>
              <w:t>变压器，为用电设备提供电源。年用电量为</w:t>
            </w:r>
            <w:r>
              <w:t>616×10</w:t>
            </w:r>
            <w:r>
              <w:rPr>
                <w:vertAlign w:val="superscript"/>
              </w:rPr>
              <w:t>4</w:t>
            </w:r>
            <w:r>
              <w:t>kWh</w:t>
            </w:r>
            <w:r>
              <w:t>。</w:t>
            </w:r>
          </w:p>
        </w:tc>
      </w:tr>
      <w:tr w:rsidR="002E474C" w14:paraId="071507B0" w14:textId="77777777">
        <w:tc>
          <w:tcPr>
            <w:tcW w:w="675" w:type="dxa"/>
            <w:vMerge/>
            <w:vAlign w:val="center"/>
          </w:tcPr>
          <w:p w14:paraId="0EF3088B" w14:textId="77777777" w:rsidR="002E474C" w:rsidRDefault="002E474C">
            <w:pPr>
              <w:pStyle w:val="A-"/>
            </w:pPr>
          </w:p>
        </w:tc>
        <w:tc>
          <w:tcPr>
            <w:tcW w:w="1276" w:type="dxa"/>
            <w:gridSpan w:val="2"/>
            <w:vAlign w:val="center"/>
          </w:tcPr>
          <w:p w14:paraId="1C9B65B6" w14:textId="77777777" w:rsidR="002E474C" w:rsidRDefault="00000000">
            <w:pPr>
              <w:pStyle w:val="A-"/>
            </w:pPr>
            <w:r>
              <w:t>自动控制</w:t>
            </w:r>
          </w:p>
          <w:p w14:paraId="1099A6DA" w14:textId="77777777" w:rsidR="002E474C" w:rsidRDefault="00000000">
            <w:pPr>
              <w:pStyle w:val="A-"/>
            </w:pPr>
            <w:r>
              <w:t>系统</w:t>
            </w:r>
          </w:p>
        </w:tc>
        <w:tc>
          <w:tcPr>
            <w:tcW w:w="6571" w:type="dxa"/>
            <w:vAlign w:val="center"/>
          </w:tcPr>
          <w:p w14:paraId="71A2A15B" w14:textId="77777777" w:rsidR="002E474C" w:rsidRDefault="00000000">
            <w:pPr>
              <w:pStyle w:val="A-"/>
            </w:pPr>
            <w:r>
              <w:t>从预处理、计量到喂料全过程，独立系统，并入依托工程中控系统。</w:t>
            </w:r>
          </w:p>
        </w:tc>
      </w:tr>
      <w:tr w:rsidR="002E474C" w14:paraId="5FA6F991" w14:textId="77777777">
        <w:tc>
          <w:tcPr>
            <w:tcW w:w="675" w:type="dxa"/>
            <w:vMerge/>
            <w:vAlign w:val="center"/>
          </w:tcPr>
          <w:p w14:paraId="4CD4A681" w14:textId="77777777" w:rsidR="002E474C" w:rsidRDefault="002E474C">
            <w:pPr>
              <w:pStyle w:val="A-"/>
            </w:pPr>
          </w:p>
        </w:tc>
        <w:tc>
          <w:tcPr>
            <w:tcW w:w="1276" w:type="dxa"/>
            <w:gridSpan w:val="2"/>
            <w:vAlign w:val="center"/>
          </w:tcPr>
          <w:p w14:paraId="15048C37" w14:textId="77777777" w:rsidR="002E474C" w:rsidRDefault="00000000">
            <w:pPr>
              <w:pStyle w:val="A-"/>
            </w:pPr>
            <w:r>
              <w:t>供热工程</w:t>
            </w:r>
          </w:p>
        </w:tc>
        <w:tc>
          <w:tcPr>
            <w:tcW w:w="6571" w:type="dxa"/>
            <w:vAlign w:val="center"/>
          </w:tcPr>
          <w:p w14:paraId="6A83DC4A" w14:textId="77777777" w:rsidR="002E474C" w:rsidRDefault="00000000">
            <w:pPr>
              <w:pStyle w:val="A-"/>
            </w:pPr>
            <w:r>
              <w:t>依托</w:t>
            </w:r>
            <w:r>
              <w:rPr>
                <w:rFonts w:hint="eastAsia"/>
              </w:rPr>
              <w:t>现有</w:t>
            </w:r>
            <w:r>
              <w:t>供热锅炉供热，建设供热</w:t>
            </w:r>
            <w:r>
              <w:rPr>
                <w:rFonts w:hint="eastAsia"/>
              </w:rPr>
              <w:t>管网</w:t>
            </w:r>
            <w:r>
              <w:t>。</w:t>
            </w:r>
          </w:p>
        </w:tc>
      </w:tr>
      <w:tr w:rsidR="002E474C" w14:paraId="1DE0D5CC" w14:textId="77777777">
        <w:tc>
          <w:tcPr>
            <w:tcW w:w="675" w:type="dxa"/>
            <w:vMerge/>
            <w:vAlign w:val="center"/>
          </w:tcPr>
          <w:p w14:paraId="23C12517" w14:textId="77777777" w:rsidR="002E474C" w:rsidRDefault="002E474C">
            <w:pPr>
              <w:pStyle w:val="A-"/>
            </w:pPr>
          </w:p>
        </w:tc>
        <w:tc>
          <w:tcPr>
            <w:tcW w:w="1276" w:type="dxa"/>
            <w:gridSpan w:val="2"/>
            <w:vAlign w:val="center"/>
          </w:tcPr>
          <w:p w14:paraId="43B8AF08" w14:textId="77777777" w:rsidR="002E474C" w:rsidRDefault="00000000">
            <w:pPr>
              <w:pStyle w:val="A-"/>
            </w:pPr>
            <w:r>
              <w:t>收运系统</w:t>
            </w:r>
          </w:p>
        </w:tc>
        <w:tc>
          <w:tcPr>
            <w:tcW w:w="6571" w:type="dxa"/>
            <w:vAlign w:val="center"/>
          </w:tcPr>
          <w:p w14:paraId="1F1FB148" w14:textId="77777777" w:rsidR="002E474C" w:rsidRDefault="00000000">
            <w:pPr>
              <w:pStyle w:val="A-"/>
            </w:pPr>
            <w:r>
              <w:t>委托有资质单位运输危险废。</w:t>
            </w:r>
          </w:p>
        </w:tc>
      </w:tr>
      <w:tr w:rsidR="002E474C" w14:paraId="273E44F0" w14:textId="77777777">
        <w:tc>
          <w:tcPr>
            <w:tcW w:w="675" w:type="dxa"/>
            <w:vMerge/>
            <w:vAlign w:val="center"/>
          </w:tcPr>
          <w:p w14:paraId="5576C741" w14:textId="77777777" w:rsidR="002E474C" w:rsidRDefault="002E474C">
            <w:pPr>
              <w:pStyle w:val="A-"/>
            </w:pPr>
          </w:p>
        </w:tc>
        <w:tc>
          <w:tcPr>
            <w:tcW w:w="1276" w:type="dxa"/>
            <w:gridSpan w:val="2"/>
            <w:vAlign w:val="center"/>
          </w:tcPr>
          <w:p w14:paraId="48C6E1C7" w14:textId="77777777" w:rsidR="002E474C" w:rsidRDefault="00000000">
            <w:pPr>
              <w:pStyle w:val="A-"/>
            </w:pPr>
            <w:r>
              <w:t>分析化验室</w:t>
            </w:r>
          </w:p>
        </w:tc>
        <w:tc>
          <w:tcPr>
            <w:tcW w:w="6571" w:type="dxa"/>
            <w:vAlign w:val="center"/>
          </w:tcPr>
          <w:p w14:paraId="10D06EFB" w14:textId="77777777" w:rsidR="002E474C" w:rsidRDefault="00000000">
            <w:pPr>
              <w:pStyle w:val="A-"/>
            </w:pPr>
            <w:r>
              <w:t>建设一座危险废物分析化验室，设置必要的废物分析化验设备。</w:t>
            </w:r>
          </w:p>
        </w:tc>
      </w:tr>
      <w:tr w:rsidR="002E474C" w14:paraId="5C95789D" w14:textId="77777777">
        <w:tc>
          <w:tcPr>
            <w:tcW w:w="675" w:type="dxa"/>
            <w:vMerge w:val="restart"/>
            <w:vAlign w:val="center"/>
          </w:tcPr>
          <w:p w14:paraId="1AE7760B" w14:textId="77777777" w:rsidR="002E474C" w:rsidRDefault="00000000">
            <w:pPr>
              <w:pStyle w:val="A-"/>
            </w:pPr>
            <w:r>
              <w:t>环保工程</w:t>
            </w:r>
          </w:p>
        </w:tc>
        <w:tc>
          <w:tcPr>
            <w:tcW w:w="352" w:type="dxa"/>
            <w:vMerge w:val="restart"/>
            <w:vAlign w:val="center"/>
          </w:tcPr>
          <w:p w14:paraId="3CA84915" w14:textId="77777777" w:rsidR="002E474C" w:rsidRDefault="00000000">
            <w:pPr>
              <w:pStyle w:val="A-"/>
            </w:pPr>
            <w:r>
              <w:t>废气治理</w:t>
            </w:r>
          </w:p>
        </w:tc>
        <w:tc>
          <w:tcPr>
            <w:tcW w:w="924" w:type="dxa"/>
            <w:vAlign w:val="center"/>
          </w:tcPr>
          <w:p w14:paraId="1F08703D" w14:textId="77777777" w:rsidR="002E474C" w:rsidRDefault="00000000">
            <w:pPr>
              <w:pStyle w:val="A-"/>
            </w:pPr>
            <w:r>
              <w:t>窑尾</w:t>
            </w:r>
          </w:p>
        </w:tc>
        <w:tc>
          <w:tcPr>
            <w:tcW w:w="6571" w:type="dxa"/>
            <w:vAlign w:val="center"/>
          </w:tcPr>
          <w:p w14:paraId="21C6A430" w14:textId="77777777" w:rsidR="002E474C" w:rsidRDefault="00000000">
            <w:pPr>
              <w:pStyle w:val="A-"/>
            </w:pPr>
            <w:r>
              <w:rPr>
                <w:rFonts w:hint="eastAsia"/>
              </w:rPr>
              <w:t>窑尾</w:t>
            </w:r>
            <w:r>
              <w:t>烟气采用</w:t>
            </w:r>
            <w:r>
              <w:rPr>
                <w:rFonts w:hint="eastAsia"/>
              </w:rPr>
              <w:t>“</w:t>
            </w:r>
            <w:r>
              <w:t>SNCR+</w:t>
            </w:r>
            <w:r>
              <w:t>布袋除尘</w:t>
            </w:r>
            <w:r>
              <w:t>+</w:t>
            </w:r>
            <w:r>
              <w:t>增湿塔</w:t>
            </w:r>
            <w:r>
              <w:rPr>
                <w:rFonts w:hint="eastAsia"/>
              </w:rPr>
              <w:t>”</w:t>
            </w:r>
            <w:r>
              <w:t>净化后通过</w:t>
            </w:r>
            <w:r>
              <w:t>100m</w:t>
            </w:r>
            <w:r>
              <w:t>烟囱</w:t>
            </w:r>
            <w:r>
              <w:rPr>
                <w:rFonts w:hint="eastAsia"/>
              </w:rPr>
              <w:t>DA002</w:t>
            </w:r>
            <w:r>
              <w:t>排放，已安装烟气在线监测。</w:t>
            </w:r>
          </w:p>
        </w:tc>
      </w:tr>
      <w:tr w:rsidR="002E474C" w14:paraId="28ABB6AA" w14:textId="77777777">
        <w:tc>
          <w:tcPr>
            <w:tcW w:w="675" w:type="dxa"/>
            <w:vMerge/>
            <w:vAlign w:val="center"/>
          </w:tcPr>
          <w:p w14:paraId="777E9071" w14:textId="77777777" w:rsidR="002E474C" w:rsidRDefault="002E474C">
            <w:pPr>
              <w:pStyle w:val="A-"/>
            </w:pPr>
          </w:p>
        </w:tc>
        <w:tc>
          <w:tcPr>
            <w:tcW w:w="352" w:type="dxa"/>
            <w:vMerge/>
            <w:vAlign w:val="center"/>
          </w:tcPr>
          <w:p w14:paraId="4D782C5F" w14:textId="77777777" w:rsidR="002E474C" w:rsidRDefault="002E474C">
            <w:pPr>
              <w:pStyle w:val="A-"/>
            </w:pPr>
          </w:p>
        </w:tc>
        <w:tc>
          <w:tcPr>
            <w:tcW w:w="924" w:type="dxa"/>
            <w:vAlign w:val="center"/>
          </w:tcPr>
          <w:p w14:paraId="164B12F4" w14:textId="77777777" w:rsidR="002E474C" w:rsidRDefault="00000000">
            <w:pPr>
              <w:pStyle w:val="A-"/>
            </w:pPr>
            <w:r>
              <w:t>旁路放风系统</w:t>
            </w:r>
          </w:p>
        </w:tc>
        <w:tc>
          <w:tcPr>
            <w:tcW w:w="6571" w:type="dxa"/>
            <w:vAlign w:val="center"/>
          </w:tcPr>
          <w:p w14:paraId="5922D755" w14:textId="77777777" w:rsidR="002E474C" w:rsidRDefault="00000000">
            <w:pPr>
              <w:pStyle w:val="A-"/>
            </w:pPr>
            <w:r>
              <w:t>窑尾烟室的部分高温废气由旁路放风口抽出，经过袋式收尘器净化后排入窑尾烟囱，袋式收尘器收集下来的颗粒物转运至水泥磨系统。</w:t>
            </w:r>
          </w:p>
        </w:tc>
      </w:tr>
      <w:tr w:rsidR="002E474C" w14:paraId="483FDC2C" w14:textId="77777777">
        <w:tc>
          <w:tcPr>
            <w:tcW w:w="675" w:type="dxa"/>
            <w:vMerge/>
            <w:vAlign w:val="center"/>
          </w:tcPr>
          <w:p w14:paraId="5E8B68FB" w14:textId="77777777" w:rsidR="002E474C" w:rsidRDefault="002E474C">
            <w:pPr>
              <w:pStyle w:val="A-"/>
            </w:pPr>
          </w:p>
        </w:tc>
        <w:tc>
          <w:tcPr>
            <w:tcW w:w="352" w:type="dxa"/>
            <w:vMerge/>
            <w:vAlign w:val="center"/>
          </w:tcPr>
          <w:p w14:paraId="25473B21" w14:textId="77777777" w:rsidR="002E474C" w:rsidRDefault="002E474C">
            <w:pPr>
              <w:pStyle w:val="A-"/>
            </w:pPr>
          </w:p>
        </w:tc>
        <w:tc>
          <w:tcPr>
            <w:tcW w:w="924" w:type="dxa"/>
            <w:vAlign w:val="center"/>
          </w:tcPr>
          <w:p w14:paraId="38B42194" w14:textId="77777777" w:rsidR="002E474C" w:rsidRDefault="00000000">
            <w:pPr>
              <w:pStyle w:val="A-"/>
              <w:ind w:leftChars="-25" w:left="-53" w:rightChars="-25" w:right="-53"/>
              <w:rPr>
                <w:spacing w:val="-6"/>
              </w:rPr>
            </w:pPr>
            <w:r>
              <w:rPr>
                <w:spacing w:val="-6"/>
              </w:rPr>
              <w:t>危废预处理车间</w:t>
            </w:r>
          </w:p>
        </w:tc>
        <w:tc>
          <w:tcPr>
            <w:tcW w:w="6571" w:type="dxa"/>
            <w:vAlign w:val="center"/>
          </w:tcPr>
          <w:p w14:paraId="7178F445" w14:textId="77777777" w:rsidR="002E474C" w:rsidRDefault="00000000">
            <w:pPr>
              <w:pStyle w:val="A-"/>
            </w:pPr>
            <w:r>
              <w:t>正常工况废气入窑焚烧。停窑期间，针对破碎等工序产生的废气</w:t>
            </w:r>
            <w:r>
              <w:rPr>
                <w:rFonts w:hint="eastAsia"/>
              </w:rPr>
              <w:t>采用“</w:t>
            </w:r>
            <w:r>
              <w:t>布袋除尘器</w:t>
            </w:r>
            <w:r>
              <w:t>+</w:t>
            </w:r>
            <w:r>
              <w:t>活性炭吸附</w:t>
            </w:r>
            <w:r>
              <w:t>+</w:t>
            </w:r>
            <w:r>
              <w:t>等离子</w:t>
            </w:r>
            <w:r>
              <w:rPr>
                <w:rFonts w:hint="eastAsia"/>
              </w:rPr>
              <w:t>”处理后，经</w:t>
            </w:r>
            <w:r>
              <w:rPr>
                <w:rFonts w:hint="eastAsia"/>
              </w:rPr>
              <w:t>1#</w:t>
            </w:r>
            <w:r>
              <w:t>28m</w:t>
            </w:r>
            <w:r>
              <w:t>排气筒排放。</w:t>
            </w:r>
          </w:p>
        </w:tc>
      </w:tr>
      <w:tr w:rsidR="002E474C" w14:paraId="2D3DC9B6" w14:textId="77777777">
        <w:trPr>
          <w:trHeight w:val="792"/>
        </w:trPr>
        <w:tc>
          <w:tcPr>
            <w:tcW w:w="675" w:type="dxa"/>
            <w:vMerge/>
            <w:vAlign w:val="center"/>
          </w:tcPr>
          <w:p w14:paraId="54EE6D68" w14:textId="77777777" w:rsidR="002E474C" w:rsidRDefault="002E474C">
            <w:pPr>
              <w:pStyle w:val="A-"/>
            </w:pPr>
          </w:p>
        </w:tc>
        <w:tc>
          <w:tcPr>
            <w:tcW w:w="352" w:type="dxa"/>
            <w:vMerge/>
            <w:vAlign w:val="center"/>
          </w:tcPr>
          <w:p w14:paraId="59E81E6C" w14:textId="77777777" w:rsidR="002E474C" w:rsidRDefault="002E474C">
            <w:pPr>
              <w:pStyle w:val="A-"/>
            </w:pPr>
          </w:p>
        </w:tc>
        <w:tc>
          <w:tcPr>
            <w:tcW w:w="924" w:type="dxa"/>
            <w:vAlign w:val="center"/>
          </w:tcPr>
          <w:p w14:paraId="38E407CD" w14:textId="77777777" w:rsidR="002E474C" w:rsidRDefault="00000000">
            <w:pPr>
              <w:pStyle w:val="A-"/>
              <w:ind w:leftChars="-25" w:left="-53" w:rightChars="-25" w:right="-53"/>
              <w:rPr>
                <w:spacing w:val="-6"/>
              </w:rPr>
            </w:pPr>
            <w:r>
              <w:rPr>
                <w:spacing w:val="-6"/>
              </w:rPr>
              <w:t>危废联合贮存库</w:t>
            </w:r>
          </w:p>
        </w:tc>
        <w:tc>
          <w:tcPr>
            <w:tcW w:w="6571" w:type="dxa"/>
            <w:vAlign w:val="center"/>
          </w:tcPr>
          <w:p w14:paraId="1F0C12E6" w14:textId="77777777" w:rsidR="002E474C" w:rsidRDefault="00000000">
            <w:pPr>
              <w:pStyle w:val="A-"/>
            </w:pPr>
            <w:r>
              <w:t>正常工况废气入窑焚烧。停窑期间，废气均密闭收集后</w:t>
            </w:r>
            <w:r>
              <w:rPr>
                <w:rFonts w:hint="eastAsia"/>
              </w:rPr>
              <w:t>采用“</w:t>
            </w:r>
            <w:r>
              <w:t>等离子</w:t>
            </w:r>
            <w:r>
              <w:rPr>
                <w:rFonts w:hint="eastAsia"/>
              </w:rPr>
              <w:t>+</w:t>
            </w:r>
            <w:r>
              <w:t>活性炭吸附</w:t>
            </w:r>
            <w:r>
              <w:rPr>
                <w:rFonts w:hint="eastAsia"/>
              </w:rPr>
              <w:t>”处理后，</w:t>
            </w:r>
            <w:r>
              <w:t>从</w:t>
            </w:r>
            <w:r>
              <w:rPr>
                <w:rFonts w:hint="eastAsia"/>
              </w:rPr>
              <w:t>2#</w:t>
            </w:r>
            <w:r>
              <w:t>15m</w:t>
            </w:r>
            <w:r>
              <w:t>排气筒排放。</w:t>
            </w:r>
          </w:p>
        </w:tc>
      </w:tr>
      <w:tr w:rsidR="002E474C" w14:paraId="6DF38412" w14:textId="77777777">
        <w:tc>
          <w:tcPr>
            <w:tcW w:w="675" w:type="dxa"/>
            <w:vMerge/>
            <w:vAlign w:val="center"/>
          </w:tcPr>
          <w:p w14:paraId="367021E3" w14:textId="77777777" w:rsidR="002E474C" w:rsidRDefault="002E474C">
            <w:pPr>
              <w:pStyle w:val="A-"/>
            </w:pPr>
          </w:p>
        </w:tc>
        <w:tc>
          <w:tcPr>
            <w:tcW w:w="1276" w:type="dxa"/>
            <w:gridSpan w:val="2"/>
            <w:vAlign w:val="center"/>
          </w:tcPr>
          <w:p w14:paraId="06D0C1FB" w14:textId="77777777" w:rsidR="002E474C" w:rsidRDefault="00000000">
            <w:pPr>
              <w:pStyle w:val="A-"/>
            </w:pPr>
            <w:r>
              <w:t>废水治理</w:t>
            </w:r>
          </w:p>
        </w:tc>
        <w:tc>
          <w:tcPr>
            <w:tcW w:w="6571" w:type="dxa"/>
            <w:vAlign w:val="center"/>
          </w:tcPr>
          <w:p w14:paraId="11AE7CB9" w14:textId="77777777" w:rsidR="002E474C" w:rsidRDefault="00000000">
            <w:pPr>
              <w:pStyle w:val="A-"/>
            </w:pPr>
            <w:r>
              <w:t>建设生产废水收集系统，冲洗废水、初期雨水、渗滤液经收集后，进入应急事故池、初期雨水收集池或废水池，与半固态废物或液体废物等混合泵送至水泥窑焚烧处置。</w:t>
            </w:r>
          </w:p>
        </w:tc>
      </w:tr>
      <w:tr w:rsidR="002E474C" w14:paraId="7B14F26F" w14:textId="77777777">
        <w:tc>
          <w:tcPr>
            <w:tcW w:w="675" w:type="dxa"/>
            <w:vMerge/>
            <w:vAlign w:val="center"/>
          </w:tcPr>
          <w:p w14:paraId="321E8F97" w14:textId="77777777" w:rsidR="002E474C" w:rsidRDefault="002E474C">
            <w:pPr>
              <w:pStyle w:val="A-"/>
            </w:pPr>
          </w:p>
        </w:tc>
        <w:tc>
          <w:tcPr>
            <w:tcW w:w="1276" w:type="dxa"/>
            <w:gridSpan w:val="2"/>
            <w:vAlign w:val="center"/>
          </w:tcPr>
          <w:p w14:paraId="597760CE" w14:textId="77777777" w:rsidR="002E474C" w:rsidRDefault="00000000">
            <w:pPr>
              <w:pStyle w:val="A-"/>
            </w:pPr>
            <w:r>
              <w:t>噪声治理</w:t>
            </w:r>
          </w:p>
        </w:tc>
        <w:tc>
          <w:tcPr>
            <w:tcW w:w="6571" w:type="dxa"/>
            <w:vAlign w:val="center"/>
          </w:tcPr>
          <w:p w14:paraId="53C9AD94" w14:textId="77777777" w:rsidR="002E474C" w:rsidRDefault="00000000">
            <w:pPr>
              <w:pStyle w:val="A-"/>
            </w:pPr>
            <w:r>
              <w:t>隔声、安装减振装置等。</w:t>
            </w:r>
          </w:p>
        </w:tc>
      </w:tr>
      <w:tr w:rsidR="002E474C" w14:paraId="152923F0" w14:textId="77777777">
        <w:tc>
          <w:tcPr>
            <w:tcW w:w="675" w:type="dxa"/>
            <w:vMerge/>
            <w:vAlign w:val="center"/>
          </w:tcPr>
          <w:p w14:paraId="6DA58D33" w14:textId="77777777" w:rsidR="002E474C" w:rsidRDefault="002E474C">
            <w:pPr>
              <w:pStyle w:val="A-"/>
            </w:pPr>
          </w:p>
        </w:tc>
        <w:tc>
          <w:tcPr>
            <w:tcW w:w="1276" w:type="dxa"/>
            <w:gridSpan w:val="2"/>
            <w:vAlign w:val="center"/>
          </w:tcPr>
          <w:p w14:paraId="0326C78E" w14:textId="77777777" w:rsidR="002E474C" w:rsidRDefault="00000000">
            <w:pPr>
              <w:pStyle w:val="A-"/>
            </w:pPr>
            <w:r>
              <w:t>固废处理</w:t>
            </w:r>
          </w:p>
        </w:tc>
        <w:tc>
          <w:tcPr>
            <w:tcW w:w="6571" w:type="dxa"/>
            <w:vAlign w:val="center"/>
          </w:tcPr>
          <w:p w14:paraId="01C246F7" w14:textId="77777777" w:rsidR="002E474C" w:rsidRDefault="00000000">
            <w:pPr>
              <w:pStyle w:val="A-"/>
            </w:pPr>
            <w:r>
              <w:t>生活垃圾由环卫部门统一定期清运；废活性炭、废包装物、预处理滤渣、污水污泥、化验废物均送至水泥窑焚烧处置。</w:t>
            </w:r>
          </w:p>
        </w:tc>
      </w:tr>
      <w:tr w:rsidR="002E474C" w14:paraId="5088CC95" w14:textId="77777777">
        <w:tc>
          <w:tcPr>
            <w:tcW w:w="675" w:type="dxa"/>
            <w:vMerge/>
            <w:vAlign w:val="center"/>
          </w:tcPr>
          <w:p w14:paraId="66546D1F" w14:textId="77777777" w:rsidR="002E474C" w:rsidRDefault="002E474C">
            <w:pPr>
              <w:pStyle w:val="A-"/>
            </w:pPr>
          </w:p>
        </w:tc>
        <w:tc>
          <w:tcPr>
            <w:tcW w:w="1276" w:type="dxa"/>
            <w:gridSpan w:val="2"/>
            <w:vAlign w:val="center"/>
          </w:tcPr>
          <w:p w14:paraId="4FEB26A8" w14:textId="77777777" w:rsidR="002E474C" w:rsidRDefault="00000000">
            <w:pPr>
              <w:pStyle w:val="A-"/>
            </w:pPr>
            <w:r>
              <w:t>事故池</w:t>
            </w:r>
          </w:p>
        </w:tc>
        <w:tc>
          <w:tcPr>
            <w:tcW w:w="6571" w:type="dxa"/>
            <w:vAlign w:val="center"/>
          </w:tcPr>
          <w:p w14:paraId="0B36CDFB" w14:textId="77777777" w:rsidR="002E474C" w:rsidRDefault="00000000">
            <w:pPr>
              <w:pStyle w:val="A-"/>
            </w:pPr>
            <w:r>
              <w:t>建设</w:t>
            </w:r>
            <w:r>
              <w:t>1</w:t>
            </w:r>
            <w:r>
              <w:t>座事故池</w:t>
            </w:r>
            <w:r>
              <w:t>300m³</w:t>
            </w:r>
            <w:r>
              <w:t>。</w:t>
            </w:r>
          </w:p>
        </w:tc>
      </w:tr>
      <w:tr w:rsidR="002E474C" w14:paraId="6188F3D0" w14:textId="77777777">
        <w:tc>
          <w:tcPr>
            <w:tcW w:w="675" w:type="dxa"/>
            <w:vMerge/>
            <w:vAlign w:val="center"/>
          </w:tcPr>
          <w:p w14:paraId="2B1D4506" w14:textId="77777777" w:rsidR="002E474C" w:rsidRDefault="002E474C">
            <w:pPr>
              <w:pStyle w:val="A-"/>
            </w:pPr>
          </w:p>
        </w:tc>
        <w:tc>
          <w:tcPr>
            <w:tcW w:w="1276" w:type="dxa"/>
            <w:gridSpan w:val="2"/>
            <w:vAlign w:val="center"/>
          </w:tcPr>
          <w:p w14:paraId="1CEDC94E" w14:textId="77777777" w:rsidR="002E474C" w:rsidRDefault="00000000">
            <w:pPr>
              <w:pStyle w:val="A-"/>
            </w:pPr>
            <w:r>
              <w:t>初期雨水</w:t>
            </w:r>
          </w:p>
          <w:p w14:paraId="69506BCE" w14:textId="77777777" w:rsidR="002E474C" w:rsidRDefault="00000000">
            <w:pPr>
              <w:pStyle w:val="A-"/>
            </w:pPr>
            <w:r>
              <w:t>收集池</w:t>
            </w:r>
          </w:p>
        </w:tc>
        <w:tc>
          <w:tcPr>
            <w:tcW w:w="6571" w:type="dxa"/>
            <w:vAlign w:val="center"/>
          </w:tcPr>
          <w:p w14:paraId="4D44C010" w14:textId="77777777" w:rsidR="002E474C" w:rsidRDefault="00000000">
            <w:pPr>
              <w:pStyle w:val="A-"/>
            </w:pPr>
            <w:r>
              <w:t>建设</w:t>
            </w:r>
            <w:r>
              <w:t>1</w:t>
            </w:r>
            <w:r>
              <w:t>座初期雨水收集池</w:t>
            </w:r>
            <w:r>
              <w:t>110m³</w:t>
            </w:r>
            <w:r>
              <w:t>。</w:t>
            </w:r>
          </w:p>
        </w:tc>
      </w:tr>
      <w:tr w:rsidR="002E474C" w14:paraId="405409C7" w14:textId="77777777">
        <w:tc>
          <w:tcPr>
            <w:tcW w:w="675" w:type="dxa"/>
            <w:vMerge/>
            <w:vAlign w:val="center"/>
          </w:tcPr>
          <w:p w14:paraId="5DFE4FC6" w14:textId="77777777" w:rsidR="002E474C" w:rsidRDefault="002E474C">
            <w:pPr>
              <w:pStyle w:val="A-"/>
            </w:pPr>
          </w:p>
        </w:tc>
        <w:tc>
          <w:tcPr>
            <w:tcW w:w="1276" w:type="dxa"/>
            <w:gridSpan w:val="2"/>
            <w:vAlign w:val="center"/>
          </w:tcPr>
          <w:p w14:paraId="00473746" w14:textId="77777777" w:rsidR="002E474C" w:rsidRDefault="00000000">
            <w:pPr>
              <w:pStyle w:val="A-"/>
            </w:pPr>
            <w:r>
              <w:t>渗滤液收集</w:t>
            </w:r>
          </w:p>
          <w:p w14:paraId="472031D3" w14:textId="77777777" w:rsidR="002E474C" w:rsidRDefault="00000000">
            <w:pPr>
              <w:pStyle w:val="A-"/>
            </w:pPr>
            <w:r>
              <w:t>设施</w:t>
            </w:r>
          </w:p>
        </w:tc>
        <w:tc>
          <w:tcPr>
            <w:tcW w:w="6571" w:type="dxa"/>
            <w:vAlign w:val="center"/>
          </w:tcPr>
          <w:p w14:paraId="39244ABD" w14:textId="77777777" w:rsidR="002E474C" w:rsidRDefault="00000000">
            <w:pPr>
              <w:pStyle w:val="A-"/>
            </w:pPr>
            <w:r>
              <w:rPr>
                <w:rFonts w:hint="eastAsia"/>
              </w:rPr>
              <w:t>危废联合贮存库、预处理车间地面均设导流槽和废液收集池</w:t>
            </w:r>
            <w:r>
              <w:t>（单体</w:t>
            </w:r>
            <w:r>
              <w:t>1m³</w:t>
            </w:r>
            <w:r>
              <w:t>），泵入预处理车间掺入半固态废物入窑焚烧。</w:t>
            </w:r>
          </w:p>
        </w:tc>
      </w:tr>
      <w:tr w:rsidR="002E474C" w14:paraId="0C35BE2F" w14:textId="77777777">
        <w:tc>
          <w:tcPr>
            <w:tcW w:w="675" w:type="dxa"/>
            <w:vMerge/>
            <w:vAlign w:val="center"/>
          </w:tcPr>
          <w:p w14:paraId="7307FE51" w14:textId="77777777" w:rsidR="002E474C" w:rsidRDefault="002E474C">
            <w:pPr>
              <w:pStyle w:val="A-"/>
            </w:pPr>
          </w:p>
        </w:tc>
        <w:tc>
          <w:tcPr>
            <w:tcW w:w="1276" w:type="dxa"/>
            <w:gridSpan w:val="2"/>
            <w:vAlign w:val="center"/>
          </w:tcPr>
          <w:p w14:paraId="14B46044" w14:textId="77777777" w:rsidR="002E474C" w:rsidRDefault="00000000">
            <w:pPr>
              <w:pStyle w:val="A-"/>
            </w:pPr>
            <w:r>
              <w:t>地下水防渗</w:t>
            </w:r>
          </w:p>
          <w:p w14:paraId="66DDC779" w14:textId="77777777" w:rsidR="002E474C" w:rsidRDefault="00000000">
            <w:pPr>
              <w:pStyle w:val="A-"/>
            </w:pPr>
            <w:r>
              <w:t>措施</w:t>
            </w:r>
          </w:p>
        </w:tc>
        <w:tc>
          <w:tcPr>
            <w:tcW w:w="6571" w:type="dxa"/>
            <w:vAlign w:val="center"/>
          </w:tcPr>
          <w:p w14:paraId="653A64B1" w14:textId="77777777" w:rsidR="002E474C" w:rsidRDefault="00000000">
            <w:pPr>
              <w:pStyle w:val="A-"/>
            </w:pPr>
            <w:r>
              <w:t>按照分区防渗原则分别对各预处理设施处、固废暂存库、事故池等进行防渗处理。</w:t>
            </w:r>
          </w:p>
        </w:tc>
      </w:tr>
    </w:tbl>
    <w:p w14:paraId="04CDC96D" w14:textId="77777777" w:rsidR="002E474C" w:rsidRDefault="002E474C"/>
    <w:p w14:paraId="65B4FE7D" w14:textId="77777777" w:rsidR="002E474C" w:rsidRDefault="00000000">
      <w:pPr>
        <w:pStyle w:val="31"/>
        <w:spacing w:before="120" w:after="120"/>
        <w:rPr>
          <w:color w:val="auto"/>
          <w:lang w:val="en-US"/>
        </w:rPr>
      </w:pPr>
      <w:r>
        <w:rPr>
          <w:color w:val="auto"/>
          <w:lang w:val="en-US"/>
        </w:rPr>
        <w:t>预处理中心生产设施</w:t>
      </w:r>
    </w:p>
    <w:p w14:paraId="6B93DB79" w14:textId="77777777" w:rsidR="002E474C" w:rsidRDefault="00000000">
      <w:pPr>
        <w:pStyle w:val="41"/>
        <w:rPr>
          <w:bCs w:val="0"/>
          <w:color w:val="auto"/>
          <w:lang w:val="en-US"/>
        </w:rPr>
      </w:pPr>
      <w:r>
        <w:rPr>
          <w:color w:val="auto"/>
        </w:rPr>
        <w:t>主要</w:t>
      </w:r>
      <w:r>
        <w:rPr>
          <w:bCs w:val="0"/>
          <w:color w:val="auto"/>
          <w:lang w:val="en-US"/>
        </w:rPr>
        <w:t>生产设施</w:t>
      </w:r>
    </w:p>
    <w:p w14:paraId="22579789" w14:textId="77777777" w:rsidR="002E474C" w:rsidRDefault="00000000">
      <w:pPr>
        <w:pStyle w:val="A-z"/>
        <w:rPr>
          <w:color w:val="auto"/>
          <w:kern w:val="0"/>
        </w:rPr>
      </w:pPr>
      <w:r>
        <w:rPr>
          <w:color w:val="auto"/>
        </w:rPr>
        <w:t>预处理中心包括固态半固态危废预处理系统和液态危废预处理系统，分别布置在</w:t>
      </w:r>
      <w:r>
        <w:rPr>
          <w:color w:val="auto"/>
          <w:kern w:val="0"/>
        </w:rPr>
        <w:t>1500m</w:t>
      </w:r>
      <w:r>
        <w:rPr>
          <w:color w:val="auto"/>
        </w:rPr>
        <w:t>²</w:t>
      </w:r>
      <w:r>
        <w:rPr>
          <w:color w:val="auto"/>
          <w:kern w:val="0"/>
        </w:rPr>
        <w:t>固态半固态危废</w:t>
      </w:r>
      <w:r>
        <w:rPr>
          <w:rFonts w:hint="eastAsia"/>
          <w:color w:val="auto"/>
          <w:kern w:val="0"/>
        </w:rPr>
        <w:t>预处理车间</w:t>
      </w:r>
      <w:r>
        <w:rPr>
          <w:color w:val="auto"/>
          <w:kern w:val="0"/>
        </w:rPr>
        <w:t>和</w:t>
      </w:r>
      <w:r>
        <w:rPr>
          <w:color w:val="auto"/>
          <w:kern w:val="0"/>
        </w:rPr>
        <w:t>513m²</w:t>
      </w:r>
      <w:r>
        <w:rPr>
          <w:color w:val="auto"/>
          <w:kern w:val="0"/>
        </w:rPr>
        <w:t>液态危废预处理</w:t>
      </w:r>
      <w:r>
        <w:rPr>
          <w:rFonts w:hint="eastAsia"/>
          <w:color w:val="auto"/>
          <w:kern w:val="0"/>
        </w:rPr>
        <w:t>车间</w:t>
      </w:r>
      <w:r>
        <w:rPr>
          <w:color w:val="auto"/>
          <w:kern w:val="0"/>
        </w:rPr>
        <w:t>。</w:t>
      </w:r>
    </w:p>
    <w:p w14:paraId="155D2FE0" w14:textId="77777777" w:rsidR="002E474C" w:rsidRDefault="00000000">
      <w:pPr>
        <w:pStyle w:val="A-z"/>
        <w:rPr>
          <w:color w:val="auto"/>
        </w:rPr>
      </w:pPr>
      <w:r>
        <w:rPr>
          <w:color w:val="auto"/>
        </w:rPr>
        <w:t>预处理中心的主要生产设施，见表</w:t>
      </w:r>
      <w:r>
        <w:rPr>
          <w:color w:val="auto"/>
        </w:rPr>
        <w:t>3.2-2</w:t>
      </w:r>
      <w:r>
        <w:rPr>
          <w:color w:val="auto"/>
        </w:rPr>
        <w:t>。</w:t>
      </w:r>
    </w:p>
    <w:p w14:paraId="70A21628" w14:textId="77777777" w:rsidR="00DC2B10" w:rsidRDefault="00DC2B10">
      <w:pPr>
        <w:pStyle w:val="A-z"/>
        <w:rPr>
          <w:color w:val="auto"/>
        </w:rPr>
      </w:pPr>
    </w:p>
    <w:p w14:paraId="46DFC30F" w14:textId="77777777" w:rsidR="00DC2B10" w:rsidRDefault="00DC2B10">
      <w:pPr>
        <w:pStyle w:val="A-z"/>
        <w:rPr>
          <w:color w:val="auto"/>
        </w:rPr>
      </w:pPr>
    </w:p>
    <w:p w14:paraId="0510601E" w14:textId="77777777" w:rsidR="00DC2B10" w:rsidRDefault="00DC2B10">
      <w:pPr>
        <w:pStyle w:val="A-z"/>
        <w:rPr>
          <w:color w:val="auto"/>
        </w:rPr>
      </w:pPr>
    </w:p>
    <w:p w14:paraId="33025455" w14:textId="77777777" w:rsidR="002E474C" w:rsidRDefault="00000000">
      <w:pPr>
        <w:pStyle w:val="A--"/>
        <w:rPr>
          <w:color w:val="auto"/>
        </w:rPr>
      </w:pPr>
      <w:r>
        <w:rPr>
          <w:color w:val="auto"/>
        </w:rPr>
        <w:lastRenderedPageBreak/>
        <w:t>表</w:t>
      </w:r>
      <w:r>
        <w:rPr>
          <w:color w:val="auto"/>
        </w:rPr>
        <w:t xml:space="preserve">3.2-2  </w:t>
      </w:r>
      <w:r>
        <w:rPr>
          <w:color w:val="auto"/>
        </w:rPr>
        <w:t>预处理中心主要生产设施汇总表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194"/>
        <w:gridCol w:w="1940"/>
        <w:gridCol w:w="3074"/>
        <w:gridCol w:w="692"/>
        <w:gridCol w:w="738"/>
      </w:tblGrid>
      <w:tr w:rsidR="002E474C" w14:paraId="5E9E97A4" w14:textId="77777777">
        <w:trPr>
          <w:tblHeader/>
          <w:jc w:val="center"/>
        </w:trPr>
        <w:tc>
          <w:tcPr>
            <w:tcW w:w="396" w:type="pct"/>
            <w:vAlign w:val="center"/>
          </w:tcPr>
          <w:p w14:paraId="7B69FDF1" w14:textId="77777777" w:rsidR="002E474C" w:rsidRDefault="00000000">
            <w:pPr>
              <w:pStyle w:val="A-"/>
            </w:pPr>
            <w:r>
              <w:t>序号</w:t>
            </w:r>
          </w:p>
        </w:tc>
        <w:tc>
          <w:tcPr>
            <w:tcW w:w="719" w:type="pct"/>
            <w:vAlign w:val="center"/>
          </w:tcPr>
          <w:p w14:paraId="2C40082E" w14:textId="77777777" w:rsidR="002E474C" w:rsidRDefault="00000000">
            <w:pPr>
              <w:pStyle w:val="A-"/>
            </w:pPr>
            <w:r>
              <w:t>生产工序</w:t>
            </w:r>
          </w:p>
        </w:tc>
        <w:tc>
          <w:tcPr>
            <w:tcW w:w="1168" w:type="pct"/>
            <w:vAlign w:val="center"/>
          </w:tcPr>
          <w:p w14:paraId="2F86897B" w14:textId="77777777" w:rsidR="002E474C" w:rsidRDefault="00000000">
            <w:pPr>
              <w:pStyle w:val="A-"/>
            </w:pPr>
            <w:r>
              <w:t>设备名称</w:t>
            </w:r>
          </w:p>
        </w:tc>
        <w:tc>
          <w:tcPr>
            <w:tcW w:w="1852" w:type="pct"/>
            <w:vAlign w:val="center"/>
          </w:tcPr>
          <w:p w14:paraId="5754F312" w14:textId="77777777" w:rsidR="002E474C" w:rsidRDefault="00000000">
            <w:pPr>
              <w:pStyle w:val="A-"/>
            </w:pPr>
            <w:r>
              <w:t>规格</w:t>
            </w:r>
          </w:p>
        </w:tc>
        <w:tc>
          <w:tcPr>
            <w:tcW w:w="417" w:type="pct"/>
            <w:vAlign w:val="center"/>
          </w:tcPr>
          <w:p w14:paraId="70FDED00" w14:textId="77777777" w:rsidR="002E474C" w:rsidRDefault="00000000">
            <w:pPr>
              <w:pStyle w:val="A-"/>
            </w:pPr>
            <w:r>
              <w:t>单位</w:t>
            </w:r>
          </w:p>
        </w:tc>
        <w:tc>
          <w:tcPr>
            <w:tcW w:w="445" w:type="pct"/>
            <w:vAlign w:val="center"/>
          </w:tcPr>
          <w:p w14:paraId="587A15AE" w14:textId="77777777" w:rsidR="002E474C" w:rsidRDefault="00000000">
            <w:pPr>
              <w:pStyle w:val="A-"/>
            </w:pPr>
            <w:r>
              <w:t>数量</w:t>
            </w:r>
          </w:p>
        </w:tc>
      </w:tr>
      <w:tr w:rsidR="002E474C" w14:paraId="2E240D72" w14:textId="77777777">
        <w:trPr>
          <w:tblHeader/>
          <w:jc w:val="center"/>
        </w:trPr>
        <w:tc>
          <w:tcPr>
            <w:tcW w:w="396" w:type="pct"/>
            <w:vAlign w:val="center"/>
          </w:tcPr>
          <w:p w14:paraId="052C49D8" w14:textId="77777777" w:rsidR="002E474C" w:rsidRDefault="00000000">
            <w:pPr>
              <w:pStyle w:val="A-"/>
            </w:pPr>
            <w:r>
              <w:t>1</w:t>
            </w:r>
          </w:p>
        </w:tc>
        <w:tc>
          <w:tcPr>
            <w:tcW w:w="719" w:type="pct"/>
            <w:vMerge w:val="restart"/>
            <w:vAlign w:val="center"/>
          </w:tcPr>
          <w:p w14:paraId="0F19A017" w14:textId="77777777" w:rsidR="002E474C" w:rsidRDefault="00000000">
            <w:pPr>
              <w:pStyle w:val="A-"/>
            </w:pPr>
            <w:r>
              <w:t>固态废物处置系统</w:t>
            </w:r>
          </w:p>
        </w:tc>
        <w:tc>
          <w:tcPr>
            <w:tcW w:w="1168" w:type="pct"/>
            <w:vAlign w:val="center"/>
          </w:tcPr>
          <w:p w14:paraId="651F43CE" w14:textId="77777777" w:rsidR="002E474C" w:rsidRDefault="00000000">
            <w:pPr>
              <w:pStyle w:val="A-"/>
            </w:pPr>
            <w:r>
              <w:t>抓斗桥式起重机</w:t>
            </w:r>
          </w:p>
        </w:tc>
        <w:tc>
          <w:tcPr>
            <w:tcW w:w="1852" w:type="pct"/>
            <w:vAlign w:val="center"/>
          </w:tcPr>
          <w:p w14:paraId="7B79318A" w14:textId="77777777" w:rsidR="002E474C" w:rsidRDefault="00000000">
            <w:pPr>
              <w:pStyle w:val="A-"/>
            </w:pPr>
            <w:r>
              <w:t>起重量：</w:t>
            </w:r>
            <w:r>
              <w:t>3t</w:t>
            </w:r>
          </w:p>
        </w:tc>
        <w:tc>
          <w:tcPr>
            <w:tcW w:w="417" w:type="pct"/>
            <w:vAlign w:val="center"/>
          </w:tcPr>
          <w:p w14:paraId="736E7710" w14:textId="77777777" w:rsidR="002E474C" w:rsidRDefault="00000000">
            <w:pPr>
              <w:pStyle w:val="A-"/>
            </w:pPr>
            <w:r>
              <w:t>台</w:t>
            </w:r>
          </w:p>
        </w:tc>
        <w:tc>
          <w:tcPr>
            <w:tcW w:w="445" w:type="pct"/>
            <w:vAlign w:val="center"/>
          </w:tcPr>
          <w:p w14:paraId="6FDA8B6F" w14:textId="77777777" w:rsidR="002E474C" w:rsidRDefault="00000000">
            <w:pPr>
              <w:pStyle w:val="A-"/>
            </w:pPr>
            <w:r>
              <w:t>1</w:t>
            </w:r>
          </w:p>
        </w:tc>
      </w:tr>
      <w:tr w:rsidR="002E474C" w14:paraId="15B79F73" w14:textId="77777777">
        <w:trPr>
          <w:tblHeader/>
          <w:jc w:val="center"/>
        </w:trPr>
        <w:tc>
          <w:tcPr>
            <w:tcW w:w="396" w:type="pct"/>
            <w:vAlign w:val="center"/>
          </w:tcPr>
          <w:p w14:paraId="3824AC73" w14:textId="77777777" w:rsidR="002E474C" w:rsidRDefault="00000000">
            <w:pPr>
              <w:pStyle w:val="A-"/>
            </w:pPr>
            <w:r>
              <w:t>2</w:t>
            </w:r>
          </w:p>
        </w:tc>
        <w:tc>
          <w:tcPr>
            <w:tcW w:w="719" w:type="pct"/>
            <w:vMerge/>
            <w:vAlign w:val="center"/>
          </w:tcPr>
          <w:p w14:paraId="71F8900A" w14:textId="77777777" w:rsidR="002E474C" w:rsidRDefault="002E474C">
            <w:pPr>
              <w:pStyle w:val="A-"/>
            </w:pPr>
          </w:p>
        </w:tc>
        <w:tc>
          <w:tcPr>
            <w:tcW w:w="1168" w:type="pct"/>
            <w:vAlign w:val="center"/>
          </w:tcPr>
          <w:p w14:paraId="67BACEC9" w14:textId="77777777" w:rsidR="002E474C" w:rsidRDefault="00000000">
            <w:pPr>
              <w:pStyle w:val="A-"/>
            </w:pPr>
            <w:r>
              <w:t>回转式剪切破碎机</w:t>
            </w:r>
          </w:p>
        </w:tc>
        <w:tc>
          <w:tcPr>
            <w:tcW w:w="1852" w:type="pct"/>
            <w:vAlign w:val="center"/>
          </w:tcPr>
          <w:p w14:paraId="049BD84E" w14:textId="77777777" w:rsidR="002E474C" w:rsidRDefault="00000000">
            <w:pPr>
              <w:pStyle w:val="A-"/>
            </w:pPr>
            <w:r>
              <w:t>5t/h</w:t>
            </w:r>
          </w:p>
        </w:tc>
        <w:tc>
          <w:tcPr>
            <w:tcW w:w="417" w:type="pct"/>
            <w:vAlign w:val="center"/>
          </w:tcPr>
          <w:p w14:paraId="69C5CF4C" w14:textId="77777777" w:rsidR="002E474C" w:rsidRDefault="00000000">
            <w:pPr>
              <w:pStyle w:val="A-"/>
            </w:pPr>
            <w:r>
              <w:t>台</w:t>
            </w:r>
          </w:p>
        </w:tc>
        <w:tc>
          <w:tcPr>
            <w:tcW w:w="445" w:type="pct"/>
            <w:vAlign w:val="center"/>
          </w:tcPr>
          <w:p w14:paraId="64AE81D4" w14:textId="77777777" w:rsidR="002E474C" w:rsidRDefault="00000000">
            <w:pPr>
              <w:pStyle w:val="A-"/>
            </w:pPr>
            <w:r>
              <w:t>1</w:t>
            </w:r>
          </w:p>
        </w:tc>
      </w:tr>
      <w:tr w:rsidR="002E474C" w14:paraId="07CEA5B8" w14:textId="77777777">
        <w:trPr>
          <w:tblHeader/>
          <w:jc w:val="center"/>
        </w:trPr>
        <w:tc>
          <w:tcPr>
            <w:tcW w:w="396" w:type="pct"/>
            <w:vAlign w:val="center"/>
          </w:tcPr>
          <w:p w14:paraId="406CB4CD" w14:textId="77777777" w:rsidR="002E474C" w:rsidRDefault="00000000">
            <w:pPr>
              <w:pStyle w:val="A-"/>
            </w:pPr>
            <w:r>
              <w:t>3</w:t>
            </w:r>
          </w:p>
        </w:tc>
        <w:tc>
          <w:tcPr>
            <w:tcW w:w="719" w:type="pct"/>
            <w:vMerge/>
            <w:vAlign w:val="center"/>
          </w:tcPr>
          <w:p w14:paraId="2560F4E4" w14:textId="77777777" w:rsidR="002E474C" w:rsidRDefault="002E474C">
            <w:pPr>
              <w:pStyle w:val="A-"/>
            </w:pPr>
          </w:p>
        </w:tc>
        <w:tc>
          <w:tcPr>
            <w:tcW w:w="1168" w:type="pct"/>
            <w:vAlign w:val="center"/>
          </w:tcPr>
          <w:p w14:paraId="139F8F32" w14:textId="77777777" w:rsidR="002E474C" w:rsidRDefault="00000000">
            <w:pPr>
              <w:pStyle w:val="A-"/>
            </w:pPr>
            <w:r>
              <w:t>大倾角皮带机</w:t>
            </w:r>
          </w:p>
        </w:tc>
        <w:tc>
          <w:tcPr>
            <w:tcW w:w="1852" w:type="pct"/>
            <w:vAlign w:val="center"/>
          </w:tcPr>
          <w:p w14:paraId="6B4525C3" w14:textId="77777777" w:rsidR="002E474C" w:rsidRDefault="00000000">
            <w:pPr>
              <w:pStyle w:val="A-"/>
            </w:pPr>
            <w:r>
              <w:t>DJ1000×20000mm</w:t>
            </w:r>
          </w:p>
        </w:tc>
        <w:tc>
          <w:tcPr>
            <w:tcW w:w="417" w:type="pct"/>
            <w:vAlign w:val="center"/>
          </w:tcPr>
          <w:p w14:paraId="56C6974F" w14:textId="77777777" w:rsidR="002E474C" w:rsidRDefault="00000000">
            <w:pPr>
              <w:pStyle w:val="A-"/>
            </w:pPr>
            <w:r>
              <w:t>台</w:t>
            </w:r>
          </w:p>
        </w:tc>
        <w:tc>
          <w:tcPr>
            <w:tcW w:w="445" w:type="pct"/>
            <w:vAlign w:val="center"/>
          </w:tcPr>
          <w:p w14:paraId="1BA79A14" w14:textId="77777777" w:rsidR="002E474C" w:rsidRDefault="00000000">
            <w:pPr>
              <w:pStyle w:val="A-"/>
            </w:pPr>
            <w:r>
              <w:t>1</w:t>
            </w:r>
          </w:p>
        </w:tc>
      </w:tr>
      <w:tr w:rsidR="002E474C" w14:paraId="5F861AFE" w14:textId="77777777">
        <w:trPr>
          <w:tblHeader/>
          <w:jc w:val="center"/>
        </w:trPr>
        <w:tc>
          <w:tcPr>
            <w:tcW w:w="396" w:type="pct"/>
            <w:vAlign w:val="center"/>
          </w:tcPr>
          <w:p w14:paraId="1DB83D04" w14:textId="77777777" w:rsidR="002E474C" w:rsidRDefault="00000000">
            <w:pPr>
              <w:pStyle w:val="A-"/>
            </w:pPr>
            <w:r>
              <w:t>4</w:t>
            </w:r>
          </w:p>
        </w:tc>
        <w:tc>
          <w:tcPr>
            <w:tcW w:w="719" w:type="pct"/>
            <w:vMerge/>
            <w:vAlign w:val="center"/>
          </w:tcPr>
          <w:p w14:paraId="40098CA2" w14:textId="77777777" w:rsidR="002E474C" w:rsidRDefault="002E474C">
            <w:pPr>
              <w:pStyle w:val="A-"/>
            </w:pPr>
          </w:p>
        </w:tc>
        <w:tc>
          <w:tcPr>
            <w:tcW w:w="1168" w:type="pct"/>
            <w:vAlign w:val="center"/>
          </w:tcPr>
          <w:p w14:paraId="4964F5F2" w14:textId="77777777" w:rsidR="002E474C" w:rsidRDefault="00000000">
            <w:pPr>
              <w:pStyle w:val="A-"/>
            </w:pPr>
            <w:r>
              <w:t>缓冲料斗</w:t>
            </w:r>
          </w:p>
        </w:tc>
        <w:tc>
          <w:tcPr>
            <w:tcW w:w="1852" w:type="pct"/>
            <w:vAlign w:val="center"/>
          </w:tcPr>
          <w:p w14:paraId="413C2F9D" w14:textId="77777777" w:rsidR="002E474C" w:rsidRDefault="00000000">
            <w:pPr>
              <w:pStyle w:val="A-"/>
            </w:pPr>
            <w:r>
              <w:t>4m³</w:t>
            </w:r>
          </w:p>
        </w:tc>
        <w:tc>
          <w:tcPr>
            <w:tcW w:w="417" w:type="pct"/>
            <w:vAlign w:val="center"/>
          </w:tcPr>
          <w:p w14:paraId="3CFB66B0" w14:textId="77777777" w:rsidR="002E474C" w:rsidRDefault="00000000">
            <w:pPr>
              <w:pStyle w:val="A-"/>
            </w:pPr>
            <w:r>
              <w:t>台</w:t>
            </w:r>
          </w:p>
        </w:tc>
        <w:tc>
          <w:tcPr>
            <w:tcW w:w="445" w:type="pct"/>
            <w:vAlign w:val="center"/>
          </w:tcPr>
          <w:p w14:paraId="139F40D0" w14:textId="77777777" w:rsidR="002E474C" w:rsidRDefault="00000000">
            <w:pPr>
              <w:pStyle w:val="A-"/>
            </w:pPr>
            <w:r>
              <w:t>1</w:t>
            </w:r>
          </w:p>
        </w:tc>
      </w:tr>
      <w:tr w:rsidR="002E474C" w14:paraId="63CEF5C8" w14:textId="77777777">
        <w:trPr>
          <w:tblHeader/>
          <w:jc w:val="center"/>
        </w:trPr>
        <w:tc>
          <w:tcPr>
            <w:tcW w:w="396" w:type="pct"/>
            <w:vAlign w:val="center"/>
          </w:tcPr>
          <w:p w14:paraId="36C65B4A" w14:textId="77777777" w:rsidR="002E474C" w:rsidRDefault="00000000">
            <w:pPr>
              <w:pStyle w:val="A-"/>
            </w:pPr>
            <w:r>
              <w:t>5</w:t>
            </w:r>
          </w:p>
        </w:tc>
        <w:tc>
          <w:tcPr>
            <w:tcW w:w="719" w:type="pct"/>
            <w:vMerge/>
            <w:vAlign w:val="center"/>
          </w:tcPr>
          <w:p w14:paraId="72A8F7A0" w14:textId="77777777" w:rsidR="002E474C" w:rsidRDefault="002E474C">
            <w:pPr>
              <w:pStyle w:val="A-"/>
            </w:pPr>
          </w:p>
        </w:tc>
        <w:tc>
          <w:tcPr>
            <w:tcW w:w="1168" w:type="pct"/>
            <w:vAlign w:val="center"/>
          </w:tcPr>
          <w:p w14:paraId="5730BBD8" w14:textId="77777777" w:rsidR="002E474C" w:rsidRDefault="00000000">
            <w:pPr>
              <w:pStyle w:val="A-"/>
            </w:pPr>
            <w:r>
              <w:t>皮带秤</w:t>
            </w:r>
          </w:p>
        </w:tc>
        <w:tc>
          <w:tcPr>
            <w:tcW w:w="1852" w:type="pct"/>
            <w:vAlign w:val="center"/>
          </w:tcPr>
          <w:p w14:paraId="03A33E17" w14:textId="77777777" w:rsidR="002E474C" w:rsidRDefault="00000000">
            <w:pPr>
              <w:pStyle w:val="A-"/>
            </w:pPr>
            <w:r>
              <w:t>B2000mm×5000mm</w:t>
            </w:r>
          </w:p>
        </w:tc>
        <w:tc>
          <w:tcPr>
            <w:tcW w:w="417" w:type="pct"/>
            <w:vAlign w:val="center"/>
          </w:tcPr>
          <w:p w14:paraId="2891AC0F" w14:textId="77777777" w:rsidR="002E474C" w:rsidRDefault="00000000">
            <w:pPr>
              <w:pStyle w:val="A-"/>
            </w:pPr>
            <w:r>
              <w:t>台</w:t>
            </w:r>
          </w:p>
        </w:tc>
        <w:tc>
          <w:tcPr>
            <w:tcW w:w="445" w:type="pct"/>
            <w:vAlign w:val="center"/>
          </w:tcPr>
          <w:p w14:paraId="77827BA9" w14:textId="77777777" w:rsidR="002E474C" w:rsidRDefault="00000000">
            <w:pPr>
              <w:pStyle w:val="A-"/>
            </w:pPr>
            <w:r>
              <w:t>1</w:t>
            </w:r>
          </w:p>
        </w:tc>
      </w:tr>
      <w:tr w:rsidR="002E474C" w14:paraId="15C2F8FB" w14:textId="77777777">
        <w:trPr>
          <w:tblHeader/>
          <w:jc w:val="center"/>
        </w:trPr>
        <w:tc>
          <w:tcPr>
            <w:tcW w:w="396" w:type="pct"/>
            <w:vAlign w:val="center"/>
          </w:tcPr>
          <w:p w14:paraId="15B7EF5F" w14:textId="77777777" w:rsidR="002E474C" w:rsidRDefault="00000000">
            <w:pPr>
              <w:pStyle w:val="A-"/>
            </w:pPr>
            <w:r>
              <w:t>6</w:t>
            </w:r>
          </w:p>
        </w:tc>
        <w:tc>
          <w:tcPr>
            <w:tcW w:w="719" w:type="pct"/>
            <w:vMerge/>
            <w:vAlign w:val="center"/>
          </w:tcPr>
          <w:p w14:paraId="4C66D0B3" w14:textId="77777777" w:rsidR="002E474C" w:rsidRDefault="002E474C">
            <w:pPr>
              <w:pStyle w:val="A-"/>
            </w:pPr>
          </w:p>
        </w:tc>
        <w:tc>
          <w:tcPr>
            <w:tcW w:w="1168" w:type="pct"/>
            <w:vAlign w:val="center"/>
          </w:tcPr>
          <w:p w14:paraId="1F613DEB" w14:textId="77777777" w:rsidR="002E474C" w:rsidRDefault="00000000">
            <w:pPr>
              <w:pStyle w:val="A-"/>
            </w:pPr>
            <w:r>
              <w:t>螺旋输送机</w:t>
            </w:r>
          </w:p>
        </w:tc>
        <w:tc>
          <w:tcPr>
            <w:tcW w:w="1852" w:type="pct"/>
            <w:vAlign w:val="center"/>
          </w:tcPr>
          <w:p w14:paraId="70912082" w14:textId="77777777" w:rsidR="002E474C" w:rsidRDefault="00000000">
            <w:pPr>
              <w:pStyle w:val="A-"/>
            </w:pPr>
            <w:r>
              <w:t>G400</w:t>
            </w:r>
          </w:p>
        </w:tc>
        <w:tc>
          <w:tcPr>
            <w:tcW w:w="417" w:type="pct"/>
            <w:vAlign w:val="center"/>
          </w:tcPr>
          <w:p w14:paraId="0A9907A7" w14:textId="77777777" w:rsidR="002E474C" w:rsidRDefault="00000000">
            <w:pPr>
              <w:pStyle w:val="A-"/>
            </w:pPr>
            <w:r>
              <w:t>台</w:t>
            </w:r>
          </w:p>
        </w:tc>
        <w:tc>
          <w:tcPr>
            <w:tcW w:w="445" w:type="pct"/>
            <w:vAlign w:val="center"/>
          </w:tcPr>
          <w:p w14:paraId="2BC73EDA" w14:textId="77777777" w:rsidR="002E474C" w:rsidRDefault="00000000">
            <w:pPr>
              <w:pStyle w:val="A-"/>
            </w:pPr>
            <w:r>
              <w:t>1</w:t>
            </w:r>
          </w:p>
        </w:tc>
      </w:tr>
      <w:tr w:rsidR="002E474C" w14:paraId="1F1611AE" w14:textId="77777777">
        <w:trPr>
          <w:tblHeader/>
          <w:jc w:val="center"/>
        </w:trPr>
        <w:tc>
          <w:tcPr>
            <w:tcW w:w="396" w:type="pct"/>
            <w:vAlign w:val="center"/>
          </w:tcPr>
          <w:p w14:paraId="73D6691B" w14:textId="77777777" w:rsidR="002E474C" w:rsidRDefault="00000000">
            <w:pPr>
              <w:pStyle w:val="A-"/>
            </w:pPr>
            <w:r>
              <w:t>7</w:t>
            </w:r>
          </w:p>
        </w:tc>
        <w:tc>
          <w:tcPr>
            <w:tcW w:w="719" w:type="pct"/>
            <w:vMerge w:val="restart"/>
            <w:vAlign w:val="center"/>
          </w:tcPr>
          <w:p w14:paraId="038B2C4B" w14:textId="77777777" w:rsidR="002E474C" w:rsidRDefault="00000000">
            <w:pPr>
              <w:pStyle w:val="A-"/>
            </w:pPr>
            <w:r>
              <w:t>半固态废物处置系统</w:t>
            </w:r>
          </w:p>
        </w:tc>
        <w:tc>
          <w:tcPr>
            <w:tcW w:w="1168" w:type="pct"/>
            <w:vAlign w:val="center"/>
          </w:tcPr>
          <w:p w14:paraId="0D2EF9EA" w14:textId="77777777" w:rsidR="002E474C" w:rsidRDefault="00000000">
            <w:pPr>
              <w:pStyle w:val="A-"/>
            </w:pPr>
            <w:r>
              <w:t>抓斗桥式起重机</w:t>
            </w:r>
          </w:p>
        </w:tc>
        <w:tc>
          <w:tcPr>
            <w:tcW w:w="1852" w:type="pct"/>
            <w:vAlign w:val="center"/>
          </w:tcPr>
          <w:p w14:paraId="5E36301E" w14:textId="77777777" w:rsidR="002E474C" w:rsidRDefault="00000000">
            <w:pPr>
              <w:pStyle w:val="A-"/>
            </w:pPr>
            <w:r>
              <w:t>起重量：</w:t>
            </w:r>
            <w:r>
              <w:t>3t</w:t>
            </w:r>
          </w:p>
        </w:tc>
        <w:tc>
          <w:tcPr>
            <w:tcW w:w="417" w:type="pct"/>
            <w:vAlign w:val="center"/>
          </w:tcPr>
          <w:p w14:paraId="5FE0CBE2" w14:textId="77777777" w:rsidR="002E474C" w:rsidRDefault="00000000">
            <w:pPr>
              <w:pStyle w:val="A-"/>
            </w:pPr>
            <w:r>
              <w:t>台</w:t>
            </w:r>
          </w:p>
        </w:tc>
        <w:tc>
          <w:tcPr>
            <w:tcW w:w="445" w:type="pct"/>
            <w:vAlign w:val="center"/>
          </w:tcPr>
          <w:p w14:paraId="4DFA86E6" w14:textId="77777777" w:rsidR="002E474C" w:rsidRDefault="00000000">
            <w:pPr>
              <w:pStyle w:val="A-"/>
            </w:pPr>
            <w:r>
              <w:t>1</w:t>
            </w:r>
          </w:p>
        </w:tc>
      </w:tr>
      <w:tr w:rsidR="002E474C" w14:paraId="1E71953A" w14:textId="77777777">
        <w:trPr>
          <w:tblHeader/>
          <w:jc w:val="center"/>
        </w:trPr>
        <w:tc>
          <w:tcPr>
            <w:tcW w:w="396" w:type="pct"/>
            <w:vAlign w:val="center"/>
          </w:tcPr>
          <w:p w14:paraId="2CB0F7CF" w14:textId="77777777" w:rsidR="002E474C" w:rsidRDefault="00000000">
            <w:pPr>
              <w:pStyle w:val="A-"/>
            </w:pPr>
            <w:r>
              <w:t>8</w:t>
            </w:r>
          </w:p>
        </w:tc>
        <w:tc>
          <w:tcPr>
            <w:tcW w:w="719" w:type="pct"/>
            <w:vMerge/>
            <w:vAlign w:val="center"/>
          </w:tcPr>
          <w:p w14:paraId="1C1F9180" w14:textId="77777777" w:rsidR="002E474C" w:rsidRDefault="002E474C">
            <w:pPr>
              <w:pStyle w:val="A-"/>
            </w:pPr>
          </w:p>
        </w:tc>
        <w:tc>
          <w:tcPr>
            <w:tcW w:w="1168" w:type="pct"/>
            <w:vAlign w:val="center"/>
          </w:tcPr>
          <w:p w14:paraId="021D920D" w14:textId="77777777" w:rsidR="002E474C" w:rsidRDefault="00000000">
            <w:pPr>
              <w:pStyle w:val="A-"/>
            </w:pPr>
            <w:r>
              <w:t>浆状混合器</w:t>
            </w:r>
          </w:p>
        </w:tc>
        <w:tc>
          <w:tcPr>
            <w:tcW w:w="1852" w:type="pct"/>
            <w:vAlign w:val="center"/>
          </w:tcPr>
          <w:p w14:paraId="4378B931" w14:textId="77777777" w:rsidR="002E474C" w:rsidRDefault="00000000">
            <w:pPr>
              <w:pStyle w:val="A-"/>
            </w:pPr>
            <w:r>
              <w:t>输送能力</w:t>
            </w:r>
            <w:r>
              <w:t>10</w:t>
            </w:r>
            <w:r>
              <w:t>～</w:t>
            </w:r>
            <w:r>
              <w:t>20t/h</w:t>
            </w:r>
            <w:r>
              <w:t>，总容积</w:t>
            </w:r>
            <w:r>
              <w:t>10m³</w:t>
            </w:r>
          </w:p>
        </w:tc>
        <w:tc>
          <w:tcPr>
            <w:tcW w:w="417" w:type="pct"/>
            <w:vAlign w:val="center"/>
          </w:tcPr>
          <w:p w14:paraId="096556B0" w14:textId="77777777" w:rsidR="002E474C" w:rsidRDefault="00000000">
            <w:pPr>
              <w:pStyle w:val="A-"/>
            </w:pPr>
            <w:r>
              <w:t>套</w:t>
            </w:r>
          </w:p>
        </w:tc>
        <w:tc>
          <w:tcPr>
            <w:tcW w:w="445" w:type="pct"/>
            <w:vAlign w:val="center"/>
          </w:tcPr>
          <w:p w14:paraId="0FBB45CD" w14:textId="77777777" w:rsidR="002E474C" w:rsidRDefault="00000000">
            <w:pPr>
              <w:pStyle w:val="A-"/>
            </w:pPr>
            <w:r>
              <w:t>1</w:t>
            </w:r>
          </w:p>
        </w:tc>
      </w:tr>
      <w:tr w:rsidR="002E474C" w14:paraId="4325456D" w14:textId="77777777">
        <w:trPr>
          <w:tblHeader/>
          <w:jc w:val="center"/>
        </w:trPr>
        <w:tc>
          <w:tcPr>
            <w:tcW w:w="396" w:type="pct"/>
            <w:vAlign w:val="center"/>
          </w:tcPr>
          <w:p w14:paraId="06769E0D" w14:textId="77777777" w:rsidR="002E474C" w:rsidRDefault="00000000">
            <w:pPr>
              <w:pStyle w:val="A-"/>
            </w:pPr>
            <w:r>
              <w:t>9</w:t>
            </w:r>
          </w:p>
        </w:tc>
        <w:tc>
          <w:tcPr>
            <w:tcW w:w="719" w:type="pct"/>
            <w:vMerge/>
            <w:vAlign w:val="center"/>
          </w:tcPr>
          <w:p w14:paraId="0F9A133F" w14:textId="77777777" w:rsidR="002E474C" w:rsidRDefault="002E474C">
            <w:pPr>
              <w:pStyle w:val="A-"/>
            </w:pPr>
          </w:p>
        </w:tc>
        <w:tc>
          <w:tcPr>
            <w:tcW w:w="1168" w:type="pct"/>
            <w:vAlign w:val="center"/>
          </w:tcPr>
          <w:p w14:paraId="24E1060B" w14:textId="77777777" w:rsidR="002E474C" w:rsidRDefault="00000000">
            <w:pPr>
              <w:pStyle w:val="A-"/>
            </w:pPr>
            <w:r>
              <w:t>回转式剪切破碎机</w:t>
            </w:r>
          </w:p>
        </w:tc>
        <w:tc>
          <w:tcPr>
            <w:tcW w:w="1852" w:type="pct"/>
            <w:vAlign w:val="center"/>
          </w:tcPr>
          <w:p w14:paraId="67B1A9A3" w14:textId="77777777" w:rsidR="002E474C" w:rsidRDefault="00000000">
            <w:pPr>
              <w:pStyle w:val="A-"/>
            </w:pPr>
            <w:r>
              <w:t>12t/h</w:t>
            </w:r>
          </w:p>
        </w:tc>
        <w:tc>
          <w:tcPr>
            <w:tcW w:w="417" w:type="pct"/>
            <w:vAlign w:val="center"/>
          </w:tcPr>
          <w:p w14:paraId="25C5C3A8" w14:textId="77777777" w:rsidR="002E474C" w:rsidRDefault="00000000">
            <w:pPr>
              <w:pStyle w:val="A-"/>
            </w:pPr>
            <w:r>
              <w:t>台</w:t>
            </w:r>
          </w:p>
        </w:tc>
        <w:tc>
          <w:tcPr>
            <w:tcW w:w="445" w:type="pct"/>
            <w:vAlign w:val="center"/>
          </w:tcPr>
          <w:p w14:paraId="2EEFDE06" w14:textId="77777777" w:rsidR="002E474C" w:rsidRDefault="00000000">
            <w:pPr>
              <w:pStyle w:val="A-"/>
            </w:pPr>
            <w:r>
              <w:t>1</w:t>
            </w:r>
          </w:p>
        </w:tc>
      </w:tr>
      <w:tr w:rsidR="002E474C" w14:paraId="2DA69178" w14:textId="77777777">
        <w:trPr>
          <w:tblHeader/>
          <w:jc w:val="center"/>
        </w:trPr>
        <w:tc>
          <w:tcPr>
            <w:tcW w:w="396" w:type="pct"/>
            <w:vAlign w:val="center"/>
          </w:tcPr>
          <w:p w14:paraId="07E537C0" w14:textId="77777777" w:rsidR="002E474C" w:rsidRDefault="00000000">
            <w:pPr>
              <w:pStyle w:val="A-"/>
            </w:pPr>
            <w:r>
              <w:t>10</w:t>
            </w:r>
          </w:p>
        </w:tc>
        <w:tc>
          <w:tcPr>
            <w:tcW w:w="719" w:type="pct"/>
            <w:vMerge/>
            <w:vAlign w:val="center"/>
          </w:tcPr>
          <w:p w14:paraId="7F98695C" w14:textId="77777777" w:rsidR="002E474C" w:rsidRDefault="002E474C">
            <w:pPr>
              <w:pStyle w:val="A-"/>
            </w:pPr>
          </w:p>
        </w:tc>
        <w:tc>
          <w:tcPr>
            <w:tcW w:w="1168" w:type="pct"/>
            <w:vAlign w:val="center"/>
          </w:tcPr>
          <w:p w14:paraId="150ED97F" w14:textId="77777777" w:rsidR="002E474C" w:rsidRDefault="00000000">
            <w:pPr>
              <w:pStyle w:val="A-"/>
            </w:pPr>
            <w:r>
              <w:t>单腔柱塞泵</w:t>
            </w:r>
          </w:p>
        </w:tc>
        <w:tc>
          <w:tcPr>
            <w:tcW w:w="1852" w:type="pct"/>
            <w:vAlign w:val="center"/>
          </w:tcPr>
          <w:p w14:paraId="75BAA657" w14:textId="77777777" w:rsidR="002E474C" w:rsidRDefault="00000000">
            <w:pPr>
              <w:pStyle w:val="A-"/>
            </w:pPr>
            <w:r>
              <w:t>柱塞直径</w:t>
            </w:r>
            <w:r>
              <w:t>Φ350mm</w:t>
            </w:r>
            <w:r>
              <w:t>，输送能力</w:t>
            </w:r>
            <w:r>
              <w:t>10m³/h</w:t>
            </w:r>
            <w:r>
              <w:t>，最大输送能力</w:t>
            </w:r>
            <w:r>
              <w:t>15.2m³/h</w:t>
            </w:r>
          </w:p>
        </w:tc>
        <w:tc>
          <w:tcPr>
            <w:tcW w:w="417" w:type="pct"/>
            <w:vAlign w:val="center"/>
          </w:tcPr>
          <w:p w14:paraId="148C4335" w14:textId="77777777" w:rsidR="002E474C" w:rsidRDefault="00000000">
            <w:pPr>
              <w:pStyle w:val="A-"/>
            </w:pPr>
            <w:r>
              <w:t>套</w:t>
            </w:r>
          </w:p>
        </w:tc>
        <w:tc>
          <w:tcPr>
            <w:tcW w:w="445" w:type="pct"/>
            <w:vAlign w:val="center"/>
          </w:tcPr>
          <w:p w14:paraId="63FAF56F" w14:textId="77777777" w:rsidR="002E474C" w:rsidRDefault="00000000">
            <w:pPr>
              <w:pStyle w:val="A-"/>
            </w:pPr>
            <w:r>
              <w:t>3</w:t>
            </w:r>
          </w:p>
        </w:tc>
      </w:tr>
      <w:tr w:rsidR="002E474C" w14:paraId="1A5D49CC" w14:textId="77777777">
        <w:trPr>
          <w:tblHeader/>
          <w:jc w:val="center"/>
        </w:trPr>
        <w:tc>
          <w:tcPr>
            <w:tcW w:w="396" w:type="pct"/>
            <w:vAlign w:val="center"/>
          </w:tcPr>
          <w:p w14:paraId="6A2782E1" w14:textId="77777777" w:rsidR="002E474C" w:rsidRDefault="00000000">
            <w:pPr>
              <w:pStyle w:val="A-"/>
            </w:pPr>
            <w:r>
              <w:t>11</w:t>
            </w:r>
          </w:p>
        </w:tc>
        <w:tc>
          <w:tcPr>
            <w:tcW w:w="719" w:type="pct"/>
            <w:vMerge/>
            <w:vAlign w:val="center"/>
          </w:tcPr>
          <w:p w14:paraId="08D4ED39" w14:textId="77777777" w:rsidR="002E474C" w:rsidRDefault="002E474C">
            <w:pPr>
              <w:pStyle w:val="A-"/>
            </w:pPr>
          </w:p>
        </w:tc>
        <w:tc>
          <w:tcPr>
            <w:tcW w:w="1168" w:type="pct"/>
            <w:vAlign w:val="center"/>
          </w:tcPr>
          <w:p w14:paraId="6B9D645E" w14:textId="77777777" w:rsidR="002E474C" w:rsidRDefault="00000000">
            <w:pPr>
              <w:pStyle w:val="A-"/>
            </w:pPr>
            <w:r>
              <w:t>浆渣危险废物喷枪</w:t>
            </w:r>
          </w:p>
        </w:tc>
        <w:tc>
          <w:tcPr>
            <w:tcW w:w="1852" w:type="pct"/>
            <w:vAlign w:val="center"/>
          </w:tcPr>
          <w:p w14:paraId="102060FD" w14:textId="77777777" w:rsidR="002E474C" w:rsidRDefault="00000000">
            <w:pPr>
              <w:pStyle w:val="A-"/>
            </w:pPr>
            <w:r>
              <w:t>能力</w:t>
            </w:r>
            <w:r>
              <w:t>10-20m³/h</w:t>
            </w:r>
          </w:p>
        </w:tc>
        <w:tc>
          <w:tcPr>
            <w:tcW w:w="417" w:type="pct"/>
            <w:vAlign w:val="center"/>
          </w:tcPr>
          <w:p w14:paraId="453580AF" w14:textId="77777777" w:rsidR="002E474C" w:rsidRDefault="00000000">
            <w:pPr>
              <w:pStyle w:val="A-"/>
            </w:pPr>
            <w:r>
              <w:t>台</w:t>
            </w:r>
          </w:p>
        </w:tc>
        <w:tc>
          <w:tcPr>
            <w:tcW w:w="445" w:type="pct"/>
            <w:vAlign w:val="center"/>
          </w:tcPr>
          <w:p w14:paraId="30968AF3" w14:textId="77777777" w:rsidR="002E474C" w:rsidRDefault="00000000">
            <w:pPr>
              <w:pStyle w:val="A-"/>
            </w:pPr>
            <w:r>
              <w:t>1</w:t>
            </w:r>
          </w:p>
        </w:tc>
      </w:tr>
      <w:tr w:rsidR="002E474C" w14:paraId="64901B6A" w14:textId="77777777">
        <w:trPr>
          <w:tblHeader/>
          <w:jc w:val="center"/>
        </w:trPr>
        <w:tc>
          <w:tcPr>
            <w:tcW w:w="396" w:type="pct"/>
            <w:vAlign w:val="center"/>
          </w:tcPr>
          <w:p w14:paraId="07E4CF76" w14:textId="77777777" w:rsidR="002E474C" w:rsidRDefault="00000000">
            <w:pPr>
              <w:pStyle w:val="A-"/>
            </w:pPr>
            <w:r>
              <w:t>12</w:t>
            </w:r>
          </w:p>
        </w:tc>
        <w:tc>
          <w:tcPr>
            <w:tcW w:w="719" w:type="pct"/>
            <w:vMerge/>
            <w:vAlign w:val="center"/>
          </w:tcPr>
          <w:p w14:paraId="6FF785C1" w14:textId="77777777" w:rsidR="002E474C" w:rsidRDefault="002E474C">
            <w:pPr>
              <w:pStyle w:val="A-"/>
            </w:pPr>
          </w:p>
        </w:tc>
        <w:tc>
          <w:tcPr>
            <w:tcW w:w="1168" w:type="pct"/>
            <w:vAlign w:val="center"/>
          </w:tcPr>
          <w:p w14:paraId="05D33D8B" w14:textId="77777777" w:rsidR="002E474C" w:rsidRDefault="00000000">
            <w:pPr>
              <w:pStyle w:val="A-"/>
            </w:pPr>
            <w:r>
              <w:t>有机固体废物料仓</w:t>
            </w:r>
          </w:p>
        </w:tc>
        <w:tc>
          <w:tcPr>
            <w:tcW w:w="1852" w:type="pct"/>
            <w:vAlign w:val="center"/>
          </w:tcPr>
          <w:p w14:paraId="13ECBDDD" w14:textId="77777777" w:rsidR="002E474C" w:rsidRDefault="00000000">
            <w:pPr>
              <w:pStyle w:val="A-"/>
            </w:pPr>
            <w:r>
              <w:t>容积：</w:t>
            </w:r>
            <w:r>
              <w:t>5m³</w:t>
            </w:r>
            <w:r>
              <w:t>，材质：</w:t>
            </w:r>
            <w:r>
              <w:t>Q235</w:t>
            </w:r>
            <w:r>
              <w:t>低碳钢</w:t>
            </w:r>
          </w:p>
        </w:tc>
        <w:tc>
          <w:tcPr>
            <w:tcW w:w="417" w:type="pct"/>
            <w:vAlign w:val="center"/>
          </w:tcPr>
          <w:p w14:paraId="7C3C7BE2" w14:textId="77777777" w:rsidR="002E474C" w:rsidRDefault="00000000">
            <w:pPr>
              <w:pStyle w:val="A-"/>
            </w:pPr>
            <w:r>
              <w:t>台</w:t>
            </w:r>
          </w:p>
        </w:tc>
        <w:tc>
          <w:tcPr>
            <w:tcW w:w="445" w:type="pct"/>
            <w:vAlign w:val="center"/>
          </w:tcPr>
          <w:p w14:paraId="37697A93" w14:textId="77777777" w:rsidR="002E474C" w:rsidRDefault="00000000">
            <w:pPr>
              <w:pStyle w:val="A-"/>
            </w:pPr>
            <w:r>
              <w:t>1</w:t>
            </w:r>
          </w:p>
        </w:tc>
      </w:tr>
      <w:tr w:rsidR="002E474C" w14:paraId="6B439D30" w14:textId="77777777">
        <w:trPr>
          <w:tblHeader/>
          <w:jc w:val="center"/>
        </w:trPr>
        <w:tc>
          <w:tcPr>
            <w:tcW w:w="396" w:type="pct"/>
            <w:vAlign w:val="center"/>
          </w:tcPr>
          <w:p w14:paraId="07788C53" w14:textId="77777777" w:rsidR="002E474C" w:rsidRDefault="00000000">
            <w:pPr>
              <w:pStyle w:val="A-"/>
            </w:pPr>
            <w:r>
              <w:t>13</w:t>
            </w:r>
          </w:p>
        </w:tc>
        <w:tc>
          <w:tcPr>
            <w:tcW w:w="719" w:type="pct"/>
            <w:vMerge/>
            <w:vAlign w:val="center"/>
          </w:tcPr>
          <w:p w14:paraId="36AC0553" w14:textId="77777777" w:rsidR="002E474C" w:rsidRDefault="002E474C">
            <w:pPr>
              <w:pStyle w:val="A-"/>
            </w:pPr>
          </w:p>
        </w:tc>
        <w:tc>
          <w:tcPr>
            <w:tcW w:w="1168" w:type="pct"/>
            <w:vAlign w:val="center"/>
          </w:tcPr>
          <w:p w14:paraId="00550B56" w14:textId="77777777" w:rsidR="002E474C" w:rsidRDefault="00000000">
            <w:pPr>
              <w:pStyle w:val="A-"/>
            </w:pPr>
            <w:r>
              <w:t>喂料仓</w:t>
            </w:r>
          </w:p>
        </w:tc>
        <w:tc>
          <w:tcPr>
            <w:tcW w:w="1852" w:type="pct"/>
            <w:vAlign w:val="center"/>
          </w:tcPr>
          <w:p w14:paraId="59A08EF9" w14:textId="77777777" w:rsidR="002E474C" w:rsidRDefault="00000000">
            <w:pPr>
              <w:pStyle w:val="A-"/>
            </w:pPr>
            <w:r>
              <w:t>6m</w:t>
            </w:r>
            <w:r>
              <w:rPr>
                <w:rFonts w:hint="eastAsia"/>
              </w:rPr>
              <w:t>³</w:t>
            </w:r>
          </w:p>
        </w:tc>
        <w:tc>
          <w:tcPr>
            <w:tcW w:w="417" w:type="pct"/>
            <w:vAlign w:val="center"/>
          </w:tcPr>
          <w:p w14:paraId="7F99D127" w14:textId="77777777" w:rsidR="002E474C" w:rsidRDefault="00000000">
            <w:pPr>
              <w:pStyle w:val="A-"/>
            </w:pPr>
            <w:r>
              <w:t>台</w:t>
            </w:r>
          </w:p>
        </w:tc>
        <w:tc>
          <w:tcPr>
            <w:tcW w:w="445" w:type="pct"/>
            <w:vAlign w:val="center"/>
          </w:tcPr>
          <w:p w14:paraId="4AF9C692" w14:textId="77777777" w:rsidR="002E474C" w:rsidRDefault="00000000">
            <w:pPr>
              <w:pStyle w:val="A-"/>
            </w:pPr>
            <w:r>
              <w:t>1</w:t>
            </w:r>
          </w:p>
        </w:tc>
      </w:tr>
      <w:tr w:rsidR="002E474C" w14:paraId="54599CAC" w14:textId="77777777">
        <w:trPr>
          <w:tblHeader/>
          <w:jc w:val="center"/>
        </w:trPr>
        <w:tc>
          <w:tcPr>
            <w:tcW w:w="396" w:type="pct"/>
            <w:vAlign w:val="center"/>
          </w:tcPr>
          <w:p w14:paraId="1BF22596" w14:textId="77777777" w:rsidR="002E474C" w:rsidRDefault="00000000">
            <w:pPr>
              <w:pStyle w:val="A-"/>
            </w:pPr>
            <w:r>
              <w:t>14</w:t>
            </w:r>
          </w:p>
        </w:tc>
        <w:tc>
          <w:tcPr>
            <w:tcW w:w="719" w:type="pct"/>
            <w:vMerge w:val="restart"/>
            <w:vAlign w:val="center"/>
          </w:tcPr>
          <w:p w14:paraId="3398BBBE" w14:textId="77777777" w:rsidR="002E474C" w:rsidRDefault="00000000">
            <w:pPr>
              <w:pStyle w:val="A-"/>
            </w:pPr>
            <w:r>
              <w:t>液态危险废物处置系统</w:t>
            </w:r>
          </w:p>
        </w:tc>
        <w:tc>
          <w:tcPr>
            <w:tcW w:w="1168" w:type="pct"/>
            <w:vAlign w:val="center"/>
          </w:tcPr>
          <w:p w14:paraId="0567301C" w14:textId="77777777" w:rsidR="002E474C" w:rsidRDefault="00000000">
            <w:pPr>
              <w:pStyle w:val="A-"/>
            </w:pPr>
            <w:r>
              <w:t>废液储罐</w:t>
            </w:r>
          </w:p>
        </w:tc>
        <w:tc>
          <w:tcPr>
            <w:tcW w:w="1852" w:type="pct"/>
            <w:vAlign w:val="center"/>
          </w:tcPr>
          <w:p w14:paraId="62AD4B9B" w14:textId="77777777" w:rsidR="002E474C" w:rsidRDefault="00000000">
            <w:pPr>
              <w:pStyle w:val="A-"/>
            </w:pPr>
            <w:r>
              <w:t>容积：</w:t>
            </w:r>
            <w:r>
              <w:t>32m</w:t>
            </w:r>
            <w:r>
              <w:rPr>
                <w:vertAlign w:val="superscript"/>
              </w:rPr>
              <w:t>3</w:t>
            </w:r>
          </w:p>
        </w:tc>
        <w:tc>
          <w:tcPr>
            <w:tcW w:w="417" w:type="pct"/>
            <w:vAlign w:val="center"/>
          </w:tcPr>
          <w:p w14:paraId="2D3A644F" w14:textId="77777777" w:rsidR="002E474C" w:rsidRDefault="00000000">
            <w:pPr>
              <w:pStyle w:val="A-"/>
            </w:pPr>
            <w:r>
              <w:t>套</w:t>
            </w:r>
          </w:p>
        </w:tc>
        <w:tc>
          <w:tcPr>
            <w:tcW w:w="445" w:type="pct"/>
            <w:vAlign w:val="center"/>
          </w:tcPr>
          <w:p w14:paraId="3426ECDD" w14:textId="77777777" w:rsidR="002E474C" w:rsidRDefault="00000000">
            <w:pPr>
              <w:pStyle w:val="A-"/>
            </w:pPr>
            <w:r>
              <w:t>4</w:t>
            </w:r>
          </w:p>
        </w:tc>
      </w:tr>
      <w:tr w:rsidR="002E474C" w14:paraId="4F4A2131" w14:textId="77777777">
        <w:trPr>
          <w:tblHeader/>
          <w:jc w:val="center"/>
        </w:trPr>
        <w:tc>
          <w:tcPr>
            <w:tcW w:w="396" w:type="pct"/>
            <w:vAlign w:val="center"/>
          </w:tcPr>
          <w:p w14:paraId="0CDC49C7" w14:textId="77777777" w:rsidR="002E474C" w:rsidRDefault="00000000">
            <w:pPr>
              <w:pStyle w:val="A-"/>
            </w:pPr>
            <w:r>
              <w:t>15</w:t>
            </w:r>
          </w:p>
        </w:tc>
        <w:tc>
          <w:tcPr>
            <w:tcW w:w="719" w:type="pct"/>
            <w:vMerge/>
            <w:vAlign w:val="center"/>
          </w:tcPr>
          <w:p w14:paraId="7A072238" w14:textId="77777777" w:rsidR="002E474C" w:rsidRDefault="002E474C">
            <w:pPr>
              <w:pStyle w:val="A-"/>
            </w:pPr>
          </w:p>
        </w:tc>
        <w:tc>
          <w:tcPr>
            <w:tcW w:w="1168" w:type="pct"/>
            <w:vAlign w:val="center"/>
          </w:tcPr>
          <w:p w14:paraId="7EB8B0C1" w14:textId="77777777" w:rsidR="002E474C" w:rsidRDefault="00000000">
            <w:pPr>
              <w:pStyle w:val="A-"/>
            </w:pPr>
            <w:r>
              <w:t>卸料泵</w:t>
            </w:r>
          </w:p>
        </w:tc>
        <w:tc>
          <w:tcPr>
            <w:tcW w:w="1852" w:type="pct"/>
            <w:vAlign w:val="center"/>
          </w:tcPr>
          <w:p w14:paraId="0E61EA68" w14:textId="77777777" w:rsidR="002E474C" w:rsidRDefault="00000000">
            <w:pPr>
              <w:pStyle w:val="A-"/>
            </w:pPr>
            <w:r>
              <w:t>流量：</w:t>
            </w:r>
            <w:r>
              <w:t>15m</w:t>
            </w:r>
            <w:r>
              <w:rPr>
                <w:vertAlign w:val="superscript"/>
              </w:rPr>
              <w:t>3</w:t>
            </w:r>
            <w:r>
              <w:t>/h</w:t>
            </w:r>
          </w:p>
        </w:tc>
        <w:tc>
          <w:tcPr>
            <w:tcW w:w="417" w:type="pct"/>
            <w:vAlign w:val="center"/>
          </w:tcPr>
          <w:p w14:paraId="5D6A48DC" w14:textId="77777777" w:rsidR="002E474C" w:rsidRDefault="00000000">
            <w:pPr>
              <w:pStyle w:val="A-"/>
            </w:pPr>
            <w:r>
              <w:t>台</w:t>
            </w:r>
          </w:p>
        </w:tc>
        <w:tc>
          <w:tcPr>
            <w:tcW w:w="445" w:type="pct"/>
            <w:vAlign w:val="center"/>
          </w:tcPr>
          <w:p w14:paraId="5179F8C9" w14:textId="77777777" w:rsidR="002E474C" w:rsidRDefault="00000000">
            <w:pPr>
              <w:pStyle w:val="A-"/>
            </w:pPr>
            <w:r>
              <w:t>1</w:t>
            </w:r>
          </w:p>
        </w:tc>
      </w:tr>
      <w:tr w:rsidR="002E474C" w14:paraId="4B90B4B0" w14:textId="77777777">
        <w:trPr>
          <w:tblHeader/>
          <w:jc w:val="center"/>
        </w:trPr>
        <w:tc>
          <w:tcPr>
            <w:tcW w:w="396" w:type="pct"/>
            <w:vAlign w:val="center"/>
          </w:tcPr>
          <w:p w14:paraId="69E83D66" w14:textId="77777777" w:rsidR="002E474C" w:rsidRDefault="00000000">
            <w:pPr>
              <w:pStyle w:val="A-"/>
            </w:pPr>
            <w:r>
              <w:t>16</w:t>
            </w:r>
          </w:p>
        </w:tc>
        <w:tc>
          <w:tcPr>
            <w:tcW w:w="719" w:type="pct"/>
            <w:vMerge/>
            <w:vAlign w:val="center"/>
          </w:tcPr>
          <w:p w14:paraId="0D8861C7" w14:textId="77777777" w:rsidR="002E474C" w:rsidRDefault="002E474C">
            <w:pPr>
              <w:pStyle w:val="A-"/>
            </w:pPr>
          </w:p>
        </w:tc>
        <w:tc>
          <w:tcPr>
            <w:tcW w:w="1168" w:type="pct"/>
            <w:vAlign w:val="center"/>
          </w:tcPr>
          <w:p w14:paraId="441BBC1A" w14:textId="77777777" w:rsidR="002E474C" w:rsidRDefault="00000000">
            <w:pPr>
              <w:pStyle w:val="A-"/>
            </w:pPr>
            <w:r>
              <w:t>调质反应池（罐）</w:t>
            </w:r>
          </w:p>
        </w:tc>
        <w:tc>
          <w:tcPr>
            <w:tcW w:w="1852" w:type="pct"/>
            <w:vAlign w:val="center"/>
          </w:tcPr>
          <w:p w14:paraId="770BFCBF" w14:textId="77777777" w:rsidR="002E474C" w:rsidRDefault="00000000">
            <w:pPr>
              <w:pStyle w:val="A-"/>
            </w:pPr>
            <w:r>
              <w:t>容积：</w:t>
            </w:r>
            <w:r>
              <w:t>30m</w:t>
            </w:r>
            <w:r>
              <w:rPr>
                <w:vertAlign w:val="superscript"/>
              </w:rPr>
              <w:t>3</w:t>
            </w:r>
          </w:p>
        </w:tc>
        <w:tc>
          <w:tcPr>
            <w:tcW w:w="417" w:type="pct"/>
            <w:vAlign w:val="center"/>
          </w:tcPr>
          <w:p w14:paraId="21EC1A48" w14:textId="77777777" w:rsidR="002E474C" w:rsidRDefault="00000000">
            <w:pPr>
              <w:pStyle w:val="A-"/>
            </w:pPr>
            <w:r>
              <w:t>套</w:t>
            </w:r>
          </w:p>
        </w:tc>
        <w:tc>
          <w:tcPr>
            <w:tcW w:w="445" w:type="pct"/>
            <w:vAlign w:val="center"/>
          </w:tcPr>
          <w:p w14:paraId="79B90F66" w14:textId="77777777" w:rsidR="002E474C" w:rsidRDefault="00000000">
            <w:pPr>
              <w:pStyle w:val="A-"/>
            </w:pPr>
            <w:r>
              <w:t>1</w:t>
            </w:r>
          </w:p>
        </w:tc>
      </w:tr>
      <w:tr w:rsidR="002E474C" w14:paraId="42E243E5" w14:textId="77777777">
        <w:trPr>
          <w:tblHeader/>
          <w:jc w:val="center"/>
        </w:trPr>
        <w:tc>
          <w:tcPr>
            <w:tcW w:w="396" w:type="pct"/>
            <w:vAlign w:val="center"/>
          </w:tcPr>
          <w:p w14:paraId="0970AEDD" w14:textId="77777777" w:rsidR="002E474C" w:rsidRDefault="00000000">
            <w:pPr>
              <w:pStyle w:val="A-"/>
            </w:pPr>
            <w:r>
              <w:t>17</w:t>
            </w:r>
          </w:p>
        </w:tc>
        <w:tc>
          <w:tcPr>
            <w:tcW w:w="719" w:type="pct"/>
            <w:vMerge/>
            <w:vAlign w:val="center"/>
          </w:tcPr>
          <w:p w14:paraId="42F10F7B" w14:textId="77777777" w:rsidR="002E474C" w:rsidRDefault="002E474C">
            <w:pPr>
              <w:pStyle w:val="A-"/>
            </w:pPr>
          </w:p>
        </w:tc>
        <w:tc>
          <w:tcPr>
            <w:tcW w:w="1168" w:type="pct"/>
            <w:vAlign w:val="center"/>
          </w:tcPr>
          <w:p w14:paraId="34EBA831" w14:textId="77777777" w:rsidR="002E474C" w:rsidRDefault="00000000">
            <w:pPr>
              <w:pStyle w:val="A-"/>
              <w:ind w:leftChars="-25" w:left="-53" w:rightChars="-25" w:right="-53"/>
            </w:pPr>
            <w:r>
              <w:t>废酸、废碱罐输送泵</w:t>
            </w:r>
          </w:p>
        </w:tc>
        <w:tc>
          <w:tcPr>
            <w:tcW w:w="1852" w:type="pct"/>
            <w:vAlign w:val="center"/>
          </w:tcPr>
          <w:p w14:paraId="4FA036B8" w14:textId="77777777" w:rsidR="002E474C" w:rsidRDefault="00000000">
            <w:pPr>
              <w:pStyle w:val="A-"/>
            </w:pPr>
            <w:r>
              <w:t>流量：</w:t>
            </w:r>
            <w:r>
              <w:t>2.3m</w:t>
            </w:r>
            <w:r>
              <w:rPr>
                <w:vertAlign w:val="superscript"/>
              </w:rPr>
              <w:t>3</w:t>
            </w:r>
            <w:r>
              <w:t>/h</w:t>
            </w:r>
          </w:p>
        </w:tc>
        <w:tc>
          <w:tcPr>
            <w:tcW w:w="417" w:type="pct"/>
            <w:vAlign w:val="center"/>
          </w:tcPr>
          <w:p w14:paraId="505FFF4B" w14:textId="77777777" w:rsidR="002E474C" w:rsidRDefault="00000000">
            <w:pPr>
              <w:pStyle w:val="A-"/>
            </w:pPr>
            <w:r>
              <w:t>台</w:t>
            </w:r>
          </w:p>
        </w:tc>
        <w:tc>
          <w:tcPr>
            <w:tcW w:w="445" w:type="pct"/>
            <w:vAlign w:val="center"/>
          </w:tcPr>
          <w:p w14:paraId="0DD1C0E8" w14:textId="77777777" w:rsidR="002E474C" w:rsidRDefault="00000000">
            <w:pPr>
              <w:pStyle w:val="A-"/>
            </w:pPr>
            <w:r>
              <w:t>1</w:t>
            </w:r>
          </w:p>
        </w:tc>
      </w:tr>
      <w:tr w:rsidR="002E474C" w14:paraId="1F42C31B" w14:textId="77777777">
        <w:trPr>
          <w:tblHeader/>
          <w:jc w:val="center"/>
        </w:trPr>
        <w:tc>
          <w:tcPr>
            <w:tcW w:w="675" w:type="dxa"/>
            <w:vAlign w:val="center"/>
          </w:tcPr>
          <w:p w14:paraId="7D538A32" w14:textId="77777777" w:rsidR="002E474C" w:rsidRDefault="00000000">
            <w:pPr>
              <w:pStyle w:val="A-"/>
            </w:pPr>
            <w:r>
              <w:t>18</w:t>
            </w:r>
          </w:p>
        </w:tc>
        <w:tc>
          <w:tcPr>
            <w:tcW w:w="719" w:type="pct"/>
            <w:vMerge/>
            <w:vAlign w:val="center"/>
          </w:tcPr>
          <w:p w14:paraId="08E9907C" w14:textId="77777777" w:rsidR="002E474C" w:rsidRDefault="002E474C">
            <w:pPr>
              <w:pStyle w:val="A-"/>
            </w:pPr>
          </w:p>
        </w:tc>
        <w:tc>
          <w:tcPr>
            <w:tcW w:w="1168" w:type="pct"/>
            <w:vAlign w:val="center"/>
          </w:tcPr>
          <w:p w14:paraId="0358A351" w14:textId="77777777" w:rsidR="002E474C" w:rsidRDefault="00000000">
            <w:pPr>
              <w:pStyle w:val="A-"/>
            </w:pPr>
            <w:r>
              <w:t>有机废液、重金属废液罐输送泵</w:t>
            </w:r>
          </w:p>
        </w:tc>
        <w:tc>
          <w:tcPr>
            <w:tcW w:w="1852" w:type="pct"/>
            <w:vAlign w:val="center"/>
          </w:tcPr>
          <w:p w14:paraId="7A7E0BBA" w14:textId="77777777" w:rsidR="002E474C" w:rsidRDefault="00000000">
            <w:pPr>
              <w:pStyle w:val="A-"/>
            </w:pPr>
            <w:r>
              <w:t>流量：</w:t>
            </w:r>
            <w:r>
              <w:t>2.3m</w:t>
            </w:r>
            <w:r>
              <w:rPr>
                <w:vertAlign w:val="superscript"/>
              </w:rPr>
              <w:t>3</w:t>
            </w:r>
            <w:r>
              <w:t>/h</w:t>
            </w:r>
          </w:p>
        </w:tc>
        <w:tc>
          <w:tcPr>
            <w:tcW w:w="417" w:type="pct"/>
            <w:vAlign w:val="center"/>
          </w:tcPr>
          <w:p w14:paraId="5094CC57" w14:textId="77777777" w:rsidR="002E474C" w:rsidRDefault="00000000">
            <w:pPr>
              <w:pStyle w:val="A-"/>
            </w:pPr>
            <w:r>
              <w:t>台</w:t>
            </w:r>
          </w:p>
        </w:tc>
        <w:tc>
          <w:tcPr>
            <w:tcW w:w="445" w:type="pct"/>
            <w:vAlign w:val="center"/>
          </w:tcPr>
          <w:p w14:paraId="7770037D" w14:textId="77777777" w:rsidR="002E474C" w:rsidRDefault="00000000">
            <w:pPr>
              <w:pStyle w:val="A-"/>
            </w:pPr>
            <w:r>
              <w:t>2</w:t>
            </w:r>
          </w:p>
        </w:tc>
      </w:tr>
      <w:tr w:rsidR="002E474C" w14:paraId="4B3D1434" w14:textId="77777777">
        <w:trPr>
          <w:tblHeader/>
          <w:jc w:val="center"/>
        </w:trPr>
        <w:tc>
          <w:tcPr>
            <w:tcW w:w="675" w:type="dxa"/>
            <w:vAlign w:val="center"/>
          </w:tcPr>
          <w:p w14:paraId="5F439D7A" w14:textId="77777777" w:rsidR="002E474C" w:rsidRDefault="00000000">
            <w:pPr>
              <w:pStyle w:val="A-"/>
            </w:pPr>
            <w:r>
              <w:t>19</w:t>
            </w:r>
          </w:p>
        </w:tc>
        <w:tc>
          <w:tcPr>
            <w:tcW w:w="719" w:type="pct"/>
            <w:vMerge/>
            <w:vAlign w:val="center"/>
          </w:tcPr>
          <w:p w14:paraId="3FFD33C7" w14:textId="77777777" w:rsidR="002E474C" w:rsidRDefault="002E474C">
            <w:pPr>
              <w:pStyle w:val="A-"/>
            </w:pPr>
          </w:p>
        </w:tc>
        <w:tc>
          <w:tcPr>
            <w:tcW w:w="1168" w:type="pct"/>
            <w:vAlign w:val="center"/>
          </w:tcPr>
          <w:p w14:paraId="6FB826B1" w14:textId="77777777" w:rsidR="002E474C" w:rsidRDefault="00000000">
            <w:pPr>
              <w:pStyle w:val="A-"/>
            </w:pPr>
            <w:r>
              <w:t>喷头</w:t>
            </w:r>
          </w:p>
        </w:tc>
        <w:tc>
          <w:tcPr>
            <w:tcW w:w="1852" w:type="pct"/>
            <w:vAlign w:val="center"/>
          </w:tcPr>
          <w:p w14:paraId="06B1467F" w14:textId="77777777" w:rsidR="002E474C" w:rsidRDefault="002E474C">
            <w:pPr>
              <w:pStyle w:val="A-"/>
            </w:pPr>
          </w:p>
        </w:tc>
        <w:tc>
          <w:tcPr>
            <w:tcW w:w="417" w:type="pct"/>
            <w:vAlign w:val="center"/>
          </w:tcPr>
          <w:p w14:paraId="59EA22B8" w14:textId="77777777" w:rsidR="002E474C" w:rsidRDefault="00000000">
            <w:pPr>
              <w:pStyle w:val="A-"/>
            </w:pPr>
            <w:r>
              <w:t>个</w:t>
            </w:r>
          </w:p>
        </w:tc>
        <w:tc>
          <w:tcPr>
            <w:tcW w:w="445" w:type="pct"/>
            <w:vAlign w:val="center"/>
          </w:tcPr>
          <w:p w14:paraId="0642C99C" w14:textId="77777777" w:rsidR="002E474C" w:rsidRDefault="00000000">
            <w:pPr>
              <w:pStyle w:val="A-"/>
            </w:pPr>
            <w:r>
              <w:t>3</w:t>
            </w:r>
          </w:p>
        </w:tc>
      </w:tr>
      <w:tr w:rsidR="002E474C" w14:paraId="69ED79D5" w14:textId="77777777">
        <w:trPr>
          <w:tblHeader/>
          <w:jc w:val="center"/>
        </w:trPr>
        <w:tc>
          <w:tcPr>
            <w:tcW w:w="675" w:type="dxa"/>
            <w:vAlign w:val="center"/>
          </w:tcPr>
          <w:p w14:paraId="013CE104" w14:textId="77777777" w:rsidR="002E474C" w:rsidRDefault="00000000">
            <w:pPr>
              <w:pStyle w:val="A-"/>
            </w:pPr>
            <w:r>
              <w:t>20</w:t>
            </w:r>
          </w:p>
        </w:tc>
        <w:tc>
          <w:tcPr>
            <w:tcW w:w="719" w:type="pct"/>
            <w:vMerge/>
            <w:vAlign w:val="center"/>
          </w:tcPr>
          <w:p w14:paraId="17910CEE" w14:textId="77777777" w:rsidR="002E474C" w:rsidRDefault="002E474C">
            <w:pPr>
              <w:pStyle w:val="A-"/>
            </w:pPr>
          </w:p>
        </w:tc>
        <w:tc>
          <w:tcPr>
            <w:tcW w:w="1168" w:type="pct"/>
            <w:vAlign w:val="center"/>
          </w:tcPr>
          <w:p w14:paraId="32A9BBF6" w14:textId="77777777" w:rsidR="002E474C" w:rsidRDefault="00000000">
            <w:pPr>
              <w:pStyle w:val="A-"/>
            </w:pPr>
            <w:r>
              <w:t>阀组架</w:t>
            </w:r>
          </w:p>
        </w:tc>
        <w:tc>
          <w:tcPr>
            <w:tcW w:w="1852" w:type="pct"/>
            <w:vAlign w:val="center"/>
          </w:tcPr>
          <w:p w14:paraId="349CA5DF" w14:textId="77777777" w:rsidR="002E474C" w:rsidRDefault="002E474C">
            <w:pPr>
              <w:pStyle w:val="A-"/>
            </w:pPr>
          </w:p>
        </w:tc>
        <w:tc>
          <w:tcPr>
            <w:tcW w:w="417" w:type="pct"/>
            <w:vAlign w:val="center"/>
          </w:tcPr>
          <w:p w14:paraId="78942181" w14:textId="77777777" w:rsidR="002E474C" w:rsidRDefault="00000000">
            <w:pPr>
              <w:pStyle w:val="A-"/>
            </w:pPr>
            <w:r>
              <w:t>套</w:t>
            </w:r>
          </w:p>
        </w:tc>
        <w:tc>
          <w:tcPr>
            <w:tcW w:w="445" w:type="pct"/>
            <w:vAlign w:val="center"/>
          </w:tcPr>
          <w:p w14:paraId="65D650FA" w14:textId="77777777" w:rsidR="002E474C" w:rsidRDefault="00000000">
            <w:pPr>
              <w:pStyle w:val="A-"/>
            </w:pPr>
            <w:r>
              <w:t>2</w:t>
            </w:r>
          </w:p>
        </w:tc>
      </w:tr>
    </w:tbl>
    <w:p w14:paraId="5667D99D" w14:textId="77777777" w:rsidR="002E474C" w:rsidRDefault="002E474C"/>
    <w:p w14:paraId="691431D3" w14:textId="77777777" w:rsidR="002E474C" w:rsidRDefault="00000000">
      <w:pPr>
        <w:pStyle w:val="41"/>
        <w:rPr>
          <w:bCs w:val="0"/>
          <w:color w:val="auto"/>
          <w:lang w:val="en-US"/>
        </w:rPr>
      </w:pPr>
      <w:r>
        <w:rPr>
          <w:bCs w:val="0"/>
          <w:color w:val="auto"/>
          <w:lang w:val="en-US"/>
        </w:rPr>
        <w:t>分析化验室</w:t>
      </w:r>
    </w:p>
    <w:p w14:paraId="46C86B08" w14:textId="77777777" w:rsidR="002E474C" w:rsidRDefault="00000000">
      <w:pPr>
        <w:pStyle w:val="A-z"/>
        <w:rPr>
          <w:color w:val="auto"/>
        </w:rPr>
      </w:pPr>
      <w:r>
        <w:rPr>
          <w:color w:val="auto"/>
        </w:rPr>
        <w:t>预处理中心设一座危险废物分析化验室，设置必要的废物分析化验设备，检测能力如下：</w:t>
      </w:r>
    </w:p>
    <w:p w14:paraId="11BEE3A8" w14:textId="77777777" w:rsidR="002E474C" w:rsidRDefault="00000000">
      <w:pPr>
        <w:pStyle w:val="A-z"/>
        <w:rPr>
          <w:color w:val="auto"/>
        </w:rPr>
      </w:pPr>
      <w:r>
        <w:rPr>
          <w:color w:val="auto"/>
        </w:rPr>
        <w:t>（</w:t>
      </w:r>
      <w:r>
        <w:rPr>
          <w:color w:val="auto"/>
        </w:rPr>
        <w:t>1</w:t>
      </w:r>
      <w:r>
        <w:rPr>
          <w:color w:val="auto"/>
        </w:rPr>
        <w:t>）具备</w:t>
      </w:r>
      <w:bookmarkStart w:id="128" w:name="OLE_LINK40"/>
      <w:r>
        <w:rPr>
          <w:color w:val="auto"/>
        </w:rPr>
        <w:t>《工业固体废物采样制样技术规范》（</w:t>
      </w:r>
      <w:r>
        <w:rPr>
          <w:color w:val="auto"/>
        </w:rPr>
        <w:t>HJ/T20</w:t>
      </w:r>
      <w:bookmarkEnd w:id="128"/>
      <w:r>
        <w:rPr>
          <w:color w:val="auto"/>
        </w:rPr>
        <w:t>）要求的采样制样能力、工具和仪器。</w:t>
      </w:r>
    </w:p>
    <w:p w14:paraId="63305E06" w14:textId="77777777" w:rsidR="002E474C" w:rsidRDefault="00000000">
      <w:pPr>
        <w:pStyle w:val="A-z"/>
        <w:rPr>
          <w:color w:val="auto"/>
        </w:rPr>
      </w:pPr>
      <w:r>
        <w:rPr>
          <w:color w:val="auto"/>
        </w:rPr>
        <w:t>（</w:t>
      </w:r>
      <w:r>
        <w:rPr>
          <w:color w:val="auto"/>
        </w:rPr>
        <w:t>2</w:t>
      </w:r>
      <w:r>
        <w:rPr>
          <w:color w:val="auto"/>
        </w:rPr>
        <w:t>）协同处置的废物及水泥生产原料中汞（</w:t>
      </w:r>
      <w:r>
        <w:rPr>
          <w:color w:val="auto"/>
        </w:rPr>
        <w:t>Hg</w:t>
      </w:r>
      <w:r>
        <w:rPr>
          <w:color w:val="auto"/>
        </w:rPr>
        <w:t>）、镉（</w:t>
      </w:r>
      <w:r>
        <w:rPr>
          <w:color w:val="auto"/>
        </w:rPr>
        <w:t>Cd</w:t>
      </w:r>
      <w:r>
        <w:rPr>
          <w:color w:val="auto"/>
        </w:rPr>
        <w:t>）、铊（</w:t>
      </w:r>
      <w:r>
        <w:rPr>
          <w:color w:val="auto"/>
        </w:rPr>
        <w:t>Tl</w:t>
      </w:r>
      <w:r>
        <w:rPr>
          <w:color w:val="auto"/>
        </w:rPr>
        <w:t>）、砷（</w:t>
      </w:r>
      <w:r>
        <w:rPr>
          <w:color w:val="auto"/>
        </w:rPr>
        <w:t>As</w:t>
      </w:r>
      <w:r>
        <w:rPr>
          <w:color w:val="auto"/>
        </w:rPr>
        <w:t>）、镍（</w:t>
      </w:r>
      <w:r>
        <w:rPr>
          <w:color w:val="auto"/>
        </w:rPr>
        <w:t>Ni</w:t>
      </w:r>
      <w:r>
        <w:rPr>
          <w:color w:val="auto"/>
        </w:rPr>
        <w:t>）、铅（</w:t>
      </w:r>
      <w:r>
        <w:rPr>
          <w:color w:val="auto"/>
        </w:rPr>
        <w:t>Pb</w:t>
      </w:r>
      <w:r>
        <w:rPr>
          <w:color w:val="auto"/>
        </w:rPr>
        <w:t>）、铬（</w:t>
      </w:r>
      <w:r>
        <w:rPr>
          <w:color w:val="auto"/>
        </w:rPr>
        <w:t>Cr</w:t>
      </w:r>
      <w:r>
        <w:rPr>
          <w:color w:val="auto"/>
        </w:rPr>
        <w:t>）、锡（</w:t>
      </w:r>
      <w:r>
        <w:rPr>
          <w:color w:val="auto"/>
        </w:rPr>
        <w:t>Sn</w:t>
      </w:r>
      <w:r>
        <w:rPr>
          <w:color w:val="auto"/>
        </w:rPr>
        <w:t>）、锑（</w:t>
      </w:r>
      <w:r>
        <w:rPr>
          <w:color w:val="auto"/>
        </w:rPr>
        <w:t>Sb</w:t>
      </w:r>
      <w:r>
        <w:rPr>
          <w:color w:val="auto"/>
        </w:rPr>
        <w:t>）、铜（</w:t>
      </w:r>
      <w:r>
        <w:rPr>
          <w:color w:val="auto"/>
        </w:rPr>
        <w:t>Cu</w:t>
      </w:r>
      <w:r>
        <w:rPr>
          <w:color w:val="auto"/>
        </w:rPr>
        <w:t>）、锰（</w:t>
      </w:r>
      <w:r>
        <w:rPr>
          <w:color w:val="auto"/>
        </w:rPr>
        <w:t>Mn</w:t>
      </w:r>
      <w:r>
        <w:rPr>
          <w:color w:val="auto"/>
        </w:rPr>
        <w:t>）、铍（</w:t>
      </w:r>
      <w:r>
        <w:rPr>
          <w:color w:val="auto"/>
        </w:rPr>
        <w:t>Be</w:t>
      </w:r>
      <w:r>
        <w:rPr>
          <w:color w:val="auto"/>
        </w:rPr>
        <w:t>）、锌（</w:t>
      </w:r>
      <w:r>
        <w:rPr>
          <w:color w:val="auto"/>
        </w:rPr>
        <w:t>Zn</w:t>
      </w:r>
      <w:r>
        <w:rPr>
          <w:color w:val="auto"/>
        </w:rPr>
        <w:t>）、钒（</w:t>
      </w:r>
      <w:r>
        <w:rPr>
          <w:color w:val="auto"/>
        </w:rPr>
        <w:t>V</w:t>
      </w:r>
      <w:r>
        <w:rPr>
          <w:color w:val="auto"/>
        </w:rPr>
        <w:t>）、钴（</w:t>
      </w:r>
      <w:r>
        <w:rPr>
          <w:color w:val="auto"/>
        </w:rPr>
        <w:t>Co</w:t>
      </w:r>
      <w:r>
        <w:rPr>
          <w:color w:val="auto"/>
        </w:rPr>
        <w:t>）、钼（</w:t>
      </w:r>
      <w:r>
        <w:rPr>
          <w:color w:val="auto"/>
        </w:rPr>
        <w:t>Mo</w:t>
      </w:r>
      <w:r>
        <w:rPr>
          <w:color w:val="auto"/>
        </w:rPr>
        <w:t>）、氟（</w:t>
      </w:r>
      <w:r>
        <w:rPr>
          <w:color w:val="auto"/>
        </w:rPr>
        <w:t>F</w:t>
      </w:r>
      <w:r>
        <w:rPr>
          <w:color w:val="auto"/>
        </w:rPr>
        <w:t>）、氯（</w:t>
      </w:r>
      <w:r>
        <w:rPr>
          <w:color w:val="auto"/>
        </w:rPr>
        <w:t>Cl</w:t>
      </w:r>
      <w:r>
        <w:rPr>
          <w:color w:val="auto"/>
        </w:rPr>
        <w:t>）、硫（</w:t>
      </w:r>
      <w:r>
        <w:rPr>
          <w:color w:val="auto"/>
        </w:rPr>
        <w:t>S</w:t>
      </w:r>
      <w:r>
        <w:rPr>
          <w:color w:val="auto"/>
        </w:rPr>
        <w:t>）的分析。</w:t>
      </w:r>
    </w:p>
    <w:p w14:paraId="5193FCA5" w14:textId="77777777" w:rsidR="002E474C" w:rsidRDefault="00000000">
      <w:pPr>
        <w:pStyle w:val="A-z"/>
        <w:rPr>
          <w:color w:val="auto"/>
        </w:rPr>
      </w:pPr>
      <w:r>
        <w:rPr>
          <w:color w:val="auto"/>
        </w:rPr>
        <w:t>（</w:t>
      </w:r>
      <w:r>
        <w:rPr>
          <w:color w:val="auto"/>
        </w:rPr>
        <w:t>3</w:t>
      </w:r>
      <w:r>
        <w:rPr>
          <w:color w:val="auto"/>
        </w:rPr>
        <w:t>）相容性测试，一般需要配备粘度仪、搅拌仪、温度计、压力计、</w:t>
      </w:r>
      <w:r>
        <w:rPr>
          <w:color w:val="auto"/>
        </w:rPr>
        <w:t>pH</w:t>
      </w:r>
      <w:r>
        <w:rPr>
          <w:color w:val="auto"/>
        </w:rPr>
        <w:t>计、反应气体收集装置等。</w:t>
      </w:r>
    </w:p>
    <w:p w14:paraId="3550386F" w14:textId="77777777" w:rsidR="002E474C" w:rsidRDefault="00000000">
      <w:pPr>
        <w:pStyle w:val="A-z"/>
        <w:rPr>
          <w:color w:val="auto"/>
        </w:rPr>
      </w:pPr>
      <w:r>
        <w:rPr>
          <w:color w:val="auto"/>
        </w:rPr>
        <w:t>（</w:t>
      </w:r>
      <w:r>
        <w:rPr>
          <w:color w:val="auto"/>
        </w:rPr>
        <w:t>4</w:t>
      </w:r>
      <w:r>
        <w:rPr>
          <w:color w:val="auto"/>
        </w:rPr>
        <w:t>）满足监测要求的水泥产品环境安全检测。</w:t>
      </w:r>
    </w:p>
    <w:p w14:paraId="6191C2C7" w14:textId="77777777" w:rsidR="002E474C" w:rsidRDefault="00000000">
      <w:pPr>
        <w:pStyle w:val="A-z"/>
        <w:rPr>
          <w:color w:val="auto"/>
        </w:rPr>
      </w:pPr>
      <w:r>
        <w:rPr>
          <w:color w:val="auto"/>
        </w:rPr>
        <w:lastRenderedPageBreak/>
        <w:t>（</w:t>
      </w:r>
      <w:r>
        <w:rPr>
          <w:color w:val="auto"/>
        </w:rPr>
        <w:t>5</w:t>
      </w:r>
      <w:r>
        <w:rPr>
          <w:color w:val="auto"/>
        </w:rPr>
        <w:t>）分析化验室应设有样品保存库，用于贮存备份样品；样品保存库应可以长期贮存废物样品而不使废物性质发生变化，并满足相应的消防要求。</w:t>
      </w:r>
    </w:p>
    <w:p w14:paraId="2FEA3EEF" w14:textId="77777777" w:rsidR="002E474C" w:rsidRDefault="00000000">
      <w:pPr>
        <w:pStyle w:val="A-z"/>
        <w:rPr>
          <w:color w:val="auto"/>
        </w:rPr>
      </w:pPr>
      <w:r>
        <w:rPr>
          <w:color w:val="auto"/>
        </w:rPr>
        <w:t>实验过程中所产生的液态废物、样品残渣及其他与样品有过直接接触的物品（例如纸张、手套）要严格按照危险废物进行储存和处置。液态废物、样品残渣及其他与样品有过直接接触的物品放入专用废物收集桶内收集储存，然后转运至窑尾，通过提升机提升到处置平台入窑焚烧处置。</w:t>
      </w:r>
    </w:p>
    <w:p w14:paraId="487D2D37" w14:textId="77777777" w:rsidR="002E474C" w:rsidRDefault="00000000">
      <w:pPr>
        <w:pStyle w:val="A-z"/>
        <w:rPr>
          <w:color w:val="auto"/>
        </w:rPr>
      </w:pPr>
      <w:r>
        <w:rPr>
          <w:color w:val="auto"/>
        </w:rPr>
        <w:t>根据项目实际运行情况，检测能力不足部分委托有资质的检测单位进行检测。危险废物检验分析室，其主要实验设备见表</w:t>
      </w:r>
      <w:r>
        <w:rPr>
          <w:color w:val="auto"/>
        </w:rPr>
        <w:t>3.2.-3</w:t>
      </w:r>
      <w:r>
        <w:rPr>
          <w:color w:val="auto"/>
        </w:rPr>
        <w:t>。</w:t>
      </w:r>
    </w:p>
    <w:p w14:paraId="053C8162" w14:textId="77777777" w:rsidR="002E474C" w:rsidRDefault="00000000">
      <w:pPr>
        <w:pStyle w:val="A--"/>
        <w:rPr>
          <w:color w:val="auto"/>
        </w:rPr>
      </w:pPr>
      <w:r>
        <w:rPr>
          <w:color w:val="auto"/>
        </w:rPr>
        <w:t>表</w:t>
      </w:r>
      <w:r>
        <w:rPr>
          <w:color w:val="auto"/>
        </w:rPr>
        <w:t xml:space="preserve">3.2-3      </w:t>
      </w:r>
      <w:r>
        <w:rPr>
          <w:color w:val="auto"/>
        </w:rPr>
        <w:t>分析化验室检验设备一览表</w:t>
      </w:r>
    </w:p>
    <w:tbl>
      <w:tblPr>
        <w:tblW w:w="5000" w:type="pct"/>
        <w:jc w:val="center"/>
        <w:tblCellMar>
          <w:left w:w="15" w:type="dxa"/>
          <w:right w:w="15" w:type="dxa"/>
        </w:tblCellMar>
        <w:tblLook w:val="04A0" w:firstRow="1" w:lastRow="0" w:firstColumn="1" w:lastColumn="0" w:noHBand="0" w:noVBand="1"/>
      </w:tblPr>
      <w:tblGrid>
        <w:gridCol w:w="534"/>
        <w:gridCol w:w="1299"/>
        <w:gridCol w:w="3635"/>
        <w:gridCol w:w="1297"/>
        <w:gridCol w:w="519"/>
        <w:gridCol w:w="1012"/>
      </w:tblGrid>
      <w:tr w:rsidR="002E474C" w14:paraId="53803360" w14:textId="77777777">
        <w:trPr>
          <w:trHeight w:val="283"/>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D3C3D60" w14:textId="77777777" w:rsidR="002E474C" w:rsidRDefault="00000000">
            <w:pPr>
              <w:pStyle w:val="A-"/>
            </w:pPr>
            <w:r>
              <w:t>序号</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B0B9599" w14:textId="77777777" w:rsidR="002E474C" w:rsidRDefault="00000000">
            <w:pPr>
              <w:pStyle w:val="A-"/>
            </w:pPr>
            <w:r>
              <w:t>名称</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676BCA9" w14:textId="77777777" w:rsidR="002E474C" w:rsidRDefault="00000000">
            <w:pPr>
              <w:pStyle w:val="A-"/>
            </w:pPr>
            <w:r>
              <w:t>规格</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430946F" w14:textId="77777777" w:rsidR="002E474C" w:rsidRDefault="00000000">
            <w:pPr>
              <w:pStyle w:val="A-"/>
            </w:pPr>
            <w:r>
              <w:t>型号</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6BB3585" w14:textId="77777777" w:rsidR="002E474C" w:rsidRDefault="00000000">
            <w:pPr>
              <w:pStyle w:val="A-"/>
            </w:pPr>
            <w:r>
              <w:t>数量</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7012F4C" w14:textId="77777777" w:rsidR="002E474C" w:rsidRDefault="00000000">
            <w:pPr>
              <w:pStyle w:val="A-"/>
            </w:pPr>
            <w:r>
              <w:t>检测项目</w:t>
            </w:r>
          </w:p>
        </w:tc>
      </w:tr>
      <w:tr w:rsidR="002E474C" w14:paraId="33ABE4FE"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83FCFA0" w14:textId="77777777" w:rsidR="002E474C" w:rsidRDefault="00000000">
            <w:pPr>
              <w:pStyle w:val="A-"/>
            </w:pPr>
            <w:r>
              <w:t>1</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30D2097" w14:textId="77777777" w:rsidR="002E474C" w:rsidRDefault="00000000">
            <w:pPr>
              <w:pStyle w:val="A-"/>
            </w:pPr>
            <w:r>
              <w:t>电子天平</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9A8173F" w14:textId="77777777" w:rsidR="002E474C" w:rsidRDefault="00000000">
            <w:pPr>
              <w:pStyle w:val="A-"/>
            </w:pPr>
            <w:r>
              <w:t>称量范围（</w:t>
            </w:r>
            <w:r>
              <w:t>0-400g</w:t>
            </w:r>
            <w:r>
              <w:t>）精度</w:t>
            </w:r>
            <w:r>
              <w:t>0.01g</w:t>
            </w:r>
            <w:r>
              <w:t>，秤盘直径：</w:t>
            </w:r>
            <w:r>
              <w:t>150±10mm</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090B648" w14:textId="77777777" w:rsidR="002E474C" w:rsidRDefault="00000000">
            <w:pPr>
              <w:pStyle w:val="A-"/>
            </w:pPr>
            <w:r>
              <w:t>YP4002</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AADE5A8"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C5067D2" w14:textId="77777777" w:rsidR="002E474C" w:rsidRDefault="00000000">
            <w:pPr>
              <w:pStyle w:val="A-"/>
            </w:pPr>
            <w:r>
              <w:t>称重</w:t>
            </w:r>
          </w:p>
        </w:tc>
      </w:tr>
      <w:tr w:rsidR="002E474C" w14:paraId="678EDB3A"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47CA7EF" w14:textId="77777777" w:rsidR="002E474C" w:rsidRDefault="00000000">
            <w:pPr>
              <w:pStyle w:val="A-"/>
            </w:pPr>
            <w:r>
              <w:t>2</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D43567D" w14:textId="77777777" w:rsidR="002E474C" w:rsidRDefault="00000000">
            <w:pPr>
              <w:pStyle w:val="A-"/>
            </w:pPr>
            <w:r>
              <w:t>电子分析天平</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B59CB02" w14:textId="77777777" w:rsidR="002E474C" w:rsidRDefault="00000000">
            <w:pPr>
              <w:pStyle w:val="A-"/>
            </w:pPr>
            <w:r>
              <w:t>称量范围（</w:t>
            </w:r>
            <w:r>
              <w:t>0-200g</w:t>
            </w:r>
            <w:r>
              <w:t>）精度</w:t>
            </w:r>
            <w:r>
              <w:t>0.0001g</w:t>
            </w:r>
            <w:r>
              <w:t>；秤盘直径：</w:t>
            </w:r>
            <w:r>
              <w:t>100±10mm</w:t>
            </w:r>
            <w:r>
              <w:t>，工作空间高度</w:t>
            </w:r>
            <w:r>
              <w:t>240mm</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ECDDE25" w14:textId="77777777" w:rsidR="002E474C" w:rsidRDefault="00000000">
            <w:pPr>
              <w:pStyle w:val="A-"/>
            </w:pPr>
            <w:r>
              <w:t>FA2204B</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AD02A27"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EEDE59F" w14:textId="77777777" w:rsidR="002E474C" w:rsidRDefault="00000000">
            <w:pPr>
              <w:pStyle w:val="A-"/>
            </w:pPr>
            <w:r>
              <w:t>称重</w:t>
            </w:r>
          </w:p>
        </w:tc>
      </w:tr>
      <w:tr w:rsidR="002E474C" w14:paraId="5BEC4E5F"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E7D316F" w14:textId="77777777" w:rsidR="002E474C" w:rsidRDefault="00000000">
            <w:pPr>
              <w:pStyle w:val="A-"/>
            </w:pPr>
            <w:r>
              <w:t>3</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3DE68B5" w14:textId="77777777" w:rsidR="002E474C" w:rsidRDefault="00000000">
            <w:pPr>
              <w:pStyle w:val="A-"/>
            </w:pPr>
            <w:r>
              <w:t>电加热搅拌器</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663CB7C" w14:textId="77777777" w:rsidR="002E474C" w:rsidRDefault="00000000">
            <w:pPr>
              <w:pStyle w:val="A-"/>
            </w:pPr>
            <w:r>
              <w:t>温度范围：室温</w:t>
            </w:r>
            <w:r>
              <w:t>-300℃</w:t>
            </w:r>
            <w:r>
              <w:t>，速率</w:t>
            </w:r>
            <w:r>
              <w:t>100-2000rpm</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D8224D3" w14:textId="77777777" w:rsidR="002E474C" w:rsidRDefault="00000000">
            <w:pPr>
              <w:pStyle w:val="A-"/>
            </w:pPr>
            <w:r>
              <w:t>S22-2</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4CB5EC9"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9001E56" w14:textId="77777777" w:rsidR="002E474C" w:rsidRDefault="00000000">
            <w:pPr>
              <w:pStyle w:val="A-"/>
            </w:pPr>
            <w:r>
              <w:t>样品</w:t>
            </w:r>
          </w:p>
          <w:p w14:paraId="34989080" w14:textId="77777777" w:rsidR="002E474C" w:rsidRDefault="00000000">
            <w:pPr>
              <w:pStyle w:val="A-"/>
            </w:pPr>
            <w:r>
              <w:t>前处理</w:t>
            </w:r>
          </w:p>
        </w:tc>
      </w:tr>
      <w:tr w:rsidR="002E474C" w14:paraId="3D097289"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387847B" w14:textId="77777777" w:rsidR="002E474C" w:rsidRDefault="00000000">
            <w:pPr>
              <w:pStyle w:val="A-"/>
            </w:pPr>
            <w:r>
              <w:t>4</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0F220B9" w14:textId="77777777" w:rsidR="002E474C" w:rsidRDefault="00000000">
            <w:pPr>
              <w:pStyle w:val="A-"/>
            </w:pPr>
            <w:r>
              <w:t>量热仪</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3DE4254" w14:textId="77777777" w:rsidR="002E474C" w:rsidRDefault="00000000">
            <w:pPr>
              <w:pStyle w:val="A-"/>
            </w:pPr>
            <w:r>
              <w:t>测温范围：</w:t>
            </w:r>
            <w:r>
              <w:t>0℃-65℃</w:t>
            </w:r>
            <w:r>
              <w:t>；温度分辨率：</w:t>
            </w:r>
            <w:r>
              <w:t>0.0001</w:t>
            </w:r>
            <w:r>
              <w:t>；</w:t>
            </w:r>
          </w:p>
          <w:p w14:paraId="30A38AA6" w14:textId="77777777" w:rsidR="002E474C" w:rsidRDefault="00000000">
            <w:pPr>
              <w:pStyle w:val="A-"/>
            </w:pPr>
            <w:r>
              <w:t>精密度：</w:t>
            </w:r>
            <w:r>
              <w:t>≤0.1%</w:t>
            </w:r>
            <w:r>
              <w:t>；热容量：约</w:t>
            </w:r>
            <w:r>
              <w:t>10500J/K</w:t>
            </w:r>
            <w:r>
              <w:t>；</w:t>
            </w:r>
          </w:p>
          <w:p w14:paraId="0D0ADF25" w14:textId="77777777" w:rsidR="002E474C" w:rsidRDefault="00000000">
            <w:pPr>
              <w:pStyle w:val="A-"/>
            </w:pPr>
            <w:r>
              <w:t>点火电压：</w:t>
            </w:r>
            <w:r>
              <w:t>20V</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51F43F0" w14:textId="77777777" w:rsidR="002E474C" w:rsidRDefault="00000000">
            <w:pPr>
              <w:pStyle w:val="A-"/>
            </w:pPr>
            <w:r>
              <w:t>ZDHW-5000</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B7E428D"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5CBF882" w14:textId="77777777" w:rsidR="002E474C" w:rsidRDefault="00000000">
            <w:pPr>
              <w:pStyle w:val="A-"/>
            </w:pPr>
            <w:r>
              <w:t>热值</w:t>
            </w:r>
          </w:p>
        </w:tc>
      </w:tr>
      <w:tr w:rsidR="002E474C" w14:paraId="6D56AE2F"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E7BCD69" w14:textId="77777777" w:rsidR="002E474C" w:rsidRDefault="00000000">
            <w:pPr>
              <w:pStyle w:val="A-"/>
            </w:pPr>
            <w:r>
              <w:t>5</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E83EE3D" w14:textId="77777777" w:rsidR="002E474C" w:rsidRDefault="00000000">
            <w:pPr>
              <w:pStyle w:val="A-"/>
            </w:pPr>
            <w:r>
              <w:t>高温炉</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65783BD" w14:textId="77777777" w:rsidR="002E474C" w:rsidRDefault="00000000">
            <w:pPr>
              <w:pStyle w:val="A-"/>
            </w:pPr>
            <w:r>
              <w:t>0-1200℃</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6659A83" w14:textId="77777777" w:rsidR="002E474C" w:rsidRDefault="00000000">
            <w:pPr>
              <w:pStyle w:val="A-"/>
            </w:pPr>
            <w:r>
              <w:t>SX-4-10</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2E57DE9"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91C4A2F" w14:textId="77777777" w:rsidR="002E474C" w:rsidRDefault="00000000">
            <w:pPr>
              <w:pStyle w:val="A-"/>
            </w:pPr>
            <w:r>
              <w:t>烧失量</w:t>
            </w:r>
          </w:p>
        </w:tc>
      </w:tr>
      <w:tr w:rsidR="002E474C" w14:paraId="02596484"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1653B5C" w14:textId="77777777" w:rsidR="002E474C" w:rsidRDefault="00000000">
            <w:pPr>
              <w:pStyle w:val="A-"/>
            </w:pPr>
            <w:r>
              <w:t>6</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3A2FCAF" w14:textId="77777777" w:rsidR="002E474C" w:rsidRDefault="00000000">
            <w:pPr>
              <w:pStyle w:val="A-"/>
            </w:pPr>
            <w:r>
              <w:t>电热鼓风</w:t>
            </w:r>
          </w:p>
          <w:p w14:paraId="6EC48B41" w14:textId="77777777" w:rsidR="002E474C" w:rsidRDefault="00000000">
            <w:pPr>
              <w:pStyle w:val="A-"/>
            </w:pPr>
            <w:r>
              <w:t>干燥箱</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51F39F9" w14:textId="77777777" w:rsidR="002E474C" w:rsidRDefault="00000000">
            <w:pPr>
              <w:pStyle w:val="A-"/>
            </w:pPr>
            <w:r>
              <w:t>0-300℃</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9FFB497" w14:textId="77777777" w:rsidR="002E474C" w:rsidRDefault="00000000">
            <w:pPr>
              <w:pStyle w:val="A-"/>
            </w:pPr>
            <w:r>
              <w:t>101-2AB</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1BFC200"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48235DE" w14:textId="77777777" w:rsidR="002E474C" w:rsidRDefault="00000000">
            <w:pPr>
              <w:pStyle w:val="A-"/>
            </w:pPr>
            <w:r>
              <w:t>水分</w:t>
            </w:r>
          </w:p>
        </w:tc>
      </w:tr>
      <w:tr w:rsidR="002E474C" w14:paraId="151B8D5C"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A71BE6C" w14:textId="77777777" w:rsidR="002E474C" w:rsidRDefault="00000000">
            <w:pPr>
              <w:pStyle w:val="A-"/>
            </w:pPr>
            <w:r>
              <w:t>7</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8A2FDFE" w14:textId="77777777" w:rsidR="002E474C" w:rsidRDefault="00000000">
            <w:pPr>
              <w:pStyle w:val="A-"/>
            </w:pPr>
            <w:r>
              <w:t>酸度计</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FF6D210" w14:textId="77777777" w:rsidR="002E474C" w:rsidRDefault="00000000">
            <w:pPr>
              <w:pStyle w:val="A-"/>
            </w:pPr>
            <w:r>
              <w:t>PH</w:t>
            </w:r>
            <w:r>
              <w:t>范围：</w:t>
            </w:r>
            <w:r>
              <w:t>0-14</w:t>
            </w:r>
            <w:r>
              <w:t>；精度：</w:t>
            </w:r>
            <w:r>
              <w:t>0.01</w:t>
            </w:r>
            <w:r>
              <w:t>，温度范围</w:t>
            </w:r>
            <w:r>
              <w:t>0-100℃</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AE59305" w14:textId="77777777" w:rsidR="002E474C" w:rsidRDefault="00000000">
            <w:pPr>
              <w:pStyle w:val="A-"/>
            </w:pPr>
            <w:r>
              <w:t>PHS-3C</w:t>
            </w:r>
            <w:r>
              <w:t>台式酸度计</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445ED2C" w14:textId="77777777" w:rsidR="002E474C" w:rsidRDefault="00000000">
            <w:pPr>
              <w:pStyle w:val="A-"/>
            </w:pPr>
            <w:r>
              <w:t>2</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9A8A054" w14:textId="77777777" w:rsidR="002E474C" w:rsidRDefault="00000000">
            <w:pPr>
              <w:pStyle w:val="A-"/>
            </w:pPr>
            <w:r>
              <w:t>溶液</w:t>
            </w:r>
            <w:r>
              <w:t>pH</w:t>
            </w:r>
            <w:r>
              <w:t>值</w:t>
            </w:r>
          </w:p>
        </w:tc>
      </w:tr>
      <w:tr w:rsidR="002E474C" w14:paraId="0E2FDF3E"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D0AC9E7" w14:textId="77777777" w:rsidR="002E474C" w:rsidRDefault="00000000">
            <w:pPr>
              <w:pStyle w:val="A-"/>
            </w:pPr>
            <w:r>
              <w:t>8</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1F087B3" w14:textId="77777777" w:rsidR="002E474C" w:rsidRDefault="00000000">
            <w:pPr>
              <w:pStyle w:val="A-"/>
            </w:pPr>
            <w:r>
              <w:t>磁力搅拌器</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3929D45" w14:textId="77777777" w:rsidR="002E474C" w:rsidRDefault="00000000">
            <w:pPr>
              <w:pStyle w:val="A-"/>
            </w:pPr>
            <w:r>
              <w:t>无机变速：</w:t>
            </w:r>
            <w:r>
              <w:t>0-3000rpm</w:t>
            </w:r>
            <w:r>
              <w:t>，温度范围</w:t>
            </w:r>
            <w:r>
              <w:t>0-100℃</w:t>
            </w:r>
            <w:r>
              <w:t>，控温精度：</w:t>
            </w:r>
            <w:r>
              <w:t>±1℃</w:t>
            </w:r>
            <w:r>
              <w:t>，定时：</w:t>
            </w:r>
            <w:r>
              <w:t>0-120min</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AA81F3C" w14:textId="77777777" w:rsidR="002E474C" w:rsidRDefault="00000000">
            <w:pPr>
              <w:pStyle w:val="A-"/>
            </w:pPr>
            <w:r>
              <w:t>Feb-85</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EC30FFD" w14:textId="77777777" w:rsidR="002E474C" w:rsidRDefault="00000000">
            <w:pPr>
              <w:pStyle w:val="A-"/>
            </w:pPr>
            <w:r>
              <w:t>2</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C492746" w14:textId="77777777" w:rsidR="002E474C" w:rsidRDefault="00000000">
            <w:pPr>
              <w:pStyle w:val="A-"/>
            </w:pPr>
            <w:r>
              <w:t>样品</w:t>
            </w:r>
          </w:p>
          <w:p w14:paraId="4D74A021" w14:textId="77777777" w:rsidR="002E474C" w:rsidRDefault="00000000">
            <w:pPr>
              <w:pStyle w:val="A-"/>
            </w:pPr>
            <w:r>
              <w:t>前处理</w:t>
            </w:r>
          </w:p>
        </w:tc>
      </w:tr>
      <w:tr w:rsidR="002E474C" w14:paraId="74E626B7"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D940B6A" w14:textId="77777777" w:rsidR="002E474C" w:rsidRDefault="00000000">
            <w:pPr>
              <w:pStyle w:val="A-"/>
            </w:pPr>
            <w:r>
              <w:t>9</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386BCB3" w14:textId="77777777" w:rsidR="002E474C" w:rsidRDefault="00000000">
            <w:pPr>
              <w:pStyle w:val="A-"/>
            </w:pPr>
            <w:r>
              <w:t>电感耦合等离子体发射</w:t>
            </w:r>
          </w:p>
          <w:p w14:paraId="3301D4AD" w14:textId="77777777" w:rsidR="002E474C" w:rsidRDefault="00000000">
            <w:pPr>
              <w:pStyle w:val="A-"/>
            </w:pPr>
            <w:r>
              <w:t>光谱仪</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848CCC8" w14:textId="77777777" w:rsidR="002E474C" w:rsidRDefault="00000000">
            <w:pPr>
              <w:pStyle w:val="A-"/>
            </w:pPr>
            <w:r>
              <w:t>Ag</w:t>
            </w:r>
            <w:r>
              <w:t>、</w:t>
            </w:r>
            <w:r>
              <w:t>Cr</w:t>
            </w:r>
            <w:r>
              <w:t>、</w:t>
            </w:r>
            <w:r>
              <w:t>Cu</w:t>
            </w:r>
            <w:r>
              <w:t>、</w:t>
            </w:r>
            <w:r>
              <w:t>Fe</w:t>
            </w:r>
            <w:r>
              <w:t>、</w:t>
            </w:r>
            <w:r>
              <w:t>Pb</w:t>
            </w:r>
            <w:r>
              <w:t>等</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BE50FFD" w14:textId="77777777" w:rsidR="002E474C" w:rsidRDefault="00000000">
            <w:pPr>
              <w:pStyle w:val="A-"/>
            </w:pPr>
            <w:r>
              <w:t>ICP2060T</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DA33600" w14:textId="77777777" w:rsidR="002E474C" w:rsidRDefault="002E474C">
            <w:pPr>
              <w:pStyle w:val="A-"/>
            </w:pP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95B76B7" w14:textId="77777777" w:rsidR="002E474C" w:rsidRDefault="00000000">
            <w:pPr>
              <w:pStyle w:val="A-"/>
            </w:pPr>
            <w:r>
              <w:t>测量</w:t>
            </w:r>
            <w:r>
              <w:t>22</w:t>
            </w:r>
            <w:r>
              <w:t>种金属元素</w:t>
            </w:r>
          </w:p>
        </w:tc>
      </w:tr>
      <w:tr w:rsidR="002E474C" w14:paraId="26393416"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682B53" w14:textId="77777777" w:rsidR="002E474C" w:rsidRDefault="00000000">
            <w:pPr>
              <w:pStyle w:val="A-"/>
            </w:pPr>
            <w:r>
              <w:t>10</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352D7E9" w14:textId="77777777" w:rsidR="002E474C" w:rsidRDefault="00000000">
            <w:pPr>
              <w:pStyle w:val="A-"/>
            </w:pPr>
            <w:r>
              <w:t>微波消解系统（含赶酸板）</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C31C76F" w14:textId="77777777" w:rsidR="002E474C" w:rsidRDefault="002E474C">
            <w:pPr>
              <w:pStyle w:val="A-"/>
            </w:pP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CBCB33C" w14:textId="77777777" w:rsidR="002E474C" w:rsidRDefault="00000000">
            <w:pPr>
              <w:pStyle w:val="A-"/>
            </w:pPr>
            <w:r>
              <w:t>MDS-6G</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E34E156" w14:textId="77777777" w:rsidR="002E474C" w:rsidRDefault="002E474C">
            <w:pPr>
              <w:pStyle w:val="A-"/>
            </w:pP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DB5603B" w14:textId="77777777" w:rsidR="002E474C" w:rsidRDefault="00000000">
            <w:pPr>
              <w:pStyle w:val="A-"/>
            </w:pPr>
            <w:r>
              <w:t>样品</w:t>
            </w:r>
          </w:p>
          <w:p w14:paraId="723995EA" w14:textId="77777777" w:rsidR="002E474C" w:rsidRDefault="00000000">
            <w:pPr>
              <w:pStyle w:val="A-"/>
            </w:pPr>
            <w:r>
              <w:t>前处理</w:t>
            </w:r>
          </w:p>
        </w:tc>
      </w:tr>
      <w:tr w:rsidR="002E474C" w14:paraId="47A7139B"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B8FF00D" w14:textId="77777777" w:rsidR="002E474C" w:rsidRDefault="00000000">
            <w:pPr>
              <w:pStyle w:val="A-"/>
            </w:pPr>
            <w:r>
              <w:t>11</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BF92E8A" w14:textId="77777777" w:rsidR="002E474C" w:rsidRDefault="00000000">
            <w:pPr>
              <w:pStyle w:val="A-"/>
            </w:pPr>
            <w:r>
              <w:t>原子吸收光谱分析</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17B3BE1" w14:textId="77777777" w:rsidR="002E474C" w:rsidRDefault="00000000">
            <w:pPr>
              <w:pStyle w:val="A-"/>
            </w:pPr>
            <w:r>
              <w:t>As</w:t>
            </w:r>
            <w:r>
              <w:t>、</w:t>
            </w:r>
            <w:r>
              <w:t>Cr</w:t>
            </w:r>
            <w:r>
              <w:t>、</w:t>
            </w:r>
            <w:r>
              <w:t>Pb</w:t>
            </w:r>
            <w:r>
              <w:t>、</w:t>
            </w:r>
            <w:r>
              <w:t>Cd</w:t>
            </w:r>
            <w:r>
              <w:t>、</w:t>
            </w:r>
            <w:r>
              <w:t>Zn</w:t>
            </w:r>
            <w:r>
              <w:t>、</w:t>
            </w:r>
            <w:r>
              <w:t>Cu</w:t>
            </w:r>
            <w:r>
              <w:t>、</w:t>
            </w:r>
            <w:r>
              <w:t>Ni</w:t>
            </w:r>
            <w:r>
              <w:t>、</w:t>
            </w:r>
            <w:r>
              <w:t>Hg</w:t>
            </w:r>
            <w:r>
              <w:t>、</w:t>
            </w:r>
            <w:r>
              <w:t>Co</w:t>
            </w:r>
            <w:r>
              <w:t>等</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FB4CEBF" w14:textId="77777777" w:rsidR="002E474C" w:rsidRDefault="00000000">
            <w:pPr>
              <w:pStyle w:val="A-"/>
            </w:pPr>
            <w:r>
              <w:t>AAS6000</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66C7572"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9E23F67" w14:textId="77777777" w:rsidR="002E474C" w:rsidRDefault="00000000">
            <w:pPr>
              <w:pStyle w:val="A-"/>
            </w:pPr>
            <w:r>
              <w:t>重金属</w:t>
            </w:r>
          </w:p>
        </w:tc>
      </w:tr>
      <w:tr w:rsidR="002E474C" w14:paraId="0D29F11F"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FA7FC32" w14:textId="77777777" w:rsidR="002E474C" w:rsidRDefault="00000000">
            <w:pPr>
              <w:pStyle w:val="A-"/>
            </w:pPr>
            <w:r>
              <w:t>12</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A82F0AB" w14:textId="77777777" w:rsidR="002E474C" w:rsidRDefault="00000000">
            <w:pPr>
              <w:pStyle w:val="A-"/>
            </w:pPr>
            <w:r>
              <w:t>闭口闪点仪（自动）</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C57962E" w14:textId="77777777" w:rsidR="002E474C" w:rsidRDefault="00000000">
            <w:pPr>
              <w:pStyle w:val="A-"/>
            </w:pPr>
            <w:r>
              <w:t>测量范围</w:t>
            </w:r>
            <w:r>
              <w:t>0-400℃</w:t>
            </w:r>
            <w:r>
              <w:t>，测量精度</w:t>
            </w:r>
            <w:r>
              <w:t>±1℃</w:t>
            </w:r>
            <w:r>
              <w:t>，环境温度：</w:t>
            </w:r>
            <w:r>
              <w:t>10-40℃</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729362F" w14:textId="77777777" w:rsidR="002E474C" w:rsidRDefault="00000000">
            <w:pPr>
              <w:pStyle w:val="A-"/>
            </w:pPr>
            <w:r>
              <w:t>TP511</w:t>
            </w:r>
            <w:r>
              <w:t>型全自动闭口闪点测定仪</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31069E3"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7BB07DF" w14:textId="77777777" w:rsidR="002E474C" w:rsidRDefault="00000000">
            <w:pPr>
              <w:pStyle w:val="A-"/>
            </w:pPr>
            <w:r>
              <w:t>闪点</w:t>
            </w:r>
          </w:p>
        </w:tc>
      </w:tr>
      <w:tr w:rsidR="002E474C" w14:paraId="5BB26A38"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D13F673" w14:textId="77777777" w:rsidR="002E474C" w:rsidRDefault="00000000">
            <w:pPr>
              <w:pStyle w:val="A-"/>
            </w:pPr>
            <w:r>
              <w:t>13</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1E2587F" w14:textId="77777777" w:rsidR="002E474C" w:rsidRDefault="00000000">
            <w:pPr>
              <w:pStyle w:val="A-"/>
            </w:pPr>
            <w:r>
              <w:t>离子色谱仪</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369B4E4" w14:textId="77777777" w:rsidR="002E474C" w:rsidRDefault="00000000">
            <w:pPr>
              <w:pStyle w:val="A-"/>
            </w:pPr>
            <w:r>
              <w:t>F-</w:t>
            </w:r>
            <w:r>
              <w:t>、</w:t>
            </w:r>
            <w:r>
              <w:t>Cl-</w:t>
            </w:r>
            <w:r>
              <w:t>、</w:t>
            </w:r>
            <w:r>
              <w:t>Br-</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94D3D83" w14:textId="77777777" w:rsidR="002E474C" w:rsidRDefault="00000000">
            <w:pPr>
              <w:pStyle w:val="A-"/>
            </w:pPr>
            <w:r>
              <w:t>TIC-600</w:t>
            </w: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733D8448" w14:textId="77777777" w:rsidR="002E474C" w:rsidRDefault="00000000">
            <w:pPr>
              <w:pStyle w:val="A-"/>
            </w:pPr>
            <w:r>
              <w:t>1</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1A08B91E" w14:textId="77777777" w:rsidR="002E474C" w:rsidRDefault="00000000">
            <w:pPr>
              <w:pStyle w:val="A-"/>
            </w:pPr>
            <w:r>
              <w:t>阴阳离子</w:t>
            </w:r>
          </w:p>
        </w:tc>
      </w:tr>
      <w:tr w:rsidR="002E474C" w14:paraId="4EA0E41E"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6A1DAA1" w14:textId="77777777" w:rsidR="002E474C" w:rsidRDefault="00000000">
            <w:pPr>
              <w:pStyle w:val="A-"/>
            </w:pPr>
            <w:r>
              <w:t>14</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A4D4F17" w14:textId="77777777" w:rsidR="002E474C" w:rsidRDefault="00000000">
            <w:pPr>
              <w:pStyle w:val="A-"/>
            </w:pPr>
            <w:r>
              <w:t>能量色散</w:t>
            </w:r>
            <w:r>
              <w:t>X</w:t>
            </w:r>
            <w:r>
              <w:t>射线荧光分析仪</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32E0282E" w14:textId="77777777" w:rsidR="002E474C" w:rsidRDefault="00000000">
            <w:pPr>
              <w:pStyle w:val="A-"/>
            </w:pPr>
            <w:r>
              <w:t>快速检测卤族元素、硫、金属等</w:t>
            </w: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5C724C18" w14:textId="77777777" w:rsidR="002E474C" w:rsidRDefault="002E474C">
            <w:pPr>
              <w:pStyle w:val="A-"/>
            </w:pP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7DE1754" w14:textId="77777777" w:rsidR="002E474C" w:rsidRDefault="00000000">
            <w:pPr>
              <w:pStyle w:val="A-"/>
            </w:pPr>
            <w:r>
              <w:t>1</w:t>
            </w:r>
            <w:r>
              <w:t>套</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0E31A67E" w14:textId="77777777" w:rsidR="002E474C" w:rsidRDefault="00000000">
            <w:pPr>
              <w:pStyle w:val="A-"/>
            </w:pPr>
            <w:r>
              <w:t>配伍前</w:t>
            </w:r>
          </w:p>
          <w:p w14:paraId="21CCF35C" w14:textId="77777777" w:rsidR="002E474C" w:rsidRDefault="00000000">
            <w:pPr>
              <w:pStyle w:val="A-"/>
            </w:pPr>
            <w:r>
              <w:t>分析</w:t>
            </w:r>
          </w:p>
        </w:tc>
      </w:tr>
      <w:tr w:rsidR="002E474C" w14:paraId="46E8AE35" w14:textId="77777777">
        <w:trPr>
          <w:trHeight w:val="283"/>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D5C289F" w14:textId="77777777" w:rsidR="002E474C" w:rsidRDefault="00000000">
            <w:pPr>
              <w:pStyle w:val="A-"/>
            </w:pPr>
            <w:r>
              <w:t>15</w:t>
            </w:r>
          </w:p>
        </w:tc>
        <w:tc>
          <w:tcPr>
            <w:tcW w:w="78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38F0772" w14:textId="77777777" w:rsidR="002E474C" w:rsidRDefault="00000000">
            <w:pPr>
              <w:pStyle w:val="A-"/>
            </w:pPr>
            <w:r>
              <w:t>其它辅助设施</w:t>
            </w:r>
          </w:p>
        </w:tc>
        <w:tc>
          <w:tcPr>
            <w:tcW w:w="2191"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11D7648" w14:textId="77777777" w:rsidR="002E474C" w:rsidRDefault="002E474C">
            <w:pPr>
              <w:pStyle w:val="A-"/>
            </w:pPr>
          </w:p>
        </w:tc>
        <w:tc>
          <w:tcPr>
            <w:tcW w:w="782"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224F8824" w14:textId="77777777" w:rsidR="002E474C" w:rsidRDefault="002E474C">
            <w:pPr>
              <w:pStyle w:val="A-"/>
            </w:pPr>
          </w:p>
        </w:tc>
        <w:tc>
          <w:tcPr>
            <w:tcW w:w="313"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60269AB4" w14:textId="77777777" w:rsidR="002E474C" w:rsidRDefault="00000000">
            <w:pPr>
              <w:pStyle w:val="A-"/>
            </w:pPr>
            <w:r>
              <w:t>1</w:t>
            </w:r>
            <w:r>
              <w:t>套</w:t>
            </w:r>
          </w:p>
        </w:tc>
        <w:tc>
          <w:tcPr>
            <w:tcW w:w="610" w:type="pct"/>
            <w:tcBorders>
              <w:top w:val="single" w:sz="4" w:space="0" w:color="000000"/>
              <w:left w:val="nil"/>
              <w:bottom w:val="single" w:sz="4" w:space="0" w:color="000000"/>
              <w:right w:val="single" w:sz="4" w:space="0" w:color="000000"/>
            </w:tcBorders>
            <w:shd w:val="clear" w:color="auto" w:fill="auto"/>
            <w:tcMar>
              <w:top w:w="0" w:type="dxa"/>
              <w:left w:w="15" w:type="dxa"/>
              <w:bottom w:w="0" w:type="dxa"/>
              <w:right w:w="15" w:type="dxa"/>
            </w:tcMar>
            <w:vAlign w:val="center"/>
          </w:tcPr>
          <w:p w14:paraId="4409CC20" w14:textId="77777777" w:rsidR="002E474C" w:rsidRDefault="002E474C">
            <w:pPr>
              <w:pStyle w:val="A-"/>
            </w:pPr>
          </w:p>
        </w:tc>
      </w:tr>
    </w:tbl>
    <w:p w14:paraId="4F820068" w14:textId="77777777" w:rsidR="002E474C" w:rsidRDefault="00000000">
      <w:pPr>
        <w:pStyle w:val="31"/>
        <w:spacing w:before="120" w:after="120"/>
        <w:rPr>
          <w:color w:val="auto"/>
          <w:lang w:val="en-US"/>
        </w:rPr>
      </w:pPr>
      <w:r>
        <w:rPr>
          <w:color w:val="auto"/>
          <w:lang w:val="en-US"/>
        </w:rPr>
        <w:lastRenderedPageBreak/>
        <w:t>预处理危险废物类别</w:t>
      </w:r>
    </w:p>
    <w:p w14:paraId="495676D0" w14:textId="77777777" w:rsidR="002E474C" w:rsidRDefault="00000000">
      <w:pPr>
        <w:pStyle w:val="A-z"/>
        <w:rPr>
          <w:color w:val="auto"/>
        </w:rPr>
      </w:pPr>
      <w:r>
        <w:rPr>
          <w:color w:val="auto"/>
        </w:rPr>
        <w:t>吉木萨尔协同处置项目处置的危险废物主要来源为昌吉州及周边县市</w:t>
      </w:r>
      <w:r>
        <w:rPr>
          <w:rFonts w:hint="eastAsia"/>
          <w:color w:val="auto"/>
        </w:rPr>
        <w:t>，</w:t>
      </w:r>
      <w:r>
        <w:rPr>
          <w:color w:val="auto"/>
        </w:rPr>
        <w:t>处置的危险废物</w:t>
      </w:r>
      <w:r>
        <w:rPr>
          <w:rFonts w:hint="eastAsia"/>
          <w:color w:val="auto"/>
          <w:lang w:val="en-US"/>
        </w:rPr>
        <w:t>涉及《国家危险废物名录</w:t>
      </w:r>
      <w:r>
        <w:rPr>
          <w:rFonts w:hint="eastAsia"/>
          <w:color w:val="auto"/>
          <w:lang w:val="en-US"/>
        </w:rPr>
        <w:t>(2016)</w:t>
      </w:r>
      <w:r>
        <w:rPr>
          <w:rFonts w:hint="eastAsia"/>
          <w:color w:val="auto"/>
          <w:lang w:val="en-US"/>
        </w:rPr>
        <w:t>》中的</w:t>
      </w:r>
      <w:r>
        <w:rPr>
          <w:rFonts w:hint="eastAsia"/>
          <w:color w:val="auto"/>
          <w:lang w:val="en-US"/>
        </w:rPr>
        <w:t>35</w:t>
      </w:r>
      <w:r>
        <w:rPr>
          <w:rFonts w:hint="eastAsia"/>
          <w:color w:val="auto"/>
          <w:lang w:val="en-US"/>
        </w:rPr>
        <w:t>种类别</w:t>
      </w:r>
      <w:r>
        <w:rPr>
          <w:rFonts w:hint="eastAsia"/>
          <w:color w:val="auto"/>
          <w:lang w:val="en-US"/>
        </w:rPr>
        <w:t>428</w:t>
      </w:r>
      <w:r>
        <w:rPr>
          <w:rFonts w:hint="eastAsia"/>
          <w:color w:val="auto"/>
          <w:lang w:val="en-US"/>
        </w:rPr>
        <w:t>个代码。</w:t>
      </w:r>
      <w:r>
        <w:rPr>
          <w:rFonts w:hint="eastAsia"/>
          <w:color w:val="auto"/>
          <w:lang w:val="en-US"/>
        </w:rPr>
        <w:t>2022</w:t>
      </w:r>
      <w:r>
        <w:rPr>
          <w:rFonts w:hint="eastAsia"/>
          <w:color w:val="auto"/>
          <w:lang w:val="en-US"/>
        </w:rPr>
        <w:t>年</w:t>
      </w:r>
      <w:r>
        <w:rPr>
          <w:rFonts w:hint="eastAsia"/>
          <w:color w:val="auto"/>
          <w:lang w:val="en-US"/>
        </w:rPr>
        <w:t>3</w:t>
      </w:r>
      <w:r>
        <w:rPr>
          <w:rFonts w:hint="eastAsia"/>
          <w:color w:val="auto"/>
          <w:lang w:val="en-US"/>
        </w:rPr>
        <w:t>月</w:t>
      </w:r>
      <w:r>
        <w:rPr>
          <w:rFonts w:hint="eastAsia"/>
          <w:color w:val="auto"/>
          <w:lang w:val="en-US"/>
        </w:rPr>
        <w:t>19</w:t>
      </w:r>
      <w:r>
        <w:rPr>
          <w:rFonts w:hint="eastAsia"/>
          <w:color w:val="auto"/>
          <w:lang w:val="en-US"/>
        </w:rPr>
        <w:t>日，企业申请危险废物经营许可证，包括</w:t>
      </w:r>
      <w:r>
        <w:rPr>
          <w:color w:val="auto"/>
        </w:rPr>
        <w:t>《国家危险废物名录（</w:t>
      </w:r>
      <w:r>
        <w:rPr>
          <w:color w:val="auto"/>
        </w:rPr>
        <w:t>202</w:t>
      </w:r>
      <w:r>
        <w:rPr>
          <w:rFonts w:hint="eastAsia"/>
          <w:color w:val="auto"/>
        </w:rPr>
        <w:t>1</w:t>
      </w:r>
      <w:r>
        <w:rPr>
          <w:color w:val="auto"/>
        </w:rPr>
        <w:t>）》中的</w:t>
      </w:r>
      <w:r>
        <w:rPr>
          <w:color w:val="auto"/>
        </w:rPr>
        <w:t>35</w:t>
      </w:r>
      <w:r>
        <w:rPr>
          <w:color w:val="auto"/>
        </w:rPr>
        <w:t>种类别</w:t>
      </w:r>
      <w:r>
        <w:rPr>
          <w:color w:val="auto"/>
        </w:rPr>
        <w:t>41</w:t>
      </w:r>
      <w:r>
        <w:rPr>
          <w:rFonts w:hint="eastAsia"/>
          <w:color w:val="auto"/>
        </w:rPr>
        <w:t>2</w:t>
      </w:r>
      <w:r>
        <w:rPr>
          <w:rFonts w:hint="eastAsia"/>
          <w:color w:val="auto"/>
        </w:rPr>
        <w:t>个</w:t>
      </w:r>
      <w:r>
        <w:rPr>
          <w:color w:val="auto"/>
        </w:rPr>
        <w:t>代码</w:t>
      </w:r>
      <w:r>
        <w:rPr>
          <w:rFonts w:hint="eastAsia"/>
          <w:color w:val="auto"/>
        </w:rPr>
        <w:t>。</w:t>
      </w:r>
      <w:r>
        <w:rPr>
          <w:rFonts w:hint="eastAsia"/>
          <w:color w:val="auto"/>
          <w:lang w:val="en-US"/>
        </w:rPr>
        <w:t>目前危险废物名录已更新至</w:t>
      </w:r>
      <w:r>
        <w:rPr>
          <w:color w:val="auto"/>
        </w:rPr>
        <w:t>《国家危险废物名录（</w:t>
      </w:r>
      <w:r>
        <w:rPr>
          <w:color w:val="auto"/>
        </w:rPr>
        <w:t>202</w:t>
      </w:r>
      <w:r>
        <w:rPr>
          <w:rFonts w:hint="eastAsia"/>
          <w:color w:val="auto"/>
        </w:rPr>
        <w:t>5</w:t>
      </w:r>
      <w:r>
        <w:rPr>
          <w:color w:val="auto"/>
        </w:rPr>
        <w:t>）》</w:t>
      </w:r>
      <w:r>
        <w:rPr>
          <w:rFonts w:hint="eastAsia"/>
          <w:color w:val="auto"/>
        </w:rPr>
        <w:t>，根据对比，</w:t>
      </w:r>
      <w:r>
        <w:rPr>
          <w:color w:val="auto"/>
        </w:rPr>
        <w:t>吉木萨尔协同处置项目处置的危险废物包括《国家危险废物名录（</w:t>
      </w:r>
      <w:r>
        <w:rPr>
          <w:color w:val="auto"/>
        </w:rPr>
        <w:t>202</w:t>
      </w:r>
      <w:r>
        <w:rPr>
          <w:rFonts w:hint="eastAsia"/>
          <w:color w:val="auto"/>
        </w:rPr>
        <w:t>5</w:t>
      </w:r>
      <w:r>
        <w:rPr>
          <w:color w:val="auto"/>
        </w:rPr>
        <w:t>）》中的</w:t>
      </w:r>
      <w:r>
        <w:rPr>
          <w:color w:val="auto"/>
        </w:rPr>
        <w:t>35</w:t>
      </w:r>
      <w:r>
        <w:rPr>
          <w:color w:val="auto"/>
        </w:rPr>
        <w:t>种类别</w:t>
      </w:r>
      <w:r>
        <w:rPr>
          <w:color w:val="auto"/>
        </w:rPr>
        <w:t>41</w:t>
      </w:r>
      <w:r>
        <w:rPr>
          <w:rFonts w:hint="eastAsia"/>
          <w:color w:val="auto"/>
        </w:rPr>
        <w:t>2</w:t>
      </w:r>
      <w:r>
        <w:rPr>
          <w:rFonts w:hint="eastAsia"/>
          <w:color w:val="auto"/>
        </w:rPr>
        <w:t>个</w:t>
      </w:r>
      <w:r>
        <w:rPr>
          <w:color w:val="auto"/>
        </w:rPr>
        <w:t>代码，见表</w:t>
      </w:r>
      <w:r>
        <w:rPr>
          <w:color w:val="auto"/>
        </w:rPr>
        <w:t>3.2-4</w:t>
      </w:r>
      <w:r>
        <w:rPr>
          <w:color w:val="auto"/>
        </w:rPr>
        <w:t>。</w:t>
      </w:r>
    </w:p>
    <w:p w14:paraId="65BAADBA" w14:textId="77777777" w:rsidR="002E474C" w:rsidRDefault="002E474C">
      <w:pPr>
        <w:pStyle w:val="A-z"/>
        <w:rPr>
          <w:color w:val="auto"/>
        </w:rPr>
      </w:pPr>
    </w:p>
    <w:p w14:paraId="1518EC05"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78234937" w14:textId="77777777" w:rsidR="002E474C" w:rsidRDefault="00000000">
      <w:pPr>
        <w:pStyle w:val="A--"/>
        <w:rPr>
          <w:color w:val="auto"/>
        </w:rPr>
      </w:pPr>
      <w:r>
        <w:rPr>
          <w:color w:val="auto"/>
        </w:rPr>
        <w:lastRenderedPageBreak/>
        <w:t>表</w:t>
      </w:r>
      <w:r>
        <w:rPr>
          <w:color w:val="auto"/>
        </w:rPr>
        <w:t xml:space="preserve">3.2-4  </w:t>
      </w:r>
      <w:r>
        <w:rPr>
          <w:color w:val="auto"/>
        </w:rPr>
        <w:t>预处理中心处置的固态（含半固态）危险废物类别汇总表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461"/>
        <w:gridCol w:w="1038"/>
        <w:gridCol w:w="1275"/>
        <w:gridCol w:w="7471"/>
        <w:gridCol w:w="1103"/>
      </w:tblGrid>
      <w:tr w:rsidR="002E474C" w14:paraId="6EBB7AEA" w14:textId="77777777">
        <w:trPr>
          <w:trHeight w:val="284"/>
          <w:tblHeader/>
        </w:trPr>
        <w:tc>
          <w:tcPr>
            <w:tcW w:w="574" w:type="pct"/>
            <w:vAlign w:val="center"/>
          </w:tcPr>
          <w:p w14:paraId="7CBCB52B" w14:textId="77777777" w:rsidR="002E474C" w:rsidRDefault="00000000">
            <w:pPr>
              <w:pStyle w:val="A-"/>
            </w:pPr>
            <w:r>
              <w:t>废物类别</w:t>
            </w:r>
          </w:p>
        </w:tc>
        <w:tc>
          <w:tcPr>
            <w:tcW w:w="524" w:type="pct"/>
            <w:vAlign w:val="center"/>
          </w:tcPr>
          <w:p w14:paraId="6E7F2BED" w14:textId="77777777" w:rsidR="002E474C" w:rsidRDefault="00000000">
            <w:pPr>
              <w:pStyle w:val="A-"/>
            </w:pPr>
            <w:r>
              <w:t>行业来源</w:t>
            </w:r>
          </w:p>
        </w:tc>
        <w:tc>
          <w:tcPr>
            <w:tcW w:w="372" w:type="pct"/>
            <w:vAlign w:val="center"/>
          </w:tcPr>
          <w:p w14:paraId="1FC5264D" w14:textId="77777777" w:rsidR="002E474C" w:rsidRDefault="00000000">
            <w:pPr>
              <w:pStyle w:val="A-"/>
            </w:pPr>
            <w:r>
              <w:t>理化</w:t>
            </w:r>
          </w:p>
          <w:p w14:paraId="695B0D8B" w14:textId="77777777" w:rsidR="002E474C" w:rsidRDefault="00000000">
            <w:pPr>
              <w:pStyle w:val="A-"/>
            </w:pPr>
            <w:r>
              <w:t>特性</w:t>
            </w:r>
          </w:p>
        </w:tc>
        <w:tc>
          <w:tcPr>
            <w:tcW w:w="457" w:type="pct"/>
            <w:vAlign w:val="center"/>
          </w:tcPr>
          <w:p w14:paraId="652388D3" w14:textId="77777777" w:rsidR="002E474C" w:rsidRDefault="00000000">
            <w:pPr>
              <w:pStyle w:val="A-"/>
            </w:pPr>
            <w:r>
              <w:t>废物代码</w:t>
            </w:r>
          </w:p>
        </w:tc>
        <w:tc>
          <w:tcPr>
            <w:tcW w:w="2678" w:type="pct"/>
            <w:vAlign w:val="center"/>
          </w:tcPr>
          <w:p w14:paraId="1F45061C" w14:textId="77777777" w:rsidR="002E474C" w:rsidRDefault="00000000">
            <w:pPr>
              <w:pStyle w:val="A-"/>
            </w:pPr>
            <w:r>
              <w:t>危</w:t>
            </w:r>
            <w:r>
              <w:t xml:space="preserve"> </w:t>
            </w:r>
            <w:r>
              <w:t>险</w:t>
            </w:r>
            <w:r>
              <w:t xml:space="preserve"> </w:t>
            </w:r>
            <w:r>
              <w:t>废</w:t>
            </w:r>
            <w:r>
              <w:t xml:space="preserve"> </w:t>
            </w:r>
            <w:r>
              <w:t>物</w:t>
            </w:r>
          </w:p>
        </w:tc>
        <w:tc>
          <w:tcPr>
            <w:tcW w:w="395" w:type="pct"/>
            <w:vAlign w:val="center"/>
          </w:tcPr>
          <w:p w14:paraId="36081286" w14:textId="77777777" w:rsidR="002E474C" w:rsidRDefault="00000000">
            <w:pPr>
              <w:pStyle w:val="A-"/>
            </w:pPr>
            <w:r>
              <w:t>危险特性</w:t>
            </w:r>
          </w:p>
        </w:tc>
      </w:tr>
      <w:tr w:rsidR="002E474C" w14:paraId="40A628D6" w14:textId="77777777">
        <w:trPr>
          <w:trHeight w:val="240"/>
        </w:trPr>
        <w:tc>
          <w:tcPr>
            <w:tcW w:w="574" w:type="pct"/>
            <w:vMerge w:val="restart"/>
            <w:vAlign w:val="center"/>
          </w:tcPr>
          <w:p w14:paraId="296753DA" w14:textId="77777777" w:rsidR="002E474C" w:rsidRDefault="00000000">
            <w:pPr>
              <w:pStyle w:val="A-"/>
            </w:pPr>
            <w:r>
              <w:t>HW02</w:t>
            </w:r>
            <w:r>
              <w:t>医药废物</w:t>
            </w:r>
          </w:p>
        </w:tc>
        <w:tc>
          <w:tcPr>
            <w:tcW w:w="524" w:type="pct"/>
            <w:vMerge w:val="restart"/>
            <w:vAlign w:val="center"/>
          </w:tcPr>
          <w:p w14:paraId="7C089AF3" w14:textId="77777777" w:rsidR="002E474C" w:rsidRDefault="00000000">
            <w:pPr>
              <w:pStyle w:val="A-"/>
            </w:pPr>
            <w:r>
              <w:t>化学药品原料药制造</w:t>
            </w:r>
          </w:p>
        </w:tc>
        <w:tc>
          <w:tcPr>
            <w:tcW w:w="372" w:type="pct"/>
            <w:vMerge w:val="restart"/>
            <w:vAlign w:val="center"/>
          </w:tcPr>
          <w:p w14:paraId="712D446D" w14:textId="77777777" w:rsidR="002E474C" w:rsidRDefault="00000000">
            <w:pPr>
              <w:pStyle w:val="A-"/>
            </w:pPr>
            <w:r>
              <w:t>固态、半固态</w:t>
            </w:r>
          </w:p>
        </w:tc>
        <w:tc>
          <w:tcPr>
            <w:tcW w:w="457" w:type="pct"/>
            <w:vAlign w:val="center"/>
          </w:tcPr>
          <w:p w14:paraId="70A6F604" w14:textId="77777777" w:rsidR="002E474C" w:rsidRDefault="00000000">
            <w:pPr>
              <w:pStyle w:val="A-"/>
            </w:pPr>
            <w:r>
              <w:t>271-001-02</w:t>
            </w:r>
          </w:p>
        </w:tc>
        <w:tc>
          <w:tcPr>
            <w:tcW w:w="2678" w:type="pct"/>
            <w:vAlign w:val="center"/>
          </w:tcPr>
          <w:p w14:paraId="5038F15C" w14:textId="77777777" w:rsidR="002E474C" w:rsidRDefault="00000000">
            <w:pPr>
              <w:pStyle w:val="A-"/>
            </w:pPr>
            <w:r>
              <w:t>化学合成原料药生产过程中产生的蒸馏及反应残余物</w:t>
            </w:r>
          </w:p>
        </w:tc>
        <w:tc>
          <w:tcPr>
            <w:tcW w:w="395" w:type="pct"/>
            <w:vAlign w:val="center"/>
          </w:tcPr>
          <w:p w14:paraId="339044A4" w14:textId="77777777" w:rsidR="002E474C" w:rsidRDefault="00000000">
            <w:pPr>
              <w:pStyle w:val="A-"/>
            </w:pPr>
            <w:r>
              <w:t>T</w:t>
            </w:r>
          </w:p>
        </w:tc>
      </w:tr>
      <w:tr w:rsidR="002E474C" w14:paraId="4B70CF92" w14:textId="77777777">
        <w:trPr>
          <w:trHeight w:val="240"/>
        </w:trPr>
        <w:tc>
          <w:tcPr>
            <w:tcW w:w="574" w:type="pct"/>
            <w:vMerge/>
            <w:vAlign w:val="center"/>
          </w:tcPr>
          <w:p w14:paraId="41796ABD" w14:textId="77777777" w:rsidR="002E474C" w:rsidRDefault="002E474C">
            <w:pPr>
              <w:pStyle w:val="A-"/>
            </w:pPr>
          </w:p>
        </w:tc>
        <w:tc>
          <w:tcPr>
            <w:tcW w:w="524" w:type="pct"/>
            <w:vMerge/>
            <w:vAlign w:val="center"/>
          </w:tcPr>
          <w:p w14:paraId="6A00BC0F" w14:textId="77777777" w:rsidR="002E474C" w:rsidRDefault="002E474C">
            <w:pPr>
              <w:pStyle w:val="A-"/>
            </w:pPr>
          </w:p>
        </w:tc>
        <w:tc>
          <w:tcPr>
            <w:tcW w:w="372" w:type="pct"/>
            <w:vMerge/>
            <w:vAlign w:val="center"/>
          </w:tcPr>
          <w:p w14:paraId="393B7EC4" w14:textId="77777777" w:rsidR="002E474C" w:rsidRDefault="002E474C">
            <w:pPr>
              <w:pStyle w:val="A-"/>
            </w:pPr>
          </w:p>
        </w:tc>
        <w:tc>
          <w:tcPr>
            <w:tcW w:w="457" w:type="pct"/>
            <w:vAlign w:val="center"/>
          </w:tcPr>
          <w:p w14:paraId="3A7AED96" w14:textId="77777777" w:rsidR="002E474C" w:rsidRDefault="00000000">
            <w:pPr>
              <w:pStyle w:val="A-"/>
            </w:pPr>
            <w:r>
              <w:t>271-002-02</w:t>
            </w:r>
          </w:p>
        </w:tc>
        <w:tc>
          <w:tcPr>
            <w:tcW w:w="2678" w:type="pct"/>
            <w:vAlign w:val="center"/>
          </w:tcPr>
          <w:p w14:paraId="18F958CE" w14:textId="77777777" w:rsidR="002E474C" w:rsidRDefault="00000000">
            <w:pPr>
              <w:pStyle w:val="A-"/>
            </w:pPr>
            <w:r>
              <w:t>化学合成原料药生产过程中产生的废母液及反应基废物</w:t>
            </w:r>
          </w:p>
        </w:tc>
        <w:tc>
          <w:tcPr>
            <w:tcW w:w="395" w:type="pct"/>
            <w:vAlign w:val="center"/>
          </w:tcPr>
          <w:p w14:paraId="30D08AFD" w14:textId="77777777" w:rsidR="002E474C" w:rsidRDefault="00000000">
            <w:pPr>
              <w:pStyle w:val="A-"/>
            </w:pPr>
            <w:r>
              <w:t>T</w:t>
            </w:r>
          </w:p>
        </w:tc>
      </w:tr>
      <w:tr w:rsidR="002E474C" w14:paraId="36F954EB" w14:textId="77777777">
        <w:trPr>
          <w:trHeight w:val="240"/>
        </w:trPr>
        <w:tc>
          <w:tcPr>
            <w:tcW w:w="574" w:type="pct"/>
            <w:vMerge/>
            <w:vAlign w:val="center"/>
          </w:tcPr>
          <w:p w14:paraId="41D7EEB4" w14:textId="77777777" w:rsidR="002E474C" w:rsidRDefault="002E474C">
            <w:pPr>
              <w:pStyle w:val="A-"/>
            </w:pPr>
          </w:p>
        </w:tc>
        <w:tc>
          <w:tcPr>
            <w:tcW w:w="524" w:type="pct"/>
            <w:vMerge/>
            <w:vAlign w:val="center"/>
          </w:tcPr>
          <w:p w14:paraId="13ED40FE" w14:textId="77777777" w:rsidR="002E474C" w:rsidRDefault="002E474C">
            <w:pPr>
              <w:pStyle w:val="A-"/>
            </w:pPr>
          </w:p>
        </w:tc>
        <w:tc>
          <w:tcPr>
            <w:tcW w:w="372" w:type="pct"/>
            <w:vMerge/>
            <w:vAlign w:val="center"/>
          </w:tcPr>
          <w:p w14:paraId="0FE2FC56" w14:textId="77777777" w:rsidR="002E474C" w:rsidRDefault="002E474C">
            <w:pPr>
              <w:pStyle w:val="A-"/>
            </w:pPr>
          </w:p>
        </w:tc>
        <w:tc>
          <w:tcPr>
            <w:tcW w:w="457" w:type="pct"/>
            <w:vAlign w:val="center"/>
          </w:tcPr>
          <w:p w14:paraId="11F71B3A" w14:textId="77777777" w:rsidR="002E474C" w:rsidRDefault="00000000">
            <w:pPr>
              <w:pStyle w:val="A-"/>
            </w:pPr>
            <w:r>
              <w:t>271-003-02</w:t>
            </w:r>
          </w:p>
        </w:tc>
        <w:tc>
          <w:tcPr>
            <w:tcW w:w="2678" w:type="pct"/>
            <w:vAlign w:val="center"/>
          </w:tcPr>
          <w:p w14:paraId="4FDC4B73" w14:textId="77777777" w:rsidR="002E474C" w:rsidRDefault="00000000">
            <w:pPr>
              <w:pStyle w:val="A-"/>
            </w:pPr>
            <w:r>
              <w:t>化学合成原料药生产过程中产生的废脱色过滤介质</w:t>
            </w:r>
          </w:p>
        </w:tc>
        <w:tc>
          <w:tcPr>
            <w:tcW w:w="395" w:type="pct"/>
            <w:vAlign w:val="center"/>
          </w:tcPr>
          <w:p w14:paraId="51474A47" w14:textId="77777777" w:rsidR="002E474C" w:rsidRDefault="00000000">
            <w:pPr>
              <w:pStyle w:val="A-"/>
            </w:pPr>
            <w:r>
              <w:t>T</w:t>
            </w:r>
          </w:p>
        </w:tc>
      </w:tr>
      <w:tr w:rsidR="002E474C" w14:paraId="26266BB1" w14:textId="77777777">
        <w:trPr>
          <w:trHeight w:val="240"/>
        </w:trPr>
        <w:tc>
          <w:tcPr>
            <w:tcW w:w="574" w:type="pct"/>
            <w:vMerge/>
            <w:vAlign w:val="center"/>
          </w:tcPr>
          <w:p w14:paraId="163B8E05" w14:textId="77777777" w:rsidR="002E474C" w:rsidRDefault="002E474C">
            <w:pPr>
              <w:pStyle w:val="A-"/>
            </w:pPr>
          </w:p>
        </w:tc>
        <w:tc>
          <w:tcPr>
            <w:tcW w:w="524" w:type="pct"/>
            <w:vMerge/>
            <w:vAlign w:val="center"/>
          </w:tcPr>
          <w:p w14:paraId="05C416B5" w14:textId="77777777" w:rsidR="002E474C" w:rsidRDefault="002E474C">
            <w:pPr>
              <w:pStyle w:val="A-"/>
            </w:pPr>
          </w:p>
        </w:tc>
        <w:tc>
          <w:tcPr>
            <w:tcW w:w="372" w:type="pct"/>
            <w:vMerge/>
            <w:vAlign w:val="center"/>
          </w:tcPr>
          <w:p w14:paraId="4EA7DCC5" w14:textId="77777777" w:rsidR="002E474C" w:rsidRDefault="002E474C">
            <w:pPr>
              <w:pStyle w:val="A-"/>
            </w:pPr>
          </w:p>
        </w:tc>
        <w:tc>
          <w:tcPr>
            <w:tcW w:w="457" w:type="pct"/>
            <w:vAlign w:val="center"/>
          </w:tcPr>
          <w:p w14:paraId="18CD4231" w14:textId="77777777" w:rsidR="002E474C" w:rsidRDefault="00000000">
            <w:pPr>
              <w:pStyle w:val="A-"/>
            </w:pPr>
            <w:r>
              <w:t>271-004-02</w:t>
            </w:r>
          </w:p>
        </w:tc>
        <w:tc>
          <w:tcPr>
            <w:tcW w:w="2678" w:type="pct"/>
            <w:vAlign w:val="center"/>
          </w:tcPr>
          <w:p w14:paraId="1571165D" w14:textId="77777777" w:rsidR="002E474C" w:rsidRDefault="00000000">
            <w:pPr>
              <w:pStyle w:val="A-"/>
            </w:pPr>
            <w:r>
              <w:t>化学合成原料药生产过程中产生的废吸附剂</w:t>
            </w:r>
          </w:p>
        </w:tc>
        <w:tc>
          <w:tcPr>
            <w:tcW w:w="395" w:type="pct"/>
            <w:vAlign w:val="center"/>
          </w:tcPr>
          <w:p w14:paraId="2E73A8FB" w14:textId="77777777" w:rsidR="002E474C" w:rsidRDefault="00000000">
            <w:pPr>
              <w:pStyle w:val="A-"/>
            </w:pPr>
            <w:r>
              <w:t>T</w:t>
            </w:r>
          </w:p>
        </w:tc>
      </w:tr>
      <w:tr w:rsidR="002E474C" w14:paraId="3617CD25" w14:textId="77777777">
        <w:trPr>
          <w:trHeight w:val="240"/>
        </w:trPr>
        <w:tc>
          <w:tcPr>
            <w:tcW w:w="574" w:type="pct"/>
            <w:vMerge/>
            <w:vAlign w:val="center"/>
          </w:tcPr>
          <w:p w14:paraId="2AFE3C38" w14:textId="77777777" w:rsidR="002E474C" w:rsidRDefault="002E474C">
            <w:pPr>
              <w:pStyle w:val="A-"/>
            </w:pPr>
          </w:p>
        </w:tc>
        <w:tc>
          <w:tcPr>
            <w:tcW w:w="524" w:type="pct"/>
            <w:vMerge/>
            <w:vAlign w:val="center"/>
          </w:tcPr>
          <w:p w14:paraId="7658FECA" w14:textId="77777777" w:rsidR="002E474C" w:rsidRDefault="002E474C">
            <w:pPr>
              <w:pStyle w:val="A-"/>
            </w:pPr>
          </w:p>
        </w:tc>
        <w:tc>
          <w:tcPr>
            <w:tcW w:w="372" w:type="pct"/>
            <w:vMerge/>
            <w:vAlign w:val="center"/>
          </w:tcPr>
          <w:p w14:paraId="4F339267" w14:textId="77777777" w:rsidR="002E474C" w:rsidRDefault="002E474C">
            <w:pPr>
              <w:pStyle w:val="A-"/>
            </w:pPr>
          </w:p>
        </w:tc>
        <w:tc>
          <w:tcPr>
            <w:tcW w:w="457" w:type="pct"/>
            <w:vAlign w:val="center"/>
          </w:tcPr>
          <w:p w14:paraId="08845F8D" w14:textId="77777777" w:rsidR="002E474C" w:rsidRDefault="00000000">
            <w:pPr>
              <w:pStyle w:val="A-"/>
            </w:pPr>
            <w:r>
              <w:t>271-005-02</w:t>
            </w:r>
          </w:p>
        </w:tc>
        <w:tc>
          <w:tcPr>
            <w:tcW w:w="2678" w:type="pct"/>
            <w:vAlign w:val="center"/>
          </w:tcPr>
          <w:p w14:paraId="59524770" w14:textId="77777777" w:rsidR="002E474C" w:rsidRDefault="00000000">
            <w:pPr>
              <w:pStyle w:val="A-"/>
            </w:pPr>
            <w:r>
              <w:t>化学合成原料药生产过程中的废弃产品及中间体</w:t>
            </w:r>
          </w:p>
        </w:tc>
        <w:tc>
          <w:tcPr>
            <w:tcW w:w="395" w:type="pct"/>
            <w:vAlign w:val="center"/>
          </w:tcPr>
          <w:p w14:paraId="448B7BC3" w14:textId="77777777" w:rsidR="002E474C" w:rsidRDefault="00000000">
            <w:pPr>
              <w:pStyle w:val="A-"/>
            </w:pPr>
            <w:r>
              <w:t>T</w:t>
            </w:r>
          </w:p>
        </w:tc>
      </w:tr>
      <w:tr w:rsidR="002E474C" w14:paraId="30061C11" w14:textId="77777777">
        <w:trPr>
          <w:trHeight w:val="240"/>
        </w:trPr>
        <w:tc>
          <w:tcPr>
            <w:tcW w:w="574" w:type="pct"/>
            <w:vMerge/>
            <w:vAlign w:val="center"/>
          </w:tcPr>
          <w:p w14:paraId="4A25CE18" w14:textId="77777777" w:rsidR="002E474C" w:rsidRDefault="002E474C">
            <w:pPr>
              <w:pStyle w:val="A-"/>
            </w:pPr>
          </w:p>
        </w:tc>
        <w:tc>
          <w:tcPr>
            <w:tcW w:w="524" w:type="pct"/>
            <w:vMerge w:val="restart"/>
            <w:vAlign w:val="center"/>
          </w:tcPr>
          <w:p w14:paraId="27605DC4" w14:textId="77777777" w:rsidR="002E474C" w:rsidRDefault="00000000">
            <w:pPr>
              <w:pStyle w:val="A-"/>
            </w:pPr>
            <w:r>
              <w:t>化学药品制剂制造</w:t>
            </w:r>
          </w:p>
        </w:tc>
        <w:tc>
          <w:tcPr>
            <w:tcW w:w="372" w:type="pct"/>
            <w:vMerge w:val="restart"/>
            <w:vAlign w:val="center"/>
          </w:tcPr>
          <w:p w14:paraId="36F9E306" w14:textId="77777777" w:rsidR="002E474C" w:rsidRDefault="00000000">
            <w:pPr>
              <w:pStyle w:val="A-"/>
            </w:pPr>
            <w:r>
              <w:t>固态、半固态</w:t>
            </w:r>
          </w:p>
        </w:tc>
        <w:tc>
          <w:tcPr>
            <w:tcW w:w="457" w:type="pct"/>
            <w:vAlign w:val="center"/>
          </w:tcPr>
          <w:p w14:paraId="2B872736" w14:textId="77777777" w:rsidR="002E474C" w:rsidRDefault="00000000">
            <w:pPr>
              <w:pStyle w:val="A-"/>
            </w:pPr>
            <w:r>
              <w:t>272-001-02</w:t>
            </w:r>
          </w:p>
        </w:tc>
        <w:tc>
          <w:tcPr>
            <w:tcW w:w="2678" w:type="pct"/>
            <w:vAlign w:val="center"/>
          </w:tcPr>
          <w:p w14:paraId="7AF807C6" w14:textId="77777777" w:rsidR="002E474C" w:rsidRDefault="00000000">
            <w:pPr>
              <w:pStyle w:val="A-"/>
            </w:pPr>
            <w:r>
              <w:t>化学药品制剂生产过程中的原料药提纯精制、再加工产生的蒸馏及反应残余物</w:t>
            </w:r>
          </w:p>
        </w:tc>
        <w:tc>
          <w:tcPr>
            <w:tcW w:w="395" w:type="pct"/>
            <w:vAlign w:val="center"/>
          </w:tcPr>
          <w:p w14:paraId="184F29DF" w14:textId="77777777" w:rsidR="002E474C" w:rsidRDefault="00000000">
            <w:pPr>
              <w:pStyle w:val="A-"/>
            </w:pPr>
            <w:r>
              <w:t>T</w:t>
            </w:r>
          </w:p>
        </w:tc>
      </w:tr>
      <w:tr w:rsidR="002E474C" w14:paraId="1BB86FCF" w14:textId="77777777">
        <w:trPr>
          <w:trHeight w:val="240"/>
        </w:trPr>
        <w:tc>
          <w:tcPr>
            <w:tcW w:w="574" w:type="pct"/>
            <w:vMerge/>
            <w:vAlign w:val="center"/>
          </w:tcPr>
          <w:p w14:paraId="756F79A9" w14:textId="77777777" w:rsidR="002E474C" w:rsidRDefault="002E474C">
            <w:pPr>
              <w:pStyle w:val="A-"/>
            </w:pPr>
          </w:p>
        </w:tc>
        <w:tc>
          <w:tcPr>
            <w:tcW w:w="524" w:type="pct"/>
            <w:vMerge/>
            <w:vAlign w:val="center"/>
          </w:tcPr>
          <w:p w14:paraId="509B3F28" w14:textId="77777777" w:rsidR="002E474C" w:rsidRDefault="002E474C">
            <w:pPr>
              <w:pStyle w:val="A-"/>
            </w:pPr>
          </w:p>
        </w:tc>
        <w:tc>
          <w:tcPr>
            <w:tcW w:w="372" w:type="pct"/>
            <w:vMerge/>
            <w:vAlign w:val="center"/>
          </w:tcPr>
          <w:p w14:paraId="6ED2B79F" w14:textId="77777777" w:rsidR="002E474C" w:rsidRDefault="002E474C">
            <w:pPr>
              <w:pStyle w:val="A-"/>
            </w:pPr>
          </w:p>
        </w:tc>
        <w:tc>
          <w:tcPr>
            <w:tcW w:w="457" w:type="pct"/>
            <w:vAlign w:val="center"/>
          </w:tcPr>
          <w:p w14:paraId="24DB43A7" w14:textId="77777777" w:rsidR="002E474C" w:rsidRDefault="00000000">
            <w:pPr>
              <w:pStyle w:val="A-"/>
            </w:pPr>
            <w:r>
              <w:t>272-002-02</w:t>
            </w:r>
          </w:p>
        </w:tc>
        <w:tc>
          <w:tcPr>
            <w:tcW w:w="2678" w:type="pct"/>
            <w:vAlign w:val="center"/>
          </w:tcPr>
          <w:p w14:paraId="0ABF1EEF" w14:textId="77777777" w:rsidR="002E474C" w:rsidRDefault="00000000">
            <w:pPr>
              <w:pStyle w:val="A-"/>
            </w:pPr>
            <w:r>
              <w:t>化学药品制剂生产过程中的原料药提纯精制、再加工产生的废母液及反应基废物</w:t>
            </w:r>
          </w:p>
        </w:tc>
        <w:tc>
          <w:tcPr>
            <w:tcW w:w="395" w:type="pct"/>
            <w:vAlign w:val="center"/>
          </w:tcPr>
          <w:p w14:paraId="61127251" w14:textId="77777777" w:rsidR="002E474C" w:rsidRDefault="00000000">
            <w:pPr>
              <w:pStyle w:val="A-"/>
            </w:pPr>
            <w:r>
              <w:t>T</w:t>
            </w:r>
          </w:p>
        </w:tc>
      </w:tr>
      <w:tr w:rsidR="002E474C" w14:paraId="7AE9A337" w14:textId="77777777">
        <w:trPr>
          <w:trHeight w:val="240"/>
        </w:trPr>
        <w:tc>
          <w:tcPr>
            <w:tcW w:w="574" w:type="pct"/>
            <w:vMerge/>
            <w:vAlign w:val="center"/>
          </w:tcPr>
          <w:p w14:paraId="0DA61EA3" w14:textId="77777777" w:rsidR="002E474C" w:rsidRDefault="002E474C">
            <w:pPr>
              <w:pStyle w:val="A-"/>
            </w:pPr>
          </w:p>
        </w:tc>
        <w:tc>
          <w:tcPr>
            <w:tcW w:w="524" w:type="pct"/>
            <w:vMerge/>
            <w:vAlign w:val="center"/>
          </w:tcPr>
          <w:p w14:paraId="38F1FCCD" w14:textId="77777777" w:rsidR="002E474C" w:rsidRDefault="002E474C">
            <w:pPr>
              <w:pStyle w:val="A-"/>
            </w:pPr>
          </w:p>
        </w:tc>
        <w:tc>
          <w:tcPr>
            <w:tcW w:w="372" w:type="pct"/>
            <w:vMerge/>
            <w:vAlign w:val="center"/>
          </w:tcPr>
          <w:p w14:paraId="367C170B" w14:textId="77777777" w:rsidR="002E474C" w:rsidRDefault="002E474C">
            <w:pPr>
              <w:pStyle w:val="A-"/>
            </w:pPr>
          </w:p>
        </w:tc>
        <w:tc>
          <w:tcPr>
            <w:tcW w:w="457" w:type="pct"/>
            <w:vAlign w:val="center"/>
          </w:tcPr>
          <w:p w14:paraId="518CE147" w14:textId="77777777" w:rsidR="002E474C" w:rsidRDefault="00000000">
            <w:pPr>
              <w:pStyle w:val="A-"/>
            </w:pPr>
            <w:r>
              <w:t>272-003-02</w:t>
            </w:r>
          </w:p>
        </w:tc>
        <w:tc>
          <w:tcPr>
            <w:tcW w:w="2678" w:type="pct"/>
            <w:vAlign w:val="center"/>
          </w:tcPr>
          <w:p w14:paraId="24AB4A4B" w14:textId="77777777" w:rsidR="002E474C" w:rsidRDefault="00000000">
            <w:pPr>
              <w:pStyle w:val="A-"/>
            </w:pPr>
            <w:r>
              <w:t>化学药品制剂生产过程中产生的废脱色过滤介质</w:t>
            </w:r>
          </w:p>
        </w:tc>
        <w:tc>
          <w:tcPr>
            <w:tcW w:w="395" w:type="pct"/>
            <w:vAlign w:val="center"/>
          </w:tcPr>
          <w:p w14:paraId="5A4DEF7E" w14:textId="77777777" w:rsidR="002E474C" w:rsidRDefault="00000000">
            <w:pPr>
              <w:pStyle w:val="A-"/>
            </w:pPr>
            <w:r>
              <w:t>T</w:t>
            </w:r>
          </w:p>
        </w:tc>
      </w:tr>
      <w:tr w:rsidR="002E474C" w14:paraId="66792F69" w14:textId="77777777">
        <w:trPr>
          <w:trHeight w:val="240"/>
        </w:trPr>
        <w:tc>
          <w:tcPr>
            <w:tcW w:w="574" w:type="pct"/>
            <w:vMerge/>
            <w:vAlign w:val="center"/>
          </w:tcPr>
          <w:p w14:paraId="70276B24" w14:textId="77777777" w:rsidR="002E474C" w:rsidRDefault="002E474C">
            <w:pPr>
              <w:pStyle w:val="A-"/>
            </w:pPr>
          </w:p>
        </w:tc>
        <w:tc>
          <w:tcPr>
            <w:tcW w:w="524" w:type="pct"/>
            <w:vMerge/>
            <w:vAlign w:val="center"/>
          </w:tcPr>
          <w:p w14:paraId="33462F27" w14:textId="77777777" w:rsidR="002E474C" w:rsidRDefault="002E474C">
            <w:pPr>
              <w:pStyle w:val="A-"/>
            </w:pPr>
          </w:p>
        </w:tc>
        <w:tc>
          <w:tcPr>
            <w:tcW w:w="372" w:type="pct"/>
            <w:vMerge/>
            <w:vAlign w:val="center"/>
          </w:tcPr>
          <w:p w14:paraId="268BB460" w14:textId="77777777" w:rsidR="002E474C" w:rsidRDefault="002E474C">
            <w:pPr>
              <w:pStyle w:val="A-"/>
            </w:pPr>
          </w:p>
        </w:tc>
        <w:tc>
          <w:tcPr>
            <w:tcW w:w="457" w:type="pct"/>
            <w:vAlign w:val="center"/>
          </w:tcPr>
          <w:p w14:paraId="58938C1C" w14:textId="77777777" w:rsidR="002E474C" w:rsidRDefault="00000000">
            <w:pPr>
              <w:pStyle w:val="A-"/>
            </w:pPr>
            <w:r>
              <w:t>272-004-02</w:t>
            </w:r>
          </w:p>
        </w:tc>
        <w:tc>
          <w:tcPr>
            <w:tcW w:w="2678" w:type="pct"/>
            <w:vAlign w:val="center"/>
          </w:tcPr>
          <w:p w14:paraId="2F72E1B8" w14:textId="77777777" w:rsidR="002E474C" w:rsidRDefault="00000000">
            <w:pPr>
              <w:pStyle w:val="A-"/>
            </w:pPr>
            <w:r>
              <w:t>化学药品制剂生产过程中产生的废吸附剂</w:t>
            </w:r>
          </w:p>
        </w:tc>
        <w:tc>
          <w:tcPr>
            <w:tcW w:w="395" w:type="pct"/>
            <w:vAlign w:val="center"/>
          </w:tcPr>
          <w:p w14:paraId="654A17A0" w14:textId="77777777" w:rsidR="002E474C" w:rsidRDefault="00000000">
            <w:pPr>
              <w:pStyle w:val="A-"/>
            </w:pPr>
            <w:r>
              <w:t>T</w:t>
            </w:r>
          </w:p>
        </w:tc>
      </w:tr>
      <w:tr w:rsidR="002E474C" w14:paraId="743D4E34" w14:textId="77777777">
        <w:trPr>
          <w:trHeight w:val="240"/>
        </w:trPr>
        <w:tc>
          <w:tcPr>
            <w:tcW w:w="574" w:type="pct"/>
            <w:vMerge/>
            <w:vAlign w:val="center"/>
          </w:tcPr>
          <w:p w14:paraId="521CCAA0" w14:textId="77777777" w:rsidR="002E474C" w:rsidRDefault="002E474C">
            <w:pPr>
              <w:pStyle w:val="A-"/>
            </w:pPr>
          </w:p>
        </w:tc>
        <w:tc>
          <w:tcPr>
            <w:tcW w:w="524" w:type="pct"/>
            <w:vMerge w:val="restart"/>
            <w:vAlign w:val="center"/>
          </w:tcPr>
          <w:p w14:paraId="35964327" w14:textId="77777777" w:rsidR="002E474C" w:rsidRDefault="00000000">
            <w:pPr>
              <w:pStyle w:val="A-"/>
            </w:pPr>
            <w:r>
              <w:t>兽用药品制造</w:t>
            </w:r>
          </w:p>
        </w:tc>
        <w:tc>
          <w:tcPr>
            <w:tcW w:w="372" w:type="pct"/>
            <w:vMerge w:val="restart"/>
            <w:vAlign w:val="center"/>
          </w:tcPr>
          <w:p w14:paraId="609AFFA4" w14:textId="77777777" w:rsidR="002E474C" w:rsidRDefault="00000000">
            <w:pPr>
              <w:pStyle w:val="A-"/>
            </w:pPr>
            <w:r>
              <w:t>固态、半固态</w:t>
            </w:r>
          </w:p>
        </w:tc>
        <w:tc>
          <w:tcPr>
            <w:tcW w:w="457" w:type="pct"/>
            <w:vAlign w:val="center"/>
          </w:tcPr>
          <w:p w14:paraId="354E1391" w14:textId="77777777" w:rsidR="002E474C" w:rsidRDefault="00000000">
            <w:pPr>
              <w:pStyle w:val="A-"/>
            </w:pPr>
            <w:r>
              <w:t>272-005-02</w:t>
            </w:r>
          </w:p>
        </w:tc>
        <w:tc>
          <w:tcPr>
            <w:tcW w:w="2678" w:type="pct"/>
            <w:vAlign w:val="center"/>
          </w:tcPr>
          <w:p w14:paraId="0F51651D" w14:textId="77777777" w:rsidR="002E474C" w:rsidRDefault="00000000">
            <w:pPr>
              <w:pStyle w:val="A-"/>
            </w:pPr>
            <w:r>
              <w:t>化学药品制剂生产过程中产生的废弃产品及原料药</w:t>
            </w:r>
          </w:p>
        </w:tc>
        <w:tc>
          <w:tcPr>
            <w:tcW w:w="395" w:type="pct"/>
            <w:vAlign w:val="center"/>
          </w:tcPr>
          <w:p w14:paraId="40A0CF4B" w14:textId="77777777" w:rsidR="002E474C" w:rsidRDefault="00000000">
            <w:pPr>
              <w:pStyle w:val="A-"/>
            </w:pPr>
            <w:r>
              <w:t>T</w:t>
            </w:r>
          </w:p>
        </w:tc>
      </w:tr>
      <w:tr w:rsidR="002E474C" w14:paraId="4D394C68" w14:textId="77777777">
        <w:trPr>
          <w:trHeight w:val="240"/>
        </w:trPr>
        <w:tc>
          <w:tcPr>
            <w:tcW w:w="574" w:type="pct"/>
            <w:vMerge/>
            <w:vAlign w:val="center"/>
          </w:tcPr>
          <w:p w14:paraId="6EEE188C" w14:textId="77777777" w:rsidR="002E474C" w:rsidRDefault="002E474C">
            <w:pPr>
              <w:pStyle w:val="A-"/>
            </w:pPr>
          </w:p>
        </w:tc>
        <w:tc>
          <w:tcPr>
            <w:tcW w:w="524" w:type="pct"/>
            <w:vMerge/>
            <w:vAlign w:val="center"/>
          </w:tcPr>
          <w:p w14:paraId="3F30B636" w14:textId="77777777" w:rsidR="002E474C" w:rsidRDefault="002E474C">
            <w:pPr>
              <w:pStyle w:val="A-"/>
            </w:pPr>
          </w:p>
        </w:tc>
        <w:tc>
          <w:tcPr>
            <w:tcW w:w="372" w:type="pct"/>
            <w:vMerge/>
            <w:vAlign w:val="center"/>
          </w:tcPr>
          <w:p w14:paraId="4ACAF921" w14:textId="77777777" w:rsidR="002E474C" w:rsidRDefault="002E474C">
            <w:pPr>
              <w:pStyle w:val="A-"/>
            </w:pPr>
          </w:p>
        </w:tc>
        <w:tc>
          <w:tcPr>
            <w:tcW w:w="457" w:type="pct"/>
            <w:vAlign w:val="center"/>
          </w:tcPr>
          <w:p w14:paraId="67C433B6" w14:textId="77777777" w:rsidR="002E474C" w:rsidRDefault="00000000">
            <w:pPr>
              <w:pStyle w:val="A-"/>
            </w:pPr>
            <w:r>
              <w:t>275-001-02</w:t>
            </w:r>
          </w:p>
        </w:tc>
        <w:tc>
          <w:tcPr>
            <w:tcW w:w="2678" w:type="pct"/>
            <w:vAlign w:val="center"/>
          </w:tcPr>
          <w:p w14:paraId="6D00CD51" w14:textId="77777777" w:rsidR="002E474C" w:rsidRDefault="00000000">
            <w:pPr>
              <w:pStyle w:val="A-"/>
            </w:pPr>
            <w:r>
              <w:t>使用砷或有机砷化合物生产兽药过程中产生的废水处理污泥</w:t>
            </w:r>
          </w:p>
        </w:tc>
        <w:tc>
          <w:tcPr>
            <w:tcW w:w="395" w:type="pct"/>
            <w:vAlign w:val="center"/>
          </w:tcPr>
          <w:p w14:paraId="52D19476" w14:textId="77777777" w:rsidR="002E474C" w:rsidRDefault="00000000">
            <w:pPr>
              <w:pStyle w:val="A-"/>
            </w:pPr>
            <w:r>
              <w:t>T</w:t>
            </w:r>
          </w:p>
        </w:tc>
      </w:tr>
      <w:tr w:rsidR="002E474C" w14:paraId="09909F91" w14:textId="77777777">
        <w:trPr>
          <w:trHeight w:val="240"/>
        </w:trPr>
        <w:tc>
          <w:tcPr>
            <w:tcW w:w="574" w:type="pct"/>
            <w:vMerge/>
            <w:vAlign w:val="center"/>
          </w:tcPr>
          <w:p w14:paraId="2A350DF2" w14:textId="77777777" w:rsidR="002E474C" w:rsidRDefault="002E474C">
            <w:pPr>
              <w:pStyle w:val="A-"/>
            </w:pPr>
          </w:p>
        </w:tc>
        <w:tc>
          <w:tcPr>
            <w:tcW w:w="524" w:type="pct"/>
            <w:vMerge/>
            <w:vAlign w:val="center"/>
          </w:tcPr>
          <w:p w14:paraId="5064C06C" w14:textId="77777777" w:rsidR="002E474C" w:rsidRDefault="002E474C">
            <w:pPr>
              <w:pStyle w:val="A-"/>
            </w:pPr>
          </w:p>
        </w:tc>
        <w:tc>
          <w:tcPr>
            <w:tcW w:w="372" w:type="pct"/>
            <w:vMerge/>
            <w:vAlign w:val="center"/>
          </w:tcPr>
          <w:p w14:paraId="4436E253" w14:textId="77777777" w:rsidR="002E474C" w:rsidRDefault="002E474C">
            <w:pPr>
              <w:pStyle w:val="A-"/>
            </w:pPr>
          </w:p>
        </w:tc>
        <w:tc>
          <w:tcPr>
            <w:tcW w:w="457" w:type="pct"/>
            <w:vAlign w:val="center"/>
          </w:tcPr>
          <w:p w14:paraId="089563FF" w14:textId="77777777" w:rsidR="002E474C" w:rsidRDefault="00000000">
            <w:pPr>
              <w:pStyle w:val="A-"/>
            </w:pPr>
            <w:r>
              <w:t>275-002-02</w:t>
            </w:r>
          </w:p>
        </w:tc>
        <w:tc>
          <w:tcPr>
            <w:tcW w:w="2678" w:type="pct"/>
            <w:vAlign w:val="center"/>
          </w:tcPr>
          <w:p w14:paraId="6629D8F1" w14:textId="77777777" w:rsidR="002E474C" w:rsidRDefault="00000000">
            <w:pPr>
              <w:pStyle w:val="A-"/>
            </w:pPr>
            <w:r>
              <w:t>使用砷或有机砷化合物生产兽药过程中蒸馏工艺产生的蒸馏残余物</w:t>
            </w:r>
          </w:p>
        </w:tc>
        <w:tc>
          <w:tcPr>
            <w:tcW w:w="395" w:type="pct"/>
            <w:vAlign w:val="center"/>
          </w:tcPr>
          <w:p w14:paraId="6E74954D" w14:textId="77777777" w:rsidR="002E474C" w:rsidRDefault="00000000">
            <w:pPr>
              <w:pStyle w:val="A-"/>
            </w:pPr>
            <w:r>
              <w:t>T</w:t>
            </w:r>
          </w:p>
        </w:tc>
      </w:tr>
      <w:tr w:rsidR="002E474C" w14:paraId="23EFB839" w14:textId="77777777">
        <w:trPr>
          <w:trHeight w:val="90"/>
        </w:trPr>
        <w:tc>
          <w:tcPr>
            <w:tcW w:w="574" w:type="pct"/>
            <w:vMerge/>
            <w:vAlign w:val="center"/>
          </w:tcPr>
          <w:p w14:paraId="0C462312" w14:textId="77777777" w:rsidR="002E474C" w:rsidRDefault="002E474C">
            <w:pPr>
              <w:pStyle w:val="A-"/>
            </w:pPr>
          </w:p>
        </w:tc>
        <w:tc>
          <w:tcPr>
            <w:tcW w:w="524" w:type="pct"/>
            <w:vMerge/>
            <w:vAlign w:val="center"/>
          </w:tcPr>
          <w:p w14:paraId="79BC0F26" w14:textId="77777777" w:rsidR="002E474C" w:rsidRDefault="002E474C">
            <w:pPr>
              <w:pStyle w:val="A-"/>
            </w:pPr>
          </w:p>
        </w:tc>
        <w:tc>
          <w:tcPr>
            <w:tcW w:w="372" w:type="pct"/>
            <w:vMerge/>
            <w:vAlign w:val="center"/>
          </w:tcPr>
          <w:p w14:paraId="3E9E2C0D" w14:textId="77777777" w:rsidR="002E474C" w:rsidRDefault="002E474C">
            <w:pPr>
              <w:pStyle w:val="A-"/>
            </w:pPr>
          </w:p>
        </w:tc>
        <w:tc>
          <w:tcPr>
            <w:tcW w:w="457" w:type="pct"/>
            <w:vAlign w:val="center"/>
          </w:tcPr>
          <w:p w14:paraId="550CC351" w14:textId="77777777" w:rsidR="002E474C" w:rsidRDefault="00000000">
            <w:pPr>
              <w:pStyle w:val="A-"/>
            </w:pPr>
            <w:r>
              <w:t>275-003-02</w:t>
            </w:r>
          </w:p>
        </w:tc>
        <w:tc>
          <w:tcPr>
            <w:tcW w:w="2678" w:type="pct"/>
            <w:vAlign w:val="center"/>
          </w:tcPr>
          <w:p w14:paraId="65ADD709" w14:textId="77777777" w:rsidR="002E474C" w:rsidRDefault="00000000">
            <w:pPr>
              <w:pStyle w:val="A-"/>
            </w:pPr>
            <w:r>
              <w:t>使用砷或有机砷化合物生产兽药过程中产生的废脱色过滤介质及吸附剂</w:t>
            </w:r>
          </w:p>
        </w:tc>
        <w:tc>
          <w:tcPr>
            <w:tcW w:w="395" w:type="pct"/>
            <w:vAlign w:val="center"/>
          </w:tcPr>
          <w:p w14:paraId="591F6197" w14:textId="77777777" w:rsidR="002E474C" w:rsidRDefault="00000000">
            <w:pPr>
              <w:pStyle w:val="A-"/>
            </w:pPr>
            <w:r>
              <w:t>T</w:t>
            </w:r>
          </w:p>
        </w:tc>
      </w:tr>
      <w:tr w:rsidR="002E474C" w14:paraId="2EB7E778" w14:textId="77777777">
        <w:trPr>
          <w:trHeight w:val="240"/>
        </w:trPr>
        <w:tc>
          <w:tcPr>
            <w:tcW w:w="574" w:type="pct"/>
            <w:vMerge/>
            <w:vAlign w:val="center"/>
          </w:tcPr>
          <w:p w14:paraId="3E7B186E" w14:textId="77777777" w:rsidR="002E474C" w:rsidRDefault="002E474C">
            <w:pPr>
              <w:pStyle w:val="A-"/>
            </w:pPr>
          </w:p>
        </w:tc>
        <w:tc>
          <w:tcPr>
            <w:tcW w:w="524" w:type="pct"/>
            <w:vMerge/>
            <w:vAlign w:val="center"/>
          </w:tcPr>
          <w:p w14:paraId="136516DF" w14:textId="77777777" w:rsidR="002E474C" w:rsidRDefault="002E474C">
            <w:pPr>
              <w:pStyle w:val="A-"/>
            </w:pPr>
          </w:p>
        </w:tc>
        <w:tc>
          <w:tcPr>
            <w:tcW w:w="372" w:type="pct"/>
            <w:vMerge/>
            <w:vAlign w:val="center"/>
          </w:tcPr>
          <w:p w14:paraId="282B137F" w14:textId="77777777" w:rsidR="002E474C" w:rsidRDefault="002E474C">
            <w:pPr>
              <w:pStyle w:val="A-"/>
            </w:pPr>
          </w:p>
        </w:tc>
        <w:tc>
          <w:tcPr>
            <w:tcW w:w="457" w:type="pct"/>
            <w:vAlign w:val="center"/>
          </w:tcPr>
          <w:p w14:paraId="1797C89B" w14:textId="77777777" w:rsidR="002E474C" w:rsidRDefault="00000000">
            <w:pPr>
              <w:pStyle w:val="A-"/>
            </w:pPr>
            <w:r>
              <w:t>275-004-02</w:t>
            </w:r>
          </w:p>
        </w:tc>
        <w:tc>
          <w:tcPr>
            <w:tcW w:w="2678" w:type="pct"/>
            <w:vAlign w:val="center"/>
          </w:tcPr>
          <w:p w14:paraId="34F79124" w14:textId="77777777" w:rsidR="002E474C" w:rsidRDefault="00000000">
            <w:pPr>
              <w:pStyle w:val="A-"/>
            </w:pPr>
            <w:r>
              <w:t>其他兽药生产过程中产生的蒸馏及反应残余物</w:t>
            </w:r>
          </w:p>
        </w:tc>
        <w:tc>
          <w:tcPr>
            <w:tcW w:w="395" w:type="pct"/>
            <w:vAlign w:val="center"/>
          </w:tcPr>
          <w:p w14:paraId="1887D9B6" w14:textId="77777777" w:rsidR="002E474C" w:rsidRDefault="00000000">
            <w:pPr>
              <w:pStyle w:val="A-"/>
            </w:pPr>
            <w:r>
              <w:t>T</w:t>
            </w:r>
          </w:p>
        </w:tc>
      </w:tr>
      <w:tr w:rsidR="002E474C" w14:paraId="64194A58" w14:textId="77777777">
        <w:trPr>
          <w:trHeight w:val="240"/>
        </w:trPr>
        <w:tc>
          <w:tcPr>
            <w:tcW w:w="574" w:type="pct"/>
            <w:vMerge/>
            <w:vAlign w:val="center"/>
          </w:tcPr>
          <w:p w14:paraId="6037C3F4" w14:textId="77777777" w:rsidR="002E474C" w:rsidRDefault="002E474C">
            <w:pPr>
              <w:pStyle w:val="A-"/>
            </w:pPr>
          </w:p>
        </w:tc>
        <w:tc>
          <w:tcPr>
            <w:tcW w:w="524" w:type="pct"/>
            <w:vMerge/>
            <w:vAlign w:val="center"/>
          </w:tcPr>
          <w:p w14:paraId="56654DEB" w14:textId="77777777" w:rsidR="002E474C" w:rsidRDefault="002E474C">
            <w:pPr>
              <w:pStyle w:val="A-"/>
            </w:pPr>
          </w:p>
        </w:tc>
        <w:tc>
          <w:tcPr>
            <w:tcW w:w="372" w:type="pct"/>
            <w:vMerge/>
            <w:vAlign w:val="center"/>
          </w:tcPr>
          <w:p w14:paraId="076B07E4" w14:textId="77777777" w:rsidR="002E474C" w:rsidRDefault="002E474C">
            <w:pPr>
              <w:pStyle w:val="A-"/>
            </w:pPr>
          </w:p>
        </w:tc>
        <w:tc>
          <w:tcPr>
            <w:tcW w:w="457" w:type="pct"/>
            <w:vAlign w:val="center"/>
          </w:tcPr>
          <w:p w14:paraId="301A6F4D" w14:textId="77777777" w:rsidR="002E474C" w:rsidRDefault="00000000">
            <w:pPr>
              <w:pStyle w:val="A-"/>
            </w:pPr>
            <w:r>
              <w:t>275-005-02</w:t>
            </w:r>
          </w:p>
        </w:tc>
        <w:tc>
          <w:tcPr>
            <w:tcW w:w="2678" w:type="pct"/>
            <w:vAlign w:val="center"/>
          </w:tcPr>
          <w:p w14:paraId="012C9CAA" w14:textId="77777777" w:rsidR="002E474C" w:rsidRDefault="00000000">
            <w:pPr>
              <w:pStyle w:val="A-"/>
            </w:pPr>
            <w:r>
              <w:t>其他兽药生产过程中产生的废脱色过滤介质及吸附剂</w:t>
            </w:r>
          </w:p>
        </w:tc>
        <w:tc>
          <w:tcPr>
            <w:tcW w:w="395" w:type="pct"/>
            <w:vAlign w:val="center"/>
          </w:tcPr>
          <w:p w14:paraId="2782E85F" w14:textId="77777777" w:rsidR="002E474C" w:rsidRDefault="00000000">
            <w:pPr>
              <w:pStyle w:val="A-"/>
            </w:pPr>
            <w:r>
              <w:t>T</w:t>
            </w:r>
          </w:p>
        </w:tc>
      </w:tr>
      <w:tr w:rsidR="002E474C" w14:paraId="22F08F5B" w14:textId="77777777">
        <w:trPr>
          <w:trHeight w:val="240"/>
        </w:trPr>
        <w:tc>
          <w:tcPr>
            <w:tcW w:w="574" w:type="pct"/>
            <w:vMerge/>
            <w:vAlign w:val="center"/>
          </w:tcPr>
          <w:p w14:paraId="39460266" w14:textId="77777777" w:rsidR="002E474C" w:rsidRDefault="002E474C">
            <w:pPr>
              <w:pStyle w:val="A-"/>
            </w:pPr>
          </w:p>
        </w:tc>
        <w:tc>
          <w:tcPr>
            <w:tcW w:w="524" w:type="pct"/>
            <w:vMerge/>
            <w:vAlign w:val="center"/>
          </w:tcPr>
          <w:p w14:paraId="4DD6DEEB" w14:textId="77777777" w:rsidR="002E474C" w:rsidRDefault="002E474C">
            <w:pPr>
              <w:pStyle w:val="A-"/>
            </w:pPr>
          </w:p>
        </w:tc>
        <w:tc>
          <w:tcPr>
            <w:tcW w:w="372" w:type="pct"/>
            <w:vMerge/>
            <w:vAlign w:val="center"/>
          </w:tcPr>
          <w:p w14:paraId="4732AB5F" w14:textId="77777777" w:rsidR="002E474C" w:rsidRDefault="002E474C">
            <w:pPr>
              <w:pStyle w:val="A-"/>
            </w:pPr>
          </w:p>
        </w:tc>
        <w:tc>
          <w:tcPr>
            <w:tcW w:w="457" w:type="pct"/>
            <w:vAlign w:val="center"/>
          </w:tcPr>
          <w:p w14:paraId="7DE538B8" w14:textId="77777777" w:rsidR="002E474C" w:rsidRDefault="00000000">
            <w:pPr>
              <w:pStyle w:val="A-"/>
            </w:pPr>
            <w:r>
              <w:t>275-006-02</w:t>
            </w:r>
          </w:p>
        </w:tc>
        <w:tc>
          <w:tcPr>
            <w:tcW w:w="2678" w:type="pct"/>
            <w:vAlign w:val="center"/>
          </w:tcPr>
          <w:p w14:paraId="5DBDE98C" w14:textId="77777777" w:rsidR="002E474C" w:rsidRDefault="00000000">
            <w:pPr>
              <w:pStyle w:val="A-"/>
            </w:pPr>
            <w:r>
              <w:t>兽药生产过程中产生的废母液、反应基和培养基废物</w:t>
            </w:r>
          </w:p>
        </w:tc>
        <w:tc>
          <w:tcPr>
            <w:tcW w:w="395" w:type="pct"/>
            <w:vAlign w:val="center"/>
          </w:tcPr>
          <w:p w14:paraId="59B57FB1" w14:textId="77777777" w:rsidR="002E474C" w:rsidRDefault="00000000">
            <w:pPr>
              <w:pStyle w:val="A-"/>
            </w:pPr>
            <w:r>
              <w:t>T</w:t>
            </w:r>
          </w:p>
        </w:tc>
      </w:tr>
      <w:tr w:rsidR="002E474C" w14:paraId="05A25414" w14:textId="77777777">
        <w:trPr>
          <w:trHeight w:val="240"/>
        </w:trPr>
        <w:tc>
          <w:tcPr>
            <w:tcW w:w="574" w:type="pct"/>
            <w:vMerge/>
            <w:vAlign w:val="center"/>
          </w:tcPr>
          <w:p w14:paraId="01B858AD" w14:textId="77777777" w:rsidR="002E474C" w:rsidRDefault="002E474C">
            <w:pPr>
              <w:pStyle w:val="A-"/>
            </w:pPr>
          </w:p>
        </w:tc>
        <w:tc>
          <w:tcPr>
            <w:tcW w:w="524" w:type="pct"/>
            <w:vMerge/>
            <w:vAlign w:val="center"/>
          </w:tcPr>
          <w:p w14:paraId="182E8452" w14:textId="77777777" w:rsidR="002E474C" w:rsidRDefault="002E474C">
            <w:pPr>
              <w:pStyle w:val="A-"/>
            </w:pPr>
          </w:p>
        </w:tc>
        <w:tc>
          <w:tcPr>
            <w:tcW w:w="372" w:type="pct"/>
            <w:vMerge/>
            <w:vAlign w:val="center"/>
          </w:tcPr>
          <w:p w14:paraId="4B96FC5B" w14:textId="77777777" w:rsidR="002E474C" w:rsidRDefault="002E474C">
            <w:pPr>
              <w:pStyle w:val="A-"/>
            </w:pPr>
          </w:p>
        </w:tc>
        <w:tc>
          <w:tcPr>
            <w:tcW w:w="457" w:type="pct"/>
            <w:vAlign w:val="center"/>
          </w:tcPr>
          <w:p w14:paraId="7A5C133C" w14:textId="77777777" w:rsidR="002E474C" w:rsidRDefault="00000000">
            <w:pPr>
              <w:pStyle w:val="A-"/>
            </w:pPr>
            <w:r>
              <w:t>275-007-02</w:t>
            </w:r>
          </w:p>
        </w:tc>
        <w:tc>
          <w:tcPr>
            <w:tcW w:w="2678" w:type="pct"/>
            <w:vAlign w:val="center"/>
          </w:tcPr>
          <w:p w14:paraId="395ADF61" w14:textId="77777777" w:rsidR="002E474C" w:rsidRDefault="00000000">
            <w:pPr>
              <w:pStyle w:val="A-"/>
            </w:pPr>
            <w:r>
              <w:t>兽药生产过程中产生的废吸附剂</w:t>
            </w:r>
          </w:p>
        </w:tc>
        <w:tc>
          <w:tcPr>
            <w:tcW w:w="395" w:type="pct"/>
            <w:vAlign w:val="center"/>
          </w:tcPr>
          <w:p w14:paraId="6E386C5E" w14:textId="77777777" w:rsidR="002E474C" w:rsidRDefault="00000000">
            <w:pPr>
              <w:pStyle w:val="A-"/>
            </w:pPr>
            <w:r>
              <w:t>T</w:t>
            </w:r>
          </w:p>
        </w:tc>
      </w:tr>
      <w:tr w:rsidR="002E474C" w14:paraId="36AF36A0" w14:textId="77777777">
        <w:trPr>
          <w:trHeight w:val="240"/>
        </w:trPr>
        <w:tc>
          <w:tcPr>
            <w:tcW w:w="574" w:type="pct"/>
            <w:vMerge/>
            <w:vAlign w:val="center"/>
          </w:tcPr>
          <w:p w14:paraId="3F80358B" w14:textId="77777777" w:rsidR="002E474C" w:rsidRDefault="002E474C">
            <w:pPr>
              <w:pStyle w:val="A-"/>
            </w:pPr>
          </w:p>
        </w:tc>
        <w:tc>
          <w:tcPr>
            <w:tcW w:w="524" w:type="pct"/>
            <w:vMerge/>
            <w:vAlign w:val="center"/>
          </w:tcPr>
          <w:p w14:paraId="3492EAC4" w14:textId="77777777" w:rsidR="002E474C" w:rsidRDefault="002E474C">
            <w:pPr>
              <w:pStyle w:val="A-"/>
            </w:pPr>
          </w:p>
        </w:tc>
        <w:tc>
          <w:tcPr>
            <w:tcW w:w="372" w:type="pct"/>
            <w:vMerge/>
            <w:vAlign w:val="center"/>
          </w:tcPr>
          <w:p w14:paraId="03452FCF" w14:textId="77777777" w:rsidR="002E474C" w:rsidRDefault="002E474C">
            <w:pPr>
              <w:pStyle w:val="A-"/>
            </w:pPr>
          </w:p>
        </w:tc>
        <w:tc>
          <w:tcPr>
            <w:tcW w:w="457" w:type="pct"/>
            <w:vAlign w:val="center"/>
          </w:tcPr>
          <w:p w14:paraId="1047BA12" w14:textId="77777777" w:rsidR="002E474C" w:rsidRDefault="00000000">
            <w:pPr>
              <w:pStyle w:val="A-"/>
            </w:pPr>
            <w:r>
              <w:t>275-008-02</w:t>
            </w:r>
          </w:p>
        </w:tc>
        <w:tc>
          <w:tcPr>
            <w:tcW w:w="2678" w:type="pct"/>
            <w:vAlign w:val="center"/>
          </w:tcPr>
          <w:p w14:paraId="2AB9FBEA" w14:textId="77777777" w:rsidR="002E474C" w:rsidRDefault="00000000">
            <w:pPr>
              <w:pStyle w:val="A-"/>
            </w:pPr>
            <w:r>
              <w:t>兽药生产过程中产生的废弃产品及原料药</w:t>
            </w:r>
          </w:p>
        </w:tc>
        <w:tc>
          <w:tcPr>
            <w:tcW w:w="395" w:type="pct"/>
            <w:vAlign w:val="center"/>
          </w:tcPr>
          <w:p w14:paraId="3C021367" w14:textId="77777777" w:rsidR="002E474C" w:rsidRDefault="00000000">
            <w:pPr>
              <w:pStyle w:val="A-"/>
            </w:pPr>
            <w:r>
              <w:t>T</w:t>
            </w:r>
          </w:p>
        </w:tc>
      </w:tr>
      <w:tr w:rsidR="002E474C" w14:paraId="12A99A06" w14:textId="77777777">
        <w:trPr>
          <w:trHeight w:val="240"/>
        </w:trPr>
        <w:tc>
          <w:tcPr>
            <w:tcW w:w="574" w:type="pct"/>
            <w:vMerge/>
            <w:vAlign w:val="center"/>
          </w:tcPr>
          <w:p w14:paraId="7ACF7AA7" w14:textId="77777777" w:rsidR="002E474C" w:rsidRDefault="002E474C">
            <w:pPr>
              <w:pStyle w:val="A-"/>
            </w:pPr>
          </w:p>
        </w:tc>
        <w:tc>
          <w:tcPr>
            <w:tcW w:w="524" w:type="pct"/>
            <w:vMerge w:val="restart"/>
            <w:vAlign w:val="center"/>
          </w:tcPr>
          <w:p w14:paraId="04A15368" w14:textId="77777777" w:rsidR="002E474C" w:rsidRDefault="00000000">
            <w:pPr>
              <w:pStyle w:val="A-"/>
            </w:pPr>
            <w:r>
              <w:t>生物药品制造</w:t>
            </w:r>
          </w:p>
        </w:tc>
        <w:tc>
          <w:tcPr>
            <w:tcW w:w="372" w:type="pct"/>
            <w:vMerge w:val="restart"/>
            <w:vAlign w:val="center"/>
          </w:tcPr>
          <w:p w14:paraId="3C095E46" w14:textId="77777777" w:rsidR="002E474C" w:rsidRDefault="00000000">
            <w:pPr>
              <w:pStyle w:val="A-"/>
            </w:pPr>
            <w:r>
              <w:t>固态、半固态</w:t>
            </w:r>
          </w:p>
        </w:tc>
        <w:tc>
          <w:tcPr>
            <w:tcW w:w="457" w:type="pct"/>
            <w:vAlign w:val="center"/>
          </w:tcPr>
          <w:p w14:paraId="4E7284B0" w14:textId="77777777" w:rsidR="002E474C" w:rsidRDefault="00000000">
            <w:pPr>
              <w:pStyle w:val="A-"/>
            </w:pPr>
            <w:r>
              <w:t>276-001-02</w:t>
            </w:r>
          </w:p>
        </w:tc>
        <w:tc>
          <w:tcPr>
            <w:tcW w:w="2678" w:type="pct"/>
            <w:vAlign w:val="center"/>
          </w:tcPr>
          <w:p w14:paraId="1A5924F0" w14:textId="77777777" w:rsidR="002E474C" w:rsidRDefault="00000000">
            <w:pPr>
              <w:pStyle w:val="A-"/>
            </w:pPr>
            <w:r>
              <w:t>利用生物技术生产生物化学药品、基因工程药物过程中产生的蒸馏及反应残余物</w:t>
            </w:r>
          </w:p>
        </w:tc>
        <w:tc>
          <w:tcPr>
            <w:tcW w:w="395" w:type="pct"/>
            <w:vAlign w:val="center"/>
          </w:tcPr>
          <w:p w14:paraId="68EACC39" w14:textId="77777777" w:rsidR="002E474C" w:rsidRDefault="00000000">
            <w:pPr>
              <w:pStyle w:val="A-"/>
            </w:pPr>
            <w:r>
              <w:t>T</w:t>
            </w:r>
          </w:p>
        </w:tc>
      </w:tr>
      <w:tr w:rsidR="002E474C" w14:paraId="135496C0" w14:textId="77777777">
        <w:trPr>
          <w:trHeight w:val="240"/>
        </w:trPr>
        <w:tc>
          <w:tcPr>
            <w:tcW w:w="574" w:type="pct"/>
            <w:vMerge/>
            <w:vAlign w:val="center"/>
          </w:tcPr>
          <w:p w14:paraId="0F86A090" w14:textId="77777777" w:rsidR="002E474C" w:rsidRDefault="002E474C">
            <w:pPr>
              <w:pStyle w:val="A-"/>
            </w:pPr>
          </w:p>
        </w:tc>
        <w:tc>
          <w:tcPr>
            <w:tcW w:w="524" w:type="pct"/>
            <w:vMerge/>
            <w:vAlign w:val="center"/>
          </w:tcPr>
          <w:p w14:paraId="3ACA799F" w14:textId="77777777" w:rsidR="002E474C" w:rsidRDefault="002E474C">
            <w:pPr>
              <w:pStyle w:val="A-"/>
            </w:pPr>
          </w:p>
        </w:tc>
        <w:tc>
          <w:tcPr>
            <w:tcW w:w="372" w:type="pct"/>
            <w:vMerge/>
            <w:vAlign w:val="center"/>
          </w:tcPr>
          <w:p w14:paraId="04A8A347" w14:textId="77777777" w:rsidR="002E474C" w:rsidRDefault="002E474C">
            <w:pPr>
              <w:pStyle w:val="A-"/>
            </w:pPr>
          </w:p>
        </w:tc>
        <w:tc>
          <w:tcPr>
            <w:tcW w:w="457" w:type="pct"/>
            <w:vAlign w:val="center"/>
          </w:tcPr>
          <w:p w14:paraId="548C9E74" w14:textId="77777777" w:rsidR="002E474C" w:rsidRDefault="00000000">
            <w:pPr>
              <w:pStyle w:val="A-"/>
            </w:pPr>
            <w:r>
              <w:t>276-002-02</w:t>
            </w:r>
          </w:p>
        </w:tc>
        <w:tc>
          <w:tcPr>
            <w:tcW w:w="2678" w:type="pct"/>
            <w:vAlign w:val="center"/>
          </w:tcPr>
          <w:p w14:paraId="31A7A2CE" w14:textId="77777777" w:rsidR="002E474C" w:rsidRDefault="00000000">
            <w:pPr>
              <w:pStyle w:val="A-"/>
            </w:pPr>
            <w:r>
              <w:t>利用生物技术生产生物化学药品、基因工程药物过程中产生的废母液、反应基和培养基废物（不包括利用生物技术合成氨基酸、维生素过程中产生的培养基废物）</w:t>
            </w:r>
          </w:p>
        </w:tc>
        <w:tc>
          <w:tcPr>
            <w:tcW w:w="395" w:type="pct"/>
            <w:vAlign w:val="center"/>
          </w:tcPr>
          <w:p w14:paraId="071D8A70" w14:textId="77777777" w:rsidR="002E474C" w:rsidRDefault="00000000">
            <w:pPr>
              <w:pStyle w:val="A-"/>
            </w:pPr>
            <w:r>
              <w:t>T</w:t>
            </w:r>
          </w:p>
        </w:tc>
      </w:tr>
      <w:tr w:rsidR="002E474C" w14:paraId="54A03D77" w14:textId="77777777">
        <w:trPr>
          <w:trHeight w:val="240"/>
        </w:trPr>
        <w:tc>
          <w:tcPr>
            <w:tcW w:w="574" w:type="pct"/>
            <w:vMerge/>
            <w:vAlign w:val="center"/>
          </w:tcPr>
          <w:p w14:paraId="2F27EFBC" w14:textId="77777777" w:rsidR="002E474C" w:rsidRDefault="002E474C">
            <w:pPr>
              <w:pStyle w:val="A-"/>
            </w:pPr>
          </w:p>
        </w:tc>
        <w:tc>
          <w:tcPr>
            <w:tcW w:w="524" w:type="pct"/>
            <w:vMerge/>
            <w:vAlign w:val="center"/>
          </w:tcPr>
          <w:p w14:paraId="2A24CAAD" w14:textId="77777777" w:rsidR="002E474C" w:rsidRDefault="002E474C">
            <w:pPr>
              <w:pStyle w:val="A-"/>
            </w:pPr>
          </w:p>
        </w:tc>
        <w:tc>
          <w:tcPr>
            <w:tcW w:w="372" w:type="pct"/>
            <w:vMerge/>
            <w:vAlign w:val="center"/>
          </w:tcPr>
          <w:p w14:paraId="60801E58" w14:textId="77777777" w:rsidR="002E474C" w:rsidRDefault="002E474C">
            <w:pPr>
              <w:pStyle w:val="A-"/>
            </w:pPr>
          </w:p>
        </w:tc>
        <w:tc>
          <w:tcPr>
            <w:tcW w:w="457" w:type="pct"/>
            <w:vAlign w:val="center"/>
          </w:tcPr>
          <w:p w14:paraId="2E190B75" w14:textId="77777777" w:rsidR="002E474C" w:rsidRDefault="00000000">
            <w:pPr>
              <w:pStyle w:val="A-"/>
            </w:pPr>
            <w:r>
              <w:t>276-003-02</w:t>
            </w:r>
          </w:p>
        </w:tc>
        <w:tc>
          <w:tcPr>
            <w:tcW w:w="2678" w:type="pct"/>
            <w:vAlign w:val="center"/>
          </w:tcPr>
          <w:p w14:paraId="11D95A27" w14:textId="77777777" w:rsidR="002E474C" w:rsidRDefault="00000000">
            <w:pPr>
              <w:pStyle w:val="A-"/>
            </w:pPr>
            <w:r>
              <w:t>利用生物技术生产生物化学药品、基因工程药物过程中产生的废脱色过滤介质（不包括利用生物技术合成氨基酸、维生素过程中产生的废脱色过滤介质）</w:t>
            </w:r>
          </w:p>
        </w:tc>
        <w:tc>
          <w:tcPr>
            <w:tcW w:w="395" w:type="pct"/>
            <w:vAlign w:val="center"/>
          </w:tcPr>
          <w:p w14:paraId="5A644B0E" w14:textId="77777777" w:rsidR="002E474C" w:rsidRDefault="00000000">
            <w:pPr>
              <w:pStyle w:val="A-"/>
            </w:pPr>
            <w:r>
              <w:t>T</w:t>
            </w:r>
          </w:p>
        </w:tc>
      </w:tr>
      <w:tr w:rsidR="002E474C" w14:paraId="4D6A6F01" w14:textId="77777777">
        <w:trPr>
          <w:trHeight w:val="375"/>
        </w:trPr>
        <w:tc>
          <w:tcPr>
            <w:tcW w:w="574" w:type="pct"/>
            <w:vMerge/>
            <w:vAlign w:val="center"/>
          </w:tcPr>
          <w:p w14:paraId="2262CEDB" w14:textId="77777777" w:rsidR="002E474C" w:rsidRDefault="002E474C">
            <w:pPr>
              <w:pStyle w:val="A-"/>
            </w:pPr>
          </w:p>
        </w:tc>
        <w:tc>
          <w:tcPr>
            <w:tcW w:w="524" w:type="pct"/>
            <w:vMerge/>
            <w:vAlign w:val="center"/>
          </w:tcPr>
          <w:p w14:paraId="43A66C1E" w14:textId="77777777" w:rsidR="002E474C" w:rsidRDefault="002E474C">
            <w:pPr>
              <w:pStyle w:val="A-"/>
            </w:pPr>
          </w:p>
        </w:tc>
        <w:tc>
          <w:tcPr>
            <w:tcW w:w="372" w:type="pct"/>
            <w:vMerge/>
            <w:vAlign w:val="center"/>
          </w:tcPr>
          <w:p w14:paraId="628E9C74" w14:textId="77777777" w:rsidR="002E474C" w:rsidRDefault="002E474C">
            <w:pPr>
              <w:pStyle w:val="A-"/>
            </w:pPr>
          </w:p>
        </w:tc>
        <w:tc>
          <w:tcPr>
            <w:tcW w:w="457" w:type="pct"/>
            <w:vAlign w:val="center"/>
          </w:tcPr>
          <w:p w14:paraId="1414FB04" w14:textId="77777777" w:rsidR="002E474C" w:rsidRDefault="00000000">
            <w:pPr>
              <w:pStyle w:val="A-"/>
            </w:pPr>
            <w:r>
              <w:t>276-004-02</w:t>
            </w:r>
          </w:p>
        </w:tc>
        <w:tc>
          <w:tcPr>
            <w:tcW w:w="2678" w:type="pct"/>
            <w:vAlign w:val="center"/>
          </w:tcPr>
          <w:p w14:paraId="03EE7903" w14:textId="77777777" w:rsidR="002E474C" w:rsidRDefault="00000000">
            <w:pPr>
              <w:pStyle w:val="A-"/>
            </w:pPr>
            <w:r>
              <w:t>利用生物技术生产生物化学药品、基因工程药物过程中产生的废吸附剂</w:t>
            </w:r>
          </w:p>
        </w:tc>
        <w:tc>
          <w:tcPr>
            <w:tcW w:w="395" w:type="pct"/>
            <w:vAlign w:val="center"/>
          </w:tcPr>
          <w:p w14:paraId="6EA5102D" w14:textId="77777777" w:rsidR="002E474C" w:rsidRDefault="00000000">
            <w:pPr>
              <w:pStyle w:val="A-"/>
            </w:pPr>
            <w:r>
              <w:t>T</w:t>
            </w:r>
          </w:p>
        </w:tc>
      </w:tr>
      <w:tr w:rsidR="002E474C" w14:paraId="768D81CD" w14:textId="77777777">
        <w:trPr>
          <w:trHeight w:val="240"/>
        </w:trPr>
        <w:tc>
          <w:tcPr>
            <w:tcW w:w="574" w:type="pct"/>
            <w:vMerge/>
            <w:vAlign w:val="center"/>
          </w:tcPr>
          <w:p w14:paraId="07315F7F" w14:textId="77777777" w:rsidR="002E474C" w:rsidRDefault="002E474C">
            <w:pPr>
              <w:pStyle w:val="A-"/>
            </w:pPr>
          </w:p>
        </w:tc>
        <w:tc>
          <w:tcPr>
            <w:tcW w:w="524" w:type="pct"/>
            <w:vMerge/>
            <w:vAlign w:val="center"/>
          </w:tcPr>
          <w:p w14:paraId="0C292E5B" w14:textId="77777777" w:rsidR="002E474C" w:rsidRDefault="002E474C">
            <w:pPr>
              <w:pStyle w:val="A-"/>
            </w:pPr>
          </w:p>
        </w:tc>
        <w:tc>
          <w:tcPr>
            <w:tcW w:w="372" w:type="pct"/>
            <w:vMerge/>
            <w:vAlign w:val="center"/>
          </w:tcPr>
          <w:p w14:paraId="22E41AC6" w14:textId="77777777" w:rsidR="002E474C" w:rsidRDefault="002E474C">
            <w:pPr>
              <w:pStyle w:val="A-"/>
            </w:pPr>
          </w:p>
        </w:tc>
        <w:tc>
          <w:tcPr>
            <w:tcW w:w="457" w:type="pct"/>
            <w:vAlign w:val="center"/>
          </w:tcPr>
          <w:p w14:paraId="23E3DCDF" w14:textId="77777777" w:rsidR="002E474C" w:rsidRDefault="00000000">
            <w:pPr>
              <w:pStyle w:val="A-"/>
            </w:pPr>
            <w:r>
              <w:t>276-005-02</w:t>
            </w:r>
          </w:p>
        </w:tc>
        <w:tc>
          <w:tcPr>
            <w:tcW w:w="2678" w:type="pct"/>
            <w:vAlign w:val="center"/>
          </w:tcPr>
          <w:p w14:paraId="779D20AA" w14:textId="77777777" w:rsidR="002E474C" w:rsidRDefault="00000000">
            <w:pPr>
              <w:pStyle w:val="A-"/>
            </w:pPr>
            <w:r>
              <w:t>利用生物技术生产生物化学药品、基因工程药物过程中产生的废弃产品、原料药和中间体</w:t>
            </w:r>
          </w:p>
        </w:tc>
        <w:tc>
          <w:tcPr>
            <w:tcW w:w="395" w:type="pct"/>
            <w:vAlign w:val="center"/>
          </w:tcPr>
          <w:p w14:paraId="61FB08CD" w14:textId="77777777" w:rsidR="002E474C" w:rsidRDefault="00000000">
            <w:pPr>
              <w:pStyle w:val="A-"/>
            </w:pPr>
            <w:r>
              <w:t>T</w:t>
            </w:r>
          </w:p>
        </w:tc>
      </w:tr>
      <w:tr w:rsidR="002E474C" w14:paraId="0C7B74D5" w14:textId="77777777">
        <w:trPr>
          <w:trHeight w:val="480"/>
        </w:trPr>
        <w:tc>
          <w:tcPr>
            <w:tcW w:w="574" w:type="pct"/>
            <w:vAlign w:val="center"/>
          </w:tcPr>
          <w:p w14:paraId="2DB993CE" w14:textId="77777777" w:rsidR="002E474C" w:rsidRDefault="00000000">
            <w:pPr>
              <w:pStyle w:val="A-"/>
            </w:pPr>
            <w:r>
              <w:t>HW03</w:t>
            </w:r>
          </w:p>
          <w:p w14:paraId="436802E7" w14:textId="77777777" w:rsidR="002E474C" w:rsidRDefault="00000000">
            <w:pPr>
              <w:pStyle w:val="A-"/>
            </w:pPr>
            <w:r>
              <w:t>废药物、药品</w:t>
            </w:r>
          </w:p>
        </w:tc>
        <w:tc>
          <w:tcPr>
            <w:tcW w:w="524" w:type="pct"/>
            <w:vAlign w:val="center"/>
          </w:tcPr>
          <w:p w14:paraId="0844332F" w14:textId="77777777" w:rsidR="002E474C" w:rsidRDefault="00000000">
            <w:pPr>
              <w:pStyle w:val="A-"/>
            </w:pPr>
            <w:r>
              <w:t>非特定行业</w:t>
            </w:r>
          </w:p>
        </w:tc>
        <w:tc>
          <w:tcPr>
            <w:tcW w:w="372" w:type="pct"/>
            <w:vAlign w:val="center"/>
          </w:tcPr>
          <w:p w14:paraId="3B6C4EB1" w14:textId="77777777" w:rsidR="002E474C" w:rsidRDefault="00000000">
            <w:pPr>
              <w:pStyle w:val="A-"/>
              <w:ind w:leftChars="-25" w:left="-53" w:rightChars="-25" w:right="-53"/>
              <w:rPr>
                <w:spacing w:val="-6"/>
              </w:rPr>
            </w:pPr>
            <w:r>
              <w:rPr>
                <w:spacing w:val="-6"/>
              </w:rPr>
              <w:t>固态、液态</w:t>
            </w:r>
          </w:p>
        </w:tc>
        <w:tc>
          <w:tcPr>
            <w:tcW w:w="457" w:type="pct"/>
            <w:vAlign w:val="center"/>
          </w:tcPr>
          <w:p w14:paraId="4513B41E" w14:textId="77777777" w:rsidR="002E474C" w:rsidRDefault="00000000">
            <w:pPr>
              <w:pStyle w:val="A-"/>
            </w:pPr>
            <w:r>
              <w:t>900-002-03</w:t>
            </w:r>
          </w:p>
        </w:tc>
        <w:tc>
          <w:tcPr>
            <w:tcW w:w="2678" w:type="pct"/>
            <w:vAlign w:val="center"/>
          </w:tcPr>
          <w:p w14:paraId="1FF1B83E" w14:textId="77777777" w:rsidR="002E474C" w:rsidRDefault="00000000">
            <w:pPr>
              <w:pStyle w:val="A-"/>
            </w:pPr>
            <w:r>
              <w:t>生产、销售及使用过程中产生的失效、变质、不合格、淘汰、伪劣的药物和药品（不包括</w:t>
            </w:r>
            <w:r>
              <w:t>HW01</w:t>
            </w:r>
            <w:r>
              <w:t>、</w:t>
            </w:r>
            <w:r>
              <w:t>HW02</w:t>
            </w:r>
            <w:r>
              <w:t>、</w:t>
            </w:r>
            <w:r>
              <w:t>900-999-49</w:t>
            </w:r>
            <w:r>
              <w:t>类）</w:t>
            </w:r>
          </w:p>
        </w:tc>
        <w:tc>
          <w:tcPr>
            <w:tcW w:w="395" w:type="pct"/>
            <w:vAlign w:val="center"/>
          </w:tcPr>
          <w:p w14:paraId="1735F818" w14:textId="77777777" w:rsidR="002E474C" w:rsidRDefault="00000000">
            <w:pPr>
              <w:pStyle w:val="A-"/>
            </w:pPr>
            <w:r>
              <w:t>T</w:t>
            </w:r>
          </w:p>
        </w:tc>
      </w:tr>
      <w:tr w:rsidR="002E474C" w14:paraId="2D339FCF" w14:textId="77777777">
        <w:trPr>
          <w:trHeight w:val="240"/>
        </w:trPr>
        <w:tc>
          <w:tcPr>
            <w:tcW w:w="574" w:type="pct"/>
            <w:vMerge w:val="restart"/>
            <w:vAlign w:val="center"/>
          </w:tcPr>
          <w:p w14:paraId="773DC71F" w14:textId="77777777" w:rsidR="002E474C" w:rsidRDefault="00000000">
            <w:pPr>
              <w:pStyle w:val="A-"/>
            </w:pPr>
            <w:r>
              <w:t>HW04</w:t>
            </w:r>
            <w:r>
              <w:t>农药废物</w:t>
            </w:r>
          </w:p>
        </w:tc>
        <w:tc>
          <w:tcPr>
            <w:tcW w:w="524" w:type="pct"/>
            <w:vMerge w:val="restart"/>
            <w:vAlign w:val="center"/>
          </w:tcPr>
          <w:p w14:paraId="180CF5DD" w14:textId="77777777" w:rsidR="002E474C" w:rsidRDefault="00000000">
            <w:pPr>
              <w:pStyle w:val="A-"/>
            </w:pPr>
            <w:r>
              <w:t>农药制造</w:t>
            </w:r>
          </w:p>
        </w:tc>
        <w:tc>
          <w:tcPr>
            <w:tcW w:w="372" w:type="pct"/>
            <w:vMerge w:val="restart"/>
            <w:vAlign w:val="center"/>
          </w:tcPr>
          <w:p w14:paraId="4440CDAA" w14:textId="77777777" w:rsidR="002E474C" w:rsidRDefault="00000000">
            <w:pPr>
              <w:pStyle w:val="A-"/>
              <w:ind w:leftChars="-25" w:left="-53" w:rightChars="-25" w:right="-53"/>
              <w:rPr>
                <w:spacing w:val="-6"/>
              </w:rPr>
            </w:pPr>
            <w:r>
              <w:rPr>
                <w:spacing w:val="-6"/>
              </w:rPr>
              <w:t>固态、半固态、液态</w:t>
            </w:r>
          </w:p>
        </w:tc>
        <w:tc>
          <w:tcPr>
            <w:tcW w:w="457" w:type="pct"/>
            <w:vAlign w:val="center"/>
          </w:tcPr>
          <w:p w14:paraId="051EDD4F" w14:textId="77777777" w:rsidR="002E474C" w:rsidRDefault="00000000">
            <w:pPr>
              <w:pStyle w:val="A-"/>
            </w:pPr>
            <w:r>
              <w:t>263-001-04</w:t>
            </w:r>
          </w:p>
        </w:tc>
        <w:tc>
          <w:tcPr>
            <w:tcW w:w="2678" w:type="pct"/>
            <w:vAlign w:val="center"/>
          </w:tcPr>
          <w:p w14:paraId="0C1CDE6B" w14:textId="77777777" w:rsidR="002E474C" w:rsidRDefault="00000000">
            <w:pPr>
              <w:pStyle w:val="A-"/>
            </w:pPr>
            <w:r>
              <w:t>氯丹生产过程中六氯环戊二烯过滤产生的残余物；氯丹氯化反应器的真空汽提产生的废物</w:t>
            </w:r>
          </w:p>
        </w:tc>
        <w:tc>
          <w:tcPr>
            <w:tcW w:w="395" w:type="pct"/>
            <w:vAlign w:val="center"/>
          </w:tcPr>
          <w:p w14:paraId="4A8D639F" w14:textId="77777777" w:rsidR="002E474C" w:rsidRDefault="00000000">
            <w:pPr>
              <w:pStyle w:val="A-"/>
            </w:pPr>
            <w:r>
              <w:t>T</w:t>
            </w:r>
          </w:p>
        </w:tc>
      </w:tr>
      <w:tr w:rsidR="002E474C" w14:paraId="3212B8B4" w14:textId="77777777">
        <w:trPr>
          <w:trHeight w:val="240"/>
        </w:trPr>
        <w:tc>
          <w:tcPr>
            <w:tcW w:w="574" w:type="pct"/>
            <w:vMerge/>
            <w:vAlign w:val="center"/>
          </w:tcPr>
          <w:p w14:paraId="308681E5" w14:textId="77777777" w:rsidR="002E474C" w:rsidRDefault="002E474C">
            <w:pPr>
              <w:pStyle w:val="A-"/>
            </w:pPr>
          </w:p>
        </w:tc>
        <w:tc>
          <w:tcPr>
            <w:tcW w:w="524" w:type="pct"/>
            <w:vMerge/>
            <w:vAlign w:val="center"/>
          </w:tcPr>
          <w:p w14:paraId="333202C9" w14:textId="77777777" w:rsidR="002E474C" w:rsidRDefault="002E474C">
            <w:pPr>
              <w:pStyle w:val="A-"/>
            </w:pPr>
          </w:p>
        </w:tc>
        <w:tc>
          <w:tcPr>
            <w:tcW w:w="372" w:type="pct"/>
            <w:vMerge/>
            <w:vAlign w:val="center"/>
          </w:tcPr>
          <w:p w14:paraId="20A1B5A2" w14:textId="77777777" w:rsidR="002E474C" w:rsidRDefault="002E474C">
            <w:pPr>
              <w:pStyle w:val="A-"/>
              <w:ind w:leftChars="-25" w:left="-53" w:rightChars="-25" w:right="-53"/>
              <w:rPr>
                <w:spacing w:val="-6"/>
              </w:rPr>
            </w:pPr>
          </w:p>
        </w:tc>
        <w:tc>
          <w:tcPr>
            <w:tcW w:w="457" w:type="pct"/>
            <w:vAlign w:val="center"/>
          </w:tcPr>
          <w:p w14:paraId="76C1CECE" w14:textId="77777777" w:rsidR="002E474C" w:rsidRDefault="00000000">
            <w:pPr>
              <w:pStyle w:val="A-"/>
            </w:pPr>
            <w:r>
              <w:t>263-002-04</w:t>
            </w:r>
          </w:p>
        </w:tc>
        <w:tc>
          <w:tcPr>
            <w:tcW w:w="2678" w:type="pct"/>
            <w:vAlign w:val="center"/>
          </w:tcPr>
          <w:p w14:paraId="0427B591" w14:textId="77777777" w:rsidR="002E474C" w:rsidRDefault="00000000">
            <w:pPr>
              <w:pStyle w:val="A-"/>
            </w:pPr>
            <w:r>
              <w:t>乙拌磷生产过程中甲苯回收工艺产生的蒸馏残渣</w:t>
            </w:r>
          </w:p>
        </w:tc>
        <w:tc>
          <w:tcPr>
            <w:tcW w:w="395" w:type="pct"/>
            <w:vAlign w:val="center"/>
          </w:tcPr>
          <w:p w14:paraId="026D318E" w14:textId="77777777" w:rsidR="002E474C" w:rsidRDefault="00000000">
            <w:pPr>
              <w:pStyle w:val="A-"/>
            </w:pPr>
            <w:r>
              <w:t>T</w:t>
            </w:r>
          </w:p>
        </w:tc>
      </w:tr>
      <w:tr w:rsidR="002E474C" w14:paraId="120585E9" w14:textId="77777777">
        <w:trPr>
          <w:trHeight w:val="240"/>
        </w:trPr>
        <w:tc>
          <w:tcPr>
            <w:tcW w:w="574" w:type="pct"/>
            <w:vMerge/>
            <w:vAlign w:val="center"/>
          </w:tcPr>
          <w:p w14:paraId="13449A00" w14:textId="77777777" w:rsidR="002E474C" w:rsidRDefault="002E474C">
            <w:pPr>
              <w:pStyle w:val="A-"/>
            </w:pPr>
          </w:p>
        </w:tc>
        <w:tc>
          <w:tcPr>
            <w:tcW w:w="524" w:type="pct"/>
            <w:vMerge/>
            <w:vAlign w:val="center"/>
          </w:tcPr>
          <w:p w14:paraId="49D4BCDA" w14:textId="77777777" w:rsidR="002E474C" w:rsidRDefault="002E474C">
            <w:pPr>
              <w:pStyle w:val="A-"/>
            </w:pPr>
          </w:p>
        </w:tc>
        <w:tc>
          <w:tcPr>
            <w:tcW w:w="372" w:type="pct"/>
            <w:vMerge/>
            <w:vAlign w:val="center"/>
          </w:tcPr>
          <w:p w14:paraId="015DE2A6" w14:textId="77777777" w:rsidR="002E474C" w:rsidRDefault="002E474C">
            <w:pPr>
              <w:pStyle w:val="A-"/>
              <w:ind w:leftChars="-25" w:left="-53" w:rightChars="-25" w:right="-53"/>
              <w:rPr>
                <w:spacing w:val="-6"/>
              </w:rPr>
            </w:pPr>
          </w:p>
        </w:tc>
        <w:tc>
          <w:tcPr>
            <w:tcW w:w="457" w:type="pct"/>
            <w:vAlign w:val="center"/>
          </w:tcPr>
          <w:p w14:paraId="09CC998E" w14:textId="77777777" w:rsidR="002E474C" w:rsidRDefault="00000000">
            <w:pPr>
              <w:pStyle w:val="A-"/>
            </w:pPr>
            <w:r>
              <w:t>263-003-04</w:t>
            </w:r>
          </w:p>
        </w:tc>
        <w:tc>
          <w:tcPr>
            <w:tcW w:w="2678" w:type="pct"/>
            <w:vAlign w:val="center"/>
          </w:tcPr>
          <w:p w14:paraId="092B8640" w14:textId="77777777" w:rsidR="002E474C" w:rsidRDefault="00000000">
            <w:pPr>
              <w:pStyle w:val="A-"/>
            </w:pPr>
            <w:r>
              <w:t>甲拌磷生产过程中二乙基二硫代磷酸过滤产生的残余物</w:t>
            </w:r>
          </w:p>
        </w:tc>
        <w:tc>
          <w:tcPr>
            <w:tcW w:w="395" w:type="pct"/>
            <w:vAlign w:val="center"/>
          </w:tcPr>
          <w:p w14:paraId="65CA03ED" w14:textId="77777777" w:rsidR="002E474C" w:rsidRDefault="00000000">
            <w:pPr>
              <w:pStyle w:val="A-"/>
            </w:pPr>
            <w:r>
              <w:t>T</w:t>
            </w:r>
          </w:p>
        </w:tc>
      </w:tr>
      <w:tr w:rsidR="002E474C" w14:paraId="5DEDCB9E" w14:textId="77777777">
        <w:trPr>
          <w:trHeight w:val="240"/>
        </w:trPr>
        <w:tc>
          <w:tcPr>
            <w:tcW w:w="574" w:type="pct"/>
            <w:vMerge/>
            <w:vAlign w:val="center"/>
          </w:tcPr>
          <w:p w14:paraId="78EEFF87" w14:textId="77777777" w:rsidR="002E474C" w:rsidRDefault="002E474C">
            <w:pPr>
              <w:pStyle w:val="A-"/>
            </w:pPr>
          </w:p>
        </w:tc>
        <w:tc>
          <w:tcPr>
            <w:tcW w:w="524" w:type="pct"/>
            <w:vMerge/>
            <w:vAlign w:val="center"/>
          </w:tcPr>
          <w:p w14:paraId="03CDCD9D" w14:textId="77777777" w:rsidR="002E474C" w:rsidRDefault="002E474C">
            <w:pPr>
              <w:pStyle w:val="A-"/>
            </w:pPr>
          </w:p>
        </w:tc>
        <w:tc>
          <w:tcPr>
            <w:tcW w:w="372" w:type="pct"/>
            <w:vMerge/>
            <w:vAlign w:val="center"/>
          </w:tcPr>
          <w:p w14:paraId="0955C559" w14:textId="77777777" w:rsidR="002E474C" w:rsidRDefault="002E474C">
            <w:pPr>
              <w:pStyle w:val="A-"/>
              <w:ind w:leftChars="-25" w:left="-53" w:rightChars="-25" w:right="-53"/>
              <w:rPr>
                <w:spacing w:val="-6"/>
              </w:rPr>
            </w:pPr>
          </w:p>
        </w:tc>
        <w:tc>
          <w:tcPr>
            <w:tcW w:w="457" w:type="pct"/>
            <w:vAlign w:val="center"/>
          </w:tcPr>
          <w:p w14:paraId="3A809B7C" w14:textId="77777777" w:rsidR="002E474C" w:rsidRDefault="00000000">
            <w:pPr>
              <w:pStyle w:val="A-"/>
            </w:pPr>
            <w:r>
              <w:t>263-004-04</w:t>
            </w:r>
          </w:p>
        </w:tc>
        <w:tc>
          <w:tcPr>
            <w:tcW w:w="2678" w:type="pct"/>
            <w:vAlign w:val="center"/>
          </w:tcPr>
          <w:p w14:paraId="72D9A7B4" w14:textId="77777777" w:rsidR="002E474C" w:rsidRDefault="00000000">
            <w:pPr>
              <w:pStyle w:val="A-"/>
            </w:pPr>
            <w:r>
              <w:t>2,4,5-</w:t>
            </w:r>
            <w:r>
              <w:t>三氯苯氧乙酸生产过程中四氯苯蒸馏产生的重馏分及蒸馏残余物</w:t>
            </w:r>
          </w:p>
        </w:tc>
        <w:tc>
          <w:tcPr>
            <w:tcW w:w="395" w:type="pct"/>
            <w:vAlign w:val="center"/>
          </w:tcPr>
          <w:p w14:paraId="2303A56B" w14:textId="77777777" w:rsidR="002E474C" w:rsidRDefault="00000000">
            <w:pPr>
              <w:pStyle w:val="A-"/>
            </w:pPr>
            <w:r>
              <w:t>T</w:t>
            </w:r>
          </w:p>
        </w:tc>
      </w:tr>
      <w:tr w:rsidR="002E474C" w14:paraId="492AC1A4" w14:textId="77777777">
        <w:trPr>
          <w:trHeight w:val="240"/>
        </w:trPr>
        <w:tc>
          <w:tcPr>
            <w:tcW w:w="574" w:type="pct"/>
            <w:vMerge/>
            <w:vAlign w:val="center"/>
          </w:tcPr>
          <w:p w14:paraId="06A94CC3" w14:textId="77777777" w:rsidR="002E474C" w:rsidRDefault="002E474C">
            <w:pPr>
              <w:pStyle w:val="A-"/>
            </w:pPr>
          </w:p>
        </w:tc>
        <w:tc>
          <w:tcPr>
            <w:tcW w:w="524" w:type="pct"/>
            <w:vMerge/>
            <w:vAlign w:val="center"/>
          </w:tcPr>
          <w:p w14:paraId="27F27895" w14:textId="77777777" w:rsidR="002E474C" w:rsidRDefault="002E474C">
            <w:pPr>
              <w:pStyle w:val="A-"/>
            </w:pPr>
          </w:p>
        </w:tc>
        <w:tc>
          <w:tcPr>
            <w:tcW w:w="372" w:type="pct"/>
            <w:vMerge/>
            <w:vAlign w:val="center"/>
          </w:tcPr>
          <w:p w14:paraId="1C08B842" w14:textId="77777777" w:rsidR="002E474C" w:rsidRDefault="002E474C">
            <w:pPr>
              <w:pStyle w:val="A-"/>
              <w:ind w:leftChars="-25" w:left="-53" w:rightChars="-25" w:right="-53"/>
              <w:rPr>
                <w:spacing w:val="-6"/>
              </w:rPr>
            </w:pPr>
          </w:p>
        </w:tc>
        <w:tc>
          <w:tcPr>
            <w:tcW w:w="457" w:type="pct"/>
            <w:vAlign w:val="center"/>
          </w:tcPr>
          <w:p w14:paraId="1591846F" w14:textId="77777777" w:rsidR="002E474C" w:rsidRDefault="00000000">
            <w:pPr>
              <w:pStyle w:val="A-"/>
            </w:pPr>
            <w:r>
              <w:t>263-005-04</w:t>
            </w:r>
          </w:p>
        </w:tc>
        <w:tc>
          <w:tcPr>
            <w:tcW w:w="2678" w:type="pct"/>
            <w:vAlign w:val="center"/>
          </w:tcPr>
          <w:p w14:paraId="0A92629B" w14:textId="77777777" w:rsidR="002E474C" w:rsidRDefault="00000000">
            <w:pPr>
              <w:pStyle w:val="A-"/>
            </w:pPr>
            <w:r>
              <w:t>2,4-</w:t>
            </w:r>
            <w:r>
              <w:t>二氯苯氧乙酸生产过程中产生的含</w:t>
            </w:r>
            <w:r>
              <w:t>2,6-</w:t>
            </w:r>
            <w:r>
              <w:t>二氯苯酚残余物</w:t>
            </w:r>
          </w:p>
        </w:tc>
        <w:tc>
          <w:tcPr>
            <w:tcW w:w="395" w:type="pct"/>
            <w:vAlign w:val="center"/>
          </w:tcPr>
          <w:p w14:paraId="2CDD8457" w14:textId="77777777" w:rsidR="002E474C" w:rsidRDefault="00000000">
            <w:pPr>
              <w:pStyle w:val="A-"/>
            </w:pPr>
            <w:r>
              <w:t>T</w:t>
            </w:r>
          </w:p>
        </w:tc>
      </w:tr>
      <w:tr w:rsidR="002E474C" w14:paraId="3B1E7723" w14:textId="77777777">
        <w:trPr>
          <w:trHeight w:val="240"/>
        </w:trPr>
        <w:tc>
          <w:tcPr>
            <w:tcW w:w="574" w:type="pct"/>
            <w:vMerge/>
            <w:vAlign w:val="center"/>
          </w:tcPr>
          <w:p w14:paraId="085387B9" w14:textId="77777777" w:rsidR="002E474C" w:rsidRDefault="002E474C">
            <w:pPr>
              <w:pStyle w:val="A-"/>
            </w:pPr>
          </w:p>
        </w:tc>
        <w:tc>
          <w:tcPr>
            <w:tcW w:w="524" w:type="pct"/>
            <w:vMerge/>
            <w:vAlign w:val="center"/>
          </w:tcPr>
          <w:p w14:paraId="078A8134" w14:textId="77777777" w:rsidR="002E474C" w:rsidRDefault="002E474C">
            <w:pPr>
              <w:pStyle w:val="A-"/>
            </w:pPr>
          </w:p>
        </w:tc>
        <w:tc>
          <w:tcPr>
            <w:tcW w:w="372" w:type="pct"/>
            <w:vMerge/>
            <w:vAlign w:val="center"/>
          </w:tcPr>
          <w:p w14:paraId="678B55D2" w14:textId="77777777" w:rsidR="002E474C" w:rsidRDefault="002E474C">
            <w:pPr>
              <w:pStyle w:val="A-"/>
              <w:ind w:leftChars="-25" w:left="-53" w:rightChars="-25" w:right="-53"/>
              <w:rPr>
                <w:spacing w:val="-6"/>
              </w:rPr>
            </w:pPr>
          </w:p>
        </w:tc>
        <w:tc>
          <w:tcPr>
            <w:tcW w:w="457" w:type="pct"/>
            <w:vAlign w:val="center"/>
          </w:tcPr>
          <w:p w14:paraId="67684063" w14:textId="77777777" w:rsidR="002E474C" w:rsidRDefault="00000000">
            <w:pPr>
              <w:pStyle w:val="A-"/>
            </w:pPr>
            <w:r>
              <w:t>263-006-04</w:t>
            </w:r>
          </w:p>
        </w:tc>
        <w:tc>
          <w:tcPr>
            <w:tcW w:w="2678" w:type="pct"/>
            <w:vAlign w:val="center"/>
          </w:tcPr>
          <w:p w14:paraId="257B13C5" w14:textId="77777777" w:rsidR="002E474C" w:rsidRDefault="00000000">
            <w:pPr>
              <w:pStyle w:val="A-"/>
            </w:pPr>
            <w:r>
              <w:rPr>
                <w:spacing w:val="-6"/>
              </w:rPr>
              <w:t>乙烯基双二硫代氨基甲酸及其盐类生产过程中产生的过滤、蒸发和离心分离残余物及废水处理污泥；产品研磨和包装工序集（除）尘装置收集的粉尘和地面清扫废物</w:t>
            </w:r>
          </w:p>
        </w:tc>
        <w:tc>
          <w:tcPr>
            <w:tcW w:w="395" w:type="pct"/>
            <w:vAlign w:val="center"/>
          </w:tcPr>
          <w:p w14:paraId="7DB2456E" w14:textId="77777777" w:rsidR="002E474C" w:rsidRDefault="00000000">
            <w:pPr>
              <w:pStyle w:val="A-"/>
            </w:pPr>
            <w:r>
              <w:t>T</w:t>
            </w:r>
          </w:p>
        </w:tc>
      </w:tr>
      <w:tr w:rsidR="002E474C" w14:paraId="3715E09D" w14:textId="77777777">
        <w:trPr>
          <w:trHeight w:val="240"/>
        </w:trPr>
        <w:tc>
          <w:tcPr>
            <w:tcW w:w="574" w:type="pct"/>
            <w:vMerge/>
            <w:vAlign w:val="center"/>
          </w:tcPr>
          <w:p w14:paraId="1ACD3C07" w14:textId="77777777" w:rsidR="002E474C" w:rsidRDefault="002E474C">
            <w:pPr>
              <w:pStyle w:val="A-"/>
            </w:pPr>
          </w:p>
        </w:tc>
        <w:tc>
          <w:tcPr>
            <w:tcW w:w="524" w:type="pct"/>
            <w:vMerge/>
            <w:vAlign w:val="center"/>
          </w:tcPr>
          <w:p w14:paraId="4E84A8DE" w14:textId="77777777" w:rsidR="002E474C" w:rsidRDefault="002E474C">
            <w:pPr>
              <w:pStyle w:val="A-"/>
            </w:pPr>
          </w:p>
        </w:tc>
        <w:tc>
          <w:tcPr>
            <w:tcW w:w="372" w:type="pct"/>
            <w:vMerge/>
            <w:vAlign w:val="center"/>
          </w:tcPr>
          <w:p w14:paraId="524F1BB2" w14:textId="77777777" w:rsidR="002E474C" w:rsidRDefault="002E474C">
            <w:pPr>
              <w:pStyle w:val="A-"/>
              <w:ind w:leftChars="-25" w:left="-53" w:rightChars="-25" w:right="-53"/>
              <w:rPr>
                <w:spacing w:val="-6"/>
              </w:rPr>
            </w:pPr>
          </w:p>
        </w:tc>
        <w:tc>
          <w:tcPr>
            <w:tcW w:w="457" w:type="pct"/>
            <w:vAlign w:val="center"/>
          </w:tcPr>
          <w:p w14:paraId="3FE66DB5" w14:textId="77777777" w:rsidR="002E474C" w:rsidRDefault="00000000">
            <w:pPr>
              <w:pStyle w:val="A-"/>
            </w:pPr>
            <w:r>
              <w:t>263-007-04</w:t>
            </w:r>
          </w:p>
        </w:tc>
        <w:tc>
          <w:tcPr>
            <w:tcW w:w="2678" w:type="pct"/>
            <w:vAlign w:val="center"/>
          </w:tcPr>
          <w:p w14:paraId="060B7DC4" w14:textId="77777777" w:rsidR="002E474C" w:rsidRDefault="00000000">
            <w:pPr>
              <w:pStyle w:val="A-"/>
            </w:pPr>
            <w:r>
              <w:t>溴甲烷生产过程中反应器产生的废水和酸干燥器产生的废硫酸；生产过程中产生的废吸附剂和废水分离器产生的废物</w:t>
            </w:r>
          </w:p>
        </w:tc>
        <w:tc>
          <w:tcPr>
            <w:tcW w:w="395" w:type="pct"/>
            <w:vAlign w:val="center"/>
          </w:tcPr>
          <w:p w14:paraId="01E486D9" w14:textId="77777777" w:rsidR="002E474C" w:rsidRDefault="00000000">
            <w:pPr>
              <w:pStyle w:val="A-"/>
            </w:pPr>
            <w:r>
              <w:t>T</w:t>
            </w:r>
          </w:p>
        </w:tc>
      </w:tr>
      <w:tr w:rsidR="002E474C" w14:paraId="79495901" w14:textId="77777777">
        <w:trPr>
          <w:trHeight w:val="240"/>
        </w:trPr>
        <w:tc>
          <w:tcPr>
            <w:tcW w:w="574" w:type="pct"/>
            <w:vMerge/>
            <w:vAlign w:val="center"/>
          </w:tcPr>
          <w:p w14:paraId="5D56C033" w14:textId="77777777" w:rsidR="002E474C" w:rsidRDefault="002E474C">
            <w:pPr>
              <w:pStyle w:val="A-"/>
            </w:pPr>
          </w:p>
        </w:tc>
        <w:tc>
          <w:tcPr>
            <w:tcW w:w="524" w:type="pct"/>
            <w:vMerge/>
            <w:vAlign w:val="center"/>
          </w:tcPr>
          <w:p w14:paraId="64185B36" w14:textId="77777777" w:rsidR="002E474C" w:rsidRDefault="002E474C">
            <w:pPr>
              <w:pStyle w:val="A-"/>
            </w:pPr>
          </w:p>
        </w:tc>
        <w:tc>
          <w:tcPr>
            <w:tcW w:w="372" w:type="pct"/>
            <w:vMerge/>
            <w:vAlign w:val="center"/>
          </w:tcPr>
          <w:p w14:paraId="15701C08" w14:textId="77777777" w:rsidR="002E474C" w:rsidRDefault="002E474C">
            <w:pPr>
              <w:pStyle w:val="A-"/>
              <w:ind w:leftChars="-25" w:left="-53" w:rightChars="-25" w:right="-53"/>
              <w:rPr>
                <w:spacing w:val="-6"/>
              </w:rPr>
            </w:pPr>
          </w:p>
        </w:tc>
        <w:tc>
          <w:tcPr>
            <w:tcW w:w="457" w:type="pct"/>
            <w:vAlign w:val="center"/>
          </w:tcPr>
          <w:p w14:paraId="08F02A96" w14:textId="77777777" w:rsidR="002E474C" w:rsidRDefault="00000000">
            <w:pPr>
              <w:pStyle w:val="A-"/>
            </w:pPr>
            <w:r>
              <w:t>263-008-04</w:t>
            </w:r>
          </w:p>
        </w:tc>
        <w:tc>
          <w:tcPr>
            <w:tcW w:w="2678" w:type="pct"/>
            <w:vAlign w:val="center"/>
          </w:tcPr>
          <w:p w14:paraId="009E8181" w14:textId="77777777" w:rsidR="002E474C" w:rsidRDefault="00000000">
            <w:pPr>
              <w:pStyle w:val="A-"/>
            </w:pPr>
            <w:r>
              <w:t>其他农药生产过程中产生的蒸馏及反应残余物</w:t>
            </w:r>
          </w:p>
        </w:tc>
        <w:tc>
          <w:tcPr>
            <w:tcW w:w="395" w:type="pct"/>
            <w:vAlign w:val="center"/>
          </w:tcPr>
          <w:p w14:paraId="5BDAF081" w14:textId="77777777" w:rsidR="002E474C" w:rsidRDefault="00000000">
            <w:pPr>
              <w:pStyle w:val="A-"/>
            </w:pPr>
            <w:r>
              <w:t>T</w:t>
            </w:r>
          </w:p>
        </w:tc>
      </w:tr>
      <w:tr w:rsidR="002E474C" w14:paraId="1C9AAC72" w14:textId="77777777">
        <w:trPr>
          <w:trHeight w:val="240"/>
        </w:trPr>
        <w:tc>
          <w:tcPr>
            <w:tcW w:w="574" w:type="pct"/>
            <w:vMerge/>
            <w:vAlign w:val="center"/>
          </w:tcPr>
          <w:p w14:paraId="0DE8865C" w14:textId="77777777" w:rsidR="002E474C" w:rsidRDefault="002E474C">
            <w:pPr>
              <w:pStyle w:val="A-"/>
            </w:pPr>
          </w:p>
        </w:tc>
        <w:tc>
          <w:tcPr>
            <w:tcW w:w="524" w:type="pct"/>
            <w:vMerge/>
            <w:vAlign w:val="center"/>
          </w:tcPr>
          <w:p w14:paraId="2C7728CD" w14:textId="77777777" w:rsidR="002E474C" w:rsidRDefault="002E474C">
            <w:pPr>
              <w:pStyle w:val="A-"/>
            </w:pPr>
          </w:p>
        </w:tc>
        <w:tc>
          <w:tcPr>
            <w:tcW w:w="372" w:type="pct"/>
            <w:vMerge/>
            <w:vAlign w:val="center"/>
          </w:tcPr>
          <w:p w14:paraId="72650ED8" w14:textId="77777777" w:rsidR="002E474C" w:rsidRDefault="002E474C">
            <w:pPr>
              <w:pStyle w:val="A-"/>
              <w:ind w:leftChars="-25" w:left="-53" w:rightChars="-25" w:right="-53"/>
              <w:rPr>
                <w:spacing w:val="-6"/>
              </w:rPr>
            </w:pPr>
          </w:p>
        </w:tc>
        <w:tc>
          <w:tcPr>
            <w:tcW w:w="457" w:type="pct"/>
            <w:vAlign w:val="center"/>
          </w:tcPr>
          <w:p w14:paraId="29F77486" w14:textId="77777777" w:rsidR="002E474C" w:rsidRDefault="00000000">
            <w:pPr>
              <w:pStyle w:val="A-"/>
            </w:pPr>
            <w:r>
              <w:t>263-009-04</w:t>
            </w:r>
          </w:p>
        </w:tc>
        <w:tc>
          <w:tcPr>
            <w:tcW w:w="2678" w:type="pct"/>
            <w:vAlign w:val="center"/>
          </w:tcPr>
          <w:p w14:paraId="153DFC7E" w14:textId="77777777" w:rsidR="002E474C" w:rsidRDefault="00000000">
            <w:pPr>
              <w:pStyle w:val="A-"/>
            </w:pPr>
            <w:r>
              <w:t>农药生产过程中产生的废母液与反应罐及容器清洗废液</w:t>
            </w:r>
          </w:p>
        </w:tc>
        <w:tc>
          <w:tcPr>
            <w:tcW w:w="395" w:type="pct"/>
            <w:vAlign w:val="center"/>
          </w:tcPr>
          <w:p w14:paraId="060C3004" w14:textId="77777777" w:rsidR="002E474C" w:rsidRDefault="00000000">
            <w:pPr>
              <w:pStyle w:val="A-"/>
            </w:pPr>
            <w:r>
              <w:t>T</w:t>
            </w:r>
          </w:p>
        </w:tc>
      </w:tr>
      <w:tr w:rsidR="002E474C" w14:paraId="0D1A3B17" w14:textId="77777777">
        <w:trPr>
          <w:trHeight w:val="240"/>
        </w:trPr>
        <w:tc>
          <w:tcPr>
            <w:tcW w:w="574" w:type="pct"/>
            <w:vMerge/>
            <w:vAlign w:val="center"/>
          </w:tcPr>
          <w:p w14:paraId="74D66495" w14:textId="77777777" w:rsidR="002E474C" w:rsidRDefault="002E474C">
            <w:pPr>
              <w:pStyle w:val="A-"/>
            </w:pPr>
          </w:p>
        </w:tc>
        <w:tc>
          <w:tcPr>
            <w:tcW w:w="524" w:type="pct"/>
            <w:vMerge/>
            <w:vAlign w:val="center"/>
          </w:tcPr>
          <w:p w14:paraId="5FDD99CB" w14:textId="77777777" w:rsidR="002E474C" w:rsidRDefault="002E474C">
            <w:pPr>
              <w:pStyle w:val="A-"/>
            </w:pPr>
          </w:p>
        </w:tc>
        <w:tc>
          <w:tcPr>
            <w:tcW w:w="372" w:type="pct"/>
            <w:vMerge/>
            <w:vAlign w:val="center"/>
          </w:tcPr>
          <w:p w14:paraId="5361EFB7" w14:textId="77777777" w:rsidR="002E474C" w:rsidRDefault="002E474C">
            <w:pPr>
              <w:pStyle w:val="A-"/>
              <w:ind w:leftChars="-25" w:left="-53" w:rightChars="-25" w:right="-53"/>
              <w:rPr>
                <w:spacing w:val="-6"/>
              </w:rPr>
            </w:pPr>
          </w:p>
        </w:tc>
        <w:tc>
          <w:tcPr>
            <w:tcW w:w="457" w:type="pct"/>
            <w:vAlign w:val="center"/>
          </w:tcPr>
          <w:p w14:paraId="6F3619B1" w14:textId="77777777" w:rsidR="002E474C" w:rsidRDefault="00000000">
            <w:pPr>
              <w:pStyle w:val="A-"/>
            </w:pPr>
            <w:r>
              <w:t>263-010-04</w:t>
            </w:r>
          </w:p>
        </w:tc>
        <w:tc>
          <w:tcPr>
            <w:tcW w:w="2678" w:type="pct"/>
            <w:vAlign w:val="center"/>
          </w:tcPr>
          <w:p w14:paraId="09848FD1" w14:textId="77777777" w:rsidR="002E474C" w:rsidRDefault="00000000">
            <w:pPr>
              <w:pStyle w:val="A-"/>
            </w:pPr>
            <w:r>
              <w:t>农药生产过程中产生的废滤料和吸附剂</w:t>
            </w:r>
          </w:p>
        </w:tc>
        <w:tc>
          <w:tcPr>
            <w:tcW w:w="395" w:type="pct"/>
            <w:vAlign w:val="center"/>
          </w:tcPr>
          <w:p w14:paraId="3D8E09C9" w14:textId="77777777" w:rsidR="002E474C" w:rsidRDefault="00000000">
            <w:pPr>
              <w:pStyle w:val="A-"/>
            </w:pPr>
            <w:r>
              <w:t>T</w:t>
            </w:r>
          </w:p>
        </w:tc>
      </w:tr>
      <w:tr w:rsidR="002E474C" w14:paraId="155B22BC" w14:textId="77777777">
        <w:trPr>
          <w:trHeight w:val="240"/>
        </w:trPr>
        <w:tc>
          <w:tcPr>
            <w:tcW w:w="574" w:type="pct"/>
            <w:vMerge/>
            <w:vAlign w:val="center"/>
          </w:tcPr>
          <w:p w14:paraId="42599761" w14:textId="77777777" w:rsidR="002E474C" w:rsidRDefault="002E474C">
            <w:pPr>
              <w:pStyle w:val="A-"/>
            </w:pPr>
          </w:p>
        </w:tc>
        <w:tc>
          <w:tcPr>
            <w:tcW w:w="524" w:type="pct"/>
            <w:vMerge/>
            <w:vAlign w:val="center"/>
          </w:tcPr>
          <w:p w14:paraId="02113CA8" w14:textId="77777777" w:rsidR="002E474C" w:rsidRDefault="002E474C">
            <w:pPr>
              <w:pStyle w:val="A-"/>
            </w:pPr>
          </w:p>
        </w:tc>
        <w:tc>
          <w:tcPr>
            <w:tcW w:w="372" w:type="pct"/>
            <w:vMerge/>
            <w:vAlign w:val="center"/>
          </w:tcPr>
          <w:p w14:paraId="6A50B964" w14:textId="77777777" w:rsidR="002E474C" w:rsidRDefault="002E474C">
            <w:pPr>
              <w:pStyle w:val="A-"/>
              <w:ind w:leftChars="-25" w:left="-53" w:rightChars="-25" w:right="-53"/>
              <w:rPr>
                <w:spacing w:val="-6"/>
              </w:rPr>
            </w:pPr>
          </w:p>
        </w:tc>
        <w:tc>
          <w:tcPr>
            <w:tcW w:w="457" w:type="pct"/>
            <w:vAlign w:val="center"/>
          </w:tcPr>
          <w:p w14:paraId="35E532A8" w14:textId="77777777" w:rsidR="002E474C" w:rsidRDefault="00000000">
            <w:pPr>
              <w:pStyle w:val="A-"/>
            </w:pPr>
            <w:r>
              <w:t>263-011-04</w:t>
            </w:r>
          </w:p>
        </w:tc>
        <w:tc>
          <w:tcPr>
            <w:tcW w:w="2678" w:type="pct"/>
            <w:vAlign w:val="center"/>
          </w:tcPr>
          <w:p w14:paraId="34D53524" w14:textId="77777777" w:rsidR="002E474C" w:rsidRDefault="00000000">
            <w:pPr>
              <w:pStyle w:val="A-"/>
            </w:pPr>
            <w:r>
              <w:t>农药生产过程中产生的废水处理污泥</w:t>
            </w:r>
          </w:p>
        </w:tc>
        <w:tc>
          <w:tcPr>
            <w:tcW w:w="395" w:type="pct"/>
            <w:vAlign w:val="center"/>
          </w:tcPr>
          <w:p w14:paraId="7264854F" w14:textId="77777777" w:rsidR="002E474C" w:rsidRDefault="00000000">
            <w:pPr>
              <w:pStyle w:val="A-"/>
            </w:pPr>
            <w:r>
              <w:t>T</w:t>
            </w:r>
          </w:p>
        </w:tc>
      </w:tr>
      <w:tr w:rsidR="002E474C" w14:paraId="6C76F12C" w14:textId="77777777">
        <w:trPr>
          <w:trHeight w:val="240"/>
        </w:trPr>
        <w:tc>
          <w:tcPr>
            <w:tcW w:w="574" w:type="pct"/>
            <w:vMerge/>
            <w:vAlign w:val="center"/>
          </w:tcPr>
          <w:p w14:paraId="645043A9" w14:textId="77777777" w:rsidR="002E474C" w:rsidRDefault="002E474C">
            <w:pPr>
              <w:pStyle w:val="A-"/>
            </w:pPr>
          </w:p>
        </w:tc>
        <w:tc>
          <w:tcPr>
            <w:tcW w:w="524" w:type="pct"/>
            <w:vMerge/>
            <w:vAlign w:val="center"/>
          </w:tcPr>
          <w:p w14:paraId="7640A187" w14:textId="77777777" w:rsidR="002E474C" w:rsidRDefault="002E474C">
            <w:pPr>
              <w:pStyle w:val="A-"/>
            </w:pPr>
          </w:p>
        </w:tc>
        <w:tc>
          <w:tcPr>
            <w:tcW w:w="372" w:type="pct"/>
            <w:vMerge/>
            <w:vAlign w:val="center"/>
          </w:tcPr>
          <w:p w14:paraId="2881B0E7" w14:textId="77777777" w:rsidR="002E474C" w:rsidRDefault="002E474C">
            <w:pPr>
              <w:pStyle w:val="A-"/>
              <w:ind w:leftChars="-25" w:left="-53" w:rightChars="-25" w:right="-53"/>
              <w:rPr>
                <w:spacing w:val="-6"/>
              </w:rPr>
            </w:pPr>
          </w:p>
        </w:tc>
        <w:tc>
          <w:tcPr>
            <w:tcW w:w="457" w:type="pct"/>
            <w:vAlign w:val="center"/>
          </w:tcPr>
          <w:p w14:paraId="126C674F" w14:textId="77777777" w:rsidR="002E474C" w:rsidRDefault="00000000">
            <w:pPr>
              <w:pStyle w:val="A-"/>
            </w:pPr>
            <w:r>
              <w:t>263-012-04</w:t>
            </w:r>
          </w:p>
        </w:tc>
        <w:tc>
          <w:tcPr>
            <w:tcW w:w="2678" w:type="pct"/>
            <w:vAlign w:val="center"/>
          </w:tcPr>
          <w:p w14:paraId="63C40FEC" w14:textId="77777777" w:rsidR="002E474C" w:rsidRDefault="00000000">
            <w:pPr>
              <w:pStyle w:val="A-"/>
            </w:pPr>
            <w:r>
              <w:t>农药生产、配制过程中产生的过期原料及废弃产品</w:t>
            </w:r>
          </w:p>
        </w:tc>
        <w:tc>
          <w:tcPr>
            <w:tcW w:w="395" w:type="pct"/>
            <w:vAlign w:val="center"/>
          </w:tcPr>
          <w:p w14:paraId="73A3C2D9" w14:textId="77777777" w:rsidR="002E474C" w:rsidRDefault="00000000">
            <w:pPr>
              <w:pStyle w:val="A-"/>
            </w:pPr>
            <w:r>
              <w:t>T</w:t>
            </w:r>
          </w:p>
        </w:tc>
      </w:tr>
      <w:tr w:rsidR="002E474C" w14:paraId="6E22AC95" w14:textId="77777777">
        <w:trPr>
          <w:trHeight w:val="240"/>
        </w:trPr>
        <w:tc>
          <w:tcPr>
            <w:tcW w:w="574" w:type="pct"/>
            <w:vMerge/>
            <w:vAlign w:val="center"/>
          </w:tcPr>
          <w:p w14:paraId="2A0F0605" w14:textId="77777777" w:rsidR="002E474C" w:rsidRDefault="002E474C">
            <w:pPr>
              <w:pStyle w:val="A-"/>
            </w:pPr>
          </w:p>
        </w:tc>
        <w:tc>
          <w:tcPr>
            <w:tcW w:w="524" w:type="pct"/>
            <w:vAlign w:val="center"/>
          </w:tcPr>
          <w:p w14:paraId="1D66A9FC" w14:textId="77777777" w:rsidR="002E474C" w:rsidRDefault="00000000">
            <w:pPr>
              <w:pStyle w:val="A-"/>
            </w:pPr>
            <w:r>
              <w:t>非特定行业</w:t>
            </w:r>
          </w:p>
        </w:tc>
        <w:tc>
          <w:tcPr>
            <w:tcW w:w="372" w:type="pct"/>
            <w:vAlign w:val="center"/>
          </w:tcPr>
          <w:p w14:paraId="0693FCEC" w14:textId="77777777" w:rsidR="002E474C" w:rsidRDefault="00000000">
            <w:pPr>
              <w:pStyle w:val="A-"/>
              <w:ind w:leftChars="-25" w:left="-53" w:rightChars="-25" w:right="-53"/>
              <w:rPr>
                <w:spacing w:val="-6"/>
              </w:rPr>
            </w:pPr>
            <w:r>
              <w:rPr>
                <w:spacing w:val="-6"/>
              </w:rPr>
              <w:t>固态、液态</w:t>
            </w:r>
          </w:p>
        </w:tc>
        <w:tc>
          <w:tcPr>
            <w:tcW w:w="457" w:type="pct"/>
            <w:vAlign w:val="center"/>
          </w:tcPr>
          <w:p w14:paraId="765A8B13" w14:textId="77777777" w:rsidR="002E474C" w:rsidRDefault="00000000">
            <w:pPr>
              <w:pStyle w:val="A-"/>
            </w:pPr>
            <w:r>
              <w:t>900-003-04</w:t>
            </w:r>
          </w:p>
        </w:tc>
        <w:tc>
          <w:tcPr>
            <w:tcW w:w="2678" w:type="pct"/>
            <w:vAlign w:val="center"/>
          </w:tcPr>
          <w:p w14:paraId="0A965197" w14:textId="77777777" w:rsidR="002E474C" w:rsidRDefault="00000000">
            <w:pPr>
              <w:pStyle w:val="A-"/>
            </w:pPr>
            <w:r>
              <w:t>销售及使用过程中产生的失效、变质、不合格、淘汰、伪劣的农药产品</w:t>
            </w:r>
          </w:p>
        </w:tc>
        <w:tc>
          <w:tcPr>
            <w:tcW w:w="395" w:type="pct"/>
            <w:vAlign w:val="center"/>
          </w:tcPr>
          <w:p w14:paraId="43C4C0BB" w14:textId="77777777" w:rsidR="002E474C" w:rsidRDefault="00000000">
            <w:pPr>
              <w:pStyle w:val="A-"/>
            </w:pPr>
            <w:r>
              <w:t>T</w:t>
            </w:r>
          </w:p>
        </w:tc>
      </w:tr>
      <w:tr w:rsidR="002E474C" w14:paraId="16F4277C" w14:textId="77777777">
        <w:trPr>
          <w:trHeight w:val="525"/>
        </w:trPr>
        <w:tc>
          <w:tcPr>
            <w:tcW w:w="574" w:type="pct"/>
            <w:vMerge w:val="restart"/>
            <w:vAlign w:val="center"/>
          </w:tcPr>
          <w:p w14:paraId="4343CA7D" w14:textId="77777777" w:rsidR="002E474C" w:rsidRDefault="00000000">
            <w:pPr>
              <w:pStyle w:val="A-"/>
            </w:pPr>
            <w:r>
              <w:t>HW05</w:t>
            </w:r>
            <w:r>
              <w:t>木材防腐剂废物</w:t>
            </w:r>
          </w:p>
        </w:tc>
        <w:tc>
          <w:tcPr>
            <w:tcW w:w="524" w:type="pct"/>
            <w:vMerge w:val="restart"/>
            <w:vAlign w:val="center"/>
          </w:tcPr>
          <w:p w14:paraId="1ABBE8B7" w14:textId="77777777" w:rsidR="002E474C" w:rsidRDefault="00000000">
            <w:pPr>
              <w:pStyle w:val="A-"/>
            </w:pPr>
            <w:r>
              <w:t>木材加工</w:t>
            </w:r>
          </w:p>
        </w:tc>
        <w:tc>
          <w:tcPr>
            <w:tcW w:w="372" w:type="pct"/>
            <w:vMerge w:val="restart"/>
            <w:vAlign w:val="center"/>
          </w:tcPr>
          <w:p w14:paraId="35DB7D03" w14:textId="77777777" w:rsidR="002E474C" w:rsidRDefault="00000000">
            <w:pPr>
              <w:pStyle w:val="A-"/>
            </w:pPr>
            <w:r>
              <w:t>固态</w:t>
            </w:r>
          </w:p>
        </w:tc>
        <w:tc>
          <w:tcPr>
            <w:tcW w:w="457" w:type="pct"/>
            <w:vAlign w:val="center"/>
          </w:tcPr>
          <w:p w14:paraId="4057AF56" w14:textId="77777777" w:rsidR="002E474C" w:rsidRDefault="00000000">
            <w:pPr>
              <w:pStyle w:val="A-"/>
            </w:pPr>
            <w:r>
              <w:t>201-001-05</w:t>
            </w:r>
          </w:p>
        </w:tc>
        <w:tc>
          <w:tcPr>
            <w:tcW w:w="2678" w:type="pct"/>
            <w:vAlign w:val="center"/>
          </w:tcPr>
          <w:p w14:paraId="7EEE4883" w14:textId="77777777" w:rsidR="002E474C" w:rsidRDefault="00000000">
            <w:pPr>
              <w:pStyle w:val="A-"/>
            </w:pPr>
            <w:r>
              <w:t>使用五氯酚进行木材防腐过程中产生的废水处理污泥，以及木材防腐处理过程中产生的沾染该防腐剂的废弃木材残片</w:t>
            </w:r>
          </w:p>
        </w:tc>
        <w:tc>
          <w:tcPr>
            <w:tcW w:w="395" w:type="pct"/>
            <w:vAlign w:val="center"/>
          </w:tcPr>
          <w:p w14:paraId="1660B45E" w14:textId="77777777" w:rsidR="002E474C" w:rsidRDefault="00000000">
            <w:pPr>
              <w:pStyle w:val="A-"/>
            </w:pPr>
            <w:r>
              <w:t>T</w:t>
            </w:r>
          </w:p>
        </w:tc>
      </w:tr>
      <w:tr w:rsidR="002E474C" w14:paraId="019F93B6" w14:textId="77777777">
        <w:trPr>
          <w:trHeight w:val="525"/>
        </w:trPr>
        <w:tc>
          <w:tcPr>
            <w:tcW w:w="574" w:type="pct"/>
            <w:vMerge/>
            <w:vAlign w:val="center"/>
          </w:tcPr>
          <w:p w14:paraId="2F9B6F67" w14:textId="77777777" w:rsidR="002E474C" w:rsidRDefault="002E474C">
            <w:pPr>
              <w:pStyle w:val="A-"/>
            </w:pPr>
          </w:p>
        </w:tc>
        <w:tc>
          <w:tcPr>
            <w:tcW w:w="524" w:type="pct"/>
            <w:vMerge/>
            <w:vAlign w:val="center"/>
          </w:tcPr>
          <w:p w14:paraId="790D9476" w14:textId="77777777" w:rsidR="002E474C" w:rsidRDefault="002E474C">
            <w:pPr>
              <w:pStyle w:val="A-"/>
            </w:pPr>
          </w:p>
        </w:tc>
        <w:tc>
          <w:tcPr>
            <w:tcW w:w="372" w:type="pct"/>
            <w:vMerge/>
            <w:vAlign w:val="center"/>
          </w:tcPr>
          <w:p w14:paraId="19056F1A" w14:textId="77777777" w:rsidR="002E474C" w:rsidRDefault="002E474C">
            <w:pPr>
              <w:pStyle w:val="A-"/>
            </w:pPr>
          </w:p>
        </w:tc>
        <w:tc>
          <w:tcPr>
            <w:tcW w:w="457" w:type="pct"/>
            <w:vAlign w:val="center"/>
          </w:tcPr>
          <w:p w14:paraId="0083F238" w14:textId="77777777" w:rsidR="002E474C" w:rsidRDefault="00000000">
            <w:pPr>
              <w:pStyle w:val="A-"/>
            </w:pPr>
            <w:r>
              <w:t>201-002-05</w:t>
            </w:r>
          </w:p>
        </w:tc>
        <w:tc>
          <w:tcPr>
            <w:tcW w:w="2678" w:type="pct"/>
            <w:vAlign w:val="center"/>
          </w:tcPr>
          <w:p w14:paraId="60F0038B" w14:textId="77777777" w:rsidR="002E474C" w:rsidRDefault="00000000">
            <w:pPr>
              <w:pStyle w:val="A-"/>
            </w:pPr>
            <w:r>
              <w:t>使用杂酚油进行木材防腐过程中产生的废水处理污泥，以及木材防腐处理过程中产生的沾染该防腐剂的废弃木材残片</w:t>
            </w:r>
          </w:p>
        </w:tc>
        <w:tc>
          <w:tcPr>
            <w:tcW w:w="395" w:type="pct"/>
            <w:vAlign w:val="center"/>
          </w:tcPr>
          <w:p w14:paraId="72C4C3FC" w14:textId="77777777" w:rsidR="002E474C" w:rsidRDefault="00000000">
            <w:pPr>
              <w:pStyle w:val="A-"/>
            </w:pPr>
            <w:r>
              <w:t>T</w:t>
            </w:r>
          </w:p>
        </w:tc>
      </w:tr>
      <w:tr w:rsidR="002E474C" w14:paraId="3E42D7BD" w14:textId="77777777">
        <w:trPr>
          <w:trHeight w:val="240"/>
        </w:trPr>
        <w:tc>
          <w:tcPr>
            <w:tcW w:w="574" w:type="pct"/>
            <w:vMerge/>
            <w:vAlign w:val="center"/>
          </w:tcPr>
          <w:p w14:paraId="61F255A7" w14:textId="77777777" w:rsidR="002E474C" w:rsidRDefault="002E474C">
            <w:pPr>
              <w:pStyle w:val="A-"/>
            </w:pPr>
          </w:p>
        </w:tc>
        <w:tc>
          <w:tcPr>
            <w:tcW w:w="524" w:type="pct"/>
            <w:vMerge/>
            <w:vAlign w:val="center"/>
          </w:tcPr>
          <w:p w14:paraId="28CCCBC6" w14:textId="77777777" w:rsidR="002E474C" w:rsidRDefault="002E474C">
            <w:pPr>
              <w:pStyle w:val="A-"/>
            </w:pPr>
          </w:p>
        </w:tc>
        <w:tc>
          <w:tcPr>
            <w:tcW w:w="372" w:type="pct"/>
            <w:vMerge/>
            <w:vAlign w:val="center"/>
          </w:tcPr>
          <w:p w14:paraId="53B243A5" w14:textId="77777777" w:rsidR="002E474C" w:rsidRDefault="002E474C">
            <w:pPr>
              <w:pStyle w:val="A-"/>
            </w:pPr>
          </w:p>
        </w:tc>
        <w:tc>
          <w:tcPr>
            <w:tcW w:w="457" w:type="pct"/>
            <w:vAlign w:val="center"/>
          </w:tcPr>
          <w:p w14:paraId="78D9ED2D" w14:textId="77777777" w:rsidR="002E474C" w:rsidRDefault="00000000">
            <w:pPr>
              <w:pStyle w:val="A-"/>
            </w:pPr>
            <w:r>
              <w:t>201-003-05</w:t>
            </w:r>
          </w:p>
        </w:tc>
        <w:tc>
          <w:tcPr>
            <w:tcW w:w="2678" w:type="pct"/>
            <w:vAlign w:val="center"/>
          </w:tcPr>
          <w:p w14:paraId="5B6CC830" w14:textId="77777777" w:rsidR="002E474C" w:rsidRDefault="00000000">
            <w:pPr>
              <w:pStyle w:val="A-"/>
            </w:pPr>
            <w:r>
              <w:t>使用含砷、铬等无机防腐剂进行木材防腐过程中产生的废水处理污泥，以及木</w:t>
            </w:r>
            <w:r>
              <w:lastRenderedPageBreak/>
              <w:t>材防腐处理过程中产生的沾染该防腐剂的废弃木材残片</w:t>
            </w:r>
          </w:p>
        </w:tc>
        <w:tc>
          <w:tcPr>
            <w:tcW w:w="395" w:type="pct"/>
            <w:vAlign w:val="center"/>
          </w:tcPr>
          <w:p w14:paraId="7748C88E" w14:textId="77777777" w:rsidR="002E474C" w:rsidRDefault="00000000">
            <w:pPr>
              <w:pStyle w:val="A-"/>
            </w:pPr>
            <w:r>
              <w:lastRenderedPageBreak/>
              <w:t>T</w:t>
            </w:r>
          </w:p>
        </w:tc>
      </w:tr>
      <w:tr w:rsidR="002E474C" w14:paraId="33EEDAF8" w14:textId="77777777">
        <w:trPr>
          <w:trHeight w:val="240"/>
        </w:trPr>
        <w:tc>
          <w:tcPr>
            <w:tcW w:w="574" w:type="pct"/>
            <w:vMerge/>
            <w:vAlign w:val="center"/>
          </w:tcPr>
          <w:p w14:paraId="255B33B8" w14:textId="77777777" w:rsidR="002E474C" w:rsidRDefault="002E474C">
            <w:pPr>
              <w:pStyle w:val="A-"/>
            </w:pPr>
          </w:p>
        </w:tc>
        <w:tc>
          <w:tcPr>
            <w:tcW w:w="524" w:type="pct"/>
            <w:vMerge w:val="restart"/>
            <w:vAlign w:val="center"/>
          </w:tcPr>
          <w:p w14:paraId="36DBED51" w14:textId="77777777" w:rsidR="002E474C" w:rsidRDefault="00000000">
            <w:pPr>
              <w:pStyle w:val="A-"/>
            </w:pPr>
            <w:r>
              <w:t>专用化学产品制造</w:t>
            </w:r>
          </w:p>
        </w:tc>
        <w:tc>
          <w:tcPr>
            <w:tcW w:w="372" w:type="pct"/>
            <w:vMerge w:val="restart"/>
            <w:vAlign w:val="center"/>
          </w:tcPr>
          <w:p w14:paraId="2E2BFD3D" w14:textId="77777777" w:rsidR="002E474C" w:rsidRDefault="00000000">
            <w:pPr>
              <w:pStyle w:val="A-"/>
            </w:pPr>
            <w:r>
              <w:t>固态、半固态</w:t>
            </w:r>
          </w:p>
        </w:tc>
        <w:tc>
          <w:tcPr>
            <w:tcW w:w="457" w:type="pct"/>
            <w:vAlign w:val="center"/>
          </w:tcPr>
          <w:p w14:paraId="689EEB91" w14:textId="77777777" w:rsidR="002E474C" w:rsidRDefault="00000000">
            <w:pPr>
              <w:pStyle w:val="A-"/>
            </w:pPr>
            <w:r>
              <w:t>266-001-05</w:t>
            </w:r>
          </w:p>
        </w:tc>
        <w:tc>
          <w:tcPr>
            <w:tcW w:w="2678" w:type="pct"/>
            <w:vAlign w:val="center"/>
          </w:tcPr>
          <w:p w14:paraId="33C014C9" w14:textId="77777777" w:rsidR="002E474C" w:rsidRDefault="00000000">
            <w:pPr>
              <w:pStyle w:val="A-"/>
            </w:pPr>
            <w:r>
              <w:t>木材防腐化学品生产过程中产生的反应残余物、废弃滤料及吸附剂</w:t>
            </w:r>
          </w:p>
        </w:tc>
        <w:tc>
          <w:tcPr>
            <w:tcW w:w="395" w:type="pct"/>
            <w:vAlign w:val="center"/>
          </w:tcPr>
          <w:p w14:paraId="6AEA2734" w14:textId="77777777" w:rsidR="002E474C" w:rsidRDefault="00000000">
            <w:pPr>
              <w:pStyle w:val="A-"/>
            </w:pPr>
            <w:r>
              <w:t>T</w:t>
            </w:r>
          </w:p>
        </w:tc>
      </w:tr>
      <w:tr w:rsidR="002E474C" w14:paraId="1565FF5E" w14:textId="77777777">
        <w:trPr>
          <w:trHeight w:val="345"/>
        </w:trPr>
        <w:tc>
          <w:tcPr>
            <w:tcW w:w="574" w:type="pct"/>
            <w:vMerge/>
            <w:vAlign w:val="center"/>
          </w:tcPr>
          <w:p w14:paraId="6D533747" w14:textId="77777777" w:rsidR="002E474C" w:rsidRDefault="002E474C">
            <w:pPr>
              <w:pStyle w:val="A-"/>
            </w:pPr>
          </w:p>
        </w:tc>
        <w:tc>
          <w:tcPr>
            <w:tcW w:w="524" w:type="pct"/>
            <w:vMerge/>
            <w:vAlign w:val="center"/>
          </w:tcPr>
          <w:p w14:paraId="2C7CA12B" w14:textId="77777777" w:rsidR="002E474C" w:rsidRDefault="002E474C">
            <w:pPr>
              <w:pStyle w:val="A-"/>
            </w:pPr>
          </w:p>
        </w:tc>
        <w:tc>
          <w:tcPr>
            <w:tcW w:w="372" w:type="pct"/>
            <w:vMerge/>
            <w:vAlign w:val="center"/>
          </w:tcPr>
          <w:p w14:paraId="443FCA8F" w14:textId="77777777" w:rsidR="002E474C" w:rsidRDefault="002E474C">
            <w:pPr>
              <w:pStyle w:val="A-"/>
            </w:pPr>
          </w:p>
        </w:tc>
        <w:tc>
          <w:tcPr>
            <w:tcW w:w="457" w:type="pct"/>
            <w:vAlign w:val="center"/>
          </w:tcPr>
          <w:p w14:paraId="5E4AA4EB" w14:textId="77777777" w:rsidR="002E474C" w:rsidRDefault="00000000">
            <w:pPr>
              <w:pStyle w:val="A-"/>
            </w:pPr>
            <w:r>
              <w:t>266-002-05</w:t>
            </w:r>
          </w:p>
        </w:tc>
        <w:tc>
          <w:tcPr>
            <w:tcW w:w="2678" w:type="pct"/>
            <w:vAlign w:val="center"/>
          </w:tcPr>
          <w:p w14:paraId="70A5A475" w14:textId="77777777" w:rsidR="002E474C" w:rsidRDefault="00000000">
            <w:pPr>
              <w:pStyle w:val="A-"/>
            </w:pPr>
            <w:r>
              <w:t>木材防腐化学品生产过程中产生的废水处理污泥</w:t>
            </w:r>
          </w:p>
        </w:tc>
        <w:tc>
          <w:tcPr>
            <w:tcW w:w="395" w:type="pct"/>
            <w:vAlign w:val="center"/>
          </w:tcPr>
          <w:p w14:paraId="1DA31B96" w14:textId="77777777" w:rsidR="002E474C" w:rsidRDefault="00000000">
            <w:pPr>
              <w:pStyle w:val="A-"/>
            </w:pPr>
            <w:r>
              <w:t>T</w:t>
            </w:r>
          </w:p>
        </w:tc>
      </w:tr>
      <w:tr w:rsidR="002E474C" w14:paraId="189A7D2F" w14:textId="77777777">
        <w:trPr>
          <w:trHeight w:val="335"/>
        </w:trPr>
        <w:tc>
          <w:tcPr>
            <w:tcW w:w="574" w:type="pct"/>
            <w:vMerge/>
            <w:vAlign w:val="center"/>
          </w:tcPr>
          <w:p w14:paraId="050283A2" w14:textId="77777777" w:rsidR="002E474C" w:rsidRDefault="002E474C">
            <w:pPr>
              <w:pStyle w:val="A-"/>
            </w:pPr>
          </w:p>
        </w:tc>
        <w:tc>
          <w:tcPr>
            <w:tcW w:w="524" w:type="pct"/>
            <w:vMerge/>
            <w:vAlign w:val="center"/>
          </w:tcPr>
          <w:p w14:paraId="4C808018" w14:textId="77777777" w:rsidR="002E474C" w:rsidRDefault="002E474C">
            <w:pPr>
              <w:pStyle w:val="A-"/>
            </w:pPr>
          </w:p>
        </w:tc>
        <w:tc>
          <w:tcPr>
            <w:tcW w:w="372" w:type="pct"/>
            <w:vMerge/>
            <w:vAlign w:val="center"/>
          </w:tcPr>
          <w:p w14:paraId="78BEF2EE" w14:textId="77777777" w:rsidR="002E474C" w:rsidRDefault="002E474C">
            <w:pPr>
              <w:pStyle w:val="A-"/>
            </w:pPr>
          </w:p>
        </w:tc>
        <w:tc>
          <w:tcPr>
            <w:tcW w:w="457" w:type="pct"/>
            <w:vAlign w:val="center"/>
          </w:tcPr>
          <w:p w14:paraId="507A88F9" w14:textId="77777777" w:rsidR="002E474C" w:rsidRDefault="00000000">
            <w:pPr>
              <w:pStyle w:val="A-"/>
            </w:pPr>
            <w:r>
              <w:t>266-003-05</w:t>
            </w:r>
          </w:p>
        </w:tc>
        <w:tc>
          <w:tcPr>
            <w:tcW w:w="2678" w:type="pct"/>
            <w:vAlign w:val="center"/>
          </w:tcPr>
          <w:p w14:paraId="07E5A3AF" w14:textId="77777777" w:rsidR="002E474C" w:rsidRDefault="00000000">
            <w:pPr>
              <w:pStyle w:val="A-"/>
            </w:pPr>
            <w:r>
              <w:t>木材防腐化学品生产、配制过程中产生的过期原料</w:t>
            </w:r>
            <w:r>
              <w:rPr>
                <w:rFonts w:hint="eastAsia"/>
              </w:rPr>
              <w:t>和</w:t>
            </w:r>
            <w:r>
              <w:t>废弃产品</w:t>
            </w:r>
          </w:p>
        </w:tc>
        <w:tc>
          <w:tcPr>
            <w:tcW w:w="395" w:type="pct"/>
            <w:vAlign w:val="center"/>
          </w:tcPr>
          <w:p w14:paraId="0FC52148" w14:textId="77777777" w:rsidR="002E474C" w:rsidRDefault="00000000">
            <w:pPr>
              <w:pStyle w:val="A-"/>
            </w:pPr>
            <w:r>
              <w:t>T</w:t>
            </w:r>
          </w:p>
        </w:tc>
      </w:tr>
      <w:tr w:rsidR="002E474C" w14:paraId="783D8A96" w14:textId="77777777">
        <w:trPr>
          <w:trHeight w:val="325"/>
        </w:trPr>
        <w:tc>
          <w:tcPr>
            <w:tcW w:w="574" w:type="pct"/>
            <w:vMerge w:val="restart"/>
            <w:vAlign w:val="center"/>
          </w:tcPr>
          <w:p w14:paraId="79C12620" w14:textId="77777777" w:rsidR="002E474C" w:rsidRDefault="00000000">
            <w:pPr>
              <w:pStyle w:val="A-"/>
            </w:pPr>
            <w:r>
              <w:t>HW06</w:t>
            </w:r>
          </w:p>
          <w:p w14:paraId="01E0805B" w14:textId="77777777" w:rsidR="002E474C" w:rsidRDefault="00000000">
            <w:pPr>
              <w:pStyle w:val="A-"/>
            </w:pPr>
            <w:r>
              <w:t>废有机溶剂与含有机溶剂废物</w:t>
            </w:r>
          </w:p>
        </w:tc>
        <w:tc>
          <w:tcPr>
            <w:tcW w:w="524" w:type="pct"/>
            <w:vMerge w:val="restart"/>
            <w:vAlign w:val="center"/>
          </w:tcPr>
          <w:p w14:paraId="1CA8D7BC" w14:textId="77777777" w:rsidR="002E474C" w:rsidRDefault="00000000">
            <w:pPr>
              <w:pStyle w:val="A-"/>
            </w:pPr>
            <w:r>
              <w:t>非特定行业</w:t>
            </w:r>
          </w:p>
        </w:tc>
        <w:tc>
          <w:tcPr>
            <w:tcW w:w="372" w:type="pct"/>
            <w:vMerge w:val="restart"/>
            <w:vAlign w:val="center"/>
          </w:tcPr>
          <w:p w14:paraId="14691561" w14:textId="77777777" w:rsidR="002E474C" w:rsidRDefault="00000000">
            <w:pPr>
              <w:pStyle w:val="A-"/>
              <w:ind w:leftChars="-25" w:left="-53" w:rightChars="-25" w:right="-53"/>
              <w:rPr>
                <w:spacing w:val="-6"/>
              </w:rPr>
            </w:pPr>
            <w:r>
              <w:rPr>
                <w:spacing w:val="-6"/>
              </w:rPr>
              <w:t>固态、液态</w:t>
            </w:r>
          </w:p>
        </w:tc>
        <w:tc>
          <w:tcPr>
            <w:tcW w:w="457" w:type="pct"/>
            <w:vAlign w:val="center"/>
          </w:tcPr>
          <w:p w14:paraId="1E65D8B2" w14:textId="77777777" w:rsidR="002E474C" w:rsidRDefault="00000000">
            <w:pPr>
              <w:pStyle w:val="A-"/>
            </w:pPr>
            <w:r>
              <w:t>900-004-05</w:t>
            </w:r>
          </w:p>
        </w:tc>
        <w:tc>
          <w:tcPr>
            <w:tcW w:w="2678" w:type="pct"/>
            <w:vAlign w:val="center"/>
          </w:tcPr>
          <w:p w14:paraId="4436EFD1" w14:textId="77777777" w:rsidR="002E474C" w:rsidRDefault="00000000">
            <w:pPr>
              <w:pStyle w:val="A-"/>
            </w:pPr>
            <w:r>
              <w:t>销售及使用过程中产生的失效、变质、不合格、淘汰、伪劣的木材防腐化学品</w:t>
            </w:r>
          </w:p>
        </w:tc>
        <w:tc>
          <w:tcPr>
            <w:tcW w:w="395" w:type="pct"/>
            <w:vAlign w:val="center"/>
          </w:tcPr>
          <w:p w14:paraId="0A9B05E3" w14:textId="77777777" w:rsidR="002E474C" w:rsidRDefault="00000000">
            <w:pPr>
              <w:pStyle w:val="A-"/>
            </w:pPr>
            <w:r>
              <w:t>T</w:t>
            </w:r>
          </w:p>
        </w:tc>
      </w:tr>
      <w:tr w:rsidR="002E474C" w14:paraId="3FB87BDA" w14:textId="77777777">
        <w:trPr>
          <w:trHeight w:val="240"/>
        </w:trPr>
        <w:tc>
          <w:tcPr>
            <w:tcW w:w="574" w:type="pct"/>
            <w:vMerge/>
            <w:vAlign w:val="center"/>
          </w:tcPr>
          <w:p w14:paraId="6BFA9460" w14:textId="77777777" w:rsidR="002E474C" w:rsidRDefault="002E474C">
            <w:pPr>
              <w:pStyle w:val="A-"/>
            </w:pPr>
          </w:p>
        </w:tc>
        <w:tc>
          <w:tcPr>
            <w:tcW w:w="524" w:type="pct"/>
            <w:vMerge/>
            <w:vAlign w:val="center"/>
          </w:tcPr>
          <w:p w14:paraId="071B18B2" w14:textId="77777777" w:rsidR="002E474C" w:rsidRDefault="002E474C">
            <w:pPr>
              <w:pStyle w:val="A-"/>
            </w:pPr>
          </w:p>
        </w:tc>
        <w:tc>
          <w:tcPr>
            <w:tcW w:w="372" w:type="pct"/>
            <w:vMerge/>
            <w:vAlign w:val="center"/>
          </w:tcPr>
          <w:p w14:paraId="358F14D8" w14:textId="77777777" w:rsidR="002E474C" w:rsidRDefault="002E474C">
            <w:pPr>
              <w:pStyle w:val="A-"/>
              <w:ind w:leftChars="-25" w:left="-53" w:rightChars="-25" w:right="-53"/>
              <w:rPr>
                <w:spacing w:val="-6"/>
              </w:rPr>
            </w:pPr>
          </w:p>
        </w:tc>
        <w:tc>
          <w:tcPr>
            <w:tcW w:w="457" w:type="pct"/>
            <w:vAlign w:val="center"/>
          </w:tcPr>
          <w:p w14:paraId="4D1F7471" w14:textId="77777777" w:rsidR="002E474C" w:rsidRDefault="00000000">
            <w:pPr>
              <w:pStyle w:val="A-"/>
            </w:pPr>
            <w:r>
              <w:t>900-401-06</w:t>
            </w:r>
          </w:p>
        </w:tc>
        <w:tc>
          <w:tcPr>
            <w:tcW w:w="2678" w:type="pct"/>
            <w:vAlign w:val="center"/>
          </w:tcPr>
          <w:p w14:paraId="4AC2E1F3" w14:textId="77777777" w:rsidR="002E474C" w:rsidRDefault="00000000">
            <w:pPr>
              <w:pStyle w:val="A-"/>
            </w:pPr>
            <w:r>
              <w:t>工业生产中作为清洗剂或萃取剂使用后废弃的含卤素有机溶剂，包括四氯化碳、二氯甲烷、</w:t>
            </w:r>
            <w:r>
              <w:t>1,1-</w:t>
            </w:r>
            <w:r>
              <w:t>二氯乙烷、</w:t>
            </w:r>
            <w:r>
              <w:t>1,2-</w:t>
            </w:r>
            <w:r>
              <w:t>二氯乙烷、</w:t>
            </w:r>
            <w:r>
              <w:t>1,1,1-</w:t>
            </w:r>
            <w:r>
              <w:t>三氯乙烷、</w:t>
            </w:r>
            <w:r>
              <w:t>1,1,2-</w:t>
            </w:r>
            <w:r>
              <w:t>三氯乙烷、三氯乙烯、四氯乙烯</w:t>
            </w:r>
          </w:p>
        </w:tc>
        <w:tc>
          <w:tcPr>
            <w:tcW w:w="395" w:type="pct"/>
            <w:vAlign w:val="center"/>
          </w:tcPr>
          <w:p w14:paraId="31630B62" w14:textId="77777777" w:rsidR="002E474C" w:rsidRDefault="00000000">
            <w:pPr>
              <w:pStyle w:val="A-"/>
            </w:pPr>
            <w:r>
              <w:t>T</w:t>
            </w:r>
            <w:r>
              <w:t>，</w:t>
            </w:r>
            <w:r>
              <w:t>I</w:t>
            </w:r>
          </w:p>
        </w:tc>
      </w:tr>
      <w:tr w:rsidR="002E474C" w14:paraId="1564C299" w14:textId="77777777">
        <w:trPr>
          <w:trHeight w:val="240"/>
        </w:trPr>
        <w:tc>
          <w:tcPr>
            <w:tcW w:w="574" w:type="pct"/>
            <w:vMerge/>
            <w:vAlign w:val="center"/>
          </w:tcPr>
          <w:p w14:paraId="23743E74" w14:textId="77777777" w:rsidR="002E474C" w:rsidRDefault="002E474C">
            <w:pPr>
              <w:pStyle w:val="A-"/>
            </w:pPr>
          </w:p>
        </w:tc>
        <w:tc>
          <w:tcPr>
            <w:tcW w:w="524" w:type="pct"/>
            <w:vMerge/>
            <w:vAlign w:val="center"/>
          </w:tcPr>
          <w:p w14:paraId="3D8C9CF7" w14:textId="77777777" w:rsidR="002E474C" w:rsidRDefault="002E474C">
            <w:pPr>
              <w:pStyle w:val="A-"/>
            </w:pPr>
          </w:p>
        </w:tc>
        <w:tc>
          <w:tcPr>
            <w:tcW w:w="372" w:type="pct"/>
            <w:vMerge/>
            <w:vAlign w:val="center"/>
          </w:tcPr>
          <w:p w14:paraId="566E8BBE" w14:textId="77777777" w:rsidR="002E474C" w:rsidRDefault="002E474C">
            <w:pPr>
              <w:pStyle w:val="A-"/>
              <w:ind w:leftChars="-25" w:left="-53" w:rightChars="-25" w:right="-53"/>
              <w:rPr>
                <w:spacing w:val="-6"/>
              </w:rPr>
            </w:pPr>
          </w:p>
        </w:tc>
        <w:tc>
          <w:tcPr>
            <w:tcW w:w="457" w:type="pct"/>
            <w:vAlign w:val="center"/>
          </w:tcPr>
          <w:p w14:paraId="69F3D3F5" w14:textId="77777777" w:rsidR="002E474C" w:rsidRDefault="00000000">
            <w:pPr>
              <w:pStyle w:val="A-"/>
            </w:pPr>
            <w:r>
              <w:t>900-402-06</w:t>
            </w:r>
          </w:p>
        </w:tc>
        <w:tc>
          <w:tcPr>
            <w:tcW w:w="2678" w:type="pct"/>
            <w:vAlign w:val="center"/>
          </w:tcPr>
          <w:p w14:paraId="4A175956" w14:textId="77777777" w:rsidR="002E474C" w:rsidRDefault="00000000">
            <w:pPr>
              <w:pStyle w:val="A-"/>
            </w:pPr>
            <w:r>
              <w:t>工业生产中作为清洗剂或萃取剂使用后废弃的有毒有机溶剂，包括苯、苯乙烯、丁醇、丙酮</w:t>
            </w:r>
          </w:p>
        </w:tc>
        <w:tc>
          <w:tcPr>
            <w:tcW w:w="395" w:type="pct"/>
            <w:vAlign w:val="center"/>
          </w:tcPr>
          <w:p w14:paraId="7CCB1154" w14:textId="77777777" w:rsidR="002E474C" w:rsidRDefault="00000000">
            <w:pPr>
              <w:pStyle w:val="A-"/>
            </w:pPr>
            <w:r>
              <w:t>T</w:t>
            </w:r>
            <w:r>
              <w:t>，</w:t>
            </w:r>
            <w:r>
              <w:t>I</w:t>
            </w:r>
          </w:p>
        </w:tc>
      </w:tr>
      <w:tr w:rsidR="002E474C" w14:paraId="21AEE1A8" w14:textId="77777777">
        <w:trPr>
          <w:trHeight w:val="240"/>
        </w:trPr>
        <w:tc>
          <w:tcPr>
            <w:tcW w:w="574" w:type="pct"/>
            <w:vMerge/>
            <w:vAlign w:val="center"/>
          </w:tcPr>
          <w:p w14:paraId="558A1D74" w14:textId="77777777" w:rsidR="002E474C" w:rsidRDefault="002E474C">
            <w:pPr>
              <w:pStyle w:val="A-"/>
            </w:pPr>
          </w:p>
        </w:tc>
        <w:tc>
          <w:tcPr>
            <w:tcW w:w="524" w:type="pct"/>
            <w:vMerge/>
            <w:vAlign w:val="center"/>
          </w:tcPr>
          <w:p w14:paraId="2E98DBFC" w14:textId="77777777" w:rsidR="002E474C" w:rsidRDefault="002E474C">
            <w:pPr>
              <w:pStyle w:val="A-"/>
            </w:pPr>
          </w:p>
        </w:tc>
        <w:tc>
          <w:tcPr>
            <w:tcW w:w="372" w:type="pct"/>
            <w:vMerge/>
            <w:vAlign w:val="center"/>
          </w:tcPr>
          <w:p w14:paraId="393C1B27" w14:textId="77777777" w:rsidR="002E474C" w:rsidRDefault="002E474C">
            <w:pPr>
              <w:pStyle w:val="A-"/>
              <w:ind w:leftChars="-25" w:left="-53" w:rightChars="-25" w:right="-53"/>
              <w:rPr>
                <w:spacing w:val="-6"/>
              </w:rPr>
            </w:pPr>
          </w:p>
        </w:tc>
        <w:tc>
          <w:tcPr>
            <w:tcW w:w="457" w:type="pct"/>
            <w:vAlign w:val="center"/>
          </w:tcPr>
          <w:p w14:paraId="51EA8162" w14:textId="77777777" w:rsidR="002E474C" w:rsidRDefault="00000000">
            <w:pPr>
              <w:pStyle w:val="A-"/>
            </w:pPr>
            <w:r>
              <w:t>900-403-06</w:t>
            </w:r>
          </w:p>
        </w:tc>
        <w:tc>
          <w:tcPr>
            <w:tcW w:w="2678" w:type="pct"/>
            <w:vAlign w:val="center"/>
          </w:tcPr>
          <w:p w14:paraId="2C725AC1" w14:textId="77777777" w:rsidR="002E474C" w:rsidRDefault="00000000">
            <w:pPr>
              <w:pStyle w:val="A-"/>
            </w:pPr>
            <w:r>
              <w:t>工业生产中作为清洗剂或萃取剂使用后废弃的易燃易爆有机溶剂，包括正己烷、甲苯、邻二甲苯、间二甲苯、对二甲苯、</w:t>
            </w:r>
            <w:r>
              <w:t>1,2,4-</w:t>
            </w:r>
            <w:r>
              <w:t>三甲苯、乙苯、乙醇、异丙醇、乙醚、丙醚、乙酸甲酯、乙酸乙酯、乙酸丁酯、丙酸丁酯、苯酚</w:t>
            </w:r>
          </w:p>
        </w:tc>
        <w:tc>
          <w:tcPr>
            <w:tcW w:w="395" w:type="pct"/>
            <w:vAlign w:val="center"/>
          </w:tcPr>
          <w:p w14:paraId="3A1062E6" w14:textId="77777777" w:rsidR="002E474C" w:rsidRDefault="00000000">
            <w:pPr>
              <w:pStyle w:val="A-"/>
            </w:pPr>
            <w:r>
              <w:t>I</w:t>
            </w:r>
          </w:p>
        </w:tc>
      </w:tr>
      <w:tr w:rsidR="002E474C" w14:paraId="5977D7B0" w14:textId="77777777">
        <w:trPr>
          <w:trHeight w:val="240"/>
        </w:trPr>
        <w:tc>
          <w:tcPr>
            <w:tcW w:w="574" w:type="pct"/>
            <w:vMerge/>
            <w:vAlign w:val="center"/>
          </w:tcPr>
          <w:p w14:paraId="4D13A42D" w14:textId="77777777" w:rsidR="002E474C" w:rsidRDefault="002E474C">
            <w:pPr>
              <w:pStyle w:val="A-"/>
            </w:pPr>
          </w:p>
        </w:tc>
        <w:tc>
          <w:tcPr>
            <w:tcW w:w="524" w:type="pct"/>
            <w:vMerge/>
            <w:vAlign w:val="center"/>
          </w:tcPr>
          <w:p w14:paraId="058E2A64" w14:textId="77777777" w:rsidR="002E474C" w:rsidRDefault="002E474C">
            <w:pPr>
              <w:pStyle w:val="A-"/>
            </w:pPr>
          </w:p>
        </w:tc>
        <w:tc>
          <w:tcPr>
            <w:tcW w:w="372" w:type="pct"/>
            <w:vMerge/>
            <w:vAlign w:val="center"/>
          </w:tcPr>
          <w:p w14:paraId="39FD0237" w14:textId="77777777" w:rsidR="002E474C" w:rsidRDefault="002E474C">
            <w:pPr>
              <w:pStyle w:val="A-"/>
              <w:ind w:leftChars="-25" w:left="-53" w:rightChars="-25" w:right="-53"/>
              <w:rPr>
                <w:spacing w:val="-6"/>
              </w:rPr>
            </w:pPr>
          </w:p>
        </w:tc>
        <w:tc>
          <w:tcPr>
            <w:tcW w:w="457" w:type="pct"/>
            <w:vAlign w:val="center"/>
          </w:tcPr>
          <w:p w14:paraId="3A4AC130" w14:textId="77777777" w:rsidR="002E474C" w:rsidRDefault="00000000">
            <w:pPr>
              <w:pStyle w:val="A-"/>
            </w:pPr>
            <w:r>
              <w:t>900-404-06</w:t>
            </w:r>
          </w:p>
        </w:tc>
        <w:tc>
          <w:tcPr>
            <w:tcW w:w="2678" w:type="pct"/>
            <w:vAlign w:val="center"/>
          </w:tcPr>
          <w:p w14:paraId="60E213AB" w14:textId="77777777" w:rsidR="002E474C" w:rsidRDefault="00000000">
            <w:pPr>
              <w:pStyle w:val="A-"/>
            </w:pPr>
            <w:r>
              <w:t>工业生产中作为清洗剂或萃取剂使用后废弃的其他列入《危险化学品目录》的有机溶剂</w:t>
            </w:r>
          </w:p>
        </w:tc>
        <w:tc>
          <w:tcPr>
            <w:tcW w:w="395" w:type="pct"/>
            <w:vAlign w:val="center"/>
          </w:tcPr>
          <w:p w14:paraId="5C198107" w14:textId="77777777" w:rsidR="002E474C" w:rsidRDefault="00000000">
            <w:pPr>
              <w:pStyle w:val="A-"/>
            </w:pPr>
            <w:r>
              <w:t>T/I</w:t>
            </w:r>
          </w:p>
        </w:tc>
      </w:tr>
      <w:tr w:rsidR="002E474C" w14:paraId="01F2D0E3" w14:textId="77777777">
        <w:trPr>
          <w:trHeight w:val="240"/>
        </w:trPr>
        <w:tc>
          <w:tcPr>
            <w:tcW w:w="574" w:type="pct"/>
            <w:vMerge/>
            <w:vAlign w:val="center"/>
          </w:tcPr>
          <w:p w14:paraId="659A5539" w14:textId="77777777" w:rsidR="002E474C" w:rsidRDefault="002E474C">
            <w:pPr>
              <w:pStyle w:val="A-"/>
            </w:pPr>
          </w:p>
        </w:tc>
        <w:tc>
          <w:tcPr>
            <w:tcW w:w="524" w:type="pct"/>
            <w:vMerge/>
            <w:vAlign w:val="center"/>
          </w:tcPr>
          <w:p w14:paraId="6CC46730" w14:textId="77777777" w:rsidR="002E474C" w:rsidRDefault="002E474C">
            <w:pPr>
              <w:pStyle w:val="A-"/>
            </w:pPr>
          </w:p>
        </w:tc>
        <w:tc>
          <w:tcPr>
            <w:tcW w:w="372" w:type="pct"/>
            <w:vMerge/>
            <w:vAlign w:val="center"/>
          </w:tcPr>
          <w:p w14:paraId="45B78377" w14:textId="77777777" w:rsidR="002E474C" w:rsidRDefault="002E474C">
            <w:pPr>
              <w:pStyle w:val="A-"/>
              <w:ind w:leftChars="-25" w:left="-53" w:rightChars="-25" w:right="-53"/>
              <w:rPr>
                <w:spacing w:val="-6"/>
              </w:rPr>
            </w:pPr>
          </w:p>
        </w:tc>
        <w:tc>
          <w:tcPr>
            <w:tcW w:w="457" w:type="pct"/>
            <w:vAlign w:val="center"/>
          </w:tcPr>
          <w:p w14:paraId="2C3B3CC8" w14:textId="77777777" w:rsidR="002E474C" w:rsidRDefault="00000000">
            <w:pPr>
              <w:pStyle w:val="A-"/>
            </w:pPr>
            <w:r>
              <w:t>900-405-06</w:t>
            </w:r>
          </w:p>
        </w:tc>
        <w:tc>
          <w:tcPr>
            <w:tcW w:w="2678" w:type="pct"/>
            <w:vAlign w:val="center"/>
          </w:tcPr>
          <w:p w14:paraId="7797823F" w14:textId="77777777" w:rsidR="002E474C" w:rsidRDefault="00000000">
            <w:pPr>
              <w:pStyle w:val="A-"/>
            </w:pPr>
            <w:r>
              <w:t>900-401-06</w:t>
            </w:r>
            <w:r>
              <w:t>中所列废物再生处理过程中产生的废活性炭及其他过滤吸附介质</w:t>
            </w:r>
          </w:p>
        </w:tc>
        <w:tc>
          <w:tcPr>
            <w:tcW w:w="395" w:type="pct"/>
            <w:vAlign w:val="center"/>
          </w:tcPr>
          <w:p w14:paraId="0A6C9091" w14:textId="77777777" w:rsidR="002E474C" w:rsidRDefault="00000000">
            <w:pPr>
              <w:pStyle w:val="A-"/>
            </w:pPr>
            <w:r>
              <w:t>T</w:t>
            </w:r>
          </w:p>
        </w:tc>
      </w:tr>
      <w:tr w:rsidR="002E474C" w14:paraId="7E38F4A9" w14:textId="77777777">
        <w:trPr>
          <w:trHeight w:val="240"/>
        </w:trPr>
        <w:tc>
          <w:tcPr>
            <w:tcW w:w="574" w:type="pct"/>
            <w:vMerge/>
            <w:vAlign w:val="center"/>
          </w:tcPr>
          <w:p w14:paraId="5B444F82" w14:textId="77777777" w:rsidR="002E474C" w:rsidRDefault="002E474C">
            <w:pPr>
              <w:pStyle w:val="A-"/>
            </w:pPr>
          </w:p>
        </w:tc>
        <w:tc>
          <w:tcPr>
            <w:tcW w:w="524" w:type="pct"/>
            <w:vMerge/>
            <w:vAlign w:val="center"/>
          </w:tcPr>
          <w:p w14:paraId="66AB0D29" w14:textId="77777777" w:rsidR="002E474C" w:rsidRDefault="002E474C">
            <w:pPr>
              <w:pStyle w:val="A-"/>
            </w:pPr>
          </w:p>
        </w:tc>
        <w:tc>
          <w:tcPr>
            <w:tcW w:w="372" w:type="pct"/>
            <w:vMerge/>
            <w:vAlign w:val="center"/>
          </w:tcPr>
          <w:p w14:paraId="4B24D40E" w14:textId="77777777" w:rsidR="002E474C" w:rsidRDefault="002E474C">
            <w:pPr>
              <w:pStyle w:val="A-"/>
              <w:ind w:leftChars="-25" w:left="-53" w:rightChars="-25" w:right="-53"/>
              <w:rPr>
                <w:spacing w:val="-6"/>
              </w:rPr>
            </w:pPr>
          </w:p>
        </w:tc>
        <w:tc>
          <w:tcPr>
            <w:tcW w:w="457" w:type="pct"/>
            <w:vAlign w:val="center"/>
          </w:tcPr>
          <w:p w14:paraId="5EE80815" w14:textId="77777777" w:rsidR="002E474C" w:rsidRDefault="00000000">
            <w:pPr>
              <w:pStyle w:val="A-"/>
            </w:pPr>
            <w:r>
              <w:t>900-406-06</w:t>
            </w:r>
          </w:p>
        </w:tc>
        <w:tc>
          <w:tcPr>
            <w:tcW w:w="2678" w:type="pct"/>
            <w:vAlign w:val="center"/>
          </w:tcPr>
          <w:p w14:paraId="068AF628" w14:textId="77777777" w:rsidR="002E474C" w:rsidRDefault="00000000">
            <w:pPr>
              <w:pStyle w:val="A-"/>
            </w:pPr>
            <w:r>
              <w:t>900-402-06</w:t>
            </w:r>
            <w:r>
              <w:t>和</w:t>
            </w:r>
            <w:r>
              <w:t>900-404-06</w:t>
            </w:r>
            <w:r>
              <w:t>中所列废物再生处理过程中产生的废活性炭及其他过滤吸附介质</w:t>
            </w:r>
          </w:p>
        </w:tc>
        <w:tc>
          <w:tcPr>
            <w:tcW w:w="395" w:type="pct"/>
            <w:vAlign w:val="center"/>
          </w:tcPr>
          <w:p w14:paraId="1C121EEC" w14:textId="77777777" w:rsidR="002E474C" w:rsidRDefault="00000000">
            <w:pPr>
              <w:pStyle w:val="A-"/>
            </w:pPr>
            <w:r>
              <w:t>T</w:t>
            </w:r>
          </w:p>
        </w:tc>
      </w:tr>
      <w:tr w:rsidR="002E474C" w14:paraId="11D12774" w14:textId="77777777">
        <w:trPr>
          <w:trHeight w:val="240"/>
        </w:trPr>
        <w:tc>
          <w:tcPr>
            <w:tcW w:w="574" w:type="pct"/>
            <w:vMerge/>
            <w:vAlign w:val="center"/>
          </w:tcPr>
          <w:p w14:paraId="6A0EE8AF" w14:textId="77777777" w:rsidR="002E474C" w:rsidRDefault="002E474C">
            <w:pPr>
              <w:pStyle w:val="A-"/>
            </w:pPr>
          </w:p>
        </w:tc>
        <w:tc>
          <w:tcPr>
            <w:tcW w:w="524" w:type="pct"/>
            <w:vMerge/>
            <w:vAlign w:val="center"/>
          </w:tcPr>
          <w:p w14:paraId="590173FD" w14:textId="77777777" w:rsidR="002E474C" w:rsidRDefault="002E474C">
            <w:pPr>
              <w:pStyle w:val="A-"/>
            </w:pPr>
          </w:p>
        </w:tc>
        <w:tc>
          <w:tcPr>
            <w:tcW w:w="372" w:type="pct"/>
            <w:vMerge/>
            <w:vAlign w:val="center"/>
          </w:tcPr>
          <w:p w14:paraId="27CB98C3" w14:textId="77777777" w:rsidR="002E474C" w:rsidRDefault="002E474C">
            <w:pPr>
              <w:pStyle w:val="A-"/>
              <w:ind w:leftChars="-25" w:left="-53" w:rightChars="-25" w:right="-53"/>
              <w:rPr>
                <w:spacing w:val="-6"/>
              </w:rPr>
            </w:pPr>
          </w:p>
        </w:tc>
        <w:tc>
          <w:tcPr>
            <w:tcW w:w="457" w:type="pct"/>
            <w:vAlign w:val="center"/>
          </w:tcPr>
          <w:p w14:paraId="48B0413D" w14:textId="77777777" w:rsidR="002E474C" w:rsidRDefault="00000000">
            <w:pPr>
              <w:pStyle w:val="A-"/>
            </w:pPr>
            <w:r>
              <w:t>900-407-06</w:t>
            </w:r>
          </w:p>
        </w:tc>
        <w:tc>
          <w:tcPr>
            <w:tcW w:w="2678" w:type="pct"/>
            <w:vAlign w:val="center"/>
          </w:tcPr>
          <w:p w14:paraId="2CC3972E" w14:textId="77777777" w:rsidR="002E474C" w:rsidRDefault="00000000">
            <w:pPr>
              <w:pStyle w:val="A-"/>
            </w:pPr>
            <w:r>
              <w:t>900-401-06</w:t>
            </w:r>
            <w:r>
              <w:t>中所列废物分馏再生过程中产生的高沸物和釜底残渣</w:t>
            </w:r>
          </w:p>
        </w:tc>
        <w:tc>
          <w:tcPr>
            <w:tcW w:w="395" w:type="pct"/>
            <w:vAlign w:val="center"/>
          </w:tcPr>
          <w:p w14:paraId="668B8744" w14:textId="77777777" w:rsidR="002E474C" w:rsidRDefault="00000000">
            <w:pPr>
              <w:pStyle w:val="A-"/>
            </w:pPr>
            <w:r>
              <w:t>T</w:t>
            </w:r>
          </w:p>
        </w:tc>
      </w:tr>
      <w:tr w:rsidR="002E474C" w14:paraId="75315772" w14:textId="77777777">
        <w:trPr>
          <w:trHeight w:val="240"/>
        </w:trPr>
        <w:tc>
          <w:tcPr>
            <w:tcW w:w="574" w:type="pct"/>
            <w:vMerge/>
            <w:vAlign w:val="center"/>
          </w:tcPr>
          <w:p w14:paraId="1FE34843" w14:textId="77777777" w:rsidR="002E474C" w:rsidRDefault="002E474C">
            <w:pPr>
              <w:pStyle w:val="A-"/>
            </w:pPr>
          </w:p>
        </w:tc>
        <w:tc>
          <w:tcPr>
            <w:tcW w:w="524" w:type="pct"/>
            <w:vMerge/>
            <w:vAlign w:val="center"/>
          </w:tcPr>
          <w:p w14:paraId="6D57F1E0" w14:textId="77777777" w:rsidR="002E474C" w:rsidRDefault="002E474C">
            <w:pPr>
              <w:pStyle w:val="A-"/>
            </w:pPr>
          </w:p>
        </w:tc>
        <w:tc>
          <w:tcPr>
            <w:tcW w:w="372" w:type="pct"/>
            <w:vMerge/>
            <w:vAlign w:val="center"/>
          </w:tcPr>
          <w:p w14:paraId="61E71FC6" w14:textId="77777777" w:rsidR="002E474C" w:rsidRDefault="002E474C">
            <w:pPr>
              <w:pStyle w:val="A-"/>
              <w:ind w:leftChars="-25" w:left="-53" w:rightChars="-25" w:right="-53"/>
              <w:rPr>
                <w:spacing w:val="-6"/>
              </w:rPr>
            </w:pPr>
          </w:p>
        </w:tc>
        <w:tc>
          <w:tcPr>
            <w:tcW w:w="457" w:type="pct"/>
            <w:vAlign w:val="center"/>
          </w:tcPr>
          <w:p w14:paraId="7ABAE371" w14:textId="77777777" w:rsidR="002E474C" w:rsidRDefault="00000000">
            <w:pPr>
              <w:pStyle w:val="A-"/>
            </w:pPr>
            <w:r>
              <w:t>900-408-06</w:t>
            </w:r>
          </w:p>
        </w:tc>
        <w:tc>
          <w:tcPr>
            <w:tcW w:w="2678" w:type="pct"/>
            <w:vAlign w:val="center"/>
          </w:tcPr>
          <w:p w14:paraId="6EB45132" w14:textId="77777777" w:rsidR="002E474C" w:rsidRDefault="00000000">
            <w:pPr>
              <w:pStyle w:val="A-"/>
            </w:pPr>
            <w:r>
              <w:t>900-402-06</w:t>
            </w:r>
            <w:r>
              <w:t>和</w:t>
            </w:r>
            <w:r>
              <w:t>900-404-06</w:t>
            </w:r>
            <w:r>
              <w:t>中所列废物分馏再生过程中产生的釜底残渣</w:t>
            </w:r>
          </w:p>
        </w:tc>
        <w:tc>
          <w:tcPr>
            <w:tcW w:w="395" w:type="pct"/>
            <w:vAlign w:val="center"/>
          </w:tcPr>
          <w:p w14:paraId="169BE1C7" w14:textId="77777777" w:rsidR="002E474C" w:rsidRDefault="00000000">
            <w:pPr>
              <w:pStyle w:val="A-"/>
            </w:pPr>
            <w:r>
              <w:t>T</w:t>
            </w:r>
          </w:p>
        </w:tc>
      </w:tr>
      <w:tr w:rsidR="002E474C" w14:paraId="6CF129F5" w14:textId="77777777">
        <w:trPr>
          <w:trHeight w:val="240"/>
        </w:trPr>
        <w:tc>
          <w:tcPr>
            <w:tcW w:w="574" w:type="pct"/>
            <w:vMerge/>
            <w:vAlign w:val="center"/>
          </w:tcPr>
          <w:p w14:paraId="00F4AD8C" w14:textId="77777777" w:rsidR="002E474C" w:rsidRDefault="002E474C">
            <w:pPr>
              <w:pStyle w:val="A-"/>
            </w:pPr>
          </w:p>
        </w:tc>
        <w:tc>
          <w:tcPr>
            <w:tcW w:w="524" w:type="pct"/>
            <w:vMerge/>
            <w:vAlign w:val="center"/>
          </w:tcPr>
          <w:p w14:paraId="45B29486" w14:textId="77777777" w:rsidR="002E474C" w:rsidRDefault="002E474C">
            <w:pPr>
              <w:pStyle w:val="A-"/>
            </w:pPr>
          </w:p>
        </w:tc>
        <w:tc>
          <w:tcPr>
            <w:tcW w:w="372" w:type="pct"/>
            <w:vMerge/>
            <w:vAlign w:val="center"/>
          </w:tcPr>
          <w:p w14:paraId="6EF8A927" w14:textId="77777777" w:rsidR="002E474C" w:rsidRDefault="002E474C">
            <w:pPr>
              <w:pStyle w:val="A-"/>
              <w:ind w:leftChars="-25" w:left="-53" w:rightChars="-25" w:right="-53"/>
              <w:rPr>
                <w:spacing w:val="-6"/>
              </w:rPr>
            </w:pPr>
          </w:p>
        </w:tc>
        <w:tc>
          <w:tcPr>
            <w:tcW w:w="457" w:type="pct"/>
            <w:vAlign w:val="center"/>
          </w:tcPr>
          <w:p w14:paraId="547E259E" w14:textId="77777777" w:rsidR="002E474C" w:rsidRDefault="00000000">
            <w:pPr>
              <w:pStyle w:val="A-"/>
            </w:pPr>
            <w:r>
              <w:t>900-409-06</w:t>
            </w:r>
          </w:p>
        </w:tc>
        <w:tc>
          <w:tcPr>
            <w:tcW w:w="2678" w:type="pct"/>
            <w:vAlign w:val="center"/>
          </w:tcPr>
          <w:p w14:paraId="06760055" w14:textId="77777777" w:rsidR="002E474C" w:rsidRDefault="00000000">
            <w:pPr>
              <w:pStyle w:val="A-"/>
            </w:pPr>
            <w:r>
              <w:t>900-401-06</w:t>
            </w:r>
            <w:r>
              <w:t>中所列废物再生处理过程中产生的废水处理浮渣和污泥（不包括废水生化处理污泥）</w:t>
            </w:r>
          </w:p>
        </w:tc>
        <w:tc>
          <w:tcPr>
            <w:tcW w:w="395" w:type="pct"/>
            <w:vAlign w:val="center"/>
          </w:tcPr>
          <w:p w14:paraId="77F77FDD" w14:textId="77777777" w:rsidR="002E474C" w:rsidRDefault="00000000">
            <w:pPr>
              <w:pStyle w:val="A-"/>
            </w:pPr>
            <w:r>
              <w:t>T</w:t>
            </w:r>
          </w:p>
        </w:tc>
      </w:tr>
      <w:tr w:rsidR="002E474C" w14:paraId="3951E03C" w14:textId="77777777">
        <w:trPr>
          <w:trHeight w:val="240"/>
        </w:trPr>
        <w:tc>
          <w:tcPr>
            <w:tcW w:w="574" w:type="pct"/>
            <w:vMerge/>
            <w:vAlign w:val="center"/>
          </w:tcPr>
          <w:p w14:paraId="7AE392C3" w14:textId="77777777" w:rsidR="002E474C" w:rsidRDefault="002E474C">
            <w:pPr>
              <w:pStyle w:val="A-"/>
            </w:pPr>
          </w:p>
        </w:tc>
        <w:tc>
          <w:tcPr>
            <w:tcW w:w="524" w:type="pct"/>
            <w:vMerge/>
            <w:vAlign w:val="center"/>
          </w:tcPr>
          <w:p w14:paraId="07823F4D" w14:textId="77777777" w:rsidR="002E474C" w:rsidRDefault="002E474C">
            <w:pPr>
              <w:pStyle w:val="A-"/>
            </w:pPr>
          </w:p>
        </w:tc>
        <w:tc>
          <w:tcPr>
            <w:tcW w:w="372" w:type="pct"/>
            <w:vMerge/>
            <w:vAlign w:val="center"/>
          </w:tcPr>
          <w:p w14:paraId="2AC31536" w14:textId="77777777" w:rsidR="002E474C" w:rsidRDefault="002E474C">
            <w:pPr>
              <w:pStyle w:val="A-"/>
              <w:ind w:leftChars="-25" w:left="-53" w:rightChars="-25" w:right="-53"/>
              <w:rPr>
                <w:spacing w:val="-6"/>
              </w:rPr>
            </w:pPr>
          </w:p>
        </w:tc>
        <w:tc>
          <w:tcPr>
            <w:tcW w:w="457" w:type="pct"/>
            <w:vAlign w:val="center"/>
          </w:tcPr>
          <w:p w14:paraId="191180DA" w14:textId="77777777" w:rsidR="002E474C" w:rsidRDefault="00000000">
            <w:pPr>
              <w:pStyle w:val="A-"/>
            </w:pPr>
            <w:r>
              <w:t>900-410-06</w:t>
            </w:r>
          </w:p>
        </w:tc>
        <w:tc>
          <w:tcPr>
            <w:tcW w:w="2678" w:type="pct"/>
            <w:vAlign w:val="center"/>
          </w:tcPr>
          <w:p w14:paraId="4F88E291" w14:textId="77777777" w:rsidR="002E474C" w:rsidRDefault="00000000">
            <w:pPr>
              <w:pStyle w:val="A-"/>
            </w:pPr>
            <w:r>
              <w:t>900-402-06</w:t>
            </w:r>
            <w:r>
              <w:t>和</w:t>
            </w:r>
            <w:r>
              <w:t>900-404-06</w:t>
            </w:r>
            <w:r>
              <w:t>中所列废物再生处理过程中产生的废水处理浮渣和污泥（不包括废水生化处理污泥）</w:t>
            </w:r>
          </w:p>
        </w:tc>
        <w:tc>
          <w:tcPr>
            <w:tcW w:w="395" w:type="pct"/>
            <w:vAlign w:val="center"/>
          </w:tcPr>
          <w:p w14:paraId="5168B76E" w14:textId="77777777" w:rsidR="002E474C" w:rsidRDefault="00000000">
            <w:pPr>
              <w:pStyle w:val="A-"/>
            </w:pPr>
            <w:r>
              <w:t>T</w:t>
            </w:r>
          </w:p>
        </w:tc>
      </w:tr>
      <w:tr w:rsidR="002E474C" w14:paraId="07B1F7B5" w14:textId="77777777">
        <w:trPr>
          <w:trHeight w:val="240"/>
        </w:trPr>
        <w:tc>
          <w:tcPr>
            <w:tcW w:w="574" w:type="pct"/>
            <w:vMerge w:val="restart"/>
            <w:vAlign w:val="center"/>
          </w:tcPr>
          <w:p w14:paraId="15143F82" w14:textId="77777777" w:rsidR="002E474C" w:rsidRDefault="00000000">
            <w:pPr>
              <w:pStyle w:val="A-"/>
            </w:pPr>
            <w:r>
              <w:t>HW07</w:t>
            </w:r>
          </w:p>
          <w:p w14:paraId="44D50C4F" w14:textId="77777777" w:rsidR="002E474C" w:rsidRDefault="00000000">
            <w:pPr>
              <w:pStyle w:val="A-"/>
            </w:pPr>
            <w:r>
              <w:t>热处理含氰废物</w:t>
            </w:r>
          </w:p>
        </w:tc>
        <w:tc>
          <w:tcPr>
            <w:tcW w:w="524" w:type="pct"/>
            <w:vMerge w:val="restart"/>
            <w:vAlign w:val="center"/>
          </w:tcPr>
          <w:p w14:paraId="3C460160" w14:textId="77777777" w:rsidR="002E474C" w:rsidRDefault="00000000">
            <w:pPr>
              <w:pStyle w:val="A-"/>
            </w:pPr>
            <w:r>
              <w:t>金属表面处理及热处理加工</w:t>
            </w:r>
          </w:p>
        </w:tc>
        <w:tc>
          <w:tcPr>
            <w:tcW w:w="372" w:type="pct"/>
            <w:vMerge w:val="restart"/>
            <w:vAlign w:val="center"/>
          </w:tcPr>
          <w:p w14:paraId="64AF8F13" w14:textId="77777777" w:rsidR="002E474C" w:rsidRDefault="00000000">
            <w:pPr>
              <w:pStyle w:val="A-"/>
              <w:ind w:leftChars="-25" w:left="-53" w:rightChars="-25" w:right="-53"/>
              <w:rPr>
                <w:spacing w:val="-6"/>
              </w:rPr>
            </w:pPr>
            <w:r>
              <w:rPr>
                <w:spacing w:val="-6"/>
              </w:rPr>
              <w:t>固态、液态</w:t>
            </w:r>
          </w:p>
        </w:tc>
        <w:tc>
          <w:tcPr>
            <w:tcW w:w="457" w:type="pct"/>
            <w:vAlign w:val="center"/>
          </w:tcPr>
          <w:p w14:paraId="3E10A584" w14:textId="77777777" w:rsidR="002E474C" w:rsidRDefault="00000000">
            <w:pPr>
              <w:pStyle w:val="A-"/>
            </w:pPr>
            <w:r>
              <w:t>336-001-07</w:t>
            </w:r>
          </w:p>
        </w:tc>
        <w:tc>
          <w:tcPr>
            <w:tcW w:w="2678" w:type="pct"/>
            <w:vAlign w:val="center"/>
          </w:tcPr>
          <w:p w14:paraId="1FAA9C16" w14:textId="77777777" w:rsidR="002E474C" w:rsidRDefault="00000000">
            <w:pPr>
              <w:pStyle w:val="A-"/>
            </w:pPr>
            <w:r>
              <w:t>使用氰化物进行金属热处理产生的淬火池残渣</w:t>
            </w:r>
          </w:p>
        </w:tc>
        <w:tc>
          <w:tcPr>
            <w:tcW w:w="395" w:type="pct"/>
            <w:vAlign w:val="center"/>
          </w:tcPr>
          <w:p w14:paraId="6F32B761" w14:textId="77777777" w:rsidR="002E474C" w:rsidRDefault="00000000">
            <w:pPr>
              <w:pStyle w:val="A-"/>
            </w:pPr>
            <w:r>
              <w:t>T</w:t>
            </w:r>
          </w:p>
        </w:tc>
      </w:tr>
      <w:tr w:rsidR="002E474C" w14:paraId="5F1554E7" w14:textId="77777777">
        <w:trPr>
          <w:trHeight w:val="240"/>
        </w:trPr>
        <w:tc>
          <w:tcPr>
            <w:tcW w:w="574" w:type="pct"/>
            <w:vMerge/>
            <w:vAlign w:val="center"/>
          </w:tcPr>
          <w:p w14:paraId="51788AC8" w14:textId="77777777" w:rsidR="002E474C" w:rsidRDefault="002E474C">
            <w:pPr>
              <w:pStyle w:val="A-"/>
            </w:pPr>
          </w:p>
        </w:tc>
        <w:tc>
          <w:tcPr>
            <w:tcW w:w="524" w:type="pct"/>
            <w:vMerge/>
            <w:vAlign w:val="center"/>
          </w:tcPr>
          <w:p w14:paraId="1871050F" w14:textId="77777777" w:rsidR="002E474C" w:rsidRDefault="002E474C">
            <w:pPr>
              <w:pStyle w:val="A-"/>
            </w:pPr>
          </w:p>
        </w:tc>
        <w:tc>
          <w:tcPr>
            <w:tcW w:w="372" w:type="pct"/>
            <w:vMerge/>
            <w:vAlign w:val="center"/>
          </w:tcPr>
          <w:p w14:paraId="42DBC13A" w14:textId="77777777" w:rsidR="002E474C" w:rsidRDefault="002E474C">
            <w:pPr>
              <w:pStyle w:val="A-"/>
            </w:pPr>
          </w:p>
        </w:tc>
        <w:tc>
          <w:tcPr>
            <w:tcW w:w="457" w:type="pct"/>
            <w:vAlign w:val="center"/>
          </w:tcPr>
          <w:p w14:paraId="0390B16E" w14:textId="77777777" w:rsidR="002E474C" w:rsidRDefault="00000000">
            <w:pPr>
              <w:pStyle w:val="A-"/>
            </w:pPr>
            <w:r>
              <w:t>336-002-07</w:t>
            </w:r>
          </w:p>
        </w:tc>
        <w:tc>
          <w:tcPr>
            <w:tcW w:w="2678" w:type="pct"/>
            <w:vAlign w:val="center"/>
          </w:tcPr>
          <w:p w14:paraId="60F376E4" w14:textId="77777777" w:rsidR="002E474C" w:rsidRDefault="00000000">
            <w:pPr>
              <w:pStyle w:val="A-"/>
            </w:pPr>
            <w:r>
              <w:t>使用氰化物进行金属热处理产生的淬火废水处理污泥</w:t>
            </w:r>
          </w:p>
        </w:tc>
        <w:tc>
          <w:tcPr>
            <w:tcW w:w="395" w:type="pct"/>
            <w:vAlign w:val="center"/>
          </w:tcPr>
          <w:p w14:paraId="7724EFED" w14:textId="77777777" w:rsidR="002E474C" w:rsidRDefault="00000000">
            <w:pPr>
              <w:pStyle w:val="A-"/>
            </w:pPr>
            <w:r>
              <w:t>T</w:t>
            </w:r>
          </w:p>
        </w:tc>
      </w:tr>
      <w:tr w:rsidR="002E474C" w14:paraId="51403C7D" w14:textId="77777777">
        <w:trPr>
          <w:trHeight w:val="240"/>
        </w:trPr>
        <w:tc>
          <w:tcPr>
            <w:tcW w:w="574" w:type="pct"/>
            <w:vMerge/>
            <w:vAlign w:val="center"/>
          </w:tcPr>
          <w:p w14:paraId="5066FADB" w14:textId="77777777" w:rsidR="002E474C" w:rsidRDefault="002E474C">
            <w:pPr>
              <w:pStyle w:val="A-"/>
            </w:pPr>
          </w:p>
        </w:tc>
        <w:tc>
          <w:tcPr>
            <w:tcW w:w="524" w:type="pct"/>
            <w:vMerge/>
            <w:vAlign w:val="center"/>
          </w:tcPr>
          <w:p w14:paraId="19B294B4" w14:textId="77777777" w:rsidR="002E474C" w:rsidRDefault="002E474C">
            <w:pPr>
              <w:pStyle w:val="A-"/>
            </w:pPr>
          </w:p>
        </w:tc>
        <w:tc>
          <w:tcPr>
            <w:tcW w:w="372" w:type="pct"/>
            <w:vMerge/>
            <w:vAlign w:val="center"/>
          </w:tcPr>
          <w:p w14:paraId="72FF7B81" w14:textId="77777777" w:rsidR="002E474C" w:rsidRDefault="002E474C">
            <w:pPr>
              <w:pStyle w:val="A-"/>
            </w:pPr>
          </w:p>
        </w:tc>
        <w:tc>
          <w:tcPr>
            <w:tcW w:w="457" w:type="pct"/>
            <w:vAlign w:val="center"/>
          </w:tcPr>
          <w:p w14:paraId="4E31F3F5" w14:textId="77777777" w:rsidR="002E474C" w:rsidRDefault="00000000">
            <w:pPr>
              <w:pStyle w:val="A-"/>
            </w:pPr>
            <w:r>
              <w:t>336-003-07</w:t>
            </w:r>
          </w:p>
        </w:tc>
        <w:tc>
          <w:tcPr>
            <w:tcW w:w="2678" w:type="pct"/>
            <w:vAlign w:val="center"/>
          </w:tcPr>
          <w:p w14:paraId="6D68CDA6" w14:textId="77777777" w:rsidR="002E474C" w:rsidRDefault="00000000">
            <w:pPr>
              <w:pStyle w:val="A-"/>
            </w:pPr>
            <w:r>
              <w:t>含氰热处理炉维修过程中产生的废内衬</w:t>
            </w:r>
          </w:p>
        </w:tc>
        <w:tc>
          <w:tcPr>
            <w:tcW w:w="395" w:type="pct"/>
            <w:vAlign w:val="center"/>
          </w:tcPr>
          <w:p w14:paraId="68A65CBA" w14:textId="77777777" w:rsidR="002E474C" w:rsidRDefault="00000000">
            <w:pPr>
              <w:pStyle w:val="A-"/>
            </w:pPr>
            <w:r>
              <w:t>T</w:t>
            </w:r>
          </w:p>
        </w:tc>
      </w:tr>
      <w:tr w:rsidR="002E474C" w14:paraId="24207214" w14:textId="77777777">
        <w:trPr>
          <w:trHeight w:val="240"/>
        </w:trPr>
        <w:tc>
          <w:tcPr>
            <w:tcW w:w="574" w:type="pct"/>
            <w:vMerge/>
            <w:vAlign w:val="center"/>
          </w:tcPr>
          <w:p w14:paraId="285D56FC" w14:textId="77777777" w:rsidR="002E474C" w:rsidRDefault="002E474C">
            <w:pPr>
              <w:pStyle w:val="A-"/>
            </w:pPr>
          </w:p>
        </w:tc>
        <w:tc>
          <w:tcPr>
            <w:tcW w:w="524" w:type="pct"/>
            <w:vMerge/>
            <w:vAlign w:val="center"/>
          </w:tcPr>
          <w:p w14:paraId="1FDED7A4" w14:textId="77777777" w:rsidR="002E474C" w:rsidRDefault="002E474C">
            <w:pPr>
              <w:pStyle w:val="A-"/>
            </w:pPr>
          </w:p>
        </w:tc>
        <w:tc>
          <w:tcPr>
            <w:tcW w:w="372" w:type="pct"/>
            <w:vMerge/>
            <w:vAlign w:val="center"/>
          </w:tcPr>
          <w:p w14:paraId="43037D1A" w14:textId="77777777" w:rsidR="002E474C" w:rsidRDefault="002E474C">
            <w:pPr>
              <w:pStyle w:val="A-"/>
            </w:pPr>
          </w:p>
        </w:tc>
        <w:tc>
          <w:tcPr>
            <w:tcW w:w="457" w:type="pct"/>
            <w:vAlign w:val="center"/>
          </w:tcPr>
          <w:p w14:paraId="77E33611" w14:textId="77777777" w:rsidR="002E474C" w:rsidRDefault="00000000">
            <w:pPr>
              <w:pStyle w:val="A-"/>
            </w:pPr>
            <w:r>
              <w:t>336-004-07</w:t>
            </w:r>
          </w:p>
        </w:tc>
        <w:tc>
          <w:tcPr>
            <w:tcW w:w="2678" w:type="pct"/>
            <w:vAlign w:val="center"/>
          </w:tcPr>
          <w:p w14:paraId="629E3265" w14:textId="77777777" w:rsidR="002E474C" w:rsidRDefault="00000000">
            <w:pPr>
              <w:pStyle w:val="A-"/>
            </w:pPr>
            <w:r>
              <w:t>热处理渗碳炉产生的热处理渗碳氰渣</w:t>
            </w:r>
          </w:p>
        </w:tc>
        <w:tc>
          <w:tcPr>
            <w:tcW w:w="395" w:type="pct"/>
            <w:vAlign w:val="center"/>
          </w:tcPr>
          <w:p w14:paraId="6A002F38" w14:textId="77777777" w:rsidR="002E474C" w:rsidRDefault="00000000">
            <w:pPr>
              <w:pStyle w:val="A-"/>
            </w:pPr>
            <w:r>
              <w:t>T</w:t>
            </w:r>
          </w:p>
        </w:tc>
      </w:tr>
      <w:tr w:rsidR="002E474C" w14:paraId="2005E082" w14:textId="77777777">
        <w:trPr>
          <w:trHeight w:val="240"/>
        </w:trPr>
        <w:tc>
          <w:tcPr>
            <w:tcW w:w="574" w:type="pct"/>
            <w:vMerge/>
            <w:vAlign w:val="center"/>
          </w:tcPr>
          <w:p w14:paraId="0BC530FA" w14:textId="77777777" w:rsidR="002E474C" w:rsidRDefault="002E474C">
            <w:pPr>
              <w:pStyle w:val="A-"/>
            </w:pPr>
          </w:p>
        </w:tc>
        <w:tc>
          <w:tcPr>
            <w:tcW w:w="524" w:type="pct"/>
            <w:vMerge/>
            <w:vAlign w:val="center"/>
          </w:tcPr>
          <w:p w14:paraId="26F493C7" w14:textId="77777777" w:rsidR="002E474C" w:rsidRDefault="002E474C">
            <w:pPr>
              <w:pStyle w:val="A-"/>
            </w:pPr>
          </w:p>
        </w:tc>
        <w:tc>
          <w:tcPr>
            <w:tcW w:w="372" w:type="pct"/>
            <w:vMerge/>
            <w:vAlign w:val="center"/>
          </w:tcPr>
          <w:p w14:paraId="0FD61289" w14:textId="77777777" w:rsidR="002E474C" w:rsidRDefault="002E474C">
            <w:pPr>
              <w:pStyle w:val="A-"/>
            </w:pPr>
          </w:p>
        </w:tc>
        <w:tc>
          <w:tcPr>
            <w:tcW w:w="457" w:type="pct"/>
            <w:vAlign w:val="center"/>
          </w:tcPr>
          <w:p w14:paraId="2291D20F" w14:textId="77777777" w:rsidR="002E474C" w:rsidRDefault="00000000">
            <w:pPr>
              <w:pStyle w:val="A-"/>
            </w:pPr>
            <w:r>
              <w:t>336-005-07</w:t>
            </w:r>
          </w:p>
        </w:tc>
        <w:tc>
          <w:tcPr>
            <w:tcW w:w="2678" w:type="pct"/>
            <w:vAlign w:val="center"/>
          </w:tcPr>
          <w:p w14:paraId="4F345D71" w14:textId="77777777" w:rsidR="002E474C" w:rsidRDefault="00000000">
            <w:pPr>
              <w:pStyle w:val="A-"/>
            </w:pPr>
            <w:r>
              <w:t>金属热处理工艺盐浴槽釜清洗产生的含氰残渣和含氰废液</w:t>
            </w:r>
          </w:p>
        </w:tc>
        <w:tc>
          <w:tcPr>
            <w:tcW w:w="395" w:type="pct"/>
            <w:vAlign w:val="center"/>
          </w:tcPr>
          <w:p w14:paraId="26F1A9A5" w14:textId="77777777" w:rsidR="002E474C" w:rsidRDefault="00000000">
            <w:pPr>
              <w:pStyle w:val="A-"/>
            </w:pPr>
            <w:r>
              <w:t>T</w:t>
            </w:r>
            <w:r>
              <w:t>，</w:t>
            </w:r>
            <w:r>
              <w:t>R</w:t>
            </w:r>
          </w:p>
        </w:tc>
      </w:tr>
      <w:tr w:rsidR="002E474C" w14:paraId="3E5C72BA" w14:textId="77777777">
        <w:trPr>
          <w:trHeight w:val="299"/>
        </w:trPr>
        <w:tc>
          <w:tcPr>
            <w:tcW w:w="574" w:type="pct"/>
            <w:vMerge/>
            <w:vAlign w:val="center"/>
          </w:tcPr>
          <w:p w14:paraId="1C828C3B" w14:textId="77777777" w:rsidR="002E474C" w:rsidRDefault="002E474C">
            <w:pPr>
              <w:pStyle w:val="A-"/>
            </w:pPr>
          </w:p>
        </w:tc>
        <w:tc>
          <w:tcPr>
            <w:tcW w:w="524" w:type="pct"/>
            <w:vMerge/>
            <w:vAlign w:val="center"/>
          </w:tcPr>
          <w:p w14:paraId="574A8554" w14:textId="77777777" w:rsidR="002E474C" w:rsidRDefault="002E474C">
            <w:pPr>
              <w:pStyle w:val="A-"/>
            </w:pPr>
          </w:p>
        </w:tc>
        <w:tc>
          <w:tcPr>
            <w:tcW w:w="372" w:type="pct"/>
            <w:vMerge/>
            <w:vAlign w:val="center"/>
          </w:tcPr>
          <w:p w14:paraId="60E9D5CF" w14:textId="77777777" w:rsidR="002E474C" w:rsidRDefault="002E474C">
            <w:pPr>
              <w:pStyle w:val="A-"/>
            </w:pPr>
          </w:p>
        </w:tc>
        <w:tc>
          <w:tcPr>
            <w:tcW w:w="457" w:type="pct"/>
            <w:vAlign w:val="center"/>
          </w:tcPr>
          <w:p w14:paraId="05BC4E6E" w14:textId="77777777" w:rsidR="002E474C" w:rsidRDefault="00000000">
            <w:pPr>
              <w:pStyle w:val="A-"/>
            </w:pPr>
            <w:r>
              <w:t>336-049-07</w:t>
            </w:r>
          </w:p>
        </w:tc>
        <w:tc>
          <w:tcPr>
            <w:tcW w:w="2678" w:type="pct"/>
            <w:vAlign w:val="center"/>
          </w:tcPr>
          <w:p w14:paraId="2419787A" w14:textId="77777777" w:rsidR="002E474C" w:rsidRDefault="00000000">
            <w:pPr>
              <w:pStyle w:val="A-"/>
            </w:pPr>
            <w:r>
              <w:t>氰化物热处理和退火作业过程中产生的残渣</w:t>
            </w:r>
          </w:p>
        </w:tc>
        <w:tc>
          <w:tcPr>
            <w:tcW w:w="395" w:type="pct"/>
            <w:vAlign w:val="center"/>
          </w:tcPr>
          <w:p w14:paraId="002FA1BD" w14:textId="77777777" w:rsidR="002E474C" w:rsidRDefault="00000000">
            <w:pPr>
              <w:pStyle w:val="A-"/>
            </w:pPr>
            <w:r>
              <w:t>T</w:t>
            </w:r>
          </w:p>
        </w:tc>
      </w:tr>
      <w:tr w:rsidR="002E474C" w14:paraId="11EDD32F" w14:textId="77777777">
        <w:trPr>
          <w:trHeight w:val="261"/>
        </w:trPr>
        <w:tc>
          <w:tcPr>
            <w:tcW w:w="574" w:type="pct"/>
            <w:vMerge w:val="restart"/>
            <w:vAlign w:val="center"/>
          </w:tcPr>
          <w:p w14:paraId="7BAA23B5" w14:textId="77777777" w:rsidR="002E474C" w:rsidRDefault="00000000">
            <w:pPr>
              <w:pStyle w:val="A-"/>
            </w:pPr>
            <w:r>
              <w:t>HW08</w:t>
            </w:r>
          </w:p>
          <w:p w14:paraId="4928D2AF" w14:textId="77777777" w:rsidR="002E474C" w:rsidRDefault="00000000">
            <w:pPr>
              <w:pStyle w:val="A-"/>
            </w:pPr>
            <w:r>
              <w:t>废矿物油与含矿物油废物</w:t>
            </w:r>
          </w:p>
        </w:tc>
        <w:tc>
          <w:tcPr>
            <w:tcW w:w="524" w:type="pct"/>
            <w:vMerge w:val="restart"/>
            <w:vAlign w:val="center"/>
          </w:tcPr>
          <w:p w14:paraId="3E276E33" w14:textId="77777777" w:rsidR="002E474C" w:rsidRDefault="00000000">
            <w:pPr>
              <w:pStyle w:val="A-"/>
            </w:pPr>
            <w:r>
              <w:t>石油开采</w:t>
            </w:r>
          </w:p>
        </w:tc>
        <w:tc>
          <w:tcPr>
            <w:tcW w:w="372" w:type="pct"/>
            <w:vMerge w:val="restart"/>
            <w:vAlign w:val="center"/>
          </w:tcPr>
          <w:p w14:paraId="09BB6037" w14:textId="77777777" w:rsidR="002E474C" w:rsidRDefault="00000000">
            <w:pPr>
              <w:pStyle w:val="A-"/>
            </w:pPr>
            <w:r>
              <w:t>半固态</w:t>
            </w:r>
          </w:p>
        </w:tc>
        <w:tc>
          <w:tcPr>
            <w:tcW w:w="457" w:type="pct"/>
            <w:vAlign w:val="center"/>
          </w:tcPr>
          <w:p w14:paraId="7466CE9B" w14:textId="77777777" w:rsidR="002E474C" w:rsidRDefault="002E474C">
            <w:pPr>
              <w:pStyle w:val="A-"/>
            </w:pPr>
          </w:p>
        </w:tc>
        <w:tc>
          <w:tcPr>
            <w:tcW w:w="2678" w:type="pct"/>
            <w:vAlign w:val="center"/>
          </w:tcPr>
          <w:p w14:paraId="27110C18" w14:textId="77777777" w:rsidR="002E474C" w:rsidRDefault="00000000">
            <w:pPr>
              <w:pStyle w:val="A-"/>
            </w:pPr>
            <w:r>
              <w:t>石油开采和炼制产生的油泥和油脚</w:t>
            </w:r>
          </w:p>
        </w:tc>
        <w:tc>
          <w:tcPr>
            <w:tcW w:w="395" w:type="pct"/>
            <w:vAlign w:val="center"/>
          </w:tcPr>
          <w:p w14:paraId="5409AAE4" w14:textId="77777777" w:rsidR="002E474C" w:rsidRDefault="00000000">
            <w:pPr>
              <w:pStyle w:val="A-"/>
            </w:pPr>
            <w:r>
              <w:t>T</w:t>
            </w:r>
            <w:r>
              <w:t>，</w:t>
            </w:r>
            <w:r>
              <w:t>I</w:t>
            </w:r>
          </w:p>
        </w:tc>
      </w:tr>
      <w:tr w:rsidR="002E474C" w14:paraId="65CC1C89" w14:textId="77777777">
        <w:trPr>
          <w:trHeight w:val="266"/>
        </w:trPr>
        <w:tc>
          <w:tcPr>
            <w:tcW w:w="574" w:type="pct"/>
            <w:vMerge/>
            <w:vAlign w:val="center"/>
          </w:tcPr>
          <w:p w14:paraId="6BCB6A31" w14:textId="77777777" w:rsidR="002E474C" w:rsidRDefault="002E474C">
            <w:pPr>
              <w:pStyle w:val="A-"/>
            </w:pPr>
          </w:p>
        </w:tc>
        <w:tc>
          <w:tcPr>
            <w:tcW w:w="524" w:type="pct"/>
            <w:vMerge/>
            <w:vAlign w:val="center"/>
          </w:tcPr>
          <w:p w14:paraId="75B5DBE0" w14:textId="77777777" w:rsidR="002E474C" w:rsidRDefault="002E474C">
            <w:pPr>
              <w:pStyle w:val="A-"/>
            </w:pPr>
          </w:p>
        </w:tc>
        <w:tc>
          <w:tcPr>
            <w:tcW w:w="372" w:type="pct"/>
            <w:vMerge/>
            <w:vAlign w:val="center"/>
          </w:tcPr>
          <w:p w14:paraId="5CC106CD" w14:textId="77777777" w:rsidR="002E474C" w:rsidRDefault="002E474C">
            <w:pPr>
              <w:pStyle w:val="A-"/>
            </w:pPr>
          </w:p>
        </w:tc>
        <w:tc>
          <w:tcPr>
            <w:tcW w:w="457" w:type="pct"/>
            <w:vAlign w:val="center"/>
          </w:tcPr>
          <w:p w14:paraId="742ECBFF" w14:textId="77777777" w:rsidR="002E474C" w:rsidRDefault="00000000">
            <w:pPr>
              <w:pStyle w:val="A-"/>
            </w:pPr>
            <w:r>
              <w:t>071-002-08</w:t>
            </w:r>
          </w:p>
        </w:tc>
        <w:tc>
          <w:tcPr>
            <w:tcW w:w="2678" w:type="pct"/>
            <w:vAlign w:val="center"/>
          </w:tcPr>
          <w:p w14:paraId="4254FA8F" w14:textId="77777777" w:rsidR="002E474C" w:rsidRDefault="00000000">
            <w:pPr>
              <w:pStyle w:val="A-"/>
            </w:pPr>
            <w:r>
              <w:t>以矿物油为连续相配制钻井泥浆用于石油开采所产生的废弃钻井泥浆</w:t>
            </w:r>
          </w:p>
        </w:tc>
        <w:tc>
          <w:tcPr>
            <w:tcW w:w="395" w:type="pct"/>
            <w:vAlign w:val="center"/>
          </w:tcPr>
          <w:p w14:paraId="511D22C7" w14:textId="77777777" w:rsidR="002E474C" w:rsidRDefault="00000000">
            <w:pPr>
              <w:pStyle w:val="A-"/>
            </w:pPr>
            <w:r>
              <w:t>T</w:t>
            </w:r>
          </w:p>
        </w:tc>
      </w:tr>
      <w:tr w:rsidR="002E474C" w14:paraId="5B2C7467" w14:textId="77777777">
        <w:trPr>
          <w:trHeight w:val="337"/>
        </w:trPr>
        <w:tc>
          <w:tcPr>
            <w:tcW w:w="574" w:type="pct"/>
            <w:vMerge/>
            <w:vAlign w:val="center"/>
          </w:tcPr>
          <w:p w14:paraId="626F915A" w14:textId="77777777" w:rsidR="002E474C" w:rsidRDefault="002E474C">
            <w:pPr>
              <w:pStyle w:val="A-"/>
            </w:pPr>
          </w:p>
        </w:tc>
        <w:tc>
          <w:tcPr>
            <w:tcW w:w="524" w:type="pct"/>
            <w:vAlign w:val="center"/>
          </w:tcPr>
          <w:p w14:paraId="6D2824E0" w14:textId="77777777" w:rsidR="002E474C" w:rsidRDefault="00000000">
            <w:pPr>
              <w:pStyle w:val="A-"/>
            </w:pPr>
            <w:r>
              <w:t>天然气开采</w:t>
            </w:r>
          </w:p>
        </w:tc>
        <w:tc>
          <w:tcPr>
            <w:tcW w:w="372" w:type="pct"/>
            <w:vAlign w:val="center"/>
          </w:tcPr>
          <w:p w14:paraId="381B96E4" w14:textId="77777777" w:rsidR="002E474C" w:rsidRDefault="00000000">
            <w:pPr>
              <w:pStyle w:val="A-"/>
            </w:pPr>
            <w:r>
              <w:t>半固态</w:t>
            </w:r>
          </w:p>
        </w:tc>
        <w:tc>
          <w:tcPr>
            <w:tcW w:w="457" w:type="pct"/>
            <w:vAlign w:val="center"/>
          </w:tcPr>
          <w:p w14:paraId="157889DD" w14:textId="77777777" w:rsidR="002E474C" w:rsidRDefault="00000000">
            <w:pPr>
              <w:pStyle w:val="A-"/>
            </w:pPr>
            <w:r>
              <w:t>072-001-08</w:t>
            </w:r>
          </w:p>
        </w:tc>
        <w:tc>
          <w:tcPr>
            <w:tcW w:w="2678" w:type="pct"/>
            <w:vAlign w:val="center"/>
          </w:tcPr>
          <w:p w14:paraId="4C4D9F61" w14:textId="77777777" w:rsidR="002E474C" w:rsidRDefault="00000000">
            <w:pPr>
              <w:pStyle w:val="A-"/>
            </w:pPr>
            <w:r>
              <w:t>以矿物油为连续相配制钻井泥浆用于天然气开采所产生的废弃钻井泥浆</w:t>
            </w:r>
          </w:p>
        </w:tc>
        <w:tc>
          <w:tcPr>
            <w:tcW w:w="395" w:type="pct"/>
            <w:vAlign w:val="center"/>
          </w:tcPr>
          <w:p w14:paraId="58E819A3" w14:textId="77777777" w:rsidR="002E474C" w:rsidRDefault="00000000">
            <w:pPr>
              <w:pStyle w:val="A-"/>
            </w:pPr>
            <w:r>
              <w:t>T</w:t>
            </w:r>
          </w:p>
        </w:tc>
      </w:tr>
      <w:tr w:rsidR="002E474C" w14:paraId="14E29491" w14:textId="77777777">
        <w:trPr>
          <w:trHeight w:val="271"/>
        </w:trPr>
        <w:tc>
          <w:tcPr>
            <w:tcW w:w="574" w:type="pct"/>
            <w:vMerge/>
            <w:vAlign w:val="center"/>
          </w:tcPr>
          <w:p w14:paraId="537A8CBA" w14:textId="77777777" w:rsidR="002E474C" w:rsidRDefault="002E474C">
            <w:pPr>
              <w:pStyle w:val="A-"/>
            </w:pPr>
          </w:p>
        </w:tc>
        <w:tc>
          <w:tcPr>
            <w:tcW w:w="524" w:type="pct"/>
            <w:vMerge w:val="restart"/>
            <w:vAlign w:val="center"/>
          </w:tcPr>
          <w:p w14:paraId="1F759855" w14:textId="77777777" w:rsidR="002E474C" w:rsidRDefault="00000000">
            <w:pPr>
              <w:pStyle w:val="A-"/>
            </w:pPr>
            <w:r>
              <w:t>精炼石油产品制造</w:t>
            </w:r>
          </w:p>
        </w:tc>
        <w:tc>
          <w:tcPr>
            <w:tcW w:w="372" w:type="pct"/>
            <w:vMerge w:val="restart"/>
            <w:vAlign w:val="center"/>
          </w:tcPr>
          <w:p w14:paraId="7D61C9C5" w14:textId="77777777" w:rsidR="002E474C" w:rsidRDefault="00000000">
            <w:pPr>
              <w:pStyle w:val="A-"/>
              <w:ind w:leftChars="-25" w:left="-53" w:rightChars="-25" w:right="-53"/>
            </w:pPr>
            <w:r>
              <w:rPr>
                <w:spacing w:val="-6"/>
              </w:rPr>
              <w:t>固态、半固态、液态</w:t>
            </w:r>
          </w:p>
        </w:tc>
        <w:tc>
          <w:tcPr>
            <w:tcW w:w="457" w:type="pct"/>
            <w:vAlign w:val="center"/>
          </w:tcPr>
          <w:p w14:paraId="2B86830D" w14:textId="77777777" w:rsidR="002E474C" w:rsidRDefault="00000000">
            <w:pPr>
              <w:pStyle w:val="A-"/>
            </w:pPr>
            <w:r>
              <w:t>251-001-08</w:t>
            </w:r>
          </w:p>
        </w:tc>
        <w:tc>
          <w:tcPr>
            <w:tcW w:w="2678" w:type="pct"/>
            <w:vAlign w:val="center"/>
          </w:tcPr>
          <w:p w14:paraId="625E668F" w14:textId="77777777" w:rsidR="002E474C" w:rsidRDefault="00000000">
            <w:pPr>
              <w:pStyle w:val="A-"/>
            </w:pPr>
            <w:r>
              <w:t>清洗矿物油储存、输送设施过程中产生的油</w:t>
            </w:r>
            <w:r>
              <w:t>/</w:t>
            </w:r>
            <w:r>
              <w:t>水和烃</w:t>
            </w:r>
            <w:r>
              <w:t>/</w:t>
            </w:r>
            <w:r>
              <w:t>水混合物</w:t>
            </w:r>
          </w:p>
        </w:tc>
        <w:tc>
          <w:tcPr>
            <w:tcW w:w="395" w:type="pct"/>
            <w:vAlign w:val="center"/>
          </w:tcPr>
          <w:p w14:paraId="5A9157CF" w14:textId="77777777" w:rsidR="002E474C" w:rsidRDefault="00000000">
            <w:pPr>
              <w:pStyle w:val="A-"/>
            </w:pPr>
            <w:r>
              <w:t>T</w:t>
            </w:r>
          </w:p>
        </w:tc>
      </w:tr>
      <w:tr w:rsidR="002E474C" w14:paraId="5EDA6501" w14:textId="77777777">
        <w:trPr>
          <w:trHeight w:val="411"/>
        </w:trPr>
        <w:tc>
          <w:tcPr>
            <w:tcW w:w="574" w:type="pct"/>
            <w:vMerge/>
            <w:vAlign w:val="center"/>
          </w:tcPr>
          <w:p w14:paraId="536A3586" w14:textId="77777777" w:rsidR="002E474C" w:rsidRDefault="002E474C">
            <w:pPr>
              <w:pStyle w:val="A-"/>
            </w:pPr>
          </w:p>
        </w:tc>
        <w:tc>
          <w:tcPr>
            <w:tcW w:w="524" w:type="pct"/>
            <w:vMerge/>
            <w:vAlign w:val="center"/>
          </w:tcPr>
          <w:p w14:paraId="2C942E06" w14:textId="77777777" w:rsidR="002E474C" w:rsidRDefault="002E474C">
            <w:pPr>
              <w:pStyle w:val="A-"/>
            </w:pPr>
          </w:p>
        </w:tc>
        <w:tc>
          <w:tcPr>
            <w:tcW w:w="372" w:type="pct"/>
            <w:vMerge/>
            <w:vAlign w:val="center"/>
          </w:tcPr>
          <w:p w14:paraId="4BB65593" w14:textId="77777777" w:rsidR="002E474C" w:rsidRDefault="002E474C">
            <w:pPr>
              <w:pStyle w:val="A-"/>
            </w:pPr>
          </w:p>
        </w:tc>
        <w:tc>
          <w:tcPr>
            <w:tcW w:w="457" w:type="pct"/>
            <w:vAlign w:val="center"/>
          </w:tcPr>
          <w:p w14:paraId="2CFDC77D" w14:textId="77777777" w:rsidR="002E474C" w:rsidRDefault="00000000">
            <w:pPr>
              <w:pStyle w:val="A-"/>
            </w:pPr>
            <w:r>
              <w:t>251-002-08</w:t>
            </w:r>
          </w:p>
        </w:tc>
        <w:tc>
          <w:tcPr>
            <w:tcW w:w="2678" w:type="pct"/>
            <w:vAlign w:val="center"/>
          </w:tcPr>
          <w:p w14:paraId="1EDACD25" w14:textId="77777777" w:rsidR="002E474C" w:rsidRDefault="00000000">
            <w:pPr>
              <w:pStyle w:val="A-"/>
            </w:pPr>
            <w:r>
              <w:t>石油初炼过程中储存设施、油</w:t>
            </w:r>
            <w:r>
              <w:t>-</w:t>
            </w:r>
            <w:r>
              <w:t>水</w:t>
            </w:r>
            <w:r>
              <w:t>-</w:t>
            </w:r>
            <w:r>
              <w:t>固态物质分离器、积水槽、沟渠及其他输送管道、污水池、雨水收集管道产生的含油污泥</w:t>
            </w:r>
          </w:p>
        </w:tc>
        <w:tc>
          <w:tcPr>
            <w:tcW w:w="395" w:type="pct"/>
            <w:vAlign w:val="center"/>
          </w:tcPr>
          <w:p w14:paraId="4AFCC9E6" w14:textId="77777777" w:rsidR="002E474C" w:rsidRDefault="00000000">
            <w:pPr>
              <w:pStyle w:val="A-"/>
            </w:pPr>
            <w:r>
              <w:t>T</w:t>
            </w:r>
            <w:r>
              <w:t>，</w:t>
            </w:r>
            <w:r>
              <w:t>I</w:t>
            </w:r>
          </w:p>
        </w:tc>
      </w:tr>
      <w:tr w:rsidR="002E474C" w14:paraId="124536A5" w14:textId="77777777">
        <w:trPr>
          <w:trHeight w:val="240"/>
        </w:trPr>
        <w:tc>
          <w:tcPr>
            <w:tcW w:w="574" w:type="pct"/>
            <w:vMerge/>
            <w:vAlign w:val="center"/>
          </w:tcPr>
          <w:p w14:paraId="7B61B924" w14:textId="77777777" w:rsidR="002E474C" w:rsidRDefault="002E474C">
            <w:pPr>
              <w:pStyle w:val="A-"/>
            </w:pPr>
          </w:p>
        </w:tc>
        <w:tc>
          <w:tcPr>
            <w:tcW w:w="524" w:type="pct"/>
            <w:vMerge/>
            <w:vAlign w:val="center"/>
          </w:tcPr>
          <w:p w14:paraId="6F089BDA" w14:textId="77777777" w:rsidR="002E474C" w:rsidRDefault="002E474C">
            <w:pPr>
              <w:pStyle w:val="A-"/>
            </w:pPr>
          </w:p>
        </w:tc>
        <w:tc>
          <w:tcPr>
            <w:tcW w:w="372" w:type="pct"/>
            <w:vMerge/>
            <w:vAlign w:val="center"/>
          </w:tcPr>
          <w:p w14:paraId="384FEB1D" w14:textId="77777777" w:rsidR="002E474C" w:rsidRDefault="002E474C">
            <w:pPr>
              <w:pStyle w:val="A-"/>
            </w:pPr>
          </w:p>
        </w:tc>
        <w:tc>
          <w:tcPr>
            <w:tcW w:w="457" w:type="pct"/>
            <w:vAlign w:val="center"/>
          </w:tcPr>
          <w:p w14:paraId="6CFB872E" w14:textId="77777777" w:rsidR="002E474C" w:rsidRDefault="00000000">
            <w:pPr>
              <w:pStyle w:val="A-"/>
            </w:pPr>
            <w:r>
              <w:t>251-003-08</w:t>
            </w:r>
          </w:p>
        </w:tc>
        <w:tc>
          <w:tcPr>
            <w:tcW w:w="2678" w:type="pct"/>
            <w:vAlign w:val="center"/>
          </w:tcPr>
          <w:p w14:paraId="087DF324" w14:textId="77777777" w:rsidR="002E474C" w:rsidRDefault="00000000">
            <w:pPr>
              <w:pStyle w:val="A-"/>
            </w:pPr>
            <w:r>
              <w:t>石油炼制过程中隔油池产生的含油污泥，以及汽油提炼工艺废水和冷却废水处理污泥（不包括废水生化处理污泥）</w:t>
            </w:r>
          </w:p>
        </w:tc>
        <w:tc>
          <w:tcPr>
            <w:tcW w:w="395" w:type="pct"/>
            <w:vAlign w:val="center"/>
          </w:tcPr>
          <w:p w14:paraId="62E55044" w14:textId="77777777" w:rsidR="002E474C" w:rsidRDefault="00000000">
            <w:pPr>
              <w:pStyle w:val="A-"/>
            </w:pPr>
            <w:r>
              <w:t>T</w:t>
            </w:r>
          </w:p>
        </w:tc>
      </w:tr>
      <w:tr w:rsidR="002E474C" w14:paraId="29428DF9" w14:textId="77777777">
        <w:trPr>
          <w:trHeight w:val="240"/>
        </w:trPr>
        <w:tc>
          <w:tcPr>
            <w:tcW w:w="574" w:type="pct"/>
            <w:vMerge/>
            <w:vAlign w:val="center"/>
          </w:tcPr>
          <w:p w14:paraId="044E07AD" w14:textId="77777777" w:rsidR="002E474C" w:rsidRDefault="002E474C">
            <w:pPr>
              <w:pStyle w:val="A-"/>
            </w:pPr>
          </w:p>
        </w:tc>
        <w:tc>
          <w:tcPr>
            <w:tcW w:w="524" w:type="pct"/>
            <w:vMerge/>
            <w:vAlign w:val="center"/>
          </w:tcPr>
          <w:p w14:paraId="40892002" w14:textId="77777777" w:rsidR="002E474C" w:rsidRDefault="002E474C">
            <w:pPr>
              <w:pStyle w:val="A-"/>
            </w:pPr>
          </w:p>
        </w:tc>
        <w:tc>
          <w:tcPr>
            <w:tcW w:w="372" w:type="pct"/>
            <w:vMerge/>
            <w:vAlign w:val="center"/>
          </w:tcPr>
          <w:p w14:paraId="679DD45A" w14:textId="77777777" w:rsidR="002E474C" w:rsidRDefault="002E474C">
            <w:pPr>
              <w:pStyle w:val="A-"/>
            </w:pPr>
          </w:p>
        </w:tc>
        <w:tc>
          <w:tcPr>
            <w:tcW w:w="457" w:type="pct"/>
            <w:vAlign w:val="center"/>
          </w:tcPr>
          <w:p w14:paraId="2CE8628E" w14:textId="77777777" w:rsidR="002E474C" w:rsidRDefault="00000000">
            <w:pPr>
              <w:pStyle w:val="A-"/>
            </w:pPr>
            <w:r>
              <w:t>251-004-08</w:t>
            </w:r>
          </w:p>
        </w:tc>
        <w:tc>
          <w:tcPr>
            <w:tcW w:w="2678" w:type="pct"/>
            <w:vAlign w:val="center"/>
          </w:tcPr>
          <w:p w14:paraId="6A199D9A" w14:textId="77777777" w:rsidR="002E474C" w:rsidRDefault="00000000">
            <w:pPr>
              <w:pStyle w:val="A-"/>
            </w:pPr>
            <w:r>
              <w:t>石油炼制过程中溶气浮选工艺产生的浮渣</w:t>
            </w:r>
          </w:p>
        </w:tc>
        <w:tc>
          <w:tcPr>
            <w:tcW w:w="395" w:type="pct"/>
            <w:vAlign w:val="center"/>
          </w:tcPr>
          <w:p w14:paraId="73C009BD" w14:textId="77777777" w:rsidR="002E474C" w:rsidRDefault="00000000">
            <w:pPr>
              <w:pStyle w:val="A-"/>
            </w:pPr>
            <w:r>
              <w:t>T</w:t>
            </w:r>
            <w:r>
              <w:t>，</w:t>
            </w:r>
            <w:r>
              <w:t>I</w:t>
            </w:r>
          </w:p>
        </w:tc>
      </w:tr>
      <w:tr w:rsidR="002E474C" w14:paraId="4D91EE5C" w14:textId="77777777">
        <w:trPr>
          <w:trHeight w:val="240"/>
        </w:trPr>
        <w:tc>
          <w:tcPr>
            <w:tcW w:w="574" w:type="pct"/>
            <w:vMerge/>
            <w:vAlign w:val="center"/>
          </w:tcPr>
          <w:p w14:paraId="794D5C1A" w14:textId="77777777" w:rsidR="002E474C" w:rsidRDefault="002E474C">
            <w:pPr>
              <w:pStyle w:val="A-"/>
            </w:pPr>
          </w:p>
        </w:tc>
        <w:tc>
          <w:tcPr>
            <w:tcW w:w="524" w:type="pct"/>
            <w:vMerge/>
            <w:vAlign w:val="center"/>
          </w:tcPr>
          <w:p w14:paraId="27D338B3" w14:textId="77777777" w:rsidR="002E474C" w:rsidRDefault="002E474C">
            <w:pPr>
              <w:pStyle w:val="A-"/>
            </w:pPr>
          </w:p>
        </w:tc>
        <w:tc>
          <w:tcPr>
            <w:tcW w:w="372" w:type="pct"/>
            <w:vMerge/>
            <w:vAlign w:val="center"/>
          </w:tcPr>
          <w:p w14:paraId="6D32EA31" w14:textId="77777777" w:rsidR="002E474C" w:rsidRDefault="002E474C">
            <w:pPr>
              <w:pStyle w:val="A-"/>
            </w:pPr>
          </w:p>
        </w:tc>
        <w:tc>
          <w:tcPr>
            <w:tcW w:w="457" w:type="pct"/>
            <w:vAlign w:val="center"/>
          </w:tcPr>
          <w:p w14:paraId="554F385C" w14:textId="77777777" w:rsidR="002E474C" w:rsidRDefault="00000000">
            <w:pPr>
              <w:pStyle w:val="A-"/>
            </w:pPr>
            <w:r>
              <w:t>251-005-08</w:t>
            </w:r>
          </w:p>
        </w:tc>
        <w:tc>
          <w:tcPr>
            <w:tcW w:w="2678" w:type="pct"/>
            <w:vAlign w:val="center"/>
          </w:tcPr>
          <w:p w14:paraId="5B320440" w14:textId="77777777" w:rsidR="002E474C" w:rsidRDefault="00000000">
            <w:pPr>
              <w:pStyle w:val="A-"/>
            </w:pPr>
            <w:r>
              <w:t>石油炼制过程中产生的溢出废油或乳剂</w:t>
            </w:r>
          </w:p>
        </w:tc>
        <w:tc>
          <w:tcPr>
            <w:tcW w:w="395" w:type="pct"/>
            <w:vAlign w:val="center"/>
          </w:tcPr>
          <w:p w14:paraId="28D9FB7F" w14:textId="77777777" w:rsidR="002E474C" w:rsidRDefault="00000000">
            <w:pPr>
              <w:pStyle w:val="A-"/>
            </w:pPr>
            <w:r>
              <w:t>T</w:t>
            </w:r>
            <w:r>
              <w:t>，</w:t>
            </w:r>
            <w:r>
              <w:t>I</w:t>
            </w:r>
          </w:p>
        </w:tc>
      </w:tr>
      <w:tr w:rsidR="002E474C" w14:paraId="617F7CCF" w14:textId="77777777">
        <w:trPr>
          <w:trHeight w:val="240"/>
        </w:trPr>
        <w:tc>
          <w:tcPr>
            <w:tcW w:w="574" w:type="pct"/>
            <w:vMerge/>
            <w:vAlign w:val="center"/>
          </w:tcPr>
          <w:p w14:paraId="7272143D" w14:textId="77777777" w:rsidR="002E474C" w:rsidRDefault="002E474C">
            <w:pPr>
              <w:pStyle w:val="A-"/>
            </w:pPr>
          </w:p>
        </w:tc>
        <w:tc>
          <w:tcPr>
            <w:tcW w:w="524" w:type="pct"/>
            <w:vMerge/>
            <w:vAlign w:val="center"/>
          </w:tcPr>
          <w:p w14:paraId="1D7F59AE" w14:textId="77777777" w:rsidR="002E474C" w:rsidRDefault="002E474C">
            <w:pPr>
              <w:pStyle w:val="A-"/>
            </w:pPr>
          </w:p>
        </w:tc>
        <w:tc>
          <w:tcPr>
            <w:tcW w:w="372" w:type="pct"/>
            <w:vMerge/>
            <w:vAlign w:val="center"/>
          </w:tcPr>
          <w:p w14:paraId="39A022E1" w14:textId="77777777" w:rsidR="002E474C" w:rsidRDefault="002E474C">
            <w:pPr>
              <w:pStyle w:val="A-"/>
            </w:pPr>
          </w:p>
        </w:tc>
        <w:tc>
          <w:tcPr>
            <w:tcW w:w="457" w:type="pct"/>
            <w:vAlign w:val="center"/>
          </w:tcPr>
          <w:p w14:paraId="4F66F432" w14:textId="77777777" w:rsidR="002E474C" w:rsidRDefault="00000000">
            <w:pPr>
              <w:pStyle w:val="A-"/>
            </w:pPr>
            <w:r>
              <w:t>251-006-08</w:t>
            </w:r>
          </w:p>
        </w:tc>
        <w:tc>
          <w:tcPr>
            <w:tcW w:w="2678" w:type="pct"/>
            <w:vAlign w:val="center"/>
          </w:tcPr>
          <w:p w14:paraId="3BB2EF91" w14:textId="77777777" w:rsidR="002E474C" w:rsidRDefault="00000000">
            <w:pPr>
              <w:pStyle w:val="A-"/>
            </w:pPr>
            <w:r>
              <w:t>石油炼制换热器管束清洗过程中产生的含油污泥</w:t>
            </w:r>
          </w:p>
        </w:tc>
        <w:tc>
          <w:tcPr>
            <w:tcW w:w="395" w:type="pct"/>
            <w:vAlign w:val="center"/>
          </w:tcPr>
          <w:p w14:paraId="5A9D5980" w14:textId="77777777" w:rsidR="002E474C" w:rsidRDefault="00000000">
            <w:pPr>
              <w:pStyle w:val="A-"/>
            </w:pPr>
            <w:r>
              <w:t>T</w:t>
            </w:r>
          </w:p>
        </w:tc>
      </w:tr>
      <w:tr w:rsidR="002E474C" w14:paraId="6E09399D" w14:textId="77777777">
        <w:trPr>
          <w:trHeight w:val="240"/>
        </w:trPr>
        <w:tc>
          <w:tcPr>
            <w:tcW w:w="574" w:type="pct"/>
            <w:vMerge/>
            <w:vAlign w:val="center"/>
          </w:tcPr>
          <w:p w14:paraId="72E3EDF5" w14:textId="77777777" w:rsidR="002E474C" w:rsidRDefault="002E474C">
            <w:pPr>
              <w:pStyle w:val="A-"/>
            </w:pPr>
          </w:p>
        </w:tc>
        <w:tc>
          <w:tcPr>
            <w:tcW w:w="524" w:type="pct"/>
            <w:vMerge/>
            <w:vAlign w:val="center"/>
          </w:tcPr>
          <w:p w14:paraId="2D2CCB43" w14:textId="77777777" w:rsidR="002E474C" w:rsidRDefault="002E474C">
            <w:pPr>
              <w:pStyle w:val="A-"/>
            </w:pPr>
          </w:p>
        </w:tc>
        <w:tc>
          <w:tcPr>
            <w:tcW w:w="372" w:type="pct"/>
            <w:vMerge/>
            <w:vAlign w:val="center"/>
          </w:tcPr>
          <w:p w14:paraId="2A7E9B8A" w14:textId="77777777" w:rsidR="002E474C" w:rsidRDefault="002E474C">
            <w:pPr>
              <w:pStyle w:val="A-"/>
            </w:pPr>
          </w:p>
        </w:tc>
        <w:tc>
          <w:tcPr>
            <w:tcW w:w="457" w:type="pct"/>
            <w:vAlign w:val="center"/>
          </w:tcPr>
          <w:p w14:paraId="5621BA93" w14:textId="77777777" w:rsidR="002E474C" w:rsidRDefault="00000000">
            <w:pPr>
              <w:pStyle w:val="A-"/>
            </w:pPr>
            <w:r>
              <w:t>251-010-08</w:t>
            </w:r>
          </w:p>
        </w:tc>
        <w:tc>
          <w:tcPr>
            <w:tcW w:w="2678" w:type="pct"/>
            <w:vAlign w:val="center"/>
          </w:tcPr>
          <w:p w14:paraId="66FF7124" w14:textId="77777777" w:rsidR="002E474C" w:rsidRDefault="00000000">
            <w:pPr>
              <w:pStyle w:val="A-"/>
            </w:pPr>
            <w:r>
              <w:t>石油炼制过程中澄清油浆槽底沉积物</w:t>
            </w:r>
          </w:p>
        </w:tc>
        <w:tc>
          <w:tcPr>
            <w:tcW w:w="395" w:type="pct"/>
            <w:vAlign w:val="center"/>
          </w:tcPr>
          <w:p w14:paraId="70A466D0" w14:textId="77777777" w:rsidR="002E474C" w:rsidRDefault="00000000">
            <w:pPr>
              <w:pStyle w:val="A-"/>
            </w:pPr>
            <w:r>
              <w:t>T</w:t>
            </w:r>
            <w:r>
              <w:t>，</w:t>
            </w:r>
            <w:r>
              <w:t>I</w:t>
            </w:r>
          </w:p>
        </w:tc>
      </w:tr>
      <w:tr w:rsidR="002E474C" w14:paraId="3381E738" w14:textId="77777777">
        <w:trPr>
          <w:trHeight w:val="240"/>
        </w:trPr>
        <w:tc>
          <w:tcPr>
            <w:tcW w:w="574" w:type="pct"/>
            <w:vMerge/>
            <w:vAlign w:val="center"/>
          </w:tcPr>
          <w:p w14:paraId="72F42635" w14:textId="77777777" w:rsidR="002E474C" w:rsidRDefault="002E474C">
            <w:pPr>
              <w:pStyle w:val="A-"/>
            </w:pPr>
          </w:p>
        </w:tc>
        <w:tc>
          <w:tcPr>
            <w:tcW w:w="524" w:type="pct"/>
            <w:vMerge/>
            <w:vAlign w:val="center"/>
          </w:tcPr>
          <w:p w14:paraId="1B6AA7EE" w14:textId="77777777" w:rsidR="002E474C" w:rsidRDefault="002E474C">
            <w:pPr>
              <w:pStyle w:val="A-"/>
            </w:pPr>
          </w:p>
        </w:tc>
        <w:tc>
          <w:tcPr>
            <w:tcW w:w="372" w:type="pct"/>
            <w:vMerge/>
            <w:vAlign w:val="center"/>
          </w:tcPr>
          <w:p w14:paraId="65B925DB" w14:textId="77777777" w:rsidR="002E474C" w:rsidRDefault="002E474C">
            <w:pPr>
              <w:pStyle w:val="A-"/>
            </w:pPr>
          </w:p>
        </w:tc>
        <w:tc>
          <w:tcPr>
            <w:tcW w:w="457" w:type="pct"/>
            <w:vAlign w:val="center"/>
          </w:tcPr>
          <w:p w14:paraId="0AEE3EF1" w14:textId="77777777" w:rsidR="002E474C" w:rsidRDefault="00000000">
            <w:pPr>
              <w:pStyle w:val="A-"/>
            </w:pPr>
            <w:r>
              <w:t>251-011-08</w:t>
            </w:r>
          </w:p>
        </w:tc>
        <w:tc>
          <w:tcPr>
            <w:tcW w:w="2678" w:type="pct"/>
            <w:vAlign w:val="center"/>
          </w:tcPr>
          <w:p w14:paraId="70F16B1B" w14:textId="77777777" w:rsidR="002E474C" w:rsidRDefault="00000000">
            <w:pPr>
              <w:pStyle w:val="A-"/>
            </w:pPr>
            <w:r>
              <w:t>石油炼制过程中进油管路过滤或分离装置产生的残渣</w:t>
            </w:r>
          </w:p>
        </w:tc>
        <w:tc>
          <w:tcPr>
            <w:tcW w:w="395" w:type="pct"/>
            <w:vAlign w:val="center"/>
          </w:tcPr>
          <w:p w14:paraId="78A6D68D" w14:textId="77777777" w:rsidR="002E474C" w:rsidRDefault="00000000">
            <w:pPr>
              <w:pStyle w:val="A-"/>
            </w:pPr>
            <w:r>
              <w:t>T</w:t>
            </w:r>
            <w:r>
              <w:t>，</w:t>
            </w:r>
            <w:r>
              <w:t>I</w:t>
            </w:r>
          </w:p>
        </w:tc>
      </w:tr>
      <w:tr w:rsidR="002E474C" w14:paraId="4C800460" w14:textId="77777777">
        <w:trPr>
          <w:trHeight w:val="240"/>
        </w:trPr>
        <w:tc>
          <w:tcPr>
            <w:tcW w:w="574" w:type="pct"/>
            <w:vMerge/>
            <w:vAlign w:val="center"/>
          </w:tcPr>
          <w:p w14:paraId="19901CE6" w14:textId="77777777" w:rsidR="002E474C" w:rsidRDefault="002E474C">
            <w:pPr>
              <w:pStyle w:val="A-"/>
            </w:pPr>
          </w:p>
        </w:tc>
        <w:tc>
          <w:tcPr>
            <w:tcW w:w="524" w:type="pct"/>
            <w:vMerge/>
            <w:vAlign w:val="center"/>
          </w:tcPr>
          <w:p w14:paraId="48B156F5" w14:textId="77777777" w:rsidR="002E474C" w:rsidRDefault="002E474C">
            <w:pPr>
              <w:pStyle w:val="A-"/>
            </w:pPr>
          </w:p>
        </w:tc>
        <w:tc>
          <w:tcPr>
            <w:tcW w:w="372" w:type="pct"/>
            <w:vMerge/>
            <w:vAlign w:val="center"/>
          </w:tcPr>
          <w:p w14:paraId="5661BFB5" w14:textId="77777777" w:rsidR="002E474C" w:rsidRDefault="002E474C">
            <w:pPr>
              <w:pStyle w:val="A-"/>
            </w:pPr>
          </w:p>
        </w:tc>
        <w:tc>
          <w:tcPr>
            <w:tcW w:w="457" w:type="pct"/>
            <w:vAlign w:val="center"/>
          </w:tcPr>
          <w:p w14:paraId="7F046043" w14:textId="77777777" w:rsidR="002E474C" w:rsidRDefault="00000000">
            <w:pPr>
              <w:pStyle w:val="A-"/>
            </w:pPr>
            <w:r>
              <w:t>251-012-08</w:t>
            </w:r>
          </w:p>
        </w:tc>
        <w:tc>
          <w:tcPr>
            <w:tcW w:w="2678" w:type="pct"/>
            <w:vAlign w:val="center"/>
          </w:tcPr>
          <w:p w14:paraId="65EDDE8D" w14:textId="77777777" w:rsidR="002E474C" w:rsidRDefault="00000000">
            <w:pPr>
              <w:pStyle w:val="A-"/>
            </w:pPr>
            <w:r>
              <w:t>石油炼制过程中产生的废过滤介质</w:t>
            </w:r>
          </w:p>
        </w:tc>
        <w:tc>
          <w:tcPr>
            <w:tcW w:w="395" w:type="pct"/>
            <w:vAlign w:val="center"/>
          </w:tcPr>
          <w:p w14:paraId="717FBCEF" w14:textId="77777777" w:rsidR="002E474C" w:rsidRDefault="00000000">
            <w:pPr>
              <w:pStyle w:val="A-"/>
            </w:pPr>
            <w:r>
              <w:t>T</w:t>
            </w:r>
          </w:p>
        </w:tc>
      </w:tr>
      <w:tr w:rsidR="002E474C" w14:paraId="4AEEDC75" w14:textId="77777777">
        <w:trPr>
          <w:trHeight w:val="240"/>
        </w:trPr>
        <w:tc>
          <w:tcPr>
            <w:tcW w:w="574" w:type="pct"/>
            <w:vMerge/>
            <w:vAlign w:val="center"/>
          </w:tcPr>
          <w:p w14:paraId="6634B1E9" w14:textId="77777777" w:rsidR="002E474C" w:rsidRDefault="002E474C">
            <w:pPr>
              <w:pStyle w:val="A-"/>
            </w:pPr>
          </w:p>
        </w:tc>
        <w:tc>
          <w:tcPr>
            <w:tcW w:w="524" w:type="pct"/>
            <w:vMerge w:val="restart"/>
            <w:vAlign w:val="center"/>
          </w:tcPr>
          <w:p w14:paraId="0E9A2C16" w14:textId="77777777" w:rsidR="002E474C" w:rsidRDefault="00000000">
            <w:pPr>
              <w:pStyle w:val="A-"/>
            </w:pPr>
            <w:r>
              <w:t>非特定行业</w:t>
            </w:r>
          </w:p>
        </w:tc>
        <w:tc>
          <w:tcPr>
            <w:tcW w:w="372" w:type="pct"/>
            <w:vMerge w:val="restart"/>
            <w:vAlign w:val="center"/>
          </w:tcPr>
          <w:p w14:paraId="4B9A05CF" w14:textId="77777777" w:rsidR="002E474C" w:rsidRDefault="00000000">
            <w:pPr>
              <w:pStyle w:val="A-"/>
            </w:pPr>
            <w:r>
              <w:t>半固态、液态</w:t>
            </w:r>
          </w:p>
        </w:tc>
        <w:tc>
          <w:tcPr>
            <w:tcW w:w="457" w:type="pct"/>
            <w:vAlign w:val="center"/>
          </w:tcPr>
          <w:p w14:paraId="6EDDAA6B" w14:textId="77777777" w:rsidR="002E474C" w:rsidRDefault="00000000">
            <w:pPr>
              <w:pStyle w:val="A-"/>
            </w:pPr>
            <w:r>
              <w:t>900-199-08</w:t>
            </w:r>
          </w:p>
        </w:tc>
        <w:tc>
          <w:tcPr>
            <w:tcW w:w="2678" w:type="pct"/>
            <w:vAlign w:val="center"/>
          </w:tcPr>
          <w:p w14:paraId="48DFAB01" w14:textId="77777777" w:rsidR="002E474C" w:rsidRDefault="00000000">
            <w:pPr>
              <w:pStyle w:val="A-"/>
            </w:pPr>
            <w:r>
              <w:t>内燃机、汽车、轮船等集中拆解过程产生的废矿物油及油泥</w:t>
            </w:r>
          </w:p>
        </w:tc>
        <w:tc>
          <w:tcPr>
            <w:tcW w:w="395" w:type="pct"/>
            <w:vAlign w:val="center"/>
          </w:tcPr>
          <w:p w14:paraId="47B02100" w14:textId="77777777" w:rsidR="002E474C" w:rsidRDefault="00000000">
            <w:pPr>
              <w:pStyle w:val="A-"/>
            </w:pPr>
            <w:r>
              <w:t>T</w:t>
            </w:r>
            <w:r>
              <w:t>，</w:t>
            </w:r>
            <w:r>
              <w:t>I</w:t>
            </w:r>
          </w:p>
        </w:tc>
      </w:tr>
      <w:tr w:rsidR="002E474C" w14:paraId="0F5E47A7" w14:textId="77777777">
        <w:trPr>
          <w:trHeight w:val="240"/>
        </w:trPr>
        <w:tc>
          <w:tcPr>
            <w:tcW w:w="574" w:type="pct"/>
            <w:vMerge/>
            <w:vAlign w:val="center"/>
          </w:tcPr>
          <w:p w14:paraId="488C5E14" w14:textId="77777777" w:rsidR="002E474C" w:rsidRDefault="002E474C">
            <w:pPr>
              <w:pStyle w:val="A-"/>
            </w:pPr>
          </w:p>
        </w:tc>
        <w:tc>
          <w:tcPr>
            <w:tcW w:w="524" w:type="pct"/>
            <w:vMerge/>
            <w:vAlign w:val="center"/>
          </w:tcPr>
          <w:p w14:paraId="4C01FC7B" w14:textId="77777777" w:rsidR="002E474C" w:rsidRDefault="002E474C">
            <w:pPr>
              <w:pStyle w:val="A-"/>
            </w:pPr>
          </w:p>
        </w:tc>
        <w:tc>
          <w:tcPr>
            <w:tcW w:w="372" w:type="pct"/>
            <w:vMerge/>
            <w:vAlign w:val="center"/>
          </w:tcPr>
          <w:p w14:paraId="033FE503" w14:textId="77777777" w:rsidR="002E474C" w:rsidRDefault="002E474C">
            <w:pPr>
              <w:pStyle w:val="A-"/>
            </w:pPr>
          </w:p>
        </w:tc>
        <w:tc>
          <w:tcPr>
            <w:tcW w:w="457" w:type="pct"/>
            <w:vAlign w:val="center"/>
          </w:tcPr>
          <w:p w14:paraId="45414DE6" w14:textId="77777777" w:rsidR="002E474C" w:rsidRDefault="00000000">
            <w:pPr>
              <w:pStyle w:val="A-"/>
            </w:pPr>
            <w:r>
              <w:t>900-200-08</w:t>
            </w:r>
          </w:p>
        </w:tc>
        <w:tc>
          <w:tcPr>
            <w:tcW w:w="2678" w:type="pct"/>
            <w:vAlign w:val="center"/>
          </w:tcPr>
          <w:p w14:paraId="75565808" w14:textId="77777777" w:rsidR="002E474C" w:rsidRDefault="00000000">
            <w:pPr>
              <w:pStyle w:val="A-"/>
            </w:pPr>
            <w:r>
              <w:t>珩磨、研磨、打磨过程产生的废矿物油及油泥</w:t>
            </w:r>
          </w:p>
        </w:tc>
        <w:tc>
          <w:tcPr>
            <w:tcW w:w="395" w:type="pct"/>
            <w:vAlign w:val="center"/>
          </w:tcPr>
          <w:p w14:paraId="0C7C15D5" w14:textId="77777777" w:rsidR="002E474C" w:rsidRDefault="00000000">
            <w:pPr>
              <w:pStyle w:val="A-"/>
            </w:pPr>
            <w:r>
              <w:t>T</w:t>
            </w:r>
            <w:r>
              <w:t>，</w:t>
            </w:r>
            <w:r>
              <w:t>I</w:t>
            </w:r>
          </w:p>
        </w:tc>
      </w:tr>
      <w:tr w:rsidR="002E474C" w14:paraId="32F60B96" w14:textId="77777777">
        <w:trPr>
          <w:trHeight w:val="240"/>
        </w:trPr>
        <w:tc>
          <w:tcPr>
            <w:tcW w:w="574" w:type="pct"/>
            <w:vMerge/>
            <w:vAlign w:val="center"/>
          </w:tcPr>
          <w:p w14:paraId="2EEF78C8" w14:textId="77777777" w:rsidR="002E474C" w:rsidRDefault="002E474C">
            <w:pPr>
              <w:pStyle w:val="A-"/>
            </w:pPr>
          </w:p>
        </w:tc>
        <w:tc>
          <w:tcPr>
            <w:tcW w:w="524" w:type="pct"/>
            <w:vMerge/>
            <w:vAlign w:val="center"/>
          </w:tcPr>
          <w:p w14:paraId="33F96374" w14:textId="77777777" w:rsidR="002E474C" w:rsidRDefault="002E474C">
            <w:pPr>
              <w:pStyle w:val="A-"/>
            </w:pPr>
          </w:p>
        </w:tc>
        <w:tc>
          <w:tcPr>
            <w:tcW w:w="372" w:type="pct"/>
            <w:vMerge/>
            <w:vAlign w:val="center"/>
          </w:tcPr>
          <w:p w14:paraId="016927F8" w14:textId="77777777" w:rsidR="002E474C" w:rsidRDefault="002E474C">
            <w:pPr>
              <w:pStyle w:val="A-"/>
            </w:pPr>
          </w:p>
        </w:tc>
        <w:tc>
          <w:tcPr>
            <w:tcW w:w="457" w:type="pct"/>
            <w:vAlign w:val="center"/>
          </w:tcPr>
          <w:p w14:paraId="3A2F0BDE" w14:textId="77777777" w:rsidR="002E474C" w:rsidRDefault="00000000">
            <w:pPr>
              <w:pStyle w:val="A-"/>
            </w:pPr>
            <w:r>
              <w:t>900-201-08</w:t>
            </w:r>
          </w:p>
        </w:tc>
        <w:tc>
          <w:tcPr>
            <w:tcW w:w="2678" w:type="pct"/>
            <w:vAlign w:val="center"/>
          </w:tcPr>
          <w:p w14:paraId="39E71506" w14:textId="77777777" w:rsidR="002E474C" w:rsidRDefault="00000000">
            <w:pPr>
              <w:pStyle w:val="A-"/>
            </w:pPr>
            <w:r>
              <w:t>清洗金属零部件过程中产生的废弃煤油、柴油、汽油及其他由石油和煤炼制生产的溶剂油</w:t>
            </w:r>
          </w:p>
        </w:tc>
        <w:tc>
          <w:tcPr>
            <w:tcW w:w="395" w:type="pct"/>
            <w:vAlign w:val="center"/>
          </w:tcPr>
          <w:p w14:paraId="711E5028" w14:textId="77777777" w:rsidR="002E474C" w:rsidRDefault="00000000">
            <w:pPr>
              <w:pStyle w:val="A-"/>
            </w:pPr>
            <w:r>
              <w:t>T</w:t>
            </w:r>
            <w:r>
              <w:t>，</w:t>
            </w:r>
            <w:r>
              <w:t>I</w:t>
            </w:r>
          </w:p>
        </w:tc>
      </w:tr>
      <w:tr w:rsidR="002E474C" w14:paraId="1B30A816" w14:textId="77777777">
        <w:trPr>
          <w:trHeight w:val="240"/>
        </w:trPr>
        <w:tc>
          <w:tcPr>
            <w:tcW w:w="574" w:type="pct"/>
            <w:vMerge/>
            <w:vAlign w:val="center"/>
          </w:tcPr>
          <w:p w14:paraId="2427597A" w14:textId="77777777" w:rsidR="002E474C" w:rsidRDefault="002E474C">
            <w:pPr>
              <w:pStyle w:val="A-"/>
            </w:pPr>
          </w:p>
        </w:tc>
        <w:tc>
          <w:tcPr>
            <w:tcW w:w="524" w:type="pct"/>
            <w:vMerge/>
            <w:vAlign w:val="center"/>
          </w:tcPr>
          <w:p w14:paraId="14A06AF3" w14:textId="77777777" w:rsidR="002E474C" w:rsidRDefault="002E474C">
            <w:pPr>
              <w:pStyle w:val="A-"/>
            </w:pPr>
          </w:p>
        </w:tc>
        <w:tc>
          <w:tcPr>
            <w:tcW w:w="372" w:type="pct"/>
            <w:vMerge/>
            <w:vAlign w:val="center"/>
          </w:tcPr>
          <w:p w14:paraId="6933A6A5" w14:textId="77777777" w:rsidR="002E474C" w:rsidRDefault="002E474C">
            <w:pPr>
              <w:pStyle w:val="A-"/>
            </w:pPr>
          </w:p>
        </w:tc>
        <w:tc>
          <w:tcPr>
            <w:tcW w:w="457" w:type="pct"/>
            <w:vAlign w:val="center"/>
          </w:tcPr>
          <w:p w14:paraId="7D8CF4E2" w14:textId="77777777" w:rsidR="002E474C" w:rsidRDefault="00000000">
            <w:pPr>
              <w:pStyle w:val="A-"/>
            </w:pPr>
            <w:r>
              <w:t>900-203-08</w:t>
            </w:r>
          </w:p>
        </w:tc>
        <w:tc>
          <w:tcPr>
            <w:tcW w:w="2678" w:type="pct"/>
            <w:vAlign w:val="center"/>
          </w:tcPr>
          <w:p w14:paraId="239B865A" w14:textId="77777777" w:rsidR="002E474C" w:rsidRDefault="00000000">
            <w:pPr>
              <w:pStyle w:val="A-"/>
            </w:pPr>
            <w:r>
              <w:t>使用淬火油进行表面硬化处理产生的废矿物油</w:t>
            </w:r>
          </w:p>
        </w:tc>
        <w:tc>
          <w:tcPr>
            <w:tcW w:w="395" w:type="pct"/>
            <w:vAlign w:val="center"/>
          </w:tcPr>
          <w:p w14:paraId="207DF51A" w14:textId="77777777" w:rsidR="002E474C" w:rsidRDefault="00000000">
            <w:pPr>
              <w:pStyle w:val="A-"/>
            </w:pPr>
            <w:r>
              <w:t>T</w:t>
            </w:r>
          </w:p>
        </w:tc>
      </w:tr>
      <w:tr w:rsidR="002E474C" w14:paraId="444B9C6F" w14:textId="77777777">
        <w:trPr>
          <w:trHeight w:val="240"/>
        </w:trPr>
        <w:tc>
          <w:tcPr>
            <w:tcW w:w="574" w:type="pct"/>
            <w:vMerge/>
            <w:vAlign w:val="center"/>
          </w:tcPr>
          <w:p w14:paraId="34AD0BF7" w14:textId="77777777" w:rsidR="002E474C" w:rsidRDefault="002E474C">
            <w:pPr>
              <w:pStyle w:val="A-"/>
            </w:pPr>
          </w:p>
        </w:tc>
        <w:tc>
          <w:tcPr>
            <w:tcW w:w="524" w:type="pct"/>
            <w:vMerge/>
            <w:vAlign w:val="center"/>
          </w:tcPr>
          <w:p w14:paraId="6DB0D081" w14:textId="77777777" w:rsidR="002E474C" w:rsidRDefault="002E474C">
            <w:pPr>
              <w:pStyle w:val="A-"/>
            </w:pPr>
          </w:p>
        </w:tc>
        <w:tc>
          <w:tcPr>
            <w:tcW w:w="372" w:type="pct"/>
            <w:vMerge/>
            <w:vAlign w:val="center"/>
          </w:tcPr>
          <w:p w14:paraId="333BD389" w14:textId="77777777" w:rsidR="002E474C" w:rsidRDefault="002E474C">
            <w:pPr>
              <w:pStyle w:val="A-"/>
            </w:pPr>
          </w:p>
        </w:tc>
        <w:tc>
          <w:tcPr>
            <w:tcW w:w="457" w:type="pct"/>
            <w:vAlign w:val="center"/>
          </w:tcPr>
          <w:p w14:paraId="192EED30" w14:textId="77777777" w:rsidR="002E474C" w:rsidRDefault="00000000">
            <w:pPr>
              <w:pStyle w:val="A-"/>
            </w:pPr>
            <w:r>
              <w:t>900-204-08</w:t>
            </w:r>
          </w:p>
        </w:tc>
        <w:tc>
          <w:tcPr>
            <w:tcW w:w="2678" w:type="pct"/>
            <w:vAlign w:val="center"/>
          </w:tcPr>
          <w:p w14:paraId="384E09AE" w14:textId="77777777" w:rsidR="002E474C" w:rsidRDefault="00000000">
            <w:pPr>
              <w:pStyle w:val="A-"/>
            </w:pPr>
            <w:r>
              <w:t>使用轧制油、冷却剂及酸进行金属轧制产生的废矿物油</w:t>
            </w:r>
          </w:p>
        </w:tc>
        <w:tc>
          <w:tcPr>
            <w:tcW w:w="395" w:type="pct"/>
            <w:vAlign w:val="center"/>
          </w:tcPr>
          <w:p w14:paraId="24D61761" w14:textId="77777777" w:rsidR="002E474C" w:rsidRDefault="00000000">
            <w:pPr>
              <w:pStyle w:val="A-"/>
            </w:pPr>
            <w:r>
              <w:t>T</w:t>
            </w:r>
          </w:p>
        </w:tc>
      </w:tr>
      <w:tr w:rsidR="002E474C" w14:paraId="6B50A692" w14:textId="77777777">
        <w:trPr>
          <w:trHeight w:val="240"/>
        </w:trPr>
        <w:tc>
          <w:tcPr>
            <w:tcW w:w="574" w:type="pct"/>
            <w:vMerge/>
            <w:vAlign w:val="center"/>
          </w:tcPr>
          <w:p w14:paraId="23BD3102" w14:textId="77777777" w:rsidR="002E474C" w:rsidRDefault="002E474C">
            <w:pPr>
              <w:pStyle w:val="A-"/>
            </w:pPr>
          </w:p>
        </w:tc>
        <w:tc>
          <w:tcPr>
            <w:tcW w:w="524" w:type="pct"/>
            <w:vMerge/>
            <w:vAlign w:val="center"/>
          </w:tcPr>
          <w:p w14:paraId="2C0DD5AC" w14:textId="77777777" w:rsidR="002E474C" w:rsidRDefault="002E474C">
            <w:pPr>
              <w:pStyle w:val="A-"/>
            </w:pPr>
          </w:p>
        </w:tc>
        <w:tc>
          <w:tcPr>
            <w:tcW w:w="372" w:type="pct"/>
            <w:vMerge/>
            <w:vAlign w:val="center"/>
          </w:tcPr>
          <w:p w14:paraId="29CAE6F3" w14:textId="77777777" w:rsidR="002E474C" w:rsidRDefault="002E474C">
            <w:pPr>
              <w:pStyle w:val="A-"/>
            </w:pPr>
          </w:p>
        </w:tc>
        <w:tc>
          <w:tcPr>
            <w:tcW w:w="457" w:type="pct"/>
            <w:vAlign w:val="center"/>
          </w:tcPr>
          <w:p w14:paraId="680ACC58" w14:textId="77777777" w:rsidR="002E474C" w:rsidRDefault="00000000">
            <w:pPr>
              <w:pStyle w:val="A-"/>
            </w:pPr>
            <w:r>
              <w:t>900-205-08</w:t>
            </w:r>
          </w:p>
        </w:tc>
        <w:tc>
          <w:tcPr>
            <w:tcW w:w="2678" w:type="pct"/>
            <w:vAlign w:val="center"/>
          </w:tcPr>
          <w:p w14:paraId="014E4488" w14:textId="77777777" w:rsidR="002E474C" w:rsidRDefault="00000000">
            <w:pPr>
              <w:pStyle w:val="A-"/>
            </w:pPr>
            <w:r>
              <w:t>镀锡及焊锡回收工艺产生的废矿物油</w:t>
            </w:r>
          </w:p>
        </w:tc>
        <w:tc>
          <w:tcPr>
            <w:tcW w:w="395" w:type="pct"/>
            <w:vAlign w:val="center"/>
          </w:tcPr>
          <w:p w14:paraId="32A7D2D9" w14:textId="77777777" w:rsidR="002E474C" w:rsidRDefault="00000000">
            <w:pPr>
              <w:pStyle w:val="A-"/>
            </w:pPr>
            <w:r>
              <w:t>T</w:t>
            </w:r>
          </w:p>
        </w:tc>
      </w:tr>
      <w:tr w:rsidR="002E474C" w14:paraId="290E4693" w14:textId="77777777">
        <w:trPr>
          <w:trHeight w:val="240"/>
        </w:trPr>
        <w:tc>
          <w:tcPr>
            <w:tcW w:w="574" w:type="pct"/>
            <w:vMerge/>
            <w:vAlign w:val="center"/>
          </w:tcPr>
          <w:p w14:paraId="10132F48" w14:textId="77777777" w:rsidR="002E474C" w:rsidRDefault="002E474C">
            <w:pPr>
              <w:pStyle w:val="A-"/>
            </w:pPr>
          </w:p>
        </w:tc>
        <w:tc>
          <w:tcPr>
            <w:tcW w:w="524" w:type="pct"/>
            <w:vMerge/>
            <w:vAlign w:val="center"/>
          </w:tcPr>
          <w:p w14:paraId="4B099F2B" w14:textId="77777777" w:rsidR="002E474C" w:rsidRDefault="002E474C">
            <w:pPr>
              <w:pStyle w:val="A-"/>
            </w:pPr>
          </w:p>
        </w:tc>
        <w:tc>
          <w:tcPr>
            <w:tcW w:w="372" w:type="pct"/>
            <w:vMerge/>
            <w:vAlign w:val="center"/>
          </w:tcPr>
          <w:p w14:paraId="4B2C0F6F" w14:textId="77777777" w:rsidR="002E474C" w:rsidRDefault="002E474C">
            <w:pPr>
              <w:pStyle w:val="A-"/>
            </w:pPr>
          </w:p>
        </w:tc>
        <w:tc>
          <w:tcPr>
            <w:tcW w:w="457" w:type="pct"/>
            <w:vAlign w:val="center"/>
          </w:tcPr>
          <w:p w14:paraId="7458F4DB" w14:textId="77777777" w:rsidR="002E474C" w:rsidRDefault="00000000">
            <w:pPr>
              <w:pStyle w:val="A-"/>
            </w:pPr>
            <w:r>
              <w:t>900-209-08</w:t>
            </w:r>
          </w:p>
        </w:tc>
        <w:tc>
          <w:tcPr>
            <w:tcW w:w="2678" w:type="pct"/>
            <w:vAlign w:val="center"/>
          </w:tcPr>
          <w:p w14:paraId="13B6661B" w14:textId="77777777" w:rsidR="002E474C" w:rsidRDefault="00000000">
            <w:pPr>
              <w:pStyle w:val="A-"/>
            </w:pPr>
            <w:r>
              <w:t>金属、塑料的定型和物理机械表面处理过程中产生的废石蜡和润滑油</w:t>
            </w:r>
          </w:p>
        </w:tc>
        <w:tc>
          <w:tcPr>
            <w:tcW w:w="395" w:type="pct"/>
            <w:vAlign w:val="center"/>
          </w:tcPr>
          <w:p w14:paraId="5777C6B1" w14:textId="77777777" w:rsidR="002E474C" w:rsidRDefault="00000000">
            <w:pPr>
              <w:pStyle w:val="A-"/>
            </w:pPr>
            <w:r>
              <w:t>T</w:t>
            </w:r>
            <w:r>
              <w:t>，</w:t>
            </w:r>
            <w:r>
              <w:t>I</w:t>
            </w:r>
          </w:p>
        </w:tc>
      </w:tr>
      <w:tr w:rsidR="002E474C" w14:paraId="5B0D58FF" w14:textId="77777777">
        <w:trPr>
          <w:trHeight w:val="240"/>
        </w:trPr>
        <w:tc>
          <w:tcPr>
            <w:tcW w:w="574" w:type="pct"/>
            <w:vMerge/>
            <w:vAlign w:val="center"/>
          </w:tcPr>
          <w:p w14:paraId="23B639D0" w14:textId="77777777" w:rsidR="002E474C" w:rsidRDefault="002E474C">
            <w:pPr>
              <w:pStyle w:val="A-"/>
            </w:pPr>
          </w:p>
        </w:tc>
        <w:tc>
          <w:tcPr>
            <w:tcW w:w="524" w:type="pct"/>
            <w:vMerge/>
            <w:vAlign w:val="center"/>
          </w:tcPr>
          <w:p w14:paraId="20D4B42F" w14:textId="77777777" w:rsidR="002E474C" w:rsidRDefault="002E474C">
            <w:pPr>
              <w:pStyle w:val="A-"/>
            </w:pPr>
          </w:p>
        </w:tc>
        <w:tc>
          <w:tcPr>
            <w:tcW w:w="372" w:type="pct"/>
            <w:vMerge/>
            <w:vAlign w:val="center"/>
          </w:tcPr>
          <w:p w14:paraId="1B113DD4" w14:textId="77777777" w:rsidR="002E474C" w:rsidRDefault="002E474C">
            <w:pPr>
              <w:pStyle w:val="A-"/>
            </w:pPr>
          </w:p>
        </w:tc>
        <w:tc>
          <w:tcPr>
            <w:tcW w:w="457" w:type="pct"/>
            <w:vAlign w:val="center"/>
          </w:tcPr>
          <w:p w14:paraId="7F7D9DD1" w14:textId="77777777" w:rsidR="002E474C" w:rsidRDefault="00000000">
            <w:pPr>
              <w:pStyle w:val="A-"/>
            </w:pPr>
            <w:r>
              <w:t>900-210-08</w:t>
            </w:r>
          </w:p>
        </w:tc>
        <w:tc>
          <w:tcPr>
            <w:tcW w:w="2678" w:type="pct"/>
            <w:vAlign w:val="center"/>
          </w:tcPr>
          <w:p w14:paraId="111C56C9" w14:textId="77777777" w:rsidR="002E474C" w:rsidRDefault="00000000">
            <w:pPr>
              <w:pStyle w:val="A-"/>
            </w:pPr>
            <w:r>
              <w:t>油</w:t>
            </w:r>
            <w:r>
              <w:t>/</w:t>
            </w:r>
            <w:r>
              <w:t>水分离设施产生的废油、油泥及废水处理产生的浮渣和污泥（不包括废水生化处理污泥）</w:t>
            </w:r>
          </w:p>
        </w:tc>
        <w:tc>
          <w:tcPr>
            <w:tcW w:w="395" w:type="pct"/>
            <w:vAlign w:val="center"/>
          </w:tcPr>
          <w:p w14:paraId="073A1A3D" w14:textId="77777777" w:rsidR="002E474C" w:rsidRDefault="00000000">
            <w:pPr>
              <w:pStyle w:val="A-"/>
            </w:pPr>
            <w:r>
              <w:t>T</w:t>
            </w:r>
            <w:r>
              <w:t>，</w:t>
            </w:r>
            <w:r>
              <w:t>I</w:t>
            </w:r>
          </w:p>
        </w:tc>
      </w:tr>
      <w:tr w:rsidR="002E474C" w14:paraId="73D0DDE2" w14:textId="77777777">
        <w:trPr>
          <w:trHeight w:val="240"/>
        </w:trPr>
        <w:tc>
          <w:tcPr>
            <w:tcW w:w="574" w:type="pct"/>
            <w:vMerge/>
            <w:vAlign w:val="center"/>
          </w:tcPr>
          <w:p w14:paraId="2A1C0960" w14:textId="77777777" w:rsidR="002E474C" w:rsidRDefault="002E474C">
            <w:pPr>
              <w:pStyle w:val="A-"/>
            </w:pPr>
          </w:p>
        </w:tc>
        <w:tc>
          <w:tcPr>
            <w:tcW w:w="524" w:type="pct"/>
            <w:vMerge/>
            <w:vAlign w:val="center"/>
          </w:tcPr>
          <w:p w14:paraId="10A08072" w14:textId="77777777" w:rsidR="002E474C" w:rsidRDefault="002E474C">
            <w:pPr>
              <w:pStyle w:val="A-"/>
            </w:pPr>
          </w:p>
        </w:tc>
        <w:tc>
          <w:tcPr>
            <w:tcW w:w="372" w:type="pct"/>
            <w:vMerge/>
            <w:vAlign w:val="center"/>
          </w:tcPr>
          <w:p w14:paraId="786C3D59" w14:textId="77777777" w:rsidR="002E474C" w:rsidRDefault="002E474C">
            <w:pPr>
              <w:pStyle w:val="A-"/>
            </w:pPr>
          </w:p>
        </w:tc>
        <w:tc>
          <w:tcPr>
            <w:tcW w:w="457" w:type="pct"/>
            <w:vAlign w:val="center"/>
          </w:tcPr>
          <w:p w14:paraId="6B7A786A" w14:textId="77777777" w:rsidR="002E474C" w:rsidRDefault="00000000">
            <w:pPr>
              <w:pStyle w:val="A-"/>
            </w:pPr>
            <w:r>
              <w:t>900-211-08</w:t>
            </w:r>
          </w:p>
        </w:tc>
        <w:tc>
          <w:tcPr>
            <w:tcW w:w="2678" w:type="pct"/>
            <w:vAlign w:val="center"/>
          </w:tcPr>
          <w:p w14:paraId="546A68BA" w14:textId="77777777" w:rsidR="002E474C" w:rsidRDefault="00000000">
            <w:pPr>
              <w:pStyle w:val="A-"/>
            </w:pPr>
            <w:r>
              <w:t>橡胶生产过程中产生的废溶剂油</w:t>
            </w:r>
          </w:p>
        </w:tc>
        <w:tc>
          <w:tcPr>
            <w:tcW w:w="395" w:type="pct"/>
            <w:vAlign w:val="center"/>
          </w:tcPr>
          <w:p w14:paraId="114088E8" w14:textId="77777777" w:rsidR="002E474C" w:rsidRDefault="00000000">
            <w:pPr>
              <w:pStyle w:val="A-"/>
            </w:pPr>
            <w:r>
              <w:t>T</w:t>
            </w:r>
            <w:r>
              <w:t>，</w:t>
            </w:r>
            <w:r>
              <w:t>I</w:t>
            </w:r>
          </w:p>
        </w:tc>
      </w:tr>
      <w:tr w:rsidR="002E474C" w14:paraId="2444300B" w14:textId="77777777">
        <w:trPr>
          <w:trHeight w:val="240"/>
        </w:trPr>
        <w:tc>
          <w:tcPr>
            <w:tcW w:w="574" w:type="pct"/>
            <w:vMerge/>
            <w:vAlign w:val="center"/>
          </w:tcPr>
          <w:p w14:paraId="2EDD0A62" w14:textId="77777777" w:rsidR="002E474C" w:rsidRDefault="002E474C">
            <w:pPr>
              <w:pStyle w:val="A-"/>
            </w:pPr>
          </w:p>
        </w:tc>
        <w:tc>
          <w:tcPr>
            <w:tcW w:w="524" w:type="pct"/>
            <w:vMerge/>
            <w:vAlign w:val="center"/>
          </w:tcPr>
          <w:p w14:paraId="70E41F00" w14:textId="77777777" w:rsidR="002E474C" w:rsidRDefault="002E474C">
            <w:pPr>
              <w:pStyle w:val="A-"/>
            </w:pPr>
          </w:p>
        </w:tc>
        <w:tc>
          <w:tcPr>
            <w:tcW w:w="372" w:type="pct"/>
            <w:vMerge/>
            <w:vAlign w:val="center"/>
          </w:tcPr>
          <w:p w14:paraId="7A863530" w14:textId="77777777" w:rsidR="002E474C" w:rsidRDefault="002E474C">
            <w:pPr>
              <w:pStyle w:val="A-"/>
            </w:pPr>
          </w:p>
        </w:tc>
        <w:tc>
          <w:tcPr>
            <w:tcW w:w="457" w:type="pct"/>
            <w:vAlign w:val="center"/>
          </w:tcPr>
          <w:p w14:paraId="09B36BC0" w14:textId="77777777" w:rsidR="002E474C" w:rsidRDefault="00000000">
            <w:pPr>
              <w:pStyle w:val="A-"/>
            </w:pPr>
            <w:r>
              <w:t>900-212-08</w:t>
            </w:r>
          </w:p>
        </w:tc>
        <w:tc>
          <w:tcPr>
            <w:tcW w:w="2678" w:type="pct"/>
            <w:vAlign w:val="center"/>
          </w:tcPr>
          <w:p w14:paraId="43395B39" w14:textId="77777777" w:rsidR="002E474C" w:rsidRDefault="00000000">
            <w:pPr>
              <w:pStyle w:val="A-"/>
            </w:pPr>
            <w:r>
              <w:t>锂电池隔膜生产过程中产生的废白油</w:t>
            </w:r>
          </w:p>
        </w:tc>
        <w:tc>
          <w:tcPr>
            <w:tcW w:w="395" w:type="pct"/>
            <w:vAlign w:val="center"/>
          </w:tcPr>
          <w:p w14:paraId="0A6D7593" w14:textId="77777777" w:rsidR="002E474C" w:rsidRDefault="00000000">
            <w:pPr>
              <w:pStyle w:val="A-"/>
            </w:pPr>
            <w:r>
              <w:t>T</w:t>
            </w:r>
          </w:p>
        </w:tc>
      </w:tr>
      <w:tr w:rsidR="002E474C" w14:paraId="07D6CC04" w14:textId="77777777">
        <w:trPr>
          <w:trHeight w:val="240"/>
        </w:trPr>
        <w:tc>
          <w:tcPr>
            <w:tcW w:w="574" w:type="pct"/>
            <w:vMerge/>
            <w:vAlign w:val="center"/>
          </w:tcPr>
          <w:p w14:paraId="66F3CCD7" w14:textId="77777777" w:rsidR="002E474C" w:rsidRDefault="002E474C">
            <w:pPr>
              <w:pStyle w:val="A-"/>
            </w:pPr>
          </w:p>
        </w:tc>
        <w:tc>
          <w:tcPr>
            <w:tcW w:w="524" w:type="pct"/>
            <w:vMerge/>
            <w:vAlign w:val="center"/>
          </w:tcPr>
          <w:p w14:paraId="320652CF" w14:textId="77777777" w:rsidR="002E474C" w:rsidRDefault="002E474C">
            <w:pPr>
              <w:pStyle w:val="A-"/>
            </w:pPr>
          </w:p>
        </w:tc>
        <w:tc>
          <w:tcPr>
            <w:tcW w:w="372" w:type="pct"/>
            <w:vMerge/>
            <w:vAlign w:val="center"/>
          </w:tcPr>
          <w:p w14:paraId="37A3AEF5" w14:textId="77777777" w:rsidR="002E474C" w:rsidRDefault="002E474C">
            <w:pPr>
              <w:pStyle w:val="A-"/>
            </w:pPr>
          </w:p>
        </w:tc>
        <w:tc>
          <w:tcPr>
            <w:tcW w:w="457" w:type="pct"/>
            <w:vAlign w:val="center"/>
          </w:tcPr>
          <w:p w14:paraId="1D7BCC17" w14:textId="77777777" w:rsidR="002E474C" w:rsidRDefault="00000000">
            <w:pPr>
              <w:pStyle w:val="A-"/>
            </w:pPr>
            <w:r>
              <w:t>900-213-08</w:t>
            </w:r>
          </w:p>
        </w:tc>
        <w:tc>
          <w:tcPr>
            <w:tcW w:w="2678" w:type="pct"/>
            <w:vAlign w:val="center"/>
          </w:tcPr>
          <w:p w14:paraId="31515517" w14:textId="77777777" w:rsidR="002E474C" w:rsidRDefault="00000000">
            <w:pPr>
              <w:pStyle w:val="A-"/>
            </w:pPr>
            <w:r>
              <w:t>废矿物油再生净化过程中产生的沉淀残渣、过滤残渣、废过滤吸附介质</w:t>
            </w:r>
          </w:p>
        </w:tc>
        <w:tc>
          <w:tcPr>
            <w:tcW w:w="395" w:type="pct"/>
            <w:vAlign w:val="center"/>
          </w:tcPr>
          <w:p w14:paraId="183A18D1" w14:textId="77777777" w:rsidR="002E474C" w:rsidRDefault="00000000">
            <w:pPr>
              <w:pStyle w:val="A-"/>
            </w:pPr>
            <w:r>
              <w:t>T</w:t>
            </w:r>
            <w:r>
              <w:t>，</w:t>
            </w:r>
            <w:r>
              <w:t>I</w:t>
            </w:r>
          </w:p>
        </w:tc>
      </w:tr>
      <w:tr w:rsidR="002E474C" w14:paraId="22714EDE" w14:textId="77777777">
        <w:trPr>
          <w:trHeight w:val="240"/>
        </w:trPr>
        <w:tc>
          <w:tcPr>
            <w:tcW w:w="574" w:type="pct"/>
            <w:vMerge/>
            <w:vAlign w:val="center"/>
          </w:tcPr>
          <w:p w14:paraId="565D70DF" w14:textId="77777777" w:rsidR="002E474C" w:rsidRDefault="002E474C">
            <w:pPr>
              <w:pStyle w:val="A-"/>
            </w:pPr>
          </w:p>
        </w:tc>
        <w:tc>
          <w:tcPr>
            <w:tcW w:w="524" w:type="pct"/>
            <w:vMerge/>
            <w:vAlign w:val="center"/>
          </w:tcPr>
          <w:p w14:paraId="59BFF66C" w14:textId="77777777" w:rsidR="002E474C" w:rsidRDefault="002E474C">
            <w:pPr>
              <w:pStyle w:val="A-"/>
            </w:pPr>
          </w:p>
        </w:tc>
        <w:tc>
          <w:tcPr>
            <w:tcW w:w="372" w:type="pct"/>
            <w:vMerge/>
            <w:vAlign w:val="center"/>
          </w:tcPr>
          <w:p w14:paraId="345D7E27" w14:textId="77777777" w:rsidR="002E474C" w:rsidRDefault="002E474C">
            <w:pPr>
              <w:pStyle w:val="A-"/>
            </w:pPr>
          </w:p>
        </w:tc>
        <w:tc>
          <w:tcPr>
            <w:tcW w:w="457" w:type="pct"/>
            <w:vAlign w:val="center"/>
          </w:tcPr>
          <w:p w14:paraId="01BD6DBF" w14:textId="77777777" w:rsidR="002E474C" w:rsidRDefault="00000000">
            <w:pPr>
              <w:pStyle w:val="A-"/>
            </w:pPr>
            <w:r>
              <w:t>900-214-08</w:t>
            </w:r>
          </w:p>
        </w:tc>
        <w:tc>
          <w:tcPr>
            <w:tcW w:w="2678" w:type="pct"/>
            <w:vAlign w:val="center"/>
          </w:tcPr>
          <w:p w14:paraId="5B27E81D" w14:textId="77777777" w:rsidR="002E474C" w:rsidRDefault="00000000">
            <w:pPr>
              <w:pStyle w:val="A-"/>
            </w:pPr>
            <w:r>
              <w:t>车辆、机械维修和拆解过程中产生的废发动机油、制动器油、自动变速器油、齿轮油等废润滑油</w:t>
            </w:r>
          </w:p>
        </w:tc>
        <w:tc>
          <w:tcPr>
            <w:tcW w:w="395" w:type="pct"/>
            <w:vAlign w:val="center"/>
          </w:tcPr>
          <w:p w14:paraId="2500956D" w14:textId="77777777" w:rsidR="002E474C" w:rsidRDefault="00000000">
            <w:pPr>
              <w:pStyle w:val="A-"/>
            </w:pPr>
            <w:r>
              <w:t>T</w:t>
            </w:r>
            <w:r>
              <w:t>，</w:t>
            </w:r>
            <w:r>
              <w:t>I</w:t>
            </w:r>
          </w:p>
        </w:tc>
      </w:tr>
      <w:tr w:rsidR="002E474C" w14:paraId="24C52736" w14:textId="77777777">
        <w:trPr>
          <w:trHeight w:val="240"/>
        </w:trPr>
        <w:tc>
          <w:tcPr>
            <w:tcW w:w="574" w:type="pct"/>
            <w:vMerge/>
            <w:vAlign w:val="center"/>
          </w:tcPr>
          <w:p w14:paraId="6FEB4D13" w14:textId="77777777" w:rsidR="002E474C" w:rsidRDefault="002E474C">
            <w:pPr>
              <w:pStyle w:val="A-"/>
            </w:pPr>
          </w:p>
        </w:tc>
        <w:tc>
          <w:tcPr>
            <w:tcW w:w="524" w:type="pct"/>
            <w:vMerge/>
            <w:vAlign w:val="center"/>
          </w:tcPr>
          <w:p w14:paraId="30F8B51C" w14:textId="77777777" w:rsidR="002E474C" w:rsidRDefault="002E474C">
            <w:pPr>
              <w:pStyle w:val="A-"/>
            </w:pPr>
          </w:p>
        </w:tc>
        <w:tc>
          <w:tcPr>
            <w:tcW w:w="372" w:type="pct"/>
            <w:vMerge/>
            <w:vAlign w:val="center"/>
          </w:tcPr>
          <w:p w14:paraId="5048B987" w14:textId="77777777" w:rsidR="002E474C" w:rsidRDefault="002E474C">
            <w:pPr>
              <w:pStyle w:val="A-"/>
            </w:pPr>
          </w:p>
        </w:tc>
        <w:tc>
          <w:tcPr>
            <w:tcW w:w="457" w:type="pct"/>
            <w:vAlign w:val="center"/>
          </w:tcPr>
          <w:p w14:paraId="11025F64" w14:textId="77777777" w:rsidR="002E474C" w:rsidRDefault="00000000">
            <w:pPr>
              <w:pStyle w:val="A-"/>
            </w:pPr>
            <w:r>
              <w:t>900-215-08</w:t>
            </w:r>
          </w:p>
        </w:tc>
        <w:tc>
          <w:tcPr>
            <w:tcW w:w="2678" w:type="pct"/>
            <w:vAlign w:val="center"/>
          </w:tcPr>
          <w:p w14:paraId="23122FA9" w14:textId="77777777" w:rsidR="002E474C" w:rsidRDefault="00000000">
            <w:pPr>
              <w:pStyle w:val="A-"/>
            </w:pPr>
            <w:r>
              <w:t>废矿物油裂解再生过程中产生的裂解残渣</w:t>
            </w:r>
          </w:p>
        </w:tc>
        <w:tc>
          <w:tcPr>
            <w:tcW w:w="395" w:type="pct"/>
            <w:vAlign w:val="center"/>
          </w:tcPr>
          <w:p w14:paraId="0BBB1FF1" w14:textId="77777777" w:rsidR="002E474C" w:rsidRDefault="00000000">
            <w:pPr>
              <w:pStyle w:val="A-"/>
            </w:pPr>
            <w:r>
              <w:t>T</w:t>
            </w:r>
            <w:r>
              <w:t>，</w:t>
            </w:r>
            <w:r>
              <w:t>I</w:t>
            </w:r>
          </w:p>
        </w:tc>
      </w:tr>
      <w:tr w:rsidR="002E474C" w14:paraId="6175E75E" w14:textId="77777777">
        <w:trPr>
          <w:trHeight w:val="240"/>
        </w:trPr>
        <w:tc>
          <w:tcPr>
            <w:tcW w:w="574" w:type="pct"/>
            <w:vMerge/>
            <w:vAlign w:val="center"/>
          </w:tcPr>
          <w:p w14:paraId="3A7E011C" w14:textId="77777777" w:rsidR="002E474C" w:rsidRDefault="002E474C">
            <w:pPr>
              <w:pStyle w:val="A-"/>
            </w:pPr>
          </w:p>
        </w:tc>
        <w:tc>
          <w:tcPr>
            <w:tcW w:w="524" w:type="pct"/>
            <w:vMerge/>
            <w:vAlign w:val="center"/>
          </w:tcPr>
          <w:p w14:paraId="0EFD5562" w14:textId="77777777" w:rsidR="002E474C" w:rsidRDefault="002E474C">
            <w:pPr>
              <w:pStyle w:val="A-"/>
            </w:pPr>
          </w:p>
        </w:tc>
        <w:tc>
          <w:tcPr>
            <w:tcW w:w="372" w:type="pct"/>
            <w:vMerge/>
            <w:vAlign w:val="center"/>
          </w:tcPr>
          <w:p w14:paraId="27C14BA6" w14:textId="77777777" w:rsidR="002E474C" w:rsidRDefault="002E474C">
            <w:pPr>
              <w:pStyle w:val="A-"/>
            </w:pPr>
          </w:p>
        </w:tc>
        <w:tc>
          <w:tcPr>
            <w:tcW w:w="457" w:type="pct"/>
            <w:vAlign w:val="center"/>
          </w:tcPr>
          <w:p w14:paraId="3D7FD7E0" w14:textId="77777777" w:rsidR="002E474C" w:rsidRDefault="00000000">
            <w:pPr>
              <w:pStyle w:val="A-"/>
            </w:pPr>
            <w:r>
              <w:t>900-216-08</w:t>
            </w:r>
          </w:p>
        </w:tc>
        <w:tc>
          <w:tcPr>
            <w:tcW w:w="2678" w:type="pct"/>
            <w:vAlign w:val="center"/>
          </w:tcPr>
          <w:p w14:paraId="6C898B88" w14:textId="77777777" w:rsidR="002E474C" w:rsidRDefault="00000000">
            <w:pPr>
              <w:pStyle w:val="A-"/>
            </w:pPr>
            <w:r>
              <w:t>使用防锈油进行铸件表面防锈处理过程中产生的废防锈油</w:t>
            </w:r>
          </w:p>
        </w:tc>
        <w:tc>
          <w:tcPr>
            <w:tcW w:w="395" w:type="pct"/>
            <w:vAlign w:val="center"/>
          </w:tcPr>
          <w:p w14:paraId="73BAD478" w14:textId="77777777" w:rsidR="002E474C" w:rsidRDefault="00000000">
            <w:pPr>
              <w:pStyle w:val="A-"/>
            </w:pPr>
            <w:r>
              <w:t>T</w:t>
            </w:r>
            <w:r>
              <w:t>，</w:t>
            </w:r>
            <w:r>
              <w:t>I</w:t>
            </w:r>
          </w:p>
        </w:tc>
      </w:tr>
      <w:tr w:rsidR="002E474C" w14:paraId="2E30D69D" w14:textId="77777777">
        <w:trPr>
          <w:trHeight w:val="240"/>
        </w:trPr>
        <w:tc>
          <w:tcPr>
            <w:tcW w:w="574" w:type="pct"/>
            <w:vMerge/>
            <w:vAlign w:val="center"/>
          </w:tcPr>
          <w:p w14:paraId="0339F105" w14:textId="77777777" w:rsidR="002E474C" w:rsidRDefault="002E474C">
            <w:pPr>
              <w:pStyle w:val="A-"/>
            </w:pPr>
          </w:p>
        </w:tc>
        <w:tc>
          <w:tcPr>
            <w:tcW w:w="524" w:type="pct"/>
            <w:vMerge/>
            <w:vAlign w:val="center"/>
          </w:tcPr>
          <w:p w14:paraId="60E0078F" w14:textId="77777777" w:rsidR="002E474C" w:rsidRDefault="002E474C">
            <w:pPr>
              <w:pStyle w:val="A-"/>
            </w:pPr>
          </w:p>
        </w:tc>
        <w:tc>
          <w:tcPr>
            <w:tcW w:w="372" w:type="pct"/>
            <w:vMerge/>
            <w:vAlign w:val="center"/>
          </w:tcPr>
          <w:p w14:paraId="0D8EE261" w14:textId="77777777" w:rsidR="002E474C" w:rsidRDefault="002E474C">
            <w:pPr>
              <w:pStyle w:val="A-"/>
            </w:pPr>
          </w:p>
        </w:tc>
        <w:tc>
          <w:tcPr>
            <w:tcW w:w="457" w:type="pct"/>
            <w:vAlign w:val="center"/>
          </w:tcPr>
          <w:p w14:paraId="3D8F5D29" w14:textId="77777777" w:rsidR="002E474C" w:rsidRDefault="00000000">
            <w:pPr>
              <w:pStyle w:val="A-"/>
            </w:pPr>
            <w:r>
              <w:t>900-217-08</w:t>
            </w:r>
          </w:p>
        </w:tc>
        <w:tc>
          <w:tcPr>
            <w:tcW w:w="2678" w:type="pct"/>
            <w:vAlign w:val="center"/>
          </w:tcPr>
          <w:p w14:paraId="3FF5B108" w14:textId="77777777" w:rsidR="002E474C" w:rsidRDefault="00000000">
            <w:pPr>
              <w:pStyle w:val="A-"/>
            </w:pPr>
            <w:r>
              <w:t>使用工业齿轮油进行机械设备润滑过程中产生的废润滑油</w:t>
            </w:r>
          </w:p>
        </w:tc>
        <w:tc>
          <w:tcPr>
            <w:tcW w:w="395" w:type="pct"/>
            <w:vAlign w:val="center"/>
          </w:tcPr>
          <w:p w14:paraId="4F955027" w14:textId="77777777" w:rsidR="002E474C" w:rsidRDefault="00000000">
            <w:pPr>
              <w:pStyle w:val="A-"/>
            </w:pPr>
            <w:r>
              <w:t>T</w:t>
            </w:r>
            <w:r>
              <w:t>，</w:t>
            </w:r>
            <w:r>
              <w:t>I</w:t>
            </w:r>
          </w:p>
        </w:tc>
      </w:tr>
      <w:tr w:rsidR="002E474C" w14:paraId="24A5776D" w14:textId="77777777">
        <w:trPr>
          <w:trHeight w:val="240"/>
        </w:trPr>
        <w:tc>
          <w:tcPr>
            <w:tcW w:w="574" w:type="pct"/>
            <w:vMerge/>
            <w:vAlign w:val="center"/>
          </w:tcPr>
          <w:p w14:paraId="22A614D6" w14:textId="77777777" w:rsidR="002E474C" w:rsidRDefault="002E474C">
            <w:pPr>
              <w:pStyle w:val="A-"/>
            </w:pPr>
          </w:p>
        </w:tc>
        <w:tc>
          <w:tcPr>
            <w:tcW w:w="524" w:type="pct"/>
            <w:vMerge/>
            <w:vAlign w:val="center"/>
          </w:tcPr>
          <w:p w14:paraId="587A1A60" w14:textId="77777777" w:rsidR="002E474C" w:rsidRDefault="002E474C">
            <w:pPr>
              <w:pStyle w:val="A-"/>
            </w:pPr>
          </w:p>
        </w:tc>
        <w:tc>
          <w:tcPr>
            <w:tcW w:w="372" w:type="pct"/>
            <w:vMerge/>
            <w:vAlign w:val="center"/>
          </w:tcPr>
          <w:p w14:paraId="5F52BD66" w14:textId="77777777" w:rsidR="002E474C" w:rsidRDefault="002E474C">
            <w:pPr>
              <w:pStyle w:val="A-"/>
            </w:pPr>
          </w:p>
        </w:tc>
        <w:tc>
          <w:tcPr>
            <w:tcW w:w="457" w:type="pct"/>
            <w:vAlign w:val="center"/>
          </w:tcPr>
          <w:p w14:paraId="0438DACF" w14:textId="77777777" w:rsidR="002E474C" w:rsidRDefault="00000000">
            <w:pPr>
              <w:pStyle w:val="A-"/>
            </w:pPr>
            <w:r>
              <w:t>900-218-08</w:t>
            </w:r>
          </w:p>
        </w:tc>
        <w:tc>
          <w:tcPr>
            <w:tcW w:w="2678" w:type="pct"/>
            <w:vAlign w:val="center"/>
          </w:tcPr>
          <w:p w14:paraId="142EE821" w14:textId="77777777" w:rsidR="002E474C" w:rsidRDefault="00000000">
            <w:pPr>
              <w:pStyle w:val="A-"/>
            </w:pPr>
            <w:r>
              <w:t>液压设备维护、更换和拆解过程中产生的废液压油</w:t>
            </w:r>
          </w:p>
        </w:tc>
        <w:tc>
          <w:tcPr>
            <w:tcW w:w="395" w:type="pct"/>
            <w:vAlign w:val="center"/>
          </w:tcPr>
          <w:p w14:paraId="668C04EA" w14:textId="77777777" w:rsidR="002E474C" w:rsidRDefault="00000000">
            <w:pPr>
              <w:pStyle w:val="A-"/>
            </w:pPr>
            <w:r>
              <w:t>T</w:t>
            </w:r>
            <w:r>
              <w:t>，</w:t>
            </w:r>
            <w:r>
              <w:t>I</w:t>
            </w:r>
          </w:p>
        </w:tc>
      </w:tr>
      <w:tr w:rsidR="002E474C" w14:paraId="4748A2A2" w14:textId="77777777">
        <w:trPr>
          <w:trHeight w:val="240"/>
        </w:trPr>
        <w:tc>
          <w:tcPr>
            <w:tcW w:w="574" w:type="pct"/>
            <w:vMerge/>
            <w:vAlign w:val="center"/>
          </w:tcPr>
          <w:p w14:paraId="7AE35215" w14:textId="77777777" w:rsidR="002E474C" w:rsidRDefault="002E474C">
            <w:pPr>
              <w:pStyle w:val="A-"/>
            </w:pPr>
          </w:p>
        </w:tc>
        <w:tc>
          <w:tcPr>
            <w:tcW w:w="524" w:type="pct"/>
            <w:vMerge/>
            <w:vAlign w:val="center"/>
          </w:tcPr>
          <w:p w14:paraId="7DD0E663" w14:textId="77777777" w:rsidR="002E474C" w:rsidRDefault="002E474C">
            <w:pPr>
              <w:pStyle w:val="A-"/>
            </w:pPr>
          </w:p>
        </w:tc>
        <w:tc>
          <w:tcPr>
            <w:tcW w:w="372" w:type="pct"/>
            <w:vMerge/>
            <w:vAlign w:val="center"/>
          </w:tcPr>
          <w:p w14:paraId="5223606C" w14:textId="77777777" w:rsidR="002E474C" w:rsidRDefault="002E474C">
            <w:pPr>
              <w:pStyle w:val="A-"/>
            </w:pPr>
          </w:p>
        </w:tc>
        <w:tc>
          <w:tcPr>
            <w:tcW w:w="457" w:type="pct"/>
            <w:vAlign w:val="center"/>
          </w:tcPr>
          <w:p w14:paraId="3236DDD6" w14:textId="77777777" w:rsidR="002E474C" w:rsidRDefault="00000000">
            <w:pPr>
              <w:pStyle w:val="A-"/>
            </w:pPr>
            <w:r>
              <w:t>900-219-08</w:t>
            </w:r>
          </w:p>
        </w:tc>
        <w:tc>
          <w:tcPr>
            <w:tcW w:w="2678" w:type="pct"/>
            <w:vAlign w:val="center"/>
          </w:tcPr>
          <w:p w14:paraId="7DE922F8" w14:textId="77777777" w:rsidR="002E474C" w:rsidRDefault="00000000">
            <w:pPr>
              <w:pStyle w:val="A-"/>
            </w:pPr>
            <w:r>
              <w:t>冷冻压缩设备维护、更换和拆解过程中产生的废冷冻机油</w:t>
            </w:r>
          </w:p>
        </w:tc>
        <w:tc>
          <w:tcPr>
            <w:tcW w:w="395" w:type="pct"/>
            <w:vAlign w:val="center"/>
          </w:tcPr>
          <w:p w14:paraId="73EF8831" w14:textId="77777777" w:rsidR="002E474C" w:rsidRDefault="00000000">
            <w:pPr>
              <w:pStyle w:val="A-"/>
            </w:pPr>
            <w:r>
              <w:t>T</w:t>
            </w:r>
            <w:r>
              <w:t>，</w:t>
            </w:r>
            <w:r>
              <w:t>I</w:t>
            </w:r>
          </w:p>
        </w:tc>
      </w:tr>
      <w:tr w:rsidR="002E474C" w14:paraId="5E0882FD" w14:textId="77777777">
        <w:trPr>
          <w:trHeight w:val="240"/>
        </w:trPr>
        <w:tc>
          <w:tcPr>
            <w:tcW w:w="574" w:type="pct"/>
            <w:vMerge/>
            <w:vAlign w:val="center"/>
          </w:tcPr>
          <w:p w14:paraId="4893EACE" w14:textId="77777777" w:rsidR="002E474C" w:rsidRDefault="002E474C">
            <w:pPr>
              <w:pStyle w:val="A-"/>
            </w:pPr>
          </w:p>
        </w:tc>
        <w:tc>
          <w:tcPr>
            <w:tcW w:w="524" w:type="pct"/>
            <w:vMerge/>
            <w:vAlign w:val="center"/>
          </w:tcPr>
          <w:p w14:paraId="6DA3C563" w14:textId="77777777" w:rsidR="002E474C" w:rsidRDefault="002E474C">
            <w:pPr>
              <w:pStyle w:val="A-"/>
            </w:pPr>
          </w:p>
        </w:tc>
        <w:tc>
          <w:tcPr>
            <w:tcW w:w="372" w:type="pct"/>
            <w:vMerge/>
            <w:vAlign w:val="center"/>
          </w:tcPr>
          <w:p w14:paraId="3ED85E07" w14:textId="77777777" w:rsidR="002E474C" w:rsidRDefault="002E474C">
            <w:pPr>
              <w:pStyle w:val="A-"/>
            </w:pPr>
          </w:p>
        </w:tc>
        <w:tc>
          <w:tcPr>
            <w:tcW w:w="457" w:type="pct"/>
            <w:vAlign w:val="center"/>
          </w:tcPr>
          <w:p w14:paraId="0D9BFE26" w14:textId="77777777" w:rsidR="002E474C" w:rsidRDefault="00000000">
            <w:pPr>
              <w:pStyle w:val="A-"/>
            </w:pPr>
            <w:r>
              <w:t>900-220-08</w:t>
            </w:r>
          </w:p>
        </w:tc>
        <w:tc>
          <w:tcPr>
            <w:tcW w:w="2678" w:type="pct"/>
            <w:vAlign w:val="center"/>
          </w:tcPr>
          <w:p w14:paraId="3471B5D9" w14:textId="77777777" w:rsidR="002E474C" w:rsidRDefault="00000000">
            <w:pPr>
              <w:pStyle w:val="A-"/>
            </w:pPr>
            <w:r>
              <w:t>变压器维护、更换和拆解过程中产生的废变压器油</w:t>
            </w:r>
          </w:p>
        </w:tc>
        <w:tc>
          <w:tcPr>
            <w:tcW w:w="395" w:type="pct"/>
            <w:vAlign w:val="center"/>
          </w:tcPr>
          <w:p w14:paraId="095A0899" w14:textId="77777777" w:rsidR="002E474C" w:rsidRDefault="00000000">
            <w:pPr>
              <w:pStyle w:val="A-"/>
            </w:pPr>
            <w:r>
              <w:t>T</w:t>
            </w:r>
            <w:r>
              <w:t>，</w:t>
            </w:r>
            <w:r>
              <w:t>I</w:t>
            </w:r>
          </w:p>
        </w:tc>
      </w:tr>
      <w:tr w:rsidR="002E474C" w14:paraId="3E0629A6" w14:textId="77777777">
        <w:trPr>
          <w:trHeight w:val="240"/>
        </w:trPr>
        <w:tc>
          <w:tcPr>
            <w:tcW w:w="574" w:type="pct"/>
            <w:vMerge/>
            <w:vAlign w:val="center"/>
          </w:tcPr>
          <w:p w14:paraId="0796009A" w14:textId="77777777" w:rsidR="002E474C" w:rsidRDefault="002E474C">
            <w:pPr>
              <w:pStyle w:val="A-"/>
            </w:pPr>
          </w:p>
        </w:tc>
        <w:tc>
          <w:tcPr>
            <w:tcW w:w="524" w:type="pct"/>
            <w:vMerge/>
            <w:vAlign w:val="center"/>
          </w:tcPr>
          <w:p w14:paraId="20A1BB82" w14:textId="77777777" w:rsidR="002E474C" w:rsidRDefault="002E474C">
            <w:pPr>
              <w:pStyle w:val="A-"/>
            </w:pPr>
          </w:p>
        </w:tc>
        <w:tc>
          <w:tcPr>
            <w:tcW w:w="372" w:type="pct"/>
            <w:vMerge/>
            <w:vAlign w:val="center"/>
          </w:tcPr>
          <w:p w14:paraId="77A34077" w14:textId="77777777" w:rsidR="002E474C" w:rsidRDefault="002E474C">
            <w:pPr>
              <w:pStyle w:val="A-"/>
            </w:pPr>
          </w:p>
        </w:tc>
        <w:tc>
          <w:tcPr>
            <w:tcW w:w="457" w:type="pct"/>
            <w:vAlign w:val="center"/>
          </w:tcPr>
          <w:p w14:paraId="4CED180E" w14:textId="77777777" w:rsidR="002E474C" w:rsidRDefault="00000000">
            <w:pPr>
              <w:pStyle w:val="A-"/>
            </w:pPr>
            <w:r>
              <w:t>900-221-08</w:t>
            </w:r>
          </w:p>
        </w:tc>
        <w:tc>
          <w:tcPr>
            <w:tcW w:w="2678" w:type="pct"/>
            <w:vAlign w:val="center"/>
          </w:tcPr>
          <w:p w14:paraId="3EC0B09F" w14:textId="77777777" w:rsidR="002E474C" w:rsidRDefault="00000000">
            <w:pPr>
              <w:pStyle w:val="A-"/>
            </w:pPr>
            <w:r>
              <w:t>废燃料油及燃料油储存过程中产生的油泥</w:t>
            </w:r>
          </w:p>
        </w:tc>
        <w:tc>
          <w:tcPr>
            <w:tcW w:w="395" w:type="pct"/>
            <w:vAlign w:val="center"/>
          </w:tcPr>
          <w:p w14:paraId="01448DF2" w14:textId="77777777" w:rsidR="002E474C" w:rsidRDefault="00000000">
            <w:pPr>
              <w:pStyle w:val="A-"/>
            </w:pPr>
            <w:r>
              <w:t>T</w:t>
            </w:r>
            <w:r>
              <w:t>，</w:t>
            </w:r>
            <w:r>
              <w:t>I</w:t>
            </w:r>
          </w:p>
        </w:tc>
      </w:tr>
      <w:tr w:rsidR="002E474C" w14:paraId="70FF1315" w14:textId="77777777">
        <w:trPr>
          <w:trHeight w:val="240"/>
        </w:trPr>
        <w:tc>
          <w:tcPr>
            <w:tcW w:w="574" w:type="pct"/>
            <w:vMerge/>
            <w:vAlign w:val="center"/>
          </w:tcPr>
          <w:p w14:paraId="0D7889A5" w14:textId="77777777" w:rsidR="002E474C" w:rsidRDefault="002E474C">
            <w:pPr>
              <w:pStyle w:val="A-"/>
            </w:pPr>
          </w:p>
        </w:tc>
        <w:tc>
          <w:tcPr>
            <w:tcW w:w="524" w:type="pct"/>
            <w:vMerge/>
            <w:vAlign w:val="center"/>
          </w:tcPr>
          <w:p w14:paraId="644530B1" w14:textId="77777777" w:rsidR="002E474C" w:rsidRDefault="002E474C">
            <w:pPr>
              <w:pStyle w:val="A-"/>
            </w:pPr>
          </w:p>
        </w:tc>
        <w:tc>
          <w:tcPr>
            <w:tcW w:w="372" w:type="pct"/>
            <w:vMerge/>
            <w:vAlign w:val="center"/>
          </w:tcPr>
          <w:p w14:paraId="4D69E784" w14:textId="77777777" w:rsidR="002E474C" w:rsidRDefault="002E474C">
            <w:pPr>
              <w:pStyle w:val="A-"/>
            </w:pPr>
          </w:p>
        </w:tc>
        <w:tc>
          <w:tcPr>
            <w:tcW w:w="457" w:type="pct"/>
            <w:vAlign w:val="center"/>
          </w:tcPr>
          <w:p w14:paraId="72E39E66" w14:textId="77777777" w:rsidR="002E474C" w:rsidRDefault="00000000">
            <w:pPr>
              <w:pStyle w:val="A-"/>
            </w:pPr>
            <w:r>
              <w:t>900-222-08</w:t>
            </w:r>
          </w:p>
        </w:tc>
        <w:tc>
          <w:tcPr>
            <w:tcW w:w="2678" w:type="pct"/>
            <w:vAlign w:val="center"/>
          </w:tcPr>
          <w:p w14:paraId="21409B07" w14:textId="77777777" w:rsidR="002E474C" w:rsidRDefault="00000000">
            <w:pPr>
              <w:pStyle w:val="A-"/>
            </w:pPr>
            <w:r>
              <w:t>石油炼制废水气浮、隔油、絮凝沉淀等处理过程中产生的浮油和污泥</w:t>
            </w:r>
          </w:p>
        </w:tc>
        <w:tc>
          <w:tcPr>
            <w:tcW w:w="395" w:type="pct"/>
            <w:vAlign w:val="center"/>
          </w:tcPr>
          <w:p w14:paraId="46882BA4" w14:textId="77777777" w:rsidR="002E474C" w:rsidRDefault="00000000">
            <w:pPr>
              <w:pStyle w:val="A-"/>
            </w:pPr>
            <w:r>
              <w:t>T</w:t>
            </w:r>
          </w:p>
        </w:tc>
      </w:tr>
      <w:tr w:rsidR="002E474C" w14:paraId="0D0A9840" w14:textId="77777777">
        <w:trPr>
          <w:trHeight w:val="240"/>
        </w:trPr>
        <w:tc>
          <w:tcPr>
            <w:tcW w:w="574" w:type="pct"/>
            <w:vMerge/>
            <w:vAlign w:val="center"/>
          </w:tcPr>
          <w:p w14:paraId="048C0B09" w14:textId="77777777" w:rsidR="002E474C" w:rsidRDefault="002E474C">
            <w:pPr>
              <w:pStyle w:val="A-"/>
            </w:pPr>
          </w:p>
        </w:tc>
        <w:tc>
          <w:tcPr>
            <w:tcW w:w="524" w:type="pct"/>
            <w:vMerge/>
            <w:vAlign w:val="center"/>
          </w:tcPr>
          <w:p w14:paraId="0B901C3C" w14:textId="77777777" w:rsidR="002E474C" w:rsidRDefault="002E474C">
            <w:pPr>
              <w:pStyle w:val="A-"/>
            </w:pPr>
          </w:p>
        </w:tc>
        <w:tc>
          <w:tcPr>
            <w:tcW w:w="372" w:type="pct"/>
            <w:vMerge/>
            <w:vAlign w:val="center"/>
          </w:tcPr>
          <w:p w14:paraId="3297D39C" w14:textId="77777777" w:rsidR="002E474C" w:rsidRDefault="002E474C">
            <w:pPr>
              <w:pStyle w:val="A-"/>
            </w:pPr>
          </w:p>
        </w:tc>
        <w:tc>
          <w:tcPr>
            <w:tcW w:w="457" w:type="pct"/>
            <w:vAlign w:val="center"/>
          </w:tcPr>
          <w:p w14:paraId="059DC8CA" w14:textId="77777777" w:rsidR="002E474C" w:rsidRDefault="00000000">
            <w:pPr>
              <w:pStyle w:val="A-"/>
            </w:pPr>
            <w:r>
              <w:t>900-249-08</w:t>
            </w:r>
          </w:p>
        </w:tc>
        <w:tc>
          <w:tcPr>
            <w:tcW w:w="2678" w:type="pct"/>
            <w:vAlign w:val="center"/>
          </w:tcPr>
          <w:p w14:paraId="112C9AF1" w14:textId="77777777" w:rsidR="002E474C" w:rsidRDefault="00000000">
            <w:pPr>
              <w:pStyle w:val="A-"/>
            </w:pPr>
            <w:r>
              <w:t>其他生产、销售、使用过程中产生的废矿物油及含矿物油废物</w:t>
            </w:r>
          </w:p>
        </w:tc>
        <w:tc>
          <w:tcPr>
            <w:tcW w:w="395" w:type="pct"/>
            <w:vAlign w:val="center"/>
          </w:tcPr>
          <w:p w14:paraId="7740D3CF" w14:textId="77777777" w:rsidR="002E474C" w:rsidRDefault="00000000">
            <w:pPr>
              <w:pStyle w:val="A-"/>
            </w:pPr>
            <w:r>
              <w:t>T</w:t>
            </w:r>
            <w:r>
              <w:t>，</w:t>
            </w:r>
            <w:r>
              <w:t>I</w:t>
            </w:r>
          </w:p>
        </w:tc>
      </w:tr>
      <w:tr w:rsidR="002E474C" w14:paraId="0034E6DA" w14:textId="77777777">
        <w:trPr>
          <w:trHeight w:val="240"/>
        </w:trPr>
        <w:tc>
          <w:tcPr>
            <w:tcW w:w="574" w:type="pct"/>
            <w:vMerge w:val="restart"/>
            <w:vAlign w:val="center"/>
          </w:tcPr>
          <w:p w14:paraId="6A7F8007" w14:textId="77777777" w:rsidR="002E474C" w:rsidRDefault="00000000">
            <w:pPr>
              <w:pStyle w:val="A-"/>
            </w:pPr>
            <w:r>
              <w:t>HW09</w:t>
            </w:r>
            <w:r>
              <w:t>油</w:t>
            </w:r>
            <w:r>
              <w:t>/</w:t>
            </w:r>
            <w:r>
              <w:t>水、烃</w:t>
            </w:r>
            <w:r>
              <w:t>/</w:t>
            </w:r>
            <w:r>
              <w:t>水混合物或乳化液</w:t>
            </w:r>
          </w:p>
        </w:tc>
        <w:tc>
          <w:tcPr>
            <w:tcW w:w="524" w:type="pct"/>
            <w:vMerge w:val="restart"/>
            <w:vAlign w:val="center"/>
          </w:tcPr>
          <w:p w14:paraId="385F6FE6" w14:textId="77777777" w:rsidR="002E474C" w:rsidRDefault="00000000">
            <w:pPr>
              <w:pStyle w:val="A-"/>
            </w:pPr>
            <w:r>
              <w:t>非特定行业</w:t>
            </w:r>
          </w:p>
        </w:tc>
        <w:tc>
          <w:tcPr>
            <w:tcW w:w="372" w:type="pct"/>
            <w:vMerge w:val="restart"/>
            <w:vAlign w:val="center"/>
          </w:tcPr>
          <w:p w14:paraId="40549ED9" w14:textId="77777777" w:rsidR="002E474C" w:rsidRDefault="00000000">
            <w:pPr>
              <w:pStyle w:val="A-"/>
            </w:pPr>
            <w:r>
              <w:t>液态</w:t>
            </w:r>
          </w:p>
        </w:tc>
        <w:tc>
          <w:tcPr>
            <w:tcW w:w="457" w:type="pct"/>
            <w:vAlign w:val="center"/>
          </w:tcPr>
          <w:p w14:paraId="095ED1F0" w14:textId="77777777" w:rsidR="002E474C" w:rsidRDefault="00000000">
            <w:pPr>
              <w:pStyle w:val="A-"/>
            </w:pPr>
            <w:r>
              <w:t>900-005-09</w:t>
            </w:r>
          </w:p>
        </w:tc>
        <w:tc>
          <w:tcPr>
            <w:tcW w:w="2678" w:type="pct"/>
            <w:vAlign w:val="center"/>
          </w:tcPr>
          <w:p w14:paraId="15A89545" w14:textId="77777777" w:rsidR="002E474C" w:rsidRDefault="00000000">
            <w:pPr>
              <w:pStyle w:val="A-"/>
            </w:pPr>
            <w:r>
              <w:t>水压机维护、更换和拆解过程中产生的油</w:t>
            </w:r>
            <w:r>
              <w:t>/</w:t>
            </w:r>
            <w:r>
              <w:t>水、烃</w:t>
            </w:r>
            <w:r>
              <w:t>/</w:t>
            </w:r>
            <w:r>
              <w:t>水混合物或乳化液</w:t>
            </w:r>
          </w:p>
        </w:tc>
        <w:tc>
          <w:tcPr>
            <w:tcW w:w="395" w:type="pct"/>
            <w:vAlign w:val="center"/>
          </w:tcPr>
          <w:p w14:paraId="7F732A91" w14:textId="77777777" w:rsidR="002E474C" w:rsidRDefault="00000000">
            <w:pPr>
              <w:pStyle w:val="A-"/>
            </w:pPr>
            <w:r>
              <w:t>T</w:t>
            </w:r>
          </w:p>
        </w:tc>
      </w:tr>
      <w:tr w:rsidR="002E474C" w14:paraId="1E7CBCCB" w14:textId="77777777">
        <w:trPr>
          <w:trHeight w:val="240"/>
        </w:trPr>
        <w:tc>
          <w:tcPr>
            <w:tcW w:w="574" w:type="pct"/>
            <w:vMerge/>
            <w:vAlign w:val="center"/>
          </w:tcPr>
          <w:p w14:paraId="0888FB83" w14:textId="77777777" w:rsidR="002E474C" w:rsidRDefault="002E474C">
            <w:pPr>
              <w:pStyle w:val="A-"/>
            </w:pPr>
          </w:p>
        </w:tc>
        <w:tc>
          <w:tcPr>
            <w:tcW w:w="524" w:type="pct"/>
            <w:vMerge/>
            <w:vAlign w:val="center"/>
          </w:tcPr>
          <w:p w14:paraId="0A257A8E" w14:textId="77777777" w:rsidR="002E474C" w:rsidRDefault="002E474C">
            <w:pPr>
              <w:pStyle w:val="A-"/>
            </w:pPr>
          </w:p>
        </w:tc>
        <w:tc>
          <w:tcPr>
            <w:tcW w:w="372" w:type="pct"/>
            <w:vMerge/>
            <w:vAlign w:val="center"/>
          </w:tcPr>
          <w:p w14:paraId="5ADB50A6" w14:textId="77777777" w:rsidR="002E474C" w:rsidRDefault="002E474C">
            <w:pPr>
              <w:pStyle w:val="A-"/>
            </w:pPr>
          </w:p>
        </w:tc>
        <w:tc>
          <w:tcPr>
            <w:tcW w:w="457" w:type="pct"/>
            <w:vAlign w:val="center"/>
          </w:tcPr>
          <w:p w14:paraId="2AB1CE4B" w14:textId="77777777" w:rsidR="002E474C" w:rsidRDefault="00000000">
            <w:pPr>
              <w:pStyle w:val="A-"/>
            </w:pPr>
            <w:r>
              <w:t>900-006-09</w:t>
            </w:r>
          </w:p>
        </w:tc>
        <w:tc>
          <w:tcPr>
            <w:tcW w:w="2678" w:type="pct"/>
            <w:vAlign w:val="center"/>
          </w:tcPr>
          <w:p w14:paraId="0243EBF7" w14:textId="77777777" w:rsidR="002E474C" w:rsidRDefault="00000000">
            <w:pPr>
              <w:pStyle w:val="A-"/>
            </w:pPr>
            <w:r>
              <w:t>使用切削油和切削液进行机械加工过程中产生的油</w:t>
            </w:r>
            <w:r>
              <w:t>/</w:t>
            </w:r>
            <w:r>
              <w:t>水、烃</w:t>
            </w:r>
            <w:r>
              <w:t>/</w:t>
            </w:r>
            <w:r>
              <w:t>水混合物或乳化液</w:t>
            </w:r>
          </w:p>
        </w:tc>
        <w:tc>
          <w:tcPr>
            <w:tcW w:w="395" w:type="pct"/>
            <w:vAlign w:val="center"/>
          </w:tcPr>
          <w:p w14:paraId="02C0189C" w14:textId="77777777" w:rsidR="002E474C" w:rsidRDefault="00000000">
            <w:pPr>
              <w:pStyle w:val="A-"/>
            </w:pPr>
            <w:r>
              <w:t>T</w:t>
            </w:r>
          </w:p>
        </w:tc>
      </w:tr>
      <w:tr w:rsidR="002E474C" w14:paraId="5F3D2426" w14:textId="77777777">
        <w:trPr>
          <w:trHeight w:val="240"/>
        </w:trPr>
        <w:tc>
          <w:tcPr>
            <w:tcW w:w="574" w:type="pct"/>
            <w:vMerge/>
            <w:vAlign w:val="center"/>
          </w:tcPr>
          <w:p w14:paraId="326370FD" w14:textId="77777777" w:rsidR="002E474C" w:rsidRDefault="002E474C">
            <w:pPr>
              <w:pStyle w:val="A-"/>
            </w:pPr>
          </w:p>
        </w:tc>
        <w:tc>
          <w:tcPr>
            <w:tcW w:w="524" w:type="pct"/>
            <w:vMerge/>
            <w:vAlign w:val="center"/>
          </w:tcPr>
          <w:p w14:paraId="2BF2636B" w14:textId="77777777" w:rsidR="002E474C" w:rsidRDefault="002E474C">
            <w:pPr>
              <w:pStyle w:val="A-"/>
            </w:pPr>
          </w:p>
        </w:tc>
        <w:tc>
          <w:tcPr>
            <w:tcW w:w="372" w:type="pct"/>
            <w:vMerge/>
            <w:vAlign w:val="center"/>
          </w:tcPr>
          <w:p w14:paraId="0CDCBA9E" w14:textId="77777777" w:rsidR="002E474C" w:rsidRDefault="002E474C">
            <w:pPr>
              <w:pStyle w:val="A-"/>
            </w:pPr>
          </w:p>
        </w:tc>
        <w:tc>
          <w:tcPr>
            <w:tcW w:w="457" w:type="pct"/>
            <w:vAlign w:val="center"/>
          </w:tcPr>
          <w:p w14:paraId="0AF00276" w14:textId="77777777" w:rsidR="002E474C" w:rsidRDefault="00000000">
            <w:pPr>
              <w:pStyle w:val="A-"/>
            </w:pPr>
            <w:r>
              <w:t>900-007-09</w:t>
            </w:r>
          </w:p>
        </w:tc>
        <w:tc>
          <w:tcPr>
            <w:tcW w:w="2678" w:type="pct"/>
            <w:vAlign w:val="center"/>
          </w:tcPr>
          <w:p w14:paraId="349B3226" w14:textId="77777777" w:rsidR="002E474C" w:rsidRDefault="00000000">
            <w:pPr>
              <w:pStyle w:val="A-"/>
            </w:pPr>
            <w:r>
              <w:t>其他工艺过程中产生的油</w:t>
            </w:r>
            <w:r>
              <w:t>/</w:t>
            </w:r>
            <w:r>
              <w:t>水、烃</w:t>
            </w:r>
            <w:r>
              <w:t>/</w:t>
            </w:r>
            <w:r>
              <w:t>水混合物或乳化液</w:t>
            </w:r>
          </w:p>
        </w:tc>
        <w:tc>
          <w:tcPr>
            <w:tcW w:w="395" w:type="pct"/>
            <w:vAlign w:val="center"/>
          </w:tcPr>
          <w:p w14:paraId="40DFA802" w14:textId="77777777" w:rsidR="002E474C" w:rsidRDefault="00000000">
            <w:pPr>
              <w:pStyle w:val="A-"/>
            </w:pPr>
            <w:r>
              <w:t>T</w:t>
            </w:r>
          </w:p>
        </w:tc>
      </w:tr>
      <w:tr w:rsidR="002E474C" w14:paraId="7E687715" w14:textId="77777777">
        <w:trPr>
          <w:trHeight w:val="525"/>
        </w:trPr>
        <w:tc>
          <w:tcPr>
            <w:tcW w:w="574" w:type="pct"/>
            <w:vMerge w:val="restart"/>
            <w:vAlign w:val="center"/>
          </w:tcPr>
          <w:p w14:paraId="47A0B453" w14:textId="77777777" w:rsidR="002E474C" w:rsidRDefault="00000000">
            <w:pPr>
              <w:pStyle w:val="A-"/>
            </w:pPr>
            <w:r>
              <w:t>HW11</w:t>
            </w:r>
          </w:p>
          <w:p w14:paraId="7B32AAEB" w14:textId="77777777" w:rsidR="002E474C" w:rsidRDefault="00000000">
            <w:pPr>
              <w:pStyle w:val="A-"/>
            </w:pPr>
            <w:r>
              <w:t>精（蒸）馏残渣</w:t>
            </w:r>
          </w:p>
        </w:tc>
        <w:tc>
          <w:tcPr>
            <w:tcW w:w="524" w:type="pct"/>
            <w:vAlign w:val="center"/>
          </w:tcPr>
          <w:p w14:paraId="61D3E03F" w14:textId="77777777" w:rsidR="002E474C" w:rsidRDefault="00000000">
            <w:pPr>
              <w:pStyle w:val="A-"/>
            </w:pPr>
            <w:r>
              <w:t>精炼石油产品制造</w:t>
            </w:r>
          </w:p>
        </w:tc>
        <w:tc>
          <w:tcPr>
            <w:tcW w:w="372" w:type="pct"/>
            <w:vAlign w:val="center"/>
          </w:tcPr>
          <w:p w14:paraId="184EB9DD" w14:textId="77777777" w:rsidR="002E474C" w:rsidRDefault="00000000">
            <w:pPr>
              <w:pStyle w:val="A-"/>
            </w:pPr>
            <w:r>
              <w:t>液态</w:t>
            </w:r>
          </w:p>
        </w:tc>
        <w:tc>
          <w:tcPr>
            <w:tcW w:w="457" w:type="pct"/>
            <w:vAlign w:val="center"/>
          </w:tcPr>
          <w:p w14:paraId="1F3D191F" w14:textId="77777777" w:rsidR="002E474C" w:rsidRDefault="00000000">
            <w:pPr>
              <w:pStyle w:val="A-"/>
            </w:pPr>
            <w:r>
              <w:t>251-013-11</w:t>
            </w:r>
          </w:p>
        </w:tc>
        <w:tc>
          <w:tcPr>
            <w:tcW w:w="2678" w:type="pct"/>
            <w:vAlign w:val="center"/>
          </w:tcPr>
          <w:p w14:paraId="05F978D5" w14:textId="77777777" w:rsidR="002E474C" w:rsidRDefault="00000000">
            <w:pPr>
              <w:pStyle w:val="A-"/>
            </w:pPr>
            <w:r>
              <w:t>石油精炼过程中产生的酸焦油和其他焦油</w:t>
            </w:r>
          </w:p>
        </w:tc>
        <w:tc>
          <w:tcPr>
            <w:tcW w:w="395" w:type="pct"/>
            <w:vAlign w:val="center"/>
          </w:tcPr>
          <w:p w14:paraId="4E9D2A31" w14:textId="77777777" w:rsidR="002E474C" w:rsidRDefault="00000000">
            <w:pPr>
              <w:pStyle w:val="A-"/>
            </w:pPr>
            <w:r>
              <w:t>T</w:t>
            </w:r>
          </w:p>
        </w:tc>
      </w:tr>
      <w:tr w:rsidR="002E474C" w14:paraId="0F5434EB" w14:textId="77777777">
        <w:trPr>
          <w:trHeight w:val="240"/>
        </w:trPr>
        <w:tc>
          <w:tcPr>
            <w:tcW w:w="574" w:type="pct"/>
            <w:vMerge/>
            <w:vAlign w:val="center"/>
          </w:tcPr>
          <w:p w14:paraId="08AD664E" w14:textId="77777777" w:rsidR="002E474C" w:rsidRDefault="002E474C">
            <w:pPr>
              <w:pStyle w:val="A-"/>
            </w:pPr>
          </w:p>
        </w:tc>
        <w:tc>
          <w:tcPr>
            <w:tcW w:w="524" w:type="pct"/>
            <w:vMerge w:val="restart"/>
            <w:vAlign w:val="center"/>
          </w:tcPr>
          <w:p w14:paraId="7F3A739B" w14:textId="77777777" w:rsidR="002E474C" w:rsidRDefault="00000000">
            <w:pPr>
              <w:pStyle w:val="A-"/>
            </w:pPr>
            <w:r>
              <w:t>炼焦</w:t>
            </w:r>
          </w:p>
        </w:tc>
        <w:tc>
          <w:tcPr>
            <w:tcW w:w="372" w:type="pct"/>
            <w:vMerge w:val="restart"/>
            <w:vAlign w:val="center"/>
          </w:tcPr>
          <w:p w14:paraId="00720722" w14:textId="77777777" w:rsidR="002E474C" w:rsidRDefault="00000000">
            <w:pPr>
              <w:pStyle w:val="A-"/>
              <w:ind w:leftChars="-25" w:left="-53" w:rightChars="-25" w:right="-53"/>
            </w:pPr>
            <w:r>
              <w:rPr>
                <w:spacing w:val="-6"/>
              </w:rPr>
              <w:t>固态、半固态、液态</w:t>
            </w:r>
          </w:p>
        </w:tc>
        <w:tc>
          <w:tcPr>
            <w:tcW w:w="457" w:type="pct"/>
            <w:vAlign w:val="center"/>
          </w:tcPr>
          <w:p w14:paraId="318866B7" w14:textId="77777777" w:rsidR="002E474C" w:rsidRDefault="00000000">
            <w:pPr>
              <w:pStyle w:val="A-"/>
            </w:pPr>
            <w:r>
              <w:t>252-001-11</w:t>
            </w:r>
          </w:p>
        </w:tc>
        <w:tc>
          <w:tcPr>
            <w:tcW w:w="2678" w:type="pct"/>
            <w:vAlign w:val="center"/>
          </w:tcPr>
          <w:p w14:paraId="58D93945" w14:textId="77777777" w:rsidR="002E474C" w:rsidRDefault="00000000">
            <w:pPr>
              <w:pStyle w:val="A-"/>
            </w:pPr>
            <w:r>
              <w:t>炼焦过程中蒸氨塔产生的残渣</w:t>
            </w:r>
          </w:p>
        </w:tc>
        <w:tc>
          <w:tcPr>
            <w:tcW w:w="395" w:type="pct"/>
            <w:vAlign w:val="center"/>
          </w:tcPr>
          <w:p w14:paraId="2076F9A7" w14:textId="77777777" w:rsidR="002E474C" w:rsidRDefault="00000000">
            <w:pPr>
              <w:pStyle w:val="A-"/>
            </w:pPr>
            <w:r>
              <w:t>T</w:t>
            </w:r>
          </w:p>
        </w:tc>
      </w:tr>
      <w:tr w:rsidR="002E474C" w14:paraId="299E5964" w14:textId="77777777">
        <w:trPr>
          <w:trHeight w:val="240"/>
        </w:trPr>
        <w:tc>
          <w:tcPr>
            <w:tcW w:w="574" w:type="pct"/>
            <w:vMerge/>
            <w:vAlign w:val="center"/>
          </w:tcPr>
          <w:p w14:paraId="2C7EC628" w14:textId="77777777" w:rsidR="002E474C" w:rsidRDefault="002E474C">
            <w:pPr>
              <w:pStyle w:val="A-"/>
            </w:pPr>
          </w:p>
        </w:tc>
        <w:tc>
          <w:tcPr>
            <w:tcW w:w="524" w:type="pct"/>
            <w:vMerge/>
            <w:vAlign w:val="center"/>
          </w:tcPr>
          <w:p w14:paraId="1684BB82" w14:textId="77777777" w:rsidR="002E474C" w:rsidRDefault="002E474C">
            <w:pPr>
              <w:pStyle w:val="A-"/>
            </w:pPr>
          </w:p>
        </w:tc>
        <w:tc>
          <w:tcPr>
            <w:tcW w:w="372" w:type="pct"/>
            <w:vMerge/>
            <w:vAlign w:val="center"/>
          </w:tcPr>
          <w:p w14:paraId="7D1A2EEF" w14:textId="77777777" w:rsidR="002E474C" w:rsidRDefault="002E474C">
            <w:pPr>
              <w:pStyle w:val="A-"/>
            </w:pPr>
          </w:p>
        </w:tc>
        <w:tc>
          <w:tcPr>
            <w:tcW w:w="457" w:type="pct"/>
            <w:vAlign w:val="center"/>
          </w:tcPr>
          <w:p w14:paraId="70877651" w14:textId="77777777" w:rsidR="002E474C" w:rsidRDefault="00000000">
            <w:pPr>
              <w:pStyle w:val="A-"/>
            </w:pPr>
            <w:r>
              <w:t>252-002-11</w:t>
            </w:r>
          </w:p>
        </w:tc>
        <w:tc>
          <w:tcPr>
            <w:tcW w:w="2678" w:type="pct"/>
            <w:vAlign w:val="center"/>
          </w:tcPr>
          <w:p w14:paraId="17D2E60F" w14:textId="77777777" w:rsidR="002E474C" w:rsidRDefault="00000000">
            <w:pPr>
              <w:pStyle w:val="A-"/>
            </w:pPr>
            <w:r>
              <w:t>炼焦过程中澄清设施底部的焦油渣</w:t>
            </w:r>
          </w:p>
        </w:tc>
        <w:tc>
          <w:tcPr>
            <w:tcW w:w="395" w:type="pct"/>
            <w:vAlign w:val="center"/>
          </w:tcPr>
          <w:p w14:paraId="10D07ED5" w14:textId="77777777" w:rsidR="002E474C" w:rsidRDefault="00000000">
            <w:pPr>
              <w:pStyle w:val="A-"/>
            </w:pPr>
            <w:r>
              <w:t>T</w:t>
            </w:r>
          </w:p>
        </w:tc>
      </w:tr>
      <w:tr w:rsidR="002E474C" w14:paraId="49328F02" w14:textId="77777777">
        <w:trPr>
          <w:trHeight w:val="240"/>
        </w:trPr>
        <w:tc>
          <w:tcPr>
            <w:tcW w:w="574" w:type="pct"/>
            <w:vMerge/>
            <w:vAlign w:val="center"/>
          </w:tcPr>
          <w:p w14:paraId="3AD82B05" w14:textId="77777777" w:rsidR="002E474C" w:rsidRDefault="002E474C">
            <w:pPr>
              <w:pStyle w:val="A-"/>
            </w:pPr>
          </w:p>
        </w:tc>
        <w:tc>
          <w:tcPr>
            <w:tcW w:w="524" w:type="pct"/>
            <w:vMerge/>
            <w:vAlign w:val="center"/>
          </w:tcPr>
          <w:p w14:paraId="11F7228E" w14:textId="77777777" w:rsidR="002E474C" w:rsidRDefault="002E474C">
            <w:pPr>
              <w:pStyle w:val="A-"/>
            </w:pPr>
          </w:p>
        </w:tc>
        <w:tc>
          <w:tcPr>
            <w:tcW w:w="372" w:type="pct"/>
            <w:vMerge/>
            <w:vAlign w:val="center"/>
          </w:tcPr>
          <w:p w14:paraId="50F55CDA" w14:textId="77777777" w:rsidR="002E474C" w:rsidRDefault="002E474C">
            <w:pPr>
              <w:pStyle w:val="A-"/>
            </w:pPr>
          </w:p>
        </w:tc>
        <w:tc>
          <w:tcPr>
            <w:tcW w:w="457" w:type="pct"/>
            <w:vAlign w:val="center"/>
          </w:tcPr>
          <w:p w14:paraId="6FF80B08" w14:textId="77777777" w:rsidR="002E474C" w:rsidRDefault="00000000">
            <w:pPr>
              <w:pStyle w:val="A-"/>
            </w:pPr>
            <w:r>
              <w:t>252-003-11</w:t>
            </w:r>
          </w:p>
        </w:tc>
        <w:tc>
          <w:tcPr>
            <w:tcW w:w="2678" w:type="pct"/>
            <w:vAlign w:val="center"/>
          </w:tcPr>
          <w:p w14:paraId="19CC2B11" w14:textId="77777777" w:rsidR="002E474C" w:rsidRDefault="00000000">
            <w:pPr>
              <w:pStyle w:val="A-"/>
            </w:pPr>
            <w:r>
              <w:t>炼焦副产品回收过程中萘、粗苯精制产生的残渣</w:t>
            </w:r>
          </w:p>
        </w:tc>
        <w:tc>
          <w:tcPr>
            <w:tcW w:w="395" w:type="pct"/>
            <w:vAlign w:val="center"/>
          </w:tcPr>
          <w:p w14:paraId="489CFA13" w14:textId="77777777" w:rsidR="002E474C" w:rsidRDefault="00000000">
            <w:pPr>
              <w:pStyle w:val="A-"/>
            </w:pPr>
            <w:r>
              <w:t>T</w:t>
            </w:r>
          </w:p>
        </w:tc>
      </w:tr>
      <w:tr w:rsidR="002E474C" w14:paraId="6A6F3D9B" w14:textId="77777777">
        <w:trPr>
          <w:trHeight w:val="240"/>
        </w:trPr>
        <w:tc>
          <w:tcPr>
            <w:tcW w:w="574" w:type="pct"/>
            <w:vMerge/>
            <w:vAlign w:val="center"/>
          </w:tcPr>
          <w:p w14:paraId="33A50CFB" w14:textId="77777777" w:rsidR="002E474C" w:rsidRDefault="002E474C">
            <w:pPr>
              <w:pStyle w:val="A-"/>
            </w:pPr>
          </w:p>
        </w:tc>
        <w:tc>
          <w:tcPr>
            <w:tcW w:w="524" w:type="pct"/>
            <w:vMerge/>
            <w:vAlign w:val="center"/>
          </w:tcPr>
          <w:p w14:paraId="5DEFB713" w14:textId="77777777" w:rsidR="002E474C" w:rsidRDefault="002E474C">
            <w:pPr>
              <w:pStyle w:val="A-"/>
            </w:pPr>
          </w:p>
        </w:tc>
        <w:tc>
          <w:tcPr>
            <w:tcW w:w="372" w:type="pct"/>
            <w:vMerge/>
            <w:vAlign w:val="center"/>
          </w:tcPr>
          <w:p w14:paraId="504F2F17" w14:textId="77777777" w:rsidR="002E474C" w:rsidRDefault="002E474C">
            <w:pPr>
              <w:pStyle w:val="A-"/>
            </w:pPr>
          </w:p>
        </w:tc>
        <w:tc>
          <w:tcPr>
            <w:tcW w:w="457" w:type="pct"/>
            <w:vAlign w:val="center"/>
          </w:tcPr>
          <w:p w14:paraId="08CE615F" w14:textId="77777777" w:rsidR="002E474C" w:rsidRDefault="00000000">
            <w:pPr>
              <w:pStyle w:val="A-"/>
            </w:pPr>
            <w:r>
              <w:t>252-004-11</w:t>
            </w:r>
          </w:p>
        </w:tc>
        <w:tc>
          <w:tcPr>
            <w:tcW w:w="2678" w:type="pct"/>
            <w:vAlign w:val="center"/>
          </w:tcPr>
          <w:p w14:paraId="707A2F15" w14:textId="77777777" w:rsidR="002E474C" w:rsidRDefault="00000000">
            <w:pPr>
              <w:pStyle w:val="A-"/>
            </w:pPr>
            <w:r>
              <w:t>炼焦和炼焦副产品回收过程中焦油储存设施中的焦油渣</w:t>
            </w:r>
          </w:p>
        </w:tc>
        <w:tc>
          <w:tcPr>
            <w:tcW w:w="395" w:type="pct"/>
            <w:vAlign w:val="center"/>
          </w:tcPr>
          <w:p w14:paraId="1A6D33F7" w14:textId="77777777" w:rsidR="002E474C" w:rsidRDefault="00000000">
            <w:pPr>
              <w:pStyle w:val="A-"/>
            </w:pPr>
            <w:r>
              <w:t>T</w:t>
            </w:r>
          </w:p>
        </w:tc>
      </w:tr>
      <w:tr w:rsidR="002E474C" w14:paraId="168E8522" w14:textId="77777777">
        <w:trPr>
          <w:trHeight w:val="240"/>
        </w:trPr>
        <w:tc>
          <w:tcPr>
            <w:tcW w:w="574" w:type="pct"/>
            <w:vMerge/>
            <w:vAlign w:val="center"/>
          </w:tcPr>
          <w:p w14:paraId="489B49F6" w14:textId="77777777" w:rsidR="002E474C" w:rsidRDefault="002E474C">
            <w:pPr>
              <w:pStyle w:val="A-"/>
            </w:pPr>
          </w:p>
        </w:tc>
        <w:tc>
          <w:tcPr>
            <w:tcW w:w="524" w:type="pct"/>
            <w:vMerge/>
            <w:vAlign w:val="center"/>
          </w:tcPr>
          <w:p w14:paraId="0871365E" w14:textId="77777777" w:rsidR="002E474C" w:rsidRDefault="002E474C">
            <w:pPr>
              <w:pStyle w:val="A-"/>
            </w:pPr>
          </w:p>
        </w:tc>
        <w:tc>
          <w:tcPr>
            <w:tcW w:w="372" w:type="pct"/>
            <w:vMerge/>
            <w:vAlign w:val="center"/>
          </w:tcPr>
          <w:p w14:paraId="7A3F5903" w14:textId="77777777" w:rsidR="002E474C" w:rsidRDefault="002E474C">
            <w:pPr>
              <w:pStyle w:val="A-"/>
            </w:pPr>
          </w:p>
        </w:tc>
        <w:tc>
          <w:tcPr>
            <w:tcW w:w="457" w:type="pct"/>
            <w:vAlign w:val="center"/>
          </w:tcPr>
          <w:p w14:paraId="6B46B003" w14:textId="77777777" w:rsidR="002E474C" w:rsidRDefault="00000000">
            <w:pPr>
              <w:pStyle w:val="A-"/>
            </w:pPr>
            <w:r>
              <w:t>252-005-11</w:t>
            </w:r>
          </w:p>
        </w:tc>
        <w:tc>
          <w:tcPr>
            <w:tcW w:w="2678" w:type="pct"/>
            <w:vAlign w:val="center"/>
          </w:tcPr>
          <w:p w14:paraId="11DB60E6" w14:textId="77777777" w:rsidR="002E474C" w:rsidRDefault="00000000">
            <w:pPr>
              <w:pStyle w:val="A-"/>
            </w:pPr>
            <w:r>
              <w:t>煤焦油精炼过程中焦油储存设施中的焦油渣</w:t>
            </w:r>
          </w:p>
        </w:tc>
        <w:tc>
          <w:tcPr>
            <w:tcW w:w="395" w:type="pct"/>
            <w:vAlign w:val="center"/>
          </w:tcPr>
          <w:p w14:paraId="28210A22" w14:textId="77777777" w:rsidR="002E474C" w:rsidRDefault="00000000">
            <w:pPr>
              <w:pStyle w:val="A-"/>
            </w:pPr>
            <w:r>
              <w:t>T</w:t>
            </w:r>
          </w:p>
        </w:tc>
      </w:tr>
      <w:tr w:rsidR="002E474C" w14:paraId="358EAEE2" w14:textId="77777777">
        <w:trPr>
          <w:trHeight w:val="240"/>
        </w:trPr>
        <w:tc>
          <w:tcPr>
            <w:tcW w:w="574" w:type="pct"/>
            <w:vMerge/>
            <w:vAlign w:val="center"/>
          </w:tcPr>
          <w:p w14:paraId="74962777" w14:textId="77777777" w:rsidR="002E474C" w:rsidRDefault="002E474C">
            <w:pPr>
              <w:pStyle w:val="A-"/>
            </w:pPr>
          </w:p>
        </w:tc>
        <w:tc>
          <w:tcPr>
            <w:tcW w:w="524" w:type="pct"/>
            <w:vMerge/>
            <w:vAlign w:val="center"/>
          </w:tcPr>
          <w:p w14:paraId="3F74F053" w14:textId="77777777" w:rsidR="002E474C" w:rsidRDefault="002E474C">
            <w:pPr>
              <w:pStyle w:val="A-"/>
            </w:pPr>
          </w:p>
        </w:tc>
        <w:tc>
          <w:tcPr>
            <w:tcW w:w="372" w:type="pct"/>
            <w:vMerge/>
            <w:vAlign w:val="center"/>
          </w:tcPr>
          <w:p w14:paraId="04346FCE" w14:textId="77777777" w:rsidR="002E474C" w:rsidRDefault="002E474C">
            <w:pPr>
              <w:pStyle w:val="A-"/>
            </w:pPr>
          </w:p>
        </w:tc>
        <w:tc>
          <w:tcPr>
            <w:tcW w:w="457" w:type="pct"/>
            <w:vAlign w:val="center"/>
          </w:tcPr>
          <w:p w14:paraId="6AB1E888" w14:textId="77777777" w:rsidR="002E474C" w:rsidRDefault="00000000">
            <w:pPr>
              <w:pStyle w:val="A-"/>
            </w:pPr>
            <w:r>
              <w:t>252-006-11</w:t>
            </w:r>
          </w:p>
        </w:tc>
        <w:tc>
          <w:tcPr>
            <w:tcW w:w="2678" w:type="pct"/>
            <w:vAlign w:val="center"/>
          </w:tcPr>
          <w:p w14:paraId="46329A2C" w14:textId="77777777" w:rsidR="002E474C" w:rsidRDefault="00000000">
            <w:pPr>
              <w:pStyle w:val="A-"/>
            </w:pPr>
            <w:r>
              <w:t>煤焦油分馏、精制过程中产生的焦油渣</w:t>
            </w:r>
          </w:p>
        </w:tc>
        <w:tc>
          <w:tcPr>
            <w:tcW w:w="395" w:type="pct"/>
            <w:vAlign w:val="center"/>
          </w:tcPr>
          <w:p w14:paraId="1E5171FD" w14:textId="77777777" w:rsidR="002E474C" w:rsidRDefault="00000000">
            <w:pPr>
              <w:pStyle w:val="A-"/>
            </w:pPr>
            <w:r>
              <w:t>T</w:t>
            </w:r>
          </w:p>
        </w:tc>
      </w:tr>
      <w:tr w:rsidR="002E474C" w14:paraId="69653BE9" w14:textId="77777777">
        <w:trPr>
          <w:trHeight w:val="240"/>
        </w:trPr>
        <w:tc>
          <w:tcPr>
            <w:tcW w:w="574" w:type="pct"/>
            <w:vMerge/>
            <w:vAlign w:val="center"/>
          </w:tcPr>
          <w:p w14:paraId="3DD7E1E1" w14:textId="77777777" w:rsidR="002E474C" w:rsidRDefault="002E474C">
            <w:pPr>
              <w:pStyle w:val="A-"/>
            </w:pPr>
          </w:p>
        </w:tc>
        <w:tc>
          <w:tcPr>
            <w:tcW w:w="524" w:type="pct"/>
            <w:vMerge/>
            <w:vAlign w:val="center"/>
          </w:tcPr>
          <w:p w14:paraId="1E013D0C" w14:textId="77777777" w:rsidR="002E474C" w:rsidRDefault="002E474C">
            <w:pPr>
              <w:pStyle w:val="A-"/>
            </w:pPr>
          </w:p>
        </w:tc>
        <w:tc>
          <w:tcPr>
            <w:tcW w:w="372" w:type="pct"/>
            <w:vMerge/>
            <w:vAlign w:val="center"/>
          </w:tcPr>
          <w:p w14:paraId="308FB3B3" w14:textId="77777777" w:rsidR="002E474C" w:rsidRDefault="002E474C">
            <w:pPr>
              <w:pStyle w:val="A-"/>
            </w:pPr>
          </w:p>
        </w:tc>
        <w:tc>
          <w:tcPr>
            <w:tcW w:w="457" w:type="pct"/>
            <w:vAlign w:val="center"/>
          </w:tcPr>
          <w:p w14:paraId="13EDB8AA" w14:textId="77777777" w:rsidR="002E474C" w:rsidRDefault="00000000">
            <w:pPr>
              <w:pStyle w:val="A-"/>
            </w:pPr>
            <w:r>
              <w:t>252-007-11</w:t>
            </w:r>
          </w:p>
        </w:tc>
        <w:tc>
          <w:tcPr>
            <w:tcW w:w="2678" w:type="pct"/>
            <w:vAlign w:val="center"/>
          </w:tcPr>
          <w:p w14:paraId="21D2150C" w14:textId="77777777" w:rsidR="002E474C" w:rsidRDefault="00000000">
            <w:pPr>
              <w:pStyle w:val="A-"/>
            </w:pPr>
            <w:r>
              <w:t>炼焦副产品回收过程中产生的废水池残渣</w:t>
            </w:r>
          </w:p>
        </w:tc>
        <w:tc>
          <w:tcPr>
            <w:tcW w:w="395" w:type="pct"/>
            <w:vAlign w:val="center"/>
          </w:tcPr>
          <w:p w14:paraId="137E252F" w14:textId="77777777" w:rsidR="002E474C" w:rsidRDefault="00000000">
            <w:pPr>
              <w:pStyle w:val="A-"/>
            </w:pPr>
            <w:r>
              <w:t>T</w:t>
            </w:r>
          </w:p>
        </w:tc>
      </w:tr>
      <w:tr w:rsidR="002E474C" w14:paraId="02C5BA07" w14:textId="77777777">
        <w:trPr>
          <w:trHeight w:val="240"/>
        </w:trPr>
        <w:tc>
          <w:tcPr>
            <w:tcW w:w="574" w:type="pct"/>
            <w:vMerge/>
            <w:vAlign w:val="center"/>
          </w:tcPr>
          <w:p w14:paraId="6BB8508E" w14:textId="77777777" w:rsidR="002E474C" w:rsidRDefault="002E474C">
            <w:pPr>
              <w:pStyle w:val="A-"/>
            </w:pPr>
          </w:p>
        </w:tc>
        <w:tc>
          <w:tcPr>
            <w:tcW w:w="524" w:type="pct"/>
            <w:vMerge/>
            <w:vAlign w:val="center"/>
          </w:tcPr>
          <w:p w14:paraId="18F73B8B" w14:textId="77777777" w:rsidR="002E474C" w:rsidRDefault="002E474C">
            <w:pPr>
              <w:pStyle w:val="A-"/>
            </w:pPr>
          </w:p>
        </w:tc>
        <w:tc>
          <w:tcPr>
            <w:tcW w:w="372" w:type="pct"/>
            <w:vMerge/>
            <w:vAlign w:val="center"/>
          </w:tcPr>
          <w:p w14:paraId="5FB402F5" w14:textId="77777777" w:rsidR="002E474C" w:rsidRDefault="002E474C">
            <w:pPr>
              <w:pStyle w:val="A-"/>
            </w:pPr>
          </w:p>
        </w:tc>
        <w:tc>
          <w:tcPr>
            <w:tcW w:w="457" w:type="pct"/>
            <w:vAlign w:val="center"/>
          </w:tcPr>
          <w:p w14:paraId="17E26B71" w14:textId="77777777" w:rsidR="002E474C" w:rsidRDefault="00000000">
            <w:pPr>
              <w:pStyle w:val="A-"/>
            </w:pPr>
            <w:r>
              <w:t>252-008-11</w:t>
            </w:r>
          </w:p>
        </w:tc>
        <w:tc>
          <w:tcPr>
            <w:tcW w:w="2678" w:type="pct"/>
            <w:vAlign w:val="center"/>
          </w:tcPr>
          <w:p w14:paraId="644079E2" w14:textId="77777777" w:rsidR="002E474C" w:rsidRDefault="00000000">
            <w:pPr>
              <w:pStyle w:val="A-"/>
            </w:pPr>
            <w:r>
              <w:t>轻油回收过程中蒸馏、澄清、洗涤工序产生的残渣</w:t>
            </w:r>
          </w:p>
        </w:tc>
        <w:tc>
          <w:tcPr>
            <w:tcW w:w="395" w:type="pct"/>
            <w:vAlign w:val="center"/>
          </w:tcPr>
          <w:p w14:paraId="1890B6E9" w14:textId="77777777" w:rsidR="002E474C" w:rsidRDefault="00000000">
            <w:pPr>
              <w:pStyle w:val="A-"/>
            </w:pPr>
            <w:r>
              <w:t>T</w:t>
            </w:r>
          </w:p>
        </w:tc>
      </w:tr>
      <w:tr w:rsidR="002E474C" w14:paraId="5CE18962" w14:textId="77777777">
        <w:trPr>
          <w:trHeight w:val="240"/>
        </w:trPr>
        <w:tc>
          <w:tcPr>
            <w:tcW w:w="574" w:type="pct"/>
            <w:vMerge/>
            <w:vAlign w:val="center"/>
          </w:tcPr>
          <w:p w14:paraId="767E468D" w14:textId="77777777" w:rsidR="002E474C" w:rsidRDefault="002E474C">
            <w:pPr>
              <w:pStyle w:val="A-"/>
            </w:pPr>
          </w:p>
        </w:tc>
        <w:tc>
          <w:tcPr>
            <w:tcW w:w="524" w:type="pct"/>
            <w:vMerge/>
            <w:vAlign w:val="center"/>
          </w:tcPr>
          <w:p w14:paraId="65658F47" w14:textId="77777777" w:rsidR="002E474C" w:rsidRDefault="002E474C">
            <w:pPr>
              <w:pStyle w:val="A-"/>
            </w:pPr>
          </w:p>
        </w:tc>
        <w:tc>
          <w:tcPr>
            <w:tcW w:w="372" w:type="pct"/>
            <w:vMerge/>
            <w:vAlign w:val="center"/>
          </w:tcPr>
          <w:p w14:paraId="04367189" w14:textId="77777777" w:rsidR="002E474C" w:rsidRDefault="002E474C">
            <w:pPr>
              <w:pStyle w:val="A-"/>
            </w:pPr>
          </w:p>
        </w:tc>
        <w:tc>
          <w:tcPr>
            <w:tcW w:w="457" w:type="pct"/>
            <w:vAlign w:val="center"/>
          </w:tcPr>
          <w:p w14:paraId="37AE46F9" w14:textId="77777777" w:rsidR="002E474C" w:rsidRDefault="00000000">
            <w:pPr>
              <w:pStyle w:val="A-"/>
            </w:pPr>
            <w:r>
              <w:t>252-009-11</w:t>
            </w:r>
          </w:p>
        </w:tc>
        <w:tc>
          <w:tcPr>
            <w:tcW w:w="2678" w:type="pct"/>
            <w:vAlign w:val="center"/>
          </w:tcPr>
          <w:p w14:paraId="33E58CC2" w14:textId="77777777" w:rsidR="002E474C" w:rsidRDefault="00000000">
            <w:pPr>
              <w:pStyle w:val="A-"/>
            </w:pPr>
            <w:r>
              <w:t>轻油精炼过程中的废水池残渣</w:t>
            </w:r>
          </w:p>
        </w:tc>
        <w:tc>
          <w:tcPr>
            <w:tcW w:w="395" w:type="pct"/>
            <w:vAlign w:val="center"/>
          </w:tcPr>
          <w:p w14:paraId="0855C133" w14:textId="77777777" w:rsidR="002E474C" w:rsidRDefault="00000000">
            <w:pPr>
              <w:pStyle w:val="A-"/>
            </w:pPr>
            <w:r>
              <w:t>T</w:t>
            </w:r>
          </w:p>
        </w:tc>
      </w:tr>
      <w:tr w:rsidR="002E474C" w14:paraId="75B7904F" w14:textId="77777777">
        <w:trPr>
          <w:trHeight w:val="240"/>
        </w:trPr>
        <w:tc>
          <w:tcPr>
            <w:tcW w:w="574" w:type="pct"/>
            <w:vMerge/>
            <w:vAlign w:val="center"/>
          </w:tcPr>
          <w:p w14:paraId="536055DC" w14:textId="77777777" w:rsidR="002E474C" w:rsidRDefault="002E474C">
            <w:pPr>
              <w:pStyle w:val="A-"/>
            </w:pPr>
          </w:p>
        </w:tc>
        <w:tc>
          <w:tcPr>
            <w:tcW w:w="524" w:type="pct"/>
            <w:vMerge/>
            <w:vAlign w:val="center"/>
          </w:tcPr>
          <w:p w14:paraId="31CAA9EC" w14:textId="77777777" w:rsidR="002E474C" w:rsidRDefault="002E474C">
            <w:pPr>
              <w:pStyle w:val="A-"/>
            </w:pPr>
          </w:p>
        </w:tc>
        <w:tc>
          <w:tcPr>
            <w:tcW w:w="372" w:type="pct"/>
            <w:vMerge/>
            <w:vAlign w:val="center"/>
          </w:tcPr>
          <w:p w14:paraId="46E583C6" w14:textId="77777777" w:rsidR="002E474C" w:rsidRDefault="002E474C">
            <w:pPr>
              <w:pStyle w:val="A-"/>
            </w:pPr>
          </w:p>
        </w:tc>
        <w:tc>
          <w:tcPr>
            <w:tcW w:w="457" w:type="pct"/>
            <w:vAlign w:val="center"/>
          </w:tcPr>
          <w:p w14:paraId="6DFD0FE1" w14:textId="77777777" w:rsidR="002E474C" w:rsidRDefault="00000000">
            <w:pPr>
              <w:pStyle w:val="A-"/>
            </w:pPr>
            <w:r>
              <w:t>252-010-11</w:t>
            </w:r>
          </w:p>
        </w:tc>
        <w:tc>
          <w:tcPr>
            <w:tcW w:w="2678" w:type="pct"/>
            <w:vAlign w:val="center"/>
          </w:tcPr>
          <w:p w14:paraId="2057197C" w14:textId="77777777" w:rsidR="002E474C" w:rsidRDefault="00000000">
            <w:pPr>
              <w:pStyle w:val="A-"/>
            </w:pPr>
            <w:r>
              <w:t>炼焦及煤焦油加工利用过程中产生的废水处理污泥（不包括废水生化处理污泥）</w:t>
            </w:r>
          </w:p>
        </w:tc>
        <w:tc>
          <w:tcPr>
            <w:tcW w:w="395" w:type="pct"/>
            <w:vAlign w:val="center"/>
          </w:tcPr>
          <w:p w14:paraId="48796F81" w14:textId="77777777" w:rsidR="002E474C" w:rsidRDefault="00000000">
            <w:pPr>
              <w:pStyle w:val="A-"/>
            </w:pPr>
            <w:r>
              <w:t>T</w:t>
            </w:r>
          </w:p>
        </w:tc>
      </w:tr>
      <w:tr w:rsidR="002E474C" w14:paraId="466117D3" w14:textId="77777777">
        <w:trPr>
          <w:trHeight w:val="240"/>
        </w:trPr>
        <w:tc>
          <w:tcPr>
            <w:tcW w:w="574" w:type="pct"/>
            <w:vMerge/>
            <w:vAlign w:val="center"/>
          </w:tcPr>
          <w:p w14:paraId="1E282ED9" w14:textId="77777777" w:rsidR="002E474C" w:rsidRDefault="002E474C">
            <w:pPr>
              <w:pStyle w:val="A-"/>
            </w:pPr>
          </w:p>
        </w:tc>
        <w:tc>
          <w:tcPr>
            <w:tcW w:w="524" w:type="pct"/>
            <w:vMerge/>
            <w:vAlign w:val="center"/>
          </w:tcPr>
          <w:p w14:paraId="0699EFF6" w14:textId="77777777" w:rsidR="002E474C" w:rsidRDefault="002E474C">
            <w:pPr>
              <w:pStyle w:val="A-"/>
            </w:pPr>
          </w:p>
        </w:tc>
        <w:tc>
          <w:tcPr>
            <w:tcW w:w="372" w:type="pct"/>
            <w:vMerge/>
            <w:vAlign w:val="center"/>
          </w:tcPr>
          <w:p w14:paraId="5A975B86" w14:textId="77777777" w:rsidR="002E474C" w:rsidRDefault="002E474C">
            <w:pPr>
              <w:pStyle w:val="A-"/>
            </w:pPr>
          </w:p>
        </w:tc>
        <w:tc>
          <w:tcPr>
            <w:tcW w:w="457" w:type="pct"/>
            <w:vAlign w:val="center"/>
          </w:tcPr>
          <w:p w14:paraId="7B9F157E" w14:textId="77777777" w:rsidR="002E474C" w:rsidRDefault="00000000">
            <w:pPr>
              <w:pStyle w:val="A-"/>
            </w:pPr>
            <w:r>
              <w:t>252-011-11</w:t>
            </w:r>
          </w:p>
        </w:tc>
        <w:tc>
          <w:tcPr>
            <w:tcW w:w="2678" w:type="pct"/>
            <w:vAlign w:val="center"/>
          </w:tcPr>
          <w:p w14:paraId="21087F9B" w14:textId="77777777" w:rsidR="002E474C" w:rsidRDefault="00000000">
            <w:pPr>
              <w:pStyle w:val="A-"/>
            </w:pPr>
            <w:r>
              <w:t>焦炭生产过程中产生的酸焦油和其他焦油</w:t>
            </w:r>
          </w:p>
        </w:tc>
        <w:tc>
          <w:tcPr>
            <w:tcW w:w="395" w:type="pct"/>
            <w:vAlign w:val="center"/>
          </w:tcPr>
          <w:p w14:paraId="5E142876" w14:textId="77777777" w:rsidR="002E474C" w:rsidRDefault="00000000">
            <w:pPr>
              <w:pStyle w:val="A-"/>
            </w:pPr>
            <w:r>
              <w:t>T</w:t>
            </w:r>
          </w:p>
        </w:tc>
      </w:tr>
      <w:tr w:rsidR="002E474C" w14:paraId="465FAA07" w14:textId="77777777">
        <w:trPr>
          <w:trHeight w:val="240"/>
        </w:trPr>
        <w:tc>
          <w:tcPr>
            <w:tcW w:w="574" w:type="pct"/>
            <w:vMerge/>
            <w:vAlign w:val="center"/>
          </w:tcPr>
          <w:p w14:paraId="15DBD525" w14:textId="77777777" w:rsidR="002E474C" w:rsidRDefault="002E474C">
            <w:pPr>
              <w:pStyle w:val="A-"/>
            </w:pPr>
          </w:p>
        </w:tc>
        <w:tc>
          <w:tcPr>
            <w:tcW w:w="524" w:type="pct"/>
            <w:vMerge/>
            <w:vAlign w:val="center"/>
          </w:tcPr>
          <w:p w14:paraId="2D8C979A" w14:textId="77777777" w:rsidR="002E474C" w:rsidRDefault="002E474C">
            <w:pPr>
              <w:pStyle w:val="A-"/>
            </w:pPr>
          </w:p>
        </w:tc>
        <w:tc>
          <w:tcPr>
            <w:tcW w:w="372" w:type="pct"/>
            <w:vMerge/>
            <w:vAlign w:val="center"/>
          </w:tcPr>
          <w:p w14:paraId="05A0BA67" w14:textId="77777777" w:rsidR="002E474C" w:rsidRDefault="002E474C">
            <w:pPr>
              <w:pStyle w:val="A-"/>
            </w:pPr>
          </w:p>
        </w:tc>
        <w:tc>
          <w:tcPr>
            <w:tcW w:w="457" w:type="pct"/>
            <w:vAlign w:val="center"/>
          </w:tcPr>
          <w:p w14:paraId="021BB187" w14:textId="77777777" w:rsidR="002E474C" w:rsidRDefault="00000000">
            <w:pPr>
              <w:pStyle w:val="A-"/>
            </w:pPr>
            <w:r>
              <w:t>252-012-11</w:t>
            </w:r>
          </w:p>
        </w:tc>
        <w:tc>
          <w:tcPr>
            <w:tcW w:w="2678" w:type="pct"/>
            <w:vAlign w:val="center"/>
          </w:tcPr>
          <w:p w14:paraId="7B762CAE" w14:textId="77777777" w:rsidR="002E474C" w:rsidRDefault="00000000">
            <w:pPr>
              <w:pStyle w:val="A-"/>
            </w:pPr>
            <w:r>
              <w:t>焦炭生产过程中粗苯精制产生的残渣</w:t>
            </w:r>
          </w:p>
        </w:tc>
        <w:tc>
          <w:tcPr>
            <w:tcW w:w="395" w:type="pct"/>
            <w:vAlign w:val="center"/>
          </w:tcPr>
          <w:p w14:paraId="7F9D0898" w14:textId="77777777" w:rsidR="002E474C" w:rsidRDefault="00000000">
            <w:pPr>
              <w:pStyle w:val="A-"/>
            </w:pPr>
            <w:r>
              <w:t>T</w:t>
            </w:r>
          </w:p>
        </w:tc>
      </w:tr>
      <w:tr w:rsidR="002E474C" w14:paraId="079AE2D5" w14:textId="77777777">
        <w:trPr>
          <w:trHeight w:val="240"/>
        </w:trPr>
        <w:tc>
          <w:tcPr>
            <w:tcW w:w="574" w:type="pct"/>
            <w:vMerge/>
            <w:vAlign w:val="center"/>
          </w:tcPr>
          <w:p w14:paraId="5F0A9D4B" w14:textId="77777777" w:rsidR="002E474C" w:rsidRDefault="002E474C">
            <w:pPr>
              <w:pStyle w:val="A-"/>
            </w:pPr>
          </w:p>
        </w:tc>
        <w:tc>
          <w:tcPr>
            <w:tcW w:w="524" w:type="pct"/>
            <w:vMerge/>
            <w:vAlign w:val="center"/>
          </w:tcPr>
          <w:p w14:paraId="35411C6A" w14:textId="77777777" w:rsidR="002E474C" w:rsidRDefault="002E474C">
            <w:pPr>
              <w:pStyle w:val="A-"/>
            </w:pPr>
          </w:p>
        </w:tc>
        <w:tc>
          <w:tcPr>
            <w:tcW w:w="372" w:type="pct"/>
            <w:vMerge/>
            <w:vAlign w:val="center"/>
          </w:tcPr>
          <w:p w14:paraId="1DEBE401" w14:textId="77777777" w:rsidR="002E474C" w:rsidRDefault="002E474C">
            <w:pPr>
              <w:pStyle w:val="A-"/>
            </w:pPr>
          </w:p>
        </w:tc>
        <w:tc>
          <w:tcPr>
            <w:tcW w:w="457" w:type="pct"/>
            <w:vAlign w:val="center"/>
          </w:tcPr>
          <w:p w14:paraId="7D96B780" w14:textId="77777777" w:rsidR="002E474C" w:rsidRDefault="00000000">
            <w:pPr>
              <w:pStyle w:val="A-"/>
            </w:pPr>
            <w:r>
              <w:t>252-013-11</w:t>
            </w:r>
          </w:p>
        </w:tc>
        <w:tc>
          <w:tcPr>
            <w:tcW w:w="2678" w:type="pct"/>
            <w:vAlign w:val="center"/>
          </w:tcPr>
          <w:p w14:paraId="1A0AB219" w14:textId="77777777" w:rsidR="002E474C" w:rsidRDefault="00000000">
            <w:pPr>
              <w:pStyle w:val="A-"/>
            </w:pPr>
            <w:r>
              <w:t>焦炭生产过程中产生的脱硫废液</w:t>
            </w:r>
          </w:p>
        </w:tc>
        <w:tc>
          <w:tcPr>
            <w:tcW w:w="395" w:type="pct"/>
            <w:vAlign w:val="center"/>
          </w:tcPr>
          <w:p w14:paraId="275F21A8" w14:textId="77777777" w:rsidR="002E474C" w:rsidRDefault="00000000">
            <w:pPr>
              <w:pStyle w:val="A-"/>
            </w:pPr>
            <w:r>
              <w:t>T</w:t>
            </w:r>
          </w:p>
        </w:tc>
      </w:tr>
      <w:tr w:rsidR="002E474C" w14:paraId="28586C9D" w14:textId="77777777">
        <w:trPr>
          <w:trHeight w:val="240"/>
        </w:trPr>
        <w:tc>
          <w:tcPr>
            <w:tcW w:w="574" w:type="pct"/>
            <w:vMerge/>
            <w:vAlign w:val="center"/>
          </w:tcPr>
          <w:p w14:paraId="5BFCACB7" w14:textId="77777777" w:rsidR="002E474C" w:rsidRDefault="002E474C">
            <w:pPr>
              <w:pStyle w:val="A-"/>
            </w:pPr>
          </w:p>
        </w:tc>
        <w:tc>
          <w:tcPr>
            <w:tcW w:w="524" w:type="pct"/>
            <w:vMerge/>
            <w:vAlign w:val="center"/>
          </w:tcPr>
          <w:p w14:paraId="077AD02F" w14:textId="77777777" w:rsidR="002E474C" w:rsidRDefault="002E474C">
            <w:pPr>
              <w:pStyle w:val="A-"/>
            </w:pPr>
          </w:p>
        </w:tc>
        <w:tc>
          <w:tcPr>
            <w:tcW w:w="372" w:type="pct"/>
            <w:vMerge/>
            <w:vAlign w:val="center"/>
          </w:tcPr>
          <w:p w14:paraId="0D915D8A" w14:textId="77777777" w:rsidR="002E474C" w:rsidRDefault="002E474C">
            <w:pPr>
              <w:pStyle w:val="A-"/>
            </w:pPr>
          </w:p>
        </w:tc>
        <w:tc>
          <w:tcPr>
            <w:tcW w:w="457" w:type="pct"/>
            <w:vAlign w:val="center"/>
          </w:tcPr>
          <w:p w14:paraId="1CBE2F08" w14:textId="77777777" w:rsidR="002E474C" w:rsidRDefault="00000000">
            <w:pPr>
              <w:pStyle w:val="A-"/>
            </w:pPr>
            <w:r>
              <w:t>252-014-11</w:t>
            </w:r>
          </w:p>
        </w:tc>
        <w:tc>
          <w:tcPr>
            <w:tcW w:w="2678" w:type="pct"/>
            <w:vAlign w:val="center"/>
          </w:tcPr>
          <w:p w14:paraId="471F0CB7" w14:textId="77777777" w:rsidR="002E474C" w:rsidRDefault="00000000">
            <w:pPr>
              <w:pStyle w:val="A-"/>
            </w:pPr>
            <w:r>
              <w:t>焦炭生产过程中煤气净化产生的残渣和焦油</w:t>
            </w:r>
          </w:p>
        </w:tc>
        <w:tc>
          <w:tcPr>
            <w:tcW w:w="395" w:type="pct"/>
            <w:vAlign w:val="center"/>
          </w:tcPr>
          <w:p w14:paraId="0D3794E9" w14:textId="77777777" w:rsidR="002E474C" w:rsidRDefault="00000000">
            <w:pPr>
              <w:pStyle w:val="A-"/>
            </w:pPr>
            <w:r>
              <w:t>T</w:t>
            </w:r>
          </w:p>
        </w:tc>
      </w:tr>
      <w:tr w:rsidR="002E474C" w14:paraId="02901BEE" w14:textId="77777777">
        <w:trPr>
          <w:trHeight w:val="240"/>
        </w:trPr>
        <w:tc>
          <w:tcPr>
            <w:tcW w:w="574" w:type="pct"/>
            <w:vMerge/>
            <w:vAlign w:val="center"/>
          </w:tcPr>
          <w:p w14:paraId="634B7ED3" w14:textId="77777777" w:rsidR="002E474C" w:rsidRDefault="002E474C">
            <w:pPr>
              <w:pStyle w:val="A-"/>
            </w:pPr>
          </w:p>
        </w:tc>
        <w:tc>
          <w:tcPr>
            <w:tcW w:w="524" w:type="pct"/>
            <w:vMerge/>
            <w:vAlign w:val="center"/>
          </w:tcPr>
          <w:p w14:paraId="624D62E8" w14:textId="77777777" w:rsidR="002E474C" w:rsidRDefault="002E474C">
            <w:pPr>
              <w:pStyle w:val="A-"/>
            </w:pPr>
          </w:p>
        </w:tc>
        <w:tc>
          <w:tcPr>
            <w:tcW w:w="372" w:type="pct"/>
            <w:vMerge/>
            <w:vAlign w:val="center"/>
          </w:tcPr>
          <w:p w14:paraId="4DD83A98" w14:textId="77777777" w:rsidR="002E474C" w:rsidRDefault="002E474C">
            <w:pPr>
              <w:pStyle w:val="A-"/>
            </w:pPr>
          </w:p>
        </w:tc>
        <w:tc>
          <w:tcPr>
            <w:tcW w:w="457" w:type="pct"/>
            <w:vAlign w:val="center"/>
          </w:tcPr>
          <w:p w14:paraId="7B4CAAAA" w14:textId="77777777" w:rsidR="002E474C" w:rsidRDefault="00000000">
            <w:pPr>
              <w:pStyle w:val="A-"/>
            </w:pPr>
            <w:r>
              <w:t>252-015-11</w:t>
            </w:r>
          </w:p>
        </w:tc>
        <w:tc>
          <w:tcPr>
            <w:tcW w:w="2678" w:type="pct"/>
            <w:vAlign w:val="center"/>
          </w:tcPr>
          <w:p w14:paraId="473C269B" w14:textId="77777777" w:rsidR="002E474C" w:rsidRDefault="00000000">
            <w:pPr>
              <w:pStyle w:val="A-"/>
            </w:pPr>
            <w:r>
              <w:t>焦炭生产过程中熄焦废水沉淀产生的焦粉及筛焦过程中产生的粉尘</w:t>
            </w:r>
          </w:p>
        </w:tc>
        <w:tc>
          <w:tcPr>
            <w:tcW w:w="395" w:type="pct"/>
            <w:vAlign w:val="center"/>
          </w:tcPr>
          <w:p w14:paraId="69A1E30B" w14:textId="77777777" w:rsidR="002E474C" w:rsidRDefault="00000000">
            <w:pPr>
              <w:pStyle w:val="A-"/>
            </w:pPr>
            <w:r>
              <w:t>T</w:t>
            </w:r>
          </w:p>
        </w:tc>
      </w:tr>
      <w:tr w:rsidR="002E474C" w14:paraId="4ABDF18C" w14:textId="77777777">
        <w:trPr>
          <w:trHeight w:val="240"/>
        </w:trPr>
        <w:tc>
          <w:tcPr>
            <w:tcW w:w="574" w:type="pct"/>
            <w:vMerge/>
            <w:vAlign w:val="center"/>
          </w:tcPr>
          <w:p w14:paraId="6D8C2165" w14:textId="77777777" w:rsidR="002E474C" w:rsidRDefault="002E474C">
            <w:pPr>
              <w:pStyle w:val="A-"/>
            </w:pPr>
          </w:p>
        </w:tc>
        <w:tc>
          <w:tcPr>
            <w:tcW w:w="524" w:type="pct"/>
            <w:vMerge/>
            <w:vAlign w:val="center"/>
          </w:tcPr>
          <w:p w14:paraId="33EA18C7" w14:textId="77777777" w:rsidR="002E474C" w:rsidRDefault="002E474C">
            <w:pPr>
              <w:pStyle w:val="A-"/>
            </w:pPr>
          </w:p>
        </w:tc>
        <w:tc>
          <w:tcPr>
            <w:tcW w:w="372" w:type="pct"/>
            <w:vMerge/>
            <w:vAlign w:val="center"/>
          </w:tcPr>
          <w:p w14:paraId="36C5693A" w14:textId="77777777" w:rsidR="002E474C" w:rsidRDefault="002E474C">
            <w:pPr>
              <w:pStyle w:val="A-"/>
            </w:pPr>
          </w:p>
        </w:tc>
        <w:tc>
          <w:tcPr>
            <w:tcW w:w="457" w:type="pct"/>
            <w:vAlign w:val="center"/>
          </w:tcPr>
          <w:p w14:paraId="4E62B53B" w14:textId="77777777" w:rsidR="002E474C" w:rsidRDefault="00000000">
            <w:pPr>
              <w:pStyle w:val="A-"/>
            </w:pPr>
            <w:r>
              <w:t>252-016-11</w:t>
            </w:r>
          </w:p>
        </w:tc>
        <w:tc>
          <w:tcPr>
            <w:tcW w:w="2678" w:type="pct"/>
            <w:vAlign w:val="center"/>
          </w:tcPr>
          <w:p w14:paraId="3BCF6623" w14:textId="77777777" w:rsidR="002E474C" w:rsidRDefault="00000000">
            <w:pPr>
              <w:pStyle w:val="A-"/>
            </w:pPr>
            <w:r>
              <w:t>煤沥青改质过程中产生的闪蒸油</w:t>
            </w:r>
          </w:p>
        </w:tc>
        <w:tc>
          <w:tcPr>
            <w:tcW w:w="395" w:type="pct"/>
            <w:vAlign w:val="center"/>
          </w:tcPr>
          <w:p w14:paraId="1E8E0E0E" w14:textId="77777777" w:rsidR="002E474C" w:rsidRDefault="00000000">
            <w:pPr>
              <w:pStyle w:val="A-"/>
            </w:pPr>
            <w:r>
              <w:t>T</w:t>
            </w:r>
          </w:p>
        </w:tc>
      </w:tr>
      <w:tr w:rsidR="002E474C" w14:paraId="174E2336" w14:textId="77777777">
        <w:trPr>
          <w:trHeight w:val="283"/>
        </w:trPr>
        <w:tc>
          <w:tcPr>
            <w:tcW w:w="574" w:type="pct"/>
            <w:vMerge/>
            <w:vAlign w:val="center"/>
          </w:tcPr>
          <w:p w14:paraId="73E8661E" w14:textId="77777777" w:rsidR="002E474C" w:rsidRDefault="002E474C">
            <w:pPr>
              <w:pStyle w:val="A-"/>
            </w:pPr>
          </w:p>
        </w:tc>
        <w:tc>
          <w:tcPr>
            <w:tcW w:w="524" w:type="pct"/>
            <w:vMerge w:val="restart"/>
            <w:vAlign w:val="center"/>
          </w:tcPr>
          <w:p w14:paraId="35A27A12" w14:textId="77777777" w:rsidR="002E474C" w:rsidRDefault="00000000">
            <w:pPr>
              <w:pStyle w:val="A-"/>
            </w:pPr>
            <w:r>
              <w:t>燃气生产和供应业</w:t>
            </w:r>
          </w:p>
        </w:tc>
        <w:tc>
          <w:tcPr>
            <w:tcW w:w="372" w:type="pct"/>
            <w:vMerge w:val="restart"/>
            <w:vAlign w:val="center"/>
          </w:tcPr>
          <w:p w14:paraId="3531D10B" w14:textId="77777777" w:rsidR="002E474C" w:rsidRDefault="00000000">
            <w:pPr>
              <w:pStyle w:val="A-"/>
            </w:pPr>
            <w:r>
              <w:t>半固态、液态</w:t>
            </w:r>
          </w:p>
        </w:tc>
        <w:tc>
          <w:tcPr>
            <w:tcW w:w="457" w:type="pct"/>
            <w:vAlign w:val="center"/>
          </w:tcPr>
          <w:p w14:paraId="532D57EE" w14:textId="77777777" w:rsidR="002E474C" w:rsidRDefault="00000000">
            <w:pPr>
              <w:pStyle w:val="A-"/>
            </w:pPr>
            <w:r>
              <w:t>450-001-11</w:t>
            </w:r>
          </w:p>
        </w:tc>
        <w:tc>
          <w:tcPr>
            <w:tcW w:w="2678" w:type="pct"/>
            <w:vAlign w:val="center"/>
          </w:tcPr>
          <w:p w14:paraId="0D932380" w14:textId="77777777" w:rsidR="002E474C" w:rsidRDefault="00000000">
            <w:pPr>
              <w:pStyle w:val="A-"/>
            </w:pPr>
            <w:r>
              <w:t>煤气生产行业煤气净化过程中产生的煤焦油渣</w:t>
            </w:r>
          </w:p>
        </w:tc>
        <w:tc>
          <w:tcPr>
            <w:tcW w:w="395" w:type="pct"/>
            <w:vAlign w:val="center"/>
          </w:tcPr>
          <w:p w14:paraId="60C59767" w14:textId="77777777" w:rsidR="002E474C" w:rsidRDefault="00000000">
            <w:pPr>
              <w:pStyle w:val="A-"/>
            </w:pPr>
            <w:r>
              <w:t>T</w:t>
            </w:r>
          </w:p>
        </w:tc>
      </w:tr>
      <w:tr w:rsidR="002E474C" w14:paraId="78AE0FE5" w14:textId="77777777">
        <w:trPr>
          <w:trHeight w:val="240"/>
        </w:trPr>
        <w:tc>
          <w:tcPr>
            <w:tcW w:w="574" w:type="pct"/>
            <w:vMerge/>
            <w:vAlign w:val="center"/>
          </w:tcPr>
          <w:p w14:paraId="2BA98B76" w14:textId="77777777" w:rsidR="002E474C" w:rsidRDefault="002E474C">
            <w:pPr>
              <w:pStyle w:val="A-"/>
            </w:pPr>
          </w:p>
        </w:tc>
        <w:tc>
          <w:tcPr>
            <w:tcW w:w="524" w:type="pct"/>
            <w:vMerge/>
            <w:vAlign w:val="center"/>
          </w:tcPr>
          <w:p w14:paraId="2257F43A" w14:textId="77777777" w:rsidR="002E474C" w:rsidRDefault="002E474C">
            <w:pPr>
              <w:pStyle w:val="A-"/>
            </w:pPr>
          </w:p>
        </w:tc>
        <w:tc>
          <w:tcPr>
            <w:tcW w:w="372" w:type="pct"/>
            <w:vMerge/>
            <w:vAlign w:val="center"/>
          </w:tcPr>
          <w:p w14:paraId="23411E0D" w14:textId="77777777" w:rsidR="002E474C" w:rsidRDefault="002E474C">
            <w:pPr>
              <w:pStyle w:val="A-"/>
            </w:pPr>
          </w:p>
        </w:tc>
        <w:tc>
          <w:tcPr>
            <w:tcW w:w="457" w:type="pct"/>
            <w:vAlign w:val="center"/>
          </w:tcPr>
          <w:p w14:paraId="142AAF6B" w14:textId="77777777" w:rsidR="002E474C" w:rsidRDefault="00000000">
            <w:pPr>
              <w:pStyle w:val="A-"/>
            </w:pPr>
            <w:r>
              <w:t>450-002-11</w:t>
            </w:r>
          </w:p>
        </w:tc>
        <w:tc>
          <w:tcPr>
            <w:tcW w:w="2678" w:type="pct"/>
            <w:vAlign w:val="center"/>
          </w:tcPr>
          <w:p w14:paraId="4498556B" w14:textId="77777777" w:rsidR="002E474C" w:rsidRDefault="00000000">
            <w:pPr>
              <w:pStyle w:val="A-"/>
            </w:pPr>
            <w:r>
              <w:t>煤气生产过程中产生的废水处理污泥（不包括废水生化处理污泥）</w:t>
            </w:r>
          </w:p>
        </w:tc>
        <w:tc>
          <w:tcPr>
            <w:tcW w:w="395" w:type="pct"/>
            <w:vAlign w:val="center"/>
          </w:tcPr>
          <w:p w14:paraId="2311B088" w14:textId="77777777" w:rsidR="002E474C" w:rsidRDefault="00000000">
            <w:pPr>
              <w:pStyle w:val="A-"/>
            </w:pPr>
            <w:r>
              <w:t>T</w:t>
            </w:r>
          </w:p>
        </w:tc>
      </w:tr>
      <w:tr w:rsidR="002E474C" w14:paraId="791EE08B" w14:textId="77777777">
        <w:trPr>
          <w:trHeight w:val="240"/>
        </w:trPr>
        <w:tc>
          <w:tcPr>
            <w:tcW w:w="574" w:type="pct"/>
            <w:vMerge/>
            <w:vAlign w:val="center"/>
          </w:tcPr>
          <w:p w14:paraId="48A4B0C3" w14:textId="77777777" w:rsidR="002E474C" w:rsidRDefault="002E474C">
            <w:pPr>
              <w:pStyle w:val="A-"/>
            </w:pPr>
          </w:p>
        </w:tc>
        <w:tc>
          <w:tcPr>
            <w:tcW w:w="524" w:type="pct"/>
            <w:vMerge/>
            <w:vAlign w:val="center"/>
          </w:tcPr>
          <w:p w14:paraId="711E0A52" w14:textId="77777777" w:rsidR="002E474C" w:rsidRDefault="002E474C">
            <w:pPr>
              <w:pStyle w:val="A-"/>
            </w:pPr>
          </w:p>
        </w:tc>
        <w:tc>
          <w:tcPr>
            <w:tcW w:w="372" w:type="pct"/>
            <w:vMerge/>
            <w:vAlign w:val="center"/>
          </w:tcPr>
          <w:p w14:paraId="287ED1B1" w14:textId="77777777" w:rsidR="002E474C" w:rsidRDefault="002E474C">
            <w:pPr>
              <w:pStyle w:val="A-"/>
            </w:pPr>
          </w:p>
        </w:tc>
        <w:tc>
          <w:tcPr>
            <w:tcW w:w="457" w:type="pct"/>
            <w:vAlign w:val="center"/>
          </w:tcPr>
          <w:p w14:paraId="243F4E57" w14:textId="77777777" w:rsidR="002E474C" w:rsidRDefault="00000000">
            <w:pPr>
              <w:pStyle w:val="A-"/>
            </w:pPr>
            <w:r>
              <w:t>450-003-11</w:t>
            </w:r>
          </w:p>
        </w:tc>
        <w:tc>
          <w:tcPr>
            <w:tcW w:w="2678" w:type="pct"/>
            <w:vAlign w:val="center"/>
          </w:tcPr>
          <w:p w14:paraId="2BAD2DAF" w14:textId="77777777" w:rsidR="002E474C" w:rsidRDefault="00000000">
            <w:pPr>
              <w:pStyle w:val="A-"/>
            </w:pPr>
            <w:r>
              <w:t>煤气生产过程中煤气冷凝产生的煤焦油</w:t>
            </w:r>
          </w:p>
        </w:tc>
        <w:tc>
          <w:tcPr>
            <w:tcW w:w="395" w:type="pct"/>
            <w:vAlign w:val="center"/>
          </w:tcPr>
          <w:p w14:paraId="2DBE5064" w14:textId="77777777" w:rsidR="002E474C" w:rsidRDefault="00000000">
            <w:pPr>
              <w:pStyle w:val="A-"/>
            </w:pPr>
            <w:r>
              <w:t>T</w:t>
            </w:r>
          </w:p>
        </w:tc>
      </w:tr>
      <w:tr w:rsidR="002E474C" w14:paraId="3505FBE4" w14:textId="77777777">
        <w:trPr>
          <w:trHeight w:val="240"/>
        </w:trPr>
        <w:tc>
          <w:tcPr>
            <w:tcW w:w="574" w:type="pct"/>
            <w:vMerge/>
            <w:vAlign w:val="center"/>
          </w:tcPr>
          <w:p w14:paraId="30993AFE" w14:textId="77777777" w:rsidR="002E474C" w:rsidRDefault="002E474C">
            <w:pPr>
              <w:pStyle w:val="A-"/>
            </w:pPr>
          </w:p>
        </w:tc>
        <w:tc>
          <w:tcPr>
            <w:tcW w:w="524" w:type="pct"/>
            <w:vMerge w:val="restart"/>
            <w:vAlign w:val="center"/>
          </w:tcPr>
          <w:p w14:paraId="0178FDEA" w14:textId="77777777" w:rsidR="002E474C" w:rsidRDefault="00000000">
            <w:pPr>
              <w:pStyle w:val="A-"/>
            </w:pPr>
            <w:r>
              <w:t>基础化学原料制造</w:t>
            </w:r>
          </w:p>
        </w:tc>
        <w:tc>
          <w:tcPr>
            <w:tcW w:w="372" w:type="pct"/>
            <w:vMerge w:val="restart"/>
            <w:vAlign w:val="center"/>
          </w:tcPr>
          <w:p w14:paraId="19B1B31B" w14:textId="77777777" w:rsidR="002E474C" w:rsidRDefault="00000000">
            <w:pPr>
              <w:pStyle w:val="A-"/>
            </w:pPr>
            <w:r>
              <w:t>半固态、液态</w:t>
            </w:r>
          </w:p>
        </w:tc>
        <w:tc>
          <w:tcPr>
            <w:tcW w:w="457" w:type="pct"/>
            <w:vAlign w:val="center"/>
          </w:tcPr>
          <w:p w14:paraId="5130D605" w14:textId="77777777" w:rsidR="002E474C" w:rsidRDefault="00000000">
            <w:pPr>
              <w:pStyle w:val="A-"/>
            </w:pPr>
            <w:r>
              <w:t>261-007-11</w:t>
            </w:r>
          </w:p>
        </w:tc>
        <w:tc>
          <w:tcPr>
            <w:tcW w:w="2678" w:type="pct"/>
            <w:vAlign w:val="center"/>
          </w:tcPr>
          <w:p w14:paraId="598F6088" w14:textId="77777777" w:rsidR="002E474C" w:rsidRDefault="00000000">
            <w:pPr>
              <w:pStyle w:val="A-"/>
            </w:pPr>
            <w:r>
              <w:t>乙烯法制乙醛生产过程中产生的蒸馏残渣</w:t>
            </w:r>
          </w:p>
        </w:tc>
        <w:tc>
          <w:tcPr>
            <w:tcW w:w="395" w:type="pct"/>
            <w:vAlign w:val="center"/>
          </w:tcPr>
          <w:p w14:paraId="6C773A57" w14:textId="77777777" w:rsidR="002E474C" w:rsidRDefault="00000000">
            <w:pPr>
              <w:pStyle w:val="A-"/>
            </w:pPr>
            <w:r>
              <w:t>T</w:t>
            </w:r>
          </w:p>
        </w:tc>
      </w:tr>
      <w:tr w:rsidR="002E474C" w14:paraId="3784554D" w14:textId="77777777">
        <w:trPr>
          <w:trHeight w:val="240"/>
        </w:trPr>
        <w:tc>
          <w:tcPr>
            <w:tcW w:w="574" w:type="pct"/>
            <w:vMerge/>
            <w:vAlign w:val="center"/>
          </w:tcPr>
          <w:p w14:paraId="419D1D0A" w14:textId="77777777" w:rsidR="002E474C" w:rsidRDefault="002E474C">
            <w:pPr>
              <w:pStyle w:val="A-"/>
            </w:pPr>
          </w:p>
        </w:tc>
        <w:tc>
          <w:tcPr>
            <w:tcW w:w="524" w:type="pct"/>
            <w:vMerge/>
            <w:vAlign w:val="center"/>
          </w:tcPr>
          <w:p w14:paraId="436FDFD9" w14:textId="77777777" w:rsidR="002E474C" w:rsidRDefault="002E474C">
            <w:pPr>
              <w:pStyle w:val="A-"/>
            </w:pPr>
          </w:p>
        </w:tc>
        <w:tc>
          <w:tcPr>
            <w:tcW w:w="372" w:type="pct"/>
            <w:vMerge/>
            <w:vAlign w:val="center"/>
          </w:tcPr>
          <w:p w14:paraId="35EB7228" w14:textId="77777777" w:rsidR="002E474C" w:rsidRDefault="002E474C">
            <w:pPr>
              <w:pStyle w:val="A-"/>
            </w:pPr>
          </w:p>
        </w:tc>
        <w:tc>
          <w:tcPr>
            <w:tcW w:w="457" w:type="pct"/>
            <w:vAlign w:val="center"/>
          </w:tcPr>
          <w:p w14:paraId="248738B5" w14:textId="77777777" w:rsidR="002E474C" w:rsidRDefault="00000000">
            <w:pPr>
              <w:pStyle w:val="A-"/>
            </w:pPr>
            <w:r>
              <w:t>261-008-11</w:t>
            </w:r>
          </w:p>
        </w:tc>
        <w:tc>
          <w:tcPr>
            <w:tcW w:w="2678" w:type="pct"/>
            <w:vAlign w:val="center"/>
          </w:tcPr>
          <w:p w14:paraId="729738DD" w14:textId="77777777" w:rsidR="002E474C" w:rsidRDefault="00000000">
            <w:pPr>
              <w:pStyle w:val="A-"/>
            </w:pPr>
            <w:r>
              <w:t>乙烯法制乙醛生产过程中产生的蒸馏次要馏分</w:t>
            </w:r>
          </w:p>
        </w:tc>
        <w:tc>
          <w:tcPr>
            <w:tcW w:w="395" w:type="pct"/>
            <w:vAlign w:val="center"/>
          </w:tcPr>
          <w:p w14:paraId="2E6D7092" w14:textId="77777777" w:rsidR="002E474C" w:rsidRDefault="00000000">
            <w:pPr>
              <w:pStyle w:val="A-"/>
            </w:pPr>
            <w:r>
              <w:t>T</w:t>
            </w:r>
          </w:p>
        </w:tc>
      </w:tr>
      <w:tr w:rsidR="002E474C" w14:paraId="5346AE61" w14:textId="77777777">
        <w:trPr>
          <w:trHeight w:val="240"/>
        </w:trPr>
        <w:tc>
          <w:tcPr>
            <w:tcW w:w="574" w:type="pct"/>
            <w:vMerge/>
            <w:vAlign w:val="center"/>
          </w:tcPr>
          <w:p w14:paraId="6AC930A7" w14:textId="77777777" w:rsidR="002E474C" w:rsidRDefault="002E474C">
            <w:pPr>
              <w:pStyle w:val="A-"/>
            </w:pPr>
          </w:p>
        </w:tc>
        <w:tc>
          <w:tcPr>
            <w:tcW w:w="524" w:type="pct"/>
            <w:vMerge/>
            <w:vAlign w:val="center"/>
          </w:tcPr>
          <w:p w14:paraId="435C7406" w14:textId="77777777" w:rsidR="002E474C" w:rsidRDefault="002E474C">
            <w:pPr>
              <w:pStyle w:val="A-"/>
            </w:pPr>
          </w:p>
        </w:tc>
        <w:tc>
          <w:tcPr>
            <w:tcW w:w="372" w:type="pct"/>
            <w:vMerge/>
            <w:vAlign w:val="center"/>
          </w:tcPr>
          <w:p w14:paraId="4CDBDFAC" w14:textId="77777777" w:rsidR="002E474C" w:rsidRDefault="002E474C">
            <w:pPr>
              <w:pStyle w:val="A-"/>
            </w:pPr>
          </w:p>
        </w:tc>
        <w:tc>
          <w:tcPr>
            <w:tcW w:w="457" w:type="pct"/>
            <w:vAlign w:val="center"/>
          </w:tcPr>
          <w:p w14:paraId="2A20ACFE" w14:textId="77777777" w:rsidR="002E474C" w:rsidRDefault="00000000">
            <w:pPr>
              <w:pStyle w:val="A-"/>
            </w:pPr>
            <w:r>
              <w:t>261-009-11</w:t>
            </w:r>
          </w:p>
        </w:tc>
        <w:tc>
          <w:tcPr>
            <w:tcW w:w="2678" w:type="pct"/>
            <w:vAlign w:val="center"/>
          </w:tcPr>
          <w:p w14:paraId="42994824" w14:textId="77777777" w:rsidR="002E474C" w:rsidRDefault="00000000">
            <w:pPr>
              <w:pStyle w:val="A-"/>
            </w:pPr>
            <w:r>
              <w:t>苄基氯生产过程中苄基氯蒸馏产生的蒸馏残渣</w:t>
            </w:r>
          </w:p>
        </w:tc>
        <w:tc>
          <w:tcPr>
            <w:tcW w:w="395" w:type="pct"/>
            <w:vAlign w:val="center"/>
          </w:tcPr>
          <w:p w14:paraId="0D716BF1" w14:textId="77777777" w:rsidR="002E474C" w:rsidRDefault="00000000">
            <w:pPr>
              <w:pStyle w:val="A-"/>
            </w:pPr>
            <w:r>
              <w:t>T</w:t>
            </w:r>
          </w:p>
        </w:tc>
      </w:tr>
      <w:tr w:rsidR="002E474C" w14:paraId="2E35EAAC" w14:textId="77777777">
        <w:trPr>
          <w:trHeight w:val="240"/>
        </w:trPr>
        <w:tc>
          <w:tcPr>
            <w:tcW w:w="574" w:type="pct"/>
            <w:vMerge/>
            <w:vAlign w:val="center"/>
          </w:tcPr>
          <w:p w14:paraId="599C910F" w14:textId="77777777" w:rsidR="002E474C" w:rsidRDefault="002E474C">
            <w:pPr>
              <w:pStyle w:val="A-"/>
            </w:pPr>
          </w:p>
        </w:tc>
        <w:tc>
          <w:tcPr>
            <w:tcW w:w="524" w:type="pct"/>
            <w:vMerge/>
            <w:vAlign w:val="center"/>
          </w:tcPr>
          <w:p w14:paraId="6675D3C6" w14:textId="77777777" w:rsidR="002E474C" w:rsidRDefault="002E474C">
            <w:pPr>
              <w:pStyle w:val="A-"/>
            </w:pPr>
          </w:p>
        </w:tc>
        <w:tc>
          <w:tcPr>
            <w:tcW w:w="372" w:type="pct"/>
            <w:vMerge/>
            <w:vAlign w:val="center"/>
          </w:tcPr>
          <w:p w14:paraId="514A3F46" w14:textId="77777777" w:rsidR="002E474C" w:rsidRDefault="002E474C">
            <w:pPr>
              <w:pStyle w:val="A-"/>
            </w:pPr>
          </w:p>
        </w:tc>
        <w:tc>
          <w:tcPr>
            <w:tcW w:w="457" w:type="pct"/>
            <w:vAlign w:val="center"/>
          </w:tcPr>
          <w:p w14:paraId="286A534C" w14:textId="77777777" w:rsidR="002E474C" w:rsidRDefault="00000000">
            <w:pPr>
              <w:pStyle w:val="A-"/>
            </w:pPr>
            <w:r>
              <w:t>261-010-11</w:t>
            </w:r>
          </w:p>
        </w:tc>
        <w:tc>
          <w:tcPr>
            <w:tcW w:w="2678" w:type="pct"/>
            <w:vAlign w:val="center"/>
          </w:tcPr>
          <w:p w14:paraId="120A4F8C" w14:textId="77777777" w:rsidR="002E474C" w:rsidRDefault="00000000">
            <w:pPr>
              <w:pStyle w:val="A-"/>
            </w:pPr>
            <w:r>
              <w:t>四氯化碳生产过程中产生的蒸馏残渣和重馏分</w:t>
            </w:r>
          </w:p>
        </w:tc>
        <w:tc>
          <w:tcPr>
            <w:tcW w:w="395" w:type="pct"/>
            <w:vAlign w:val="center"/>
          </w:tcPr>
          <w:p w14:paraId="309A6588" w14:textId="77777777" w:rsidR="002E474C" w:rsidRDefault="00000000">
            <w:pPr>
              <w:pStyle w:val="A-"/>
            </w:pPr>
            <w:r>
              <w:t>T</w:t>
            </w:r>
          </w:p>
        </w:tc>
      </w:tr>
      <w:tr w:rsidR="002E474C" w14:paraId="567AD030" w14:textId="77777777">
        <w:trPr>
          <w:trHeight w:val="240"/>
        </w:trPr>
        <w:tc>
          <w:tcPr>
            <w:tcW w:w="574" w:type="pct"/>
            <w:vMerge/>
            <w:vAlign w:val="center"/>
          </w:tcPr>
          <w:p w14:paraId="6578A146" w14:textId="77777777" w:rsidR="002E474C" w:rsidRDefault="002E474C">
            <w:pPr>
              <w:pStyle w:val="A-"/>
            </w:pPr>
          </w:p>
        </w:tc>
        <w:tc>
          <w:tcPr>
            <w:tcW w:w="524" w:type="pct"/>
            <w:vMerge/>
            <w:vAlign w:val="center"/>
          </w:tcPr>
          <w:p w14:paraId="5FCFDDA2" w14:textId="77777777" w:rsidR="002E474C" w:rsidRDefault="002E474C">
            <w:pPr>
              <w:pStyle w:val="A-"/>
            </w:pPr>
          </w:p>
        </w:tc>
        <w:tc>
          <w:tcPr>
            <w:tcW w:w="372" w:type="pct"/>
            <w:vMerge/>
            <w:vAlign w:val="center"/>
          </w:tcPr>
          <w:p w14:paraId="44767C93" w14:textId="77777777" w:rsidR="002E474C" w:rsidRDefault="002E474C">
            <w:pPr>
              <w:pStyle w:val="A-"/>
            </w:pPr>
          </w:p>
        </w:tc>
        <w:tc>
          <w:tcPr>
            <w:tcW w:w="457" w:type="pct"/>
            <w:vAlign w:val="center"/>
          </w:tcPr>
          <w:p w14:paraId="1095DC63" w14:textId="77777777" w:rsidR="002E474C" w:rsidRDefault="00000000">
            <w:pPr>
              <w:pStyle w:val="A-"/>
            </w:pPr>
            <w:r>
              <w:t>261-011-11</w:t>
            </w:r>
          </w:p>
        </w:tc>
        <w:tc>
          <w:tcPr>
            <w:tcW w:w="2678" w:type="pct"/>
            <w:vAlign w:val="center"/>
          </w:tcPr>
          <w:p w14:paraId="6034724B" w14:textId="77777777" w:rsidR="002E474C" w:rsidRDefault="00000000">
            <w:pPr>
              <w:pStyle w:val="A-"/>
            </w:pPr>
            <w:r>
              <w:t>表氯醇生产过程中精制塔产生的蒸馏残渣</w:t>
            </w:r>
          </w:p>
        </w:tc>
        <w:tc>
          <w:tcPr>
            <w:tcW w:w="395" w:type="pct"/>
            <w:vAlign w:val="center"/>
          </w:tcPr>
          <w:p w14:paraId="57118727" w14:textId="77777777" w:rsidR="002E474C" w:rsidRDefault="00000000">
            <w:pPr>
              <w:pStyle w:val="A-"/>
            </w:pPr>
            <w:r>
              <w:t>T</w:t>
            </w:r>
          </w:p>
        </w:tc>
      </w:tr>
      <w:tr w:rsidR="002E474C" w14:paraId="350238F6" w14:textId="77777777">
        <w:trPr>
          <w:trHeight w:val="240"/>
        </w:trPr>
        <w:tc>
          <w:tcPr>
            <w:tcW w:w="574" w:type="pct"/>
            <w:vMerge/>
            <w:vAlign w:val="center"/>
          </w:tcPr>
          <w:p w14:paraId="4091A64B" w14:textId="77777777" w:rsidR="002E474C" w:rsidRDefault="002E474C">
            <w:pPr>
              <w:pStyle w:val="A-"/>
            </w:pPr>
          </w:p>
        </w:tc>
        <w:tc>
          <w:tcPr>
            <w:tcW w:w="524" w:type="pct"/>
            <w:vMerge/>
            <w:vAlign w:val="center"/>
          </w:tcPr>
          <w:p w14:paraId="2EA55175" w14:textId="77777777" w:rsidR="002E474C" w:rsidRDefault="002E474C">
            <w:pPr>
              <w:pStyle w:val="A-"/>
            </w:pPr>
          </w:p>
        </w:tc>
        <w:tc>
          <w:tcPr>
            <w:tcW w:w="372" w:type="pct"/>
            <w:vMerge/>
            <w:vAlign w:val="center"/>
          </w:tcPr>
          <w:p w14:paraId="1732B08D" w14:textId="77777777" w:rsidR="002E474C" w:rsidRDefault="002E474C">
            <w:pPr>
              <w:pStyle w:val="A-"/>
            </w:pPr>
          </w:p>
        </w:tc>
        <w:tc>
          <w:tcPr>
            <w:tcW w:w="457" w:type="pct"/>
            <w:vAlign w:val="center"/>
          </w:tcPr>
          <w:p w14:paraId="0EABC9CC" w14:textId="77777777" w:rsidR="002E474C" w:rsidRDefault="00000000">
            <w:pPr>
              <w:pStyle w:val="A-"/>
            </w:pPr>
            <w:r>
              <w:t>261-012-11</w:t>
            </w:r>
          </w:p>
        </w:tc>
        <w:tc>
          <w:tcPr>
            <w:tcW w:w="2678" w:type="pct"/>
            <w:vAlign w:val="center"/>
          </w:tcPr>
          <w:p w14:paraId="6F694FE7" w14:textId="77777777" w:rsidR="002E474C" w:rsidRDefault="00000000">
            <w:pPr>
              <w:pStyle w:val="A-"/>
            </w:pPr>
            <w:r>
              <w:t>异丙苯法生产苯酚和丙酮过程中产生的蒸馏残渣</w:t>
            </w:r>
          </w:p>
        </w:tc>
        <w:tc>
          <w:tcPr>
            <w:tcW w:w="395" w:type="pct"/>
            <w:vAlign w:val="center"/>
          </w:tcPr>
          <w:p w14:paraId="362B44FC" w14:textId="77777777" w:rsidR="002E474C" w:rsidRDefault="00000000">
            <w:pPr>
              <w:pStyle w:val="A-"/>
            </w:pPr>
            <w:r>
              <w:t>T</w:t>
            </w:r>
          </w:p>
        </w:tc>
      </w:tr>
      <w:tr w:rsidR="002E474C" w14:paraId="60C83298" w14:textId="77777777">
        <w:trPr>
          <w:trHeight w:val="240"/>
        </w:trPr>
        <w:tc>
          <w:tcPr>
            <w:tcW w:w="574" w:type="pct"/>
            <w:vMerge/>
            <w:vAlign w:val="center"/>
          </w:tcPr>
          <w:p w14:paraId="314FFECC" w14:textId="77777777" w:rsidR="002E474C" w:rsidRDefault="002E474C">
            <w:pPr>
              <w:pStyle w:val="A-"/>
            </w:pPr>
          </w:p>
        </w:tc>
        <w:tc>
          <w:tcPr>
            <w:tcW w:w="524" w:type="pct"/>
            <w:vMerge/>
            <w:vAlign w:val="center"/>
          </w:tcPr>
          <w:p w14:paraId="64EEB23F" w14:textId="77777777" w:rsidR="002E474C" w:rsidRDefault="002E474C">
            <w:pPr>
              <w:pStyle w:val="A-"/>
            </w:pPr>
          </w:p>
        </w:tc>
        <w:tc>
          <w:tcPr>
            <w:tcW w:w="372" w:type="pct"/>
            <w:vMerge/>
            <w:vAlign w:val="center"/>
          </w:tcPr>
          <w:p w14:paraId="3439086F" w14:textId="77777777" w:rsidR="002E474C" w:rsidRDefault="002E474C">
            <w:pPr>
              <w:pStyle w:val="A-"/>
            </w:pPr>
          </w:p>
        </w:tc>
        <w:tc>
          <w:tcPr>
            <w:tcW w:w="457" w:type="pct"/>
            <w:vAlign w:val="center"/>
          </w:tcPr>
          <w:p w14:paraId="0B05533C" w14:textId="77777777" w:rsidR="002E474C" w:rsidRDefault="00000000">
            <w:pPr>
              <w:pStyle w:val="A-"/>
            </w:pPr>
            <w:r>
              <w:t>261-013-11</w:t>
            </w:r>
          </w:p>
        </w:tc>
        <w:tc>
          <w:tcPr>
            <w:tcW w:w="2678" w:type="pct"/>
            <w:vAlign w:val="center"/>
          </w:tcPr>
          <w:p w14:paraId="6656CE28" w14:textId="77777777" w:rsidR="002E474C" w:rsidRDefault="00000000">
            <w:pPr>
              <w:pStyle w:val="A-"/>
            </w:pPr>
            <w:r>
              <w:t>萘法生产邻苯二甲酸酐过程中产生的蒸馏残渣和轻馏分</w:t>
            </w:r>
          </w:p>
        </w:tc>
        <w:tc>
          <w:tcPr>
            <w:tcW w:w="395" w:type="pct"/>
            <w:vAlign w:val="center"/>
          </w:tcPr>
          <w:p w14:paraId="2B2FB890" w14:textId="77777777" w:rsidR="002E474C" w:rsidRDefault="00000000">
            <w:pPr>
              <w:pStyle w:val="A-"/>
            </w:pPr>
            <w:r>
              <w:t>T</w:t>
            </w:r>
          </w:p>
        </w:tc>
      </w:tr>
      <w:tr w:rsidR="002E474C" w14:paraId="40185E54" w14:textId="77777777">
        <w:trPr>
          <w:trHeight w:val="240"/>
        </w:trPr>
        <w:tc>
          <w:tcPr>
            <w:tcW w:w="574" w:type="pct"/>
            <w:vMerge/>
            <w:vAlign w:val="center"/>
          </w:tcPr>
          <w:p w14:paraId="7B49D997" w14:textId="77777777" w:rsidR="002E474C" w:rsidRDefault="002E474C">
            <w:pPr>
              <w:pStyle w:val="A-"/>
            </w:pPr>
          </w:p>
        </w:tc>
        <w:tc>
          <w:tcPr>
            <w:tcW w:w="524" w:type="pct"/>
            <w:vMerge/>
            <w:vAlign w:val="center"/>
          </w:tcPr>
          <w:p w14:paraId="5B2D7708" w14:textId="77777777" w:rsidR="002E474C" w:rsidRDefault="002E474C">
            <w:pPr>
              <w:pStyle w:val="A-"/>
            </w:pPr>
          </w:p>
        </w:tc>
        <w:tc>
          <w:tcPr>
            <w:tcW w:w="372" w:type="pct"/>
            <w:vMerge/>
            <w:vAlign w:val="center"/>
          </w:tcPr>
          <w:p w14:paraId="7A3C4D70" w14:textId="77777777" w:rsidR="002E474C" w:rsidRDefault="002E474C">
            <w:pPr>
              <w:pStyle w:val="A-"/>
            </w:pPr>
          </w:p>
        </w:tc>
        <w:tc>
          <w:tcPr>
            <w:tcW w:w="457" w:type="pct"/>
            <w:vAlign w:val="center"/>
          </w:tcPr>
          <w:p w14:paraId="7673B23A" w14:textId="77777777" w:rsidR="002E474C" w:rsidRDefault="00000000">
            <w:pPr>
              <w:pStyle w:val="A-"/>
            </w:pPr>
            <w:r>
              <w:t>261-014-11</w:t>
            </w:r>
          </w:p>
        </w:tc>
        <w:tc>
          <w:tcPr>
            <w:tcW w:w="2678" w:type="pct"/>
            <w:vAlign w:val="center"/>
          </w:tcPr>
          <w:p w14:paraId="4F8954AE" w14:textId="77777777" w:rsidR="002E474C" w:rsidRDefault="00000000">
            <w:pPr>
              <w:pStyle w:val="A-"/>
            </w:pPr>
            <w:r>
              <w:t>邻二甲苯法生产邻苯二甲酸酐过程中产生的蒸馏残渣和轻馏分</w:t>
            </w:r>
          </w:p>
        </w:tc>
        <w:tc>
          <w:tcPr>
            <w:tcW w:w="395" w:type="pct"/>
            <w:vAlign w:val="center"/>
          </w:tcPr>
          <w:p w14:paraId="6282698E" w14:textId="77777777" w:rsidR="002E474C" w:rsidRDefault="00000000">
            <w:pPr>
              <w:pStyle w:val="A-"/>
            </w:pPr>
            <w:r>
              <w:t>T</w:t>
            </w:r>
          </w:p>
        </w:tc>
      </w:tr>
      <w:tr w:rsidR="002E474C" w14:paraId="42364011" w14:textId="77777777">
        <w:trPr>
          <w:trHeight w:val="240"/>
        </w:trPr>
        <w:tc>
          <w:tcPr>
            <w:tcW w:w="574" w:type="pct"/>
            <w:vMerge/>
            <w:vAlign w:val="center"/>
          </w:tcPr>
          <w:p w14:paraId="01E78C05" w14:textId="77777777" w:rsidR="002E474C" w:rsidRDefault="002E474C">
            <w:pPr>
              <w:pStyle w:val="A-"/>
            </w:pPr>
          </w:p>
        </w:tc>
        <w:tc>
          <w:tcPr>
            <w:tcW w:w="524" w:type="pct"/>
            <w:vMerge/>
            <w:vAlign w:val="center"/>
          </w:tcPr>
          <w:p w14:paraId="2AF34494" w14:textId="77777777" w:rsidR="002E474C" w:rsidRDefault="002E474C">
            <w:pPr>
              <w:pStyle w:val="A-"/>
            </w:pPr>
          </w:p>
        </w:tc>
        <w:tc>
          <w:tcPr>
            <w:tcW w:w="372" w:type="pct"/>
            <w:vMerge/>
            <w:vAlign w:val="center"/>
          </w:tcPr>
          <w:p w14:paraId="519AB46A" w14:textId="77777777" w:rsidR="002E474C" w:rsidRDefault="002E474C">
            <w:pPr>
              <w:pStyle w:val="A-"/>
            </w:pPr>
          </w:p>
        </w:tc>
        <w:tc>
          <w:tcPr>
            <w:tcW w:w="457" w:type="pct"/>
            <w:vAlign w:val="center"/>
          </w:tcPr>
          <w:p w14:paraId="37081E66" w14:textId="77777777" w:rsidR="002E474C" w:rsidRDefault="00000000">
            <w:pPr>
              <w:pStyle w:val="A-"/>
            </w:pPr>
            <w:r>
              <w:t>261-015-11</w:t>
            </w:r>
          </w:p>
        </w:tc>
        <w:tc>
          <w:tcPr>
            <w:tcW w:w="2678" w:type="pct"/>
            <w:vAlign w:val="center"/>
          </w:tcPr>
          <w:p w14:paraId="4D830B5E" w14:textId="77777777" w:rsidR="002E474C" w:rsidRDefault="00000000">
            <w:pPr>
              <w:pStyle w:val="A-"/>
            </w:pPr>
            <w:r>
              <w:t>苯硝化法生产硝基苯过程中产生的蒸馏残渣</w:t>
            </w:r>
          </w:p>
        </w:tc>
        <w:tc>
          <w:tcPr>
            <w:tcW w:w="395" w:type="pct"/>
            <w:vAlign w:val="center"/>
          </w:tcPr>
          <w:p w14:paraId="3757E699" w14:textId="77777777" w:rsidR="002E474C" w:rsidRDefault="00000000">
            <w:pPr>
              <w:pStyle w:val="A-"/>
            </w:pPr>
            <w:r>
              <w:t>T</w:t>
            </w:r>
          </w:p>
        </w:tc>
      </w:tr>
      <w:tr w:rsidR="002E474C" w14:paraId="3CBEFCB1" w14:textId="77777777">
        <w:trPr>
          <w:trHeight w:val="240"/>
        </w:trPr>
        <w:tc>
          <w:tcPr>
            <w:tcW w:w="574" w:type="pct"/>
            <w:vMerge/>
            <w:vAlign w:val="center"/>
          </w:tcPr>
          <w:p w14:paraId="3644A6C4" w14:textId="77777777" w:rsidR="002E474C" w:rsidRDefault="002E474C">
            <w:pPr>
              <w:pStyle w:val="A-"/>
            </w:pPr>
          </w:p>
        </w:tc>
        <w:tc>
          <w:tcPr>
            <w:tcW w:w="524" w:type="pct"/>
            <w:vMerge/>
            <w:vAlign w:val="center"/>
          </w:tcPr>
          <w:p w14:paraId="02BE77D6" w14:textId="77777777" w:rsidR="002E474C" w:rsidRDefault="002E474C">
            <w:pPr>
              <w:pStyle w:val="A-"/>
            </w:pPr>
          </w:p>
        </w:tc>
        <w:tc>
          <w:tcPr>
            <w:tcW w:w="372" w:type="pct"/>
            <w:vMerge/>
            <w:vAlign w:val="center"/>
          </w:tcPr>
          <w:p w14:paraId="6007FCEB" w14:textId="77777777" w:rsidR="002E474C" w:rsidRDefault="002E474C">
            <w:pPr>
              <w:pStyle w:val="A-"/>
            </w:pPr>
          </w:p>
        </w:tc>
        <w:tc>
          <w:tcPr>
            <w:tcW w:w="457" w:type="pct"/>
            <w:vAlign w:val="center"/>
          </w:tcPr>
          <w:p w14:paraId="2D7EBBB6" w14:textId="77777777" w:rsidR="002E474C" w:rsidRDefault="00000000">
            <w:pPr>
              <w:pStyle w:val="A-"/>
            </w:pPr>
            <w:r>
              <w:t>261-016-11</w:t>
            </w:r>
          </w:p>
        </w:tc>
        <w:tc>
          <w:tcPr>
            <w:tcW w:w="2678" w:type="pct"/>
            <w:vAlign w:val="center"/>
          </w:tcPr>
          <w:p w14:paraId="71F3F4A7" w14:textId="77777777" w:rsidR="002E474C" w:rsidRDefault="00000000">
            <w:pPr>
              <w:pStyle w:val="A-"/>
            </w:pPr>
            <w:r>
              <w:t>甲苯二异氰酸酯生产过程中产生的蒸馏残渣和离心分离残渣</w:t>
            </w:r>
          </w:p>
        </w:tc>
        <w:tc>
          <w:tcPr>
            <w:tcW w:w="395" w:type="pct"/>
            <w:vAlign w:val="center"/>
          </w:tcPr>
          <w:p w14:paraId="36FDAC12" w14:textId="77777777" w:rsidR="002E474C" w:rsidRDefault="00000000">
            <w:pPr>
              <w:pStyle w:val="A-"/>
            </w:pPr>
            <w:r>
              <w:t>T</w:t>
            </w:r>
          </w:p>
        </w:tc>
      </w:tr>
      <w:tr w:rsidR="002E474C" w14:paraId="45246C5C" w14:textId="77777777">
        <w:trPr>
          <w:trHeight w:val="240"/>
        </w:trPr>
        <w:tc>
          <w:tcPr>
            <w:tcW w:w="574" w:type="pct"/>
            <w:vMerge/>
            <w:vAlign w:val="center"/>
          </w:tcPr>
          <w:p w14:paraId="05F0D717" w14:textId="77777777" w:rsidR="002E474C" w:rsidRDefault="002E474C">
            <w:pPr>
              <w:pStyle w:val="A-"/>
            </w:pPr>
          </w:p>
        </w:tc>
        <w:tc>
          <w:tcPr>
            <w:tcW w:w="524" w:type="pct"/>
            <w:vMerge/>
            <w:vAlign w:val="center"/>
          </w:tcPr>
          <w:p w14:paraId="03783718" w14:textId="77777777" w:rsidR="002E474C" w:rsidRDefault="002E474C">
            <w:pPr>
              <w:pStyle w:val="A-"/>
            </w:pPr>
          </w:p>
        </w:tc>
        <w:tc>
          <w:tcPr>
            <w:tcW w:w="372" w:type="pct"/>
            <w:vMerge/>
            <w:vAlign w:val="center"/>
          </w:tcPr>
          <w:p w14:paraId="35E64DDD" w14:textId="77777777" w:rsidR="002E474C" w:rsidRDefault="002E474C">
            <w:pPr>
              <w:pStyle w:val="A-"/>
            </w:pPr>
          </w:p>
        </w:tc>
        <w:tc>
          <w:tcPr>
            <w:tcW w:w="457" w:type="pct"/>
            <w:vAlign w:val="center"/>
          </w:tcPr>
          <w:p w14:paraId="5F45EF53" w14:textId="77777777" w:rsidR="002E474C" w:rsidRDefault="00000000">
            <w:pPr>
              <w:pStyle w:val="A-"/>
            </w:pPr>
            <w:r>
              <w:t>261-017-11</w:t>
            </w:r>
          </w:p>
        </w:tc>
        <w:tc>
          <w:tcPr>
            <w:tcW w:w="2678" w:type="pct"/>
            <w:vAlign w:val="center"/>
          </w:tcPr>
          <w:p w14:paraId="18FB2D67" w14:textId="77777777" w:rsidR="002E474C" w:rsidRDefault="00000000">
            <w:pPr>
              <w:pStyle w:val="A-"/>
            </w:pPr>
            <w:r>
              <w:t>1,1,1-</w:t>
            </w:r>
            <w:r>
              <w:t>三氯乙烷生产过程中产生的蒸馏残渣</w:t>
            </w:r>
          </w:p>
        </w:tc>
        <w:tc>
          <w:tcPr>
            <w:tcW w:w="395" w:type="pct"/>
            <w:vAlign w:val="center"/>
          </w:tcPr>
          <w:p w14:paraId="7709919F" w14:textId="77777777" w:rsidR="002E474C" w:rsidRDefault="00000000">
            <w:pPr>
              <w:pStyle w:val="A-"/>
            </w:pPr>
            <w:r>
              <w:t>T</w:t>
            </w:r>
          </w:p>
        </w:tc>
      </w:tr>
      <w:tr w:rsidR="002E474C" w14:paraId="326438D1" w14:textId="77777777">
        <w:trPr>
          <w:trHeight w:val="240"/>
        </w:trPr>
        <w:tc>
          <w:tcPr>
            <w:tcW w:w="574" w:type="pct"/>
            <w:vMerge/>
            <w:vAlign w:val="center"/>
          </w:tcPr>
          <w:p w14:paraId="215DD8F8" w14:textId="77777777" w:rsidR="002E474C" w:rsidRDefault="002E474C">
            <w:pPr>
              <w:pStyle w:val="A-"/>
            </w:pPr>
          </w:p>
        </w:tc>
        <w:tc>
          <w:tcPr>
            <w:tcW w:w="524" w:type="pct"/>
            <w:vMerge/>
            <w:vAlign w:val="center"/>
          </w:tcPr>
          <w:p w14:paraId="285969E0" w14:textId="77777777" w:rsidR="002E474C" w:rsidRDefault="002E474C">
            <w:pPr>
              <w:pStyle w:val="A-"/>
            </w:pPr>
          </w:p>
        </w:tc>
        <w:tc>
          <w:tcPr>
            <w:tcW w:w="372" w:type="pct"/>
            <w:vMerge/>
            <w:vAlign w:val="center"/>
          </w:tcPr>
          <w:p w14:paraId="093F90AB" w14:textId="77777777" w:rsidR="002E474C" w:rsidRDefault="002E474C">
            <w:pPr>
              <w:pStyle w:val="A-"/>
            </w:pPr>
          </w:p>
        </w:tc>
        <w:tc>
          <w:tcPr>
            <w:tcW w:w="457" w:type="pct"/>
            <w:vAlign w:val="center"/>
          </w:tcPr>
          <w:p w14:paraId="669D9EE0" w14:textId="77777777" w:rsidR="002E474C" w:rsidRDefault="00000000">
            <w:pPr>
              <w:pStyle w:val="A-"/>
            </w:pPr>
            <w:r>
              <w:t>261-018-11</w:t>
            </w:r>
          </w:p>
        </w:tc>
        <w:tc>
          <w:tcPr>
            <w:tcW w:w="2678" w:type="pct"/>
            <w:vAlign w:val="center"/>
          </w:tcPr>
          <w:p w14:paraId="47E4DE67" w14:textId="77777777" w:rsidR="002E474C" w:rsidRDefault="00000000">
            <w:pPr>
              <w:pStyle w:val="A-"/>
            </w:pPr>
            <w:r>
              <w:t>三氯乙烯和四氯乙烯联合生产过程中产生的蒸馏残渣</w:t>
            </w:r>
          </w:p>
        </w:tc>
        <w:tc>
          <w:tcPr>
            <w:tcW w:w="395" w:type="pct"/>
            <w:vAlign w:val="center"/>
          </w:tcPr>
          <w:p w14:paraId="3234E5E4" w14:textId="77777777" w:rsidR="002E474C" w:rsidRDefault="00000000">
            <w:pPr>
              <w:pStyle w:val="A-"/>
            </w:pPr>
            <w:r>
              <w:t>T</w:t>
            </w:r>
          </w:p>
        </w:tc>
      </w:tr>
      <w:tr w:rsidR="002E474C" w14:paraId="71CAB833" w14:textId="77777777">
        <w:trPr>
          <w:trHeight w:val="240"/>
        </w:trPr>
        <w:tc>
          <w:tcPr>
            <w:tcW w:w="574" w:type="pct"/>
            <w:vMerge/>
            <w:vAlign w:val="center"/>
          </w:tcPr>
          <w:p w14:paraId="49E46D5C" w14:textId="77777777" w:rsidR="002E474C" w:rsidRDefault="002E474C">
            <w:pPr>
              <w:pStyle w:val="A-"/>
            </w:pPr>
          </w:p>
        </w:tc>
        <w:tc>
          <w:tcPr>
            <w:tcW w:w="524" w:type="pct"/>
            <w:vMerge/>
            <w:vAlign w:val="center"/>
          </w:tcPr>
          <w:p w14:paraId="5B444E8B" w14:textId="77777777" w:rsidR="002E474C" w:rsidRDefault="002E474C">
            <w:pPr>
              <w:pStyle w:val="A-"/>
            </w:pPr>
          </w:p>
        </w:tc>
        <w:tc>
          <w:tcPr>
            <w:tcW w:w="372" w:type="pct"/>
            <w:vMerge/>
            <w:vAlign w:val="center"/>
          </w:tcPr>
          <w:p w14:paraId="66860874" w14:textId="77777777" w:rsidR="002E474C" w:rsidRDefault="002E474C">
            <w:pPr>
              <w:pStyle w:val="A-"/>
            </w:pPr>
          </w:p>
        </w:tc>
        <w:tc>
          <w:tcPr>
            <w:tcW w:w="457" w:type="pct"/>
            <w:vAlign w:val="center"/>
          </w:tcPr>
          <w:p w14:paraId="3EFF41CD" w14:textId="77777777" w:rsidR="002E474C" w:rsidRDefault="00000000">
            <w:pPr>
              <w:pStyle w:val="A-"/>
            </w:pPr>
            <w:r>
              <w:t>261-019-11</w:t>
            </w:r>
          </w:p>
        </w:tc>
        <w:tc>
          <w:tcPr>
            <w:tcW w:w="2678" w:type="pct"/>
            <w:vAlign w:val="center"/>
          </w:tcPr>
          <w:p w14:paraId="618C3262" w14:textId="77777777" w:rsidR="002E474C" w:rsidRDefault="00000000">
            <w:pPr>
              <w:pStyle w:val="A-"/>
            </w:pPr>
            <w:r>
              <w:t>苯胺生产过程中产生的蒸馏残渣</w:t>
            </w:r>
          </w:p>
        </w:tc>
        <w:tc>
          <w:tcPr>
            <w:tcW w:w="395" w:type="pct"/>
            <w:vAlign w:val="center"/>
          </w:tcPr>
          <w:p w14:paraId="5A75BC6E" w14:textId="77777777" w:rsidR="002E474C" w:rsidRDefault="00000000">
            <w:pPr>
              <w:pStyle w:val="A-"/>
            </w:pPr>
            <w:r>
              <w:t>T</w:t>
            </w:r>
          </w:p>
        </w:tc>
      </w:tr>
      <w:tr w:rsidR="002E474C" w14:paraId="66B2F122" w14:textId="77777777">
        <w:trPr>
          <w:trHeight w:val="240"/>
        </w:trPr>
        <w:tc>
          <w:tcPr>
            <w:tcW w:w="574" w:type="pct"/>
            <w:vMerge/>
            <w:vAlign w:val="center"/>
          </w:tcPr>
          <w:p w14:paraId="0909807B" w14:textId="77777777" w:rsidR="002E474C" w:rsidRDefault="002E474C">
            <w:pPr>
              <w:pStyle w:val="A-"/>
            </w:pPr>
          </w:p>
        </w:tc>
        <w:tc>
          <w:tcPr>
            <w:tcW w:w="524" w:type="pct"/>
            <w:vMerge/>
            <w:vAlign w:val="center"/>
          </w:tcPr>
          <w:p w14:paraId="4C929D37" w14:textId="77777777" w:rsidR="002E474C" w:rsidRDefault="002E474C">
            <w:pPr>
              <w:pStyle w:val="A-"/>
            </w:pPr>
          </w:p>
        </w:tc>
        <w:tc>
          <w:tcPr>
            <w:tcW w:w="372" w:type="pct"/>
            <w:vMerge/>
            <w:vAlign w:val="center"/>
          </w:tcPr>
          <w:p w14:paraId="2FA6191A" w14:textId="77777777" w:rsidR="002E474C" w:rsidRDefault="002E474C">
            <w:pPr>
              <w:pStyle w:val="A-"/>
            </w:pPr>
          </w:p>
        </w:tc>
        <w:tc>
          <w:tcPr>
            <w:tcW w:w="457" w:type="pct"/>
            <w:vAlign w:val="center"/>
          </w:tcPr>
          <w:p w14:paraId="121DD749" w14:textId="77777777" w:rsidR="002E474C" w:rsidRDefault="00000000">
            <w:pPr>
              <w:pStyle w:val="A-"/>
            </w:pPr>
            <w:r>
              <w:t>261-020-11</w:t>
            </w:r>
          </w:p>
        </w:tc>
        <w:tc>
          <w:tcPr>
            <w:tcW w:w="2678" w:type="pct"/>
            <w:vAlign w:val="center"/>
          </w:tcPr>
          <w:p w14:paraId="1DD8C105" w14:textId="77777777" w:rsidR="002E474C" w:rsidRDefault="00000000">
            <w:pPr>
              <w:pStyle w:val="A-"/>
            </w:pPr>
            <w:r>
              <w:t>苯胺生产过程中苯胺萃取工序产生的蒸馏残渣</w:t>
            </w:r>
          </w:p>
        </w:tc>
        <w:tc>
          <w:tcPr>
            <w:tcW w:w="395" w:type="pct"/>
            <w:vAlign w:val="center"/>
          </w:tcPr>
          <w:p w14:paraId="1F71AAD2" w14:textId="77777777" w:rsidR="002E474C" w:rsidRDefault="00000000">
            <w:pPr>
              <w:pStyle w:val="A-"/>
            </w:pPr>
            <w:r>
              <w:t>T</w:t>
            </w:r>
          </w:p>
        </w:tc>
      </w:tr>
      <w:tr w:rsidR="002E474C" w14:paraId="03003EC4" w14:textId="77777777">
        <w:trPr>
          <w:trHeight w:val="240"/>
        </w:trPr>
        <w:tc>
          <w:tcPr>
            <w:tcW w:w="574" w:type="pct"/>
            <w:vMerge/>
            <w:vAlign w:val="center"/>
          </w:tcPr>
          <w:p w14:paraId="79D9A40D" w14:textId="77777777" w:rsidR="002E474C" w:rsidRDefault="002E474C">
            <w:pPr>
              <w:pStyle w:val="A-"/>
            </w:pPr>
          </w:p>
        </w:tc>
        <w:tc>
          <w:tcPr>
            <w:tcW w:w="524" w:type="pct"/>
            <w:vMerge/>
            <w:vAlign w:val="center"/>
          </w:tcPr>
          <w:p w14:paraId="2D778CD9" w14:textId="77777777" w:rsidR="002E474C" w:rsidRDefault="002E474C">
            <w:pPr>
              <w:pStyle w:val="A-"/>
            </w:pPr>
          </w:p>
        </w:tc>
        <w:tc>
          <w:tcPr>
            <w:tcW w:w="372" w:type="pct"/>
            <w:vMerge/>
            <w:vAlign w:val="center"/>
          </w:tcPr>
          <w:p w14:paraId="5E6319B3" w14:textId="77777777" w:rsidR="002E474C" w:rsidRDefault="002E474C">
            <w:pPr>
              <w:pStyle w:val="A-"/>
            </w:pPr>
          </w:p>
        </w:tc>
        <w:tc>
          <w:tcPr>
            <w:tcW w:w="457" w:type="pct"/>
            <w:vAlign w:val="center"/>
          </w:tcPr>
          <w:p w14:paraId="1ADDE310" w14:textId="77777777" w:rsidR="002E474C" w:rsidRDefault="00000000">
            <w:pPr>
              <w:pStyle w:val="A-"/>
            </w:pPr>
            <w:r>
              <w:t>261-021-11</w:t>
            </w:r>
          </w:p>
        </w:tc>
        <w:tc>
          <w:tcPr>
            <w:tcW w:w="2678" w:type="pct"/>
            <w:vAlign w:val="center"/>
          </w:tcPr>
          <w:p w14:paraId="4D5C9A07" w14:textId="77777777" w:rsidR="002E474C" w:rsidRDefault="00000000">
            <w:pPr>
              <w:pStyle w:val="A-"/>
            </w:pPr>
            <w:r>
              <w:t>二硝基甲苯加氢法生产甲苯二胺过程中干燥塔产生的反应残余物</w:t>
            </w:r>
          </w:p>
        </w:tc>
        <w:tc>
          <w:tcPr>
            <w:tcW w:w="395" w:type="pct"/>
            <w:vAlign w:val="center"/>
          </w:tcPr>
          <w:p w14:paraId="748DE7BD" w14:textId="77777777" w:rsidR="002E474C" w:rsidRDefault="00000000">
            <w:pPr>
              <w:pStyle w:val="A-"/>
            </w:pPr>
            <w:r>
              <w:t>T</w:t>
            </w:r>
          </w:p>
        </w:tc>
      </w:tr>
      <w:tr w:rsidR="002E474C" w14:paraId="22E6B04C" w14:textId="77777777">
        <w:trPr>
          <w:trHeight w:val="240"/>
        </w:trPr>
        <w:tc>
          <w:tcPr>
            <w:tcW w:w="574" w:type="pct"/>
            <w:vMerge/>
            <w:vAlign w:val="center"/>
          </w:tcPr>
          <w:p w14:paraId="3B74977B" w14:textId="77777777" w:rsidR="002E474C" w:rsidRDefault="002E474C">
            <w:pPr>
              <w:pStyle w:val="A-"/>
            </w:pPr>
          </w:p>
        </w:tc>
        <w:tc>
          <w:tcPr>
            <w:tcW w:w="524" w:type="pct"/>
            <w:vMerge/>
            <w:vAlign w:val="center"/>
          </w:tcPr>
          <w:p w14:paraId="02E41EF5" w14:textId="77777777" w:rsidR="002E474C" w:rsidRDefault="002E474C">
            <w:pPr>
              <w:pStyle w:val="A-"/>
            </w:pPr>
          </w:p>
        </w:tc>
        <w:tc>
          <w:tcPr>
            <w:tcW w:w="372" w:type="pct"/>
            <w:vMerge/>
            <w:vAlign w:val="center"/>
          </w:tcPr>
          <w:p w14:paraId="04845C3F" w14:textId="77777777" w:rsidR="002E474C" w:rsidRDefault="002E474C">
            <w:pPr>
              <w:pStyle w:val="A-"/>
            </w:pPr>
          </w:p>
        </w:tc>
        <w:tc>
          <w:tcPr>
            <w:tcW w:w="457" w:type="pct"/>
            <w:vAlign w:val="center"/>
          </w:tcPr>
          <w:p w14:paraId="64D39C0D" w14:textId="77777777" w:rsidR="002E474C" w:rsidRDefault="00000000">
            <w:pPr>
              <w:pStyle w:val="A-"/>
            </w:pPr>
            <w:r>
              <w:t>261-022-11</w:t>
            </w:r>
          </w:p>
        </w:tc>
        <w:tc>
          <w:tcPr>
            <w:tcW w:w="2678" w:type="pct"/>
            <w:vAlign w:val="center"/>
          </w:tcPr>
          <w:p w14:paraId="25169447" w14:textId="77777777" w:rsidR="002E474C" w:rsidRDefault="00000000">
            <w:pPr>
              <w:pStyle w:val="A-"/>
            </w:pPr>
            <w:r>
              <w:t>二硝基甲苯加氢法生产甲苯二胺过程中产品精制产生的轻馏分</w:t>
            </w:r>
          </w:p>
        </w:tc>
        <w:tc>
          <w:tcPr>
            <w:tcW w:w="395" w:type="pct"/>
            <w:vAlign w:val="center"/>
          </w:tcPr>
          <w:p w14:paraId="6E43321F" w14:textId="77777777" w:rsidR="002E474C" w:rsidRDefault="00000000">
            <w:pPr>
              <w:pStyle w:val="A-"/>
            </w:pPr>
            <w:r>
              <w:t>T</w:t>
            </w:r>
          </w:p>
        </w:tc>
      </w:tr>
      <w:tr w:rsidR="002E474C" w14:paraId="3D00AB50" w14:textId="77777777">
        <w:trPr>
          <w:trHeight w:val="240"/>
        </w:trPr>
        <w:tc>
          <w:tcPr>
            <w:tcW w:w="574" w:type="pct"/>
            <w:vMerge/>
            <w:vAlign w:val="center"/>
          </w:tcPr>
          <w:p w14:paraId="07060FC8" w14:textId="77777777" w:rsidR="002E474C" w:rsidRDefault="002E474C">
            <w:pPr>
              <w:pStyle w:val="A-"/>
            </w:pPr>
          </w:p>
        </w:tc>
        <w:tc>
          <w:tcPr>
            <w:tcW w:w="524" w:type="pct"/>
            <w:vMerge/>
            <w:vAlign w:val="center"/>
          </w:tcPr>
          <w:p w14:paraId="0E9819AA" w14:textId="77777777" w:rsidR="002E474C" w:rsidRDefault="002E474C">
            <w:pPr>
              <w:pStyle w:val="A-"/>
            </w:pPr>
          </w:p>
        </w:tc>
        <w:tc>
          <w:tcPr>
            <w:tcW w:w="372" w:type="pct"/>
            <w:vMerge/>
            <w:vAlign w:val="center"/>
          </w:tcPr>
          <w:p w14:paraId="7C1D5676" w14:textId="77777777" w:rsidR="002E474C" w:rsidRDefault="002E474C">
            <w:pPr>
              <w:pStyle w:val="A-"/>
            </w:pPr>
          </w:p>
        </w:tc>
        <w:tc>
          <w:tcPr>
            <w:tcW w:w="457" w:type="pct"/>
            <w:vAlign w:val="center"/>
          </w:tcPr>
          <w:p w14:paraId="0C8AE68E" w14:textId="77777777" w:rsidR="002E474C" w:rsidRDefault="00000000">
            <w:pPr>
              <w:pStyle w:val="A-"/>
            </w:pPr>
            <w:r>
              <w:t>261-023-11</w:t>
            </w:r>
          </w:p>
        </w:tc>
        <w:tc>
          <w:tcPr>
            <w:tcW w:w="2678" w:type="pct"/>
            <w:vAlign w:val="center"/>
          </w:tcPr>
          <w:p w14:paraId="47BB8876" w14:textId="77777777" w:rsidR="002E474C" w:rsidRDefault="00000000">
            <w:pPr>
              <w:pStyle w:val="A-"/>
            </w:pPr>
            <w:r>
              <w:t>二硝基甲苯加氢法生产甲苯二胺过程中产品精制产生的废液</w:t>
            </w:r>
          </w:p>
        </w:tc>
        <w:tc>
          <w:tcPr>
            <w:tcW w:w="395" w:type="pct"/>
            <w:vAlign w:val="center"/>
          </w:tcPr>
          <w:p w14:paraId="006EFD86" w14:textId="77777777" w:rsidR="002E474C" w:rsidRDefault="00000000">
            <w:pPr>
              <w:pStyle w:val="A-"/>
            </w:pPr>
            <w:r>
              <w:t>T</w:t>
            </w:r>
          </w:p>
        </w:tc>
      </w:tr>
      <w:tr w:rsidR="002E474C" w14:paraId="508E2E27" w14:textId="77777777">
        <w:trPr>
          <w:trHeight w:val="240"/>
        </w:trPr>
        <w:tc>
          <w:tcPr>
            <w:tcW w:w="574" w:type="pct"/>
            <w:vMerge/>
            <w:vAlign w:val="center"/>
          </w:tcPr>
          <w:p w14:paraId="5DB8E74A" w14:textId="77777777" w:rsidR="002E474C" w:rsidRDefault="002E474C">
            <w:pPr>
              <w:pStyle w:val="A-"/>
            </w:pPr>
          </w:p>
        </w:tc>
        <w:tc>
          <w:tcPr>
            <w:tcW w:w="524" w:type="pct"/>
            <w:vMerge/>
            <w:vAlign w:val="center"/>
          </w:tcPr>
          <w:p w14:paraId="198DF546" w14:textId="77777777" w:rsidR="002E474C" w:rsidRDefault="002E474C">
            <w:pPr>
              <w:pStyle w:val="A-"/>
            </w:pPr>
          </w:p>
        </w:tc>
        <w:tc>
          <w:tcPr>
            <w:tcW w:w="372" w:type="pct"/>
            <w:vMerge/>
            <w:vAlign w:val="center"/>
          </w:tcPr>
          <w:p w14:paraId="76074DC7" w14:textId="77777777" w:rsidR="002E474C" w:rsidRDefault="002E474C">
            <w:pPr>
              <w:pStyle w:val="A-"/>
            </w:pPr>
          </w:p>
        </w:tc>
        <w:tc>
          <w:tcPr>
            <w:tcW w:w="457" w:type="pct"/>
            <w:vAlign w:val="center"/>
          </w:tcPr>
          <w:p w14:paraId="113FB2D9" w14:textId="77777777" w:rsidR="002E474C" w:rsidRDefault="00000000">
            <w:pPr>
              <w:pStyle w:val="A-"/>
            </w:pPr>
            <w:r>
              <w:t>261-024-11</w:t>
            </w:r>
          </w:p>
        </w:tc>
        <w:tc>
          <w:tcPr>
            <w:tcW w:w="2678" w:type="pct"/>
            <w:vAlign w:val="center"/>
          </w:tcPr>
          <w:p w14:paraId="53BCE381" w14:textId="77777777" w:rsidR="002E474C" w:rsidRDefault="00000000">
            <w:pPr>
              <w:pStyle w:val="A-"/>
            </w:pPr>
            <w:r>
              <w:t>二硝基甲苯加氢法生产甲苯二胺过程中产品精制产生的重馏分</w:t>
            </w:r>
          </w:p>
        </w:tc>
        <w:tc>
          <w:tcPr>
            <w:tcW w:w="395" w:type="pct"/>
            <w:vAlign w:val="center"/>
          </w:tcPr>
          <w:p w14:paraId="1070C04E" w14:textId="77777777" w:rsidR="002E474C" w:rsidRDefault="00000000">
            <w:pPr>
              <w:pStyle w:val="A-"/>
            </w:pPr>
            <w:r>
              <w:t>T</w:t>
            </w:r>
          </w:p>
        </w:tc>
      </w:tr>
      <w:tr w:rsidR="002E474C" w14:paraId="0973986A" w14:textId="77777777">
        <w:trPr>
          <w:trHeight w:val="240"/>
        </w:trPr>
        <w:tc>
          <w:tcPr>
            <w:tcW w:w="574" w:type="pct"/>
            <w:vMerge/>
            <w:vAlign w:val="center"/>
          </w:tcPr>
          <w:p w14:paraId="798D6262" w14:textId="77777777" w:rsidR="002E474C" w:rsidRDefault="002E474C">
            <w:pPr>
              <w:pStyle w:val="A-"/>
            </w:pPr>
          </w:p>
        </w:tc>
        <w:tc>
          <w:tcPr>
            <w:tcW w:w="524" w:type="pct"/>
            <w:vMerge/>
            <w:vAlign w:val="center"/>
          </w:tcPr>
          <w:p w14:paraId="40045019" w14:textId="77777777" w:rsidR="002E474C" w:rsidRDefault="002E474C">
            <w:pPr>
              <w:pStyle w:val="A-"/>
            </w:pPr>
          </w:p>
        </w:tc>
        <w:tc>
          <w:tcPr>
            <w:tcW w:w="372" w:type="pct"/>
            <w:vMerge/>
            <w:vAlign w:val="center"/>
          </w:tcPr>
          <w:p w14:paraId="0081AAB9" w14:textId="77777777" w:rsidR="002E474C" w:rsidRDefault="002E474C">
            <w:pPr>
              <w:pStyle w:val="A-"/>
            </w:pPr>
          </w:p>
        </w:tc>
        <w:tc>
          <w:tcPr>
            <w:tcW w:w="457" w:type="pct"/>
            <w:vAlign w:val="center"/>
          </w:tcPr>
          <w:p w14:paraId="097F344E" w14:textId="77777777" w:rsidR="002E474C" w:rsidRDefault="00000000">
            <w:pPr>
              <w:pStyle w:val="A-"/>
            </w:pPr>
            <w:r>
              <w:t>261-025-11</w:t>
            </w:r>
          </w:p>
        </w:tc>
        <w:tc>
          <w:tcPr>
            <w:tcW w:w="2678" w:type="pct"/>
            <w:vAlign w:val="center"/>
          </w:tcPr>
          <w:p w14:paraId="7006578C" w14:textId="77777777" w:rsidR="002E474C" w:rsidRDefault="00000000">
            <w:pPr>
              <w:pStyle w:val="A-"/>
            </w:pPr>
            <w:r>
              <w:t>甲苯二胺光气化法生产甲苯二异氰酸酯过程中溶剂回收塔产生的有机冷凝物</w:t>
            </w:r>
          </w:p>
        </w:tc>
        <w:tc>
          <w:tcPr>
            <w:tcW w:w="395" w:type="pct"/>
            <w:vAlign w:val="center"/>
          </w:tcPr>
          <w:p w14:paraId="3E597894" w14:textId="77777777" w:rsidR="002E474C" w:rsidRDefault="00000000">
            <w:pPr>
              <w:pStyle w:val="A-"/>
            </w:pPr>
            <w:r>
              <w:t>T</w:t>
            </w:r>
          </w:p>
        </w:tc>
      </w:tr>
      <w:tr w:rsidR="002E474C" w14:paraId="3792AB65" w14:textId="77777777">
        <w:trPr>
          <w:trHeight w:val="240"/>
        </w:trPr>
        <w:tc>
          <w:tcPr>
            <w:tcW w:w="574" w:type="pct"/>
            <w:vMerge/>
            <w:vAlign w:val="center"/>
          </w:tcPr>
          <w:p w14:paraId="32AADB66" w14:textId="77777777" w:rsidR="002E474C" w:rsidRDefault="002E474C">
            <w:pPr>
              <w:pStyle w:val="A-"/>
            </w:pPr>
          </w:p>
        </w:tc>
        <w:tc>
          <w:tcPr>
            <w:tcW w:w="524" w:type="pct"/>
            <w:vMerge/>
            <w:vAlign w:val="center"/>
          </w:tcPr>
          <w:p w14:paraId="5FAF9711" w14:textId="77777777" w:rsidR="002E474C" w:rsidRDefault="002E474C">
            <w:pPr>
              <w:pStyle w:val="A-"/>
            </w:pPr>
          </w:p>
        </w:tc>
        <w:tc>
          <w:tcPr>
            <w:tcW w:w="372" w:type="pct"/>
            <w:vMerge/>
            <w:vAlign w:val="center"/>
          </w:tcPr>
          <w:p w14:paraId="6E435E29" w14:textId="77777777" w:rsidR="002E474C" w:rsidRDefault="002E474C">
            <w:pPr>
              <w:pStyle w:val="A-"/>
            </w:pPr>
          </w:p>
        </w:tc>
        <w:tc>
          <w:tcPr>
            <w:tcW w:w="457" w:type="pct"/>
            <w:vAlign w:val="center"/>
          </w:tcPr>
          <w:p w14:paraId="298035D2" w14:textId="77777777" w:rsidR="002E474C" w:rsidRDefault="00000000">
            <w:pPr>
              <w:pStyle w:val="A-"/>
            </w:pPr>
            <w:r>
              <w:t>261-026-11</w:t>
            </w:r>
          </w:p>
        </w:tc>
        <w:tc>
          <w:tcPr>
            <w:tcW w:w="2678" w:type="pct"/>
            <w:vAlign w:val="center"/>
          </w:tcPr>
          <w:p w14:paraId="369D748F" w14:textId="77777777" w:rsidR="002E474C" w:rsidRDefault="00000000">
            <w:pPr>
              <w:pStyle w:val="A-"/>
            </w:pPr>
            <w:r>
              <w:t>氯苯生产过程中的蒸馏及分馏残渣</w:t>
            </w:r>
          </w:p>
        </w:tc>
        <w:tc>
          <w:tcPr>
            <w:tcW w:w="395" w:type="pct"/>
            <w:vAlign w:val="center"/>
          </w:tcPr>
          <w:p w14:paraId="518D5F6D" w14:textId="77777777" w:rsidR="002E474C" w:rsidRDefault="00000000">
            <w:pPr>
              <w:pStyle w:val="A-"/>
            </w:pPr>
            <w:r>
              <w:t>T</w:t>
            </w:r>
          </w:p>
        </w:tc>
      </w:tr>
      <w:tr w:rsidR="002E474C" w14:paraId="4647E1D2" w14:textId="77777777">
        <w:trPr>
          <w:trHeight w:val="240"/>
        </w:trPr>
        <w:tc>
          <w:tcPr>
            <w:tcW w:w="574" w:type="pct"/>
            <w:vMerge/>
            <w:vAlign w:val="center"/>
          </w:tcPr>
          <w:p w14:paraId="10C61085" w14:textId="77777777" w:rsidR="002E474C" w:rsidRDefault="002E474C">
            <w:pPr>
              <w:pStyle w:val="A-"/>
            </w:pPr>
          </w:p>
        </w:tc>
        <w:tc>
          <w:tcPr>
            <w:tcW w:w="524" w:type="pct"/>
            <w:vMerge/>
            <w:vAlign w:val="center"/>
          </w:tcPr>
          <w:p w14:paraId="19747517" w14:textId="77777777" w:rsidR="002E474C" w:rsidRDefault="002E474C">
            <w:pPr>
              <w:pStyle w:val="A-"/>
            </w:pPr>
          </w:p>
        </w:tc>
        <w:tc>
          <w:tcPr>
            <w:tcW w:w="372" w:type="pct"/>
            <w:vMerge/>
            <w:vAlign w:val="center"/>
          </w:tcPr>
          <w:p w14:paraId="23BCC4BB" w14:textId="77777777" w:rsidR="002E474C" w:rsidRDefault="002E474C">
            <w:pPr>
              <w:pStyle w:val="A-"/>
            </w:pPr>
          </w:p>
        </w:tc>
        <w:tc>
          <w:tcPr>
            <w:tcW w:w="457" w:type="pct"/>
            <w:vAlign w:val="center"/>
          </w:tcPr>
          <w:p w14:paraId="1BD3F774" w14:textId="77777777" w:rsidR="002E474C" w:rsidRDefault="00000000">
            <w:pPr>
              <w:pStyle w:val="A-"/>
            </w:pPr>
            <w:r>
              <w:t>261-027-11</w:t>
            </w:r>
          </w:p>
        </w:tc>
        <w:tc>
          <w:tcPr>
            <w:tcW w:w="2678" w:type="pct"/>
            <w:vAlign w:val="center"/>
          </w:tcPr>
          <w:p w14:paraId="2DC8D57D" w14:textId="77777777" w:rsidR="002E474C" w:rsidRDefault="00000000">
            <w:pPr>
              <w:pStyle w:val="A-"/>
            </w:pPr>
            <w:r>
              <w:t>使用羧酸肼生产</w:t>
            </w:r>
            <w:r>
              <w:t>1,1-</w:t>
            </w:r>
            <w:r>
              <w:t>二甲基肼过程中产品分离产生的残渣</w:t>
            </w:r>
          </w:p>
        </w:tc>
        <w:tc>
          <w:tcPr>
            <w:tcW w:w="395" w:type="pct"/>
            <w:vAlign w:val="center"/>
          </w:tcPr>
          <w:p w14:paraId="0CB2E6AB" w14:textId="77777777" w:rsidR="002E474C" w:rsidRDefault="00000000">
            <w:pPr>
              <w:pStyle w:val="A-"/>
            </w:pPr>
            <w:r>
              <w:t>T</w:t>
            </w:r>
          </w:p>
        </w:tc>
      </w:tr>
      <w:tr w:rsidR="002E474C" w14:paraId="7B22ECB9" w14:textId="77777777">
        <w:trPr>
          <w:trHeight w:val="240"/>
        </w:trPr>
        <w:tc>
          <w:tcPr>
            <w:tcW w:w="574" w:type="pct"/>
            <w:vMerge/>
            <w:vAlign w:val="center"/>
          </w:tcPr>
          <w:p w14:paraId="4EAF1BDE" w14:textId="77777777" w:rsidR="002E474C" w:rsidRDefault="002E474C">
            <w:pPr>
              <w:pStyle w:val="A-"/>
            </w:pPr>
          </w:p>
        </w:tc>
        <w:tc>
          <w:tcPr>
            <w:tcW w:w="524" w:type="pct"/>
            <w:vMerge/>
            <w:vAlign w:val="center"/>
          </w:tcPr>
          <w:p w14:paraId="2ECCE0AD" w14:textId="77777777" w:rsidR="002E474C" w:rsidRDefault="002E474C">
            <w:pPr>
              <w:pStyle w:val="A-"/>
            </w:pPr>
          </w:p>
        </w:tc>
        <w:tc>
          <w:tcPr>
            <w:tcW w:w="372" w:type="pct"/>
            <w:vMerge/>
            <w:vAlign w:val="center"/>
          </w:tcPr>
          <w:p w14:paraId="04D41C33" w14:textId="77777777" w:rsidR="002E474C" w:rsidRDefault="002E474C">
            <w:pPr>
              <w:pStyle w:val="A-"/>
            </w:pPr>
          </w:p>
        </w:tc>
        <w:tc>
          <w:tcPr>
            <w:tcW w:w="457" w:type="pct"/>
            <w:vAlign w:val="center"/>
          </w:tcPr>
          <w:p w14:paraId="584A91B7" w14:textId="77777777" w:rsidR="002E474C" w:rsidRDefault="00000000">
            <w:pPr>
              <w:pStyle w:val="A-"/>
            </w:pPr>
            <w:r>
              <w:t>261-028-11</w:t>
            </w:r>
          </w:p>
        </w:tc>
        <w:tc>
          <w:tcPr>
            <w:tcW w:w="2678" w:type="pct"/>
            <w:vAlign w:val="center"/>
          </w:tcPr>
          <w:p w14:paraId="3FC4F45E" w14:textId="77777777" w:rsidR="002E474C" w:rsidRDefault="00000000">
            <w:pPr>
              <w:pStyle w:val="A-"/>
            </w:pPr>
            <w:r>
              <w:t>乙烯溴化法生产二溴乙烯过程中产品精制产生的蒸馏残渣</w:t>
            </w:r>
          </w:p>
        </w:tc>
        <w:tc>
          <w:tcPr>
            <w:tcW w:w="395" w:type="pct"/>
            <w:vAlign w:val="center"/>
          </w:tcPr>
          <w:p w14:paraId="01DFA0A8" w14:textId="77777777" w:rsidR="002E474C" w:rsidRDefault="00000000">
            <w:pPr>
              <w:pStyle w:val="A-"/>
            </w:pPr>
            <w:r>
              <w:t>T</w:t>
            </w:r>
          </w:p>
        </w:tc>
      </w:tr>
      <w:tr w:rsidR="002E474C" w14:paraId="06D5818F" w14:textId="77777777">
        <w:trPr>
          <w:trHeight w:val="240"/>
        </w:trPr>
        <w:tc>
          <w:tcPr>
            <w:tcW w:w="574" w:type="pct"/>
            <w:vMerge/>
            <w:vAlign w:val="center"/>
          </w:tcPr>
          <w:p w14:paraId="05E06F0C" w14:textId="77777777" w:rsidR="002E474C" w:rsidRDefault="002E474C">
            <w:pPr>
              <w:pStyle w:val="A-"/>
            </w:pPr>
          </w:p>
        </w:tc>
        <w:tc>
          <w:tcPr>
            <w:tcW w:w="524" w:type="pct"/>
            <w:vMerge/>
            <w:vAlign w:val="center"/>
          </w:tcPr>
          <w:p w14:paraId="0E10D0E4" w14:textId="77777777" w:rsidR="002E474C" w:rsidRDefault="002E474C">
            <w:pPr>
              <w:pStyle w:val="A-"/>
            </w:pPr>
          </w:p>
        </w:tc>
        <w:tc>
          <w:tcPr>
            <w:tcW w:w="372" w:type="pct"/>
            <w:vMerge/>
            <w:vAlign w:val="center"/>
          </w:tcPr>
          <w:p w14:paraId="362A70C7" w14:textId="77777777" w:rsidR="002E474C" w:rsidRDefault="002E474C">
            <w:pPr>
              <w:pStyle w:val="A-"/>
            </w:pPr>
          </w:p>
        </w:tc>
        <w:tc>
          <w:tcPr>
            <w:tcW w:w="457" w:type="pct"/>
            <w:vAlign w:val="center"/>
          </w:tcPr>
          <w:p w14:paraId="153553BE" w14:textId="77777777" w:rsidR="002E474C" w:rsidRDefault="00000000">
            <w:pPr>
              <w:pStyle w:val="A-"/>
            </w:pPr>
            <w:r>
              <w:t>261-029-11</w:t>
            </w:r>
          </w:p>
        </w:tc>
        <w:tc>
          <w:tcPr>
            <w:tcW w:w="2678" w:type="pct"/>
            <w:vAlign w:val="center"/>
          </w:tcPr>
          <w:p w14:paraId="39DA6482" w14:textId="77777777" w:rsidR="002E474C" w:rsidRDefault="00000000">
            <w:pPr>
              <w:pStyle w:val="A-"/>
            </w:pPr>
            <w:r>
              <w:t>α-</w:t>
            </w:r>
            <w:r>
              <w:t>氯甲苯、苯甲酰氯和含此类官能团的化学品生产过程中产生的蒸馏残渣</w:t>
            </w:r>
          </w:p>
        </w:tc>
        <w:tc>
          <w:tcPr>
            <w:tcW w:w="395" w:type="pct"/>
            <w:vAlign w:val="center"/>
          </w:tcPr>
          <w:p w14:paraId="0A4EA9D2" w14:textId="77777777" w:rsidR="002E474C" w:rsidRDefault="00000000">
            <w:pPr>
              <w:pStyle w:val="A-"/>
            </w:pPr>
            <w:r>
              <w:t>T</w:t>
            </w:r>
          </w:p>
        </w:tc>
      </w:tr>
      <w:tr w:rsidR="002E474C" w14:paraId="11B36A19" w14:textId="77777777">
        <w:trPr>
          <w:trHeight w:val="240"/>
        </w:trPr>
        <w:tc>
          <w:tcPr>
            <w:tcW w:w="574" w:type="pct"/>
            <w:vMerge/>
            <w:vAlign w:val="center"/>
          </w:tcPr>
          <w:p w14:paraId="47D7FB21" w14:textId="77777777" w:rsidR="002E474C" w:rsidRDefault="002E474C">
            <w:pPr>
              <w:pStyle w:val="A-"/>
            </w:pPr>
          </w:p>
        </w:tc>
        <w:tc>
          <w:tcPr>
            <w:tcW w:w="524" w:type="pct"/>
            <w:vMerge/>
            <w:vAlign w:val="center"/>
          </w:tcPr>
          <w:p w14:paraId="43C9F2F6" w14:textId="77777777" w:rsidR="002E474C" w:rsidRDefault="002E474C">
            <w:pPr>
              <w:pStyle w:val="A-"/>
            </w:pPr>
          </w:p>
        </w:tc>
        <w:tc>
          <w:tcPr>
            <w:tcW w:w="372" w:type="pct"/>
            <w:vMerge/>
            <w:vAlign w:val="center"/>
          </w:tcPr>
          <w:p w14:paraId="357A9645" w14:textId="77777777" w:rsidR="002E474C" w:rsidRDefault="002E474C">
            <w:pPr>
              <w:pStyle w:val="A-"/>
            </w:pPr>
          </w:p>
        </w:tc>
        <w:tc>
          <w:tcPr>
            <w:tcW w:w="457" w:type="pct"/>
            <w:vAlign w:val="center"/>
          </w:tcPr>
          <w:p w14:paraId="3AE392CF" w14:textId="77777777" w:rsidR="002E474C" w:rsidRDefault="00000000">
            <w:pPr>
              <w:pStyle w:val="A-"/>
            </w:pPr>
            <w:r>
              <w:t>261-030-11</w:t>
            </w:r>
          </w:p>
        </w:tc>
        <w:tc>
          <w:tcPr>
            <w:tcW w:w="2678" w:type="pct"/>
            <w:vAlign w:val="center"/>
          </w:tcPr>
          <w:p w14:paraId="4783DC73" w14:textId="77777777" w:rsidR="002E474C" w:rsidRDefault="00000000">
            <w:pPr>
              <w:pStyle w:val="A-"/>
            </w:pPr>
            <w:r>
              <w:t>四氯化碳生产过程中的重馏分</w:t>
            </w:r>
          </w:p>
        </w:tc>
        <w:tc>
          <w:tcPr>
            <w:tcW w:w="395" w:type="pct"/>
            <w:vAlign w:val="center"/>
          </w:tcPr>
          <w:p w14:paraId="28AD0C08" w14:textId="77777777" w:rsidR="002E474C" w:rsidRDefault="00000000">
            <w:pPr>
              <w:pStyle w:val="A-"/>
            </w:pPr>
            <w:r>
              <w:t>T</w:t>
            </w:r>
          </w:p>
        </w:tc>
      </w:tr>
      <w:tr w:rsidR="002E474C" w14:paraId="6894DEB0" w14:textId="77777777">
        <w:trPr>
          <w:trHeight w:val="240"/>
        </w:trPr>
        <w:tc>
          <w:tcPr>
            <w:tcW w:w="574" w:type="pct"/>
            <w:vMerge/>
            <w:vAlign w:val="center"/>
          </w:tcPr>
          <w:p w14:paraId="2AF9F6BB" w14:textId="77777777" w:rsidR="002E474C" w:rsidRDefault="002E474C">
            <w:pPr>
              <w:pStyle w:val="A-"/>
            </w:pPr>
          </w:p>
        </w:tc>
        <w:tc>
          <w:tcPr>
            <w:tcW w:w="524" w:type="pct"/>
            <w:vMerge/>
            <w:vAlign w:val="center"/>
          </w:tcPr>
          <w:p w14:paraId="527B3FDF" w14:textId="77777777" w:rsidR="002E474C" w:rsidRDefault="002E474C">
            <w:pPr>
              <w:pStyle w:val="A-"/>
            </w:pPr>
          </w:p>
        </w:tc>
        <w:tc>
          <w:tcPr>
            <w:tcW w:w="372" w:type="pct"/>
            <w:vMerge/>
            <w:vAlign w:val="center"/>
          </w:tcPr>
          <w:p w14:paraId="5D4E22FB" w14:textId="77777777" w:rsidR="002E474C" w:rsidRDefault="002E474C">
            <w:pPr>
              <w:pStyle w:val="A-"/>
            </w:pPr>
          </w:p>
        </w:tc>
        <w:tc>
          <w:tcPr>
            <w:tcW w:w="457" w:type="pct"/>
            <w:vAlign w:val="center"/>
          </w:tcPr>
          <w:p w14:paraId="19A0D047" w14:textId="77777777" w:rsidR="002E474C" w:rsidRDefault="00000000">
            <w:pPr>
              <w:pStyle w:val="A-"/>
            </w:pPr>
            <w:r>
              <w:t>261-031-11</w:t>
            </w:r>
          </w:p>
        </w:tc>
        <w:tc>
          <w:tcPr>
            <w:tcW w:w="2678" w:type="pct"/>
            <w:vAlign w:val="center"/>
          </w:tcPr>
          <w:p w14:paraId="4962E625" w14:textId="77777777" w:rsidR="002E474C" w:rsidRDefault="00000000">
            <w:pPr>
              <w:pStyle w:val="A-"/>
            </w:pPr>
            <w:r>
              <w:t>二氯乙烯单体生产过程中蒸馏产生的重馏分</w:t>
            </w:r>
          </w:p>
        </w:tc>
        <w:tc>
          <w:tcPr>
            <w:tcW w:w="395" w:type="pct"/>
            <w:vAlign w:val="center"/>
          </w:tcPr>
          <w:p w14:paraId="7223F5AD" w14:textId="77777777" w:rsidR="002E474C" w:rsidRDefault="00000000">
            <w:pPr>
              <w:pStyle w:val="A-"/>
            </w:pPr>
            <w:r>
              <w:t>T</w:t>
            </w:r>
          </w:p>
        </w:tc>
      </w:tr>
      <w:tr w:rsidR="002E474C" w14:paraId="5D060EBF" w14:textId="77777777">
        <w:trPr>
          <w:trHeight w:val="240"/>
        </w:trPr>
        <w:tc>
          <w:tcPr>
            <w:tcW w:w="574" w:type="pct"/>
            <w:vMerge/>
            <w:vAlign w:val="center"/>
          </w:tcPr>
          <w:p w14:paraId="322FF50F" w14:textId="77777777" w:rsidR="002E474C" w:rsidRDefault="002E474C">
            <w:pPr>
              <w:pStyle w:val="A-"/>
            </w:pPr>
          </w:p>
        </w:tc>
        <w:tc>
          <w:tcPr>
            <w:tcW w:w="524" w:type="pct"/>
            <w:vMerge/>
            <w:vAlign w:val="center"/>
          </w:tcPr>
          <w:p w14:paraId="74D9023C" w14:textId="77777777" w:rsidR="002E474C" w:rsidRDefault="002E474C">
            <w:pPr>
              <w:pStyle w:val="A-"/>
            </w:pPr>
          </w:p>
        </w:tc>
        <w:tc>
          <w:tcPr>
            <w:tcW w:w="372" w:type="pct"/>
            <w:vMerge/>
            <w:vAlign w:val="center"/>
          </w:tcPr>
          <w:p w14:paraId="4437A411" w14:textId="77777777" w:rsidR="002E474C" w:rsidRDefault="002E474C">
            <w:pPr>
              <w:pStyle w:val="A-"/>
            </w:pPr>
          </w:p>
        </w:tc>
        <w:tc>
          <w:tcPr>
            <w:tcW w:w="457" w:type="pct"/>
            <w:vAlign w:val="center"/>
          </w:tcPr>
          <w:p w14:paraId="259E0C26" w14:textId="77777777" w:rsidR="002E474C" w:rsidRDefault="00000000">
            <w:pPr>
              <w:pStyle w:val="A-"/>
            </w:pPr>
            <w:r>
              <w:t>261-032-11</w:t>
            </w:r>
          </w:p>
        </w:tc>
        <w:tc>
          <w:tcPr>
            <w:tcW w:w="2678" w:type="pct"/>
            <w:vAlign w:val="center"/>
          </w:tcPr>
          <w:p w14:paraId="3B44DDD4" w14:textId="77777777" w:rsidR="002E474C" w:rsidRDefault="00000000">
            <w:pPr>
              <w:pStyle w:val="A-"/>
            </w:pPr>
            <w:r>
              <w:t>氯乙烯单体生产过程中蒸馏产生的重馏分</w:t>
            </w:r>
          </w:p>
        </w:tc>
        <w:tc>
          <w:tcPr>
            <w:tcW w:w="395" w:type="pct"/>
            <w:vAlign w:val="center"/>
          </w:tcPr>
          <w:p w14:paraId="5BFEE78E" w14:textId="77777777" w:rsidR="002E474C" w:rsidRDefault="00000000">
            <w:pPr>
              <w:pStyle w:val="A-"/>
            </w:pPr>
            <w:r>
              <w:t>T</w:t>
            </w:r>
          </w:p>
        </w:tc>
      </w:tr>
      <w:tr w:rsidR="002E474C" w14:paraId="1BAAC5F7" w14:textId="77777777">
        <w:trPr>
          <w:trHeight w:val="240"/>
        </w:trPr>
        <w:tc>
          <w:tcPr>
            <w:tcW w:w="574" w:type="pct"/>
            <w:vMerge/>
            <w:vAlign w:val="center"/>
          </w:tcPr>
          <w:p w14:paraId="4C709F43" w14:textId="77777777" w:rsidR="002E474C" w:rsidRDefault="002E474C">
            <w:pPr>
              <w:pStyle w:val="A-"/>
            </w:pPr>
          </w:p>
        </w:tc>
        <w:tc>
          <w:tcPr>
            <w:tcW w:w="524" w:type="pct"/>
            <w:vMerge/>
            <w:vAlign w:val="center"/>
          </w:tcPr>
          <w:p w14:paraId="179A9A12" w14:textId="77777777" w:rsidR="002E474C" w:rsidRDefault="002E474C">
            <w:pPr>
              <w:pStyle w:val="A-"/>
            </w:pPr>
          </w:p>
        </w:tc>
        <w:tc>
          <w:tcPr>
            <w:tcW w:w="372" w:type="pct"/>
            <w:vMerge/>
            <w:vAlign w:val="center"/>
          </w:tcPr>
          <w:p w14:paraId="21155804" w14:textId="77777777" w:rsidR="002E474C" w:rsidRDefault="002E474C">
            <w:pPr>
              <w:pStyle w:val="A-"/>
            </w:pPr>
          </w:p>
        </w:tc>
        <w:tc>
          <w:tcPr>
            <w:tcW w:w="457" w:type="pct"/>
            <w:vAlign w:val="center"/>
          </w:tcPr>
          <w:p w14:paraId="4ADE6320" w14:textId="77777777" w:rsidR="002E474C" w:rsidRDefault="00000000">
            <w:pPr>
              <w:pStyle w:val="A-"/>
            </w:pPr>
            <w:r>
              <w:t>261-033-11</w:t>
            </w:r>
          </w:p>
        </w:tc>
        <w:tc>
          <w:tcPr>
            <w:tcW w:w="2678" w:type="pct"/>
            <w:vAlign w:val="center"/>
          </w:tcPr>
          <w:p w14:paraId="508D9C04" w14:textId="77777777" w:rsidR="002E474C" w:rsidRDefault="00000000">
            <w:pPr>
              <w:pStyle w:val="A-"/>
            </w:pPr>
            <w:r>
              <w:t>1,1,1-</w:t>
            </w:r>
            <w:r>
              <w:t>三氯乙烷生产过程中蒸汽汽提塔产生的残余物</w:t>
            </w:r>
          </w:p>
        </w:tc>
        <w:tc>
          <w:tcPr>
            <w:tcW w:w="395" w:type="pct"/>
            <w:vAlign w:val="center"/>
          </w:tcPr>
          <w:p w14:paraId="63A713AD" w14:textId="77777777" w:rsidR="002E474C" w:rsidRDefault="00000000">
            <w:pPr>
              <w:pStyle w:val="A-"/>
            </w:pPr>
            <w:r>
              <w:t>T</w:t>
            </w:r>
          </w:p>
        </w:tc>
      </w:tr>
      <w:tr w:rsidR="002E474C" w14:paraId="43C5E400" w14:textId="77777777">
        <w:trPr>
          <w:trHeight w:val="240"/>
        </w:trPr>
        <w:tc>
          <w:tcPr>
            <w:tcW w:w="574" w:type="pct"/>
            <w:vMerge/>
            <w:vAlign w:val="center"/>
          </w:tcPr>
          <w:p w14:paraId="017960B6" w14:textId="77777777" w:rsidR="002E474C" w:rsidRDefault="002E474C">
            <w:pPr>
              <w:pStyle w:val="A-"/>
            </w:pPr>
          </w:p>
        </w:tc>
        <w:tc>
          <w:tcPr>
            <w:tcW w:w="524" w:type="pct"/>
            <w:vMerge/>
            <w:vAlign w:val="center"/>
          </w:tcPr>
          <w:p w14:paraId="287FE0A3" w14:textId="77777777" w:rsidR="002E474C" w:rsidRDefault="002E474C">
            <w:pPr>
              <w:pStyle w:val="A-"/>
            </w:pPr>
          </w:p>
        </w:tc>
        <w:tc>
          <w:tcPr>
            <w:tcW w:w="372" w:type="pct"/>
            <w:vMerge/>
            <w:vAlign w:val="center"/>
          </w:tcPr>
          <w:p w14:paraId="4CD9A1BC" w14:textId="77777777" w:rsidR="002E474C" w:rsidRDefault="002E474C">
            <w:pPr>
              <w:pStyle w:val="A-"/>
            </w:pPr>
          </w:p>
        </w:tc>
        <w:tc>
          <w:tcPr>
            <w:tcW w:w="457" w:type="pct"/>
            <w:vAlign w:val="center"/>
          </w:tcPr>
          <w:p w14:paraId="541E8A71" w14:textId="77777777" w:rsidR="002E474C" w:rsidRDefault="00000000">
            <w:pPr>
              <w:pStyle w:val="A-"/>
            </w:pPr>
            <w:r>
              <w:t>261-034-11</w:t>
            </w:r>
          </w:p>
        </w:tc>
        <w:tc>
          <w:tcPr>
            <w:tcW w:w="2678" w:type="pct"/>
            <w:vAlign w:val="center"/>
          </w:tcPr>
          <w:p w14:paraId="32B1EAD1" w14:textId="77777777" w:rsidR="002E474C" w:rsidRDefault="00000000">
            <w:pPr>
              <w:pStyle w:val="A-"/>
            </w:pPr>
            <w:r>
              <w:t>1,1,1-</w:t>
            </w:r>
            <w:r>
              <w:t>三氯乙烷生产过程中蒸馏产生的重馏分</w:t>
            </w:r>
          </w:p>
        </w:tc>
        <w:tc>
          <w:tcPr>
            <w:tcW w:w="395" w:type="pct"/>
            <w:vAlign w:val="center"/>
          </w:tcPr>
          <w:p w14:paraId="6E8A1EA0" w14:textId="77777777" w:rsidR="002E474C" w:rsidRDefault="00000000">
            <w:pPr>
              <w:pStyle w:val="A-"/>
            </w:pPr>
            <w:r>
              <w:t>T</w:t>
            </w:r>
          </w:p>
        </w:tc>
      </w:tr>
      <w:tr w:rsidR="002E474C" w14:paraId="75687965" w14:textId="77777777">
        <w:trPr>
          <w:trHeight w:val="240"/>
        </w:trPr>
        <w:tc>
          <w:tcPr>
            <w:tcW w:w="574" w:type="pct"/>
            <w:vMerge/>
            <w:vAlign w:val="center"/>
          </w:tcPr>
          <w:p w14:paraId="19C8A1DA" w14:textId="77777777" w:rsidR="002E474C" w:rsidRDefault="002E474C">
            <w:pPr>
              <w:pStyle w:val="A-"/>
            </w:pPr>
          </w:p>
        </w:tc>
        <w:tc>
          <w:tcPr>
            <w:tcW w:w="524" w:type="pct"/>
            <w:vMerge/>
            <w:vAlign w:val="center"/>
          </w:tcPr>
          <w:p w14:paraId="40F5F778" w14:textId="77777777" w:rsidR="002E474C" w:rsidRDefault="002E474C">
            <w:pPr>
              <w:pStyle w:val="A-"/>
            </w:pPr>
          </w:p>
        </w:tc>
        <w:tc>
          <w:tcPr>
            <w:tcW w:w="372" w:type="pct"/>
            <w:vMerge/>
            <w:vAlign w:val="center"/>
          </w:tcPr>
          <w:p w14:paraId="3723972D" w14:textId="77777777" w:rsidR="002E474C" w:rsidRDefault="002E474C">
            <w:pPr>
              <w:pStyle w:val="A-"/>
            </w:pPr>
          </w:p>
        </w:tc>
        <w:tc>
          <w:tcPr>
            <w:tcW w:w="457" w:type="pct"/>
            <w:vAlign w:val="center"/>
          </w:tcPr>
          <w:p w14:paraId="6B6B785B" w14:textId="77777777" w:rsidR="002E474C" w:rsidRDefault="00000000">
            <w:pPr>
              <w:pStyle w:val="A-"/>
            </w:pPr>
            <w:r>
              <w:t>261-035-11</w:t>
            </w:r>
          </w:p>
        </w:tc>
        <w:tc>
          <w:tcPr>
            <w:tcW w:w="2678" w:type="pct"/>
            <w:vAlign w:val="center"/>
          </w:tcPr>
          <w:p w14:paraId="14F52130" w14:textId="77777777" w:rsidR="002E474C" w:rsidRDefault="00000000">
            <w:pPr>
              <w:pStyle w:val="A-"/>
            </w:pPr>
            <w:r>
              <w:t>三氯乙烯和四氯乙烯联合生产过程中产生的重馏分</w:t>
            </w:r>
          </w:p>
        </w:tc>
        <w:tc>
          <w:tcPr>
            <w:tcW w:w="395" w:type="pct"/>
            <w:vAlign w:val="center"/>
          </w:tcPr>
          <w:p w14:paraId="1B06F818" w14:textId="77777777" w:rsidR="002E474C" w:rsidRDefault="00000000">
            <w:pPr>
              <w:pStyle w:val="A-"/>
            </w:pPr>
            <w:r>
              <w:t>T</w:t>
            </w:r>
          </w:p>
        </w:tc>
      </w:tr>
      <w:tr w:rsidR="002E474C" w14:paraId="10263FA8" w14:textId="77777777">
        <w:trPr>
          <w:trHeight w:val="240"/>
        </w:trPr>
        <w:tc>
          <w:tcPr>
            <w:tcW w:w="574" w:type="pct"/>
            <w:vMerge/>
            <w:vAlign w:val="center"/>
          </w:tcPr>
          <w:p w14:paraId="44061F3D" w14:textId="77777777" w:rsidR="002E474C" w:rsidRDefault="002E474C">
            <w:pPr>
              <w:pStyle w:val="A-"/>
            </w:pPr>
          </w:p>
        </w:tc>
        <w:tc>
          <w:tcPr>
            <w:tcW w:w="524" w:type="pct"/>
            <w:vMerge/>
            <w:vAlign w:val="center"/>
          </w:tcPr>
          <w:p w14:paraId="39E93144" w14:textId="77777777" w:rsidR="002E474C" w:rsidRDefault="002E474C">
            <w:pPr>
              <w:pStyle w:val="A-"/>
            </w:pPr>
          </w:p>
        </w:tc>
        <w:tc>
          <w:tcPr>
            <w:tcW w:w="372" w:type="pct"/>
            <w:vMerge/>
            <w:vAlign w:val="center"/>
          </w:tcPr>
          <w:p w14:paraId="4213C9D5" w14:textId="77777777" w:rsidR="002E474C" w:rsidRDefault="002E474C">
            <w:pPr>
              <w:pStyle w:val="A-"/>
            </w:pPr>
          </w:p>
        </w:tc>
        <w:tc>
          <w:tcPr>
            <w:tcW w:w="457" w:type="pct"/>
            <w:vAlign w:val="center"/>
          </w:tcPr>
          <w:p w14:paraId="0C32B8D7" w14:textId="77777777" w:rsidR="002E474C" w:rsidRDefault="00000000">
            <w:pPr>
              <w:pStyle w:val="A-"/>
            </w:pPr>
            <w:r>
              <w:t>261-100-11</w:t>
            </w:r>
          </w:p>
        </w:tc>
        <w:tc>
          <w:tcPr>
            <w:tcW w:w="2678" w:type="pct"/>
            <w:vAlign w:val="center"/>
          </w:tcPr>
          <w:p w14:paraId="10E9B606" w14:textId="77777777" w:rsidR="002E474C" w:rsidRDefault="00000000">
            <w:pPr>
              <w:pStyle w:val="A-"/>
            </w:pPr>
            <w:r>
              <w:t>苯和丙烯生产苯酚和丙酮过程中产生的重馏分</w:t>
            </w:r>
          </w:p>
        </w:tc>
        <w:tc>
          <w:tcPr>
            <w:tcW w:w="395" w:type="pct"/>
            <w:vAlign w:val="center"/>
          </w:tcPr>
          <w:p w14:paraId="70F8B435" w14:textId="77777777" w:rsidR="002E474C" w:rsidRDefault="00000000">
            <w:pPr>
              <w:pStyle w:val="A-"/>
            </w:pPr>
            <w:r>
              <w:t>T</w:t>
            </w:r>
          </w:p>
        </w:tc>
      </w:tr>
      <w:tr w:rsidR="002E474C" w14:paraId="6493B6E3" w14:textId="77777777">
        <w:trPr>
          <w:trHeight w:val="240"/>
        </w:trPr>
        <w:tc>
          <w:tcPr>
            <w:tcW w:w="574" w:type="pct"/>
            <w:vMerge/>
            <w:vAlign w:val="center"/>
          </w:tcPr>
          <w:p w14:paraId="2664C0D0" w14:textId="77777777" w:rsidR="002E474C" w:rsidRDefault="002E474C">
            <w:pPr>
              <w:pStyle w:val="A-"/>
            </w:pPr>
          </w:p>
        </w:tc>
        <w:tc>
          <w:tcPr>
            <w:tcW w:w="524" w:type="pct"/>
            <w:vMerge/>
            <w:vAlign w:val="center"/>
          </w:tcPr>
          <w:p w14:paraId="0245A88F" w14:textId="77777777" w:rsidR="002E474C" w:rsidRDefault="002E474C">
            <w:pPr>
              <w:pStyle w:val="A-"/>
            </w:pPr>
          </w:p>
        </w:tc>
        <w:tc>
          <w:tcPr>
            <w:tcW w:w="372" w:type="pct"/>
            <w:vMerge/>
            <w:vAlign w:val="center"/>
          </w:tcPr>
          <w:p w14:paraId="456023E1" w14:textId="77777777" w:rsidR="002E474C" w:rsidRDefault="002E474C">
            <w:pPr>
              <w:pStyle w:val="A-"/>
            </w:pPr>
          </w:p>
        </w:tc>
        <w:tc>
          <w:tcPr>
            <w:tcW w:w="457" w:type="pct"/>
            <w:vAlign w:val="center"/>
          </w:tcPr>
          <w:p w14:paraId="144D55D8" w14:textId="77777777" w:rsidR="002E474C" w:rsidRDefault="00000000">
            <w:pPr>
              <w:pStyle w:val="A-"/>
            </w:pPr>
            <w:r>
              <w:t>261-101-11</w:t>
            </w:r>
          </w:p>
        </w:tc>
        <w:tc>
          <w:tcPr>
            <w:tcW w:w="2678" w:type="pct"/>
            <w:vAlign w:val="center"/>
          </w:tcPr>
          <w:p w14:paraId="75E3078C" w14:textId="77777777" w:rsidR="002E474C" w:rsidRDefault="00000000">
            <w:pPr>
              <w:pStyle w:val="A-"/>
            </w:pPr>
            <w:r>
              <w:t>苯泵式消化生产硝基苯过程中产生的重馏分</w:t>
            </w:r>
          </w:p>
        </w:tc>
        <w:tc>
          <w:tcPr>
            <w:tcW w:w="395" w:type="pct"/>
            <w:vAlign w:val="center"/>
          </w:tcPr>
          <w:p w14:paraId="21A57C06" w14:textId="77777777" w:rsidR="002E474C" w:rsidRDefault="00000000">
            <w:pPr>
              <w:pStyle w:val="A-"/>
            </w:pPr>
            <w:r>
              <w:t>T</w:t>
            </w:r>
          </w:p>
        </w:tc>
      </w:tr>
      <w:tr w:rsidR="002E474C" w14:paraId="5640F880" w14:textId="77777777">
        <w:trPr>
          <w:trHeight w:val="240"/>
        </w:trPr>
        <w:tc>
          <w:tcPr>
            <w:tcW w:w="574" w:type="pct"/>
            <w:vMerge/>
            <w:vAlign w:val="center"/>
          </w:tcPr>
          <w:p w14:paraId="11DC11F6" w14:textId="77777777" w:rsidR="002E474C" w:rsidRDefault="002E474C">
            <w:pPr>
              <w:pStyle w:val="A-"/>
            </w:pPr>
          </w:p>
        </w:tc>
        <w:tc>
          <w:tcPr>
            <w:tcW w:w="524" w:type="pct"/>
            <w:vMerge/>
            <w:vAlign w:val="center"/>
          </w:tcPr>
          <w:p w14:paraId="42A9C8A2" w14:textId="77777777" w:rsidR="002E474C" w:rsidRDefault="002E474C">
            <w:pPr>
              <w:pStyle w:val="A-"/>
            </w:pPr>
          </w:p>
        </w:tc>
        <w:tc>
          <w:tcPr>
            <w:tcW w:w="372" w:type="pct"/>
            <w:vMerge/>
            <w:vAlign w:val="center"/>
          </w:tcPr>
          <w:p w14:paraId="0682C686" w14:textId="77777777" w:rsidR="002E474C" w:rsidRDefault="002E474C">
            <w:pPr>
              <w:pStyle w:val="A-"/>
            </w:pPr>
          </w:p>
        </w:tc>
        <w:tc>
          <w:tcPr>
            <w:tcW w:w="457" w:type="pct"/>
            <w:vAlign w:val="center"/>
          </w:tcPr>
          <w:p w14:paraId="6206A3B9" w14:textId="77777777" w:rsidR="002E474C" w:rsidRDefault="00000000">
            <w:pPr>
              <w:pStyle w:val="A-"/>
            </w:pPr>
            <w:r>
              <w:t>261-102-11</w:t>
            </w:r>
          </w:p>
        </w:tc>
        <w:tc>
          <w:tcPr>
            <w:tcW w:w="2678" w:type="pct"/>
            <w:vAlign w:val="center"/>
          </w:tcPr>
          <w:p w14:paraId="33C3CE05" w14:textId="77777777" w:rsidR="002E474C" w:rsidRDefault="00000000">
            <w:pPr>
              <w:pStyle w:val="A-"/>
            </w:pPr>
            <w:r>
              <w:t>铁粉还原硝基苯生产苯胺过程中产生的重馏分</w:t>
            </w:r>
          </w:p>
        </w:tc>
        <w:tc>
          <w:tcPr>
            <w:tcW w:w="395" w:type="pct"/>
            <w:vAlign w:val="center"/>
          </w:tcPr>
          <w:p w14:paraId="79C3592C" w14:textId="77777777" w:rsidR="002E474C" w:rsidRDefault="00000000">
            <w:pPr>
              <w:pStyle w:val="A-"/>
            </w:pPr>
            <w:r>
              <w:t>T</w:t>
            </w:r>
          </w:p>
        </w:tc>
      </w:tr>
      <w:tr w:rsidR="002E474C" w14:paraId="7E2A423D" w14:textId="77777777">
        <w:trPr>
          <w:trHeight w:val="240"/>
        </w:trPr>
        <w:tc>
          <w:tcPr>
            <w:tcW w:w="574" w:type="pct"/>
            <w:vMerge/>
            <w:vAlign w:val="center"/>
          </w:tcPr>
          <w:p w14:paraId="158A28BC" w14:textId="77777777" w:rsidR="002E474C" w:rsidRDefault="002E474C">
            <w:pPr>
              <w:pStyle w:val="A-"/>
            </w:pPr>
          </w:p>
        </w:tc>
        <w:tc>
          <w:tcPr>
            <w:tcW w:w="524" w:type="pct"/>
            <w:vMerge/>
            <w:vAlign w:val="center"/>
          </w:tcPr>
          <w:p w14:paraId="70496CCA" w14:textId="77777777" w:rsidR="002E474C" w:rsidRDefault="002E474C">
            <w:pPr>
              <w:pStyle w:val="A-"/>
            </w:pPr>
          </w:p>
        </w:tc>
        <w:tc>
          <w:tcPr>
            <w:tcW w:w="372" w:type="pct"/>
            <w:vMerge/>
            <w:vAlign w:val="center"/>
          </w:tcPr>
          <w:p w14:paraId="4BDF7FF0" w14:textId="77777777" w:rsidR="002E474C" w:rsidRDefault="002E474C">
            <w:pPr>
              <w:pStyle w:val="A-"/>
            </w:pPr>
          </w:p>
        </w:tc>
        <w:tc>
          <w:tcPr>
            <w:tcW w:w="457" w:type="pct"/>
            <w:vAlign w:val="center"/>
          </w:tcPr>
          <w:p w14:paraId="583BEC15" w14:textId="77777777" w:rsidR="002E474C" w:rsidRDefault="00000000">
            <w:pPr>
              <w:pStyle w:val="A-"/>
            </w:pPr>
            <w:r>
              <w:t>261-103-11</w:t>
            </w:r>
          </w:p>
        </w:tc>
        <w:tc>
          <w:tcPr>
            <w:tcW w:w="2678" w:type="pct"/>
            <w:vAlign w:val="center"/>
          </w:tcPr>
          <w:p w14:paraId="0DDCCFED" w14:textId="77777777" w:rsidR="002E474C" w:rsidRDefault="00000000">
            <w:pPr>
              <w:pStyle w:val="A-"/>
            </w:pPr>
            <w:r>
              <w:t>苯胺、乙酸酐或乙酰苯胺为原料生产对硝基苯胺过程中产生的重馏分</w:t>
            </w:r>
          </w:p>
        </w:tc>
        <w:tc>
          <w:tcPr>
            <w:tcW w:w="395" w:type="pct"/>
            <w:vAlign w:val="center"/>
          </w:tcPr>
          <w:p w14:paraId="6B2178F5" w14:textId="77777777" w:rsidR="002E474C" w:rsidRDefault="00000000">
            <w:pPr>
              <w:pStyle w:val="A-"/>
            </w:pPr>
            <w:r>
              <w:t>T</w:t>
            </w:r>
          </w:p>
        </w:tc>
      </w:tr>
      <w:tr w:rsidR="002E474C" w14:paraId="5E51EF45" w14:textId="77777777">
        <w:trPr>
          <w:trHeight w:val="240"/>
        </w:trPr>
        <w:tc>
          <w:tcPr>
            <w:tcW w:w="574" w:type="pct"/>
            <w:vMerge/>
            <w:vAlign w:val="center"/>
          </w:tcPr>
          <w:p w14:paraId="363C2C73" w14:textId="77777777" w:rsidR="002E474C" w:rsidRDefault="002E474C">
            <w:pPr>
              <w:pStyle w:val="A-"/>
            </w:pPr>
          </w:p>
        </w:tc>
        <w:tc>
          <w:tcPr>
            <w:tcW w:w="524" w:type="pct"/>
            <w:vMerge/>
            <w:vAlign w:val="center"/>
          </w:tcPr>
          <w:p w14:paraId="3D820F38" w14:textId="77777777" w:rsidR="002E474C" w:rsidRDefault="002E474C">
            <w:pPr>
              <w:pStyle w:val="A-"/>
            </w:pPr>
          </w:p>
        </w:tc>
        <w:tc>
          <w:tcPr>
            <w:tcW w:w="372" w:type="pct"/>
            <w:vMerge/>
            <w:vAlign w:val="center"/>
          </w:tcPr>
          <w:p w14:paraId="418EB035" w14:textId="77777777" w:rsidR="002E474C" w:rsidRDefault="002E474C">
            <w:pPr>
              <w:pStyle w:val="A-"/>
            </w:pPr>
          </w:p>
        </w:tc>
        <w:tc>
          <w:tcPr>
            <w:tcW w:w="457" w:type="pct"/>
            <w:vAlign w:val="center"/>
          </w:tcPr>
          <w:p w14:paraId="1A0ACB6E" w14:textId="77777777" w:rsidR="002E474C" w:rsidRDefault="00000000">
            <w:pPr>
              <w:pStyle w:val="A-"/>
            </w:pPr>
            <w:r>
              <w:t>261-104-11</w:t>
            </w:r>
          </w:p>
        </w:tc>
        <w:tc>
          <w:tcPr>
            <w:tcW w:w="2678" w:type="pct"/>
            <w:vAlign w:val="center"/>
          </w:tcPr>
          <w:p w14:paraId="2B2AFD33" w14:textId="77777777" w:rsidR="002E474C" w:rsidRDefault="00000000">
            <w:pPr>
              <w:pStyle w:val="A-"/>
            </w:pPr>
            <w:r>
              <w:t>对氯苯胺氨解生产对硝基苯胺过程中产生的重馏分</w:t>
            </w:r>
          </w:p>
        </w:tc>
        <w:tc>
          <w:tcPr>
            <w:tcW w:w="395" w:type="pct"/>
            <w:vAlign w:val="center"/>
          </w:tcPr>
          <w:p w14:paraId="2B4056E2" w14:textId="77777777" w:rsidR="002E474C" w:rsidRDefault="00000000">
            <w:pPr>
              <w:pStyle w:val="A-"/>
            </w:pPr>
            <w:r>
              <w:t>T</w:t>
            </w:r>
          </w:p>
        </w:tc>
      </w:tr>
      <w:tr w:rsidR="002E474C" w14:paraId="5A9B9B05" w14:textId="77777777">
        <w:trPr>
          <w:trHeight w:val="240"/>
        </w:trPr>
        <w:tc>
          <w:tcPr>
            <w:tcW w:w="574" w:type="pct"/>
            <w:vMerge/>
            <w:vAlign w:val="center"/>
          </w:tcPr>
          <w:p w14:paraId="08551BBD" w14:textId="77777777" w:rsidR="002E474C" w:rsidRDefault="002E474C">
            <w:pPr>
              <w:pStyle w:val="A-"/>
            </w:pPr>
          </w:p>
        </w:tc>
        <w:tc>
          <w:tcPr>
            <w:tcW w:w="524" w:type="pct"/>
            <w:vMerge/>
            <w:vAlign w:val="center"/>
          </w:tcPr>
          <w:p w14:paraId="4415C3D4" w14:textId="77777777" w:rsidR="002E474C" w:rsidRDefault="002E474C">
            <w:pPr>
              <w:pStyle w:val="A-"/>
            </w:pPr>
          </w:p>
        </w:tc>
        <w:tc>
          <w:tcPr>
            <w:tcW w:w="372" w:type="pct"/>
            <w:vMerge/>
            <w:vAlign w:val="center"/>
          </w:tcPr>
          <w:p w14:paraId="12066F44" w14:textId="77777777" w:rsidR="002E474C" w:rsidRDefault="002E474C">
            <w:pPr>
              <w:pStyle w:val="A-"/>
            </w:pPr>
          </w:p>
        </w:tc>
        <w:tc>
          <w:tcPr>
            <w:tcW w:w="457" w:type="pct"/>
            <w:vAlign w:val="center"/>
          </w:tcPr>
          <w:p w14:paraId="1BE72F9D" w14:textId="77777777" w:rsidR="002E474C" w:rsidRDefault="00000000">
            <w:pPr>
              <w:pStyle w:val="A-"/>
            </w:pPr>
            <w:r>
              <w:t>261-105-11</w:t>
            </w:r>
          </w:p>
        </w:tc>
        <w:tc>
          <w:tcPr>
            <w:tcW w:w="2678" w:type="pct"/>
            <w:vAlign w:val="center"/>
          </w:tcPr>
          <w:p w14:paraId="0F1A5E73" w14:textId="77777777" w:rsidR="002E474C" w:rsidRDefault="00000000">
            <w:pPr>
              <w:pStyle w:val="A-"/>
            </w:pPr>
            <w:r>
              <w:t>氨化法、还原法生产邻苯二胺过程中产生的重馏分</w:t>
            </w:r>
          </w:p>
        </w:tc>
        <w:tc>
          <w:tcPr>
            <w:tcW w:w="395" w:type="pct"/>
            <w:vAlign w:val="center"/>
          </w:tcPr>
          <w:p w14:paraId="01A60F0A" w14:textId="77777777" w:rsidR="002E474C" w:rsidRDefault="00000000">
            <w:pPr>
              <w:pStyle w:val="A-"/>
            </w:pPr>
            <w:r>
              <w:t>T</w:t>
            </w:r>
          </w:p>
        </w:tc>
      </w:tr>
      <w:tr w:rsidR="002E474C" w14:paraId="3B0575C5" w14:textId="77777777">
        <w:trPr>
          <w:trHeight w:val="240"/>
        </w:trPr>
        <w:tc>
          <w:tcPr>
            <w:tcW w:w="574" w:type="pct"/>
            <w:vMerge/>
            <w:vAlign w:val="center"/>
          </w:tcPr>
          <w:p w14:paraId="1E96E4FD" w14:textId="77777777" w:rsidR="002E474C" w:rsidRDefault="002E474C">
            <w:pPr>
              <w:pStyle w:val="A-"/>
            </w:pPr>
          </w:p>
        </w:tc>
        <w:tc>
          <w:tcPr>
            <w:tcW w:w="524" w:type="pct"/>
            <w:vMerge/>
            <w:vAlign w:val="center"/>
          </w:tcPr>
          <w:p w14:paraId="1DDB7882" w14:textId="77777777" w:rsidR="002E474C" w:rsidRDefault="002E474C">
            <w:pPr>
              <w:pStyle w:val="A-"/>
            </w:pPr>
          </w:p>
        </w:tc>
        <w:tc>
          <w:tcPr>
            <w:tcW w:w="372" w:type="pct"/>
            <w:vMerge/>
            <w:vAlign w:val="center"/>
          </w:tcPr>
          <w:p w14:paraId="07AAC85B" w14:textId="77777777" w:rsidR="002E474C" w:rsidRDefault="002E474C">
            <w:pPr>
              <w:pStyle w:val="A-"/>
            </w:pPr>
          </w:p>
        </w:tc>
        <w:tc>
          <w:tcPr>
            <w:tcW w:w="457" w:type="pct"/>
            <w:vAlign w:val="center"/>
          </w:tcPr>
          <w:p w14:paraId="3DD4F638" w14:textId="77777777" w:rsidR="002E474C" w:rsidRDefault="00000000">
            <w:pPr>
              <w:pStyle w:val="A-"/>
            </w:pPr>
            <w:r>
              <w:t>261-106-11</w:t>
            </w:r>
          </w:p>
        </w:tc>
        <w:tc>
          <w:tcPr>
            <w:tcW w:w="2678" w:type="pct"/>
            <w:vAlign w:val="center"/>
          </w:tcPr>
          <w:p w14:paraId="2DF68DCC" w14:textId="77777777" w:rsidR="002E474C" w:rsidRDefault="00000000">
            <w:pPr>
              <w:pStyle w:val="A-"/>
            </w:pPr>
            <w:r>
              <w:t>苯和乙烯直接催化、乙苯和丙烯共氧化、乙苯催化脱氢生产苯乙烯过程中产生的重馏分</w:t>
            </w:r>
          </w:p>
        </w:tc>
        <w:tc>
          <w:tcPr>
            <w:tcW w:w="395" w:type="pct"/>
            <w:vAlign w:val="center"/>
          </w:tcPr>
          <w:p w14:paraId="66AAA193" w14:textId="77777777" w:rsidR="002E474C" w:rsidRDefault="00000000">
            <w:pPr>
              <w:pStyle w:val="A-"/>
            </w:pPr>
            <w:r>
              <w:t>T</w:t>
            </w:r>
          </w:p>
        </w:tc>
      </w:tr>
      <w:tr w:rsidR="002E474C" w14:paraId="7E48C4C0" w14:textId="77777777">
        <w:trPr>
          <w:trHeight w:val="240"/>
        </w:trPr>
        <w:tc>
          <w:tcPr>
            <w:tcW w:w="574" w:type="pct"/>
            <w:vMerge/>
            <w:vAlign w:val="center"/>
          </w:tcPr>
          <w:p w14:paraId="5B83D996" w14:textId="77777777" w:rsidR="002E474C" w:rsidRDefault="002E474C">
            <w:pPr>
              <w:pStyle w:val="A-"/>
            </w:pPr>
          </w:p>
        </w:tc>
        <w:tc>
          <w:tcPr>
            <w:tcW w:w="524" w:type="pct"/>
            <w:vMerge/>
            <w:vAlign w:val="center"/>
          </w:tcPr>
          <w:p w14:paraId="6C3F3338" w14:textId="77777777" w:rsidR="002E474C" w:rsidRDefault="002E474C">
            <w:pPr>
              <w:pStyle w:val="A-"/>
            </w:pPr>
          </w:p>
        </w:tc>
        <w:tc>
          <w:tcPr>
            <w:tcW w:w="372" w:type="pct"/>
            <w:vMerge/>
            <w:vAlign w:val="center"/>
          </w:tcPr>
          <w:p w14:paraId="4F9CE27B" w14:textId="77777777" w:rsidR="002E474C" w:rsidRDefault="002E474C">
            <w:pPr>
              <w:pStyle w:val="A-"/>
            </w:pPr>
          </w:p>
        </w:tc>
        <w:tc>
          <w:tcPr>
            <w:tcW w:w="457" w:type="pct"/>
            <w:vAlign w:val="center"/>
          </w:tcPr>
          <w:p w14:paraId="50A95B54" w14:textId="77777777" w:rsidR="002E474C" w:rsidRDefault="00000000">
            <w:pPr>
              <w:pStyle w:val="A-"/>
            </w:pPr>
            <w:r>
              <w:t>261-107-11</w:t>
            </w:r>
          </w:p>
        </w:tc>
        <w:tc>
          <w:tcPr>
            <w:tcW w:w="2678" w:type="pct"/>
            <w:vAlign w:val="center"/>
          </w:tcPr>
          <w:p w14:paraId="0C218CC5" w14:textId="77777777" w:rsidR="002E474C" w:rsidRDefault="00000000">
            <w:pPr>
              <w:pStyle w:val="A-"/>
            </w:pPr>
            <w:r>
              <w:t>二硝基甲苯还原催化生产甲苯二胺过程中产生的重馏分</w:t>
            </w:r>
          </w:p>
        </w:tc>
        <w:tc>
          <w:tcPr>
            <w:tcW w:w="395" w:type="pct"/>
            <w:vAlign w:val="center"/>
          </w:tcPr>
          <w:p w14:paraId="7E222094" w14:textId="77777777" w:rsidR="002E474C" w:rsidRDefault="00000000">
            <w:pPr>
              <w:pStyle w:val="A-"/>
            </w:pPr>
            <w:r>
              <w:t>T</w:t>
            </w:r>
          </w:p>
        </w:tc>
      </w:tr>
      <w:tr w:rsidR="002E474C" w14:paraId="079D3202" w14:textId="77777777">
        <w:trPr>
          <w:trHeight w:val="240"/>
        </w:trPr>
        <w:tc>
          <w:tcPr>
            <w:tcW w:w="574" w:type="pct"/>
            <w:vMerge/>
            <w:vAlign w:val="center"/>
          </w:tcPr>
          <w:p w14:paraId="48B0E4AC" w14:textId="77777777" w:rsidR="002E474C" w:rsidRDefault="002E474C">
            <w:pPr>
              <w:pStyle w:val="A-"/>
            </w:pPr>
          </w:p>
        </w:tc>
        <w:tc>
          <w:tcPr>
            <w:tcW w:w="524" w:type="pct"/>
            <w:vMerge/>
            <w:vAlign w:val="center"/>
          </w:tcPr>
          <w:p w14:paraId="45417C1E" w14:textId="77777777" w:rsidR="002E474C" w:rsidRDefault="002E474C">
            <w:pPr>
              <w:pStyle w:val="A-"/>
            </w:pPr>
          </w:p>
        </w:tc>
        <w:tc>
          <w:tcPr>
            <w:tcW w:w="372" w:type="pct"/>
            <w:vMerge/>
            <w:vAlign w:val="center"/>
          </w:tcPr>
          <w:p w14:paraId="7C43585F" w14:textId="77777777" w:rsidR="002E474C" w:rsidRDefault="002E474C">
            <w:pPr>
              <w:pStyle w:val="A-"/>
            </w:pPr>
          </w:p>
        </w:tc>
        <w:tc>
          <w:tcPr>
            <w:tcW w:w="457" w:type="pct"/>
            <w:vAlign w:val="center"/>
          </w:tcPr>
          <w:p w14:paraId="3EA22DAC" w14:textId="77777777" w:rsidR="002E474C" w:rsidRDefault="00000000">
            <w:pPr>
              <w:pStyle w:val="A-"/>
            </w:pPr>
            <w:r>
              <w:t>261-108-11</w:t>
            </w:r>
          </w:p>
        </w:tc>
        <w:tc>
          <w:tcPr>
            <w:tcW w:w="2678" w:type="pct"/>
            <w:vAlign w:val="center"/>
          </w:tcPr>
          <w:p w14:paraId="6EBEEE62" w14:textId="77777777" w:rsidR="002E474C" w:rsidRDefault="00000000">
            <w:pPr>
              <w:pStyle w:val="A-"/>
            </w:pPr>
            <w:r>
              <w:t>对苯二酚氧化生产二甲氧基苯胺过程中产生的重馏分</w:t>
            </w:r>
          </w:p>
        </w:tc>
        <w:tc>
          <w:tcPr>
            <w:tcW w:w="395" w:type="pct"/>
            <w:vAlign w:val="center"/>
          </w:tcPr>
          <w:p w14:paraId="2DCC09B5" w14:textId="77777777" w:rsidR="002E474C" w:rsidRDefault="00000000">
            <w:pPr>
              <w:pStyle w:val="A-"/>
            </w:pPr>
            <w:r>
              <w:t>T</w:t>
            </w:r>
          </w:p>
        </w:tc>
      </w:tr>
      <w:tr w:rsidR="002E474C" w14:paraId="61DDBCCB" w14:textId="77777777">
        <w:trPr>
          <w:trHeight w:val="240"/>
        </w:trPr>
        <w:tc>
          <w:tcPr>
            <w:tcW w:w="574" w:type="pct"/>
            <w:vMerge/>
            <w:vAlign w:val="center"/>
          </w:tcPr>
          <w:p w14:paraId="3494349E" w14:textId="77777777" w:rsidR="002E474C" w:rsidRDefault="002E474C">
            <w:pPr>
              <w:pStyle w:val="A-"/>
            </w:pPr>
          </w:p>
        </w:tc>
        <w:tc>
          <w:tcPr>
            <w:tcW w:w="524" w:type="pct"/>
            <w:vMerge/>
            <w:vAlign w:val="center"/>
          </w:tcPr>
          <w:p w14:paraId="34B36C96" w14:textId="77777777" w:rsidR="002E474C" w:rsidRDefault="002E474C">
            <w:pPr>
              <w:pStyle w:val="A-"/>
            </w:pPr>
          </w:p>
        </w:tc>
        <w:tc>
          <w:tcPr>
            <w:tcW w:w="372" w:type="pct"/>
            <w:vMerge/>
            <w:vAlign w:val="center"/>
          </w:tcPr>
          <w:p w14:paraId="62599281" w14:textId="77777777" w:rsidR="002E474C" w:rsidRDefault="002E474C">
            <w:pPr>
              <w:pStyle w:val="A-"/>
            </w:pPr>
          </w:p>
        </w:tc>
        <w:tc>
          <w:tcPr>
            <w:tcW w:w="457" w:type="pct"/>
            <w:vAlign w:val="center"/>
          </w:tcPr>
          <w:p w14:paraId="21563ACD" w14:textId="77777777" w:rsidR="002E474C" w:rsidRDefault="00000000">
            <w:pPr>
              <w:pStyle w:val="A-"/>
            </w:pPr>
            <w:r>
              <w:t>261-109-11</w:t>
            </w:r>
          </w:p>
        </w:tc>
        <w:tc>
          <w:tcPr>
            <w:tcW w:w="2678" w:type="pct"/>
            <w:vAlign w:val="center"/>
          </w:tcPr>
          <w:p w14:paraId="041A9F72" w14:textId="77777777" w:rsidR="002E474C" w:rsidRDefault="00000000">
            <w:pPr>
              <w:pStyle w:val="A-"/>
            </w:pPr>
            <w:r>
              <w:t>萘磺化生产萘酚过程中产生的重馏分</w:t>
            </w:r>
          </w:p>
        </w:tc>
        <w:tc>
          <w:tcPr>
            <w:tcW w:w="395" w:type="pct"/>
            <w:vAlign w:val="center"/>
          </w:tcPr>
          <w:p w14:paraId="0C638B25" w14:textId="77777777" w:rsidR="002E474C" w:rsidRDefault="00000000">
            <w:pPr>
              <w:pStyle w:val="A-"/>
            </w:pPr>
            <w:r>
              <w:t>T</w:t>
            </w:r>
          </w:p>
        </w:tc>
      </w:tr>
      <w:tr w:rsidR="002E474C" w14:paraId="015124D7" w14:textId="77777777">
        <w:trPr>
          <w:trHeight w:val="240"/>
        </w:trPr>
        <w:tc>
          <w:tcPr>
            <w:tcW w:w="574" w:type="pct"/>
            <w:vMerge/>
            <w:vAlign w:val="center"/>
          </w:tcPr>
          <w:p w14:paraId="12A093FC" w14:textId="77777777" w:rsidR="002E474C" w:rsidRDefault="002E474C">
            <w:pPr>
              <w:pStyle w:val="A-"/>
            </w:pPr>
          </w:p>
        </w:tc>
        <w:tc>
          <w:tcPr>
            <w:tcW w:w="524" w:type="pct"/>
            <w:vMerge/>
            <w:vAlign w:val="center"/>
          </w:tcPr>
          <w:p w14:paraId="3559F507" w14:textId="77777777" w:rsidR="002E474C" w:rsidRDefault="002E474C">
            <w:pPr>
              <w:pStyle w:val="A-"/>
            </w:pPr>
          </w:p>
        </w:tc>
        <w:tc>
          <w:tcPr>
            <w:tcW w:w="372" w:type="pct"/>
            <w:vMerge/>
            <w:vAlign w:val="center"/>
          </w:tcPr>
          <w:p w14:paraId="5719D626" w14:textId="77777777" w:rsidR="002E474C" w:rsidRDefault="002E474C">
            <w:pPr>
              <w:pStyle w:val="A-"/>
            </w:pPr>
          </w:p>
        </w:tc>
        <w:tc>
          <w:tcPr>
            <w:tcW w:w="457" w:type="pct"/>
            <w:vAlign w:val="center"/>
          </w:tcPr>
          <w:p w14:paraId="15394A05" w14:textId="77777777" w:rsidR="002E474C" w:rsidRDefault="00000000">
            <w:pPr>
              <w:pStyle w:val="A-"/>
            </w:pPr>
            <w:r>
              <w:t>261-110-11</w:t>
            </w:r>
          </w:p>
        </w:tc>
        <w:tc>
          <w:tcPr>
            <w:tcW w:w="2678" w:type="pct"/>
            <w:vAlign w:val="center"/>
          </w:tcPr>
          <w:p w14:paraId="51D96FF7" w14:textId="77777777" w:rsidR="002E474C" w:rsidRDefault="00000000">
            <w:pPr>
              <w:pStyle w:val="A-"/>
            </w:pPr>
            <w:r>
              <w:t>苯酚、三甲苯水解生产</w:t>
            </w:r>
            <w:r>
              <w:t>4,4'-</w:t>
            </w:r>
            <w:r>
              <w:t>二羟基二苯砜过程中产生的重馏分</w:t>
            </w:r>
          </w:p>
        </w:tc>
        <w:tc>
          <w:tcPr>
            <w:tcW w:w="395" w:type="pct"/>
            <w:vAlign w:val="center"/>
          </w:tcPr>
          <w:p w14:paraId="1DA941E1" w14:textId="77777777" w:rsidR="002E474C" w:rsidRDefault="00000000">
            <w:pPr>
              <w:pStyle w:val="A-"/>
            </w:pPr>
            <w:r>
              <w:t>T</w:t>
            </w:r>
          </w:p>
        </w:tc>
      </w:tr>
      <w:tr w:rsidR="002E474C" w14:paraId="0C63708D" w14:textId="77777777">
        <w:trPr>
          <w:trHeight w:val="240"/>
        </w:trPr>
        <w:tc>
          <w:tcPr>
            <w:tcW w:w="574" w:type="pct"/>
            <w:vMerge/>
            <w:vAlign w:val="center"/>
          </w:tcPr>
          <w:p w14:paraId="20FF0641" w14:textId="77777777" w:rsidR="002E474C" w:rsidRDefault="002E474C">
            <w:pPr>
              <w:pStyle w:val="A-"/>
            </w:pPr>
          </w:p>
        </w:tc>
        <w:tc>
          <w:tcPr>
            <w:tcW w:w="524" w:type="pct"/>
            <w:vMerge/>
            <w:vAlign w:val="center"/>
          </w:tcPr>
          <w:p w14:paraId="729F9D4A" w14:textId="77777777" w:rsidR="002E474C" w:rsidRDefault="002E474C">
            <w:pPr>
              <w:pStyle w:val="A-"/>
            </w:pPr>
          </w:p>
        </w:tc>
        <w:tc>
          <w:tcPr>
            <w:tcW w:w="372" w:type="pct"/>
            <w:vMerge/>
            <w:vAlign w:val="center"/>
          </w:tcPr>
          <w:p w14:paraId="706215A1" w14:textId="77777777" w:rsidR="002E474C" w:rsidRDefault="002E474C">
            <w:pPr>
              <w:pStyle w:val="A-"/>
            </w:pPr>
          </w:p>
        </w:tc>
        <w:tc>
          <w:tcPr>
            <w:tcW w:w="457" w:type="pct"/>
            <w:vAlign w:val="center"/>
          </w:tcPr>
          <w:p w14:paraId="7DE4BFBD" w14:textId="77777777" w:rsidR="002E474C" w:rsidRDefault="00000000">
            <w:pPr>
              <w:pStyle w:val="A-"/>
            </w:pPr>
            <w:r>
              <w:t>261-111-11</w:t>
            </w:r>
          </w:p>
        </w:tc>
        <w:tc>
          <w:tcPr>
            <w:tcW w:w="2678" w:type="pct"/>
            <w:vAlign w:val="center"/>
          </w:tcPr>
          <w:p w14:paraId="4B9CB869" w14:textId="77777777" w:rsidR="002E474C" w:rsidRDefault="00000000">
            <w:pPr>
              <w:pStyle w:val="A-"/>
            </w:pPr>
            <w:r>
              <w:t>甲苯硝基化合物羰基化法、甲苯碳酸二甲酯法生产甲苯二异氰酸酯过程中产生</w:t>
            </w:r>
            <w:r>
              <w:lastRenderedPageBreak/>
              <w:t>的重馏分</w:t>
            </w:r>
          </w:p>
        </w:tc>
        <w:tc>
          <w:tcPr>
            <w:tcW w:w="395" w:type="pct"/>
            <w:vAlign w:val="center"/>
          </w:tcPr>
          <w:p w14:paraId="565B6CA2" w14:textId="77777777" w:rsidR="002E474C" w:rsidRDefault="00000000">
            <w:pPr>
              <w:pStyle w:val="A-"/>
            </w:pPr>
            <w:r>
              <w:lastRenderedPageBreak/>
              <w:t>T</w:t>
            </w:r>
          </w:p>
        </w:tc>
      </w:tr>
      <w:tr w:rsidR="002E474C" w14:paraId="6C6B678C" w14:textId="77777777">
        <w:trPr>
          <w:trHeight w:val="240"/>
        </w:trPr>
        <w:tc>
          <w:tcPr>
            <w:tcW w:w="574" w:type="pct"/>
            <w:vMerge/>
            <w:vAlign w:val="center"/>
          </w:tcPr>
          <w:p w14:paraId="5DE181B3" w14:textId="77777777" w:rsidR="002E474C" w:rsidRDefault="002E474C">
            <w:pPr>
              <w:pStyle w:val="A-"/>
            </w:pPr>
          </w:p>
        </w:tc>
        <w:tc>
          <w:tcPr>
            <w:tcW w:w="524" w:type="pct"/>
            <w:vMerge/>
            <w:vAlign w:val="center"/>
          </w:tcPr>
          <w:p w14:paraId="2F399DE0" w14:textId="77777777" w:rsidR="002E474C" w:rsidRDefault="002E474C">
            <w:pPr>
              <w:pStyle w:val="A-"/>
            </w:pPr>
          </w:p>
        </w:tc>
        <w:tc>
          <w:tcPr>
            <w:tcW w:w="372" w:type="pct"/>
            <w:vMerge/>
            <w:vAlign w:val="center"/>
          </w:tcPr>
          <w:p w14:paraId="506A58CA" w14:textId="77777777" w:rsidR="002E474C" w:rsidRDefault="002E474C">
            <w:pPr>
              <w:pStyle w:val="A-"/>
            </w:pPr>
          </w:p>
        </w:tc>
        <w:tc>
          <w:tcPr>
            <w:tcW w:w="457" w:type="pct"/>
            <w:vAlign w:val="center"/>
          </w:tcPr>
          <w:p w14:paraId="1ADD22FD" w14:textId="77777777" w:rsidR="002E474C" w:rsidRDefault="00000000">
            <w:pPr>
              <w:pStyle w:val="A-"/>
            </w:pPr>
            <w:r>
              <w:t>261-112-11</w:t>
            </w:r>
          </w:p>
        </w:tc>
        <w:tc>
          <w:tcPr>
            <w:tcW w:w="2678" w:type="pct"/>
            <w:vAlign w:val="center"/>
          </w:tcPr>
          <w:p w14:paraId="30940313" w14:textId="77777777" w:rsidR="002E474C" w:rsidRDefault="00000000">
            <w:pPr>
              <w:pStyle w:val="A-"/>
            </w:pPr>
            <w:r>
              <w:t>苯直接氯化生产氯苯过程中产生的重馏分</w:t>
            </w:r>
          </w:p>
        </w:tc>
        <w:tc>
          <w:tcPr>
            <w:tcW w:w="395" w:type="pct"/>
            <w:vAlign w:val="center"/>
          </w:tcPr>
          <w:p w14:paraId="3946CE76" w14:textId="77777777" w:rsidR="002E474C" w:rsidRDefault="00000000">
            <w:pPr>
              <w:pStyle w:val="A-"/>
            </w:pPr>
            <w:r>
              <w:t>T</w:t>
            </w:r>
          </w:p>
        </w:tc>
      </w:tr>
      <w:tr w:rsidR="002E474C" w14:paraId="5853598C" w14:textId="77777777">
        <w:trPr>
          <w:trHeight w:val="240"/>
        </w:trPr>
        <w:tc>
          <w:tcPr>
            <w:tcW w:w="574" w:type="pct"/>
            <w:vMerge/>
            <w:vAlign w:val="center"/>
          </w:tcPr>
          <w:p w14:paraId="6F70482A" w14:textId="77777777" w:rsidR="002E474C" w:rsidRDefault="002E474C">
            <w:pPr>
              <w:pStyle w:val="A-"/>
            </w:pPr>
          </w:p>
        </w:tc>
        <w:tc>
          <w:tcPr>
            <w:tcW w:w="524" w:type="pct"/>
            <w:vMerge/>
            <w:vAlign w:val="center"/>
          </w:tcPr>
          <w:p w14:paraId="418D5916" w14:textId="77777777" w:rsidR="002E474C" w:rsidRDefault="002E474C">
            <w:pPr>
              <w:pStyle w:val="A-"/>
            </w:pPr>
          </w:p>
        </w:tc>
        <w:tc>
          <w:tcPr>
            <w:tcW w:w="372" w:type="pct"/>
            <w:vMerge/>
            <w:vAlign w:val="center"/>
          </w:tcPr>
          <w:p w14:paraId="669F7522" w14:textId="77777777" w:rsidR="002E474C" w:rsidRDefault="002E474C">
            <w:pPr>
              <w:pStyle w:val="A-"/>
            </w:pPr>
          </w:p>
        </w:tc>
        <w:tc>
          <w:tcPr>
            <w:tcW w:w="457" w:type="pct"/>
            <w:vAlign w:val="center"/>
          </w:tcPr>
          <w:p w14:paraId="0E5D98E2" w14:textId="77777777" w:rsidR="002E474C" w:rsidRDefault="00000000">
            <w:pPr>
              <w:pStyle w:val="A-"/>
            </w:pPr>
            <w:r>
              <w:t>261-113-11</w:t>
            </w:r>
          </w:p>
        </w:tc>
        <w:tc>
          <w:tcPr>
            <w:tcW w:w="2678" w:type="pct"/>
            <w:vAlign w:val="center"/>
          </w:tcPr>
          <w:p w14:paraId="37BECF6C" w14:textId="77777777" w:rsidR="002E474C" w:rsidRDefault="00000000">
            <w:pPr>
              <w:pStyle w:val="A-"/>
            </w:pPr>
            <w:r>
              <w:t>乙烯直接氯化生产二氯乙烷过程中产生的重馏分</w:t>
            </w:r>
          </w:p>
        </w:tc>
        <w:tc>
          <w:tcPr>
            <w:tcW w:w="395" w:type="pct"/>
            <w:vAlign w:val="center"/>
          </w:tcPr>
          <w:p w14:paraId="2E283A5A" w14:textId="77777777" w:rsidR="002E474C" w:rsidRDefault="00000000">
            <w:pPr>
              <w:pStyle w:val="A-"/>
            </w:pPr>
            <w:r>
              <w:t>T</w:t>
            </w:r>
          </w:p>
        </w:tc>
      </w:tr>
      <w:tr w:rsidR="002E474C" w14:paraId="674AEF05" w14:textId="77777777">
        <w:trPr>
          <w:trHeight w:val="240"/>
        </w:trPr>
        <w:tc>
          <w:tcPr>
            <w:tcW w:w="574" w:type="pct"/>
            <w:vMerge/>
            <w:vAlign w:val="center"/>
          </w:tcPr>
          <w:p w14:paraId="109F3B4F" w14:textId="77777777" w:rsidR="002E474C" w:rsidRDefault="002E474C">
            <w:pPr>
              <w:pStyle w:val="A-"/>
            </w:pPr>
          </w:p>
        </w:tc>
        <w:tc>
          <w:tcPr>
            <w:tcW w:w="524" w:type="pct"/>
            <w:vMerge/>
            <w:vAlign w:val="center"/>
          </w:tcPr>
          <w:p w14:paraId="47B30B4F" w14:textId="77777777" w:rsidR="002E474C" w:rsidRDefault="002E474C">
            <w:pPr>
              <w:pStyle w:val="A-"/>
            </w:pPr>
          </w:p>
        </w:tc>
        <w:tc>
          <w:tcPr>
            <w:tcW w:w="372" w:type="pct"/>
            <w:vMerge/>
            <w:vAlign w:val="center"/>
          </w:tcPr>
          <w:p w14:paraId="3AC5A5B9" w14:textId="77777777" w:rsidR="002E474C" w:rsidRDefault="002E474C">
            <w:pPr>
              <w:pStyle w:val="A-"/>
            </w:pPr>
          </w:p>
        </w:tc>
        <w:tc>
          <w:tcPr>
            <w:tcW w:w="457" w:type="pct"/>
            <w:vAlign w:val="center"/>
          </w:tcPr>
          <w:p w14:paraId="4B7383BF" w14:textId="77777777" w:rsidR="002E474C" w:rsidRDefault="00000000">
            <w:pPr>
              <w:pStyle w:val="A-"/>
            </w:pPr>
            <w:r>
              <w:t>261-114-11</w:t>
            </w:r>
          </w:p>
        </w:tc>
        <w:tc>
          <w:tcPr>
            <w:tcW w:w="2678" w:type="pct"/>
            <w:vAlign w:val="center"/>
          </w:tcPr>
          <w:p w14:paraId="2992128D" w14:textId="77777777" w:rsidR="002E474C" w:rsidRDefault="00000000">
            <w:pPr>
              <w:pStyle w:val="A-"/>
            </w:pPr>
            <w:r>
              <w:t>甲烷氯化生产甲烷氯化物过程中产生的重馏分</w:t>
            </w:r>
          </w:p>
        </w:tc>
        <w:tc>
          <w:tcPr>
            <w:tcW w:w="395" w:type="pct"/>
            <w:vAlign w:val="center"/>
          </w:tcPr>
          <w:p w14:paraId="63DE6EBB" w14:textId="77777777" w:rsidR="002E474C" w:rsidRDefault="00000000">
            <w:pPr>
              <w:pStyle w:val="A-"/>
            </w:pPr>
            <w:r>
              <w:t>T</w:t>
            </w:r>
          </w:p>
        </w:tc>
      </w:tr>
      <w:tr w:rsidR="002E474C" w14:paraId="53B1539B" w14:textId="77777777">
        <w:trPr>
          <w:trHeight w:val="240"/>
        </w:trPr>
        <w:tc>
          <w:tcPr>
            <w:tcW w:w="574" w:type="pct"/>
            <w:vMerge/>
            <w:vAlign w:val="center"/>
          </w:tcPr>
          <w:p w14:paraId="40C09305" w14:textId="77777777" w:rsidR="002E474C" w:rsidRDefault="002E474C">
            <w:pPr>
              <w:pStyle w:val="A-"/>
            </w:pPr>
          </w:p>
        </w:tc>
        <w:tc>
          <w:tcPr>
            <w:tcW w:w="524" w:type="pct"/>
            <w:vMerge/>
            <w:vAlign w:val="center"/>
          </w:tcPr>
          <w:p w14:paraId="36D4F87D" w14:textId="77777777" w:rsidR="002E474C" w:rsidRDefault="002E474C">
            <w:pPr>
              <w:pStyle w:val="A-"/>
            </w:pPr>
          </w:p>
        </w:tc>
        <w:tc>
          <w:tcPr>
            <w:tcW w:w="372" w:type="pct"/>
            <w:vMerge/>
            <w:vAlign w:val="center"/>
          </w:tcPr>
          <w:p w14:paraId="234DACCD" w14:textId="77777777" w:rsidR="002E474C" w:rsidRDefault="002E474C">
            <w:pPr>
              <w:pStyle w:val="A-"/>
            </w:pPr>
          </w:p>
        </w:tc>
        <w:tc>
          <w:tcPr>
            <w:tcW w:w="457" w:type="pct"/>
            <w:vAlign w:val="center"/>
          </w:tcPr>
          <w:p w14:paraId="75EB02B2" w14:textId="77777777" w:rsidR="002E474C" w:rsidRDefault="00000000">
            <w:pPr>
              <w:pStyle w:val="A-"/>
            </w:pPr>
            <w:r>
              <w:t>261-115-11</w:t>
            </w:r>
          </w:p>
        </w:tc>
        <w:tc>
          <w:tcPr>
            <w:tcW w:w="2678" w:type="pct"/>
            <w:vAlign w:val="center"/>
          </w:tcPr>
          <w:p w14:paraId="53D358C7" w14:textId="77777777" w:rsidR="002E474C" w:rsidRDefault="00000000">
            <w:pPr>
              <w:pStyle w:val="A-"/>
            </w:pPr>
            <w:r>
              <w:t>甲醇氯化生产甲烷氯化物过程中产生的釜底残液</w:t>
            </w:r>
          </w:p>
        </w:tc>
        <w:tc>
          <w:tcPr>
            <w:tcW w:w="395" w:type="pct"/>
            <w:vAlign w:val="center"/>
          </w:tcPr>
          <w:p w14:paraId="6E01BCB5" w14:textId="77777777" w:rsidR="002E474C" w:rsidRDefault="00000000">
            <w:pPr>
              <w:pStyle w:val="A-"/>
            </w:pPr>
            <w:r>
              <w:t>T</w:t>
            </w:r>
          </w:p>
        </w:tc>
      </w:tr>
      <w:tr w:rsidR="002E474C" w14:paraId="5A919BCD" w14:textId="77777777">
        <w:trPr>
          <w:trHeight w:val="240"/>
        </w:trPr>
        <w:tc>
          <w:tcPr>
            <w:tcW w:w="574" w:type="pct"/>
            <w:vMerge/>
            <w:vAlign w:val="center"/>
          </w:tcPr>
          <w:p w14:paraId="54E131DB" w14:textId="77777777" w:rsidR="002E474C" w:rsidRDefault="002E474C">
            <w:pPr>
              <w:pStyle w:val="A-"/>
            </w:pPr>
          </w:p>
        </w:tc>
        <w:tc>
          <w:tcPr>
            <w:tcW w:w="524" w:type="pct"/>
            <w:vMerge/>
            <w:vAlign w:val="center"/>
          </w:tcPr>
          <w:p w14:paraId="5E428283" w14:textId="77777777" w:rsidR="002E474C" w:rsidRDefault="002E474C">
            <w:pPr>
              <w:pStyle w:val="A-"/>
            </w:pPr>
          </w:p>
        </w:tc>
        <w:tc>
          <w:tcPr>
            <w:tcW w:w="372" w:type="pct"/>
            <w:vMerge/>
            <w:vAlign w:val="center"/>
          </w:tcPr>
          <w:p w14:paraId="3895C145" w14:textId="77777777" w:rsidR="002E474C" w:rsidRDefault="002E474C">
            <w:pPr>
              <w:pStyle w:val="A-"/>
            </w:pPr>
          </w:p>
        </w:tc>
        <w:tc>
          <w:tcPr>
            <w:tcW w:w="457" w:type="pct"/>
            <w:vAlign w:val="center"/>
          </w:tcPr>
          <w:p w14:paraId="64243A33" w14:textId="77777777" w:rsidR="002E474C" w:rsidRDefault="00000000">
            <w:pPr>
              <w:pStyle w:val="A-"/>
            </w:pPr>
            <w:r>
              <w:t>261-116-11</w:t>
            </w:r>
          </w:p>
        </w:tc>
        <w:tc>
          <w:tcPr>
            <w:tcW w:w="2678" w:type="pct"/>
            <w:vAlign w:val="center"/>
          </w:tcPr>
          <w:p w14:paraId="5CD990F7" w14:textId="77777777" w:rsidR="002E474C" w:rsidRDefault="00000000">
            <w:pPr>
              <w:pStyle w:val="A-"/>
            </w:pPr>
            <w:r>
              <w:t>乙烯氯醇法、氧化法生产环氧乙烷过程中产生的重馏分</w:t>
            </w:r>
          </w:p>
        </w:tc>
        <w:tc>
          <w:tcPr>
            <w:tcW w:w="395" w:type="pct"/>
            <w:vAlign w:val="center"/>
          </w:tcPr>
          <w:p w14:paraId="219B36CA" w14:textId="77777777" w:rsidR="002E474C" w:rsidRDefault="00000000">
            <w:pPr>
              <w:pStyle w:val="A-"/>
            </w:pPr>
            <w:r>
              <w:t>T</w:t>
            </w:r>
          </w:p>
        </w:tc>
      </w:tr>
      <w:tr w:rsidR="002E474C" w14:paraId="397A0661" w14:textId="77777777">
        <w:trPr>
          <w:trHeight w:val="240"/>
        </w:trPr>
        <w:tc>
          <w:tcPr>
            <w:tcW w:w="574" w:type="pct"/>
            <w:vMerge/>
            <w:vAlign w:val="center"/>
          </w:tcPr>
          <w:p w14:paraId="1F12FF0F" w14:textId="77777777" w:rsidR="002E474C" w:rsidRDefault="002E474C">
            <w:pPr>
              <w:pStyle w:val="A-"/>
            </w:pPr>
          </w:p>
        </w:tc>
        <w:tc>
          <w:tcPr>
            <w:tcW w:w="524" w:type="pct"/>
            <w:vMerge/>
            <w:vAlign w:val="center"/>
          </w:tcPr>
          <w:p w14:paraId="36CFB865" w14:textId="77777777" w:rsidR="002E474C" w:rsidRDefault="002E474C">
            <w:pPr>
              <w:pStyle w:val="A-"/>
            </w:pPr>
          </w:p>
        </w:tc>
        <w:tc>
          <w:tcPr>
            <w:tcW w:w="372" w:type="pct"/>
            <w:vMerge/>
            <w:vAlign w:val="center"/>
          </w:tcPr>
          <w:p w14:paraId="59E1BB47" w14:textId="77777777" w:rsidR="002E474C" w:rsidRDefault="002E474C">
            <w:pPr>
              <w:pStyle w:val="A-"/>
            </w:pPr>
          </w:p>
        </w:tc>
        <w:tc>
          <w:tcPr>
            <w:tcW w:w="457" w:type="pct"/>
            <w:vAlign w:val="center"/>
          </w:tcPr>
          <w:p w14:paraId="43DA82A9" w14:textId="77777777" w:rsidR="002E474C" w:rsidRDefault="00000000">
            <w:pPr>
              <w:pStyle w:val="A-"/>
            </w:pPr>
            <w:r>
              <w:t>261-117-11</w:t>
            </w:r>
          </w:p>
        </w:tc>
        <w:tc>
          <w:tcPr>
            <w:tcW w:w="2678" w:type="pct"/>
            <w:vAlign w:val="center"/>
          </w:tcPr>
          <w:p w14:paraId="30D36E81" w14:textId="77777777" w:rsidR="002E474C" w:rsidRDefault="00000000">
            <w:pPr>
              <w:pStyle w:val="A-"/>
            </w:pPr>
            <w:r>
              <w:t>乙炔气相合成、氧氯化生产氯乙烯过程中产生的重馏分</w:t>
            </w:r>
          </w:p>
        </w:tc>
        <w:tc>
          <w:tcPr>
            <w:tcW w:w="395" w:type="pct"/>
            <w:vAlign w:val="center"/>
          </w:tcPr>
          <w:p w14:paraId="3A430DED" w14:textId="77777777" w:rsidR="002E474C" w:rsidRDefault="00000000">
            <w:pPr>
              <w:pStyle w:val="A-"/>
            </w:pPr>
            <w:r>
              <w:t>T</w:t>
            </w:r>
          </w:p>
        </w:tc>
      </w:tr>
      <w:tr w:rsidR="002E474C" w14:paraId="597FD716" w14:textId="77777777">
        <w:trPr>
          <w:trHeight w:val="240"/>
        </w:trPr>
        <w:tc>
          <w:tcPr>
            <w:tcW w:w="574" w:type="pct"/>
            <w:vMerge/>
            <w:vAlign w:val="center"/>
          </w:tcPr>
          <w:p w14:paraId="19538371" w14:textId="77777777" w:rsidR="002E474C" w:rsidRDefault="002E474C">
            <w:pPr>
              <w:pStyle w:val="A-"/>
            </w:pPr>
          </w:p>
        </w:tc>
        <w:tc>
          <w:tcPr>
            <w:tcW w:w="524" w:type="pct"/>
            <w:vMerge/>
            <w:vAlign w:val="center"/>
          </w:tcPr>
          <w:p w14:paraId="33E6557A" w14:textId="77777777" w:rsidR="002E474C" w:rsidRDefault="002E474C">
            <w:pPr>
              <w:pStyle w:val="A-"/>
            </w:pPr>
          </w:p>
        </w:tc>
        <w:tc>
          <w:tcPr>
            <w:tcW w:w="372" w:type="pct"/>
            <w:vMerge/>
            <w:vAlign w:val="center"/>
          </w:tcPr>
          <w:p w14:paraId="2669F17A" w14:textId="77777777" w:rsidR="002E474C" w:rsidRDefault="002E474C">
            <w:pPr>
              <w:pStyle w:val="A-"/>
            </w:pPr>
          </w:p>
        </w:tc>
        <w:tc>
          <w:tcPr>
            <w:tcW w:w="457" w:type="pct"/>
            <w:vAlign w:val="center"/>
          </w:tcPr>
          <w:p w14:paraId="4961AC16" w14:textId="77777777" w:rsidR="002E474C" w:rsidRDefault="00000000">
            <w:pPr>
              <w:pStyle w:val="A-"/>
            </w:pPr>
            <w:r>
              <w:t>261-118-11</w:t>
            </w:r>
          </w:p>
        </w:tc>
        <w:tc>
          <w:tcPr>
            <w:tcW w:w="2678" w:type="pct"/>
            <w:vAlign w:val="center"/>
          </w:tcPr>
          <w:p w14:paraId="4313AEDE" w14:textId="77777777" w:rsidR="002E474C" w:rsidRDefault="00000000">
            <w:pPr>
              <w:pStyle w:val="A-"/>
            </w:pPr>
            <w:r>
              <w:t>乙烯直接氯化生产三氯乙烯、四氯乙烯过程中产生的重馏分</w:t>
            </w:r>
          </w:p>
        </w:tc>
        <w:tc>
          <w:tcPr>
            <w:tcW w:w="395" w:type="pct"/>
            <w:vAlign w:val="center"/>
          </w:tcPr>
          <w:p w14:paraId="6528638C" w14:textId="77777777" w:rsidR="002E474C" w:rsidRDefault="00000000">
            <w:pPr>
              <w:pStyle w:val="A-"/>
            </w:pPr>
            <w:r>
              <w:t>T</w:t>
            </w:r>
          </w:p>
        </w:tc>
      </w:tr>
      <w:tr w:rsidR="002E474C" w14:paraId="3716CC7A" w14:textId="77777777">
        <w:trPr>
          <w:trHeight w:val="240"/>
        </w:trPr>
        <w:tc>
          <w:tcPr>
            <w:tcW w:w="574" w:type="pct"/>
            <w:vMerge/>
            <w:vAlign w:val="center"/>
          </w:tcPr>
          <w:p w14:paraId="186B500B" w14:textId="77777777" w:rsidR="002E474C" w:rsidRDefault="002E474C">
            <w:pPr>
              <w:pStyle w:val="A-"/>
            </w:pPr>
          </w:p>
        </w:tc>
        <w:tc>
          <w:tcPr>
            <w:tcW w:w="524" w:type="pct"/>
            <w:vMerge/>
            <w:vAlign w:val="center"/>
          </w:tcPr>
          <w:p w14:paraId="67EA82CC" w14:textId="77777777" w:rsidR="002E474C" w:rsidRDefault="002E474C">
            <w:pPr>
              <w:pStyle w:val="A-"/>
            </w:pPr>
          </w:p>
        </w:tc>
        <w:tc>
          <w:tcPr>
            <w:tcW w:w="372" w:type="pct"/>
            <w:vMerge/>
            <w:vAlign w:val="center"/>
          </w:tcPr>
          <w:p w14:paraId="2AA8ACEB" w14:textId="77777777" w:rsidR="002E474C" w:rsidRDefault="002E474C">
            <w:pPr>
              <w:pStyle w:val="A-"/>
            </w:pPr>
          </w:p>
        </w:tc>
        <w:tc>
          <w:tcPr>
            <w:tcW w:w="457" w:type="pct"/>
            <w:vAlign w:val="center"/>
          </w:tcPr>
          <w:p w14:paraId="23FE80ED" w14:textId="77777777" w:rsidR="002E474C" w:rsidRDefault="00000000">
            <w:pPr>
              <w:pStyle w:val="A-"/>
            </w:pPr>
            <w:r>
              <w:t>261-119-11</w:t>
            </w:r>
          </w:p>
        </w:tc>
        <w:tc>
          <w:tcPr>
            <w:tcW w:w="2678" w:type="pct"/>
            <w:vAlign w:val="center"/>
          </w:tcPr>
          <w:p w14:paraId="75A4B77F" w14:textId="77777777" w:rsidR="002E474C" w:rsidRDefault="00000000">
            <w:pPr>
              <w:pStyle w:val="A-"/>
            </w:pPr>
            <w:r>
              <w:t>乙烯氧氯化法生产三氯乙烯、四氯乙烯过程中产生的重馏分</w:t>
            </w:r>
          </w:p>
        </w:tc>
        <w:tc>
          <w:tcPr>
            <w:tcW w:w="395" w:type="pct"/>
            <w:vAlign w:val="center"/>
          </w:tcPr>
          <w:p w14:paraId="4B207434" w14:textId="77777777" w:rsidR="002E474C" w:rsidRDefault="00000000">
            <w:pPr>
              <w:pStyle w:val="A-"/>
            </w:pPr>
            <w:r>
              <w:t>T</w:t>
            </w:r>
          </w:p>
        </w:tc>
      </w:tr>
      <w:tr w:rsidR="002E474C" w14:paraId="58EC0EEC" w14:textId="77777777">
        <w:trPr>
          <w:trHeight w:val="240"/>
        </w:trPr>
        <w:tc>
          <w:tcPr>
            <w:tcW w:w="574" w:type="pct"/>
            <w:vMerge/>
            <w:vAlign w:val="center"/>
          </w:tcPr>
          <w:p w14:paraId="00AF3925" w14:textId="77777777" w:rsidR="002E474C" w:rsidRDefault="002E474C">
            <w:pPr>
              <w:pStyle w:val="A-"/>
            </w:pPr>
          </w:p>
        </w:tc>
        <w:tc>
          <w:tcPr>
            <w:tcW w:w="524" w:type="pct"/>
            <w:vMerge/>
            <w:vAlign w:val="center"/>
          </w:tcPr>
          <w:p w14:paraId="5D2FE53B" w14:textId="77777777" w:rsidR="002E474C" w:rsidRDefault="002E474C">
            <w:pPr>
              <w:pStyle w:val="A-"/>
            </w:pPr>
          </w:p>
        </w:tc>
        <w:tc>
          <w:tcPr>
            <w:tcW w:w="372" w:type="pct"/>
            <w:vMerge/>
            <w:vAlign w:val="center"/>
          </w:tcPr>
          <w:p w14:paraId="1179E965" w14:textId="77777777" w:rsidR="002E474C" w:rsidRDefault="002E474C">
            <w:pPr>
              <w:pStyle w:val="A-"/>
            </w:pPr>
          </w:p>
        </w:tc>
        <w:tc>
          <w:tcPr>
            <w:tcW w:w="457" w:type="pct"/>
            <w:vAlign w:val="center"/>
          </w:tcPr>
          <w:p w14:paraId="0CFB8848" w14:textId="77777777" w:rsidR="002E474C" w:rsidRDefault="00000000">
            <w:pPr>
              <w:pStyle w:val="A-"/>
            </w:pPr>
            <w:r>
              <w:t>261-120-11</w:t>
            </w:r>
          </w:p>
        </w:tc>
        <w:tc>
          <w:tcPr>
            <w:tcW w:w="2678" w:type="pct"/>
            <w:vAlign w:val="center"/>
          </w:tcPr>
          <w:p w14:paraId="28A7FBAA" w14:textId="77777777" w:rsidR="002E474C" w:rsidRDefault="00000000">
            <w:pPr>
              <w:pStyle w:val="A-"/>
            </w:pPr>
            <w:r>
              <w:t>甲苯光气法生产苯甲酰氯产品精制过程中产生的重馏分</w:t>
            </w:r>
          </w:p>
        </w:tc>
        <w:tc>
          <w:tcPr>
            <w:tcW w:w="395" w:type="pct"/>
            <w:vAlign w:val="center"/>
          </w:tcPr>
          <w:p w14:paraId="4F6E6380" w14:textId="77777777" w:rsidR="002E474C" w:rsidRDefault="00000000">
            <w:pPr>
              <w:pStyle w:val="A-"/>
            </w:pPr>
            <w:r>
              <w:t>T</w:t>
            </w:r>
          </w:p>
        </w:tc>
      </w:tr>
      <w:tr w:rsidR="002E474C" w14:paraId="16F54FEB" w14:textId="77777777">
        <w:trPr>
          <w:trHeight w:val="240"/>
        </w:trPr>
        <w:tc>
          <w:tcPr>
            <w:tcW w:w="574" w:type="pct"/>
            <w:vMerge/>
            <w:vAlign w:val="center"/>
          </w:tcPr>
          <w:p w14:paraId="73056360" w14:textId="77777777" w:rsidR="002E474C" w:rsidRDefault="002E474C">
            <w:pPr>
              <w:pStyle w:val="A-"/>
            </w:pPr>
          </w:p>
        </w:tc>
        <w:tc>
          <w:tcPr>
            <w:tcW w:w="524" w:type="pct"/>
            <w:vMerge/>
            <w:vAlign w:val="center"/>
          </w:tcPr>
          <w:p w14:paraId="30C24C71" w14:textId="77777777" w:rsidR="002E474C" w:rsidRDefault="002E474C">
            <w:pPr>
              <w:pStyle w:val="A-"/>
            </w:pPr>
          </w:p>
        </w:tc>
        <w:tc>
          <w:tcPr>
            <w:tcW w:w="372" w:type="pct"/>
            <w:vMerge/>
            <w:vAlign w:val="center"/>
          </w:tcPr>
          <w:p w14:paraId="28FB5A8D" w14:textId="77777777" w:rsidR="002E474C" w:rsidRDefault="002E474C">
            <w:pPr>
              <w:pStyle w:val="A-"/>
            </w:pPr>
          </w:p>
        </w:tc>
        <w:tc>
          <w:tcPr>
            <w:tcW w:w="457" w:type="pct"/>
            <w:vAlign w:val="center"/>
          </w:tcPr>
          <w:p w14:paraId="4DCDA259" w14:textId="77777777" w:rsidR="002E474C" w:rsidRDefault="00000000">
            <w:pPr>
              <w:pStyle w:val="A-"/>
            </w:pPr>
            <w:r>
              <w:t>261-121-11</w:t>
            </w:r>
          </w:p>
        </w:tc>
        <w:tc>
          <w:tcPr>
            <w:tcW w:w="2678" w:type="pct"/>
            <w:vAlign w:val="center"/>
          </w:tcPr>
          <w:p w14:paraId="64DA02FA" w14:textId="77777777" w:rsidR="002E474C" w:rsidRDefault="00000000">
            <w:pPr>
              <w:pStyle w:val="A-"/>
            </w:pPr>
            <w:r>
              <w:t>甲苯苯甲酸法生产苯甲酰氯产品精制过程中产生的重馏分</w:t>
            </w:r>
          </w:p>
        </w:tc>
        <w:tc>
          <w:tcPr>
            <w:tcW w:w="395" w:type="pct"/>
            <w:vAlign w:val="center"/>
          </w:tcPr>
          <w:p w14:paraId="1AB11813" w14:textId="77777777" w:rsidR="002E474C" w:rsidRDefault="00000000">
            <w:pPr>
              <w:pStyle w:val="A-"/>
            </w:pPr>
            <w:r>
              <w:t>T</w:t>
            </w:r>
          </w:p>
        </w:tc>
      </w:tr>
      <w:tr w:rsidR="002E474C" w14:paraId="4D16BE85" w14:textId="77777777">
        <w:trPr>
          <w:trHeight w:val="240"/>
        </w:trPr>
        <w:tc>
          <w:tcPr>
            <w:tcW w:w="574" w:type="pct"/>
            <w:vMerge/>
            <w:vAlign w:val="center"/>
          </w:tcPr>
          <w:p w14:paraId="5C07BAFE" w14:textId="77777777" w:rsidR="002E474C" w:rsidRDefault="002E474C">
            <w:pPr>
              <w:pStyle w:val="A-"/>
            </w:pPr>
          </w:p>
        </w:tc>
        <w:tc>
          <w:tcPr>
            <w:tcW w:w="524" w:type="pct"/>
            <w:vMerge/>
            <w:vAlign w:val="center"/>
          </w:tcPr>
          <w:p w14:paraId="2F9D8D33" w14:textId="77777777" w:rsidR="002E474C" w:rsidRDefault="002E474C">
            <w:pPr>
              <w:pStyle w:val="A-"/>
            </w:pPr>
          </w:p>
        </w:tc>
        <w:tc>
          <w:tcPr>
            <w:tcW w:w="372" w:type="pct"/>
            <w:vMerge/>
            <w:vAlign w:val="center"/>
          </w:tcPr>
          <w:p w14:paraId="4A3E98B8" w14:textId="77777777" w:rsidR="002E474C" w:rsidRDefault="002E474C">
            <w:pPr>
              <w:pStyle w:val="A-"/>
            </w:pPr>
          </w:p>
        </w:tc>
        <w:tc>
          <w:tcPr>
            <w:tcW w:w="457" w:type="pct"/>
            <w:vAlign w:val="center"/>
          </w:tcPr>
          <w:p w14:paraId="5E75B7B7" w14:textId="77777777" w:rsidR="002E474C" w:rsidRDefault="00000000">
            <w:pPr>
              <w:pStyle w:val="A-"/>
            </w:pPr>
            <w:r>
              <w:t>261-122-11</w:t>
            </w:r>
          </w:p>
        </w:tc>
        <w:tc>
          <w:tcPr>
            <w:tcW w:w="2678" w:type="pct"/>
            <w:vAlign w:val="center"/>
          </w:tcPr>
          <w:p w14:paraId="6515BE65" w14:textId="77777777" w:rsidR="002E474C" w:rsidRDefault="00000000">
            <w:pPr>
              <w:pStyle w:val="A-"/>
            </w:pPr>
            <w:r>
              <w:t>甲苯连续光氯化法、无光热氯化法生产氯化苄过程中产生的重馏分</w:t>
            </w:r>
          </w:p>
        </w:tc>
        <w:tc>
          <w:tcPr>
            <w:tcW w:w="395" w:type="pct"/>
            <w:vAlign w:val="center"/>
          </w:tcPr>
          <w:p w14:paraId="0E361D82" w14:textId="77777777" w:rsidR="002E474C" w:rsidRDefault="00000000">
            <w:pPr>
              <w:pStyle w:val="A-"/>
            </w:pPr>
            <w:r>
              <w:t>T</w:t>
            </w:r>
          </w:p>
        </w:tc>
      </w:tr>
      <w:tr w:rsidR="002E474C" w14:paraId="0C10432D" w14:textId="77777777">
        <w:trPr>
          <w:trHeight w:val="240"/>
        </w:trPr>
        <w:tc>
          <w:tcPr>
            <w:tcW w:w="574" w:type="pct"/>
            <w:vMerge/>
            <w:vAlign w:val="center"/>
          </w:tcPr>
          <w:p w14:paraId="7C97DA4A" w14:textId="77777777" w:rsidR="002E474C" w:rsidRDefault="002E474C">
            <w:pPr>
              <w:pStyle w:val="A-"/>
            </w:pPr>
          </w:p>
        </w:tc>
        <w:tc>
          <w:tcPr>
            <w:tcW w:w="524" w:type="pct"/>
            <w:vMerge/>
            <w:vAlign w:val="center"/>
          </w:tcPr>
          <w:p w14:paraId="689E5140" w14:textId="77777777" w:rsidR="002E474C" w:rsidRDefault="002E474C">
            <w:pPr>
              <w:pStyle w:val="A-"/>
            </w:pPr>
          </w:p>
        </w:tc>
        <w:tc>
          <w:tcPr>
            <w:tcW w:w="372" w:type="pct"/>
            <w:vMerge/>
            <w:vAlign w:val="center"/>
          </w:tcPr>
          <w:p w14:paraId="1C9FF492" w14:textId="77777777" w:rsidR="002E474C" w:rsidRDefault="002E474C">
            <w:pPr>
              <w:pStyle w:val="A-"/>
            </w:pPr>
          </w:p>
        </w:tc>
        <w:tc>
          <w:tcPr>
            <w:tcW w:w="457" w:type="pct"/>
            <w:vAlign w:val="center"/>
          </w:tcPr>
          <w:p w14:paraId="3F76433B" w14:textId="77777777" w:rsidR="002E474C" w:rsidRDefault="00000000">
            <w:pPr>
              <w:pStyle w:val="A-"/>
            </w:pPr>
            <w:r>
              <w:t>261-123-11</w:t>
            </w:r>
          </w:p>
        </w:tc>
        <w:tc>
          <w:tcPr>
            <w:tcW w:w="2678" w:type="pct"/>
            <w:vAlign w:val="center"/>
          </w:tcPr>
          <w:p w14:paraId="36FDFF22" w14:textId="77777777" w:rsidR="002E474C" w:rsidRDefault="00000000">
            <w:pPr>
              <w:pStyle w:val="A-"/>
            </w:pPr>
            <w:r>
              <w:t>偏二氯乙烯氢氯化法生产</w:t>
            </w:r>
            <w:r>
              <w:t>1,1,1-</w:t>
            </w:r>
            <w:r>
              <w:t>三氯乙烷过程中产生的重馏分</w:t>
            </w:r>
          </w:p>
        </w:tc>
        <w:tc>
          <w:tcPr>
            <w:tcW w:w="395" w:type="pct"/>
            <w:vAlign w:val="center"/>
          </w:tcPr>
          <w:p w14:paraId="493186E1" w14:textId="77777777" w:rsidR="002E474C" w:rsidRDefault="00000000">
            <w:pPr>
              <w:pStyle w:val="A-"/>
            </w:pPr>
            <w:r>
              <w:t>T</w:t>
            </w:r>
          </w:p>
        </w:tc>
      </w:tr>
      <w:tr w:rsidR="002E474C" w14:paraId="6BD47CDA" w14:textId="77777777">
        <w:trPr>
          <w:trHeight w:val="240"/>
        </w:trPr>
        <w:tc>
          <w:tcPr>
            <w:tcW w:w="574" w:type="pct"/>
            <w:vMerge/>
            <w:vAlign w:val="center"/>
          </w:tcPr>
          <w:p w14:paraId="66EDDC3A" w14:textId="77777777" w:rsidR="002E474C" w:rsidRDefault="002E474C">
            <w:pPr>
              <w:pStyle w:val="A-"/>
            </w:pPr>
          </w:p>
        </w:tc>
        <w:tc>
          <w:tcPr>
            <w:tcW w:w="524" w:type="pct"/>
            <w:vMerge/>
            <w:vAlign w:val="center"/>
          </w:tcPr>
          <w:p w14:paraId="4E2696D4" w14:textId="77777777" w:rsidR="002E474C" w:rsidRDefault="002E474C">
            <w:pPr>
              <w:pStyle w:val="A-"/>
            </w:pPr>
          </w:p>
        </w:tc>
        <w:tc>
          <w:tcPr>
            <w:tcW w:w="372" w:type="pct"/>
            <w:vMerge/>
            <w:vAlign w:val="center"/>
          </w:tcPr>
          <w:p w14:paraId="39752339" w14:textId="77777777" w:rsidR="002E474C" w:rsidRDefault="002E474C">
            <w:pPr>
              <w:pStyle w:val="A-"/>
            </w:pPr>
          </w:p>
        </w:tc>
        <w:tc>
          <w:tcPr>
            <w:tcW w:w="457" w:type="pct"/>
            <w:vAlign w:val="center"/>
          </w:tcPr>
          <w:p w14:paraId="5DD5243C" w14:textId="77777777" w:rsidR="002E474C" w:rsidRDefault="00000000">
            <w:pPr>
              <w:pStyle w:val="A-"/>
            </w:pPr>
            <w:r>
              <w:t>261-124-11</w:t>
            </w:r>
          </w:p>
        </w:tc>
        <w:tc>
          <w:tcPr>
            <w:tcW w:w="2678" w:type="pct"/>
            <w:vAlign w:val="center"/>
          </w:tcPr>
          <w:p w14:paraId="54DC0C87" w14:textId="77777777" w:rsidR="002E474C" w:rsidRDefault="00000000">
            <w:pPr>
              <w:pStyle w:val="A-"/>
            </w:pPr>
            <w:r>
              <w:t>醋酸丙烯酯法生产环氧氯丙烷过程中产生的重馏分</w:t>
            </w:r>
          </w:p>
        </w:tc>
        <w:tc>
          <w:tcPr>
            <w:tcW w:w="395" w:type="pct"/>
            <w:vAlign w:val="center"/>
          </w:tcPr>
          <w:p w14:paraId="18D9851E" w14:textId="77777777" w:rsidR="002E474C" w:rsidRDefault="00000000">
            <w:pPr>
              <w:pStyle w:val="A-"/>
            </w:pPr>
            <w:r>
              <w:t>T</w:t>
            </w:r>
          </w:p>
        </w:tc>
      </w:tr>
      <w:tr w:rsidR="002E474C" w14:paraId="1CFC12E1" w14:textId="77777777">
        <w:trPr>
          <w:trHeight w:val="240"/>
        </w:trPr>
        <w:tc>
          <w:tcPr>
            <w:tcW w:w="574" w:type="pct"/>
            <w:vMerge/>
            <w:vAlign w:val="center"/>
          </w:tcPr>
          <w:p w14:paraId="51C6B6CC" w14:textId="77777777" w:rsidR="002E474C" w:rsidRDefault="002E474C">
            <w:pPr>
              <w:pStyle w:val="A-"/>
            </w:pPr>
          </w:p>
        </w:tc>
        <w:tc>
          <w:tcPr>
            <w:tcW w:w="524" w:type="pct"/>
            <w:vMerge/>
            <w:vAlign w:val="center"/>
          </w:tcPr>
          <w:p w14:paraId="4F5F96D6" w14:textId="77777777" w:rsidR="002E474C" w:rsidRDefault="002E474C">
            <w:pPr>
              <w:pStyle w:val="A-"/>
            </w:pPr>
          </w:p>
        </w:tc>
        <w:tc>
          <w:tcPr>
            <w:tcW w:w="372" w:type="pct"/>
            <w:vMerge/>
            <w:vAlign w:val="center"/>
          </w:tcPr>
          <w:p w14:paraId="212A6AB5" w14:textId="77777777" w:rsidR="002E474C" w:rsidRDefault="002E474C">
            <w:pPr>
              <w:pStyle w:val="A-"/>
            </w:pPr>
          </w:p>
        </w:tc>
        <w:tc>
          <w:tcPr>
            <w:tcW w:w="457" w:type="pct"/>
            <w:vAlign w:val="center"/>
          </w:tcPr>
          <w:p w14:paraId="734C68DC" w14:textId="77777777" w:rsidR="002E474C" w:rsidRDefault="00000000">
            <w:pPr>
              <w:pStyle w:val="A-"/>
            </w:pPr>
            <w:r>
              <w:t>261-125-11</w:t>
            </w:r>
          </w:p>
        </w:tc>
        <w:tc>
          <w:tcPr>
            <w:tcW w:w="2678" w:type="pct"/>
            <w:vAlign w:val="center"/>
          </w:tcPr>
          <w:p w14:paraId="555FA839" w14:textId="77777777" w:rsidR="002E474C" w:rsidRDefault="00000000">
            <w:pPr>
              <w:pStyle w:val="A-"/>
            </w:pPr>
            <w:r>
              <w:t>异戊烷（异戊烯）脱氢法生产异戊二烯过程中产生的重馏分</w:t>
            </w:r>
          </w:p>
        </w:tc>
        <w:tc>
          <w:tcPr>
            <w:tcW w:w="395" w:type="pct"/>
            <w:vAlign w:val="center"/>
          </w:tcPr>
          <w:p w14:paraId="51C5668D" w14:textId="77777777" w:rsidR="002E474C" w:rsidRDefault="00000000">
            <w:pPr>
              <w:pStyle w:val="A-"/>
            </w:pPr>
            <w:r>
              <w:t>T</w:t>
            </w:r>
          </w:p>
        </w:tc>
      </w:tr>
      <w:tr w:rsidR="002E474C" w14:paraId="026E58A6" w14:textId="77777777">
        <w:trPr>
          <w:trHeight w:val="240"/>
        </w:trPr>
        <w:tc>
          <w:tcPr>
            <w:tcW w:w="574" w:type="pct"/>
            <w:vMerge/>
            <w:vAlign w:val="center"/>
          </w:tcPr>
          <w:p w14:paraId="0D6D0B8C" w14:textId="77777777" w:rsidR="002E474C" w:rsidRDefault="002E474C">
            <w:pPr>
              <w:pStyle w:val="A-"/>
            </w:pPr>
          </w:p>
        </w:tc>
        <w:tc>
          <w:tcPr>
            <w:tcW w:w="524" w:type="pct"/>
            <w:vMerge/>
            <w:vAlign w:val="center"/>
          </w:tcPr>
          <w:p w14:paraId="2B60AA1D" w14:textId="77777777" w:rsidR="002E474C" w:rsidRDefault="002E474C">
            <w:pPr>
              <w:pStyle w:val="A-"/>
            </w:pPr>
          </w:p>
        </w:tc>
        <w:tc>
          <w:tcPr>
            <w:tcW w:w="372" w:type="pct"/>
            <w:vMerge/>
            <w:vAlign w:val="center"/>
          </w:tcPr>
          <w:p w14:paraId="366AF37A" w14:textId="77777777" w:rsidR="002E474C" w:rsidRDefault="002E474C">
            <w:pPr>
              <w:pStyle w:val="A-"/>
            </w:pPr>
          </w:p>
        </w:tc>
        <w:tc>
          <w:tcPr>
            <w:tcW w:w="457" w:type="pct"/>
            <w:vAlign w:val="center"/>
          </w:tcPr>
          <w:p w14:paraId="400B5A19" w14:textId="77777777" w:rsidR="002E474C" w:rsidRDefault="00000000">
            <w:pPr>
              <w:pStyle w:val="A-"/>
            </w:pPr>
            <w:r>
              <w:t>261-126-11</w:t>
            </w:r>
          </w:p>
        </w:tc>
        <w:tc>
          <w:tcPr>
            <w:tcW w:w="2678" w:type="pct"/>
            <w:vAlign w:val="center"/>
          </w:tcPr>
          <w:p w14:paraId="0E8C5590" w14:textId="77777777" w:rsidR="002E474C" w:rsidRDefault="00000000">
            <w:pPr>
              <w:pStyle w:val="A-"/>
            </w:pPr>
            <w:r>
              <w:t>化学合成法生产异戊二烯过程中产生的重馏分</w:t>
            </w:r>
          </w:p>
        </w:tc>
        <w:tc>
          <w:tcPr>
            <w:tcW w:w="395" w:type="pct"/>
            <w:vAlign w:val="center"/>
          </w:tcPr>
          <w:p w14:paraId="38BB3F0B" w14:textId="77777777" w:rsidR="002E474C" w:rsidRDefault="00000000">
            <w:pPr>
              <w:pStyle w:val="A-"/>
            </w:pPr>
            <w:r>
              <w:t>T</w:t>
            </w:r>
          </w:p>
        </w:tc>
      </w:tr>
      <w:tr w:rsidR="002E474C" w14:paraId="610CBBB3" w14:textId="77777777">
        <w:trPr>
          <w:trHeight w:val="240"/>
        </w:trPr>
        <w:tc>
          <w:tcPr>
            <w:tcW w:w="574" w:type="pct"/>
            <w:vMerge/>
            <w:vAlign w:val="center"/>
          </w:tcPr>
          <w:p w14:paraId="5E4B8F00" w14:textId="77777777" w:rsidR="002E474C" w:rsidRDefault="002E474C">
            <w:pPr>
              <w:pStyle w:val="A-"/>
            </w:pPr>
          </w:p>
        </w:tc>
        <w:tc>
          <w:tcPr>
            <w:tcW w:w="524" w:type="pct"/>
            <w:vMerge/>
            <w:vAlign w:val="center"/>
          </w:tcPr>
          <w:p w14:paraId="13B9E3C6" w14:textId="77777777" w:rsidR="002E474C" w:rsidRDefault="002E474C">
            <w:pPr>
              <w:pStyle w:val="A-"/>
            </w:pPr>
          </w:p>
        </w:tc>
        <w:tc>
          <w:tcPr>
            <w:tcW w:w="372" w:type="pct"/>
            <w:vMerge/>
            <w:vAlign w:val="center"/>
          </w:tcPr>
          <w:p w14:paraId="5D63D535" w14:textId="77777777" w:rsidR="002E474C" w:rsidRDefault="002E474C">
            <w:pPr>
              <w:pStyle w:val="A-"/>
            </w:pPr>
          </w:p>
        </w:tc>
        <w:tc>
          <w:tcPr>
            <w:tcW w:w="457" w:type="pct"/>
            <w:vAlign w:val="center"/>
          </w:tcPr>
          <w:p w14:paraId="59F72785" w14:textId="77777777" w:rsidR="002E474C" w:rsidRDefault="00000000">
            <w:pPr>
              <w:pStyle w:val="A-"/>
            </w:pPr>
            <w:r>
              <w:t>261-127-11</w:t>
            </w:r>
          </w:p>
        </w:tc>
        <w:tc>
          <w:tcPr>
            <w:tcW w:w="2678" w:type="pct"/>
            <w:vAlign w:val="center"/>
          </w:tcPr>
          <w:p w14:paraId="79B40E47" w14:textId="77777777" w:rsidR="002E474C" w:rsidRDefault="00000000">
            <w:pPr>
              <w:pStyle w:val="A-"/>
            </w:pPr>
            <w:r>
              <w:t>碳五馏分分离生产异戊二烯过程中产生的重馏分</w:t>
            </w:r>
          </w:p>
        </w:tc>
        <w:tc>
          <w:tcPr>
            <w:tcW w:w="395" w:type="pct"/>
            <w:vAlign w:val="center"/>
          </w:tcPr>
          <w:p w14:paraId="0B94A864" w14:textId="77777777" w:rsidR="002E474C" w:rsidRDefault="00000000">
            <w:pPr>
              <w:pStyle w:val="A-"/>
            </w:pPr>
            <w:r>
              <w:t>T</w:t>
            </w:r>
          </w:p>
        </w:tc>
      </w:tr>
      <w:tr w:rsidR="002E474C" w14:paraId="4F297446" w14:textId="77777777">
        <w:trPr>
          <w:trHeight w:val="240"/>
        </w:trPr>
        <w:tc>
          <w:tcPr>
            <w:tcW w:w="574" w:type="pct"/>
            <w:vMerge/>
            <w:vAlign w:val="center"/>
          </w:tcPr>
          <w:p w14:paraId="4089A4C8" w14:textId="77777777" w:rsidR="002E474C" w:rsidRDefault="002E474C">
            <w:pPr>
              <w:pStyle w:val="A-"/>
            </w:pPr>
          </w:p>
        </w:tc>
        <w:tc>
          <w:tcPr>
            <w:tcW w:w="524" w:type="pct"/>
            <w:vMerge/>
            <w:vAlign w:val="center"/>
          </w:tcPr>
          <w:p w14:paraId="7B8375ED" w14:textId="77777777" w:rsidR="002E474C" w:rsidRDefault="002E474C">
            <w:pPr>
              <w:pStyle w:val="A-"/>
            </w:pPr>
          </w:p>
        </w:tc>
        <w:tc>
          <w:tcPr>
            <w:tcW w:w="372" w:type="pct"/>
            <w:vMerge/>
            <w:vAlign w:val="center"/>
          </w:tcPr>
          <w:p w14:paraId="7D500D2A" w14:textId="77777777" w:rsidR="002E474C" w:rsidRDefault="002E474C">
            <w:pPr>
              <w:pStyle w:val="A-"/>
            </w:pPr>
          </w:p>
        </w:tc>
        <w:tc>
          <w:tcPr>
            <w:tcW w:w="457" w:type="pct"/>
            <w:vAlign w:val="center"/>
          </w:tcPr>
          <w:p w14:paraId="0315FF12" w14:textId="77777777" w:rsidR="002E474C" w:rsidRDefault="00000000">
            <w:pPr>
              <w:pStyle w:val="A-"/>
            </w:pPr>
            <w:r>
              <w:t>261-128-11</w:t>
            </w:r>
          </w:p>
        </w:tc>
        <w:tc>
          <w:tcPr>
            <w:tcW w:w="2678" w:type="pct"/>
            <w:vAlign w:val="center"/>
          </w:tcPr>
          <w:p w14:paraId="7DE6FDEC" w14:textId="77777777" w:rsidR="002E474C" w:rsidRDefault="00000000">
            <w:pPr>
              <w:pStyle w:val="A-"/>
            </w:pPr>
            <w:r>
              <w:t>合成气加压催化生产甲醇过程中产生的重馏分</w:t>
            </w:r>
          </w:p>
        </w:tc>
        <w:tc>
          <w:tcPr>
            <w:tcW w:w="395" w:type="pct"/>
            <w:vAlign w:val="center"/>
          </w:tcPr>
          <w:p w14:paraId="21A84345" w14:textId="77777777" w:rsidR="002E474C" w:rsidRDefault="00000000">
            <w:pPr>
              <w:pStyle w:val="A-"/>
            </w:pPr>
            <w:r>
              <w:t>T</w:t>
            </w:r>
          </w:p>
        </w:tc>
      </w:tr>
      <w:tr w:rsidR="002E474C" w14:paraId="733DF195" w14:textId="77777777">
        <w:trPr>
          <w:trHeight w:val="240"/>
        </w:trPr>
        <w:tc>
          <w:tcPr>
            <w:tcW w:w="574" w:type="pct"/>
            <w:vMerge/>
            <w:vAlign w:val="center"/>
          </w:tcPr>
          <w:p w14:paraId="045E82D7" w14:textId="77777777" w:rsidR="002E474C" w:rsidRDefault="002E474C">
            <w:pPr>
              <w:pStyle w:val="A-"/>
            </w:pPr>
          </w:p>
        </w:tc>
        <w:tc>
          <w:tcPr>
            <w:tcW w:w="524" w:type="pct"/>
            <w:vMerge/>
            <w:vAlign w:val="center"/>
          </w:tcPr>
          <w:p w14:paraId="38CE2AAD" w14:textId="77777777" w:rsidR="002E474C" w:rsidRDefault="002E474C">
            <w:pPr>
              <w:pStyle w:val="A-"/>
            </w:pPr>
          </w:p>
        </w:tc>
        <w:tc>
          <w:tcPr>
            <w:tcW w:w="372" w:type="pct"/>
            <w:vMerge/>
            <w:vAlign w:val="center"/>
          </w:tcPr>
          <w:p w14:paraId="58480E01" w14:textId="77777777" w:rsidR="002E474C" w:rsidRDefault="002E474C">
            <w:pPr>
              <w:pStyle w:val="A-"/>
            </w:pPr>
          </w:p>
        </w:tc>
        <w:tc>
          <w:tcPr>
            <w:tcW w:w="457" w:type="pct"/>
            <w:vAlign w:val="center"/>
          </w:tcPr>
          <w:p w14:paraId="5F4E306D" w14:textId="77777777" w:rsidR="002E474C" w:rsidRDefault="00000000">
            <w:pPr>
              <w:pStyle w:val="A-"/>
            </w:pPr>
            <w:r>
              <w:t>261-129-11</w:t>
            </w:r>
          </w:p>
        </w:tc>
        <w:tc>
          <w:tcPr>
            <w:tcW w:w="2678" w:type="pct"/>
            <w:vAlign w:val="center"/>
          </w:tcPr>
          <w:p w14:paraId="55A4AD4C" w14:textId="77777777" w:rsidR="002E474C" w:rsidRDefault="00000000">
            <w:pPr>
              <w:pStyle w:val="A-"/>
            </w:pPr>
            <w:r>
              <w:t>水合法、发酵法生产乙醇过程中产生的重馏分</w:t>
            </w:r>
          </w:p>
        </w:tc>
        <w:tc>
          <w:tcPr>
            <w:tcW w:w="395" w:type="pct"/>
            <w:vAlign w:val="center"/>
          </w:tcPr>
          <w:p w14:paraId="29992570" w14:textId="77777777" w:rsidR="002E474C" w:rsidRDefault="00000000">
            <w:pPr>
              <w:pStyle w:val="A-"/>
            </w:pPr>
            <w:r>
              <w:t>T</w:t>
            </w:r>
          </w:p>
        </w:tc>
      </w:tr>
      <w:tr w:rsidR="002E474C" w14:paraId="4E37B538" w14:textId="77777777">
        <w:trPr>
          <w:trHeight w:val="240"/>
        </w:trPr>
        <w:tc>
          <w:tcPr>
            <w:tcW w:w="574" w:type="pct"/>
            <w:vMerge/>
            <w:vAlign w:val="center"/>
          </w:tcPr>
          <w:p w14:paraId="2A69CE4D" w14:textId="77777777" w:rsidR="002E474C" w:rsidRDefault="002E474C">
            <w:pPr>
              <w:pStyle w:val="A-"/>
            </w:pPr>
          </w:p>
        </w:tc>
        <w:tc>
          <w:tcPr>
            <w:tcW w:w="524" w:type="pct"/>
            <w:vMerge/>
            <w:vAlign w:val="center"/>
          </w:tcPr>
          <w:p w14:paraId="381C2C7A" w14:textId="77777777" w:rsidR="002E474C" w:rsidRDefault="002E474C">
            <w:pPr>
              <w:pStyle w:val="A-"/>
            </w:pPr>
          </w:p>
        </w:tc>
        <w:tc>
          <w:tcPr>
            <w:tcW w:w="372" w:type="pct"/>
            <w:vMerge/>
            <w:vAlign w:val="center"/>
          </w:tcPr>
          <w:p w14:paraId="2BE30942" w14:textId="77777777" w:rsidR="002E474C" w:rsidRDefault="002E474C">
            <w:pPr>
              <w:pStyle w:val="A-"/>
            </w:pPr>
          </w:p>
        </w:tc>
        <w:tc>
          <w:tcPr>
            <w:tcW w:w="457" w:type="pct"/>
            <w:vAlign w:val="center"/>
          </w:tcPr>
          <w:p w14:paraId="3FE6E0A6" w14:textId="77777777" w:rsidR="002E474C" w:rsidRDefault="00000000">
            <w:pPr>
              <w:pStyle w:val="A-"/>
            </w:pPr>
            <w:r>
              <w:t>261-130-11</w:t>
            </w:r>
          </w:p>
        </w:tc>
        <w:tc>
          <w:tcPr>
            <w:tcW w:w="2678" w:type="pct"/>
            <w:vAlign w:val="center"/>
          </w:tcPr>
          <w:p w14:paraId="17451893" w14:textId="77777777" w:rsidR="002E474C" w:rsidRDefault="00000000">
            <w:pPr>
              <w:pStyle w:val="A-"/>
            </w:pPr>
            <w:r>
              <w:t>环氧乙烷直接水合生产乙二醇过程中产生的重馏分</w:t>
            </w:r>
          </w:p>
        </w:tc>
        <w:tc>
          <w:tcPr>
            <w:tcW w:w="395" w:type="pct"/>
            <w:vAlign w:val="center"/>
          </w:tcPr>
          <w:p w14:paraId="50CC71D4" w14:textId="77777777" w:rsidR="002E474C" w:rsidRDefault="00000000">
            <w:pPr>
              <w:pStyle w:val="A-"/>
            </w:pPr>
            <w:r>
              <w:t>T</w:t>
            </w:r>
          </w:p>
        </w:tc>
      </w:tr>
      <w:tr w:rsidR="002E474C" w14:paraId="19B14AE9" w14:textId="77777777">
        <w:trPr>
          <w:trHeight w:val="240"/>
        </w:trPr>
        <w:tc>
          <w:tcPr>
            <w:tcW w:w="574" w:type="pct"/>
            <w:vMerge/>
            <w:vAlign w:val="center"/>
          </w:tcPr>
          <w:p w14:paraId="4A301210" w14:textId="77777777" w:rsidR="002E474C" w:rsidRDefault="002E474C">
            <w:pPr>
              <w:pStyle w:val="A-"/>
            </w:pPr>
          </w:p>
        </w:tc>
        <w:tc>
          <w:tcPr>
            <w:tcW w:w="524" w:type="pct"/>
            <w:vMerge/>
            <w:vAlign w:val="center"/>
          </w:tcPr>
          <w:p w14:paraId="3131DF28" w14:textId="77777777" w:rsidR="002E474C" w:rsidRDefault="002E474C">
            <w:pPr>
              <w:pStyle w:val="A-"/>
            </w:pPr>
          </w:p>
        </w:tc>
        <w:tc>
          <w:tcPr>
            <w:tcW w:w="372" w:type="pct"/>
            <w:vMerge/>
            <w:vAlign w:val="center"/>
          </w:tcPr>
          <w:p w14:paraId="614AD839" w14:textId="77777777" w:rsidR="002E474C" w:rsidRDefault="002E474C">
            <w:pPr>
              <w:pStyle w:val="A-"/>
            </w:pPr>
          </w:p>
        </w:tc>
        <w:tc>
          <w:tcPr>
            <w:tcW w:w="457" w:type="pct"/>
            <w:vAlign w:val="center"/>
          </w:tcPr>
          <w:p w14:paraId="0F55E29E" w14:textId="77777777" w:rsidR="002E474C" w:rsidRDefault="00000000">
            <w:pPr>
              <w:pStyle w:val="A-"/>
            </w:pPr>
            <w:r>
              <w:t>261-131-11</w:t>
            </w:r>
          </w:p>
        </w:tc>
        <w:tc>
          <w:tcPr>
            <w:tcW w:w="2678" w:type="pct"/>
            <w:vAlign w:val="center"/>
          </w:tcPr>
          <w:p w14:paraId="6CE38E0E" w14:textId="77777777" w:rsidR="002E474C" w:rsidRDefault="00000000">
            <w:pPr>
              <w:pStyle w:val="A-"/>
            </w:pPr>
            <w:r>
              <w:t>乙醛缩合加氢生产丁二醇过程中产生的重馏分</w:t>
            </w:r>
          </w:p>
        </w:tc>
        <w:tc>
          <w:tcPr>
            <w:tcW w:w="395" w:type="pct"/>
            <w:vAlign w:val="center"/>
          </w:tcPr>
          <w:p w14:paraId="70CD93F0" w14:textId="77777777" w:rsidR="002E474C" w:rsidRDefault="00000000">
            <w:pPr>
              <w:pStyle w:val="A-"/>
            </w:pPr>
            <w:r>
              <w:t>T</w:t>
            </w:r>
          </w:p>
        </w:tc>
      </w:tr>
      <w:tr w:rsidR="002E474C" w14:paraId="26C6E7E9" w14:textId="77777777">
        <w:trPr>
          <w:trHeight w:val="240"/>
        </w:trPr>
        <w:tc>
          <w:tcPr>
            <w:tcW w:w="574" w:type="pct"/>
            <w:vMerge/>
            <w:vAlign w:val="center"/>
          </w:tcPr>
          <w:p w14:paraId="419395B3" w14:textId="77777777" w:rsidR="002E474C" w:rsidRDefault="002E474C">
            <w:pPr>
              <w:pStyle w:val="A-"/>
            </w:pPr>
          </w:p>
        </w:tc>
        <w:tc>
          <w:tcPr>
            <w:tcW w:w="524" w:type="pct"/>
            <w:vMerge/>
            <w:vAlign w:val="center"/>
          </w:tcPr>
          <w:p w14:paraId="55E2D1B0" w14:textId="77777777" w:rsidR="002E474C" w:rsidRDefault="002E474C">
            <w:pPr>
              <w:pStyle w:val="A-"/>
            </w:pPr>
          </w:p>
        </w:tc>
        <w:tc>
          <w:tcPr>
            <w:tcW w:w="372" w:type="pct"/>
            <w:vMerge/>
            <w:vAlign w:val="center"/>
          </w:tcPr>
          <w:p w14:paraId="799328B9" w14:textId="77777777" w:rsidR="002E474C" w:rsidRDefault="002E474C">
            <w:pPr>
              <w:pStyle w:val="A-"/>
            </w:pPr>
          </w:p>
        </w:tc>
        <w:tc>
          <w:tcPr>
            <w:tcW w:w="457" w:type="pct"/>
            <w:vAlign w:val="center"/>
          </w:tcPr>
          <w:p w14:paraId="1D8E2E9B" w14:textId="77777777" w:rsidR="002E474C" w:rsidRDefault="00000000">
            <w:pPr>
              <w:pStyle w:val="A-"/>
            </w:pPr>
            <w:r>
              <w:t>261-132-11</w:t>
            </w:r>
          </w:p>
        </w:tc>
        <w:tc>
          <w:tcPr>
            <w:tcW w:w="2678" w:type="pct"/>
            <w:vAlign w:val="center"/>
          </w:tcPr>
          <w:p w14:paraId="729EAB46" w14:textId="77777777" w:rsidR="002E474C" w:rsidRDefault="00000000">
            <w:pPr>
              <w:pStyle w:val="A-"/>
            </w:pPr>
            <w:r>
              <w:t>乙醛氧化生产醋酸蒸馏过程中产生的重馏分</w:t>
            </w:r>
          </w:p>
        </w:tc>
        <w:tc>
          <w:tcPr>
            <w:tcW w:w="395" w:type="pct"/>
            <w:vAlign w:val="center"/>
          </w:tcPr>
          <w:p w14:paraId="4C1D9AC2" w14:textId="77777777" w:rsidR="002E474C" w:rsidRDefault="00000000">
            <w:pPr>
              <w:pStyle w:val="A-"/>
            </w:pPr>
            <w:r>
              <w:t>T</w:t>
            </w:r>
          </w:p>
        </w:tc>
      </w:tr>
      <w:tr w:rsidR="002E474C" w14:paraId="1031DF36" w14:textId="77777777">
        <w:trPr>
          <w:trHeight w:val="240"/>
        </w:trPr>
        <w:tc>
          <w:tcPr>
            <w:tcW w:w="574" w:type="pct"/>
            <w:vMerge/>
            <w:vAlign w:val="center"/>
          </w:tcPr>
          <w:p w14:paraId="37BB8A8B" w14:textId="77777777" w:rsidR="002E474C" w:rsidRDefault="002E474C">
            <w:pPr>
              <w:pStyle w:val="A-"/>
            </w:pPr>
          </w:p>
        </w:tc>
        <w:tc>
          <w:tcPr>
            <w:tcW w:w="524" w:type="pct"/>
            <w:vMerge/>
            <w:vAlign w:val="center"/>
          </w:tcPr>
          <w:p w14:paraId="30BED97A" w14:textId="77777777" w:rsidR="002E474C" w:rsidRDefault="002E474C">
            <w:pPr>
              <w:pStyle w:val="A-"/>
            </w:pPr>
          </w:p>
        </w:tc>
        <w:tc>
          <w:tcPr>
            <w:tcW w:w="372" w:type="pct"/>
            <w:vMerge/>
            <w:vAlign w:val="center"/>
          </w:tcPr>
          <w:p w14:paraId="24A9F523" w14:textId="77777777" w:rsidR="002E474C" w:rsidRDefault="002E474C">
            <w:pPr>
              <w:pStyle w:val="A-"/>
            </w:pPr>
          </w:p>
        </w:tc>
        <w:tc>
          <w:tcPr>
            <w:tcW w:w="457" w:type="pct"/>
            <w:vAlign w:val="center"/>
          </w:tcPr>
          <w:p w14:paraId="272E150F" w14:textId="77777777" w:rsidR="002E474C" w:rsidRDefault="00000000">
            <w:pPr>
              <w:pStyle w:val="A-"/>
            </w:pPr>
            <w:r>
              <w:t>261-133-11</w:t>
            </w:r>
          </w:p>
        </w:tc>
        <w:tc>
          <w:tcPr>
            <w:tcW w:w="2678" w:type="pct"/>
            <w:vAlign w:val="center"/>
          </w:tcPr>
          <w:p w14:paraId="2DEAB605" w14:textId="77777777" w:rsidR="002E474C" w:rsidRDefault="00000000">
            <w:pPr>
              <w:pStyle w:val="A-"/>
            </w:pPr>
            <w:r>
              <w:t>丁烷液相氧化生产醋酸过程中产生的重馏分</w:t>
            </w:r>
          </w:p>
        </w:tc>
        <w:tc>
          <w:tcPr>
            <w:tcW w:w="395" w:type="pct"/>
            <w:vAlign w:val="center"/>
          </w:tcPr>
          <w:p w14:paraId="2055A1EE" w14:textId="77777777" w:rsidR="002E474C" w:rsidRDefault="00000000">
            <w:pPr>
              <w:pStyle w:val="A-"/>
            </w:pPr>
            <w:r>
              <w:t>T</w:t>
            </w:r>
          </w:p>
        </w:tc>
      </w:tr>
      <w:tr w:rsidR="002E474C" w14:paraId="326103EA" w14:textId="77777777">
        <w:trPr>
          <w:trHeight w:val="240"/>
        </w:trPr>
        <w:tc>
          <w:tcPr>
            <w:tcW w:w="574" w:type="pct"/>
            <w:vMerge/>
            <w:vAlign w:val="center"/>
          </w:tcPr>
          <w:p w14:paraId="644CD37C" w14:textId="77777777" w:rsidR="002E474C" w:rsidRDefault="002E474C">
            <w:pPr>
              <w:pStyle w:val="A-"/>
            </w:pPr>
          </w:p>
        </w:tc>
        <w:tc>
          <w:tcPr>
            <w:tcW w:w="524" w:type="pct"/>
            <w:vMerge/>
            <w:vAlign w:val="center"/>
          </w:tcPr>
          <w:p w14:paraId="725A3714" w14:textId="77777777" w:rsidR="002E474C" w:rsidRDefault="002E474C">
            <w:pPr>
              <w:pStyle w:val="A-"/>
            </w:pPr>
          </w:p>
        </w:tc>
        <w:tc>
          <w:tcPr>
            <w:tcW w:w="372" w:type="pct"/>
            <w:vMerge/>
            <w:vAlign w:val="center"/>
          </w:tcPr>
          <w:p w14:paraId="09FFDDD9" w14:textId="77777777" w:rsidR="002E474C" w:rsidRDefault="002E474C">
            <w:pPr>
              <w:pStyle w:val="A-"/>
            </w:pPr>
          </w:p>
        </w:tc>
        <w:tc>
          <w:tcPr>
            <w:tcW w:w="457" w:type="pct"/>
            <w:vAlign w:val="center"/>
          </w:tcPr>
          <w:p w14:paraId="37EE90BE" w14:textId="77777777" w:rsidR="002E474C" w:rsidRDefault="00000000">
            <w:pPr>
              <w:pStyle w:val="A-"/>
            </w:pPr>
            <w:r>
              <w:t>261-134-11</w:t>
            </w:r>
          </w:p>
        </w:tc>
        <w:tc>
          <w:tcPr>
            <w:tcW w:w="2678" w:type="pct"/>
            <w:vAlign w:val="center"/>
          </w:tcPr>
          <w:p w14:paraId="5633AABB" w14:textId="77777777" w:rsidR="002E474C" w:rsidRDefault="00000000">
            <w:pPr>
              <w:pStyle w:val="A-"/>
            </w:pPr>
            <w:r>
              <w:t>电石乙炔法生产醋酸乙烯酯过程中产生的重馏分</w:t>
            </w:r>
          </w:p>
        </w:tc>
        <w:tc>
          <w:tcPr>
            <w:tcW w:w="395" w:type="pct"/>
            <w:vAlign w:val="center"/>
          </w:tcPr>
          <w:p w14:paraId="17299C61" w14:textId="77777777" w:rsidR="002E474C" w:rsidRDefault="00000000">
            <w:pPr>
              <w:pStyle w:val="A-"/>
            </w:pPr>
            <w:r>
              <w:t>T</w:t>
            </w:r>
          </w:p>
        </w:tc>
      </w:tr>
      <w:tr w:rsidR="002E474C" w14:paraId="1CA7DEA9" w14:textId="77777777">
        <w:trPr>
          <w:trHeight w:val="240"/>
        </w:trPr>
        <w:tc>
          <w:tcPr>
            <w:tcW w:w="574" w:type="pct"/>
            <w:vMerge/>
            <w:vAlign w:val="center"/>
          </w:tcPr>
          <w:p w14:paraId="4EDFF735" w14:textId="77777777" w:rsidR="002E474C" w:rsidRDefault="002E474C">
            <w:pPr>
              <w:pStyle w:val="A-"/>
            </w:pPr>
          </w:p>
        </w:tc>
        <w:tc>
          <w:tcPr>
            <w:tcW w:w="524" w:type="pct"/>
            <w:vMerge/>
            <w:vAlign w:val="center"/>
          </w:tcPr>
          <w:p w14:paraId="011B85DF" w14:textId="77777777" w:rsidR="002E474C" w:rsidRDefault="002E474C">
            <w:pPr>
              <w:pStyle w:val="A-"/>
            </w:pPr>
          </w:p>
        </w:tc>
        <w:tc>
          <w:tcPr>
            <w:tcW w:w="372" w:type="pct"/>
            <w:vMerge/>
            <w:vAlign w:val="center"/>
          </w:tcPr>
          <w:p w14:paraId="17EB78C8" w14:textId="77777777" w:rsidR="002E474C" w:rsidRDefault="002E474C">
            <w:pPr>
              <w:pStyle w:val="A-"/>
            </w:pPr>
          </w:p>
        </w:tc>
        <w:tc>
          <w:tcPr>
            <w:tcW w:w="457" w:type="pct"/>
            <w:vAlign w:val="center"/>
          </w:tcPr>
          <w:p w14:paraId="3F85500C" w14:textId="77777777" w:rsidR="002E474C" w:rsidRDefault="00000000">
            <w:pPr>
              <w:pStyle w:val="A-"/>
            </w:pPr>
            <w:r>
              <w:t>261-135-11</w:t>
            </w:r>
          </w:p>
        </w:tc>
        <w:tc>
          <w:tcPr>
            <w:tcW w:w="2678" w:type="pct"/>
            <w:vAlign w:val="center"/>
          </w:tcPr>
          <w:p w14:paraId="785CB4F5" w14:textId="77777777" w:rsidR="002E474C" w:rsidRDefault="00000000">
            <w:pPr>
              <w:pStyle w:val="A-"/>
            </w:pPr>
            <w:r>
              <w:t>氢氰酸法生产原甲酸三甲酯过程中产生的重馏分</w:t>
            </w:r>
          </w:p>
        </w:tc>
        <w:tc>
          <w:tcPr>
            <w:tcW w:w="395" w:type="pct"/>
            <w:vAlign w:val="center"/>
          </w:tcPr>
          <w:p w14:paraId="17972660" w14:textId="77777777" w:rsidR="002E474C" w:rsidRDefault="00000000">
            <w:pPr>
              <w:pStyle w:val="A-"/>
            </w:pPr>
            <w:r>
              <w:t>T</w:t>
            </w:r>
          </w:p>
        </w:tc>
      </w:tr>
      <w:tr w:rsidR="002E474C" w14:paraId="58273000" w14:textId="77777777">
        <w:trPr>
          <w:trHeight w:val="240"/>
        </w:trPr>
        <w:tc>
          <w:tcPr>
            <w:tcW w:w="574" w:type="pct"/>
            <w:vMerge/>
            <w:vAlign w:val="center"/>
          </w:tcPr>
          <w:p w14:paraId="6F15AC32" w14:textId="77777777" w:rsidR="002E474C" w:rsidRDefault="002E474C">
            <w:pPr>
              <w:pStyle w:val="A-"/>
            </w:pPr>
          </w:p>
        </w:tc>
        <w:tc>
          <w:tcPr>
            <w:tcW w:w="524" w:type="pct"/>
            <w:vMerge/>
            <w:vAlign w:val="center"/>
          </w:tcPr>
          <w:p w14:paraId="2D7BD9D9" w14:textId="77777777" w:rsidR="002E474C" w:rsidRDefault="002E474C">
            <w:pPr>
              <w:pStyle w:val="A-"/>
            </w:pPr>
          </w:p>
        </w:tc>
        <w:tc>
          <w:tcPr>
            <w:tcW w:w="372" w:type="pct"/>
            <w:vMerge/>
            <w:vAlign w:val="center"/>
          </w:tcPr>
          <w:p w14:paraId="03613207" w14:textId="77777777" w:rsidR="002E474C" w:rsidRDefault="002E474C">
            <w:pPr>
              <w:pStyle w:val="A-"/>
            </w:pPr>
          </w:p>
        </w:tc>
        <w:tc>
          <w:tcPr>
            <w:tcW w:w="457" w:type="pct"/>
            <w:vAlign w:val="center"/>
          </w:tcPr>
          <w:p w14:paraId="42C8E200" w14:textId="77777777" w:rsidR="002E474C" w:rsidRDefault="00000000">
            <w:pPr>
              <w:pStyle w:val="A-"/>
            </w:pPr>
            <w:r>
              <w:t>261-136-11</w:t>
            </w:r>
          </w:p>
        </w:tc>
        <w:tc>
          <w:tcPr>
            <w:tcW w:w="2678" w:type="pct"/>
            <w:vAlign w:val="center"/>
          </w:tcPr>
          <w:p w14:paraId="2F930154" w14:textId="77777777" w:rsidR="002E474C" w:rsidRDefault="00000000">
            <w:pPr>
              <w:pStyle w:val="A-"/>
            </w:pPr>
            <w:r>
              <w:t>β-</w:t>
            </w:r>
            <w:r>
              <w:t>苯胺乙醇法生产靛蓝过程中产生的重馏分</w:t>
            </w:r>
          </w:p>
        </w:tc>
        <w:tc>
          <w:tcPr>
            <w:tcW w:w="395" w:type="pct"/>
            <w:vAlign w:val="center"/>
          </w:tcPr>
          <w:p w14:paraId="35A6B980" w14:textId="77777777" w:rsidR="002E474C" w:rsidRDefault="00000000">
            <w:pPr>
              <w:pStyle w:val="A-"/>
            </w:pPr>
            <w:r>
              <w:t>T</w:t>
            </w:r>
          </w:p>
        </w:tc>
      </w:tr>
      <w:tr w:rsidR="002E474C" w14:paraId="2150A99A" w14:textId="77777777">
        <w:trPr>
          <w:trHeight w:val="240"/>
        </w:trPr>
        <w:tc>
          <w:tcPr>
            <w:tcW w:w="574" w:type="pct"/>
            <w:vMerge/>
            <w:vAlign w:val="center"/>
          </w:tcPr>
          <w:p w14:paraId="72695B4B" w14:textId="77777777" w:rsidR="002E474C" w:rsidRDefault="002E474C">
            <w:pPr>
              <w:pStyle w:val="A-"/>
            </w:pPr>
          </w:p>
        </w:tc>
        <w:tc>
          <w:tcPr>
            <w:tcW w:w="524" w:type="pct"/>
            <w:vAlign w:val="center"/>
          </w:tcPr>
          <w:p w14:paraId="4EE050A5" w14:textId="77777777" w:rsidR="002E474C" w:rsidRDefault="00000000">
            <w:pPr>
              <w:pStyle w:val="A-"/>
            </w:pPr>
            <w:r>
              <w:t>常用有色金</w:t>
            </w:r>
            <w:r>
              <w:lastRenderedPageBreak/>
              <w:t>属冶炼</w:t>
            </w:r>
          </w:p>
        </w:tc>
        <w:tc>
          <w:tcPr>
            <w:tcW w:w="372" w:type="pct"/>
            <w:vAlign w:val="center"/>
          </w:tcPr>
          <w:p w14:paraId="0E82A249" w14:textId="77777777" w:rsidR="002E474C" w:rsidRDefault="00000000">
            <w:pPr>
              <w:pStyle w:val="A-"/>
            </w:pPr>
            <w:r>
              <w:lastRenderedPageBreak/>
              <w:t>半固态</w:t>
            </w:r>
          </w:p>
        </w:tc>
        <w:tc>
          <w:tcPr>
            <w:tcW w:w="457" w:type="pct"/>
            <w:vAlign w:val="center"/>
          </w:tcPr>
          <w:p w14:paraId="449883EA" w14:textId="77777777" w:rsidR="002E474C" w:rsidRDefault="00000000">
            <w:pPr>
              <w:pStyle w:val="A-"/>
            </w:pPr>
            <w:r>
              <w:t>321-001-11</w:t>
            </w:r>
          </w:p>
        </w:tc>
        <w:tc>
          <w:tcPr>
            <w:tcW w:w="2678" w:type="pct"/>
            <w:vAlign w:val="center"/>
          </w:tcPr>
          <w:p w14:paraId="2A098718" w14:textId="77777777" w:rsidR="002E474C" w:rsidRDefault="00000000">
            <w:pPr>
              <w:pStyle w:val="A-"/>
            </w:pPr>
            <w:r>
              <w:t>有色金属火法冶炼过程中产生的焦油状残余物</w:t>
            </w:r>
          </w:p>
        </w:tc>
        <w:tc>
          <w:tcPr>
            <w:tcW w:w="395" w:type="pct"/>
            <w:vAlign w:val="center"/>
          </w:tcPr>
          <w:p w14:paraId="4A906A73" w14:textId="77777777" w:rsidR="002E474C" w:rsidRDefault="00000000">
            <w:pPr>
              <w:pStyle w:val="A-"/>
            </w:pPr>
            <w:r>
              <w:t>T</w:t>
            </w:r>
          </w:p>
        </w:tc>
      </w:tr>
      <w:tr w:rsidR="002E474C" w14:paraId="70087CFC" w14:textId="77777777">
        <w:trPr>
          <w:trHeight w:val="240"/>
        </w:trPr>
        <w:tc>
          <w:tcPr>
            <w:tcW w:w="574" w:type="pct"/>
            <w:vMerge/>
            <w:vAlign w:val="center"/>
          </w:tcPr>
          <w:p w14:paraId="2E873B09" w14:textId="77777777" w:rsidR="002E474C" w:rsidRDefault="002E474C">
            <w:pPr>
              <w:pStyle w:val="A-"/>
            </w:pPr>
          </w:p>
        </w:tc>
        <w:tc>
          <w:tcPr>
            <w:tcW w:w="524" w:type="pct"/>
            <w:vAlign w:val="center"/>
          </w:tcPr>
          <w:p w14:paraId="14F083B1" w14:textId="77777777" w:rsidR="002E474C" w:rsidRDefault="00000000">
            <w:pPr>
              <w:pStyle w:val="A-"/>
            </w:pPr>
            <w:r>
              <w:t>环境治理</w:t>
            </w:r>
          </w:p>
        </w:tc>
        <w:tc>
          <w:tcPr>
            <w:tcW w:w="372" w:type="pct"/>
            <w:vAlign w:val="center"/>
          </w:tcPr>
          <w:p w14:paraId="69F8D259" w14:textId="77777777" w:rsidR="002E474C" w:rsidRDefault="00000000">
            <w:pPr>
              <w:pStyle w:val="A-"/>
            </w:pPr>
            <w:r>
              <w:t>液态</w:t>
            </w:r>
          </w:p>
        </w:tc>
        <w:tc>
          <w:tcPr>
            <w:tcW w:w="457" w:type="pct"/>
            <w:vAlign w:val="center"/>
          </w:tcPr>
          <w:p w14:paraId="09AA9141" w14:textId="77777777" w:rsidR="002E474C" w:rsidRDefault="00000000">
            <w:pPr>
              <w:pStyle w:val="A-"/>
            </w:pPr>
            <w:r>
              <w:t>772-001-11</w:t>
            </w:r>
          </w:p>
        </w:tc>
        <w:tc>
          <w:tcPr>
            <w:tcW w:w="2678" w:type="pct"/>
            <w:vAlign w:val="center"/>
          </w:tcPr>
          <w:p w14:paraId="6F9313D2" w14:textId="77777777" w:rsidR="002E474C" w:rsidRDefault="00000000">
            <w:pPr>
              <w:pStyle w:val="A-"/>
            </w:pPr>
            <w:r>
              <w:t>废矿物油再生过程中产生的酸焦油</w:t>
            </w:r>
          </w:p>
        </w:tc>
        <w:tc>
          <w:tcPr>
            <w:tcW w:w="395" w:type="pct"/>
            <w:vAlign w:val="center"/>
          </w:tcPr>
          <w:p w14:paraId="786C5BBE" w14:textId="77777777" w:rsidR="002E474C" w:rsidRDefault="00000000">
            <w:pPr>
              <w:pStyle w:val="A-"/>
            </w:pPr>
            <w:r>
              <w:t>T</w:t>
            </w:r>
          </w:p>
        </w:tc>
      </w:tr>
      <w:tr w:rsidR="002E474C" w14:paraId="5BF8F0C2" w14:textId="77777777">
        <w:trPr>
          <w:trHeight w:val="240"/>
        </w:trPr>
        <w:tc>
          <w:tcPr>
            <w:tcW w:w="574" w:type="pct"/>
            <w:vMerge/>
            <w:vAlign w:val="center"/>
          </w:tcPr>
          <w:p w14:paraId="10AFBE38" w14:textId="77777777" w:rsidR="002E474C" w:rsidRDefault="002E474C">
            <w:pPr>
              <w:pStyle w:val="A-"/>
            </w:pPr>
          </w:p>
        </w:tc>
        <w:tc>
          <w:tcPr>
            <w:tcW w:w="524" w:type="pct"/>
            <w:vAlign w:val="center"/>
          </w:tcPr>
          <w:p w14:paraId="412128C2" w14:textId="77777777" w:rsidR="002E474C" w:rsidRDefault="00000000">
            <w:pPr>
              <w:pStyle w:val="A-"/>
            </w:pPr>
            <w:r>
              <w:t>非特定行业</w:t>
            </w:r>
          </w:p>
        </w:tc>
        <w:tc>
          <w:tcPr>
            <w:tcW w:w="372" w:type="pct"/>
            <w:vAlign w:val="center"/>
          </w:tcPr>
          <w:p w14:paraId="30258015" w14:textId="77777777" w:rsidR="002E474C" w:rsidRDefault="00000000">
            <w:pPr>
              <w:pStyle w:val="A-"/>
            </w:pPr>
            <w:r>
              <w:t>半固态</w:t>
            </w:r>
          </w:p>
        </w:tc>
        <w:tc>
          <w:tcPr>
            <w:tcW w:w="457" w:type="pct"/>
            <w:vAlign w:val="center"/>
          </w:tcPr>
          <w:p w14:paraId="29AF64CC" w14:textId="77777777" w:rsidR="002E474C" w:rsidRDefault="00000000">
            <w:pPr>
              <w:pStyle w:val="A-"/>
            </w:pPr>
            <w:r>
              <w:t>900-013-11</w:t>
            </w:r>
          </w:p>
        </w:tc>
        <w:tc>
          <w:tcPr>
            <w:tcW w:w="2678" w:type="pct"/>
            <w:vAlign w:val="center"/>
          </w:tcPr>
          <w:p w14:paraId="48BA9E4E" w14:textId="77777777" w:rsidR="002E474C" w:rsidRDefault="00000000">
            <w:pPr>
              <w:pStyle w:val="A-"/>
            </w:pPr>
            <w:r>
              <w:t>其他精炼、蒸馏和热解处理过程中产生的焦油状残余物</w:t>
            </w:r>
          </w:p>
        </w:tc>
        <w:tc>
          <w:tcPr>
            <w:tcW w:w="395" w:type="pct"/>
            <w:vAlign w:val="center"/>
          </w:tcPr>
          <w:p w14:paraId="3A57F904" w14:textId="77777777" w:rsidR="002E474C" w:rsidRDefault="00000000">
            <w:pPr>
              <w:pStyle w:val="A-"/>
            </w:pPr>
            <w:r>
              <w:t>T</w:t>
            </w:r>
          </w:p>
        </w:tc>
      </w:tr>
      <w:tr w:rsidR="002E474C" w14:paraId="60BB8273" w14:textId="77777777">
        <w:trPr>
          <w:trHeight w:val="240"/>
        </w:trPr>
        <w:tc>
          <w:tcPr>
            <w:tcW w:w="574" w:type="pct"/>
            <w:vMerge w:val="restart"/>
            <w:vAlign w:val="center"/>
          </w:tcPr>
          <w:p w14:paraId="7839284D" w14:textId="77777777" w:rsidR="002E474C" w:rsidRDefault="00000000">
            <w:pPr>
              <w:pStyle w:val="A-"/>
            </w:pPr>
            <w:r>
              <w:t>HW12</w:t>
            </w:r>
          </w:p>
          <w:p w14:paraId="43CC0C68" w14:textId="77777777" w:rsidR="002E474C" w:rsidRDefault="00000000">
            <w:pPr>
              <w:pStyle w:val="A-"/>
            </w:pPr>
            <w:r>
              <w:t>染料、涂料废物</w:t>
            </w:r>
          </w:p>
        </w:tc>
        <w:tc>
          <w:tcPr>
            <w:tcW w:w="524" w:type="pct"/>
            <w:vMerge w:val="restart"/>
            <w:vAlign w:val="center"/>
          </w:tcPr>
          <w:p w14:paraId="0604C422" w14:textId="77777777" w:rsidR="002E474C" w:rsidRDefault="00000000">
            <w:pPr>
              <w:pStyle w:val="A-"/>
            </w:pPr>
            <w:r>
              <w:t>涂料、油墨、颜料及类似产品制造</w:t>
            </w:r>
          </w:p>
        </w:tc>
        <w:tc>
          <w:tcPr>
            <w:tcW w:w="372" w:type="pct"/>
            <w:vMerge w:val="restart"/>
            <w:vAlign w:val="center"/>
          </w:tcPr>
          <w:p w14:paraId="7FE4F15D" w14:textId="77777777" w:rsidR="002E474C" w:rsidRDefault="00000000">
            <w:pPr>
              <w:pStyle w:val="A-"/>
            </w:pPr>
            <w:r>
              <w:t>半固态、液态</w:t>
            </w:r>
          </w:p>
        </w:tc>
        <w:tc>
          <w:tcPr>
            <w:tcW w:w="457" w:type="pct"/>
            <w:vAlign w:val="center"/>
          </w:tcPr>
          <w:p w14:paraId="0D0C72A7" w14:textId="77777777" w:rsidR="002E474C" w:rsidRDefault="00000000">
            <w:pPr>
              <w:pStyle w:val="A-"/>
            </w:pPr>
            <w:r>
              <w:t>264-002-12</w:t>
            </w:r>
          </w:p>
        </w:tc>
        <w:tc>
          <w:tcPr>
            <w:tcW w:w="2678" w:type="pct"/>
            <w:vAlign w:val="center"/>
          </w:tcPr>
          <w:p w14:paraId="31971981" w14:textId="77777777" w:rsidR="002E474C" w:rsidRDefault="00000000">
            <w:pPr>
              <w:pStyle w:val="A-"/>
            </w:pPr>
            <w:r>
              <w:t>铬黄和铬橙颜料生产过程中产生的废水处理污泥</w:t>
            </w:r>
          </w:p>
        </w:tc>
        <w:tc>
          <w:tcPr>
            <w:tcW w:w="395" w:type="pct"/>
            <w:vAlign w:val="center"/>
          </w:tcPr>
          <w:p w14:paraId="0CBA437B" w14:textId="77777777" w:rsidR="002E474C" w:rsidRDefault="00000000">
            <w:pPr>
              <w:pStyle w:val="A-"/>
            </w:pPr>
            <w:r>
              <w:t>T</w:t>
            </w:r>
          </w:p>
        </w:tc>
      </w:tr>
      <w:tr w:rsidR="002E474C" w14:paraId="24CC8750" w14:textId="77777777">
        <w:trPr>
          <w:trHeight w:val="240"/>
        </w:trPr>
        <w:tc>
          <w:tcPr>
            <w:tcW w:w="574" w:type="pct"/>
            <w:vMerge/>
            <w:vAlign w:val="center"/>
          </w:tcPr>
          <w:p w14:paraId="14885B88" w14:textId="77777777" w:rsidR="002E474C" w:rsidRDefault="002E474C">
            <w:pPr>
              <w:pStyle w:val="A-"/>
            </w:pPr>
          </w:p>
        </w:tc>
        <w:tc>
          <w:tcPr>
            <w:tcW w:w="524" w:type="pct"/>
            <w:vMerge/>
            <w:vAlign w:val="center"/>
          </w:tcPr>
          <w:p w14:paraId="4E2C3D82" w14:textId="77777777" w:rsidR="002E474C" w:rsidRDefault="002E474C">
            <w:pPr>
              <w:pStyle w:val="A-"/>
            </w:pPr>
          </w:p>
        </w:tc>
        <w:tc>
          <w:tcPr>
            <w:tcW w:w="372" w:type="pct"/>
            <w:vMerge/>
            <w:vAlign w:val="center"/>
          </w:tcPr>
          <w:p w14:paraId="12407A8C" w14:textId="77777777" w:rsidR="002E474C" w:rsidRDefault="002E474C">
            <w:pPr>
              <w:pStyle w:val="A-"/>
            </w:pPr>
          </w:p>
        </w:tc>
        <w:tc>
          <w:tcPr>
            <w:tcW w:w="457" w:type="pct"/>
            <w:vAlign w:val="center"/>
          </w:tcPr>
          <w:p w14:paraId="4EAA09ED" w14:textId="77777777" w:rsidR="002E474C" w:rsidRDefault="00000000">
            <w:pPr>
              <w:pStyle w:val="A-"/>
            </w:pPr>
            <w:r>
              <w:t>264-003-12</w:t>
            </w:r>
          </w:p>
        </w:tc>
        <w:tc>
          <w:tcPr>
            <w:tcW w:w="2678" w:type="pct"/>
            <w:vAlign w:val="center"/>
          </w:tcPr>
          <w:p w14:paraId="6C4BA45C" w14:textId="77777777" w:rsidR="002E474C" w:rsidRDefault="00000000">
            <w:pPr>
              <w:pStyle w:val="A-"/>
            </w:pPr>
            <w:r>
              <w:t>钼酸橙颜料生产过程中产生的废水处理污泥</w:t>
            </w:r>
          </w:p>
        </w:tc>
        <w:tc>
          <w:tcPr>
            <w:tcW w:w="395" w:type="pct"/>
            <w:vAlign w:val="center"/>
          </w:tcPr>
          <w:p w14:paraId="2CED4067" w14:textId="77777777" w:rsidR="002E474C" w:rsidRDefault="00000000">
            <w:pPr>
              <w:pStyle w:val="A-"/>
            </w:pPr>
            <w:r>
              <w:t>T</w:t>
            </w:r>
          </w:p>
        </w:tc>
      </w:tr>
      <w:tr w:rsidR="002E474C" w14:paraId="107B3DD3" w14:textId="77777777">
        <w:trPr>
          <w:trHeight w:val="240"/>
        </w:trPr>
        <w:tc>
          <w:tcPr>
            <w:tcW w:w="574" w:type="pct"/>
            <w:vMerge/>
            <w:vAlign w:val="center"/>
          </w:tcPr>
          <w:p w14:paraId="556FBE03" w14:textId="77777777" w:rsidR="002E474C" w:rsidRDefault="002E474C">
            <w:pPr>
              <w:pStyle w:val="A-"/>
            </w:pPr>
          </w:p>
        </w:tc>
        <w:tc>
          <w:tcPr>
            <w:tcW w:w="524" w:type="pct"/>
            <w:vMerge/>
            <w:vAlign w:val="center"/>
          </w:tcPr>
          <w:p w14:paraId="3AD94A8A" w14:textId="77777777" w:rsidR="002E474C" w:rsidRDefault="002E474C">
            <w:pPr>
              <w:pStyle w:val="A-"/>
            </w:pPr>
          </w:p>
        </w:tc>
        <w:tc>
          <w:tcPr>
            <w:tcW w:w="372" w:type="pct"/>
            <w:vMerge/>
            <w:vAlign w:val="center"/>
          </w:tcPr>
          <w:p w14:paraId="3D0D549E" w14:textId="77777777" w:rsidR="002E474C" w:rsidRDefault="002E474C">
            <w:pPr>
              <w:pStyle w:val="A-"/>
            </w:pPr>
          </w:p>
        </w:tc>
        <w:tc>
          <w:tcPr>
            <w:tcW w:w="457" w:type="pct"/>
            <w:vAlign w:val="center"/>
          </w:tcPr>
          <w:p w14:paraId="43740BFD" w14:textId="77777777" w:rsidR="002E474C" w:rsidRDefault="00000000">
            <w:pPr>
              <w:pStyle w:val="A-"/>
            </w:pPr>
            <w:r>
              <w:t>264-004-12</w:t>
            </w:r>
          </w:p>
        </w:tc>
        <w:tc>
          <w:tcPr>
            <w:tcW w:w="2678" w:type="pct"/>
            <w:vAlign w:val="center"/>
          </w:tcPr>
          <w:p w14:paraId="55FCB38A" w14:textId="77777777" w:rsidR="002E474C" w:rsidRDefault="00000000">
            <w:pPr>
              <w:pStyle w:val="A-"/>
            </w:pPr>
            <w:r>
              <w:t>锌黄颜料生产过程中产生的废水处理污泥</w:t>
            </w:r>
          </w:p>
        </w:tc>
        <w:tc>
          <w:tcPr>
            <w:tcW w:w="395" w:type="pct"/>
            <w:vAlign w:val="center"/>
          </w:tcPr>
          <w:p w14:paraId="5A808BAC" w14:textId="77777777" w:rsidR="002E474C" w:rsidRDefault="00000000">
            <w:pPr>
              <w:pStyle w:val="A-"/>
            </w:pPr>
            <w:r>
              <w:t>T</w:t>
            </w:r>
          </w:p>
        </w:tc>
      </w:tr>
      <w:tr w:rsidR="002E474C" w14:paraId="006C9820" w14:textId="77777777">
        <w:trPr>
          <w:trHeight w:val="240"/>
        </w:trPr>
        <w:tc>
          <w:tcPr>
            <w:tcW w:w="574" w:type="pct"/>
            <w:vMerge/>
            <w:vAlign w:val="center"/>
          </w:tcPr>
          <w:p w14:paraId="62FF7030" w14:textId="77777777" w:rsidR="002E474C" w:rsidRDefault="002E474C">
            <w:pPr>
              <w:pStyle w:val="A-"/>
            </w:pPr>
          </w:p>
        </w:tc>
        <w:tc>
          <w:tcPr>
            <w:tcW w:w="524" w:type="pct"/>
            <w:vMerge/>
            <w:vAlign w:val="center"/>
          </w:tcPr>
          <w:p w14:paraId="7C7FC58A" w14:textId="77777777" w:rsidR="002E474C" w:rsidRDefault="002E474C">
            <w:pPr>
              <w:pStyle w:val="A-"/>
            </w:pPr>
          </w:p>
        </w:tc>
        <w:tc>
          <w:tcPr>
            <w:tcW w:w="372" w:type="pct"/>
            <w:vMerge/>
            <w:vAlign w:val="center"/>
          </w:tcPr>
          <w:p w14:paraId="4CCA32BF" w14:textId="77777777" w:rsidR="002E474C" w:rsidRDefault="002E474C">
            <w:pPr>
              <w:pStyle w:val="A-"/>
            </w:pPr>
          </w:p>
        </w:tc>
        <w:tc>
          <w:tcPr>
            <w:tcW w:w="457" w:type="pct"/>
            <w:vAlign w:val="center"/>
          </w:tcPr>
          <w:p w14:paraId="0409ADB8" w14:textId="77777777" w:rsidR="002E474C" w:rsidRDefault="00000000">
            <w:pPr>
              <w:pStyle w:val="A-"/>
            </w:pPr>
            <w:r>
              <w:t>264-005-12</w:t>
            </w:r>
          </w:p>
        </w:tc>
        <w:tc>
          <w:tcPr>
            <w:tcW w:w="2678" w:type="pct"/>
            <w:vAlign w:val="center"/>
          </w:tcPr>
          <w:p w14:paraId="025A27A4" w14:textId="77777777" w:rsidR="002E474C" w:rsidRDefault="00000000">
            <w:pPr>
              <w:pStyle w:val="A-"/>
            </w:pPr>
            <w:r>
              <w:t>铬绿颜料生产过程中产生的废水处理污泥</w:t>
            </w:r>
          </w:p>
        </w:tc>
        <w:tc>
          <w:tcPr>
            <w:tcW w:w="395" w:type="pct"/>
            <w:vAlign w:val="center"/>
          </w:tcPr>
          <w:p w14:paraId="57AF701B" w14:textId="77777777" w:rsidR="002E474C" w:rsidRDefault="00000000">
            <w:pPr>
              <w:pStyle w:val="A-"/>
            </w:pPr>
            <w:r>
              <w:t>T</w:t>
            </w:r>
          </w:p>
        </w:tc>
      </w:tr>
      <w:tr w:rsidR="002E474C" w14:paraId="7CA1D973" w14:textId="77777777">
        <w:trPr>
          <w:trHeight w:val="240"/>
        </w:trPr>
        <w:tc>
          <w:tcPr>
            <w:tcW w:w="574" w:type="pct"/>
            <w:vMerge/>
            <w:vAlign w:val="center"/>
          </w:tcPr>
          <w:p w14:paraId="6114C5B6" w14:textId="77777777" w:rsidR="002E474C" w:rsidRDefault="002E474C">
            <w:pPr>
              <w:pStyle w:val="A-"/>
            </w:pPr>
          </w:p>
        </w:tc>
        <w:tc>
          <w:tcPr>
            <w:tcW w:w="524" w:type="pct"/>
            <w:vMerge/>
            <w:vAlign w:val="center"/>
          </w:tcPr>
          <w:p w14:paraId="74F1B8E6" w14:textId="77777777" w:rsidR="002E474C" w:rsidRDefault="002E474C">
            <w:pPr>
              <w:pStyle w:val="A-"/>
            </w:pPr>
          </w:p>
        </w:tc>
        <w:tc>
          <w:tcPr>
            <w:tcW w:w="372" w:type="pct"/>
            <w:vMerge/>
            <w:vAlign w:val="center"/>
          </w:tcPr>
          <w:p w14:paraId="784F366E" w14:textId="77777777" w:rsidR="002E474C" w:rsidRDefault="002E474C">
            <w:pPr>
              <w:pStyle w:val="A-"/>
            </w:pPr>
          </w:p>
        </w:tc>
        <w:tc>
          <w:tcPr>
            <w:tcW w:w="457" w:type="pct"/>
            <w:vAlign w:val="center"/>
          </w:tcPr>
          <w:p w14:paraId="11E802F0" w14:textId="77777777" w:rsidR="002E474C" w:rsidRDefault="00000000">
            <w:pPr>
              <w:pStyle w:val="A-"/>
            </w:pPr>
            <w:r>
              <w:t>264-006-12</w:t>
            </w:r>
          </w:p>
        </w:tc>
        <w:tc>
          <w:tcPr>
            <w:tcW w:w="2678" w:type="pct"/>
            <w:vAlign w:val="center"/>
          </w:tcPr>
          <w:p w14:paraId="0CC57719" w14:textId="77777777" w:rsidR="002E474C" w:rsidRDefault="00000000">
            <w:pPr>
              <w:pStyle w:val="A-"/>
            </w:pPr>
            <w:r>
              <w:t>氧化铬绿颜料生产过程中产生的废水处理污泥</w:t>
            </w:r>
          </w:p>
        </w:tc>
        <w:tc>
          <w:tcPr>
            <w:tcW w:w="395" w:type="pct"/>
            <w:vAlign w:val="center"/>
          </w:tcPr>
          <w:p w14:paraId="0E76BF9E" w14:textId="77777777" w:rsidR="002E474C" w:rsidRDefault="00000000">
            <w:pPr>
              <w:pStyle w:val="A-"/>
            </w:pPr>
            <w:r>
              <w:t>T</w:t>
            </w:r>
          </w:p>
        </w:tc>
      </w:tr>
      <w:tr w:rsidR="002E474C" w14:paraId="51166E72" w14:textId="77777777">
        <w:trPr>
          <w:trHeight w:val="240"/>
        </w:trPr>
        <w:tc>
          <w:tcPr>
            <w:tcW w:w="574" w:type="pct"/>
            <w:vMerge/>
            <w:vAlign w:val="center"/>
          </w:tcPr>
          <w:p w14:paraId="682014CD" w14:textId="77777777" w:rsidR="002E474C" w:rsidRDefault="002E474C">
            <w:pPr>
              <w:pStyle w:val="A-"/>
            </w:pPr>
          </w:p>
        </w:tc>
        <w:tc>
          <w:tcPr>
            <w:tcW w:w="524" w:type="pct"/>
            <w:vMerge/>
            <w:vAlign w:val="center"/>
          </w:tcPr>
          <w:p w14:paraId="31CAD869" w14:textId="77777777" w:rsidR="002E474C" w:rsidRDefault="002E474C">
            <w:pPr>
              <w:pStyle w:val="A-"/>
            </w:pPr>
          </w:p>
        </w:tc>
        <w:tc>
          <w:tcPr>
            <w:tcW w:w="372" w:type="pct"/>
            <w:vMerge/>
            <w:vAlign w:val="center"/>
          </w:tcPr>
          <w:p w14:paraId="4DDD091D" w14:textId="77777777" w:rsidR="002E474C" w:rsidRDefault="002E474C">
            <w:pPr>
              <w:pStyle w:val="A-"/>
            </w:pPr>
          </w:p>
        </w:tc>
        <w:tc>
          <w:tcPr>
            <w:tcW w:w="457" w:type="pct"/>
            <w:vAlign w:val="center"/>
          </w:tcPr>
          <w:p w14:paraId="33B376A0" w14:textId="77777777" w:rsidR="002E474C" w:rsidRDefault="00000000">
            <w:pPr>
              <w:pStyle w:val="A-"/>
            </w:pPr>
            <w:r>
              <w:t>264-007-12</w:t>
            </w:r>
          </w:p>
        </w:tc>
        <w:tc>
          <w:tcPr>
            <w:tcW w:w="2678" w:type="pct"/>
            <w:vAlign w:val="center"/>
          </w:tcPr>
          <w:p w14:paraId="06DAB0D8" w14:textId="77777777" w:rsidR="002E474C" w:rsidRDefault="00000000">
            <w:pPr>
              <w:pStyle w:val="A-"/>
            </w:pPr>
            <w:r>
              <w:t>氧化铬绿颜料生产过程中烘干产生的残渣</w:t>
            </w:r>
          </w:p>
        </w:tc>
        <w:tc>
          <w:tcPr>
            <w:tcW w:w="395" w:type="pct"/>
            <w:vAlign w:val="center"/>
          </w:tcPr>
          <w:p w14:paraId="0EBF0458" w14:textId="77777777" w:rsidR="002E474C" w:rsidRDefault="00000000">
            <w:pPr>
              <w:pStyle w:val="A-"/>
            </w:pPr>
            <w:r>
              <w:t>T</w:t>
            </w:r>
          </w:p>
        </w:tc>
      </w:tr>
      <w:tr w:rsidR="002E474C" w14:paraId="648DE726" w14:textId="77777777">
        <w:trPr>
          <w:trHeight w:val="240"/>
        </w:trPr>
        <w:tc>
          <w:tcPr>
            <w:tcW w:w="574" w:type="pct"/>
            <w:vMerge/>
            <w:vAlign w:val="center"/>
          </w:tcPr>
          <w:p w14:paraId="6497FA62" w14:textId="77777777" w:rsidR="002E474C" w:rsidRDefault="002E474C">
            <w:pPr>
              <w:pStyle w:val="A-"/>
            </w:pPr>
          </w:p>
        </w:tc>
        <w:tc>
          <w:tcPr>
            <w:tcW w:w="524" w:type="pct"/>
            <w:vMerge/>
            <w:vAlign w:val="center"/>
          </w:tcPr>
          <w:p w14:paraId="356D5BD1" w14:textId="77777777" w:rsidR="002E474C" w:rsidRDefault="002E474C">
            <w:pPr>
              <w:pStyle w:val="A-"/>
            </w:pPr>
          </w:p>
        </w:tc>
        <w:tc>
          <w:tcPr>
            <w:tcW w:w="372" w:type="pct"/>
            <w:vMerge/>
            <w:vAlign w:val="center"/>
          </w:tcPr>
          <w:p w14:paraId="3F682F14" w14:textId="77777777" w:rsidR="002E474C" w:rsidRDefault="002E474C">
            <w:pPr>
              <w:pStyle w:val="A-"/>
            </w:pPr>
          </w:p>
        </w:tc>
        <w:tc>
          <w:tcPr>
            <w:tcW w:w="457" w:type="pct"/>
            <w:vAlign w:val="center"/>
          </w:tcPr>
          <w:p w14:paraId="1AE2D70D" w14:textId="77777777" w:rsidR="002E474C" w:rsidRDefault="00000000">
            <w:pPr>
              <w:pStyle w:val="A-"/>
            </w:pPr>
            <w:r>
              <w:t>264-008-12</w:t>
            </w:r>
          </w:p>
        </w:tc>
        <w:tc>
          <w:tcPr>
            <w:tcW w:w="2678" w:type="pct"/>
            <w:vAlign w:val="center"/>
          </w:tcPr>
          <w:p w14:paraId="0B60DDD3" w14:textId="77777777" w:rsidR="002E474C" w:rsidRDefault="00000000">
            <w:pPr>
              <w:pStyle w:val="A-"/>
            </w:pPr>
            <w:r>
              <w:t>铁蓝颜料生产过程中产生的废水处理污泥</w:t>
            </w:r>
          </w:p>
        </w:tc>
        <w:tc>
          <w:tcPr>
            <w:tcW w:w="395" w:type="pct"/>
            <w:vAlign w:val="center"/>
          </w:tcPr>
          <w:p w14:paraId="1E2AA1CD" w14:textId="77777777" w:rsidR="002E474C" w:rsidRDefault="00000000">
            <w:pPr>
              <w:pStyle w:val="A-"/>
            </w:pPr>
            <w:r>
              <w:t>T</w:t>
            </w:r>
          </w:p>
        </w:tc>
      </w:tr>
      <w:tr w:rsidR="002E474C" w14:paraId="3F7F102F" w14:textId="77777777">
        <w:trPr>
          <w:trHeight w:val="240"/>
        </w:trPr>
        <w:tc>
          <w:tcPr>
            <w:tcW w:w="574" w:type="pct"/>
            <w:vMerge/>
            <w:vAlign w:val="center"/>
          </w:tcPr>
          <w:p w14:paraId="32E9870E" w14:textId="77777777" w:rsidR="002E474C" w:rsidRDefault="002E474C">
            <w:pPr>
              <w:pStyle w:val="A-"/>
            </w:pPr>
          </w:p>
        </w:tc>
        <w:tc>
          <w:tcPr>
            <w:tcW w:w="524" w:type="pct"/>
            <w:vMerge/>
            <w:vAlign w:val="center"/>
          </w:tcPr>
          <w:p w14:paraId="43EEED4A" w14:textId="77777777" w:rsidR="002E474C" w:rsidRDefault="002E474C">
            <w:pPr>
              <w:pStyle w:val="A-"/>
            </w:pPr>
          </w:p>
        </w:tc>
        <w:tc>
          <w:tcPr>
            <w:tcW w:w="372" w:type="pct"/>
            <w:vMerge/>
            <w:vAlign w:val="center"/>
          </w:tcPr>
          <w:p w14:paraId="40121B7B" w14:textId="77777777" w:rsidR="002E474C" w:rsidRDefault="002E474C">
            <w:pPr>
              <w:pStyle w:val="A-"/>
            </w:pPr>
          </w:p>
        </w:tc>
        <w:tc>
          <w:tcPr>
            <w:tcW w:w="457" w:type="pct"/>
            <w:vAlign w:val="center"/>
          </w:tcPr>
          <w:p w14:paraId="11B5113B" w14:textId="77777777" w:rsidR="002E474C" w:rsidRDefault="00000000">
            <w:pPr>
              <w:pStyle w:val="A-"/>
            </w:pPr>
            <w:r>
              <w:t>264-009-12</w:t>
            </w:r>
          </w:p>
        </w:tc>
        <w:tc>
          <w:tcPr>
            <w:tcW w:w="2678" w:type="pct"/>
            <w:vAlign w:val="center"/>
          </w:tcPr>
          <w:p w14:paraId="6A62CC36" w14:textId="77777777" w:rsidR="002E474C" w:rsidRDefault="00000000">
            <w:pPr>
              <w:pStyle w:val="A-"/>
            </w:pPr>
            <w:r>
              <w:t>使用含铬、铅的稳定剂配制油墨过程中，设备清洗产生的洗涤废液和废水处理污泥</w:t>
            </w:r>
          </w:p>
        </w:tc>
        <w:tc>
          <w:tcPr>
            <w:tcW w:w="395" w:type="pct"/>
            <w:vAlign w:val="center"/>
          </w:tcPr>
          <w:p w14:paraId="6B413444" w14:textId="77777777" w:rsidR="002E474C" w:rsidRDefault="00000000">
            <w:pPr>
              <w:pStyle w:val="A-"/>
            </w:pPr>
            <w:r>
              <w:t>T</w:t>
            </w:r>
          </w:p>
        </w:tc>
      </w:tr>
      <w:tr w:rsidR="002E474C" w14:paraId="092EDC70" w14:textId="77777777">
        <w:trPr>
          <w:trHeight w:val="240"/>
        </w:trPr>
        <w:tc>
          <w:tcPr>
            <w:tcW w:w="574" w:type="pct"/>
            <w:vMerge/>
            <w:vAlign w:val="center"/>
          </w:tcPr>
          <w:p w14:paraId="089CC21B" w14:textId="77777777" w:rsidR="002E474C" w:rsidRDefault="002E474C">
            <w:pPr>
              <w:pStyle w:val="A-"/>
            </w:pPr>
          </w:p>
        </w:tc>
        <w:tc>
          <w:tcPr>
            <w:tcW w:w="524" w:type="pct"/>
            <w:vMerge/>
            <w:vAlign w:val="center"/>
          </w:tcPr>
          <w:p w14:paraId="00CF2FEC" w14:textId="77777777" w:rsidR="002E474C" w:rsidRDefault="002E474C">
            <w:pPr>
              <w:pStyle w:val="A-"/>
            </w:pPr>
          </w:p>
        </w:tc>
        <w:tc>
          <w:tcPr>
            <w:tcW w:w="372" w:type="pct"/>
            <w:vMerge/>
            <w:vAlign w:val="center"/>
          </w:tcPr>
          <w:p w14:paraId="276E275C" w14:textId="77777777" w:rsidR="002E474C" w:rsidRDefault="002E474C">
            <w:pPr>
              <w:pStyle w:val="A-"/>
            </w:pPr>
          </w:p>
        </w:tc>
        <w:tc>
          <w:tcPr>
            <w:tcW w:w="457" w:type="pct"/>
            <w:vAlign w:val="center"/>
          </w:tcPr>
          <w:p w14:paraId="47E8B7DC" w14:textId="77777777" w:rsidR="002E474C" w:rsidRDefault="00000000">
            <w:pPr>
              <w:pStyle w:val="A-"/>
            </w:pPr>
            <w:r>
              <w:t>264-010-12</w:t>
            </w:r>
          </w:p>
        </w:tc>
        <w:tc>
          <w:tcPr>
            <w:tcW w:w="2678" w:type="pct"/>
            <w:vAlign w:val="center"/>
          </w:tcPr>
          <w:p w14:paraId="45E2442E" w14:textId="77777777" w:rsidR="002E474C" w:rsidRDefault="00000000">
            <w:pPr>
              <w:pStyle w:val="A-"/>
            </w:pPr>
            <w:r>
              <w:t>油墨的生产、配制过程中产生的废蚀刻液</w:t>
            </w:r>
          </w:p>
        </w:tc>
        <w:tc>
          <w:tcPr>
            <w:tcW w:w="395" w:type="pct"/>
            <w:vAlign w:val="center"/>
          </w:tcPr>
          <w:p w14:paraId="145E855C" w14:textId="77777777" w:rsidR="002E474C" w:rsidRDefault="00000000">
            <w:pPr>
              <w:pStyle w:val="A-"/>
            </w:pPr>
            <w:r>
              <w:t>T</w:t>
            </w:r>
          </w:p>
        </w:tc>
      </w:tr>
      <w:tr w:rsidR="002E474C" w14:paraId="3732166E" w14:textId="77777777">
        <w:trPr>
          <w:trHeight w:val="240"/>
        </w:trPr>
        <w:tc>
          <w:tcPr>
            <w:tcW w:w="574" w:type="pct"/>
            <w:vMerge/>
            <w:vAlign w:val="center"/>
          </w:tcPr>
          <w:p w14:paraId="65CB6923" w14:textId="77777777" w:rsidR="002E474C" w:rsidRDefault="002E474C">
            <w:pPr>
              <w:pStyle w:val="A-"/>
            </w:pPr>
          </w:p>
        </w:tc>
        <w:tc>
          <w:tcPr>
            <w:tcW w:w="524" w:type="pct"/>
            <w:vMerge/>
            <w:vAlign w:val="center"/>
          </w:tcPr>
          <w:p w14:paraId="478D4340" w14:textId="77777777" w:rsidR="002E474C" w:rsidRDefault="002E474C">
            <w:pPr>
              <w:pStyle w:val="A-"/>
            </w:pPr>
          </w:p>
        </w:tc>
        <w:tc>
          <w:tcPr>
            <w:tcW w:w="372" w:type="pct"/>
            <w:vMerge/>
            <w:vAlign w:val="center"/>
          </w:tcPr>
          <w:p w14:paraId="1159B86F" w14:textId="77777777" w:rsidR="002E474C" w:rsidRDefault="002E474C">
            <w:pPr>
              <w:pStyle w:val="A-"/>
            </w:pPr>
          </w:p>
        </w:tc>
        <w:tc>
          <w:tcPr>
            <w:tcW w:w="457" w:type="pct"/>
            <w:vAlign w:val="center"/>
          </w:tcPr>
          <w:p w14:paraId="3A05270F" w14:textId="77777777" w:rsidR="002E474C" w:rsidRDefault="00000000">
            <w:pPr>
              <w:pStyle w:val="A-"/>
            </w:pPr>
            <w:r>
              <w:t>264-011-12</w:t>
            </w:r>
          </w:p>
        </w:tc>
        <w:tc>
          <w:tcPr>
            <w:tcW w:w="2678" w:type="pct"/>
            <w:vAlign w:val="center"/>
          </w:tcPr>
          <w:p w14:paraId="72B82EC8" w14:textId="77777777" w:rsidR="002E474C" w:rsidRDefault="00000000">
            <w:pPr>
              <w:pStyle w:val="A-"/>
            </w:pPr>
            <w:r>
              <w:t>其他油墨、染料、颜料、油漆（不包括水性漆）生产过程中产生的废母液、残渣、中间体废物</w:t>
            </w:r>
          </w:p>
        </w:tc>
        <w:tc>
          <w:tcPr>
            <w:tcW w:w="395" w:type="pct"/>
            <w:vAlign w:val="center"/>
          </w:tcPr>
          <w:p w14:paraId="1EE7A1AC" w14:textId="77777777" w:rsidR="002E474C" w:rsidRDefault="00000000">
            <w:pPr>
              <w:pStyle w:val="A-"/>
            </w:pPr>
            <w:r>
              <w:t>T</w:t>
            </w:r>
          </w:p>
        </w:tc>
      </w:tr>
      <w:tr w:rsidR="002E474C" w14:paraId="413D772E" w14:textId="77777777">
        <w:trPr>
          <w:trHeight w:val="240"/>
        </w:trPr>
        <w:tc>
          <w:tcPr>
            <w:tcW w:w="574" w:type="pct"/>
            <w:vMerge/>
            <w:vAlign w:val="center"/>
          </w:tcPr>
          <w:p w14:paraId="179356BA" w14:textId="77777777" w:rsidR="002E474C" w:rsidRDefault="002E474C">
            <w:pPr>
              <w:pStyle w:val="A-"/>
            </w:pPr>
          </w:p>
        </w:tc>
        <w:tc>
          <w:tcPr>
            <w:tcW w:w="524" w:type="pct"/>
            <w:vMerge/>
            <w:vAlign w:val="center"/>
          </w:tcPr>
          <w:p w14:paraId="0A72CC1B" w14:textId="77777777" w:rsidR="002E474C" w:rsidRDefault="002E474C">
            <w:pPr>
              <w:pStyle w:val="A-"/>
            </w:pPr>
          </w:p>
        </w:tc>
        <w:tc>
          <w:tcPr>
            <w:tcW w:w="372" w:type="pct"/>
            <w:vMerge/>
            <w:vAlign w:val="center"/>
          </w:tcPr>
          <w:p w14:paraId="710CD390" w14:textId="77777777" w:rsidR="002E474C" w:rsidRDefault="002E474C">
            <w:pPr>
              <w:pStyle w:val="A-"/>
            </w:pPr>
          </w:p>
        </w:tc>
        <w:tc>
          <w:tcPr>
            <w:tcW w:w="457" w:type="pct"/>
            <w:vAlign w:val="center"/>
          </w:tcPr>
          <w:p w14:paraId="141D3E84" w14:textId="77777777" w:rsidR="002E474C" w:rsidRDefault="00000000">
            <w:pPr>
              <w:pStyle w:val="A-"/>
            </w:pPr>
            <w:r>
              <w:t>264-012-12</w:t>
            </w:r>
          </w:p>
        </w:tc>
        <w:tc>
          <w:tcPr>
            <w:tcW w:w="2678" w:type="pct"/>
            <w:vAlign w:val="center"/>
          </w:tcPr>
          <w:p w14:paraId="40F40387" w14:textId="77777777" w:rsidR="002E474C" w:rsidRDefault="00000000">
            <w:pPr>
              <w:pStyle w:val="A-"/>
            </w:pPr>
            <w:r>
              <w:t>其他油墨、染料、颜料、油漆（不包括水性漆）生产过程中产生的废水处理污泥、废吸附剂</w:t>
            </w:r>
          </w:p>
        </w:tc>
        <w:tc>
          <w:tcPr>
            <w:tcW w:w="395" w:type="pct"/>
            <w:vAlign w:val="center"/>
          </w:tcPr>
          <w:p w14:paraId="6C382702" w14:textId="77777777" w:rsidR="002E474C" w:rsidRDefault="00000000">
            <w:pPr>
              <w:pStyle w:val="A-"/>
            </w:pPr>
            <w:r>
              <w:t>T</w:t>
            </w:r>
          </w:p>
        </w:tc>
      </w:tr>
      <w:tr w:rsidR="002E474C" w14:paraId="2A0248A3" w14:textId="77777777">
        <w:trPr>
          <w:trHeight w:val="240"/>
        </w:trPr>
        <w:tc>
          <w:tcPr>
            <w:tcW w:w="574" w:type="pct"/>
            <w:vMerge/>
            <w:vAlign w:val="center"/>
          </w:tcPr>
          <w:p w14:paraId="6E11F880" w14:textId="77777777" w:rsidR="002E474C" w:rsidRDefault="002E474C">
            <w:pPr>
              <w:pStyle w:val="A-"/>
            </w:pPr>
          </w:p>
        </w:tc>
        <w:tc>
          <w:tcPr>
            <w:tcW w:w="524" w:type="pct"/>
            <w:vMerge/>
            <w:vAlign w:val="center"/>
          </w:tcPr>
          <w:p w14:paraId="427729B5" w14:textId="77777777" w:rsidR="002E474C" w:rsidRDefault="002E474C">
            <w:pPr>
              <w:pStyle w:val="A-"/>
            </w:pPr>
          </w:p>
        </w:tc>
        <w:tc>
          <w:tcPr>
            <w:tcW w:w="372" w:type="pct"/>
            <w:vMerge/>
            <w:vAlign w:val="center"/>
          </w:tcPr>
          <w:p w14:paraId="7087CB1C" w14:textId="77777777" w:rsidR="002E474C" w:rsidRDefault="002E474C">
            <w:pPr>
              <w:pStyle w:val="A-"/>
            </w:pPr>
          </w:p>
        </w:tc>
        <w:tc>
          <w:tcPr>
            <w:tcW w:w="457" w:type="pct"/>
            <w:vAlign w:val="center"/>
          </w:tcPr>
          <w:p w14:paraId="2487E084" w14:textId="77777777" w:rsidR="002E474C" w:rsidRDefault="00000000">
            <w:pPr>
              <w:pStyle w:val="A-"/>
            </w:pPr>
            <w:r>
              <w:t>264-013-12</w:t>
            </w:r>
          </w:p>
        </w:tc>
        <w:tc>
          <w:tcPr>
            <w:tcW w:w="2678" w:type="pct"/>
            <w:vAlign w:val="center"/>
          </w:tcPr>
          <w:p w14:paraId="0BBCFECC" w14:textId="77777777" w:rsidR="002E474C" w:rsidRDefault="00000000">
            <w:pPr>
              <w:pStyle w:val="A-"/>
            </w:pPr>
            <w:r>
              <w:t>油漆、油墨生产、配制和使用过程中产生的含颜料、油墨的有机溶剂废物</w:t>
            </w:r>
          </w:p>
        </w:tc>
        <w:tc>
          <w:tcPr>
            <w:tcW w:w="395" w:type="pct"/>
            <w:vAlign w:val="center"/>
          </w:tcPr>
          <w:p w14:paraId="6C879F97" w14:textId="77777777" w:rsidR="002E474C" w:rsidRDefault="00000000">
            <w:pPr>
              <w:pStyle w:val="A-"/>
            </w:pPr>
            <w:r>
              <w:t>T</w:t>
            </w:r>
          </w:p>
        </w:tc>
      </w:tr>
      <w:tr w:rsidR="002E474C" w14:paraId="222E89F0" w14:textId="77777777">
        <w:trPr>
          <w:trHeight w:val="240"/>
        </w:trPr>
        <w:tc>
          <w:tcPr>
            <w:tcW w:w="574" w:type="pct"/>
            <w:vMerge/>
            <w:vAlign w:val="center"/>
          </w:tcPr>
          <w:p w14:paraId="34A95488" w14:textId="77777777" w:rsidR="002E474C" w:rsidRDefault="002E474C">
            <w:pPr>
              <w:pStyle w:val="A-"/>
            </w:pPr>
          </w:p>
        </w:tc>
        <w:tc>
          <w:tcPr>
            <w:tcW w:w="524" w:type="pct"/>
            <w:vAlign w:val="center"/>
          </w:tcPr>
          <w:p w14:paraId="5F1CAB8A" w14:textId="77777777" w:rsidR="002E474C" w:rsidRDefault="00000000">
            <w:pPr>
              <w:pStyle w:val="A-"/>
            </w:pPr>
            <w:r>
              <w:t>纸浆制造</w:t>
            </w:r>
          </w:p>
        </w:tc>
        <w:tc>
          <w:tcPr>
            <w:tcW w:w="372" w:type="pct"/>
            <w:vAlign w:val="center"/>
          </w:tcPr>
          <w:p w14:paraId="69EDA792" w14:textId="77777777" w:rsidR="002E474C" w:rsidRDefault="00000000">
            <w:pPr>
              <w:pStyle w:val="A-"/>
            </w:pPr>
            <w:bookmarkStart w:id="129" w:name="RANGE!C203"/>
            <w:r>
              <w:t>半固态</w:t>
            </w:r>
          </w:p>
        </w:tc>
        <w:tc>
          <w:tcPr>
            <w:tcW w:w="457" w:type="pct"/>
            <w:vAlign w:val="center"/>
          </w:tcPr>
          <w:p w14:paraId="5D426F18" w14:textId="77777777" w:rsidR="002E474C" w:rsidRDefault="00000000">
            <w:pPr>
              <w:pStyle w:val="A-"/>
            </w:pPr>
            <w:r>
              <w:t>221-001-12</w:t>
            </w:r>
            <w:bookmarkEnd w:id="129"/>
          </w:p>
        </w:tc>
        <w:tc>
          <w:tcPr>
            <w:tcW w:w="2678" w:type="pct"/>
            <w:vAlign w:val="center"/>
          </w:tcPr>
          <w:p w14:paraId="58ACCA80" w14:textId="77777777" w:rsidR="002E474C" w:rsidRDefault="00000000">
            <w:pPr>
              <w:pStyle w:val="A-"/>
            </w:pPr>
            <w:r>
              <w:t>废纸回收利用处理过程中产生的脱墨渣</w:t>
            </w:r>
          </w:p>
        </w:tc>
        <w:tc>
          <w:tcPr>
            <w:tcW w:w="395" w:type="pct"/>
            <w:vAlign w:val="center"/>
          </w:tcPr>
          <w:p w14:paraId="77E18815" w14:textId="77777777" w:rsidR="002E474C" w:rsidRDefault="00000000">
            <w:pPr>
              <w:pStyle w:val="A-"/>
            </w:pPr>
            <w:r>
              <w:t>T</w:t>
            </w:r>
          </w:p>
        </w:tc>
      </w:tr>
      <w:tr w:rsidR="002E474C" w14:paraId="562DD9C5" w14:textId="77777777">
        <w:trPr>
          <w:trHeight w:val="240"/>
        </w:trPr>
        <w:tc>
          <w:tcPr>
            <w:tcW w:w="574" w:type="pct"/>
            <w:vMerge/>
            <w:vAlign w:val="center"/>
          </w:tcPr>
          <w:p w14:paraId="6E6E7CD9" w14:textId="77777777" w:rsidR="002E474C" w:rsidRDefault="002E474C">
            <w:pPr>
              <w:pStyle w:val="A-"/>
            </w:pPr>
          </w:p>
        </w:tc>
        <w:tc>
          <w:tcPr>
            <w:tcW w:w="524" w:type="pct"/>
            <w:vMerge w:val="restart"/>
            <w:vAlign w:val="center"/>
          </w:tcPr>
          <w:p w14:paraId="1FB887AC" w14:textId="77777777" w:rsidR="002E474C" w:rsidRDefault="00000000">
            <w:pPr>
              <w:pStyle w:val="A-"/>
            </w:pPr>
            <w:r>
              <w:t>非特定行业</w:t>
            </w:r>
          </w:p>
        </w:tc>
        <w:tc>
          <w:tcPr>
            <w:tcW w:w="372" w:type="pct"/>
            <w:vMerge w:val="restart"/>
            <w:vAlign w:val="center"/>
          </w:tcPr>
          <w:p w14:paraId="05398843" w14:textId="77777777" w:rsidR="002E474C" w:rsidRDefault="00000000">
            <w:pPr>
              <w:pStyle w:val="A-"/>
              <w:ind w:leftChars="-25" w:left="-53" w:rightChars="-25" w:right="-53"/>
            </w:pPr>
            <w:r>
              <w:t>固态、液态</w:t>
            </w:r>
          </w:p>
        </w:tc>
        <w:tc>
          <w:tcPr>
            <w:tcW w:w="457" w:type="pct"/>
            <w:vAlign w:val="center"/>
          </w:tcPr>
          <w:p w14:paraId="0B2D1D5A" w14:textId="77777777" w:rsidR="002E474C" w:rsidRDefault="00000000">
            <w:pPr>
              <w:pStyle w:val="A-"/>
            </w:pPr>
            <w:r>
              <w:t>900-250-12</w:t>
            </w:r>
          </w:p>
        </w:tc>
        <w:tc>
          <w:tcPr>
            <w:tcW w:w="2678" w:type="pct"/>
            <w:vAlign w:val="center"/>
          </w:tcPr>
          <w:p w14:paraId="5CCBC336" w14:textId="77777777" w:rsidR="002E474C" w:rsidRDefault="00000000">
            <w:pPr>
              <w:pStyle w:val="A-"/>
            </w:pPr>
            <w:r>
              <w:t>使用有机溶剂、光漆进行光漆涂布、喷漆工艺过程中产生的废物</w:t>
            </w:r>
          </w:p>
        </w:tc>
        <w:tc>
          <w:tcPr>
            <w:tcW w:w="395" w:type="pct"/>
            <w:vAlign w:val="center"/>
          </w:tcPr>
          <w:p w14:paraId="100CCD54" w14:textId="77777777" w:rsidR="002E474C" w:rsidRDefault="00000000">
            <w:pPr>
              <w:pStyle w:val="A-"/>
            </w:pPr>
            <w:r>
              <w:t>T</w:t>
            </w:r>
            <w:r>
              <w:t>，</w:t>
            </w:r>
            <w:r>
              <w:t>I</w:t>
            </w:r>
          </w:p>
        </w:tc>
      </w:tr>
      <w:tr w:rsidR="002E474C" w14:paraId="5A80A69B" w14:textId="77777777">
        <w:trPr>
          <w:trHeight w:val="240"/>
        </w:trPr>
        <w:tc>
          <w:tcPr>
            <w:tcW w:w="574" w:type="pct"/>
            <w:vMerge/>
            <w:vAlign w:val="center"/>
          </w:tcPr>
          <w:p w14:paraId="380834A2" w14:textId="77777777" w:rsidR="002E474C" w:rsidRDefault="002E474C">
            <w:pPr>
              <w:pStyle w:val="A-"/>
            </w:pPr>
          </w:p>
        </w:tc>
        <w:tc>
          <w:tcPr>
            <w:tcW w:w="524" w:type="pct"/>
            <w:vMerge/>
            <w:vAlign w:val="center"/>
          </w:tcPr>
          <w:p w14:paraId="2DD7EB11" w14:textId="77777777" w:rsidR="002E474C" w:rsidRDefault="002E474C">
            <w:pPr>
              <w:pStyle w:val="A-"/>
            </w:pPr>
          </w:p>
        </w:tc>
        <w:tc>
          <w:tcPr>
            <w:tcW w:w="372" w:type="pct"/>
            <w:vMerge/>
            <w:vAlign w:val="center"/>
          </w:tcPr>
          <w:p w14:paraId="4F61B834" w14:textId="77777777" w:rsidR="002E474C" w:rsidRDefault="002E474C">
            <w:pPr>
              <w:pStyle w:val="A-"/>
            </w:pPr>
          </w:p>
        </w:tc>
        <w:tc>
          <w:tcPr>
            <w:tcW w:w="457" w:type="pct"/>
            <w:vAlign w:val="center"/>
          </w:tcPr>
          <w:p w14:paraId="72E4723D" w14:textId="77777777" w:rsidR="002E474C" w:rsidRDefault="00000000">
            <w:pPr>
              <w:pStyle w:val="A-"/>
            </w:pPr>
            <w:r>
              <w:t>900-251-12</w:t>
            </w:r>
          </w:p>
        </w:tc>
        <w:tc>
          <w:tcPr>
            <w:tcW w:w="2678" w:type="pct"/>
            <w:vAlign w:val="center"/>
          </w:tcPr>
          <w:p w14:paraId="40FF75B6" w14:textId="77777777" w:rsidR="002E474C" w:rsidRDefault="00000000">
            <w:pPr>
              <w:pStyle w:val="A-"/>
            </w:pPr>
            <w:r>
              <w:t>使用油漆（不包括水性漆）、有机溶剂进行阻挡层涂敷过程中产生的废物</w:t>
            </w:r>
          </w:p>
        </w:tc>
        <w:tc>
          <w:tcPr>
            <w:tcW w:w="395" w:type="pct"/>
            <w:vAlign w:val="center"/>
          </w:tcPr>
          <w:p w14:paraId="2353A228" w14:textId="77777777" w:rsidR="002E474C" w:rsidRDefault="00000000">
            <w:pPr>
              <w:pStyle w:val="A-"/>
            </w:pPr>
            <w:r>
              <w:t>T</w:t>
            </w:r>
            <w:r>
              <w:t>，</w:t>
            </w:r>
            <w:r>
              <w:t>I</w:t>
            </w:r>
          </w:p>
        </w:tc>
      </w:tr>
      <w:tr w:rsidR="002E474C" w14:paraId="5B6D1345" w14:textId="77777777">
        <w:trPr>
          <w:trHeight w:val="240"/>
        </w:trPr>
        <w:tc>
          <w:tcPr>
            <w:tcW w:w="574" w:type="pct"/>
            <w:vMerge/>
            <w:vAlign w:val="center"/>
          </w:tcPr>
          <w:p w14:paraId="14846C7E" w14:textId="77777777" w:rsidR="002E474C" w:rsidRDefault="002E474C">
            <w:pPr>
              <w:pStyle w:val="A-"/>
            </w:pPr>
          </w:p>
        </w:tc>
        <w:tc>
          <w:tcPr>
            <w:tcW w:w="524" w:type="pct"/>
            <w:vMerge/>
            <w:vAlign w:val="center"/>
          </w:tcPr>
          <w:p w14:paraId="3742CBA1" w14:textId="77777777" w:rsidR="002E474C" w:rsidRDefault="002E474C">
            <w:pPr>
              <w:pStyle w:val="A-"/>
            </w:pPr>
          </w:p>
        </w:tc>
        <w:tc>
          <w:tcPr>
            <w:tcW w:w="372" w:type="pct"/>
            <w:vMerge/>
            <w:vAlign w:val="center"/>
          </w:tcPr>
          <w:p w14:paraId="188ABFA0" w14:textId="77777777" w:rsidR="002E474C" w:rsidRDefault="002E474C">
            <w:pPr>
              <w:pStyle w:val="A-"/>
            </w:pPr>
          </w:p>
        </w:tc>
        <w:tc>
          <w:tcPr>
            <w:tcW w:w="457" w:type="pct"/>
            <w:vAlign w:val="center"/>
          </w:tcPr>
          <w:p w14:paraId="1DE61254" w14:textId="77777777" w:rsidR="002E474C" w:rsidRDefault="00000000">
            <w:pPr>
              <w:pStyle w:val="A-"/>
            </w:pPr>
            <w:r>
              <w:t>900-252-12</w:t>
            </w:r>
          </w:p>
        </w:tc>
        <w:tc>
          <w:tcPr>
            <w:tcW w:w="2678" w:type="pct"/>
            <w:vAlign w:val="center"/>
          </w:tcPr>
          <w:p w14:paraId="1E59D2A5" w14:textId="77777777" w:rsidR="002E474C" w:rsidRDefault="00000000">
            <w:pPr>
              <w:pStyle w:val="A-"/>
            </w:pPr>
            <w:r>
              <w:t>使用油漆（不包括水性漆）、有机溶剂进行喷漆、上漆过程中产生的废物</w:t>
            </w:r>
          </w:p>
        </w:tc>
        <w:tc>
          <w:tcPr>
            <w:tcW w:w="395" w:type="pct"/>
            <w:vAlign w:val="center"/>
          </w:tcPr>
          <w:p w14:paraId="76F2CB45" w14:textId="77777777" w:rsidR="002E474C" w:rsidRDefault="00000000">
            <w:pPr>
              <w:pStyle w:val="A-"/>
            </w:pPr>
            <w:r>
              <w:t>T</w:t>
            </w:r>
            <w:r>
              <w:t>，</w:t>
            </w:r>
            <w:r>
              <w:t>I</w:t>
            </w:r>
          </w:p>
        </w:tc>
      </w:tr>
      <w:tr w:rsidR="002E474C" w14:paraId="6868359E" w14:textId="77777777">
        <w:trPr>
          <w:trHeight w:val="240"/>
        </w:trPr>
        <w:tc>
          <w:tcPr>
            <w:tcW w:w="574" w:type="pct"/>
            <w:vMerge/>
            <w:vAlign w:val="center"/>
          </w:tcPr>
          <w:p w14:paraId="02892BFE" w14:textId="77777777" w:rsidR="002E474C" w:rsidRDefault="002E474C">
            <w:pPr>
              <w:pStyle w:val="A-"/>
            </w:pPr>
          </w:p>
        </w:tc>
        <w:tc>
          <w:tcPr>
            <w:tcW w:w="524" w:type="pct"/>
            <w:vMerge/>
            <w:vAlign w:val="center"/>
          </w:tcPr>
          <w:p w14:paraId="63694E4B" w14:textId="77777777" w:rsidR="002E474C" w:rsidRDefault="002E474C">
            <w:pPr>
              <w:pStyle w:val="A-"/>
            </w:pPr>
          </w:p>
        </w:tc>
        <w:tc>
          <w:tcPr>
            <w:tcW w:w="372" w:type="pct"/>
            <w:vMerge/>
            <w:vAlign w:val="center"/>
          </w:tcPr>
          <w:p w14:paraId="59ED74BB" w14:textId="77777777" w:rsidR="002E474C" w:rsidRDefault="002E474C">
            <w:pPr>
              <w:pStyle w:val="A-"/>
            </w:pPr>
          </w:p>
        </w:tc>
        <w:tc>
          <w:tcPr>
            <w:tcW w:w="457" w:type="pct"/>
            <w:vAlign w:val="center"/>
          </w:tcPr>
          <w:p w14:paraId="05A4007B" w14:textId="77777777" w:rsidR="002E474C" w:rsidRDefault="00000000">
            <w:pPr>
              <w:pStyle w:val="A-"/>
            </w:pPr>
            <w:r>
              <w:t>900-253-12</w:t>
            </w:r>
          </w:p>
        </w:tc>
        <w:tc>
          <w:tcPr>
            <w:tcW w:w="2678" w:type="pct"/>
            <w:vAlign w:val="center"/>
          </w:tcPr>
          <w:p w14:paraId="7FB31A4A" w14:textId="77777777" w:rsidR="002E474C" w:rsidRDefault="00000000">
            <w:pPr>
              <w:pStyle w:val="A-"/>
            </w:pPr>
            <w:r>
              <w:t>使用油墨和有机溶剂进行丝网印刷过程中产生的废物</w:t>
            </w:r>
          </w:p>
        </w:tc>
        <w:tc>
          <w:tcPr>
            <w:tcW w:w="395" w:type="pct"/>
            <w:vAlign w:val="center"/>
          </w:tcPr>
          <w:p w14:paraId="15047E26" w14:textId="77777777" w:rsidR="002E474C" w:rsidRDefault="00000000">
            <w:pPr>
              <w:pStyle w:val="A-"/>
            </w:pPr>
            <w:r>
              <w:t>T</w:t>
            </w:r>
            <w:r>
              <w:t>，</w:t>
            </w:r>
            <w:r>
              <w:t>I</w:t>
            </w:r>
          </w:p>
        </w:tc>
      </w:tr>
      <w:tr w:rsidR="002E474C" w14:paraId="2AE618BA" w14:textId="77777777">
        <w:trPr>
          <w:trHeight w:val="240"/>
        </w:trPr>
        <w:tc>
          <w:tcPr>
            <w:tcW w:w="574" w:type="pct"/>
            <w:vMerge/>
            <w:vAlign w:val="center"/>
          </w:tcPr>
          <w:p w14:paraId="00DDE8FC" w14:textId="77777777" w:rsidR="002E474C" w:rsidRDefault="002E474C">
            <w:pPr>
              <w:pStyle w:val="A-"/>
            </w:pPr>
          </w:p>
        </w:tc>
        <w:tc>
          <w:tcPr>
            <w:tcW w:w="524" w:type="pct"/>
            <w:vMerge/>
            <w:vAlign w:val="center"/>
          </w:tcPr>
          <w:p w14:paraId="5C3FC551" w14:textId="77777777" w:rsidR="002E474C" w:rsidRDefault="002E474C">
            <w:pPr>
              <w:pStyle w:val="A-"/>
            </w:pPr>
          </w:p>
        </w:tc>
        <w:tc>
          <w:tcPr>
            <w:tcW w:w="372" w:type="pct"/>
            <w:vMerge/>
            <w:vAlign w:val="center"/>
          </w:tcPr>
          <w:p w14:paraId="15818FFE" w14:textId="77777777" w:rsidR="002E474C" w:rsidRDefault="002E474C">
            <w:pPr>
              <w:pStyle w:val="A-"/>
            </w:pPr>
          </w:p>
        </w:tc>
        <w:tc>
          <w:tcPr>
            <w:tcW w:w="457" w:type="pct"/>
            <w:vAlign w:val="center"/>
          </w:tcPr>
          <w:p w14:paraId="267DC0DE" w14:textId="77777777" w:rsidR="002E474C" w:rsidRDefault="00000000">
            <w:pPr>
              <w:pStyle w:val="A-"/>
            </w:pPr>
            <w:r>
              <w:t>900-254-12</w:t>
            </w:r>
          </w:p>
        </w:tc>
        <w:tc>
          <w:tcPr>
            <w:tcW w:w="2678" w:type="pct"/>
            <w:vAlign w:val="center"/>
          </w:tcPr>
          <w:p w14:paraId="415CC3F7" w14:textId="77777777" w:rsidR="002E474C" w:rsidRDefault="00000000">
            <w:pPr>
              <w:pStyle w:val="A-"/>
            </w:pPr>
            <w:r>
              <w:t>使用遮盖油、有机溶剂进行遮盖油的涂敷过程中产生的废物</w:t>
            </w:r>
          </w:p>
        </w:tc>
        <w:tc>
          <w:tcPr>
            <w:tcW w:w="395" w:type="pct"/>
            <w:vAlign w:val="center"/>
          </w:tcPr>
          <w:p w14:paraId="1ED6A0DE" w14:textId="77777777" w:rsidR="002E474C" w:rsidRDefault="00000000">
            <w:pPr>
              <w:pStyle w:val="A-"/>
            </w:pPr>
            <w:r>
              <w:t>T</w:t>
            </w:r>
            <w:r>
              <w:t>，</w:t>
            </w:r>
            <w:r>
              <w:t>I</w:t>
            </w:r>
          </w:p>
        </w:tc>
      </w:tr>
      <w:tr w:rsidR="002E474C" w14:paraId="5705F04F" w14:textId="77777777">
        <w:trPr>
          <w:trHeight w:val="240"/>
        </w:trPr>
        <w:tc>
          <w:tcPr>
            <w:tcW w:w="574" w:type="pct"/>
            <w:vMerge/>
            <w:vAlign w:val="center"/>
          </w:tcPr>
          <w:p w14:paraId="584F5443" w14:textId="77777777" w:rsidR="002E474C" w:rsidRDefault="002E474C">
            <w:pPr>
              <w:pStyle w:val="A-"/>
            </w:pPr>
          </w:p>
        </w:tc>
        <w:tc>
          <w:tcPr>
            <w:tcW w:w="524" w:type="pct"/>
            <w:vMerge/>
            <w:vAlign w:val="center"/>
          </w:tcPr>
          <w:p w14:paraId="76606D1F" w14:textId="77777777" w:rsidR="002E474C" w:rsidRDefault="002E474C">
            <w:pPr>
              <w:pStyle w:val="A-"/>
            </w:pPr>
          </w:p>
        </w:tc>
        <w:tc>
          <w:tcPr>
            <w:tcW w:w="372" w:type="pct"/>
            <w:vMerge/>
            <w:vAlign w:val="center"/>
          </w:tcPr>
          <w:p w14:paraId="6C4735D8" w14:textId="77777777" w:rsidR="002E474C" w:rsidRDefault="002E474C">
            <w:pPr>
              <w:pStyle w:val="A-"/>
            </w:pPr>
          </w:p>
        </w:tc>
        <w:tc>
          <w:tcPr>
            <w:tcW w:w="457" w:type="pct"/>
            <w:vAlign w:val="center"/>
          </w:tcPr>
          <w:p w14:paraId="02E99BC7" w14:textId="77777777" w:rsidR="002E474C" w:rsidRDefault="00000000">
            <w:pPr>
              <w:pStyle w:val="A-"/>
            </w:pPr>
            <w:r>
              <w:t>900-255-12</w:t>
            </w:r>
          </w:p>
        </w:tc>
        <w:tc>
          <w:tcPr>
            <w:tcW w:w="2678" w:type="pct"/>
            <w:vAlign w:val="center"/>
          </w:tcPr>
          <w:p w14:paraId="5709E1F4" w14:textId="77777777" w:rsidR="002E474C" w:rsidRDefault="00000000">
            <w:pPr>
              <w:pStyle w:val="A-"/>
            </w:pPr>
            <w:r>
              <w:t>使用各种颜料进行着色过程中产生的废颜料</w:t>
            </w:r>
          </w:p>
        </w:tc>
        <w:tc>
          <w:tcPr>
            <w:tcW w:w="395" w:type="pct"/>
            <w:vAlign w:val="center"/>
          </w:tcPr>
          <w:p w14:paraId="312E447B" w14:textId="77777777" w:rsidR="002E474C" w:rsidRDefault="00000000">
            <w:pPr>
              <w:pStyle w:val="A-"/>
            </w:pPr>
            <w:r>
              <w:t>T</w:t>
            </w:r>
          </w:p>
        </w:tc>
      </w:tr>
      <w:tr w:rsidR="002E474C" w14:paraId="446023EF" w14:textId="77777777">
        <w:trPr>
          <w:trHeight w:val="240"/>
        </w:trPr>
        <w:tc>
          <w:tcPr>
            <w:tcW w:w="574" w:type="pct"/>
            <w:vMerge/>
            <w:vAlign w:val="center"/>
          </w:tcPr>
          <w:p w14:paraId="19E0E76F" w14:textId="77777777" w:rsidR="002E474C" w:rsidRDefault="002E474C">
            <w:pPr>
              <w:pStyle w:val="A-"/>
            </w:pPr>
          </w:p>
        </w:tc>
        <w:tc>
          <w:tcPr>
            <w:tcW w:w="524" w:type="pct"/>
            <w:vMerge/>
            <w:vAlign w:val="center"/>
          </w:tcPr>
          <w:p w14:paraId="641B53E8" w14:textId="77777777" w:rsidR="002E474C" w:rsidRDefault="002E474C">
            <w:pPr>
              <w:pStyle w:val="A-"/>
            </w:pPr>
          </w:p>
        </w:tc>
        <w:tc>
          <w:tcPr>
            <w:tcW w:w="372" w:type="pct"/>
            <w:vMerge/>
            <w:vAlign w:val="center"/>
          </w:tcPr>
          <w:p w14:paraId="076EC92C" w14:textId="77777777" w:rsidR="002E474C" w:rsidRDefault="002E474C">
            <w:pPr>
              <w:pStyle w:val="A-"/>
            </w:pPr>
          </w:p>
        </w:tc>
        <w:tc>
          <w:tcPr>
            <w:tcW w:w="457" w:type="pct"/>
            <w:vAlign w:val="center"/>
          </w:tcPr>
          <w:p w14:paraId="402840F3" w14:textId="77777777" w:rsidR="002E474C" w:rsidRDefault="00000000">
            <w:pPr>
              <w:pStyle w:val="A-"/>
            </w:pPr>
            <w:r>
              <w:t>900-256-12</w:t>
            </w:r>
          </w:p>
        </w:tc>
        <w:tc>
          <w:tcPr>
            <w:tcW w:w="2678" w:type="pct"/>
            <w:vAlign w:val="center"/>
          </w:tcPr>
          <w:p w14:paraId="63508B4F" w14:textId="77777777" w:rsidR="002E474C" w:rsidRDefault="00000000">
            <w:pPr>
              <w:pStyle w:val="A-"/>
            </w:pPr>
            <w:r>
              <w:t>使用酸、碱或有机溶剂清洗容器设备过程中剥离下的废油漆、染料、涂料</w:t>
            </w:r>
          </w:p>
        </w:tc>
        <w:tc>
          <w:tcPr>
            <w:tcW w:w="395" w:type="pct"/>
            <w:vAlign w:val="center"/>
          </w:tcPr>
          <w:p w14:paraId="23FD3828" w14:textId="77777777" w:rsidR="002E474C" w:rsidRDefault="00000000">
            <w:pPr>
              <w:pStyle w:val="A-"/>
            </w:pPr>
            <w:r>
              <w:t>T</w:t>
            </w:r>
          </w:p>
        </w:tc>
      </w:tr>
      <w:tr w:rsidR="002E474C" w14:paraId="676AA173" w14:textId="77777777">
        <w:trPr>
          <w:trHeight w:val="240"/>
        </w:trPr>
        <w:tc>
          <w:tcPr>
            <w:tcW w:w="574" w:type="pct"/>
            <w:vMerge/>
            <w:vAlign w:val="center"/>
          </w:tcPr>
          <w:p w14:paraId="374F53A7" w14:textId="77777777" w:rsidR="002E474C" w:rsidRDefault="002E474C">
            <w:pPr>
              <w:pStyle w:val="A-"/>
            </w:pPr>
          </w:p>
        </w:tc>
        <w:tc>
          <w:tcPr>
            <w:tcW w:w="524" w:type="pct"/>
            <w:vMerge/>
            <w:vAlign w:val="center"/>
          </w:tcPr>
          <w:p w14:paraId="7949009C" w14:textId="77777777" w:rsidR="002E474C" w:rsidRDefault="002E474C">
            <w:pPr>
              <w:pStyle w:val="A-"/>
            </w:pPr>
          </w:p>
        </w:tc>
        <w:tc>
          <w:tcPr>
            <w:tcW w:w="372" w:type="pct"/>
            <w:vMerge/>
            <w:vAlign w:val="center"/>
          </w:tcPr>
          <w:p w14:paraId="00A963CD" w14:textId="77777777" w:rsidR="002E474C" w:rsidRDefault="002E474C">
            <w:pPr>
              <w:pStyle w:val="A-"/>
            </w:pPr>
          </w:p>
        </w:tc>
        <w:tc>
          <w:tcPr>
            <w:tcW w:w="457" w:type="pct"/>
            <w:vAlign w:val="center"/>
          </w:tcPr>
          <w:p w14:paraId="7D665E26" w14:textId="77777777" w:rsidR="002E474C" w:rsidRDefault="00000000">
            <w:pPr>
              <w:pStyle w:val="A-"/>
            </w:pPr>
            <w:r>
              <w:t>900-299-12</w:t>
            </w:r>
          </w:p>
        </w:tc>
        <w:tc>
          <w:tcPr>
            <w:tcW w:w="2678" w:type="pct"/>
            <w:vAlign w:val="center"/>
          </w:tcPr>
          <w:p w14:paraId="5B36DE3A" w14:textId="77777777" w:rsidR="002E474C" w:rsidRDefault="00000000">
            <w:pPr>
              <w:pStyle w:val="A-"/>
            </w:pPr>
            <w:r>
              <w:t>生产、销售及使用过程中产生的失效、变质、不合格、淘汰、伪劣的油墨、染</w:t>
            </w:r>
            <w:r>
              <w:lastRenderedPageBreak/>
              <w:t>料、颜料、油漆</w:t>
            </w:r>
          </w:p>
        </w:tc>
        <w:tc>
          <w:tcPr>
            <w:tcW w:w="395" w:type="pct"/>
            <w:vAlign w:val="center"/>
          </w:tcPr>
          <w:p w14:paraId="62F83734" w14:textId="77777777" w:rsidR="002E474C" w:rsidRDefault="00000000">
            <w:pPr>
              <w:pStyle w:val="A-"/>
            </w:pPr>
            <w:r>
              <w:lastRenderedPageBreak/>
              <w:t>T</w:t>
            </w:r>
          </w:p>
        </w:tc>
      </w:tr>
      <w:tr w:rsidR="002E474C" w14:paraId="453EA64F" w14:textId="77777777">
        <w:trPr>
          <w:trHeight w:val="240"/>
        </w:trPr>
        <w:tc>
          <w:tcPr>
            <w:tcW w:w="574" w:type="pct"/>
            <w:vMerge w:val="restart"/>
            <w:vAlign w:val="center"/>
          </w:tcPr>
          <w:p w14:paraId="00C0B7A3" w14:textId="77777777" w:rsidR="002E474C" w:rsidRDefault="00000000">
            <w:pPr>
              <w:pStyle w:val="A-"/>
            </w:pPr>
            <w:r>
              <w:t>HW13</w:t>
            </w:r>
          </w:p>
          <w:p w14:paraId="7C51892E" w14:textId="77777777" w:rsidR="002E474C" w:rsidRDefault="00000000">
            <w:pPr>
              <w:pStyle w:val="A-"/>
            </w:pPr>
            <w:r>
              <w:t>有机树脂类</w:t>
            </w:r>
          </w:p>
          <w:p w14:paraId="5F08A6EA" w14:textId="77777777" w:rsidR="002E474C" w:rsidRDefault="00000000">
            <w:pPr>
              <w:pStyle w:val="A-"/>
            </w:pPr>
            <w:r>
              <w:t>废物</w:t>
            </w:r>
          </w:p>
        </w:tc>
        <w:tc>
          <w:tcPr>
            <w:tcW w:w="524" w:type="pct"/>
            <w:vMerge w:val="restart"/>
            <w:vAlign w:val="center"/>
          </w:tcPr>
          <w:p w14:paraId="69F85877" w14:textId="77777777" w:rsidR="002E474C" w:rsidRDefault="00000000">
            <w:pPr>
              <w:pStyle w:val="A-"/>
            </w:pPr>
            <w:r>
              <w:t>合成材料制造</w:t>
            </w:r>
          </w:p>
        </w:tc>
        <w:tc>
          <w:tcPr>
            <w:tcW w:w="372" w:type="pct"/>
            <w:vMerge w:val="restart"/>
            <w:vAlign w:val="center"/>
          </w:tcPr>
          <w:p w14:paraId="7766B7ED" w14:textId="77777777" w:rsidR="002E474C" w:rsidRDefault="00000000">
            <w:pPr>
              <w:pStyle w:val="A-"/>
            </w:pPr>
            <w:r>
              <w:t>半固态、液态</w:t>
            </w:r>
          </w:p>
        </w:tc>
        <w:tc>
          <w:tcPr>
            <w:tcW w:w="457" w:type="pct"/>
            <w:vAlign w:val="center"/>
          </w:tcPr>
          <w:p w14:paraId="3AAAF21D" w14:textId="77777777" w:rsidR="002E474C" w:rsidRDefault="00000000">
            <w:pPr>
              <w:pStyle w:val="A-"/>
            </w:pPr>
            <w:r>
              <w:t>265-101-13</w:t>
            </w:r>
          </w:p>
        </w:tc>
        <w:tc>
          <w:tcPr>
            <w:tcW w:w="2678" w:type="pct"/>
            <w:vAlign w:val="center"/>
          </w:tcPr>
          <w:p w14:paraId="4B17157B" w14:textId="77777777" w:rsidR="002E474C" w:rsidRDefault="00000000">
            <w:pPr>
              <w:pStyle w:val="A-"/>
            </w:pPr>
            <w:r>
              <w:t>树脂、乳胶、增塑剂、胶水</w:t>
            </w:r>
            <w:r>
              <w:t>/</w:t>
            </w:r>
            <w:r>
              <w:t>胶合剂生产过程中产生的不合格产品</w:t>
            </w:r>
          </w:p>
        </w:tc>
        <w:tc>
          <w:tcPr>
            <w:tcW w:w="395" w:type="pct"/>
            <w:vAlign w:val="center"/>
          </w:tcPr>
          <w:p w14:paraId="4F9FEC72" w14:textId="77777777" w:rsidR="002E474C" w:rsidRDefault="00000000">
            <w:pPr>
              <w:pStyle w:val="A-"/>
            </w:pPr>
            <w:r>
              <w:t>T</w:t>
            </w:r>
          </w:p>
        </w:tc>
      </w:tr>
      <w:tr w:rsidR="002E474C" w14:paraId="7CA91DB3" w14:textId="77777777">
        <w:trPr>
          <w:trHeight w:val="240"/>
        </w:trPr>
        <w:tc>
          <w:tcPr>
            <w:tcW w:w="574" w:type="pct"/>
            <w:vMerge/>
            <w:vAlign w:val="center"/>
          </w:tcPr>
          <w:p w14:paraId="0F7EF6D3" w14:textId="77777777" w:rsidR="002E474C" w:rsidRDefault="002E474C">
            <w:pPr>
              <w:pStyle w:val="A-"/>
            </w:pPr>
          </w:p>
        </w:tc>
        <w:tc>
          <w:tcPr>
            <w:tcW w:w="524" w:type="pct"/>
            <w:vMerge/>
            <w:vAlign w:val="center"/>
          </w:tcPr>
          <w:p w14:paraId="14CFB321" w14:textId="77777777" w:rsidR="002E474C" w:rsidRDefault="002E474C">
            <w:pPr>
              <w:pStyle w:val="A-"/>
            </w:pPr>
          </w:p>
        </w:tc>
        <w:tc>
          <w:tcPr>
            <w:tcW w:w="372" w:type="pct"/>
            <w:vMerge/>
            <w:vAlign w:val="center"/>
          </w:tcPr>
          <w:p w14:paraId="7F17AE7C" w14:textId="77777777" w:rsidR="002E474C" w:rsidRDefault="002E474C">
            <w:pPr>
              <w:pStyle w:val="A-"/>
            </w:pPr>
          </w:p>
        </w:tc>
        <w:tc>
          <w:tcPr>
            <w:tcW w:w="457" w:type="pct"/>
            <w:vAlign w:val="center"/>
          </w:tcPr>
          <w:p w14:paraId="4A8DBF69" w14:textId="77777777" w:rsidR="002E474C" w:rsidRDefault="00000000">
            <w:pPr>
              <w:pStyle w:val="A-"/>
            </w:pPr>
            <w:r>
              <w:t>265-102-13</w:t>
            </w:r>
          </w:p>
        </w:tc>
        <w:tc>
          <w:tcPr>
            <w:tcW w:w="2678" w:type="pct"/>
            <w:vAlign w:val="center"/>
          </w:tcPr>
          <w:p w14:paraId="3AF4FC6E" w14:textId="77777777" w:rsidR="002E474C" w:rsidRDefault="00000000">
            <w:pPr>
              <w:pStyle w:val="A-"/>
            </w:pPr>
            <w:r>
              <w:t>树脂、乳胶、增塑剂、胶水</w:t>
            </w:r>
            <w:r>
              <w:t>/</w:t>
            </w:r>
            <w:r>
              <w:t>胶合剂生产过程中合成、酯化、缩合等工序产生的废母液</w:t>
            </w:r>
          </w:p>
        </w:tc>
        <w:tc>
          <w:tcPr>
            <w:tcW w:w="395" w:type="pct"/>
            <w:vAlign w:val="center"/>
          </w:tcPr>
          <w:p w14:paraId="6384E745" w14:textId="77777777" w:rsidR="002E474C" w:rsidRDefault="00000000">
            <w:pPr>
              <w:pStyle w:val="A-"/>
            </w:pPr>
            <w:r>
              <w:t>T</w:t>
            </w:r>
          </w:p>
        </w:tc>
      </w:tr>
      <w:tr w:rsidR="002E474C" w14:paraId="0051A2C7" w14:textId="77777777">
        <w:trPr>
          <w:trHeight w:val="240"/>
        </w:trPr>
        <w:tc>
          <w:tcPr>
            <w:tcW w:w="574" w:type="pct"/>
            <w:vMerge/>
            <w:vAlign w:val="center"/>
          </w:tcPr>
          <w:p w14:paraId="7EE561D9" w14:textId="77777777" w:rsidR="002E474C" w:rsidRDefault="002E474C">
            <w:pPr>
              <w:pStyle w:val="A-"/>
            </w:pPr>
          </w:p>
        </w:tc>
        <w:tc>
          <w:tcPr>
            <w:tcW w:w="524" w:type="pct"/>
            <w:vMerge/>
            <w:vAlign w:val="center"/>
          </w:tcPr>
          <w:p w14:paraId="40E7AB8E" w14:textId="77777777" w:rsidR="002E474C" w:rsidRDefault="002E474C">
            <w:pPr>
              <w:pStyle w:val="A-"/>
            </w:pPr>
          </w:p>
        </w:tc>
        <w:tc>
          <w:tcPr>
            <w:tcW w:w="372" w:type="pct"/>
            <w:vMerge/>
            <w:vAlign w:val="center"/>
          </w:tcPr>
          <w:p w14:paraId="12AD4BD1" w14:textId="77777777" w:rsidR="002E474C" w:rsidRDefault="002E474C">
            <w:pPr>
              <w:pStyle w:val="A-"/>
            </w:pPr>
          </w:p>
        </w:tc>
        <w:tc>
          <w:tcPr>
            <w:tcW w:w="457" w:type="pct"/>
            <w:vAlign w:val="center"/>
          </w:tcPr>
          <w:p w14:paraId="1D42539D" w14:textId="77777777" w:rsidR="002E474C" w:rsidRDefault="00000000">
            <w:pPr>
              <w:pStyle w:val="A-"/>
            </w:pPr>
            <w:r>
              <w:t>265-103-13</w:t>
            </w:r>
          </w:p>
        </w:tc>
        <w:tc>
          <w:tcPr>
            <w:tcW w:w="2678" w:type="pct"/>
            <w:vAlign w:val="center"/>
          </w:tcPr>
          <w:p w14:paraId="148E7AD7" w14:textId="77777777" w:rsidR="002E474C" w:rsidRDefault="00000000">
            <w:pPr>
              <w:pStyle w:val="A-"/>
            </w:pPr>
            <w:r>
              <w:t>树脂、乳胶、增塑剂、胶水</w:t>
            </w:r>
            <w:r>
              <w:t>/</w:t>
            </w:r>
            <w:r>
              <w:t>胶合剂生产过程中精馏、分离、精制等工序产生的釜底残液、废过滤介质和残渣</w:t>
            </w:r>
          </w:p>
        </w:tc>
        <w:tc>
          <w:tcPr>
            <w:tcW w:w="395" w:type="pct"/>
            <w:vAlign w:val="center"/>
          </w:tcPr>
          <w:p w14:paraId="390B448D" w14:textId="77777777" w:rsidR="002E474C" w:rsidRDefault="00000000">
            <w:pPr>
              <w:pStyle w:val="A-"/>
            </w:pPr>
            <w:r>
              <w:t>T</w:t>
            </w:r>
          </w:p>
        </w:tc>
      </w:tr>
      <w:tr w:rsidR="002E474C" w14:paraId="1045F8EC" w14:textId="77777777">
        <w:trPr>
          <w:trHeight w:val="240"/>
        </w:trPr>
        <w:tc>
          <w:tcPr>
            <w:tcW w:w="574" w:type="pct"/>
            <w:vMerge/>
            <w:vAlign w:val="center"/>
          </w:tcPr>
          <w:p w14:paraId="56DE5FB1" w14:textId="77777777" w:rsidR="002E474C" w:rsidRDefault="002E474C">
            <w:pPr>
              <w:pStyle w:val="A-"/>
            </w:pPr>
          </w:p>
        </w:tc>
        <w:tc>
          <w:tcPr>
            <w:tcW w:w="524" w:type="pct"/>
            <w:vMerge/>
            <w:vAlign w:val="center"/>
          </w:tcPr>
          <w:p w14:paraId="2C09FA5F" w14:textId="77777777" w:rsidR="002E474C" w:rsidRDefault="002E474C">
            <w:pPr>
              <w:pStyle w:val="A-"/>
            </w:pPr>
          </w:p>
        </w:tc>
        <w:tc>
          <w:tcPr>
            <w:tcW w:w="372" w:type="pct"/>
            <w:vMerge/>
            <w:vAlign w:val="center"/>
          </w:tcPr>
          <w:p w14:paraId="15D6D40C" w14:textId="77777777" w:rsidR="002E474C" w:rsidRDefault="002E474C">
            <w:pPr>
              <w:pStyle w:val="A-"/>
            </w:pPr>
          </w:p>
        </w:tc>
        <w:tc>
          <w:tcPr>
            <w:tcW w:w="457" w:type="pct"/>
            <w:vAlign w:val="center"/>
          </w:tcPr>
          <w:p w14:paraId="6D919969" w14:textId="77777777" w:rsidR="002E474C" w:rsidRDefault="00000000">
            <w:pPr>
              <w:pStyle w:val="A-"/>
            </w:pPr>
            <w:r>
              <w:t>265-104-13</w:t>
            </w:r>
          </w:p>
        </w:tc>
        <w:tc>
          <w:tcPr>
            <w:tcW w:w="2678" w:type="pct"/>
            <w:vAlign w:val="center"/>
          </w:tcPr>
          <w:p w14:paraId="05B7552C" w14:textId="77777777" w:rsidR="002E474C" w:rsidRDefault="00000000">
            <w:pPr>
              <w:pStyle w:val="A-"/>
            </w:pPr>
            <w:r>
              <w:t>树脂、乳胶、增塑剂、胶水</w:t>
            </w:r>
            <w:r>
              <w:t>/</w:t>
            </w:r>
            <w:r>
              <w:t>胶合剂生产过程中产生的废水处理污泥（不包括废水生化处理污泥）</w:t>
            </w:r>
          </w:p>
        </w:tc>
        <w:tc>
          <w:tcPr>
            <w:tcW w:w="395" w:type="pct"/>
            <w:vAlign w:val="center"/>
          </w:tcPr>
          <w:p w14:paraId="654B2E8E" w14:textId="77777777" w:rsidR="002E474C" w:rsidRDefault="00000000">
            <w:pPr>
              <w:pStyle w:val="A-"/>
            </w:pPr>
            <w:r>
              <w:t>T</w:t>
            </w:r>
          </w:p>
        </w:tc>
      </w:tr>
      <w:tr w:rsidR="002E474C" w14:paraId="79074CD8" w14:textId="77777777">
        <w:trPr>
          <w:trHeight w:val="240"/>
        </w:trPr>
        <w:tc>
          <w:tcPr>
            <w:tcW w:w="574" w:type="pct"/>
            <w:vMerge/>
            <w:vAlign w:val="center"/>
          </w:tcPr>
          <w:p w14:paraId="676B2875" w14:textId="77777777" w:rsidR="002E474C" w:rsidRDefault="002E474C">
            <w:pPr>
              <w:pStyle w:val="A-"/>
            </w:pPr>
          </w:p>
        </w:tc>
        <w:tc>
          <w:tcPr>
            <w:tcW w:w="524" w:type="pct"/>
            <w:vMerge w:val="restart"/>
            <w:vAlign w:val="center"/>
          </w:tcPr>
          <w:p w14:paraId="14FC0F96" w14:textId="77777777" w:rsidR="002E474C" w:rsidRDefault="00000000">
            <w:pPr>
              <w:pStyle w:val="A-"/>
            </w:pPr>
            <w:r>
              <w:t>非特定行业</w:t>
            </w:r>
          </w:p>
        </w:tc>
        <w:tc>
          <w:tcPr>
            <w:tcW w:w="372" w:type="pct"/>
            <w:vMerge w:val="restart"/>
            <w:vAlign w:val="center"/>
          </w:tcPr>
          <w:p w14:paraId="24EEA35E" w14:textId="77777777" w:rsidR="002E474C" w:rsidRDefault="00000000">
            <w:pPr>
              <w:pStyle w:val="A-"/>
            </w:pPr>
            <w:r>
              <w:t>固态、半固态</w:t>
            </w:r>
          </w:p>
        </w:tc>
        <w:tc>
          <w:tcPr>
            <w:tcW w:w="457" w:type="pct"/>
            <w:vAlign w:val="center"/>
          </w:tcPr>
          <w:p w14:paraId="71FE17A0" w14:textId="77777777" w:rsidR="002E474C" w:rsidRDefault="00000000">
            <w:pPr>
              <w:pStyle w:val="A-"/>
            </w:pPr>
            <w:r>
              <w:t>900-014-13</w:t>
            </w:r>
          </w:p>
        </w:tc>
        <w:tc>
          <w:tcPr>
            <w:tcW w:w="2678" w:type="pct"/>
            <w:vAlign w:val="center"/>
          </w:tcPr>
          <w:p w14:paraId="3BDD4418" w14:textId="77777777" w:rsidR="002E474C" w:rsidRDefault="00000000">
            <w:pPr>
              <w:pStyle w:val="A-"/>
            </w:pPr>
            <w:r>
              <w:t>废弃的粘合剂和密封剂</w:t>
            </w:r>
          </w:p>
        </w:tc>
        <w:tc>
          <w:tcPr>
            <w:tcW w:w="395" w:type="pct"/>
            <w:vAlign w:val="center"/>
          </w:tcPr>
          <w:p w14:paraId="328A2702" w14:textId="77777777" w:rsidR="002E474C" w:rsidRDefault="00000000">
            <w:pPr>
              <w:pStyle w:val="A-"/>
            </w:pPr>
            <w:r>
              <w:t>T</w:t>
            </w:r>
          </w:p>
        </w:tc>
      </w:tr>
      <w:tr w:rsidR="002E474C" w14:paraId="5AC0520D" w14:textId="77777777">
        <w:trPr>
          <w:trHeight w:val="240"/>
        </w:trPr>
        <w:tc>
          <w:tcPr>
            <w:tcW w:w="574" w:type="pct"/>
            <w:vMerge/>
            <w:vAlign w:val="center"/>
          </w:tcPr>
          <w:p w14:paraId="281BE17F" w14:textId="77777777" w:rsidR="002E474C" w:rsidRDefault="002E474C">
            <w:pPr>
              <w:pStyle w:val="A-"/>
            </w:pPr>
          </w:p>
        </w:tc>
        <w:tc>
          <w:tcPr>
            <w:tcW w:w="524" w:type="pct"/>
            <w:vMerge/>
            <w:vAlign w:val="center"/>
          </w:tcPr>
          <w:p w14:paraId="50A695AF" w14:textId="77777777" w:rsidR="002E474C" w:rsidRDefault="002E474C">
            <w:pPr>
              <w:pStyle w:val="A-"/>
            </w:pPr>
          </w:p>
        </w:tc>
        <w:tc>
          <w:tcPr>
            <w:tcW w:w="372" w:type="pct"/>
            <w:vMerge/>
            <w:vAlign w:val="center"/>
          </w:tcPr>
          <w:p w14:paraId="21C93E88" w14:textId="77777777" w:rsidR="002E474C" w:rsidRDefault="002E474C">
            <w:pPr>
              <w:pStyle w:val="A-"/>
            </w:pPr>
          </w:p>
        </w:tc>
        <w:tc>
          <w:tcPr>
            <w:tcW w:w="457" w:type="pct"/>
            <w:vAlign w:val="center"/>
          </w:tcPr>
          <w:p w14:paraId="4070A6B9" w14:textId="77777777" w:rsidR="002E474C" w:rsidRDefault="00000000">
            <w:pPr>
              <w:pStyle w:val="A-"/>
            </w:pPr>
            <w:r>
              <w:t>900-015-13</w:t>
            </w:r>
          </w:p>
        </w:tc>
        <w:tc>
          <w:tcPr>
            <w:tcW w:w="2678" w:type="pct"/>
            <w:vAlign w:val="center"/>
          </w:tcPr>
          <w:p w14:paraId="3CB8CD57" w14:textId="77777777" w:rsidR="002E474C" w:rsidRDefault="00000000">
            <w:pPr>
              <w:pStyle w:val="A-"/>
            </w:pPr>
            <w:r>
              <w:t>废弃的离子交换树脂</w:t>
            </w:r>
          </w:p>
        </w:tc>
        <w:tc>
          <w:tcPr>
            <w:tcW w:w="395" w:type="pct"/>
            <w:vAlign w:val="center"/>
          </w:tcPr>
          <w:p w14:paraId="18AA5D0C" w14:textId="77777777" w:rsidR="002E474C" w:rsidRDefault="00000000">
            <w:pPr>
              <w:pStyle w:val="A-"/>
            </w:pPr>
            <w:r>
              <w:t>T</w:t>
            </w:r>
          </w:p>
        </w:tc>
      </w:tr>
      <w:tr w:rsidR="002E474C" w14:paraId="40451A49" w14:textId="77777777">
        <w:trPr>
          <w:trHeight w:val="240"/>
        </w:trPr>
        <w:tc>
          <w:tcPr>
            <w:tcW w:w="574" w:type="pct"/>
            <w:vMerge/>
            <w:vAlign w:val="center"/>
          </w:tcPr>
          <w:p w14:paraId="1F189B82" w14:textId="77777777" w:rsidR="002E474C" w:rsidRDefault="002E474C">
            <w:pPr>
              <w:pStyle w:val="A-"/>
            </w:pPr>
          </w:p>
        </w:tc>
        <w:tc>
          <w:tcPr>
            <w:tcW w:w="524" w:type="pct"/>
            <w:vMerge/>
            <w:vAlign w:val="center"/>
          </w:tcPr>
          <w:p w14:paraId="0E129B74" w14:textId="77777777" w:rsidR="002E474C" w:rsidRDefault="002E474C">
            <w:pPr>
              <w:pStyle w:val="A-"/>
            </w:pPr>
          </w:p>
        </w:tc>
        <w:tc>
          <w:tcPr>
            <w:tcW w:w="372" w:type="pct"/>
            <w:vMerge/>
            <w:vAlign w:val="center"/>
          </w:tcPr>
          <w:p w14:paraId="7AE260B8" w14:textId="77777777" w:rsidR="002E474C" w:rsidRDefault="002E474C">
            <w:pPr>
              <w:pStyle w:val="A-"/>
            </w:pPr>
          </w:p>
        </w:tc>
        <w:tc>
          <w:tcPr>
            <w:tcW w:w="457" w:type="pct"/>
            <w:vAlign w:val="center"/>
          </w:tcPr>
          <w:p w14:paraId="59A559CB" w14:textId="77777777" w:rsidR="002E474C" w:rsidRDefault="00000000">
            <w:pPr>
              <w:pStyle w:val="A-"/>
            </w:pPr>
            <w:r>
              <w:t>900-016-13</w:t>
            </w:r>
          </w:p>
        </w:tc>
        <w:tc>
          <w:tcPr>
            <w:tcW w:w="2678" w:type="pct"/>
            <w:vAlign w:val="center"/>
          </w:tcPr>
          <w:p w14:paraId="3772B0C4" w14:textId="77777777" w:rsidR="002E474C" w:rsidRDefault="00000000">
            <w:pPr>
              <w:pStyle w:val="A-"/>
            </w:pPr>
            <w:r>
              <w:t>使用酸、碱或有机溶剂清洗容器设备剥离下的树脂状、粘稠杂物</w:t>
            </w:r>
          </w:p>
        </w:tc>
        <w:tc>
          <w:tcPr>
            <w:tcW w:w="395" w:type="pct"/>
            <w:vAlign w:val="center"/>
          </w:tcPr>
          <w:p w14:paraId="45F417E2" w14:textId="77777777" w:rsidR="002E474C" w:rsidRDefault="00000000">
            <w:pPr>
              <w:pStyle w:val="A-"/>
            </w:pPr>
            <w:r>
              <w:t>T</w:t>
            </w:r>
          </w:p>
        </w:tc>
      </w:tr>
      <w:tr w:rsidR="002E474C" w14:paraId="3DF34CA4" w14:textId="77777777">
        <w:trPr>
          <w:trHeight w:val="240"/>
        </w:trPr>
        <w:tc>
          <w:tcPr>
            <w:tcW w:w="574" w:type="pct"/>
            <w:vMerge/>
            <w:vAlign w:val="center"/>
          </w:tcPr>
          <w:p w14:paraId="360E2C8D" w14:textId="77777777" w:rsidR="002E474C" w:rsidRDefault="002E474C">
            <w:pPr>
              <w:pStyle w:val="A-"/>
            </w:pPr>
          </w:p>
        </w:tc>
        <w:tc>
          <w:tcPr>
            <w:tcW w:w="524" w:type="pct"/>
            <w:vMerge/>
            <w:vAlign w:val="center"/>
          </w:tcPr>
          <w:p w14:paraId="58CFE261" w14:textId="77777777" w:rsidR="002E474C" w:rsidRDefault="002E474C">
            <w:pPr>
              <w:pStyle w:val="A-"/>
            </w:pPr>
          </w:p>
        </w:tc>
        <w:tc>
          <w:tcPr>
            <w:tcW w:w="372" w:type="pct"/>
            <w:vMerge/>
            <w:vAlign w:val="center"/>
          </w:tcPr>
          <w:p w14:paraId="3A2C962E" w14:textId="77777777" w:rsidR="002E474C" w:rsidRDefault="002E474C">
            <w:pPr>
              <w:pStyle w:val="A-"/>
            </w:pPr>
          </w:p>
        </w:tc>
        <w:tc>
          <w:tcPr>
            <w:tcW w:w="457" w:type="pct"/>
            <w:vAlign w:val="center"/>
          </w:tcPr>
          <w:p w14:paraId="5B8A2E9D" w14:textId="77777777" w:rsidR="002E474C" w:rsidRDefault="00000000">
            <w:pPr>
              <w:pStyle w:val="A-"/>
            </w:pPr>
            <w:r>
              <w:t>900-451-13</w:t>
            </w:r>
          </w:p>
        </w:tc>
        <w:tc>
          <w:tcPr>
            <w:tcW w:w="2678" w:type="pct"/>
            <w:vAlign w:val="center"/>
          </w:tcPr>
          <w:p w14:paraId="5F2B16F3" w14:textId="77777777" w:rsidR="002E474C" w:rsidRDefault="00000000">
            <w:pPr>
              <w:pStyle w:val="A-"/>
            </w:pPr>
            <w:r>
              <w:t>废覆铜板、印刷线路板、电路板破碎分选回收金属后产生的废树脂粉</w:t>
            </w:r>
          </w:p>
        </w:tc>
        <w:tc>
          <w:tcPr>
            <w:tcW w:w="395" w:type="pct"/>
            <w:vAlign w:val="center"/>
          </w:tcPr>
          <w:p w14:paraId="131C40EC" w14:textId="77777777" w:rsidR="002E474C" w:rsidRDefault="00000000">
            <w:pPr>
              <w:pStyle w:val="A-"/>
            </w:pPr>
            <w:r>
              <w:t>T</w:t>
            </w:r>
          </w:p>
        </w:tc>
      </w:tr>
      <w:tr w:rsidR="002E474C" w14:paraId="2EDA7D17" w14:textId="77777777">
        <w:trPr>
          <w:trHeight w:val="717"/>
        </w:trPr>
        <w:tc>
          <w:tcPr>
            <w:tcW w:w="574" w:type="pct"/>
            <w:vAlign w:val="center"/>
          </w:tcPr>
          <w:p w14:paraId="39CFFE2E" w14:textId="77777777" w:rsidR="002E474C" w:rsidRDefault="00000000">
            <w:pPr>
              <w:pStyle w:val="A-"/>
            </w:pPr>
            <w:r>
              <w:t>HW14</w:t>
            </w:r>
          </w:p>
          <w:p w14:paraId="7B56F2F0" w14:textId="77777777" w:rsidR="002E474C" w:rsidRDefault="00000000">
            <w:pPr>
              <w:pStyle w:val="A-"/>
              <w:ind w:leftChars="-25" w:left="-53" w:rightChars="-25" w:right="-53"/>
            </w:pPr>
            <w:r>
              <w:t>新化学物质废物</w:t>
            </w:r>
          </w:p>
        </w:tc>
        <w:tc>
          <w:tcPr>
            <w:tcW w:w="524" w:type="pct"/>
            <w:vAlign w:val="center"/>
          </w:tcPr>
          <w:p w14:paraId="51B2E549" w14:textId="77777777" w:rsidR="002E474C" w:rsidRDefault="00000000">
            <w:pPr>
              <w:pStyle w:val="A-"/>
            </w:pPr>
            <w:r>
              <w:t>非特定行业</w:t>
            </w:r>
          </w:p>
        </w:tc>
        <w:tc>
          <w:tcPr>
            <w:tcW w:w="372" w:type="pct"/>
            <w:vAlign w:val="center"/>
          </w:tcPr>
          <w:p w14:paraId="57130459" w14:textId="77777777" w:rsidR="002E474C" w:rsidRDefault="00000000">
            <w:pPr>
              <w:pStyle w:val="A-"/>
              <w:ind w:leftChars="-25" w:left="-53" w:rightChars="-25" w:right="-53"/>
            </w:pPr>
            <w:r>
              <w:rPr>
                <w:spacing w:val="-6"/>
              </w:rPr>
              <w:t>固态、液态</w:t>
            </w:r>
          </w:p>
        </w:tc>
        <w:tc>
          <w:tcPr>
            <w:tcW w:w="457" w:type="pct"/>
            <w:vAlign w:val="center"/>
          </w:tcPr>
          <w:p w14:paraId="0F9ABA94" w14:textId="77777777" w:rsidR="002E474C" w:rsidRDefault="00000000">
            <w:pPr>
              <w:pStyle w:val="A-"/>
            </w:pPr>
            <w:r>
              <w:t>900-017-14</w:t>
            </w:r>
          </w:p>
        </w:tc>
        <w:tc>
          <w:tcPr>
            <w:tcW w:w="2678" w:type="pct"/>
            <w:vAlign w:val="center"/>
          </w:tcPr>
          <w:p w14:paraId="3DF476FD" w14:textId="77777777" w:rsidR="002E474C" w:rsidRDefault="00000000">
            <w:pPr>
              <w:pStyle w:val="A-"/>
            </w:pPr>
            <w:r>
              <w:t>研究、开发和教学活动中产生的对人类或环境影响不明的化学物质废物</w:t>
            </w:r>
          </w:p>
        </w:tc>
        <w:tc>
          <w:tcPr>
            <w:tcW w:w="395" w:type="pct"/>
            <w:vAlign w:val="center"/>
          </w:tcPr>
          <w:p w14:paraId="66859CBA" w14:textId="77777777" w:rsidR="002E474C" w:rsidRDefault="00000000">
            <w:pPr>
              <w:pStyle w:val="A-"/>
            </w:pPr>
            <w:r>
              <w:t>T/C/I/R</w:t>
            </w:r>
          </w:p>
        </w:tc>
      </w:tr>
      <w:tr w:rsidR="002E474C" w14:paraId="396E1BDA" w14:textId="77777777">
        <w:trPr>
          <w:trHeight w:val="411"/>
        </w:trPr>
        <w:tc>
          <w:tcPr>
            <w:tcW w:w="574" w:type="pct"/>
            <w:vMerge w:val="restart"/>
            <w:vAlign w:val="center"/>
          </w:tcPr>
          <w:p w14:paraId="0EFD95F4" w14:textId="77777777" w:rsidR="002E474C" w:rsidRDefault="00000000">
            <w:pPr>
              <w:pStyle w:val="A-"/>
            </w:pPr>
            <w:r>
              <w:t>HW16</w:t>
            </w:r>
          </w:p>
          <w:p w14:paraId="316E66C4" w14:textId="77777777" w:rsidR="002E474C" w:rsidRDefault="00000000">
            <w:pPr>
              <w:pStyle w:val="A-"/>
            </w:pPr>
            <w:r>
              <w:t>感光材料废物</w:t>
            </w:r>
          </w:p>
        </w:tc>
        <w:tc>
          <w:tcPr>
            <w:tcW w:w="524" w:type="pct"/>
            <w:vMerge w:val="restart"/>
            <w:vAlign w:val="center"/>
          </w:tcPr>
          <w:p w14:paraId="73693EB9" w14:textId="77777777" w:rsidR="002E474C" w:rsidRDefault="00000000">
            <w:pPr>
              <w:pStyle w:val="A-"/>
            </w:pPr>
            <w:r>
              <w:t>专用化学产品制造</w:t>
            </w:r>
          </w:p>
        </w:tc>
        <w:tc>
          <w:tcPr>
            <w:tcW w:w="372" w:type="pct"/>
            <w:vMerge w:val="restart"/>
            <w:vAlign w:val="center"/>
          </w:tcPr>
          <w:p w14:paraId="27983106" w14:textId="77777777" w:rsidR="002E474C" w:rsidRDefault="00000000">
            <w:pPr>
              <w:pStyle w:val="A-"/>
            </w:pPr>
            <w:r>
              <w:t>固态、半固态</w:t>
            </w:r>
          </w:p>
        </w:tc>
        <w:tc>
          <w:tcPr>
            <w:tcW w:w="457" w:type="pct"/>
            <w:vAlign w:val="center"/>
          </w:tcPr>
          <w:p w14:paraId="149D89BA" w14:textId="77777777" w:rsidR="002E474C" w:rsidRDefault="00000000">
            <w:pPr>
              <w:pStyle w:val="A-"/>
            </w:pPr>
            <w:r>
              <w:t>266-009-16</w:t>
            </w:r>
          </w:p>
        </w:tc>
        <w:tc>
          <w:tcPr>
            <w:tcW w:w="2678" w:type="pct"/>
            <w:vAlign w:val="center"/>
          </w:tcPr>
          <w:p w14:paraId="7AB9502D" w14:textId="77777777" w:rsidR="002E474C" w:rsidRDefault="00000000">
            <w:pPr>
              <w:pStyle w:val="A-"/>
            </w:pPr>
            <w:r>
              <w:t>显（定）影剂、正负胶片、像纸、感光材料生产过程中产生的不合格产品和过期产品</w:t>
            </w:r>
          </w:p>
        </w:tc>
        <w:tc>
          <w:tcPr>
            <w:tcW w:w="395" w:type="pct"/>
            <w:vAlign w:val="center"/>
          </w:tcPr>
          <w:p w14:paraId="3245C39D" w14:textId="77777777" w:rsidR="002E474C" w:rsidRDefault="00000000">
            <w:pPr>
              <w:pStyle w:val="A-"/>
            </w:pPr>
            <w:r>
              <w:t>T</w:t>
            </w:r>
          </w:p>
        </w:tc>
      </w:tr>
      <w:tr w:rsidR="002E474C" w14:paraId="3A52418A" w14:textId="77777777">
        <w:trPr>
          <w:trHeight w:val="240"/>
        </w:trPr>
        <w:tc>
          <w:tcPr>
            <w:tcW w:w="574" w:type="pct"/>
            <w:vMerge/>
            <w:vAlign w:val="center"/>
          </w:tcPr>
          <w:p w14:paraId="502F4E6A" w14:textId="77777777" w:rsidR="002E474C" w:rsidRDefault="002E474C">
            <w:pPr>
              <w:pStyle w:val="A-"/>
            </w:pPr>
          </w:p>
        </w:tc>
        <w:tc>
          <w:tcPr>
            <w:tcW w:w="524" w:type="pct"/>
            <w:vMerge/>
            <w:vAlign w:val="center"/>
          </w:tcPr>
          <w:p w14:paraId="41E018A4" w14:textId="77777777" w:rsidR="002E474C" w:rsidRDefault="002E474C">
            <w:pPr>
              <w:pStyle w:val="A-"/>
            </w:pPr>
          </w:p>
        </w:tc>
        <w:tc>
          <w:tcPr>
            <w:tcW w:w="372" w:type="pct"/>
            <w:vMerge/>
            <w:vAlign w:val="center"/>
          </w:tcPr>
          <w:p w14:paraId="4D1E2724" w14:textId="77777777" w:rsidR="002E474C" w:rsidRDefault="002E474C">
            <w:pPr>
              <w:pStyle w:val="A-"/>
            </w:pPr>
          </w:p>
        </w:tc>
        <w:tc>
          <w:tcPr>
            <w:tcW w:w="457" w:type="pct"/>
            <w:vAlign w:val="center"/>
          </w:tcPr>
          <w:p w14:paraId="18D06892" w14:textId="77777777" w:rsidR="002E474C" w:rsidRDefault="00000000">
            <w:pPr>
              <w:pStyle w:val="A-"/>
            </w:pPr>
            <w:r>
              <w:t>266-010-16</w:t>
            </w:r>
          </w:p>
        </w:tc>
        <w:tc>
          <w:tcPr>
            <w:tcW w:w="2678" w:type="pct"/>
            <w:vAlign w:val="center"/>
          </w:tcPr>
          <w:p w14:paraId="0E487060" w14:textId="77777777" w:rsidR="002E474C" w:rsidRDefault="00000000">
            <w:pPr>
              <w:pStyle w:val="A-"/>
            </w:pPr>
            <w:r>
              <w:t>显（定）影剂、正负胶片、像纸、感光材料生产过程中产生的残渣及废水处理污泥</w:t>
            </w:r>
          </w:p>
        </w:tc>
        <w:tc>
          <w:tcPr>
            <w:tcW w:w="395" w:type="pct"/>
            <w:vAlign w:val="center"/>
          </w:tcPr>
          <w:p w14:paraId="0C0BC35B" w14:textId="77777777" w:rsidR="002E474C" w:rsidRDefault="00000000">
            <w:pPr>
              <w:pStyle w:val="A-"/>
            </w:pPr>
            <w:r>
              <w:t>T</w:t>
            </w:r>
          </w:p>
        </w:tc>
      </w:tr>
      <w:tr w:rsidR="002E474C" w14:paraId="7CC91A9D" w14:textId="77777777">
        <w:trPr>
          <w:trHeight w:val="240"/>
        </w:trPr>
        <w:tc>
          <w:tcPr>
            <w:tcW w:w="574" w:type="pct"/>
            <w:vMerge/>
            <w:vAlign w:val="center"/>
          </w:tcPr>
          <w:p w14:paraId="00A92FEA" w14:textId="77777777" w:rsidR="002E474C" w:rsidRDefault="002E474C">
            <w:pPr>
              <w:pStyle w:val="A-"/>
            </w:pPr>
          </w:p>
        </w:tc>
        <w:tc>
          <w:tcPr>
            <w:tcW w:w="524" w:type="pct"/>
            <w:vMerge w:val="restart"/>
            <w:vAlign w:val="center"/>
          </w:tcPr>
          <w:p w14:paraId="759FE33F" w14:textId="77777777" w:rsidR="002E474C" w:rsidRDefault="00000000">
            <w:pPr>
              <w:pStyle w:val="A-"/>
            </w:pPr>
            <w:r>
              <w:t>印刷</w:t>
            </w:r>
          </w:p>
        </w:tc>
        <w:tc>
          <w:tcPr>
            <w:tcW w:w="372" w:type="pct"/>
            <w:vMerge w:val="restart"/>
            <w:vAlign w:val="center"/>
          </w:tcPr>
          <w:p w14:paraId="11DDCD6B" w14:textId="77777777" w:rsidR="002E474C" w:rsidRDefault="00000000">
            <w:pPr>
              <w:pStyle w:val="A-"/>
              <w:ind w:leftChars="-25" w:left="-53" w:rightChars="-25" w:right="-53"/>
              <w:rPr>
                <w:spacing w:val="-6"/>
              </w:rPr>
            </w:pPr>
            <w:r>
              <w:rPr>
                <w:spacing w:val="-6"/>
              </w:rPr>
              <w:t>固态、液态</w:t>
            </w:r>
          </w:p>
        </w:tc>
        <w:tc>
          <w:tcPr>
            <w:tcW w:w="457" w:type="pct"/>
            <w:vAlign w:val="center"/>
          </w:tcPr>
          <w:p w14:paraId="051E45AF" w14:textId="77777777" w:rsidR="002E474C" w:rsidRDefault="00000000">
            <w:pPr>
              <w:pStyle w:val="A-"/>
            </w:pPr>
            <w:r>
              <w:t>231-001-16</w:t>
            </w:r>
          </w:p>
        </w:tc>
        <w:tc>
          <w:tcPr>
            <w:tcW w:w="2678" w:type="pct"/>
            <w:vAlign w:val="center"/>
          </w:tcPr>
          <w:p w14:paraId="75640CCF" w14:textId="77777777" w:rsidR="002E474C" w:rsidRDefault="00000000">
            <w:pPr>
              <w:pStyle w:val="A-"/>
            </w:pPr>
            <w:r>
              <w:t>使用显影剂进行胶卷显影，定影剂进行胶卷定影，以及使用铁氰化钾、硫代硫酸盐进行影像减薄（漂白）产生的废显（定）影剂、胶片及废像纸</w:t>
            </w:r>
          </w:p>
        </w:tc>
        <w:tc>
          <w:tcPr>
            <w:tcW w:w="395" w:type="pct"/>
            <w:vAlign w:val="center"/>
          </w:tcPr>
          <w:p w14:paraId="1A4C50EC" w14:textId="77777777" w:rsidR="002E474C" w:rsidRDefault="00000000">
            <w:pPr>
              <w:pStyle w:val="A-"/>
            </w:pPr>
            <w:r>
              <w:t>T</w:t>
            </w:r>
          </w:p>
        </w:tc>
      </w:tr>
      <w:tr w:rsidR="002E474C" w14:paraId="2C18A56B" w14:textId="77777777">
        <w:trPr>
          <w:trHeight w:val="240"/>
        </w:trPr>
        <w:tc>
          <w:tcPr>
            <w:tcW w:w="574" w:type="pct"/>
            <w:vMerge/>
            <w:vAlign w:val="center"/>
          </w:tcPr>
          <w:p w14:paraId="4A0EF1AB" w14:textId="77777777" w:rsidR="002E474C" w:rsidRDefault="002E474C">
            <w:pPr>
              <w:pStyle w:val="A-"/>
            </w:pPr>
          </w:p>
        </w:tc>
        <w:tc>
          <w:tcPr>
            <w:tcW w:w="524" w:type="pct"/>
            <w:vMerge/>
            <w:vAlign w:val="center"/>
          </w:tcPr>
          <w:p w14:paraId="3A5A180B" w14:textId="77777777" w:rsidR="002E474C" w:rsidRDefault="002E474C">
            <w:pPr>
              <w:pStyle w:val="A-"/>
            </w:pPr>
          </w:p>
        </w:tc>
        <w:tc>
          <w:tcPr>
            <w:tcW w:w="372" w:type="pct"/>
            <w:vMerge/>
            <w:vAlign w:val="center"/>
          </w:tcPr>
          <w:p w14:paraId="2D593F8E" w14:textId="77777777" w:rsidR="002E474C" w:rsidRDefault="002E474C">
            <w:pPr>
              <w:pStyle w:val="A-"/>
              <w:ind w:leftChars="-25" w:left="-53" w:rightChars="-25" w:right="-53"/>
              <w:rPr>
                <w:spacing w:val="-6"/>
              </w:rPr>
            </w:pPr>
          </w:p>
        </w:tc>
        <w:tc>
          <w:tcPr>
            <w:tcW w:w="457" w:type="pct"/>
            <w:vAlign w:val="center"/>
          </w:tcPr>
          <w:p w14:paraId="53E7F118" w14:textId="77777777" w:rsidR="002E474C" w:rsidRDefault="00000000">
            <w:pPr>
              <w:pStyle w:val="A-"/>
            </w:pPr>
            <w:r>
              <w:t>231-002-16</w:t>
            </w:r>
          </w:p>
        </w:tc>
        <w:tc>
          <w:tcPr>
            <w:tcW w:w="2678" w:type="pct"/>
            <w:vAlign w:val="center"/>
          </w:tcPr>
          <w:p w14:paraId="0418FCA4" w14:textId="77777777" w:rsidR="002E474C" w:rsidRDefault="00000000">
            <w:pPr>
              <w:pStyle w:val="A-"/>
            </w:pPr>
            <w:r>
              <w:t>使用显影剂进行印刷显影、抗蚀图形显影，以及凸版印刷产生的废显（定）影剂、胶片及废像纸</w:t>
            </w:r>
          </w:p>
        </w:tc>
        <w:tc>
          <w:tcPr>
            <w:tcW w:w="395" w:type="pct"/>
            <w:vAlign w:val="center"/>
          </w:tcPr>
          <w:p w14:paraId="4DA0C7AA" w14:textId="77777777" w:rsidR="002E474C" w:rsidRDefault="00000000">
            <w:pPr>
              <w:pStyle w:val="A-"/>
            </w:pPr>
            <w:r>
              <w:t>T</w:t>
            </w:r>
          </w:p>
        </w:tc>
      </w:tr>
      <w:tr w:rsidR="002E474C" w14:paraId="6985B2BD" w14:textId="77777777">
        <w:trPr>
          <w:trHeight w:val="240"/>
        </w:trPr>
        <w:tc>
          <w:tcPr>
            <w:tcW w:w="574" w:type="pct"/>
            <w:vMerge/>
            <w:vAlign w:val="center"/>
          </w:tcPr>
          <w:p w14:paraId="488EB97C" w14:textId="77777777" w:rsidR="002E474C" w:rsidRDefault="002E474C">
            <w:pPr>
              <w:pStyle w:val="A-"/>
            </w:pPr>
          </w:p>
        </w:tc>
        <w:tc>
          <w:tcPr>
            <w:tcW w:w="524" w:type="pct"/>
            <w:vAlign w:val="center"/>
          </w:tcPr>
          <w:p w14:paraId="266EAC0E" w14:textId="77777777" w:rsidR="002E474C" w:rsidRDefault="00000000">
            <w:pPr>
              <w:pStyle w:val="A-"/>
            </w:pPr>
            <w:r>
              <w:t>电子元件制造</w:t>
            </w:r>
          </w:p>
        </w:tc>
        <w:tc>
          <w:tcPr>
            <w:tcW w:w="372" w:type="pct"/>
            <w:vAlign w:val="center"/>
          </w:tcPr>
          <w:p w14:paraId="7ECB5F09" w14:textId="77777777" w:rsidR="002E474C" w:rsidRDefault="00000000">
            <w:pPr>
              <w:pStyle w:val="A-"/>
              <w:ind w:leftChars="-25" w:left="-53" w:rightChars="-25" w:right="-53"/>
              <w:rPr>
                <w:spacing w:val="-6"/>
              </w:rPr>
            </w:pPr>
            <w:r>
              <w:rPr>
                <w:spacing w:val="-6"/>
              </w:rPr>
              <w:t>固态、液态</w:t>
            </w:r>
          </w:p>
        </w:tc>
        <w:tc>
          <w:tcPr>
            <w:tcW w:w="457" w:type="pct"/>
            <w:vAlign w:val="center"/>
          </w:tcPr>
          <w:p w14:paraId="5B09E72F" w14:textId="77777777" w:rsidR="002E474C" w:rsidRDefault="00000000">
            <w:pPr>
              <w:pStyle w:val="A-"/>
            </w:pPr>
            <w:r>
              <w:t>397-001-16</w:t>
            </w:r>
          </w:p>
        </w:tc>
        <w:tc>
          <w:tcPr>
            <w:tcW w:w="2678" w:type="pct"/>
            <w:vAlign w:val="center"/>
          </w:tcPr>
          <w:p w14:paraId="25F6ED49" w14:textId="77777777" w:rsidR="002E474C" w:rsidRDefault="00000000">
            <w:pPr>
              <w:pStyle w:val="A-"/>
            </w:pPr>
            <w:r>
              <w:t>使用显影剂、氢氧化物、偏亚硫酸氢盐、醋酸进行胶卷显影产生的废显（定）影剂、胶片及废像纸</w:t>
            </w:r>
          </w:p>
        </w:tc>
        <w:tc>
          <w:tcPr>
            <w:tcW w:w="395" w:type="pct"/>
            <w:vAlign w:val="center"/>
          </w:tcPr>
          <w:p w14:paraId="0CF9E2FD" w14:textId="77777777" w:rsidR="002E474C" w:rsidRDefault="00000000">
            <w:pPr>
              <w:pStyle w:val="A-"/>
            </w:pPr>
            <w:r>
              <w:t>T</w:t>
            </w:r>
          </w:p>
        </w:tc>
      </w:tr>
      <w:tr w:rsidR="002E474C" w14:paraId="2ACC84B4" w14:textId="77777777">
        <w:trPr>
          <w:trHeight w:val="240"/>
        </w:trPr>
        <w:tc>
          <w:tcPr>
            <w:tcW w:w="574" w:type="pct"/>
            <w:vMerge/>
            <w:vAlign w:val="center"/>
          </w:tcPr>
          <w:p w14:paraId="4926EAA8" w14:textId="77777777" w:rsidR="002E474C" w:rsidRDefault="002E474C">
            <w:pPr>
              <w:pStyle w:val="A-"/>
            </w:pPr>
          </w:p>
        </w:tc>
        <w:tc>
          <w:tcPr>
            <w:tcW w:w="524" w:type="pct"/>
            <w:vAlign w:val="center"/>
          </w:tcPr>
          <w:p w14:paraId="7504FB61" w14:textId="77777777" w:rsidR="002E474C" w:rsidRDefault="00000000">
            <w:pPr>
              <w:pStyle w:val="A-"/>
            </w:pPr>
            <w:r>
              <w:t>电影</w:t>
            </w:r>
          </w:p>
        </w:tc>
        <w:tc>
          <w:tcPr>
            <w:tcW w:w="372" w:type="pct"/>
            <w:vAlign w:val="center"/>
          </w:tcPr>
          <w:p w14:paraId="5B2CBBF6" w14:textId="77777777" w:rsidR="002E474C" w:rsidRDefault="00000000">
            <w:pPr>
              <w:pStyle w:val="A-"/>
              <w:ind w:leftChars="-25" w:left="-53" w:rightChars="-25" w:right="-53"/>
              <w:rPr>
                <w:spacing w:val="-6"/>
              </w:rPr>
            </w:pPr>
            <w:r>
              <w:rPr>
                <w:spacing w:val="-6"/>
              </w:rPr>
              <w:t>固态、液态</w:t>
            </w:r>
          </w:p>
        </w:tc>
        <w:tc>
          <w:tcPr>
            <w:tcW w:w="457" w:type="pct"/>
            <w:vAlign w:val="center"/>
          </w:tcPr>
          <w:p w14:paraId="5E33B2CB" w14:textId="77777777" w:rsidR="002E474C" w:rsidRDefault="00000000">
            <w:pPr>
              <w:pStyle w:val="A-"/>
            </w:pPr>
            <w:r>
              <w:t>863-001-16</w:t>
            </w:r>
          </w:p>
        </w:tc>
        <w:tc>
          <w:tcPr>
            <w:tcW w:w="2678" w:type="pct"/>
            <w:vAlign w:val="center"/>
          </w:tcPr>
          <w:p w14:paraId="005EFB34" w14:textId="77777777" w:rsidR="002E474C" w:rsidRDefault="00000000">
            <w:pPr>
              <w:pStyle w:val="A-"/>
            </w:pPr>
            <w:r>
              <w:t>电影厂产生的废显（定）影剂、胶片及废像纸</w:t>
            </w:r>
          </w:p>
        </w:tc>
        <w:tc>
          <w:tcPr>
            <w:tcW w:w="395" w:type="pct"/>
            <w:vAlign w:val="center"/>
          </w:tcPr>
          <w:p w14:paraId="56D7AB1E" w14:textId="77777777" w:rsidR="002E474C" w:rsidRDefault="00000000">
            <w:pPr>
              <w:pStyle w:val="A-"/>
            </w:pPr>
            <w:r>
              <w:t>T</w:t>
            </w:r>
          </w:p>
        </w:tc>
      </w:tr>
      <w:tr w:rsidR="002E474C" w14:paraId="16D57A97" w14:textId="77777777">
        <w:trPr>
          <w:trHeight w:val="240"/>
        </w:trPr>
        <w:tc>
          <w:tcPr>
            <w:tcW w:w="574" w:type="pct"/>
            <w:vMerge/>
            <w:vAlign w:val="center"/>
          </w:tcPr>
          <w:p w14:paraId="030BB759" w14:textId="77777777" w:rsidR="002E474C" w:rsidRDefault="002E474C">
            <w:pPr>
              <w:pStyle w:val="A-"/>
            </w:pPr>
          </w:p>
        </w:tc>
        <w:tc>
          <w:tcPr>
            <w:tcW w:w="524" w:type="pct"/>
            <w:vAlign w:val="center"/>
          </w:tcPr>
          <w:p w14:paraId="73858F85" w14:textId="77777777" w:rsidR="002E474C" w:rsidRDefault="00000000">
            <w:pPr>
              <w:pStyle w:val="A-"/>
            </w:pPr>
            <w:r>
              <w:t>其他专业技</w:t>
            </w:r>
            <w:r>
              <w:lastRenderedPageBreak/>
              <w:t>术服务业</w:t>
            </w:r>
          </w:p>
        </w:tc>
        <w:tc>
          <w:tcPr>
            <w:tcW w:w="372" w:type="pct"/>
            <w:vAlign w:val="center"/>
          </w:tcPr>
          <w:p w14:paraId="65DFD861" w14:textId="77777777" w:rsidR="002E474C" w:rsidRDefault="00000000">
            <w:pPr>
              <w:pStyle w:val="A-"/>
              <w:ind w:leftChars="-25" w:left="-53" w:rightChars="-25" w:right="-53"/>
              <w:rPr>
                <w:spacing w:val="-6"/>
              </w:rPr>
            </w:pPr>
            <w:r>
              <w:rPr>
                <w:spacing w:val="-6"/>
              </w:rPr>
              <w:lastRenderedPageBreak/>
              <w:t>固态、液</w:t>
            </w:r>
            <w:r>
              <w:rPr>
                <w:spacing w:val="-6"/>
              </w:rPr>
              <w:lastRenderedPageBreak/>
              <w:t>态</w:t>
            </w:r>
          </w:p>
        </w:tc>
        <w:tc>
          <w:tcPr>
            <w:tcW w:w="457" w:type="pct"/>
            <w:vAlign w:val="center"/>
          </w:tcPr>
          <w:p w14:paraId="577CE3C5" w14:textId="77777777" w:rsidR="002E474C" w:rsidRDefault="00000000">
            <w:pPr>
              <w:pStyle w:val="A-"/>
            </w:pPr>
            <w:r>
              <w:lastRenderedPageBreak/>
              <w:t>749-001-16</w:t>
            </w:r>
          </w:p>
        </w:tc>
        <w:tc>
          <w:tcPr>
            <w:tcW w:w="2678" w:type="pct"/>
            <w:vAlign w:val="center"/>
          </w:tcPr>
          <w:p w14:paraId="6D3AD0EF" w14:textId="77777777" w:rsidR="002E474C" w:rsidRDefault="00000000">
            <w:pPr>
              <w:pStyle w:val="A-"/>
            </w:pPr>
            <w:r>
              <w:t>摄影扩印服务行业产生的废显（定）影剂、胶片及废像纸</w:t>
            </w:r>
          </w:p>
        </w:tc>
        <w:tc>
          <w:tcPr>
            <w:tcW w:w="395" w:type="pct"/>
            <w:vAlign w:val="center"/>
          </w:tcPr>
          <w:p w14:paraId="046E4EE6" w14:textId="77777777" w:rsidR="002E474C" w:rsidRDefault="00000000">
            <w:pPr>
              <w:pStyle w:val="A-"/>
            </w:pPr>
            <w:r>
              <w:t>T</w:t>
            </w:r>
          </w:p>
        </w:tc>
      </w:tr>
      <w:tr w:rsidR="002E474C" w14:paraId="310123AD" w14:textId="77777777">
        <w:trPr>
          <w:trHeight w:val="240"/>
        </w:trPr>
        <w:tc>
          <w:tcPr>
            <w:tcW w:w="574" w:type="pct"/>
            <w:vMerge/>
            <w:vAlign w:val="center"/>
          </w:tcPr>
          <w:p w14:paraId="16CCACB4" w14:textId="77777777" w:rsidR="002E474C" w:rsidRDefault="002E474C">
            <w:pPr>
              <w:pStyle w:val="A-"/>
            </w:pPr>
          </w:p>
        </w:tc>
        <w:tc>
          <w:tcPr>
            <w:tcW w:w="524" w:type="pct"/>
            <w:vAlign w:val="center"/>
          </w:tcPr>
          <w:p w14:paraId="450A318F" w14:textId="77777777" w:rsidR="002E474C" w:rsidRDefault="00000000">
            <w:pPr>
              <w:pStyle w:val="A-"/>
            </w:pPr>
            <w:r>
              <w:t>非特定行业</w:t>
            </w:r>
          </w:p>
        </w:tc>
        <w:tc>
          <w:tcPr>
            <w:tcW w:w="372" w:type="pct"/>
            <w:vAlign w:val="center"/>
          </w:tcPr>
          <w:p w14:paraId="331C0F52" w14:textId="77777777" w:rsidR="002E474C" w:rsidRDefault="00000000">
            <w:pPr>
              <w:pStyle w:val="A-"/>
              <w:ind w:leftChars="-25" w:left="-53" w:rightChars="-25" w:right="-53"/>
            </w:pPr>
            <w:r>
              <w:t>固态、液态</w:t>
            </w:r>
          </w:p>
        </w:tc>
        <w:tc>
          <w:tcPr>
            <w:tcW w:w="457" w:type="pct"/>
            <w:vAlign w:val="center"/>
          </w:tcPr>
          <w:p w14:paraId="5684847F" w14:textId="77777777" w:rsidR="002E474C" w:rsidRDefault="00000000">
            <w:pPr>
              <w:pStyle w:val="A-"/>
            </w:pPr>
            <w:r>
              <w:t>900-019-16</w:t>
            </w:r>
          </w:p>
        </w:tc>
        <w:tc>
          <w:tcPr>
            <w:tcW w:w="2678" w:type="pct"/>
            <w:vAlign w:val="center"/>
          </w:tcPr>
          <w:p w14:paraId="34DBCF75" w14:textId="77777777" w:rsidR="002E474C" w:rsidRDefault="00000000">
            <w:pPr>
              <w:pStyle w:val="A-"/>
            </w:pPr>
            <w:r>
              <w:t>其他行业产生的废显（定）影剂、胶片及废像纸</w:t>
            </w:r>
          </w:p>
        </w:tc>
        <w:tc>
          <w:tcPr>
            <w:tcW w:w="395" w:type="pct"/>
            <w:vAlign w:val="center"/>
          </w:tcPr>
          <w:p w14:paraId="6FB294BE" w14:textId="77777777" w:rsidR="002E474C" w:rsidRDefault="00000000">
            <w:pPr>
              <w:pStyle w:val="A-"/>
            </w:pPr>
            <w:r>
              <w:t>T</w:t>
            </w:r>
          </w:p>
        </w:tc>
      </w:tr>
      <w:tr w:rsidR="002E474C" w14:paraId="3D0676B0" w14:textId="77777777">
        <w:trPr>
          <w:trHeight w:val="240"/>
        </w:trPr>
        <w:tc>
          <w:tcPr>
            <w:tcW w:w="574" w:type="pct"/>
            <w:vMerge w:val="restart"/>
            <w:vAlign w:val="center"/>
          </w:tcPr>
          <w:p w14:paraId="13C277FF" w14:textId="77777777" w:rsidR="002E474C" w:rsidRDefault="00000000">
            <w:pPr>
              <w:pStyle w:val="A-"/>
            </w:pPr>
            <w:r>
              <w:t>HW17</w:t>
            </w:r>
          </w:p>
          <w:p w14:paraId="26822471" w14:textId="77777777" w:rsidR="002E474C" w:rsidRDefault="00000000">
            <w:pPr>
              <w:pStyle w:val="A-"/>
            </w:pPr>
            <w:r>
              <w:t>表面处理废物</w:t>
            </w:r>
          </w:p>
        </w:tc>
        <w:tc>
          <w:tcPr>
            <w:tcW w:w="524" w:type="pct"/>
            <w:vMerge w:val="restart"/>
            <w:vAlign w:val="center"/>
          </w:tcPr>
          <w:p w14:paraId="69BCBC5E" w14:textId="77777777" w:rsidR="002E474C" w:rsidRDefault="00000000">
            <w:pPr>
              <w:pStyle w:val="A-"/>
            </w:pPr>
            <w:r>
              <w:t>金属表面处理及热处理加工</w:t>
            </w:r>
          </w:p>
        </w:tc>
        <w:tc>
          <w:tcPr>
            <w:tcW w:w="372" w:type="pct"/>
            <w:vMerge w:val="restart"/>
            <w:vAlign w:val="center"/>
          </w:tcPr>
          <w:p w14:paraId="089360A2" w14:textId="77777777" w:rsidR="002E474C" w:rsidRDefault="00000000">
            <w:pPr>
              <w:pStyle w:val="A-"/>
              <w:ind w:leftChars="-25" w:left="-53" w:rightChars="-25" w:right="-53"/>
            </w:pPr>
            <w:r>
              <w:rPr>
                <w:spacing w:val="-6"/>
              </w:rPr>
              <w:t>固态、半固态、液态</w:t>
            </w:r>
          </w:p>
        </w:tc>
        <w:tc>
          <w:tcPr>
            <w:tcW w:w="457" w:type="pct"/>
            <w:vAlign w:val="center"/>
          </w:tcPr>
          <w:p w14:paraId="18EECB58" w14:textId="77777777" w:rsidR="002E474C" w:rsidRDefault="00000000">
            <w:pPr>
              <w:pStyle w:val="A-"/>
            </w:pPr>
            <w:r>
              <w:t>336-050-17</w:t>
            </w:r>
          </w:p>
        </w:tc>
        <w:tc>
          <w:tcPr>
            <w:tcW w:w="2678" w:type="pct"/>
            <w:vAlign w:val="center"/>
          </w:tcPr>
          <w:p w14:paraId="1BFBB40E" w14:textId="77777777" w:rsidR="002E474C" w:rsidRDefault="00000000">
            <w:pPr>
              <w:pStyle w:val="A-"/>
            </w:pPr>
            <w:r>
              <w:t>使用氯化亚锡进行敏化处理产生的废渣和废水处理污泥</w:t>
            </w:r>
          </w:p>
        </w:tc>
        <w:tc>
          <w:tcPr>
            <w:tcW w:w="395" w:type="pct"/>
            <w:vAlign w:val="center"/>
          </w:tcPr>
          <w:p w14:paraId="223742B2" w14:textId="77777777" w:rsidR="002E474C" w:rsidRDefault="00000000">
            <w:pPr>
              <w:pStyle w:val="A-"/>
            </w:pPr>
            <w:r>
              <w:t>T</w:t>
            </w:r>
          </w:p>
        </w:tc>
      </w:tr>
      <w:tr w:rsidR="002E474C" w14:paraId="5D9B0A0F" w14:textId="77777777">
        <w:trPr>
          <w:trHeight w:val="240"/>
        </w:trPr>
        <w:tc>
          <w:tcPr>
            <w:tcW w:w="574" w:type="pct"/>
            <w:vMerge/>
            <w:vAlign w:val="center"/>
          </w:tcPr>
          <w:p w14:paraId="3C04177A" w14:textId="77777777" w:rsidR="002E474C" w:rsidRDefault="002E474C">
            <w:pPr>
              <w:pStyle w:val="A-"/>
            </w:pPr>
          </w:p>
        </w:tc>
        <w:tc>
          <w:tcPr>
            <w:tcW w:w="524" w:type="pct"/>
            <w:vMerge/>
            <w:vAlign w:val="center"/>
          </w:tcPr>
          <w:p w14:paraId="04057F7C" w14:textId="77777777" w:rsidR="002E474C" w:rsidRDefault="002E474C">
            <w:pPr>
              <w:pStyle w:val="A-"/>
            </w:pPr>
          </w:p>
        </w:tc>
        <w:tc>
          <w:tcPr>
            <w:tcW w:w="372" w:type="pct"/>
            <w:vMerge/>
            <w:vAlign w:val="center"/>
          </w:tcPr>
          <w:p w14:paraId="61F87B8E" w14:textId="77777777" w:rsidR="002E474C" w:rsidRDefault="002E474C">
            <w:pPr>
              <w:pStyle w:val="A-"/>
            </w:pPr>
          </w:p>
        </w:tc>
        <w:tc>
          <w:tcPr>
            <w:tcW w:w="457" w:type="pct"/>
            <w:vAlign w:val="center"/>
          </w:tcPr>
          <w:p w14:paraId="14A8E9AE" w14:textId="77777777" w:rsidR="002E474C" w:rsidRDefault="00000000">
            <w:pPr>
              <w:pStyle w:val="A-"/>
            </w:pPr>
            <w:r>
              <w:t>336-051-17</w:t>
            </w:r>
          </w:p>
        </w:tc>
        <w:tc>
          <w:tcPr>
            <w:tcW w:w="2678" w:type="pct"/>
            <w:vAlign w:val="center"/>
          </w:tcPr>
          <w:p w14:paraId="2F196BB0" w14:textId="77777777" w:rsidR="002E474C" w:rsidRDefault="00000000">
            <w:pPr>
              <w:pStyle w:val="A-"/>
            </w:pPr>
            <w:r>
              <w:t>使用氯化锌、氯化铵进行敏化处理产生的废渣和废水处理污泥</w:t>
            </w:r>
          </w:p>
        </w:tc>
        <w:tc>
          <w:tcPr>
            <w:tcW w:w="395" w:type="pct"/>
            <w:vAlign w:val="center"/>
          </w:tcPr>
          <w:p w14:paraId="7D45109B" w14:textId="77777777" w:rsidR="002E474C" w:rsidRDefault="00000000">
            <w:pPr>
              <w:pStyle w:val="A-"/>
            </w:pPr>
            <w:r>
              <w:t>T</w:t>
            </w:r>
          </w:p>
        </w:tc>
      </w:tr>
      <w:tr w:rsidR="002E474C" w14:paraId="31A9FD8D" w14:textId="77777777">
        <w:trPr>
          <w:trHeight w:val="240"/>
        </w:trPr>
        <w:tc>
          <w:tcPr>
            <w:tcW w:w="574" w:type="pct"/>
            <w:vMerge/>
            <w:vAlign w:val="center"/>
          </w:tcPr>
          <w:p w14:paraId="1FDDD61D" w14:textId="77777777" w:rsidR="002E474C" w:rsidRDefault="002E474C">
            <w:pPr>
              <w:pStyle w:val="A-"/>
            </w:pPr>
          </w:p>
        </w:tc>
        <w:tc>
          <w:tcPr>
            <w:tcW w:w="524" w:type="pct"/>
            <w:vMerge/>
            <w:vAlign w:val="center"/>
          </w:tcPr>
          <w:p w14:paraId="1C6BE942" w14:textId="77777777" w:rsidR="002E474C" w:rsidRDefault="002E474C">
            <w:pPr>
              <w:pStyle w:val="A-"/>
            </w:pPr>
          </w:p>
        </w:tc>
        <w:tc>
          <w:tcPr>
            <w:tcW w:w="372" w:type="pct"/>
            <w:vMerge/>
            <w:vAlign w:val="center"/>
          </w:tcPr>
          <w:p w14:paraId="72E050D4" w14:textId="77777777" w:rsidR="002E474C" w:rsidRDefault="002E474C">
            <w:pPr>
              <w:pStyle w:val="A-"/>
            </w:pPr>
          </w:p>
        </w:tc>
        <w:tc>
          <w:tcPr>
            <w:tcW w:w="457" w:type="pct"/>
            <w:vAlign w:val="center"/>
          </w:tcPr>
          <w:p w14:paraId="2289DCA3" w14:textId="77777777" w:rsidR="002E474C" w:rsidRDefault="00000000">
            <w:pPr>
              <w:pStyle w:val="A-"/>
            </w:pPr>
            <w:r>
              <w:t>336-052-17</w:t>
            </w:r>
          </w:p>
        </w:tc>
        <w:tc>
          <w:tcPr>
            <w:tcW w:w="2678" w:type="pct"/>
            <w:vAlign w:val="center"/>
          </w:tcPr>
          <w:p w14:paraId="1DE22A5D" w14:textId="77777777" w:rsidR="002E474C" w:rsidRDefault="00000000">
            <w:pPr>
              <w:pStyle w:val="A-"/>
            </w:pPr>
            <w:r>
              <w:t>使用锌和电镀化学品进行镀锌产生的废槽液、槽渣和废水处理污泥</w:t>
            </w:r>
          </w:p>
        </w:tc>
        <w:tc>
          <w:tcPr>
            <w:tcW w:w="395" w:type="pct"/>
            <w:vAlign w:val="center"/>
          </w:tcPr>
          <w:p w14:paraId="088000C3" w14:textId="77777777" w:rsidR="002E474C" w:rsidRDefault="00000000">
            <w:pPr>
              <w:pStyle w:val="A-"/>
            </w:pPr>
            <w:r>
              <w:t>T</w:t>
            </w:r>
          </w:p>
        </w:tc>
      </w:tr>
      <w:tr w:rsidR="002E474C" w14:paraId="6E62EB5D" w14:textId="77777777">
        <w:trPr>
          <w:trHeight w:val="240"/>
        </w:trPr>
        <w:tc>
          <w:tcPr>
            <w:tcW w:w="574" w:type="pct"/>
            <w:vMerge/>
            <w:vAlign w:val="center"/>
          </w:tcPr>
          <w:p w14:paraId="6170D35A" w14:textId="77777777" w:rsidR="002E474C" w:rsidRDefault="002E474C">
            <w:pPr>
              <w:pStyle w:val="A-"/>
            </w:pPr>
          </w:p>
        </w:tc>
        <w:tc>
          <w:tcPr>
            <w:tcW w:w="524" w:type="pct"/>
            <w:vMerge/>
            <w:vAlign w:val="center"/>
          </w:tcPr>
          <w:p w14:paraId="40690853" w14:textId="77777777" w:rsidR="002E474C" w:rsidRDefault="002E474C">
            <w:pPr>
              <w:pStyle w:val="A-"/>
            </w:pPr>
          </w:p>
        </w:tc>
        <w:tc>
          <w:tcPr>
            <w:tcW w:w="372" w:type="pct"/>
            <w:vMerge/>
            <w:vAlign w:val="center"/>
          </w:tcPr>
          <w:p w14:paraId="18712FD2" w14:textId="77777777" w:rsidR="002E474C" w:rsidRDefault="002E474C">
            <w:pPr>
              <w:pStyle w:val="A-"/>
            </w:pPr>
          </w:p>
        </w:tc>
        <w:tc>
          <w:tcPr>
            <w:tcW w:w="457" w:type="pct"/>
            <w:vAlign w:val="center"/>
          </w:tcPr>
          <w:p w14:paraId="494452B2" w14:textId="77777777" w:rsidR="002E474C" w:rsidRDefault="00000000">
            <w:pPr>
              <w:pStyle w:val="A-"/>
            </w:pPr>
            <w:r>
              <w:t>336-053-17</w:t>
            </w:r>
          </w:p>
        </w:tc>
        <w:tc>
          <w:tcPr>
            <w:tcW w:w="2678" w:type="pct"/>
            <w:vAlign w:val="center"/>
          </w:tcPr>
          <w:p w14:paraId="5D255479" w14:textId="77777777" w:rsidR="002E474C" w:rsidRDefault="00000000">
            <w:pPr>
              <w:pStyle w:val="A-"/>
            </w:pPr>
            <w:r>
              <w:t>使用镉和电镀化学品进行镀镉产生的废槽液、槽渣和废水处理污泥</w:t>
            </w:r>
          </w:p>
        </w:tc>
        <w:tc>
          <w:tcPr>
            <w:tcW w:w="395" w:type="pct"/>
            <w:vAlign w:val="center"/>
          </w:tcPr>
          <w:p w14:paraId="7C268FAD" w14:textId="77777777" w:rsidR="002E474C" w:rsidRDefault="00000000">
            <w:pPr>
              <w:pStyle w:val="A-"/>
            </w:pPr>
            <w:r>
              <w:t>T</w:t>
            </w:r>
          </w:p>
        </w:tc>
      </w:tr>
      <w:tr w:rsidR="002E474C" w14:paraId="1217F47C" w14:textId="77777777">
        <w:trPr>
          <w:trHeight w:val="240"/>
        </w:trPr>
        <w:tc>
          <w:tcPr>
            <w:tcW w:w="574" w:type="pct"/>
            <w:vMerge/>
            <w:vAlign w:val="center"/>
          </w:tcPr>
          <w:p w14:paraId="63EC3104" w14:textId="77777777" w:rsidR="002E474C" w:rsidRDefault="002E474C">
            <w:pPr>
              <w:pStyle w:val="A-"/>
            </w:pPr>
          </w:p>
        </w:tc>
        <w:tc>
          <w:tcPr>
            <w:tcW w:w="524" w:type="pct"/>
            <w:vMerge/>
            <w:vAlign w:val="center"/>
          </w:tcPr>
          <w:p w14:paraId="77214562" w14:textId="77777777" w:rsidR="002E474C" w:rsidRDefault="002E474C">
            <w:pPr>
              <w:pStyle w:val="A-"/>
            </w:pPr>
          </w:p>
        </w:tc>
        <w:tc>
          <w:tcPr>
            <w:tcW w:w="372" w:type="pct"/>
            <w:vMerge/>
            <w:vAlign w:val="center"/>
          </w:tcPr>
          <w:p w14:paraId="526FC61F" w14:textId="77777777" w:rsidR="002E474C" w:rsidRDefault="002E474C">
            <w:pPr>
              <w:pStyle w:val="A-"/>
            </w:pPr>
          </w:p>
        </w:tc>
        <w:tc>
          <w:tcPr>
            <w:tcW w:w="457" w:type="pct"/>
            <w:vAlign w:val="center"/>
          </w:tcPr>
          <w:p w14:paraId="2510877A" w14:textId="77777777" w:rsidR="002E474C" w:rsidRDefault="00000000">
            <w:pPr>
              <w:pStyle w:val="A-"/>
            </w:pPr>
            <w:r>
              <w:t>336-054-17</w:t>
            </w:r>
          </w:p>
        </w:tc>
        <w:tc>
          <w:tcPr>
            <w:tcW w:w="2678" w:type="pct"/>
            <w:vAlign w:val="center"/>
          </w:tcPr>
          <w:p w14:paraId="062A2299" w14:textId="77777777" w:rsidR="002E474C" w:rsidRDefault="00000000">
            <w:pPr>
              <w:pStyle w:val="A-"/>
            </w:pPr>
            <w:r>
              <w:t>使用镍和电镀化学品进行镀镍产生的废槽液、槽渣和废水处理污泥</w:t>
            </w:r>
          </w:p>
        </w:tc>
        <w:tc>
          <w:tcPr>
            <w:tcW w:w="395" w:type="pct"/>
            <w:vAlign w:val="center"/>
          </w:tcPr>
          <w:p w14:paraId="197E01CE" w14:textId="77777777" w:rsidR="002E474C" w:rsidRDefault="00000000">
            <w:pPr>
              <w:pStyle w:val="A-"/>
            </w:pPr>
            <w:r>
              <w:t>T</w:t>
            </w:r>
          </w:p>
        </w:tc>
      </w:tr>
      <w:tr w:rsidR="002E474C" w14:paraId="6BFA1AA9" w14:textId="77777777">
        <w:trPr>
          <w:trHeight w:val="240"/>
        </w:trPr>
        <w:tc>
          <w:tcPr>
            <w:tcW w:w="574" w:type="pct"/>
            <w:vMerge/>
            <w:vAlign w:val="center"/>
          </w:tcPr>
          <w:p w14:paraId="3C0AF8D0" w14:textId="77777777" w:rsidR="002E474C" w:rsidRDefault="002E474C">
            <w:pPr>
              <w:pStyle w:val="A-"/>
            </w:pPr>
          </w:p>
        </w:tc>
        <w:tc>
          <w:tcPr>
            <w:tcW w:w="524" w:type="pct"/>
            <w:vMerge/>
            <w:vAlign w:val="center"/>
          </w:tcPr>
          <w:p w14:paraId="0BF80D25" w14:textId="77777777" w:rsidR="002E474C" w:rsidRDefault="002E474C">
            <w:pPr>
              <w:pStyle w:val="A-"/>
            </w:pPr>
          </w:p>
        </w:tc>
        <w:tc>
          <w:tcPr>
            <w:tcW w:w="372" w:type="pct"/>
            <w:vMerge/>
            <w:vAlign w:val="center"/>
          </w:tcPr>
          <w:p w14:paraId="461D0627" w14:textId="77777777" w:rsidR="002E474C" w:rsidRDefault="002E474C">
            <w:pPr>
              <w:pStyle w:val="A-"/>
            </w:pPr>
          </w:p>
        </w:tc>
        <w:tc>
          <w:tcPr>
            <w:tcW w:w="457" w:type="pct"/>
            <w:vAlign w:val="center"/>
          </w:tcPr>
          <w:p w14:paraId="6281EB78" w14:textId="77777777" w:rsidR="002E474C" w:rsidRDefault="00000000">
            <w:pPr>
              <w:pStyle w:val="A-"/>
            </w:pPr>
            <w:r>
              <w:t>336-055-17</w:t>
            </w:r>
          </w:p>
        </w:tc>
        <w:tc>
          <w:tcPr>
            <w:tcW w:w="2678" w:type="pct"/>
            <w:vAlign w:val="center"/>
          </w:tcPr>
          <w:p w14:paraId="2D334A9D" w14:textId="77777777" w:rsidR="002E474C" w:rsidRDefault="00000000">
            <w:pPr>
              <w:pStyle w:val="A-"/>
            </w:pPr>
            <w:r>
              <w:t>使用镀镍液进行镀镍产生的废槽液、槽渣和废水处理污泥</w:t>
            </w:r>
          </w:p>
        </w:tc>
        <w:tc>
          <w:tcPr>
            <w:tcW w:w="395" w:type="pct"/>
            <w:vAlign w:val="center"/>
          </w:tcPr>
          <w:p w14:paraId="23C231B8" w14:textId="77777777" w:rsidR="002E474C" w:rsidRDefault="00000000">
            <w:pPr>
              <w:pStyle w:val="A-"/>
            </w:pPr>
            <w:r>
              <w:t>T</w:t>
            </w:r>
          </w:p>
        </w:tc>
      </w:tr>
      <w:tr w:rsidR="002E474C" w14:paraId="72576B2A" w14:textId="77777777">
        <w:trPr>
          <w:trHeight w:val="240"/>
        </w:trPr>
        <w:tc>
          <w:tcPr>
            <w:tcW w:w="574" w:type="pct"/>
            <w:vMerge/>
            <w:vAlign w:val="center"/>
          </w:tcPr>
          <w:p w14:paraId="74DDB5C9" w14:textId="77777777" w:rsidR="002E474C" w:rsidRDefault="002E474C">
            <w:pPr>
              <w:pStyle w:val="A-"/>
            </w:pPr>
          </w:p>
        </w:tc>
        <w:tc>
          <w:tcPr>
            <w:tcW w:w="524" w:type="pct"/>
            <w:vMerge/>
            <w:vAlign w:val="center"/>
          </w:tcPr>
          <w:p w14:paraId="7893CB8A" w14:textId="77777777" w:rsidR="002E474C" w:rsidRDefault="002E474C">
            <w:pPr>
              <w:pStyle w:val="A-"/>
            </w:pPr>
          </w:p>
        </w:tc>
        <w:tc>
          <w:tcPr>
            <w:tcW w:w="372" w:type="pct"/>
            <w:vMerge/>
            <w:vAlign w:val="center"/>
          </w:tcPr>
          <w:p w14:paraId="58F46026" w14:textId="77777777" w:rsidR="002E474C" w:rsidRDefault="002E474C">
            <w:pPr>
              <w:pStyle w:val="A-"/>
            </w:pPr>
          </w:p>
        </w:tc>
        <w:tc>
          <w:tcPr>
            <w:tcW w:w="457" w:type="pct"/>
            <w:vAlign w:val="center"/>
          </w:tcPr>
          <w:p w14:paraId="321964C0" w14:textId="77777777" w:rsidR="002E474C" w:rsidRDefault="00000000">
            <w:pPr>
              <w:pStyle w:val="A-"/>
            </w:pPr>
            <w:r>
              <w:t>336-056-17</w:t>
            </w:r>
          </w:p>
        </w:tc>
        <w:tc>
          <w:tcPr>
            <w:tcW w:w="2678" w:type="pct"/>
            <w:vAlign w:val="center"/>
          </w:tcPr>
          <w:p w14:paraId="133AF684" w14:textId="77777777" w:rsidR="002E474C" w:rsidRDefault="00000000">
            <w:pPr>
              <w:pStyle w:val="A-"/>
            </w:pPr>
            <w:r>
              <w:t>使用硝酸银、碱、甲醛进行敷金属法镀银产生的废槽液、槽渣和废水处理污泥</w:t>
            </w:r>
          </w:p>
        </w:tc>
        <w:tc>
          <w:tcPr>
            <w:tcW w:w="395" w:type="pct"/>
            <w:vAlign w:val="center"/>
          </w:tcPr>
          <w:p w14:paraId="580FD47C" w14:textId="77777777" w:rsidR="002E474C" w:rsidRDefault="00000000">
            <w:pPr>
              <w:pStyle w:val="A-"/>
            </w:pPr>
            <w:r>
              <w:t>T</w:t>
            </w:r>
          </w:p>
        </w:tc>
      </w:tr>
      <w:tr w:rsidR="002E474C" w14:paraId="1FC10E41" w14:textId="77777777">
        <w:trPr>
          <w:trHeight w:val="240"/>
        </w:trPr>
        <w:tc>
          <w:tcPr>
            <w:tcW w:w="574" w:type="pct"/>
            <w:vMerge/>
            <w:vAlign w:val="center"/>
          </w:tcPr>
          <w:p w14:paraId="1EB72D76" w14:textId="77777777" w:rsidR="002E474C" w:rsidRDefault="002E474C">
            <w:pPr>
              <w:pStyle w:val="A-"/>
            </w:pPr>
          </w:p>
        </w:tc>
        <w:tc>
          <w:tcPr>
            <w:tcW w:w="524" w:type="pct"/>
            <w:vMerge/>
            <w:vAlign w:val="center"/>
          </w:tcPr>
          <w:p w14:paraId="7457BD70" w14:textId="77777777" w:rsidR="002E474C" w:rsidRDefault="002E474C">
            <w:pPr>
              <w:pStyle w:val="A-"/>
            </w:pPr>
          </w:p>
        </w:tc>
        <w:tc>
          <w:tcPr>
            <w:tcW w:w="372" w:type="pct"/>
            <w:vMerge/>
            <w:vAlign w:val="center"/>
          </w:tcPr>
          <w:p w14:paraId="650B6D04" w14:textId="77777777" w:rsidR="002E474C" w:rsidRDefault="002E474C">
            <w:pPr>
              <w:pStyle w:val="A-"/>
            </w:pPr>
          </w:p>
        </w:tc>
        <w:tc>
          <w:tcPr>
            <w:tcW w:w="457" w:type="pct"/>
            <w:vAlign w:val="center"/>
          </w:tcPr>
          <w:p w14:paraId="0262320F" w14:textId="77777777" w:rsidR="002E474C" w:rsidRDefault="00000000">
            <w:pPr>
              <w:pStyle w:val="A-"/>
            </w:pPr>
            <w:r>
              <w:t>336-057-17</w:t>
            </w:r>
          </w:p>
        </w:tc>
        <w:tc>
          <w:tcPr>
            <w:tcW w:w="2678" w:type="pct"/>
            <w:vAlign w:val="center"/>
          </w:tcPr>
          <w:p w14:paraId="0C2729BE" w14:textId="77777777" w:rsidR="002E474C" w:rsidRDefault="00000000">
            <w:pPr>
              <w:pStyle w:val="A-"/>
            </w:pPr>
            <w:r>
              <w:t>使用金和电镀化学品进行镀金产生的废槽液、槽渣和废水处理污泥</w:t>
            </w:r>
          </w:p>
        </w:tc>
        <w:tc>
          <w:tcPr>
            <w:tcW w:w="395" w:type="pct"/>
            <w:vAlign w:val="center"/>
          </w:tcPr>
          <w:p w14:paraId="55790BA8" w14:textId="77777777" w:rsidR="002E474C" w:rsidRDefault="00000000">
            <w:pPr>
              <w:pStyle w:val="A-"/>
            </w:pPr>
            <w:r>
              <w:t>T</w:t>
            </w:r>
          </w:p>
        </w:tc>
      </w:tr>
      <w:tr w:rsidR="002E474C" w14:paraId="1B67636B" w14:textId="77777777">
        <w:trPr>
          <w:trHeight w:val="240"/>
        </w:trPr>
        <w:tc>
          <w:tcPr>
            <w:tcW w:w="574" w:type="pct"/>
            <w:vMerge/>
            <w:vAlign w:val="center"/>
          </w:tcPr>
          <w:p w14:paraId="4C4CA330" w14:textId="77777777" w:rsidR="002E474C" w:rsidRDefault="002E474C">
            <w:pPr>
              <w:pStyle w:val="A-"/>
            </w:pPr>
          </w:p>
        </w:tc>
        <w:tc>
          <w:tcPr>
            <w:tcW w:w="524" w:type="pct"/>
            <w:vMerge/>
            <w:vAlign w:val="center"/>
          </w:tcPr>
          <w:p w14:paraId="331D3E88" w14:textId="77777777" w:rsidR="002E474C" w:rsidRDefault="002E474C">
            <w:pPr>
              <w:pStyle w:val="A-"/>
            </w:pPr>
          </w:p>
        </w:tc>
        <w:tc>
          <w:tcPr>
            <w:tcW w:w="372" w:type="pct"/>
            <w:vMerge/>
            <w:vAlign w:val="center"/>
          </w:tcPr>
          <w:p w14:paraId="03F4B5EF" w14:textId="77777777" w:rsidR="002E474C" w:rsidRDefault="002E474C">
            <w:pPr>
              <w:pStyle w:val="A-"/>
            </w:pPr>
          </w:p>
        </w:tc>
        <w:tc>
          <w:tcPr>
            <w:tcW w:w="457" w:type="pct"/>
            <w:vAlign w:val="center"/>
          </w:tcPr>
          <w:p w14:paraId="5DF45316" w14:textId="77777777" w:rsidR="002E474C" w:rsidRDefault="00000000">
            <w:pPr>
              <w:pStyle w:val="A-"/>
            </w:pPr>
            <w:r>
              <w:t>336-058-17</w:t>
            </w:r>
          </w:p>
        </w:tc>
        <w:tc>
          <w:tcPr>
            <w:tcW w:w="2678" w:type="pct"/>
            <w:vAlign w:val="center"/>
          </w:tcPr>
          <w:p w14:paraId="012454DA" w14:textId="77777777" w:rsidR="002E474C" w:rsidRDefault="00000000">
            <w:pPr>
              <w:pStyle w:val="A-"/>
            </w:pPr>
            <w:r>
              <w:t>使用镀铜液进行化学镀铜产生的废槽液、槽渣和废水处理污泥</w:t>
            </w:r>
          </w:p>
        </w:tc>
        <w:tc>
          <w:tcPr>
            <w:tcW w:w="395" w:type="pct"/>
            <w:vAlign w:val="center"/>
          </w:tcPr>
          <w:p w14:paraId="69D7EB36" w14:textId="77777777" w:rsidR="002E474C" w:rsidRDefault="00000000">
            <w:pPr>
              <w:pStyle w:val="A-"/>
            </w:pPr>
            <w:r>
              <w:t>T</w:t>
            </w:r>
          </w:p>
        </w:tc>
      </w:tr>
      <w:tr w:rsidR="002E474C" w14:paraId="373B3F97" w14:textId="77777777">
        <w:trPr>
          <w:trHeight w:val="240"/>
        </w:trPr>
        <w:tc>
          <w:tcPr>
            <w:tcW w:w="574" w:type="pct"/>
            <w:vMerge/>
            <w:vAlign w:val="center"/>
          </w:tcPr>
          <w:p w14:paraId="685DB4EB" w14:textId="77777777" w:rsidR="002E474C" w:rsidRDefault="002E474C">
            <w:pPr>
              <w:pStyle w:val="A-"/>
            </w:pPr>
          </w:p>
        </w:tc>
        <w:tc>
          <w:tcPr>
            <w:tcW w:w="524" w:type="pct"/>
            <w:vMerge/>
            <w:vAlign w:val="center"/>
          </w:tcPr>
          <w:p w14:paraId="6DF28C49" w14:textId="77777777" w:rsidR="002E474C" w:rsidRDefault="002E474C">
            <w:pPr>
              <w:pStyle w:val="A-"/>
            </w:pPr>
          </w:p>
        </w:tc>
        <w:tc>
          <w:tcPr>
            <w:tcW w:w="372" w:type="pct"/>
            <w:vMerge/>
            <w:vAlign w:val="center"/>
          </w:tcPr>
          <w:p w14:paraId="0CFCC276" w14:textId="77777777" w:rsidR="002E474C" w:rsidRDefault="002E474C">
            <w:pPr>
              <w:pStyle w:val="A-"/>
            </w:pPr>
          </w:p>
        </w:tc>
        <w:tc>
          <w:tcPr>
            <w:tcW w:w="457" w:type="pct"/>
            <w:vAlign w:val="center"/>
          </w:tcPr>
          <w:p w14:paraId="57BCD8BF" w14:textId="77777777" w:rsidR="002E474C" w:rsidRDefault="00000000">
            <w:pPr>
              <w:pStyle w:val="A-"/>
            </w:pPr>
            <w:r>
              <w:t>336-059-17</w:t>
            </w:r>
          </w:p>
        </w:tc>
        <w:tc>
          <w:tcPr>
            <w:tcW w:w="2678" w:type="pct"/>
            <w:vAlign w:val="center"/>
          </w:tcPr>
          <w:p w14:paraId="02D3F3DA" w14:textId="77777777" w:rsidR="002E474C" w:rsidRDefault="00000000">
            <w:pPr>
              <w:pStyle w:val="A-"/>
            </w:pPr>
            <w:r>
              <w:t>使用钯和锡盐进行活化处理产生的废渣和废水处理污泥</w:t>
            </w:r>
          </w:p>
        </w:tc>
        <w:tc>
          <w:tcPr>
            <w:tcW w:w="395" w:type="pct"/>
            <w:vAlign w:val="center"/>
          </w:tcPr>
          <w:p w14:paraId="183EAB38" w14:textId="77777777" w:rsidR="002E474C" w:rsidRDefault="00000000">
            <w:pPr>
              <w:pStyle w:val="A-"/>
            </w:pPr>
            <w:r>
              <w:t>T</w:t>
            </w:r>
          </w:p>
        </w:tc>
      </w:tr>
      <w:tr w:rsidR="002E474C" w14:paraId="2166A94C" w14:textId="77777777">
        <w:trPr>
          <w:trHeight w:val="240"/>
        </w:trPr>
        <w:tc>
          <w:tcPr>
            <w:tcW w:w="574" w:type="pct"/>
            <w:vMerge/>
            <w:vAlign w:val="center"/>
          </w:tcPr>
          <w:p w14:paraId="77034FD4" w14:textId="77777777" w:rsidR="002E474C" w:rsidRDefault="002E474C">
            <w:pPr>
              <w:pStyle w:val="A-"/>
            </w:pPr>
          </w:p>
        </w:tc>
        <w:tc>
          <w:tcPr>
            <w:tcW w:w="524" w:type="pct"/>
            <w:vMerge/>
            <w:vAlign w:val="center"/>
          </w:tcPr>
          <w:p w14:paraId="551A7F43" w14:textId="77777777" w:rsidR="002E474C" w:rsidRDefault="002E474C">
            <w:pPr>
              <w:pStyle w:val="A-"/>
            </w:pPr>
          </w:p>
        </w:tc>
        <w:tc>
          <w:tcPr>
            <w:tcW w:w="372" w:type="pct"/>
            <w:vMerge/>
            <w:vAlign w:val="center"/>
          </w:tcPr>
          <w:p w14:paraId="749101EE" w14:textId="77777777" w:rsidR="002E474C" w:rsidRDefault="002E474C">
            <w:pPr>
              <w:pStyle w:val="A-"/>
            </w:pPr>
          </w:p>
        </w:tc>
        <w:tc>
          <w:tcPr>
            <w:tcW w:w="457" w:type="pct"/>
            <w:vAlign w:val="center"/>
          </w:tcPr>
          <w:p w14:paraId="7A040A6F" w14:textId="77777777" w:rsidR="002E474C" w:rsidRDefault="00000000">
            <w:pPr>
              <w:pStyle w:val="A-"/>
            </w:pPr>
            <w:r>
              <w:t>336-060-17</w:t>
            </w:r>
          </w:p>
        </w:tc>
        <w:tc>
          <w:tcPr>
            <w:tcW w:w="2678" w:type="pct"/>
            <w:vAlign w:val="center"/>
          </w:tcPr>
          <w:p w14:paraId="081131A6" w14:textId="77777777" w:rsidR="002E474C" w:rsidRDefault="00000000">
            <w:pPr>
              <w:pStyle w:val="A-"/>
            </w:pPr>
            <w:r>
              <w:t>使用铬和电镀化学品进行镀黑铬产生的废槽液、槽渣和废水处理污泥</w:t>
            </w:r>
          </w:p>
        </w:tc>
        <w:tc>
          <w:tcPr>
            <w:tcW w:w="395" w:type="pct"/>
            <w:vAlign w:val="center"/>
          </w:tcPr>
          <w:p w14:paraId="16AA6162" w14:textId="77777777" w:rsidR="002E474C" w:rsidRDefault="00000000">
            <w:pPr>
              <w:pStyle w:val="A-"/>
            </w:pPr>
            <w:r>
              <w:t>T</w:t>
            </w:r>
          </w:p>
        </w:tc>
      </w:tr>
      <w:tr w:rsidR="002E474C" w14:paraId="11499097" w14:textId="77777777">
        <w:trPr>
          <w:trHeight w:val="240"/>
        </w:trPr>
        <w:tc>
          <w:tcPr>
            <w:tcW w:w="574" w:type="pct"/>
            <w:vMerge/>
            <w:vAlign w:val="center"/>
          </w:tcPr>
          <w:p w14:paraId="7A798107" w14:textId="77777777" w:rsidR="002E474C" w:rsidRDefault="002E474C">
            <w:pPr>
              <w:pStyle w:val="A-"/>
            </w:pPr>
          </w:p>
        </w:tc>
        <w:tc>
          <w:tcPr>
            <w:tcW w:w="524" w:type="pct"/>
            <w:vMerge/>
            <w:vAlign w:val="center"/>
          </w:tcPr>
          <w:p w14:paraId="2257E121" w14:textId="77777777" w:rsidR="002E474C" w:rsidRDefault="002E474C">
            <w:pPr>
              <w:pStyle w:val="A-"/>
            </w:pPr>
          </w:p>
        </w:tc>
        <w:tc>
          <w:tcPr>
            <w:tcW w:w="372" w:type="pct"/>
            <w:vMerge/>
            <w:vAlign w:val="center"/>
          </w:tcPr>
          <w:p w14:paraId="206484EF" w14:textId="77777777" w:rsidR="002E474C" w:rsidRDefault="002E474C">
            <w:pPr>
              <w:pStyle w:val="A-"/>
            </w:pPr>
          </w:p>
        </w:tc>
        <w:tc>
          <w:tcPr>
            <w:tcW w:w="457" w:type="pct"/>
            <w:vAlign w:val="center"/>
          </w:tcPr>
          <w:p w14:paraId="4B4C8569" w14:textId="77777777" w:rsidR="002E474C" w:rsidRDefault="00000000">
            <w:pPr>
              <w:pStyle w:val="A-"/>
            </w:pPr>
            <w:r>
              <w:t>336-061-17</w:t>
            </w:r>
          </w:p>
        </w:tc>
        <w:tc>
          <w:tcPr>
            <w:tcW w:w="2678" w:type="pct"/>
            <w:vAlign w:val="center"/>
          </w:tcPr>
          <w:p w14:paraId="51A6FD03" w14:textId="77777777" w:rsidR="002E474C" w:rsidRDefault="00000000">
            <w:pPr>
              <w:pStyle w:val="A-"/>
            </w:pPr>
            <w:r>
              <w:t>使用高锰酸钾进行钻孔除胶处理产生的废渣和废水处理污泥</w:t>
            </w:r>
          </w:p>
        </w:tc>
        <w:tc>
          <w:tcPr>
            <w:tcW w:w="395" w:type="pct"/>
            <w:vAlign w:val="center"/>
          </w:tcPr>
          <w:p w14:paraId="0E453D33" w14:textId="77777777" w:rsidR="002E474C" w:rsidRDefault="00000000">
            <w:pPr>
              <w:pStyle w:val="A-"/>
            </w:pPr>
            <w:r>
              <w:t>T</w:t>
            </w:r>
          </w:p>
        </w:tc>
      </w:tr>
      <w:tr w:rsidR="002E474C" w14:paraId="1A09513D" w14:textId="77777777">
        <w:trPr>
          <w:trHeight w:val="240"/>
        </w:trPr>
        <w:tc>
          <w:tcPr>
            <w:tcW w:w="574" w:type="pct"/>
            <w:vMerge/>
            <w:vAlign w:val="center"/>
          </w:tcPr>
          <w:p w14:paraId="4E3CBA23" w14:textId="77777777" w:rsidR="002E474C" w:rsidRDefault="002E474C">
            <w:pPr>
              <w:pStyle w:val="A-"/>
            </w:pPr>
          </w:p>
        </w:tc>
        <w:tc>
          <w:tcPr>
            <w:tcW w:w="524" w:type="pct"/>
            <w:vMerge/>
            <w:vAlign w:val="center"/>
          </w:tcPr>
          <w:p w14:paraId="0ABD9CEC" w14:textId="77777777" w:rsidR="002E474C" w:rsidRDefault="002E474C">
            <w:pPr>
              <w:pStyle w:val="A-"/>
            </w:pPr>
          </w:p>
        </w:tc>
        <w:tc>
          <w:tcPr>
            <w:tcW w:w="372" w:type="pct"/>
            <w:vMerge/>
            <w:vAlign w:val="center"/>
          </w:tcPr>
          <w:p w14:paraId="2739B2CC" w14:textId="77777777" w:rsidR="002E474C" w:rsidRDefault="002E474C">
            <w:pPr>
              <w:pStyle w:val="A-"/>
            </w:pPr>
          </w:p>
        </w:tc>
        <w:tc>
          <w:tcPr>
            <w:tcW w:w="457" w:type="pct"/>
            <w:vAlign w:val="center"/>
          </w:tcPr>
          <w:p w14:paraId="6B8D0443" w14:textId="77777777" w:rsidR="002E474C" w:rsidRDefault="00000000">
            <w:pPr>
              <w:pStyle w:val="A-"/>
            </w:pPr>
            <w:r>
              <w:t>336-062-17</w:t>
            </w:r>
          </w:p>
        </w:tc>
        <w:tc>
          <w:tcPr>
            <w:tcW w:w="2678" w:type="pct"/>
            <w:vAlign w:val="center"/>
          </w:tcPr>
          <w:p w14:paraId="1BE97B79" w14:textId="77777777" w:rsidR="002E474C" w:rsidRDefault="00000000">
            <w:pPr>
              <w:pStyle w:val="A-"/>
            </w:pPr>
            <w:r>
              <w:t>使用铜和电镀化学品进行镀铜产生的废槽液、槽渣和废水处理污泥</w:t>
            </w:r>
          </w:p>
        </w:tc>
        <w:tc>
          <w:tcPr>
            <w:tcW w:w="395" w:type="pct"/>
            <w:vAlign w:val="center"/>
          </w:tcPr>
          <w:p w14:paraId="6732919E" w14:textId="77777777" w:rsidR="002E474C" w:rsidRDefault="00000000">
            <w:pPr>
              <w:pStyle w:val="A-"/>
            </w:pPr>
            <w:r>
              <w:t>T</w:t>
            </w:r>
          </w:p>
        </w:tc>
      </w:tr>
      <w:tr w:rsidR="002E474C" w14:paraId="21984C9E" w14:textId="77777777">
        <w:trPr>
          <w:trHeight w:val="240"/>
        </w:trPr>
        <w:tc>
          <w:tcPr>
            <w:tcW w:w="574" w:type="pct"/>
            <w:vMerge/>
            <w:vAlign w:val="center"/>
          </w:tcPr>
          <w:p w14:paraId="727E47C8" w14:textId="77777777" w:rsidR="002E474C" w:rsidRDefault="002E474C">
            <w:pPr>
              <w:pStyle w:val="A-"/>
            </w:pPr>
          </w:p>
        </w:tc>
        <w:tc>
          <w:tcPr>
            <w:tcW w:w="524" w:type="pct"/>
            <w:vMerge/>
            <w:vAlign w:val="center"/>
          </w:tcPr>
          <w:p w14:paraId="7194AD74" w14:textId="77777777" w:rsidR="002E474C" w:rsidRDefault="002E474C">
            <w:pPr>
              <w:pStyle w:val="A-"/>
            </w:pPr>
          </w:p>
        </w:tc>
        <w:tc>
          <w:tcPr>
            <w:tcW w:w="372" w:type="pct"/>
            <w:vMerge/>
            <w:vAlign w:val="center"/>
          </w:tcPr>
          <w:p w14:paraId="6FCF2742" w14:textId="77777777" w:rsidR="002E474C" w:rsidRDefault="002E474C">
            <w:pPr>
              <w:pStyle w:val="A-"/>
            </w:pPr>
          </w:p>
        </w:tc>
        <w:tc>
          <w:tcPr>
            <w:tcW w:w="457" w:type="pct"/>
            <w:vAlign w:val="center"/>
          </w:tcPr>
          <w:p w14:paraId="7922135F" w14:textId="77777777" w:rsidR="002E474C" w:rsidRDefault="00000000">
            <w:pPr>
              <w:pStyle w:val="A-"/>
            </w:pPr>
            <w:r>
              <w:t>336-063-17</w:t>
            </w:r>
          </w:p>
        </w:tc>
        <w:tc>
          <w:tcPr>
            <w:tcW w:w="2678" w:type="pct"/>
            <w:vAlign w:val="center"/>
          </w:tcPr>
          <w:p w14:paraId="2B4E2238" w14:textId="77777777" w:rsidR="002E474C" w:rsidRDefault="00000000">
            <w:pPr>
              <w:pStyle w:val="A-"/>
            </w:pPr>
            <w:r>
              <w:t>其他电镀工艺产生的废槽液、槽渣和废水处理污泥</w:t>
            </w:r>
          </w:p>
        </w:tc>
        <w:tc>
          <w:tcPr>
            <w:tcW w:w="395" w:type="pct"/>
            <w:vAlign w:val="center"/>
          </w:tcPr>
          <w:p w14:paraId="6F8377D0" w14:textId="77777777" w:rsidR="002E474C" w:rsidRDefault="00000000">
            <w:pPr>
              <w:pStyle w:val="A-"/>
            </w:pPr>
            <w:r>
              <w:t>T</w:t>
            </w:r>
          </w:p>
        </w:tc>
      </w:tr>
      <w:tr w:rsidR="002E474C" w14:paraId="0AF4B981" w14:textId="77777777">
        <w:trPr>
          <w:trHeight w:val="240"/>
        </w:trPr>
        <w:tc>
          <w:tcPr>
            <w:tcW w:w="574" w:type="pct"/>
            <w:vMerge/>
            <w:vAlign w:val="center"/>
          </w:tcPr>
          <w:p w14:paraId="6AC00C28" w14:textId="77777777" w:rsidR="002E474C" w:rsidRDefault="002E474C">
            <w:pPr>
              <w:pStyle w:val="A-"/>
            </w:pPr>
          </w:p>
        </w:tc>
        <w:tc>
          <w:tcPr>
            <w:tcW w:w="524" w:type="pct"/>
            <w:vMerge/>
            <w:vAlign w:val="center"/>
          </w:tcPr>
          <w:p w14:paraId="649F54AA" w14:textId="77777777" w:rsidR="002E474C" w:rsidRDefault="002E474C">
            <w:pPr>
              <w:pStyle w:val="A-"/>
            </w:pPr>
          </w:p>
        </w:tc>
        <w:tc>
          <w:tcPr>
            <w:tcW w:w="372" w:type="pct"/>
            <w:vMerge/>
            <w:vAlign w:val="center"/>
          </w:tcPr>
          <w:p w14:paraId="4F7FDA72" w14:textId="77777777" w:rsidR="002E474C" w:rsidRDefault="002E474C">
            <w:pPr>
              <w:pStyle w:val="A-"/>
            </w:pPr>
          </w:p>
        </w:tc>
        <w:tc>
          <w:tcPr>
            <w:tcW w:w="457" w:type="pct"/>
            <w:vAlign w:val="center"/>
          </w:tcPr>
          <w:p w14:paraId="76EC1556" w14:textId="77777777" w:rsidR="002E474C" w:rsidRDefault="00000000">
            <w:pPr>
              <w:pStyle w:val="A-"/>
            </w:pPr>
            <w:r>
              <w:t>336-064-17</w:t>
            </w:r>
          </w:p>
        </w:tc>
        <w:tc>
          <w:tcPr>
            <w:tcW w:w="2678" w:type="pct"/>
            <w:vAlign w:val="center"/>
          </w:tcPr>
          <w:p w14:paraId="59FB80D9" w14:textId="77777777" w:rsidR="002E474C" w:rsidRDefault="00000000">
            <w:pPr>
              <w:pStyle w:val="A-"/>
            </w:pPr>
            <w:r>
              <w:t>金属和塑料表面酸（碱）洗、除油、除锈、洗涤、磷化、出光、化抛工艺产生的废腐蚀液、废洗涤液、废槽液、槽渣和废水处理污泥</w:t>
            </w:r>
          </w:p>
        </w:tc>
        <w:tc>
          <w:tcPr>
            <w:tcW w:w="395" w:type="pct"/>
            <w:vAlign w:val="center"/>
          </w:tcPr>
          <w:p w14:paraId="208AE15F" w14:textId="77777777" w:rsidR="002E474C" w:rsidRDefault="00000000">
            <w:pPr>
              <w:pStyle w:val="A-"/>
            </w:pPr>
            <w:r>
              <w:t>T/C</w:t>
            </w:r>
          </w:p>
        </w:tc>
      </w:tr>
      <w:tr w:rsidR="002E474C" w14:paraId="3C1E3F52" w14:textId="77777777">
        <w:trPr>
          <w:trHeight w:val="240"/>
        </w:trPr>
        <w:tc>
          <w:tcPr>
            <w:tcW w:w="574" w:type="pct"/>
            <w:vMerge/>
            <w:vAlign w:val="center"/>
          </w:tcPr>
          <w:p w14:paraId="697D41FB" w14:textId="77777777" w:rsidR="002E474C" w:rsidRDefault="002E474C">
            <w:pPr>
              <w:pStyle w:val="A-"/>
            </w:pPr>
          </w:p>
        </w:tc>
        <w:tc>
          <w:tcPr>
            <w:tcW w:w="524" w:type="pct"/>
            <w:vMerge/>
            <w:vAlign w:val="center"/>
          </w:tcPr>
          <w:p w14:paraId="05593C43" w14:textId="77777777" w:rsidR="002E474C" w:rsidRDefault="002E474C">
            <w:pPr>
              <w:pStyle w:val="A-"/>
            </w:pPr>
          </w:p>
        </w:tc>
        <w:tc>
          <w:tcPr>
            <w:tcW w:w="372" w:type="pct"/>
            <w:vMerge/>
            <w:vAlign w:val="center"/>
          </w:tcPr>
          <w:p w14:paraId="4B699667" w14:textId="77777777" w:rsidR="002E474C" w:rsidRDefault="002E474C">
            <w:pPr>
              <w:pStyle w:val="A-"/>
            </w:pPr>
          </w:p>
        </w:tc>
        <w:tc>
          <w:tcPr>
            <w:tcW w:w="457" w:type="pct"/>
            <w:vAlign w:val="center"/>
          </w:tcPr>
          <w:p w14:paraId="2CBBD2DF" w14:textId="77777777" w:rsidR="002E474C" w:rsidRDefault="00000000">
            <w:pPr>
              <w:pStyle w:val="A-"/>
            </w:pPr>
            <w:r>
              <w:t>336-066-17</w:t>
            </w:r>
          </w:p>
        </w:tc>
        <w:tc>
          <w:tcPr>
            <w:tcW w:w="2678" w:type="pct"/>
            <w:vAlign w:val="center"/>
          </w:tcPr>
          <w:p w14:paraId="3C958C9A" w14:textId="77777777" w:rsidR="002E474C" w:rsidRDefault="00000000">
            <w:pPr>
              <w:pStyle w:val="A-"/>
            </w:pPr>
            <w:r>
              <w:t>镀层剥除过程中产生的废液、槽渣及废水处理污泥</w:t>
            </w:r>
          </w:p>
        </w:tc>
        <w:tc>
          <w:tcPr>
            <w:tcW w:w="395" w:type="pct"/>
            <w:vAlign w:val="center"/>
          </w:tcPr>
          <w:p w14:paraId="503FD6BF" w14:textId="77777777" w:rsidR="002E474C" w:rsidRDefault="00000000">
            <w:pPr>
              <w:pStyle w:val="A-"/>
            </w:pPr>
            <w:r>
              <w:t>T</w:t>
            </w:r>
          </w:p>
        </w:tc>
      </w:tr>
      <w:tr w:rsidR="002E474C" w14:paraId="33B36661" w14:textId="77777777">
        <w:trPr>
          <w:trHeight w:val="240"/>
        </w:trPr>
        <w:tc>
          <w:tcPr>
            <w:tcW w:w="574" w:type="pct"/>
            <w:vMerge/>
            <w:vAlign w:val="center"/>
          </w:tcPr>
          <w:p w14:paraId="6F6FEFC6" w14:textId="77777777" w:rsidR="002E474C" w:rsidRDefault="002E474C">
            <w:pPr>
              <w:pStyle w:val="A-"/>
            </w:pPr>
          </w:p>
        </w:tc>
        <w:tc>
          <w:tcPr>
            <w:tcW w:w="524" w:type="pct"/>
            <w:vMerge/>
            <w:vAlign w:val="center"/>
          </w:tcPr>
          <w:p w14:paraId="344E679B" w14:textId="77777777" w:rsidR="002E474C" w:rsidRDefault="002E474C">
            <w:pPr>
              <w:pStyle w:val="A-"/>
            </w:pPr>
          </w:p>
        </w:tc>
        <w:tc>
          <w:tcPr>
            <w:tcW w:w="372" w:type="pct"/>
            <w:vMerge/>
            <w:vAlign w:val="center"/>
          </w:tcPr>
          <w:p w14:paraId="3EE975B5" w14:textId="77777777" w:rsidR="002E474C" w:rsidRDefault="002E474C">
            <w:pPr>
              <w:pStyle w:val="A-"/>
            </w:pPr>
          </w:p>
        </w:tc>
        <w:tc>
          <w:tcPr>
            <w:tcW w:w="457" w:type="pct"/>
            <w:vAlign w:val="center"/>
          </w:tcPr>
          <w:p w14:paraId="1D5576C6" w14:textId="77777777" w:rsidR="002E474C" w:rsidRDefault="00000000">
            <w:pPr>
              <w:pStyle w:val="A-"/>
            </w:pPr>
            <w:r>
              <w:t>336-067-17</w:t>
            </w:r>
          </w:p>
        </w:tc>
        <w:tc>
          <w:tcPr>
            <w:tcW w:w="2678" w:type="pct"/>
            <w:vAlign w:val="center"/>
          </w:tcPr>
          <w:p w14:paraId="72BA517C" w14:textId="77777777" w:rsidR="002E474C" w:rsidRDefault="00000000">
            <w:pPr>
              <w:pStyle w:val="A-"/>
            </w:pPr>
            <w:r>
              <w:t>使用含重铬酸盐的胶体、有机溶剂、黏合剂进行漩流式抗蚀涂布产生的废渣及废水处理污泥</w:t>
            </w:r>
          </w:p>
        </w:tc>
        <w:tc>
          <w:tcPr>
            <w:tcW w:w="395" w:type="pct"/>
            <w:vAlign w:val="center"/>
          </w:tcPr>
          <w:p w14:paraId="70D4EDCB" w14:textId="77777777" w:rsidR="002E474C" w:rsidRDefault="00000000">
            <w:pPr>
              <w:pStyle w:val="A-"/>
            </w:pPr>
            <w:r>
              <w:t>T</w:t>
            </w:r>
          </w:p>
        </w:tc>
      </w:tr>
      <w:tr w:rsidR="002E474C" w14:paraId="3C4A39DE" w14:textId="77777777">
        <w:trPr>
          <w:trHeight w:val="240"/>
        </w:trPr>
        <w:tc>
          <w:tcPr>
            <w:tcW w:w="574" w:type="pct"/>
            <w:vMerge/>
            <w:vAlign w:val="center"/>
          </w:tcPr>
          <w:p w14:paraId="046B64CB" w14:textId="77777777" w:rsidR="002E474C" w:rsidRDefault="002E474C">
            <w:pPr>
              <w:pStyle w:val="A-"/>
            </w:pPr>
          </w:p>
        </w:tc>
        <w:tc>
          <w:tcPr>
            <w:tcW w:w="524" w:type="pct"/>
            <w:vMerge/>
            <w:vAlign w:val="center"/>
          </w:tcPr>
          <w:p w14:paraId="27067326" w14:textId="77777777" w:rsidR="002E474C" w:rsidRDefault="002E474C">
            <w:pPr>
              <w:pStyle w:val="A-"/>
            </w:pPr>
          </w:p>
        </w:tc>
        <w:tc>
          <w:tcPr>
            <w:tcW w:w="372" w:type="pct"/>
            <w:vMerge/>
            <w:vAlign w:val="center"/>
          </w:tcPr>
          <w:p w14:paraId="3D7C4382" w14:textId="77777777" w:rsidR="002E474C" w:rsidRDefault="002E474C">
            <w:pPr>
              <w:pStyle w:val="A-"/>
            </w:pPr>
          </w:p>
        </w:tc>
        <w:tc>
          <w:tcPr>
            <w:tcW w:w="457" w:type="pct"/>
            <w:vAlign w:val="center"/>
          </w:tcPr>
          <w:p w14:paraId="6336AFBC" w14:textId="77777777" w:rsidR="002E474C" w:rsidRDefault="00000000">
            <w:pPr>
              <w:pStyle w:val="A-"/>
            </w:pPr>
            <w:r>
              <w:t>336-068-17</w:t>
            </w:r>
          </w:p>
        </w:tc>
        <w:tc>
          <w:tcPr>
            <w:tcW w:w="2678" w:type="pct"/>
            <w:vAlign w:val="center"/>
          </w:tcPr>
          <w:p w14:paraId="4400B383" w14:textId="77777777" w:rsidR="002E474C" w:rsidRDefault="00000000">
            <w:pPr>
              <w:pStyle w:val="A-"/>
            </w:pPr>
            <w:r>
              <w:t>使用铬化合物进行抗蚀层化学硬化产生的废渣及废水处理污泥</w:t>
            </w:r>
          </w:p>
        </w:tc>
        <w:tc>
          <w:tcPr>
            <w:tcW w:w="395" w:type="pct"/>
            <w:vAlign w:val="center"/>
          </w:tcPr>
          <w:p w14:paraId="69F377DD" w14:textId="77777777" w:rsidR="002E474C" w:rsidRDefault="00000000">
            <w:pPr>
              <w:pStyle w:val="A-"/>
            </w:pPr>
            <w:r>
              <w:t>T</w:t>
            </w:r>
          </w:p>
        </w:tc>
      </w:tr>
      <w:tr w:rsidR="002E474C" w14:paraId="4BEE6A55" w14:textId="77777777">
        <w:trPr>
          <w:trHeight w:val="240"/>
        </w:trPr>
        <w:tc>
          <w:tcPr>
            <w:tcW w:w="574" w:type="pct"/>
            <w:vMerge/>
            <w:vAlign w:val="center"/>
          </w:tcPr>
          <w:p w14:paraId="069AD8A9" w14:textId="77777777" w:rsidR="002E474C" w:rsidRDefault="002E474C">
            <w:pPr>
              <w:pStyle w:val="A-"/>
            </w:pPr>
          </w:p>
        </w:tc>
        <w:tc>
          <w:tcPr>
            <w:tcW w:w="524" w:type="pct"/>
            <w:vMerge/>
            <w:vAlign w:val="center"/>
          </w:tcPr>
          <w:p w14:paraId="7D768B28" w14:textId="77777777" w:rsidR="002E474C" w:rsidRDefault="002E474C">
            <w:pPr>
              <w:pStyle w:val="A-"/>
            </w:pPr>
          </w:p>
        </w:tc>
        <w:tc>
          <w:tcPr>
            <w:tcW w:w="372" w:type="pct"/>
            <w:vMerge/>
            <w:vAlign w:val="center"/>
          </w:tcPr>
          <w:p w14:paraId="47C56D79" w14:textId="77777777" w:rsidR="002E474C" w:rsidRDefault="002E474C">
            <w:pPr>
              <w:pStyle w:val="A-"/>
            </w:pPr>
          </w:p>
        </w:tc>
        <w:tc>
          <w:tcPr>
            <w:tcW w:w="457" w:type="pct"/>
            <w:vAlign w:val="center"/>
          </w:tcPr>
          <w:p w14:paraId="7C05A32E" w14:textId="77777777" w:rsidR="002E474C" w:rsidRDefault="00000000">
            <w:pPr>
              <w:pStyle w:val="A-"/>
            </w:pPr>
            <w:r>
              <w:t>336-069-17</w:t>
            </w:r>
          </w:p>
        </w:tc>
        <w:tc>
          <w:tcPr>
            <w:tcW w:w="2678" w:type="pct"/>
            <w:vAlign w:val="center"/>
          </w:tcPr>
          <w:p w14:paraId="7F520EF2" w14:textId="77777777" w:rsidR="002E474C" w:rsidRDefault="00000000">
            <w:pPr>
              <w:pStyle w:val="A-"/>
            </w:pPr>
            <w:r>
              <w:t>使用铬酸镀铬产生的废槽液、槽渣和废水处理污泥</w:t>
            </w:r>
          </w:p>
        </w:tc>
        <w:tc>
          <w:tcPr>
            <w:tcW w:w="395" w:type="pct"/>
            <w:vAlign w:val="center"/>
          </w:tcPr>
          <w:p w14:paraId="0A146835" w14:textId="77777777" w:rsidR="002E474C" w:rsidRDefault="00000000">
            <w:pPr>
              <w:pStyle w:val="A-"/>
            </w:pPr>
            <w:r>
              <w:t>T</w:t>
            </w:r>
          </w:p>
        </w:tc>
      </w:tr>
      <w:tr w:rsidR="002E474C" w14:paraId="16973036" w14:textId="77777777">
        <w:trPr>
          <w:trHeight w:val="240"/>
        </w:trPr>
        <w:tc>
          <w:tcPr>
            <w:tcW w:w="574" w:type="pct"/>
            <w:vMerge/>
            <w:vAlign w:val="center"/>
          </w:tcPr>
          <w:p w14:paraId="147217BF" w14:textId="77777777" w:rsidR="002E474C" w:rsidRDefault="002E474C">
            <w:pPr>
              <w:pStyle w:val="A-"/>
            </w:pPr>
          </w:p>
        </w:tc>
        <w:tc>
          <w:tcPr>
            <w:tcW w:w="524" w:type="pct"/>
            <w:vMerge/>
            <w:vAlign w:val="center"/>
          </w:tcPr>
          <w:p w14:paraId="7805BE32" w14:textId="77777777" w:rsidR="002E474C" w:rsidRDefault="002E474C">
            <w:pPr>
              <w:pStyle w:val="A-"/>
            </w:pPr>
          </w:p>
        </w:tc>
        <w:tc>
          <w:tcPr>
            <w:tcW w:w="372" w:type="pct"/>
            <w:vMerge/>
            <w:vAlign w:val="center"/>
          </w:tcPr>
          <w:p w14:paraId="0F5E6CC4" w14:textId="77777777" w:rsidR="002E474C" w:rsidRDefault="002E474C">
            <w:pPr>
              <w:pStyle w:val="A-"/>
            </w:pPr>
          </w:p>
        </w:tc>
        <w:tc>
          <w:tcPr>
            <w:tcW w:w="457" w:type="pct"/>
            <w:vAlign w:val="center"/>
          </w:tcPr>
          <w:p w14:paraId="347F648F" w14:textId="77777777" w:rsidR="002E474C" w:rsidRDefault="00000000">
            <w:pPr>
              <w:pStyle w:val="A-"/>
            </w:pPr>
            <w:r>
              <w:t>336-101-17</w:t>
            </w:r>
          </w:p>
        </w:tc>
        <w:tc>
          <w:tcPr>
            <w:tcW w:w="2678" w:type="pct"/>
            <w:vAlign w:val="center"/>
          </w:tcPr>
          <w:p w14:paraId="1641951F" w14:textId="77777777" w:rsidR="002E474C" w:rsidRDefault="00000000">
            <w:pPr>
              <w:pStyle w:val="A-"/>
            </w:pPr>
            <w:r>
              <w:t>使用铬酸进行塑料表面粗化产生的废槽液、槽渣和废水处理污泥</w:t>
            </w:r>
          </w:p>
        </w:tc>
        <w:tc>
          <w:tcPr>
            <w:tcW w:w="395" w:type="pct"/>
            <w:vAlign w:val="center"/>
          </w:tcPr>
          <w:p w14:paraId="6D029190" w14:textId="77777777" w:rsidR="002E474C" w:rsidRDefault="00000000">
            <w:pPr>
              <w:pStyle w:val="A-"/>
            </w:pPr>
            <w:r>
              <w:t>T</w:t>
            </w:r>
          </w:p>
        </w:tc>
      </w:tr>
      <w:tr w:rsidR="002E474C" w14:paraId="0982FD38" w14:textId="77777777">
        <w:trPr>
          <w:trHeight w:val="261"/>
        </w:trPr>
        <w:tc>
          <w:tcPr>
            <w:tcW w:w="574" w:type="pct"/>
            <w:vMerge w:val="restart"/>
            <w:vAlign w:val="center"/>
          </w:tcPr>
          <w:p w14:paraId="41213480" w14:textId="77777777" w:rsidR="002E474C" w:rsidRDefault="00000000">
            <w:pPr>
              <w:pStyle w:val="A-"/>
            </w:pPr>
            <w:r>
              <w:t>HW18</w:t>
            </w:r>
          </w:p>
          <w:p w14:paraId="31E7E4C6" w14:textId="77777777" w:rsidR="002E474C" w:rsidRDefault="00000000">
            <w:pPr>
              <w:pStyle w:val="A-"/>
            </w:pPr>
            <w:r>
              <w:t>焚烧处置残渣</w:t>
            </w:r>
          </w:p>
        </w:tc>
        <w:tc>
          <w:tcPr>
            <w:tcW w:w="524" w:type="pct"/>
            <w:vMerge w:val="restart"/>
            <w:vAlign w:val="center"/>
          </w:tcPr>
          <w:p w14:paraId="28404457" w14:textId="77777777" w:rsidR="002E474C" w:rsidRDefault="00000000">
            <w:pPr>
              <w:pStyle w:val="A-"/>
            </w:pPr>
            <w:r>
              <w:t>环境治理业</w:t>
            </w:r>
          </w:p>
        </w:tc>
        <w:tc>
          <w:tcPr>
            <w:tcW w:w="372" w:type="pct"/>
            <w:vMerge w:val="restart"/>
            <w:vAlign w:val="center"/>
          </w:tcPr>
          <w:p w14:paraId="448A913A" w14:textId="77777777" w:rsidR="002E474C" w:rsidRDefault="00000000">
            <w:pPr>
              <w:pStyle w:val="A-"/>
            </w:pPr>
            <w:r>
              <w:t>固态</w:t>
            </w:r>
          </w:p>
        </w:tc>
        <w:tc>
          <w:tcPr>
            <w:tcW w:w="457" w:type="pct"/>
            <w:vAlign w:val="center"/>
          </w:tcPr>
          <w:p w14:paraId="12F22CD3" w14:textId="77777777" w:rsidR="002E474C" w:rsidRDefault="00000000">
            <w:pPr>
              <w:pStyle w:val="A-"/>
            </w:pPr>
            <w:r>
              <w:t>772-002-18</w:t>
            </w:r>
          </w:p>
        </w:tc>
        <w:tc>
          <w:tcPr>
            <w:tcW w:w="2678" w:type="pct"/>
            <w:vAlign w:val="center"/>
          </w:tcPr>
          <w:p w14:paraId="6FAE4A74" w14:textId="77777777" w:rsidR="002E474C" w:rsidRDefault="00000000">
            <w:pPr>
              <w:pStyle w:val="A-"/>
            </w:pPr>
            <w:r>
              <w:t>生活垃圾焚烧飞灰</w:t>
            </w:r>
          </w:p>
        </w:tc>
        <w:tc>
          <w:tcPr>
            <w:tcW w:w="395" w:type="pct"/>
            <w:vAlign w:val="center"/>
          </w:tcPr>
          <w:p w14:paraId="0C6B4000" w14:textId="77777777" w:rsidR="002E474C" w:rsidRDefault="00000000">
            <w:pPr>
              <w:pStyle w:val="A-"/>
            </w:pPr>
            <w:r>
              <w:t>T</w:t>
            </w:r>
          </w:p>
        </w:tc>
      </w:tr>
      <w:tr w:rsidR="002E474C" w14:paraId="6449EF9E" w14:textId="77777777">
        <w:trPr>
          <w:trHeight w:val="240"/>
        </w:trPr>
        <w:tc>
          <w:tcPr>
            <w:tcW w:w="574" w:type="pct"/>
            <w:vMerge/>
            <w:vAlign w:val="center"/>
          </w:tcPr>
          <w:p w14:paraId="0139102F" w14:textId="77777777" w:rsidR="002E474C" w:rsidRDefault="002E474C">
            <w:pPr>
              <w:pStyle w:val="A-"/>
            </w:pPr>
          </w:p>
        </w:tc>
        <w:tc>
          <w:tcPr>
            <w:tcW w:w="524" w:type="pct"/>
            <w:vMerge/>
            <w:vAlign w:val="center"/>
          </w:tcPr>
          <w:p w14:paraId="052E8F74" w14:textId="77777777" w:rsidR="002E474C" w:rsidRDefault="002E474C">
            <w:pPr>
              <w:pStyle w:val="A-"/>
            </w:pPr>
          </w:p>
        </w:tc>
        <w:tc>
          <w:tcPr>
            <w:tcW w:w="372" w:type="pct"/>
            <w:vMerge/>
            <w:vAlign w:val="center"/>
          </w:tcPr>
          <w:p w14:paraId="66420757" w14:textId="77777777" w:rsidR="002E474C" w:rsidRDefault="002E474C">
            <w:pPr>
              <w:pStyle w:val="A-"/>
            </w:pPr>
          </w:p>
        </w:tc>
        <w:tc>
          <w:tcPr>
            <w:tcW w:w="457" w:type="pct"/>
            <w:vAlign w:val="center"/>
          </w:tcPr>
          <w:p w14:paraId="0E2094C5" w14:textId="77777777" w:rsidR="002E474C" w:rsidRDefault="00000000">
            <w:pPr>
              <w:pStyle w:val="A-"/>
            </w:pPr>
            <w:r>
              <w:t>772-003-18</w:t>
            </w:r>
          </w:p>
        </w:tc>
        <w:tc>
          <w:tcPr>
            <w:tcW w:w="2678" w:type="pct"/>
            <w:vAlign w:val="center"/>
          </w:tcPr>
          <w:p w14:paraId="12F7FCF8" w14:textId="77777777" w:rsidR="002E474C" w:rsidRDefault="00000000">
            <w:pPr>
              <w:pStyle w:val="A-"/>
            </w:pPr>
            <w:r>
              <w:t>危险废物焚烧、热解等处置过程产生的底渣、飞灰和废水处理污泥（医疗废物</w:t>
            </w:r>
            <w:r>
              <w:lastRenderedPageBreak/>
              <w:t>焚烧处置产生的底渣除外）</w:t>
            </w:r>
          </w:p>
        </w:tc>
        <w:tc>
          <w:tcPr>
            <w:tcW w:w="395" w:type="pct"/>
            <w:vAlign w:val="center"/>
          </w:tcPr>
          <w:p w14:paraId="4EB080CC" w14:textId="77777777" w:rsidR="002E474C" w:rsidRDefault="00000000">
            <w:pPr>
              <w:pStyle w:val="A-"/>
            </w:pPr>
            <w:r>
              <w:lastRenderedPageBreak/>
              <w:t>T</w:t>
            </w:r>
          </w:p>
        </w:tc>
      </w:tr>
      <w:tr w:rsidR="002E474C" w14:paraId="26509EB9" w14:textId="77777777">
        <w:trPr>
          <w:trHeight w:val="240"/>
        </w:trPr>
        <w:tc>
          <w:tcPr>
            <w:tcW w:w="574" w:type="pct"/>
            <w:vMerge/>
            <w:vAlign w:val="center"/>
          </w:tcPr>
          <w:p w14:paraId="037A749E" w14:textId="77777777" w:rsidR="002E474C" w:rsidRDefault="002E474C">
            <w:pPr>
              <w:pStyle w:val="A-"/>
            </w:pPr>
          </w:p>
        </w:tc>
        <w:tc>
          <w:tcPr>
            <w:tcW w:w="524" w:type="pct"/>
            <w:vMerge/>
            <w:vAlign w:val="center"/>
          </w:tcPr>
          <w:p w14:paraId="0BD87A50" w14:textId="77777777" w:rsidR="002E474C" w:rsidRDefault="002E474C">
            <w:pPr>
              <w:pStyle w:val="A-"/>
            </w:pPr>
          </w:p>
        </w:tc>
        <w:tc>
          <w:tcPr>
            <w:tcW w:w="372" w:type="pct"/>
            <w:vMerge/>
            <w:vAlign w:val="center"/>
          </w:tcPr>
          <w:p w14:paraId="0AD90949" w14:textId="77777777" w:rsidR="002E474C" w:rsidRDefault="002E474C">
            <w:pPr>
              <w:pStyle w:val="A-"/>
            </w:pPr>
          </w:p>
        </w:tc>
        <w:tc>
          <w:tcPr>
            <w:tcW w:w="457" w:type="pct"/>
            <w:vAlign w:val="center"/>
          </w:tcPr>
          <w:p w14:paraId="4345EE2A" w14:textId="77777777" w:rsidR="002E474C" w:rsidRDefault="00000000">
            <w:pPr>
              <w:pStyle w:val="A-"/>
            </w:pPr>
            <w:r>
              <w:t>772-004-18</w:t>
            </w:r>
          </w:p>
        </w:tc>
        <w:tc>
          <w:tcPr>
            <w:tcW w:w="2678" w:type="pct"/>
            <w:vAlign w:val="center"/>
          </w:tcPr>
          <w:p w14:paraId="6CCEA762" w14:textId="77777777" w:rsidR="002E474C" w:rsidRDefault="00000000">
            <w:pPr>
              <w:pStyle w:val="A-"/>
            </w:pPr>
            <w:r>
              <w:t>危险废物等离子体、高温熔融等处置过程产生的非玻璃态物质和飞灰</w:t>
            </w:r>
          </w:p>
        </w:tc>
        <w:tc>
          <w:tcPr>
            <w:tcW w:w="395" w:type="pct"/>
            <w:vAlign w:val="center"/>
          </w:tcPr>
          <w:p w14:paraId="4EF84A8B" w14:textId="77777777" w:rsidR="002E474C" w:rsidRDefault="00000000">
            <w:pPr>
              <w:pStyle w:val="A-"/>
            </w:pPr>
            <w:r>
              <w:t>T</w:t>
            </w:r>
          </w:p>
        </w:tc>
      </w:tr>
      <w:tr w:rsidR="002E474C" w14:paraId="100BD129" w14:textId="77777777">
        <w:trPr>
          <w:trHeight w:val="240"/>
        </w:trPr>
        <w:tc>
          <w:tcPr>
            <w:tcW w:w="574" w:type="pct"/>
            <w:vMerge/>
            <w:vAlign w:val="center"/>
          </w:tcPr>
          <w:p w14:paraId="7DE5EC14" w14:textId="77777777" w:rsidR="002E474C" w:rsidRDefault="002E474C">
            <w:pPr>
              <w:pStyle w:val="A-"/>
            </w:pPr>
          </w:p>
        </w:tc>
        <w:tc>
          <w:tcPr>
            <w:tcW w:w="524" w:type="pct"/>
            <w:vMerge/>
            <w:vAlign w:val="center"/>
          </w:tcPr>
          <w:p w14:paraId="789EC967" w14:textId="77777777" w:rsidR="002E474C" w:rsidRDefault="002E474C">
            <w:pPr>
              <w:pStyle w:val="A-"/>
            </w:pPr>
          </w:p>
        </w:tc>
        <w:tc>
          <w:tcPr>
            <w:tcW w:w="372" w:type="pct"/>
            <w:vMerge/>
            <w:vAlign w:val="center"/>
          </w:tcPr>
          <w:p w14:paraId="7EA16448" w14:textId="77777777" w:rsidR="002E474C" w:rsidRDefault="002E474C">
            <w:pPr>
              <w:pStyle w:val="A-"/>
            </w:pPr>
          </w:p>
        </w:tc>
        <w:tc>
          <w:tcPr>
            <w:tcW w:w="457" w:type="pct"/>
            <w:vAlign w:val="center"/>
          </w:tcPr>
          <w:p w14:paraId="109125B4" w14:textId="77777777" w:rsidR="002E474C" w:rsidRDefault="00000000">
            <w:pPr>
              <w:pStyle w:val="A-"/>
            </w:pPr>
            <w:r>
              <w:t>772-005-18</w:t>
            </w:r>
          </w:p>
        </w:tc>
        <w:tc>
          <w:tcPr>
            <w:tcW w:w="2678" w:type="pct"/>
            <w:vAlign w:val="center"/>
          </w:tcPr>
          <w:p w14:paraId="2B60347F" w14:textId="77777777" w:rsidR="002E474C" w:rsidRDefault="00000000">
            <w:pPr>
              <w:pStyle w:val="A-"/>
            </w:pPr>
            <w:r>
              <w:t>固体废物焚烧过程中废气处理产生的废活性炭</w:t>
            </w:r>
          </w:p>
        </w:tc>
        <w:tc>
          <w:tcPr>
            <w:tcW w:w="395" w:type="pct"/>
            <w:vAlign w:val="center"/>
          </w:tcPr>
          <w:p w14:paraId="24CAB844" w14:textId="77777777" w:rsidR="002E474C" w:rsidRDefault="00000000">
            <w:pPr>
              <w:pStyle w:val="A-"/>
            </w:pPr>
            <w:r>
              <w:t>T</w:t>
            </w:r>
          </w:p>
        </w:tc>
      </w:tr>
      <w:tr w:rsidR="002E474C" w14:paraId="04507300" w14:textId="77777777">
        <w:trPr>
          <w:trHeight w:val="726"/>
        </w:trPr>
        <w:tc>
          <w:tcPr>
            <w:tcW w:w="574" w:type="pct"/>
            <w:vAlign w:val="center"/>
          </w:tcPr>
          <w:p w14:paraId="3063DE2C" w14:textId="77777777" w:rsidR="002E474C" w:rsidRDefault="00000000">
            <w:pPr>
              <w:pStyle w:val="A-"/>
            </w:pPr>
            <w:r>
              <w:t>HW19</w:t>
            </w:r>
          </w:p>
          <w:p w14:paraId="024F1461" w14:textId="77777777" w:rsidR="002E474C" w:rsidRDefault="00000000">
            <w:pPr>
              <w:pStyle w:val="A-"/>
            </w:pPr>
            <w:r>
              <w:t>含金属羰基化合物废物</w:t>
            </w:r>
          </w:p>
        </w:tc>
        <w:tc>
          <w:tcPr>
            <w:tcW w:w="524" w:type="pct"/>
            <w:vAlign w:val="center"/>
          </w:tcPr>
          <w:p w14:paraId="2ECD9146" w14:textId="77777777" w:rsidR="002E474C" w:rsidRDefault="00000000">
            <w:pPr>
              <w:pStyle w:val="A-"/>
            </w:pPr>
            <w:r>
              <w:t>非特定行业</w:t>
            </w:r>
          </w:p>
        </w:tc>
        <w:tc>
          <w:tcPr>
            <w:tcW w:w="372" w:type="pct"/>
            <w:vAlign w:val="center"/>
          </w:tcPr>
          <w:p w14:paraId="1F4B0193" w14:textId="77777777" w:rsidR="002E474C" w:rsidRDefault="00000000">
            <w:pPr>
              <w:pStyle w:val="A-"/>
            </w:pPr>
            <w:r>
              <w:t>液态</w:t>
            </w:r>
          </w:p>
        </w:tc>
        <w:tc>
          <w:tcPr>
            <w:tcW w:w="457" w:type="pct"/>
            <w:vAlign w:val="center"/>
          </w:tcPr>
          <w:p w14:paraId="1B883866" w14:textId="77777777" w:rsidR="002E474C" w:rsidRDefault="00000000">
            <w:pPr>
              <w:pStyle w:val="A-"/>
            </w:pPr>
            <w:r>
              <w:t>900-020-19</w:t>
            </w:r>
          </w:p>
        </w:tc>
        <w:tc>
          <w:tcPr>
            <w:tcW w:w="2678" w:type="pct"/>
            <w:vAlign w:val="center"/>
          </w:tcPr>
          <w:p w14:paraId="53E86C48" w14:textId="77777777" w:rsidR="002E474C" w:rsidRDefault="00000000">
            <w:pPr>
              <w:pStyle w:val="A-"/>
            </w:pPr>
            <w:r>
              <w:t>金属羰基化合物生产、使用过程中产生的含有羰基化合物成分的废物</w:t>
            </w:r>
          </w:p>
        </w:tc>
        <w:tc>
          <w:tcPr>
            <w:tcW w:w="395" w:type="pct"/>
            <w:vAlign w:val="center"/>
          </w:tcPr>
          <w:p w14:paraId="168EEE16" w14:textId="77777777" w:rsidR="002E474C" w:rsidRDefault="00000000">
            <w:pPr>
              <w:pStyle w:val="A-"/>
            </w:pPr>
            <w:r>
              <w:t>T</w:t>
            </w:r>
          </w:p>
        </w:tc>
      </w:tr>
      <w:tr w:rsidR="002E474C" w14:paraId="42804591" w14:textId="77777777">
        <w:trPr>
          <w:trHeight w:val="240"/>
        </w:trPr>
        <w:tc>
          <w:tcPr>
            <w:tcW w:w="574" w:type="pct"/>
            <w:vMerge w:val="restart"/>
            <w:vAlign w:val="center"/>
          </w:tcPr>
          <w:p w14:paraId="1D587289" w14:textId="77777777" w:rsidR="002E474C" w:rsidRDefault="00000000">
            <w:pPr>
              <w:pStyle w:val="A-"/>
            </w:pPr>
            <w:r>
              <w:t>HW21</w:t>
            </w:r>
          </w:p>
          <w:p w14:paraId="652EB9B3" w14:textId="77777777" w:rsidR="002E474C" w:rsidRDefault="00000000">
            <w:pPr>
              <w:pStyle w:val="A-"/>
            </w:pPr>
            <w:r>
              <w:t>含铬废物</w:t>
            </w:r>
          </w:p>
        </w:tc>
        <w:tc>
          <w:tcPr>
            <w:tcW w:w="524" w:type="pct"/>
            <w:vMerge w:val="restart"/>
            <w:vAlign w:val="center"/>
          </w:tcPr>
          <w:p w14:paraId="4C96F041" w14:textId="77777777" w:rsidR="002E474C" w:rsidRDefault="00000000">
            <w:pPr>
              <w:pStyle w:val="A-"/>
            </w:pPr>
            <w:r>
              <w:t>毛皮鞣制及制品加工</w:t>
            </w:r>
          </w:p>
        </w:tc>
        <w:tc>
          <w:tcPr>
            <w:tcW w:w="372" w:type="pct"/>
            <w:vMerge w:val="restart"/>
            <w:vAlign w:val="center"/>
          </w:tcPr>
          <w:p w14:paraId="558BBA7D" w14:textId="77777777" w:rsidR="002E474C" w:rsidRDefault="00000000">
            <w:pPr>
              <w:pStyle w:val="A-"/>
            </w:pPr>
            <w:r>
              <w:t>固态</w:t>
            </w:r>
          </w:p>
        </w:tc>
        <w:tc>
          <w:tcPr>
            <w:tcW w:w="457" w:type="pct"/>
            <w:vAlign w:val="center"/>
          </w:tcPr>
          <w:p w14:paraId="6C7E352F" w14:textId="77777777" w:rsidR="002E474C" w:rsidRDefault="00000000">
            <w:pPr>
              <w:pStyle w:val="A-"/>
            </w:pPr>
            <w:r>
              <w:t>193-001-21</w:t>
            </w:r>
          </w:p>
        </w:tc>
        <w:tc>
          <w:tcPr>
            <w:tcW w:w="2678" w:type="pct"/>
            <w:vAlign w:val="center"/>
          </w:tcPr>
          <w:p w14:paraId="40CB3BDE" w14:textId="77777777" w:rsidR="002E474C" w:rsidRDefault="00000000">
            <w:pPr>
              <w:pStyle w:val="A-"/>
            </w:pPr>
            <w:r>
              <w:t>使用铬鞣剂进行铬鞣、复鞣工艺产生的废水处理污泥</w:t>
            </w:r>
          </w:p>
        </w:tc>
        <w:tc>
          <w:tcPr>
            <w:tcW w:w="395" w:type="pct"/>
            <w:vAlign w:val="center"/>
          </w:tcPr>
          <w:p w14:paraId="4FC48DC9" w14:textId="77777777" w:rsidR="002E474C" w:rsidRDefault="00000000">
            <w:pPr>
              <w:pStyle w:val="A-"/>
            </w:pPr>
            <w:r>
              <w:t>T</w:t>
            </w:r>
          </w:p>
        </w:tc>
      </w:tr>
      <w:tr w:rsidR="002E474C" w14:paraId="283E1F6F" w14:textId="77777777">
        <w:trPr>
          <w:trHeight w:val="240"/>
        </w:trPr>
        <w:tc>
          <w:tcPr>
            <w:tcW w:w="574" w:type="pct"/>
            <w:vMerge/>
            <w:vAlign w:val="center"/>
          </w:tcPr>
          <w:p w14:paraId="4DF99495" w14:textId="77777777" w:rsidR="002E474C" w:rsidRDefault="002E474C">
            <w:pPr>
              <w:pStyle w:val="A-"/>
            </w:pPr>
          </w:p>
        </w:tc>
        <w:tc>
          <w:tcPr>
            <w:tcW w:w="524" w:type="pct"/>
            <w:vMerge/>
            <w:vAlign w:val="center"/>
          </w:tcPr>
          <w:p w14:paraId="7AC5E7D9" w14:textId="77777777" w:rsidR="002E474C" w:rsidRDefault="002E474C">
            <w:pPr>
              <w:pStyle w:val="A-"/>
            </w:pPr>
          </w:p>
        </w:tc>
        <w:tc>
          <w:tcPr>
            <w:tcW w:w="372" w:type="pct"/>
            <w:vMerge/>
            <w:vAlign w:val="center"/>
          </w:tcPr>
          <w:p w14:paraId="155C7A3A" w14:textId="77777777" w:rsidR="002E474C" w:rsidRDefault="002E474C">
            <w:pPr>
              <w:pStyle w:val="A-"/>
            </w:pPr>
          </w:p>
        </w:tc>
        <w:tc>
          <w:tcPr>
            <w:tcW w:w="457" w:type="pct"/>
            <w:vAlign w:val="center"/>
          </w:tcPr>
          <w:p w14:paraId="17C9C96E" w14:textId="77777777" w:rsidR="002E474C" w:rsidRDefault="00000000">
            <w:pPr>
              <w:pStyle w:val="A-"/>
            </w:pPr>
            <w:r>
              <w:t>193-002-21</w:t>
            </w:r>
          </w:p>
        </w:tc>
        <w:tc>
          <w:tcPr>
            <w:tcW w:w="2678" w:type="pct"/>
            <w:vAlign w:val="center"/>
          </w:tcPr>
          <w:p w14:paraId="334149F1" w14:textId="77777777" w:rsidR="002E474C" w:rsidRDefault="00000000">
            <w:pPr>
              <w:pStyle w:val="A-"/>
            </w:pPr>
            <w:r>
              <w:t>皮革切削工艺产生的含铬皮革废碎料</w:t>
            </w:r>
          </w:p>
        </w:tc>
        <w:tc>
          <w:tcPr>
            <w:tcW w:w="395" w:type="pct"/>
            <w:vAlign w:val="center"/>
          </w:tcPr>
          <w:p w14:paraId="6ABE793E" w14:textId="77777777" w:rsidR="002E474C" w:rsidRDefault="00000000">
            <w:pPr>
              <w:pStyle w:val="A-"/>
            </w:pPr>
            <w:r>
              <w:t>T</w:t>
            </w:r>
          </w:p>
        </w:tc>
      </w:tr>
      <w:tr w:rsidR="002E474C" w14:paraId="0E202E54" w14:textId="77777777">
        <w:trPr>
          <w:trHeight w:val="302"/>
        </w:trPr>
        <w:tc>
          <w:tcPr>
            <w:tcW w:w="574" w:type="pct"/>
            <w:vMerge/>
            <w:vAlign w:val="center"/>
          </w:tcPr>
          <w:p w14:paraId="7248ABFB" w14:textId="77777777" w:rsidR="002E474C" w:rsidRDefault="002E474C">
            <w:pPr>
              <w:pStyle w:val="A-"/>
            </w:pPr>
          </w:p>
        </w:tc>
        <w:tc>
          <w:tcPr>
            <w:tcW w:w="524" w:type="pct"/>
            <w:vMerge w:val="restart"/>
            <w:vAlign w:val="center"/>
          </w:tcPr>
          <w:p w14:paraId="68FAA109" w14:textId="77777777" w:rsidR="002E474C" w:rsidRDefault="00000000">
            <w:pPr>
              <w:pStyle w:val="A-"/>
            </w:pPr>
            <w:r>
              <w:t>基础化学原料制造</w:t>
            </w:r>
          </w:p>
        </w:tc>
        <w:tc>
          <w:tcPr>
            <w:tcW w:w="372" w:type="pct"/>
            <w:vMerge w:val="restart"/>
            <w:vAlign w:val="center"/>
          </w:tcPr>
          <w:p w14:paraId="7200C2FD" w14:textId="77777777" w:rsidR="002E474C" w:rsidRDefault="00000000">
            <w:pPr>
              <w:pStyle w:val="A-"/>
            </w:pPr>
            <w:r>
              <w:t>固态</w:t>
            </w:r>
          </w:p>
        </w:tc>
        <w:tc>
          <w:tcPr>
            <w:tcW w:w="457" w:type="pct"/>
            <w:vAlign w:val="center"/>
          </w:tcPr>
          <w:p w14:paraId="22455341" w14:textId="77777777" w:rsidR="002E474C" w:rsidRDefault="00000000">
            <w:pPr>
              <w:pStyle w:val="A-"/>
            </w:pPr>
            <w:r>
              <w:t>261-041-21</w:t>
            </w:r>
          </w:p>
        </w:tc>
        <w:tc>
          <w:tcPr>
            <w:tcW w:w="2678" w:type="pct"/>
            <w:vAlign w:val="center"/>
          </w:tcPr>
          <w:p w14:paraId="5897BB74" w14:textId="77777777" w:rsidR="002E474C" w:rsidRDefault="00000000">
            <w:pPr>
              <w:pStyle w:val="A-"/>
            </w:pPr>
            <w:r>
              <w:t>铬铁矿生产铬盐过程中产生的铬渣</w:t>
            </w:r>
          </w:p>
        </w:tc>
        <w:tc>
          <w:tcPr>
            <w:tcW w:w="395" w:type="pct"/>
            <w:vAlign w:val="center"/>
          </w:tcPr>
          <w:p w14:paraId="4FFF3EFC" w14:textId="77777777" w:rsidR="002E474C" w:rsidRDefault="00000000">
            <w:pPr>
              <w:pStyle w:val="A-"/>
            </w:pPr>
            <w:r>
              <w:t>T</w:t>
            </w:r>
          </w:p>
        </w:tc>
      </w:tr>
      <w:tr w:rsidR="002E474C" w14:paraId="48EF404D" w14:textId="77777777">
        <w:trPr>
          <w:trHeight w:val="240"/>
        </w:trPr>
        <w:tc>
          <w:tcPr>
            <w:tcW w:w="574" w:type="pct"/>
            <w:vMerge/>
            <w:vAlign w:val="center"/>
          </w:tcPr>
          <w:p w14:paraId="039E0BC2" w14:textId="77777777" w:rsidR="002E474C" w:rsidRDefault="002E474C">
            <w:pPr>
              <w:pStyle w:val="A-"/>
            </w:pPr>
          </w:p>
        </w:tc>
        <w:tc>
          <w:tcPr>
            <w:tcW w:w="524" w:type="pct"/>
            <w:vMerge/>
            <w:vAlign w:val="center"/>
          </w:tcPr>
          <w:p w14:paraId="6135D0A4" w14:textId="77777777" w:rsidR="002E474C" w:rsidRDefault="002E474C">
            <w:pPr>
              <w:pStyle w:val="A-"/>
            </w:pPr>
          </w:p>
        </w:tc>
        <w:tc>
          <w:tcPr>
            <w:tcW w:w="372" w:type="pct"/>
            <w:vMerge/>
            <w:vAlign w:val="center"/>
          </w:tcPr>
          <w:p w14:paraId="68920223" w14:textId="77777777" w:rsidR="002E474C" w:rsidRDefault="002E474C">
            <w:pPr>
              <w:pStyle w:val="A-"/>
            </w:pPr>
          </w:p>
        </w:tc>
        <w:tc>
          <w:tcPr>
            <w:tcW w:w="457" w:type="pct"/>
            <w:vAlign w:val="center"/>
          </w:tcPr>
          <w:p w14:paraId="4468DB65" w14:textId="77777777" w:rsidR="002E474C" w:rsidRDefault="00000000">
            <w:pPr>
              <w:pStyle w:val="A-"/>
            </w:pPr>
            <w:r>
              <w:t>261-042-21</w:t>
            </w:r>
          </w:p>
        </w:tc>
        <w:tc>
          <w:tcPr>
            <w:tcW w:w="2678" w:type="pct"/>
            <w:vAlign w:val="center"/>
          </w:tcPr>
          <w:p w14:paraId="05B59400" w14:textId="77777777" w:rsidR="002E474C" w:rsidRDefault="00000000">
            <w:pPr>
              <w:pStyle w:val="A-"/>
            </w:pPr>
            <w:r>
              <w:t>铬铁矿生产铬盐过程中产生的铝泥</w:t>
            </w:r>
          </w:p>
        </w:tc>
        <w:tc>
          <w:tcPr>
            <w:tcW w:w="395" w:type="pct"/>
            <w:vAlign w:val="center"/>
          </w:tcPr>
          <w:p w14:paraId="21FB8377" w14:textId="77777777" w:rsidR="002E474C" w:rsidRDefault="00000000">
            <w:pPr>
              <w:pStyle w:val="A-"/>
            </w:pPr>
            <w:r>
              <w:t>T</w:t>
            </w:r>
          </w:p>
        </w:tc>
      </w:tr>
      <w:tr w:rsidR="002E474C" w14:paraId="037C57AE" w14:textId="77777777">
        <w:trPr>
          <w:trHeight w:val="240"/>
        </w:trPr>
        <w:tc>
          <w:tcPr>
            <w:tcW w:w="574" w:type="pct"/>
            <w:vMerge/>
            <w:vAlign w:val="center"/>
          </w:tcPr>
          <w:p w14:paraId="1D829C2C" w14:textId="77777777" w:rsidR="002E474C" w:rsidRDefault="002E474C">
            <w:pPr>
              <w:pStyle w:val="A-"/>
            </w:pPr>
          </w:p>
        </w:tc>
        <w:tc>
          <w:tcPr>
            <w:tcW w:w="524" w:type="pct"/>
            <w:vMerge/>
            <w:vAlign w:val="center"/>
          </w:tcPr>
          <w:p w14:paraId="36AE016D" w14:textId="77777777" w:rsidR="002E474C" w:rsidRDefault="002E474C">
            <w:pPr>
              <w:pStyle w:val="A-"/>
            </w:pPr>
          </w:p>
        </w:tc>
        <w:tc>
          <w:tcPr>
            <w:tcW w:w="372" w:type="pct"/>
            <w:vMerge/>
            <w:vAlign w:val="center"/>
          </w:tcPr>
          <w:p w14:paraId="4C798A57" w14:textId="77777777" w:rsidR="002E474C" w:rsidRDefault="002E474C">
            <w:pPr>
              <w:pStyle w:val="A-"/>
            </w:pPr>
          </w:p>
        </w:tc>
        <w:tc>
          <w:tcPr>
            <w:tcW w:w="457" w:type="pct"/>
            <w:vAlign w:val="center"/>
          </w:tcPr>
          <w:p w14:paraId="6DBCF9FA" w14:textId="77777777" w:rsidR="002E474C" w:rsidRDefault="00000000">
            <w:pPr>
              <w:pStyle w:val="A-"/>
            </w:pPr>
            <w:r>
              <w:t>261-043-21</w:t>
            </w:r>
          </w:p>
        </w:tc>
        <w:tc>
          <w:tcPr>
            <w:tcW w:w="2678" w:type="pct"/>
            <w:vAlign w:val="center"/>
          </w:tcPr>
          <w:p w14:paraId="05CEEBE0" w14:textId="77777777" w:rsidR="002E474C" w:rsidRDefault="00000000">
            <w:pPr>
              <w:pStyle w:val="A-"/>
            </w:pPr>
            <w:r>
              <w:t>铬铁矿生产铬盐过程中产生的芒硝</w:t>
            </w:r>
          </w:p>
        </w:tc>
        <w:tc>
          <w:tcPr>
            <w:tcW w:w="395" w:type="pct"/>
            <w:vAlign w:val="center"/>
          </w:tcPr>
          <w:p w14:paraId="6E3BB42F" w14:textId="77777777" w:rsidR="002E474C" w:rsidRDefault="00000000">
            <w:pPr>
              <w:pStyle w:val="A-"/>
            </w:pPr>
            <w:r>
              <w:t>T</w:t>
            </w:r>
          </w:p>
        </w:tc>
      </w:tr>
      <w:tr w:rsidR="002E474C" w14:paraId="2FB27074" w14:textId="77777777">
        <w:trPr>
          <w:trHeight w:val="240"/>
        </w:trPr>
        <w:tc>
          <w:tcPr>
            <w:tcW w:w="574" w:type="pct"/>
            <w:vMerge/>
            <w:vAlign w:val="center"/>
          </w:tcPr>
          <w:p w14:paraId="543C5134" w14:textId="77777777" w:rsidR="002E474C" w:rsidRDefault="002E474C">
            <w:pPr>
              <w:pStyle w:val="A-"/>
            </w:pPr>
          </w:p>
        </w:tc>
        <w:tc>
          <w:tcPr>
            <w:tcW w:w="524" w:type="pct"/>
            <w:vMerge/>
            <w:vAlign w:val="center"/>
          </w:tcPr>
          <w:p w14:paraId="29040B10" w14:textId="77777777" w:rsidR="002E474C" w:rsidRDefault="002E474C">
            <w:pPr>
              <w:pStyle w:val="A-"/>
            </w:pPr>
          </w:p>
        </w:tc>
        <w:tc>
          <w:tcPr>
            <w:tcW w:w="372" w:type="pct"/>
            <w:vMerge/>
            <w:vAlign w:val="center"/>
          </w:tcPr>
          <w:p w14:paraId="1B29301E" w14:textId="77777777" w:rsidR="002E474C" w:rsidRDefault="002E474C">
            <w:pPr>
              <w:pStyle w:val="A-"/>
            </w:pPr>
          </w:p>
        </w:tc>
        <w:tc>
          <w:tcPr>
            <w:tcW w:w="457" w:type="pct"/>
            <w:vAlign w:val="center"/>
          </w:tcPr>
          <w:p w14:paraId="1627B76F" w14:textId="77777777" w:rsidR="002E474C" w:rsidRDefault="00000000">
            <w:pPr>
              <w:pStyle w:val="A-"/>
            </w:pPr>
            <w:r>
              <w:t>261-044-21</w:t>
            </w:r>
          </w:p>
        </w:tc>
        <w:tc>
          <w:tcPr>
            <w:tcW w:w="2678" w:type="pct"/>
            <w:vAlign w:val="center"/>
          </w:tcPr>
          <w:p w14:paraId="0CB4CA36" w14:textId="77777777" w:rsidR="002E474C" w:rsidRDefault="00000000">
            <w:pPr>
              <w:pStyle w:val="A-"/>
            </w:pPr>
            <w:r>
              <w:t>铬铁矿生产铬盐过程中产生的废水处理污泥</w:t>
            </w:r>
          </w:p>
        </w:tc>
        <w:tc>
          <w:tcPr>
            <w:tcW w:w="395" w:type="pct"/>
            <w:vAlign w:val="center"/>
          </w:tcPr>
          <w:p w14:paraId="0EBE2587" w14:textId="77777777" w:rsidR="002E474C" w:rsidRDefault="00000000">
            <w:pPr>
              <w:pStyle w:val="A-"/>
            </w:pPr>
            <w:r>
              <w:t>T</w:t>
            </w:r>
          </w:p>
        </w:tc>
      </w:tr>
      <w:tr w:rsidR="002E474C" w14:paraId="05906217" w14:textId="77777777">
        <w:trPr>
          <w:trHeight w:val="240"/>
        </w:trPr>
        <w:tc>
          <w:tcPr>
            <w:tcW w:w="574" w:type="pct"/>
            <w:vMerge/>
            <w:vAlign w:val="center"/>
          </w:tcPr>
          <w:p w14:paraId="6B90E5C2" w14:textId="77777777" w:rsidR="002E474C" w:rsidRDefault="002E474C">
            <w:pPr>
              <w:pStyle w:val="A-"/>
            </w:pPr>
          </w:p>
        </w:tc>
        <w:tc>
          <w:tcPr>
            <w:tcW w:w="524" w:type="pct"/>
            <w:vMerge/>
            <w:vAlign w:val="center"/>
          </w:tcPr>
          <w:p w14:paraId="30CB3897" w14:textId="77777777" w:rsidR="002E474C" w:rsidRDefault="002E474C">
            <w:pPr>
              <w:pStyle w:val="A-"/>
            </w:pPr>
          </w:p>
        </w:tc>
        <w:tc>
          <w:tcPr>
            <w:tcW w:w="372" w:type="pct"/>
            <w:vMerge/>
            <w:vAlign w:val="center"/>
          </w:tcPr>
          <w:p w14:paraId="7F46CF18" w14:textId="77777777" w:rsidR="002E474C" w:rsidRDefault="002E474C">
            <w:pPr>
              <w:pStyle w:val="A-"/>
            </w:pPr>
          </w:p>
        </w:tc>
        <w:tc>
          <w:tcPr>
            <w:tcW w:w="457" w:type="pct"/>
            <w:vAlign w:val="center"/>
          </w:tcPr>
          <w:p w14:paraId="5A83CE8B" w14:textId="77777777" w:rsidR="002E474C" w:rsidRDefault="00000000">
            <w:pPr>
              <w:pStyle w:val="A-"/>
            </w:pPr>
            <w:r>
              <w:t>261-137-21</w:t>
            </w:r>
          </w:p>
        </w:tc>
        <w:tc>
          <w:tcPr>
            <w:tcW w:w="2678" w:type="pct"/>
            <w:vAlign w:val="center"/>
          </w:tcPr>
          <w:p w14:paraId="0D978A08" w14:textId="77777777" w:rsidR="002E474C" w:rsidRDefault="00000000">
            <w:pPr>
              <w:pStyle w:val="A-"/>
            </w:pPr>
            <w:r>
              <w:t>铬铁矿生产铬盐过程中产生的其他废物</w:t>
            </w:r>
          </w:p>
        </w:tc>
        <w:tc>
          <w:tcPr>
            <w:tcW w:w="395" w:type="pct"/>
            <w:vAlign w:val="center"/>
          </w:tcPr>
          <w:p w14:paraId="09971F17" w14:textId="77777777" w:rsidR="002E474C" w:rsidRDefault="00000000">
            <w:pPr>
              <w:pStyle w:val="A-"/>
            </w:pPr>
            <w:r>
              <w:t>T</w:t>
            </w:r>
          </w:p>
        </w:tc>
      </w:tr>
      <w:tr w:rsidR="002E474C" w14:paraId="7801A10A" w14:textId="77777777">
        <w:trPr>
          <w:trHeight w:val="240"/>
        </w:trPr>
        <w:tc>
          <w:tcPr>
            <w:tcW w:w="574" w:type="pct"/>
            <w:vMerge/>
            <w:vAlign w:val="center"/>
          </w:tcPr>
          <w:p w14:paraId="0F0FD0B2" w14:textId="77777777" w:rsidR="002E474C" w:rsidRDefault="002E474C">
            <w:pPr>
              <w:pStyle w:val="A-"/>
            </w:pPr>
          </w:p>
        </w:tc>
        <w:tc>
          <w:tcPr>
            <w:tcW w:w="524" w:type="pct"/>
            <w:vMerge/>
            <w:vAlign w:val="center"/>
          </w:tcPr>
          <w:p w14:paraId="6CC5E2F3" w14:textId="77777777" w:rsidR="002E474C" w:rsidRDefault="002E474C">
            <w:pPr>
              <w:pStyle w:val="A-"/>
            </w:pPr>
          </w:p>
        </w:tc>
        <w:tc>
          <w:tcPr>
            <w:tcW w:w="372" w:type="pct"/>
            <w:vMerge/>
            <w:vAlign w:val="center"/>
          </w:tcPr>
          <w:p w14:paraId="7EA07D82" w14:textId="77777777" w:rsidR="002E474C" w:rsidRDefault="002E474C">
            <w:pPr>
              <w:pStyle w:val="A-"/>
            </w:pPr>
          </w:p>
        </w:tc>
        <w:tc>
          <w:tcPr>
            <w:tcW w:w="457" w:type="pct"/>
            <w:vAlign w:val="center"/>
          </w:tcPr>
          <w:p w14:paraId="6DFBE088" w14:textId="77777777" w:rsidR="002E474C" w:rsidRDefault="00000000">
            <w:pPr>
              <w:pStyle w:val="A-"/>
            </w:pPr>
            <w:r>
              <w:t>261-138-21</w:t>
            </w:r>
          </w:p>
        </w:tc>
        <w:tc>
          <w:tcPr>
            <w:tcW w:w="2678" w:type="pct"/>
            <w:vAlign w:val="center"/>
          </w:tcPr>
          <w:p w14:paraId="72E1A86E" w14:textId="77777777" w:rsidR="002E474C" w:rsidRDefault="00000000">
            <w:pPr>
              <w:pStyle w:val="A-"/>
            </w:pPr>
            <w:r>
              <w:t>以重铬酸钠和浓硫酸为原料生产铬酸酐过程中产生的含铬废液</w:t>
            </w:r>
          </w:p>
        </w:tc>
        <w:tc>
          <w:tcPr>
            <w:tcW w:w="395" w:type="pct"/>
            <w:vAlign w:val="center"/>
          </w:tcPr>
          <w:p w14:paraId="56077ADF" w14:textId="77777777" w:rsidR="002E474C" w:rsidRDefault="00000000">
            <w:pPr>
              <w:pStyle w:val="A-"/>
            </w:pPr>
            <w:r>
              <w:t>T</w:t>
            </w:r>
          </w:p>
        </w:tc>
      </w:tr>
      <w:tr w:rsidR="002E474C" w14:paraId="7E600E02" w14:textId="77777777">
        <w:trPr>
          <w:trHeight w:val="240"/>
        </w:trPr>
        <w:tc>
          <w:tcPr>
            <w:tcW w:w="574" w:type="pct"/>
            <w:vMerge/>
            <w:vAlign w:val="center"/>
          </w:tcPr>
          <w:p w14:paraId="718BE947" w14:textId="77777777" w:rsidR="002E474C" w:rsidRDefault="002E474C">
            <w:pPr>
              <w:pStyle w:val="A-"/>
            </w:pPr>
          </w:p>
        </w:tc>
        <w:tc>
          <w:tcPr>
            <w:tcW w:w="524" w:type="pct"/>
            <w:vMerge w:val="restart"/>
            <w:vAlign w:val="center"/>
          </w:tcPr>
          <w:p w14:paraId="1F813152" w14:textId="77777777" w:rsidR="002E474C" w:rsidRDefault="00000000">
            <w:pPr>
              <w:pStyle w:val="A-"/>
            </w:pPr>
            <w:r>
              <w:t>铁合金冶炼</w:t>
            </w:r>
          </w:p>
        </w:tc>
        <w:tc>
          <w:tcPr>
            <w:tcW w:w="372" w:type="pct"/>
            <w:vMerge w:val="restart"/>
            <w:vAlign w:val="center"/>
          </w:tcPr>
          <w:p w14:paraId="3A4DD940" w14:textId="77777777" w:rsidR="002E474C" w:rsidRDefault="00000000">
            <w:pPr>
              <w:pStyle w:val="A-"/>
            </w:pPr>
            <w:r>
              <w:t>固态</w:t>
            </w:r>
          </w:p>
        </w:tc>
        <w:tc>
          <w:tcPr>
            <w:tcW w:w="457" w:type="pct"/>
            <w:vAlign w:val="center"/>
          </w:tcPr>
          <w:p w14:paraId="57944A82" w14:textId="77777777" w:rsidR="002E474C" w:rsidRDefault="00000000">
            <w:pPr>
              <w:pStyle w:val="A-"/>
            </w:pPr>
            <w:r>
              <w:t>315-001-21</w:t>
            </w:r>
          </w:p>
        </w:tc>
        <w:tc>
          <w:tcPr>
            <w:tcW w:w="2678" w:type="pct"/>
            <w:vAlign w:val="center"/>
          </w:tcPr>
          <w:p w14:paraId="6EFB4A65" w14:textId="77777777" w:rsidR="002E474C" w:rsidRDefault="00000000">
            <w:pPr>
              <w:pStyle w:val="A-"/>
            </w:pPr>
            <w:r>
              <w:t>铬铁硅合金生产过程中集（除）尘装置收集的粉尘</w:t>
            </w:r>
          </w:p>
        </w:tc>
        <w:tc>
          <w:tcPr>
            <w:tcW w:w="395" w:type="pct"/>
            <w:vAlign w:val="center"/>
          </w:tcPr>
          <w:p w14:paraId="3961F77B" w14:textId="77777777" w:rsidR="002E474C" w:rsidRDefault="00000000">
            <w:pPr>
              <w:pStyle w:val="A-"/>
            </w:pPr>
            <w:r>
              <w:t>T</w:t>
            </w:r>
          </w:p>
        </w:tc>
      </w:tr>
      <w:tr w:rsidR="002E474C" w14:paraId="35DE88DA" w14:textId="77777777">
        <w:trPr>
          <w:trHeight w:val="240"/>
        </w:trPr>
        <w:tc>
          <w:tcPr>
            <w:tcW w:w="574" w:type="pct"/>
            <w:vMerge/>
            <w:vAlign w:val="center"/>
          </w:tcPr>
          <w:p w14:paraId="46066B3F" w14:textId="77777777" w:rsidR="002E474C" w:rsidRDefault="002E474C">
            <w:pPr>
              <w:pStyle w:val="A-"/>
            </w:pPr>
          </w:p>
        </w:tc>
        <w:tc>
          <w:tcPr>
            <w:tcW w:w="524" w:type="pct"/>
            <w:vMerge/>
            <w:vAlign w:val="center"/>
          </w:tcPr>
          <w:p w14:paraId="7F4D27ED" w14:textId="77777777" w:rsidR="002E474C" w:rsidRDefault="002E474C">
            <w:pPr>
              <w:pStyle w:val="A-"/>
            </w:pPr>
          </w:p>
        </w:tc>
        <w:tc>
          <w:tcPr>
            <w:tcW w:w="372" w:type="pct"/>
            <w:vMerge/>
            <w:vAlign w:val="center"/>
          </w:tcPr>
          <w:p w14:paraId="4E019958" w14:textId="77777777" w:rsidR="002E474C" w:rsidRDefault="002E474C">
            <w:pPr>
              <w:pStyle w:val="A-"/>
            </w:pPr>
          </w:p>
        </w:tc>
        <w:tc>
          <w:tcPr>
            <w:tcW w:w="457" w:type="pct"/>
            <w:vAlign w:val="center"/>
          </w:tcPr>
          <w:p w14:paraId="2E64B4B0" w14:textId="77777777" w:rsidR="002E474C" w:rsidRDefault="00000000">
            <w:pPr>
              <w:pStyle w:val="A-"/>
            </w:pPr>
            <w:r>
              <w:t>315-002-21</w:t>
            </w:r>
          </w:p>
        </w:tc>
        <w:tc>
          <w:tcPr>
            <w:tcW w:w="2678" w:type="pct"/>
            <w:vAlign w:val="center"/>
          </w:tcPr>
          <w:p w14:paraId="6874971B" w14:textId="77777777" w:rsidR="002E474C" w:rsidRDefault="00000000">
            <w:pPr>
              <w:pStyle w:val="A-"/>
            </w:pPr>
            <w:r>
              <w:t>铁铬合金生产过程中集（除）尘装置收集的粉尘</w:t>
            </w:r>
          </w:p>
        </w:tc>
        <w:tc>
          <w:tcPr>
            <w:tcW w:w="395" w:type="pct"/>
            <w:vAlign w:val="center"/>
          </w:tcPr>
          <w:p w14:paraId="5BD5D879" w14:textId="77777777" w:rsidR="002E474C" w:rsidRDefault="00000000">
            <w:pPr>
              <w:pStyle w:val="A-"/>
            </w:pPr>
            <w:r>
              <w:t>T</w:t>
            </w:r>
          </w:p>
        </w:tc>
      </w:tr>
      <w:tr w:rsidR="002E474C" w14:paraId="61207088" w14:textId="77777777">
        <w:trPr>
          <w:trHeight w:val="240"/>
        </w:trPr>
        <w:tc>
          <w:tcPr>
            <w:tcW w:w="574" w:type="pct"/>
            <w:vMerge/>
            <w:vAlign w:val="center"/>
          </w:tcPr>
          <w:p w14:paraId="3534E671" w14:textId="77777777" w:rsidR="002E474C" w:rsidRDefault="002E474C">
            <w:pPr>
              <w:pStyle w:val="A-"/>
            </w:pPr>
          </w:p>
        </w:tc>
        <w:tc>
          <w:tcPr>
            <w:tcW w:w="524" w:type="pct"/>
            <w:vMerge/>
            <w:vAlign w:val="center"/>
          </w:tcPr>
          <w:p w14:paraId="49794F52" w14:textId="77777777" w:rsidR="002E474C" w:rsidRDefault="002E474C">
            <w:pPr>
              <w:pStyle w:val="A-"/>
            </w:pPr>
          </w:p>
        </w:tc>
        <w:tc>
          <w:tcPr>
            <w:tcW w:w="372" w:type="pct"/>
            <w:vMerge/>
            <w:vAlign w:val="center"/>
          </w:tcPr>
          <w:p w14:paraId="4DE4E790" w14:textId="77777777" w:rsidR="002E474C" w:rsidRDefault="002E474C">
            <w:pPr>
              <w:pStyle w:val="A-"/>
            </w:pPr>
          </w:p>
        </w:tc>
        <w:tc>
          <w:tcPr>
            <w:tcW w:w="457" w:type="pct"/>
            <w:vAlign w:val="center"/>
          </w:tcPr>
          <w:p w14:paraId="619452EE" w14:textId="77777777" w:rsidR="002E474C" w:rsidRDefault="00000000">
            <w:pPr>
              <w:pStyle w:val="A-"/>
            </w:pPr>
            <w:r>
              <w:t>315-003-21</w:t>
            </w:r>
          </w:p>
        </w:tc>
        <w:tc>
          <w:tcPr>
            <w:tcW w:w="2678" w:type="pct"/>
            <w:vAlign w:val="center"/>
          </w:tcPr>
          <w:p w14:paraId="123E6994" w14:textId="77777777" w:rsidR="002E474C" w:rsidRDefault="00000000">
            <w:pPr>
              <w:pStyle w:val="A-"/>
            </w:pPr>
            <w:r>
              <w:t>铁铬合金生产过程中金属铬冶炼产生的铬浸出渣</w:t>
            </w:r>
          </w:p>
        </w:tc>
        <w:tc>
          <w:tcPr>
            <w:tcW w:w="395" w:type="pct"/>
            <w:vAlign w:val="center"/>
          </w:tcPr>
          <w:p w14:paraId="7F650291" w14:textId="77777777" w:rsidR="002E474C" w:rsidRDefault="00000000">
            <w:pPr>
              <w:pStyle w:val="A-"/>
            </w:pPr>
            <w:r>
              <w:t>T</w:t>
            </w:r>
          </w:p>
        </w:tc>
      </w:tr>
      <w:tr w:rsidR="002E474C" w14:paraId="48B2C57A" w14:textId="77777777">
        <w:trPr>
          <w:trHeight w:val="240"/>
        </w:trPr>
        <w:tc>
          <w:tcPr>
            <w:tcW w:w="574" w:type="pct"/>
            <w:vMerge/>
            <w:vAlign w:val="center"/>
          </w:tcPr>
          <w:p w14:paraId="3489F4FD" w14:textId="77777777" w:rsidR="002E474C" w:rsidRDefault="002E474C">
            <w:pPr>
              <w:pStyle w:val="A-"/>
            </w:pPr>
          </w:p>
        </w:tc>
        <w:tc>
          <w:tcPr>
            <w:tcW w:w="524" w:type="pct"/>
            <w:vAlign w:val="center"/>
          </w:tcPr>
          <w:p w14:paraId="2B8850BF" w14:textId="77777777" w:rsidR="002E474C" w:rsidRDefault="00000000">
            <w:pPr>
              <w:pStyle w:val="A-"/>
            </w:pPr>
            <w:r>
              <w:t>金属表面处理及热处理加工</w:t>
            </w:r>
          </w:p>
        </w:tc>
        <w:tc>
          <w:tcPr>
            <w:tcW w:w="372" w:type="pct"/>
            <w:vAlign w:val="center"/>
          </w:tcPr>
          <w:p w14:paraId="278E8A20" w14:textId="77777777" w:rsidR="002E474C" w:rsidRDefault="00000000">
            <w:pPr>
              <w:pStyle w:val="A-"/>
              <w:ind w:leftChars="-25" w:left="-53" w:rightChars="-25" w:right="-53"/>
              <w:rPr>
                <w:spacing w:val="-6"/>
              </w:rPr>
            </w:pPr>
            <w:r>
              <w:rPr>
                <w:spacing w:val="-6"/>
              </w:rPr>
              <w:t>固态、半固态、液态</w:t>
            </w:r>
          </w:p>
        </w:tc>
        <w:tc>
          <w:tcPr>
            <w:tcW w:w="457" w:type="pct"/>
            <w:vAlign w:val="center"/>
          </w:tcPr>
          <w:p w14:paraId="2255C631" w14:textId="77777777" w:rsidR="002E474C" w:rsidRDefault="00000000">
            <w:pPr>
              <w:pStyle w:val="A-"/>
            </w:pPr>
            <w:r>
              <w:t>336-100-21</w:t>
            </w:r>
          </w:p>
        </w:tc>
        <w:tc>
          <w:tcPr>
            <w:tcW w:w="2678" w:type="pct"/>
            <w:vAlign w:val="center"/>
          </w:tcPr>
          <w:p w14:paraId="4FA1141A" w14:textId="77777777" w:rsidR="002E474C" w:rsidRDefault="00000000">
            <w:pPr>
              <w:pStyle w:val="A-"/>
            </w:pPr>
            <w:r>
              <w:t>使用铬酸进行阳极氧化产生的废槽液、槽渣及废水处理污泥</w:t>
            </w:r>
          </w:p>
        </w:tc>
        <w:tc>
          <w:tcPr>
            <w:tcW w:w="395" w:type="pct"/>
            <w:vAlign w:val="center"/>
          </w:tcPr>
          <w:p w14:paraId="718CFC2A" w14:textId="77777777" w:rsidR="002E474C" w:rsidRDefault="00000000">
            <w:pPr>
              <w:pStyle w:val="A-"/>
            </w:pPr>
            <w:r>
              <w:t>T</w:t>
            </w:r>
          </w:p>
        </w:tc>
      </w:tr>
      <w:tr w:rsidR="002E474C" w14:paraId="20947D1F" w14:textId="77777777">
        <w:trPr>
          <w:trHeight w:val="524"/>
        </w:trPr>
        <w:tc>
          <w:tcPr>
            <w:tcW w:w="574" w:type="pct"/>
            <w:vMerge/>
            <w:vAlign w:val="center"/>
          </w:tcPr>
          <w:p w14:paraId="0D4EBAA8" w14:textId="77777777" w:rsidR="002E474C" w:rsidRDefault="002E474C">
            <w:pPr>
              <w:pStyle w:val="A-"/>
            </w:pPr>
          </w:p>
        </w:tc>
        <w:tc>
          <w:tcPr>
            <w:tcW w:w="524" w:type="pct"/>
            <w:vAlign w:val="center"/>
          </w:tcPr>
          <w:p w14:paraId="205B70A3" w14:textId="77777777" w:rsidR="002E474C" w:rsidRDefault="00000000">
            <w:pPr>
              <w:pStyle w:val="A-"/>
            </w:pPr>
            <w:r>
              <w:t>电子元件</w:t>
            </w:r>
          </w:p>
          <w:p w14:paraId="6EFCDA21" w14:textId="77777777" w:rsidR="002E474C" w:rsidRDefault="00000000">
            <w:pPr>
              <w:pStyle w:val="A-"/>
            </w:pPr>
            <w:r>
              <w:t>制造</w:t>
            </w:r>
          </w:p>
        </w:tc>
        <w:tc>
          <w:tcPr>
            <w:tcW w:w="372" w:type="pct"/>
            <w:vAlign w:val="center"/>
          </w:tcPr>
          <w:p w14:paraId="754917AD" w14:textId="77777777" w:rsidR="002E474C" w:rsidRDefault="00000000">
            <w:pPr>
              <w:pStyle w:val="A-"/>
              <w:ind w:leftChars="-25" w:left="-53" w:rightChars="-25" w:right="-53"/>
              <w:rPr>
                <w:spacing w:val="-6"/>
              </w:rPr>
            </w:pPr>
            <w:r>
              <w:rPr>
                <w:spacing w:val="-6"/>
              </w:rPr>
              <w:t>固态、半固态、液态</w:t>
            </w:r>
          </w:p>
        </w:tc>
        <w:tc>
          <w:tcPr>
            <w:tcW w:w="457" w:type="pct"/>
            <w:vAlign w:val="center"/>
          </w:tcPr>
          <w:p w14:paraId="101E3313" w14:textId="77777777" w:rsidR="002E474C" w:rsidRDefault="00000000">
            <w:pPr>
              <w:pStyle w:val="A-"/>
            </w:pPr>
            <w:r>
              <w:t>397-002-21</w:t>
            </w:r>
          </w:p>
        </w:tc>
        <w:tc>
          <w:tcPr>
            <w:tcW w:w="2678" w:type="pct"/>
            <w:vAlign w:val="center"/>
          </w:tcPr>
          <w:p w14:paraId="719A10AE" w14:textId="77777777" w:rsidR="002E474C" w:rsidRDefault="00000000">
            <w:pPr>
              <w:pStyle w:val="A-"/>
            </w:pPr>
            <w:r>
              <w:t>使用铬酸进行钻孔除胶处理产生的废渣和废水处理污泥</w:t>
            </w:r>
          </w:p>
        </w:tc>
        <w:tc>
          <w:tcPr>
            <w:tcW w:w="395" w:type="pct"/>
            <w:vAlign w:val="center"/>
          </w:tcPr>
          <w:p w14:paraId="3E7EC691" w14:textId="77777777" w:rsidR="002E474C" w:rsidRDefault="00000000">
            <w:pPr>
              <w:pStyle w:val="A-"/>
            </w:pPr>
            <w:r>
              <w:t>T</w:t>
            </w:r>
          </w:p>
        </w:tc>
      </w:tr>
      <w:tr w:rsidR="002E474C" w14:paraId="0A5AB246" w14:textId="77777777">
        <w:trPr>
          <w:trHeight w:val="240"/>
        </w:trPr>
        <w:tc>
          <w:tcPr>
            <w:tcW w:w="574" w:type="pct"/>
            <w:vMerge w:val="restart"/>
            <w:vAlign w:val="center"/>
          </w:tcPr>
          <w:p w14:paraId="7B90DCEF" w14:textId="77777777" w:rsidR="002E474C" w:rsidRDefault="00000000">
            <w:pPr>
              <w:pStyle w:val="A-"/>
            </w:pPr>
            <w:r>
              <w:t>HW22</w:t>
            </w:r>
          </w:p>
          <w:p w14:paraId="7F78B262" w14:textId="77777777" w:rsidR="002E474C" w:rsidRDefault="00000000">
            <w:pPr>
              <w:pStyle w:val="A-"/>
            </w:pPr>
            <w:r>
              <w:t>含铜废物</w:t>
            </w:r>
          </w:p>
        </w:tc>
        <w:tc>
          <w:tcPr>
            <w:tcW w:w="524" w:type="pct"/>
            <w:vAlign w:val="center"/>
          </w:tcPr>
          <w:p w14:paraId="546059A7" w14:textId="77777777" w:rsidR="002E474C" w:rsidRDefault="00000000">
            <w:pPr>
              <w:pStyle w:val="A-"/>
            </w:pPr>
            <w:r>
              <w:t>玻璃制造</w:t>
            </w:r>
          </w:p>
        </w:tc>
        <w:tc>
          <w:tcPr>
            <w:tcW w:w="372" w:type="pct"/>
            <w:vAlign w:val="center"/>
          </w:tcPr>
          <w:p w14:paraId="0F5C45D8" w14:textId="77777777" w:rsidR="002E474C" w:rsidRDefault="00000000">
            <w:pPr>
              <w:pStyle w:val="A-"/>
              <w:ind w:leftChars="-25" w:left="-53" w:rightChars="-25" w:right="-53"/>
              <w:rPr>
                <w:spacing w:val="-6"/>
              </w:rPr>
            </w:pPr>
            <w:r>
              <w:rPr>
                <w:spacing w:val="-6"/>
              </w:rPr>
              <w:t>固态、液态</w:t>
            </w:r>
          </w:p>
        </w:tc>
        <w:tc>
          <w:tcPr>
            <w:tcW w:w="457" w:type="pct"/>
            <w:vAlign w:val="center"/>
          </w:tcPr>
          <w:p w14:paraId="61F031B4" w14:textId="77777777" w:rsidR="002E474C" w:rsidRDefault="00000000">
            <w:pPr>
              <w:pStyle w:val="A-"/>
            </w:pPr>
            <w:r>
              <w:t>304-001-22</w:t>
            </w:r>
          </w:p>
        </w:tc>
        <w:tc>
          <w:tcPr>
            <w:tcW w:w="2678" w:type="pct"/>
            <w:vAlign w:val="center"/>
          </w:tcPr>
          <w:p w14:paraId="56AFB61C" w14:textId="77777777" w:rsidR="002E474C" w:rsidRDefault="00000000">
            <w:pPr>
              <w:pStyle w:val="A-"/>
            </w:pPr>
            <w:r>
              <w:t>使用硫酸铜进行敷金属法镀铜产生的废槽液、槽渣及废水处理污泥</w:t>
            </w:r>
          </w:p>
        </w:tc>
        <w:tc>
          <w:tcPr>
            <w:tcW w:w="395" w:type="pct"/>
            <w:vAlign w:val="center"/>
          </w:tcPr>
          <w:p w14:paraId="2DEA2358" w14:textId="77777777" w:rsidR="002E474C" w:rsidRDefault="00000000">
            <w:pPr>
              <w:pStyle w:val="A-"/>
            </w:pPr>
            <w:r>
              <w:t>T</w:t>
            </w:r>
          </w:p>
        </w:tc>
      </w:tr>
      <w:tr w:rsidR="002E474C" w14:paraId="6180D44D" w14:textId="77777777">
        <w:trPr>
          <w:trHeight w:val="240"/>
        </w:trPr>
        <w:tc>
          <w:tcPr>
            <w:tcW w:w="574" w:type="pct"/>
            <w:vMerge/>
            <w:vAlign w:val="center"/>
          </w:tcPr>
          <w:p w14:paraId="5475EFF6" w14:textId="77777777" w:rsidR="002E474C" w:rsidRDefault="002E474C">
            <w:pPr>
              <w:pStyle w:val="A-"/>
            </w:pPr>
          </w:p>
        </w:tc>
        <w:tc>
          <w:tcPr>
            <w:tcW w:w="524" w:type="pct"/>
            <w:vMerge w:val="restart"/>
            <w:vAlign w:val="center"/>
          </w:tcPr>
          <w:p w14:paraId="4B83839D" w14:textId="77777777" w:rsidR="002E474C" w:rsidRDefault="00000000">
            <w:pPr>
              <w:pStyle w:val="A-"/>
            </w:pPr>
            <w:r>
              <w:t>常用有色金属冶炼</w:t>
            </w:r>
          </w:p>
        </w:tc>
        <w:tc>
          <w:tcPr>
            <w:tcW w:w="372" w:type="pct"/>
            <w:vMerge w:val="restart"/>
            <w:vAlign w:val="center"/>
          </w:tcPr>
          <w:p w14:paraId="0F5CF04F" w14:textId="77777777" w:rsidR="002E474C" w:rsidRDefault="00000000">
            <w:pPr>
              <w:pStyle w:val="A-"/>
              <w:ind w:leftChars="-25" w:left="-53" w:rightChars="-25" w:right="-53"/>
              <w:rPr>
                <w:spacing w:val="-6"/>
              </w:rPr>
            </w:pPr>
            <w:r>
              <w:rPr>
                <w:spacing w:val="-6"/>
              </w:rPr>
              <w:t>固态、液态</w:t>
            </w:r>
          </w:p>
        </w:tc>
        <w:tc>
          <w:tcPr>
            <w:tcW w:w="457" w:type="pct"/>
            <w:vAlign w:val="center"/>
          </w:tcPr>
          <w:p w14:paraId="7B7BCB1B" w14:textId="77777777" w:rsidR="002E474C" w:rsidRDefault="00000000">
            <w:pPr>
              <w:pStyle w:val="A-"/>
            </w:pPr>
            <w:r>
              <w:t>321-101-22</w:t>
            </w:r>
          </w:p>
        </w:tc>
        <w:tc>
          <w:tcPr>
            <w:tcW w:w="2678" w:type="pct"/>
            <w:vAlign w:val="center"/>
          </w:tcPr>
          <w:p w14:paraId="572BC4CA" w14:textId="77777777" w:rsidR="002E474C" w:rsidRDefault="00000000">
            <w:pPr>
              <w:pStyle w:val="A-"/>
            </w:pPr>
            <w:r>
              <w:t>铜火法冶炼烟气净化产生的收尘渣、压滤渣</w:t>
            </w:r>
          </w:p>
        </w:tc>
        <w:tc>
          <w:tcPr>
            <w:tcW w:w="395" w:type="pct"/>
            <w:vAlign w:val="center"/>
          </w:tcPr>
          <w:p w14:paraId="45296E7F" w14:textId="77777777" w:rsidR="002E474C" w:rsidRDefault="00000000">
            <w:pPr>
              <w:pStyle w:val="A-"/>
            </w:pPr>
            <w:r>
              <w:t>T</w:t>
            </w:r>
          </w:p>
        </w:tc>
      </w:tr>
      <w:tr w:rsidR="002E474C" w14:paraId="36BAABC7" w14:textId="77777777">
        <w:trPr>
          <w:trHeight w:val="240"/>
        </w:trPr>
        <w:tc>
          <w:tcPr>
            <w:tcW w:w="574" w:type="pct"/>
            <w:vMerge/>
            <w:vAlign w:val="center"/>
          </w:tcPr>
          <w:p w14:paraId="265D89D5" w14:textId="77777777" w:rsidR="002E474C" w:rsidRDefault="002E474C">
            <w:pPr>
              <w:pStyle w:val="A-"/>
            </w:pPr>
          </w:p>
        </w:tc>
        <w:tc>
          <w:tcPr>
            <w:tcW w:w="524" w:type="pct"/>
            <w:vMerge/>
            <w:vAlign w:val="center"/>
          </w:tcPr>
          <w:p w14:paraId="6D7D6D85" w14:textId="77777777" w:rsidR="002E474C" w:rsidRDefault="002E474C">
            <w:pPr>
              <w:pStyle w:val="A-"/>
            </w:pPr>
          </w:p>
        </w:tc>
        <w:tc>
          <w:tcPr>
            <w:tcW w:w="372" w:type="pct"/>
            <w:vMerge/>
            <w:vAlign w:val="center"/>
          </w:tcPr>
          <w:p w14:paraId="7FDF698B" w14:textId="77777777" w:rsidR="002E474C" w:rsidRDefault="002E474C">
            <w:pPr>
              <w:pStyle w:val="A-"/>
            </w:pPr>
          </w:p>
        </w:tc>
        <w:tc>
          <w:tcPr>
            <w:tcW w:w="457" w:type="pct"/>
            <w:vAlign w:val="center"/>
          </w:tcPr>
          <w:p w14:paraId="38E0FECB" w14:textId="77777777" w:rsidR="002E474C" w:rsidRDefault="00000000">
            <w:pPr>
              <w:pStyle w:val="A-"/>
            </w:pPr>
            <w:r>
              <w:t>321-102-22</w:t>
            </w:r>
          </w:p>
        </w:tc>
        <w:tc>
          <w:tcPr>
            <w:tcW w:w="2678" w:type="pct"/>
            <w:vAlign w:val="center"/>
          </w:tcPr>
          <w:p w14:paraId="2A9B90FB" w14:textId="77777777" w:rsidR="002E474C" w:rsidRDefault="00000000">
            <w:pPr>
              <w:pStyle w:val="A-"/>
            </w:pPr>
            <w:r>
              <w:t>铜火法冶炼电除雾除尘产生的废水处理污泥</w:t>
            </w:r>
          </w:p>
        </w:tc>
        <w:tc>
          <w:tcPr>
            <w:tcW w:w="395" w:type="pct"/>
            <w:vAlign w:val="center"/>
          </w:tcPr>
          <w:p w14:paraId="2D15C1DB" w14:textId="77777777" w:rsidR="002E474C" w:rsidRDefault="00000000">
            <w:pPr>
              <w:pStyle w:val="A-"/>
            </w:pPr>
            <w:r>
              <w:t>T</w:t>
            </w:r>
          </w:p>
        </w:tc>
      </w:tr>
      <w:tr w:rsidR="002E474C" w14:paraId="1D6FF5CF" w14:textId="77777777">
        <w:trPr>
          <w:trHeight w:val="240"/>
        </w:trPr>
        <w:tc>
          <w:tcPr>
            <w:tcW w:w="574" w:type="pct"/>
            <w:vMerge/>
            <w:vAlign w:val="center"/>
          </w:tcPr>
          <w:p w14:paraId="325CB421" w14:textId="77777777" w:rsidR="002E474C" w:rsidRDefault="002E474C">
            <w:pPr>
              <w:pStyle w:val="A-"/>
            </w:pPr>
          </w:p>
        </w:tc>
        <w:tc>
          <w:tcPr>
            <w:tcW w:w="524" w:type="pct"/>
            <w:vMerge w:val="restart"/>
            <w:vAlign w:val="center"/>
          </w:tcPr>
          <w:p w14:paraId="297730BA" w14:textId="77777777" w:rsidR="002E474C" w:rsidRDefault="00000000">
            <w:pPr>
              <w:pStyle w:val="A-"/>
            </w:pPr>
            <w:r>
              <w:t>电子元件</w:t>
            </w:r>
          </w:p>
          <w:p w14:paraId="5C952822" w14:textId="77777777" w:rsidR="002E474C" w:rsidRDefault="00000000">
            <w:pPr>
              <w:pStyle w:val="A-"/>
            </w:pPr>
            <w:r>
              <w:t>制造</w:t>
            </w:r>
          </w:p>
        </w:tc>
        <w:tc>
          <w:tcPr>
            <w:tcW w:w="372" w:type="pct"/>
            <w:vMerge w:val="restart"/>
            <w:vAlign w:val="center"/>
          </w:tcPr>
          <w:p w14:paraId="61319503" w14:textId="77777777" w:rsidR="002E474C" w:rsidRDefault="00000000">
            <w:pPr>
              <w:pStyle w:val="A-"/>
            </w:pPr>
            <w:r>
              <w:t>半固态、液态</w:t>
            </w:r>
          </w:p>
        </w:tc>
        <w:tc>
          <w:tcPr>
            <w:tcW w:w="457" w:type="pct"/>
            <w:vAlign w:val="center"/>
          </w:tcPr>
          <w:p w14:paraId="462E8D2D" w14:textId="77777777" w:rsidR="002E474C" w:rsidRDefault="00000000">
            <w:pPr>
              <w:pStyle w:val="A-"/>
            </w:pPr>
            <w:r>
              <w:t>397-004-22</w:t>
            </w:r>
          </w:p>
        </w:tc>
        <w:tc>
          <w:tcPr>
            <w:tcW w:w="2678" w:type="pct"/>
            <w:vAlign w:val="center"/>
          </w:tcPr>
          <w:p w14:paraId="02EABF35" w14:textId="77777777" w:rsidR="002E474C" w:rsidRDefault="00000000">
            <w:pPr>
              <w:pStyle w:val="A-"/>
            </w:pPr>
            <w:r>
              <w:t>线路板生产过程中产生的废蚀铜液</w:t>
            </w:r>
          </w:p>
        </w:tc>
        <w:tc>
          <w:tcPr>
            <w:tcW w:w="395" w:type="pct"/>
            <w:vAlign w:val="center"/>
          </w:tcPr>
          <w:p w14:paraId="02B60F27" w14:textId="77777777" w:rsidR="002E474C" w:rsidRDefault="00000000">
            <w:pPr>
              <w:pStyle w:val="A-"/>
            </w:pPr>
            <w:r>
              <w:t>T</w:t>
            </w:r>
          </w:p>
        </w:tc>
      </w:tr>
      <w:tr w:rsidR="002E474C" w14:paraId="6E993DE1" w14:textId="77777777">
        <w:trPr>
          <w:trHeight w:val="240"/>
        </w:trPr>
        <w:tc>
          <w:tcPr>
            <w:tcW w:w="574" w:type="pct"/>
            <w:vMerge/>
            <w:vAlign w:val="center"/>
          </w:tcPr>
          <w:p w14:paraId="6B35B7DF" w14:textId="77777777" w:rsidR="002E474C" w:rsidRDefault="002E474C">
            <w:pPr>
              <w:pStyle w:val="A-"/>
            </w:pPr>
          </w:p>
        </w:tc>
        <w:tc>
          <w:tcPr>
            <w:tcW w:w="524" w:type="pct"/>
            <w:vMerge/>
            <w:vAlign w:val="center"/>
          </w:tcPr>
          <w:p w14:paraId="06DBC89F" w14:textId="77777777" w:rsidR="002E474C" w:rsidRDefault="002E474C">
            <w:pPr>
              <w:pStyle w:val="A-"/>
            </w:pPr>
          </w:p>
        </w:tc>
        <w:tc>
          <w:tcPr>
            <w:tcW w:w="372" w:type="pct"/>
            <w:vMerge/>
            <w:vAlign w:val="center"/>
          </w:tcPr>
          <w:p w14:paraId="38AC30BD" w14:textId="77777777" w:rsidR="002E474C" w:rsidRDefault="002E474C">
            <w:pPr>
              <w:pStyle w:val="A-"/>
            </w:pPr>
          </w:p>
        </w:tc>
        <w:tc>
          <w:tcPr>
            <w:tcW w:w="457" w:type="pct"/>
            <w:vAlign w:val="center"/>
          </w:tcPr>
          <w:p w14:paraId="40D6863F" w14:textId="77777777" w:rsidR="002E474C" w:rsidRDefault="00000000">
            <w:pPr>
              <w:pStyle w:val="A-"/>
            </w:pPr>
            <w:r>
              <w:t>397-005-22</w:t>
            </w:r>
          </w:p>
        </w:tc>
        <w:tc>
          <w:tcPr>
            <w:tcW w:w="2678" w:type="pct"/>
            <w:vAlign w:val="center"/>
          </w:tcPr>
          <w:p w14:paraId="00E8F296" w14:textId="77777777" w:rsidR="002E474C" w:rsidRDefault="00000000">
            <w:pPr>
              <w:pStyle w:val="A-"/>
            </w:pPr>
            <w:r>
              <w:t>使用酸进行铜氧化处理产生的废液及废水处理污泥</w:t>
            </w:r>
          </w:p>
        </w:tc>
        <w:tc>
          <w:tcPr>
            <w:tcW w:w="395" w:type="pct"/>
            <w:vAlign w:val="center"/>
          </w:tcPr>
          <w:p w14:paraId="03AF13DA" w14:textId="77777777" w:rsidR="002E474C" w:rsidRDefault="00000000">
            <w:pPr>
              <w:pStyle w:val="A-"/>
            </w:pPr>
            <w:r>
              <w:t>T</w:t>
            </w:r>
          </w:p>
        </w:tc>
      </w:tr>
      <w:tr w:rsidR="002E474C" w14:paraId="56CB0303" w14:textId="77777777">
        <w:trPr>
          <w:trHeight w:val="240"/>
        </w:trPr>
        <w:tc>
          <w:tcPr>
            <w:tcW w:w="574" w:type="pct"/>
            <w:vMerge/>
            <w:vAlign w:val="center"/>
          </w:tcPr>
          <w:p w14:paraId="07E7C21B" w14:textId="77777777" w:rsidR="002E474C" w:rsidRDefault="002E474C">
            <w:pPr>
              <w:pStyle w:val="A-"/>
            </w:pPr>
          </w:p>
        </w:tc>
        <w:tc>
          <w:tcPr>
            <w:tcW w:w="524" w:type="pct"/>
            <w:vMerge/>
            <w:vAlign w:val="center"/>
          </w:tcPr>
          <w:p w14:paraId="610E4678" w14:textId="77777777" w:rsidR="002E474C" w:rsidRDefault="002E474C">
            <w:pPr>
              <w:pStyle w:val="A-"/>
            </w:pPr>
          </w:p>
        </w:tc>
        <w:tc>
          <w:tcPr>
            <w:tcW w:w="372" w:type="pct"/>
            <w:vMerge/>
            <w:vAlign w:val="center"/>
          </w:tcPr>
          <w:p w14:paraId="7BB2606D" w14:textId="77777777" w:rsidR="002E474C" w:rsidRDefault="002E474C">
            <w:pPr>
              <w:pStyle w:val="A-"/>
            </w:pPr>
          </w:p>
        </w:tc>
        <w:tc>
          <w:tcPr>
            <w:tcW w:w="457" w:type="pct"/>
            <w:vAlign w:val="center"/>
          </w:tcPr>
          <w:p w14:paraId="052A38F3" w14:textId="77777777" w:rsidR="002E474C" w:rsidRDefault="00000000">
            <w:pPr>
              <w:pStyle w:val="A-"/>
            </w:pPr>
            <w:r>
              <w:t>397-051-22</w:t>
            </w:r>
          </w:p>
        </w:tc>
        <w:tc>
          <w:tcPr>
            <w:tcW w:w="2678" w:type="pct"/>
            <w:vAlign w:val="center"/>
          </w:tcPr>
          <w:p w14:paraId="3FD785CA" w14:textId="77777777" w:rsidR="002E474C" w:rsidRDefault="00000000">
            <w:pPr>
              <w:pStyle w:val="A-"/>
            </w:pPr>
            <w:r>
              <w:t>铜板蚀刻过程中产生的废蚀刻液及废水处理污泥</w:t>
            </w:r>
          </w:p>
        </w:tc>
        <w:tc>
          <w:tcPr>
            <w:tcW w:w="395" w:type="pct"/>
            <w:vAlign w:val="center"/>
          </w:tcPr>
          <w:p w14:paraId="4A34631C" w14:textId="77777777" w:rsidR="002E474C" w:rsidRDefault="00000000">
            <w:pPr>
              <w:pStyle w:val="A-"/>
            </w:pPr>
            <w:r>
              <w:t>T</w:t>
            </w:r>
          </w:p>
        </w:tc>
      </w:tr>
      <w:tr w:rsidR="002E474C" w14:paraId="374D3150" w14:textId="77777777">
        <w:trPr>
          <w:trHeight w:val="240"/>
        </w:trPr>
        <w:tc>
          <w:tcPr>
            <w:tcW w:w="574" w:type="pct"/>
            <w:vMerge w:val="restart"/>
            <w:vAlign w:val="center"/>
          </w:tcPr>
          <w:p w14:paraId="453F5BC3" w14:textId="77777777" w:rsidR="002E474C" w:rsidRDefault="00000000">
            <w:pPr>
              <w:pStyle w:val="A-"/>
            </w:pPr>
            <w:r>
              <w:t>HW23</w:t>
            </w:r>
          </w:p>
          <w:p w14:paraId="2AB0213B" w14:textId="77777777" w:rsidR="002E474C" w:rsidRDefault="00000000">
            <w:pPr>
              <w:pStyle w:val="A-"/>
            </w:pPr>
            <w:r>
              <w:t>含锌废物</w:t>
            </w:r>
          </w:p>
        </w:tc>
        <w:tc>
          <w:tcPr>
            <w:tcW w:w="524" w:type="pct"/>
            <w:vAlign w:val="center"/>
          </w:tcPr>
          <w:p w14:paraId="41F7A2A9" w14:textId="77777777" w:rsidR="002E474C" w:rsidRDefault="00000000">
            <w:pPr>
              <w:pStyle w:val="A-"/>
            </w:pPr>
            <w:r>
              <w:t>金属表面处理及热处理加工</w:t>
            </w:r>
          </w:p>
        </w:tc>
        <w:tc>
          <w:tcPr>
            <w:tcW w:w="372" w:type="pct"/>
            <w:vAlign w:val="center"/>
          </w:tcPr>
          <w:p w14:paraId="5427F925" w14:textId="77777777" w:rsidR="002E474C" w:rsidRDefault="00000000">
            <w:pPr>
              <w:pStyle w:val="A-"/>
            </w:pPr>
            <w:r>
              <w:t>固态</w:t>
            </w:r>
          </w:p>
        </w:tc>
        <w:tc>
          <w:tcPr>
            <w:tcW w:w="457" w:type="pct"/>
            <w:vAlign w:val="center"/>
          </w:tcPr>
          <w:p w14:paraId="1C8DF2C9" w14:textId="77777777" w:rsidR="002E474C" w:rsidRDefault="00000000">
            <w:pPr>
              <w:pStyle w:val="A-"/>
            </w:pPr>
            <w:r>
              <w:t>336-103-23</w:t>
            </w:r>
          </w:p>
        </w:tc>
        <w:tc>
          <w:tcPr>
            <w:tcW w:w="2678" w:type="pct"/>
            <w:vAlign w:val="center"/>
          </w:tcPr>
          <w:p w14:paraId="0CA7C38B" w14:textId="77777777" w:rsidR="002E474C" w:rsidRDefault="00000000">
            <w:pPr>
              <w:pStyle w:val="A-"/>
            </w:pPr>
            <w:r>
              <w:t>热镀锌过程中产生的废熔剂、助熔剂和集（除）尘装置收集的粉尘</w:t>
            </w:r>
          </w:p>
        </w:tc>
        <w:tc>
          <w:tcPr>
            <w:tcW w:w="395" w:type="pct"/>
            <w:vAlign w:val="center"/>
          </w:tcPr>
          <w:p w14:paraId="1B0559A8" w14:textId="77777777" w:rsidR="002E474C" w:rsidRDefault="00000000">
            <w:pPr>
              <w:pStyle w:val="A-"/>
            </w:pPr>
            <w:r>
              <w:t>T</w:t>
            </w:r>
          </w:p>
        </w:tc>
      </w:tr>
      <w:tr w:rsidR="002E474C" w14:paraId="5E5ADB60" w14:textId="77777777">
        <w:trPr>
          <w:trHeight w:val="240"/>
        </w:trPr>
        <w:tc>
          <w:tcPr>
            <w:tcW w:w="574" w:type="pct"/>
            <w:vMerge/>
            <w:vAlign w:val="center"/>
          </w:tcPr>
          <w:p w14:paraId="27699524" w14:textId="77777777" w:rsidR="002E474C" w:rsidRDefault="002E474C">
            <w:pPr>
              <w:pStyle w:val="A-"/>
            </w:pPr>
          </w:p>
        </w:tc>
        <w:tc>
          <w:tcPr>
            <w:tcW w:w="524" w:type="pct"/>
            <w:vAlign w:val="center"/>
          </w:tcPr>
          <w:p w14:paraId="188B6012" w14:textId="77777777" w:rsidR="002E474C" w:rsidRDefault="00000000">
            <w:pPr>
              <w:pStyle w:val="A-"/>
            </w:pPr>
            <w:r>
              <w:t>电池制造</w:t>
            </w:r>
          </w:p>
        </w:tc>
        <w:tc>
          <w:tcPr>
            <w:tcW w:w="372" w:type="pct"/>
            <w:vAlign w:val="center"/>
          </w:tcPr>
          <w:p w14:paraId="35F14BC9" w14:textId="77777777" w:rsidR="002E474C" w:rsidRDefault="00000000">
            <w:pPr>
              <w:pStyle w:val="A-"/>
            </w:pPr>
            <w:r>
              <w:t>半固态</w:t>
            </w:r>
          </w:p>
        </w:tc>
        <w:tc>
          <w:tcPr>
            <w:tcW w:w="457" w:type="pct"/>
            <w:vAlign w:val="center"/>
          </w:tcPr>
          <w:p w14:paraId="04F52F2C" w14:textId="77777777" w:rsidR="002E474C" w:rsidRDefault="00000000">
            <w:pPr>
              <w:pStyle w:val="A-"/>
            </w:pPr>
            <w:r>
              <w:t>384-001-23</w:t>
            </w:r>
          </w:p>
        </w:tc>
        <w:tc>
          <w:tcPr>
            <w:tcW w:w="2678" w:type="pct"/>
            <w:vAlign w:val="center"/>
          </w:tcPr>
          <w:p w14:paraId="4D1F5398" w14:textId="77777777" w:rsidR="002E474C" w:rsidRDefault="00000000">
            <w:pPr>
              <w:pStyle w:val="A-"/>
            </w:pPr>
            <w:r>
              <w:t>碱性锌锰电池、锌氧化银电池、锌空气电池生产过程中产生的废锌浆</w:t>
            </w:r>
          </w:p>
        </w:tc>
        <w:tc>
          <w:tcPr>
            <w:tcW w:w="395" w:type="pct"/>
            <w:vAlign w:val="center"/>
          </w:tcPr>
          <w:p w14:paraId="45D6D94B" w14:textId="77777777" w:rsidR="002E474C" w:rsidRDefault="00000000">
            <w:pPr>
              <w:pStyle w:val="A-"/>
            </w:pPr>
            <w:r>
              <w:t>T</w:t>
            </w:r>
          </w:p>
        </w:tc>
      </w:tr>
      <w:tr w:rsidR="002E474C" w14:paraId="5498B382" w14:textId="77777777">
        <w:trPr>
          <w:trHeight w:val="240"/>
        </w:trPr>
        <w:tc>
          <w:tcPr>
            <w:tcW w:w="574" w:type="pct"/>
            <w:vMerge/>
            <w:vAlign w:val="center"/>
          </w:tcPr>
          <w:p w14:paraId="5E9ED681" w14:textId="77777777" w:rsidR="002E474C" w:rsidRDefault="002E474C">
            <w:pPr>
              <w:pStyle w:val="A-"/>
            </w:pPr>
          </w:p>
        </w:tc>
        <w:tc>
          <w:tcPr>
            <w:tcW w:w="524" w:type="pct"/>
            <w:vAlign w:val="center"/>
          </w:tcPr>
          <w:p w14:paraId="0E97EA88" w14:textId="77777777" w:rsidR="002E474C" w:rsidRDefault="00000000">
            <w:pPr>
              <w:pStyle w:val="A-"/>
            </w:pPr>
            <w:r>
              <w:t>非特定行业</w:t>
            </w:r>
          </w:p>
        </w:tc>
        <w:tc>
          <w:tcPr>
            <w:tcW w:w="372" w:type="pct"/>
            <w:vAlign w:val="center"/>
          </w:tcPr>
          <w:p w14:paraId="750D2ACF" w14:textId="77777777" w:rsidR="002E474C" w:rsidRDefault="00000000">
            <w:pPr>
              <w:pStyle w:val="A-"/>
            </w:pPr>
            <w:r>
              <w:t>半固态、液态</w:t>
            </w:r>
          </w:p>
        </w:tc>
        <w:tc>
          <w:tcPr>
            <w:tcW w:w="457" w:type="pct"/>
            <w:vAlign w:val="center"/>
          </w:tcPr>
          <w:p w14:paraId="15304B60" w14:textId="77777777" w:rsidR="002E474C" w:rsidRDefault="00000000">
            <w:pPr>
              <w:pStyle w:val="A-"/>
            </w:pPr>
            <w:r>
              <w:t>900-021-23</w:t>
            </w:r>
          </w:p>
        </w:tc>
        <w:tc>
          <w:tcPr>
            <w:tcW w:w="2678" w:type="pct"/>
            <w:vAlign w:val="center"/>
          </w:tcPr>
          <w:p w14:paraId="78C8653B" w14:textId="77777777" w:rsidR="002E474C" w:rsidRDefault="00000000">
            <w:pPr>
              <w:pStyle w:val="A-"/>
            </w:pPr>
            <w:r>
              <w:t>使用氢氧化钠、锌粉进行贵金属沉淀过程中产生的废液及废水处理污泥</w:t>
            </w:r>
          </w:p>
        </w:tc>
        <w:tc>
          <w:tcPr>
            <w:tcW w:w="395" w:type="pct"/>
            <w:vAlign w:val="center"/>
          </w:tcPr>
          <w:p w14:paraId="3AE093F3" w14:textId="77777777" w:rsidR="002E474C" w:rsidRDefault="00000000">
            <w:pPr>
              <w:pStyle w:val="A-"/>
            </w:pPr>
            <w:r>
              <w:t>T</w:t>
            </w:r>
          </w:p>
        </w:tc>
      </w:tr>
      <w:tr w:rsidR="002E474C" w14:paraId="3743CAA0" w14:textId="77777777">
        <w:trPr>
          <w:trHeight w:val="554"/>
        </w:trPr>
        <w:tc>
          <w:tcPr>
            <w:tcW w:w="574" w:type="pct"/>
            <w:vAlign w:val="center"/>
          </w:tcPr>
          <w:p w14:paraId="012B6117" w14:textId="77777777" w:rsidR="002E474C" w:rsidRDefault="00000000">
            <w:pPr>
              <w:pStyle w:val="A-"/>
            </w:pPr>
            <w:r>
              <w:t>HW24</w:t>
            </w:r>
          </w:p>
          <w:p w14:paraId="7838612E" w14:textId="77777777" w:rsidR="002E474C" w:rsidRDefault="00000000">
            <w:pPr>
              <w:pStyle w:val="A-"/>
            </w:pPr>
            <w:r>
              <w:t>含砷废物</w:t>
            </w:r>
          </w:p>
        </w:tc>
        <w:tc>
          <w:tcPr>
            <w:tcW w:w="524" w:type="pct"/>
            <w:vAlign w:val="center"/>
          </w:tcPr>
          <w:p w14:paraId="25F519E6" w14:textId="77777777" w:rsidR="002E474C" w:rsidRDefault="00000000">
            <w:pPr>
              <w:pStyle w:val="A-"/>
            </w:pPr>
            <w:r>
              <w:t>基础化学原料制造</w:t>
            </w:r>
          </w:p>
        </w:tc>
        <w:tc>
          <w:tcPr>
            <w:tcW w:w="372" w:type="pct"/>
            <w:vAlign w:val="center"/>
          </w:tcPr>
          <w:p w14:paraId="46EF590E" w14:textId="77777777" w:rsidR="002E474C" w:rsidRDefault="00000000">
            <w:pPr>
              <w:pStyle w:val="A-"/>
            </w:pPr>
            <w:r>
              <w:t>半固态</w:t>
            </w:r>
          </w:p>
        </w:tc>
        <w:tc>
          <w:tcPr>
            <w:tcW w:w="457" w:type="pct"/>
            <w:vAlign w:val="center"/>
          </w:tcPr>
          <w:p w14:paraId="67385962" w14:textId="77777777" w:rsidR="002E474C" w:rsidRDefault="00000000">
            <w:pPr>
              <w:pStyle w:val="A-"/>
            </w:pPr>
            <w:r>
              <w:t>261-139-24</w:t>
            </w:r>
          </w:p>
        </w:tc>
        <w:tc>
          <w:tcPr>
            <w:tcW w:w="2678" w:type="pct"/>
            <w:vAlign w:val="center"/>
          </w:tcPr>
          <w:p w14:paraId="77C9E2A2" w14:textId="77777777" w:rsidR="002E474C" w:rsidRDefault="00000000">
            <w:pPr>
              <w:pStyle w:val="A-"/>
            </w:pPr>
            <w:r>
              <w:t>硫铁矿制酸过程中烟气净化产生的酸泥</w:t>
            </w:r>
          </w:p>
        </w:tc>
        <w:tc>
          <w:tcPr>
            <w:tcW w:w="395" w:type="pct"/>
            <w:vAlign w:val="center"/>
          </w:tcPr>
          <w:p w14:paraId="17085F7C" w14:textId="77777777" w:rsidR="002E474C" w:rsidRDefault="00000000">
            <w:pPr>
              <w:pStyle w:val="A-"/>
            </w:pPr>
            <w:r>
              <w:t>T</w:t>
            </w:r>
          </w:p>
        </w:tc>
      </w:tr>
      <w:tr w:rsidR="002E474C" w14:paraId="172EE1E8" w14:textId="77777777">
        <w:trPr>
          <w:trHeight w:val="240"/>
        </w:trPr>
        <w:tc>
          <w:tcPr>
            <w:tcW w:w="574" w:type="pct"/>
            <w:vMerge w:val="restart"/>
            <w:vAlign w:val="center"/>
          </w:tcPr>
          <w:p w14:paraId="3EC126E7" w14:textId="77777777" w:rsidR="002E474C" w:rsidRDefault="00000000">
            <w:pPr>
              <w:pStyle w:val="A-"/>
            </w:pPr>
            <w:r>
              <w:t>HW31</w:t>
            </w:r>
          </w:p>
          <w:p w14:paraId="12FE5066" w14:textId="77777777" w:rsidR="002E474C" w:rsidRDefault="00000000">
            <w:pPr>
              <w:pStyle w:val="A-"/>
            </w:pPr>
            <w:r>
              <w:t>含铅废物</w:t>
            </w:r>
          </w:p>
        </w:tc>
        <w:tc>
          <w:tcPr>
            <w:tcW w:w="524" w:type="pct"/>
            <w:vAlign w:val="center"/>
          </w:tcPr>
          <w:p w14:paraId="415F22C9" w14:textId="77777777" w:rsidR="002E474C" w:rsidRDefault="00000000">
            <w:pPr>
              <w:pStyle w:val="A-"/>
            </w:pPr>
            <w:r>
              <w:t>玻璃制造</w:t>
            </w:r>
          </w:p>
        </w:tc>
        <w:tc>
          <w:tcPr>
            <w:tcW w:w="372" w:type="pct"/>
            <w:vAlign w:val="center"/>
          </w:tcPr>
          <w:p w14:paraId="79C648AA" w14:textId="77777777" w:rsidR="002E474C" w:rsidRDefault="00000000">
            <w:pPr>
              <w:pStyle w:val="A-"/>
            </w:pPr>
            <w:r>
              <w:t>固态</w:t>
            </w:r>
          </w:p>
        </w:tc>
        <w:tc>
          <w:tcPr>
            <w:tcW w:w="457" w:type="pct"/>
            <w:vAlign w:val="center"/>
          </w:tcPr>
          <w:p w14:paraId="46DEA52F" w14:textId="77777777" w:rsidR="002E474C" w:rsidRDefault="00000000">
            <w:pPr>
              <w:pStyle w:val="A-"/>
            </w:pPr>
            <w:r>
              <w:t>304-002-31</w:t>
            </w:r>
          </w:p>
        </w:tc>
        <w:tc>
          <w:tcPr>
            <w:tcW w:w="2678" w:type="pct"/>
            <w:vAlign w:val="center"/>
          </w:tcPr>
          <w:p w14:paraId="6673C6A0" w14:textId="77777777" w:rsidR="002E474C" w:rsidRDefault="00000000">
            <w:pPr>
              <w:pStyle w:val="A-"/>
            </w:pPr>
            <w:r>
              <w:t>使用铅盐和铅氧化物进行显像管玻璃熔炼过程中产生的废渣</w:t>
            </w:r>
          </w:p>
        </w:tc>
        <w:tc>
          <w:tcPr>
            <w:tcW w:w="395" w:type="pct"/>
            <w:vAlign w:val="center"/>
          </w:tcPr>
          <w:p w14:paraId="0297DE11" w14:textId="77777777" w:rsidR="002E474C" w:rsidRDefault="00000000">
            <w:pPr>
              <w:pStyle w:val="A-"/>
            </w:pPr>
            <w:r>
              <w:t>T</w:t>
            </w:r>
          </w:p>
        </w:tc>
      </w:tr>
      <w:tr w:rsidR="002E474C" w14:paraId="02FBB1F8" w14:textId="77777777">
        <w:trPr>
          <w:trHeight w:val="240"/>
        </w:trPr>
        <w:tc>
          <w:tcPr>
            <w:tcW w:w="574" w:type="pct"/>
            <w:vMerge/>
            <w:vAlign w:val="center"/>
          </w:tcPr>
          <w:p w14:paraId="7C9D4FCE" w14:textId="77777777" w:rsidR="002E474C" w:rsidRDefault="002E474C">
            <w:pPr>
              <w:pStyle w:val="A-"/>
            </w:pPr>
          </w:p>
        </w:tc>
        <w:tc>
          <w:tcPr>
            <w:tcW w:w="524" w:type="pct"/>
            <w:vAlign w:val="center"/>
          </w:tcPr>
          <w:p w14:paraId="3A0B9077" w14:textId="77777777" w:rsidR="002E474C" w:rsidRDefault="00000000">
            <w:pPr>
              <w:pStyle w:val="A-"/>
            </w:pPr>
            <w:r>
              <w:t>电子元件制造</w:t>
            </w:r>
          </w:p>
        </w:tc>
        <w:tc>
          <w:tcPr>
            <w:tcW w:w="372" w:type="pct"/>
            <w:vAlign w:val="center"/>
          </w:tcPr>
          <w:p w14:paraId="68B1FE2B" w14:textId="77777777" w:rsidR="002E474C" w:rsidRDefault="00000000">
            <w:pPr>
              <w:pStyle w:val="A-"/>
            </w:pPr>
            <w:r>
              <w:t>液态</w:t>
            </w:r>
          </w:p>
        </w:tc>
        <w:tc>
          <w:tcPr>
            <w:tcW w:w="457" w:type="pct"/>
            <w:vAlign w:val="center"/>
          </w:tcPr>
          <w:p w14:paraId="0F70A8C4" w14:textId="77777777" w:rsidR="002E474C" w:rsidRDefault="00000000">
            <w:pPr>
              <w:pStyle w:val="A-"/>
            </w:pPr>
            <w:r>
              <w:t>397-052-31</w:t>
            </w:r>
          </w:p>
        </w:tc>
        <w:tc>
          <w:tcPr>
            <w:tcW w:w="2678" w:type="pct"/>
            <w:vAlign w:val="center"/>
          </w:tcPr>
          <w:p w14:paraId="70072551" w14:textId="77777777" w:rsidR="002E474C" w:rsidRDefault="00000000">
            <w:pPr>
              <w:pStyle w:val="A-"/>
            </w:pPr>
            <w:r>
              <w:t>线路板制造过程中电镀铅锡合金产生的废液</w:t>
            </w:r>
          </w:p>
        </w:tc>
        <w:tc>
          <w:tcPr>
            <w:tcW w:w="395" w:type="pct"/>
            <w:vAlign w:val="center"/>
          </w:tcPr>
          <w:p w14:paraId="5D2F8484" w14:textId="77777777" w:rsidR="002E474C" w:rsidRDefault="00000000">
            <w:pPr>
              <w:pStyle w:val="A-"/>
            </w:pPr>
            <w:r>
              <w:t>T</w:t>
            </w:r>
          </w:p>
        </w:tc>
      </w:tr>
      <w:tr w:rsidR="002E474C" w14:paraId="7CEE0179" w14:textId="77777777">
        <w:trPr>
          <w:trHeight w:val="240"/>
        </w:trPr>
        <w:tc>
          <w:tcPr>
            <w:tcW w:w="574" w:type="pct"/>
            <w:vMerge/>
            <w:vAlign w:val="center"/>
          </w:tcPr>
          <w:p w14:paraId="0CE72DCB" w14:textId="77777777" w:rsidR="002E474C" w:rsidRDefault="002E474C">
            <w:pPr>
              <w:pStyle w:val="A-"/>
            </w:pPr>
          </w:p>
        </w:tc>
        <w:tc>
          <w:tcPr>
            <w:tcW w:w="524" w:type="pct"/>
            <w:vAlign w:val="center"/>
          </w:tcPr>
          <w:p w14:paraId="1BD48F28" w14:textId="77777777" w:rsidR="002E474C" w:rsidRDefault="00000000">
            <w:pPr>
              <w:pStyle w:val="A-"/>
            </w:pPr>
            <w:r>
              <w:t>炼钢</w:t>
            </w:r>
          </w:p>
        </w:tc>
        <w:tc>
          <w:tcPr>
            <w:tcW w:w="372" w:type="pct"/>
            <w:vAlign w:val="center"/>
          </w:tcPr>
          <w:p w14:paraId="4484A3CC" w14:textId="77777777" w:rsidR="002E474C" w:rsidRDefault="00000000">
            <w:pPr>
              <w:pStyle w:val="A-"/>
            </w:pPr>
            <w:r>
              <w:t>固态、半固态</w:t>
            </w:r>
          </w:p>
        </w:tc>
        <w:tc>
          <w:tcPr>
            <w:tcW w:w="457" w:type="pct"/>
            <w:vAlign w:val="center"/>
          </w:tcPr>
          <w:p w14:paraId="2F8CB57F" w14:textId="77777777" w:rsidR="002E474C" w:rsidRDefault="00000000">
            <w:pPr>
              <w:pStyle w:val="A-"/>
            </w:pPr>
            <w:r>
              <w:t>312-001-31</w:t>
            </w:r>
          </w:p>
        </w:tc>
        <w:tc>
          <w:tcPr>
            <w:tcW w:w="2678" w:type="pct"/>
            <w:vAlign w:val="center"/>
          </w:tcPr>
          <w:p w14:paraId="441B85FB" w14:textId="77777777" w:rsidR="002E474C" w:rsidRDefault="00000000">
            <w:pPr>
              <w:pStyle w:val="A-"/>
            </w:pPr>
            <w:r>
              <w:t>电炉炼钢过程中集（除）尘装置收集的粉尘和废水处理污泥</w:t>
            </w:r>
          </w:p>
        </w:tc>
        <w:tc>
          <w:tcPr>
            <w:tcW w:w="395" w:type="pct"/>
            <w:vAlign w:val="center"/>
          </w:tcPr>
          <w:p w14:paraId="6EEFB48A" w14:textId="77777777" w:rsidR="002E474C" w:rsidRDefault="00000000">
            <w:pPr>
              <w:pStyle w:val="A-"/>
            </w:pPr>
            <w:r>
              <w:t>T</w:t>
            </w:r>
          </w:p>
        </w:tc>
      </w:tr>
      <w:tr w:rsidR="002E474C" w14:paraId="47E8FFFA" w14:textId="77777777">
        <w:trPr>
          <w:trHeight w:val="240"/>
        </w:trPr>
        <w:tc>
          <w:tcPr>
            <w:tcW w:w="574" w:type="pct"/>
            <w:vMerge/>
            <w:vAlign w:val="center"/>
          </w:tcPr>
          <w:p w14:paraId="51BB7C29" w14:textId="77777777" w:rsidR="002E474C" w:rsidRDefault="002E474C">
            <w:pPr>
              <w:pStyle w:val="A-"/>
            </w:pPr>
          </w:p>
        </w:tc>
        <w:tc>
          <w:tcPr>
            <w:tcW w:w="524" w:type="pct"/>
            <w:vAlign w:val="center"/>
          </w:tcPr>
          <w:p w14:paraId="20971ED1" w14:textId="77777777" w:rsidR="002E474C" w:rsidRDefault="00000000">
            <w:pPr>
              <w:pStyle w:val="A-"/>
            </w:pPr>
            <w:r>
              <w:t>电池制造</w:t>
            </w:r>
          </w:p>
        </w:tc>
        <w:tc>
          <w:tcPr>
            <w:tcW w:w="372" w:type="pct"/>
            <w:vAlign w:val="center"/>
          </w:tcPr>
          <w:p w14:paraId="6085FD4F" w14:textId="77777777" w:rsidR="002E474C" w:rsidRDefault="00000000">
            <w:pPr>
              <w:pStyle w:val="A-"/>
            </w:pPr>
            <w:r>
              <w:t>固态、半固态</w:t>
            </w:r>
          </w:p>
        </w:tc>
        <w:tc>
          <w:tcPr>
            <w:tcW w:w="457" w:type="pct"/>
            <w:vAlign w:val="center"/>
          </w:tcPr>
          <w:p w14:paraId="0F53A12F" w14:textId="77777777" w:rsidR="002E474C" w:rsidRDefault="00000000">
            <w:pPr>
              <w:pStyle w:val="A-"/>
            </w:pPr>
            <w:r>
              <w:t>384-004-31</w:t>
            </w:r>
          </w:p>
        </w:tc>
        <w:tc>
          <w:tcPr>
            <w:tcW w:w="2678" w:type="pct"/>
            <w:vAlign w:val="center"/>
          </w:tcPr>
          <w:p w14:paraId="165B479E" w14:textId="77777777" w:rsidR="002E474C" w:rsidRDefault="00000000">
            <w:pPr>
              <w:pStyle w:val="A-"/>
            </w:pPr>
            <w:r>
              <w:t>铅蓄电池生产过程中产生的废渣、集（除）尘装置收集的粉尘和废水处理污泥</w:t>
            </w:r>
          </w:p>
        </w:tc>
        <w:tc>
          <w:tcPr>
            <w:tcW w:w="395" w:type="pct"/>
            <w:vAlign w:val="center"/>
          </w:tcPr>
          <w:p w14:paraId="46D72D13" w14:textId="77777777" w:rsidR="002E474C" w:rsidRDefault="00000000">
            <w:pPr>
              <w:pStyle w:val="A-"/>
            </w:pPr>
            <w:r>
              <w:t>T</w:t>
            </w:r>
          </w:p>
        </w:tc>
      </w:tr>
      <w:tr w:rsidR="002E474C" w14:paraId="6F10B910" w14:textId="77777777">
        <w:trPr>
          <w:trHeight w:val="240"/>
        </w:trPr>
        <w:tc>
          <w:tcPr>
            <w:tcW w:w="574" w:type="pct"/>
            <w:vMerge/>
            <w:vAlign w:val="center"/>
          </w:tcPr>
          <w:p w14:paraId="50B0FE00" w14:textId="77777777" w:rsidR="002E474C" w:rsidRDefault="002E474C">
            <w:pPr>
              <w:pStyle w:val="A-"/>
            </w:pPr>
          </w:p>
        </w:tc>
        <w:tc>
          <w:tcPr>
            <w:tcW w:w="524" w:type="pct"/>
            <w:vAlign w:val="center"/>
          </w:tcPr>
          <w:p w14:paraId="310D1A38" w14:textId="77777777" w:rsidR="002E474C" w:rsidRDefault="00000000">
            <w:pPr>
              <w:pStyle w:val="A-"/>
              <w:ind w:leftChars="-25" w:left="-53" w:rightChars="-25" w:right="-53"/>
            </w:pPr>
            <w:r>
              <w:rPr>
                <w:spacing w:val="-11"/>
              </w:rPr>
              <w:t>工艺美术品制造</w:t>
            </w:r>
          </w:p>
        </w:tc>
        <w:tc>
          <w:tcPr>
            <w:tcW w:w="372" w:type="pct"/>
            <w:vAlign w:val="center"/>
          </w:tcPr>
          <w:p w14:paraId="5EB3B67A" w14:textId="77777777" w:rsidR="002E474C" w:rsidRDefault="00000000">
            <w:pPr>
              <w:pStyle w:val="A-"/>
            </w:pPr>
            <w:r>
              <w:t>固态</w:t>
            </w:r>
          </w:p>
        </w:tc>
        <w:tc>
          <w:tcPr>
            <w:tcW w:w="457" w:type="pct"/>
            <w:vAlign w:val="center"/>
          </w:tcPr>
          <w:p w14:paraId="2F6C41E2" w14:textId="77777777" w:rsidR="002E474C" w:rsidRDefault="00000000">
            <w:pPr>
              <w:pStyle w:val="A-"/>
            </w:pPr>
            <w:r>
              <w:t>243-001-31</w:t>
            </w:r>
          </w:p>
        </w:tc>
        <w:tc>
          <w:tcPr>
            <w:tcW w:w="2678" w:type="pct"/>
            <w:vAlign w:val="center"/>
          </w:tcPr>
          <w:p w14:paraId="67285397" w14:textId="77777777" w:rsidR="002E474C" w:rsidRDefault="00000000">
            <w:pPr>
              <w:pStyle w:val="A-"/>
            </w:pPr>
            <w:r>
              <w:t>使用铅箔进行烤钵试金法工艺产生的废烤钵</w:t>
            </w:r>
          </w:p>
        </w:tc>
        <w:tc>
          <w:tcPr>
            <w:tcW w:w="395" w:type="pct"/>
            <w:vAlign w:val="center"/>
          </w:tcPr>
          <w:p w14:paraId="111BB58E" w14:textId="77777777" w:rsidR="002E474C" w:rsidRDefault="00000000">
            <w:pPr>
              <w:pStyle w:val="A-"/>
            </w:pPr>
            <w:r>
              <w:t>T</w:t>
            </w:r>
          </w:p>
        </w:tc>
      </w:tr>
      <w:tr w:rsidR="002E474C" w14:paraId="1552E2FB" w14:textId="77777777">
        <w:trPr>
          <w:trHeight w:val="240"/>
        </w:trPr>
        <w:tc>
          <w:tcPr>
            <w:tcW w:w="574" w:type="pct"/>
            <w:vMerge/>
            <w:vAlign w:val="center"/>
          </w:tcPr>
          <w:p w14:paraId="6F9888A8" w14:textId="77777777" w:rsidR="002E474C" w:rsidRDefault="002E474C">
            <w:pPr>
              <w:pStyle w:val="A-"/>
            </w:pPr>
          </w:p>
        </w:tc>
        <w:tc>
          <w:tcPr>
            <w:tcW w:w="524" w:type="pct"/>
            <w:vAlign w:val="center"/>
          </w:tcPr>
          <w:p w14:paraId="49BF79F6" w14:textId="77777777" w:rsidR="002E474C" w:rsidRDefault="00000000">
            <w:pPr>
              <w:pStyle w:val="A-"/>
            </w:pPr>
            <w:r>
              <w:t>废弃资源综合利用</w:t>
            </w:r>
          </w:p>
        </w:tc>
        <w:tc>
          <w:tcPr>
            <w:tcW w:w="372" w:type="pct"/>
            <w:vAlign w:val="center"/>
          </w:tcPr>
          <w:p w14:paraId="51B69F9E" w14:textId="77777777" w:rsidR="002E474C" w:rsidRDefault="00000000">
            <w:pPr>
              <w:pStyle w:val="A-"/>
              <w:ind w:leftChars="-25" w:left="-53" w:rightChars="-25" w:right="-53"/>
              <w:rPr>
                <w:spacing w:val="-6"/>
              </w:rPr>
            </w:pPr>
            <w:r>
              <w:rPr>
                <w:spacing w:val="-6"/>
              </w:rPr>
              <w:t>固态、液态</w:t>
            </w:r>
          </w:p>
        </w:tc>
        <w:tc>
          <w:tcPr>
            <w:tcW w:w="457" w:type="pct"/>
            <w:vAlign w:val="center"/>
          </w:tcPr>
          <w:p w14:paraId="661654A7" w14:textId="77777777" w:rsidR="002E474C" w:rsidRDefault="00000000">
            <w:pPr>
              <w:pStyle w:val="A-"/>
            </w:pPr>
            <w:r>
              <w:t>421-001-31</w:t>
            </w:r>
          </w:p>
        </w:tc>
        <w:tc>
          <w:tcPr>
            <w:tcW w:w="2678" w:type="pct"/>
            <w:vAlign w:val="center"/>
          </w:tcPr>
          <w:p w14:paraId="01BA65DC" w14:textId="77777777" w:rsidR="002E474C" w:rsidRDefault="00000000">
            <w:pPr>
              <w:pStyle w:val="A-"/>
            </w:pPr>
            <w:r>
              <w:t>废铅蓄电池拆解过程中产生的废铅板、废铅膏和酸液</w:t>
            </w:r>
          </w:p>
        </w:tc>
        <w:tc>
          <w:tcPr>
            <w:tcW w:w="395" w:type="pct"/>
            <w:vAlign w:val="center"/>
          </w:tcPr>
          <w:p w14:paraId="66E25E92" w14:textId="77777777" w:rsidR="002E474C" w:rsidRDefault="00000000">
            <w:pPr>
              <w:pStyle w:val="A-"/>
            </w:pPr>
            <w:r>
              <w:t>T</w:t>
            </w:r>
          </w:p>
        </w:tc>
      </w:tr>
      <w:tr w:rsidR="002E474C" w14:paraId="77F4A43C" w14:textId="77777777">
        <w:trPr>
          <w:trHeight w:val="240"/>
        </w:trPr>
        <w:tc>
          <w:tcPr>
            <w:tcW w:w="574" w:type="pct"/>
            <w:vMerge/>
            <w:vAlign w:val="center"/>
          </w:tcPr>
          <w:p w14:paraId="27DA7CCB" w14:textId="77777777" w:rsidR="002E474C" w:rsidRDefault="002E474C">
            <w:pPr>
              <w:pStyle w:val="A-"/>
            </w:pPr>
          </w:p>
        </w:tc>
        <w:tc>
          <w:tcPr>
            <w:tcW w:w="524" w:type="pct"/>
            <w:vAlign w:val="center"/>
          </w:tcPr>
          <w:p w14:paraId="03F247C6" w14:textId="77777777" w:rsidR="002E474C" w:rsidRDefault="00000000">
            <w:pPr>
              <w:pStyle w:val="A-"/>
            </w:pPr>
            <w:r>
              <w:t>非特定行业</w:t>
            </w:r>
          </w:p>
        </w:tc>
        <w:tc>
          <w:tcPr>
            <w:tcW w:w="372" w:type="pct"/>
            <w:vAlign w:val="center"/>
          </w:tcPr>
          <w:p w14:paraId="00B82A1C" w14:textId="77777777" w:rsidR="002E474C" w:rsidRDefault="00000000">
            <w:pPr>
              <w:pStyle w:val="A-"/>
            </w:pPr>
            <w:r>
              <w:t>固态</w:t>
            </w:r>
          </w:p>
        </w:tc>
        <w:tc>
          <w:tcPr>
            <w:tcW w:w="457" w:type="pct"/>
            <w:vAlign w:val="center"/>
          </w:tcPr>
          <w:p w14:paraId="343429F9" w14:textId="77777777" w:rsidR="002E474C" w:rsidRDefault="00000000">
            <w:pPr>
              <w:pStyle w:val="A-"/>
            </w:pPr>
            <w:r>
              <w:t>900-025-31</w:t>
            </w:r>
          </w:p>
        </w:tc>
        <w:tc>
          <w:tcPr>
            <w:tcW w:w="2678" w:type="pct"/>
            <w:vAlign w:val="center"/>
          </w:tcPr>
          <w:p w14:paraId="503AF8F8" w14:textId="77777777" w:rsidR="002E474C" w:rsidRDefault="00000000">
            <w:pPr>
              <w:pStyle w:val="A-"/>
            </w:pPr>
            <w:r>
              <w:t>使用硬脂酸铅进行抗黏涂层过程中产生的废物</w:t>
            </w:r>
          </w:p>
        </w:tc>
        <w:tc>
          <w:tcPr>
            <w:tcW w:w="395" w:type="pct"/>
            <w:vAlign w:val="center"/>
          </w:tcPr>
          <w:p w14:paraId="016E1A53" w14:textId="77777777" w:rsidR="002E474C" w:rsidRDefault="00000000">
            <w:pPr>
              <w:pStyle w:val="A-"/>
            </w:pPr>
            <w:r>
              <w:t>T</w:t>
            </w:r>
          </w:p>
        </w:tc>
      </w:tr>
      <w:tr w:rsidR="002E474C" w14:paraId="4E29347C" w14:textId="77777777">
        <w:trPr>
          <w:trHeight w:val="726"/>
        </w:trPr>
        <w:tc>
          <w:tcPr>
            <w:tcW w:w="574" w:type="pct"/>
            <w:vAlign w:val="center"/>
          </w:tcPr>
          <w:p w14:paraId="7F4D99F0" w14:textId="77777777" w:rsidR="002E474C" w:rsidRDefault="00000000">
            <w:pPr>
              <w:pStyle w:val="A-"/>
            </w:pPr>
            <w:r>
              <w:t>HW32</w:t>
            </w:r>
            <w:r>
              <w:t>无机氟化物废物</w:t>
            </w:r>
          </w:p>
        </w:tc>
        <w:tc>
          <w:tcPr>
            <w:tcW w:w="524" w:type="pct"/>
            <w:vAlign w:val="center"/>
          </w:tcPr>
          <w:p w14:paraId="5F179993" w14:textId="77777777" w:rsidR="002E474C" w:rsidRDefault="00000000">
            <w:pPr>
              <w:pStyle w:val="A-"/>
            </w:pPr>
            <w:r>
              <w:t>非特定行业</w:t>
            </w:r>
          </w:p>
        </w:tc>
        <w:tc>
          <w:tcPr>
            <w:tcW w:w="372" w:type="pct"/>
            <w:vAlign w:val="center"/>
          </w:tcPr>
          <w:p w14:paraId="276B9351" w14:textId="77777777" w:rsidR="002E474C" w:rsidRDefault="00000000">
            <w:pPr>
              <w:pStyle w:val="A-"/>
            </w:pPr>
            <w:r>
              <w:t>液态</w:t>
            </w:r>
          </w:p>
        </w:tc>
        <w:tc>
          <w:tcPr>
            <w:tcW w:w="457" w:type="pct"/>
            <w:vAlign w:val="center"/>
          </w:tcPr>
          <w:p w14:paraId="64FF4804" w14:textId="77777777" w:rsidR="002E474C" w:rsidRDefault="00000000">
            <w:pPr>
              <w:pStyle w:val="A-"/>
            </w:pPr>
            <w:r>
              <w:t>900-026-32</w:t>
            </w:r>
          </w:p>
        </w:tc>
        <w:tc>
          <w:tcPr>
            <w:tcW w:w="2678" w:type="pct"/>
            <w:vAlign w:val="center"/>
          </w:tcPr>
          <w:p w14:paraId="307AA722" w14:textId="77777777" w:rsidR="002E474C" w:rsidRDefault="00000000">
            <w:pPr>
              <w:pStyle w:val="A-"/>
            </w:pPr>
            <w:r>
              <w:t>使用氢氟酸进行蚀刻产生的废蚀刻液</w:t>
            </w:r>
          </w:p>
        </w:tc>
        <w:tc>
          <w:tcPr>
            <w:tcW w:w="395" w:type="pct"/>
            <w:vAlign w:val="center"/>
          </w:tcPr>
          <w:p w14:paraId="6C6A897B" w14:textId="77777777" w:rsidR="002E474C" w:rsidRDefault="00000000">
            <w:pPr>
              <w:pStyle w:val="A-"/>
            </w:pPr>
            <w:r>
              <w:t>T</w:t>
            </w:r>
            <w:r>
              <w:t>，</w:t>
            </w:r>
            <w:r>
              <w:t>C</w:t>
            </w:r>
          </w:p>
        </w:tc>
      </w:tr>
      <w:tr w:rsidR="002E474C" w14:paraId="39940C52" w14:textId="77777777">
        <w:trPr>
          <w:trHeight w:val="330"/>
        </w:trPr>
        <w:tc>
          <w:tcPr>
            <w:tcW w:w="574" w:type="pct"/>
            <w:vMerge w:val="restart"/>
            <w:vAlign w:val="center"/>
          </w:tcPr>
          <w:p w14:paraId="1DCF5C2E" w14:textId="77777777" w:rsidR="002E474C" w:rsidRDefault="00000000">
            <w:pPr>
              <w:pStyle w:val="A-"/>
            </w:pPr>
            <w:r>
              <w:t>HW33</w:t>
            </w:r>
          </w:p>
          <w:p w14:paraId="3710101A" w14:textId="77777777" w:rsidR="002E474C" w:rsidRDefault="00000000">
            <w:pPr>
              <w:pStyle w:val="A-"/>
            </w:pPr>
            <w:r>
              <w:t>无机氰化物</w:t>
            </w:r>
          </w:p>
          <w:p w14:paraId="7E46828B" w14:textId="77777777" w:rsidR="002E474C" w:rsidRDefault="00000000">
            <w:pPr>
              <w:pStyle w:val="A-"/>
            </w:pPr>
            <w:r>
              <w:lastRenderedPageBreak/>
              <w:t>废物</w:t>
            </w:r>
          </w:p>
        </w:tc>
        <w:tc>
          <w:tcPr>
            <w:tcW w:w="524" w:type="pct"/>
            <w:vAlign w:val="center"/>
          </w:tcPr>
          <w:p w14:paraId="720B0B2D" w14:textId="77777777" w:rsidR="002E474C" w:rsidRDefault="00000000">
            <w:pPr>
              <w:pStyle w:val="A-"/>
            </w:pPr>
            <w:r>
              <w:lastRenderedPageBreak/>
              <w:t>贵金属矿采选</w:t>
            </w:r>
          </w:p>
        </w:tc>
        <w:tc>
          <w:tcPr>
            <w:tcW w:w="372" w:type="pct"/>
            <w:vAlign w:val="center"/>
          </w:tcPr>
          <w:p w14:paraId="2CB8A0C7" w14:textId="77777777" w:rsidR="002E474C" w:rsidRDefault="00000000">
            <w:pPr>
              <w:pStyle w:val="A-"/>
            </w:pPr>
            <w:r>
              <w:t>固态、半固态</w:t>
            </w:r>
          </w:p>
        </w:tc>
        <w:tc>
          <w:tcPr>
            <w:tcW w:w="457" w:type="pct"/>
            <w:vAlign w:val="center"/>
          </w:tcPr>
          <w:p w14:paraId="41FCCDA1" w14:textId="77777777" w:rsidR="002E474C" w:rsidRDefault="00000000">
            <w:pPr>
              <w:pStyle w:val="A-"/>
            </w:pPr>
            <w:r>
              <w:t>092-003-33</w:t>
            </w:r>
          </w:p>
        </w:tc>
        <w:tc>
          <w:tcPr>
            <w:tcW w:w="2678" w:type="pct"/>
            <w:vAlign w:val="center"/>
          </w:tcPr>
          <w:p w14:paraId="1A698371" w14:textId="77777777" w:rsidR="002E474C" w:rsidRDefault="00000000">
            <w:pPr>
              <w:pStyle w:val="A-"/>
            </w:pPr>
            <w:r>
              <w:t>采用氰化物进行黄金选矿过程中产生的氰化尾渣和含氰废水处理污泥</w:t>
            </w:r>
          </w:p>
        </w:tc>
        <w:tc>
          <w:tcPr>
            <w:tcW w:w="395" w:type="pct"/>
            <w:vAlign w:val="center"/>
          </w:tcPr>
          <w:p w14:paraId="5CE43362" w14:textId="77777777" w:rsidR="002E474C" w:rsidRDefault="00000000">
            <w:pPr>
              <w:pStyle w:val="A-"/>
            </w:pPr>
            <w:r>
              <w:t>T</w:t>
            </w:r>
          </w:p>
        </w:tc>
      </w:tr>
      <w:tr w:rsidR="002E474C" w14:paraId="028BEDA6" w14:textId="77777777">
        <w:trPr>
          <w:trHeight w:val="240"/>
        </w:trPr>
        <w:tc>
          <w:tcPr>
            <w:tcW w:w="574" w:type="pct"/>
            <w:vMerge/>
            <w:vAlign w:val="center"/>
          </w:tcPr>
          <w:p w14:paraId="7FA977D5" w14:textId="77777777" w:rsidR="002E474C" w:rsidRDefault="002E474C">
            <w:pPr>
              <w:pStyle w:val="A-"/>
            </w:pPr>
          </w:p>
        </w:tc>
        <w:tc>
          <w:tcPr>
            <w:tcW w:w="524" w:type="pct"/>
            <w:vAlign w:val="center"/>
          </w:tcPr>
          <w:p w14:paraId="2367229D" w14:textId="77777777" w:rsidR="002E474C" w:rsidRDefault="00000000">
            <w:pPr>
              <w:pStyle w:val="A-"/>
            </w:pPr>
            <w:r>
              <w:t>金属表面处理及热处理加工</w:t>
            </w:r>
          </w:p>
        </w:tc>
        <w:tc>
          <w:tcPr>
            <w:tcW w:w="372" w:type="pct"/>
            <w:vAlign w:val="center"/>
          </w:tcPr>
          <w:p w14:paraId="46A79ACE" w14:textId="77777777" w:rsidR="002E474C" w:rsidRDefault="00000000">
            <w:pPr>
              <w:pStyle w:val="A-"/>
            </w:pPr>
            <w:r>
              <w:t>液态</w:t>
            </w:r>
          </w:p>
        </w:tc>
        <w:tc>
          <w:tcPr>
            <w:tcW w:w="457" w:type="pct"/>
            <w:vAlign w:val="center"/>
          </w:tcPr>
          <w:p w14:paraId="26EAAC66" w14:textId="77777777" w:rsidR="002E474C" w:rsidRDefault="00000000">
            <w:pPr>
              <w:pStyle w:val="A-"/>
            </w:pPr>
            <w:r>
              <w:t>336-104-33</w:t>
            </w:r>
          </w:p>
        </w:tc>
        <w:tc>
          <w:tcPr>
            <w:tcW w:w="2678" w:type="pct"/>
            <w:vAlign w:val="center"/>
          </w:tcPr>
          <w:p w14:paraId="13E49D8C" w14:textId="77777777" w:rsidR="002E474C" w:rsidRDefault="00000000">
            <w:pPr>
              <w:pStyle w:val="A-"/>
            </w:pPr>
            <w:r>
              <w:t>使用氰化物进行浸洗过程中产生的废液</w:t>
            </w:r>
          </w:p>
        </w:tc>
        <w:tc>
          <w:tcPr>
            <w:tcW w:w="395" w:type="pct"/>
            <w:vAlign w:val="center"/>
          </w:tcPr>
          <w:p w14:paraId="447CCB31" w14:textId="77777777" w:rsidR="002E474C" w:rsidRDefault="00000000">
            <w:pPr>
              <w:pStyle w:val="A-"/>
            </w:pPr>
            <w:r>
              <w:t>T</w:t>
            </w:r>
            <w:r>
              <w:t>，</w:t>
            </w:r>
            <w:r>
              <w:t>R</w:t>
            </w:r>
          </w:p>
        </w:tc>
      </w:tr>
      <w:tr w:rsidR="002E474C" w14:paraId="0D1CC838" w14:textId="77777777">
        <w:trPr>
          <w:trHeight w:val="240"/>
        </w:trPr>
        <w:tc>
          <w:tcPr>
            <w:tcW w:w="574" w:type="pct"/>
            <w:vMerge/>
            <w:vAlign w:val="center"/>
          </w:tcPr>
          <w:p w14:paraId="4D289A6C" w14:textId="77777777" w:rsidR="002E474C" w:rsidRDefault="002E474C">
            <w:pPr>
              <w:pStyle w:val="A-"/>
            </w:pPr>
          </w:p>
        </w:tc>
        <w:tc>
          <w:tcPr>
            <w:tcW w:w="524" w:type="pct"/>
            <w:vMerge w:val="restart"/>
            <w:vAlign w:val="center"/>
          </w:tcPr>
          <w:p w14:paraId="29B90604" w14:textId="77777777" w:rsidR="002E474C" w:rsidRDefault="00000000">
            <w:pPr>
              <w:pStyle w:val="A-"/>
            </w:pPr>
            <w:r>
              <w:t>非特定行业</w:t>
            </w:r>
          </w:p>
        </w:tc>
        <w:tc>
          <w:tcPr>
            <w:tcW w:w="372" w:type="pct"/>
            <w:vMerge w:val="restart"/>
            <w:vAlign w:val="center"/>
          </w:tcPr>
          <w:p w14:paraId="3A289DB2" w14:textId="77777777" w:rsidR="002E474C" w:rsidRDefault="00000000">
            <w:pPr>
              <w:pStyle w:val="A-"/>
            </w:pPr>
            <w:r>
              <w:t>固态</w:t>
            </w:r>
          </w:p>
        </w:tc>
        <w:tc>
          <w:tcPr>
            <w:tcW w:w="457" w:type="pct"/>
            <w:vAlign w:val="center"/>
          </w:tcPr>
          <w:p w14:paraId="43369220" w14:textId="77777777" w:rsidR="002E474C" w:rsidRDefault="00000000">
            <w:pPr>
              <w:pStyle w:val="A-"/>
            </w:pPr>
            <w:r>
              <w:t>900-027-33</w:t>
            </w:r>
          </w:p>
        </w:tc>
        <w:tc>
          <w:tcPr>
            <w:tcW w:w="2678" w:type="pct"/>
            <w:vAlign w:val="center"/>
          </w:tcPr>
          <w:p w14:paraId="1F90B503" w14:textId="77777777" w:rsidR="002E474C" w:rsidRDefault="00000000">
            <w:pPr>
              <w:pStyle w:val="A-"/>
            </w:pPr>
            <w:r>
              <w:t>使用氰化物进行表面硬化、碱性除油、电解除油产生的废物</w:t>
            </w:r>
          </w:p>
        </w:tc>
        <w:tc>
          <w:tcPr>
            <w:tcW w:w="395" w:type="pct"/>
            <w:vAlign w:val="center"/>
          </w:tcPr>
          <w:p w14:paraId="0D7CF056" w14:textId="77777777" w:rsidR="002E474C" w:rsidRDefault="00000000">
            <w:pPr>
              <w:jc w:val="center"/>
            </w:pPr>
            <w:r>
              <w:t>T</w:t>
            </w:r>
            <w:r>
              <w:t>，</w:t>
            </w:r>
            <w:r>
              <w:t>R</w:t>
            </w:r>
          </w:p>
        </w:tc>
      </w:tr>
      <w:tr w:rsidR="002E474C" w14:paraId="7FD8C4F5" w14:textId="77777777">
        <w:trPr>
          <w:trHeight w:val="240"/>
        </w:trPr>
        <w:tc>
          <w:tcPr>
            <w:tcW w:w="574" w:type="pct"/>
            <w:vMerge/>
            <w:vAlign w:val="center"/>
          </w:tcPr>
          <w:p w14:paraId="2439CFEE" w14:textId="77777777" w:rsidR="002E474C" w:rsidRDefault="002E474C">
            <w:pPr>
              <w:pStyle w:val="A-"/>
            </w:pPr>
          </w:p>
        </w:tc>
        <w:tc>
          <w:tcPr>
            <w:tcW w:w="524" w:type="pct"/>
            <w:vMerge/>
            <w:vAlign w:val="center"/>
          </w:tcPr>
          <w:p w14:paraId="58EAB128" w14:textId="77777777" w:rsidR="002E474C" w:rsidRDefault="002E474C">
            <w:pPr>
              <w:pStyle w:val="A-"/>
            </w:pPr>
          </w:p>
        </w:tc>
        <w:tc>
          <w:tcPr>
            <w:tcW w:w="372" w:type="pct"/>
            <w:vMerge/>
            <w:vAlign w:val="center"/>
          </w:tcPr>
          <w:p w14:paraId="3E9B2140" w14:textId="77777777" w:rsidR="002E474C" w:rsidRDefault="002E474C">
            <w:pPr>
              <w:pStyle w:val="A-"/>
            </w:pPr>
          </w:p>
        </w:tc>
        <w:tc>
          <w:tcPr>
            <w:tcW w:w="457" w:type="pct"/>
            <w:vAlign w:val="center"/>
          </w:tcPr>
          <w:p w14:paraId="6057664B" w14:textId="77777777" w:rsidR="002E474C" w:rsidRDefault="00000000">
            <w:pPr>
              <w:pStyle w:val="A-"/>
            </w:pPr>
            <w:r>
              <w:t>900-028-33</w:t>
            </w:r>
          </w:p>
        </w:tc>
        <w:tc>
          <w:tcPr>
            <w:tcW w:w="2678" w:type="pct"/>
            <w:vAlign w:val="center"/>
          </w:tcPr>
          <w:p w14:paraId="13FC477B" w14:textId="77777777" w:rsidR="002E474C" w:rsidRDefault="00000000">
            <w:pPr>
              <w:pStyle w:val="A-"/>
            </w:pPr>
            <w:r>
              <w:t>使用氰化物剥落金属镀层产生的废物</w:t>
            </w:r>
          </w:p>
        </w:tc>
        <w:tc>
          <w:tcPr>
            <w:tcW w:w="395" w:type="pct"/>
            <w:vAlign w:val="center"/>
          </w:tcPr>
          <w:p w14:paraId="504EF34E" w14:textId="77777777" w:rsidR="002E474C" w:rsidRDefault="00000000">
            <w:pPr>
              <w:jc w:val="center"/>
            </w:pPr>
            <w:r>
              <w:t>T</w:t>
            </w:r>
            <w:r>
              <w:t>，</w:t>
            </w:r>
            <w:r>
              <w:t>R</w:t>
            </w:r>
          </w:p>
        </w:tc>
      </w:tr>
      <w:tr w:rsidR="002E474C" w14:paraId="0831619E" w14:textId="77777777">
        <w:trPr>
          <w:trHeight w:val="513"/>
        </w:trPr>
        <w:tc>
          <w:tcPr>
            <w:tcW w:w="574" w:type="pct"/>
            <w:vMerge/>
            <w:vAlign w:val="center"/>
          </w:tcPr>
          <w:p w14:paraId="3A08F21A" w14:textId="77777777" w:rsidR="002E474C" w:rsidRDefault="002E474C">
            <w:pPr>
              <w:pStyle w:val="A-"/>
            </w:pPr>
          </w:p>
        </w:tc>
        <w:tc>
          <w:tcPr>
            <w:tcW w:w="524" w:type="pct"/>
            <w:vMerge/>
            <w:vAlign w:val="center"/>
          </w:tcPr>
          <w:p w14:paraId="043C961B" w14:textId="77777777" w:rsidR="002E474C" w:rsidRDefault="002E474C">
            <w:pPr>
              <w:pStyle w:val="A-"/>
            </w:pPr>
          </w:p>
        </w:tc>
        <w:tc>
          <w:tcPr>
            <w:tcW w:w="372" w:type="pct"/>
            <w:vMerge/>
            <w:vAlign w:val="center"/>
          </w:tcPr>
          <w:p w14:paraId="2357484D" w14:textId="77777777" w:rsidR="002E474C" w:rsidRDefault="002E474C">
            <w:pPr>
              <w:pStyle w:val="A-"/>
            </w:pPr>
          </w:p>
        </w:tc>
        <w:tc>
          <w:tcPr>
            <w:tcW w:w="457" w:type="pct"/>
            <w:vAlign w:val="center"/>
          </w:tcPr>
          <w:p w14:paraId="667D782E" w14:textId="77777777" w:rsidR="002E474C" w:rsidRDefault="00000000">
            <w:pPr>
              <w:pStyle w:val="A-"/>
            </w:pPr>
            <w:r>
              <w:t>900-029-33</w:t>
            </w:r>
          </w:p>
        </w:tc>
        <w:tc>
          <w:tcPr>
            <w:tcW w:w="2678" w:type="pct"/>
            <w:vAlign w:val="center"/>
          </w:tcPr>
          <w:p w14:paraId="76785E1D" w14:textId="77777777" w:rsidR="002E474C" w:rsidRDefault="00000000">
            <w:pPr>
              <w:pStyle w:val="A-"/>
            </w:pPr>
            <w:r>
              <w:t>使用氰化物和双氧水进行化学抛光产生的废物</w:t>
            </w:r>
          </w:p>
        </w:tc>
        <w:tc>
          <w:tcPr>
            <w:tcW w:w="395" w:type="pct"/>
            <w:vAlign w:val="center"/>
          </w:tcPr>
          <w:p w14:paraId="02BF83D6" w14:textId="77777777" w:rsidR="002E474C" w:rsidRDefault="00000000">
            <w:pPr>
              <w:jc w:val="center"/>
            </w:pPr>
            <w:r>
              <w:t>T</w:t>
            </w:r>
            <w:r>
              <w:t>，</w:t>
            </w:r>
            <w:r>
              <w:t>R</w:t>
            </w:r>
          </w:p>
        </w:tc>
      </w:tr>
      <w:tr w:rsidR="002E474C" w14:paraId="3BD72365" w14:textId="77777777">
        <w:trPr>
          <w:trHeight w:val="240"/>
        </w:trPr>
        <w:tc>
          <w:tcPr>
            <w:tcW w:w="574" w:type="pct"/>
            <w:vMerge w:val="restart"/>
            <w:vAlign w:val="center"/>
          </w:tcPr>
          <w:p w14:paraId="697A98B4" w14:textId="77777777" w:rsidR="002E474C" w:rsidRDefault="00000000">
            <w:pPr>
              <w:pStyle w:val="A-"/>
            </w:pPr>
            <w:r>
              <w:t>HW34</w:t>
            </w:r>
          </w:p>
          <w:p w14:paraId="1F412BF7" w14:textId="77777777" w:rsidR="002E474C" w:rsidRDefault="00000000">
            <w:pPr>
              <w:pStyle w:val="A-"/>
            </w:pPr>
            <w:r>
              <w:t>废酸</w:t>
            </w:r>
          </w:p>
        </w:tc>
        <w:tc>
          <w:tcPr>
            <w:tcW w:w="524" w:type="pct"/>
            <w:vAlign w:val="center"/>
          </w:tcPr>
          <w:p w14:paraId="22407395" w14:textId="77777777" w:rsidR="002E474C" w:rsidRDefault="00000000">
            <w:pPr>
              <w:pStyle w:val="A-"/>
            </w:pPr>
            <w:r>
              <w:t>精炼石油产品制造</w:t>
            </w:r>
          </w:p>
        </w:tc>
        <w:tc>
          <w:tcPr>
            <w:tcW w:w="372" w:type="pct"/>
            <w:vAlign w:val="center"/>
          </w:tcPr>
          <w:p w14:paraId="1D9ECE3C" w14:textId="77777777" w:rsidR="002E474C" w:rsidRDefault="00000000">
            <w:pPr>
              <w:pStyle w:val="A-"/>
            </w:pPr>
            <w:r>
              <w:t>半固态、液态</w:t>
            </w:r>
          </w:p>
        </w:tc>
        <w:tc>
          <w:tcPr>
            <w:tcW w:w="457" w:type="pct"/>
            <w:vAlign w:val="center"/>
          </w:tcPr>
          <w:p w14:paraId="705A82A0" w14:textId="77777777" w:rsidR="002E474C" w:rsidRDefault="00000000">
            <w:pPr>
              <w:pStyle w:val="A-"/>
            </w:pPr>
            <w:r>
              <w:t>251-014-34</w:t>
            </w:r>
          </w:p>
        </w:tc>
        <w:tc>
          <w:tcPr>
            <w:tcW w:w="2678" w:type="pct"/>
            <w:vAlign w:val="center"/>
          </w:tcPr>
          <w:p w14:paraId="5B52221E" w14:textId="77777777" w:rsidR="002E474C" w:rsidRDefault="00000000">
            <w:pPr>
              <w:pStyle w:val="A-"/>
            </w:pPr>
            <w:r>
              <w:t>石油炼制过程产生的废酸及酸泥</w:t>
            </w:r>
          </w:p>
        </w:tc>
        <w:tc>
          <w:tcPr>
            <w:tcW w:w="395" w:type="pct"/>
            <w:vAlign w:val="center"/>
          </w:tcPr>
          <w:p w14:paraId="78F3CB9C" w14:textId="77777777" w:rsidR="002E474C" w:rsidRDefault="00000000">
            <w:pPr>
              <w:pStyle w:val="A-"/>
            </w:pPr>
            <w:r>
              <w:t>C</w:t>
            </w:r>
          </w:p>
        </w:tc>
      </w:tr>
      <w:tr w:rsidR="002E474C" w14:paraId="33762A7A" w14:textId="77777777">
        <w:trPr>
          <w:trHeight w:val="240"/>
        </w:trPr>
        <w:tc>
          <w:tcPr>
            <w:tcW w:w="574" w:type="pct"/>
            <w:vMerge/>
            <w:vAlign w:val="center"/>
          </w:tcPr>
          <w:p w14:paraId="4775C01E" w14:textId="77777777" w:rsidR="002E474C" w:rsidRDefault="002E474C">
            <w:pPr>
              <w:pStyle w:val="A-"/>
            </w:pPr>
          </w:p>
        </w:tc>
        <w:tc>
          <w:tcPr>
            <w:tcW w:w="524" w:type="pct"/>
            <w:vAlign w:val="center"/>
          </w:tcPr>
          <w:p w14:paraId="0B58245B" w14:textId="77777777" w:rsidR="002E474C" w:rsidRDefault="00000000">
            <w:pPr>
              <w:pStyle w:val="A-"/>
            </w:pPr>
            <w:r>
              <w:t>涂料、油墨、颜料及类似产品制造</w:t>
            </w:r>
          </w:p>
        </w:tc>
        <w:tc>
          <w:tcPr>
            <w:tcW w:w="372" w:type="pct"/>
            <w:vAlign w:val="center"/>
          </w:tcPr>
          <w:p w14:paraId="4F776849" w14:textId="77777777" w:rsidR="002E474C" w:rsidRDefault="00000000">
            <w:pPr>
              <w:pStyle w:val="A-"/>
            </w:pPr>
            <w:r>
              <w:t>液态</w:t>
            </w:r>
          </w:p>
        </w:tc>
        <w:tc>
          <w:tcPr>
            <w:tcW w:w="457" w:type="pct"/>
            <w:vAlign w:val="center"/>
          </w:tcPr>
          <w:p w14:paraId="32E89F53" w14:textId="77777777" w:rsidR="002E474C" w:rsidRDefault="00000000">
            <w:pPr>
              <w:pStyle w:val="A-"/>
            </w:pPr>
            <w:r>
              <w:t>264-013-34</w:t>
            </w:r>
          </w:p>
        </w:tc>
        <w:tc>
          <w:tcPr>
            <w:tcW w:w="2678" w:type="pct"/>
            <w:vAlign w:val="center"/>
          </w:tcPr>
          <w:p w14:paraId="2134EEB9" w14:textId="77777777" w:rsidR="002E474C" w:rsidRDefault="00000000">
            <w:pPr>
              <w:pStyle w:val="A-"/>
            </w:pPr>
            <w:r>
              <w:t>硫酸法生产钛白粉（二氧化钛）过程中产生的废酸</w:t>
            </w:r>
          </w:p>
        </w:tc>
        <w:tc>
          <w:tcPr>
            <w:tcW w:w="395" w:type="pct"/>
            <w:vAlign w:val="center"/>
          </w:tcPr>
          <w:p w14:paraId="06B6F232" w14:textId="77777777" w:rsidR="002E474C" w:rsidRDefault="00000000">
            <w:pPr>
              <w:pStyle w:val="A-"/>
            </w:pPr>
            <w:r>
              <w:t>C</w:t>
            </w:r>
          </w:p>
        </w:tc>
      </w:tr>
      <w:tr w:rsidR="002E474C" w14:paraId="2947CCA3" w14:textId="77777777">
        <w:trPr>
          <w:trHeight w:val="240"/>
        </w:trPr>
        <w:tc>
          <w:tcPr>
            <w:tcW w:w="574" w:type="pct"/>
            <w:vMerge/>
            <w:vAlign w:val="center"/>
          </w:tcPr>
          <w:p w14:paraId="57485AA4" w14:textId="77777777" w:rsidR="002E474C" w:rsidRDefault="002E474C">
            <w:pPr>
              <w:pStyle w:val="A-"/>
            </w:pPr>
          </w:p>
        </w:tc>
        <w:tc>
          <w:tcPr>
            <w:tcW w:w="524" w:type="pct"/>
            <w:vMerge w:val="restart"/>
            <w:vAlign w:val="center"/>
          </w:tcPr>
          <w:p w14:paraId="0DCA3AFF" w14:textId="77777777" w:rsidR="002E474C" w:rsidRDefault="00000000">
            <w:pPr>
              <w:pStyle w:val="A-"/>
            </w:pPr>
            <w:r>
              <w:t>基础化学原料制造</w:t>
            </w:r>
          </w:p>
        </w:tc>
        <w:tc>
          <w:tcPr>
            <w:tcW w:w="372" w:type="pct"/>
            <w:vMerge w:val="restart"/>
            <w:vAlign w:val="center"/>
          </w:tcPr>
          <w:p w14:paraId="2245EDF4" w14:textId="77777777" w:rsidR="002E474C" w:rsidRDefault="00000000">
            <w:pPr>
              <w:pStyle w:val="A-"/>
              <w:ind w:leftChars="-25" w:left="-53" w:rightChars="-25" w:right="-53"/>
              <w:rPr>
                <w:spacing w:val="-6"/>
              </w:rPr>
            </w:pPr>
            <w:r>
              <w:rPr>
                <w:spacing w:val="-6"/>
              </w:rPr>
              <w:t>固态、液态</w:t>
            </w:r>
          </w:p>
        </w:tc>
        <w:tc>
          <w:tcPr>
            <w:tcW w:w="457" w:type="pct"/>
            <w:vAlign w:val="center"/>
          </w:tcPr>
          <w:p w14:paraId="6FC66EA6" w14:textId="77777777" w:rsidR="002E474C" w:rsidRDefault="00000000">
            <w:pPr>
              <w:pStyle w:val="A-"/>
            </w:pPr>
            <w:r>
              <w:t>261-057-34</w:t>
            </w:r>
          </w:p>
        </w:tc>
        <w:tc>
          <w:tcPr>
            <w:tcW w:w="2678" w:type="pct"/>
            <w:vAlign w:val="center"/>
          </w:tcPr>
          <w:p w14:paraId="2A8FBB4F" w14:textId="77777777" w:rsidR="002E474C" w:rsidRDefault="00000000">
            <w:pPr>
              <w:pStyle w:val="A-"/>
            </w:pPr>
            <w:r>
              <w:t>硫酸和亚硫酸、盐酸、氢氟酸、磷酸和亚磷酸、硝酸和亚硝酸等的生产、配制过程中产生的废酸及酸渣</w:t>
            </w:r>
          </w:p>
        </w:tc>
        <w:tc>
          <w:tcPr>
            <w:tcW w:w="395" w:type="pct"/>
            <w:vAlign w:val="center"/>
          </w:tcPr>
          <w:p w14:paraId="671199D7" w14:textId="77777777" w:rsidR="002E474C" w:rsidRDefault="00000000">
            <w:pPr>
              <w:pStyle w:val="A-"/>
            </w:pPr>
            <w:r>
              <w:t>C</w:t>
            </w:r>
          </w:p>
        </w:tc>
      </w:tr>
      <w:tr w:rsidR="002E474C" w14:paraId="10225195" w14:textId="77777777">
        <w:trPr>
          <w:trHeight w:val="240"/>
        </w:trPr>
        <w:tc>
          <w:tcPr>
            <w:tcW w:w="574" w:type="pct"/>
            <w:vMerge/>
            <w:vAlign w:val="center"/>
          </w:tcPr>
          <w:p w14:paraId="42824289" w14:textId="77777777" w:rsidR="002E474C" w:rsidRDefault="002E474C">
            <w:pPr>
              <w:pStyle w:val="A-"/>
            </w:pPr>
          </w:p>
        </w:tc>
        <w:tc>
          <w:tcPr>
            <w:tcW w:w="524" w:type="pct"/>
            <w:vMerge/>
            <w:vAlign w:val="center"/>
          </w:tcPr>
          <w:p w14:paraId="1A3F59E3" w14:textId="77777777" w:rsidR="002E474C" w:rsidRDefault="002E474C">
            <w:pPr>
              <w:pStyle w:val="A-"/>
            </w:pPr>
          </w:p>
        </w:tc>
        <w:tc>
          <w:tcPr>
            <w:tcW w:w="372" w:type="pct"/>
            <w:vMerge/>
            <w:vAlign w:val="center"/>
          </w:tcPr>
          <w:p w14:paraId="0B682452" w14:textId="77777777" w:rsidR="002E474C" w:rsidRDefault="002E474C">
            <w:pPr>
              <w:pStyle w:val="A-"/>
            </w:pPr>
          </w:p>
        </w:tc>
        <w:tc>
          <w:tcPr>
            <w:tcW w:w="457" w:type="pct"/>
            <w:vAlign w:val="center"/>
          </w:tcPr>
          <w:p w14:paraId="354622E0" w14:textId="77777777" w:rsidR="002E474C" w:rsidRDefault="00000000">
            <w:pPr>
              <w:pStyle w:val="A-"/>
            </w:pPr>
            <w:r>
              <w:t>261-058-34</w:t>
            </w:r>
          </w:p>
        </w:tc>
        <w:tc>
          <w:tcPr>
            <w:tcW w:w="2678" w:type="pct"/>
            <w:vAlign w:val="center"/>
          </w:tcPr>
          <w:p w14:paraId="5EB4B0FB" w14:textId="77777777" w:rsidR="002E474C" w:rsidRDefault="00000000">
            <w:pPr>
              <w:pStyle w:val="A-"/>
            </w:pPr>
            <w:r>
              <w:t>卤素和卤素化学品生产过程中产生的废酸</w:t>
            </w:r>
          </w:p>
        </w:tc>
        <w:tc>
          <w:tcPr>
            <w:tcW w:w="395" w:type="pct"/>
            <w:vAlign w:val="center"/>
          </w:tcPr>
          <w:p w14:paraId="54F68392" w14:textId="77777777" w:rsidR="002E474C" w:rsidRDefault="00000000">
            <w:pPr>
              <w:pStyle w:val="A-"/>
            </w:pPr>
            <w:r>
              <w:t>C</w:t>
            </w:r>
          </w:p>
        </w:tc>
      </w:tr>
      <w:tr w:rsidR="002E474C" w14:paraId="7F8D0A0F" w14:textId="77777777">
        <w:trPr>
          <w:trHeight w:val="240"/>
        </w:trPr>
        <w:tc>
          <w:tcPr>
            <w:tcW w:w="574" w:type="pct"/>
            <w:vMerge/>
            <w:vAlign w:val="center"/>
          </w:tcPr>
          <w:p w14:paraId="0FA076EE" w14:textId="77777777" w:rsidR="002E474C" w:rsidRDefault="002E474C">
            <w:pPr>
              <w:pStyle w:val="A-"/>
            </w:pPr>
          </w:p>
        </w:tc>
        <w:tc>
          <w:tcPr>
            <w:tcW w:w="524" w:type="pct"/>
            <w:vAlign w:val="center"/>
          </w:tcPr>
          <w:p w14:paraId="19FF4BF9" w14:textId="77777777" w:rsidR="002E474C" w:rsidRDefault="00000000">
            <w:pPr>
              <w:pStyle w:val="A-"/>
            </w:pPr>
            <w:r>
              <w:t>钢压延加工</w:t>
            </w:r>
          </w:p>
        </w:tc>
        <w:tc>
          <w:tcPr>
            <w:tcW w:w="372" w:type="pct"/>
            <w:vAlign w:val="center"/>
          </w:tcPr>
          <w:p w14:paraId="72125C2E" w14:textId="77777777" w:rsidR="002E474C" w:rsidRDefault="00000000">
            <w:pPr>
              <w:pStyle w:val="A-"/>
            </w:pPr>
            <w:r>
              <w:t>液态</w:t>
            </w:r>
          </w:p>
        </w:tc>
        <w:tc>
          <w:tcPr>
            <w:tcW w:w="457" w:type="pct"/>
            <w:vAlign w:val="center"/>
          </w:tcPr>
          <w:p w14:paraId="456750EA" w14:textId="77777777" w:rsidR="002E474C" w:rsidRDefault="00000000">
            <w:pPr>
              <w:pStyle w:val="A-"/>
            </w:pPr>
            <w:r>
              <w:t>314-001-34</w:t>
            </w:r>
          </w:p>
        </w:tc>
        <w:tc>
          <w:tcPr>
            <w:tcW w:w="2678" w:type="pct"/>
            <w:vAlign w:val="center"/>
          </w:tcPr>
          <w:p w14:paraId="2797F2C2" w14:textId="77777777" w:rsidR="002E474C" w:rsidRDefault="00000000">
            <w:pPr>
              <w:pStyle w:val="A-"/>
            </w:pPr>
            <w:r>
              <w:t>钢的精加工过程中产生的废酸性洗液</w:t>
            </w:r>
          </w:p>
        </w:tc>
        <w:tc>
          <w:tcPr>
            <w:tcW w:w="395" w:type="pct"/>
            <w:vAlign w:val="center"/>
          </w:tcPr>
          <w:p w14:paraId="0B48B679" w14:textId="77777777" w:rsidR="002E474C" w:rsidRDefault="00000000">
            <w:pPr>
              <w:pStyle w:val="A-"/>
            </w:pPr>
            <w:r>
              <w:t>C</w:t>
            </w:r>
            <w:r>
              <w:t>，</w:t>
            </w:r>
            <w:r>
              <w:t>T</w:t>
            </w:r>
          </w:p>
        </w:tc>
      </w:tr>
      <w:tr w:rsidR="002E474C" w14:paraId="613605B2" w14:textId="77777777">
        <w:trPr>
          <w:trHeight w:val="240"/>
        </w:trPr>
        <w:tc>
          <w:tcPr>
            <w:tcW w:w="574" w:type="pct"/>
            <w:vMerge/>
            <w:vAlign w:val="center"/>
          </w:tcPr>
          <w:p w14:paraId="60C7D3F0" w14:textId="77777777" w:rsidR="002E474C" w:rsidRDefault="002E474C">
            <w:pPr>
              <w:pStyle w:val="A-"/>
            </w:pPr>
          </w:p>
        </w:tc>
        <w:tc>
          <w:tcPr>
            <w:tcW w:w="524" w:type="pct"/>
            <w:vAlign w:val="center"/>
          </w:tcPr>
          <w:p w14:paraId="6D1A8D01" w14:textId="77777777" w:rsidR="002E474C" w:rsidRDefault="00000000">
            <w:pPr>
              <w:pStyle w:val="A-"/>
            </w:pPr>
            <w:r>
              <w:t>金属表面处理及热处理加工</w:t>
            </w:r>
          </w:p>
        </w:tc>
        <w:tc>
          <w:tcPr>
            <w:tcW w:w="372" w:type="pct"/>
            <w:vAlign w:val="center"/>
          </w:tcPr>
          <w:p w14:paraId="2EA05201" w14:textId="77777777" w:rsidR="002E474C" w:rsidRDefault="00000000">
            <w:pPr>
              <w:pStyle w:val="A-"/>
            </w:pPr>
            <w:r>
              <w:t>液态</w:t>
            </w:r>
          </w:p>
        </w:tc>
        <w:tc>
          <w:tcPr>
            <w:tcW w:w="457" w:type="pct"/>
            <w:vAlign w:val="center"/>
          </w:tcPr>
          <w:p w14:paraId="5776C6E8" w14:textId="77777777" w:rsidR="002E474C" w:rsidRDefault="00000000">
            <w:pPr>
              <w:pStyle w:val="A-"/>
            </w:pPr>
            <w:r>
              <w:t>336-105-34</w:t>
            </w:r>
          </w:p>
        </w:tc>
        <w:tc>
          <w:tcPr>
            <w:tcW w:w="2678" w:type="pct"/>
            <w:vAlign w:val="center"/>
          </w:tcPr>
          <w:p w14:paraId="02B98442" w14:textId="77777777" w:rsidR="002E474C" w:rsidRDefault="00000000">
            <w:pPr>
              <w:pStyle w:val="A-"/>
            </w:pPr>
            <w:r>
              <w:t>青铜生产过程中浸酸工序产生的废酸液</w:t>
            </w:r>
          </w:p>
        </w:tc>
        <w:tc>
          <w:tcPr>
            <w:tcW w:w="395" w:type="pct"/>
            <w:vAlign w:val="center"/>
          </w:tcPr>
          <w:p w14:paraId="22138084" w14:textId="77777777" w:rsidR="002E474C" w:rsidRDefault="00000000">
            <w:pPr>
              <w:pStyle w:val="A-"/>
            </w:pPr>
            <w:r>
              <w:t>C</w:t>
            </w:r>
          </w:p>
        </w:tc>
      </w:tr>
      <w:tr w:rsidR="002E474C" w14:paraId="2E5010F3" w14:textId="77777777">
        <w:trPr>
          <w:trHeight w:val="240"/>
        </w:trPr>
        <w:tc>
          <w:tcPr>
            <w:tcW w:w="574" w:type="pct"/>
            <w:vMerge/>
            <w:vAlign w:val="center"/>
          </w:tcPr>
          <w:p w14:paraId="708561EA" w14:textId="77777777" w:rsidR="002E474C" w:rsidRDefault="002E474C">
            <w:pPr>
              <w:pStyle w:val="A-"/>
            </w:pPr>
          </w:p>
        </w:tc>
        <w:tc>
          <w:tcPr>
            <w:tcW w:w="524" w:type="pct"/>
            <w:vMerge w:val="restart"/>
            <w:vAlign w:val="center"/>
          </w:tcPr>
          <w:p w14:paraId="480A4F8F" w14:textId="77777777" w:rsidR="002E474C" w:rsidRDefault="00000000">
            <w:pPr>
              <w:pStyle w:val="A-"/>
            </w:pPr>
            <w:r>
              <w:t>电子元件</w:t>
            </w:r>
          </w:p>
          <w:p w14:paraId="4E9AFD09" w14:textId="77777777" w:rsidR="002E474C" w:rsidRDefault="00000000">
            <w:pPr>
              <w:pStyle w:val="A-"/>
            </w:pPr>
            <w:r>
              <w:t>制造</w:t>
            </w:r>
          </w:p>
        </w:tc>
        <w:tc>
          <w:tcPr>
            <w:tcW w:w="372" w:type="pct"/>
            <w:vMerge w:val="restart"/>
            <w:vAlign w:val="center"/>
          </w:tcPr>
          <w:p w14:paraId="2AEA252D" w14:textId="77777777" w:rsidR="002E474C" w:rsidRDefault="00000000">
            <w:pPr>
              <w:pStyle w:val="A-"/>
            </w:pPr>
            <w:r>
              <w:t>液态</w:t>
            </w:r>
          </w:p>
        </w:tc>
        <w:tc>
          <w:tcPr>
            <w:tcW w:w="457" w:type="pct"/>
            <w:vAlign w:val="center"/>
          </w:tcPr>
          <w:p w14:paraId="73A10031" w14:textId="77777777" w:rsidR="002E474C" w:rsidRDefault="00000000">
            <w:pPr>
              <w:pStyle w:val="A-"/>
            </w:pPr>
            <w:r>
              <w:t>397-005-34</w:t>
            </w:r>
          </w:p>
        </w:tc>
        <w:tc>
          <w:tcPr>
            <w:tcW w:w="2678" w:type="pct"/>
            <w:vAlign w:val="center"/>
          </w:tcPr>
          <w:p w14:paraId="029157A2" w14:textId="77777777" w:rsidR="002E474C" w:rsidRDefault="00000000">
            <w:pPr>
              <w:pStyle w:val="A-"/>
            </w:pPr>
            <w:r>
              <w:t>使用酸进行电解除油、酸蚀、活化前表面敏化、催化、浸亮产生的废酸液</w:t>
            </w:r>
          </w:p>
        </w:tc>
        <w:tc>
          <w:tcPr>
            <w:tcW w:w="395" w:type="pct"/>
            <w:vAlign w:val="center"/>
          </w:tcPr>
          <w:p w14:paraId="1CDB90D6" w14:textId="77777777" w:rsidR="002E474C" w:rsidRDefault="00000000">
            <w:pPr>
              <w:pStyle w:val="A-"/>
            </w:pPr>
            <w:r>
              <w:t>C</w:t>
            </w:r>
          </w:p>
        </w:tc>
      </w:tr>
      <w:tr w:rsidR="002E474C" w14:paraId="42B98BB1" w14:textId="77777777">
        <w:trPr>
          <w:trHeight w:val="240"/>
        </w:trPr>
        <w:tc>
          <w:tcPr>
            <w:tcW w:w="574" w:type="pct"/>
            <w:vMerge/>
            <w:vAlign w:val="center"/>
          </w:tcPr>
          <w:p w14:paraId="50A71564" w14:textId="77777777" w:rsidR="002E474C" w:rsidRDefault="002E474C">
            <w:pPr>
              <w:pStyle w:val="A-"/>
            </w:pPr>
          </w:p>
        </w:tc>
        <w:tc>
          <w:tcPr>
            <w:tcW w:w="524" w:type="pct"/>
            <w:vMerge/>
            <w:vAlign w:val="center"/>
          </w:tcPr>
          <w:p w14:paraId="34EC725F" w14:textId="77777777" w:rsidR="002E474C" w:rsidRDefault="002E474C">
            <w:pPr>
              <w:pStyle w:val="A-"/>
            </w:pPr>
          </w:p>
        </w:tc>
        <w:tc>
          <w:tcPr>
            <w:tcW w:w="372" w:type="pct"/>
            <w:vMerge/>
            <w:vAlign w:val="center"/>
          </w:tcPr>
          <w:p w14:paraId="6DEC8691" w14:textId="77777777" w:rsidR="002E474C" w:rsidRDefault="002E474C">
            <w:pPr>
              <w:pStyle w:val="A-"/>
            </w:pPr>
          </w:p>
        </w:tc>
        <w:tc>
          <w:tcPr>
            <w:tcW w:w="457" w:type="pct"/>
            <w:vAlign w:val="center"/>
          </w:tcPr>
          <w:p w14:paraId="25F363A3" w14:textId="77777777" w:rsidR="002E474C" w:rsidRDefault="00000000">
            <w:pPr>
              <w:pStyle w:val="A-"/>
            </w:pPr>
            <w:r>
              <w:t>397-006-34</w:t>
            </w:r>
          </w:p>
        </w:tc>
        <w:tc>
          <w:tcPr>
            <w:tcW w:w="2678" w:type="pct"/>
            <w:vAlign w:val="center"/>
          </w:tcPr>
          <w:p w14:paraId="05421A8B" w14:textId="77777777" w:rsidR="002E474C" w:rsidRDefault="00000000">
            <w:pPr>
              <w:pStyle w:val="A-"/>
            </w:pPr>
            <w:r>
              <w:t>使用硝酸进行钻孔蚀胶处理产生的废酸液</w:t>
            </w:r>
          </w:p>
        </w:tc>
        <w:tc>
          <w:tcPr>
            <w:tcW w:w="395" w:type="pct"/>
            <w:vAlign w:val="center"/>
          </w:tcPr>
          <w:p w14:paraId="5400EE0F" w14:textId="77777777" w:rsidR="002E474C" w:rsidRDefault="00000000">
            <w:pPr>
              <w:pStyle w:val="A-"/>
            </w:pPr>
            <w:r>
              <w:t>C</w:t>
            </w:r>
          </w:p>
        </w:tc>
      </w:tr>
      <w:tr w:rsidR="002E474C" w14:paraId="02706F2A" w14:textId="77777777">
        <w:trPr>
          <w:trHeight w:val="240"/>
        </w:trPr>
        <w:tc>
          <w:tcPr>
            <w:tcW w:w="574" w:type="pct"/>
            <w:vMerge/>
            <w:vAlign w:val="center"/>
          </w:tcPr>
          <w:p w14:paraId="6330E1C3" w14:textId="77777777" w:rsidR="002E474C" w:rsidRDefault="002E474C">
            <w:pPr>
              <w:pStyle w:val="A-"/>
            </w:pPr>
          </w:p>
        </w:tc>
        <w:tc>
          <w:tcPr>
            <w:tcW w:w="524" w:type="pct"/>
            <w:vMerge/>
            <w:vAlign w:val="center"/>
          </w:tcPr>
          <w:p w14:paraId="6551D539" w14:textId="77777777" w:rsidR="002E474C" w:rsidRDefault="002E474C">
            <w:pPr>
              <w:pStyle w:val="A-"/>
            </w:pPr>
          </w:p>
        </w:tc>
        <w:tc>
          <w:tcPr>
            <w:tcW w:w="372" w:type="pct"/>
            <w:vMerge/>
            <w:vAlign w:val="center"/>
          </w:tcPr>
          <w:p w14:paraId="0F6DCE51" w14:textId="77777777" w:rsidR="002E474C" w:rsidRDefault="002E474C">
            <w:pPr>
              <w:pStyle w:val="A-"/>
            </w:pPr>
          </w:p>
        </w:tc>
        <w:tc>
          <w:tcPr>
            <w:tcW w:w="457" w:type="pct"/>
            <w:vAlign w:val="center"/>
          </w:tcPr>
          <w:p w14:paraId="0290AE67" w14:textId="77777777" w:rsidR="002E474C" w:rsidRDefault="00000000">
            <w:pPr>
              <w:pStyle w:val="A-"/>
            </w:pPr>
            <w:r>
              <w:t>397-007-34</w:t>
            </w:r>
          </w:p>
        </w:tc>
        <w:tc>
          <w:tcPr>
            <w:tcW w:w="2678" w:type="pct"/>
            <w:vAlign w:val="center"/>
          </w:tcPr>
          <w:p w14:paraId="037F6902" w14:textId="77777777" w:rsidR="002E474C" w:rsidRDefault="00000000">
            <w:pPr>
              <w:pStyle w:val="A-"/>
            </w:pPr>
            <w:r>
              <w:rPr>
                <w:spacing w:val="-6"/>
              </w:rPr>
              <w:t>液晶显示板或集成电路板的生产过程中使用酸浸蚀剂进行氧化物浸蚀产生的废酸液</w:t>
            </w:r>
          </w:p>
        </w:tc>
        <w:tc>
          <w:tcPr>
            <w:tcW w:w="395" w:type="pct"/>
            <w:vAlign w:val="center"/>
          </w:tcPr>
          <w:p w14:paraId="49EC1F0F" w14:textId="77777777" w:rsidR="002E474C" w:rsidRDefault="00000000">
            <w:pPr>
              <w:pStyle w:val="A-"/>
            </w:pPr>
            <w:r>
              <w:t>C</w:t>
            </w:r>
          </w:p>
        </w:tc>
      </w:tr>
      <w:tr w:rsidR="002E474C" w14:paraId="7DC509DD" w14:textId="77777777">
        <w:trPr>
          <w:trHeight w:val="240"/>
        </w:trPr>
        <w:tc>
          <w:tcPr>
            <w:tcW w:w="574" w:type="pct"/>
            <w:vMerge/>
            <w:vAlign w:val="center"/>
          </w:tcPr>
          <w:p w14:paraId="2E6557F4" w14:textId="77777777" w:rsidR="002E474C" w:rsidRDefault="002E474C">
            <w:pPr>
              <w:pStyle w:val="A-"/>
            </w:pPr>
          </w:p>
        </w:tc>
        <w:tc>
          <w:tcPr>
            <w:tcW w:w="524" w:type="pct"/>
            <w:vMerge w:val="restart"/>
            <w:vAlign w:val="center"/>
          </w:tcPr>
          <w:p w14:paraId="00EC003E" w14:textId="77777777" w:rsidR="002E474C" w:rsidRDefault="00000000">
            <w:pPr>
              <w:pStyle w:val="A-"/>
            </w:pPr>
            <w:r>
              <w:t>非特定行业</w:t>
            </w:r>
          </w:p>
        </w:tc>
        <w:tc>
          <w:tcPr>
            <w:tcW w:w="372" w:type="pct"/>
            <w:vMerge w:val="restart"/>
            <w:vAlign w:val="center"/>
          </w:tcPr>
          <w:p w14:paraId="78D1F168" w14:textId="77777777" w:rsidR="002E474C" w:rsidRDefault="00000000">
            <w:pPr>
              <w:pStyle w:val="A-"/>
              <w:ind w:leftChars="-25" w:left="-53" w:rightChars="-25" w:right="-53"/>
              <w:rPr>
                <w:spacing w:val="-6"/>
              </w:rPr>
            </w:pPr>
            <w:r>
              <w:rPr>
                <w:spacing w:val="-6"/>
              </w:rPr>
              <w:t>固态、液态</w:t>
            </w:r>
          </w:p>
        </w:tc>
        <w:tc>
          <w:tcPr>
            <w:tcW w:w="457" w:type="pct"/>
            <w:vAlign w:val="center"/>
          </w:tcPr>
          <w:p w14:paraId="29272D67" w14:textId="77777777" w:rsidR="002E474C" w:rsidRDefault="00000000">
            <w:pPr>
              <w:pStyle w:val="A-"/>
            </w:pPr>
            <w:r>
              <w:t>900-300-34</w:t>
            </w:r>
          </w:p>
        </w:tc>
        <w:tc>
          <w:tcPr>
            <w:tcW w:w="2678" w:type="pct"/>
            <w:vAlign w:val="center"/>
          </w:tcPr>
          <w:p w14:paraId="5F0588C8" w14:textId="77777777" w:rsidR="002E474C" w:rsidRDefault="00000000">
            <w:pPr>
              <w:pStyle w:val="A-"/>
            </w:pPr>
            <w:r>
              <w:t>使用酸进行清洗产生的废酸液</w:t>
            </w:r>
          </w:p>
        </w:tc>
        <w:tc>
          <w:tcPr>
            <w:tcW w:w="395" w:type="pct"/>
            <w:vAlign w:val="center"/>
          </w:tcPr>
          <w:p w14:paraId="725D3B9E" w14:textId="77777777" w:rsidR="002E474C" w:rsidRDefault="00000000">
            <w:pPr>
              <w:pStyle w:val="A-"/>
            </w:pPr>
            <w:r>
              <w:t>C</w:t>
            </w:r>
          </w:p>
        </w:tc>
      </w:tr>
      <w:tr w:rsidR="002E474C" w14:paraId="6C1B3065" w14:textId="77777777">
        <w:trPr>
          <w:trHeight w:val="240"/>
        </w:trPr>
        <w:tc>
          <w:tcPr>
            <w:tcW w:w="574" w:type="pct"/>
            <w:vMerge/>
            <w:vAlign w:val="center"/>
          </w:tcPr>
          <w:p w14:paraId="0B187207" w14:textId="77777777" w:rsidR="002E474C" w:rsidRDefault="002E474C">
            <w:pPr>
              <w:pStyle w:val="A-"/>
            </w:pPr>
          </w:p>
        </w:tc>
        <w:tc>
          <w:tcPr>
            <w:tcW w:w="524" w:type="pct"/>
            <w:vMerge/>
            <w:vAlign w:val="center"/>
          </w:tcPr>
          <w:p w14:paraId="43DB2B11" w14:textId="77777777" w:rsidR="002E474C" w:rsidRDefault="002E474C">
            <w:pPr>
              <w:pStyle w:val="A-"/>
            </w:pPr>
          </w:p>
        </w:tc>
        <w:tc>
          <w:tcPr>
            <w:tcW w:w="372" w:type="pct"/>
            <w:vMerge/>
            <w:vAlign w:val="center"/>
          </w:tcPr>
          <w:p w14:paraId="4A1011AD" w14:textId="77777777" w:rsidR="002E474C" w:rsidRDefault="002E474C">
            <w:pPr>
              <w:pStyle w:val="A-"/>
            </w:pPr>
          </w:p>
        </w:tc>
        <w:tc>
          <w:tcPr>
            <w:tcW w:w="457" w:type="pct"/>
            <w:vAlign w:val="center"/>
          </w:tcPr>
          <w:p w14:paraId="65830644" w14:textId="77777777" w:rsidR="002E474C" w:rsidRDefault="00000000">
            <w:pPr>
              <w:pStyle w:val="A-"/>
            </w:pPr>
            <w:r>
              <w:t>900-301-34</w:t>
            </w:r>
          </w:p>
        </w:tc>
        <w:tc>
          <w:tcPr>
            <w:tcW w:w="2678" w:type="pct"/>
            <w:vAlign w:val="center"/>
          </w:tcPr>
          <w:p w14:paraId="6E945889" w14:textId="77777777" w:rsidR="002E474C" w:rsidRDefault="00000000">
            <w:pPr>
              <w:pStyle w:val="A-"/>
            </w:pPr>
            <w:r>
              <w:t>使用硫酸进行酸性碳化产生的废酸液</w:t>
            </w:r>
          </w:p>
        </w:tc>
        <w:tc>
          <w:tcPr>
            <w:tcW w:w="395" w:type="pct"/>
            <w:vAlign w:val="center"/>
          </w:tcPr>
          <w:p w14:paraId="4C1566F2" w14:textId="77777777" w:rsidR="002E474C" w:rsidRDefault="00000000">
            <w:pPr>
              <w:pStyle w:val="A-"/>
            </w:pPr>
            <w:r>
              <w:t>C</w:t>
            </w:r>
          </w:p>
        </w:tc>
      </w:tr>
      <w:tr w:rsidR="002E474C" w14:paraId="11F73479" w14:textId="77777777">
        <w:trPr>
          <w:trHeight w:val="240"/>
        </w:trPr>
        <w:tc>
          <w:tcPr>
            <w:tcW w:w="574" w:type="pct"/>
            <w:vMerge/>
            <w:vAlign w:val="center"/>
          </w:tcPr>
          <w:p w14:paraId="6A1C94C4" w14:textId="77777777" w:rsidR="002E474C" w:rsidRDefault="002E474C">
            <w:pPr>
              <w:pStyle w:val="A-"/>
            </w:pPr>
          </w:p>
        </w:tc>
        <w:tc>
          <w:tcPr>
            <w:tcW w:w="524" w:type="pct"/>
            <w:vMerge/>
            <w:vAlign w:val="center"/>
          </w:tcPr>
          <w:p w14:paraId="658409A1" w14:textId="77777777" w:rsidR="002E474C" w:rsidRDefault="002E474C">
            <w:pPr>
              <w:pStyle w:val="A-"/>
            </w:pPr>
          </w:p>
        </w:tc>
        <w:tc>
          <w:tcPr>
            <w:tcW w:w="372" w:type="pct"/>
            <w:vMerge/>
            <w:vAlign w:val="center"/>
          </w:tcPr>
          <w:p w14:paraId="15724AF2" w14:textId="77777777" w:rsidR="002E474C" w:rsidRDefault="002E474C">
            <w:pPr>
              <w:pStyle w:val="A-"/>
            </w:pPr>
          </w:p>
        </w:tc>
        <w:tc>
          <w:tcPr>
            <w:tcW w:w="457" w:type="pct"/>
            <w:vAlign w:val="center"/>
          </w:tcPr>
          <w:p w14:paraId="5CB1D724" w14:textId="77777777" w:rsidR="002E474C" w:rsidRDefault="00000000">
            <w:pPr>
              <w:pStyle w:val="A-"/>
            </w:pPr>
            <w:r>
              <w:t>900-302-34</w:t>
            </w:r>
          </w:p>
        </w:tc>
        <w:tc>
          <w:tcPr>
            <w:tcW w:w="2678" w:type="pct"/>
            <w:vAlign w:val="center"/>
          </w:tcPr>
          <w:p w14:paraId="2D9766E2" w14:textId="77777777" w:rsidR="002E474C" w:rsidRDefault="00000000">
            <w:pPr>
              <w:pStyle w:val="A-"/>
            </w:pPr>
            <w:r>
              <w:t>使用硫酸进行酸蚀产生的废酸液</w:t>
            </w:r>
          </w:p>
        </w:tc>
        <w:tc>
          <w:tcPr>
            <w:tcW w:w="395" w:type="pct"/>
            <w:vAlign w:val="center"/>
          </w:tcPr>
          <w:p w14:paraId="2452A7AC" w14:textId="77777777" w:rsidR="002E474C" w:rsidRDefault="00000000">
            <w:pPr>
              <w:pStyle w:val="A-"/>
            </w:pPr>
            <w:r>
              <w:t>C</w:t>
            </w:r>
          </w:p>
        </w:tc>
      </w:tr>
      <w:tr w:rsidR="002E474C" w14:paraId="1BDDACC4" w14:textId="77777777">
        <w:trPr>
          <w:trHeight w:val="240"/>
        </w:trPr>
        <w:tc>
          <w:tcPr>
            <w:tcW w:w="574" w:type="pct"/>
            <w:vMerge/>
            <w:vAlign w:val="center"/>
          </w:tcPr>
          <w:p w14:paraId="53A4C845" w14:textId="77777777" w:rsidR="002E474C" w:rsidRDefault="002E474C">
            <w:pPr>
              <w:pStyle w:val="A-"/>
            </w:pPr>
          </w:p>
        </w:tc>
        <w:tc>
          <w:tcPr>
            <w:tcW w:w="524" w:type="pct"/>
            <w:vMerge/>
            <w:vAlign w:val="center"/>
          </w:tcPr>
          <w:p w14:paraId="73A3CF63" w14:textId="77777777" w:rsidR="002E474C" w:rsidRDefault="002E474C">
            <w:pPr>
              <w:pStyle w:val="A-"/>
            </w:pPr>
          </w:p>
        </w:tc>
        <w:tc>
          <w:tcPr>
            <w:tcW w:w="372" w:type="pct"/>
            <w:vMerge/>
            <w:vAlign w:val="center"/>
          </w:tcPr>
          <w:p w14:paraId="6E57FE60" w14:textId="77777777" w:rsidR="002E474C" w:rsidRDefault="002E474C">
            <w:pPr>
              <w:pStyle w:val="A-"/>
            </w:pPr>
          </w:p>
        </w:tc>
        <w:tc>
          <w:tcPr>
            <w:tcW w:w="457" w:type="pct"/>
            <w:vAlign w:val="center"/>
          </w:tcPr>
          <w:p w14:paraId="40C69AFE" w14:textId="77777777" w:rsidR="002E474C" w:rsidRDefault="00000000">
            <w:pPr>
              <w:pStyle w:val="A-"/>
            </w:pPr>
            <w:r>
              <w:t>900-303-34</w:t>
            </w:r>
          </w:p>
        </w:tc>
        <w:tc>
          <w:tcPr>
            <w:tcW w:w="2678" w:type="pct"/>
            <w:vAlign w:val="center"/>
          </w:tcPr>
          <w:p w14:paraId="1E34CE54" w14:textId="77777777" w:rsidR="002E474C" w:rsidRDefault="00000000">
            <w:pPr>
              <w:pStyle w:val="A-"/>
            </w:pPr>
            <w:r>
              <w:t>使用磷酸进行磷化产生的废酸液</w:t>
            </w:r>
          </w:p>
        </w:tc>
        <w:tc>
          <w:tcPr>
            <w:tcW w:w="395" w:type="pct"/>
            <w:vAlign w:val="center"/>
          </w:tcPr>
          <w:p w14:paraId="6ADC2E00" w14:textId="77777777" w:rsidR="002E474C" w:rsidRDefault="00000000">
            <w:pPr>
              <w:pStyle w:val="A-"/>
            </w:pPr>
            <w:r>
              <w:t>C</w:t>
            </w:r>
          </w:p>
        </w:tc>
      </w:tr>
      <w:tr w:rsidR="002E474C" w14:paraId="05B7CF85" w14:textId="77777777">
        <w:trPr>
          <w:trHeight w:val="240"/>
        </w:trPr>
        <w:tc>
          <w:tcPr>
            <w:tcW w:w="574" w:type="pct"/>
            <w:vMerge/>
            <w:vAlign w:val="center"/>
          </w:tcPr>
          <w:p w14:paraId="22398AEF" w14:textId="77777777" w:rsidR="002E474C" w:rsidRDefault="002E474C">
            <w:pPr>
              <w:pStyle w:val="A-"/>
            </w:pPr>
          </w:p>
        </w:tc>
        <w:tc>
          <w:tcPr>
            <w:tcW w:w="524" w:type="pct"/>
            <w:vMerge/>
            <w:vAlign w:val="center"/>
          </w:tcPr>
          <w:p w14:paraId="1493C15A" w14:textId="77777777" w:rsidR="002E474C" w:rsidRDefault="002E474C">
            <w:pPr>
              <w:pStyle w:val="A-"/>
            </w:pPr>
          </w:p>
        </w:tc>
        <w:tc>
          <w:tcPr>
            <w:tcW w:w="372" w:type="pct"/>
            <w:vMerge/>
            <w:vAlign w:val="center"/>
          </w:tcPr>
          <w:p w14:paraId="036D5AF6" w14:textId="77777777" w:rsidR="002E474C" w:rsidRDefault="002E474C">
            <w:pPr>
              <w:pStyle w:val="A-"/>
            </w:pPr>
          </w:p>
        </w:tc>
        <w:tc>
          <w:tcPr>
            <w:tcW w:w="457" w:type="pct"/>
            <w:vAlign w:val="center"/>
          </w:tcPr>
          <w:p w14:paraId="15474ADD" w14:textId="77777777" w:rsidR="002E474C" w:rsidRDefault="00000000">
            <w:pPr>
              <w:pStyle w:val="A-"/>
            </w:pPr>
            <w:r>
              <w:t>900-304-34</w:t>
            </w:r>
          </w:p>
        </w:tc>
        <w:tc>
          <w:tcPr>
            <w:tcW w:w="2678" w:type="pct"/>
            <w:vAlign w:val="center"/>
          </w:tcPr>
          <w:p w14:paraId="6B0FBC4D" w14:textId="77777777" w:rsidR="002E474C" w:rsidRDefault="00000000">
            <w:pPr>
              <w:pStyle w:val="A-"/>
            </w:pPr>
            <w:r>
              <w:t>使用酸进行电解除油、金属表面敏化产生的废酸液</w:t>
            </w:r>
          </w:p>
        </w:tc>
        <w:tc>
          <w:tcPr>
            <w:tcW w:w="395" w:type="pct"/>
            <w:vAlign w:val="center"/>
          </w:tcPr>
          <w:p w14:paraId="55B7C2C4" w14:textId="77777777" w:rsidR="002E474C" w:rsidRDefault="00000000">
            <w:pPr>
              <w:pStyle w:val="A-"/>
            </w:pPr>
            <w:r>
              <w:t>C</w:t>
            </w:r>
          </w:p>
        </w:tc>
      </w:tr>
      <w:tr w:rsidR="002E474C" w14:paraId="2E3D627F" w14:textId="77777777">
        <w:trPr>
          <w:trHeight w:val="240"/>
        </w:trPr>
        <w:tc>
          <w:tcPr>
            <w:tcW w:w="574" w:type="pct"/>
            <w:vMerge/>
            <w:vAlign w:val="center"/>
          </w:tcPr>
          <w:p w14:paraId="77A0CD85" w14:textId="77777777" w:rsidR="002E474C" w:rsidRDefault="002E474C">
            <w:pPr>
              <w:pStyle w:val="A-"/>
            </w:pPr>
          </w:p>
        </w:tc>
        <w:tc>
          <w:tcPr>
            <w:tcW w:w="524" w:type="pct"/>
            <w:vMerge/>
            <w:vAlign w:val="center"/>
          </w:tcPr>
          <w:p w14:paraId="6EF96DF6" w14:textId="77777777" w:rsidR="002E474C" w:rsidRDefault="002E474C">
            <w:pPr>
              <w:pStyle w:val="A-"/>
            </w:pPr>
          </w:p>
        </w:tc>
        <w:tc>
          <w:tcPr>
            <w:tcW w:w="372" w:type="pct"/>
            <w:vMerge/>
            <w:vAlign w:val="center"/>
          </w:tcPr>
          <w:p w14:paraId="71FC5FF0" w14:textId="77777777" w:rsidR="002E474C" w:rsidRDefault="002E474C">
            <w:pPr>
              <w:pStyle w:val="A-"/>
            </w:pPr>
          </w:p>
        </w:tc>
        <w:tc>
          <w:tcPr>
            <w:tcW w:w="457" w:type="pct"/>
            <w:vAlign w:val="center"/>
          </w:tcPr>
          <w:p w14:paraId="79F977D7" w14:textId="77777777" w:rsidR="002E474C" w:rsidRDefault="00000000">
            <w:pPr>
              <w:pStyle w:val="A-"/>
            </w:pPr>
            <w:r>
              <w:t>900-305-34</w:t>
            </w:r>
          </w:p>
        </w:tc>
        <w:tc>
          <w:tcPr>
            <w:tcW w:w="2678" w:type="pct"/>
            <w:vAlign w:val="center"/>
          </w:tcPr>
          <w:p w14:paraId="72776478" w14:textId="77777777" w:rsidR="002E474C" w:rsidRDefault="00000000">
            <w:pPr>
              <w:pStyle w:val="A-"/>
            </w:pPr>
            <w:r>
              <w:t>使用硝酸剥落不合格镀层及挂架金属镀层产生的废酸液</w:t>
            </w:r>
          </w:p>
        </w:tc>
        <w:tc>
          <w:tcPr>
            <w:tcW w:w="395" w:type="pct"/>
            <w:vAlign w:val="center"/>
          </w:tcPr>
          <w:p w14:paraId="6956490D" w14:textId="77777777" w:rsidR="002E474C" w:rsidRDefault="00000000">
            <w:pPr>
              <w:pStyle w:val="A-"/>
            </w:pPr>
            <w:r>
              <w:t>C</w:t>
            </w:r>
          </w:p>
        </w:tc>
      </w:tr>
      <w:tr w:rsidR="002E474C" w14:paraId="3392973F" w14:textId="77777777">
        <w:trPr>
          <w:trHeight w:val="240"/>
        </w:trPr>
        <w:tc>
          <w:tcPr>
            <w:tcW w:w="574" w:type="pct"/>
            <w:vMerge/>
            <w:vAlign w:val="center"/>
          </w:tcPr>
          <w:p w14:paraId="03F875C3" w14:textId="77777777" w:rsidR="002E474C" w:rsidRDefault="002E474C">
            <w:pPr>
              <w:pStyle w:val="A-"/>
            </w:pPr>
          </w:p>
        </w:tc>
        <w:tc>
          <w:tcPr>
            <w:tcW w:w="524" w:type="pct"/>
            <w:vMerge/>
            <w:vAlign w:val="center"/>
          </w:tcPr>
          <w:p w14:paraId="6DCA6239" w14:textId="77777777" w:rsidR="002E474C" w:rsidRDefault="002E474C">
            <w:pPr>
              <w:pStyle w:val="A-"/>
            </w:pPr>
          </w:p>
        </w:tc>
        <w:tc>
          <w:tcPr>
            <w:tcW w:w="372" w:type="pct"/>
            <w:vMerge/>
            <w:vAlign w:val="center"/>
          </w:tcPr>
          <w:p w14:paraId="0827213E" w14:textId="77777777" w:rsidR="002E474C" w:rsidRDefault="002E474C">
            <w:pPr>
              <w:pStyle w:val="A-"/>
            </w:pPr>
          </w:p>
        </w:tc>
        <w:tc>
          <w:tcPr>
            <w:tcW w:w="457" w:type="pct"/>
            <w:vAlign w:val="center"/>
          </w:tcPr>
          <w:p w14:paraId="6032F6CD" w14:textId="77777777" w:rsidR="002E474C" w:rsidRDefault="00000000">
            <w:pPr>
              <w:pStyle w:val="A-"/>
            </w:pPr>
            <w:r>
              <w:t>900-306-34</w:t>
            </w:r>
          </w:p>
        </w:tc>
        <w:tc>
          <w:tcPr>
            <w:tcW w:w="2678" w:type="pct"/>
            <w:vAlign w:val="center"/>
          </w:tcPr>
          <w:p w14:paraId="1E3307EB" w14:textId="77777777" w:rsidR="002E474C" w:rsidRDefault="00000000">
            <w:pPr>
              <w:pStyle w:val="A-"/>
            </w:pPr>
            <w:r>
              <w:t>使用硝酸进行钝化产生的废酸液</w:t>
            </w:r>
          </w:p>
        </w:tc>
        <w:tc>
          <w:tcPr>
            <w:tcW w:w="395" w:type="pct"/>
            <w:vAlign w:val="center"/>
          </w:tcPr>
          <w:p w14:paraId="26C37600" w14:textId="77777777" w:rsidR="002E474C" w:rsidRDefault="00000000">
            <w:pPr>
              <w:pStyle w:val="A-"/>
            </w:pPr>
            <w:r>
              <w:t>C</w:t>
            </w:r>
          </w:p>
        </w:tc>
      </w:tr>
      <w:tr w:rsidR="002E474C" w14:paraId="2A91C57F" w14:textId="77777777">
        <w:trPr>
          <w:trHeight w:val="240"/>
        </w:trPr>
        <w:tc>
          <w:tcPr>
            <w:tcW w:w="574" w:type="pct"/>
            <w:vMerge/>
            <w:vAlign w:val="center"/>
          </w:tcPr>
          <w:p w14:paraId="19C11D09" w14:textId="77777777" w:rsidR="002E474C" w:rsidRDefault="002E474C">
            <w:pPr>
              <w:pStyle w:val="A-"/>
            </w:pPr>
          </w:p>
        </w:tc>
        <w:tc>
          <w:tcPr>
            <w:tcW w:w="524" w:type="pct"/>
            <w:vMerge/>
            <w:vAlign w:val="center"/>
          </w:tcPr>
          <w:p w14:paraId="2083B13F" w14:textId="77777777" w:rsidR="002E474C" w:rsidRDefault="002E474C">
            <w:pPr>
              <w:pStyle w:val="A-"/>
            </w:pPr>
          </w:p>
        </w:tc>
        <w:tc>
          <w:tcPr>
            <w:tcW w:w="372" w:type="pct"/>
            <w:vMerge/>
            <w:vAlign w:val="center"/>
          </w:tcPr>
          <w:p w14:paraId="77338298" w14:textId="77777777" w:rsidR="002E474C" w:rsidRDefault="002E474C">
            <w:pPr>
              <w:pStyle w:val="A-"/>
            </w:pPr>
          </w:p>
        </w:tc>
        <w:tc>
          <w:tcPr>
            <w:tcW w:w="457" w:type="pct"/>
            <w:vAlign w:val="center"/>
          </w:tcPr>
          <w:p w14:paraId="0E25F0B7" w14:textId="77777777" w:rsidR="002E474C" w:rsidRDefault="00000000">
            <w:pPr>
              <w:pStyle w:val="A-"/>
            </w:pPr>
            <w:r>
              <w:t>900-307-34</w:t>
            </w:r>
          </w:p>
        </w:tc>
        <w:tc>
          <w:tcPr>
            <w:tcW w:w="2678" w:type="pct"/>
            <w:vAlign w:val="center"/>
          </w:tcPr>
          <w:p w14:paraId="60905ABF" w14:textId="77777777" w:rsidR="002E474C" w:rsidRDefault="00000000">
            <w:pPr>
              <w:pStyle w:val="A-"/>
            </w:pPr>
            <w:r>
              <w:t>使用酸进行电解抛光处理产生的废酸液</w:t>
            </w:r>
          </w:p>
        </w:tc>
        <w:tc>
          <w:tcPr>
            <w:tcW w:w="395" w:type="pct"/>
            <w:vAlign w:val="center"/>
          </w:tcPr>
          <w:p w14:paraId="1CF6290E" w14:textId="77777777" w:rsidR="002E474C" w:rsidRDefault="00000000">
            <w:pPr>
              <w:pStyle w:val="A-"/>
            </w:pPr>
            <w:r>
              <w:t>C</w:t>
            </w:r>
          </w:p>
        </w:tc>
      </w:tr>
      <w:tr w:rsidR="002E474C" w14:paraId="23F8DBC4" w14:textId="77777777">
        <w:trPr>
          <w:trHeight w:val="240"/>
        </w:trPr>
        <w:tc>
          <w:tcPr>
            <w:tcW w:w="574" w:type="pct"/>
            <w:vMerge/>
            <w:vAlign w:val="center"/>
          </w:tcPr>
          <w:p w14:paraId="35525096" w14:textId="77777777" w:rsidR="002E474C" w:rsidRDefault="002E474C">
            <w:pPr>
              <w:pStyle w:val="A-"/>
            </w:pPr>
          </w:p>
        </w:tc>
        <w:tc>
          <w:tcPr>
            <w:tcW w:w="524" w:type="pct"/>
            <w:vMerge/>
            <w:vAlign w:val="center"/>
          </w:tcPr>
          <w:p w14:paraId="31EA4DDB" w14:textId="77777777" w:rsidR="002E474C" w:rsidRDefault="002E474C">
            <w:pPr>
              <w:pStyle w:val="A-"/>
            </w:pPr>
          </w:p>
        </w:tc>
        <w:tc>
          <w:tcPr>
            <w:tcW w:w="372" w:type="pct"/>
            <w:vMerge/>
            <w:vAlign w:val="center"/>
          </w:tcPr>
          <w:p w14:paraId="04B9895A" w14:textId="77777777" w:rsidR="002E474C" w:rsidRDefault="002E474C">
            <w:pPr>
              <w:pStyle w:val="A-"/>
            </w:pPr>
          </w:p>
        </w:tc>
        <w:tc>
          <w:tcPr>
            <w:tcW w:w="457" w:type="pct"/>
            <w:vAlign w:val="center"/>
          </w:tcPr>
          <w:p w14:paraId="5CD6FD69" w14:textId="77777777" w:rsidR="002E474C" w:rsidRDefault="00000000">
            <w:pPr>
              <w:pStyle w:val="A-"/>
            </w:pPr>
            <w:r>
              <w:t>900-308-34</w:t>
            </w:r>
          </w:p>
        </w:tc>
        <w:tc>
          <w:tcPr>
            <w:tcW w:w="2678" w:type="pct"/>
            <w:vAlign w:val="center"/>
          </w:tcPr>
          <w:p w14:paraId="3EC49C6E" w14:textId="77777777" w:rsidR="002E474C" w:rsidRDefault="00000000">
            <w:pPr>
              <w:pStyle w:val="A-"/>
            </w:pPr>
            <w:r>
              <w:t>使用酸进行催化（化学镀）产生的废酸液</w:t>
            </w:r>
          </w:p>
        </w:tc>
        <w:tc>
          <w:tcPr>
            <w:tcW w:w="395" w:type="pct"/>
            <w:vAlign w:val="center"/>
          </w:tcPr>
          <w:p w14:paraId="17B20865" w14:textId="77777777" w:rsidR="002E474C" w:rsidRDefault="00000000">
            <w:pPr>
              <w:pStyle w:val="A-"/>
            </w:pPr>
            <w:r>
              <w:t>C</w:t>
            </w:r>
          </w:p>
        </w:tc>
      </w:tr>
      <w:tr w:rsidR="002E474C" w14:paraId="59B6DC8F" w14:textId="77777777">
        <w:trPr>
          <w:trHeight w:val="240"/>
        </w:trPr>
        <w:tc>
          <w:tcPr>
            <w:tcW w:w="574" w:type="pct"/>
            <w:vMerge/>
            <w:vAlign w:val="center"/>
          </w:tcPr>
          <w:p w14:paraId="1D13B636" w14:textId="77777777" w:rsidR="002E474C" w:rsidRDefault="002E474C">
            <w:pPr>
              <w:pStyle w:val="A-"/>
            </w:pPr>
          </w:p>
        </w:tc>
        <w:tc>
          <w:tcPr>
            <w:tcW w:w="524" w:type="pct"/>
            <w:vMerge/>
            <w:vAlign w:val="center"/>
          </w:tcPr>
          <w:p w14:paraId="1841FE73" w14:textId="77777777" w:rsidR="002E474C" w:rsidRDefault="002E474C">
            <w:pPr>
              <w:pStyle w:val="A-"/>
            </w:pPr>
          </w:p>
        </w:tc>
        <w:tc>
          <w:tcPr>
            <w:tcW w:w="372" w:type="pct"/>
            <w:vMerge/>
            <w:vAlign w:val="center"/>
          </w:tcPr>
          <w:p w14:paraId="36CB4A89" w14:textId="77777777" w:rsidR="002E474C" w:rsidRDefault="002E474C">
            <w:pPr>
              <w:pStyle w:val="A-"/>
            </w:pPr>
          </w:p>
        </w:tc>
        <w:tc>
          <w:tcPr>
            <w:tcW w:w="457" w:type="pct"/>
            <w:vAlign w:val="center"/>
          </w:tcPr>
          <w:p w14:paraId="2FF72B8F" w14:textId="77777777" w:rsidR="002E474C" w:rsidRDefault="00000000">
            <w:pPr>
              <w:pStyle w:val="A-"/>
            </w:pPr>
            <w:r>
              <w:t>900-349-34</w:t>
            </w:r>
          </w:p>
        </w:tc>
        <w:tc>
          <w:tcPr>
            <w:tcW w:w="2678" w:type="pct"/>
            <w:vAlign w:val="center"/>
          </w:tcPr>
          <w:p w14:paraId="384ED2DC" w14:textId="77777777" w:rsidR="002E474C" w:rsidRDefault="00000000">
            <w:pPr>
              <w:pStyle w:val="A-"/>
            </w:pPr>
            <w:r>
              <w:t>生产、销售及使用过程中产生的失效、变质、不合格、淘汰、伪劣的强酸性擦洗粉、清洁剂、污迹去除剂以及其他废酸液及酸渣</w:t>
            </w:r>
          </w:p>
        </w:tc>
        <w:tc>
          <w:tcPr>
            <w:tcW w:w="395" w:type="pct"/>
            <w:vAlign w:val="center"/>
          </w:tcPr>
          <w:p w14:paraId="42FC0775" w14:textId="77777777" w:rsidR="002E474C" w:rsidRDefault="00000000">
            <w:pPr>
              <w:pStyle w:val="A-"/>
            </w:pPr>
            <w:r>
              <w:t>C</w:t>
            </w:r>
          </w:p>
        </w:tc>
      </w:tr>
      <w:tr w:rsidR="002E474C" w14:paraId="0CA7360F" w14:textId="77777777">
        <w:trPr>
          <w:trHeight w:val="240"/>
        </w:trPr>
        <w:tc>
          <w:tcPr>
            <w:tcW w:w="574" w:type="pct"/>
            <w:vMerge w:val="restart"/>
            <w:vAlign w:val="center"/>
          </w:tcPr>
          <w:p w14:paraId="5738379C" w14:textId="77777777" w:rsidR="002E474C" w:rsidRDefault="00000000">
            <w:pPr>
              <w:pStyle w:val="A-"/>
            </w:pPr>
            <w:r>
              <w:t>HW35</w:t>
            </w:r>
          </w:p>
          <w:p w14:paraId="22BA3776" w14:textId="77777777" w:rsidR="002E474C" w:rsidRDefault="00000000">
            <w:pPr>
              <w:pStyle w:val="A-"/>
            </w:pPr>
            <w:r>
              <w:t>废碱</w:t>
            </w:r>
          </w:p>
        </w:tc>
        <w:tc>
          <w:tcPr>
            <w:tcW w:w="524" w:type="pct"/>
            <w:vAlign w:val="center"/>
          </w:tcPr>
          <w:p w14:paraId="5CEE70E6" w14:textId="77777777" w:rsidR="002E474C" w:rsidRDefault="00000000">
            <w:pPr>
              <w:pStyle w:val="A-"/>
            </w:pPr>
            <w:r>
              <w:t>精炼石油产品制造</w:t>
            </w:r>
          </w:p>
        </w:tc>
        <w:tc>
          <w:tcPr>
            <w:tcW w:w="372" w:type="pct"/>
            <w:vAlign w:val="center"/>
          </w:tcPr>
          <w:p w14:paraId="426E08E3" w14:textId="77777777" w:rsidR="002E474C" w:rsidRDefault="00000000">
            <w:pPr>
              <w:pStyle w:val="A-"/>
              <w:ind w:leftChars="-25" w:left="-53" w:rightChars="-25" w:right="-53"/>
              <w:rPr>
                <w:spacing w:val="-6"/>
              </w:rPr>
            </w:pPr>
            <w:r>
              <w:rPr>
                <w:spacing w:val="-6"/>
              </w:rPr>
              <w:t>固态、液态</w:t>
            </w:r>
          </w:p>
        </w:tc>
        <w:tc>
          <w:tcPr>
            <w:tcW w:w="457" w:type="pct"/>
            <w:vAlign w:val="center"/>
          </w:tcPr>
          <w:p w14:paraId="1257C46F" w14:textId="77777777" w:rsidR="002E474C" w:rsidRDefault="00000000">
            <w:pPr>
              <w:pStyle w:val="A-"/>
            </w:pPr>
            <w:r>
              <w:t>251-015-35</w:t>
            </w:r>
          </w:p>
        </w:tc>
        <w:tc>
          <w:tcPr>
            <w:tcW w:w="2678" w:type="pct"/>
            <w:vAlign w:val="center"/>
          </w:tcPr>
          <w:p w14:paraId="4C17933E" w14:textId="77777777" w:rsidR="002E474C" w:rsidRDefault="00000000">
            <w:pPr>
              <w:pStyle w:val="A-"/>
            </w:pPr>
            <w:r>
              <w:t>石油炼制过程产生的废碱液及碱渣</w:t>
            </w:r>
          </w:p>
        </w:tc>
        <w:tc>
          <w:tcPr>
            <w:tcW w:w="395" w:type="pct"/>
            <w:vAlign w:val="center"/>
          </w:tcPr>
          <w:p w14:paraId="3F787EDA" w14:textId="77777777" w:rsidR="002E474C" w:rsidRDefault="00000000">
            <w:pPr>
              <w:pStyle w:val="A-"/>
            </w:pPr>
            <w:r>
              <w:t>C</w:t>
            </w:r>
            <w:r>
              <w:t>，</w:t>
            </w:r>
            <w:r>
              <w:t>T</w:t>
            </w:r>
          </w:p>
        </w:tc>
      </w:tr>
      <w:tr w:rsidR="002E474C" w14:paraId="4E726391" w14:textId="77777777">
        <w:trPr>
          <w:trHeight w:val="240"/>
        </w:trPr>
        <w:tc>
          <w:tcPr>
            <w:tcW w:w="574" w:type="pct"/>
            <w:vMerge/>
            <w:vAlign w:val="center"/>
          </w:tcPr>
          <w:p w14:paraId="05D18E28" w14:textId="77777777" w:rsidR="002E474C" w:rsidRDefault="002E474C">
            <w:pPr>
              <w:pStyle w:val="A-"/>
            </w:pPr>
          </w:p>
        </w:tc>
        <w:tc>
          <w:tcPr>
            <w:tcW w:w="524" w:type="pct"/>
            <w:vAlign w:val="center"/>
          </w:tcPr>
          <w:p w14:paraId="53474A8E" w14:textId="77777777" w:rsidR="002E474C" w:rsidRDefault="00000000">
            <w:pPr>
              <w:pStyle w:val="A-"/>
            </w:pPr>
            <w:r>
              <w:t>基础化学原料制造</w:t>
            </w:r>
          </w:p>
        </w:tc>
        <w:tc>
          <w:tcPr>
            <w:tcW w:w="372" w:type="pct"/>
            <w:vAlign w:val="center"/>
          </w:tcPr>
          <w:p w14:paraId="71040200" w14:textId="77777777" w:rsidR="002E474C" w:rsidRDefault="00000000">
            <w:pPr>
              <w:pStyle w:val="A-"/>
              <w:ind w:leftChars="-25" w:left="-53" w:rightChars="-25" w:right="-53"/>
              <w:rPr>
                <w:spacing w:val="-6"/>
              </w:rPr>
            </w:pPr>
            <w:r>
              <w:rPr>
                <w:spacing w:val="-6"/>
              </w:rPr>
              <w:t>固态、液态</w:t>
            </w:r>
          </w:p>
        </w:tc>
        <w:tc>
          <w:tcPr>
            <w:tcW w:w="457" w:type="pct"/>
            <w:vAlign w:val="center"/>
          </w:tcPr>
          <w:p w14:paraId="41CDA0BA" w14:textId="77777777" w:rsidR="002E474C" w:rsidRDefault="00000000">
            <w:pPr>
              <w:pStyle w:val="A-"/>
            </w:pPr>
            <w:r>
              <w:t>261-059-35</w:t>
            </w:r>
          </w:p>
        </w:tc>
        <w:tc>
          <w:tcPr>
            <w:tcW w:w="2678" w:type="pct"/>
            <w:vAlign w:val="center"/>
          </w:tcPr>
          <w:p w14:paraId="089BDA9D" w14:textId="77777777" w:rsidR="002E474C" w:rsidRDefault="00000000">
            <w:pPr>
              <w:pStyle w:val="A-"/>
            </w:pPr>
            <w:r>
              <w:t>氢氧化钙、氨水、氢氧化钠、氢氧化钾等的生产、配制中产生的废碱液、固态碱及碱渣</w:t>
            </w:r>
          </w:p>
        </w:tc>
        <w:tc>
          <w:tcPr>
            <w:tcW w:w="395" w:type="pct"/>
            <w:vAlign w:val="center"/>
          </w:tcPr>
          <w:p w14:paraId="5E1E60BF" w14:textId="77777777" w:rsidR="002E474C" w:rsidRDefault="00000000">
            <w:pPr>
              <w:pStyle w:val="A-"/>
            </w:pPr>
            <w:r>
              <w:t>C</w:t>
            </w:r>
          </w:p>
        </w:tc>
      </w:tr>
      <w:tr w:rsidR="002E474C" w14:paraId="76EBFCB2" w14:textId="77777777">
        <w:trPr>
          <w:trHeight w:val="240"/>
        </w:trPr>
        <w:tc>
          <w:tcPr>
            <w:tcW w:w="574" w:type="pct"/>
            <w:vMerge/>
            <w:vAlign w:val="center"/>
          </w:tcPr>
          <w:p w14:paraId="156285E6" w14:textId="77777777" w:rsidR="002E474C" w:rsidRDefault="002E474C">
            <w:pPr>
              <w:pStyle w:val="A-"/>
            </w:pPr>
          </w:p>
        </w:tc>
        <w:tc>
          <w:tcPr>
            <w:tcW w:w="524" w:type="pct"/>
            <w:vAlign w:val="center"/>
          </w:tcPr>
          <w:p w14:paraId="7FB78252" w14:textId="77777777" w:rsidR="002E474C" w:rsidRDefault="00000000">
            <w:pPr>
              <w:pStyle w:val="A-"/>
            </w:pPr>
            <w:r>
              <w:t>毛皮鞣制及制品加工</w:t>
            </w:r>
          </w:p>
        </w:tc>
        <w:tc>
          <w:tcPr>
            <w:tcW w:w="372" w:type="pct"/>
            <w:vAlign w:val="center"/>
          </w:tcPr>
          <w:p w14:paraId="3E0F85B7" w14:textId="77777777" w:rsidR="002E474C" w:rsidRDefault="00000000">
            <w:pPr>
              <w:pStyle w:val="A-"/>
            </w:pPr>
            <w:r>
              <w:t>液态</w:t>
            </w:r>
          </w:p>
        </w:tc>
        <w:tc>
          <w:tcPr>
            <w:tcW w:w="457" w:type="pct"/>
            <w:vAlign w:val="center"/>
          </w:tcPr>
          <w:p w14:paraId="7489961E" w14:textId="77777777" w:rsidR="002E474C" w:rsidRDefault="00000000">
            <w:pPr>
              <w:pStyle w:val="A-"/>
            </w:pPr>
            <w:r>
              <w:t>193-003-35</w:t>
            </w:r>
          </w:p>
        </w:tc>
        <w:tc>
          <w:tcPr>
            <w:tcW w:w="2678" w:type="pct"/>
            <w:vAlign w:val="center"/>
          </w:tcPr>
          <w:p w14:paraId="5D50F887" w14:textId="77777777" w:rsidR="002E474C" w:rsidRDefault="00000000">
            <w:pPr>
              <w:pStyle w:val="A-"/>
            </w:pPr>
            <w:r>
              <w:t>使用氢氧化钙、硫化钠进行浸灰产生的废碱液</w:t>
            </w:r>
          </w:p>
        </w:tc>
        <w:tc>
          <w:tcPr>
            <w:tcW w:w="395" w:type="pct"/>
            <w:vAlign w:val="center"/>
          </w:tcPr>
          <w:p w14:paraId="065B4829" w14:textId="77777777" w:rsidR="002E474C" w:rsidRDefault="00000000">
            <w:pPr>
              <w:pStyle w:val="A-"/>
            </w:pPr>
            <w:r>
              <w:t>C</w:t>
            </w:r>
          </w:p>
        </w:tc>
      </w:tr>
      <w:tr w:rsidR="002E474C" w14:paraId="40556F9D" w14:textId="77777777">
        <w:trPr>
          <w:trHeight w:val="240"/>
        </w:trPr>
        <w:tc>
          <w:tcPr>
            <w:tcW w:w="574" w:type="pct"/>
            <w:vMerge/>
            <w:vAlign w:val="center"/>
          </w:tcPr>
          <w:p w14:paraId="564A3485" w14:textId="77777777" w:rsidR="002E474C" w:rsidRDefault="002E474C">
            <w:pPr>
              <w:pStyle w:val="A-"/>
            </w:pPr>
          </w:p>
        </w:tc>
        <w:tc>
          <w:tcPr>
            <w:tcW w:w="524" w:type="pct"/>
            <w:vAlign w:val="center"/>
          </w:tcPr>
          <w:p w14:paraId="77CDB5E5" w14:textId="77777777" w:rsidR="002E474C" w:rsidRDefault="00000000">
            <w:pPr>
              <w:pStyle w:val="A-"/>
            </w:pPr>
            <w:r>
              <w:t>纸浆制造</w:t>
            </w:r>
          </w:p>
        </w:tc>
        <w:tc>
          <w:tcPr>
            <w:tcW w:w="372" w:type="pct"/>
            <w:vAlign w:val="center"/>
          </w:tcPr>
          <w:p w14:paraId="29C7FB64" w14:textId="77777777" w:rsidR="002E474C" w:rsidRDefault="00000000">
            <w:pPr>
              <w:pStyle w:val="A-"/>
            </w:pPr>
            <w:r>
              <w:t>液态</w:t>
            </w:r>
          </w:p>
        </w:tc>
        <w:tc>
          <w:tcPr>
            <w:tcW w:w="457" w:type="pct"/>
            <w:vAlign w:val="center"/>
          </w:tcPr>
          <w:p w14:paraId="78040610" w14:textId="77777777" w:rsidR="002E474C" w:rsidRDefault="00000000">
            <w:pPr>
              <w:pStyle w:val="A-"/>
            </w:pPr>
            <w:r>
              <w:t>221-002-35</w:t>
            </w:r>
          </w:p>
        </w:tc>
        <w:tc>
          <w:tcPr>
            <w:tcW w:w="2678" w:type="pct"/>
            <w:vAlign w:val="center"/>
          </w:tcPr>
          <w:p w14:paraId="4D6992BE" w14:textId="77777777" w:rsidR="002E474C" w:rsidRDefault="00000000">
            <w:pPr>
              <w:pStyle w:val="A-"/>
            </w:pPr>
            <w:r>
              <w:t>碱法制浆过程中蒸煮制浆产生的废碱液</w:t>
            </w:r>
          </w:p>
        </w:tc>
        <w:tc>
          <w:tcPr>
            <w:tcW w:w="395" w:type="pct"/>
            <w:vAlign w:val="center"/>
          </w:tcPr>
          <w:p w14:paraId="662F5179" w14:textId="77777777" w:rsidR="002E474C" w:rsidRDefault="00000000">
            <w:pPr>
              <w:pStyle w:val="A-"/>
            </w:pPr>
            <w:r>
              <w:t>C</w:t>
            </w:r>
            <w:r>
              <w:t>，</w:t>
            </w:r>
            <w:r>
              <w:t>T</w:t>
            </w:r>
          </w:p>
        </w:tc>
      </w:tr>
      <w:tr w:rsidR="002E474C" w14:paraId="196AE5CC" w14:textId="77777777">
        <w:trPr>
          <w:trHeight w:val="240"/>
        </w:trPr>
        <w:tc>
          <w:tcPr>
            <w:tcW w:w="574" w:type="pct"/>
            <w:vMerge/>
            <w:vAlign w:val="center"/>
          </w:tcPr>
          <w:p w14:paraId="28A7C004" w14:textId="77777777" w:rsidR="002E474C" w:rsidRDefault="002E474C">
            <w:pPr>
              <w:pStyle w:val="A-"/>
            </w:pPr>
          </w:p>
        </w:tc>
        <w:tc>
          <w:tcPr>
            <w:tcW w:w="524" w:type="pct"/>
            <w:vMerge w:val="restart"/>
            <w:vAlign w:val="center"/>
          </w:tcPr>
          <w:p w14:paraId="467E1519" w14:textId="77777777" w:rsidR="002E474C" w:rsidRDefault="00000000">
            <w:pPr>
              <w:pStyle w:val="A-"/>
            </w:pPr>
            <w:r>
              <w:t>非特定行业</w:t>
            </w:r>
          </w:p>
        </w:tc>
        <w:tc>
          <w:tcPr>
            <w:tcW w:w="372" w:type="pct"/>
            <w:vMerge w:val="restart"/>
            <w:vAlign w:val="center"/>
          </w:tcPr>
          <w:p w14:paraId="6DFC2A09" w14:textId="77777777" w:rsidR="002E474C" w:rsidRDefault="00000000">
            <w:pPr>
              <w:pStyle w:val="A-"/>
            </w:pPr>
            <w:r>
              <w:t>液态</w:t>
            </w:r>
          </w:p>
        </w:tc>
        <w:tc>
          <w:tcPr>
            <w:tcW w:w="457" w:type="pct"/>
            <w:vAlign w:val="center"/>
          </w:tcPr>
          <w:p w14:paraId="7DE57FD2" w14:textId="77777777" w:rsidR="002E474C" w:rsidRDefault="00000000">
            <w:pPr>
              <w:pStyle w:val="A-"/>
            </w:pPr>
            <w:r>
              <w:t>900-350-35</w:t>
            </w:r>
          </w:p>
        </w:tc>
        <w:tc>
          <w:tcPr>
            <w:tcW w:w="2678" w:type="pct"/>
            <w:vAlign w:val="center"/>
          </w:tcPr>
          <w:p w14:paraId="6865927F" w14:textId="77777777" w:rsidR="002E474C" w:rsidRDefault="00000000">
            <w:pPr>
              <w:pStyle w:val="A-"/>
            </w:pPr>
            <w:r>
              <w:t>使用氢氧化钠进行煮炼过程中产生的废碱液</w:t>
            </w:r>
          </w:p>
        </w:tc>
        <w:tc>
          <w:tcPr>
            <w:tcW w:w="395" w:type="pct"/>
            <w:vAlign w:val="center"/>
          </w:tcPr>
          <w:p w14:paraId="1BB2120B" w14:textId="77777777" w:rsidR="002E474C" w:rsidRDefault="00000000">
            <w:pPr>
              <w:pStyle w:val="A-"/>
            </w:pPr>
            <w:r>
              <w:t>C</w:t>
            </w:r>
          </w:p>
        </w:tc>
      </w:tr>
      <w:tr w:rsidR="002E474C" w14:paraId="204D1DF3" w14:textId="77777777">
        <w:trPr>
          <w:trHeight w:val="240"/>
        </w:trPr>
        <w:tc>
          <w:tcPr>
            <w:tcW w:w="574" w:type="pct"/>
            <w:vMerge/>
            <w:vAlign w:val="center"/>
          </w:tcPr>
          <w:p w14:paraId="34FE869F" w14:textId="77777777" w:rsidR="002E474C" w:rsidRDefault="002E474C">
            <w:pPr>
              <w:pStyle w:val="A-"/>
            </w:pPr>
          </w:p>
        </w:tc>
        <w:tc>
          <w:tcPr>
            <w:tcW w:w="524" w:type="pct"/>
            <w:vMerge/>
            <w:vAlign w:val="center"/>
          </w:tcPr>
          <w:p w14:paraId="237F4E7E" w14:textId="77777777" w:rsidR="002E474C" w:rsidRDefault="002E474C">
            <w:pPr>
              <w:pStyle w:val="A-"/>
            </w:pPr>
          </w:p>
        </w:tc>
        <w:tc>
          <w:tcPr>
            <w:tcW w:w="372" w:type="pct"/>
            <w:vMerge/>
            <w:vAlign w:val="center"/>
          </w:tcPr>
          <w:p w14:paraId="65F2EB3F" w14:textId="77777777" w:rsidR="002E474C" w:rsidRDefault="002E474C">
            <w:pPr>
              <w:pStyle w:val="A-"/>
            </w:pPr>
          </w:p>
        </w:tc>
        <w:tc>
          <w:tcPr>
            <w:tcW w:w="457" w:type="pct"/>
            <w:vAlign w:val="center"/>
          </w:tcPr>
          <w:p w14:paraId="3337C7EC" w14:textId="77777777" w:rsidR="002E474C" w:rsidRDefault="00000000">
            <w:pPr>
              <w:pStyle w:val="A-"/>
            </w:pPr>
            <w:r>
              <w:t>900-351-35</w:t>
            </w:r>
          </w:p>
        </w:tc>
        <w:tc>
          <w:tcPr>
            <w:tcW w:w="2678" w:type="pct"/>
            <w:vAlign w:val="center"/>
          </w:tcPr>
          <w:p w14:paraId="7DFD821F" w14:textId="77777777" w:rsidR="002E474C" w:rsidRDefault="00000000">
            <w:pPr>
              <w:pStyle w:val="A-"/>
            </w:pPr>
            <w:r>
              <w:t>使用氢氧化钠进行丝光处理过程中产生的废碱液</w:t>
            </w:r>
          </w:p>
        </w:tc>
        <w:tc>
          <w:tcPr>
            <w:tcW w:w="395" w:type="pct"/>
            <w:vAlign w:val="center"/>
          </w:tcPr>
          <w:p w14:paraId="0175D3DB" w14:textId="77777777" w:rsidR="002E474C" w:rsidRDefault="00000000">
            <w:pPr>
              <w:pStyle w:val="A-"/>
            </w:pPr>
            <w:r>
              <w:t>C</w:t>
            </w:r>
          </w:p>
        </w:tc>
      </w:tr>
      <w:tr w:rsidR="002E474C" w14:paraId="137A1D80" w14:textId="77777777">
        <w:trPr>
          <w:trHeight w:val="240"/>
        </w:trPr>
        <w:tc>
          <w:tcPr>
            <w:tcW w:w="574" w:type="pct"/>
            <w:vMerge/>
            <w:vAlign w:val="center"/>
          </w:tcPr>
          <w:p w14:paraId="4982BF41" w14:textId="77777777" w:rsidR="002E474C" w:rsidRDefault="002E474C">
            <w:pPr>
              <w:pStyle w:val="A-"/>
            </w:pPr>
          </w:p>
        </w:tc>
        <w:tc>
          <w:tcPr>
            <w:tcW w:w="524" w:type="pct"/>
            <w:vMerge/>
            <w:vAlign w:val="center"/>
          </w:tcPr>
          <w:p w14:paraId="37F00CFF" w14:textId="77777777" w:rsidR="002E474C" w:rsidRDefault="002E474C">
            <w:pPr>
              <w:pStyle w:val="A-"/>
            </w:pPr>
          </w:p>
        </w:tc>
        <w:tc>
          <w:tcPr>
            <w:tcW w:w="372" w:type="pct"/>
            <w:vMerge/>
            <w:vAlign w:val="center"/>
          </w:tcPr>
          <w:p w14:paraId="0F2F75D8" w14:textId="77777777" w:rsidR="002E474C" w:rsidRDefault="002E474C">
            <w:pPr>
              <w:pStyle w:val="A-"/>
            </w:pPr>
          </w:p>
        </w:tc>
        <w:tc>
          <w:tcPr>
            <w:tcW w:w="457" w:type="pct"/>
            <w:vAlign w:val="center"/>
          </w:tcPr>
          <w:p w14:paraId="2AC8A5D4" w14:textId="77777777" w:rsidR="002E474C" w:rsidRDefault="00000000">
            <w:pPr>
              <w:pStyle w:val="A-"/>
            </w:pPr>
            <w:r>
              <w:t>900-352-35</w:t>
            </w:r>
          </w:p>
        </w:tc>
        <w:tc>
          <w:tcPr>
            <w:tcW w:w="2678" w:type="pct"/>
            <w:vAlign w:val="center"/>
          </w:tcPr>
          <w:p w14:paraId="6E8E7EFE" w14:textId="77777777" w:rsidR="002E474C" w:rsidRDefault="00000000">
            <w:pPr>
              <w:pStyle w:val="A-"/>
            </w:pPr>
            <w:r>
              <w:t>使用碱进行清洗产生的废碱液</w:t>
            </w:r>
          </w:p>
        </w:tc>
        <w:tc>
          <w:tcPr>
            <w:tcW w:w="395" w:type="pct"/>
            <w:vAlign w:val="center"/>
          </w:tcPr>
          <w:p w14:paraId="6BAAD354" w14:textId="77777777" w:rsidR="002E474C" w:rsidRDefault="00000000">
            <w:pPr>
              <w:pStyle w:val="A-"/>
            </w:pPr>
            <w:r>
              <w:t>C</w:t>
            </w:r>
          </w:p>
        </w:tc>
      </w:tr>
      <w:tr w:rsidR="002E474C" w14:paraId="66C350B8" w14:textId="77777777">
        <w:trPr>
          <w:trHeight w:val="240"/>
        </w:trPr>
        <w:tc>
          <w:tcPr>
            <w:tcW w:w="574" w:type="pct"/>
            <w:vMerge/>
            <w:vAlign w:val="center"/>
          </w:tcPr>
          <w:p w14:paraId="4ECA8533" w14:textId="77777777" w:rsidR="002E474C" w:rsidRDefault="002E474C">
            <w:pPr>
              <w:pStyle w:val="A-"/>
            </w:pPr>
          </w:p>
        </w:tc>
        <w:tc>
          <w:tcPr>
            <w:tcW w:w="524" w:type="pct"/>
            <w:vMerge/>
            <w:vAlign w:val="center"/>
          </w:tcPr>
          <w:p w14:paraId="4A64DD3A" w14:textId="77777777" w:rsidR="002E474C" w:rsidRDefault="002E474C">
            <w:pPr>
              <w:pStyle w:val="A-"/>
            </w:pPr>
          </w:p>
        </w:tc>
        <w:tc>
          <w:tcPr>
            <w:tcW w:w="372" w:type="pct"/>
            <w:vMerge/>
            <w:vAlign w:val="center"/>
          </w:tcPr>
          <w:p w14:paraId="1A87E2E6" w14:textId="77777777" w:rsidR="002E474C" w:rsidRDefault="002E474C">
            <w:pPr>
              <w:pStyle w:val="A-"/>
            </w:pPr>
          </w:p>
        </w:tc>
        <w:tc>
          <w:tcPr>
            <w:tcW w:w="457" w:type="pct"/>
            <w:vAlign w:val="center"/>
          </w:tcPr>
          <w:p w14:paraId="6A184973" w14:textId="77777777" w:rsidR="002E474C" w:rsidRDefault="00000000">
            <w:pPr>
              <w:pStyle w:val="A-"/>
            </w:pPr>
            <w:r>
              <w:t>900-353-35</w:t>
            </w:r>
          </w:p>
        </w:tc>
        <w:tc>
          <w:tcPr>
            <w:tcW w:w="2678" w:type="pct"/>
            <w:vAlign w:val="center"/>
          </w:tcPr>
          <w:p w14:paraId="40C6ADF3" w14:textId="77777777" w:rsidR="002E474C" w:rsidRDefault="00000000">
            <w:pPr>
              <w:pStyle w:val="A-"/>
            </w:pPr>
            <w:r>
              <w:t>使用碱进行清洗除蜡、碱性除油、电解除油产生的废碱液</w:t>
            </w:r>
          </w:p>
        </w:tc>
        <w:tc>
          <w:tcPr>
            <w:tcW w:w="395" w:type="pct"/>
            <w:vAlign w:val="center"/>
          </w:tcPr>
          <w:p w14:paraId="210C0FB5" w14:textId="77777777" w:rsidR="002E474C" w:rsidRDefault="00000000">
            <w:pPr>
              <w:pStyle w:val="A-"/>
            </w:pPr>
            <w:r>
              <w:t>C</w:t>
            </w:r>
          </w:p>
        </w:tc>
      </w:tr>
      <w:tr w:rsidR="002E474C" w14:paraId="2E548DDA" w14:textId="77777777">
        <w:trPr>
          <w:trHeight w:val="240"/>
        </w:trPr>
        <w:tc>
          <w:tcPr>
            <w:tcW w:w="574" w:type="pct"/>
            <w:vMerge/>
            <w:vAlign w:val="center"/>
          </w:tcPr>
          <w:p w14:paraId="6DFC84FF" w14:textId="77777777" w:rsidR="002E474C" w:rsidRDefault="002E474C">
            <w:pPr>
              <w:pStyle w:val="A-"/>
            </w:pPr>
          </w:p>
        </w:tc>
        <w:tc>
          <w:tcPr>
            <w:tcW w:w="524" w:type="pct"/>
            <w:vMerge/>
            <w:vAlign w:val="center"/>
          </w:tcPr>
          <w:p w14:paraId="0B8728E5" w14:textId="77777777" w:rsidR="002E474C" w:rsidRDefault="002E474C">
            <w:pPr>
              <w:pStyle w:val="A-"/>
            </w:pPr>
          </w:p>
        </w:tc>
        <w:tc>
          <w:tcPr>
            <w:tcW w:w="372" w:type="pct"/>
            <w:vMerge/>
            <w:vAlign w:val="center"/>
          </w:tcPr>
          <w:p w14:paraId="5B388F37" w14:textId="77777777" w:rsidR="002E474C" w:rsidRDefault="002E474C">
            <w:pPr>
              <w:pStyle w:val="A-"/>
            </w:pPr>
          </w:p>
        </w:tc>
        <w:tc>
          <w:tcPr>
            <w:tcW w:w="457" w:type="pct"/>
            <w:vAlign w:val="center"/>
          </w:tcPr>
          <w:p w14:paraId="23DB0966" w14:textId="77777777" w:rsidR="002E474C" w:rsidRDefault="00000000">
            <w:pPr>
              <w:pStyle w:val="A-"/>
            </w:pPr>
            <w:r>
              <w:t>900-354-35</w:t>
            </w:r>
          </w:p>
        </w:tc>
        <w:tc>
          <w:tcPr>
            <w:tcW w:w="2678" w:type="pct"/>
            <w:vAlign w:val="center"/>
          </w:tcPr>
          <w:p w14:paraId="25044E6C" w14:textId="77777777" w:rsidR="002E474C" w:rsidRDefault="00000000">
            <w:pPr>
              <w:pStyle w:val="A-"/>
            </w:pPr>
            <w:r>
              <w:t>使用碱进行电镀阻挡层或抗蚀层的脱除产生的废碱液</w:t>
            </w:r>
          </w:p>
        </w:tc>
        <w:tc>
          <w:tcPr>
            <w:tcW w:w="395" w:type="pct"/>
            <w:vAlign w:val="center"/>
          </w:tcPr>
          <w:p w14:paraId="314139D6" w14:textId="77777777" w:rsidR="002E474C" w:rsidRDefault="00000000">
            <w:pPr>
              <w:pStyle w:val="A-"/>
            </w:pPr>
            <w:r>
              <w:t>C</w:t>
            </w:r>
          </w:p>
        </w:tc>
      </w:tr>
      <w:tr w:rsidR="002E474C" w14:paraId="01CE2102" w14:textId="77777777">
        <w:trPr>
          <w:trHeight w:val="240"/>
        </w:trPr>
        <w:tc>
          <w:tcPr>
            <w:tcW w:w="574" w:type="pct"/>
            <w:vMerge/>
            <w:vAlign w:val="center"/>
          </w:tcPr>
          <w:p w14:paraId="7CD2A621" w14:textId="77777777" w:rsidR="002E474C" w:rsidRDefault="002E474C">
            <w:pPr>
              <w:pStyle w:val="A-"/>
            </w:pPr>
          </w:p>
        </w:tc>
        <w:tc>
          <w:tcPr>
            <w:tcW w:w="524" w:type="pct"/>
            <w:vMerge/>
            <w:vAlign w:val="center"/>
          </w:tcPr>
          <w:p w14:paraId="383C3A32" w14:textId="77777777" w:rsidR="002E474C" w:rsidRDefault="002E474C">
            <w:pPr>
              <w:pStyle w:val="A-"/>
            </w:pPr>
          </w:p>
        </w:tc>
        <w:tc>
          <w:tcPr>
            <w:tcW w:w="372" w:type="pct"/>
            <w:vMerge/>
            <w:vAlign w:val="center"/>
          </w:tcPr>
          <w:p w14:paraId="799173E4" w14:textId="77777777" w:rsidR="002E474C" w:rsidRDefault="002E474C">
            <w:pPr>
              <w:pStyle w:val="A-"/>
            </w:pPr>
          </w:p>
        </w:tc>
        <w:tc>
          <w:tcPr>
            <w:tcW w:w="457" w:type="pct"/>
            <w:vAlign w:val="center"/>
          </w:tcPr>
          <w:p w14:paraId="5C17E8F6" w14:textId="77777777" w:rsidR="002E474C" w:rsidRDefault="00000000">
            <w:pPr>
              <w:pStyle w:val="A-"/>
            </w:pPr>
            <w:r>
              <w:t>900-355-35</w:t>
            </w:r>
          </w:p>
        </w:tc>
        <w:tc>
          <w:tcPr>
            <w:tcW w:w="2678" w:type="pct"/>
            <w:vAlign w:val="center"/>
          </w:tcPr>
          <w:p w14:paraId="1C511E61" w14:textId="77777777" w:rsidR="002E474C" w:rsidRDefault="00000000">
            <w:pPr>
              <w:pStyle w:val="A-"/>
            </w:pPr>
            <w:r>
              <w:t>使用碱进行氧化膜浸蚀产生的废碱液</w:t>
            </w:r>
          </w:p>
        </w:tc>
        <w:tc>
          <w:tcPr>
            <w:tcW w:w="395" w:type="pct"/>
            <w:vAlign w:val="center"/>
          </w:tcPr>
          <w:p w14:paraId="6F073020" w14:textId="77777777" w:rsidR="002E474C" w:rsidRDefault="00000000">
            <w:pPr>
              <w:pStyle w:val="A-"/>
            </w:pPr>
            <w:r>
              <w:t>C</w:t>
            </w:r>
          </w:p>
        </w:tc>
      </w:tr>
      <w:tr w:rsidR="002E474C" w14:paraId="785CB5C2" w14:textId="77777777">
        <w:trPr>
          <w:trHeight w:val="240"/>
        </w:trPr>
        <w:tc>
          <w:tcPr>
            <w:tcW w:w="574" w:type="pct"/>
            <w:vMerge/>
            <w:vAlign w:val="center"/>
          </w:tcPr>
          <w:p w14:paraId="5BD4F40F" w14:textId="77777777" w:rsidR="002E474C" w:rsidRDefault="002E474C">
            <w:pPr>
              <w:pStyle w:val="A-"/>
            </w:pPr>
          </w:p>
        </w:tc>
        <w:tc>
          <w:tcPr>
            <w:tcW w:w="524" w:type="pct"/>
            <w:vMerge/>
            <w:vAlign w:val="center"/>
          </w:tcPr>
          <w:p w14:paraId="13A3D558" w14:textId="77777777" w:rsidR="002E474C" w:rsidRDefault="002E474C">
            <w:pPr>
              <w:pStyle w:val="A-"/>
            </w:pPr>
          </w:p>
        </w:tc>
        <w:tc>
          <w:tcPr>
            <w:tcW w:w="372" w:type="pct"/>
            <w:vMerge/>
            <w:vAlign w:val="center"/>
          </w:tcPr>
          <w:p w14:paraId="0F3C5F0C" w14:textId="77777777" w:rsidR="002E474C" w:rsidRDefault="002E474C">
            <w:pPr>
              <w:pStyle w:val="A-"/>
            </w:pPr>
          </w:p>
        </w:tc>
        <w:tc>
          <w:tcPr>
            <w:tcW w:w="457" w:type="pct"/>
            <w:vAlign w:val="center"/>
          </w:tcPr>
          <w:p w14:paraId="1A170D2E" w14:textId="77777777" w:rsidR="002E474C" w:rsidRDefault="00000000">
            <w:pPr>
              <w:pStyle w:val="A-"/>
            </w:pPr>
            <w:r>
              <w:t>900-356-35</w:t>
            </w:r>
          </w:p>
        </w:tc>
        <w:tc>
          <w:tcPr>
            <w:tcW w:w="2678" w:type="pct"/>
            <w:vAlign w:val="center"/>
          </w:tcPr>
          <w:p w14:paraId="01614B92" w14:textId="77777777" w:rsidR="002E474C" w:rsidRDefault="00000000">
            <w:pPr>
              <w:pStyle w:val="A-"/>
            </w:pPr>
            <w:r>
              <w:t>使用碱溶液进行碱性清洗、图形显影产生的废碱液</w:t>
            </w:r>
          </w:p>
        </w:tc>
        <w:tc>
          <w:tcPr>
            <w:tcW w:w="395" w:type="pct"/>
            <w:vAlign w:val="center"/>
          </w:tcPr>
          <w:p w14:paraId="0C9CD9D0" w14:textId="77777777" w:rsidR="002E474C" w:rsidRDefault="00000000">
            <w:pPr>
              <w:pStyle w:val="A-"/>
            </w:pPr>
            <w:r>
              <w:t>C</w:t>
            </w:r>
          </w:p>
        </w:tc>
      </w:tr>
      <w:tr w:rsidR="002E474C" w14:paraId="6C0D2D86" w14:textId="77777777">
        <w:trPr>
          <w:trHeight w:val="240"/>
        </w:trPr>
        <w:tc>
          <w:tcPr>
            <w:tcW w:w="574" w:type="pct"/>
            <w:vMerge/>
            <w:vAlign w:val="center"/>
          </w:tcPr>
          <w:p w14:paraId="17B5DDD6" w14:textId="77777777" w:rsidR="002E474C" w:rsidRDefault="002E474C">
            <w:pPr>
              <w:pStyle w:val="A-"/>
            </w:pPr>
          </w:p>
        </w:tc>
        <w:tc>
          <w:tcPr>
            <w:tcW w:w="524" w:type="pct"/>
            <w:vMerge/>
            <w:vAlign w:val="center"/>
          </w:tcPr>
          <w:p w14:paraId="370C0A79" w14:textId="77777777" w:rsidR="002E474C" w:rsidRDefault="002E474C">
            <w:pPr>
              <w:pStyle w:val="A-"/>
            </w:pPr>
          </w:p>
        </w:tc>
        <w:tc>
          <w:tcPr>
            <w:tcW w:w="372" w:type="pct"/>
            <w:vMerge/>
            <w:vAlign w:val="center"/>
          </w:tcPr>
          <w:p w14:paraId="63FA927B" w14:textId="77777777" w:rsidR="002E474C" w:rsidRDefault="002E474C">
            <w:pPr>
              <w:pStyle w:val="A-"/>
            </w:pPr>
          </w:p>
        </w:tc>
        <w:tc>
          <w:tcPr>
            <w:tcW w:w="457" w:type="pct"/>
            <w:vAlign w:val="center"/>
          </w:tcPr>
          <w:p w14:paraId="1ED26050" w14:textId="77777777" w:rsidR="002E474C" w:rsidRDefault="00000000">
            <w:pPr>
              <w:pStyle w:val="A-"/>
            </w:pPr>
            <w:r>
              <w:t>900-399-35</w:t>
            </w:r>
          </w:p>
        </w:tc>
        <w:tc>
          <w:tcPr>
            <w:tcW w:w="2678" w:type="pct"/>
            <w:vAlign w:val="center"/>
          </w:tcPr>
          <w:p w14:paraId="07C5988F" w14:textId="77777777" w:rsidR="002E474C" w:rsidRDefault="00000000">
            <w:pPr>
              <w:pStyle w:val="A-"/>
            </w:pPr>
            <w:r>
              <w:t>生产、销售及使用过程中产生的失效、变质、不合格、淘汰、伪劣的强碱性擦洗粉、清洁剂、污迹去除剂以及其他废碱液、固态碱及碱渣</w:t>
            </w:r>
          </w:p>
        </w:tc>
        <w:tc>
          <w:tcPr>
            <w:tcW w:w="395" w:type="pct"/>
            <w:vAlign w:val="center"/>
          </w:tcPr>
          <w:p w14:paraId="427A61F8" w14:textId="77777777" w:rsidR="002E474C" w:rsidRDefault="00000000">
            <w:pPr>
              <w:pStyle w:val="A-"/>
            </w:pPr>
            <w:r>
              <w:t>C</w:t>
            </w:r>
          </w:p>
        </w:tc>
      </w:tr>
      <w:tr w:rsidR="002E474C" w14:paraId="6D78676D" w14:textId="77777777">
        <w:trPr>
          <w:trHeight w:val="240"/>
        </w:trPr>
        <w:tc>
          <w:tcPr>
            <w:tcW w:w="574" w:type="pct"/>
            <w:vMerge w:val="restart"/>
            <w:vAlign w:val="center"/>
          </w:tcPr>
          <w:p w14:paraId="509863FE" w14:textId="77777777" w:rsidR="002E474C" w:rsidRDefault="00000000">
            <w:pPr>
              <w:pStyle w:val="A-"/>
            </w:pPr>
            <w:r>
              <w:t>HW37</w:t>
            </w:r>
          </w:p>
          <w:p w14:paraId="0140D9EC" w14:textId="77777777" w:rsidR="002E474C" w:rsidRDefault="00000000">
            <w:pPr>
              <w:pStyle w:val="A-"/>
            </w:pPr>
            <w:r>
              <w:t>有机磷化合物废物</w:t>
            </w:r>
          </w:p>
        </w:tc>
        <w:tc>
          <w:tcPr>
            <w:tcW w:w="524" w:type="pct"/>
            <w:vMerge w:val="restart"/>
            <w:vAlign w:val="center"/>
          </w:tcPr>
          <w:p w14:paraId="2FF4F3A0" w14:textId="77777777" w:rsidR="002E474C" w:rsidRDefault="00000000">
            <w:pPr>
              <w:pStyle w:val="A-"/>
            </w:pPr>
            <w:r>
              <w:t>基础化学原料制造</w:t>
            </w:r>
          </w:p>
        </w:tc>
        <w:tc>
          <w:tcPr>
            <w:tcW w:w="372" w:type="pct"/>
            <w:vMerge w:val="restart"/>
            <w:vAlign w:val="center"/>
          </w:tcPr>
          <w:p w14:paraId="63330024" w14:textId="77777777" w:rsidR="002E474C" w:rsidRDefault="00000000">
            <w:pPr>
              <w:pStyle w:val="A-"/>
            </w:pPr>
            <w:r>
              <w:t>固态、半固态</w:t>
            </w:r>
          </w:p>
        </w:tc>
        <w:tc>
          <w:tcPr>
            <w:tcW w:w="457" w:type="pct"/>
            <w:vAlign w:val="center"/>
          </w:tcPr>
          <w:p w14:paraId="36994134" w14:textId="77777777" w:rsidR="002E474C" w:rsidRDefault="00000000">
            <w:pPr>
              <w:pStyle w:val="A-"/>
            </w:pPr>
            <w:r>
              <w:t>261-061-37</w:t>
            </w:r>
          </w:p>
        </w:tc>
        <w:tc>
          <w:tcPr>
            <w:tcW w:w="2678" w:type="pct"/>
            <w:vAlign w:val="center"/>
          </w:tcPr>
          <w:p w14:paraId="30673B10" w14:textId="77777777" w:rsidR="002E474C" w:rsidRDefault="00000000">
            <w:pPr>
              <w:pStyle w:val="A-"/>
            </w:pPr>
            <w:r>
              <w:t>除农药以外其他有机磷化合物生产、配制过程中产生的反应残余物</w:t>
            </w:r>
          </w:p>
        </w:tc>
        <w:tc>
          <w:tcPr>
            <w:tcW w:w="395" w:type="pct"/>
            <w:vAlign w:val="center"/>
          </w:tcPr>
          <w:p w14:paraId="0351A01F" w14:textId="77777777" w:rsidR="002E474C" w:rsidRDefault="00000000">
            <w:pPr>
              <w:pStyle w:val="A-"/>
            </w:pPr>
            <w:r>
              <w:t>T</w:t>
            </w:r>
          </w:p>
        </w:tc>
      </w:tr>
      <w:tr w:rsidR="002E474C" w14:paraId="3EC9672A" w14:textId="77777777">
        <w:trPr>
          <w:trHeight w:val="240"/>
        </w:trPr>
        <w:tc>
          <w:tcPr>
            <w:tcW w:w="574" w:type="pct"/>
            <w:vMerge/>
            <w:vAlign w:val="center"/>
          </w:tcPr>
          <w:p w14:paraId="3F24BA36" w14:textId="77777777" w:rsidR="002E474C" w:rsidRDefault="002E474C">
            <w:pPr>
              <w:pStyle w:val="A-"/>
            </w:pPr>
          </w:p>
        </w:tc>
        <w:tc>
          <w:tcPr>
            <w:tcW w:w="524" w:type="pct"/>
            <w:vMerge/>
            <w:vAlign w:val="center"/>
          </w:tcPr>
          <w:p w14:paraId="7F086C86" w14:textId="77777777" w:rsidR="002E474C" w:rsidRDefault="002E474C">
            <w:pPr>
              <w:pStyle w:val="A-"/>
            </w:pPr>
          </w:p>
        </w:tc>
        <w:tc>
          <w:tcPr>
            <w:tcW w:w="372" w:type="pct"/>
            <w:vMerge/>
            <w:vAlign w:val="center"/>
          </w:tcPr>
          <w:p w14:paraId="013858C1" w14:textId="77777777" w:rsidR="002E474C" w:rsidRDefault="002E474C">
            <w:pPr>
              <w:pStyle w:val="A-"/>
            </w:pPr>
          </w:p>
        </w:tc>
        <w:tc>
          <w:tcPr>
            <w:tcW w:w="457" w:type="pct"/>
            <w:vAlign w:val="center"/>
          </w:tcPr>
          <w:p w14:paraId="69B19231" w14:textId="77777777" w:rsidR="002E474C" w:rsidRDefault="00000000">
            <w:pPr>
              <w:pStyle w:val="A-"/>
            </w:pPr>
            <w:r>
              <w:t>261-062-37</w:t>
            </w:r>
          </w:p>
        </w:tc>
        <w:tc>
          <w:tcPr>
            <w:tcW w:w="2678" w:type="pct"/>
            <w:vAlign w:val="center"/>
          </w:tcPr>
          <w:p w14:paraId="5C4256D7" w14:textId="77777777" w:rsidR="002E474C" w:rsidRDefault="00000000">
            <w:pPr>
              <w:pStyle w:val="A-"/>
            </w:pPr>
            <w:r>
              <w:t>除农药以外其他有机磷化合物生产、配制过程中产生的废过滤吸附介质</w:t>
            </w:r>
          </w:p>
        </w:tc>
        <w:tc>
          <w:tcPr>
            <w:tcW w:w="395" w:type="pct"/>
            <w:vAlign w:val="center"/>
          </w:tcPr>
          <w:p w14:paraId="780A50C4" w14:textId="77777777" w:rsidR="002E474C" w:rsidRDefault="00000000">
            <w:pPr>
              <w:pStyle w:val="A-"/>
            </w:pPr>
            <w:r>
              <w:t>T</w:t>
            </w:r>
          </w:p>
        </w:tc>
      </w:tr>
      <w:tr w:rsidR="002E474C" w14:paraId="4032BB7F" w14:textId="77777777">
        <w:trPr>
          <w:trHeight w:val="240"/>
        </w:trPr>
        <w:tc>
          <w:tcPr>
            <w:tcW w:w="574" w:type="pct"/>
            <w:vMerge/>
            <w:vAlign w:val="center"/>
          </w:tcPr>
          <w:p w14:paraId="4F8788C1" w14:textId="77777777" w:rsidR="002E474C" w:rsidRDefault="002E474C">
            <w:pPr>
              <w:pStyle w:val="A-"/>
            </w:pPr>
          </w:p>
        </w:tc>
        <w:tc>
          <w:tcPr>
            <w:tcW w:w="524" w:type="pct"/>
            <w:vMerge/>
            <w:vAlign w:val="center"/>
          </w:tcPr>
          <w:p w14:paraId="1D962D6E" w14:textId="77777777" w:rsidR="002E474C" w:rsidRDefault="002E474C">
            <w:pPr>
              <w:pStyle w:val="A-"/>
            </w:pPr>
          </w:p>
        </w:tc>
        <w:tc>
          <w:tcPr>
            <w:tcW w:w="372" w:type="pct"/>
            <w:vMerge/>
            <w:vAlign w:val="center"/>
          </w:tcPr>
          <w:p w14:paraId="25599C38" w14:textId="77777777" w:rsidR="002E474C" w:rsidRDefault="002E474C">
            <w:pPr>
              <w:pStyle w:val="A-"/>
            </w:pPr>
          </w:p>
        </w:tc>
        <w:tc>
          <w:tcPr>
            <w:tcW w:w="457" w:type="pct"/>
            <w:vAlign w:val="center"/>
          </w:tcPr>
          <w:p w14:paraId="79CAE037" w14:textId="77777777" w:rsidR="002E474C" w:rsidRDefault="00000000">
            <w:pPr>
              <w:pStyle w:val="A-"/>
            </w:pPr>
            <w:r>
              <w:t>261-063-37</w:t>
            </w:r>
          </w:p>
        </w:tc>
        <w:tc>
          <w:tcPr>
            <w:tcW w:w="2678" w:type="pct"/>
            <w:vAlign w:val="center"/>
          </w:tcPr>
          <w:p w14:paraId="77088FF2" w14:textId="77777777" w:rsidR="002E474C" w:rsidRDefault="00000000">
            <w:pPr>
              <w:pStyle w:val="A-"/>
            </w:pPr>
            <w:r>
              <w:t>除农药以外其他有机磷化合物生产过程中产生的废水处理污泥</w:t>
            </w:r>
          </w:p>
        </w:tc>
        <w:tc>
          <w:tcPr>
            <w:tcW w:w="395" w:type="pct"/>
            <w:vAlign w:val="center"/>
          </w:tcPr>
          <w:p w14:paraId="1E871B65" w14:textId="77777777" w:rsidR="002E474C" w:rsidRDefault="00000000">
            <w:pPr>
              <w:pStyle w:val="A-"/>
            </w:pPr>
            <w:r>
              <w:t>T</w:t>
            </w:r>
          </w:p>
        </w:tc>
      </w:tr>
      <w:tr w:rsidR="002E474C" w14:paraId="1E702164" w14:textId="77777777">
        <w:trPr>
          <w:trHeight w:val="240"/>
        </w:trPr>
        <w:tc>
          <w:tcPr>
            <w:tcW w:w="574" w:type="pct"/>
            <w:vMerge/>
            <w:vAlign w:val="center"/>
          </w:tcPr>
          <w:p w14:paraId="754FCDC0" w14:textId="77777777" w:rsidR="002E474C" w:rsidRDefault="002E474C">
            <w:pPr>
              <w:pStyle w:val="A-"/>
            </w:pPr>
          </w:p>
        </w:tc>
        <w:tc>
          <w:tcPr>
            <w:tcW w:w="524" w:type="pct"/>
            <w:vAlign w:val="center"/>
          </w:tcPr>
          <w:p w14:paraId="11953E0E" w14:textId="77777777" w:rsidR="002E474C" w:rsidRDefault="00000000">
            <w:pPr>
              <w:pStyle w:val="A-"/>
            </w:pPr>
            <w:r>
              <w:t>非特定行业</w:t>
            </w:r>
          </w:p>
        </w:tc>
        <w:tc>
          <w:tcPr>
            <w:tcW w:w="372" w:type="pct"/>
            <w:vAlign w:val="center"/>
          </w:tcPr>
          <w:p w14:paraId="257A69F1" w14:textId="77777777" w:rsidR="002E474C" w:rsidRDefault="00000000">
            <w:pPr>
              <w:pStyle w:val="A-"/>
            </w:pPr>
            <w:r>
              <w:t>液态</w:t>
            </w:r>
          </w:p>
        </w:tc>
        <w:tc>
          <w:tcPr>
            <w:tcW w:w="457" w:type="pct"/>
            <w:vAlign w:val="center"/>
          </w:tcPr>
          <w:p w14:paraId="643F07A2" w14:textId="77777777" w:rsidR="002E474C" w:rsidRDefault="00000000">
            <w:pPr>
              <w:pStyle w:val="A-"/>
            </w:pPr>
            <w:r>
              <w:t>900-033-37</w:t>
            </w:r>
          </w:p>
        </w:tc>
        <w:tc>
          <w:tcPr>
            <w:tcW w:w="2678" w:type="pct"/>
            <w:vAlign w:val="center"/>
          </w:tcPr>
          <w:p w14:paraId="6114BDD2" w14:textId="77777777" w:rsidR="002E474C" w:rsidRDefault="00000000">
            <w:pPr>
              <w:pStyle w:val="A-"/>
            </w:pPr>
            <w:r>
              <w:t>生产、销售及使用过程中产生的废弃磷酸酯抗燃油</w:t>
            </w:r>
          </w:p>
        </w:tc>
        <w:tc>
          <w:tcPr>
            <w:tcW w:w="395" w:type="pct"/>
            <w:vAlign w:val="center"/>
          </w:tcPr>
          <w:p w14:paraId="73C317AC" w14:textId="77777777" w:rsidR="002E474C" w:rsidRDefault="00000000">
            <w:pPr>
              <w:pStyle w:val="A-"/>
            </w:pPr>
            <w:r>
              <w:t>T</w:t>
            </w:r>
          </w:p>
        </w:tc>
      </w:tr>
      <w:tr w:rsidR="002E474C" w14:paraId="0E5CFB83" w14:textId="77777777">
        <w:trPr>
          <w:trHeight w:val="240"/>
        </w:trPr>
        <w:tc>
          <w:tcPr>
            <w:tcW w:w="574" w:type="pct"/>
            <w:vMerge w:val="restart"/>
            <w:vAlign w:val="center"/>
          </w:tcPr>
          <w:p w14:paraId="4EBDAF33" w14:textId="77777777" w:rsidR="002E474C" w:rsidRDefault="00000000">
            <w:pPr>
              <w:pStyle w:val="A-"/>
            </w:pPr>
            <w:r>
              <w:t>HW38</w:t>
            </w:r>
          </w:p>
          <w:p w14:paraId="5DF7285E" w14:textId="77777777" w:rsidR="002E474C" w:rsidRDefault="00000000">
            <w:pPr>
              <w:pStyle w:val="A-"/>
            </w:pPr>
            <w:r>
              <w:t>有机氰化物</w:t>
            </w:r>
          </w:p>
          <w:p w14:paraId="6DD48D1D" w14:textId="77777777" w:rsidR="002E474C" w:rsidRDefault="00000000">
            <w:pPr>
              <w:pStyle w:val="A-"/>
            </w:pPr>
            <w:r>
              <w:t>废物</w:t>
            </w:r>
          </w:p>
        </w:tc>
        <w:tc>
          <w:tcPr>
            <w:tcW w:w="524" w:type="pct"/>
            <w:vMerge w:val="restart"/>
            <w:vAlign w:val="center"/>
          </w:tcPr>
          <w:p w14:paraId="0E36921E" w14:textId="77777777" w:rsidR="002E474C" w:rsidRDefault="00000000">
            <w:pPr>
              <w:pStyle w:val="A-"/>
            </w:pPr>
            <w:r>
              <w:t>基础化学原料制造</w:t>
            </w:r>
          </w:p>
        </w:tc>
        <w:tc>
          <w:tcPr>
            <w:tcW w:w="372" w:type="pct"/>
            <w:vMerge w:val="restart"/>
            <w:vAlign w:val="center"/>
          </w:tcPr>
          <w:p w14:paraId="5E9030AF" w14:textId="77777777" w:rsidR="002E474C" w:rsidRDefault="00000000">
            <w:pPr>
              <w:pStyle w:val="A-"/>
            </w:pPr>
            <w:r>
              <w:t>固态、半固态</w:t>
            </w:r>
          </w:p>
        </w:tc>
        <w:tc>
          <w:tcPr>
            <w:tcW w:w="457" w:type="pct"/>
            <w:vAlign w:val="center"/>
          </w:tcPr>
          <w:p w14:paraId="5CA894B8" w14:textId="77777777" w:rsidR="002E474C" w:rsidRDefault="00000000">
            <w:pPr>
              <w:pStyle w:val="A-"/>
            </w:pPr>
            <w:r>
              <w:t>261-064-38</w:t>
            </w:r>
          </w:p>
        </w:tc>
        <w:tc>
          <w:tcPr>
            <w:tcW w:w="2678" w:type="pct"/>
            <w:vAlign w:val="center"/>
          </w:tcPr>
          <w:p w14:paraId="4A5E4D4E" w14:textId="77777777" w:rsidR="002E474C" w:rsidRDefault="00000000">
            <w:pPr>
              <w:pStyle w:val="A-"/>
            </w:pPr>
            <w:r>
              <w:t>丙烯腈生产过程中废水汽提器塔底的残余物</w:t>
            </w:r>
          </w:p>
        </w:tc>
        <w:tc>
          <w:tcPr>
            <w:tcW w:w="395" w:type="pct"/>
            <w:vAlign w:val="center"/>
          </w:tcPr>
          <w:p w14:paraId="1EC889D9" w14:textId="77777777" w:rsidR="002E474C" w:rsidRDefault="00000000">
            <w:pPr>
              <w:pStyle w:val="A-"/>
            </w:pPr>
            <w:r>
              <w:t>T</w:t>
            </w:r>
            <w:r>
              <w:t>，</w:t>
            </w:r>
            <w:r>
              <w:t>R</w:t>
            </w:r>
          </w:p>
        </w:tc>
      </w:tr>
      <w:tr w:rsidR="002E474C" w14:paraId="6D0A899F" w14:textId="77777777">
        <w:trPr>
          <w:trHeight w:val="240"/>
        </w:trPr>
        <w:tc>
          <w:tcPr>
            <w:tcW w:w="574" w:type="pct"/>
            <w:vMerge/>
            <w:vAlign w:val="center"/>
          </w:tcPr>
          <w:p w14:paraId="2029947A" w14:textId="77777777" w:rsidR="002E474C" w:rsidRDefault="002E474C">
            <w:pPr>
              <w:pStyle w:val="A-"/>
            </w:pPr>
          </w:p>
        </w:tc>
        <w:tc>
          <w:tcPr>
            <w:tcW w:w="524" w:type="pct"/>
            <w:vMerge/>
            <w:vAlign w:val="center"/>
          </w:tcPr>
          <w:p w14:paraId="7631D586" w14:textId="77777777" w:rsidR="002E474C" w:rsidRDefault="002E474C">
            <w:pPr>
              <w:pStyle w:val="A-"/>
            </w:pPr>
          </w:p>
        </w:tc>
        <w:tc>
          <w:tcPr>
            <w:tcW w:w="372" w:type="pct"/>
            <w:vMerge/>
            <w:vAlign w:val="center"/>
          </w:tcPr>
          <w:p w14:paraId="70D96146" w14:textId="77777777" w:rsidR="002E474C" w:rsidRDefault="002E474C">
            <w:pPr>
              <w:pStyle w:val="A-"/>
            </w:pPr>
          </w:p>
        </w:tc>
        <w:tc>
          <w:tcPr>
            <w:tcW w:w="457" w:type="pct"/>
            <w:vAlign w:val="center"/>
          </w:tcPr>
          <w:p w14:paraId="5E75B456" w14:textId="77777777" w:rsidR="002E474C" w:rsidRDefault="00000000">
            <w:pPr>
              <w:pStyle w:val="A-"/>
            </w:pPr>
            <w:r>
              <w:t>261-065-38</w:t>
            </w:r>
          </w:p>
        </w:tc>
        <w:tc>
          <w:tcPr>
            <w:tcW w:w="2678" w:type="pct"/>
            <w:vAlign w:val="center"/>
          </w:tcPr>
          <w:p w14:paraId="64943576" w14:textId="77777777" w:rsidR="002E474C" w:rsidRDefault="00000000">
            <w:pPr>
              <w:pStyle w:val="A-"/>
            </w:pPr>
            <w:r>
              <w:t>丙烯腈生产过程中乙腈蒸馏塔底的残余物</w:t>
            </w:r>
          </w:p>
        </w:tc>
        <w:tc>
          <w:tcPr>
            <w:tcW w:w="395" w:type="pct"/>
            <w:vAlign w:val="center"/>
          </w:tcPr>
          <w:p w14:paraId="24D3D120" w14:textId="77777777" w:rsidR="002E474C" w:rsidRDefault="00000000">
            <w:pPr>
              <w:pStyle w:val="A-"/>
            </w:pPr>
            <w:r>
              <w:t>T</w:t>
            </w:r>
            <w:r>
              <w:t>，</w:t>
            </w:r>
            <w:r>
              <w:t>R</w:t>
            </w:r>
          </w:p>
        </w:tc>
      </w:tr>
      <w:tr w:rsidR="002E474C" w14:paraId="42007181" w14:textId="77777777">
        <w:trPr>
          <w:trHeight w:val="240"/>
        </w:trPr>
        <w:tc>
          <w:tcPr>
            <w:tcW w:w="574" w:type="pct"/>
            <w:vMerge/>
            <w:vAlign w:val="center"/>
          </w:tcPr>
          <w:p w14:paraId="484E802A" w14:textId="77777777" w:rsidR="002E474C" w:rsidRDefault="002E474C">
            <w:pPr>
              <w:pStyle w:val="A-"/>
            </w:pPr>
          </w:p>
        </w:tc>
        <w:tc>
          <w:tcPr>
            <w:tcW w:w="524" w:type="pct"/>
            <w:vMerge/>
            <w:vAlign w:val="center"/>
          </w:tcPr>
          <w:p w14:paraId="06979837" w14:textId="77777777" w:rsidR="002E474C" w:rsidRDefault="002E474C">
            <w:pPr>
              <w:pStyle w:val="A-"/>
            </w:pPr>
          </w:p>
        </w:tc>
        <w:tc>
          <w:tcPr>
            <w:tcW w:w="372" w:type="pct"/>
            <w:vMerge/>
            <w:vAlign w:val="center"/>
          </w:tcPr>
          <w:p w14:paraId="00B71801" w14:textId="77777777" w:rsidR="002E474C" w:rsidRDefault="002E474C">
            <w:pPr>
              <w:pStyle w:val="A-"/>
            </w:pPr>
          </w:p>
        </w:tc>
        <w:tc>
          <w:tcPr>
            <w:tcW w:w="457" w:type="pct"/>
            <w:vAlign w:val="center"/>
          </w:tcPr>
          <w:p w14:paraId="0B207D50" w14:textId="77777777" w:rsidR="002E474C" w:rsidRDefault="00000000">
            <w:pPr>
              <w:pStyle w:val="A-"/>
            </w:pPr>
            <w:r>
              <w:t>261-066-38</w:t>
            </w:r>
          </w:p>
        </w:tc>
        <w:tc>
          <w:tcPr>
            <w:tcW w:w="2678" w:type="pct"/>
            <w:vAlign w:val="center"/>
          </w:tcPr>
          <w:p w14:paraId="78741A36" w14:textId="77777777" w:rsidR="002E474C" w:rsidRDefault="00000000">
            <w:pPr>
              <w:pStyle w:val="A-"/>
            </w:pPr>
            <w:r>
              <w:t>丙烯腈生产过程中乙腈精制塔底的残余物</w:t>
            </w:r>
          </w:p>
        </w:tc>
        <w:tc>
          <w:tcPr>
            <w:tcW w:w="395" w:type="pct"/>
            <w:vAlign w:val="center"/>
          </w:tcPr>
          <w:p w14:paraId="191E7F25" w14:textId="77777777" w:rsidR="002E474C" w:rsidRDefault="00000000">
            <w:pPr>
              <w:pStyle w:val="A-"/>
            </w:pPr>
            <w:r>
              <w:t>T</w:t>
            </w:r>
          </w:p>
        </w:tc>
      </w:tr>
      <w:tr w:rsidR="002E474C" w14:paraId="776C3AB0" w14:textId="77777777">
        <w:trPr>
          <w:trHeight w:val="240"/>
        </w:trPr>
        <w:tc>
          <w:tcPr>
            <w:tcW w:w="574" w:type="pct"/>
            <w:vMerge/>
            <w:vAlign w:val="center"/>
          </w:tcPr>
          <w:p w14:paraId="260F2B25" w14:textId="77777777" w:rsidR="002E474C" w:rsidRDefault="002E474C">
            <w:pPr>
              <w:pStyle w:val="A-"/>
            </w:pPr>
          </w:p>
        </w:tc>
        <w:tc>
          <w:tcPr>
            <w:tcW w:w="524" w:type="pct"/>
            <w:vMerge/>
            <w:vAlign w:val="center"/>
          </w:tcPr>
          <w:p w14:paraId="2EF6F6A5" w14:textId="77777777" w:rsidR="002E474C" w:rsidRDefault="002E474C">
            <w:pPr>
              <w:pStyle w:val="A-"/>
            </w:pPr>
          </w:p>
        </w:tc>
        <w:tc>
          <w:tcPr>
            <w:tcW w:w="372" w:type="pct"/>
            <w:vMerge/>
            <w:vAlign w:val="center"/>
          </w:tcPr>
          <w:p w14:paraId="5360E75D" w14:textId="77777777" w:rsidR="002E474C" w:rsidRDefault="002E474C">
            <w:pPr>
              <w:pStyle w:val="A-"/>
            </w:pPr>
          </w:p>
        </w:tc>
        <w:tc>
          <w:tcPr>
            <w:tcW w:w="457" w:type="pct"/>
            <w:vAlign w:val="center"/>
          </w:tcPr>
          <w:p w14:paraId="4798C94E" w14:textId="77777777" w:rsidR="002E474C" w:rsidRDefault="00000000">
            <w:pPr>
              <w:pStyle w:val="A-"/>
            </w:pPr>
            <w:r>
              <w:t>261-067-38</w:t>
            </w:r>
          </w:p>
        </w:tc>
        <w:tc>
          <w:tcPr>
            <w:tcW w:w="2678" w:type="pct"/>
            <w:vAlign w:val="center"/>
          </w:tcPr>
          <w:p w14:paraId="4B6F8C1A" w14:textId="77777777" w:rsidR="002E474C" w:rsidRDefault="00000000">
            <w:pPr>
              <w:pStyle w:val="A-"/>
            </w:pPr>
            <w:r>
              <w:t>有机氰化物生产过程中产生的废母液及反应残余物</w:t>
            </w:r>
          </w:p>
        </w:tc>
        <w:tc>
          <w:tcPr>
            <w:tcW w:w="395" w:type="pct"/>
            <w:vAlign w:val="center"/>
          </w:tcPr>
          <w:p w14:paraId="115EA853" w14:textId="77777777" w:rsidR="002E474C" w:rsidRDefault="00000000">
            <w:pPr>
              <w:pStyle w:val="A-"/>
            </w:pPr>
            <w:r>
              <w:t>T</w:t>
            </w:r>
          </w:p>
        </w:tc>
      </w:tr>
      <w:tr w:rsidR="002E474C" w14:paraId="587B7910" w14:textId="77777777">
        <w:trPr>
          <w:trHeight w:val="240"/>
        </w:trPr>
        <w:tc>
          <w:tcPr>
            <w:tcW w:w="574" w:type="pct"/>
            <w:vMerge/>
            <w:vAlign w:val="center"/>
          </w:tcPr>
          <w:p w14:paraId="0E14572B" w14:textId="77777777" w:rsidR="002E474C" w:rsidRDefault="002E474C">
            <w:pPr>
              <w:pStyle w:val="A-"/>
            </w:pPr>
          </w:p>
        </w:tc>
        <w:tc>
          <w:tcPr>
            <w:tcW w:w="524" w:type="pct"/>
            <w:vMerge/>
            <w:vAlign w:val="center"/>
          </w:tcPr>
          <w:p w14:paraId="3D60CF62" w14:textId="77777777" w:rsidR="002E474C" w:rsidRDefault="002E474C">
            <w:pPr>
              <w:pStyle w:val="A-"/>
            </w:pPr>
          </w:p>
        </w:tc>
        <w:tc>
          <w:tcPr>
            <w:tcW w:w="372" w:type="pct"/>
            <w:vMerge/>
            <w:vAlign w:val="center"/>
          </w:tcPr>
          <w:p w14:paraId="4600B65F" w14:textId="77777777" w:rsidR="002E474C" w:rsidRDefault="002E474C">
            <w:pPr>
              <w:pStyle w:val="A-"/>
            </w:pPr>
          </w:p>
        </w:tc>
        <w:tc>
          <w:tcPr>
            <w:tcW w:w="457" w:type="pct"/>
            <w:vAlign w:val="center"/>
          </w:tcPr>
          <w:p w14:paraId="24613733" w14:textId="77777777" w:rsidR="002E474C" w:rsidRDefault="00000000">
            <w:pPr>
              <w:pStyle w:val="A-"/>
            </w:pPr>
            <w:r>
              <w:t>261-068-38</w:t>
            </w:r>
          </w:p>
        </w:tc>
        <w:tc>
          <w:tcPr>
            <w:tcW w:w="2678" w:type="pct"/>
            <w:vAlign w:val="center"/>
          </w:tcPr>
          <w:p w14:paraId="408F6D74" w14:textId="77777777" w:rsidR="002E474C" w:rsidRDefault="00000000">
            <w:pPr>
              <w:pStyle w:val="A-"/>
            </w:pPr>
            <w:r>
              <w:t>有机氰化物生产过程中催化、精馏和过滤工序产生的废催化剂、釜底残余物和过滤介质</w:t>
            </w:r>
          </w:p>
        </w:tc>
        <w:tc>
          <w:tcPr>
            <w:tcW w:w="395" w:type="pct"/>
            <w:vAlign w:val="center"/>
          </w:tcPr>
          <w:p w14:paraId="5966D162" w14:textId="77777777" w:rsidR="002E474C" w:rsidRDefault="00000000">
            <w:pPr>
              <w:pStyle w:val="A-"/>
            </w:pPr>
            <w:r>
              <w:t>T</w:t>
            </w:r>
          </w:p>
        </w:tc>
      </w:tr>
      <w:tr w:rsidR="002E474C" w14:paraId="4A4267FC" w14:textId="77777777">
        <w:trPr>
          <w:trHeight w:val="240"/>
        </w:trPr>
        <w:tc>
          <w:tcPr>
            <w:tcW w:w="574" w:type="pct"/>
            <w:vMerge/>
            <w:vAlign w:val="center"/>
          </w:tcPr>
          <w:p w14:paraId="13E03A33" w14:textId="77777777" w:rsidR="002E474C" w:rsidRDefault="002E474C">
            <w:pPr>
              <w:pStyle w:val="A-"/>
            </w:pPr>
          </w:p>
        </w:tc>
        <w:tc>
          <w:tcPr>
            <w:tcW w:w="524" w:type="pct"/>
            <w:vMerge/>
            <w:vAlign w:val="center"/>
          </w:tcPr>
          <w:p w14:paraId="1C2572C6" w14:textId="77777777" w:rsidR="002E474C" w:rsidRDefault="002E474C">
            <w:pPr>
              <w:pStyle w:val="A-"/>
            </w:pPr>
          </w:p>
        </w:tc>
        <w:tc>
          <w:tcPr>
            <w:tcW w:w="372" w:type="pct"/>
            <w:vMerge/>
            <w:vAlign w:val="center"/>
          </w:tcPr>
          <w:p w14:paraId="63B0CAE7" w14:textId="77777777" w:rsidR="002E474C" w:rsidRDefault="002E474C">
            <w:pPr>
              <w:pStyle w:val="A-"/>
            </w:pPr>
          </w:p>
        </w:tc>
        <w:tc>
          <w:tcPr>
            <w:tcW w:w="457" w:type="pct"/>
            <w:vAlign w:val="center"/>
          </w:tcPr>
          <w:p w14:paraId="1064E9DF" w14:textId="77777777" w:rsidR="002E474C" w:rsidRDefault="00000000">
            <w:pPr>
              <w:pStyle w:val="A-"/>
            </w:pPr>
            <w:r>
              <w:t>261-069-38</w:t>
            </w:r>
          </w:p>
        </w:tc>
        <w:tc>
          <w:tcPr>
            <w:tcW w:w="2678" w:type="pct"/>
            <w:vAlign w:val="center"/>
          </w:tcPr>
          <w:p w14:paraId="0A6CBD59" w14:textId="77777777" w:rsidR="002E474C" w:rsidRDefault="00000000">
            <w:pPr>
              <w:pStyle w:val="A-"/>
            </w:pPr>
            <w:r>
              <w:t>有机氰化物生产过程中产生的废水处理污泥</w:t>
            </w:r>
          </w:p>
        </w:tc>
        <w:tc>
          <w:tcPr>
            <w:tcW w:w="395" w:type="pct"/>
            <w:vAlign w:val="center"/>
          </w:tcPr>
          <w:p w14:paraId="08A8AEB1" w14:textId="77777777" w:rsidR="002E474C" w:rsidRDefault="00000000">
            <w:pPr>
              <w:pStyle w:val="A-"/>
            </w:pPr>
            <w:r>
              <w:t>T</w:t>
            </w:r>
          </w:p>
        </w:tc>
      </w:tr>
      <w:tr w:rsidR="002E474C" w14:paraId="3CA4593F" w14:textId="77777777">
        <w:trPr>
          <w:trHeight w:val="240"/>
        </w:trPr>
        <w:tc>
          <w:tcPr>
            <w:tcW w:w="574" w:type="pct"/>
            <w:vMerge/>
            <w:vAlign w:val="center"/>
          </w:tcPr>
          <w:p w14:paraId="709C0469" w14:textId="77777777" w:rsidR="002E474C" w:rsidRDefault="002E474C">
            <w:pPr>
              <w:pStyle w:val="A-"/>
            </w:pPr>
          </w:p>
        </w:tc>
        <w:tc>
          <w:tcPr>
            <w:tcW w:w="524" w:type="pct"/>
            <w:vMerge/>
            <w:vAlign w:val="center"/>
          </w:tcPr>
          <w:p w14:paraId="2C62367E" w14:textId="77777777" w:rsidR="002E474C" w:rsidRDefault="002E474C">
            <w:pPr>
              <w:pStyle w:val="A-"/>
            </w:pPr>
          </w:p>
        </w:tc>
        <w:tc>
          <w:tcPr>
            <w:tcW w:w="372" w:type="pct"/>
            <w:vMerge/>
            <w:vAlign w:val="center"/>
          </w:tcPr>
          <w:p w14:paraId="4ED14D79" w14:textId="77777777" w:rsidR="002E474C" w:rsidRDefault="002E474C">
            <w:pPr>
              <w:pStyle w:val="A-"/>
            </w:pPr>
          </w:p>
        </w:tc>
        <w:tc>
          <w:tcPr>
            <w:tcW w:w="457" w:type="pct"/>
            <w:vAlign w:val="center"/>
          </w:tcPr>
          <w:p w14:paraId="4E9602A8" w14:textId="77777777" w:rsidR="002E474C" w:rsidRDefault="00000000">
            <w:pPr>
              <w:pStyle w:val="A-"/>
            </w:pPr>
            <w:r>
              <w:t>261-140-38</w:t>
            </w:r>
          </w:p>
        </w:tc>
        <w:tc>
          <w:tcPr>
            <w:tcW w:w="2678" w:type="pct"/>
            <w:vAlign w:val="center"/>
          </w:tcPr>
          <w:p w14:paraId="6BF0CFDB" w14:textId="77777777" w:rsidR="002E474C" w:rsidRDefault="00000000">
            <w:pPr>
              <w:pStyle w:val="A-"/>
            </w:pPr>
            <w:r>
              <w:t>废腈纶高温高压水解生产聚丙烯腈</w:t>
            </w:r>
            <w:r>
              <w:t>-</w:t>
            </w:r>
            <w:r>
              <w:t>铵盐过程中产生的过滤残渣</w:t>
            </w:r>
          </w:p>
        </w:tc>
        <w:tc>
          <w:tcPr>
            <w:tcW w:w="395" w:type="pct"/>
            <w:vAlign w:val="center"/>
          </w:tcPr>
          <w:p w14:paraId="1062E2D2" w14:textId="77777777" w:rsidR="002E474C" w:rsidRDefault="00000000">
            <w:pPr>
              <w:pStyle w:val="A-"/>
            </w:pPr>
            <w:r>
              <w:t>T</w:t>
            </w:r>
          </w:p>
        </w:tc>
      </w:tr>
      <w:tr w:rsidR="002E474C" w14:paraId="44423BE8" w14:textId="77777777">
        <w:trPr>
          <w:trHeight w:val="240"/>
        </w:trPr>
        <w:tc>
          <w:tcPr>
            <w:tcW w:w="574" w:type="pct"/>
            <w:vMerge w:val="restart"/>
            <w:vAlign w:val="center"/>
          </w:tcPr>
          <w:p w14:paraId="0800A041" w14:textId="77777777" w:rsidR="002E474C" w:rsidRDefault="00000000">
            <w:pPr>
              <w:pStyle w:val="A-"/>
            </w:pPr>
            <w:r>
              <w:t>HW39</w:t>
            </w:r>
          </w:p>
          <w:p w14:paraId="1B109357" w14:textId="77777777" w:rsidR="002E474C" w:rsidRDefault="00000000">
            <w:pPr>
              <w:pStyle w:val="A-"/>
            </w:pPr>
            <w:r>
              <w:t>含酚废物</w:t>
            </w:r>
          </w:p>
        </w:tc>
        <w:tc>
          <w:tcPr>
            <w:tcW w:w="524" w:type="pct"/>
            <w:vMerge w:val="restart"/>
            <w:vAlign w:val="center"/>
          </w:tcPr>
          <w:p w14:paraId="65F12D25" w14:textId="77777777" w:rsidR="002E474C" w:rsidRDefault="00000000">
            <w:pPr>
              <w:pStyle w:val="A-"/>
            </w:pPr>
            <w:r>
              <w:t>基础化学原料制造</w:t>
            </w:r>
          </w:p>
        </w:tc>
        <w:tc>
          <w:tcPr>
            <w:tcW w:w="372" w:type="pct"/>
            <w:vMerge w:val="restart"/>
            <w:vAlign w:val="center"/>
          </w:tcPr>
          <w:p w14:paraId="705DDBA6" w14:textId="77777777" w:rsidR="002E474C" w:rsidRDefault="00000000">
            <w:pPr>
              <w:pStyle w:val="A-"/>
              <w:ind w:leftChars="-25" w:left="-53" w:rightChars="-25" w:right="-53"/>
              <w:rPr>
                <w:spacing w:val="-6"/>
              </w:rPr>
            </w:pPr>
            <w:r>
              <w:rPr>
                <w:spacing w:val="-6"/>
              </w:rPr>
              <w:t>固态、液态</w:t>
            </w:r>
          </w:p>
        </w:tc>
        <w:tc>
          <w:tcPr>
            <w:tcW w:w="457" w:type="pct"/>
            <w:vAlign w:val="center"/>
          </w:tcPr>
          <w:p w14:paraId="5BC06F22" w14:textId="77777777" w:rsidR="002E474C" w:rsidRDefault="00000000">
            <w:pPr>
              <w:pStyle w:val="A-"/>
            </w:pPr>
            <w:r>
              <w:t>261-070-39</w:t>
            </w:r>
          </w:p>
        </w:tc>
        <w:tc>
          <w:tcPr>
            <w:tcW w:w="2678" w:type="pct"/>
            <w:vAlign w:val="center"/>
          </w:tcPr>
          <w:p w14:paraId="007440B3" w14:textId="77777777" w:rsidR="002E474C" w:rsidRDefault="00000000">
            <w:pPr>
              <w:pStyle w:val="A-"/>
            </w:pPr>
            <w:r>
              <w:t>酚及酚类化合物生产过程中产生的废母液和反应残余物</w:t>
            </w:r>
          </w:p>
        </w:tc>
        <w:tc>
          <w:tcPr>
            <w:tcW w:w="395" w:type="pct"/>
            <w:vAlign w:val="center"/>
          </w:tcPr>
          <w:p w14:paraId="06E2C23C" w14:textId="77777777" w:rsidR="002E474C" w:rsidRDefault="00000000">
            <w:pPr>
              <w:pStyle w:val="A-"/>
            </w:pPr>
            <w:r>
              <w:t>T</w:t>
            </w:r>
          </w:p>
        </w:tc>
      </w:tr>
      <w:tr w:rsidR="002E474C" w14:paraId="780E5F54" w14:textId="77777777">
        <w:trPr>
          <w:trHeight w:val="240"/>
        </w:trPr>
        <w:tc>
          <w:tcPr>
            <w:tcW w:w="574" w:type="pct"/>
            <w:vMerge/>
            <w:vAlign w:val="center"/>
          </w:tcPr>
          <w:p w14:paraId="3C011CE5" w14:textId="77777777" w:rsidR="002E474C" w:rsidRDefault="002E474C">
            <w:pPr>
              <w:pStyle w:val="A-"/>
            </w:pPr>
          </w:p>
        </w:tc>
        <w:tc>
          <w:tcPr>
            <w:tcW w:w="524" w:type="pct"/>
            <w:vMerge/>
            <w:vAlign w:val="center"/>
          </w:tcPr>
          <w:p w14:paraId="11BE44AD" w14:textId="77777777" w:rsidR="002E474C" w:rsidRDefault="002E474C">
            <w:pPr>
              <w:pStyle w:val="A-"/>
            </w:pPr>
          </w:p>
        </w:tc>
        <w:tc>
          <w:tcPr>
            <w:tcW w:w="372" w:type="pct"/>
            <w:vMerge/>
            <w:vAlign w:val="center"/>
          </w:tcPr>
          <w:p w14:paraId="4B5D5F43" w14:textId="77777777" w:rsidR="002E474C" w:rsidRDefault="002E474C">
            <w:pPr>
              <w:pStyle w:val="A-"/>
            </w:pPr>
          </w:p>
        </w:tc>
        <w:tc>
          <w:tcPr>
            <w:tcW w:w="457" w:type="pct"/>
            <w:vAlign w:val="center"/>
          </w:tcPr>
          <w:p w14:paraId="581C72F1" w14:textId="77777777" w:rsidR="002E474C" w:rsidRDefault="00000000">
            <w:pPr>
              <w:pStyle w:val="A-"/>
            </w:pPr>
            <w:r>
              <w:t>261-071-39</w:t>
            </w:r>
          </w:p>
        </w:tc>
        <w:tc>
          <w:tcPr>
            <w:tcW w:w="2678" w:type="pct"/>
            <w:vAlign w:val="center"/>
          </w:tcPr>
          <w:p w14:paraId="56726D14" w14:textId="77777777" w:rsidR="002E474C" w:rsidRDefault="00000000">
            <w:pPr>
              <w:pStyle w:val="A-"/>
            </w:pPr>
            <w:r>
              <w:t>酚及酚类化合物生产过程中产生的废过滤吸附介质、废催化剂、精馏残余物</w:t>
            </w:r>
          </w:p>
        </w:tc>
        <w:tc>
          <w:tcPr>
            <w:tcW w:w="395" w:type="pct"/>
            <w:vAlign w:val="center"/>
          </w:tcPr>
          <w:p w14:paraId="7ECF76D2" w14:textId="77777777" w:rsidR="002E474C" w:rsidRDefault="00000000">
            <w:pPr>
              <w:pStyle w:val="A-"/>
            </w:pPr>
            <w:r>
              <w:t>T</w:t>
            </w:r>
          </w:p>
        </w:tc>
      </w:tr>
      <w:tr w:rsidR="002E474C" w14:paraId="16EE0DEE" w14:textId="77777777">
        <w:trPr>
          <w:trHeight w:val="500"/>
        </w:trPr>
        <w:tc>
          <w:tcPr>
            <w:tcW w:w="574" w:type="pct"/>
            <w:vAlign w:val="center"/>
          </w:tcPr>
          <w:p w14:paraId="5A6C2242" w14:textId="77777777" w:rsidR="002E474C" w:rsidRDefault="00000000">
            <w:pPr>
              <w:pStyle w:val="A-"/>
            </w:pPr>
            <w:r>
              <w:t>HW40</w:t>
            </w:r>
          </w:p>
          <w:p w14:paraId="016B2ADA" w14:textId="77777777" w:rsidR="002E474C" w:rsidRDefault="00000000">
            <w:pPr>
              <w:pStyle w:val="A-"/>
            </w:pPr>
            <w:r>
              <w:t>含醚废物</w:t>
            </w:r>
          </w:p>
        </w:tc>
        <w:tc>
          <w:tcPr>
            <w:tcW w:w="524" w:type="pct"/>
            <w:vAlign w:val="center"/>
          </w:tcPr>
          <w:p w14:paraId="07579DC1" w14:textId="77777777" w:rsidR="002E474C" w:rsidRDefault="00000000">
            <w:pPr>
              <w:pStyle w:val="A-"/>
            </w:pPr>
            <w:r>
              <w:t>基础化学原料制造</w:t>
            </w:r>
          </w:p>
        </w:tc>
        <w:tc>
          <w:tcPr>
            <w:tcW w:w="372" w:type="pct"/>
            <w:vAlign w:val="center"/>
          </w:tcPr>
          <w:p w14:paraId="474B9D33" w14:textId="77777777" w:rsidR="002E474C" w:rsidRDefault="00000000">
            <w:pPr>
              <w:pStyle w:val="A-"/>
              <w:ind w:leftChars="-25" w:left="-53" w:rightChars="-25" w:right="-53"/>
            </w:pPr>
            <w:r>
              <w:rPr>
                <w:spacing w:val="-6"/>
              </w:rPr>
              <w:t>固态、半固态、液态</w:t>
            </w:r>
          </w:p>
        </w:tc>
        <w:tc>
          <w:tcPr>
            <w:tcW w:w="457" w:type="pct"/>
            <w:vAlign w:val="center"/>
          </w:tcPr>
          <w:p w14:paraId="3ADA99B0" w14:textId="77777777" w:rsidR="002E474C" w:rsidRDefault="00000000">
            <w:pPr>
              <w:pStyle w:val="A-"/>
            </w:pPr>
            <w:r>
              <w:t>261-072-40</w:t>
            </w:r>
          </w:p>
        </w:tc>
        <w:tc>
          <w:tcPr>
            <w:tcW w:w="2678" w:type="pct"/>
            <w:vAlign w:val="center"/>
          </w:tcPr>
          <w:p w14:paraId="6F46C329" w14:textId="77777777" w:rsidR="002E474C" w:rsidRDefault="00000000">
            <w:pPr>
              <w:pStyle w:val="A-"/>
            </w:pPr>
            <w:r>
              <w:t>醚及醚类化合物生产过程中产生的醚类残液、反应残余物、废水处理污泥</w:t>
            </w:r>
          </w:p>
          <w:p w14:paraId="08B9EE04" w14:textId="77777777" w:rsidR="002E474C" w:rsidRDefault="00000000">
            <w:pPr>
              <w:pStyle w:val="A-"/>
            </w:pPr>
            <w:r>
              <w:t>（不包括废水生化处理污泥）</w:t>
            </w:r>
          </w:p>
        </w:tc>
        <w:tc>
          <w:tcPr>
            <w:tcW w:w="395" w:type="pct"/>
            <w:vAlign w:val="center"/>
          </w:tcPr>
          <w:p w14:paraId="5FECB524" w14:textId="77777777" w:rsidR="002E474C" w:rsidRDefault="00000000">
            <w:pPr>
              <w:pStyle w:val="A-"/>
            </w:pPr>
            <w:r>
              <w:t>T</w:t>
            </w:r>
          </w:p>
        </w:tc>
      </w:tr>
      <w:tr w:rsidR="002E474C" w14:paraId="517C454D" w14:textId="77777777">
        <w:trPr>
          <w:trHeight w:val="240"/>
        </w:trPr>
        <w:tc>
          <w:tcPr>
            <w:tcW w:w="574" w:type="pct"/>
            <w:vMerge w:val="restart"/>
            <w:vAlign w:val="center"/>
          </w:tcPr>
          <w:p w14:paraId="459933DC" w14:textId="77777777" w:rsidR="002E474C" w:rsidRDefault="00000000">
            <w:pPr>
              <w:pStyle w:val="A-"/>
            </w:pPr>
            <w:r>
              <w:t>HW45</w:t>
            </w:r>
          </w:p>
          <w:p w14:paraId="216754F1" w14:textId="77777777" w:rsidR="002E474C" w:rsidRDefault="00000000">
            <w:pPr>
              <w:pStyle w:val="A-"/>
            </w:pPr>
            <w:r>
              <w:t>含有机卤化物废物</w:t>
            </w:r>
          </w:p>
        </w:tc>
        <w:tc>
          <w:tcPr>
            <w:tcW w:w="524" w:type="pct"/>
            <w:vMerge w:val="restart"/>
            <w:vAlign w:val="center"/>
          </w:tcPr>
          <w:p w14:paraId="1432691C" w14:textId="77777777" w:rsidR="002E474C" w:rsidRDefault="00000000">
            <w:pPr>
              <w:pStyle w:val="A-"/>
            </w:pPr>
            <w:r>
              <w:t>基础化学原料制造</w:t>
            </w:r>
          </w:p>
        </w:tc>
        <w:tc>
          <w:tcPr>
            <w:tcW w:w="372" w:type="pct"/>
            <w:vMerge w:val="restart"/>
            <w:vAlign w:val="center"/>
          </w:tcPr>
          <w:p w14:paraId="6CF71C8E" w14:textId="77777777" w:rsidR="002E474C" w:rsidRDefault="00000000">
            <w:pPr>
              <w:pStyle w:val="A-"/>
              <w:ind w:leftChars="-25" w:left="-53" w:rightChars="-25" w:right="-53"/>
            </w:pPr>
            <w:r>
              <w:rPr>
                <w:spacing w:val="-6"/>
              </w:rPr>
              <w:t>固态、半固态、液态</w:t>
            </w:r>
          </w:p>
        </w:tc>
        <w:tc>
          <w:tcPr>
            <w:tcW w:w="457" w:type="pct"/>
            <w:vAlign w:val="center"/>
          </w:tcPr>
          <w:p w14:paraId="5F0F5511" w14:textId="77777777" w:rsidR="002E474C" w:rsidRDefault="00000000">
            <w:pPr>
              <w:pStyle w:val="A-"/>
            </w:pPr>
            <w:r>
              <w:t>261-078-45</w:t>
            </w:r>
          </w:p>
        </w:tc>
        <w:tc>
          <w:tcPr>
            <w:tcW w:w="2678" w:type="pct"/>
            <w:vAlign w:val="center"/>
          </w:tcPr>
          <w:p w14:paraId="6A3F5327" w14:textId="77777777" w:rsidR="002E474C" w:rsidRDefault="00000000">
            <w:pPr>
              <w:pStyle w:val="A-"/>
            </w:pPr>
            <w:r>
              <w:t>乙烯溴化法生产二溴乙烯过程中废气净化产生的废液</w:t>
            </w:r>
          </w:p>
        </w:tc>
        <w:tc>
          <w:tcPr>
            <w:tcW w:w="395" w:type="pct"/>
            <w:vAlign w:val="center"/>
          </w:tcPr>
          <w:p w14:paraId="1A65E12D" w14:textId="77777777" w:rsidR="002E474C" w:rsidRDefault="00000000">
            <w:pPr>
              <w:pStyle w:val="A-"/>
            </w:pPr>
            <w:r>
              <w:t>T</w:t>
            </w:r>
          </w:p>
        </w:tc>
      </w:tr>
      <w:tr w:rsidR="002E474C" w14:paraId="06778664" w14:textId="77777777">
        <w:trPr>
          <w:trHeight w:val="240"/>
        </w:trPr>
        <w:tc>
          <w:tcPr>
            <w:tcW w:w="574" w:type="pct"/>
            <w:vMerge/>
            <w:vAlign w:val="center"/>
          </w:tcPr>
          <w:p w14:paraId="277B7F87" w14:textId="77777777" w:rsidR="002E474C" w:rsidRDefault="002E474C">
            <w:pPr>
              <w:pStyle w:val="A-"/>
            </w:pPr>
          </w:p>
        </w:tc>
        <w:tc>
          <w:tcPr>
            <w:tcW w:w="524" w:type="pct"/>
            <w:vMerge/>
            <w:vAlign w:val="center"/>
          </w:tcPr>
          <w:p w14:paraId="47D82EBE" w14:textId="77777777" w:rsidR="002E474C" w:rsidRDefault="002E474C">
            <w:pPr>
              <w:pStyle w:val="A-"/>
            </w:pPr>
          </w:p>
        </w:tc>
        <w:tc>
          <w:tcPr>
            <w:tcW w:w="372" w:type="pct"/>
            <w:vMerge/>
            <w:vAlign w:val="center"/>
          </w:tcPr>
          <w:p w14:paraId="4B85FA8D" w14:textId="77777777" w:rsidR="002E474C" w:rsidRDefault="002E474C">
            <w:pPr>
              <w:pStyle w:val="A-"/>
            </w:pPr>
          </w:p>
        </w:tc>
        <w:tc>
          <w:tcPr>
            <w:tcW w:w="457" w:type="pct"/>
            <w:vAlign w:val="center"/>
          </w:tcPr>
          <w:p w14:paraId="6DE9D0A8" w14:textId="77777777" w:rsidR="002E474C" w:rsidRDefault="00000000">
            <w:pPr>
              <w:pStyle w:val="A-"/>
            </w:pPr>
            <w:r>
              <w:t>261-079-45</w:t>
            </w:r>
          </w:p>
        </w:tc>
        <w:tc>
          <w:tcPr>
            <w:tcW w:w="2678" w:type="pct"/>
            <w:vAlign w:val="center"/>
          </w:tcPr>
          <w:p w14:paraId="3DF6AA47" w14:textId="77777777" w:rsidR="002E474C" w:rsidRDefault="00000000">
            <w:pPr>
              <w:pStyle w:val="A-"/>
            </w:pPr>
            <w:r>
              <w:t>乙烯溴化法生产二溴乙烯过程中产品精制产生的废吸附剂</w:t>
            </w:r>
          </w:p>
        </w:tc>
        <w:tc>
          <w:tcPr>
            <w:tcW w:w="395" w:type="pct"/>
            <w:vAlign w:val="center"/>
          </w:tcPr>
          <w:p w14:paraId="3AEF3957" w14:textId="77777777" w:rsidR="002E474C" w:rsidRDefault="00000000">
            <w:pPr>
              <w:pStyle w:val="A-"/>
            </w:pPr>
            <w:r>
              <w:t>T</w:t>
            </w:r>
          </w:p>
        </w:tc>
      </w:tr>
      <w:tr w:rsidR="002E474C" w14:paraId="1B09124B" w14:textId="77777777">
        <w:trPr>
          <w:trHeight w:val="240"/>
        </w:trPr>
        <w:tc>
          <w:tcPr>
            <w:tcW w:w="574" w:type="pct"/>
            <w:vMerge/>
            <w:vAlign w:val="center"/>
          </w:tcPr>
          <w:p w14:paraId="326B5E41" w14:textId="77777777" w:rsidR="002E474C" w:rsidRDefault="002E474C">
            <w:pPr>
              <w:pStyle w:val="A-"/>
            </w:pPr>
          </w:p>
        </w:tc>
        <w:tc>
          <w:tcPr>
            <w:tcW w:w="524" w:type="pct"/>
            <w:vMerge/>
            <w:vAlign w:val="center"/>
          </w:tcPr>
          <w:p w14:paraId="5C0BB8BB" w14:textId="77777777" w:rsidR="002E474C" w:rsidRDefault="002E474C">
            <w:pPr>
              <w:pStyle w:val="A-"/>
            </w:pPr>
          </w:p>
        </w:tc>
        <w:tc>
          <w:tcPr>
            <w:tcW w:w="372" w:type="pct"/>
            <w:vMerge/>
            <w:vAlign w:val="center"/>
          </w:tcPr>
          <w:p w14:paraId="48BAC4F6" w14:textId="77777777" w:rsidR="002E474C" w:rsidRDefault="002E474C">
            <w:pPr>
              <w:pStyle w:val="A-"/>
            </w:pPr>
          </w:p>
        </w:tc>
        <w:tc>
          <w:tcPr>
            <w:tcW w:w="457" w:type="pct"/>
            <w:vAlign w:val="center"/>
          </w:tcPr>
          <w:p w14:paraId="4022E1D7" w14:textId="77777777" w:rsidR="002E474C" w:rsidRDefault="00000000">
            <w:pPr>
              <w:pStyle w:val="A-"/>
            </w:pPr>
            <w:r>
              <w:t>261-080-45</w:t>
            </w:r>
          </w:p>
        </w:tc>
        <w:tc>
          <w:tcPr>
            <w:tcW w:w="2678" w:type="pct"/>
            <w:vAlign w:val="center"/>
          </w:tcPr>
          <w:p w14:paraId="153ED218" w14:textId="77777777" w:rsidR="002E474C" w:rsidRDefault="00000000">
            <w:pPr>
              <w:pStyle w:val="A-"/>
            </w:pPr>
            <w:r>
              <w:t>芳烃及其衍生物氯代反应过程中氯气和盐酸回收工艺产生的废液和废吸附剂</w:t>
            </w:r>
          </w:p>
        </w:tc>
        <w:tc>
          <w:tcPr>
            <w:tcW w:w="395" w:type="pct"/>
            <w:vAlign w:val="center"/>
          </w:tcPr>
          <w:p w14:paraId="260EA628" w14:textId="77777777" w:rsidR="002E474C" w:rsidRDefault="00000000">
            <w:pPr>
              <w:pStyle w:val="A-"/>
            </w:pPr>
            <w:r>
              <w:t>T</w:t>
            </w:r>
          </w:p>
        </w:tc>
      </w:tr>
      <w:tr w:rsidR="002E474C" w14:paraId="369E9CCF" w14:textId="77777777">
        <w:trPr>
          <w:trHeight w:val="240"/>
        </w:trPr>
        <w:tc>
          <w:tcPr>
            <w:tcW w:w="574" w:type="pct"/>
            <w:vMerge/>
            <w:vAlign w:val="center"/>
          </w:tcPr>
          <w:p w14:paraId="460F7ED8" w14:textId="77777777" w:rsidR="002E474C" w:rsidRDefault="002E474C">
            <w:pPr>
              <w:pStyle w:val="A-"/>
            </w:pPr>
          </w:p>
        </w:tc>
        <w:tc>
          <w:tcPr>
            <w:tcW w:w="524" w:type="pct"/>
            <w:vMerge/>
            <w:vAlign w:val="center"/>
          </w:tcPr>
          <w:p w14:paraId="5B81F5C4" w14:textId="77777777" w:rsidR="002E474C" w:rsidRDefault="002E474C">
            <w:pPr>
              <w:pStyle w:val="A-"/>
            </w:pPr>
          </w:p>
        </w:tc>
        <w:tc>
          <w:tcPr>
            <w:tcW w:w="372" w:type="pct"/>
            <w:vMerge/>
            <w:vAlign w:val="center"/>
          </w:tcPr>
          <w:p w14:paraId="23BE3D1E" w14:textId="77777777" w:rsidR="002E474C" w:rsidRDefault="002E474C">
            <w:pPr>
              <w:pStyle w:val="A-"/>
            </w:pPr>
          </w:p>
        </w:tc>
        <w:tc>
          <w:tcPr>
            <w:tcW w:w="457" w:type="pct"/>
            <w:vAlign w:val="center"/>
          </w:tcPr>
          <w:p w14:paraId="543B645D" w14:textId="77777777" w:rsidR="002E474C" w:rsidRDefault="00000000">
            <w:pPr>
              <w:pStyle w:val="A-"/>
            </w:pPr>
            <w:r>
              <w:t>261-081-45</w:t>
            </w:r>
          </w:p>
        </w:tc>
        <w:tc>
          <w:tcPr>
            <w:tcW w:w="2678" w:type="pct"/>
            <w:vAlign w:val="center"/>
          </w:tcPr>
          <w:p w14:paraId="05863408" w14:textId="77777777" w:rsidR="002E474C" w:rsidRDefault="00000000">
            <w:pPr>
              <w:pStyle w:val="A-"/>
            </w:pPr>
            <w:r>
              <w:t>芳烃及其衍生物氯代反应过程中产生的废水处理污泥</w:t>
            </w:r>
          </w:p>
        </w:tc>
        <w:tc>
          <w:tcPr>
            <w:tcW w:w="395" w:type="pct"/>
            <w:vAlign w:val="center"/>
          </w:tcPr>
          <w:p w14:paraId="0886CE22" w14:textId="77777777" w:rsidR="002E474C" w:rsidRDefault="00000000">
            <w:pPr>
              <w:pStyle w:val="A-"/>
            </w:pPr>
            <w:r>
              <w:t>T</w:t>
            </w:r>
          </w:p>
        </w:tc>
      </w:tr>
      <w:tr w:rsidR="002E474C" w14:paraId="0F0B4CB1" w14:textId="77777777">
        <w:trPr>
          <w:trHeight w:val="240"/>
        </w:trPr>
        <w:tc>
          <w:tcPr>
            <w:tcW w:w="574" w:type="pct"/>
            <w:vMerge/>
            <w:vAlign w:val="center"/>
          </w:tcPr>
          <w:p w14:paraId="7DF27C59" w14:textId="77777777" w:rsidR="002E474C" w:rsidRDefault="002E474C">
            <w:pPr>
              <w:pStyle w:val="A-"/>
            </w:pPr>
          </w:p>
        </w:tc>
        <w:tc>
          <w:tcPr>
            <w:tcW w:w="524" w:type="pct"/>
            <w:vMerge/>
            <w:vAlign w:val="center"/>
          </w:tcPr>
          <w:p w14:paraId="5A9969A7" w14:textId="77777777" w:rsidR="002E474C" w:rsidRDefault="002E474C">
            <w:pPr>
              <w:pStyle w:val="A-"/>
            </w:pPr>
          </w:p>
        </w:tc>
        <w:tc>
          <w:tcPr>
            <w:tcW w:w="372" w:type="pct"/>
            <w:vMerge/>
            <w:vAlign w:val="center"/>
          </w:tcPr>
          <w:p w14:paraId="4A77074E" w14:textId="77777777" w:rsidR="002E474C" w:rsidRDefault="002E474C">
            <w:pPr>
              <w:pStyle w:val="A-"/>
            </w:pPr>
          </w:p>
        </w:tc>
        <w:tc>
          <w:tcPr>
            <w:tcW w:w="457" w:type="pct"/>
            <w:vAlign w:val="center"/>
          </w:tcPr>
          <w:p w14:paraId="53601ACB" w14:textId="77777777" w:rsidR="002E474C" w:rsidRDefault="00000000">
            <w:pPr>
              <w:pStyle w:val="A-"/>
            </w:pPr>
            <w:r>
              <w:t>261-082-45</w:t>
            </w:r>
          </w:p>
        </w:tc>
        <w:tc>
          <w:tcPr>
            <w:tcW w:w="2678" w:type="pct"/>
            <w:vAlign w:val="center"/>
          </w:tcPr>
          <w:p w14:paraId="28F0C752" w14:textId="77777777" w:rsidR="002E474C" w:rsidRDefault="00000000">
            <w:pPr>
              <w:pStyle w:val="A-"/>
            </w:pPr>
            <w:r>
              <w:t>氯乙烷生产过程中的塔底残余物</w:t>
            </w:r>
          </w:p>
        </w:tc>
        <w:tc>
          <w:tcPr>
            <w:tcW w:w="395" w:type="pct"/>
            <w:vAlign w:val="center"/>
          </w:tcPr>
          <w:p w14:paraId="381B6C02" w14:textId="77777777" w:rsidR="002E474C" w:rsidRDefault="00000000">
            <w:pPr>
              <w:pStyle w:val="A-"/>
            </w:pPr>
            <w:r>
              <w:t>T</w:t>
            </w:r>
          </w:p>
        </w:tc>
      </w:tr>
      <w:tr w:rsidR="002E474C" w14:paraId="7CE8C4C0" w14:textId="77777777">
        <w:trPr>
          <w:trHeight w:val="240"/>
        </w:trPr>
        <w:tc>
          <w:tcPr>
            <w:tcW w:w="574" w:type="pct"/>
            <w:vMerge/>
            <w:vAlign w:val="center"/>
          </w:tcPr>
          <w:p w14:paraId="3F89CC1C" w14:textId="77777777" w:rsidR="002E474C" w:rsidRDefault="002E474C">
            <w:pPr>
              <w:pStyle w:val="A-"/>
            </w:pPr>
          </w:p>
        </w:tc>
        <w:tc>
          <w:tcPr>
            <w:tcW w:w="524" w:type="pct"/>
            <w:vMerge/>
            <w:vAlign w:val="center"/>
          </w:tcPr>
          <w:p w14:paraId="246835A6" w14:textId="77777777" w:rsidR="002E474C" w:rsidRDefault="002E474C">
            <w:pPr>
              <w:pStyle w:val="A-"/>
            </w:pPr>
          </w:p>
        </w:tc>
        <w:tc>
          <w:tcPr>
            <w:tcW w:w="372" w:type="pct"/>
            <w:vMerge/>
            <w:vAlign w:val="center"/>
          </w:tcPr>
          <w:p w14:paraId="4CDEF539" w14:textId="77777777" w:rsidR="002E474C" w:rsidRDefault="002E474C">
            <w:pPr>
              <w:pStyle w:val="A-"/>
            </w:pPr>
          </w:p>
        </w:tc>
        <w:tc>
          <w:tcPr>
            <w:tcW w:w="457" w:type="pct"/>
            <w:vAlign w:val="center"/>
          </w:tcPr>
          <w:p w14:paraId="20727655" w14:textId="77777777" w:rsidR="002E474C" w:rsidRDefault="00000000">
            <w:pPr>
              <w:pStyle w:val="A-"/>
            </w:pPr>
            <w:r>
              <w:t>261-084-45</w:t>
            </w:r>
          </w:p>
        </w:tc>
        <w:tc>
          <w:tcPr>
            <w:tcW w:w="2678" w:type="pct"/>
            <w:vAlign w:val="center"/>
          </w:tcPr>
          <w:p w14:paraId="6232608F" w14:textId="77777777" w:rsidR="002E474C" w:rsidRDefault="00000000">
            <w:pPr>
              <w:pStyle w:val="A-"/>
            </w:pPr>
            <w:r>
              <w:t>其他有机卤化物的生产过程中产生的残液、废过滤吸附介质、反应残余物、废水处理污泥、废催化剂（不包括上述</w:t>
            </w:r>
            <w:r>
              <w:t>HW06</w:t>
            </w:r>
            <w:r>
              <w:t>、</w:t>
            </w:r>
            <w:r>
              <w:t>HW39</w:t>
            </w:r>
            <w:r>
              <w:t>类别的废物）</w:t>
            </w:r>
          </w:p>
        </w:tc>
        <w:tc>
          <w:tcPr>
            <w:tcW w:w="395" w:type="pct"/>
            <w:vAlign w:val="center"/>
          </w:tcPr>
          <w:p w14:paraId="41AF4B4E" w14:textId="77777777" w:rsidR="002E474C" w:rsidRDefault="00000000">
            <w:pPr>
              <w:pStyle w:val="A-"/>
            </w:pPr>
            <w:r>
              <w:t>T</w:t>
            </w:r>
          </w:p>
        </w:tc>
      </w:tr>
      <w:tr w:rsidR="002E474C" w14:paraId="3666F99E" w14:textId="77777777">
        <w:trPr>
          <w:trHeight w:val="240"/>
        </w:trPr>
        <w:tc>
          <w:tcPr>
            <w:tcW w:w="574" w:type="pct"/>
            <w:vMerge/>
            <w:vAlign w:val="center"/>
          </w:tcPr>
          <w:p w14:paraId="08D0FCA7" w14:textId="77777777" w:rsidR="002E474C" w:rsidRDefault="002E474C">
            <w:pPr>
              <w:pStyle w:val="A-"/>
            </w:pPr>
          </w:p>
        </w:tc>
        <w:tc>
          <w:tcPr>
            <w:tcW w:w="524" w:type="pct"/>
            <w:vMerge/>
            <w:vAlign w:val="center"/>
          </w:tcPr>
          <w:p w14:paraId="547952BB" w14:textId="77777777" w:rsidR="002E474C" w:rsidRDefault="002E474C">
            <w:pPr>
              <w:pStyle w:val="A-"/>
            </w:pPr>
          </w:p>
        </w:tc>
        <w:tc>
          <w:tcPr>
            <w:tcW w:w="372" w:type="pct"/>
            <w:vMerge/>
            <w:vAlign w:val="center"/>
          </w:tcPr>
          <w:p w14:paraId="4D67B563" w14:textId="77777777" w:rsidR="002E474C" w:rsidRDefault="002E474C">
            <w:pPr>
              <w:pStyle w:val="A-"/>
            </w:pPr>
          </w:p>
        </w:tc>
        <w:tc>
          <w:tcPr>
            <w:tcW w:w="457" w:type="pct"/>
            <w:vAlign w:val="center"/>
          </w:tcPr>
          <w:p w14:paraId="1EA66E8F" w14:textId="77777777" w:rsidR="002E474C" w:rsidRDefault="00000000">
            <w:pPr>
              <w:pStyle w:val="A-"/>
            </w:pPr>
            <w:r>
              <w:t>261-085-45</w:t>
            </w:r>
          </w:p>
        </w:tc>
        <w:tc>
          <w:tcPr>
            <w:tcW w:w="2678" w:type="pct"/>
            <w:vAlign w:val="center"/>
          </w:tcPr>
          <w:p w14:paraId="71EC2463" w14:textId="77777777" w:rsidR="002E474C" w:rsidRDefault="00000000">
            <w:pPr>
              <w:pStyle w:val="A-"/>
            </w:pPr>
            <w:r>
              <w:t>其他有机卤化物的生产过程中产生的不合格、淘汰、废弃的产品（不包括上述</w:t>
            </w:r>
            <w:r>
              <w:t>HW06</w:t>
            </w:r>
            <w:r>
              <w:t>、</w:t>
            </w:r>
            <w:r>
              <w:t>HW39</w:t>
            </w:r>
            <w:r>
              <w:t>类别的废物）</w:t>
            </w:r>
          </w:p>
        </w:tc>
        <w:tc>
          <w:tcPr>
            <w:tcW w:w="395" w:type="pct"/>
            <w:vAlign w:val="center"/>
          </w:tcPr>
          <w:p w14:paraId="0B3CCBE6" w14:textId="77777777" w:rsidR="002E474C" w:rsidRDefault="00000000">
            <w:pPr>
              <w:pStyle w:val="A-"/>
            </w:pPr>
            <w:r>
              <w:t>T</w:t>
            </w:r>
          </w:p>
        </w:tc>
      </w:tr>
      <w:tr w:rsidR="002E474C" w14:paraId="5B565811" w14:textId="77777777">
        <w:trPr>
          <w:trHeight w:val="240"/>
        </w:trPr>
        <w:tc>
          <w:tcPr>
            <w:tcW w:w="574" w:type="pct"/>
            <w:vMerge/>
            <w:vAlign w:val="center"/>
          </w:tcPr>
          <w:p w14:paraId="2782EBAE" w14:textId="77777777" w:rsidR="002E474C" w:rsidRDefault="002E474C">
            <w:pPr>
              <w:pStyle w:val="A-"/>
            </w:pPr>
          </w:p>
        </w:tc>
        <w:tc>
          <w:tcPr>
            <w:tcW w:w="524" w:type="pct"/>
            <w:vMerge/>
            <w:vAlign w:val="center"/>
          </w:tcPr>
          <w:p w14:paraId="64983E69" w14:textId="77777777" w:rsidR="002E474C" w:rsidRDefault="002E474C">
            <w:pPr>
              <w:pStyle w:val="A-"/>
            </w:pPr>
          </w:p>
        </w:tc>
        <w:tc>
          <w:tcPr>
            <w:tcW w:w="372" w:type="pct"/>
            <w:vMerge/>
            <w:vAlign w:val="center"/>
          </w:tcPr>
          <w:p w14:paraId="3F9F37EF" w14:textId="77777777" w:rsidR="002E474C" w:rsidRDefault="002E474C">
            <w:pPr>
              <w:pStyle w:val="A-"/>
            </w:pPr>
          </w:p>
        </w:tc>
        <w:tc>
          <w:tcPr>
            <w:tcW w:w="457" w:type="pct"/>
            <w:vAlign w:val="center"/>
          </w:tcPr>
          <w:p w14:paraId="5A3193FB" w14:textId="77777777" w:rsidR="002E474C" w:rsidRDefault="00000000">
            <w:pPr>
              <w:pStyle w:val="A-"/>
            </w:pPr>
            <w:r>
              <w:t>261-086-45</w:t>
            </w:r>
          </w:p>
        </w:tc>
        <w:tc>
          <w:tcPr>
            <w:tcW w:w="2678" w:type="pct"/>
            <w:vAlign w:val="center"/>
          </w:tcPr>
          <w:p w14:paraId="3B06DAF4" w14:textId="77777777" w:rsidR="002E474C" w:rsidRDefault="00000000">
            <w:pPr>
              <w:pStyle w:val="A-"/>
            </w:pPr>
            <w:r>
              <w:t>石墨作阳极隔膜法生产氯气和烧碱过程中产生的废水处理污泥</w:t>
            </w:r>
          </w:p>
        </w:tc>
        <w:tc>
          <w:tcPr>
            <w:tcW w:w="395" w:type="pct"/>
            <w:vAlign w:val="center"/>
          </w:tcPr>
          <w:p w14:paraId="110A8328" w14:textId="77777777" w:rsidR="002E474C" w:rsidRDefault="00000000">
            <w:pPr>
              <w:pStyle w:val="A-"/>
            </w:pPr>
            <w:r>
              <w:t>T</w:t>
            </w:r>
          </w:p>
        </w:tc>
      </w:tr>
      <w:tr w:rsidR="002E474C" w14:paraId="3ADD6DFC" w14:textId="77777777">
        <w:trPr>
          <w:trHeight w:val="90"/>
        </w:trPr>
        <w:tc>
          <w:tcPr>
            <w:tcW w:w="574" w:type="pct"/>
            <w:vMerge/>
            <w:vAlign w:val="center"/>
          </w:tcPr>
          <w:p w14:paraId="1A7D6968" w14:textId="77777777" w:rsidR="002E474C" w:rsidRDefault="002E474C">
            <w:pPr>
              <w:pStyle w:val="A-"/>
            </w:pPr>
          </w:p>
        </w:tc>
        <w:tc>
          <w:tcPr>
            <w:tcW w:w="524" w:type="pct"/>
            <w:vAlign w:val="center"/>
          </w:tcPr>
          <w:p w14:paraId="58417D77" w14:textId="77777777" w:rsidR="002E474C" w:rsidRDefault="00000000">
            <w:pPr>
              <w:pStyle w:val="A-"/>
            </w:pPr>
            <w:r>
              <w:t>非特定行业</w:t>
            </w:r>
          </w:p>
        </w:tc>
        <w:tc>
          <w:tcPr>
            <w:tcW w:w="372" w:type="pct"/>
            <w:vAlign w:val="center"/>
          </w:tcPr>
          <w:p w14:paraId="63773165" w14:textId="77777777" w:rsidR="002E474C" w:rsidRDefault="00000000">
            <w:pPr>
              <w:pStyle w:val="A-"/>
            </w:pPr>
            <w:r>
              <w:t>半固态、液态</w:t>
            </w:r>
          </w:p>
        </w:tc>
        <w:tc>
          <w:tcPr>
            <w:tcW w:w="457" w:type="pct"/>
            <w:vAlign w:val="center"/>
          </w:tcPr>
          <w:p w14:paraId="6EAED07F" w14:textId="77777777" w:rsidR="002E474C" w:rsidRDefault="00000000">
            <w:pPr>
              <w:pStyle w:val="A-"/>
            </w:pPr>
            <w:r>
              <w:t>900-036-45</w:t>
            </w:r>
          </w:p>
        </w:tc>
        <w:tc>
          <w:tcPr>
            <w:tcW w:w="2678" w:type="pct"/>
            <w:vAlign w:val="center"/>
          </w:tcPr>
          <w:p w14:paraId="43818C0D" w14:textId="77777777" w:rsidR="002E474C" w:rsidRDefault="00000000">
            <w:pPr>
              <w:pStyle w:val="A-"/>
            </w:pPr>
            <w:r>
              <w:t>其他生产、销售及使用过程中产生的含有机卤化物废物（不包括</w:t>
            </w:r>
            <w:r>
              <w:t>HW06</w:t>
            </w:r>
            <w:r>
              <w:t>类）</w:t>
            </w:r>
          </w:p>
        </w:tc>
        <w:tc>
          <w:tcPr>
            <w:tcW w:w="395" w:type="pct"/>
            <w:vAlign w:val="center"/>
          </w:tcPr>
          <w:p w14:paraId="5BE6A88F" w14:textId="77777777" w:rsidR="002E474C" w:rsidRDefault="00000000">
            <w:pPr>
              <w:pStyle w:val="A-"/>
            </w:pPr>
            <w:r>
              <w:t>T</w:t>
            </w:r>
          </w:p>
        </w:tc>
      </w:tr>
      <w:tr w:rsidR="002E474C" w14:paraId="2A4A8CE1" w14:textId="77777777">
        <w:trPr>
          <w:trHeight w:val="240"/>
        </w:trPr>
        <w:tc>
          <w:tcPr>
            <w:tcW w:w="574" w:type="pct"/>
            <w:vMerge w:val="restart"/>
            <w:vAlign w:val="center"/>
          </w:tcPr>
          <w:p w14:paraId="5BD135EF" w14:textId="77777777" w:rsidR="002E474C" w:rsidRDefault="00000000">
            <w:pPr>
              <w:pStyle w:val="A-"/>
            </w:pPr>
            <w:r>
              <w:lastRenderedPageBreak/>
              <w:t>HW46</w:t>
            </w:r>
          </w:p>
          <w:p w14:paraId="040F066B" w14:textId="77777777" w:rsidR="002E474C" w:rsidRDefault="00000000">
            <w:pPr>
              <w:pStyle w:val="A-"/>
            </w:pPr>
            <w:r>
              <w:t>含镍废物</w:t>
            </w:r>
          </w:p>
        </w:tc>
        <w:tc>
          <w:tcPr>
            <w:tcW w:w="524" w:type="pct"/>
            <w:vAlign w:val="center"/>
          </w:tcPr>
          <w:p w14:paraId="4F75DC42" w14:textId="77777777" w:rsidR="002E474C" w:rsidRDefault="00000000">
            <w:pPr>
              <w:pStyle w:val="A-"/>
            </w:pPr>
            <w:r>
              <w:t>基础化学原料制造</w:t>
            </w:r>
          </w:p>
        </w:tc>
        <w:tc>
          <w:tcPr>
            <w:tcW w:w="372" w:type="pct"/>
            <w:vAlign w:val="center"/>
          </w:tcPr>
          <w:p w14:paraId="778FC250" w14:textId="77777777" w:rsidR="002E474C" w:rsidRDefault="00000000">
            <w:pPr>
              <w:pStyle w:val="A-"/>
            </w:pPr>
            <w:r>
              <w:t>固态</w:t>
            </w:r>
          </w:p>
        </w:tc>
        <w:tc>
          <w:tcPr>
            <w:tcW w:w="457" w:type="pct"/>
            <w:vAlign w:val="center"/>
          </w:tcPr>
          <w:p w14:paraId="611E7E4E" w14:textId="77777777" w:rsidR="002E474C" w:rsidRDefault="00000000">
            <w:pPr>
              <w:pStyle w:val="A-"/>
            </w:pPr>
            <w:r>
              <w:t>261-087-46</w:t>
            </w:r>
          </w:p>
        </w:tc>
        <w:tc>
          <w:tcPr>
            <w:tcW w:w="2678" w:type="pct"/>
            <w:vAlign w:val="center"/>
          </w:tcPr>
          <w:p w14:paraId="69E0714B" w14:textId="77777777" w:rsidR="002E474C" w:rsidRDefault="00000000">
            <w:pPr>
              <w:pStyle w:val="A-"/>
            </w:pPr>
            <w:r>
              <w:t>镍化合物生产过程中产生的反应残余物及不合格、淘汰、废弃的产品</w:t>
            </w:r>
          </w:p>
        </w:tc>
        <w:tc>
          <w:tcPr>
            <w:tcW w:w="395" w:type="pct"/>
            <w:vAlign w:val="center"/>
          </w:tcPr>
          <w:p w14:paraId="626726DB" w14:textId="77777777" w:rsidR="002E474C" w:rsidRDefault="00000000">
            <w:pPr>
              <w:pStyle w:val="A-"/>
            </w:pPr>
            <w:r>
              <w:t>T</w:t>
            </w:r>
          </w:p>
        </w:tc>
      </w:tr>
      <w:tr w:rsidR="002E474C" w14:paraId="126E3CC8" w14:textId="77777777">
        <w:trPr>
          <w:trHeight w:val="244"/>
        </w:trPr>
        <w:tc>
          <w:tcPr>
            <w:tcW w:w="574" w:type="pct"/>
            <w:vMerge/>
            <w:vAlign w:val="center"/>
          </w:tcPr>
          <w:p w14:paraId="090B6E1B" w14:textId="77777777" w:rsidR="002E474C" w:rsidRDefault="002E474C">
            <w:pPr>
              <w:pStyle w:val="A-"/>
            </w:pPr>
          </w:p>
        </w:tc>
        <w:tc>
          <w:tcPr>
            <w:tcW w:w="524" w:type="pct"/>
            <w:vAlign w:val="center"/>
          </w:tcPr>
          <w:p w14:paraId="168BB789" w14:textId="77777777" w:rsidR="002E474C" w:rsidRDefault="00000000">
            <w:pPr>
              <w:pStyle w:val="A-"/>
            </w:pPr>
            <w:r>
              <w:t>电池制造</w:t>
            </w:r>
          </w:p>
        </w:tc>
        <w:tc>
          <w:tcPr>
            <w:tcW w:w="372" w:type="pct"/>
            <w:vAlign w:val="center"/>
          </w:tcPr>
          <w:p w14:paraId="090CBF51" w14:textId="77777777" w:rsidR="002E474C" w:rsidRDefault="00000000">
            <w:pPr>
              <w:pStyle w:val="A-"/>
            </w:pPr>
            <w:r>
              <w:t>半固态、液态</w:t>
            </w:r>
          </w:p>
        </w:tc>
        <w:tc>
          <w:tcPr>
            <w:tcW w:w="457" w:type="pct"/>
            <w:vAlign w:val="center"/>
          </w:tcPr>
          <w:p w14:paraId="491430E9" w14:textId="77777777" w:rsidR="002E474C" w:rsidRDefault="00000000">
            <w:pPr>
              <w:pStyle w:val="A-"/>
            </w:pPr>
            <w:r>
              <w:t>394-005-46</w:t>
            </w:r>
          </w:p>
        </w:tc>
        <w:tc>
          <w:tcPr>
            <w:tcW w:w="2678" w:type="pct"/>
            <w:vAlign w:val="center"/>
          </w:tcPr>
          <w:p w14:paraId="26A5341C" w14:textId="77777777" w:rsidR="002E474C" w:rsidRDefault="00000000">
            <w:pPr>
              <w:pStyle w:val="A-"/>
            </w:pPr>
            <w:r>
              <w:t>镍氢电池生产过程中产生的废渣和废水处理污泥</w:t>
            </w:r>
          </w:p>
        </w:tc>
        <w:tc>
          <w:tcPr>
            <w:tcW w:w="395" w:type="pct"/>
            <w:vAlign w:val="center"/>
          </w:tcPr>
          <w:p w14:paraId="2ACCEB5E" w14:textId="77777777" w:rsidR="002E474C" w:rsidRDefault="00000000">
            <w:pPr>
              <w:pStyle w:val="A-"/>
            </w:pPr>
            <w:r>
              <w:t>T</w:t>
            </w:r>
          </w:p>
        </w:tc>
      </w:tr>
      <w:tr w:rsidR="002E474C" w14:paraId="2E47E70D" w14:textId="77777777">
        <w:trPr>
          <w:trHeight w:val="240"/>
        </w:trPr>
        <w:tc>
          <w:tcPr>
            <w:tcW w:w="574" w:type="pct"/>
            <w:vMerge/>
            <w:vAlign w:val="center"/>
          </w:tcPr>
          <w:p w14:paraId="2A1E9103" w14:textId="77777777" w:rsidR="002E474C" w:rsidRDefault="002E474C">
            <w:pPr>
              <w:pStyle w:val="A-"/>
            </w:pPr>
          </w:p>
        </w:tc>
        <w:tc>
          <w:tcPr>
            <w:tcW w:w="524" w:type="pct"/>
            <w:vAlign w:val="center"/>
          </w:tcPr>
          <w:p w14:paraId="71ADD716" w14:textId="77777777" w:rsidR="002E474C" w:rsidRDefault="00000000">
            <w:pPr>
              <w:pStyle w:val="A-"/>
            </w:pPr>
            <w:r>
              <w:t>非特定行业</w:t>
            </w:r>
          </w:p>
        </w:tc>
        <w:tc>
          <w:tcPr>
            <w:tcW w:w="372" w:type="pct"/>
            <w:vAlign w:val="center"/>
          </w:tcPr>
          <w:p w14:paraId="35214D45" w14:textId="77777777" w:rsidR="002E474C" w:rsidRDefault="00000000">
            <w:pPr>
              <w:pStyle w:val="A-"/>
            </w:pPr>
            <w:r>
              <w:t>固态</w:t>
            </w:r>
          </w:p>
        </w:tc>
        <w:tc>
          <w:tcPr>
            <w:tcW w:w="457" w:type="pct"/>
            <w:vAlign w:val="center"/>
          </w:tcPr>
          <w:p w14:paraId="599E27A8" w14:textId="77777777" w:rsidR="002E474C" w:rsidRDefault="00000000">
            <w:pPr>
              <w:pStyle w:val="A-"/>
            </w:pPr>
            <w:r>
              <w:t>900-037-46</w:t>
            </w:r>
          </w:p>
        </w:tc>
        <w:tc>
          <w:tcPr>
            <w:tcW w:w="2678" w:type="pct"/>
            <w:vAlign w:val="center"/>
          </w:tcPr>
          <w:p w14:paraId="23643ED6" w14:textId="77777777" w:rsidR="002E474C" w:rsidRDefault="00000000">
            <w:pPr>
              <w:pStyle w:val="A-"/>
            </w:pPr>
            <w:r>
              <w:t>废弃的镍催化剂</w:t>
            </w:r>
          </w:p>
        </w:tc>
        <w:tc>
          <w:tcPr>
            <w:tcW w:w="395" w:type="pct"/>
            <w:vAlign w:val="center"/>
          </w:tcPr>
          <w:p w14:paraId="57CB534F" w14:textId="77777777" w:rsidR="002E474C" w:rsidRDefault="00000000">
            <w:pPr>
              <w:pStyle w:val="A-"/>
            </w:pPr>
            <w:r>
              <w:t>T</w:t>
            </w:r>
          </w:p>
        </w:tc>
      </w:tr>
      <w:tr w:rsidR="002E474C" w14:paraId="7F2D925C" w14:textId="77777777">
        <w:trPr>
          <w:trHeight w:val="240"/>
        </w:trPr>
        <w:tc>
          <w:tcPr>
            <w:tcW w:w="574" w:type="pct"/>
            <w:vMerge w:val="restart"/>
            <w:vAlign w:val="center"/>
          </w:tcPr>
          <w:p w14:paraId="1777A009" w14:textId="77777777" w:rsidR="002E474C" w:rsidRDefault="00000000">
            <w:pPr>
              <w:pStyle w:val="A-"/>
            </w:pPr>
            <w:r>
              <w:t>HW47</w:t>
            </w:r>
          </w:p>
          <w:p w14:paraId="63434997" w14:textId="77777777" w:rsidR="002E474C" w:rsidRDefault="00000000">
            <w:pPr>
              <w:pStyle w:val="A-"/>
            </w:pPr>
            <w:r>
              <w:t>含钡废物</w:t>
            </w:r>
          </w:p>
        </w:tc>
        <w:tc>
          <w:tcPr>
            <w:tcW w:w="524" w:type="pct"/>
            <w:vAlign w:val="center"/>
          </w:tcPr>
          <w:p w14:paraId="276B1B45" w14:textId="77777777" w:rsidR="002E474C" w:rsidRDefault="00000000">
            <w:pPr>
              <w:pStyle w:val="A-"/>
            </w:pPr>
            <w:r>
              <w:t>基础化学原料制造</w:t>
            </w:r>
          </w:p>
        </w:tc>
        <w:tc>
          <w:tcPr>
            <w:tcW w:w="372" w:type="pct"/>
            <w:vAlign w:val="center"/>
          </w:tcPr>
          <w:p w14:paraId="5301F1BE" w14:textId="77777777" w:rsidR="002E474C" w:rsidRDefault="00000000">
            <w:pPr>
              <w:pStyle w:val="A-"/>
            </w:pPr>
            <w:r>
              <w:t>固态、半固态</w:t>
            </w:r>
          </w:p>
        </w:tc>
        <w:tc>
          <w:tcPr>
            <w:tcW w:w="457" w:type="pct"/>
            <w:vAlign w:val="center"/>
          </w:tcPr>
          <w:p w14:paraId="0CA3F166" w14:textId="77777777" w:rsidR="002E474C" w:rsidRDefault="00000000">
            <w:pPr>
              <w:pStyle w:val="A-"/>
            </w:pPr>
            <w:r>
              <w:t>261-088-47</w:t>
            </w:r>
          </w:p>
        </w:tc>
        <w:tc>
          <w:tcPr>
            <w:tcW w:w="2678" w:type="pct"/>
            <w:vAlign w:val="center"/>
          </w:tcPr>
          <w:p w14:paraId="087094B3" w14:textId="77777777" w:rsidR="002E474C" w:rsidRDefault="00000000">
            <w:pPr>
              <w:pStyle w:val="A-"/>
            </w:pPr>
            <w:r>
              <w:t>钡化合物（不包括硫酸钡）生产过程中产生的熔渣、集（除）尘装置收集的粉尘、反应残余物、废水处理污泥</w:t>
            </w:r>
          </w:p>
        </w:tc>
        <w:tc>
          <w:tcPr>
            <w:tcW w:w="395" w:type="pct"/>
            <w:vAlign w:val="center"/>
          </w:tcPr>
          <w:p w14:paraId="620544CF" w14:textId="77777777" w:rsidR="002E474C" w:rsidRDefault="00000000">
            <w:pPr>
              <w:pStyle w:val="A-"/>
            </w:pPr>
            <w:r>
              <w:t>T</w:t>
            </w:r>
          </w:p>
        </w:tc>
      </w:tr>
      <w:tr w:rsidR="002E474C" w14:paraId="0B2CEBB8" w14:textId="77777777">
        <w:trPr>
          <w:trHeight w:val="240"/>
        </w:trPr>
        <w:tc>
          <w:tcPr>
            <w:tcW w:w="574" w:type="pct"/>
            <w:vMerge/>
            <w:vAlign w:val="center"/>
          </w:tcPr>
          <w:p w14:paraId="1254D979" w14:textId="77777777" w:rsidR="002E474C" w:rsidRDefault="002E474C">
            <w:pPr>
              <w:pStyle w:val="A-"/>
            </w:pPr>
          </w:p>
        </w:tc>
        <w:tc>
          <w:tcPr>
            <w:tcW w:w="524" w:type="pct"/>
            <w:vAlign w:val="center"/>
          </w:tcPr>
          <w:p w14:paraId="5C27A8C8" w14:textId="77777777" w:rsidR="002E474C" w:rsidRDefault="00000000">
            <w:pPr>
              <w:pStyle w:val="A-"/>
            </w:pPr>
            <w:r>
              <w:t>金属表面处理及热处理加工</w:t>
            </w:r>
          </w:p>
        </w:tc>
        <w:tc>
          <w:tcPr>
            <w:tcW w:w="372" w:type="pct"/>
            <w:vAlign w:val="center"/>
          </w:tcPr>
          <w:p w14:paraId="7882F8D7" w14:textId="77777777" w:rsidR="002E474C" w:rsidRDefault="00000000">
            <w:pPr>
              <w:pStyle w:val="A-"/>
            </w:pPr>
            <w:r>
              <w:t>固态</w:t>
            </w:r>
          </w:p>
        </w:tc>
        <w:tc>
          <w:tcPr>
            <w:tcW w:w="457" w:type="pct"/>
            <w:vAlign w:val="center"/>
          </w:tcPr>
          <w:p w14:paraId="5391376E" w14:textId="77777777" w:rsidR="002E474C" w:rsidRDefault="00000000">
            <w:pPr>
              <w:pStyle w:val="A-"/>
            </w:pPr>
            <w:r>
              <w:t>336-106-47</w:t>
            </w:r>
          </w:p>
        </w:tc>
        <w:tc>
          <w:tcPr>
            <w:tcW w:w="2678" w:type="pct"/>
            <w:vAlign w:val="center"/>
          </w:tcPr>
          <w:p w14:paraId="05086363" w14:textId="77777777" w:rsidR="002E474C" w:rsidRDefault="00000000">
            <w:pPr>
              <w:pStyle w:val="A-"/>
            </w:pPr>
            <w:r>
              <w:t>热处理工艺中产生的含钡盐浴渣</w:t>
            </w:r>
          </w:p>
        </w:tc>
        <w:tc>
          <w:tcPr>
            <w:tcW w:w="395" w:type="pct"/>
            <w:vAlign w:val="center"/>
          </w:tcPr>
          <w:p w14:paraId="2DD97A13" w14:textId="77777777" w:rsidR="002E474C" w:rsidRDefault="00000000">
            <w:pPr>
              <w:pStyle w:val="A-"/>
            </w:pPr>
            <w:r>
              <w:t>T</w:t>
            </w:r>
          </w:p>
        </w:tc>
      </w:tr>
      <w:tr w:rsidR="002E474C" w14:paraId="50353F71" w14:textId="77777777">
        <w:trPr>
          <w:trHeight w:val="240"/>
        </w:trPr>
        <w:tc>
          <w:tcPr>
            <w:tcW w:w="574" w:type="pct"/>
            <w:vMerge w:val="restart"/>
            <w:vAlign w:val="center"/>
          </w:tcPr>
          <w:p w14:paraId="555BA9E4" w14:textId="77777777" w:rsidR="002E474C" w:rsidRDefault="00000000">
            <w:pPr>
              <w:pStyle w:val="A-"/>
            </w:pPr>
            <w:r>
              <w:t>HW48</w:t>
            </w:r>
          </w:p>
          <w:p w14:paraId="38916493" w14:textId="77777777" w:rsidR="002E474C" w:rsidRDefault="00000000">
            <w:pPr>
              <w:pStyle w:val="A-"/>
            </w:pPr>
            <w:r>
              <w:t>有色金属冶炼废物</w:t>
            </w:r>
          </w:p>
        </w:tc>
        <w:tc>
          <w:tcPr>
            <w:tcW w:w="524" w:type="pct"/>
            <w:vMerge w:val="restart"/>
            <w:vAlign w:val="center"/>
          </w:tcPr>
          <w:p w14:paraId="3CCC1F96" w14:textId="77777777" w:rsidR="002E474C" w:rsidRDefault="00000000">
            <w:pPr>
              <w:pStyle w:val="A-"/>
            </w:pPr>
            <w:r>
              <w:t>常用有色金属矿采选</w:t>
            </w:r>
          </w:p>
        </w:tc>
        <w:tc>
          <w:tcPr>
            <w:tcW w:w="372" w:type="pct"/>
            <w:vMerge w:val="restart"/>
            <w:vAlign w:val="center"/>
          </w:tcPr>
          <w:p w14:paraId="7DE4A291" w14:textId="77777777" w:rsidR="002E474C" w:rsidRDefault="00000000">
            <w:pPr>
              <w:pStyle w:val="A-"/>
            </w:pPr>
            <w:r>
              <w:t>固态、半固态</w:t>
            </w:r>
          </w:p>
        </w:tc>
        <w:tc>
          <w:tcPr>
            <w:tcW w:w="457" w:type="pct"/>
            <w:vAlign w:val="center"/>
          </w:tcPr>
          <w:p w14:paraId="473D9627" w14:textId="77777777" w:rsidR="002E474C" w:rsidRDefault="00000000">
            <w:pPr>
              <w:pStyle w:val="A-"/>
            </w:pPr>
            <w:r>
              <w:t>091-001-48</w:t>
            </w:r>
          </w:p>
        </w:tc>
        <w:tc>
          <w:tcPr>
            <w:tcW w:w="2678" w:type="pct"/>
            <w:vAlign w:val="center"/>
          </w:tcPr>
          <w:p w14:paraId="20B62B37" w14:textId="77777777" w:rsidR="002E474C" w:rsidRDefault="00000000">
            <w:pPr>
              <w:pStyle w:val="A-"/>
            </w:pPr>
            <w:r>
              <w:t>硫化铜矿、氧化铜矿等铜矿物采选过程中集（除）尘装置收集的粉尘</w:t>
            </w:r>
          </w:p>
        </w:tc>
        <w:tc>
          <w:tcPr>
            <w:tcW w:w="395" w:type="pct"/>
            <w:vAlign w:val="center"/>
          </w:tcPr>
          <w:p w14:paraId="07A496AE" w14:textId="77777777" w:rsidR="002E474C" w:rsidRDefault="00000000">
            <w:pPr>
              <w:pStyle w:val="A-"/>
            </w:pPr>
            <w:r>
              <w:t>T</w:t>
            </w:r>
          </w:p>
        </w:tc>
      </w:tr>
      <w:tr w:rsidR="002E474C" w14:paraId="4E7E411E" w14:textId="77777777">
        <w:trPr>
          <w:trHeight w:val="240"/>
        </w:trPr>
        <w:tc>
          <w:tcPr>
            <w:tcW w:w="574" w:type="pct"/>
            <w:vMerge/>
            <w:vAlign w:val="center"/>
          </w:tcPr>
          <w:p w14:paraId="25CFAEAA" w14:textId="77777777" w:rsidR="002E474C" w:rsidRDefault="002E474C">
            <w:pPr>
              <w:pStyle w:val="A-"/>
            </w:pPr>
          </w:p>
        </w:tc>
        <w:tc>
          <w:tcPr>
            <w:tcW w:w="524" w:type="pct"/>
            <w:vMerge/>
            <w:vAlign w:val="center"/>
          </w:tcPr>
          <w:p w14:paraId="2B6C76B7" w14:textId="77777777" w:rsidR="002E474C" w:rsidRDefault="002E474C">
            <w:pPr>
              <w:pStyle w:val="A-"/>
            </w:pPr>
          </w:p>
        </w:tc>
        <w:tc>
          <w:tcPr>
            <w:tcW w:w="372" w:type="pct"/>
            <w:vMerge/>
            <w:vAlign w:val="center"/>
          </w:tcPr>
          <w:p w14:paraId="7B1324D7" w14:textId="77777777" w:rsidR="002E474C" w:rsidRDefault="002E474C">
            <w:pPr>
              <w:pStyle w:val="A-"/>
            </w:pPr>
          </w:p>
        </w:tc>
        <w:tc>
          <w:tcPr>
            <w:tcW w:w="457" w:type="pct"/>
            <w:vAlign w:val="center"/>
          </w:tcPr>
          <w:p w14:paraId="28794E8F" w14:textId="77777777" w:rsidR="002E474C" w:rsidRDefault="00000000">
            <w:pPr>
              <w:pStyle w:val="A-"/>
            </w:pPr>
            <w:r>
              <w:t>091-002-48</w:t>
            </w:r>
          </w:p>
        </w:tc>
        <w:tc>
          <w:tcPr>
            <w:tcW w:w="2678" w:type="pct"/>
            <w:vAlign w:val="center"/>
          </w:tcPr>
          <w:p w14:paraId="50C78091" w14:textId="77777777" w:rsidR="002E474C" w:rsidRDefault="00000000">
            <w:pPr>
              <w:pStyle w:val="A-"/>
            </w:pPr>
            <w:r>
              <w:t>硫砷化合物（雌黄、雄黄及硫砷铁矿）或其他含砷化合物的金属矿石采选过程中集（除）尘装置收集的粉尘</w:t>
            </w:r>
          </w:p>
        </w:tc>
        <w:tc>
          <w:tcPr>
            <w:tcW w:w="395" w:type="pct"/>
            <w:vAlign w:val="center"/>
          </w:tcPr>
          <w:p w14:paraId="109C127F" w14:textId="77777777" w:rsidR="002E474C" w:rsidRDefault="00000000">
            <w:pPr>
              <w:pStyle w:val="A-"/>
            </w:pPr>
            <w:r>
              <w:t>T</w:t>
            </w:r>
          </w:p>
        </w:tc>
      </w:tr>
      <w:tr w:rsidR="002E474C" w14:paraId="0BE138F1" w14:textId="77777777">
        <w:trPr>
          <w:trHeight w:val="240"/>
        </w:trPr>
        <w:tc>
          <w:tcPr>
            <w:tcW w:w="574" w:type="pct"/>
            <w:vMerge/>
            <w:vAlign w:val="center"/>
          </w:tcPr>
          <w:p w14:paraId="5C94F177" w14:textId="77777777" w:rsidR="002E474C" w:rsidRDefault="002E474C">
            <w:pPr>
              <w:pStyle w:val="A-"/>
            </w:pPr>
          </w:p>
        </w:tc>
        <w:tc>
          <w:tcPr>
            <w:tcW w:w="524" w:type="pct"/>
            <w:vMerge/>
            <w:vAlign w:val="center"/>
          </w:tcPr>
          <w:p w14:paraId="59004CB4" w14:textId="77777777" w:rsidR="002E474C" w:rsidRDefault="002E474C">
            <w:pPr>
              <w:pStyle w:val="A-"/>
            </w:pPr>
          </w:p>
        </w:tc>
        <w:tc>
          <w:tcPr>
            <w:tcW w:w="372" w:type="pct"/>
            <w:vMerge/>
            <w:vAlign w:val="center"/>
          </w:tcPr>
          <w:p w14:paraId="7B8B737F" w14:textId="77777777" w:rsidR="002E474C" w:rsidRDefault="002E474C">
            <w:pPr>
              <w:pStyle w:val="A-"/>
            </w:pPr>
          </w:p>
        </w:tc>
        <w:tc>
          <w:tcPr>
            <w:tcW w:w="457" w:type="pct"/>
            <w:vAlign w:val="center"/>
          </w:tcPr>
          <w:p w14:paraId="2FDAD4BC" w14:textId="77777777" w:rsidR="002E474C" w:rsidRDefault="00000000">
            <w:pPr>
              <w:pStyle w:val="A-"/>
            </w:pPr>
            <w:r>
              <w:t>321-002-48</w:t>
            </w:r>
          </w:p>
        </w:tc>
        <w:tc>
          <w:tcPr>
            <w:tcW w:w="2678" w:type="pct"/>
            <w:vAlign w:val="center"/>
          </w:tcPr>
          <w:p w14:paraId="7920050A" w14:textId="77777777" w:rsidR="002E474C" w:rsidRDefault="00000000">
            <w:pPr>
              <w:pStyle w:val="A-"/>
            </w:pPr>
            <w:r>
              <w:t>铜火法冶炼过程中集（除）尘装置收集的粉尘和废水处理污泥</w:t>
            </w:r>
          </w:p>
        </w:tc>
        <w:tc>
          <w:tcPr>
            <w:tcW w:w="395" w:type="pct"/>
            <w:vAlign w:val="center"/>
          </w:tcPr>
          <w:p w14:paraId="5C6E3B2E" w14:textId="77777777" w:rsidR="002E474C" w:rsidRDefault="00000000">
            <w:pPr>
              <w:pStyle w:val="A-"/>
            </w:pPr>
            <w:r>
              <w:t>T</w:t>
            </w:r>
          </w:p>
        </w:tc>
      </w:tr>
      <w:tr w:rsidR="002E474C" w14:paraId="3D46195C" w14:textId="77777777">
        <w:trPr>
          <w:trHeight w:val="240"/>
        </w:trPr>
        <w:tc>
          <w:tcPr>
            <w:tcW w:w="574" w:type="pct"/>
            <w:vMerge/>
            <w:vAlign w:val="center"/>
          </w:tcPr>
          <w:p w14:paraId="5A52383C" w14:textId="77777777" w:rsidR="002E474C" w:rsidRDefault="002E474C">
            <w:pPr>
              <w:pStyle w:val="A-"/>
            </w:pPr>
          </w:p>
        </w:tc>
        <w:tc>
          <w:tcPr>
            <w:tcW w:w="524" w:type="pct"/>
            <w:vMerge/>
            <w:vAlign w:val="center"/>
          </w:tcPr>
          <w:p w14:paraId="1F4448F7" w14:textId="77777777" w:rsidR="002E474C" w:rsidRDefault="002E474C">
            <w:pPr>
              <w:pStyle w:val="A-"/>
            </w:pPr>
          </w:p>
        </w:tc>
        <w:tc>
          <w:tcPr>
            <w:tcW w:w="372" w:type="pct"/>
            <w:vMerge/>
            <w:vAlign w:val="center"/>
          </w:tcPr>
          <w:p w14:paraId="19AFE62D" w14:textId="77777777" w:rsidR="002E474C" w:rsidRDefault="002E474C">
            <w:pPr>
              <w:pStyle w:val="A-"/>
            </w:pPr>
          </w:p>
        </w:tc>
        <w:tc>
          <w:tcPr>
            <w:tcW w:w="457" w:type="pct"/>
            <w:vAlign w:val="center"/>
          </w:tcPr>
          <w:p w14:paraId="0C1E19E7" w14:textId="77777777" w:rsidR="002E474C" w:rsidRDefault="00000000">
            <w:pPr>
              <w:pStyle w:val="A-"/>
            </w:pPr>
            <w:r>
              <w:t>321-003-48</w:t>
            </w:r>
          </w:p>
        </w:tc>
        <w:tc>
          <w:tcPr>
            <w:tcW w:w="2678" w:type="pct"/>
            <w:vAlign w:val="center"/>
          </w:tcPr>
          <w:p w14:paraId="79D46651" w14:textId="77777777" w:rsidR="002E474C" w:rsidRDefault="00000000">
            <w:pPr>
              <w:pStyle w:val="A-"/>
            </w:pPr>
            <w:r>
              <w:t>粗锌精炼加工过程中产生的废水处理污泥</w:t>
            </w:r>
          </w:p>
        </w:tc>
        <w:tc>
          <w:tcPr>
            <w:tcW w:w="395" w:type="pct"/>
            <w:vAlign w:val="center"/>
          </w:tcPr>
          <w:p w14:paraId="6466227E" w14:textId="77777777" w:rsidR="002E474C" w:rsidRDefault="00000000">
            <w:pPr>
              <w:pStyle w:val="A-"/>
            </w:pPr>
            <w:r>
              <w:t>T</w:t>
            </w:r>
          </w:p>
        </w:tc>
      </w:tr>
      <w:tr w:rsidR="002E474C" w14:paraId="1DEB2C71" w14:textId="77777777">
        <w:trPr>
          <w:trHeight w:val="240"/>
        </w:trPr>
        <w:tc>
          <w:tcPr>
            <w:tcW w:w="574" w:type="pct"/>
            <w:vMerge/>
            <w:vAlign w:val="center"/>
          </w:tcPr>
          <w:p w14:paraId="4547B33E" w14:textId="77777777" w:rsidR="002E474C" w:rsidRDefault="002E474C">
            <w:pPr>
              <w:pStyle w:val="A-"/>
            </w:pPr>
          </w:p>
        </w:tc>
        <w:tc>
          <w:tcPr>
            <w:tcW w:w="524" w:type="pct"/>
            <w:vMerge/>
            <w:vAlign w:val="center"/>
          </w:tcPr>
          <w:p w14:paraId="6AB41CAD" w14:textId="77777777" w:rsidR="002E474C" w:rsidRDefault="002E474C">
            <w:pPr>
              <w:pStyle w:val="A-"/>
            </w:pPr>
          </w:p>
        </w:tc>
        <w:tc>
          <w:tcPr>
            <w:tcW w:w="372" w:type="pct"/>
            <w:vMerge/>
            <w:vAlign w:val="center"/>
          </w:tcPr>
          <w:p w14:paraId="1ABCF9CF" w14:textId="77777777" w:rsidR="002E474C" w:rsidRDefault="002E474C">
            <w:pPr>
              <w:pStyle w:val="A-"/>
            </w:pPr>
          </w:p>
        </w:tc>
        <w:tc>
          <w:tcPr>
            <w:tcW w:w="457" w:type="pct"/>
            <w:vAlign w:val="center"/>
          </w:tcPr>
          <w:p w14:paraId="5EC82F52" w14:textId="77777777" w:rsidR="002E474C" w:rsidRDefault="00000000">
            <w:pPr>
              <w:pStyle w:val="A-"/>
            </w:pPr>
            <w:r>
              <w:t>321-004-48</w:t>
            </w:r>
          </w:p>
        </w:tc>
        <w:tc>
          <w:tcPr>
            <w:tcW w:w="2678" w:type="pct"/>
            <w:vAlign w:val="center"/>
          </w:tcPr>
          <w:p w14:paraId="40CC54AD" w14:textId="77777777" w:rsidR="002E474C" w:rsidRDefault="00000000">
            <w:pPr>
              <w:pStyle w:val="A-"/>
            </w:pPr>
            <w:r>
              <w:t>铅锌冶炼过程中，锌焙烧矿常规浸出法产生的浸出渣</w:t>
            </w:r>
          </w:p>
        </w:tc>
        <w:tc>
          <w:tcPr>
            <w:tcW w:w="395" w:type="pct"/>
            <w:vAlign w:val="center"/>
          </w:tcPr>
          <w:p w14:paraId="79D93C4C" w14:textId="77777777" w:rsidR="002E474C" w:rsidRDefault="00000000">
            <w:pPr>
              <w:pStyle w:val="A-"/>
            </w:pPr>
            <w:r>
              <w:t>T</w:t>
            </w:r>
          </w:p>
        </w:tc>
      </w:tr>
      <w:tr w:rsidR="002E474C" w14:paraId="5E67441B" w14:textId="77777777">
        <w:trPr>
          <w:trHeight w:val="240"/>
        </w:trPr>
        <w:tc>
          <w:tcPr>
            <w:tcW w:w="574" w:type="pct"/>
            <w:vMerge/>
            <w:vAlign w:val="center"/>
          </w:tcPr>
          <w:p w14:paraId="6214B634" w14:textId="77777777" w:rsidR="002E474C" w:rsidRDefault="002E474C">
            <w:pPr>
              <w:pStyle w:val="A-"/>
            </w:pPr>
          </w:p>
        </w:tc>
        <w:tc>
          <w:tcPr>
            <w:tcW w:w="524" w:type="pct"/>
            <w:vMerge/>
            <w:vAlign w:val="center"/>
          </w:tcPr>
          <w:p w14:paraId="4F9EC9D9" w14:textId="77777777" w:rsidR="002E474C" w:rsidRDefault="002E474C">
            <w:pPr>
              <w:pStyle w:val="A-"/>
            </w:pPr>
          </w:p>
        </w:tc>
        <w:tc>
          <w:tcPr>
            <w:tcW w:w="372" w:type="pct"/>
            <w:vMerge/>
            <w:vAlign w:val="center"/>
          </w:tcPr>
          <w:p w14:paraId="19B26552" w14:textId="77777777" w:rsidR="002E474C" w:rsidRDefault="002E474C">
            <w:pPr>
              <w:pStyle w:val="A-"/>
            </w:pPr>
          </w:p>
        </w:tc>
        <w:tc>
          <w:tcPr>
            <w:tcW w:w="457" w:type="pct"/>
            <w:vAlign w:val="center"/>
          </w:tcPr>
          <w:p w14:paraId="6BE5CC4F" w14:textId="77777777" w:rsidR="002E474C" w:rsidRDefault="00000000">
            <w:pPr>
              <w:pStyle w:val="A-"/>
            </w:pPr>
            <w:r>
              <w:t>321-005-48</w:t>
            </w:r>
          </w:p>
        </w:tc>
        <w:tc>
          <w:tcPr>
            <w:tcW w:w="2678" w:type="pct"/>
            <w:vAlign w:val="center"/>
          </w:tcPr>
          <w:p w14:paraId="69DBE483" w14:textId="77777777" w:rsidR="002E474C" w:rsidRDefault="00000000">
            <w:pPr>
              <w:pStyle w:val="A-"/>
            </w:pPr>
            <w:r>
              <w:t>铅锌冶炼过程中，锌焙烧矿热酸浸出黄钾铁矾法产生的铁矾渣</w:t>
            </w:r>
          </w:p>
        </w:tc>
        <w:tc>
          <w:tcPr>
            <w:tcW w:w="395" w:type="pct"/>
            <w:vAlign w:val="center"/>
          </w:tcPr>
          <w:p w14:paraId="33DA727F" w14:textId="77777777" w:rsidR="002E474C" w:rsidRDefault="00000000">
            <w:pPr>
              <w:pStyle w:val="A-"/>
            </w:pPr>
            <w:r>
              <w:t>T</w:t>
            </w:r>
          </w:p>
        </w:tc>
      </w:tr>
      <w:tr w:rsidR="002E474C" w14:paraId="367081DC" w14:textId="77777777">
        <w:trPr>
          <w:trHeight w:val="240"/>
        </w:trPr>
        <w:tc>
          <w:tcPr>
            <w:tcW w:w="574" w:type="pct"/>
            <w:vMerge/>
            <w:vAlign w:val="center"/>
          </w:tcPr>
          <w:p w14:paraId="3AACB512" w14:textId="77777777" w:rsidR="002E474C" w:rsidRDefault="002E474C">
            <w:pPr>
              <w:pStyle w:val="A-"/>
            </w:pPr>
          </w:p>
        </w:tc>
        <w:tc>
          <w:tcPr>
            <w:tcW w:w="524" w:type="pct"/>
            <w:vMerge/>
            <w:vAlign w:val="center"/>
          </w:tcPr>
          <w:p w14:paraId="0EAB57A6" w14:textId="77777777" w:rsidR="002E474C" w:rsidRDefault="002E474C">
            <w:pPr>
              <w:pStyle w:val="A-"/>
            </w:pPr>
          </w:p>
        </w:tc>
        <w:tc>
          <w:tcPr>
            <w:tcW w:w="372" w:type="pct"/>
            <w:vMerge/>
            <w:vAlign w:val="center"/>
          </w:tcPr>
          <w:p w14:paraId="5E4E2231" w14:textId="77777777" w:rsidR="002E474C" w:rsidRDefault="002E474C">
            <w:pPr>
              <w:pStyle w:val="A-"/>
            </w:pPr>
          </w:p>
        </w:tc>
        <w:tc>
          <w:tcPr>
            <w:tcW w:w="457" w:type="pct"/>
            <w:vAlign w:val="center"/>
          </w:tcPr>
          <w:p w14:paraId="7682960D" w14:textId="77777777" w:rsidR="002E474C" w:rsidRDefault="00000000">
            <w:pPr>
              <w:pStyle w:val="A-"/>
            </w:pPr>
            <w:r>
              <w:t>321-006-48</w:t>
            </w:r>
          </w:p>
        </w:tc>
        <w:tc>
          <w:tcPr>
            <w:tcW w:w="2678" w:type="pct"/>
            <w:vAlign w:val="center"/>
          </w:tcPr>
          <w:p w14:paraId="0AC37247" w14:textId="77777777" w:rsidR="002E474C" w:rsidRDefault="00000000">
            <w:pPr>
              <w:pStyle w:val="A-"/>
            </w:pPr>
            <w:r>
              <w:t>硫化锌矿常压氧浸或加压氧浸产生的硫渣（浸出渣）</w:t>
            </w:r>
          </w:p>
        </w:tc>
        <w:tc>
          <w:tcPr>
            <w:tcW w:w="395" w:type="pct"/>
            <w:vAlign w:val="center"/>
          </w:tcPr>
          <w:p w14:paraId="0703C385" w14:textId="77777777" w:rsidR="002E474C" w:rsidRDefault="00000000">
            <w:pPr>
              <w:pStyle w:val="A-"/>
            </w:pPr>
            <w:r>
              <w:t>T</w:t>
            </w:r>
          </w:p>
        </w:tc>
      </w:tr>
      <w:tr w:rsidR="002E474C" w14:paraId="695C569F" w14:textId="77777777">
        <w:trPr>
          <w:trHeight w:val="240"/>
        </w:trPr>
        <w:tc>
          <w:tcPr>
            <w:tcW w:w="574" w:type="pct"/>
            <w:vMerge/>
            <w:vAlign w:val="center"/>
          </w:tcPr>
          <w:p w14:paraId="1532A5C6" w14:textId="77777777" w:rsidR="002E474C" w:rsidRDefault="002E474C">
            <w:pPr>
              <w:pStyle w:val="A-"/>
            </w:pPr>
          </w:p>
        </w:tc>
        <w:tc>
          <w:tcPr>
            <w:tcW w:w="524" w:type="pct"/>
            <w:vMerge/>
            <w:vAlign w:val="center"/>
          </w:tcPr>
          <w:p w14:paraId="530E5008" w14:textId="77777777" w:rsidR="002E474C" w:rsidRDefault="002E474C">
            <w:pPr>
              <w:pStyle w:val="A-"/>
            </w:pPr>
          </w:p>
        </w:tc>
        <w:tc>
          <w:tcPr>
            <w:tcW w:w="372" w:type="pct"/>
            <w:vMerge/>
            <w:vAlign w:val="center"/>
          </w:tcPr>
          <w:p w14:paraId="67211819" w14:textId="77777777" w:rsidR="002E474C" w:rsidRDefault="002E474C">
            <w:pPr>
              <w:pStyle w:val="A-"/>
            </w:pPr>
          </w:p>
        </w:tc>
        <w:tc>
          <w:tcPr>
            <w:tcW w:w="457" w:type="pct"/>
            <w:vAlign w:val="center"/>
          </w:tcPr>
          <w:p w14:paraId="7BA66513" w14:textId="77777777" w:rsidR="002E474C" w:rsidRDefault="00000000">
            <w:pPr>
              <w:pStyle w:val="A-"/>
            </w:pPr>
            <w:r>
              <w:t>321-007-48</w:t>
            </w:r>
          </w:p>
        </w:tc>
        <w:tc>
          <w:tcPr>
            <w:tcW w:w="2678" w:type="pct"/>
            <w:vAlign w:val="center"/>
          </w:tcPr>
          <w:p w14:paraId="39807C9E" w14:textId="77777777" w:rsidR="002E474C" w:rsidRDefault="00000000">
            <w:pPr>
              <w:pStyle w:val="A-"/>
            </w:pPr>
            <w:r>
              <w:t>铅锌冶炼过程中，锌焙烧矿热酸浸出针铁矿法产生的针铁矿渣</w:t>
            </w:r>
          </w:p>
        </w:tc>
        <w:tc>
          <w:tcPr>
            <w:tcW w:w="395" w:type="pct"/>
            <w:vAlign w:val="center"/>
          </w:tcPr>
          <w:p w14:paraId="113996D6" w14:textId="77777777" w:rsidR="002E474C" w:rsidRDefault="00000000">
            <w:pPr>
              <w:pStyle w:val="A-"/>
            </w:pPr>
            <w:r>
              <w:t>T</w:t>
            </w:r>
          </w:p>
        </w:tc>
      </w:tr>
      <w:tr w:rsidR="002E474C" w14:paraId="7F683C48" w14:textId="77777777">
        <w:trPr>
          <w:trHeight w:val="240"/>
        </w:trPr>
        <w:tc>
          <w:tcPr>
            <w:tcW w:w="574" w:type="pct"/>
            <w:vMerge/>
            <w:vAlign w:val="center"/>
          </w:tcPr>
          <w:p w14:paraId="16740B86" w14:textId="77777777" w:rsidR="002E474C" w:rsidRDefault="002E474C">
            <w:pPr>
              <w:pStyle w:val="A-"/>
            </w:pPr>
          </w:p>
        </w:tc>
        <w:tc>
          <w:tcPr>
            <w:tcW w:w="524" w:type="pct"/>
            <w:vMerge/>
            <w:vAlign w:val="center"/>
          </w:tcPr>
          <w:p w14:paraId="7CEACD85" w14:textId="77777777" w:rsidR="002E474C" w:rsidRDefault="002E474C">
            <w:pPr>
              <w:pStyle w:val="A-"/>
            </w:pPr>
          </w:p>
        </w:tc>
        <w:tc>
          <w:tcPr>
            <w:tcW w:w="372" w:type="pct"/>
            <w:vMerge/>
            <w:vAlign w:val="center"/>
          </w:tcPr>
          <w:p w14:paraId="56DB7036" w14:textId="77777777" w:rsidR="002E474C" w:rsidRDefault="002E474C">
            <w:pPr>
              <w:pStyle w:val="A-"/>
            </w:pPr>
          </w:p>
        </w:tc>
        <w:tc>
          <w:tcPr>
            <w:tcW w:w="457" w:type="pct"/>
            <w:vAlign w:val="center"/>
          </w:tcPr>
          <w:p w14:paraId="3B6C9C10" w14:textId="77777777" w:rsidR="002E474C" w:rsidRDefault="00000000">
            <w:pPr>
              <w:pStyle w:val="A-"/>
            </w:pPr>
            <w:r>
              <w:t>321-008-48</w:t>
            </w:r>
          </w:p>
        </w:tc>
        <w:tc>
          <w:tcPr>
            <w:tcW w:w="2678" w:type="pct"/>
            <w:vAlign w:val="center"/>
          </w:tcPr>
          <w:p w14:paraId="50ABE07D" w14:textId="77777777" w:rsidR="002E474C" w:rsidRDefault="00000000">
            <w:pPr>
              <w:pStyle w:val="A-"/>
            </w:pPr>
            <w:r>
              <w:t>铅锌冶炼过程中，锌浸出液净化产生的净化渣，包括锌粉</w:t>
            </w:r>
            <w:r>
              <w:t>-</w:t>
            </w:r>
            <w:r>
              <w:t>黄药法、砷盐法、反向锑盐法、铅锑合金锌粉法等工艺除铜、锑、镉、钴、镍等杂质过程中产生的废渣</w:t>
            </w:r>
          </w:p>
        </w:tc>
        <w:tc>
          <w:tcPr>
            <w:tcW w:w="395" w:type="pct"/>
            <w:vAlign w:val="center"/>
          </w:tcPr>
          <w:p w14:paraId="6CCFEA9B" w14:textId="77777777" w:rsidR="002E474C" w:rsidRDefault="00000000">
            <w:pPr>
              <w:pStyle w:val="A-"/>
            </w:pPr>
            <w:r>
              <w:t>T</w:t>
            </w:r>
          </w:p>
        </w:tc>
      </w:tr>
      <w:tr w:rsidR="002E474C" w14:paraId="1BE0CD5E" w14:textId="77777777">
        <w:trPr>
          <w:trHeight w:val="240"/>
        </w:trPr>
        <w:tc>
          <w:tcPr>
            <w:tcW w:w="574" w:type="pct"/>
            <w:vMerge/>
            <w:vAlign w:val="center"/>
          </w:tcPr>
          <w:p w14:paraId="5CDD9FA6" w14:textId="77777777" w:rsidR="002E474C" w:rsidRDefault="002E474C">
            <w:pPr>
              <w:pStyle w:val="A-"/>
            </w:pPr>
          </w:p>
        </w:tc>
        <w:tc>
          <w:tcPr>
            <w:tcW w:w="524" w:type="pct"/>
            <w:vMerge/>
            <w:vAlign w:val="center"/>
          </w:tcPr>
          <w:p w14:paraId="3D428922" w14:textId="77777777" w:rsidR="002E474C" w:rsidRDefault="002E474C">
            <w:pPr>
              <w:pStyle w:val="A-"/>
            </w:pPr>
          </w:p>
        </w:tc>
        <w:tc>
          <w:tcPr>
            <w:tcW w:w="372" w:type="pct"/>
            <w:vMerge/>
            <w:vAlign w:val="center"/>
          </w:tcPr>
          <w:p w14:paraId="3C93B16C" w14:textId="77777777" w:rsidR="002E474C" w:rsidRDefault="002E474C">
            <w:pPr>
              <w:pStyle w:val="A-"/>
            </w:pPr>
          </w:p>
        </w:tc>
        <w:tc>
          <w:tcPr>
            <w:tcW w:w="457" w:type="pct"/>
            <w:vAlign w:val="center"/>
          </w:tcPr>
          <w:p w14:paraId="090A4E6F" w14:textId="77777777" w:rsidR="002E474C" w:rsidRDefault="00000000">
            <w:pPr>
              <w:pStyle w:val="A-"/>
            </w:pPr>
            <w:r>
              <w:t>321-009-48</w:t>
            </w:r>
          </w:p>
        </w:tc>
        <w:tc>
          <w:tcPr>
            <w:tcW w:w="2678" w:type="pct"/>
            <w:vAlign w:val="center"/>
          </w:tcPr>
          <w:p w14:paraId="6B6FB5C3" w14:textId="77777777" w:rsidR="002E474C" w:rsidRDefault="00000000">
            <w:pPr>
              <w:pStyle w:val="A-"/>
            </w:pPr>
            <w:r>
              <w:t>铅锌冶炼过程中，阴极锌熔铸产生的熔铸浮渣</w:t>
            </w:r>
          </w:p>
        </w:tc>
        <w:tc>
          <w:tcPr>
            <w:tcW w:w="395" w:type="pct"/>
            <w:vAlign w:val="center"/>
          </w:tcPr>
          <w:p w14:paraId="379CF7F2" w14:textId="77777777" w:rsidR="002E474C" w:rsidRDefault="00000000">
            <w:pPr>
              <w:pStyle w:val="A-"/>
            </w:pPr>
            <w:r>
              <w:t>T</w:t>
            </w:r>
          </w:p>
        </w:tc>
      </w:tr>
      <w:tr w:rsidR="002E474C" w14:paraId="3E7C97AB" w14:textId="77777777">
        <w:trPr>
          <w:trHeight w:val="240"/>
        </w:trPr>
        <w:tc>
          <w:tcPr>
            <w:tcW w:w="574" w:type="pct"/>
            <w:vMerge/>
            <w:vAlign w:val="center"/>
          </w:tcPr>
          <w:p w14:paraId="1A334972" w14:textId="77777777" w:rsidR="002E474C" w:rsidRDefault="002E474C">
            <w:pPr>
              <w:pStyle w:val="A-"/>
            </w:pPr>
          </w:p>
        </w:tc>
        <w:tc>
          <w:tcPr>
            <w:tcW w:w="524" w:type="pct"/>
            <w:vMerge/>
            <w:vAlign w:val="center"/>
          </w:tcPr>
          <w:p w14:paraId="3C955A07" w14:textId="77777777" w:rsidR="002E474C" w:rsidRDefault="002E474C">
            <w:pPr>
              <w:pStyle w:val="A-"/>
            </w:pPr>
          </w:p>
        </w:tc>
        <w:tc>
          <w:tcPr>
            <w:tcW w:w="372" w:type="pct"/>
            <w:vMerge/>
            <w:vAlign w:val="center"/>
          </w:tcPr>
          <w:p w14:paraId="48ABA08D" w14:textId="77777777" w:rsidR="002E474C" w:rsidRDefault="002E474C">
            <w:pPr>
              <w:pStyle w:val="A-"/>
            </w:pPr>
          </w:p>
        </w:tc>
        <w:tc>
          <w:tcPr>
            <w:tcW w:w="457" w:type="pct"/>
            <w:vAlign w:val="center"/>
          </w:tcPr>
          <w:p w14:paraId="7B3B0B2C" w14:textId="77777777" w:rsidR="002E474C" w:rsidRDefault="00000000">
            <w:pPr>
              <w:pStyle w:val="A-"/>
            </w:pPr>
            <w:r>
              <w:t>321-010-48</w:t>
            </w:r>
          </w:p>
        </w:tc>
        <w:tc>
          <w:tcPr>
            <w:tcW w:w="2678" w:type="pct"/>
            <w:vAlign w:val="center"/>
          </w:tcPr>
          <w:p w14:paraId="2328A1E7" w14:textId="77777777" w:rsidR="002E474C" w:rsidRDefault="00000000">
            <w:pPr>
              <w:pStyle w:val="A-"/>
            </w:pPr>
            <w:r>
              <w:t>铅锌冶炼过程中，氧化锌浸出处理产生的氧化锌浸出渣</w:t>
            </w:r>
          </w:p>
        </w:tc>
        <w:tc>
          <w:tcPr>
            <w:tcW w:w="395" w:type="pct"/>
            <w:vAlign w:val="center"/>
          </w:tcPr>
          <w:p w14:paraId="68D7EBC3" w14:textId="77777777" w:rsidR="002E474C" w:rsidRDefault="00000000">
            <w:pPr>
              <w:pStyle w:val="A-"/>
            </w:pPr>
            <w:r>
              <w:t>T</w:t>
            </w:r>
          </w:p>
        </w:tc>
      </w:tr>
      <w:tr w:rsidR="002E474C" w14:paraId="3E45AAB1" w14:textId="77777777">
        <w:trPr>
          <w:trHeight w:val="240"/>
        </w:trPr>
        <w:tc>
          <w:tcPr>
            <w:tcW w:w="574" w:type="pct"/>
            <w:vMerge/>
            <w:vAlign w:val="center"/>
          </w:tcPr>
          <w:p w14:paraId="4CD35050" w14:textId="77777777" w:rsidR="002E474C" w:rsidRDefault="002E474C">
            <w:pPr>
              <w:pStyle w:val="A-"/>
            </w:pPr>
          </w:p>
        </w:tc>
        <w:tc>
          <w:tcPr>
            <w:tcW w:w="524" w:type="pct"/>
            <w:vMerge/>
            <w:vAlign w:val="center"/>
          </w:tcPr>
          <w:p w14:paraId="61BCFB0E" w14:textId="77777777" w:rsidR="002E474C" w:rsidRDefault="002E474C">
            <w:pPr>
              <w:pStyle w:val="A-"/>
            </w:pPr>
          </w:p>
        </w:tc>
        <w:tc>
          <w:tcPr>
            <w:tcW w:w="372" w:type="pct"/>
            <w:vMerge/>
            <w:vAlign w:val="center"/>
          </w:tcPr>
          <w:p w14:paraId="29F83ACE" w14:textId="77777777" w:rsidR="002E474C" w:rsidRDefault="002E474C">
            <w:pPr>
              <w:pStyle w:val="A-"/>
            </w:pPr>
          </w:p>
        </w:tc>
        <w:tc>
          <w:tcPr>
            <w:tcW w:w="457" w:type="pct"/>
            <w:vAlign w:val="center"/>
          </w:tcPr>
          <w:p w14:paraId="32F4A7D6" w14:textId="77777777" w:rsidR="002E474C" w:rsidRDefault="00000000">
            <w:pPr>
              <w:pStyle w:val="A-"/>
            </w:pPr>
            <w:r>
              <w:t>321-011-48</w:t>
            </w:r>
          </w:p>
        </w:tc>
        <w:tc>
          <w:tcPr>
            <w:tcW w:w="2678" w:type="pct"/>
            <w:vAlign w:val="center"/>
          </w:tcPr>
          <w:p w14:paraId="6ED77CA7" w14:textId="77777777" w:rsidR="002E474C" w:rsidRDefault="00000000">
            <w:pPr>
              <w:pStyle w:val="A-"/>
            </w:pPr>
            <w:r>
              <w:t>铅锌冶炼过程中，鼓风炉炼锌锌蒸气冷凝分离系统产生的鼓风炉浮渣</w:t>
            </w:r>
          </w:p>
        </w:tc>
        <w:tc>
          <w:tcPr>
            <w:tcW w:w="395" w:type="pct"/>
            <w:vAlign w:val="center"/>
          </w:tcPr>
          <w:p w14:paraId="5BD6108C" w14:textId="77777777" w:rsidR="002E474C" w:rsidRDefault="00000000">
            <w:pPr>
              <w:pStyle w:val="A-"/>
            </w:pPr>
            <w:r>
              <w:t>T</w:t>
            </w:r>
          </w:p>
        </w:tc>
      </w:tr>
      <w:tr w:rsidR="002E474C" w14:paraId="6CDFF6EF" w14:textId="77777777">
        <w:trPr>
          <w:trHeight w:val="240"/>
        </w:trPr>
        <w:tc>
          <w:tcPr>
            <w:tcW w:w="574" w:type="pct"/>
            <w:vMerge/>
            <w:vAlign w:val="center"/>
          </w:tcPr>
          <w:p w14:paraId="11B22E5B" w14:textId="77777777" w:rsidR="002E474C" w:rsidRDefault="002E474C">
            <w:pPr>
              <w:pStyle w:val="A-"/>
            </w:pPr>
          </w:p>
        </w:tc>
        <w:tc>
          <w:tcPr>
            <w:tcW w:w="524" w:type="pct"/>
            <w:vMerge/>
            <w:vAlign w:val="center"/>
          </w:tcPr>
          <w:p w14:paraId="7BA91BAB" w14:textId="77777777" w:rsidR="002E474C" w:rsidRDefault="002E474C">
            <w:pPr>
              <w:pStyle w:val="A-"/>
            </w:pPr>
          </w:p>
        </w:tc>
        <w:tc>
          <w:tcPr>
            <w:tcW w:w="372" w:type="pct"/>
            <w:vMerge/>
            <w:vAlign w:val="center"/>
          </w:tcPr>
          <w:p w14:paraId="21975B52" w14:textId="77777777" w:rsidR="002E474C" w:rsidRDefault="002E474C">
            <w:pPr>
              <w:pStyle w:val="A-"/>
            </w:pPr>
          </w:p>
        </w:tc>
        <w:tc>
          <w:tcPr>
            <w:tcW w:w="457" w:type="pct"/>
            <w:vAlign w:val="center"/>
          </w:tcPr>
          <w:p w14:paraId="4697175B" w14:textId="77777777" w:rsidR="002E474C" w:rsidRDefault="00000000">
            <w:pPr>
              <w:pStyle w:val="A-"/>
            </w:pPr>
            <w:r>
              <w:t>321-012-48</w:t>
            </w:r>
          </w:p>
        </w:tc>
        <w:tc>
          <w:tcPr>
            <w:tcW w:w="2678" w:type="pct"/>
            <w:vAlign w:val="center"/>
          </w:tcPr>
          <w:p w14:paraId="2D67CB3C" w14:textId="77777777" w:rsidR="002E474C" w:rsidRDefault="00000000">
            <w:pPr>
              <w:pStyle w:val="A-"/>
            </w:pPr>
            <w:r>
              <w:t>铅锌冶炼过程中，锌精馏炉产生的锌渣</w:t>
            </w:r>
          </w:p>
        </w:tc>
        <w:tc>
          <w:tcPr>
            <w:tcW w:w="395" w:type="pct"/>
            <w:vAlign w:val="center"/>
          </w:tcPr>
          <w:p w14:paraId="01EC9A16" w14:textId="77777777" w:rsidR="002E474C" w:rsidRDefault="00000000">
            <w:pPr>
              <w:pStyle w:val="A-"/>
            </w:pPr>
            <w:r>
              <w:t>T</w:t>
            </w:r>
          </w:p>
        </w:tc>
      </w:tr>
      <w:tr w:rsidR="002E474C" w14:paraId="11ED8FEB" w14:textId="77777777">
        <w:trPr>
          <w:trHeight w:val="240"/>
        </w:trPr>
        <w:tc>
          <w:tcPr>
            <w:tcW w:w="574" w:type="pct"/>
            <w:vMerge/>
            <w:vAlign w:val="center"/>
          </w:tcPr>
          <w:p w14:paraId="671130D3" w14:textId="77777777" w:rsidR="002E474C" w:rsidRDefault="002E474C">
            <w:pPr>
              <w:pStyle w:val="A-"/>
            </w:pPr>
          </w:p>
        </w:tc>
        <w:tc>
          <w:tcPr>
            <w:tcW w:w="524" w:type="pct"/>
            <w:vMerge/>
            <w:vAlign w:val="center"/>
          </w:tcPr>
          <w:p w14:paraId="198B051E" w14:textId="77777777" w:rsidR="002E474C" w:rsidRDefault="002E474C">
            <w:pPr>
              <w:pStyle w:val="A-"/>
            </w:pPr>
          </w:p>
        </w:tc>
        <w:tc>
          <w:tcPr>
            <w:tcW w:w="372" w:type="pct"/>
            <w:vMerge/>
            <w:vAlign w:val="center"/>
          </w:tcPr>
          <w:p w14:paraId="05500A0C" w14:textId="77777777" w:rsidR="002E474C" w:rsidRDefault="002E474C">
            <w:pPr>
              <w:pStyle w:val="A-"/>
            </w:pPr>
          </w:p>
        </w:tc>
        <w:tc>
          <w:tcPr>
            <w:tcW w:w="457" w:type="pct"/>
            <w:vAlign w:val="center"/>
          </w:tcPr>
          <w:p w14:paraId="6A9E2009" w14:textId="77777777" w:rsidR="002E474C" w:rsidRDefault="00000000">
            <w:pPr>
              <w:pStyle w:val="A-"/>
            </w:pPr>
            <w:r>
              <w:t>321-013-48</w:t>
            </w:r>
          </w:p>
        </w:tc>
        <w:tc>
          <w:tcPr>
            <w:tcW w:w="2678" w:type="pct"/>
            <w:vAlign w:val="center"/>
          </w:tcPr>
          <w:p w14:paraId="4F3FE384" w14:textId="77777777" w:rsidR="002E474C" w:rsidRDefault="00000000">
            <w:pPr>
              <w:pStyle w:val="A-"/>
            </w:pPr>
            <w:r>
              <w:t>铅锌冶炼过程中，提取金、银、铋、镉、钴、铟、锗、铊、碲等金属过程中产生的废渣</w:t>
            </w:r>
          </w:p>
        </w:tc>
        <w:tc>
          <w:tcPr>
            <w:tcW w:w="395" w:type="pct"/>
            <w:vAlign w:val="center"/>
          </w:tcPr>
          <w:p w14:paraId="61082E85" w14:textId="77777777" w:rsidR="002E474C" w:rsidRDefault="00000000">
            <w:pPr>
              <w:pStyle w:val="A-"/>
            </w:pPr>
            <w:r>
              <w:t>T</w:t>
            </w:r>
          </w:p>
        </w:tc>
      </w:tr>
      <w:tr w:rsidR="002E474C" w14:paraId="15DCF577" w14:textId="77777777">
        <w:trPr>
          <w:trHeight w:val="240"/>
        </w:trPr>
        <w:tc>
          <w:tcPr>
            <w:tcW w:w="574" w:type="pct"/>
            <w:vMerge/>
            <w:vAlign w:val="center"/>
          </w:tcPr>
          <w:p w14:paraId="61B6D78D" w14:textId="77777777" w:rsidR="002E474C" w:rsidRDefault="002E474C">
            <w:pPr>
              <w:pStyle w:val="A-"/>
            </w:pPr>
          </w:p>
        </w:tc>
        <w:tc>
          <w:tcPr>
            <w:tcW w:w="524" w:type="pct"/>
            <w:vMerge/>
            <w:vAlign w:val="center"/>
          </w:tcPr>
          <w:p w14:paraId="3E782A5E" w14:textId="77777777" w:rsidR="002E474C" w:rsidRDefault="002E474C">
            <w:pPr>
              <w:pStyle w:val="A-"/>
            </w:pPr>
          </w:p>
        </w:tc>
        <w:tc>
          <w:tcPr>
            <w:tcW w:w="372" w:type="pct"/>
            <w:vMerge/>
            <w:vAlign w:val="center"/>
          </w:tcPr>
          <w:p w14:paraId="22FE3270" w14:textId="77777777" w:rsidR="002E474C" w:rsidRDefault="002E474C">
            <w:pPr>
              <w:pStyle w:val="A-"/>
            </w:pPr>
          </w:p>
        </w:tc>
        <w:tc>
          <w:tcPr>
            <w:tcW w:w="457" w:type="pct"/>
            <w:vAlign w:val="center"/>
          </w:tcPr>
          <w:p w14:paraId="0CE1C7CF" w14:textId="77777777" w:rsidR="002E474C" w:rsidRDefault="00000000">
            <w:pPr>
              <w:pStyle w:val="A-"/>
            </w:pPr>
            <w:r>
              <w:t>321-014-48</w:t>
            </w:r>
          </w:p>
        </w:tc>
        <w:tc>
          <w:tcPr>
            <w:tcW w:w="2678" w:type="pct"/>
            <w:vAlign w:val="center"/>
          </w:tcPr>
          <w:p w14:paraId="4CBB10DD" w14:textId="77777777" w:rsidR="002E474C" w:rsidRDefault="00000000">
            <w:pPr>
              <w:pStyle w:val="A-"/>
            </w:pPr>
            <w:r>
              <w:t>铅锌冶炼过程中，集（除）尘装置收集的粉尘</w:t>
            </w:r>
          </w:p>
        </w:tc>
        <w:tc>
          <w:tcPr>
            <w:tcW w:w="395" w:type="pct"/>
            <w:vAlign w:val="center"/>
          </w:tcPr>
          <w:p w14:paraId="3F82BEC2" w14:textId="77777777" w:rsidR="002E474C" w:rsidRDefault="00000000">
            <w:pPr>
              <w:pStyle w:val="A-"/>
            </w:pPr>
            <w:r>
              <w:t>T</w:t>
            </w:r>
          </w:p>
        </w:tc>
      </w:tr>
      <w:tr w:rsidR="002E474C" w14:paraId="342FE416" w14:textId="77777777">
        <w:trPr>
          <w:trHeight w:val="240"/>
        </w:trPr>
        <w:tc>
          <w:tcPr>
            <w:tcW w:w="574" w:type="pct"/>
            <w:vMerge/>
            <w:vAlign w:val="center"/>
          </w:tcPr>
          <w:p w14:paraId="58C199AA" w14:textId="77777777" w:rsidR="002E474C" w:rsidRDefault="002E474C">
            <w:pPr>
              <w:pStyle w:val="A-"/>
            </w:pPr>
          </w:p>
        </w:tc>
        <w:tc>
          <w:tcPr>
            <w:tcW w:w="524" w:type="pct"/>
            <w:vMerge/>
            <w:vAlign w:val="center"/>
          </w:tcPr>
          <w:p w14:paraId="1630FAE2" w14:textId="77777777" w:rsidR="002E474C" w:rsidRDefault="002E474C">
            <w:pPr>
              <w:pStyle w:val="A-"/>
            </w:pPr>
          </w:p>
        </w:tc>
        <w:tc>
          <w:tcPr>
            <w:tcW w:w="372" w:type="pct"/>
            <w:vMerge/>
            <w:vAlign w:val="center"/>
          </w:tcPr>
          <w:p w14:paraId="701567B2" w14:textId="77777777" w:rsidR="002E474C" w:rsidRDefault="002E474C">
            <w:pPr>
              <w:pStyle w:val="A-"/>
            </w:pPr>
          </w:p>
        </w:tc>
        <w:tc>
          <w:tcPr>
            <w:tcW w:w="457" w:type="pct"/>
            <w:vAlign w:val="center"/>
          </w:tcPr>
          <w:p w14:paraId="00380F54" w14:textId="77777777" w:rsidR="002E474C" w:rsidRDefault="00000000">
            <w:pPr>
              <w:pStyle w:val="A-"/>
            </w:pPr>
            <w:r>
              <w:t>321-016-48</w:t>
            </w:r>
          </w:p>
        </w:tc>
        <w:tc>
          <w:tcPr>
            <w:tcW w:w="2678" w:type="pct"/>
            <w:vAlign w:val="center"/>
          </w:tcPr>
          <w:p w14:paraId="01B0C024" w14:textId="77777777" w:rsidR="002E474C" w:rsidRDefault="00000000">
            <w:pPr>
              <w:pStyle w:val="A-"/>
            </w:pPr>
            <w:r>
              <w:t>粗铅精炼过程中产生的浮渣和底渣</w:t>
            </w:r>
          </w:p>
        </w:tc>
        <w:tc>
          <w:tcPr>
            <w:tcW w:w="395" w:type="pct"/>
            <w:vAlign w:val="center"/>
          </w:tcPr>
          <w:p w14:paraId="74C7E883" w14:textId="77777777" w:rsidR="002E474C" w:rsidRDefault="00000000">
            <w:pPr>
              <w:pStyle w:val="A-"/>
            </w:pPr>
            <w:r>
              <w:t>T</w:t>
            </w:r>
          </w:p>
        </w:tc>
      </w:tr>
      <w:tr w:rsidR="002E474C" w14:paraId="7F9CDCFD" w14:textId="77777777">
        <w:trPr>
          <w:trHeight w:val="240"/>
        </w:trPr>
        <w:tc>
          <w:tcPr>
            <w:tcW w:w="574" w:type="pct"/>
            <w:vMerge/>
            <w:vAlign w:val="center"/>
          </w:tcPr>
          <w:p w14:paraId="2C4DF962" w14:textId="77777777" w:rsidR="002E474C" w:rsidRDefault="002E474C">
            <w:pPr>
              <w:pStyle w:val="A-"/>
            </w:pPr>
          </w:p>
        </w:tc>
        <w:tc>
          <w:tcPr>
            <w:tcW w:w="524" w:type="pct"/>
            <w:vMerge/>
            <w:vAlign w:val="center"/>
          </w:tcPr>
          <w:p w14:paraId="4664F2D4" w14:textId="77777777" w:rsidR="002E474C" w:rsidRDefault="002E474C">
            <w:pPr>
              <w:pStyle w:val="A-"/>
            </w:pPr>
          </w:p>
        </w:tc>
        <w:tc>
          <w:tcPr>
            <w:tcW w:w="372" w:type="pct"/>
            <w:vMerge/>
            <w:vAlign w:val="center"/>
          </w:tcPr>
          <w:p w14:paraId="29C47AC5" w14:textId="77777777" w:rsidR="002E474C" w:rsidRDefault="002E474C">
            <w:pPr>
              <w:pStyle w:val="A-"/>
            </w:pPr>
          </w:p>
        </w:tc>
        <w:tc>
          <w:tcPr>
            <w:tcW w:w="457" w:type="pct"/>
            <w:vAlign w:val="center"/>
          </w:tcPr>
          <w:p w14:paraId="71A6A38A" w14:textId="77777777" w:rsidR="002E474C" w:rsidRDefault="00000000">
            <w:pPr>
              <w:pStyle w:val="A-"/>
            </w:pPr>
            <w:r>
              <w:t>321-017-48</w:t>
            </w:r>
          </w:p>
        </w:tc>
        <w:tc>
          <w:tcPr>
            <w:tcW w:w="2678" w:type="pct"/>
            <w:vAlign w:val="center"/>
          </w:tcPr>
          <w:p w14:paraId="20DCEC61" w14:textId="77777777" w:rsidR="002E474C" w:rsidRDefault="00000000">
            <w:pPr>
              <w:pStyle w:val="A-"/>
            </w:pPr>
            <w:r>
              <w:t>铅锌冶炼过程中，炼铅鼓风炉产生的黄渣</w:t>
            </w:r>
          </w:p>
        </w:tc>
        <w:tc>
          <w:tcPr>
            <w:tcW w:w="395" w:type="pct"/>
            <w:vAlign w:val="center"/>
          </w:tcPr>
          <w:p w14:paraId="566519D5" w14:textId="77777777" w:rsidR="002E474C" w:rsidRDefault="00000000">
            <w:pPr>
              <w:pStyle w:val="A-"/>
            </w:pPr>
            <w:r>
              <w:t>T</w:t>
            </w:r>
          </w:p>
        </w:tc>
      </w:tr>
      <w:tr w:rsidR="002E474C" w14:paraId="6ECF9D0F" w14:textId="77777777">
        <w:trPr>
          <w:trHeight w:val="240"/>
        </w:trPr>
        <w:tc>
          <w:tcPr>
            <w:tcW w:w="574" w:type="pct"/>
            <w:vMerge/>
            <w:vAlign w:val="center"/>
          </w:tcPr>
          <w:p w14:paraId="3FD6C33B" w14:textId="77777777" w:rsidR="002E474C" w:rsidRDefault="002E474C">
            <w:pPr>
              <w:pStyle w:val="A-"/>
            </w:pPr>
          </w:p>
        </w:tc>
        <w:tc>
          <w:tcPr>
            <w:tcW w:w="524" w:type="pct"/>
            <w:vMerge/>
            <w:vAlign w:val="center"/>
          </w:tcPr>
          <w:p w14:paraId="2D0C88E0" w14:textId="77777777" w:rsidR="002E474C" w:rsidRDefault="002E474C">
            <w:pPr>
              <w:pStyle w:val="A-"/>
            </w:pPr>
          </w:p>
        </w:tc>
        <w:tc>
          <w:tcPr>
            <w:tcW w:w="372" w:type="pct"/>
            <w:vMerge/>
            <w:vAlign w:val="center"/>
          </w:tcPr>
          <w:p w14:paraId="54EBB611" w14:textId="77777777" w:rsidR="002E474C" w:rsidRDefault="002E474C">
            <w:pPr>
              <w:pStyle w:val="A-"/>
            </w:pPr>
          </w:p>
        </w:tc>
        <w:tc>
          <w:tcPr>
            <w:tcW w:w="457" w:type="pct"/>
            <w:vAlign w:val="center"/>
          </w:tcPr>
          <w:p w14:paraId="71B488F5" w14:textId="77777777" w:rsidR="002E474C" w:rsidRDefault="00000000">
            <w:pPr>
              <w:pStyle w:val="A-"/>
            </w:pPr>
            <w:r>
              <w:t>321-018-48</w:t>
            </w:r>
          </w:p>
        </w:tc>
        <w:tc>
          <w:tcPr>
            <w:tcW w:w="2678" w:type="pct"/>
            <w:vAlign w:val="center"/>
          </w:tcPr>
          <w:p w14:paraId="35F71697" w14:textId="77777777" w:rsidR="002E474C" w:rsidRDefault="00000000">
            <w:pPr>
              <w:pStyle w:val="A-"/>
            </w:pPr>
            <w:r>
              <w:t>铅锌冶炼过程中，粗铅火法精炼产生的精炼渣</w:t>
            </w:r>
          </w:p>
        </w:tc>
        <w:tc>
          <w:tcPr>
            <w:tcW w:w="395" w:type="pct"/>
            <w:vAlign w:val="center"/>
          </w:tcPr>
          <w:p w14:paraId="632A74CC" w14:textId="77777777" w:rsidR="002E474C" w:rsidRDefault="00000000">
            <w:pPr>
              <w:pStyle w:val="A-"/>
            </w:pPr>
            <w:r>
              <w:t>T</w:t>
            </w:r>
          </w:p>
        </w:tc>
      </w:tr>
      <w:tr w:rsidR="002E474C" w14:paraId="6946DBD4" w14:textId="77777777">
        <w:trPr>
          <w:trHeight w:val="240"/>
        </w:trPr>
        <w:tc>
          <w:tcPr>
            <w:tcW w:w="574" w:type="pct"/>
            <w:vMerge/>
            <w:vAlign w:val="center"/>
          </w:tcPr>
          <w:p w14:paraId="2DC93852" w14:textId="77777777" w:rsidR="002E474C" w:rsidRDefault="002E474C">
            <w:pPr>
              <w:pStyle w:val="A-"/>
            </w:pPr>
          </w:p>
        </w:tc>
        <w:tc>
          <w:tcPr>
            <w:tcW w:w="524" w:type="pct"/>
            <w:vMerge/>
            <w:vAlign w:val="center"/>
          </w:tcPr>
          <w:p w14:paraId="1B825C9C" w14:textId="77777777" w:rsidR="002E474C" w:rsidRDefault="002E474C">
            <w:pPr>
              <w:pStyle w:val="A-"/>
            </w:pPr>
          </w:p>
        </w:tc>
        <w:tc>
          <w:tcPr>
            <w:tcW w:w="372" w:type="pct"/>
            <w:vMerge/>
            <w:vAlign w:val="center"/>
          </w:tcPr>
          <w:p w14:paraId="732796B3" w14:textId="77777777" w:rsidR="002E474C" w:rsidRDefault="002E474C">
            <w:pPr>
              <w:pStyle w:val="A-"/>
            </w:pPr>
          </w:p>
        </w:tc>
        <w:tc>
          <w:tcPr>
            <w:tcW w:w="457" w:type="pct"/>
            <w:vAlign w:val="center"/>
          </w:tcPr>
          <w:p w14:paraId="50CD3C8C" w14:textId="77777777" w:rsidR="002E474C" w:rsidRDefault="00000000">
            <w:pPr>
              <w:pStyle w:val="A-"/>
            </w:pPr>
            <w:r>
              <w:t>321-019-48</w:t>
            </w:r>
          </w:p>
        </w:tc>
        <w:tc>
          <w:tcPr>
            <w:tcW w:w="2678" w:type="pct"/>
            <w:vAlign w:val="center"/>
          </w:tcPr>
          <w:p w14:paraId="6C98B9DF" w14:textId="77777777" w:rsidR="002E474C" w:rsidRDefault="00000000">
            <w:pPr>
              <w:pStyle w:val="A-"/>
            </w:pPr>
            <w:r>
              <w:t>铅锌冶炼过程中，铅电解产生的阳极泥及阳极泥处理后产生的含铅废渣和废水处理污泥</w:t>
            </w:r>
          </w:p>
        </w:tc>
        <w:tc>
          <w:tcPr>
            <w:tcW w:w="395" w:type="pct"/>
            <w:vAlign w:val="center"/>
          </w:tcPr>
          <w:p w14:paraId="3A1F993F" w14:textId="77777777" w:rsidR="002E474C" w:rsidRDefault="00000000">
            <w:pPr>
              <w:pStyle w:val="A-"/>
            </w:pPr>
            <w:r>
              <w:t>T</w:t>
            </w:r>
          </w:p>
        </w:tc>
      </w:tr>
      <w:tr w:rsidR="002E474C" w14:paraId="439BE4AA" w14:textId="77777777">
        <w:trPr>
          <w:trHeight w:val="240"/>
        </w:trPr>
        <w:tc>
          <w:tcPr>
            <w:tcW w:w="574" w:type="pct"/>
            <w:vMerge/>
            <w:vAlign w:val="center"/>
          </w:tcPr>
          <w:p w14:paraId="5E6C3AF7" w14:textId="77777777" w:rsidR="002E474C" w:rsidRDefault="002E474C">
            <w:pPr>
              <w:pStyle w:val="A-"/>
            </w:pPr>
          </w:p>
        </w:tc>
        <w:tc>
          <w:tcPr>
            <w:tcW w:w="524" w:type="pct"/>
            <w:vMerge/>
            <w:vAlign w:val="center"/>
          </w:tcPr>
          <w:p w14:paraId="791F0598" w14:textId="77777777" w:rsidR="002E474C" w:rsidRDefault="002E474C">
            <w:pPr>
              <w:pStyle w:val="A-"/>
            </w:pPr>
          </w:p>
        </w:tc>
        <w:tc>
          <w:tcPr>
            <w:tcW w:w="372" w:type="pct"/>
            <w:vMerge/>
            <w:vAlign w:val="center"/>
          </w:tcPr>
          <w:p w14:paraId="36269FB1" w14:textId="77777777" w:rsidR="002E474C" w:rsidRDefault="002E474C">
            <w:pPr>
              <w:pStyle w:val="A-"/>
            </w:pPr>
          </w:p>
        </w:tc>
        <w:tc>
          <w:tcPr>
            <w:tcW w:w="457" w:type="pct"/>
            <w:vAlign w:val="center"/>
          </w:tcPr>
          <w:p w14:paraId="02C90C5E" w14:textId="77777777" w:rsidR="002E474C" w:rsidRDefault="00000000">
            <w:pPr>
              <w:pStyle w:val="A-"/>
            </w:pPr>
            <w:r>
              <w:t>321-020-48</w:t>
            </w:r>
          </w:p>
        </w:tc>
        <w:tc>
          <w:tcPr>
            <w:tcW w:w="2678" w:type="pct"/>
            <w:vAlign w:val="center"/>
          </w:tcPr>
          <w:p w14:paraId="75EC1510" w14:textId="77777777" w:rsidR="002E474C" w:rsidRDefault="00000000">
            <w:pPr>
              <w:pStyle w:val="A-"/>
            </w:pPr>
            <w:r>
              <w:t>铅锌冶炼过程中，阴极铅精炼产生的氧化铅渣及碱渣</w:t>
            </w:r>
          </w:p>
        </w:tc>
        <w:tc>
          <w:tcPr>
            <w:tcW w:w="395" w:type="pct"/>
            <w:vAlign w:val="center"/>
          </w:tcPr>
          <w:p w14:paraId="7CF0F960" w14:textId="77777777" w:rsidR="002E474C" w:rsidRDefault="00000000">
            <w:pPr>
              <w:pStyle w:val="A-"/>
            </w:pPr>
            <w:r>
              <w:t>T</w:t>
            </w:r>
          </w:p>
        </w:tc>
      </w:tr>
      <w:tr w:rsidR="002E474C" w14:paraId="7C119E7B" w14:textId="77777777">
        <w:trPr>
          <w:trHeight w:val="240"/>
        </w:trPr>
        <w:tc>
          <w:tcPr>
            <w:tcW w:w="574" w:type="pct"/>
            <w:vMerge/>
            <w:vAlign w:val="center"/>
          </w:tcPr>
          <w:p w14:paraId="4EA03349" w14:textId="77777777" w:rsidR="002E474C" w:rsidRDefault="002E474C">
            <w:pPr>
              <w:pStyle w:val="A-"/>
            </w:pPr>
          </w:p>
        </w:tc>
        <w:tc>
          <w:tcPr>
            <w:tcW w:w="524" w:type="pct"/>
            <w:vMerge/>
            <w:vAlign w:val="center"/>
          </w:tcPr>
          <w:p w14:paraId="72DC5614" w14:textId="77777777" w:rsidR="002E474C" w:rsidRDefault="002E474C">
            <w:pPr>
              <w:pStyle w:val="A-"/>
            </w:pPr>
          </w:p>
        </w:tc>
        <w:tc>
          <w:tcPr>
            <w:tcW w:w="372" w:type="pct"/>
            <w:vMerge/>
            <w:vAlign w:val="center"/>
          </w:tcPr>
          <w:p w14:paraId="09DF1FF3" w14:textId="77777777" w:rsidR="002E474C" w:rsidRDefault="002E474C">
            <w:pPr>
              <w:pStyle w:val="A-"/>
            </w:pPr>
          </w:p>
        </w:tc>
        <w:tc>
          <w:tcPr>
            <w:tcW w:w="457" w:type="pct"/>
            <w:vAlign w:val="center"/>
          </w:tcPr>
          <w:p w14:paraId="4FD9694B" w14:textId="77777777" w:rsidR="002E474C" w:rsidRDefault="00000000">
            <w:pPr>
              <w:pStyle w:val="A-"/>
            </w:pPr>
            <w:r>
              <w:t>321-021-48</w:t>
            </w:r>
          </w:p>
        </w:tc>
        <w:tc>
          <w:tcPr>
            <w:tcW w:w="2678" w:type="pct"/>
            <w:vAlign w:val="center"/>
          </w:tcPr>
          <w:p w14:paraId="62A94F0A" w14:textId="77777777" w:rsidR="002E474C" w:rsidRDefault="00000000">
            <w:pPr>
              <w:pStyle w:val="A-"/>
            </w:pPr>
            <w:r>
              <w:rPr>
                <w:spacing w:val="-6"/>
              </w:rPr>
              <w:t>铅锌冶炼过程中，锌焙烧矿热酸浸出黄钾铁矾法、热酸浸出针铁矿法产生的铅银渣</w:t>
            </w:r>
          </w:p>
        </w:tc>
        <w:tc>
          <w:tcPr>
            <w:tcW w:w="395" w:type="pct"/>
            <w:vAlign w:val="center"/>
          </w:tcPr>
          <w:p w14:paraId="144A28F3" w14:textId="77777777" w:rsidR="002E474C" w:rsidRDefault="00000000">
            <w:pPr>
              <w:pStyle w:val="A-"/>
            </w:pPr>
            <w:r>
              <w:t>T</w:t>
            </w:r>
          </w:p>
        </w:tc>
      </w:tr>
      <w:tr w:rsidR="002E474C" w14:paraId="08C57CA6" w14:textId="77777777">
        <w:trPr>
          <w:trHeight w:val="240"/>
        </w:trPr>
        <w:tc>
          <w:tcPr>
            <w:tcW w:w="574" w:type="pct"/>
            <w:vMerge/>
            <w:vAlign w:val="center"/>
          </w:tcPr>
          <w:p w14:paraId="4AF9DB54" w14:textId="77777777" w:rsidR="002E474C" w:rsidRDefault="002E474C">
            <w:pPr>
              <w:pStyle w:val="A-"/>
            </w:pPr>
          </w:p>
        </w:tc>
        <w:tc>
          <w:tcPr>
            <w:tcW w:w="524" w:type="pct"/>
            <w:vMerge/>
            <w:vAlign w:val="center"/>
          </w:tcPr>
          <w:p w14:paraId="6E600F16" w14:textId="77777777" w:rsidR="002E474C" w:rsidRDefault="002E474C">
            <w:pPr>
              <w:pStyle w:val="A-"/>
            </w:pPr>
          </w:p>
        </w:tc>
        <w:tc>
          <w:tcPr>
            <w:tcW w:w="372" w:type="pct"/>
            <w:vMerge/>
            <w:vAlign w:val="center"/>
          </w:tcPr>
          <w:p w14:paraId="762FBC92" w14:textId="77777777" w:rsidR="002E474C" w:rsidRDefault="002E474C">
            <w:pPr>
              <w:pStyle w:val="A-"/>
            </w:pPr>
          </w:p>
        </w:tc>
        <w:tc>
          <w:tcPr>
            <w:tcW w:w="457" w:type="pct"/>
            <w:vAlign w:val="center"/>
          </w:tcPr>
          <w:p w14:paraId="2062175D" w14:textId="77777777" w:rsidR="002E474C" w:rsidRDefault="00000000">
            <w:pPr>
              <w:pStyle w:val="A-"/>
            </w:pPr>
            <w:r>
              <w:t>321-022-48</w:t>
            </w:r>
          </w:p>
        </w:tc>
        <w:tc>
          <w:tcPr>
            <w:tcW w:w="2678" w:type="pct"/>
            <w:vAlign w:val="center"/>
          </w:tcPr>
          <w:p w14:paraId="6E271B08" w14:textId="77777777" w:rsidR="002E474C" w:rsidRDefault="00000000">
            <w:pPr>
              <w:pStyle w:val="A-"/>
            </w:pPr>
            <w:r>
              <w:t>铅锌冶炼过程中产生的废水处理污泥</w:t>
            </w:r>
          </w:p>
        </w:tc>
        <w:tc>
          <w:tcPr>
            <w:tcW w:w="395" w:type="pct"/>
            <w:vAlign w:val="center"/>
          </w:tcPr>
          <w:p w14:paraId="6D44F059" w14:textId="77777777" w:rsidR="002E474C" w:rsidRDefault="00000000">
            <w:pPr>
              <w:pStyle w:val="A-"/>
            </w:pPr>
            <w:r>
              <w:t>T</w:t>
            </w:r>
          </w:p>
        </w:tc>
      </w:tr>
      <w:tr w:rsidR="002E474C" w14:paraId="0328141A" w14:textId="77777777">
        <w:trPr>
          <w:trHeight w:val="240"/>
        </w:trPr>
        <w:tc>
          <w:tcPr>
            <w:tcW w:w="574" w:type="pct"/>
            <w:vMerge/>
            <w:vAlign w:val="center"/>
          </w:tcPr>
          <w:p w14:paraId="1B4B9897" w14:textId="77777777" w:rsidR="002E474C" w:rsidRDefault="002E474C">
            <w:pPr>
              <w:pStyle w:val="A-"/>
            </w:pPr>
          </w:p>
        </w:tc>
        <w:tc>
          <w:tcPr>
            <w:tcW w:w="524" w:type="pct"/>
            <w:vMerge/>
            <w:vAlign w:val="center"/>
          </w:tcPr>
          <w:p w14:paraId="3E2999BE" w14:textId="77777777" w:rsidR="002E474C" w:rsidRDefault="002E474C">
            <w:pPr>
              <w:pStyle w:val="A-"/>
            </w:pPr>
          </w:p>
        </w:tc>
        <w:tc>
          <w:tcPr>
            <w:tcW w:w="372" w:type="pct"/>
            <w:vMerge/>
            <w:vAlign w:val="center"/>
          </w:tcPr>
          <w:p w14:paraId="5CFBF366" w14:textId="77777777" w:rsidR="002E474C" w:rsidRDefault="002E474C">
            <w:pPr>
              <w:pStyle w:val="A-"/>
            </w:pPr>
          </w:p>
        </w:tc>
        <w:tc>
          <w:tcPr>
            <w:tcW w:w="457" w:type="pct"/>
            <w:vAlign w:val="center"/>
          </w:tcPr>
          <w:p w14:paraId="48B5870A" w14:textId="77777777" w:rsidR="002E474C" w:rsidRDefault="00000000">
            <w:pPr>
              <w:pStyle w:val="A-"/>
            </w:pPr>
            <w:r>
              <w:t>321-023-48</w:t>
            </w:r>
          </w:p>
        </w:tc>
        <w:tc>
          <w:tcPr>
            <w:tcW w:w="2678" w:type="pct"/>
            <w:vAlign w:val="center"/>
          </w:tcPr>
          <w:p w14:paraId="770A758D" w14:textId="77777777" w:rsidR="002E474C" w:rsidRDefault="00000000">
            <w:pPr>
              <w:pStyle w:val="A-"/>
            </w:pPr>
            <w:r>
              <w:t>电解铝过程中电解槽维修及废弃产生的废渣</w:t>
            </w:r>
          </w:p>
        </w:tc>
        <w:tc>
          <w:tcPr>
            <w:tcW w:w="395" w:type="pct"/>
            <w:vAlign w:val="center"/>
          </w:tcPr>
          <w:p w14:paraId="674CAA24" w14:textId="77777777" w:rsidR="002E474C" w:rsidRDefault="00000000">
            <w:pPr>
              <w:pStyle w:val="A-"/>
            </w:pPr>
            <w:r>
              <w:t>T</w:t>
            </w:r>
          </w:p>
        </w:tc>
      </w:tr>
      <w:tr w:rsidR="002E474C" w14:paraId="125EAC75" w14:textId="77777777">
        <w:trPr>
          <w:trHeight w:val="240"/>
        </w:trPr>
        <w:tc>
          <w:tcPr>
            <w:tcW w:w="574" w:type="pct"/>
            <w:vMerge/>
            <w:vAlign w:val="center"/>
          </w:tcPr>
          <w:p w14:paraId="2134A8BE" w14:textId="77777777" w:rsidR="002E474C" w:rsidRDefault="002E474C">
            <w:pPr>
              <w:pStyle w:val="A-"/>
            </w:pPr>
          </w:p>
        </w:tc>
        <w:tc>
          <w:tcPr>
            <w:tcW w:w="524" w:type="pct"/>
            <w:vMerge/>
            <w:vAlign w:val="center"/>
          </w:tcPr>
          <w:p w14:paraId="7C3A388B" w14:textId="77777777" w:rsidR="002E474C" w:rsidRDefault="002E474C">
            <w:pPr>
              <w:pStyle w:val="A-"/>
            </w:pPr>
          </w:p>
        </w:tc>
        <w:tc>
          <w:tcPr>
            <w:tcW w:w="372" w:type="pct"/>
            <w:vMerge/>
            <w:vAlign w:val="center"/>
          </w:tcPr>
          <w:p w14:paraId="60981D30" w14:textId="77777777" w:rsidR="002E474C" w:rsidRDefault="002E474C">
            <w:pPr>
              <w:pStyle w:val="A-"/>
            </w:pPr>
          </w:p>
        </w:tc>
        <w:tc>
          <w:tcPr>
            <w:tcW w:w="457" w:type="pct"/>
            <w:vAlign w:val="center"/>
          </w:tcPr>
          <w:p w14:paraId="46A49B78" w14:textId="77777777" w:rsidR="002E474C" w:rsidRDefault="00000000">
            <w:pPr>
              <w:pStyle w:val="A-"/>
            </w:pPr>
            <w:r>
              <w:t>321-025-48</w:t>
            </w:r>
          </w:p>
        </w:tc>
        <w:tc>
          <w:tcPr>
            <w:tcW w:w="2678" w:type="pct"/>
            <w:vAlign w:val="center"/>
          </w:tcPr>
          <w:p w14:paraId="33ED2D0D" w14:textId="77777777" w:rsidR="002E474C" w:rsidRDefault="00000000">
            <w:pPr>
              <w:pStyle w:val="A-"/>
            </w:pPr>
            <w:r>
              <w:t>电解铝过程中产生的盐渣、浮渣</w:t>
            </w:r>
          </w:p>
        </w:tc>
        <w:tc>
          <w:tcPr>
            <w:tcW w:w="395" w:type="pct"/>
            <w:vAlign w:val="center"/>
          </w:tcPr>
          <w:p w14:paraId="2CE61920" w14:textId="77777777" w:rsidR="002E474C" w:rsidRDefault="00000000">
            <w:pPr>
              <w:pStyle w:val="A-"/>
            </w:pPr>
            <w:r>
              <w:t>T</w:t>
            </w:r>
          </w:p>
        </w:tc>
      </w:tr>
      <w:tr w:rsidR="002E474C" w14:paraId="76BE3140" w14:textId="77777777">
        <w:trPr>
          <w:trHeight w:val="240"/>
        </w:trPr>
        <w:tc>
          <w:tcPr>
            <w:tcW w:w="574" w:type="pct"/>
            <w:vMerge/>
            <w:vAlign w:val="center"/>
          </w:tcPr>
          <w:p w14:paraId="5975A088" w14:textId="77777777" w:rsidR="002E474C" w:rsidRDefault="002E474C">
            <w:pPr>
              <w:pStyle w:val="A-"/>
            </w:pPr>
          </w:p>
        </w:tc>
        <w:tc>
          <w:tcPr>
            <w:tcW w:w="524" w:type="pct"/>
            <w:vMerge/>
            <w:vAlign w:val="center"/>
          </w:tcPr>
          <w:p w14:paraId="109C7819" w14:textId="77777777" w:rsidR="002E474C" w:rsidRDefault="002E474C">
            <w:pPr>
              <w:pStyle w:val="A-"/>
            </w:pPr>
          </w:p>
        </w:tc>
        <w:tc>
          <w:tcPr>
            <w:tcW w:w="372" w:type="pct"/>
            <w:vMerge/>
            <w:vAlign w:val="center"/>
          </w:tcPr>
          <w:p w14:paraId="5DB7FFC4" w14:textId="77777777" w:rsidR="002E474C" w:rsidRDefault="002E474C">
            <w:pPr>
              <w:pStyle w:val="A-"/>
            </w:pPr>
          </w:p>
        </w:tc>
        <w:tc>
          <w:tcPr>
            <w:tcW w:w="457" w:type="pct"/>
            <w:vAlign w:val="center"/>
          </w:tcPr>
          <w:p w14:paraId="76DBF43E" w14:textId="77777777" w:rsidR="002E474C" w:rsidRDefault="00000000">
            <w:pPr>
              <w:pStyle w:val="A-"/>
            </w:pPr>
            <w:r>
              <w:t>321-027-48</w:t>
            </w:r>
          </w:p>
        </w:tc>
        <w:tc>
          <w:tcPr>
            <w:tcW w:w="2678" w:type="pct"/>
            <w:vAlign w:val="center"/>
          </w:tcPr>
          <w:p w14:paraId="6F35D9E5" w14:textId="77777777" w:rsidR="002E474C" w:rsidRDefault="00000000">
            <w:pPr>
              <w:pStyle w:val="A-"/>
            </w:pPr>
            <w:r>
              <w:t>铜再生过程中集（除）尘装置收集的粉尘和废水处理污泥</w:t>
            </w:r>
          </w:p>
        </w:tc>
        <w:tc>
          <w:tcPr>
            <w:tcW w:w="395" w:type="pct"/>
            <w:vAlign w:val="center"/>
          </w:tcPr>
          <w:p w14:paraId="7FF50B44" w14:textId="77777777" w:rsidR="002E474C" w:rsidRDefault="00000000">
            <w:pPr>
              <w:pStyle w:val="A-"/>
            </w:pPr>
            <w:r>
              <w:t>T</w:t>
            </w:r>
          </w:p>
        </w:tc>
      </w:tr>
      <w:tr w:rsidR="002E474C" w14:paraId="5D9DFFD4" w14:textId="77777777">
        <w:trPr>
          <w:trHeight w:val="240"/>
        </w:trPr>
        <w:tc>
          <w:tcPr>
            <w:tcW w:w="574" w:type="pct"/>
            <w:vMerge/>
            <w:vAlign w:val="center"/>
          </w:tcPr>
          <w:p w14:paraId="797466B2" w14:textId="77777777" w:rsidR="002E474C" w:rsidRDefault="002E474C">
            <w:pPr>
              <w:pStyle w:val="A-"/>
            </w:pPr>
          </w:p>
        </w:tc>
        <w:tc>
          <w:tcPr>
            <w:tcW w:w="524" w:type="pct"/>
            <w:vMerge/>
            <w:vAlign w:val="center"/>
          </w:tcPr>
          <w:p w14:paraId="0194C403" w14:textId="77777777" w:rsidR="002E474C" w:rsidRDefault="002E474C">
            <w:pPr>
              <w:pStyle w:val="A-"/>
            </w:pPr>
          </w:p>
        </w:tc>
        <w:tc>
          <w:tcPr>
            <w:tcW w:w="372" w:type="pct"/>
            <w:vMerge/>
            <w:vAlign w:val="center"/>
          </w:tcPr>
          <w:p w14:paraId="4330589E" w14:textId="77777777" w:rsidR="002E474C" w:rsidRDefault="002E474C">
            <w:pPr>
              <w:pStyle w:val="A-"/>
            </w:pPr>
          </w:p>
        </w:tc>
        <w:tc>
          <w:tcPr>
            <w:tcW w:w="457" w:type="pct"/>
            <w:vAlign w:val="center"/>
          </w:tcPr>
          <w:p w14:paraId="30C481B6" w14:textId="77777777" w:rsidR="002E474C" w:rsidRDefault="00000000">
            <w:pPr>
              <w:pStyle w:val="A-"/>
            </w:pPr>
            <w:r>
              <w:t>321-028-48</w:t>
            </w:r>
          </w:p>
        </w:tc>
        <w:tc>
          <w:tcPr>
            <w:tcW w:w="2678" w:type="pct"/>
            <w:vAlign w:val="center"/>
          </w:tcPr>
          <w:p w14:paraId="7DB10006" w14:textId="77777777" w:rsidR="002E474C" w:rsidRDefault="00000000">
            <w:pPr>
              <w:pStyle w:val="A-"/>
            </w:pPr>
            <w:r>
              <w:t>锌再生过程中集（除）尘装置收集的粉尘和废水处理污泥</w:t>
            </w:r>
          </w:p>
        </w:tc>
        <w:tc>
          <w:tcPr>
            <w:tcW w:w="395" w:type="pct"/>
            <w:vAlign w:val="center"/>
          </w:tcPr>
          <w:p w14:paraId="0A5AEF61" w14:textId="77777777" w:rsidR="002E474C" w:rsidRDefault="00000000">
            <w:pPr>
              <w:pStyle w:val="A-"/>
            </w:pPr>
            <w:r>
              <w:t>T</w:t>
            </w:r>
          </w:p>
        </w:tc>
      </w:tr>
      <w:tr w:rsidR="002E474C" w14:paraId="0EB6B928" w14:textId="77777777">
        <w:trPr>
          <w:trHeight w:val="240"/>
        </w:trPr>
        <w:tc>
          <w:tcPr>
            <w:tcW w:w="574" w:type="pct"/>
            <w:vMerge/>
            <w:vAlign w:val="center"/>
          </w:tcPr>
          <w:p w14:paraId="116C4C93" w14:textId="77777777" w:rsidR="002E474C" w:rsidRDefault="002E474C">
            <w:pPr>
              <w:pStyle w:val="A-"/>
            </w:pPr>
          </w:p>
        </w:tc>
        <w:tc>
          <w:tcPr>
            <w:tcW w:w="524" w:type="pct"/>
            <w:vMerge/>
            <w:vAlign w:val="center"/>
          </w:tcPr>
          <w:p w14:paraId="02C24DBE" w14:textId="77777777" w:rsidR="002E474C" w:rsidRDefault="002E474C">
            <w:pPr>
              <w:pStyle w:val="A-"/>
            </w:pPr>
          </w:p>
        </w:tc>
        <w:tc>
          <w:tcPr>
            <w:tcW w:w="372" w:type="pct"/>
            <w:vMerge/>
            <w:vAlign w:val="center"/>
          </w:tcPr>
          <w:p w14:paraId="732D172F" w14:textId="77777777" w:rsidR="002E474C" w:rsidRDefault="002E474C">
            <w:pPr>
              <w:pStyle w:val="A-"/>
            </w:pPr>
          </w:p>
        </w:tc>
        <w:tc>
          <w:tcPr>
            <w:tcW w:w="457" w:type="pct"/>
            <w:vAlign w:val="center"/>
          </w:tcPr>
          <w:p w14:paraId="23DF69E1" w14:textId="77777777" w:rsidR="002E474C" w:rsidRDefault="00000000">
            <w:pPr>
              <w:pStyle w:val="A-"/>
            </w:pPr>
            <w:r>
              <w:t>321-029-48</w:t>
            </w:r>
          </w:p>
        </w:tc>
        <w:tc>
          <w:tcPr>
            <w:tcW w:w="2678" w:type="pct"/>
            <w:vAlign w:val="center"/>
          </w:tcPr>
          <w:p w14:paraId="4CED9442" w14:textId="77777777" w:rsidR="002E474C" w:rsidRDefault="00000000">
            <w:pPr>
              <w:pStyle w:val="A-"/>
            </w:pPr>
            <w:r>
              <w:t>铅再生过程中集（除）尘装置收集的粉尘和废水处理污泥</w:t>
            </w:r>
          </w:p>
        </w:tc>
        <w:tc>
          <w:tcPr>
            <w:tcW w:w="395" w:type="pct"/>
            <w:vAlign w:val="center"/>
          </w:tcPr>
          <w:p w14:paraId="515D98AB" w14:textId="77777777" w:rsidR="002E474C" w:rsidRDefault="00000000">
            <w:pPr>
              <w:pStyle w:val="A-"/>
            </w:pPr>
            <w:r>
              <w:t>T</w:t>
            </w:r>
          </w:p>
        </w:tc>
      </w:tr>
      <w:tr w:rsidR="002E474C" w14:paraId="76BE48F1" w14:textId="77777777">
        <w:trPr>
          <w:trHeight w:val="395"/>
        </w:trPr>
        <w:tc>
          <w:tcPr>
            <w:tcW w:w="574" w:type="pct"/>
            <w:vMerge/>
            <w:vAlign w:val="center"/>
          </w:tcPr>
          <w:p w14:paraId="12E9EFA0" w14:textId="77777777" w:rsidR="002E474C" w:rsidRDefault="002E474C">
            <w:pPr>
              <w:pStyle w:val="A-"/>
            </w:pPr>
          </w:p>
        </w:tc>
        <w:tc>
          <w:tcPr>
            <w:tcW w:w="524" w:type="pct"/>
            <w:vMerge/>
            <w:vAlign w:val="center"/>
          </w:tcPr>
          <w:p w14:paraId="339A9A87" w14:textId="77777777" w:rsidR="002E474C" w:rsidRDefault="002E474C">
            <w:pPr>
              <w:pStyle w:val="A-"/>
            </w:pPr>
          </w:p>
        </w:tc>
        <w:tc>
          <w:tcPr>
            <w:tcW w:w="372" w:type="pct"/>
            <w:vMerge/>
            <w:vAlign w:val="center"/>
          </w:tcPr>
          <w:p w14:paraId="4D26F8DF" w14:textId="77777777" w:rsidR="002E474C" w:rsidRDefault="002E474C">
            <w:pPr>
              <w:pStyle w:val="A-"/>
            </w:pPr>
          </w:p>
        </w:tc>
        <w:tc>
          <w:tcPr>
            <w:tcW w:w="457" w:type="pct"/>
            <w:vAlign w:val="center"/>
          </w:tcPr>
          <w:p w14:paraId="6B2655F4" w14:textId="77777777" w:rsidR="002E474C" w:rsidRDefault="00000000">
            <w:pPr>
              <w:pStyle w:val="A-"/>
            </w:pPr>
            <w:r>
              <w:t>321-030-48</w:t>
            </w:r>
          </w:p>
        </w:tc>
        <w:tc>
          <w:tcPr>
            <w:tcW w:w="2678" w:type="pct"/>
            <w:vAlign w:val="center"/>
          </w:tcPr>
          <w:p w14:paraId="38BC74C4" w14:textId="77777777" w:rsidR="002E474C" w:rsidRDefault="00000000">
            <w:pPr>
              <w:pStyle w:val="A-"/>
            </w:pPr>
            <w:r>
              <w:t>汞再生过程中集（除）尘装置收集的粉尘和废水处理污泥</w:t>
            </w:r>
          </w:p>
        </w:tc>
        <w:tc>
          <w:tcPr>
            <w:tcW w:w="395" w:type="pct"/>
            <w:vAlign w:val="center"/>
          </w:tcPr>
          <w:p w14:paraId="30D8583F" w14:textId="77777777" w:rsidR="002E474C" w:rsidRDefault="00000000">
            <w:pPr>
              <w:pStyle w:val="A-"/>
            </w:pPr>
            <w:r>
              <w:t>T</w:t>
            </w:r>
          </w:p>
        </w:tc>
      </w:tr>
      <w:tr w:rsidR="002E474C" w14:paraId="1A3F378F" w14:textId="77777777">
        <w:trPr>
          <w:trHeight w:val="240"/>
        </w:trPr>
        <w:tc>
          <w:tcPr>
            <w:tcW w:w="574" w:type="pct"/>
            <w:vMerge/>
            <w:vAlign w:val="center"/>
          </w:tcPr>
          <w:p w14:paraId="7D014081" w14:textId="77777777" w:rsidR="002E474C" w:rsidRDefault="002E474C">
            <w:pPr>
              <w:pStyle w:val="A-"/>
            </w:pPr>
          </w:p>
        </w:tc>
        <w:tc>
          <w:tcPr>
            <w:tcW w:w="524" w:type="pct"/>
            <w:vAlign w:val="center"/>
          </w:tcPr>
          <w:p w14:paraId="341497EA" w14:textId="77777777" w:rsidR="002E474C" w:rsidRDefault="00000000">
            <w:pPr>
              <w:pStyle w:val="A-"/>
            </w:pPr>
            <w:r>
              <w:t>稀有稀土金属冶炼</w:t>
            </w:r>
          </w:p>
        </w:tc>
        <w:tc>
          <w:tcPr>
            <w:tcW w:w="372" w:type="pct"/>
            <w:vAlign w:val="center"/>
          </w:tcPr>
          <w:p w14:paraId="1514BA03" w14:textId="77777777" w:rsidR="002E474C" w:rsidRDefault="00000000">
            <w:pPr>
              <w:pStyle w:val="A-"/>
            </w:pPr>
            <w:r>
              <w:t>固态、半固态</w:t>
            </w:r>
          </w:p>
        </w:tc>
        <w:tc>
          <w:tcPr>
            <w:tcW w:w="457" w:type="pct"/>
            <w:vAlign w:val="center"/>
          </w:tcPr>
          <w:p w14:paraId="5730BBF0" w14:textId="77777777" w:rsidR="002E474C" w:rsidRDefault="00000000">
            <w:pPr>
              <w:pStyle w:val="A-"/>
            </w:pPr>
            <w:r>
              <w:t>323-001-48</w:t>
            </w:r>
          </w:p>
        </w:tc>
        <w:tc>
          <w:tcPr>
            <w:tcW w:w="2678" w:type="pct"/>
            <w:vAlign w:val="center"/>
          </w:tcPr>
          <w:p w14:paraId="03A6BE88" w14:textId="77777777" w:rsidR="002E474C" w:rsidRDefault="00000000">
            <w:pPr>
              <w:pStyle w:val="A-"/>
            </w:pPr>
            <w:r>
              <w:t>仲钨酸铵生产过程中碱分解产生的碱煮渣（钨渣）、除钼过程中产生的除钼渣和废水处理污泥</w:t>
            </w:r>
          </w:p>
        </w:tc>
        <w:tc>
          <w:tcPr>
            <w:tcW w:w="395" w:type="pct"/>
            <w:vAlign w:val="center"/>
          </w:tcPr>
          <w:p w14:paraId="2EE820CD" w14:textId="77777777" w:rsidR="002E474C" w:rsidRDefault="00000000">
            <w:pPr>
              <w:pStyle w:val="A-"/>
            </w:pPr>
            <w:r>
              <w:t>T</w:t>
            </w:r>
          </w:p>
        </w:tc>
      </w:tr>
      <w:tr w:rsidR="002E474C" w14:paraId="1973BE96" w14:textId="77777777">
        <w:trPr>
          <w:trHeight w:val="565"/>
        </w:trPr>
        <w:tc>
          <w:tcPr>
            <w:tcW w:w="574" w:type="pct"/>
            <w:vMerge w:val="restart"/>
            <w:vAlign w:val="center"/>
          </w:tcPr>
          <w:p w14:paraId="06432FAF" w14:textId="77777777" w:rsidR="002E474C" w:rsidRDefault="00000000">
            <w:pPr>
              <w:pStyle w:val="A-"/>
            </w:pPr>
            <w:r>
              <w:t>HW49</w:t>
            </w:r>
          </w:p>
          <w:p w14:paraId="5A891208" w14:textId="77777777" w:rsidR="002E474C" w:rsidRDefault="00000000">
            <w:pPr>
              <w:pStyle w:val="A-"/>
            </w:pPr>
            <w:r>
              <w:t>其他废物</w:t>
            </w:r>
          </w:p>
        </w:tc>
        <w:tc>
          <w:tcPr>
            <w:tcW w:w="524" w:type="pct"/>
            <w:vAlign w:val="center"/>
          </w:tcPr>
          <w:p w14:paraId="5785A55B" w14:textId="77777777" w:rsidR="002E474C" w:rsidRDefault="00000000">
            <w:pPr>
              <w:pStyle w:val="A-"/>
            </w:pPr>
            <w:r>
              <w:t>石墨及其他非金属矿物制品制造</w:t>
            </w:r>
          </w:p>
        </w:tc>
        <w:tc>
          <w:tcPr>
            <w:tcW w:w="372" w:type="pct"/>
            <w:vAlign w:val="center"/>
          </w:tcPr>
          <w:p w14:paraId="3D2575D7" w14:textId="77777777" w:rsidR="002E474C" w:rsidRDefault="00000000">
            <w:pPr>
              <w:pStyle w:val="A-"/>
            </w:pPr>
            <w:r>
              <w:t>固态</w:t>
            </w:r>
          </w:p>
        </w:tc>
        <w:tc>
          <w:tcPr>
            <w:tcW w:w="457" w:type="pct"/>
            <w:vAlign w:val="center"/>
          </w:tcPr>
          <w:p w14:paraId="61269484" w14:textId="77777777" w:rsidR="002E474C" w:rsidRDefault="00000000">
            <w:pPr>
              <w:pStyle w:val="A-"/>
            </w:pPr>
            <w:r>
              <w:t>309-001-49</w:t>
            </w:r>
          </w:p>
        </w:tc>
        <w:tc>
          <w:tcPr>
            <w:tcW w:w="2678" w:type="pct"/>
            <w:vAlign w:val="center"/>
          </w:tcPr>
          <w:p w14:paraId="201C7CDF" w14:textId="77777777" w:rsidR="002E474C" w:rsidRDefault="00000000">
            <w:pPr>
              <w:pStyle w:val="A-"/>
            </w:pPr>
            <w:r>
              <w:t>多晶硅生产过程中废弃的三氯化硅和四氯化硅</w:t>
            </w:r>
          </w:p>
        </w:tc>
        <w:tc>
          <w:tcPr>
            <w:tcW w:w="395" w:type="pct"/>
            <w:vAlign w:val="center"/>
          </w:tcPr>
          <w:p w14:paraId="7FEF4695" w14:textId="77777777" w:rsidR="002E474C" w:rsidRDefault="00000000">
            <w:pPr>
              <w:pStyle w:val="A-"/>
            </w:pPr>
            <w:r>
              <w:t>R/C</w:t>
            </w:r>
          </w:p>
        </w:tc>
      </w:tr>
      <w:tr w:rsidR="002E474C" w14:paraId="42EC5361" w14:textId="77777777">
        <w:trPr>
          <w:trHeight w:val="240"/>
        </w:trPr>
        <w:tc>
          <w:tcPr>
            <w:tcW w:w="574" w:type="pct"/>
            <w:vMerge/>
            <w:vAlign w:val="center"/>
          </w:tcPr>
          <w:p w14:paraId="08634F18" w14:textId="77777777" w:rsidR="002E474C" w:rsidRDefault="002E474C">
            <w:pPr>
              <w:pStyle w:val="A-"/>
            </w:pPr>
          </w:p>
        </w:tc>
        <w:tc>
          <w:tcPr>
            <w:tcW w:w="524" w:type="pct"/>
            <w:vMerge w:val="restart"/>
            <w:vAlign w:val="center"/>
          </w:tcPr>
          <w:p w14:paraId="64DE13F3" w14:textId="77777777" w:rsidR="002E474C" w:rsidRDefault="00000000">
            <w:pPr>
              <w:pStyle w:val="A-"/>
            </w:pPr>
            <w:r>
              <w:t>非特定行业</w:t>
            </w:r>
          </w:p>
        </w:tc>
        <w:tc>
          <w:tcPr>
            <w:tcW w:w="372" w:type="pct"/>
            <w:vMerge w:val="restart"/>
            <w:vAlign w:val="center"/>
          </w:tcPr>
          <w:p w14:paraId="36B02F03" w14:textId="77777777" w:rsidR="002E474C" w:rsidRDefault="00000000">
            <w:pPr>
              <w:pStyle w:val="A-"/>
            </w:pPr>
            <w:r>
              <w:t>固态、半固态</w:t>
            </w:r>
          </w:p>
        </w:tc>
        <w:tc>
          <w:tcPr>
            <w:tcW w:w="457" w:type="pct"/>
            <w:vAlign w:val="center"/>
          </w:tcPr>
          <w:p w14:paraId="200868D9" w14:textId="77777777" w:rsidR="002E474C" w:rsidRDefault="00000000">
            <w:pPr>
              <w:pStyle w:val="A-"/>
            </w:pPr>
            <w:r>
              <w:t>900-039-49</w:t>
            </w:r>
          </w:p>
        </w:tc>
        <w:tc>
          <w:tcPr>
            <w:tcW w:w="2678" w:type="pct"/>
            <w:vAlign w:val="center"/>
          </w:tcPr>
          <w:p w14:paraId="7DAB0FBD" w14:textId="77777777" w:rsidR="002E474C" w:rsidRDefault="00000000">
            <w:pPr>
              <w:pStyle w:val="A-"/>
            </w:pPr>
            <w:r>
              <w:t>化工行业生产过程中产生的废活性炭</w:t>
            </w:r>
          </w:p>
        </w:tc>
        <w:tc>
          <w:tcPr>
            <w:tcW w:w="395" w:type="pct"/>
            <w:vAlign w:val="center"/>
          </w:tcPr>
          <w:p w14:paraId="2687CDBB" w14:textId="77777777" w:rsidR="002E474C" w:rsidRDefault="00000000">
            <w:pPr>
              <w:pStyle w:val="A-"/>
            </w:pPr>
            <w:r>
              <w:t>T</w:t>
            </w:r>
          </w:p>
        </w:tc>
      </w:tr>
      <w:tr w:rsidR="002E474C" w14:paraId="4D3D14C2" w14:textId="77777777">
        <w:trPr>
          <w:trHeight w:val="240"/>
        </w:trPr>
        <w:tc>
          <w:tcPr>
            <w:tcW w:w="574" w:type="pct"/>
            <w:vMerge/>
            <w:vAlign w:val="center"/>
          </w:tcPr>
          <w:p w14:paraId="7F477EE9" w14:textId="77777777" w:rsidR="002E474C" w:rsidRDefault="002E474C">
            <w:pPr>
              <w:pStyle w:val="A-"/>
            </w:pPr>
          </w:p>
        </w:tc>
        <w:tc>
          <w:tcPr>
            <w:tcW w:w="524" w:type="pct"/>
            <w:vMerge/>
            <w:vAlign w:val="center"/>
          </w:tcPr>
          <w:p w14:paraId="74DCA634" w14:textId="77777777" w:rsidR="002E474C" w:rsidRDefault="002E474C">
            <w:pPr>
              <w:pStyle w:val="A-"/>
            </w:pPr>
          </w:p>
        </w:tc>
        <w:tc>
          <w:tcPr>
            <w:tcW w:w="372" w:type="pct"/>
            <w:vMerge/>
            <w:vAlign w:val="center"/>
          </w:tcPr>
          <w:p w14:paraId="4FE118F1" w14:textId="77777777" w:rsidR="002E474C" w:rsidRDefault="002E474C">
            <w:pPr>
              <w:pStyle w:val="A-"/>
            </w:pPr>
          </w:p>
        </w:tc>
        <w:tc>
          <w:tcPr>
            <w:tcW w:w="457" w:type="pct"/>
            <w:vAlign w:val="center"/>
          </w:tcPr>
          <w:p w14:paraId="0986BFBA" w14:textId="77777777" w:rsidR="002E474C" w:rsidRDefault="00000000">
            <w:pPr>
              <w:pStyle w:val="A-"/>
            </w:pPr>
            <w:r>
              <w:t>900-040-49</w:t>
            </w:r>
          </w:p>
        </w:tc>
        <w:tc>
          <w:tcPr>
            <w:tcW w:w="2678" w:type="pct"/>
            <w:vAlign w:val="center"/>
          </w:tcPr>
          <w:p w14:paraId="117604CF" w14:textId="77777777" w:rsidR="002E474C" w:rsidRDefault="00000000">
            <w:pPr>
              <w:pStyle w:val="A-"/>
            </w:pPr>
            <w:r>
              <w:t>无机化工行业生产过程中集（除）尘装置收集的粉尘</w:t>
            </w:r>
          </w:p>
        </w:tc>
        <w:tc>
          <w:tcPr>
            <w:tcW w:w="395" w:type="pct"/>
            <w:vAlign w:val="center"/>
          </w:tcPr>
          <w:p w14:paraId="77A3428D" w14:textId="77777777" w:rsidR="002E474C" w:rsidRDefault="00000000">
            <w:pPr>
              <w:pStyle w:val="A-"/>
            </w:pPr>
            <w:r>
              <w:t>T</w:t>
            </w:r>
          </w:p>
        </w:tc>
      </w:tr>
      <w:tr w:rsidR="002E474C" w14:paraId="14A072A7" w14:textId="77777777">
        <w:trPr>
          <w:trHeight w:val="240"/>
        </w:trPr>
        <w:tc>
          <w:tcPr>
            <w:tcW w:w="574" w:type="pct"/>
            <w:vMerge/>
            <w:vAlign w:val="center"/>
          </w:tcPr>
          <w:p w14:paraId="3B5221EE" w14:textId="77777777" w:rsidR="002E474C" w:rsidRDefault="002E474C">
            <w:pPr>
              <w:pStyle w:val="A-"/>
            </w:pPr>
          </w:p>
        </w:tc>
        <w:tc>
          <w:tcPr>
            <w:tcW w:w="524" w:type="pct"/>
            <w:vMerge/>
            <w:vAlign w:val="center"/>
          </w:tcPr>
          <w:p w14:paraId="58EC7DED" w14:textId="77777777" w:rsidR="002E474C" w:rsidRDefault="002E474C">
            <w:pPr>
              <w:pStyle w:val="A-"/>
            </w:pPr>
          </w:p>
        </w:tc>
        <w:tc>
          <w:tcPr>
            <w:tcW w:w="372" w:type="pct"/>
            <w:vMerge/>
            <w:vAlign w:val="center"/>
          </w:tcPr>
          <w:p w14:paraId="03A7DE78" w14:textId="77777777" w:rsidR="002E474C" w:rsidRDefault="002E474C">
            <w:pPr>
              <w:pStyle w:val="A-"/>
            </w:pPr>
          </w:p>
        </w:tc>
        <w:tc>
          <w:tcPr>
            <w:tcW w:w="457" w:type="pct"/>
            <w:vAlign w:val="center"/>
          </w:tcPr>
          <w:p w14:paraId="5A0E4E40" w14:textId="77777777" w:rsidR="002E474C" w:rsidRDefault="00000000">
            <w:pPr>
              <w:pStyle w:val="A-"/>
            </w:pPr>
            <w:r>
              <w:t>900-041-49</w:t>
            </w:r>
          </w:p>
        </w:tc>
        <w:tc>
          <w:tcPr>
            <w:tcW w:w="2678" w:type="pct"/>
            <w:vAlign w:val="center"/>
          </w:tcPr>
          <w:p w14:paraId="71DCD0FA" w14:textId="77777777" w:rsidR="002E474C" w:rsidRDefault="00000000">
            <w:pPr>
              <w:pStyle w:val="A-"/>
            </w:pPr>
            <w:r>
              <w:t>含有或沾染毒性、感染性危险废物的废弃包装物、容器、过滤吸附介质</w:t>
            </w:r>
          </w:p>
        </w:tc>
        <w:tc>
          <w:tcPr>
            <w:tcW w:w="395" w:type="pct"/>
            <w:vAlign w:val="center"/>
          </w:tcPr>
          <w:p w14:paraId="3F49FDF5" w14:textId="77777777" w:rsidR="002E474C" w:rsidRDefault="00000000">
            <w:pPr>
              <w:pStyle w:val="A-"/>
            </w:pPr>
            <w:r>
              <w:t>T/In</w:t>
            </w:r>
          </w:p>
        </w:tc>
      </w:tr>
      <w:tr w:rsidR="002E474C" w14:paraId="5D1C4544" w14:textId="77777777">
        <w:trPr>
          <w:trHeight w:val="240"/>
        </w:trPr>
        <w:tc>
          <w:tcPr>
            <w:tcW w:w="574" w:type="pct"/>
            <w:vMerge/>
            <w:vAlign w:val="center"/>
          </w:tcPr>
          <w:p w14:paraId="6A5B318E" w14:textId="77777777" w:rsidR="002E474C" w:rsidRDefault="002E474C">
            <w:pPr>
              <w:pStyle w:val="A-"/>
            </w:pPr>
          </w:p>
        </w:tc>
        <w:tc>
          <w:tcPr>
            <w:tcW w:w="524" w:type="pct"/>
            <w:vMerge/>
            <w:vAlign w:val="center"/>
          </w:tcPr>
          <w:p w14:paraId="4788F9F7" w14:textId="77777777" w:rsidR="002E474C" w:rsidRDefault="002E474C">
            <w:pPr>
              <w:pStyle w:val="A-"/>
            </w:pPr>
          </w:p>
        </w:tc>
        <w:tc>
          <w:tcPr>
            <w:tcW w:w="372" w:type="pct"/>
            <w:vMerge/>
            <w:vAlign w:val="center"/>
          </w:tcPr>
          <w:p w14:paraId="6CEA495A" w14:textId="77777777" w:rsidR="002E474C" w:rsidRDefault="002E474C">
            <w:pPr>
              <w:pStyle w:val="A-"/>
            </w:pPr>
          </w:p>
        </w:tc>
        <w:tc>
          <w:tcPr>
            <w:tcW w:w="457" w:type="pct"/>
            <w:vAlign w:val="center"/>
          </w:tcPr>
          <w:p w14:paraId="730CEC9D" w14:textId="77777777" w:rsidR="002E474C" w:rsidRDefault="00000000">
            <w:pPr>
              <w:pStyle w:val="A-"/>
            </w:pPr>
            <w:r>
              <w:t>900-042-49</w:t>
            </w:r>
          </w:p>
        </w:tc>
        <w:tc>
          <w:tcPr>
            <w:tcW w:w="2678" w:type="pct"/>
            <w:vAlign w:val="center"/>
          </w:tcPr>
          <w:p w14:paraId="51DE4B07" w14:textId="77777777" w:rsidR="002E474C" w:rsidRDefault="00000000">
            <w:pPr>
              <w:pStyle w:val="A-"/>
            </w:pPr>
            <w:r>
              <w:t>由危险化学品、危险废物造成的突发环境事件及其处理过程中产生的废物</w:t>
            </w:r>
          </w:p>
        </w:tc>
        <w:tc>
          <w:tcPr>
            <w:tcW w:w="395" w:type="pct"/>
            <w:vAlign w:val="center"/>
          </w:tcPr>
          <w:p w14:paraId="57F13F75" w14:textId="77777777" w:rsidR="002E474C" w:rsidRDefault="00000000">
            <w:pPr>
              <w:pStyle w:val="A-"/>
            </w:pPr>
            <w:r>
              <w:t>T/C/I/R/In</w:t>
            </w:r>
          </w:p>
        </w:tc>
      </w:tr>
      <w:tr w:rsidR="002E474C" w14:paraId="330AD100" w14:textId="77777777">
        <w:trPr>
          <w:trHeight w:val="240"/>
        </w:trPr>
        <w:tc>
          <w:tcPr>
            <w:tcW w:w="574" w:type="pct"/>
            <w:vMerge/>
            <w:vAlign w:val="center"/>
          </w:tcPr>
          <w:p w14:paraId="209A32C6" w14:textId="77777777" w:rsidR="002E474C" w:rsidRDefault="002E474C">
            <w:pPr>
              <w:pStyle w:val="A-"/>
            </w:pPr>
          </w:p>
        </w:tc>
        <w:tc>
          <w:tcPr>
            <w:tcW w:w="524" w:type="pct"/>
            <w:vMerge/>
            <w:vAlign w:val="center"/>
          </w:tcPr>
          <w:p w14:paraId="569A8D13" w14:textId="77777777" w:rsidR="002E474C" w:rsidRDefault="002E474C">
            <w:pPr>
              <w:pStyle w:val="A-"/>
            </w:pPr>
          </w:p>
        </w:tc>
        <w:tc>
          <w:tcPr>
            <w:tcW w:w="372" w:type="pct"/>
            <w:vMerge/>
            <w:vAlign w:val="center"/>
          </w:tcPr>
          <w:p w14:paraId="0223061F" w14:textId="77777777" w:rsidR="002E474C" w:rsidRDefault="002E474C">
            <w:pPr>
              <w:pStyle w:val="A-"/>
            </w:pPr>
          </w:p>
        </w:tc>
        <w:tc>
          <w:tcPr>
            <w:tcW w:w="457" w:type="pct"/>
            <w:vAlign w:val="center"/>
          </w:tcPr>
          <w:p w14:paraId="14AE7C2D" w14:textId="77777777" w:rsidR="002E474C" w:rsidRDefault="00000000">
            <w:pPr>
              <w:pStyle w:val="A-"/>
            </w:pPr>
            <w:r>
              <w:t>900-044-49</w:t>
            </w:r>
          </w:p>
        </w:tc>
        <w:tc>
          <w:tcPr>
            <w:tcW w:w="2678" w:type="pct"/>
            <w:vAlign w:val="center"/>
          </w:tcPr>
          <w:p w14:paraId="04DE8493" w14:textId="77777777" w:rsidR="002E474C" w:rsidRDefault="00000000">
            <w:pPr>
              <w:pStyle w:val="A-"/>
            </w:pPr>
            <w:r>
              <w:t>废弃的铅蓄电池、镉镍电池、氧化汞电池、汞开关、荧光粉和阴极射线管</w:t>
            </w:r>
          </w:p>
        </w:tc>
        <w:tc>
          <w:tcPr>
            <w:tcW w:w="395" w:type="pct"/>
            <w:vAlign w:val="center"/>
          </w:tcPr>
          <w:p w14:paraId="6790A4B0" w14:textId="77777777" w:rsidR="002E474C" w:rsidRDefault="00000000">
            <w:pPr>
              <w:pStyle w:val="A-"/>
            </w:pPr>
            <w:r>
              <w:t>T</w:t>
            </w:r>
          </w:p>
        </w:tc>
      </w:tr>
      <w:tr w:rsidR="002E474C" w14:paraId="3D75836D" w14:textId="77777777">
        <w:trPr>
          <w:trHeight w:val="240"/>
        </w:trPr>
        <w:tc>
          <w:tcPr>
            <w:tcW w:w="574" w:type="pct"/>
            <w:vMerge/>
            <w:vAlign w:val="center"/>
          </w:tcPr>
          <w:p w14:paraId="4100B767" w14:textId="77777777" w:rsidR="002E474C" w:rsidRDefault="002E474C">
            <w:pPr>
              <w:pStyle w:val="A-"/>
            </w:pPr>
          </w:p>
        </w:tc>
        <w:tc>
          <w:tcPr>
            <w:tcW w:w="524" w:type="pct"/>
            <w:vMerge/>
            <w:vAlign w:val="center"/>
          </w:tcPr>
          <w:p w14:paraId="5388D26B" w14:textId="77777777" w:rsidR="002E474C" w:rsidRDefault="002E474C">
            <w:pPr>
              <w:pStyle w:val="A-"/>
            </w:pPr>
          </w:p>
        </w:tc>
        <w:tc>
          <w:tcPr>
            <w:tcW w:w="372" w:type="pct"/>
            <w:vMerge/>
            <w:vAlign w:val="center"/>
          </w:tcPr>
          <w:p w14:paraId="42FD3135" w14:textId="77777777" w:rsidR="002E474C" w:rsidRDefault="002E474C">
            <w:pPr>
              <w:pStyle w:val="A-"/>
            </w:pPr>
          </w:p>
        </w:tc>
        <w:tc>
          <w:tcPr>
            <w:tcW w:w="457" w:type="pct"/>
            <w:vAlign w:val="center"/>
          </w:tcPr>
          <w:p w14:paraId="06558C09" w14:textId="77777777" w:rsidR="002E474C" w:rsidRDefault="00000000">
            <w:pPr>
              <w:pStyle w:val="A-"/>
            </w:pPr>
            <w:r>
              <w:t>900-045-49</w:t>
            </w:r>
          </w:p>
        </w:tc>
        <w:tc>
          <w:tcPr>
            <w:tcW w:w="2678" w:type="pct"/>
            <w:vAlign w:val="center"/>
          </w:tcPr>
          <w:p w14:paraId="1AE9D737" w14:textId="77777777" w:rsidR="002E474C" w:rsidRDefault="00000000">
            <w:pPr>
              <w:pStyle w:val="A-"/>
            </w:pPr>
            <w:r>
              <w:t>废电路板（包括废电路板上附带的元器件、芯片、插件、贴脚等）</w:t>
            </w:r>
          </w:p>
        </w:tc>
        <w:tc>
          <w:tcPr>
            <w:tcW w:w="395" w:type="pct"/>
            <w:vAlign w:val="center"/>
          </w:tcPr>
          <w:p w14:paraId="17F21753" w14:textId="77777777" w:rsidR="002E474C" w:rsidRDefault="00000000">
            <w:pPr>
              <w:pStyle w:val="A-"/>
            </w:pPr>
            <w:r>
              <w:t>T</w:t>
            </w:r>
          </w:p>
        </w:tc>
      </w:tr>
      <w:tr w:rsidR="002E474C" w14:paraId="04183A70" w14:textId="77777777">
        <w:trPr>
          <w:trHeight w:val="240"/>
        </w:trPr>
        <w:tc>
          <w:tcPr>
            <w:tcW w:w="574" w:type="pct"/>
            <w:vMerge/>
            <w:vAlign w:val="center"/>
          </w:tcPr>
          <w:p w14:paraId="603FAFE2" w14:textId="77777777" w:rsidR="002E474C" w:rsidRDefault="002E474C">
            <w:pPr>
              <w:pStyle w:val="A-"/>
            </w:pPr>
          </w:p>
        </w:tc>
        <w:tc>
          <w:tcPr>
            <w:tcW w:w="524" w:type="pct"/>
            <w:vMerge/>
            <w:vAlign w:val="center"/>
          </w:tcPr>
          <w:p w14:paraId="064B4F4A" w14:textId="77777777" w:rsidR="002E474C" w:rsidRDefault="002E474C">
            <w:pPr>
              <w:pStyle w:val="A-"/>
            </w:pPr>
          </w:p>
        </w:tc>
        <w:tc>
          <w:tcPr>
            <w:tcW w:w="372" w:type="pct"/>
            <w:vMerge/>
            <w:vAlign w:val="center"/>
          </w:tcPr>
          <w:p w14:paraId="122D89BA" w14:textId="77777777" w:rsidR="002E474C" w:rsidRDefault="002E474C">
            <w:pPr>
              <w:pStyle w:val="A-"/>
            </w:pPr>
          </w:p>
        </w:tc>
        <w:tc>
          <w:tcPr>
            <w:tcW w:w="457" w:type="pct"/>
            <w:vAlign w:val="center"/>
          </w:tcPr>
          <w:p w14:paraId="78094EC0" w14:textId="77777777" w:rsidR="002E474C" w:rsidRDefault="00000000">
            <w:pPr>
              <w:pStyle w:val="A-"/>
            </w:pPr>
            <w:r>
              <w:t>900-046-49</w:t>
            </w:r>
          </w:p>
        </w:tc>
        <w:tc>
          <w:tcPr>
            <w:tcW w:w="2678" w:type="pct"/>
            <w:vAlign w:val="center"/>
          </w:tcPr>
          <w:p w14:paraId="181F2612" w14:textId="77777777" w:rsidR="002E474C" w:rsidRDefault="00000000">
            <w:pPr>
              <w:pStyle w:val="A-"/>
            </w:pPr>
            <w:r>
              <w:t>离子交换装置再生过程中产生的废水处理污泥</w:t>
            </w:r>
          </w:p>
        </w:tc>
        <w:tc>
          <w:tcPr>
            <w:tcW w:w="395" w:type="pct"/>
            <w:vAlign w:val="center"/>
          </w:tcPr>
          <w:p w14:paraId="7E044000" w14:textId="77777777" w:rsidR="002E474C" w:rsidRDefault="00000000">
            <w:pPr>
              <w:pStyle w:val="A-"/>
            </w:pPr>
            <w:r>
              <w:t>T</w:t>
            </w:r>
          </w:p>
        </w:tc>
      </w:tr>
      <w:tr w:rsidR="002E474C" w14:paraId="7C2FFAE6" w14:textId="77777777">
        <w:trPr>
          <w:trHeight w:val="240"/>
        </w:trPr>
        <w:tc>
          <w:tcPr>
            <w:tcW w:w="574" w:type="pct"/>
            <w:vMerge/>
            <w:vAlign w:val="center"/>
          </w:tcPr>
          <w:p w14:paraId="308686AC" w14:textId="77777777" w:rsidR="002E474C" w:rsidRDefault="002E474C">
            <w:pPr>
              <w:pStyle w:val="A-"/>
            </w:pPr>
          </w:p>
        </w:tc>
        <w:tc>
          <w:tcPr>
            <w:tcW w:w="524" w:type="pct"/>
            <w:vMerge/>
            <w:vAlign w:val="center"/>
          </w:tcPr>
          <w:p w14:paraId="33E93FDD" w14:textId="77777777" w:rsidR="002E474C" w:rsidRDefault="002E474C">
            <w:pPr>
              <w:pStyle w:val="A-"/>
            </w:pPr>
          </w:p>
        </w:tc>
        <w:tc>
          <w:tcPr>
            <w:tcW w:w="372" w:type="pct"/>
            <w:vMerge/>
            <w:vAlign w:val="center"/>
          </w:tcPr>
          <w:p w14:paraId="1643D0C9" w14:textId="77777777" w:rsidR="002E474C" w:rsidRDefault="002E474C">
            <w:pPr>
              <w:pStyle w:val="A-"/>
            </w:pPr>
          </w:p>
        </w:tc>
        <w:tc>
          <w:tcPr>
            <w:tcW w:w="457" w:type="pct"/>
            <w:vAlign w:val="center"/>
          </w:tcPr>
          <w:p w14:paraId="42AD7E25" w14:textId="77777777" w:rsidR="002E474C" w:rsidRDefault="00000000">
            <w:pPr>
              <w:pStyle w:val="A-"/>
            </w:pPr>
            <w:r>
              <w:t>900-047-49</w:t>
            </w:r>
          </w:p>
        </w:tc>
        <w:tc>
          <w:tcPr>
            <w:tcW w:w="2678" w:type="pct"/>
            <w:vAlign w:val="center"/>
          </w:tcPr>
          <w:p w14:paraId="14CD2417" w14:textId="77777777" w:rsidR="002E474C" w:rsidRDefault="00000000">
            <w:pPr>
              <w:pStyle w:val="A-"/>
            </w:pPr>
            <w:r>
              <w:t>研究、开发和教学活动中，化学和生物实验室产生的废物（不包括</w:t>
            </w:r>
            <w:r>
              <w:t>HW03</w:t>
            </w:r>
            <w:r>
              <w:t>、</w:t>
            </w:r>
            <w:r>
              <w:t>900-999-49</w:t>
            </w:r>
            <w:r>
              <w:t>）</w:t>
            </w:r>
          </w:p>
        </w:tc>
        <w:tc>
          <w:tcPr>
            <w:tcW w:w="395" w:type="pct"/>
            <w:vAlign w:val="center"/>
          </w:tcPr>
          <w:p w14:paraId="1CEE473F" w14:textId="77777777" w:rsidR="002E474C" w:rsidRDefault="00000000">
            <w:pPr>
              <w:pStyle w:val="A-"/>
            </w:pPr>
            <w:r>
              <w:t>T/C/I/R</w:t>
            </w:r>
          </w:p>
        </w:tc>
      </w:tr>
      <w:tr w:rsidR="002E474C" w14:paraId="1643299A" w14:textId="77777777">
        <w:trPr>
          <w:trHeight w:val="240"/>
        </w:trPr>
        <w:tc>
          <w:tcPr>
            <w:tcW w:w="574" w:type="pct"/>
            <w:vMerge/>
            <w:vAlign w:val="center"/>
          </w:tcPr>
          <w:p w14:paraId="57B9408A" w14:textId="77777777" w:rsidR="002E474C" w:rsidRDefault="002E474C">
            <w:pPr>
              <w:pStyle w:val="A-"/>
            </w:pPr>
          </w:p>
        </w:tc>
        <w:tc>
          <w:tcPr>
            <w:tcW w:w="524" w:type="pct"/>
            <w:vMerge/>
            <w:vAlign w:val="center"/>
          </w:tcPr>
          <w:p w14:paraId="78EDD90D" w14:textId="77777777" w:rsidR="002E474C" w:rsidRDefault="002E474C">
            <w:pPr>
              <w:pStyle w:val="A-"/>
            </w:pPr>
          </w:p>
        </w:tc>
        <w:tc>
          <w:tcPr>
            <w:tcW w:w="372" w:type="pct"/>
            <w:vMerge/>
            <w:vAlign w:val="center"/>
          </w:tcPr>
          <w:p w14:paraId="57ACCFA4" w14:textId="77777777" w:rsidR="002E474C" w:rsidRDefault="002E474C">
            <w:pPr>
              <w:pStyle w:val="A-"/>
            </w:pPr>
          </w:p>
        </w:tc>
        <w:tc>
          <w:tcPr>
            <w:tcW w:w="457" w:type="pct"/>
            <w:vAlign w:val="center"/>
          </w:tcPr>
          <w:p w14:paraId="1BA6B39A" w14:textId="77777777" w:rsidR="002E474C" w:rsidRDefault="00000000">
            <w:pPr>
              <w:pStyle w:val="A-"/>
            </w:pPr>
            <w:r>
              <w:t>900-999-49</w:t>
            </w:r>
          </w:p>
        </w:tc>
        <w:tc>
          <w:tcPr>
            <w:tcW w:w="2678" w:type="pct"/>
            <w:vAlign w:val="center"/>
          </w:tcPr>
          <w:p w14:paraId="6544D96F" w14:textId="77777777" w:rsidR="002E474C" w:rsidRDefault="00000000">
            <w:pPr>
              <w:pStyle w:val="A-"/>
            </w:pPr>
            <w:r>
              <w:t>未经使用而被所有人抛弃或者放弃的；淘汰、伪劣、过期、失效的；有关部门依法收缴以及接收的公众上交的危险化学品</w:t>
            </w:r>
          </w:p>
        </w:tc>
        <w:tc>
          <w:tcPr>
            <w:tcW w:w="395" w:type="pct"/>
            <w:vAlign w:val="center"/>
          </w:tcPr>
          <w:p w14:paraId="1D5663E6" w14:textId="77777777" w:rsidR="002E474C" w:rsidRDefault="00000000">
            <w:pPr>
              <w:pStyle w:val="A-"/>
            </w:pPr>
            <w:r>
              <w:t>T</w:t>
            </w:r>
          </w:p>
        </w:tc>
      </w:tr>
      <w:tr w:rsidR="002E474C" w14:paraId="749C34E2" w14:textId="77777777">
        <w:trPr>
          <w:trHeight w:val="240"/>
        </w:trPr>
        <w:tc>
          <w:tcPr>
            <w:tcW w:w="574" w:type="pct"/>
            <w:vMerge w:val="restart"/>
            <w:vAlign w:val="center"/>
          </w:tcPr>
          <w:p w14:paraId="299FB185" w14:textId="77777777" w:rsidR="002E474C" w:rsidRDefault="00000000">
            <w:pPr>
              <w:pStyle w:val="A-"/>
            </w:pPr>
            <w:r>
              <w:t>HW50</w:t>
            </w:r>
          </w:p>
          <w:p w14:paraId="6E69F41C" w14:textId="77777777" w:rsidR="002E474C" w:rsidRDefault="00000000">
            <w:pPr>
              <w:pStyle w:val="A-"/>
            </w:pPr>
            <w:r>
              <w:t>废催化剂</w:t>
            </w:r>
          </w:p>
        </w:tc>
        <w:tc>
          <w:tcPr>
            <w:tcW w:w="524" w:type="pct"/>
            <w:vMerge w:val="restart"/>
            <w:vAlign w:val="center"/>
          </w:tcPr>
          <w:p w14:paraId="71C6CA3C" w14:textId="77777777" w:rsidR="002E474C" w:rsidRDefault="00000000">
            <w:pPr>
              <w:pStyle w:val="A-"/>
            </w:pPr>
            <w:r>
              <w:t>精炼石油产品制造</w:t>
            </w:r>
          </w:p>
        </w:tc>
        <w:tc>
          <w:tcPr>
            <w:tcW w:w="372" w:type="pct"/>
            <w:vMerge w:val="restart"/>
            <w:vAlign w:val="center"/>
          </w:tcPr>
          <w:p w14:paraId="72494792" w14:textId="77777777" w:rsidR="002E474C" w:rsidRDefault="00000000">
            <w:pPr>
              <w:pStyle w:val="A-"/>
            </w:pPr>
            <w:r>
              <w:t>固态</w:t>
            </w:r>
          </w:p>
        </w:tc>
        <w:tc>
          <w:tcPr>
            <w:tcW w:w="457" w:type="pct"/>
            <w:vAlign w:val="center"/>
          </w:tcPr>
          <w:p w14:paraId="004B9BE9" w14:textId="77777777" w:rsidR="002E474C" w:rsidRDefault="00000000">
            <w:pPr>
              <w:pStyle w:val="A-"/>
            </w:pPr>
            <w:r>
              <w:t>251-016-50</w:t>
            </w:r>
          </w:p>
        </w:tc>
        <w:tc>
          <w:tcPr>
            <w:tcW w:w="2678" w:type="pct"/>
            <w:vAlign w:val="center"/>
          </w:tcPr>
          <w:p w14:paraId="6FA8F476" w14:textId="77777777" w:rsidR="002E474C" w:rsidRDefault="00000000">
            <w:pPr>
              <w:pStyle w:val="A-"/>
            </w:pPr>
            <w:r>
              <w:t>石油产品加氢精制过程中产生的废催化剂</w:t>
            </w:r>
          </w:p>
        </w:tc>
        <w:tc>
          <w:tcPr>
            <w:tcW w:w="395" w:type="pct"/>
            <w:vAlign w:val="center"/>
          </w:tcPr>
          <w:p w14:paraId="3FB74343" w14:textId="77777777" w:rsidR="002E474C" w:rsidRDefault="00000000">
            <w:pPr>
              <w:pStyle w:val="A-"/>
            </w:pPr>
            <w:r>
              <w:t>T</w:t>
            </w:r>
          </w:p>
        </w:tc>
      </w:tr>
      <w:tr w:rsidR="002E474C" w14:paraId="05AC0275" w14:textId="77777777">
        <w:trPr>
          <w:trHeight w:val="240"/>
        </w:trPr>
        <w:tc>
          <w:tcPr>
            <w:tcW w:w="574" w:type="pct"/>
            <w:vMerge/>
            <w:vAlign w:val="center"/>
          </w:tcPr>
          <w:p w14:paraId="27A5B03F" w14:textId="77777777" w:rsidR="002E474C" w:rsidRDefault="002E474C">
            <w:pPr>
              <w:pStyle w:val="A-"/>
            </w:pPr>
          </w:p>
        </w:tc>
        <w:tc>
          <w:tcPr>
            <w:tcW w:w="524" w:type="pct"/>
            <w:vMerge/>
            <w:vAlign w:val="center"/>
          </w:tcPr>
          <w:p w14:paraId="1A673B54" w14:textId="77777777" w:rsidR="002E474C" w:rsidRDefault="002E474C">
            <w:pPr>
              <w:pStyle w:val="A-"/>
            </w:pPr>
          </w:p>
        </w:tc>
        <w:tc>
          <w:tcPr>
            <w:tcW w:w="372" w:type="pct"/>
            <w:vMerge/>
            <w:vAlign w:val="center"/>
          </w:tcPr>
          <w:p w14:paraId="055BC236" w14:textId="77777777" w:rsidR="002E474C" w:rsidRDefault="002E474C">
            <w:pPr>
              <w:pStyle w:val="A-"/>
            </w:pPr>
          </w:p>
        </w:tc>
        <w:tc>
          <w:tcPr>
            <w:tcW w:w="457" w:type="pct"/>
            <w:vAlign w:val="center"/>
          </w:tcPr>
          <w:p w14:paraId="2C364A0A" w14:textId="77777777" w:rsidR="002E474C" w:rsidRDefault="00000000">
            <w:pPr>
              <w:pStyle w:val="A-"/>
            </w:pPr>
            <w:r>
              <w:t>251-017-50</w:t>
            </w:r>
          </w:p>
        </w:tc>
        <w:tc>
          <w:tcPr>
            <w:tcW w:w="2678" w:type="pct"/>
            <w:vAlign w:val="center"/>
          </w:tcPr>
          <w:p w14:paraId="39C332DB" w14:textId="77777777" w:rsidR="002E474C" w:rsidRDefault="00000000">
            <w:pPr>
              <w:pStyle w:val="A-"/>
            </w:pPr>
            <w:r>
              <w:t>石油产品催化裂化过程中产生的废催化剂</w:t>
            </w:r>
          </w:p>
        </w:tc>
        <w:tc>
          <w:tcPr>
            <w:tcW w:w="395" w:type="pct"/>
            <w:vAlign w:val="center"/>
          </w:tcPr>
          <w:p w14:paraId="1082D181" w14:textId="77777777" w:rsidR="002E474C" w:rsidRDefault="00000000">
            <w:pPr>
              <w:pStyle w:val="A-"/>
            </w:pPr>
            <w:r>
              <w:t>T</w:t>
            </w:r>
          </w:p>
        </w:tc>
      </w:tr>
      <w:tr w:rsidR="002E474C" w14:paraId="4BFB3BF5" w14:textId="77777777">
        <w:trPr>
          <w:trHeight w:val="240"/>
        </w:trPr>
        <w:tc>
          <w:tcPr>
            <w:tcW w:w="574" w:type="pct"/>
            <w:vMerge/>
            <w:vAlign w:val="center"/>
          </w:tcPr>
          <w:p w14:paraId="32E6E5A5" w14:textId="77777777" w:rsidR="002E474C" w:rsidRDefault="002E474C">
            <w:pPr>
              <w:pStyle w:val="A-"/>
            </w:pPr>
          </w:p>
        </w:tc>
        <w:tc>
          <w:tcPr>
            <w:tcW w:w="524" w:type="pct"/>
            <w:vMerge/>
            <w:vAlign w:val="center"/>
          </w:tcPr>
          <w:p w14:paraId="5F04CC0C" w14:textId="77777777" w:rsidR="002E474C" w:rsidRDefault="002E474C">
            <w:pPr>
              <w:pStyle w:val="A-"/>
            </w:pPr>
          </w:p>
        </w:tc>
        <w:tc>
          <w:tcPr>
            <w:tcW w:w="372" w:type="pct"/>
            <w:vMerge/>
            <w:vAlign w:val="center"/>
          </w:tcPr>
          <w:p w14:paraId="5614D1C8" w14:textId="77777777" w:rsidR="002E474C" w:rsidRDefault="002E474C">
            <w:pPr>
              <w:pStyle w:val="A-"/>
            </w:pPr>
          </w:p>
        </w:tc>
        <w:tc>
          <w:tcPr>
            <w:tcW w:w="457" w:type="pct"/>
            <w:vAlign w:val="center"/>
          </w:tcPr>
          <w:p w14:paraId="77C0D54C" w14:textId="77777777" w:rsidR="002E474C" w:rsidRDefault="00000000">
            <w:pPr>
              <w:pStyle w:val="A-"/>
            </w:pPr>
            <w:r>
              <w:t>251-018-50</w:t>
            </w:r>
          </w:p>
        </w:tc>
        <w:tc>
          <w:tcPr>
            <w:tcW w:w="2678" w:type="pct"/>
            <w:vAlign w:val="center"/>
          </w:tcPr>
          <w:p w14:paraId="3BC3B72D" w14:textId="77777777" w:rsidR="002E474C" w:rsidRDefault="00000000">
            <w:pPr>
              <w:pStyle w:val="A-"/>
            </w:pPr>
            <w:r>
              <w:t>石油产品加氢裂化过程中产生的废催化剂</w:t>
            </w:r>
          </w:p>
        </w:tc>
        <w:tc>
          <w:tcPr>
            <w:tcW w:w="395" w:type="pct"/>
            <w:vAlign w:val="center"/>
          </w:tcPr>
          <w:p w14:paraId="5E5708D8" w14:textId="77777777" w:rsidR="002E474C" w:rsidRDefault="00000000">
            <w:pPr>
              <w:pStyle w:val="A-"/>
            </w:pPr>
            <w:r>
              <w:t>T</w:t>
            </w:r>
          </w:p>
        </w:tc>
      </w:tr>
      <w:tr w:rsidR="002E474C" w14:paraId="1122ECA7" w14:textId="77777777">
        <w:trPr>
          <w:trHeight w:val="240"/>
        </w:trPr>
        <w:tc>
          <w:tcPr>
            <w:tcW w:w="574" w:type="pct"/>
            <w:vMerge/>
            <w:vAlign w:val="center"/>
          </w:tcPr>
          <w:p w14:paraId="0037F8A7" w14:textId="77777777" w:rsidR="002E474C" w:rsidRDefault="002E474C">
            <w:pPr>
              <w:pStyle w:val="A-"/>
            </w:pPr>
          </w:p>
        </w:tc>
        <w:tc>
          <w:tcPr>
            <w:tcW w:w="524" w:type="pct"/>
            <w:vMerge/>
            <w:vAlign w:val="center"/>
          </w:tcPr>
          <w:p w14:paraId="7E4ADF8D" w14:textId="77777777" w:rsidR="002E474C" w:rsidRDefault="002E474C">
            <w:pPr>
              <w:pStyle w:val="A-"/>
            </w:pPr>
          </w:p>
        </w:tc>
        <w:tc>
          <w:tcPr>
            <w:tcW w:w="372" w:type="pct"/>
            <w:vMerge/>
            <w:vAlign w:val="center"/>
          </w:tcPr>
          <w:p w14:paraId="196F2FF8" w14:textId="77777777" w:rsidR="002E474C" w:rsidRDefault="002E474C">
            <w:pPr>
              <w:pStyle w:val="A-"/>
            </w:pPr>
          </w:p>
        </w:tc>
        <w:tc>
          <w:tcPr>
            <w:tcW w:w="457" w:type="pct"/>
            <w:vAlign w:val="center"/>
          </w:tcPr>
          <w:p w14:paraId="598FF5D0" w14:textId="77777777" w:rsidR="002E474C" w:rsidRDefault="00000000">
            <w:pPr>
              <w:pStyle w:val="A-"/>
            </w:pPr>
            <w:r>
              <w:t>251-019-50</w:t>
            </w:r>
          </w:p>
        </w:tc>
        <w:tc>
          <w:tcPr>
            <w:tcW w:w="2678" w:type="pct"/>
            <w:vAlign w:val="center"/>
          </w:tcPr>
          <w:p w14:paraId="02D619AA" w14:textId="77777777" w:rsidR="002E474C" w:rsidRDefault="00000000">
            <w:pPr>
              <w:pStyle w:val="A-"/>
            </w:pPr>
            <w:r>
              <w:t>石油产品催化重整过程中产生的废催化剂</w:t>
            </w:r>
          </w:p>
        </w:tc>
        <w:tc>
          <w:tcPr>
            <w:tcW w:w="395" w:type="pct"/>
            <w:vAlign w:val="center"/>
          </w:tcPr>
          <w:p w14:paraId="6AA32DDA" w14:textId="77777777" w:rsidR="002E474C" w:rsidRDefault="00000000">
            <w:pPr>
              <w:pStyle w:val="A-"/>
            </w:pPr>
            <w:r>
              <w:t>T</w:t>
            </w:r>
          </w:p>
        </w:tc>
      </w:tr>
      <w:tr w:rsidR="002E474C" w14:paraId="40A45291" w14:textId="77777777">
        <w:trPr>
          <w:trHeight w:val="240"/>
        </w:trPr>
        <w:tc>
          <w:tcPr>
            <w:tcW w:w="574" w:type="pct"/>
            <w:vMerge/>
            <w:vAlign w:val="center"/>
          </w:tcPr>
          <w:p w14:paraId="03DD6EBB" w14:textId="77777777" w:rsidR="002E474C" w:rsidRDefault="002E474C">
            <w:pPr>
              <w:pStyle w:val="A-"/>
            </w:pPr>
          </w:p>
        </w:tc>
        <w:tc>
          <w:tcPr>
            <w:tcW w:w="524" w:type="pct"/>
            <w:vMerge w:val="restart"/>
            <w:vAlign w:val="center"/>
          </w:tcPr>
          <w:p w14:paraId="60EDA7EA" w14:textId="77777777" w:rsidR="002E474C" w:rsidRDefault="00000000">
            <w:pPr>
              <w:pStyle w:val="A-"/>
            </w:pPr>
            <w:r>
              <w:t>基础化学原料制造</w:t>
            </w:r>
          </w:p>
        </w:tc>
        <w:tc>
          <w:tcPr>
            <w:tcW w:w="372" w:type="pct"/>
            <w:vMerge w:val="restart"/>
            <w:vAlign w:val="center"/>
          </w:tcPr>
          <w:p w14:paraId="184FADC0" w14:textId="77777777" w:rsidR="002E474C" w:rsidRDefault="00000000">
            <w:pPr>
              <w:pStyle w:val="A-"/>
            </w:pPr>
            <w:r>
              <w:t>固态</w:t>
            </w:r>
          </w:p>
        </w:tc>
        <w:tc>
          <w:tcPr>
            <w:tcW w:w="457" w:type="pct"/>
            <w:vAlign w:val="center"/>
          </w:tcPr>
          <w:p w14:paraId="43C96E40" w14:textId="77777777" w:rsidR="002E474C" w:rsidRDefault="00000000">
            <w:pPr>
              <w:pStyle w:val="A-"/>
            </w:pPr>
            <w:r>
              <w:t>261-151-50</w:t>
            </w:r>
          </w:p>
        </w:tc>
        <w:tc>
          <w:tcPr>
            <w:tcW w:w="2678" w:type="pct"/>
            <w:vAlign w:val="center"/>
          </w:tcPr>
          <w:p w14:paraId="21975C60" w14:textId="77777777" w:rsidR="002E474C" w:rsidRDefault="00000000">
            <w:pPr>
              <w:pStyle w:val="A-"/>
            </w:pPr>
            <w:r>
              <w:t>树脂、乳胶、增塑剂、胶水</w:t>
            </w:r>
            <w:r>
              <w:t>/</w:t>
            </w:r>
            <w:r>
              <w:t>胶合剂生产过程中合成、酯化、缩合等工序产生的废催化剂</w:t>
            </w:r>
          </w:p>
        </w:tc>
        <w:tc>
          <w:tcPr>
            <w:tcW w:w="395" w:type="pct"/>
            <w:vAlign w:val="center"/>
          </w:tcPr>
          <w:p w14:paraId="46BFA185" w14:textId="77777777" w:rsidR="002E474C" w:rsidRDefault="00000000">
            <w:pPr>
              <w:pStyle w:val="A-"/>
            </w:pPr>
            <w:r>
              <w:t>T</w:t>
            </w:r>
          </w:p>
        </w:tc>
      </w:tr>
      <w:tr w:rsidR="002E474C" w14:paraId="50B71AEC" w14:textId="77777777">
        <w:trPr>
          <w:trHeight w:val="240"/>
        </w:trPr>
        <w:tc>
          <w:tcPr>
            <w:tcW w:w="574" w:type="pct"/>
            <w:vMerge/>
            <w:vAlign w:val="center"/>
          </w:tcPr>
          <w:p w14:paraId="7B006A0D" w14:textId="77777777" w:rsidR="002E474C" w:rsidRDefault="002E474C">
            <w:pPr>
              <w:pStyle w:val="A-"/>
            </w:pPr>
          </w:p>
        </w:tc>
        <w:tc>
          <w:tcPr>
            <w:tcW w:w="524" w:type="pct"/>
            <w:vMerge/>
            <w:vAlign w:val="center"/>
          </w:tcPr>
          <w:p w14:paraId="59F16BB5" w14:textId="77777777" w:rsidR="002E474C" w:rsidRDefault="002E474C">
            <w:pPr>
              <w:pStyle w:val="A-"/>
            </w:pPr>
          </w:p>
        </w:tc>
        <w:tc>
          <w:tcPr>
            <w:tcW w:w="372" w:type="pct"/>
            <w:vMerge/>
            <w:vAlign w:val="center"/>
          </w:tcPr>
          <w:p w14:paraId="1DBDE9AE" w14:textId="77777777" w:rsidR="002E474C" w:rsidRDefault="002E474C">
            <w:pPr>
              <w:pStyle w:val="A-"/>
            </w:pPr>
          </w:p>
        </w:tc>
        <w:tc>
          <w:tcPr>
            <w:tcW w:w="457" w:type="pct"/>
            <w:vAlign w:val="center"/>
          </w:tcPr>
          <w:p w14:paraId="19BA7368" w14:textId="77777777" w:rsidR="002E474C" w:rsidRDefault="00000000">
            <w:pPr>
              <w:pStyle w:val="A-"/>
            </w:pPr>
            <w:r>
              <w:t>261-152-50</w:t>
            </w:r>
          </w:p>
        </w:tc>
        <w:tc>
          <w:tcPr>
            <w:tcW w:w="2678" w:type="pct"/>
            <w:vAlign w:val="center"/>
          </w:tcPr>
          <w:p w14:paraId="20EA234A" w14:textId="77777777" w:rsidR="002E474C" w:rsidRDefault="00000000">
            <w:pPr>
              <w:pStyle w:val="A-"/>
            </w:pPr>
            <w:r>
              <w:t>有机溶剂生产过程中产生的废催化剂</w:t>
            </w:r>
          </w:p>
        </w:tc>
        <w:tc>
          <w:tcPr>
            <w:tcW w:w="395" w:type="pct"/>
            <w:vAlign w:val="center"/>
          </w:tcPr>
          <w:p w14:paraId="5158A4CD" w14:textId="77777777" w:rsidR="002E474C" w:rsidRDefault="00000000">
            <w:pPr>
              <w:pStyle w:val="A-"/>
            </w:pPr>
            <w:r>
              <w:t>T</w:t>
            </w:r>
          </w:p>
        </w:tc>
      </w:tr>
      <w:tr w:rsidR="002E474C" w14:paraId="647A55BB" w14:textId="77777777">
        <w:trPr>
          <w:trHeight w:val="240"/>
        </w:trPr>
        <w:tc>
          <w:tcPr>
            <w:tcW w:w="574" w:type="pct"/>
            <w:vMerge/>
            <w:vAlign w:val="center"/>
          </w:tcPr>
          <w:p w14:paraId="1B90B065" w14:textId="77777777" w:rsidR="002E474C" w:rsidRDefault="002E474C">
            <w:pPr>
              <w:pStyle w:val="A-"/>
            </w:pPr>
          </w:p>
        </w:tc>
        <w:tc>
          <w:tcPr>
            <w:tcW w:w="524" w:type="pct"/>
            <w:vMerge/>
            <w:vAlign w:val="center"/>
          </w:tcPr>
          <w:p w14:paraId="18CBD24F" w14:textId="77777777" w:rsidR="002E474C" w:rsidRDefault="002E474C">
            <w:pPr>
              <w:pStyle w:val="A-"/>
            </w:pPr>
          </w:p>
        </w:tc>
        <w:tc>
          <w:tcPr>
            <w:tcW w:w="372" w:type="pct"/>
            <w:vMerge/>
            <w:vAlign w:val="center"/>
          </w:tcPr>
          <w:p w14:paraId="5E4FDC57" w14:textId="77777777" w:rsidR="002E474C" w:rsidRDefault="002E474C">
            <w:pPr>
              <w:pStyle w:val="A-"/>
            </w:pPr>
          </w:p>
        </w:tc>
        <w:tc>
          <w:tcPr>
            <w:tcW w:w="457" w:type="pct"/>
            <w:vAlign w:val="center"/>
          </w:tcPr>
          <w:p w14:paraId="38C4E5EC" w14:textId="77777777" w:rsidR="002E474C" w:rsidRDefault="00000000">
            <w:pPr>
              <w:pStyle w:val="A-"/>
            </w:pPr>
            <w:r>
              <w:t>261-153-50</w:t>
            </w:r>
          </w:p>
        </w:tc>
        <w:tc>
          <w:tcPr>
            <w:tcW w:w="2678" w:type="pct"/>
            <w:vAlign w:val="center"/>
          </w:tcPr>
          <w:p w14:paraId="74B57349" w14:textId="77777777" w:rsidR="002E474C" w:rsidRDefault="00000000">
            <w:pPr>
              <w:pStyle w:val="A-"/>
            </w:pPr>
            <w:r>
              <w:t>丙烯腈合成过程中产生的废催化剂</w:t>
            </w:r>
          </w:p>
        </w:tc>
        <w:tc>
          <w:tcPr>
            <w:tcW w:w="395" w:type="pct"/>
            <w:vAlign w:val="center"/>
          </w:tcPr>
          <w:p w14:paraId="7014AE94" w14:textId="77777777" w:rsidR="002E474C" w:rsidRDefault="00000000">
            <w:pPr>
              <w:pStyle w:val="A-"/>
            </w:pPr>
            <w:r>
              <w:t>T</w:t>
            </w:r>
          </w:p>
        </w:tc>
      </w:tr>
      <w:tr w:rsidR="002E474C" w14:paraId="32D32572" w14:textId="77777777">
        <w:trPr>
          <w:trHeight w:val="240"/>
        </w:trPr>
        <w:tc>
          <w:tcPr>
            <w:tcW w:w="574" w:type="pct"/>
            <w:vMerge/>
            <w:vAlign w:val="center"/>
          </w:tcPr>
          <w:p w14:paraId="4437CB6A" w14:textId="77777777" w:rsidR="002E474C" w:rsidRDefault="002E474C">
            <w:pPr>
              <w:pStyle w:val="A-"/>
            </w:pPr>
          </w:p>
        </w:tc>
        <w:tc>
          <w:tcPr>
            <w:tcW w:w="524" w:type="pct"/>
            <w:vMerge/>
            <w:vAlign w:val="center"/>
          </w:tcPr>
          <w:p w14:paraId="2B836B3D" w14:textId="77777777" w:rsidR="002E474C" w:rsidRDefault="002E474C">
            <w:pPr>
              <w:pStyle w:val="A-"/>
            </w:pPr>
          </w:p>
        </w:tc>
        <w:tc>
          <w:tcPr>
            <w:tcW w:w="372" w:type="pct"/>
            <w:vMerge/>
            <w:vAlign w:val="center"/>
          </w:tcPr>
          <w:p w14:paraId="6BB5D2CE" w14:textId="77777777" w:rsidR="002E474C" w:rsidRDefault="002E474C">
            <w:pPr>
              <w:pStyle w:val="A-"/>
            </w:pPr>
          </w:p>
        </w:tc>
        <w:tc>
          <w:tcPr>
            <w:tcW w:w="457" w:type="pct"/>
            <w:vAlign w:val="center"/>
          </w:tcPr>
          <w:p w14:paraId="39652C43" w14:textId="77777777" w:rsidR="002E474C" w:rsidRDefault="00000000">
            <w:pPr>
              <w:pStyle w:val="A-"/>
            </w:pPr>
            <w:r>
              <w:t>261-154-50</w:t>
            </w:r>
          </w:p>
        </w:tc>
        <w:tc>
          <w:tcPr>
            <w:tcW w:w="2678" w:type="pct"/>
            <w:vAlign w:val="center"/>
          </w:tcPr>
          <w:p w14:paraId="795FD0E4" w14:textId="77777777" w:rsidR="002E474C" w:rsidRDefault="00000000">
            <w:pPr>
              <w:pStyle w:val="A-"/>
            </w:pPr>
            <w:r>
              <w:t>聚乙烯合成过程中产生的废催化剂</w:t>
            </w:r>
          </w:p>
        </w:tc>
        <w:tc>
          <w:tcPr>
            <w:tcW w:w="395" w:type="pct"/>
            <w:vAlign w:val="center"/>
          </w:tcPr>
          <w:p w14:paraId="6BDDB0C3" w14:textId="77777777" w:rsidR="002E474C" w:rsidRDefault="00000000">
            <w:pPr>
              <w:pStyle w:val="A-"/>
            </w:pPr>
            <w:r>
              <w:t>T</w:t>
            </w:r>
          </w:p>
        </w:tc>
      </w:tr>
      <w:tr w:rsidR="002E474C" w14:paraId="5F914427" w14:textId="77777777">
        <w:trPr>
          <w:trHeight w:val="240"/>
        </w:trPr>
        <w:tc>
          <w:tcPr>
            <w:tcW w:w="574" w:type="pct"/>
            <w:vMerge/>
            <w:vAlign w:val="center"/>
          </w:tcPr>
          <w:p w14:paraId="695062F3" w14:textId="77777777" w:rsidR="002E474C" w:rsidRDefault="002E474C">
            <w:pPr>
              <w:pStyle w:val="A-"/>
            </w:pPr>
          </w:p>
        </w:tc>
        <w:tc>
          <w:tcPr>
            <w:tcW w:w="524" w:type="pct"/>
            <w:vMerge/>
            <w:vAlign w:val="center"/>
          </w:tcPr>
          <w:p w14:paraId="4BF0EAA1" w14:textId="77777777" w:rsidR="002E474C" w:rsidRDefault="002E474C">
            <w:pPr>
              <w:pStyle w:val="A-"/>
            </w:pPr>
          </w:p>
        </w:tc>
        <w:tc>
          <w:tcPr>
            <w:tcW w:w="372" w:type="pct"/>
            <w:vMerge/>
            <w:vAlign w:val="center"/>
          </w:tcPr>
          <w:p w14:paraId="746600F8" w14:textId="77777777" w:rsidR="002E474C" w:rsidRDefault="002E474C">
            <w:pPr>
              <w:pStyle w:val="A-"/>
            </w:pPr>
          </w:p>
        </w:tc>
        <w:tc>
          <w:tcPr>
            <w:tcW w:w="457" w:type="pct"/>
            <w:vAlign w:val="center"/>
          </w:tcPr>
          <w:p w14:paraId="08402C2C" w14:textId="77777777" w:rsidR="002E474C" w:rsidRDefault="00000000">
            <w:pPr>
              <w:pStyle w:val="A-"/>
            </w:pPr>
            <w:r>
              <w:t>261-155-50</w:t>
            </w:r>
          </w:p>
        </w:tc>
        <w:tc>
          <w:tcPr>
            <w:tcW w:w="2678" w:type="pct"/>
            <w:vAlign w:val="center"/>
          </w:tcPr>
          <w:p w14:paraId="20EB540D" w14:textId="77777777" w:rsidR="002E474C" w:rsidRDefault="00000000">
            <w:pPr>
              <w:pStyle w:val="A-"/>
            </w:pPr>
            <w:r>
              <w:t>聚丙烯合成过程中产生的废催化剂</w:t>
            </w:r>
          </w:p>
        </w:tc>
        <w:tc>
          <w:tcPr>
            <w:tcW w:w="395" w:type="pct"/>
            <w:vAlign w:val="center"/>
          </w:tcPr>
          <w:p w14:paraId="7F0435CF" w14:textId="77777777" w:rsidR="002E474C" w:rsidRDefault="00000000">
            <w:pPr>
              <w:pStyle w:val="A-"/>
            </w:pPr>
            <w:r>
              <w:t>T</w:t>
            </w:r>
          </w:p>
        </w:tc>
      </w:tr>
      <w:tr w:rsidR="002E474C" w14:paraId="6756192F" w14:textId="77777777">
        <w:trPr>
          <w:trHeight w:val="240"/>
        </w:trPr>
        <w:tc>
          <w:tcPr>
            <w:tcW w:w="574" w:type="pct"/>
            <w:vMerge/>
            <w:vAlign w:val="center"/>
          </w:tcPr>
          <w:p w14:paraId="62F0730B" w14:textId="77777777" w:rsidR="002E474C" w:rsidRDefault="002E474C">
            <w:pPr>
              <w:pStyle w:val="A-"/>
            </w:pPr>
          </w:p>
        </w:tc>
        <w:tc>
          <w:tcPr>
            <w:tcW w:w="524" w:type="pct"/>
            <w:vMerge/>
            <w:vAlign w:val="center"/>
          </w:tcPr>
          <w:p w14:paraId="3D7A55E5" w14:textId="77777777" w:rsidR="002E474C" w:rsidRDefault="002E474C">
            <w:pPr>
              <w:pStyle w:val="A-"/>
            </w:pPr>
          </w:p>
        </w:tc>
        <w:tc>
          <w:tcPr>
            <w:tcW w:w="372" w:type="pct"/>
            <w:vMerge/>
            <w:vAlign w:val="center"/>
          </w:tcPr>
          <w:p w14:paraId="193E176C" w14:textId="77777777" w:rsidR="002E474C" w:rsidRDefault="002E474C">
            <w:pPr>
              <w:pStyle w:val="A-"/>
            </w:pPr>
          </w:p>
        </w:tc>
        <w:tc>
          <w:tcPr>
            <w:tcW w:w="457" w:type="pct"/>
            <w:vAlign w:val="center"/>
          </w:tcPr>
          <w:p w14:paraId="7E154CEB" w14:textId="77777777" w:rsidR="002E474C" w:rsidRDefault="00000000">
            <w:pPr>
              <w:pStyle w:val="A-"/>
            </w:pPr>
            <w:r>
              <w:t>261-156-50</w:t>
            </w:r>
          </w:p>
        </w:tc>
        <w:tc>
          <w:tcPr>
            <w:tcW w:w="2678" w:type="pct"/>
            <w:vAlign w:val="center"/>
          </w:tcPr>
          <w:p w14:paraId="1234C68A" w14:textId="77777777" w:rsidR="002E474C" w:rsidRDefault="00000000">
            <w:pPr>
              <w:pStyle w:val="A-"/>
            </w:pPr>
            <w:r>
              <w:t>烷烃脱氢过程中产生的废催化剂</w:t>
            </w:r>
          </w:p>
        </w:tc>
        <w:tc>
          <w:tcPr>
            <w:tcW w:w="395" w:type="pct"/>
            <w:vAlign w:val="center"/>
          </w:tcPr>
          <w:p w14:paraId="0DB156A8" w14:textId="77777777" w:rsidR="002E474C" w:rsidRDefault="00000000">
            <w:pPr>
              <w:pStyle w:val="A-"/>
            </w:pPr>
            <w:r>
              <w:t>T</w:t>
            </w:r>
          </w:p>
        </w:tc>
      </w:tr>
      <w:tr w:rsidR="002E474C" w14:paraId="12E0590D" w14:textId="77777777">
        <w:trPr>
          <w:trHeight w:val="240"/>
        </w:trPr>
        <w:tc>
          <w:tcPr>
            <w:tcW w:w="574" w:type="pct"/>
            <w:vMerge/>
            <w:vAlign w:val="center"/>
          </w:tcPr>
          <w:p w14:paraId="6D111C14" w14:textId="77777777" w:rsidR="002E474C" w:rsidRDefault="002E474C">
            <w:pPr>
              <w:pStyle w:val="A-"/>
            </w:pPr>
          </w:p>
        </w:tc>
        <w:tc>
          <w:tcPr>
            <w:tcW w:w="524" w:type="pct"/>
            <w:vMerge/>
            <w:vAlign w:val="center"/>
          </w:tcPr>
          <w:p w14:paraId="446F1CB5" w14:textId="77777777" w:rsidR="002E474C" w:rsidRDefault="002E474C">
            <w:pPr>
              <w:pStyle w:val="A-"/>
            </w:pPr>
          </w:p>
        </w:tc>
        <w:tc>
          <w:tcPr>
            <w:tcW w:w="372" w:type="pct"/>
            <w:vMerge/>
            <w:vAlign w:val="center"/>
          </w:tcPr>
          <w:p w14:paraId="75AD25E4" w14:textId="77777777" w:rsidR="002E474C" w:rsidRDefault="002E474C">
            <w:pPr>
              <w:pStyle w:val="A-"/>
            </w:pPr>
          </w:p>
        </w:tc>
        <w:tc>
          <w:tcPr>
            <w:tcW w:w="457" w:type="pct"/>
            <w:vAlign w:val="center"/>
          </w:tcPr>
          <w:p w14:paraId="0E938960" w14:textId="77777777" w:rsidR="002E474C" w:rsidRDefault="00000000">
            <w:pPr>
              <w:pStyle w:val="A-"/>
            </w:pPr>
            <w:r>
              <w:t>261-157-50</w:t>
            </w:r>
          </w:p>
        </w:tc>
        <w:tc>
          <w:tcPr>
            <w:tcW w:w="2678" w:type="pct"/>
            <w:vAlign w:val="center"/>
          </w:tcPr>
          <w:p w14:paraId="4D09F0EE" w14:textId="77777777" w:rsidR="002E474C" w:rsidRDefault="00000000">
            <w:pPr>
              <w:pStyle w:val="A-"/>
            </w:pPr>
            <w:r>
              <w:t>乙苯脱氢生产苯乙烯过程中产生的废催化剂</w:t>
            </w:r>
          </w:p>
        </w:tc>
        <w:tc>
          <w:tcPr>
            <w:tcW w:w="395" w:type="pct"/>
            <w:vAlign w:val="center"/>
          </w:tcPr>
          <w:p w14:paraId="116CB820" w14:textId="77777777" w:rsidR="002E474C" w:rsidRDefault="00000000">
            <w:pPr>
              <w:pStyle w:val="A-"/>
            </w:pPr>
            <w:r>
              <w:t>T</w:t>
            </w:r>
          </w:p>
        </w:tc>
      </w:tr>
      <w:tr w:rsidR="002E474C" w14:paraId="7E6888F1" w14:textId="77777777">
        <w:trPr>
          <w:trHeight w:val="240"/>
        </w:trPr>
        <w:tc>
          <w:tcPr>
            <w:tcW w:w="574" w:type="pct"/>
            <w:vMerge/>
            <w:vAlign w:val="center"/>
          </w:tcPr>
          <w:p w14:paraId="43C50EC1" w14:textId="77777777" w:rsidR="002E474C" w:rsidRDefault="002E474C">
            <w:pPr>
              <w:pStyle w:val="A-"/>
            </w:pPr>
          </w:p>
        </w:tc>
        <w:tc>
          <w:tcPr>
            <w:tcW w:w="524" w:type="pct"/>
            <w:vMerge/>
            <w:vAlign w:val="center"/>
          </w:tcPr>
          <w:p w14:paraId="79D3E371" w14:textId="77777777" w:rsidR="002E474C" w:rsidRDefault="002E474C">
            <w:pPr>
              <w:pStyle w:val="A-"/>
            </w:pPr>
          </w:p>
        </w:tc>
        <w:tc>
          <w:tcPr>
            <w:tcW w:w="372" w:type="pct"/>
            <w:vMerge/>
            <w:vAlign w:val="center"/>
          </w:tcPr>
          <w:p w14:paraId="50C96461" w14:textId="77777777" w:rsidR="002E474C" w:rsidRDefault="002E474C">
            <w:pPr>
              <w:pStyle w:val="A-"/>
            </w:pPr>
          </w:p>
        </w:tc>
        <w:tc>
          <w:tcPr>
            <w:tcW w:w="457" w:type="pct"/>
            <w:vAlign w:val="center"/>
          </w:tcPr>
          <w:p w14:paraId="591CC0AB" w14:textId="77777777" w:rsidR="002E474C" w:rsidRDefault="00000000">
            <w:pPr>
              <w:pStyle w:val="A-"/>
            </w:pPr>
            <w:r>
              <w:t>261-158-50</w:t>
            </w:r>
          </w:p>
        </w:tc>
        <w:tc>
          <w:tcPr>
            <w:tcW w:w="2678" w:type="pct"/>
            <w:vAlign w:val="center"/>
          </w:tcPr>
          <w:p w14:paraId="3F183B62" w14:textId="77777777" w:rsidR="002E474C" w:rsidRDefault="00000000">
            <w:pPr>
              <w:pStyle w:val="A-"/>
            </w:pPr>
            <w:r>
              <w:t>采用烷基化反应（歧化）生产苯、二甲苯过程中产生的废催化剂</w:t>
            </w:r>
          </w:p>
        </w:tc>
        <w:tc>
          <w:tcPr>
            <w:tcW w:w="395" w:type="pct"/>
            <w:vAlign w:val="center"/>
          </w:tcPr>
          <w:p w14:paraId="1FAB0196" w14:textId="77777777" w:rsidR="002E474C" w:rsidRDefault="00000000">
            <w:pPr>
              <w:pStyle w:val="A-"/>
            </w:pPr>
            <w:r>
              <w:t>T</w:t>
            </w:r>
          </w:p>
        </w:tc>
      </w:tr>
      <w:tr w:rsidR="002E474C" w14:paraId="0D2521D0" w14:textId="77777777">
        <w:trPr>
          <w:trHeight w:val="240"/>
        </w:trPr>
        <w:tc>
          <w:tcPr>
            <w:tcW w:w="574" w:type="pct"/>
            <w:vMerge/>
            <w:vAlign w:val="center"/>
          </w:tcPr>
          <w:p w14:paraId="0B5A8143" w14:textId="77777777" w:rsidR="002E474C" w:rsidRDefault="002E474C">
            <w:pPr>
              <w:pStyle w:val="A-"/>
            </w:pPr>
          </w:p>
        </w:tc>
        <w:tc>
          <w:tcPr>
            <w:tcW w:w="524" w:type="pct"/>
            <w:vMerge/>
            <w:vAlign w:val="center"/>
          </w:tcPr>
          <w:p w14:paraId="2A1D969F" w14:textId="77777777" w:rsidR="002E474C" w:rsidRDefault="002E474C">
            <w:pPr>
              <w:pStyle w:val="A-"/>
            </w:pPr>
          </w:p>
        </w:tc>
        <w:tc>
          <w:tcPr>
            <w:tcW w:w="372" w:type="pct"/>
            <w:vMerge/>
            <w:vAlign w:val="center"/>
          </w:tcPr>
          <w:p w14:paraId="4C281CD7" w14:textId="77777777" w:rsidR="002E474C" w:rsidRDefault="002E474C">
            <w:pPr>
              <w:pStyle w:val="A-"/>
            </w:pPr>
          </w:p>
        </w:tc>
        <w:tc>
          <w:tcPr>
            <w:tcW w:w="457" w:type="pct"/>
            <w:vAlign w:val="center"/>
          </w:tcPr>
          <w:p w14:paraId="39E73E18" w14:textId="77777777" w:rsidR="002E474C" w:rsidRDefault="00000000">
            <w:pPr>
              <w:pStyle w:val="A-"/>
            </w:pPr>
            <w:r>
              <w:t>261-159-50</w:t>
            </w:r>
          </w:p>
        </w:tc>
        <w:tc>
          <w:tcPr>
            <w:tcW w:w="2678" w:type="pct"/>
            <w:vAlign w:val="center"/>
          </w:tcPr>
          <w:p w14:paraId="7745FE53" w14:textId="77777777" w:rsidR="002E474C" w:rsidRDefault="00000000">
            <w:pPr>
              <w:pStyle w:val="A-"/>
            </w:pPr>
            <w:r>
              <w:t>二甲苯临氢异构化反应过程中产生的废催化剂</w:t>
            </w:r>
          </w:p>
        </w:tc>
        <w:tc>
          <w:tcPr>
            <w:tcW w:w="395" w:type="pct"/>
            <w:vAlign w:val="center"/>
          </w:tcPr>
          <w:p w14:paraId="533AADAA" w14:textId="77777777" w:rsidR="002E474C" w:rsidRDefault="00000000">
            <w:pPr>
              <w:pStyle w:val="A-"/>
            </w:pPr>
            <w:r>
              <w:t>T</w:t>
            </w:r>
          </w:p>
        </w:tc>
      </w:tr>
      <w:tr w:rsidR="002E474C" w14:paraId="7B6EC807" w14:textId="77777777">
        <w:trPr>
          <w:trHeight w:val="240"/>
        </w:trPr>
        <w:tc>
          <w:tcPr>
            <w:tcW w:w="574" w:type="pct"/>
            <w:vMerge/>
            <w:vAlign w:val="center"/>
          </w:tcPr>
          <w:p w14:paraId="648ECDE0" w14:textId="77777777" w:rsidR="002E474C" w:rsidRDefault="002E474C">
            <w:pPr>
              <w:pStyle w:val="A-"/>
            </w:pPr>
          </w:p>
        </w:tc>
        <w:tc>
          <w:tcPr>
            <w:tcW w:w="524" w:type="pct"/>
            <w:vMerge/>
            <w:vAlign w:val="center"/>
          </w:tcPr>
          <w:p w14:paraId="557CF5BF" w14:textId="77777777" w:rsidR="002E474C" w:rsidRDefault="002E474C">
            <w:pPr>
              <w:pStyle w:val="A-"/>
            </w:pPr>
          </w:p>
        </w:tc>
        <w:tc>
          <w:tcPr>
            <w:tcW w:w="372" w:type="pct"/>
            <w:vMerge/>
            <w:vAlign w:val="center"/>
          </w:tcPr>
          <w:p w14:paraId="35EC8564" w14:textId="77777777" w:rsidR="002E474C" w:rsidRDefault="002E474C">
            <w:pPr>
              <w:pStyle w:val="A-"/>
            </w:pPr>
          </w:p>
        </w:tc>
        <w:tc>
          <w:tcPr>
            <w:tcW w:w="457" w:type="pct"/>
            <w:vAlign w:val="center"/>
          </w:tcPr>
          <w:p w14:paraId="4DC62179" w14:textId="77777777" w:rsidR="002E474C" w:rsidRDefault="00000000">
            <w:pPr>
              <w:pStyle w:val="A-"/>
            </w:pPr>
            <w:r>
              <w:t>261-160-50</w:t>
            </w:r>
          </w:p>
        </w:tc>
        <w:tc>
          <w:tcPr>
            <w:tcW w:w="2678" w:type="pct"/>
            <w:vAlign w:val="center"/>
          </w:tcPr>
          <w:p w14:paraId="44FEF81F" w14:textId="77777777" w:rsidR="002E474C" w:rsidRDefault="00000000">
            <w:pPr>
              <w:pStyle w:val="A-"/>
            </w:pPr>
            <w:r>
              <w:t>乙烯氧化生产环氧乙烷过程中产生的废催化剂</w:t>
            </w:r>
          </w:p>
        </w:tc>
        <w:tc>
          <w:tcPr>
            <w:tcW w:w="395" w:type="pct"/>
            <w:vAlign w:val="center"/>
          </w:tcPr>
          <w:p w14:paraId="04819CF3" w14:textId="77777777" w:rsidR="002E474C" w:rsidRDefault="00000000">
            <w:pPr>
              <w:pStyle w:val="A-"/>
            </w:pPr>
            <w:r>
              <w:t>T</w:t>
            </w:r>
          </w:p>
        </w:tc>
      </w:tr>
      <w:tr w:rsidR="002E474C" w14:paraId="04656310" w14:textId="77777777">
        <w:trPr>
          <w:trHeight w:val="240"/>
        </w:trPr>
        <w:tc>
          <w:tcPr>
            <w:tcW w:w="574" w:type="pct"/>
            <w:vMerge/>
            <w:vAlign w:val="center"/>
          </w:tcPr>
          <w:p w14:paraId="63FCA5C2" w14:textId="77777777" w:rsidR="002E474C" w:rsidRDefault="002E474C">
            <w:pPr>
              <w:pStyle w:val="A-"/>
            </w:pPr>
          </w:p>
        </w:tc>
        <w:tc>
          <w:tcPr>
            <w:tcW w:w="524" w:type="pct"/>
            <w:vMerge/>
            <w:vAlign w:val="center"/>
          </w:tcPr>
          <w:p w14:paraId="6E6FEEFF" w14:textId="77777777" w:rsidR="002E474C" w:rsidRDefault="002E474C">
            <w:pPr>
              <w:pStyle w:val="A-"/>
            </w:pPr>
          </w:p>
        </w:tc>
        <w:tc>
          <w:tcPr>
            <w:tcW w:w="372" w:type="pct"/>
            <w:vMerge/>
            <w:vAlign w:val="center"/>
          </w:tcPr>
          <w:p w14:paraId="57309F93" w14:textId="77777777" w:rsidR="002E474C" w:rsidRDefault="002E474C">
            <w:pPr>
              <w:pStyle w:val="A-"/>
            </w:pPr>
          </w:p>
        </w:tc>
        <w:tc>
          <w:tcPr>
            <w:tcW w:w="457" w:type="pct"/>
            <w:vAlign w:val="center"/>
          </w:tcPr>
          <w:p w14:paraId="7F66BCD0" w14:textId="77777777" w:rsidR="002E474C" w:rsidRDefault="00000000">
            <w:pPr>
              <w:pStyle w:val="A-"/>
            </w:pPr>
            <w:r>
              <w:t>261-161-50</w:t>
            </w:r>
          </w:p>
        </w:tc>
        <w:tc>
          <w:tcPr>
            <w:tcW w:w="2678" w:type="pct"/>
            <w:vAlign w:val="center"/>
          </w:tcPr>
          <w:p w14:paraId="236685C7" w14:textId="77777777" w:rsidR="002E474C" w:rsidRDefault="00000000">
            <w:pPr>
              <w:pStyle w:val="A-"/>
            </w:pPr>
            <w:r>
              <w:t>硝基苯催化加氢法制备苯胺过程中产生的废催化剂</w:t>
            </w:r>
          </w:p>
        </w:tc>
        <w:tc>
          <w:tcPr>
            <w:tcW w:w="395" w:type="pct"/>
            <w:vAlign w:val="center"/>
          </w:tcPr>
          <w:p w14:paraId="2F26F3D8" w14:textId="77777777" w:rsidR="002E474C" w:rsidRDefault="00000000">
            <w:pPr>
              <w:pStyle w:val="A-"/>
            </w:pPr>
            <w:r>
              <w:t>T</w:t>
            </w:r>
          </w:p>
        </w:tc>
      </w:tr>
      <w:tr w:rsidR="002E474C" w14:paraId="29842BCF" w14:textId="77777777">
        <w:trPr>
          <w:trHeight w:val="240"/>
        </w:trPr>
        <w:tc>
          <w:tcPr>
            <w:tcW w:w="574" w:type="pct"/>
            <w:vMerge/>
            <w:vAlign w:val="center"/>
          </w:tcPr>
          <w:p w14:paraId="40961C21" w14:textId="77777777" w:rsidR="002E474C" w:rsidRDefault="002E474C">
            <w:pPr>
              <w:pStyle w:val="A-"/>
            </w:pPr>
          </w:p>
        </w:tc>
        <w:tc>
          <w:tcPr>
            <w:tcW w:w="524" w:type="pct"/>
            <w:vMerge/>
            <w:vAlign w:val="center"/>
          </w:tcPr>
          <w:p w14:paraId="59C1E41F" w14:textId="77777777" w:rsidR="002E474C" w:rsidRDefault="002E474C">
            <w:pPr>
              <w:pStyle w:val="A-"/>
            </w:pPr>
          </w:p>
        </w:tc>
        <w:tc>
          <w:tcPr>
            <w:tcW w:w="372" w:type="pct"/>
            <w:vMerge/>
            <w:vAlign w:val="center"/>
          </w:tcPr>
          <w:p w14:paraId="7E5953B2" w14:textId="77777777" w:rsidR="002E474C" w:rsidRDefault="002E474C">
            <w:pPr>
              <w:pStyle w:val="A-"/>
            </w:pPr>
          </w:p>
        </w:tc>
        <w:tc>
          <w:tcPr>
            <w:tcW w:w="457" w:type="pct"/>
            <w:vAlign w:val="center"/>
          </w:tcPr>
          <w:p w14:paraId="43ECDD15" w14:textId="77777777" w:rsidR="002E474C" w:rsidRDefault="00000000">
            <w:pPr>
              <w:pStyle w:val="A-"/>
            </w:pPr>
            <w:r>
              <w:t>261-162-50</w:t>
            </w:r>
          </w:p>
        </w:tc>
        <w:tc>
          <w:tcPr>
            <w:tcW w:w="2678" w:type="pct"/>
            <w:vAlign w:val="center"/>
          </w:tcPr>
          <w:p w14:paraId="70EA4D8F" w14:textId="77777777" w:rsidR="002E474C" w:rsidRDefault="00000000">
            <w:pPr>
              <w:pStyle w:val="A-"/>
            </w:pPr>
            <w:r>
              <w:t>乙烯和丙烯为原料，采用茂金属催化体系生产乙丙橡胶过程中产生的废催化剂</w:t>
            </w:r>
          </w:p>
        </w:tc>
        <w:tc>
          <w:tcPr>
            <w:tcW w:w="395" w:type="pct"/>
            <w:vAlign w:val="center"/>
          </w:tcPr>
          <w:p w14:paraId="67AE6C78" w14:textId="77777777" w:rsidR="002E474C" w:rsidRDefault="00000000">
            <w:pPr>
              <w:pStyle w:val="A-"/>
            </w:pPr>
            <w:r>
              <w:t>T</w:t>
            </w:r>
          </w:p>
        </w:tc>
      </w:tr>
      <w:tr w:rsidR="002E474C" w14:paraId="257B0B56" w14:textId="77777777">
        <w:trPr>
          <w:trHeight w:val="240"/>
        </w:trPr>
        <w:tc>
          <w:tcPr>
            <w:tcW w:w="574" w:type="pct"/>
            <w:vMerge/>
            <w:vAlign w:val="center"/>
          </w:tcPr>
          <w:p w14:paraId="4E917379" w14:textId="77777777" w:rsidR="002E474C" w:rsidRDefault="002E474C">
            <w:pPr>
              <w:pStyle w:val="A-"/>
            </w:pPr>
          </w:p>
        </w:tc>
        <w:tc>
          <w:tcPr>
            <w:tcW w:w="524" w:type="pct"/>
            <w:vMerge/>
            <w:vAlign w:val="center"/>
          </w:tcPr>
          <w:p w14:paraId="3D07C98A" w14:textId="77777777" w:rsidR="002E474C" w:rsidRDefault="002E474C">
            <w:pPr>
              <w:pStyle w:val="A-"/>
            </w:pPr>
          </w:p>
        </w:tc>
        <w:tc>
          <w:tcPr>
            <w:tcW w:w="372" w:type="pct"/>
            <w:vMerge/>
            <w:vAlign w:val="center"/>
          </w:tcPr>
          <w:p w14:paraId="6ECB9224" w14:textId="77777777" w:rsidR="002E474C" w:rsidRDefault="002E474C">
            <w:pPr>
              <w:pStyle w:val="A-"/>
            </w:pPr>
          </w:p>
        </w:tc>
        <w:tc>
          <w:tcPr>
            <w:tcW w:w="457" w:type="pct"/>
            <w:vAlign w:val="center"/>
          </w:tcPr>
          <w:p w14:paraId="12B25535" w14:textId="77777777" w:rsidR="002E474C" w:rsidRDefault="00000000">
            <w:pPr>
              <w:pStyle w:val="A-"/>
            </w:pPr>
            <w:r>
              <w:t>261-163-50</w:t>
            </w:r>
          </w:p>
        </w:tc>
        <w:tc>
          <w:tcPr>
            <w:tcW w:w="2678" w:type="pct"/>
            <w:vAlign w:val="center"/>
          </w:tcPr>
          <w:p w14:paraId="5E7B9BE8" w14:textId="77777777" w:rsidR="002E474C" w:rsidRDefault="00000000">
            <w:pPr>
              <w:pStyle w:val="A-"/>
            </w:pPr>
            <w:r>
              <w:t>乙炔法生产醋酸乙烯酯过程中产生的废催化剂</w:t>
            </w:r>
          </w:p>
        </w:tc>
        <w:tc>
          <w:tcPr>
            <w:tcW w:w="395" w:type="pct"/>
            <w:vAlign w:val="center"/>
          </w:tcPr>
          <w:p w14:paraId="47190253" w14:textId="77777777" w:rsidR="002E474C" w:rsidRDefault="00000000">
            <w:pPr>
              <w:pStyle w:val="A-"/>
            </w:pPr>
            <w:r>
              <w:t>T</w:t>
            </w:r>
          </w:p>
        </w:tc>
      </w:tr>
      <w:tr w:rsidR="002E474C" w14:paraId="52E3ED13" w14:textId="77777777">
        <w:trPr>
          <w:trHeight w:val="240"/>
        </w:trPr>
        <w:tc>
          <w:tcPr>
            <w:tcW w:w="574" w:type="pct"/>
            <w:vMerge/>
            <w:vAlign w:val="center"/>
          </w:tcPr>
          <w:p w14:paraId="7C6EAC45" w14:textId="77777777" w:rsidR="002E474C" w:rsidRDefault="002E474C">
            <w:pPr>
              <w:pStyle w:val="A-"/>
            </w:pPr>
          </w:p>
        </w:tc>
        <w:tc>
          <w:tcPr>
            <w:tcW w:w="524" w:type="pct"/>
            <w:vMerge/>
            <w:vAlign w:val="center"/>
          </w:tcPr>
          <w:p w14:paraId="3CD3BE97" w14:textId="77777777" w:rsidR="002E474C" w:rsidRDefault="002E474C">
            <w:pPr>
              <w:pStyle w:val="A-"/>
            </w:pPr>
          </w:p>
        </w:tc>
        <w:tc>
          <w:tcPr>
            <w:tcW w:w="372" w:type="pct"/>
            <w:vMerge/>
            <w:vAlign w:val="center"/>
          </w:tcPr>
          <w:p w14:paraId="22437382" w14:textId="77777777" w:rsidR="002E474C" w:rsidRDefault="002E474C">
            <w:pPr>
              <w:pStyle w:val="A-"/>
            </w:pPr>
          </w:p>
        </w:tc>
        <w:tc>
          <w:tcPr>
            <w:tcW w:w="457" w:type="pct"/>
            <w:vAlign w:val="center"/>
          </w:tcPr>
          <w:p w14:paraId="10B3151A" w14:textId="77777777" w:rsidR="002E474C" w:rsidRDefault="00000000">
            <w:pPr>
              <w:pStyle w:val="A-"/>
            </w:pPr>
            <w:r>
              <w:t>261-164-50</w:t>
            </w:r>
          </w:p>
        </w:tc>
        <w:tc>
          <w:tcPr>
            <w:tcW w:w="2678" w:type="pct"/>
            <w:vAlign w:val="center"/>
          </w:tcPr>
          <w:p w14:paraId="413D35E0" w14:textId="77777777" w:rsidR="002E474C" w:rsidRDefault="00000000">
            <w:pPr>
              <w:pStyle w:val="A-"/>
            </w:pPr>
            <w:r>
              <w:t>甲醇和氨气催化合成、蒸馏制备甲胺过程中产生的废催化剂</w:t>
            </w:r>
          </w:p>
        </w:tc>
        <w:tc>
          <w:tcPr>
            <w:tcW w:w="395" w:type="pct"/>
            <w:vAlign w:val="center"/>
          </w:tcPr>
          <w:p w14:paraId="6448AB63" w14:textId="77777777" w:rsidR="002E474C" w:rsidRDefault="00000000">
            <w:pPr>
              <w:pStyle w:val="A-"/>
            </w:pPr>
            <w:r>
              <w:t>T</w:t>
            </w:r>
          </w:p>
        </w:tc>
      </w:tr>
      <w:tr w:rsidR="002E474C" w14:paraId="4D345AFB" w14:textId="77777777">
        <w:trPr>
          <w:trHeight w:val="240"/>
        </w:trPr>
        <w:tc>
          <w:tcPr>
            <w:tcW w:w="574" w:type="pct"/>
            <w:vMerge/>
            <w:vAlign w:val="center"/>
          </w:tcPr>
          <w:p w14:paraId="0D0AD243" w14:textId="77777777" w:rsidR="002E474C" w:rsidRDefault="002E474C">
            <w:pPr>
              <w:pStyle w:val="A-"/>
            </w:pPr>
          </w:p>
        </w:tc>
        <w:tc>
          <w:tcPr>
            <w:tcW w:w="524" w:type="pct"/>
            <w:vMerge/>
            <w:vAlign w:val="center"/>
          </w:tcPr>
          <w:p w14:paraId="73311E71" w14:textId="77777777" w:rsidR="002E474C" w:rsidRDefault="002E474C">
            <w:pPr>
              <w:pStyle w:val="A-"/>
            </w:pPr>
          </w:p>
        </w:tc>
        <w:tc>
          <w:tcPr>
            <w:tcW w:w="372" w:type="pct"/>
            <w:vMerge/>
            <w:vAlign w:val="center"/>
          </w:tcPr>
          <w:p w14:paraId="3E69C78B" w14:textId="77777777" w:rsidR="002E474C" w:rsidRDefault="002E474C">
            <w:pPr>
              <w:pStyle w:val="A-"/>
            </w:pPr>
          </w:p>
        </w:tc>
        <w:tc>
          <w:tcPr>
            <w:tcW w:w="457" w:type="pct"/>
            <w:vAlign w:val="center"/>
          </w:tcPr>
          <w:p w14:paraId="7B18E7F3" w14:textId="77777777" w:rsidR="002E474C" w:rsidRDefault="00000000">
            <w:pPr>
              <w:pStyle w:val="A-"/>
            </w:pPr>
            <w:r>
              <w:t>261-165-50</w:t>
            </w:r>
          </w:p>
        </w:tc>
        <w:tc>
          <w:tcPr>
            <w:tcW w:w="2678" w:type="pct"/>
            <w:vAlign w:val="center"/>
          </w:tcPr>
          <w:p w14:paraId="058747EC" w14:textId="77777777" w:rsidR="002E474C" w:rsidRDefault="00000000">
            <w:pPr>
              <w:pStyle w:val="A-"/>
            </w:pPr>
            <w:r>
              <w:t>催化重整生产高辛烷值汽油和轻芳烃过程中产生的废催化剂</w:t>
            </w:r>
          </w:p>
        </w:tc>
        <w:tc>
          <w:tcPr>
            <w:tcW w:w="395" w:type="pct"/>
            <w:vAlign w:val="center"/>
          </w:tcPr>
          <w:p w14:paraId="31DED8EA" w14:textId="77777777" w:rsidR="002E474C" w:rsidRDefault="00000000">
            <w:pPr>
              <w:pStyle w:val="A-"/>
            </w:pPr>
            <w:r>
              <w:t>T</w:t>
            </w:r>
          </w:p>
        </w:tc>
      </w:tr>
      <w:tr w:rsidR="002E474C" w14:paraId="3DCF5348" w14:textId="77777777">
        <w:trPr>
          <w:trHeight w:val="240"/>
        </w:trPr>
        <w:tc>
          <w:tcPr>
            <w:tcW w:w="574" w:type="pct"/>
            <w:vMerge/>
            <w:vAlign w:val="center"/>
          </w:tcPr>
          <w:p w14:paraId="6C931E15" w14:textId="77777777" w:rsidR="002E474C" w:rsidRDefault="002E474C">
            <w:pPr>
              <w:pStyle w:val="A-"/>
            </w:pPr>
          </w:p>
        </w:tc>
        <w:tc>
          <w:tcPr>
            <w:tcW w:w="524" w:type="pct"/>
            <w:vMerge/>
            <w:vAlign w:val="center"/>
          </w:tcPr>
          <w:p w14:paraId="62F5EFBB" w14:textId="77777777" w:rsidR="002E474C" w:rsidRDefault="002E474C">
            <w:pPr>
              <w:pStyle w:val="A-"/>
            </w:pPr>
          </w:p>
        </w:tc>
        <w:tc>
          <w:tcPr>
            <w:tcW w:w="372" w:type="pct"/>
            <w:vMerge/>
            <w:vAlign w:val="center"/>
          </w:tcPr>
          <w:p w14:paraId="0FFACC8D" w14:textId="77777777" w:rsidR="002E474C" w:rsidRDefault="002E474C">
            <w:pPr>
              <w:pStyle w:val="A-"/>
            </w:pPr>
          </w:p>
        </w:tc>
        <w:tc>
          <w:tcPr>
            <w:tcW w:w="457" w:type="pct"/>
            <w:vAlign w:val="center"/>
          </w:tcPr>
          <w:p w14:paraId="2385FB1E" w14:textId="77777777" w:rsidR="002E474C" w:rsidRDefault="00000000">
            <w:pPr>
              <w:pStyle w:val="A-"/>
            </w:pPr>
            <w:r>
              <w:t>261-166-50</w:t>
            </w:r>
          </w:p>
        </w:tc>
        <w:tc>
          <w:tcPr>
            <w:tcW w:w="2678" w:type="pct"/>
            <w:vAlign w:val="center"/>
          </w:tcPr>
          <w:p w14:paraId="65FF62B9" w14:textId="77777777" w:rsidR="002E474C" w:rsidRDefault="00000000">
            <w:pPr>
              <w:pStyle w:val="A-"/>
            </w:pPr>
            <w:r>
              <w:t>采用碳酸二甲酯法生产甲苯二异氰酸酯过程中产生的废催化剂</w:t>
            </w:r>
          </w:p>
        </w:tc>
        <w:tc>
          <w:tcPr>
            <w:tcW w:w="395" w:type="pct"/>
            <w:vAlign w:val="center"/>
          </w:tcPr>
          <w:p w14:paraId="117B2F39" w14:textId="77777777" w:rsidR="002E474C" w:rsidRDefault="00000000">
            <w:pPr>
              <w:pStyle w:val="A-"/>
            </w:pPr>
            <w:r>
              <w:t>T</w:t>
            </w:r>
          </w:p>
        </w:tc>
      </w:tr>
      <w:tr w:rsidR="002E474C" w14:paraId="287CAB00" w14:textId="77777777">
        <w:trPr>
          <w:trHeight w:val="240"/>
        </w:trPr>
        <w:tc>
          <w:tcPr>
            <w:tcW w:w="574" w:type="pct"/>
            <w:vMerge/>
            <w:vAlign w:val="center"/>
          </w:tcPr>
          <w:p w14:paraId="55BAC620" w14:textId="77777777" w:rsidR="002E474C" w:rsidRDefault="002E474C">
            <w:pPr>
              <w:pStyle w:val="A-"/>
            </w:pPr>
          </w:p>
        </w:tc>
        <w:tc>
          <w:tcPr>
            <w:tcW w:w="524" w:type="pct"/>
            <w:vMerge/>
            <w:vAlign w:val="center"/>
          </w:tcPr>
          <w:p w14:paraId="794F92B6" w14:textId="77777777" w:rsidR="002E474C" w:rsidRDefault="002E474C">
            <w:pPr>
              <w:pStyle w:val="A-"/>
            </w:pPr>
          </w:p>
        </w:tc>
        <w:tc>
          <w:tcPr>
            <w:tcW w:w="372" w:type="pct"/>
            <w:vMerge/>
            <w:vAlign w:val="center"/>
          </w:tcPr>
          <w:p w14:paraId="7CBC4F31" w14:textId="77777777" w:rsidR="002E474C" w:rsidRDefault="002E474C">
            <w:pPr>
              <w:pStyle w:val="A-"/>
            </w:pPr>
          </w:p>
        </w:tc>
        <w:tc>
          <w:tcPr>
            <w:tcW w:w="457" w:type="pct"/>
            <w:vAlign w:val="center"/>
          </w:tcPr>
          <w:p w14:paraId="5F370D66" w14:textId="77777777" w:rsidR="002E474C" w:rsidRDefault="00000000">
            <w:pPr>
              <w:pStyle w:val="A-"/>
            </w:pPr>
            <w:r>
              <w:t>261-167-50</w:t>
            </w:r>
          </w:p>
        </w:tc>
        <w:tc>
          <w:tcPr>
            <w:tcW w:w="2678" w:type="pct"/>
            <w:vAlign w:val="center"/>
          </w:tcPr>
          <w:p w14:paraId="5E09F2F8" w14:textId="77777777" w:rsidR="002E474C" w:rsidRDefault="00000000">
            <w:pPr>
              <w:pStyle w:val="A-"/>
            </w:pPr>
            <w:r>
              <w:t>合成气合成、甲烷氧化和液化石油气氧化生产甲醇过程中产生的废催化剂</w:t>
            </w:r>
          </w:p>
        </w:tc>
        <w:tc>
          <w:tcPr>
            <w:tcW w:w="395" w:type="pct"/>
            <w:vAlign w:val="center"/>
          </w:tcPr>
          <w:p w14:paraId="3EBB0A08" w14:textId="77777777" w:rsidR="002E474C" w:rsidRDefault="00000000">
            <w:pPr>
              <w:pStyle w:val="A-"/>
            </w:pPr>
            <w:r>
              <w:t>T</w:t>
            </w:r>
          </w:p>
        </w:tc>
      </w:tr>
      <w:tr w:rsidR="002E474C" w14:paraId="7387ADEA" w14:textId="77777777">
        <w:trPr>
          <w:trHeight w:val="240"/>
        </w:trPr>
        <w:tc>
          <w:tcPr>
            <w:tcW w:w="574" w:type="pct"/>
            <w:vMerge/>
            <w:vAlign w:val="center"/>
          </w:tcPr>
          <w:p w14:paraId="51B8ED86" w14:textId="77777777" w:rsidR="002E474C" w:rsidRDefault="002E474C">
            <w:pPr>
              <w:pStyle w:val="A-"/>
            </w:pPr>
          </w:p>
        </w:tc>
        <w:tc>
          <w:tcPr>
            <w:tcW w:w="524" w:type="pct"/>
            <w:vMerge/>
            <w:vAlign w:val="center"/>
          </w:tcPr>
          <w:p w14:paraId="3E7D154E" w14:textId="77777777" w:rsidR="002E474C" w:rsidRDefault="002E474C">
            <w:pPr>
              <w:pStyle w:val="A-"/>
            </w:pPr>
          </w:p>
        </w:tc>
        <w:tc>
          <w:tcPr>
            <w:tcW w:w="372" w:type="pct"/>
            <w:vMerge/>
            <w:vAlign w:val="center"/>
          </w:tcPr>
          <w:p w14:paraId="5FA73331" w14:textId="77777777" w:rsidR="002E474C" w:rsidRDefault="002E474C">
            <w:pPr>
              <w:pStyle w:val="A-"/>
            </w:pPr>
          </w:p>
        </w:tc>
        <w:tc>
          <w:tcPr>
            <w:tcW w:w="457" w:type="pct"/>
            <w:vAlign w:val="center"/>
          </w:tcPr>
          <w:p w14:paraId="2C63C12F" w14:textId="77777777" w:rsidR="002E474C" w:rsidRDefault="00000000">
            <w:pPr>
              <w:pStyle w:val="A-"/>
            </w:pPr>
            <w:r>
              <w:t>261-168-50</w:t>
            </w:r>
          </w:p>
        </w:tc>
        <w:tc>
          <w:tcPr>
            <w:tcW w:w="2678" w:type="pct"/>
            <w:vAlign w:val="center"/>
          </w:tcPr>
          <w:p w14:paraId="09F6EE83" w14:textId="77777777" w:rsidR="002E474C" w:rsidRDefault="00000000">
            <w:pPr>
              <w:pStyle w:val="A-"/>
            </w:pPr>
            <w:r>
              <w:t>甲苯氯化水解生产邻甲酚过程中产生的废催化剂</w:t>
            </w:r>
          </w:p>
        </w:tc>
        <w:tc>
          <w:tcPr>
            <w:tcW w:w="395" w:type="pct"/>
            <w:vAlign w:val="center"/>
          </w:tcPr>
          <w:p w14:paraId="6128C12C" w14:textId="77777777" w:rsidR="002E474C" w:rsidRDefault="00000000">
            <w:pPr>
              <w:pStyle w:val="A-"/>
            </w:pPr>
            <w:r>
              <w:t>T</w:t>
            </w:r>
          </w:p>
        </w:tc>
      </w:tr>
      <w:tr w:rsidR="002E474C" w14:paraId="42B80199" w14:textId="77777777">
        <w:trPr>
          <w:trHeight w:val="240"/>
        </w:trPr>
        <w:tc>
          <w:tcPr>
            <w:tcW w:w="574" w:type="pct"/>
            <w:vMerge/>
            <w:vAlign w:val="center"/>
          </w:tcPr>
          <w:p w14:paraId="3727F0A8" w14:textId="77777777" w:rsidR="002E474C" w:rsidRDefault="002E474C">
            <w:pPr>
              <w:pStyle w:val="A-"/>
            </w:pPr>
          </w:p>
        </w:tc>
        <w:tc>
          <w:tcPr>
            <w:tcW w:w="524" w:type="pct"/>
            <w:vMerge/>
            <w:vAlign w:val="center"/>
          </w:tcPr>
          <w:p w14:paraId="1248203F" w14:textId="77777777" w:rsidR="002E474C" w:rsidRDefault="002E474C">
            <w:pPr>
              <w:pStyle w:val="A-"/>
            </w:pPr>
          </w:p>
        </w:tc>
        <w:tc>
          <w:tcPr>
            <w:tcW w:w="372" w:type="pct"/>
            <w:vMerge/>
            <w:vAlign w:val="center"/>
          </w:tcPr>
          <w:p w14:paraId="7409C1BD" w14:textId="77777777" w:rsidR="002E474C" w:rsidRDefault="002E474C">
            <w:pPr>
              <w:pStyle w:val="A-"/>
            </w:pPr>
          </w:p>
        </w:tc>
        <w:tc>
          <w:tcPr>
            <w:tcW w:w="457" w:type="pct"/>
            <w:vAlign w:val="center"/>
          </w:tcPr>
          <w:p w14:paraId="355A59FC" w14:textId="77777777" w:rsidR="002E474C" w:rsidRDefault="00000000">
            <w:pPr>
              <w:pStyle w:val="A-"/>
            </w:pPr>
            <w:r>
              <w:t>261-169-50</w:t>
            </w:r>
          </w:p>
        </w:tc>
        <w:tc>
          <w:tcPr>
            <w:tcW w:w="2678" w:type="pct"/>
            <w:vAlign w:val="center"/>
          </w:tcPr>
          <w:p w14:paraId="663AE8CB" w14:textId="77777777" w:rsidR="002E474C" w:rsidRDefault="00000000">
            <w:pPr>
              <w:pStyle w:val="A-"/>
            </w:pPr>
            <w:r>
              <w:t>异丙苯催化脱氢生产</w:t>
            </w:r>
            <w:r>
              <w:t>α-</w:t>
            </w:r>
            <w:r>
              <w:t>甲基苯乙烯过程中产生的废催化剂</w:t>
            </w:r>
          </w:p>
        </w:tc>
        <w:tc>
          <w:tcPr>
            <w:tcW w:w="395" w:type="pct"/>
            <w:vAlign w:val="center"/>
          </w:tcPr>
          <w:p w14:paraId="7D01A230" w14:textId="77777777" w:rsidR="002E474C" w:rsidRDefault="00000000">
            <w:pPr>
              <w:pStyle w:val="A-"/>
            </w:pPr>
            <w:r>
              <w:t>T</w:t>
            </w:r>
          </w:p>
        </w:tc>
      </w:tr>
      <w:tr w:rsidR="002E474C" w14:paraId="6580FA51" w14:textId="77777777">
        <w:trPr>
          <w:trHeight w:val="240"/>
        </w:trPr>
        <w:tc>
          <w:tcPr>
            <w:tcW w:w="574" w:type="pct"/>
            <w:vMerge/>
            <w:vAlign w:val="center"/>
          </w:tcPr>
          <w:p w14:paraId="282235A8" w14:textId="77777777" w:rsidR="002E474C" w:rsidRDefault="002E474C">
            <w:pPr>
              <w:pStyle w:val="A-"/>
            </w:pPr>
          </w:p>
        </w:tc>
        <w:tc>
          <w:tcPr>
            <w:tcW w:w="524" w:type="pct"/>
            <w:vMerge/>
            <w:vAlign w:val="center"/>
          </w:tcPr>
          <w:p w14:paraId="43713729" w14:textId="77777777" w:rsidR="002E474C" w:rsidRDefault="002E474C">
            <w:pPr>
              <w:pStyle w:val="A-"/>
            </w:pPr>
          </w:p>
        </w:tc>
        <w:tc>
          <w:tcPr>
            <w:tcW w:w="372" w:type="pct"/>
            <w:vMerge/>
            <w:vAlign w:val="center"/>
          </w:tcPr>
          <w:p w14:paraId="695E0485" w14:textId="77777777" w:rsidR="002E474C" w:rsidRDefault="002E474C">
            <w:pPr>
              <w:pStyle w:val="A-"/>
            </w:pPr>
          </w:p>
        </w:tc>
        <w:tc>
          <w:tcPr>
            <w:tcW w:w="457" w:type="pct"/>
            <w:vAlign w:val="center"/>
          </w:tcPr>
          <w:p w14:paraId="56E06058" w14:textId="77777777" w:rsidR="002E474C" w:rsidRDefault="00000000">
            <w:pPr>
              <w:pStyle w:val="A-"/>
            </w:pPr>
            <w:r>
              <w:t>261-170-50</w:t>
            </w:r>
          </w:p>
        </w:tc>
        <w:tc>
          <w:tcPr>
            <w:tcW w:w="2678" w:type="pct"/>
            <w:vAlign w:val="center"/>
          </w:tcPr>
          <w:p w14:paraId="78DCFDBC" w14:textId="77777777" w:rsidR="002E474C" w:rsidRDefault="00000000">
            <w:pPr>
              <w:pStyle w:val="A-"/>
            </w:pPr>
            <w:r>
              <w:t>异丁烯和甲醇催化生产甲基叔丁基醚过程中产生的废催化剂</w:t>
            </w:r>
          </w:p>
        </w:tc>
        <w:tc>
          <w:tcPr>
            <w:tcW w:w="395" w:type="pct"/>
            <w:vAlign w:val="center"/>
          </w:tcPr>
          <w:p w14:paraId="50FF1978" w14:textId="77777777" w:rsidR="002E474C" w:rsidRDefault="00000000">
            <w:pPr>
              <w:pStyle w:val="A-"/>
            </w:pPr>
            <w:r>
              <w:t>T</w:t>
            </w:r>
          </w:p>
        </w:tc>
      </w:tr>
      <w:tr w:rsidR="002E474C" w14:paraId="1D56DD49" w14:textId="77777777">
        <w:trPr>
          <w:trHeight w:val="240"/>
        </w:trPr>
        <w:tc>
          <w:tcPr>
            <w:tcW w:w="574" w:type="pct"/>
            <w:vMerge/>
            <w:vAlign w:val="center"/>
          </w:tcPr>
          <w:p w14:paraId="200FDA95" w14:textId="77777777" w:rsidR="002E474C" w:rsidRDefault="002E474C">
            <w:pPr>
              <w:pStyle w:val="A-"/>
            </w:pPr>
          </w:p>
        </w:tc>
        <w:tc>
          <w:tcPr>
            <w:tcW w:w="524" w:type="pct"/>
            <w:vMerge/>
            <w:vAlign w:val="center"/>
          </w:tcPr>
          <w:p w14:paraId="1B4141D9" w14:textId="77777777" w:rsidR="002E474C" w:rsidRDefault="002E474C">
            <w:pPr>
              <w:pStyle w:val="A-"/>
            </w:pPr>
          </w:p>
        </w:tc>
        <w:tc>
          <w:tcPr>
            <w:tcW w:w="372" w:type="pct"/>
            <w:vMerge/>
            <w:vAlign w:val="center"/>
          </w:tcPr>
          <w:p w14:paraId="3187F2C1" w14:textId="77777777" w:rsidR="002E474C" w:rsidRDefault="002E474C">
            <w:pPr>
              <w:pStyle w:val="A-"/>
            </w:pPr>
          </w:p>
        </w:tc>
        <w:tc>
          <w:tcPr>
            <w:tcW w:w="457" w:type="pct"/>
            <w:vAlign w:val="center"/>
          </w:tcPr>
          <w:p w14:paraId="4778B68C" w14:textId="77777777" w:rsidR="002E474C" w:rsidRDefault="00000000">
            <w:pPr>
              <w:pStyle w:val="A-"/>
            </w:pPr>
            <w:r>
              <w:t>261-171-50</w:t>
            </w:r>
          </w:p>
        </w:tc>
        <w:tc>
          <w:tcPr>
            <w:tcW w:w="2678" w:type="pct"/>
            <w:vAlign w:val="center"/>
          </w:tcPr>
          <w:p w14:paraId="7CFFE9EE" w14:textId="77777777" w:rsidR="002E474C" w:rsidRDefault="00000000">
            <w:pPr>
              <w:pStyle w:val="A-"/>
            </w:pPr>
            <w:r>
              <w:t>甲醇空气氧化法生产甲醛过程中产生的废催化剂</w:t>
            </w:r>
          </w:p>
        </w:tc>
        <w:tc>
          <w:tcPr>
            <w:tcW w:w="395" w:type="pct"/>
            <w:vAlign w:val="center"/>
          </w:tcPr>
          <w:p w14:paraId="00BE3DD6" w14:textId="77777777" w:rsidR="002E474C" w:rsidRDefault="00000000">
            <w:pPr>
              <w:pStyle w:val="A-"/>
            </w:pPr>
            <w:r>
              <w:t>T</w:t>
            </w:r>
          </w:p>
        </w:tc>
      </w:tr>
      <w:tr w:rsidR="002E474C" w14:paraId="0632AA77" w14:textId="77777777">
        <w:trPr>
          <w:trHeight w:val="240"/>
        </w:trPr>
        <w:tc>
          <w:tcPr>
            <w:tcW w:w="574" w:type="pct"/>
            <w:vMerge/>
            <w:vAlign w:val="center"/>
          </w:tcPr>
          <w:p w14:paraId="2874093F" w14:textId="77777777" w:rsidR="002E474C" w:rsidRDefault="002E474C">
            <w:pPr>
              <w:pStyle w:val="A-"/>
            </w:pPr>
          </w:p>
        </w:tc>
        <w:tc>
          <w:tcPr>
            <w:tcW w:w="524" w:type="pct"/>
            <w:vMerge/>
            <w:vAlign w:val="center"/>
          </w:tcPr>
          <w:p w14:paraId="06937F0F" w14:textId="77777777" w:rsidR="002E474C" w:rsidRDefault="002E474C">
            <w:pPr>
              <w:pStyle w:val="A-"/>
            </w:pPr>
          </w:p>
        </w:tc>
        <w:tc>
          <w:tcPr>
            <w:tcW w:w="372" w:type="pct"/>
            <w:vMerge/>
            <w:vAlign w:val="center"/>
          </w:tcPr>
          <w:p w14:paraId="637E1104" w14:textId="77777777" w:rsidR="002E474C" w:rsidRDefault="002E474C">
            <w:pPr>
              <w:pStyle w:val="A-"/>
            </w:pPr>
          </w:p>
        </w:tc>
        <w:tc>
          <w:tcPr>
            <w:tcW w:w="457" w:type="pct"/>
            <w:vAlign w:val="center"/>
          </w:tcPr>
          <w:p w14:paraId="765FAF3D" w14:textId="77777777" w:rsidR="002E474C" w:rsidRDefault="00000000">
            <w:pPr>
              <w:pStyle w:val="A-"/>
            </w:pPr>
            <w:r>
              <w:t>261-172-50</w:t>
            </w:r>
          </w:p>
        </w:tc>
        <w:tc>
          <w:tcPr>
            <w:tcW w:w="2678" w:type="pct"/>
            <w:vAlign w:val="center"/>
          </w:tcPr>
          <w:p w14:paraId="4FD2A527" w14:textId="77777777" w:rsidR="002E474C" w:rsidRDefault="00000000">
            <w:pPr>
              <w:pStyle w:val="A-"/>
            </w:pPr>
            <w:r>
              <w:t>邻二甲苯氧化法生产邻苯二甲酸酐过程中产生的废催化剂</w:t>
            </w:r>
          </w:p>
        </w:tc>
        <w:tc>
          <w:tcPr>
            <w:tcW w:w="395" w:type="pct"/>
            <w:vAlign w:val="center"/>
          </w:tcPr>
          <w:p w14:paraId="5F16BBE2" w14:textId="77777777" w:rsidR="002E474C" w:rsidRDefault="00000000">
            <w:pPr>
              <w:pStyle w:val="A-"/>
            </w:pPr>
            <w:r>
              <w:t>T</w:t>
            </w:r>
          </w:p>
        </w:tc>
      </w:tr>
      <w:tr w:rsidR="002E474C" w14:paraId="56FCFD8F" w14:textId="77777777">
        <w:trPr>
          <w:trHeight w:val="240"/>
        </w:trPr>
        <w:tc>
          <w:tcPr>
            <w:tcW w:w="574" w:type="pct"/>
            <w:vMerge/>
            <w:vAlign w:val="center"/>
          </w:tcPr>
          <w:p w14:paraId="60C25725" w14:textId="77777777" w:rsidR="002E474C" w:rsidRDefault="002E474C">
            <w:pPr>
              <w:pStyle w:val="A-"/>
            </w:pPr>
          </w:p>
        </w:tc>
        <w:tc>
          <w:tcPr>
            <w:tcW w:w="524" w:type="pct"/>
            <w:vMerge/>
            <w:vAlign w:val="center"/>
          </w:tcPr>
          <w:p w14:paraId="1A95FDF6" w14:textId="77777777" w:rsidR="002E474C" w:rsidRDefault="002E474C">
            <w:pPr>
              <w:pStyle w:val="A-"/>
            </w:pPr>
          </w:p>
        </w:tc>
        <w:tc>
          <w:tcPr>
            <w:tcW w:w="372" w:type="pct"/>
            <w:vMerge/>
            <w:vAlign w:val="center"/>
          </w:tcPr>
          <w:p w14:paraId="073C7FD7" w14:textId="77777777" w:rsidR="002E474C" w:rsidRDefault="002E474C">
            <w:pPr>
              <w:pStyle w:val="A-"/>
            </w:pPr>
          </w:p>
        </w:tc>
        <w:tc>
          <w:tcPr>
            <w:tcW w:w="457" w:type="pct"/>
            <w:vAlign w:val="center"/>
          </w:tcPr>
          <w:p w14:paraId="37011ACC" w14:textId="77777777" w:rsidR="002E474C" w:rsidRDefault="00000000">
            <w:pPr>
              <w:pStyle w:val="A-"/>
            </w:pPr>
            <w:r>
              <w:t>261-173-50</w:t>
            </w:r>
          </w:p>
        </w:tc>
        <w:tc>
          <w:tcPr>
            <w:tcW w:w="2678" w:type="pct"/>
            <w:vAlign w:val="center"/>
          </w:tcPr>
          <w:p w14:paraId="406DC6B9" w14:textId="77777777" w:rsidR="002E474C" w:rsidRDefault="00000000">
            <w:pPr>
              <w:pStyle w:val="A-"/>
            </w:pPr>
            <w:r>
              <w:t>二氧化硫氧化生产硫酸过程中产生的废催化剂</w:t>
            </w:r>
          </w:p>
        </w:tc>
        <w:tc>
          <w:tcPr>
            <w:tcW w:w="395" w:type="pct"/>
            <w:vAlign w:val="center"/>
          </w:tcPr>
          <w:p w14:paraId="4E6D6D0A" w14:textId="77777777" w:rsidR="002E474C" w:rsidRDefault="00000000">
            <w:pPr>
              <w:pStyle w:val="A-"/>
            </w:pPr>
            <w:r>
              <w:t>T</w:t>
            </w:r>
          </w:p>
        </w:tc>
      </w:tr>
      <w:tr w:rsidR="002E474C" w14:paraId="0E1360F4" w14:textId="77777777">
        <w:trPr>
          <w:trHeight w:val="240"/>
        </w:trPr>
        <w:tc>
          <w:tcPr>
            <w:tcW w:w="574" w:type="pct"/>
            <w:vMerge/>
            <w:vAlign w:val="center"/>
          </w:tcPr>
          <w:p w14:paraId="42984A7D" w14:textId="77777777" w:rsidR="002E474C" w:rsidRDefault="002E474C">
            <w:pPr>
              <w:pStyle w:val="A-"/>
            </w:pPr>
          </w:p>
        </w:tc>
        <w:tc>
          <w:tcPr>
            <w:tcW w:w="524" w:type="pct"/>
            <w:vMerge/>
            <w:vAlign w:val="center"/>
          </w:tcPr>
          <w:p w14:paraId="676E7AB2" w14:textId="77777777" w:rsidR="002E474C" w:rsidRDefault="002E474C">
            <w:pPr>
              <w:pStyle w:val="A-"/>
            </w:pPr>
          </w:p>
        </w:tc>
        <w:tc>
          <w:tcPr>
            <w:tcW w:w="372" w:type="pct"/>
            <w:vMerge/>
            <w:vAlign w:val="center"/>
          </w:tcPr>
          <w:p w14:paraId="1465DDFA" w14:textId="77777777" w:rsidR="002E474C" w:rsidRDefault="002E474C">
            <w:pPr>
              <w:pStyle w:val="A-"/>
            </w:pPr>
          </w:p>
        </w:tc>
        <w:tc>
          <w:tcPr>
            <w:tcW w:w="457" w:type="pct"/>
            <w:vAlign w:val="center"/>
          </w:tcPr>
          <w:p w14:paraId="23017519" w14:textId="77777777" w:rsidR="002E474C" w:rsidRDefault="00000000">
            <w:pPr>
              <w:pStyle w:val="A-"/>
            </w:pPr>
            <w:r>
              <w:t>261-174-50</w:t>
            </w:r>
          </w:p>
        </w:tc>
        <w:tc>
          <w:tcPr>
            <w:tcW w:w="2678" w:type="pct"/>
            <w:vAlign w:val="center"/>
          </w:tcPr>
          <w:p w14:paraId="09F5F92E" w14:textId="77777777" w:rsidR="002E474C" w:rsidRDefault="00000000">
            <w:pPr>
              <w:pStyle w:val="A-"/>
            </w:pPr>
            <w:r>
              <w:t>四氯乙烷催化脱氯化氢生产三氯乙烯过程中产生的废催化剂</w:t>
            </w:r>
          </w:p>
        </w:tc>
        <w:tc>
          <w:tcPr>
            <w:tcW w:w="395" w:type="pct"/>
            <w:vAlign w:val="center"/>
          </w:tcPr>
          <w:p w14:paraId="3C651CEC" w14:textId="77777777" w:rsidR="002E474C" w:rsidRDefault="00000000">
            <w:pPr>
              <w:pStyle w:val="A-"/>
            </w:pPr>
            <w:r>
              <w:t>T</w:t>
            </w:r>
          </w:p>
        </w:tc>
      </w:tr>
      <w:tr w:rsidR="002E474C" w14:paraId="0E9D1129" w14:textId="77777777">
        <w:trPr>
          <w:trHeight w:val="240"/>
        </w:trPr>
        <w:tc>
          <w:tcPr>
            <w:tcW w:w="574" w:type="pct"/>
            <w:vMerge/>
            <w:vAlign w:val="center"/>
          </w:tcPr>
          <w:p w14:paraId="187B349A" w14:textId="77777777" w:rsidR="002E474C" w:rsidRDefault="002E474C">
            <w:pPr>
              <w:pStyle w:val="A-"/>
            </w:pPr>
          </w:p>
        </w:tc>
        <w:tc>
          <w:tcPr>
            <w:tcW w:w="524" w:type="pct"/>
            <w:vMerge/>
            <w:vAlign w:val="center"/>
          </w:tcPr>
          <w:p w14:paraId="499DC81E" w14:textId="77777777" w:rsidR="002E474C" w:rsidRDefault="002E474C">
            <w:pPr>
              <w:pStyle w:val="A-"/>
            </w:pPr>
          </w:p>
        </w:tc>
        <w:tc>
          <w:tcPr>
            <w:tcW w:w="372" w:type="pct"/>
            <w:vMerge/>
            <w:vAlign w:val="center"/>
          </w:tcPr>
          <w:p w14:paraId="45130E60" w14:textId="77777777" w:rsidR="002E474C" w:rsidRDefault="002E474C">
            <w:pPr>
              <w:pStyle w:val="A-"/>
            </w:pPr>
          </w:p>
        </w:tc>
        <w:tc>
          <w:tcPr>
            <w:tcW w:w="457" w:type="pct"/>
            <w:vAlign w:val="center"/>
          </w:tcPr>
          <w:p w14:paraId="071B4CCC" w14:textId="77777777" w:rsidR="002E474C" w:rsidRDefault="00000000">
            <w:pPr>
              <w:pStyle w:val="A-"/>
            </w:pPr>
            <w:r>
              <w:t>261-175-50</w:t>
            </w:r>
          </w:p>
        </w:tc>
        <w:tc>
          <w:tcPr>
            <w:tcW w:w="2678" w:type="pct"/>
            <w:vAlign w:val="center"/>
          </w:tcPr>
          <w:p w14:paraId="3D5DF25F" w14:textId="77777777" w:rsidR="002E474C" w:rsidRDefault="00000000">
            <w:pPr>
              <w:pStyle w:val="A-"/>
            </w:pPr>
            <w:r>
              <w:t>苯氧化法生产顺丁烯二酸酐过程中产生的废催化剂</w:t>
            </w:r>
          </w:p>
        </w:tc>
        <w:tc>
          <w:tcPr>
            <w:tcW w:w="395" w:type="pct"/>
            <w:vAlign w:val="center"/>
          </w:tcPr>
          <w:p w14:paraId="5827EC32" w14:textId="77777777" w:rsidR="002E474C" w:rsidRDefault="00000000">
            <w:pPr>
              <w:pStyle w:val="A-"/>
            </w:pPr>
            <w:r>
              <w:t>T</w:t>
            </w:r>
          </w:p>
        </w:tc>
      </w:tr>
      <w:tr w:rsidR="002E474C" w14:paraId="0B2B756A" w14:textId="77777777">
        <w:trPr>
          <w:trHeight w:val="240"/>
        </w:trPr>
        <w:tc>
          <w:tcPr>
            <w:tcW w:w="574" w:type="pct"/>
            <w:vMerge/>
            <w:vAlign w:val="center"/>
          </w:tcPr>
          <w:p w14:paraId="3AA800F3" w14:textId="77777777" w:rsidR="002E474C" w:rsidRDefault="002E474C">
            <w:pPr>
              <w:pStyle w:val="A-"/>
            </w:pPr>
          </w:p>
        </w:tc>
        <w:tc>
          <w:tcPr>
            <w:tcW w:w="524" w:type="pct"/>
            <w:vMerge/>
            <w:vAlign w:val="center"/>
          </w:tcPr>
          <w:p w14:paraId="5A3946D0" w14:textId="77777777" w:rsidR="002E474C" w:rsidRDefault="002E474C">
            <w:pPr>
              <w:pStyle w:val="A-"/>
            </w:pPr>
          </w:p>
        </w:tc>
        <w:tc>
          <w:tcPr>
            <w:tcW w:w="372" w:type="pct"/>
            <w:vMerge/>
            <w:vAlign w:val="center"/>
          </w:tcPr>
          <w:p w14:paraId="625E7FEA" w14:textId="77777777" w:rsidR="002E474C" w:rsidRDefault="002E474C">
            <w:pPr>
              <w:pStyle w:val="A-"/>
            </w:pPr>
          </w:p>
        </w:tc>
        <w:tc>
          <w:tcPr>
            <w:tcW w:w="457" w:type="pct"/>
            <w:vAlign w:val="center"/>
          </w:tcPr>
          <w:p w14:paraId="5E5E127E" w14:textId="77777777" w:rsidR="002E474C" w:rsidRDefault="00000000">
            <w:pPr>
              <w:pStyle w:val="A-"/>
            </w:pPr>
            <w:r>
              <w:t>261-176-50</w:t>
            </w:r>
          </w:p>
        </w:tc>
        <w:tc>
          <w:tcPr>
            <w:tcW w:w="2678" w:type="pct"/>
            <w:vAlign w:val="center"/>
          </w:tcPr>
          <w:p w14:paraId="59F8477C" w14:textId="77777777" w:rsidR="002E474C" w:rsidRDefault="00000000">
            <w:pPr>
              <w:pStyle w:val="A-"/>
            </w:pPr>
            <w:r>
              <w:t>甲苯空气氧化生产苯甲酸过程中产生的废催化剂</w:t>
            </w:r>
          </w:p>
        </w:tc>
        <w:tc>
          <w:tcPr>
            <w:tcW w:w="395" w:type="pct"/>
            <w:vAlign w:val="center"/>
          </w:tcPr>
          <w:p w14:paraId="24DB467A" w14:textId="77777777" w:rsidR="002E474C" w:rsidRDefault="00000000">
            <w:pPr>
              <w:pStyle w:val="A-"/>
            </w:pPr>
            <w:r>
              <w:t>T</w:t>
            </w:r>
          </w:p>
        </w:tc>
      </w:tr>
      <w:tr w:rsidR="002E474C" w14:paraId="2EA66218" w14:textId="77777777">
        <w:trPr>
          <w:trHeight w:val="240"/>
        </w:trPr>
        <w:tc>
          <w:tcPr>
            <w:tcW w:w="574" w:type="pct"/>
            <w:vMerge/>
            <w:vAlign w:val="center"/>
          </w:tcPr>
          <w:p w14:paraId="1D4414BD" w14:textId="77777777" w:rsidR="002E474C" w:rsidRDefault="002E474C">
            <w:pPr>
              <w:pStyle w:val="A-"/>
            </w:pPr>
          </w:p>
        </w:tc>
        <w:tc>
          <w:tcPr>
            <w:tcW w:w="524" w:type="pct"/>
            <w:vMerge/>
            <w:vAlign w:val="center"/>
          </w:tcPr>
          <w:p w14:paraId="57DC5719" w14:textId="77777777" w:rsidR="002E474C" w:rsidRDefault="002E474C">
            <w:pPr>
              <w:pStyle w:val="A-"/>
            </w:pPr>
          </w:p>
        </w:tc>
        <w:tc>
          <w:tcPr>
            <w:tcW w:w="372" w:type="pct"/>
            <w:vMerge/>
            <w:vAlign w:val="center"/>
          </w:tcPr>
          <w:p w14:paraId="3B063C04" w14:textId="77777777" w:rsidR="002E474C" w:rsidRDefault="002E474C">
            <w:pPr>
              <w:pStyle w:val="A-"/>
            </w:pPr>
          </w:p>
        </w:tc>
        <w:tc>
          <w:tcPr>
            <w:tcW w:w="457" w:type="pct"/>
            <w:vAlign w:val="center"/>
          </w:tcPr>
          <w:p w14:paraId="79392870" w14:textId="77777777" w:rsidR="002E474C" w:rsidRDefault="00000000">
            <w:pPr>
              <w:pStyle w:val="A-"/>
            </w:pPr>
            <w:r>
              <w:t>261-177-50</w:t>
            </w:r>
          </w:p>
        </w:tc>
        <w:tc>
          <w:tcPr>
            <w:tcW w:w="2678" w:type="pct"/>
            <w:vAlign w:val="center"/>
          </w:tcPr>
          <w:p w14:paraId="20D1395D" w14:textId="77777777" w:rsidR="002E474C" w:rsidRDefault="00000000">
            <w:pPr>
              <w:pStyle w:val="A-"/>
            </w:pPr>
            <w:r>
              <w:t>羟丙腈氨化、加氢生产</w:t>
            </w:r>
            <w:r>
              <w:t>3-</w:t>
            </w:r>
            <w:r>
              <w:t>氨基</w:t>
            </w:r>
            <w:r>
              <w:t>-1-</w:t>
            </w:r>
            <w:r>
              <w:t>丙醇过程中产生的废催化剂</w:t>
            </w:r>
          </w:p>
        </w:tc>
        <w:tc>
          <w:tcPr>
            <w:tcW w:w="395" w:type="pct"/>
            <w:vAlign w:val="center"/>
          </w:tcPr>
          <w:p w14:paraId="15927530" w14:textId="77777777" w:rsidR="002E474C" w:rsidRDefault="00000000">
            <w:pPr>
              <w:pStyle w:val="A-"/>
            </w:pPr>
            <w:r>
              <w:t>T</w:t>
            </w:r>
          </w:p>
        </w:tc>
      </w:tr>
      <w:tr w:rsidR="002E474C" w14:paraId="05369CBB" w14:textId="77777777">
        <w:trPr>
          <w:trHeight w:val="240"/>
        </w:trPr>
        <w:tc>
          <w:tcPr>
            <w:tcW w:w="574" w:type="pct"/>
            <w:vMerge/>
            <w:vAlign w:val="center"/>
          </w:tcPr>
          <w:p w14:paraId="400DFA47" w14:textId="77777777" w:rsidR="002E474C" w:rsidRDefault="002E474C">
            <w:pPr>
              <w:pStyle w:val="A-"/>
            </w:pPr>
          </w:p>
        </w:tc>
        <w:tc>
          <w:tcPr>
            <w:tcW w:w="524" w:type="pct"/>
            <w:vMerge/>
            <w:vAlign w:val="center"/>
          </w:tcPr>
          <w:p w14:paraId="73473B2C" w14:textId="77777777" w:rsidR="002E474C" w:rsidRDefault="002E474C">
            <w:pPr>
              <w:pStyle w:val="A-"/>
            </w:pPr>
          </w:p>
        </w:tc>
        <w:tc>
          <w:tcPr>
            <w:tcW w:w="372" w:type="pct"/>
            <w:vMerge/>
            <w:vAlign w:val="center"/>
          </w:tcPr>
          <w:p w14:paraId="0EB60ED5" w14:textId="77777777" w:rsidR="002E474C" w:rsidRDefault="002E474C">
            <w:pPr>
              <w:pStyle w:val="A-"/>
            </w:pPr>
          </w:p>
        </w:tc>
        <w:tc>
          <w:tcPr>
            <w:tcW w:w="457" w:type="pct"/>
            <w:vAlign w:val="center"/>
          </w:tcPr>
          <w:p w14:paraId="7963C0FD" w14:textId="77777777" w:rsidR="002E474C" w:rsidRDefault="00000000">
            <w:pPr>
              <w:pStyle w:val="A-"/>
            </w:pPr>
            <w:r>
              <w:t>261-178-50</w:t>
            </w:r>
          </w:p>
        </w:tc>
        <w:tc>
          <w:tcPr>
            <w:tcW w:w="2678" w:type="pct"/>
            <w:vAlign w:val="center"/>
          </w:tcPr>
          <w:p w14:paraId="02EFB249" w14:textId="77777777" w:rsidR="002E474C" w:rsidRDefault="00000000">
            <w:pPr>
              <w:pStyle w:val="A-"/>
            </w:pPr>
            <w:r>
              <w:t>β-</w:t>
            </w:r>
            <w:r>
              <w:t>羟基丙腈催化加氢生产</w:t>
            </w:r>
            <w:r>
              <w:t>3-</w:t>
            </w:r>
            <w:r>
              <w:t>氨基</w:t>
            </w:r>
            <w:r>
              <w:t>-1-</w:t>
            </w:r>
            <w:r>
              <w:t>丙醇过程中产生的废催化剂</w:t>
            </w:r>
          </w:p>
        </w:tc>
        <w:tc>
          <w:tcPr>
            <w:tcW w:w="395" w:type="pct"/>
            <w:vAlign w:val="center"/>
          </w:tcPr>
          <w:p w14:paraId="40973E1C" w14:textId="77777777" w:rsidR="002E474C" w:rsidRDefault="00000000">
            <w:pPr>
              <w:pStyle w:val="A-"/>
            </w:pPr>
            <w:r>
              <w:t>T</w:t>
            </w:r>
          </w:p>
        </w:tc>
      </w:tr>
      <w:tr w:rsidR="002E474C" w14:paraId="229D1C13" w14:textId="77777777">
        <w:trPr>
          <w:trHeight w:val="240"/>
        </w:trPr>
        <w:tc>
          <w:tcPr>
            <w:tcW w:w="574" w:type="pct"/>
            <w:vMerge/>
            <w:vAlign w:val="center"/>
          </w:tcPr>
          <w:p w14:paraId="1B277346" w14:textId="77777777" w:rsidR="002E474C" w:rsidRDefault="002E474C">
            <w:pPr>
              <w:pStyle w:val="A-"/>
            </w:pPr>
          </w:p>
        </w:tc>
        <w:tc>
          <w:tcPr>
            <w:tcW w:w="524" w:type="pct"/>
            <w:vMerge/>
            <w:vAlign w:val="center"/>
          </w:tcPr>
          <w:p w14:paraId="537E06E4" w14:textId="77777777" w:rsidR="002E474C" w:rsidRDefault="002E474C">
            <w:pPr>
              <w:pStyle w:val="A-"/>
            </w:pPr>
          </w:p>
        </w:tc>
        <w:tc>
          <w:tcPr>
            <w:tcW w:w="372" w:type="pct"/>
            <w:vMerge/>
            <w:vAlign w:val="center"/>
          </w:tcPr>
          <w:p w14:paraId="24DB3717" w14:textId="77777777" w:rsidR="002E474C" w:rsidRDefault="002E474C">
            <w:pPr>
              <w:pStyle w:val="A-"/>
            </w:pPr>
          </w:p>
        </w:tc>
        <w:tc>
          <w:tcPr>
            <w:tcW w:w="457" w:type="pct"/>
            <w:vAlign w:val="center"/>
          </w:tcPr>
          <w:p w14:paraId="08DD342B" w14:textId="77777777" w:rsidR="002E474C" w:rsidRDefault="00000000">
            <w:pPr>
              <w:pStyle w:val="A-"/>
            </w:pPr>
            <w:r>
              <w:t>261-179-50</w:t>
            </w:r>
          </w:p>
        </w:tc>
        <w:tc>
          <w:tcPr>
            <w:tcW w:w="2678" w:type="pct"/>
            <w:vAlign w:val="center"/>
          </w:tcPr>
          <w:p w14:paraId="2926FBB0" w14:textId="77777777" w:rsidR="002E474C" w:rsidRDefault="00000000">
            <w:pPr>
              <w:pStyle w:val="A-"/>
            </w:pPr>
            <w:r>
              <w:t>甲乙酮与氨催化加氢生产</w:t>
            </w:r>
            <w:r>
              <w:t>2-</w:t>
            </w:r>
            <w:r>
              <w:t>氨基丁烷过程中产生的废催化剂</w:t>
            </w:r>
          </w:p>
        </w:tc>
        <w:tc>
          <w:tcPr>
            <w:tcW w:w="395" w:type="pct"/>
            <w:vAlign w:val="center"/>
          </w:tcPr>
          <w:p w14:paraId="57924CE7" w14:textId="77777777" w:rsidR="002E474C" w:rsidRDefault="00000000">
            <w:pPr>
              <w:pStyle w:val="A-"/>
            </w:pPr>
            <w:r>
              <w:t>T</w:t>
            </w:r>
          </w:p>
        </w:tc>
      </w:tr>
      <w:tr w:rsidR="002E474C" w14:paraId="21F6AB97" w14:textId="77777777">
        <w:trPr>
          <w:trHeight w:val="240"/>
        </w:trPr>
        <w:tc>
          <w:tcPr>
            <w:tcW w:w="574" w:type="pct"/>
            <w:vMerge/>
            <w:vAlign w:val="center"/>
          </w:tcPr>
          <w:p w14:paraId="004ADCCC" w14:textId="77777777" w:rsidR="002E474C" w:rsidRDefault="002E474C">
            <w:pPr>
              <w:pStyle w:val="A-"/>
            </w:pPr>
          </w:p>
        </w:tc>
        <w:tc>
          <w:tcPr>
            <w:tcW w:w="524" w:type="pct"/>
            <w:vMerge/>
            <w:vAlign w:val="center"/>
          </w:tcPr>
          <w:p w14:paraId="5305340F" w14:textId="77777777" w:rsidR="002E474C" w:rsidRDefault="002E474C">
            <w:pPr>
              <w:pStyle w:val="A-"/>
            </w:pPr>
          </w:p>
        </w:tc>
        <w:tc>
          <w:tcPr>
            <w:tcW w:w="372" w:type="pct"/>
            <w:vMerge/>
            <w:vAlign w:val="center"/>
          </w:tcPr>
          <w:p w14:paraId="09AAF4E7" w14:textId="77777777" w:rsidR="002E474C" w:rsidRDefault="002E474C">
            <w:pPr>
              <w:pStyle w:val="A-"/>
            </w:pPr>
          </w:p>
        </w:tc>
        <w:tc>
          <w:tcPr>
            <w:tcW w:w="457" w:type="pct"/>
            <w:vAlign w:val="center"/>
          </w:tcPr>
          <w:p w14:paraId="7E81EE6C" w14:textId="77777777" w:rsidR="002E474C" w:rsidRDefault="00000000">
            <w:pPr>
              <w:pStyle w:val="A-"/>
            </w:pPr>
            <w:r>
              <w:t>261-180-50</w:t>
            </w:r>
          </w:p>
        </w:tc>
        <w:tc>
          <w:tcPr>
            <w:tcW w:w="2678" w:type="pct"/>
            <w:vAlign w:val="center"/>
          </w:tcPr>
          <w:p w14:paraId="59A4A164" w14:textId="77777777" w:rsidR="002E474C" w:rsidRDefault="00000000">
            <w:pPr>
              <w:pStyle w:val="A-"/>
            </w:pPr>
            <w:r>
              <w:t>苯酚和甲醇合成</w:t>
            </w:r>
            <w:r>
              <w:t>2,6-</w:t>
            </w:r>
            <w:r>
              <w:t>二甲基苯酚过程中产生的废催化剂</w:t>
            </w:r>
          </w:p>
        </w:tc>
        <w:tc>
          <w:tcPr>
            <w:tcW w:w="395" w:type="pct"/>
            <w:vAlign w:val="center"/>
          </w:tcPr>
          <w:p w14:paraId="1BD0526C" w14:textId="77777777" w:rsidR="002E474C" w:rsidRDefault="00000000">
            <w:pPr>
              <w:pStyle w:val="A-"/>
            </w:pPr>
            <w:r>
              <w:t>T</w:t>
            </w:r>
          </w:p>
        </w:tc>
      </w:tr>
      <w:tr w:rsidR="002E474C" w14:paraId="5D8D607D" w14:textId="77777777">
        <w:trPr>
          <w:trHeight w:val="240"/>
        </w:trPr>
        <w:tc>
          <w:tcPr>
            <w:tcW w:w="574" w:type="pct"/>
            <w:vMerge/>
            <w:vAlign w:val="center"/>
          </w:tcPr>
          <w:p w14:paraId="0F2175BB" w14:textId="77777777" w:rsidR="002E474C" w:rsidRDefault="002E474C">
            <w:pPr>
              <w:pStyle w:val="A-"/>
            </w:pPr>
          </w:p>
        </w:tc>
        <w:tc>
          <w:tcPr>
            <w:tcW w:w="524" w:type="pct"/>
            <w:vMerge/>
            <w:vAlign w:val="center"/>
          </w:tcPr>
          <w:p w14:paraId="11AE516A" w14:textId="77777777" w:rsidR="002E474C" w:rsidRDefault="002E474C">
            <w:pPr>
              <w:pStyle w:val="A-"/>
            </w:pPr>
          </w:p>
        </w:tc>
        <w:tc>
          <w:tcPr>
            <w:tcW w:w="372" w:type="pct"/>
            <w:vMerge/>
            <w:vAlign w:val="center"/>
          </w:tcPr>
          <w:p w14:paraId="6776181C" w14:textId="77777777" w:rsidR="002E474C" w:rsidRDefault="002E474C">
            <w:pPr>
              <w:pStyle w:val="A-"/>
            </w:pPr>
          </w:p>
        </w:tc>
        <w:tc>
          <w:tcPr>
            <w:tcW w:w="457" w:type="pct"/>
            <w:vAlign w:val="center"/>
          </w:tcPr>
          <w:p w14:paraId="3887EAC0" w14:textId="77777777" w:rsidR="002E474C" w:rsidRDefault="00000000">
            <w:pPr>
              <w:pStyle w:val="A-"/>
            </w:pPr>
            <w:r>
              <w:t>261-181-50</w:t>
            </w:r>
          </w:p>
        </w:tc>
        <w:tc>
          <w:tcPr>
            <w:tcW w:w="2678" w:type="pct"/>
            <w:vAlign w:val="center"/>
          </w:tcPr>
          <w:p w14:paraId="514595E6" w14:textId="77777777" w:rsidR="002E474C" w:rsidRDefault="00000000">
            <w:pPr>
              <w:pStyle w:val="A-"/>
            </w:pPr>
            <w:r>
              <w:t>糠醛脱羰制备呋喃过程中产生的废催化剂</w:t>
            </w:r>
          </w:p>
        </w:tc>
        <w:tc>
          <w:tcPr>
            <w:tcW w:w="395" w:type="pct"/>
            <w:vAlign w:val="center"/>
          </w:tcPr>
          <w:p w14:paraId="759483B3" w14:textId="77777777" w:rsidR="002E474C" w:rsidRDefault="00000000">
            <w:pPr>
              <w:pStyle w:val="A-"/>
            </w:pPr>
            <w:r>
              <w:t>T</w:t>
            </w:r>
          </w:p>
        </w:tc>
      </w:tr>
      <w:tr w:rsidR="002E474C" w14:paraId="17F3E945" w14:textId="77777777">
        <w:trPr>
          <w:trHeight w:val="240"/>
        </w:trPr>
        <w:tc>
          <w:tcPr>
            <w:tcW w:w="574" w:type="pct"/>
            <w:vMerge/>
            <w:vAlign w:val="center"/>
          </w:tcPr>
          <w:p w14:paraId="13BB7BFF" w14:textId="77777777" w:rsidR="002E474C" w:rsidRDefault="002E474C">
            <w:pPr>
              <w:pStyle w:val="A-"/>
            </w:pPr>
          </w:p>
        </w:tc>
        <w:tc>
          <w:tcPr>
            <w:tcW w:w="524" w:type="pct"/>
            <w:vMerge/>
            <w:vAlign w:val="center"/>
          </w:tcPr>
          <w:p w14:paraId="1A909E49" w14:textId="77777777" w:rsidR="002E474C" w:rsidRDefault="002E474C">
            <w:pPr>
              <w:pStyle w:val="A-"/>
            </w:pPr>
          </w:p>
        </w:tc>
        <w:tc>
          <w:tcPr>
            <w:tcW w:w="372" w:type="pct"/>
            <w:vMerge/>
            <w:vAlign w:val="center"/>
          </w:tcPr>
          <w:p w14:paraId="39151649" w14:textId="77777777" w:rsidR="002E474C" w:rsidRDefault="002E474C">
            <w:pPr>
              <w:pStyle w:val="A-"/>
            </w:pPr>
          </w:p>
        </w:tc>
        <w:tc>
          <w:tcPr>
            <w:tcW w:w="457" w:type="pct"/>
            <w:vAlign w:val="center"/>
          </w:tcPr>
          <w:p w14:paraId="7904B819" w14:textId="77777777" w:rsidR="002E474C" w:rsidRDefault="00000000">
            <w:pPr>
              <w:pStyle w:val="A-"/>
            </w:pPr>
            <w:r>
              <w:t>261-182-50</w:t>
            </w:r>
          </w:p>
        </w:tc>
        <w:tc>
          <w:tcPr>
            <w:tcW w:w="2678" w:type="pct"/>
            <w:vAlign w:val="center"/>
          </w:tcPr>
          <w:p w14:paraId="45177F28" w14:textId="77777777" w:rsidR="002E474C" w:rsidRDefault="00000000">
            <w:pPr>
              <w:pStyle w:val="A-"/>
            </w:pPr>
            <w:r>
              <w:t>过氧化法生产环氧丙烷过程中产生的废催化剂</w:t>
            </w:r>
          </w:p>
        </w:tc>
        <w:tc>
          <w:tcPr>
            <w:tcW w:w="395" w:type="pct"/>
            <w:vAlign w:val="center"/>
          </w:tcPr>
          <w:p w14:paraId="317606E9" w14:textId="77777777" w:rsidR="002E474C" w:rsidRDefault="00000000">
            <w:pPr>
              <w:pStyle w:val="A-"/>
            </w:pPr>
            <w:r>
              <w:t>T</w:t>
            </w:r>
          </w:p>
        </w:tc>
      </w:tr>
      <w:tr w:rsidR="002E474C" w14:paraId="0509D82E" w14:textId="77777777">
        <w:trPr>
          <w:trHeight w:val="240"/>
        </w:trPr>
        <w:tc>
          <w:tcPr>
            <w:tcW w:w="574" w:type="pct"/>
            <w:vMerge/>
            <w:vAlign w:val="center"/>
          </w:tcPr>
          <w:p w14:paraId="0348C0A1" w14:textId="77777777" w:rsidR="002E474C" w:rsidRDefault="002E474C">
            <w:pPr>
              <w:pStyle w:val="A-"/>
            </w:pPr>
          </w:p>
        </w:tc>
        <w:tc>
          <w:tcPr>
            <w:tcW w:w="524" w:type="pct"/>
            <w:vMerge/>
            <w:vAlign w:val="center"/>
          </w:tcPr>
          <w:p w14:paraId="19129BAF" w14:textId="77777777" w:rsidR="002E474C" w:rsidRDefault="002E474C">
            <w:pPr>
              <w:pStyle w:val="A-"/>
            </w:pPr>
          </w:p>
        </w:tc>
        <w:tc>
          <w:tcPr>
            <w:tcW w:w="372" w:type="pct"/>
            <w:vMerge/>
            <w:vAlign w:val="center"/>
          </w:tcPr>
          <w:p w14:paraId="79EB4F15" w14:textId="77777777" w:rsidR="002E474C" w:rsidRDefault="002E474C">
            <w:pPr>
              <w:pStyle w:val="A-"/>
            </w:pPr>
          </w:p>
        </w:tc>
        <w:tc>
          <w:tcPr>
            <w:tcW w:w="457" w:type="pct"/>
            <w:vAlign w:val="center"/>
          </w:tcPr>
          <w:p w14:paraId="5345C68C" w14:textId="77777777" w:rsidR="002E474C" w:rsidRDefault="00000000">
            <w:pPr>
              <w:pStyle w:val="A-"/>
            </w:pPr>
            <w:r>
              <w:t>261-183-50</w:t>
            </w:r>
          </w:p>
        </w:tc>
        <w:tc>
          <w:tcPr>
            <w:tcW w:w="2678" w:type="pct"/>
            <w:vAlign w:val="center"/>
          </w:tcPr>
          <w:p w14:paraId="36DED4AF" w14:textId="77777777" w:rsidR="002E474C" w:rsidRDefault="00000000">
            <w:pPr>
              <w:pStyle w:val="A-"/>
            </w:pPr>
            <w:r>
              <w:t>除农药以外其他有机磷化合物生产过程中产生的废催化剂</w:t>
            </w:r>
          </w:p>
        </w:tc>
        <w:tc>
          <w:tcPr>
            <w:tcW w:w="395" w:type="pct"/>
            <w:vAlign w:val="center"/>
          </w:tcPr>
          <w:p w14:paraId="1D91FFAA" w14:textId="77777777" w:rsidR="002E474C" w:rsidRDefault="00000000">
            <w:pPr>
              <w:pStyle w:val="A-"/>
            </w:pPr>
            <w:r>
              <w:t>T</w:t>
            </w:r>
          </w:p>
        </w:tc>
      </w:tr>
      <w:tr w:rsidR="002E474C" w14:paraId="197E6041" w14:textId="77777777">
        <w:trPr>
          <w:trHeight w:val="240"/>
        </w:trPr>
        <w:tc>
          <w:tcPr>
            <w:tcW w:w="574" w:type="pct"/>
            <w:vMerge/>
            <w:vAlign w:val="center"/>
          </w:tcPr>
          <w:p w14:paraId="65B711C2" w14:textId="77777777" w:rsidR="002E474C" w:rsidRDefault="002E474C">
            <w:pPr>
              <w:pStyle w:val="A-"/>
            </w:pPr>
          </w:p>
        </w:tc>
        <w:tc>
          <w:tcPr>
            <w:tcW w:w="524" w:type="pct"/>
            <w:vAlign w:val="center"/>
          </w:tcPr>
          <w:p w14:paraId="3B313065" w14:textId="77777777" w:rsidR="002E474C" w:rsidRDefault="00000000">
            <w:pPr>
              <w:pStyle w:val="A-"/>
            </w:pPr>
            <w:r>
              <w:t>农药制造</w:t>
            </w:r>
          </w:p>
        </w:tc>
        <w:tc>
          <w:tcPr>
            <w:tcW w:w="372" w:type="pct"/>
            <w:vAlign w:val="center"/>
          </w:tcPr>
          <w:p w14:paraId="691A6243" w14:textId="77777777" w:rsidR="002E474C" w:rsidRDefault="00000000">
            <w:pPr>
              <w:pStyle w:val="A-"/>
            </w:pPr>
            <w:r>
              <w:t>固态</w:t>
            </w:r>
          </w:p>
        </w:tc>
        <w:tc>
          <w:tcPr>
            <w:tcW w:w="457" w:type="pct"/>
            <w:vAlign w:val="center"/>
          </w:tcPr>
          <w:p w14:paraId="3438A0CC" w14:textId="77777777" w:rsidR="002E474C" w:rsidRDefault="00000000">
            <w:pPr>
              <w:pStyle w:val="A-"/>
            </w:pPr>
            <w:r>
              <w:t>263-013-50</w:t>
            </w:r>
          </w:p>
        </w:tc>
        <w:tc>
          <w:tcPr>
            <w:tcW w:w="2678" w:type="pct"/>
            <w:vAlign w:val="center"/>
          </w:tcPr>
          <w:p w14:paraId="7B7D80A2" w14:textId="77777777" w:rsidR="002E474C" w:rsidRDefault="00000000">
            <w:pPr>
              <w:pStyle w:val="A-"/>
            </w:pPr>
            <w:r>
              <w:t>农药生产过程中产生的废催化剂</w:t>
            </w:r>
          </w:p>
        </w:tc>
        <w:tc>
          <w:tcPr>
            <w:tcW w:w="395" w:type="pct"/>
            <w:vAlign w:val="center"/>
          </w:tcPr>
          <w:p w14:paraId="18BCAE7B" w14:textId="77777777" w:rsidR="002E474C" w:rsidRDefault="00000000">
            <w:pPr>
              <w:pStyle w:val="A-"/>
            </w:pPr>
            <w:r>
              <w:t>T</w:t>
            </w:r>
          </w:p>
        </w:tc>
      </w:tr>
      <w:tr w:rsidR="002E474C" w14:paraId="3E9F0377" w14:textId="77777777">
        <w:trPr>
          <w:trHeight w:val="240"/>
        </w:trPr>
        <w:tc>
          <w:tcPr>
            <w:tcW w:w="574" w:type="pct"/>
            <w:vMerge/>
            <w:vAlign w:val="center"/>
          </w:tcPr>
          <w:p w14:paraId="203F609A" w14:textId="77777777" w:rsidR="002E474C" w:rsidRDefault="002E474C">
            <w:pPr>
              <w:pStyle w:val="A-"/>
            </w:pPr>
          </w:p>
        </w:tc>
        <w:tc>
          <w:tcPr>
            <w:tcW w:w="524" w:type="pct"/>
            <w:vAlign w:val="center"/>
          </w:tcPr>
          <w:p w14:paraId="3A69B642" w14:textId="77777777" w:rsidR="002E474C" w:rsidRDefault="00000000">
            <w:pPr>
              <w:pStyle w:val="A-"/>
            </w:pPr>
            <w:r>
              <w:t>化学药品原料药制造</w:t>
            </w:r>
          </w:p>
        </w:tc>
        <w:tc>
          <w:tcPr>
            <w:tcW w:w="372" w:type="pct"/>
            <w:vAlign w:val="center"/>
          </w:tcPr>
          <w:p w14:paraId="0481D24E" w14:textId="77777777" w:rsidR="002E474C" w:rsidRDefault="00000000">
            <w:pPr>
              <w:pStyle w:val="A-"/>
            </w:pPr>
            <w:r>
              <w:t>固态</w:t>
            </w:r>
          </w:p>
        </w:tc>
        <w:tc>
          <w:tcPr>
            <w:tcW w:w="457" w:type="pct"/>
            <w:vAlign w:val="center"/>
          </w:tcPr>
          <w:p w14:paraId="036DA307" w14:textId="77777777" w:rsidR="002E474C" w:rsidRDefault="00000000">
            <w:pPr>
              <w:pStyle w:val="A-"/>
            </w:pPr>
            <w:r>
              <w:t>271-006-50</w:t>
            </w:r>
          </w:p>
        </w:tc>
        <w:tc>
          <w:tcPr>
            <w:tcW w:w="2678" w:type="pct"/>
            <w:vAlign w:val="center"/>
          </w:tcPr>
          <w:p w14:paraId="2013E8DC" w14:textId="77777777" w:rsidR="002E474C" w:rsidRDefault="00000000">
            <w:pPr>
              <w:pStyle w:val="A-"/>
            </w:pPr>
            <w:r>
              <w:t>化学合成原料药生产过程中产生的废催化剂</w:t>
            </w:r>
          </w:p>
        </w:tc>
        <w:tc>
          <w:tcPr>
            <w:tcW w:w="395" w:type="pct"/>
            <w:vAlign w:val="center"/>
          </w:tcPr>
          <w:p w14:paraId="36D904EF" w14:textId="77777777" w:rsidR="002E474C" w:rsidRDefault="00000000">
            <w:pPr>
              <w:pStyle w:val="A-"/>
            </w:pPr>
            <w:r>
              <w:t>T</w:t>
            </w:r>
          </w:p>
        </w:tc>
      </w:tr>
      <w:tr w:rsidR="002E474C" w14:paraId="210B56A8" w14:textId="77777777">
        <w:trPr>
          <w:trHeight w:val="161"/>
        </w:trPr>
        <w:tc>
          <w:tcPr>
            <w:tcW w:w="574" w:type="pct"/>
            <w:vMerge/>
            <w:vAlign w:val="center"/>
          </w:tcPr>
          <w:p w14:paraId="7554C05F" w14:textId="77777777" w:rsidR="002E474C" w:rsidRDefault="002E474C">
            <w:pPr>
              <w:pStyle w:val="A-"/>
            </w:pPr>
          </w:p>
        </w:tc>
        <w:tc>
          <w:tcPr>
            <w:tcW w:w="524" w:type="pct"/>
            <w:vAlign w:val="center"/>
          </w:tcPr>
          <w:p w14:paraId="4F64FC0A" w14:textId="77777777" w:rsidR="002E474C" w:rsidRDefault="00000000">
            <w:pPr>
              <w:pStyle w:val="A-"/>
            </w:pPr>
            <w:r>
              <w:t>兽用药品制造</w:t>
            </w:r>
          </w:p>
        </w:tc>
        <w:tc>
          <w:tcPr>
            <w:tcW w:w="372" w:type="pct"/>
            <w:vAlign w:val="center"/>
          </w:tcPr>
          <w:p w14:paraId="7025EB77" w14:textId="77777777" w:rsidR="002E474C" w:rsidRDefault="00000000">
            <w:pPr>
              <w:pStyle w:val="A-"/>
            </w:pPr>
            <w:r>
              <w:t>固态</w:t>
            </w:r>
          </w:p>
        </w:tc>
        <w:tc>
          <w:tcPr>
            <w:tcW w:w="457" w:type="pct"/>
            <w:vAlign w:val="center"/>
          </w:tcPr>
          <w:p w14:paraId="79C71A48" w14:textId="77777777" w:rsidR="002E474C" w:rsidRDefault="00000000">
            <w:pPr>
              <w:pStyle w:val="A-"/>
            </w:pPr>
            <w:r>
              <w:t>275-009-50</w:t>
            </w:r>
          </w:p>
        </w:tc>
        <w:tc>
          <w:tcPr>
            <w:tcW w:w="2678" w:type="pct"/>
            <w:vAlign w:val="center"/>
          </w:tcPr>
          <w:p w14:paraId="66482547" w14:textId="77777777" w:rsidR="002E474C" w:rsidRDefault="00000000">
            <w:pPr>
              <w:pStyle w:val="A-"/>
            </w:pPr>
            <w:r>
              <w:t>兽药生产过程中产生的废催化剂</w:t>
            </w:r>
          </w:p>
        </w:tc>
        <w:tc>
          <w:tcPr>
            <w:tcW w:w="395" w:type="pct"/>
            <w:vAlign w:val="center"/>
          </w:tcPr>
          <w:p w14:paraId="78CB0EFF" w14:textId="77777777" w:rsidR="002E474C" w:rsidRDefault="00000000">
            <w:pPr>
              <w:pStyle w:val="A-"/>
            </w:pPr>
            <w:r>
              <w:t>T</w:t>
            </w:r>
          </w:p>
        </w:tc>
      </w:tr>
      <w:tr w:rsidR="002E474C" w14:paraId="4642D147" w14:textId="77777777">
        <w:trPr>
          <w:trHeight w:val="259"/>
        </w:trPr>
        <w:tc>
          <w:tcPr>
            <w:tcW w:w="574" w:type="pct"/>
            <w:vMerge/>
            <w:vAlign w:val="center"/>
          </w:tcPr>
          <w:p w14:paraId="4B0834FC" w14:textId="77777777" w:rsidR="002E474C" w:rsidRDefault="002E474C">
            <w:pPr>
              <w:pStyle w:val="A-"/>
            </w:pPr>
          </w:p>
        </w:tc>
        <w:tc>
          <w:tcPr>
            <w:tcW w:w="524" w:type="pct"/>
            <w:vAlign w:val="center"/>
          </w:tcPr>
          <w:p w14:paraId="14E58C1B" w14:textId="77777777" w:rsidR="002E474C" w:rsidRDefault="00000000">
            <w:pPr>
              <w:pStyle w:val="A-"/>
            </w:pPr>
            <w:r>
              <w:t>生物药品制造</w:t>
            </w:r>
          </w:p>
        </w:tc>
        <w:tc>
          <w:tcPr>
            <w:tcW w:w="372" w:type="pct"/>
            <w:vAlign w:val="center"/>
          </w:tcPr>
          <w:p w14:paraId="453C9225" w14:textId="77777777" w:rsidR="002E474C" w:rsidRDefault="00000000">
            <w:pPr>
              <w:pStyle w:val="A-"/>
            </w:pPr>
            <w:r>
              <w:t>固态</w:t>
            </w:r>
          </w:p>
        </w:tc>
        <w:tc>
          <w:tcPr>
            <w:tcW w:w="457" w:type="pct"/>
            <w:vAlign w:val="center"/>
          </w:tcPr>
          <w:p w14:paraId="3FBF60F8" w14:textId="77777777" w:rsidR="002E474C" w:rsidRDefault="00000000">
            <w:pPr>
              <w:pStyle w:val="A-"/>
            </w:pPr>
            <w:r>
              <w:t>276-006-50</w:t>
            </w:r>
          </w:p>
        </w:tc>
        <w:tc>
          <w:tcPr>
            <w:tcW w:w="2678" w:type="pct"/>
            <w:vAlign w:val="center"/>
          </w:tcPr>
          <w:p w14:paraId="2BF7E788" w14:textId="77777777" w:rsidR="002E474C" w:rsidRDefault="00000000">
            <w:pPr>
              <w:pStyle w:val="A-"/>
            </w:pPr>
            <w:r>
              <w:t>生物药品生产过程中产生的废催化剂</w:t>
            </w:r>
          </w:p>
        </w:tc>
        <w:tc>
          <w:tcPr>
            <w:tcW w:w="395" w:type="pct"/>
            <w:vAlign w:val="center"/>
          </w:tcPr>
          <w:p w14:paraId="607A1349" w14:textId="77777777" w:rsidR="002E474C" w:rsidRDefault="00000000">
            <w:pPr>
              <w:pStyle w:val="A-"/>
            </w:pPr>
            <w:r>
              <w:t>T</w:t>
            </w:r>
          </w:p>
        </w:tc>
      </w:tr>
      <w:tr w:rsidR="002E474C" w14:paraId="0439DF33" w14:textId="77777777">
        <w:trPr>
          <w:trHeight w:val="240"/>
        </w:trPr>
        <w:tc>
          <w:tcPr>
            <w:tcW w:w="574" w:type="pct"/>
            <w:vMerge/>
            <w:vAlign w:val="center"/>
          </w:tcPr>
          <w:p w14:paraId="0C637101" w14:textId="77777777" w:rsidR="002E474C" w:rsidRDefault="002E474C">
            <w:pPr>
              <w:pStyle w:val="A-"/>
            </w:pPr>
          </w:p>
        </w:tc>
        <w:tc>
          <w:tcPr>
            <w:tcW w:w="524" w:type="pct"/>
            <w:vAlign w:val="center"/>
          </w:tcPr>
          <w:p w14:paraId="5DF2EF87" w14:textId="77777777" w:rsidR="002E474C" w:rsidRDefault="00000000">
            <w:pPr>
              <w:pStyle w:val="A-"/>
            </w:pPr>
            <w:r>
              <w:t>环境治理</w:t>
            </w:r>
          </w:p>
        </w:tc>
        <w:tc>
          <w:tcPr>
            <w:tcW w:w="372" w:type="pct"/>
            <w:vAlign w:val="center"/>
          </w:tcPr>
          <w:p w14:paraId="4BDC08C6" w14:textId="77777777" w:rsidR="002E474C" w:rsidRDefault="00000000">
            <w:pPr>
              <w:pStyle w:val="A-"/>
            </w:pPr>
            <w:r>
              <w:t>固态</w:t>
            </w:r>
          </w:p>
        </w:tc>
        <w:tc>
          <w:tcPr>
            <w:tcW w:w="457" w:type="pct"/>
            <w:vAlign w:val="center"/>
          </w:tcPr>
          <w:p w14:paraId="53498200" w14:textId="77777777" w:rsidR="002E474C" w:rsidRDefault="00000000">
            <w:pPr>
              <w:pStyle w:val="A-"/>
            </w:pPr>
            <w:r>
              <w:t>772-007-50</w:t>
            </w:r>
          </w:p>
        </w:tc>
        <w:tc>
          <w:tcPr>
            <w:tcW w:w="2678" w:type="pct"/>
            <w:vAlign w:val="center"/>
          </w:tcPr>
          <w:p w14:paraId="460D0D52" w14:textId="77777777" w:rsidR="002E474C" w:rsidRDefault="00000000">
            <w:pPr>
              <w:pStyle w:val="A-"/>
            </w:pPr>
            <w:r>
              <w:t>烟气脱硝过程中产生的废钒钛系催化剂</w:t>
            </w:r>
          </w:p>
        </w:tc>
        <w:tc>
          <w:tcPr>
            <w:tcW w:w="395" w:type="pct"/>
            <w:vAlign w:val="center"/>
          </w:tcPr>
          <w:p w14:paraId="7DC4DC06" w14:textId="77777777" w:rsidR="002E474C" w:rsidRDefault="00000000">
            <w:pPr>
              <w:pStyle w:val="A-"/>
            </w:pPr>
            <w:r>
              <w:t>T</w:t>
            </w:r>
          </w:p>
        </w:tc>
      </w:tr>
      <w:tr w:rsidR="002E474C" w14:paraId="073F8F7B" w14:textId="77777777">
        <w:trPr>
          <w:trHeight w:val="240"/>
        </w:trPr>
        <w:tc>
          <w:tcPr>
            <w:tcW w:w="574" w:type="pct"/>
            <w:vMerge/>
            <w:vAlign w:val="center"/>
          </w:tcPr>
          <w:p w14:paraId="3B34554F" w14:textId="77777777" w:rsidR="002E474C" w:rsidRDefault="002E474C">
            <w:pPr>
              <w:pStyle w:val="A-"/>
            </w:pPr>
          </w:p>
        </w:tc>
        <w:tc>
          <w:tcPr>
            <w:tcW w:w="524" w:type="pct"/>
            <w:vMerge w:val="restart"/>
            <w:vAlign w:val="center"/>
          </w:tcPr>
          <w:p w14:paraId="61B990DD" w14:textId="77777777" w:rsidR="002E474C" w:rsidRDefault="00000000">
            <w:pPr>
              <w:pStyle w:val="A-"/>
            </w:pPr>
            <w:r>
              <w:t>非特定行业</w:t>
            </w:r>
          </w:p>
        </w:tc>
        <w:tc>
          <w:tcPr>
            <w:tcW w:w="372" w:type="pct"/>
            <w:vMerge w:val="restart"/>
            <w:vAlign w:val="center"/>
          </w:tcPr>
          <w:p w14:paraId="26F74DF8" w14:textId="77777777" w:rsidR="002E474C" w:rsidRDefault="00000000">
            <w:pPr>
              <w:pStyle w:val="A-"/>
              <w:ind w:leftChars="-25" w:left="-53" w:rightChars="-25" w:right="-53"/>
            </w:pPr>
            <w:r>
              <w:rPr>
                <w:spacing w:val="-6"/>
              </w:rPr>
              <w:t>固态、液态</w:t>
            </w:r>
          </w:p>
        </w:tc>
        <w:tc>
          <w:tcPr>
            <w:tcW w:w="457" w:type="pct"/>
            <w:vAlign w:val="center"/>
          </w:tcPr>
          <w:p w14:paraId="7876FB35" w14:textId="77777777" w:rsidR="002E474C" w:rsidRDefault="00000000">
            <w:pPr>
              <w:pStyle w:val="A-"/>
            </w:pPr>
            <w:r>
              <w:t>900-048-50</w:t>
            </w:r>
          </w:p>
        </w:tc>
        <w:tc>
          <w:tcPr>
            <w:tcW w:w="2678" w:type="pct"/>
            <w:vAlign w:val="center"/>
          </w:tcPr>
          <w:p w14:paraId="07901179" w14:textId="77777777" w:rsidR="002E474C" w:rsidRDefault="00000000">
            <w:pPr>
              <w:pStyle w:val="A-"/>
            </w:pPr>
            <w:r>
              <w:t>废液体催化剂</w:t>
            </w:r>
          </w:p>
        </w:tc>
        <w:tc>
          <w:tcPr>
            <w:tcW w:w="395" w:type="pct"/>
            <w:vAlign w:val="center"/>
          </w:tcPr>
          <w:p w14:paraId="3CFB141E" w14:textId="77777777" w:rsidR="002E474C" w:rsidRDefault="00000000">
            <w:pPr>
              <w:pStyle w:val="A-"/>
            </w:pPr>
            <w:r>
              <w:t>T</w:t>
            </w:r>
          </w:p>
        </w:tc>
      </w:tr>
      <w:tr w:rsidR="002E474C" w14:paraId="2DBCA04E" w14:textId="77777777">
        <w:trPr>
          <w:trHeight w:val="240"/>
        </w:trPr>
        <w:tc>
          <w:tcPr>
            <w:tcW w:w="574" w:type="pct"/>
            <w:vMerge/>
            <w:vAlign w:val="center"/>
          </w:tcPr>
          <w:p w14:paraId="2C700739" w14:textId="77777777" w:rsidR="002E474C" w:rsidRDefault="002E474C">
            <w:pPr>
              <w:pStyle w:val="A-"/>
            </w:pPr>
          </w:p>
        </w:tc>
        <w:tc>
          <w:tcPr>
            <w:tcW w:w="524" w:type="pct"/>
            <w:vMerge/>
            <w:vAlign w:val="center"/>
          </w:tcPr>
          <w:p w14:paraId="60D1EF9F" w14:textId="77777777" w:rsidR="002E474C" w:rsidRDefault="002E474C">
            <w:pPr>
              <w:pStyle w:val="A-"/>
            </w:pPr>
          </w:p>
        </w:tc>
        <w:tc>
          <w:tcPr>
            <w:tcW w:w="372" w:type="pct"/>
            <w:vMerge/>
            <w:vAlign w:val="center"/>
          </w:tcPr>
          <w:p w14:paraId="70E27F66" w14:textId="77777777" w:rsidR="002E474C" w:rsidRDefault="002E474C">
            <w:pPr>
              <w:pStyle w:val="A-"/>
            </w:pPr>
          </w:p>
        </w:tc>
        <w:tc>
          <w:tcPr>
            <w:tcW w:w="457" w:type="pct"/>
            <w:vAlign w:val="center"/>
          </w:tcPr>
          <w:p w14:paraId="3C3E67B0" w14:textId="77777777" w:rsidR="002E474C" w:rsidRDefault="00000000">
            <w:pPr>
              <w:pStyle w:val="A-"/>
            </w:pPr>
            <w:r>
              <w:t>900-049-50</w:t>
            </w:r>
          </w:p>
        </w:tc>
        <w:tc>
          <w:tcPr>
            <w:tcW w:w="2678" w:type="pct"/>
            <w:vAlign w:val="center"/>
          </w:tcPr>
          <w:p w14:paraId="411C99B0" w14:textId="77777777" w:rsidR="002E474C" w:rsidRDefault="00000000">
            <w:pPr>
              <w:pStyle w:val="A-"/>
            </w:pPr>
            <w:r>
              <w:t>废汽车尾气净化催化剂</w:t>
            </w:r>
          </w:p>
        </w:tc>
        <w:tc>
          <w:tcPr>
            <w:tcW w:w="395" w:type="pct"/>
            <w:vAlign w:val="center"/>
          </w:tcPr>
          <w:p w14:paraId="0140CB1C" w14:textId="77777777" w:rsidR="002E474C" w:rsidRDefault="00000000">
            <w:pPr>
              <w:pStyle w:val="A-"/>
            </w:pPr>
            <w:r>
              <w:t>T</w:t>
            </w:r>
          </w:p>
        </w:tc>
      </w:tr>
    </w:tbl>
    <w:p w14:paraId="1E666F0E" w14:textId="77777777" w:rsidR="002E474C" w:rsidRDefault="002E474C">
      <w:pPr>
        <w:pStyle w:val="A-z"/>
        <w:rPr>
          <w:color w:val="auto"/>
        </w:rPr>
        <w:sectPr w:rsidR="002E474C">
          <w:pgSz w:w="16838" w:h="11906" w:orient="landscape"/>
          <w:pgMar w:top="1800" w:right="1440" w:bottom="1800" w:left="1440" w:header="851" w:footer="992" w:gutter="0"/>
          <w:cols w:space="720"/>
          <w:docGrid w:linePitch="312"/>
        </w:sectPr>
      </w:pPr>
    </w:p>
    <w:p w14:paraId="5ABF3344" w14:textId="77777777" w:rsidR="002E474C" w:rsidRDefault="00000000">
      <w:pPr>
        <w:pStyle w:val="31"/>
        <w:spacing w:before="120" w:after="120"/>
        <w:rPr>
          <w:color w:val="auto"/>
          <w:lang w:val="en-US"/>
        </w:rPr>
      </w:pPr>
      <w:r>
        <w:rPr>
          <w:color w:val="auto"/>
          <w:lang w:val="en-US"/>
        </w:rPr>
        <w:lastRenderedPageBreak/>
        <w:t>预处理中心工作流程</w:t>
      </w:r>
    </w:p>
    <w:p w14:paraId="741EA6F8" w14:textId="77777777" w:rsidR="002E474C" w:rsidRDefault="00000000">
      <w:pPr>
        <w:pStyle w:val="41"/>
        <w:rPr>
          <w:color w:val="auto"/>
        </w:rPr>
      </w:pPr>
      <w:r>
        <w:rPr>
          <w:color w:val="auto"/>
        </w:rPr>
        <w:t>危险废物准入控制措施</w:t>
      </w:r>
    </w:p>
    <w:p w14:paraId="56F86E2E" w14:textId="77777777" w:rsidR="002E474C" w:rsidRDefault="00000000">
      <w:pPr>
        <w:pStyle w:val="A-z"/>
        <w:rPr>
          <w:color w:val="auto"/>
        </w:rPr>
      </w:pPr>
      <w:r>
        <w:rPr>
          <w:color w:val="auto"/>
        </w:rPr>
        <w:t>（</w:t>
      </w:r>
      <w:r>
        <w:rPr>
          <w:color w:val="auto"/>
        </w:rPr>
        <w:t>1</w:t>
      </w:r>
      <w:r>
        <w:rPr>
          <w:color w:val="auto"/>
        </w:rPr>
        <w:t>）入窑元素符合性分析</w:t>
      </w:r>
    </w:p>
    <w:p w14:paraId="13A7BEBE" w14:textId="77777777" w:rsidR="002E474C" w:rsidRDefault="00000000">
      <w:pPr>
        <w:pStyle w:val="A-z"/>
        <w:rPr>
          <w:color w:val="auto"/>
        </w:rPr>
      </w:pPr>
      <w:r>
        <w:rPr>
          <w:color w:val="auto"/>
        </w:rPr>
        <w:t>《水泥窑协同处置固体废物污染控制标准》（</w:t>
      </w:r>
      <w:r>
        <w:rPr>
          <w:color w:val="auto"/>
        </w:rPr>
        <w:t>GB30485-2013</w:t>
      </w:r>
      <w:r>
        <w:rPr>
          <w:color w:val="auto"/>
        </w:rPr>
        <w:t>）中</w:t>
      </w:r>
      <w:r>
        <w:rPr>
          <w:color w:val="auto"/>
        </w:rPr>
        <w:t>5.1</w:t>
      </w:r>
      <w:r>
        <w:rPr>
          <w:color w:val="auto"/>
        </w:rPr>
        <w:t>禁止下列固体废物入窑进行协同处置：放射性废物，爆炸物及反应性废物，未经拆解的废电池、废家用电器和电子产品</w:t>
      </w:r>
      <w:r>
        <w:rPr>
          <w:rFonts w:hint="eastAsia"/>
          <w:color w:val="auto"/>
        </w:rPr>
        <w:t>，</w:t>
      </w:r>
      <w:r>
        <w:rPr>
          <w:color w:val="auto"/>
        </w:rPr>
        <w:t>含汞的温度计、血压计、荧光灯管和开关，铬渣，未知特性和未经鉴定的废物。</w:t>
      </w:r>
      <w:r>
        <w:rPr>
          <w:color w:val="auto"/>
        </w:rPr>
        <w:t>GB30485-2013</w:t>
      </w:r>
      <w:r>
        <w:rPr>
          <w:color w:val="auto"/>
        </w:rPr>
        <w:t>中</w:t>
      </w:r>
      <w:r>
        <w:rPr>
          <w:color w:val="auto"/>
        </w:rPr>
        <w:t>5.2</w:t>
      </w:r>
      <w:r>
        <w:rPr>
          <w:color w:val="auto"/>
        </w:rPr>
        <w:t>入窑固体废物应具有相对稳定的化学组成和物理特性，其重金属以及氯、氟、硫等有害元素的含量及投加量应满足</w:t>
      </w:r>
      <w:r>
        <w:rPr>
          <w:color w:val="auto"/>
        </w:rPr>
        <w:t>HJ662</w:t>
      </w:r>
      <w:r>
        <w:rPr>
          <w:color w:val="auto"/>
        </w:rPr>
        <w:t>的要求。</w:t>
      </w:r>
    </w:p>
    <w:p w14:paraId="254D454F" w14:textId="77777777" w:rsidR="002E474C" w:rsidRDefault="00000000">
      <w:pPr>
        <w:pStyle w:val="A-z"/>
        <w:rPr>
          <w:color w:val="auto"/>
        </w:rPr>
      </w:pPr>
      <w:r>
        <w:rPr>
          <w:color w:val="auto"/>
        </w:rPr>
        <w:t>《水泥窑协同处置固体废物环境保护技术规范》（</w:t>
      </w:r>
      <w:r>
        <w:rPr>
          <w:color w:val="auto"/>
        </w:rPr>
        <w:t>HJ662-2013</w:t>
      </w:r>
      <w:r>
        <w:rPr>
          <w:color w:val="auto"/>
        </w:rPr>
        <w:t>）中</w:t>
      </w:r>
      <w:r>
        <w:rPr>
          <w:color w:val="auto"/>
        </w:rPr>
        <w:t>5.2</w:t>
      </w:r>
      <w:r>
        <w:rPr>
          <w:color w:val="auto"/>
        </w:rPr>
        <w:t>入窑协同处置的固体废物特性要求：</w:t>
      </w:r>
    </w:p>
    <w:p w14:paraId="2068A9B7" w14:textId="77777777" w:rsidR="002E474C" w:rsidRDefault="00000000">
      <w:pPr>
        <w:pStyle w:val="A-z"/>
        <w:rPr>
          <w:color w:val="auto"/>
        </w:rPr>
      </w:pPr>
      <w:r>
        <w:rPr>
          <w:color w:val="auto"/>
        </w:rPr>
        <w:t>①</w:t>
      </w:r>
      <w:r>
        <w:rPr>
          <w:color w:val="auto"/>
        </w:rPr>
        <w:t>入窑固体废物应具有稳定的化学组成和物理特性，其化学组成、理化性质等不应对水泥生产过程和水泥产品质量产生不利影响。</w:t>
      </w:r>
    </w:p>
    <w:p w14:paraId="6A4385EE" w14:textId="77777777" w:rsidR="002E474C" w:rsidRDefault="00000000">
      <w:pPr>
        <w:pStyle w:val="A-z"/>
        <w:rPr>
          <w:color w:val="auto"/>
        </w:rPr>
      </w:pPr>
      <w:r>
        <w:rPr>
          <w:color w:val="auto"/>
        </w:rPr>
        <w:t>②</w:t>
      </w:r>
      <w:r>
        <w:rPr>
          <w:color w:val="auto"/>
        </w:rPr>
        <w:t>入窑固体废物中如含有</w:t>
      </w:r>
      <w:r>
        <w:rPr>
          <w:color w:val="auto"/>
        </w:rPr>
        <w:t>HJ662-2013</w:t>
      </w:r>
      <w:r>
        <w:rPr>
          <w:color w:val="auto"/>
        </w:rPr>
        <w:t>中表</w:t>
      </w:r>
      <w:r>
        <w:rPr>
          <w:color w:val="auto"/>
        </w:rPr>
        <w:t>1</w:t>
      </w:r>
      <w:r>
        <w:rPr>
          <w:color w:val="auto"/>
        </w:rPr>
        <w:t>所列重金属成分，其含量应该满足</w:t>
      </w:r>
      <w:r>
        <w:rPr>
          <w:color w:val="auto"/>
        </w:rPr>
        <w:t>HJ662</w:t>
      </w:r>
      <w:r>
        <w:rPr>
          <w:color w:val="auto"/>
        </w:rPr>
        <w:t>第</w:t>
      </w:r>
      <w:r>
        <w:rPr>
          <w:color w:val="auto"/>
        </w:rPr>
        <w:t>6.6.7</w:t>
      </w:r>
      <w:r>
        <w:rPr>
          <w:color w:val="auto"/>
        </w:rPr>
        <w:t>条的要求。</w:t>
      </w:r>
      <w:r>
        <w:rPr>
          <w:rFonts w:hint="eastAsia"/>
          <w:color w:val="auto"/>
        </w:rPr>
        <w:t>本</w:t>
      </w:r>
      <w:r>
        <w:rPr>
          <w:color w:val="auto"/>
        </w:rPr>
        <w:t>项目重金属投加量符合要求，详见表</w:t>
      </w:r>
      <w:r>
        <w:rPr>
          <w:color w:val="auto"/>
        </w:rPr>
        <w:t>3.2-</w:t>
      </w:r>
      <w:r>
        <w:rPr>
          <w:rFonts w:hint="eastAsia"/>
          <w:color w:val="auto"/>
        </w:rPr>
        <w:t>5</w:t>
      </w:r>
      <w:r>
        <w:rPr>
          <w:color w:val="auto"/>
        </w:rPr>
        <w:t>。</w:t>
      </w:r>
    </w:p>
    <w:p w14:paraId="14395D9C" w14:textId="77777777" w:rsidR="002E474C" w:rsidRDefault="00000000">
      <w:pPr>
        <w:pStyle w:val="A--"/>
        <w:rPr>
          <w:color w:val="auto"/>
        </w:rPr>
      </w:pPr>
      <w:r>
        <w:rPr>
          <w:color w:val="auto"/>
        </w:rPr>
        <w:t>表</w:t>
      </w:r>
      <w:r>
        <w:rPr>
          <w:color w:val="auto"/>
        </w:rPr>
        <w:t>3.2-5  HJ662</w:t>
      </w:r>
      <w:r>
        <w:rPr>
          <w:color w:val="auto"/>
        </w:rPr>
        <w:t>中表</w:t>
      </w:r>
      <w:r>
        <w:rPr>
          <w:color w:val="auto"/>
        </w:rPr>
        <w:t>1</w:t>
      </w:r>
      <w:r>
        <w:rPr>
          <w:color w:val="auto"/>
        </w:rPr>
        <w:t>重金属最大允许投加量限值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1429"/>
        <w:gridCol w:w="1379"/>
        <w:gridCol w:w="1380"/>
      </w:tblGrid>
      <w:tr w:rsidR="002E474C" w14:paraId="78CA2A80" w14:textId="77777777">
        <w:trPr>
          <w:trHeight w:val="545"/>
        </w:trPr>
        <w:tc>
          <w:tcPr>
            <w:tcW w:w="2476" w:type="pct"/>
            <w:vAlign w:val="center"/>
          </w:tcPr>
          <w:p w14:paraId="77C8D640" w14:textId="77777777" w:rsidR="002E474C" w:rsidRDefault="00000000">
            <w:pPr>
              <w:pStyle w:val="A-"/>
            </w:pPr>
            <w:r>
              <w:t>重金属</w:t>
            </w:r>
          </w:p>
        </w:tc>
        <w:tc>
          <w:tcPr>
            <w:tcW w:w="861" w:type="pct"/>
            <w:vAlign w:val="center"/>
          </w:tcPr>
          <w:p w14:paraId="6ED0585F" w14:textId="77777777" w:rsidR="002E474C" w:rsidRDefault="00000000">
            <w:pPr>
              <w:pStyle w:val="A-"/>
            </w:pPr>
            <w:r>
              <w:t>单位</w:t>
            </w:r>
          </w:p>
        </w:tc>
        <w:tc>
          <w:tcPr>
            <w:tcW w:w="831" w:type="pct"/>
          </w:tcPr>
          <w:p w14:paraId="5C583A77" w14:textId="77777777" w:rsidR="002E474C" w:rsidRDefault="00000000">
            <w:pPr>
              <w:pStyle w:val="A-"/>
            </w:pPr>
            <w:r>
              <w:t>重金属最大</w:t>
            </w:r>
          </w:p>
          <w:p w14:paraId="037E824E" w14:textId="77777777" w:rsidR="002E474C" w:rsidRDefault="00000000">
            <w:pPr>
              <w:pStyle w:val="A-"/>
            </w:pPr>
            <w:r>
              <w:t>允许投加量</w:t>
            </w:r>
          </w:p>
        </w:tc>
        <w:tc>
          <w:tcPr>
            <w:tcW w:w="831" w:type="pct"/>
            <w:vAlign w:val="center"/>
          </w:tcPr>
          <w:p w14:paraId="49DB2FEB" w14:textId="77777777" w:rsidR="002E474C" w:rsidRDefault="00000000">
            <w:pPr>
              <w:pStyle w:val="A-"/>
            </w:pPr>
            <w:r>
              <w:rPr>
                <w:rFonts w:hint="eastAsia"/>
              </w:rPr>
              <w:t>本项目重金属投加量</w:t>
            </w:r>
          </w:p>
        </w:tc>
      </w:tr>
      <w:tr w:rsidR="002E474C" w14:paraId="518A449E" w14:textId="77777777">
        <w:tc>
          <w:tcPr>
            <w:tcW w:w="2476" w:type="pct"/>
            <w:vAlign w:val="center"/>
          </w:tcPr>
          <w:p w14:paraId="2C382170" w14:textId="77777777" w:rsidR="002E474C" w:rsidRDefault="00000000">
            <w:pPr>
              <w:pStyle w:val="A-"/>
            </w:pPr>
            <w:r>
              <w:t>汞（</w:t>
            </w:r>
            <w:r>
              <w:t>Hg</w:t>
            </w:r>
            <w:r>
              <w:t>）</w:t>
            </w:r>
          </w:p>
        </w:tc>
        <w:tc>
          <w:tcPr>
            <w:tcW w:w="861" w:type="pct"/>
            <w:vMerge w:val="restart"/>
            <w:vAlign w:val="center"/>
          </w:tcPr>
          <w:p w14:paraId="00677D70" w14:textId="77777777" w:rsidR="002E474C" w:rsidRDefault="00000000">
            <w:pPr>
              <w:pStyle w:val="A-"/>
            </w:pPr>
            <w:r>
              <w:t>mg/kg-cli</w:t>
            </w:r>
          </w:p>
        </w:tc>
        <w:tc>
          <w:tcPr>
            <w:tcW w:w="831" w:type="pct"/>
            <w:vAlign w:val="center"/>
          </w:tcPr>
          <w:p w14:paraId="09C9E279" w14:textId="77777777" w:rsidR="002E474C" w:rsidRDefault="00000000">
            <w:pPr>
              <w:pStyle w:val="A-"/>
            </w:pPr>
            <w:r>
              <w:t>0.23</w:t>
            </w:r>
          </w:p>
        </w:tc>
        <w:tc>
          <w:tcPr>
            <w:tcW w:w="831" w:type="pct"/>
            <w:vAlign w:val="center"/>
          </w:tcPr>
          <w:p w14:paraId="1D43EA8F" w14:textId="77777777" w:rsidR="002E474C" w:rsidRDefault="00000000">
            <w:pPr>
              <w:pStyle w:val="A-"/>
            </w:pPr>
            <w:r>
              <w:rPr>
                <w:rFonts w:hint="eastAsia"/>
              </w:rPr>
              <w:t>0.082</w:t>
            </w:r>
          </w:p>
        </w:tc>
      </w:tr>
      <w:tr w:rsidR="002E474C" w14:paraId="140CED16" w14:textId="77777777">
        <w:tc>
          <w:tcPr>
            <w:tcW w:w="2476" w:type="pct"/>
            <w:vAlign w:val="center"/>
          </w:tcPr>
          <w:p w14:paraId="4077535D" w14:textId="77777777" w:rsidR="002E474C" w:rsidRDefault="00000000">
            <w:pPr>
              <w:pStyle w:val="A-"/>
            </w:pPr>
            <w:r>
              <w:t>铊</w:t>
            </w:r>
            <w:r>
              <w:t>+</w:t>
            </w:r>
            <w:r>
              <w:t>镉</w:t>
            </w:r>
            <w:r>
              <w:t>+</w:t>
            </w:r>
            <w:r>
              <w:t>铅</w:t>
            </w:r>
            <w:r>
              <w:t>+15×</w:t>
            </w:r>
            <w:r>
              <w:t>砷（</w:t>
            </w:r>
            <w:r>
              <w:t>Tl+Cd+Pb+15×As</w:t>
            </w:r>
            <w:r>
              <w:t>）</w:t>
            </w:r>
          </w:p>
        </w:tc>
        <w:tc>
          <w:tcPr>
            <w:tcW w:w="861" w:type="pct"/>
            <w:vMerge/>
            <w:vAlign w:val="center"/>
          </w:tcPr>
          <w:p w14:paraId="3CC5FB31" w14:textId="77777777" w:rsidR="002E474C" w:rsidRDefault="002E474C">
            <w:pPr>
              <w:pStyle w:val="A-"/>
            </w:pPr>
          </w:p>
        </w:tc>
        <w:tc>
          <w:tcPr>
            <w:tcW w:w="831" w:type="pct"/>
            <w:vAlign w:val="center"/>
          </w:tcPr>
          <w:p w14:paraId="62A1831D" w14:textId="77777777" w:rsidR="002E474C" w:rsidRDefault="00000000">
            <w:pPr>
              <w:pStyle w:val="A-"/>
            </w:pPr>
            <w:r>
              <w:t>230</w:t>
            </w:r>
          </w:p>
        </w:tc>
        <w:tc>
          <w:tcPr>
            <w:tcW w:w="831" w:type="pct"/>
            <w:vAlign w:val="center"/>
          </w:tcPr>
          <w:p w14:paraId="12424991" w14:textId="77777777" w:rsidR="002E474C" w:rsidRDefault="00000000">
            <w:pPr>
              <w:pStyle w:val="A-"/>
            </w:pPr>
            <w:r>
              <w:rPr>
                <w:rFonts w:hint="eastAsia"/>
              </w:rPr>
              <w:t>9.527</w:t>
            </w:r>
          </w:p>
        </w:tc>
      </w:tr>
      <w:tr w:rsidR="002E474C" w14:paraId="3C375DB9" w14:textId="77777777">
        <w:trPr>
          <w:trHeight w:val="545"/>
        </w:trPr>
        <w:tc>
          <w:tcPr>
            <w:tcW w:w="2476" w:type="pct"/>
            <w:vAlign w:val="center"/>
          </w:tcPr>
          <w:p w14:paraId="4EF01B51" w14:textId="77777777" w:rsidR="002E474C" w:rsidRDefault="00000000">
            <w:pPr>
              <w:pStyle w:val="A-"/>
            </w:pPr>
            <w:r>
              <w:t>铍</w:t>
            </w:r>
            <w:r>
              <w:t>+</w:t>
            </w:r>
            <w:r>
              <w:t>铬</w:t>
            </w:r>
            <w:r>
              <w:t>+10×</w:t>
            </w:r>
            <w:r>
              <w:t>锡</w:t>
            </w:r>
            <w:r>
              <w:t>+50×</w:t>
            </w:r>
            <w:r>
              <w:t>锑</w:t>
            </w:r>
            <w:r>
              <w:t>+</w:t>
            </w:r>
            <w:r>
              <w:t>铜</w:t>
            </w:r>
            <w:r>
              <w:t>+</w:t>
            </w:r>
            <w:r>
              <w:t>锰</w:t>
            </w:r>
            <w:r>
              <w:t>+</w:t>
            </w:r>
            <w:r>
              <w:t>镍</w:t>
            </w:r>
            <w:r>
              <w:t>+</w:t>
            </w:r>
            <w:r>
              <w:t>钒（</w:t>
            </w:r>
            <w:r>
              <w:t>Be+Cr+10Sn+50Sb+Cu+Mn+Ni+V</w:t>
            </w:r>
            <w:r>
              <w:t>）</w:t>
            </w:r>
          </w:p>
        </w:tc>
        <w:tc>
          <w:tcPr>
            <w:tcW w:w="861" w:type="pct"/>
            <w:vMerge/>
            <w:vAlign w:val="center"/>
          </w:tcPr>
          <w:p w14:paraId="6C54C059" w14:textId="77777777" w:rsidR="002E474C" w:rsidRDefault="002E474C">
            <w:pPr>
              <w:pStyle w:val="A-"/>
            </w:pPr>
          </w:p>
        </w:tc>
        <w:tc>
          <w:tcPr>
            <w:tcW w:w="831" w:type="pct"/>
            <w:vAlign w:val="center"/>
          </w:tcPr>
          <w:p w14:paraId="6DB406D9" w14:textId="77777777" w:rsidR="002E474C" w:rsidRDefault="00000000">
            <w:pPr>
              <w:pStyle w:val="A-"/>
            </w:pPr>
            <w:r>
              <w:t>1150</w:t>
            </w:r>
          </w:p>
        </w:tc>
        <w:tc>
          <w:tcPr>
            <w:tcW w:w="831" w:type="pct"/>
            <w:vAlign w:val="center"/>
          </w:tcPr>
          <w:p w14:paraId="0A6412F1" w14:textId="77777777" w:rsidR="002E474C" w:rsidRDefault="00000000">
            <w:pPr>
              <w:pStyle w:val="A-"/>
            </w:pPr>
            <w:r>
              <w:rPr>
                <w:rFonts w:hint="eastAsia"/>
              </w:rPr>
              <w:t>336.179</w:t>
            </w:r>
          </w:p>
        </w:tc>
      </w:tr>
      <w:tr w:rsidR="002E474C" w14:paraId="6D283C8C" w14:textId="77777777">
        <w:tc>
          <w:tcPr>
            <w:tcW w:w="2476" w:type="pct"/>
            <w:vAlign w:val="center"/>
          </w:tcPr>
          <w:p w14:paraId="1797C71F" w14:textId="77777777" w:rsidR="002E474C" w:rsidRDefault="00000000">
            <w:pPr>
              <w:pStyle w:val="A-"/>
            </w:pPr>
            <w:r>
              <w:t>总铬（</w:t>
            </w:r>
            <w:r>
              <w:t>Cr</w:t>
            </w:r>
            <w:r>
              <w:t>）</w:t>
            </w:r>
          </w:p>
        </w:tc>
        <w:tc>
          <w:tcPr>
            <w:tcW w:w="861" w:type="pct"/>
            <w:vMerge w:val="restart"/>
            <w:vAlign w:val="center"/>
          </w:tcPr>
          <w:p w14:paraId="34BEA17E" w14:textId="77777777" w:rsidR="002E474C" w:rsidRDefault="00000000">
            <w:pPr>
              <w:pStyle w:val="A-"/>
            </w:pPr>
            <w:r>
              <w:t>mg/kg-cem</w:t>
            </w:r>
          </w:p>
        </w:tc>
        <w:tc>
          <w:tcPr>
            <w:tcW w:w="831" w:type="pct"/>
            <w:vAlign w:val="center"/>
          </w:tcPr>
          <w:p w14:paraId="6098C018" w14:textId="77777777" w:rsidR="002E474C" w:rsidRDefault="00000000">
            <w:pPr>
              <w:pStyle w:val="A-"/>
            </w:pPr>
            <w:r>
              <w:t>320</w:t>
            </w:r>
          </w:p>
        </w:tc>
        <w:tc>
          <w:tcPr>
            <w:tcW w:w="831" w:type="pct"/>
            <w:vAlign w:val="center"/>
          </w:tcPr>
          <w:p w14:paraId="10461F37" w14:textId="77777777" w:rsidR="002E474C" w:rsidRDefault="00000000">
            <w:pPr>
              <w:pStyle w:val="A-"/>
            </w:pPr>
            <w:r>
              <w:rPr>
                <w:rFonts w:hint="eastAsia"/>
              </w:rPr>
              <w:t>1.036</w:t>
            </w:r>
          </w:p>
        </w:tc>
      </w:tr>
      <w:tr w:rsidR="002E474C" w14:paraId="54C9E4D9" w14:textId="77777777">
        <w:tc>
          <w:tcPr>
            <w:tcW w:w="2476" w:type="pct"/>
            <w:vAlign w:val="center"/>
          </w:tcPr>
          <w:p w14:paraId="3BA7B036" w14:textId="77777777" w:rsidR="002E474C" w:rsidRDefault="00000000">
            <w:pPr>
              <w:pStyle w:val="A-"/>
            </w:pPr>
            <w:r>
              <w:t>六价铬（</w:t>
            </w:r>
            <w:r>
              <w:t>Cr</w:t>
            </w:r>
            <w:r>
              <w:rPr>
                <w:vertAlign w:val="superscript"/>
              </w:rPr>
              <w:t>6+</w:t>
            </w:r>
            <w:r>
              <w:t>）</w:t>
            </w:r>
          </w:p>
        </w:tc>
        <w:tc>
          <w:tcPr>
            <w:tcW w:w="861" w:type="pct"/>
            <w:vMerge/>
            <w:vAlign w:val="center"/>
          </w:tcPr>
          <w:p w14:paraId="2B1FCA15" w14:textId="77777777" w:rsidR="002E474C" w:rsidRDefault="002E474C">
            <w:pPr>
              <w:pStyle w:val="A-"/>
            </w:pPr>
          </w:p>
        </w:tc>
        <w:tc>
          <w:tcPr>
            <w:tcW w:w="831" w:type="pct"/>
            <w:vAlign w:val="center"/>
          </w:tcPr>
          <w:p w14:paraId="40A1F382" w14:textId="77777777" w:rsidR="002E474C" w:rsidRDefault="00000000">
            <w:pPr>
              <w:pStyle w:val="A-"/>
            </w:pPr>
            <w:r>
              <w:t>10</w:t>
            </w:r>
            <w:r>
              <w:rPr>
                <w:vertAlign w:val="superscript"/>
              </w:rPr>
              <w:t>（</w:t>
            </w:r>
            <w:r>
              <w:rPr>
                <w:vertAlign w:val="superscript"/>
              </w:rPr>
              <w:t>1</w:t>
            </w:r>
            <w:r>
              <w:rPr>
                <w:vertAlign w:val="superscript"/>
              </w:rPr>
              <w:t>）</w:t>
            </w:r>
          </w:p>
        </w:tc>
        <w:tc>
          <w:tcPr>
            <w:tcW w:w="831" w:type="pct"/>
            <w:vAlign w:val="center"/>
          </w:tcPr>
          <w:p w14:paraId="7D983F86" w14:textId="77777777" w:rsidR="002E474C" w:rsidRDefault="00000000">
            <w:pPr>
              <w:pStyle w:val="A-"/>
            </w:pPr>
            <w:r>
              <w:rPr>
                <w:rFonts w:hint="eastAsia"/>
              </w:rPr>
              <w:t>/</w:t>
            </w:r>
          </w:p>
        </w:tc>
      </w:tr>
      <w:tr w:rsidR="002E474C" w14:paraId="28EA3CC3" w14:textId="77777777">
        <w:tc>
          <w:tcPr>
            <w:tcW w:w="2476" w:type="pct"/>
            <w:vAlign w:val="center"/>
          </w:tcPr>
          <w:p w14:paraId="605D4BB2" w14:textId="77777777" w:rsidR="002E474C" w:rsidRDefault="00000000">
            <w:pPr>
              <w:pStyle w:val="A-"/>
            </w:pPr>
            <w:r>
              <w:t>锌（</w:t>
            </w:r>
            <w:r>
              <w:t>Zn</w:t>
            </w:r>
            <w:r>
              <w:t>）</w:t>
            </w:r>
          </w:p>
        </w:tc>
        <w:tc>
          <w:tcPr>
            <w:tcW w:w="861" w:type="pct"/>
            <w:vMerge/>
            <w:vAlign w:val="center"/>
          </w:tcPr>
          <w:p w14:paraId="762DD6F5" w14:textId="77777777" w:rsidR="002E474C" w:rsidRDefault="002E474C">
            <w:pPr>
              <w:pStyle w:val="A-"/>
            </w:pPr>
          </w:p>
        </w:tc>
        <w:tc>
          <w:tcPr>
            <w:tcW w:w="831" w:type="pct"/>
            <w:vAlign w:val="center"/>
          </w:tcPr>
          <w:p w14:paraId="5CCA8311" w14:textId="77777777" w:rsidR="002E474C" w:rsidRDefault="00000000">
            <w:pPr>
              <w:pStyle w:val="A-"/>
            </w:pPr>
            <w:r>
              <w:t>37760</w:t>
            </w:r>
          </w:p>
        </w:tc>
        <w:tc>
          <w:tcPr>
            <w:tcW w:w="831" w:type="pct"/>
            <w:vAlign w:val="center"/>
          </w:tcPr>
          <w:p w14:paraId="579C7967" w14:textId="77777777" w:rsidR="002E474C" w:rsidRDefault="00000000">
            <w:pPr>
              <w:pStyle w:val="A-"/>
            </w:pPr>
            <w:r>
              <w:rPr>
                <w:rFonts w:hint="eastAsia"/>
              </w:rPr>
              <w:t>5.047</w:t>
            </w:r>
          </w:p>
        </w:tc>
      </w:tr>
      <w:tr w:rsidR="002E474C" w14:paraId="5B4CDD33" w14:textId="77777777">
        <w:tc>
          <w:tcPr>
            <w:tcW w:w="2476" w:type="pct"/>
            <w:vAlign w:val="center"/>
          </w:tcPr>
          <w:p w14:paraId="3D29BE3C" w14:textId="77777777" w:rsidR="002E474C" w:rsidRDefault="00000000">
            <w:pPr>
              <w:pStyle w:val="A-"/>
            </w:pPr>
            <w:r>
              <w:t>锰（</w:t>
            </w:r>
            <w:r>
              <w:t>Mn</w:t>
            </w:r>
            <w:r>
              <w:t>）</w:t>
            </w:r>
          </w:p>
        </w:tc>
        <w:tc>
          <w:tcPr>
            <w:tcW w:w="861" w:type="pct"/>
            <w:vMerge/>
            <w:vAlign w:val="center"/>
          </w:tcPr>
          <w:p w14:paraId="0573E2E3" w14:textId="77777777" w:rsidR="002E474C" w:rsidRDefault="002E474C">
            <w:pPr>
              <w:pStyle w:val="A-"/>
            </w:pPr>
          </w:p>
        </w:tc>
        <w:tc>
          <w:tcPr>
            <w:tcW w:w="831" w:type="pct"/>
            <w:vAlign w:val="center"/>
          </w:tcPr>
          <w:p w14:paraId="53227864" w14:textId="77777777" w:rsidR="002E474C" w:rsidRDefault="00000000">
            <w:pPr>
              <w:pStyle w:val="A-"/>
            </w:pPr>
            <w:r>
              <w:t>3350</w:t>
            </w:r>
          </w:p>
        </w:tc>
        <w:tc>
          <w:tcPr>
            <w:tcW w:w="831" w:type="pct"/>
            <w:vAlign w:val="center"/>
          </w:tcPr>
          <w:p w14:paraId="49D3BED5" w14:textId="77777777" w:rsidR="002E474C" w:rsidRDefault="00000000">
            <w:pPr>
              <w:pStyle w:val="A-"/>
            </w:pPr>
            <w:r>
              <w:rPr>
                <w:rFonts w:hint="eastAsia"/>
              </w:rPr>
              <w:t>31.910</w:t>
            </w:r>
          </w:p>
        </w:tc>
      </w:tr>
      <w:tr w:rsidR="002E474C" w14:paraId="0993A7FB" w14:textId="77777777">
        <w:tc>
          <w:tcPr>
            <w:tcW w:w="2476" w:type="pct"/>
            <w:vAlign w:val="center"/>
          </w:tcPr>
          <w:p w14:paraId="2ECED5FB" w14:textId="77777777" w:rsidR="002E474C" w:rsidRDefault="00000000">
            <w:pPr>
              <w:pStyle w:val="A-"/>
            </w:pPr>
            <w:r>
              <w:t>镍（</w:t>
            </w:r>
            <w:r>
              <w:t>Ni</w:t>
            </w:r>
            <w:r>
              <w:t>）</w:t>
            </w:r>
          </w:p>
        </w:tc>
        <w:tc>
          <w:tcPr>
            <w:tcW w:w="861" w:type="pct"/>
            <w:vMerge/>
            <w:vAlign w:val="center"/>
          </w:tcPr>
          <w:p w14:paraId="4FF3B99A" w14:textId="77777777" w:rsidR="002E474C" w:rsidRDefault="002E474C">
            <w:pPr>
              <w:pStyle w:val="A-"/>
            </w:pPr>
          </w:p>
        </w:tc>
        <w:tc>
          <w:tcPr>
            <w:tcW w:w="831" w:type="pct"/>
            <w:vAlign w:val="center"/>
          </w:tcPr>
          <w:p w14:paraId="59ACF5FC" w14:textId="77777777" w:rsidR="002E474C" w:rsidRDefault="00000000">
            <w:pPr>
              <w:pStyle w:val="A-"/>
            </w:pPr>
            <w:r>
              <w:t>640</w:t>
            </w:r>
          </w:p>
        </w:tc>
        <w:tc>
          <w:tcPr>
            <w:tcW w:w="831" w:type="pct"/>
            <w:vAlign w:val="center"/>
          </w:tcPr>
          <w:p w14:paraId="5424245B" w14:textId="77777777" w:rsidR="002E474C" w:rsidRDefault="00000000">
            <w:pPr>
              <w:pStyle w:val="A-"/>
            </w:pPr>
            <w:r>
              <w:rPr>
                <w:rFonts w:hint="eastAsia"/>
              </w:rPr>
              <w:t>0.044</w:t>
            </w:r>
          </w:p>
        </w:tc>
      </w:tr>
      <w:tr w:rsidR="002E474C" w14:paraId="6A5D4D9F" w14:textId="77777777">
        <w:tc>
          <w:tcPr>
            <w:tcW w:w="2476" w:type="pct"/>
            <w:vAlign w:val="center"/>
          </w:tcPr>
          <w:p w14:paraId="009FF166" w14:textId="77777777" w:rsidR="002E474C" w:rsidRDefault="00000000">
            <w:pPr>
              <w:pStyle w:val="A-"/>
            </w:pPr>
            <w:r>
              <w:t>钼（</w:t>
            </w:r>
            <w:r>
              <w:t>Mo</w:t>
            </w:r>
            <w:r>
              <w:t>）</w:t>
            </w:r>
          </w:p>
        </w:tc>
        <w:tc>
          <w:tcPr>
            <w:tcW w:w="861" w:type="pct"/>
            <w:vMerge/>
            <w:vAlign w:val="center"/>
          </w:tcPr>
          <w:p w14:paraId="12FC85C9" w14:textId="77777777" w:rsidR="002E474C" w:rsidRDefault="002E474C">
            <w:pPr>
              <w:pStyle w:val="A-"/>
            </w:pPr>
          </w:p>
        </w:tc>
        <w:tc>
          <w:tcPr>
            <w:tcW w:w="831" w:type="pct"/>
            <w:vAlign w:val="center"/>
          </w:tcPr>
          <w:p w14:paraId="684B61AA" w14:textId="77777777" w:rsidR="002E474C" w:rsidRDefault="00000000">
            <w:pPr>
              <w:pStyle w:val="A-"/>
            </w:pPr>
            <w:r>
              <w:t>310</w:t>
            </w:r>
          </w:p>
        </w:tc>
        <w:tc>
          <w:tcPr>
            <w:tcW w:w="831" w:type="pct"/>
            <w:vAlign w:val="center"/>
          </w:tcPr>
          <w:p w14:paraId="7CA53E8B" w14:textId="77777777" w:rsidR="002E474C" w:rsidRDefault="00000000">
            <w:pPr>
              <w:pStyle w:val="A-"/>
            </w:pPr>
            <w:r>
              <w:rPr>
                <w:rFonts w:hint="eastAsia"/>
              </w:rPr>
              <w:t>/</w:t>
            </w:r>
          </w:p>
        </w:tc>
      </w:tr>
      <w:tr w:rsidR="002E474C" w14:paraId="3E390A40" w14:textId="77777777">
        <w:tc>
          <w:tcPr>
            <w:tcW w:w="2476" w:type="pct"/>
            <w:vAlign w:val="center"/>
          </w:tcPr>
          <w:p w14:paraId="1877BD62" w14:textId="77777777" w:rsidR="002E474C" w:rsidRDefault="00000000">
            <w:pPr>
              <w:pStyle w:val="A-"/>
            </w:pPr>
            <w:r>
              <w:t>砷（</w:t>
            </w:r>
            <w:r>
              <w:t>As</w:t>
            </w:r>
            <w:r>
              <w:t>）</w:t>
            </w:r>
          </w:p>
        </w:tc>
        <w:tc>
          <w:tcPr>
            <w:tcW w:w="861" w:type="pct"/>
            <w:vMerge/>
            <w:vAlign w:val="center"/>
          </w:tcPr>
          <w:p w14:paraId="44A90C4D" w14:textId="77777777" w:rsidR="002E474C" w:rsidRDefault="002E474C">
            <w:pPr>
              <w:pStyle w:val="A-"/>
            </w:pPr>
          </w:p>
        </w:tc>
        <w:tc>
          <w:tcPr>
            <w:tcW w:w="831" w:type="pct"/>
            <w:vAlign w:val="center"/>
          </w:tcPr>
          <w:p w14:paraId="13DA307A" w14:textId="77777777" w:rsidR="002E474C" w:rsidRDefault="00000000">
            <w:pPr>
              <w:pStyle w:val="A-"/>
            </w:pPr>
            <w:r>
              <w:t>4280</w:t>
            </w:r>
          </w:p>
        </w:tc>
        <w:tc>
          <w:tcPr>
            <w:tcW w:w="831" w:type="pct"/>
            <w:vAlign w:val="center"/>
          </w:tcPr>
          <w:p w14:paraId="2449CC8D" w14:textId="77777777" w:rsidR="002E474C" w:rsidRDefault="00000000">
            <w:pPr>
              <w:pStyle w:val="A-"/>
            </w:pPr>
            <w:r>
              <w:rPr>
                <w:rFonts w:hint="eastAsia"/>
              </w:rPr>
              <w:t>0.431</w:t>
            </w:r>
          </w:p>
        </w:tc>
      </w:tr>
      <w:tr w:rsidR="002E474C" w14:paraId="61C7B6A9" w14:textId="77777777">
        <w:tc>
          <w:tcPr>
            <w:tcW w:w="2476" w:type="pct"/>
            <w:vAlign w:val="center"/>
          </w:tcPr>
          <w:p w14:paraId="2D4B089A" w14:textId="77777777" w:rsidR="002E474C" w:rsidRDefault="00000000">
            <w:pPr>
              <w:pStyle w:val="A-"/>
            </w:pPr>
            <w:r>
              <w:t>镉（</w:t>
            </w:r>
            <w:r>
              <w:t>Cd</w:t>
            </w:r>
            <w:r>
              <w:t>）</w:t>
            </w:r>
          </w:p>
        </w:tc>
        <w:tc>
          <w:tcPr>
            <w:tcW w:w="861" w:type="pct"/>
            <w:vMerge/>
            <w:vAlign w:val="center"/>
          </w:tcPr>
          <w:p w14:paraId="3295BD22" w14:textId="77777777" w:rsidR="002E474C" w:rsidRDefault="002E474C">
            <w:pPr>
              <w:pStyle w:val="A-"/>
            </w:pPr>
          </w:p>
        </w:tc>
        <w:tc>
          <w:tcPr>
            <w:tcW w:w="831" w:type="pct"/>
            <w:vAlign w:val="center"/>
          </w:tcPr>
          <w:p w14:paraId="0CDB26DA" w14:textId="77777777" w:rsidR="002E474C" w:rsidRDefault="00000000">
            <w:pPr>
              <w:pStyle w:val="A-"/>
            </w:pPr>
            <w:r>
              <w:t>40</w:t>
            </w:r>
          </w:p>
        </w:tc>
        <w:tc>
          <w:tcPr>
            <w:tcW w:w="831" w:type="pct"/>
            <w:vAlign w:val="center"/>
          </w:tcPr>
          <w:p w14:paraId="35859C3E" w14:textId="77777777" w:rsidR="002E474C" w:rsidRDefault="00000000">
            <w:pPr>
              <w:pStyle w:val="A-"/>
            </w:pPr>
            <w:r>
              <w:rPr>
                <w:rFonts w:hint="eastAsia"/>
              </w:rPr>
              <w:t>0.029</w:t>
            </w:r>
          </w:p>
        </w:tc>
      </w:tr>
      <w:tr w:rsidR="002E474C" w14:paraId="69EA460E" w14:textId="77777777">
        <w:tc>
          <w:tcPr>
            <w:tcW w:w="2476" w:type="pct"/>
            <w:vAlign w:val="center"/>
          </w:tcPr>
          <w:p w14:paraId="45B75DD1" w14:textId="77777777" w:rsidR="002E474C" w:rsidRDefault="00000000">
            <w:pPr>
              <w:pStyle w:val="A-"/>
            </w:pPr>
            <w:r>
              <w:t>铅（</w:t>
            </w:r>
            <w:r>
              <w:t>Pb</w:t>
            </w:r>
            <w:r>
              <w:t>）</w:t>
            </w:r>
          </w:p>
        </w:tc>
        <w:tc>
          <w:tcPr>
            <w:tcW w:w="861" w:type="pct"/>
            <w:vMerge/>
            <w:vAlign w:val="center"/>
          </w:tcPr>
          <w:p w14:paraId="2696EE66" w14:textId="77777777" w:rsidR="002E474C" w:rsidRDefault="002E474C">
            <w:pPr>
              <w:pStyle w:val="A-"/>
            </w:pPr>
          </w:p>
        </w:tc>
        <w:tc>
          <w:tcPr>
            <w:tcW w:w="831" w:type="pct"/>
            <w:vAlign w:val="center"/>
          </w:tcPr>
          <w:p w14:paraId="72786261" w14:textId="77777777" w:rsidR="002E474C" w:rsidRDefault="00000000">
            <w:pPr>
              <w:pStyle w:val="A-"/>
            </w:pPr>
            <w:r>
              <w:t>1590</w:t>
            </w:r>
          </w:p>
        </w:tc>
        <w:tc>
          <w:tcPr>
            <w:tcW w:w="831" w:type="pct"/>
            <w:vAlign w:val="center"/>
          </w:tcPr>
          <w:p w14:paraId="07447FDF" w14:textId="77777777" w:rsidR="002E474C" w:rsidRDefault="00000000">
            <w:pPr>
              <w:pStyle w:val="A-"/>
            </w:pPr>
            <w:r>
              <w:rPr>
                <w:rFonts w:hint="eastAsia"/>
              </w:rPr>
              <w:t>0.648</w:t>
            </w:r>
          </w:p>
        </w:tc>
      </w:tr>
      <w:tr w:rsidR="002E474C" w14:paraId="13606243" w14:textId="77777777">
        <w:tc>
          <w:tcPr>
            <w:tcW w:w="2476" w:type="pct"/>
            <w:vAlign w:val="center"/>
          </w:tcPr>
          <w:p w14:paraId="5B8E8231" w14:textId="77777777" w:rsidR="002E474C" w:rsidRDefault="00000000">
            <w:pPr>
              <w:pStyle w:val="A-"/>
            </w:pPr>
            <w:r>
              <w:t>铜（</w:t>
            </w:r>
            <w:r>
              <w:t>Cu</w:t>
            </w:r>
            <w:r>
              <w:t>）</w:t>
            </w:r>
          </w:p>
        </w:tc>
        <w:tc>
          <w:tcPr>
            <w:tcW w:w="861" w:type="pct"/>
            <w:vMerge/>
            <w:vAlign w:val="center"/>
          </w:tcPr>
          <w:p w14:paraId="05257C5A" w14:textId="77777777" w:rsidR="002E474C" w:rsidRDefault="002E474C">
            <w:pPr>
              <w:pStyle w:val="A-"/>
            </w:pPr>
          </w:p>
        </w:tc>
        <w:tc>
          <w:tcPr>
            <w:tcW w:w="831" w:type="pct"/>
            <w:vAlign w:val="center"/>
          </w:tcPr>
          <w:p w14:paraId="683404BA" w14:textId="77777777" w:rsidR="002E474C" w:rsidRDefault="00000000">
            <w:pPr>
              <w:pStyle w:val="A-"/>
            </w:pPr>
            <w:r>
              <w:t>7920</w:t>
            </w:r>
          </w:p>
        </w:tc>
        <w:tc>
          <w:tcPr>
            <w:tcW w:w="831" w:type="pct"/>
            <w:vAlign w:val="center"/>
          </w:tcPr>
          <w:p w14:paraId="0A20476A" w14:textId="77777777" w:rsidR="002E474C" w:rsidRDefault="00000000">
            <w:pPr>
              <w:pStyle w:val="A-"/>
            </w:pPr>
            <w:r>
              <w:rPr>
                <w:rFonts w:hint="eastAsia"/>
              </w:rPr>
              <w:t>218.830</w:t>
            </w:r>
          </w:p>
        </w:tc>
      </w:tr>
      <w:tr w:rsidR="002E474C" w14:paraId="673CED72" w14:textId="77777777">
        <w:tc>
          <w:tcPr>
            <w:tcW w:w="2476" w:type="pct"/>
            <w:vAlign w:val="center"/>
          </w:tcPr>
          <w:p w14:paraId="73A65304" w14:textId="77777777" w:rsidR="002E474C" w:rsidRDefault="00000000">
            <w:pPr>
              <w:pStyle w:val="A-"/>
            </w:pPr>
            <w:r>
              <w:t>汞（</w:t>
            </w:r>
            <w:r>
              <w:t>Hg</w:t>
            </w:r>
            <w:r>
              <w:t>）</w:t>
            </w:r>
          </w:p>
        </w:tc>
        <w:tc>
          <w:tcPr>
            <w:tcW w:w="861" w:type="pct"/>
            <w:vMerge/>
            <w:vAlign w:val="center"/>
          </w:tcPr>
          <w:p w14:paraId="4ECBC6E0" w14:textId="77777777" w:rsidR="002E474C" w:rsidRDefault="002E474C">
            <w:pPr>
              <w:pStyle w:val="A-"/>
            </w:pPr>
          </w:p>
        </w:tc>
        <w:tc>
          <w:tcPr>
            <w:tcW w:w="831" w:type="pct"/>
            <w:vAlign w:val="center"/>
          </w:tcPr>
          <w:p w14:paraId="3D674A6C" w14:textId="77777777" w:rsidR="002E474C" w:rsidRDefault="00000000">
            <w:pPr>
              <w:pStyle w:val="A-"/>
            </w:pPr>
            <w:r>
              <w:t>4</w:t>
            </w:r>
            <w:r>
              <w:rPr>
                <w:vertAlign w:val="superscript"/>
              </w:rPr>
              <w:t>（</w:t>
            </w:r>
            <w:r>
              <w:rPr>
                <w:vertAlign w:val="superscript"/>
              </w:rPr>
              <w:t>2</w:t>
            </w:r>
            <w:r>
              <w:rPr>
                <w:vertAlign w:val="superscript"/>
              </w:rPr>
              <w:t>）</w:t>
            </w:r>
          </w:p>
        </w:tc>
        <w:tc>
          <w:tcPr>
            <w:tcW w:w="831" w:type="pct"/>
            <w:vAlign w:val="center"/>
          </w:tcPr>
          <w:p w14:paraId="7A99541E" w14:textId="77777777" w:rsidR="002E474C" w:rsidRDefault="00000000">
            <w:pPr>
              <w:pStyle w:val="A-"/>
            </w:pPr>
            <w:r>
              <w:rPr>
                <w:rFonts w:hint="eastAsia"/>
              </w:rPr>
              <w:t>/</w:t>
            </w:r>
          </w:p>
        </w:tc>
      </w:tr>
      <w:tr w:rsidR="002E474C" w14:paraId="79B7B807" w14:textId="77777777">
        <w:tc>
          <w:tcPr>
            <w:tcW w:w="5000" w:type="pct"/>
            <w:gridSpan w:val="4"/>
            <w:vAlign w:val="center"/>
          </w:tcPr>
          <w:p w14:paraId="0B1F4C46" w14:textId="77777777" w:rsidR="002E474C" w:rsidRDefault="00000000">
            <w:pPr>
              <w:pStyle w:val="A-"/>
              <w:jc w:val="both"/>
            </w:pPr>
            <w:r>
              <w:rPr>
                <w:rFonts w:hint="eastAsia"/>
              </w:rPr>
              <w:t>注（</w:t>
            </w:r>
            <w:r>
              <w:rPr>
                <w:rFonts w:hint="eastAsia"/>
              </w:rPr>
              <w:t>1</w:t>
            </w:r>
            <w:r>
              <w:rPr>
                <w:rFonts w:hint="eastAsia"/>
              </w:rPr>
              <w:t>）：计入窑物料中的总铬和混合材中的六价铬。</w:t>
            </w:r>
          </w:p>
          <w:p w14:paraId="7158E0DF" w14:textId="77777777" w:rsidR="002E474C" w:rsidRDefault="00000000">
            <w:pPr>
              <w:pStyle w:val="A-"/>
              <w:jc w:val="both"/>
            </w:pPr>
            <w:r>
              <w:rPr>
                <w:rFonts w:hint="eastAsia"/>
              </w:rPr>
              <w:t>注（</w:t>
            </w:r>
            <w:r>
              <w:rPr>
                <w:rFonts w:hint="eastAsia"/>
              </w:rPr>
              <w:t>2</w:t>
            </w:r>
            <w:r>
              <w:rPr>
                <w:rFonts w:hint="eastAsia"/>
              </w:rPr>
              <w:t>）：仅计混合材中的汞。</w:t>
            </w:r>
          </w:p>
        </w:tc>
      </w:tr>
    </w:tbl>
    <w:p w14:paraId="469B12DA" w14:textId="77777777" w:rsidR="002E474C" w:rsidRDefault="002E474C"/>
    <w:p w14:paraId="62C7499B" w14:textId="77777777" w:rsidR="002E474C" w:rsidRDefault="00000000">
      <w:pPr>
        <w:pStyle w:val="A-z"/>
        <w:rPr>
          <w:color w:val="auto"/>
        </w:rPr>
      </w:pPr>
      <w:r>
        <w:rPr>
          <w:rFonts w:ascii="宋体" w:eastAsia="宋体" w:hAnsi="宋体" w:cs="宋体" w:hint="eastAsia"/>
          <w:color w:val="auto"/>
        </w:rPr>
        <w:t>③</w:t>
      </w:r>
      <w:r>
        <w:rPr>
          <w:color w:val="auto"/>
        </w:rPr>
        <w:t>入窑固体废物中氯（</w:t>
      </w:r>
      <w:r>
        <w:rPr>
          <w:color w:val="auto"/>
        </w:rPr>
        <w:t>Cl</w:t>
      </w:r>
      <w:r>
        <w:rPr>
          <w:color w:val="auto"/>
        </w:rPr>
        <w:t>）和氟（</w:t>
      </w:r>
      <w:r>
        <w:rPr>
          <w:color w:val="auto"/>
        </w:rPr>
        <w:t>F</w:t>
      </w:r>
      <w:r>
        <w:rPr>
          <w:color w:val="auto"/>
        </w:rPr>
        <w:t>）元素的含量不应对水泥生产和水泥产</w:t>
      </w:r>
      <w:r>
        <w:rPr>
          <w:color w:val="auto"/>
        </w:rPr>
        <w:lastRenderedPageBreak/>
        <w:t>品质量造成不利影响，其含量应该满足</w:t>
      </w:r>
      <w:r>
        <w:rPr>
          <w:color w:val="auto"/>
        </w:rPr>
        <w:t>HJ662-2013</w:t>
      </w:r>
      <w:r>
        <w:rPr>
          <w:color w:val="auto"/>
        </w:rPr>
        <w:t>第</w:t>
      </w:r>
      <w:r>
        <w:rPr>
          <w:color w:val="auto"/>
        </w:rPr>
        <w:t>6.6.8</w:t>
      </w:r>
      <w:r>
        <w:rPr>
          <w:color w:val="auto"/>
        </w:rPr>
        <w:t>条的要求，即入窑物料中氟元素含量不应大于</w:t>
      </w:r>
      <w:r>
        <w:rPr>
          <w:color w:val="auto"/>
        </w:rPr>
        <w:t>0.5%</w:t>
      </w:r>
      <w:r>
        <w:rPr>
          <w:color w:val="auto"/>
        </w:rPr>
        <w:t>，氯元素含量不应大于</w:t>
      </w:r>
      <w:r>
        <w:rPr>
          <w:color w:val="auto"/>
        </w:rPr>
        <w:t>0.04%</w:t>
      </w:r>
      <w:r>
        <w:rPr>
          <w:color w:val="auto"/>
        </w:rPr>
        <w:t>。结合入窑物料中</w:t>
      </w:r>
      <w:r>
        <w:rPr>
          <w:color w:val="auto"/>
        </w:rPr>
        <w:t>F</w:t>
      </w:r>
      <w:r>
        <w:rPr>
          <w:color w:val="auto"/>
        </w:rPr>
        <w:t>元素和</w:t>
      </w:r>
      <w:r>
        <w:rPr>
          <w:color w:val="auto"/>
        </w:rPr>
        <w:t>Cl</w:t>
      </w:r>
      <w:r>
        <w:rPr>
          <w:color w:val="auto"/>
        </w:rPr>
        <w:t>元素成分</w:t>
      </w:r>
      <w:r>
        <w:rPr>
          <w:rFonts w:hint="eastAsia"/>
          <w:color w:val="auto"/>
        </w:rPr>
        <w:t>及物料平衡核算结果</w:t>
      </w:r>
      <w:r>
        <w:rPr>
          <w:color w:val="auto"/>
        </w:rPr>
        <w:t>，</w:t>
      </w:r>
      <w:r>
        <w:rPr>
          <w:rFonts w:hint="eastAsia"/>
          <w:color w:val="auto"/>
        </w:rPr>
        <w:t>本</w:t>
      </w:r>
      <w:r>
        <w:rPr>
          <w:color w:val="auto"/>
        </w:rPr>
        <w:t>项目的入窑物料中氟（</w:t>
      </w:r>
      <w:r>
        <w:rPr>
          <w:color w:val="auto"/>
        </w:rPr>
        <w:t>F</w:t>
      </w:r>
      <w:r>
        <w:rPr>
          <w:color w:val="auto"/>
        </w:rPr>
        <w:t>）和氯（</w:t>
      </w:r>
      <w:r>
        <w:rPr>
          <w:color w:val="auto"/>
        </w:rPr>
        <w:t>Cl</w:t>
      </w:r>
      <w:r>
        <w:rPr>
          <w:color w:val="auto"/>
        </w:rPr>
        <w:t>）元素含量分别为</w:t>
      </w:r>
      <w:r>
        <w:rPr>
          <w:rFonts w:hint="eastAsia"/>
          <w:color w:val="auto"/>
        </w:rPr>
        <w:t>0</w:t>
      </w:r>
      <w:r>
        <w:rPr>
          <w:color w:val="auto"/>
        </w:rPr>
        <w:t>.0</w:t>
      </w:r>
      <w:r>
        <w:rPr>
          <w:rFonts w:hint="eastAsia"/>
          <w:color w:val="auto"/>
        </w:rPr>
        <w:t>1</w:t>
      </w:r>
      <w:r>
        <w:rPr>
          <w:color w:val="auto"/>
        </w:rPr>
        <w:t>2%</w:t>
      </w:r>
      <w:r>
        <w:rPr>
          <w:color w:val="auto"/>
        </w:rPr>
        <w:t>、</w:t>
      </w:r>
      <w:r>
        <w:rPr>
          <w:color w:val="auto"/>
        </w:rPr>
        <w:t>0.03</w:t>
      </w:r>
      <w:r>
        <w:rPr>
          <w:rFonts w:hint="eastAsia"/>
          <w:color w:val="auto"/>
        </w:rPr>
        <w:t>0</w:t>
      </w:r>
      <w:r>
        <w:rPr>
          <w:color w:val="auto"/>
        </w:rPr>
        <w:t>%</w:t>
      </w:r>
      <w:r>
        <w:rPr>
          <w:color w:val="auto"/>
        </w:rPr>
        <w:t>。</w:t>
      </w:r>
    </w:p>
    <w:p w14:paraId="125FAA29" w14:textId="77777777" w:rsidR="002E474C" w:rsidRDefault="00000000">
      <w:pPr>
        <w:pStyle w:val="A-z"/>
        <w:rPr>
          <w:color w:val="auto"/>
        </w:rPr>
      </w:pPr>
      <w:r>
        <w:rPr>
          <w:rFonts w:ascii="宋体" w:eastAsia="宋体" w:hAnsi="宋体" w:cs="宋体" w:hint="eastAsia"/>
          <w:color w:val="auto"/>
        </w:rPr>
        <w:t>④</w:t>
      </w:r>
      <w:r>
        <w:rPr>
          <w:color w:val="auto"/>
        </w:rPr>
        <w:t>入窑固体废物中硫（</w:t>
      </w:r>
      <w:r>
        <w:rPr>
          <w:color w:val="auto"/>
        </w:rPr>
        <w:t>S</w:t>
      </w:r>
      <w:r>
        <w:rPr>
          <w:color w:val="auto"/>
        </w:rPr>
        <w:t>）元素含量应满足</w:t>
      </w:r>
      <w:r>
        <w:rPr>
          <w:color w:val="auto"/>
        </w:rPr>
        <w:t>HJ662-2013</w:t>
      </w:r>
      <w:r>
        <w:rPr>
          <w:color w:val="auto"/>
        </w:rPr>
        <w:t>第</w:t>
      </w:r>
      <w:r>
        <w:rPr>
          <w:color w:val="auto"/>
        </w:rPr>
        <w:t>6.6.9</w:t>
      </w:r>
      <w:r>
        <w:rPr>
          <w:color w:val="auto"/>
        </w:rPr>
        <w:t>条的要求，即通过配料系统投加的物料中硫化物硫与有机硫总含量不应大于</w:t>
      </w:r>
      <w:r>
        <w:rPr>
          <w:color w:val="auto"/>
        </w:rPr>
        <w:t>0.014%</w:t>
      </w:r>
      <w:r>
        <w:rPr>
          <w:rFonts w:hint="eastAsia"/>
          <w:color w:val="auto"/>
        </w:rPr>
        <w:t>，</w:t>
      </w:r>
      <w:r>
        <w:rPr>
          <w:color w:val="auto"/>
        </w:rPr>
        <w:t>从窑头、窑尾高温区投加的全硫与配料系统投加的硫酸盐硫总投加量小于</w:t>
      </w:r>
      <w:r>
        <w:rPr>
          <w:color w:val="auto"/>
        </w:rPr>
        <w:t>3000mg/kg-cli</w:t>
      </w:r>
      <w:r>
        <w:rPr>
          <w:rFonts w:hint="eastAsia"/>
          <w:color w:val="auto"/>
        </w:rPr>
        <w:t>。</w:t>
      </w:r>
      <w:r>
        <w:rPr>
          <w:color w:val="auto"/>
        </w:rPr>
        <w:t>结合入窑物料中</w:t>
      </w:r>
      <w:r>
        <w:rPr>
          <w:rFonts w:hint="eastAsia"/>
          <w:color w:val="auto"/>
        </w:rPr>
        <w:t>S</w:t>
      </w:r>
      <w:r>
        <w:rPr>
          <w:color w:val="auto"/>
        </w:rPr>
        <w:t>元素成分</w:t>
      </w:r>
      <w:r>
        <w:rPr>
          <w:rFonts w:hint="eastAsia"/>
          <w:color w:val="auto"/>
        </w:rPr>
        <w:t>及物料平衡核算结果</w:t>
      </w:r>
      <w:r>
        <w:rPr>
          <w:color w:val="auto"/>
        </w:rPr>
        <w:t>，</w:t>
      </w:r>
      <w:r>
        <w:rPr>
          <w:rFonts w:hint="eastAsia"/>
          <w:color w:val="auto"/>
        </w:rPr>
        <w:t>本</w:t>
      </w:r>
      <w:r>
        <w:rPr>
          <w:color w:val="auto"/>
        </w:rPr>
        <w:t>项目</w:t>
      </w:r>
      <w:r>
        <w:rPr>
          <w:rFonts w:hint="eastAsia"/>
          <w:color w:val="auto"/>
        </w:rPr>
        <w:t>进入回转窑的全硫占入窑物料的</w:t>
      </w:r>
      <w:r>
        <w:rPr>
          <w:rFonts w:hint="eastAsia"/>
          <w:color w:val="auto"/>
        </w:rPr>
        <w:t>0.068%</w:t>
      </w:r>
      <w:r>
        <w:rPr>
          <w:rFonts w:hint="eastAsia"/>
          <w:color w:val="auto"/>
        </w:rPr>
        <w:t>。根据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危险废物成分分析中的危废成分汇总表计算，本项目投加物料中的硫元素总计</w:t>
      </w:r>
      <w:r>
        <w:rPr>
          <w:rFonts w:hint="eastAsia"/>
          <w:color w:val="auto"/>
        </w:rPr>
        <w:t>577.23t/a</w:t>
      </w:r>
      <w:r>
        <w:rPr>
          <w:rFonts w:hint="eastAsia"/>
          <w:color w:val="auto"/>
        </w:rPr>
        <w:t>，投加量为</w:t>
      </w:r>
      <w:r>
        <w:rPr>
          <w:rFonts w:hint="eastAsia"/>
          <w:color w:val="auto"/>
        </w:rPr>
        <w:t>384.82</w:t>
      </w:r>
      <w:r>
        <w:rPr>
          <w:color w:val="auto"/>
        </w:rPr>
        <w:t>mg/kg-cli</w:t>
      </w:r>
      <w:r>
        <w:rPr>
          <w:rFonts w:hint="eastAsia"/>
          <w:color w:val="auto"/>
        </w:rPr>
        <w:t>。常规原料一般取硫化物硫与有机硫含量约占配料系统物料中全硫的</w:t>
      </w:r>
      <w:r>
        <w:rPr>
          <w:rFonts w:hint="eastAsia"/>
          <w:color w:val="auto"/>
        </w:rPr>
        <w:t>5%</w:t>
      </w:r>
      <w:r>
        <w:rPr>
          <w:rFonts w:ascii="宋体" w:eastAsia="宋体" w:hAnsi="宋体" w:hint="eastAsia"/>
          <w:color w:val="auto"/>
        </w:rPr>
        <w:t>～</w:t>
      </w:r>
      <w:r>
        <w:rPr>
          <w:rFonts w:hint="eastAsia"/>
          <w:color w:val="auto"/>
        </w:rPr>
        <w:t>10%</w:t>
      </w:r>
      <w:r>
        <w:rPr>
          <w:rFonts w:hint="eastAsia"/>
          <w:color w:val="auto"/>
        </w:rPr>
        <w:t>，</w:t>
      </w:r>
      <w:r>
        <w:rPr>
          <w:rFonts w:hint="eastAsia"/>
          <w:color w:val="auto"/>
          <w:lang w:val="en-US"/>
        </w:rPr>
        <w:t>取保守值</w:t>
      </w:r>
      <w:r>
        <w:rPr>
          <w:rFonts w:hint="eastAsia"/>
          <w:color w:val="auto"/>
          <w:lang w:val="en-US"/>
        </w:rPr>
        <w:t>10%</w:t>
      </w:r>
      <w:r>
        <w:rPr>
          <w:rFonts w:hint="eastAsia"/>
          <w:color w:val="auto"/>
          <w:lang w:val="en-US"/>
        </w:rPr>
        <w:t>，本项目</w:t>
      </w:r>
      <w:r>
        <w:rPr>
          <w:rFonts w:hint="eastAsia"/>
          <w:color w:val="auto"/>
        </w:rPr>
        <w:t>硫化物硫与有机硫总含量为</w:t>
      </w:r>
      <w:r>
        <w:rPr>
          <w:color w:val="auto"/>
        </w:rPr>
        <w:t>0.00</w:t>
      </w:r>
      <w:r>
        <w:rPr>
          <w:rFonts w:hint="eastAsia"/>
          <w:color w:val="auto"/>
        </w:rPr>
        <w:t>7</w:t>
      </w:r>
      <w:r>
        <w:rPr>
          <w:color w:val="auto"/>
        </w:rPr>
        <w:t>%</w:t>
      </w:r>
      <w:r>
        <w:rPr>
          <w:color w:val="auto"/>
        </w:rPr>
        <w:t>；</w:t>
      </w:r>
      <w:r>
        <w:rPr>
          <w:rFonts w:hint="eastAsia"/>
          <w:color w:val="auto"/>
        </w:rPr>
        <w:t>常规原料一般取硫酸盐硫含量约占配料系统物料中全硫的</w:t>
      </w:r>
      <w:r>
        <w:rPr>
          <w:rFonts w:hint="eastAsia"/>
          <w:color w:val="auto"/>
        </w:rPr>
        <w:t>90%</w:t>
      </w:r>
      <w:r>
        <w:rPr>
          <w:rFonts w:ascii="宋体" w:eastAsia="宋体" w:hAnsi="宋体" w:hint="eastAsia"/>
          <w:color w:val="auto"/>
        </w:rPr>
        <w:t>～</w:t>
      </w:r>
      <w:r>
        <w:rPr>
          <w:rFonts w:hint="eastAsia"/>
          <w:color w:val="auto"/>
        </w:rPr>
        <w:t>95%</w:t>
      </w:r>
      <w:r>
        <w:rPr>
          <w:rFonts w:hint="eastAsia"/>
          <w:color w:val="auto"/>
        </w:rPr>
        <w:t>，</w:t>
      </w:r>
      <w:r>
        <w:rPr>
          <w:rFonts w:hint="eastAsia"/>
          <w:color w:val="auto"/>
          <w:lang w:val="en-US"/>
        </w:rPr>
        <w:t>取保守值</w:t>
      </w:r>
      <w:r>
        <w:rPr>
          <w:rFonts w:hint="eastAsia"/>
          <w:color w:val="auto"/>
          <w:lang w:val="en-US"/>
        </w:rPr>
        <w:t>95%</w:t>
      </w:r>
      <w:r>
        <w:rPr>
          <w:rFonts w:hint="eastAsia"/>
          <w:color w:val="auto"/>
          <w:lang w:val="en-US"/>
        </w:rPr>
        <w:t>，</w:t>
      </w:r>
      <w:r>
        <w:rPr>
          <w:color w:val="auto"/>
        </w:rPr>
        <w:t>从窑头、窑尾高温区投加的全硫与配料系统投加的硫酸盐硫总投加量为</w:t>
      </w:r>
      <w:r>
        <w:rPr>
          <w:rFonts w:hint="eastAsia"/>
          <w:color w:val="auto"/>
        </w:rPr>
        <w:t>750.399</w:t>
      </w:r>
      <w:r>
        <w:rPr>
          <w:color w:val="auto"/>
        </w:rPr>
        <w:t>mg/kg-cli</w:t>
      </w:r>
      <w:r>
        <w:rPr>
          <w:color w:val="auto"/>
        </w:rPr>
        <w:t>。</w:t>
      </w:r>
    </w:p>
    <w:p w14:paraId="7B0F9B1E" w14:textId="77777777" w:rsidR="002E474C" w:rsidRDefault="00000000">
      <w:pPr>
        <w:pStyle w:val="A-z"/>
        <w:rPr>
          <w:color w:val="auto"/>
        </w:rPr>
      </w:pPr>
      <w:r>
        <w:rPr>
          <w:rFonts w:ascii="宋体" w:eastAsia="宋体" w:hAnsi="宋体" w:cs="宋体" w:hint="eastAsia"/>
          <w:color w:val="auto"/>
        </w:rPr>
        <w:t>⑤</w:t>
      </w:r>
      <w:r>
        <w:rPr>
          <w:color w:val="auto"/>
        </w:rPr>
        <w:t>具有腐蚀性的固体废物，应经过预处理降低废物腐蚀性或对设施进行防腐性改造</w:t>
      </w:r>
      <w:r>
        <w:rPr>
          <w:rFonts w:hint="eastAsia"/>
          <w:color w:val="auto"/>
        </w:rPr>
        <w:t>，</w:t>
      </w:r>
      <w:r>
        <w:rPr>
          <w:color w:val="auto"/>
        </w:rPr>
        <w:t>确保不对设施造成腐蚀后方可进行协同处置。</w:t>
      </w:r>
    </w:p>
    <w:p w14:paraId="20BEBEE4" w14:textId="77777777" w:rsidR="002E474C" w:rsidRDefault="00000000">
      <w:pPr>
        <w:pStyle w:val="A-z"/>
        <w:rPr>
          <w:color w:val="auto"/>
        </w:rPr>
      </w:pPr>
      <w:r>
        <w:rPr>
          <w:color w:val="auto"/>
        </w:rPr>
        <w:t>在满足生产工艺要求和熟料、水泥产品质量要求的前提下，项目协同处置的废物须已列入</w:t>
      </w:r>
      <w:r>
        <w:rPr>
          <w:rFonts w:hint="eastAsia"/>
          <w:color w:val="auto"/>
        </w:rPr>
        <w:t>3.2.4</w:t>
      </w:r>
      <w:r>
        <w:rPr>
          <w:rFonts w:hint="eastAsia"/>
          <w:color w:val="auto"/>
        </w:rPr>
        <w:t>节预处理危险废物类别中的</w:t>
      </w:r>
      <w:r>
        <w:rPr>
          <w:color w:val="auto"/>
        </w:rPr>
        <w:t>处置类别及处置量一览表，不协同处置</w:t>
      </w:r>
      <w:bookmarkStart w:id="130" w:name="OLE_LINK44"/>
      <w:r>
        <w:rPr>
          <w:color w:val="auto"/>
        </w:rPr>
        <w:t>GB30485-2013</w:t>
      </w:r>
      <w:bookmarkEnd w:id="130"/>
      <w:r>
        <w:rPr>
          <w:color w:val="auto"/>
        </w:rPr>
        <w:t>、</w:t>
      </w:r>
      <w:r>
        <w:rPr>
          <w:color w:val="auto"/>
        </w:rPr>
        <w:t>HJ662-2013</w:t>
      </w:r>
      <w:r>
        <w:rPr>
          <w:color w:val="auto"/>
        </w:rPr>
        <w:t>、</w:t>
      </w:r>
      <w:bookmarkStart w:id="131" w:name="OLE_LINK45"/>
      <w:r>
        <w:rPr>
          <w:color w:val="auto"/>
        </w:rPr>
        <w:t>GB50634-2010</w:t>
      </w:r>
      <w:bookmarkEnd w:id="131"/>
      <w:r>
        <w:rPr>
          <w:color w:val="auto"/>
        </w:rPr>
        <w:t>和</w:t>
      </w:r>
      <w:r>
        <w:rPr>
          <w:color w:val="auto"/>
          <w:spacing w:val="-6"/>
        </w:rPr>
        <w:t>GB/T30760</w:t>
      </w:r>
      <w:r>
        <w:rPr>
          <w:color w:val="auto"/>
        </w:rPr>
        <w:t>-20</w:t>
      </w:r>
      <w:r>
        <w:rPr>
          <w:rFonts w:hint="eastAsia"/>
          <w:color w:val="auto"/>
        </w:rPr>
        <w:t>2</w:t>
      </w:r>
      <w:r>
        <w:rPr>
          <w:color w:val="auto"/>
        </w:rPr>
        <w:t>4</w:t>
      </w:r>
      <w:r>
        <w:rPr>
          <w:color w:val="auto"/>
        </w:rPr>
        <w:t>中禁止入窑的危险废物。入窑废物的理化特性应满足</w:t>
      </w:r>
      <w:r>
        <w:rPr>
          <w:color w:val="auto"/>
        </w:rPr>
        <w:t>GB30485-2013</w:t>
      </w:r>
      <w:r>
        <w:rPr>
          <w:color w:val="auto"/>
        </w:rPr>
        <w:t>、</w:t>
      </w:r>
      <w:r>
        <w:rPr>
          <w:color w:val="auto"/>
        </w:rPr>
        <w:t>HJ662-2013</w:t>
      </w:r>
      <w:r>
        <w:rPr>
          <w:color w:val="auto"/>
        </w:rPr>
        <w:t>、</w:t>
      </w:r>
      <w:r>
        <w:rPr>
          <w:color w:val="auto"/>
        </w:rPr>
        <w:t>GB50634-2010</w:t>
      </w:r>
      <w:r>
        <w:rPr>
          <w:color w:val="auto"/>
        </w:rPr>
        <w:t>和</w:t>
      </w:r>
      <w:r>
        <w:rPr>
          <w:color w:val="auto"/>
          <w:spacing w:val="-6"/>
        </w:rPr>
        <w:t>GB/T30760</w:t>
      </w:r>
      <w:r>
        <w:rPr>
          <w:color w:val="auto"/>
        </w:rPr>
        <w:t>20</w:t>
      </w:r>
      <w:r>
        <w:rPr>
          <w:rFonts w:hint="eastAsia"/>
          <w:color w:val="auto"/>
        </w:rPr>
        <w:t>2</w:t>
      </w:r>
      <w:r>
        <w:rPr>
          <w:color w:val="auto"/>
        </w:rPr>
        <w:t>4</w:t>
      </w:r>
      <w:r>
        <w:rPr>
          <w:color w:val="auto"/>
        </w:rPr>
        <w:t>的要求。</w:t>
      </w:r>
    </w:p>
    <w:p w14:paraId="462F0EF6" w14:textId="77777777" w:rsidR="002E474C" w:rsidRDefault="00000000">
      <w:pPr>
        <w:pStyle w:val="A-z"/>
        <w:rPr>
          <w:color w:val="auto"/>
        </w:rPr>
      </w:pPr>
      <w:r>
        <w:rPr>
          <w:color w:val="auto"/>
        </w:rPr>
        <w:t>（</w:t>
      </w:r>
      <w:r>
        <w:rPr>
          <w:color w:val="auto"/>
        </w:rPr>
        <w:t>2</w:t>
      </w:r>
      <w:r>
        <w:rPr>
          <w:color w:val="auto"/>
        </w:rPr>
        <w:t>）危险废物的准入评估</w:t>
      </w:r>
    </w:p>
    <w:p w14:paraId="165DBE13" w14:textId="77777777" w:rsidR="002E474C" w:rsidRDefault="00000000">
      <w:pPr>
        <w:pStyle w:val="A-z"/>
        <w:rPr>
          <w:color w:val="auto"/>
        </w:rPr>
      </w:pPr>
      <w:r>
        <w:rPr>
          <w:color w:val="auto"/>
        </w:rPr>
        <w:t>1</w:t>
      </w:r>
      <w:r>
        <w:rPr>
          <w:color w:val="auto"/>
        </w:rPr>
        <w:t>）为保证协同处置过程不影响水泥生产过程和操作安全，确保烟气排放达标，在吉木萨尔协同处置项目与危险废物产生企业签订协同处置合同及固体废物运输到</w:t>
      </w:r>
      <w:r>
        <w:rPr>
          <w:rFonts w:hint="eastAsia"/>
          <w:color w:val="auto"/>
        </w:rPr>
        <w:t>预处理中心</w:t>
      </w:r>
      <w:r>
        <w:rPr>
          <w:color w:val="auto"/>
        </w:rPr>
        <w:t>之前，</w:t>
      </w:r>
      <w:r>
        <w:rPr>
          <w:rFonts w:hint="eastAsia"/>
          <w:color w:val="auto"/>
        </w:rPr>
        <w:t>预处理中心</w:t>
      </w:r>
      <w:r>
        <w:rPr>
          <w:color w:val="auto"/>
        </w:rPr>
        <w:t>应对拟协同处置的危险废物进行取样及特性分析。</w:t>
      </w:r>
    </w:p>
    <w:p w14:paraId="2551960D" w14:textId="77777777" w:rsidR="002E474C" w:rsidRDefault="00000000">
      <w:pPr>
        <w:pStyle w:val="A-z"/>
        <w:rPr>
          <w:color w:val="auto"/>
        </w:rPr>
      </w:pPr>
      <w:r>
        <w:rPr>
          <w:color w:val="auto"/>
        </w:rPr>
        <w:t>2</w:t>
      </w:r>
      <w:r>
        <w:rPr>
          <w:color w:val="auto"/>
        </w:rPr>
        <w:t>）在对拟协同处置的危险废物进行取样和特性分析前，</w:t>
      </w:r>
      <w:r>
        <w:rPr>
          <w:rFonts w:hint="eastAsia"/>
          <w:color w:val="auto"/>
        </w:rPr>
        <w:t>预处理中心</w:t>
      </w:r>
      <w:r>
        <w:rPr>
          <w:color w:val="auto"/>
        </w:rPr>
        <w:t>应该对危险废物产生过程进行调查分析，在此基础上制定取样分析方案；样品采集完成后，针对</w:t>
      </w:r>
      <w:r>
        <w:rPr>
          <w:color w:val="auto"/>
        </w:rPr>
        <w:t>HJ662-2013</w:t>
      </w:r>
      <w:r>
        <w:rPr>
          <w:rFonts w:hint="eastAsia"/>
          <w:color w:val="auto"/>
        </w:rPr>
        <w:t>第</w:t>
      </w:r>
      <w:r>
        <w:rPr>
          <w:rFonts w:hint="eastAsia"/>
          <w:color w:val="auto"/>
        </w:rPr>
        <w:t>5</w:t>
      </w:r>
      <w:r>
        <w:rPr>
          <w:rFonts w:hint="eastAsia"/>
          <w:color w:val="auto"/>
        </w:rPr>
        <w:t>章</w:t>
      </w:r>
      <w:r>
        <w:rPr>
          <w:color w:val="auto"/>
        </w:rPr>
        <w:t>要求的项目以及确保运输、贮存和协同处置全过程</w:t>
      </w:r>
      <w:r>
        <w:rPr>
          <w:color w:val="auto"/>
        </w:rPr>
        <w:lastRenderedPageBreak/>
        <w:t>安全、水泥生产安全、烟气排放和水泥产品治理满足标准所要求的项目，开展分析测试。危险废物特性经双方确认后在协同处置合同中注明。取样频率和取样方法参照</w:t>
      </w:r>
      <w:r>
        <w:rPr>
          <w:color w:val="auto"/>
        </w:rPr>
        <w:t>HJ/T20</w:t>
      </w:r>
      <w:r>
        <w:rPr>
          <w:color w:val="auto"/>
        </w:rPr>
        <w:t>和</w:t>
      </w:r>
      <w:r>
        <w:rPr>
          <w:color w:val="auto"/>
        </w:rPr>
        <w:t>HJ/T298</w:t>
      </w:r>
      <w:r>
        <w:rPr>
          <w:color w:val="auto"/>
        </w:rPr>
        <w:t>要求执行。</w:t>
      </w:r>
    </w:p>
    <w:p w14:paraId="45F63E93" w14:textId="77777777" w:rsidR="002E474C" w:rsidRDefault="00000000">
      <w:pPr>
        <w:pStyle w:val="A-z"/>
        <w:rPr>
          <w:color w:val="auto"/>
        </w:rPr>
      </w:pPr>
      <w:r>
        <w:rPr>
          <w:color w:val="auto"/>
        </w:rPr>
        <w:t>3</w:t>
      </w:r>
      <w:r>
        <w:rPr>
          <w:color w:val="auto"/>
        </w:rPr>
        <w:t>）在完成样品分析测试以后，根据下列要求对危险废物是否可以进厂协同处置进行判断。</w:t>
      </w:r>
    </w:p>
    <w:p w14:paraId="12CB5CAE" w14:textId="77777777" w:rsidR="002E474C" w:rsidRDefault="00000000">
      <w:pPr>
        <w:pStyle w:val="A-z"/>
        <w:rPr>
          <w:color w:val="auto"/>
        </w:rPr>
      </w:pPr>
      <w:r>
        <w:rPr>
          <w:color w:val="auto"/>
        </w:rPr>
        <w:t>①</w:t>
      </w:r>
      <w:r>
        <w:rPr>
          <w:color w:val="auto"/>
        </w:rPr>
        <w:t>该类危险废物不属于禁止进入水泥窑协同处置的废物类别，危险废物类别符合危险经营许可证规定的类别要求，满足国家和当地的相关法律和法规。</w:t>
      </w:r>
    </w:p>
    <w:p w14:paraId="1EAF396F" w14:textId="77777777" w:rsidR="002E474C" w:rsidRDefault="00000000">
      <w:pPr>
        <w:pStyle w:val="A-z"/>
        <w:rPr>
          <w:color w:val="auto"/>
        </w:rPr>
      </w:pPr>
      <w:r>
        <w:rPr>
          <w:color w:val="auto"/>
        </w:rPr>
        <w:t>②</w:t>
      </w:r>
      <w:r>
        <w:rPr>
          <w:rFonts w:hint="eastAsia"/>
          <w:color w:val="auto"/>
        </w:rPr>
        <w:t>预处理中心</w:t>
      </w:r>
      <w:r>
        <w:rPr>
          <w:color w:val="auto"/>
        </w:rPr>
        <w:t>具有协同处置该类危险废物的能力，协同处置过程中的人员健康和环境安全风险能够得到有效控制。</w:t>
      </w:r>
    </w:p>
    <w:p w14:paraId="433B0FF8" w14:textId="77777777" w:rsidR="002E474C" w:rsidRDefault="00000000">
      <w:pPr>
        <w:pStyle w:val="A-z"/>
        <w:rPr>
          <w:color w:val="auto"/>
        </w:rPr>
      </w:pPr>
      <w:r>
        <w:rPr>
          <w:color w:val="auto"/>
        </w:rPr>
        <w:t>③</w:t>
      </w:r>
      <w:r>
        <w:rPr>
          <w:color w:val="auto"/>
        </w:rPr>
        <w:t>该类危险废物的协同处置不会对水泥的稳定生产、烟气排放、水泥产品</w:t>
      </w:r>
      <w:r>
        <w:rPr>
          <w:rFonts w:hint="eastAsia"/>
          <w:color w:val="auto"/>
        </w:rPr>
        <w:t>质量</w:t>
      </w:r>
      <w:r>
        <w:rPr>
          <w:color w:val="auto"/>
        </w:rPr>
        <w:t>产生不利影响。</w:t>
      </w:r>
    </w:p>
    <w:p w14:paraId="4BE08338" w14:textId="77777777" w:rsidR="002E474C" w:rsidRDefault="00000000">
      <w:pPr>
        <w:pStyle w:val="A-z"/>
        <w:rPr>
          <w:color w:val="auto"/>
        </w:rPr>
      </w:pPr>
      <w:r>
        <w:rPr>
          <w:color w:val="auto"/>
        </w:rPr>
        <w:t>4</w:t>
      </w:r>
      <w:r>
        <w:rPr>
          <w:color w:val="auto"/>
        </w:rPr>
        <w:t>）对于同一产废单位同一生产工艺产生的不同批次危险废物，在生产工艺操作参数未改变的前提下，可以仅对首批次危险废物进行采样分析，其后产生的危险废物采样分析在制定处置方案时进行。</w:t>
      </w:r>
    </w:p>
    <w:p w14:paraId="7F16EB48" w14:textId="77777777" w:rsidR="002E474C" w:rsidRDefault="00000000">
      <w:pPr>
        <w:pStyle w:val="A-z"/>
        <w:rPr>
          <w:color w:val="auto"/>
        </w:rPr>
      </w:pPr>
      <w:r>
        <w:rPr>
          <w:color w:val="auto"/>
        </w:rPr>
        <w:t>5</w:t>
      </w:r>
      <w:r>
        <w:rPr>
          <w:color w:val="auto"/>
        </w:rPr>
        <w:t>）对入厂前危险废物采集分析的样品，经双方确认后封装保存，用于</w:t>
      </w:r>
      <w:r>
        <w:rPr>
          <w:rFonts w:hint="eastAsia"/>
          <w:color w:val="auto"/>
        </w:rPr>
        <w:t>后期</w:t>
      </w:r>
      <w:r>
        <w:rPr>
          <w:color w:val="auto"/>
        </w:rPr>
        <w:t>事故和纠纷的调查。备份样品应该保存到停止协同处置该种危险废物之后。如果在保存期间备份样品的特性发生变化，应更换备份样品，保证备份样品特性与所协同处置危险废物特性一致。</w:t>
      </w:r>
    </w:p>
    <w:p w14:paraId="2D4D3799" w14:textId="77777777" w:rsidR="002E474C" w:rsidRDefault="00000000">
      <w:pPr>
        <w:pStyle w:val="A-z"/>
        <w:rPr>
          <w:color w:val="auto"/>
        </w:rPr>
      </w:pPr>
      <w:r>
        <w:rPr>
          <w:color w:val="auto"/>
        </w:rPr>
        <w:t>（</w:t>
      </w:r>
      <w:r>
        <w:rPr>
          <w:color w:val="auto"/>
        </w:rPr>
        <w:t>3</w:t>
      </w:r>
      <w:r>
        <w:rPr>
          <w:color w:val="auto"/>
        </w:rPr>
        <w:t>）配伍方案设计</w:t>
      </w:r>
    </w:p>
    <w:p w14:paraId="065AA79A" w14:textId="77777777" w:rsidR="002E474C" w:rsidRDefault="00000000">
      <w:pPr>
        <w:pStyle w:val="A-z"/>
        <w:rPr>
          <w:color w:val="auto"/>
        </w:rPr>
      </w:pPr>
      <w:r>
        <w:rPr>
          <w:color w:val="auto"/>
        </w:rPr>
        <w:t>1</w:t>
      </w:r>
      <w:r>
        <w:rPr>
          <w:color w:val="auto"/>
        </w:rPr>
        <w:t>）保持水泥窑内焚烧的持续性、稳定性</w:t>
      </w:r>
    </w:p>
    <w:p w14:paraId="5EDC6934" w14:textId="77777777" w:rsidR="002E474C" w:rsidRDefault="00000000">
      <w:pPr>
        <w:pStyle w:val="A-z"/>
        <w:rPr>
          <w:color w:val="auto"/>
        </w:rPr>
      </w:pPr>
      <w:r>
        <w:rPr>
          <w:color w:val="auto"/>
        </w:rPr>
        <w:t>对危险废物成分、热值进行搭配，保证成分均匀，热值稳定，从而保障水泥窑内持续稳定的燃烧。</w:t>
      </w:r>
    </w:p>
    <w:p w14:paraId="48BCDAD0" w14:textId="77777777" w:rsidR="002E474C" w:rsidRDefault="00000000">
      <w:pPr>
        <w:pStyle w:val="A-z"/>
        <w:rPr>
          <w:color w:val="auto"/>
        </w:rPr>
      </w:pPr>
      <w:r>
        <w:rPr>
          <w:color w:val="auto"/>
        </w:rPr>
        <w:t>2</w:t>
      </w:r>
      <w:r>
        <w:rPr>
          <w:color w:val="auto"/>
        </w:rPr>
        <w:t>）控制重金属、氯、硫、碱的含量</w:t>
      </w:r>
    </w:p>
    <w:p w14:paraId="10233F1F" w14:textId="77777777" w:rsidR="002E474C" w:rsidRDefault="00000000">
      <w:pPr>
        <w:pStyle w:val="A-z"/>
        <w:rPr>
          <w:color w:val="auto"/>
        </w:rPr>
      </w:pPr>
      <w:r>
        <w:rPr>
          <w:color w:val="auto"/>
        </w:rPr>
        <w:t>结合考虑水泥原料、燃煤、协同处置危险废物对水泥窑工况的影响，控制危险废物中重金属、氯、硫、碱元素含量投加速率，保障水泥产品符合《水泥窑协同处置固体废物技术规范》（</w:t>
      </w:r>
      <w:bookmarkStart w:id="132" w:name="OLE_LINK47"/>
      <w:r>
        <w:rPr>
          <w:color w:val="auto"/>
        </w:rPr>
        <w:t>GB/T30760-20</w:t>
      </w:r>
      <w:r>
        <w:rPr>
          <w:rFonts w:hint="eastAsia"/>
          <w:color w:val="auto"/>
        </w:rPr>
        <w:t>2</w:t>
      </w:r>
      <w:r>
        <w:rPr>
          <w:color w:val="auto"/>
        </w:rPr>
        <w:t>4</w:t>
      </w:r>
      <w:bookmarkEnd w:id="132"/>
      <w:r>
        <w:rPr>
          <w:color w:val="auto"/>
        </w:rPr>
        <w:t>）要求。</w:t>
      </w:r>
    </w:p>
    <w:p w14:paraId="33394EC5" w14:textId="77777777" w:rsidR="002E474C" w:rsidRDefault="00000000">
      <w:pPr>
        <w:pStyle w:val="A-z"/>
        <w:rPr>
          <w:color w:val="auto"/>
        </w:rPr>
      </w:pPr>
      <w:r>
        <w:rPr>
          <w:color w:val="auto"/>
        </w:rPr>
        <w:t>3</w:t>
      </w:r>
      <w:r>
        <w:rPr>
          <w:color w:val="auto"/>
        </w:rPr>
        <w:t>）排放控制达标</w:t>
      </w:r>
    </w:p>
    <w:p w14:paraId="388FB27C" w14:textId="77777777" w:rsidR="002E474C" w:rsidRDefault="00000000">
      <w:pPr>
        <w:pStyle w:val="A-z"/>
        <w:rPr>
          <w:color w:val="auto"/>
        </w:rPr>
      </w:pPr>
      <w:r>
        <w:rPr>
          <w:color w:val="auto"/>
        </w:rPr>
        <w:t>合理配伍，适量投加，保障窑尾氮氧化物、氯化氢、氟化氢和重金属的排放满足《水泥工业大气污染物排放标准》（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）要求。</w:t>
      </w:r>
    </w:p>
    <w:p w14:paraId="7BBF0D7E" w14:textId="77777777" w:rsidR="002E474C" w:rsidRDefault="00000000">
      <w:pPr>
        <w:pStyle w:val="A-z"/>
        <w:rPr>
          <w:color w:val="auto"/>
        </w:rPr>
      </w:pPr>
      <w:r>
        <w:rPr>
          <w:color w:val="auto"/>
        </w:rPr>
        <w:lastRenderedPageBreak/>
        <w:t>4</w:t>
      </w:r>
      <w:r>
        <w:rPr>
          <w:color w:val="auto"/>
        </w:rPr>
        <w:t>）保障安全生产</w:t>
      </w:r>
    </w:p>
    <w:p w14:paraId="6B75A1CB" w14:textId="77777777" w:rsidR="002E474C" w:rsidRDefault="00000000">
      <w:pPr>
        <w:pStyle w:val="A-z"/>
        <w:rPr>
          <w:color w:val="auto"/>
        </w:rPr>
      </w:pPr>
      <w:r>
        <w:rPr>
          <w:color w:val="auto"/>
        </w:rPr>
        <w:t>危险废物处置的全过程中，不仅要保证处置设施的安全，还要保障人身安全。根据分析、实验结果，科学搭配焚烧处置的危险废物，使得一些易混合发生反应的、爆炸的、高腐蚀性的得到预处理，另外必须保证危险废物与容器和料仓之间的相容性、安全性。</w:t>
      </w:r>
    </w:p>
    <w:p w14:paraId="1ACCCEE0" w14:textId="77777777" w:rsidR="002E474C" w:rsidRDefault="00000000">
      <w:pPr>
        <w:pStyle w:val="41"/>
        <w:rPr>
          <w:color w:val="auto"/>
        </w:rPr>
      </w:pPr>
      <w:r>
        <w:rPr>
          <w:color w:val="auto"/>
          <w:lang w:val="en-US"/>
        </w:rPr>
        <w:t>危险废物接收</w:t>
      </w:r>
    </w:p>
    <w:p w14:paraId="3E293108" w14:textId="77777777" w:rsidR="002E474C" w:rsidRDefault="00000000">
      <w:pPr>
        <w:pStyle w:val="A-z"/>
        <w:rPr>
          <w:color w:val="auto"/>
        </w:rPr>
      </w:pPr>
      <w:r>
        <w:rPr>
          <w:color w:val="auto"/>
        </w:rPr>
        <w:t>（</w:t>
      </w:r>
      <w:r>
        <w:rPr>
          <w:color w:val="auto"/>
        </w:rPr>
        <w:t>1</w:t>
      </w:r>
      <w:r>
        <w:rPr>
          <w:color w:val="auto"/>
        </w:rPr>
        <w:t>）入厂时危险废物的检查</w:t>
      </w:r>
    </w:p>
    <w:p w14:paraId="4D4AC896" w14:textId="77777777" w:rsidR="002E474C" w:rsidRDefault="00000000">
      <w:pPr>
        <w:pStyle w:val="A-z"/>
        <w:rPr>
          <w:color w:val="auto"/>
        </w:rPr>
      </w:pPr>
      <w:r>
        <w:rPr>
          <w:color w:val="auto"/>
        </w:rPr>
        <w:t>1</w:t>
      </w:r>
      <w:r>
        <w:rPr>
          <w:color w:val="auto"/>
        </w:rPr>
        <w:t>）在危险废物进</w:t>
      </w:r>
      <w:r>
        <w:rPr>
          <w:rFonts w:hint="eastAsia"/>
          <w:color w:val="auto"/>
        </w:rPr>
        <w:t>入预处理中心时</w:t>
      </w:r>
      <w:r>
        <w:rPr>
          <w:color w:val="auto"/>
        </w:rPr>
        <w:t>，首先通过表观和气味，初步判断入厂危险废物是否与签订的合同标注的危险废物类别一致，并对危险废物进行称重，确认符合签订的合同。</w:t>
      </w:r>
    </w:p>
    <w:p w14:paraId="48FE03AD" w14:textId="77777777" w:rsidR="002E474C" w:rsidRDefault="00000000">
      <w:pPr>
        <w:pStyle w:val="A-z"/>
        <w:rPr>
          <w:color w:val="auto"/>
        </w:rPr>
      </w:pPr>
      <w:r>
        <w:rPr>
          <w:color w:val="auto"/>
        </w:rPr>
        <w:t>2</w:t>
      </w:r>
      <w:r>
        <w:rPr>
          <w:color w:val="auto"/>
        </w:rPr>
        <w:t>）对于危险废物，</w:t>
      </w:r>
      <w:r>
        <w:rPr>
          <w:rFonts w:hint="eastAsia"/>
          <w:color w:val="auto"/>
        </w:rPr>
        <w:t>预处理中心</w:t>
      </w:r>
      <w:r>
        <w:rPr>
          <w:color w:val="auto"/>
        </w:rPr>
        <w:t>还应进行下列各项的检查：</w:t>
      </w:r>
    </w:p>
    <w:p w14:paraId="53DFCDE0" w14:textId="77777777" w:rsidR="002E474C" w:rsidRDefault="00000000">
      <w:pPr>
        <w:pStyle w:val="A-z"/>
        <w:rPr>
          <w:color w:val="auto"/>
        </w:rPr>
      </w:pPr>
      <w:r>
        <w:rPr>
          <w:color w:val="auto"/>
        </w:rPr>
        <w:t>①</w:t>
      </w:r>
      <w:r>
        <w:rPr>
          <w:color w:val="auto"/>
        </w:rPr>
        <w:t>检查危险废物标签是否符合要求，所标注内容应与《危险废物转移联单》和签订的合同一致。</w:t>
      </w:r>
    </w:p>
    <w:p w14:paraId="4BE9F5E6" w14:textId="77777777" w:rsidR="002E474C" w:rsidRDefault="00000000">
      <w:pPr>
        <w:pStyle w:val="A-z"/>
        <w:rPr>
          <w:color w:val="auto"/>
        </w:rPr>
      </w:pPr>
      <w:r>
        <w:rPr>
          <w:color w:val="auto"/>
        </w:rPr>
        <w:t>②</w:t>
      </w:r>
      <w:r>
        <w:rPr>
          <w:color w:val="auto"/>
          <w:spacing w:val="-4"/>
        </w:rPr>
        <w:t>通过表观和气味初步判断的危险废物类别是否与《危险废物转移联单》一致</w:t>
      </w:r>
      <w:r>
        <w:rPr>
          <w:color w:val="auto"/>
        </w:rPr>
        <w:t>。</w:t>
      </w:r>
    </w:p>
    <w:p w14:paraId="698B4521" w14:textId="77777777" w:rsidR="002E474C" w:rsidRDefault="00000000">
      <w:pPr>
        <w:pStyle w:val="A-z"/>
        <w:rPr>
          <w:color w:val="auto"/>
        </w:rPr>
      </w:pPr>
      <w:r>
        <w:rPr>
          <w:color w:val="auto"/>
        </w:rPr>
        <w:t>③</w:t>
      </w:r>
      <w:r>
        <w:rPr>
          <w:color w:val="auto"/>
        </w:rPr>
        <w:t>对危险废物进行称重的重量是否与《危险废物转移联单》一致。</w:t>
      </w:r>
    </w:p>
    <w:p w14:paraId="1EE7F542" w14:textId="77777777" w:rsidR="002E474C" w:rsidRDefault="00000000">
      <w:pPr>
        <w:pStyle w:val="A-z"/>
        <w:rPr>
          <w:color w:val="auto"/>
        </w:rPr>
      </w:pPr>
      <w:r>
        <w:rPr>
          <w:color w:val="auto"/>
        </w:rPr>
        <w:t>④</w:t>
      </w:r>
      <w:r>
        <w:rPr>
          <w:color w:val="auto"/>
        </w:rPr>
        <w:t>检查危险废物包装是否符合要求，应无破碎和泄漏现象。</w:t>
      </w:r>
    </w:p>
    <w:p w14:paraId="43B89887" w14:textId="77777777" w:rsidR="002E474C" w:rsidRDefault="00000000">
      <w:pPr>
        <w:pStyle w:val="A-z"/>
        <w:rPr>
          <w:color w:val="auto"/>
        </w:rPr>
      </w:pPr>
      <w:r>
        <w:rPr>
          <w:color w:val="auto"/>
        </w:rPr>
        <w:t>⑤</w:t>
      </w:r>
      <w:r>
        <w:rPr>
          <w:color w:val="auto"/>
        </w:rPr>
        <w:t>必要时，进行放射性检验。</w:t>
      </w:r>
    </w:p>
    <w:p w14:paraId="1BC04BB0" w14:textId="77777777" w:rsidR="002E474C" w:rsidRDefault="00000000">
      <w:pPr>
        <w:pStyle w:val="A-z"/>
        <w:ind w:firstLine="448"/>
        <w:rPr>
          <w:color w:val="auto"/>
        </w:rPr>
      </w:pPr>
      <w:r>
        <w:rPr>
          <w:color w:val="auto"/>
          <w:spacing w:val="-8"/>
        </w:rPr>
        <w:t>在完成上述检查并确认符合各项要求</w:t>
      </w:r>
      <w:r>
        <w:rPr>
          <w:rFonts w:hint="eastAsia"/>
          <w:color w:val="auto"/>
          <w:spacing w:val="-8"/>
        </w:rPr>
        <w:t>后</w:t>
      </w:r>
      <w:r>
        <w:rPr>
          <w:color w:val="auto"/>
          <w:spacing w:val="-8"/>
        </w:rPr>
        <w:t>，</w:t>
      </w:r>
      <w:r>
        <w:rPr>
          <w:color w:val="auto"/>
        </w:rPr>
        <w:t>危险</w:t>
      </w:r>
      <w:r>
        <w:rPr>
          <w:color w:val="auto"/>
          <w:spacing w:val="-8"/>
        </w:rPr>
        <w:t>废物方可进入</w:t>
      </w:r>
      <w:r>
        <w:rPr>
          <w:rFonts w:hint="eastAsia"/>
          <w:color w:val="auto"/>
        </w:rPr>
        <w:t>预处理中心</w:t>
      </w:r>
      <w:r>
        <w:rPr>
          <w:color w:val="auto"/>
          <w:spacing w:val="-8"/>
        </w:rPr>
        <w:t>危废联合贮存库或预处理车间</w:t>
      </w:r>
      <w:r>
        <w:rPr>
          <w:color w:val="auto"/>
        </w:rPr>
        <w:t>。</w:t>
      </w:r>
    </w:p>
    <w:p w14:paraId="3B244DD8" w14:textId="77777777" w:rsidR="002E474C" w:rsidRDefault="00000000">
      <w:pPr>
        <w:pStyle w:val="A-z"/>
        <w:rPr>
          <w:color w:val="auto"/>
        </w:rPr>
      </w:pPr>
      <w:r>
        <w:rPr>
          <w:color w:val="auto"/>
        </w:rPr>
        <w:t>3</w:t>
      </w:r>
      <w:r>
        <w:rPr>
          <w:color w:val="auto"/>
        </w:rPr>
        <w:t>）</w:t>
      </w:r>
      <w:r>
        <w:rPr>
          <w:color w:val="auto"/>
          <w:spacing w:val="-2"/>
        </w:rPr>
        <w:t>在按照</w:t>
      </w:r>
      <w:r>
        <w:rPr>
          <w:color w:val="auto"/>
          <w:spacing w:val="-2"/>
        </w:rPr>
        <w:t>1</w:t>
      </w:r>
      <w:r>
        <w:rPr>
          <w:color w:val="auto"/>
          <w:spacing w:val="-2"/>
        </w:rPr>
        <w:t>）和</w:t>
      </w:r>
      <w:r>
        <w:rPr>
          <w:color w:val="auto"/>
          <w:spacing w:val="-2"/>
        </w:rPr>
        <w:t>2</w:t>
      </w:r>
      <w:r>
        <w:rPr>
          <w:color w:val="auto"/>
          <w:spacing w:val="-2"/>
        </w:rPr>
        <w:t>）的规定进行检查后，如果拟入厂</w:t>
      </w:r>
      <w:r>
        <w:rPr>
          <w:color w:val="auto"/>
        </w:rPr>
        <w:t>危险</w:t>
      </w:r>
      <w:r>
        <w:rPr>
          <w:color w:val="auto"/>
          <w:spacing w:val="-2"/>
        </w:rPr>
        <w:t>废物与转移联单或所签订合同的标注的废物类别不一致，或者危险废物包装发生破损或泄漏，应立即与</w:t>
      </w:r>
      <w:r>
        <w:rPr>
          <w:color w:val="auto"/>
        </w:rPr>
        <w:t>危险</w:t>
      </w:r>
      <w:r>
        <w:rPr>
          <w:color w:val="auto"/>
          <w:spacing w:val="-2"/>
        </w:rPr>
        <w:t>废物产生单位、运输单位和运输责任人联系，共同进行现场判断。拟入厂危险废物与《危险废物转移联单》不一致时还应及时向昌吉州生态环境局吉木萨尔县分局报告</w:t>
      </w:r>
      <w:r>
        <w:rPr>
          <w:color w:val="auto"/>
        </w:rPr>
        <w:t>。</w:t>
      </w:r>
    </w:p>
    <w:p w14:paraId="7ACB2611" w14:textId="77777777" w:rsidR="002E474C" w:rsidRDefault="00000000">
      <w:pPr>
        <w:pStyle w:val="A-z"/>
        <w:rPr>
          <w:color w:val="auto"/>
        </w:rPr>
      </w:pPr>
      <w:r>
        <w:rPr>
          <w:color w:val="auto"/>
        </w:rPr>
        <w:t>如果确定协同处置企业无法处置该批次危险废物，应立即向吉木萨尔县生态环境局报告，并退回到危险废物产生单位，或送至有关主管部门指定的专业处置单位。必要时应通知吉木萨尔县公安局和应急管理局。</w:t>
      </w:r>
    </w:p>
    <w:p w14:paraId="5E8048C5" w14:textId="77777777" w:rsidR="002E474C" w:rsidRDefault="00000000">
      <w:pPr>
        <w:pStyle w:val="A-z"/>
        <w:rPr>
          <w:color w:val="auto"/>
        </w:rPr>
      </w:pPr>
      <w:r>
        <w:rPr>
          <w:color w:val="auto"/>
        </w:rPr>
        <w:t>（</w:t>
      </w:r>
      <w:r>
        <w:rPr>
          <w:color w:val="auto"/>
        </w:rPr>
        <w:t>2</w:t>
      </w:r>
      <w:r>
        <w:rPr>
          <w:color w:val="auto"/>
        </w:rPr>
        <w:t>）入厂后危险废物的检验</w:t>
      </w:r>
    </w:p>
    <w:p w14:paraId="7A748B4C" w14:textId="77777777" w:rsidR="002E474C" w:rsidRDefault="00000000">
      <w:pPr>
        <w:pStyle w:val="A-z"/>
        <w:rPr>
          <w:color w:val="auto"/>
        </w:rPr>
      </w:pPr>
      <w:r>
        <w:rPr>
          <w:color w:val="auto"/>
        </w:rPr>
        <w:t>1</w:t>
      </w:r>
      <w:r>
        <w:rPr>
          <w:color w:val="auto"/>
        </w:rPr>
        <w:t>）危险废物入厂后应及时进行取样分析，以判断危险废物特性是否与合同</w:t>
      </w:r>
      <w:r>
        <w:rPr>
          <w:color w:val="auto"/>
        </w:rPr>
        <w:lastRenderedPageBreak/>
        <w:t>注明的危险废物特性一致。如果发现危险废物特性与合同注明的危险废物特性不一致，应参照上述第（</w:t>
      </w:r>
      <w:r>
        <w:rPr>
          <w:color w:val="auto"/>
        </w:rPr>
        <w:t>3</w:t>
      </w:r>
      <w:r>
        <w:rPr>
          <w:color w:val="auto"/>
        </w:rPr>
        <w:t>）条的规定进行处理。</w:t>
      </w:r>
    </w:p>
    <w:p w14:paraId="6410EBBA" w14:textId="77777777" w:rsidR="002E474C" w:rsidRDefault="00000000">
      <w:pPr>
        <w:pStyle w:val="A-z"/>
        <w:rPr>
          <w:color w:val="auto"/>
          <w:spacing w:val="-4"/>
        </w:rPr>
      </w:pPr>
      <w:r>
        <w:rPr>
          <w:color w:val="auto"/>
        </w:rPr>
        <w:t>2</w:t>
      </w:r>
      <w:r>
        <w:rPr>
          <w:color w:val="auto"/>
        </w:rPr>
        <w:t>）协同处置企业应对各个产废单位的相关信息进行定期的统计分析，评估其管理的能力和危险废物的稳定性，并根据评估情况适当减少检验频次。</w:t>
      </w:r>
    </w:p>
    <w:p w14:paraId="783027FE" w14:textId="77777777" w:rsidR="002E474C" w:rsidRDefault="00000000">
      <w:pPr>
        <w:pStyle w:val="A-z"/>
        <w:rPr>
          <w:color w:val="auto"/>
        </w:rPr>
      </w:pPr>
      <w:r>
        <w:rPr>
          <w:color w:val="auto"/>
        </w:rPr>
        <w:t>（</w:t>
      </w:r>
      <w:r>
        <w:rPr>
          <w:color w:val="auto"/>
        </w:rPr>
        <w:t>3</w:t>
      </w:r>
      <w:r>
        <w:rPr>
          <w:color w:val="auto"/>
        </w:rPr>
        <w:t>）制定协同处置方案</w:t>
      </w:r>
    </w:p>
    <w:p w14:paraId="6A7B2AEA" w14:textId="77777777" w:rsidR="002E474C" w:rsidRDefault="00000000">
      <w:pPr>
        <w:pStyle w:val="A-z"/>
        <w:ind w:firstLine="464"/>
        <w:rPr>
          <w:color w:val="auto"/>
          <w:spacing w:val="-4"/>
        </w:rPr>
      </w:pPr>
      <w:r>
        <w:rPr>
          <w:color w:val="auto"/>
          <w:spacing w:val="-4"/>
        </w:rPr>
        <w:t>1</w:t>
      </w:r>
      <w:r>
        <w:rPr>
          <w:color w:val="auto"/>
          <w:spacing w:val="-4"/>
        </w:rPr>
        <w:t>）以</w:t>
      </w:r>
      <w:r>
        <w:rPr>
          <w:color w:val="auto"/>
        </w:rPr>
        <w:t>危险</w:t>
      </w:r>
      <w:r>
        <w:rPr>
          <w:color w:val="auto"/>
          <w:spacing w:val="-4"/>
        </w:rPr>
        <w:t>废物入厂后的分析检测结果为依据，制定</w:t>
      </w:r>
      <w:r>
        <w:rPr>
          <w:color w:val="auto"/>
        </w:rPr>
        <w:t>危险</w:t>
      </w:r>
      <w:r>
        <w:rPr>
          <w:color w:val="auto"/>
          <w:spacing w:val="-4"/>
        </w:rPr>
        <w:t>废物协同处置方案。</w:t>
      </w:r>
      <w:r>
        <w:rPr>
          <w:color w:val="auto"/>
        </w:rPr>
        <w:t>危险</w:t>
      </w:r>
      <w:r>
        <w:rPr>
          <w:color w:val="auto"/>
          <w:spacing w:val="-4"/>
        </w:rPr>
        <w:t>废物协同处置方案应包括</w:t>
      </w:r>
      <w:r>
        <w:rPr>
          <w:color w:val="auto"/>
        </w:rPr>
        <w:t>危险</w:t>
      </w:r>
      <w:r>
        <w:rPr>
          <w:color w:val="auto"/>
          <w:spacing w:val="-4"/>
        </w:rPr>
        <w:t>废物贮存、输送、预处理和入窑协同处置技术流程、配伍和技术参数，以及安全风险和相应的安全操作提示。</w:t>
      </w:r>
    </w:p>
    <w:p w14:paraId="122A45BA" w14:textId="77777777" w:rsidR="002E474C" w:rsidRDefault="00000000">
      <w:pPr>
        <w:pStyle w:val="A-z"/>
        <w:ind w:firstLine="464"/>
        <w:rPr>
          <w:color w:val="auto"/>
          <w:spacing w:val="-4"/>
        </w:rPr>
      </w:pPr>
      <w:r>
        <w:rPr>
          <w:color w:val="auto"/>
          <w:spacing w:val="-4"/>
        </w:rPr>
        <w:t>2</w:t>
      </w:r>
      <w:r>
        <w:rPr>
          <w:color w:val="auto"/>
          <w:spacing w:val="-4"/>
        </w:rPr>
        <w:t>）制定协同处置方案时应注意以下关键环节：</w:t>
      </w:r>
    </w:p>
    <w:p w14:paraId="7AC1A790" w14:textId="77777777" w:rsidR="002E474C" w:rsidRDefault="00000000">
      <w:pPr>
        <w:pStyle w:val="A-z"/>
        <w:ind w:firstLine="464"/>
        <w:rPr>
          <w:color w:val="auto"/>
          <w:spacing w:val="-4"/>
        </w:rPr>
      </w:pPr>
      <w:r>
        <w:rPr>
          <w:color w:val="auto"/>
          <w:spacing w:val="-4"/>
        </w:rPr>
        <w:t>①</w:t>
      </w:r>
      <w:r>
        <w:rPr>
          <w:color w:val="auto"/>
          <w:spacing w:val="-4"/>
        </w:rPr>
        <w:t>按</w:t>
      </w:r>
      <w:r>
        <w:rPr>
          <w:color w:val="auto"/>
        </w:rPr>
        <w:t>危险</w:t>
      </w:r>
      <w:r>
        <w:rPr>
          <w:color w:val="auto"/>
          <w:spacing w:val="-4"/>
        </w:rPr>
        <w:t>废物特性进行分类，不同</w:t>
      </w:r>
      <w:r>
        <w:rPr>
          <w:color w:val="auto"/>
        </w:rPr>
        <w:t>危险</w:t>
      </w:r>
      <w:r>
        <w:rPr>
          <w:color w:val="auto"/>
          <w:spacing w:val="-4"/>
        </w:rPr>
        <w:t>废物在预处理的混合、搅拌过程中，确保不发生导致急剧增温、爆炸、燃烧的化学反应，不产生有害气体，禁止将不相容的</w:t>
      </w:r>
      <w:r>
        <w:rPr>
          <w:color w:val="auto"/>
        </w:rPr>
        <w:t>危险</w:t>
      </w:r>
      <w:r>
        <w:rPr>
          <w:color w:val="auto"/>
          <w:spacing w:val="-4"/>
        </w:rPr>
        <w:t>废物进行混合。</w:t>
      </w:r>
    </w:p>
    <w:p w14:paraId="72464BF3" w14:textId="77777777" w:rsidR="002E474C" w:rsidRDefault="00000000">
      <w:pPr>
        <w:pStyle w:val="A-z"/>
        <w:ind w:firstLine="464"/>
        <w:rPr>
          <w:color w:val="auto"/>
          <w:spacing w:val="-4"/>
        </w:rPr>
      </w:pPr>
      <w:r>
        <w:rPr>
          <w:color w:val="auto"/>
          <w:spacing w:val="-4"/>
        </w:rPr>
        <w:t>②</w:t>
      </w:r>
      <w:r>
        <w:rPr>
          <w:color w:val="auto"/>
        </w:rPr>
        <w:t>危险</w:t>
      </w:r>
      <w:r>
        <w:rPr>
          <w:color w:val="auto"/>
          <w:spacing w:val="-4"/>
        </w:rPr>
        <w:t>废物及其混合物在贮存、厂内运输、预处理和入窑焚烧过程中不对所接触材料造成腐蚀破坏。</w:t>
      </w:r>
    </w:p>
    <w:p w14:paraId="0DDCA73C" w14:textId="77777777" w:rsidR="002E474C" w:rsidRDefault="00000000">
      <w:pPr>
        <w:pStyle w:val="A-z"/>
        <w:ind w:firstLine="464"/>
        <w:rPr>
          <w:color w:val="auto"/>
          <w:spacing w:val="-4"/>
        </w:rPr>
      </w:pPr>
      <w:r>
        <w:rPr>
          <w:color w:val="auto"/>
          <w:spacing w:val="-4"/>
        </w:rPr>
        <w:t>③</w:t>
      </w:r>
      <w:r>
        <w:rPr>
          <w:color w:val="auto"/>
          <w:spacing w:val="-4"/>
        </w:rPr>
        <w:t>入窑</w:t>
      </w:r>
      <w:r>
        <w:rPr>
          <w:color w:val="auto"/>
        </w:rPr>
        <w:t>危险</w:t>
      </w:r>
      <w:r>
        <w:rPr>
          <w:color w:val="auto"/>
          <w:spacing w:val="-4"/>
        </w:rPr>
        <w:t>废物中有害物质的含量和投加速率满足本标准相关要求，防止对水泥生产和水泥质量造成不利影响。</w:t>
      </w:r>
    </w:p>
    <w:p w14:paraId="6508694F" w14:textId="77777777" w:rsidR="002E474C" w:rsidRDefault="00000000">
      <w:pPr>
        <w:pStyle w:val="A-z"/>
        <w:ind w:firstLine="464"/>
        <w:rPr>
          <w:color w:val="auto"/>
          <w:spacing w:val="-4"/>
        </w:rPr>
      </w:pPr>
      <w:r>
        <w:rPr>
          <w:color w:val="auto"/>
          <w:spacing w:val="-4"/>
        </w:rPr>
        <w:t>3</w:t>
      </w:r>
      <w:r>
        <w:rPr>
          <w:color w:val="auto"/>
          <w:spacing w:val="-4"/>
        </w:rPr>
        <w:t>）</w:t>
      </w:r>
      <w:r>
        <w:rPr>
          <w:color w:val="auto"/>
        </w:rPr>
        <w:t>危险</w:t>
      </w:r>
      <w:r>
        <w:rPr>
          <w:color w:val="auto"/>
          <w:spacing w:val="-4"/>
        </w:rPr>
        <w:t>废物入厂检查和检验结果应该记录备案，与</w:t>
      </w:r>
      <w:r>
        <w:rPr>
          <w:color w:val="auto"/>
        </w:rPr>
        <w:t>危险</w:t>
      </w:r>
      <w:r>
        <w:rPr>
          <w:color w:val="auto"/>
          <w:spacing w:val="-4"/>
        </w:rPr>
        <w:t>废物协同处置方案共同入档保存。入厂检查和检验结果记录及</w:t>
      </w:r>
      <w:r>
        <w:rPr>
          <w:color w:val="auto"/>
        </w:rPr>
        <w:t>危险</w:t>
      </w:r>
      <w:r>
        <w:rPr>
          <w:color w:val="auto"/>
          <w:spacing w:val="-4"/>
        </w:rPr>
        <w:t>废物协同处置方案的保存时间不应低于</w:t>
      </w:r>
      <w:r>
        <w:rPr>
          <w:color w:val="auto"/>
          <w:spacing w:val="-4"/>
        </w:rPr>
        <w:t>3</w:t>
      </w:r>
      <w:r>
        <w:rPr>
          <w:color w:val="auto"/>
          <w:spacing w:val="-4"/>
        </w:rPr>
        <w:t>年。</w:t>
      </w:r>
    </w:p>
    <w:p w14:paraId="0EBCE49A" w14:textId="77777777" w:rsidR="002E474C" w:rsidRDefault="00000000">
      <w:pPr>
        <w:pStyle w:val="41"/>
        <w:rPr>
          <w:b w:val="0"/>
          <w:color w:val="auto"/>
          <w:sz w:val="24"/>
        </w:rPr>
      </w:pPr>
      <w:r>
        <w:rPr>
          <w:color w:val="auto"/>
          <w:sz w:val="24"/>
        </w:rPr>
        <w:t>危险废物贮存</w:t>
      </w:r>
    </w:p>
    <w:p w14:paraId="7F9AA6CE" w14:textId="77777777" w:rsidR="002E474C" w:rsidRDefault="00000000">
      <w:pPr>
        <w:pStyle w:val="A-z"/>
        <w:rPr>
          <w:color w:val="auto"/>
        </w:rPr>
      </w:pPr>
      <w:r>
        <w:rPr>
          <w:color w:val="auto"/>
        </w:rPr>
        <w:t>（</w:t>
      </w:r>
      <w:r>
        <w:rPr>
          <w:color w:val="auto"/>
        </w:rPr>
        <w:t>1</w:t>
      </w:r>
      <w:r>
        <w:rPr>
          <w:color w:val="auto"/>
        </w:rPr>
        <w:t>）按照《水泥窑协同处置固体废物环境保护技术规范》（</w:t>
      </w:r>
      <w:r>
        <w:rPr>
          <w:color w:val="auto"/>
        </w:rPr>
        <w:t>HJ662-2013</w:t>
      </w:r>
      <w:r>
        <w:rPr>
          <w:color w:val="auto"/>
        </w:rPr>
        <w:t>）要求进行危险废物贮存。</w:t>
      </w:r>
    </w:p>
    <w:p w14:paraId="6AFE3C3F" w14:textId="77777777" w:rsidR="002E474C" w:rsidRDefault="00000000">
      <w:pPr>
        <w:pStyle w:val="A-z"/>
        <w:rPr>
          <w:color w:val="auto"/>
        </w:rPr>
      </w:pPr>
      <w:r>
        <w:rPr>
          <w:color w:val="auto"/>
        </w:rPr>
        <w:t>1</w:t>
      </w:r>
      <w:r>
        <w:rPr>
          <w:color w:val="auto"/>
        </w:rPr>
        <w:t>）</w:t>
      </w:r>
      <w:r>
        <w:rPr>
          <w:rFonts w:hint="eastAsia"/>
          <w:color w:val="auto"/>
        </w:rPr>
        <w:t>预处理中心</w:t>
      </w:r>
      <w:r>
        <w:rPr>
          <w:color w:val="auto"/>
        </w:rPr>
        <w:t>建设</w:t>
      </w:r>
      <w:r>
        <w:rPr>
          <w:rFonts w:hint="eastAsia"/>
          <w:color w:val="auto"/>
        </w:rPr>
        <w:t>专门的</w:t>
      </w:r>
      <w:r>
        <w:rPr>
          <w:color w:val="auto"/>
        </w:rPr>
        <w:t>危险废物贮存</w:t>
      </w:r>
      <w:r>
        <w:rPr>
          <w:rFonts w:hint="eastAsia"/>
          <w:color w:val="auto"/>
        </w:rPr>
        <w:t>设施</w:t>
      </w:r>
      <w:r>
        <w:rPr>
          <w:color w:val="auto"/>
        </w:rPr>
        <w:t>，以保证危险废物不与水泥生产原料、燃料和产品混合贮存。</w:t>
      </w:r>
      <w:r>
        <w:rPr>
          <w:rFonts w:hint="eastAsia"/>
          <w:color w:val="auto"/>
        </w:rPr>
        <w:t>预处理中心</w:t>
      </w:r>
      <w:r>
        <w:rPr>
          <w:color w:val="auto"/>
        </w:rPr>
        <w:t>在厂区最北侧集中设置</w:t>
      </w:r>
      <w:r>
        <w:rPr>
          <w:rFonts w:hint="eastAsia"/>
          <w:color w:val="auto"/>
        </w:rPr>
        <w:t>危险废物贮存设施，</w:t>
      </w:r>
      <w:r>
        <w:rPr>
          <w:color w:val="auto"/>
        </w:rPr>
        <w:t>专门用于贮存拟处置的危险废物</w:t>
      </w:r>
      <w:r>
        <w:rPr>
          <w:rFonts w:hint="eastAsia"/>
          <w:color w:val="auto"/>
        </w:rPr>
        <w:t>。</w:t>
      </w:r>
      <w:r>
        <w:rPr>
          <w:color w:val="auto"/>
        </w:rPr>
        <w:t>其中</w:t>
      </w:r>
      <w:r>
        <w:rPr>
          <w:rFonts w:hint="eastAsia"/>
          <w:color w:val="auto"/>
        </w:rPr>
        <w:t>，</w:t>
      </w:r>
      <w:r>
        <w:rPr>
          <w:color w:val="auto"/>
        </w:rPr>
        <w:t>危废联合贮存库</w:t>
      </w:r>
      <w:r>
        <w:rPr>
          <w:rFonts w:hint="eastAsia"/>
          <w:color w:val="auto"/>
        </w:rPr>
        <w:t>共</w:t>
      </w:r>
      <w:r>
        <w:rPr>
          <w:color w:val="auto"/>
        </w:rPr>
        <w:t>13</w:t>
      </w:r>
      <w:r>
        <w:rPr>
          <w:color w:val="auto"/>
        </w:rPr>
        <w:t>个贮存库用于贮存吨箱、铁桶装的液态废物</w:t>
      </w:r>
      <w:r>
        <w:rPr>
          <w:rFonts w:hint="eastAsia"/>
          <w:color w:val="auto"/>
        </w:rPr>
        <w:t>，</w:t>
      </w:r>
      <w:r>
        <w:rPr>
          <w:color w:val="auto"/>
        </w:rPr>
        <w:t>吨袋、铁桶、铁箱或打包后的固态废物；清洗物品贮存库用于贮存清洗后的包装等物品；另配置废液罐、污泥仓，同时在固态半固态危废</w:t>
      </w:r>
      <w:r>
        <w:rPr>
          <w:rFonts w:hint="eastAsia"/>
          <w:color w:val="auto"/>
        </w:rPr>
        <w:t>预处理车间</w:t>
      </w:r>
      <w:r>
        <w:rPr>
          <w:color w:val="auto"/>
        </w:rPr>
        <w:t>、固态危废</w:t>
      </w:r>
      <w:r>
        <w:rPr>
          <w:rFonts w:hint="eastAsia"/>
          <w:color w:val="auto"/>
        </w:rPr>
        <w:t>预处理车间</w:t>
      </w:r>
      <w:r>
        <w:rPr>
          <w:color w:val="auto"/>
        </w:rPr>
        <w:t>设置危险废物暂存区域。</w:t>
      </w:r>
      <w:r>
        <w:rPr>
          <w:bCs/>
          <w:color w:val="auto"/>
          <w:lang w:val="en-US"/>
        </w:rPr>
        <w:t>新疆中建西部建设水泥制造有限公司</w:t>
      </w:r>
      <w:r>
        <w:rPr>
          <w:color w:val="auto"/>
        </w:rPr>
        <w:t>常规原料、燃料和产品位于厂区南侧。</w:t>
      </w:r>
    </w:p>
    <w:p w14:paraId="365A3034" w14:textId="77777777" w:rsidR="002E474C" w:rsidRDefault="00000000">
      <w:pPr>
        <w:pStyle w:val="A-z"/>
        <w:rPr>
          <w:color w:val="auto"/>
        </w:rPr>
      </w:pPr>
      <w:r>
        <w:rPr>
          <w:color w:val="auto"/>
        </w:rPr>
        <w:lastRenderedPageBreak/>
        <w:t>2</w:t>
      </w:r>
      <w:r>
        <w:rPr>
          <w:color w:val="auto"/>
        </w:rPr>
        <w:t>）</w:t>
      </w:r>
      <w:r>
        <w:rPr>
          <w:rFonts w:hint="eastAsia"/>
          <w:color w:val="auto"/>
        </w:rPr>
        <w:t>危险废物</w:t>
      </w:r>
      <w:r>
        <w:rPr>
          <w:color w:val="auto"/>
        </w:rPr>
        <w:t>贮存设施内专门设置不明性质废物</w:t>
      </w:r>
      <w:r>
        <w:rPr>
          <w:rFonts w:hint="eastAsia"/>
          <w:color w:val="auto"/>
        </w:rPr>
        <w:t>暂存区域</w:t>
      </w:r>
      <w:r>
        <w:rPr>
          <w:color w:val="auto"/>
        </w:rPr>
        <w:t>。不明性质废物暂存区应与其他固体废物贮存区隔离，并设有专门的存取通道。</w:t>
      </w:r>
    </w:p>
    <w:p w14:paraId="3CF80359" w14:textId="77777777" w:rsidR="002E474C" w:rsidRDefault="00000000">
      <w:pPr>
        <w:pStyle w:val="A-z"/>
        <w:rPr>
          <w:color w:val="auto"/>
        </w:rPr>
      </w:pPr>
      <w:r>
        <w:rPr>
          <w:color w:val="auto"/>
        </w:rPr>
        <w:t>3</w:t>
      </w:r>
      <w:r>
        <w:rPr>
          <w:color w:val="auto"/>
        </w:rPr>
        <w:t>）</w:t>
      </w:r>
      <w:r>
        <w:rPr>
          <w:rFonts w:hint="eastAsia"/>
          <w:color w:val="auto"/>
        </w:rPr>
        <w:t>危险废物</w:t>
      </w:r>
      <w:r>
        <w:rPr>
          <w:color w:val="auto"/>
        </w:rPr>
        <w:t>贮存设施符合《建筑防火通用规范》（</w:t>
      </w:r>
      <w:r>
        <w:rPr>
          <w:color w:val="auto"/>
        </w:rPr>
        <w:t>GB 55037-2022</w:t>
      </w:r>
      <w:r>
        <w:rPr>
          <w:color w:val="auto"/>
        </w:rPr>
        <w:t>）等相关消防规范的要求。与水泥窑窑体、分解炉和预热器保持一定的安全距离；贮存设施内张贴严禁烟火的明显标识；根据固体废物特性、贮存和卸载条件配置相应的消防警报设备和灭火剂；贮存设施中的电子设备接地，并装备抗静电设备；设置防爆通讯设备并保持通畅完好。</w:t>
      </w:r>
    </w:p>
    <w:p w14:paraId="11A5399D" w14:textId="77777777" w:rsidR="002E474C" w:rsidRDefault="00000000">
      <w:pPr>
        <w:pStyle w:val="A-z"/>
        <w:rPr>
          <w:color w:val="auto"/>
        </w:rPr>
      </w:pPr>
      <w:r>
        <w:rPr>
          <w:color w:val="auto"/>
        </w:rPr>
        <w:t>4</w:t>
      </w:r>
      <w:r>
        <w:rPr>
          <w:color w:val="auto"/>
        </w:rPr>
        <w:t>）危险废物贮存设施的设计、安全防护、污染防治等满足《危险废物贮存污染控制标准》（</w:t>
      </w:r>
      <w:r>
        <w:rPr>
          <w:color w:val="auto"/>
        </w:rPr>
        <w:t>GB18597-2023</w:t>
      </w:r>
      <w:r>
        <w:rPr>
          <w:color w:val="auto"/>
        </w:rPr>
        <w:t>）的和《</w:t>
      </w:r>
      <w:r>
        <w:rPr>
          <w:color w:val="auto"/>
          <w:lang w:val="en-US"/>
        </w:rPr>
        <w:t>危险废物集中焚烧处置工程建设技术规范</w:t>
      </w:r>
      <w:r>
        <w:rPr>
          <w:color w:val="auto"/>
        </w:rPr>
        <w:t>》（</w:t>
      </w:r>
      <w:r>
        <w:rPr>
          <w:color w:val="auto"/>
          <w:lang w:val="en-US"/>
        </w:rPr>
        <w:t>HJ/T176-2005</w:t>
      </w:r>
      <w:r>
        <w:rPr>
          <w:color w:val="auto"/>
        </w:rPr>
        <w:t>）中的相关要求；危废贮存区标有明确的安全警告和清晰的撤离路线；危废贮存区及附近配备紧急人体清洗冲淋设施，并标明用途。</w:t>
      </w:r>
    </w:p>
    <w:p w14:paraId="0A9FEC11" w14:textId="77777777" w:rsidR="002E474C" w:rsidRDefault="00000000">
      <w:pPr>
        <w:pStyle w:val="A-z"/>
        <w:ind w:firstLine="456"/>
        <w:rPr>
          <w:color w:val="auto"/>
          <w:spacing w:val="-6"/>
        </w:rPr>
      </w:pPr>
      <w:r>
        <w:rPr>
          <w:color w:val="auto"/>
          <w:spacing w:val="-6"/>
        </w:rPr>
        <w:t>5</w:t>
      </w:r>
      <w:r>
        <w:rPr>
          <w:color w:val="auto"/>
          <w:spacing w:val="-6"/>
        </w:rPr>
        <w:t>）含油污泥的贮存设施具有良好的防渗性能并设置污水收集装置；贮存设施采用封闭措施，保证其中污泥存放时处于负压状态；贮存设施内抽取的空气导入水泥窑高温区焚烧处理。危废贮存库、危废贮存废气地面均设导流槽和废液收集池。</w:t>
      </w:r>
    </w:p>
    <w:p w14:paraId="34300C36" w14:textId="77777777" w:rsidR="002E474C" w:rsidRDefault="00000000">
      <w:pPr>
        <w:pStyle w:val="A-z"/>
        <w:rPr>
          <w:color w:val="auto"/>
        </w:rPr>
      </w:pPr>
      <w:r>
        <w:rPr>
          <w:color w:val="auto"/>
        </w:rPr>
        <w:t>6</w:t>
      </w:r>
      <w:r>
        <w:rPr>
          <w:color w:val="auto"/>
        </w:rPr>
        <w:t>）除上述两条规定之外的其他固体废物贮存设施均有良好的防渗性能，以及必要的防雨、防尘功能。地沟和地面防渗，满足《危险废物贮存污染控制标准》（</w:t>
      </w:r>
      <w:r>
        <w:rPr>
          <w:color w:val="auto"/>
        </w:rPr>
        <w:t>GB18597-20</w:t>
      </w:r>
      <w:r>
        <w:rPr>
          <w:rFonts w:hint="eastAsia"/>
          <w:color w:val="auto"/>
        </w:rPr>
        <w:t>23</w:t>
      </w:r>
      <w:r>
        <w:rPr>
          <w:color w:val="auto"/>
        </w:rPr>
        <w:t>）中对基础层的防渗要求。</w:t>
      </w:r>
    </w:p>
    <w:p w14:paraId="32514AC3" w14:textId="77777777" w:rsidR="002E474C" w:rsidRDefault="00000000">
      <w:pPr>
        <w:pStyle w:val="A-z"/>
        <w:rPr>
          <w:color w:val="auto"/>
        </w:rPr>
      </w:pPr>
      <w:r>
        <w:rPr>
          <w:color w:val="auto"/>
        </w:rPr>
        <w:t>（</w:t>
      </w:r>
      <w:r>
        <w:rPr>
          <w:color w:val="auto"/>
        </w:rPr>
        <w:t>2</w:t>
      </w:r>
      <w:r>
        <w:rPr>
          <w:color w:val="auto"/>
        </w:rPr>
        <w:t>）贮存设施满足《危险废物收集</w:t>
      </w:r>
      <w:r>
        <w:rPr>
          <w:color w:val="auto"/>
        </w:rPr>
        <w:t xml:space="preserve"> </w:t>
      </w:r>
      <w:r>
        <w:rPr>
          <w:color w:val="auto"/>
        </w:rPr>
        <w:t>贮存</w:t>
      </w:r>
      <w:r>
        <w:rPr>
          <w:color w:val="auto"/>
        </w:rPr>
        <w:t xml:space="preserve"> </w:t>
      </w:r>
      <w:r>
        <w:rPr>
          <w:color w:val="auto"/>
        </w:rPr>
        <w:t>运输技术规范》（</w:t>
      </w:r>
      <w:r>
        <w:rPr>
          <w:color w:val="auto"/>
        </w:rPr>
        <w:t>HJ2025-2012</w:t>
      </w:r>
      <w:r>
        <w:rPr>
          <w:color w:val="auto"/>
        </w:rPr>
        <w:t>）要求：</w:t>
      </w:r>
    </w:p>
    <w:p w14:paraId="73ADD7D4" w14:textId="77777777" w:rsidR="002E474C" w:rsidRDefault="00000000">
      <w:pPr>
        <w:pStyle w:val="A-z"/>
        <w:rPr>
          <w:color w:val="auto"/>
        </w:rPr>
      </w:pPr>
      <w:r>
        <w:rPr>
          <w:color w:val="auto"/>
        </w:rPr>
        <w:t>1</w:t>
      </w:r>
      <w:r>
        <w:rPr>
          <w:color w:val="auto"/>
        </w:rPr>
        <w:t>）危险废物贮存设施的选址、设计、建设、运行管理满足</w:t>
      </w:r>
      <w:r>
        <w:rPr>
          <w:color w:val="auto"/>
        </w:rPr>
        <w:t xml:space="preserve"> GB18597</w:t>
      </w:r>
      <w:r>
        <w:rPr>
          <w:color w:val="auto"/>
        </w:rPr>
        <w:t>、</w:t>
      </w:r>
      <w:r>
        <w:rPr>
          <w:color w:val="auto"/>
        </w:rPr>
        <w:t>GBZ1</w:t>
      </w:r>
      <w:r>
        <w:rPr>
          <w:color w:val="auto"/>
        </w:rPr>
        <w:t>、</w:t>
      </w:r>
      <w:r>
        <w:rPr>
          <w:color w:val="auto"/>
        </w:rPr>
        <w:t xml:space="preserve">GBZ2 </w:t>
      </w:r>
      <w:r>
        <w:rPr>
          <w:color w:val="auto"/>
        </w:rPr>
        <w:t>的有关要求。</w:t>
      </w:r>
    </w:p>
    <w:p w14:paraId="6F3DDAAC" w14:textId="77777777" w:rsidR="002E474C" w:rsidRDefault="00000000">
      <w:pPr>
        <w:pStyle w:val="A-z"/>
        <w:rPr>
          <w:color w:val="auto"/>
        </w:rPr>
      </w:pPr>
      <w:r>
        <w:rPr>
          <w:color w:val="auto"/>
        </w:rPr>
        <w:t>2</w:t>
      </w:r>
      <w:r>
        <w:rPr>
          <w:color w:val="auto"/>
        </w:rPr>
        <w:t>）危险废物贮存设施配备通讯设备、照明设备和消防设施。</w:t>
      </w:r>
    </w:p>
    <w:p w14:paraId="32FADFA9" w14:textId="77777777" w:rsidR="002E474C" w:rsidRDefault="00000000">
      <w:pPr>
        <w:pStyle w:val="A-z"/>
        <w:rPr>
          <w:color w:val="auto"/>
        </w:rPr>
      </w:pPr>
      <w:r>
        <w:rPr>
          <w:color w:val="auto"/>
        </w:rPr>
        <w:t>3</w:t>
      </w:r>
      <w:r>
        <w:rPr>
          <w:color w:val="auto"/>
        </w:rPr>
        <w:t>）危险废物贮存按照废物种类和特性进行分区贮存，并设置防雨、防火、防雷、防扬尘装置。</w:t>
      </w:r>
    </w:p>
    <w:p w14:paraId="5D6334E1" w14:textId="77777777" w:rsidR="002E474C" w:rsidRDefault="00000000">
      <w:pPr>
        <w:pStyle w:val="A-z"/>
        <w:rPr>
          <w:color w:val="auto"/>
        </w:rPr>
      </w:pPr>
      <w:r>
        <w:rPr>
          <w:color w:val="auto"/>
        </w:rPr>
        <w:t>4</w:t>
      </w:r>
      <w:r>
        <w:rPr>
          <w:color w:val="auto"/>
        </w:rPr>
        <w:t>）贮存易燃易爆危险废物时配置有机气体报警、火灾报警装置和导出静电的接地装置。</w:t>
      </w:r>
    </w:p>
    <w:p w14:paraId="41F07773" w14:textId="77777777" w:rsidR="002E474C" w:rsidRDefault="00000000">
      <w:pPr>
        <w:pStyle w:val="A-z"/>
        <w:rPr>
          <w:color w:val="auto"/>
        </w:rPr>
      </w:pPr>
      <w:r>
        <w:rPr>
          <w:color w:val="auto"/>
        </w:rPr>
        <w:t>5</w:t>
      </w:r>
      <w:r>
        <w:rPr>
          <w:color w:val="auto"/>
        </w:rPr>
        <w:t>）废弃危险化学品的贮存满足《常用化学危险品贮存通则》、《危险化学品安全管理条例》、《废弃危险化学品污染环境防治办法》的要求。贮存废弃剧毒化学品充分考虑防盗要求，采用双钥匙封闭式管理，且有专人</w:t>
      </w:r>
      <w:r>
        <w:rPr>
          <w:color w:val="auto"/>
        </w:rPr>
        <w:t>24</w:t>
      </w:r>
      <w:r>
        <w:rPr>
          <w:color w:val="auto"/>
        </w:rPr>
        <w:t>小时看管。</w:t>
      </w:r>
    </w:p>
    <w:p w14:paraId="41235D34" w14:textId="77777777" w:rsidR="002E474C" w:rsidRDefault="00000000">
      <w:pPr>
        <w:pStyle w:val="A-z"/>
        <w:rPr>
          <w:color w:val="auto"/>
        </w:rPr>
      </w:pPr>
      <w:r>
        <w:rPr>
          <w:color w:val="auto"/>
        </w:rPr>
        <w:t>6</w:t>
      </w:r>
      <w:r>
        <w:rPr>
          <w:color w:val="auto"/>
        </w:rPr>
        <w:t>）危险废物贮存期限严格执行《中华人民共和国固体废物污染环境防治法》</w:t>
      </w:r>
      <w:r>
        <w:rPr>
          <w:color w:val="auto"/>
        </w:rPr>
        <w:lastRenderedPageBreak/>
        <w:t>的有关规定。</w:t>
      </w:r>
    </w:p>
    <w:p w14:paraId="04BB7959" w14:textId="77777777" w:rsidR="002E474C" w:rsidRDefault="00000000">
      <w:pPr>
        <w:pStyle w:val="A-z"/>
        <w:rPr>
          <w:color w:val="auto"/>
        </w:rPr>
      </w:pPr>
      <w:r>
        <w:rPr>
          <w:color w:val="auto"/>
        </w:rPr>
        <w:t>7</w:t>
      </w:r>
      <w:r>
        <w:rPr>
          <w:color w:val="auto"/>
        </w:rPr>
        <w:t>）危险废物贮存建立危险废物贮存的台账制度。</w:t>
      </w:r>
    </w:p>
    <w:p w14:paraId="272AFC90" w14:textId="77777777" w:rsidR="002E474C" w:rsidRDefault="00000000">
      <w:pPr>
        <w:pStyle w:val="A-z"/>
        <w:rPr>
          <w:color w:val="auto"/>
        </w:rPr>
      </w:pPr>
      <w:r>
        <w:rPr>
          <w:color w:val="auto"/>
        </w:rPr>
        <w:t>8</w:t>
      </w:r>
      <w:r>
        <w:rPr>
          <w:color w:val="auto"/>
        </w:rPr>
        <w:t>）危险废物贮存设施根据贮存的废物种类和特性设置标志。</w:t>
      </w:r>
    </w:p>
    <w:p w14:paraId="3727E0C0" w14:textId="77777777" w:rsidR="002E474C" w:rsidRDefault="00000000">
      <w:pPr>
        <w:pStyle w:val="A-z"/>
        <w:rPr>
          <w:color w:val="auto"/>
        </w:rPr>
      </w:pPr>
      <w:r>
        <w:rPr>
          <w:color w:val="auto"/>
        </w:rPr>
        <w:t>9</w:t>
      </w:r>
      <w:r>
        <w:rPr>
          <w:color w:val="auto"/>
        </w:rPr>
        <w:t>）危险废物贮存设施的关闭按照</w:t>
      </w:r>
      <w:r>
        <w:rPr>
          <w:color w:val="auto"/>
        </w:rPr>
        <w:t xml:space="preserve"> GB18597 </w:t>
      </w:r>
      <w:r>
        <w:rPr>
          <w:color w:val="auto"/>
        </w:rPr>
        <w:t>和《危险废物经营许可证管理办法》的有关规定执行。</w:t>
      </w:r>
    </w:p>
    <w:p w14:paraId="0FE607AF" w14:textId="77777777" w:rsidR="002E474C" w:rsidRDefault="00000000">
      <w:pPr>
        <w:pStyle w:val="41"/>
        <w:rPr>
          <w:b w:val="0"/>
          <w:color w:val="auto"/>
          <w:sz w:val="24"/>
        </w:rPr>
      </w:pPr>
      <w:r>
        <w:rPr>
          <w:color w:val="auto"/>
          <w:sz w:val="24"/>
        </w:rPr>
        <w:t>危险废物输送</w:t>
      </w:r>
    </w:p>
    <w:p w14:paraId="06C18790" w14:textId="77777777" w:rsidR="002E474C" w:rsidRDefault="00000000">
      <w:pPr>
        <w:pStyle w:val="A-z"/>
        <w:rPr>
          <w:color w:val="auto"/>
        </w:rPr>
      </w:pPr>
      <w:r>
        <w:rPr>
          <w:color w:val="auto"/>
        </w:rPr>
        <w:t>（</w:t>
      </w:r>
      <w:r>
        <w:rPr>
          <w:color w:val="auto"/>
        </w:rPr>
        <w:t>1</w:t>
      </w:r>
      <w:r>
        <w:rPr>
          <w:color w:val="auto"/>
        </w:rPr>
        <w:t>）厂内输送设施</w:t>
      </w:r>
    </w:p>
    <w:p w14:paraId="497A61A0" w14:textId="77777777" w:rsidR="002E474C" w:rsidRDefault="00000000">
      <w:pPr>
        <w:pStyle w:val="A-z"/>
        <w:rPr>
          <w:color w:val="auto"/>
        </w:rPr>
      </w:pPr>
      <w:r>
        <w:rPr>
          <w:color w:val="auto"/>
        </w:rPr>
        <w:t>1</w:t>
      </w:r>
      <w:r>
        <w:rPr>
          <w:color w:val="auto"/>
        </w:rPr>
        <w:t>）在危险废物装卸场所、贮存场所、预处理区域、投加区域等各个区域之间，根据危险废物特性和设施要求配备必要的输送设备。</w:t>
      </w:r>
    </w:p>
    <w:p w14:paraId="77000772" w14:textId="77777777" w:rsidR="002E474C" w:rsidRDefault="00000000">
      <w:pPr>
        <w:pStyle w:val="A-z"/>
        <w:rPr>
          <w:color w:val="auto"/>
        </w:rPr>
      </w:pPr>
      <w:r>
        <w:rPr>
          <w:color w:val="auto"/>
        </w:rPr>
        <w:t>2</w:t>
      </w:r>
      <w:r>
        <w:rPr>
          <w:color w:val="auto"/>
        </w:rPr>
        <w:t>）危险废物的物流出入口以及转运、输送路线远离办公和生活服务设施。</w:t>
      </w:r>
    </w:p>
    <w:p w14:paraId="572A95D3" w14:textId="77777777" w:rsidR="002E474C" w:rsidRDefault="00000000">
      <w:pPr>
        <w:pStyle w:val="A-z"/>
        <w:rPr>
          <w:color w:val="auto"/>
        </w:rPr>
      </w:pPr>
      <w:r>
        <w:rPr>
          <w:color w:val="auto"/>
        </w:rPr>
        <w:t>3</w:t>
      </w:r>
      <w:r>
        <w:rPr>
          <w:color w:val="auto"/>
        </w:rPr>
        <w:t>）输送设备所用材料适应危险废物特性，确保不被腐蚀和不与危险废物发生任何反应。</w:t>
      </w:r>
    </w:p>
    <w:p w14:paraId="17C2B1C5" w14:textId="77777777" w:rsidR="002E474C" w:rsidRDefault="00000000">
      <w:pPr>
        <w:pStyle w:val="A-z"/>
        <w:rPr>
          <w:color w:val="auto"/>
        </w:rPr>
      </w:pPr>
      <w:r>
        <w:rPr>
          <w:color w:val="auto"/>
        </w:rPr>
        <w:t>4</w:t>
      </w:r>
      <w:r>
        <w:rPr>
          <w:color w:val="auto"/>
        </w:rPr>
        <w:t>）管道输送设备保持良好的密闭性能，防止危险废物的滴漏和溢出。</w:t>
      </w:r>
    </w:p>
    <w:p w14:paraId="232A9E8C" w14:textId="77777777" w:rsidR="002E474C" w:rsidRDefault="00000000">
      <w:pPr>
        <w:pStyle w:val="A-z"/>
        <w:rPr>
          <w:color w:val="auto"/>
        </w:rPr>
      </w:pPr>
      <w:r>
        <w:rPr>
          <w:color w:val="auto"/>
        </w:rPr>
        <w:t>5</w:t>
      </w:r>
      <w:r>
        <w:rPr>
          <w:color w:val="auto"/>
        </w:rPr>
        <w:t>）非密闭输送设备（如传送带、抓料斗等）采取防护措施（如加设防护罩），防止粉尘飘散。</w:t>
      </w:r>
    </w:p>
    <w:p w14:paraId="35111B61" w14:textId="77777777" w:rsidR="002E474C" w:rsidRDefault="00000000">
      <w:pPr>
        <w:pStyle w:val="A-z"/>
        <w:rPr>
          <w:color w:val="auto"/>
        </w:rPr>
      </w:pPr>
      <w:r>
        <w:rPr>
          <w:color w:val="auto"/>
        </w:rPr>
        <w:t>6</w:t>
      </w:r>
      <w:r>
        <w:rPr>
          <w:color w:val="auto"/>
        </w:rPr>
        <w:t>）移动式输送设备，采取措施防止粉尘飘散和危险废物遗撒。</w:t>
      </w:r>
    </w:p>
    <w:p w14:paraId="6C542CC1" w14:textId="77777777" w:rsidR="002E474C" w:rsidRDefault="00000000">
      <w:pPr>
        <w:pStyle w:val="A-z"/>
        <w:rPr>
          <w:color w:val="auto"/>
        </w:rPr>
      </w:pPr>
      <w:r>
        <w:rPr>
          <w:color w:val="auto"/>
        </w:rPr>
        <w:t>7</w:t>
      </w:r>
      <w:r>
        <w:rPr>
          <w:color w:val="auto"/>
        </w:rPr>
        <w:t>）厂内输送危险废物的管道、传送带在显眼处标有安全警告信息。</w:t>
      </w:r>
    </w:p>
    <w:p w14:paraId="7445E41E" w14:textId="77777777" w:rsidR="002E474C" w:rsidRDefault="00000000">
      <w:pPr>
        <w:pStyle w:val="A-z"/>
        <w:rPr>
          <w:color w:val="auto"/>
        </w:rPr>
      </w:pPr>
      <w:r>
        <w:rPr>
          <w:color w:val="auto"/>
        </w:rPr>
        <w:t>（</w:t>
      </w:r>
      <w:r>
        <w:rPr>
          <w:color w:val="auto"/>
        </w:rPr>
        <w:t>2</w:t>
      </w:r>
      <w:r>
        <w:rPr>
          <w:color w:val="auto"/>
        </w:rPr>
        <w:t>）厂内输送的技术要求</w:t>
      </w:r>
    </w:p>
    <w:p w14:paraId="384D446A" w14:textId="77777777" w:rsidR="002E474C" w:rsidRDefault="00000000">
      <w:pPr>
        <w:pStyle w:val="A-z"/>
        <w:rPr>
          <w:color w:val="auto"/>
        </w:rPr>
      </w:pPr>
      <w:r>
        <w:rPr>
          <w:color w:val="auto"/>
        </w:rPr>
        <w:t>1</w:t>
      </w:r>
      <w:r>
        <w:rPr>
          <w:color w:val="auto"/>
        </w:rPr>
        <w:t>）在进行危险废物的厂内输送时，采取必要的措施防止危险废物的扬尘、溢出和泄漏。</w:t>
      </w:r>
    </w:p>
    <w:p w14:paraId="0746778B" w14:textId="77777777" w:rsidR="002E474C" w:rsidRDefault="00000000">
      <w:pPr>
        <w:pStyle w:val="A-z"/>
        <w:rPr>
          <w:color w:val="auto"/>
        </w:rPr>
      </w:pPr>
      <w:r>
        <w:rPr>
          <w:color w:val="auto"/>
        </w:rPr>
        <w:t>2</w:t>
      </w:r>
      <w:r>
        <w:rPr>
          <w:color w:val="auto"/>
        </w:rPr>
        <w:t>）危险废物运输车辆定期进行清洗。</w:t>
      </w:r>
    </w:p>
    <w:p w14:paraId="3564CB97" w14:textId="77777777" w:rsidR="002E474C" w:rsidRDefault="00000000">
      <w:pPr>
        <w:pStyle w:val="A-z"/>
        <w:rPr>
          <w:color w:val="auto"/>
        </w:rPr>
      </w:pPr>
      <w:r>
        <w:rPr>
          <w:color w:val="auto"/>
        </w:rPr>
        <w:t>3</w:t>
      </w:r>
      <w:r>
        <w:rPr>
          <w:color w:val="auto"/>
        </w:rPr>
        <w:t>）采用车辆在厂内运输危险废物时，按照运输车辆的专用路线行驶。</w:t>
      </w:r>
    </w:p>
    <w:p w14:paraId="76E32D41" w14:textId="77777777" w:rsidR="002E474C" w:rsidRDefault="00000000">
      <w:pPr>
        <w:pStyle w:val="A-z"/>
        <w:rPr>
          <w:color w:val="auto"/>
        </w:rPr>
      </w:pPr>
      <w:r>
        <w:rPr>
          <w:color w:val="auto"/>
        </w:rPr>
        <w:t>4</w:t>
      </w:r>
      <w:r>
        <w:rPr>
          <w:color w:val="auto"/>
        </w:rPr>
        <w:t>）厂内危险废物输送设施管理、维护产生的各种废物均应作为危险废物进行管理和处置。</w:t>
      </w:r>
    </w:p>
    <w:p w14:paraId="044C08CF" w14:textId="77777777" w:rsidR="002E474C" w:rsidRDefault="00000000">
      <w:pPr>
        <w:pStyle w:val="41"/>
        <w:rPr>
          <w:color w:val="auto"/>
        </w:rPr>
      </w:pPr>
      <w:r>
        <w:rPr>
          <w:color w:val="auto"/>
        </w:rPr>
        <w:t>预处理工艺流程</w:t>
      </w:r>
    </w:p>
    <w:p w14:paraId="73FA99C7" w14:textId="77777777" w:rsidR="002E474C" w:rsidRDefault="00000000">
      <w:pPr>
        <w:pStyle w:val="A-z"/>
        <w:rPr>
          <w:color w:val="auto"/>
        </w:rPr>
      </w:pPr>
      <w:r>
        <w:rPr>
          <w:color w:val="auto"/>
        </w:rPr>
        <w:t>（</w:t>
      </w:r>
      <w:r>
        <w:rPr>
          <w:color w:val="auto"/>
        </w:rPr>
        <w:t>1</w:t>
      </w:r>
      <w:r>
        <w:rPr>
          <w:color w:val="auto"/>
        </w:rPr>
        <w:t>）固态危废预处理工艺</w:t>
      </w:r>
    </w:p>
    <w:p w14:paraId="6FEA6A6A" w14:textId="77777777" w:rsidR="002E474C" w:rsidRDefault="00000000">
      <w:pPr>
        <w:pStyle w:val="A-z"/>
        <w:rPr>
          <w:color w:val="auto"/>
        </w:rPr>
      </w:pPr>
      <w:r>
        <w:rPr>
          <w:color w:val="auto"/>
        </w:rPr>
        <w:t>固态危废进厂后进行验收，核对危废类别、重量与成分，送危废联合贮存库进行拆包卸料，桶装</w:t>
      </w:r>
      <w:r>
        <w:rPr>
          <w:color w:val="auto"/>
        </w:rPr>
        <w:t>/</w:t>
      </w:r>
      <w:r>
        <w:rPr>
          <w:color w:val="auto"/>
        </w:rPr>
        <w:t>袋装拆包后密闭卸料，分拣除杂后取出金属、石块和不可破</w:t>
      </w:r>
      <w:r>
        <w:rPr>
          <w:color w:val="auto"/>
        </w:rPr>
        <w:lastRenderedPageBreak/>
        <w:t>碎杂物，需要破碎的通过给料机上料至破碎系统，不需要破碎的直接送配伍均质系统。</w:t>
      </w:r>
    </w:p>
    <w:p w14:paraId="0F015FEB" w14:textId="77777777" w:rsidR="002E474C" w:rsidRDefault="00000000">
      <w:pPr>
        <w:pStyle w:val="A-z"/>
        <w:rPr>
          <w:color w:val="auto"/>
        </w:rPr>
      </w:pPr>
      <w:r>
        <w:rPr>
          <w:rFonts w:hint="eastAsia"/>
          <w:color w:val="auto"/>
        </w:rPr>
        <w:t>采用抓斗将</w:t>
      </w:r>
      <w:r>
        <w:rPr>
          <w:color w:val="auto"/>
        </w:rPr>
        <w:t>需要破碎的固态废物（含少量半固态废物）抓入破碎机上方的料斗内，破碎机为一台剪切式双轴破碎机，破碎筛分合格粒度（</w:t>
      </w:r>
      <w:r>
        <w:rPr>
          <w:color w:val="auto"/>
          <w:lang w:val="en-US"/>
        </w:rPr>
        <w:t>粒度</w:t>
      </w:r>
      <w:r>
        <w:rPr>
          <w:color w:val="auto"/>
          <w:lang w:val="en-US"/>
        </w:rPr>
        <w:t>≤30</w:t>
      </w:r>
      <w:r>
        <w:rPr>
          <w:color w:val="auto"/>
          <w:lang w:val="en-US"/>
        </w:rPr>
        <w:t>～</w:t>
      </w:r>
      <w:r>
        <w:rPr>
          <w:color w:val="auto"/>
          <w:lang w:val="en-US"/>
        </w:rPr>
        <w:t>50mm</w:t>
      </w:r>
      <w:r>
        <w:rPr>
          <w:color w:val="auto"/>
        </w:rPr>
        <w:t>）后的物料进行配伍均质，</w:t>
      </w:r>
      <w:r>
        <w:rPr>
          <w:color w:val="auto"/>
          <w:lang w:val="en-US"/>
        </w:rPr>
        <w:t>不合格返回再破碎。按热值、氯、硫、重金属调配的配伍均质物料，</w:t>
      </w:r>
      <w:r>
        <w:rPr>
          <w:color w:val="auto"/>
        </w:rPr>
        <w:t>经大倾角皮带机、喂料皮带秤及喂料锁风装置送入分解炉高温焚烧处置；</w:t>
      </w:r>
      <w:r>
        <w:rPr>
          <w:rFonts w:hint="eastAsia"/>
          <w:color w:val="auto"/>
        </w:rPr>
        <w:t>在水泥窑停窑期间，</w:t>
      </w:r>
      <w:r>
        <w:rPr>
          <w:color w:val="auto"/>
          <w:lang w:val="en-US"/>
        </w:rPr>
        <w:t>配伍均质物料</w:t>
      </w:r>
      <w:r>
        <w:rPr>
          <w:rFonts w:hint="eastAsia"/>
          <w:color w:val="auto"/>
          <w:lang w:val="en-US"/>
        </w:rPr>
        <w:t>在危废联合贮存库暂存或</w:t>
      </w:r>
      <w:r>
        <w:rPr>
          <w:color w:val="auto"/>
          <w:lang w:val="en-US"/>
        </w:rPr>
        <w:t>密闭</w:t>
      </w:r>
      <w:r>
        <w:rPr>
          <w:color w:val="auto"/>
        </w:rPr>
        <w:t>包装</w:t>
      </w:r>
      <w:r>
        <w:rPr>
          <w:rFonts w:hint="eastAsia"/>
          <w:color w:val="auto"/>
        </w:rPr>
        <w:t>后作为</w:t>
      </w:r>
      <w:r>
        <w:rPr>
          <w:color w:val="auto"/>
        </w:rPr>
        <w:t>预处理产物转移至本项目进行处置。</w:t>
      </w:r>
    </w:p>
    <w:p w14:paraId="42C97424" w14:textId="77777777" w:rsidR="002E474C" w:rsidRDefault="00000000">
      <w:pPr>
        <w:pStyle w:val="A-z"/>
        <w:rPr>
          <w:color w:val="auto"/>
        </w:rPr>
      </w:pPr>
      <w:r>
        <w:rPr>
          <w:color w:val="auto"/>
        </w:rPr>
        <w:t>（</w:t>
      </w:r>
      <w:r>
        <w:rPr>
          <w:color w:val="auto"/>
        </w:rPr>
        <w:t>2</w:t>
      </w:r>
      <w:r>
        <w:rPr>
          <w:color w:val="auto"/>
        </w:rPr>
        <w:t>）半固态危废预处理工艺</w:t>
      </w:r>
    </w:p>
    <w:p w14:paraId="457964A4" w14:textId="77777777" w:rsidR="002E474C" w:rsidRDefault="00000000">
      <w:pPr>
        <w:pStyle w:val="A-z"/>
        <w:rPr>
          <w:color w:val="auto"/>
        </w:rPr>
      </w:pPr>
      <w:r>
        <w:rPr>
          <w:color w:val="auto"/>
        </w:rPr>
        <w:t>半固态危废由</w:t>
      </w:r>
      <w:r>
        <w:rPr>
          <w:color w:val="auto"/>
        </w:rPr>
        <w:t>SMP</w:t>
      </w:r>
      <w:r>
        <w:rPr>
          <w:color w:val="auto"/>
        </w:rPr>
        <w:t>系统预处理，</w:t>
      </w:r>
      <w:r>
        <w:rPr>
          <w:color w:val="auto"/>
        </w:rPr>
        <w:t>SMP</w:t>
      </w:r>
      <w:r>
        <w:rPr>
          <w:color w:val="auto"/>
        </w:rPr>
        <w:t>系统是一种包含破碎、混合、泵送三个主要环节的综合性预处理系统，可同时处置包括固态、液态、半固态在内的多种危险废物，且自动化程度较高。</w:t>
      </w:r>
    </w:p>
    <w:p w14:paraId="5D16C011" w14:textId="77777777" w:rsidR="002E474C" w:rsidRDefault="00000000">
      <w:pPr>
        <w:pStyle w:val="A-z"/>
        <w:rPr>
          <w:color w:val="auto"/>
        </w:rPr>
      </w:pPr>
      <w:r>
        <w:rPr>
          <w:color w:val="auto"/>
        </w:rPr>
        <w:t>半固态危废进厂后进行验收，核对危废类别、重量与成分，送危废联合贮存库进行拆包卸料，</w:t>
      </w:r>
      <w:r>
        <w:rPr>
          <w:color w:val="auto"/>
          <w:lang w:val="en-US"/>
        </w:rPr>
        <w:t>污泥、膏状物、焦油渣、污泥饼等</w:t>
      </w:r>
      <w:r>
        <w:rPr>
          <w:color w:val="auto"/>
        </w:rPr>
        <w:t>在防泄漏与防异味措施下密闭卸料。半固态危废进行配伍后，采用抓斗喂料到剪切式破碎机料斗处理，破碎打散后的物料</w:t>
      </w:r>
      <w:r>
        <w:rPr>
          <w:color w:val="auto"/>
          <w:lang w:val="en-US"/>
        </w:rPr>
        <w:t>破除结块便于输送，</w:t>
      </w:r>
      <w:r>
        <w:rPr>
          <w:color w:val="auto"/>
        </w:rPr>
        <w:t>在混合器中</w:t>
      </w:r>
      <w:r>
        <w:rPr>
          <w:color w:val="auto"/>
          <w:lang w:val="en-US"/>
        </w:rPr>
        <w:t>调质搅拌均质后保证成分均匀，计量后经柱塞泵密闭管道输送至水泥窑</w:t>
      </w:r>
      <w:r>
        <w:rPr>
          <w:color w:val="auto"/>
        </w:rPr>
        <w:t>窑尾高温焚烧处置。</w:t>
      </w:r>
    </w:p>
    <w:p w14:paraId="4CD339DF" w14:textId="77777777" w:rsidR="002E474C" w:rsidRDefault="00000000">
      <w:pPr>
        <w:pStyle w:val="A-z"/>
        <w:rPr>
          <w:color w:val="auto"/>
        </w:rPr>
      </w:pPr>
      <w:r>
        <w:rPr>
          <w:color w:val="auto"/>
        </w:rPr>
        <w:t>（</w:t>
      </w:r>
      <w:r>
        <w:rPr>
          <w:color w:val="auto"/>
        </w:rPr>
        <w:t>3</w:t>
      </w:r>
      <w:r>
        <w:rPr>
          <w:color w:val="auto"/>
        </w:rPr>
        <w:t>）液态危废预处理工艺</w:t>
      </w:r>
    </w:p>
    <w:p w14:paraId="5E5FF6DA" w14:textId="77777777" w:rsidR="002E474C" w:rsidRDefault="00000000">
      <w:pPr>
        <w:pStyle w:val="A-z"/>
        <w:rPr>
          <w:color w:val="auto"/>
        </w:rPr>
      </w:pPr>
      <w:r>
        <w:rPr>
          <w:color w:val="auto"/>
          <w:lang w:val="en-US"/>
        </w:rPr>
        <w:t>液态危险废物的转运方式有两种，一种是采用桶包装运输，一种是大宗废液采用专用槽罐车运输。桶装物料进厂后，经叉车卸入液态危废联合贮存库。粘性较大的液体，可用于半固态危废预处理系统进行废物的搅拌调质。粘性较小的液体可直接通过泵房送入窑头</w:t>
      </w:r>
      <w:r>
        <w:rPr>
          <w:color w:val="auto"/>
          <w:lang w:val="en-US"/>
        </w:rPr>
        <w:t>/</w:t>
      </w:r>
      <w:r>
        <w:rPr>
          <w:color w:val="auto"/>
          <w:lang w:val="en-US"/>
        </w:rPr>
        <w:t>窑尾设置的喷枪焚烧处置。</w:t>
      </w:r>
    </w:p>
    <w:p w14:paraId="228DF70B" w14:textId="77777777" w:rsidR="002E474C" w:rsidRDefault="00000000">
      <w:pPr>
        <w:pStyle w:val="A-z"/>
        <w:rPr>
          <w:color w:val="auto"/>
        </w:rPr>
      </w:pPr>
      <w:r>
        <w:rPr>
          <w:color w:val="auto"/>
          <w:lang w:val="en-US"/>
        </w:rPr>
        <w:t>液态危险废物预处理的主要设置是带有搅拌机的废酸液罐、废碱液罐、废有机液储罐等。设置用于中和、调质的酸、碱、混凝剂、助凝剂等添加装置，根据储存废物的物性分别向液态废物调制反应池内添加调和液，根据不同的酸碱度情况，自动加入酸或碱溶液，或者在确保没有不良反应及危险物产生的情况下进行废液之间的相互混合，并调整废液的热值，最终调配处理后的废液除具有适量的热值外，也须保证处理后的废液酸碱度适宜。</w:t>
      </w:r>
    </w:p>
    <w:p w14:paraId="3B4B1F69" w14:textId="77777777" w:rsidR="002E474C" w:rsidRDefault="00000000">
      <w:pPr>
        <w:pStyle w:val="A-z"/>
        <w:ind w:firstLine="456"/>
        <w:rPr>
          <w:color w:val="auto"/>
          <w:spacing w:val="-6"/>
          <w:lang w:val="en-US"/>
        </w:rPr>
      </w:pPr>
      <w:r>
        <w:rPr>
          <w:color w:val="auto"/>
          <w:spacing w:val="-6"/>
          <w:lang w:val="en-US"/>
        </w:rPr>
        <w:t>废液从废物调制反应池出来进入过滤装置，过滤后由输送泵喷枪射入水泥窑窑头主燃烧器内进行焚烧或者打入</w:t>
      </w:r>
      <w:r>
        <w:rPr>
          <w:color w:val="auto"/>
          <w:spacing w:val="-6"/>
          <w:lang w:val="en-US"/>
        </w:rPr>
        <w:t>SMP</w:t>
      </w:r>
      <w:r>
        <w:rPr>
          <w:color w:val="auto"/>
          <w:spacing w:val="-6"/>
          <w:lang w:val="en-US"/>
        </w:rPr>
        <w:t>处置系统。过滤渣送至半固态处置系统。</w:t>
      </w:r>
    </w:p>
    <w:p w14:paraId="4C00E4BF" w14:textId="77777777" w:rsidR="002E474C" w:rsidRDefault="00000000">
      <w:pPr>
        <w:pStyle w:val="A-z"/>
        <w:rPr>
          <w:color w:val="auto"/>
          <w:lang w:val="en-US"/>
        </w:rPr>
      </w:pPr>
      <w:r>
        <w:rPr>
          <w:color w:val="auto"/>
          <w:lang w:val="en-US"/>
        </w:rPr>
        <w:lastRenderedPageBreak/>
        <w:t>部分桶装入厂的液态危险废物采用叉车卸入液态危废联合贮存库，经危险废物准入控制与准入评估，</w:t>
      </w:r>
      <w:r>
        <w:rPr>
          <w:color w:val="auto"/>
        </w:rPr>
        <w:t>经过检测分析、制定处置方案后接收入厂，作为预处理产物转移至本项目进行处置。</w:t>
      </w:r>
    </w:p>
    <w:p w14:paraId="377CEE9D" w14:textId="77777777" w:rsidR="002E474C" w:rsidRDefault="00000000">
      <w:pPr>
        <w:pStyle w:val="31"/>
        <w:spacing w:before="120" w:after="120"/>
        <w:rPr>
          <w:color w:val="auto"/>
          <w:lang w:val="en-US"/>
        </w:rPr>
      </w:pPr>
      <w:r>
        <w:rPr>
          <w:color w:val="auto"/>
          <w:lang w:val="en-US"/>
        </w:rPr>
        <w:t>预处理中心依托可行性分析</w:t>
      </w:r>
    </w:p>
    <w:p w14:paraId="4EDAD11B" w14:textId="77777777" w:rsidR="002E474C" w:rsidRDefault="00000000">
      <w:pPr>
        <w:pStyle w:val="41"/>
        <w:rPr>
          <w:color w:val="auto"/>
          <w:lang w:val="en-US"/>
        </w:rPr>
      </w:pPr>
      <w:r>
        <w:rPr>
          <w:color w:val="auto"/>
          <w:lang w:val="en-US"/>
        </w:rPr>
        <w:t>预处理工艺条件</w:t>
      </w:r>
    </w:p>
    <w:p w14:paraId="3B94CB01" w14:textId="77777777" w:rsidR="002E474C" w:rsidRDefault="00000000">
      <w:pPr>
        <w:pStyle w:val="A-z"/>
        <w:rPr>
          <w:color w:val="auto"/>
          <w:lang w:val="en-US"/>
        </w:rPr>
      </w:pPr>
      <w:r>
        <w:rPr>
          <w:color w:val="auto"/>
          <w:lang w:val="en-US"/>
        </w:rPr>
        <w:t>（</w:t>
      </w:r>
      <w:r>
        <w:rPr>
          <w:color w:val="auto"/>
          <w:lang w:val="en-US"/>
        </w:rPr>
        <w:t>1</w:t>
      </w:r>
      <w:r>
        <w:rPr>
          <w:color w:val="auto"/>
          <w:lang w:val="en-US"/>
        </w:rPr>
        <w:t>）完成危险废物准入控制与准入评估</w:t>
      </w:r>
    </w:p>
    <w:p w14:paraId="563CC92B" w14:textId="77777777" w:rsidR="002E474C" w:rsidRDefault="00000000">
      <w:pPr>
        <w:pStyle w:val="A-z"/>
        <w:rPr>
          <w:color w:val="auto"/>
        </w:rPr>
      </w:pPr>
      <w:r>
        <w:rPr>
          <w:color w:val="auto"/>
        </w:rPr>
        <w:t>吉木萨尔协同处置项目已根据《水泥窑协同处置固体废物污染控制标准》（</w:t>
      </w:r>
      <w:r>
        <w:rPr>
          <w:color w:val="auto"/>
        </w:rPr>
        <w:t>GB30485-2013</w:t>
      </w:r>
      <w:r>
        <w:rPr>
          <w:color w:val="auto"/>
        </w:rPr>
        <w:t>）、《水泥窑协同处置固体废物环境保护技术规范》（</w:t>
      </w:r>
      <w:r>
        <w:rPr>
          <w:color w:val="auto"/>
        </w:rPr>
        <w:t>HJ662-2013</w:t>
      </w:r>
      <w:r>
        <w:rPr>
          <w:color w:val="auto"/>
        </w:rPr>
        <w:t>）、《水泥窑协同处置工业废物设计规范》（</w:t>
      </w:r>
      <w:r>
        <w:rPr>
          <w:color w:val="auto"/>
        </w:rPr>
        <w:t>GB50634-2010</w:t>
      </w:r>
      <w:r>
        <w:rPr>
          <w:color w:val="auto"/>
        </w:rPr>
        <w:t>）、《水泥窑协同处置固体废物技术规范》（</w:t>
      </w:r>
      <w:r>
        <w:rPr>
          <w:color w:val="auto"/>
        </w:rPr>
        <w:t>GB/T30760-2024</w:t>
      </w:r>
      <w:r>
        <w:rPr>
          <w:color w:val="auto"/>
        </w:rPr>
        <w:t>）等相关技术规范，在满足水泥窑生产工艺要求和熟料、水泥产品质量要求的前提下，制定了危险废物准入控制方案，确保接收的危险废物满足水泥窑生产工艺要求和熟料、水泥产品质量要求。</w:t>
      </w:r>
    </w:p>
    <w:p w14:paraId="74FE4E5C" w14:textId="77777777" w:rsidR="002E474C" w:rsidRDefault="00000000">
      <w:pPr>
        <w:pStyle w:val="A-z"/>
        <w:rPr>
          <w:color w:val="auto"/>
        </w:rPr>
      </w:pPr>
      <w:r>
        <w:rPr>
          <w:color w:val="auto"/>
        </w:rPr>
        <w:t>吉木萨尔协同处置项目已对拟协同处置的危险废物进行产生过程调查分析、取样和特性分析、能否进厂协同处置进行判断，确保协同处置过程不影响水泥生产过程和操作安全，确保烟气排放达标。</w:t>
      </w:r>
    </w:p>
    <w:p w14:paraId="5B111429" w14:textId="77777777" w:rsidR="002E474C" w:rsidRDefault="00000000">
      <w:pPr>
        <w:pStyle w:val="A-z"/>
        <w:rPr>
          <w:color w:val="auto"/>
        </w:rPr>
      </w:pPr>
      <w:r>
        <w:rPr>
          <w:color w:val="auto"/>
        </w:rPr>
        <w:t>（</w:t>
      </w:r>
      <w:r>
        <w:rPr>
          <w:color w:val="auto"/>
        </w:rPr>
        <w:t>2</w:t>
      </w:r>
      <w:r>
        <w:rPr>
          <w:color w:val="auto"/>
        </w:rPr>
        <w:t>）完成固态、半固态、液态危废初步配伍程序</w:t>
      </w:r>
    </w:p>
    <w:p w14:paraId="393F42BC" w14:textId="77777777" w:rsidR="002E474C" w:rsidRDefault="00000000">
      <w:pPr>
        <w:pStyle w:val="A-z"/>
        <w:rPr>
          <w:color w:val="auto"/>
          <w:lang w:val="en-US"/>
        </w:rPr>
      </w:pPr>
      <w:r>
        <w:rPr>
          <w:color w:val="auto"/>
        </w:rPr>
        <w:t>固态、半固态、液态危废</w:t>
      </w:r>
      <w:r>
        <w:rPr>
          <w:color w:val="auto"/>
          <w:lang w:val="en-US"/>
        </w:rPr>
        <w:t>在预处理中心完成初步配伍及均质程序。该初步配伍与均质工作可有效优化后续协同处置项目入窑前的配伍流程、提升配伍效率，确保预处理产物快速达到水泥窑入窑（磨）指标。</w:t>
      </w:r>
    </w:p>
    <w:p w14:paraId="4AEFF7F8" w14:textId="77777777" w:rsidR="002E474C" w:rsidRDefault="00000000">
      <w:pPr>
        <w:pStyle w:val="A-z"/>
        <w:rPr>
          <w:color w:val="auto"/>
        </w:rPr>
      </w:pPr>
      <w:r>
        <w:rPr>
          <w:color w:val="auto"/>
        </w:rPr>
        <w:t>（</w:t>
      </w:r>
      <w:r>
        <w:rPr>
          <w:color w:val="auto"/>
        </w:rPr>
        <w:t>3</w:t>
      </w:r>
      <w:r>
        <w:rPr>
          <w:color w:val="auto"/>
        </w:rPr>
        <w:t>）完成预处理方案</w:t>
      </w:r>
    </w:p>
    <w:p w14:paraId="7308BE7B" w14:textId="77777777" w:rsidR="002E474C" w:rsidRDefault="00000000">
      <w:pPr>
        <w:pStyle w:val="A-z"/>
        <w:rPr>
          <w:color w:val="auto"/>
        </w:rPr>
      </w:pPr>
      <w:r>
        <w:rPr>
          <w:color w:val="auto"/>
        </w:rPr>
        <w:t>入厂的危险废物经过暂存、检测分析、制定处置方案、废物预处理等流程管理，使不满足入窑要求的入厂废物转变为均质性、物理特性和化学组成满足入窑要求的入窑废物，满足设施输送、投加的要求。同时，废物通过混合和均一化预处理后还可以增大进料量，提高处置效率。预处理中心根据</w:t>
      </w:r>
      <w:r>
        <w:rPr>
          <w:color w:val="auto"/>
          <w:lang w:val="en-US"/>
        </w:rPr>
        <w:t>不同类型的废物分别采取不同的预处理、处置方案。</w:t>
      </w:r>
    </w:p>
    <w:p w14:paraId="31806946" w14:textId="77777777" w:rsidR="002E474C" w:rsidRDefault="00000000">
      <w:pPr>
        <w:pStyle w:val="41"/>
        <w:rPr>
          <w:color w:val="auto"/>
          <w:lang w:val="en-US"/>
        </w:rPr>
      </w:pPr>
      <w:r>
        <w:rPr>
          <w:color w:val="auto"/>
          <w:lang w:val="en-US"/>
        </w:rPr>
        <w:t>预处理规模条件</w:t>
      </w:r>
    </w:p>
    <w:p w14:paraId="26536E2F" w14:textId="77777777" w:rsidR="002E474C" w:rsidRDefault="00000000">
      <w:pPr>
        <w:pStyle w:val="A-z"/>
        <w:rPr>
          <w:bCs/>
          <w:color w:val="auto"/>
          <w:lang w:val="en-US"/>
        </w:rPr>
      </w:pPr>
      <w:r>
        <w:rPr>
          <w:bCs/>
          <w:color w:val="auto"/>
          <w:lang w:val="en-US"/>
        </w:rPr>
        <w:t>（</w:t>
      </w:r>
      <w:r>
        <w:rPr>
          <w:bCs/>
          <w:color w:val="auto"/>
          <w:lang w:val="en-US"/>
        </w:rPr>
        <w:t>1</w:t>
      </w:r>
      <w:r>
        <w:rPr>
          <w:bCs/>
          <w:color w:val="auto"/>
          <w:lang w:val="en-US"/>
        </w:rPr>
        <w:t>）预处理能力</w:t>
      </w:r>
    </w:p>
    <w:p w14:paraId="496147A2" w14:textId="77777777" w:rsidR="002E474C" w:rsidRDefault="00000000">
      <w:pPr>
        <w:pStyle w:val="A-z"/>
        <w:rPr>
          <w:bCs/>
          <w:color w:val="auto"/>
          <w:lang w:val="en-US"/>
        </w:rPr>
      </w:pPr>
      <w:r>
        <w:rPr>
          <w:bCs/>
          <w:color w:val="auto"/>
          <w:lang w:val="en-US"/>
        </w:rPr>
        <w:t>预处理中心的固态危废预处理能力为</w:t>
      </w:r>
      <w:r>
        <w:rPr>
          <w:bCs/>
          <w:color w:val="auto"/>
          <w:lang w:val="en-US"/>
        </w:rPr>
        <w:t>5t/h</w:t>
      </w:r>
      <w:r>
        <w:rPr>
          <w:bCs/>
          <w:color w:val="auto"/>
          <w:lang w:val="en-US"/>
        </w:rPr>
        <w:t>，半固态危废预处理能力</w:t>
      </w:r>
      <w:r>
        <w:rPr>
          <w:bCs/>
          <w:color w:val="auto"/>
          <w:lang w:val="en-US"/>
        </w:rPr>
        <w:t>15</w:t>
      </w:r>
      <w:r>
        <w:rPr>
          <w:bCs/>
          <w:color w:val="auto"/>
          <w:lang w:val="en-US"/>
        </w:rPr>
        <w:t>～</w:t>
      </w:r>
      <w:r>
        <w:rPr>
          <w:bCs/>
          <w:color w:val="auto"/>
          <w:lang w:val="en-US"/>
        </w:rPr>
        <w:t>20t/h</w:t>
      </w:r>
      <w:r>
        <w:rPr>
          <w:bCs/>
          <w:color w:val="auto"/>
          <w:lang w:val="en-US"/>
        </w:rPr>
        <w:t>，</w:t>
      </w:r>
      <w:r>
        <w:rPr>
          <w:bCs/>
          <w:color w:val="auto"/>
          <w:lang w:val="en-US"/>
        </w:rPr>
        <w:lastRenderedPageBreak/>
        <w:t>液态危废预处理能力</w:t>
      </w:r>
      <w:r>
        <w:rPr>
          <w:bCs/>
          <w:color w:val="auto"/>
          <w:lang w:val="en-US"/>
        </w:rPr>
        <w:t>6.9t/h</w:t>
      </w:r>
      <w:r>
        <w:rPr>
          <w:bCs/>
          <w:color w:val="auto"/>
          <w:lang w:val="en-US"/>
        </w:rPr>
        <w:t>。</w:t>
      </w:r>
      <w:r>
        <w:rPr>
          <w:rFonts w:hint="eastAsia"/>
          <w:bCs/>
          <w:color w:val="auto"/>
          <w:lang w:val="en-US"/>
        </w:rPr>
        <w:t>预处理中心的半固态</w:t>
      </w:r>
      <w:r>
        <w:rPr>
          <w:bCs/>
          <w:color w:val="auto"/>
          <w:lang w:val="en-US"/>
        </w:rPr>
        <w:t>危废</w:t>
      </w:r>
      <w:r>
        <w:rPr>
          <w:rFonts w:hint="eastAsia"/>
          <w:bCs/>
          <w:color w:val="auto"/>
          <w:lang w:val="en-US"/>
        </w:rPr>
        <w:t>预处理工艺可同时处理固态危险废物，</w:t>
      </w:r>
      <w:r>
        <w:rPr>
          <w:bCs/>
          <w:color w:val="auto"/>
          <w:lang w:val="en-US"/>
        </w:rPr>
        <w:t>根据年运行</w:t>
      </w:r>
      <w:r>
        <w:rPr>
          <w:bCs/>
          <w:color w:val="auto"/>
          <w:lang w:val="en-US"/>
        </w:rPr>
        <w:t>300d</w:t>
      </w:r>
      <w:r>
        <w:rPr>
          <w:bCs/>
          <w:color w:val="auto"/>
          <w:lang w:val="en-US"/>
        </w:rPr>
        <w:t>计算，预处理中心处置固态（含半固态）危废的设计能力为</w:t>
      </w:r>
      <w:r>
        <w:rPr>
          <w:bCs/>
          <w:color w:val="auto"/>
          <w:lang w:val="en-US"/>
        </w:rPr>
        <w:t>14.4</w:t>
      </w:r>
      <w:r>
        <w:rPr>
          <w:bCs/>
          <w:color w:val="auto"/>
          <w:lang w:val="en-US"/>
        </w:rPr>
        <w:t>～</w:t>
      </w:r>
      <w:r>
        <w:rPr>
          <w:bCs/>
          <w:color w:val="auto"/>
          <w:lang w:val="en-US"/>
        </w:rPr>
        <w:t>18</w:t>
      </w:r>
      <w:r>
        <w:rPr>
          <w:bCs/>
          <w:color w:val="auto"/>
          <w:lang w:val="en-US"/>
        </w:rPr>
        <w:t>万</w:t>
      </w:r>
      <w:r>
        <w:rPr>
          <w:bCs/>
          <w:color w:val="auto"/>
          <w:lang w:val="en-US"/>
        </w:rPr>
        <w:t>t/a</w:t>
      </w:r>
      <w:r>
        <w:rPr>
          <w:bCs/>
          <w:color w:val="auto"/>
          <w:lang w:val="en-US"/>
        </w:rPr>
        <w:t>。</w:t>
      </w:r>
    </w:p>
    <w:p w14:paraId="62665483" w14:textId="77777777" w:rsidR="002E474C" w:rsidRDefault="00000000">
      <w:pPr>
        <w:pStyle w:val="A-z"/>
        <w:rPr>
          <w:color w:val="auto"/>
        </w:rPr>
      </w:pPr>
      <w:r>
        <w:rPr>
          <w:bCs/>
          <w:color w:val="auto"/>
          <w:lang w:val="en-US"/>
        </w:rPr>
        <w:t>吉木萨尔协同处置项目固态（含半固态）危废协同处置规模为</w:t>
      </w:r>
      <w:r>
        <w:rPr>
          <w:bCs/>
          <w:color w:val="auto"/>
          <w:lang w:val="en-US"/>
        </w:rPr>
        <w:t>8</w:t>
      </w:r>
      <w:r>
        <w:rPr>
          <w:bCs/>
          <w:color w:val="auto"/>
          <w:lang w:val="en-US"/>
        </w:rPr>
        <w:t>万</w:t>
      </w:r>
      <w:r>
        <w:rPr>
          <w:bCs/>
          <w:color w:val="auto"/>
          <w:lang w:val="en-US"/>
        </w:rPr>
        <w:t>t/a</w:t>
      </w:r>
      <w:r>
        <w:rPr>
          <w:bCs/>
          <w:color w:val="auto"/>
          <w:lang w:val="en-US"/>
        </w:rPr>
        <w:t>，</w:t>
      </w:r>
      <w:r>
        <w:rPr>
          <w:rFonts w:hint="eastAsia"/>
          <w:color w:val="auto"/>
        </w:rPr>
        <w:t>本项目</w:t>
      </w:r>
      <w:r>
        <w:rPr>
          <w:bCs/>
          <w:color w:val="auto"/>
          <w:lang w:val="en-US"/>
        </w:rPr>
        <w:t>固态（含半固态）危废协同处置规模</w:t>
      </w:r>
      <w:r>
        <w:rPr>
          <w:rFonts w:hint="eastAsia"/>
          <w:bCs/>
          <w:color w:val="auto"/>
          <w:lang w:val="en-US"/>
        </w:rPr>
        <w:t>为</w:t>
      </w:r>
      <w:r>
        <w:rPr>
          <w:rFonts w:hint="eastAsia"/>
          <w:bCs/>
          <w:color w:val="auto"/>
          <w:lang w:val="en-US"/>
        </w:rPr>
        <w:t>4.5</w:t>
      </w:r>
      <w:r>
        <w:rPr>
          <w:rFonts w:hint="eastAsia"/>
          <w:bCs/>
          <w:color w:val="auto"/>
          <w:lang w:val="en-US"/>
        </w:rPr>
        <w:t>万</w:t>
      </w:r>
      <w:r>
        <w:rPr>
          <w:rFonts w:hint="eastAsia"/>
          <w:bCs/>
          <w:color w:val="auto"/>
          <w:lang w:val="en-US"/>
        </w:rPr>
        <w:t>t/a</w:t>
      </w:r>
      <w:r>
        <w:rPr>
          <w:rFonts w:hint="eastAsia"/>
          <w:bCs/>
          <w:color w:val="auto"/>
          <w:lang w:val="en-US"/>
        </w:rPr>
        <w:t>，</w:t>
      </w:r>
      <w:r>
        <w:rPr>
          <w:bCs/>
          <w:color w:val="auto"/>
          <w:lang w:val="en-US"/>
        </w:rPr>
        <w:t>危废协同处置规模</w:t>
      </w:r>
      <w:r>
        <w:rPr>
          <w:rFonts w:hint="eastAsia"/>
          <w:bCs/>
          <w:color w:val="auto"/>
          <w:lang w:val="en-US"/>
        </w:rPr>
        <w:t>总计</w:t>
      </w:r>
      <w:r>
        <w:rPr>
          <w:rFonts w:hint="eastAsia"/>
          <w:bCs/>
          <w:color w:val="auto"/>
          <w:lang w:val="en-US"/>
        </w:rPr>
        <w:t>12.5</w:t>
      </w:r>
      <w:r>
        <w:rPr>
          <w:rFonts w:hint="eastAsia"/>
          <w:bCs/>
          <w:color w:val="auto"/>
          <w:lang w:val="en-US"/>
        </w:rPr>
        <w:t>万</w:t>
      </w:r>
      <w:r>
        <w:rPr>
          <w:rFonts w:hint="eastAsia"/>
          <w:bCs/>
          <w:color w:val="auto"/>
          <w:lang w:val="en-US"/>
        </w:rPr>
        <w:t>t/a</w:t>
      </w:r>
      <w:r>
        <w:rPr>
          <w:rFonts w:hint="eastAsia"/>
          <w:bCs/>
          <w:color w:val="auto"/>
          <w:lang w:val="en-US"/>
        </w:rPr>
        <w:t>，</w:t>
      </w:r>
      <w:r>
        <w:rPr>
          <w:bCs/>
          <w:color w:val="auto"/>
          <w:lang w:val="en-US"/>
        </w:rPr>
        <w:t>预处理中心</w:t>
      </w:r>
      <w:r>
        <w:rPr>
          <w:color w:val="auto"/>
        </w:rPr>
        <w:t>处置固态（含半固态）危废的预处理设计规模和富余能力完全可以满足本项目固态（含半固态）危废预处理要求。</w:t>
      </w:r>
    </w:p>
    <w:p w14:paraId="69B6CD0D" w14:textId="77777777" w:rsidR="002E474C" w:rsidRDefault="00000000">
      <w:pPr>
        <w:pStyle w:val="A-z"/>
        <w:rPr>
          <w:color w:val="auto"/>
        </w:rPr>
      </w:pPr>
      <w:r>
        <w:rPr>
          <w:color w:val="auto"/>
        </w:rPr>
        <w:t>本项目处置的液态危废在预处理中心进行准入控制及废物接收工作，完成入窑符合性分析、准入评估、入厂检查等，确认性状满足液态处置系统处置后桶装或保持原包装，</w:t>
      </w:r>
      <w:r>
        <w:rPr>
          <w:rFonts w:hint="eastAsia"/>
          <w:color w:val="auto"/>
        </w:rPr>
        <w:t>作为</w:t>
      </w:r>
      <w:r>
        <w:rPr>
          <w:color w:val="auto"/>
        </w:rPr>
        <w:t>预处理产物转移至本项目进行处置，不占用</w:t>
      </w:r>
      <w:r>
        <w:rPr>
          <w:bCs/>
          <w:color w:val="auto"/>
          <w:lang w:val="en-US"/>
        </w:rPr>
        <w:t>预处理中心液态危废预处理能力</w:t>
      </w:r>
      <w:r>
        <w:rPr>
          <w:color w:val="auto"/>
        </w:rPr>
        <w:t>。</w:t>
      </w:r>
    </w:p>
    <w:p w14:paraId="24E54C9B" w14:textId="77777777" w:rsidR="002E474C" w:rsidRDefault="00000000">
      <w:pPr>
        <w:pStyle w:val="A-z"/>
        <w:rPr>
          <w:color w:val="auto"/>
          <w:szCs w:val="24"/>
          <w:lang w:val="en-US"/>
        </w:rPr>
      </w:pPr>
      <w:r>
        <w:rPr>
          <w:color w:val="auto"/>
          <w:szCs w:val="24"/>
          <w:lang w:val="en-US"/>
        </w:rPr>
        <w:t>（</w:t>
      </w:r>
      <w:r>
        <w:rPr>
          <w:color w:val="auto"/>
          <w:szCs w:val="24"/>
          <w:lang w:val="en-US"/>
        </w:rPr>
        <w:t>2</w:t>
      </w:r>
      <w:r>
        <w:rPr>
          <w:color w:val="auto"/>
          <w:szCs w:val="24"/>
          <w:lang w:val="en-US"/>
        </w:rPr>
        <w:t>）贮存能力</w:t>
      </w:r>
    </w:p>
    <w:p w14:paraId="47FA11E9" w14:textId="77777777" w:rsidR="002E474C" w:rsidRDefault="00000000">
      <w:pPr>
        <w:pStyle w:val="A-z"/>
        <w:rPr>
          <w:color w:val="auto"/>
          <w:szCs w:val="24"/>
          <w:lang w:val="en-US"/>
        </w:rPr>
      </w:pPr>
      <w:r>
        <w:rPr>
          <w:color w:val="auto"/>
          <w:szCs w:val="24"/>
          <w:lang w:val="en-US"/>
        </w:rPr>
        <w:t>《水泥窑协同处置危险废物经营许可证审查指南（试行）》（环境保护部公告</w:t>
      </w:r>
      <w:r>
        <w:rPr>
          <w:color w:val="auto"/>
          <w:szCs w:val="24"/>
          <w:lang w:val="en-US"/>
        </w:rPr>
        <w:t>2017</w:t>
      </w:r>
      <w:r>
        <w:rPr>
          <w:color w:val="auto"/>
          <w:szCs w:val="24"/>
          <w:lang w:val="en-US"/>
        </w:rPr>
        <w:t>年第</w:t>
      </w:r>
      <w:r>
        <w:rPr>
          <w:color w:val="auto"/>
          <w:szCs w:val="24"/>
          <w:lang w:val="en-US"/>
        </w:rPr>
        <w:t>22</w:t>
      </w:r>
      <w:r>
        <w:rPr>
          <w:color w:val="auto"/>
          <w:szCs w:val="24"/>
          <w:lang w:val="en-US"/>
        </w:rPr>
        <w:t>号）规定：采用分散联合经营模式和分散独立经营模式时，预处理中心的危险废物贮存设施容量应不小于危险废物日预处理能力的</w:t>
      </w:r>
      <w:r>
        <w:rPr>
          <w:color w:val="auto"/>
          <w:szCs w:val="24"/>
          <w:lang w:val="en-US"/>
        </w:rPr>
        <w:t>15</w:t>
      </w:r>
      <w:r>
        <w:rPr>
          <w:color w:val="auto"/>
          <w:szCs w:val="24"/>
          <w:lang w:val="en-US"/>
        </w:rPr>
        <w:t>倍。</w:t>
      </w:r>
    </w:p>
    <w:p w14:paraId="0BCA955F" w14:textId="77777777" w:rsidR="002E474C" w:rsidRDefault="00000000">
      <w:pPr>
        <w:pStyle w:val="A-z"/>
        <w:ind w:firstLine="456"/>
        <w:rPr>
          <w:color w:val="auto"/>
          <w:szCs w:val="24"/>
          <w:lang w:val="en-US"/>
        </w:rPr>
      </w:pPr>
      <w:r>
        <w:rPr>
          <w:rFonts w:hint="eastAsia"/>
          <w:color w:val="auto"/>
          <w:spacing w:val="-6"/>
        </w:rPr>
        <w:t>预处理中心</w:t>
      </w:r>
      <w:r>
        <w:rPr>
          <w:color w:val="auto"/>
          <w:spacing w:val="-6"/>
        </w:rPr>
        <w:t>建设联合贮存库房</w:t>
      </w:r>
      <w:r>
        <w:rPr>
          <w:color w:val="auto"/>
          <w:spacing w:val="-6"/>
        </w:rPr>
        <w:t>13</w:t>
      </w:r>
      <w:r>
        <w:rPr>
          <w:color w:val="auto"/>
          <w:spacing w:val="-6"/>
        </w:rPr>
        <w:t>个，储存规模</w:t>
      </w:r>
      <w:r>
        <w:rPr>
          <w:color w:val="auto"/>
          <w:spacing w:val="-6"/>
        </w:rPr>
        <w:t>6012t</w:t>
      </w:r>
      <w:r>
        <w:rPr>
          <w:color w:val="auto"/>
          <w:spacing w:val="-6"/>
        </w:rPr>
        <w:t>；清洗物品贮存库</w:t>
      </w:r>
      <w:r>
        <w:rPr>
          <w:color w:val="auto"/>
          <w:spacing w:val="-6"/>
        </w:rPr>
        <w:t>1</w:t>
      </w:r>
      <w:r>
        <w:rPr>
          <w:color w:val="auto"/>
          <w:spacing w:val="-6"/>
        </w:rPr>
        <w:t>个，储存规模</w:t>
      </w:r>
      <w:r>
        <w:rPr>
          <w:color w:val="auto"/>
          <w:spacing w:val="-6"/>
        </w:rPr>
        <w:t>216t</w:t>
      </w:r>
      <w:r>
        <w:rPr>
          <w:color w:val="auto"/>
          <w:spacing w:val="-6"/>
        </w:rPr>
        <w:t>；废液罐</w:t>
      </w:r>
      <w:r>
        <w:rPr>
          <w:color w:val="auto"/>
          <w:spacing w:val="-6"/>
        </w:rPr>
        <w:t>4</w:t>
      </w:r>
      <w:r>
        <w:rPr>
          <w:color w:val="auto"/>
          <w:spacing w:val="-6"/>
        </w:rPr>
        <w:t>个，储存规模</w:t>
      </w:r>
      <w:r>
        <w:rPr>
          <w:color w:val="auto"/>
          <w:spacing w:val="-6"/>
        </w:rPr>
        <w:t>140t</w:t>
      </w:r>
      <w:r>
        <w:rPr>
          <w:color w:val="auto"/>
          <w:spacing w:val="-6"/>
        </w:rPr>
        <w:t>；固态半固态危废</w:t>
      </w:r>
      <w:r>
        <w:rPr>
          <w:rFonts w:hint="eastAsia"/>
          <w:color w:val="auto"/>
          <w:spacing w:val="-6"/>
        </w:rPr>
        <w:t>预处理</w:t>
      </w:r>
      <w:r>
        <w:rPr>
          <w:rFonts w:hint="eastAsia"/>
          <w:color w:val="auto"/>
          <w:spacing w:val="-6"/>
        </w:rPr>
        <w:t>8768t</w:t>
      </w:r>
      <w:r>
        <w:rPr>
          <w:rFonts w:hint="eastAsia"/>
          <w:color w:val="auto"/>
          <w:spacing w:val="-6"/>
        </w:rPr>
        <w:t>。</w:t>
      </w:r>
    </w:p>
    <w:p w14:paraId="0BB8AAD5" w14:textId="77777777" w:rsidR="002E474C" w:rsidRDefault="00000000">
      <w:pPr>
        <w:pStyle w:val="A-z"/>
        <w:rPr>
          <w:color w:val="auto"/>
          <w:szCs w:val="24"/>
          <w:lang w:val="en-US"/>
        </w:rPr>
      </w:pPr>
      <w:r>
        <w:rPr>
          <w:rFonts w:hint="eastAsia"/>
          <w:color w:val="auto"/>
          <w:szCs w:val="24"/>
          <w:lang w:val="en-US"/>
        </w:rPr>
        <w:t>预处理中心危险废物</w:t>
      </w:r>
      <w:r>
        <w:rPr>
          <w:color w:val="auto"/>
          <w:szCs w:val="24"/>
          <w:lang w:val="en-US"/>
        </w:rPr>
        <w:t>日预处理能力为</w:t>
      </w:r>
      <w:r>
        <w:rPr>
          <w:rFonts w:hint="eastAsia"/>
          <w:color w:val="auto"/>
          <w:szCs w:val="24"/>
          <w:lang w:val="en-US"/>
        </w:rPr>
        <w:t>766t/d</w:t>
      </w:r>
      <w:r>
        <w:rPr>
          <w:rFonts w:hint="eastAsia"/>
          <w:color w:val="auto"/>
          <w:szCs w:val="24"/>
          <w:lang w:val="en-US"/>
        </w:rPr>
        <w:t>，但在</w:t>
      </w:r>
      <w:r>
        <w:rPr>
          <w:bCs/>
          <w:color w:val="auto"/>
          <w:lang w:val="en-US"/>
        </w:rPr>
        <w:t>吉木萨尔协同处置项目</w:t>
      </w:r>
      <w:r>
        <w:rPr>
          <w:rFonts w:hint="eastAsia"/>
          <w:bCs/>
          <w:color w:val="auto"/>
          <w:lang w:val="en-US"/>
        </w:rPr>
        <w:t>和本项目</w:t>
      </w:r>
      <w:r>
        <w:rPr>
          <w:color w:val="auto"/>
          <w:szCs w:val="24"/>
          <w:lang w:val="en-US"/>
        </w:rPr>
        <w:t>水泥窑</w:t>
      </w:r>
      <w:r>
        <w:rPr>
          <w:rFonts w:hint="eastAsia"/>
          <w:color w:val="auto"/>
          <w:szCs w:val="24"/>
          <w:lang w:val="en-US"/>
        </w:rPr>
        <w:t>满负荷运行情况下的最大预处理规模为</w:t>
      </w:r>
      <w:r>
        <w:rPr>
          <w:rFonts w:hint="eastAsia"/>
          <w:color w:val="auto"/>
          <w:szCs w:val="24"/>
          <w:lang w:val="en-US"/>
        </w:rPr>
        <w:t>500t/d</w:t>
      </w:r>
      <w:r>
        <w:rPr>
          <w:rFonts w:hint="eastAsia"/>
          <w:color w:val="auto"/>
          <w:szCs w:val="24"/>
          <w:lang w:val="en-US"/>
        </w:rPr>
        <w:t>。预处理中心贮存能力</w:t>
      </w:r>
      <w:r>
        <w:rPr>
          <w:color w:val="auto"/>
          <w:szCs w:val="24"/>
          <w:lang w:val="en-US"/>
        </w:rPr>
        <w:t>是</w:t>
      </w:r>
      <w:r>
        <w:rPr>
          <w:rFonts w:hint="eastAsia"/>
          <w:color w:val="auto"/>
          <w:szCs w:val="24"/>
          <w:lang w:val="en-US"/>
        </w:rPr>
        <w:t>日</w:t>
      </w:r>
      <w:r>
        <w:rPr>
          <w:color w:val="auto"/>
          <w:szCs w:val="24"/>
          <w:lang w:val="en-US"/>
        </w:rPr>
        <w:t>预处理能力的</w:t>
      </w:r>
      <w:r>
        <w:rPr>
          <w:rFonts w:hint="eastAsia"/>
          <w:color w:val="auto"/>
          <w:szCs w:val="24"/>
          <w:lang w:val="en-US"/>
        </w:rPr>
        <w:t>17.5</w:t>
      </w:r>
      <w:r>
        <w:rPr>
          <w:color w:val="auto"/>
          <w:szCs w:val="24"/>
          <w:lang w:val="en-US"/>
        </w:rPr>
        <w:t>倍。</w:t>
      </w:r>
      <w:r>
        <w:rPr>
          <w:color w:val="auto"/>
          <w:szCs w:val="24"/>
        </w:rPr>
        <w:t>该项目</w:t>
      </w:r>
      <w:r>
        <w:rPr>
          <w:color w:val="auto"/>
          <w:szCs w:val="24"/>
          <w:lang w:val="en-US"/>
        </w:rPr>
        <w:t>贮存</w:t>
      </w:r>
      <w:r>
        <w:rPr>
          <w:color w:val="auto"/>
          <w:szCs w:val="24"/>
        </w:rPr>
        <w:t>能力</w:t>
      </w:r>
      <w:r>
        <w:rPr>
          <w:color w:val="auto"/>
          <w:szCs w:val="24"/>
          <w:lang w:val="en-US"/>
        </w:rPr>
        <w:t>可供</w:t>
      </w:r>
      <w:r>
        <w:rPr>
          <w:color w:val="auto"/>
          <w:szCs w:val="24"/>
        </w:rPr>
        <w:t>应</w:t>
      </w:r>
      <w:r>
        <w:rPr>
          <w:color w:val="auto"/>
          <w:szCs w:val="24"/>
          <w:lang w:val="en-US"/>
        </w:rPr>
        <w:t>吉木萨尔协同处置项目</w:t>
      </w:r>
      <w:r>
        <w:rPr>
          <w:color w:val="auto"/>
          <w:szCs w:val="24"/>
        </w:rPr>
        <w:t>和本项目</w:t>
      </w:r>
      <w:r>
        <w:rPr>
          <w:color w:val="auto"/>
          <w:szCs w:val="24"/>
          <w:lang w:val="en-US"/>
        </w:rPr>
        <w:t>水泥窑</w:t>
      </w:r>
      <w:r>
        <w:rPr>
          <w:color w:val="auto"/>
          <w:szCs w:val="24"/>
        </w:rPr>
        <w:t>满负荷运行工况下</w:t>
      </w:r>
      <w:r>
        <w:rPr>
          <w:color w:val="auto"/>
          <w:szCs w:val="24"/>
          <w:lang w:val="en-US"/>
        </w:rPr>
        <w:t>协同处置</w:t>
      </w:r>
      <w:r>
        <w:rPr>
          <w:rFonts w:hint="eastAsia"/>
          <w:color w:val="auto"/>
          <w:szCs w:val="24"/>
          <w:lang w:val="en-US"/>
        </w:rPr>
        <w:t>17.5</w:t>
      </w:r>
      <w:r>
        <w:rPr>
          <w:color w:val="auto"/>
          <w:szCs w:val="24"/>
          <w:lang w:val="en-US"/>
        </w:rPr>
        <w:t>天</w:t>
      </w:r>
      <w:r>
        <w:rPr>
          <w:color w:val="auto"/>
          <w:szCs w:val="24"/>
        </w:rPr>
        <w:t>危废贮存需要</w:t>
      </w:r>
      <w:r>
        <w:rPr>
          <w:rFonts w:hint="eastAsia"/>
          <w:color w:val="auto"/>
          <w:szCs w:val="24"/>
        </w:rPr>
        <w:t>，符合</w:t>
      </w:r>
      <w:r>
        <w:rPr>
          <w:color w:val="auto"/>
          <w:szCs w:val="24"/>
          <w:lang w:val="en-US"/>
        </w:rPr>
        <w:t>《水泥窑协同处置危险废物经营许可证审查指南（试行）》</w:t>
      </w:r>
      <w:r>
        <w:rPr>
          <w:rFonts w:hint="eastAsia"/>
          <w:color w:val="auto"/>
          <w:szCs w:val="24"/>
          <w:lang w:val="en-US"/>
        </w:rPr>
        <w:t>关于</w:t>
      </w:r>
      <w:r>
        <w:rPr>
          <w:color w:val="auto"/>
          <w:szCs w:val="24"/>
          <w:lang w:val="en-US"/>
        </w:rPr>
        <w:t>预处理中心的危险废物贮存设施容量</w:t>
      </w:r>
      <w:r>
        <w:rPr>
          <w:rFonts w:hint="eastAsia"/>
          <w:color w:val="auto"/>
          <w:szCs w:val="24"/>
          <w:lang w:val="en-US"/>
        </w:rPr>
        <w:t>的要求</w:t>
      </w:r>
      <w:r>
        <w:rPr>
          <w:color w:val="auto"/>
          <w:szCs w:val="24"/>
          <w:lang w:val="en-US"/>
        </w:rPr>
        <w:t>。</w:t>
      </w:r>
    </w:p>
    <w:p w14:paraId="467E5CA9" w14:textId="77777777" w:rsidR="002E474C" w:rsidRDefault="00000000">
      <w:pPr>
        <w:pStyle w:val="41"/>
        <w:rPr>
          <w:color w:val="auto"/>
          <w:lang w:val="en-US"/>
        </w:rPr>
      </w:pPr>
      <w:r>
        <w:rPr>
          <w:color w:val="auto"/>
          <w:lang w:val="en-US"/>
        </w:rPr>
        <w:t>预处理产物转移条件</w:t>
      </w:r>
    </w:p>
    <w:p w14:paraId="78B58A78" w14:textId="77777777" w:rsidR="002E474C" w:rsidRDefault="00000000">
      <w:pPr>
        <w:pStyle w:val="A-z"/>
        <w:rPr>
          <w:color w:val="auto"/>
        </w:rPr>
      </w:pPr>
      <w:r>
        <w:rPr>
          <w:color w:val="auto"/>
        </w:rPr>
        <w:t>新疆中建环能公司已与乌鲁木齐迪城运输有限公司签订危险废物运输合同书，</w:t>
      </w:r>
      <w:r>
        <w:rPr>
          <w:color w:val="auto"/>
          <w:lang w:val="en-US"/>
        </w:rPr>
        <w:t>运输危险废物到达地为新疆吐鲁番市托克逊县阿拉惠镇新疆圣雄水泥有限公司。</w:t>
      </w:r>
      <w:r>
        <w:rPr>
          <w:color w:val="auto"/>
        </w:rPr>
        <w:t>乌鲁木齐迪城运输有限公司经营范围包括道路危险废物运输，公司道路运输经营许可证经营范围包括经营性道路危险废物运输。</w:t>
      </w:r>
    </w:p>
    <w:p w14:paraId="678E1DF2" w14:textId="77777777" w:rsidR="002E474C" w:rsidRDefault="00000000">
      <w:pPr>
        <w:pStyle w:val="A-z"/>
        <w:rPr>
          <w:color w:val="auto"/>
          <w:lang w:val="en-US"/>
        </w:rPr>
      </w:pPr>
      <w:r>
        <w:rPr>
          <w:color w:val="auto"/>
          <w:lang w:val="en-US"/>
        </w:rPr>
        <w:t>预处理中心在危险废物预处理全过程中，严格落实安全管控措施，通过实施</w:t>
      </w:r>
      <w:r>
        <w:rPr>
          <w:color w:val="auto"/>
          <w:lang w:val="en-US"/>
        </w:rPr>
        <w:lastRenderedPageBreak/>
        <w:t>危险废物准入控制、入厂验收、标准化预处理工艺三大核心环节，全面防范各类安全风险，确保预处理产物的运输、贮存及协同处置全流程安全，同时保障水泥生产环节的安全稳定运行。</w:t>
      </w:r>
    </w:p>
    <w:p w14:paraId="521FAC99" w14:textId="77777777" w:rsidR="002E474C" w:rsidRDefault="00000000">
      <w:pPr>
        <w:pStyle w:val="A-z"/>
        <w:rPr>
          <w:color w:val="auto"/>
          <w:lang w:val="en-US"/>
        </w:rPr>
      </w:pPr>
      <w:r>
        <w:rPr>
          <w:color w:val="auto"/>
          <w:lang w:val="en-US"/>
        </w:rPr>
        <w:t>综上分析，预处理中心的危险废物准入控制、准入评估、初步配伍及预处理方案可满足本项目危险废物协同处置要求，预处理能力与贮存能力均满足本项目协同处置危废协同处置规模要求，同时具备危险废物预处理产物安全转移条件，本项目依托预处理中心可行。</w:t>
      </w:r>
    </w:p>
    <w:p w14:paraId="242D41B3" w14:textId="77777777" w:rsidR="002E474C" w:rsidRDefault="00000000">
      <w:pPr>
        <w:pStyle w:val="21"/>
        <w:spacing w:before="240" w:after="240"/>
        <w:rPr>
          <w:color w:val="auto"/>
        </w:rPr>
      </w:pPr>
      <w:bookmarkStart w:id="133" w:name="_Toc10839"/>
      <w:bookmarkStart w:id="134" w:name="_Toc225848853"/>
      <w:r>
        <w:rPr>
          <w:color w:val="auto"/>
        </w:rPr>
        <w:t>项目概况</w:t>
      </w:r>
      <w:bookmarkEnd w:id="133"/>
      <w:bookmarkEnd w:id="134"/>
    </w:p>
    <w:p w14:paraId="773E3AE1" w14:textId="77777777" w:rsidR="002E474C" w:rsidRDefault="00000000">
      <w:pPr>
        <w:pStyle w:val="31"/>
        <w:spacing w:before="120" w:after="120"/>
        <w:rPr>
          <w:color w:val="auto"/>
        </w:rPr>
      </w:pPr>
      <w:r>
        <w:rPr>
          <w:color w:val="auto"/>
        </w:rPr>
        <w:t>项目基本情况</w:t>
      </w:r>
    </w:p>
    <w:p w14:paraId="2965B530" w14:textId="77777777" w:rsidR="002E474C" w:rsidRDefault="00000000">
      <w:pPr>
        <w:pStyle w:val="A-z"/>
        <w:rPr>
          <w:color w:val="auto"/>
        </w:rPr>
      </w:pPr>
      <w:r>
        <w:rPr>
          <w:color w:val="auto"/>
        </w:rPr>
        <w:t>项目名称：</w:t>
      </w:r>
      <w:bookmarkStart w:id="135" w:name="_Hlk233987922"/>
      <w:r>
        <w:rPr>
          <w:color w:val="auto"/>
        </w:rPr>
        <w:t>新疆圣雄能源股份有限公司水泥窑协同处置危险废物项目</w:t>
      </w:r>
      <w:bookmarkEnd w:id="135"/>
    </w:p>
    <w:p w14:paraId="3DE4B832" w14:textId="77777777" w:rsidR="002E474C" w:rsidRDefault="00000000">
      <w:pPr>
        <w:pStyle w:val="A-z"/>
        <w:rPr>
          <w:color w:val="auto"/>
        </w:rPr>
      </w:pPr>
      <w:r>
        <w:rPr>
          <w:color w:val="auto"/>
        </w:rPr>
        <w:t>建设单位：</w:t>
      </w:r>
      <w:bookmarkStart w:id="136" w:name="_Hlk233988069"/>
      <w:r>
        <w:rPr>
          <w:color w:val="auto"/>
        </w:rPr>
        <w:t>新疆中建环能北庭环保科技有限公司</w:t>
      </w:r>
      <w:bookmarkEnd w:id="136"/>
    </w:p>
    <w:p w14:paraId="0A7B3421" w14:textId="77777777" w:rsidR="002E474C" w:rsidRDefault="00000000">
      <w:pPr>
        <w:pStyle w:val="A-z"/>
        <w:rPr>
          <w:color w:val="auto"/>
        </w:rPr>
      </w:pPr>
      <w:r>
        <w:rPr>
          <w:color w:val="auto"/>
        </w:rPr>
        <w:t>建设性质：新建</w:t>
      </w:r>
    </w:p>
    <w:p w14:paraId="338B80EC" w14:textId="77777777" w:rsidR="002E474C" w:rsidRDefault="00000000">
      <w:pPr>
        <w:pStyle w:val="A-z"/>
        <w:rPr>
          <w:color w:val="auto"/>
        </w:rPr>
      </w:pPr>
      <w:r>
        <w:rPr>
          <w:color w:val="auto"/>
        </w:rPr>
        <w:t>行业类别：</w:t>
      </w:r>
      <w:r>
        <w:rPr>
          <w:color w:val="auto"/>
        </w:rPr>
        <w:t>N7724</w:t>
      </w:r>
      <w:r>
        <w:rPr>
          <w:color w:val="auto"/>
        </w:rPr>
        <w:t>危险废物治理</w:t>
      </w:r>
    </w:p>
    <w:p w14:paraId="09DDBAA6" w14:textId="77777777" w:rsidR="002E474C" w:rsidRDefault="00000000">
      <w:pPr>
        <w:pStyle w:val="A-z"/>
        <w:rPr>
          <w:color w:val="auto"/>
        </w:rPr>
      </w:pPr>
      <w:r>
        <w:rPr>
          <w:color w:val="auto"/>
        </w:rPr>
        <w:t>工程投资：总投资</w:t>
      </w:r>
      <w:r>
        <w:rPr>
          <w:color w:val="auto"/>
        </w:rPr>
        <w:t>1500</w:t>
      </w:r>
      <w:r>
        <w:rPr>
          <w:color w:val="auto"/>
        </w:rPr>
        <w:t>万元，本项目为环境治理工程，环保投资占总投资</w:t>
      </w:r>
      <w:r>
        <w:rPr>
          <w:color w:val="auto"/>
        </w:rPr>
        <w:t>100%</w:t>
      </w:r>
      <w:r>
        <w:rPr>
          <w:color w:val="auto"/>
        </w:rPr>
        <w:t>。</w:t>
      </w:r>
    </w:p>
    <w:p w14:paraId="1A4E2EC6" w14:textId="77777777" w:rsidR="002E474C" w:rsidRDefault="00000000">
      <w:pPr>
        <w:pStyle w:val="A-z"/>
        <w:rPr>
          <w:color w:val="auto"/>
        </w:rPr>
      </w:pPr>
      <w:r>
        <w:rPr>
          <w:color w:val="auto"/>
        </w:rPr>
        <w:t>占地面积：</w:t>
      </w:r>
      <w:r>
        <w:rPr>
          <w:color w:val="auto"/>
        </w:rPr>
        <w:t>4500m²</w:t>
      </w:r>
      <w:r>
        <w:rPr>
          <w:color w:val="auto"/>
        </w:rPr>
        <w:t>。</w:t>
      </w:r>
    </w:p>
    <w:p w14:paraId="44652BCF" w14:textId="774598AA" w:rsidR="002E474C" w:rsidRDefault="00000000">
      <w:pPr>
        <w:pStyle w:val="A-z"/>
        <w:rPr>
          <w:color w:val="auto"/>
        </w:rPr>
      </w:pPr>
      <w:r>
        <w:rPr>
          <w:color w:val="auto"/>
        </w:rPr>
        <w:t>建设地点：项目位于</w:t>
      </w:r>
      <w:bookmarkStart w:id="137" w:name="OLE_LINK46"/>
      <w:r>
        <w:rPr>
          <w:color w:val="auto"/>
        </w:rPr>
        <w:t>新疆维吾尔自治区吐鲁番市托克逊县阿乐惠镇托克逊能源工业园圣雄同心工业园新疆圣雄水泥有限公司厂区内</w:t>
      </w:r>
      <w:bookmarkEnd w:id="137"/>
      <w:r>
        <w:rPr>
          <w:color w:val="auto"/>
        </w:rPr>
        <w:t>。</w:t>
      </w:r>
      <w:r>
        <w:rPr>
          <w:color w:val="auto"/>
          <w:lang w:val="en-US"/>
        </w:rPr>
        <w:t>厂区北侧为</w:t>
      </w:r>
      <w:r>
        <w:rPr>
          <w:color w:val="auto"/>
          <w:lang w:val="en-US"/>
        </w:rPr>
        <w:t>301</w:t>
      </w:r>
      <w:r>
        <w:rPr>
          <w:color w:val="auto"/>
          <w:lang w:val="en-US"/>
        </w:rPr>
        <w:t>国道，西侧为圣雄电石有限公司，南侧为阿拉沟干渠，东南侧为圣雄氯碱有限公司。</w:t>
      </w:r>
    </w:p>
    <w:p w14:paraId="784E81C8" w14:textId="77777777" w:rsidR="002E474C" w:rsidRDefault="00000000">
      <w:pPr>
        <w:pStyle w:val="A-z"/>
        <w:rPr>
          <w:color w:val="auto"/>
        </w:rPr>
      </w:pPr>
      <w:r>
        <w:rPr>
          <w:color w:val="auto"/>
        </w:rPr>
        <w:t>工作制度：年工作</w:t>
      </w:r>
      <w:r>
        <w:rPr>
          <w:color w:val="auto"/>
        </w:rPr>
        <w:t>300d</w:t>
      </w:r>
      <w:r>
        <w:rPr>
          <w:color w:val="auto"/>
        </w:rPr>
        <w:t>，危险废物处置线岗位人员与水泥生产线同为四班三运转，年运行</w:t>
      </w:r>
      <w:r>
        <w:rPr>
          <w:color w:val="auto"/>
        </w:rPr>
        <w:t>7200h</w:t>
      </w:r>
      <w:r>
        <w:rPr>
          <w:color w:val="auto"/>
        </w:rPr>
        <w:t>。</w:t>
      </w:r>
    </w:p>
    <w:p w14:paraId="76D5D0D6" w14:textId="77777777" w:rsidR="002E474C" w:rsidRDefault="00000000">
      <w:pPr>
        <w:pStyle w:val="A-z"/>
        <w:rPr>
          <w:color w:val="auto"/>
        </w:rPr>
      </w:pPr>
      <w:r>
        <w:rPr>
          <w:color w:val="auto"/>
        </w:rPr>
        <w:t>劳动定员：新增工作人员</w:t>
      </w:r>
      <w:r>
        <w:rPr>
          <w:color w:val="auto"/>
        </w:rPr>
        <w:t>20</w:t>
      </w:r>
      <w:r>
        <w:rPr>
          <w:color w:val="auto"/>
        </w:rPr>
        <w:t>人。</w:t>
      </w:r>
    </w:p>
    <w:p w14:paraId="03B99343" w14:textId="77777777" w:rsidR="002E474C" w:rsidRDefault="00000000">
      <w:pPr>
        <w:pStyle w:val="A-z"/>
        <w:rPr>
          <w:color w:val="auto"/>
        </w:rPr>
      </w:pPr>
      <w:r>
        <w:rPr>
          <w:color w:val="auto"/>
        </w:rPr>
        <w:t>建设周期：建设期</w:t>
      </w:r>
      <w:r>
        <w:rPr>
          <w:color w:val="auto"/>
        </w:rPr>
        <w:t>8</w:t>
      </w:r>
      <w:r>
        <w:rPr>
          <w:color w:val="auto"/>
        </w:rPr>
        <w:t>个月。</w:t>
      </w:r>
    </w:p>
    <w:p w14:paraId="01532C03" w14:textId="77777777" w:rsidR="002E474C" w:rsidRDefault="00000000">
      <w:pPr>
        <w:pStyle w:val="A-z"/>
        <w:ind w:firstLine="456"/>
        <w:rPr>
          <w:color w:val="auto"/>
          <w:spacing w:val="-6"/>
        </w:rPr>
      </w:pPr>
      <w:r>
        <w:rPr>
          <w:color w:val="auto"/>
          <w:spacing w:val="-6"/>
        </w:rPr>
        <w:t>建设规模：利用圣雄水泥公司现有</w:t>
      </w:r>
      <w:r>
        <w:rPr>
          <w:color w:val="auto"/>
          <w:spacing w:val="-6"/>
        </w:rPr>
        <w:t>5000t/d</w:t>
      </w:r>
      <w:bookmarkStart w:id="138" w:name="_Hlk151226274"/>
      <w:r>
        <w:rPr>
          <w:color w:val="auto"/>
        </w:rPr>
        <w:t>电石渣干法水泥生产线</w:t>
      </w:r>
      <w:r>
        <w:rPr>
          <w:color w:val="auto"/>
          <w:spacing w:val="-6"/>
        </w:rPr>
        <w:t>协同处置</w:t>
      </w:r>
      <w:r>
        <w:rPr>
          <w:color w:val="auto"/>
          <w:spacing w:val="-6"/>
        </w:rPr>
        <w:t>5</w:t>
      </w:r>
      <w:r>
        <w:rPr>
          <w:color w:val="auto"/>
          <w:spacing w:val="-6"/>
        </w:rPr>
        <w:t>万</w:t>
      </w:r>
      <w:r>
        <w:rPr>
          <w:color w:val="auto"/>
          <w:spacing w:val="-6"/>
        </w:rPr>
        <w:t>t/a</w:t>
      </w:r>
      <w:r>
        <w:rPr>
          <w:color w:val="auto"/>
          <w:spacing w:val="-6"/>
        </w:rPr>
        <w:t>工业危险废物。其中，固态（含半固态）危废</w:t>
      </w:r>
      <w:r>
        <w:rPr>
          <w:color w:val="auto"/>
          <w:spacing w:val="-6"/>
        </w:rPr>
        <w:t>4.5</w:t>
      </w:r>
      <w:r>
        <w:rPr>
          <w:color w:val="auto"/>
          <w:spacing w:val="-6"/>
        </w:rPr>
        <w:t>万</w:t>
      </w:r>
      <w:r>
        <w:rPr>
          <w:color w:val="auto"/>
          <w:spacing w:val="-6"/>
        </w:rPr>
        <w:t>t/a</w:t>
      </w:r>
      <w:r>
        <w:rPr>
          <w:color w:val="auto"/>
          <w:spacing w:val="-6"/>
        </w:rPr>
        <w:t>，液态危废</w:t>
      </w:r>
      <w:r>
        <w:rPr>
          <w:color w:val="auto"/>
          <w:spacing w:val="-6"/>
        </w:rPr>
        <w:t>0.5</w:t>
      </w:r>
      <w:r>
        <w:rPr>
          <w:color w:val="auto"/>
          <w:spacing w:val="-6"/>
        </w:rPr>
        <w:t>万</w:t>
      </w:r>
      <w:r>
        <w:rPr>
          <w:color w:val="auto"/>
          <w:spacing w:val="-6"/>
        </w:rPr>
        <w:t>t/a</w:t>
      </w:r>
      <w:r>
        <w:rPr>
          <w:color w:val="auto"/>
          <w:spacing w:val="-6"/>
        </w:rPr>
        <w:t>。</w:t>
      </w:r>
      <w:bookmarkEnd w:id="138"/>
    </w:p>
    <w:p w14:paraId="2CD6A708" w14:textId="77777777" w:rsidR="002E474C" w:rsidRDefault="00000000">
      <w:pPr>
        <w:pStyle w:val="31"/>
        <w:spacing w:before="120" w:after="120"/>
        <w:rPr>
          <w:color w:val="auto"/>
        </w:rPr>
      </w:pPr>
      <w:r>
        <w:rPr>
          <w:color w:val="auto"/>
        </w:rPr>
        <w:t>项目组成与水泥生产线改造内容</w:t>
      </w:r>
    </w:p>
    <w:p w14:paraId="7EE6C9E7" w14:textId="77777777" w:rsidR="002E474C" w:rsidRDefault="00000000">
      <w:pPr>
        <w:pStyle w:val="A-z"/>
        <w:rPr>
          <w:color w:val="auto"/>
        </w:rPr>
      </w:pPr>
      <w:r>
        <w:rPr>
          <w:color w:val="auto"/>
        </w:rPr>
        <w:t>本项目主要建设内容包括</w:t>
      </w:r>
      <w:r>
        <w:rPr>
          <w:rFonts w:hint="eastAsia"/>
          <w:color w:val="auto"/>
        </w:rPr>
        <w:t>主体工程、辅助工程、公用工程及环保工程。主体</w:t>
      </w:r>
      <w:r>
        <w:rPr>
          <w:rFonts w:hint="eastAsia"/>
          <w:color w:val="auto"/>
        </w:rPr>
        <w:lastRenderedPageBreak/>
        <w:t>工程包括危废贮存库、预处理车间、投料系统及焚烧系统，新疆中建环能公司在圣雄水泥公司厂内新建危废贮存库、预处理车间、投料系统</w:t>
      </w:r>
      <w:r>
        <w:rPr>
          <w:color w:val="auto"/>
        </w:rPr>
        <w:t>，</w:t>
      </w:r>
      <w:r>
        <w:rPr>
          <w:rFonts w:hint="eastAsia"/>
          <w:color w:val="auto"/>
        </w:rPr>
        <w:t>依托圣雄水泥公司现有</w:t>
      </w:r>
      <w:r>
        <w:rPr>
          <w:color w:val="auto"/>
        </w:rPr>
        <w:t>电石渣干法水泥生产线</w:t>
      </w:r>
      <w:r>
        <w:rPr>
          <w:rFonts w:hint="eastAsia"/>
          <w:color w:val="auto"/>
        </w:rPr>
        <w:t>作为焚烧系统，并根据投料系统建设情况对窑头、分解炉和配料系统</w:t>
      </w:r>
      <w:r>
        <w:rPr>
          <w:color w:val="auto"/>
        </w:rPr>
        <w:t>进行改造。</w:t>
      </w:r>
    </w:p>
    <w:p w14:paraId="2061A3B7" w14:textId="77777777" w:rsidR="002E474C" w:rsidRDefault="00000000">
      <w:pPr>
        <w:pStyle w:val="A-z"/>
        <w:rPr>
          <w:color w:val="auto"/>
          <w:lang w:val="en-US"/>
        </w:rPr>
      </w:pPr>
      <w:r>
        <w:rPr>
          <w:color w:val="auto"/>
        </w:rPr>
        <w:t>本项目</w:t>
      </w:r>
      <w:r>
        <w:rPr>
          <w:rFonts w:hint="eastAsia"/>
          <w:color w:val="auto"/>
          <w:lang w:val="en-US"/>
        </w:rPr>
        <w:t>主要建设内容</w:t>
      </w:r>
      <w:r>
        <w:rPr>
          <w:color w:val="auto"/>
        </w:rPr>
        <w:t>见表</w:t>
      </w:r>
      <w:r>
        <w:rPr>
          <w:color w:val="auto"/>
        </w:rPr>
        <w:t>3.3-1</w:t>
      </w:r>
      <w:r>
        <w:rPr>
          <w:color w:val="auto"/>
        </w:rPr>
        <w:t>。</w:t>
      </w:r>
      <w:r>
        <w:rPr>
          <w:color w:val="auto"/>
          <w:lang w:val="en-US"/>
        </w:rPr>
        <w:t>水泥生产线具体改造内容见表</w:t>
      </w:r>
      <w:r>
        <w:rPr>
          <w:color w:val="auto"/>
          <w:lang w:val="en-US"/>
        </w:rPr>
        <w:t>3.3-2</w:t>
      </w:r>
      <w:r>
        <w:rPr>
          <w:color w:val="auto"/>
          <w:lang w:val="en-US"/>
        </w:rPr>
        <w:t>。改造</w:t>
      </w:r>
      <w:r>
        <w:rPr>
          <w:rFonts w:hint="eastAsia"/>
          <w:color w:val="auto"/>
          <w:lang w:val="en-US"/>
        </w:rPr>
        <w:t>部位示意，</w:t>
      </w:r>
      <w:r>
        <w:rPr>
          <w:color w:val="auto"/>
          <w:lang w:val="en-US"/>
        </w:rPr>
        <w:t>见表</w:t>
      </w:r>
      <w:r>
        <w:rPr>
          <w:color w:val="auto"/>
          <w:lang w:val="en-US"/>
        </w:rPr>
        <w:t>3.3-3</w:t>
      </w:r>
      <w:r>
        <w:rPr>
          <w:color w:val="auto"/>
          <w:lang w:val="en-US"/>
        </w:rPr>
        <w:t>。</w:t>
      </w:r>
    </w:p>
    <w:p w14:paraId="3C86DB4E" w14:textId="77777777" w:rsidR="002E474C" w:rsidRDefault="00000000">
      <w:pPr>
        <w:pStyle w:val="A--"/>
        <w:rPr>
          <w:color w:val="auto"/>
        </w:rPr>
      </w:pPr>
      <w:bookmarkStart w:id="139" w:name="_Ref127186370"/>
      <w:bookmarkStart w:id="140" w:name="_Ref111298589"/>
      <w:r>
        <w:rPr>
          <w:color w:val="auto"/>
        </w:rPr>
        <w:t>表</w:t>
      </w:r>
      <w:bookmarkEnd w:id="139"/>
      <w:r>
        <w:rPr>
          <w:color w:val="auto"/>
        </w:rPr>
        <w:t xml:space="preserve">3.3-1  </w:t>
      </w:r>
      <w:r>
        <w:rPr>
          <w:color w:val="auto"/>
        </w:rPr>
        <w:t>本项目</w:t>
      </w:r>
      <w:r>
        <w:rPr>
          <w:rFonts w:hint="eastAsia"/>
          <w:color w:val="auto"/>
        </w:rPr>
        <w:t>主要建设内容汇总表</w:t>
      </w: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
        <w:gridCol w:w="462"/>
        <w:gridCol w:w="176"/>
        <w:gridCol w:w="1131"/>
        <w:gridCol w:w="5206"/>
        <w:gridCol w:w="939"/>
      </w:tblGrid>
      <w:tr w:rsidR="002E474C" w14:paraId="3FE62C48" w14:textId="77777777">
        <w:trPr>
          <w:cantSplit/>
          <w:trHeight w:val="283"/>
          <w:tblHeader/>
          <w:jc w:val="center"/>
        </w:trPr>
        <w:tc>
          <w:tcPr>
            <w:tcW w:w="1301" w:type="pct"/>
            <w:gridSpan w:val="4"/>
            <w:vAlign w:val="center"/>
          </w:tcPr>
          <w:bookmarkEnd w:id="140"/>
          <w:p w14:paraId="1C98198D" w14:textId="77777777" w:rsidR="002E474C" w:rsidRDefault="00000000">
            <w:pPr>
              <w:pStyle w:val="A-"/>
            </w:pPr>
            <w:r>
              <w:t>工程名称</w:t>
            </w:r>
          </w:p>
        </w:tc>
        <w:tc>
          <w:tcPr>
            <w:tcW w:w="3134" w:type="pct"/>
            <w:vAlign w:val="center"/>
          </w:tcPr>
          <w:p w14:paraId="12190460" w14:textId="77777777" w:rsidR="002E474C" w:rsidRDefault="00000000">
            <w:pPr>
              <w:pStyle w:val="A-"/>
            </w:pPr>
            <w:r>
              <w:t>主要建设内容</w:t>
            </w:r>
          </w:p>
        </w:tc>
        <w:tc>
          <w:tcPr>
            <w:tcW w:w="565" w:type="pct"/>
            <w:vAlign w:val="center"/>
          </w:tcPr>
          <w:p w14:paraId="2565727F" w14:textId="77777777" w:rsidR="002E474C" w:rsidRDefault="00000000">
            <w:pPr>
              <w:pStyle w:val="A-"/>
            </w:pPr>
            <w:r>
              <w:t>建设情况</w:t>
            </w:r>
          </w:p>
        </w:tc>
      </w:tr>
      <w:tr w:rsidR="002E474C" w14:paraId="36A46320" w14:textId="77777777">
        <w:trPr>
          <w:cantSplit/>
          <w:trHeight w:val="283"/>
          <w:jc w:val="center"/>
        </w:trPr>
        <w:tc>
          <w:tcPr>
            <w:tcW w:w="236" w:type="pct"/>
            <w:vMerge w:val="restart"/>
            <w:vAlign w:val="center"/>
          </w:tcPr>
          <w:p w14:paraId="7C3D9E32" w14:textId="77777777" w:rsidR="002E474C" w:rsidRDefault="00000000">
            <w:pPr>
              <w:pStyle w:val="A-"/>
            </w:pPr>
            <w:r>
              <w:t>主体</w:t>
            </w:r>
          </w:p>
          <w:p w14:paraId="62EACE69" w14:textId="77777777" w:rsidR="002E474C" w:rsidRDefault="00000000">
            <w:pPr>
              <w:pStyle w:val="A-"/>
            </w:pPr>
            <w:r>
              <w:t>工程</w:t>
            </w:r>
          </w:p>
        </w:tc>
        <w:tc>
          <w:tcPr>
            <w:tcW w:w="1065" w:type="pct"/>
            <w:gridSpan w:val="3"/>
            <w:vAlign w:val="center"/>
          </w:tcPr>
          <w:p w14:paraId="64FD81DC" w14:textId="77777777" w:rsidR="002E474C" w:rsidRDefault="00000000">
            <w:pPr>
              <w:pStyle w:val="A-"/>
            </w:pPr>
            <w:r>
              <w:t>焚烧系统</w:t>
            </w:r>
          </w:p>
        </w:tc>
        <w:tc>
          <w:tcPr>
            <w:tcW w:w="3134" w:type="pct"/>
            <w:vAlign w:val="center"/>
          </w:tcPr>
          <w:p w14:paraId="6C6BCE74" w14:textId="77777777" w:rsidR="002E474C" w:rsidRDefault="00000000">
            <w:pPr>
              <w:pStyle w:val="A-"/>
            </w:pPr>
            <w:r>
              <w:t>依托圣雄水泥公司现有</w:t>
            </w:r>
            <w:r>
              <w:t>5000t/d</w:t>
            </w:r>
            <w:r>
              <w:t>电石渣干法水泥生产线。</w:t>
            </w:r>
          </w:p>
        </w:tc>
        <w:tc>
          <w:tcPr>
            <w:tcW w:w="565" w:type="pct"/>
            <w:vAlign w:val="center"/>
          </w:tcPr>
          <w:p w14:paraId="5F3CB2CE" w14:textId="77777777" w:rsidR="002E474C" w:rsidRDefault="00000000">
            <w:pPr>
              <w:pStyle w:val="A-"/>
            </w:pPr>
            <w:r>
              <w:t>依托</w:t>
            </w:r>
            <w:r>
              <w:rPr>
                <w:rFonts w:hint="eastAsia"/>
              </w:rPr>
              <w:t>+</w:t>
            </w:r>
            <w:r>
              <w:rPr>
                <w:rFonts w:hint="eastAsia"/>
              </w:rPr>
              <w:t>改造</w:t>
            </w:r>
          </w:p>
        </w:tc>
      </w:tr>
      <w:tr w:rsidR="002E474C" w14:paraId="5DBDB622" w14:textId="77777777">
        <w:trPr>
          <w:cantSplit/>
          <w:trHeight w:val="283"/>
          <w:jc w:val="center"/>
        </w:trPr>
        <w:tc>
          <w:tcPr>
            <w:tcW w:w="236" w:type="pct"/>
            <w:vMerge/>
            <w:vAlign w:val="center"/>
          </w:tcPr>
          <w:p w14:paraId="5B7B97BE" w14:textId="77777777" w:rsidR="002E474C" w:rsidRDefault="002E474C">
            <w:pPr>
              <w:pStyle w:val="A-"/>
            </w:pPr>
          </w:p>
        </w:tc>
        <w:tc>
          <w:tcPr>
            <w:tcW w:w="384" w:type="pct"/>
            <w:gridSpan w:val="2"/>
            <w:vMerge w:val="restart"/>
            <w:vAlign w:val="center"/>
          </w:tcPr>
          <w:p w14:paraId="2F793B0D" w14:textId="77777777" w:rsidR="002E474C" w:rsidRDefault="00000000">
            <w:pPr>
              <w:pStyle w:val="A-"/>
            </w:pPr>
            <w:r>
              <w:t>投料</w:t>
            </w:r>
          </w:p>
          <w:p w14:paraId="58DB3232" w14:textId="77777777" w:rsidR="002E474C" w:rsidRDefault="00000000">
            <w:pPr>
              <w:pStyle w:val="A-"/>
            </w:pPr>
            <w:r>
              <w:t>系统</w:t>
            </w:r>
          </w:p>
        </w:tc>
        <w:tc>
          <w:tcPr>
            <w:tcW w:w="681" w:type="pct"/>
            <w:vAlign w:val="center"/>
          </w:tcPr>
          <w:p w14:paraId="6C218526" w14:textId="77777777" w:rsidR="002E474C" w:rsidRDefault="00000000">
            <w:pPr>
              <w:pStyle w:val="A-"/>
            </w:pPr>
            <w:r>
              <w:t>固态危废</w:t>
            </w:r>
            <w:r>
              <w:t>/</w:t>
            </w:r>
            <w:r>
              <w:t>应急处置系统</w:t>
            </w:r>
          </w:p>
        </w:tc>
        <w:tc>
          <w:tcPr>
            <w:tcW w:w="3134" w:type="pct"/>
            <w:vAlign w:val="center"/>
          </w:tcPr>
          <w:p w14:paraId="5CFDEC9A" w14:textId="77777777" w:rsidR="002E474C" w:rsidRDefault="00000000">
            <w:pPr>
              <w:pStyle w:val="A-"/>
            </w:pPr>
            <w:r>
              <w:t>固态危废经过称重计量、提升装置提升，板位称布料输送，经过喂料锁风装置送入分解炉高温焚烧处置；针对化学试剂、剧毒类等小包装物类废物，因其不具备预处理条件，通过窑尾提升装置和窑尾投料装置直接投入窑尾烟室入窑焚烧处置。</w:t>
            </w:r>
          </w:p>
        </w:tc>
        <w:tc>
          <w:tcPr>
            <w:tcW w:w="565" w:type="pct"/>
            <w:vAlign w:val="center"/>
          </w:tcPr>
          <w:p w14:paraId="146ABC12" w14:textId="77777777" w:rsidR="002E474C" w:rsidRDefault="00000000">
            <w:pPr>
              <w:pStyle w:val="A-"/>
            </w:pPr>
            <w:r>
              <w:t>新建</w:t>
            </w:r>
            <w:r>
              <w:rPr>
                <w:rFonts w:hint="eastAsia"/>
              </w:rPr>
              <w:t>+</w:t>
            </w:r>
            <w:r>
              <w:rPr>
                <w:rFonts w:hint="eastAsia"/>
              </w:rPr>
              <w:t>改造</w:t>
            </w:r>
          </w:p>
        </w:tc>
      </w:tr>
      <w:tr w:rsidR="002E474C" w14:paraId="118BB2E0" w14:textId="77777777">
        <w:trPr>
          <w:cantSplit/>
          <w:trHeight w:val="283"/>
          <w:jc w:val="center"/>
        </w:trPr>
        <w:tc>
          <w:tcPr>
            <w:tcW w:w="236" w:type="pct"/>
            <w:vMerge/>
            <w:vAlign w:val="center"/>
          </w:tcPr>
          <w:p w14:paraId="52012E03" w14:textId="77777777" w:rsidR="002E474C" w:rsidRDefault="002E474C">
            <w:pPr>
              <w:pStyle w:val="A-"/>
            </w:pPr>
          </w:p>
        </w:tc>
        <w:tc>
          <w:tcPr>
            <w:tcW w:w="384" w:type="pct"/>
            <w:gridSpan w:val="2"/>
            <w:vMerge/>
            <w:vAlign w:val="center"/>
          </w:tcPr>
          <w:p w14:paraId="124F0601" w14:textId="77777777" w:rsidR="002E474C" w:rsidRDefault="002E474C">
            <w:pPr>
              <w:pStyle w:val="A-"/>
            </w:pPr>
          </w:p>
        </w:tc>
        <w:tc>
          <w:tcPr>
            <w:tcW w:w="681" w:type="pct"/>
            <w:vAlign w:val="center"/>
          </w:tcPr>
          <w:p w14:paraId="7CA610D4" w14:textId="77777777" w:rsidR="002E474C" w:rsidRDefault="00000000">
            <w:pPr>
              <w:pStyle w:val="A-"/>
            </w:pPr>
            <w:r>
              <w:rPr>
                <w:spacing w:val="-6"/>
              </w:rPr>
              <w:t>纯无机类（不挥发）危废投料系统</w:t>
            </w:r>
          </w:p>
        </w:tc>
        <w:tc>
          <w:tcPr>
            <w:tcW w:w="3134" w:type="pct"/>
            <w:vAlign w:val="center"/>
          </w:tcPr>
          <w:p w14:paraId="09E08543" w14:textId="77777777" w:rsidR="002E474C" w:rsidRDefault="00000000">
            <w:pPr>
              <w:pStyle w:val="A-"/>
            </w:pPr>
            <w:r>
              <w:t>无机废物经提升机输送至缓存钢仓，经过皮带秤计量后加入配料皮带，通过生料粉磨系统最终入窑焚烧处置。设</w:t>
            </w:r>
            <w:r>
              <w:t>1</w:t>
            </w:r>
            <w:r>
              <w:t>座</w:t>
            </w:r>
            <w:r>
              <w:t>190m³</w:t>
            </w:r>
            <w:r>
              <w:t>缓冲料仓。</w:t>
            </w:r>
          </w:p>
        </w:tc>
        <w:tc>
          <w:tcPr>
            <w:tcW w:w="565" w:type="pct"/>
            <w:vAlign w:val="center"/>
          </w:tcPr>
          <w:p w14:paraId="056512B7" w14:textId="77777777" w:rsidR="002E474C" w:rsidRDefault="00000000">
            <w:pPr>
              <w:pStyle w:val="A-"/>
            </w:pPr>
            <w:r>
              <w:t>新建</w:t>
            </w:r>
            <w:r>
              <w:rPr>
                <w:rFonts w:hint="eastAsia"/>
              </w:rPr>
              <w:t>+</w:t>
            </w:r>
            <w:r>
              <w:rPr>
                <w:rFonts w:hint="eastAsia"/>
              </w:rPr>
              <w:t>改造</w:t>
            </w:r>
          </w:p>
        </w:tc>
      </w:tr>
      <w:tr w:rsidR="002E474C" w14:paraId="1B7C038E" w14:textId="77777777">
        <w:trPr>
          <w:cantSplit/>
          <w:trHeight w:val="283"/>
          <w:jc w:val="center"/>
        </w:trPr>
        <w:tc>
          <w:tcPr>
            <w:tcW w:w="236" w:type="pct"/>
            <w:vMerge/>
            <w:vAlign w:val="center"/>
          </w:tcPr>
          <w:p w14:paraId="3759FE49" w14:textId="77777777" w:rsidR="002E474C" w:rsidRDefault="002E474C">
            <w:pPr>
              <w:pStyle w:val="A-"/>
            </w:pPr>
          </w:p>
        </w:tc>
        <w:tc>
          <w:tcPr>
            <w:tcW w:w="384" w:type="pct"/>
            <w:gridSpan w:val="2"/>
            <w:vMerge/>
            <w:vAlign w:val="center"/>
          </w:tcPr>
          <w:p w14:paraId="127D183B" w14:textId="77777777" w:rsidR="002E474C" w:rsidRDefault="002E474C">
            <w:pPr>
              <w:pStyle w:val="A-"/>
            </w:pPr>
          </w:p>
        </w:tc>
        <w:tc>
          <w:tcPr>
            <w:tcW w:w="681" w:type="pct"/>
            <w:vAlign w:val="center"/>
          </w:tcPr>
          <w:p w14:paraId="64173D83" w14:textId="77777777" w:rsidR="002E474C" w:rsidRDefault="00000000">
            <w:pPr>
              <w:pStyle w:val="A-"/>
            </w:pPr>
            <w:r>
              <w:t>液态危废</w:t>
            </w:r>
          </w:p>
        </w:tc>
        <w:tc>
          <w:tcPr>
            <w:tcW w:w="3134" w:type="pct"/>
            <w:vAlign w:val="center"/>
          </w:tcPr>
          <w:p w14:paraId="6A9FBFA0" w14:textId="77777777" w:rsidR="002E474C" w:rsidRDefault="00000000">
            <w:pPr>
              <w:pStyle w:val="A-"/>
            </w:pPr>
            <w:r>
              <w:t>液态危废在液态危废预处理</w:t>
            </w:r>
            <w:r>
              <w:rPr>
                <w:rFonts w:hint="eastAsia"/>
              </w:rPr>
              <w:t>车间</w:t>
            </w:r>
            <w:r>
              <w:t>过滤后由输送泵喷枪射入水泥窑窑头窑门罩处置点进行焚烧。设</w:t>
            </w:r>
            <w:r>
              <w:t>1</w:t>
            </w:r>
            <w:r>
              <w:t>座液态危废预处理</w:t>
            </w:r>
            <w:r>
              <w:rPr>
                <w:rFonts w:hint="eastAsia"/>
              </w:rPr>
              <w:t>车间</w:t>
            </w:r>
            <w:r>
              <w:t>集液池，容积</w:t>
            </w:r>
            <w:r>
              <w:t>1m</w:t>
            </w:r>
            <w:r>
              <w:rPr>
                <w:vertAlign w:val="superscript"/>
              </w:rPr>
              <w:t>3</w:t>
            </w:r>
            <w:r>
              <w:t>。</w:t>
            </w:r>
          </w:p>
        </w:tc>
        <w:tc>
          <w:tcPr>
            <w:tcW w:w="565" w:type="pct"/>
            <w:vAlign w:val="center"/>
          </w:tcPr>
          <w:p w14:paraId="0D8752B1" w14:textId="77777777" w:rsidR="002E474C" w:rsidRDefault="00000000">
            <w:pPr>
              <w:pStyle w:val="A-"/>
            </w:pPr>
            <w:r>
              <w:rPr>
                <w:rFonts w:hint="eastAsia"/>
              </w:rPr>
              <w:t>新建</w:t>
            </w:r>
            <w:r>
              <w:rPr>
                <w:rFonts w:hint="eastAsia"/>
              </w:rPr>
              <w:t>+</w:t>
            </w:r>
            <w:r>
              <w:rPr>
                <w:rFonts w:hint="eastAsia"/>
              </w:rPr>
              <w:t>改造</w:t>
            </w:r>
          </w:p>
        </w:tc>
      </w:tr>
      <w:tr w:rsidR="002E474C" w14:paraId="4ED98DB3" w14:textId="77777777">
        <w:trPr>
          <w:cantSplit/>
          <w:trHeight w:val="283"/>
          <w:jc w:val="center"/>
        </w:trPr>
        <w:tc>
          <w:tcPr>
            <w:tcW w:w="236" w:type="pct"/>
            <w:vMerge/>
            <w:vAlign w:val="center"/>
          </w:tcPr>
          <w:p w14:paraId="7FA11B59" w14:textId="77777777" w:rsidR="002E474C" w:rsidRDefault="002E474C">
            <w:pPr>
              <w:pStyle w:val="A-"/>
            </w:pPr>
          </w:p>
        </w:tc>
        <w:tc>
          <w:tcPr>
            <w:tcW w:w="1065" w:type="pct"/>
            <w:gridSpan w:val="3"/>
            <w:vAlign w:val="center"/>
          </w:tcPr>
          <w:p w14:paraId="62A33172" w14:textId="77777777" w:rsidR="002E474C" w:rsidRDefault="00000000">
            <w:pPr>
              <w:pStyle w:val="A-"/>
            </w:pPr>
            <w:r>
              <w:t>预处理</w:t>
            </w:r>
            <w:r>
              <w:rPr>
                <w:rFonts w:hint="eastAsia"/>
              </w:rPr>
              <w:t>车间</w:t>
            </w:r>
          </w:p>
        </w:tc>
        <w:tc>
          <w:tcPr>
            <w:tcW w:w="3134" w:type="pct"/>
            <w:vAlign w:val="center"/>
          </w:tcPr>
          <w:p w14:paraId="29ACD608" w14:textId="77777777" w:rsidR="002E474C" w:rsidRDefault="00000000">
            <w:pPr>
              <w:pStyle w:val="A-"/>
            </w:pPr>
            <w:r>
              <w:rPr>
                <w:rFonts w:hint="eastAsia"/>
                <w:bCs/>
              </w:rPr>
              <w:t>本项目主要依托预处理中心提供预处理产物。</w:t>
            </w:r>
            <w:r>
              <w:t>根据生产需要设固态危废预处理车间和液态危废预处理</w:t>
            </w:r>
            <w:r>
              <w:rPr>
                <w:rFonts w:hint="eastAsia"/>
              </w:rPr>
              <w:t>车间</w:t>
            </w:r>
            <w:r>
              <w:rPr>
                <w:rFonts w:hint="eastAsia"/>
                <w:spacing w:val="-6"/>
              </w:rPr>
              <w:t>。</w:t>
            </w:r>
          </w:p>
          <w:p w14:paraId="669BAECC" w14:textId="77777777" w:rsidR="002E474C" w:rsidRDefault="00000000">
            <w:pPr>
              <w:pStyle w:val="A-"/>
            </w:pPr>
            <w:r>
              <w:rPr>
                <w:bCs/>
              </w:rPr>
              <w:t>固态危废预处理车间包括封闭破碎间与危废贮存区。破碎间</w:t>
            </w:r>
            <w:r>
              <w:rPr>
                <w:rFonts w:hint="eastAsia"/>
                <w:bCs/>
              </w:rPr>
              <w:t>主要接收</w:t>
            </w:r>
            <w:r>
              <w:rPr>
                <w:spacing w:val="-6"/>
              </w:rPr>
              <w:t>废弃包装物</w:t>
            </w:r>
            <w:r>
              <w:rPr>
                <w:rFonts w:hint="eastAsia"/>
                <w:spacing w:val="-6"/>
              </w:rPr>
              <w:t>和</w:t>
            </w:r>
            <w:r>
              <w:rPr>
                <w:spacing w:val="-6"/>
              </w:rPr>
              <w:t>不满足直接入窑处置</w:t>
            </w:r>
            <w:r>
              <w:rPr>
                <w:rFonts w:hint="eastAsia"/>
                <w:spacing w:val="-6"/>
              </w:rPr>
              <w:t>要求</w:t>
            </w:r>
            <w:r>
              <w:rPr>
                <w:spacing w:val="-6"/>
              </w:rPr>
              <w:t>的物料</w:t>
            </w:r>
            <w:r>
              <w:rPr>
                <w:rFonts w:hint="eastAsia"/>
              </w:rPr>
              <w:t>，</w:t>
            </w:r>
            <w:r>
              <w:rPr>
                <w:bCs/>
              </w:rPr>
              <w:t>危废贮存区</w:t>
            </w:r>
            <w:r>
              <w:rPr>
                <w:rFonts w:hint="eastAsia"/>
              </w:rPr>
              <w:t>面积</w:t>
            </w:r>
            <w:r>
              <w:t>940m</w:t>
            </w:r>
            <w:r>
              <w:rPr>
                <w:vertAlign w:val="superscript"/>
              </w:rPr>
              <w:t>2</w:t>
            </w:r>
            <w:r>
              <w:t>，储存规模</w:t>
            </w:r>
            <w:r>
              <w:t>1880t</w:t>
            </w:r>
            <w:r>
              <w:rPr>
                <w:rFonts w:hint="eastAsia"/>
              </w:rPr>
              <w:t>。</w:t>
            </w:r>
          </w:p>
          <w:p w14:paraId="7D8DA34B" w14:textId="77777777" w:rsidR="002E474C" w:rsidRDefault="00000000">
            <w:pPr>
              <w:pStyle w:val="A-"/>
            </w:pPr>
            <w:r>
              <w:t>液态危废预处理</w:t>
            </w:r>
            <w:r>
              <w:rPr>
                <w:rFonts w:hint="eastAsia"/>
              </w:rPr>
              <w:t>车间</w:t>
            </w:r>
            <w:r>
              <w:t>对液态危废进行入窑前的过滤处理。</w:t>
            </w:r>
          </w:p>
        </w:tc>
        <w:tc>
          <w:tcPr>
            <w:tcW w:w="565" w:type="pct"/>
            <w:vAlign w:val="center"/>
          </w:tcPr>
          <w:p w14:paraId="3DBE769F" w14:textId="77777777" w:rsidR="002E474C" w:rsidRDefault="00000000">
            <w:pPr>
              <w:pStyle w:val="A-"/>
            </w:pPr>
            <w:r>
              <w:t>新建</w:t>
            </w:r>
            <w:r>
              <w:rPr>
                <w:rFonts w:hint="eastAsia"/>
              </w:rPr>
              <w:t>+</w:t>
            </w:r>
            <w:r>
              <w:rPr>
                <w:rFonts w:hint="eastAsia"/>
              </w:rPr>
              <w:t>改造</w:t>
            </w:r>
          </w:p>
        </w:tc>
      </w:tr>
      <w:tr w:rsidR="002E474C" w14:paraId="07229C09" w14:textId="77777777">
        <w:trPr>
          <w:cantSplit/>
          <w:trHeight w:val="283"/>
          <w:jc w:val="center"/>
        </w:trPr>
        <w:tc>
          <w:tcPr>
            <w:tcW w:w="236" w:type="pct"/>
            <w:vMerge/>
            <w:vAlign w:val="center"/>
          </w:tcPr>
          <w:p w14:paraId="0B1DE100" w14:textId="77777777" w:rsidR="002E474C" w:rsidRDefault="002E474C">
            <w:pPr>
              <w:pStyle w:val="A-"/>
            </w:pPr>
          </w:p>
        </w:tc>
        <w:tc>
          <w:tcPr>
            <w:tcW w:w="1065" w:type="pct"/>
            <w:gridSpan w:val="3"/>
            <w:vAlign w:val="center"/>
          </w:tcPr>
          <w:p w14:paraId="144D6FBB" w14:textId="77777777" w:rsidR="002E474C" w:rsidRDefault="00000000">
            <w:pPr>
              <w:pStyle w:val="A-"/>
            </w:pPr>
            <w:r>
              <w:t>危废贮存库</w:t>
            </w:r>
          </w:p>
        </w:tc>
        <w:tc>
          <w:tcPr>
            <w:tcW w:w="3134" w:type="pct"/>
            <w:vAlign w:val="center"/>
          </w:tcPr>
          <w:p w14:paraId="79C40B48" w14:textId="77777777" w:rsidR="002E474C" w:rsidRDefault="00000000">
            <w:pPr>
              <w:pStyle w:val="A-"/>
            </w:pPr>
            <w:r>
              <w:t>建设</w:t>
            </w:r>
            <w:r>
              <w:t>1</w:t>
            </w:r>
            <w:r>
              <w:t>座危废贮存库</w:t>
            </w:r>
            <w:r>
              <w:rPr>
                <w:rFonts w:hint="eastAsia"/>
              </w:rPr>
              <w:t>，</w:t>
            </w:r>
            <w:r>
              <w:t>面积</w:t>
            </w:r>
            <w:r>
              <w:t>210m</w:t>
            </w:r>
            <w:r>
              <w:rPr>
                <w:vertAlign w:val="superscript"/>
              </w:rPr>
              <w:t>2</w:t>
            </w:r>
            <w:r>
              <w:t>，储存规模</w:t>
            </w:r>
            <w:r>
              <w:t>420t</w:t>
            </w:r>
            <w:r>
              <w:t>；总贮存能力</w:t>
            </w:r>
            <w:r>
              <w:t>2452t</w:t>
            </w:r>
            <w:r>
              <w:t>。配套</w:t>
            </w:r>
            <w:r>
              <w:t>1m³</w:t>
            </w:r>
            <w:r>
              <w:t>集液池。</w:t>
            </w:r>
          </w:p>
        </w:tc>
        <w:tc>
          <w:tcPr>
            <w:tcW w:w="565" w:type="pct"/>
            <w:vAlign w:val="center"/>
          </w:tcPr>
          <w:p w14:paraId="70F1CBC1" w14:textId="77777777" w:rsidR="002E474C" w:rsidRDefault="00000000">
            <w:pPr>
              <w:pStyle w:val="A-"/>
            </w:pPr>
            <w:r>
              <w:t>新建</w:t>
            </w:r>
          </w:p>
        </w:tc>
      </w:tr>
      <w:tr w:rsidR="002E474C" w14:paraId="4A59B68D" w14:textId="77777777">
        <w:trPr>
          <w:cantSplit/>
          <w:trHeight w:val="283"/>
          <w:jc w:val="center"/>
        </w:trPr>
        <w:tc>
          <w:tcPr>
            <w:tcW w:w="236" w:type="pct"/>
            <w:vMerge w:val="restart"/>
            <w:vAlign w:val="center"/>
          </w:tcPr>
          <w:p w14:paraId="55C8AE8E" w14:textId="77777777" w:rsidR="002E474C" w:rsidRDefault="00000000">
            <w:pPr>
              <w:pStyle w:val="A-"/>
            </w:pPr>
            <w:r>
              <w:t>辅助</w:t>
            </w:r>
          </w:p>
          <w:p w14:paraId="0EDD5AA6" w14:textId="77777777" w:rsidR="002E474C" w:rsidRDefault="00000000">
            <w:pPr>
              <w:pStyle w:val="A-"/>
            </w:pPr>
            <w:r>
              <w:t>工程</w:t>
            </w:r>
          </w:p>
        </w:tc>
        <w:tc>
          <w:tcPr>
            <w:tcW w:w="1065" w:type="pct"/>
            <w:gridSpan w:val="3"/>
            <w:vMerge w:val="restart"/>
            <w:vAlign w:val="center"/>
          </w:tcPr>
          <w:p w14:paraId="5CEB5CB5" w14:textId="77777777" w:rsidR="002E474C" w:rsidRDefault="00000000">
            <w:pPr>
              <w:pStyle w:val="A-"/>
            </w:pPr>
            <w:r>
              <w:t>取样核验</w:t>
            </w:r>
          </w:p>
        </w:tc>
        <w:tc>
          <w:tcPr>
            <w:tcW w:w="3134" w:type="pct"/>
            <w:vAlign w:val="center"/>
          </w:tcPr>
          <w:p w14:paraId="4C5073C1" w14:textId="77777777" w:rsidR="002E474C" w:rsidRDefault="00000000">
            <w:pPr>
              <w:pStyle w:val="A-"/>
            </w:pPr>
            <w:r>
              <w:t>电子汽车衡</w:t>
            </w:r>
          </w:p>
        </w:tc>
        <w:tc>
          <w:tcPr>
            <w:tcW w:w="565" w:type="pct"/>
            <w:vAlign w:val="center"/>
          </w:tcPr>
          <w:p w14:paraId="45759173" w14:textId="77777777" w:rsidR="002E474C" w:rsidRDefault="00000000">
            <w:pPr>
              <w:pStyle w:val="A-"/>
            </w:pPr>
            <w:r>
              <w:t>新建</w:t>
            </w:r>
          </w:p>
        </w:tc>
      </w:tr>
      <w:tr w:rsidR="002E474C" w14:paraId="7A751556" w14:textId="77777777">
        <w:trPr>
          <w:cantSplit/>
          <w:trHeight w:val="283"/>
          <w:jc w:val="center"/>
        </w:trPr>
        <w:tc>
          <w:tcPr>
            <w:tcW w:w="236" w:type="pct"/>
            <w:vMerge/>
            <w:vAlign w:val="center"/>
          </w:tcPr>
          <w:p w14:paraId="6EBD2DE4" w14:textId="77777777" w:rsidR="002E474C" w:rsidRDefault="002E474C">
            <w:pPr>
              <w:pStyle w:val="A-"/>
            </w:pPr>
          </w:p>
        </w:tc>
        <w:tc>
          <w:tcPr>
            <w:tcW w:w="1065" w:type="pct"/>
            <w:gridSpan w:val="3"/>
            <w:vMerge/>
            <w:vAlign w:val="center"/>
          </w:tcPr>
          <w:p w14:paraId="6A966888" w14:textId="77777777" w:rsidR="002E474C" w:rsidRDefault="002E474C">
            <w:pPr>
              <w:pStyle w:val="A-"/>
            </w:pPr>
          </w:p>
        </w:tc>
        <w:tc>
          <w:tcPr>
            <w:tcW w:w="3134" w:type="pct"/>
            <w:vAlign w:val="center"/>
          </w:tcPr>
          <w:p w14:paraId="2735080B" w14:textId="77777777" w:rsidR="002E474C" w:rsidRDefault="00000000">
            <w:pPr>
              <w:pStyle w:val="A-"/>
            </w:pPr>
            <w:bookmarkStart w:id="141" w:name="OLE_LINK2"/>
            <w:r>
              <w:rPr>
                <w:bCs/>
              </w:rPr>
              <w:t>预处理中心</w:t>
            </w:r>
            <w:r>
              <w:t>分析化验室</w:t>
            </w:r>
            <w:bookmarkEnd w:id="141"/>
            <w:r>
              <w:rPr>
                <w:rFonts w:hint="eastAsia"/>
              </w:rPr>
              <w:t>负责本项目入厂危险废物的取样检测、</w:t>
            </w:r>
            <w:r>
              <w:t>分析化验与质量控制工作</w:t>
            </w:r>
          </w:p>
        </w:tc>
        <w:tc>
          <w:tcPr>
            <w:tcW w:w="565" w:type="pct"/>
            <w:vAlign w:val="center"/>
          </w:tcPr>
          <w:p w14:paraId="38825148" w14:textId="77777777" w:rsidR="002E474C" w:rsidRDefault="00000000">
            <w:pPr>
              <w:pStyle w:val="A-"/>
            </w:pPr>
            <w:r>
              <w:t>依托</w:t>
            </w:r>
          </w:p>
        </w:tc>
      </w:tr>
      <w:tr w:rsidR="002E474C" w14:paraId="31998BFC" w14:textId="77777777">
        <w:trPr>
          <w:cantSplit/>
          <w:trHeight w:val="283"/>
          <w:jc w:val="center"/>
        </w:trPr>
        <w:tc>
          <w:tcPr>
            <w:tcW w:w="236" w:type="pct"/>
            <w:vMerge/>
            <w:vAlign w:val="center"/>
          </w:tcPr>
          <w:p w14:paraId="4B734F93" w14:textId="77777777" w:rsidR="002E474C" w:rsidRDefault="002E474C">
            <w:pPr>
              <w:pStyle w:val="A-"/>
            </w:pPr>
          </w:p>
        </w:tc>
        <w:tc>
          <w:tcPr>
            <w:tcW w:w="1065" w:type="pct"/>
            <w:gridSpan w:val="3"/>
            <w:vAlign w:val="center"/>
          </w:tcPr>
          <w:p w14:paraId="21C0869B" w14:textId="77777777" w:rsidR="002E474C" w:rsidRDefault="00000000">
            <w:pPr>
              <w:pStyle w:val="A-"/>
            </w:pPr>
            <w:r>
              <w:t>清洗间</w:t>
            </w:r>
          </w:p>
        </w:tc>
        <w:tc>
          <w:tcPr>
            <w:tcW w:w="3134" w:type="pct"/>
            <w:vAlign w:val="center"/>
          </w:tcPr>
          <w:p w14:paraId="71F8B7BB" w14:textId="77777777" w:rsidR="002E474C" w:rsidRDefault="00000000">
            <w:pPr>
              <w:pStyle w:val="A-"/>
            </w:pPr>
            <w:r>
              <w:rPr>
                <w:rFonts w:hint="eastAsia"/>
              </w:rPr>
              <w:t>清洗危险废物运输车辆及包装物。</w:t>
            </w:r>
            <w:r>
              <w:t>清洗间设清洗物品贮存区</w:t>
            </w:r>
            <w:r>
              <w:t>1</w:t>
            </w:r>
            <w:r>
              <w:t>个，贮存面积</w:t>
            </w:r>
            <w:r>
              <w:t>76m</w:t>
            </w:r>
            <w:r>
              <w:rPr>
                <w:vertAlign w:val="superscript"/>
              </w:rPr>
              <w:t>2</w:t>
            </w:r>
            <w:r>
              <w:t>，储存规模</w:t>
            </w:r>
            <w:r>
              <w:t>152t</w:t>
            </w:r>
            <w:r>
              <w:rPr>
                <w:rFonts w:hint="eastAsia"/>
              </w:rPr>
              <w:t>。</w:t>
            </w:r>
          </w:p>
        </w:tc>
        <w:tc>
          <w:tcPr>
            <w:tcW w:w="565" w:type="pct"/>
            <w:vAlign w:val="center"/>
          </w:tcPr>
          <w:p w14:paraId="6DAD6F73" w14:textId="77777777" w:rsidR="002E474C" w:rsidRDefault="00000000">
            <w:pPr>
              <w:pStyle w:val="A-"/>
            </w:pPr>
            <w:r>
              <w:t>新建</w:t>
            </w:r>
          </w:p>
        </w:tc>
      </w:tr>
      <w:tr w:rsidR="002E474C" w14:paraId="5562294F" w14:textId="77777777">
        <w:trPr>
          <w:cantSplit/>
          <w:trHeight w:val="283"/>
          <w:jc w:val="center"/>
        </w:trPr>
        <w:tc>
          <w:tcPr>
            <w:tcW w:w="236" w:type="pct"/>
            <w:vMerge/>
            <w:vAlign w:val="center"/>
          </w:tcPr>
          <w:p w14:paraId="73C63513" w14:textId="77777777" w:rsidR="002E474C" w:rsidRDefault="002E474C">
            <w:pPr>
              <w:pStyle w:val="A-"/>
            </w:pPr>
          </w:p>
        </w:tc>
        <w:tc>
          <w:tcPr>
            <w:tcW w:w="1065" w:type="pct"/>
            <w:gridSpan w:val="3"/>
            <w:vAlign w:val="center"/>
          </w:tcPr>
          <w:p w14:paraId="15EF11B7" w14:textId="77777777" w:rsidR="002E474C" w:rsidRDefault="00000000">
            <w:pPr>
              <w:pStyle w:val="A-"/>
            </w:pPr>
            <w:r>
              <w:t>收运系统</w:t>
            </w:r>
          </w:p>
        </w:tc>
        <w:tc>
          <w:tcPr>
            <w:tcW w:w="3134" w:type="pct"/>
            <w:vAlign w:val="center"/>
          </w:tcPr>
          <w:p w14:paraId="0F875E0B" w14:textId="77777777" w:rsidR="002E474C" w:rsidRDefault="00000000">
            <w:pPr>
              <w:pStyle w:val="A-"/>
            </w:pPr>
            <w:r>
              <w:t>委托有资质单位运输危险废物</w:t>
            </w:r>
          </w:p>
        </w:tc>
        <w:tc>
          <w:tcPr>
            <w:tcW w:w="565" w:type="pct"/>
            <w:vAlign w:val="center"/>
          </w:tcPr>
          <w:p w14:paraId="572F8730" w14:textId="77777777" w:rsidR="002E474C" w:rsidRDefault="00000000">
            <w:pPr>
              <w:pStyle w:val="A-"/>
            </w:pPr>
            <w:r>
              <w:t>外委</w:t>
            </w:r>
          </w:p>
        </w:tc>
      </w:tr>
      <w:tr w:rsidR="002E474C" w14:paraId="6D022CB3" w14:textId="77777777">
        <w:trPr>
          <w:cantSplit/>
          <w:trHeight w:val="283"/>
          <w:jc w:val="center"/>
        </w:trPr>
        <w:tc>
          <w:tcPr>
            <w:tcW w:w="236" w:type="pct"/>
            <w:vMerge/>
            <w:vAlign w:val="center"/>
          </w:tcPr>
          <w:p w14:paraId="748AB706" w14:textId="77777777" w:rsidR="002E474C" w:rsidRDefault="002E474C">
            <w:pPr>
              <w:pStyle w:val="A-"/>
            </w:pPr>
          </w:p>
        </w:tc>
        <w:tc>
          <w:tcPr>
            <w:tcW w:w="1065" w:type="pct"/>
            <w:gridSpan w:val="3"/>
            <w:vAlign w:val="center"/>
          </w:tcPr>
          <w:p w14:paraId="089C4FB4" w14:textId="77777777" w:rsidR="002E474C" w:rsidRDefault="00000000">
            <w:pPr>
              <w:pStyle w:val="A-"/>
            </w:pPr>
            <w:r>
              <w:t>自动控制系统</w:t>
            </w:r>
          </w:p>
        </w:tc>
        <w:tc>
          <w:tcPr>
            <w:tcW w:w="3134" w:type="pct"/>
            <w:vAlign w:val="center"/>
          </w:tcPr>
          <w:p w14:paraId="6FAA5CDE" w14:textId="77777777" w:rsidR="002E474C" w:rsidRDefault="00000000">
            <w:pPr>
              <w:pStyle w:val="A-"/>
            </w:pPr>
            <w:r>
              <w:rPr>
                <w:spacing w:val="-6"/>
              </w:rPr>
              <w:t>从破碎、计量到喂料全过程，独立系统，并入</w:t>
            </w:r>
            <w:r>
              <w:rPr>
                <w:rFonts w:hint="eastAsia"/>
                <w:spacing w:val="-6"/>
              </w:rPr>
              <w:t>圣雄水泥公司</w:t>
            </w:r>
            <w:r>
              <w:rPr>
                <w:spacing w:val="-6"/>
              </w:rPr>
              <w:t>现</w:t>
            </w:r>
            <w:r>
              <w:rPr>
                <w:rFonts w:hint="eastAsia"/>
                <w:spacing w:val="-6"/>
              </w:rPr>
              <w:t>有</w:t>
            </w:r>
            <w:r>
              <w:rPr>
                <w:spacing w:val="-6"/>
              </w:rPr>
              <w:t>中控室。</w:t>
            </w:r>
          </w:p>
        </w:tc>
        <w:tc>
          <w:tcPr>
            <w:tcW w:w="565" w:type="pct"/>
            <w:vAlign w:val="center"/>
          </w:tcPr>
          <w:p w14:paraId="75B99E7E" w14:textId="77777777" w:rsidR="002E474C" w:rsidRDefault="00000000">
            <w:pPr>
              <w:pStyle w:val="A-"/>
            </w:pPr>
            <w:r>
              <w:t>新建</w:t>
            </w:r>
            <w:r>
              <w:rPr>
                <w:rFonts w:hint="eastAsia"/>
              </w:rPr>
              <w:t>+</w:t>
            </w:r>
            <w:r>
              <w:rPr>
                <w:rFonts w:hint="eastAsia"/>
              </w:rPr>
              <w:t>改造</w:t>
            </w:r>
          </w:p>
        </w:tc>
      </w:tr>
      <w:tr w:rsidR="002E474C" w14:paraId="1F771768" w14:textId="77777777">
        <w:trPr>
          <w:cantSplit/>
          <w:trHeight w:val="283"/>
          <w:jc w:val="center"/>
        </w:trPr>
        <w:tc>
          <w:tcPr>
            <w:tcW w:w="236" w:type="pct"/>
            <w:vMerge/>
            <w:vAlign w:val="center"/>
          </w:tcPr>
          <w:p w14:paraId="6477483B" w14:textId="77777777" w:rsidR="002E474C" w:rsidRDefault="002E474C">
            <w:pPr>
              <w:pStyle w:val="A-"/>
            </w:pPr>
          </w:p>
        </w:tc>
        <w:tc>
          <w:tcPr>
            <w:tcW w:w="1065" w:type="pct"/>
            <w:gridSpan w:val="3"/>
            <w:vAlign w:val="center"/>
          </w:tcPr>
          <w:p w14:paraId="4F1AEFFA" w14:textId="77777777" w:rsidR="002E474C" w:rsidRDefault="00000000">
            <w:pPr>
              <w:pStyle w:val="A-"/>
            </w:pPr>
            <w:r>
              <w:t>急冷工艺</w:t>
            </w:r>
          </w:p>
        </w:tc>
        <w:tc>
          <w:tcPr>
            <w:tcW w:w="3134" w:type="pct"/>
            <w:vAlign w:val="center"/>
          </w:tcPr>
          <w:p w14:paraId="57751CEA" w14:textId="77777777" w:rsidR="002E474C" w:rsidRDefault="00000000">
            <w:pPr>
              <w:pStyle w:val="A-"/>
            </w:pPr>
            <w:r>
              <w:t>依托现有电石渣干法水泥生产线增湿塔</w:t>
            </w:r>
          </w:p>
        </w:tc>
        <w:tc>
          <w:tcPr>
            <w:tcW w:w="565" w:type="pct"/>
            <w:vAlign w:val="center"/>
          </w:tcPr>
          <w:p w14:paraId="71E74A2A" w14:textId="77777777" w:rsidR="002E474C" w:rsidRDefault="00000000">
            <w:pPr>
              <w:pStyle w:val="A-"/>
            </w:pPr>
            <w:r>
              <w:t>依托</w:t>
            </w:r>
          </w:p>
          <w:p w14:paraId="42E327B5" w14:textId="77777777" w:rsidR="002E474C" w:rsidRDefault="00000000">
            <w:pPr>
              <w:pStyle w:val="A-"/>
            </w:pPr>
            <w:r>
              <w:t>现有</w:t>
            </w:r>
          </w:p>
        </w:tc>
      </w:tr>
      <w:tr w:rsidR="002E474C" w14:paraId="10E4FFE8" w14:textId="77777777">
        <w:trPr>
          <w:cantSplit/>
          <w:trHeight w:val="283"/>
          <w:jc w:val="center"/>
        </w:trPr>
        <w:tc>
          <w:tcPr>
            <w:tcW w:w="236" w:type="pct"/>
            <w:vMerge w:val="restart"/>
            <w:vAlign w:val="center"/>
          </w:tcPr>
          <w:p w14:paraId="36C9C3A7" w14:textId="77777777" w:rsidR="002E474C" w:rsidRDefault="00000000">
            <w:pPr>
              <w:pStyle w:val="A-"/>
            </w:pPr>
            <w:r>
              <w:t>公用工</w:t>
            </w:r>
            <w:r>
              <w:lastRenderedPageBreak/>
              <w:t>程</w:t>
            </w:r>
          </w:p>
        </w:tc>
        <w:tc>
          <w:tcPr>
            <w:tcW w:w="1065" w:type="pct"/>
            <w:gridSpan w:val="3"/>
            <w:vAlign w:val="center"/>
          </w:tcPr>
          <w:p w14:paraId="7563B375" w14:textId="77777777" w:rsidR="002E474C" w:rsidRDefault="00000000">
            <w:pPr>
              <w:pStyle w:val="A-"/>
            </w:pPr>
            <w:r>
              <w:lastRenderedPageBreak/>
              <w:t>供水、排水</w:t>
            </w:r>
          </w:p>
        </w:tc>
        <w:tc>
          <w:tcPr>
            <w:tcW w:w="3134" w:type="pct"/>
            <w:vAlign w:val="center"/>
          </w:tcPr>
          <w:p w14:paraId="0CE88EE3" w14:textId="77777777" w:rsidR="002E474C" w:rsidRDefault="00000000">
            <w:pPr>
              <w:pStyle w:val="A-"/>
            </w:pPr>
            <w:r>
              <w:t>用水由现有厂区提供，水质、水压及水量均满足项目需要。项目排水为生活污水，经管网排至厂内综合污水处理站处理后回用</w:t>
            </w:r>
            <w:r>
              <w:rPr>
                <w:rFonts w:hint="eastAsia"/>
              </w:rPr>
              <w:t>于生产或绿化</w:t>
            </w:r>
            <w:r>
              <w:t>。</w:t>
            </w:r>
          </w:p>
        </w:tc>
        <w:tc>
          <w:tcPr>
            <w:tcW w:w="565" w:type="pct"/>
            <w:vAlign w:val="center"/>
          </w:tcPr>
          <w:p w14:paraId="50BE45D9" w14:textId="77777777" w:rsidR="002E474C" w:rsidRDefault="00000000">
            <w:pPr>
              <w:pStyle w:val="A-"/>
            </w:pPr>
            <w:r>
              <w:t>依托</w:t>
            </w:r>
          </w:p>
          <w:p w14:paraId="2E8A7631" w14:textId="77777777" w:rsidR="002E474C" w:rsidRDefault="00000000">
            <w:pPr>
              <w:pStyle w:val="A-"/>
            </w:pPr>
            <w:r>
              <w:t>现有</w:t>
            </w:r>
          </w:p>
        </w:tc>
      </w:tr>
      <w:tr w:rsidR="002E474C" w14:paraId="48180EB2" w14:textId="77777777">
        <w:trPr>
          <w:cantSplit/>
          <w:trHeight w:val="283"/>
          <w:jc w:val="center"/>
        </w:trPr>
        <w:tc>
          <w:tcPr>
            <w:tcW w:w="236" w:type="pct"/>
            <w:vMerge/>
            <w:vAlign w:val="center"/>
          </w:tcPr>
          <w:p w14:paraId="3C3A3369" w14:textId="77777777" w:rsidR="002E474C" w:rsidRDefault="002E474C">
            <w:pPr>
              <w:pStyle w:val="A-"/>
            </w:pPr>
          </w:p>
        </w:tc>
        <w:tc>
          <w:tcPr>
            <w:tcW w:w="1065" w:type="pct"/>
            <w:gridSpan w:val="3"/>
            <w:vAlign w:val="center"/>
          </w:tcPr>
          <w:p w14:paraId="1FD30B9A" w14:textId="77777777" w:rsidR="002E474C" w:rsidRDefault="00000000">
            <w:pPr>
              <w:pStyle w:val="A-"/>
            </w:pPr>
            <w:r>
              <w:t>办公</w:t>
            </w:r>
            <w:r>
              <w:rPr>
                <w:rFonts w:hint="eastAsia"/>
              </w:rPr>
              <w:t>生活</w:t>
            </w:r>
          </w:p>
        </w:tc>
        <w:tc>
          <w:tcPr>
            <w:tcW w:w="3134" w:type="pct"/>
            <w:vAlign w:val="center"/>
          </w:tcPr>
          <w:p w14:paraId="7E70DF38" w14:textId="77777777" w:rsidR="002E474C" w:rsidRDefault="00000000">
            <w:pPr>
              <w:pStyle w:val="A-"/>
            </w:pPr>
            <w:r>
              <w:t>依托水泥厂现有办公生活区。</w:t>
            </w:r>
          </w:p>
        </w:tc>
        <w:tc>
          <w:tcPr>
            <w:tcW w:w="565" w:type="pct"/>
            <w:vAlign w:val="center"/>
          </w:tcPr>
          <w:p w14:paraId="4B306419" w14:textId="77777777" w:rsidR="002E474C" w:rsidRDefault="00000000">
            <w:pPr>
              <w:pStyle w:val="A-"/>
            </w:pPr>
            <w:r>
              <w:t>依托</w:t>
            </w:r>
          </w:p>
          <w:p w14:paraId="1A7CFD8F" w14:textId="77777777" w:rsidR="002E474C" w:rsidRDefault="00000000">
            <w:pPr>
              <w:pStyle w:val="A-"/>
            </w:pPr>
            <w:r>
              <w:t>现有</w:t>
            </w:r>
          </w:p>
        </w:tc>
      </w:tr>
      <w:tr w:rsidR="002E474C" w14:paraId="6CE465B1" w14:textId="77777777">
        <w:trPr>
          <w:cantSplit/>
          <w:trHeight w:val="283"/>
          <w:jc w:val="center"/>
        </w:trPr>
        <w:tc>
          <w:tcPr>
            <w:tcW w:w="236" w:type="pct"/>
            <w:vMerge/>
            <w:vAlign w:val="center"/>
          </w:tcPr>
          <w:p w14:paraId="5DF8A1E5" w14:textId="77777777" w:rsidR="002E474C" w:rsidRDefault="002E474C">
            <w:pPr>
              <w:pStyle w:val="A-"/>
            </w:pPr>
          </w:p>
        </w:tc>
        <w:tc>
          <w:tcPr>
            <w:tcW w:w="1065" w:type="pct"/>
            <w:gridSpan w:val="3"/>
            <w:vAlign w:val="center"/>
          </w:tcPr>
          <w:p w14:paraId="2667C93A" w14:textId="77777777" w:rsidR="002E474C" w:rsidRDefault="00000000">
            <w:pPr>
              <w:pStyle w:val="A-"/>
            </w:pPr>
            <w:r>
              <w:t>供电</w:t>
            </w:r>
          </w:p>
        </w:tc>
        <w:tc>
          <w:tcPr>
            <w:tcW w:w="3134" w:type="pct"/>
            <w:vAlign w:val="center"/>
          </w:tcPr>
          <w:p w14:paraId="769F7349" w14:textId="77777777" w:rsidR="002E474C" w:rsidRDefault="00000000">
            <w:pPr>
              <w:pStyle w:val="A-"/>
            </w:pPr>
            <w:r>
              <w:t>供电电源由圣雄工业园区</w:t>
            </w:r>
            <w:r>
              <w:t>110kV</w:t>
            </w:r>
            <w:r>
              <w:t>变电站提供。</w:t>
            </w:r>
          </w:p>
        </w:tc>
        <w:tc>
          <w:tcPr>
            <w:tcW w:w="565" w:type="pct"/>
            <w:vAlign w:val="center"/>
          </w:tcPr>
          <w:p w14:paraId="5E16A0B8" w14:textId="77777777" w:rsidR="002E474C" w:rsidRDefault="00000000">
            <w:pPr>
              <w:pStyle w:val="A-"/>
            </w:pPr>
            <w:r>
              <w:t>依托</w:t>
            </w:r>
          </w:p>
          <w:p w14:paraId="25208D95" w14:textId="77777777" w:rsidR="002E474C" w:rsidRDefault="00000000">
            <w:pPr>
              <w:pStyle w:val="A-"/>
            </w:pPr>
            <w:r>
              <w:t>现有</w:t>
            </w:r>
          </w:p>
        </w:tc>
      </w:tr>
      <w:tr w:rsidR="002E474C" w14:paraId="3D42EB40" w14:textId="77777777">
        <w:trPr>
          <w:cantSplit/>
          <w:trHeight w:val="283"/>
          <w:jc w:val="center"/>
        </w:trPr>
        <w:tc>
          <w:tcPr>
            <w:tcW w:w="236" w:type="pct"/>
            <w:vMerge/>
            <w:vAlign w:val="center"/>
          </w:tcPr>
          <w:p w14:paraId="5AE2AB35" w14:textId="77777777" w:rsidR="002E474C" w:rsidRDefault="002E474C">
            <w:pPr>
              <w:pStyle w:val="A-"/>
            </w:pPr>
          </w:p>
        </w:tc>
        <w:tc>
          <w:tcPr>
            <w:tcW w:w="1065" w:type="pct"/>
            <w:gridSpan w:val="3"/>
            <w:vAlign w:val="center"/>
          </w:tcPr>
          <w:p w14:paraId="44CEEEF7" w14:textId="77777777" w:rsidR="002E474C" w:rsidRDefault="00000000">
            <w:pPr>
              <w:pStyle w:val="A-"/>
            </w:pPr>
            <w:r>
              <w:t>供热</w:t>
            </w:r>
          </w:p>
        </w:tc>
        <w:tc>
          <w:tcPr>
            <w:tcW w:w="3134" w:type="pct"/>
            <w:vAlign w:val="center"/>
          </w:tcPr>
          <w:p w14:paraId="51B243FC" w14:textId="77777777" w:rsidR="002E474C" w:rsidRDefault="00000000">
            <w:pPr>
              <w:pStyle w:val="A-"/>
            </w:pPr>
            <w:r>
              <w:t>不新增供热面积。</w:t>
            </w:r>
          </w:p>
        </w:tc>
        <w:tc>
          <w:tcPr>
            <w:tcW w:w="565" w:type="pct"/>
            <w:vAlign w:val="center"/>
          </w:tcPr>
          <w:p w14:paraId="3EE6F49C" w14:textId="77777777" w:rsidR="002E474C" w:rsidRDefault="00000000">
            <w:pPr>
              <w:pStyle w:val="A-"/>
            </w:pPr>
            <w:r>
              <w:t>/</w:t>
            </w:r>
          </w:p>
        </w:tc>
      </w:tr>
      <w:tr w:rsidR="002E474C" w14:paraId="19B77C4C" w14:textId="77777777">
        <w:trPr>
          <w:cantSplit/>
          <w:trHeight w:val="283"/>
          <w:jc w:val="center"/>
        </w:trPr>
        <w:tc>
          <w:tcPr>
            <w:tcW w:w="236" w:type="pct"/>
            <w:vMerge w:val="restart"/>
            <w:vAlign w:val="center"/>
          </w:tcPr>
          <w:p w14:paraId="4B47C347" w14:textId="77777777" w:rsidR="002E474C" w:rsidRDefault="00000000">
            <w:pPr>
              <w:pStyle w:val="A-"/>
            </w:pPr>
            <w:r>
              <w:t>环保工程</w:t>
            </w:r>
          </w:p>
        </w:tc>
        <w:tc>
          <w:tcPr>
            <w:tcW w:w="278" w:type="pct"/>
            <w:vMerge w:val="restart"/>
            <w:vAlign w:val="center"/>
          </w:tcPr>
          <w:p w14:paraId="1B1B4A25" w14:textId="77777777" w:rsidR="002E474C" w:rsidRDefault="00000000">
            <w:pPr>
              <w:pStyle w:val="A-"/>
            </w:pPr>
            <w:r>
              <w:t>废气</w:t>
            </w:r>
          </w:p>
        </w:tc>
        <w:tc>
          <w:tcPr>
            <w:tcW w:w="787" w:type="pct"/>
            <w:gridSpan w:val="2"/>
            <w:vAlign w:val="center"/>
          </w:tcPr>
          <w:p w14:paraId="00F82EA2" w14:textId="77777777" w:rsidR="002E474C" w:rsidRDefault="00000000">
            <w:pPr>
              <w:pStyle w:val="A-"/>
            </w:pPr>
            <w:r>
              <w:t>破碎间破碎</w:t>
            </w:r>
          </w:p>
          <w:p w14:paraId="4C21B160" w14:textId="77777777" w:rsidR="002E474C" w:rsidRDefault="00000000">
            <w:pPr>
              <w:pStyle w:val="A-"/>
            </w:pPr>
            <w:r>
              <w:t>废气</w:t>
            </w:r>
          </w:p>
        </w:tc>
        <w:tc>
          <w:tcPr>
            <w:tcW w:w="3134" w:type="pct"/>
            <w:vAlign w:val="center"/>
          </w:tcPr>
          <w:p w14:paraId="439E9661" w14:textId="77777777" w:rsidR="002E474C" w:rsidRDefault="00000000">
            <w:pPr>
              <w:pStyle w:val="A-"/>
            </w:pPr>
            <w:r>
              <w:t>固态危废预处理车间内单独设封闭破碎间，在进料皮带与出料皮带区域设集气罩收集含尘废气，采用布袋除尘器处理后在固态危废预处理车间内排放。</w:t>
            </w:r>
          </w:p>
        </w:tc>
        <w:tc>
          <w:tcPr>
            <w:tcW w:w="565" w:type="pct"/>
            <w:vAlign w:val="center"/>
          </w:tcPr>
          <w:p w14:paraId="35FBD8C3" w14:textId="77777777" w:rsidR="002E474C" w:rsidRDefault="00000000">
            <w:pPr>
              <w:pStyle w:val="A-"/>
            </w:pPr>
            <w:r>
              <w:t>新建</w:t>
            </w:r>
          </w:p>
        </w:tc>
      </w:tr>
      <w:tr w:rsidR="002E474C" w14:paraId="3442D5BC" w14:textId="77777777">
        <w:trPr>
          <w:cantSplit/>
          <w:trHeight w:val="283"/>
          <w:jc w:val="center"/>
        </w:trPr>
        <w:tc>
          <w:tcPr>
            <w:tcW w:w="236" w:type="pct"/>
            <w:vMerge/>
            <w:vAlign w:val="center"/>
          </w:tcPr>
          <w:p w14:paraId="2F281FB7" w14:textId="77777777" w:rsidR="002E474C" w:rsidRDefault="002E474C">
            <w:pPr>
              <w:pStyle w:val="A-"/>
            </w:pPr>
          </w:p>
        </w:tc>
        <w:tc>
          <w:tcPr>
            <w:tcW w:w="278" w:type="pct"/>
            <w:vMerge/>
            <w:vAlign w:val="center"/>
          </w:tcPr>
          <w:p w14:paraId="31557A7C" w14:textId="77777777" w:rsidR="002E474C" w:rsidRDefault="002E474C">
            <w:pPr>
              <w:pStyle w:val="A-"/>
            </w:pPr>
          </w:p>
        </w:tc>
        <w:tc>
          <w:tcPr>
            <w:tcW w:w="787" w:type="pct"/>
            <w:gridSpan w:val="2"/>
            <w:vAlign w:val="center"/>
          </w:tcPr>
          <w:p w14:paraId="3748BA11" w14:textId="77777777" w:rsidR="002E474C" w:rsidRDefault="00000000">
            <w:pPr>
              <w:pStyle w:val="A-"/>
            </w:pPr>
            <w:r>
              <w:t>危废贮存废气</w:t>
            </w:r>
          </w:p>
        </w:tc>
        <w:tc>
          <w:tcPr>
            <w:tcW w:w="3134" w:type="pct"/>
            <w:vAlign w:val="center"/>
          </w:tcPr>
          <w:p w14:paraId="7C1701E7" w14:textId="77777777" w:rsidR="002E474C" w:rsidRDefault="00000000">
            <w:pPr>
              <w:pStyle w:val="A-"/>
            </w:pPr>
            <w:r>
              <w:t>危废贮存库与固态危废预处理车间及清洗间均采用负压操作（车间应负压大于</w:t>
            </w:r>
            <w:r>
              <w:t>50Pa</w:t>
            </w:r>
            <w:r>
              <w:t>），危废贮存废气净化系统设两级活性炭吸附，经</w:t>
            </w:r>
            <w:r>
              <w:t>1</w:t>
            </w:r>
            <w:r>
              <w:t>根</w:t>
            </w:r>
            <w:r>
              <w:t>15m</w:t>
            </w:r>
            <w:r>
              <w:t>排气筒</w:t>
            </w:r>
            <w:r>
              <w:t>DA0</w:t>
            </w:r>
            <w:r>
              <w:rPr>
                <w:rFonts w:hint="eastAsia"/>
              </w:rPr>
              <w:t>01</w:t>
            </w:r>
            <w:r>
              <w:t>排放。</w:t>
            </w:r>
          </w:p>
        </w:tc>
        <w:tc>
          <w:tcPr>
            <w:tcW w:w="565" w:type="pct"/>
            <w:vAlign w:val="center"/>
          </w:tcPr>
          <w:p w14:paraId="19B0F20E" w14:textId="77777777" w:rsidR="002E474C" w:rsidRDefault="00000000">
            <w:pPr>
              <w:pStyle w:val="A-"/>
            </w:pPr>
            <w:r>
              <w:t>新建</w:t>
            </w:r>
          </w:p>
        </w:tc>
      </w:tr>
      <w:tr w:rsidR="002E474C" w14:paraId="09AA035B" w14:textId="77777777">
        <w:trPr>
          <w:cantSplit/>
          <w:trHeight w:val="283"/>
          <w:jc w:val="center"/>
        </w:trPr>
        <w:tc>
          <w:tcPr>
            <w:tcW w:w="236" w:type="pct"/>
            <w:vMerge/>
            <w:vAlign w:val="center"/>
          </w:tcPr>
          <w:p w14:paraId="030E4E30" w14:textId="77777777" w:rsidR="002E474C" w:rsidRDefault="002E474C">
            <w:pPr>
              <w:pStyle w:val="A-"/>
            </w:pPr>
          </w:p>
        </w:tc>
        <w:tc>
          <w:tcPr>
            <w:tcW w:w="278" w:type="pct"/>
            <w:vMerge/>
            <w:vAlign w:val="center"/>
          </w:tcPr>
          <w:p w14:paraId="56DA4673" w14:textId="77777777" w:rsidR="002E474C" w:rsidRDefault="002E474C">
            <w:pPr>
              <w:pStyle w:val="A-"/>
            </w:pPr>
          </w:p>
        </w:tc>
        <w:tc>
          <w:tcPr>
            <w:tcW w:w="787" w:type="pct"/>
            <w:gridSpan w:val="2"/>
            <w:vAlign w:val="center"/>
          </w:tcPr>
          <w:p w14:paraId="0ECDA0C5" w14:textId="77777777" w:rsidR="002E474C" w:rsidRDefault="00000000">
            <w:pPr>
              <w:pStyle w:val="A-"/>
            </w:pPr>
            <w:r>
              <w:t>窑尾废气</w:t>
            </w:r>
          </w:p>
        </w:tc>
        <w:tc>
          <w:tcPr>
            <w:tcW w:w="3134" w:type="pct"/>
            <w:vAlign w:val="center"/>
          </w:tcPr>
          <w:p w14:paraId="019D5AC5" w14:textId="77777777" w:rsidR="002E474C" w:rsidRDefault="00000000">
            <w:pPr>
              <w:pStyle w:val="A-"/>
            </w:pPr>
            <w:r>
              <w:t>SNCR+SCR+</w:t>
            </w:r>
            <w:r>
              <w:t>增湿塔（急冷）</w:t>
            </w:r>
            <w:r>
              <w:t>+</w:t>
            </w:r>
            <w:r>
              <w:t>电袋除尘器</w:t>
            </w:r>
            <w:r>
              <w:t>+85m</w:t>
            </w:r>
            <w:r>
              <w:t>烟囱</w:t>
            </w:r>
            <w:r>
              <w:t>DA030+</w:t>
            </w:r>
            <w:r>
              <w:t>在线监测系统。</w:t>
            </w:r>
          </w:p>
          <w:p w14:paraId="0CAFE9B2" w14:textId="77777777" w:rsidR="002E474C" w:rsidRDefault="00000000">
            <w:pPr>
              <w:pStyle w:val="A-"/>
            </w:pPr>
            <w:r>
              <w:t>圣雄水泥公司拟实施超低排放改造，在现有</w:t>
            </w:r>
            <w:r>
              <w:t>SNCR</w:t>
            </w:r>
            <w:r>
              <w:t>脱硝基础上新增</w:t>
            </w:r>
            <w:r>
              <w:t>SCR</w:t>
            </w:r>
            <w:r>
              <w:t>脱硝设施。</w:t>
            </w:r>
          </w:p>
        </w:tc>
        <w:tc>
          <w:tcPr>
            <w:tcW w:w="565" w:type="pct"/>
            <w:vAlign w:val="center"/>
          </w:tcPr>
          <w:p w14:paraId="7FBCD0FA" w14:textId="77777777" w:rsidR="002E474C" w:rsidRDefault="00000000">
            <w:pPr>
              <w:pStyle w:val="A-"/>
            </w:pPr>
            <w:r>
              <w:rPr>
                <w:rFonts w:hint="eastAsia"/>
              </w:rPr>
              <w:t>依托</w:t>
            </w:r>
            <w:r>
              <w:rPr>
                <w:rFonts w:hint="eastAsia"/>
              </w:rPr>
              <w:t>+</w:t>
            </w:r>
            <w:r>
              <w:rPr>
                <w:rFonts w:hint="eastAsia"/>
              </w:rPr>
              <w:t>改造</w:t>
            </w:r>
          </w:p>
        </w:tc>
      </w:tr>
      <w:tr w:rsidR="002E474C" w14:paraId="2AAFBDE2" w14:textId="77777777">
        <w:trPr>
          <w:cantSplit/>
          <w:trHeight w:val="283"/>
          <w:jc w:val="center"/>
        </w:trPr>
        <w:tc>
          <w:tcPr>
            <w:tcW w:w="236" w:type="pct"/>
            <w:vMerge/>
            <w:vAlign w:val="center"/>
          </w:tcPr>
          <w:p w14:paraId="5A4F6956" w14:textId="77777777" w:rsidR="002E474C" w:rsidRDefault="002E474C">
            <w:pPr>
              <w:pStyle w:val="A-"/>
            </w:pPr>
          </w:p>
        </w:tc>
        <w:tc>
          <w:tcPr>
            <w:tcW w:w="1065" w:type="pct"/>
            <w:gridSpan w:val="3"/>
            <w:vMerge w:val="restart"/>
            <w:vAlign w:val="center"/>
          </w:tcPr>
          <w:p w14:paraId="3388F9AF" w14:textId="77777777" w:rsidR="002E474C" w:rsidRDefault="00000000">
            <w:pPr>
              <w:pStyle w:val="A-"/>
            </w:pPr>
            <w:r>
              <w:t>废水</w:t>
            </w:r>
          </w:p>
        </w:tc>
        <w:tc>
          <w:tcPr>
            <w:tcW w:w="3134" w:type="pct"/>
            <w:vAlign w:val="center"/>
          </w:tcPr>
          <w:p w14:paraId="28DF8891" w14:textId="77777777" w:rsidR="002E474C" w:rsidRDefault="00000000">
            <w:pPr>
              <w:pStyle w:val="A-"/>
            </w:pPr>
            <w:bookmarkStart w:id="142" w:name="OLE_LINK63"/>
            <w:r>
              <w:t>生产废水收集系统设</w:t>
            </w:r>
            <w:r>
              <w:t>1.5m³</w:t>
            </w:r>
            <w:r>
              <w:t>废水收集池，危废贮存库设</w:t>
            </w:r>
            <w:r>
              <w:t>1m³</w:t>
            </w:r>
            <w:r>
              <w:t>集液池，液态危废预处理</w:t>
            </w:r>
            <w:r>
              <w:rPr>
                <w:rFonts w:hint="eastAsia"/>
              </w:rPr>
              <w:t>车间</w:t>
            </w:r>
            <w:r>
              <w:t>设</w:t>
            </w:r>
            <w:r>
              <w:t>1m³</w:t>
            </w:r>
            <w:r>
              <w:t>集液池，初期雨水收集系统设</w:t>
            </w:r>
            <w:r>
              <w:t>21m³</w:t>
            </w:r>
            <w:r>
              <w:t>初期雨水池。收集的车辆与设备清洗废水、初期雨水及渗滤液等废水经液态危废处置系统送至水泥窑焚烧处置。</w:t>
            </w:r>
            <w:bookmarkEnd w:id="142"/>
          </w:p>
        </w:tc>
        <w:tc>
          <w:tcPr>
            <w:tcW w:w="565" w:type="pct"/>
            <w:vAlign w:val="center"/>
          </w:tcPr>
          <w:p w14:paraId="2286DBEC" w14:textId="77777777" w:rsidR="002E474C" w:rsidRDefault="00000000">
            <w:pPr>
              <w:pStyle w:val="A-"/>
            </w:pPr>
            <w:r>
              <w:t>新建</w:t>
            </w:r>
          </w:p>
        </w:tc>
      </w:tr>
      <w:tr w:rsidR="002E474C" w14:paraId="314CCAAF" w14:textId="77777777">
        <w:trPr>
          <w:cantSplit/>
          <w:trHeight w:val="283"/>
          <w:jc w:val="center"/>
        </w:trPr>
        <w:tc>
          <w:tcPr>
            <w:tcW w:w="236" w:type="pct"/>
            <w:vMerge/>
            <w:vAlign w:val="center"/>
          </w:tcPr>
          <w:p w14:paraId="33145614" w14:textId="77777777" w:rsidR="002E474C" w:rsidRDefault="002E474C">
            <w:pPr>
              <w:pStyle w:val="A-"/>
            </w:pPr>
          </w:p>
        </w:tc>
        <w:tc>
          <w:tcPr>
            <w:tcW w:w="1065" w:type="pct"/>
            <w:gridSpan w:val="3"/>
            <w:vMerge/>
            <w:vAlign w:val="center"/>
          </w:tcPr>
          <w:p w14:paraId="2E3701FA" w14:textId="77777777" w:rsidR="002E474C" w:rsidRDefault="002E474C">
            <w:pPr>
              <w:pStyle w:val="A-"/>
            </w:pPr>
          </w:p>
        </w:tc>
        <w:tc>
          <w:tcPr>
            <w:tcW w:w="3134" w:type="pct"/>
            <w:vAlign w:val="center"/>
          </w:tcPr>
          <w:p w14:paraId="0F539CF4" w14:textId="77777777" w:rsidR="002E474C" w:rsidRDefault="00000000">
            <w:pPr>
              <w:pStyle w:val="A-"/>
            </w:pPr>
            <w:r>
              <w:t>生活污水经管网排至厂内综合污水处理站处理</w:t>
            </w:r>
            <w:r>
              <w:rPr>
                <w:rFonts w:hint="eastAsia"/>
              </w:rPr>
              <w:t>后</w:t>
            </w:r>
            <w:r>
              <w:t>回用于生产</w:t>
            </w:r>
            <w:r>
              <w:rPr>
                <w:rFonts w:hint="eastAsia"/>
              </w:rPr>
              <w:t>或绿化</w:t>
            </w:r>
            <w:r>
              <w:t>。</w:t>
            </w:r>
          </w:p>
        </w:tc>
        <w:tc>
          <w:tcPr>
            <w:tcW w:w="565" w:type="pct"/>
            <w:vAlign w:val="center"/>
          </w:tcPr>
          <w:p w14:paraId="15B8FAE9" w14:textId="77777777" w:rsidR="002E474C" w:rsidRDefault="00000000">
            <w:pPr>
              <w:pStyle w:val="A-"/>
            </w:pPr>
            <w:r>
              <w:t>依托</w:t>
            </w:r>
          </w:p>
          <w:p w14:paraId="747E6DF2" w14:textId="77777777" w:rsidR="002E474C" w:rsidRDefault="00000000">
            <w:pPr>
              <w:pStyle w:val="A-"/>
            </w:pPr>
            <w:r>
              <w:t>现有</w:t>
            </w:r>
          </w:p>
        </w:tc>
      </w:tr>
      <w:tr w:rsidR="002E474C" w14:paraId="3B089D29" w14:textId="77777777">
        <w:trPr>
          <w:cantSplit/>
          <w:trHeight w:val="283"/>
          <w:jc w:val="center"/>
        </w:trPr>
        <w:tc>
          <w:tcPr>
            <w:tcW w:w="236" w:type="pct"/>
            <w:vMerge/>
            <w:vAlign w:val="center"/>
          </w:tcPr>
          <w:p w14:paraId="6A087975" w14:textId="77777777" w:rsidR="002E474C" w:rsidRDefault="002E474C">
            <w:pPr>
              <w:pStyle w:val="A-"/>
            </w:pPr>
          </w:p>
        </w:tc>
        <w:tc>
          <w:tcPr>
            <w:tcW w:w="1065" w:type="pct"/>
            <w:gridSpan w:val="3"/>
            <w:vMerge w:val="restart"/>
            <w:vAlign w:val="center"/>
          </w:tcPr>
          <w:p w14:paraId="62286E32" w14:textId="77777777" w:rsidR="002E474C" w:rsidRDefault="00000000">
            <w:pPr>
              <w:pStyle w:val="A-"/>
            </w:pPr>
            <w:r>
              <w:t>固体废物</w:t>
            </w:r>
          </w:p>
        </w:tc>
        <w:tc>
          <w:tcPr>
            <w:tcW w:w="3134" w:type="pct"/>
            <w:vAlign w:val="center"/>
          </w:tcPr>
          <w:p w14:paraId="44185532" w14:textId="77777777" w:rsidR="002E474C" w:rsidRDefault="00000000">
            <w:pPr>
              <w:pStyle w:val="A-"/>
            </w:pPr>
            <w:r>
              <w:t>生活垃圾集中收集送圣雄股份公司垃圾场填埋处理。</w:t>
            </w:r>
          </w:p>
        </w:tc>
        <w:tc>
          <w:tcPr>
            <w:tcW w:w="565" w:type="pct"/>
            <w:vAlign w:val="center"/>
          </w:tcPr>
          <w:p w14:paraId="7489419E" w14:textId="77777777" w:rsidR="002E474C" w:rsidRDefault="00000000">
            <w:pPr>
              <w:pStyle w:val="A-"/>
            </w:pPr>
            <w:r>
              <w:t>依托</w:t>
            </w:r>
          </w:p>
          <w:p w14:paraId="50A73E29" w14:textId="77777777" w:rsidR="002E474C" w:rsidRDefault="00000000">
            <w:pPr>
              <w:pStyle w:val="A-"/>
            </w:pPr>
            <w:r>
              <w:t>现有</w:t>
            </w:r>
          </w:p>
        </w:tc>
      </w:tr>
      <w:tr w:rsidR="002E474C" w14:paraId="6BBA1A8D" w14:textId="77777777">
        <w:trPr>
          <w:cantSplit/>
          <w:trHeight w:val="283"/>
          <w:jc w:val="center"/>
        </w:trPr>
        <w:tc>
          <w:tcPr>
            <w:tcW w:w="236" w:type="pct"/>
            <w:vMerge/>
            <w:vAlign w:val="center"/>
          </w:tcPr>
          <w:p w14:paraId="548207CF" w14:textId="77777777" w:rsidR="002E474C" w:rsidRDefault="002E474C">
            <w:pPr>
              <w:pStyle w:val="A-"/>
            </w:pPr>
          </w:p>
        </w:tc>
        <w:tc>
          <w:tcPr>
            <w:tcW w:w="1065" w:type="pct"/>
            <w:gridSpan w:val="3"/>
            <w:vMerge/>
            <w:vAlign w:val="center"/>
          </w:tcPr>
          <w:p w14:paraId="1B7268D8" w14:textId="77777777" w:rsidR="002E474C" w:rsidRDefault="002E474C">
            <w:pPr>
              <w:pStyle w:val="A-"/>
            </w:pPr>
          </w:p>
        </w:tc>
        <w:tc>
          <w:tcPr>
            <w:tcW w:w="3134" w:type="pct"/>
            <w:vAlign w:val="center"/>
          </w:tcPr>
          <w:p w14:paraId="0F2CD561" w14:textId="77777777" w:rsidR="002E474C" w:rsidRDefault="00000000">
            <w:pPr>
              <w:pStyle w:val="A-"/>
            </w:pPr>
            <w:r>
              <w:t>废活性炭、废包装物、液态危废过滤渣、污泥、废滤袋、废润滑油等均送至水泥窑焚烧处置。</w:t>
            </w:r>
          </w:p>
        </w:tc>
        <w:tc>
          <w:tcPr>
            <w:tcW w:w="565" w:type="pct"/>
            <w:vAlign w:val="center"/>
          </w:tcPr>
          <w:p w14:paraId="4602927A" w14:textId="77777777" w:rsidR="002E474C" w:rsidRDefault="00000000">
            <w:pPr>
              <w:pStyle w:val="A-"/>
            </w:pPr>
            <w:r>
              <w:rPr>
                <w:rFonts w:hint="eastAsia"/>
              </w:rPr>
              <w:t>/</w:t>
            </w:r>
          </w:p>
        </w:tc>
      </w:tr>
      <w:tr w:rsidR="002E474C" w14:paraId="4B6FD827" w14:textId="77777777">
        <w:trPr>
          <w:cantSplit/>
          <w:trHeight w:val="283"/>
          <w:jc w:val="center"/>
        </w:trPr>
        <w:tc>
          <w:tcPr>
            <w:tcW w:w="236" w:type="pct"/>
            <w:vMerge/>
            <w:vAlign w:val="center"/>
          </w:tcPr>
          <w:p w14:paraId="5D9970F5" w14:textId="77777777" w:rsidR="002E474C" w:rsidRDefault="002E474C">
            <w:pPr>
              <w:pStyle w:val="A-"/>
            </w:pPr>
          </w:p>
        </w:tc>
        <w:tc>
          <w:tcPr>
            <w:tcW w:w="1065" w:type="pct"/>
            <w:gridSpan w:val="3"/>
            <w:vAlign w:val="center"/>
          </w:tcPr>
          <w:p w14:paraId="628F49D5" w14:textId="77777777" w:rsidR="002E474C" w:rsidRDefault="00000000">
            <w:pPr>
              <w:pStyle w:val="A-"/>
            </w:pPr>
            <w:r>
              <w:t>噪声</w:t>
            </w:r>
          </w:p>
        </w:tc>
        <w:tc>
          <w:tcPr>
            <w:tcW w:w="3134" w:type="pct"/>
            <w:vAlign w:val="center"/>
          </w:tcPr>
          <w:p w14:paraId="2E10609F" w14:textId="77777777" w:rsidR="002E474C" w:rsidRDefault="00000000">
            <w:pPr>
              <w:pStyle w:val="A-"/>
            </w:pPr>
            <w:r>
              <w:t>生产过程中破碎机、风机、泵机等采用低噪设备、室内布置、消声、隔声等措施。</w:t>
            </w:r>
          </w:p>
        </w:tc>
        <w:tc>
          <w:tcPr>
            <w:tcW w:w="565" w:type="pct"/>
            <w:vAlign w:val="center"/>
          </w:tcPr>
          <w:p w14:paraId="45579159" w14:textId="77777777" w:rsidR="002E474C" w:rsidRDefault="00000000">
            <w:pPr>
              <w:pStyle w:val="A-"/>
            </w:pPr>
            <w:r>
              <w:t>新建</w:t>
            </w:r>
            <w:r>
              <w:rPr>
                <w:rFonts w:hint="eastAsia"/>
              </w:rPr>
              <w:t>+</w:t>
            </w:r>
            <w:r>
              <w:rPr>
                <w:rFonts w:hint="eastAsia"/>
              </w:rPr>
              <w:t>改造</w:t>
            </w:r>
          </w:p>
        </w:tc>
      </w:tr>
      <w:tr w:rsidR="002E474C" w14:paraId="677C8401" w14:textId="77777777">
        <w:trPr>
          <w:cantSplit/>
          <w:trHeight w:val="283"/>
          <w:jc w:val="center"/>
        </w:trPr>
        <w:tc>
          <w:tcPr>
            <w:tcW w:w="236" w:type="pct"/>
            <w:vMerge/>
            <w:vAlign w:val="center"/>
          </w:tcPr>
          <w:p w14:paraId="1CC41B53" w14:textId="77777777" w:rsidR="002E474C" w:rsidRDefault="002E474C">
            <w:pPr>
              <w:pStyle w:val="A-"/>
            </w:pPr>
          </w:p>
        </w:tc>
        <w:tc>
          <w:tcPr>
            <w:tcW w:w="1065" w:type="pct"/>
            <w:gridSpan w:val="3"/>
            <w:vAlign w:val="center"/>
          </w:tcPr>
          <w:p w14:paraId="2A58F9BF" w14:textId="77777777" w:rsidR="002E474C" w:rsidRDefault="00000000">
            <w:pPr>
              <w:pStyle w:val="A-"/>
            </w:pPr>
            <w:r>
              <w:t>地下水</w:t>
            </w:r>
            <w:r>
              <w:rPr>
                <w:rFonts w:hint="eastAsia"/>
              </w:rPr>
              <w:t>及土壤污染防治</w:t>
            </w:r>
            <w:r>
              <w:t>措施</w:t>
            </w:r>
          </w:p>
        </w:tc>
        <w:tc>
          <w:tcPr>
            <w:tcW w:w="3134" w:type="pct"/>
            <w:vAlign w:val="center"/>
          </w:tcPr>
          <w:p w14:paraId="3271EFE0" w14:textId="77777777" w:rsidR="002E474C" w:rsidRDefault="00000000">
            <w:pPr>
              <w:pStyle w:val="A-"/>
            </w:pPr>
            <w:r>
              <w:rPr>
                <w:spacing w:val="-6"/>
              </w:rPr>
              <w:t>按照分区防渗原则分别对固态危废预处理车间、危废贮存库、加料设施、废水收集池、事故池、初期雨水池进行防渗处理。</w:t>
            </w:r>
            <w:r>
              <w:t>定期对地下水水质进行</w:t>
            </w:r>
            <w:r>
              <w:rPr>
                <w:rFonts w:hint="eastAsia"/>
              </w:rPr>
              <w:t>跟踪监测</w:t>
            </w:r>
            <w:r>
              <w:rPr>
                <w:rFonts w:hint="eastAsia"/>
                <w:spacing w:val="-6"/>
              </w:rPr>
              <w:t>，降低地下水及土壤污染风险。</w:t>
            </w:r>
          </w:p>
        </w:tc>
        <w:tc>
          <w:tcPr>
            <w:tcW w:w="565" w:type="pct"/>
            <w:vAlign w:val="center"/>
          </w:tcPr>
          <w:p w14:paraId="580C35E5" w14:textId="77777777" w:rsidR="002E474C" w:rsidRDefault="00000000">
            <w:pPr>
              <w:pStyle w:val="A-"/>
            </w:pPr>
            <w:r>
              <w:t>新建</w:t>
            </w:r>
          </w:p>
        </w:tc>
      </w:tr>
      <w:tr w:rsidR="002E474C" w14:paraId="04C2F91D" w14:textId="77777777">
        <w:trPr>
          <w:cantSplit/>
          <w:trHeight w:val="283"/>
          <w:jc w:val="center"/>
        </w:trPr>
        <w:tc>
          <w:tcPr>
            <w:tcW w:w="236" w:type="pct"/>
            <w:vMerge/>
            <w:vAlign w:val="center"/>
          </w:tcPr>
          <w:p w14:paraId="7EEF2273" w14:textId="77777777" w:rsidR="002E474C" w:rsidRDefault="002E474C">
            <w:pPr>
              <w:pStyle w:val="A-"/>
            </w:pPr>
          </w:p>
        </w:tc>
        <w:tc>
          <w:tcPr>
            <w:tcW w:w="1065" w:type="pct"/>
            <w:gridSpan w:val="3"/>
            <w:vMerge w:val="restart"/>
            <w:vAlign w:val="center"/>
          </w:tcPr>
          <w:p w14:paraId="37098366" w14:textId="77777777" w:rsidR="002E474C" w:rsidRDefault="00000000">
            <w:pPr>
              <w:pStyle w:val="A-"/>
            </w:pPr>
            <w:r>
              <w:rPr>
                <w:rFonts w:hint="eastAsia"/>
              </w:rPr>
              <w:t>风险防范</w:t>
            </w:r>
          </w:p>
        </w:tc>
        <w:tc>
          <w:tcPr>
            <w:tcW w:w="3134" w:type="pct"/>
            <w:vAlign w:val="center"/>
          </w:tcPr>
          <w:p w14:paraId="0302B002" w14:textId="77777777" w:rsidR="002E474C" w:rsidRDefault="00000000">
            <w:pPr>
              <w:pStyle w:val="A-"/>
              <w:rPr>
                <w:spacing w:val="-6"/>
              </w:rPr>
            </w:pPr>
            <w:r>
              <w:rPr>
                <w:rFonts w:hint="eastAsia"/>
                <w:spacing w:val="-6"/>
              </w:rPr>
              <w:t>修订《</w:t>
            </w:r>
            <w:r>
              <w:t>圣雄水泥公司突发环境事件应急预案</w:t>
            </w:r>
            <w:r>
              <w:rPr>
                <w:rFonts w:hint="eastAsia"/>
                <w:spacing w:val="-6"/>
              </w:rPr>
              <w:t>》并在生态环境部门备案</w:t>
            </w:r>
          </w:p>
        </w:tc>
        <w:tc>
          <w:tcPr>
            <w:tcW w:w="565" w:type="pct"/>
            <w:vAlign w:val="center"/>
          </w:tcPr>
          <w:p w14:paraId="1926E8F0" w14:textId="77777777" w:rsidR="002E474C" w:rsidRDefault="00000000">
            <w:pPr>
              <w:pStyle w:val="A-"/>
            </w:pPr>
            <w:r>
              <w:rPr>
                <w:rFonts w:hint="eastAsia"/>
              </w:rPr>
              <w:t>修订</w:t>
            </w:r>
          </w:p>
        </w:tc>
      </w:tr>
      <w:tr w:rsidR="002E474C" w14:paraId="6D35DD78" w14:textId="77777777">
        <w:trPr>
          <w:cantSplit/>
          <w:trHeight w:val="283"/>
          <w:jc w:val="center"/>
        </w:trPr>
        <w:tc>
          <w:tcPr>
            <w:tcW w:w="236" w:type="pct"/>
            <w:vMerge/>
            <w:vAlign w:val="center"/>
          </w:tcPr>
          <w:p w14:paraId="74E0A9B4" w14:textId="77777777" w:rsidR="002E474C" w:rsidRDefault="002E474C">
            <w:pPr>
              <w:pStyle w:val="A-"/>
            </w:pPr>
          </w:p>
        </w:tc>
        <w:tc>
          <w:tcPr>
            <w:tcW w:w="1065" w:type="pct"/>
            <w:gridSpan w:val="3"/>
            <w:vMerge/>
            <w:vAlign w:val="center"/>
          </w:tcPr>
          <w:p w14:paraId="69DB5BF8" w14:textId="77777777" w:rsidR="002E474C" w:rsidRDefault="002E474C">
            <w:pPr>
              <w:pStyle w:val="A-"/>
            </w:pPr>
          </w:p>
        </w:tc>
        <w:tc>
          <w:tcPr>
            <w:tcW w:w="3134" w:type="pct"/>
            <w:vAlign w:val="center"/>
          </w:tcPr>
          <w:p w14:paraId="1F64236B" w14:textId="77777777" w:rsidR="002E474C" w:rsidRDefault="00000000">
            <w:pPr>
              <w:pStyle w:val="A-"/>
              <w:rPr>
                <w:spacing w:val="-6"/>
              </w:rPr>
            </w:pPr>
            <w:r>
              <w:rPr>
                <w:rFonts w:hint="eastAsia"/>
                <w:spacing w:val="-6"/>
              </w:rPr>
              <w:t>配套监控与报警系统</w:t>
            </w:r>
          </w:p>
        </w:tc>
        <w:tc>
          <w:tcPr>
            <w:tcW w:w="565" w:type="pct"/>
            <w:vAlign w:val="center"/>
          </w:tcPr>
          <w:p w14:paraId="5FAF900B" w14:textId="77777777" w:rsidR="002E474C" w:rsidRDefault="00000000">
            <w:pPr>
              <w:pStyle w:val="A-"/>
            </w:pPr>
            <w:r>
              <w:t>新建</w:t>
            </w:r>
          </w:p>
        </w:tc>
      </w:tr>
      <w:tr w:rsidR="002E474C" w14:paraId="7AF5DF3D" w14:textId="77777777">
        <w:trPr>
          <w:cantSplit/>
          <w:trHeight w:val="283"/>
          <w:jc w:val="center"/>
        </w:trPr>
        <w:tc>
          <w:tcPr>
            <w:tcW w:w="236" w:type="pct"/>
            <w:vMerge/>
            <w:vAlign w:val="center"/>
          </w:tcPr>
          <w:p w14:paraId="38D84674" w14:textId="77777777" w:rsidR="002E474C" w:rsidRDefault="002E474C">
            <w:pPr>
              <w:pStyle w:val="A-"/>
            </w:pPr>
          </w:p>
        </w:tc>
        <w:tc>
          <w:tcPr>
            <w:tcW w:w="1065" w:type="pct"/>
            <w:gridSpan w:val="3"/>
            <w:vMerge/>
            <w:vAlign w:val="center"/>
          </w:tcPr>
          <w:p w14:paraId="5C13A975" w14:textId="77777777" w:rsidR="002E474C" w:rsidRDefault="002E474C">
            <w:pPr>
              <w:pStyle w:val="A-"/>
            </w:pPr>
          </w:p>
        </w:tc>
        <w:tc>
          <w:tcPr>
            <w:tcW w:w="3134" w:type="pct"/>
            <w:vAlign w:val="center"/>
          </w:tcPr>
          <w:p w14:paraId="7958C325" w14:textId="77777777" w:rsidR="002E474C" w:rsidRDefault="00000000">
            <w:pPr>
              <w:pStyle w:val="A-"/>
            </w:pPr>
            <w:r>
              <w:rPr>
                <w:rFonts w:hint="eastAsia"/>
              </w:rPr>
              <w:t>建设</w:t>
            </w:r>
            <w:r>
              <w:t>1</w:t>
            </w:r>
            <w:r>
              <w:t>座</w:t>
            </w:r>
            <w:r>
              <w:t>200m</w:t>
            </w:r>
            <w:r>
              <w:rPr>
                <w:vertAlign w:val="superscript"/>
              </w:rPr>
              <w:t>3</w:t>
            </w:r>
            <w:r>
              <w:t>危废贮存库事故池。</w:t>
            </w:r>
          </w:p>
        </w:tc>
        <w:tc>
          <w:tcPr>
            <w:tcW w:w="565" w:type="pct"/>
            <w:vAlign w:val="center"/>
          </w:tcPr>
          <w:p w14:paraId="5D4353E2" w14:textId="77777777" w:rsidR="002E474C" w:rsidRDefault="00000000">
            <w:pPr>
              <w:pStyle w:val="A-"/>
            </w:pPr>
            <w:r>
              <w:t>新建</w:t>
            </w:r>
          </w:p>
        </w:tc>
      </w:tr>
    </w:tbl>
    <w:p w14:paraId="4BC62D02" w14:textId="77777777" w:rsidR="002E474C" w:rsidRDefault="002E474C"/>
    <w:p w14:paraId="7D6F410C" w14:textId="77777777" w:rsidR="002E474C" w:rsidRDefault="00000000">
      <w:pPr>
        <w:pStyle w:val="A--"/>
        <w:rPr>
          <w:color w:val="auto"/>
        </w:rPr>
      </w:pPr>
      <w:r>
        <w:rPr>
          <w:color w:val="auto"/>
        </w:rPr>
        <w:t>表</w:t>
      </w:r>
      <w:r>
        <w:rPr>
          <w:color w:val="auto"/>
        </w:rPr>
        <w:t xml:space="preserve">3.3-2  </w:t>
      </w:r>
      <w:r>
        <w:rPr>
          <w:rFonts w:hint="eastAsia"/>
          <w:color w:val="auto"/>
        </w:rPr>
        <w:t>水泥生产线改造</w:t>
      </w:r>
      <w:r>
        <w:rPr>
          <w:color w:val="auto"/>
        </w:rPr>
        <w:t>内容</w:t>
      </w:r>
      <w:r>
        <w:rPr>
          <w:rFonts w:hint="eastAsia"/>
          <w:color w:val="auto"/>
        </w:rPr>
        <w:t>汇总表</w:t>
      </w:r>
    </w:p>
    <w:tbl>
      <w:tblPr>
        <w:tblStyle w:val="affff9"/>
        <w:tblW w:w="5000" w:type="pct"/>
        <w:tblLook w:val="04A0" w:firstRow="1" w:lastRow="0" w:firstColumn="1" w:lastColumn="0" w:noHBand="0" w:noVBand="1"/>
      </w:tblPr>
      <w:tblGrid>
        <w:gridCol w:w="639"/>
        <w:gridCol w:w="1060"/>
        <w:gridCol w:w="3348"/>
        <w:gridCol w:w="2109"/>
        <w:gridCol w:w="1140"/>
      </w:tblGrid>
      <w:tr w:rsidR="002E474C" w14:paraId="7DF43E6E" w14:textId="77777777">
        <w:tc>
          <w:tcPr>
            <w:tcW w:w="385" w:type="pct"/>
            <w:vAlign w:val="center"/>
          </w:tcPr>
          <w:p w14:paraId="301F5974" w14:textId="77777777" w:rsidR="002E474C" w:rsidRDefault="00000000">
            <w:pPr>
              <w:pStyle w:val="A-"/>
            </w:pPr>
            <w:r>
              <w:t>序号</w:t>
            </w:r>
          </w:p>
        </w:tc>
        <w:tc>
          <w:tcPr>
            <w:tcW w:w="639" w:type="pct"/>
            <w:vAlign w:val="center"/>
          </w:tcPr>
          <w:p w14:paraId="3DB786CA" w14:textId="77777777" w:rsidR="002E474C" w:rsidRDefault="00000000">
            <w:pPr>
              <w:pStyle w:val="A-"/>
            </w:pPr>
            <w:r>
              <w:t>改造位置</w:t>
            </w:r>
          </w:p>
        </w:tc>
        <w:tc>
          <w:tcPr>
            <w:tcW w:w="2017" w:type="pct"/>
            <w:vAlign w:val="center"/>
          </w:tcPr>
          <w:p w14:paraId="44BAD072" w14:textId="77777777" w:rsidR="002E474C" w:rsidRDefault="00000000">
            <w:pPr>
              <w:pStyle w:val="A-"/>
            </w:pPr>
            <w:r>
              <w:t>改造内容</w:t>
            </w:r>
          </w:p>
        </w:tc>
        <w:tc>
          <w:tcPr>
            <w:tcW w:w="1270" w:type="pct"/>
            <w:vAlign w:val="center"/>
          </w:tcPr>
          <w:p w14:paraId="4DDB6FD1" w14:textId="77777777" w:rsidR="002E474C" w:rsidRDefault="00000000">
            <w:pPr>
              <w:pStyle w:val="A-"/>
            </w:pPr>
            <w:r>
              <w:t>工程参数</w:t>
            </w:r>
          </w:p>
        </w:tc>
        <w:tc>
          <w:tcPr>
            <w:tcW w:w="687" w:type="pct"/>
            <w:vAlign w:val="center"/>
          </w:tcPr>
          <w:p w14:paraId="765D8CEC" w14:textId="77777777" w:rsidR="002E474C" w:rsidRDefault="00000000">
            <w:pPr>
              <w:pStyle w:val="A-"/>
            </w:pPr>
            <w:r>
              <w:t>备注</w:t>
            </w:r>
          </w:p>
        </w:tc>
      </w:tr>
      <w:tr w:rsidR="002E474C" w14:paraId="5D059E1B" w14:textId="77777777">
        <w:tc>
          <w:tcPr>
            <w:tcW w:w="385" w:type="pct"/>
            <w:vAlign w:val="center"/>
          </w:tcPr>
          <w:p w14:paraId="1E0BF62D" w14:textId="77777777" w:rsidR="002E474C" w:rsidRDefault="00000000">
            <w:pPr>
              <w:pStyle w:val="A-"/>
            </w:pPr>
            <w:r>
              <w:t>1</w:t>
            </w:r>
          </w:p>
        </w:tc>
        <w:tc>
          <w:tcPr>
            <w:tcW w:w="639" w:type="pct"/>
            <w:vAlign w:val="center"/>
          </w:tcPr>
          <w:p w14:paraId="4BEFEBB2" w14:textId="77777777" w:rsidR="002E474C" w:rsidRDefault="00000000">
            <w:pPr>
              <w:pStyle w:val="A-"/>
            </w:pPr>
            <w:r>
              <w:t>窑头</w:t>
            </w:r>
          </w:p>
        </w:tc>
        <w:tc>
          <w:tcPr>
            <w:tcW w:w="2017" w:type="pct"/>
            <w:vAlign w:val="center"/>
          </w:tcPr>
          <w:p w14:paraId="4E31F337" w14:textId="77777777" w:rsidR="002E474C" w:rsidRDefault="00000000">
            <w:pPr>
              <w:pStyle w:val="A-"/>
            </w:pPr>
            <w:r>
              <w:t>窑头改造内容如下：</w:t>
            </w:r>
          </w:p>
          <w:p w14:paraId="6D4C5FDE" w14:textId="77777777" w:rsidR="002E474C" w:rsidRDefault="00000000">
            <w:pPr>
              <w:pStyle w:val="A-"/>
            </w:pPr>
            <w:r>
              <w:t>1.</w:t>
            </w:r>
            <w:r>
              <w:t>窑头平台增加</w:t>
            </w:r>
            <w:r>
              <w:rPr>
                <w:rFonts w:hint="eastAsia"/>
              </w:rPr>
              <w:t>液态危废</w:t>
            </w:r>
            <w:r>
              <w:t>处置阀组；</w:t>
            </w:r>
          </w:p>
          <w:p w14:paraId="2606AE27" w14:textId="77777777" w:rsidR="002E474C" w:rsidRDefault="00000000">
            <w:pPr>
              <w:pStyle w:val="A-"/>
            </w:pPr>
            <w:r>
              <w:t>2.</w:t>
            </w:r>
            <w:r>
              <w:t>窑门罩开孔，安装</w:t>
            </w:r>
            <w:r>
              <w:rPr>
                <w:rFonts w:hint="eastAsia"/>
              </w:rPr>
              <w:t>液态危废处置</w:t>
            </w:r>
            <w:r>
              <w:t>系统废液物化喷枪；</w:t>
            </w:r>
          </w:p>
          <w:p w14:paraId="6953D439" w14:textId="77777777" w:rsidR="002E474C" w:rsidRDefault="00000000">
            <w:pPr>
              <w:pStyle w:val="A-"/>
            </w:pPr>
            <w:r>
              <w:t>3.</w:t>
            </w:r>
            <w:r>
              <w:t>窑头北侧篦冷机段增设废气收集引入口。</w:t>
            </w:r>
          </w:p>
        </w:tc>
        <w:tc>
          <w:tcPr>
            <w:tcW w:w="1270" w:type="pct"/>
            <w:vAlign w:val="center"/>
          </w:tcPr>
          <w:p w14:paraId="5001888A" w14:textId="77777777" w:rsidR="002E474C" w:rsidRDefault="00000000">
            <w:pPr>
              <w:pStyle w:val="A-"/>
            </w:pPr>
            <w:r>
              <w:t>喷枪输送能力</w:t>
            </w:r>
            <w:r>
              <w:t>1.5m</w:t>
            </w:r>
            <w:r>
              <w:rPr>
                <w:vertAlign w:val="superscript"/>
              </w:rPr>
              <w:t>3</w:t>
            </w:r>
            <w:r>
              <w:t>/h</w:t>
            </w:r>
            <w:r>
              <w:t>。</w:t>
            </w:r>
          </w:p>
        </w:tc>
        <w:tc>
          <w:tcPr>
            <w:tcW w:w="687" w:type="pct"/>
            <w:vAlign w:val="center"/>
          </w:tcPr>
          <w:p w14:paraId="65DFFD4F" w14:textId="77777777" w:rsidR="002E474C" w:rsidRDefault="00000000">
            <w:pPr>
              <w:pStyle w:val="A-"/>
            </w:pPr>
            <w:r>
              <w:t>不改动原设备结构，仅在窑门罩开孔。</w:t>
            </w:r>
          </w:p>
        </w:tc>
      </w:tr>
      <w:tr w:rsidR="002E474C" w14:paraId="72D1F60E" w14:textId="77777777">
        <w:tc>
          <w:tcPr>
            <w:tcW w:w="385" w:type="pct"/>
            <w:vAlign w:val="center"/>
          </w:tcPr>
          <w:p w14:paraId="3B8F6CEB" w14:textId="77777777" w:rsidR="002E474C" w:rsidRDefault="00000000">
            <w:pPr>
              <w:pStyle w:val="A-"/>
            </w:pPr>
            <w:r>
              <w:t>2</w:t>
            </w:r>
          </w:p>
        </w:tc>
        <w:tc>
          <w:tcPr>
            <w:tcW w:w="639" w:type="pct"/>
            <w:vAlign w:val="center"/>
          </w:tcPr>
          <w:p w14:paraId="0852378F" w14:textId="77777777" w:rsidR="002E474C" w:rsidRDefault="00000000">
            <w:pPr>
              <w:pStyle w:val="A-"/>
            </w:pPr>
            <w:r>
              <w:t>分解炉</w:t>
            </w:r>
          </w:p>
        </w:tc>
        <w:tc>
          <w:tcPr>
            <w:tcW w:w="2017" w:type="pct"/>
            <w:vAlign w:val="center"/>
          </w:tcPr>
          <w:p w14:paraId="552A27AA" w14:textId="77777777" w:rsidR="002E474C" w:rsidRDefault="00000000">
            <w:pPr>
              <w:pStyle w:val="A-"/>
            </w:pPr>
            <w:r>
              <w:t>窑尾分解炉改造内容如下：</w:t>
            </w:r>
          </w:p>
          <w:p w14:paraId="4D407FDF" w14:textId="77777777" w:rsidR="002E474C" w:rsidRDefault="00000000">
            <w:pPr>
              <w:pStyle w:val="A-"/>
            </w:pPr>
            <w:r>
              <w:t>1.</w:t>
            </w:r>
            <w:r>
              <w:t>在分解炉下部开孔</w:t>
            </w:r>
            <w:r>
              <w:t>1</w:t>
            </w:r>
            <w:r>
              <w:t>个，作为固</w:t>
            </w:r>
            <w:r>
              <w:lastRenderedPageBreak/>
              <w:t>态、应急投料系统公用投加点；</w:t>
            </w:r>
          </w:p>
          <w:p w14:paraId="3E76630E" w14:textId="77777777" w:rsidR="002E474C" w:rsidRDefault="00000000">
            <w:pPr>
              <w:pStyle w:val="A-"/>
            </w:pPr>
            <w:r>
              <w:t>2.</w:t>
            </w:r>
            <w:r>
              <w:t>在预热器平台增加固态物料输送、锁风和入窑设施；</w:t>
            </w:r>
          </w:p>
          <w:p w14:paraId="5EC2F024" w14:textId="77777777" w:rsidR="002E474C" w:rsidRDefault="00000000">
            <w:pPr>
              <w:pStyle w:val="A-"/>
            </w:pPr>
            <w:r>
              <w:t>3.</w:t>
            </w:r>
            <w:r>
              <w:t>预热器塔架下部</w:t>
            </w:r>
            <w:r>
              <w:t>0.00</w:t>
            </w:r>
            <w:r>
              <w:t>平面增加物料提升装置。</w:t>
            </w:r>
          </w:p>
        </w:tc>
        <w:tc>
          <w:tcPr>
            <w:tcW w:w="1270" w:type="pct"/>
            <w:vAlign w:val="center"/>
          </w:tcPr>
          <w:p w14:paraId="77839008" w14:textId="77777777" w:rsidR="002E474C" w:rsidRDefault="00000000">
            <w:pPr>
              <w:pStyle w:val="A-"/>
            </w:pPr>
            <w:r>
              <w:lastRenderedPageBreak/>
              <w:t>下料溜子、锁风阀尺寸</w:t>
            </w:r>
            <w:r>
              <w:rPr>
                <w:rFonts w:hint="eastAsia"/>
              </w:rPr>
              <w:t>9</w:t>
            </w:r>
            <w:r>
              <w:t>00mm×</w:t>
            </w:r>
            <w:r>
              <w:rPr>
                <w:rFonts w:hint="eastAsia"/>
              </w:rPr>
              <w:t>9</w:t>
            </w:r>
            <w:r>
              <w:t>00mm</w:t>
            </w:r>
            <w:r>
              <w:t>；</w:t>
            </w:r>
            <w:r>
              <w:lastRenderedPageBreak/>
              <w:t>螺旋输送机输送能力</w:t>
            </w:r>
            <w:r>
              <w:t>0-4t/h</w:t>
            </w:r>
            <w:r>
              <w:t>。</w:t>
            </w:r>
          </w:p>
        </w:tc>
        <w:tc>
          <w:tcPr>
            <w:tcW w:w="687" w:type="pct"/>
            <w:vAlign w:val="center"/>
          </w:tcPr>
          <w:p w14:paraId="0D3985E2" w14:textId="77777777" w:rsidR="002E474C" w:rsidRDefault="002E474C">
            <w:pPr>
              <w:pStyle w:val="A-"/>
            </w:pPr>
          </w:p>
        </w:tc>
      </w:tr>
      <w:tr w:rsidR="002E474C" w14:paraId="69944A27" w14:textId="77777777">
        <w:tc>
          <w:tcPr>
            <w:tcW w:w="385" w:type="pct"/>
            <w:vAlign w:val="center"/>
          </w:tcPr>
          <w:p w14:paraId="7BD977CF" w14:textId="77777777" w:rsidR="002E474C" w:rsidRDefault="00000000">
            <w:pPr>
              <w:pStyle w:val="A-"/>
            </w:pPr>
            <w:r>
              <w:t>3</w:t>
            </w:r>
          </w:p>
        </w:tc>
        <w:tc>
          <w:tcPr>
            <w:tcW w:w="639" w:type="pct"/>
            <w:vAlign w:val="center"/>
          </w:tcPr>
          <w:p w14:paraId="60D642CC" w14:textId="77777777" w:rsidR="002E474C" w:rsidRDefault="00000000">
            <w:pPr>
              <w:pStyle w:val="A-"/>
            </w:pPr>
            <w:r>
              <w:rPr>
                <w:rFonts w:hint="eastAsia"/>
              </w:rPr>
              <w:t>配料</w:t>
            </w:r>
            <w:r>
              <w:t>系统</w:t>
            </w:r>
          </w:p>
        </w:tc>
        <w:tc>
          <w:tcPr>
            <w:tcW w:w="2017" w:type="pct"/>
            <w:vAlign w:val="center"/>
          </w:tcPr>
          <w:p w14:paraId="16CD7D07" w14:textId="77777777" w:rsidR="002E474C" w:rsidRDefault="00000000">
            <w:pPr>
              <w:pStyle w:val="A-"/>
            </w:pPr>
            <w:r>
              <w:t>生料配料系统改造内容如下：</w:t>
            </w:r>
          </w:p>
          <w:p w14:paraId="6442451D" w14:textId="77777777" w:rsidR="002E474C" w:rsidRDefault="00000000">
            <w:pPr>
              <w:pStyle w:val="A-"/>
            </w:pPr>
            <w:r>
              <w:t>1.</w:t>
            </w:r>
            <w:r>
              <w:t>在生料配料系统后端，增加无机类投料设施，原配料设备不做调整；</w:t>
            </w:r>
          </w:p>
          <w:p w14:paraId="5D6265FD" w14:textId="77777777" w:rsidR="002E474C" w:rsidRDefault="00000000">
            <w:pPr>
              <w:pStyle w:val="A-"/>
            </w:pPr>
            <w:r>
              <w:t>2.</w:t>
            </w:r>
            <w:r>
              <w:t>无机类投料设施包括物料卸料坑、物料提升设施、物料缓存仓、物料计量及输送装置。</w:t>
            </w:r>
          </w:p>
        </w:tc>
        <w:tc>
          <w:tcPr>
            <w:tcW w:w="1270" w:type="pct"/>
            <w:vAlign w:val="center"/>
          </w:tcPr>
          <w:p w14:paraId="22EF8FCD" w14:textId="77777777" w:rsidR="002E474C" w:rsidRDefault="00000000">
            <w:pPr>
              <w:pStyle w:val="A-"/>
            </w:pPr>
            <w:r>
              <w:t>皮带秤两台，输送能力</w:t>
            </w:r>
            <w:r>
              <w:t>0-10t/h</w:t>
            </w:r>
            <w:r>
              <w:t>。</w:t>
            </w:r>
          </w:p>
        </w:tc>
        <w:tc>
          <w:tcPr>
            <w:tcW w:w="687" w:type="pct"/>
            <w:vAlign w:val="center"/>
          </w:tcPr>
          <w:p w14:paraId="5B6C6CBC" w14:textId="77777777" w:rsidR="002E474C" w:rsidRDefault="00000000">
            <w:pPr>
              <w:pStyle w:val="A-"/>
            </w:pPr>
            <w:r>
              <w:t xml:space="preserve"> </w:t>
            </w:r>
          </w:p>
        </w:tc>
      </w:tr>
    </w:tbl>
    <w:p w14:paraId="78ED9C8C" w14:textId="77777777" w:rsidR="002E474C" w:rsidRDefault="002E474C"/>
    <w:p w14:paraId="1599C852" w14:textId="77777777" w:rsidR="002E474C" w:rsidRDefault="00000000">
      <w:pPr>
        <w:pStyle w:val="31"/>
        <w:spacing w:before="120" w:after="120"/>
        <w:rPr>
          <w:color w:val="auto"/>
        </w:rPr>
      </w:pPr>
      <w:r>
        <w:rPr>
          <w:color w:val="auto"/>
        </w:rPr>
        <w:t>总平面布置</w:t>
      </w:r>
    </w:p>
    <w:p w14:paraId="47A6A171" w14:textId="77777777" w:rsidR="002E474C" w:rsidRDefault="00000000">
      <w:pPr>
        <w:pStyle w:val="A-z"/>
        <w:rPr>
          <w:color w:val="auto"/>
        </w:rPr>
      </w:pPr>
      <w:r>
        <w:rPr>
          <w:color w:val="auto"/>
        </w:rPr>
        <w:t>根据项目场地需求，同时结合水泥厂现有水泥窑系统布置情况以及周边空地情况，总平面布置遵循以下原则</w:t>
      </w:r>
      <w:r>
        <w:rPr>
          <w:rFonts w:hint="eastAsia"/>
          <w:color w:val="auto"/>
        </w:rPr>
        <w:t>：</w:t>
      </w:r>
      <w:r>
        <w:rPr>
          <w:color w:val="auto"/>
        </w:rPr>
        <w:t>车间布置紧凑，作业集中，避免二次倒运，</w:t>
      </w:r>
      <w:r>
        <w:rPr>
          <w:rFonts w:hint="eastAsia"/>
          <w:color w:val="auto"/>
        </w:rPr>
        <w:t>降低</w:t>
      </w:r>
      <w:r>
        <w:rPr>
          <w:color w:val="auto"/>
        </w:rPr>
        <w:t>二次污染风险。生产设施尽可能靠近水泥窑系统，尤其是各入窑输送系统</w:t>
      </w:r>
      <w:r>
        <w:rPr>
          <w:rFonts w:hint="eastAsia"/>
          <w:color w:val="auto"/>
        </w:rPr>
        <w:t>，同时</w:t>
      </w:r>
      <w:r>
        <w:rPr>
          <w:color w:val="auto"/>
        </w:rPr>
        <w:t>考虑水泥窑系统附近留有一定场地，方便水泥生产和系统维护检修。</w:t>
      </w:r>
    </w:p>
    <w:p w14:paraId="5E8C59F8" w14:textId="77777777" w:rsidR="002E474C" w:rsidRDefault="00000000">
      <w:pPr>
        <w:pStyle w:val="A-z"/>
        <w:rPr>
          <w:color w:val="auto"/>
        </w:rPr>
      </w:pPr>
      <w:r>
        <w:rPr>
          <w:color w:val="auto"/>
        </w:rPr>
        <w:t>根据以上原则，清洗间、危废贮存库、固态危废预处理车间、事故池、初期雨水池等设施集中布置在辅助材料堆场空地。固态危废预处理车间与危废贮存库根据依托水泥生产线的生产、运输、环境保护、职业卫生与劳动安全、职工生活，以及电力、通讯、热力、给排水、污水处理、防洪和排涝等设施布置情况确定。厂区实现人流和物流分离，方便</w:t>
      </w:r>
      <w:r>
        <w:rPr>
          <w:rFonts w:hint="eastAsia"/>
          <w:color w:val="auto"/>
        </w:rPr>
        <w:t>危险</w:t>
      </w:r>
      <w:r>
        <w:rPr>
          <w:color w:val="auto"/>
        </w:rPr>
        <w:t>废物运输车进出。</w:t>
      </w:r>
      <w:r>
        <w:rPr>
          <w:rFonts w:hint="eastAsia"/>
          <w:color w:val="auto"/>
        </w:rPr>
        <w:t>本项目</w:t>
      </w:r>
      <w:r>
        <w:rPr>
          <w:color w:val="auto"/>
        </w:rPr>
        <w:t>生产和生活服务利用</w:t>
      </w:r>
      <w:r>
        <w:rPr>
          <w:rFonts w:hint="eastAsia"/>
          <w:color w:val="auto"/>
        </w:rPr>
        <w:t>圣雄水泥公司</w:t>
      </w:r>
      <w:r>
        <w:rPr>
          <w:color w:val="auto"/>
        </w:rPr>
        <w:t>设施。固态危废预处理车间及贮存设施密闭，危险废物物流的出入口以及接收、贮存、转运和处置场所</w:t>
      </w:r>
      <w:r>
        <w:rPr>
          <w:rFonts w:hint="eastAsia"/>
          <w:color w:val="auto"/>
        </w:rPr>
        <w:t>均</w:t>
      </w:r>
      <w:r>
        <w:rPr>
          <w:color w:val="auto"/>
        </w:rPr>
        <w:t>与水泥生产设施隔离设置。危险废物的接收计量单独设置汽车衡，将汽车衡设在废物贮存接收的出入口处，汽车衡与废物贮存、接收设施的距离大于</w:t>
      </w:r>
      <w:r>
        <w:rPr>
          <w:color w:val="auto"/>
        </w:rPr>
        <w:t>1</w:t>
      </w:r>
      <w:r>
        <w:rPr>
          <w:color w:val="auto"/>
        </w:rPr>
        <w:t>辆最长车的长度。废物运输车辆与包装容器的清洗设施单独设置清洗间，并根据清洗废水用量设置废水收集池。危险废物厂内运输设置专用路线，并远离办公和生活服务设施。</w:t>
      </w:r>
    </w:p>
    <w:p w14:paraId="49646AD7" w14:textId="77777777" w:rsidR="002E474C" w:rsidRDefault="00000000">
      <w:pPr>
        <w:pStyle w:val="A-z"/>
        <w:rPr>
          <w:color w:val="auto"/>
        </w:rPr>
      </w:pPr>
      <w:r>
        <w:rPr>
          <w:color w:val="auto"/>
        </w:rPr>
        <w:t>综上所述，本项目总图布置比较紧凑，且靠近窑尾附近，有利于减少</w:t>
      </w:r>
      <w:r>
        <w:rPr>
          <w:rFonts w:hint="eastAsia"/>
          <w:color w:val="auto"/>
        </w:rPr>
        <w:t>危险</w:t>
      </w:r>
      <w:r>
        <w:rPr>
          <w:color w:val="auto"/>
        </w:rPr>
        <w:t>废物输送距离。本项目</w:t>
      </w:r>
      <w:r>
        <w:rPr>
          <w:rFonts w:hint="eastAsia"/>
          <w:color w:val="auto"/>
        </w:rPr>
        <w:t>在圣雄水泥公司位置</w:t>
      </w:r>
      <w:r>
        <w:rPr>
          <w:color w:val="auto"/>
        </w:rPr>
        <w:t>见图</w:t>
      </w:r>
      <w:r>
        <w:rPr>
          <w:color w:val="auto"/>
        </w:rPr>
        <w:t>3.3-2</w:t>
      </w:r>
      <w:r>
        <w:rPr>
          <w:color w:val="auto"/>
        </w:rPr>
        <w:t>。本项目</w:t>
      </w:r>
      <w:r>
        <w:rPr>
          <w:rFonts w:hint="eastAsia"/>
          <w:color w:val="auto"/>
        </w:rPr>
        <w:t>危废贮存与预处理车间平面布置示意</w:t>
      </w:r>
      <w:r>
        <w:rPr>
          <w:color w:val="auto"/>
        </w:rPr>
        <w:t>见图</w:t>
      </w:r>
      <w:r>
        <w:rPr>
          <w:color w:val="auto"/>
        </w:rPr>
        <w:t>3.3-</w:t>
      </w:r>
      <w:r>
        <w:rPr>
          <w:rFonts w:hint="eastAsia"/>
          <w:color w:val="auto"/>
        </w:rPr>
        <w:t>3</w:t>
      </w:r>
      <w:r>
        <w:rPr>
          <w:color w:val="auto"/>
        </w:rPr>
        <w:t>。</w:t>
      </w:r>
    </w:p>
    <w:p w14:paraId="397C44E8" w14:textId="77777777" w:rsidR="002E474C" w:rsidRDefault="00000000">
      <w:pPr>
        <w:pStyle w:val="31"/>
        <w:spacing w:before="120" w:after="120"/>
        <w:rPr>
          <w:color w:val="auto"/>
        </w:rPr>
      </w:pPr>
      <w:r>
        <w:rPr>
          <w:rFonts w:hint="eastAsia"/>
          <w:color w:val="auto"/>
        </w:rPr>
        <w:t>协同处置后的</w:t>
      </w:r>
      <w:r>
        <w:rPr>
          <w:color w:val="auto"/>
        </w:rPr>
        <w:t>原辅材料及能源消耗</w:t>
      </w:r>
    </w:p>
    <w:p w14:paraId="2F41DF5F" w14:textId="77777777" w:rsidR="002E474C" w:rsidRDefault="00000000">
      <w:pPr>
        <w:pStyle w:val="A-z"/>
        <w:rPr>
          <w:color w:val="auto"/>
        </w:rPr>
      </w:pPr>
      <w:r>
        <w:rPr>
          <w:color w:val="auto"/>
        </w:rPr>
        <w:t>根据圣雄水泥公司</w:t>
      </w:r>
      <w:r>
        <w:rPr>
          <w:color w:val="auto"/>
        </w:rPr>
        <w:t>2025</w:t>
      </w:r>
      <w:r>
        <w:rPr>
          <w:color w:val="auto"/>
        </w:rPr>
        <w:t>年生产台账</w:t>
      </w:r>
      <w:r>
        <w:rPr>
          <w:rFonts w:hint="eastAsia"/>
          <w:color w:val="auto"/>
        </w:rPr>
        <w:t>中的熟料产量及原辅材料消耗情况</w:t>
      </w:r>
      <w:r>
        <w:rPr>
          <w:color w:val="auto"/>
        </w:rPr>
        <w:t>折算</w:t>
      </w:r>
      <w:r>
        <w:rPr>
          <w:rFonts w:hint="eastAsia"/>
          <w:color w:val="auto"/>
        </w:rPr>
        <w:lastRenderedPageBreak/>
        <w:t>水泥窑</w:t>
      </w:r>
      <w:r>
        <w:rPr>
          <w:color w:val="auto"/>
        </w:rPr>
        <w:t>满负荷（熟料产量</w:t>
      </w:r>
      <w:r>
        <w:rPr>
          <w:color w:val="auto"/>
        </w:rPr>
        <w:t>150</w:t>
      </w:r>
      <w:r>
        <w:rPr>
          <w:color w:val="auto"/>
        </w:rPr>
        <w:t>万</w:t>
      </w:r>
      <w:r>
        <w:rPr>
          <w:color w:val="auto"/>
        </w:rPr>
        <w:t>t/a</w:t>
      </w:r>
      <w:r>
        <w:rPr>
          <w:color w:val="auto"/>
        </w:rPr>
        <w:t>）工况下的原料及燃料消耗</w:t>
      </w:r>
      <w:r>
        <w:rPr>
          <w:rFonts w:hint="eastAsia"/>
          <w:color w:val="auto"/>
        </w:rPr>
        <w:t>量。其中，</w:t>
      </w:r>
      <w:r>
        <w:rPr>
          <w:rFonts w:hint="eastAsia"/>
          <w:color w:val="auto"/>
          <w:szCs w:val="24"/>
        </w:rPr>
        <w:t>圣雄能源电石厂</w:t>
      </w:r>
      <w:r>
        <w:rPr>
          <w:color w:val="auto"/>
          <w:szCs w:val="24"/>
        </w:rPr>
        <w:t>压滤后</w:t>
      </w:r>
      <w:r>
        <w:rPr>
          <w:rFonts w:hint="eastAsia"/>
          <w:color w:val="auto"/>
          <w:szCs w:val="24"/>
        </w:rPr>
        <w:t>的电石渣</w:t>
      </w:r>
      <w:r>
        <w:rPr>
          <w:color w:val="auto"/>
          <w:szCs w:val="24"/>
        </w:rPr>
        <w:t>含水</w:t>
      </w:r>
      <w:r>
        <w:rPr>
          <w:rFonts w:hint="eastAsia"/>
          <w:color w:val="auto"/>
          <w:szCs w:val="24"/>
        </w:rPr>
        <w:t>约</w:t>
      </w:r>
      <w:r>
        <w:rPr>
          <w:color w:val="auto"/>
          <w:szCs w:val="24"/>
        </w:rPr>
        <w:t>3</w:t>
      </w:r>
      <w:r>
        <w:rPr>
          <w:rFonts w:hint="eastAsia"/>
          <w:color w:val="auto"/>
          <w:szCs w:val="24"/>
        </w:rPr>
        <w:t>0</w:t>
      </w:r>
      <w:r>
        <w:rPr>
          <w:color w:val="auto"/>
          <w:szCs w:val="24"/>
        </w:rPr>
        <w:t>%</w:t>
      </w:r>
      <w:r>
        <w:rPr>
          <w:rFonts w:hint="eastAsia"/>
          <w:color w:val="auto"/>
          <w:szCs w:val="24"/>
        </w:rPr>
        <w:t>，经</w:t>
      </w:r>
      <w:r>
        <w:rPr>
          <w:color w:val="auto"/>
          <w:szCs w:val="24"/>
        </w:rPr>
        <w:t>窑尾烘干破碎</w:t>
      </w:r>
      <w:r>
        <w:rPr>
          <w:rFonts w:hint="eastAsia"/>
          <w:color w:val="auto"/>
          <w:szCs w:val="24"/>
        </w:rPr>
        <w:t>后</w:t>
      </w:r>
      <w:r>
        <w:rPr>
          <w:rFonts w:hint="eastAsia"/>
          <w:color w:val="auto"/>
        </w:rPr>
        <w:t>的电石渣干粉入窑。</w:t>
      </w:r>
    </w:p>
    <w:p w14:paraId="6F6C4C80" w14:textId="77777777" w:rsidR="002E474C" w:rsidRDefault="00000000">
      <w:pPr>
        <w:pStyle w:val="A-z"/>
        <w:rPr>
          <w:color w:val="auto"/>
        </w:rPr>
      </w:pPr>
      <w:r>
        <w:rPr>
          <w:rFonts w:hint="eastAsia"/>
          <w:color w:val="auto"/>
        </w:rPr>
        <w:t>本项目实施后的</w:t>
      </w:r>
      <w:r>
        <w:rPr>
          <w:color w:val="auto"/>
        </w:rPr>
        <w:t>物料</w:t>
      </w:r>
      <w:r>
        <w:rPr>
          <w:rFonts w:hint="eastAsia"/>
          <w:color w:val="auto"/>
        </w:rPr>
        <w:t>消耗情况</w:t>
      </w:r>
      <w:r>
        <w:rPr>
          <w:color w:val="auto"/>
        </w:rPr>
        <w:t>见表</w:t>
      </w:r>
      <w:r>
        <w:rPr>
          <w:color w:val="auto"/>
        </w:rPr>
        <w:t>3.3-4</w:t>
      </w:r>
      <w:r>
        <w:rPr>
          <w:rFonts w:hint="eastAsia"/>
          <w:color w:val="auto"/>
        </w:rPr>
        <w:t>。根据生产用水及用电情况，本项目</w:t>
      </w:r>
      <w:r>
        <w:rPr>
          <w:color w:val="auto"/>
        </w:rPr>
        <w:t>能源消耗情况见表</w:t>
      </w:r>
      <w:r>
        <w:rPr>
          <w:color w:val="auto"/>
        </w:rPr>
        <w:t>3.3-5</w:t>
      </w:r>
      <w:r>
        <w:rPr>
          <w:color w:val="auto"/>
        </w:rPr>
        <w:t>。</w:t>
      </w:r>
    </w:p>
    <w:p w14:paraId="28BFAAA2" w14:textId="77777777" w:rsidR="002E474C" w:rsidRDefault="00000000">
      <w:pPr>
        <w:pStyle w:val="A--"/>
        <w:rPr>
          <w:color w:val="auto"/>
        </w:rPr>
      </w:pPr>
      <w:bookmarkStart w:id="143" w:name="_Ref126924765"/>
      <w:r>
        <w:rPr>
          <w:color w:val="auto"/>
        </w:rPr>
        <w:t>表</w:t>
      </w:r>
      <w:bookmarkEnd w:id="143"/>
      <w:r>
        <w:rPr>
          <w:color w:val="auto"/>
        </w:rPr>
        <w:t xml:space="preserve">3.3-4  </w:t>
      </w:r>
      <w:r>
        <w:rPr>
          <w:color w:val="auto"/>
        </w:rPr>
        <w:t>本项目实施后水泥窑内物料</w:t>
      </w:r>
      <w:r>
        <w:rPr>
          <w:rFonts w:hint="eastAsia"/>
          <w:color w:val="auto"/>
        </w:rPr>
        <w:t>消耗</w:t>
      </w:r>
      <w:r>
        <w:rPr>
          <w:color w:val="auto"/>
        </w:rPr>
        <w:t>情况一览表</w:t>
      </w:r>
    </w:p>
    <w:tbl>
      <w:tblPr>
        <w:tblW w:w="5000" w:type="pct"/>
        <w:tblLook w:val="04A0" w:firstRow="1" w:lastRow="0" w:firstColumn="1" w:lastColumn="0" w:noHBand="0" w:noVBand="1"/>
      </w:tblPr>
      <w:tblGrid>
        <w:gridCol w:w="864"/>
        <w:gridCol w:w="1718"/>
        <w:gridCol w:w="2857"/>
        <w:gridCol w:w="2857"/>
      </w:tblGrid>
      <w:tr w:rsidR="002E474C" w14:paraId="65C7C90E" w14:textId="77777777">
        <w:tc>
          <w:tcPr>
            <w:tcW w:w="520" w:type="pct"/>
            <w:tcBorders>
              <w:top w:val="single" w:sz="4" w:space="0" w:color="auto"/>
              <w:left w:val="single" w:sz="4" w:space="0" w:color="auto"/>
              <w:bottom w:val="single" w:sz="4" w:space="0" w:color="auto"/>
              <w:right w:val="single" w:sz="4" w:space="0" w:color="auto"/>
            </w:tcBorders>
            <w:vAlign w:val="center"/>
          </w:tcPr>
          <w:p w14:paraId="5C01E47D" w14:textId="77777777" w:rsidR="002E474C" w:rsidRDefault="00000000">
            <w:pPr>
              <w:pStyle w:val="A-"/>
            </w:pPr>
            <w:r>
              <w:t>序号</w:t>
            </w:r>
          </w:p>
        </w:tc>
        <w:tc>
          <w:tcPr>
            <w:tcW w:w="1035" w:type="pct"/>
            <w:tcBorders>
              <w:top w:val="single" w:sz="4" w:space="0" w:color="auto"/>
              <w:left w:val="nil"/>
              <w:bottom w:val="single" w:sz="4" w:space="0" w:color="auto"/>
              <w:right w:val="single" w:sz="4" w:space="0" w:color="auto"/>
            </w:tcBorders>
            <w:vAlign w:val="center"/>
          </w:tcPr>
          <w:p w14:paraId="4FA76EDE" w14:textId="77777777" w:rsidR="002E474C" w:rsidRDefault="00000000">
            <w:pPr>
              <w:pStyle w:val="A-"/>
            </w:pPr>
            <w:r>
              <w:t>物料名称</w:t>
            </w:r>
          </w:p>
        </w:tc>
        <w:tc>
          <w:tcPr>
            <w:tcW w:w="1722" w:type="pct"/>
            <w:tcBorders>
              <w:top w:val="single" w:sz="4" w:space="0" w:color="auto"/>
              <w:left w:val="nil"/>
              <w:bottom w:val="single" w:sz="4" w:space="0" w:color="auto"/>
              <w:right w:val="single" w:sz="4" w:space="0" w:color="auto"/>
            </w:tcBorders>
            <w:vAlign w:val="center"/>
          </w:tcPr>
          <w:p w14:paraId="65552438" w14:textId="77777777" w:rsidR="002E474C" w:rsidRDefault="00000000">
            <w:pPr>
              <w:pStyle w:val="A-"/>
            </w:pPr>
            <w:r>
              <w:t>原辅材料用量（</w:t>
            </w:r>
            <w:r>
              <w:t>t/a</w:t>
            </w:r>
            <w:r>
              <w:t>）</w:t>
            </w:r>
          </w:p>
        </w:tc>
        <w:tc>
          <w:tcPr>
            <w:tcW w:w="1722" w:type="pct"/>
            <w:tcBorders>
              <w:top w:val="single" w:sz="4" w:space="0" w:color="auto"/>
              <w:left w:val="nil"/>
              <w:bottom w:val="single" w:sz="4" w:space="0" w:color="auto"/>
              <w:right w:val="single" w:sz="4" w:space="0" w:color="auto"/>
            </w:tcBorders>
            <w:vAlign w:val="center"/>
          </w:tcPr>
          <w:p w14:paraId="0E5B75ED" w14:textId="77777777" w:rsidR="002E474C" w:rsidRDefault="00000000">
            <w:pPr>
              <w:pStyle w:val="A-"/>
            </w:pPr>
            <w:r>
              <w:t>备注</w:t>
            </w:r>
          </w:p>
        </w:tc>
      </w:tr>
      <w:tr w:rsidR="002E474C" w14:paraId="41994883" w14:textId="77777777">
        <w:tc>
          <w:tcPr>
            <w:tcW w:w="520" w:type="pct"/>
            <w:tcBorders>
              <w:top w:val="nil"/>
              <w:left w:val="single" w:sz="4" w:space="0" w:color="auto"/>
              <w:bottom w:val="single" w:sz="4" w:space="0" w:color="auto"/>
              <w:right w:val="single" w:sz="4" w:space="0" w:color="auto"/>
            </w:tcBorders>
            <w:vAlign w:val="center"/>
          </w:tcPr>
          <w:p w14:paraId="3C79149F" w14:textId="77777777" w:rsidR="002E474C" w:rsidRDefault="00000000">
            <w:pPr>
              <w:pStyle w:val="A-"/>
            </w:pPr>
            <w:r>
              <w:rPr>
                <w:rFonts w:hint="eastAsia"/>
              </w:rPr>
              <w:t>1</w:t>
            </w:r>
          </w:p>
        </w:tc>
        <w:tc>
          <w:tcPr>
            <w:tcW w:w="1035" w:type="pct"/>
            <w:tcBorders>
              <w:top w:val="nil"/>
              <w:left w:val="nil"/>
              <w:bottom w:val="single" w:sz="4" w:space="0" w:color="auto"/>
              <w:right w:val="single" w:sz="4" w:space="0" w:color="auto"/>
            </w:tcBorders>
            <w:vAlign w:val="center"/>
          </w:tcPr>
          <w:p w14:paraId="0C18FF3E" w14:textId="77777777" w:rsidR="002E474C" w:rsidRDefault="00000000">
            <w:pPr>
              <w:pStyle w:val="A-"/>
            </w:pPr>
            <w:r>
              <w:t>石灰石沫</w:t>
            </w:r>
          </w:p>
        </w:tc>
        <w:tc>
          <w:tcPr>
            <w:tcW w:w="1722" w:type="pct"/>
            <w:tcBorders>
              <w:top w:val="nil"/>
              <w:left w:val="nil"/>
              <w:bottom w:val="single" w:sz="4" w:space="0" w:color="auto"/>
              <w:right w:val="single" w:sz="4" w:space="0" w:color="auto"/>
            </w:tcBorders>
            <w:vAlign w:val="center"/>
          </w:tcPr>
          <w:p w14:paraId="36049B15" w14:textId="77777777" w:rsidR="002E474C" w:rsidRDefault="00000000">
            <w:pPr>
              <w:pStyle w:val="A-"/>
              <w:rPr>
                <w:rFonts w:eastAsia="等线"/>
              </w:rPr>
            </w:pPr>
            <w:r>
              <w:t xml:space="preserve">157994 </w:t>
            </w:r>
          </w:p>
        </w:tc>
        <w:tc>
          <w:tcPr>
            <w:tcW w:w="1722" w:type="pct"/>
            <w:tcBorders>
              <w:top w:val="nil"/>
              <w:left w:val="nil"/>
              <w:bottom w:val="single" w:sz="4" w:space="0" w:color="auto"/>
              <w:right w:val="single" w:sz="4" w:space="0" w:color="auto"/>
            </w:tcBorders>
            <w:vAlign w:val="center"/>
          </w:tcPr>
          <w:p w14:paraId="69BE38E3" w14:textId="77777777" w:rsidR="002E474C" w:rsidRDefault="00000000">
            <w:pPr>
              <w:pStyle w:val="A-"/>
            </w:pPr>
            <w:r>
              <w:t>来自</w:t>
            </w:r>
            <w:r>
              <w:t>PVC</w:t>
            </w:r>
            <w:r>
              <w:t>厂</w:t>
            </w:r>
          </w:p>
        </w:tc>
      </w:tr>
      <w:tr w:rsidR="002E474C" w14:paraId="0C2A057C" w14:textId="77777777">
        <w:tc>
          <w:tcPr>
            <w:tcW w:w="520" w:type="pct"/>
            <w:tcBorders>
              <w:top w:val="nil"/>
              <w:left w:val="single" w:sz="4" w:space="0" w:color="auto"/>
              <w:bottom w:val="single" w:sz="4" w:space="0" w:color="auto"/>
              <w:right w:val="single" w:sz="4" w:space="0" w:color="auto"/>
            </w:tcBorders>
            <w:vAlign w:val="center"/>
          </w:tcPr>
          <w:p w14:paraId="307FA095" w14:textId="77777777" w:rsidR="002E474C" w:rsidRDefault="00000000">
            <w:pPr>
              <w:pStyle w:val="A-"/>
            </w:pPr>
            <w:r>
              <w:rPr>
                <w:rFonts w:hint="eastAsia"/>
              </w:rPr>
              <w:t>2</w:t>
            </w:r>
          </w:p>
        </w:tc>
        <w:tc>
          <w:tcPr>
            <w:tcW w:w="1035" w:type="pct"/>
            <w:tcBorders>
              <w:top w:val="nil"/>
              <w:left w:val="nil"/>
              <w:bottom w:val="single" w:sz="4" w:space="0" w:color="auto"/>
              <w:right w:val="single" w:sz="4" w:space="0" w:color="auto"/>
            </w:tcBorders>
            <w:vAlign w:val="center"/>
          </w:tcPr>
          <w:p w14:paraId="2B40498C" w14:textId="77777777" w:rsidR="002E474C" w:rsidRDefault="00000000">
            <w:pPr>
              <w:pStyle w:val="A-"/>
            </w:pPr>
            <w:bookmarkStart w:id="144" w:name="OLE_LINK20"/>
            <w:r>
              <w:t>页岩</w:t>
            </w:r>
            <w:bookmarkEnd w:id="144"/>
          </w:p>
        </w:tc>
        <w:tc>
          <w:tcPr>
            <w:tcW w:w="1722" w:type="pct"/>
            <w:tcBorders>
              <w:top w:val="nil"/>
              <w:left w:val="nil"/>
              <w:bottom w:val="single" w:sz="4" w:space="0" w:color="auto"/>
              <w:right w:val="single" w:sz="4" w:space="0" w:color="auto"/>
            </w:tcBorders>
            <w:vAlign w:val="center"/>
          </w:tcPr>
          <w:p w14:paraId="5C525C65" w14:textId="77777777" w:rsidR="002E474C" w:rsidRDefault="00000000">
            <w:pPr>
              <w:pStyle w:val="A-"/>
              <w:rPr>
                <w:rFonts w:eastAsia="等线"/>
              </w:rPr>
            </w:pPr>
            <w:r>
              <w:t xml:space="preserve">165373 </w:t>
            </w:r>
          </w:p>
        </w:tc>
        <w:tc>
          <w:tcPr>
            <w:tcW w:w="1722" w:type="pct"/>
            <w:tcBorders>
              <w:top w:val="nil"/>
              <w:left w:val="nil"/>
              <w:bottom w:val="single" w:sz="4" w:space="0" w:color="auto"/>
              <w:right w:val="single" w:sz="4" w:space="0" w:color="auto"/>
            </w:tcBorders>
            <w:vAlign w:val="center"/>
          </w:tcPr>
          <w:p w14:paraId="5EAF750B" w14:textId="77777777" w:rsidR="002E474C" w:rsidRDefault="00000000">
            <w:pPr>
              <w:pStyle w:val="A-"/>
            </w:pPr>
            <w:r>
              <w:t>外购</w:t>
            </w:r>
          </w:p>
        </w:tc>
      </w:tr>
      <w:tr w:rsidR="002E474C" w14:paraId="69141752" w14:textId="77777777">
        <w:tc>
          <w:tcPr>
            <w:tcW w:w="520" w:type="pct"/>
            <w:tcBorders>
              <w:top w:val="nil"/>
              <w:left w:val="single" w:sz="4" w:space="0" w:color="auto"/>
              <w:bottom w:val="single" w:sz="4" w:space="0" w:color="auto"/>
              <w:right w:val="single" w:sz="4" w:space="0" w:color="auto"/>
            </w:tcBorders>
            <w:vAlign w:val="center"/>
          </w:tcPr>
          <w:p w14:paraId="43211B65" w14:textId="77777777" w:rsidR="002E474C" w:rsidRDefault="00000000">
            <w:pPr>
              <w:pStyle w:val="A-"/>
            </w:pPr>
            <w:r>
              <w:rPr>
                <w:rFonts w:hint="eastAsia"/>
              </w:rPr>
              <w:t>3</w:t>
            </w:r>
          </w:p>
        </w:tc>
        <w:tc>
          <w:tcPr>
            <w:tcW w:w="1035" w:type="pct"/>
            <w:tcBorders>
              <w:top w:val="nil"/>
              <w:left w:val="nil"/>
              <w:bottom w:val="single" w:sz="4" w:space="0" w:color="auto"/>
              <w:right w:val="single" w:sz="4" w:space="0" w:color="auto"/>
            </w:tcBorders>
            <w:vAlign w:val="center"/>
          </w:tcPr>
          <w:p w14:paraId="6824D81E" w14:textId="77777777" w:rsidR="002E474C" w:rsidRDefault="00000000">
            <w:pPr>
              <w:pStyle w:val="A-"/>
            </w:pPr>
            <w:r>
              <w:t>电石渣干粉</w:t>
            </w:r>
          </w:p>
        </w:tc>
        <w:tc>
          <w:tcPr>
            <w:tcW w:w="1722" w:type="pct"/>
            <w:tcBorders>
              <w:top w:val="nil"/>
              <w:left w:val="nil"/>
              <w:bottom w:val="single" w:sz="4" w:space="0" w:color="auto"/>
              <w:right w:val="single" w:sz="4" w:space="0" w:color="auto"/>
            </w:tcBorders>
            <w:vAlign w:val="center"/>
          </w:tcPr>
          <w:p w14:paraId="6883DC59" w14:textId="77777777" w:rsidR="002E474C" w:rsidRDefault="00000000">
            <w:pPr>
              <w:pStyle w:val="A-"/>
              <w:rPr>
                <w:rFonts w:eastAsia="等线"/>
              </w:rPr>
            </w:pPr>
            <w:r>
              <w:t xml:space="preserve">1428878 </w:t>
            </w:r>
          </w:p>
        </w:tc>
        <w:tc>
          <w:tcPr>
            <w:tcW w:w="1722" w:type="pct"/>
            <w:tcBorders>
              <w:top w:val="nil"/>
              <w:left w:val="nil"/>
              <w:bottom w:val="single" w:sz="4" w:space="0" w:color="auto"/>
              <w:right w:val="single" w:sz="4" w:space="0" w:color="auto"/>
            </w:tcBorders>
            <w:vAlign w:val="center"/>
          </w:tcPr>
          <w:p w14:paraId="25A9404A" w14:textId="77777777" w:rsidR="002E474C" w:rsidRDefault="00000000">
            <w:pPr>
              <w:pStyle w:val="A-"/>
            </w:pPr>
            <w:r>
              <w:rPr>
                <w:rFonts w:hint="eastAsia"/>
              </w:rPr>
              <w:t>电石厂送入厂内烘干</w:t>
            </w:r>
          </w:p>
        </w:tc>
      </w:tr>
      <w:tr w:rsidR="002E474C" w14:paraId="302852FE" w14:textId="77777777">
        <w:tc>
          <w:tcPr>
            <w:tcW w:w="520" w:type="pct"/>
            <w:tcBorders>
              <w:top w:val="nil"/>
              <w:left w:val="single" w:sz="4" w:space="0" w:color="auto"/>
              <w:bottom w:val="single" w:sz="4" w:space="0" w:color="auto"/>
              <w:right w:val="single" w:sz="4" w:space="0" w:color="auto"/>
            </w:tcBorders>
            <w:vAlign w:val="center"/>
          </w:tcPr>
          <w:p w14:paraId="42CF86B8" w14:textId="77777777" w:rsidR="002E474C" w:rsidRDefault="00000000">
            <w:pPr>
              <w:pStyle w:val="A-"/>
            </w:pPr>
            <w:r>
              <w:rPr>
                <w:rFonts w:hint="eastAsia"/>
              </w:rPr>
              <w:t>4</w:t>
            </w:r>
          </w:p>
        </w:tc>
        <w:tc>
          <w:tcPr>
            <w:tcW w:w="1035" w:type="pct"/>
            <w:tcBorders>
              <w:top w:val="nil"/>
              <w:left w:val="nil"/>
              <w:bottom w:val="single" w:sz="4" w:space="0" w:color="auto"/>
              <w:right w:val="single" w:sz="4" w:space="0" w:color="auto"/>
            </w:tcBorders>
            <w:vAlign w:val="center"/>
          </w:tcPr>
          <w:p w14:paraId="2E702A32" w14:textId="77777777" w:rsidR="002E474C" w:rsidRDefault="00000000">
            <w:pPr>
              <w:pStyle w:val="A-"/>
            </w:pPr>
            <w:r>
              <w:t>尾渣</w:t>
            </w:r>
          </w:p>
        </w:tc>
        <w:tc>
          <w:tcPr>
            <w:tcW w:w="1722" w:type="pct"/>
            <w:tcBorders>
              <w:top w:val="nil"/>
              <w:left w:val="nil"/>
              <w:bottom w:val="single" w:sz="4" w:space="0" w:color="auto"/>
              <w:right w:val="single" w:sz="4" w:space="0" w:color="auto"/>
            </w:tcBorders>
            <w:vAlign w:val="center"/>
          </w:tcPr>
          <w:p w14:paraId="200F827A" w14:textId="77777777" w:rsidR="002E474C" w:rsidRDefault="00000000">
            <w:pPr>
              <w:pStyle w:val="A-"/>
              <w:rPr>
                <w:rFonts w:eastAsia="等线"/>
              </w:rPr>
            </w:pPr>
            <w:r>
              <w:t xml:space="preserve">25332 </w:t>
            </w:r>
          </w:p>
        </w:tc>
        <w:tc>
          <w:tcPr>
            <w:tcW w:w="1722" w:type="pct"/>
            <w:tcBorders>
              <w:top w:val="nil"/>
              <w:left w:val="nil"/>
              <w:bottom w:val="single" w:sz="4" w:space="0" w:color="auto"/>
              <w:right w:val="single" w:sz="4" w:space="0" w:color="auto"/>
            </w:tcBorders>
            <w:vAlign w:val="center"/>
          </w:tcPr>
          <w:p w14:paraId="0E0D52A6" w14:textId="77777777" w:rsidR="002E474C" w:rsidRDefault="00000000">
            <w:pPr>
              <w:pStyle w:val="A-"/>
            </w:pPr>
            <w:r>
              <w:t>外购</w:t>
            </w:r>
          </w:p>
        </w:tc>
      </w:tr>
      <w:tr w:rsidR="002E474C" w14:paraId="640404A2" w14:textId="77777777">
        <w:tc>
          <w:tcPr>
            <w:tcW w:w="520" w:type="pct"/>
            <w:tcBorders>
              <w:top w:val="nil"/>
              <w:left w:val="single" w:sz="4" w:space="0" w:color="auto"/>
              <w:bottom w:val="single" w:sz="4" w:space="0" w:color="auto"/>
              <w:right w:val="single" w:sz="4" w:space="0" w:color="auto"/>
            </w:tcBorders>
            <w:vAlign w:val="center"/>
          </w:tcPr>
          <w:p w14:paraId="1604A5F4" w14:textId="77777777" w:rsidR="002E474C" w:rsidRDefault="00000000">
            <w:pPr>
              <w:pStyle w:val="A-"/>
            </w:pPr>
            <w:r>
              <w:rPr>
                <w:rFonts w:hint="eastAsia"/>
              </w:rPr>
              <w:t>5</w:t>
            </w:r>
          </w:p>
        </w:tc>
        <w:tc>
          <w:tcPr>
            <w:tcW w:w="1035" w:type="pct"/>
            <w:tcBorders>
              <w:top w:val="nil"/>
              <w:left w:val="nil"/>
              <w:bottom w:val="single" w:sz="4" w:space="0" w:color="auto"/>
              <w:right w:val="single" w:sz="4" w:space="0" w:color="auto"/>
            </w:tcBorders>
            <w:vAlign w:val="center"/>
          </w:tcPr>
          <w:p w14:paraId="4B5F46A6" w14:textId="77777777" w:rsidR="002E474C" w:rsidRDefault="00000000">
            <w:pPr>
              <w:pStyle w:val="A-"/>
            </w:pPr>
            <w:r>
              <w:t>硅石</w:t>
            </w:r>
          </w:p>
        </w:tc>
        <w:tc>
          <w:tcPr>
            <w:tcW w:w="1722" w:type="pct"/>
            <w:tcBorders>
              <w:top w:val="nil"/>
              <w:left w:val="nil"/>
              <w:bottom w:val="single" w:sz="4" w:space="0" w:color="auto"/>
              <w:right w:val="single" w:sz="4" w:space="0" w:color="auto"/>
            </w:tcBorders>
            <w:vAlign w:val="center"/>
          </w:tcPr>
          <w:p w14:paraId="2126334F" w14:textId="77777777" w:rsidR="002E474C" w:rsidRDefault="00000000">
            <w:pPr>
              <w:pStyle w:val="A-"/>
              <w:rPr>
                <w:rFonts w:eastAsia="等线"/>
              </w:rPr>
            </w:pPr>
            <w:r>
              <w:t xml:space="preserve">16464 </w:t>
            </w:r>
          </w:p>
        </w:tc>
        <w:tc>
          <w:tcPr>
            <w:tcW w:w="1722" w:type="pct"/>
            <w:tcBorders>
              <w:top w:val="nil"/>
              <w:left w:val="nil"/>
              <w:bottom w:val="single" w:sz="4" w:space="0" w:color="auto"/>
              <w:right w:val="single" w:sz="4" w:space="0" w:color="auto"/>
            </w:tcBorders>
          </w:tcPr>
          <w:p w14:paraId="518B31D8" w14:textId="77777777" w:rsidR="002E474C" w:rsidRDefault="00000000">
            <w:pPr>
              <w:pStyle w:val="A-"/>
            </w:pPr>
            <w:r>
              <w:t>外购</w:t>
            </w:r>
          </w:p>
        </w:tc>
      </w:tr>
      <w:tr w:rsidR="002E474C" w14:paraId="081768DC" w14:textId="77777777">
        <w:tc>
          <w:tcPr>
            <w:tcW w:w="520" w:type="pct"/>
            <w:tcBorders>
              <w:top w:val="nil"/>
              <w:left w:val="single" w:sz="4" w:space="0" w:color="auto"/>
              <w:bottom w:val="single" w:sz="4" w:space="0" w:color="auto"/>
              <w:right w:val="single" w:sz="4" w:space="0" w:color="auto"/>
            </w:tcBorders>
            <w:vAlign w:val="center"/>
          </w:tcPr>
          <w:p w14:paraId="09329A8A" w14:textId="77777777" w:rsidR="002E474C" w:rsidRDefault="00000000">
            <w:pPr>
              <w:pStyle w:val="A-"/>
            </w:pPr>
            <w:r>
              <w:rPr>
                <w:rFonts w:hint="eastAsia"/>
              </w:rPr>
              <w:t>6</w:t>
            </w:r>
          </w:p>
        </w:tc>
        <w:tc>
          <w:tcPr>
            <w:tcW w:w="1035" w:type="pct"/>
            <w:tcBorders>
              <w:top w:val="nil"/>
              <w:left w:val="nil"/>
              <w:bottom w:val="single" w:sz="4" w:space="0" w:color="auto"/>
              <w:right w:val="single" w:sz="4" w:space="0" w:color="auto"/>
            </w:tcBorders>
            <w:vAlign w:val="center"/>
          </w:tcPr>
          <w:p w14:paraId="755F51E2" w14:textId="77777777" w:rsidR="002E474C" w:rsidRDefault="00000000">
            <w:pPr>
              <w:pStyle w:val="A-"/>
            </w:pPr>
            <w:r>
              <w:t>煤矸石</w:t>
            </w:r>
          </w:p>
        </w:tc>
        <w:tc>
          <w:tcPr>
            <w:tcW w:w="1722" w:type="pct"/>
            <w:tcBorders>
              <w:top w:val="nil"/>
              <w:left w:val="nil"/>
              <w:bottom w:val="single" w:sz="4" w:space="0" w:color="auto"/>
              <w:right w:val="single" w:sz="4" w:space="0" w:color="auto"/>
            </w:tcBorders>
            <w:vAlign w:val="center"/>
          </w:tcPr>
          <w:p w14:paraId="64D53C51" w14:textId="77777777" w:rsidR="002E474C" w:rsidRDefault="00000000">
            <w:pPr>
              <w:pStyle w:val="A-"/>
              <w:rPr>
                <w:rFonts w:eastAsia="等线"/>
              </w:rPr>
            </w:pPr>
            <w:r>
              <w:t xml:space="preserve">20076 </w:t>
            </w:r>
          </w:p>
        </w:tc>
        <w:tc>
          <w:tcPr>
            <w:tcW w:w="1722" w:type="pct"/>
            <w:tcBorders>
              <w:top w:val="nil"/>
              <w:left w:val="nil"/>
              <w:bottom w:val="single" w:sz="4" w:space="0" w:color="auto"/>
              <w:right w:val="single" w:sz="4" w:space="0" w:color="auto"/>
            </w:tcBorders>
          </w:tcPr>
          <w:p w14:paraId="6377DAF2" w14:textId="77777777" w:rsidR="002E474C" w:rsidRDefault="00000000">
            <w:pPr>
              <w:pStyle w:val="A-"/>
            </w:pPr>
            <w:r>
              <w:rPr>
                <w:rFonts w:hint="eastAsia"/>
              </w:rPr>
              <w:t>电厂</w:t>
            </w:r>
          </w:p>
        </w:tc>
      </w:tr>
      <w:tr w:rsidR="002E474C" w14:paraId="6D84F435" w14:textId="77777777">
        <w:tc>
          <w:tcPr>
            <w:tcW w:w="520" w:type="pct"/>
            <w:tcBorders>
              <w:top w:val="nil"/>
              <w:left w:val="single" w:sz="4" w:space="0" w:color="auto"/>
              <w:bottom w:val="single" w:sz="4" w:space="0" w:color="auto"/>
              <w:right w:val="single" w:sz="4" w:space="0" w:color="auto"/>
            </w:tcBorders>
            <w:vAlign w:val="center"/>
          </w:tcPr>
          <w:p w14:paraId="051E6577" w14:textId="77777777" w:rsidR="002E474C" w:rsidRDefault="00000000">
            <w:pPr>
              <w:pStyle w:val="A-"/>
            </w:pPr>
            <w:r>
              <w:rPr>
                <w:rFonts w:hint="eastAsia"/>
              </w:rPr>
              <w:t>7</w:t>
            </w:r>
          </w:p>
        </w:tc>
        <w:tc>
          <w:tcPr>
            <w:tcW w:w="1035" w:type="pct"/>
            <w:tcBorders>
              <w:top w:val="nil"/>
              <w:left w:val="nil"/>
              <w:bottom w:val="single" w:sz="4" w:space="0" w:color="auto"/>
              <w:right w:val="single" w:sz="4" w:space="0" w:color="auto"/>
            </w:tcBorders>
            <w:vAlign w:val="center"/>
          </w:tcPr>
          <w:p w14:paraId="7A2739C7" w14:textId="77777777" w:rsidR="002E474C" w:rsidRDefault="00000000">
            <w:pPr>
              <w:pStyle w:val="A-"/>
            </w:pPr>
            <w:r>
              <w:t>沫煤</w:t>
            </w:r>
          </w:p>
        </w:tc>
        <w:tc>
          <w:tcPr>
            <w:tcW w:w="1722" w:type="pct"/>
            <w:tcBorders>
              <w:top w:val="nil"/>
              <w:left w:val="nil"/>
              <w:bottom w:val="single" w:sz="4" w:space="0" w:color="auto"/>
              <w:right w:val="single" w:sz="4" w:space="0" w:color="auto"/>
            </w:tcBorders>
            <w:vAlign w:val="center"/>
          </w:tcPr>
          <w:p w14:paraId="4DE0864C" w14:textId="77777777" w:rsidR="002E474C" w:rsidRDefault="00000000">
            <w:pPr>
              <w:pStyle w:val="A-"/>
            </w:pPr>
            <w:r>
              <w:t>147408</w:t>
            </w:r>
          </w:p>
        </w:tc>
        <w:tc>
          <w:tcPr>
            <w:tcW w:w="1722" w:type="pct"/>
            <w:tcBorders>
              <w:top w:val="nil"/>
              <w:left w:val="nil"/>
              <w:bottom w:val="single" w:sz="4" w:space="0" w:color="auto"/>
              <w:right w:val="single" w:sz="4" w:space="0" w:color="auto"/>
            </w:tcBorders>
          </w:tcPr>
          <w:p w14:paraId="398CE6F4" w14:textId="77777777" w:rsidR="002E474C" w:rsidRDefault="00000000">
            <w:pPr>
              <w:pStyle w:val="A-"/>
            </w:pPr>
            <w:r>
              <w:t>外购</w:t>
            </w:r>
          </w:p>
        </w:tc>
      </w:tr>
      <w:tr w:rsidR="002E474C" w14:paraId="6B11BD69" w14:textId="77777777">
        <w:tc>
          <w:tcPr>
            <w:tcW w:w="520" w:type="pct"/>
            <w:tcBorders>
              <w:top w:val="nil"/>
              <w:left w:val="single" w:sz="4" w:space="0" w:color="auto"/>
              <w:bottom w:val="single" w:sz="4" w:space="0" w:color="auto"/>
              <w:right w:val="single" w:sz="4" w:space="0" w:color="auto"/>
            </w:tcBorders>
            <w:vAlign w:val="center"/>
          </w:tcPr>
          <w:p w14:paraId="20997FBB" w14:textId="77777777" w:rsidR="002E474C" w:rsidRDefault="00000000">
            <w:pPr>
              <w:pStyle w:val="A-"/>
            </w:pPr>
            <w:r>
              <w:rPr>
                <w:rFonts w:hint="eastAsia"/>
              </w:rPr>
              <w:t>8</w:t>
            </w:r>
          </w:p>
        </w:tc>
        <w:tc>
          <w:tcPr>
            <w:tcW w:w="1035" w:type="pct"/>
            <w:tcBorders>
              <w:top w:val="nil"/>
              <w:left w:val="nil"/>
              <w:bottom w:val="single" w:sz="4" w:space="0" w:color="auto"/>
              <w:right w:val="single" w:sz="4" w:space="0" w:color="auto"/>
            </w:tcBorders>
            <w:vAlign w:val="center"/>
          </w:tcPr>
          <w:p w14:paraId="3BC5E0C1" w14:textId="77777777" w:rsidR="002E474C" w:rsidRDefault="00000000">
            <w:pPr>
              <w:pStyle w:val="A-"/>
            </w:pPr>
            <w:r>
              <w:t>气化细渣</w:t>
            </w:r>
          </w:p>
        </w:tc>
        <w:tc>
          <w:tcPr>
            <w:tcW w:w="1722" w:type="pct"/>
            <w:tcBorders>
              <w:top w:val="nil"/>
              <w:left w:val="nil"/>
              <w:bottom w:val="single" w:sz="4" w:space="0" w:color="auto"/>
              <w:right w:val="single" w:sz="4" w:space="0" w:color="auto"/>
            </w:tcBorders>
            <w:vAlign w:val="center"/>
          </w:tcPr>
          <w:p w14:paraId="314C3251" w14:textId="77777777" w:rsidR="002E474C" w:rsidRDefault="00000000">
            <w:pPr>
              <w:pStyle w:val="A-"/>
            </w:pPr>
            <w:r>
              <w:t xml:space="preserve">9749 </w:t>
            </w:r>
          </w:p>
        </w:tc>
        <w:tc>
          <w:tcPr>
            <w:tcW w:w="1722" w:type="pct"/>
            <w:tcBorders>
              <w:top w:val="nil"/>
              <w:left w:val="nil"/>
              <w:bottom w:val="single" w:sz="4" w:space="0" w:color="auto"/>
              <w:right w:val="single" w:sz="4" w:space="0" w:color="auto"/>
            </w:tcBorders>
          </w:tcPr>
          <w:p w14:paraId="53331DF9" w14:textId="77777777" w:rsidR="002E474C" w:rsidRDefault="00000000">
            <w:pPr>
              <w:pStyle w:val="A-"/>
            </w:pPr>
            <w:r>
              <w:t>外购</w:t>
            </w:r>
          </w:p>
        </w:tc>
      </w:tr>
      <w:tr w:rsidR="002E474C" w14:paraId="574C5AEF" w14:textId="77777777">
        <w:tc>
          <w:tcPr>
            <w:tcW w:w="520" w:type="pct"/>
            <w:tcBorders>
              <w:top w:val="nil"/>
              <w:left w:val="single" w:sz="4" w:space="0" w:color="auto"/>
              <w:bottom w:val="single" w:sz="4" w:space="0" w:color="auto"/>
              <w:right w:val="single" w:sz="4" w:space="0" w:color="auto"/>
            </w:tcBorders>
            <w:vAlign w:val="center"/>
          </w:tcPr>
          <w:p w14:paraId="229C4AD3" w14:textId="77777777" w:rsidR="002E474C" w:rsidRDefault="00000000">
            <w:pPr>
              <w:pStyle w:val="A-"/>
            </w:pPr>
            <w:r>
              <w:rPr>
                <w:rFonts w:hint="eastAsia"/>
              </w:rPr>
              <w:t>9</w:t>
            </w:r>
          </w:p>
        </w:tc>
        <w:tc>
          <w:tcPr>
            <w:tcW w:w="1035" w:type="pct"/>
            <w:tcBorders>
              <w:top w:val="nil"/>
              <w:left w:val="nil"/>
              <w:bottom w:val="single" w:sz="4" w:space="0" w:color="auto"/>
              <w:right w:val="single" w:sz="4" w:space="0" w:color="auto"/>
            </w:tcBorders>
            <w:vAlign w:val="center"/>
          </w:tcPr>
          <w:p w14:paraId="60EF46DC" w14:textId="77777777" w:rsidR="002E474C" w:rsidRDefault="00000000">
            <w:pPr>
              <w:pStyle w:val="A-"/>
            </w:pPr>
            <w:r>
              <w:t>铁矿粉</w:t>
            </w:r>
          </w:p>
        </w:tc>
        <w:tc>
          <w:tcPr>
            <w:tcW w:w="1722" w:type="pct"/>
            <w:tcBorders>
              <w:top w:val="nil"/>
              <w:left w:val="nil"/>
              <w:bottom w:val="single" w:sz="4" w:space="0" w:color="auto"/>
              <w:right w:val="single" w:sz="4" w:space="0" w:color="auto"/>
            </w:tcBorders>
            <w:vAlign w:val="center"/>
          </w:tcPr>
          <w:p w14:paraId="567E4754" w14:textId="77777777" w:rsidR="002E474C" w:rsidRDefault="00000000">
            <w:pPr>
              <w:pStyle w:val="A-"/>
            </w:pPr>
            <w:r>
              <w:t xml:space="preserve">90414 </w:t>
            </w:r>
          </w:p>
        </w:tc>
        <w:tc>
          <w:tcPr>
            <w:tcW w:w="1722" w:type="pct"/>
            <w:tcBorders>
              <w:top w:val="nil"/>
              <w:left w:val="nil"/>
              <w:bottom w:val="single" w:sz="4" w:space="0" w:color="auto"/>
              <w:right w:val="single" w:sz="4" w:space="0" w:color="auto"/>
            </w:tcBorders>
          </w:tcPr>
          <w:p w14:paraId="45834073" w14:textId="77777777" w:rsidR="002E474C" w:rsidRDefault="00000000">
            <w:pPr>
              <w:pStyle w:val="A-"/>
            </w:pPr>
            <w:r>
              <w:t>外购</w:t>
            </w:r>
          </w:p>
        </w:tc>
      </w:tr>
      <w:tr w:rsidR="002E474C" w14:paraId="21A7CEA3" w14:textId="77777777">
        <w:tc>
          <w:tcPr>
            <w:tcW w:w="520" w:type="pct"/>
            <w:tcBorders>
              <w:top w:val="nil"/>
              <w:left w:val="single" w:sz="4" w:space="0" w:color="auto"/>
              <w:bottom w:val="single" w:sz="4" w:space="0" w:color="auto"/>
              <w:right w:val="single" w:sz="4" w:space="0" w:color="auto"/>
            </w:tcBorders>
            <w:vAlign w:val="center"/>
          </w:tcPr>
          <w:p w14:paraId="274976E4" w14:textId="77777777" w:rsidR="002E474C" w:rsidRDefault="00000000">
            <w:pPr>
              <w:pStyle w:val="A-"/>
            </w:pPr>
            <w:r>
              <w:rPr>
                <w:rFonts w:hint="eastAsia"/>
              </w:rPr>
              <w:t>10</w:t>
            </w:r>
          </w:p>
        </w:tc>
        <w:tc>
          <w:tcPr>
            <w:tcW w:w="1035" w:type="pct"/>
            <w:tcBorders>
              <w:top w:val="nil"/>
              <w:left w:val="nil"/>
              <w:bottom w:val="single" w:sz="4" w:space="0" w:color="auto"/>
              <w:right w:val="single" w:sz="4" w:space="0" w:color="auto"/>
            </w:tcBorders>
            <w:vAlign w:val="center"/>
          </w:tcPr>
          <w:p w14:paraId="4862CA2A" w14:textId="77777777" w:rsidR="002E474C" w:rsidRDefault="00000000">
            <w:pPr>
              <w:pStyle w:val="A-"/>
            </w:pPr>
            <w:r>
              <w:t>炉渣</w:t>
            </w:r>
          </w:p>
        </w:tc>
        <w:tc>
          <w:tcPr>
            <w:tcW w:w="1722" w:type="pct"/>
            <w:tcBorders>
              <w:top w:val="nil"/>
              <w:left w:val="nil"/>
              <w:bottom w:val="single" w:sz="4" w:space="0" w:color="auto"/>
              <w:right w:val="single" w:sz="4" w:space="0" w:color="auto"/>
            </w:tcBorders>
            <w:vAlign w:val="center"/>
          </w:tcPr>
          <w:p w14:paraId="10F29616" w14:textId="77777777" w:rsidR="002E474C" w:rsidRDefault="00000000">
            <w:pPr>
              <w:pStyle w:val="A-"/>
            </w:pPr>
            <w:r>
              <w:t xml:space="preserve">129727 </w:t>
            </w:r>
          </w:p>
        </w:tc>
        <w:tc>
          <w:tcPr>
            <w:tcW w:w="1722" w:type="pct"/>
            <w:tcBorders>
              <w:top w:val="nil"/>
              <w:left w:val="nil"/>
              <w:bottom w:val="single" w:sz="4" w:space="0" w:color="auto"/>
              <w:right w:val="single" w:sz="4" w:space="0" w:color="auto"/>
            </w:tcBorders>
          </w:tcPr>
          <w:p w14:paraId="457481E4" w14:textId="77777777" w:rsidR="002E474C" w:rsidRDefault="00000000">
            <w:pPr>
              <w:pStyle w:val="A-"/>
            </w:pPr>
            <w:r>
              <w:t>来自电厂</w:t>
            </w:r>
          </w:p>
        </w:tc>
      </w:tr>
      <w:tr w:rsidR="002E474C" w14:paraId="474AD1D2" w14:textId="77777777">
        <w:tc>
          <w:tcPr>
            <w:tcW w:w="520" w:type="pct"/>
            <w:tcBorders>
              <w:top w:val="nil"/>
              <w:left w:val="single" w:sz="4" w:space="0" w:color="auto"/>
              <w:bottom w:val="single" w:sz="4" w:space="0" w:color="auto"/>
              <w:right w:val="single" w:sz="4" w:space="0" w:color="auto"/>
            </w:tcBorders>
            <w:vAlign w:val="center"/>
          </w:tcPr>
          <w:p w14:paraId="3DAF0FA4" w14:textId="77777777" w:rsidR="002E474C" w:rsidRDefault="00000000">
            <w:pPr>
              <w:pStyle w:val="A-"/>
            </w:pPr>
            <w:r>
              <w:rPr>
                <w:rFonts w:hint="eastAsia"/>
              </w:rPr>
              <w:t>11</w:t>
            </w:r>
          </w:p>
        </w:tc>
        <w:tc>
          <w:tcPr>
            <w:tcW w:w="1035" w:type="pct"/>
            <w:tcBorders>
              <w:top w:val="nil"/>
              <w:left w:val="nil"/>
              <w:bottom w:val="single" w:sz="4" w:space="0" w:color="auto"/>
              <w:right w:val="single" w:sz="4" w:space="0" w:color="auto"/>
            </w:tcBorders>
            <w:vAlign w:val="center"/>
          </w:tcPr>
          <w:p w14:paraId="7FF7EAE7" w14:textId="77777777" w:rsidR="002E474C" w:rsidRDefault="00000000">
            <w:pPr>
              <w:pStyle w:val="A-"/>
            </w:pPr>
            <w:r>
              <w:t>粉煤灰</w:t>
            </w:r>
          </w:p>
        </w:tc>
        <w:tc>
          <w:tcPr>
            <w:tcW w:w="1722" w:type="pct"/>
            <w:tcBorders>
              <w:top w:val="nil"/>
              <w:left w:val="nil"/>
              <w:bottom w:val="single" w:sz="4" w:space="0" w:color="auto"/>
              <w:right w:val="single" w:sz="4" w:space="0" w:color="auto"/>
            </w:tcBorders>
            <w:vAlign w:val="center"/>
          </w:tcPr>
          <w:p w14:paraId="64FBA86F" w14:textId="77777777" w:rsidR="002E474C" w:rsidRDefault="00000000">
            <w:pPr>
              <w:pStyle w:val="A-"/>
            </w:pPr>
            <w:r>
              <w:t xml:space="preserve">50635 </w:t>
            </w:r>
          </w:p>
        </w:tc>
        <w:tc>
          <w:tcPr>
            <w:tcW w:w="1722" w:type="pct"/>
            <w:tcBorders>
              <w:top w:val="nil"/>
              <w:left w:val="nil"/>
              <w:bottom w:val="single" w:sz="4" w:space="0" w:color="auto"/>
              <w:right w:val="single" w:sz="4" w:space="0" w:color="auto"/>
            </w:tcBorders>
            <w:vAlign w:val="center"/>
          </w:tcPr>
          <w:p w14:paraId="2579A8BB" w14:textId="77777777" w:rsidR="002E474C" w:rsidRDefault="00000000">
            <w:pPr>
              <w:pStyle w:val="A-"/>
            </w:pPr>
            <w:r>
              <w:t>来自电厂</w:t>
            </w:r>
          </w:p>
        </w:tc>
      </w:tr>
      <w:tr w:rsidR="002E474C" w14:paraId="51735BB9" w14:textId="77777777">
        <w:tc>
          <w:tcPr>
            <w:tcW w:w="520" w:type="pct"/>
            <w:tcBorders>
              <w:top w:val="nil"/>
              <w:left w:val="single" w:sz="4" w:space="0" w:color="auto"/>
              <w:bottom w:val="single" w:sz="4" w:space="0" w:color="auto"/>
              <w:right w:val="single" w:sz="4" w:space="0" w:color="auto"/>
            </w:tcBorders>
            <w:vAlign w:val="center"/>
          </w:tcPr>
          <w:p w14:paraId="1C602E7F" w14:textId="77777777" w:rsidR="002E474C" w:rsidRDefault="00000000">
            <w:pPr>
              <w:pStyle w:val="A-"/>
            </w:pPr>
            <w:r>
              <w:rPr>
                <w:rFonts w:hint="eastAsia"/>
              </w:rPr>
              <w:t>12</w:t>
            </w:r>
          </w:p>
        </w:tc>
        <w:tc>
          <w:tcPr>
            <w:tcW w:w="1035" w:type="pct"/>
            <w:tcBorders>
              <w:top w:val="nil"/>
              <w:left w:val="nil"/>
              <w:bottom w:val="single" w:sz="4" w:space="0" w:color="auto"/>
              <w:right w:val="single" w:sz="4" w:space="0" w:color="auto"/>
            </w:tcBorders>
            <w:vAlign w:val="center"/>
          </w:tcPr>
          <w:p w14:paraId="30E4835F" w14:textId="77777777" w:rsidR="002E474C" w:rsidRDefault="00000000">
            <w:pPr>
              <w:pStyle w:val="A-"/>
            </w:pPr>
            <w:r>
              <w:rPr>
                <w:rFonts w:hint="eastAsia"/>
              </w:rPr>
              <w:t>危险</w:t>
            </w:r>
            <w:r>
              <w:t>废物</w:t>
            </w:r>
          </w:p>
        </w:tc>
        <w:tc>
          <w:tcPr>
            <w:tcW w:w="1722" w:type="pct"/>
            <w:tcBorders>
              <w:top w:val="nil"/>
              <w:left w:val="nil"/>
              <w:bottom w:val="single" w:sz="4" w:space="0" w:color="auto"/>
              <w:right w:val="single" w:sz="4" w:space="0" w:color="auto"/>
            </w:tcBorders>
            <w:vAlign w:val="center"/>
          </w:tcPr>
          <w:p w14:paraId="4990A70E" w14:textId="77777777" w:rsidR="002E474C" w:rsidRDefault="00000000">
            <w:pPr>
              <w:pStyle w:val="A-"/>
            </w:pPr>
            <w:r>
              <w:rPr>
                <w:rFonts w:hint="eastAsia"/>
              </w:rPr>
              <w:t>51348.62</w:t>
            </w:r>
          </w:p>
        </w:tc>
        <w:tc>
          <w:tcPr>
            <w:tcW w:w="1722" w:type="pct"/>
            <w:tcBorders>
              <w:top w:val="nil"/>
              <w:left w:val="nil"/>
              <w:bottom w:val="single" w:sz="4" w:space="0" w:color="auto"/>
              <w:right w:val="single" w:sz="4" w:space="0" w:color="auto"/>
            </w:tcBorders>
            <w:vAlign w:val="center"/>
          </w:tcPr>
          <w:p w14:paraId="4D65B23B" w14:textId="77777777" w:rsidR="002E474C" w:rsidRDefault="00000000">
            <w:pPr>
              <w:pStyle w:val="A-"/>
            </w:pPr>
            <w:r>
              <w:t>疆内收集</w:t>
            </w:r>
          </w:p>
        </w:tc>
      </w:tr>
    </w:tbl>
    <w:p w14:paraId="51929D53" w14:textId="77777777" w:rsidR="002E474C" w:rsidRDefault="002E474C">
      <w:bookmarkStart w:id="145" w:name="_Ref127186668"/>
    </w:p>
    <w:p w14:paraId="00AA602F" w14:textId="77777777" w:rsidR="002E474C" w:rsidRDefault="00000000">
      <w:pPr>
        <w:pStyle w:val="A--"/>
        <w:rPr>
          <w:color w:val="auto"/>
        </w:rPr>
      </w:pPr>
      <w:r>
        <w:rPr>
          <w:color w:val="auto"/>
        </w:rPr>
        <w:t>表</w:t>
      </w:r>
      <w:bookmarkEnd w:id="145"/>
      <w:r>
        <w:rPr>
          <w:color w:val="auto"/>
        </w:rPr>
        <w:t xml:space="preserve">3.3-5  </w:t>
      </w:r>
      <w:r>
        <w:rPr>
          <w:color w:val="auto"/>
        </w:rPr>
        <w:t>本项目新增能源消耗一览表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541"/>
        <w:gridCol w:w="2416"/>
        <w:gridCol w:w="3073"/>
      </w:tblGrid>
      <w:tr w:rsidR="002E474C" w14:paraId="5C26601E" w14:textId="77777777">
        <w:tc>
          <w:tcPr>
            <w:tcW w:w="763" w:type="pct"/>
            <w:vAlign w:val="center"/>
          </w:tcPr>
          <w:p w14:paraId="23389530" w14:textId="77777777" w:rsidR="002E474C" w:rsidRDefault="00000000">
            <w:pPr>
              <w:pStyle w:val="A-"/>
            </w:pPr>
            <w:r>
              <w:t>序号</w:t>
            </w:r>
          </w:p>
        </w:tc>
        <w:tc>
          <w:tcPr>
            <w:tcW w:w="929" w:type="pct"/>
            <w:vAlign w:val="center"/>
          </w:tcPr>
          <w:p w14:paraId="4CC00910" w14:textId="77777777" w:rsidR="002E474C" w:rsidRDefault="00000000">
            <w:pPr>
              <w:pStyle w:val="A-"/>
            </w:pPr>
            <w:r>
              <w:t>类别</w:t>
            </w:r>
          </w:p>
        </w:tc>
        <w:tc>
          <w:tcPr>
            <w:tcW w:w="1456" w:type="pct"/>
            <w:vAlign w:val="center"/>
          </w:tcPr>
          <w:p w14:paraId="7E2879BF" w14:textId="77777777" w:rsidR="002E474C" w:rsidRDefault="00000000">
            <w:pPr>
              <w:pStyle w:val="A-"/>
            </w:pPr>
            <w:r>
              <w:t>单位</w:t>
            </w:r>
          </w:p>
        </w:tc>
        <w:tc>
          <w:tcPr>
            <w:tcW w:w="1852" w:type="pct"/>
            <w:vAlign w:val="center"/>
          </w:tcPr>
          <w:p w14:paraId="71D38F1E" w14:textId="77777777" w:rsidR="002E474C" w:rsidRDefault="00000000">
            <w:pPr>
              <w:pStyle w:val="A-"/>
            </w:pPr>
            <w:r>
              <w:t>消耗量</w:t>
            </w:r>
          </w:p>
        </w:tc>
      </w:tr>
      <w:tr w:rsidR="002E474C" w14:paraId="372CCCE6" w14:textId="77777777">
        <w:tc>
          <w:tcPr>
            <w:tcW w:w="763" w:type="pct"/>
            <w:vAlign w:val="center"/>
          </w:tcPr>
          <w:p w14:paraId="4742403B" w14:textId="77777777" w:rsidR="002E474C" w:rsidRDefault="00000000">
            <w:pPr>
              <w:pStyle w:val="A-"/>
            </w:pPr>
            <w:r>
              <w:t>1</w:t>
            </w:r>
          </w:p>
        </w:tc>
        <w:tc>
          <w:tcPr>
            <w:tcW w:w="929" w:type="pct"/>
            <w:vAlign w:val="center"/>
          </w:tcPr>
          <w:p w14:paraId="53A6EF66" w14:textId="77777777" w:rsidR="002E474C" w:rsidRDefault="00000000">
            <w:pPr>
              <w:pStyle w:val="A-"/>
            </w:pPr>
            <w:r>
              <w:t>新鲜水</w:t>
            </w:r>
          </w:p>
        </w:tc>
        <w:tc>
          <w:tcPr>
            <w:tcW w:w="1456" w:type="pct"/>
            <w:vAlign w:val="center"/>
          </w:tcPr>
          <w:p w14:paraId="463AFF56" w14:textId="77777777" w:rsidR="002E474C" w:rsidRDefault="00000000">
            <w:pPr>
              <w:pStyle w:val="A-"/>
            </w:pPr>
            <w:r>
              <w:t>m³/a</w:t>
            </w:r>
          </w:p>
        </w:tc>
        <w:tc>
          <w:tcPr>
            <w:tcW w:w="1852" w:type="pct"/>
            <w:vAlign w:val="center"/>
          </w:tcPr>
          <w:p w14:paraId="60625391" w14:textId="77777777" w:rsidR="002E474C" w:rsidRDefault="00000000">
            <w:pPr>
              <w:pStyle w:val="A-"/>
            </w:pPr>
            <w:r>
              <w:t>1028</w:t>
            </w:r>
          </w:p>
        </w:tc>
      </w:tr>
      <w:tr w:rsidR="002E474C" w14:paraId="5FDF2080" w14:textId="77777777">
        <w:tc>
          <w:tcPr>
            <w:tcW w:w="763" w:type="pct"/>
            <w:vAlign w:val="center"/>
          </w:tcPr>
          <w:p w14:paraId="4CBD6A9F" w14:textId="77777777" w:rsidR="002E474C" w:rsidRDefault="00000000">
            <w:pPr>
              <w:pStyle w:val="A-"/>
            </w:pPr>
            <w:r>
              <w:t>2</w:t>
            </w:r>
          </w:p>
        </w:tc>
        <w:tc>
          <w:tcPr>
            <w:tcW w:w="929" w:type="pct"/>
            <w:vAlign w:val="center"/>
          </w:tcPr>
          <w:p w14:paraId="19B03227" w14:textId="77777777" w:rsidR="002E474C" w:rsidRDefault="00000000">
            <w:pPr>
              <w:pStyle w:val="A-"/>
            </w:pPr>
            <w:r>
              <w:t>电</w:t>
            </w:r>
          </w:p>
        </w:tc>
        <w:tc>
          <w:tcPr>
            <w:tcW w:w="1456" w:type="pct"/>
            <w:vAlign w:val="center"/>
          </w:tcPr>
          <w:p w14:paraId="1780B439" w14:textId="77777777" w:rsidR="002E474C" w:rsidRDefault="00000000">
            <w:pPr>
              <w:pStyle w:val="A-"/>
            </w:pPr>
            <w:r>
              <w:t>万</w:t>
            </w:r>
            <w:proofErr w:type="spellStart"/>
            <w:r>
              <w:t>kW·h</w:t>
            </w:r>
            <w:proofErr w:type="spellEnd"/>
            <w:r>
              <w:t>/a</w:t>
            </w:r>
          </w:p>
        </w:tc>
        <w:tc>
          <w:tcPr>
            <w:tcW w:w="1852" w:type="pct"/>
            <w:vAlign w:val="center"/>
          </w:tcPr>
          <w:p w14:paraId="3F8EAF12" w14:textId="77777777" w:rsidR="002E474C" w:rsidRDefault="00000000">
            <w:pPr>
              <w:pStyle w:val="A-"/>
            </w:pPr>
            <w:r>
              <w:t>176.4</w:t>
            </w:r>
          </w:p>
        </w:tc>
      </w:tr>
    </w:tbl>
    <w:p w14:paraId="0DEEBBF9" w14:textId="77777777" w:rsidR="002E474C" w:rsidRDefault="002E474C"/>
    <w:p w14:paraId="1AAE0166" w14:textId="77777777" w:rsidR="002E474C" w:rsidRDefault="00000000">
      <w:pPr>
        <w:pStyle w:val="31"/>
        <w:spacing w:before="120" w:after="120"/>
        <w:rPr>
          <w:color w:val="auto"/>
        </w:rPr>
      </w:pPr>
      <w:r>
        <w:rPr>
          <w:color w:val="auto"/>
        </w:rPr>
        <w:t>公辅工程</w:t>
      </w:r>
    </w:p>
    <w:p w14:paraId="2078538A" w14:textId="77777777" w:rsidR="002E474C" w:rsidRDefault="00000000">
      <w:pPr>
        <w:pStyle w:val="41"/>
        <w:rPr>
          <w:color w:val="auto"/>
        </w:rPr>
      </w:pPr>
      <w:r>
        <w:rPr>
          <w:color w:val="auto"/>
        </w:rPr>
        <w:t>给水</w:t>
      </w:r>
    </w:p>
    <w:p w14:paraId="4329926D" w14:textId="77777777" w:rsidR="002E474C" w:rsidRDefault="00000000">
      <w:pPr>
        <w:pStyle w:val="A-z"/>
        <w:rPr>
          <w:color w:val="auto"/>
        </w:rPr>
      </w:pPr>
      <w:r>
        <w:rPr>
          <w:color w:val="auto"/>
        </w:rPr>
        <w:t>生产生活用水依托厂内现有给水设施，水质水压均符合生产生活要求，并有富余。</w:t>
      </w:r>
    </w:p>
    <w:p w14:paraId="2CE32967" w14:textId="77777777" w:rsidR="002E474C" w:rsidRDefault="00000000">
      <w:pPr>
        <w:pStyle w:val="A-z"/>
        <w:rPr>
          <w:color w:val="auto"/>
        </w:rPr>
      </w:pPr>
      <w:r>
        <w:rPr>
          <w:color w:val="auto"/>
        </w:rPr>
        <w:t>本项目新增用水量</w:t>
      </w:r>
      <w:r>
        <w:rPr>
          <w:rFonts w:hint="eastAsia"/>
          <w:color w:val="auto"/>
        </w:rPr>
        <w:t>3.43</w:t>
      </w:r>
      <w:r>
        <w:rPr>
          <w:color w:val="auto"/>
        </w:rPr>
        <w:t>m</w:t>
      </w:r>
      <w:r>
        <w:rPr>
          <w:color w:val="auto"/>
          <w:vertAlign w:val="superscript"/>
        </w:rPr>
        <w:t>3</w:t>
      </w:r>
      <w:r>
        <w:rPr>
          <w:color w:val="auto"/>
        </w:rPr>
        <w:t>/d</w:t>
      </w:r>
      <w:r>
        <w:rPr>
          <w:color w:val="auto"/>
        </w:rPr>
        <w:t>，供应生活用水、</w:t>
      </w:r>
      <w:bookmarkStart w:id="146" w:name="OLE_LINK12"/>
      <w:r>
        <w:rPr>
          <w:color w:val="auto"/>
        </w:rPr>
        <w:t>清洗（含地面、车辆、容器、设备）用水</w:t>
      </w:r>
      <w:bookmarkEnd w:id="146"/>
      <w:r>
        <w:rPr>
          <w:color w:val="auto"/>
        </w:rPr>
        <w:t>。</w:t>
      </w:r>
    </w:p>
    <w:p w14:paraId="21B82B0A" w14:textId="77777777" w:rsidR="002E474C" w:rsidRDefault="00000000">
      <w:pPr>
        <w:pStyle w:val="41"/>
        <w:rPr>
          <w:color w:val="auto"/>
        </w:rPr>
      </w:pPr>
      <w:r>
        <w:rPr>
          <w:color w:val="auto"/>
        </w:rPr>
        <w:t>排水</w:t>
      </w:r>
    </w:p>
    <w:p w14:paraId="3157D136" w14:textId="77777777" w:rsidR="002E474C" w:rsidRDefault="00000000">
      <w:pPr>
        <w:pStyle w:val="A-z"/>
        <w:rPr>
          <w:color w:val="auto"/>
        </w:rPr>
      </w:pPr>
      <w:r>
        <w:rPr>
          <w:color w:val="auto"/>
        </w:rPr>
        <w:t>厂区清洗废水经管道排入废水收集池，与桶装收集的设备检修清洗废水一同泵入液态危险入窑焚烧；生活污水经管网排入厂内综合废水站处理后回用于生产</w:t>
      </w:r>
      <w:r>
        <w:rPr>
          <w:rFonts w:hint="eastAsia"/>
          <w:color w:val="auto"/>
        </w:rPr>
        <w:t>或绿化</w:t>
      </w:r>
      <w:r>
        <w:rPr>
          <w:color w:val="auto"/>
        </w:rPr>
        <w:t>。</w:t>
      </w:r>
    </w:p>
    <w:p w14:paraId="1101CF66" w14:textId="77777777" w:rsidR="002E474C" w:rsidRDefault="00000000">
      <w:pPr>
        <w:pStyle w:val="A-z"/>
        <w:ind w:firstLine="456"/>
        <w:rPr>
          <w:color w:val="auto"/>
          <w:spacing w:val="-6"/>
        </w:rPr>
      </w:pPr>
      <w:r>
        <w:rPr>
          <w:color w:val="auto"/>
          <w:spacing w:val="-6"/>
        </w:rPr>
        <w:t>建设</w:t>
      </w:r>
      <w:r>
        <w:rPr>
          <w:color w:val="auto"/>
          <w:spacing w:val="-6"/>
        </w:rPr>
        <w:t>1</w:t>
      </w:r>
      <w:r>
        <w:rPr>
          <w:color w:val="auto"/>
          <w:spacing w:val="-6"/>
        </w:rPr>
        <w:t>座废水收集池，收集贮存区域清洗废水；建设</w:t>
      </w:r>
      <w:r>
        <w:rPr>
          <w:color w:val="auto"/>
          <w:spacing w:val="-6"/>
        </w:rPr>
        <w:t>1</w:t>
      </w:r>
      <w:r>
        <w:rPr>
          <w:color w:val="auto"/>
          <w:spacing w:val="-6"/>
        </w:rPr>
        <w:t>座事故池，收集包装物等</w:t>
      </w:r>
      <w:r>
        <w:rPr>
          <w:color w:val="auto"/>
          <w:spacing w:val="-6"/>
        </w:rPr>
        <w:lastRenderedPageBreak/>
        <w:t>破损泄漏的废液以及消防废水；设置</w:t>
      </w:r>
      <w:r>
        <w:rPr>
          <w:color w:val="auto"/>
          <w:spacing w:val="-6"/>
        </w:rPr>
        <w:t>1</w:t>
      </w:r>
      <w:r>
        <w:rPr>
          <w:color w:val="auto"/>
          <w:spacing w:val="-6"/>
        </w:rPr>
        <w:t>座初期雨水池，收集贮存区域初期雨水。废水收集池、事故池和初期雨水池废水经液态危废处置系统送至水泥窑焚烧处置。</w:t>
      </w:r>
    </w:p>
    <w:p w14:paraId="0D7E3A2C" w14:textId="77777777" w:rsidR="002E474C" w:rsidRDefault="00000000">
      <w:pPr>
        <w:pStyle w:val="41"/>
        <w:rPr>
          <w:color w:val="auto"/>
        </w:rPr>
      </w:pPr>
      <w:r>
        <w:rPr>
          <w:color w:val="auto"/>
        </w:rPr>
        <w:t>供电</w:t>
      </w:r>
    </w:p>
    <w:p w14:paraId="3E8A73B7" w14:textId="77777777" w:rsidR="002E474C" w:rsidRDefault="00000000">
      <w:pPr>
        <w:pStyle w:val="A-z"/>
        <w:rPr>
          <w:color w:val="auto"/>
        </w:rPr>
      </w:pPr>
      <w:r>
        <w:rPr>
          <w:color w:val="auto"/>
        </w:rPr>
        <w:t>项目供电依托现有供电设施，由圣雄工业园区</w:t>
      </w:r>
      <w:r>
        <w:rPr>
          <w:color w:val="auto"/>
        </w:rPr>
        <w:t>110kV</w:t>
      </w:r>
      <w:r>
        <w:rPr>
          <w:color w:val="auto"/>
        </w:rPr>
        <w:t>变电站提供。本项目新增用电负荷</w:t>
      </w:r>
      <w:r>
        <w:rPr>
          <w:color w:val="auto"/>
        </w:rPr>
        <w:t>245kW</w:t>
      </w:r>
      <w:r>
        <w:rPr>
          <w:color w:val="auto"/>
        </w:rPr>
        <w:t>，项目耗电</w:t>
      </w:r>
      <w:r>
        <w:rPr>
          <w:color w:val="auto"/>
        </w:rPr>
        <w:t>176.4</w:t>
      </w:r>
      <w:r>
        <w:rPr>
          <w:color w:val="auto"/>
        </w:rPr>
        <w:t>万</w:t>
      </w:r>
      <w:r>
        <w:rPr>
          <w:color w:val="auto"/>
        </w:rPr>
        <w:t>kW·</w:t>
      </w:r>
      <w:bookmarkStart w:id="147" w:name="OLE_LINK54"/>
      <w:r>
        <w:rPr>
          <w:color w:val="auto"/>
        </w:rPr>
        <w:t>h/</w:t>
      </w:r>
      <w:bookmarkEnd w:id="147"/>
      <w:r>
        <w:rPr>
          <w:color w:val="auto"/>
        </w:rPr>
        <w:t>a</w:t>
      </w:r>
      <w:r>
        <w:rPr>
          <w:color w:val="auto"/>
        </w:rPr>
        <w:t>。</w:t>
      </w:r>
    </w:p>
    <w:p w14:paraId="60860321" w14:textId="77777777" w:rsidR="002E474C" w:rsidRDefault="00000000">
      <w:pPr>
        <w:pStyle w:val="41"/>
        <w:rPr>
          <w:color w:val="auto"/>
        </w:rPr>
      </w:pPr>
      <w:r>
        <w:rPr>
          <w:color w:val="auto"/>
        </w:rPr>
        <w:t>供热</w:t>
      </w:r>
    </w:p>
    <w:p w14:paraId="1032E60D" w14:textId="77777777" w:rsidR="002E474C" w:rsidRDefault="00000000">
      <w:pPr>
        <w:pStyle w:val="A-z"/>
        <w:rPr>
          <w:color w:val="auto"/>
        </w:rPr>
      </w:pPr>
      <w:r>
        <w:rPr>
          <w:color w:val="auto"/>
        </w:rPr>
        <w:t>本项目不新增供热面积。</w:t>
      </w:r>
    </w:p>
    <w:p w14:paraId="0BB04B21" w14:textId="77777777" w:rsidR="002E474C" w:rsidRDefault="00000000">
      <w:pPr>
        <w:pStyle w:val="41"/>
        <w:rPr>
          <w:color w:val="auto"/>
        </w:rPr>
      </w:pPr>
      <w:r>
        <w:rPr>
          <w:color w:val="auto"/>
        </w:rPr>
        <w:t>分析化验</w:t>
      </w:r>
    </w:p>
    <w:p w14:paraId="053EF2A1" w14:textId="77777777" w:rsidR="002E474C" w:rsidRDefault="00000000">
      <w:pPr>
        <w:pStyle w:val="A-z"/>
        <w:rPr>
          <w:color w:val="auto"/>
        </w:rPr>
      </w:pPr>
      <w:r>
        <w:rPr>
          <w:rFonts w:hint="eastAsia"/>
          <w:color w:val="auto"/>
        </w:rPr>
        <w:t>本项目协同处置的危险废物包括</w:t>
      </w:r>
      <w:r>
        <w:rPr>
          <w:bCs/>
          <w:color w:val="auto"/>
          <w:lang w:val="en-US"/>
        </w:rPr>
        <w:t>预处理中心的预处理产物</w:t>
      </w:r>
      <w:r>
        <w:rPr>
          <w:rFonts w:hint="eastAsia"/>
          <w:bCs/>
          <w:color w:val="auto"/>
          <w:lang w:val="en-US"/>
        </w:rPr>
        <w:t>及</w:t>
      </w:r>
      <w:r>
        <w:rPr>
          <w:bCs/>
          <w:color w:val="auto"/>
          <w:lang w:val="en-US"/>
        </w:rPr>
        <w:t>少量</w:t>
      </w:r>
      <w:r>
        <w:rPr>
          <w:color w:val="auto"/>
          <w:lang w:val="en-US"/>
        </w:rPr>
        <w:t>来自吐鲁番市及周边县市收集的危险废物</w:t>
      </w:r>
      <w:r>
        <w:rPr>
          <w:rFonts w:hint="eastAsia"/>
          <w:color w:val="auto"/>
          <w:lang w:val="en-US"/>
        </w:rPr>
        <w:t>。厂内</w:t>
      </w:r>
      <w:r>
        <w:rPr>
          <w:rFonts w:hint="eastAsia"/>
          <w:color w:val="auto"/>
        </w:rPr>
        <w:t>危险废物的取样检测、</w:t>
      </w:r>
      <w:r>
        <w:rPr>
          <w:color w:val="auto"/>
        </w:rPr>
        <w:t>分析化验与质量控制工作依托吉木萨尔协同处置项目预处理中心分析化验室</w:t>
      </w:r>
      <w:r>
        <w:rPr>
          <w:rFonts w:hint="eastAsia"/>
          <w:color w:val="auto"/>
        </w:rPr>
        <w:t>。</w:t>
      </w:r>
      <w:r>
        <w:rPr>
          <w:color w:val="auto"/>
        </w:rPr>
        <w:t>该分析化验室符合《水泥窑协同处置固体废物环境保护技术规范》（</w:t>
      </w:r>
      <w:r>
        <w:rPr>
          <w:color w:val="auto"/>
        </w:rPr>
        <w:t>HJ662-2013</w:t>
      </w:r>
      <w:r>
        <w:rPr>
          <w:color w:val="auto"/>
        </w:rPr>
        <w:t>）相关规定。</w:t>
      </w:r>
    </w:p>
    <w:p w14:paraId="5AEEC275" w14:textId="77777777" w:rsidR="002E474C" w:rsidRDefault="00000000">
      <w:pPr>
        <w:pStyle w:val="A-z"/>
        <w:ind w:firstLine="456"/>
        <w:rPr>
          <w:color w:val="auto"/>
          <w:spacing w:val="-6"/>
        </w:rPr>
      </w:pPr>
      <w:r>
        <w:rPr>
          <w:color w:val="auto"/>
          <w:spacing w:val="-6"/>
        </w:rPr>
        <w:t>本项目与预处理中心应制订预处理产物质量标准并在当地质监部门进行备案。</w:t>
      </w:r>
    </w:p>
    <w:p w14:paraId="14A6F6A5" w14:textId="77777777" w:rsidR="002E474C" w:rsidRDefault="00000000">
      <w:pPr>
        <w:pStyle w:val="A-z"/>
        <w:rPr>
          <w:color w:val="auto"/>
        </w:rPr>
      </w:pPr>
      <w:r>
        <w:rPr>
          <w:color w:val="auto"/>
        </w:rPr>
        <w:t>本项目委托该分析化验室进行定期送样分析，送样分析频次应不少于每周</w:t>
      </w:r>
      <w:r>
        <w:rPr>
          <w:color w:val="auto"/>
        </w:rPr>
        <w:t>1</w:t>
      </w:r>
      <w:r>
        <w:rPr>
          <w:color w:val="auto"/>
        </w:rPr>
        <w:t>次，并将预处理产物的送样分析结果与预处理产物质量标准进行比对，评估预处理中心生产的预处理产物的质量可靠性。</w:t>
      </w:r>
    </w:p>
    <w:p w14:paraId="6450E03F" w14:textId="77777777" w:rsidR="002E474C" w:rsidRDefault="00000000">
      <w:pPr>
        <w:pStyle w:val="A-z"/>
        <w:rPr>
          <w:color w:val="auto"/>
        </w:rPr>
      </w:pPr>
      <w:r>
        <w:rPr>
          <w:color w:val="auto"/>
        </w:rPr>
        <w:t>预处理产物连续</w:t>
      </w:r>
      <w:r>
        <w:rPr>
          <w:color w:val="auto"/>
        </w:rPr>
        <w:t>2</w:t>
      </w:r>
      <w:r>
        <w:rPr>
          <w:color w:val="auto"/>
        </w:rPr>
        <w:t>个月的送样分析结果与预处理质量标准一致时，送样分析频次可减为每月</w:t>
      </w:r>
      <w:r>
        <w:rPr>
          <w:color w:val="auto"/>
        </w:rPr>
        <w:t>1</w:t>
      </w:r>
      <w:r>
        <w:rPr>
          <w:color w:val="auto"/>
        </w:rPr>
        <w:t>次，若在此期间出现送样分析结果与预处理产物质量标准不一致，则送样分析频次重新调整为每周</w:t>
      </w:r>
      <w:r>
        <w:rPr>
          <w:color w:val="auto"/>
        </w:rPr>
        <w:t>1</w:t>
      </w:r>
      <w:r>
        <w:rPr>
          <w:color w:val="auto"/>
        </w:rPr>
        <w:t>次。</w:t>
      </w:r>
    </w:p>
    <w:p w14:paraId="0DB7B598" w14:textId="77777777" w:rsidR="002E474C" w:rsidRDefault="00000000">
      <w:pPr>
        <w:pStyle w:val="41"/>
        <w:rPr>
          <w:color w:val="auto"/>
        </w:rPr>
      </w:pPr>
      <w:r>
        <w:rPr>
          <w:color w:val="auto"/>
        </w:rPr>
        <w:t>危险废物贮存设施</w:t>
      </w:r>
    </w:p>
    <w:p w14:paraId="5BBE407D" w14:textId="77777777" w:rsidR="002E474C" w:rsidRDefault="00000000">
      <w:pPr>
        <w:pStyle w:val="A-z"/>
        <w:rPr>
          <w:color w:val="auto"/>
          <w:lang w:val="en-US"/>
        </w:rPr>
      </w:pPr>
      <w:r>
        <w:rPr>
          <w:rFonts w:hint="eastAsia"/>
          <w:color w:val="auto"/>
          <w:lang w:val="en-US"/>
        </w:rPr>
        <w:t>本</w:t>
      </w:r>
      <w:r>
        <w:rPr>
          <w:color w:val="auto"/>
          <w:lang w:val="en-US"/>
        </w:rPr>
        <w:t>项目危险废物贮存设施</w:t>
      </w:r>
      <w:r>
        <w:rPr>
          <w:rFonts w:hint="eastAsia"/>
          <w:color w:val="auto"/>
          <w:lang w:val="en-US"/>
        </w:rPr>
        <w:t>包括</w:t>
      </w:r>
      <w:r>
        <w:rPr>
          <w:color w:val="auto"/>
          <w:lang w:val="en-US"/>
        </w:rPr>
        <w:t>危废贮存库</w:t>
      </w:r>
      <w:r>
        <w:rPr>
          <w:rFonts w:hint="eastAsia"/>
          <w:color w:val="auto"/>
          <w:lang w:val="en-US"/>
        </w:rPr>
        <w:t>、</w:t>
      </w:r>
      <w:r>
        <w:rPr>
          <w:color w:val="auto"/>
          <w:lang w:val="en-US"/>
        </w:rPr>
        <w:t>固态危废预处理车间和清洗间</w:t>
      </w:r>
      <w:r>
        <w:rPr>
          <w:rFonts w:hint="eastAsia"/>
          <w:color w:val="auto"/>
          <w:lang w:val="en-US"/>
        </w:rPr>
        <w:t>的危废贮存区。危废</w:t>
      </w:r>
      <w:r>
        <w:rPr>
          <w:color w:val="auto"/>
          <w:lang w:val="en-US"/>
        </w:rPr>
        <w:t>贮存库内主要贮存液态</w:t>
      </w:r>
      <w:r>
        <w:rPr>
          <w:rFonts w:hint="eastAsia"/>
          <w:color w:val="auto"/>
          <w:lang w:val="en-US"/>
        </w:rPr>
        <w:t>危废</w:t>
      </w:r>
      <w:r>
        <w:rPr>
          <w:color w:val="auto"/>
          <w:lang w:val="en-US"/>
        </w:rPr>
        <w:t>和固态</w:t>
      </w:r>
      <w:r>
        <w:rPr>
          <w:rFonts w:hint="eastAsia"/>
          <w:color w:val="auto"/>
          <w:lang w:val="en-US"/>
        </w:rPr>
        <w:t>预处理产物</w:t>
      </w:r>
      <w:r>
        <w:rPr>
          <w:color w:val="auto"/>
          <w:lang w:val="en-US"/>
        </w:rPr>
        <w:t>，固态危废预处理车间</w:t>
      </w:r>
      <w:r>
        <w:rPr>
          <w:rFonts w:hint="eastAsia"/>
          <w:color w:val="auto"/>
          <w:lang w:val="en-US"/>
        </w:rPr>
        <w:t>危废贮存区</w:t>
      </w:r>
      <w:r>
        <w:rPr>
          <w:color w:val="auto"/>
          <w:lang w:val="en-US"/>
        </w:rPr>
        <w:t>主要贮存</w:t>
      </w:r>
      <w:r>
        <w:rPr>
          <w:rFonts w:hint="eastAsia"/>
          <w:color w:val="auto"/>
          <w:lang w:val="en-US"/>
        </w:rPr>
        <w:t>固态</w:t>
      </w:r>
      <w:r>
        <w:rPr>
          <w:color w:val="auto"/>
          <w:lang w:val="en-US"/>
        </w:rPr>
        <w:t>预处理</w:t>
      </w:r>
      <w:r>
        <w:rPr>
          <w:rFonts w:hint="eastAsia"/>
          <w:color w:val="auto"/>
          <w:lang w:val="en-US"/>
        </w:rPr>
        <w:t>产物</w:t>
      </w:r>
      <w:r>
        <w:rPr>
          <w:color w:val="auto"/>
          <w:lang w:val="en-US"/>
        </w:rPr>
        <w:t>和</w:t>
      </w:r>
      <w:r>
        <w:rPr>
          <w:rFonts w:hint="eastAsia"/>
          <w:color w:val="auto"/>
          <w:lang w:val="en-US"/>
        </w:rPr>
        <w:t>各类</w:t>
      </w:r>
      <w:r>
        <w:rPr>
          <w:color w:val="auto"/>
          <w:lang w:val="en-US"/>
        </w:rPr>
        <w:t>固态物料，清洗车间</w:t>
      </w:r>
      <w:r>
        <w:rPr>
          <w:rFonts w:hint="eastAsia"/>
          <w:color w:val="auto"/>
          <w:lang w:val="en-US"/>
        </w:rPr>
        <w:t>危废贮存区</w:t>
      </w:r>
      <w:r>
        <w:rPr>
          <w:color w:val="auto"/>
          <w:lang w:val="en-US"/>
        </w:rPr>
        <w:t>主要贮存清洗</w:t>
      </w:r>
      <w:r>
        <w:rPr>
          <w:rFonts w:hint="eastAsia"/>
          <w:color w:val="auto"/>
          <w:lang w:val="en-US"/>
        </w:rPr>
        <w:t>前</w:t>
      </w:r>
      <w:r>
        <w:rPr>
          <w:color w:val="auto"/>
          <w:lang w:val="en-US"/>
        </w:rPr>
        <w:t>后的包装物等，根据危险废物</w:t>
      </w:r>
      <w:r>
        <w:rPr>
          <w:rFonts w:hint="eastAsia"/>
          <w:color w:val="auto"/>
          <w:lang w:val="en-US"/>
        </w:rPr>
        <w:t>的</w:t>
      </w:r>
      <w:r>
        <w:rPr>
          <w:color w:val="auto"/>
          <w:lang w:val="en-US"/>
        </w:rPr>
        <w:t>种类及相容性分别分区贮存。</w:t>
      </w:r>
    </w:p>
    <w:p w14:paraId="2CBCE510" w14:textId="77777777" w:rsidR="002E474C" w:rsidRDefault="00000000">
      <w:pPr>
        <w:pStyle w:val="A-z"/>
        <w:rPr>
          <w:color w:val="auto"/>
          <w:lang w:val="en-US"/>
        </w:rPr>
      </w:pPr>
      <w:r>
        <w:rPr>
          <w:color w:val="auto"/>
          <w:lang w:val="en-US"/>
        </w:rPr>
        <w:t>具体贮存设施及储存规模如下：厂内设</w:t>
      </w:r>
      <w:r>
        <w:rPr>
          <w:color w:val="auto"/>
          <w:lang w:val="en-US"/>
        </w:rPr>
        <w:t>1</w:t>
      </w:r>
      <w:r>
        <w:rPr>
          <w:color w:val="auto"/>
          <w:lang w:val="en-US"/>
        </w:rPr>
        <w:t>座</w:t>
      </w:r>
      <w:r>
        <w:rPr>
          <w:color w:val="auto"/>
          <w:lang w:val="en-US"/>
        </w:rPr>
        <w:t>210m²</w:t>
      </w:r>
      <w:r>
        <w:rPr>
          <w:color w:val="auto"/>
          <w:lang w:val="en-US"/>
        </w:rPr>
        <w:t>危废贮存库，储存规模</w:t>
      </w:r>
      <w:r>
        <w:rPr>
          <w:color w:val="auto"/>
          <w:lang w:val="en-US"/>
        </w:rPr>
        <w:t>420t</w:t>
      </w:r>
      <w:r>
        <w:rPr>
          <w:color w:val="auto"/>
          <w:lang w:val="en-US"/>
        </w:rPr>
        <w:t>；</w:t>
      </w:r>
      <w:r>
        <w:rPr>
          <w:color w:val="auto"/>
          <w:lang w:val="en-US"/>
        </w:rPr>
        <w:t>1</w:t>
      </w:r>
      <w:r>
        <w:rPr>
          <w:color w:val="auto"/>
          <w:lang w:val="en-US"/>
        </w:rPr>
        <w:t>座固态危废预处理车间，其中危废贮存区面积</w:t>
      </w:r>
      <w:r>
        <w:rPr>
          <w:color w:val="auto"/>
          <w:lang w:val="en-US"/>
        </w:rPr>
        <w:t>940m²</w:t>
      </w:r>
      <w:r>
        <w:rPr>
          <w:color w:val="auto"/>
          <w:lang w:val="en-US"/>
        </w:rPr>
        <w:t>，储存规模</w:t>
      </w:r>
      <w:r>
        <w:rPr>
          <w:color w:val="auto"/>
          <w:lang w:val="en-US"/>
        </w:rPr>
        <w:t>1880t</w:t>
      </w:r>
      <w:r>
        <w:rPr>
          <w:color w:val="auto"/>
          <w:lang w:val="en-US"/>
        </w:rPr>
        <w:t>；</w:t>
      </w:r>
      <w:r>
        <w:rPr>
          <w:color w:val="auto"/>
          <w:lang w:val="en-US"/>
        </w:rPr>
        <w:t>1</w:t>
      </w:r>
      <w:r>
        <w:rPr>
          <w:color w:val="auto"/>
          <w:lang w:val="en-US"/>
        </w:rPr>
        <w:t>座清洗间，其中清洗物品贮存区面积</w:t>
      </w:r>
      <w:r>
        <w:rPr>
          <w:color w:val="auto"/>
          <w:lang w:val="en-US"/>
        </w:rPr>
        <w:t>76m²</w:t>
      </w:r>
      <w:r>
        <w:rPr>
          <w:color w:val="auto"/>
          <w:lang w:val="en-US"/>
        </w:rPr>
        <w:t>，储存规模</w:t>
      </w:r>
      <w:r>
        <w:rPr>
          <w:color w:val="auto"/>
          <w:lang w:val="en-US"/>
        </w:rPr>
        <w:t>152t</w:t>
      </w:r>
      <w:r>
        <w:rPr>
          <w:color w:val="auto"/>
          <w:lang w:val="en-US"/>
        </w:rPr>
        <w:t>；总贮存能力</w:t>
      </w:r>
      <w:r>
        <w:rPr>
          <w:color w:val="auto"/>
          <w:lang w:val="en-US"/>
        </w:rPr>
        <w:t>2452t</w:t>
      </w:r>
      <w:r>
        <w:rPr>
          <w:color w:val="auto"/>
          <w:lang w:val="en-US"/>
        </w:rPr>
        <w:t>。</w:t>
      </w:r>
    </w:p>
    <w:p w14:paraId="65AC4EA2" w14:textId="77777777" w:rsidR="002E474C" w:rsidRDefault="00000000">
      <w:pPr>
        <w:pStyle w:val="A-z"/>
        <w:rPr>
          <w:color w:val="auto"/>
          <w:lang w:val="en-US"/>
        </w:rPr>
      </w:pPr>
      <w:r>
        <w:rPr>
          <w:color w:val="auto"/>
          <w:lang w:val="en-US"/>
        </w:rPr>
        <w:lastRenderedPageBreak/>
        <w:t>具体见表</w:t>
      </w:r>
      <w:r>
        <w:rPr>
          <w:color w:val="auto"/>
          <w:lang w:val="en-US"/>
        </w:rPr>
        <w:t>3.3-6</w:t>
      </w:r>
      <w:r>
        <w:rPr>
          <w:color w:val="auto"/>
          <w:lang w:val="en-US"/>
        </w:rPr>
        <w:t>。</w:t>
      </w:r>
    </w:p>
    <w:p w14:paraId="5EDCAACE" w14:textId="77777777" w:rsidR="002E474C" w:rsidRDefault="00000000">
      <w:pPr>
        <w:pStyle w:val="A--"/>
        <w:spacing w:beforeLines="0" w:before="0"/>
        <w:ind w:leftChars="0" w:left="0" w:rightChars="0" w:right="0"/>
        <w:rPr>
          <w:color w:val="auto"/>
        </w:rPr>
      </w:pPr>
      <w:bookmarkStart w:id="148" w:name="_Ref126923384"/>
      <w:r>
        <w:rPr>
          <w:color w:val="auto"/>
        </w:rPr>
        <w:t>表</w:t>
      </w:r>
      <w:bookmarkEnd w:id="148"/>
      <w:r>
        <w:rPr>
          <w:color w:val="auto"/>
        </w:rPr>
        <w:t xml:space="preserve">3.3-6  </w:t>
      </w:r>
      <w:r>
        <w:rPr>
          <w:color w:val="auto"/>
        </w:rPr>
        <w:t>贮存库房贮存能力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980"/>
        <w:gridCol w:w="984"/>
        <w:gridCol w:w="967"/>
        <w:gridCol w:w="3395"/>
      </w:tblGrid>
      <w:tr w:rsidR="002E474C" w14:paraId="0CD9FD3E" w14:textId="77777777">
        <w:trPr>
          <w:trHeight w:val="340"/>
          <w:jc w:val="center"/>
        </w:trPr>
        <w:tc>
          <w:tcPr>
            <w:tcW w:w="1777" w:type="pct"/>
            <w:gridSpan w:val="2"/>
            <w:vAlign w:val="center"/>
          </w:tcPr>
          <w:p w14:paraId="52918683" w14:textId="77777777" w:rsidR="002E474C" w:rsidRDefault="00000000">
            <w:pPr>
              <w:pStyle w:val="A-"/>
            </w:pPr>
            <w:r>
              <w:t>库房名称</w:t>
            </w:r>
          </w:p>
        </w:tc>
        <w:tc>
          <w:tcPr>
            <w:tcW w:w="593" w:type="pct"/>
            <w:vAlign w:val="center"/>
          </w:tcPr>
          <w:p w14:paraId="33E23C16" w14:textId="77777777" w:rsidR="002E474C" w:rsidRDefault="00000000">
            <w:pPr>
              <w:pStyle w:val="A-"/>
              <w:ind w:leftChars="-25" w:left="-53" w:rightChars="-25" w:right="-53"/>
            </w:pPr>
            <w:r>
              <w:t>贮存面积（</w:t>
            </w:r>
            <w:r>
              <w:t>m</w:t>
            </w:r>
            <w:r>
              <w:rPr>
                <w:vertAlign w:val="superscript"/>
              </w:rPr>
              <w:t>2</w:t>
            </w:r>
            <w:r>
              <w:t>）</w:t>
            </w:r>
          </w:p>
        </w:tc>
        <w:tc>
          <w:tcPr>
            <w:tcW w:w="583" w:type="pct"/>
            <w:vAlign w:val="center"/>
          </w:tcPr>
          <w:p w14:paraId="0927F26F" w14:textId="77777777" w:rsidR="002E474C" w:rsidRDefault="00000000">
            <w:pPr>
              <w:pStyle w:val="A-"/>
              <w:ind w:leftChars="-25" w:left="-53" w:rightChars="-25" w:right="-53"/>
            </w:pPr>
            <w:r>
              <w:t>储存规模（</w:t>
            </w:r>
            <w:r>
              <w:t>t</w:t>
            </w:r>
            <w:r>
              <w:t>）</w:t>
            </w:r>
          </w:p>
        </w:tc>
        <w:tc>
          <w:tcPr>
            <w:tcW w:w="2045" w:type="pct"/>
            <w:vAlign w:val="center"/>
          </w:tcPr>
          <w:p w14:paraId="5C8C4904" w14:textId="77777777" w:rsidR="002E474C" w:rsidRDefault="00000000">
            <w:pPr>
              <w:pStyle w:val="A-"/>
            </w:pPr>
            <w:r>
              <w:t>废物种类</w:t>
            </w:r>
          </w:p>
        </w:tc>
      </w:tr>
      <w:tr w:rsidR="002E474C" w14:paraId="3493E5E4" w14:textId="77777777">
        <w:trPr>
          <w:trHeight w:val="340"/>
          <w:jc w:val="center"/>
        </w:trPr>
        <w:tc>
          <w:tcPr>
            <w:tcW w:w="584" w:type="pct"/>
            <w:vMerge w:val="restart"/>
            <w:vAlign w:val="center"/>
          </w:tcPr>
          <w:p w14:paraId="21D4DE62" w14:textId="77777777" w:rsidR="002E474C" w:rsidRDefault="00000000">
            <w:pPr>
              <w:pStyle w:val="A-"/>
            </w:pPr>
            <w:r>
              <w:t>危废</w:t>
            </w:r>
          </w:p>
          <w:p w14:paraId="7E642B8A" w14:textId="77777777" w:rsidR="002E474C" w:rsidRDefault="00000000">
            <w:pPr>
              <w:pStyle w:val="A-"/>
            </w:pPr>
            <w:r>
              <w:t>贮存库</w:t>
            </w:r>
          </w:p>
        </w:tc>
        <w:tc>
          <w:tcPr>
            <w:tcW w:w="1193" w:type="pct"/>
            <w:vAlign w:val="center"/>
          </w:tcPr>
          <w:p w14:paraId="63E75A72" w14:textId="77777777" w:rsidR="002E474C" w:rsidRDefault="00000000">
            <w:pPr>
              <w:pStyle w:val="A-"/>
            </w:pPr>
            <w:r>
              <w:t>液态危废贮存区</w:t>
            </w:r>
          </w:p>
        </w:tc>
        <w:tc>
          <w:tcPr>
            <w:tcW w:w="593" w:type="pct"/>
            <w:vAlign w:val="center"/>
          </w:tcPr>
          <w:p w14:paraId="3D85B76F" w14:textId="77777777" w:rsidR="002E474C" w:rsidRDefault="00000000">
            <w:pPr>
              <w:pStyle w:val="A-"/>
            </w:pPr>
            <w:r>
              <w:t>40</w:t>
            </w:r>
          </w:p>
        </w:tc>
        <w:tc>
          <w:tcPr>
            <w:tcW w:w="583" w:type="pct"/>
            <w:vAlign w:val="center"/>
          </w:tcPr>
          <w:p w14:paraId="4DDAE601" w14:textId="77777777" w:rsidR="002E474C" w:rsidRDefault="00000000">
            <w:pPr>
              <w:pStyle w:val="A-"/>
            </w:pPr>
            <w:r>
              <w:t>80</w:t>
            </w:r>
          </w:p>
        </w:tc>
        <w:tc>
          <w:tcPr>
            <w:tcW w:w="2045" w:type="pct"/>
            <w:vAlign w:val="center"/>
          </w:tcPr>
          <w:p w14:paraId="61B6958B" w14:textId="77777777" w:rsidR="002E474C" w:rsidRDefault="00000000">
            <w:pPr>
              <w:pStyle w:val="A-"/>
            </w:pPr>
            <w:r>
              <w:t>液态废物</w:t>
            </w:r>
          </w:p>
        </w:tc>
      </w:tr>
      <w:tr w:rsidR="002E474C" w14:paraId="5DCC1636" w14:textId="77777777">
        <w:trPr>
          <w:trHeight w:val="340"/>
          <w:jc w:val="center"/>
        </w:trPr>
        <w:tc>
          <w:tcPr>
            <w:tcW w:w="584" w:type="pct"/>
            <w:vMerge/>
            <w:vAlign w:val="center"/>
          </w:tcPr>
          <w:p w14:paraId="28E720FD" w14:textId="77777777" w:rsidR="002E474C" w:rsidRDefault="002E474C">
            <w:pPr>
              <w:pStyle w:val="A-"/>
            </w:pPr>
          </w:p>
        </w:tc>
        <w:tc>
          <w:tcPr>
            <w:tcW w:w="1193" w:type="pct"/>
            <w:vAlign w:val="center"/>
          </w:tcPr>
          <w:p w14:paraId="45E9567D" w14:textId="77777777" w:rsidR="002E474C" w:rsidRDefault="00000000">
            <w:pPr>
              <w:pStyle w:val="A-"/>
            </w:pPr>
            <w:r>
              <w:t>固态危废贮存区</w:t>
            </w:r>
          </w:p>
        </w:tc>
        <w:tc>
          <w:tcPr>
            <w:tcW w:w="593" w:type="pct"/>
            <w:vAlign w:val="center"/>
          </w:tcPr>
          <w:p w14:paraId="23A7C551" w14:textId="77777777" w:rsidR="002E474C" w:rsidRDefault="00000000">
            <w:pPr>
              <w:pStyle w:val="A-"/>
            </w:pPr>
            <w:r>
              <w:t>170</w:t>
            </w:r>
          </w:p>
        </w:tc>
        <w:tc>
          <w:tcPr>
            <w:tcW w:w="583" w:type="pct"/>
            <w:vAlign w:val="center"/>
          </w:tcPr>
          <w:p w14:paraId="764967F9" w14:textId="77777777" w:rsidR="002E474C" w:rsidRDefault="00000000">
            <w:pPr>
              <w:pStyle w:val="A-"/>
            </w:pPr>
            <w:r>
              <w:t>340</w:t>
            </w:r>
          </w:p>
        </w:tc>
        <w:tc>
          <w:tcPr>
            <w:tcW w:w="2045" w:type="pct"/>
            <w:vAlign w:val="center"/>
          </w:tcPr>
          <w:p w14:paraId="7926BA75" w14:textId="77777777" w:rsidR="002E474C" w:rsidRDefault="00000000">
            <w:pPr>
              <w:pStyle w:val="A-"/>
            </w:pPr>
            <w:r>
              <w:t>预处理产物</w:t>
            </w:r>
          </w:p>
        </w:tc>
      </w:tr>
      <w:tr w:rsidR="002E474C" w14:paraId="3C9F8E0B" w14:textId="77777777">
        <w:trPr>
          <w:trHeight w:val="340"/>
          <w:jc w:val="center"/>
        </w:trPr>
        <w:tc>
          <w:tcPr>
            <w:tcW w:w="584" w:type="pct"/>
            <w:vMerge w:val="restart"/>
            <w:vAlign w:val="center"/>
          </w:tcPr>
          <w:p w14:paraId="797CEB42" w14:textId="77777777" w:rsidR="002E474C" w:rsidRDefault="00000000">
            <w:pPr>
              <w:pStyle w:val="A-"/>
              <w:ind w:leftChars="-25" w:left="-53" w:rightChars="-25" w:right="-53"/>
            </w:pPr>
            <w:r>
              <w:t>固态危废预处理车间</w:t>
            </w:r>
          </w:p>
        </w:tc>
        <w:tc>
          <w:tcPr>
            <w:tcW w:w="1193" w:type="pct"/>
            <w:vAlign w:val="center"/>
          </w:tcPr>
          <w:p w14:paraId="485A346B" w14:textId="77777777" w:rsidR="002E474C" w:rsidRDefault="00000000">
            <w:pPr>
              <w:pStyle w:val="A-"/>
            </w:pPr>
            <w:r>
              <w:t>固态危废贮存区</w:t>
            </w:r>
          </w:p>
        </w:tc>
        <w:tc>
          <w:tcPr>
            <w:tcW w:w="593" w:type="pct"/>
            <w:vAlign w:val="center"/>
          </w:tcPr>
          <w:p w14:paraId="4799C702" w14:textId="77777777" w:rsidR="002E474C" w:rsidRDefault="00000000">
            <w:pPr>
              <w:pStyle w:val="A-"/>
            </w:pPr>
            <w:r>
              <w:t>200</w:t>
            </w:r>
          </w:p>
        </w:tc>
        <w:tc>
          <w:tcPr>
            <w:tcW w:w="583" w:type="pct"/>
            <w:vAlign w:val="center"/>
          </w:tcPr>
          <w:p w14:paraId="71748545" w14:textId="77777777" w:rsidR="002E474C" w:rsidRDefault="00000000">
            <w:pPr>
              <w:pStyle w:val="A-"/>
            </w:pPr>
            <w:r>
              <w:t>400</w:t>
            </w:r>
          </w:p>
        </w:tc>
        <w:tc>
          <w:tcPr>
            <w:tcW w:w="2045" w:type="pct"/>
            <w:vAlign w:val="center"/>
          </w:tcPr>
          <w:p w14:paraId="1E299756" w14:textId="77777777" w:rsidR="002E474C" w:rsidRDefault="00000000">
            <w:pPr>
              <w:pStyle w:val="A-"/>
            </w:pPr>
            <w:r>
              <w:t>各类固态危废</w:t>
            </w:r>
          </w:p>
        </w:tc>
      </w:tr>
      <w:tr w:rsidR="002E474C" w14:paraId="15065D9A" w14:textId="77777777">
        <w:trPr>
          <w:trHeight w:val="340"/>
          <w:jc w:val="center"/>
        </w:trPr>
        <w:tc>
          <w:tcPr>
            <w:tcW w:w="584" w:type="pct"/>
            <w:vMerge/>
            <w:vAlign w:val="center"/>
          </w:tcPr>
          <w:p w14:paraId="501900A1" w14:textId="77777777" w:rsidR="002E474C" w:rsidRDefault="002E474C">
            <w:pPr>
              <w:pStyle w:val="A-"/>
            </w:pPr>
          </w:p>
        </w:tc>
        <w:tc>
          <w:tcPr>
            <w:tcW w:w="1193" w:type="pct"/>
            <w:vAlign w:val="center"/>
          </w:tcPr>
          <w:p w14:paraId="6A3A0903" w14:textId="77777777" w:rsidR="002E474C" w:rsidRDefault="00000000">
            <w:pPr>
              <w:pStyle w:val="A-"/>
            </w:pPr>
            <w:r>
              <w:t>预处理产物贮存区</w:t>
            </w:r>
          </w:p>
        </w:tc>
        <w:tc>
          <w:tcPr>
            <w:tcW w:w="593" w:type="pct"/>
            <w:vAlign w:val="center"/>
          </w:tcPr>
          <w:p w14:paraId="4F78A0D7" w14:textId="77777777" w:rsidR="002E474C" w:rsidRDefault="00000000">
            <w:pPr>
              <w:pStyle w:val="A-"/>
            </w:pPr>
            <w:r>
              <w:t>200</w:t>
            </w:r>
          </w:p>
        </w:tc>
        <w:tc>
          <w:tcPr>
            <w:tcW w:w="583" w:type="pct"/>
            <w:vAlign w:val="center"/>
          </w:tcPr>
          <w:p w14:paraId="61BF2F65" w14:textId="77777777" w:rsidR="002E474C" w:rsidRDefault="00000000">
            <w:pPr>
              <w:pStyle w:val="A-"/>
            </w:pPr>
            <w:r>
              <w:t>400</w:t>
            </w:r>
          </w:p>
        </w:tc>
        <w:tc>
          <w:tcPr>
            <w:tcW w:w="2045" w:type="pct"/>
            <w:vAlign w:val="center"/>
          </w:tcPr>
          <w:p w14:paraId="7E8A26FB" w14:textId="77777777" w:rsidR="002E474C" w:rsidRDefault="00000000">
            <w:pPr>
              <w:pStyle w:val="A-"/>
              <w:ind w:leftChars="-25" w:left="-53" w:rightChars="-25" w:right="-53"/>
            </w:pPr>
            <w:r>
              <w:t>预处理产物</w:t>
            </w:r>
          </w:p>
        </w:tc>
      </w:tr>
      <w:tr w:rsidR="002E474C" w14:paraId="709F1B66" w14:textId="77777777">
        <w:trPr>
          <w:trHeight w:val="340"/>
          <w:jc w:val="center"/>
        </w:trPr>
        <w:tc>
          <w:tcPr>
            <w:tcW w:w="584" w:type="pct"/>
            <w:vMerge/>
            <w:vAlign w:val="center"/>
          </w:tcPr>
          <w:p w14:paraId="30419E82" w14:textId="77777777" w:rsidR="002E474C" w:rsidRDefault="002E474C">
            <w:pPr>
              <w:pStyle w:val="A-"/>
            </w:pPr>
          </w:p>
        </w:tc>
        <w:tc>
          <w:tcPr>
            <w:tcW w:w="1193" w:type="pct"/>
            <w:vAlign w:val="center"/>
          </w:tcPr>
          <w:p w14:paraId="606AB897" w14:textId="77777777" w:rsidR="002E474C" w:rsidRDefault="00000000">
            <w:pPr>
              <w:pStyle w:val="A-"/>
              <w:ind w:leftChars="-25" w:left="-53" w:rightChars="-25" w:right="-53"/>
            </w:pPr>
            <w:r>
              <w:t>无机固体废物贮存区</w:t>
            </w:r>
          </w:p>
        </w:tc>
        <w:tc>
          <w:tcPr>
            <w:tcW w:w="593" w:type="pct"/>
            <w:vAlign w:val="center"/>
          </w:tcPr>
          <w:p w14:paraId="7938711D" w14:textId="77777777" w:rsidR="002E474C" w:rsidRDefault="00000000">
            <w:pPr>
              <w:pStyle w:val="A-"/>
            </w:pPr>
            <w:r>
              <w:t>540</w:t>
            </w:r>
          </w:p>
        </w:tc>
        <w:tc>
          <w:tcPr>
            <w:tcW w:w="583" w:type="pct"/>
            <w:vAlign w:val="center"/>
          </w:tcPr>
          <w:p w14:paraId="055853D5" w14:textId="77777777" w:rsidR="002E474C" w:rsidRDefault="00000000">
            <w:pPr>
              <w:pStyle w:val="A-"/>
            </w:pPr>
            <w:r>
              <w:t>1080</w:t>
            </w:r>
          </w:p>
        </w:tc>
        <w:tc>
          <w:tcPr>
            <w:tcW w:w="2045" w:type="pct"/>
            <w:vAlign w:val="center"/>
          </w:tcPr>
          <w:p w14:paraId="2894D43E" w14:textId="77777777" w:rsidR="002E474C" w:rsidRDefault="00000000">
            <w:pPr>
              <w:pStyle w:val="A-"/>
            </w:pPr>
            <w:r>
              <w:t>无机不挥发的物料等</w:t>
            </w:r>
          </w:p>
        </w:tc>
      </w:tr>
      <w:tr w:rsidR="002E474C" w14:paraId="6A1585F9" w14:textId="77777777">
        <w:trPr>
          <w:trHeight w:val="340"/>
          <w:jc w:val="center"/>
        </w:trPr>
        <w:tc>
          <w:tcPr>
            <w:tcW w:w="584" w:type="pct"/>
            <w:vAlign w:val="center"/>
          </w:tcPr>
          <w:p w14:paraId="22EAFFD5" w14:textId="77777777" w:rsidR="002E474C" w:rsidRDefault="00000000">
            <w:pPr>
              <w:pStyle w:val="A-"/>
            </w:pPr>
            <w:r>
              <w:t>清洗间</w:t>
            </w:r>
          </w:p>
        </w:tc>
        <w:tc>
          <w:tcPr>
            <w:tcW w:w="1193" w:type="pct"/>
            <w:vAlign w:val="center"/>
          </w:tcPr>
          <w:p w14:paraId="2C6557E3" w14:textId="77777777" w:rsidR="002E474C" w:rsidRDefault="00000000">
            <w:pPr>
              <w:pStyle w:val="A-"/>
            </w:pPr>
            <w:r>
              <w:t>包装桶清洗库</w:t>
            </w:r>
          </w:p>
        </w:tc>
        <w:tc>
          <w:tcPr>
            <w:tcW w:w="593" w:type="pct"/>
            <w:vAlign w:val="center"/>
          </w:tcPr>
          <w:p w14:paraId="46E95A35" w14:textId="77777777" w:rsidR="002E474C" w:rsidRDefault="00000000">
            <w:pPr>
              <w:pStyle w:val="A-"/>
            </w:pPr>
            <w:r>
              <w:t>76</w:t>
            </w:r>
          </w:p>
        </w:tc>
        <w:tc>
          <w:tcPr>
            <w:tcW w:w="583" w:type="pct"/>
            <w:vAlign w:val="center"/>
          </w:tcPr>
          <w:p w14:paraId="01368CAF" w14:textId="77777777" w:rsidR="002E474C" w:rsidRDefault="00000000">
            <w:pPr>
              <w:pStyle w:val="A-"/>
            </w:pPr>
            <w:r>
              <w:t>152</w:t>
            </w:r>
          </w:p>
        </w:tc>
        <w:tc>
          <w:tcPr>
            <w:tcW w:w="2045" w:type="pct"/>
            <w:vAlign w:val="center"/>
          </w:tcPr>
          <w:p w14:paraId="24BFB87E" w14:textId="77777777" w:rsidR="002E474C" w:rsidRDefault="00000000">
            <w:pPr>
              <w:pStyle w:val="A-"/>
            </w:pPr>
            <w:r>
              <w:t>清洗</w:t>
            </w:r>
            <w:r>
              <w:rPr>
                <w:rFonts w:hint="eastAsia"/>
              </w:rPr>
              <w:t>前</w:t>
            </w:r>
            <w:r>
              <w:t>后的包装物</w:t>
            </w:r>
            <w:r>
              <w:t xml:space="preserve"> </w:t>
            </w:r>
          </w:p>
        </w:tc>
      </w:tr>
      <w:tr w:rsidR="002E474C" w14:paraId="5C8A536B" w14:textId="77777777">
        <w:trPr>
          <w:trHeight w:val="340"/>
          <w:jc w:val="center"/>
        </w:trPr>
        <w:tc>
          <w:tcPr>
            <w:tcW w:w="1777" w:type="pct"/>
            <w:gridSpan w:val="2"/>
            <w:vAlign w:val="center"/>
          </w:tcPr>
          <w:p w14:paraId="56C1A2BF" w14:textId="77777777" w:rsidR="002E474C" w:rsidRDefault="00000000">
            <w:pPr>
              <w:pStyle w:val="A-"/>
            </w:pPr>
            <w:r>
              <w:t>合计</w:t>
            </w:r>
          </w:p>
        </w:tc>
        <w:tc>
          <w:tcPr>
            <w:tcW w:w="593" w:type="pct"/>
            <w:vAlign w:val="center"/>
          </w:tcPr>
          <w:p w14:paraId="5D8D5027" w14:textId="77777777" w:rsidR="002E474C" w:rsidRDefault="00000000">
            <w:pPr>
              <w:pStyle w:val="A-"/>
            </w:pPr>
            <w:r>
              <w:t>1156</w:t>
            </w:r>
          </w:p>
        </w:tc>
        <w:tc>
          <w:tcPr>
            <w:tcW w:w="583" w:type="pct"/>
            <w:vAlign w:val="center"/>
          </w:tcPr>
          <w:p w14:paraId="1148CF0C" w14:textId="77777777" w:rsidR="002E474C" w:rsidRDefault="00000000">
            <w:pPr>
              <w:pStyle w:val="A-"/>
              <w:rPr>
                <w:rFonts w:eastAsia="等线"/>
              </w:rPr>
            </w:pPr>
            <w:r>
              <w:t>2452</w:t>
            </w:r>
          </w:p>
        </w:tc>
        <w:tc>
          <w:tcPr>
            <w:tcW w:w="2045" w:type="pct"/>
            <w:vAlign w:val="center"/>
          </w:tcPr>
          <w:p w14:paraId="313BC1E6" w14:textId="77777777" w:rsidR="002E474C" w:rsidRDefault="00000000">
            <w:pPr>
              <w:pStyle w:val="A-"/>
            </w:pPr>
            <w:r>
              <w:t>——</w:t>
            </w:r>
          </w:p>
        </w:tc>
      </w:tr>
    </w:tbl>
    <w:p w14:paraId="41AF18EC" w14:textId="77777777" w:rsidR="002E474C" w:rsidRDefault="002E474C">
      <w:pPr>
        <w:pStyle w:val="A-z"/>
        <w:spacing w:line="240" w:lineRule="exact"/>
        <w:rPr>
          <w:color w:val="auto"/>
        </w:rPr>
      </w:pPr>
    </w:p>
    <w:p w14:paraId="755BE288" w14:textId="7F011F1E" w:rsidR="002E474C" w:rsidRDefault="00000000">
      <w:pPr>
        <w:pStyle w:val="A-z"/>
        <w:rPr>
          <w:color w:val="auto"/>
        </w:rPr>
      </w:pPr>
      <w:r>
        <w:rPr>
          <w:color w:val="auto"/>
        </w:rPr>
        <w:t>项目采用分散集中经营模式，危险废物日协同处置能力为</w:t>
      </w:r>
      <w:r>
        <w:rPr>
          <w:color w:val="auto"/>
        </w:rPr>
        <w:t>167t</w:t>
      </w:r>
      <w:r>
        <w:rPr>
          <w:color w:val="auto"/>
        </w:rPr>
        <w:t>，厂区内的危险废物暂存库规模</w:t>
      </w:r>
      <w:r>
        <w:rPr>
          <w:color w:val="auto"/>
        </w:rPr>
        <w:t>2452t</w:t>
      </w:r>
      <w:r>
        <w:rPr>
          <w:color w:val="auto"/>
        </w:rPr>
        <w:t>，是危险废物日协同处置能力的</w:t>
      </w:r>
      <w:r>
        <w:rPr>
          <w:color w:val="auto"/>
        </w:rPr>
        <w:t>14.7</w:t>
      </w:r>
      <w:r>
        <w:rPr>
          <w:color w:val="auto"/>
        </w:rPr>
        <w:t>倍，满足不小于危险废物日协同处置能力的</w:t>
      </w:r>
      <w:r>
        <w:rPr>
          <w:color w:val="auto"/>
        </w:rPr>
        <w:t>2</w:t>
      </w:r>
      <w:r>
        <w:rPr>
          <w:color w:val="auto"/>
        </w:rPr>
        <w:t>倍的要求。</w:t>
      </w:r>
    </w:p>
    <w:p w14:paraId="610E8293" w14:textId="77777777" w:rsidR="002E474C" w:rsidRDefault="00000000">
      <w:pPr>
        <w:pStyle w:val="31"/>
        <w:spacing w:before="120" w:after="120"/>
        <w:rPr>
          <w:color w:val="auto"/>
        </w:rPr>
      </w:pPr>
      <w:r>
        <w:rPr>
          <w:color w:val="auto"/>
        </w:rPr>
        <w:t>主要生产设备</w:t>
      </w:r>
    </w:p>
    <w:p w14:paraId="04B43552" w14:textId="77777777" w:rsidR="002E474C" w:rsidRDefault="00000000">
      <w:pPr>
        <w:pStyle w:val="A-z"/>
        <w:rPr>
          <w:color w:val="auto"/>
        </w:rPr>
      </w:pPr>
      <w:r>
        <w:rPr>
          <w:color w:val="auto"/>
        </w:rPr>
        <w:t>本项目主要设备见表</w:t>
      </w:r>
      <w:r>
        <w:rPr>
          <w:color w:val="auto"/>
        </w:rPr>
        <w:t>3.3-7</w:t>
      </w:r>
      <w:r>
        <w:rPr>
          <w:color w:val="auto"/>
        </w:rPr>
        <w:t>。</w:t>
      </w:r>
    </w:p>
    <w:p w14:paraId="106E3E31" w14:textId="77777777" w:rsidR="002E474C" w:rsidRDefault="00000000">
      <w:pPr>
        <w:pStyle w:val="A--"/>
        <w:rPr>
          <w:color w:val="auto"/>
        </w:rPr>
      </w:pPr>
      <w:bookmarkStart w:id="149" w:name="_Ref127185834"/>
      <w:r>
        <w:rPr>
          <w:color w:val="auto"/>
        </w:rPr>
        <w:t>表</w:t>
      </w:r>
      <w:bookmarkEnd w:id="149"/>
      <w:r>
        <w:rPr>
          <w:color w:val="auto"/>
        </w:rPr>
        <w:t xml:space="preserve">3.3-7  </w:t>
      </w:r>
      <w:r>
        <w:rPr>
          <w:color w:val="auto"/>
        </w:rPr>
        <w:t>本项目主要设备一览表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5"/>
        <w:gridCol w:w="2031"/>
        <w:gridCol w:w="2837"/>
        <w:gridCol w:w="717"/>
        <w:gridCol w:w="715"/>
      </w:tblGrid>
      <w:tr w:rsidR="002E474C" w14:paraId="766EE843" w14:textId="77777777">
        <w:trPr>
          <w:cantSplit/>
          <w:jc w:val="center"/>
        </w:trPr>
        <w:tc>
          <w:tcPr>
            <w:tcW w:w="434" w:type="pct"/>
            <w:vAlign w:val="center"/>
          </w:tcPr>
          <w:p w14:paraId="7054A880" w14:textId="77777777" w:rsidR="002E474C" w:rsidRDefault="00000000">
            <w:pPr>
              <w:pStyle w:val="A-"/>
            </w:pPr>
            <w:r>
              <w:t>序号</w:t>
            </w:r>
          </w:p>
        </w:tc>
        <w:tc>
          <w:tcPr>
            <w:tcW w:w="768" w:type="pct"/>
            <w:vAlign w:val="center"/>
          </w:tcPr>
          <w:p w14:paraId="7AD13A5F" w14:textId="77777777" w:rsidR="002E474C" w:rsidRDefault="00000000">
            <w:pPr>
              <w:pStyle w:val="A-"/>
            </w:pPr>
            <w:r>
              <w:t>生产工序</w:t>
            </w:r>
          </w:p>
        </w:tc>
        <w:tc>
          <w:tcPr>
            <w:tcW w:w="1223" w:type="pct"/>
            <w:vAlign w:val="center"/>
          </w:tcPr>
          <w:p w14:paraId="47B942BA" w14:textId="77777777" w:rsidR="002E474C" w:rsidRDefault="00000000">
            <w:pPr>
              <w:pStyle w:val="A-"/>
            </w:pPr>
            <w:r>
              <w:t>设备名称</w:t>
            </w:r>
          </w:p>
        </w:tc>
        <w:tc>
          <w:tcPr>
            <w:tcW w:w="1709" w:type="pct"/>
            <w:vAlign w:val="center"/>
          </w:tcPr>
          <w:p w14:paraId="2941A8EC" w14:textId="77777777" w:rsidR="002E474C" w:rsidRDefault="00000000">
            <w:pPr>
              <w:pStyle w:val="A-"/>
            </w:pPr>
            <w:r>
              <w:t>规格</w:t>
            </w:r>
          </w:p>
        </w:tc>
        <w:tc>
          <w:tcPr>
            <w:tcW w:w="432" w:type="pct"/>
            <w:vAlign w:val="center"/>
          </w:tcPr>
          <w:p w14:paraId="56FA26EC" w14:textId="77777777" w:rsidR="002E474C" w:rsidRDefault="00000000">
            <w:pPr>
              <w:pStyle w:val="A-"/>
            </w:pPr>
            <w:r>
              <w:t>单位</w:t>
            </w:r>
          </w:p>
        </w:tc>
        <w:tc>
          <w:tcPr>
            <w:tcW w:w="431" w:type="pct"/>
            <w:vAlign w:val="center"/>
          </w:tcPr>
          <w:p w14:paraId="55B4069F" w14:textId="77777777" w:rsidR="002E474C" w:rsidRDefault="00000000">
            <w:pPr>
              <w:pStyle w:val="A-"/>
            </w:pPr>
            <w:r>
              <w:t>数量</w:t>
            </w:r>
          </w:p>
        </w:tc>
      </w:tr>
      <w:tr w:rsidR="002E474C" w14:paraId="1D4132D7" w14:textId="77777777">
        <w:trPr>
          <w:cantSplit/>
          <w:jc w:val="center"/>
        </w:trPr>
        <w:tc>
          <w:tcPr>
            <w:tcW w:w="434" w:type="pct"/>
            <w:vAlign w:val="center"/>
          </w:tcPr>
          <w:p w14:paraId="17D13EC4" w14:textId="77777777" w:rsidR="002E474C" w:rsidRDefault="00000000">
            <w:pPr>
              <w:pStyle w:val="A-"/>
            </w:pPr>
            <w:r>
              <w:rPr>
                <w:rFonts w:hint="eastAsia"/>
              </w:rPr>
              <w:t>1</w:t>
            </w:r>
          </w:p>
        </w:tc>
        <w:tc>
          <w:tcPr>
            <w:tcW w:w="768" w:type="pct"/>
            <w:vMerge w:val="restart"/>
            <w:vAlign w:val="center"/>
          </w:tcPr>
          <w:p w14:paraId="51619262" w14:textId="77777777" w:rsidR="002E474C" w:rsidRDefault="00000000">
            <w:pPr>
              <w:pStyle w:val="A-"/>
            </w:pPr>
            <w:r>
              <w:t>固态危废</w:t>
            </w:r>
          </w:p>
          <w:p w14:paraId="2739A7BF" w14:textId="77777777" w:rsidR="002E474C" w:rsidRDefault="00000000">
            <w:pPr>
              <w:pStyle w:val="A-"/>
            </w:pPr>
            <w:r>
              <w:t>处置系统</w:t>
            </w:r>
          </w:p>
        </w:tc>
        <w:tc>
          <w:tcPr>
            <w:tcW w:w="1223" w:type="pct"/>
            <w:vMerge w:val="restart"/>
            <w:vAlign w:val="center"/>
          </w:tcPr>
          <w:p w14:paraId="69E524AC" w14:textId="77777777" w:rsidR="002E474C" w:rsidRDefault="00000000">
            <w:pPr>
              <w:pStyle w:val="A-"/>
            </w:pPr>
            <w:r>
              <w:t>提升机</w:t>
            </w:r>
          </w:p>
        </w:tc>
        <w:tc>
          <w:tcPr>
            <w:tcW w:w="1709" w:type="pct"/>
            <w:vMerge w:val="restart"/>
            <w:vAlign w:val="center"/>
          </w:tcPr>
          <w:p w14:paraId="16BCD5F8" w14:textId="77777777" w:rsidR="002E474C" w:rsidRDefault="00000000">
            <w:pPr>
              <w:pStyle w:val="A-"/>
            </w:pPr>
            <w:r>
              <w:t>0-4t/h</w:t>
            </w:r>
            <w:r>
              <w:t>，提升速度</w:t>
            </w:r>
            <w:r>
              <w:t>0-28</w:t>
            </w:r>
            <w:r>
              <w:rPr>
                <w:rFonts w:hint="eastAsia"/>
              </w:rPr>
              <w:t>m</w:t>
            </w:r>
            <w:r>
              <w:t>/</w:t>
            </w:r>
            <w:r>
              <w:rPr>
                <w:rFonts w:hint="eastAsia"/>
              </w:rPr>
              <w:t>min</w:t>
            </w:r>
            <w:r>
              <w:t>钟，含称重计量；</w:t>
            </w:r>
          </w:p>
        </w:tc>
        <w:tc>
          <w:tcPr>
            <w:tcW w:w="432" w:type="pct"/>
            <w:vMerge w:val="restart"/>
            <w:vAlign w:val="center"/>
          </w:tcPr>
          <w:p w14:paraId="65694BC1" w14:textId="77777777" w:rsidR="002E474C" w:rsidRDefault="002E474C">
            <w:pPr>
              <w:pStyle w:val="A-"/>
            </w:pPr>
          </w:p>
          <w:p w14:paraId="138C21F4" w14:textId="77777777" w:rsidR="002E474C" w:rsidRDefault="00000000">
            <w:pPr>
              <w:pStyle w:val="A-"/>
            </w:pPr>
            <w:r>
              <w:t>台</w:t>
            </w:r>
          </w:p>
        </w:tc>
        <w:tc>
          <w:tcPr>
            <w:tcW w:w="431" w:type="pct"/>
            <w:vMerge w:val="restart"/>
            <w:vAlign w:val="center"/>
          </w:tcPr>
          <w:p w14:paraId="01FF4444" w14:textId="77777777" w:rsidR="002E474C" w:rsidRDefault="002E474C">
            <w:pPr>
              <w:pStyle w:val="A-"/>
            </w:pPr>
          </w:p>
          <w:p w14:paraId="38EAA824" w14:textId="77777777" w:rsidR="002E474C" w:rsidRDefault="00000000">
            <w:pPr>
              <w:pStyle w:val="A-"/>
            </w:pPr>
            <w:r>
              <w:t>1</w:t>
            </w:r>
          </w:p>
        </w:tc>
      </w:tr>
      <w:tr w:rsidR="002E474C" w14:paraId="0326EBB7" w14:textId="77777777">
        <w:trPr>
          <w:cantSplit/>
          <w:trHeight w:val="281"/>
          <w:jc w:val="center"/>
        </w:trPr>
        <w:tc>
          <w:tcPr>
            <w:tcW w:w="434" w:type="pct"/>
            <w:vAlign w:val="center"/>
          </w:tcPr>
          <w:p w14:paraId="694830B4" w14:textId="77777777" w:rsidR="002E474C" w:rsidRDefault="00000000">
            <w:pPr>
              <w:pStyle w:val="A-"/>
            </w:pPr>
            <w:r>
              <w:rPr>
                <w:rFonts w:hint="eastAsia"/>
              </w:rPr>
              <w:t>2</w:t>
            </w:r>
          </w:p>
        </w:tc>
        <w:tc>
          <w:tcPr>
            <w:tcW w:w="768" w:type="pct"/>
            <w:vMerge/>
            <w:vAlign w:val="center"/>
          </w:tcPr>
          <w:p w14:paraId="118157FD" w14:textId="77777777" w:rsidR="002E474C" w:rsidRDefault="002E474C">
            <w:pPr>
              <w:pStyle w:val="A-"/>
            </w:pPr>
          </w:p>
        </w:tc>
        <w:tc>
          <w:tcPr>
            <w:tcW w:w="1223" w:type="pct"/>
            <w:vMerge/>
            <w:vAlign w:val="center"/>
          </w:tcPr>
          <w:p w14:paraId="2A193C49" w14:textId="77777777" w:rsidR="002E474C" w:rsidRDefault="002E474C">
            <w:pPr>
              <w:pStyle w:val="A-"/>
            </w:pPr>
          </w:p>
        </w:tc>
        <w:tc>
          <w:tcPr>
            <w:tcW w:w="1709" w:type="pct"/>
            <w:vMerge/>
            <w:vAlign w:val="center"/>
          </w:tcPr>
          <w:p w14:paraId="252A78EA" w14:textId="77777777" w:rsidR="002E474C" w:rsidRDefault="002E474C">
            <w:pPr>
              <w:pStyle w:val="A-"/>
            </w:pPr>
          </w:p>
        </w:tc>
        <w:tc>
          <w:tcPr>
            <w:tcW w:w="432" w:type="pct"/>
            <w:vMerge/>
            <w:vAlign w:val="center"/>
          </w:tcPr>
          <w:p w14:paraId="696D6BEB" w14:textId="77777777" w:rsidR="002E474C" w:rsidRDefault="002E474C">
            <w:pPr>
              <w:pStyle w:val="A-"/>
            </w:pPr>
          </w:p>
        </w:tc>
        <w:tc>
          <w:tcPr>
            <w:tcW w:w="431" w:type="pct"/>
            <w:vMerge/>
            <w:vAlign w:val="center"/>
          </w:tcPr>
          <w:p w14:paraId="25D1F814" w14:textId="77777777" w:rsidR="002E474C" w:rsidRDefault="002E474C">
            <w:pPr>
              <w:pStyle w:val="A-"/>
            </w:pPr>
          </w:p>
        </w:tc>
      </w:tr>
      <w:tr w:rsidR="002E474C" w14:paraId="08BE84B9" w14:textId="77777777">
        <w:trPr>
          <w:cantSplit/>
          <w:trHeight w:val="90"/>
          <w:jc w:val="center"/>
        </w:trPr>
        <w:tc>
          <w:tcPr>
            <w:tcW w:w="434" w:type="pct"/>
            <w:vAlign w:val="center"/>
          </w:tcPr>
          <w:p w14:paraId="072D73CC" w14:textId="77777777" w:rsidR="002E474C" w:rsidRDefault="00000000">
            <w:pPr>
              <w:pStyle w:val="A-"/>
            </w:pPr>
            <w:r>
              <w:rPr>
                <w:rFonts w:hint="eastAsia"/>
              </w:rPr>
              <w:t>3</w:t>
            </w:r>
          </w:p>
        </w:tc>
        <w:tc>
          <w:tcPr>
            <w:tcW w:w="768" w:type="pct"/>
            <w:vMerge/>
            <w:vAlign w:val="center"/>
          </w:tcPr>
          <w:p w14:paraId="75C001F2" w14:textId="77777777" w:rsidR="002E474C" w:rsidRDefault="002E474C">
            <w:pPr>
              <w:pStyle w:val="A-"/>
            </w:pPr>
          </w:p>
        </w:tc>
        <w:tc>
          <w:tcPr>
            <w:tcW w:w="1223" w:type="pct"/>
            <w:vAlign w:val="center"/>
          </w:tcPr>
          <w:p w14:paraId="62179185" w14:textId="77777777" w:rsidR="002E474C" w:rsidRDefault="00000000">
            <w:pPr>
              <w:pStyle w:val="A-"/>
            </w:pPr>
            <w:r>
              <w:t>链板机</w:t>
            </w:r>
          </w:p>
        </w:tc>
        <w:tc>
          <w:tcPr>
            <w:tcW w:w="1709" w:type="pct"/>
            <w:vAlign w:val="center"/>
          </w:tcPr>
          <w:p w14:paraId="3D368C89" w14:textId="77777777" w:rsidR="002E474C" w:rsidRDefault="00000000">
            <w:pPr>
              <w:pStyle w:val="A-"/>
            </w:pPr>
            <w:r>
              <w:t>B2000mm×5000mm</w:t>
            </w:r>
          </w:p>
        </w:tc>
        <w:tc>
          <w:tcPr>
            <w:tcW w:w="432" w:type="pct"/>
            <w:vAlign w:val="center"/>
          </w:tcPr>
          <w:p w14:paraId="70BA28DA" w14:textId="77777777" w:rsidR="002E474C" w:rsidRDefault="00000000">
            <w:pPr>
              <w:pStyle w:val="A-"/>
            </w:pPr>
            <w:r>
              <w:t>台</w:t>
            </w:r>
          </w:p>
        </w:tc>
        <w:tc>
          <w:tcPr>
            <w:tcW w:w="431" w:type="pct"/>
            <w:vAlign w:val="center"/>
          </w:tcPr>
          <w:p w14:paraId="30BE1F2B" w14:textId="77777777" w:rsidR="002E474C" w:rsidRDefault="00000000">
            <w:pPr>
              <w:pStyle w:val="A-"/>
            </w:pPr>
            <w:r>
              <w:t>1</w:t>
            </w:r>
          </w:p>
        </w:tc>
      </w:tr>
      <w:tr w:rsidR="002E474C" w14:paraId="3533C987" w14:textId="77777777">
        <w:trPr>
          <w:cantSplit/>
          <w:trHeight w:val="90"/>
          <w:jc w:val="center"/>
        </w:trPr>
        <w:tc>
          <w:tcPr>
            <w:tcW w:w="434" w:type="pct"/>
            <w:vAlign w:val="center"/>
          </w:tcPr>
          <w:p w14:paraId="0FF6675B" w14:textId="77777777" w:rsidR="002E474C" w:rsidRDefault="00000000">
            <w:pPr>
              <w:pStyle w:val="A-"/>
            </w:pPr>
            <w:r>
              <w:rPr>
                <w:rFonts w:hint="eastAsia"/>
              </w:rPr>
              <w:t>4</w:t>
            </w:r>
          </w:p>
        </w:tc>
        <w:tc>
          <w:tcPr>
            <w:tcW w:w="768" w:type="pct"/>
            <w:vMerge/>
            <w:vAlign w:val="center"/>
          </w:tcPr>
          <w:p w14:paraId="7AE7BFBC" w14:textId="77777777" w:rsidR="002E474C" w:rsidRDefault="002E474C">
            <w:pPr>
              <w:pStyle w:val="A-"/>
            </w:pPr>
          </w:p>
        </w:tc>
        <w:tc>
          <w:tcPr>
            <w:tcW w:w="1223" w:type="pct"/>
            <w:vAlign w:val="center"/>
          </w:tcPr>
          <w:p w14:paraId="27B3798C" w14:textId="77777777" w:rsidR="002E474C" w:rsidRDefault="00000000">
            <w:pPr>
              <w:pStyle w:val="A-"/>
            </w:pPr>
            <w:r>
              <w:t>空气炮</w:t>
            </w:r>
          </w:p>
        </w:tc>
        <w:tc>
          <w:tcPr>
            <w:tcW w:w="1709" w:type="pct"/>
            <w:vAlign w:val="center"/>
          </w:tcPr>
          <w:p w14:paraId="2B4AB937" w14:textId="77777777" w:rsidR="002E474C" w:rsidRDefault="00000000">
            <w:pPr>
              <w:pStyle w:val="A-"/>
            </w:pPr>
            <w:r>
              <w:t>容积</w:t>
            </w:r>
            <w:r>
              <w:t>75L</w:t>
            </w:r>
            <w:r>
              <w:t>；</w:t>
            </w:r>
            <w:r>
              <w:t>0.4-0.8M</w:t>
            </w:r>
            <w:r>
              <w:rPr>
                <w:rFonts w:hint="eastAsia"/>
              </w:rPr>
              <w:t>P</w:t>
            </w:r>
            <w:r>
              <w:t>a</w:t>
            </w:r>
            <w:r>
              <w:t>；</w:t>
            </w:r>
          </w:p>
          <w:p w14:paraId="6CB04626" w14:textId="77777777" w:rsidR="002E474C" w:rsidRDefault="00000000">
            <w:pPr>
              <w:pStyle w:val="A-"/>
            </w:pPr>
            <w:r>
              <w:t>≤900℃</w:t>
            </w:r>
          </w:p>
        </w:tc>
        <w:tc>
          <w:tcPr>
            <w:tcW w:w="432" w:type="pct"/>
            <w:vAlign w:val="center"/>
          </w:tcPr>
          <w:p w14:paraId="41801179" w14:textId="77777777" w:rsidR="002E474C" w:rsidRDefault="00000000">
            <w:pPr>
              <w:pStyle w:val="A-"/>
            </w:pPr>
            <w:r>
              <w:t>个</w:t>
            </w:r>
          </w:p>
        </w:tc>
        <w:tc>
          <w:tcPr>
            <w:tcW w:w="431" w:type="pct"/>
            <w:vAlign w:val="center"/>
          </w:tcPr>
          <w:p w14:paraId="692B178F" w14:textId="77777777" w:rsidR="002E474C" w:rsidRDefault="00000000">
            <w:pPr>
              <w:pStyle w:val="A-"/>
            </w:pPr>
            <w:r>
              <w:t>1</w:t>
            </w:r>
          </w:p>
        </w:tc>
      </w:tr>
      <w:tr w:rsidR="002E474C" w14:paraId="7C111738" w14:textId="77777777">
        <w:trPr>
          <w:cantSplit/>
          <w:trHeight w:val="90"/>
          <w:jc w:val="center"/>
        </w:trPr>
        <w:tc>
          <w:tcPr>
            <w:tcW w:w="434" w:type="pct"/>
            <w:vAlign w:val="center"/>
          </w:tcPr>
          <w:p w14:paraId="1EC70E32" w14:textId="77777777" w:rsidR="002E474C" w:rsidRDefault="00000000">
            <w:pPr>
              <w:pStyle w:val="A-"/>
            </w:pPr>
            <w:r>
              <w:rPr>
                <w:rFonts w:hint="eastAsia"/>
              </w:rPr>
              <w:t>5</w:t>
            </w:r>
          </w:p>
        </w:tc>
        <w:tc>
          <w:tcPr>
            <w:tcW w:w="768" w:type="pct"/>
            <w:vMerge/>
            <w:vAlign w:val="center"/>
          </w:tcPr>
          <w:p w14:paraId="557858F2" w14:textId="77777777" w:rsidR="002E474C" w:rsidRDefault="002E474C">
            <w:pPr>
              <w:pStyle w:val="A-"/>
            </w:pPr>
          </w:p>
        </w:tc>
        <w:tc>
          <w:tcPr>
            <w:tcW w:w="1223" w:type="pct"/>
            <w:vAlign w:val="center"/>
          </w:tcPr>
          <w:p w14:paraId="04F93261" w14:textId="77777777" w:rsidR="002E474C" w:rsidRDefault="00000000">
            <w:pPr>
              <w:pStyle w:val="A-"/>
            </w:pPr>
            <w:r>
              <w:t>出料闸板阀</w:t>
            </w:r>
          </w:p>
        </w:tc>
        <w:tc>
          <w:tcPr>
            <w:tcW w:w="1709" w:type="pct"/>
            <w:vAlign w:val="center"/>
          </w:tcPr>
          <w:p w14:paraId="670E6D61" w14:textId="77777777" w:rsidR="002E474C" w:rsidRDefault="00000000">
            <w:pPr>
              <w:pStyle w:val="A-"/>
            </w:pPr>
            <w:r>
              <w:t>900×900mm</w:t>
            </w:r>
          </w:p>
        </w:tc>
        <w:tc>
          <w:tcPr>
            <w:tcW w:w="432" w:type="pct"/>
            <w:vAlign w:val="center"/>
          </w:tcPr>
          <w:p w14:paraId="2F8720A5" w14:textId="77777777" w:rsidR="002E474C" w:rsidRDefault="00000000">
            <w:pPr>
              <w:pStyle w:val="A-"/>
            </w:pPr>
            <w:r>
              <w:t>台</w:t>
            </w:r>
          </w:p>
        </w:tc>
        <w:tc>
          <w:tcPr>
            <w:tcW w:w="431" w:type="pct"/>
            <w:vAlign w:val="center"/>
          </w:tcPr>
          <w:p w14:paraId="6DFC1DD3" w14:textId="77777777" w:rsidR="002E474C" w:rsidRDefault="00000000">
            <w:pPr>
              <w:pStyle w:val="A-"/>
            </w:pPr>
            <w:r>
              <w:t>2</w:t>
            </w:r>
          </w:p>
        </w:tc>
      </w:tr>
      <w:tr w:rsidR="002E474C" w14:paraId="50BA96E5" w14:textId="77777777">
        <w:trPr>
          <w:cantSplit/>
          <w:trHeight w:val="90"/>
          <w:jc w:val="center"/>
        </w:trPr>
        <w:tc>
          <w:tcPr>
            <w:tcW w:w="434" w:type="pct"/>
            <w:vAlign w:val="center"/>
          </w:tcPr>
          <w:p w14:paraId="36B4AB04" w14:textId="77777777" w:rsidR="002E474C" w:rsidRDefault="00000000">
            <w:pPr>
              <w:pStyle w:val="A-"/>
            </w:pPr>
            <w:r>
              <w:rPr>
                <w:rFonts w:hint="eastAsia"/>
              </w:rPr>
              <w:t>6</w:t>
            </w:r>
          </w:p>
        </w:tc>
        <w:tc>
          <w:tcPr>
            <w:tcW w:w="768" w:type="pct"/>
            <w:vMerge w:val="restart"/>
            <w:vAlign w:val="center"/>
          </w:tcPr>
          <w:p w14:paraId="4C11930B" w14:textId="77777777" w:rsidR="002E474C" w:rsidRDefault="00000000">
            <w:pPr>
              <w:pStyle w:val="A-"/>
            </w:pPr>
            <w:r>
              <w:t>无机类废物</w:t>
            </w:r>
          </w:p>
          <w:p w14:paraId="5942D7A0" w14:textId="77777777" w:rsidR="002E474C" w:rsidRDefault="00000000">
            <w:pPr>
              <w:pStyle w:val="A-"/>
            </w:pPr>
            <w:r>
              <w:t>处置系统</w:t>
            </w:r>
          </w:p>
        </w:tc>
        <w:tc>
          <w:tcPr>
            <w:tcW w:w="1223" w:type="pct"/>
            <w:shd w:val="clear" w:color="auto" w:fill="auto"/>
            <w:vAlign w:val="center"/>
          </w:tcPr>
          <w:p w14:paraId="7456EBAA" w14:textId="77777777" w:rsidR="002E474C" w:rsidRDefault="00000000">
            <w:pPr>
              <w:pStyle w:val="A-"/>
            </w:pPr>
            <w:r>
              <w:t>卸料坑</w:t>
            </w:r>
          </w:p>
        </w:tc>
        <w:tc>
          <w:tcPr>
            <w:tcW w:w="1709" w:type="pct"/>
            <w:shd w:val="clear" w:color="auto" w:fill="auto"/>
            <w:vAlign w:val="center"/>
          </w:tcPr>
          <w:p w14:paraId="459BD118" w14:textId="77777777" w:rsidR="002E474C" w:rsidRDefault="00000000">
            <w:pPr>
              <w:pStyle w:val="A-"/>
            </w:pPr>
            <w:r>
              <w:t>24m</w:t>
            </w:r>
            <w:r>
              <w:rPr>
                <w:vertAlign w:val="superscript"/>
              </w:rPr>
              <w:t>3</w:t>
            </w:r>
          </w:p>
        </w:tc>
        <w:tc>
          <w:tcPr>
            <w:tcW w:w="432" w:type="pct"/>
            <w:shd w:val="clear" w:color="auto" w:fill="auto"/>
            <w:vAlign w:val="center"/>
          </w:tcPr>
          <w:p w14:paraId="05B154C6" w14:textId="77777777" w:rsidR="002E474C" w:rsidRDefault="00000000">
            <w:pPr>
              <w:pStyle w:val="A-"/>
            </w:pPr>
            <w:r>
              <w:t>台</w:t>
            </w:r>
          </w:p>
        </w:tc>
        <w:tc>
          <w:tcPr>
            <w:tcW w:w="431" w:type="pct"/>
            <w:shd w:val="clear" w:color="auto" w:fill="auto"/>
            <w:vAlign w:val="center"/>
          </w:tcPr>
          <w:p w14:paraId="7F0DD53E" w14:textId="77777777" w:rsidR="002E474C" w:rsidRDefault="00000000">
            <w:pPr>
              <w:pStyle w:val="A-"/>
            </w:pPr>
            <w:r>
              <w:t>1</w:t>
            </w:r>
          </w:p>
        </w:tc>
      </w:tr>
      <w:tr w:rsidR="002E474C" w14:paraId="334DA132" w14:textId="77777777">
        <w:trPr>
          <w:cantSplit/>
          <w:jc w:val="center"/>
        </w:trPr>
        <w:tc>
          <w:tcPr>
            <w:tcW w:w="434" w:type="pct"/>
            <w:vAlign w:val="center"/>
          </w:tcPr>
          <w:p w14:paraId="213BB446" w14:textId="77777777" w:rsidR="002E474C" w:rsidRDefault="00000000">
            <w:pPr>
              <w:pStyle w:val="A-"/>
            </w:pPr>
            <w:r>
              <w:rPr>
                <w:rFonts w:hint="eastAsia"/>
              </w:rPr>
              <w:t>7</w:t>
            </w:r>
          </w:p>
        </w:tc>
        <w:tc>
          <w:tcPr>
            <w:tcW w:w="768" w:type="pct"/>
            <w:vMerge/>
            <w:vAlign w:val="center"/>
          </w:tcPr>
          <w:p w14:paraId="0A7F962F" w14:textId="77777777" w:rsidR="002E474C" w:rsidRDefault="002E474C">
            <w:pPr>
              <w:pStyle w:val="A-"/>
            </w:pPr>
          </w:p>
        </w:tc>
        <w:tc>
          <w:tcPr>
            <w:tcW w:w="1223" w:type="pct"/>
            <w:shd w:val="clear" w:color="auto" w:fill="auto"/>
            <w:vAlign w:val="center"/>
          </w:tcPr>
          <w:p w14:paraId="5BB137C1" w14:textId="77777777" w:rsidR="002E474C" w:rsidRDefault="00000000">
            <w:pPr>
              <w:pStyle w:val="A-"/>
            </w:pPr>
            <w:r>
              <w:t>液压站</w:t>
            </w:r>
          </w:p>
        </w:tc>
        <w:tc>
          <w:tcPr>
            <w:tcW w:w="1709" w:type="pct"/>
            <w:shd w:val="clear" w:color="auto" w:fill="auto"/>
            <w:vAlign w:val="center"/>
          </w:tcPr>
          <w:p w14:paraId="38B4C72C" w14:textId="77777777" w:rsidR="002E474C" w:rsidRDefault="00000000">
            <w:pPr>
              <w:pStyle w:val="A-"/>
            </w:pPr>
            <w:r>
              <w:t>7.5+3kW</w:t>
            </w:r>
          </w:p>
        </w:tc>
        <w:tc>
          <w:tcPr>
            <w:tcW w:w="432" w:type="pct"/>
            <w:shd w:val="clear" w:color="auto" w:fill="auto"/>
            <w:vAlign w:val="center"/>
          </w:tcPr>
          <w:p w14:paraId="0A49B795" w14:textId="77777777" w:rsidR="002E474C" w:rsidRDefault="00000000">
            <w:pPr>
              <w:pStyle w:val="A-"/>
            </w:pPr>
            <w:r>
              <w:t>台</w:t>
            </w:r>
          </w:p>
        </w:tc>
        <w:tc>
          <w:tcPr>
            <w:tcW w:w="431" w:type="pct"/>
            <w:shd w:val="clear" w:color="auto" w:fill="auto"/>
            <w:vAlign w:val="center"/>
          </w:tcPr>
          <w:p w14:paraId="49148560" w14:textId="77777777" w:rsidR="002E474C" w:rsidRDefault="00000000">
            <w:pPr>
              <w:pStyle w:val="A-"/>
            </w:pPr>
            <w:r>
              <w:t>1</w:t>
            </w:r>
          </w:p>
        </w:tc>
      </w:tr>
      <w:tr w:rsidR="002E474C" w14:paraId="6473E66C" w14:textId="77777777">
        <w:trPr>
          <w:cantSplit/>
          <w:jc w:val="center"/>
        </w:trPr>
        <w:tc>
          <w:tcPr>
            <w:tcW w:w="434" w:type="pct"/>
            <w:vAlign w:val="center"/>
          </w:tcPr>
          <w:p w14:paraId="442DD587" w14:textId="77777777" w:rsidR="002E474C" w:rsidRDefault="00000000">
            <w:pPr>
              <w:pStyle w:val="A-"/>
            </w:pPr>
            <w:r>
              <w:rPr>
                <w:rFonts w:hint="eastAsia"/>
              </w:rPr>
              <w:t>8</w:t>
            </w:r>
          </w:p>
        </w:tc>
        <w:tc>
          <w:tcPr>
            <w:tcW w:w="768" w:type="pct"/>
            <w:vMerge/>
            <w:vAlign w:val="center"/>
          </w:tcPr>
          <w:p w14:paraId="2D657822" w14:textId="77777777" w:rsidR="002E474C" w:rsidRDefault="002E474C">
            <w:pPr>
              <w:pStyle w:val="A-"/>
            </w:pPr>
          </w:p>
        </w:tc>
        <w:tc>
          <w:tcPr>
            <w:tcW w:w="1223" w:type="pct"/>
            <w:shd w:val="clear" w:color="auto" w:fill="auto"/>
            <w:vAlign w:val="center"/>
          </w:tcPr>
          <w:p w14:paraId="28BE6CE5" w14:textId="77777777" w:rsidR="002E474C" w:rsidRDefault="00000000">
            <w:pPr>
              <w:pStyle w:val="A-"/>
            </w:pPr>
            <w:r>
              <w:t>连续式斗式提升机</w:t>
            </w:r>
          </w:p>
        </w:tc>
        <w:tc>
          <w:tcPr>
            <w:tcW w:w="1709" w:type="pct"/>
            <w:shd w:val="clear" w:color="auto" w:fill="auto"/>
            <w:vAlign w:val="center"/>
          </w:tcPr>
          <w:p w14:paraId="2C645E0A" w14:textId="77777777" w:rsidR="002E474C" w:rsidRDefault="00000000">
            <w:pPr>
              <w:pStyle w:val="A-"/>
            </w:pPr>
            <w:r>
              <w:t>提升能力：</w:t>
            </w:r>
            <w:r>
              <w:t>0-20t/h</w:t>
            </w:r>
          </w:p>
        </w:tc>
        <w:tc>
          <w:tcPr>
            <w:tcW w:w="432" w:type="pct"/>
            <w:shd w:val="clear" w:color="auto" w:fill="auto"/>
            <w:vAlign w:val="center"/>
          </w:tcPr>
          <w:p w14:paraId="21787F19" w14:textId="77777777" w:rsidR="002E474C" w:rsidRDefault="00000000">
            <w:pPr>
              <w:pStyle w:val="A-"/>
            </w:pPr>
            <w:r>
              <w:t>台</w:t>
            </w:r>
          </w:p>
        </w:tc>
        <w:tc>
          <w:tcPr>
            <w:tcW w:w="431" w:type="pct"/>
            <w:shd w:val="clear" w:color="auto" w:fill="auto"/>
            <w:vAlign w:val="center"/>
          </w:tcPr>
          <w:p w14:paraId="26B0B747" w14:textId="77777777" w:rsidR="002E474C" w:rsidRDefault="00000000">
            <w:pPr>
              <w:pStyle w:val="A-"/>
            </w:pPr>
            <w:r>
              <w:t>1</w:t>
            </w:r>
          </w:p>
        </w:tc>
      </w:tr>
      <w:tr w:rsidR="002E474C" w14:paraId="644C6C87" w14:textId="77777777">
        <w:trPr>
          <w:cantSplit/>
          <w:jc w:val="center"/>
        </w:trPr>
        <w:tc>
          <w:tcPr>
            <w:tcW w:w="434" w:type="pct"/>
            <w:vAlign w:val="center"/>
          </w:tcPr>
          <w:p w14:paraId="4D5BAFF3" w14:textId="77777777" w:rsidR="002E474C" w:rsidRDefault="00000000">
            <w:pPr>
              <w:pStyle w:val="A-"/>
            </w:pPr>
            <w:r>
              <w:rPr>
                <w:rFonts w:hint="eastAsia"/>
              </w:rPr>
              <w:t>9</w:t>
            </w:r>
          </w:p>
        </w:tc>
        <w:tc>
          <w:tcPr>
            <w:tcW w:w="768" w:type="pct"/>
            <w:vMerge/>
            <w:vAlign w:val="center"/>
          </w:tcPr>
          <w:p w14:paraId="5179DAA3" w14:textId="77777777" w:rsidR="002E474C" w:rsidRDefault="002E474C">
            <w:pPr>
              <w:pStyle w:val="A-"/>
            </w:pPr>
          </w:p>
        </w:tc>
        <w:tc>
          <w:tcPr>
            <w:tcW w:w="1223" w:type="pct"/>
            <w:shd w:val="clear" w:color="auto" w:fill="auto"/>
            <w:vAlign w:val="center"/>
          </w:tcPr>
          <w:p w14:paraId="4AC5857E" w14:textId="77777777" w:rsidR="002E474C" w:rsidRDefault="00000000">
            <w:pPr>
              <w:pStyle w:val="A-"/>
            </w:pPr>
            <w:r>
              <w:t>缓存料仓</w:t>
            </w:r>
          </w:p>
        </w:tc>
        <w:tc>
          <w:tcPr>
            <w:tcW w:w="1709" w:type="pct"/>
            <w:shd w:val="clear" w:color="auto" w:fill="auto"/>
            <w:vAlign w:val="center"/>
          </w:tcPr>
          <w:p w14:paraId="169F0A4B" w14:textId="77777777" w:rsidR="002E474C" w:rsidRDefault="00000000">
            <w:pPr>
              <w:pStyle w:val="A-"/>
            </w:pPr>
            <w:r>
              <w:t>190m</w:t>
            </w:r>
            <w:r>
              <w:rPr>
                <w:vertAlign w:val="superscript"/>
              </w:rPr>
              <w:t>3</w:t>
            </w:r>
          </w:p>
        </w:tc>
        <w:tc>
          <w:tcPr>
            <w:tcW w:w="432" w:type="pct"/>
            <w:shd w:val="clear" w:color="auto" w:fill="auto"/>
            <w:vAlign w:val="center"/>
          </w:tcPr>
          <w:p w14:paraId="6E5A98B7" w14:textId="77777777" w:rsidR="002E474C" w:rsidRDefault="00000000">
            <w:pPr>
              <w:pStyle w:val="A-"/>
            </w:pPr>
            <w:r>
              <w:t>个</w:t>
            </w:r>
          </w:p>
        </w:tc>
        <w:tc>
          <w:tcPr>
            <w:tcW w:w="431" w:type="pct"/>
            <w:shd w:val="clear" w:color="auto" w:fill="auto"/>
            <w:vAlign w:val="center"/>
          </w:tcPr>
          <w:p w14:paraId="24A18A89" w14:textId="77777777" w:rsidR="002E474C" w:rsidRDefault="00000000">
            <w:pPr>
              <w:pStyle w:val="A-"/>
            </w:pPr>
            <w:r>
              <w:t>1</w:t>
            </w:r>
          </w:p>
        </w:tc>
      </w:tr>
      <w:tr w:rsidR="002E474C" w14:paraId="2BF810E3" w14:textId="77777777">
        <w:trPr>
          <w:cantSplit/>
          <w:jc w:val="center"/>
        </w:trPr>
        <w:tc>
          <w:tcPr>
            <w:tcW w:w="434" w:type="pct"/>
            <w:vAlign w:val="center"/>
          </w:tcPr>
          <w:p w14:paraId="62EC712D" w14:textId="77777777" w:rsidR="002E474C" w:rsidRDefault="00000000">
            <w:pPr>
              <w:pStyle w:val="A-"/>
            </w:pPr>
            <w:r>
              <w:rPr>
                <w:rFonts w:hint="eastAsia"/>
              </w:rPr>
              <w:t>10</w:t>
            </w:r>
          </w:p>
        </w:tc>
        <w:tc>
          <w:tcPr>
            <w:tcW w:w="768" w:type="pct"/>
            <w:vMerge/>
            <w:vAlign w:val="center"/>
          </w:tcPr>
          <w:p w14:paraId="23BEA809" w14:textId="77777777" w:rsidR="002E474C" w:rsidRDefault="002E474C">
            <w:pPr>
              <w:pStyle w:val="A-"/>
            </w:pPr>
          </w:p>
        </w:tc>
        <w:tc>
          <w:tcPr>
            <w:tcW w:w="1223" w:type="pct"/>
            <w:shd w:val="clear" w:color="auto" w:fill="auto"/>
            <w:vAlign w:val="center"/>
          </w:tcPr>
          <w:p w14:paraId="64412F31" w14:textId="77777777" w:rsidR="002E474C" w:rsidRDefault="00000000">
            <w:pPr>
              <w:pStyle w:val="A-"/>
            </w:pPr>
            <w:r>
              <w:t>皮带秤</w:t>
            </w:r>
          </w:p>
        </w:tc>
        <w:tc>
          <w:tcPr>
            <w:tcW w:w="1709" w:type="pct"/>
            <w:shd w:val="clear" w:color="auto" w:fill="auto"/>
            <w:vAlign w:val="center"/>
          </w:tcPr>
          <w:p w14:paraId="33BC6768" w14:textId="77777777" w:rsidR="002E474C" w:rsidRDefault="00000000">
            <w:pPr>
              <w:pStyle w:val="A-"/>
            </w:pPr>
            <w:r>
              <w:t>输送能力：</w:t>
            </w:r>
            <w:r>
              <w:t>0</w:t>
            </w:r>
            <w:r>
              <w:t>～</w:t>
            </w:r>
            <w:r>
              <w:t>10t/h</w:t>
            </w:r>
          </w:p>
        </w:tc>
        <w:tc>
          <w:tcPr>
            <w:tcW w:w="432" w:type="pct"/>
            <w:shd w:val="clear" w:color="auto" w:fill="auto"/>
            <w:vAlign w:val="center"/>
          </w:tcPr>
          <w:p w14:paraId="5DD7DD3E" w14:textId="77777777" w:rsidR="002E474C" w:rsidRDefault="00000000">
            <w:pPr>
              <w:pStyle w:val="A-"/>
            </w:pPr>
            <w:r>
              <w:t>台</w:t>
            </w:r>
          </w:p>
        </w:tc>
        <w:tc>
          <w:tcPr>
            <w:tcW w:w="431" w:type="pct"/>
            <w:shd w:val="clear" w:color="auto" w:fill="auto"/>
            <w:vAlign w:val="center"/>
          </w:tcPr>
          <w:p w14:paraId="3D4F72E8" w14:textId="77777777" w:rsidR="002E474C" w:rsidRDefault="00000000">
            <w:pPr>
              <w:pStyle w:val="A-"/>
            </w:pPr>
            <w:r>
              <w:t>2</w:t>
            </w:r>
          </w:p>
        </w:tc>
      </w:tr>
      <w:tr w:rsidR="002E474C" w14:paraId="121E0E45" w14:textId="77777777">
        <w:trPr>
          <w:cantSplit/>
          <w:trHeight w:val="206"/>
          <w:jc w:val="center"/>
        </w:trPr>
        <w:tc>
          <w:tcPr>
            <w:tcW w:w="434" w:type="pct"/>
            <w:vAlign w:val="center"/>
          </w:tcPr>
          <w:p w14:paraId="66ACAFCD" w14:textId="77777777" w:rsidR="002E474C" w:rsidRDefault="00000000">
            <w:pPr>
              <w:pStyle w:val="A-"/>
            </w:pPr>
            <w:r>
              <w:rPr>
                <w:rFonts w:hint="eastAsia"/>
              </w:rPr>
              <w:t>11</w:t>
            </w:r>
          </w:p>
        </w:tc>
        <w:tc>
          <w:tcPr>
            <w:tcW w:w="768" w:type="pct"/>
            <w:vMerge w:val="restart"/>
            <w:vAlign w:val="center"/>
          </w:tcPr>
          <w:p w14:paraId="09E1356D" w14:textId="77777777" w:rsidR="002E474C" w:rsidRDefault="00000000">
            <w:pPr>
              <w:pStyle w:val="A-"/>
            </w:pPr>
            <w:r>
              <w:t>液态危废</w:t>
            </w:r>
          </w:p>
          <w:p w14:paraId="1FCB43EE" w14:textId="77777777" w:rsidR="002E474C" w:rsidRDefault="00000000">
            <w:pPr>
              <w:pStyle w:val="A-"/>
            </w:pPr>
            <w:r>
              <w:t>处置系统</w:t>
            </w:r>
          </w:p>
        </w:tc>
        <w:tc>
          <w:tcPr>
            <w:tcW w:w="1223" w:type="pct"/>
            <w:shd w:val="clear" w:color="auto" w:fill="auto"/>
            <w:vAlign w:val="center"/>
          </w:tcPr>
          <w:p w14:paraId="53F9D72E" w14:textId="77777777" w:rsidR="002E474C" w:rsidRDefault="00000000">
            <w:pPr>
              <w:pStyle w:val="A-"/>
            </w:pPr>
            <w:r>
              <w:t>废酸、废碱罐输送泵</w:t>
            </w:r>
          </w:p>
        </w:tc>
        <w:tc>
          <w:tcPr>
            <w:tcW w:w="1709" w:type="pct"/>
            <w:shd w:val="clear" w:color="auto" w:fill="auto"/>
            <w:vAlign w:val="center"/>
          </w:tcPr>
          <w:p w14:paraId="32C0D1C2" w14:textId="77777777" w:rsidR="002E474C" w:rsidRDefault="00000000">
            <w:pPr>
              <w:pStyle w:val="A-"/>
            </w:pPr>
            <w:r>
              <w:t>流量：</w:t>
            </w:r>
            <w:r>
              <w:t>3m</w:t>
            </w:r>
            <w:r>
              <w:rPr>
                <w:vertAlign w:val="superscript"/>
              </w:rPr>
              <w:t>3</w:t>
            </w:r>
            <w:r>
              <w:t>/h</w:t>
            </w:r>
          </w:p>
        </w:tc>
        <w:tc>
          <w:tcPr>
            <w:tcW w:w="432" w:type="pct"/>
            <w:shd w:val="clear" w:color="auto" w:fill="auto"/>
            <w:vAlign w:val="center"/>
          </w:tcPr>
          <w:p w14:paraId="2A3BD559" w14:textId="77777777" w:rsidR="002E474C" w:rsidRDefault="00000000">
            <w:pPr>
              <w:pStyle w:val="A-"/>
            </w:pPr>
            <w:r>
              <w:t>台</w:t>
            </w:r>
          </w:p>
        </w:tc>
        <w:tc>
          <w:tcPr>
            <w:tcW w:w="431" w:type="pct"/>
            <w:shd w:val="clear" w:color="auto" w:fill="auto"/>
            <w:vAlign w:val="center"/>
          </w:tcPr>
          <w:p w14:paraId="547470F3" w14:textId="77777777" w:rsidR="002E474C" w:rsidRDefault="00000000">
            <w:pPr>
              <w:pStyle w:val="A-"/>
            </w:pPr>
            <w:r>
              <w:t>1</w:t>
            </w:r>
          </w:p>
        </w:tc>
      </w:tr>
      <w:tr w:rsidR="002E474C" w14:paraId="4FEDE2BC" w14:textId="77777777">
        <w:trPr>
          <w:cantSplit/>
          <w:jc w:val="center"/>
        </w:trPr>
        <w:tc>
          <w:tcPr>
            <w:tcW w:w="434" w:type="pct"/>
            <w:vAlign w:val="center"/>
          </w:tcPr>
          <w:p w14:paraId="26162770" w14:textId="77777777" w:rsidR="002E474C" w:rsidRDefault="00000000">
            <w:pPr>
              <w:pStyle w:val="A-"/>
            </w:pPr>
            <w:r>
              <w:rPr>
                <w:rFonts w:hint="eastAsia"/>
              </w:rPr>
              <w:t>12</w:t>
            </w:r>
          </w:p>
        </w:tc>
        <w:tc>
          <w:tcPr>
            <w:tcW w:w="768" w:type="pct"/>
            <w:vMerge/>
            <w:vAlign w:val="center"/>
          </w:tcPr>
          <w:p w14:paraId="3AF3BA45" w14:textId="77777777" w:rsidR="002E474C" w:rsidRDefault="002E474C">
            <w:pPr>
              <w:pStyle w:val="A-"/>
            </w:pPr>
          </w:p>
        </w:tc>
        <w:tc>
          <w:tcPr>
            <w:tcW w:w="1223" w:type="pct"/>
            <w:shd w:val="clear" w:color="auto" w:fill="auto"/>
            <w:vAlign w:val="center"/>
          </w:tcPr>
          <w:p w14:paraId="333DC6F4" w14:textId="77777777" w:rsidR="002E474C" w:rsidRDefault="00000000">
            <w:pPr>
              <w:pStyle w:val="A-"/>
            </w:pPr>
            <w:r>
              <w:t>有机废液、重金属</w:t>
            </w:r>
          </w:p>
          <w:p w14:paraId="640648F8" w14:textId="77777777" w:rsidR="002E474C" w:rsidRDefault="00000000">
            <w:pPr>
              <w:pStyle w:val="A-"/>
            </w:pPr>
            <w:r>
              <w:t>废液罐输送泵</w:t>
            </w:r>
          </w:p>
        </w:tc>
        <w:tc>
          <w:tcPr>
            <w:tcW w:w="1709" w:type="pct"/>
            <w:shd w:val="clear" w:color="auto" w:fill="auto"/>
            <w:vAlign w:val="center"/>
          </w:tcPr>
          <w:p w14:paraId="602A3320" w14:textId="77777777" w:rsidR="002E474C" w:rsidRDefault="00000000">
            <w:pPr>
              <w:pStyle w:val="A-"/>
            </w:pPr>
            <w:r>
              <w:t>流量：</w:t>
            </w:r>
            <w:r>
              <w:t>3m</w:t>
            </w:r>
            <w:r>
              <w:rPr>
                <w:vertAlign w:val="superscript"/>
              </w:rPr>
              <w:t>3</w:t>
            </w:r>
            <w:r>
              <w:t>/h</w:t>
            </w:r>
          </w:p>
        </w:tc>
        <w:tc>
          <w:tcPr>
            <w:tcW w:w="432" w:type="pct"/>
            <w:shd w:val="clear" w:color="auto" w:fill="auto"/>
            <w:vAlign w:val="center"/>
          </w:tcPr>
          <w:p w14:paraId="4DF83515" w14:textId="77777777" w:rsidR="002E474C" w:rsidRDefault="00000000">
            <w:pPr>
              <w:pStyle w:val="A-"/>
            </w:pPr>
            <w:r>
              <w:t>台</w:t>
            </w:r>
          </w:p>
        </w:tc>
        <w:tc>
          <w:tcPr>
            <w:tcW w:w="431" w:type="pct"/>
            <w:shd w:val="clear" w:color="auto" w:fill="auto"/>
            <w:vAlign w:val="center"/>
          </w:tcPr>
          <w:p w14:paraId="46193408" w14:textId="77777777" w:rsidR="002E474C" w:rsidRDefault="00000000">
            <w:pPr>
              <w:pStyle w:val="A-"/>
            </w:pPr>
            <w:r>
              <w:t>1</w:t>
            </w:r>
          </w:p>
        </w:tc>
      </w:tr>
      <w:tr w:rsidR="002E474C" w14:paraId="050E3C32" w14:textId="77777777">
        <w:trPr>
          <w:cantSplit/>
          <w:trHeight w:val="90"/>
          <w:jc w:val="center"/>
        </w:trPr>
        <w:tc>
          <w:tcPr>
            <w:tcW w:w="434" w:type="pct"/>
            <w:vAlign w:val="center"/>
          </w:tcPr>
          <w:p w14:paraId="7420193D" w14:textId="77777777" w:rsidR="002E474C" w:rsidRDefault="00000000">
            <w:pPr>
              <w:pStyle w:val="A-"/>
            </w:pPr>
            <w:r>
              <w:rPr>
                <w:rFonts w:hint="eastAsia"/>
              </w:rPr>
              <w:t>13</w:t>
            </w:r>
          </w:p>
        </w:tc>
        <w:tc>
          <w:tcPr>
            <w:tcW w:w="768" w:type="pct"/>
            <w:vMerge/>
            <w:vAlign w:val="center"/>
          </w:tcPr>
          <w:p w14:paraId="0E753C4A" w14:textId="77777777" w:rsidR="002E474C" w:rsidRDefault="002E474C">
            <w:pPr>
              <w:pStyle w:val="A-"/>
            </w:pPr>
          </w:p>
        </w:tc>
        <w:tc>
          <w:tcPr>
            <w:tcW w:w="1223" w:type="pct"/>
            <w:shd w:val="clear" w:color="auto" w:fill="auto"/>
            <w:vAlign w:val="center"/>
          </w:tcPr>
          <w:p w14:paraId="42969190" w14:textId="77777777" w:rsidR="002E474C" w:rsidRDefault="00000000">
            <w:pPr>
              <w:pStyle w:val="A-"/>
            </w:pPr>
            <w:r>
              <w:t>喷枪</w:t>
            </w:r>
          </w:p>
        </w:tc>
        <w:tc>
          <w:tcPr>
            <w:tcW w:w="1709" w:type="pct"/>
            <w:shd w:val="clear" w:color="auto" w:fill="auto"/>
            <w:vAlign w:val="center"/>
          </w:tcPr>
          <w:p w14:paraId="255B215F" w14:textId="77777777" w:rsidR="002E474C" w:rsidRDefault="00000000">
            <w:pPr>
              <w:pStyle w:val="A-"/>
            </w:pPr>
            <w:r>
              <w:t>1.5m</w:t>
            </w:r>
            <w:r>
              <w:rPr>
                <w:vertAlign w:val="superscript"/>
              </w:rPr>
              <w:t>3</w:t>
            </w:r>
            <w:r>
              <w:t>/h</w:t>
            </w:r>
          </w:p>
        </w:tc>
        <w:tc>
          <w:tcPr>
            <w:tcW w:w="432" w:type="pct"/>
            <w:shd w:val="clear" w:color="auto" w:fill="auto"/>
            <w:vAlign w:val="center"/>
          </w:tcPr>
          <w:p w14:paraId="341C0E1B" w14:textId="77777777" w:rsidR="002E474C" w:rsidRDefault="00000000">
            <w:pPr>
              <w:pStyle w:val="A-"/>
            </w:pPr>
            <w:r>
              <w:t>个</w:t>
            </w:r>
          </w:p>
        </w:tc>
        <w:tc>
          <w:tcPr>
            <w:tcW w:w="431" w:type="pct"/>
            <w:shd w:val="clear" w:color="auto" w:fill="auto"/>
            <w:vAlign w:val="center"/>
          </w:tcPr>
          <w:p w14:paraId="3355FE6C" w14:textId="77777777" w:rsidR="002E474C" w:rsidRDefault="00000000">
            <w:pPr>
              <w:pStyle w:val="A-"/>
            </w:pPr>
            <w:r>
              <w:t>2</w:t>
            </w:r>
          </w:p>
        </w:tc>
      </w:tr>
      <w:tr w:rsidR="002E474C" w14:paraId="4DDBB83C" w14:textId="77777777">
        <w:trPr>
          <w:cantSplit/>
          <w:jc w:val="center"/>
        </w:trPr>
        <w:tc>
          <w:tcPr>
            <w:tcW w:w="434" w:type="pct"/>
            <w:vAlign w:val="center"/>
          </w:tcPr>
          <w:p w14:paraId="0E27FE2B" w14:textId="77777777" w:rsidR="002E474C" w:rsidRDefault="00000000">
            <w:pPr>
              <w:pStyle w:val="A-"/>
            </w:pPr>
            <w:r>
              <w:rPr>
                <w:rFonts w:hint="eastAsia"/>
              </w:rPr>
              <w:t>14</w:t>
            </w:r>
          </w:p>
        </w:tc>
        <w:tc>
          <w:tcPr>
            <w:tcW w:w="768" w:type="pct"/>
            <w:vMerge/>
            <w:vAlign w:val="center"/>
          </w:tcPr>
          <w:p w14:paraId="2F4E6D59" w14:textId="77777777" w:rsidR="002E474C" w:rsidRDefault="002E474C">
            <w:pPr>
              <w:pStyle w:val="A-"/>
            </w:pPr>
          </w:p>
        </w:tc>
        <w:tc>
          <w:tcPr>
            <w:tcW w:w="1223" w:type="pct"/>
            <w:shd w:val="clear" w:color="auto" w:fill="auto"/>
            <w:vAlign w:val="center"/>
          </w:tcPr>
          <w:p w14:paraId="6EC5ABDF" w14:textId="77777777" w:rsidR="002E474C" w:rsidRDefault="00000000">
            <w:pPr>
              <w:pStyle w:val="A-"/>
            </w:pPr>
            <w:r>
              <w:t>阀组架等</w:t>
            </w:r>
          </w:p>
        </w:tc>
        <w:tc>
          <w:tcPr>
            <w:tcW w:w="1709" w:type="pct"/>
            <w:shd w:val="clear" w:color="auto" w:fill="auto"/>
            <w:vAlign w:val="center"/>
          </w:tcPr>
          <w:p w14:paraId="305F8139" w14:textId="77777777" w:rsidR="002E474C" w:rsidRDefault="00000000">
            <w:pPr>
              <w:pStyle w:val="A-"/>
            </w:pPr>
            <w:r>
              <w:t>/</w:t>
            </w:r>
          </w:p>
        </w:tc>
        <w:tc>
          <w:tcPr>
            <w:tcW w:w="432" w:type="pct"/>
            <w:shd w:val="clear" w:color="auto" w:fill="auto"/>
            <w:vAlign w:val="center"/>
          </w:tcPr>
          <w:p w14:paraId="5AED413F" w14:textId="77777777" w:rsidR="002E474C" w:rsidRDefault="00000000">
            <w:pPr>
              <w:pStyle w:val="A-"/>
            </w:pPr>
            <w:r>
              <w:t>套</w:t>
            </w:r>
          </w:p>
        </w:tc>
        <w:tc>
          <w:tcPr>
            <w:tcW w:w="431" w:type="pct"/>
            <w:shd w:val="clear" w:color="auto" w:fill="auto"/>
            <w:vAlign w:val="center"/>
          </w:tcPr>
          <w:p w14:paraId="5AECEA0C" w14:textId="77777777" w:rsidR="002E474C" w:rsidRDefault="00000000">
            <w:pPr>
              <w:pStyle w:val="A-"/>
            </w:pPr>
            <w:r>
              <w:t>2</w:t>
            </w:r>
          </w:p>
        </w:tc>
      </w:tr>
      <w:tr w:rsidR="002E474C" w14:paraId="02133329" w14:textId="77777777">
        <w:trPr>
          <w:cantSplit/>
          <w:jc w:val="center"/>
        </w:trPr>
        <w:tc>
          <w:tcPr>
            <w:tcW w:w="434" w:type="pct"/>
            <w:tcBorders>
              <w:top w:val="single" w:sz="4" w:space="0" w:color="auto"/>
              <w:left w:val="single" w:sz="4" w:space="0" w:color="auto"/>
              <w:bottom w:val="single" w:sz="4" w:space="0" w:color="auto"/>
              <w:right w:val="single" w:sz="4" w:space="0" w:color="auto"/>
            </w:tcBorders>
            <w:vAlign w:val="center"/>
          </w:tcPr>
          <w:p w14:paraId="0137A287" w14:textId="77777777" w:rsidR="002E474C" w:rsidRDefault="00000000">
            <w:pPr>
              <w:pStyle w:val="A-"/>
            </w:pPr>
            <w:r>
              <w:rPr>
                <w:rFonts w:hint="eastAsia"/>
              </w:rPr>
              <w:t>15</w:t>
            </w:r>
          </w:p>
        </w:tc>
        <w:tc>
          <w:tcPr>
            <w:tcW w:w="768" w:type="pct"/>
            <w:vMerge w:val="restart"/>
            <w:tcBorders>
              <w:top w:val="single" w:sz="4" w:space="0" w:color="auto"/>
              <w:left w:val="single" w:sz="4" w:space="0" w:color="auto"/>
              <w:right w:val="single" w:sz="4" w:space="0" w:color="auto"/>
            </w:tcBorders>
            <w:vAlign w:val="center"/>
          </w:tcPr>
          <w:p w14:paraId="4E62C885" w14:textId="77777777" w:rsidR="002E474C" w:rsidRDefault="00000000">
            <w:pPr>
              <w:pStyle w:val="A-"/>
            </w:pPr>
            <w:r>
              <w:t>预处理</w:t>
            </w:r>
            <w:r>
              <w:rPr>
                <w:rFonts w:hint="eastAsia"/>
              </w:rPr>
              <w:t>车间</w:t>
            </w:r>
          </w:p>
        </w:tc>
        <w:tc>
          <w:tcPr>
            <w:tcW w:w="1223" w:type="pct"/>
            <w:tcBorders>
              <w:top w:val="single" w:sz="4" w:space="0" w:color="auto"/>
              <w:left w:val="single" w:sz="4" w:space="0" w:color="auto"/>
              <w:right w:val="single" w:sz="4" w:space="0" w:color="auto"/>
            </w:tcBorders>
            <w:vAlign w:val="center"/>
          </w:tcPr>
          <w:p w14:paraId="3EB367FD" w14:textId="77777777" w:rsidR="002E474C" w:rsidRDefault="00000000">
            <w:pPr>
              <w:pStyle w:val="A-"/>
            </w:pPr>
            <w:r>
              <w:t>剪切式破碎机</w:t>
            </w:r>
          </w:p>
        </w:tc>
        <w:tc>
          <w:tcPr>
            <w:tcW w:w="1709" w:type="pct"/>
            <w:tcBorders>
              <w:top w:val="single" w:sz="4" w:space="0" w:color="auto"/>
              <w:left w:val="single" w:sz="4" w:space="0" w:color="auto"/>
              <w:right w:val="single" w:sz="4" w:space="0" w:color="auto"/>
            </w:tcBorders>
            <w:vAlign w:val="center"/>
          </w:tcPr>
          <w:p w14:paraId="03A939C5" w14:textId="77777777" w:rsidR="002E474C" w:rsidRDefault="00000000">
            <w:pPr>
              <w:pStyle w:val="A-"/>
            </w:pPr>
            <w:r>
              <w:t>主机外形尺寸</w:t>
            </w:r>
            <w:r>
              <w:t>3500</w:t>
            </w:r>
            <w:bookmarkStart w:id="150" w:name="OLE_LINK55"/>
            <w:r>
              <w:t>×</w:t>
            </w:r>
            <w:bookmarkEnd w:id="150"/>
            <w:r>
              <w:t>1500×800mm</w:t>
            </w:r>
            <w:r>
              <w:t>，</w:t>
            </w:r>
            <w:r>
              <w:t>4t/h</w:t>
            </w:r>
          </w:p>
        </w:tc>
        <w:tc>
          <w:tcPr>
            <w:tcW w:w="432" w:type="pct"/>
            <w:tcBorders>
              <w:top w:val="single" w:sz="4" w:space="0" w:color="auto"/>
              <w:left w:val="single" w:sz="4" w:space="0" w:color="auto"/>
              <w:right w:val="single" w:sz="4" w:space="0" w:color="auto"/>
            </w:tcBorders>
            <w:vAlign w:val="center"/>
          </w:tcPr>
          <w:p w14:paraId="0E19DA6A" w14:textId="77777777" w:rsidR="002E474C" w:rsidRDefault="00000000">
            <w:pPr>
              <w:pStyle w:val="A-"/>
            </w:pPr>
            <w:r>
              <w:t>台</w:t>
            </w:r>
          </w:p>
        </w:tc>
        <w:tc>
          <w:tcPr>
            <w:tcW w:w="431" w:type="pct"/>
            <w:tcBorders>
              <w:top w:val="single" w:sz="4" w:space="0" w:color="auto"/>
              <w:left w:val="single" w:sz="4" w:space="0" w:color="auto"/>
              <w:right w:val="single" w:sz="4" w:space="0" w:color="auto"/>
            </w:tcBorders>
            <w:vAlign w:val="center"/>
          </w:tcPr>
          <w:p w14:paraId="10DCCF8E" w14:textId="77777777" w:rsidR="002E474C" w:rsidRDefault="00000000">
            <w:pPr>
              <w:pStyle w:val="A-"/>
            </w:pPr>
            <w:r>
              <w:t>1</w:t>
            </w:r>
          </w:p>
        </w:tc>
      </w:tr>
      <w:tr w:rsidR="002E474C" w14:paraId="4852ED8D" w14:textId="77777777">
        <w:trPr>
          <w:cantSplit/>
          <w:jc w:val="center"/>
        </w:trPr>
        <w:tc>
          <w:tcPr>
            <w:tcW w:w="434" w:type="pct"/>
            <w:tcBorders>
              <w:top w:val="single" w:sz="4" w:space="0" w:color="auto"/>
              <w:left w:val="single" w:sz="4" w:space="0" w:color="auto"/>
              <w:bottom w:val="single" w:sz="4" w:space="0" w:color="auto"/>
              <w:right w:val="single" w:sz="4" w:space="0" w:color="auto"/>
            </w:tcBorders>
            <w:vAlign w:val="center"/>
          </w:tcPr>
          <w:p w14:paraId="359E64B1" w14:textId="77777777" w:rsidR="002E474C" w:rsidRDefault="00000000">
            <w:pPr>
              <w:pStyle w:val="A-"/>
            </w:pPr>
            <w:r>
              <w:rPr>
                <w:rFonts w:hint="eastAsia"/>
              </w:rPr>
              <w:t>16</w:t>
            </w:r>
          </w:p>
        </w:tc>
        <w:tc>
          <w:tcPr>
            <w:tcW w:w="768" w:type="pct"/>
            <w:vMerge/>
            <w:tcBorders>
              <w:left w:val="single" w:sz="4" w:space="0" w:color="auto"/>
              <w:right w:val="single" w:sz="4" w:space="0" w:color="auto"/>
            </w:tcBorders>
            <w:vAlign w:val="center"/>
          </w:tcPr>
          <w:p w14:paraId="1889A802" w14:textId="77777777" w:rsidR="002E474C" w:rsidRDefault="002E474C">
            <w:pPr>
              <w:pStyle w:val="A-"/>
            </w:pPr>
          </w:p>
        </w:tc>
        <w:tc>
          <w:tcPr>
            <w:tcW w:w="1223" w:type="pct"/>
            <w:tcBorders>
              <w:top w:val="single" w:sz="4" w:space="0" w:color="auto"/>
              <w:left w:val="single" w:sz="4" w:space="0" w:color="auto"/>
              <w:bottom w:val="single" w:sz="4" w:space="0" w:color="auto"/>
              <w:right w:val="single" w:sz="4" w:space="0" w:color="auto"/>
            </w:tcBorders>
            <w:vAlign w:val="center"/>
          </w:tcPr>
          <w:p w14:paraId="73FF06B3" w14:textId="77777777" w:rsidR="002E474C" w:rsidRDefault="00000000">
            <w:pPr>
              <w:pStyle w:val="A-"/>
            </w:pPr>
            <w:r>
              <w:t>进料皮带机</w:t>
            </w:r>
          </w:p>
        </w:tc>
        <w:tc>
          <w:tcPr>
            <w:tcW w:w="1709" w:type="pct"/>
            <w:tcBorders>
              <w:top w:val="single" w:sz="4" w:space="0" w:color="auto"/>
              <w:left w:val="single" w:sz="4" w:space="0" w:color="auto"/>
              <w:bottom w:val="single" w:sz="4" w:space="0" w:color="auto"/>
              <w:right w:val="single" w:sz="4" w:space="0" w:color="auto"/>
            </w:tcBorders>
            <w:vAlign w:val="center"/>
          </w:tcPr>
          <w:p w14:paraId="19B10727" w14:textId="77777777" w:rsidR="002E474C" w:rsidRDefault="00000000">
            <w:pPr>
              <w:pStyle w:val="A-"/>
            </w:pPr>
            <w:r>
              <w:t>1000×(3300+9000)mm</w:t>
            </w:r>
            <w:r>
              <w:t>，耐腐蚀</w:t>
            </w:r>
            <w:r>
              <w:t>PU</w:t>
            </w:r>
            <w:r>
              <w:t>材质厚度</w:t>
            </w:r>
            <w:r>
              <w:t>4mm</w:t>
            </w:r>
            <w:r>
              <w:t>；</w:t>
            </w:r>
          </w:p>
        </w:tc>
        <w:tc>
          <w:tcPr>
            <w:tcW w:w="432" w:type="pct"/>
            <w:tcBorders>
              <w:top w:val="single" w:sz="4" w:space="0" w:color="auto"/>
              <w:left w:val="single" w:sz="4" w:space="0" w:color="auto"/>
              <w:bottom w:val="single" w:sz="4" w:space="0" w:color="auto"/>
              <w:right w:val="single" w:sz="4" w:space="0" w:color="auto"/>
            </w:tcBorders>
            <w:vAlign w:val="center"/>
          </w:tcPr>
          <w:p w14:paraId="376C1C0A" w14:textId="77777777" w:rsidR="002E474C" w:rsidRDefault="00000000">
            <w:pPr>
              <w:pStyle w:val="A-"/>
            </w:pPr>
            <w:r>
              <w:t>套</w:t>
            </w:r>
          </w:p>
        </w:tc>
        <w:tc>
          <w:tcPr>
            <w:tcW w:w="431" w:type="pct"/>
            <w:tcBorders>
              <w:top w:val="single" w:sz="4" w:space="0" w:color="auto"/>
              <w:left w:val="single" w:sz="4" w:space="0" w:color="auto"/>
              <w:bottom w:val="single" w:sz="4" w:space="0" w:color="auto"/>
              <w:right w:val="single" w:sz="4" w:space="0" w:color="auto"/>
            </w:tcBorders>
            <w:vAlign w:val="center"/>
          </w:tcPr>
          <w:p w14:paraId="497C804D" w14:textId="77777777" w:rsidR="002E474C" w:rsidRDefault="00000000">
            <w:pPr>
              <w:pStyle w:val="A-"/>
            </w:pPr>
            <w:r>
              <w:t>1</w:t>
            </w:r>
          </w:p>
        </w:tc>
      </w:tr>
      <w:tr w:rsidR="002E474C" w14:paraId="32FFDD79" w14:textId="77777777">
        <w:trPr>
          <w:cantSplit/>
          <w:trHeight w:val="748"/>
          <w:jc w:val="center"/>
        </w:trPr>
        <w:tc>
          <w:tcPr>
            <w:tcW w:w="434" w:type="pct"/>
            <w:tcBorders>
              <w:top w:val="single" w:sz="4" w:space="0" w:color="auto"/>
              <w:left w:val="single" w:sz="4" w:space="0" w:color="auto"/>
              <w:bottom w:val="single" w:sz="4" w:space="0" w:color="auto"/>
              <w:right w:val="single" w:sz="4" w:space="0" w:color="auto"/>
            </w:tcBorders>
            <w:vAlign w:val="center"/>
          </w:tcPr>
          <w:p w14:paraId="3070236C" w14:textId="77777777" w:rsidR="002E474C" w:rsidRDefault="00000000">
            <w:pPr>
              <w:pStyle w:val="A-"/>
            </w:pPr>
            <w:r>
              <w:rPr>
                <w:rFonts w:hint="eastAsia"/>
              </w:rPr>
              <w:lastRenderedPageBreak/>
              <w:t>17</w:t>
            </w:r>
          </w:p>
        </w:tc>
        <w:tc>
          <w:tcPr>
            <w:tcW w:w="768" w:type="pct"/>
            <w:vMerge/>
            <w:tcBorders>
              <w:left w:val="single" w:sz="4" w:space="0" w:color="auto"/>
              <w:right w:val="single" w:sz="4" w:space="0" w:color="auto"/>
            </w:tcBorders>
            <w:vAlign w:val="center"/>
          </w:tcPr>
          <w:p w14:paraId="590BC0F9" w14:textId="77777777" w:rsidR="002E474C" w:rsidRDefault="002E474C">
            <w:pPr>
              <w:pStyle w:val="A-"/>
            </w:pPr>
          </w:p>
        </w:tc>
        <w:tc>
          <w:tcPr>
            <w:tcW w:w="1223" w:type="pct"/>
            <w:tcBorders>
              <w:top w:val="single" w:sz="4" w:space="0" w:color="auto"/>
              <w:left w:val="single" w:sz="4" w:space="0" w:color="auto"/>
              <w:right w:val="single" w:sz="4" w:space="0" w:color="auto"/>
            </w:tcBorders>
            <w:vAlign w:val="center"/>
          </w:tcPr>
          <w:p w14:paraId="32F6E906" w14:textId="77777777" w:rsidR="002E474C" w:rsidRDefault="00000000">
            <w:pPr>
              <w:pStyle w:val="A-"/>
            </w:pPr>
            <w:r>
              <w:t>出料皮带机</w:t>
            </w:r>
          </w:p>
        </w:tc>
        <w:tc>
          <w:tcPr>
            <w:tcW w:w="1709" w:type="pct"/>
            <w:tcBorders>
              <w:top w:val="single" w:sz="4" w:space="0" w:color="auto"/>
              <w:left w:val="single" w:sz="4" w:space="0" w:color="auto"/>
              <w:right w:val="single" w:sz="4" w:space="0" w:color="auto"/>
            </w:tcBorders>
            <w:vAlign w:val="center"/>
          </w:tcPr>
          <w:p w14:paraId="4556597B" w14:textId="77777777" w:rsidR="002E474C" w:rsidRDefault="00000000">
            <w:pPr>
              <w:pStyle w:val="A-"/>
            </w:pPr>
            <w:r>
              <w:t>1000×(2500+11000+1500)mm</w:t>
            </w:r>
            <w:r>
              <w:t>耐腐蚀</w:t>
            </w:r>
            <w:r>
              <w:t>PU</w:t>
            </w:r>
            <w:r>
              <w:t>材质厚度</w:t>
            </w:r>
            <w:r>
              <w:t>4mm</w:t>
            </w:r>
            <w:r>
              <w:t>；</w:t>
            </w:r>
          </w:p>
        </w:tc>
        <w:tc>
          <w:tcPr>
            <w:tcW w:w="432" w:type="pct"/>
            <w:tcBorders>
              <w:top w:val="single" w:sz="4" w:space="0" w:color="auto"/>
              <w:left w:val="single" w:sz="4" w:space="0" w:color="auto"/>
              <w:right w:val="single" w:sz="4" w:space="0" w:color="auto"/>
            </w:tcBorders>
            <w:vAlign w:val="center"/>
          </w:tcPr>
          <w:p w14:paraId="1CB39668" w14:textId="77777777" w:rsidR="002E474C" w:rsidRDefault="00000000">
            <w:pPr>
              <w:pStyle w:val="A-"/>
            </w:pPr>
            <w:r>
              <w:t>套</w:t>
            </w:r>
          </w:p>
        </w:tc>
        <w:tc>
          <w:tcPr>
            <w:tcW w:w="431" w:type="pct"/>
            <w:tcBorders>
              <w:top w:val="single" w:sz="4" w:space="0" w:color="auto"/>
              <w:left w:val="single" w:sz="4" w:space="0" w:color="auto"/>
              <w:right w:val="single" w:sz="4" w:space="0" w:color="auto"/>
            </w:tcBorders>
            <w:vAlign w:val="center"/>
          </w:tcPr>
          <w:p w14:paraId="309DDBA4" w14:textId="77777777" w:rsidR="002E474C" w:rsidRDefault="00000000">
            <w:pPr>
              <w:pStyle w:val="A-"/>
            </w:pPr>
            <w:r>
              <w:t>1</w:t>
            </w:r>
          </w:p>
        </w:tc>
      </w:tr>
    </w:tbl>
    <w:p w14:paraId="1CE03BF5" w14:textId="77777777" w:rsidR="002E474C" w:rsidRDefault="002E474C"/>
    <w:p w14:paraId="6168E70A" w14:textId="77777777" w:rsidR="002E474C" w:rsidRDefault="00000000">
      <w:pPr>
        <w:pStyle w:val="31"/>
        <w:spacing w:before="120" w:after="120"/>
        <w:rPr>
          <w:color w:val="auto"/>
        </w:rPr>
      </w:pPr>
      <w:r>
        <w:rPr>
          <w:color w:val="auto"/>
        </w:rPr>
        <w:t>主要经济技术指标</w:t>
      </w:r>
    </w:p>
    <w:p w14:paraId="10745DF3" w14:textId="77777777" w:rsidR="002E474C" w:rsidRDefault="00000000">
      <w:pPr>
        <w:pStyle w:val="A-z"/>
        <w:rPr>
          <w:color w:val="auto"/>
        </w:rPr>
      </w:pPr>
      <w:r>
        <w:rPr>
          <w:color w:val="auto"/>
        </w:rPr>
        <w:t>本项目主要技术经济指标见表</w:t>
      </w:r>
      <w:r>
        <w:rPr>
          <w:color w:val="auto"/>
        </w:rPr>
        <w:t>3.3-8</w:t>
      </w:r>
      <w:r>
        <w:rPr>
          <w:color w:val="auto"/>
        </w:rPr>
        <w:t>。</w:t>
      </w:r>
    </w:p>
    <w:p w14:paraId="5B44FBA8" w14:textId="77777777" w:rsidR="002E474C" w:rsidRDefault="00000000">
      <w:pPr>
        <w:pStyle w:val="A--"/>
        <w:rPr>
          <w:color w:val="auto"/>
        </w:rPr>
      </w:pPr>
      <w:bookmarkStart w:id="151" w:name="_Ref126743988"/>
      <w:r>
        <w:rPr>
          <w:color w:val="auto"/>
        </w:rPr>
        <w:t>表</w:t>
      </w:r>
      <w:bookmarkEnd w:id="151"/>
      <w:r>
        <w:rPr>
          <w:color w:val="auto"/>
        </w:rPr>
        <w:t xml:space="preserve">3.3-8  </w:t>
      </w:r>
      <w:r>
        <w:rPr>
          <w:color w:val="auto"/>
        </w:rPr>
        <w:t>主要技术经济指标表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3285"/>
        <w:gridCol w:w="2023"/>
        <w:gridCol w:w="1750"/>
      </w:tblGrid>
      <w:tr w:rsidR="002E474C" w14:paraId="36F9C888" w14:textId="77777777">
        <w:tc>
          <w:tcPr>
            <w:tcW w:w="746" w:type="pct"/>
            <w:vAlign w:val="center"/>
          </w:tcPr>
          <w:p w14:paraId="007747B5" w14:textId="77777777" w:rsidR="002E474C" w:rsidRDefault="00000000">
            <w:pPr>
              <w:pStyle w:val="A-"/>
            </w:pPr>
            <w:r>
              <w:t>序号</w:t>
            </w:r>
          </w:p>
        </w:tc>
        <w:tc>
          <w:tcPr>
            <w:tcW w:w="1980" w:type="pct"/>
            <w:vAlign w:val="center"/>
          </w:tcPr>
          <w:p w14:paraId="7B069EE7" w14:textId="77777777" w:rsidR="002E474C" w:rsidRDefault="00000000">
            <w:pPr>
              <w:pStyle w:val="A-"/>
            </w:pPr>
            <w:r>
              <w:t>指标名称</w:t>
            </w:r>
          </w:p>
        </w:tc>
        <w:tc>
          <w:tcPr>
            <w:tcW w:w="1219" w:type="pct"/>
            <w:vAlign w:val="center"/>
          </w:tcPr>
          <w:p w14:paraId="480AEDF1" w14:textId="77777777" w:rsidR="002E474C" w:rsidRDefault="00000000">
            <w:pPr>
              <w:pStyle w:val="A-"/>
            </w:pPr>
            <w:r>
              <w:t>单位</w:t>
            </w:r>
          </w:p>
        </w:tc>
        <w:tc>
          <w:tcPr>
            <w:tcW w:w="1055" w:type="pct"/>
            <w:vAlign w:val="center"/>
          </w:tcPr>
          <w:p w14:paraId="66571CD3" w14:textId="77777777" w:rsidR="002E474C" w:rsidRDefault="00000000">
            <w:pPr>
              <w:pStyle w:val="A-"/>
            </w:pPr>
            <w:r>
              <w:t>数值</w:t>
            </w:r>
          </w:p>
        </w:tc>
      </w:tr>
      <w:tr w:rsidR="002E474C" w14:paraId="6B0D7BA6" w14:textId="77777777">
        <w:tc>
          <w:tcPr>
            <w:tcW w:w="746" w:type="pct"/>
            <w:vAlign w:val="center"/>
          </w:tcPr>
          <w:p w14:paraId="278EE93E" w14:textId="77777777" w:rsidR="002E474C" w:rsidRDefault="00000000">
            <w:pPr>
              <w:pStyle w:val="A-"/>
            </w:pPr>
            <w:r>
              <w:t>1</w:t>
            </w:r>
          </w:p>
        </w:tc>
        <w:tc>
          <w:tcPr>
            <w:tcW w:w="1980" w:type="pct"/>
            <w:vAlign w:val="center"/>
          </w:tcPr>
          <w:p w14:paraId="3096AF37" w14:textId="77777777" w:rsidR="002E474C" w:rsidRDefault="00000000">
            <w:pPr>
              <w:pStyle w:val="A-"/>
            </w:pPr>
            <w:r>
              <w:t>危险废物处置量</w:t>
            </w:r>
          </w:p>
        </w:tc>
        <w:tc>
          <w:tcPr>
            <w:tcW w:w="1219" w:type="pct"/>
            <w:vAlign w:val="center"/>
          </w:tcPr>
          <w:p w14:paraId="1FCC9398" w14:textId="77777777" w:rsidR="002E474C" w:rsidRDefault="00000000">
            <w:pPr>
              <w:pStyle w:val="A-"/>
            </w:pPr>
            <w:r>
              <w:t>t/a</w:t>
            </w:r>
          </w:p>
        </w:tc>
        <w:tc>
          <w:tcPr>
            <w:tcW w:w="1055" w:type="pct"/>
            <w:vAlign w:val="center"/>
          </w:tcPr>
          <w:p w14:paraId="0646F40E" w14:textId="77777777" w:rsidR="002E474C" w:rsidRDefault="00000000">
            <w:pPr>
              <w:pStyle w:val="A-"/>
            </w:pPr>
            <w:r>
              <w:t>50000</w:t>
            </w:r>
          </w:p>
        </w:tc>
      </w:tr>
      <w:tr w:rsidR="002E474C" w14:paraId="3954A2C4" w14:textId="77777777">
        <w:tc>
          <w:tcPr>
            <w:tcW w:w="746" w:type="pct"/>
            <w:vAlign w:val="center"/>
          </w:tcPr>
          <w:p w14:paraId="7F4D82D7" w14:textId="77777777" w:rsidR="002E474C" w:rsidRDefault="00000000">
            <w:pPr>
              <w:pStyle w:val="A-"/>
            </w:pPr>
            <w:r>
              <w:t>1.1</w:t>
            </w:r>
          </w:p>
        </w:tc>
        <w:tc>
          <w:tcPr>
            <w:tcW w:w="1980" w:type="pct"/>
            <w:vAlign w:val="center"/>
          </w:tcPr>
          <w:p w14:paraId="5BA175E7" w14:textId="77777777" w:rsidR="002E474C" w:rsidRDefault="00000000">
            <w:pPr>
              <w:pStyle w:val="A-"/>
            </w:pPr>
            <w:r>
              <w:t>固态（半固态）危险废物</w:t>
            </w:r>
          </w:p>
        </w:tc>
        <w:tc>
          <w:tcPr>
            <w:tcW w:w="1219" w:type="pct"/>
            <w:vAlign w:val="center"/>
          </w:tcPr>
          <w:p w14:paraId="5C350C3D" w14:textId="77777777" w:rsidR="002E474C" w:rsidRDefault="00000000">
            <w:pPr>
              <w:pStyle w:val="A-"/>
            </w:pPr>
            <w:r>
              <w:t>t/a</w:t>
            </w:r>
          </w:p>
        </w:tc>
        <w:tc>
          <w:tcPr>
            <w:tcW w:w="1055" w:type="pct"/>
            <w:vAlign w:val="center"/>
          </w:tcPr>
          <w:p w14:paraId="7A235A85" w14:textId="77777777" w:rsidR="002E474C" w:rsidRDefault="00000000">
            <w:pPr>
              <w:pStyle w:val="A-"/>
            </w:pPr>
            <w:r>
              <w:t>45000</w:t>
            </w:r>
          </w:p>
        </w:tc>
      </w:tr>
      <w:tr w:rsidR="002E474C" w14:paraId="7898EAD8" w14:textId="77777777">
        <w:tc>
          <w:tcPr>
            <w:tcW w:w="746" w:type="pct"/>
            <w:vAlign w:val="center"/>
          </w:tcPr>
          <w:p w14:paraId="7EF51C2E" w14:textId="77777777" w:rsidR="002E474C" w:rsidRDefault="00000000">
            <w:pPr>
              <w:pStyle w:val="A-"/>
            </w:pPr>
            <w:r>
              <w:t>1.2</w:t>
            </w:r>
          </w:p>
        </w:tc>
        <w:tc>
          <w:tcPr>
            <w:tcW w:w="1980" w:type="pct"/>
            <w:vAlign w:val="center"/>
          </w:tcPr>
          <w:p w14:paraId="1C470EE5" w14:textId="77777777" w:rsidR="002E474C" w:rsidRDefault="00000000">
            <w:pPr>
              <w:pStyle w:val="A-"/>
            </w:pPr>
            <w:r>
              <w:t>液态危险废物</w:t>
            </w:r>
          </w:p>
        </w:tc>
        <w:tc>
          <w:tcPr>
            <w:tcW w:w="1219" w:type="pct"/>
            <w:vAlign w:val="center"/>
          </w:tcPr>
          <w:p w14:paraId="6D13162B" w14:textId="77777777" w:rsidR="002E474C" w:rsidRDefault="00000000">
            <w:pPr>
              <w:pStyle w:val="A-"/>
            </w:pPr>
            <w:r>
              <w:t>t/a</w:t>
            </w:r>
          </w:p>
        </w:tc>
        <w:tc>
          <w:tcPr>
            <w:tcW w:w="1055" w:type="pct"/>
            <w:vAlign w:val="center"/>
          </w:tcPr>
          <w:p w14:paraId="10466B8E" w14:textId="77777777" w:rsidR="002E474C" w:rsidRDefault="00000000">
            <w:pPr>
              <w:pStyle w:val="A-"/>
            </w:pPr>
            <w:r>
              <w:t>5000</w:t>
            </w:r>
          </w:p>
        </w:tc>
      </w:tr>
      <w:tr w:rsidR="002E474C" w14:paraId="69F4C157" w14:textId="77777777">
        <w:tc>
          <w:tcPr>
            <w:tcW w:w="746" w:type="pct"/>
            <w:vAlign w:val="center"/>
          </w:tcPr>
          <w:p w14:paraId="1D764C85" w14:textId="77777777" w:rsidR="002E474C" w:rsidRDefault="00000000">
            <w:pPr>
              <w:pStyle w:val="A-"/>
            </w:pPr>
            <w:r>
              <w:t>2</w:t>
            </w:r>
          </w:p>
        </w:tc>
        <w:tc>
          <w:tcPr>
            <w:tcW w:w="1980" w:type="pct"/>
            <w:vAlign w:val="center"/>
          </w:tcPr>
          <w:p w14:paraId="5E623B18" w14:textId="77777777" w:rsidR="002E474C" w:rsidRDefault="00000000">
            <w:pPr>
              <w:pStyle w:val="A-"/>
            </w:pPr>
            <w:r>
              <w:t>占地面积</w:t>
            </w:r>
          </w:p>
        </w:tc>
        <w:tc>
          <w:tcPr>
            <w:tcW w:w="1219" w:type="pct"/>
            <w:vAlign w:val="center"/>
          </w:tcPr>
          <w:p w14:paraId="7981EB12" w14:textId="77777777" w:rsidR="002E474C" w:rsidRDefault="00000000">
            <w:pPr>
              <w:pStyle w:val="A-"/>
            </w:pPr>
            <w:r>
              <w:t>m</w:t>
            </w:r>
            <w:r>
              <w:rPr>
                <w:vertAlign w:val="superscript"/>
              </w:rPr>
              <w:t>2</w:t>
            </w:r>
          </w:p>
        </w:tc>
        <w:tc>
          <w:tcPr>
            <w:tcW w:w="1055" w:type="pct"/>
            <w:vAlign w:val="center"/>
          </w:tcPr>
          <w:p w14:paraId="08240C33" w14:textId="77777777" w:rsidR="002E474C" w:rsidRDefault="00000000">
            <w:pPr>
              <w:pStyle w:val="A-"/>
            </w:pPr>
            <w:r>
              <w:t>4500</w:t>
            </w:r>
          </w:p>
        </w:tc>
      </w:tr>
      <w:tr w:rsidR="002E474C" w14:paraId="0826452C" w14:textId="77777777">
        <w:tc>
          <w:tcPr>
            <w:tcW w:w="746" w:type="pct"/>
            <w:vAlign w:val="center"/>
          </w:tcPr>
          <w:p w14:paraId="6DAA0503" w14:textId="77777777" w:rsidR="002E474C" w:rsidRDefault="00000000">
            <w:pPr>
              <w:pStyle w:val="A-"/>
            </w:pPr>
            <w:r>
              <w:t>3</w:t>
            </w:r>
          </w:p>
        </w:tc>
        <w:tc>
          <w:tcPr>
            <w:tcW w:w="1980" w:type="pct"/>
            <w:vAlign w:val="center"/>
          </w:tcPr>
          <w:p w14:paraId="2E8F3F33" w14:textId="77777777" w:rsidR="002E474C" w:rsidRDefault="00000000">
            <w:pPr>
              <w:pStyle w:val="A-"/>
            </w:pPr>
            <w:r>
              <w:t>劳动定员</w:t>
            </w:r>
          </w:p>
        </w:tc>
        <w:tc>
          <w:tcPr>
            <w:tcW w:w="1219" w:type="pct"/>
            <w:vAlign w:val="center"/>
          </w:tcPr>
          <w:p w14:paraId="48784BC9" w14:textId="77777777" w:rsidR="002E474C" w:rsidRDefault="00000000">
            <w:pPr>
              <w:pStyle w:val="A-"/>
            </w:pPr>
            <w:r>
              <w:t>人</w:t>
            </w:r>
          </w:p>
        </w:tc>
        <w:tc>
          <w:tcPr>
            <w:tcW w:w="1055" w:type="pct"/>
            <w:vAlign w:val="center"/>
          </w:tcPr>
          <w:p w14:paraId="4A004A11" w14:textId="77777777" w:rsidR="002E474C" w:rsidRDefault="00000000">
            <w:pPr>
              <w:pStyle w:val="A-"/>
            </w:pPr>
            <w:r>
              <w:t>20</w:t>
            </w:r>
          </w:p>
        </w:tc>
      </w:tr>
      <w:tr w:rsidR="002E474C" w14:paraId="3D3F6214" w14:textId="77777777">
        <w:tc>
          <w:tcPr>
            <w:tcW w:w="746" w:type="pct"/>
            <w:vAlign w:val="center"/>
          </w:tcPr>
          <w:p w14:paraId="3F38580A" w14:textId="77777777" w:rsidR="002E474C" w:rsidRDefault="00000000">
            <w:pPr>
              <w:pStyle w:val="A-"/>
            </w:pPr>
            <w:r>
              <w:t>4</w:t>
            </w:r>
          </w:p>
        </w:tc>
        <w:tc>
          <w:tcPr>
            <w:tcW w:w="1980" w:type="pct"/>
            <w:vAlign w:val="center"/>
          </w:tcPr>
          <w:p w14:paraId="6F96542B" w14:textId="77777777" w:rsidR="002E474C" w:rsidRDefault="00000000">
            <w:pPr>
              <w:pStyle w:val="A-"/>
            </w:pPr>
            <w:r>
              <w:t>年工作日</w:t>
            </w:r>
          </w:p>
        </w:tc>
        <w:tc>
          <w:tcPr>
            <w:tcW w:w="1219" w:type="pct"/>
            <w:vAlign w:val="center"/>
          </w:tcPr>
          <w:p w14:paraId="7527DBF8" w14:textId="77777777" w:rsidR="002E474C" w:rsidRDefault="00000000">
            <w:pPr>
              <w:pStyle w:val="A-"/>
            </w:pPr>
            <w:r>
              <w:t>天</w:t>
            </w:r>
          </w:p>
        </w:tc>
        <w:tc>
          <w:tcPr>
            <w:tcW w:w="1055" w:type="pct"/>
            <w:vAlign w:val="center"/>
          </w:tcPr>
          <w:p w14:paraId="152EBE18" w14:textId="77777777" w:rsidR="002E474C" w:rsidRDefault="00000000">
            <w:pPr>
              <w:pStyle w:val="A-"/>
            </w:pPr>
            <w:r>
              <w:t>300</w:t>
            </w:r>
          </w:p>
        </w:tc>
      </w:tr>
      <w:tr w:rsidR="002E474C" w14:paraId="16032D76" w14:textId="77777777">
        <w:tc>
          <w:tcPr>
            <w:tcW w:w="746" w:type="pct"/>
            <w:vAlign w:val="center"/>
          </w:tcPr>
          <w:p w14:paraId="43A27E6B" w14:textId="77777777" w:rsidR="002E474C" w:rsidRDefault="00000000">
            <w:pPr>
              <w:pStyle w:val="A-"/>
            </w:pPr>
            <w:r>
              <w:t>5</w:t>
            </w:r>
          </w:p>
        </w:tc>
        <w:tc>
          <w:tcPr>
            <w:tcW w:w="1980" w:type="pct"/>
            <w:vAlign w:val="center"/>
          </w:tcPr>
          <w:p w14:paraId="4BD8B0F4" w14:textId="77777777" w:rsidR="002E474C" w:rsidRDefault="00000000">
            <w:pPr>
              <w:pStyle w:val="A-"/>
            </w:pPr>
            <w:r>
              <w:t>年耗电量</w:t>
            </w:r>
          </w:p>
        </w:tc>
        <w:tc>
          <w:tcPr>
            <w:tcW w:w="1219" w:type="pct"/>
            <w:vAlign w:val="center"/>
          </w:tcPr>
          <w:p w14:paraId="53095190" w14:textId="77777777" w:rsidR="002E474C" w:rsidRDefault="00000000">
            <w:pPr>
              <w:pStyle w:val="A-"/>
            </w:pPr>
            <w:r>
              <w:t>万</w:t>
            </w:r>
            <w:proofErr w:type="spellStart"/>
            <w:r>
              <w:t>kW·h</w:t>
            </w:r>
            <w:proofErr w:type="spellEnd"/>
          </w:p>
        </w:tc>
        <w:tc>
          <w:tcPr>
            <w:tcW w:w="1055" w:type="pct"/>
            <w:vAlign w:val="center"/>
          </w:tcPr>
          <w:p w14:paraId="278AE1BF" w14:textId="77777777" w:rsidR="002E474C" w:rsidRDefault="00000000">
            <w:pPr>
              <w:pStyle w:val="A-"/>
            </w:pPr>
            <w:r>
              <w:t>176.4</w:t>
            </w:r>
          </w:p>
        </w:tc>
      </w:tr>
      <w:tr w:rsidR="002E474C" w14:paraId="18D72CA6" w14:textId="77777777">
        <w:tc>
          <w:tcPr>
            <w:tcW w:w="746" w:type="pct"/>
            <w:vAlign w:val="center"/>
          </w:tcPr>
          <w:p w14:paraId="12F3CFE0" w14:textId="77777777" w:rsidR="002E474C" w:rsidRDefault="00000000">
            <w:pPr>
              <w:pStyle w:val="A-"/>
            </w:pPr>
            <w:r>
              <w:t>6</w:t>
            </w:r>
          </w:p>
        </w:tc>
        <w:tc>
          <w:tcPr>
            <w:tcW w:w="1980" w:type="pct"/>
            <w:vAlign w:val="center"/>
          </w:tcPr>
          <w:p w14:paraId="2E7A8D35" w14:textId="77777777" w:rsidR="002E474C" w:rsidRDefault="00000000">
            <w:pPr>
              <w:pStyle w:val="A-"/>
            </w:pPr>
            <w:r>
              <w:t>年用水量</w:t>
            </w:r>
          </w:p>
        </w:tc>
        <w:tc>
          <w:tcPr>
            <w:tcW w:w="1219" w:type="pct"/>
            <w:vAlign w:val="center"/>
          </w:tcPr>
          <w:p w14:paraId="2E87F303" w14:textId="77777777" w:rsidR="002E474C" w:rsidRDefault="00000000">
            <w:pPr>
              <w:pStyle w:val="A-"/>
            </w:pPr>
            <w:r>
              <w:t>m</w:t>
            </w:r>
            <w:r>
              <w:rPr>
                <w:vertAlign w:val="superscript"/>
              </w:rPr>
              <w:t>3</w:t>
            </w:r>
          </w:p>
        </w:tc>
        <w:tc>
          <w:tcPr>
            <w:tcW w:w="1055" w:type="pct"/>
            <w:vAlign w:val="center"/>
          </w:tcPr>
          <w:p w14:paraId="30827BE1" w14:textId="77777777" w:rsidR="002E474C" w:rsidRDefault="00000000">
            <w:pPr>
              <w:pStyle w:val="A-"/>
            </w:pPr>
            <w:r>
              <w:t>1028</w:t>
            </w:r>
          </w:p>
        </w:tc>
      </w:tr>
      <w:tr w:rsidR="002E474C" w14:paraId="2E65E8E9" w14:textId="77777777">
        <w:tc>
          <w:tcPr>
            <w:tcW w:w="746" w:type="pct"/>
            <w:vAlign w:val="center"/>
          </w:tcPr>
          <w:p w14:paraId="11D8A1D7" w14:textId="77777777" w:rsidR="002E474C" w:rsidRDefault="00000000">
            <w:pPr>
              <w:pStyle w:val="A-"/>
            </w:pPr>
            <w:r>
              <w:t>7</w:t>
            </w:r>
          </w:p>
        </w:tc>
        <w:tc>
          <w:tcPr>
            <w:tcW w:w="1980" w:type="pct"/>
            <w:vAlign w:val="center"/>
          </w:tcPr>
          <w:p w14:paraId="3EC57E29" w14:textId="77777777" w:rsidR="002E474C" w:rsidRDefault="00000000">
            <w:pPr>
              <w:pStyle w:val="A-"/>
            </w:pPr>
            <w:r>
              <w:t>总投资</w:t>
            </w:r>
          </w:p>
        </w:tc>
        <w:tc>
          <w:tcPr>
            <w:tcW w:w="1219" w:type="pct"/>
            <w:vAlign w:val="center"/>
          </w:tcPr>
          <w:p w14:paraId="3985C88E" w14:textId="77777777" w:rsidR="002E474C" w:rsidRDefault="00000000">
            <w:pPr>
              <w:pStyle w:val="A-"/>
            </w:pPr>
            <w:r>
              <w:t>万元</w:t>
            </w:r>
          </w:p>
        </w:tc>
        <w:tc>
          <w:tcPr>
            <w:tcW w:w="1055" w:type="pct"/>
            <w:vAlign w:val="center"/>
          </w:tcPr>
          <w:p w14:paraId="5C6BCB5F" w14:textId="77777777" w:rsidR="002E474C" w:rsidRDefault="00000000">
            <w:pPr>
              <w:pStyle w:val="A-"/>
            </w:pPr>
            <w:r>
              <w:t>1500</w:t>
            </w:r>
          </w:p>
        </w:tc>
      </w:tr>
      <w:tr w:rsidR="002E474C" w14:paraId="47BEC7E8" w14:textId="77777777">
        <w:tc>
          <w:tcPr>
            <w:tcW w:w="746" w:type="pct"/>
            <w:vAlign w:val="center"/>
          </w:tcPr>
          <w:p w14:paraId="16A4ED9E" w14:textId="77777777" w:rsidR="002E474C" w:rsidRDefault="00000000">
            <w:pPr>
              <w:pStyle w:val="A-"/>
            </w:pPr>
            <w:r>
              <w:t>8</w:t>
            </w:r>
          </w:p>
        </w:tc>
        <w:tc>
          <w:tcPr>
            <w:tcW w:w="1980" w:type="pct"/>
            <w:vAlign w:val="center"/>
          </w:tcPr>
          <w:p w14:paraId="503C7800" w14:textId="77777777" w:rsidR="002E474C" w:rsidRDefault="00000000">
            <w:pPr>
              <w:pStyle w:val="A-"/>
            </w:pPr>
            <w:r>
              <w:t>项目建设期</w:t>
            </w:r>
          </w:p>
        </w:tc>
        <w:tc>
          <w:tcPr>
            <w:tcW w:w="1219" w:type="pct"/>
            <w:vAlign w:val="center"/>
          </w:tcPr>
          <w:p w14:paraId="3AD47B48" w14:textId="77777777" w:rsidR="002E474C" w:rsidRDefault="00000000">
            <w:pPr>
              <w:pStyle w:val="A-"/>
            </w:pPr>
            <w:r>
              <w:t>年</w:t>
            </w:r>
          </w:p>
        </w:tc>
        <w:tc>
          <w:tcPr>
            <w:tcW w:w="1055" w:type="pct"/>
            <w:vAlign w:val="center"/>
          </w:tcPr>
          <w:p w14:paraId="048A467C" w14:textId="77777777" w:rsidR="002E474C" w:rsidRDefault="00000000">
            <w:pPr>
              <w:pStyle w:val="A-"/>
            </w:pPr>
            <w:r>
              <w:t>8</w:t>
            </w:r>
            <w:r>
              <w:t>个月</w:t>
            </w:r>
          </w:p>
        </w:tc>
      </w:tr>
    </w:tbl>
    <w:p w14:paraId="7D07E658" w14:textId="77777777" w:rsidR="002E474C" w:rsidRDefault="002E474C">
      <w:bookmarkStart w:id="152" w:name="_Toc225848854"/>
    </w:p>
    <w:p w14:paraId="331CC0B8" w14:textId="77777777" w:rsidR="002E474C" w:rsidRDefault="00000000">
      <w:pPr>
        <w:pStyle w:val="21"/>
        <w:spacing w:before="240" w:after="240"/>
        <w:rPr>
          <w:color w:val="auto"/>
        </w:rPr>
      </w:pPr>
      <w:bookmarkStart w:id="153" w:name="_Toc20163"/>
      <w:r>
        <w:rPr>
          <w:color w:val="auto"/>
        </w:rPr>
        <w:t>协同处置的危险废物情况</w:t>
      </w:r>
      <w:bookmarkEnd w:id="152"/>
      <w:bookmarkEnd w:id="153"/>
    </w:p>
    <w:p w14:paraId="711A2B55" w14:textId="77777777" w:rsidR="002E474C" w:rsidRDefault="00000000">
      <w:pPr>
        <w:pStyle w:val="31"/>
        <w:spacing w:before="120" w:after="120"/>
        <w:rPr>
          <w:color w:val="auto"/>
        </w:rPr>
      </w:pPr>
      <w:bookmarkStart w:id="154" w:name="_Ref131671606"/>
      <w:r>
        <w:rPr>
          <w:color w:val="auto"/>
        </w:rPr>
        <w:t>危险废物来源与类别</w:t>
      </w:r>
      <w:bookmarkEnd w:id="154"/>
    </w:p>
    <w:p w14:paraId="13FD4994" w14:textId="77777777" w:rsidR="002E474C" w:rsidRDefault="00000000">
      <w:pPr>
        <w:pStyle w:val="A-z"/>
        <w:rPr>
          <w:color w:val="auto"/>
        </w:rPr>
      </w:pPr>
      <w:bookmarkStart w:id="155" w:name="_Hlk151208999"/>
      <w:r>
        <w:rPr>
          <w:color w:val="auto"/>
        </w:rPr>
        <w:t>本项目</w:t>
      </w:r>
      <w:r>
        <w:rPr>
          <w:rFonts w:hint="eastAsia"/>
          <w:color w:val="auto"/>
        </w:rPr>
        <w:t>协同</w:t>
      </w:r>
      <w:r>
        <w:rPr>
          <w:color w:val="auto"/>
        </w:rPr>
        <w:t>处置的</w:t>
      </w:r>
      <w:r>
        <w:rPr>
          <w:rFonts w:hint="eastAsia"/>
          <w:color w:val="auto"/>
        </w:rPr>
        <w:t>危险废物</w:t>
      </w:r>
      <w:r>
        <w:rPr>
          <w:color w:val="auto"/>
        </w:rPr>
        <w:t>主要来自</w:t>
      </w:r>
      <w:r>
        <w:rPr>
          <w:bCs/>
          <w:color w:val="auto"/>
          <w:lang w:val="en-US"/>
        </w:rPr>
        <w:t>预处理中心的预处理产物，来源于昌吉州及周边县市；少量</w:t>
      </w:r>
      <w:r>
        <w:rPr>
          <w:color w:val="auto"/>
        </w:rPr>
        <w:t>来自吐鲁番市及周边县市收集的危险废物。</w:t>
      </w:r>
      <w:bookmarkEnd w:id="155"/>
    </w:p>
    <w:p w14:paraId="76FC633E" w14:textId="77777777" w:rsidR="002E474C" w:rsidRDefault="00000000">
      <w:pPr>
        <w:pStyle w:val="A-z"/>
        <w:rPr>
          <w:color w:val="auto"/>
          <w:lang w:val="en-US"/>
        </w:rPr>
      </w:pPr>
      <w:r>
        <w:rPr>
          <w:color w:val="auto"/>
        </w:rPr>
        <w:t>根据</w:t>
      </w:r>
      <w:bookmarkStart w:id="156" w:name="OLE_LINK56"/>
      <w:r>
        <w:rPr>
          <w:color w:val="auto"/>
        </w:rPr>
        <w:t>《昌吉州固体废物污染环境防治信息公告（</w:t>
      </w:r>
      <w:r>
        <w:rPr>
          <w:color w:val="auto"/>
        </w:rPr>
        <w:t>2024</w:t>
      </w:r>
      <w:r>
        <w:rPr>
          <w:color w:val="auto"/>
        </w:rPr>
        <w:t>年》</w:t>
      </w:r>
      <w:bookmarkEnd w:id="156"/>
      <w:r>
        <w:rPr>
          <w:color w:val="auto"/>
        </w:rPr>
        <w:t>，</w:t>
      </w:r>
      <w:r>
        <w:rPr>
          <w:color w:val="auto"/>
          <w:lang w:val="en-US"/>
        </w:rPr>
        <w:t>2024</w:t>
      </w:r>
      <w:r>
        <w:rPr>
          <w:color w:val="auto"/>
          <w:lang w:val="en-US"/>
        </w:rPr>
        <w:t>年昌吉州危险废物产生量为</w:t>
      </w:r>
      <w:r>
        <w:rPr>
          <w:color w:val="auto"/>
          <w:lang w:val="en-US"/>
        </w:rPr>
        <w:t>51.45</w:t>
      </w:r>
      <w:r>
        <w:rPr>
          <w:color w:val="auto"/>
          <w:lang w:val="en-US"/>
        </w:rPr>
        <w:t>万吨。其中，利用处置量</w:t>
      </w:r>
      <w:r>
        <w:rPr>
          <w:color w:val="auto"/>
          <w:lang w:val="en-US"/>
        </w:rPr>
        <w:t>51.25</w:t>
      </w:r>
      <w:r>
        <w:rPr>
          <w:color w:val="auto"/>
          <w:lang w:val="en-US"/>
        </w:rPr>
        <w:t>万吨、新增贮存量</w:t>
      </w:r>
      <w:r>
        <w:rPr>
          <w:color w:val="auto"/>
          <w:lang w:val="en-US"/>
        </w:rPr>
        <w:t>0.2</w:t>
      </w:r>
      <w:r>
        <w:rPr>
          <w:color w:val="auto"/>
          <w:lang w:val="en-US"/>
        </w:rPr>
        <w:t>万吨。主要处置方式为填埋、焚烧、物理化学处理（如蒸发、干燥、中和、沉淀等）。</w:t>
      </w:r>
      <w:r>
        <w:rPr>
          <w:color w:val="auto"/>
        </w:rPr>
        <w:t>昌吉州</w:t>
      </w:r>
      <w:r>
        <w:rPr>
          <w:color w:val="auto"/>
          <w:lang w:val="en-US"/>
        </w:rPr>
        <w:t>危险废物产生量排名前五的行业依次为铝冶炼、有机化学原料制造、炼焦、陆地石油开采、铜冶炼，分别占全州危险废物产生总量的</w:t>
      </w:r>
      <w:r>
        <w:rPr>
          <w:color w:val="auto"/>
          <w:lang w:val="en-US"/>
        </w:rPr>
        <w:t>22.8%</w:t>
      </w:r>
      <w:r>
        <w:rPr>
          <w:color w:val="auto"/>
          <w:lang w:val="en-US"/>
        </w:rPr>
        <w:t>、</w:t>
      </w:r>
      <w:r>
        <w:rPr>
          <w:color w:val="auto"/>
          <w:lang w:val="en-US"/>
        </w:rPr>
        <w:t>22.1%</w:t>
      </w:r>
      <w:r>
        <w:rPr>
          <w:color w:val="auto"/>
          <w:lang w:val="en-US"/>
        </w:rPr>
        <w:t>、</w:t>
      </w:r>
      <w:r>
        <w:rPr>
          <w:color w:val="auto"/>
          <w:lang w:val="en-US"/>
        </w:rPr>
        <w:t>18.1%</w:t>
      </w:r>
      <w:r>
        <w:rPr>
          <w:color w:val="auto"/>
          <w:lang w:val="en-US"/>
        </w:rPr>
        <w:t>、</w:t>
      </w:r>
      <w:r>
        <w:rPr>
          <w:color w:val="auto"/>
          <w:lang w:val="en-US"/>
        </w:rPr>
        <w:t>17.9%</w:t>
      </w:r>
      <w:r>
        <w:rPr>
          <w:color w:val="auto"/>
          <w:lang w:val="en-US"/>
        </w:rPr>
        <w:t>、</w:t>
      </w:r>
      <w:r>
        <w:rPr>
          <w:color w:val="auto"/>
          <w:lang w:val="en-US"/>
        </w:rPr>
        <w:t>5.3%</w:t>
      </w:r>
      <w:r>
        <w:rPr>
          <w:color w:val="auto"/>
          <w:lang w:val="en-US"/>
        </w:rPr>
        <w:t>；危险废物产生量排名前五的种类依次为</w:t>
      </w:r>
      <w:r>
        <w:rPr>
          <w:color w:val="auto"/>
          <w:lang w:val="en-US"/>
        </w:rPr>
        <w:t>HW11</w:t>
      </w:r>
      <w:r>
        <w:rPr>
          <w:color w:val="auto"/>
          <w:lang w:val="en-US"/>
        </w:rPr>
        <w:t>精（蒸）馏残渣，</w:t>
      </w:r>
      <w:r>
        <w:rPr>
          <w:color w:val="auto"/>
          <w:lang w:val="en-US"/>
        </w:rPr>
        <w:t>HW48</w:t>
      </w:r>
      <w:r>
        <w:rPr>
          <w:color w:val="auto"/>
          <w:lang w:val="en-US"/>
        </w:rPr>
        <w:t>有色金属采选和冶炼废物，</w:t>
      </w:r>
      <w:r>
        <w:rPr>
          <w:color w:val="auto"/>
          <w:lang w:val="en-US"/>
        </w:rPr>
        <w:t>HW08</w:t>
      </w:r>
      <w:r>
        <w:rPr>
          <w:color w:val="auto"/>
          <w:lang w:val="en-US"/>
        </w:rPr>
        <w:t>废矿物油与含矿物油废物，</w:t>
      </w:r>
      <w:r>
        <w:rPr>
          <w:color w:val="auto"/>
          <w:lang w:val="en-US"/>
        </w:rPr>
        <w:t>HW34</w:t>
      </w:r>
      <w:r>
        <w:rPr>
          <w:color w:val="auto"/>
          <w:lang w:val="en-US"/>
        </w:rPr>
        <w:t>废酸，</w:t>
      </w:r>
      <w:r>
        <w:rPr>
          <w:color w:val="auto"/>
          <w:lang w:val="en-US"/>
        </w:rPr>
        <w:t>HW49</w:t>
      </w:r>
      <w:r>
        <w:rPr>
          <w:color w:val="auto"/>
          <w:lang w:val="en-US"/>
        </w:rPr>
        <w:t>其他废物，产生量分别占全州危险废物产生总量的</w:t>
      </w:r>
      <w:r>
        <w:rPr>
          <w:color w:val="auto"/>
          <w:lang w:val="en-US"/>
        </w:rPr>
        <w:t>37.6%</w:t>
      </w:r>
      <w:r>
        <w:rPr>
          <w:color w:val="auto"/>
          <w:lang w:val="en-US"/>
        </w:rPr>
        <w:t>、</w:t>
      </w:r>
      <w:r>
        <w:rPr>
          <w:color w:val="auto"/>
          <w:lang w:val="en-US"/>
        </w:rPr>
        <w:t>24.7%</w:t>
      </w:r>
      <w:r>
        <w:rPr>
          <w:color w:val="auto"/>
          <w:lang w:val="en-US"/>
        </w:rPr>
        <w:t>、</w:t>
      </w:r>
      <w:r>
        <w:rPr>
          <w:color w:val="auto"/>
          <w:lang w:val="en-US"/>
        </w:rPr>
        <w:t>20.3%</w:t>
      </w:r>
      <w:r>
        <w:rPr>
          <w:color w:val="auto"/>
          <w:lang w:val="en-US"/>
        </w:rPr>
        <w:t>、</w:t>
      </w:r>
      <w:r>
        <w:rPr>
          <w:color w:val="auto"/>
          <w:lang w:val="en-US"/>
        </w:rPr>
        <w:t>7.3%</w:t>
      </w:r>
      <w:r>
        <w:rPr>
          <w:color w:val="auto"/>
          <w:lang w:val="en-US"/>
        </w:rPr>
        <w:t>、</w:t>
      </w:r>
      <w:r>
        <w:rPr>
          <w:color w:val="auto"/>
          <w:lang w:val="en-US"/>
        </w:rPr>
        <w:t>3.5%</w:t>
      </w:r>
      <w:r>
        <w:rPr>
          <w:color w:val="auto"/>
          <w:lang w:val="en-US"/>
        </w:rPr>
        <w:t>。</w:t>
      </w:r>
      <w:r>
        <w:rPr>
          <w:color w:val="auto"/>
        </w:rPr>
        <w:t>昌吉州</w:t>
      </w:r>
      <w:r>
        <w:rPr>
          <w:color w:val="auto"/>
          <w:lang w:val="en-US"/>
        </w:rPr>
        <w:t>共有</w:t>
      </w:r>
      <w:r>
        <w:rPr>
          <w:color w:val="auto"/>
          <w:lang w:val="en-US"/>
        </w:rPr>
        <w:t>18</w:t>
      </w:r>
      <w:r>
        <w:rPr>
          <w:color w:val="auto"/>
          <w:lang w:val="en-US"/>
        </w:rPr>
        <w:t>家单位从事危险废物处置活动，处置能力为</w:t>
      </w:r>
      <w:r>
        <w:rPr>
          <w:color w:val="auto"/>
          <w:lang w:val="en-US"/>
        </w:rPr>
        <w:t>118.4</w:t>
      </w:r>
      <w:r>
        <w:rPr>
          <w:color w:val="auto"/>
          <w:lang w:val="en-US"/>
        </w:rPr>
        <w:t>万吨</w:t>
      </w:r>
      <w:r>
        <w:rPr>
          <w:color w:val="auto"/>
          <w:lang w:val="en-US"/>
        </w:rPr>
        <w:t>/</w:t>
      </w:r>
      <w:r>
        <w:rPr>
          <w:color w:val="auto"/>
          <w:lang w:val="en-US"/>
        </w:rPr>
        <w:t>年。其中仅有</w:t>
      </w:r>
      <w:r>
        <w:rPr>
          <w:color w:val="auto"/>
        </w:rPr>
        <w:t>中建环能科技股份有限公司采用水泥窑协同处置方式处置危险废物。</w:t>
      </w:r>
    </w:p>
    <w:p w14:paraId="4B782F5E" w14:textId="77777777" w:rsidR="002E474C" w:rsidRDefault="00000000">
      <w:pPr>
        <w:pStyle w:val="A-z"/>
        <w:rPr>
          <w:color w:val="auto"/>
        </w:rPr>
      </w:pPr>
      <w:r>
        <w:rPr>
          <w:color w:val="auto"/>
        </w:rPr>
        <w:lastRenderedPageBreak/>
        <w:t>根据《</w:t>
      </w:r>
      <w:r>
        <w:rPr>
          <w:color w:val="auto"/>
          <w:lang w:val="en-US"/>
        </w:rPr>
        <w:t>吐鲁番市固体废物污染环境防治信息公告（</w:t>
      </w:r>
      <w:r>
        <w:rPr>
          <w:color w:val="auto"/>
          <w:lang w:val="en-US"/>
        </w:rPr>
        <w:t>2024</w:t>
      </w:r>
      <w:r>
        <w:rPr>
          <w:color w:val="auto"/>
          <w:lang w:val="en-US"/>
        </w:rPr>
        <w:t>年）</w:t>
      </w:r>
      <w:r>
        <w:rPr>
          <w:color w:val="auto"/>
        </w:rPr>
        <w:t>》，</w:t>
      </w:r>
      <w:r>
        <w:rPr>
          <w:color w:val="auto"/>
          <w:lang w:val="en-US"/>
        </w:rPr>
        <w:t>2024</w:t>
      </w:r>
      <w:r>
        <w:rPr>
          <w:color w:val="auto"/>
          <w:lang w:val="en-US"/>
        </w:rPr>
        <w:t>年吐鲁番市危险废物产生量为</w:t>
      </w:r>
      <w:r>
        <w:rPr>
          <w:color w:val="auto"/>
          <w:lang w:val="en-US"/>
        </w:rPr>
        <w:t>36.72</w:t>
      </w:r>
      <w:r>
        <w:rPr>
          <w:color w:val="auto"/>
          <w:lang w:val="en-US"/>
        </w:rPr>
        <w:t>万吨。其中，利用量</w:t>
      </w:r>
      <w:r>
        <w:rPr>
          <w:color w:val="auto"/>
          <w:lang w:val="en-US"/>
        </w:rPr>
        <w:t>16.68</w:t>
      </w:r>
      <w:r>
        <w:rPr>
          <w:color w:val="auto"/>
          <w:lang w:val="en-US"/>
        </w:rPr>
        <w:t>万吨、处置量</w:t>
      </w:r>
      <w:r>
        <w:rPr>
          <w:color w:val="auto"/>
          <w:lang w:val="en-US"/>
        </w:rPr>
        <w:t>18.11</w:t>
      </w:r>
      <w:r>
        <w:rPr>
          <w:color w:val="auto"/>
          <w:lang w:val="en-US"/>
        </w:rPr>
        <w:t>万吨、贮存量</w:t>
      </w:r>
      <w:r>
        <w:rPr>
          <w:color w:val="auto"/>
          <w:lang w:val="en-US"/>
        </w:rPr>
        <w:t>1.93</w:t>
      </w:r>
      <w:r>
        <w:rPr>
          <w:color w:val="auto"/>
          <w:lang w:val="en-US"/>
        </w:rPr>
        <w:t>万吨。主要处置方式为：水泥窑协同处置、微波消毒、热解析等。吐鲁番市危险废物产生量排名前五的行业依次为石油、煤炭及其他燃料加工业、化学原料和化学制品制造业、石油和天然气开采业、非金属矿物制品业、卫生，分别占全市危险废物产生总量的</w:t>
      </w:r>
      <w:r>
        <w:rPr>
          <w:color w:val="auto"/>
          <w:lang w:val="en-US"/>
        </w:rPr>
        <w:t>55%</w:t>
      </w:r>
      <w:r>
        <w:rPr>
          <w:color w:val="auto"/>
          <w:lang w:val="en-US"/>
        </w:rPr>
        <w:t>、</w:t>
      </w:r>
      <w:r>
        <w:rPr>
          <w:color w:val="auto"/>
          <w:lang w:val="en-US"/>
        </w:rPr>
        <w:t>38.5%</w:t>
      </w:r>
      <w:r>
        <w:rPr>
          <w:color w:val="auto"/>
          <w:lang w:val="en-US"/>
        </w:rPr>
        <w:t>、</w:t>
      </w:r>
      <w:r>
        <w:rPr>
          <w:color w:val="auto"/>
          <w:lang w:val="en-US"/>
        </w:rPr>
        <w:t>5.2%</w:t>
      </w:r>
      <w:r>
        <w:rPr>
          <w:color w:val="auto"/>
          <w:lang w:val="en-US"/>
        </w:rPr>
        <w:t>、</w:t>
      </w:r>
      <w:r>
        <w:rPr>
          <w:color w:val="auto"/>
          <w:lang w:val="en-US"/>
        </w:rPr>
        <w:t>0.8%</w:t>
      </w:r>
      <w:r>
        <w:rPr>
          <w:color w:val="auto"/>
          <w:lang w:val="en-US"/>
        </w:rPr>
        <w:t>、</w:t>
      </w:r>
      <w:r>
        <w:rPr>
          <w:color w:val="auto"/>
          <w:lang w:val="en-US"/>
        </w:rPr>
        <w:t>0.2%</w:t>
      </w:r>
      <w:r>
        <w:rPr>
          <w:color w:val="auto"/>
          <w:lang w:val="en-US"/>
        </w:rPr>
        <w:t>。吐鲁番市危险废物产生量排名前五的种类依次为</w:t>
      </w:r>
      <w:r>
        <w:rPr>
          <w:color w:val="auto"/>
          <w:lang w:val="en-US"/>
        </w:rPr>
        <w:t>HW11</w:t>
      </w:r>
      <w:r>
        <w:rPr>
          <w:color w:val="auto"/>
          <w:lang w:val="en-US"/>
        </w:rPr>
        <w:t>精（蒸）馏残渣、</w:t>
      </w:r>
      <w:r>
        <w:rPr>
          <w:color w:val="auto"/>
          <w:lang w:val="en-US"/>
        </w:rPr>
        <w:t>HW21</w:t>
      </w:r>
      <w:r>
        <w:rPr>
          <w:color w:val="auto"/>
          <w:lang w:val="en-US"/>
        </w:rPr>
        <w:t>含铬废物、</w:t>
      </w:r>
      <w:r>
        <w:rPr>
          <w:color w:val="auto"/>
          <w:lang w:val="en-US"/>
        </w:rPr>
        <w:t>HW08</w:t>
      </w:r>
      <w:r>
        <w:rPr>
          <w:color w:val="auto"/>
          <w:lang w:val="en-US"/>
        </w:rPr>
        <w:t>废矿物油与含矿物油废物、</w:t>
      </w:r>
      <w:r>
        <w:rPr>
          <w:color w:val="auto"/>
          <w:lang w:val="en-US"/>
        </w:rPr>
        <w:t>HW50</w:t>
      </w:r>
      <w:r>
        <w:rPr>
          <w:color w:val="auto"/>
          <w:lang w:val="en-US"/>
        </w:rPr>
        <w:t>废催化剂、</w:t>
      </w:r>
      <w:r>
        <w:rPr>
          <w:color w:val="auto"/>
          <w:lang w:val="en-US"/>
        </w:rPr>
        <w:t>HW34</w:t>
      </w:r>
      <w:r>
        <w:rPr>
          <w:color w:val="auto"/>
          <w:lang w:val="en-US"/>
        </w:rPr>
        <w:t>废酸，产生量分别占全市危险废物产生总量的</w:t>
      </w:r>
      <w:r>
        <w:rPr>
          <w:color w:val="auto"/>
          <w:lang w:val="en-US"/>
        </w:rPr>
        <w:t>74%</w:t>
      </w:r>
      <w:r>
        <w:rPr>
          <w:color w:val="auto"/>
          <w:lang w:val="en-US"/>
        </w:rPr>
        <w:t>、</w:t>
      </w:r>
      <w:r>
        <w:rPr>
          <w:color w:val="auto"/>
          <w:lang w:val="en-US"/>
        </w:rPr>
        <w:t>11%</w:t>
      </w:r>
      <w:r>
        <w:rPr>
          <w:color w:val="auto"/>
          <w:lang w:val="en-US"/>
        </w:rPr>
        <w:t>、</w:t>
      </w:r>
      <w:r>
        <w:rPr>
          <w:color w:val="auto"/>
          <w:lang w:val="en-US"/>
        </w:rPr>
        <w:t>5.4%</w:t>
      </w:r>
      <w:r>
        <w:rPr>
          <w:color w:val="auto"/>
          <w:lang w:val="en-US"/>
        </w:rPr>
        <w:t>、</w:t>
      </w:r>
      <w:r>
        <w:rPr>
          <w:color w:val="auto"/>
          <w:lang w:val="en-US"/>
        </w:rPr>
        <w:t>3.87%</w:t>
      </w:r>
      <w:r>
        <w:rPr>
          <w:color w:val="auto"/>
          <w:lang w:val="en-US"/>
        </w:rPr>
        <w:t>、</w:t>
      </w:r>
      <w:r>
        <w:rPr>
          <w:color w:val="auto"/>
          <w:lang w:val="en-US"/>
        </w:rPr>
        <w:t>2.3%</w:t>
      </w:r>
      <w:r>
        <w:rPr>
          <w:color w:val="auto"/>
          <w:lang w:val="en-US"/>
        </w:rPr>
        <w:t>。吐鲁番市共有</w:t>
      </w:r>
      <w:r>
        <w:rPr>
          <w:color w:val="auto"/>
          <w:lang w:val="en-US"/>
        </w:rPr>
        <w:t>14</w:t>
      </w:r>
      <w:r>
        <w:rPr>
          <w:color w:val="auto"/>
          <w:lang w:val="en-US"/>
        </w:rPr>
        <w:t>家危险废物（含医疗废物）许可证持证单位。其中</w:t>
      </w:r>
      <w:r>
        <w:rPr>
          <w:color w:val="auto"/>
        </w:rPr>
        <w:t>，仅有</w:t>
      </w:r>
      <w:r>
        <w:rPr>
          <w:color w:val="auto"/>
          <w:lang w:val="en-US"/>
        </w:rPr>
        <w:t>吐鲁番天山金越环境科技有限公司吐鲁番天山水泥有限责任公司（独立法人的联合体）</w:t>
      </w:r>
      <w:r>
        <w:rPr>
          <w:color w:val="auto"/>
        </w:rPr>
        <w:t>采用水泥窑协同处置方式处理危险废物。该单位</w:t>
      </w:r>
      <w:r>
        <w:rPr>
          <w:color w:val="auto"/>
          <w:lang w:val="en-US"/>
        </w:rPr>
        <w:t>已于</w:t>
      </w:r>
      <w:r>
        <w:rPr>
          <w:color w:val="auto"/>
          <w:lang w:val="en-US"/>
        </w:rPr>
        <w:t>2026</w:t>
      </w:r>
      <w:r>
        <w:rPr>
          <w:color w:val="auto"/>
          <w:lang w:val="en-US"/>
        </w:rPr>
        <w:t>年</w:t>
      </w:r>
      <w:r>
        <w:rPr>
          <w:color w:val="auto"/>
          <w:lang w:val="en-US"/>
        </w:rPr>
        <w:t>1</w:t>
      </w:r>
      <w:r>
        <w:rPr>
          <w:color w:val="auto"/>
          <w:lang w:val="en-US"/>
        </w:rPr>
        <w:t>月注销危险废物经营许可证，退出</w:t>
      </w:r>
      <w:r>
        <w:rPr>
          <w:color w:val="auto"/>
        </w:rPr>
        <w:t>水泥窑协同处置</w:t>
      </w:r>
      <w:r>
        <w:rPr>
          <w:color w:val="auto"/>
          <w:lang w:val="en-US"/>
        </w:rPr>
        <w:t>行业。</w:t>
      </w:r>
    </w:p>
    <w:p w14:paraId="5CBE0E13" w14:textId="77777777" w:rsidR="002E474C" w:rsidRDefault="00000000">
      <w:pPr>
        <w:pStyle w:val="A-z"/>
        <w:ind w:firstLine="456"/>
        <w:rPr>
          <w:color w:val="auto"/>
          <w:spacing w:val="-6"/>
        </w:rPr>
      </w:pPr>
      <w:r>
        <w:rPr>
          <w:color w:val="auto"/>
          <w:spacing w:val="-6"/>
        </w:rPr>
        <w:t>本项目协同处置的危险废物涉及《国家危险废物名录（</w:t>
      </w:r>
      <w:r>
        <w:rPr>
          <w:color w:val="auto"/>
          <w:spacing w:val="-6"/>
        </w:rPr>
        <w:t>2025</w:t>
      </w:r>
      <w:r>
        <w:rPr>
          <w:color w:val="auto"/>
          <w:spacing w:val="-6"/>
        </w:rPr>
        <w:t>年版）》中的</w:t>
      </w:r>
      <w:r>
        <w:rPr>
          <w:color w:val="auto"/>
          <w:spacing w:val="-6"/>
        </w:rPr>
        <w:t>36</w:t>
      </w:r>
      <w:r>
        <w:rPr>
          <w:color w:val="auto"/>
          <w:spacing w:val="-6"/>
        </w:rPr>
        <w:t>种类别</w:t>
      </w:r>
      <w:r>
        <w:rPr>
          <w:rFonts w:hint="eastAsia"/>
          <w:color w:val="auto"/>
          <w:spacing w:val="-6"/>
        </w:rPr>
        <w:t>，</w:t>
      </w:r>
      <w:r>
        <w:rPr>
          <w:color w:val="auto"/>
          <w:spacing w:val="-6"/>
        </w:rPr>
        <w:t>包括</w:t>
      </w:r>
      <w:bookmarkStart w:id="157" w:name="_Hlk151207408"/>
      <w:r>
        <w:rPr>
          <w:color w:val="auto"/>
          <w:spacing w:val="-6"/>
        </w:rPr>
        <w:t>HW02</w:t>
      </w:r>
      <w:r>
        <w:rPr>
          <w:color w:val="auto"/>
          <w:spacing w:val="-6"/>
        </w:rPr>
        <w:t>医药废物、</w:t>
      </w:r>
      <w:r>
        <w:rPr>
          <w:color w:val="auto"/>
          <w:spacing w:val="-6"/>
        </w:rPr>
        <w:t>HW03</w:t>
      </w:r>
      <w:r>
        <w:rPr>
          <w:color w:val="auto"/>
          <w:spacing w:val="-6"/>
        </w:rPr>
        <w:t>废药物、药品</w:t>
      </w:r>
      <w:bookmarkEnd w:id="157"/>
      <w:r>
        <w:rPr>
          <w:color w:val="auto"/>
          <w:spacing w:val="-6"/>
        </w:rPr>
        <w:t>、</w:t>
      </w:r>
      <w:r>
        <w:rPr>
          <w:color w:val="auto"/>
          <w:spacing w:val="-6"/>
        </w:rPr>
        <w:t>HW04</w:t>
      </w:r>
      <w:r>
        <w:rPr>
          <w:color w:val="auto"/>
          <w:spacing w:val="-6"/>
        </w:rPr>
        <w:t>农药废物、</w:t>
      </w:r>
      <w:r>
        <w:rPr>
          <w:color w:val="auto"/>
          <w:spacing w:val="-6"/>
        </w:rPr>
        <w:t>HW05</w:t>
      </w:r>
      <w:r>
        <w:rPr>
          <w:color w:val="auto"/>
          <w:spacing w:val="-6"/>
        </w:rPr>
        <w:t>木材防腐剂废物、</w:t>
      </w:r>
      <w:r>
        <w:rPr>
          <w:color w:val="auto"/>
          <w:spacing w:val="-6"/>
        </w:rPr>
        <w:t>HW06</w:t>
      </w:r>
      <w:r>
        <w:rPr>
          <w:color w:val="auto"/>
          <w:spacing w:val="-6"/>
        </w:rPr>
        <w:t>废有机溶剂与含有机溶剂废物、</w:t>
      </w:r>
      <w:r>
        <w:rPr>
          <w:color w:val="auto"/>
          <w:spacing w:val="-6"/>
        </w:rPr>
        <w:t>HW07</w:t>
      </w:r>
      <w:r>
        <w:rPr>
          <w:color w:val="auto"/>
          <w:spacing w:val="-6"/>
        </w:rPr>
        <w:t>热处理含氰废物、</w:t>
      </w:r>
      <w:r>
        <w:rPr>
          <w:color w:val="auto"/>
          <w:spacing w:val="-6"/>
        </w:rPr>
        <w:t>HW08</w:t>
      </w:r>
      <w:r>
        <w:rPr>
          <w:color w:val="auto"/>
          <w:spacing w:val="-6"/>
        </w:rPr>
        <w:t>废矿物油与含矿物油废物、</w:t>
      </w:r>
      <w:r>
        <w:rPr>
          <w:color w:val="auto"/>
          <w:spacing w:val="-6"/>
        </w:rPr>
        <w:t>HW09</w:t>
      </w:r>
      <w:r>
        <w:rPr>
          <w:color w:val="auto"/>
          <w:spacing w:val="-6"/>
        </w:rPr>
        <w:t>油</w:t>
      </w:r>
      <w:r>
        <w:rPr>
          <w:color w:val="auto"/>
          <w:spacing w:val="-6"/>
        </w:rPr>
        <w:t>/</w:t>
      </w:r>
      <w:r>
        <w:rPr>
          <w:color w:val="auto"/>
          <w:spacing w:val="-6"/>
        </w:rPr>
        <w:t>水、烃</w:t>
      </w:r>
      <w:r>
        <w:rPr>
          <w:color w:val="auto"/>
          <w:spacing w:val="-6"/>
        </w:rPr>
        <w:t>/</w:t>
      </w:r>
      <w:r>
        <w:rPr>
          <w:color w:val="auto"/>
          <w:spacing w:val="-6"/>
        </w:rPr>
        <w:t>水混合物或乳化液、</w:t>
      </w:r>
      <w:r>
        <w:rPr>
          <w:color w:val="auto"/>
          <w:spacing w:val="-6"/>
        </w:rPr>
        <w:t>HW11</w:t>
      </w:r>
      <w:r>
        <w:rPr>
          <w:color w:val="auto"/>
          <w:spacing w:val="-6"/>
        </w:rPr>
        <w:t>精（蒸）馏残渣、</w:t>
      </w:r>
      <w:r>
        <w:rPr>
          <w:color w:val="auto"/>
          <w:spacing w:val="-6"/>
        </w:rPr>
        <w:t>HW12</w:t>
      </w:r>
      <w:r>
        <w:rPr>
          <w:color w:val="auto"/>
          <w:spacing w:val="-6"/>
        </w:rPr>
        <w:t>染料、涂料废物、</w:t>
      </w:r>
      <w:r>
        <w:rPr>
          <w:color w:val="auto"/>
          <w:spacing w:val="-6"/>
        </w:rPr>
        <w:t>HW13</w:t>
      </w:r>
      <w:r>
        <w:rPr>
          <w:color w:val="auto"/>
          <w:spacing w:val="-6"/>
        </w:rPr>
        <w:t>有机树脂类废物、</w:t>
      </w:r>
      <w:r>
        <w:rPr>
          <w:color w:val="auto"/>
          <w:spacing w:val="-6"/>
        </w:rPr>
        <w:t>HW14</w:t>
      </w:r>
      <w:r>
        <w:rPr>
          <w:color w:val="auto"/>
          <w:spacing w:val="-6"/>
        </w:rPr>
        <w:t>新化学物质废物、</w:t>
      </w:r>
      <w:r>
        <w:rPr>
          <w:color w:val="auto"/>
          <w:spacing w:val="-6"/>
        </w:rPr>
        <w:t>HW16</w:t>
      </w:r>
      <w:r>
        <w:rPr>
          <w:color w:val="auto"/>
          <w:spacing w:val="-6"/>
        </w:rPr>
        <w:t>感光材料废物、</w:t>
      </w:r>
      <w:r>
        <w:rPr>
          <w:color w:val="auto"/>
          <w:spacing w:val="-6"/>
        </w:rPr>
        <w:t>HW17</w:t>
      </w:r>
      <w:r>
        <w:rPr>
          <w:color w:val="auto"/>
          <w:spacing w:val="-6"/>
        </w:rPr>
        <w:t>表面处理废物、</w:t>
      </w:r>
      <w:r>
        <w:rPr>
          <w:color w:val="auto"/>
          <w:spacing w:val="-6"/>
        </w:rPr>
        <w:t>HW18</w:t>
      </w:r>
      <w:r>
        <w:rPr>
          <w:color w:val="auto"/>
          <w:spacing w:val="-6"/>
        </w:rPr>
        <w:t>焚烧处置残渣、</w:t>
      </w:r>
      <w:r>
        <w:rPr>
          <w:color w:val="auto"/>
          <w:spacing w:val="-6"/>
        </w:rPr>
        <w:t>HW19</w:t>
      </w:r>
      <w:r>
        <w:rPr>
          <w:color w:val="auto"/>
          <w:spacing w:val="-6"/>
        </w:rPr>
        <w:t>含金属羰基化合物废物、</w:t>
      </w:r>
      <w:r>
        <w:rPr>
          <w:color w:val="auto"/>
          <w:spacing w:val="-6"/>
        </w:rPr>
        <w:t>HW20</w:t>
      </w:r>
      <w:r>
        <w:rPr>
          <w:color w:val="auto"/>
          <w:spacing w:val="-6"/>
        </w:rPr>
        <w:t>含铍废物、</w:t>
      </w:r>
      <w:r>
        <w:rPr>
          <w:color w:val="auto"/>
          <w:spacing w:val="-6"/>
        </w:rPr>
        <w:t>HW21</w:t>
      </w:r>
      <w:r>
        <w:rPr>
          <w:color w:val="auto"/>
          <w:spacing w:val="-6"/>
        </w:rPr>
        <w:t>含铬废物、</w:t>
      </w:r>
      <w:r>
        <w:rPr>
          <w:color w:val="auto"/>
          <w:spacing w:val="-6"/>
        </w:rPr>
        <w:t>HW22</w:t>
      </w:r>
      <w:r>
        <w:rPr>
          <w:color w:val="auto"/>
          <w:spacing w:val="-6"/>
        </w:rPr>
        <w:t>含铜废物、</w:t>
      </w:r>
      <w:r>
        <w:rPr>
          <w:color w:val="auto"/>
          <w:spacing w:val="-6"/>
        </w:rPr>
        <w:t>HW23</w:t>
      </w:r>
      <w:r>
        <w:rPr>
          <w:color w:val="auto"/>
          <w:spacing w:val="-6"/>
        </w:rPr>
        <w:t>含锌废物、</w:t>
      </w:r>
      <w:r>
        <w:rPr>
          <w:color w:val="auto"/>
          <w:spacing w:val="-6"/>
        </w:rPr>
        <w:t>HW24</w:t>
      </w:r>
      <w:r>
        <w:rPr>
          <w:color w:val="auto"/>
          <w:spacing w:val="-6"/>
        </w:rPr>
        <w:t>含砷废物、</w:t>
      </w:r>
      <w:r>
        <w:rPr>
          <w:color w:val="auto"/>
          <w:spacing w:val="-6"/>
        </w:rPr>
        <w:t>HW31</w:t>
      </w:r>
      <w:r>
        <w:rPr>
          <w:color w:val="auto"/>
          <w:spacing w:val="-6"/>
        </w:rPr>
        <w:t>含铅废物、</w:t>
      </w:r>
      <w:r>
        <w:rPr>
          <w:color w:val="auto"/>
          <w:spacing w:val="-6"/>
        </w:rPr>
        <w:t>HW32</w:t>
      </w:r>
      <w:r>
        <w:rPr>
          <w:color w:val="auto"/>
          <w:spacing w:val="-6"/>
        </w:rPr>
        <w:t>无机氟化物废物、</w:t>
      </w:r>
      <w:r>
        <w:rPr>
          <w:color w:val="auto"/>
          <w:spacing w:val="-6"/>
        </w:rPr>
        <w:t>HW33</w:t>
      </w:r>
      <w:r>
        <w:rPr>
          <w:color w:val="auto"/>
          <w:spacing w:val="-6"/>
        </w:rPr>
        <w:t>无机氰化物废物、</w:t>
      </w:r>
      <w:r>
        <w:rPr>
          <w:color w:val="auto"/>
          <w:spacing w:val="-6"/>
        </w:rPr>
        <w:t>HW34</w:t>
      </w:r>
      <w:r>
        <w:rPr>
          <w:color w:val="auto"/>
          <w:spacing w:val="-6"/>
        </w:rPr>
        <w:t>废酸、</w:t>
      </w:r>
      <w:r>
        <w:rPr>
          <w:color w:val="auto"/>
          <w:spacing w:val="-6"/>
        </w:rPr>
        <w:t>HW35</w:t>
      </w:r>
      <w:r>
        <w:rPr>
          <w:color w:val="auto"/>
          <w:spacing w:val="-6"/>
        </w:rPr>
        <w:t>废碱、</w:t>
      </w:r>
      <w:r>
        <w:rPr>
          <w:color w:val="auto"/>
          <w:spacing w:val="-6"/>
        </w:rPr>
        <w:t>HW37</w:t>
      </w:r>
      <w:r>
        <w:rPr>
          <w:color w:val="auto"/>
          <w:spacing w:val="-6"/>
        </w:rPr>
        <w:t>有机磷化合物废物、</w:t>
      </w:r>
      <w:r>
        <w:rPr>
          <w:color w:val="auto"/>
          <w:spacing w:val="-6"/>
        </w:rPr>
        <w:t>HW38</w:t>
      </w:r>
      <w:r>
        <w:rPr>
          <w:color w:val="auto"/>
          <w:spacing w:val="-6"/>
        </w:rPr>
        <w:t>有机氰化废物、</w:t>
      </w:r>
      <w:r>
        <w:rPr>
          <w:color w:val="auto"/>
          <w:spacing w:val="-6"/>
        </w:rPr>
        <w:t>HW39</w:t>
      </w:r>
      <w:r>
        <w:rPr>
          <w:color w:val="auto"/>
          <w:spacing w:val="-6"/>
        </w:rPr>
        <w:t>含酚废物、</w:t>
      </w:r>
      <w:r>
        <w:rPr>
          <w:color w:val="auto"/>
          <w:spacing w:val="-6"/>
        </w:rPr>
        <w:t>HW40</w:t>
      </w:r>
      <w:r>
        <w:rPr>
          <w:color w:val="auto"/>
          <w:spacing w:val="-6"/>
        </w:rPr>
        <w:t>含醚废物、</w:t>
      </w:r>
      <w:r>
        <w:rPr>
          <w:color w:val="auto"/>
          <w:spacing w:val="-6"/>
        </w:rPr>
        <w:t>HW45</w:t>
      </w:r>
      <w:r>
        <w:rPr>
          <w:color w:val="auto"/>
          <w:spacing w:val="-6"/>
        </w:rPr>
        <w:t>含有机卤化物废物、</w:t>
      </w:r>
      <w:r>
        <w:rPr>
          <w:color w:val="auto"/>
          <w:spacing w:val="-6"/>
        </w:rPr>
        <w:t>HW46</w:t>
      </w:r>
      <w:r>
        <w:rPr>
          <w:color w:val="auto"/>
          <w:spacing w:val="-6"/>
        </w:rPr>
        <w:t>含镍废物、</w:t>
      </w:r>
      <w:r>
        <w:rPr>
          <w:color w:val="auto"/>
          <w:spacing w:val="-6"/>
        </w:rPr>
        <w:t>HW47</w:t>
      </w:r>
      <w:r>
        <w:rPr>
          <w:color w:val="auto"/>
          <w:spacing w:val="-6"/>
        </w:rPr>
        <w:t>含钡废物、</w:t>
      </w:r>
      <w:r>
        <w:rPr>
          <w:color w:val="auto"/>
          <w:spacing w:val="-6"/>
        </w:rPr>
        <w:t>HW48</w:t>
      </w:r>
      <w:r>
        <w:rPr>
          <w:color w:val="auto"/>
          <w:spacing w:val="-6"/>
        </w:rPr>
        <w:t>有色金属采选和冶炼废物、</w:t>
      </w:r>
      <w:r>
        <w:rPr>
          <w:color w:val="auto"/>
          <w:spacing w:val="-6"/>
        </w:rPr>
        <w:t>HW49</w:t>
      </w:r>
      <w:r>
        <w:rPr>
          <w:color w:val="auto"/>
          <w:spacing w:val="-6"/>
        </w:rPr>
        <w:t>其他废物、</w:t>
      </w:r>
      <w:r>
        <w:rPr>
          <w:color w:val="auto"/>
          <w:spacing w:val="-6"/>
        </w:rPr>
        <w:t>HW50</w:t>
      </w:r>
      <w:r>
        <w:rPr>
          <w:color w:val="auto"/>
          <w:spacing w:val="-6"/>
        </w:rPr>
        <w:t>废催化剂等</w:t>
      </w:r>
      <w:r>
        <w:rPr>
          <w:color w:val="auto"/>
          <w:spacing w:val="-6"/>
        </w:rPr>
        <w:t>36</w:t>
      </w:r>
      <w:r>
        <w:rPr>
          <w:color w:val="auto"/>
          <w:spacing w:val="-6"/>
        </w:rPr>
        <w:t>类危险废物。</w:t>
      </w:r>
    </w:p>
    <w:p w14:paraId="2BC655B2" w14:textId="77777777" w:rsidR="002E474C" w:rsidRDefault="00000000">
      <w:pPr>
        <w:pStyle w:val="A-z"/>
        <w:rPr>
          <w:color w:val="auto"/>
          <w:spacing w:val="-6"/>
        </w:rPr>
      </w:pPr>
      <w:r>
        <w:rPr>
          <w:rFonts w:hint="eastAsia"/>
          <w:color w:val="auto"/>
        </w:rPr>
        <w:t>本项目处理的危险废物共涉及</w:t>
      </w:r>
      <w:r>
        <w:rPr>
          <w:color w:val="auto"/>
        </w:rPr>
        <w:t>《国家危险废物名录（</w:t>
      </w:r>
      <w:r>
        <w:rPr>
          <w:color w:val="auto"/>
        </w:rPr>
        <w:t>202</w:t>
      </w:r>
      <w:r>
        <w:rPr>
          <w:rFonts w:hint="eastAsia"/>
          <w:color w:val="auto"/>
        </w:rPr>
        <w:t>5</w:t>
      </w:r>
      <w:r>
        <w:rPr>
          <w:color w:val="auto"/>
        </w:rPr>
        <w:t>）》</w:t>
      </w:r>
      <w:r>
        <w:rPr>
          <w:rFonts w:hint="eastAsia"/>
          <w:color w:val="auto"/>
        </w:rPr>
        <w:t>中的</w:t>
      </w:r>
      <w:r>
        <w:rPr>
          <w:color w:val="auto"/>
        </w:rPr>
        <w:t>3</w:t>
      </w:r>
      <w:r>
        <w:rPr>
          <w:rFonts w:hint="eastAsia"/>
          <w:color w:val="auto"/>
        </w:rPr>
        <w:t>6</w:t>
      </w:r>
      <w:r>
        <w:rPr>
          <w:color w:val="auto"/>
        </w:rPr>
        <w:t>种类别</w:t>
      </w:r>
      <w:r>
        <w:rPr>
          <w:color w:val="auto"/>
        </w:rPr>
        <w:t>41</w:t>
      </w:r>
      <w:r>
        <w:rPr>
          <w:rFonts w:hint="eastAsia"/>
          <w:color w:val="auto"/>
        </w:rPr>
        <w:t>7</w:t>
      </w:r>
      <w:r>
        <w:rPr>
          <w:rFonts w:hint="eastAsia"/>
          <w:color w:val="auto"/>
        </w:rPr>
        <w:t>个</w:t>
      </w:r>
      <w:r>
        <w:rPr>
          <w:color w:val="auto"/>
        </w:rPr>
        <w:t>代码</w:t>
      </w:r>
      <w:r>
        <w:rPr>
          <w:rFonts w:hint="eastAsia"/>
          <w:color w:val="auto"/>
        </w:rPr>
        <w:t>危废。</w:t>
      </w:r>
      <w:r>
        <w:rPr>
          <w:rFonts w:hint="eastAsia"/>
          <w:color w:val="auto"/>
          <w:spacing w:val="-6"/>
        </w:rPr>
        <w:t>与预处理中心相比，本项目新增处置危废类别为</w:t>
      </w:r>
      <w:r>
        <w:rPr>
          <w:color w:val="auto"/>
          <w:spacing w:val="-6"/>
        </w:rPr>
        <w:t>HW20</w:t>
      </w:r>
      <w:r>
        <w:rPr>
          <w:color w:val="auto"/>
          <w:spacing w:val="-6"/>
        </w:rPr>
        <w:t>含铍废物</w:t>
      </w:r>
      <w:r>
        <w:rPr>
          <w:rFonts w:hint="eastAsia"/>
          <w:color w:val="auto"/>
          <w:spacing w:val="-6"/>
        </w:rPr>
        <w:t>，新增处置危废代码包括</w:t>
      </w:r>
      <w:r>
        <w:rPr>
          <w:color w:val="auto"/>
          <w:spacing w:val="-6"/>
        </w:rPr>
        <w:t>261-040-20</w:t>
      </w:r>
      <w:r>
        <w:rPr>
          <w:rFonts w:hint="eastAsia"/>
          <w:color w:val="auto"/>
          <w:spacing w:val="-6"/>
        </w:rPr>
        <w:t>、</w:t>
      </w:r>
      <w:r>
        <w:rPr>
          <w:color w:val="auto"/>
          <w:spacing w:val="-6"/>
        </w:rPr>
        <w:t>321-024-48</w:t>
      </w:r>
      <w:r>
        <w:rPr>
          <w:rFonts w:hint="eastAsia"/>
          <w:color w:val="auto"/>
          <w:spacing w:val="-6"/>
        </w:rPr>
        <w:t>、</w:t>
      </w:r>
      <w:r>
        <w:rPr>
          <w:color w:val="auto"/>
          <w:spacing w:val="-6"/>
        </w:rPr>
        <w:t>321-026-48</w:t>
      </w:r>
      <w:r>
        <w:rPr>
          <w:rFonts w:hint="eastAsia"/>
          <w:color w:val="auto"/>
          <w:spacing w:val="-6"/>
        </w:rPr>
        <w:t>、</w:t>
      </w:r>
      <w:r>
        <w:rPr>
          <w:color w:val="auto"/>
          <w:spacing w:val="-6"/>
        </w:rPr>
        <w:t>321-035-48</w:t>
      </w:r>
      <w:r>
        <w:rPr>
          <w:rFonts w:hint="eastAsia"/>
          <w:color w:val="auto"/>
          <w:spacing w:val="-6"/>
        </w:rPr>
        <w:t>、</w:t>
      </w:r>
      <w:r>
        <w:rPr>
          <w:color w:val="auto"/>
          <w:spacing w:val="-6"/>
        </w:rPr>
        <w:t>321-036-48</w:t>
      </w:r>
      <w:r>
        <w:rPr>
          <w:rFonts w:hint="eastAsia"/>
          <w:color w:val="auto"/>
          <w:spacing w:val="-6"/>
        </w:rPr>
        <w:t>、</w:t>
      </w:r>
      <w:r>
        <w:rPr>
          <w:color w:val="auto"/>
          <w:spacing w:val="-6"/>
        </w:rPr>
        <w:t>321-037-48</w:t>
      </w:r>
      <w:r>
        <w:rPr>
          <w:rFonts w:hint="eastAsia"/>
          <w:color w:val="auto"/>
          <w:spacing w:val="-6"/>
        </w:rPr>
        <w:t>、</w:t>
      </w:r>
      <w:r>
        <w:rPr>
          <w:color w:val="auto"/>
          <w:spacing w:val="-6"/>
        </w:rPr>
        <w:t>321-038-48</w:t>
      </w:r>
      <w:r>
        <w:rPr>
          <w:rFonts w:hint="eastAsia"/>
          <w:color w:val="auto"/>
          <w:spacing w:val="-6"/>
        </w:rPr>
        <w:t>。</w:t>
      </w:r>
      <w:r>
        <w:rPr>
          <w:rFonts w:hint="eastAsia"/>
          <w:color w:val="auto"/>
        </w:rPr>
        <w:t>本项目与预处理中心处理类别与代码相同的</w:t>
      </w:r>
      <w:r>
        <w:rPr>
          <w:color w:val="auto"/>
        </w:rPr>
        <w:t>35</w:t>
      </w:r>
      <w:r>
        <w:rPr>
          <w:color w:val="auto"/>
        </w:rPr>
        <w:t>种类别</w:t>
      </w:r>
      <w:r>
        <w:rPr>
          <w:color w:val="auto"/>
        </w:rPr>
        <w:t>41</w:t>
      </w:r>
      <w:r>
        <w:rPr>
          <w:rFonts w:hint="eastAsia"/>
          <w:color w:val="auto"/>
        </w:rPr>
        <w:t>2</w:t>
      </w:r>
      <w:r>
        <w:rPr>
          <w:rFonts w:hint="eastAsia"/>
          <w:color w:val="auto"/>
        </w:rPr>
        <w:t>个</w:t>
      </w:r>
      <w:r>
        <w:rPr>
          <w:color w:val="auto"/>
        </w:rPr>
        <w:t>代码</w:t>
      </w:r>
      <w:r>
        <w:rPr>
          <w:rFonts w:hint="eastAsia"/>
          <w:color w:val="auto"/>
        </w:rPr>
        <w:t>危废主要为预处理中心的预处理产物，新增类别代码</w:t>
      </w:r>
      <w:r>
        <w:rPr>
          <w:color w:val="auto"/>
        </w:rPr>
        <w:t>危险废物</w:t>
      </w:r>
      <w:r>
        <w:rPr>
          <w:rFonts w:hint="eastAsia"/>
          <w:color w:val="auto"/>
        </w:rPr>
        <w:lastRenderedPageBreak/>
        <w:t>及少量</w:t>
      </w:r>
      <w:r>
        <w:rPr>
          <w:color w:val="auto"/>
        </w:rPr>
        <w:t>吐鲁番市及周边县市收集的危险废物</w:t>
      </w:r>
      <w:r>
        <w:rPr>
          <w:rFonts w:hint="eastAsia"/>
          <w:color w:val="auto"/>
        </w:rPr>
        <w:t>不在预处理中心处理，在本项目固态危废预处理车间处理。</w:t>
      </w:r>
    </w:p>
    <w:p w14:paraId="022EE272" w14:textId="77777777" w:rsidR="002E474C" w:rsidRDefault="00000000">
      <w:pPr>
        <w:pStyle w:val="A-z"/>
        <w:rPr>
          <w:color w:val="auto"/>
        </w:rPr>
      </w:pPr>
      <w:r>
        <w:rPr>
          <w:color w:val="auto"/>
        </w:rPr>
        <w:t>本项目拟处置危废类别及数量见表</w:t>
      </w:r>
      <w:r>
        <w:rPr>
          <w:color w:val="auto"/>
        </w:rPr>
        <w:t>3.4-1</w:t>
      </w:r>
      <w:r>
        <w:rPr>
          <w:color w:val="auto"/>
        </w:rPr>
        <w:t>，拟处置危废代码明细见表</w:t>
      </w:r>
      <w:r>
        <w:rPr>
          <w:color w:val="auto"/>
        </w:rPr>
        <w:t>3.4-2</w:t>
      </w:r>
      <w:r>
        <w:rPr>
          <w:color w:val="auto"/>
        </w:rPr>
        <w:t>。</w:t>
      </w:r>
    </w:p>
    <w:p w14:paraId="5BB1E656" w14:textId="77777777" w:rsidR="002E474C" w:rsidRDefault="00000000">
      <w:pPr>
        <w:pStyle w:val="A--"/>
        <w:rPr>
          <w:color w:val="auto"/>
        </w:rPr>
      </w:pPr>
      <w:bookmarkStart w:id="158" w:name="_Ref126752378"/>
      <w:r>
        <w:rPr>
          <w:color w:val="auto"/>
        </w:rPr>
        <w:t>表</w:t>
      </w:r>
      <w:bookmarkEnd w:id="158"/>
      <w:r>
        <w:rPr>
          <w:color w:val="auto"/>
        </w:rPr>
        <w:t xml:space="preserve">3.4-1  </w:t>
      </w:r>
      <w:r>
        <w:rPr>
          <w:color w:val="auto"/>
        </w:rPr>
        <w:t>本项目拟处置危废类别及数量一览表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871"/>
        <w:gridCol w:w="1397"/>
        <w:gridCol w:w="2325"/>
      </w:tblGrid>
      <w:tr w:rsidR="002E474C" w14:paraId="7586A606" w14:textId="77777777">
        <w:trPr>
          <w:trHeight w:val="255"/>
          <w:tblHeader/>
        </w:trPr>
        <w:tc>
          <w:tcPr>
            <w:tcW w:w="423" w:type="pct"/>
            <w:vAlign w:val="center"/>
          </w:tcPr>
          <w:p w14:paraId="52DE508D" w14:textId="77777777" w:rsidR="002E474C" w:rsidRDefault="00000000">
            <w:pPr>
              <w:pStyle w:val="A-"/>
            </w:pPr>
            <w:bookmarkStart w:id="159" w:name="OLE_LINK60"/>
            <w:r>
              <w:t>序号</w:t>
            </w:r>
          </w:p>
        </w:tc>
        <w:tc>
          <w:tcPr>
            <w:tcW w:w="2333" w:type="pct"/>
            <w:vAlign w:val="center"/>
          </w:tcPr>
          <w:p w14:paraId="35C523DD" w14:textId="77777777" w:rsidR="002E474C" w:rsidRDefault="00000000">
            <w:pPr>
              <w:pStyle w:val="A-"/>
            </w:pPr>
            <w:r>
              <w:t>危险废物类别</w:t>
            </w:r>
          </w:p>
        </w:tc>
        <w:tc>
          <w:tcPr>
            <w:tcW w:w="842" w:type="pct"/>
            <w:vAlign w:val="center"/>
          </w:tcPr>
          <w:p w14:paraId="66FDABAD" w14:textId="77777777" w:rsidR="002E474C" w:rsidRDefault="00000000">
            <w:pPr>
              <w:pStyle w:val="A-"/>
            </w:pPr>
            <w:r>
              <w:t>数量（</w:t>
            </w:r>
            <w:r>
              <w:t>t/a</w:t>
            </w:r>
            <w:r>
              <w:t>）</w:t>
            </w:r>
          </w:p>
        </w:tc>
        <w:tc>
          <w:tcPr>
            <w:tcW w:w="1401" w:type="pct"/>
          </w:tcPr>
          <w:p w14:paraId="2CAFF63F" w14:textId="77777777" w:rsidR="002E474C" w:rsidRDefault="00000000">
            <w:pPr>
              <w:pStyle w:val="A-"/>
            </w:pPr>
            <w:r>
              <w:t>形态</w:t>
            </w:r>
          </w:p>
        </w:tc>
      </w:tr>
      <w:tr w:rsidR="002E474C" w14:paraId="4F91F8F9" w14:textId="77777777">
        <w:trPr>
          <w:trHeight w:val="255"/>
        </w:trPr>
        <w:tc>
          <w:tcPr>
            <w:tcW w:w="423" w:type="pct"/>
            <w:vAlign w:val="center"/>
          </w:tcPr>
          <w:p w14:paraId="499C3DE6" w14:textId="77777777" w:rsidR="002E474C" w:rsidRDefault="00000000">
            <w:pPr>
              <w:pStyle w:val="A-"/>
            </w:pPr>
            <w:r>
              <w:t>1</w:t>
            </w:r>
          </w:p>
        </w:tc>
        <w:tc>
          <w:tcPr>
            <w:tcW w:w="2333" w:type="pct"/>
            <w:vAlign w:val="center"/>
          </w:tcPr>
          <w:p w14:paraId="09FF7501" w14:textId="77777777" w:rsidR="002E474C" w:rsidRDefault="00000000">
            <w:pPr>
              <w:pStyle w:val="A-"/>
            </w:pPr>
            <w:r>
              <w:t>HW02</w:t>
            </w:r>
            <w:r>
              <w:t>医药废物</w:t>
            </w:r>
          </w:p>
        </w:tc>
        <w:tc>
          <w:tcPr>
            <w:tcW w:w="842" w:type="pct"/>
            <w:vAlign w:val="center"/>
          </w:tcPr>
          <w:p w14:paraId="28384FAD" w14:textId="77777777" w:rsidR="002E474C" w:rsidRDefault="00000000">
            <w:pPr>
              <w:pStyle w:val="A-"/>
            </w:pPr>
            <w:r>
              <w:t>500</w:t>
            </w:r>
          </w:p>
        </w:tc>
        <w:tc>
          <w:tcPr>
            <w:tcW w:w="1401" w:type="pct"/>
            <w:vAlign w:val="center"/>
          </w:tcPr>
          <w:p w14:paraId="13556F0D" w14:textId="77777777" w:rsidR="002E474C" w:rsidRDefault="00000000">
            <w:pPr>
              <w:pStyle w:val="A-"/>
            </w:pPr>
            <w:r>
              <w:t>固态、液态、半固态</w:t>
            </w:r>
          </w:p>
        </w:tc>
      </w:tr>
      <w:tr w:rsidR="002E474C" w14:paraId="34F85480" w14:textId="77777777">
        <w:trPr>
          <w:trHeight w:val="255"/>
        </w:trPr>
        <w:tc>
          <w:tcPr>
            <w:tcW w:w="423" w:type="pct"/>
            <w:vAlign w:val="center"/>
          </w:tcPr>
          <w:p w14:paraId="2E094B97" w14:textId="77777777" w:rsidR="002E474C" w:rsidRDefault="00000000">
            <w:pPr>
              <w:pStyle w:val="A-"/>
            </w:pPr>
            <w:r>
              <w:t>2</w:t>
            </w:r>
          </w:p>
        </w:tc>
        <w:tc>
          <w:tcPr>
            <w:tcW w:w="2333" w:type="pct"/>
            <w:vAlign w:val="center"/>
          </w:tcPr>
          <w:p w14:paraId="35A59F3F" w14:textId="77777777" w:rsidR="002E474C" w:rsidRDefault="00000000">
            <w:pPr>
              <w:pStyle w:val="A-"/>
            </w:pPr>
            <w:r>
              <w:t>HW03</w:t>
            </w:r>
            <w:r>
              <w:t>废药物、药品</w:t>
            </w:r>
          </w:p>
        </w:tc>
        <w:tc>
          <w:tcPr>
            <w:tcW w:w="842" w:type="pct"/>
            <w:vAlign w:val="center"/>
          </w:tcPr>
          <w:p w14:paraId="2DDB00FD" w14:textId="77777777" w:rsidR="002E474C" w:rsidRDefault="00000000">
            <w:pPr>
              <w:pStyle w:val="A-"/>
            </w:pPr>
            <w:r>
              <w:t>225</w:t>
            </w:r>
          </w:p>
        </w:tc>
        <w:tc>
          <w:tcPr>
            <w:tcW w:w="1401" w:type="pct"/>
            <w:vAlign w:val="center"/>
          </w:tcPr>
          <w:p w14:paraId="45C1C03A" w14:textId="77777777" w:rsidR="002E474C" w:rsidRDefault="00000000">
            <w:pPr>
              <w:pStyle w:val="A-"/>
            </w:pPr>
            <w:r>
              <w:t>固态、液态</w:t>
            </w:r>
          </w:p>
        </w:tc>
      </w:tr>
      <w:tr w:rsidR="002E474C" w14:paraId="04BBDEBD" w14:textId="77777777">
        <w:trPr>
          <w:trHeight w:val="255"/>
        </w:trPr>
        <w:tc>
          <w:tcPr>
            <w:tcW w:w="423" w:type="pct"/>
            <w:vAlign w:val="center"/>
          </w:tcPr>
          <w:p w14:paraId="35CE8DC3" w14:textId="77777777" w:rsidR="002E474C" w:rsidRDefault="00000000">
            <w:pPr>
              <w:pStyle w:val="A-"/>
            </w:pPr>
            <w:r>
              <w:t>3</w:t>
            </w:r>
          </w:p>
        </w:tc>
        <w:tc>
          <w:tcPr>
            <w:tcW w:w="2333" w:type="pct"/>
            <w:vAlign w:val="center"/>
          </w:tcPr>
          <w:p w14:paraId="502154D2" w14:textId="77777777" w:rsidR="002E474C" w:rsidRDefault="00000000">
            <w:pPr>
              <w:pStyle w:val="A-"/>
            </w:pPr>
            <w:r>
              <w:t>HW04</w:t>
            </w:r>
            <w:r>
              <w:t>农药废物</w:t>
            </w:r>
          </w:p>
        </w:tc>
        <w:tc>
          <w:tcPr>
            <w:tcW w:w="842" w:type="pct"/>
            <w:vAlign w:val="center"/>
          </w:tcPr>
          <w:p w14:paraId="29BFD41B" w14:textId="77777777" w:rsidR="002E474C" w:rsidRDefault="00000000">
            <w:pPr>
              <w:pStyle w:val="A-"/>
            </w:pPr>
            <w:r>
              <w:t>264.5</w:t>
            </w:r>
          </w:p>
        </w:tc>
        <w:tc>
          <w:tcPr>
            <w:tcW w:w="1401" w:type="pct"/>
            <w:vAlign w:val="center"/>
          </w:tcPr>
          <w:p w14:paraId="3F38E527" w14:textId="77777777" w:rsidR="002E474C" w:rsidRDefault="00000000">
            <w:pPr>
              <w:pStyle w:val="A-"/>
            </w:pPr>
            <w:r>
              <w:t>固态、液态</w:t>
            </w:r>
          </w:p>
        </w:tc>
      </w:tr>
      <w:tr w:rsidR="002E474C" w14:paraId="6899B030" w14:textId="77777777">
        <w:trPr>
          <w:trHeight w:val="255"/>
        </w:trPr>
        <w:tc>
          <w:tcPr>
            <w:tcW w:w="423" w:type="pct"/>
            <w:vAlign w:val="center"/>
          </w:tcPr>
          <w:p w14:paraId="365CBCC5" w14:textId="77777777" w:rsidR="002E474C" w:rsidRDefault="00000000">
            <w:pPr>
              <w:pStyle w:val="A-"/>
            </w:pPr>
            <w:r>
              <w:t>4</w:t>
            </w:r>
          </w:p>
        </w:tc>
        <w:tc>
          <w:tcPr>
            <w:tcW w:w="2333" w:type="pct"/>
            <w:vAlign w:val="center"/>
          </w:tcPr>
          <w:p w14:paraId="1EC2AFAE" w14:textId="77777777" w:rsidR="002E474C" w:rsidRDefault="00000000">
            <w:pPr>
              <w:pStyle w:val="A-"/>
            </w:pPr>
            <w:r>
              <w:t>HW05</w:t>
            </w:r>
            <w:r>
              <w:t>木材防腐剂废物</w:t>
            </w:r>
          </w:p>
        </w:tc>
        <w:tc>
          <w:tcPr>
            <w:tcW w:w="842" w:type="pct"/>
            <w:vAlign w:val="center"/>
          </w:tcPr>
          <w:p w14:paraId="2DDA5F15" w14:textId="77777777" w:rsidR="002E474C" w:rsidRDefault="00000000">
            <w:pPr>
              <w:pStyle w:val="A-"/>
            </w:pPr>
            <w:r>
              <w:t>304</w:t>
            </w:r>
          </w:p>
        </w:tc>
        <w:tc>
          <w:tcPr>
            <w:tcW w:w="1401" w:type="pct"/>
            <w:vAlign w:val="center"/>
          </w:tcPr>
          <w:p w14:paraId="2D7E7D4D" w14:textId="77777777" w:rsidR="002E474C" w:rsidRDefault="00000000">
            <w:pPr>
              <w:pStyle w:val="A-"/>
            </w:pPr>
            <w:r>
              <w:t>固态、液态</w:t>
            </w:r>
          </w:p>
        </w:tc>
      </w:tr>
      <w:tr w:rsidR="002E474C" w14:paraId="1135E533" w14:textId="77777777">
        <w:trPr>
          <w:trHeight w:val="255"/>
        </w:trPr>
        <w:tc>
          <w:tcPr>
            <w:tcW w:w="423" w:type="pct"/>
            <w:vAlign w:val="center"/>
          </w:tcPr>
          <w:p w14:paraId="6B090AA2" w14:textId="77777777" w:rsidR="002E474C" w:rsidRDefault="00000000">
            <w:pPr>
              <w:pStyle w:val="A-"/>
            </w:pPr>
            <w:r>
              <w:t>5</w:t>
            </w:r>
          </w:p>
        </w:tc>
        <w:tc>
          <w:tcPr>
            <w:tcW w:w="2333" w:type="pct"/>
            <w:vAlign w:val="center"/>
          </w:tcPr>
          <w:p w14:paraId="54E9E9F4" w14:textId="77777777" w:rsidR="002E474C" w:rsidRDefault="00000000">
            <w:pPr>
              <w:pStyle w:val="A-"/>
            </w:pPr>
            <w:r>
              <w:t>HW06</w:t>
            </w:r>
            <w:r>
              <w:t>废有机溶剂与含有机溶剂废物</w:t>
            </w:r>
          </w:p>
        </w:tc>
        <w:tc>
          <w:tcPr>
            <w:tcW w:w="842" w:type="pct"/>
            <w:vAlign w:val="center"/>
          </w:tcPr>
          <w:p w14:paraId="2CC10E48" w14:textId="77777777" w:rsidR="002E474C" w:rsidRDefault="00000000">
            <w:pPr>
              <w:pStyle w:val="A-"/>
            </w:pPr>
            <w:r>
              <w:t>3000</w:t>
            </w:r>
          </w:p>
        </w:tc>
        <w:tc>
          <w:tcPr>
            <w:tcW w:w="1401" w:type="pct"/>
            <w:vAlign w:val="center"/>
          </w:tcPr>
          <w:p w14:paraId="054DB56E" w14:textId="77777777" w:rsidR="002E474C" w:rsidRDefault="00000000">
            <w:pPr>
              <w:pStyle w:val="A-"/>
            </w:pPr>
            <w:r>
              <w:t>固态、液态</w:t>
            </w:r>
          </w:p>
        </w:tc>
      </w:tr>
      <w:tr w:rsidR="002E474C" w14:paraId="591298BA" w14:textId="77777777">
        <w:trPr>
          <w:trHeight w:val="255"/>
        </w:trPr>
        <w:tc>
          <w:tcPr>
            <w:tcW w:w="423" w:type="pct"/>
            <w:vAlign w:val="center"/>
          </w:tcPr>
          <w:p w14:paraId="5BA69DC2" w14:textId="77777777" w:rsidR="002E474C" w:rsidRDefault="00000000">
            <w:pPr>
              <w:pStyle w:val="A-"/>
            </w:pPr>
            <w:r>
              <w:t>6</w:t>
            </w:r>
          </w:p>
        </w:tc>
        <w:tc>
          <w:tcPr>
            <w:tcW w:w="2333" w:type="pct"/>
            <w:vAlign w:val="center"/>
          </w:tcPr>
          <w:p w14:paraId="21FEF937" w14:textId="77777777" w:rsidR="002E474C" w:rsidRDefault="00000000">
            <w:pPr>
              <w:pStyle w:val="A-"/>
            </w:pPr>
            <w:r>
              <w:t>HW07</w:t>
            </w:r>
            <w:r>
              <w:t>热处理含氰废物</w:t>
            </w:r>
          </w:p>
        </w:tc>
        <w:tc>
          <w:tcPr>
            <w:tcW w:w="842" w:type="pct"/>
            <w:vAlign w:val="center"/>
          </w:tcPr>
          <w:p w14:paraId="4DAB6F5F" w14:textId="77777777" w:rsidR="002E474C" w:rsidRDefault="00000000">
            <w:pPr>
              <w:pStyle w:val="A-"/>
            </w:pPr>
            <w:r>
              <w:t>2</w:t>
            </w:r>
          </w:p>
        </w:tc>
        <w:tc>
          <w:tcPr>
            <w:tcW w:w="1401" w:type="pct"/>
            <w:vAlign w:val="center"/>
          </w:tcPr>
          <w:p w14:paraId="44DC78C9" w14:textId="77777777" w:rsidR="002E474C" w:rsidRDefault="00000000">
            <w:pPr>
              <w:pStyle w:val="A-"/>
            </w:pPr>
            <w:r>
              <w:t>固态、液态</w:t>
            </w:r>
          </w:p>
        </w:tc>
      </w:tr>
      <w:tr w:rsidR="002E474C" w14:paraId="796711D9" w14:textId="77777777">
        <w:trPr>
          <w:trHeight w:val="255"/>
        </w:trPr>
        <w:tc>
          <w:tcPr>
            <w:tcW w:w="423" w:type="pct"/>
            <w:vAlign w:val="center"/>
          </w:tcPr>
          <w:p w14:paraId="3979EC04" w14:textId="77777777" w:rsidR="002E474C" w:rsidRDefault="00000000">
            <w:pPr>
              <w:pStyle w:val="A-"/>
            </w:pPr>
            <w:r>
              <w:t>7</w:t>
            </w:r>
          </w:p>
        </w:tc>
        <w:tc>
          <w:tcPr>
            <w:tcW w:w="2333" w:type="pct"/>
            <w:vAlign w:val="center"/>
          </w:tcPr>
          <w:p w14:paraId="15602421" w14:textId="77777777" w:rsidR="002E474C" w:rsidRDefault="00000000">
            <w:pPr>
              <w:pStyle w:val="A-"/>
            </w:pPr>
            <w:r>
              <w:t>HW08</w:t>
            </w:r>
            <w:r>
              <w:t>废矿物油与含矿物油废物</w:t>
            </w:r>
          </w:p>
        </w:tc>
        <w:tc>
          <w:tcPr>
            <w:tcW w:w="842" w:type="pct"/>
            <w:vAlign w:val="center"/>
          </w:tcPr>
          <w:p w14:paraId="2456D531" w14:textId="77777777" w:rsidR="002E474C" w:rsidRDefault="00000000">
            <w:pPr>
              <w:pStyle w:val="A-"/>
            </w:pPr>
            <w:r>
              <w:t>3000</w:t>
            </w:r>
          </w:p>
        </w:tc>
        <w:tc>
          <w:tcPr>
            <w:tcW w:w="1401" w:type="pct"/>
            <w:vAlign w:val="center"/>
          </w:tcPr>
          <w:p w14:paraId="323D6C0E" w14:textId="77777777" w:rsidR="002E474C" w:rsidRDefault="00000000">
            <w:pPr>
              <w:pStyle w:val="A-"/>
            </w:pPr>
            <w:r>
              <w:t>固态、液态</w:t>
            </w:r>
          </w:p>
        </w:tc>
      </w:tr>
      <w:tr w:rsidR="002E474C" w14:paraId="697C236B" w14:textId="77777777">
        <w:trPr>
          <w:trHeight w:val="255"/>
        </w:trPr>
        <w:tc>
          <w:tcPr>
            <w:tcW w:w="423" w:type="pct"/>
            <w:vAlign w:val="center"/>
          </w:tcPr>
          <w:p w14:paraId="0224BDF4" w14:textId="77777777" w:rsidR="002E474C" w:rsidRDefault="00000000">
            <w:pPr>
              <w:pStyle w:val="A-"/>
            </w:pPr>
            <w:r>
              <w:t>8</w:t>
            </w:r>
          </w:p>
        </w:tc>
        <w:tc>
          <w:tcPr>
            <w:tcW w:w="2333" w:type="pct"/>
            <w:vAlign w:val="center"/>
          </w:tcPr>
          <w:p w14:paraId="5697E087" w14:textId="77777777" w:rsidR="002E474C" w:rsidRDefault="00000000">
            <w:pPr>
              <w:pStyle w:val="A-"/>
            </w:pPr>
            <w:r>
              <w:t>HW09</w:t>
            </w:r>
            <w:r>
              <w:t>油</w:t>
            </w:r>
            <w:r>
              <w:t>/</w:t>
            </w:r>
            <w:r>
              <w:t>水、烃</w:t>
            </w:r>
            <w:r>
              <w:t>/</w:t>
            </w:r>
            <w:r>
              <w:t>水混合物或乳化液</w:t>
            </w:r>
          </w:p>
        </w:tc>
        <w:tc>
          <w:tcPr>
            <w:tcW w:w="842" w:type="pct"/>
            <w:vAlign w:val="center"/>
          </w:tcPr>
          <w:p w14:paraId="1B8D7F4D" w14:textId="77777777" w:rsidR="002E474C" w:rsidRDefault="00000000">
            <w:pPr>
              <w:pStyle w:val="A-"/>
            </w:pPr>
            <w:r>
              <w:t>2500</w:t>
            </w:r>
          </w:p>
        </w:tc>
        <w:tc>
          <w:tcPr>
            <w:tcW w:w="1401" w:type="pct"/>
            <w:vAlign w:val="center"/>
          </w:tcPr>
          <w:p w14:paraId="1E5978CD" w14:textId="77777777" w:rsidR="002E474C" w:rsidRDefault="00000000">
            <w:pPr>
              <w:pStyle w:val="A-"/>
            </w:pPr>
            <w:r>
              <w:t>液态</w:t>
            </w:r>
          </w:p>
        </w:tc>
      </w:tr>
      <w:tr w:rsidR="002E474C" w14:paraId="4201D5AD" w14:textId="77777777">
        <w:trPr>
          <w:trHeight w:val="255"/>
        </w:trPr>
        <w:tc>
          <w:tcPr>
            <w:tcW w:w="423" w:type="pct"/>
            <w:vAlign w:val="center"/>
          </w:tcPr>
          <w:p w14:paraId="5A679CA2" w14:textId="77777777" w:rsidR="002E474C" w:rsidRDefault="00000000">
            <w:pPr>
              <w:pStyle w:val="A-"/>
            </w:pPr>
            <w:r>
              <w:t>9</w:t>
            </w:r>
          </w:p>
        </w:tc>
        <w:tc>
          <w:tcPr>
            <w:tcW w:w="2333" w:type="pct"/>
            <w:vAlign w:val="center"/>
          </w:tcPr>
          <w:p w14:paraId="53F0C7BF" w14:textId="77777777" w:rsidR="002E474C" w:rsidRDefault="00000000">
            <w:pPr>
              <w:pStyle w:val="A-"/>
            </w:pPr>
            <w:r>
              <w:t>HW11</w:t>
            </w:r>
            <w:r>
              <w:t>精（蒸）馏残渣</w:t>
            </w:r>
          </w:p>
        </w:tc>
        <w:tc>
          <w:tcPr>
            <w:tcW w:w="842" w:type="pct"/>
            <w:vAlign w:val="center"/>
          </w:tcPr>
          <w:p w14:paraId="572BBC82" w14:textId="77777777" w:rsidR="002E474C" w:rsidRDefault="00000000">
            <w:pPr>
              <w:pStyle w:val="A-"/>
            </w:pPr>
            <w:r>
              <w:t>1000</w:t>
            </w:r>
          </w:p>
        </w:tc>
        <w:tc>
          <w:tcPr>
            <w:tcW w:w="1401" w:type="pct"/>
            <w:vAlign w:val="center"/>
          </w:tcPr>
          <w:p w14:paraId="43EBA410" w14:textId="77777777" w:rsidR="002E474C" w:rsidRDefault="00000000">
            <w:pPr>
              <w:pStyle w:val="A-"/>
            </w:pPr>
            <w:r>
              <w:t>固态、液态、半固态</w:t>
            </w:r>
          </w:p>
        </w:tc>
      </w:tr>
      <w:tr w:rsidR="002E474C" w14:paraId="35C69916" w14:textId="77777777">
        <w:trPr>
          <w:trHeight w:val="255"/>
        </w:trPr>
        <w:tc>
          <w:tcPr>
            <w:tcW w:w="423" w:type="pct"/>
            <w:vAlign w:val="center"/>
          </w:tcPr>
          <w:p w14:paraId="5B6F1BD9" w14:textId="77777777" w:rsidR="002E474C" w:rsidRDefault="00000000">
            <w:pPr>
              <w:pStyle w:val="A-"/>
            </w:pPr>
            <w:r>
              <w:t>10</w:t>
            </w:r>
          </w:p>
        </w:tc>
        <w:tc>
          <w:tcPr>
            <w:tcW w:w="2333" w:type="pct"/>
            <w:vAlign w:val="center"/>
          </w:tcPr>
          <w:p w14:paraId="508C310B" w14:textId="77777777" w:rsidR="002E474C" w:rsidRDefault="00000000">
            <w:pPr>
              <w:pStyle w:val="A-"/>
            </w:pPr>
            <w:r>
              <w:t>HW12</w:t>
            </w:r>
            <w:r>
              <w:t>染料、涂料废物</w:t>
            </w:r>
          </w:p>
        </w:tc>
        <w:tc>
          <w:tcPr>
            <w:tcW w:w="842" w:type="pct"/>
            <w:vAlign w:val="center"/>
          </w:tcPr>
          <w:p w14:paraId="2D424B57" w14:textId="77777777" w:rsidR="002E474C" w:rsidRDefault="00000000">
            <w:pPr>
              <w:pStyle w:val="A-"/>
            </w:pPr>
            <w:r>
              <w:t>712.5</w:t>
            </w:r>
          </w:p>
        </w:tc>
        <w:tc>
          <w:tcPr>
            <w:tcW w:w="1401" w:type="pct"/>
            <w:vAlign w:val="center"/>
          </w:tcPr>
          <w:p w14:paraId="63510200" w14:textId="77777777" w:rsidR="002E474C" w:rsidRDefault="00000000">
            <w:pPr>
              <w:pStyle w:val="A-"/>
            </w:pPr>
            <w:r>
              <w:t>固态、液态、半固态</w:t>
            </w:r>
          </w:p>
        </w:tc>
      </w:tr>
      <w:tr w:rsidR="002E474C" w14:paraId="59DD027F" w14:textId="77777777">
        <w:trPr>
          <w:trHeight w:val="255"/>
        </w:trPr>
        <w:tc>
          <w:tcPr>
            <w:tcW w:w="423" w:type="pct"/>
            <w:vAlign w:val="center"/>
          </w:tcPr>
          <w:p w14:paraId="1EEBA7BA" w14:textId="77777777" w:rsidR="002E474C" w:rsidRDefault="00000000">
            <w:pPr>
              <w:pStyle w:val="A-"/>
            </w:pPr>
            <w:r>
              <w:t>11</w:t>
            </w:r>
          </w:p>
        </w:tc>
        <w:tc>
          <w:tcPr>
            <w:tcW w:w="2333" w:type="pct"/>
            <w:vAlign w:val="center"/>
          </w:tcPr>
          <w:p w14:paraId="518E5007" w14:textId="77777777" w:rsidR="002E474C" w:rsidRDefault="00000000">
            <w:pPr>
              <w:pStyle w:val="A-"/>
            </w:pPr>
            <w:r>
              <w:t>HW13</w:t>
            </w:r>
            <w:r>
              <w:t>有机树脂类废物</w:t>
            </w:r>
          </w:p>
        </w:tc>
        <w:tc>
          <w:tcPr>
            <w:tcW w:w="842" w:type="pct"/>
            <w:vAlign w:val="center"/>
          </w:tcPr>
          <w:p w14:paraId="5BA104FE" w14:textId="77777777" w:rsidR="002E474C" w:rsidRDefault="00000000">
            <w:pPr>
              <w:pStyle w:val="A-"/>
            </w:pPr>
            <w:r>
              <w:t>2424.5</w:t>
            </w:r>
          </w:p>
        </w:tc>
        <w:tc>
          <w:tcPr>
            <w:tcW w:w="1401" w:type="pct"/>
            <w:vAlign w:val="center"/>
          </w:tcPr>
          <w:p w14:paraId="4B49660E" w14:textId="77777777" w:rsidR="002E474C" w:rsidRDefault="00000000">
            <w:pPr>
              <w:pStyle w:val="A-"/>
            </w:pPr>
            <w:r>
              <w:t>固态、液态、半固态</w:t>
            </w:r>
          </w:p>
        </w:tc>
      </w:tr>
      <w:tr w:rsidR="002E474C" w14:paraId="1A203953" w14:textId="77777777">
        <w:trPr>
          <w:trHeight w:val="255"/>
        </w:trPr>
        <w:tc>
          <w:tcPr>
            <w:tcW w:w="423" w:type="pct"/>
            <w:vAlign w:val="center"/>
          </w:tcPr>
          <w:p w14:paraId="0EB5B30F" w14:textId="77777777" w:rsidR="002E474C" w:rsidRDefault="00000000">
            <w:pPr>
              <w:pStyle w:val="A-"/>
            </w:pPr>
            <w:r>
              <w:t>12</w:t>
            </w:r>
          </w:p>
        </w:tc>
        <w:tc>
          <w:tcPr>
            <w:tcW w:w="2333" w:type="pct"/>
            <w:vAlign w:val="center"/>
          </w:tcPr>
          <w:p w14:paraId="6BA2EFA8" w14:textId="77777777" w:rsidR="002E474C" w:rsidRDefault="00000000">
            <w:pPr>
              <w:pStyle w:val="A-"/>
            </w:pPr>
            <w:r>
              <w:t>HW14</w:t>
            </w:r>
            <w:r>
              <w:t>新化学物质废物</w:t>
            </w:r>
          </w:p>
        </w:tc>
        <w:tc>
          <w:tcPr>
            <w:tcW w:w="842" w:type="pct"/>
            <w:vAlign w:val="center"/>
          </w:tcPr>
          <w:p w14:paraId="64D0FC7C" w14:textId="77777777" w:rsidR="002E474C" w:rsidRDefault="00000000">
            <w:pPr>
              <w:pStyle w:val="A-"/>
            </w:pPr>
            <w:r>
              <w:t>20</w:t>
            </w:r>
          </w:p>
        </w:tc>
        <w:tc>
          <w:tcPr>
            <w:tcW w:w="1401" w:type="pct"/>
            <w:vAlign w:val="center"/>
          </w:tcPr>
          <w:p w14:paraId="40731603" w14:textId="77777777" w:rsidR="002E474C" w:rsidRDefault="00000000">
            <w:pPr>
              <w:pStyle w:val="A-"/>
            </w:pPr>
            <w:r>
              <w:t>固态、液态</w:t>
            </w:r>
          </w:p>
        </w:tc>
      </w:tr>
      <w:tr w:rsidR="002E474C" w14:paraId="2A2CB054" w14:textId="77777777">
        <w:trPr>
          <w:trHeight w:val="255"/>
        </w:trPr>
        <w:tc>
          <w:tcPr>
            <w:tcW w:w="423" w:type="pct"/>
            <w:vAlign w:val="center"/>
          </w:tcPr>
          <w:p w14:paraId="6143DC86" w14:textId="77777777" w:rsidR="002E474C" w:rsidRDefault="00000000">
            <w:pPr>
              <w:pStyle w:val="A-"/>
            </w:pPr>
            <w:r>
              <w:t>13</w:t>
            </w:r>
          </w:p>
        </w:tc>
        <w:tc>
          <w:tcPr>
            <w:tcW w:w="2333" w:type="pct"/>
            <w:vAlign w:val="center"/>
          </w:tcPr>
          <w:p w14:paraId="036FE370" w14:textId="77777777" w:rsidR="002E474C" w:rsidRDefault="00000000">
            <w:pPr>
              <w:pStyle w:val="A-"/>
            </w:pPr>
            <w:r>
              <w:t>HW16</w:t>
            </w:r>
            <w:r>
              <w:t>感光材料废物</w:t>
            </w:r>
          </w:p>
        </w:tc>
        <w:tc>
          <w:tcPr>
            <w:tcW w:w="842" w:type="pct"/>
            <w:vAlign w:val="center"/>
          </w:tcPr>
          <w:p w14:paraId="76750298" w14:textId="77777777" w:rsidR="002E474C" w:rsidRDefault="00000000">
            <w:pPr>
              <w:pStyle w:val="A-"/>
            </w:pPr>
            <w:r>
              <w:t>10</w:t>
            </w:r>
          </w:p>
        </w:tc>
        <w:tc>
          <w:tcPr>
            <w:tcW w:w="1401" w:type="pct"/>
            <w:vAlign w:val="center"/>
          </w:tcPr>
          <w:p w14:paraId="01F1894B" w14:textId="77777777" w:rsidR="002E474C" w:rsidRDefault="00000000">
            <w:pPr>
              <w:pStyle w:val="A-"/>
            </w:pPr>
            <w:r>
              <w:t>固态、液态</w:t>
            </w:r>
          </w:p>
        </w:tc>
      </w:tr>
      <w:tr w:rsidR="002E474C" w14:paraId="52B36A42" w14:textId="77777777">
        <w:trPr>
          <w:trHeight w:val="255"/>
        </w:trPr>
        <w:tc>
          <w:tcPr>
            <w:tcW w:w="423" w:type="pct"/>
            <w:vAlign w:val="center"/>
          </w:tcPr>
          <w:p w14:paraId="0F755532" w14:textId="77777777" w:rsidR="002E474C" w:rsidRDefault="00000000">
            <w:pPr>
              <w:pStyle w:val="A-"/>
            </w:pPr>
            <w:r>
              <w:t>14</w:t>
            </w:r>
          </w:p>
        </w:tc>
        <w:tc>
          <w:tcPr>
            <w:tcW w:w="2333" w:type="pct"/>
            <w:vAlign w:val="center"/>
          </w:tcPr>
          <w:p w14:paraId="23521F01" w14:textId="77777777" w:rsidR="002E474C" w:rsidRDefault="00000000">
            <w:pPr>
              <w:pStyle w:val="A-"/>
            </w:pPr>
            <w:r>
              <w:t>HW17</w:t>
            </w:r>
            <w:r>
              <w:t>表面处理废物</w:t>
            </w:r>
          </w:p>
        </w:tc>
        <w:tc>
          <w:tcPr>
            <w:tcW w:w="842" w:type="pct"/>
            <w:vAlign w:val="center"/>
          </w:tcPr>
          <w:p w14:paraId="207C39EA" w14:textId="77777777" w:rsidR="002E474C" w:rsidRDefault="00000000">
            <w:pPr>
              <w:pStyle w:val="A-"/>
            </w:pPr>
            <w:r>
              <w:t>183.5</w:t>
            </w:r>
          </w:p>
        </w:tc>
        <w:tc>
          <w:tcPr>
            <w:tcW w:w="1401" w:type="pct"/>
            <w:vAlign w:val="center"/>
          </w:tcPr>
          <w:p w14:paraId="58C68399" w14:textId="77777777" w:rsidR="002E474C" w:rsidRDefault="00000000">
            <w:pPr>
              <w:pStyle w:val="A-"/>
            </w:pPr>
            <w:r>
              <w:t>固态、液态、半固态</w:t>
            </w:r>
          </w:p>
        </w:tc>
      </w:tr>
      <w:tr w:rsidR="002E474C" w14:paraId="6F46FA35" w14:textId="77777777">
        <w:trPr>
          <w:trHeight w:val="255"/>
        </w:trPr>
        <w:tc>
          <w:tcPr>
            <w:tcW w:w="423" w:type="pct"/>
            <w:vAlign w:val="center"/>
          </w:tcPr>
          <w:p w14:paraId="48005279" w14:textId="77777777" w:rsidR="002E474C" w:rsidRDefault="00000000">
            <w:pPr>
              <w:pStyle w:val="A-"/>
            </w:pPr>
            <w:r>
              <w:t>15</w:t>
            </w:r>
          </w:p>
        </w:tc>
        <w:tc>
          <w:tcPr>
            <w:tcW w:w="2333" w:type="pct"/>
            <w:vAlign w:val="center"/>
          </w:tcPr>
          <w:p w14:paraId="4F68C665" w14:textId="77777777" w:rsidR="002E474C" w:rsidRDefault="00000000">
            <w:pPr>
              <w:pStyle w:val="A-"/>
            </w:pPr>
            <w:r>
              <w:t>HW18</w:t>
            </w:r>
            <w:r>
              <w:t>焚烧处置残渣</w:t>
            </w:r>
          </w:p>
        </w:tc>
        <w:tc>
          <w:tcPr>
            <w:tcW w:w="842" w:type="pct"/>
            <w:vAlign w:val="center"/>
          </w:tcPr>
          <w:p w14:paraId="018FF3C0" w14:textId="77777777" w:rsidR="002E474C" w:rsidRDefault="00000000">
            <w:pPr>
              <w:pStyle w:val="A-"/>
            </w:pPr>
            <w:r>
              <w:t>5000</w:t>
            </w:r>
          </w:p>
        </w:tc>
        <w:tc>
          <w:tcPr>
            <w:tcW w:w="1401" w:type="pct"/>
            <w:vAlign w:val="center"/>
          </w:tcPr>
          <w:p w14:paraId="0A86C52D" w14:textId="77777777" w:rsidR="002E474C" w:rsidRDefault="00000000">
            <w:pPr>
              <w:pStyle w:val="A-"/>
            </w:pPr>
            <w:r>
              <w:t>固态</w:t>
            </w:r>
          </w:p>
        </w:tc>
      </w:tr>
      <w:tr w:rsidR="002E474C" w14:paraId="3F0A138D" w14:textId="77777777">
        <w:trPr>
          <w:trHeight w:val="255"/>
        </w:trPr>
        <w:tc>
          <w:tcPr>
            <w:tcW w:w="423" w:type="pct"/>
            <w:vAlign w:val="center"/>
          </w:tcPr>
          <w:p w14:paraId="10F9A4B4" w14:textId="77777777" w:rsidR="002E474C" w:rsidRDefault="00000000">
            <w:pPr>
              <w:pStyle w:val="A-"/>
            </w:pPr>
            <w:r>
              <w:t>16</w:t>
            </w:r>
          </w:p>
        </w:tc>
        <w:tc>
          <w:tcPr>
            <w:tcW w:w="2333" w:type="pct"/>
            <w:vAlign w:val="center"/>
          </w:tcPr>
          <w:p w14:paraId="54303660" w14:textId="77777777" w:rsidR="002E474C" w:rsidRDefault="00000000">
            <w:pPr>
              <w:pStyle w:val="A-"/>
            </w:pPr>
            <w:r>
              <w:t>HW19</w:t>
            </w:r>
            <w:r>
              <w:t>含金属羰基化合物废物</w:t>
            </w:r>
          </w:p>
        </w:tc>
        <w:tc>
          <w:tcPr>
            <w:tcW w:w="842" w:type="pct"/>
            <w:vAlign w:val="center"/>
          </w:tcPr>
          <w:p w14:paraId="58A2E86D" w14:textId="77777777" w:rsidR="002E474C" w:rsidRDefault="00000000">
            <w:pPr>
              <w:pStyle w:val="A-"/>
            </w:pPr>
            <w:r>
              <w:t>58.5</w:t>
            </w:r>
          </w:p>
        </w:tc>
        <w:tc>
          <w:tcPr>
            <w:tcW w:w="1401" w:type="pct"/>
            <w:vAlign w:val="center"/>
          </w:tcPr>
          <w:p w14:paraId="7CBB787B" w14:textId="77777777" w:rsidR="002E474C" w:rsidRDefault="00000000">
            <w:pPr>
              <w:pStyle w:val="A-"/>
            </w:pPr>
            <w:r>
              <w:t>固态、半固态</w:t>
            </w:r>
          </w:p>
        </w:tc>
      </w:tr>
      <w:tr w:rsidR="002E474C" w14:paraId="35387075" w14:textId="77777777">
        <w:trPr>
          <w:trHeight w:val="255"/>
        </w:trPr>
        <w:tc>
          <w:tcPr>
            <w:tcW w:w="423" w:type="pct"/>
            <w:vAlign w:val="center"/>
          </w:tcPr>
          <w:p w14:paraId="009CCE49" w14:textId="77777777" w:rsidR="002E474C" w:rsidRDefault="00000000">
            <w:pPr>
              <w:pStyle w:val="A-"/>
            </w:pPr>
            <w:r>
              <w:t>17</w:t>
            </w:r>
          </w:p>
        </w:tc>
        <w:tc>
          <w:tcPr>
            <w:tcW w:w="2333" w:type="pct"/>
            <w:vAlign w:val="center"/>
          </w:tcPr>
          <w:p w14:paraId="1AA273A1" w14:textId="77777777" w:rsidR="002E474C" w:rsidRDefault="00000000">
            <w:pPr>
              <w:pStyle w:val="A-"/>
            </w:pPr>
            <w:r>
              <w:t>HW20</w:t>
            </w:r>
            <w:r>
              <w:t>含铍废物</w:t>
            </w:r>
          </w:p>
        </w:tc>
        <w:tc>
          <w:tcPr>
            <w:tcW w:w="842" w:type="pct"/>
            <w:vAlign w:val="center"/>
          </w:tcPr>
          <w:p w14:paraId="653AA84D" w14:textId="77777777" w:rsidR="002E474C" w:rsidRDefault="00000000">
            <w:pPr>
              <w:pStyle w:val="A-"/>
            </w:pPr>
            <w:r>
              <w:t>3000</w:t>
            </w:r>
          </w:p>
        </w:tc>
        <w:tc>
          <w:tcPr>
            <w:tcW w:w="1401" w:type="pct"/>
            <w:vAlign w:val="center"/>
          </w:tcPr>
          <w:p w14:paraId="16577BE3" w14:textId="77777777" w:rsidR="002E474C" w:rsidRDefault="00000000">
            <w:pPr>
              <w:pStyle w:val="A-"/>
            </w:pPr>
            <w:r>
              <w:t>固态</w:t>
            </w:r>
          </w:p>
        </w:tc>
      </w:tr>
      <w:tr w:rsidR="002E474C" w14:paraId="21B84F1C" w14:textId="77777777">
        <w:trPr>
          <w:trHeight w:val="255"/>
        </w:trPr>
        <w:tc>
          <w:tcPr>
            <w:tcW w:w="423" w:type="pct"/>
            <w:vAlign w:val="center"/>
          </w:tcPr>
          <w:p w14:paraId="513F0CCC" w14:textId="77777777" w:rsidR="002E474C" w:rsidRDefault="00000000">
            <w:pPr>
              <w:pStyle w:val="A-"/>
            </w:pPr>
            <w:r>
              <w:t>18</w:t>
            </w:r>
          </w:p>
        </w:tc>
        <w:tc>
          <w:tcPr>
            <w:tcW w:w="2333" w:type="pct"/>
            <w:vAlign w:val="center"/>
          </w:tcPr>
          <w:p w14:paraId="7ADAD535" w14:textId="77777777" w:rsidR="002E474C" w:rsidRDefault="00000000">
            <w:pPr>
              <w:pStyle w:val="A-"/>
            </w:pPr>
            <w:r>
              <w:t>HW21</w:t>
            </w:r>
            <w:r>
              <w:t>含铬废物</w:t>
            </w:r>
          </w:p>
        </w:tc>
        <w:tc>
          <w:tcPr>
            <w:tcW w:w="842" w:type="pct"/>
            <w:vAlign w:val="center"/>
          </w:tcPr>
          <w:p w14:paraId="3832500F" w14:textId="77777777" w:rsidR="002E474C" w:rsidRDefault="00000000">
            <w:pPr>
              <w:pStyle w:val="A-"/>
            </w:pPr>
            <w:r>
              <w:t>3.5</w:t>
            </w:r>
          </w:p>
        </w:tc>
        <w:tc>
          <w:tcPr>
            <w:tcW w:w="1401" w:type="pct"/>
            <w:vAlign w:val="center"/>
          </w:tcPr>
          <w:p w14:paraId="7D362863" w14:textId="77777777" w:rsidR="002E474C" w:rsidRDefault="00000000">
            <w:pPr>
              <w:pStyle w:val="A-"/>
            </w:pPr>
            <w:r>
              <w:t>固态、液态、半固态</w:t>
            </w:r>
          </w:p>
        </w:tc>
      </w:tr>
      <w:tr w:rsidR="002E474C" w14:paraId="1B66BD4E" w14:textId="77777777">
        <w:trPr>
          <w:trHeight w:val="255"/>
        </w:trPr>
        <w:tc>
          <w:tcPr>
            <w:tcW w:w="423" w:type="pct"/>
            <w:vAlign w:val="center"/>
          </w:tcPr>
          <w:p w14:paraId="36BFA370" w14:textId="77777777" w:rsidR="002E474C" w:rsidRDefault="00000000">
            <w:pPr>
              <w:pStyle w:val="A-"/>
            </w:pPr>
            <w:r>
              <w:t>19</w:t>
            </w:r>
          </w:p>
        </w:tc>
        <w:tc>
          <w:tcPr>
            <w:tcW w:w="2333" w:type="pct"/>
            <w:vAlign w:val="center"/>
          </w:tcPr>
          <w:p w14:paraId="70EDD75A" w14:textId="77777777" w:rsidR="002E474C" w:rsidRDefault="00000000">
            <w:pPr>
              <w:pStyle w:val="A-"/>
            </w:pPr>
            <w:r>
              <w:t>HW22</w:t>
            </w:r>
            <w:r>
              <w:t>含铜废物</w:t>
            </w:r>
          </w:p>
        </w:tc>
        <w:tc>
          <w:tcPr>
            <w:tcW w:w="842" w:type="pct"/>
            <w:vAlign w:val="center"/>
          </w:tcPr>
          <w:p w14:paraId="6F6B8576" w14:textId="77777777" w:rsidR="002E474C" w:rsidRDefault="00000000">
            <w:pPr>
              <w:pStyle w:val="A-"/>
            </w:pPr>
            <w:r>
              <w:t>3.5</w:t>
            </w:r>
          </w:p>
        </w:tc>
        <w:tc>
          <w:tcPr>
            <w:tcW w:w="1401" w:type="pct"/>
            <w:vAlign w:val="center"/>
          </w:tcPr>
          <w:p w14:paraId="0AEC041F" w14:textId="77777777" w:rsidR="002E474C" w:rsidRDefault="00000000">
            <w:pPr>
              <w:pStyle w:val="A-"/>
            </w:pPr>
            <w:r>
              <w:t>固态、液态、半固态</w:t>
            </w:r>
          </w:p>
        </w:tc>
      </w:tr>
      <w:tr w:rsidR="002E474C" w14:paraId="1D1434FF" w14:textId="77777777">
        <w:trPr>
          <w:trHeight w:val="255"/>
        </w:trPr>
        <w:tc>
          <w:tcPr>
            <w:tcW w:w="423" w:type="pct"/>
            <w:vAlign w:val="center"/>
          </w:tcPr>
          <w:p w14:paraId="4F791AF9" w14:textId="77777777" w:rsidR="002E474C" w:rsidRDefault="00000000">
            <w:pPr>
              <w:pStyle w:val="A-"/>
            </w:pPr>
            <w:r>
              <w:t>20</w:t>
            </w:r>
          </w:p>
        </w:tc>
        <w:tc>
          <w:tcPr>
            <w:tcW w:w="2333" w:type="pct"/>
            <w:vAlign w:val="center"/>
          </w:tcPr>
          <w:p w14:paraId="740CA0CA" w14:textId="77777777" w:rsidR="002E474C" w:rsidRDefault="00000000">
            <w:pPr>
              <w:pStyle w:val="A-"/>
            </w:pPr>
            <w:r>
              <w:t>HW23</w:t>
            </w:r>
            <w:r>
              <w:t>含锌废物</w:t>
            </w:r>
          </w:p>
        </w:tc>
        <w:tc>
          <w:tcPr>
            <w:tcW w:w="842" w:type="pct"/>
            <w:vAlign w:val="center"/>
          </w:tcPr>
          <w:p w14:paraId="23815986" w14:textId="77777777" w:rsidR="002E474C" w:rsidRDefault="00000000">
            <w:pPr>
              <w:pStyle w:val="A-"/>
            </w:pPr>
            <w:r>
              <w:t>3</w:t>
            </w:r>
          </w:p>
        </w:tc>
        <w:tc>
          <w:tcPr>
            <w:tcW w:w="1401" w:type="pct"/>
            <w:vAlign w:val="center"/>
          </w:tcPr>
          <w:p w14:paraId="34543223" w14:textId="77777777" w:rsidR="002E474C" w:rsidRDefault="00000000">
            <w:pPr>
              <w:pStyle w:val="A-"/>
            </w:pPr>
            <w:r>
              <w:t>固态、液态、半固态</w:t>
            </w:r>
          </w:p>
        </w:tc>
      </w:tr>
      <w:tr w:rsidR="002E474C" w14:paraId="44348C66" w14:textId="77777777">
        <w:trPr>
          <w:trHeight w:val="255"/>
        </w:trPr>
        <w:tc>
          <w:tcPr>
            <w:tcW w:w="423" w:type="pct"/>
            <w:vAlign w:val="center"/>
          </w:tcPr>
          <w:p w14:paraId="2B41CAAB" w14:textId="77777777" w:rsidR="002E474C" w:rsidRDefault="00000000">
            <w:pPr>
              <w:pStyle w:val="A-"/>
            </w:pPr>
            <w:r>
              <w:t>21</w:t>
            </w:r>
          </w:p>
        </w:tc>
        <w:tc>
          <w:tcPr>
            <w:tcW w:w="2333" w:type="pct"/>
            <w:vAlign w:val="center"/>
          </w:tcPr>
          <w:p w14:paraId="1608C629" w14:textId="77777777" w:rsidR="002E474C" w:rsidRDefault="00000000">
            <w:pPr>
              <w:pStyle w:val="A-"/>
            </w:pPr>
            <w:r>
              <w:t>HW24</w:t>
            </w:r>
            <w:r>
              <w:t>含砷废物</w:t>
            </w:r>
          </w:p>
        </w:tc>
        <w:tc>
          <w:tcPr>
            <w:tcW w:w="842" w:type="pct"/>
            <w:vAlign w:val="center"/>
          </w:tcPr>
          <w:p w14:paraId="69A6C3AC" w14:textId="77777777" w:rsidR="002E474C" w:rsidRDefault="00000000">
            <w:pPr>
              <w:pStyle w:val="A-"/>
            </w:pPr>
            <w:r>
              <w:t>0.06</w:t>
            </w:r>
          </w:p>
        </w:tc>
        <w:tc>
          <w:tcPr>
            <w:tcW w:w="1401" w:type="pct"/>
            <w:vAlign w:val="center"/>
          </w:tcPr>
          <w:p w14:paraId="3DAD80D7" w14:textId="77777777" w:rsidR="002E474C" w:rsidRDefault="00000000">
            <w:pPr>
              <w:pStyle w:val="A-"/>
            </w:pPr>
            <w:r>
              <w:t>固态、液态</w:t>
            </w:r>
          </w:p>
        </w:tc>
      </w:tr>
      <w:tr w:rsidR="002E474C" w14:paraId="542732C8" w14:textId="77777777">
        <w:trPr>
          <w:trHeight w:val="255"/>
        </w:trPr>
        <w:tc>
          <w:tcPr>
            <w:tcW w:w="423" w:type="pct"/>
            <w:vAlign w:val="center"/>
          </w:tcPr>
          <w:p w14:paraId="2EFB0C28" w14:textId="77777777" w:rsidR="002E474C" w:rsidRDefault="00000000">
            <w:pPr>
              <w:pStyle w:val="A-"/>
            </w:pPr>
            <w:r>
              <w:t>22</w:t>
            </w:r>
          </w:p>
        </w:tc>
        <w:tc>
          <w:tcPr>
            <w:tcW w:w="2333" w:type="pct"/>
            <w:vAlign w:val="center"/>
          </w:tcPr>
          <w:p w14:paraId="700E31F8" w14:textId="77777777" w:rsidR="002E474C" w:rsidRDefault="00000000">
            <w:pPr>
              <w:pStyle w:val="A-"/>
            </w:pPr>
            <w:r>
              <w:t>HW31</w:t>
            </w:r>
            <w:r>
              <w:t>含铅废物</w:t>
            </w:r>
          </w:p>
        </w:tc>
        <w:tc>
          <w:tcPr>
            <w:tcW w:w="842" w:type="pct"/>
            <w:vAlign w:val="center"/>
          </w:tcPr>
          <w:p w14:paraId="6B9FF652" w14:textId="77777777" w:rsidR="002E474C" w:rsidRDefault="00000000">
            <w:pPr>
              <w:pStyle w:val="A-"/>
            </w:pPr>
            <w:r>
              <w:t>0.5</w:t>
            </w:r>
          </w:p>
        </w:tc>
        <w:tc>
          <w:tcPr>
            <w:tcW w:w="1401" w:type="pct"/>
            <w:vAlign w:val="center"/>
          </w:tcPr>
          <w:p w14:paraId="72B9921C" w14:textId="77777777" w:rsidR="002E474C" w:rsidRDefault="00000000">
            <w:pPr>
              <w:pStyle w:val="A-"/>
            </w:pPr>
            <w:r>
              <w:t>固态、液态、半固态</w:t>
            </w:r>
          </w:p>
        </w:tc>
      </w:tr>
      <w:tr w:rsidR="002E474C" w14:paraId="2F519102" w14:textId="77777777">
        <w:trPr>
          <w:trHeight w:val="255"/>
        </w:trPr>
        <w:tc>
          <w:tcPr>
            <w:tcW w:w="423" w:type="pct"/>
            <w:vAlign w:val="center"/>
          </w:tcPr>
          <w:p w14:paraId="7ED4112C" w14:textId="77777777" w:rsidR="002E474C" w:rsidRDefault="00000000">
            <w:pPr>
              <w:pStyle w:val="A-"/>
            </w:pPr>
            <w:r>
              <w:t>23</w:t>
            </w:r>
          </w:p>
        </w:tc>
        <w:tc>
          <w:tcPr>
            <w:tcW w:w="2333" w:type="pct"/>
            <w:vAlign w:val="center"/>
          </w:tcPr>
          <w:p w14:paraId="28A3C21E" w14:textId="77777777" w:rsidR="002E474C" w:rsidRDefault="00000000">
            <w:pPr>
              <w:pStyle w:val="A-"/>
            </w:pPr>
            <w:r>
              <w:t>HW32</w:t>
            </w:r>
            <w:r>
              <w:t>无机氟化物废物</w:t>
            </w:r>
          </w:p>
        </w:tc>
        <w:tc>
          <w:tcPr>
            <w:tcW w:w="842" w:type="pct"/>
            <w:vAlign w:val="center"/>
          </w:tcPr>
          <w:p w14:paraId="2D5AB990" w14:textId="77777777" w:rsidR="002E474C" w:rsidRDefault="00000000">
            <w:pPr>
              <w:pStyle w:val="A-"/>
            </w:pPr>
            <w:r>
              <w:t>23.5</w:t>
            </w:r>
          </w:p>
        </w:tc>
        <w:tc>
          <w:tcPr>
            <w:tcW w:w="1401" w:type="pct"/>
            <w:vAlign w:val="center"/>
          </w:tcPr>
          <w:p w14:paraId="0C8D99CA" w14:textId="77777777" w:rsidR="002E474C" w:rsidRDefault="00000000">
            <w:pPr>
              <w:pStyle w:val="A-"/>
            </w:pPr>
            <w:r>
              <w:t>固态、液态</w:t>
            </w:r>
          </w:p>
        </w:tc>
      </w:tr>
      <w:tr w:rsidR="002E474C" w14:paraId="385E937D" w14:textId="77777777">
        <w:trPr>
          <w:trHeight w:val="255"/>
        </w:trPr>
        <w:tc>
          <w:tcPr>
            <w:tcW w:w="423" w:type="pct"/>
            <w:vAlign w:val="center"/>
          </w:tcPr>
          <w:p w14:paraId="6734BD29" w14:textId="77777777" w:rsidR="002E474C" w:rsidRDefault="00000000">
            <w:pPr>
              <w:pStyle w:val="A-"/>
            </w:pPr>
            <w:r>
              <w:t>24</w:t>
            </w:r>
          </w:p>
        </w:tc>
        <w:tc>
          <w:tcPr>
            <w:tcW w:w="2333" w:type="pct"/>
            <w:vAlign w:val="center"/>
          </w:tcPr>
          <w:p w14:paraId="6D49BA03" w14:textId="77777777" w:rsidR="002E474C" w:rsidRDefault="00000000">
            <w:pPr>
              <w:pStyle w:val="A-"/>
            </w:pPr>
            <w:r>
              <w:t>HW33</w:t>
            </w:r>
            <w:r>
              <w:t>无机氰化物废物</w:t>
            </w:r>
          </w:p>
        </w:tc>
        <w:tc>
          <w:tcPr>
            <w:tcW w:w="842" w:type="pct"/>
            <w:vAlign w:val="center"/>
          </w:tcPr>
          <w:p w14:paraId="4072096A" w14:textId="77777777" w:rsidR="002E474C" w:rsidRDefault="00000000">
            <w:pPr>
              <w:pStyle w:val="A-"/>
            </w:pPr>
            <w:r>
              <w:t>0.06</w:t>
            </w:r>
          </w:p>
        </w:tc>
        <w:tc>
          <w:tcPr>
            <w:tcW w:w="1401" w:type="pct"/>
            <w:vAlign w:val="center"/>
          </w:tcPr>
          <w:p w14:paraId="71DFF8F4" w14:textId="77777777" w:rsidR="002E474C" w:rsidRDefault="00000000">
            <w:pPr>
              <w:pStyle w:val="A-"/>
            </w:pPr>
            <w:r>
              <w:t>固态、液态</w:t>
            </w:r>
          </w:p>
        </w:tc>
      </w:tr>
      <w:tr w:rsidR="002E474C" w14:paraId="1F361761" w14:textId="77777777">
        <w:trPr>
          <w:trHeight w:val="255"/>
        </w:trPr>
        <w:tc>
          <w:tcPr>
            <w:tcW w:w="423" w:type="pct"/>
            <w:vAlign w:val="center"/>
          </w:tcPr>
          <w:p w14:paraId="1F4CFD27" w14:textId="77777777" w:rsidR="002E474C" w:rsidRDefault="00000000">
            <w:pPr>
              <w:pStyle w:val="A-"/>
            </w:pPr>
            <w:r>
              <w:t>25</w:t>
            </w:r>
          </w:p>
        </w:tc>
        <w:tc>
          <w:tcPr>
            <w:tcW w:w="2333" w:type="pct"/>
            <w:vAlign w:val="center"/>
          </w:tcPr>
          <w:p w14:paraId="6798735E" w14:textId="77777777" w:rsidR="002E474C" w:rsidRDefault="00000000">
            <w:pPr>
              <w:pStyle w:val="A-"/>
            </w:pPr>
            <w:r>
              <w:t>HW34</w:t>
            </w:r>
            <w:r>
              <w:t>废酸</w:t>
            </w:r>
          </w:p>
        </w:tc>
        <w:tc>
          <w:tcPr>
            <w:tcW w:w="842" w:type="pct"/>
            <w:vAlign w:val="center"/>
          </w:tcPr>
          <w:p w14:paraId="5E8ED1CF" w14:textId="77777777" w:rsidR="002E474C" w:rsidRDefault="00000000">
            <w:pPr>
              <w:pStyle w:val="A-"/>
            </w:pPr>
            <w:r>
              <w:t>2800</w:t>
            </w:r>
          </w:p>
        </w:tc>
        <w:tc>
          <w:tcPr>
            <w:tcW w:w="1401" w:type="pct"/>
            <w:vAlign w:val="center"/>
          </w:tcPr>
          <w:p w14:paraId="2813EB49" w14:textId="77777777" w:rsidR="002E474C" w:rsidRDefault="00000000">
            <w:pPr>
              <w:pStyle w:val="A-"/>
            </w:pPr>
            <w:r>
              <w:t>液态、半固态</w:t>
            </w:r>
          </w:p>
        </w:tc>
      </w:tr>
      <w:tr w:rsidR="002E474C" w14:paraId="0FCF7F86" w14:textId="77777777">
        <w:trPr>
          <w:trHeight w:val="255"/>
        </w:trPr>
        <w:tc>
          <w:tcPr>
            <w:tcW w:w="423" w:type="pct"/>
            <w:vAlign w:val="center"/>
          </w:tcPr>
          <w:p w14:paraId="792B9F21" w14:textId="77777777" w:rsidR="002E474C" w:rsidRDefault="00000000">
            <w:pPr>
              <w:pStyle w:val="A-"/>
            </w:pPr>
            <w:r>
              <w:t>26</w:t>
            </w:r>
          </w:p>
        </w:tc>
        <w:tc>
          <w:tcPr>
            <w:tcW w:w="2333" w:type="pct"/>
            <w:vAlign w:val="center"/>
          </w:tcPr>
          <w:p w14:paraId="1984AC5A" w14:textId="77777777" w:rsidR="002E474C" w:rsidRDefault="00000000">
            <w:pPr>
              <w:pStyle w:val="A-"/>
            </w:pPr>
            <w:r>
              <w:t>HW35</w:t>
            </w:r>
            <w:r>
              <w:t>废碱</w:t>
            </w:r>
          </w:p>
        </w:tc>
        <w:tc>
          <w:tcPr>
            <w:tcW w:w="842" w:type="pct"/>
            <w:vAlign w:val="center"/>
          </w:tcPr>
          <w:p w14:paraId="11D4B9D0" w14:textId="77777777" w:rsidR="002E474C" w:rsidRDefault="00000000">
            <w:pPr>
              <w:pStyle w:val="A-"/>
            </w:pPr>
            <w:r>
              <w:t>2500</w:t>
            </w:r>
          </w:p>
        </w:tc>
        <w:tc>
          <w:tcPr>
            <w:tcW w:w="1401" w:type="pct"/>
            <w:vAlign w:val="center"/>
          </w:tcPr>
          <w:p w14:paraId="28E90E1F" w14:textId="77777777" w:rsidR="002E474C" w:rsidRDefault="00000000">
            <w:pPr>
              <w:pStyle w:val="A-"/>
            </w:pPr>
            <w:r>
              <w:t>液态、半固态</w:t>
            </w:r>
          </w:p>
        </w:tc>
      </w:tr>
      <w:tr w:rsidR="002E474C" w14:paraId="70A8D104" w14:textId="77777777">
        <w:trPr>
          <w:trHeight w:val="255"/>
        </w:trPr>
        <w:tc>
          <w:tcPr>
            <w:tcW w:w="423" w:type="pct"/>
            <w:vAlign w:val="center"/>
          </w:tcPr>
          <w:p w14:paraId="265BFD5D" w14:textId="77777777" w:rsidR="002E474C" w:rsidRDefault="00000000">
            <w:pPr>
              <w:pStyle w:val="A-"/>
            </w:pPr>
            <w:r>
              <w:t>27</w:t>
            </w:r>
          </w:p>
        </w:tc>
        <w:tc>
          <w:tcPr>
            <w:tcW w:w="2333" w:type="pct"/>
            <w:vAlign w:val="center"/>
          </w:tcPr>
          <w:p w14:paraId="3213AFC7" w14:textId="77777777" w:rsidR="002E474C" w:rsidRDefault="00000000">
            <w:pPr>
              <w:pStyle w:val="A-"/>
            </w:pPr>
            <w:r>
              <w:t>HW37</w:t>
            </w:r>
            <w:r>
              <w:t>有机磷化合物废物</w:t>
            </w:r>
          </w:p>
        </w:tc>
        <w:tc>
          <w:tcPr>
            <w:tcW w:w="842" w:type="pct"/>
            <w:vAlign w:val="center"/>
          </w:tcPr>
          <w:p w14:paraId="384B3AB6" w14:textId="77777777" w:rsidR="002E474C" w:rsidRDefault="00000000">
            <w:pPr>
              <w:pStyle w:val="A-"/>
            </w:pPr>
            <w:r>
              <w:t>47.5</w:t>
            </w:r>
          </w:p>
        </w:tc>
        <w:tc>
          <w:tcPr>
            <w:tcW w:w="1401" w:type="pct"/>
            <w:vAlign w:val="center"/>
          </w:tcPr>
          <w:p w14:paraId="391834A8" w14:textId="77777777" w:rsidR="002E474C" w:rsidRDefault="00000000">
            <w:pPr>
              <w:pStyle w:val="A-"/>
            </w:pPr>
            <w:r>
              <w:t>液态、固态</w:t>
            </w:r>
          </w:p>
        </w:tc>
      </w:tr>
      <w:tr w:rsidR="002E474C" w14:paraId="6A474EEF" w14:textId="77777777">
        <w:trPr>
          <w:trHeight w:val="255"/>
        </w:trPr>
        <w:tc>
          <w:tcPr>
            <w:tcW w:w="423" w:type="pct"/>
            <w:vAlign w:val="center"/>
          </w:tcPr>
          <w:p w14:paraId="17678B4E" w14:textId="77777777" w:rsidR="002E474C" w:rsidRDefault="00000000">
            <w:pPr>
              <w:pStyle w:val="A-"/>
            </w:pPr>
            <w:r>
              <w:t>28</w:t>
            </w:r>
          </w:p>
        </w:tc>
        <w:tc>
          <w:tcPr>
            <w:tcW w:w="2333" w:type="pct"/>
            <w:vAlign w:val="center"/>
          </w:tcPr>
          <w:p w14:paraId="7A57E4C2" w14:textId="77777777" w:rsidR="002E474C" w:rsidRDefault="00000000">
            <w:pPr>
              <w:pStyle w:val="A-"/>
            </w:pPr>
            <w:r>
              <w:t>HW38</w:t>
            </w:r>
            <w:r>
              <w:t>有机氰化废物</w:t>
            </w:r>
          </w:p>
        </w:tc>
        <w:tc>
          <w:tcPr>
            <w:tcW w:w="842" w:type="pct"/>
            <w:vAlign w:val="center"/>
          </w:tcPr>
          <w:p w14:paraId="18EFD3E0" w14:textId="77777777" w:rsidR="002E474C" w:rsidRDefault="00000000">
            <w:pPr>
              <w:pStyle w:val="A-"/>
            </w:pPr>
            <w:r>
              <w:t>23.5</w:t>
            </w:r>
          </w:p>
        </w:tc>
        <w:tc>
          <w:tcPr>
            <w:tcW w:w="1401" w:type="pct"/>
            <w:vAlign w:val="center"/>
          </w:tcPr>
          <w:p w14:paraId="439FF358" w14:textId="77777777" w:rsidR="002E474C" w:rsidRDefault="00000000">
            <w:pPr>
              <w:pStyle w:val="A-"/>
            </w:pPr>
            <w:r>
              <w:t>液态、固态</w:t>
            </w:r>
          </w:p>
        </w:tc>
      </w:tr>
      <w:tr w:rsidR="002E474C" w14:paraId="0A721FDB" w14:textId="77777777">
        <w:trPr>
          <w:trHeight w:val="255"/>
        </w:trPr>
        <w:tc>
          <w:tcPr>
            <w:tcW w:w="423" w:type="pct"/>
            <w:vAlign w:val="center"/>
          </w:tcPr>
          <w:p w14:paraId="4CAC0A1B" w14:textId="77777777" w:rsidR="002E474C" w:rsidRDefault="00000000">
            <w:pPr>
              <w:pStyle w:val="A-"/>
            </w:pPr>
            <w:r>
              <w:t>29</w:t>
            </w:r>
          </w:p>
        </w:tc>
        <w:tc>
          <w:tcPr>
            <w:tcW w:w="2333" w:type="pct"/>
            <w:vAlign w:val="center"/>
          </w:tcPr>
          <w:p w14:paraId="7F0C7B22" w14:textId="77777777" w:rsidR="002E474C" w:rsidRDefault="00000000">
            <w:pPr>
              <w:pStyle w:val="A-"/>
            </w:pPr>
            <w:r>
              <w:t>HW39</w:t>
            </w:r>
            <w:r>
              <w:t>含酚废物</w:t>
            </w:r>
          </w:p>
        </w:tc>
        <w:tc>
          <w:tcPr>
            <w:tcW w:w="842" w:type="pct"/>
            <w:vAlign w:val="center"/>
          </w:tcPr>
          <w:p w14:paraId="1CDCB294" w14:textId="77777777" w:rsidR="002E474C" w:rsidRDefault="00000000">
            <w:pPr>
              <w:pStyle w:val="A-"/>
            </w:pPr>
            <w:r>
              <w:t>1479</w:t>
            </w:r>
          </w:p>
        </w:tc>
        <w:tc>
          <w:tcPr>
            <w:tcW w:w="1401" w:type="pct"/>
            <w:vAlign w:val="center"/>
          </w:tcPr>
          <w:p w14:paraId="59BB888B" w14:textId="77777777" w:rsidR="002E474C" w:rsidRDefault="00000000">
            <w:pPr>
              <w:pStyle w:val="A-"/>
            </w:pPr>
            <w:r>
              <w:t>液态、固态</w:t>
            </w:r>
          </w:p>
        </w:tc>
      </w:tr>
      <w:tr w:rsidR="002E474C" w14:paraId="4090FBBD" w14:textId="77777777">
        <w:trPr>
          <w:trHeight w:val="255"/>
        </w:trPr>
        <w:tc>
          <w:tcPr>
            <w:tcW w:w="423" w:type="pct"/>
            <w:vAlign w:val="center"/>
          </w:tcPr>
          <w:p w14:paraId="573CC27D" w14:textId="77777777" w:rsidR="002E474C" w:rsidRDefault="00000000">
            <w:pPr>
              <w:pStyle w:val="A-"/>
            </w:pPr>
            <w:r>
              <w:t>30</w:t>
            </w:r>
          </w:p>
        </w:tc>
        <w:tc>
          <w:tcPr>
            <w:tcW w:w="2333" w:type="pct"/>
            <w:vAlign w:val="center"/>
          </w:tcPr>
          <w:p w14:paraId="50FE1C83" w14:textId="77777777" w:rsidR="002E474C" w:rsidRDefault="00000000">
            <w:pPr>
              <w:pStyle w:val="A-"/>
            </w:pPr>
            <w:r>
              <w:t>HW40</w:t>
            </w:r>
            <w:r>
              <w:t>含醚废物</w:t>
            </w:r>
          </w:p>
        </w:tc>
        <w:tc>
          <w:tcPr>
            <w:tcW w:w="842" w:type="pct"/>
            <w:vAlign w:val="center"/>
          </w:tcPr>
          <w:p w14:paraId="3F98A508" w14:textId="77777777" w:rsidR="002E474C" w:rsidRDefault="00000000">
            <w:pPr>
              <w:pStyle w:val="A-"/>
            </w:pPr>
            <w:r>
              <w:t>704.5</w:t>
            </w:r>
          </w:p>
        </w:tc>
        <w:tc>
          <w:tcPr>
            <w:tcW w:w="1401" w:type="pct"/>
            <w:vAlign w:val="center"/>
          </w:tcPr>
          <w:p w14:paraId="5DFFFCC5" w14:textId="77777777" w:rsidR="002E474C" w:rsidRDefault="00000000">
            <w:pPr>
              <w:pStyle w:val="A-"/>
            </w:pPr>
            <w:r>
              <w:t>液态、固态</w:t>
            </w:r>
          </w:p>
        </w:tc>
      </w:tr>
      <w:tr w:rsidR="002E474C" w14:paraId="202B3DE4" w14:textId="77777777">
        <w:trPr>
          <w:trHeight w:val="255"/>
        </w:trPr>
        <w:tc>
          <w:tcPr>
            <w:tcW w:w="423" w:type="pct"/>
            <w:vAlign w:val="center"/>
          </w:tcPr>
          <w:p w14:paraId="15166A43" w14:textId="77777777" w:rsidR="002E474C" w:rsidRDefault="00000000">
            <w:pPr>
              <w:pStyle w:val="A-"/>
            </w:pPr>
            <w:r>
              <w:t>31</w:t>
            </w:r>
          </w:p>
        </w:tc>
        <w:tc>
          <w:tcPr>
            <w:tcW w:w="2333" w:type="pct"/>
            <w:vAlign w:val="center"/>
          </w:tcPr>
          <w:p w14:paraId="17F755B3" w14:textId="77777777" w:rsidR="002E474C" w:rsidRDefault="00000000">
            <w:pPr>
              <w:pStyle w:val="A-"/>
            </w:pPr>
            <w:r>
              <w:t>HW45</w:t>
            </w:r>
            <w:r>
              <w:t>含有机卤化物废物</w:t>
            </w:r>
          </w:p>
        </w:tc>
        <w:tc>
          <w:tcPr>
            <w:tcW w:w="842" w:type="pct"/>
            <w:vAlign w:val="center"/>
          </w:tcPr>
          <w:p w14:paraId="069F60D7" w14:textId="77777777" w:rsidR="002E474C" w:rsidRDefault="00000000">
            <w:pPr>
              <w:pStyle w:val="A-"/>
            </w:pPr>
            <w:r>
              <w:t>1408.5</w:t>
            </w:r>
          </w:p>
        </w:tc>
        <w:tc>
          <w:tcPr>
            <w:tcW w:w="1401" w:type="pct"/>
            <w:vAlign w:val="center"/>
          </w:tcPr>
          <w:p w14:paraId="2B52BD0C" w14:textId="77777777" w:rsidR="002E474C" w:rsidRDefault="00000000">
            <w:pPr>
              <w:pStyle w:val="A-"/>
            </w:pPr>
            <w:r>
              <w:t>液态、固态、半固态</w:t>
            </w:r>
          </w:p>
        </w:tc>
      </w:tr>
      <w:tr w:rsidR="002E474C" w14:paraId="67015BD4" w14:textId="77777777">
        <w:trPr>
          <w:trHeight w:val="255"/>
        </w:trPr>
        <w:tc>
          <w:tcPr>
            <w:tcW w:w="423" w:type="pct"/>
            <w:vAlign w:val="center"/>
          </w:tcPr>
          <w:p w14:paraId="35F22713" w14:textId="77777777" w:rsidR="002E474C" w:rsidRDefault="00000000">
            <w:pPr>
              <w:pStyle w:val="A-"/>
            </w:pPr>
            <w:r>
              <w:t>32</w:t>
            </w:r>
          </w:p>
        </w:tc>
        <w:tc>
          <w:tcPr>
            <w:tcW w:w="2333" w:type="pct"/>
            <w:vAlign w:val="center"/>
          </w:tcPr>
          <w:p w14:paraId="25D1D62D" w14:textId="77777777" w:rsidR="002E474C" w:rsidRDefault="00000000">
            <w:pPr>
              <w:pStyle w:val="A-"/>
            </w:pPr>
            <w:r>
              <w:t>HW46</w:t>
            </w:r>
            <w:r>
              <w:t>含镍废物</w:t>
            </w:r>
          </w:p>
        </w:tc>
        <w:tc>
          <w:tcPr>
            <w:tcW w:w="842" w:type="pct"/>
            <w:vAlign w:val="center"/>
          </w:tcPr>
          <w:p w14:paraId="7E1240C1" w14:textId="77777777" w:rsidR="002E474C" w:rsidRDefault="00000000">
            <w:pPr>
              <w:pStyle w:val="A-"/>
            </w:pPr>
            <w:r>
              <w:t>7</w:t>
            </w:r>
          </w:p>
        </w:tc>
        <w:tc>
          <w:tcPr>
            <w:tcW w:w="1401" w:type="pct"/>
            <w:vAlign w:val="center"/>
          </w:tcPr>
          <w:p w14:paraId="1D4B2619" w14:textId="77777777" w:rsidR="002E474C" w:rsidRDefault="00000000">
            <w:pPr>
              <w:pStyle w:val="A-"/>
            </w:pPr>
            <w:r>
              <w:t>液态、固态、半固态</w:t>
            </w:r>
          </w:p>
        </w:tc>
      </w:tr>
      <w:tr w:rsidR="002E474C" w14:paraId="4686DF69" w14:textId="77777777">
        <w:trPr>
          <w:trHeight w:val="255"/>
        </w:trPr>
        <w:tc>
          <w:tcPr>
            <w:tcW w:w="423" w:type="pct"/>
            <w:vAlign w:val="center"/>
          </w:tcPr>
          <w:p w14:paraId="3A2CD08C" w14:textId="77777777" w:rsidR="002E474C" w:rsidRDefault="00000000">
            <w:pPr>
              <w:pStyle w:val="A-"/>
            </w:pPr>
            <w:r>
              <w:t>33</w:t>
            </w:r>
          </w:p>
        </w:tc>
        <w:tc>
          <w:tcPr>
            <w:tcW w:w="2333" w:type="pct"/>
            <w:vAlign w:val="center"/>
          </w:tcPr>
          <w:p w14:paraId="6449605A" w14:textId="77777777" w:rsidR="002E474C" w:rsidRDefault="00000000">
            <w:pPr>
              <w:pStyle w:val="A-"/>
            </w:pPr>
            <w:r>
              <w:t>HW47</w:t>
            </w:r>
            <w:r>
              <w:t>含钡废物</w:t>
            </w:r>
          </w:p>
        </w:tc>
        <w:tc>
          <w:tcPr>
            <w:tcW w:w="842" w:type="pct"/>
            <w:vAlign w:val="center"/>
          </w:tcPr>
          <w:p w14:paraId="6E024033" w14:textId="77777777" w:rsidR="002E474C" w:rsidRDefault="00000000">
            <w:pPr>
              <w:pStyle w:val="A-"/>
            </w:pPr>
            <w:r>
              <w:t>140</w:t>
            </w:r>
          </w:p>
        </w:tc>
        <w:tc>
          <w:tcPr>
            <w:tcW w:w="1401" w:type="pct"/>
            <w:vAlign w:val="center"/>
          </w:tcPr>
          <w:p w14:paraId="6765C6C2" w14:textId="77777777" w:rsidR="002E474C" w:rsidRDefault="00000000">
            <w:pPr>
              <w:pStyle w:val="A-"/>
            </w:pPr>
            <w:r>
              <w:t>液态、固态</w:t>
            </w:r>
          </w:p>
        </w:tc>
      </w:tr>
      <w:tr w:rsidR="002E474C" w14:paraId="5FBF53A1" w14:textId="77777777">
        <w:trPr>
          <w:trHeight w:val="255"/>
        </w:trPr>
        <w:tc>
          <w:tcPr>
            <w:tcW w:w="423" w:type="pct"/>
            <w:vAlign w:val="center"/>
          </w:tcPr>
          <w:p w14:paraId="3F359E4E" w14:textId="77777777" w:rsidR="002E474C" w:rsidRDefault="00000000">
            <w:pPr>
              <w:pStyle w:val="A-"/>
            </w:pPr>
            <w:r>
              <w:t>34</w:t>
            </w:r>
          </w:p>
        </w:tc>
        <w:tc>
          <w:tcPr>
            <w:tcW w:w="2333" w:type="pct"/>
            <w:vAlign w:val="center"/>
          </w:tcPr>
          <w:p w14:paraId="0706E40A" w14:textId="77777777" w:rsidR="002E474C" w:rsidRDefault="00000000">
            <w:pPr>
              <w:pStyle w:val="A-"/>
            </w:pPr>
            <w:r>
              <w:t>HW48</w:t>
            </w:r>
            <w:r>
              <w:t>有色金属采选和冶炼废物</w:t>
            </w:r>
          </w:p>
        </w:tc>
        <w:tc>
          <w:tcPr>
            <w:tcW w:w="842" w:type="pct"/>
            <w:vAlign w:val="center"/>
          </w:tcPr>
          <w:p w14:paraId="2E6714F9" w14:textId="77777777" w:rsidR="002E474C" w:rsidRDefault="00000000">
            <w:pPr>
              <w:pStyle w:val="A-"/>
            </w:pPr>
            <w:r>
              <w:t>15000</w:t>
            </w:r>
          </w:p>
        </w:tc>
        <w:tc>
          <w:tcPr>
            <w:tcW w:w="1401" w:type="pct"/>
            <w:vAlign w:val="center"/>
          </w:tcPr>
          <w:p w14:paraId="439C56EB" w14:textId="77777777" w:rsidR="002E474C" w:rsidRDefault="00000000">
            <w:pPr>
              <w:pStyle w:val="A-"/>
            </w:pPr>
            <w:r>
              <w:t>固态、半固态</w:t>
            </w:r>
          </w:p>
        </w:tc>
      </w:tr>
      <w:tr w:rsidR="002E474C" w14:paraId="3BE95D7A" w14:textId="77777777">
        <w:trPr>
          <w:trHeight w:val="255"/>
        </w:trPr>
        <w:tc>
          <w:tcPr>
            <w:tcW w:w="423" w:type="pct"/>
            <w:vAlign w:val="center"/>
          </w:tcPr>
          <w:p w14:paraId="49F834A9" w14:textId="77777777" w:rsidR="002E474C" w:rsidRDefault="00000000">
            <w:pPr>
              <w:pStyle w:val="A-"/>
            </w:pPr>
            <w:r>
              <w:t>35</w:t>
            </w:r>
          </w:p>
        </w:tc>
        <w:tc>
          <w:tcPr>
            <w:tcW w:w="2333" w:type="pct"/>
            <w:vAlign w:val="center"/>
          </w:tcPr>
          <w:p w14:paraId="520903D2" w14:textId="77777777" w:rsidR="002E474C" w:rsidRDefault="00000000">
            <w:pPr>
              <w:pStyle w:val="A-"/>
            </w:pPr>
            <w:r>
              <w:t>HW49</w:t>
            </w:r>
            <w:r>
              <w:t>其他废物</w:t>
            </w:r>
          </w:p>
        </w:tc>
        <w:tc>
          <w:tcPr>
            <w:tcW w:w="842" w:type="pct"/>
            <w:vAlign w:val="center"/>
          </w:tcPr>
          <w:p w14:paraId="3EE4739E" w14:textId="77777777" w:rsidR="002E474C" w:rsidRDefault="00000000">
            <w:pPr>
              <w:pStyle w:val="A-"/>
            </w:pPr>
            <w:r>
              <w:t>4000</w:t>
            </w:r>
          </w:p>
        </w:tc>
        <w:tc>
          <w:tcPr>
            <w:tcW w:w="1401" w:type="pct"/>
            <w:vAlign w:val="center"/>
          </w:tcPr>
          <w:p w14:paraId="5D34568E" w14:textId="77777777" w:rsidR="002E474C" w:rsidRDefault="00000000">
            <w:pPr>
              <w:pStyle w:val="A-"/>
            </w:pPr>
            <w:r>
              <w:t>液态、固态、半固态</w:t>
            </w:r>
          </w:p>
        </w:tc>
      </w:tr>
      <w:tr w:rsidR="002E474C" w14:paraId="68A305A4" w14:textId="77777777">
        <w:trPr>
          <w:trHeight w:val="255"/>
        </w:trPr>
        <w:tc>
          <w:tcPr>
            <w:tcW w:w="423" w:type="pct"/>
            <w:vAlign w:val="center"/>
          </w:tcPr>
          <w:p w14:paraId="02B3EDA3" w14:textId="77777777" w:rsidR="002E474C" w:rsidRDefault="00000000">
            <w:pPr>
              <w:pStyle w:val="A-"/>
            </w:pPr>
            <w:r>
              <w:t>36</w:t>
            </w:r>
          </w:p>
        </w:tc>
        <w:tc>
          <w:tcPr>
            <w:tcW w:w="2333" w:type="pct"/>
            <w:vAlign w:val="center"/>
          </w:tcPr>
          <w:p w14:paraId="4BB0314C" w14:textId="77777777" w:rsidR="002E474C" w:rsidRDefault="00000000">
            <w:pPr>
              <w:pStyle w:val="A-"/>
            </w:pPr>
            <w:r>
              <w:t>HW50</w:t>
            </w:r>
            <w:r>
              <w:t>废催化剂</w:t>
            </w:r>
          </w:p>
        </w:tc>
        <w:tc>
          <w:tcPr>
            <w:tcW w:w="842" w:type="pct"/>
            <w:vAlign w:val="center"/>
          </w:tcPr>
          <w:p w14:paraId="41601B76" w14:textId="77777777" w:rsidR="002E474C" w:rsidRDefault="00000000">
            <w:pPr>
              <w:pStyle w:val="A-"/>
            </w:pPr>
            <w:r>
              <w:t>1000</w:t>
            </w:r>
          </w:p>
        </w:tc>
        <w:tc>
          <w:tcPr>
            <w:tcW w:w="1401" w:type="pct"/>
            <w:vAlign w:val="center"/>
          </w:tcPr>
          <w:p w14:paraId="1F0A4919" w14:textId="77777777" w:rsidR="002E474C" w:rsidRDefault="00000000">
            <w:pPr>
              <w:pStyle w:val="A-"/>
            </w:pPr>
            <w:r>
              <w:t>液态、半固态、固态</w:t>
            </w:r>
          </w:p>
        </w:tc>
      </w:tr>
      <w:tr w:rsidR="002E474C" w14:paraId="1E791CD1" w14:textId="77777777">
        <w:trPr>
          <w:trHeight w:val="255"/>
        </w:trPr>
        <w:tc>
          <w:tcPr>
            <w:tcW w:w="2756" w:type="pct"/>
            <w:gridSpan w:val="2"/>
            <w:vAlign w:val="center"/>
          </w:tcPr>
          <w:p w14:paraId="511C624F" w14:textId="77777777" w:rsidR="002E474C" w:rsidRDefault="00000000">
            <w:pPr>
              <w:pStyle w:val="A-"/>
            </w:pPr>
            <w:r>
              <w:t>合计</w:t>
            </w:r>
          </w:p>
        </w:tc>
        <w:tc>
          <w:tcPr>
            <w:tcW w:w="842" w:type="pct"/>
            <w:vAlign w:val="center"/>
          </w:tcPr>
          <w:p w14:paraId="48F44298" w14:textId="77777777" w:rsidR="002E474C" w:rsidRDefault="00000000">
            <w:pPr>
              <w:pStyle w:val="A-"/>
            </w:pPr>
            <w:r>
              <w:t>51348.62</w:t>
            </w:r>
          </w:p>
        </w:tc>
        <w:tc>
          <w:tcPr>
            <w:tcW w:w="1401" w:type="pct"/>
            <w:vAlign w:val="center"/>
          </w:tcPr>
          <w:p w14:paraId="5DABAF83" w14:textId="77777777" w:rsidR="002E474C" w:rsidRDefault="002E474C">
            <w:pPr>
              <w:pStyle w:val="A-"/>
            </w:pPr>
          </w:p>
        </w:tc>
      </w:tr>
    </w:tbl>
    <w:p w14:paraId="49EC3F1F" w14:textId="77777777" w:rsidR="002E474C" w:rsidRDefault="002E474C">
      <w:pPr>
        <w:pStyle w:val="A--"/>
        <w:rPr>
          <w:color w:val="auto"/>
        </w:rPr>
      </w:pPr>
      <w:bookmarkStart w:id="160" w:name="_Ref126752388"/>
      <w:bookmarkEnd w:id="159"/>
    </w:p>
    <w:p w14:paraId="66D65910" w14:textId="77777777" w:rsidR="00B7283B" w:rsidRDefault="00B7283B">
      <w:pPr>
        <w:pStyle w:val="A--"/>
        <w:rPr>
          <w:rFonts w:hint="eastAsia"/>
          <w:color w:val="auto"/>
        </w:rPr>
      </w:pPr>
    </w:p>
    <w:p w14:paraId="27534ACE" w14:textId="77777777" w:rsidR="002E474C" w:rsidRDefault="00000000">
      <w:pPr>
        <w:pStyle w:val="A--"/>
        <w:rPr>
          <w:color w:val="auto"/>
        </w:rPr>
      </w:pPr>
      <w:r>
        <w:rPr>
          <w:color w:val="auto"/>
        </w:rPr>
        <w:t>表</w:t>
      </w:r>
      <w:bookmarkEnd w:id="160"/>
      <w:r>
        <w:rPr>
          <w:color w:val="auto"/>
        </w:rPr>
        <w:t xml:space="preserve">3.4-2  </w:t>
      </w:r>
      <w:r>
        <w:rPr>
          <w:color w:val="auto"/>
        </w:rPr>
        <w:t>本项目拟处置危险废物代码汇总</w:t>
      </w:r>
    </w:p>
    <w:tbl>
      <w:tblPr>
        <w:tblStyle w:val="affff9"/>
        <w:tblW w:w="0" w:type="auto"/>
        <w:tblLayout w:type="fixed"/>
        <w:tblLook w:val="04A0" w:firstRow="1" w:lastRow="0" w:firstColumn="1" w:lastColumn="0" w:noHBand="0" w:noVBand="1"/>
      </w:tblPr>
      <w:tblGrid>
        <w:gridCol w:w="828"/>
        <w:gridCol w:w="893"/>
        <w:gridCol w:w="1147"/>
        <w:gridCol w:w="4991"/>
        <w:gridCol w:w="663"/>
      </w:tblGrid>
      <w:tr w:rsidR="002E474C" w14:paraId="43DF0BAA" w14:textId="77777777">
        <w:trPr>
          <w:trHeight w:val="300"/>
        </w:trPr>
        <w:tc>
          <w:tcPr>
            <w:tcW w:w="828" w:type="dxa"/>
            <w:noWrap/>
            <w:vAlign w:val="center"/>
          </w:tcPr>
          <w:p w14:paraId="41698240" w14:textId="77777777" w:rsidR="002E474C" w:rsidRDefault="00000000">
            <w:pPr>
              <w:pStyle w:val="A-"/>
              <w:spacing w:line="260" w:lineRule="exact"/>
            </w:pPr>
            <w:r>
              <w:lastRenderedPageBreak/>
              <w:t>废物类别</w:t>
            </w:r>
          </w:p>
        </w:tc>
        <w:tc>
          <w:tcPr>
            <w:tcW w:w="893" w:type="dxa"/>
            <w:noWrap/>
            <w:vAlign w:val="center"/>
          </w:tcPr>
          <w:p w14:paraId="07B69AAF" w14:textId="77777777" w:rsidR="002E474C" w:rsidRDefault="00000000">
            <w:pPr>
              <w:pStyle w:val="A-"/>
              <w:spacing w:line="260" w:lineRule="exact"/>
            </w:pPr>
            <w:r>
              <w:t>行业</w:t>
            </w:r>
          </w:p>
          <w:p w14:paraId="0358DF5B" w14:textId="77777777" w:rsidR="002E474C" w:rsidRDefault="00000000">
            <w:pPr>
              <w:pStyle w:val="A-"/>
              <w:spacing w:line="260" w:lineRule="exact"/>
            </w:pPr>
            <w:r>
              <w:t>来源</w:t>
            </w:r>
          </w:p>
        </w:tc>
        <w:tc>
          <w:tcPr>
            <w:tcW w:w="1147" w:type="dxa"/>
            <w:noWrap/>
            <w:vAlign w:val="center"/>
          </w:tcPr>
          <w:p w14:paraId="037D46E2" w14:textId="77777777" w:rsidR="002E474C" w:rsidRDefault="00000000">
            <w:pPr>
              <w:pStyle w:val="A-"/>
              <w:spacing w:line="260" w:lineRule="exact"/>
            </w:pPr>
            <w:r>
              <w:t>废物代码</w:t>
            </w:r>
          </w:p>
        </w:tc>
        <w:tc>
          <w:tcPr>
            <w:tcW w:w="4991" w:type="dxa"/>
            <w:noWrap/>
            <w:vAlign w:val="center"/>
          </w:tcPr>
          <w:p w14:paraId="7814EEA4" w14:textId="77777777" w:rsidR="002E474C" w:rsidRDefault="00000000">
            <w:pPr>
              <w:pStyle w:val="A-"/>
              <w:spacing w:line="260" w:lineRule="exact"/>
            </w:pPr>
            <w:r>
              <w:t>危险废物</w:t>
            </w:r>
          </w:p>
        </w:tc>
        <w:tc>
          <w:tcPr>
            <w:tcW w:w="663" w:type="dxa"/>
            <w:noWrap/>
            <w:vAlign w:val="center"/>
          </w:tcPr>
          <w:p w14:paraId="5613FFAA" w14:textId="77777777" w:rsidR="002E474C" w:rsidRDefault="00000000">
            <w:pPr>
              <w:pStyle w:val="A-"/>
              <w:spacing w:line="260" w:lineRule="exact"/>
            </w:pPr>
            <w:r>
              <w:t>危险</w:t>
            </w:r>
          </w:p>
          <w:p w14:paraId="584400C9" w14:textId="77777777" w:rsidR="002E474C" w:rsidRDefault="00000000">
            <w:pPr>
              <w:pStyle w:val="A-"/>
              <w:spacing w:line="260" w:lineRule="exact"/>
            </w:pPr>
            <w:r>
              <w:t>特性</w:t>
            </w:r>
          </w:p>
        </w:tc>
      </w:tr>
      <w:tr w:rsidR="002E474C" w14:paraId="3E707C80" w14:textId="77777777">
        <w:trPr>
          <w:trHeight w:val="300"/>
        </w:trPr>
        <w:tc>
          <w:tcPr>
            <w:tcW w:w="828" w:type="dxa"/>
            <w:vMerge w:val="restart"/>
            <w:noWrap/>
            <w:vAlign w:val="center"/>
          </w:tcPr>
          <w:p w14:paraId="5ECF6122" w14:textId="77777777" w:rsidR="002E474C" w:rsidRDefault="00000000">
            <w:pPr>
              <w:pStyle w:val="A-"/>
              <w:spacing w:line="260" w:lineRule="exact"/>
            </w:pPr>
            <w:r>
              <w:t>HW02</w:t>
            </w:r>
            <w:r>
              <w:br/>
            </w:r>
            <w:r>
              <w:t>医药废物</w:t>
            </w:r>
          </w:p>
        </w:tc>
        <w:tc>
          <w:tcPr>
            <w:tcW w:w="893" w:type="dxa"/>
            <w:vMerge w:val="restart"/>
            <w:noWrap/>
            <w:vAlign w:val="center"/>
          </w:tcPr>
          <w:p w14:paraId="54CE302A" w14:textId="77777777" w:rsidR="002E474C" w:rsidRDefault="00000000">
            <w:pPr>
              <w:pStyle w:val="A-"/>
              <w:spacing w:line="260" w:lineRule="exact"/>
            </w:pPr>
            <w:r>
              <w:t>化学药品原料药制造</w:t>
            </w:r>
          </w:p>
        </w:tc>
        <w:tc>
          <w:tcPr>
            <w:tcW w:w="1147" w:type="dxa"/>
            <w:noWrap/>
            <w:vAlign w:val="center"/>
          </w:tcPr>
          <w:p w14:paraId="051A9ACC" w14:textId="77777777" w:rsidR="002E474C" w:rsidRDefault="00000000">
            <w:pPr>
              <w:pStyle w:val="A-"/>
              <w:spacing w:line="260" w:lineRule="exact"/>
              <w:ind w:leftChars="-25" w:left="-53" w:rightChars="-25" w:right="-53"/>
            </w:pPr>
            <w:r>
              <w:t>271-001-02</w:t>
            </w:r>
          </w:p>
        </w:tc>
        <w:tc>
          <w:tcPr>
            <w:tcW w:w="4991" w:type="dxa"/>
            <w:noWrap/>
            <w:vAlign w:val="center"/>
          </w:tcPr>
          <w:p w14:paraId="68B127EC" w14:textId="77777777" w:rsidR="002E474C" w:rsidRDefault="00000000">
            <w:pPr>
              <w:pStyle w:val="A-"/>
              <w:spacing w:line="260" w:lineRule="exact"/>
              <w:ind w:leftChars="-25" w:left="-53" w:rightChars="-25" w:right="-53"/>
            </w:pPr>
            <w:r>
              <w:rPr>
                <w:spacing w:val="-6"/>
              </w:rPr>
              <w:t>化学合成原料药生产过程中产生的蒸馏及反应残余物</w:t>
            </w:r>
          </w:p>
        </w:tc>
        <w:tc>
          <w:tcPr>
            <w:tcW w:w="663" w:type="dxa"/>
            <w:noWrap/>
            <w:vAlign w:val="center"/>
          </w:tcPr>
          <w:p w14:paraId="6F558231" w14:textId="77777777" w:rsidR="002E474C" w:rsidRDefault="00000000">
            <w:pPr>
              <w:pStyle w:val="A-"/>
              <w:spacing w:line="260" w:lineRule="exact"/>
            </w:pPr>
            <w:r>
              <w:t>T</w:t>
            </w:r>
          </w:p>
        </w:tc>
      </w:tr>
      <w:tr w:rsidR="002E474C" w14:paraId="6C4C4E6B" w14:textId="77777777">
        <w:trPr>
          <w:trHeight w:val="300"/>
        </w:trPr>
        <w:tc>
          <w:tcPr>
            <w:tcW w:w="828" w:type="dxa"/>
            <w:vMerge/>
            <w:vAlign w:val="center"/>
          </w:tcPr>
          <w:p w14:paraId="7C650726" w14:textId="77777777" w:rsidR="002E474C" w:rsidRDefault="002E474C">
            <w:pPr>
              <w:pStyle w:val="A-"/>
              <w:spacing w:line="260" w:lineRule="exact"/>
            </w:pPr>
          </w:p>
        </w:tc>
        <w:tc>
          <w:tcPr>
            <w:tcW w:w="893" w:type="dxa"/>
            <w:vMerge/>
            <w:vAlign w:val="center"/>
          </w:tcPr>
          <w:p w14:paraId="4AD0360A" w14:textId="77777777" w:rsidR="002E474C" w:rsidRDefault="002E474C">
            <w:pPr>
              <w:pStyle w:val="A-"/>
              <w:spacing w:line="260" w:lineRule="exact"/>
            </w:pPr>
          </w:p>
        </w:tc>
        <w:tc>
          <w:tcPr>
            <w:tcW w:w="1147" w:type="dxa"/>
            <w:noWrap/>
            <w:vAlign w:val="center"/>
          </w:tcPr>
          <w:p w14:paraId="30B5F394" w14:textId="77777777" w:rsidR="002E474C" w:rsidRDefault="00000000">
            <w:pPr>
              <w:pStyle w:val="A-"/>
              <w:spacing w:line="260" w:lineRule="exact"/>
              <w:ind w:leftChars="-25" w:left="-53" w:rightChars="-25" w:right="-53"/>
            </w:pPr>
            <w:r>
              <w:t>271-002-02</w:t>
            </w:r>
          </w:p>
        </w:tc>
        <w:tc>
          <w:tcPr>
            <w:tcW w:w="4991" w:type="dxa"/>
            <w:noWrap/>
            <w:vAlign w:val="center"/>
          </w:tcPr>
          <w:p w14:paraId="4F4E355A" w14:textId="77777777" w:rsidR="002E474C" w:rsidRDefault="00000000">
            <w:pPr>
              <w:pStyle w:val="A-"/>
              <w:spacing w:line="260" w:lineRule="exact"/>
            </w:pPr>
            <w:r>
              <w:rPr>
                <w:spacing w:val="-6"/>
              </w:rPr>
              <w:t>化学合成原料药生产过程中产生的废母液及反应基废物</w:t>
            </w:r>
          </w:p>
        </w:tc>
        <w:tc>
          <w:tcPr>
            <w:tcW w:w="663" w:type="dxa"/>
            <w:noWrap/>
            <w:vAlign w:val="center"/>
          </w:tcPr>
          <w:p w14:paraId="0661AD91" w14:textId="77777777" w:rsidR="002E474C" w:rsidRDefault="00000000">
            <w:pPr>
              <w:pStyle w:val="A-"/>
              <w:spacing w:line="260" w:lineRule="exact"/>
            </w:pPr>
            <w:r>
              <w:t>T</w:t>
            </w:r>
          </w:p>
        </w:tc>
      </w:tr>
      <w:tr w:rsidR="002E474C" w14:paraId="6DD65167" w14:textId="77777777">
        <w:trPr>
          <w:trHeight w:val="300"/>
        </w:trPr>
        <w:tc>
          <w:tcPr>
            <w:tcW w:w="828" w:type="dxa"/>
            <w:vMerge/>
            <w:vAlign w:val="center"/>
          </w:tcPr>
          <w:p w14:paraId="4669484C" w14:textId="77777777" w:rsidR="002E474C" w:rsidRDefault="002E474C">
            <w:pPr>
              <w:pStyle w:val="A-"/>
              <w:spacing w:line="260" w:lineRule="exact"/>
            </w:pPr>
          </w:p>
        </w:tc>
        <w:tc>
          <w:tcPr>
            <w:tcW w:w="893" w:type="dxa"/>
            <w:vMerge/>
            <w:vAlign w:val="center"/>
          </w:tcPr>
          <w:p w14:paraId="500754F7" w14:textId="77777777" w:rsidR="002E474C" w:rsidRDefault="002E474C">
            <w:pPr>
              <w:pStyle w:val="A-"/>
              <w:spacing w:line="260" w:lineRule="exact"/>
            </w:pPr>
          </w:p>
        </w:tc>
        <w:tc>
          <w:tcPr>
            <w:tcW w:w="1147" w:type="dxa"/>
            <w:noWrap/>
            <w:vAlign w:val="center"/>
          </w:tcPr>
          <w:p w14:paraId="44535AE7" w14:textId="77777777" w:rsidR="002E474C" w:rsidRDefault="00000000">
            <w:pPr>
              <w:pStyle w:val="A-"/>
              <w:spacing w:line="260" w:lineRule="exact"/>
              <w:ind w:leftChars="-25" w:left="-53" w:rightChars="-25" w:right="-53"/>
            </w:pPr>
            <w:r>
              <w:t>271-003-02</w:t>
            </w:r>
          </w:p>
        </w:tc>
        <w:tc>
          <w:tcPr>
            <w:tcW w:w="4991" w:type="dxa"/>
            <w:noWrap/>
            <w:vAlign w:val="center"/>
          </w:tcPr>
          <w:p w14:paraId="4CD31B38" w14:textId="77777777" w:rsidR="002E474C" w:rsidRDefault="00000000">
            <w:pPr>
              <w:pStyle w:val="A-"/>
              <w:spacing w:line="260" w:lineRule="exact"/>
            </w:pPr>
            <w:r>
              <w:t>化学合成原料药生产过程中产生的废脱色过滤介质</w:t>
            </w:r>
          </w:p>
        </w:tc>
        <w:tc>
          <w:tcPr>
            <w:tcW w:w="663" w:type="dxa"/>
            <w:noWrap/>
            <w:vAlign w:val="center"/>
          </w:tcPr>
          <w:p w14:paraId="59C8223D" w14:textId="77777777" w:rsidR="002E474C" w:rsidRDefault="00000000">
            <w:pPr>
              <w:pStyle w:val="A-"/>
              <w:spacing w:line="260" w:lineRule="exact"/>
            </w:pPr>
            <w:r>
              <w:t>T</w:t>
            </w:r>
          </w:p>
        </w:tc>
      </w:tr>
      <w:tr w:rsidR="002E474C" w14:paraId="03614165" w14:textId="77777777">
        <w:trPr>
          <w:trHeight w:val="300"/>
        </w:trPr>
        <w:tc>
          <w:tcPr>
            <w:tcW w:w="828" w:type="dxa"/>
            <w:vMerge/>
            <w:vAlign w:val="center"/>
          </w:tcPr>
          <w:p w14:paraId="51FDD50D" w14:textId="77777777" w:rsidR="002E474C" w:rsidRDefault="002E474C">
            <w:pPr>
              <w:pStyle w:val="A-"/>
              <w:spacing w:line="260" w:lineRule="exact"/>
            </w:pPr>
          </w:p>
        </w:tc>
        <w:tc>
          <w:tcPr>
            <w:tcW w:w="893" w:type="dxa"/>
            <w:vMerge/>
            <w:vAlign w:val="center"/>
          </w:tcPr>
          <w:p w14:paraId="11E33EA6" w14:textId="77777777" w:rsidR="002E474C" w:rsidRDefault="002E474C">
            <w:pPr>
              <w:pStyle w:val="A-"/>
              <w:spacing w:line="260" w:lineRule="exact"/>
            </w:pPr>
          </w:p>
        </w:tc>
        <w:tc>
          <w:tcPr>
            <w:tcW w:w="1147" w:type="dxa"/>
            <w:noWrap/>
            <w:vAlign w:val="center"/>
          </w:tcPr>
          <w:p w14:paraId="55E7217F" w14:textId="77777777" w:rsidR="002E474C" w:rsidRDefault="00000000">
            <w:pPr>
              <w:pStyle w:val="A-"/>
              <w:spacing w:line="260" w:lineRule="exact"/>
              <w:ind w:leftChars="-25" w:left="-53" w:rightChars="-25" w:right="-53"/>
            </w:pPr>
            <w:r>
              <w:t>271-004-02</w:t>
            </w:r>
          </w:p>
        </w:tc>
        <w:tc>
          <w:tcPr>
            <w:tcW w:w="4991" w:type="dxa"/>
            <w:noWrap/>
            <w:vAlign w:val="center"/>
          </w:tcPr>
          <w:p w14:paraId="1EFCF203" w14:textId="77777777" w:rsidR="002E474C" w:rsidRDefault="00000000">
            <w:pPr>
              <w:pStyle w:val="A-"/>
              <w:spacing w:line="260" w:lineRule="exact"/>
            </w:pPr>
            <w:r>
              <w:t>化学合成原料药生产过程中产生的废吸附剂</w:t>
            </w:r>
          </w:p>
        </w:tc>
        <w:tc>
          <w:tcPr>
            <w:tcW w:w="663" w:type="dxa"/>
            <w:noWrap/>
            <w:vAlign w:val="center"/>
          </w:tcPr>
          <w:p w14:paraId="68DD0DA4" w14:textId="77777777" w:rsidR="002E474C" w:rsidRDefault="00000000">
            <w:pPr>
              <w:pStyle w:val="A-"/>
              <w:spacing w:line="260" w:lineRule="exact"/>
            </w:pPr>
            <w:r>
              <w:t>T</w:t>
            </w:r>
          </w:p>
        </w:tc>
      </w:tr>
      <w:tr w:rsidR="002E474C" w14:paraId="3E4BF04D" w14:textId="77777777">
        <w:trPr>
          <w:trHeight w:val="300"/>
        </w:trPr>
        <w:tc>
          <w:tcPr>
            <w:tcW w:w="828" w:type="dxa"/>
            <w:vMerge/>
            <w:vAlign w:val="center"/>
          </w:tcPr>
          <w:p w14:paraId="451679FC" w14:textId="77777777" w:rsidR="002E474C" w:rsidRDefault="002E474C">
            <w:pPr>
              <w:pStyle w:val="A-"/>
              <w:spacing w:line="260" w:lineRule="exact"/>
            </w:pPr>
          </w:p>
        </w:tc>
        <w:tc>
          <w:tcPr>
            <w:tcW w:w="893" w:type="dxa"/>
            <w:vMerge/>
            <w:vAlign w:val="center"/>
          </w:tcPr>
          <w:p w14:paraId="0A529E87" w14:textId="77777777" w:rsidR="002E474C" w:rsidRDefault="002E474C">
            <w:pPr>
              <w:pStyle w:val="A-"/>
              <w:spacing w:line="260" w:lineRule="exact"/>
            </w:pPr>
          </w:p>
        </w:tc>
        <w:tc>
          <w:tcPr>
            <w:tcW w:w="1147" w:type="dxa"/>
            <w:noWrap/>
            <w:vAlign w:val="center"/>
          </w:tcPr>
          <w:p w14:paraId="1E985CB0" w14:textId="77777777" w:rsidR="002E474C" w:rsidRDefault="00000000">
            <w:pPr>
              <w:pStyle w:val="A-"/>
              <w:spacing w:line="260" w:lineRule="exact"/>
              <w:ind w:leftChars="-25" w:left="-53" w:rightChars="-25" w:right="-53"/>
            </w:pPr>
            <w:r>
              <w:t>271-005-02</w:t>
            </w:r>
          </w:p>
        </w:tc>
        <w:tc>
          <w:tcPr>
            <w:tcW w:w="4991" w:type="dxa"/>
            <w:noWrap/>
            <w:vAlign w:val="center"/>
          </w:tcPr>
          <w:p w14:paraId="562895E4" w14:textId="77777777" w:rsidR="002E474C" w:rsidRDefault="00000000">
            <w:pPr>
              <w:pStyle w:val="A-"/>
              <w:spacing w:line="260" w:lineRule="exact"/>
              <w:ind w:leftChars="-34" w:left="-71" w:rightChars="-34" w:right="-71"/>
            </w:pPr>
            <w:r>
              <w:rPr>
                <w:spacing w:val="-11"/>
              </w:rPr>
              <w:t>化学合成原料药及中间体生产过程中的废弃的产品及中间体</w:t>
            </w:r>
          </w:p>
        </w:tc>
        <w:tc>
          <w:tcPr>
            <w:tcW w:w="663" w:type="dxa"/>
            <w:noWrap/>
            <w:vAlign w:val="center"/>
          </w:tcPr>
          <w:p w14:paraId="6E0B3061" w14:textId="77777777" w:rsidR="002E474C" w:rsidRDefault="00000000">
            <w:pPr>
              <w:pStyle w:val="A-"/>
              <w:spacing w:line="260" w:lineRule="exact"/>
            </w:pPr>
            <w:r>
              <w:t>T</w:t>
            </w:r>
          </w:p>
        </w:tc>
      </w:tr>
      <w:tr w:rsidR="002E474C" w14:paraId="7E92E0C6" w14:textId="77777777">
        <w:trPr>
          <w:trHeight w:val="300"/>
        </w:trPr>
        <w:tc>
          <w:tcPr>
            <w:tcW w:w="828" w:type="dxa"/>
            <w:vMerge/>
            <w:vAlign w:val="center"/>
          </w:tcPr>
          <w:p w14:paraId="024E8594" w14:textId="77777777" w:rsidR="002E474C" w:rsidRDefault="002E474C">
            <w:pPr>
              <w:pStyle w:val="A-"/>
              <w:spacing w:line="260" w:lineRule="exact"/>
            </w:pPr>
          </w:p>
        </w:tc>
        <w:tc>
          <w:tcPr>
            <w:tcW w:w="893" w:type="dxa"/>
            <w:vMerge w:val="restart"/>
            <w:noWrap/>
            <w:vAlign w:val="center"/>
          </w:tcPr>
          <w:p w14:paraId="19673CCF" w14:textId="77777777" w:rsidR="002E474C" w:rsidRDefault="00000000">
            <w:pPr>
              <w:pStyle w:val="A-"/>
              <w:spacing w:line="260" w:lineRule="exact"/>
            </w:pPr>
            <w:r>
              <w:t>化学药品制剂制造</w:t>
            </w:r>
          </w:p>
        </w:tc>
        <w:tc>
          <w:tcPr>
            <w:tcW w:w="1147" w:type="dxa"/>
            <w:noWrap/>
            <w:vAlign w:val="center"/>
          </w:tcPr>
          <w:p w14:paraId="289493F7" w14:textId="77777777" w:rsidR="002E474C" w:rsidRDefault="00000000">
            <w:pPr>
              <w:pStyle w:val="A-"/>
              <w:spacing w:line="260" w:lineRule="exact"/>
              <w:ind w:leftChars="-25" w:left="-53" w:rightChars="-25" w:right="-53"/>
            </w:pPr>
            <w:r>
              <w:t>272-001-02</w:t>
            </w:r>
          </w:p>
        </w:tc>
        <w:tc>
          <w:tcPr>
            <w:tcW w:w="4991" w:type="dxa"/>
            <w:noWrap/>
            <w:vAlign w:val="center"/>
          </w:tcPr>
          <w:p w14:paraId="66FD2F23" w14:textId="77777777" w:rsidR="002E474C" w:rsidRDefault="00000000">
            <w:pPr>
              <w:pStyle w:val="A-"/>
              <w:spacing w:line="260" w:lineRule="exact"/>
            </w:pPr>
            <w:r>
              <w:t>化学药品制剂生产过程中原料药提纯精制、再加工产生的蒸馏及反应残余物</w:t>
            </w:r>
          </w:p>
        </w:tc>
        <w:tc>
          <w:tcPr>
            <w:tcW w:w="663" w:type="dxa"/>
            <w:noWrap/>
            <w:vAlign w:val="center"/>
          </w:tcPr>
          <w:p w14:paraId="1A064BB3" w14:textId="77777777" w:rsidR="002E474C" w:rsidRDefault="00000000">
            <w:pPr>
              <w:pStyle w:val="A-"/>
              <w:spacing w:line="260" w:lineRule="exact"/>
            </w:pPr>
            <w:r>
              <w:t>T</w:t>
            </w:r>
          </w:p>
        </w:tc>
      </w:tr>
      <w:tr w:rsidR="002E474C" w14:paraId="3F6BE8AD" w14:textId="77777777">
        <w:trPr>
          <w:trHeight w:val="300"/>
        </w:trPr>
        <w:tc>
          <w:tcPr>
            <w:tcW w:w="828" w:type="dxa"/>
            <w:vMerge/>
            <w:vAlign w:val="center"/>
          </w:tcPr>
          <w:p w14:paraId="63C60875" w14:textId="77777777" w:rsidR="002E474C" w:rsidRDefault="002E474C">
            <w:pPr>
              <w:pStyle w:val="A-"/>
              <w:spacing w:line="260" w:lineRule="exact"/>
            </w:pPr>
          </w:p>
        </w:tc>
        <w:tc>
          <w:tcPr>
            <w:tcW w:w="893" w:type="dxa"/>
            <w:vMerge/>
            <w:vAlign w:val="center"/>
          </w:tcPr>
          <w:p w14:paraId="3F3F6C83" w14:textId="77777777" w:rsidR="002E474C" w:rsidRDefault="002E474C">
            <w:pPr>
              <w:pStyle w:val="A-"/>
              <w:spacing w:line="260" w:lineRule="exact"/>
            </w:pPr>
          </w:p>
        </w:tc>
        <w:tc>
          <w:tcPr>
            <w:tcW w:w="1147" w:type="dxa"/>
            <w:noWrap/>
            <w:vAlign w:val="center"/>
          </w:tcPr>
          <w:p w14:paraId="7F32A8AA" w14:textId="77777777" w:rsidR="002E474C" w:rsidRDefault="00000000">
            <w:pPr>
              <w:pStyle w:val="A-"/>
              <w:spacing w:line="260" w:lineRule="exact"/>
              <w:ind w:leftChars="-25" w:left="-53" w:rightChars="-25" w:right="-53"/>
            </w:pPr>
            <w:r>
              <w:t>272-003-02</w:t>
            </w:r>
          </w:p>
        </w:tc>
        <w:tc>
          <w:tcPr>
            <w:tcW w:w="4991" w:type="dxa"/>
            <w:noWrap/>
            <w:vAlign w:val="center"/>
          </w:tcPr>
          <w:p w14:paraId="557D821C" w14:textId="77777777" w:rsidR="002E474C" w:rsidRDefault="00000000">
            <w:pPr>
              <w:pStyle w:val="A-"/>
              <w:spacing w:line="260" w:lineRule="exact"/>
            </w:pPr>
            <w:r>
              <w:rPr>
                <w:spacing w:val="-11"/>
              </w:rPr>
              <w:t>化学药品制剂生产过程中产生的废脱色过滤介质及吸附剂</w:t>
            </w:r>
          </w:p>
        </w:tc>
        <w:tc>
          <w:tcPr>
            <w:tcW w:w="663" w:type="dxa"/>
            <w:noWrap/>
            <w:vAlign w:val="center"/>
          </w:tcPr>
          <w:p w14:paraId="4AF54BDB" w14:textId="77777777" w:rsidR="002E474C" w:rsidRDefault="00000000">
            <w:pPr>
              <w:pStyle w:val="A-"/>
              <w:spacing w:line="260" w:lineRule="exact"/>
            </w:pPr>
            <w:r>
              <w:t>T</w:t>
            </w:r>
          </w:p>
        </w:tc>
      </w:tr>
      <w:tr w:rsidR="002E474C" w14:paraId="0BF088A8" w14:textId="77777777">
        <w:trPr>
          <w:trHeight w:val="300"/>
        </w:trPr>
        <w:tc>
          <w:tcPr>
            <w:tcW w:w="828" w:type="dxa"/>
            <w:vMerge/>
            <w:vAlign w:val="center"/>
          </w:tcPr>
          <w:p w14:paraId="29C9FFB4" w14:textId="77777777" w:rsidR="002E474C" w:rsidRDefault="002E474C">
            <w:pPr>
              <w:pStyle w:val="A-"/>
              <w:spacing w:line="260" w:lineRule="exact"/>
            </w:pPr>
          </w:p>
        </w:tc>
        <w:tc>
          <w:tcPr>
            <w:tcW w:w="893" w:type="dxa"/>
            <w:vMerge/>
            <w:vAlign w:val="center"/>
          </w:tcPr>
          <w:p w14:paraId="45636179" w14:textId="77777777" w:rsidR="002E474C" w:rsidRDefault="002E474C">
            <w:pPr>
              <w:pStyle w:val="A-"/>
              <w:spacing w:line="260" w:lineRule="exact"/>
            </w:pPr>
          </w:p>
        </w:tc>
        <w:tc>
          <w:tcPr>
            <w:tcW w:w="1147" w:type="dxa"/>
            <w:noWrap/>
            <w:vAlign w:val="center"/>
          </w:tcPr>
          <w:p w14:paraId="109F4AEF" w14:textId="77777777" w:rsidR="002E474C" w:rsidRDefault="00000000">
            <w:pPr>
              <w:pStyle w:val="A-"/>
              <w:spacing w:line="260" w:lineRule="exact"/>
              <w:ind w:leftChars="-25" w:left="-53" w:rightChars="-25" w:right="-53"/>
            </w:pPr>
            <w:r>
              <w:t>272-005-02</w:t>
            </w:r>
          </w:p>
        </w:tc>
        <w:tc>
          <w:tcPr>
            <w:tcW w:w="4991" w:type="dxa"/>
            <w:noWrap/>
            <w:vAlign w:val="center"/>
          </w:tcPr>
          <w:p w14:paraId="4A0A5C7C" w14:textId="77777777" w:rsidR="002E474C" w:rsidRDefault="00000000">
            <w:pPr>
              <w:pStyle w:val="A-"/>
              <w:spacing w:line="260" w:lineRule="exact"/>
            </w:pPr>
            <w:r>
              <w:rPr>
                <w:spacing w:val="-6"/>
              </w:rPr>
              <w:t>化学药品制剂生产过程中产生的废弃的产品及原料药</w:t>
            </w:r>
          </w:p>
        </w:tc>
        <w:tc>
          <w:tcPr>
            <w:tcW w:w="663" w:type="dxa"/>
            <w:noWrap/>
            <w:vAlign w:val="center"/>
          </w:tcPr>
          <w:p w14:paraId="0A8ADA97" w14:textId="77777777" w:rsidR="002E474C" w:rsidRDefault="00000000">
            <w:pPr>
              <w:pStyle w:val="A-"/>
              <w:spacing w:line="260" w:lineRule="exact"/>
            </w:pPr>
            <w:r>
              <w:t>T</w:t>
            </w:r>
          </w:p>
        </w:tc>
      </w:tr>
      <w:tr w:rsidR="002E474C" w14:paraId="31217B56" w14:textId="77777777">
        <w:trPr>
          <w:trHeight w:val="300"/>
        </w:trPr>
        <w:tc>
          <w:tcPr>
            <w:tcW w:w="828" w:type="dxa"/>
            <w:vMerge/>
            <w:vAlign w:val="center"/>
          </w:tcPr>
          <w:p w14:paraId="25B7588B" w14:textId="77777777" w:rsidR="002E474C" w:rsidRDefault="002E474C">
            <w:pPr>
              <w:pStyle w:val="A-"/>
              <w:spacing w:line="260" w:lineRule="exact"/>
            </w:pPr>
          </w:p>
        </w:tc>
        <w:tc>
          <w:tcPr>
            <w:tcW w:w="893" w:type="dxa"/>
            <w:vMerge w:val="restart"/>
            <w:noWrap/>
            <w:vAlign w:val="center"/>
          </w:tcPr>
          <w:p w14:paraId="05CC993A" w14:textId="77777777" w:rsidR="002E474C" w:rsidRDefault="00000000">
            <w:pPr>
              <w:pStyle w:val="A-"/>
              <w:spacing w:line="260" w:lineRule="exact"/>
            </w:pPr>
            <w:r>
              <w:t>兽用药品制造</w:t>
            </w:r>
          </w:p>
        </w:tc>
        <w:tc>
          <w:tcPr>
            <w:tcW w:w="1147" w:type="dxa"/>
            <w:noWrap/>
            <w:vAlign w:val="center"/>
          </w:tcPr>
          <w:p w14:paraId="151EF98D" w14:textId="77777777" w:rsidR="002E474C" w:rsidRDefault="00000000">
            <w:pPr>
              <w:pStyle w:val="A-"/>
              <w:spacing w:line="260" w:lineRule="exact"/>
              <w:ind w:leftChars="-25" w:left="-53" w:rightChars="-25" w:right="-53"/>
            </w:pPr>
            <w:r>
              <w:t>275-001-02</w:t>
            </w:r>
          </w:p>
        </w:tc>
        <w:tc>
          <w:tcPr>
            <w:tcW w:w="4991" w:type="dxa"/>
            <w:noWrap/>
            <w:vAlign w:val="center"/>
          </w:tcPr>
          <w:p w14:paraId="60584188" w14:textId="77777777" w:rsidR="002E474C" w:rsidRDefault="00000000">
            <w:pPr>
              <w:pStyle w:val="A-"/>
              <w:spacing w:line="260" w:lineRule="exact"/>
            </w:pPr>
            <w:r>
              <w:t>使用砷或者有机砷化合物生产兽药过程中产生的废水处理污泥</w:t>
            </w:r>
          </w:p>
        </w:tc>
        <w:tc>
          <w:tcPr>
            <w:tcW w:w="663" w:type="dxa"/>
            <w:noWrap/>
            <w:vAlign w:val="center"/>
          </w:tcPr>
          <w:p w14:paraId="34D6D7CC" w14:textId="77777777" w:rsidR="002E474C" w:rsidRDefault="00000000">
            <w:pPr>
              <w:pStyle w:val="A-"/>
              <w:spacing w:line="260" w:lineRule="exact"/>
            </w:pPr>
            <w:r>
              <w:t>T</w:t>
            </w:r>
          </w:p>
        </w:tc>
      </w:tr>
      <w:tr w:rsidR="002E474C" w14:paraId="7705EE70" w14:textId="77777777">
        <w:trPr>
          <w:trHeight w:val="300"/>
        </w:trPr>
        <w:tc>
          <w:tcPr>
            <w:tcW w:w="828" w:type="dxa"/>
            <w:vMerge/>
            <w:vAlign w:val="center"/>
          </w:tcPr>
          <w:p w14:paraId="6C855DFE" w14:textId="77777777" w:rsidR="002E474C" w:rsidRDefault="002E474C">
            <w:pPr>
              <w:pStyle w:val="A-"/>
              <w:spacing w:line="260" w:lineRule="exact"/>
            </w:pPr>
          </w:p>
        </w:tc>
        <w:tc>
          <w:tcPr>
            <w:tcW w:w="893" w:type="dxa"/>
            <w:vMerge/>
            <w:vAlign w:val="center"/>
          </w:tcPr>
          <w:p w14:paraId="5373CB9D" w14:textId="77777777" w:rsidR="002E474C" w:rsidRDefault="002E474C">
            <w:pPr>
              <w:pStyle w:val="A-"/>
              <w:spacing w:line="260" w:lineRule="exact"/>
            </w:pPr>
          </w:p>
        </w:tc>
        <w:tc>
          <w:tcPr>
            <w:tcW w:w="1147" w:type="dxa"/>
            <w:noWrap/>
            <w:vAlign w:val="center"/>
          </w:tcPr>
          <w:p w14:paraId="1C572712" w14:textId="77777777" w:rsidR="002E474C" w:rsidRDefault="00000000">
            <w:pPr>
              <w:pStyle w:val="A-"/>
              <w:spacing w:line="260" w:lineRule="exact"/>
              <w:ind w:leftChars="-25" w:left="-53" w:rightChars="-25" w:right="-53"/>
            </w:pPr>
            <w:r>
              <w:t>275-002-02</w:t>
            </w:r>
          </w:p>
        </w:tc>
        <w:tc>
          <w:tcPr>
            <w:tcW w:w="4991" w:type="dxa"/>
            <w:noWrap/>
            <w:vAlign w:val="center"/>
          </w:tcPr>
          <w:p w14:paraId="568299A1" w14:textId="77777777" w:rsidR="002E474C" w:rsidRDefault="00000000">
            <w:pPr>
              <w:pStyle w:val="A-"/>
              <w:spacing w:line="260" w:lineRule="exact"/>
              <w:ind w:leftChars="-34" w:left="-71" w:rightChars="-34" w:right="-71"/>
            </w:pPr>
            <w:r>
              <w:rPr>
                <w:spacing w:val="-11"/>
              </w:rPr>
              <w:t>使用砷或者有机砷化合物生产兽药过程中产生的蒸馏残余物</w:t>
            </w:r>
          </w:p>
        </w:tc>
        <w:tc>
          <w:tcPr>
            <w:tcW w:w="663" w:type="dxa"/>
            <w:noWrap/>
            <w:vAlign w:val="center"/>
          </w:tcPr>
          <w:p w14:paraId="6B4CA940" w14:textId="77777777" w:rsidR="002E474C" w:rsidRDefault="00000000">
            <w:pPr>
              <w:pStyle w:val="A-"/>
              <w:spacing w:line="260" w:lineRule="exact"/>
            </w:pPr>
            <w:r>
              <w:t>T</w:t>
            </w:r>
          </w:p>
        </w:tc>
      </w:tr>
      <w:tr w:rsidR="002E474C" w14:paraId="5F464A01" w14:textId="77777777">
        <w:trPr>
          <w:trHeight w:val="300"/>
        </w:trPr>
        <w:tc>
          <w:tcPr>
            <w:tcW w:w="828" w:type="dxa"/>
            <w:vMerge/>
            <w:vAlign w:val="center"/>
          </w:tcPr>
          <w:p w14:paraId="399937FF" w14:textId="77777777" w:rsidR="002E474C" w:rsidRDefault="002E474C">
            <w:pPr>
              <w:pStyle w:val="A-"/>
              <w:spacing w:line="260" w:lineRule="exact"/>
            </w:pPr>
          </w:p>
        </w:tc>
        <w:tc>
          <w:tcPr>
            <w:tcW w:w="893" w:type="dxa"/>
            <w:vMerge/>
            <w:vAlign w:val="center"/>
          </w:tcPr>
          <w:p w14:paraId="46060E79" w14:textId="77777777" w:rsidR="002E474C" w:rsidRDefault="002E474C">
            <w:pPr>
              <w:pStyle w:val="A-"/>
              <w:spacing w:line="260" w:lineRule="exact"/>
            </w:pPr>
          </w:p>
        </w:tc>
        <w:tc>
          <w:tcPr>
            <w:tcW w:w="1147" w:type="dxa"/>
            <w:noWrap/>
            <w:vAlign w:val="center"/>
          </w:tcPr>
          <w:p w14:paraId="716613D1" w14:textId="77777777" w:rsidR="002E474C" w:rsidRDefault="00000000">
            <w:pPr>
              <w:pStyle w:val="A-"/>
              <w:spacing w:line="260" w:lineRule="exact"/>
              <w:ind w:leftChars="-25" w:left="-53" w:rightChars="-25" w:right="-53"/>
            </w:pPr>
            <w:r>
              <w:t>275-003-02</w:t>
            </w:r>
          </w:p>
        </w:tc>
        <w:tc>
          <w:tcPr>
            <w:tcW w:w="4991" w:type="dxa"/>
            <w:noWrap/>
            <w:vAlign w:val="center"/>
          </w:tcPr>
          <w:p w14:paraId="74132D49" w14:textId="77777777" w:rsidR="002E474C" w:rsidRDefault="00000000">
            <w:pPr>
              <w:pStyle w:val="A-"/>
              <w:spacing w:line="260" w:lineRule="exact"/>
            </w:pPr>
            <w:r>
              <w:t>使用砷或者有机砷化合物生产兽药过程中产生的废脱色过滤介质及吸附剂</w:t>
            </w:r>
          </w:p>
        </w:tc>
        <w:tc>
          <w:tcPr>
            <w:tcW w:w="663" w:type="dxa"/>
            <w:noWrap/>
            <w:vAlign w:val="center"/>
          </w:tcPr>
          <w:p w14:paraId="1EBD4D2C" w14:textId="77777777" w:rsidR="002E474C" w:rsidRDefault="00000000">
            <w:pPr>
              <w:pStyle w:val="A-"/>
              <w:spacing w:line="260" w:lineRule="exact"/>
            </w:pPr>
            <w:r>
              <w:t>T</w:t>
            </w:r>
          </w:p>
        </w:tc>
      </w:tr>
      <w:tr w:rsidR="002E474C" w14:paraId="3E9D2EBD" w14:textId="77777777">
        <w:trPr>
          <w:trHeight w:val="300"/>
        </w:trPr>
        <w:tc>
          <w:tcPr>
            <w:tcW w:w="828" w:type="dxa"/>
            <w:vMerge/>
            <w:vAlign w:val="center"/>
          </w:tcPr>
          <w:p w14:paraId="2691EAF9" w14:textId="77777777" w:rsidR="002E474C" w:rsidRDefault="002E474C">
            <w:pPr>
              <w:pStyle w:val="A-"/>
              <w:spacing w:line="260" w:lineRule="exact"/>
            </w:pPr>
          </w:p>
        </w:tc>
        <w:tc>
          <w:tcPr>
            <w:tcW w:w="893" w:type="dxa"/>
            <w:vMerge/>
            <w:vAlign w:val="center"/>
          </w:tcPr>
          <w:p w14:paraId="46F0076E" w14:textId="77777777" w:rsidR="002E474C" w:rsidRDefault="002E474C">
            <w:pPr>
              <w:pStyle w:val="A-"/>
              <w:spacing w:line="260" w:lineRule="exact"/>
            </w:pPr>
          </w:p>
        </w:tc>
        <w:tc>
          <w:tcPr>
            <w:tcW w:w="1147" w:type="dxa"/>
            <w:noWrap/>
            <w:vAlign w:val="center"/>
          </w:tcPr>
          <w:p w14:paraId="0159F0EA" w14:textId="77777777" w:rsidR="002E474C" w:rsidRDefault="00000000">
            <w:pPr>
              <w:pStyle w:val="A-"/>
              <w:spacing w:line="260" w:lineRule="exact"/>
              <w:ind w:leftChars="-25" w:left="-53" w:rightChars="-25" w:right="-53"/>
            </w:pPr>
            <w:r>
              <w:t>275-004-02</w:t>
            </w:r>
          </w:p>
        </w:tc>
        <w:tc>
          <w:tcPr>
            <w:tcW w:w="4991" w:type="dxa"/>
            <w:noWrap/>
            <w:vAlign w:val="center"/>
          </w:tcPr>
          <w:p w14:paraId="727BEE56" w14:textId="77777777" w:rsidR="002E474C" w:rsidRDefault="00000000">
            <w:pPr>
              <w:pStyle w:val="A-"/>
              <w:spacing w:line="260" w:lineRule="exact"/>
            </w:pPr>
            <w:r>
              <w:t>其他兽药生产过程中产生的蒸馏及反应残余物</w:t>
            </w:r>
          </w:p>
        </w:tc>
        <w:tc>
          <w:tcPr>
            <w:tcW w:w="663" w:type="dxa"/>
            <w:noWrap/>
            <w:vAlign w:val="center"/>
          </w:tcPr>
          <w:p w14:paraId="17735554" w14:textId="77777777" w:rsidR="002E474C" w:rsidRDefault="00000000">
            <w:pPr>
              <w:pStyle w:val="A-"/>
              <w:spacing w:line="260" w:lineRule="exact"/>
            </w:pPr>
            <w:r>
              <w:t>T</w:t>
            </w:r>
          </w:p>
        </w:tc>
      </w:tr>
      <w:tr w:rsidR="002E474C" w14:paraId="441E22C6" w14:textId="77777777">
        <w:trPr>
          <w:trHeight w:val="300"/>
        </w:trPr>
        <w:tc>
          <w:tcPr>
            <w:tcW w:w="828" w:type="dxa"/>
            <w:vMerge/>
            <w:vAlign w:val="center"/>
          </w:tcPr>
          <w:p w14:paraId="2F16DD7B" w14:textId="77777777" w:rsidR="002E474C" w:rsidRDefault="002E474C">
            <w:pPr>
              <w:pStyle w:val="A-"/>
              <w:spacing w:line="260" w:lineRule="exact"/>
            </w:pPr>
          </w:p>
        </w:tc>
        <w:tc>
          <w:tcPr>
            <w:tcW w:w="893" w:type="dxa"/>
            <w:vMerge/>
            <w:vAlign w:val="center"/>
          </w:tcPr>
          <w:p w14:paraId="1B3B82D7" w14:textId="77777777" w:rsidR="002E474C" w:rsidRDefault="002E474C">
            <w:pPr>
              <w:pStyle w:val="A-"/>
              <w:spacing w:line="260" w:lineRule="exact"/>
            </w:pPr>
          </w:p>
        </w:tc>
        <w:tc>
          <w:tcPr>
            <w:tcW w:w="1147" w:type="dxa"/>
            <w:noWrap/>
            <w:vAlign w:val="center"/>
          </w:tcPr>
          <w:p w14:paraId="55172CB3" w14:textId="77777777" w:rsidR="002E474C" w:rsidRDefault="00000000">
            <w:pPr>
              <w:pStyle w:val="A-"/>
              <w:spacing w:line="260" w:lineRule="exact"/>
              <w:ind w:leftChars="-25" w:left="-53" w:rightChars="-25" w:right="-53"/>
            </w:pPr>
            <w:r>
              <w:t>275-005-02</w:t>
            </w:r>
          </w:p>
        </w:tc>
        <w:tc>
          <w:tcPr>
            <w:tcW w:w="4991" w:type="dxa"/>
            <w:noWrap/>
            <w:vAlign w:val="center"/>
          </w:tcPr>
          <w:p w14:paraId="751AAA83" w14:textId="77777777" w:rsidR="002E474C" w:rsidRDefault="00000000">
            <w:pPr>
              <w:pStyle w:val="A-"/>
              <w:spacing w:line="260" w:lineRule="exact"/>
            </w:pPr>
            <w:r>
              <w:rPr>
                <w:spacing w:val="-6"/>
              </w:rPr>
              <w:t>其他兽药生产过程中产生的废脱色过滤介质及吸附剂</w:t>
            </w:r>
          </w:p>
        </w:tc>
        <w:tc>
          <w:tcPr>
            <w:tcW w:w="663" w:type="dxa"/>
            <w:noWrap/>
            <w:vAlign w:val="center"/>
          </w:tcPr>
          <w:p w14:paraId="1B0C5B7A" w14:textId="77777777" w:rsidR="002E474C" w:rsidRDefault="00000000">
            <w:pPr>
              <w:pStyle w:val="A-"/>
              <w:spacing w:line="260" w:lineRule="exact"/>
            </w:pPr>
            <w:r>
              <w:t>T</w:t>
            </w:r>
          </w:p>
        </w:tc>
      </w:tr>
      <w:tr w:rsidR="002E474C" w14:paraId="417407BE" w14:textId="77777777">
        <w:trPr>
          <w:trHeight w:val="300"/>
        </w:trPr>
        <w:tc>
          <w:tcPr>
            <w:tcW w:w="828" w:type="dxa"/>
            <w:vMerge/>
            <w:vAlign w:val="center"/>
          </w:tcPr>
          <w:p w14:paraId="5328DC65" w14:textId="77777777" w:rsidR="002E474C" w:rsidRDefault="002E474C">
            <w:pPr>
              <w:pStyle w:val="A-"/>
              <w:spacing w:line="260" w:lineRule="exact"/>
            </w:pPr>
          </w:p>
        </w:tc>
        <w:tc>
          <w:tcPr>
            <w:tcW w:w="893" w:type="dxa"/>
            <w:vMerge/>
            <w:vAlign w:val="center"/>
          </w:tcPr>
          <w:p w14:paraId="619C000E" w14:textId="77777777" w:rsidR="002E474C" w:rsidRDefault="002E474C">
            <w:pPr>
              <w:pStyle w:val="A-"/>
              <w:spacing w:line="260" w:lineRule="exact"/>
            </w:pPr>
          </w:p>
        </w:tc>
        <w:tc>
          <w:tcPr>
            <w:tcW w:w="1147" w:type="dxa"/>
            <w:noWrap/>
            <w:vAlign w:val="center"/>
          </w:tcPr>
          <w:p w14:paraId="38BB1278" w14:textId="77777777" w:rsidR="002E474C" w:rsidRDefault="00000000">
            <w:pPr>
              <w:pStyle w:val="A-"/>
              <w:spacing w:line="260" w:lineRule="exact"/>
              <w:ind w:leftChars="-25" w:left="-53" w:rightChars="-25" w:right="-53"/>
            </w:pPr>
            <w:r>
              <w:t>275-006-02</w:t>
            </w:r>
          </w:p>
        </w:tc>
        <w:tc>
          <w:tcPr>
            <w:tcW w:w="4991" w:type="dxa"/>
            <w:noWrap/>
            <w:vAlign w:val="center"/>
          </w:tcPr>
          <w:p w14:paraId="7BC06952" w14:textId="77777777" w:rsidR="002E474C" w:rsidRDefault="00000000">
            <w:pPr>
              <w:pStyle w:val="A-"/>
              <w:spacing w:line="260" w:lineRule="exact"/>
            </w:pPr>
            <w:r>
              <w:t>兽药生产过程中产生的废母液、反应基和培养基废物</w:t>
            </w:r>
          </w:p>
        </w:tc>
        <w:tc>
          <w:tcPr>
            <w:tcW w:w="663" w:type="dxa"/>
            <w:noWrap/>
            <w:vAlign w:val="center"/>
          </w:tcPr>
          <w:p w14:paraId="1F9565ED" w14:textId="77777777" w:rsidR="002E474C" w:rsidRDefault="00000000">
            <w:pPr>
              <w:pStyle w:val="A-"/>
              <w:spacing w:line="260" w:lineRule="exact"/>
            </w:pPr>
            <w:r>
              <w:t>T</w:t>
            </w:r>
          </w:p>
        </w:tc>
      </w:tr>
      <w:tr w:rsidR="002E474C" w14:paraId="37336EDB" w14:textId="77777777">
        <w:trPr>
          <w:trHeight w:val="300"/>
        </w:trPr>
        <w:tc>
          <w:tcPr>
            <w:tcW w:w="828" w:type="dxa"/>
            <w:vMerge/>
            <w:vAlign w:val="center"/>
          </w:tcPr>
          <w:p w14:paraId="1B59EB47" w14:textId="77777777" w:rsidR="002E474C" w:rsidRDefault="002E474C">
            <w:pPr>
              <w:pStyle w:val="A-"/>
              <w:spacing w:line="260" w:lineRule="exact"/>
            </w:pPr>
          </w:p>
        </w:tc>
        <w:tc>
          <w:tcPr>
            <w:tcW w:w="893" w:type="dxa"/>
            <w:vMerge/>
            <w:vAlign w:val="center"/>
          </w:tcPr>
          <w:p w14:paraId="63A3C1CE" w14:textId="77777777" w:rsidR="002E474C" w:rsidRDefault="002E474C">
            <w:pPr>
              <w:pStyle w:val="A-"/>
              <w:spacing w:line="260" w:lineRule="exact"/>
            </w:pPr>
          </w:p>
        </w:tc>
        <w:tc>
          <w:tcPr>
            <w:tcW w:w="1147" w:type="dxa"/>
            <w:noWrap/>
            <w:vAlign w:val="center"/>
          </w:tcPr>
          <w:p w14:paraId="1C4EF2D3" w14:textId="77777777" w:rsidR="002E474C" w:rsidRDefault="00000000">
            <w:pPr>
              <w:pStyle w:val="A-"/>
              <w:spacing w:line="260" w:lineRule="exact"/>
              <w:ind w:leftChars="-25" w:left="-53" w:rightChars="-25" w:right="-53"/>
            </w:pPr>
            <w:r>
              <w:t>275-008-02</w:t>
            </w:r>
          </w:p>
        </w:tc>
        <w:tc>
          <w:tcPr>
            <w:tcW w:w="4991" w:type="dxa"/>
            <w:noWrap/>
            <w:vAlign w:val="center"/>
          </w:tcPr>
          <w:p w14:paraId="1BC64D37" w14:textId="77777777" w:rsidR="002E474C" w:rsidRDefault="00000000">
            <w:pPr>
              <w:pStyle w:val="A-"/>
              <w:spacing w:line="260" w:lineRule="exact"/>
            </w:pPr>
            <w:r>
              <w:t>兽药生产过程中产生的废弃的产品及原料药</w:t>
            </w:r>
          </w:p>
        </w:tc>
        <w:tc>
          <w:tcPr>
            <w:tcW w:w="663" w:type="dxa"/>
            <w:noWrap/>
            <w:vAlign w:val="center"/>
          </w:tcPr>
          <w:p w14:paraId="218CF22D" w14:textId="77777777" w:rsidR="002E474C" w:rsidRDefault="00000000">
            <w:pPr>
              <w:pStyle w:val="A-"/>
              <w:spacing w:line="260" w:lineRule="exact"/>
            </w:pPr>
            <w:r>
              <w:t>T</w:t>
            </w:r>
          </w:p>
        </w:tc>
      </w:tr>
      <w:tr w:rsidR="002E474C" w14:paraId="41A81715" w14:textId="77777777">
        <w:trPr>
          <w:trHeight w:val="300"/>
        </w:trPr>
        <w:tc>
          <w:tcPr>
            <w:tcW w:w="828" w:type="dxa"/>
            <w:vMerge/>
            <w:vAlign w:val="center"/>
          </w:tcPr>
          <w:p w14:paraId="4B309E7A" w14:textId="77777777" w:rsidR="002E474C" w:rsidRDefault="002E474C">
            <w:pPr>
              <w:pStyle w:val="A-"/>
              <w:spacing w:line="260" w:lineRule="exact"/>
            </w:pPr>
          </w:p>
        </w:tc>
        <w:tc>
          <w:tcPr>
            <w:tcW w:w="893" w:type="dxa"/>
            <w:vMerge w:val="restart"/>
            <w:noWrap/>
            <w:vAlign w:val="center"/>
          </w:tcPr>
          <w:p w14:paraId="233C7CC6" w14:textId="77777777" w:rsidR="002E474C" w:rsidRDefault="00000000">
            <w:pPr>
              <w:pStyle w:val="A-"/>
              <w:spacing w:line="260" w:lineRule="exact"/>
            </w:pPr>
            <w:r>
              <w:t>生物药品制品制造</w:t>
            </w:r>
          </w:p>
        </w:tc>
        <w:tc>
          <w:tcPr>
            <w:tcW w:w="1147" w:type="dxa"/>
            <w:noWrap/>
            <w:vAlign w:val="center"/>
          </w:tcPr>
          <w:p w14:paraId="628B7239" w14:textId="77777777" w:rsidR="002E474C" w:rsidRDefault="00000000">
            <w:pPr>
              <w:pStyle w:val="A-"/>
              <w:spacing w:line="260" w:lineRule="exact"/>
              <w:ind w:leftChars="-25" w:left="-53" w:rightChars="-25" w:right="-53"/>
            </w:pPr>
            <w:r>
              <w:t>276-001-02</w:t>
            </w:r>
          </w:p>
        </w:tc>
        <w:tc>
          <w:tcPr>
            <w:tcW w:w="4991" w:type="dxa"/>
            <w:noWrap/>
            <w:vAlign w:val="center"/>
          </w:tcPr>
          <w:p w14:paraId="1AA9DAB0" w14:textId="77777777" w:rsidR="002E474C" w:rsidRDefault="00000000">
            <w:pPr>
              <w:pStyle w:val="A-"/>
              <w:spacing w:line="260" w:lineRule="exact"/>
            </w:pPr>
            <w:r>
              <w:t>利用生物技术生产生物化学药品、基因工程药物过程中产生的蒸馏及反应残余物</w:t>
            </w:r>
          </w:p>
        </w:tc>
        <w:tc>
          <w:tcPr>
            <w:tcW w:w="663" w:type="dxa"/>
            <w:noWrap/>
            <w:vAlign w:val="center"/>
          </w:tcPr>
          <w:p w14:paraId="01374D96" w14:textId="77777777" w:rsidR="002E474C" w:rsidRDefault="00000000">
            <w:pPr>
              <w:pStyle w:val="A-"/>
              <w:spacing w:line="260" w:lineRule="exact"/>
            </w:pPr>
            <w:r>
              <w:t>T</w:t>
            </w:r>
          </w:p>
        </w:tc>
      </w:tr>
      <w:tr w:rsidR="002E474C" w14:paraId="1CB2042E" w14:textId="77777777">
        <w:trPr>
          <w:trHeight w:val="300"/>
        </w:trPr>
        <w:tc>
          <w:tcPr>
            <w:tcW w:w="828" w:type="dxa"/>
            <w:vMerge/>
            <w:vAlign w:val="center"/>
          </w:tcPr>
          <w:p w14:paraId="688A652F" w14:textId="77777777" w:rsidR="002E474C" w:rsidRDefault="002E474C">
            <w:pPr>
              <w:pStyle w:val="A-"/>
              <w:spacing w:line="260" w:lineRule="exact"/>
            </w:pPr>
          </w:p>
        </w:tc>
        <w:tc>
          <w:tcPr>
            <w:tcW w:w="893" w:type="dxa"/>
            <w:vMerge/>
            <w:vAlign w:val="center"/>
          </w:tcPr>
          <w:p w14:paraId="2058983D" w14:textId="77777777" w:rsidR="002E474C" w:rsidRDefault="002E474C">
            <w:pPr>
              <w:pStyle w:val="A-"/>
              <w:spacing w:line="260" w:lineRule="exact"/>
            </w:pPr>
          </w:p>
        </w:tc>
        <w:tc>
          <w:tcPr>
            <w:tcW w:w="1147" w:type="dxa"/>
            <w:noWrap/>
            <w:vAlign w:val="center"/>
          </w:tcPr>
          <w:p w14:paraId="01D51FAD" w14:textId="77777777" w:rsidR="002E474C" w:rsidRDefault="00000000">
            <w:pPr>
              <w:pStyle w:val="A-"/>
              <w:spacing w:line="260" w:lineRule="exact"/>
              <w:ind w:leftChars="-25" w:left="-53" w:rightChars="-25" w:right="-53"/>
            </w:pPr>
            <w:r>
              <w:t>276-002-02</w:t>
            </w:r>
          </w:p>
        </w:tc>
        <w:tc>
          <w:tcPr>
            <w:tcW w:w="4991" w:type="dxa"/>
            <w:noWrap/>
            <w:vAlign w:val="center"/>
          </w:tcPr>
          <w:p w14:paraId="682CD635" w14:textId="77777777" w:rsidR="002E474C" w:rsidRDefault="00000000">
            <w:pPr>
              <w:pStyle w:val="A-"/>
              <w:spacing w:line="260" w:lineRule="exact"/>
            </w:pPr>
            <w:r>
              <w:t>利用生物技术生产生物化学药品、基因工程药物（不包括利用生物技术合成他汀类降脂药物、降糖类药物）过程中产生的废母液、反应基和培养基废物</w:t>
            </w:r>
          </w:p>
        </w:tc>
        <w:tc>
          <w:tcPr>
            <w:tcW w:w="663" w:type="dxa"/>
            <w:noWrap/>
            <w:vAlign w:val="center"/>
          </w:tcPr>
          <w:p w14:paraId="1B22AF76" w14:textId="77777777" w:rsidR="002E474C" w:rsidRDefault="00000000">
            <w:pPr>
              <w:pStyle w:val="A-"/>
              <w:spacing w:line="260" w:lineRule="exact"/>
            </w:pPr>
            <w:r>
              <w:t>T</w:t>
            </w:r>
          </w:p>
        </w:tc>
      </w:tr>
      <w:tr w:rsidR="002E474C" w14:paraId="5C9C6CA0" w14:textId="77777777">
        <w:trPr>
          <w:trHeight w:val="300"/>
        </w:trPr>
        <w:tc>
          <w:tcPr>
            <w:tcW w:w="828" w:type="dxa"/>
            <w:vMerge/>
            <w:vAlign w:val="center"/>
          </w:tcPr>
          <w:p w14:paraId="74572908" w14:textId="77777777" w:rsidR="002E474C" w:rsidRDefault="002E474C">
            <w:pPr>
              <w:pStyle w:val="A-"/>
              <w:spacing w:line="260" w:lineRule="exact"/>
            </w:pPr>
          </w:p>
        </w:tc>
        <w:tc>
          <w:tcPr>
            <w:tcW w:w="893" w:type="dxa"/>
            <w:vMerge/>
            <w:vAlign w:val="center"/>
          </w:tcPr>
          <w:p w14:paraId="4ECE0D51" w14:textId="77777777" w:rsidR="002E474C" w:rsidRDefault="002E474C">
            <w:pPr>
              <w:pStyle w:val="A-"/>
              <w:spacing w:line="260" w:lineRule="exact"/>
            </w:pPr>
          </w:p>
        </w:tc>
        <w:tc>
          <w:tcPr>
            <w:tcW w:w="1147" w:type="dxa"/>
            <w:noWrap/>
            <w:vAlign w:val="center"/>
          </w:tcPr>
          <w:p w14:paraId="51E1CE8A" w14:textId="77777777" w:rsidR="002E474C" w:rsidRDefault="00000000">
            <w:pPr>
              <w:pStyle w:val="A-"/>
              <w:spacing w:line="260" w:lineRule="exact"/>
              <w:ind w:leftChars="-25" w:left="-53" w:rightChars="-25" w:right="-53"/>
            </w:pPr>
            <w:r>
              <w:t>276-003-02</w:t>
            </w:r>
          </w:p>
        </w:tc>
        <w:tc>
          <w:tcPr>
            <w:tcW w:w="4991" w:type="dxa"/>
            <w:noWrap/>
            <w:vAlign w:val="center"/>
          </w:tcPr>
          <w:p w14:paraId="5EBD7679" w14:textId="77777777" w:rsidR="002E474C" w:rsidRDefault="00000000">
            <w:pPr>
              <w:pStyle w:val="A-"/>
              <w:spacing w:line="260" w:lineRule="exact"/>
            </w:pPr>
            <w:r>
              <w:t>利用生物技术生产生物化学药品、基因工程药物（不包括利用生物技术合成他汀类降脂药物、</w:t>
            </w:r>
            <w:r>
              <w:t xml:space="preserve"> </w:t>
            </w:r>
            <w:r>
              <w:t>降糖类药物）</w:t>
            </w:r>
            <w:r>
              <w:t xml:space="preserve"> </w:t>
            </w:r>
            <w:r>
              <w:t>过程中产生的废脱色过滤介质</w:t>
            </w:r>
          </w:p>
        </w:tc>
        <w:tc>
          <w:tcPr>
            <w:tcW w:w="663" w:type="dxa"/>
            <w:noWrap/>
            <w:vAlign w:val="center"/>
          </w:tcPr>
          <w:p w14:paraId="2576E0D7" w14:textId="77777777" w:rsidR="002E474C" w:rsidRDefault="00000000">
            <w:pPr>
              <w:pStyle w:val="A-"/>
              <w:spacing w:line="260" w:lineRule="exact"/>
            </w:pPr>
            <w:r>
              <w:t>T</w:t>
            </w:r>
          </w:p>
        </w:tc>
      </w:tr>
      <w:tr w:rsidR="002E474C" w14:paraId="42401E51" w14:textId="77777777">
        <w:trPr>
          <w:trHeight w:val="300"/>
        </w:trPr>
        <w:tc>
          <w:tcPr>
            <w:tcW w:w="828" w:type="dxa"/>
            <w:vMerge/>
            <w:vAlign w:val="center"/>
          </w:tcPr>
          <w:p w14:paraId="78000BC4" w14:textId="77777777" w:rsidR="002E474C" w:rsidRDefault="002E474C">
            <w:pPr>
              <w:pStyle w:val="A-"/>
              <w:spacing w:line="260" w:lineRule="exact"/>
            </w:pPr>
          </w:p>
        </w:tc>
        <w:tc>
          <w:tcPr>
            <w:tcW w:w="893" w:type="dxa"/>
            <w:vMerge/>
            <w:vAlign w:val="center"/>
          </w:tcPr>
          <w:p w14:paraId="34D04FA5" w14:textId="77777777" w:rsidR="002E474C" w:rsidRDefault="002E474C">
            <w:pPr>
              <w:pStyle w:val="A-"/>
              <w:spacing w:line="260" w:lineRule="exact"/>
            </w:pPr>
          </w:p>
        </w:tc>
        <w:tc>
          <w:tcPr>
            <w:tcW w:w="1147" w:type="dxa"/>
            <w:noWrap/>
            <w:vAlign w:val="center"/>
          </w:tcPr>
          <w:p w14:paraId="368C4715" w14:textId="77777777" w:rsidR="002E474C" w:rsidRDefault="00000000">
            <w:pPr>
              <w:pStyle w:val="A-"/>
              <w:spacing w:line="260" w:lineRule="exact"/>
              <w:ind w:leftChars="-25" w:left="-53" w:rightChars="-25" w:right="-53"/>
            </w:pPr>
            <w:r>
              <w:t>276-004-02</w:t>
            </w:r>
          </w:p>
        </w:tc>
        <w:tc>
          <w:tcPr>
            <w:tcW w:w="4991" w:type="dxa"/>
            <w:noWrap/>
            <w:vAlign w:val="center"/>
          </w:tcPr>
          <w:p w14:paraId="3E8FB7D0" w14:textId="77777777" w:rsidR="002E474C" w:rsidRDefault="00000000">
            <w:pPr>
              <w:pStyle w:val="A-"/>
              <w:spacing w:line="260" w:lineRule="exact"/>
            </w:pPr>
            <w:r>
              <w:t>利用生物技术生产生物化学药品、基因工程药物过程中产生的废吸附剂</w:t>
            </w:r>
          </w:p>
        </w:tc>
        <w:tc>
          <w:tcPr>
            <w:tcW w:w="663" w:type="dxa"/>
            <w:noWrap/>
            <w:vAlign w:val="center"/>
          </w:tcPr>
          <w:p w14:paraId="2A8B6F78" w14:textId="77777777" w:rsidR="002E474C" w:rsidRDefault="00000000">
            <w:pPr>
              <w:pStyle w:val="A-"/>
              <w:spacing w:line="260" w:lineRule="exact"/>
            </w:pPr>
            <w:r>
              <w:t>T</w:t>
            </w:r>
          </w:p>
        </w:tc>
      </w:tr>
      <w:tr w:rsidR="002E474C" w14:paraId="52AAD63C" w14:textId="77777777">
        <w:trPr>
          <w:trHeight w:val="300"/>
        </w:trPr>
        <w:tc>
          <w:tcPr>
            <w:tcW w:w="828" w:type="dxa"/>
            <w:vMerge/>
            <w:vAlign w:val="center"/>
          </w:tcPr>
          <w:p w14:paraId="30D7ED75" w14:textId="77777777" w:rsidR="002E474C" w:rsidRDefault="002E474C">
            <w:pPr>
              <w:pStyle w:val="A-"/>
              <w:spacing w:line="260" w:lineRule="exact"/>
            </w:pPr>
          </w:p>
        </w:tc>
        <w:tc>
          <w:tcPr>
            <w:tcW w:w="893" w:type="dxa"/>
            <w:vMerge/>
            <w:vAlign w:val="center"/>
          </w:tcPr>
          <w:p w14:paraId="66BD67C9" w14:textId="77777777" w:rsidR="002E474C" w:rsidRDefault="002E474C">
            <w:pPr>
              <w:pStyle w:val="A-"/>
              <w:spacing w:line="260" w:lineRule="exact"/>
            </w:pPr>
          </w:p>
        </w:tc>
        <w:tc>
          <w:tcPr>
            <w:tcW w:w="1147" w:type="dxa"/>
            <w:noWrap/>
            <w:vAlign w:val="center"/>
          </w:tcPr>
          <w:p w14:paraId="0B437266" w14:textId="77777777" w:rsidR="002E474C" w:rsidRDefault="00000000">
            <w:pPr>
              <w:pStyle w:val="A-"/>
              <w:spacing w:line="260" w:lineRule="exact"/>
              <w:ind w:leftChars="-25" w:left="-53" w:rightChars="-25" w:right="-53"/>
            </w:pPr>
            <w:r>
              <w:t>276-005-02</w:t>
            </w:r>
          </w:p>
        </w:tc>
        <w:tc>
          <w:tcPr>
            <w:tcW w:w="4991" w:type="dxa"/>
            <w:noWrap/>
            <w:vAlign w:val="center"/>
          </w:tcPr>
          <w:p w14:paraId="35886781" w14:textId="77777777" w:rsidR="002E474C" w:rsidRDefault="00000000">
            <w:pPr>
              <w:pStyle w:val="A-"/>
              <w:spacing w:line="260" w:lineRule="exact"/>
            </w:pPr>
            <w:r>
              <w:t>利用生物技术生产生物化学药品、基因工程药物及中间体过程中产生的废弃的产品、原料药和中间体</w:t>
            </w:r>
          </w:p>
        </w:tc>
        <w:tc>
          <w:tcPr>
            <w:tcW w:w="663" w:type="dxa"/>
            <w:noWrap/>
            <w:vAlign w:val="center"/>
          </w:tcPr>
          <w:p w14:paraId="4CF79F65" w14:textId="77777777" w:rsidR="002E474C" w:rsidRDefault="00000000">
            <w:pPr>
              <w:pStyle w:val="A-"/>
              <w:spacing w:line="260" w:lineRule="exact"/>
            </w:pPr>
            <w:r>
              <w:t>T</w:t>
            </w:r>
          </w:p>
        </w:tc>
      </w:tr>
      <w:tr w:rsidR="002E474C" w14:paraId="095B6B13" w14:textId="77777777">
        <w:trPr>
          <w:trHeight w:val="300"/>
        </w:trPr>
        <w:tc>
          <w:tcPr>
            <w:tcW w:w="828" w:type="dxa"/>
            <w:noWrap/>
            <w:vAlign w:val="center"/>
          </w:tcPr>
          <w:p w14:paraId="7EE98EE4" w14:textId="77777777" w:rsidR="002E474C" w:rsidRDefault="00000000">
            <w:pPr>
              <w:pStyle w:val="A-"/>
              <w:spacing w:line="260" w:lineRule="exact"/>
              <w:ind w:leftChars="-25" w:left="-53" w:rightChars="-25" w:right="-53"/>
            </w:pPr>
            <w:r>
              <w:t>HW03</w:t>
            </w:r>
            <w:r>
              <w:br/>
            </w:r>
            <w:r>
              <w:rPr>
                <w:spacing w:val="-6"/>
              </w:rPr>
              <w:t>废药物、药品</w:t>
            </w:r>
          </w:p>
        </w:tc>
        <w:tc>
          <w:tcPr>
            <w:tcW w:w="893" w:type="dxa"/>
            <w:noWrap/>
            <w:vAlign w:val="center"/>
          </w:tcPr>
          <w:p w14:paraId="611BAB86" w14:textId="77777777" w:rsidR="002E474C" w:rsidRDefault="00000000">
            <w:pPr>
              <w:pStyle w:val="A-"/>
              <w:spacing w:line="260" w:lineRule="exact"/>
            </w:pPr>
            <w:r>
              <w:t>非特定行业</w:t>
            </w:r>
          </w:p>
        </w:tc>
        <w:tc>
          <w:tcPr>
            <w:tcW w:w="1147" w:type="dxa"/>
            <w:noWrap/>
            <w:vAlign w:val="center"/>
          </w:tcPr>
          <w:p w14:paraId="7D9026B1" w14:textId="77777777" w:rsidR="002E474C" w:rsidRDefault="00000000">
            <w:pPr>
              <w:pStyle w:val="A-"/>
              <w:spacing w:line="260" w:lineRule="exact"/>
              <w:ind w:leftChars="-25" w:left="-53" w:rightChars="-25" w:right="-53"/>
            </w:pPr>
            <w:r>
              <w:t>900-002-03</w:t>
            </w:r>
          </w:p>
        </w:tc>
        <w:tc>
          <w:tcPr>
            <w:tcW w:w="4991" w:type="dxa"/>
            <w:noWrap/>
            <w:vAlign w:val="center"/>
          </w:tcPr>
          <w:p w14:paraId="1E294D8A" w14:textId="77777777" w:rsidR="002E474C" w:rsidRDefault="00000000">
            <w:pPr>
              <w:pStyle w:val="A-"/>
              <w:spacing w:line="260" w:lineRule="exact"/>
            </w:pPr>
            <w:r>
              <w:t>销售及使用过程中产生的失效、变质、不合格、淘汰、伪劣的化学药品和生物制品，以及《医疗用毒性药品管理办法》中所列的毒性中药</w:t>
            </w:r>
          </w:p>
        </w:tc>
        <w:tc>
          <w:tcPr>
            <w:tcW w:w="663" w:type="dxa"/>
            <w:noWrap/>
            <w:vAlign w:val="center"/>
          </w:tcPr>
          <w:p w14:paraId="319056B7" w14:textId="77777777" w:rsidR="002E474C" w:rsidRDefault="00000000">
            <w:pPr>
              <w:pStyle w:val="A-"/>
              <w:spacing w:line="260" w:lineRule="exact"/>
            </w:pPr>
            <w:r>
              <w:t>T</w:t>
            </w:r>
          </w:p>
        </w:tc>
      </w:tr>
      <w:tr w:rsidR="002E474C" w14:paraId="57A4B30C" w14:textId="77777777">
        <w:trPr>
          <w:trHeight w:val="300"/>
        </w:trPr>
        <w:tc>
          <w:tcPr>
            <w:tcW w:w="828" w:type="dxa"/>
            <w:vMerge w:val="restart"/>
            <w:noWrap/>
            <w:vAlign w:val="center"/>
          </w:tcPr>
          <w:p w14:paraId="13275B0C" w14:textId="77777777" w:rsidR="002E474C" w:rsidRDefault="00000000">
            <w:pPr>
              <w:pStyle w:val="A-"/>
              <w:spacing w:line="260" w:lineRule="exact"/>
            </w:pPr>
            <w:r>
              <w:t>HW04</w:t>
            </w:r>
            <w:r>
              <w:br/>
            </w:r>
            <w:r>
              <w:t>农药废物</w:t>
            </w:r>
          </w:p>
        </w:tc>
        <w:tc>
          <w:tcPr>
            <w:tcW w:w="893" w:type="dxa"/>
            <w:vMerge w:val="restart"/>
            <w:noWrap/>
            <w:vAlign w:val="center"/>
          </w:tcPr>
          <w:p w14:paraId="67DC961A" w14:textId="77777777" w:rsidR="002E474C" w:rsidRDefault="00000000">
            <w:pPr>
              <w:pStyle w:val="A-"/>
              <w:spacing w:line="260" w:lineRule="exact"/>
            </w:pPr>
            <w:r>
              <w:t>农药</w:t>
            </w:r>
          </w:p>
          <w:p w14:paraId="14774CDF" w14:textId="77777777" w:rsidR="002E474C" w:rsidRDefault="00000000">
            <w:pPr>
              <w:pStyle w:val="A-"/>
              <w:spacing w:line="260" w:lineRule="exact"/>
            </w:pPr>
            <w:r>
              <w:t>制造</w:t>
            </w:r>
          </w:p>
        </w:tc>
        <w:tc>
          <w:tcPr>
            <w:tcW w:w="1147" w:type="dxa"/>
            <w:noWrap/>
            <w:vAlign w:val="center"/>
          </w:tcPr>
          <w:p w14:paraId="3FCCD04B" w14:textId="77777777" w:rsidR="002E474C" w:rsidRDefault="00000000">
            <w:pPr>
              <w:pStyle w:val="A-"/>
              <w:spacing w:line="260" w:lineRule="exact"/>
              <w:ind w:leftChars="-25" w:left="-53" w:rightChars="-25" w:right="-53"/>
            </w:pPr>
            <w:r>
              <w:t>263-001-04</w:t>
            </w:r>
          </w:p>
        </w:tc>
        <w:tc>
          <w:tcPr>
            <w:tcW w:w="4991" w:type="dxa"/>
            <w:noWrap/>
            <w:vAlign w:val="center"/>
          </w:tcPr>
          <w:p w14:paraId="2F5F9973" w14:textId="77777777" w:rsidR="002E474C" w:rsidRDefault="00000000">
            <w:pPr>
              <w:pStyle w:val="A-"/>
              <w:spacing w:line="260" w:lineRule="exact"/>
            </w:pPr>
            <w:r>
              <w:t>氯丹生产过程中六氯环戊二烯过滤产生的残余物，及氯化反应器真空汽提产生的废物</w:t>
            </w:r>
          </w:p>
        </w:tc>
        <w:tc>
          <w:tcPr>
            <w:tcW w:w="663" w:type="dxa"/>
            <w:noWrap/>
            <w:vAlign w:val="center"/>
          </w:tcPr>
          <w:p w14:paraId="018EA035" w14:textId="77777777" w:rsidR="002E474C" w:rsidRDefault="00000000">
            <w:pPr>
              <w:pStyle w:val="A-"/>
              <w:spacing w:line="260" w:lineRule="exact"/>
            </w:pPr>
            <w:r>
              <w:t>T</w:t>
            </w:r>
          </w:p>
        </w:tc>
      </w:tr>
      <w:tr w:rsidR="002E474C" w14:paraId="52E8C183" w14:textId="77777777">
        <w:trPr>
          <w:trHeight w:val="300"/>
        </w:trPr>
        <w:tc>
          <w:tcPr>
            <w:tcW w:w="828" w:type="dxa"/>
            <w:vMerge/>
            <w:vAlign w:val="center"/>
          </w:tcPr>
          <w:p w14:paraId="6475AA20" w14:textId="77777777" w:rsidR="002E474C" w:rsidRDefault="002E474C">
            <w:pPr>
              <w:pStyle w:val="A-"/>
              <w:spacing w:line="260" w:lineRule="exact"/>
            </w:pPr>
          </w:p>
        </w:tc>
        <w:tc>
          <w:tcPr>
            <w:tcW w:w="893" w:type="dxa"/>
            <w:vMerge/>
            <w:vAlign w:val="center"/>
          </w:tcPr>
          <w:p w14:paraId="110C7FF8" w14:textId="77777777" w:rsidR="002E474C" w:rsidRDefault="002E474C">
            <w:pPr>
              <w:pStyle w:val="A-"/>
              <w:spacing w:line="260" w:lineRule="exact"/>
            </w:pPr>
          </w:p>
        </w:tc>
        <w:tc>
          <w:tcPr>
            <w:tcW w:w="1147" w:type="dxa"/>
            <w:noWrap/>
            <w:vAlign w:val="center"/>
          </w:tcPr>
          <w:p w14:paraId="2796079D" w14:textId="77777777" w:rsidR="002E474C" w:rsidRDefault="00000000">
            <w:pPr>
              <w:pStyle w:val="A-"/>
              <w:spacing w:line="260" w:lineRule="exact"/>
              <w:ind w:leftChars="-25" w:left="-53" w:rightChars="-25" w:right="-53"/>
            </w:pPr>
            <w:r>
              <w:t>263-002-04</w:t>
            </w:r>
          </w:p>
        </w:tc>
        <w:tc>
          <w:tcPr>
            <w:tcW w:w="4991" w:type="dxa"/>
            <w:noWrap/>
            <w:vAlign w:val="center"/>
          </w:tcPr>
          <w:p w14:paraId="41AEE68E" w14:textId="77777777" w:rsidR="002E474C" w:rsidRDefault="00000000">
            <w:pPr>
              <w:pStyle w:val="A-"/>
              <w:spacing w:line="260" w:lineRule="exact"/>
            </w:pPr>
            <w:r>
              <w:t>乙拌磷生产过程中甲苯回收工艺产生的蒸馏残渣</w:t>
            </w:r>
          </w:p>
        </w:tc>
        <w:tc>
          <w:tcPr>
            <w:tcW w:w="663" w:type="dxa"/>
            <w:noWrap/>
            <w:vAlign w:val="center"/>
          </w:tcPr>
          <w:p w14:paraId="6DCFAB3A" w14:textId="77777777" w:rsidR="002E474C" w:rsidRDefault="00000000">
            <w:pPr>
              <w:pStyle w:val="A-"/>
              <w:spacing w:line="260" w:lineRule="exact"/>
            </w:pPr>
            <w:r>
              <w:t>T</w:t>
            </w:r>
          </w:p>
        </w:tc>
      </w:tr>
      <w:tr w:rsidR="002E474C" w14:paraId="43FAE677" w14:textId="77777777">
        <w:trPr>
          <w:trHeight w:val="300"/>
        </w:trPr>
        <w:tc>
          <w:tcPr>
            <w:tcW w:w="828" w:type="dxa"/>
            <w:vMerge/>
            <w:vAlign w:val="center"/>
          </w:tcPr>
          <w:p w14:paraId="465498BB" w14:textId="77777777" w:rsidR="002E474C" w:rsidRDefault="002E474C">
            <w:pPr>
              <w:pStyle w:val="A-"/>
              <w:spacing w:line="260" w:lineRule="exact"/>
            </w:pPr>
          </w:p>
        </w:tc>
        <w:tc>
          <w:tcPr>
            <w:tcW w:w="893" w:type="dxa"/>
            <w:vMerge/>
            <w:vAlign w:val="center"/>
          </w:tcPr>
          <w:p w14:paraId="3674051E" w14:textId="77777777" w:rsidR="002E474C" w:rsidRDefault="002E474C">
            <w:pPr>
              <w:pStyle w:val="A-"/>
              <w:spacing w:line="260" w:lineRule="exact"/>
            </w:pPr>
          </w:p>
        </w:tc>
        <w:tc>
          <w:tcPr>
            <w:tcW w:w="1147" w:type="dxa"/>
            <w:noWrap/>
            <w:vAlign w:val="center"/>
          </w:tcPr>
          <w:p w14:paraId="1BF518CE" w14:textId="77777777" w:rsidR="002E474C" w:rsidRDefault="00000000">
            <w:pPr>
              <w:pStyle w:val="A-"/>
              <w:spacing w:line="260" w:lineRule="exact"/>
              <w:ind w:leftChars="-25" w:left="-53" w:rightChars="-25" w:right="-53"/>
            </w:pPr>
            <w:r>
              <w:t>263-003-04</w:t>
            </w:r>
          </w:p>
        </w:tc>
        <w:tc>
          <w:tcPr>
            <w:tcW w:w="4991" w:type="dxa"/>
            <w:noWrap/>
            <w:vAlign w:val="center"/>
          </w:tcPr>
          <w:p w14:paraId="24C56690" w14:textId="77777777" w:rsidR="002E474C" w:rsidRDefault="00000000">
            <w:pPr>
              <w:pStyle w:val="A-"/>
              <w:spacing w:line="260" w:lineRule="exact"/>
            </w:pPr>
            <w:r>
              <w:rPr>
                <w:spacing w:val="-6"/>
              </w:rPr>
              <w:t>甲拌磷生产过程中二乙基二硫代磷酸过滤产生的残余物</w:t>
            </w:r>
          </w:p>
        </w:tc>
        <w:tc>
          <w:tcPr>
            <w:tcW w:w="663" w:type="dxa"/>
            <w:noWrap/>
            <w:vAlign w:val="center"/>
          </w:tcPr>
          <w:p w14:paraId="43FC5FFB" w14:textId="77777777" w:rsidR="002E474C" w:rsidRDefault="00000000">
            <w:pPr>
              <w:pStyle w:val="A-"/>
              <w:spacing w:line="260" w:lineRule="exact"/>
            </w:pPr>
            <w:r>
              <w:t>T</w:t>
            </w:r>
          </w:p>
        </w:tc>
      </w:tr>
      <w:tr w:rsidR="002E474C" w14:paraId="6B706A84" w14:textId="77777777">
        <w:trPr>
          <w:trHeight w:val="300"/>
        </w:trPr>
        <w:tc>
          <w:tcPr>
            <w:tcW w:w="828" w:type="dxa"/>
            <w:vMerge/>
            <w:vAlign w:val="center"/>
          </w:tcPr>
          <w:p w14:paraId="0B684B9C" w14:textId="77777777" w:rsidR="002E474C" w:rsidRDefault="002E474C">
            <w:pPr>
              <w:pStyle w:val="A-"/>
              <w:spacing w:line="260" w:lineRule="exact"/>
            </w:pPr>
          </w:p>
        </w:tc>
        <w:tc>
          <w:tcPr>
            <w:tcW w:w="893" w:type="dxa"/>
            <w:vMerge/>
            <w:vAlign w:val="center"/>
          </w:tcPr>
          <w:p w14:paraId="3B29541F" w14:textId="77777777" w:rsidR="002E474C" w:rsidRDefault="002E474C">
            <w:pPr>
              <w:pStyle w:val="A-"/>
              <w:spacing w:line="260" w:lineRule="exact"/>
            </w:pPr>
          </w:p>
        </w:tc>
        <w:tc>
          <w:tcPr>
            <w:tcW w:w="1147" w:type="dxa"/>
            <w:noWrap/>
            <w:vAlign w:val="center"/>
          </w:tcPr>
          <w:p w14:paraId="3B8D08CC" w14:textId="77777777" w:rsidR="002E474C" w:rsidRDefault="00000000">
            <w:pPr>
              <w:pStyle w:val="A-"/>
              <w:spacing w:line="260" w:lineRule="exact"/>
              <w:ind w:leftChars="-25" w:left="-53" w:rightChars="-25" w:right="-53"/>
            </w:pPr>
            <w:r>
              <w:t>263-004-04</w:t>
            </w:r>
          </w:p>
        </w:tc>
        <w:tc>
          <w:tcPr>
            <w:tcW w:w="4991" w:type="dxa"/>
            <w:noWrap/>
            <w:vAlign w:val="center"/>
          </w:tcPr>
          <w:p w14:paraId="2C97444A" w14:textId="77777777" w:rsidR="002E474C" w:rsidRDefault="00000000">
            <w:pPr>
              <w:pStyle w:val="A-"/>
              <w:spacing w:line="260" w:lineRule="exact"/>
            </w:pPr>
            <w:r>
              <w:t>2,4,5-</w:t>
            </w:r>
            <w:r>
              <w:t>三氯苯氧乙酸生产过程中四氯苯蒸馏产生的重馏分及蒸馏残余物</w:t>
            </w:r>
          </w:p>
        </w:tc>
        <w:tc>
          <w:tcPr>
            <w:tcW w:w="663" w:type="dxa"/>
            <w:noWrap/>
            <w:vAlign w:val="center"/>
          </w:tcPr>
          <w:p w14:paraId="42239DFA" w14:textId="77777777" w:rsidR="002E474C" w:rsidRDefault="00000000">
            <w:pPr>
              <w:pStyle w:val="A-"/>
              <w:spacing w:line="260" w:lineRule="exact"/>
            </w:pPr>
            <w:r>
              <w:t>T</w:t>
            </w:r>
          </w:p>
        </w:tc>
      </w:tr>
      <w:tr w:rsidR="002E474C" w14:paraId="6752B3BD" w14:textId="77777777">
        <w:trPr>
          <w:trHeight w:val="300"/>
        </w:trPr>
        <w:tc>
          <w:tcPr>
            <w:tcW w:w="828" w:type="dxa"/>
            <w:vMerge/>
            <w:vAlign w:val="center"/>
          </w:tcPr>
          <w:p w14:paraId="52B33CF8" w14:textId="77777777" w:rsidR="002E474C" w:rsidRDefault="002E474C">
            <w:pPr>
              <w:pStyle w:val="A-"/>
              <w:spacing w:line="260" w:lineRule="exact"/>
            </w:pPr>
          </w:p>
        </w:tc>
        <w:tc>
          <w:tcPr>
            <w:tcW w:w="893" w:type="dxa"/>
            <w:vMerge/>
            <w:vAlign w:val="center"/>
          </w:tcPr>
          <w:p w14:paraId="4136C90A" w14:textId="77777777" w:rsidR="002E474C" w:rsidRDefault="002E474C">
            <w:pPr>
              <w:pStyle w:val="A-"/>
              <w:spacing w:line="260" w:lineRule="exact"/>
            </w:pPr>
          </w:p>
        </w:tc>
        <w:tc>
          <w:tcPr>
            <w:tcW w:w="1147" w:type="dxa"/>
            <w:noWrap/>
            <w:vAlign w:val="center"/>
          </w:tcPr>
          <w:p w14:paraId="6DCB6164" w14:textId="77777777" w:rsidR="002E474C" w:rsidRDefault="00000000">
            <w:pPr>
              <w:pStyle w:val="A-"/>
              <w:spacing w:line="260" w:lineRule="exact"/>
              <w:ind w:leftChars="-25" w:left="-53" w:rightChars="-25" w:right="-53"/>
            </w:pPr>
            <w:r>
              <w:t>263-005-04</w:t>
            </w:r>
          </w:p>
        </w:tc>
        <w:tc>
          <w:tcPr>
            <w:tcW w:w="4991" w:type="dxa"/>
            <w:noWrap/>
            <w:vAlign w:val="center"/>
          </w:tcPr>
          <w:p w14:paraId="2E643496" w14:textId="77777777" w:rsidR="002E474C" w:rsidRDefault="00000000">
            <w:pPr>
              <w:pStyle w:val="A-"/>
              <w:spacing w:line="260" w:lineRule="exact"/>
            </w:pPr>
            <w:r>
              <w:t>2,4-</w:t>
            </w:r>
            <w:r>
              <w:t>二氯苯氧乙酸生产过程中苯酚氯化工段产生的含</w:t>
            </w:r>
            <w:r>
              <w:t xml:space="preserve"> 2,6-</w:t>
            </w:r>
            <w:r>
              <w:t>二氯苯酚精馏残渣</w:t>
            </w:r>
          </w:p>
        </w:tc>
        <w:tc>
          <w:tcPr>
            <w:tcW w:w="663" w:type="dxa"/>
            <w:noWrap/>
            <w:vAlign w:val="center"/>
          </w:tcPr>
          <w:p w14:paraId="554230B0" w14:textId="77777777" w:rsidR="002E474C" w:rsidRDefault="00000000">
            <w:pPr>
              <w:pStyle w:val="A-"/>
              <w:spacing w:line="260" w:lineRule="exact"/>
            </w:pPr>
            <w:r>
              <w:t>T</w:t>
            </w:r>
          </w:p>
        </w:tc>
      </w:tr>
      <w:tr w:rsidR="002E474C" w14:paraId="2D9AC1B4" w14:textId="77777777">
        <w:trPr>
          <w:trHeight w:val="300"/>
        </w:trPr>
        <w:tc>
          <w:tcPr>
            <w:tcW w:w="828" w:type="dxa"/>
            <w:vMerge/>
            <w:vAlign w:val="center"/>
          </w:tcPr>
          <w:p w14:paraId="6AC657C3" w14:textId="77777777" w:rsidR="002E474C" w:rsidRDefault="002E474C">
            <w:pPr>
              <w:pStyle w:val="A-"/>
              <w:spacing w:line="260" w:lineRule="exact"/>
            </w:pPr>
          </w:p>
        </w:tc>
        <w:tc>
          <w:tcPr>
            <w:tcW w:w="893" w:type="dxa"/>
            <w:vMerge/>
            <w:vAlign w:val="center"/>
          </w:tcPr>
          <w:p w14:paraId="5621C894" w14:textId="77777777" w:rsidR="002E474C" w:rsidRDefault="002E474C">
            <w:pPr>
              <w:pStyle w:val="A-"/>
              <w:spacing w:line="260" w:lineRule="exact"/>
            </w:pPr>
          </w:p>
        </w:tc>
        <w:tc>
          <w:tcPr>
            <w:tcW w:w="1147" w:type="dxa"/>
            <w:noWrap/>
            <w:vAlign w:val="center"/>
          </w:tcPr>
          <w:p w14:paraId="6918AF9A" w14:textId="77777777" w:rsidR="002E474C" w:rsidRDefault="00000000">
            <w:pPr>
              <w:pStyle w:val="A-"/>
              <w:spacing w:line="260" w:lineRule="exact"/>
              <w:ind w:leftChars="-25" w:left="-53" w:rightChars="-25" w:right="-53"/>
            </w:pPr>
            <w:r>
              <w:t>263-006-04</w:t>
            </w:r>
          </w:p>
        </w:tc>
        <w:tc>
          <w:tcPr>
            <w:tcW w:w="4991" w:type="dxa"/>
            <w:noWrap/>
            <w:vAlign w:val="center"/>
          </w:tcPr>
          <w:p w14:paraId="73159EFA" w14:textId="77777777" w:rsidR="002E474C" w:rsidRDefault="00000000">
            <w:pPr>
              <w:pStyle w:val="A-"/>
              <w:spacing w:line="260" w:lineRule="exact"/>
            </w:pPr>
            <w:r>
              <w:rPr>
                <w:spacing w:val="-6"/>
              </w:rPr>
              <w:t>乙烯基双二硫代氨基甲酸及其盐类生产过程中产生的过滤、蒸发和离心分离残余物及废水处理污泥，产品研磨和包装工序集（除）尘装置收集的粉尘和地面清扫废物</w:t>
            </w:r>
          </w:p>
        </w:tc>
        <w:tc>
          <w:tcPr>
            <w:tcW w:w="663" w:type="dxa"/>
            <w:noWrap/>
            <w:vAlign w:val="center"/>
          </w:tcPr>
          <w:p w14:paraId="1F80DC93" w14:textId="77777777" w:rsidR="002E474C" w:rsidRDefault="00000000">
            <w:pPr>
              <w:pStyle w:val="A-"/>
              <w:spacing w:line="260" w:lineRule="exact"/>
            </w:pPr>
            <w:r>
              <w:t>T</w:t>
            </w:r>
          </w:p>
        </w:tc>
      </w:tr>
      <w:tr w:rsidR="002E474C" w14:paraId="41FAAF4C" w14:textId="77777777">
        <w:trPr>
          <w:trHeight w:val="300"/>
        </w:trPr>
        <w:tc>
          <w:tcPr>
            <w:tcW w:w="828" w:type="dxa"/>
            <w:vMerge/>
            <w:vAlign w:val="center"/>
          </w:tcPr>
          <w:p w14:paraId="2505E91D" w14:textId="77777777" w:rsidR="002E474C" w:rsidRDefault="002E474C">
            <w:pPr>
              <w:pStyle w:val="A-"/>
              <w:spacing w:line="260" w:lineRule="exact"/>
            </w:pPr>
          </w:p>
        </w:tc>
        <w:tc>
          <w:tcPr>
            <w:tcW w:w="893" w:type="dxa"/>
            <w:vMerge/>
            <w:vAlign w:val="center"/>
          </w:tcPr>
          <w:p w14:paraId="6ECCC564" w14:textId="77777777" w:rsidR="002E474C" w:rsidRDefault="002E474C">
            <w:pPr>
              <w:pStyle w:val="A-"/>
              <w:spacing w:line="260" w:lineRule="exact"/>
            </w:pPr>
          </w:p>
        </w:tc>
        <w:tc>
          <w:tcPr>
            <w:tcW w:w="1147" w:type="dxa"/>
            <w:noWrap/>
            <w:vAlign w:val="center"/>
          </w:tcPr>
          <w:p w14:paraId="40BD6E96" w14:textId="77777777" w:rsidR="002E474C" w:rsidRDefault="00000000">
            <w:pPr>
              <w:pStyle w:val="A-"/>
              <w:spacing w:line="260" w:lineRule="exact"/>
              <w:ind w:leftChars="-25" w:left="-53" w:rightChars="-25" w:right="-53"/>
            </w:pPr>
            <w:r>
              <w:t>263-007-04</w:t>
            </w:r>
          </w:p>
        </w:tc>
        <w:tc>
          <w:tcPr>
            <w:tcW w:w="4991" w:type="dxa"/>
            <w:noWrap/>
            <w:vAlign w:val="center"/>
          </w:tcPr>
          <w:p w14:paraId="3E4841A4" w14:textId="77777777" w:rsidR="002E474C" w:rsidRDefault="00000000">
            <w:pPr>
              <w:pStyle w:val="A-"/>
              <w:spacing w:line="260" w:lineRule="exact"/>
            </w:pPr>
            <w:r>
              <w:t>溴甲烷生产过程中产生的废吸附剂、反应器产生的</w:t>
            </w:r>
            <w:r>
              <w:lastRenderedPageBreak/>
              <w:t>蒸馏残液和废水分离器产生的废物</w:t>
            </w:r>
          </w:p>
        </w:tc>
        <w:tc>
          <w:tcPr>
            <w:tcW w:w="663" w:type="dxa"/>
            <w:noWrap/>
            <w:vAlign w:val="center"/>
          </w:tcPr>
          <w:p w14:paraId="750AFF8D" w14:textId="77777777" w:rsidR="002E474C" w:rsidRDefault="00000000">
            <w:pPr>
              <w:pStyle w:val="A-"/>
              <w:spacing w:line="260" w:lineRule="exact"/>
            </w:pPr>
            <w:r>
              <w:lastRenderedPageBreak/>
              <w:t>T</w:t>
            </w:r>
          </w:p>
        </w:tc>
      </w:tr>
      <w:tr w:rsidR="002E474C" w14:paraId="20BC8164" w14:textId="77777777">
        <w:trPr>
          <w:trHeight w:val="300"/>
        </w:trPr>
        <w:tc>
          <w:tcPr>
            <w:tcW w:w="828" w:type="dxa"/>
            <w:vMerge/>
            <w:vAlign w:val="center"/>
          </w:tcPr>
          <w:p w14:paraId="4923BFD0" w14:textId="77777777" w:rsidR="002E474C" w:rsidRDefault="002E474C">
            <w:pPr>
              <w:pStyle w:val="A-"/>
              <w:spacing w:line="260" w:lineRule="exact"/>
            </w:pPr>
          </w:p>
        </w:tc>
        <w:tc>
          <w:tcPr>
            <w:tcW w:w="893" w:type="dxa"/>
            <w:vMerge/>
            <w:vAlign w:val="center"/>
          </w:tcPr>
          <w:p w14:paraId="7B827A28" w14:textId="77777777" w:rsidR="002E474C" w:rsidRDefault="002E474C">
            <w:pPr>
              <w:pStyle w:val="A-"/>
              <w:spacing w:line="260" w:lineRule="exact"/>
            </w:pPr>
          </w:p>
        </w:tc>
        <w:tc>
          <w:tcPr>
            <w:tcW w:w="1147" w:type="dxa"/>
            <w:noWrap/>
            <w:vAlign w:val="center"/>
          </w:tcPr>
          <w:p w14:paraId="57954A70" w14:textId="77777777" w:rsidR="002E474C" w:rsidRDefault="00000000">
            <w:pPr>
              <w:pStyle w:val="A-"/>
              <w:spacing w:line="260" w:lineRule="exact"/>
              <w:ind w:leftChars="-25" w:left="-53" w:rightChars="-25" w:right="-53"/>
            </w:pPr>
            <w:r>
              <w:t>263-008-04</w:t>
            </w:r>
          </w:p>
        </w:tc>
        <w:tc>
          <w:tcPr>
            <w:tcW w:w="4991" w:type="dxa"/>
            <w:noWrap/>
            <w:vAlign w:val="center"/>
          </w:tcPr>
          <w:p w14:paraId="155598E9" w14:textId="77777777" w:rsidR="002E474C" w:rsidRDefault="00000000">
            <w:pPr>
              <w:pStyle w:val="A-"/>
              <w:spacing w:line="260" w:lineRule="exact"/>
            </w:pPr>
            <w:r>
              <w:t>其他农药生产过程中产生的蒸馏及反应残余物</w:t>
            </w:r>
          </w:p>
          <w:p w14:paraId="0FD7DD8B" w14:textId="77777777" w:rsidR="002E474C" w:rsidRDefault="00000000">
            <w:pPr>
              <w:pStyle w:val="A-"/>
              <w:spacing w:line="260" w:lineRule="exact"/>
            </w:pPr>
            <w:r>
              <w:t>（不包括赤霉酸发酵滤渣）</w:t>
            </w:r>
          </w:p>
        </w:tc>
        <w:tc>
          <w:tcPr>
            <w:tcW w:w="663" w:type="dxa"/>
            <w:noWrap/>
            <w:vAlign w:val="center"/>
          </w:tcPr>
          <w:p w14:paraId="675AC821" w14:textId="77777777" w:rsidR="002E474C" w:rsidRDefault="00000000">
            <w:pPr>
              <w:pStyle w:val="A-"/>
              <w:spacing w:line="260" w:lineRule="exact"/>
            </w:pPr>
            <w:r>
              <w:t>T</w:t>
            </w:r>
          </w:p>
        </w:tc>
      </w:tr>
      <w:tr w:rsidR="002E474C" w14:paraId="25C4D40E" w14:textId="77777777">
        <w:trPr>
          <w:trHeight w:val="300"/>
        </w:trPr>
        <w:tc>
          <w:tcPr>
            <w:tcW w:w="828" w:type="dxa"/>
            <w:vMerge/>
            <w:vAlign w:val="center"/>
          </w:tcPr>
          <w:p w14:paraId="7ABCA647" w14:textId="77777777" w:rsidR="002E474C" w:rsidRDefault="002E474C">
            <w:pPr>
              <w:pStyle w:val="A-"/>
              <w:spacing w:line="260" w:lineRule="exact"/>
            </w:pPr>
          </w:p>
        </w:tc>
        <w:tc>
          <w:tcPr>
            <w:tcW w:w="893" w:type="dxa"/>
            <w:vMerge/>
            <w:vAlign w:val="center"/>
          </w:tcPr>
          <w:p w14:paraId="3243E08A" w14:textId="77777777" w:rsidR="002E474C" w:rsidRDefault="002E474C">
            <w:pPr>
              <w:pStyle w:val="A-"/>
              <w:spacing w:line="260" w:lineRule="exact"/>
            </w:pPr>
          </w:p>
        </w:tc>
        <w:tc>
          <w:tcPr>
            <w:tcW w:w="1147" w:type="dxa"/>
            <w:noWrap/>
            <w:vAlign w:val="center"/>
          </w:tcPr>
          <w:p w14:paraId="7109D397" w14:textId="77777777" w:rsidR="002E474C" w:rsidRDefault="00000000">
            <w:pPr>
              <w:pStyle w:val="A-"/>
              <w:spacing w:line="260" w:lineRule="exact"/>
              <w:ind w:leftChars="-25" w:left="-53" w:rightChars="-25" w:right="-53"/>
            </w:pPr>
            <w:r>
              <w:t>263-009-04</w:t>
            </w:r>
          </w:p>
        </w:tc>
        <w:tc>
          <w:tcPr>
            <w:tcW w:w="4991" w:type="dxa"/>
            <w:noWrap/>
            <w:vAlign w:val="center"/>
          </w:tcPr>
          <w:p w14:paraId="2107304F" w14:textId="77777777" w:rsidR="002E474C" w:rsidRDefault="00000000">
            <w:pPr>
              <w:pStyle w:val="A-"/>
              <w:spacing w:line="260" w:lineRule="exact"/>
            </w:pPr>
            <w:r>
              <w:rPr>
                <w:spacing w:val="-6"/>
              </w:rPr>
              <w:t>农药生产过程中产生的废母液、反应罐及容器清洗废液</w:t>
            </w:r>
          </w:p>
        </w:tc>
        <w:tc>
          <w:tcPr>
            <w:tcW w:w="663" w:type="dxa"/>
            <w:noWrap/>
            <w:vAlign w:val="center"/>
          </w:tcPr>
          <w:p w14:paraId="2BD50245" w14:textId="77777777" w:rsidR="002E474C" w:rsidRDefault="00000000">
            <w:pPr>
              <w:pStyle w:val="A-"/>
              <w:spacing w:line="260" w:lineRule="exact"/>
            </w:pPr>
            <w:r>
              <w:t>T</w:t>
            </w:r>
          </w:p>
        </w:tc>
      </w:tr>
      <w:tr w:rsidR="002E474C" w14:paraId="21BF4989" w14:textId="77777777">
        <w:trPr>
          <w:trHeight w:val="300"/>
        </w:trPr>
        <w:tc>
          <w:tcPr>
            <w:tcW w:w="828" w:type="dxa"/>
            <w:vMerge/>
            <w:vAlign w:val="center"/>
          </w:tcPr>
          <w:p w14:paraId="0B07DF67" w14:textId="77777777" w:rsidR="002E474C" w:rsidRDefault="002E474C">
            <w:pPr>
              <w:pStyle w:val="A-"/>
              <w:spacing w:line="260" w:lineRule="exact"/>
            </w:pPr>
          </w:p>
        </w:tc>
        <w:tc>
          <w:tcPr>
            <w:tcW w:w="893" w:type="dxa"/>
            <w:vMerge/>
            <w:vAlign w:val="center"/>
          </w:tcPr>
          <w:p w14:paraId="48121C61" w14:textId="77777777" w:rsidR="002E474C" w:rsidRDefault="002E474C">
            <w:pPr>
              <w:pStyle w:val="A-"/>
              <w:spacing w:line="260" w:lineRule="exact"/>
            </w:pPr>
          </w:p>
        </w:tc>
        <w:tc>
          <w:tcPr>
            <w:tcW w:w="1147" w:type="dxa"/>
            <w:noWrap/>
            <w:vAlign w:val="center"/>
          </w:tcPr>
          <w:p w14:paraId="79D78449" w14:textId="77777777" w:rsidR="002E474C" w:rsidRDefault="00000000">
            <w:pPr>
              <w:pStyle w:val="A-"/>
              <w:spacing w:line="260" w:lineRule="exact"/>
              <w:ind w:leftChars="-25" w:left="-53" w:rightChars="-25" w:right="-53"/>
            </w:pPr>
            <w:r>
              <w:t>263-010-04</w:t>
            </w:r>
          </w:p>
        </w:tc>
        <w:tc>
          <w:tcPr>
            <w:tcW w:w="4991" w:type="dxa"/>
            <w:noWrap/>
            <w:vAlign w:val="center"/>
          </w:tcPr>
          <w:p w14:paraId="5BFAD68F" w14:textId="77777777" w:rsidR="002E474C" w:rsidRDefault="00000000">
            <w:pPr>
              <w:pStyle w:val="A-"/>
              <w:spacing w:line="260" w:lineRule="exact"/>
            </w:pPr>
            <w:r>
              <w:t>农药生产过程中产生的废滤料及吸附剂</w:t>
            </w:r>
          </w:p>
        </w:tc>
        <w:tc>
          <w:tcPr>
            <w:tcW w:w="663" w:type="dxa"/>
            <w:noWrap/>
            <w:vAlign w:val="center"/>
          </w:tcPr>
          <w:p w14:paraId="41061779" w14:textId="77777777" w:rsidR="002E474C" w:rsidRDefault="00000000">
            <w:pPr>
              <w:pStyle w:val="A-"/>
              <w:spacing w:line="260" w:lineRule="exact"/>
            </w:pPr>
            <w:r>
              <w:t>T</w:t>
            </w:r>
          </w:p>
        </w:tc>
      </w:tr>
      <w:tr w:rsidR="002E474C" w14:paraId="7CAB66E6" w14:textId="77777777">
        <w:trPr>
          <w:trHeight w:val="300"/>
        </w:trPr>
        <w:tc>
          <w:tcPr>
            <w:tcW w:w="828" w:type="dxa"/>
            <w:vMerge/>
            <w:vAlign w:val="center"/>
          </w:tcPr>
          <w:p w14:paraId="4274D8AC" w14:textId="77777777" w:rsidR="002E474C" w:rsidRDefault="002E474C">
            <w:pPr>
              <w:pStyle w:val="A-"/>
              <w:spacing w:line="260" w:lineRule="exact"/>
            </w:pPr>
          </w:p>
        </w:tc>
        <w:tc>
          <w:tcPr>
            <w:tcW w:w="893" w:type="dxa"/>
            <w:vMerge/>
            <w:vAlign w:val="center"/>
          </w:tcPr>
          <w:p w14:paraId="17A91867" w14:textId="77777777" w:rsidR="002E474C" w:rsidRDefault="002E474C">
            <w:pPr>
              <w:pStyle w:val="A-"/>
              <w:spacing w:line="260" w:lineRule="exact"/>
            </w:pPr>
          </w:p>
        </w:tc>
        <w:tc>
          <w:tcPr>
            <w:tcW w:w="1147" w:type="dxa"/>
            <w:noWrap/>
            <w:vAlign w:val="center"/>
          </w:tcPr>
          <w:p w14:paraId="4D19D9B2" w14:textId="77777777" w:rsidR="002E474C" w:rsidRDefault="00000000">
            <w:pPr>
              <w:pStyle w:val="A-"/>
              <w:spacing w:line="260" w:lineRule="exact"/>
              <w:ind w:leftChars="-25" w:left="-53" w:rightChars="-25" w:right="-53"/>
            </w:pPr>
            <w:r>
              <w:t>263-011-04</w:t>
            </w:r>
          </w:p>
        </w:tc>
        <w:tc>
          <w:tcPr>
            <w:tcW w:w="4991" w:type="dxa"/>
            <w:noWrap/>
            <w:vAlign w:val="center"/>
          </w:tcPr>
          <w:p w14:paraId="73C156EE" w14:textId="77777777" w:rsidR="002E474C" w:rsidRDefault="00000000">
            <w:pPr>
              <w:pStyle w:val="A-"/>
              <w:spacing w:line="260" w:lineRule="exact"/>
            </w:pPr>
            <w:r>
              <w:t>农药生产过程中产生的废水处理污泥（不包括赤霉酸生产废水生化处理污泥）和蒸发处理残渣（液）</w:t>
            </w:r>
          </w:p>
        </w:tc>
        <w:tc>
          <w:tcPr>
            <w:tcW w:w="663" w:type="dxa"/>
            <w:noWrap/>
            <w:vAlign w:val="center"/>
          </w:tcPr>
          <w:p w14:paraId="5B30DD6C" w14:textId="77777777" w:rsidR="002E474C" w:rsidRDefault="00000000">
            <w:pPr>
              <w:pStyle w:val="A-"/>
              <w:spacing w:line="260" w:lineRule="exact"/>
            </w:pPr>
            <w:r>
              <w:t>T</w:t>
            </w:r>
          </w:p>
        </w:tc>
      </w:tr>
      <w:tr w:rsidR="002E474C" w14:paraId="7BA52709" w14:textId="77777777">
        <w:trPr>
          <w:trHeight w:val="300"/>
        </w:trPr>
        <w:tc>
          <w:tcPr>
            <w:tcW w:w="828" w:type="dxa"/>
            <w:vMerge/>
            <w:vAlign w:val="center"/>
          </w:tcPr>
          <w:p w14:paraId="5697909F" w14:textId="77777777" w:rsidR="002E474C" w:rsidRDefault="002E474C">
            <w:pPr>
              <w:pStyle w:val="A-"/>
              <w:spacing w:line="260" w:lineRule="exact"/>
            </w:pPr>
          </w:p>
        </w:tc>
        <w:tc>
          <w:tcPr>
            <w:tcW w:w="893" w:type="dxa"/>
            <w:vMerge/>
            <w:vAlign w:val="center"/>
          </w:tcPr>
          <w:p w14:paraId="0F940266" w14:textId="77777777" w:rsidR="002E474C" w:rsidRDefault="002E474C">
            <w:pPr>
              <w:pStyle w:val="A-"/>
              <w:spacing w:line="260" w:lineRule="exact"/>
            </w:pPr>
          </w:p>
        </w:tc>
        <w:tc>
          <w:tcPr>
            <w:tcW w:w="1147" w:type="dxa"/>
            <w:noWrap/>
            <w:vAlign w:val="center"/>
          </w:tcPr>
          <w:p w14:paraId="3C2CC657" w14:textId="77777777" w:rsidR="002E474C" w:rsidRDefault="00000000">
            <w:pPr>
              <w:pStyle w:val="A-"/>
              <w:spacing w:line="260" w:lineRule="exact"/>
              <w:ind w:leftChars="-25" w:left="-53" w:rightChars="-25" w:right="-53"/>
            </w:pPr>
            <w:r>
              <w:t>263-012-04</w:t>
            </w:r>
          </w:p>
        </w:tc>
        <w:tc>
          <w:tcPr>
            <w:tcW w:w="4991" w:type="dxa"/>
            <w:noWrap/>
            <w:vAlign w:val="center"/>
          </w:tcPr>
          <w:p w14:paraId="1CC1D5CB" w14:textId="77777777" w:rsidR="002E474C" w:rsidRDefault="00000000">
            <w:pPr>
              <w:pStyle w:val="A-"/>
              <w:spacing w:line="260" w:lineRule="exact"/>
            </w:pPr>
            <w:r>
              <w:t>农药生产、配制过程中产生的过期原料和废弃产品</w:t>
            </w:r>
          </w:p>
        </w:tc>
        <w:tc>
          <w:tcPr>
            <w:tcW w:w="663" w:type="dxa"/>
            <w:noWrap/>
            <w:vAlign w:val="center"/>
          </w:tcPr>
          <w:p w14:paraId="53338C96" w14:textId="77777777" w:rsidR="002E474C" w:rsidRDefault="00000000">
            <w:pPr>
              <w:pStyle w:val="A-"/>
              <w:spacing w:line="260" w:lineRule="exact"/>
            </w:pPr>
            <w:r>
              <w:t>T</w:t>
            </w:r>
          </w:p>
        </w:tc>
      </w:tr>
      <w:tr w:rsidR="002E474C" w14:paraId="3D976C22" w14:textId="77777777">
        <w:trPr>
          <w:trHeight w:val="300"/>
        </w:trPr>
        <w:tc>
          <w:tcPr>
            <w:tcW w:w="828" w:type="dxa"/>
            <w:vMerge/>
            <w:vAlign w:val="center"/>
          </w:tcPr>
          <w:p w14:paraId="09D78E97" w14:textId="77777777" w:rsidR="002E474C" w:rsidRDefault="002E474C">
            <w:pPr>
              <w:pStyle w:val="A-"/>
              <w:spacing w:line="260" w:lineRule="exact"/>
            </w:pPr>
          </w:p>
        </w:tc>
        <w:tc>
          <w:tcPr>
            <w:tcW w:w="893" w:type="dxa"/>
            <w:noWrap/>
            <w:vAlign w:val="center"/>
          </w:tcPr>
          <w:p w14:paraId="2D85F652" w14:textId="77777777" w:rsidR="002E474C" w:rsidRDefault="00000000">
            <w:pPr>
              <w:pStyle w:val="A-"/>
              <w:spacing w:line="260" w:lineRule="exact"/>
            </w:pPr>
            <w:r>
              <w:t>非特定行业</w:t>
            </w:r>
          </w:p>
        </w:tc>
        <w:tc>
          <w:tcPr>
            <w:tcW w:w="1147" w:type="dxa"/>
            <w:noWrap/>
            <w:vAlign w:val="center"/>
          </w:tcPr>
          <w:p w14:paraId="07477BDD" w14:textId="77777777" w:rsidR="002E474C" w:rsidRDefault="00000000">
            <w:pPr>
              <w:pStyle w:val="A-"/>
              <w:spacing w:line="260" w:lineRule="exact"/>
              <w:ind w:leftChars="-25" w:left="-53" w:rightChars="-25" w:right="-53"/>
            </w:pPr>
            <w:r>
              <w:t>900-003-04</w:t>
            </w:r>
          </w:p>
        </w:tc>
        <w:tc>
          <w:tcPr>
            <w:tcW w:w="4991" w:type="dxa"/>
            <w:noWrap/>
            <w:vAlign w:val="center"/>
          </w:tcPr>
          <w:p w14:paraId="5C67791E" w14:textId="77777777" w:rsidR="002E474C" w:rsidRDefault="00000000">
            <w:pPr>
              <w:pStyle w:val="A-"/>
              <w:spacing w:line="260" w:lineRule="exact"/>
            </w:pPr>
            <w:r>
              <w:t>销售及使用过程中产生的失效、变质、不合格、淘汰、伪劣的农药产品，</w:t>
            </w:r>
            <w:r>
              <w:t xml:space="preserve"> </w:t>
            </w:r>
            <w:r>
              <w:t>以及废弃的与农药直接接触或者含有农药残余物的包装物</w:t>
            </w:r>
          </w:p>
        </w:tc>
        <w:tc>
          <w:tcPr>
            <w:tcW w:w="663" w:type="dxa"/>
            <w:noWrap/>
            <w:vAlign w:val="center"/>
          </w:tcPr>
          <w:p w14:paraId="089E57B5" w14:textId="77777777" w:rsidR="002E474C" w:rsidRDefault="00000000">
            <w:pPr>
              <w:pStyle w:val="A-"/>
              <w:spacing w:line="260" w:lineRule="exact"/>
            </w:pPr>
            <w:r>
              <w:t>T</w:t>
            </w:r>
          </w:p>
        </w:tc>
      </w:tr>
      <w:tr w:rsidR="002E474C" w14:paraId="0EDB07E3" w14:textId="77777777">
        <w:trPr>
          <w:trHeight w:val="300"/>
        </w:trPr>
        <w:tc>
          <w:tcPr>
            <w:tcW w:w="828" w:type="dxa"/>
            <w:vMerge w:val="restart"/>
            <w:noWrap/>
            <w:vAlign w:val="center"/>
          </w:tcPr>
          <w:p w14:paraId="751C22B9" w14:textId="77777777" w:rsidR="002E474C" w:rsidRDefault="00000000">
            <w:pPr>
              <w:pStyle w:val="A-"/>
              <w:spacing w:line="260" w:lineRule="exact"/>
            </w:pPr>
            <w:r>
              <w:t>HW05</w:t>
            </w:r>
            <w:r>
              <w:br/>
            </w:r>
            <w:r>
              <w:t>木材防腐剂废物</w:t>
            </w:r>
          </w:p>
        </w:tc>
        <w:tc>
          <w:tcPr>
            <w:tcW w:w="893" w:type="dxa"/>
            <w:vMerge w:val="restart"/>
            <w:noWrap/>
            <w:vAlign w:val="center"/>
          </w:tcPr>
          <w:p w14:paraId="536D1342" w14:textId="77777777" w:rsidR="002E474C" w:rsidRDefault="00000000">
            <w:pPr>
              <w:pStyle w:val="A-"/>
              <w:spacing w:line="260" w:lineRule="exact"/>
            </w:pPr>
            <w:r>
              <w:t>木材加工</w:t>
            </w:r>
          </w:p>
        </w:tc>
        <w:tc>
          <w:tcPr>
            <w:tcW w:w="1147" w:type="dxa"/>
            <w:noWrap/>
            <w:vAlign w:val="center"/>
          </w:tcPr>
          <w:p w14:paraId="1A88B527" w14:textId="77777777" w:rsidR="002E474C" w:rsidRDefault="00000000">
            <w:pPr>
              <w:pStyle w:val="A-"/>
              <w:spacing w:line="260" w:lineRule="exact"/>
              <w:ind w:leftChars="-25" w:left="-53" w:rightChars="-25" w:right="-53"/>
            </w:pPr>
            <w:r>
              <w:t>201-001-05</w:t>
            </w:r>
          </w:p>
        </w:tc>
        <w:tc>
          <w:tcPr>
            <w:tcW w:w="4991" w:type="dxa"/>
            <w:noWrap/>
            <w:vAlign w:val="center"/>
          </w:tcPr>
          <w:p w14:paraId="099A5B69" w14:textId="77777777" w:rsidR="002E474C" w:rsidRDefault="00000000">
            <w:pPr>
              <w:pStyle w:val="A-"/>
              <w:spacing w:line="260" w:lineRule="exact"/>
              <w:ind w:leftChars="-25" w:left="-53" w:rightChars="-25" w:right="-53"/>
            </w:pPr>
            <w:r>
              <w:rPr>
                <w:spacing w:val="-11"/>
              </w:rPr>
              <w:t>使用五氯酚进行木材防腐过程中产生的废水处理污泥，</w:t>
            </w:r>
            <w:r>
              <w:rPr>
                <w:spacing w:val="-11"/>
              </w:rPr>
              <w:t xml:space="preserve"> </w:t>
            </w:r>
            <w:r>
              <w:rPr>
                <w:spacing w:val="-11"/>
              </w:rPr>
              <w:t>以及木材防腐处理过程中产生的沾染该防腐剂的废弃木材残片</w:t>
            </w:r>
          </w:p>
        </w:tc>
        <w:tc>
          <w:tcPr>
            <w:tcW w:w="663" w:type="dxa"/>
            <w:noWrap/>
            <w:vAlign w:val="center"/>
          </w:tcPr>
          <w:p w14:paraId="01B16E24" w14:textId="77777777" w:rsidR="002E474C" w:rsidRDefault="00000000">
            <w:pPr>
              <w:pStyle w:val="A-"/>
              <w:spacing w:line="260" w:lineRule="exact"/>
            </w:pPr>
            <w:r>
              <w:t>T</w:t>
            </w:r>
          </w:p>
        </w:tc>
      </w:tr>
      <w:tr w:rsidR="002E474C" w14:paraId="7B7C4CA5" w14:textId="77777777">
        <w:trPr>
          <w:trHeight w:val="300"/>
        </w:trPr>
        <w:tc>
          <w:tcPr>
            <w:tcW w:w="828" w:type="dxa"/>
            <w:vMerge/>
            <w:vAlign w:val="center"/>
          </w:tcPr>
          <w:p w14:paraId="03CA5AC6" w14:textId="77777777" w:rsidR="002E474C" w:rsidRDefault="002E474C">
            <w:pPr>
              <w:pStyle w:val="A-"/>
              <w:spacing w:line="260" w:lineRule="exact"/>
            </w:pPr>
          </w:p>
        </w:tc>
        <w:tc>
          <w:tcPr>
            <w:tcW w:w="893" w:type="dxa"/>
            <w:vMerge/>
            <w:vAlign w:val="center"/>
          </w:tcPr>
          <w:p w14:paraId="0509171B" w14:textId="77777777" w:rsidR="002E474C" w:rsidRDefault="002E474C">
            <w:pPr>
              <w:pStyle w:val="A-"/>
              <w:spacing w:line="260" w:lineRule="exact"/>
            </w:pPr>
          </w:p>
        </w:tc>
        <w:tc>
          <w:tcPr>
            <w:tcW w:w="1147" w:type="dxa"/>
            <w:noWrap/>
            <w:vAlign w:val="center"/>
          </w:tcPr>
          <w:p w14:paraId="48C80AA0" w14:textId="77777777" w:rsidR="002E474C" w:rsidRDefault="00000000">
            <w:pPr>
              <w:pStyle w:val="A-"/>
              <w:spacing w:line="260" w:lineRule="exact"/>
              <w:ind w:leftChars="-25" w:left="-53" w:rightChars="-25" w:right="-53"/>
            </w:pPr>
            <w:r>
              <w:t>201-002-05</w:t>
            </w:r>
          </w:p>
        </w:tc>
        <w:tc>
          <w:tcPr>
            <w:tcW w:w="4991" w:type="dxa"/>
            <w:noWrap/>
            <w:vAlign w:val="center"/>
          </w:tcPr>
          <w:p w14:paraId="3D4C6F39" w14:textId="77777777" w:rsidR="002E474C" w:rsidRDefault="00000000">
            <w:pPr>
              <w:pStyle w:val="A-"/>
              <w:spacing w:line="260" w:lineRule="exact"/>
            </w:pPr>
            <w:r>
              <w:t>使用杂酚油进行木材防腐过程中产生的废水处理污泥，</w:t>
            </w:r>
            <w:r>
              <w:t xml:space="preserve"> </w:t>
            </w:r>
            <w:r>
              <w:t>以及木材防腐处理过程中产生的沾染该防腐剂的废弃木材残片</w:t>
            </w:r>
          </w:p>
        </w:tc>
        <w:tc>
          <w:tcPr>
            <w:tcW w:w="663" w:type="dxa"/>
            <w:noWrap/>
            <w:vAlign w:val="center"/>
          </w:tcPr>
          <w:p w14:paraId="3853A20B" w14:textId="77777777" w:rsidR="002E474C" w:rsidRDefault="00000000">
            <w:pPr>
              <w:pStyle w:val="A-"/>
              <w:spacing w:line="260" w:lineRule="exact"/>
            </w:pPr>
            <w:r>
              <w:t>T</w:t>
            </w:r>
          </w:p>
        </w:tc>
      </w:tr>
      <w:tr w:rsidR="002E474C" w14:paraId="43AE15A1" w14:textId="77777777">
        <w:trPr>
          <w:trHeight w:val="300"/>
        </w:trPr>
        <w:tc>
          <w:tcPr>
            <w:tcW w:w="828" w:type="dxa"/>
            <w:vMerge/>
            <w:vAlign w:val="center"/>
          </w:tcPr>
          <w:p w14:paraId="6A954F2C" w14:textId="77777777" w:rsidR="002E474C" w:rsidRDefault="002E474C">
            <w:pPr>
              <w:pStyle w:val="A-"/>
              <w:spacing w:line="260" w:lineRule="exact"/>
            </w:pPr>
          </w:p>
        </w:tc>
        <w:tc>
          <w:tcPr>
            <w:tcW w:w="893" w:type="dxa"/>
            <w:vMerge/>
            <w:vAlign w:val="center"/>
          </w:tcPr>
          <w:p w14:paraId="7D0B4749" w14:textId="77777777" w:rsidR="002E474C" w:rsidRDefault="002E474C">
            <w:pPr>
              <w:pStyle w:val="A-"/>
              <w:spacing w:line="260" w:lineRule="exact"/>
            </w:pPr>
          </w:p>
        </w:tc>
        <w:tc>
          <w:tcPr>
            <w:tcW w:w="1147" w:type="dxa"/>
            <w:noWrap/>
            <w:vAlign w:val="center"/>
          </w:tcPr>
          <w:p w14:paraId="34BAC8D6" w14:textId="77777777" w:rsidR="002E474C" w:rsidRDefault="00000000">
            <w:pPr>
              <w:pStyle w:val="A-"/>
              <w:spacing w:line="260" w:lineRule="exact"/>
              <w:ind w:leftChars="-25" w:left="-53" w:rightChars="-25" w:right="-53"/>
            </w:pPr>
            <w:r>
              <w:t>201-003-05</w:t>
            </w:r>
          </w:p>
        </w:tc>
        <w:tc>
          <w:tcPr>
            <w:tcW w:w="4991" w:type="dxa"/>
            <w:noWrap/>
            <w:vAlign w:val="center"/>
          </w:tcPr>
          <w:p w14:paraId="7CB78365" w14:textId="77777777" w:rsidR="002E474C" w:rsidRDefault="00000000">
            <w:pPr>
              <w:pStyle w:val="A-"/>
              <w:spacing w:line="260" w:lineRule="exact"/>
            </w:pPr>
            <w:r>
              <w:t>使用含砷、铬等无机防腐剂进行木材防腐过程中产生的废水处理污泥，以及木材防腐处理过程中产生的沾染该防腐剂的废弃木材残片</w:t>
            </w:r>
          </w:p>
        </w:tc>
        <w:tc>
          <w:tcPr>
            <w:tcW w:w="663" w:type="dxa"/>
            <w:noWrap/>
            <w:vAlign w:val="center"/>
          </w:tcPr>
          <w:p w14:paraId="2738A8BD" w14:textId="77777777" w:rsidR="002E474C" w:rsidRDefault="00000000">
            <w:pPr>
              <w:pStyle w:val="A-"/>
              <w:spacing w:line="260" w:lineRule="exact"/>
            </w:pPr>
            <w:r>
              <w:t>T</w:t>
            </w:r>
          </w:p>
        </w:tc>
      </w:tr>
      <w:tr w:rsidR="002E474C" w14:paraId="0398E91D" w14:textId="77777777">
        <w:trPr>
          <w:trHeight w:val="300"/>
        </w:trPr>
        <w:tc>
          <w:tcPr>
            <w:tcW w:w="828" w:type="dxa"/>
            <w:vMerge/>
            <w:vAlign w:val="center"/>
          </w:tcPr>
          <w:p w14:paraId="08809975" w14:textId="77777777" w:rsidR="002E474C" w:rsidRDefault="002E474C">
            <w:pPr>
              <w:pStyle w:val="A-"/>
              <w:spacing w:line="260" w:lineRule="exact"/>
            </w:pPr>
          </w:p>
        </w:tc>
        <w:tc>
          <w:tcPr>
            <w:tcW w:w="893" w:type="dxa"/>
            <w:vMerge w:val="restart"/>
            <w:noWrap/>
            <w:vAlign w:val="center"/>
          </w:tcPr>
          <w:p w14:paraId="488BDA6C" w14:textId="77777777" w:rsidR="002E474C" w:rsidRDefault="00000000">
            <w:pPr>
              <w:pStyle w:val="A-"/>
              <w:spacing w:line="260" w:lineRule="exact"/>
            </w:pPr>
            <w:r>
              <w:t>专用化学产品制造</w:t>
            </w:r>
          </w:p>
        </w:tc>
        <w:tc>
          <w:tcPr>
            <w:tcW w:w="1147" w:type="dxa"/>
            <w:noWrap/>
            <w:vAlign w:val="center"/>
          </w:tcPr>
          <w:p w14:paraId="38472E90" w14:textId="77777777" w:rsidR="002E474C" w:rsidRDefault="00000000">
            <w:pPr>
              <w:pStyle w:val="A-"/>
              <w:spacing w:line="260" w:lineRule="exact"/>
              <w:ind w:leftChars="-25" w:left="-53" w:rightChars="-25" w:right="-53"/>
            </w:pPr>
            <w:r>
              <w:t>266-001-05</w:t>
            </w:r>
          </w:p>
        </w:tc>
        <w:tc>
          <w:tcPr>
            <w:tcW w:w="4991" w:type="dxa"/>
            <w:noWrap/>
            <w:vAlign w:val="center"/>
          </w:tcPr>
          <w:p w14:paraId="1DD20F2D" w14:textId="77777777" w:rsidR="002E474C" w:rsidRDefault="00000000">
            <w:pPr>
              <w:pStyle w:val="A-"/>
              <w:spacing w:line="260" w:lineRule="exact"/>
            </w:pPr>
            <w:r>
              <w:t>木材防腐化学品生产过程中产生的反应残余物、废过滤介质及吸附剂</w:t>
            </w:r>
          </w:p>
        </w:tc>
        <w:tc>
          <w:tcPr>
            <w:tcW w:w="663" w:type="dxa"/>
            <w:noWrap/>
            <w:vAlign w:val="center"/>
          </w:tcPr>
          <w:p w14:paraId="1E9CE20E" w14:textId="77777777" w:rsidR="002E474C" w:rsidRDefault="00000000">
            <w:pPr>
              <w:pStyle w:val="A-"/>
              <w:spacing w:line="260" w:lineRule="exact"/>
            </w:pPr>
            <w:r>
              <w:t>T</w:t>
            </w:r>
          </w:p>
        </w:tc>
      </w:tr>
      <w:tr w:rsidR="002E474C" w14:paraId="22A81190" w14:textId="77777777">
        <w:trPr>
          <w:trHeight w:val="300"/>
        </w:trPr>
        <w:tc>
          <w:tcPr>
            <w:tcW w:w="828" w:type="dxa"/>
            <w:vMerge/>
            <w:vAlign w:val="center"/>
          </w:tcPr>
          <w:p w14:paraId="1C33AF97" w14:textId="77777777" w:rsidR="002E474C" w:rsidRDefault="002E474C">
            <w:pPr>
              <w:pStyle w:val="A-"/>
              <w:spacing w:line="260" w:lineRule="exact"/>
            </w:pPr>
          </w:p>
        </w:tc>
        <w:tc>
          <w:tcPr>
            <w:tcW w:w="893" w:type="dxa"/>
            <w:vMerge/>
            <w:vAlign w:val="center"/>
          </w:tcPr>
          <w:p w14:paraId="05E3F439" w14:textId="77777777" w:rsidR="002E474C" w:rsidRDefault="002E474C">
            <w:pPr>
              <w:pStyle w:val="A-"/>
              <w:spacing w:line="260" w:lineRule="exact"/>
            </w:pPr>
          </w:p>
        </w:tc>
        <w:tc>
          <w:tcPr>
            <w:tcW w:w="1147" w:type="dxa"/>
            <w:noWrap/>
            <w:vAlign w:val="center"/>
          </w:tcPr>
          <w:p w14:paraId="151CE34F" w14:textId="77777777" w:rsidR="002E474C" w:rsidRDefault="00000000">
            <w:pPr>
              <w:pStyle w:val="A-"/>
              <w:spacing w:line="260" w:lineRule="exact"/>
              <w:ind w:leftChars="-25" w:left="-53" w:rightChars="-25" w:right="-53"/>
            </w:pPr>
            <w:r>
              <w:t>266-002-05</w:t>
            </w:r>
          </w:p>
        </w:tc>
        <w:tc>
          <w:tcPr>
            <w:tcW w:w="4991" w:type="dxa"/>
            <w:noWrap/>
            <w:vAlign w:val="center"/>
          </w:tcPr>
          <w:p w14:paraId="104914CF" w14:textId="77777777" w:rsidR="002E474C" w:rsidRDefault="00000000">
            <w:pPr>
              <w:pStyle w:val="A-"/>
              <w:spacing w:line="260" w:lineRule="exact"/>
            </w:pPr>
            <w:r>
              <w:t>木材防腐化学品生产过程中产生的废水处理污泥</w:t>
            </w:r>
          </w:p>
        </w:tc>
        <w:tc>
          <w:tcPr>
            <w:tcW w:w="663" w:type="dxa"/>
            <w:noWrap/>
            <w:vAlign w:val="center"/>
          </w:tcPr>
          <w:p w14:paraId="5EB00B22" w14:textId="77777777" w:rsidR="002E474C" w:rsidRDefault="00000000">
            <w:pPr>
              <w:pStyle w:val="A-"/>
              <w:spacing w:line="260" w:lineRule="exact"/>
            </w:pPr>
            <w:r>
              <w:t>T</w:t>
            </w:r>
          </w:p>
        </w:tc>
      </w:tr>
      <w:tr w:rsidR="002E474C" w14:paraId="0FAAA8C2" w14:textId="77777777">
        <w:trPr>
          <w:trHeight w:val="300"/>
        </w:trPr>
        <w:tc>
          <w:tcPr>
            <w:tcW w:w="828" w:type="dxa"/>
            <w:vMerge/>
            <w:vAlign w:val="center"/>
          </w:tcPr>
          <w:p w14:paraId="24B67E9B" w14:textId="77777777" w:rsidR="002E474C" w:rsidRDefault="002E474C">
            <w:pPr>
              <w:pStyle w:val="A-"/>
              <w:spacing w:line="260" w:lineRule="exact"/>
            </w:pPr>
          </w:p>
        </w:tc>
        <w:tc>
          <w:tcPr>
            <w:tcW w:w="893" w:type="dxa"/>
            <w:vMerge/>
            <w:vAlign w:val="center"/>
          </w:tcPr>
          <w:p w14:paraId="0823CA1E" w14:textId="77777777" w:rsidR="002E474C" w:rsidRDefault="002E474C">
            <w:pPr>
              <w:pStyle w:val="A-"/>
              <w:spacing w:line="260" w:lineRule="exact"/>
            </w:pPr>
          </w:p>
        </w:tc>
        <w:tc>
          <w:tcPr>
            <w:tcW w:w="1147" w:type="dxa"/>
            <w:noWrap/>
            <w:vAlign w:val="center"/>
          </w:tcPr>
          <w:p w14:paraId="600D9127" w14:textId="77777777" w:rsidR="002E474C" w:rsidRDefault="00000000">
            <w:pPr>
              <w:pStyle w:val="A-"/>
              <w:spacing w:line="260" w:lineRule="exact"/>
              <w:ind w:leftChars="-25" w:left="-53" w:rightChars="-25" w:right="-53"/>
            </w:pPr>
            <w:r>
              <w:t>266-003-05</w:t>
            </w:r>
          </w:p>
        </w:tc>
        <w:tc>
          <w:tcPr>
            <w:tcW w:w="4991" w:type="dxa"/>
            <w:noWrap/>
            <w:vAlign w:val="center"/>
          </w:tcPr>
          <w:p w14:paraId="03865E1D" w14:textId="77777777" w:rsidR="002E474C" w:rsidRDefault="00000000">
            <w:pPr>
              <w:pStyle w:val="A-"/>
              <w:spacing w:line="260" w:lineRule="exact"/>
            </w:pPr>
            <w:r>
              <w:t>木材防腐化学品生产、配制过程中产生的过期原料和废弃产品</w:t>
            </w:r>
          </w:p>
        </w:tc>
        <w:tc>
          <w:tcPr>
            <w:tcW w:w="663" w:type="dxa"/>
            <w:noWrap/>
            <w:vAlign w:val="center"/>
          </w:tcPr>
          <w:p w14:paraId="54D522F3" w14:textId="77777777" w:rsidR="002E474C" w:rsidRDefault="00000000">
            <w:pPr>
              <w:pStyle w:val="A-"/>
              <w:spacing w:line="260" w:lineRule="exact"/>
            </w:pPr>
            <w:r>
              <w:t>T</w:t>
            </w:r>
          </w:p>
        </w:tc>
      </w:tr>
      <w:tr w:rsidR="002E474C" w14:paraId="27104EFB" w14:textId="77777777">
        <w:trPr>
          <w:trHeight w:val="300"/>
        </w:trPr>
        <w:tc>
          <w:tcPr>
            <w:tcW w:w="828" w:type="dxa"/>
            <w:vMerge/>
            <w:vAlign w:val="center"/>
          </w:tcPr>
          <w:p w14:paraId="2118E435" w14:textId="77777777" w:rsidR="002E474C" w:rsidRDefault="002E474C">
            <w:pPr>
              <w:pStyle w:val="A-"/>
              <w:spacing w:line="260" w:lineRule="exact"/>
            </w:pPr>
          </w:p>
        </w:tc>
        <w:tc>
          <w:tcPr>
            <w:tcW w:w="893" w:type="dxa"/>
            <w:noWrap/>
            <w:vAlign w:val="center"/>
          </w:tcPr>
          <w:p w14:paraId="52F794E7" w14:textId="77777777" w:rsidR="002E474C" w:rsidRDefault="00000000">
            <w:pPr>
              <w:pStyle w:val="A-"/>
              <w:spacing w:line="260" w:lineRule="exact"/>
            </w:pPr>
            <w:r>
              <w:t>非特定行业</w:t>
            </w:r>
          </w:p>
        </w:tc>
        <w:tc>
          <w:tcPr>
            <w:tcW w:w="1147" w:type="dxa"/>
            <w:noWrap/>
            <w:vAlign w:val="center"/>
          </w:tcPr>
          <w:p w14:paraId="7F183EFA" w14:textId="77777777" w:rsidR="002E474C" w:rsidRDefault="00000000">
            <w:pPr>
              <w:pStyle w:val="A-"/>
              <w:spacing w:line="260" w:lineRule="exact"/>
              <w:ind w:leftChars="-25" w:left="-53" w:rightChars="-25" w:right="-53"/>
            </w:pPr>
            <w:r>
              <w:t>900-004-05</w:t>
            </w:r>
          </w:p>
        </w:tc>
        <w:tc>
          <w:tcPr>
            <w:tcW w:w="4991" w:type="dxa"/>
            <w:noWrap/>
            <w:vAlign w:val="center"/>
          </w:tcPr>
          <w:p w14:paraId="6034ED96" w14:textId="77777777" w:rsidR="002E474C" w:rsidRDefault="00000000">
            <w:pPr>
              <w:pStyle w:val="A-"/>
              <w:spacing w:line="260" w:lineRule="exact"/>
            </w:pPr>
            <w:r>
              <w:t>销售及使用过程中产生的失效、变质、不合格、淘汰、伪劣的木材防腐化学药品</w:t>
            </w:r>
          </w:p>
        </w:tc>
        <w:tc>
          <w:tcPr>
            <w:tcW w:w="663" w:type="dxa"/>
            <w:noWrap/>
            <w:vAlign w:val="center"/>
          </w:tcPr>
          <w:p w14:paraId="698B7B91" w14:textId="77777777" w:rsidR="002E474C" w:rsidRDefault="00000000">
            <w:pPr>
              <w:pStyle w:val="A-"/>
              <w:spacing w:line="260" w:lineRule="exact"/>
            </w:pPr>
            <w:r>
              <w:t>T</w:t>
            </w:r>
          </w:p>
        </w:tc>
      </w:tr>
      <w:tr w:rsidR="002E474C" w14:paraId="063FB7C6" w14:textId="77777777">
        <w:trPr>
          <w:trHeight w:val="300"/>
        </w:trPr>
        <w:tc>
          <w:tcPr>
            <w:tcW w:w="828" w:type="dxa"/>
            <w:vMerge w:val="restart"/>
            <w:noWrap/>
            <w:vAlign w:val="center"/>
          </w:tcPr>
          <w:p w14:paraId="37B2BCD7" w14:textId="77777777" w:rsidR="002E474C" w:rsidRDefault="00000000">
            <w:pPr>
              <w:pStyle w:val="A-"/>
              <w:spacing w:line="260" w:lineRule="exact"/>
            </w:pPr>
            <w:r>
              <w:t>HW06</w:t>
            </w:r>
            <w:r>
              <w:br/>
            </w:r>
            <w:r>
              <w:t>废有机溶剂与含有机溶剂废物</w:t>
            </w:r>
          </w:p>
        </w:tc>
        <w:tc>
          <w:tcPr>
            <w:tcW w:w="893" w:type="dxa"/>
            <w:vMerge w:val="restart"/>
            <w:noWrap/>
            <w:vAlign w:val="center"/>
          </w:tcPr>
          <w:p w14:paraId="5F034CC9" w14:textId="77777777" w:rsidR="002E474C" w:rsidRDefault="00000000">
            <w:pPr>
              <w:pStyle w:val="A-"/>
              <w:spacing w:line="260" w:lineRule="exact"/>
            </w:pPr>
            <w:r>
              <w:t>非特定行业</w:t>
            </w:r>
          </w:p>
        </w:tc>
        <w:tc>
          <w:tcPr>
            <w:tcW w:w="1147" w:type="dxa"/>
            <w:noWrap/>
            <w:vAlign w:val="center"/>
          </w:tcPr>
          <w:p w14:paraId="1CA59C34" w14:textId="77777777" w:rsidR="002E474C" w:rsidRDefault="00000000">
            <w:pPr>
              <w:pStyle w:val="A-"/>
              <w:spacing w:line="260" w:lineRule="exact"/>
              <w:ind w:leftChars="-25" w:left="-53" w:rightChars="-25" w:right="-53"/>
            </w:pPr>
            <w:r>
              <w:t>900-401-06</w:t>
            </w:r>
          </w:p>
        </w:tc>
        <w:tc>
          <w:tcPr>
            <w:tcW w:w="4991" w:type="dxa"/>
            <w:noWrap/>
            <w:vAlign w:val="center"/>
          </w:tcPr>
          <w:p w14:paraId="186640EC" w14:textId="77777777" w:rsidR="002E474C" w:rsidRDefault="00000000">
            <w:pPr>
              <w:pStyle w:val="A-"/>
              <w:spacing w:line="260" w:lineRule="exact"/>
            </w:pPr>
            <w:r>
              <w:t>工业生产中作为清洗剂、萃取剂、溶剂或者反应介质使用后废弃的四氯化碳、二氯甲烷、</w:t>
            </w:r>
            <w:r>
              <w:t>1,1-</w:t>
            </w:r>
            <w:r>
              <w:t>二氯乙烷、</w:t>
            </w:r>
            <w:r>
              <w:t>1,2-</w:t>
            </w:r>
            <w:r>
              <w:t>二氯乙烷、</w:t>
            </w:r>
            <w:r>
              <w:t>1,1,1-</w:t>
            </w:r>
            <w:r>
              <w:t>三氯乙烷、</w:t>
            </w:r>
            <w:r>
              <w:t>1,1,2-</w:t>
            </w:r>
            <w:r>
              <w:t>三氯乙烷、三氯乙烯、四氯乙烯，以及在使用前混合的含有一种或者多种上述卤化溶剂的混合</w:t>
            </w:r>
            <w:r>
              <w:t>/</w:t>
            </w:r>
            <w:r>
              <w:t>调和溶剂</w:t>
            </w:r>
          </w:p>
        </w:tc>
        <w:tc>
          <w:tcPr>
            <w:tcW w:w="663" w:type="dxa"/>
            <w:noWrap/>
            <w:vAlign w:val="center"/>
          </w:tcPr>
          <w:p w14:paraId="25D562E5" w14:textId="77777777" w:rsidR="002E474C" w:rsidRDefault="00000000">
            <w:pPr>
              <w:pStyle w:val="A-"/>
              <w:spacing w:line="260" w:lineRule="exact"/>
            </w:pPr>
            <w:r>
              <w:t>T</w:t>
            </w:r>
            <w:r>
              <w:t>，</w:t>
            </w:r>
            <w:r>
              <w:t>I</w:t>
            </w:r>
          </w:p>
        </w:tc>
      </w:tr>
      <w:tr w:rsidR="002E474C" w14:paraId="3BF2EAB0" w14:textId="77777777">
        <w:trPr>
          <w:trHeight w:val="300"/>
        </w:trPr>
        <w:tc>
          <w:tcPr>
            <w:tcW w:w="828" w:type="dxa"/>
            <w:vMerge/>
            <w:vAlign w:val="center"/>
          </w:tcPr>
          <w:p w14:paraId="5579CC78" w14:textId="77777777" w:rsidR="002E474C" w:rsidRDefault="002E474C">
            <w:pPr>
              <w:pStyle w:val="A-"/>
              <w:spacing w:line="260" w:lineRule="exact"/>
            </w:pPr>
          </w:p>
        </w:tc>
        <w:tc>
          <w:tcPr>
            <w:tcW w:w="893" w:type="dxa"/>
            <w:vMerge/>
            <w:vAlign w:val="center"/>
          </w:tcPr>
          <w:p w14:paraId="3CA5F182" w14:textId="77777777" w:rsidR="002E474C" w:rsidRDefault="002E474C">
            <w:pPr>
              <w:pStyle w:val="A-"/>
              <w:spacing w:line="260" w:lineRule="exact"/>
            </w:pPr>
          </w:p>
        </w:tc>
        <w:tc>
          <w:tcPr>
            <w:tcW w:w="1147" w:type="dxa"/>
            <w:noWrap/>
            <w:vAlign w:val="center"/>
          </w:tcPr>
          <w:p w14:paraId="452EE0DE" w14:textId="77777777" w:rsidR="002E474C" w:rsidRDefault="00000000">
            <w:pPr>
              <w:pStyle w:val="A-"/>
              <w:spacing w:line="260" w:lineRule="exact"/>
              <w:ind w:leftChars="-25" w:left="-53" w:rightChars="-25" w:right="-53"/>
            </w:pPr>
            <w:r>
              <w:t>900-402-06</w:t>
            </w:r>
          </w:p>
        </w:tc>
        <w:tc>
          <w:tcPr>
            <w:tcW w:w="4991" w:type="dxa"/>
            <w:noWrap/>
            <w:vAlign w:val="center"/>
          </w:tcPr>
          <w:p w14:paraId="327579EB" w14:textId="77777777" w:rsidR="002E474C" w:rsidRDefault="00000000">
            <w:pPr>
              <w:pStyle w:val="A-"/>
              <w:spacing w:line="260" w:lineRule="exact"/>
            </w:pPr>
            <w:r>
              <w:t>工业生产中作为清洗剂、萃取剂、溶剂或者反应介质使用后废弃的有机溶剂，包括苯、苯乙烯、丁醇、丙酮、正己烷、</w:t>
            </w:r>
            <w:r>
              <w:t xml:space="preserve"> </w:t>
            </w:r>
            <w:r>
              <w:t>甲苯、邻二甲苯、间二甲苯、对二甲苯、</w:t>
            </w:r>
            <w:r>
              <w:t>1,2,4-</w:t>
            </w:r>
            <w:r>
              <w:t>三甲苯、乙苯、乙醇、异丙醇、乙醚、丙醚、乙酸甲酯、乙酸乙酯、乙酸丁酯、丙酸丁酯、苯酚，以及在使用前混合的含有一种或者多种上述溶剂的混合</w:t>
            </w:r>
            <w:r>
              <w:t>/</w:t>
            </w:r>
            <w:r>
              <w:t>调和溶剂</w:t>
            </w:r>
          </w:p>
        </w:tc>
        <w:tc>
          <w:tcPr>
            <w:tcW w:w="663" w:type="dxa"/>
            <w:noWrap/>
            <w:vAlign w:val="center"/>
          </w:tcPr>
          <w:p w14:paraId="5FD2FAF8" w14:textId="77777777" w:rsidR="002E474C" w:rsidRDefault="00000000">
            <w:pPr>
              <w:pStyle w:val="A-"/>
              <w:spacing w:line="260" w:lineRule="exact"/>
            </w:pPr>
            <w:r>
              <w:t>T</w:t>
            </w:r>
            <w:r>
              <w:t>，</w:t>
            </w:r>
            <w:r>
              <w:t>I</w:t>
            </w:r>
            <w:r>
              <w:t>，</w:t>
            </w:r>
            <w:r>
              <w:t>R</w:t>
            </w:r>
          </w:p>
        </w:tc>
      </w:tr>
      <w:tr w:rsidR="002E474C" w14:paraId="2193A7C7" w14:textId="77777777">
        <w:trPr>
          <w:trHeight w:val="300"/>
        </w:trPr>
        <w:tc>
          <w:tcPr>
            <w:tcW w:w="828" w:type="dxa"/>
            <w:vMerge/>
            <w:vAlign w:val="center"/>
          </w:tcPr>
          <w:p w14:paraId="71223FAC" w14:textId="77777777" w:rsidR="002E474C" w:rsidRDefault="002E474C">
            <w:pPr>
              <w:pStyle w:val="A-"/>
              <w:spacing w:line="260" w:lineRule="exact"/>
            </w:pPr>
          </w:p>
        </w:tc>
        <w:tc>
          <w:tcPr>
            <w:tcW w:w="893" w:type="dxa"/>
            <w:vMerge/>
            <w:vAlign w:val="center"/>
          </w:tcPr>
          <w:p w14:paraId="49F18C3D" w14:textId="77777777" w:rsidR="002E474C" w:rsidRDefault="002E474C">
            <w:pPr>
              <w:pStyle w:val="A-"/>
              <w:spacing w:line="260" w:lineRule="exact"/>
            </w:pPr>
          </w:p>
        </w:tc>
        <w:tc>
          <w:tcPr>
            <w:tcW w:w="1147" w:type="dxa"/>
            <w:noWrap/>
            <w:vAlign w:val="center"/>
          </w:tcPr>
          <w:p w14:paraId="529DE995" w14:textId="77777777" w:rsidR="002E474C" w:rsidRDefault="00000000">
            <w:pPr>
              <w:pStyle w:val="A-"/>
              <w:spacing w:line="260" w:lineRule="exact"/>
              <w:ind w:leftChars="-25" w:left="-53" w:rightChars="-25" w:right="-53"/>
            </w:pPr>
            <w:r>
              <w:t>900-404-06</w:t>
            </w:r>
          </w:p>
        </w:tc>
        <w:tc>
          <w:tcPr>
            <w:tcW w:w="4991" w:type="dxa"/>
            <w:noWrap/>
            <w:vAlign w:val="center"/>
          </w:tcPr>
          <w:p w14:paraId="0F16E8C6" w14:textId="77777777" w:rsidR="002E474C" w:rsidRDefault="00000000">
            <w:pPr>
              <w:pStyle w:val="A-"/>
              <w:spacing w:line="260" w:lineRule="exact"/>
            </w:pPr>
            <w:r>
              <w:t>工业生产中作为清洗剂、萃取剂、溶剂或者反应介质使用后废弃的其他列入《危险化学品目录》的有机溶剂，</w:t>
            </w:r>
            <w:r>
              <w:t xml:space="preserve"> </w:t>
            </w:r>
            <w:r>
              <w:t>以及在使用前混合的含有一种或者多种上述溶剂的混合</w:t>
            </w:r>
            <w:r>
              <w:t>/</w:t>
            </w:r>
            <w:r>
              <w:t>调和溶剂</w:t>
            </w:r>
          </w:p>
        </w:tc>
        <w:tc>
          <w:tcPr>
            <w:tcW w:w="663" w:type="dxa"/>
            <w:noWrap/>
            <w:vAlign w:val="center"/>
          </w:tcPr>
          <w:p w14:paraId="7CECC021" w14:textId="77777777" w:rsidR="002E474C" w:rsidRDefault="00000000">
            <w:pPr>
              <w:pStyle w:val="A-"/>
              <w:spacing w:line="260" w:lineRule="exact"/>
            </w:pPr>
            <w:r>
              <w:t>T</w:t>
            </w:r>
            <w:r>
              <w:t>，</w:t>
            </w:r>
            <w:r>
              <w:t>I</w:t>
            </w:r>
            <w:r>
              <w:t>，</w:t>
            </w:r>
            <w:r>
              <w:t>R</w:t>
            </w:r>
          </w:p>
        </w:tc>
      </w:tr>
      <w:tr w:rsidR="002E474C" w14:paraId="3F37E990" w14:textId="77777777">
        <w:trPr>
          <w:trHeight w:val="300"/>
        </w:trPr>
        <w:tc>
          <w:tcPr>
            <w:tcW w:w="828" w:type="dxa"/>
            <w:vMerge/>
            <w:vAlign w:val="center"/>
          </w:tcPr>
          <w:p w14:paraId="38984573" w14:textId="77777777" w:rsidR="002E474C" w:rsidRDefault="002E474C">
            <w:pPr>
              <w:pStyle w:val="A-"/>
              <w:spacing w:line="260" w:lineRule="exact"/>
            </w:pPr>
          </w:p>
        </w:tc>
        <w:tc>
          <w:tcPr>
            <w:tcW w:w="893" w:type="dxa"/>
            <w:vMerge/>
            <w:vAlign w:val="center"/>
          </w:tcPr>
          <w:p w14:paraId="44AD238B" w14:textId="77777777" w:rsidR="002E474C" w:rsidRDefault="002E474C">
            <w:pPr>
              <w:pStyle w:val="A-"/>
              <w:spacing w:line="260" w:lineRule="exact"/>
            </w:pPr>
          </w:p>
        </w:tc>
        <w:tc>
          <w:tcPr>
            <w:tcW w:w="1147" w:type="dxa"/>
            <w:noWrap/>
            <w:vAlign w:val="center"/>
          </w:tcPr>
          <w:p w14:paraId="4139725F" w14:textId="77777777" w:rsidR="002E474C" w:rsidRDefault="00000000">
            <w:pPr>
              <w:pStyle w:val="A-"/>
              <w:spacing w:line="260" w:lineRule="exact"/>
              <w:ind w:leftChars="-25" w:left="-53" w:rightChars="-25" w:right="-53"/>
            </w:pPr>
            <w:r>
              <w:t>900-405-06</w:t>
            </w:r>
          </w:p>
        </w:tc>
        <w:tc>
          <w:tcPr>
            <w:tcW w:w="4991" w:type="dxa"/>
            <w:noWrap/>
            <w:vAlign w:val="center"/>
          </w:tcPr>
          <w:p w14:paraId="53E58F69" w14:textId="77777777" w:rsidR="002E474C" w:rsidRDefault="00000000">
            <w:pPr>
              <w:pStyle w:val="A-"/>
              <w:spacing w:line="260" w:lineRule="exact"/>
            </w:pPr>
            <w:r>
              <w:rPr>
                <w:spacing w:val="-6"/>
              </w:rPr>
              <w:t>900-401-06</w:t>
            </w:r>
            <w:r>
              <w:rPr>
                <w:spacing w:val="-6"/>
              </w:rPr>
              <w:t>、</w:t>
            </w:r>
            <w:r>
              <w:rPr>
                <w:spacing w:val="-6"/>
              </w:rPr>
              <w:t>900-402-06</w:t>
            </w:r>
            <w:r>
              <w:rPr>
                <w:spacing w:val="-6"/>
              </w:rPr>
              <w:t>、</w:t>
            </w:r>
            <w:r>
              <w:rPr>
                <w:spacing w:val="-6"/>
              </w:rPr>
              <w:t xml:space="preserve">900-404-06 </w:t>
            </w:r>
            <w:r>
              <w:rPr>
                <w:spacing w:val="-6"/>
              </w:rPr>
              <w:t>中所列废有机溶剂再生处理过程中产生的废活性炭及其他过滤吸附介质</w:t>
            </w:r>
          </w:p>
        </w:tc>
        <w:tc>
          <w:tcPr>
            <w:tcW w:w="663" w:type="dxa"/>
            <w:noWrap/>
            <w:vAlign w:val="center"/>
          </w:tcPr>
          <w:p w14:paraId="28BB9460" w14:textId="77777777" w:rsidR="002E474C" w:rsidRDefault="00000000">
            <w:pPr>
              <w:pStyle w:val="A-"/>
              <w:spacing w:line="260" w:lineRule="exact"/>
            </w:pPr>
            <w:r>
              <w:t>T</w:t>
            </w:r>
            <w:r>
              <w:t>，</w:t>
            </w:r>
            <w:r>
              <w:t>I</w:t>
            </w:r>
            <w:r>
              <w:t>，</w:t>
            </w:r>
            <w:r>
              <w:t>R</w:t>
            </w:r>
          </w:p>
        </w:tc>
      </w:tr>
      <w:tr w:rsidR="002E474C" w14:paraId="7BE6F164" w14:textId="77777777">
        <w:trPr>
          <w:trHeight w:val="300"/>
        </w:trPr>
        <w:tc>
          <w:tcPr>
            <w:tcW w:w="828" w:type="dxa"/>
            <w:vMerge/>
            <w:vAlign w:val="center"/>
          </w:tcPr>
          <w:p w14:paraId="5F08061D" w14:textId="77777777" w:rsidR="002E474C" w:rsidRDefault="002E474C">
            <w:pPr>
              <w:pStyle w:val="A-"/>
              <w:spacing w:line="260" w:lineRule="exact"/>
            </w:pPr>
          </w:p>
        </w:tc>
        <w:tc>
          <w:tcPr>
            <w:tcW w:w="893" w:type="dxa"/>
            <w:vMerge/>
            <w:vAlign w:val="center"/>
          </w:tcPr>
          <w:p w14:paraId="51DF6757" w14:textId="77777777" w:rsidR="002E474C" w:rsidRDefault="002E474C">
            <w:pPr>
              <w:pStyle w:val="A-"/>
              <w:spacing w:line="260" w:lineRule="exact"/>
            </w:pPr>
          </w:p>
        </w:tc>
        <w:tc>
          <w:tcPr>
            <w:tcW w:w="1147" w:type="dxa"/>
            <w:noWrap/>
            <w:vAlign w:val="center"/>
          </w:tcPr>
          <w:p w14:paraId="028C6886" w14:textId="77777777" w:rsidR="002E474C" w:rsidRDefault="00000000">
            <w:pPr>
              <w:pStyle w:val="A-"/>
              <w:spacing w:line="260" w:lineRule="exact"/>
              <w:ind w:leftChars="-25" w:left="-53" w:rightChars="-25" w:right="-53"/>
            </w:pPr>
            <w:r>
              <w:t>900-407-06</w:t>
            </w:r>
          </w:p>
        </w:tc>
        <w:tc>
          <w:tcPr>
            <w:tcW w:w="4991" w:type="dxa"/>
            <w:noWrap/>
            <w:vAlign w:val="center"/>
          </w:tcPr>
          <w:p w14:paraId="5F929014" w14:textId="77777777" w:rsidR="002E474C" w:rsidRDefault="00000000">
            <w:pPr>
              <w:pStyle w:val="A-"/>
              <w:spacing w:line="260" w:lineRule="exact"/>
            </w:pPr>
            <w:r>
              <w:t>900-401-06</w:t>
            </w:r>
            <w:r>
              <w:t>、</w:t>
            </w:r>
            <w:r>
              <w:t>900-402-06</w:t>
            </w:r>
            <w:r>
              <w:t>、</w:t>
            </w:r>
            <w:r>
              <w:t xml:space="preserve">900-404-06 </w:t>
            </w:r>
            <w:r>
              <w:t>中所列废有机溶剂分馏再生过程中产生的高沸物和釜底残渣</w:t>
            </w:r>
          </w:p>
        </w:tc>
        <w:tc>
          <w:tcPr>
            <w:tcW w:w="663" w:type="dxa"/>
            <w:noWrap/>
            <w:vAlign w:val="center"/>
          </w:tcPr>
          <w:p w14:paraId="14AE4056" w14:textId="77777777" w:rsidR="002E474C" w:rsidRDefault="00000000">
            <w:pPr>
              <w:pStyle w:val="A-"/>
              <w:spacing w:line="260" w:lineRule="exact"/>
            </w:pPr>
            <w:r>
              <w:t>T</w:t>
            </w:r>
            <w:r>
              <w:t>，</w:t>
            </w:r>
            <w:r>
              <w:t>I</w:t>
            </w:r>
            <w:r>
              <w:t>，</w:t>
            </w:r>
            <w:r>
              <w:t>R</w:t>
            </w:r>
          </w:p>
        </w:tc>
      </w:tr>
      <w:tr w:rsidR="002E474C" w14:paraId="06BB9104" w14:textId="77777777">
        <w:trPr>
          <w:trHeight w:val="300"/>
        </w:trPr>
        <w:tc>
          <w:tcPr>
            <w:tcW w:w="828" w:type="dxa"/>
            <w:vMerge/>
            <w:vAlign w:val="center"/>
          </w:tcPr>
          <w:p w14:paraId="65C77479" w14:textId="77777777" w:rsidR="002E474C" w:rsidRDefault="002E474C">
            <w:pPr>
              <w:pStyle w:val="A-"/>
              <w:spacing w:line="260" w:lineRule="exact"/>
            </w:pPr>
          </w:p>
        </w:tc>
        <w:tc>
          <w:tcPr>
            <w:tcW w:w="893" w:type="dxa"/>
            <w:vMerge/>
            <w:vAlign w:val="center"/>
          </w:tcPr>
          <w:p w14:paraId="2FCC3C92" w14:textId="77777777" w:rsidR="002E474C" w:rsidRDefault="002E474C">
            <w:pPr>
              <w:pStyle w:val="A-"/>
              <w:spacing w:line="260" w:lineRule="exact"/>
            </w:pPr>
          </w:p>
        </w:tc>
        <w:tc>
          <w:tcPr>
            <w:tcW w:w="1147" w:type="dxa"/>
            <w:noWrap/>
            <w:vAlign w:val="center"/>
          </w:tcPr>
          <w:p w14:paraId="493C751F" w14:textId="77777777" w:rsidR="002E474C" w:rsidRDefault="00000000">
            <w:pPr>
              <w:pStyle w:val="A-"/>
              <w:spacing w:line="260" w:lineRule="exact"/>
              <w:ind w:leftChars="-25" w:left="-53" w:rightChars="-25" w:right="-53"/>
            </w:pPr>
            <w:r>
              <w:t>900-409-06</w:t>
            </w:r>
          </w:p>
        </w:tc>
        <w:tc>
          <w:tcPr>
            <w:tcW w:w="4991" w:type="dxa"/>
            <w:noWrap/>
            <w:vAlign w:val="center"/>
          </w:tcPr>
          <w:p w14:paraId="2F65F610" w14:textId="77777777" w:rsidR="002E474C" w:rsidRDefault="00000000">
            <w:pPr>
              <w:pStyle w:val="A-"/>
              <w:spacing w:line="260" w:lineRule="exact"/>
            </w:pPr>
            <w:r>
              <w:t>900-401-06</w:t>
            </w:r>
            <w:r>
              <w:t>、</w:t>
            </w:r>
            <w:r>
              <w:t>900-402-06</w:t>
            </w:r>
            <w:r>
              <w:t>、</w:t>
            </w:r>
            <w:r>
              <w:t xml:space="preserve">900-404-06 </w:t>
            </w:r>
            <w:r>
              <w:t>中所列废有机溶剂再生处理过程中产生的废水处理浮渣和污泥</w:t>
            </w:r>
          </w:p>
          <w:p w14:paraId="759D8872" w14:textId="77777777" w:rsidR="002E474C" w:rsidRDefault="00000000">
            <w:pPr>
              <w:pStyle w:val="A-"/>
              <w:spacing w:line="260" w:lineRule="exact"/>
            </w:pPr>
            <w:r>
              <w:t>（不包括废水生化处理污泥）</w:t>
            </w:r>
          </w:p>
        </w:tc>
        <w:tc>
          <w:tcPr>
            <w:tcW w:w="663" w:type="dxa"/>
            <w:noWrap/>
            <w:vAlign w:val="center"/>
          </w:tcPr>
          <w:p w14:paraId="378865F1" w14:textId="77777777" w:rsidR="002E474C" w:rsidRDefault="00000000">
            <w:pPr>
              <w:pStyle w:val="A-"/>
              <w:spacing w:line="260" w:lineRule="exact"/>
            </w:pPr>
            <w:r>
              <w:t>T</w:t>
            </w:r>
          </w:p>
        </w:tc>
      </w:tr>
      <w:tr w:rsidR="002E474C" w14:paraId="77A189D1" w14:textId="77777777">
        <w:trPr>
          <w:trHeight w:val="300"/>
        </w:trPr>
        <w:tc>
          <w:tcPr>
            <w:tcW w:w="828" w:type="dxa"/>
            <w:vMerge w:val="restart"/>
            <w:noWrap/>
            <w:vAlign w:val="center"/>
          </w:tcPr>
          <w:p w14:paraId="64B6FE59" w14:textId="77777777" w:rsidR="002E474C" w:rsidRDefault="00000000">
            <w:pPr>
              <w:pStyle w:val="A-"/>
              <w:spacing w:line="260" w:lineRule="exact"/>
            </w:pPr>
            <w:r>
              <w:t>HW07</w:t>
            </w:r>
            <w:r>
              <w:br/>
            </w:r>
            <w:r>
              <w:t>热处</w:t>
            </w:r>
            <w:r>
              <w:lastRenderedPageBreak/>
              <w:t>理含氰废物</w:t>
            </w:r>
          </w:p>
        </w:tc>
        <w:tc>
          <w:tcPr>
            <w:tcW w:w="893" w:type="dxa"/>
            <w:vMerge w:val="restart"/>
            <w:noWrap/>
            <w:vAlign w:val="center"/>
          </w:tcPr>
          <w:p w14:paraId="5B488980" w14:textId="77777777" w:rsidR="002E474C" w:rsidRDefault="00000000">
            <w:pPr>
              <w:pStyle w:val="A-"/>
              <w:spacing w:line="260" w:lineRule="exact"/>
            </w:pPr>
            <w:r>
              <w:lastRenderedPageBreak/>
              <w:t>金属表面处理</w:t>
            </w:r>
            <w:r>
              <w:lastRenderedPageBreak/>
              <w:t>及热处理加工</w:t>
            </w:r>
          </w:p>
        </w:tc>
        <w:tc>
          <w:tcPr>
            <w:tcW w:w="1147" w:type="dxa"/>
            <w:noWrap/>
            <w:vAlign w:val="center"/>
          </w:tcPr>
          <w:p w14:paraId="08CFE64B" w14:textId="77777777" w:rsidR="002E474C" w:rsidRDefault="00000000">
            <w:pPr>
              <w:pStyle w:val="A-"/>
              <w:spacing w:line="260" w:lineRule="exact"/>
              <w:ind w:leftChars="-25" w:left="-53" w:rightChars="-25" w:right="-53"/>
            </w:pPr>
            <w:r>
              <w:lastRenderedPageBreak/>
              <w:t>336-001-07</w:t>
            </w:r>
          </w:p>
        </w:tc>
        <w:tc>
          <w:tcPr>
            <w:tcW w:w="4991" w:type="dxa"/>
            <w:noWrap/>
            <w:vAlign w:val="center"/>
          </w:tcPr>
          <w:p w14:paraId="2AC28937" w14:textId="77777777" w:rsidR="002E474C" w:rsidRDefault="00000000">
            <w:pPr>
              <w:pStyle w:val="A-"/>
              <w:spacing w:line="260" w:lineRule="exact"/>
            </w:pPr>
            <w:r>
              <w:t>使用氰化物进行金属热处理产生的淬火池残渣</w:t>
            </w:r>
          </w:p>
        </w:tc>
        <w:tc>
          <w:tcPr>
            <w:tcW w:w="663" w:type="dxa"/>
            <w:noWrap/>
            <w:vAlign w:val="center"/>
          </w:tcPr>
          <w:p w14:paraId="0416BEC7" w14:textId="77777777" w:rsidR="002E474C" w:rsidRDefault="00000000">
            <w:pPr>
              <w:pStyle w:val="A-"/>
              <w:spacing w:line="260" w:lineRule="exact"/>
            </w:pPr>
            <w:r>
              <w:t>T</w:t>
            </w:r>
            <w:r>
              <w:t>，</w:t>
            </w:r>
            <w:r>
              <w:t>R</w:t>
            </w:r>
          </w:p>
        </w:tc>
      </w:tr>
      <w:tr w:rsidR="002E474C" w14:paraId="11F6EE33" w14:textId="77777777">
        <w:trPr>
          <w:trHeight w:val="300"/>
        </w:trPr>
        <w:tc>
          <w:tcPr>
            <w:tcW w:w="828" w:type="dxa"/>
            <w:vMerge/>
            <w:vAlign w:val="center"/>
          </w:tcPr>
          <w:p w14:paraId="0B31199B" w14:textId="77777777" w:rsidR="002E474C" w:rsidRDefault="002E474C">
            <w:pPr>
              <w:pStyle w:val="A-"/>
              <w:spacing w:line="260" w:lineRule="exact"/>
            </w:pPr>
          </w:p>
        </w:tc>
        <w:tc>
          <w:tcPr>
            <w:tcW w:w="893" w:type="dxa"/>
            <w:vMerge/>
            <w:vAlign w:val="center"/>
          </w:tcPr>
          <w:p w14:paraId="75AFFA64" w14:textId="77777777" w:rsidR="002E474C" w:rsidRDefault="002E474C">
            <w:pPr>
              <w:pStyle w:val="A-"/>
              <w:spacing w:line="260" w:lineRule="exact"/>
            </w:pPr>
          </w:p>
        </w:tc>
        <w:tc>
          <w:tcPr>
            <w:tcW w:w="1147" w:type="dxa"/>
            <w:noWrap/>
            <w:vAlign w:val="center"/>
          </w:tcPr>
          <w:p w14:paraId="7B25B92C" w14:textId="77777777" w:rsidR="002E474C" w:rsidRDefault="00000000">
            <w:pPr>
              <w:pStyle w:val="A-"/>
              <w:spacing w:line="260" w:lineRule="exact"/>
              <w:ind w:leftChars="-25" w:left="-53" w:rightChars="-25" w:right="-53"/>
            </w:pPr>
            <w:r>
              <w:t>336-002-07</w:t>
            </w:r>
          </w:p>
        </w:tc>
        <w:tc>
          <w:tcPr>
            <w:tcW w:w="4991" w:type="dxa"/>
            <w:noWrap/>
            <w:vAlign w:val="center"/>
          </w:tcPr>
          <w:p w14:paraId="713DCE15" w14:textId="77777777" w:rsidR="002E474C" w:rsidRDefault="00000000">
            <w:pPr>
              <w:pStyle w:val="A-"/>
              <w:spacing w:line="260" w:lineRule="exact"/>
            </w:pPr>
            <w:r>
              <w:rPr>
                <w:spacing w:val="-6"/>
              </w:rPr>
              <w:t>使用氰化物进行金属热处理产生的淬火废水处理污泥</w:t>
            </w:r>
          </w:p>
        </w:tc>
        <w:tc>
          <w:tcPr>
            <w:tcW w:w="663" w:type="dxa"/>
            <w:noWrap/>
            <w:vAlign w:val="center"/>
          </w:tcPr>
          <w:p w14:paraId="6B17FAA1" w14:textId="77777777" w:rsidR="002E474C" w:rsidRDefault="00000000">
            <w:pPr>
              <w:pStyle w:val="A-"/>
              <w:spacing w:line="260" w:lineRule="exact"/>
            </w:pPr>
            <w:r>
              <w:t>T</w:t>
            </w:r>
            <w:r>
              <w:t>，</w:t>
            </w:r>
            <w:r>
              <w:t>R</w:t>
            </w:r>
          </w:p>
        </w:tc>
      </w:tr>
      <w:tr w:rsidR="002E474C" w14:paraId="11E52F10" w14:textId="77777777">
        <w:trPr>
          <w:trHeight w:val="300"/>
        </w:trPr>
        <w:tc>
          <w:tcPr>
            <w:tcW w:w="828" w:type="dxa"/>
            <w:vMerge/>
            <w:vAlign w:val="center"/>
          </w:tcPr>
          <w:p w14:paraId="491CC9CF" w14:textId="77777777" w:rsidR="002E474C" w:rsidRDefault="002E474C">
            <w:pPr>
              <w:pStyle w:val="A-"/>
              <w:spacing w:line="260" w:lineRule="exact"/>
            </w:pPr>
          </w:p>
        </w:tc>
        <w:tc>
          <w:tcPr>
            <w:tcW w:w="893" w:type="dxa"/>
            <w:vMerge/>
            <w:vAlign w:val="center"/>
          </w:tcPr>
          <w:p w14:paraId="7076D546" w14:textId="77777777" w:rsidR="002E474C" w:rsidRDefault="002E474C">
            <w:pPr>
              <w:pStyle w:val="A-"/>
              <w:spacing w:line="260" w:lineRule="exact"/>
            </w:pPr>
          </w:p>
        </w:tc>
        <w:tc>
          <w:tcPr>
            <w:tcW w:w="1147" w:type="dxa"/>
            <w:noWrap/>
            <w:vAlign w:val="center"/>
          </w:tcPr>
          <w:p w14:paraId="19E0DEC9" w14:textId="77777777" w:rsidR="002E474C" w:rsidRDefault="00000000">
            <w:pPr>
              <w:pStyle w:val="A-"/>
              <w:spacing w:line="260" w:lineRule="exact"/>
              <w:ind w:leftChars="-25" w:left="-53" w:rightChars="-25" w:right="-53"/>
            </w:pPr>
            <w:r>
              <w:t>336-003-07</w:t>
            </w:r>
          </w:p>
        </w:tc>
        <w:tc>
          <w:tcPr>
            <w:tcW w:w="4991" w:type="dxa"/>
            <w:noWrap/>
            <w:vAlign w:val="center"/>
          </w:tcPr>
          <w:p w14:paraId="62CF7E56" w14:textId="77777777" w:rsidR="002E474C" w:rsidRDefault="00000000">
            <w:pPr>
              <w:pStyle w:val="A-"/>
              <w:spacing w:line="260" w:lineRule="exact"/>
            </w:pPr>
            <w:r>
              <w:t>含氰热处理炉维修过程中产生的废内衬</w:t>
            </w:r>
          </w:p>
        </w:tc>
        <w:tc>
          <w:tcPr>
            <w:tcW w:w="663" w:type="dxa"/>
            <w:noWrap/>
            <w:vAlign w:val="center"/>
          </w:tcPr>
          <w:p w14:paraId="4D2EA7B8" w14:textId="77777777" w:rsidR="002E474C" w:rsidRDefault="00000000">
            <w:pPr>
              <w:pStyle w:val="A-"/>
              <w:spacing w:line="260" w:lineRule="exact"/>
            </w:pPr>
            <w:r>
              <w:t>T</w:t>
            </w:r>
            <w:r>
              <w:t>，</w:t>
            </w:r>
            <w:r>
              <w:t>R</w:t>
            </w:r>
          </w:p>
        </w:tc>
      </w:tr>
      <w:tr w:rsidR="002E474C" w14:paraId="535D84BD" w14:textId="77777777">
        <w:trPr>
          <w:trHeight w:val="300"/>
        </w:trPr>
        <w:tc>
          <w:tcPr>
            <w:tcW w:w="828" w:type="dxa"/>
            <w:vMerge/>
            <w:vAlign w:val="center"/>
          </w:tcPr>
          <w:p w14:paraId="204B3DE6" w14:textId="77777777" w:rsidR="002E474C" w:rsidRDefault="002E474C">
            <w:pPr>
              <w:pStyle w:val="A-"/>
              <w:spacing w:line="260" w:lineRule="exact"/>
            </w:pPr>
          </w:p>
        </w:tc>
        <w:tc>
          <w:tcPr>
            <w:tcW w:w="893" w:type="dxa"/>
            <w:vMerge/>
            <w:vAlign w:val="center"/>
          </w:tcPr>
          <w:p w14:paraId="0192662B" w14:textId="77777777" w:rsidR="002E474C" w:rsidRDefault="002E474C">
            <w:pPr>
              <w:pStyle w:val="A-"/>
              <w:spacing w:line="260" w:lineRule="exact"/>
            </w:pPr>
          </w:p>
        </w:tc>
        <w:tc>
          <w:tcPr>
            <w:tcW w:w="1147" w:type="dxa"/>
            <w:noWrap/>
            <w:vAlign w:val="center"/>
          </w:tcPr>
          <w:p w14:paraId="68662947" w14:textId="77777777" w:rsidR="002E474C" w:rsidRDefault="00000000">
            <w:pPr>
              <w:pStyle w:val="A-"/>
              <w:spacing w:line="260" w:lineRule="exact"/>
              <w:ind w:leftChars="-25" w:left="-53" w:rightChars="-25" w:right="-53"/>
            </w:pPr>
            <w:r>
              <w:t>336-004-07</w:t>
            </w:r>
          </w:p>
        </w:tc>
        <w:tc>
          <w:tcPr>
            <w:tcW w:w="4991" w:type="dxa"/>
            <w:noWrap/>
            <w:vAlign w:val="center"/>
          </w:tcPr>
          <w:p w14:paraId="324A88B3" w14:textId="77777777" w:rsidR="002E474C" w:rsidRDefault="00000000">
            <w:pPr>
              <w:pStyle w:val="A-"/>
              <w:spacing w:line="260" w:lineRule="exact"/>
            </w:pPr>
            <w:r>
              <w:t>热处理渗碳炉产生的热处理渗碳氰渣</w:t>
            </w:r>
          </w:p>
        </w:tc>
        <w:tc>
          <w:tcPr>
            <w:tcW w:w="663" w:type="dxa"/>
            <w:noWrap/>
            <w:vAlign w:val="center"/>
          </w:tcPr>
          <w:p w14:paraId="706AFC4A" w14:textId="77777777" w:rsidR="002E474C" w:rsidRDefault="00000000">
            <w:pPr>
              <w:pStyle w:val="A-"/>
              <w:spacing w:line="260" w:lineRule="exact"/>
            </w:pPr>
            <w:r>
              <w:t>T</w:t>
            </w:r>
            <w:r>
              <w:t>，</w:t>
            </w:r>
            <w:r>
              <w:t>R</w:t>
            </w:r>
          </w:p>
        </w:tc>
      </w:tr>
      <w:tr w:rsidR="002E474C" w14:paraId="7FE05CA6" w14:textId="77777777">
        <w:trPr>
          <w:trHeight w:val="300"/>
        </w:trPr>
        <w:tc>
          <w:tcPr>
            <w:tcW w:w="828" w:type="dxa"/>
            <w:vMerge/>
            <w:vAlign w:val="center"/>
          </w:tcPr>
          <w:p w14:paraId="45BA2931" w14:textId="77777777" w:rsidR="002E474C" w:rsidRDefault="002E474C">
            <w:pPr>
              <w:pStyle w:val="A-"/>
              <w:spacing w:line="260" w:lineRule="exact"/>
            </w:pPr>
          </w:p>
        </w:tc>
        <w:tc>
          <w:tcPr>
            <w:tcW w:w="893" w:type="dxa"/>
            <w:vMerge/>
            <w:vAlign w:val="center"/>
          </w:tcPr>
          <w:p w14:paraId="11CB112C" w14:textId="77777777" w:rsidR="002E474C" w:rsidRDefault="002E474C">
            <w:pPr>
              <w:pStyle w:val="A-"/>
              <w:spacing w:line="260" w:lineRule="exact"/>
            </w:pPr>
          </w:p>
        </w:tc>
        <w:tc>
          <w:tcPr>
            <w:tcW w:w="1147" w:type="dxa"/>
            <w:noWrap/>
            <w:vAlign w:val="center"/>
          </w:tcPr>
          <w:p w14:paraId="365E8CB1" w14:textId="77777777" w:rsidR="002E474C" w:rsidRDefault="00000000">
            <w:pPr>
              <w:pStyle w:val="A-"/>
              <w:spacing w:line="260" w:lineRule="exact"/>
              <w:ind w:leftChars="-25" w:left="-53" w:rightChars="-25" w:right="-53"/>
            </w:pPr>
            <w:r>
              <w:t>336-005-07</w:t>
            </w:r>
          </w:p>
        </w:tc>
        <w:tc>
          <w:tcPr>
            <w:tcW w:w="4991" w:type="dxa"/>
            <w:noWrap/>
            <w:vAlign w:val="center"/>
          </w:tcPr>
          <w:p w14:paraId="6448359F" w14:textId="77777777" w:rsidR="002E474C" w:rsidRDefault="00000000">
            <w:pPr>
              <w:pStyle w:val="A-"/>
              <w:spacing w:line="260" w:lineRule="exact"/>
            </w:pPr>
            <w:r>
              <w:t>金属热处理工艺盐浴槽（釜）清洗产生的含氰残渣和含氰废液</w:t>
            </w:r>
          </w:p>
        </w:tc>
        <w:tc>
          <w:tcPr>
            <w:tcW w:w="663" w:type="dxa"/>
            <w:noWrap/>
            <w:vAlign w:val="center"/>
          </w:tcPr>
          <w:p w14:paraId="413DEE00" w14:textId="77777777" w:rsidR="002E474C" w:rsidRDefault="00000000">
            <w:pPr>
              <w:pStyle w:val="A-"/>
              <w:spacing w:line="260" w:lineRule="exact"/>
            </w:pPr>
            <w:r>
              <w:t>T</w:t>
            </w:r>
            <w:r>
              <w:t>，</w:t>
            </w:r>
            <w:r>
              <w:t>R</w:t>
            </w:r>
          </w:p>
        </w:tc>
      </w:tr>
      <w:tr w:rsidR="002E474C" w14:paraId="75C9B605" w14:textId="77777777">
        <w:trPr>
          <w:trHeight w:val="300"/>
        </w:trPr>
        <w:tc>
          <w:tcPr>
            <w:tcW w:w="828" w:type="dxa"/>
            <w:vMerge/>
            <w:vAlign w:val="center"/>
          </w:tcPr>
          <w:p w14:paraId="5D4F46A9" w14:textId="77777777" w:rsidR="002E474C" w:rsidRDefault="002E474C">
            <w:pPr>
              <w:pStyle w:val="A-"/>
              <w:spacing w:line="260" w:lineRule="exact"/>
            </w:pPr>
          </w:p>
        </w:tc>
        <w:tc>
          <w:tcPr>
            <w:tcW w:w="893" w:type="dxa"/>
            <w:vMerge/>
            <w:vAlign w:val="center"/>
          </w:tcPr>
          <w:p w14:paraId="4556B310" w14:textId="77777777" w:rsidR="002E474C" w:rsidRDefault="002E474C">
            <w:pPr>
              <w:pStyle w:val="A-"/>
              <w:spacing w:line="260" w:lineRule="exact"/>
            </w:pPr>
          </w:p>
        </w:tc>
        <w:tc>
          <w:tcPr>
            <w:tcW w:w="1147" w:type="dxa"/>
            <w:noWrap/>
            <w:vAlign w:val="center"/>
          </w:tcPr>
          <w:p w14:paraId="2A203558" w14:textId="77777777" w:rsidR="002E474C" w:rsidRDefault="00000000">
            <w:pPr>
              <w:pStyle w:val="A-"/>
              <w:spacing w:line="260" w:lineRule="exact"/>
              <w:ind w:leftChars="-25" w:left="-53" w:rightChars="-25" w:right="-53"/>
            </w:pPr>
            <w:r>
              <w:t>336-049-07</w:t>
            </w:r>
          </w:p>
        </w:tc>
        <w:tc>
          <w:tcPr>
            <w:tcW w:w="4991" w:type="dxa"/>
            <w:noWrap/>
            <w:vAlign w:val="center"/>
          </w:tcPr>
          <w:p w14:paraId="30AB4437" w14:textId="77777777" w:rsidR="002E474C" w:rsidRDefault="00000000">
            <w:pPr>
              <w:pStyle w:val="A-"/>
              <w:spacing w:line="260" w:lineRule="exact"/>
            </w:pPr>
            <w:r>
              <w:t>氰化物热处理和退火作业过程中产生的残渣</w:t>
            </w:r>
          </w:p>
        </w:tc>
        <w:tc>
          <w:tcPr>
            <w:tcW w:w="663" w:type="dxa"/>
            <w:noWrap/>
            <w:vAlign w:val="center"/>
          </w:tcPr>
          <w:p w14:paraId="3564C441" w14:textId="77777777" w:rsidR="002E474C" w:rsidRDefault="00000000">
            <w:pPr>
              <w:pStyle w:val="A-"/>
              <w:spacing w:line="260" w:lineRule="exact"/>
            </w:pPr>
            <w:r>
              <w:t>T</w:t>
            </w:r>
            <w:r>
              <w:t>，</w:t>
            </w:r>
            <w:r>
              <w:t>R</w:t>
            </w:r>
          </w:p>
        </w:tc>
      </w:tr>
      <w:tr w:rsidR="002E474C" w14:paraId="3BC379FD" w14:textId="77777777">
        <w:trPr>
          <w:trHeight w:val="300"/>
        </w:trPr>
        <w:tc>
          <w:tcPr>
            <w:tcW w:w="828" w:type="dxa"/>
            <w:vMerge w:val="restart"/>
            <w:noWrap/>
            <w:vAlign w:val="center"/>
          </w:tcPr>
          <w:p w14:paraId="5658D7CC" w14:textId="77777777" w:rsidR="002E474C" w:rsidRDefault="00000000">
            <w:pPr>
              <w:pStyle w:val="A-"/>
              <w:spacing w:line="260" w:lineRule="exact"/>
            </w:pPr>
            <w:r>
              <w:t>HW08</w:t>
            </w:r>
            <w:r>
              <w:br/>
            </w:r>
            <w:r>
              <w:t>废矿物油与含矿物油废物</w:t>
            </w:r>
          </w:p>
        </w:tc>
        <w:tc>
          <w:tcPr>
            <w:tcW w:w="893" w:type="dxa"/>
            <w:vMerge w:val="restart"/>
            <w:noWrap/>
            <w:vAlign w:val="center"/>
          </w:tcPr>
          <w:p w14:paraId="295BA239" w14:textId="77777777" w:rsidR="002E474C" w:rsidRDefault="00000000">
            <w:pPr>
              <w:pStyle w:val="A-"/>
              <w:spacing w:line="260" w:lineRule="exact"/>
            </w:pPr>
            <w:r>
              <w:t>石油</w:t>
            </w:r>
          </w:p>
          <w:p w14:paraId="3B6B3AE0" w14:textId="77777777" w:rsidR="002E474C" w:rsidRDefault="00000000">
            <w:pPr>
              <w:pStyle w:val="A-"/>
              <w:spacing w:line="260" w:lineRule="exact"/>
            </w:pPr>
            <w:r>
              <w:t>开采</w:t>
            </w:r>
          </w:p>
        </w:tc>
        <w:tc>
          <w:tcPr>
            <w:tcW w:w="1147" w:type="dxa"/>
            <w:noWrap/>
            <w:vAlign w:val="center"/>
          </w:tcPr>
          <w:p w14:paraId="1BBE78DF" w14:textId="77777777" w:rsidR="002E474C" w:rsidRDefault="00000000">
            <w:pPr>
              <w:pStyle w:val="A-"/>
              <w:spacing w:line="260" w:lineRule="exact"/>
              <w:ind w:leftChars="-25" w:left="-53" w:rightChars="-25" w:right="-53"/>
            </w:pPr>
            <w:r>
              <w:t>071-001-08</w:t>
            </w:r>
          </w:p>
        </w:tc>
        <w:tc>
          <w:tcPr>
            <w:tcW w:w="4991" w:type="dxa"/>
            <w:noWrap/>
            <w:vAlign w:val="center"/>
          </w:tcPr>
          <w:p w14:paraId="752FC026" w14:textId="77777777" w:rsidR="002E474C" w:rsidRDefault="00000000">
            <w:pPr>
              <w:pStyle w:val="A-"/>
              <w:spacing w:line="260" w:lineRule="exact"/>
            </w:pPr>
            <w:r>
              <w:t>石油开采和联合站贮存产生的油泥和油脚</w:t>
            </w:r>
          </w:p>
        </w:tc>
        <w:tc>
          <w:tcPr>
            <w:tcW w:w="663" w:type="dxa"/>
            <w:noWrap/>
            <w:vAlign w:val="center"/>
          </w:tcPr>
          <w:p w14:paraId="43EB7A66" w14:textId="77777777" w:rsidR="002E474C" w:rsidRDefault="00000000">
            <w:pPr>
              <w:pStyle w:val="A-"/>
              <w:spacing w:line="260" w:lineRule="exact"/>
            </w:pPr>
            <w:r>
              <w:t>T</w:t>
            </w:r>
            <w:r>
              <w:t>，</w:t>
            </w:r>
            <w:r>
              <w:t>I</w:t>
            </w:r>
          </w:p>
        </w:tc>
      </w:tr>
      <w:tr w:rsidR="002E474C" w14:paraId="395F8D1D" w14:textId="77777777">
        <w:trPr>
          <w:trHeight w:val="300"/>
        </w:trPr>
        <w:tc>
          <w:tcPr>
            <w:tcW w:w="828" w:type="dxa"/>
            <w:vMerge/>
            <w:vAlign w:val="center"/>
          </w:tcPr>
          <w:p w14:paraId="552BBE11" w14:textId="77777777" w:rsidR="002E474C" w:rsidRDefault="002E474C">
            <w:pPr>
              <w:pStyle w:val="A-"/>
              <w:spacing w:line="260" w:lineRule="exact"/>
            </w:pPr>
          </w:p>
        </w:tc>
        <w:tc>
          <w:tcPr>
            <w:tcW w:w="893" w:type="dxa"/>
            <w:vMerge/>
            <w:vAlign w:val="center"/>
          </w:tcPr>
          <w:p w14:paraId="0A27863E" w14:textId="77777777" w:rsidR="002E474C" w:rsidRDefault="002E474C">
            <w:pPr>
              <w:pStyle w:val="A-"/>
              <w:spacing w:line="260" w:lineRule="exact"/>
            </w:pPr>
          </w:p>
        </w:tc>
        <w:tc>
          <w:tcPr>
            <w:tcW w:w="1147" w:type="dxa"/>
            <w:noWrap/>
            <w:vAlign w:val="center"/>
          </w:tcPr>
          <w:p w14:paraId="2955B9DD" w14:textId="77777777" w:rsidR="002E474C" w:rsidRDefault="00000000">
            <w:pPr>
              <w:pStyle w:val="A-"/>
              <w:spacing w:line="260" w:lineRule="exact"/>
              <w:ind w:leftChars="-25" w:left="-53" w:rightChars="-25" w:right="-53"/>
            </w:pPr>
            <w:r>
              <w:t>071-002-08</w:t>
            </w:r>
          </w:p>
        </w:tc>
        <w:tc>
          <w:tcPr>
            <w:tcW w:w="4991" w:type="dxa"/>
            <w:noWrap/>
            <w:vAlign w:val="center"/>
          </w:tcPr>
          <w:p w14:paraId="58C815BF" w14:textId="77777777" w:rsidR="002E474C" w:rsidRDefault="00000000">
            <w:pPr>
              <w:pStyle w:val="A-"/>
              <w:spacing w:line="260" w:lineRule="exact"/>
            </w:pPr>
            <w:r>
              <w:t>以矿物油为连续相配制钻井泥浆用于石油开采所产生的钻井岩屑和废弃钻井泥浆</w:t>
            </w:r>
          </w:p>
        </w:tc>
        <w:tc>
          <w:tcPr>
            <w:tcW w:w="663" w:type="dxa"/>
            <w:noWrap/>
            <w:vAlign w:val="center"/>
          </w:tcPr>
          <w:p w14:paraId="0EF71EA6" w14:textId="77777777" w:rsidR="002E474C" w:rsidRDefault="00000000">
            <w:pPr>
              <w:pStyle w:val="A-"/>
              <w:spacing w:line="260" w:lineRule="exact"/>
            </w:pPr>
            <w:r>
              <w:t>T</w:t>
            </w:r>
          </w:p>
        </w:tc>
      </w:tr>
      <w:tr w:rsidR="002E474C" w14:paraId="08EA14A1" w14:textId="77777777">
        <w:trPr>
          <w:trHeight w:val="300"/>
        </w:trPr>
        <w:tc>
          <w:tcPr>
            <w:tcW w:w="828" w:type="dxa"/>
            <w:vMerge/>
            <w:vAlign w:val="center"/>
          </w:tcPr>
          <w:p w14:paraId="21B55DF7" w14:textId="77777777" w:rsidR="002E474C" w:rsidRDefault="002E474C">
            <w:pPr>
              <w:pStyle w:val="A-"/>
              <w:spacing w:line="260" w:lineRule="exact"/>
            </w:pPr>
          </w:p>
        </w:tc>
        <w:tc>
          <w:tcPr>
            <w:tcW w:w="893" w:type="dxa"/>
            <w:noWrap/>
            <w:vAlign w:val="center"/>
          </w:tcPr>
          <w:p w14:paraId="45E28AB2" w14:textId="77777777" w:rsidR="002E474C" w:rsidRDefault="00000000">
            <w:pPr>
              <w:pStyle w:val="A-"/>
              <w:spacing w:line="260" w:lineRule="exact"/>
            </w:pPr>
            <w:r>
              <w:t>天然气开采</w:t>
            </w:r>
          </w:p>
        </w:tc>
        <w:tc>
          <w:tcPr>
            <w:tcW w:w="1147" w:type="dxa"/>
            <w:noWrap/>
            <w:vAlign w:val="center"/>
          </w:tcPr>
          <w:p w14:paraId="1EEFB0D3" w14:textId="77777777" w:rsidR="002E474C" w:rsidRDefault="00000000">
            <w:pPr>
              <w:pStyle w:val="A-"/>
              <w:spacing w:line="260" w:lineRule="exact"/>
              <w:ind w:leftChars="-25" w:left="-53" w:rightChars="-25" w:right="-53"/>
            </w:pPr>
            <w:r>
              <w:t>072-001-08</w:t>
            </w:r>
          </w:p>
        </w:tc>
        <w:tc>
          <w:tcPr>
            <w:tcW w:w="4991" w:type="dxa"/>
            <w:noWrap/>
            <w:vAlign w:val="center"/>
          </w:tcPr>
          <w:p w14:paraId="6C5F402D" w14:textId="77777777" w:rsidR="002E474C" w:rsidRDefault="00000000">
            <w:pPr>
              <w:pStyle w:val="A-"/>
              <w:spacing w:line="260" w:lineRule="exact"/>
            </w:pPr>
            <w:r>
              <w:t>以矿物油为连续相配制钻井泥浆用于天然气开采所产生的钻井岩屑和废弃钻井泥浆</w:t>
            </w:r>
          </w:p>
        </w:tc>
        <w:tc>
          <w:tcPr>
            <w:tcW w:w="663" w:type="dxa"/>
            <w:noWrap/>
            <w:vAlign w:val="center"/>
          </w:tcPr>
          <w:p w14:paraId="1D2E0106" w14:textId="77777777" w:rsidR="002E474C" w:rsidRDefault="00000000">
            <w:pPr>
              <w:pStyle w:val="A-"/>
              <w:spacing w:line="260" w:lineRule="exact"/>
            </w:pPr>
            <w:r>
              <w:t>T</w:t>
            </w:r>
          </w:p>
        </w:tc>
      </w:tr>
      <w:tr w:rsidR="002E474C" w14:paraId="78C8DC6E" w14:textId="77777777">
        <w:trPr>
          <w:trHeight w:val="300"/>
        </w:trPr>
        <w:tc>
          <w:tcPr>
            <w:tcW w:w="828" w:type="dxa"/>
            <w:vMerge/>
            <w:vAlign w:val="center"/>
          </w:tcPr>
          <w:p w14:paraId="172628FA" w14:textId="77777777" w:rsidR="002E474C" w:rsidRDefault="002E474C">
            <w:pPr>
              <w:pStyle w:val="A-"/>
              <w:spacing w:line="260" w:lineRule="exact"/>
            </w:pPr>
          </w:p>
        </w:tc>
        <w:tc>
          <w:tcPr>
            <w:tcW w:w="893" w:type="dxa"/>
            <w:vMerge w:val="restart"/>
            <w:noWrap/>
            <w:vAlign w:val="center"/>
          </w:tcPr>
          <w:p w14:paraId="2DFEB30C" w14:textId="77777777" w:rsidR="002E474C" w:rsidRDefault="00000000">
            <w:pPr>
              <w:pStyle w:val="A-"/>
              <w:spacing w:line="260" w:lineRule="exact"/>
            </w:pPr>
            <w:r>
              <w:t>精炼石油产品制造</w:t>
            </w:r>
          </w:p>
        </w:tc>
        <w:tc>
          <w:tcPr>
            <w:tcW w:w="1147" w:type="dxa"/>
            <w:noWrap/>
            <w:vAlign w:val="center"/>
          </w:tcPr>
          <w:p w14:paraId="1F279DFE" w14:textId="77777777" w:rsidR="002E474C" w:rsidRDefault="00000000">
            <w:pPr>
              <w:pStyle w:val="A-"/>
              <w:spacing w:line="260" w:lineRule="exact"/>
              <w:ind w:leftChars="-25" w:left="-53" w:rightChars="-25" w:right="-53"/>
            </w:pPr>
            <w:r>
              <w:t>251-001-08</w:t>
            </w:r>
          </w:p>
        </w:tc>
        <w:tc>
          <w:tcPr>
            <w:tcW w:w="4991" w:type="dxa"/>
            <w:noWrap/>
            <w:vAlign w:val="center"/>
          </w:tcPr>
          <w:p w14:paraId="4DE4C974" w14:textId="77777777" w:rsidR="002E474C" w:rsidRDefault="00000000">
            <w:pPr>
              <w:pStyle w:val="A-"/>
              <w:spacing w:line="260" w:lineRule="exact"/>
              <w:ind w:leftChars="-34" w:left="-71" w:rightChars="-34" w:right="-71"/>
            </w:pPr>
            <w:r>
              <w:rPr>
                <w:spacing w:val="-11"/>
              </w:rPr>
              <w:t>清洗矿物油储存、输送设施过程中产生的油</w:t>
            </w:r>
            <w:r>
              <w:rPr>
                <w:spacing w:val="-11"/>
              </w:rPr>
              <w:t>/</w:t>
            </w:r>
            <w:r>
              <w:rPr>
                <w:spacing w:val="-11"/>
              </w:rPr>
              <w:t>水和烃</w:t>
            </w:r>
            <w:r>
              <w:rPr>
                <w:spacing w:val="-11"/>
              </w:rPr>
              <w:t>/</w:t>
            </w:r>
            <w:r>
              <w:rPr>
                <w:spacing w:val="-11"/>
              </w:rPr>
              <w:t>水混合物</w:t>
            </w:r>
          </w:p>
        </w:tc>
        <w:tc>
          <w:tcPr>
            <w:tcW w:w="663" w:type="dxa"/>
            <w:noWrap/>
            <w:vAlign w:val="center"/>
          </w:tcPr>
          <w:p w14:paraId="5D11391C" w14:textId="77777777" w:rsidR="002E474C" w:rsidRDefault="00000000">
            <w:pPr>
              <w:pStyle w:val="A-"/>
              <w:spacing w:line="260" w:lineRule="exact"/>
            </w:pPr>
            <w:r>
              <w:t>T</w:t>
            </w:r>
          </w:p>
        </w:tc>
      </w:tr>
      <w:tr w:rsidR="002E474C" w14:paraId="367CE9F1" w14:textId="77777777">
        <w:trPr>
          <w:trHeight w:val="300"/>
        </w:trPr>
        <w:tc>
          <w:tcPr>
            <w:tcW w:w="828" w:type="dxa"/>
            <w:vMerge/>
            <w:vAlign w:val="center"/>
          </w:tcPr>
          <w:p w14:paraId="4CBD726E" w14:textId="77777777" w:rsidR="002E474C" w:rsidRDefault="002E474C">
            <w:pPr>
              <w:pStyle w:val="A-"/>
              <w:spacing w:line="260" w:lineRule="exact"/>
            </w:pPr>
          </w:p>
        </w:tc>
        <w:tc>
          <w:tcPr>
            <w:tcW w:w="893" w:type="dxa"/>
            <w:vMerge/>
            <w:vAlign w:val="center"/>
          </w:tcPr>
          <w:p w14:paraId="1ADBB337" w14:textId="77777777" w:rsidR="002E474C" w:rsidRDefault="002E474C">
            <w:pPr>
              <w:pStyle w:val="A-"/>
              <w:spacing w:line="260" w:lineRule="exact"/>
            </w:pPr>
          </w:p>
        </w:tc>
        <w:tc>
          <w:tcPr>
            <w:tcW w:w="1147" w:type="dxa"/>
            <w:noWrap/>
            <w:vAlign w:val="center"/>
          </w:tcPr>
          <w:p w14:paraId="797702DE" w14:textId="77777777" w:rsidR="002E474C" w:rsidRDefault="00000000">
            <w:pPr>
              <w:pStyle w:val="A-"/>
              <w:spacing w:line="260" w:lineRule="exact"/>
              <w:ind w:leftChars="-25" w:left="-53" w:rightChars="-25" w:right="-53"/>
            </w:pPr>
            <w:r>
              <w:t>251-002-08</w:t>
            </w:r>
          </w:p>
        </w:tc>
        <w:tc>
          <w:tcPr>
            <w:tcW w:w="4991" w:type="dxa"/>
            <w:noWrap/>
            <w:vAlign w:val="center"/>
          </w:tcPr>
          <w:p w14:paraId="65B60033" w14:textId="77777777" w:rsidR="002E474C" w:rsidRDefault="00000000">
            <w:pPr>
              <w:pStyle w:val="A-"/>
              <w:spacing w:line="260" w:lineRule="exact"/>
            </w:pPr>
            <w:r>
              <w:t>石油初炼过程中储存设施、油</w:t>
            </w:r>
            <w:r>
              <w:t>-</w:t>
            </w:r>
            <w:r>
              <w:t>水</w:t>
            </w:r>
            <w:r>
              <w:t>-</w:t>
            </w:r>
            <w:r>
              <w:t>固态物质分离器、积水槽、沟渠及其他输送管道、污水池、雨水收集管道产生的含油污泥</w:t>
            </w:r>
          </w:p>
        </w:tc>
        <w:tc>
          <w:tcPr>
            <w:tcW w:w="663" w:type="dxa"/>
            <w:noWrap/>
            <w:vAlign w:val="center"/>
          </w:tcPr>
          <w:p w14:paraId="1232809E" w14:textId="77777777" w:rsidR="002E474C" w:rsidRDefault="00000000">
            <w:pPr>
              <w:pStyle w:val="A-"/>
              <w:spacing w:line="260" w:lineRule="exact"/>
            </w:pPr>
            <w:r>
              <w:t>T</w:t>
            </w:r>
            <w:r>
              <w:t>，</w:t>
            </w:r>
            <w:r>
              <w:t>I</w:t>
            </w:r>
          </w:p>
        </w:tc>
      </w:tr>
      <w:tr w:rsidR="002E474C" w14:paraId="7C827136" w14:textId="77777777">
        <w:trPr>
          <w:trHeight w:val="300"/>
        </w:trPr>
        <w:tc>
          <w:tcPr>
            <w:tcW w:w="828" w:type="dxa"/>
            <w:vMerge/>
            <w:vAlign w:val="center"/>
          </w:tcPr>
          <w:p w14:paraId="71279365" w14:textId="77777777" w:rsidR="002E474C" w:rsidRDefault="002E474C">
            <w:pPr>
              <w:pStyle w:val="A-"/>
              <w:spacing w:line="260" w:lineRule="exact"/>
            </w:pPr>
          </w:p>
        </w:tc>
        <w:tc>
          <w:tcPr>
            <w:tcW w:w="893" w:type="dxa"/>
            <w:vMerge/>
            <w:vAlign w:val="center"/>
          </w:tcPr>
          <w:p w14:paraId="164E8986" w14:textId="77777777" w:rsidR="002E474C" w:rsidRDefault="002E474C">
            <w:pPr>
              <w:pStyle w:val="A-"/>
              <w:spacing w:line="260" w:lineRule="exact"/>
            </w:pPr>
          </w:p>
        </w:tc>
        <w:tc>
          <w:tcPr>
            <w:tcW w:w="1147" w:type="dxa"/>
            <w:noWrap/>
            <w:vAlign w:val="center"/>
          </w:tcPr>
          <w:p w14:paraId="5DFE88A9" w14:textId="77777777" w:rsidR="002E474C" w:rsidRDefault="00000000">
            <w:pPr>
              <w:pStyle w:val="A-"/>
              <w:spacing w:line="260" w:lineRule="exact"/>
              <w:ind w:leftChars="-25" w:left="-53" w:rightChars="-25" w:right="-53"/>
            </w:pPr>
            <w:r>
              <w:t>251-003-08</w:t>
            </w:r>
          </w:p>
        </w:tc>
        <w:tc>
          <w:tcPr>
            <w:tcW w:w="4991" w:type="dxa"/>
            <w:noWrap/>
            <w:vAlign w:val="center"/>
          </w:tcPr>
          <w:p w14:paraId="08CD90F7" w14:textId="77777777" w:rsidR="002E474C" w:rsidRDefault="00000000">
            <w:pPr>
              <w:pStyle w:val="A-"/>
              <w:spacing w:line="260" w:lineRule="exact"/>
            </w:pPr>
            <w:r>
              <w:rPr>
                <w:spacing w:val="-6"/>
              </w:rPr>
              <w:t>石油炼制过程中含油废水隔油、气浮、沉淀等处理过程中产生的浮油、浮渣和污泥（不包括废水生化处理污泥）</w:t>
            </w:r>
          </w:p>
        </w:tc>
        <w:tc>
          <w:tcPr>
            <w:tcW w:w="663" w:type="dxa"/>
            <w:noWrap/>
            <w:vAlign w:val="center"/>
          </w:tcPr>
          <w:p w14:paraId="513F17D7" w14:textId="77777777" w:rsidR="002E474C" w:rsidRDefault="00000000">
            <w:pPr>
              <w:pStyle w:val="A-"/>
              <w:spacing w:line="260" w:lineRule="exact"/>
            </w:pPr>
            <w:r>
              <w:t>T</w:t>
            </w:r>
          </w:p>
        </w:tc>
      </w:tr>
      <w:tr w:rsidR="002E474C" w14:paraId="099ABFFC" w14:textId="77777777">
        <w:trPr>
          <w:trHeight w:val="300"/>
        </w:trPr>
        <w:tc>
          <w:tcPr>
            <w:tcW w:w="828" w:type="dxa"/>
            <w:vMerge/>
            <w:vAlign w:val="center"/>
          </w:tcPr>
          <w:p w14:paraId="333E2A37" w14:textId="77777777" w:rsidR="002E474C" w:rsidRDefault="002E474C">
            <w:pPr>
              <w:pStyle w:val="A-"/>
              <w:spacing w:line="260" w:lineRule="exact"/>
            </w:pPr>
          </w:p>
        </w:tc>
        <w:tc>
          <w:tcPr>
            <w:tcW w:w="893" w:type="dxa"/>
            <w:vMerge/>
            <w:vAlign w:val="center"/>
          </w:tcPr>
          <w:p w14:paraId="72E654B9" w14:textId="77777777" w:rsidR="002E474C" w:rsidRDefault="002E474C">
            <w:pPr>
              <w:pStyle w:val="A-"/>
              <w:spacing w:line="260" w:lineRule="exact"/>
            </w:pPr>
          </w:p>
        </w:tc>
        <w:tc>
          <w:tcPr>
            <w:tcW w:w="1147" w:type="dxa"/>
            <w:noWrap/>
            <w:vAlign w:val="center"/>
          </w:tcPr>
          <w:p w14:paraId="094D27C2" w14:textId="77777777" w:rsidR="002E474C" w:rsidRDefault="00000000">
            <w:pPr>
              <w:pStyle w:val="A-"/>
              <w:spacing w:line="260" w:lineRule="exact"/>
              <w:ind w:leftChars="-25" w:left="-53" w:rightChars="-25" w:right="-53"/>
            </w:pPr>
            <w:r>
              <w:t>251-004-08</w:t>
            </w:r>
          </w:p>
        </w:tc>
        <w:tc>
          <w:tcPr>
            <w:tcW w:w="4991" w:type="dxa"/>
            <w:noWrap/>
            <w:vAlign w:val="center"/>
          </w:tcPr>
          <w:p w14:paraId="6FFAFC57" w14:textId="77777777" w:rsidR="002E474C" w:rsidRDefault="00000000">
            <w:pPr>
              <w:pStyle w:val="A-"/>
              <w:spacing w:line="260" w:lineRule="exact"/>
            </w:pPr>
            <w:r>
              <w:t>石油炼制过程中溶气浮选工艺产生的浮渣</w:t>
            </w:r>
          </w:p>
        </w:tc>
        <w:tc>
          <w:tcPr>
            <w:tcW w:w="663" w:type="dxa"/>
            <w:noWrap/>
            <w:vAlign w:val="center"/>
          </w:tcPr>
          <w:p w14:paraId="0AAF7EA9" w14:textId="77777777" w:rsidR="002E474C" w:rsidRDefault="00000000">
            <w:pPr>
              <w:pStyle w:val="A-"/>
              <w:spacing w:line="260" w:lineRule="exact"/>
            </w:pPr>
            <w:r>
              <w:t>T</w:t>
            </w:r>
            <w:r>
              <w:t>，</w:t>
            </w:r>
            <w:r>
              <w:t>I</w:t>
            </w:r>
          </w:p>
        </w:tc>
      </w:tr>
      <w:tr w:rsidR="002E474C" w14:paraId="54501F75" w14:textId="77777777">
        <w:trPr>
          <w:trHeight w:val="300"/>
        </w:trPr>
        <w:tc>
          <w:tcPr>
            <w:tcW w:w="828" w:type="dxa"/>
            <w:vMerge/>
            <w:vAlign w:val="center"/>
          </w:tcPr>
          <w:p w14:paraId="10C3EEEE" w14:textId="77777777" w:rsidR="002E474C" w:rsidRDefault="002E474C">
            <w:pPr>
              <w:pStyle w:val="A-"/>
              <w:spacing w:line="260" w:lineRule="exact"/>
            </w:pPr>
          </w:p>
        </w:tc>
        <w:tc>
          <w:tcPr>
            <w:tcW w:w="893" w:type="dxa"/>
            <w:vMerge/>
            <w:vAlign w:val="center"/>
          </w:tcPr>
          <w:p w14:paraId="47B1E5C5" w14:textId="77777777" w:rsidR="002E474C" w:rsidRDefault="002E474C">
            <w:pPr>
              <w:pStyle w:val="A-"/>
              <w:spacing w:line="260" w:lineRule="exact"/>
            </w:pPr>
          </w:p>
        </w:tc>
        <w:tc>
          <w:tcPr>
            <w:tcW w:w="1147" w:type="dxa"/>
            <w:noWrap/>
            <w:vAlign w:val="center"/>
          </w:tcPr>
          <w:p w14:paraId="0EC89115" w14:textId="77777777" w:rsidR="002E474C" w:rsidRDefault="00000000">
            <w:pPr>
              <w:pStyle w:val="A-"/>
              <w:spacing w:line="260" w:lineRule="exact"/>
              <w:ind w:leftChars="-25" w:left="-53" w:rightChars="-25" w:right="-53"/>
            </w:pPr>
            <w:r>
              <w:t>251-005-08</w:t>
            </w:r>
          </w:p>
        </w:tc>
        <w:tc>
          <w:tcPr>
            <w:tcW w:w="4991" w:type="dxa"/>
            <w:noWrap/>
            <w:vAlign w:val="center"/>
          </w:tcPr>
          <w:p w14:paraId="3F72964A" w14:textId="77777777" w:rsidR="002E474C" w:rsidRDefault="00000000">
            <w:pPr>
              <w:pStyle w:val="A-"/>
              <w:spacing w:line="260" w:lineRule="exact"/>
            </w:pPr>
            <w:r>
              <w:t>石油炼制过程中产生的溢出废油或者乳剂</w:t>
            </w:r>
          </w:p>
        </w:tc>
        <w:tc>
          <w:tcPr>
            <w:tcW w:w="663" w:type="dxa"/>
            <w:noWrap/>
            <w:vAlign w:val="center"/>
          </w:tcPr>
          <w:p w14:paraId="29FC6F8C" w14:textId="77777777" w:rsidR="002E474C" w:rsidRDefault="00000000">
            <w:pPr>
              <w:pStyle w:val="A-"/>
              <w:spacing w:line="260" w:lineRule="exact"/>
            </w:pPr>
            <w:r>
              <w:t>T</w:t>
            </w:r>
            <w:r>
              <w:t>，</w:t>
            </w:r>
            <w:r>
              <w:t>I</w:t>
            </w:r>
          </w:p>
        </w:tc>
      </w:tr>
      <w:tr w:rsidR="002E474C" w14:paraId="45899BAB" w14:textId="77777777">
        <w:trPr>
          <w:trHeight w:val="300"/>
        </w:trPr>
        <w:tc>
          <w:tcPr>
            <w:tcW w:w="828" w:type="dxa"/>
            <w:vMerge/>
            <w:vAlign w:val="center"/>
          </w:tcPr>
          <w:p w14:paraId="20D39DED" w14:textId="77777777" w:rsidR="002E474C" w:rsidRDefault="002E474C">
            <w:pPr>
              <w:pStyle w:val="A-"/>
              <w:spacing w:line="260" w:lineRule="exact"/>
            </w:pPr>
          </w:p>
        </w:tc>
        <w:tc>
          <w:tcPr>
            <w:tcW w:w="893" w:type="dxa"/>
            <w:vMerge/>
            <w:vAlign w:val="center"/>
          </w:tcPr>
          <w:p w14:paraId="715E5F71" w14:textId="77777777" w:rsidR="002E474C" w:rsidRDefault="002E474C">
            <w:pPr>
              <w:pStyle w:val="A-"/>
              <w:spacing w:line="260" w:lineRule="exact"/>
            </w:pPr>
          </w:p>
        </w:tc>
        <w:tc>
          <w:tcPr>
            <w:tcW w:w="1147" w:type="dxa"/>
            <w:noWrap/>
            <w:vAlign w:val="center"/>
          </w:tcPr>
          <w:p w14:paraId="4C8063CB" w14:textId="77777777" w:rsidR="002E474C" w:rsidRDefault="00000000">
            <w:pPr>
              <w:pStyle w:val="A-"/>
              <w:spacing w:line="260" w:lineRule="exact"/>
              <w:ind w:leftChars="-25" w:left="-53" w:rightChars="-25" w:right="-53"/>
            </w:pPr>
            <w:r>
              <w:t>251-006-08</w:t>
            </w:r>
          </w:p>
        </w:tc>
        <w:tc>
          <w:tcPr>
            <w:tcW w:w="4991" w:type="dxa"/>
            <w:noWrap/>
            <w:vAlign w:val="center"/>
          </w:tcPr>
          <w:p w14:paraId="74813264" w14:textId="77777777" w:rsidR="002E474C" w:rsidRDefault="00000000">
            <w:pPr>
              <w:pStyle w:val="A-"/>
              <w:spacing w:line="260" w:lineRule="exact"/>
            </w:pPr>
            <w:r>
              <w:t>石油炼制换热器管束清洗过程中产生的含油污泥</w:t>
            </w:r>
          </w:p>
        </w:tc>
        <w:tc>
          <w:tcPr>
            <w:tcW w:w="663" w:type="dxa"/>
            <w:noWrap/>
            <w:vAlign w:val="center"/>
          </w:tcPr>
          <w:p w14:paraId="1B7729C1" w14:textId="77777777" w:rsidR="002E474C" w:rsidRDefault="00000000">
            <w:pPr>
              <w:pStyle w:val="A-"/>
              <w:spacing w:line="260" w:lineRule="exact"/>
            </w:pPr>
            <w:r>
              <w:t>T</w:t>
            </w:r>
          </w:p>
        </w:tc>
      </w:tr>
      <w:tr w:rsidR="002E474C" w14:paraId="00D852DE" w14:textId="77777777">
        <w:trPr>
          <w:trHeight w:val="277"/>
        </w:trPr>
        <w:tc>
          <w:tcPr>
            <w:tcW w:w="828" w:type="dxa"/>
            <w:vMerge/>
            <w:vAlign w:val="center"/>
          </w:tcPr>
          <w:p w14:paraId="4B25BEB2" w14:textId="77777777" w:rsidR="002E474C" w:rsidRDefault="002E474C">
            <w:pPr>
              <w:pStyle w:val="A-"/>
              <w:spacing w:line="260" w:lineRule="exact"/>
            </w:pPr>
          </w:p>
        </w:tc>
        <w:tc>
          <w:tcPr>
            <w:tcW w:w="893" w:type="dxa"/>
            <w:vMerge/>
            <w:vAlign w:val="center"/>
          </w:tcPr>
          <w:p w14:paraId="021188C3" w14:textId="77777777" w:rsidR="002E474C" w:rsidRDefault="002E474C">
            <w:pPr>
              <w:pStyle w:val="A-"/>
              <w:spacing w:line="260" w:lineRule="exact"/>
            </w:pPr>
          </w:p>
        </w:tc>
        <w:tc>
          <w:tcPr>
            <w:tcW w:w="1147" w:type="dxa"/>
            <w:noWrap/>
            <w:vAlign w:val="center"/>
          </w:tcPr>
          <w:p w14:paraId="75B84900" w14:textId="77777777" w:rsidR="002E474C" w:rsidRDefault="00000000">
            <w:pPr>
              <w:pStyle w:val="A-"/>
              <w:spacing w:line="260" w:lineRule="exact"/>
              <w:ind w:leftChars="-25" w:left="-53" w:rightChars="-25" w:right="-53"/>
            </w:pPr>
            <w:r>
              <w:t>251-010-08</w:t>
            </w:r>
          </w:p>
        </w:tc>
        <w:tc>
          <w:tcPr>
            <w:tcW w:w="4991" w:type="dxa"/>
            <w:noWrap/>
            <w:vAlign w:val="center"/>
          </w:tcPr>
          <w:p w14:paraId="39D56CA1" w14:textId="77777777" w:rsidR="002E474C" w:rsidRDefault="00000000">
            <w:pPr>
              <w:pStyle w:val="A-"/>
              <w:spacing w:line="260" w:lineRule="exact"/>
            </w:pPr>
            <w:r>
              <w:t>石油炼制过程中澄清油浆槽底沉积物</w:t>
            </w:r>
          </w:p>
        </w:tc>
        <w:tc>
          <w:tcPr>
            <w:tcW w:w="663" w:type="dxa"/>
            <w:noWrap/>
            <w:vAlign w:val="center"/>
          </w:tcPr>
          <w:p w14:paraId="4BB52EFC" w14:textId="77777777" w:rsidR="002E474C" w:rsidRDefault="00000000">
            <w:pPr>
              <w:pStyle w:val="A-"/>
              <w:spacing w:line="260" w:lineRule="exact"/>
            </w:pPr>
            <w:r>
              <w:t>T</w:t>
            </w:r>
            <w:r>
              <w:t>，</w:t>
            </w:r>
            <w:r>
              <w:t>I</w:t>
            </w:r>
          </w:p>
        </w:tc>
      </w:tr>
      <w:tr w:rsidR="002E474C" w14:paraId="5214AF09" w14:textId="77777777">
        <w:trPr>
          <w:trHeight w:val="300"/>
        </w:trPr>
        <w:tc>
          <w:tcPr>
            <w:tcW w:w="828" w:type="dxa"/>
            <w:vMerge/>
            <w:vAlign w:val="center"/>
          </w:tcPr>
          <w:p w14:paraId="05EFAF8C" w14:textId="77777777" w:rsidR="002E474C" w:rsidRDefault="002E474C">
            <w:pPr>
              <w:pStyle w:val="A-"/>
              <w:spacing w:line="260" w:lineRule="exact"/>
            </w:pPr>
          </w:p>
        </w:tc>
        <w:tc>
          <w:tcPr>
            <w:tcW w:w="893" w:type="dxa"/>
            <w:vMerge/>
            <w:vAlign w:val="center"/>
          </w:tcPr>
          <w:p w14:paraId="572E375F" w14:textId="77777777" w:rsidR="002E474C" w:rsidRDefault="002E474C">
            <w:pPr>
              <w:pStyle w:val="A-"/>
              <w:spacing w:line="260" w:lineRule="exact"/>
            </w:pPr>
          </w:p>
        </w:tc>
        <w:tc>
          <w:tcPr>
            <w:tcW w:w="1147" w:type="dxa"/>
            <w:noWrap/>
            <w:vAlign w:val="center"/>
          </w:tcPr>
          <w:p w14:paraId="230F0E9D" w14:textId="77777777" w:rsidR="002E474C" w:rsidRDefault="00000000">
            <w:pPr>
              <w:pStyle w:val="A-"/>
              <w:spacing w:line="260" w:lineRule="exact"/>
              <w:ind w:leftChars="-25" w:left="-53" w:rightChars="-25" w:right="-53"/>
            </w:pPr>
            <w:r>
              <w:t>251-011-08</w:t>
            </w:r>
          </w:p>
        </w:tc>
        <w:tc>
          <w:tcPr>
            <w:tcW w:w="4991" w:type="dxa"/>
            <w:noWrap/>
            <w:vAlign w:val="center"/>
          </w:tcPr>
          <w:p w14:paraId="13B0621F" w14:textId="77777777" w:rsidR="002E474C" w:rsidRDefault="00000000">
            <w:pPr>
              <w:pStyle w:val="A-"/>
              <w:spacing w:line="260" w:lineRule="exact"/>
            </w:pPr>
            <w:r>
              <w:rPr>
                <w:spacing w:val="-6"/>
              </w:rPr>
              <w:t>石油炼制过程中进油管路过滤或者分离装置产生的残渣</w:t>
            </w:r>
          </w:p>
        </w:tc>
        <w:tc>
          <w:tcPr>
            <w:tcW w:w="663" w:type="dxa"/>
            <w:noWrap/>
            <w:vAlign w:val="center"/>
          </w:tcPr>
          <w:p w14:paraId="70B104DE" w14:textId="77777777" w:rsidR="002E474C" w:rsidRDefault="00000000">
            <w:pPr>
              <w:pStyle w:val="A-"/>
              <w:spacing w:line="260" w:lineRule="exact"/>
            </w:pPr>
            <w:r>
              <w:t>T</w:t>
            </w:r>
            <w:r>
              <w:t>，</w:t>
            </w:r>
            <w:r>
              <w:t>I</w:t>
            </w:r>
          </w:p>
        </w:tc>
      </w:tr>
      <w:tr w:rsidR="002E474C" w14:paraId="524681B5" w14:textId="77777777">
        <w:trPr>
          <w:trHeight w:val="300"/>
        </w:trPr>
        <w:tc>
          <w:tcPr>
            <w:tcW w:w="828" w:type="dxa"/>
            <w:vMerge/>
            <w:vAlign w:val="center"/>
          </w:tcPr>
          <w:p w14:paraId="7E8BC5CE" w14:textId="77777777" w:rsidR="002E474C" w:rsidRDefault="002E474C">
            <w:pPr>
              <w:pStyle w:val="A-"/>
              <w:spacing w:line="260" w:lineRule="exact"/>
            </w:pPr>
          </w:p>
        </w:tc>
        <w:tc>
          <w:tcPr>
            <w:tcW w:w="893" w:type="dxa"/>
            <w:vMerge/>
            <w:vAlign w:val="center"/>
          </w:tcPr>
          <w:p w14:paraId="5330725C" w14:textId="77777777" w:rsidR="002E474C" w:rsidRDefault="002E474C">
            <w:pPr>
              <w:pStyle w:val="A-"/>
              <w:spacing w:line="260" w:lineRule="exact"/>
            </w:pPr>
          </w:p>
        </w:tc>
        <w:tc>
          <w:tcPr>
            <w:tcW w:w="1147" w:type="dxa"/>
            <w:noWrap/>
            <w:vAlign w:val="center"/>
          </w:tcPr>
          <w:p w14:paraId="04A01D73" w14:textId="77777777" w:rsidR="002E474C" w:rsidRDefault="00000000">
            <w:pPr>
              <w:pStyle w:val="A-"/>
              <w:spacing w:line="260" w:lineRule="exact"/>
              <w:ind w:leftChars="-25" w:left="-53" w:rightChars="-25" w:right="-53"/>
            </w:pPr>
            <w:r>
              <w:t>251-012-08</w:t>
            </w:r>
          </w:p>
        </w:tc>
        <w:tc>
          <w:tcPr>
            <w:tcW w:w="4991" w:type="dxa"/>
            <w:noWrap/>
            <w:vAlign w:val="center"/>
          </w:tcPr>
          <w:p w14:paraId="0D967915" w14:textId="77777777" w:rsidR="002E474C" w:rsidRDefault="00000000">
            <w:pPr>
              <w:pStyle w:val="A-"/>
              <w:spacing w:line="260" w:lineRule="exact"/>
            </w:pPr>
            <w:r>
              <w:t>石油炼制过程中产生的废过滤介质</w:t>
            </w:r>
          </w:p>
        </w:tc>
        <w:tc>
          <w:tcPr>
            <w:tcW w:w="663" w:type="dxa"/>
            <w:noWrap/>
            <w:vAlign w:val="center"/>
          </w:tcPr>
          <w:p w14:paraId="60AFC5DC" w14:textId="77777777" w:rsidR="002E474C" w:rsidRDefault="00000000">
            <w:pPr>
              <w:pStyle w:val="A-"/>
              <w:spacing w:line="260" w:lineRule="exact"/>
            </w:pPr>
            <w:r>
              <w:t>T</w:t>
            </w:r>
          </w:p>
        </w:tc>
      </w:tr>
      <w:tr w:rsidR="002E474C" w14:paraId="2F52BD7C" w14:textId="77777777">
        <w:trPr>
          <w:trHeight w:val="300"/>
        </w:trPr>
        <w:tc>
          <w:tcPr>
            <w:tcW w:w="828" w:type="dxa"/>
            <w:vMerge/>
            <w:vAlign w:val="center"/>
          </w:tcPr>
          <w:p w14:paraId="75EACF19" w14:textId="77777777" w:rsidR="002E474C" w:rsidRDefault="002E474C">
            <w:pPr>
              <w:pStyle w:val="A-"/>
              <w:spacing w:line="260" w:lineRule="exact"/>
            </w:pPr>
          </w:p>
        </w:tc>
        <w:tc>
          <w:tcPr>
            <w:tcW w:w="893" w:type="dxa"/>
            <w:noWrap/>
            <w:vAlign w:val="center"/>
          </w:tcPr>
          <w:p w14:paraId="4C17E3D3" w14:textId="77777777" w:rsidR="002E474C" w:rsidRDefault="00000000">
            <w:pPr>
              <w:pStyle w:val="A-"/>
              <w:spacing w:line="260" w:lineRule="exact"/>
              <w:ind w:leftChars="-25" w:left="-53" w:rightChars="-25" w:right="-53"/>
            </w:pPr>
            <w:r>
              <w:rPr>
                <w:spacing w:val="-11"/>
              </w:rPr>
              <w:t>电子元件及专用材料制造</w:t>
            </w:r>
          </w:p>
        </w:tc>
        <w:tc>
          <w:tcPr>
            <w:tcW w:w="1147" w:type="dxa"/>
            <w:noWrap/>
            <w:vAlign w:val="center"/>
          </w:tcPr>
          <w:p w14:paraId="4B8BE54D" w14:textId="77777777" w:rsidR="002E474C" w:rsidRDefault="00000000">
            <w:pPr>
              <w:pStyle w:val="A-"/>
              <w:spacing w:line="260" w:lineRule="exact"/>
              <w:ind w:leftChars="-25" w:left="-53" w:rightChars="-25" w:right="-53"/>
            </w:pPr>
            <w:r>
              <w:t>398-001-08</w:t>
            </w:r>
          </w:p>
        </w:tc>
        <w:tc>
          <w:tcPr>
            <w:tcW w:w="4991" w:type="dxa"/>
            <w:noWrap/>
            <w:vAlign w:val="center"/>
          </w:tcPr>
          <w:p w14:paraId="50E89808" w14:textId="77777777" w:rsidR="002E474C" w:rsidRDefault="00000000">
            <w:pPr>
              <w:pStyle w:val="A-"/>
              <w:spacing w:line="260" w:lineRule="exact"/>
            </w:pPr>
            <w:r>
              <w:t>锂电池隔膜生产过程中产生的废白油</w:t>
            </w:r>
          </w:p>
        </w:tc>
        <w:tc>
          <w:tcPr>
            <w:tcW w:w="663" w:type="dxa"/>
            <w:noWrap/>
            <w:vAlign w:val="center"/>
          </w:tcPr>
          <w:p w14:paraId="061D5BAD" w14:textId="77777777" w:rsidR="002E474C" w:rsidRDefault="00000000">
            <w:pPr>
              <w:pStyle w:val="A-"/>
              <w:spacing w:line="260" w:lineRule="exact"/>
            </w:pPr>
            <w:r>
              <w:t>T</w:t>
            </w:r>
          </w:p>
        </w:tc>
      </w:tr>
      <w:tr w:rsidR="002E474C" w14:paraId="11CA748C" w14:textId="77777777">
        <w:trPr>
          <w:trHeight w:val="300"/>
        </w:trPr>
        <w:tc>
          <w:tcPr>
            <w:tcW w:w="828" w:type="dxa"/>
            <w:vMerge/>
            <w:vAlign w:val="center"/>
          </w:tcPr>
          <w:p w14:paraId="143C1C62" w14:textId="77777777" w:rsidR="002E474C" w:rsidRDefault="002E474C">
            <w:pPr>
              <w:pStyle w:val="A-"/>
              <w:spacing w:line="260" w:lineRule="exact"/>
            </w:pPr>
          </w:p>
        </w:tc>
        <w:tc>
          <w:tcPr>
            <w:tcW w:w="893" w:type="dxa"/>
            <w:noWrap/>
            <w:vAlign w:val="center"/>
          </w:tcPr>
          <w:p w14:paraId="6119A960" w14:textId="77777777" w:rsidR="002E474C" w:rsidRDefault="00000000">
            <w:pPr>
              <w:pStyle w:val="A-"/>
              <w:spacing w:line="260" w:lineRule="exact"/>
            </w:pPr>
            <w:r>
              <w:t>橡胶制品业</w:t>
            </w:r>
          </w:p>
        </w:tc>
        <w:tc>
          <w:tcPr>
            <w:tcW w:w="1147" w:type="dxa"/>
            <w:noWrap/>
            <w:vAlign w:val="center"/>
          </w:tcPr>
          <w:p w14:paraId="3083B68C" w14:textId="77777777" w:rsidR="002E474C" w:rsidRDefault="00000000">
            <w:pPr>
              <w:pStyle w:val="A-"/>
              <w:spacing w:line="260" w:lineRule="exact"/>
              <w:ind w:leftChars="-25" w:left="-53" w:rightChars="-25" w:right="-53"/>
            </w:pPr>
            <w:r>
              <w:t>291-001-08</w:t>
            </w:r>
          </w:p>
        </w:tc>
        <w:tc>
          <w:tcPr>
            <w:tcW w:w="4991" w:type="dxa"/>
            <w:noWrap/>
            <w:vAlign w:val="center"/>
          </w:tcPr>
          <w:p w14:paraId="47FED733" w14:textId="77777777" w:rsidR="002E474C" w:rsidRDefault="00000000">
            <w:pPr>
              <w:pStyle w:val="A-"/>
              <w:spacing w:line="260" w:lineRule="exact"/>
            </w:pPr>
            <w:r>
              <w:t>橡胶生产过程中产生的废溶剂油</w:t>
            </w:r>
          </w:p>
        </w:tc>
        <w:tc>
          <w:tcPr>
            <w:tcW w:w="663" w:type="dxa"/>
            <w:noWrap/>
            <w:vAlign w:val="center"/>
          </w:tcPr>
          <w:p w14:paraId="16929E2A" w14:textId="77777777" w:rsidR="002E474C" w:rsidRDefault="00000000">
            <w:pPr>
              <w:pStyle w:val="A-"/>
              <w:spacing w:line="260" w:lineRule="exact"/>
            </w:pPr>
            <w:r>
              <w:t>T</w:t>
            </w:r>
            <w:r>
              <w:t>，</w:t>
            </w:r>
            <w:r>
              <w:t>I</w:t>
            </w:r>
          </w:p>
        </w:tc>
      </w:tr>
      <w:tr w:rsidR="002E474C" w14:paraId="607C6916" w14:textId="77777777">
        <w:trPr>
          <w:trHeight w:val="300"/>
        </w:trPr>
        <w:tc>
          <w:tcPr>
            <w:tcW w:w="828" w:type="dxa"/>
            <w:vMerge/>
            <w:vAlign w:val="center"/>
          </w:tcPr>
          <w:p w14:paraId="1EE5D6AF" w14:textId="77777777" w:rsidR="002E474C" w:rsidRDefault="002E474C">
            <w:pPr>
              <w:pStyle w:val="A-"/>
              <w:spacing w:line="260" w:lineRule="exact"/>
            </w:pPr>
          </w:p>
        </w:tc>
        <w:tc>
          <w:tcPr>
            <w:tcW w:w="893" w:type="dxa"/>
            <w:vMerge w:val="restart"/>
            <w:noWrap/>
            <w:vAlign w:val="center"/>
          </w:tcPr>
          <w:p w14:paraId="7269B769" w14:textId="77777777" w:rsidR="002E474C" w:rsidRDefault="00000000">
            <w:pPr>
              <w:pStyle w:val="A-"/>
              <w:spacing w:line="260" w:lineRule="exact"/>
            </w:pPr>
            <w:r>
              <w:t>非特定行业</w:t>
            </w:r>
          </w:p>
        </w:tc>
        <w:tc>
          <w:tcPr>
            <w:tcW w:w="1147" w:type="dxa"/>
            <w:noWrap/>
            <w:vAlign w:val="center"/>
          </w:tcPr>
          <w:p w14:paraId="5CAE2E0E" w14:textId="77777777" w:rsidR="002E474C" w:rsidRDefault="00000000">
            <w:pPr>
              <w:pStyle w:val="A-"/>
              <w:spacing w:line="260" w:lineRule="exact"/>
              <w:ind w:leftChars="-25" w:left="-53" w:rightChars="-25" w:right="-53"/>
            </w:pPr>
            <w:r>
              <w:t>900-199-08</w:t>
            </w:r>
          </w:p>
        </w:tc>
        <w:tc>
          <w:tcPr>
            <w:tcW w:w="4991" w:type="dxa"/>
            <w:noWrap/>
            <w:vAlign w:val="center"/>
          </w:tcPr>
          <w:p w14:paraId="2129B31E" w14:textId="77777777" w:rsidR="002E474C" w:rsidRDefault="00000000">
            <w:pPr>
              <w:pStyle w:val="A-"/>
              <w:spacing w:line="260" w:lineRule="exact"/>
            </w:pPr>
            <w:r>
              <w:t>内燃机、汽车、轮船等集中拆解过程产生的废矿物油及油泥</w:t>
            </w:r>
          </w:p>
        </w:tc>
        <w:tc>
          <w:tcPr>
            <w:tcW w:w="663" w:type="dxa"/>
            <w:noWrap/>
            <w:vAlign w:val="center"/>
          </w:tcPr>
          <w:p w14:paraId="57C94C2E" w14:textId="77777777" w:rsidR="002E474C" w:rsidRDefault="00000000">
            <w:pPr>
              <w:pStyle w:val="A-"/>
              <w:spacing w:line="260" w:lineRule="exact"/>
            </w:pPr>
            <w:r>
              <w:t>T</w:t>
            </w:r>
            <w:r>
              <w:t>，</w:t>
            </w:r>
            <w:r>
              <w:t>I</w:t>
            </w:r>
          </w:p>
        </w:tc>
      </w:tr>
      <w:tr w:rsidR="002E474C" w14:paraId="4E850DFB" w14:textId="77777777">
        <w:trPr>
          <w:trHeight w:val="300"/>
        </w:trPr>
        <w:tc>
          <w:tcPr>
            <w:tcW w:w="828" w:type="dxa"/>
            <w:vMerge/>
            <w:vAlign w:val="center"/>
          </w:tcPr>
          <w:p w14:paraId="1FD84BCF" w14:textId="77777777" w:rsidR="002E474C" w:rsidRDefault="002E474C">
            <w:pPr>
              <w:pStyle w:val="A-"/>
              <w:spacing w:line="260" w:lineRule="exact"/>
            </w:pPr>
          </w:p>
        </w:tc>
        <w:tc>
          <w:tcPr>
            <w:tcW w:w="893" w:type="dxa"/>
            <w:vMerge/>
            <w:vAlign w:val="center"/>
          </w:tcPr>
          <w:p w14:paraId="47E0FD5F" w14:textId="77777777" w:rsidR="002E474C" w:rsidRDefault="002E474C">
            <w:pPr>
              <w:pStyle w:val="A-"/>
              <w:spacing w:line="260" w:lineRule="exact"/>
            </w:pPr>
          </w:p>
        </w:tc>
        <w:tc>
          <w:tcPr>
            <w:tcW w:w="1147" w:type="dxa"/>
            <w:noWrap/>
            <w:vAlign w:val="center"/>
          </w:tcPr>
          <w:p w14:paraId="1D64EFB1" w14:textId="77777777" w:rsidR="002E474C" w:rsidRDefault="00000000">
            <w:pPr>
              <w:pStyle w:val="A-"/>
              <w:spacing w:line="260" w:lineRule="exact"/>
              <w:ind w:leftChars="-25" w:left="-53" w:rightChars="-25" w:right="-53"/>
            </w:pPr>
            <w:r>
              <w:t>900-200-08</w:t>
            </w:r>
          </w:p>
        </w:tc>
        <w:tc>
          <w:tcPr>
            <w:tcW w:w="4991" w:type="dxa"/>
            <w:noWrap/>
            <w:vAlign w:val="center"/>
          </w:tcPr>
          <w:p w14:paraId="444C2C65" w14:textId="77777777" w:rsidR="002E474C" w:rsidRDefault="00000000">
            <w:pPr>
              <w:pStyle w:val="A-"/>
              <w:spacing w:line="260" w:lineRule="exact"/>
            </w:pPr>
            <w:r>
              <w:t>珩磨、研磨、打磨过程产生的废矿物油及油泥</w:t>
            </w:r>
          </w:p>
        </w:tc>
        <w:tc>
          <w:tcPr>
            <w:tcW w:w="663" w:type="dxa"/>
            <w:noWrap/>
            <w:vAlign w:val="center"/>
          </w:tcPr>
          <w:p w14:paraId="39500964" w14:textId="77777777" w:rsidR="002E474C" w:rsidRDefault="00000000">
            <w:pPr>
              <w:pStyle w:val="A-"/>
              <w:spacing w:line="260" w:lineRule="exact"/>
            </w:pPr>
            <w:r>
              <w:t>T</w:t>
            </w:r>
            <w:r>
              <w:t>，</w:t>
            </w:r>
            <w:r>
              <w:t>I</w:t>
            </w:r>
          </w:p>
        </w:tc>
      </w:tr>
      <w:tr w:rsidR="002E474C" w14:paraId="3FFB6422" w14:textId="77777777">
        <w:trPr>
          <w:trHeight w:val="300"/>
        </w:trPr>
        <w:tc>
          <w:tcPr>
            <w:tcW w:w="828" w:type="dxa"/>
            <w:vMerge/>
            <w:vAlign w:val="center"/>
          </w:tcPr>
          <w:p w14:paraId="6176290D" w14:textId="77777777" w:rsidR="002E474C" w:rsidRDefault="002E474C">
            <w:pPr>
              <w:pStyle w:val="A-"/>
              <w:spacing w:line="260" w:lineRule="exact"/>
            </w:pPr>
          </w:p>
        </w:tc>
        <w:tc>
          <w:tcPr>
            <w:tcW w:w="893" w:type="dxa"/>
            <w:vMerge/>
            <w:vAlign w:val="center"/>
          </w:tcPr>
          <w:p w14:paraId="0D11D3E2" w14:textId="77777777" w:rsidR="002E474C" w:rsidRDefault="002E474C">
            <w:pPr>
              <w:pStyle w:val="A-"/>
              <w:spacing w:line="260" w:lineRule="exact"/>
            </w:pPr>
          </w:p>
        </w:tc>
        <w:tc>
          <w:tcPr>
            <w:tcW w:w="1147" w:type="dxa"/>
            <w:noWrap/>
            <w:vAlign w:val="center"/>
          </w:tcPr>
          <w:p w14:paraId="7FFA37C0" w14:textId="77777777" w:rsidR="002E474C" w:rsidRDefault="00000000">
            <w:pPr>
              <w:pStyle w:val="A-"/>
              <w:spacing w:line="260" w:lineRule="exact"/>
              <w:ind w:leftChars="-25" w:left="-53" w:rightChars="-25" w:right="-53"/>
            </w:pPr>
            <w:r>
              <w:t>900-201-08</w:t>
            </w:r>
          </w:p>
        </w:tc>
        <w:tc>
          <w:tcPr>
            <w:tcW w:w="4991" w:type="dxa"/>
            <w:noWrap/>
            <w:vAlign w:val="center"/>
          </w:tcPr>
          <w:p w14:paraId="3D39B8DC" w14:textId="77777777" w:rsidR="002E474C" w:rsidRDefault="00000000">
            <w:pPr>
              <w:pStyle w:val="A-"/>
              <w:spacing w:line="260" w:lineRule="exact"/>
            </w:pPr>
            <w:r>
              <w:t>清洗金属零部件过程中产生的废弃的煤油、柴油、汽油及其他由石油和煤炼制生产的溶剂油</w:t>
            </w:r>
          </w:p>
        </w:tc>
        <w:tc>
          <w:tcPr>
            <w:tcW w:w="663" w:type="dxa"/>
            <w:noWrap/>
            <w:vAlign w:val="center"/>
          </w:tcPr>
          <w:p w14:paraId="6A75B05A" w14:textId="77777777" w:rsidR="002E474C" w:rsidRDefault="00000000">
            <w:pPr>
              <w:pStyle w:val="A-"/>
              <w:spacing w:line="260" w:lineRule="exact"/>
            </w:pPr>
            <w:r>
              <w:t>T</w:t>
            </w:r>
            <w:r>
              <w:t>，</w:t>
            </w:r>
            <w:r>
              <w:t>I</w:t>
            </w:r>
          </w:p>
        </w:tc>
      </w:tr>
      <w:tr w:rsidR="002E474C" w14:paraId="4EDDB8A2" w14:textId="77777777">
        <w:trPr>
          <w:trHeight w:val="300"/>
        </w:trPr>
        <w:tc>
          <w:tcPr>
            <w:tcW w:w="828" w:type="dxa"/>
            <w:vMerge/>
            <w:vAlign w:val="center"/>
          </w:tcPr>
          <w:p w14:paraId="2A3D345C" w14:textId="77777777" w:rsidR="002E474C" w:rsidRDefault="002E474C">
            <w:pPr>
              <w:pStyle w:val="A-"/>
              <w:spacing w:line="260" w:lineRule="exact"/>
            </w:pPr>
          </w:p>
        </w:tc>
        <w:tc>
          <w:tcPr>
            <w:tcW w:w="893" w:type="dxa"/>
            <w:vMerge/>
            <w:vAlign w:val="center"/>
          </w:tcPr>
          <w:p w14:paraId="090E7641" w14:textId="77777777" w:rsidR="002E474C" w:rsidRDefault="002E474C">
            <w:pPr>
              <w:pStyle w:val="A-"/>
              <w:spacing w:line="260" w:lineRule="exact"/>
            </w:pPr>
          </w:p>
        </w:tc>
        <w:tc>
          <w:tcPr>
            <w:tcW w:w="1147" w:type="dxa"/>
            <w:noWrap/>
            <w:vAlign w:val="center"/>
          </w:tcPr>
          <w:p w14:paraId="0ADB645F" w14:textId="77777777" w:rsidR="002E474C" w:rsidRDefault="00000000">
            <w:pPr>
              <w:pStyle w:val="A-"/>
              <w:spacing w:line="260" w:lineRule="exact"/>
              <w:ind w:leftChars="-25" w:left="-53" w:rightChars="-25" w:right="-53"/>
            </w:pPr>
            <w:r>
              <w:t>900-203-08</w:t>
            </w:r>
          </w:p>
        </w:tc>
        <w:tc>
          <w:tcPr>
            <w:tcW w:w="4991" w:type="dxa"/>
            <w:noWrap/>
            <w:vAlign w:val="center"/>
          </w:tcPr>
          <w:p w14:paraId="1DA6524D" w14:textId="77777777" w:rsidR="002E474C" w:rsidRDefault="00000000">
            <w:pPr>
              <w:pStyle w:val="A-"/>
              <w:spacing w:line="260" w:lineRule="exact"/>
            </w:pPr>
            <w:r>
              <w:t>使用淬火油进行表面硬化处理产生的废矿物油</w:t>
            </w:r>
          </w:p>
        </w:tc>
        <w:tc>
          <w:tcPr>
            <w:tcW w:w="663" w:type="dxa"/>
            <w:noWrap/>
            <w:vAlign w:val="center"/>
          </w:tcPr>
          <w:p w14:paraId="10B019E2" w14:textId="77777777" w:rsidR="002E474C" w:rsidRDefault="00000000">
            <w:pPr>
              <w:pStyle w:val="A-"/>
              <w:spacing w:line="260" w:lineRule="exact"/>
            </w:pPr>
            <w:r>
              <w:t>T</w:t>
            </w:r>
          </w:p>
        </w:tc>
      </w:tr>
      <w:tr w:rsidR="002E474C" w14:paraId="503D71FF" w14:textId="77777777">
        <w:trPr>
          <w:trHeight w:val="300"/>
        </w:trPr>
        <w:tc>
          <w:tcPr>
            <w:tcW w:w="828" w:type="dxa"/>
            <w:vMerge/>
            <w:vAlign w:val="center"/>
          </w:tcPr>
          <w:p w14:paraId="2B010E46" w14:textId="77777777" w:rsidR="002E474C" w:rsidRDefault="002E474C">
            <w:pPr>
              <w:pStyle w:val="A-"/>
              <w:spacing w:line="260" w:lineRule="exact"/>
            </w:pPr>
          </w:p>
        </w:tc>
        <w:tc>
          <w:tcPr>
            <w:tcW w:w="893" w:type="dxa"/>
            <w:vMerge/>
            <w:vAlign w:val="center"/>
          </w:tcPr>
          <w:p w14:paraId="628D4ABA" w14:textId="77777777" w:rsidR="002E474C" w:rsidRDefault="002E474C">
            <w:pPr>
              <w:pStyle w:val="A-"/>
              <w:spacing w:line="260" w:lineRule="exact"/>
            </w:pPr>
          </w:p>
        </w:tc>
        <w:tc>
          <w:tcPr>
            <w:tcW w:w="1147" w:type="dxa"/>
            <w:noWrap/>
            <w:vAlign w:val="center"/>
          </w:tcPr>
          <w:p w14:paraId="61789D5B" w14:textId="77777777" w:rsidR="002E474C" w:rsidRDefault="00000000">
            <w:pPr>
              <w:pStyle w:val="A-"/>
              <w:spacing w:line="260" w:lineRule="exact"/>
              <w:ind w:leftChars="-25" w:left="-53" w:rightChars="-25" w:right="-53"/>
            </w:pPr>
            <w:r>
              <w:t>900-204-08</w:t>
            </w:r>
          </w:p>
        </w:tc>
        <w:tc>
          <w:tcPr>
            <w:tcW w:w="4991" w:type="dxa"/>
            <w:noWrap/>
            <w:vAlign w:val="center"/>
          </w:tcPr>
          <w:p w14:paraId="6B399974" w14:textId="77777777" w:rsidR="002E474C" w:rsidRDefault="00000000">
            <w:pPr>
              <w:pStyle w:val="A-"/>
              <w:spacing w:line="260" w:lineRule="exact"/>
            </w:pPr>
            <w:r>
              <w:rPr>
                <w:spacing w:val="-6"/>
              </w:rPr>
              <w:t>使用轧制油、冷却剂及酸进行金属轧制产生的废矿物油</w:t>
            </w:r>
          </w:p>
        </w:tc>
        <w:tc>
          <w:tcPr>
            <w:tcW w:w="663" w:type="dxa"/>
            <w:noWrap/>
            <w:vAlign w:val="center"/>
          </w:tcPr>
          <w:p w14:paraId="1BC0D87A" w14:textId="77777777" w:rsidR="002E474C" w:rsidRDefault="00000000">
            <w:pPr>
              <w:pStyle w:val="A-"/>
              <w:spacing w:line="260" w:lineRule="exact"/>
            </w:pPr>
            <w:r>
              <w:t>T</w:t>
            </w:r>
          </w:p>
        </w:tc>
      </w:tr>
      <w:tr w:rsidR="002E474C" w14:paraId="1EF31376" w14:textId="77777777">
        <w:trPr>
          <w:trHeight w:val="300"/>
        </w:trPr>
        <w:tc>
          <w:tcPr>
            <w:tcW w:w="828" w:type="dxa"/>
            <w:vMerge/>
            <w:vAlign w:val="center"/>
          </w:tcPr>
          <w:p w14:paraId="604B2DE2" w14:textId="77777777" w:rsidR="002E474C" w:rsidRDefault="002E474C">
            <w:pPr>
              <w:pStyle w:val="A-"/>
              <w:spacing w:line="260" w:lineRule="exact"/>
            </w:pPr>
          </w:p>
        </w:tc>
        <w:tc>
          <w:tcPr>
            <w:tcW w:w="893" w:type="dxa"/>
            <w:vMerge/>
            <w:vAlign w:val="center"/>
          </w:tcPr>
          <w:p w14:paraId="3F2C26AC" w14:textId="77777777" w:rsidR="002E474C" w:rsidRDefault="002E474C">
            <w:pPr>
              <w:pStyle w:val="A-"/>
              <w:spacing w:line="260" w:lineRule="exact"/>
            </w:pPr>
          </w:p>
        </w:tc>
        <w:tc>
          <w:tcPr>
            <w:tcW w:w="1147" w:type="dxa"/>
            <w:noWrap/>
            <w:vAlign w:val="center"/>
          </w:tcPr>
          <w:p w14:paraId="1BD459B8" w14:textId="77777777" w:rsidR="002E474C" w:rsidRDefault="00000000">
            <w:pPr>
              <w:pStyle w:val="A-"/>
              <w:spacing w:line="260" w:lineRule="exact"/>
              <w:ind w:leftChars="-25" w:left="-53" w:rightChars="-25" w:right="-53"/>
            </w:pPr>
            <w:r>
              <w:t>900-205-08</w:t>
            </w:r>
          </w:p>
        </w:tc>
        <w:tc>
          <w:tcPr>
            <w:tcW w:w="4991" w:type="dxa"/>
            <w:noWrap/>
            <w:vAlign w:val="center"/>
          </w:tcPr>
          <w:p w14:paraId="3C82BB64" w14:textId="77777777" w:rsidR="002E474C" w:rsidRDefault="00000000">
            <w:pPr>
              <w:pStyle w:val="A-"/>
              <w:spacing w:line="260" w:lineRule="exact"/>
            </w:pPr>
            <w:r>
              <w:t>镀锡及焊锡回收工艺产生的废矿物油</w:t>
            </w:r>
          </w:p>
        </w:tc>
        <w:tc>
          <w:tcPr>
            <w:tcW w:w="663" w:type="dxa"/>
            <w:noWrap/>
            <w:vAlign w:val="center"/>
          </w:tcPr>
          <w:p w14:paraId="7E5BB31B" w14:textId="77777777" w:rsidR="002E474C" w:rsidRDefault="00000000">
            <w:pPr>
              <w:pStyle w:val="A-"/>
              <w:spacing w:line="260" w:lineRule="exact"/>
            </w:pPr>
            <w:r>
              <w:t>T</w:t>
            </w:r>
          </w:p>
        </w:tc>
      </w:tr>
      <w:tr w:rsidR="002E474C" w14:paraId="0EBA8144" w14:textId="77777777">
        <w:trPr>
          <w:trHeight w:val="300"/>
        </w:trPr>
        <w:tc>
          <w:tcPr>
            <w:tcW w:w="828" w:type="dxa"/>
            <w:vMerge/>
            <w:vAlign w:val="center"/>
          </w:tcPr>
          <w:p w14:paraId="6E3E6B0F" w14:textId="77777777" w:rsidR="002E474C" w:rsidRDefault="002E474C">
            <w:pPr>
              <w:pStyle w:val="A-"/>
              <w:spacing w:line="260" w:lineRule="exact"/>
            </w:pPr>
          </w:p>
        </w:tc>
        <w:tc>
          <w:tcPr>
            <w:tcW w:w="893" w:type="dxa"/>
            <w:vMerge/>
            <w:vAlign w:val="center"/>
          </w:tcPr>
          <w:p w14:paraId="6B9E0C71" w14:textId="77777777" w:rsidR="002E474C" w:rsidRDefault="002E474C">
            <w:pPr>
              <w:pStyle w:val="A-"/>
              <w:spacing w:line="260" w:lineRule="exact"/>
            </w:pPr>
          </w:p>
        </w:tc>
        <w:tc>
          <w:tcPr>
            <w:tcW w:w="1147" w:type="dxa"/>
            <w:noWrap/>
            <w:vAlign w:val="center"/>
          </w:tcPr>
          <w:p w14:paraId="29503DC5" w14:textId="77777777" w:rsidR="002E474C" w:rsidRDefault="00000000">
            <w:pPr>
              <w:pStyle w:val="A-"/>
              <w:spacing w:line="260" w:lineRule="exact"/>
              <w:ind w:leftChars="-25" w:left="-53" w:rightChars="-25" w:right="-53"/>
            </w:pPr>
            <w:r>
              <w:t>900-209-08</w:t>
            </w:r>
          </w:p>
        </w:tc>
        <w:tc>
          <w:tcPr>
            <w:tcW w:w="4991" w:type="dxa"/>
            <w:noWrap/>
            <w:vAlign w:val="center"/>
          </w:tcPr>
          <w:p w14:paraId="065E65A4" w14:textId="77777777" w:rsidR="002E474C" w:rsidRDefault="00000000">
            <w:pPr>
              <w:pStyle w:val="A-"/>
              <w:spacing w:line="260" w:lineRule="exact"/>
            </w:pPr>
            <w:r>
              <w:t>金属、塑料的定型和物理机械表面处理过程中产生的废石蜡和润滑油</w:t>
            </w:r>
          </w:p>
        </w:tc>
        <w:tc>
          <w:tcPr>
            <w:tcW w:w="663" w:type="dxa"/>
            <w:noWrap/>
            <w:vAlign w:val="center"/>
          </w:tcPr>
          <w:p w14:paraId="6E6E0B75" w14:textId="77777777" w:rsidR="002E474C" w:rsidRDefault="00000000">
            <w:pPr>
              <w:pStyle w:val="A-"/>
              <w:spacing w:line="260" w:lineRule="exact"/>
            </w:pPr>
            <w:r>
              <w:t>T</w:t>
            </w:r>
            <w:r>
              <w:t>，</w:t>
            </w:r>
            <w:r>
              <w:t>I</w:t>
            </w:r>
          </w:p>
        </w:tc>
      </w:tr>
      <w:tr w:rsidR="002E474C" w14:paraId="56C4258C" w14:textId="77777777">
        <w:trPr>
          <w:trHeight w:val="300"/>
        </w:trPr>
        <w:tc>
          <w:tcPr>
            <w:tcW w:w="828" w:type="dxa"/>
            <w:vMerge/>
            <w:vAlign w:val="center"/>
          </w:tcPr>
          <w:p w14:paraId="23FDC7A0" w14:textId="77777777" w:rsidR="002E474C" w:rsidRDefault="002E474C">
            <w:pPr>
              <w:pStyle w:val="A-"/>
              <w:spacing w:line="260" w:lineRule="exact"/>
            </w:pPr>
          </w:p>
        </w:tc>
        <w:tc>
          <w:tcPr>
            <w:tcW w:w="893" w:type="dxa"/>
            <w:vMerge/>
            <w:vAlign w:val="center"/>
          </w:tcPr>
          <w:p w14:paraId="59E00842" w14:textId="77777777" w:rsidR="002E474C" w:rsidRDefault="002E474C">
            <w:pPr>
              <w:pStyle w:val="A-"/>
              <w:spacing w:line="260" w:lineRule="exact"/>
            </w:pPr>
          </w:p>
        </w:tc>
        <w:tc>
          <w:tcPr>
            <w:tcW w:w="1147" w:type="dxa"/>
            <w:noWrap/>
            <w:vAlign w:val="center"/>
          </w:tcPr>
          <w:p w14:paraId="02A9C298" w14:textId="77777777" w:rsidR="002E474C" w:rsidRDefault="00000000">
            <w:pPr>
              <w:pStyle w:val="A-"/>
              <w:spacing w:line="260" w:lineRule="exact"/>
              <w:ind w:leftChars="-25" w:left="-53" w:rightChars="-25" w:right="-53"/>
            </w:pPr>
            <w:r>
              <w:t>900-210-08</w:t>
            </w:r>
          </w:p>
        </w:tc>
        <w:tc>
          <w:tcPr>
            <w:tcW w:w="4991" w:type="dxa"/>
            <w:noWrap/>
            <w:vAlign w:val="center"/>
          </w:tcPr>
          <w:p w14:paraId="459AE2F0" w14:textId="77777777" w:rsidR="002E474C" w:rsidRDefault="00000000">
            <w:pPr>
              <w:pStyle w:val="A-"/>
              <w:spacing w:line="260" w:lineRule="exact"/>
            </w:pPr>
            <w:r>
              <w:t>含油废水处理中隔油、气浮、沉淀等处理过程中产生的浮油、浮渣和污泥（不包括废水生化处理污泥）</w:t>
            </w:r>
          </w:p>
        </w:tc>
        <w:tc>
          <w:tcPr>
            <w:tcW w:w="663" w:type="dxa"/>
            <w:noWrap/>
            <w:vAlign w:val="center"/>
          </w:tcPr>
          <w:p w14:paraId="6200E0FD" w14:textId="77777777" w:rsidR="002E474C" w:rsidRDefault="00000000">
            <w:pPr>
              <w:pStyle w:val="A-"/>
              <w:spacing w:line="260" w:lineRule="exact"/>
            </w:pPr>
            <w:r>
              <w:t>T</w:t>
            </w:r>
            <w:r>
              <w:t>，</w:t>
            </w:r>
            <w:r>
              <w:t>I</w:t>
            </w:r>
          </w:p>
        </w:tc>
      </w:tr>
      <w:tr w:rsidR="002E474C" w14:paraId="1EB889B4" w14:textId="77777777">
        <w:trPr>
          <w:trHeight w:val="300"/>
        </w:trPr>
        <w:tc>
          <w:tcPr>
            <w:tcW w:w="828" w:type="dxa"/>
            <w:vMerge/>
            <w:vAlign w:val="center"/>
          </w:tcPr>
          <w:p w14:paraId="3DE14B52" w14:textId="77777777" w:rsidR="002E474C" w:rsidRDefault="002E474C">
            <w:pPr>
              <w:pStyle w:val="A-"/>
              <w:spacing w:line="260" w:lineRule="exact"/>
            </w:pPr>
          </w:p>
        </w:tc>
        <w:tc>
          <w:tcPr>
            <w:tcW w:w="893" w:type="dxa"/>
            <w:vMerge/>
            <w:vAlign w:val="center"/>
          </w:tcPr>
          <w:p w14:paraId="07134C01" w14:textId="77777777" w:rsidR="002E474C" w:rsidRDefault="002E474C">
            <w:pPr>
              <w:pStyle w:val="A-"/>
              <w:spacing w:line="260" w:lineRule="exact"/>
            </w:pPr>
          </w:p>
        </w:tc>
        <w:tc>
          <w:tcPr>
            <w:tcW w:w="1147" w:type="dxa"/>
            <w:noWrap/>
            <w:vAlign w:val="center"/>
          </w:tcPr>
          <w:p w14:paraId="0A577338" w14:textId="77777777" w:rsidR="002E474C" w:rsidRDefault="00000000">
            <w:pPr>
              <w:pStyle w:val="A-"/>
              <w:spacing w:line="260" w:lineRule="exact"/>
              <w:ind w:leftChars="-25" w:left="-53" w:rightChars="-25" w:right="-53"/>
            </w:pPr>
            <w:r>
              <w:t>900-213-08</w:t>
            </w:r>
          </w:p>
        </w:tc>
        <w:tc>
          <w:tcPr>
            <w:tcW w:w="4991" w:type="dxa"/>
            <w:noWrap/>
            <w:vAlign w:val="center"/>
          </w:tcPr>
          <w:p w14:paraId="57EBEF4D" w14:textId="77777777" w:rsidR="002E474C" w:rsidRDefault="00000000">
            <w:pPr>
              <w:pStyle w:val="A-"/>
              <w:spacing w:line="260" w:lineRule="exact"/>
            </w:pPr>
            <w:r>
              <w:t>废矿物油再生净化过程中产生的沉淀残渣、过滤残渣、废过滤吸附介质</w:t>
            </w:r>
          </w:p>
        </w:tc>
        <w:tc>
          <w:tcPr>
            <w:tcW w:w="663" w:type="dxa"/>
            <w:noWrap/>
            <w:vAlign w:val="center"/>
          </w:tcPr>
          <w:p w14:paraId="11485383" w14:textId="77777777" w:rsidR="002E474C" w:rsidRDefault="00000000">
            <w:pPr>
              <w:pStyle w:val="A-"/>
              <w:spacing w:line="260" w:lineRule="exact"/>
            </w:pPr>
            <w:r>
              <w:t>T</w:t>
            </w:r>
            <w:r>
              <w:t>，</w:t>
            </w:r>
            <w:r>
              <w:t>I</w:t>
            </w:r>
          </w:p>
        </w:tc>
      </w:tr>
      <w:tr w:rsidR="002E474C" w14:paraId="6ECA45AB" w14:textId="77777777">
        <w:trPr>
          <w:trHeight w:val="300"/>
        </w:trPr>
        <w:tc>
          <w:tcPr>
            <w:tcW w:w="828" w:type="dxa"/>
            <w:vMerge/>
            <w:vAlign w:val="center"/>
          </w:tcPr>
          <w:p w14:paraId="28879250" w14:textId="77777777" w:rsidR="002E474C" w:rsidRDefault="002E474C">
            <w:pPr>
              <w:pStyle w:val="A-"/>
              <w:spacing w:line="260" w:lineRule="exact"/>
            </w:pPr>
          </w:p>
        </w:tc>
        <w:tc>
          <w:tcPr>
            <w:tcW w:w="893" w:type="dxa"/>
            <w:vMerge/>
            <w:vAlign w:val="center"/>
          </w:tcPr>
          <w:p w14:paraId="7404CB52" w14:textId="77777777" w:rsidR="002E474C" w:rsidRDefault="002E474C">
            <w:pPr>
              <w:pStyle w:val="A-"/>
              <w:spacing w:line="260" w:lineRule="exact"/>
            </w:pPr>
          </w:p>
        </w:tc>
        <w:tc>
          <w:tcPr>
            <w:tcW w:w="1147" w:type="dxa"/>
            <w:noWrap/>
            <w:vAlign w:val="center"/>
          </w:tcPr>
          <w:p w14:paraId="76F8F4D5" w14:textId="77777777" w:rsidR="002E474C" w:rsidRDefault="00000000">
            <w:pPr>
              <w:pStyle w:val="A-"/>
              <w:spacing w:line="260" w:lineRule="exact"/>
              <w:ind w:leftChars="-25" w:left="-53" w:rightChars="-25" w:right="-53"/>
            </w:pPr>
            <w:r>
              <w:t>900-214-08</w:t>
            </w:r>
          </w:p>
        </w:tc>
        <w:tc>
          <w:tcPr>
            <w:tcW w:w="4991" w:type="dxa"/>
            <w:noWrap/>
            <w:vAlign w:val="center"/>
          </w:tcPr>
          <w:p w14:paraId="47D58CE2" w14:textId="77777777" w:rsidR="002E474C" w:rsidRDefault="00000000">
            <w:pPr>
              <w:pStyle w:val="A-"/>
              <w:spacing w:line="260" w:lineRule="exact"/>
            </w:pPr>
            <w:r>
              <w:t>车辆、轮船及其它机械维修过程中产生的废发动机</w:t>
            </w:r>
            <w:r>
              <w:lastRenderedPageBreak/>
              <w:t>油、制动器油、</w:t>
            </w:r>
            <w:r>
              <w:t xml:space="preserve"> </w:t>
            </w:r>
            <w:r>
              <w:t>自动变速器油、齿轮油等废润滑油</w:t>
            </w:r>
          </w:p>
        </w:tc>
        <w:tc>
          <w:tcPr>
            <w:tcW w:w="663" w:type="dxa"/>
            <w:noWrap/>
            <w:vAlign w:val="center"/>
          </w:tcPr>
          <w:p w14:paraId="668A9D88" w14:textId="77777777" w:rsidR="002E474C" w:rsidRDefault="00000000">
            <w:pPr>
              <w:pStyle w:val="A-"/>
              <w:spacing w:line="260" w:lineRule="exact"/>
            </w:pPr>
            <w:r>
              <w:lastRenderedPageBreak/>
              <w:t>T</w:t>
            </w:r>
            <w:r>
              <w:t>，</w:t>
            </w:r>
            <w:r>
              <w:t>I</w:t>
            </w:r>
          </w:p>
        </w:tc>
      </w:tr>
      <w:tr w:rsidR="002E474C" w14:paraId="26EFDCA6" w14:textId="77777777">
        <w:trPr>
          <w:trHeight w:val="300"/>
        </w:trPr>
        <w:tc>
          <w:tcPr>
            <w:tcW w:w="828" w:type="dxa"/>
            <w:vMerge/>
            <w:vAlign w:val="center"/>
          </w:tcPr>
          <w:p w14:paraId="60DF941A" w14:textId="77777777" w:rsidR="002E474C" w:rsidRDefault="002E474C">
            <w:pPr>
              <w:pStyle w:val="A-"/>
              <w:spacing w:line="260" w:lineRule="exact"/>
            </w:pPr>
          </w:p>
        </w:tc>
        <w:tc>
          <w:tcPr>
            <w:tcW w:w="893" w:type="dxa"/>
            <w:vMerge/>
            <w:vAlign w:val="center"/>
          </w:tcPr>
          <w:p w14:paraId="7C418155" w14:textId="77777777" w:rsidR="002E474C" w:rsidRDefault="002E474C">
            <w:pPr>
              <w:pStyle w:val="A-"/>
              <w:spacing w:line="260" w:lineRule="exact"/>
            </w:pPr>
          </w:p>
        </w:tc>
        <w:tc>
          <w:tcPr>
            <w:tcW w:w="1147" w:type="dxa"/>
            <w:noWrap/>
            <w:vAlign w:val="center"/>
          </w:tcPr>
          <w:p w14:paraId="780B9C8D" w14:textId="77777777" w:rsidR="002E474C" w:rsidRDefault="00000000">
            <w:pPr>
              <w:pStyle w:val="A-"/>
              <w:spacing w:line="260" w:lineRule="exact"/>
              <w:ind w:leftChars="-25" w:left="-53" w:rightChars="-25" w:right="-53"/>
            </w:pPr>
            <w:r>
              <w:t>900-215-08</w:t>
            </w:r>
          </w:p>
        </w:tc>
        <w:tc>
          <w:tcPr>
            <w:tcW w:w="4991" w:type="dxa"/>
            <w:noWrap/>
            <w:vAlign w:val="center"/>
          </w:tcPr>
          <w:p w14:paraId="7081C508" w14:textId="77777777" w:rsidR="002E474C" w:rsidRDefault="00000000">
            <w:pPr>
              <w:pStyle w:val="A-"/>
              <w:spacing w:line="260" w:lineRule="exact"/>
            </w:pPr>
            <w:r>
              <w:t>废矿物油裂解再生过程中产生的裂解残渣</w:t>
            </w:r>
          </w:p>
        </w:tc>
        <w:tc>
          <w:tcPr>
            <w:tcW w:w="663" w:type="dxa"/>
            <w:noWrap/>
            <w:vAlign w:val="center"/>
          </w:tcPr>
          <w:p w14:paraId="3D70AED4" w14:textId="77777777" w:rsidR="002E474C" w:rsidRDefault="00000000">
            <w:pPr>
              <w:pStyle w:val="A-"/>
              <w:spacing w:line="260" w:lineRule="exact"/>
            </w:pPr>
            <w:r>
              <w:t>T</w:t>
            </w:r>
            <w:r>
              <w:t>，</w:t>
            </w:r>
            <w:r>
              <w:t>I</w:t>
            </w:r>
          </w:p>
        </w:tc>
      </w:tr>
      <w:tr w:rsidR="002E474C" w14:paraId="7065E8B2" w14:textId="77777777">
        <w:trPr>
          <w:trHeight w:val="300"/>
        </w:trPr>
        <w:tc>
          <w:tcPr>
            <w:tcW w:w="828" w:type="dxa"/>
            <w:vMerge/>
            <w:vAlign w:val="center"/>
          </w:tcPr>
          <w:p w14:paraId="5AF099C7" w14:textId="77777777" w:rsidR="002E474C" w:rsidRDefault="002E474C">
            <w:pPr>
              <w:pStyle w:val="A-"/>
              <w:spacing w:line="260" w:lineRule="exact"/>
            </w:pPr>
          </w:p>
        </w:tc>
        <w:tc>
          <w:tcPr>
            <w:tcW w:w="893" w:type="dxa"/>
            <w:vMerge/>
            <w:vAlign w:val="center"/>
          </w:tcPr>
          <w:p w14:paraId="5B486073" w14:textId="77777777" w:rsidR="002E474C" w:rsidRDefault="002E474C">
            <w:pPr>
              <w:pStyle w:val="A-"/>
              <w:spacing w:line="260" w:lineRule="exact"/>
            </w:pPr>
          </w:p>
        </w:tc>
        <w:tc>
          <w:tcPr>
            <w:tcW w:w="1147" w:type="dxa"/>
            <w:noWrap/>
            <w:vAlign w:val="center"/>
          </w:tcPr>
          <w:p w14:paraId="02A910F8" w14:textId="77777777" w:rsidR="002E474C" w:rsidRDefault="00000000">
            <w:pPr>
              <w:pStyle w:val="A-"/>
              <w:spacing w:line="260" w:lineRule="exact"/>
              <w:ind w:leftChars="-25" w:left="-53" w:rightChars="-25" w:right="-53"/>
            </w:pPr>
            <w:r>
              <w:t>900-216-08</w:t>
            </w:r>
          </w:p>
        </w:tc>
        <w:tc>
          <w:tcPr>
            <w:tcW w:w="4991" w:type="dxa"/>
            <w:noWrap/>
            <w:vAlign w:val="center"/>
          </w:tcPr>
          <w:p w14:paraId="2AFCB0DE" w14:textId="77777777" w:rsidR="002E474C" w:rsidRDefault="00000000">
            <w:pPr>
              <w:pStyle w:val="A-"/>
              <w:spacing w:line="260" w:lineRule="exact"/>
              <w:rPr>
                <w:spacing w:val="-11"/>
              </w:rPr>
            </w:pPr>
            <w:r>
              <w:rPr>
                <w:spacing w:val="-11"/>
              </w:rPr>
              <w:t>使用防锈油进行铸件表面防锈处理过程中产生的废防锈油</w:t>
            </w:r>
          </w:p>
        </w:tc>
        <w:tc>
          <w:tcPr>
            <w:tcW w:w="663" w:type="dxa"/>
            <w:noWrap/>
            <w:vAlign w:val="center"/>
          </w:tcPr>
          <w:p w14:paraId="3B1A0606" w14:textId="77777777" w:rsidR="002E474C" w:rsidRDefault="00000000">
            <w:pPr>
              <w:pStyle w:val="A-"/>
              <w:spacing w:line="260" w:lineRule="exact"/>
            </w:pPr>
            <w:r>
              <w:t>T</w:t>
            </w:r>
            <w:r>
              <w:t>，</w:t>
            </w:r>
            <w:r>
              <w:t>I</w:t>
            </w:r>
          </w:p>
        </w:tc>
      </w:tr>
      <w:tr w:rsidR="002E474C" w14:paraId="5C30B6EB" w14:textId="77777777">
        <w:trPr>
          <w:trHeight w:val="300"/>
        </w:trPr>
        <w:tc>
          <w:tcPr>
            <w:tcW w:w="828" w:type="dxa"/>
            <w:vMerge/>
            <w:vAlign w:val="center"/>
          </w:tcPr>
          <w:p w14:paraId="109CF0AC" w14:textId="77777777" w:rsidR="002E474C" w:rsidRDefault="002E474C">
            <w:pPr>
              <w:pStyle w:val="A-"/>
              <w:spacing w:line="260" w:lineRule="exact"/>
            </w:pPr>
          </w:p>
        </w:tc>
        <w:tc>
          <w:tcPr>
            <w:tcW w:w="893" w:type="dxa"/>
            <w:vMerge/>
            <w:vAlign w:val="center"/>
          </w:tcPr>
          <w:p w14:paraId="6FC9C1A3" w14:textId="77777777" w:rsidR="002E474C" w:rsidRDefault="002E474C">
            <w:pPr>
              <w:pStyle w:val="A-"/>
              <w:spacing w:line="260" w:lineRule="exact"/>
            </w:pPr>
          </w:p>
        </w:tc>
        <w:tc>
          <w:tcPr>
            <w:tcW w:w="1147" w:type="dxa"/>
            <w:noWrap/>
            <w:vAlign w:val="center"/>
          </w:tcPr>
          <w:p w14:paraId="2A166B2C" w14:textId="77777777" w:rsidR="002E474C" w:rsidRDefault="00000000">
            <w:pPr>
              <w:pStyle w:val="A-"/>
              <w:spacing w:line="260" w:lineRule="exact"/>
              <w:ind w:leftChars="-25" w:left="-53" w:rightChars="-25" w:right="-53"/>
            </w:pPr>
            <w:r>
              <w:t>900-217-08</w:t>
            </w:r>
          </w:p>
        </w:tc>
        <w:tc>
          <w:tcPr>
            <w:tcW w:w="4991" w:type="dxa"/>
            <w:noWrap/>
            <w:vAlign w:val="center"/>
          </w:tcPr>
          <w:p w14:paraId="391A529F" w14:textId="77777777" w:rsidR="002E474C" w:rsidRDefault="00000000">
            <w:pPr>
              <w:pStyle w:val="A-"/>
              <w:spacing w:line="260" w:lineRule="exact"/>
              <w:rPr>
                <w:spacing w:val="-11"/>
              </w:rPr>
            </w:pPr>
            <w:r>
              <w:rPr>
                <w:spacing w:val="-11"/>
              </w:rPr>
              <w:t>使用工业齿轮油进行机械设备润滑过程中产生的废润滑油</w:t>
            </w:r>
          </w:p>
        </w:tc>
        <w:tc>
          <w:tcPr>
            <w:tcW w:w="663" w:type="dxa"/>
            <w:noWrap/>
            <w:vAlign w:val="center"/>
          </w:tcPr>
          <w:p w14:paraId="41E07D38" w14:textId="77777777" w:rsidR="002E474C" w:rsidRDefault="00000000">
            <w:pPr>
              <w:pStyle w:val="A-"/>
              <w:spacing w:line="260" w:lineRule="exact"/>
            </w:pPr>
            <w:r>
              <w:t>T</w:t>
            </w:r>
            <w:r>
              <w:t>，</w:t>
            </w:r>
            <w:r>
              <w:t>I</w:t>
            </w:r>
          </w:p>
        </w:tc>
      </w:tr>
      <w:tr w:rsidR="002E474C" w14:paraId="7ADA2C45" w14:textId="77777777">
        <w:trPr>
          <w:trHeight w:val="300"/>
        </w:trPr>
        <w:tc>
          <w:tcPr>
            <w:tcW w:w="828" w:type="dxa"/>
            <w:vMerge/>
            <w:vAlign w:val="center"/>
          </w:tcPr>
          <w:p w14:paraId="53E62C96" w14:textId="77777777" w:rsidR="002E474C" w:rsidRDefault="002E474C">
            <w:pPr>
              <w:pStyle w:val="A-"/>
              <w:spacing w:line="260" w:lineRule="exact"/>
            </w:pPr>
          </w:p>
        </w:tc>
        <w:tc>
          <w:tcPr>
            <w:tcW w:w="893" w:type="dxa"/>
            <w:vMerge/>
            <w:vAlign w:val="center"/>
          </w:tcPr>
          <w:p w14:paraId="404960D1" w14:textId="77777777" w:rsidR="002E474C" w:rsidRDefault="002E474C">
            <w:pPr>
              <w:pStyle w:val="A-"/>
              <w:spacing w:line="260" w:lineRule="exact"/>
            </w:pPr>
          </w:p>
        </w:tc>
        <w:tc>
          <w:tcPr>
            <w:tcW w:w="1147" w:type="dxa"/>
            <w:noWrap/>
            <w:vAlign w:val="center"/>
          </w:tcPr>
          <w:p w14:paraId="5A140219" w14:textId="77777777" w:rsidR="002E474C" w:rsidRDefault="00000000">
            <w:pPr>
              <w:pStyle w:val="A-"/>
              <w:spacing w:line="260" w:lineRule="exact"/>
              <w:ind w:leftChars="-25" w:left="-53" w:rightChars="-25" w:right="-53"/>
            </w:pPr>
            <w:r>
              <w:t>900-218-08</w:t>
            </w:r>
          </w:p>
        </w:tc>
        <w:tc>
          <w:tcPr>
            <w:tcW w:w="4991" w:type="dxa"/>
            <w:noWrap/>
            <w:vAlign w:val="center"/>
          </w:tcPr>
          <w:p w14:paraId="4CA1608F" w14:textId="77777777" w:rsidR="002E474C" w:rsidRDefault="00000000">
            <w:pPr>
              <w:pStyle w:val="A-"/>
              <w:spacing w:line="260" w:lineRule="exact"/>
            </w:pPr>
            <w:r>
              <w:t>液压设备维护、更换和拆解过程中产生的废液压油</w:t>
            </w:r>
          </w:p>
        </w:tc>
        <w:tc>
          <w:tcPr>
            <w:tcW w:w="663" w:type="dxa"/>
            <w:noWrap/>
            <w:vAlign w:val="center"/>
          </w:tcPr>
          <w:p w14:paraId="660221DE" w14:textId="77777777" w:rsidR="002E474C" w:rsidRDefault="00000000">
            <w:pPr>
              <w:pStyle w:val="A-"/>
              <w:spacing w:line="260" w:lineRule="exact"/>
            </w:pPr>
            <w:r>
              <w:t>T</w:t>
            </w:r>
            <w:r>
              <w:t>，</w:t>
            </w:r>
            <w:r>
              <w:t>I</w:t>
            </w:r>
          </w:p>
        </w:tc>
      </w:tr>
      <w:tr w:rsidR="002E474C" w14:paraId="04D018CB" w14:textId="77777777">
        <w:trPr>
          <w:trHeight w:val="300"/>
        </w:trPr>
        <w:tc>
          <w:tcPr>
            <w:tcW w:w="828" w:type="dxa"/>
            <w:vMerge/>
            <w:vAlign w:val="center"/>
          </w:tcPr>
          <w:p w14:paraId="1EE13F1E" w14:textId="77777777" w:rsidR="002E474C" w:rsidRDefault="002E474C">
            <w:pPr>
              <w:pStyle w:val="A-"/>
              <w:spacing w:line="260" w:lineRule="exact"/>
            </w:pPr>
          </w:p>
        </w:tc>
        <w:tc>
          <w:tcPr>
            <w:tcW w:w="893" w:type="dxa"/>
            <w:vMerge/>
            <w:vAlign w:val="center"/>
          </w:tcPr>
          <w:p w14:paraId="423F12AD" w14:textId="77777777" w:rsidR="002E474C" w:rsidRDefault="002E474C">
            <w:pPr>
              <w:pStyle w:val="A-"/>
              <w:spacing w:line="260" w:lineRule="exact"/>
            </w:pPr>
          </w:p>
        </w:tc>
        <w:tc>
          <w:tcPr>
            <w:tcW w:w="1147" w:type="dxa"/>
            <w:noWrap/>
            <w:vAlign w:val="center"/>
          </w:tcPr>
          <w:p w14:paraId="08BC5A35" w14:textId="77777777" w:rsidR="002E474C" w:rsidRDefault="00000000">
            <w:pPr>
              <w:pStyle w:val="A-"/>
              <w:spacing w:line="260" w:lineRule="exact"/>
              <w:ind w:leftChars="-25" w:left="-53" w:rightChars="-25" w:right="-53"/>
            </w:pPr>
            <w:r>
              <w:t>900-219-08</w:t>
            </w:r>
          </w:p>
        </w:tc>
        <w:tc>
          <w:tcPr>
            <w:tcW w:w="4991" w:type="dxa"/>
            <w:noWrap/>
            <w:vAlign w:val="center"/>
          </w:tcPr>
          <w:p w14:paraId="3CDD512F" w14:textId="77777777" w:rsidR="002E474C" w:rsidRDefault="00000000">
            <w:pPr>
              <w:pStyle w:val="A-"/>
              <w:spacing w:line="260" w:lineRule="exact"/>
              <w:ind w:leftChars="-25" w:left="-53" w:rightChars="-25" w:right="-53"/>
            </w:pPr>
            <w:r>
              <w:rPr>
                <w:spacing w:val="-6"/>
              </w:rPr>
              <w:t>冷冻压缩设备维护、更换和拆解过程中产生的废冷冻机油</w:t>
            </w:r>
          </w:p>
        </w:tc>
        <w:tc>
          <w:tcPr>
            <w:tcW w:w="663" w:type="dxa"/>
            <w:noWrap/>
            <w:vAlign w:val="center"/>
          </w:tcPr>
          <w:p w14:paraId="11805F2E" w14:textId="77777777" w:rsidR="002E474C" w:rsidRDefault="00000000">
            <w:pPr>
              <w:pStyle w:val="A-"/>
              <w:spacing w:line="260" w:lineRule="exact"/>
            </w:pPr>
            <w:r>
              <w:t>T</w:t>
            </w:r>
            <w:r>
              <w:t>，</w:t>
            </w:r>
            <w:r>
              <w:t>I</w:t>
            </w:r>
          </w:p>
        </w:tc>
      </w:tr>
      <w:tr w:rsidR="002E474C" w14:paraId="3794AB24" w14:textId="77777777">
        <w:trPr>
          <w:trHeight w:val="300"/>
        </w:trPr>
        <w:tc>
          <w:tcPr>
            <w:tcW w:w="828" w:type="dxa"/>
            <w:vMerge/>
            <w:vAlign w:val="center"/>
          </w:tcPr>
          <w:p w14:paraId="3E53D640" w14:textId="77777777" w:rsidR="002E474C" w:rsidRDefault="002E474C">
            <w:pPr>
              <w:pStyle w:val="A-"/>
              <w:spacing w:line="260" w:lineRule="exact"/>
            </w:pPr>
          </w:p>
        </w:tc>
        <w:tc>
          <w:tcPr>
            <w:tcW w:w="893" w:type="dxa"/>
            <w:vMerge/>
            <w:vAlign w:val="center"/>
          </w:tcPr>
          <w:p w14:paraId="314F1910" w14:textId="77777777" w:rsidR="002E474C" w:rsidRDefault="002E474C">
            <w:pPr>
              <w:pStyle w:val="A-"/>
              <w:spacing w:line="260" w:lineRule="exact"/>
            </w:pPr>
          </w:p>
        </w:tc>
        <w:tc>
          <w:tcPr>
            <w:tcW w:w="1147" w:type="dxa"/>
            <w:noWrap/>
            <w:vAlign w:val="center"/>
          </w:tcPr>
          <w:p w14:paraId="42813D0D" w14:textId="77777777" w:rsidR="002E474C" w:rsidRDefault="00000000">
            <w:pPr>
              <w:pStyle w:val="A-"/>
              <w:spacing w:line="260" w:lineRule="exact"/>
              <w:ind w:leftChars="-25" w:left="-53" w:rightChars="-25" w:right="-53"/>
            </w:pPr>
            <w:r>
              <w:t>900-220-08</w:t>
            </w:r>
          </w:p>
        </w:tc>
        <w:tc>
          <w:tcPr>
            <w:tcW w:w="4991" w:type="dxa"/>
            <w:noWrap/>
            <w:vAlign w:val="center"/>
          </w:tcPr>
          <w:p w14:paraId="730FE513" w14:textId="77777777" w:rsidR="002E474C" w:rsidRDefault="00000000">
            <w:pPr>
              <w:pStyle w:val="A-"/>
              <w:spacing w:line="260" w:lineRule="exact"/>
            </w:pPr>
            <w:r>
              <w:t>变压器维护、更换和拆解过程中产生的废变压器油</w:t>
            </w:r>
          </w:p>
        </w:tc>
        <w:tc>
          <w:tcPr>
            <w:tcW w:w="663" w:type="dxa"/>
            <w:noWrap/>
            <w:vAlign w:val="center"/>
          </w:tcPr>
          <w:p w14:paraId="43D40370" w14:textId="77777777" w:rsidR="002E474C" w:rsidRDefault="00000000">
            <w:pPr>
              <w:pStyle w:val="A-"/>
              <w:spacing w:line="260" w:lineRule="exact"/>
            </w:pPr>
            <w:r>
              <w:t>T</w:t>
            </w:r>
            <w:r>
              <w:t>，</w:t>
            </w:r>
            <w:r>
              <w:t>I</w:t>
            </w:r>
          </w:p>
        </w:tc>
      </w:tr>
      <w:tr w:rsidR="002E474C" w14:paraId="17A9B8ED" w14:textId="77777777">
        <w:trPr>
          <w:trHeight w:val="300"/>
        </w:trPr>
        <w:tc>
          <w:tcPr>
            <w:tcW w:w="828" w:type="dxa"/>
            <w:vMerge/>
            <w:vAlign w:val="center"/>
          </w:tcPr>
          <w:p w14:paraId="5D765A8B" w14:textId="77777777" w:rsidR="002E474C" w:rsidRDefault="002E474C">
            <w:pPr>
              <w:pStyle w:val="A-"/>
              <w:spacing w:line="260" w:lineRule="exact"/>
            </w:pPr>
          </w:p>
        </w:tc>
        <w:tc>
          <w:tcPr>
            <w:tcW w:w="893" w:type="dxa"/>
            <w:vMerge/>
            <w:vAlign w:val="center"/>
          </w:tcPr>
          <w:p w14:paraId="207C77DD" w14:textId="77777777" w:rsidR="002E474C" w:rsidRDefault="002E474C">
            <w:pPr>
              <w:pStyle w:val="A-"/>
              <w:spacing w:line="260" w:lineRule="exact"/>
            </w:pPr>
          </w:p>
        </w:tc>
        <w:tc>
          <w:tcPr>
            <w:tcW w:w="1147" w:type="dxa"/>
            <w:noWrap/>
            <w:vAlign w:val="center"/>
          </w:tcPr>
          <w:p w14:paraId="620F2C4E" w14:textId="77777777" w:rsidR="002E474C" w:rsidRDefault="00000000">
            <w:pPr>
              <w:pStyle w:val="A-"/>
              <w:spacing w:line="260" w:lineRule="exact"/>
              <w:ind w:leftChars="-25" w:left="-53" w:rightChars="-25" w:right="-53"/>
            </w:pPr>
            <w:r>
              <w:t>900-221-08</w:t>
            </w:r>
          </w:p>
        </w:tc>
        <w:tc>
          <w:tcPr>
            <w:tcW w:w="4991" w:type="dxa"/>
            <w:noWrap/>
            <w:vAlign w:val="center"/>
          </w:tcPr>
          <w:p w14:paraId="7B239010" w14:textId="77777777" w:rsidR="002E474C" w:rsidRDefault="00000000">
            <w:pPr>
              <w:pStyle w:val="A-"/>
              <w:spacing w:line="260" w:lineRule="exact"/>
            </w:pPr>
            <w:r>
              <w:t>废燃料油及燃料油储存过程中产生的油泥</w:t>
            </w:r>
          </w:p>
        </w:tc>
        <w:tc>
          <w:tcPr>
            <w:tcW w:w="663" w:type="dxa"/>
            <w:noWrap/>
            <w:vAlign w:val="center"/>
          </w:tcPr>
          <w:p w14:paraId="1E5AACF3" w14:textId="77777777" w:rsidR="002E474C" w:rsidRDefault="00000000">
            <w:pPr>
              <w:pStyle w:val="A-"/>
              <w:spacing w:line="260" w:lineRule="exact"/>
            </w:pPr>
            <w:r>
              <w:t>T</w:t>
            </w:r>
            <w:r>
              <w:t>，</w:t>
            </w:r>
            <w:r>
              <w:t>I</w:t>
            </w:r>
          </w:p>
        </w:tc>
      </w:tr>
      <w:tr w:rsidR="002E474C" w14:paraId="774FFC37" w14:textId="77777777">
        <w:trPr>
          <w:trHeight w:val="300"/>
        </w:trPr>
        <w:tc>
          <w:tcPr>
            <w:tcW w:w="828" w:type="dxa"/>
            <w:vMerge/>
            <w:vAlign w:val="center"/>
          </w:tcPr>
          <w:p w14:paraId="65281CFC" w14:textId="77777777" w:rsidR="002E474C" w:rsidRDefault="002E474C">
            <w:pPr>
              <w:pStyle w:val="A-"/>
              <w:spacing w:line="260" w:lineRule="exact"/>
            </w:pPr>
          </w:p>
        </w:tc>
        <w:tc>
          <w:tcPr>
            <w:tcW w:w="893" w:type="dxa"/>
            <w:vMerge/>
            <w:vAlign w:val="center"/>
          </w:tcPr>
          <w:p w14:paraId="4EECD4ED" w14:textId="77777777" w:rsidR="002E474C" w:rsidRDefault="002E474C">
            <w:pPr>
              <w:pStyle w:val="A-"/>
              <w:spacing w:line="260" w:lineRule="exact"/>
            </w:pPr>
          </w:p>
        </w:tc>
        <w:tc>
          <w:tcPr>
            <w:tcW w:w="1147" w:type="dxa"/>
            <w:noWrap/>
            <w:vAlign w:val="center"/>
          </w:tcPr>
          <w:p w14:paraId="6EB158B8" w14:textId="77777777" w:rsidR="002E474C" w:rsidRDefault="00000000">
            <w:pPr>
              <w:pStyle w:val="A-"/>
              <w:spacing w:line="260" w:lineRule="exact"/>
              <w:ind w:leftChars="-25" w:left="-53" w:rightChars="-25" w:right="-53"/>
            </w:pPr>
            <w:r>
              <w:t>900-249-08</w:t>
            </w:r>
          </w:p>
        </w:tc>
        <w:tc>
          <w:tcPr>
            <w:tcW w:w="4991" w:type="dxa"/>
            <w:noWrap/>
            <w:vAlign w:val="center"/>
          </w:tcPr>
          <w:p w14:paraId="24A575C5" w14:textId="77777777" w:rsidR="002E474C" w:rsidRDefault="00000000">
            <w:pPr>
              <w:pStyle w:val="A-"/>
              <w:spacing w:line="260" w:lineRule="exact"/>
            </w:pPr>
            <w:r>
              <w:t>其他生产、销售、使用过程中产生的废矿物油及沾染矿物油的废弃包装物</w:t>
            </w:r>
          </w:p>
        </w:tc>
        <w:tc>
          <w:tcPr>
            <w:tcW w:w="663" w:type="dxa"/>
            <w:noWrap/>
            <w:vAlign w:val="center"/>
          </w:tcPr>
          <w:p w14:paraId="7AA3C1D5" w14:textId="77777777" w:rsidR="002E474C" w:rsidRDefault="00000000">
            <w:pPr>
              <w:pStyle w:val="A-"/>
              <w:spacing w:line="260" w:lineRule="exact"/>
            </w:pPr>
            <w:r>
              <w:t>T</w:t>
            </w:r>
            <w:r>
              <w:t>，</w:t>
            </w:r>
            <w:r>
              <w:t>I</w:t>
            </w:r>
          </w:p>
        </w:tc>
      </w:tr>
      <w:tr w:rsidR="002E474C" w14:paraId="4E16525D" w14:textId="77777777">
        <w:trPr>
          <w:trHeight w:val="300"/>
        </w:trPr>
        <w:tc>
          <w:tcPr>
            <w:tcW w:w="828" w:type="dxa"/>
            <w:vMerge w:val="restart"/>
            <w:noWrap/>
            <w:vAlign w:val="center"/>
          </w:tcPr>
          <w:p w14:paraId="528BC34A" w14:textId="77777777" w:rsidR="002E474C" w:rsidRDefault="00000000">
            <w:pPr>
              <w:pStyle w:val="A-"/>
              <w:spacing w:line="260" w:lineRule="exact"/>
            </w:pPr>
            <w:r>
              <w:t>HW09</w:t>
            </w:r>
            <w:r>
              <w:br/>
            </w:r>
            <w:r>
              <w:t>油</w:t>
            </w:r>
            <w:r>
              <w:t>/</w:t>
            </w:r>
            <w:r>
              <w:t>水、烃</w:t>
            </w:r>
            <w:r>
              <w:t>/</w:t>
            </w:r>
            <w:r>
              <w:t>水混合物或者乳</w:t>
            </w:r>
            <w:r>
              <w:br/>
            </w:r>
            <w:r>
              <w:t>化液</w:t>
            </w:r>
          </w:p>
        </w:tc>
        <w:tc>
          <w:tcPr>
            <w:tcW w:w="893" w:type="dxa"/>
            <w:vMerge w:val="restart"/>
            <w:noWrap/>
            <w:vAlign w:val="center"/>
          </w:tcPr>
          <w:p w14:paraId="56CFCAB8" w14:textId="77777777" w:rsidR="002E474C" w:rsidRDefault="00000000">
            <w:pPr>
              <w:pStyle w:val="A-"/>
              <w:spacing w:line="260" w:lineRule="exact"/>
            </w:pPr>
            <w:r>
              <w:t>非特定行业</w:t>
            </w:r>
          </w:p>
        </w:tc>
        <w:tc>
          <w:tcPr>
            <w:tcW w:w="1147" w:type="dxa"/>
            <w:noWrap/>
            <w:vAlign w:val="center"/>
          </w:tcPr>
          <w:p w14:paraId="7CA0D0B4" w14:textId="77777777" w:rsidR="002E474C" w:rsidRDefault="00000000">
            <w:pPr>
              <w:pStyle w:val="A-"/>
              <w:spacing w:line="260" w:lineRule="exact"/>
              <w:ind w:leftChars="-25" w:left="-53" w:rightChars="-25" w:right="-53"/>
            </w:pPr>
            <w:r>
              <w:t>900-005-09</w:t>
            </w:r>
          </w:p>
        </w:tc>
        <w:tc>
          <w:tcPr>
            <w:tcW w:w="4991" w:type="dxa"/>
            <w:noWrap/>
            <w:vAlign w:val="center"/>
          </w:tcPr>
          <w:p w14:paraId="40737DC1" w14:textId="77777777" w:rsidR="002E474C" w:rsidRDefault="00000000">
            <w:pPr>
              <w:pStyle w:val="A-"/>
              <w:spacing w:line="260" w:lineRule="exact"/>
            </w:pPr>
            <w:r>
              <w:t>水压机维护、更换和拆解过程中产生的油</w:t>
            </w:r>
            <w:r>
              <w:t>/</w:t>
            </w:r>
            <w:r>
              <w:t>水、烃</w:t>
            </w:r>
            <w:r>
              <w:t>/</w:t>
            </w:r>
            <w:r>
              <w:t>水混合物或者乳化液</w:t>
            </w:r>
          </w:p>
        </w:tc>
        <w:tc>
          <w:tcPr>
            <w:tcW w:w="663" w:type="dxa"/>
            <w:noWrap/>
            <w:vAlign w:val="center"/>
          </w:tcPr>
          <w:p w14:paraId="29AC3267" w14:textId="77777777" w:rsidR="002E474C" w:rsidRDefault="00000000">
            <w:pPr>
              <w:pStyle w:val="A-"/>
              <w:spacing w:line="260" w:lineRule="exact"/>
            </w:pPr>
            <w:r>
              <w:t>T</w:t>
            </w:r>
          </w:p>
        </w:tc>
      </w:tr>
      <w:tr w:rsidR="002E474C" w14:paraId="725E65E2" w14:textId="77777777">
        <w:trPr>
          <w:trHeight w:val="300"/>
        </w:trPr>
        <w:tc>
          <w:tcPr>
            <w:tcW w:w="828" w:type="dxa"/>
            <w:vMerge/>
            <w:vAlign w:val="center"/>
          </w:tcPr>
          <w:p w14:paraId="4962956C" w14:textId="77777777" w:rsidR="002E474C" w:rsidRDefault="002E474C">
            <w:pPr>
              <w:pStyle w:val="A-"/>
              <w:spacing w:line="260" w:lineRule="exact"/>
            </w:pPr>
          </w:p>
        </w:tc>
        <w:tc>
          <w:tcPr>
            <w:tcW w:w="893" w:type="dxa"/>
            <w:vMerge/>
            <w:vAlign w:val="center"/>
          </w:tcPr>
          <w:p w14:paraId="660B2FB1" w14:textId="77777777" w:rsidR="002E474C" w:rsidRDefault="002E474C">
            <w:pPr>
              <w:pStyle w:val="A-"/>
              <w:spacing w:line="260" w:lineRule="exact"/>
            </w:pPr>
          </w:p>
        </w:tc>
        <w:tc>
          <w:tcPr>
            <w:tcW w:w="1147" w:type="dxa"/>
            <w:noWrap/>
            <w:vAlign w:val="center"/>
          </w:tcPr>
          <w:p w14:paraId="563182E0" w14:textId="77777777" w:rsidR="002E474C" w:rsidRDefault="00000000">
            <w:pPr>
              <w:pStyle w:val="A-"/>
              <w:spacing w:line="260" w:lineRule="exact"/>
              <w:ind w:leftChars="-25" w:left="-53" w:rightChars="-25" w:right="-53"/>
            </w:pPr>
            <w:r>
              <w:t>900-006-09</w:t>
            </w:r>
          </w:p>
        </w:tc>
        <w:tc>
          <w:tcPr>
            <w:tcW w:w="4991" w:type="dxa"/>
            <w:noWrap/>
            <w:vAlign w:val="center"/>
          </w:tcPr>
          <w:p w14:paraId="4476A297" w14:textId="77777777" w:rsidR="002E474C" w:rsidRDefault="00000000">
            <w:pPr>
              <w:pStyle w:val="A-"/>
              <w:spacing w:line="260" w:lineRule="exact"/>
            </w:pPr>
            <w:r>
              <w:t>使用切削油或者切削液进行机械加工过程中产生的油</w:t>
            </w:r>
            <w:r>
              <w:t>/</w:t>
            </w:r>
            <w:r>
              <w:t>水、烃</w:t>
            </w:r>
            <w:r>
              <w:t>/</w:t>
            </w:r>
            <w:r>
              <w:t>水混合物或者乳化液</w:t>
            </w:r>
          </w:p>
        </w:tc>
        <w:tc>
          <w:tcPr>
            <w:tcW w:w="663" w:type="dxa"/>
            <w:noWrap/>
            <w:vAlign w:val="center"/>
          </w:tcPr>
          <w:p w14:paraId="1648652E" w14:textId="77777777" w:rsidR="002E474C" w:rsidRDefault="00000000">
            <w:pPr>
              <w:pStyle w:val="A-"/>
              <w:spacing w:line="260" w:lineRule="exact"/>
            </w:pPr>
            <w:r>
              <w:t>T</w:t>
            </w:r>
          </w:p>
        </w:tc>
      </w:tr>
      <w:tr w:rsidR="002E474C" w14:paraId="631B8075" w14:textId="77777777">
        <w:trPr>
          <w:trHeight w:val="300"/>
        </w:trPr>
        <w:tc>
          <w:tcPr>
            <w:tcW w:w="828" w:type="dxa"/>
            <w:vMerge/>
            <w:vAlign w:val="center"/>
          </w:tcPr>
          <w:p w14:paraId="2A777694" w14:textId="77777777" w:rsidR="002E474C" w:rsidRDefault="002E474C">
            <w:pPr>
              <w:pStyle w:val="A-"/>
              <w:spacing w:line="260" w:lineRule="exact"/>
            </w:pPr>
          </w:p>
        </w:tc>
        <w:tc>
          <w:tcPr>
            <w:tcW w:w="893" w:type="dxa"/>
            <w:vMerge/>
            <w:vAlign w:val="center"/>
          </w:tcPr>
          <w:p w14:paraId="440CDFC3" w14:textId="77777777" w:rsidR="002E474C" w:rsidRDefault="002E474C">
            <w:pPr>
              <w:pStyle w:val="A-"/>
              <w:spacing w:line="260" w:lineRule="exact"/>
            </w:pPr>
          </w:p>
        </w:tc>
        <w:tc>
          <w:tcPr>
            <w:tcW w:w="1147" w:type="dxa"/>
            <w:noWrap/>
            <w:vAlign w:val="center"/>
          </w:tcPr>
          <w:p w14:paraId="3CF10712" w14:textId="77777777" w:rsidR="002E474C" w:rsidRDefault="00000000">
            <w:pPr>
              <w:pStyle w:val="A-"/>
              <w:spacing w:line="260" w:lineRule="exact"/>
              <w:ind w:leftChars="-25" w:left="-53" w:rightChars="-25" w:right="-53"/>
            </w:pPr>
            <w:r>
              <w:t>900-007-09</w:t>
            </w:r>
          </w:p>
        </w:tc>
        <w:tc>
          <w:tcPr>
            <w:tcW w:w="4991" w:type="dxa"/>
            <w:noWrap/>
            <w:vAlign w:val="center"/>
          </w:tcPr>
          <w:p w14:paraId="05A8FF1B" w14:textId="77777777" w:rsidR="002E474C" w:rsidRDefault="00000000">
            <w:pPr>
              <w:pStyle w:val="A-"/>
              <w:spacing w:line="260" w:lineRule="exact"/>
            </w:pPr>
            <w:r>
              <w:t>其他工艺过程中产生的废弃的油</w:t>
            </w:r>
            <w:r>
              <w:t>/</w:t>
            </w:r>
            <w:r>
              <w:t>水、烃</w:t>
            </w:r>
            <w:r>
              <w:t>/</w:t>
            </w:r>
            <w:r>
              <w:t>水混合物或者乳化液</w:t>
            </w:r>
          </w:p>
        </w:tc>
        <w:tc>
          <w:tcPr>
            <w:tcW w:w="663" w:type="dxa"/>
            <w:noWrap/>
            <w:vAlign w:val="center"/>
          </w:tcPr>
          <w:p w14:paraId="3F4F5FD0" w14:textId="77777777" w:rsidR="002E474C" w:rsidRDefault="00000000">
            <w:pPr>
              <w:pStyle w:val="A-"/>
              <w:spacing w:line="260" w:lineRule="exact"/>
            </w:pPr>
            <w:r>
              <w:t>T</w:t>
            </w:r>
          </w:p>
        </w:tc>
      </w:tr>
      <w:tr w:rsidR="002E474C" w14:paraId="334279EF" w14:textId="77777777">
        <w:trPr>
          <w:trHeight w:val="300"/>
        </w:trPr>
        <w:tc>
          <w:tcPr>
            <w:tcW w:w="828" w:type="dxa"/>
            <w:vMerge w:val="restart"/>
            <w:noWrap/>
            <w:vAlign w:val="center"/>
          </w:tcPr>
          <w:p w14:paraId="311BF6CD" w14:textId="77777777" w:rsidR="002E474C" w:rsidRDefault="00000000">
            <w:pPr>
              <w:pStyle w:val="A-"/>
              <w:spacing w:line="260" w:lineRule="exact"/>
            </w:pPr>
            <w:r>
              <w:t>HW11</w:t>
            </w:r>
            <w:r>
              <w:br/>
            </w:r>
            <w:r>
              <w:t>精（蒸）馏残渣</w:t>
            </w:r>
          </w:p>
        </w:tc>
        <w:tc>
          <w:tcPr>
            <w:tcW w:w="893" w:type="dxa"/>
            <w:noWrap/>
            <w:vAlign w:val="center"/>
          </w:tcPr>
          <w:p w14:paraId="18D7D856" w14:textId="77777777" w:rsidR="002E474C" w:rsidRDefault="00000000">
            <w:pPr>
              <w:pStyle w:val="A-"/>
              <w:spacing w:line="260" w:lineRule="exact"/>
            </w:pPr>
            <w:r>
              <w:t>精炼石油产品制造</w:t>
            </w:r>
          </w:p>
        </w:tc>
        <w:tc>
          <w:tcPr>
            <w:tcW w:w="1147" w:type="dxa"/>
            <w:noWrap/>
            <w:vAlign w:val="center"/>
          </w:tcPr>
          <w:p w14:paraId="2B93281F" w14:textId="77777777" w:rsidR="002E474C" w:rsidRDefault="00000000">
            <w:pPr>
              <w:pStyle w:val="A-"/>
              <w:spacing w:line="260" w:lineRule="exact"/>
              <w:ind w:leftChars="-25" w:left="-53" w:rightChars="-25" w:right="-53"/>
            </w:pPr>
            <w:r>
              <w:t>251-013-11</w:t>
            </w:r>
          </w:p>
        </w:tc>
        <w:tc>
          <w:tcPr>
            <w:tcW w:w="4991" w:type="dxa"/>
            <w:noWrap/>
            <w:vAlign w:val="center"/>
          </w:tcPr>
          <w:p w14:paraId="4776EEAD" w14:textId="77777777" w:rsidR="002E474C" w:rsidRDefault="00000000">
            <w:pPr>
              <w:pStyle w:val="A-"/>
              <w:spacing w:line="260" w:lineRule="exact"/>
            </w:pPr>
            <w:r>
              <w:t>石油精炼过程中产生的酸焦油和其他焦油</w:t>
            </w:r>
          </w:p>
        </w:tc>
        <w:tc>
          <w:tcPr>
            <w:tcW w:w="663" w:type="dxa"/>
            <w:noWrap/>
            <w:vAlign w:val="center"/>
          </w:tcPr>
          <w:p w14:paraId="38AF2C47" w14:textId="77777777" w:rsidR="002E474C" w:rsidRDefault="00000000">
            <w:pPr>
              <w:pStyle w:val="A-"/>
              <w:spacing w:line="260" w:lineRule="exact"/>
            </w:pPr>
            <w:r>
              <w:t>T</w:t>
            </w:r>
          </w:p>
        </w:tc>
      </w:tr>
      <w:tr w:rsidR="002E474C" w14:paraId="012BD964" w14:textId="77777777">
        <w:trPr>
          <w:trHeight w:val="300"/>
        </w:trPr>
        <w:tc>
          <w:tcPr>
            <w:tcW w:w="828" w:type="dxa"/>
            <w:vMerge/>
            <w:vAlign w:val="center"/>
          </w:tcPr>
          <w:p w14:paraId="184C8D02" w14:textId="77777777" w:rsidR="002E474C" w:rsidRDefault="002E474C">
            <w:pPr>
              <w:pStyle w:val="A-"/>
              <w:spacing w:line="260" w:lineRule="exact"/>
            </w:pPr>
          </w:p>
        </w:tc>
        <w:tc>
          <w:tcPr>
            <w:tcW w:w="893" w:type="dxa"/>
            <w:vMerge w:val="restart"/>
            <w:noWrap/>
            <w:vAlign w:val="center"/>
          </w:tcPr>
          <w:p w14:paraId="4BCA4EA2" w14:textId="77777777" w:rsidR="002E474C" w:rsidRDefault="00000000">
            <w:pPr>
              <w:pStyle w:val="A-"/>
              <w:spacing w:line="260" w:lineRule="exact"/>
            </w:pPr>
            <w:r>
              <w:t>煤炭</w:t>
            </w:r>
          </w:p>
          <w:p w14:paraId="2B376C94" w14:textId="77777777" w:rsidR="002E474C" w:rsidRDefault="00000000">
            <w:pPr>
              <w:pStyle w:val="A-"/>
              <w:spacing w:line="260" w:lineRule="exact"/>
            </w:pPr>
            <w:r>
              <w:t>加工</w:t>
            </w:r>
          </w:p>
        </w:tc>
        <w:tc>
          <w:tcPr>
            <w:tcW w:w="1147" w:type="dxa"/>
            <w:noWrap/>
            <w:vAlign w:val="center"/>
          </w:tcPr>
          <w:p w14:paraId="084D276F" w14:textId="77777777" w:rsidR="002E474C" w:rsidRDefault="00000000">
            <w:pPr>
              <w:pStyle w:val="A-"/>
              <w:spacing w:line="260" w:lineRule="exact"/>
              <w:ind w:leftChars="-25" w:left="-53" w:rightChars="-25" w:right="-53"/>
            </w:pPr>
            <w:r>
              <w:t>252-001-11</w:t>
            </w:r>
          </w:p>
        </w:tc>
        <w:tc>
          <w:tcPr>
            <w:tcW w:w="4991" w:type="dxa"/>
            <w:noWrap/>
            <w:vAlign w:val="center"/>
          </w:tcPr>
          <w:p w14:paraId="12EE939C" w14:textId="77777777" w:rsidR="002E474C" w:rsidRDefault="00000000">
            <w:pPr>
              <w:pStyle w:val="A-"/>
              <w:spacing w:line="260" w:lineRule="exact"/>
            </w:pPr>
            <w:r>
              <w:t>炼焦过程中蒸氨塔残渣和洗油再生残渣</w:t>
            </w:r>
          </w:p>
        </w:tc>
        <w:tc>
          <w:tcPr>
            <w:tcW w:w="663" w:type="dxa"/>
            <w:noWrap/>
            <w:vAlign w:val="center"/>
          </w:tcPr>
          <w:p w14:paraId="65A189AF" w14:textId="77777777" w:rsidR="002E474C" w:rsidRDefault="00000000">
            <w:pPr>
              <w:pStyle w:val="A-"/>
              <w:spacing w:line="260" w:lineRule="exact"/>
            </w:pPr>
            <w:r>
              <w:t>T</w:t>
            </w:r>
          </w:p>
        </w:tc>
      </w:tr>
      <w:tr w:rsidR="002E474C" w14:paraId="017658AE" w14:textId="77777777">
        <w:trPr>
          <w:trHeight w:val="300"/>
        </w:trPr>
        <w:tc>
          <w:tcPr>
            <w:tcW w:w="828" w:type="dxa"/>
            <w:vMerge/>
            <w:vAlign w:val="center"/>
          </w:tcPr>
          <w:p w14:paraId="0A3F8A81" w14:textId="77777777" w:rsidR="002E474C" w:rsidRDefault="002E474C">
            <w:pPr>
              <w:pStyle w:val="A-"/>
              <w:spacing w:line="260" w:lineRule="exact"/>
            </w:pPr>
          </w:p>
        </w:tc>
        <w:tc>
          <w:tcPr>
            <w:tcW w:w="893" w:type="dxa"/>
            <w:vMerge/>
            <w:vAlign w:val="center"/>
          </w:tcPr>
          <w:p w14:paraId="42B11AAE" w14:textId="77777777" w:rsidR="002E474C" w:rsidRDefault="002E474C">
            <w:pPr>
              <w:pStyle w:val="A-"/>
              <w:spacing w:line="260" w:lineRule="exact"/>
            </w:pPr>
          </w:p>
        </w:tc>
        <w:tc>
          <w:tcPr>
            <w:tcW w:w="1147" w:type="dxa"/>
            <w:noWrap/>
            <w:vAlign w:val="center"/>
          </w:tcPr>
          <w:p w14:paraId="1F5963CF" w14:textId="77777777" w:rsidR="002E474C" w:rsidRDefault="00000000">
            <w:pPr>
              <w:pStyle w:val="A-"/>
              <w:spacing w:line="260" w:lineRule="exact"/>
              <w:ind w:leftChars="-25" w:left="-53" w:rightChars="-25" w:right="-53"/>
            </w:pPr>
            <w:r>
              <w:t>252-002-11</w:t>
            </w:r>
          </w:p>
        </w:tc>
        <w:tc>
          <w:tcPr>
            <w:tcW w:w="4991" w:type="dxa"/>
            <w:noWrap/>
            <w:vAlign w:val="center"/>
          </w:tcPr>
          <w:p w14:paraId="4356CF38" w14:textId="77777777" w:rsidR="002E474C" w:rsidRDefault="00000000">
            <w:pPr>
              <w:pStyle w:val="A-"/>
              <w:spacing w:line="260" w:lineRule="exact"/>
            </w:pPr>
            <w:r>
              <w:t>煤气净化过程氨水分离设施底部的废焦油和焦油渣</w:t>
            </w:r>
          </w:p>
        </w:tc>
        <w:tc>
          <w:tcPr>
            <w:tcW w:w="663" w:type="dxa"/>
            <w:noWrap/>
            <w:vAlign w:val="center"/>
          </w:tcPr>
          <w:p w14:paraId="74587B12" w14:textId="77777777" w:rsidR="002E474C" w:rsidRDefault="00000000">
            <w:pPr>
              <w:pStyle w:val="A-"/>
              <w:spacing w:line="260" w:lineRule="exact"/>
            </w:pPr>
            <w:r>
              <w:t>T</w:t>
            </w:r>
          </w:p>
        </w:tc>
      </w:tr>
      <w:tr w:rsidR="002E474C" w14:paraId="04E5F2FF" w14:textId="77777777">
        <w:trPr>
          <w:trHeight w:val="300"/>
        </w:trPr>
        <w:tc>
          <w:tcPr>
            <w:tcW w:w="828" w:type="dxa"/>
            <w:vMerge/>
            <w:vAlign w:val="center"/>
          </w:tcPr>
          <w:p w14:paraId="3434B77F" w14:textId="77777777" w:rsidR="002E474C" w:rsidRDefault="002E474C">
            <w:pPr>
              <w:pStyle w:val="A-"/>
              <w:spacing w:line="260" w:lineRule="exact"/>
            </w:pPr>
          </w:p>
        </w:tc>
        <w:tc>
          <w:tcPr>
            <w:tcW w:w="893" w:type="dxa"/>
            <w:vMerge/>
            <w:vAlign w:val="center"/>
          </w:tcPr>
          <w:p w14:paraId="65704406" w14:textId="77777777" w:rsidR="002E474C" w:rsidRDefault="002E474C">
            <w:pPr>
              <w:pStyle w:val="A-"/>
              <w:spacing w:line="260" w:lineRule="exact"/>
            </w:pPr>
          </w:p>
        </w:tc>
        <w:tc>
          <w:tcPr>
            <w:tcW w:w="1147" w:type="dxa"/>
            <w:noWrap/>
            <w:vAlign w:val="center"/>
          </w:tcPr>
          <w:p w14:paraId="1EEE8B10" w14:textId="77777777" w:rsidR="002E474C" w:rsidRDefault="00000000">
            <w:pPr>
              <w:pStyle w:val="A-"/>
              <w:spacing w:line="260" w:lineRule="exact"/>
              <w:ind w:leftChars="-25" w:left="-53" w:rightChars="-25" w:right="-53"/>
            </w:pPr>
            <w:r>
              <w:t>252-003-11</w:t>
            </w:r>
          </w:p>
        </w:tc>
        <w:tc>
          <w:tcPr>
            <w:tcW w:w="4991" w:type="dxa"/>
            <w:noWrap/>
            <w:vAlign w:val="center"/>
          </w:tcPr>
          <w:p w14:paraId="40599DC2" w14:textId="77777777" w:rsidR="002E474C" w:rsidRDefault="00000000">
            <w:pPr>
              <w:pStyle w:val="A-"/>
              <w:spacing w:line="260" w:lineRule="exact"/>
            </w:pPr>
            <w:r>
              <w:t>炼焦副产品回收过程中萘精制产生的残渣</w:t>
            </w:r>
          </w:p>
        </w:tc>
        <w:tc>
          <w:tcPr>
            <w:tcW w:w="663" w:type="dxa"/>
            <w:noWrap/>
            <w:vAlign w:val="center"/>
          </w:tcPr>
          <w:p w14:paraId="4905F71D" w14:textId="77777777" w:rsidR="002E474C" w:rsidRDefault="00000000">
            <w:pPr>
              <w:pStyle w:val="A-"/>
              <w:spacing w:line="260" w:lineRule="exact"/>
            </w:pPr>
            <w:r>
              <w:t>T</w:t>
            </w:r>
          </w:p>
        </w:tc>
      </w:tr>
      <w:tr w:rsidR="002E474C" w14:paraId="59198247" w14:textId="77777777">
        <w:trPr>
          <w:trHeight w:val="300"/>
        </w:trPr>
        <w:tc>
          <w:tcPr>
            <w:tcW w:w="828" w:type="dxa"/>
            <w:vMerge/>
            <w:vAlign w:val="center"/>
          </w:tcPr>
          <w:p w14:paraId="04A7E3DA" w14:textId="77777777" w:rsidR="002E474C" w:rsidRDefault="002E474C">
            <w:pPr>
              <w:pStyle w:val="A-"/>
              <w:spacing w:line="260" w:lineRule="exact"/>
            </w:pPr>
          </w:p>
        </w:tc>
        <w:tc>
          <w:tcPr>
            <w:tcW w:w="893" w:type="dxa"/>
            <w:vMerge/>
            <w:vAlign w:val="center"/>
          </w:tcPr>
          <w:p w14:paraId="37DCD30D" w14:textId="77777777" w:rsidR="002E474C" w:rsidRDefault="002E474C">
            <w:pPr>
              <w:pStyle w:val="A-"/>
              <w:spacing w:line="260" w:lineRule="exact"/>
            </w:pPr>
          </w:p>
        </w:tc>
        <w:tc>
          <w:tcPr>
            <w:tcW w:w="1147" w:type="dxa"/>
            <w:noWrap/>
            <w:vAlign w:val="center"/>
          </w:tcPr>
          <w:p w14:paraId="2D995DAF" w14:textId="77777777" w:rsidR="002E474C" w:rsidRDefault="00000000">
            <w:pPr>
              <w:pStyle w:val="A-"/>
              <w:spacing w:line="260" w:lineRule="exact"/>
              <w:ind w:leftChars="-25" w:left="-53" w:rightChars="-25" w:right="-53"/>
            </w:pPr>
            <w:r>
              <w:t>252-004-11</w:t>
            </w:r>
          </w:p>
        </w:tc>
        <w:tc>
          <w:tcPr>
            <w:tcW w:w="4991" w:type="dxa"/>
            <w:noWrap/>
            <w:vAlign w:val="center"/>
          </w:tcPr>
          <w:p w14:paraId="6FABD2BF" w14:textId="77777777" w:rsidR="002E474C" w:rsidRDefault="00000000">
            <w:pPr>
              <w:pStyle w:val="A-"/>
              <w:spacing w:line="260" w:lineRule="exact"/>
            </w:pPr>
            <w:r>
              <w:t>炼焦过程中焦油储存设施中的焦油渣</w:t>
            </w:r>
          </w:p>
        </w:tc>
        <w:tc>
          <w:tcPr>
            <w:tcW w:w="663" w:type="dxa"/>
            <w:noWrap/>
            <w:vAlign w:val="center"/>
          </w:tcPr>
          <w:p w14:paraId="2DC0D0DD" w14:textId="77777777" w:rsidR="002E474C" w:rsidRDefault="00000000">
            <w:pPr>
              <w:pStyle w:val="A-"/>
              <w:spacing w:line="260" w:lineRule="exact"/>
            </w:pPr>
            <w:r>
              <w:t>T</w:t>
            </w:r>
          </w:p>
        </w:tc>
      </w:tr>
      <w:tr w:rsidR="002E474C" w14:paraId="5638C752" w14:textId="77777777">
        <w:trPr>
          <w:trHeight w:val="300"/>
        </w:trPr>
        <w:tc>
          <w:tcPr>
            <w:tcW w:w="828" w:type="dxa"/>
            <w:vMerge/>
            <w:vAlign w:val="center"/>
          </w:tcPr>
          <w:p w14:paraId="42A7CF62" w14:textId="77777777" w:rsidR="002E474C" w:rsidRDefault="002E474C">
            <w:pPr>
              <w:pStyle w:val="A-"/>
              <w:spacing w:line="260" w:lineRule="exact"/>
            </w:pPr>
          </w:p>
        </w:tc>
        <w:tc>
          <w:tcPr>
            <w:tcW w:w="893" w:type="dxa"/>
            <w:vMerge/>
            <w:vAlign w:val="center"/>
          </w:tcPr>
          <w:p w14:paraId="3ACBCA87" w14:textId="77777777" w:rsidR="002E474C" w:rsidRDefault="002E474C">
            <w:pPr>
              <w:pStyle w:val="A-"/>
              <w:spacing w:line="260" w:lineRule="exact"/>
            </w:pPr>
          </w:p>
        </w:tc>
        <w:tc>
          <w:tcPr>
            <w:tcW w:w="1147" w:type="dxa"/>
            <w:noWrap/>
            <w:vAlign w:val="center"/>
          </w:tcPr>
          <w:p w14:paraId="37257469" w14:textId="77777777" w:rsidR="002E474C" w:rsidRDefault="00000000">
            <w:pPr>
              <w:pStyle w:val="A-"/>
              <w:spacing w:line="260" w:lineRule="exact"/>
              <w:ind w:leftChars="-25" w:left="-53" w:rightChars="-25" w:right="-53"/>
            </w:pPr>
            <w:r>
              <w:t>252-005-11</w:t>
            </w:r>
          </w:p>
        </w:tc>
        <w:tc>
          <w:tcPr>
            <w:tcW w:w="4991" w:type="dxa"/>
            <w:noWrap/>
            <w:vAlign w:val="center"/>
          </w:tcPr>
          <w:p w14:paraId="32EFB20B" w14:textId="77777777" w:rsidR="002E474C" w:rsidRDefault="00000000">
            <w:pPr>
              <w:pStyle w:val="A-"/>
              <w:spacing w:line="260" w:lineRule="exact"/>
            </w:pPr>
            <w:r>
              <w:t>煤焦油加工过程中焦油储存设施中的焦油渣</w:t>
            </w:r>
          </w:p>
        </w:tc>
        <w:tc>
          <w:tcPr>
            <w:tcW w:w="663" w:type="dxa"/>
            <w:noWrap/>
            <w:vAlign w:val="center"/>
          </w:tcPr>
          <w:p w14:paraId="308E17EE" w14:textId="77777777" w:rsidR="002E474C" w:rsidRDefault="00000000">
            <w:pPr>
              <w:pStyle w:val="A-"/>
              <w:spacing w:line="260" w:lineRule="exact"/>
            </w:pPr>
            <w:r>
              <w:t>T</w:t>
            </w:r>
          </w:p>
        </w:tc>
      </w:tr>
      <w:tr w:rsidR="002E474C" w14:paraId="51E31535" w14:textId="77777777">
        <w:trPr>
          <w:trHeight w:val="300"/>
        </w:trPr>
        <w:tc>
          <w:tcPr>
            <w:tcW w:w="828" w:type="dxa"/>
            <w:vMerge/>
            <w:vAlign w:val="center"/>
          </w:tcPr>
          <w:p w14:paraId="5B438807" w14:textId="77777777" w:rsidR="002E474C" w:rsidRDefault="002E474C">
            <w:pPr>
              <w:pStyle w:val="A-"/>
              <w:spacing w:line="260" w:lineRule="exact"/>
            </w:pPr>
          </w:p>
        </w:tc>
        <w:tc>
          <w:tcPr>
            <w:tcW w:w="893" w:type="dxa"/>
            <w:vMerge/>
            <w:vAlign w:val="center"/>
          </w:tcPr>
          <w:p w14:paraId="48C65C52" w14:textId="77777777" w:rsidR="002E474C" w:rsidRDefault="002E474C">
            <w:pPr>
              <w:pStyle w:val="A-"/>
              <w:spacing w:line="260" w:lineRule="exact"/>
            </w:pPr>
          </w:p>
        </w:tc>
        <w:tc>
          <w:tcPr>
            <w:tcW w:w="1147" w:type="dxa"/>
            <w:noWrap/>
            <w:vAlign w:val="center"/>
          </w:tcPr>
          <w:p w14:paraId="7CD07F37" w14:textId="77777777" w:rsidR="002E474C" w:rsidRDefault="00000000">
            <w:pPr>
              <w:pStyle w:val="A-"/>
              <w:spacing w:line="260" w:lineRule="exact"/>
              <w:ind w:leftChars="-25" w:left="-53" w:rightChars="-25" w:right="-53"/>
            </w:pPr>
            <w:r>
              <w:t>252-007-11</w:t>
            </w:r>
          </w:p>
        </w:tc>
        <w:tc>
          <w:tcPr>
            <w:tcW w:w="4991" w:type="dxa"/>
            <w:noWrap/>
            <w:vAlign w:val="center"/>
          </w:tcPr>
          <w:p w14:paraId="65AD617B" w14:textId="77777777" w:rsidR="002E474C" w:rsidRDefault="00000000">
            <w:pPr>
              <w:pStyle w:val="A-"/>
              <w:spacing w:line="260" w:lineRule="exact"/>
            </w:pPr>
            <w:r>
              <w:t>炼焦及煤焦油加工过程中的废水池残渣</w:t>
            </w:r>
          </w:p>
        </w:tc>
        <w:tc>
          <w:tcPr>
            <w:tcW w:w="663" w:type="dxa"/>
            <w:noWrap/>
            <w:vAlign w:val="center"/>
          </w:tcPr>
          <w:p w14:paraId="4781994E" w14:textId="77777777" w:rsidR="002E474C" w:rsidRDefault="00000000">
            <w:pPr>
              <w:pStyle w:val="A-"/>
              <w:spacing w:line="260" w:lineRule="exact"/>
            </w:pPr>
            <w:r>
              <w:t>T</w:t>
            </w:r>
          </w:p>
        </w:tc>
      </w:tr>
      <w:tr w:rsidR="002E474C" w14:paraId="50F48ED7" w14:textId="77777777">
        <w:trPr>
          <w:trHeight w:val="300"/>
        </w:trPr>
        <w:tc>
          <w:tcPr>
            <w:tcW w:w="828" w:type="dxa"/>
            <w:vMerge/>
            <w:vAlign w:val="center"/>
          </w:tcPr>
          <w:p w14:paraId="0FB18439" w14:textId="77777777" w:rsidR="002E474C" w:rsidRDefault="002E474C">
            <w:pPr>
              <w:pStyle w:val="A-"/>
              <w:spacing w:line="260" w:lineRule="exact"/>
            </w:pPr>
          </w:p>
        </w:tc>
        <w:tc>
          <w:tcPr>
            <w:tcW w:w="893" w:type="dxa"/>
            <w:vMerge/>
            <w:vAlign w:val="center"/>
          </w:tcPr>
          <w:p w14:paraId="282A3CC0" w14:textId="77777777" w:rsidR="002E474C" w:rsidRDefault="002E474C">
            <w:pPr>
              <w:pStyle w:val="A-"/>
              <w:spacing w:line="260" w:lineRule="exact"/>
            </w:pPr>
          </w:p>
        </w:tc>
        <w:tc>
          <w:tcPr>
            <w:tcW w:w="1147" w:type="dxa"/>
            <w:noWrap/>
            <w:vAlign w:val="center"/>
          </w:tcPr>
          <w:p w14:paraId="77695482" w14:textId="77777777" w:rsidR="002E474C" w:rsidRDefault="00000000">
            <w:pPr>
              <w:pStyle w:val="A-"/>
              <w:spacing w:line="260" w:lineRule="exact"/>
              <w:ind w:leftChars="-25" w:left="-53" w:rightChars="-25" w:right="-53"/>
            </w:pPr>
            <w:r>
              <w:t>252-009-11</w:t>
            </w:r>
          </w:p>
        </w:tc>
        <w:tc>
          <w:tcPr>
            <w:tcW w:w="4991" w:type="dxa"/>
            <w:noWrap/>
            <w:vAlign w:val="center"/>
          </w:tcPr>
          <w:p w14:paraId="1EDBF95D" w14:textId="77777777" w:rsidR="002E474C" w:rsidRDefault="00000000">
            <w:pPr>
              <w:pStyle w:val="A-"/>
              <w:spacing w:line="260" w:lineRule="exact"/>
            </w:pPr>
            <w:r>
              <w:t>轻油回收过程中的废水池残渣</w:t>
            </w:r>
          </w:p>
        </w:tc>
        <w:tc>
          <w:tcPr>
            <w:tcW w:w="663" w:type="dxa"/>
            <w:noWrap/>
            <w:vAlign w:val="center"/>
          </w:tcPr>
          <w:p w14:paraId="77FA1B41" w14:textId="77777777" w:rsidR="002E474C" w:rsidRDefault="00000000">
            <w:pPr>
              <w:pStyle w:val="A-"/>
              <w:spacing w:line="260" w:lineRule="exact"/>
            </w:pPr>
            <w:r>
              <w:t>T</w:t>
            </w:r>
          </w:p>
        </w:tc>
      </w:tr>
      <w:tr w:rsidR="002E474C" w14:paraId="06B062B8" w14:textId="77777777">
        <w:trPr>
          <w:trHeight w:val="300"/>
        </w:trPr>
        <w:tc>
          <w:tcPr>
            <w:tcW w:w="828" w:type="dxa"/>
            <w:vMerge/>
            <w:vAlign w:val="center"/>
          </w:tcPr>
          <w:p w14:paraId="51189C41" w14:textId="77777777" w:rsidR="002E474C" w:rsidRDefault="002E474C">
            <w:pPr>
              <w:pStyle w:val="A-"/>
              <w:spacing w:line="260" w:lineRule="exact"/>
            </w:pPr>
          </w:p>
        </w:tc>
        <w:tc>
          <w:tcPr>
            <w:tcW w:w="893" w:type="dxa"/>
            <w:vMerge/>
            <w:vAlign w:val="center"/>
          </w:tcPr>
          <w:p w14:paraId="382F54C3" w14:textId="77777777" w:rsidR="002E474C" w:rsidRDefault="002E474C">
            <w:pPr>
              <w:pStyle w:val="A-"/>
              <w:spacing w:line="260" w:lineRule="exact"/>
            </w:pPr>
          </w:p>
        </w:tc>
        <w:tc>
          <w:tcPr>
            <w:tcW w:w="1147" w:type="dxa"/>
            <w:noWrap/>
            <w:vAlign w:val="center"/>
          </w:tcPr>
          <w:p w14:paraId="0AD38CF1" w14:textId="77777777" w:rsidR="002E474C" w:rsidRDefault="00000000">
            <w:pPr>
              <w:pStyle w:val="A-"/>
              <w:spacing w:line="260" w:lineRule="exact"/>
              <w:ind w:leftChars="-25" w:left="-53" w:rightChars="-25" w:right="-53"/>
            </w:pPr>
            <w:r>
              <w:t>252-010-11</w:t>
            </w:r>
          </w:p>
        </w:tc>
        <w:tc>
          <w:tcPr>
            <w:tcW w:w="4991" w:type="dxa"/>
            <w:noWrap/>
            <w:vAlign w:val="center"/>
          </w:tcPr>
          <w:p w14:paraId="70D2B3B1" w14:textId="77777777" w:rsidR="002E474C" w:rsidRDefault="00000000">
            <w:pPr>
              <w:pStyle w:val="A-"/>
              <w:spacing w:line="260" w:lineRule="exact"/>
            </w:pPr>
            <w:r>
              <w:t>炼焦、煤焦油加工和苯精制过程中产生的废水处理污泥（不包括废水生化处理污泥）</w:t>
            </w:r>
          </w:p>
        </w:tc>
        <w:tc>
          <w:tcPr>
            <w:tcW w:w="663" w:type="dxa"/>
            <w:noWrap/>
            <w:vAlign w:val="center"/>
          </w:tcPr>
          <w:p w14:paraId="5E448BB4" w14:textId="77777777" w:rsidR="002E474C" w:rsidRDefault="00000000">
            <w:pPr>
              <w:pStyle w:val="A-"/>
              <w:spacing w:line="260" w:lineRule="exact"/>
            </w:pPr>
            <w:r>
              <w:t>T</w:t>
            </w:r>
          </w:p>
        </w:tc>
      </w:tr>
      <w:tr w:rsidR="002E474C" w14:paraId="185721FE" w14:textId="77777777">
        <w:trPr>
          <w:trHeight w:val="300"/>
        </w:trPr>
        <w:tc>
          <w:tcPr>
            <w:tcW w:w="828" w:type="dxa"/>
            <w:vMerge/>
            <w:vAlign w:val="center"/>
          </w:tcPr>
          <w:p w14:paraId="37C7D6A8" w14:textId="77777777" w:rsidR="002E474C" w:rsidRDefault="002E474C">
            <w:pPr>
              <w:pStyle w:val="A-"/>
              <w:spacing w:line="260" w:lineRule="exact"/>
            </w:pPr>
          </w:p>
        </w:tc>
        <w:tc>
          <w:tcPr>
            <w:tcW w:w="893" w:type="dxa"/>
            <w:vMerge/>
            <w:vAlign w:val="center"/>
          </w:tcPr>
          <w:p w14:paraId="0882AC26" w14:textId="77777777" w:rsidR="002E474C" w:rsidRDefault="002E474C">
            <w:pPr>
              <w:pStyle w:val="A-"/>
              <w:spacing w:line="260" w:lineRule="exact"/>
            </w:pPr>
          </w:p>
        </w:tc>
        <w:tc>
          <w:tcPr>
            <w:tcW w:w="1147" w:type="dxa"/>
            <w:noWrap/>
            <w:vAlign w:val="center"/>
          </w:tcPr>
          <w:p w14:paraId="1812DB5D" w14:textId="77777777" w:rsidR="002E474C" w:rsidRDefault="00000000">
            <w:pPr>
              <w:pStyle w:val="A-"/>
              <w:spacing w:line="260" w:lineRule="exact"/>
              <w:ind w:leftChars="-25" w:left="-53" w:rightChars="-25" w:right="-53"/>
            </w:pPr>
            <w:r>
              <w:t>252-011-11</w:t>
            </w:r>
          </w:p>
        </w:tc>
        <w:tc>
          <w:tcPr>
            <w:tcW w:w="4991" w:type="dxa"/>
            <w:noWrap/>
            <w:vAlign w:val="center"/>
          </w:tcPr>
          <w:p w14:paraId="2676430C" w14:textId="77777777" w:rsidR="002E474C" w:rsidRDefault="00000000">
            <w:pPr>
              <w:pStyle w:val="A-"/>
              <w:spacing w:line="260" w:lineRule="exact"/>
            </w:pPr>
            <w:r>
              <w:rPr>
                <w:spacing w:val="-6"/>
              </w:rPr>
              <w:t>焦炭生产过程中硫铵工段煤气除酸净化产生的酸焦油</w:t>
            </w:r>
          </w:p>
        </w:tc>
        <w:tc>
          <w:tcPr>
            <w:tcW w:w="663" w:type="dxa"/>
            <w:noWrap/>
            <w:vAlign w:val="center"/>
          </w:tcPr>
          <w:p w14:paraId="21F6E90B" w14:textId="77777777" w:rsidR="002E474C" w:rsidRDefault="00000000">
            <w:pPr>
              <w:pStyle w:val="A-"/>
              <w:spacing w:line="260" w:lineRule="exact"/>
            </w:pPr>
            <w:r>
              <w:t>T</w:t>
            </w:r>
          </w:p>
        </w:tc>
      </w:tr>
      <w:tr w:rsidR="002E474C" w14:paraId="405CFB46" w14:textId="77777777">
        <w:trPr>
          <w:trHeight w:val="300"/>
        </w:trPr>
        <w:tc>
          <w:tcPr>
            <w:tcW w:w="828" w:type="dxa"/>
            <w:vMerge/>
            <w:vAlign w:val="center"/>
          </w:tcPr>
          <w:p w14:paraId="61BFBC54" w14:textId="77777777" w:rsidR="002E474C" w:rsidRDefault="002E474C">
            <w:pPr>
              <w:pStyle w:val="A-"/>
              <w:spacing w:line="260" w:lineRule="exact"/>
            </w:pPr>
          </w:p>
        </w:tc>
        <w:tc>
          <w:tcPr>
            <w:tcW w:w="893" w:type="dxa"/>
            <w:vMerge/>
            <w:vAlign w:val="center"/>
          </w:tcPr>
          <w:p w14:paraId="13A8BF0E" w14:textId="77777777" w:rsidR="002E474C" w:rsidRDefault="002E474C">
            <w:pPr>
              <w:pStyle w:val="A-"/>
              <w:spacing w:line="260" w:lineRule="exact"/>
            </w:pPr>
          </w:p>
        </w:tc>
        <w:tc>
          <w:tcPr>
            <w:tcW w:w="1147" w:type="dxa"/>
            <w:noWrap/>
            <w:vAlign w:val="center"/>
          </w:tcPr>
          <w:p w14:paraId="4BB63C13" w14:textId="77777777" w:rsidR="002E474C" w:rsidRDefault="00000000">
            <w:pPr>
              <w:pStyle w:val="A-"/>
              <w:spacing w:line="260" w:lineRule="exact"/>
              <w:ind w:leftChars="-25" w:left="-53" w:rightChars="-25" w:right="-53"/>
            </w:pPr>
            <w:r>
              <w:t>252-012-11</w:t>
            </w:r>
          </w:p>
        </w:tc>
        <w:tc>
          <w:tcPr>
            <w:tcW w:w="4991" w:type="dxa"/>
            <w:noWrap/>
            <w:vAlign w:val="center"/>
          </w:tcPr>
          <w:p w14:paraId="292B8363" w14:textId="77777777" w:rsidR="002E474C" w:rsidRDefault="00000000">
            <w:pPr>
              <w:pStyle w:val="A-"/>
              <w:spacing w:line="260" w:lineRule="exact"/>
            </w:pPr>
            <w:r>
              <w:t>焦化粗苯酸洗法精制过程产生的酸焦油及其他精制过程产生的蒸馏残渣</w:t>
            </w:r>
          </w:p>
        </w:tc>
        <w:tc>
          <w:tcPr>
            <w:tcW w:w="663" w:type="dxa"/>
            <w:noWrap/>
            <w:vAlign w:val="center"/>
          </w:tcPr>
          <w:p w14:paraId="055C48AE" w14:textId="77777777" w:rsidR="002E474C" w:rsidRDefault="00000000">
            <w:pPr>
              <w:pStyle w:val="A-"/>
              <w:spacing w:line="260" w:lineRule="exact"/>
            </w:pPr>
            <w:r>
              <w:t>T</w:t>
            </w:r>
          </w:p>
        </w:tc>
      </w:tr>
      <w:tr w:rsidR="002E474C" w14:paraId="7DE37161" w14:textId="77777777">
        <w:trPr>
          <w:trHeight w:val="300"/>
        </w:trPr>
        <w:tc>
          <w:tcPr>
            <w:tcW w:w="828" w:type="dxa"/>
            <w:vMerge/>
            <w:vAlign w:val="center"/>
          </w:tcPr>
          <w:p w14:paraId="4A2091E2" w14:textId="77777777" w:rsidR="002E474C" w:rsidRDefault="002E474C">
            <w:pPr>
              <w:pStyle w:val="A-"/>
              <w:spacing w:line="260" w:lineRule="exact"/>
            </w:pPr>
          </w:p>
        </w:tc>
        <w:tc>
          <w:tcPr>
            <w:tcW w:w="893" w:type="dxa"/>
            <w:vMerge/>
            <w:vAlign w:val="center"/>
          </w:tcPr>
          <w:p w14:paraId="5E8962B1" w14:textId="77777777" w:rsidR="002E474C" w:rsidRDefault="002E474C">
            <w:pPr>
              <w:pStyle w:val="A-"/>
              <w:spacing w:line="260" w:lineRule="exact"/>
            </w:pPr>
          </w:p>
        </w:tc>
        <w:tc>
          <w:tcPr>
            <w:tcW w:w="1147" w:type="dxa"/>
            <w:noWrap/>
            <w:vAlign w:val="center"/>
          </w:tcPr>
          <w:p w14:paraId="579C071A" w14:textId="77777777" w:rsidR="002E474C" w:rsidRDefault="00000000">
            <w:pPr>
              <w:pStyle w:val="A-"/>
              <w:spacing w:line="260" w:lineRule="exact"/>
              <w:ind w:leftChars="-25" w:left="-53" w:rightChars="-25" w:right="-53"/>
            </w:pPr>
            <w:r>
              <w:t>252-013-11</w:t>
            </w:r>
          </w:p>
        </w:tc>
        <w:tc>
          <w:tcPr>
            <w:tcW w:w="4991" w:type="dxa"/>
            <w:noWrap/>
            <w:vAlign w:val="center"/>
          </w:tcPr>
          <w:p w14:paraId="17C95261" w14:textId="77777777" w:rsidR="002E474C" w:rsidRDefault="00000000">
            <w:pPr>
              <w:pStyle w:val="A-"/>
              <w:spacing w:line="260" w:lineRule="exact"/>
            </w:pPr>
            <w:r>
              <w:t>焦炭生产过程中产生的脱硫废液</w:t>
            </w:r>
          </w:p>
        </w:tc>
        <w:tc>
          <w:tcPr>
            <w:tcW w:w="663" w:type="dxa"/>
            <w:noWrap/>
            <w:vAlign w:val="center"/>
          </w:tcPr>
          <w:p w14:paraId="216A163A" w14:textId="77777777" w:rsidR="002E474C" w:rsidRDefault="00000000">
            <w:pPr>
              <w:pStyle w:val="A-"/>
              <w:spacing w:line="260" w:lineRule="exact"/>
            </w:pPr>
            <w:r>
              <w:t>T</w:t>
            </w:r>
          </w:p>
        </w:tc>
      </w:tr>
      <w:tr w:rsidR="002E474C" w14:paraId="2BE20680" w14:textId="77777777">
        <w:trPr>
          <w:trHeight w:val="300"/>
        </w:trPr>
        <w:tc>
          <w:tcPr>
            <w:tcW w:w="828" w:type="dxa"/>
            <w:vMerge/>
            <w:vAlign w:val="center"/>
          </w:tcPr>
          <w:p w14:paraId="19818CED" w14:textId="77777777" w:rsidR="002E474C" w:rsidRDefault="002E474C">
            <w:pPr>
              <w:pStyle w:val="A-"/>
              <w:spacing w:line="260" w:lineRule="exact"/>
            </w:pPr>
          </w:p>
        </w:tc>
        <w:tc>
          <w:tcPr>
            <w:tcW w:w="893" w:type="dxa"/>
            <w:vMerge/>
            <w:vAlign w:val="center"/>
          </w:tcPr>
          <w:p w14:paraId="1A082F26" w14:textId="77777777" w:rsidR="002E474C" w:rsidRDefault="002E474C">
            <w:pPr>
              <w:pStyle w:val="A-"/>
              <w:spacing w:line="260" w:lineRule="exact"/>
            </w:pPr>
          </w:p>
        </w:tc>
        <w:tc>
          <w:tcPr>
            <w:tcW w:w="1147" w:type="dxa"/>
            <w:noWrap/>
            <w:vAlign w:val="center"/>
          </w:tcPr>
          <w:p w14:paraId="4705907B" w14:textId="77777777" w:rsidR="002E474C" w:rsidRDefault="00000000">
            <w:pPr>
              <w:pStyle w:val="A-"/>
              <w:spacing w:line="260" w:lineRule="exact"/>
              <w:ind w:leftChars="-25" w:left="-53" w:rightChars="-25" w:right="-53"/>
            </w:pPr>
            <w:r>
              <w:t>252-016-11</w:t>
            </w:r>
          </w:p>
        </w:tc>
        <w:tc>
          <w:tcPr>
            <w:tcW w:w="4991" w:type="dxa"/>
            <w:noWrap/>
            <w:vAlign w:val="center"/>
          </w:tcPr>
          <w:p w14:paraId="3B84AA0E" w14:textId="77777777" w:rsidR="002E474C" w:rsidRDefault="00000000">
            <w:pPr>
              <w:pStyle w:val="A-"/>
              <w:spacing w:line="260" w:lineRule="exact"/>
            </w:pPr>
            <w:r>
              <w:t>煤沥青改质过程中产生的闪蒸油</w:t>
            </w:r>
          </w:p>
        </w:tc>
        <w:tc>
          <w:tcPr>
            <w:tcW w:w="663" w:type="dxa"/>
            <w:noWrap/>
            <w:vAlign w:val="center"/>
          </w:tcPr>
          <w:p w14:paraId="6B7CC016" w14:textId="77777777" w:rsidR="002E474C" w:rsidRDefault="00000000">
            <w:pPr>
              <w:pStyle w:val="A-"/>
              <w:spacing w:line="260" w:lineRule="exact"/>
            </w:pPr>
            <w:r>
              <w:t>T</w:t>
            </w:r>
          </w:p>
        </w:tc>
      </w:tr>
      <w:tr w:rsidR="002E474C" w14:paraId="0B06104D" w14:textId="77777777">
        <w:trPr>
          <w:trHeight w:val="300"/>
        </w:trPr>
        <w:tc>
          <w:tcPr>
            <w:tcW w:w="828" w:type="dxa"/>
            <w:vMerge/>
            <w:vAlign w:val="center"/>
          </w:tcPr>
          <w:p w14:paraId="192035BE" w14:textId="77777777" w:rsidR="002E474C" w:rsidRDefault="002E474C">
            <w:pPr>
              <w:pStyle w:val="A-"/>
              <w:spacing w:line="260" w:lineRule="exact"/>
            </w:pPr>
          </w:p>
        </w:tc>
        <w:tc>
          <w:tcPr>
            <w:tcW w:w="893" w:type="dxa"/>
            <w:vMerge/>
            <w:vAlign w:val="center"/>
          </w:tcPr>
          <w:p w14:paraId="03BA7A51" w14:textId="77777777" w:rsidR="002E474C" w:rsidRDefault="002E474C">
            <w:pPr>
              <w:pStyle w:val="A-"/>
              <w:spacing w:line="260" w:lineRule="exact"/>
            </w:pPr>
          </w:p>
        </w:tc>
        <w:tc>
          <w:tcPr>
            <w:tcW w:w="1147" w:type="dxa"/>
            <w:noWrap/>
            <w:vAlign w:val="center"/>
          </w:tcPr>
          <w:p w14:paraId="23F3230F" w14:textId="77777777" w:rsidR="002E474C" w:rsidRDefault="00000000">
            <w:pPr>
              <w:pStyle w:val="A-"/>
              <w:spacing w:line="260" w:lineRule="exact"/>
              <w:ind w:leftChars="-25" w:left="-53" w:rightChars="-25" w:right="-53"/>
            </w:pPr>
            <w:r>
              <w:t>252-017-11</w:t>
            </w:r>
          </w:p>
        </w:tc>
        <w:tc>
          <w:tcPr>
            <w:tcW w:w="4991" w:type="dxa"/>
            <w:noWrap/>
            <w:vAlign w:val="center"/>
          </w:tcPr>
          <w:p w14:paraId="4194C1AD" w14:textId="77777777" w:rsidR="002E474C" w:rsidRDefault="00000000">
            <w:pPr>
              <w:pStyle w:val="A-"/>
              <w:spacing w:line="260" w:lineRule="exact"/>
            </w:pPr>
            <w:r>
              <w:t>固定床气化技术生产化工合成原料气、燃料油合成原料气过程中粗煤气冷凝产生的废焦油和焦油渣</w:t>
            </w:r>
          </w:p>
        </w:tc>
        <w:tc>
          <w:tcPr>
            <w:tcW w:w="663" w:type="dxa"/>
            <w:noWrap/>
            <w:vAlign w:val="center"/>
          </w:tcPr>
          <w:p w14:paraId="02D6F1C7" w14:textId="77777777" w:rsidR="002E474C" w:rsidRDefault="00000000">
            <w:pPr>
              <w:pStyle w:val="A-"/>
              <w:spacing w:line="260" w:lineRule="exact"/>
            </w:pPr>
            <w:r>
              <w:t>T</w:t>
            </w:r>
          </w:p>
        </w:tc>
      </w:tr>
      <w:tr w:rsidR="002E474C" w14:paraId="6B9F1D6A" w14:textId="77777777">
        <w:trPr>
          <w:trHeight w:val="300"/>
        </w:trPr>
        <w:tc>
          <w:tcPr>
            <w:tcW w:w="828" w:type="dxa"/>
            <w:vMerge/>
            <w:vAlign w:val="center"/>
          </w:tcPr>
          <w:p w14:paraId="02AC0583" w14:textId="77777777" w:rsidR="002E474C" w:rsidRDefault="002E474C">
            <w:pPr>
              <w:pStyle w:val="A-"/>
              <w:spacing w:line="260" w:lineRule="exact"/>
            </w:pPr>
          </w:p>
        </w:tc>
        <w:tc>
          <w:tcPr>
            <w:tcW w:w="893" w:type="dxa"/>
            <w:vMerge w:val="restart"/>
            <w:vAlign w:val="center"/>
          </w:tcPr>
          <w:p w14:paraId="1C5C2B27" w14:textId="77777777" w:rsidR="002E474C" w:rsidRDefault="00000000">
            <w:pPr>
              <w:pStyle w:val="A-"/>
              <w:spacing w:line="260" w:lineRule="exact"/>
            </w:pPr>
            <w:r>
              <w:t>燃气生产和供应业</w:t>
            </w:r>
          </w:p>
        </w:tc>
        <w:tc>
          <w:tcPr>
            <w:tcW w:w="1147" w:type="dxa"/>
            <w:noWrap/>
            <w:vAlign w:val="center"/>
          </w:tcPr>
          <w:p w14:paraId="16F04713" w14:textId="77777777" w:rsidR="002E474C" w:rsidRDefault="00000000">
            <w:pPr>
              <w:pStyle w:val="A-"/>
              <w:spacing w:line="260" w:lineRule="exact"/>
              <w:ind w:leftChars="-25" w:left="-53" w:rightChars="-25" w:right="-53"/>
            </w:pPr>
            <w:r>
              <w:t>451-001-11</w:t>
            </w:r>
          </w:p>
        </w:tc>
        <w:tc>
          <w:tcPr>
            <w:tcW w:w="4991" w:type="dxa"/>
            <w:noWrap/>
            <w:vAlign w:val="center"/>
          </w:tcPr>
          <w:p w14:paraId="1AE36791" w14:textId="77777777" w:rsidR="002E474C" w:rsidRDefault="00000000">
            <w:pPr>
              <w:pStyle w:val="A-"/>
              <w:spacing w:line="260" w:lineRule="exact"/>
            </w:pPr>
            <w:r>
              <w:t>煤气生产行业煤气净化过程中产生的煤焦油渣</w:t>
            </w:r>
          </w:p>
        </w:tc>
        <w:tc>
          <w:tcPr>
            <w:tcW w:w="663" w:type="dxa"/>
            <w:noWrap/>
            <w:vAlign w:val="center"/>
          </w:tcPr>
          <w:p w14:paraId="2108D9FA" w14:textId="77777777" w:rsidR="002E474C" w:rsidRDefault="00000000">
            <w:pPr>
              <w:pStyle w:val="A-"/>
              <w:spacing w:line="260" w:lineRule="exact"/>
            </w:pPr>
            <w:r>
              <w:t>T</w:t>
            </w:r>
          </w:p>
        </w:tc>
      </w:tr>
      <w:tr w:rsidR="002E474C" w14:paraId="56D974C2" w14:textId="77777777">
        <w:trPr>
          <w:trHeight w:val="300"/>
        </w:trPr>
        <w:tc>
          <w:tcPr>
            <w:tcW w:w="828" w:type="dxa"/>
            <w:vMerge/>
            <w:vAlign w:val="center"/>
          </w:tcPr>
          <w:p w14:paraId="5238644B" w14:textId="77777777" w:rsidR="002E474C" w:rsidRDefault="002E474C">
            <w:pPr>
              <w:pStyle w:val="A-"/>
              <w:spacing w:line="260" w:lineRule="exact"/>
            </w:pPr>
          </w:p>
        </w:tc>
        <w:tc>
          <w:tcPr>
            <w:tcW w:w="893" w:type="dxa"/>
            <w:vMerge/>
            <w:vAlign w:val="center"/>
          </w:tcPr>
          <w:p w14:paraId="586C6397" w14:textId="77777777" w:rsidR="002E474C" w:rsidRDefault="002E474C">
            <w:pPr>
              <w:pStyle w:val="A-"/>
              <w:spacing w:line="260" w:lineRule="exact"/>
            </w:pPr>
          </w:p>
        </w:tc>
        <w:tc>
          <w:tcPr>
            <w:tcW w:w="1147" w:type="dxa"/>
            <w:noWrap/>
            <w:vAlign w:val="center"/>
          </w:tcPr>
          <w:p w14:paraId="51358999" w14:textId="77777777" w:rsidR="002E474C" w:rsidRDefault="00000000">
            <w:pPr>
              <w:pStyle w:val="A-"/>
              <w:spacing w:line="260" w:lineRule="exact"/>
              <w:ind w:leftChars="-25" w:left="-53" w:rightChars="-25" w:right="-53"/>
            </w:pPr>
            <w:r>
              <w:t>451-002-11</w:t>
            </w:r>
          </w:p>
        </w:tc>
        <w:tc>
          <w:tcPr>
            <w:tcW w:w="4991" w:type="dxa"/>
            <w:noWrap/>
            <w:vAlign w:val="center"/>
          </w:tcPr>
          <w:p w14:paraId="0DEC8216" w14:textId="77777777" w:rsidR="002E474C" w:rsidRDefault="00000000">
            <w:pPr>
              <w:pStyle w:val="A-"/>
              <w:spacing w:line="260" w:lineRule="exact"/>
            </w:pPr>
            <w:r>
              <w:t>固定床气化技术制煤气过程中产生的废水处</w:t>
            </w:r>
            <w:r>
              <w:br/>
            </w:r>
            <w:r>
              <w:t>理污泥（不包括废水生化处理污泥）</w:t>
            </w:r>
          </w:p>
        </w:tc>
        <w:tc>
          <w:tcPr>
            <w:tcW w:w="663" w:type="dxa"/>
            <w:noWrap/>
            <w:vAlign w:val="center"/>
          </w:tcPr>
          <w:p w14:paraId="45472EC1" w14:textId="77777777" w:rsidR="002E474C" w:rsidRDefault="00000000">
            <w:pPr>
              <w:pStyle w:val="A-"/>
              <w:spacing w:line="260" w:lineRule="exact"/>
            </w:pPr>
            <w:r>
              <w:t>T</w:t>
            </w:r>
          </w:p>
        </w:tc>
      </w:tr>
      <w:tr w:rsidR="002E474C" w14:paraId="7B550E56" w14:textId="77777777">
        <w:trPr>
          <w:trHeight w:val="300"/>
        </w:trPr>
        <w:tc>
          <w:tcPr>
            <w:tcW w:w="828" w:type="dxa"/>
            <w:vMerge/>
            <w:vAlign w:val="center"/>
          </w:tcPr>
          <w:p w14:paraId="6F611DBA" w14:textId="77777777" w:rsidR="002E474C" w:rsidRDefault="002E474C">
            <w:pPr>
              <w:pStyle w:val="A-"/>
              <w:spacing w:line="260" w:lineRule="exact"/>
            </w:pPr>
          </w:p>
        </w:tc>
        <w:tc>
          <w:tcPr>
            <w:tcW w:w="893" w:type="dxa"/>
            <w:vMerge/>
            <w:vAlign w:val="center"/>
          </w:tcPr>
          <w:p w14:paraId="7BBE4DF2" w14:textId="77777777" w:rsidR="002E474C" w:rsidRDefault="002E474C">
            <w:pPr>
              <w:pStyle w:val="A-"/>
              <w:spacing w:line="260" w:lineRule="exact"/>
            </w:pPr>
          </w:p>
        </w:tc>
        <w:tc>
          <w:tcPr>
            <w:tcW w:w="1147" w:type="dxa"/>
            <w:noWrap/>
            <w:vAlign w:val="center"/>
          </w:tcPr>
          <w:p w14:paraId="4EC133F9" w14:textId="77777777" w:rsidR="002E474C" w:rsidRDefault="00000000">
            <w:pPr>
              <w:pStyle w:val="A-"/>
              <w:spacing w:line="260" w:lineRule="exact"/>
              <w:ind w:leftChars="-25" w:left="-53" w:rightChars="-25" w:right="-53"/>
            </w:pPr>
            <w:r>
              <w:t>451-003-11</w:t>
            </w:r>
          </w:p>
        </w:tc>
        <w:tc>
          <w:tcPr>
            <w:tcW w:w="4991" w:type="dxa"/>
            <w:noWrap/>
            <w:vAlign w:val="center"/>
          </w:tcPr>
          <w:p w14:paraId="64F3C96C" w14:textId="77777777" w:rsidR="002E474C" w:rsidRDefault="00000000">
            <w:pPr>
              <w:pStyle w:val="A-"/>
              <w:spacing w:line="260" w:lineRule="exact"/>
            </w:pPr>
            <w:r>
              <w:t>煤气生产过程中煤气冷凝产生的废煤焦油</w:t>
            </w:r>
          </w:p>
        </w:tc>
        <w:tc>
          <w:tcPr>
            <w:tcW w:w="663" w:type="dxa"/>
            <w:noWrap/>
            <w:vAlign w:val="center"/>
          </w:tcPr>
          <w:p w14:paraId="778318A3" w14:textId="77777777" w:rsidR="002E474C" w:rsidRDefault="00000000">
            <w:pPr>
              <w:pStyle w:val="A-"/>
              <w:spacing w:line="260" w:lineRule="exact"/>
            </w:pPr>
            <w:r>
              <w:t>T</w:t>
            </w:r>
          </w:p>
        </w:tc>
      </w:tr>
      <w:tr w:rsidR="002E474C" w14:paraId="54318A66" w14:textId="77777777">
        <w:trPr>
          <w:trHeight w:val="300"/>
        </w:trPr>
        <w:tc>
          <w:tcPr>
            <w:tcW w:w="828" w:type="dxa"/>
            <w:vMerge/>
            <w:vAlign w:val="center"/>
          </w:tcPr>
          <w:p w14:paraId="0913F374" w14:textId="77777777" w:rsidR="002E474C" w:rsidRDefault="002E474C">
            <w:pPr>
              <w:pStyle w:val="A-"/>
              <w:spacing w:line="260" w:lineRule="exact"/>
            </w:pPr>
          </w:p>
        </w:tc>
        <w:tc>
          <w:tcPr>
            <w:tcW w:w="893" w:type="dxa"/>
            <w:vMerge w:val="restart"/>
            <w:vAlign w:val="center"/>
          </w:tcPr>
          <w:p w14:paraId="5D6F6681" w14:textId="77777777" w:rsidR="002E474C" w:rsidRDefault="00000000">
            <w:pPr>
              <w:pStyle w:val="A-"/>
              <w:spacing w:line="260" w:lineRule="exact"/>
            </w:pPr>
            <w:r>
              <w:t>基础化学原料制造</w:t>
            </w:r>
          </w:p>
        </w:tc>
        <w:tc>
          <w:tcPr>
            <w:tcW w:w="1147" w:type="dxa"/>
            <w:noWrap/>
            <w:vAlign w:val="center"/>
          </w:tcPr>
          <w:p w14:paraId="15BC5A01" w14:textId="77777777" w:rsidR="002E474C" w:rsidRDefault="00000000">
            <w:pPr>
              <w:pStyle w:val="A-"/>
              <w:spacing w:line="260" w:lineRule="exact"/>
              <w:ind w:leftChars="-25" w:left="-53" w:rightChars="-25" w:right="-53"/>
            </w:pPr>
            <w:r>
              <w:t>261-007-11</w:t>
            </w:r>
          </w:p>
        </w:tc>
        <w:tc>
          <w:tcPr>
            <w:tcW w:w="4991" w:type="dxa"/>
            <w:noWrap/>
            <w:vAlign w:val="center"/>
          </w:tcPr>
          <w:p w14:paraId="75D5847E" w14:textId="77777777" w:rsidR="002E474C" w:rsidRDefault="00000000">
            <w:pPr>
              <w:pStyle w:val="A-"/>
              <w:spacing w:line="260" w:lineRule="exact"/>
            </w:pPr>
            <w:r>
              <w:t>乙烯法制乙醛生产过程中产生的蒸馏残渣</w:t>
            </w:r>
          </w:p>
        </w:tc>
        <w:tc>
          <w:tcPr>
            <w:tcW w:w="663" w:type="dxa"/>
            <w:noWrap/>
            <w:vAlign w:val="center"/>
          </w:tcPr>
          <w:p w14:paraId="1B48D574" w14:textId="77777777" w:rsidR="002E474C" w:rsidRDefault="00000000">
            <w:pPr>
              <w:pStyle w:val="A-"/>
              <w:spacing w:line="260" w:lineRule="exact"/>
            </w:pPr>
            <w:r>
              <w:t>T</w:t>
            </w:r>
          </w:p>
        </w:tc>
      </w:tr>
      <w:tr w:rsidR="002E474C" w14:paraId="0A842675" w14:textId="77777777">
        <w:trPr>
          <w:trHeight w:val="300"/>
        </w:trPr>
        <w:tc>
          <w:tcPr>
            <w:tcW w:w="828" w:type="dxa"/>
            <w:vMerge/>
            <w:vAlign w:val="center"/>
          </w:tcPr>
          <w:p w14:paraId="0B973AEF" w14:textId="77777777" w:rsidR="002E474C" w:rsidRDefault="002E474C">
            <w:pPr>
              <w:pStyle w:val="A-"/>
              <w:spacing w:line="260" w:lineRule="exact"/>
            </w:pPr>
          </w:p>
        </w:tc>
        <w:tc>
          <w:tcPr>
            <w:tcW w:w="893" w:type="dxa"/>
            <w:vMerge/>
            <w:vAlign w:val="center"/>
          </w:tcPr>
          <w:p w14:paraId="43BC8810" w14:textId="77777777" w:rsidR="002E474C" w:rsidRDefault="002E474C">
            <w:pPr>
              <w:pStyle w:val="A-"/>
              <w:spacing w:line="260" w:lineRule="exact"/>
            </w:pPr>
          </w:p>
        </w:tc>
        <w:tc>
          <w:tcPr>
            <w:tcW w:w="1147" w:type="dxa"/>
            <w:noWrap/>
            <w:vAlign w:val="center"/>
          </w:tcPr>
          <w:p w14:paraId="32BCB238" w14:textId="77777777" w:rsidR="002E474C" w:rsidRDefault="00000000">
            <w:pPr>
              <w:pStyle w:val="A-"/>
              <w:spacing w:line="260" w:lineRule="exact"/>
              <w:ind w:leftChars="-25" w:left="-53" w:rightChars="-25" w:right="-53"/>
            </w:pPr>
            <w:r>
              <w:t>261-008-11</w:t>
            </w:r>
          </w:p>
        </w:tc>
        <w:tc>
          <w:tcPr>
            <w:tcW w:w="4991" w:type="dxa"/>
            <w:noWrap/>
            <w:vAlign w:val="center"/>
          </w:tcPr>
          <w:p w14:paraId="0C0DD11C" w14:textId="77777777" w:rsidR="002E474C" w:rsidRDefault="00000000">
            <w:pPr>
              <w:pStyle w:val="A-"/>
              <w:spacing w:line="260" w:lineRule="exact"/>
            </w:pPr>
            <w:r>
              <w:t>乙烯法制乙醛生产过程中产生的蒸馏次要馏分</w:t>
            </w:r>
          </w:p>
        </w:tc>
        <w:tc>
          <w:tcPr>
            <w:tcW w:w="663" w:type="dxa"/>
            <w:noWrap/>
            <w:vAlign w:val="center"/>
          </w:tcPr>
          <w:p w14:paraId="091BCC95" w14:textId="77777777" w:rsidR="002E474C" w:rsidRDefault="00000000">
            <w:pPr>
              <w:pStyle w:val="A-"/>
              <w:spacing w:line="260" w:lineRule="exact"/>
            </w:pPr>
            <w:r>
              <w:t>T</w:t>
            </w:r>
          </w:p>
        </w:tc>
      </w:tr>
      <w:tr w:rsidR="002E474C" w14:paraId="5843F840" w14:textId="77777777">
        <w:trPr>
          <w:trHeight w:val="300"/>
        </w:trPr>
        <w:tc>
          <w:tcPr>
            <w:tcW w:w="828" w:type="dxa"/>
            <w:vMerge/>
            <w:vAlign w:val="center"/>
          </w:tcPr>
          <w:p w14:paraId="0AC3FE12" w14:textId="77777777" w:rsidR="002E474C" w:rsidRDefault="002E474C">
            <w:pPr>
              <w:pStyle w:val="A-"/>
              <w:spacing w:line="260" w:lineRule="exact"/>
            </w:pPr>
          </w:p>
        </w:tc>
        <w:tc>
          <w:tcPr>
            <w:tcW w:w="893" w:type="dxa"/>
            <w:vMerge/>
            <w:vAlign w:val="center"/>
          </w:tcPr>
          <w:p w14:paraId="1BF6A86C" w14:textId="77777777" w:rsidR="002E474C" w:rsidRDefault="002E474C">
            <w:pPr>
              <w:pStyle w:val="A-"/>
              <w:spacing w:line="260" w:lineRule="exact"/>
            </w:pPr>
          </w:p>
        </w:tc>
        <w:tc>
          <w:tcPr>
            <w:tcW w:w="1147" w:type="dxa"/>
            <w:noWrap/>
            <w:vAlign w:val="center"/>
          </w:tcPr>
          <w:p w14:paraId="60A7ED55" w14:textId="77777777" w:rsidR="002E474C" w:rsidRDefault="00000000">
            <w:pPr>
              <w:pStyle w:val="A-"/>
              <w:spacing w:line="260" w:lineRule="exact"/>
              <w:ind w:leftChars="-25" w:left="-53" w:rightChars="-25" w:right="-53"/>
            </w:pPr>
            <w:r>
              <w:t>261-009-11</w:t>
            </w:r>
          </w:p>
        </w:tc>
        <w:tc>
          <w:tcPr>
            <w:tcW w:w="4991" w:type="dxa"/>
            <w:noWrap/>
            <w:vAlign w:val="center"/>
          </w:tcPr>
          <w:p w14:paraId="2548B544" w14:textId="77777777" w:rsidR="002E474C" w:rsidRDefault="00000000">
            <w:pPr>
              <w:pStyle w:val="A-"/>
              <w:spacing w:line="260" w:lineRule="exact"/>
            </w:pPr>
            <w:r>
              <w:t>苄基氯生产过程中苄基氯蒸馏产生的蒸馏残渣</w:t>
            </w:r>
          </w:p>
        </w:tc>
        <w:tc>
          <w:tcPr>
            <w:tcW w:w="663" w:type="dxa"/>
            <w:noWrap/>
            <w:vAlign w:val="center"/>
          </w:tcPr>
          <w:p w14:paraId="715EADF1" w14:textId="77777777" w:rsidR="002E474C" w:rsidRDefault="00000000">
            <w:pPr>
              <w:pStyle w:val="A-"/>
              <w:spacing w:line="260" w:lineRule="exact"/>
            </w:pPr>
            <w:r>
              <w:t>T</w:t>
            </w:r>
          </w:p>
        </w:tc>
      </w:tr>
      <w:tr w:rsidR="002E474C" w14:paraId="673D3716" w14:textId="77777777">
        <w:trPr>
          <w:trHeight w:val="300"/>
        </w:trPr>
        <w:tc>
          <w:tcPr>
            <w:tcW w:w="828" w:type="dxa"/>
            <w:vMerge/>
            <w:vAlign w:val="center"/>
          </w:tcPr>
          <w:p w14:paraId="42979946" w14:textId="77777777" w:rsidR="002E474C" w:rsidRDefault="002E474C">
            <w:pPr>
              <w:pStyle w:val="A-"/>
              <w:spacing w:line="260" w:lineRule="exact"/>
            </w:pPr>
          </w:p>
        </w:tc>
        <w:tc>
          <w:tcPr>
            <w:tcW w:w="893" w:type="dxa"/>
            <w:vMerge/>
            <w:vAlign w:val="center"/>
          </w:tcPr>
          <w:p w14:paraId="4CDFED18" w14:textId="77777777" w:rsidR="002E474C" w:rsidRDefault="002E474C">
            <w:pPr>
              <w:pStyle w:val="A-"/>
              <w:spacing w:line="260" w:lineRule="exact"/>
            </w:pPr>
          </w:p>
        </w:tc>
        <w:tc>
          <w:tcPr>
            <w:tcW w:w="1147" w:type="dxa"/>
            <w:noWrap/>
            <w:vAlign w:val="center"/>
          </w:tcPr>
          <w:p w14:paraId="45978351" w14:textId="77777777" w:rsidR="002E474C" w:rsidRDefault="00000000">
            <w:pPr>
              <w:pStyle w:val="A-"/>
              <w:spacing w:line="260" w:lineRule="exact"/>
              <w:ind w:leftChars="-25" w:left="-53" w:rightChars="-25" w:right="-53"/>
            </w:pPr>
            <w:r>
              <w:t>261-010-11</w:t>
            </w:r>
          </w:p>
        </w:tc>
        <w:tc>
          <w:tcPr>
            <w:tcW w:w="4991" w:type="dxa"/>
            <w:noWrap/>
            <w:vAlign w:val="center"/>
          </w:tcPr>
          <w:p w14:paraId="60958CD8" w14:textId="77777777" w:rsidR="002E474C" w:rsidRDefault="00000000">
            <w:pPr>
              <w:pStyle w:val="A-"/>
              <w:spacing w:line="260" w:lineRule="exact"/>
            </w:pPr>
            <w:r>
              <w:t>四氯化碳生产过程中产生的蒸馏残渣和重馏分</w:t>
            </w:r>
          </w:p>
        </w:tc>
        <w:tc>
          <w:tcPr>
            <w:tcW w:w="663" w:type="dxa"/>
            <w:noWrap/>
            <w:vAlign w:val="center"/>
          </w:tcPr>
          <w:p w14:paraId="6449332D" w14:textId="77777777" w:rsidR="002E474C" w:rsidRDefault="00000000">
            <w:pPr>
              <w:pStyle w:val="A-"/>
              <w:spacing w:line="260" w:lineRule="exact"/>
            </w:pPr>
            <w:r>
              <w:t>T</w:t>
            </w:r>
          </w:p>
        </w:tc>
      </w:tr>
      <w:tr w:rsidR="002E474C" w14:paraId="3CED8535" w14:textId="77777777">
        <w:trPr>
          <w:trHeight w:val="300"/>
        </w:trPr>
        <w:tc>
          <w:tcPr>
            <w:tcW w:w="828" w:type="dxa"/>
            <w:vMerge/>
            <w:vAlign w:val="center"/>
          </w:tcPr>
          <w:p w14:paraId="32773CDB" w14:textId="77777777" w:rsidR="002E474C" w:rsidRDefault="002E474C">
            <w:pPr>
              <w:pStyle w:val="A-"/>
              <w:spacing w:line="260" w:lineRule="exact"/>
            </w:pPr>
          </w:p>
        </w:tc>
        <w:tc>
          <w:tcPr>
            <w:tcW w:w="893" w:type="dxa"/>
            <w:vMerge/>
            <w:vAlign w:val="center"/>
          </w:tcPr>
          <w:p w14:paraId="23666CAF" w14:textId="77777777" w:rsidR="002E474C" w:rsidRDefault="002E474C">
            <w:pPr>
              <w:pStyle w:val="A-"/>
              <w:spacing w:line="260" w:lineRule="exact"/>
            </w:pPr>
          </w:p>
        </w:tc>
        <w:tc>
          <w:tcPr>
            <w:tcW w:w="1147" w:type="dxa"/>
            <w:noWrap/>
            <w:vAlign w:val="center"/>
          </w:tcPr>
          <w:p w14:paraId="2B644839" w14:textId="77777777" w:rsidR="002E474C" w:rsidRDefault="00000000">
            <w:pPr>
              <w:pStyle w:val="A-"/>
              <w:spacing w:line="260" w:lineRule="exact"/>
              <w:ind w:leftChars="-25" w:left="-53" w:rightChars="-25" w:right="-53"/>
            </w:pPr>
            <w:r>
              <w:t>261-011-11</w:t>
            </w:r>
          </w:p>
        </w:tc>
        <w:tc>
          <w:tcPr>
            <w:tcW w:w="4991" w:type="dxa"/>
            <w:noWrap/>
            <w:vAlign w:val="center"/>
          </w:tcPr>
          <w:p w14:paraId="41337398" w14:textId="77777777" w:rsidR="002E474C" w:rsidRDefault="00000000">
            <w:pPr>
              <w:pStyle w:val="A-"/>
              <w:spacing w:line="260" w:lineRule="exact"/>
            </w:pPr>
            <w:r>
              <w:t>表氯醇生产过程中精制塔产生的蒸馏残渣</w:t>
            </w:r>
          </w:p>
        </w:tc>
        <w:tc>
          <w:tcPr>
            <w:tcW w:w="663" w:type="dxa"/>
            <w:noWrap/>
            <w:vAlign w:val="center"/>
          </w:tcPr>
          <w:p w14:paraId="6DE67398" w14:textId="77777777" w:rsidR="002E474C" w:rsidRDefault="00000000">
            <w:pPr>
              <w:pStyle w:val="A-"/>
              <w:spacing w:line="260" w:lineRule="exact"/>
            </w:pPr>
            <w:r>
              <w:t>T</w:t>
            </w:r>
          </w:p>
        </w:tc>
      </w:tr>
      <w:tr w:rsidR="002E474C" w14:paraId="02C347F7" w14:textId="77777777">
        <w:trPr>
          <w:trHeight w:val="300"/>
        </w:trPr>
        <w:tc>
          <w:tcPr>
            <w:tcW w:w="828" w:type="dxa"/>
            <w:vMerge/>
            <w:vAlign w:val="center"/>
          </w:tcPr>
          <w:p w14:paraId="7F1C06CF" w14:textId="77777777" w:rsidR="002E474C" w:rsidRDefault="002E474C">
            <w:pPr>
              <w:pStyle w:val="A-"/>
              <w:spacing w:line="260" w:lineRule="exact"/>
            </w:pPr>
          </w:p>
        </w:tc>
        <w:tc>
          <w:tcPr>
            <w:tcW w:w="893" w:type="dxa"/>
            <w:vMerge/>
            <w:vAlign w:val="center"/>
          </w:tcPr>
          <w:p w14:paraId="713E3B1E" w14:textId="77777777" w:rsidR="002E474C" w:rsidRDefault="002E474C">
            <w:pPr>
              <w:pStyle w:val="A-"/>
              <w:spacing w:line="260" w:lineRule="exact"/>
            </w:pPr>
          </w:p>
        </w:tc>
        <w:tc>
          <w:tcPr>
            <w:tcW w:w="1147" w:type="dxa"/>
            <w:noWrap/>
            <w:vAlign w:val="center"/>
          </w:tcPr>
          <w:p w14:paraId="7B6EDAEA" w14:textId="77777777" w:rsidR="002E474C" w:rsidRDefault="00000000">
            <w:pPr>
              <w:pStyle w:val="A-"/>
              <w:spacing w:line="260" w:lineRule="exact"/>
              <w:ind w:leftChars="-25" w:left="-53" w:rightChars="-25" w:right="-53"/>
            </w:pPr>
            <w:r>
              <w:t>261-012-11</w:t>
            </w:r>
          </w:p>
        </w:tc>
        <w:tc>
          <w:tcPr>
            <w:tcW w:w="4991" w:type="dxa"/>
            <w:noWrap/>
            <w:vAlign w:val="center"/>
          </w:tcPr>
          <w:p w14:paraId="66D14E4C" w14:textId="77777777" w:rsidR="002E474C" w:rsidRDefault="00000000">
            <w:pPr>
              <w:pStyle w:val="A-"/>
              <w:spacing w:line="260" w:lineRule="exact"/>
            </w:pPr>
            <w:r>
              <w:t>异丙苯生产过程中精馏塔产生的重馏分</w:t>
            </w:r>
          </w:p>
        </w:tc>
        <w:tc>
          <w:tcPr>
            <w:tcW w:w="663" w:type="dxa"/>
            <w:noWrap/>
            <w:vAlign w:val="center"/>
          </w:tcPr>
          <w:p w14:paraId="06B5AD3A" w14:textId="77777777" w:rsidR="002E474C" w:rsidRDefault="00000000">
            <w:pPr>
              <w:pStyle w:val="A-"/>
              <w:spacing w:line="260" w:lineRule="exact"/>
            </w:pPr>
            <w:r>
              <w:t>T</w:t>
            </w:r>
          </w:p>
        </w:tc>
      </w:tr>
      <w:tr w:rsidR="002E474C" w14:paraId="656A5A23" w14:textId="77777777">
        <w:trPr>
          <w:trHeight w:val="300"/>
        </w:trPr>
        <w:tc>
          <w:tcPr>
            <w:tcW w:w="828" w:type="dxa"/>
            <w:vMerge/>
            <w:vAlign w:val="center"/>
          </w:tcPr>
          <w:p w14:paraId="18AC838F" w14:textId="77777777" w:rsidR="002E474C" w:rsidRDefault="002E474C">
            <w:pPr>
              <w:pStyle w:val="A-"/>
              <w:spacing w:line="260" w:lineRule="exact"/>
            </w:pPr>
          </w:p>
        </w:tc>
        <w:tc>
          <w:tcPr>
            <w:tcW w:w="893" w:type="dxa"/>
            <w:vMerge/>
            <w:vAlign w:val="center"/>
          </w:tcPr>
          <w:p w14:paraId="2D3FBA9A" w14:textId="77777777" w:rsidR="002E474C" w:rsidRDefault="002E474C">
            <w:pPr>
              <w:pStyle w:val="A-"/>
              <w:spacing w:line="260" w:lineRule="exact"/>
            </w:pPr>
          </w:p>
        </w:tc>
        <w:tc>
          <w:tcPr>
            <w:tcW w:w="1147" w:type="dxa"/>
            <w:noWrap/>
            <w:vAlign w:val="center"/>
          </w:tcPr>
          <w:p w14:paraId="00E67287" w14:textId="77777777" w:rsidR="002E474C" w:rsidRDefault="00000000">
            <w:pPr>
              <w:pStyle w:val="A-"/>
              <w:spacing w:line="260" w:lineRule="exact"/>
              <w:ind w:leftChars="-25" w:left="-53" w:rightChars="-25" w:right="-53"/>
            </w:pPr>
            <w:r>
              <w:t>261-013-11</w:t>
            </w:r>
          </w:p>
        </w:tc>
        <w:tc>
          <w:tcPr>
            <w:tcW w:w="4991" w:type="dxa"/>
            <w:noWrap/>
            <w:vAlign w:val="center"/>
          </w:tcPr>
          <w:p w14:paraId="23C44A96" w14:textId="77777777" w:rsidR="002E474C" w:rsidRDefault="00000000">
            <w:pPr>
              <w:pStyle w:val="A-"/>
              <w:spacing w:line="260" w:lineRule="exact"/>
            </w:pPr>
            <w:r>
              <w:rPr>
                <w:spacing w:val="-6"/>
              </w:rPr>
              <w:t>萘法生产邻苯二甲酸酐过程中产生的蒸馏残渣和轻馏分</w:t>
            </w:r>
          </w:p>
        </w:tc>
        <w:tc>
          <w:tcPr>
            <w:tcW w:w="663" w:type="dxa"/>
            <w:noWrap/>
            <w:vAlign w:val="center"/>
          </w:tcPr>
          <w:p w14:paraId="3C6E100B" w14:textId="77777777" w:rsidR="002E474C" w:rsidRDefault="00000000">
            <w:pPr>
              <w:pStyle w:val="A-"/>
              <w:spacing w:line="260" w:lineRule="exact"/>
            </w:pPr>
            <w:r>
              <w:t>T</w:t>
            </w:r>
          </w:p>
        </w:tc>
      </w:tr>
      <w:tr w:rsidR="002E474C" w14:paraId="361BEAC8" w14:textId="77777777">
        <w:trPr>
          <w:trHeight w:val="300"/>
        </w:trPr>
        <w:tc>
          <w:tcPr>
            <w:tcW w:w="828" w:type="dxa"/>
            <w:vMerge/>
            <w:vAlign w:val="center"/>
          </w:tcPr>
          <w:p w14:paraId="3C10D4AB" w14:textId="77777777" w:rsidR="002E474C" w:rsidRDefault="002E474C">
            <w:pPr>
              <w:pStyle w:val="A-"/>
              <w:spacing w:line="260" w:lineRule="exact"/>
            </w:pPr>
          </w:p>
        </w:tc>
        <w:tc>
          <w:tcPr>
            <w:tcW w:w="893" w:type="dxa"/>
            <w:vMerge/>
            <w:vAlign w:val="center"/>
          </w:tcPr>
          <w:p w14:paraId="6CBB89CC" w14:textId="77777777" w:rsidR="002E474C" w:rsidRDefault="002E474C">
            <w:pPr>
              <w:pStyle w:val="A-"/>
              <w:spacing w:line="260" w:lineRule="exact"/>
            </w:pPr>
          </w:p>
        </w:tc>
        <w:tc>
          <w:tcPr>
            <w:tcW w:w="1147" w:type="dxa"/>
            <w:noWrap/>
            <w:vAlign w:val="center"/>
          </w:tcPr>
          <w:p w14:paraId="71A2439A" w14:textId="77777777" w:rsidR="002E474C" w:rsidRDefault="00000000">
            <w:pPr>
              <w:pStyle w:val="A-"/>
              <w:spacing w:line="260" w:lineRule="exact"/>
              <w:ind w:leftChars="-25" w:left="-53" w:rightChars="-25" w:right="-53"/>
            </w:pPr>
            <w:r>
              <w:t>261-014-11</w:t>
            </w:r>
          </w:p>
        </w:tc>
        <w:tc>
          <w:tcPr>
            <w:tcW w:w="4991" w:type="dxa"/>
            <w:noWrap/>
            <w:vAlign w:val="center"/>
          </w:tcPr>
          <w:p w14:paraId="79086BBE" w14:textId="77777777" w:rsidR="002E474C" w:rsidRDefault="00000000">
            <w:pPr>
              <w:pStyle w:val="A-"/>
              <w:spacing w:line="260" w:lineRule="exact"/>
            </w:pPr>
            <w:r>
              <w:t>邻二甲苯法生产邻苯二甲酸酐过程中产生的蒸馏残渣和轻馏分</w:t>
            </w:r>
          </w:p>
        </w:tc>
        <w:tc>
          <w:tcPr>
            <w:tcW w:w="663" w:type="dxa"/>
            <w:noWrap/>
            <w:vAlign w:val="center"/>
          </w:tcPr>
          <w:p w14:paraId="531A6184" w14:textId="77777777" w:rsidR="002E474C" w:rsidRDefault="00000000">
            <w:pPr>
              <w:pStyle w:val="A-"/>
              <w:spacing w:line="260" w:lineRule="exact"/>
            </w:pPr>
            <w:r>
              <w:t>T</w:t>
            </w:r>
          </w:p>
        </w:tc>
      </w:tr>
      <w:tr w:rsidR="002E474C" w14:paraId="0BB79F13" w14:textId="77777777">
        <w:trPr>
          <w:trHeight w:val="300"/>
        </w:trPr>
        <w:tc>
          <w:tcPr>
            <w:tcW w:w="828" w:type="dxa"/>
            <w:vMerge/>
            <w:vAlign w:val="center"/>
          </w:tcPr>
          <w:p w14:paraId="680ACEB9" w14:textId="77777777" w:rsidR="002E474C" w:rsidRDefault="002E474C">
            <w:pPr>
              <w:pStyle w:val="A-"/>
              <w:spacing w:line="260" w:lineRule="exact"/>
            </w:pPr>
          </w:p>
        </w:tc>
        <w:tc>
          <w:tcPr>
            <w:tcW w:w="893" w:type="dxa"/>
            <w:vMerge/>
            <w:vAlign w:val="center"/>
          </w:tcPr>
          <w:p w14:paraId="01A987C5" w14:textId="77777777" w:rsidR="002E474C" w:rsidRDefault="002E474C">
            <w:pPr>
              <w:pStyle w:val="A-"/>
              <w:spacing w:line="260" w:lineRule="exact"/>
            </w:pPr>
          </w:p>
        </w:tc>
        <w:tc>
          <w:tcPr>
            <w:tcW w:w="1147" w:type="dxa"/>
            <w:noWrap/>
            <w:vAlign w:val="center"/>
          </w:tcPr>
          <w:p w14:paraId="5FCA4E02" w14:textId="77777777" w:rsidR="002E474C" w:rsidRDefault="00000000">
            <w:pPr>
              <w:pStyle w:val="A-"/>
              <w:spacing w:line="260" w:lineRule="exact"/>
              <w:ind w:leftChars="-25" w:left="-53" w:rightChars="-25" w:right="-53"/>
            </w:pPr>
            <w:r>
              <w:t>261-015-11</w:t>
            </w:r>
          </w:p>
        </w:tc>
        <w:tc>
          <w:tcPr>
            <w:tcW w:w="4991" w:type="dxa"/>
            <w:noWrap/>
            <w:vAlign w:val="center"/>
          </w:tcPr>
          <w:p w14:paraId="6F1F7A77" w14:textId="77777777" w:rsidR="002E474C" w:rsidRDefault="00000000">
            <w:pPr>
              <w:pStyle w:val="A-"/>
              <w:spacing w:line="260" w:lineRule="exact"/>
            </w:pPr>
            <w:r>
              <w:t>苯硝化法生产硝基苯过程中产生的蒸馏残渣</w:t>
            </w:r>
          </w:p>
        </w:tc>
        <w:tc>
          <w:tcPr>
            <w:tcW w:w="663" w:type="dxa"/>
            <w:noWrap/>
            <w:vAlign w:val="center"/>
          </w:tcPr>
          <w:p w14:paraId="25AA276F" w14:textId="77777777" w:rsidR="002E474C" w:rsidRDefault="00000000">
            <w:pPr>
              <w:pStyle w:val="A-"/>
              <w:spacing w:line="260" w:lineRule="exact"/>
            </w:pPr>
            <w:r>
              <w:t>T</w:t>
            </w:r>
          </w:p>
        </w:tc>
      </w:tr>
      <w:tr w:rsidR="002E474C" w14:paraId="6CA56AAA" w14:textId="77777777">
        <w:trPr>
          <w:trHeight w:val="300"/>
        </w:trPr>
        <w:tc>
          <w:tcPr>
            <w:tcW w:w="828" w:type="dxa"/>
            <w:vMerge/>
            <w:vAlign w:val="center"/>
          </w:tcPr>
          <w:p w14:paraId="1E5E55E6" w14:textId="77777777" w:rsidR="002E474C" w:rsidRDefault="002E474C">
            <w:pPr>
              <w:pStyle w:val="A-"/>
              <w:spacing w:line="260" w:lineRule="exact"/>
            </w:pPr>
          </w:p>
        </w:tc>
        <w:tc>
          <w:tcPr>
            <w:tcW w:w="893" w:type="dxa"/>
            <w:vMerge/>
            <w:vAlign w:val="center"/>
          </w:tcPr>
          <w:p w14:paraId="241222A9" w14:textId="77777777" w:rsidR="002E474C" w:rsidRDefault="002E474C">
            <w:pPr>
              <w:pStyle w:val="A-"/>
              <w:spacing w:line="260" w:lineRule="exact"/>
            </w:pPr>
          </w:p>
        </w:tc>
        <w:tc>
          <w:tcPr>
            <w:tcW w:w="1147" w:type="dxa"/>
            <w:noWrap/>
            <w:vAlign w:val="center"/>
          </w:tcPr>
          <w:p w14:paraId="66C87985" w14:textId="77777777" w:rsidR="002E474C" w:rsidRDefault="00000000">
            <w:pPr>
              <w:pStyle w:val="A-"/>
              <w:spacing w:line="260" w:lineRule="exact"/>
              <w:ind w:leftChars="-25" w:left="-53" w:rightChars="-25" w:right="-53"/>
            </w:pPr>
            <w:r>
              <w:t>261-016-11</w:t>
            </w:r>
          </w:p>
        </w:tc>
        <w:tc>
          <w:tcPr>
            <w:tcW w:w="4991" w:type="dxa"/>
            <w:noWrap/>
            <w:vAlign w:val="center"/>
          </w:tcPr>
          <w:p w14:paraId="33EAD223" w14:textId="77777777" w:rsidR="002E474C" w:rsidRDefault="00000000">
            <w:pPr>
              <w:pStyle w:val="A-"/>
              <w:spacing w:line="260" w:lineRule="exact"/>
              <w:ind w:leftChars="-34" w:left="-71" w:rightChars="-34" w:right="-71"/>
            </w:pPr>
            <w:r>
              <w:rPr>
                <w:spacing w:val="-11"/>
              </w:rPr>
              <w:t>甲苯二异氰酸酯生产过程中产生的蒸馏残渣和离心分离残渣</w:t>
            </w:r>
          </w:p>
        </w:tc>
        <w:tc>
          <w:tcPr>
            <w:tcW w:w="663" w:type="dxa"/>
            <w:noWrap/>
            <w:vAlign w:val="center"/>
          </w:tcPr>
          <w:p w14:paraId="528C54FE" w14:textId="77777777" w:rsidR="002E474C" w:rsidRDefault="00000000">
            <w:pPr>
              <w:pStyle w:val="A-"/>
              <w:spacing w:line="260" w:lineRule="exact"/>
            </w:pPr>
            <w:r>
              <w:t>T</w:t>
            </w:r>
          </w:p>
        </w:tc>
      </w:tr>
      <w:tr w:rsidR="002E474C" w14:paraId="64C8D1F8" w14:textId="77777777">
        <w:trPr>
          <w:trHeight w:val="300"/>
        </w:trPr>
        <w:tc>
          <w:tcPr>
            <w:tcW w:w="828" w:type="dxa"/>
            <w:vMerge/>
            <w:vAlign w:val="center"/>
          </w:tcPr>
          <w:p w14:paraId="20F9E629" w14:textId="77777777" w:rsidR="002E474C" w:rsidRDefault="002E474C">
            <w:pPr>
              <w:pStyle w:val="A-"/>
              <w:spacing w:line="260" w:lineRule="exact"/>
            </w:pPr>
          </w:p>
        </w:tc>
        <w:tc>
          <w:tcPr>
            <w:tcW w:w="893" w:type="dxa"/>
            <w:vMerge/>
            <w:vAlign w:val="center"/>
          </w:tcPr>
          <w:p w14:paraId="2DFF63AD" w14:textId="77777777" w:rsidR="002E474C" w:rsidRDefault="002E474C">
            <w:pPr>
              <w:pStyle w:val="A-"/>
              <w:spacing w:line="260" w:lineRule="exact"/>
            </w:pPr>
          </w:p>
        </w:tc>
        <w:tc>
          <w:tcPr>
            <w:tcW w:w="1147" w:type="dxa"/>
            <w:noWrap/>
            <w:vAlign w:val="center"/>
          </w:tcPr>
          <w:p w14:paraId="399FA0D7" w14:textId="77777777" w:rsidR="002E474C" w:rsidRDefault="00000000">
            <w:pPr>
              <w:pStyle w:val="A-"/>
              <w:spacing w:line="260" w:lineRule="exact"/>
              <w:ind w:leftChars="-25" w:left="-53" w:rightChars="-25" w:right="-53"/>
            </w:pPr>
            <w:r>
              <w:t>261-017-11</w:t>
            </w:r>
          </w:p>
        </w:tc>
        <w:tc>
          <w:tcPr>
            <w:tcW w:w="4991" w:type="dxa"/>
            <w:noWrap/>
            <w:vAlign w:val="center"/>
          </w:tcPr>
          <w:p w14:paraId="3BEA2C66" w14:textId="77777777" w:rsidR="002E474C" w:rsidRDefault="00000000">
            <w:pPr>
              <w:pStyle w:val="A-"/>
              <w:spacing w:line="260" w:lineRule="exact"/>
            </w:pPr>
            <w:r>
              <w:t>1,1,1-</w:t>
            </w:r>
            <w:r>
              <w:t>三氯乙烷生产过程中产生的蒸馏残渣</w:t>
            </w:r>
          </w:p>
        </w:tc>
        <w:tc>
          <w:tcPr>
            <w:tcW w:w="663" w:type="dxa"/>
            <w:noWrap/>
            <w:vAlign w:val="center"/>
          </w:tcPr>
          <w:p w14:paraId="21B62C28" w14:textId="77777777" w:rsidR="002E474C" w:rsidRDefault="00000000">
            <w:pPr>
              <w:pStyle w:val="A-"/>
              <w:spacing w:line="260" w:lineRule="exact"/>
            </w:pPr>
            <w:r>
              <w:t>T</w:t>
            </w:r>
          </w:p>
        </w:tc>
      </w:tr>
      <w:tr w:rsidR="002E474C" w14:paraId="56BFF094" w14:textId="77777777">
        <w:trPr>
          <w:trHeight w:val="300"/>
        </w:trPr>
        <w:tc>
          <w:tcPr>
            <w:tcW w:w="828" w:type="dxa"/>
            <w:vMerge/>
            <w:vAlign w:val="center"/>
          </w:tcPr>
          <w:p w14:paraId="072C1653" w14:textId="77777777" w:rsidR="002E474C" w:rsidRDefault="002E474C">
            <w:pPr>
              <w:pStyle w:val="A-"/>
              <w:spacing w:line="260" w:lineRule="exact"/>
            </w:pPr>
          </w:p>
        </w:tc>
        <w:tc>
          <w:tcPr>
            <w:tcW w:w="893" w:type="dxa"/>
            <w:vMerge/>
            <w:vAlign w:val="center"/>
          </w:tcPr>
          <w:p w14:paraId="416131F6" w14:textId="77777777" w:rsidR="002E474C" w:rsidRDefault="002E474C">
            <w:pPr>
              <w:pStyle w:val="A-"/>
              <w:spacing w:line="260" w:lineRule="exact"/>
            </w:pPr>
          </w:p>
        </w:tc>
        <w:tc>
          <w:tcPr>
            <w:tcW w:w="1147" w:type="dxa"/>
            <w:noWrap/>
            <w:vAlign w:val="center"/>
          </w:tcPr>
          <w:p w14:paraId="48C692F8" w14:textId="77777777" w:rsidR="002E474C" w:rsidRDefault="00000000">
            <w:pPr>
              <w:pStyle w:val="A-"/>
              <w:spacing w:line="260" w:lineRule="exact"/>
              <w:ind w:leftChars="-25" w:left="-53" w:rightChars="-25" w:right="-53"/>
            </w:pPr>
            <w:r>
              <w:t>261-018-11</w:t>
            </w:r>
          </w:p>
        </w:tc>
        <w:tc>
          <w:tcPr>
            <w:tcW w:w="4991" w:type="dxa"/>
            <w:noWrap/>
            <w:vAlign w:val="center"/>
          </w:tcPr>
          <w:p w14:paraId="0500FD74" w14:textId="77777777" w:rsidR="002E474C" w:rsidRDefault="00000000">
            <w:pPr>
              <w:pStyle w:val="A-"/>
              <w:spacing w:line="260" w:lineRule="exact"/>
            </w:pPr>
            <w:r>
              <w:rPr>
                <w:spacing w:val="-6"/>
              </w:rPr>
              <w:t>三氯乙烯和四氯乙烯联合生产过程中产生的蒸馏残渣</w:t>
            </w:r>
          </w:p>
        </w:tc>
        <w:tc>
          <w:tcPr>
            <w:tcW w:w="663" w:type="dxa"/>
            <w:noWrap/>
            <w:vAlign w:val="center"/>
          </w:tcPr>
          <w:p w14:paraId="1207F7F3" w14:textId="77777777" w:rsidR="002E474C" w:rsidRDefault="00000000">
            <w:pPr>
              <w:pStyle w:val="A-"/>
              <w:spacing w:line="260" w:lineRule="exact"/>
            </w:pPr>
            <w:r>
              <w:t>T</w:t>
            </w:r>
          </w:p>
        </w:tc>
      </w:tr>
      <w:tr w:rsidR="002E474C" w14:paraId="50B7B436" w14:textId="77777777">
        <w:trPr>
          <w:trHeight w:val="300"/>
        </w:trPr>
        <w:tc>
          <w:tcPr>
            <w:tcW w:w="828" w:type="dxa"/>
            <w:vMerge/>
            <w:vAlign w:val="center"/>
          </w:tcPr>
          <w:p w14:paraId="1C7D4CA9" w14:textId="77777777" w:rsidR="002E474C" w:rsidRDefault="002E474C">
            <w:pPr>
              <w:pStyle w:val="A-"/>
              <w:spacing w:line="260" w:lineRule="exact"/>
            </w:pPr>
          </w:p>
        </w:tc>
        <w:tc>
          <w:tcPr>
            <w:tcW w:w="893" w:type="dxa"/>
            <w:vMerge/>
            <w:vAlign w:val="center"/>
          </w:tcPr>
          <w:p w14:paraId="0DF2C2A5" w14:textId="77777777" w:rsidR="002E474C" w:rsidRDefault="002E474C">
            <w:pPr>
              <w:pStyle w:val="A-"/>
              <w:spacing w:line="260" w:lineRule="exact"/>
            </w:pPr>
          </w:p>
        </w:tc>
        <w:tc>
          <w:tcPr>
            <w:tcW w:w="1147" w:type="dxa"/>
            <w:noWrap/>
            <w:vAlign w:val="center"/>
          </w:tcPr>
          <w:p w14:paraId="3521DFDA" w14:textId="77777777" w:rsidR="002E474C" w:rsidRDefault="00000000">
            <w:pPr>
              <w:pStyle w:val="A-"/>
              <w:spacing w:line="260" w:lineRule="exact"/>
              <w:ind w:leftChars="-25" w:left="-53" w:rightChars="-25" w:right="-53"/>
            </w:pPr>
            <w:r>
              <w:t>261-019-11</w:t>
            </w:r>
          </w:p>
        </w:tc>
        <w:tc>
          <w:tcPr>
            <w:tcW w:w="4991" w:type="dxa"/>
            <w:noWrap/>
            <w:vAlign w:val="center"/>
          </w:tcPr>
          <w:p w14:paraId="6F95729A" w14:textId="77777777" w:rsidR="002E474C" w:rsidRDefault="00000000">
            <w:pPr>
              <w:pStyle w:val="A-"/>
              <w:spacing w:line="260" w:lineRule="exact"/>
            </w:pPr>
            <w:r>
              <w:t>苯胺生产过程中产生的蒸馏残渣</w:t>
            </w:r>
          </w:p>
        </w:tc>
        <w:tc>
          <w:tcPr>
            <w:tcW w:w="663" w:type="dxa"/>
            <w:noWrap/>
            <w:vAlign w:val="center"/>
          </w:tcPr>
          <w:p w14:paraId="535A77ED" w14:textId="77777777" w:rsidR="002E474C" w:rsidRDefault="00000000">
            <w:pPr>
              <w:pStyle w:val="A-"/>
              <w:spacing w:line="260" w:lineRule="exact"/>
            </w:pPr>
            <w:r>
              <w:t>T</w:t>
            </w:r>
          </w:p>
        </w:tc>
      </w:tr>
      <w:tr w:rsidR="002E474C" w14:paraId="70352FE7" w14:textId="77777777">
        <w:trPr>
          <w:trHeight w:val="300"/>
        </w:trPr>
        <w:tc>
          <w:tcPr>
            <w:tcW w:w="828" w:type="dxa"/>
            <w:vMerge/>
            <w:vAlign w:val="center"/>
          </w:tcPr>
          <w:p w14:paraId="328951C9" w14:textId="77777777" w:rsidR="002E474C" w:rsidRDefault="002E474C">
            <w:pPr>
              <w:pStyle w:val="A-"/>
              <w:spacing w:line="260" w:lineRule="exact"/>
            </w:pPr>
          </w:p>
        </w:tc>
        <w:tc>
          <w:tcPr>
            <w:tcW w:w="893" w:type="dxa"/>
            <w:vMerge/>
            <w:vAlign w:val="center"/>
          </w:tcPr>
          <w:p w14:paraId="59136183" w14:textId="77777777" w:rsidR="002E474C" w:rsidRDefault="002E474C">
            <w:pPr>
              <w:pStyle w:val="A-"/>
              <w:spacing w:line="260" w:lineRule="exact"/>
            </w:pPr>
          </w:p>
        </w:tc>
        <w:tc>
          <w:tcPr>
            <w:tcW w:w="1147" w:type="dxa"/>
            <w:noWrap/>
            <w:vAlign w:val="center"/>
          </w:tcPr>
          <w:p w14:paraId="5790C218" w14:textId="77777777" w:rsidR="002E474C" w:rsidRDefault="00000000">
            <w:pPr>
              <w:pStyle w:val="A-"/>
              <w:spacing w:line="260" w:lineRule="exact"/>
              <w:ind w:leftChars="-25" w:left="-53" w:rightChars="-25" w:right="-53"/>
            </w:pPr>
            <w:r>
              <w:t>261-020-11</w:t>
            </w:r>
          </w:p>
        </w:tc>
        <w:tc>
          <w:tcPr>
            <w:tcW w:w="4991" w:type="dxa"/>
            <w:noWrap/>
            <w:vAlign w:val="center"/>
          </w:tcPr>
          <w:p w14:paraId="6772F4F3" w14:textId="77777777" w:rsidR="002E474C" w:rsidRDefault="00000000">
            <w:pPr>
              <w:pStyle w:val="A-"/>
              <w:spacing w:line="260" w:lineRule="exact"/>
            </w:pPr>
            <w:r>
              <w:t>苯胺生产过程中苯胺萃取工序产生的蒸馏残渣</w:t>
            </w:r>
          </w:p>
        </w:tc>
        <w:tc>
          <w:tcPr>
            <w:tcW w:w="663" w:type="dxa"/>
            <w:noWrap/>
            <w:vAlign w:val="center"/>
          </w:tcPr>
          <w:p w14:paraId="402BED23" w14:textId="77777777" w:rsidR="002E474C" w:rsidRDefault="00000000">
            <w:pPr>
              <w:pStyle w:val="A-"/>
              <w:spacing w:line="260" w:lineRule="exact"/>
            </w:pPr>
            <w:r>
              <w:t>T</w:t>
            </w:r>
          </w:p>
        </w:tc>
      </w:tr>
      <w:tr w:rsidR="002E474C" w14:paraId="08D28F80" w14:textId="77777777">
        <w:trPr>
          <w:trHeight w:val="300"/>
        </w:trPr>
        <w:tc>
          <w:tcPr>
            <w:tcW w:w="828" w:type="dxa"/>
            <w:vMerge/>
            <w:vAlign w:val="center"/>
          </w:tcPr>
          <w:p w14:paraId="437BA91A" w14:textId="77777777" w:rsidR="002E474C" w:rsidRDefault="002E474C">
            <w:pPr>
              <w:pStyle w:val="A-"/>
              <w:spacing w:line="260" w:lineRule="exact"/>
            </w:pPr>
          </w:p>
        </w:tc>
        <w:tc>
          <w:tcPr>
            <w:tcW w:w="893" w:type="dxa"/>
            <w:vMerge/>
            <w:vAlign w:val="center"/>
          </w:tcPr>
          <w:p w14:paraId="7A1331C5" w14:textId="77777777" w:rsidR="002E474C" w:rsidRDefault="002E474C">
            <w:pPr>
              <w:pStyle w:val="A-"/>
              <w:spacing w:line="260" w:lineRule="exact"/>
            </w:pPr>
          </w:p>
        </w:tc>
        <w:tc>
          <w:tcPr>
            <w:tcW w:w="1147" w:type="dxa"/>
            <w:noWrap/>
            <w:vAlign w:val="center"/>
          </w:tcPr>
          <w:p w14:paraId="4D693EEA" w14:textId="77777777" w:rsidR="002E474C" w:rsidRDefault="00000000">
            <w:pPr>
              <w:pStyle w:val="A-"/>
              <w:spacing w:line="260" w:lineRule="exact"/>
              <w:ind w:leftChars="-25" w:left="-53" w:rightChars="-25" w:right="-53"/>
            </w:pPr>
            <w:r>
              <w:t>261-021-11</w:t>
            </w:r>
          </w:p>
        </w:tc>
        <w:tc>
          <w:tcPr>
            <w:tcW w:w="4991" w:type="dxa"/>
            <w:noWrap/>
            <w:vAlign w:val="center"/>
          </w:tcPr>
          <w:p w14:paraId="599F63A9" w14:textId="77777777" w:rsidR="002E474C" w:rsidRDefault="00000000">
            <w:pPr>
              <w:pStyle w:val="A-"/>
              <w:spacing w:line="260" w:lineRule="exact"/>
            </w:pPr>
            <w:r>
              <w:t>二硝基甲苯加氢法生产甲苯二胺过程中干燥塔产生的反应残余物</w:t>
            </w:r>
          </w:p>
        </w:tc>
        <w:tc>
          <w:tcPr>
            <w:tcW w:w="663" w:type="dxa"/>
            <w:noWrap/>
            <w:vAlign w:val="center"/>
          </w:tcPr>
          <w:p w14:paraId="52BF1D44" w14:textId="77777777" w:rsidR="002E474C" w:rsidRDefault="00000000">
            <w:pPr>
              <w:pStyle w:val="A-"/>
              <w:spacing w:line="260" w:lineRule="exact"/>
            </w:pPr>
            <w:r>
              <w:t>T</w:t>
            </w:r>
          </w:p>
        </w:tc>
      </w:tr>
      <w:tr w:rsidR="002E474C" w14:paraId="151DB85A" w14:textId="77777777">
        <w:trPr>
          <w:trHeight w:val="300"/>
        </w:trPr>
        <w:tc>
          <w:tcPr>
            <w:tcW w:w="828" w:type="dxa"/>
            <w:vMerge/>
            <w:vAlign w:val="center"/>
          </w:tcPr>
          <w:p w14:paraId="10D7D428" w14:textId="77777777" w:rsidR="002E474C" w:rsidRDefault="002E474C">
            <w:pPr>
              <w:pStyle w:val="A-"/>
              <w:spacing w:line="260" w:lineRule="exact"/>
            </w:pPr>
          </w:p>
        </w:tc>
        <w:tc>
          <w:tcPr>
            <w:tcW w:w="893" w:type="dxa"/>
            <w:vMerge/>
            <w:vAlign w:val="center"/>
          </w:tcPr>
          <w:p w14:paraId="42F2ADEA" w14:textId="77777777" w:rsidR="002E474C" w:rsidRDefault="002E474C">
            <w:pPr>
              <w:pStyle w:val="A-"/>
              <w:spacing w:line="260" w:lineRule="exact"/>
            </w:pPr>
          </w:p>
        </w:tc>
        <w:tc>
          <w:tcPr>
            <w:tcW w:w="1147" w:type="dxa"/>
            <w:noWrap/>
            <w:vAlign w:val="center"/>
          </w:tcPr>
          <w:p w14:paraId="7306CA5D" w14:textId="77777777" w:rsidR="002E474C" w:rsidRDefault="00000000">
            <w:pPr>
              <w:pStyle w:val="A-"/>
              <w:spacing w:line="260" w:lineRule="exact"/>
              <w:ind w:leftChars="-25" w:left="-53" w:rightChars="-25" w:right="-53"/>
            </w:pPr>
            <w:r>
              <w:t>261-022-11</w:t>
            </w:r>
          </w:p>
        </w:tc>
        <w:tc>
          <w:tcPr>
            <w:tcW w:w="4991" w:type="dxa"/>
            <w:noWrap/>
            <w:vAlign w:val="center"/>
          </w:tcPr>
          <w:p w14:paraId="668E4240" w14:textId="77777777" w:rsidR="002E474C" w:rsidRDefault="00000000">
            <w:pPr>
              <w:pStyle w:val="A-"/>
              <w:spacing w:line="260" w:lineRule="exact"/>
            </w:pPr>
            <w:r>
              <w:t>二硝基甲苯加氢法生产甲苯二胺过程中产品精制产生的轻馏分</w:t>
            </w:r>
          </w:p>
        </w:tc>
        <w:tc>
          <w:tcPr>
            <w:tcW w:w="663" w:type="dxa"/>
            <w:noWrap/>
            <w:vAlign w:val="center"/>
          </w:tcPr>
          <w:p w14:paraId="7A9083D0" w14:textId="77777777" w:rsidR="002E474C" w:rsidRDefault="00000000">
            <w:pPr>
              <w:pStyle w:val="A-"/>
              <w:spacing w:line="260" w:lineRule="exact"/>
            </w:pPr>
            <w:r>
              <w:t>T</w:t>
            </w:r>
          </w:p>
        </w:tc>
      </w:tr>
      <w:tr w:rsidR="002E474C" w14:paraId="7589F7EA" w14:textId="77777777">
        <w:trPr>
          <w:trHeight w:val="300"/>
        </w:trPr>
        <w:tc>
          <w:tcPr>
            <w:tcW w:w="828" w:type="dxa"/>
            <w:vMerge/>
            <w:vAlign w:val="center"/>
          </w:tcPr>
          <w:p w14:paraId="30361CDA" w14:textId="77777777" w:rsidR="002E474C" w:rsidRDefault="002E474C">
            <w:pPr>
              <w:pStyle w:val="A-"/>
              <w:spacing w:line="260" w:lineRule="exact"/>
            </w:pPr>
          </w:p>
        </w:tc>
        <w:tc>
          <w:tcPr>
            <w:tcW w:w="893" w:type="dxa"/>
            <w:vMerge/>
            <w:vAlign w:val="center"/>
          </w:tcPr>
          <w:p w14:paraId="26FDADF7" w14:textId="77777777" w:rsidR="002E474C" w:rsidRDefault="002E474C">
            <w:pPr>
              <w:pStyle w:val="A-"/>
              <w:spacing w:line="260" w:lineRule="exact"/>
            </w:pPr>
          </w:p>
        </w:tc>
        <w:tc>
          <w:tcPr>
            <w:tcW w:w="1147" w:type="dxa"/>
            <w:noWrap/>
            <w:vAlign w:val="center"/>
          </w:tcPr>
          <w:p w14:paraId="6D079D3E" w14:textId="77777777" w:rsidR="002E474C" w:rsidRDefault="00000000">
            <w:pPr>
              <w:pStyle w:val="A-"/>
              <w:spacing w:line="260" w:lineRule="exact"/>
              <w:ind w:leftChars="-25" w:left="-53" w:rightChars="-25" w:right="-53"/>
            </w:pPr>
            <w:r>
              <w:t>261-023-11</w:t>
            </w:r>
          </w:p>
        </w:tc>
        <w:tc>
          <w:tcPr>
            <w:tcW w:w="4991" w:type="dxa"/>
            <w:noWrap/>
            <w:vAlign w:val="center"/>
          </w:tcPr>
          <w:p w14:paraId="58283C6C" w14:textId="77777777" w:rsidR="002E474C" w:rsidRDefault="00000000">
            <w:pPr>
              <w:pStyle w:val="A-"/>
              <w:spacing w:line="260" w:lineRule="exact"/>
              <w:ind w:leftChars="-34" w:left="-71" w:rightChars="-34" w:right="-71"/>
            </w:pPr>
            <w:r>
              <w:rPr>
                <w:spacing w:val="-11"/>
              </w:rPr>
              <w:t>二硝基甲苯加氢法生产甲苯二胺过程中产品精制产生的废液</w:t>
            </w:r>
          </w:p>
        </w:tc>
        <w:tc>
          <w:tcPr>
            <w:tcW w:w="663" w:type="dxa"/>
            <w:noWrap/>
            <w:vAlign w:val="center"/>
          </w:tcPr>
          <w:p w14:paraId="1AA2E077" w14:textId="77777777" w:rsidR="002E474C" w:rsidRDefault="00000000">
            <w:pPr>
              <w:pStyle w:val="A-"/>
              <w:spacing w:line="260" w:lineRule="exact"/>
            </w:pPr>
            <w:r>
              <w:t>T</w:t>
            </w:r>
          </w:p>
        </w:tc>
      </w:tr>
      <w:tr w:rsidR="002E474C" w14:paraId="757C08A4" w14:textId="77777777">
        <w:trPr>
          <w:trHeight w:val="300"/>
        </w:trPr>
        <w:tc>
          <w:tcPr>
            <w:tcW w:w="828" w:type="dxa"/>
            <w:vMerge/>
            <w:vAlign w:val="center"/>
          </w:tcPr>
          <w:p w14:paraId="48F8BF2C" w14:textId="77777777" w:rsidR="002E474C" w:rsidRDefault="002E474C">
            <w:pPr>
              <w:pStyle w:val="A-"/>
              <w:spacing w:line="260" w:lineRule="exact"/>
            </w:pPr>
          </w:p>
        </w:tc>
        <w:tc>
          <w:tcPr>
            <w:tcW w:w="893" w:type="dxa"/>
            <w:vMerge/>
            <w:vAlign w:val="center"/>
          </w:tcPr>
          <w:p w14:paraId="09CADBDF" w14:textId="77777777" w:rsidR="002E474C" w:rsidRDefault="002E474C">
            <w:pPr>
              <w:pStyle w:val="A-"/>
              <w:spacing w:line="260" w:lineRule="exact"/>
            </w:pPr>
          </w:p>
        </w:tc>
        <w:tc>
          <w:tcPr>
            <w:tcW w:w="1147" w:type="dxa"/>
            <w:noWrap/>
            <w:vAlign w:val="center"/>
          </w:tcPr>
          <w:p w14:paraId="4661A82B" w14:textId="77777777" w:rsidR="002E474C" w:rsidRDefault="00000000">
            <w:pPr>
              <w:pStyle w:val="A-"/>
              <w:spacing w:line="260" w:lineRule="exact"/>
              <w:ind w:leftChars="-25" w:left="-53" w:rightChars="-25" w:right="-53"/>
            </w:pPr>
            <w:r>
              <w:t>261-024-11</w:t>
            </w:r>
          </w:p>
        </w:tc>
        <w:tc>
          <w:tcPr>
            <w:tcW w:w="4991" w:type="dxa"/>
            <w:noWrap/>
            <w:vAlign w:val="center"/>
          </w:tcPr>
          <w:p w14:paraId="2B7D4F44" w14:textId="77777777" w:rsidR="002E474C" w:rsidRDefault="00000000">
            <w:pPr>
              <w:pStyle w:val="A-"/>
              <w:spacing w:line="260" w:lineRule="exact"/>
            </w:pPr>
            <w:r>
              <w:t>二硝基甲苯加氢法生产甲苯二胺过程中产品精制产生的重馏分</w:t>
            </w:r>
          </w:p>
        </w:tc>
        <w:tc>
          <w:tcPr>
            <w:tcW w:w="663" w:type="dxa"/>
            <w:noWrap/>
            <w:vAlign w:val="center"/>
          </w:tcPr>
          <w:p w14:paraId="0156AEC9" w14:textId="77777777" w:rsidR="002E474C" w:rsidRDefault="00000000">
            <w:pPr>
              <w:pStyle w:val="A-"/>
              <w:spacing w:line="260" w:lineRule="exact"/>
            </w:pPr>
            <w:r>
              <w:t>T</w:t>
            </w:r>
          </w:p>
        </w:tc>
      </w:tr>
      <w:tr w:rsidR="002E474C" w14:paraId="7CBD1BC7" w14:textId="77777777">
        <w:trPr>
          <w:trHeight w:val="300"/>
        </w:trPr>
        <w:tc>
          <w:tcPr>
            <w:tcW w:w="828" w:type="dxa"/>
            <w:vMerge/>
            <w:vAlign w:val="center"/>
          </w:tcPr>
          <w:p w14:paraId="3264818D" w14:textId="77777777" w:rsidR="002E474C" w:rsidRDefault="002E474C">
            <w:pPr>
              <w:pStyle w:val="A-"/>
              <w:spacing w:line="260" w:lineRule="exact"/>
            </w:pPr>
          </w:p>
        </w:tc>
        <w:tc>
          <w:tcPr>
            <w:tcW w:w="893" w:type="dxa"/>
            <w:vMerge/>
            <w:vAlign w:val="center"/>
          </w:tcPr>
          <w:p w14:paraId="54CADAE8" w14:textId="77777777" w:rsidR="002E474C" w:rsidRDefault="002E474C">
            <w:pPr>
              <w:pStyle w:val="A-"/>
              <w:spacing w:line="260" w:lineRule="exact"/>
            </w:pPr>
          </w:p>
        </w:tc>
        <w:tc>
          <w:tcPr>
            <w:tcW w:w="1147" w:type="dxa"/>
            <w:noWrap/>
            <w:vAlign w:val="center"/>
          </w:tcPr>
          <w:p w14:paraId="053CEA93" w14:textId="77777777" w:rsidR="002E474C" w:rsidRDefault="00000000">
            <w:pPr>
              <w:pStyle w:val="A-"/>
              <w:spacing w:line="260" w:lineRule="exact"/>
              <w:ind w:leftChars="-25" w:left="-53" w:rightChars="-25" w:right="-53"/>
            </w:pPr>
            <w:r>
              <w:t>261-025-11</w:t>
            </w:r>
          </w:p>
        </w:tc>
        <w:tc>
          <w:tcPr>
            <w:tcW w:w="4991" w:type="dxa"/>
            <w:noWrap/>
            <w:vAlign w:val="center"/>
          </w:tcPr>
          <w:p w14:paraId="0CFFB949" w14:textId="77777777" w:rsidR="002E474C" w:rsidRDefault="00000000">
            <w:pPr>
              <w:pStyle w:val="A-"/>
              <w:spacing w:line="260" w:lineRule="exact"/>
            </w:pPr>
            <w:r>
              <w:t>甲苯二胺光气化法生产甲苯二异氰酸酯过程中溶剂回收塔产生的有机冷凝物</w:t>
            </w:r>
          </w:p>
        </w:tc>
        <w:tc>
          <w:tcPr>
            <w:tcW w:w="663" w:type="dxa"/>
            <w:noWrap/>
            <w:vAlign w:val="center"/>
          </w:tcPr>
          <w:p w14:paraId="4973DB9E" w14:textId="77777777" w:rsidR="002E474C" w:rsidRDefault="00000000">
            <w:pPr>
              <w:pStyle w:val="A-"/>
              <w:spacing w:line="260" w:lineRule="exact"/>
            </w:pPr>
            <w:r>
              <w:t>T</w:t>
            </w:r>
          </w:p>
        </w:tc>
      </w:tr>
      <w:tr w:rsidR="002E474C" w14:paraId="3D589FD6" w14:textId="77777777">
        <w:trPr>
          <w:trHeight w:val="300"/>
        </w:trPr>
        <w:tc>
          <w:tcPr>
            <w:tcW w:w="828" w:type="dxa"/>
            <w:vMerge/>
            <w:vAlign w:val="center"/>
          </w:tcPr>
          <w:p w14:paraId="7DDFAA42" w14:textId="77777777" w:rsidR="002E474C" w:rsidRDefault="002E474C">
            <w:pPr>
              <w:pStyle w:val="A-"/>
              <w:spacing w:line="260" w:lineRule="exact"/>
            </w:pPr>
          </w:p>
        </w:tc>
        <w:tc>
          <w:tcPr>
            <w:tcW w:w="893" w:type="dxa"/>
            <w:vMerge/>
            <w:vAlign w:val="center"/>
          </w:tcPr>
          <w:p w14:paraId="0893A7AE" w14:textId="77777777" w:rsidR="002E474C" w:rsidRDefault="002E474C">
            <w:pPr>
              <w:pStyle w:val="A-"/>
              <w:spacing w:line="260" w:lineRule="exact"/>
            </w:pPr>
          </w:p>
        </w:tc>
        <w:tc>
          <w:tcPr>
            <w:tcW w:w="1147" w:type="dxa"/>
            <w:noWrap/>
            <w:vAlign w:val="center"/>
          </w:tcPr>
          <w:p w14:paraId="239481E0" w14:textId="77777777" w:rsidR="002E474C" w:rsidRDefault="00000000">
            <w:pPr>
              <w:pStyle w:val="A-"/>
              <w:spacing w:line="260" w:lineRule="exact"/>
              <w:ind w:leftChars="-25" w:left="-53" w:rightChars="-25" w:right="-53"/>
            </w:pPr>
            <w:r>
              <w:t>261-026-11</w:t>
            </w:r>
          </w:p>
        </w:tc>
        <w:tc>
          <w:tcPr>
            <w:tcW w:w="4991" w:type="dxa"/>
            <w:noWrap/>
            <w:vAlign w:val="center"/>
          </w:tcPr>
          <w:p w14:paraId="134722AE" w14:textId="77777777" w:rsidR="002E474C" w:rsidRDefault="00000000">
            <w:pPr>
              <w:pStyle w:val="A-"/>
              <w:spacing w:line="260" w:lineRule="exact"/>
            </w:pPr>
            <w:r>
              <w:t>氯苯、二氯苯生产过程中的蒸馏及分馏残渣</w:t>
            </w:r>
          </w:p>
        </w:tc>
        <w:tc>
          <w:tcPr>
            <w:tcW w:w="663" w:type="dxa"/>
            <w:noWrap/>
            <w:vAlign w:val="center"/>
          </w:tcPr>
          <w:p w14:paraId="2B0A1872" w14:textId="77777777" w:rsidR="002E474C" w:rsidRDefault="00000000">
            <w:pPr>
              <w:pStyle w:val="A-"/>
              <w:spacing w:line="260" w:lineRule="exact"/>
            </w:pPr>
            <w:r>
              <w:t>T</w:t>
            </w:r>
          </w:p>
        </w:tc>
      </w:tr>
      <w:tr w:rsidR="002E474C" w14:paraId="491EDE60" w14:textId="77777777">
        <w:trPr>
          <w:trHeight w:val="300"/>
        </w:trPr>
        <w:tc>
          <w:tcPr>
            <w:tcW w:w="828" w:type="dxa"/>
            <w:vMerge/>
            <w:vAlign w:val="center"/>
          </w:tcPr>
          <w:p w14:paraId="0BF8A718" w14:textId="77777777" w:rsidR="002E474C" w:rsidRDefault="002E474C">
            <w:pPr>
              <w:pStyle w:val="A-"/>
              <w:spacing w:line="260" w:lineRule="exact"/>
            </w:pPr>
          </w:p>
        </w:tc>
        <w:tc>
          <w:tcPr>
            <w:tcW w:w="893" w:type="dxa"/>
            <w:vMerge/>
            <w:vAlign w:val="center"/>
          </w:tcPr>
          <w:p w14:paraId="5D2EE8BB" w14:textId="77777777" w:rsidR="002E474C" w:rsidRDefault="002E474C">
            <w:pPr>
              <w:pStyle w:val="A-"/>
              <w:spacing w:line="260" w:lineRule="exact"/>
            </w:pPr>
          </w:p>
        </w:tc>
        <w:tc>
          <w:tcPr>
            <w:tcW w:w="1147" w:type="dxa"/>
            <w:noWrap/>
            <w:vAlign w:val="center"/>
          </w:tcPr>
          <w:p w14:paraId="6BA343CB" w14:textId="77777777" w:rsidR="002E474C" w:rsidRDefault="00000000">
            <w:pPr>
              <w:pStyle w:val="A-"/>
              <w:spacing w:line="260" w:lineRule="exact"/>
              <w:ind w:leftChars="-25" w:left="-53" w:rightChars="-25" w:right="-53"/>
            </w:pPr>
            <w:r>
              <w:t>261-027-11</w:t>
            </w:r>
          </w:p>
        </w:tc>
        <w:tc>
          <w:tcPr>
            <w:tcW w:w="4991" w:type="dxa"/>
            <w:noWrap/>
            <w:vAlign w:val="center"/>
          </w:tcPr>
          <w:p w14:paraId="716CB83B" w14:textId="77777777" w:rsidR="002E474C" w:rsidRDefault="00000000">
            <w:pPr>
              <w:pStyle w:val="A-"/>
              <w:spacing w:line="260" w:lineRule="exact"/>
            </w:pPr>
            <w:r>
              <w:rPr>
                <w:spacing w:val="-11"/>
              </w:rPr>
              <w:t>使用羧酸肼生产</w:t>
            </w:r>
            <w:r>
              <w:rPr>
                <w:spacing w:val="-11"/>
              </w:rPr>
              <w:t xml:space="preserve"> 1,1-</w:t>
            </w:r>
            <w:r>
              <w:rPr>
                <w:spacing w:val="-11"/>
              </w:rPr>
              <w:t>二甲基肼过程中产品分离产生的残渣</w:t>
            </w:r>
          </w:p>
        </w:tc>
        <w:tc>
          <w:tcPr>
            <w:tcW w:w="663" w:type="dxa"/>
            <w:noWrap/>
            <w:vAlign w:val="center"/>
          </w:tcPr>
          <w:p w14:paraId="72E4A871" w14:textId="77777777" w:rsidR="002E474C" w:rsidRDefault="00000000">
            <w:pPr>
              <w:pStyle w:val="A-"/>
              <w:spacing w:line="260" w:lineRule="exact"/>
            </w:pPr>
            <w:r>
              <w:t>T</w:t>
            </w:r>
          </w:p>
        </w:tc>
      </w:tr>
      <w:tr w:rsidR="002E474C" w14:paraId="63000D38" w14:textId="77777777">
        <w:trPr>
          <w:trHeight w:val="300"/>
        </w:trPr>
        <w:tc>
          <w:tcPr>
            <w:tcW w:w="828" w:type="dxa"/>
            <w:vMerge/>
            <w:vAlign w:val="center"/>
          </w:tcPr>
          <w:p w14:paraId="4045F54C" w14:textId="77777777" w:rsidR="002E474C" w:rsidRDefault="002E474C">
            <w:pPr>
              <w:pStyle w:val="A-"/>
              <w:spacing w:line="260" w:lineRule="exact"/>
            </w:pPr>
          </w:p>
        </w:tc>
        <w:tc>
          <w:tcPr>
            <w:tcW w:w="893" w:type="dxa"/>
            <w:vMerge/>
            <w:vAlign w:val="center"/>
          </w:tcPr>
          <w:p w14:paraId="56E03814" w14:textId="77777777" w:rsidR="002E474C" w:rsidRDefault="002E474C">
            <w:pPr>
              <w:pStyle w:val="A-"/>
              <w:spacing w:line="260" w:lineRule="exact"/>
            </w:pPr>
          </w:p>
        </w:tc>
        <w:tc>
          <w:tcPr>
            <w:tcW w:w="1147" w:type="dxa"/>
            <w:noWrap/>
            <w:vAlign w:val="center"/>
          </w:tcPr>
          <w:p w14:paraId="72D43E70" w14:textId="77777777" w:rsidR="002E474C" w:rsidRDefault="00000000">
            <w:pPr>
              <w:pStyle w:val="A-"/>
              <w:spacing w:line="260" w:lineRule="exact"/>
              <w:ind w:leftChars="-25" w:left="-53" w:rightChars="-25" w:right="-53"/>
            </w:pPr>
            <w:r>
              <w:t>261-028-11</w:t>
            </w:r>
          </w:p>
        </w:tc>
        <w:tc>
          <w:tcPr>
            <w:tcW w:w="4991" w:type="dxa"/>
            <w:noWrap/>
            <w:vAlign w:val="center"/>
          </w:tcPr>
          <w:p w14:paraId="536C5376" w14:textId="77777777" w:rsidR="002E474C" w:rsidRDefault="00000000">
            <w:pPr>
              <w:pStyle w:val="A-"/>
              <w:spacing w:line="260" w:lineRule="exact"/>
            </w:pPr>
            <w:r>
              <w:rPr>
                <w:spacing w:val="-11"/>
              </w:rPr>
              <w:t>乙烯溴化法生产二溴乙烯过程中产品精制产生的蒸馏残渣</w:t>
            </w:r>
          </w:p>
        </w:tc>
        <w:tc>
          <w:tcPr>
            <w:tcW w:w="663" w:type="dxa"/>
            <w:noWrap/>
            <w:vAlign w:val="center"/>
          </w:tcPr>
          <w:p w14:paraId="7DCAAA9C" w14:textId="77777777" w:rsidR="002E474C" w:rsidRDefault="00000000">
            <w:pPr>
              <w:pStyle w:val="A-"/>
              <w:spacing w:line="260" w:lineRule="exact"/>
            </w:pPr>
            <w:r>
              <w:t>T</w:t>
            </w:r>
          </w:p>
        </w:tc>
      </w:tr>
      <w:tr w:rsidR="002E474C" w14:paraId="2FEC094C" w14:textId="77777777">
        <w:trPr>
          <w:trHeight w:val="300"/>
        </w:trPr>
        <w:tc>
          <w:tcPr>
            <w:tcW w:w="828" w:type="dxa"/>
            <w:vMerge/>
            <w:vAlign w:val="center"/>
          </w:tcPr>
          <w:p w14:paraId="14080293" w14:textId="77777777" w:rsidR="002E474C" w:rsidRDefault="002E474C">
            <w:pPr>
              <w:pStyle w:val="A-"/>
              <w:spacing w:line="260" w:lineRule="exact"/>
            </w:pPr>
          </w:p>
        </w:tc>
        <w:tc>
          <w:tcPr>
            <w:tcW w:w="893" w:type="dxa"/>
            <w:vMerge/>
            <w:vAlign w:val="center"/>
          </w:tcPr>
          <w:p w14:paraId="12578417" w14:textId="77777777" w:rsidR="002E474C" w:rsidRDefault="002E474C">
            <w:pPr>
              <w:pStyle w:val="A-"/>
              <w:spacing w:line="260" w:lineRule="exact"/>
            </w:pPr>
          </w:p>
        </w:tc>
        <w:tc>
          <w:tcPr>
            <w:tcW w:w="1147" w:type="dxa"/>
            <w:noWrap/>
            <w:vAlign w:val="center"/>
          </w:tcPr>
          <w:p w14:paraId="42733328" w14:textId="77777777" w:rsidR="002E474C" w:rsidRDefault="00000000">
            <w:pPr>
              <w:pStyle w:val="A-"/>
              <w:spacing w:line="260" w:lineRule="exact"/>
              <w:ind w:leftChars="-25" w:left="-53" w:rightChars="-25" w:right="-53"/>
            </w:pPr>
            <w:r>
              <w:t>261-029-11</w:t>
            </w:r>
          </w:p>
        </w:tc>
        <w:tc>
          <w:tcPr>
            <w:tcW w:w="4991" w:type="dxa"/>
            <w:noWrap/>
            <w:vAlign w:val="center"/>
          </w:tcPr>
          <w:p w14:paraId="587E6656" w14:textId="77777777" w:rsidR="002E474C" w:rsidRDefault="00000000">
            <w:pPr>
              <w:pStyle w:val="A-"/>
              <w:spacing w:line="260" w:lineRule="exact"/>
            </w:pPr>
            <w:r>
              <w:t>α-</w:t>
            </w:r>
            <w:r>
              <w:t>氯甲苯、苯甲酰氯和含此类官能团的化学品生产过程中产生的蒸馏残渣</w:t>
            </w:r>
          </w:p>
        </w:tc>
        <w:tc>
          <w:tcPr>
            <w:tcW w:w="663" w:type="dxa"/>
            <w:noWrap/>
            <w:vAlign w:val="center"/>
          </w:tcPr>
          <w:p w14:paraId="0428E529" w14:textId="77777777" w:rsidR="002E474C" w:rsidRDefault="00000000">
            <w:pPr>
              <w:pStyle w:val="A-"/>
              <w:spacing w:line="260" w:lineRule="exact"/>
            </w:pPr>
            <w:r>
              <w:t>T</w:t>
            </w:r>
          </w:p>
        </w:tc>
      </w:tr>
      <w:tr w:rsidR="002E474C" w14:paraId="38C36272" w14:textId="77777777">
        <w:trPr>
          <w:trHeight w:val="300"/>
        </w:trPr>
        <w:tc>
          <w:tcPr>
            <w:tcW w:w="828" w:type="dxa"/>
            <w:vMerge/>
            <w:vAlign w:val="center"/>
          </w:tcPr>
          <w:p w14:paraId="0D2D7351" w14:textId="77777777" w:rsidR="002E474C" w:rsidRDefault="002E474C">
            <w:pPr>
              <w:pStyle w:val="A-"/>
              <w:spacing w:line="260" w:lineRule="exact"/>
            </w:pPr>
          </w:p>
        </w:tc>
        <w:tc>
          <w:tcPr>
            <w:tcW w:w="893" w:type="dxa"/>
            <w:vMerge/>
            <w:vAlign w:val="center"/>
          </w:tcPr>
          <w:p w14:paraId="23ADA193" w14:textId="77777777" w:rsidR="002E474C" w:rsidRDefault="002E474C">
            <w:pPr>
              <w:pStyle w:val="A-"/>
              <w:spacing w:line="260" w:lineRule="exact"/>
            </w:pPr>
          </w:p>
        </w:tc>
        <w:tc>
          <w:tcPr>
            <w:tcW w:w="1147" w:type="dxa"/>
            <w:noWrap/>
            <w:vAlign w:val="center"/>
          </w:tcPr>
          <w:p w14:paraId="571C5240" w14:textId="77777777" w:rsidR="002E474C" w:rsidRDefault="00000000">
            <w:pPr>
              <w:pStyle w:val="A-"/>
              <w:spacing w:line="260" w:lineRule="exact"/>
              <w:ind w:leftChars="-25" w:left="-53" w:rightChars="-25" w:right="-53"/>
            </w:pPr>
            <w:r>
              <w:t>261-030-11</w:t>
            </w:r>
          </w:p>
        </w:tc>
        <w:tc>
          <w:tcPr>
            <w:tcW w:w="4991" w:type="dxa"/>
            <w:noWrap/>
            <w:vAlign w:val="center"/>
          </w:tcPr>
          <w:p w14:paraId="748C56E2" w14:textId="77777777" w:rsidR="002E474C" w:rsidRDefault="00000000">
            <w:pPr>
              <w:pStyle w:val="A-"/>
              <w:spacing w:line="260" w:lineRule="exact"/>
            </w:pPr>
            <w:r>
              <w:t>四氯化碳生产过程中的重馏分</w:t>
            </w:r>
          </w:p>
        </w:tc>
        <w:tc>
          <w:tcPr>
            <w:tcW w:w="663" w:type="dxa"/>
            <w:noWrap/>
            <w:vAlign w:val="center"/>
          </w:tcPr>
          <w:p w14:paraId="46EE230C" w14:textId="77777777" w:rsidR="002E474C" w:rsidRDefault="00000000">
            <w:pPr>
              <w:pStyle w:val="A-"/>
              <w:spacing w:line="260" w:lineRule="exact"/>
            </w:pPr>
            <w:r>
              <w:t>T</w:t>
            </w:r>
          </w:p>
        </w:tc>
      </w:tr>
      <w:tr w:rsidR="002E474C" w14:paraId="29CC1D0A" w14:textId="77777777">
        <w:trPr>
          <w:trHeight w:val="300"/>
        </w:trPr>
        <w:tc>
          <w:tcPr>
            <w:tcW w:w="828" w:type="dxa"/>
            <w:vMerge/>
            <w:vAlign w:val="center"/>
          </w:tcPr>
          <w:p w14:paraId="3AA47626" w14:textId="77777777" w:rsidR="002E474C" w:rsidRDefault="002E474C">
            <w:pPr>
              <w:pStyle w:val="A-"/>
              <w:spacing w:line="260" w:lineRule="exact"/>
            </w:pPr>
          </w:p>
        </w:tc>
        <w:tc>
          <w:tcPr>
            <w:tcW w:w="893" w:type="dxa"/>
            <w:vMerge/>
            <w:vAlign w:val="center"/>
          </w:tcPr>
          <w:p w14:paraId="52555543" w14:textId="77777777" w:rsidR="002E474C" w:rsidRDefault="002E474C">
            <w:pPr>
              <w:pStyle w:val="A-"/>
              <w:spacing w:line="260" w:lineRule="exact"/>
            </w:pPr>
          </w:p>
        </w:tc>
        <w:tc>
          <w:tcPr>
            <w:tcW w:w="1147" w:type="dxa"/>
            <w:noWrap/>
            <w:vAlign w:val="center"/>
          </w:tcPr>
          <w:p w14:paraId="2EB4D3CB" w14:textId="77777777" w:rsidR="002E474C" w:rsidRDefault="00000000">
            <w:pPr>
              <w:pStyle w:val="A-"/>
              <w:spacing w:line="260" w:lineRule="exact"/>
              <w:ind w:leftChars="-25" w:left="-53" w:rightChars="-25" w:right="-53"/>
            </w:pPr>
            <w:r>
              <w:t>261-031-11</w:t>
            </w:r>
          </w:p>
        </w:tc>
        <w:tc>
          <w:tcPr>
            <w:tcW w:w="4991" w:type="dxa"/>
            <w:noWrap/>
            <w:vAlign w:val="center"/>
          </w:tcPr>
          <w:p w14:paraId="6A2DCE29" w14:textId="77777777" w:rsidR="002E474C" w:rsidRDefault="00000000">
            <w:pPr>
              <w:pStyle w:val="A-"/>
              <w:spacing w:line="260" w:lineRule="exact"/>
            </w:pPr>
            <w:r>
              <w:t>二氯乙烯单体生产过程中蒸馏产生的重馏分</w:t>
            </w:r>
          </w:p>
        </w:tc>
        <w:tc>
          <w:tcPr>
            <w:tcW w:w="663" w:type="dxa"/>
            <w:noWrap/>
            <w:vAlign w:val="center"/>
          </w:tcPr>
          <w:p w14:paraId="7A4AFCAB" w14:textId="77777777" w:rsidR="002E474C" w:rsidRDefault="00000000">
            <w:pPr>
              <w:pStyle w:val="A-"/>
              <w:spacing w:line="260" w:lineRule="exact"/>
            </w:pPr>
            <w:r>
              <w:t>T</w:t>
            </w:r>
          </w:p>
        </w:tc>
      </w:tr>
      <w:tr w:rsidR="002E474C" w14:paraId="03C2EFC1" w14:textId="77777777">
        <w:trPr>
          <w:trHeight w:val="300"/>
        </w:trPr>
        <w:tc>
          <w:tcPr>
            <w:tcW w:w="828" w:type="dxa"/>
            <w:vMerge/>
            <w:vAlign w:val="center"/>
          </w:tcPr>
          <w:p w14:paraId="1682D849" w14:textId="77777777" w:rsidR="002E474C" w:rsidRDefault="002E474C">
            <w:pPr>
              <w:pStyle w:val="A-"/>
              <w:spacing w:line="260" w:lineRule="exact"/>
            </w:pPr>
          </w:p>
        </w:tc>
        <w:tc>
          <w:tcPr>
            <w:tcW w:w="893" w:type="dxa"/>
            <w:vMerge/>
            <w:vAlign w:val="center"/>
          </w:tcPr>
          <w:p w14:paraId="34B01F38" w14:textId="77777777" w:rsidR="002E474C" w:rsidRDefault="002E474C">
            <w:pPr>
              <w:pStyle w:val="A-"/>
              <w:spacing w:line="260" w:lineRule="exact"/>
            </w:pPr>
          </w:p>
        </w:tc>
        <w:tc>
          <w:tcPr>
            <w:tcW w:w="1147" w:type="dxa"/>
            <w:noWrap/>
            <w:vAlign w:val="center"/>
          </w:tcPr>
          <w:p w14:paraId="63AA71BF" w14:textId="77777777" w:rsidR="002E474C" w:rsidRDefault="00000000">
            <w:pPr>
              <w:pStyle w:val="A-"/>
              <w:spacing w:line="260" w:lineRule="exact"/>
              <w:ind w:leftChars="-25" w:left="-53" w:rightChars="-25" w:right="-53"/>
            </w:pPr>
            <w:r>
              <w:t>261-032-11</w:t>
            </w:r>
          </w:p>
        </w:tc>
        <w:tc>
          <w:tcPr>
            <w:tcW w:w="4991" w:type="dxa"/>
            <w:noWrap/>
            <w:vAlign w:val="center"/>
          </w:tcPr>
          <w:p w14:paraId="1CDA9464" w14:textId="77777777" w:rsidR="002E474C" w:rsidRDefault="00000000">
            <w:pPr>
              <w:pStyle w:val="A-"/>
              <w:spacing w:line="260" w:lineRule="exact"/>
            </w:pPr>
            <w:r>
              <w:t>氯乙烯单体生产过程中蒸馏产生的重馏分</w:t>
            </w:r>
          </w:p>
        </w:tc>
        <w:tc>
          <w:tcPr>
            <w:tcW w:w="663" w:type="dxa"/>
            <w:noWrap/>
            <w:vAlign w:val="center"/>
          </w:tcPr>
          <w:p w14:paraId="087B784E" w14:textId="77777777" w:rsidR="002E474C" w:rsidRDefault="00000000">
            <w:pPr>
              <w:pStyle w:val="A-"/>
              <w:spacing w:line="260" w:lineRule="exact"/>
            </w:pPr>
            <w:r>
              <w:t>T</w:t>
            </w:r>
          </w:p>
        </w:tc>
      </w:tr>
      <w:tr w:rsidR="002E474C" w14:paraId="217F866F" w14:textId="77777777">
        <w:trPr>
          <w:trHeight w:val="300"/>
        </w:trPr>
        <w:tc>
          <w:tcPr>
            <w:tcW w:w="828" w:type="dxa"/>
            <w:vMerge/>
            <w:vAlign w:val="center"/>
          </w:tcPr>
          <w:p w14:paraId="6874610E" w14:textId="77777777" w:rsidR="002E474C" w:rsidRDefault="002E474C">
            <w:pPr>
              <w:pStyle w:val="A-"/>
              <w:spacing w:line="260" w:lineRule="exact"/>
            </w:pPr>
          </w:p>
        </w:tc>
        <w:tc>
          <w:tcPr>
            <w:tcW w:w="893" w:type="dxa"/>
            <w:vMerge/>
            <w:vAlign w:val="center"/>
          </w:tcPr>
          <w:p w14:paraId="53BC3ACA" w14:textId="77777777" w:rsidR="002E474C" w:rsidRDefault="002E474C">
            <w:pPr>
              <w:pStyle w:val="A-"/>
              <w:spacing w:line="260" w:lineRule="exact"/>
            </w:pPr>
          </w:p>
        </w:tc>
        <w:tc>
          <w:tcPr>
            <w:tcW w:w="1147" w:type="dxa"/>
            <w:noWrap/>
            <w:vAlign w:val="center"/>
          </w:tcPr>
          <w:p w14:paraId="77283604" w14:textId="77777777" w:rsidR="002E474C" w:rsidRDefault="00000000">
            <w:pPr>
              <w:pStyle w:val="A-"/>
              <w:spacing w:line="260" w:lineRule="exact"/>
              <w:ind w:leftChars="-25" w:left="-53" w:rightChars="-25" w:right="-53"/>
            </w:pPr>
            <w:r>
              <w:t>261-033-11</w:t>
            </w:r>
          </w:p>
        </w:tc>
        <w:tc>
          <w:tcPr>
            <w:tcW w:w="4991" w:type="dxa"/>
            <w:noWrap/>
            <w:vAlign w:val="center"/>
          </w:tcPr>
          <w:p w14:paraId="5CAD211A" w14:textId="77777777" w:rsidR="002E474C" w:rsidRDefault="00000000">
            <w:pPr>
              <w:pStyle w:val="A-"/>
              <w:spacing w:line="260" w:lineRule="exact"/>
            </w:pPr>
            <w:r>
              <w:t>1,1,1-</w:t>
            </w:r>
            <w:r>
              <w:t>三氯乙烷生产过程中蒸汽汽提塔产生的残余物</w:t>
            </w:r>
          </w:p>
        </w:tc>
        <w:tc>
          <w:tcPr>
            <w:tcW w:w="663" w:type="dxa"/>
            <w:noWrap/>
            <w:vAlign w:val="center"/>
          </w:tcPr>
          <w:p w14:paraId="78DBC0C7" w14:textId="77777777" w:rsidR="002E474C" w:rsidRDefault="00000000">
            <w:pPr>
              <w:pStyle w:val="A-"/>
              <w:spacing w:line="260" w:lineRule="exact"/>
            </w:pPr>
            <w:r>
              <w:t>T</w:t>
            </w:r>
          </w:p>
        </w:tc>
      </w:tr>
      <w:tr w:rsidR="002E474C" w14:paraId="110A3399" w14:textId="77777777">
        <w:trPr>
          <w:trHeight w:val="300"/>
        </w:trPr>
        <w:tc>
          <w:tcPr>
            <w:tcW w:w="828" w:type="dxa"/>
            <w:vMerge/>
            <w:vAlign w:val="center"/>
          </w:tcPr>
          <w:p w14:paraId="345518C8" w14:textId="77777777" w:rsidR="002E474C" w:rsidRDefault="002E474C">
            <w:pPr>
              <w:pStyle w:val="A-"/>
              <w:spacing w:line="260" w:lineRule="exact"/>
            </w:pPr>
          </w:p>
        </w:tc>
        <w:tc>
          <w:tcPr>
            <w:tcW w:w="893" w:type="dxa"/>
            <w:vMerge/>
            <w:vAlign w:val="center"/>
          </w:tcPr>
          <w:p w14:paraId="3FA47CEF" w14:textId="77777777" w:rsidR="002E474C" w:rsidRDefault="002E474C">
            <w:pPr>
              <w:pStyle w:val="A-"/>
              <w:spacing w:line="260" w:lineRule="exact"/>
            </w:pPr>
          </w:p>
        </w:tc>
        <w:tc>
          <w:tcPr>
            <w:tcW w:w="1147" w:type="dxa"/>
            <w:noWrap/>
            <w:vAlign w:val="center"/>
          </w:tcPr>
          <w:p w14:paraId="2459B338" w14:textId="77777777" w:rsidR="002E474C" w:rsidRDefault="00000000">
            <w:pPr>
              <w:pStyle w:val="A-"/>
              <w:spacing w:line="260" w:lineRule="exact"/>
              <w:ind w:leftChars="-25" w:left="-53" w:rightChars="-25" w:right="-53"/>
            </w:pPr>
            <w:r>
              <w:t>261-034-11</w:t>
            </w:r>
          </w:p>
        </w:tc>
        <w:tc>
          <w:tcPr>
            <w:tcW w:w="4991" w:type="dxa"/>
            <w:noWrap/>
            <w:vAlign w:val="center"/>
          </w:tcPr>
          <w:p w14:paraId="203D2F62" w14:textId="77777777" w:rsidR="002E474C" w:rsidRDefault="00000000">
            <w:pPr>
              <w:pStyle w:val="A-"/>
              <w:spacing w:line="260" w:lineRule="exact"/>
            </w:pPr>
            <w:r>
              <w:t>1,1,1-</w:t>
            </w:r>
            <w:r>
              <w:t>三氯乙烷生产过程中蒸馏产生的重馏分</w:t>
            </w:r>
          </w:p>
        </w:tc>
        <w:tc>
          <w:tcPr>
            <w:tcW w:w="663" w:type="dxa"/>
            <w:noWrap/>
            <w:vAlign w:val="center"/>
          </w:tcPr>
          <w:p w14:paraId="664F7361" w14:textId="77777777" w:rsidR="002E474C" w:rsidRDefault="00000000">
            <w:pPr>
              <w:pStyle w:val="A-"/>
              <w:spacing w:line="260" w:lineRule="exact"/>
            </w:pPr>
            <w:r>
              <w:t>T</w:t>
            </w:r>
          </w:p>
        </w:tc>
      </w:tr>
      <w:tr w:rsidR="002E474C" w14:paraId="73B0B7D0" w14:textId="77777777">
        <w:trPr>
          <w:trHeight w:val="300"/>
        </w:trPr>
        <w:tc>
          <w:tcPr>
            <w:tcW w:w="828" w:type="dxa"/>
            <w:vMerge/>
            <w:vAlign w:val="center"/>
          </w:tcPr>
          <w:p w14:paraId="4F6A2283" w14:textId="77777777" w:rsidR="002E474C" w:rsidRDefault="002E474C">
            <w:pPr>
              <w:pStyle w:val="A-"/>
              <w:spacing w:line="260" w:lineRule="exact"/>
            </w:pPr>
          </w:p>
        </w:tc>
        <w:tc>
          <w:tcPr>
            <w:tcW w:w="893" w:type="dxa"/>
            <w:vMerge/>
            <w:vAlign w:val="center"/>
          </w:tcPr>
          <w:p w14:paraId="35BAE2B1" w14:textId="77777777" w:rsidR="002E474C" w:rsidRDefault="002E474C">
            <w:pPr>
              <w:pStyle w:val="A-"/>
              <w:spacing w:line="260" w:lineRule="exact"/>
            </w:pPr>
          </w:p>
        </w:tc>
        <w:tc>
          <w:tcPr>
            <w:tcW w:w="1147" w:type="dxa"/>
            <w:noWrap/>
            <w:vAlign w:val="center"/>
          </w:tcPr>
          <w:p w14:paraId="5D9777BE" w14:textId="77777777" w:rsidR="002E474C" w:rsidRDefault="00000000">
            <w:pPr>
              <w:pStyle w:val="A-"/>
              <w:spacing w:line="260" w:lineRule="exact"/>
              <w:ind w:leftChars="-25" w:left="-53" w:rightChars="-25" w:right="-53"/>
            </w:pPr>
            <w:r>
              <w:t>261-035-11</w:t>
            </w:r>
          </w:p>
        </w:tc>
        <w:tc>
          <w:tcPr>
            <w:tcW w:w="4991" w:type="dxa"/>
            <w:noWrap/>
            <w:vAlign w:val="center"/>
          </w:tcPr>
          <w:p w14:paraId="16D98CE4" w14:textId="77777777" w:rsidR="002E474C" w:rsidRDefault="00000000">
            <w:pPr>
              <w:pStyle w:val="A-"/>
              <w:spacing w:line="260" w:lineRule="exact"/>
            </w:pPr>
            <w:r>
              <w:t>三氯乙烯和四氯乙烯联合生产过程中产生的重馏分</w:t>
            </w:r>
          </w:p>
        </w:tc>
        <w:tc>
          <w:tcPr>
            <w:tcW w:w="663" w:type="dxa"/>
            <w:noWrap/>
            <w:vAlign w:val="center"/>
          </w:tcPr>
          <w:p w14:paraId="32FECAA4" w14:textId="77777777" w:rsidR="002E474C" w:rsidRDefault="00000000">
            <w:pPr>
              <w:pStyle w:val="A-"/>
              <w:spacing w:line="260" w:lineRule="exact"/>
            </w:pPr>
            <w:r>
              <w:t>T</w:t>
            </w:r>
          </w:p>
        </w:tc>
      </w:tr>
      <w:tr w:rsidR="002E474C" w14:paraId="3B4DA069" w14:textId="77777777">
        <w:trPr>
          <w:trHeight w:val="300"/>
        </w:trPr>
        <w:tc>
          <w:tcPr>
            <w:tcW w:w="828" w:type="dxa"/>
            <w:vMerge/>
            <w:vAlign w:val="center"/>
          </w:tcPr>
          <w:p w14:paraId="5D889647" w14:textId="77777777" w:rsidR="002E474C" w:rsidRDefault="002E474C">
            <w:pPr>
              <w:pStyle w:val="A-"/>
              <w:spacing w:line="260" w:lineRule="exact"/>
            </w:pPr>
          </w:p>
        </w:tc>
        <w:tc>
          <w:tcPr>
            <w:tcW w:w="893" w:type="dxa"/>
            <w:vMerge/>
            <w:vAlign w:val="center"/>
          </w:tcPr>
          <w:p w14:paraId="5BFA1B66" w14:textId="77777777" w:rsidR="002E474C" w:rsidRDefault="002E474C">
            <w:pPr>
              <w:pStyle w:val="A-"/>
              <w:spacing w:line="260" w:lineRule="exact"/>
            </w:pPr>
          </w:p>
        </w:tc>
        <w:tc>
          <w:tcPr>
            <w:tcW w:w="1147" w:type="dxa"/>
            <w:noWrap/>
            <w:vAlign w:val="center"/>
          </w:tcPr>
          <w:p w14:paraId="24FA10B1" w14:textId="77777777" w:rsidR="002E474C" w:rsidRDefault="00000000">
            <w:pPr>
              <w:pStyle w:val="A-"/>
              <w:spacing w:line="260" w:lineRule="exact"/>
              <w:ind w:leftChars="-25" w:left="-53" w:rightChars="-25" w:right="-53"/>
            </w:pPr>
            <w:r>
              <w:t>261-101-11</w:t>
            </w:r>
          </w:p>
        </w:tc>
        <w:tc>
          <w:tcPr>
            <w:tcW w:w="4991" w:type="dxa"/>
            <w:noWrap/>
            <w:vAlign w:val="center"/>
          </w:tcPr>
          <w:p w14:paraId="285F1AB6" w14:textId="77777777" w:rsidR="002E474C" w:rsidRDefault="00000000">
            <w:pPr>
              <w:pStyle w:val="A-"/>
              <w:spacing w:line="260" w:lineRule="exact"/>
            </w:pPr>
            <w:r>
              <w:t>苯泵式硝化生产硝基苯过程中产生的重馏分</w:t>
            </w:r>
          </w:p>
        </w:tc>
        <w:tc>
          <w:tcPr>
            <w:tcW w:w="663" w:type="dxa"/>
            <w:noWrap/>
            <w:vAlign w:val="center"/>
          </w:tcPr>
          <w:p w14:paraId="63908BBC" w14:textId="77777777" w:rsidR="002E474C" w:rsidRDefault="00000000">
            <w:pPr>
              <w:pStyle w:val="A-"/>
              <w:spacing w:line="260" w:lineRule="exact"/>
            </w:pPr>
            <w:r>
              <w:t>T</w:t>
            </w:r>
            <w:r>
              <w:t>，</w:t>
            </w:r>
            <w:r>
              <w:t>R</w:t>
            </w:r>
          </w:p>
        </w:tc>
      </w:tr>
      <w:tr w:rsidR="002E474C" w14:paraId="0341B0E4" w14:textId="77777777">
        <w:trPr>
          <w:trHeight w:val="300"/>
        </w:trPr>
        <w:tc>
          <w:tcPr>
            <w:tcW w:w="828" w:type="dxa"/>
            <w:vMerge/>
            <w:vAlign w:val="center"/>
          </w:tcPr>
          <w:p w14:paraId="2C0FB250" w14:textId="77777777" w:rsidR="002E474C" w:rsidRDefault="002E474C">
            <w:pPr>
              <w:pStyle w:val="A-"/>
              <w:spacing w:line="260" w:lineRule="exact"/>
            </w:pPr>
          </w:p>
        </w:tc>
        <w:tc>
          <w:tcPr>
            <w:tcW w:w="893" w:type="dxa"/>
            <w:vMerge/>
            <w:vAlign w:val="center"/>
          </w:tcPr>
          <w:p w14:paraId="71387C8E" w14:textId="77777777" w:rsidR="002E474C" w:rsidRDefault="002E474C">
            <w:pPr>
              <w:pStyle w:val="A-"/>
              <w:spacing w:line="260" w:lineRule="exact"/>
            </w:pPr>
          </w:p>
        </w:tc>
        <w:tc>
          <w:tcPr>
            <w:tcW w:w="1147" w:type="dxa"/>
            <w:noWrap/>
            <w:vAlign w:val="center"/>
          </w:tcPr>
          <w:p w14:paraId="1F0F3718" w14:textId="77777777" w:rsidR="002E474C" w:rsidRDefault="00000000">
            <w:pPr>
              <w:pStyle w:val="A-"/>
              <w:spacing w:line="260" w:lineRule="exact"/>
              <w:ind w:leftChars="-25" w:left="-53" w:rightChars="-25" w:right="-53"/>
            </w:pPr>
            <w:r>
              <w:t>261-102-11</w:t>
            </w:r>
          </w:p>
        </w:tc>
        <w:tc>
          <w:tcPr>
            <w:tcW w:w="4991" w:type="dxa"/>
            <w:noWrap/>
            <w:vAlign w:val="center"/>
          </w:tcPr>
          <w:p w14:paraId="25C14F97" w14:textId="77777777" w:rsidR="002E474C" w:rsidRDefault="00000000">
            <w:pPr>
              <w:pStyle w:val="A-"/>
              <w:spacing w:line="260" w:lineRule="exact"/>
            </w:pPr>
            <w:r>
              <w:t>铁粉还原硝基苯生产苯胺过程中产生的重馏分</w:t>
            </w:r>
          </w:p>
        </w:tc>
        <w:tc>
          <w:tcPr>
            <w:tcW w:w="663" w:type="dxa"/>
            <w:noWrap/>
            <w:vAlign w:val="center"/>
          </w:tcPr>
          <w:p w14:paraId="04170C5B" w14:textId="77777777" w:rsidR="002E474C" w:rsidRDefault="00000000">
            <w:pPr>
              <w:pStyle w:val="A-"/>
              <w:spacing w:line="260" w:lineRule="exact"/>
            </w:pPr>
            <w:r>
              <w:t>T</w:t>
            </w:r>
          </w:p>
        </w:tc>
      </w:tr>
      <w:tr w:rsidR="002E474C" w14:paraId="327180BE" w14:textId="77777777">
        <w:trPr>
          <w:trHeight w:val="300"/>
        </w:trPr>
        <w:tc>
          <w:tcPr>
            <w:tcW w:w="828" w:type="dxa"/>
            <w:vMerge/>
            <w:vAlign w:val="center"/>
          </w:tcPr>
          <w:p w14:paraId="0A2BC64A" w14:textId="77777777" w:rsidR="002E474C" w:rsidRDefault="002E474C">
            <w:pPr>
              <w:pStyle w:val="A-"/>
              <w:spacing w:line="260" w:lineRule="exact"/>
            </w:pPr>
          </w:p>
        </w:tc>
        <w:tc>
          <w:tcPr>
            <w:tcW w:w="893" w:type="dxa"/>
            <w:vMerge/>
            <w:vAlign w:val="center"/>
          </w:tcPr>
          <w:p w14:paraId="4C62C5D9" w14:textId="77777777" w:rsidR="002E474C" w:rsidRDefault="002E474C">
            <w:pPr>
              <w:pStyle w:val="A-"/>
              <w:spacing w:line="260" w:lineRule="exact"/>
            </w:pPr>
          </w:p>
        </w:tc>
        <w:tc>
          <w:tcPr>
            <w:tcW w:w="1147" w:type="dxa"/>
            <w:noWrap/>
            <w:vAlign w:val="center"/>
          </w:tcPr>
          <w:p w14:paraId="044CF2D0" w14:textId="77777777" w:rsidR="002E474C" w:rsidRDefault="00000000">
            <w:pPr>
              <w:pStyle w:val="A-"/>
              <w:spacing w:line="260" w:lineRule="exact"/>
              <w:ind w:leftChars="-25" w:left="-53" w:rightChars="-25" w:right="-53"/>
            </w:pPr>
            <w:r>
              <w:t>261-103-11</w:t>
            </w:r>
          </w:p>
        </w:tc>
        <w:tc>
          <w:tcPr>
            <w:tcW w:w="4991" w:type="dxa"/>
            <w:noWrap/>
            <w:vAlign w:val="center"/>
          </w:tcPr>
          <w:p w14:paraId="170BC9B7" w14:textId="77777777" w:rsidR="002E474C" w:rsidRDefault="00000000">
            <w:pPr>
              <w:pStyle w:val="A-"/>
              <w:spacing w:line="260" w:lineRule="exact"/>
            </w:pPr>
            <w:r>
              <w:t>以苯胺、乙酸酐或者乙酰苯胺为原料生产对硝基苯胺过程中产生的重馏分</w:t>
            </w:r>
          </w:p>
        </w:tc>
        <w:tc>
          <w:tcPr>
            <w:tcW w:w="663" w:type="dxa"/>
            <w:noWrap/>
            <w:vAlign w:val="center"/>
          </w:tcPr>
          <w:p w14:paraId="3A463524" w14:textId="77777777" w:rsidR="002E474C" w:rsidRDefault="00000000">
            <w:pPr>
              <w:pStyle w:val="A-"/>
              <w:spacing w:line="260" w:lineRule="exact"/>
            </w:pPr>
            <w:r>
              <w:t>T</w:t>
            </w:r>
          </w:p>
        </w:tc>
      </w:tr>
      <w:tr w:rsidR="002E474C" w14:paraId="558BF414" w14:textId="77777777">
        <w:trPr>
          <w:trHeight w:val="300"/>
        </w:trPr>
        <w:tc>
          <w:tcPr>
            <w:tcW w:w="828" w:type="dxa"/>
            <w:vMerge/>
            <w:vAlign w:val="center"/>
          </w:tcPr>
          <w:p w14:paraId="4764CA9F" w14:textId="77777777" w:rsidR="002E474C" w:rsidRDefault="002E474C">
            <w:pPr>
              <w:pStyle w:val="A-"/>
              <w:spacing w:line="260" w:lineRule="exact"/>
            </w:pPr>
          </w:p>
        </w:tc>
        <w:tc>
          <w:tcPr>
            <w:tcW w:w="893" w:type="dxa"/>
            <w:vMerge/>
            <w:vAlign w:val="center"/>
          </w:tcPr>
          <w:p w14:paraId="00BE0830" w14:textId="77777777" w:rsidR="002E474C" w:rsidRDefault="002E474C">
            <w:pPr>
              <w:pStyle w:val="A-"/>
              <w:spacing w:line="260" w:lineRule="exact"/>
            </w:pPr>
          </w:p>
        </w:tc>
        <w:tc>
          <w:tcPr>
            <w:tcW w:w="1147" w:type="dxa"/>
            <w:noWrap/>
            <w:vAlign w:val="center"/>
          </w:tcPr>
          <w:p w14:paraId="154CC56C" w14:textId="77777777" w:rsidR="002E474C" w:rsidRDefault="00000000">
            <w:pPr>
              <w:pStyle w:val="A-"/>
              <w:spacing w:line="260" w:lineRule="exact"/>
              <w:ind w:leftChars="-25" w:left="-53" w:rightChars="-25" w:right="-53"/>
            </w:pPr>
            <w:r>
              <w:t>261-104-11</w:t>
            </w:r>
          </w:p>
        </w:tc>
        <w:tc>
          <w:tcPr>
            <w:tcW w:w="4991" w:type="dxa"/>
            <w:noWrap/>
            <w:vAlign w:val="center"/>
          </w:tcPr>
          <w:p w14:paraId="3D3E8B9D" w14:textId="77777777" w:rsidR="002E474C" w:rsidRDefault="00000000">
            <w:pPr>
              <w:pStyle w:val="A-"/>
              <w:spacing w:line="260" w:lineRule="exact"/>
            </w:pPr>
            <w:r>
              <w:rPr>
                <w:spacing w:val="-6"/>
              </w:rPr>
              <w:t>对硝基氯苯氨解生产对硝基苯胺过程中产生的重馏分</w:t>
            </w:r>
          </w:p>
        </w:tc>
        <w:tc>
          <w:tcPr>
            <w:tcW w:w="663" w:type="dxa"/>
            <w:noWrap/>
            <w:vAlign w:val="center"/>
          </w:tcPr>
          <w:p w14:paraId="237EE10A" w14:textId="77777777" w:rsidR="002E474C" w:rsidRDefault="00000000">
            <w:pPr>
              <w:pStyle w:val="A-"/>
              <w:spacing w:line="260" w:lineRule="exact"/>
            </w:pPr>
            <w:r>
              <w:t>T</w:t>
            </w:r>
            <w:r>
              <w:t>，</w:t>
            </w:r>
            <w:r>
              <w:t>R</w:t>
            </w:r>
          </w:p>
        </w:tc>
      </w:tr>
      <w:tr w:rsidR="002E474C" w14:paraId="4A04A392" w14:textId="77777777">
        <w:trPr>
          <w:trHeight w:val="300"/>
        </w:trPr>
        <w:tc>
          <w:tcPr>
            <w:tcW w:w="828" w:type="dxa"/>
            <w:vMerge/>
            <w:vAlign w:val="center"/>
          </w:tcPr>
          <w:p w14:paraId="751F8CFD" w14:textId="77777777" w:rsidR="002E474C" w:rsidRDefault="002E474C">
            <w:pPr>
              <w:pStyle w:val="A-"/>
              <w:spacing w:line="260" w:lineRule="exact"/>
            </w:pPr>
          </w:p>
        </w:tc>
        <w:tc>
          <w:tcPr>
            <w:tcW w:w="893" w:type="dxa"/>
            <w:vMerge/>
            <w:vAlign w:val="center"/>
          </w:tcPr>
          <w:p w14:paraId="5670AB10" w14:textId="77777777" w:rsidR="002E474C" w:rsidRDefault="002E474C">
            <w:pPr>
              <w:pStyle w:val="A-"/>
              <w:spacing w:line="260" w:lineRule="exact"/>
            </w:pPr>
          </w:p>
        </w:tc>
        <w:tc>
          <w:tcPr>
            <w:tcW w:w="1147" w:type="dxa"/>
            <w:noWrap/>
            <w:vAlign w:val="center"/>
          </w:tcPr>
          <w:p w14:paraId="3B5F670B" w14:textId="77777777" w:rsidR="002E474C" w:rsidRDefault="00000000">
            <w:pPr>
              <w:pStyle w:val="A-"/>
              <w:spacing w:line="260" w:lineRule="exact"/>
              <w:ind w:leftChars="-25" w:left="-53" w:rightChars="-25" w:right="-53"/>
            </w:pPr>
            <w:r>
              <w:t>261-105-11</w:t>
            </w:r>
          </w:p>
        </w:tc>
        <w:tc>
          <w:tcPr>
            <w:tcW w:w="4991" w:type="dxa"/>
            <w:noWrap/>
            <w:vAlign w:val="center"/>
          </w:tcPr>
          <w:p w14:paraId="5600EFDB" w14:textId="77777777" w:rsidR="002E474C" w:rsidRDefault="00000000">
            <w:pPr>
              <w:pStyle w:val="A-"/>
              <w:spacing w:line="260" w:lineRule="exact"/>
            </w:pPr>
            <w:r>
              <w:t>氨化法、还原法生产邻苯二胺过程中产生的重馏分</w:t>
            </w:r>
          </w:p>
        </w:tc>
        <w:tc>
          <w:tcPr>
            <w:tcW w:w="663" w:type="dxa"/>
            <w:noWrap/>
            <w:vAlign w:val="center"/>
          </w:tcPr>
          <w:p w14:paraId="7CFE7CBF" w14:textId="77777777" w:rsidR="002E474C" w:rsidRDefault="00000000">
            <w:pPr>
              <w:pStyle w:val="A-"/>
              <w:spacing w:line="260" w:lineRule="exact"/>
            </w:pPr>
            <w:r>
              <w:t>T</w:t>
            </w:r>
          </w:p>
        </w:tc>
      </w:tr>
      <w:tr w:rsidR="002E474C" w14:paraId="39792977" w14:textId="77777777">
        <w:trPr>
          <w:trHeight w:val="300"/>
        </w:trPr>
        <w:tc>
          <w:tcPr>
            <w:tcW w:w="828" w:type="dxa"/>
            <w:vMerge/>
            <w:vAlign w:val="center"/>
          </w:tcPr>
          <w:p w14:paraId="2F03FF5E" w14:textId="77777777" w:rsidR="002E474C" w:rsidRDefault="002E474C">
            <w:pPr>
              <w:pStyle w:val="A-"/>
              <w:spacing w:line="260" w:lineRule="exact"/>
            </w:pPr>
          </w:p>
        </w:tc>
        <w:tc>
          <w:tcPr>
            <w:tcW w:w="893" w:type="dxa"/>
            <w:vMerge/>
            <w:vAlign w:val="center"/>
          </w:tcPr>
          <w:p w14:paraId="47687F22" w14:textId="77777777" w:rsidR="002E474C" w:rsidRDefault="002E474C">
            <w:pPr>
              <w:pStyle w:val="A-"/>
              <w:spacing w:line="260" w:lineRule="exact"/>
            </w:pPr>
          </w:p>
        </w:tc>
        <w:tc>
          <w:tcPr>
            <w:tcW w:w="1147" w:type="dxa"/>
            <w:noWrap/>
            <w:vAlign w:val="center"/>
          </w:tcPr>
          <w:p w14:paraId="0EE207DB" w14:textId="77777777" w:rsidR="002E474C" w:rsidRDefault="00000000">
            <w:pPr>
              <w:pStyle w:val="A-"/>
              <w:spacing w:line="260" w:lineRule="exact"/>
              <w:ind w:leftChars="-25" w:left="-53" w:rightChars="-25" w:right="-53"/>
            </w:pPr>
            <w:r>
              <w:t>261-106-11</w:t>
            </w:r>
          </w:p>
        </w:tc>
        <w:tc>
          <w:tcPr>
            <w:tcW w:w="4991" w:type="dxa"/>
            <w:noWrap/>
            <w:vAlign w:val="center"/>
          </w:tcPr>
          <w:p w14:paraId="1054217F" w14:textId="77777777" w:rsidR="002E474C" w:rsidRDefault="00000000">
            <w:pPr>
              <w:pStyle w:val="A-"/>
              <w:spacing w:line="260" w:lineRule="exact"/>
            </w:pPr>
            <w:r>
              <w:t>苯和乙烯直接催化、乙苯和丙烯共氧化、乙苯催化脱氢生产苯乙烯过程中产生的重馏分</w:t>
            </w:r>
          </w:p>
        </w:tc>
        <w:tc>
          <w:tcPr>
            <w:tcW w:w="663" w:type="dxa"/>
            <w:noWrap/>
            <w:vAlign w:val="center"/>
          </w:tcPr>
          <w:p w14:paraId="0695BCD0" w14:textId="77777777" w:rsidR="002E474C" w:rsidRDefault="00000000">
            <w:pPr>
              <w:pStyle w:val="A-"/>
              <w:spacing w:line="260" w:lineRule="exact"/>
            </w:pPr>
            <w:r>
              <w:t>T</w:t>
            </w:r>
          </w:p>
        </w:tc>
      </w:tr>
      <w:tr w:rsidR="002E474C" w14:paraId="771E98FA" w14:textId="77777777">
        <w:trPr>
          <w:trHeight w:val="300"/>
        </w:trPr>
        <w:tc>
          <w:tcPr>
            <w:tcW w:w="828" w:type="dxa"/>
            <w:vMerge/>
            <w:vAlign w:val="center"/>
          </w:tcPr>
          <w:p w14:paraId="78389304" w14:textId="77777777" w:rsidR="002E474C" w:rsidRDefault="002E474C">
            <w:pPr>
              <w:pStyle w:val="A-"/>
              <w:spacing w:line="260" w:lineRule="exact"/>
            </w:pPr>
          </w:p>
        </w:tc>
        <w:tc>
          <w:tcPr>
            <w:tcW w:w="893" w:type="dxa"/>
            <w:vMerge/>
            <w:vAlign w:val="center"/>
          </w:tcPr>
          <w:p w14:paraId="2D6D0A06" w14:textId="77777777" w:rsidR="002E474C" w:rsidRDefault="002E474C">
            <w:pPr>
              <w:pStyle w:val="A-"/>
              <w:spacing w:line="260" w:lineRule="exact"/>
            </w:pPr>
          </w:p>
        </w:tc>
        <w:tc>
          <w:tcPr>
            <w:tcW w:w="1147" w:type="dxa"/>
            <w:noWrap/>
            <w:vAlign w:val="center"/>
          </w:tcPr>
          <w:p w14:paraId="4B264E89" w14:textId="77777777" w:rsidR="002E474C" w:rsidRDefault="00000000">
            <w:pPr>
              <w:pStyle w:val="A-"/>
              <w:spacing w:line="260" w:lineRule="exact"/>
              <w:ind w:leftChars="-25" w:left="-53" w:rightChars="-25" w:right="-53"/>
            </w:pPr>
            <w:r>
              <w:t>261-107-11</w:t>
            </w:r>
          </w:p>
        </w:tc>
        <w:tc>
          <w:tcPr>
            <w:tcW w:w="4991" w:type="dxa"/>
            <w:noWrap/>
            <w:vAlign w:val="center"/>
          </w:tcPr>
          <w:p w14:paraId="179FCD1E" w14:textId="77777777" w:rsidR="002E474C" w:rsidRDefault="00000000">
            <w:pPr>
              <w:pStyle w:val="A-"/>
              <w:spacing w:line="260" w:lineRule="exact"/>
              <w:ind w:leftChars="-25" w:left="-53" w:rightChars="-25" w:right="-53"/>
              <w:rPr>
                <w:spacing w:val="-6"/>
              </w:rPr>
            </w:pPr>
            <w:r>
              <w:rPr>
                <w:spacing w:val="-6"/>
              </w:rPr>
              <w:t>二硝基甲苯还原催化生产甲苯二胺过程中产生的重馏分</w:t>
            </w:r>
          </w:p>
        </w:tc>
        <w:tc>
          <w:tcPr>
            <w:tcW w:w="663" w:type="dxa"/>
            <w:noWrap/>
            <w:vAlign w:val="center"/>
          </w:tcPr>
          <w:p w14:paraId="688CA83A" w14:textId="77777777" w:rsidR="002E474C" w:rsidRDefault="00000000">
            <w:pPr>
              <w:pStyle w:val="A-"/>
              <w:spacing w:line="260" w:lineRule="exact"/>
            </w:pPr>
            <w:r>
              <w:t>T</w:t>
            </w:r>
          </w:p>
        </w:tc>
      </w:tr>
      <w:tr w:rsidR="002E474C" w14:paraId="0DFE0EFA" w14:textId="77777777">
        <w:trPr>
          <w:trHeight w:val="300"/>
        </w:trPr>
        <w:tc>
          <w:tcPr>
            <w:tcW w:w="828" w:type="dxa"/>
            <w:vMerge/>
            <w:vAlign w:val="center"/>
          </w:tcPr>
          <w:p w14:paraId="6BDF9BD7" w14:textId="77777777" w:rsidR="002E474C" w:rsidRDefault="002E474C">
            <w:pPr>
              <w:pStyle w:val="A-"/>
              <w:spacing w:line="260" w:lineRule="exact"/>
            </w:pPr>
          </w:p>
        </w:tc>
        <w:tc>
          <w:tcPr>
            <w:tcW w:w="893" w:type="dxa"/>
            <w:vMerge/>
            <w:vAlign w:val="center"/>
          </w:tcPr>
          <w:p w14:paraId="7C6A6C08" w14:textId="77777777" w:rsidR="002E474C" w:rsidRDefault="002E474C">
            <w:pPr>
              <w:pStyle w:val="A-"/>
              <w:spacing w:line="260" w:lineRule="exact"/>
            </w:pPr>
          </w:p>
        </w:tc>
        <w:tc>
          <w:tcPr>
            <w:tcW w:w="1147" w:type="dxa"/>
            <w:noWrap/>
            <w:vAlign w:val="center"/>
          </w:tcPr>
          <w:p w14:paraId="19BF6286" w14:textId="77777777" w:rsidR="002E474C" w:rsidRDefault="00000000">
            <w:pPr>
              <w:pStyle w:val="A-"/>
              <w:spacing w:line="260" w:lineRule="exact"/>
              <w:ind w:leftChars="-25" w:left="-53" w:rightChars="-25" w:right="-53"/>
            </w:pPr>
            <w:r>
              <w:t>261-108-11</w:t>
            </w:r>
          </w:p>
        </w:tc>
        <w:tc>
          <w:tcPr>
            <w:tcW w:w="4991" w:type="dxa"/>
            <w:noWrap/>
            <w:vAlign w:val="center"/>
          </w:tcPr>
          <w:p w14:paraId="5E336CA5" w14:textId="77777777" w:rsidR="002E474C" w:rsidRDefault="00000000">
            <w:pPr>
              <w:pStyle w:val="A-"/>
              <w:spacing w:line="260" w:lineRule="exact"/>
              <w:ind w:leftChars="-25" w:left="-53" w:rightChars="-25" w:right="-53"/>
              <w:rPr>
                <w:spacing w:val="-6"/>
              </w:rPr>
            </w:pPr>
            <w:r>
              <w:rPr>
                <w:spacing w:val="-6"/>
              </w:rPr>
              <w:t>对苯二酚氧化生产二甲氧基苯胺过程中产生的重馏分</w:t>
            </w:r>
          </w:p>
        </w:tc>
        <w:tc>
          <w:tcPr>
            <w:tcW w:w="663" w:type="dxa"/>
            <w:noWrap/>
            <w:vAlign w:val="center"/>
          </w:tcPr>
          <w:p w14:paraId="75DBD818" w14:textId="77777777" w:rsidR="002E474C" w:rsidRDefault="00000000">
            <w:pPr>
              <w:pStyle w:val="A-"/>
              <w:spacing w:line="260" w:lineRule="exact"/>
            </w:pPr>
            <w:r>
              <w:t>T</w:t>
            </w:r>
          </w:p>
        </w:tc>
      </w:tr>
      <w:tr w:rsidR="002E474C" w14:paraId="088F9814" w14:textId="77777777">
        <w:trPr>
          <w:trHeight w:val="300"/>
        </w:trPr>
        <w:tc>
          <w:tcPr>
            <w:tcW w:w="828" w:type="dxa"/>
            <w:vMerge/>
            <w:vAlign w:val="center"/>
          </w:tcPr>
          <w:p w14:paraId="669142D7" w14:textId="77777777" w:rsidR="002E474C" w:rsidRDefault="002E474C">
            <w:pPr>
              <w:pStyle w:val="A-"/>
              <w:spacing w:line="260" w:lineRule="exact"/>
            </w:pPr>
          </w:p>
        </w:tc>
        <w:tc>
          <w:tcPr>
            <w:tcW w:w="893" w:type="dxa"/>
            <w:vMerge/>
            <w:vAlign w:val="center"/>
          </w:tcPr>
          <w:p w14:paraId="6DBE30E2" w14:textId="77777777" w:rsidR="002E474C" w:rsidRDefault="002E474C">
            <w:pPr>
              <w:pStyle w:val="A-"/>
              <w:spacing w:line="260" w:lineRule="exact"/>
            </w:pPr>
          </w:p>
        </w:tc>
        <w:tc>
          <w:tcPr>
            <w:tcW w:w="1147" w:type="dxa"/>
            <w:noWrap/>
            <w:vAlign w:val="center"/>
          </w:tcPr>
          <w:p w14:paraId="346634D4" w14:textId="77777777" w:rsidR="002E474C" w:rsidRDefault="00000000">
            <w:pPr>
              <w:pStyle w:val="A-"/>
              <w:spacing w:line="260" w:lineRule="exact"/>
              <w:ind w:leftChars="-25" w:left="-53" w:rightChars="-25" w:right="-53"/>
            </w:pPr>
            <w:r>
              <w:t>261-109-11</w:t>
            </w:r>
          </w:p>
        </w:tc>
        <w:tc>
          <w:tcPr>
            <w:tcW w:w="4991" w:type="dxa"/>
            <w:noWrap/>
            <w:vAlign w:val="center"/>
          </w:tcPr>
          <w:p w14:paraId="5005840E" w14:textId="77777777" w:rsidR="002E474C" w:rsidRDefault="00000000">
            <w:pPr>
              <w:pStyle w:val="A-"/>
              <w:spacing w:line="260" w:lineRule="exact"/>
            </w:pPr>
            <w:r>
              <w:t>萘磺化生产萘酚过程中产生的重馏分</w:t>
            </w:r>
          </w:p>
        </w:tc>
        <w:tc>
          <w:tcPr>
            <w:tcW w:w="663" w:type="dxa"/>
            <w:noWrap/>
            <w:vAlign w:val="center"/>
          </w:tcPr>
          <w:p w14:paraId="7EA7DB28" w14:textId="77777777" w:rsidR="002E474C" w:rsidRDefault="00000000">
            <w:pPr>
              <w:pStyle w:val="A-"/>
              <w:spacing w:line="260" w:lineRule="exact"/>
            </w:pPr>
            <w:r>
              <w:t>T</w:t>
            </w:r>
          </w:p>
        </w:tc>
      </w:tr>
      <w:tr w:rsidR="002E474C" w14:paraId="39483792" w14:textId="77777777">
        <w:trPr>
          <w:trHeight w:val="300"/>
        </w:trPr>
        <w:tc>
          <w:tcPr>
            <w:tcW w:w="828" w:type="dxa"/>
            <w:vMerge/>
            <w:vAlign w:val="center"/>
          </w:tcPr>
          <w:p w14:paraId="07C9E533" w14:textId="77777777" w:rsidR="002E474C" w:rsidRDefault="002E474C">
            <w:pPr>
              <w:pStyle w:val="A-"/>
              <w:spacing w:line="260" w:lineRule="exact"/>
            </w:pPr>
          </w:p>
        </w:tc>
        <w:tc>
          <w:tcPr>
            <w:tcW w:w="893" w:type="dxa"/>
            <w:vMerge/>
            <w:vAlign w:val="center"/>
          </w:tcPr>
          <w:p w14:paraId="676A9643" w14:textId="77777777" w:rsidR="002E474C" w:rsidRDefault="002E474C">
            <w:pPr>
              <w:pStyle w:val="A-"/>
              <w:spacing w:line="260" w:lineRule="exact"/>
            </w:pPr>
          </w:p>
        </w:tc>
        <w:tc>
          <w:tcPr>
            <w:tcW w:w="1147" w:type="dxa"/>
            <w:noWrap/>
            <w:vAlign w:val="center"/>
          </w:tcPr>
          <w:p w14:paraId="7F138624" w14:textId="77777777" w:rsidR="002E474C" w:rsidRDefault="00000000">
            <w:pPr>
              <w:pStyle w:val="A-"/>
              <w:spacing w:line="260" w:lineRule="exact"/>
              <w:ind w:leftChars="-25" w:left="-53" w:rightChars="-25" w:right="-53"/>
            </w:pPr>
            <w:r>
              <w:t>261-110-11</w:t>
            </w:r>
          </w:p>
        </w:tc>
        <w:tc>
          <w:tcPr>
            <w:tcW w:w="4991" w:type="dxa"/>
            <w:noWrap/>
            <w:vAlign w:val="center"/>
          </w:tcPr>
          <w:p w14:paraId="2B0E124F" w14:textId="77777777" w:rsidR="002E474C" w:rsidRDefault="00000000">
            <w:pPr>
              <w:pStyle w:val="A-"/>
              <w:spacing w:line="260" w:lineRule="exact"/>
            </w:pPr>
            <w:r>
              <w:t>苯酚、三甲苯水解生产</w:t>
            </w:r>
            <w:r>
              <w:t xml:space="preserve"> 4,4,-</w:t>
            </w:r>
            <w:r>
              <w:t>二羟基二苯砜过程中产生的重馏分</w:t>
            </w:r>
          </w:p>
        </w:tc>
        <w:tc>
          <w:tcPr>
            <w:tcW w:w="663" w:type="dxa"/>
            <w:noWrap/>
            <w:vAlign w:val="center"/>
          </w:tcPr>
          <w:p w14:paraId="55E124A8" w14:textId="77777777" w:rsidR="002E474C" w:rsidRDefault="00000000">
            <w:pPr>
              <w:pStyle w:val="A-"/>
              <w:spacing w:line="260" w:lineRule="exact"/>
            </w:pPr>
            <w:r>
              <w:t>T</w:t>
            </w:r>
          </w:p>
        </w:tc>
      </w:tr>
      <w:tr w:rsidR="002E474C" w14:paraId="15DFBD13" w14:textId="77777777">
        <w:trPr>
          <w:trHeight w:val="300"/>
        </w:trPr>
        <w:tc>
          <w:tcPr>
            <w:tcW w:w="828" w:type="dxa"/>
            <w:vMerge/>
            <w:vAlign w:val="center"/>
          </w:tcPr>
          <w:p w14:paraId="22889D27" w14:textId="77777777" w:rsidR="002E474C" w:rsidRDefault="002E474C">
            <w:pPr>
              <w:pStyle w:val="A-"/>
              <w:spacing w:line="260" w:lineRule="exact"/>
            </w:pPr>
          </w:p>
        </w:tc>
        <w:tc>
          <w:tcPr>
            <w:tcW w:w="893" w:type="dxa"/>
            <w:vMerge/>
            <w:vAlign w:val="center"/>
          </w:tcPr>
          <w:p w14:paraId="6E01B516" w14:textId="77777777" w:rsidR="002E474C" w:rsidRDefault="002E474C">
            <w:pPr>
              <w:pStyle w:val="A-"/>
              <w:spacing w:line="260" w:lineRule="exact"/>
            </w:pPr>
          </w:p>
        </w:tc>
        <w:tc>
          <w:tcPr>
            <w:tcW w:w="1147" w:type="dxa"/>
            <w:noWrap/>
            <w:vAlign w:val="center"/>
          </w:tcPr>
          <w:p w14:paraId="528CF79D" w14:textId="77777777" w:rsidR="002E474C" w:rsidRDefault="00000000">
            <w:pPr>
              <w:pStyle w:val="A-"/>
              <w:spacing w:line="260" w:lineRule="exact"/>
              <w:ind w:leftChars="-25" w:left="-53" w:rightChars="-25" w:right="-53"/>
            </w:pPr>
            <w:r>
              <w:t>261-111-11</w:t>
            </w:r>
          </w:p>
        </w:tc>
        <w:tc>
          <w:tcPr>
            <w:tcW w:w="4991" w:type="dxa"/>
            <w:noWrap/>
            <w:vAlign w:val="center"/>
          </w:tcPr>
          <w:p w14:paraId="05042E29" w14:textId="77777777" w:rsidR="002E474C" w:rsidRDefault="00000000">
            <w:pPr>
              <w:pStyle w:val="A-"/>
              <w:spacing w:line="260" w:lineRule="exact"/>
            </w:pPr>
            <w:r>
              <w:t>甲苯硝基化合物羰基化法、</w:t>
            </w:r>
            <w:r>
              <w:t xml:space="preserve"> </w:t>
            </w:r>
            <w:r>
              <w:t>甲苯碳酸二甲酯法生产甲苯二异氰酸酯过程中产生的重馏分</w:t>
            </w:r>
          </w:p>
        </w:tc>
        <w:tc>
          <w:tcPr>
            <w:tcW w:w="663" w:type="dxa"/>
            <w:noWrap/>
            <w:vAlign w:val="center"/>
          </w:tcPr>
          <w:p w14:paraId="0C6B927F" w14:textId="77777777" w:rsidR="002E474C" w:rsidRDefault="00000000">
            <w:pPr>
              <w:pStyle w:val="A-"/>
              <w:spacing w:line="260" w:lineRule="exact"/>
            </w:pPr>
            <w:r>
              <w:t>T</w:t>
            </w:r>
          </w:p>
        </w:tc>
      </w:tr>
      <w:tr w:rsidR="002E474C" w14:paraId="169052F9" w14:textId="77777777">
        <w:trPr>
          <w:trHeight w:val="300"/>
        </w:trPr>
        <w:tc>
          <w:tcPr>
            <w:tcW w:w="828" w:type="dxa"/>
            <w:vMerge/>
            <w:vAlign w:val="center"/>
          </w:tcPr>
          <w:p w14:paraId="43653873" w14:textId="77777777" w:rsidR="002E474C" w:rsidRDefault="002E474C">
            <w:pPr>
              <w:pStyle w:val="A-"/>
              <w:spacing w:line="260" w:lineRule="exact"/>
            </w:pPr>
          </w:p>
        </w:tc>
        <w:tc>
          <w:tcPr>
            <w:tcW w:w="893" w:type="dxa"/>
            <w:vMerge/>
            <w:vAlign w:val="center"/>
          </w:tcPr>
          <w:p w14:paraId="1D33769C" w14:textId="77777777" w:rsidR="002E474C" w:rsidRDefault="002E474C">
            <w:pPr>
              <w:pStyle w:val="A-"/>
              <w:spacing w:line="260" w:lineRule="exact"/>
            </w:pPr>
          </w:p>
        </w:tc>
        <w:tc>
          <w:tcPr>
            <w:tcW w:w="1147" w:type="dxa"/>
            <w:noWrap/>
            <w:vAlign w:val="center"/>
          </w:tcPr>
          <w:p w14:paraId="5A5A088D" w14:textId="77777777" w:rsidR="002E474C" w:rsidRDefault="00000000">
            <w:pPr>
              <w:pStyle w:val="A-"/>
              <w:spacing w:line="260" w:lineRule="exact"/>
              <w:ind w:leftChars="-25" w:left="-53" w:rightChars="-25" w:right="-53"/>
            </w:pPr>
            <w:r>
              <w:t>261-113-11</w:t>
            </w:r>
          </w:p>
        </w:tc>
        <w:tc>
          <w:tcPr>
            <w:tcW w:w="4991" w:type="dxa"/>
            <w:noWrap/>
            <w:vAlign w:val="center"/>
          </w:tcPr>
          <w:p w14:paraId="4B06E6CF" w14:textId="77777777" w:rsidR="002E474C" w:rsidRDefault="00000000">
            <w:pPr>
              <w:pStyle w:val="A-"/>
              <w:spacing w:line="260" w:lineRule="exact"/>
            </w:pPr>
            <w:r>
              <w:t>乙烯直接氯化生产二氯乙烷过程中产生的重馏分</w:t>
            </w:r>
          </w:p>
        </w:tc>
        <w:tc>
          <w:tcPr>
            <w:tcW w:w="663" w:type="dxa"/>
            <w:noWrap/>
            <w:vAlign w:val="center"/>
          </w:tcPr>
          <w:p w14:paraId="62D16804" w14:textId="77777777" w:rsidR="002E474C" w:rsidRDefault="00000000">
            <w:pPr>
              <w:pStyle w:val="A-"/>
              <w:spacing w:line="260" w:lineRule="exact"/>
            </w:pPr>
            <w:r>
              <w:t>T</w:t>
            </w:r>
          </w:p>
        </w:tc>
      </w:tr>
      <w:tr w:rsidR="002E474C" w14:paraId="0FA9F362" w14:textId="77777777">
        <w:trPr>
          <w:trHeight w:val="300"/>
        </w:trPr>
        <w:tc>
          <w:tcPr>
            <w:tcW w:w="828" w:type="dxa"/>
            <w:vMerge/>
            <w:vAlign w:val="center"/>
          </w:tcPr>
          <w:p w14:paraId="39CBD50D" w14:textId="77777777" w:rsidR="002E474C" w:rsidRDefault="002E474C">
            <w:pPr>
              <w:pStyle w:val="A-"/>
              <w:spacing w:line="260" w:lineRule="exact"/>
            </w:pPr>
          </w:p>
        </w:tc>
        <w:tc>
          <w:tcPr>
            <w:tcW w:w="893" w:type="dxa"/>
            <w:vMerge/>
            <w:vAlign w:val="center"/>
          </w:tcPr>
          <w:p w14:paraId="5BB92F35" w14:textId="77777777" w:rsidR="002E474C" w:rsidRDefault="002E474C">
            <w:pPr>
              <w:pStyle w:val="A-"/>
              <w:spacing w:line="260" w:lineRule="exact"/>
            </w:pPr>
          </w:p>
        </w:tc>
        <w:tc>
          <w:tcPr>
            <w:tcW w:w="1147" w:type="dxa"/>
            <w:noWrap/>
            <w:vAlign w:val="center"/>
          </w:tcPr>
          <w:p w14:paraId="6A54FC23" w14:textId="77777777" w:rsidR="002E474C" w:rsidRDefault="00000000">
            <w:pPr>
              <w:pStyle w:val="A-"/>
              <w:spacing w:line="260" w:lineRule="exact"/>
              <w:ind w:leftChars="-25" w:left="-53" w:rightChars="-25" w:right="-53"/>
            </w:pPr>
            <w:r>
              <w:t>261-114-11</w:t>
            </w:r>
          </w:p>
        </w:tc>
        <w:tc>
          <w:tcPr>
            <w:tcW w:w="4991" w:type="dxa"/>
            <w:noWrap/>
            <w:vAlign w:val="center"/>
          </w:tcPr>
          <w:p w14:paraId="5959BC88" w14:textId="77777777" w:rsidR="002E474C" w:rsidRDefault="00000000">
            <w:pPr>
              <w:pStyle w:val="A-"/>
              <w:spacing w:line="260" w:lineRule="exact"/>
            </w:pPr>
            <w:r>
              <w:t>甲烷氯化生产甲烷氯化物过程中产生的重馏分</w:t>
            </w:r>
          </w:p>
        </w:tc>
        <w:tc>
          <w:tcPr>
            <w:tcW w:w="663" w:type="dxa"/>
            <w:noWrap/>
            <w:vAlign w:val="center"/>
          </w:tcPr>
          <w:p w14:paraId="62A283DF" w14:textId="77777777" w:rsidR="002E474C" w:rsidRDefault="00000000">
            <w:pPr>
              <w:pStyle w:val="A-"/>
              <w:spacing w:line="260" w:lineRule="exact"/>
            </w:pPr>
            <w:r>
              <w:t>T</w:t>
            </w:r>
          </w:p>
        </w:tc>
      </w:tr>
      <w:tr w:rsidR="002E474C" w14:paraId="1DC05109" w14:textId="77777777">
        <w:trPr>
          <w:trHeight w:val="300"/>
        </w:trPr>
        <w:tc>
          <w:tcPr>
            <w:tcW w:w="828" w:type="dxa"/>
            <w:vMerge/>
            <w:vAlign w:val="center"/>
          </w:tcPr>
          <w:p w14:paraId="05EAA343" w14:textId="77777777" w:rsidR="002E474C" w:rsidRDefault="002E474C">
            <w:pPr>
              <w:pStyle w:val="A-"/>
              <w:spacing w:line="260" w:lineRule="exact"/>
            </w:pPr>
          </w:p>
        </w:tc>
        <w:tc>
          <w:tcPr>
            <w:tcW w:w="893" w:type="dxa"/>
            <w:vMerge/>
            <w:vAlign w:val="center"/>
          </w:tcPr>
          <w:p w14:paraId="1585FEB6" w14:textId="77777777" w:rsidR="002E474C" w:rsidRDefault="002E474C">
            <w:pPr>
              <w:pStyle w:val="A-"/>
              <w:spacing w:line="260" w:lineRule="exact"/>
            </w:pPr>
          </w:p>
        </w:tc>
        <w:tc>
          <w:tcPr>
            <w:tcW w:w="1147" w:type="dxa"/>
            <w:noWrap/>
            <w:vAlign w:val="center"/>
          </w:tcPr>
          <w:p w14:paraId="50893687" w14:textId="77777777" w:rsidR="002E474C" w:rsidRDefault="00000000">
            <w:pPr>
              <w:pStyle w:val="A-"/>
              <w:spacing w:line="260" w:lineRule="exact"/>
              <w:ind w:leftChars="-25" w:left="-53" w:rightChars="-25" w:right="-53"/>
            </w:pPr>
            <w:r>
              <w:t>261-115-11</w:t>
            </w:r>
          </w:p>
        </w:tc>
        <w:tc>
          <w:tcPr>
            <w:tcW w:w="4991" w:type="dxa"/>
            <w:noWrap/>
            <w:vAlign w:val="center"/>
          </w:tcPr>
          <w:p w14:paraId="3AFDAB8A" w14:textId="77777777" w:rsidR="002E474C" w:rsidRDefault="00000000">
            <w:pPr>
              <w:pStyle w:val="A-"/>
              <w:spacing w:line="260" w:lineRule="exact"/>
            </w:pPr>
            <w:r>
              <w:t>甲醇氯化生产甲烷氯化物过程中产生的釜底残液</w:t>
            </w:r>
          </w:p>
        </w:tc>
        <w:tc>
          <w:tcPr>
            <w:tcW w:w="663" w:type="dxa"/>
            <w:noWrap/>
            <w:vAlign w:val="center"/>
          </w:tcPr>
          <w:p w14:paraId="30AAA673" w14:textId="77777777" w:rsidR="002E474C" w:rsidRDefault="00000000">
            <w:pPr>
              <w:pStyle w:val="A-"/>
              <w:spacing w:line="260" w:lineRule="exact"/>
            </w:pPr>
            <w:r>
              <w:t>T</w:t>
            </w:r>
          </w:p>
        </w:tc>
      </w:tr>
      <w:tr w:rsidR="002E474C" w14:paraId="54D54CA6" w14:textId="77777777">
        <w:trPr>
          <w:trHeight w:val="300"/>
        </w:trPr>
        <w:tc>
          <w:tcPr>
            <w:tcW w:w="828" w:type="dxa"/>
            <w:vMerge/>
            <w:vAlign w:val="center"/>
          </w:tcPr>
          <w:p w14:paraId="75F19624" w14:textId="77777777" w:rsidR="002E474C" w:rsidRDefault="002E474C">
            <w:pPr>
              <w:pStyle w:val="A-"/>
              <w:spacing w:line="260" w:lineRule="exact"/>
            </w:pPr>
          </w:p>
        </w:tc>
        <w:tc>
          <w:tcPr>
            <w:tcW w:w="893" w:type="dxa"/>
            <w:vMerge/>
            <w:vAlign w:val="center"/>
          </w:tcPr>
          <w:p w14:paraId="5019D50B" w14:textId="77777777" w:rsidR="002E474C" w:rsidRDefault="002E474C">
            <w:pPr>
              <w:pStyle w:val="A-"/>
              <w:spacing w:line="260" w:lineRule="exact"/>
            </w:pPr>
          </w:p>
        </w:tc>
        <w:tc>
          <w:tcPr>
            <w:tcW w:w="1147" w:type="dxa"/>
            <w:noWrap/>
            <w:vAlign w:val="center"/>
          </w:tcPr>
          <w:p w14:paraId="0A0EEB7B" w14:textId="77777777" w:rsidR="002E474C" w:rsidRDefault="00000000">
            <w:pPr>
              <w:pStyle w:val="A-"/>
              <w:spacing w:line="260" w:lineRule="exact"/>
              <w:ind w:leftChars="-25" w:left="-53" w:rightChars="-25" w:right="-53"/>
            </w:pPr>
            <w:r>
              <w:t>261-116-11</w:t>
            </w:r>
          </w:p>
        </w:tc>
        <w:tc>
          <w:tcPr>
            <w:tcW w:w="4991" w:type="dxa"/>
            <w:noWrap/>
            <w:vAlign w:val="center"/>
          </w:tcPr>
          <w:p w14:paraId="796C710C" w14:textId="77777777" w:rsidR="002E474C" w:rsidRDefault="00000000">
            <w:pPr>
              <w:pStyle w:val="A-"/>
              <w:spacing w:line="260" w:lineRule="exact"/>
              <w:ind w:leftChars="-25" w:left="-53" w:rightChars="-25" w:right="-53"/>
              <w:rPr>
                <w:spacing w:val="-6"/>
              </w:rPr>
            </w:pPr>
            <w:r>
              <w:rPr>
                <w:spacing w:val="-6"/>
              </w:rPr>
              <w:t>乙烯氯醇法、氧化法生产环氧乙烷过程中产生的重馏分</w:t>
            </w:r>
          </w:p>
        </w:tc>
        <w:tc>
          <w:tcPr>
            <w:tcW w:w="663" w:type="dxa"/>
            <w:noWrap/>
            <w:vAlign w:val="center"/>
          </w:tcPr>
          <w:p w14:paraId="5039CF5F" w14:textId="77777777" w:rsidR="002E474C" w:rsidRDefault="00000000">
            <w:pPr>
              <w:pStyle w:val="A-"/>
              <w:spacing w:line="260" w:lineRule="exact"/>
            </w:pPr>
            <w:r>
              <w:t>T</w:t>
            </w:r>
          </w:p>
        </w:tc>
      </w:tr>
      <w:tr w:rsidR="002E474C" w14:paraId="3B9358D5" w14:textId="77777777">
        <w:trPr>
          <w:trHeight w:val="300"/>
        </w:trPr>
        <w:tc>
          <w:tcPr>
            <w:tcW w:w="828" w:type="dxa"/>
            <w:vMerge/>
            <w:vAlign w:val="center"/>
          </w:tcPr>
          <w:p w14:paraId="15EA4DAE" w14:textId="77777777" w:rsidR="002E474C" w:rsidRDefault="002E474C">
            <w:pPr>
              <w:pStyle w:val="A-"/>
              <w:spacing w:line="260" w:lineRule="exact"/>
            </w:pPr>
          </w:p>
        </w:tc>
        <w:tc>
          <w:tcPr>
            <w:tcW w:w="893" w:type="dxa"/>
            <w:vMerge/>
            <w:vAlign w:val="center"/>
          </w:tcPr>
          <w:p w14:paraId="58B2C9BA" w14:textId="77777777" w:rsidR="002E474C" w:rsidRDefault="002E474C">
            <w:pPr>
              <w:pStyle w:val="A-"/>
              <w:spacing w:line="260" w:lineRule="exact"/>
            </w:pPr>
          </w:p>
        </w:tc>
        <w:tc>
          <w:tcPr>
            <w:tcW w:w="1147" w:type="dxa"/>
            <w:noWrap/>
            <w:vAlign w:val="center"/>
          </w:tcPr>
          <w:p w14:paraId="5DF1C347" w14:textId="77777777" w:rsidR="002E474C" w:rsidRDefault="00000000">
            <w:pPr>
              <w:pStyle w:val="A-"/>
              <w:spacing w:line="260" w:lineRule="exact"/>
              <w:ind w:leftChars="-25" w:left="-53" w:rightChars="-25" w:right="-53"/>
            </w:pPr>
            <w:r>
              <w:t>261-117-11</w:t>
            </w:r>
          </w:p>
        </w:tc>
        <w:tc>
          <w:tcPr>
            <w:tcW w:w="4991" w:type="dxa"/>
            <w:noWrap/>
            <w:vAlign w:val="center"/>
          </w:tcPr>
          <w:p w14:paraId="1EDD6B6A" w14:textId="77777777" w:rsidR="002E474C" w:rsidRDefault="00000000">
            <w:pPr>
              <w:pStyle w:val="A-"/>
              <w:spacing w:line="260" w:lineRule="exact"/>
              <w:ind w:leftChars="-25" w:left="-53" w:rightChars="-25" w:right="-53"/>
              <w:rPr>
                <w:spacing w:val="-6"/>
              </w:rPr>
            </w:pPr>
            <w:r>
              <w:rPr>
                <w:spacing w:val="-6"/>
              </w:rPr>
              <w:t>乙炔气相合成、氧氯化生产氯乙烯过程中产生的重馏分</w:t>
            </w:r>
          </w:p>
        </w:tc>
        <w:tc>
          <w:tcPr>
            <w:tcW w:w="663" w:type="dxa"/>
            <w:noWrap/>
            <w:vAlign w:val="center"/>
          </w:tcPr>
          <w:p w14:paraId="2F6E7536" w14:textId="77777777" w:rsidR="002E474C" w:rsidRDefault="00000000">
            <w:pPr>
              <w:pStyle w:val="A-"/>
              <w:spacing w:line="260" w:lineRule="exact"/>
            </w:pPr>
            <w:r>
              <w:t>T</w:t>
            </w:r>
          </w:p>
        </w:tc>
      </w:tr>
      <w:tr w:rsidR="002E474C" w14:paraId="0F4890DA" w14:textId="77777777">
        <w:trPr>
          <w:trHeight w:val="300"/>
        </w:trPr>
        <w:tc>
          <w:tcPr>
            <w:tcW w:w="828" w:type="dxa"/>
            <w:vMerge/>
            <w:vAlign w:val="center"/>
          </w:tcPr>
          <w:p w14:paraId="1EC3B068" w14:textId="77777777" w:rsidR="002E474C" w:rsidRDefault="002E474C">
            <w:pPr>
              <w:pStyle w:val="A-"/>
              <w:spacing w:line="260" w:lineRule="exact"/>
            </w:pPr>
          </w:p>
        </w:tc>
        <w:tc>
          <w:tcPr>
            <w:tcW w:w="893" w:type="dxa"/>
            <w:vMerge/>
            <w:vAlign w:val="center"/>
          </w:tcPr>
          <w:p w14:paraId="54535521" w14:textId="77777777" w:rsidR="002E474C" w:rsidRDefault="002E474C">
            <w:pPr>
              <w:pStyle w:val="A-"/>
              <w:spacing w:line="260" w:lineRule="exact"/>
            </w:pPr>
          </w:p>
        </w:tc>
        <w:tc>
          <w:tcPr>
            <w:tcW w:w="1147" w:type="dxa"/>
            <w:noWrap/>
            <w:vAlign w:val="center"/>
          </w:tcPr>
          <w:p w14:paraId="1BF5BA8B" w14:textId="77777777" w:rsidR="002E474C" w:rsidRDefault="00000000">
            <w:pPr>
              <w:pStyle w:val="A-"/>
              <w:spacing w:line="260" w:lineRule="exact"/>
              <w:ind w:leftChars="-25" w:left="-53" w:rightChars="-25" w:right="-53"/>
            </w:pPr>
            <w:r>
              <w:t>261-118-11</w:t>
            </w:r>
          </w:p>
        </w:tc>
        <w:tc>
          <w:tcPr>
            <w:tcW w:w="4991" w:type="dxa"/>
            <w:noWrap/>
            <w:vAlign w:val="center"/>
          </w:tcPr>
          <w:p w14:paraId="3D021B05" w14:textId="77777777" w:rsidR="002E474C" w:rsidRDefault="00000000">
            <w:pPr>
              <w:pStyle w:val="A-"/>
              <w:spacing w:line="260" w:lineRule="exact"/>
              <w:ind w:leftChars="-25" w:left="-53" w:rightChars="-25" w:right="-53"/>
              <w:rPr>
                <w:spacing w:val="-11"/>
              </w:rPr>
            </w:pPr>
            <w:r>
              <w:rPr>
                <w:spacing w:val="-11"/>
              </w:rPr>
              <w:t>乙烯直接氯化生产三氯乙烯、四氯乙烯过程中产生的重馏分</w:t>
            </w:r>
          </w:p>
        </w:tc>
        <w:tc>
          <w:tcPr>
            <w:tcW w:w="663" w:type="dxa"/>
            <w:noWrap/>
            <w:vAlign w:val="center"/>
          </w:tcPr>
          <w:p w14:paraId="14D37552" w14:textId="77777777" w:rsidR="002E474C" w:rsidRDefault="00000000">
            <w:pPr>
              <w:pStyle w:val="A-"/>
              <w:spacing w:line="260" w:lineRule="exact"/>
            </w:pPr>
            <w:r>
              <w:t>T</w:t>
            </w:r>
          </w:p>
        </w:tc>
      </w:tr>
      <w:tr w:rsidR="002E474C" w14:paraId="19391379" w14:textId="77777777">
        <w:trPr>
          <w:trHeight w:val="300"/>
        </w:trPr>
        <w:tc>
          <w:tcPr>
            <w:tcW w:w="828" w:type="dxa"/>
            <w:vMerge/>
            <w:vAlign w:val="center"/>
          </w:tcPr>
          <w:p w14:paraId="6DE9A84D" w14:textId="77777777" w:rsidR="002E474C" w:rsidRDefault="002E474C">
            <w:pPr>
              <w:pStyle w:val="A-"/>
              <w:spacing w:line="260" w:lineRule="exact"/>
            </w:pPr>
          </w:p>
        </w:tc>
        <w:tc>
          <w:tcPr>
            <w:tcW w:w="893" w:type="dxa"/>
            <w:vMerge/>
            <w:vAlign w:val="center"/>
          </w:tcPr>
          <w:p w14:paraId="37EA7926" w14:textId="77777777" w:rsidR="002E474C" w:rsidRDefault="002E474C">
            <w:pPr>
              <w:pStyle w:val="A-"/>
              <w:spacing w:line="260" w:lineRule="exact"/>
            </w:pPr>
          </w:p>
        </w:tc>
        <w:tc>
          <w:tcPr>
            <w:tcW w:w="1147" w:type="dxa"/>
            <w:noWrap/>
            <w:vAlign w:val="center"/>
          </w:tcPr>
          <w:p w14:paraId="3936854A" w14:textId="77777777" w:rsidR="002E474C" w:rsidRDefault="00000000">
            <w:pPr>
              <w:pStyle w:val="A-"/>
              <w:spacing w:line="260" w:lineRule="exact"/>
              <w:ind w:leftChars="-25" w:left="-53" w:rightChars="-25" w:right="-53"/>
            </w:pPr>
            <w:r>
              <w:t>261-119-11</w:t>
            </w:r>
          </w:p>
        </w:tc>
        <w:tc>
          <w:tcPr>
            <w:tcW w:w="4991" w:type="dxa"/>
            <w:noWrap/>
            <w:vAlign w:val="center"/>
          </w:tcPr>
          <w:p w14:paraId="7BA44397" w14:textId="77777777" w:rsidR="002E474C" w:rsidRDefault="00000000">
            <w:pPr>
              <w:pStyle w:val="A-"/>
              <w:spacing w:line="260" w:lineRule="exact"/>
              <w:ind w:leftChars="-25" w:left="-53" w:rightChars="-25" w:right="-53"/>
              <w:rPr>
                <w:spacing w:val="-11"/>
              </w:rPr>
            </w:pPr>
            <w:r>
              <w:rPr>
                <w:spacing w:val="-11"/>
              </w:rPr>
              <w:t>乙烯氧氯化法生产三氯乙烯、四氯乙烯过程中产生的重馏分</w:t>
            </w:r>
          </w:p>
        </w:tc>
        <w:tc>
          <w:tcPr>
            <w:tcW w:w="663" w:type="dxa"/>
            <w:noWrap/>
            <w:vAlign w:val="center"/>
          </w:tcPr>
          <w:p w14:paraId="67C204A5" w14:textId="77777777" w:rsidR="002E474C" w:rsidRDefault="00000000">
            <w:pPr>
              <w:pStyle w:val="A-"/>
              <w:spacing w:line="260" w:lineRule="exact"/>
            </w:pPr>
            <w:r>
              <w:t>T</w:t>
            </w:r>
          </w:p>
        </w:tc>
      </w:tr>
      <w:tr w:rsidR="002E474C" w14:paraId="644462DF" w14:textId="77777777">
        <w:trPr>
          <w:trHeight w:val="300"/>
        </w:trPr>
        <w:tc>
          <w:tcPr>
            <w:tcW w:w="828" w:type="dxa"/>
            <w:vMerge/>
            <w:vAlign w:val="center"/>
          </w:tcPr>
          <w:p w14:paraId="3DACC127" w14:textId="77777777" w:rsidR="002E474C" w:rsidRDefault="002E474C">
            <w:pPr>
              <w:pStyle w:val="A-"/>
              <w:spacing w:line="260" w:lineRule="exact"/>
            </w:pPr>
          </w:p>
        </w:tc>
        <w:tc>
          <w:tcPr>
            <w:tcW w:w="893" w:type="dxa"/>
            <w:vMerge/>
            <w:vAlign w:val="center"/>
          </w:tcPr>
          <w:p w14:paraId="277AD7DA" w14:textId="77777777" w:rsidR="002E474C" w:rsidRDefault="002E474C">
            <w:pPr>
              <w:pStyle w:val="A-"/>
              <w:spacing w:line="260" w:lineRule="exact"/>
            </w:pPr>
          </w:p>
        </w:tc>
        <w:tc>
          <w:tcPr>
            <w:tcW w:w="1147" w:type="dxa"/>
            <w:noWrap/>
            <w:vAlign w:val="center"/>
          </w:tcPr>
          <w:p w14:paraId="2EB78224" w14:textId="77777777" w:rsidR="002E474C" w:rsidRDefault="00000000">
            <w:pPr>
              <w:pStyle w:val="A-"/>
              <w:spacing w:line="260" w:lineRule="exact"/>
              <w:ind w:leftChars="-25" w:left="-53" w:rightChars="-25" w:right="-53"/>
            </w:pPr>
            <w:r>
              <w:t>261-120-11</w:t>
            </w:r>
          </w:p>
        </w:tc>
        <w:tc>
          <w:tcPr>
            <w:tcW w:w="4991" w:type="dxa"/>
            <w:noWrap/>
            <w:vAlign w:val="center"/>
          </w:tcPr>
          <w:p w14:paraId="51085E8B" w14:textId="77777777" w:rsidR="002E474C" w:rsidRDefault="00000000">
            <w:pPr>
              <w:pStyle w:val="A-"/>
              <w:spacing w:line="260" w:lineRule="exact"/>
              <w:ind w:leftChars="-25" w:left="-53" w:rightChars="-25" w:right="-53"/>
              <w:rPr>
                <w:spacing w:val="-6"/>
              </w:rPr>
            </w:pPr>
            <w:r>
              <w:rPr>
                <w:spacing w:val="-6"/>
              </w:rPr>
              <w:t>甲苯光气法生产苯甲酰氯产品精制过程中产生的重馏分</w:t>
            </w:r>
          </w:p>
        </w:tc>
        <w:tc>
          <w:tcPr>
            <w:tcW w:w="663" w:type="dxa"/>
            <w:noWrap/>
            <w:vAlign w:val="center"/>
          </w:tcPr>
          <w:p w14:paraId="491FCE91" w14:textId="77777777" w:rsidR="002E474C" w:rsidRDefault="00000000">
            <w:pPr>
              <w:pStyle w:val="A-"/>
              <w:spacing w:line="260" w:lineRule="exact"/>
            </w:pPr>
            <w:r>
              <w:t>T</w:t>
            </w:r>
          </w:p>
        </w:tc>
      </w:tr>
      <w:tr w:rsidR="002E474C" w14:paraId="095C1F63" w14:textId="77777777">
        <w:trPr>
          <w:trHeight w:val="300"/>
        </w:trPr>
        <w:tc>
          <w:tcPr>
            <w:tcW w:w="828" w:type="dxa"/>
            <w:vMerge/>
            <w:vAlign w:val="center"/>
          </w:tcPr>
          <w:p w14:paraId="2E91E8D1" w14:textId="77777777" w:rsidR="002E474C" w:rsidRDefault="002E474C">
            <w:pPr>
              <w:pStyle w:val="A-"/>
              <w:spacing w:line="260" w:lineRule="exact"/>
            </w:pPr>
          </w:p>
        </w:tc>
        <w:tc>
          <w:tcPr>
            <w:tcW w:w="893" w:type="dxa"/>
            <w:vMerge/>
            <w:vAlign w:val="center"/>
          </w:tcPr>
          <w:p w14:paraId="2E9D71AB" w14:textId="77777777" w:rsidR="002E474C" w:rsidRDefault="002E474C">
            <w:pPr>
              <w:pStyle w:val="A-"/>
              <w:spacing w:line="260" w:lineRule="exact"/>
            </w:pPr>
          </w:p>
        </w:tc>
        <w:tc>
          <w:tcPr>
            <w:tcW w:w="1147" w:type="dxa"/>
            <w:noWrap/>
            <w:vAlign w:val="center"/>
          </w:tcPr>
          <w:p w14:paraId="691E7B7E" w14:textId="77777777" w:rsidR="002E474C" w:rsidRDefault="00000000">
            <w:pPr>
              <w:pStyle w:val="A-"/>
              <w:spacing w:line="260" w:lineRule="exact"/>
              <w:ind w:leftChars="-25" w:left="-53" w:rightChars="-25" w:right="-53"/>
            </w:pPr>
            <w:r>
              <w:t>261-121-11</w:t>
            </w:r>
          </w:p>
        </w:tc>
        <w:tc>
          <w:tcPr>
            <w:tcW w:w="4991" w:type="dxa"/>
            <w:noWrap/>
            <w:vAlign w:val="center"/>
          </w:tcPr>
          <w:p w14:paraId="517490D3" w14:textId="77777777" w:rsidR="002E474C" w:rsidRDefault="00000000">
            <w:pPr>
              <w:pStyle w:val="A-"/>
              <w:spacing w:line="260" w:lineRule="exact"/>
              <w:ind w:leftChars="-25" w:left="-53" w:rightChars="-25" w:right="-53"/>
              <w:rPr>
                <w:spacing w:val="-6"/>
              </w:rPr>
            </w:pPr>
            <w:r>
              <w:rPr>
                <w:spacing w:val="-11"/>
              </w:rPr>
              <w:t>甲苯苯甲酸法生产苯甲酰氯产品精制过程中产生的重馏分</w:t>
            </w:r>
          </w:p>
        </w:tc>
        <w:tc>
          <w:tcPr>
            <w:tcW w:w="663" w:type="dxa"/>
            <w:noWrap/>
            <w:vAlign w:val="center"/>
          </w:tcPr>
          <w:p w14:paraId="7FE4D8BF" w14:textId="77777777" w:rsidR="002E474C" w:rsidRDefault="00000000">
            <w:pPr>
              <w:pStyle w:val="A-"/>
              <w:spacing w:line="260" w:lineRule="exact"/>
            </w:pPr>
            <w:r>
              <w:t>T</w:t>
            </w:r>
          </w:p>
        </w:tc>
      </w:tr>
      <w:tr w:rsidR="002E474C" w14:paraId="47435909" w14:textId="77777777">
        <w:trPr>
          <w:trHeight w:val="300"/>
        </w:trPr>
        <w:tc>
          <w:tcPr>
            <w:tcW w:w="828" w:type="dxa"/>
            <w:vMerge/>
            <w:vAlign w:val="center"/>
          </w:tcPr>
          <w:p w14:paraId="2E2CC027" w14:textId="77777777" w:rsidR="002E474C" w:rsidRDefault="002E474C">
            <w:pPr>
              <w:pStyle w:val="A-"/>
              <w:spacing w:line="260" w:lineRule="exact"/>
            </w:pPr>
          </w:p>
        </w:tc>
        <w:tc>
          <w:tcPr>
            <w:tcW w:w="893" w:type="dxa"/>
            <w:vMerge/>
            <w:vAlign w:val="center"/>
          </w:tcPr>
          <w:p w14:paraId="05D471F0" w14:textId="77777777" w:rsidR="002E474C" w:rsidRDefault="002E474C">
            <w:pPr>
              <w:pStyle w:val="A-"/>
              <w:spacing w:line="260" w:lineRule="exact"/>
            </w:pPr>
          </w:p>
        </w:tc>
        <w:tc>
          <w:tcPr>
            <w:tcW w:w="1147" w:type="dxa"/>
            <w:noWrap/>
            <w:vAlign w:val="center"/>
          </w:tcPr>
          <w:p w14:paraId="4223A887" w14:textId="77777777" w:rsidR="002E474C" w:rsidRDefault="00000000">
            <w:pPr>
              <w:pStyle w:val="A-"/>
              <w:spacing w:line="260" w:lineRule="exact"/>
              <w:ind w:leftChars="-25" w:left="-53" w:rightChars="-25" w:right="-53"/>
            </w:pPr>
            <w:r>
              <w:t>261-122-11</w:t>
            </w:r>
          </w:p>
        </w:tc>
        <w:tc>
          <w:tcPr>
            <w:tcW w:w="4991" w:type="dxa"/>
            <w:noWrap/>
            <w:vAlign w:val="center"/>
          </w:tcPr>
          <w:p w14:paraId="6D05208D" w14:textId="77777777" w:rsidR="002E474C" w:rsidRDefault="00000000">
            <w:pPr>
              <w:pStyle w:val="A-"/>
              <w:spacing w:line="260" w:lineRule="exact"/>
            </w:pPr>
            <w:r>
              <w:t>甲苯连续光氯化法、无光热氯化法生产氯化苄过程中产生的重馏分</w:t>
            </w:r>
          </w:p>
        </w:tc>
        <w:tc>
          <w:tcPr>
            <w:tcW w:w="663" w:type="dxa"/>
            <w:noWrap/>
            <w:vAlign w:val="center"/>
          </w:tcPr>
          <w:p w14:paraId="78BEB56F" w14:textId="77777777" w:rsidR="002E474C" w:rsidRDefault="00000000">
            <w:pPr>
              <w:pStyle w:val="A-"/>
              <w:spacing w:line="260" w:lineRule="exact"/>
            </w:pPr>
            <w:r>
              <w:t>T</w:t>
            </w:r>
          </w:p>
        </w:tc>
      </w:tr>
      <w:tr w:rsidR="002E474C" w14:paraId="2B0E3E1E" w14:textId="77777777">
        <w:trPr>
          <w:trHeight w:val="300"/>
        </w:trPr>
        <w:tc>
          <w:tcPr>
            <w:tcW w:w="828" w:type="dxa"/>
            <w:vMerge/>
            <w:vAlign w:val="center"/>
          </w:tcPr>
          <w:p w14:paraId="7DBB95E4" w14:textId="77777777" w:rsidR="002E474C" w:rsidRDefault="002E474C">
            <w:pPr>
              <w:pStyle w:val="A-"/>
              <w:spacing w:line="260" w:lineRule="exact"/>
            </w:pPr>
          </w:p>
        </w:tc>
        <w:tc>
          <w:tcPr>
            <w:tcW w:w="893" w:type="dxa"/>
            <w:vMerge/>
            <w:vAlign w:val="center"/>
          </w:tcPr>
          <w:p w14:paraId="2072540D" w14:textId="77777777" w:rsidR="002E474C" w:rsidRDefault="002E474C">
            <w:pPr>
              <w:pStyle w:val="A-"/>
              <w:spacing w:line="260" w:lineRule="exact"/>
            </w:pPr>
          </w:p>
        </w:tc>
        <w:tc>
          <w:tcPr>
            <w:tcW w:w="1147" w:type="dxa"/>
            <w:noWrap/>
            <w:vAlign w:val="center"/>
          </w:tcPr>
          <w:p w14:paraId="5D0F32E3" w14:textId="77777777" w:rsidR="002E474C" w:rsidRDefault="00000000">
            <w:pPr>
              <w:pStyle w:val="A-"/>
              <w:spacing w:line="260" w:lineRule="exact"/>
              <w:ind w:leftChars="-25" w:left="-53" w:rightChars="-25" w:right="-53"/>
            </w:pPr>
            <w:r>
              <w:t>261-123-11</w:t>
            </w:r>
          </w:p>
        </w:tc>
        <w:tc>
          <w:tcPr>
            <w:tcW w:w="4991" w:type="dxa"/>
            <w:noWrap/>
            <w:vAlign w:val="center"/>
          </w:tcPr>
          <w:p w14:paraId="2B202933" w14:textId="77777777" w:rsidR="002E474C" w:rsidRDefault="00000000">
            <w:pPr>
              <w:pStyle w:val="A-"/>
              <w:spacing w:line="260" w:lineRule="exact"/>
            </w:pPr>
            <w:r>
              <w:t>偏二氯乙烯氢氯化法生产</w:t>
            </w:r>
            <w:r>
              <w:t xml:space="preserve"> 1,1,1-</w:t>
            </w:r>
            <w:r>
              <w:t>三氯乙烷过程中产生的重馏分</w:t>
            </w:r>
          </w:p>
        </w:tc>
        <w:tc>
          <w:tcPr>
            <w:tcW w:w="663" w:type="dxa"/>
            <w:noWrap/>
            <w:vAlign w:val="center"/>
          </w:tcPr>
          <w:p w14:paraId="0BD9513D" w14:textId="77777777" w:rsidR="002E474C" w:rsidRDefault="00000000">
            <w:pPr>
              <w:pStyle w:val="A-"/>
              <w:spacing w:line="260" w:lineRule="exact"/>
            </w:pPr>
            <w:r>
              <w:t>T</w:t>
            </w:r>
          </w:p>
        </w:tc>
      </w:tr>
      <w:tr w:rsidR="002E474C" w14:paraId="309DDECD" w14:textId="77777777">
        <w:trPr>
          <w:trHeight w:val="300"/>
        </w:trPr>
        <w:tc>
          <w:tcPr>
            <w:tcW w:w="828" w:type="dxa"/>
            <w:vMerge/>
            <w:vAlign w:val="center"/>
          </w:tcPr>
          <w:p w14:paraId="5C71DE23" w14:textId="77777777" w:rsidR="002E474C" w:rsidRDefault="002E474C">
            <w:pPr>
              <w:pStyle w:val="A-"/>
              <w:spacing w:line="260" w:lineRule="exact"/>
            </w:pPr>
          </w:p>
        </w:tc>
        <w:tc>
          <w:tcPr>
            <w:tcW w:w="893" w:type="dxa"/>
            <w:vMerge/>
            <w:vAlign w:val="center"/>
          </w:tcPr>
          <w:p w14:paraId="1763CB5F" w14:textId="77777777" w:rsidR="002E474C" w:rsidRDefault="002E474C">
            <w:pPr>
              <w:pStyle w:val="A-"/>
              <w:spacing w:line="260" w:lineRule="exact"/>
            </w:pPr>
          </w:p>
        </w:tc>
        <w:tc>
          <w:tcPr>
            <w:tcW w:w="1147" w:type="dxa"/>
            <w:noWrap/>
            <w:vAlign w:val="center"/>
          </w:tcPr>
          <w:p w14:paraId="6A7DA924" w14:textId="77777777" w:rsidR="002E474C" w:rsidRDefault="00000000">
            <w:pPr>
              <w:pStyle w:val="A-"/>
              <w:spacing w:line="260" w:lineRule="exact"/>
              <w:ind w:leftChars="-25" w:left="-53" w:rightChars="-25" w:right="-53"/>
            </w:pPr>
            <w:r>
              <w:t>261-124-11</w:t>
            </w:r>
          </w:p>
        </w:tc>
        <w:tc>
          <w:tcPr>
            <w:tcW w:w="4991" w:type="dxa"/>
            <w:noWrap/>
            <w:vAlign w:val="center"/>
          </w:tcPr>
          <w:p w14:paraId="71CEBBAB" w14:textId="77777777" w:rsidR="002E474C" w:rsidRDefault="00000000">
            <w:pPr>
              <w:pStyle w:val="A-"/>
              <w:spacing w:line="260" w:lineRule="exact"/>
            </w:pPr>
            <w:r>
              <w:t>醋酸丙烯酯法生产环氧氯丙烷过程中产生的重馏分</w:t>
            </w:r>
          </w:p>
        </w:tc>
        <w:tc>
          <w:tcPr>
            <w:tcW w:w="663" w:type="dxa"/>
            <w:noWrap/>
            <w:vAlign w:val="center"/>
          </w:tcPr>
          <w:p w14:paraId="2302770C" w14:textId="77777777" w:rsidR="002E474C" w:rsidRDefault="00000000">
            <w:pPr>
              <w:pStyle w:val="A-"/>
              <w:spacing w:line="260" w:lineRule="exact"/>
            </w:pPr>
            <w:r>
              <w:t>T</w:t>
            </w:r>
          </w:p>
        </w:tc>
      </w:tr>
      <w:tr w:rsidR="002E474C" w14:paraId="731E7148" w14:textId="77777777">
        <w:trPr>
          <w:trHeight w:val="300"/>
        </w:trPr>
        <w:tc>
          <w:tcPr>
            <w:tcW w:w="828" w:type="dxa"/>
            <w:vMerge/>
            <w:vAlign w:val="center"/>
          </w:tcPr>
          <w:p w14:paraId="33793757" w14:textId="77777777" w:rsidR="002E474C" w:rsidRDefault="002E474C">
            <w:pPr>
              <w:pStyle w:val="A-"/>
              <w:spacing w:line="260" w:lineRule="exact"/>
            </w:pPr>
          </w:p>
        </w:tc>
        <w:tc>
          <w:tcPr>
            <w:tcW w:w="893" w:type="dxa"/>
            <w:vMerge/>
            <w:vAlign w:val="center"/>
          </w:tcPr>
          <w:p w14:paraId="4C4CC86A" w14:textId="77777777" w:rsidR="002E474C" w:rsidRDefault="002E474C">
            <w:pPr>
              <w:pStyle w:val="A-"/>
              <w:spacing w:line="260" w:lineRule="exact"/>
            </w:pPr>
          </w:p>
        </w:tc>
        <w:tc>
          <w:tcPr>
            <w:tcW w:w="1147" w:type="dxa"/>
            <w:noWrap/>
            <w:vAlign w:val="center"/>
          </w:tcPr>
          <w:p w14:paraId="38B1731C" w14:textId="77777777" w:rsidR="002E474C" w:rsidRDefault="00000000">
            <w:pPr>
              <w:pStyle w:val="A-"/>
              <w:spacing w:line="260" w:lineRule="exact"/>
              <w:ind w:leftChars="-25" w:left="-53" w:rightChars="-25" w:right="-53"/>
            </w:pPr>
            <w:r>
              <w:t>261-125-11</w:t>
            </w:r>
          </w:p>
        </w:tc>
        <w:tc>
          <w:tcPr>
            <w:tcW w:w="4991" w:type="dxa"/>
            <w:noWrap/>
            <w:vAlign w:val="center"/>
          </w:tcPr>
          <w:p w14:paraId="0A99C288" w14:textId="77777777" w:rsidR="002E474C" w:rsidRDefault="00000000">
            <w:pPr>
              <w:pStyle w:val="A-"/>
              <w:spacing w:line="260" w:lineRule="exact"/>
            </w:pPr>
            <w:r>
              <w:rPr>
                <w:spacing w:val="-11"/>
              </w:rPr>
              <w:t>异戊烷</w:t>
            </w:r>
            <w:r>
              <w:rPr>
                <w:rFonts w:hint="eastAsia"/>
                <w:spacing w:val="-11"/>
              </w:rPr>
              <w:t>(</w:t>
            </w:r>
            <w:r>
              <w:rPr>
                <w:spacing w:val="-11"/>
              </w:rPr>
              <w:t>异戊烯</w:t>
            </w:r>
            <w:r>
              <w:rPr>
                <w:rFonts w:hint="eastAsia"/>
                <w:spacing w:val="-11"/>
              </w:rPr>
              <w:t>)</w:t>
            </w:r>
            <w:r>
              <w:rPr>
                <w:spacing w:val="-11"/>
              </w:rPr>
              <w:t>脱氢法生产异戊二烯过程中产生的重馏分</w:t>
            </w:r>
          </w:p>
        </w:tc>
        <w:tc>
          <w:tcPr>
            <w:tcW w:w="663" w:type="dxa"/>
            <w:noWrap/>
            <w:vAlign w:val="center"/>
          </w:tcPr>
          <w:p w14:paraId="47C88837" w14:textId="77777777" w:rsidR="002E474C" w:rsidRDefault="00000000">
            <w:pPr>
              <w:pStyle w:val="A-"/>
              <w:spacing w:line="260" w:lineRule="exact"/>
            </w:pPr>
            <w:r>
              <w:t>T</w:t>
            </w:r>
          </w:p>
        </w:tc>
      </w:tr>
      <w:tr w:rsidR="002E474C" w14:paraId="2F54D611" w14:textId="77777777">
        <w:trPr>
          <w:trHeight w:val="300"/>
        </w:trPr>
        <w:tc>
          <w:tcPr>
            <w:tcW w:w="828" w:type="dxa"/>
            <w:vMerge/>
            <w:vAlign w:val="center"/>
          </w:tcPr>
          <w:p w14:paraId="71ECC60C" w14:textId="77777777" w:rsidR="002E474C" w:rsidRDefault="002E474C">
            <w:pPr>
              <w:pStyle w:val="A-"/>
              <w:spacing w:line="260" w:lineRule="exact"/>
            </w:pPr>
          </w:p>
        </w:tc>
        <w:tc>
          <w:tcPr>
            <w:tcW w:w="893" w:type="dxa"/>
            <w:vMerge/>
            <w:vAlign w:val="center"/>
          </w:tcPr>
          <w:p w14:paraId="2376B3F8" w14:textId="77777777" w:rsidR="002E474C" w:rsidRDefault="002E474C">
            <w:pPr>
              <w:pStyle w:val="A-"/>
              <w:spacing w:line="260" w:lineRule="exact"/>
            </w:pPr>
          </w:p>
        </w:tc>
        <w:tc>
          <w:tcPr>
            <w:tcW w:w="1147" w:type="dxa"/>
            <w:noWrap/>
            <w:vAlign w:val="center"/>
          </w:tcPr>
          <w:p w14:paraId="1BE30371" w14:textId="77777777" w:rsidR="002E474C" w:rsidRDefault="00000000">
            <w:pPr>
              <w:pStyle w:val="A-"/>
              <w:spacing w:line="260" w:lineRule="exact"/>
              <w:ind w:leftChars="-25" w:left="-53" w:rightChars="-25" w:right="-53"/>
            </w:pPr>
            <w:r>
              <w:t>261-126-11</w:t>
            </w:r>
          </w:p>
        </w:tc>
        <w:tc>
          <w:tcPr>
            <w:tcW w:w="4991" w:type="dxa"/>
            <w:noWrap/>
            <w:vAlign w:val="center"/>
          </w:tcPr>
          <w:p w14:paraId="6F07D16D" w14:textId="77777777" w:rsidR="002E474C" w:rsidRDefault="00000000">
            <w:pPr>
              <w:pStyle w:val="A-"/>
              <w:spacing w:line="260" w:lineRule="exact"/>
            </w:pPr>
            <w:r>
              <w:t>化学合成法生产异戊二烯过程中产生的重馏分</w:t>
            </w:r>
          </w:p>
        </w:tc>
        <w:tc>
          <w:tcPr>
            <w:tcW w:w="663" w:type="dxa"/>
            <w:noWrap/>
            <w:vAlign w:val="center"/>
          </w:tcPr>
          <w:p w14:paraId="19FA3876" w14:textId="77777777" w:rsidR="002E474C" w:rsidRDefault="00000000">
            <w:pPr>
              <w:pStyle w:val="A-"/>
              <w:spacing w:line="260" w:lineRule="exact"/>
            </w:pPr>
            <w:r>
              <w:t>T</w:t>
            </w:r>
          </w:p>
        </w:tc>
      </w:tr>
      <w:tr w:rsidR="002E474C" w14:paraId="763953DB" w14:textId="77777777">
        <w:trPr>
          <w:trHeight w:val="300"/>
        </w:trPr>
        <w:tc>
          <w:tcPr>
            <w:tcW w:w="828" w:type="dxa"/>
            <w:vMerge/>
            <w:vAlign w:val="center"/>
          </w:tcPr>
          <w:p w14:paraId="64A523CA" w14:textId="77777777" w:rsidR="002E474C" w:rsidRDefault="002E474C">
            <w:pPr>
              <w:pStyle w:val="A-"/>
              <w:spacing w:line="260" w:lineRule="exact"/>
            </w:pPr>
          </w:p>
        </w:tc>
        <w:tc>
          <w:tcPr>
            <w:tcW w:w="893" w:type="dxa"/>
            <w:vMerge/>
            <w:vAlign w:val="center"/>
          </w:tcPr>
          <w:p w14:paraId="2E5ADF84" w14:textId="77777777" w:rsidR="002E474C" w:rsidRDefault="002E474C">
            <w:pPr>
              <w:pStyle w:val="A-"/>
              <w:spacing w:line="260" w:lineRule="exact"/>
            </w:pPr>
          </w:p>
        </w:tc>
        <w:tc>
          <w:tcPr>
            <w:tcW w:w="1147" w:type="dxa"/>
            <w:noWrap/>
            <w:vAlign w:val="center"/>
          </w:tcPr>
          <w:p w14:paraId="6F3D8A57" w14:textId="77777777" w:rsidR="002E474C" w:rsidRDefault="00000000">
            <w:pPr>
              <w:pStyle w:val="A-"/>
              <w:spacing w:line="260" w:lineRule="exact"/>
              <w:ind w:leftChars="-25" w:left="-53" w:rightChars="-25" w:right="-53"/>
            </w:pPr>
            <w:r>
              <w:t>261-127-11</w:t>
            </w:r>
          </w:p>
        </w:tc>
        <w:tc>
          <w:tcPr>
            <w:tcW w:w="4991" w:type="dxa"/>
            <w:noWrap/>
            <w:vAlign w:val="center"/>
          </w:tcPr>
          <w:p w14:paraId="26F11F12" w14:textId="77777777" w:rsidR="002E474C" w:rsidRDefault="00000000">
            <w:pPr>
              <w:pStyle w:val="A-"/>
              <w:spacing w:line="260" w:lineRule="exact"/>
            </w:pPr>
            <w:r>
              <w:t>碳五馏分分离生产异戊二烯过程中产生的重馏分</w:t>
            </w:r>
          </w:p>
        </w:tc>
        <w:tc>
          <w:tcPr>
            <w:tcW w:w="663" w:type="dxa"/>
            <w:noWrap/>
            <w:vAlign w:val="center"/>
          </w:tcPr>
          <w:p w14:paraId="0B41CBEF" w14:textId="77777777" w:rsidR="002E474C" w:rsidRDefault="00000000">
            <w:pPr>
              <w:pStyle w:val="A-"/>
              <w:spacing w:line="260" w:lineRule="exact"/>
            </w:pPr>
            <w:r>
              <w:t>T</w:t>
            </w:r>
          </w:p>
        </w:tc>
      </w:tr>
      <w:tr w:rsidR="002E474C" w14:paraId="58A4E445" w14:textId="77777777">
        <w:trPr>
          <w:trHeight w:val="300"/>
        </w:trPr>
        <w:tc>
          <w:tcPr>
            <w:tcW w:w="828" w:type="dxa"/>
            <w:vMerge/>
            <w:vAlign w:val="center"/>
          </w:tcPr>
          <w:p w14:paraId="1052F611" w14:textId="77777777" w:rsidR="002E474C" w:rsidRDefault="002E474C">
            <w:pPr>
              <w:pStyle w:val="A-"/>
              <w:spacing w:line="260" w:lineRule="exact"/>
            </w:pPr>
          </w:p>
        </w:tc>
        <w:tc>
          <w:tcPr>
            <w:tcW w:w="893" w:type="dxa"/>
            <w:vMerge/>
            <w:vAlign w:val="center"/>
          </w:tcPr>
          <w:p w14:paraId="59B6A73E" w14:textId="77777777" w:rsidR="002E474C" w:rsidRDefault="002E474C">
            <w:pPr>
              <w:pStyle w:val="A-"/>
              <w:spacing w:line="260" w:lineRule="exact"/>
            </w:pPr>
          </w:p>
        </w:tc>
        <w:tc>
          <w:tcPr>
            <w:tcW w:w="1147" w:type="dxa"/>
            <w:noWrap/>
            <w:vAlign w:val="center"/>
          </w:tcPr>
          <w:p w14:paraId="4F3AD0C9" w14:textId="77777777" w:rsidR="002E474C" w:rsidRDefault="00000000">
            <w:pPr>
              <w:pStyle w:val="A-"/>
              <w:spacing w:line="260" w:lineRule="exact"/>
              <w:ind w:leftChars="-25" w:left="-53" w:rightChars="-25" w:right="-53"/>
            </w:pPr>
            <w:r>
              <w:t>261-128-11</w:t>
            </w:r>
          </w:p>
        </w:tc>
        <w:tc>
          <w:tcPr>
            <w:tcW w:w="4991" w:type="dxa"/>
            <w:noWrap/>
            <w:vAlign w:val="center"/>
          </w:tcPr>
          <w:p w14:paraId="1E689201" w14:textId="77777777" w:rsidR="002E474C" w:rsidRDefault="00000000">
            <w:pPr>
              <w:pStyle w:val="A-"/>
              <w:spacing w:line="260" w:lineRule="exact"/>
            </w:pPr>
            <w:r>
              <w:t>合成气加压催化生产甲醇过程中产生的重馏分</w:t>
            </w:r>
          </w:p>
        </w:tc>
        <w:tc>
          <w:tcPr>
            <w:tcW w:w="663" w:type="dxa"/>
            <w:noWrap/>
            <w:vAlign w:val="center"/>
          </w:tcPr>
          <w:p w14:paraId="2CB5E1D1" w14:textId="77777777" w:rsidR="002E474C" w:rsidRDefault="00000000">
            <w:pPr>
              <w:pStyle w:val="A-"/>
              <w:spacing w:line="260" w:lineRule="exact"/>
            </w:pPr>
            <w:r>
              <w:t>T</w:t>
            </w:r>
          </w:p>
        </w:tc>
      </w:tr>
      <w:tr w:rsidR="002E474C" w14:paraId="1603FA1F" w14:textId="77777777">
        <w:trPr>
          <w:trHeight w:val="300"/>
        </w:trPr>
        <w:tc>
          <w:tcPr>
            <w:tcW w:w="828" w:type="dxa"/>
            <w:vMerge/>
            <w:vAlign w:val="center"/>
          </w:tcPr>
          <w:p w14:paraId="48D600A2" w14:textId="77777777" w:rsidR="002E474C" w:rsidRDefault="002E474C">
            <w:pPr>
              <w:pStyle w:val="A-"/>
              <w:spacing w:line="260" w:lineRule="exact"/>
            </w:pPr>
          </w:p>
        </w:tc>
        <w:tc>
          <w:tcPr>
            <w:tcW w:w="893" w:type="dxa"/>
            <w:vMerge/>
            <w:vAlign w:val="center"/>
          </w:tcPr>
          <w:p w14:paraId="54E33153" w14:textId="77777777" w:rsidR="002E474C" w:rsidRDefault="002E474C">
            <w:pPr>
              <w:pStyle w:val="A-"/>
              <w:spacing w:line="260" w:lineRule="exact"/>
            </w:pPr>
          </w:p>
        </w:tc>
        <w:tc>
          <w:tcPr>
            <w:tcW w:w="1147" w:type="dxa"/>
            <w:noWrap/>
            <w:vAlign w:val="center"/>
          </w:tcPr>
          <w:p w14:paraId="2AE81B44" w14:textId="77777777" w:rsidR="002E474C" w:rsidRDefault="00000000">
            <w:pPr>
              <w:pStyle w:val="A-"/>
              <w:spacing w:line="260" w:lineRule="exact"/>
              <w:ind w:leftChars="-25" w:left="-53" w:rightChars="-25" w:right="-53"/>
            </w:pPr>
            <w:r>
              <w:t>261-129-11</w:t>
            </w:r>
          </w:p>
        </w:tc>
        <w:tc>
          <w:tcPr>
            <w:tcW w:w="4991" w:type="dxa"/>
            <w:noWrap/>
            <w:vAlign w:val="center"/>
          </w:tcPr>
          <w:p w14:paraId="256AB893" w14:textId="77777777" w:rsidR="002E474C" w:rsidRDefault="00000000">
            <w:pPr>
              <w:pStyle w:val="A-"/>
              <w:spacing w:line="260" w:lineRule="exact"/>
            </w:pPr>
            <w:r>
              <w:t>水合法、发酵法生产乙醇过程中产生的重馏分</w:t>
            </w:r>
          </w:p>
        </w:tc>
        <w:tc>
          <w:tcPr>
            <w:tcW w:w="663" w:type="dxa"/>
            <w:noWrap/>
            <w:vAlign w:val="center"/>
          </w:tcPr>
          <w:p w14:paraId="0A37B413" w14:textId="77777777" w:rsidR="002E474C" w:rsidRDefault="00000000">
            <w:pPr>
              <w:pStyle w:val="A-"/>
              <w:spacing w:line="260" w:lineRule="exact"/>
            </w:pPr>
            <w:r>
              <w:t>T</w:t>
            </w:r>
          </w:p>
        </w:tc>
      </w:tr>
      <w:tr w:rsidR="002E474C" w14:paraId="3472E5CC" w14:textId="77777777">
        <w:trPr>
          <w:trHeight w:val="300"/>
        </w:trPr>
        <w:tc>
          <w:tcPr>
            <w:tcW w:w="828" w:type="dxa"/>
            <w:vMerge/>
            <w:vAlign w:val="center"/>
          </w:tcPr>
          <w:p w14:paraId="319F3A19" w14:textId="77777777" w:rsidR="002E474C" w:rsidRDefault="002E474C">
            <w:pPr>
              <w:pStyle w:val="A-"/>
              <w:spacing w:line="260" w:lineRule="exact"/>
            </w:pPr>
          </w:p>
        </w:tc>
        <w:tc>
          <w:tcPr>
            <w:tcW w:w="893" w:type="dxa"/>
            <w:vMerge/>
            <w:vAlign w:val="center"/>
          </w:tcPr>
          <w:p w14:paraId="4484ABD2" w14:textId="77777777" w:rsidR="002E474C" w:rsidRDefault="002E474C">
            <w:pPr>
              <w:pStyle w:val="A-"/>
              <w:spacing w:line="260" w:lineRule="exact"/>
            </w:pPr>
          </w:p>
        </w:tc>
        <w:tc>
          <w:tcPr>
            <w:tcW w:w="1147" w:type="dxa"/>
            <w:noWrap/>
            <w:vAlign w:val="center"/>
          </w:tcPr>
          <w:p w14:paraId="30C06FDB" w14:textId="77777777" w:rsidR="002E474C" w:rsidRDefault="00000000">
            <w:pPr>
              <w:pStyle w:val="A-"/>
              <w:spacing w:line="260" w:lineRule="exact"/>
              <w:ind w:leftChars="-25" w:left="-53" w:rightChars="-25" w:right="-53"/>
            </w:pPr>
            <w:r>
              <w:t>261-130-11</w:t>
            </w:r>
          </w:p>
        </w:tc>
        <w:tc>
          <w:tcPr>
            <w:tcW w:w="4991" w:type="dxa"/>
            <w:noWrap/>
            <w:vAlign w:val="center"/>
          </w:tcPr>
          <w:p w14:paraId="618FF2DB" w14:textId="77777777" w:rsidR="002E474C" w:rsidRDefault="00000000">
            <w:pPr>
              <w:pStyle w:val="A-"/>
              <w:spacing w:line="260" w:lineRule="exact"/>
            </w:pPr>
            <w:r>
              <w:t>环氧乙烷直接水合生产乙二醇过程中产生的重馏分</w:t>
            </w:r>
          </w:p>
        </w:tc>
        <w:tc>
          <w:tcPr>
            <w:tcW w:w="663" w:type="dxa"/>
            <w:noWrap/>
            <w:vAlign w:val="center"/>
          </w:tcPr>
          <w:p w14:paraId="6A64B4A4" w14:textId="77777777" w:rsidR="002E474C" w:rsidRDefault="00000000">
            <w:pPr>
              <w:pStyle w:val="A-"/>
              <w:spacing w:line="260" w:lineRule="exact"/>
            </w:pPr>
            <w:r>
              <w:t>T</w:t>
            </w:r>
          </w:p>
        </w:tc>
      </w:tr>
      <w:tr w:rsidR="002E474C" w14:paraId="6BD395B4" w14:textId="77777777">
        <w:trPr>
          <w:trHeight w:val="300"/>
        </w:trPr>
        <w:tc>
          <w:tcPr>
            <w:tcW w:w="828" w:type="dxa"/>
            <w:vMerge/>
            <w:vAlign w:val="center"/>
          </w:tcPr>
          <w:p w14:paraId="36E6A45E" w14:textId="77777777" w:rsidR="002E474C" w:rsidRDefault="002E474C">
            <w:pPr>
              <w:pStyle w:val="A-"/>
              <w:spacing w:line="260" w:lineRule="exact"/>
            </w:pPr>
          </w:p>
        </w:tc>
        <w:tc>
          <w:tcPr>
            <w:tcW w:w="893" w:type="dxa"/>
            <w:vMerge/>
            <w:vAlign w:val="center"/>
          </w:tcPr>
          <w:p w14:paraId="493C7B25" w14:textId="77777777" w:rsidR="002E474C" w:rsidRDefault="002E474C">
            <w:pPr>
              <w:pStyle w:val="A-"/>
              <w:spacing w:line="260" w:lineRule="exact"/>
            </w:pPr>
          </w:p>
        </w:tc>
        <w:tc>
          <w:tcPr>
            <w:tcW w:w="1147" w:type="dxa"/>
            <w:noWrap/>
            <w:vAlign w:val="center"/>
          </w:tcPr>
          <w:p w14:paraId="304D21D8" w14:textId="77777777" w:rsidR="002E474C" w:rsidRDefault="00000000">
            <w:pPr>
              <w:pStyle w:val="A-"/>
              <w:spacing w:line="260" w:lineRule="exact"/>
              <w:ind w:leftChars="-25" w:left="-53" w:rightChars="-25" w:right="-53"/>
            </w:pPr>
            <w:r>
              <w:t>261-131-11</w:t>
            </w:r>
          </w:p>
        </w:tc>
        <w:tc>
          <w:tcPr>
            <w:tcW w:w="4991" w:type="dxa"/>
            <w:noWrap/>
            <w:vAlign w:val="center"/>
          </w:tcPr>
          <w:p w14:paraId="1A18286C" w14:textId="77777777" w:rsidR="002E474C" w:rsidRDefault="00000000">
            <w:pPr>
              <w:pStyle w:val="A-"/>
              <w:spacing w:line="260" w:lineRule="exact"/>
            </w:pPr>
            <w:r>
              <w:t>乙醛缩合加氢生产丁二醇过程中产生的重馏分</w:t>
            </w:r>
          </w:p>
        </w:tc>
        <w:tc>
          <w:tcPr>
            <w:tcW w:w="663" w:type="dxa"/>
            <w:noWrap/>
            <w:vAlign w:val="center"/>
          </w:tcPr>
          <w:p w14:paraId="2BD37F9E" w14:textId="77777777" w:rsidR="002E474C" w:rsidRDefault="00000000">
            <w:pPr>
              <w:pStyle w:val="A-"/>
              <w:spacing w:line="260" w:lineRule="exact"/>
            </w:pPr>
            <w:r>
              <w:t>T</w:t>
            </w:r>
          </w:p>
        </w:tc>
      </w:tr>
      <w:tr w:rsidR="002E474C" w14:paraId="5BDB4188" w14:textId="77777777">
        <w:trPr>
          <w:trHeight w:val="300"/>
        </w:trPr>
        <w:tc>
          <w:tcPr>
            <w:tcW w:w="828" w:type="dxa"/>
            <w:vMerge/>
            <w:vAlign w:val="center"/>
          </w:tcPr>
          <w:p w14:paraId="2F231B45" w14:textId="77777777" w:rsidR="002E474C" w:rsidRDefault="002E474C">
            <w:pPr>
              <w:pStyle w:val="A-"/>
              <w:spacing w:line="260" w:lineRule="exact"/>
            </w:pPr>
          </w:p>
        </w:tc>
        <w:tc>
          <w:tcPr>
            <w:tcW w:w="893" w:type="dxa"/>
            <w:vMerge/>
            <w:vAlign w:val="center"/>
          </w:tcPr>
          <w:p w14:paraId="70D9E9B9" w14:textId="77777777" w:rsidR="002E474C" w:rsidRDefault="002E474C">
            <w:pPr>
              <w:pStyle w:val="A-"/>
              <w:spacing w:line="260" w:lineRule="exact"/>
            </w:pPr>
          </w:p>
        </w:tc>
        <w:tc>
          <w:tcPr>
            <w:tcW w:w="1147" w:type="dxa"/>
            <w:noWrap/>
            <w:vAlign w:val="center"/>
          </w:tcPr>
          <w:p w14:paraId="72E85F3B" w14:textId="77777777" w:rsidR="002E474C" w:rsidRDefault="00000000">
            <w:pPr>
              <w:pStyle w:val="A-"/>
              <w:spacing w:line="260" w:lineRule="exact"/>
              <w:ind w:leftChars="-25" w:left="-53" w:rightChars="-25" w:right="-53"/>
            </w:pPr>
            <w:r>
              <w:t>261-132-11</w:t>
            </w:r>
          </w:p>
        </w:tc>
        <w:tc>
          <w:tcPr>
            <w:tcW w:w="4991" w:type="dxa"/>
            <w:noWrap/>
            <w:vAlign w:val="center"/>
          </w:tcPr>
          <w:p w14:paraId="579A528B" w14:textId="77777777" w:rsidR="002E474C" w:rsidRDefault="00000000">
            <w:pPr>
              <w:pStyle w:val="A-"/>
              <w:spacing w:line="260" w:lineRule="exact"/>
            </w:pPr>
            <w:r>
              <w:t>乙醛氧化生产醋酸蒸馏过程中产生的重馏分</w:t>
            </w:r>
          </w:p>
        </w:tc>
        <w:tc>
          <w:tcPr>
            <w:tcW w:w="663" w:type="dxa"/>
            <w:noWrap/>
            <w:vAlign w:val="center"/>
          </w:tcPr>
          <w:p w14:paraId="565D7EEE" w14:textId="77777777" w:rsidR="002E474C" w:rsidRDefault="00000000">
            <w:pPr>
              <w:pStyle w:val="A-"/>
              <w:spacing w:line="260" w:lineRule="exact"/>
            </w:pPr>
            <w:r>
              <w:t>T</w:t>
            </w:r>
          </w:p>
        </w:tc>
      </w:tr>
      <w:tr w:rsidR="002E474C" w14:paraId="062107C6" w14:textId="77777777">
        <w:trPr>
          <w:trHeight w:val="300"/>
        </w:trPr>
        <w:tc>
          <w:tcPr>
            <w:tcW w:w="828" w:type="dxa"/>
            <w:vMerge/>
            <w:vAlign w:val="center"/>
          </w:tcPr>
          <w:p w14:paraId="056DECC8" w14:textId="77777777" w:rsidR="002E474C" w:rsidRDefault="002E474C">
            <w:pPr>
              <w:pStyle w:val="A-"/>
              <w:spacing w:line="260" w:lineRule="exact"/>
            </w:pPr>
          </w:p>
        </w:tc>
        <w:tc>
          <w:tcPr>
            <w:tcW w:w="893" w:type="dxa"/>
            <w:vMerge/>
            <w:vAlign w:val="center"/>
          </w:tcPr>
          <w:p w14:paraId="6521571F" w14:textId="77777777" w:rsidR="002E474C" w:rsidRDefault="002E474C">
            <w:pPr>
              <w:pStyle w:val="A-"/>
              <w:spacing w:line="260" w:lineRule="exact"/>
            </w:pPr>
          </w:p>
        </w:tc>
        <w:tc>
          <w:tcPr>
            <w:tcW w:w="1147" w:type="dxa"/>
            <w:noWrap/>
            <w:vAlign w:val="center"/>
          </w:tcPr>
          <w:p w14:paraId="4B182F61" w14:textId="77777777" w:rsidR="002E474C" w:rsidRDefault="00000000">
            <w:pPr>
              <w:pStyle w:val="A-"/>
              <w:spacing w:line="260" w:lineRule="exact"/>
              <w:ind w:leftChars="-25" w:left="-53" w:rightChars="-25" w:right="-53"/>
            </w:pPr>
            <w:r>
              <w:t>261-133-11</w:t>
            </w:r>
          </w:p>
        </w:tc>
        <w:tc>
          <w:tcPr>
            <w:tcW w:w="4991" w:type="dxa"/>
            <w:noWrap/>
            <w:vAlign w:val="center"/>
          </w:tcPr>
          <w:p w14:paraId="79DE8463" w14:textId="77777777" w:rsidR="002E474C" w:rsidRDefault="00000000">
            <w:pPr>
              <w:pStyle w:val="A-"/>
              <w:spacing w:line="260" w:lineRule="exact"/>
            </w:pPr>
            <w:r>
              <w:t>丁烷液相氧化生产醋酸过程中产生的重馏分</w:t>
            </w:r>
          </w:p>
        </w:tc>
        <w:tc>
          <w:tcPr>
            <w:tcW w:w="663" w:type="dxa"/>
            <w:noWrap/>
            <w:vAlign w:val="center"/>
          </w:tcPr>
          <w:p w14:paraId="6889B63C" w14:textId="77777777" w:rsidR="002E474C" w:rsidRDefault="00000000">
            <w:pPr>
              <w:pStyle w:val="A-"/>
              <w:spacing w:line="260" w:lineRule="exact"/>
            </w:pPr>
            <w:r>
              <w:t>T</w:t>
            </w:r>
          </w:p>
        </w:tc>
      </w:tr>
      <w:tr w:rsidR="002E474C" w14:paraId="67EEFA7C" w14:textId="77777777">
        <w:trPr>
          <w:trHeight w:val="300"/>
        </w:trPr>
        <w:tc>
          <w:tcPr>
            <w:tcW w:w="828" w:type="dxa"/>
            <w:vMerge/>
            <w:vAlign w:val="center"/>
          </w:tcPr>
          <w:p w14:paraId="3C33E097" w14:textId="77777777" w:rsidR="002E474C" w:rsidRDefault="002E474C">
            <w:pPr>
              <w:pStyle w:val="A-"/>
              <w:spacing w:line="260" w:lineRule="exact"/>
            </w:pPr>
          </w:p>
        </w:tc>
        <w:tc>
          <w:tcPr>
            <w:tcW w:w="893" w:type="dxa"/>
            <w:vMerge/>
            <w:vAlign w:val="center"/>
          </w:tcPr>
          <w:p w14:paraId="2D3BDA65" w14:textId="77777777" w:rsidR="002E474C" w:rsidRDefault="002E474C">
            <w:pPr>
              <w:pStyle w:val="A-"/>
              <w:spacing w:line="260" w:lineRule="exact"/>
            </w:pPr>
          </w:p>
        </w:tc>
        <w:tc>
          <w:tcPr>
            <w:tcW w:w="1147" w:type="dxa"/>
            <w:noWrap/>
            <w:vAlign w:val="center"/>
          </w:tcPr>
          <w:p w14:paraId="6C3630DA" w14:textId="77777777" w:rsidR="002E474C" w:rsidRDefault="00000000">
            <w:pPr>
              <w:pStyle w:val="A-"/>
              <w:spacing w:line="260" w:lineRule="exact"/>
              <w:ind w:leftChars="-25" w:left="-53" w:rightChars="-25" w:right="-53"/>
            </w:pPr>
            <w:r>
              <w:t>261-134-11</w:t>
            </w:r>
          </w:p>
        </w:tc>
        <w:tc>
          <w:tcPr>
            <w:tcW w:w="4991" w:type="dxa"/>
            <w:noWrap/>
            <w:vAlign w:val="center"/>
          </w:tcPr>
          <w:p w14:paraId="75FD0511" w14:textId="77777777" w:rsidR="002E474C" w:rsidRDefault="00000000">
            <w:pPr>
              <w:pStyle w:val="A-"/>
              <w:spacing w:line="260" w:lineRule="exact"/>
            </w:pPr>
            <w:r>
              <w:t>电石乙炔法生产醋酸乙烯酯过程中产生的重馏分</w:t>
            </w:r>
          </w:p>
        </w:tc>
        <w:tc>
          <w:tcPr>
            <w:tcW w:w="663" w:type="dxa"/>
            <w:noWrap/>
            <w:vAlign w:val="center"/>
          </w:tcPr>
          <w:p w14:paraId="06B85058" w14:textId="77777777" w:rsidR="002E474C" w:rsidRDefault="00000000">
            <w:pPr>
              <w:pStyle w:val="A-"/>
              <w:spacing w:line="260" w:lineRule="exact"/>
            </w:pPr>
            <w:r>
              <w:t>T</w:t>
            </w:r>
          </w:p>
        </w:tc>
      </w:tr>
      <w:tr w:rsidR="002E474C" w14:paraId="7BCDFCE5" w14:textId="77777777">
        <w:trPr>
          <w:trHeight w:val="300"/>
        </w:trPr>
        <w:tc>
          <w:tcPr>
            <w:tcW w:w="828" w:type="dxa"/>
            <w:vMerge/>
            <w:vAlign w:val="center"/>
          </w:tcPr>
          <w:p w14:paraId="560C61EE" w14:textId="77777777" w:rsidR="002E474C" w:rsidRDefault="002E474C">
            <w:pPr>
              <w:pStyle w:val="A-"/>
              <w:spacing w:line="260" w:lineRule="exact"/>
            </w:pPr>
          </w:p>
        </w:tc>
        <w:tc>
          <w:tcPr>
            <w:tcW w:w="893" w:type="dxa"/>
            <w:vMerge/>
            <w:vAlign w:val="center"/>
          </w:tcPr>
          <w:p w14:paraId="3415BD1B" w14:textId="77777777" w:rsidR="002E474C" w:rsidRDefault="002E474C">
            <w:pPr>
              <w:pStyle w:val="A-"/>
              <w:spacing w:line="260" w:lineRule="exact"/>
            </w:pPr>
          </w:p>
        </w:tc>
        <w:tc>
          <w:tcPr>
            <w:tcW w:w="1147" w:type="dxa"/>
            <w:noWrap/>
            <w:vAlign w:val="center"/>
          </w:tcPr>
          <w:p w14:paraId="41047FE3" w14:textId="77777777" w:rsidR="002E474C" w:rsidRDefault="00000000">
            <w:pPr>
              <w:pStyle w:val="A-"/>
              <w:spacing w:line="260" w:lineRule="exact"/>
              <w:ind w:leftChars="-25" w:left="-53" w:rightChars="-25" w:right="-53"/>
            </w:pPr>
            <w:r>
              <w:t>261-135-11</w:t>
            </w:r>
          </w:p>
        </w:tc>
        <w:tc>
          <w:tcPr>
            <w:tcW w:w="4991" w:type="dxa"/>
            <w:noWrap/>
            <w:vAlign w:val="center"/>
          </w:tcPr>
          <w:p w14:paraId="64AB0174" w14:textId="77777777" w:rsidR="002E474C" w:rsidRDefault="00000000">
            <w:pPr>
              <w:pStyle w:val="A-"/>
              <w:spacing w:line="260" w:lineRule="exact"/>
            </w:pPr>
            <w:r>
              <w:t>氢氰酸法生产原甲酸三甲酯过程中产生的重馏分</w:t>
            </w:r>
          </w:p>
        </w:tc>
        <w:tc>
          <w:tcPr>
            <w:tcW w:w="663" w:type="dxa"/>
            <w:noWrap/>
            <w:vAlign w:val="center"/>
          </w:tcPr>
          <w:p w14:paraId="0F639EC1" w14:textId="77777777" w:rsidR="002E474C" w:rsidRDefault="00000000">
            <w:pPr>
              <w:pStyle w:val="A-"/>
              <w:spacing w:line="260" w:lineRule="exact"/>
            </w:pPr>
            <w:r>
              <w:t>T</w:t>
            </w:r>
          </w:p>
        </w:tc>
      </w:tr>
      <w:tr w:rsidR="002E474C" w14:paraId="2AC9E0D0" w14:textId="77777777">
        <w:trPr>
          <w:trHeight w:val="300"/>
        </w:trPr>
        <w:tc>
          <w:tcPr>
            <w:tcW w:w="828" w:type="dxa"/>
            <w:vMerge/>
            <w:vAlign w:val="center"/>
          </w:tcPr>
          <w:p w14:paraId="286BD288" w14:textId="77777777" w:rsidR="002E474C" w:rsidRDefault="002E474C">
            <w:pPr>
              <w:pStyle w:val="A-"/>
              <w:spacing w:line="260" w:lineRule="exact"/>
            </w:pPr>
          </w:p>
        </w:tc>
        <w:tc>
          <w:tcPr>
            <w:tcW w:w="893" w:type="dxa"/>
            <w:vMerge/>
            <w:vAlign w:val="center"/>
          </w:tcPr>
          <w:p w14:paraId="4B787044" w14:textId="77777777" w:rsidR="002E474C" w:rsidRDefault="002E474C">
            <w:pPr>
              <w:pStyle w:val="A-"/>
              <w:spacing w:line="260" w:lineRule="exact"/>
            </w:pPr>
          </w:p>
        </w:tc>
        <w:tc>
          <w:tcPr>
            <w:tcW w:w="1147" w:type="dxa"/>
            <w:noWrap/>
            <w:vAlign w:val="center"/>
          </w:tcPr>
          <w:p w14:paraId="6677B7C5" w14:textId="77777777" w:rsidR="002E474C" w:rsidRDefault="00000000">
            <w:pPr>
              <w:pStyle w:val="A-"/>
              <w:spacing w:line="260" w:lineRule="exact"/>
              <w:ind w:leftChars="-25" w:left="-53" w:rightChars="-25" w:right="-53"/>
            </w:pPr>
            <w:r>
              <w:t>261-136-11</w:t>
            </w:r>
          </w:p>
        </w:tc>
        <w:tc>
          <w:tcPr>
            <w:tcW w:w="4991" w:type="dxa"/>
            <w:noWrap/>
            <w:vAlign w:val="center"/>
          </w:tcPr>
          <w:p w14:paraId="19D1DCF5" w14:textId="77777777" w:rsidR="002E474C" w:rsidRDefault="00000000">
            <w:pPr>
              <w:pStyle w:val="A-"/>
              <w:spacing w:line="260" w:lineRule="exact"/>
            </w:pPr>
            <w:r>
              <w:t>β-</w:t>
            </w:r>
            <w:r>
              <w:t>苯胺乙醇法生产靛蓝过程中产生的重馏分</w:t>
            </w:r>
          </w:p>
        </w:tc>
        <w:tc>
          <w:tcPr>
            <w:tcW w:w="663" w:type="dxa"/>
            <w:noWrap/>
            <w:vAlign w:val="center"/>
          </w:tcPr>
          <w:p w14:paraId="2316550F" w14:textId="77777777" w:rsidR="002E474C" w:rsidRDefault="00000000">
            <w:pPr>
              <w:pStyle w:val="A-"/>
              <w:spacing w:line="260" w:lineRule="exact"/>
            </w:pPr>
            <w:r>
              <w:t>T</w:t>
            </w:r>
          </w:p>
        </w:tc>
      </w:tr>
      <w:tr w:rsidR="002E474C" w14:paraId="7DCB64F4" w14:textId="77777777">
        <w:trPr>
          <w:trHeight w:val="300"/>
        </w:trPr>
        <w:tc>
          <w:tcPr>
            <w:tcW w:w="828" w:type="dxa"/>
            <w:vMerge/>
            <w:vAlign w:val="center"/>
          </w:tcPr>
          <w:p w14:paraId="1DC26687" w14:textId="77777777" w:rsidR="002E474C" w:rsidRDefault="002E474C">
            <w:pPr>
              <w:pStyle w:val="A-"/>
              <w:spacing w:line="260" w:lineRule="exact"/>
            </w:pPr>
          </w:p>
        </w:tc>
        <w:tc>
          <w:tcPr>
            <w:tcW w:w="893" w:type="dxa"/>
            <w:noWrap/>
            <w:vAlign w:val="center"/>
          </w:tcPr>
          <w:p w14:paraId="45E41026" w14:textId="77777777" w:rsidR="002E474C" w:rsidRDefault="00000000">
            <w:pPr>
              <w:pStyle w:val="A-"/>
              <w:spacing w:line="260" w:lineRule="exact"/>
              <w:ind w:leftChars="-25" w:left="-53" w:rightChars="-25" w:right="-53"/>
            </w:pPr>
            <w:r>
              <w:rPr>
                <w:spacing w:val="-11"/>
              </w:rPr>
              <w:t>石墨及其他非金属矿物制品制造</w:t>
            </w:r>
          </w:p>
        </w:tc>
        <w:tc>
          <w:tcPr>
            <w:tcW w:w="1147" w:type="dxa"/>
            <w:noWrap/>
            <w:vAlign w:val="center"/>
          </w:tcPr>
          <w:p w14:paraId="594C6A1B" w14:textId="77777777" w:rsidR="002E474C" w:rsidRDefault="00000000">
            <w:pPr>
              <w:pStyle w:val="A-"/>
              <w:spacing w:line="260" w:lineRule="exact"/>
              <w:ind w:leftChars="-25" w:left="-53" w:rightChars="-25" w:right="-53"/>
            </w:pPr>
            <w:r>
              <w:t>309-001-11</w:t>
            </w:r>
          </w:p>
        </w:tc>
        <w:tc>
          <w:tcPr>
            <w:tcW w:w="4991" w:type="dxa"/>
            <w:noWrap/>
            <w:vAlign w:val="center"/>
          </w:tcPr>
          <w:p w14:paraId="638F61A7" w14:textId="77777777" w:rsidR="002E474C" w:rsidRDefault="00000000">
            <w:pPr>
              <w:pStyle w:val="A-"/>
              <w:spacing w:line="260" w:lineRule="exact"/>
            </w:pPr>
            <w:r>
              <w:t>电解铝及其他有色金属电解精炼过程中预焙阳极、碳块及其它碳素制品制造过程烟气处理所产生的含焦油废物</w:t>
            </w:r>
          </w:p>
        </w:tc>
        <w:tc>
          <w:tcPr>
            <w:tcW w:w="663" w:type="dxa"/>
            <w:noWrap/>
            <w:vAlign w:val="center"/>
          </w:tcPr>
          <w:p w14:paraId="0EA22753" w14:textId="77777777" w:rsidR="002E474C" w:rsidRDefault="00000000">
            <w:pPr>
              <w:pStyle w:val="A-"/>
              <w:spacing w:line="260" w:lineRule="exact"/>
            </w:pPr>
            <w:r>
              <w:t>T</w:t>
            </w:r>
          </w:p>
        </w:tc>
      </w:tr>
      <w:tr w:rsidR="002E474C" w14:paraId="69417211" w14:textId="77777777">
        <w:trPr>
          <w:trHeight w:val="300"/>
        </w:trPr>
        <w:tc>
          <w:tcPr>
            <w:tcW w:w="828" w:type="dxa"/>
            <w:vMerge/>
            <w:vAlign w:val="center"/>
          </w:tcPr>
          <w:p w14:paraId="7EECE19E" w14:textId="77777777" w:rsidR="002E474C" w:rsidRDefault="002E474C">
            <w:pPr>
              <w:pStyle w:val="A-"/>
              <w:spacing w:line="260" w:lineRule="exact"/>
            </w:pPr>
          </w:p>
        </w:tc>
        <w:tc>
          <w:tcPr>
            <w:tcW w:w="893" w:type="dxa"/>
            <w:noWrap/>
            <w:vAlign w:val="center"/>
          </w:tcPr>
          <w:p w14:paraId="609869B3" w14:textId="77777777" w:rsidR="002E474C" w:rsidRDefault="00000000">
            <w:pPr>
              <w:pStyle w:val="A-"/>
              <w:spacing w:line="260" w:lineRule="exact"/>
            </w:pPr>
            <w:r>
              <w:t>环境</w:t>
            </w:r>
          </w:p>
          <w:p w14:paraId="521BE93E" w14:textId="77777777" w:rsidR="002E474C" w:rsidRDefault="00000000">
            <w:pPr>
              <w:pStyle w:val="A-"/>
              <w:spacing w:line="260" w:lineRule="exact"/>
            </w:pPr>
            <w:r>
              <w:t>治理业</w:t>
            </w:r>
          </w:p>
        </w:tc>
        <w:tc>
          <w:tcPr>
            <w:tcW w:w="1147" w:type="dxa"/>
            <w:noWrap/>
            <w:vAlign w:val="center"/>
          </w:tcPr>
          <w:p w14:paraId="13CFDAF9" w14:textId="77777777" w:rsidR="002E474C" w:rsidRDefault="00000000">
            <w:pPr>
              <w:pStyle w:val="A-"/>
              <w:spacing w:line="260" w:lineRule="exact"/>
              <w:ind w:leftChars="-25" w:left="-53" w:rightChars="-25" w:right="-53"/>
            </w:pPr>
            <w:r>
              <w:t>772-001-11</w:t>
            </w:r>
          </w:p>
        </w:tc>
        <w:tc>
          <w:tcPr>
            <w:tcW w:w="4991" w:type="dxa"/>
            <w:noWrap/>
            <w:vAlign w:val="center"/>
          </w:tcPr>
          <w:p w14:paraId="28104811" w14:textId="77777777" w:rsidR="002E474C" w:rsidRDefault="00000000">
            <w:pPr>
              <w:pStyle w:val="A-"/>
              <w:spacing w:line="260" w:lineRule="exact"/>
            </w:pPr>
            <w:r>
              <w:t>废矿物油再生过程中产生的酸焦油</w:t>
            </w:r>
          </w:p>
        </w:tc>
        <w:tc>
          <w:tcPr>
            <w:tcW w:w="663" w:type="dxa"/>
            <w:noWrap/>
            <w:vAlign w:val="center"/>
          </w:tcPr>
          <w:p w14:paraId="13A98434" w14:textId="77777777" w:rsidR="002E474C" w:rsidRDefault="00000000">
            <w:pPr>
              <w:pStyle w:val="A-"/>
              <w:spacing w:line="260" w:lineRule="exact"/>
            </w:pPr>
            <w:r>
              <w:t>T</w:t>
            </w:r>
          </w:p>
        </w:tc>
      </w:tr>
      <w:tr w:rsidR="002E474C" w14:paraId="06A692D0" w14:textId="77777777">
        <w:trPr>
          <w:trHeight w:val="300"/>
        </w:trPr>
        <w:tc>
          <w:tcPr>
            <w:tcW w:w="828" w:type="dxa"/>
            <w:vMerge/>
            <w:vAlign w:val="center"/>
          </w:tcPr>
          <w:p w14:paraId="0EC1D257" w14:textId="77777777" w:rsidR="002E474C" w:rsidRDefault="002E474C">
            <w:pPr>
              <w:pStyle w:val="A-"/>
              <w:spacing w:line="260" w:lineRule="exact"/>
            </w:pPr>
          </w:p>
        </w:tc>
        <w:tc>
          <w:tcPr>
            <w:tcW w:w="893" w:type="dxa"/>
            <w:noWrap/>
            <w:vAlign w:val="center"/>
          </w:tcPr>
          <w:p w14:paraId="3CAF171E" w14:textId="77777777" w:rsidR="002E474C" w:rsidRDefault="00000000">
            <w:pPr>
              <w:pStyle w:val="A-"/>
              <w:spacing w:line="260" w:lineRule="exact"/>
            </w:pPr>
            <w:r>
              <w:t>非特定行业</w:t>
            </w:r>
          </w:p>
        </w:tc>
        <w:tc>
          <w:tcPr>
            <w:tcW w:w="1147" w:type="dxa"/>
            <w:noWrap/>
            <w:vAlign w:val="center"/>
          </w:tcPr>
          <w:p w14:paraId="2416A6A1" w14:textId="77777777" w:rsidR="002E474C" w:rsidRDefault="00000000">
            <w:pPr>
              <w:pStyle w:val="A-"/>
              <w:spacing w:line="260" w:lineRule="exact"/>
              <w:ind w:leftChars="-25" w:left="-53" w:rightChars="-25" w:right="-53"/>
            </w:pPr>
            <w:r>
              <w:t>900-013-11</w:t>
            </w:r>
          </w:p>
        </w:tc>
        <w:tc>
          <w:tcPr>
            <w:tcW w:w="4991" w:type="dxa"/>
            <w:noWrap/>
            <w:vAlign w:val="center"/>
          </w:tcPr>
          <w:p w14:paraId="140321F8" w14:textId="77777777" w:rsidR="002E474C" w:rsidRDefault="00000000">
            <w:pPr>
              <w:pStyle w:val="A-"/>
              <w:spacing w:line="260" w:lineRule="exact"/>
              <w:ind w:leftChars="-25" w:left="-53" w:rightChars="-25" w:right="-53"/>
            </w:pPr>
            <w:r>
              <w:rPr>
                <w:spacing w:val="-6"/>
              </w:rPr>
              <w:t>其他化工生产过程（不包括以生物质为主要原料的加工过程）</w:t>
            </w:r>
            <w:r>
              <w:rPr>
                <w:spacing w:val="-6"/>
              </w:rPr>
              <w:t xml:space="preserve"> </w:t>
            </w:r>
            <w:r>
              <w:rPr>
                <w:spacing w:val="-6"/>
              </w:rPr>
              <w:t>中精馏、蒸馏和热解工艺产生的高沸点釜底残余物</w:t>
            </w:r>
          </w:p>
        </w:tc>
        <w:tc>
          <w:tcPr>
            <w:tcW w:w="663" w:type="dxa"/>
            <w:noWrap/>
            <w:vAlign w:val="center"/>
          </w:tcPr>
          <w:p w14:paraId="573AD267" w14:textId="77777777" w:rsidR="002E474C" w:rsidRDefault="00000000">
            <w:pPr>
              <w:pStyle w:val="A-"/>
              <w:spacing w:line="260" w:lineRule="exact"/>
            </w:pPr>
            <w:r>
              <w:t>T</w:t>
            </w:r>
          </w:p>
        </w:tc>
      </w:tr>
      <w:tr w:rsidR="002E474C" w14:paraId="608D68A2" w14:textId="77777777">
        <w:trPr>
          <w:trHeight w:val="300"/>
        </w:trPr>
        <w:tc>
          <w:tcPr>
            <w:tcW w:w="828" w:type="dxa"/>
            <w:vMerge w:val="restart"/>
            <w:noWrap/>
            <w:vAlign w:val="center"/>
          </w:tcPr>
          <w:p w14:paraId="3F5ADD6D" w14:textId="77777777" w:rsidR="002E474C" w:rsidRDefault="00000000">
            <w:pPr>
              <w:pStyle w:val="A-"/>
              <w:spacing w:line="260" w:lineRule="exact"/>
            </w:pPr>
            <w:r>
              <w:t>HW12</w:t>
            </w:r>
            <w:r>
              <w:br/>
            </w:r>
            <w:r>
              <w:t>染料、涂料废物</w:t>
            </w:r>
          </w:p>
        </w:tc>
        <w:tc>
          <w:tcPr>
            <w:tcW w:w="893" w:type="dxa"/>
            <w:vMerge w:val="restart"/>
            <w:noWrap/>
            <w:vAlign w:val="center"/>
          </w:tcPr>
          <w:p w14:paraId="1BED6A5A" w14:textId="77777777" w:rsidR="002E474C" w:rsidRDefault="00000000">
            <w:pPr>
              <w:pStyle w:val="A-"/>
              <w:spacing w:line="260" w:lineRule="exact"/>
            </w:pPr>
            <w:r>
              <w:t>涂料、油墨、颜料及类似产品制造</w:t>
            </w:r>
          </w:p>
        </w:tc>
        <w:tc>
          <w:tcPr>
            <w:tcW w:w="1147" w:type="dxa"/>
            <w:noWrap/>
            <w:vAlign w:val="center"/>
          </w:tcPr>
          <w:p w14:paraId="7E15CAAB" w14:textId="77777777" w:rsidR="002E474C" w:rsidRDefault="00000000">
            <w:pPr>
              <w:pStyle w:val="A-"/>
              <w:spacing w:line="260" w:lineRule="exact"/>
              <w:ind w:leftChars="-25" w:left="-53" w:rightChars="-25" w:right="-53"/>
            </w:pPr>
            <w:r>
              <w:t>264-002-12</w:t>
            </w:r>
          </w:p>
        </w:tc>
        <w:tc>
          <w:tcPr>
            <w:tcW w:w="4991" w:type="dxa"/>
            <w:noWrap/>
            <w:vAlign w:val="center"/>
          </w:tcPr>
          <w:p w14:paraId="250D095E" w14:textId="77777777" w:rsidR="002E474C" w:rsidRDefault="00000000">
            <w:pPr>
              <w:pStyle w:val="A-"/>
              <w:spacing w:line="260" w:lineRule="exact"/>
            </w:pPr>
            <w:r>
              <w:t>铬黄和铬橙颜料生产过程中产生的废水处理污泥</w:t>
            </w:r>
          </w:p>
        </w:tc>
        <w:tc>
          <w:tcPr>
            <w:tcW w:w="663" w:type="dxa"/>
            <w:noWrap/>
            <w:vAlign w:val="center"/>
          </w:tcPr>
          <w:p w14:paraId="002D2FBF" w14:textId="77777777" w:rsidR="002E474C" w:rsidRDefault="00000000">
            <w:pPr>
              <w:pStyle w:val="A-"/>
              <w:spacing w:line="260" w:lineRule="exact"/>
            </w:pPr>
            <w:r>
              <w:t>T</w:t>
            </w:r>
          </w:p>
        </w:tc>
      </w:tr>
      <w:tr w:rsidR="002E474C" w14:paraId="46D7D764" w14:textId="77777777">
        <w:trPr>
          <w:trHeight w:val="300"/>
        </w:trPr>
        <w:tc>
          <w:tcPr>
            <w:tcW w:w="828" w:type="dxa"/>
            <w:vMerge/>
            <w:vAlign w:val="center"/>
          </w:tcPr>
          <w:p w14:paraId="2BF3FC2D" w14:textId="77777777" w:rsidR="002E474C" w:rsidRDefault="002E474C">
            <w:pPr>
              <w:pStyle w:val="A-"/>
              <w:spacing w:line="260" w:lineRule="exact"/>
            </w:pPr>
          </w:p>
        </w:tc>
        <w:tc>
          <w:tcPr>
            <w:tcW w:w="893" w:type="dxa"/>
            <w:vMerge/>
            <w:vAlign w:val="center"/>
          </w:tcPr>
          <w:p w14:paraId="4A1E0CBC" w14:textId="77777777" w:rsidR="002E474C" w:rsidRDefault="002E474C">
            <w:pPr>
              <w:pStyle w:val="A-"/>
              <w:spacing w:line="260" w:lineRule="exact"/>
            </w:pPr>
          </w:p>
        </w:tc>
        <w:tc>
          <w:tcPr>
            <w:tcW w:w="1147" w:type="dxa"/>
            <w:noWrap/>
            <w:vAlign w:val="center"/>
          </w:tcPr>
          <w:p w14:paraId="7DDB5F96" w14:textId="77777777" w:rsidR="002E474C" w:rsidRDefault="00000000">
            <w:pPr>
              <w:pStyle w:val="A-"/>
              <w:spacing w:line="260" w:lineRule="exact"/>
              <w:ind w:leftChars="-25" w:left="-53" w:rightChars="-25" w:right="-53"/>
            </w:pPr>
            <w:r>
              <w:t>264-003-12</w:t>
            </w:r>
          </w:p>
        </w:tc>
        <w:tc>
          <w:tcPr>
            <w:tcW w:w="4991" w:type="dxa"/>
            <w:noWrap/>
            <w:vAlign w:val="center"/>
          </w:tcPr>
          <w:p w14:paraId="63EEEEC8" w14:textId="77777777" w:rsidR="002E474C" w:rsidRDefault="00000000">
            <w:pPr>
              <w:pStyle w:val="A-"/>
              <w:spacing w:line="260" w:lineRule="exact"/>
            </w:pPr>
            <w:r>
              <w:t>钼酸橙颜料生产过程中产生的废水处理污泥</w:t>
            </w:r>
          </w:p>
        </w:tc>
        <w:tc>
          <w:tcPr>
            <w:tcW w:w="663" w:type="dxa"/>
            <w:noWrap/>
            <w:vAlign w:val="center"/>
          </w:tcPr>
          <w:p w14:paraId="604B6112" w14:textId="77777777" w:rsidR="002E474C" w:rsidRDefault="00000000">
            <w:pPr>
              <w:pStyle w:val="A-"/>
              <w:spacing w:line="260" w:lineRule="exact"/>
            </w:pPr>
            <w:r>
              <w:t>T</w:t>
            </w:r>
          </w:p>
        </w:tc>
      </w:tr>
      <w:tr w:rsidR="002E474C" w14:paraId="2C58497E" w14:textId="77777777">
        <w:trPr>
          <w:trHeight w:val="300"/>
        </w:trPr>
        <w:tc>
          <w:tcPr>
            <w:tcW w:w="828" w:type="dxa"/>
            <w:vMerge/>
            <w:vAlign w:val="center"/>
          </w:tcPr>
          <w:p w14:paraId="616EE7B9" w14:textId="77777777" w:rsidR="002E474C" w:rsidRDefault="002E474C">
            <w:pPr>
              <w:pStyle w:val="A-"/>
              <w:spacing w:line="260" w:lineRule="exact"/>
            </w:pPr>
          </w:p>
        </w:tc>
        <w:tc>
          <w:tcPr>
            <w:tcW w:w="893" w:type="dxa"/>
            <w:vMerge/>
            <w:vAlign w:val="center"/>
          </w:tcPr>
          <w:p w14:paraId="76BCA096" w14:textId="77777777" w:rsidR="002E474C" w:rsidRDefault="002E474C">
            <w:pPr>
              <w:pStyle w:val="A-"/>
              <w:spacing w:line="260" w:lineRule="exact"/>
            </w:pPr>
          </w:p>
        </w:tc>
        <w:tc>
          <w:tcPr>
            <w:tcW w:w="1147" w:type="dxa"/>
            <w:noWrap/>
            <w:vAlign w:val="center"/>
          </w:tcPr>
          <w:p w14:paraId="3D69886A" w14:textId="77777777" w:rsidR="002E474C" w:rsidRDefault="00000000">
            <w:pPr>
              <w:pStyle w:val="A-"/>
              <w:spacing w:line="260" w:lineRule="exact"/>
              <w:ind w:leftChars="-25" w:left="-53" w:rightChars="-25" w:right="-53"/>
            </w:pPr>
            <w:r>
              <w:t>264-004-12</w:t>
            </w:r>
          </w:p>
        </w:tc>
        <w:tc>
          <w:tcPr>
            <w:tcW w:w="4991" w:type="dxa"/>
            <w:noWrap/>
            <w:vAlign w:val="center"/>
          </w:tcPr>
          <w:p w14:paraId="14A30FF8" w14:textId="77777777" w:rsidR="002E474C" w:rsidRDefault="00000000">
            <w:pPr>
              <w:pStyle w:val="A-"/>
              <w:spacing w:line="260" w:lineRule="exact"/>
            </w:pPr>
            <w:r>
              <w:t>锌黄颜料生产过程中产生的废水处理污泥</w:t>
            </w:r>
          </w:p>
        </w:tc>
        <w:tc>
          <w:tcPr>
            <w:tcW w:w="663" w:type="dxa"/>
            <w:noWrap/>
            <w:vAlign w:val="center"/>
          </w:tcPr>
          <w:p w14:paraId="4EA85F2E" w14:textId="77777777" w:rsidR="002E474C" w:rsidRDefault="00000000">
            <w:pPr>
              <w:pStyle w:val="A-"/>
              <w:spacing w:line="260" w:lineRule="exact"/>
            </w:pPr>
            <w:r>
              <w:t>T</w:t>
            </w:r>
          </w:p>
        </w:tc>
      </w:tr>
      <w:tr w:rsidR="002E474C" w14:paraId="168C8F64" w14:textId="77777777">
        <w:trPr>
          <w:trHeight w:val="300"/>
        </w:trPr>
        <w:tc>
          <w:tcPr>
            <w:tcW w:w="828" w:type="dxa"/>
            <w:vMerge/>
            <w:vAlign w:val="center"/>
          </w:tcPr>
          <w:p w14:paraId="5208422F" w14:textId="77777777" w:rsidR="002E474C" w:rsidRDefault="002E474C">
            <w:pPr>
              <w:pStyle w:val="A-"/>
              <w:spacing w:line="260" w:lineRule="exact"/>
            </w:pPr>
          </w:p>
        </w:tc>
        <w:tc>
          <w:tcPr>
            <w:tcW w:w="893" w:type="dxa"/>
            <w:vMerge/>
            <w:vAlign w:val="center"/>
          </w:tcPr>
          <w:p w14:paraId="21DFF5FE" w14:textId="77777777" w:rsidR="002E474C" w:rsidRDefault="002E474C">
            <w:pPr>
              <w:pStyle w:val="A-"/>
              <w:spacing w:line="260" w:lineRule="exact"/>
            </w:pPr>
          </w:p>
        </w:tc>
        <w:tc>
          <w:tcPr>
            <w:tcW w:w="1147" w:type="dxa"/>
            <w:noWrap/>
            <w:vAlign w:val="center"/>
          </w:tcPr>
          <w:p w14:paraId="27ECE0D9" w14:textId="77777777" w:rsidR="002E474C" w:rsidRDefault="00000000">
            <w:pPr>
              <w:pStyle w:val="A-"/>
              <w:spacing w:line="260" w:lineRule="exact"/>
              <w:ind w:leftChars="-25" w:left="-53" w:rightChars="-25" w:right="-53"/>
            </w:pPr>
            <w:r>
              <w:t>264-005-12</w:t>
            </w:r>
          </w:p>
        </w:tc>
        <w:tc>
          <w:tcPr>
            <w:tcW w:w="4991" w:type="dxa"/>
            <w:noWrap/>
            <w:vAlign w:val="center"/>
          </w:tcPr>
          <w:p w14:paraId="457ABAED" w14:textId="77777777" w:rsidR="002E474C" w:rsidRDefault="00000000">
            <w:pPr>
              <w:pStyle w:val="A-"/>
              <w:spacing w:line="260" w:lineRule="exact"/>
            </w:pPr>
            <w:r>
              <w:t>铬绿颜料生产过程中产生的废水处理污泥</w:t>
            </w:r>
          </w:p>
        </w:tc>
        <w:tc>
          <w:tcPr>
            <w:tcW w:w="663" w:type="dxa"/>
            <w:noWrap/>
            <w:vAlign w:val="center"/>
          </w:tcPr>
          <w:p w14:paraId="1061E4A0" w14:textId="77777777" w:rsidR="002E474C" w:rsidRDefault="00000000">
            <w:pPr>
              <w:pStyle w:val="A-"/>
              <w:spacing w:line="260" w:lineRule="exact"/>
            </w:pPr>
            <w:r>
              <w:t>T</w:t>
            </w:r>
          </w:p>
        </w:tc>
      </w:tr>
      <w:tr w:rsidR="002E474C" w14:paraId="0CC7CC94" w14:textId="77777777">
        <w:trPr>
          <w:trHeight w:val="300"/>
        </w:trPr>
        <w:tc>
          <w:tcPr>
            <w:tcW w:w="828" w:type="dxa"/>
            <w:vMerge/>
            <w:vAlign w:val="center"/>
          </w:tcPr>
          <w:p w14:paraId="2965AAD3" w14:textId="77777777" w:rsidR="002E474C" w:rsidRDefault="002E474C">
            <w:pPr>
              <w:pStyle w:val="A-"/>
              <w:spacing w:line="260" w:lineRule="exact"/>
            </w:pPr>
          </w:p>
        </w:tc>
        <w:tc>
          <w:tcPr>
            <w:tcW w:w="893" w:type="dxa"/>
            <w:vMerge/>
            <w:vAlign w:val="center"/>
          </w:tcPr>
          <w:p w14:paraId="3C571CAC" w14:textId="77777777" w:rsidR="002E474C" w:rsidRDefault="002E474C">
            <w:pPr>
              <w:pStyle w:val="A-"/>
              <w:spacing w:line="260" w:lineRule="exact"/>
            </w:pPr>
          </w:p>
        </w:tc>
        <w:tc>
          <w:tcPr>
            <w:tcW w:w="1147" w:type="dxa"/>
            <w:noWrap/>
            <w:vAlign w:val="center"/>
          </w:tcPr>
          <w:p w14:paraId="74F3B8EA" w14:textId="77777777" w:rsidR="002E474C" w:rsidRDefault="00000000">
            <w:pPr>
              <w:pStyle w:val="A-"/>
              <w:spacing w:line="260" w:lineRule="exact"/>
              <w:ind w:leftChars="-25" w:left="-53" w:rightChars="-25" w:right="-53"/>
            </w:pPr>
            <w:r>
              <w:t>264-006-12</w:t>
            </w:r>
          </w:p>
        </w:tc>
        <w:tc>
          <w:tcPr>
            <w:tcW w:w="4991" w:type="dxa"/>
            <w:noWrap/>
            <w:vAlign w:val="center"/>
          </w:tcPr>
          <w:p w14:paraId="4509DF52" w14:textId="77777777" w:rsidR="002E474C" w:rsidRDefault="00000000">
            <w:pPr>
              <w:pStyle w:val="A-"/>
              <w:spacing w:line="260" w:lineRule="exact"/>
            </w:pPr>
            <w:r>
              <w:t>氧化铬绿颜料生产过程中产生的废水处理污泥</w:t>
            </w:r>
          </w:p>
        </w:tc>
        <w:tc>
          <w:tcPr>
            <w:tcW w:w="663" w:type="dxa"/>
            <w:noWrap/>
            <w:vAlign w:val="center"/>
          </w:tcPr>
          <w:p w14:paraId="26C91F70" w14:textId="77777777" w:rsidR="002E474C" w:rsidRDefault="00000000">
            <w:pPr>
              <w:pStyle w:val="A-"/>
              <w:spacing w:line="260" w:lineRule="exact"/>
            </w:pPr>
            <w:r>
              <w:t>T</w:t>
            </w:r>
          </w:p>
        </w:tc>
      </w:tr>
      <w:tr w:rsidR="002E474C" w14:paraId="0F00EED1" w14:textId="77777777">
        <w:trPr>
          <w:trHeight w:val="300"/>
        </w:trPr>
        <w:tc>
          <w:tcPr>
            <w:tcW w:w="828" w:type="dxa"/>
            <w:vMerge/>
            <w:vAlign w:val="center"/>
          </w:tcPr>
          <w:p w14:paraId="680008C7" w14:textId="77777777" w:rsidR="002E474C" w:rsidRDefault="002E474C">
            <w:pPr>
              <w:pStyle w:val="A-"/>
              <w:spacing w:line="260" w:lineRule="exact"/>
            </w:pPr>
          </w:p>
        </w:tc>
        <w:tc>
          <w:tcPr>
            <w:tcW w:w="893" w:type="dxa"/>
            <w:vMerge/>
            <w:vAlign w:val="center"/>
          </w:tcPr>
          <w:p w14:paraId="645DB147" w14:textId="77777777" w:rsidR="002E474C" w:rsidRDefault="002E474C">
            <w:pPr>
              <w:pStyle w:val="A-"/>
              <w:spacing w:line="260" w:lineRule="exact"/>
            </w:pPr>
          </w:p>
        </w:tc>
        <w:tc>
          <w:tcPr>
            <w:tcW w:w="1147" w:type="dxa"/>
            <w:noWrap/>
            <w:vAlign w:val="center"/>
          </w:tcPr>
          <w:p w14:paraId="7966DBB6" w14:textId="77777777" w:rsidR="002E474C" w:rsidRDefault="00000000">
            <w:pPr>
              <w:pStyle w:val="A-"/>
              <w:spacing w:line="260" w:lineRule="exact"/>
              <w:ind w:leftChars="-25" w:left="-53" w:rightChars="-25" w:right="-53"/>
            </w:pPr>
            <w:r>
              <w:t>264-007-12</w:t>
            </w:r>
          </w:p>
        </w:tc>
        <w:tc>
          <w:tcPr>
            <w:tcW w:w="4991" w:type="dxa"/>
            <w:noWrap/>
            <w:vAlign w:val="center"/>
          </w:tcPr>
          <w:p w14:paraId="7A07DD09" w14:textId="77777777" w:rsidR="002E474C" w:rsidRDefault="00000000">
            <w:pPr>
              <w:pStyle w:val="A-"/>
              <w:spacing w:line="260" w:lineRule="exact"/>
            </w:pPr>
            <w:r>
              <w:t>氧化铬绿颜料生产过程中烘干产生的残渣</w:t>
            </w:r>
          </w:p>
        </w:tc>
        <w:tc>
          <w:tcPr>
            <w:tcW w:w="663" w:type="dxa"/>
            <w:noWrap/>
            <w:vAlign w:val="center"/>
          </w:tcPr>
          <w:p w14:paraId="1AB78F4B" w14:textId="77777777" w:rsidR="002E474C" w:rsidRDefault="00000000">
            <w:pPr>
              <w:pStyle w:val="A-"/>
              <w:spacing w:line="260" w:lineRule="exact"/>
            </w:pPr>
            <w:r>
              <w:t>T</w:t>
            </w:r>
          </w:p>
        </w:tc>
      </w:tr>
      <w:tr w:rsidR="002E474C" w14:paraId="3F0BAC2C" w14:textId="77777777">
        <w:trPr>
          <w:trHeight w:val="300"/>
        </w:trPr>
        <w:tc>
          <w:tcPr>
            <w:tcW w:w="828" w:type="dxa"/>
            <w:vMerge/>
            <w:vAlign w:val="center"/>
          </w:tcPr>
          <w:p w14:paraId="31D66EBD" w14:textId="77777777" w:rsidR="002E474C" w:rsidRDefault="002E474C">
            <w:pPr>
              <w:pStyle w:val="A-"/>
              <w:spacing w:line="260" w:lineRule="exact"/>
            </w:pPr>
          </w:p>
        </w:tc>
        <w:tc>
          <w:tcPr>
            <w:tcW w:w="893" w:type="dxa"/>
            <w:vMerge/>
            <w:vAlign w:val="center"/>
          </w:tcPr>
          <w:p w14:paraId="0A6325F3" w14:textId="77777777" w:rsidR="002E474C" w:rsidRDefault="002E474C">
            <w:pPr>
              <w:pStyle w:val="A-"/>
              <w:spacing w:line="260" w:lineRule="exact"/>
            </w:pPr>
          </w:p>
        </w:tc>
        <w:tc>
          <w:tcPr>
            <w:tcW w:w="1147" w:type="dxa"/>
            <w:noWrap/>
            <w:vAlign w:val="center"/>
          </w:tcPr>
          <w:p w14:paraId="18B3943A" w14:textId="77777777" w:rsidR="002E474C" w:rsidRDefault="00000000">
            <w:pPr>
              <w:pStyle w:val="A-"/>
              <w:spacing w:line="260" w:lineRule="exact"/>
              <w:ind w:leftChars="-25" w:left="-53" w:rightChars="-25" w:right="-53"/>
            </w:pPr>
            <w:r>
              <w:t>264-008-12</w:t>
            </w:r>
          </w:p>
        </w:tc>
        <w:tc>
          <w:tcPr>
            <w:tcW w:w="4991" w:type="dxa"/>
            <w:noWrap/>
            <w:vAlign w:val="center"/>
          </w:tcPr>
          <w:p w14:paraId="3C4A2A58" w14:textId="77777777" w:rsidR="002E474C" w:rsidRDefault="00000000">
            <w:pPr>
              <w:pStyle w:val="A-"/>
              <w:spacing w:line="260" w:lineRule="exact"/>
            </w:pPr>
            <w:r>
              <w:t>铁蓝颜料生产过程中产生的废水处理污泥</w:t>
            </w:r>
          </w:p>
        </w:tc>
        <w:tc>
          <w:tcPr>
            <w:tcW w:w="663" w:type="dxa"/>
            <w:noWrap/>
            <w:vAlign w:val="center"/>
          </w:tcPr>
          <w:p w14:paraId="0447516E" w14:textId="77777777" w:rsidR="002E474C" w:rsidRDefault="00000000">
            <w:pPr>
              <w:pStyle w:val="A-"/>
              <w:spacing w:line="260" w:lineRule="exact"/>
            </w:pPr>
            <w:r>
              <w:t>T</w:t>
            </w:r>
          </w:p>
        </w:tc>
      </w:tr>
      <w:tr w:rsidR="002E474C" w14:paraId="4045EF9F" w14:textId="77777777">
        <w:trPr>
          <w:trHeight w:val="300"/>
        </w:trPr>
        <w:tc>
          <w:tcPr>
            <w:tcW w:w="828" w:type="dxa"/>
            <w:vMerge/>
            <w:vAlign w:val="center"/>
          </w:tcPr>
          <w:p w14:paraId="3DD8EB34" w14:textId="77777777" w:rsidR="002E474C" w:rsidRDefault="002E474C">
            <w:pPr>
              <w:pStyle w:val="A-"/>
              <w:spacing w:line="260" w:lineRule="exact"/>
            </w:pPr>
          </w:p>
        </w:tc>
        <w:tc>
          <w:tcPr>
            <w:tcW w:w="893" w:type="dxa"/>
            <w:vMerge/>
            <w:vAlign w:val="center"/>
          </w:tcPr>
          <w:p w14:paraId="45C3EDDA" w14:textId="77777777" w:rsidR="002E474C" w:rsidRDefault="002E474C">
            <w:pPr>
              <w:pStyle w:val="A-"/>
              <w:spacing w:line="260" w:lineRule="exact"/>
            </w:pPr>
          </w:p>
        </w:tc>
        <w:tc>
          <w:tcPr>
            <w:tcW w:w="1147" w:type="dxa"/>
            <w:noWrap/>
            <w:vAlign w:val="center"/>
          </w:tcPr>
          <w:p w14:paraId="0888945F" w14:textId="77777777" w:rsidR="002E474C" w:rsidRDefault="00000000">
            <w:pPr>
              <w:pStyle w:val="A-"/>
              <w:spacing w:line="260" w:lineRule="exact"/>
              <w:ind w:leftChars="-25" w:left="-53" w:rightChars="-25" w:right="-53"/>
            </w:pPr>
            <w:r>
              <w:t>264-009-12</w:t>
            </w:r>
          </w:p>
        </w:tc>
        <w:tc>
          <w:tcPr>
            <w:tcW w:w="4991" w:type="dxa"/>
            <w:noWrap/>
            <w:vAlign w:val="center"/>
          </w:tcPr>
          <w:p w14:paraId="7AB0C19F" w14:textId="77777777" w:rsidR="002E474C" w:rsidRDefault="00000000">
            <w:pPr>
              <w:pStyle w:val="A-"/>
              <w:spacing w:line="260" w:lineRule="exact"/>
            </w:pPr>
            <w:r>
              <w:t>使用含铬、铅的稳定剂配制油墨过程中，设备清洗产生的洗涤废液和废水处理污泥</w:t>
            </w:r>
          </w:p>
        </w:tc>
        <w:tc>
          <w:tcPr>
            <w:tcW w:w="663" w:type="dxa"/>
            <w:noWrap/>
            <w:vAlign w:val="center"/>
          </w:tcPr>
          <w:p w14:paraId="6A00EB0B" w14:textId="77777777" w:rsidR="002E474C" w:rsidRDefault="00000000">
            <w:pPr>
              <w:pStyle w:val="A-"/>
              <w:spacing w:line="260" w:lineRule="exact"/>
            </w:pPr>
            <w:r>
              <w:t>T</w:t>
            </w:r>
          </w:p>
        </w:tc>
      </w:tr>
      <w:tr w:rsidR="002E474C" w14:paraId="3709CDBE" w14:textId="77777777">
        <w:trPr>
          <w:trHeight w:val="300"/>
        </w:trPr>
        <w:tc>
          <w:tcPr>
            <w:tcW w:w="828" w:type="dxa"/>
            <w:vMerge/>
            <w:vAlign w:val="center"/>
          </w:tcPr>
          <w:p w14:paraId="56066C72" w14:textId="77777777" w:rsidR="002E474C" w:rsidRDefault="002E474C">
            <w:pPr>
              <w:pStyle w:val="A-"/>
              <w:spacing w:line="260" w:lineRule="exact"/>
            </w:pPr>
          </w:p>
        </w:tc>
        <w:tc>
          <w:tcPr>
            <w:tcW w:w="893" w:type="dxa"/>
            <w:vMerge/>
            <w:vAlign w:val="center"/>
          </w:tcPr>
          <w:p w14:paraId="4F7B2868" w14:textId="77777777" w:rsidR="002E474C" w:rsidRDefault="002E474C">
            <w:pPr>
              <w:pStyle w:val="A-"/>
              <w:spacing w:line="260" w:lineRule="exact"/>
            </w:pPr>
          </w:p>
        </w:tc>
        <w:tc>
          <w:tcPr>
            <w:tcW w:w="1147" w:type="dxa"/>
            <w:noWrap/>
            <w:vAlign w:val="center"/>
          </w:tcPr>
          <w:p w14:paraId="42C9F333" w14:textId="77777777" w:rsidR="002E474C" w:rsidRDefault="00000000">
            <w:pPr>
              <w:pStyle w:val="A-"/>
              <w:spacing w:line="260" w:lineRule="exact"/>
              <w:ind w:leftChars="-25" w:left="-53" w:rightChars="-25" w:right="-53"/>
            </w:pPr>
            <w:r>
              <w:t>264-010-12</w:t>
            </w:r>
          </w:p>
        </w:tc>
        <w:tc>
          <w:tcPr>
            <w:tcW w:w="4991" w:type="dxa"/>
            <w:noWrap/>
            <w:vAlign w:val="center"/>
          </w:tcPr>
          <w:p w14:paraId="5883C810" w14:textId="77777777" w:rsidR="002E474C" w:rsidRDefault="00000000">
            <w:pPr>
              <w:pStyle w:val="A-"/>
              <w:spacing w:line="260" w:lineRule="exact"/>
            </w:pPr>
            <w:r>
              <w:t>油墨生产、配制过程中产生的废蚀刻液</w:t>
            </w:r>
          </w:p>
        </w:tc>
        <w:tc>
          <w:tcPr>
            <w:tcW w:w="663" w:type="dxa"/>
            <w:noWrap/>
            <w:vAlign w:val="center"/>
          </w:tcPr>
          <w:p w14:paraId="529EF42A" w14:textId="77777777" w:rsidR="002E474C" w:rsidRDefault="00000000">
            <w:pPr>
              <w:pStyle w:val="A-"/>
              <w:spacing w:line="260" w:lineRule="exact"/>
            </w:pPr>
            <w:r>
              <w:t>T</w:t>
            </w:r>
          </w:p>
        </w:tc>
      </w:tr>
      <w:tr w:rsidR="002E474C" w14:paraId="37A1FD90" w14:textId="77777777">
        <w:trPr>
          <w:trHeight w:val="300"/>
        </w:trPr>
        <w:tc>
          <w:tcPr>
            <w:tcW w:w="828" w:type="dxa"/>
            <w:vMerge/>
            <w:vAlign w:val="center"/>
          </w:tcPr>
          <w:p w14:paraId="0E26CDBD" w14:textId="77777777" w:rsidR="002E474C" w:rsidRDefault="002E474C">
            <w:pPr>
              <w:pStyle w:val="A-"/>
              <w:spacing w:line="260" w:lineRule="exact"/>
            </w:pPr>
          </w:p>
        </w:tc>
        <w:tc>
          <w:tcPr>
            <w:tcW w:w="893" w:type="dxa"/>
            <w:vMerge/>
            <w:vAlign w:val="center"/>
          </w:tcPr>
          <w:p w14:paraId="01AF8BBA" w14:textId="77777777" w:rsidR="002E474C" w:rsidRDefault="002E474C">
            <w:pPr>
              <w:pStyle w:val="A-"/>
              <w:spacing w:line="260" w:lineRule="exact"/>
            </w:pPr>
          </w:p>
        </w:tc>
        <w:tc>
          <w:tcPr>
            <w:tcW w:w="1147" w:type="dxa"/>
            <w:noWrap/>
            <w:vAlign w:val="center"/>
          </w:tcPr>
          <w:p w14:paraId="46901DA9" w14:textId="77777777" w:rsidR="002E474C" w:rsidRDefault="00000000">
            <w:pPr>
              <w:pStyle w:val="A-"/>
              <w:spacing w:line="260" w:lineRule="exact"/>
              <w:ind w:leftChars="-25" w:left="-53" w:rightChars="-25" w:right="-53"/>
            </w:pPr>
            <w:r>
              <w:t>264-011-12</w:t>
            </w:r>
          </w:p>
        </w:tc>
        <w:tc>
          <w:tcPr>
            <w:tcW w:w="4991" w:type="dxa"/>
            <w:noWrap/>
            <w:vAlign w:val="center"/>
          </w:tcPr>
          <w:p w14:paraId="21CEB3FD" w14:textId="77777777" w:rsidR="002E474C" w:rsidRDefault="00000000">
            <w:pPr>
              <w:pStyle w:val="A-"/>
              <w:spacing w:line="260" w:lineRule="exact"/>
            </w:pPr>
            <w:r>
              <w:t>染料、颜料及中间体生产过程中产生的废母液、残渣、废吸附剂和中间体</w:t>
            </w:r>
          </w:p>
        </w:tc>
        <w:tc>
          <w:tcPr>
            <w:tcW w:w="663" w:type="dxa"/>
            <w:noWrap/>
            <w:vAlign w:val="center"/>
          </w:tcPr>
          <w:p w14:paraId="11DBC85B" w14:textId="77777777" w:rsidR="002E474C" w:rsidRDefault="00000000">
            <w:pPr>
              <w:pStyle w:val="A-"/>
              <w:spacing w:line="260" w:lineRule="exact"/>
            </w:pPr>
            <w:r>
              <w:t>T</w:t>
            </w:r>
          </w:p>
        </w:tc>
      </w:tr>
      <w:tr w:rsidR="002E474C" w14:paraId="6293719D" w14:textId="77777777">
        <w:trPr>
          <w:trHeight w:val="300"/>
        </w:trPr>
        <w:tc>
          <w:tcPr>
            <w:tcW w:w="828" w:type="dxa"/>
            <w:vMerge/>
            <w:vAlign w:val="center"/>
          </w:tcPr>
          <w:p w14:paraId="5C89411F" w14:textId="77777777" w:rsidR="002E474C" w:rsidRDefault="002E474C">
            <w:pPr>
              <w:pStyle w:val="A-"/>
              <w:spacing w:line="260" w:lineRule="exact"/>
            </w:pPr>
          </w:p>
        </w:tc>
        <w:tc>
          <w:tcPr>
            <w:tcW w:w="893" w:type="dxa"/>
            <w:vMerge/>
            <w:vAlign w:val="center"/>
          </w:tcPr>
          <w:p w14:paraId="18942ADD" w14:textId="77777777" w:rsidR="002E474C" w:rsidRDefault="002E474C">
            <w:pPr>
              <w:pStyle w:val="A-"/>
              <w:spacing w:line="260" w:lineRule="exact"/>
            </w:pPr>
          </w:p>
        </w:tc>
        <w:tc>
          <w:tcPr>
            <w:tcW w:w="1147" w:type="dxa"/>
            <w:noWrap/>
            <w:vAlign w:val="center"/>
          </w:tcPr>
          <w:p w14:paraId="073D29A5" w14:textId="77777777" w:rsidR="002E474C" w:rsidRDefault="00000000">
            <w:pPr>
              <w:pStyle w:val="A-"/>
              <w:spacing w:line="260" w:lineRule="exact"/>
              <w:ind w:leftChars="-25" w:left="-53" w:rightChars="-25" w:right="-53"/>
            </w:pPr>
            <w:r>
              <w:t>264-012-12</w:t>
            </w:r>
          </w:p>
        </w:tc>
        <w:tc>
          <w:tcPr>
            <w:tcW w:w="4991" w:type="dxa"/>
            <w:noWrap/>
            <w:vAlign w:val="center"/>
          </w:tcPr>
          <w:p w14:paraId="50734BBF" w14:textId="77777777" w:rsidR="002E474C" w:rsidRDefault="00000000">
            <w:pPr>
              <w:pStyle w:val="A-"/>
              <w:spacing w:line="260" w:lineRule="exact"/>
            </w:pPr>
            <w:r>
              <w:t>其他油墨、染料、颜料、油漆（不包括水性漆）生</w:t>
            </w:r>
            <w:r>
              <w:lastRenderedPageBreak/>
              <w:t>产过程中产生的废水处理污泥和蒸发处理残渣（液）</w:t>
            </w:r>
          </w:p>
        </w:tc>
        <w:tc>
          <w:tcPr>
            <w:tcW w:w="663" w:type="dxa"/>
            <w:noWrap/>
            <w:vAlign w:val="center"/>
          </w:tcPr>
          <w:p w14:paraId="722DD00D" w14:textId="77777777" w:rsidR="002E474C" w:rsidRDefault="00000000">
            <w:pPr>
              <w:pStyle w:val="A-"/>
              <w:spacing w:line="260" w:lineRule="exact"/>
            </w:pPr>
            <w:r>
              <w:lastRenderedPageBreak/>
              <w:t>T</w:t>
            </w:r>
          </w:p>
        </w:tc>
      </w:tr>
      <w:tr w:rsidR="002E474C" w14:paraId="66496799" w14:textId="77777777">
        <w:trPr>
          <w:trHeight w:val="300"/>
        </w:trPr>
        <w:tc>
          <w:tcPr>
            <w:tcW w:w="828" w:type="dxa"/>
            <w:vMerge/>
            <w:vAlign w:val="center"/>
          </w:tcPr>
          <w:p w14:paraId="4D7A8DA5" w14:textId="77777777" w:rsidR="002E474C" w:rsidRDefault="002E474C">
            <w:pPr>
              <w:pStyle w:val="A-"/>
              <w:spacing w:line="260" w:lineRule="exact"/>
            </w:pPr>
          </w:p>
        </w:tc>
        <w:tc>
          <w:tcPr>
            <w:tcW w:w="893" w:type="dxa"/>
            <w:vMerge/>
            <w:vAlign w:val="center"/>
          </w:tcPr>
          <w:p w14:paraId="7198C536" w14:textId="77777777" w:rsidR="002E474C" w:rsidRDefault="002E474C">
            <w:pPr>
              <w:pStyle w:val="A-"/>
              <w:spacing w:line="260" w:lineRule="exact"/>
            </w:pPr>
          </w:p>
        </w:tc>
        <w:tc>
          <w:tcPr>
            <w:tcW w:w="1147" w:type="dxa"/>
            <w:noWrap/>
            <w:vAlign w:val="center"/>
          </w:tcPr>
          <w:p w14:paraId="0CD29365" w14:textId="77777777" w:rsidR="002E474C" w:rsidRDefault="00000000">
            <w:pPr>
              <w:pStyle w:val="A-"/>
              <w:spacing w:line="260" w:lineRule="exact"/>
              <w:ind w:leftChars="-25" w:left="-53" w:rightChars="-25" w:right="-53"/>
            </w:pPr>
            <w:r>
              <w:t>264-013-12</w:t>
            </w:r>
          </w:p>
        </w:tc>
        <w:tc>
          <w:tcPr>
            <w:tcW w:w="4991" w:type="dxa"/>
            <w:noWrap/>
            <w:vAlign w:val="center"/>
          </w:tcPr>
          <w:p w14:paraId="056D3707" w14:textId="77777777" w:rsidR="002E474C" w:rsidRDefault="00000000">
            <w:pPr>
              <w:pStyle w:val="A-"/>
              <w:spacing w:line="260" w:lineRule="exact"/>
            </w:pPr>
            <w:r>
              <w:t>油漆、油墨生产、配制和使用过程中产生的含颜料、油墨的废有机溶剂</w:t>
            </w:r>
          </w:p>
        </w:tc>
        <w:tc>
          <w:tcPr>
            <w:tcW w:w="663" w:type="dxa"/>
            <w:noWrap/>
            <w:vAlign w:val="center"/>
          </w:tcPr>
          <w:p w14:paraId="49E4B6E6" w14:textId="77777777" w:rsidR="002E474C" w:rsidRDefault="00000000">
            <w:pPr>
              <w:pStyle w:val="A-"/>
              <w:spacing w:line="260" w:lineRule="exact"/>
            </w:pPr>
            <w:r>
              <w:t>T</w:t>
            </w:r>
          </w:p>
        </w:tc>
      </w:tr>
      <w:tr w:rsidR="002E474C" w14:paraId="2E8BE90C" w14:textId="77777777">
        <w:trPr>
          <w:trHeight w:val="300"/>
        </w:trPr>
        <w:tc>
          <w:tcPr>
            <w:tcW w:w="828" w:type="dxa"/>
            <w:vMerge/>
            <w:vAlign w:val="center"/>
          </w:tcPr>
          <w:p w14:paraId="291854D1" w14:textId="77777777" w:rsidR="002E474C" w:rsidRDefault="002E474C">
            <w:pPr>
              <w:pStyle w:val="A-"/>
              <w:spacing w:line="260" w:lineRule="exact"/>
            </w:pPr>
          </w:p>
        </w:tc>
        <w:tc>
          <w:tcPr>
            <w:tcW w:w="893" w:type="dxa"/>
            <w:vMerge w:val="restart"/>
            <w:noWrap/>
            <w:vAlign w:val="center"/>
          </w:tcPr>
          <w:p w14:paraId="257A8F8C" w14:textId="77777777" w:rsidR="002E474C" w:rsidRDefault="00000000">
            <w:pPr>
              <w:pStyle w:val="A-"/>
              <w:spacing w:line="260" w:lineRule="exact"/>
            </w:pPr>
            <w:r>
              <w:t>非特定行业</w:t>
            </w:r>
          </w:p>
        </w:tc>
        <w:tc>
          <w:tcPr>
            <w:tcW w:w="1147" w:type="dxa"/>
            <w:noWrap/>
            <w:vAlign w:val="center"/>
          </w:tcPr>
          <w:p w14:paraId="69E1BB7C" w14:textId="77777777" w:rsidR="002E474C" w:rsidRDefault="00000000">
            <w:pPr>
              <w:pStyle w:val="A-"/>
              <w:spacing w:line="260" w:lineRule="exact"/>
              <w:ind w:leftChars="-25" w:left="-53" w:rightChars="-25" w:right="-53"/>
            </w:pPr>
            <w:r>
              <w:t>900-250-12</w:t>
            </w:r>
          </w:p>
        </w:tc>
        <w:tc>
          <w:tcPr>
            <w:tcW w:w="4991" w:type="dxa"/>
            <w:noWrap/>
            <w:vAlign w:val="center"/>
          </w:tcPr>
          <w:p w14:paraId="13E264C8" w14:textId="77777777" w:rsidR="002E474C" w:rsidRDefault="00000000">
            <w:pPr>
              <w:pStyle w:val="A-"/>
              <w:spacing w:line="260" w:lineRule="exact"/>
            </w:pPr>
            <w:r>
              <w:t>使用有机溶剂、光漆进行光漆涂布、喷漆工艺过程中产生的废物</w:t>
            </w:r>
          </w:p>
        </w:tc>
        <w:tc>
          <w:tcPr>
            <w:tcW w:w="663" w:type="dxa"/>
            <w:noWrap/>
            <w:vAlign w:val="center"/>
          </w:tcPr>
          <w:p w14:paraId="6F41133C" w14:textId="77777777" w:rsidR="002E474C" w:rsidRDefault="00000000">
            <w:pPr>
              <w:pStyle w:val="A-"/>
              <w:spacing w:line="260" w:lineRule="exact"/>
            </w:pPr>
            <w:r>
              <w:t>T</w:t>
            </w:r>
            <w:r>
              <w:t>，</w:t>
            </w:r>
            <w:r>
              <w:t>I</w:t>
            </w:r>
          </w:p>
        </w:tc>
      </w:tr>
      <w:tr w:rsidR="002E474C" w14:paraId="19533092" w14:textId="77777777">
        <w:trPr>
          <w:trHeight w:val="300"/>
        </w:trPr>
        <w:tc>
          <w:tcPr>
            <w:tcW w:w="828" w:type="dxa"/>
            <w:vMerge/>
            <w:vAlign w:val="center"/>
          </w:tcPr>
          <w:p w14:paraId="48783BC3" w14:textId="77777777" w:rsidR="002E474C" w:rsidRDefault="002E474C">
            <w:pPr>
              <w:pStyle w:val="A-"/>
              <w:spacing w:line="260" w:lineRule="exact"/>
            </w:pPr>
          </w:p>
        </w:tc>
        <w:tc>
          <w:tcPr>
            <w:tcW w:w="893" w:type="dxa"/>
            <w:vMerge/>
            <w:vAlign w:val="center"/>
          </w:tcPr>
          <w:p w14:paraId="47998FD7" w14:textId="77777777" w:rsidR="002E474C" w:rsidRDefault="002E474C">
            <w:pPr>
              <w:pStyle w:val="A-"/>
              <w:spacing w:line="260" w:lineRule="exact"/>
            </w:pPr>
          </w:p>
        </w:tc>
        <w:tc>
          <w:tcPr>
            <w:tcW w:w="1147" w:type="dxa"/>
            <w:noWrap/>
            <w:vAlign w:val="center"/>
          </w:tcPr>
          <w:p w14:paraId="69300970" w14:textId="77777777" w:rsidR="002E474C" w:rsidRDefault="00000000">
            <w:pPr>
              <w:pStyle w:val="A-"/>
              <w:spacing w:line="260" w:lineRule="exact"/>
              <w:ind w:leftChars="-25" w:left="-53" w:rightChars="-25" w:right="-53"/>
            </w:pPr>
            <w:r>
              <w:t>900-251-12</w:t>
            </w:r>
          </w:p>
        </w:tc>
        <w:tc>
          <w:tcPr>
            <w:tcW w:w="4991" w:type="dxa"/>
            <w:noWrap/>
            <w:vAlign w:val="center"/>
          </w:tcPr>
          <w:p w14:paraId="72E701D3" w14:textId="77777777" w:rsidR="002E474C" w:rsidRDefault="00000000">
            <w:pPr>
              <w:pStyle w:val="A-"/>
              <w:spacing w:line="260" w:lineRule="exact"/>
            </w:pPr>
            <w:r>
              <w:t>使用油漆（不包括水性漆）、有机溶剂进行阻挡层涂敷过程中产生的废物</w:t>
            </w:r>
          </w:p>
        </w:tc>
        <w:tc>
          <w:tcPr>
            <w:tcW w:w="663" w:type="dxa"/>
            <w:noWrap/>
            <w:vAlign w:val="center"/>
          </w:tcPr>
          <w:p w14:paraId="233DEA53" w14:textId="77777777" w:rsidR="002E474C" w:rsidRDefault="00000000">
            <w:pPr>
              <w:pStyle w:val="A-"/>
              <w:spacing w:line="260" w:lineRule="exact"/>
            </w:pPr>
            <w:r>
              <w:t>T</w:t>
            </w:r>
            <w:r>
              <w:t>，</w:t>
            </w:r>
            <w:r>
              <w:t>I</w:t>
            </w:r>
          </w:p>
        </w:tc>
      </w:tr>
      <w:tr w:rsidR="002E474C" w14:paraId="3DFF1B85" w14:textId="77777777">
        <w:trPr>
          <w:trHeight w:val="300"/>
        </w:trPr>
        <w:tc>
          <w:tcPr>
            <w:tcW w:w="828" w:type="dxa"/>
            <w:vMerge/>
            <w:vAlign w:val="center"/>
          </w:tcPr>
          <w:p w14:paraId="277B1048" w14:textId="77777777" w:rsidR="002E474C" w:rsidRDefault="002E474C">
            <w:pPr>
              <w:pStyle w:val="A-"/>
              <w:spacing w:line="260" w:lineRule="exact"/>
            </w:pPr>
          </w:p>
        </w:tc>
        <w:tc>
          <w:tcPr>
            <w:tcW w:w="893" w:type="dxa"/>
            <w:vMerge/>
            <w:vAlign w:val="center"/>
          </w:tcPr>
          <w:p w14:paraId="372C5952" w14:textId="77777777" w:rsidR="002E474C" w:rsidRDefault="002E474C">
            <w:pPr>
              <w:pStyle w:val="A-"/>
              <w:spacing w:line="260" w:lineRule="exact"/>
            </w:pPr>
          </w:p>
        </w:tc>
        <w:tc>
          <w:tcPr>
            <w:tcW w:w="1147" w:type="dxa"/>
            <w:noWrap/>
            <w:vAlign w:val="center"/>
          </w:tcPr>
          <w:p w14:paraId="3B6B7D59" w14:textId="77777777" w:rsidR="002E474C" w:rsidRDefault="00000000">
            <w:pPr>
              <w:pStyle w:val="A-"/>
              <w:spacing w:line="260" w:lineRule="exact"/>
              <w:ind w:leftChars="-25" w:left="-53" w:rightChars="-25" w:right="-53"/>
            </w:pPr>
            <w:r>
              <w:t>900-252-12</w:t>
            </w:r>
          </w:p>
        </w:tc>
        <w:tc>
          <w:tcPr>
            <w:tcW w:w="4991" w:type="dxa"/>
            <w:noWrap/>
            <w:vAlign w:val="center"/>
          </w:tcPr>
          <w:p w14:paraId="25B4A204" w14:textId="4397D5E7" w:rsidR="002E474C" w:rsidRDefault="00000000">
            <w:pPr>
              <w:pStyle w:val="A-"/>
              <w:spacing w:line="260" w:lineRule="exact"/>
            </w:pPr>
            <w:r>
              <w:t>使用油漆（不包括水性漆）、有机溶剂进行喷漆、上漆过程中过喷漆雾湿法捕集产生的漆渣以及喷涂工位和管道清理过程产生的落地漆渣</w:t>
            </w:r>
          </w:p>
        </w:tc>
        <w:tc>
          <w:tcPr>
            <w:tcW w:w="663" w:type="dxa"/>
            <w:noWrap/>
            <w:vAlign w:val="center"/>
          </w:tcPr>
          <w:p w14:paraId="1DB82F66" w14:textId="77777777" w:rsidR="002E474C" w:rsidRDefault="00000000">
            <w:pPr>
              <w:pStyle w:val="A-"/>
              <w:spacing w:line="260" w:lineRule="exact"/>
            </w:pPr>
            <w:r>
              <w:t>T</w:t>
            </w:r>
            <w:r>
              <w:t>，</w:t>
            </w:r>
            <w:r>
              <w:t>I</w:t>
            </w:r>
          </w:p>
        </w:tc>
      </w:tr>
      <w:tr w:rsidR="002E474C" w14:paraId="468CDF55" w14:textId="77777777">
        <w:trPr>
          <w:trHeight w:val="300"/>
        </w:trPr>
        <w:tc>
          <w:tcPr>
            <w:tcW w:w="828" w:type="dxa"/>
            <w:vMerge/>
            <w:vAlign w:val="center"/>
          </w:tcPr>
          <w:p w14:paraId="7ECF9162" w14:textId="77777777" w:rsidR="002E474C" w:rsidRDefault="002E474C">
            <w:pPr>
              <w:pStyle w:val="A-"/>
              <w:spacing w:line="260" w:lineRule="exact"/>
            </w:pPr>
          </w:p>
        </w:tc>
        <w:tc>
          <w:tcPr>
            <w:tcW w:w="893" w:type="dxa"/>
            <w:vMerge/>
            <w:vAlign w:val="center"/>
          </w:tcPr>
          <w:p w14:paraId="7C095528" w14:textId="77777777" w:rsidR="002E474C" w:rsidRDefault="002E474C">
            <w:pPr>
              <w:pStyle w:val="A-"/>
              <w:spacing w:line="260" w:lineRule="exact"/>
            </w:pPr>
          </w:p>
        </w:tc>
        <w:tc>
          <w:tcPr>
            <w:tcW w:w="1147" w:type="dxa"/>
            <w:noWrap/>
            <w:vAlign w:val="center"/>
          </w:tcPr>
          <w:p w14:paraId="0D14E9C7" w14:textId="77777777" w:rsidR="002E474C" w:rsidRDefault="00000000">
            <w:pPr>
              <w:pStyle w:val="A-"/>
              <w:spacing w:line="260" w:lineRule="exact"/>
              <w:ind w:leftChars="-25" w:left="-53" w:rightChars="-25" w:right="-53"/>
            </w:pPr>
            <w:r>
              <w:t>900-253-12</w:t>
            </w:r>
          </w:p>
        </w:tc>
        <w:tc>
          <w:tcPr>
            <w:tcW w:w="4991" w:type="dxa"/>
            <w:noWrap/>
            <w:vAlign w:val="center"/>
          </w:tcPr>
          <w:p w14:paraId="76592FB6" w14:textId="77777777" w:rsidR="002E474C" w:rsidRDefault="00000000">
            <w:pPr>
              <w:pStyle w:val="A-"/>
              <w:spacing w:line="260" w:lineRule="exact"/>
            </w:pPr>
            <w:r>
              <w:rPr>
                <w:spacing w:val="-6"/>
              </w:rPr>
              <w:t>使用油墨和有机溶剂进行印刷、涂布过程中产生的废物</w:t>
            </w:r>
          </w:p>
        </w:tc>
        <w:tc>
          <w:tcPr>
            <w:tcW w:w="663" w:type="dxa"/>
            <w:noWrap/>
            <w:vAlign w:val="center"/>
          </w:tcPr>
          <w:p w14:paraId="568850B4" w14:textId="77777777" w:rsidR="002E474C" w:rsidRDefault="00000000">
            <w:pPr>
              <w:pStyle w:val="A-"/>
              <w:spacing w:line="260" w:lineRule="exact"/>
            </w:pPr>
            <w:r>
              <w:t>T</w:t>
            </w:r>
            <w:r>
              <w:t>，</w:t>
            </w:r>
            <w:r>
              <w:t>I</w:t>
            </w:r>
          </w:p>
        </w:tc>
      </w:tr>
      <w:tr w:rsidR="002E474C" w14:paraId="19A520FA" w14:textId="77777777">
        <w:trPr>
          <w:trHeight w:val="300"/>
        </w:trPr>
        <w:tc>
          <w:tcPr>
            <w:tcW w:w="828" w:type="dxa"/>
            <w:vMerge/>
            <w:vAlign w:val="center"/>
          </w:tcPr>
          <w:p w14:paraId="2560A6D5" w14:textId="77777777" w:rsidR="002E474C" w:rsidRDefault="002E474C">
            <w:pPr>
              <w:pStyle w:val="A-"/>
              <w:spacing w:line="260" w:lineRule="exact"/>
            </w:pPr>
          </w:p>
        </w:tc>
        <w:tc>
          <w:tcPr>
            <w:tcW w:w="893" w:type="dxa"/>
            <w:vMerge/>
            <w:vAlign w:val="center"/>
          </w:tcPr>
          <w:p w14:paraId="07ED02E3" w14:textId="77777777" w:rsidR="002E474C" w:rsidRDefault="002E474C">
            <w:pPr>
              <w:pStyle w:val="A-"/>
              <w:spacing w:line="260" w:lineRule="exact"/>
            </w:pPr>
          </w:p>
        </w:tc>
        <w:tc>
          <w:tcPr>
            <w:tcW w:w="1147" w:type="dxa"/>
            <w:noWrap/>
            <w:vAlign w:val="center"/>
          </w:tcPr>
          <w:p w14:paraId="2A947936" w14:textId="77777777" w:rsidR="002E474C" w:rsidRDefault="00000000">
            <w:pPr>
              <w:pStyle w:val="A-"/>
              <w:spacing w:line="260" w:lineRule="exact"/>
              <w:ind w:leftChars="-25" w:left="-53" w:rightChars="-25" w:right="-53"/>
            </w:pPr>
            <w:r>
              <w:t>900-254-12</w:t>
            </w:r>
          </w:p>
        </w:tc>
        <w:tc>
          <w:tcPr>
            <w:tcW w:w="4991" w:type="dxa"/>
            <w:noWrap/>
            <w:vAlign w:val="center"/>
          </w:tcPr>
          <w:p w14:paraId="1CFACFAE" w14:textId="77777777" w:rsidR="002E474C" w:rsidRDefault="00000000">
            <w:pPr>
              <w:pStyle w:val="A-"/>
              <w:spacing w:line="260" w:lineRule="exact"/>
              <w:ind w:leftChars="-25" w:left="-53" w:rightChars="-25" w:right="-53"/>
            </w:pPr>
            <w:r>
              <w:rPr>
                <w:spacing w:val="-11"/>
              </w:rPr>
              <w:t>使用遮盖油、有机溶剂进行遮盖油的涂敷过程中产生的废物</w:t>
            </w:r>
          </w:p>
        </w:tc>
        <w:tc>
          <w:tcPr>
            <w:tcW w:w="663" w:type="dxa"/>
            <w:noWrap/>
            <w:vAlign w:val="center"/>
          </w:tcPr>
          <w:p w14:paraId="5CFE0F7D" w14:textId="77777777" w:rsidR="002E474C" w:rsidRDefault="00000000">
            <w:pPr>
              <w:pStyle w:val="A-"/>
              <w:spacing w:line="260" w:lineRule="exact"/>
            </w:pPr>
            <w:r>
              <w:t>T</w:t>
            </w:r>
            <w:r>
              <w:t>，</w:t>
            </w:r>
            <w:r>
              <w:t>I</w:t>
            </w:r>
          </w:p>
        </w:tc>
      </w:tr>
      <w:tr w:rsidR="002E474C" w14:paraId="38F0D9AC" w14:textId="77777777">
        <w:trPr>
          <w:trHeight w:val="300"/>
        </w:trPr>
        <w:tc>
          <w:tcPr>
            <w:tcW w:w="828" w:type="dxa"/>
            <w:vMerge/>
            <w:vAlign w:val="center"/>
          </w:tcPr>
          <w:p w14:paraId="6EEEE63E" w14:textId="77777777" w:rsidR="002E474C" w:rsidRDefault="002E474C">
            <w:pPr>
              <w:pStyle w:val="A-"/>
              <w:spacing w:line="260" w:lineRule="exact"/>
            </w:pPr>
          </w:p>
        </w:tc>
        <w:tc>
          <w:tcPr>
            <w:tcW w:w="893" w:type="dxa"/>
            <w:vMerge/>
            <w:vAlign w:val="center"/>
          </w:tcPr>
          <w:p w14:paraId="5E03C70B" w14:textId="77777777" w:rsidR="002E474C" w:rsidRDefault="002E474C">
            <w:pPr>
              <w:pStyle w:val="A-"/>
              <w:spacing w:line="260" w:lineRule="exact"/>
            </w:pPr>
          </w:p>
        </w:tc>
        <w:tc>
          <w:tcPr>
            <w:tcW w:w="1147" w:type="dxa"/>
            <w:noWrap/>
            <w:vAlign w:val="center"/>
          </w:tcPr>
          <w:p w14:paraId="51F7C7D6" w14:textId="77777777" w:rsidR="002E474C" w:rsidRDefault="00000000">
            <w:pPr>
              <w:pStyle w:val="A-"/>
              <w:spacing w:line="260" w:lineRule="exact"/>
              <w:ind w:leftChars="-25" w:left="-53" w:rightChars="-25" w:right="-53"/>
            </w:pPr>
            <w:r>
              <w:t>900-255-12</w:t>
            </w:r>
          </w:p>
        </w:tc>
        <w:tc>
          <w:tcPr>
            <w:tcW w:w="4991" w:type="dxa"/>
            <w:noWrap/>
            <w:vAlign w:val="center"/>
          </w:tcPr>
          <w:p w14:paraId="29BA4A97" w14:textId="77777777" w:rsidR="002E474C" w:rsidRDefault="00000000">
            <w:pPr>
              <w:pStyle w:val="A-"/>
              <w:spacing w:line="260" w:lineRule="exact"/>
            </w:pPr>
            <w:r>
              <w:t>使用各种颜料进行着色过程中产生的废颜料</w:t>
            </w:r>
          </w:p>
        </w:tc>
        <w:tc>
          <w:tcPr>
            <w:tcW w:w="663" w:type="dxa"/>
            <w:noWrap/>
            <w:vAlign w:val="center"/>
          </w:tcPr>
          <w:p w14:paraId="6ACC4145" w14:textId="77777777" w:rsidR="002E474C" w:rsidRDefault="00000000">
            <w:pPr>
              <w:pStyle w:val="A-"/>
              <w:spacing w:line="260" w:lineRule="exact"/>
            </w:pPr>
            <w:r>
              <w:t>T</w:t>
            </w:r>
          </w:p>
        </w:tc>
      </w:tr>
      <w:tr w:rsidR="002E474C" w14:paraId="37E57C27" w14:textId="77777777">
        <w:trPr>
          <w:trHeight w:val="300"/>
        </w:trPr>
        <w:tc>
          <w:tcPr>
            <w:tcW w:w="828" w:type="dxa"/>
            <w:vMerge/>
            <w:vAlign w:val="center"/>
          </w:tcPr>
          <w:p w14:paraId="0ADB5AA7" w14:textId="77777777" w:rsidR="002E474C" w:rsidRDefault="002E474C">
            <w:pPr>
              <w:pStyle w:val="A-"/>
              <w:spacing w:line="260" w:lineRule="exact"/>
            </w:pPr>
          </w:p>
        </w:tc>
        <w:tc>
          <w:tcPr>
            <w:tcW w:w="893" w:type="dxa"/>
            <w:vMerge/>
            <w:vAlign w:val="center"/>
          </w:tcPr>
          <w:p w14:paraId="1C3170DE" w14:textId="77777777" w:rsidR="002E474C" w:rsidRDefault="002E474C">
            <w:pPr>
              <w:pStyle w:val="A-"/>
              <w:spacing w:line="260" w:lineRule="exact"/>
            </w:pPr>
          </w:p>
        </w:tc>
        <w:tc>
          <w:tcPr>
            <w:tcW w:w="1147" w:type="dxa"/>
            <w:noWrap/>
            <w:vAlign w:val="center"/>
          </w:tcPr>
          <w:p w14:paraId="2FC3B0F8" w14:textId="77777777" w:rsidR="002E474C" w:rsidRDefault="00000000">
            <w:pPr>
              <w:pStyle w:val="A-"/>
              <w:spacing w:line="260" w:lineRule="exact"/>
              <w:ind w:leftChars="-25" w:left="-53" w:rightChars="-25" w:right="-53"/>
            </w:pPr>
            <w:r>
              <w:t>900-256-12</w:t>
            </w:r>
          </w:p>
        </w:tc>
        <w:tc>
          <w:tcPr>
            <w:tcW w:w="4991" w:type="dxa"/>
            <w:noWrap/>
            <w:vAlign w:val="center"/>
          </w:tcPr>
          <w:p w14:paraId="0168D60A" w14:textId="77777777" w:rsidR="002E474C" w:rsidRDefault="00000000">
            <w:pPr>
              <w:pStyle w:val="A-"/>
              <w:spacing w:line="260" w:lineRule="exact"/>
            </w:pPr>
            <w:r>
              <w:t>使用酸、碱或者有机溶剂清洗容器设备过程中剥离下的废油漆、废染料、废涂料</w:t>
            </w:r>
          </w:p>
        </w:tc>
        <w:tc>
          <w:tcPr>
            <w:tcW w:w="663" w:type="dxa"/>
            <w:noWrap/>
            <w:vAlign w:val="center"/>
          </w:tcPr>
          <w:p w14:paraId="2DE7FD19" w14:textId="77777777" w:rsidR="002E474C" w:rsidRDefault="00000000">
            <w:pPr>
              <w:pStyle w:val="A-"/>
              <w:spacing w:line="260" w:lineRule="exact"/>
            </w:pPr>
            <w:r>
              <w:t>T</w:t>
            </w:r>
            <w:r>
              <w:t>，</w:t>
            </w:r>
            <w:r>
              <w:t>I</w:t>
            </w:r>
            <w:r>
              <w:t>，</w:t>
            </w:r>
            <w:r>
              <w:t>C</w:t>
            </w:r>
          </w:p>
        </w:tc>
      </w:tr>
      <w:tr w:rsidR="002E474C" w14:paraId="11CC4D3B" w14:textId="77777777">
        <w:trPr>
          <w:trHeight w:val="300"/>
        </w:trPr>
        <w:tc>
          <w:tcPr>
            <w:tcW w:w="828" w:type="dxa"/>
            <w:vMerge/>
            <w:vAlign w:val="center"/>
          </w:tcPr>
          <w:p w14:paraId="79D8C1DD" w14:textId="77777777" w:rsidR="002E474C" w:rsidRDefault="002E474C">
            <w:pPr>
              <w:pStyle w:val="A-"/>
              <w:spacing w:line="260" w:lineRule="exact"/>
            </w:pPr>
          </w:p>
        </w:tc>
        <w:tc>
          <w:tcPr>
            <w:tcW w:w="893" w:type="dxa"/>
            <w:vMerge/>
            <w:vAlign w:val="center"/>
          </w:tcPr>
          <w:p w14:paraId="0B922DC7" w14:textId="77777777" w:rsidR="002E474C" w:rsidRDefault="002E474C">
            <w:pPr>
              <w:pStyle w:val="A-"/>
              <w:spacing w:line="260" w:lineRule="exact"/>
            </w:pPr>
          </w:p>
        </w:tc>
        <w:tc>
          <w:tcPr>
            <w:tcW w:w="1147" w:type="dxa"/>
            <w:noWrap/>
            <w:vAlign w:val="center"/>
          </w:tcPr>
          <w:p w14:paraId="01F2F3C1" w14:textId="77777777" w:rsidR="002E474C" w:rsidRDefault="00000000">
            <w:pPr>
              <w:pStyle w:val="A-"/>
              <w:spacing w:line="260" w:lineRule="exact"/>
              <w:ind w:leftChars="-25" w:left="-53" w:rightChars="-25" w:right="-53"/>
            </w:pPr>
            <w:r>
              <w:t>900-299-12</w:t>
            </w:r>
          </w:p>
        </w:tc>
        <w:tc>
          <w:tcPr>
            <w:tcW w:w="4991" w:type="dxa"/>
            <w:noWrap/>
            <w:vAlign w:val="center"/>
          </w:tcPr>
          <w:p w14:paraId="607DD906" w14:textId="77777777" w:rsidR="002E474C" w:rsidRDefault="00000000">
            <w:pPr>
              <w:pStyle w:val="A-"/>
              <w:spacing w:line="260" w:lineRule="exact"/>
            </w:pPr>
            <w:r>
              <w:rPr>
                <w:spacing w:val="-6"/>
              </w:rPr>
              <w:t>生产、销售及使用过程中产生的失效、变质、不合格、淘汰、伪劣的油墨、染料、颜料、油漆（不包括水性漆）</w:t>
            </w:r>
          </w:p>
        </w:tc>
        <w:tc>
          <w:tcPr>
            <w:tcW w:w="663" w:type="dxa"/>
            <w:noWrap/>
            <w:vAlign w:val="center"/>
          </w:tcPr>
          <w:p w14:paraId="56FBB7F0" w14:textId="77777777" w:rsidR="002E474C" w:rsidRDefault="00000000">
            <w:pPr>
              <w:pStyle w:val="A-"/>
              <w:spacing w:line="260" w:lineRule="exact"/>
            </w:pPr>
            <w:r>
              <w:t>T</w:t>
            </w:r>
          </w:p>
        </w:tc>
      </w:tr>
      <w:tr w:rsidR="002E474C" w14:paraId="2B7E0759" w14:textId="77777777">
        <w:trPr>
          <w:trHeight w:val="300"/>
        </w:trPr>
        <w:tc>
          <w:tcPr>
            <w:tcW w:w="828" w:type="dxa"/>
            <w:vMerge w:val="restart"/>
            <w:noWrap/>
            <w:vAlign w:val="center"/>
          </w:tcPr>
          <w:p w14:paraId="65BB7825" w14:textId="77777777" w:rsidR="002E474C" w:rsidRDefault="00000000">
            <w:pPr>
              <w:pStyle w:val="A-"/>
              <w:spacing w:line="260" w:lineRule="exact"/>
            </w:pPr>
            <w:r>
              <w:t>HW13</w:t>
            </w:r>
            <w:r>
              <w:br/>
            </w:r>
            <w:r>
              <w:t>有机树脂类废物</w:t>
            </w:r>
          </w:p>
        </w:tc>
        <w:tc>
          <w:tcPr>
            <w:tcW w:w="893" w:type="dxa"/>
            <w:vMerge w:val="restart"/>
            <w:noWrap/>
            <w:vAlign w:val="center"/>
          </w:tcPr>
          <w:p w14:paraId="63FD079E" w14:textId="77777777" w:rsidR="002E474C" w:rsidRDefault="00000000">
            <w:pPr>
              <w:pStyle w:val="A-"/>
              <w:spacing w:line="260" w:lineRule="exact"/>
            </w:pPr>
            <w:r>
              <w:t>合成材料制造</w:t>
            </w:r>
          </w:p>
        </w:tc>
        <w:tc>
          <w:tcPr>
            <w:tcW w:w="1147" w:type="dxa"/>
            <w:noWrap/>
            <w:vAlign w:val="center"/>
          </w:tcPr>
          <w:p w14:paraId="7D1A32FA" w14:textId="77777777" w:rsidR="002E474C" w:rsidRDefault="00000000">
            <w:pPr>
              <w:pStyle w:val="A-"/>
              <w:spacing w:line="260" w:lineRule="exact"/>
              <w:ind w:leftChars="-25" w:left="-53" w:rightChars="-25" w:right="-53"/>
            </w:pPr>
            <w:r>
              <w:t>265-101-13</w:t>
            </w:r>
          </w:p>
        </w:tc>
        <w:tc>
          <w:tcPr>
            <w:tcW w:w="4991" w:type="dxa"/>
            <w:noWrap/>
            <w:vAlign w:val="center"/>
          </w:tcPr>
          <w:p w14:paraId="7122A750" w14:textId="77777777" w:rsidR="002E474C" w:rsidRDefault="00000000">
            <w:pPr>
              <w:pStyle w:val="A-"/>
              <w:spacing w:line="260" w:lineRule="exact"/>
            </w:pPr>
            <w:r>
              <w:t>树脂、合成乳胶、增塑剂、胶水</w:t>
            </w:r>
            <w:r>
              <w:t>/</w:t>
            </w:r>
            <w:r>
              <w:t>胶合剂合成过程产生的不合格产品（不包括热塑型树脂生产过程中聚合产物经脱除单体、低聚物、溶剂及其他助剂后产生的废料，</w:t>
            </w:r>
            <w:r>
              <w:t xml:space="preserve"> </w:t>
            </w:r>
            <w:r>
              <w:t>以及热固型树脂固化后的固化体）</w:t>
            </w:r>
          </w:p>
        </w:tc>
        <w:tc>
          <w:tcPr>
            <w:tcW w:w="663" w:type="dxa"/>
            <w:noWrap/>
            <w:vAlign w:val="center"/>
          </w:tcPr>
          <w:p w14:paraId="5979AA10" w14:textId="77777777" w:rsidR="002E474C" w:rsidRDefault="00000000">
            <w:pPr>
              <w:pStyle w:val="A-"/>
              <w:spacing w:line="260" w:lineRule="exact"/>
            </w:pPr>
            <w:r>
              <w:t>T</w:t>
            </w:r>
          </w:p>
        </w:tc>
      </w:tr>
      <w:tr w:rsidR="002E474C" w14:paraId="4664ED71" w14:textId="77777777">
        <w:trPr>
          <w:trHeight w:val="300"/>
        </w:trPr>
        <w:tc>
          <w:tcPr>
            <w:tcW w:w="828" w:type="dxa"/>
            <w:vMerge/>
            <w:vAlign w:val="center"/>
          </w:tcPr>
          <w:p w14:paraId="1CECAB83" w14:textId="77777777" w:rsidR="002E474C" w:rsidRDefault="002E474C">
            <w:pPr>
              <w:pStyle w:val="A-"/>
              <w:spacing w:line="260" w:lineRule="exact"/>
            </w:pPr>
          </w:p>
        </w:tc>
        <w:tc>
          <w:tcPr>
            <w:tcW w:w="893" w:type="dxa"/>
            <w:vMerge/>
            <w:vAlign w:val="center"/>
          </w:tcPr>
          <w:p w14:paraId="3E7C93B0" w14:textId="77777777" w:rsidR="002E474C" w:rsidRDefault="002E474C">
            <w:pPr>
              <w:pStyle w:val="A-"/>
              <w:spacing w:line="260" w:lineRule="exact"/>
            </w:pPr>
          </w:p>
        </w:tc>
        <w:tc>
          <w:tcPr>
            <w:tcW w:w="1147" w:type="dxa"/>
            <w:noWrap/>
            <w:vAlign w:val="center"/>
          </w:tcPr>
          <w:p w14:paraId="4C3A8B46" w14:textId="77777777" w:rsidR="002E474C" w:rsidRDefault="00000000">
            <w:pPr>
              <w:pStyle w:val="A-"/>
              <w:spacing w:line="260" w:lineRule="exact"/>
              <w:ind w:leftChars="-25" w:left="-53" w:rightChars="-25" w:right="-53"/>
            </w:pPr>
            <w:r>
              <w:t>265-102-13</w:t>
            </w:r>
          </w:p>
        </w:tc>
        <w:tc>
          <w:tcPr>
            <w:tcW w:w="4991" w:type="dxa"/>
            <w:noWrap/>
            <w:vAlign w:val="center"/>
          </w:tcPr>
          <w:p w14:paraId="7CFDC914" w14:textId="77777777" w:rsidR="002E474C" w:rsidRDefault="00000000">
            <w:pPr>
              <w:pStyle w:val="A-"/>
              <w:spacing w:line="260" w:lineRule="exact"/>
            </w:pPr>
            <w:r>
              <w:t>树脂、合成乳胶、增塑剂、胶水</w:t>
            </w:r>
            <w:r>
              <w:t>/</w:t>
            </w:r>
            <w:r>
              <w:t>胶合剂生产过程中合成、酯化、缩合等工序产生的废母液</w:t>
            </w:r>
          </w:p>
        </w:tc>
        <w:tc>
          <w:tcPr>
            <w:tcW w:w="663" w:type="dxa"/>
            <w:noWrap/>
            <w:vAlign w:val="center"/>
          </w:tcPr>
          <w:p w14:paraId="2F17FD80" w14:textId="77777777" w:rsidR="002E474C" w:rsidRDefault="00000000">
            <w:pPr>
              <w:pStyle w:val="A-"/>
              <w:spacing w:line="260" w:lineRule="exact"/>
            </w:pPr>
            <w:r>
              <w:t>T</w:t>
            </w:r>
          </w:p>
        </w:tc>
      </w:tr>
      <w:tr w:rsidR="002E474C" w14:paraId="45C141B6" w14:textId="77777777">
        <w:trPr>
          <w:trHeight w:val="300"/>
        </w:trPr>
        <w:tc>
          <w:tcPr>
            <w:tcW w:w="828" w:type="dxa"/>
            <w:vMerge/>
            <w:vAlign w:val="center"/>
          </w:tcPr>
          <w:p w14:paraId="28F5EF01" w14:textId="77777777" w:rsidR="002E474C" w:rsidRDefault="002E474C">
            <w:pPr>
              <w:pStyle w:val="A-"/>
              <w:spacing w:line="260" w:lineRule="exact"/>
            </w:pPr>
          </w:p>
        </w:tc>
        <w:tc>
          <w:tcPr>
            <w:tcW w:w="893" w:type="dxa"/>
            <w:vMerge/>
            <w:vAlign w:val="center"/>
          </w:tcPr>
          <w:p w14:paraId="7DDEC2DD" w14:textId="77777777" w:rsidR="002E474C" w:rsidRDefault="002E474C">
            <w:pPr>
              <w:pStyle w:val="A-"/>
              <w:spacing w:line="260" w:lineRule="exact"/>
            </w:pPr>
          </w:p>
        </w:tc>
        <w:tc>
          <w:tcPr>
            <w:tcW w:w="1147" w:type="dxa"/>
            <w:noWrap/>
            <w:vAlign w:val="center"/>
          </w:tcPr>
          <w:p w14:paraId="65E69FC1" w14:textId="77777777" w:rsidR="002E474C" w:rsidRDefault="00000000">
            <w:pPr>
              <w:pStyle w:val="A-"/>
              <w:spacing w:line="260" w:lineRule="exact"/>
              <w:ind w:leftChars="-25" w:left="-53" w:rightChars="-25" w:right="-53"/>
            </w:pPr>
            <w:r>
              <w:t>265-103-13</w:t>
            </w:r>
          </w:p>
        </w:tc>
        <w:tc>
          <w:tcPr>
            <w:tcW w:w="4991" w:type="dxa"/>
            <w:noWrap/>
            <w:vAlign w:val="center"/>
          </w:tcPr>
          <w:p w14:paraId="5B8B9889" w14:textId="77777777" w:rsidR="002E474C" w:rsidRDefault="00000000">
            <w:pPr>
              <w:pStyle w:val="A-"/>
              <w:spacing w:line="260" w:lineRule="exact"/>
            </w:pPr>
            <w:r>
              <w:t>树脂（不包括水性聚氨酯乳液、水性丙烯酸乳液、水性聚氨酯丙烯酸复合乳液）、合成乳胶、增塑剂、胶水</w:t>
            </w:r>
            <w:r>
              <w:t>/</w:t>
            </w:r>
            <w:r>
              <w:t>胶合剂生产过程中精馏、分离、精制等工序产生的釜底残液、废过滤介质和残渣</w:t>
            </w:r>
          </w:p>
        </w:tc>
        <w:tc>
          <w:tcPr>
            <w:tcW w:w="663" w:type="dxa"/>
            <w:noWrap/>
            <w:vAlign w:val="center"/>
          </w:tcPr>
          <w:p w14:paraId="1567AF6A" w14:textId="77777777" w:rsidR="002E474C" w:rsidRDefault="00000000">
            <w:pPr>
              <w:pStyle w:val="A-"/>
              <w:spacing w:line="260" w:lineRule="exact"/>
            </w:pPr>
            <w:r>
              <w:t>T</w:t>
            </w:r>
          </w:p>
        </w:tc>
      </w:tr>
      <w:tr w:rsidR="002E474C" w14:paraId="30AB5BB3" w14:textId="77777777">
        <w:trPr>
          <w:trHeight w:val="300"/>
        </w:trPr>
        <w:tc>
          <w:tcPr>
            <w:tcW w:w="828" w:type="dxa"/>
            <w:vMerge/>
            <w:vAlign w:val="center"/>
          </w:tcPr>
          <w:p w14:paraId="2202B28B" w14:textId="77777777" w:rsidR="002E474C" w:rsidRDefault="002E474C">
            <w:pPr>
              <w:pStyle w:val="A-"/>
              <w:spacing w:line="260" w:lineRule="exact"/>
            </w:pPr>
          </w:p>
        </w:tc>
        <w:tc>
          <w:tcPr>
            <w:tcW w:w="893" w:type="dxa"/>
            <w:vMerge/>
            <w:vAlign w:val="center"/>
          </w:tcPr>
          <w:p w14:paraId="5C8846A7" w14:textId="77777777" w:rsidR="002E474C" w:rsidRDefault="002E474C">
            <w:pPr>
              <w:pStyle w:val="A-"/>
              <w:spacing w:line="260" w:lineRule="exact"/>
            </w:pPr>
          </w:p>
        </w:tc>
        <w:tc>
          <w:tcPr>
            <w:tcW w:w="1147" w:type="dxa"/>
            <w:noWrap/>
            <w:vAlign w:val="center"/>
          </w:tcPr>
          <w:p w14:paraId="730B4B6F" w14:textId="77777777" w:rsidR="002E474C" w:rsidRDefault="00000000">
            <w:pPr>
              <w:pStyle w:val="A-"/>
              <w:spacing w:line="260" w:lineRule="exact"/>
              <w:ind w:leftChars="-25" w:left="-53" w:rightChars="-25" w:right="-53"/>
            </w:pPr>
            <w:r>
              <w:t>265-104-13</w:t>
            </w:r>
          </w:p>
        </w:tc>
        <w:tc>
          <w:tcPr>
            <w:tcW w:w="4991" w:type="dxa"/>
            <w:noWrap/>
            <w:vAlign w:val="center"/>
          </w:tcPr>
          <w:p w14:paraId="1359C834" w14:textId="77777777" w:rsidR="002E474C" w:rsidRDefault="00000000">
            <w:pPr>
              <w:pStyle w:val="A-"/>
              <w:spacing w:line="260" w:lineRule="exact"/>
            </w:pPr>
            <w:r>
              <w:t>树脂（不包括水性聚氨酯乳液、水性丙烯酸乳液、水性聚氨酯丙烯酸复合乳液）、合成乳胶、增塑剂、胶水</w:t>
            </w:r>
            <w:r>
              <w:t>/</w:t>
            </w:r>
            <w:r>
              <w:t>胶合剂合成过程中产生的废水处理污泥（不包括废水生化处理污泥）</w:t>
            </w:r>
          </w:p>
        </w:tc>
        <w:tc>
          <w:tcPr>
            <w:tcW w:w="663" w:type="dxa"/>
            <w:noWrap/>
            <w:vAlign w:val="center"/>
          </w:tcPr>
          <w:p w14:paraId="76623580" w14:textId="77777777" w:rsidR="002E474C" w:rsidRDefault="00000000">
            <w:pPr>
              <w:pStyle w:val="A-"/>
              <w:spacing w:line="260" w:lineRule="exact"/>
            </w:pPr>
            <w:r>
              <w:t>T</w:t>
            </w:r>
          </w:p>
        </w:tc>
      </w:tr>
      <w:tr w:rsidR="002E474C" w14:paraId="3F79317A" w14:textId="77777777">
        <w:trPr>
          <w:trHeight w:val="300"/>
        </w:trPr>
        <w:tc>
          <w:tcPr>
            <w:tcW w:w="828" w:type="dxa"/>
            <w:vMerge/>
            <w:vAlign w:val="center"/>
          </w:tcPr>
          <w:p w14:paraId="38E9A098" w14:textId="77777777" w:rsidR="002E474C" w:rsidRDefault="002E474C">
            <w:pPr>
              <w:pStyle w:val="A-"/>
              <w:spacing w:line="260" w:lineRule="exact"/>
            </w:pPr>
          </w:p>
        </w:tc>
        <w:tc>
          <w:tcPr>
            <w:tcW w:w="893" w:type="dxa"/>
            <w:vMerge w:val="restart"/>
            <w:noWrap/>
            <w:vAlign w:val="center"/>
          </w:tcPr>
          <w:p w14:paraId="75C2B464" w14:textId="77777777" w:rsidR="002E474C" w:rsidRDefault="00000000">
            <w:pPr>
              <w:pStyle w:val="A-"/>
              <w:spacing w:line="260" w:lineRule="exact"/>
            </w:pPr>
            <w:r>
              <w:t>非特定行业</w:t>
            </w:r>
          </w:p>
        </w:tc>
        <w:tc>
          <w:tcPr>
            <w:tcW w:w="1147" w:type="dxa"/>
            <w:noWrap/>
            <w:vAlign w:val="center"/>
          </w:tcPr>
          <w:p w14:paraId="498F63FA" w14:textId="77777777" w:rsidR="002E474C" w:rsidRDefault="00000000">
            <w:pPr>
              <w:pStyle w:val="A-"/>
              <w:spacing w:line="260" w:lineRule="exact"/>
              <w:ind w:leftChars="-25" w:left="-53" w:rightChars="-25" w:right="-53"/>
            </w:pPr>
            <w:r>
              <w:t>900-014-13</w:t>
            </w:r>
          </w:p>
        </w:tc>
        <w:tc>
          <w:tcPr>
            <w:tcW w:w="4991" w:type="dxa"/>
            <w:noWrap/>
            <w:vAlign w:val="center"/>
          </w:tcPr>
          <w:p w14:paraId="1CFB4D35" w14:textId="77777777" w:rsidR="002E474C" w:rsidRDefault="00000000">
            <w:pPr>
              <w:pStyle w:val="A-"/>
              <w:spacing w:line="260" w:lineRule="exact"/>
            </w:pPr>
            <w:r>
              <w:t>废弃的粘合剂和密封剂（不包括水基型和热熔型粘合剂和密封剂）</w:t>
            </w:r>
          </w:p>
        </w:tc>
        <w:tc>
          <w:tcPr>
            <w:tcW w:w="663" w:type="dxa"/>
            <w:noWrap/>
            <w:vAlign w:val="center"/>
          </w:tcPr>
          <w:p w14:paraId="6FCDA67E" w14:textId="77777777" w:rsidR="002E474C" w:rsidRDefault="00000000">
            <w:pPr>
              <w:pStyle w:val="A-"/>
              <w:spacing w:line="260" w:lineRule="exact"/>
            </w:pPr>
            <w:r>
              <w:t>T</w:t>
            </w:r>
          </w:p>
        </w:tc>
      </w:tr>
      <w:tr w:rsidR="002E474C" w14:paraId="4ED1878C" w14:textId="77777777">
        <w:trPr>
          <w:trHeight w:val="300"/>
        </w:trPr>
        <w:tc>
          <w:tcPr>
            <w:tcW w:w="828" w:type="dxa"/>
            <w:vMerge/>
            <w:vAlign w:val="center"/>
          </w:tcPr>
          <w:p w14:paraId="276BD8FB" w14:textId="77777777" w:rsidR="002E474C" w:rsidRDefault="002E474C">
            <w:pPr>
              <w:pStyle w:val="A-"/>
              <w:spacing w:line="260" w:lineRule="exact"/>
            </w:pPr>
          </w:p>
        </w:tc>
        <w:tc>
          <w:tcPr>
            <w:tcW w:w="893" w:type="dxa"/>
            <w:vMerge/>
            <w:vAlign w:val="center"/>
          </w:tcPr>
          <w:p w14:paraId="6F6FEFD8" w14:textId="77777777" w:rsidR="002E474C" w:rsidRDefault="002E474C">
            <w:pPr>
              <w:pStyle w:val="A-"/>
              <w:spacing w:line="260" w:lineRule="exact"/>
            </w:pPr>
          </w:p>
        </w:tc>
        <w:tc>
          <w:tcPr>
            <w:tcW w:w="1147" w:type="dxa"/>
            <w:noWrap/>
            <w:vAlign w:val="center"/>
          </w:tcPr>
          <w:p w14:paraId="3451296E" w14:textId="77777777" w:rsidR="002E474C" w:rsidRDefault="00000000">
            <w:pPr>
              <w:pStyle w:val="A-"/>
              <w:spacing w:line="260" w:lineRule="exact"/>
              <w:ind w:leftChars="-25" w:left="-53" w:rightChars="-25" w:right="-53"/>
            </w:pPr>
            <w:r>
              <w:t>900-015-13</w:t>
            </w:r>
          </w:p>
        </w:tc>
        <w:tc>
          <w:tcPr>
            <w:tcW w:w="4991" w:type="dxa"/>
            <w:noWrap/>
            <w:vAlign w:val="center"/>
          </w:tcPr>
          <w:p w14:paraId="28AF3375" w14:textId="77777777" w:rsidR="002E474C" w:rsidRDefault="00000000">
            <w:pPr>
              <w:pStyle w:val="A-"/>
              <w:spacing w:line="260" w:lineRule="exact"/>
            </w:pPr>
            <w:r>
              <w:t>湿法冶金、表面处理和制药行业重金属、抗生素提取、分离过程产生的废弃离子交换树脂，</w:t>
            </w:r>
            <w:r>
              <w:t xml:space="preserve"> </w:t>
            </w:r>
            <w:r>
              <w:t>以及工业废水处理过程产生的废弃离子交换树脂</w:t>
            </w:r>
          </w:p>
        </w:tc>
        <w:tc>
          <w:tcPr>
            <w:tcW w:w="663" w:type="dxa"/>
            <w:noWrap/>
            <w:vAlign w:val="center"/>
          </w:tcPr>
          <w:p w14:paraId="6455E8D1" w14:textId="77777777" w:rsidR="002E474C" w:rsidRDefault="00000000">
            <w:pPr>
              <w:pStyle w:val="A-"/>
              <w:spacing w:line="260" w:lineRule="exact"/>
            </w:pPr>
            <w:r>
              <w:t>T</w:t>
            </w:r>
          </w:p>
        </w:tc>
      </w:tr>
      <w:tr w:rsidR="002E474C" w14:paraId="4E90BF2A" w14:textId="77777777">
        <w:trPr>
          <w:trHeight w:val="300"/>
        </w:trPr>
        <w:tc>
          <w:tcPr>
            <w:tcW w:w="828" w:type="dxa"/>
            <w:vMerge/>
            <w:vAlign w:val="center"/>
          </w:tcPr>
          <w:p w14:paraId="5749D5BB" w14:textId="77777777" w:rsidR="002E474C" w:rsidRDefault="002E474C">
            <w:pPr>
              <w:pStyle w:val="A-"/>
              <w:spacing w:line="260" w:lineRule="exact"/>
            </w:pPr>
          </w:p>
        </w:tc>
        <w:tc>
          <w:tcPr>
            <w:tcW w:w="893" w:type="dxa"/>
            <w:vMerge/>
            <w:vAlign w:val="center"/>
          </w:tcPr>
          <w:p w14:paraId="469958E6" w14:textId="77777777" w:rsidR="002E474C" w:rsidRDefault="002E474C">
            <w:pPr>
              <w:pStyle w:val="A-"/>
              <w:spacing w:line="260" w:lineRule="exact"/>
            </w:pPr>
          </w:p>
        </w:tc>
        <w:tc>
          <w:tcPr>
            <w:tcW w:w="1147" w:type="dxa"/>
            <w:noWrap/>
            <w:vAlign w:val="center"/>
          </w:tcPr>
          <w:p w14:paraId="03F453F6" w14:textId="77777777" w:rsidR="002E474C" w:rsidRDefault="00000000">
            <w:pPr>
              <w:pStyle w:val="A-"/>
              <w:spacing w:line="260" w:lineRule="exact"/>
              <w:ind w:leftChars="-25" w:left="-53" w:rightChars="-25" w:right="-53"/>
            </w:pPr>
            <w:r>
              <w:t>900-016-13</w:t>
            </w:r>
          </w:p>
        </w:tc>
        <w:tc>
          <w:tcPr>
            <w:tcW w:w="4991" w:type="dxa"/>
            <w:noWrap/>
            <w:vAlign w:val="center"/>
          </w:tcPr>
          <w:p w14:paraId="4F45C721" w14:textId="77777777" w:rsidR="002E474C" w:rsidRDefault="00000000">
            <w:pPr>
              <w:pStyle w:val="A-"/>
              <w:spacing w:line="260" w:lineRule="exact"/>
            </w:pPr>
            <w:r>
              <w:t>使用酸、碱或者有机溶剂清洗容器设备剥离下的树脂状、粘稠杂物</w:t>
            </w:r>
          </w:p>
        </w:tc>
        <w:tc>
          <w:tcPr>
            <w:tcW w:w="663" w:type="dxa"/>
            <w:noWrap/>
            <w:vAlign w:val="center"/>
          </w:tcPr>
          <w:p w14:paraId="42F510C2" w14:textId="77777777" w:rsidR="002E474C" w:rsidRDefault="00000000">
            <w:pPr>
              <w:pStyle w:val="A-"/>
              <w:spacing w:line="260" w:lineRule="exact"/>
            </w:pPr>
            <w:r>
              <w:t>T</w:t>
            </w:r>
          </w:p>
        </w:tc>
      </w:tr>
      <w:tr w:rsidR="002E474C" w14:paraId="1823A1E6" w14:textId="77777777">
        <w:trPr>
          <w:trHeight w:val="300"/>
        </w:trPr>
        <w:tc>
          <w:tcPr>
            <w:tcW w:w="828" w:type="dxa"/>
            <w:vMerge/>
            <w:vAlign w:val="center"/>
          </w:tcPr>
          <w:p w14:paraId="22027C2F" w14:textId="77777777" w:rsidR="002E474C" w:rsidRDefault="002E474C">
            <w:pPr>
              <w:pStyle w:val="A-"/>
              <w:spacing w:line="260" w:lineRule="exact"/>
            </w:pPr>
          </w:p>
        </w:tc>
        <w:tc>
          <w:tcPr>
            <w:tcW w:w="893" w:type="dxa"/>
            <w:vMerge/>
            <w:vAlign w:val="center"/>
          </w:tcPr>
          <w:p w14:paraId="5462ED51" w14:textId="77777777" w:rsidR="002E474C" w:rsidRDefault="002E474C">
            <w:pPr>
              <w:pStyle w:val="A-"/>
              <w:spacing w:line="260" w:lineRule="exact"/>
            </w:pPr>
          </w:p>
        </w:tc>
        <w:tc>
          <w:tcPr>
            <w:tcW w:w="1147" w:type="dxa"/>
            <w:noWrap/>
            <w:vAlign w:val="center"/>
          </w:tcPr>
          <w:p w14:paraId="723718E2" w14:textId="77777777" w:rsidR="002E474C" w:rsidRDefault="00000000">
            <w:pPr>
              <w:pStyle w:val="A-"/>
              <w:spacing w:line="260" w:lineRule="exact"/>
              <w:ind w:leftChars="-25" w:left="-53" w:rightChars="-25" w:right="-53"/>
            </w:pPr>
            <w:r>
              <w:t>900-451-13</w:t>
            </w:r>
          </w:p>
        </w:tc>
        <w:tc>
          <w:tcPr>
            <w:tcW w:w="4991" w:type="dxa"/>
            <w:noWrap/>
            <w:vAlign w:val="center"/>
          </w:tcPr>
          <w:p w14:paraId="46C29BD9" w14:textId="77777777" w:rsidR="002E474C" w:rsidRDefault="00000000">
            <w:pPr>
              <w:pStyle w:val="A-"/>
              <w:spacing w:line="260" w:lineRule="exact"/>
            </w:pPr>
            <w:r>
              <w:t>废覆铜板、印刷线路板、</w:t>
            </w:r>
            <w:r>
              <w:t xml:space="preserve"> </w:t>
            </w:r>
            <w:r>
              <w:t>电路板破碎分选回收金属后产生的废树脂粉</w:t>
            </w:r>
          </w:p>
        </w:tc>
        <w:tc>
          <w:tcPr>
            <w:tcW w:w="663" w:type="dxa"/>
            <w:noWrap/>
            <w:vAlign w:val="center"/>
          </w:tcPr>
          <w:p w14:paraId="32E1B684" w14:textId="77777777" w:rsidR="002E474C" w:rsidRDefault="00000000">
            <w:pPr>
              <w:pStyle w:val="A-"/>
              <w:spacing w:line="260" w:lineRule="exact"/>
            </w:pPr>
            <w:r>
              <w:t>T</w:t>
            </w:r>
          </w:p>
        </w:tc>
      </w:tr>
      <w:tr w:rsidR="002E474C" w14:paraId="26453571" w14:textId="77777777">
        <w:trPr>
          <w:trHeight w:val="300"/>
        </w:trPr>
        <w:tc>
          <w:tcPr>
            <w:tcW w:w="828" w:type="dxa"/>
            <w:noWrap/>
            <w:vAlign w:val="center"/>
          </w:tcPr>
          <w:p w14:paraId="2A06B405" w14:textId="77777777" w:rsidR="002E474C" w:rsidRDefault="00000000">
            <w:pPr>
              <w:pStyle w:val="A-"/>
              <w:spacing w:line="260" w:lineRule="exact"/>
            </w:pPr>
            <w:r>
              <w:t>HW14</w:t>
            </w:r>
            <w:r>
              <w:br/>
            </w:r>
            <w:r>
              <w:rPr>
                <w:spacing w:val="-11"/>
              </w:rPr>
              <w:t>新化学物质废物</w:t>
            </w:r>
          </w:p>
        </w:tc>
        <w:tc>
          <w:tcPr>
            <w:tcW w:w="893" w:type="dxa"/>
            <w:noWrap/>
            <w:vAlign w:val="center"/>
          </w:tcPr>
          <w:p w14:paraId="5E34F7E2" w14:textId="77777777" w:rsidR="002E474C" w:rsidRDefault="00000000">
            <w:pPr>
              <w:pStyle w:val="A-"/>
              <w:spacing w:line="260" w:lineRule="exact"/>
            </w:pPr>
            <w:r>
              <w:t>非特定行业</w:t>
            </w:r>
          </w:p>
        </w:tc>
        <w:tc>
          <w:tcPr>
            <w:tcW w:w="1147" w:type="dxa"/>
            <w:noWrap/>
            <w:vAlign w:val="center"/>
          </w:tcPr>
          <w:p w14:paraId="311691AA" w14:textId="77777777" w:rsidR="002E474C" w:rsidRDefault="00000000">
            <w:pPr>
              <w:pStyle w:val="A-"/>
              <w:spacing w:line="260" w:lineRule="exact"/>
              <w:ind w:leftChars="-25" w:left="-53" w:rightChars="-25" w:right="-53"/>
            </w:pPr>
            <w:r>
              <w:t>900-017-14</w:t>
            </w:r>
          </w:p>
        </w:tc>
        <w:tc>
          <w:tcPr>
            <w:tcW w:w="4991" w:type="dxa"/>
            <w:noWrap/>
            <w:vAlign w:val="center"/>
          </w:tcPr>
          <w:p w14:paraId="49DEE433" w14:textId="77777777" w:rsidR="002E474C" w:rsidRDefault="00000000">
            <w:pPr>
              <w:pStyle w:val="A-"/>
              <w:spacing w:line="260" w:lineRule="exact"/>
            </w:pPr>
            <w:r>
              <w:t>研究、开发和教学活动中产生的对人类或者环境影响不明的化学物质废物</w:t>
            </w:r>
          </w:p>
        </w:tc>
        <w:tc>
          <w:tcPr>
            <w:tcW w:w="663" w:type="dxa"/>
            <w:noWrap/>
            <w:vAlign w:val="center"/>
          </w:tcPr>
          <w:p w14:paraId="06E55046" w14:textId="77777777" w:rsidR="002E474C" w:rsidRDefault="00000000">
            <w:pPr>
              <w:pStyle w:val="A-"/>
              <w:spacing w:line="260" w:lineRule="exact"/>
            </w:pPr>
            <w:r>
              <w:t>T/C/I/R</w:t>
            </w:r>
          </w:p>
        </w:tc>
      </w:tr>
      <w:tr w:rsidR="002E474C" w14:paraId="36740745" w14:textId="77777777">
        <w:trPr>
          <w:trHeight w:val="300"/>
        </w:trPr>
        <w:tc>
          <w:tcPr>
            <w:tcW w:w="828" w:type="dxa"/>
            <w:vMerge w:val="restart"/>
            <w:noWrap/>
            <w:vAlign w:val="center"/>
          </w:tcPr>
          <w:p w14:paraId="482009BD" w14:textId="77777777" w:rsidR="002E474C" w:rsidRDefault="00000000">
            <w:pPr>
              <w:pStyle w:val="A-"/>
              <w:spacing w:line="260" w:lineRule="exact"/>
            </w:pPr>
            <w:r>
              <w:t>HW16</w:t>
            </w:r>
            <w:r>
              <w:br/>
            </w:r>
            <w:r>
              <w:t>感光材料废物</w:t>
            </w:r>
          </w:p>
        </w:tc>
        <w:tc>
          <w:tcPr>
            <w:tcW w:w="893" w:type="dxa"/>
            <w:vMerge w:val="restart"/>
            <w:noWrap/>
            <w:vAlign w:val="center"/>
          </w:tcPr>
          <w:p w14:paraId="102281C3" w14:textId="77777777" w:rsidR="002E474C" w:rsidRDefault="00000000">
            <w:pPr>
              <w:pStyle w:val="A-"/>
              <w:spacing w:line="260" w:lineRule="exact"/>
            </w:pPr>
            <w:r>
              <w:t>专用化学产品制造</w:t>
            </w:r>
          </w:p>
        </w:tc>
        <w:tc>
          <w:tcPr>
            <w:tcW w:w="1147" w:type="dxa"/>
            <w:noWrap/>
            <w:vAlign w:val="center"/>
          </w:tcPr>
          <w:p w14:paraId="16D8D11C" w14:textId="77777777" w:rsidR="002E474C" w:rsidRDefault="00000000">
            <w:pPr>
              <w:pStyle w:val="A-"/>
              <w:spacing w:line="260" w:lineRule="exact"/>
              <w:ind w:leftChars="-25" w:left="-53" w:rightChars="-25" w:right="-53"/>
            </w:pPr>
            <w:r>
              <w:t>266-009-16</w:t>
            </w:r>
          </w:p>
        </w:tc>
        <w:tc>
          <w:tcPr>
            <w:tcW w:w="4991" w:type="dxa"/>
            <w:noWrap/>
            <w:vAlign w:val="center"/>
          </w:tcPr>
          <w:p w14:paraId="16DAECA7" w14:textId="77777777" w:rsidR="002E474C" w:rsidRDefault="00000000">
            <w:pPr>
              <w:pStyle w:val="A-"/>
              <w:spacing w:line="260" w:lineRule="exact"/>
            </w:pPr>
            <w:r>
              <w:t>显（定）影剂、正负胶片、像纸、感光材料生产过程中产生的不合格产品和过期产品</w:t>
            </w:r>
          </w:p>
        </w:tc>
        <w:tc>
          <w:tcPr>
            <w:tcW w:w="663" w:type="dxa"/>
            <w:noWrap/>
            <w:vAlign w:val="center"/>
          </w:tcPr>
          <w:p w14:paraId="67B56F19" w14:textId="77777777" w:rsidR="002E474C" w:rsidRDefault="00000000">
            <w:pPr>
              <w:pStyle w:val="A-"/>
              <w:spacing w:line="260" w:lineRule="exact"/>
            </w:pPr>
            <w:r>
              <w:t>T</w:t>
            </w:r>
          </w:p>
        </w:tc>
      </w:tr>
      <w:tr w:rsidR="002E474C" w14:paraId="4B06CAAB" w14:textId="77777777">
        <w:trPr>
          <w:trHeight w:val="300"/>
        </w:trPr>
        <w:tc>
          <w:tcPr>
            <w:tcW w:w="828" w:type="dxa"/>
            <w:vMerge/>
            <w:vAlign w:val="center"/>
          </w:tcPr>
          <w:p w14:paraId="1C47BF34" w14:textId="77777777" w:rsidR="002E474C" w:rsidRDefault="002E474C">
            <w:pPr>
              <w:pStyle w:val="A-"/>
              <w:spacing w:line="260" w:lineRule="exact"/>
            </w:pPr>
          </w:p>
        </w:tc>
        <w:tc>
          <w:tcPr>
            <w:tcW w:w="893" w:type="dxa"/>
            <w:vMerge/>
            <w:vAlign w:val="center"/>
          </w:tcPr>
          <w:p w14:paraId="077EFF44" w14:textId="77777777" w:rsidR="002E474C" w:rsidRDefault="002E474C">
            <w:pPr>
              <w:pStyle w:val="A-"/>
              <w:spacing w:line="260" w:lineRule="exact"/>
            </w:pPr>
          </w:p>
        </w:tc>
        <w:tc>
          <w:tcPr>
            <w:tcW w:w="1147" w:type="dxa"/>
            <w:noWrap/>
            <w:vAlign w:val="center"/>
          </w:tcPr>
          <w:p w14:paraId="2E139138" w14:textId="77777777" w:rsidR="002E474C" w:rsidRDefault="00000000">
            <w:pPr>
              <w:pStyle w:val="A-"/>
              <w:spacing w:line="260" w:lineRule="exact"/>
              <w:ind w:leftChars="-25" w:left="-53" w:rightChars="-25" w:right="-53"/>
            </w:pPr>
            <w:r>
              <w:t>266-010-16</w:t>
            </w:r>
          </w:p>
        </w:tc>
        <w:tc>
          <w:tcPr>
            <w:tcW w:w="4991" w:type="dxa"/>
            <w:noWrap/>
            <w:vAlign w:val="center"/>
          </w:tcPr>
          <w:p w14:paraId="3FB6F00E" w14:textId="77777777" w:rsidR="002E474C" w:rsidRDefault="00000000">
            <w:pPr>
              <w:pStyle w:val="A-"/>
              <w:spacing w:line="260" w:lineRule="exact"/>
            </w:pPr>
            <w:r>
              <w:t>显（定）影剂、正负胶片、像纸、感光材料生产过程中产生的残渣和废水处理污泥</w:t>
            </w:r>
          </w:p>
        </w:tc>
        <w:tc>
          <w:tcPr>
            <w:tcW w:w="663" w:type="dxa"/>
            <w:noWrap/>
            <w:vAlign w:val="center"/>
          </w:tcPr>
          <w:p w14:paraId="68241356" w14:textId="77777777" w:rsidR="002E474C" w:rsidRDefault="00000000">
            <w:pPr>
              <w:pStyle w:val="A-"/>
              <w:spacing w:line="260" w:lineRule="exact"/>
            </w:pPr>
            <w:r>
              <w:t>T</w:t>
            </w:r>
          </w:p>
        </w:tc>
      </w:tr>
      <w:tr w:rsidR="002E474C" w14:paraId="7A71ADD7" w14:textId="77777777">
        <w:trPr>
          <w:trHeight w:val="300"/>
        </w:trPr>
        <w:tc>
          <w:tcPr>
            <w:tcW w:w="828" w:type="dxa"/>
            <w:vMerge/>
            <w:vAlign w:val="center"/>
          </w:tcPr>
          <w:p w14:paraId="5E99E8B2" w14:textId="77777777" w:rsidR="002E474C" w:rsidRDefault="002E474C">
            <w:pPr>
              <w:pStyle w:val="A-"/>
              <w:spacing w:line="260" w:lineRule="exact"/>
            </w:pPr>
          </w:p>
        </w:tc>
        <w:tc>
          <w:tcPr>
            <w:tcW w:w="893" w:type="dxa"/>
            <w:vMerge w:val="restart"/>
            <w:noWrap/>
            <w:vAlign w:val="center"/>
          </w:tcPr>
          <w:p w14:paraId="5180E80E" w14:textId="77777777" w:rsidR="002E474C" w:rsidRDefault="00000000">
            <w:pPr>
              <w:pStyle w:val="A-"/>
              <w:spacing w:line="260" w:lineRule="exact"/>
            </w:pPr>
            <w:r>
              <w:t>印刷</w:t>
            </w:r>
          </w:p>
        </w:tc>
        <w:tc>
          <w:tcPr>
            <w:tcW w:w="1147" w:type="dxa"/>
            <w:noWrap/>
            <w:vAlign w:val="center"/>
          </w:tcPr>
          <w:p w14:paraId="5953306F" w14:textId="77777777" w:rsidR="002E474C" w:rsidRDefault="00000000">
            <w:pPr>
              <w:pStyle w:val="A-"/>
              <w:spacing w:line="260" w:lineRule="exact"/>
              <w:ind w:leftChars="-25" w:left="-53" w:rightChars="-25" w:right="-53"/>
            </w:pPr>
            <w:r>
              <w:t>231-001-16</w:t>
            </w:r>
          </w:p>
        </w:tc>
        <w:tc>
          <w:tcPr>
            <w:tcW w:w="4991" w:type="dxa"/>
            <w:noWrap/>
            <w:vAlign w:val="center"/>
          </w:tcPr>
          <w:p w14:paraId="6775F9DF" w14:textId="77777777" w:rsidR="002E474C" w:rsidRDefault="00000000">
            <w:pPr>
              <w:pStyle w:val="A-"/>
              <w:spacing w:line="260" w:lineRule="exact"/>
            </w:pPr>
            <w:r>
              <w:t>使用显影剂进行胶卷显影，使用定影剂进行胶卷定</w:t>
            </w:r>
            <w:r>
              <w:lastRenderedPageBreak/>
              <w:t>影，</w:t>
            </w:r>
            <w:r>
              <w:t xml:space="preserve"> </w:t>
            </w:r>
            <w:r>
              <w:t>以及使用铁氰化钾、硫代硫酸盐进行影像减薄（漂白）产生的废显（定）影剂、胶片和废像纸</w:t>
            </w:r>
          </w:p>
        </w:tc>
        <w:tc>
          <w:tcPr>
            <w:tcW w:w="663" w:type="dxa"/>
            <w:noWrap/>
            <w:vAlign w:val="center"/>
          </w:tcPr>
          <w:p w14:paraId="33FFE144" w14:textId="77777777" w:rsidR="002E474C" w:rsidRDefault="00000000">
            <w:pPr>
              <w:pStyle w:val="A-"/>
              <w:spacing w:line="260" w:lineRule="exact"/>
            </w:pPr>
            <w:r>
              <w:lastRenderedPageBreak/>
              <w:t>T</w:t>
            </w:r>
          </w:p>
        </w:tc>
      </w:tr>
      <w:tr w:rsidR="002E474C" w14:paraId="2367276A" w14:textId="77777777">
        <w:trPr>
          <w:trHeight w:val="300"/>
        </w:trPr>
        <w:tc>
          <w:tcPr>
            <w:tcW w:w="828" w:type="dxa"/>
            <w:vMerge/>
            <w:vAlign w:val="center"/>
          </w:tcPr>
          <w:p w14:paraId="7626FD86" w14:textId="77777777" w:rsidR="002E474C" w:rsidRDefault="002E474C">
            <w:pPr>
              <w:pStyle w:val="A-"/>
              <w:spacing w:line="260" w:lineRule="exact"/>
            </w:pPr>
          </w:p>
        </w:tc>
        <w:tc>
          <w:tcPr>
            <w:tcW w:w="893" w:type="dxa"/>
            <w:vMerge/>
            <w:vAlign w:val="center"/>
          </w:tcPr>
          <w:p w14:paraId="50D8F796" w14:textId="77777777" w:rsidR="002E474C" w:rsidRDefault="002E474C">
            <w:pPr>
              <w:pStyle w:val="A-"/>
              <w:spacing w:line="260" w:lineRule="exact"/>
            </w:pPr>
          </w:p>
        </w:tc>
        <w:tc>
          <w:tcPr>
            <w:tcW w:w="1147" w:type="dxa"/>
            <w:noWrap/>
            <w:vAlign w:val="center"/>
          </w:tcPr>
          <w:p w14:paraId="2E9F23B7" w14:textId="77777777" w:rsidR="002E474C" w:rsidRDefault="00000000">
            <w:pPr>
              <w:pStyle w:val="A-"/>
              <w:spacing w:line="260" w:lineRule="exact"/>
              <w:ind w:leftChars="-25" w:left="-53" w:rightChars="-25" w:right="-53"/>
            </w:pPr>
            <w:r>
              <w:t>231-002-16</w:t>
            </w:r>
          </w:p>
        </w:tc>
        <w:tc>
          <w:tcPr>
            <w:tcW w:w="4991" w:type="dxa"/>
            <w:noWrap/>
            <w:vAlign w:val="center"/>
          </w:tcPr>
          <w:p w14:paraId="2A29DE60" w14:textId="77777777" w:rsidR="002E474C" w:rsidRDefault="00000000">
            <w:pPr>
              <w:pStyle w:val="A-"/>
              <w:spacing w:line="260" w:lineRule="exact"/>
            </w:pPr>
            <w:r>
              <w:t>使用显影剂进行印刷显影、抗蚀图形显影，以及凸版印刷产生的废显（定）影剂、胶片和废像纸</w:t>
            </w:r>
          </w:p>
        </w:tc>
        <w:tc>
          <w:tcPr>
            <w:tcW w:w="663" w:type="dxa"/>
            <w:noWrap/>
            <w:vAlign w:val="center"/>
          </w:tcPr>
          <w:p w14:paraId="2344D9E0" w14:textId="77777777" w:rsidR="002E474C" w:rsidRDefault="00000000">
            <w:pPr>
              <w:pStyle w:val="A-"/>
              <w:spacing w:line="260" w:lineRule="exact"/>
            </w:pPr>
            <w:r>
              <w:t>T</w:t>
            </w:r>
          </w:p>
        </w:tc>
      </w:tr>
      <w:tr w:rsidR="002E474C" w14:paraId="11D38A7F" w14:textId="77777777">
        <w:trPr>
          <w:trHeight w:val="300"/>
        </w:trPr>
        <w:tc>
          <w:tcPr>
            <w:tcW w:w="828" w:type="dxa"/>
            <w:vMerge/>
            <w:vAlign w:val="center"/>
          </w:tcPr>
          <w:p w14:paraId="475FDA76" w14:textId="77777777" w:rsidR="002E474C" w:rsidRDefault="002E474C">
            <w:pPr>
              <w:pStyle w:val="A-"/>
              <w:spacing w:line="260" w:lineRule="exact"/>
            </w:pPr>
          </w:p>
        </w:tc>
        <w:tc>
          <w:tcPr>
            <w:tcW w:w="893" w:type="dxa"/>
            <w:noWrap/>
            <w:vAlign w:val="center"/>
          </w:tcPr>
          <w:p w14:paraId="434CA93F" w14:textId="77777777" w:rsidR="002E474C" w:rsidRDefault="00000000">
            <w:pPr>
              <w:pStyle w:val="A-"/>
              <w:spacing w:line="260" w:lineRule="exact"/>
              <w:ind w:leftChars="-25" w:left="-53" w:rightChars="-25" w:right="-53"/>
            </w:pPr>
            <w:r>
              <w:rPr>
                <w:spacing w:val="-11"/>
              </w:rPr>
              <w:t>电子元件及电子专用材料制造</w:t>
            </w:r>
          </w:p>
        </w:tc>
        <w:tc>
          <w:tcPr>
            <w:tcW w:w="1147" w:type="dxa"/>
            <w:noWrap/>
            <w:vAlign w:val="center"/>
          </w:tcPr>
          <w:p w14:paraId="6F05C18E" w14:textId="77777777" w:rsidR="002E474C" w:rsidRDefault="00000000">
            <w:pPr>
              <w:pStyle w:val="A-"/>
              <w:spacing w:line="260" w:lineRule="exact"/>
              <w:ind w:leftChars="-25" w:left="-53" w:rightChars="-25" w:right="-53"/>
            </w:pPr>
            <w:r>
              <w:t>398-001-16</w:t>
            </w:r>
          </w:p>
        </w:tc>
        <w:tc>
          <w:tcPr>
            <w:tcW w:w="4991" w:type="dxa"/>
            <w:noWrap/>
            <w:vAlign w:val="center"/>
          </w:tcPr>
          <w:p w14:paraId="4ADF6576" w14:textId="77777777" w:rsidR="002E474C" w:rsidRDefault="00000000">
            <w:pPr>
              <w:pStyle w:val="A-"/>
              <w:spacing w:line="260" w:lineRule="exact"/>
            </w:pPr>
            <w:r>
              <w:t>使用显影剂、氢氧化物、偏亚硫酸氢盐、醋酸进行胶卷显影产生的废显（定）影剂、胶片和废像纸</w:t>
            </w:r>
          </w:p>
        </w:tc>
        <w:tc>
          <w:tcPr>
            <w:tcW w:w="663" w:type="dxa"/>
            <w:noWrap/>
            <w:vAlign w:val="center"/>
          </w:tcPr>
          <w:p w14:paraId="774449E3" w14:textId="77777777" w:rsidR="002E474C" w:rsidRDefault="00000000">
            <w:pPr>
              <w:pStyle w:val="A-"/>
              <w:spacing w:line="260" w:lineRule="exact"/>
            </w:pPr>
            <w:r>
              <w:t>T</w:t>
            </w:r>
          </w:p>
        </w:tc>
      </w:tr>
      <w:tr w:rsidR="002E474C" w14:paraId="747C919A" w14:textId="77777777">
        <w:trPr>
          <w:trHeight w:val="300"/>
        </w:trPr>
        <w:tc>
          <w:tcPr>
            <w:tcW w:w="828" w:type="dxa"/>
            <w:vMerge/>
            <w:vAlign w:val="center"/>
          </w:tcPr>
          <w:p w14:paraId="7B74D584" w14:textId="77777777" w:rsidR="002E474C" w:rsidRDefault="002E474C">
            <w:pPr>
              <w:pStyle w:val="A-"/>
              <w:spacing w:line="260" w:lineRule="exact"/>
            </w:pPr>
          </w:p>
        </w:tc>
        <w:tc>
          <w:tcPr>
            <w:tcW w:w="893" w:type="dxa"/>
            <w:noWrap/>
            <w:vAlign w:val="center"/>
          </w:tcPr>
          <w:p w14:paraId="4C302FAC" w14:textId="77777777" w:rsidR="002E474C" w:rsidRDefault="00000000">
            <w:pPr>
              <w:pStyle w:val="A-"/>
              <w:spacing w:line="260" w:lineRule="exact"/>
            </w:pPr>
            <w:r>
              <w:t>影视节目制作</w:t>
            </w:r>
          </w:p>
        </w:tc>
        <w:tc>
          <w:tcPr>
            <w:tcW w:w="1147" w:type="dxa"/>
            <w:noWrap/>
            <w:vAlign w:val="center"/>
          </w:tcPr>
          <w:p w14:paraId="6FA1CA19" w14:textId="77777777" w:rsidR="002E474C" w:rsidRDefault="00000000">
            <w:pPr>
              <w:pStyle w:val="A-"/>
              <w:spacing w:line="260" w:lineRule="exact"/>
              <w:ind w:leftChars="-25" w:left="-53" w:rightChars="-25" w:right="-53"/>
            </w:pPr>
            <w:r>
              <w:t>873-001-16</w:t>
            </w:r>
          </w:p>
        </w:tc>
        <w:tc>
          <w:tcPr>
            <w:tcW w:w="4991" w:type="dxa"/>
            <w:noWrap/>
            <w:vAlign w:val="center"/>
          </w:tcPr>
          <w:p w14:paraId="2CD32183" w14:textId="77777777" w:rsidR="002E474C" w:rsidRDefault="00000000">
            <w:pPr>
              <w:pStyle w:val="A-"/>
              <w:spacing w:line="260" w:lineRule="exact"/>
            </w:pPr>
            <w:r>
              <w:t>电影厂产生的废显（定）影剂、胶片及废像纸</w:t>
            </w:r>
          </w:p>
        </w:tc>
        <w:tc>
          <w:tcPr>
            <w:tcW w:w="663" w:type="dxa"/>
            <w:noWrap/>
            <w:vAlign w:val="center"/>
          </w:tcPr>
          <w:p w14:paraId="3AB95EF4" w14:textId="77777777" w:rsidR="002E474C" w:rsidRDefault="00000000">
            <w:pPr>
              <w:pStyle w:val="A-"/>
              <w:spacing w:line="260" w:lineRule="exact"/>
            </w:pPr>
            <w:r>
              <w:t>T</w:t>
            </w:r>
          </w:p>
        </w:tc>
      </w:tr>
      <w:tr w:rsidR="002E474C" w14:paraId="12230DE4" w14:textId="77777777">
        <w:trPr>
          <w:trHeight w:val="300"/>
        </w:trPr>
        <w:tc>
          <w:tcPr>
            <w:tcW w:w="828" w:type="dxa"/>
            <w:vMerge/>
            <w:vAlign w:val="center"/>
          </w:tcPr>
          <w:p w14:paraId="69EAAE6A" w14:textId="77777777" w:rsidR="002E474C" w:rsidRDefault="002E474C">
            <w:pPr>
              <w:pStyle w:val="A-"/>
              <w:spacing w:line="260" w:lineRule="exact"/>
            </w:pPr>
          </w:p>
        </w:tc>
        <w:tc>
          <w:tcPr>
            <w:tcW w:w="893" w:type="dxa"/>
            <w:noWrap/>
            <w:vAlign w:val="center"/>
          </w:tcPr>
          <w:p w14:paraId="6B3200E1" w14:textId="77777777" w:rsidR="002E474C" w:rsidRDefault="00000000">
            <w:pPr>
              <w:pStyle w:val="A-"/>
              <w:spacing w:line="260" w:lineRule="exact"/>
            </w:pPr>
            <w:r>
              <w:t>摄影扩印服务</w:t>
            </w:r>
          </w:p>
        </w:tc>
        <w:tc>
          <w:tcPr>
            <w:tcW w:w="1147" w:type="dxa"/>
            <w:noWrap/>
            <w:vAlign w:val="center"/>
          </w:tcPr>
          <w:p w14:paraId="7858B8E9" w14:textId="77777777" w:rsidR="002E474C" w:rsidRDefault="00000000">
            <w:pPr>
              <w:pStyle w:val="A-"/>
              <w:spacing w:line="260" w:lineRule="exact"/>
              <w:ind w:leftChars="-25" w:left="-53" w:rightChars="-25" w:right="-53"/>
            </w:pPr>
            <w:r>
              <w:t>806-001-16</w:t>
            </w:r>
          </w:p>
        </w:tc>
        <w:tc>
          <w:tcPr>
            <w:tcW w:w="4991" w:type="dxa"/>
            <w:noWrap/>
            <w:vAlign w:val="center"/>
          </w:tcPr>
          <w:p w14:paraId="7EBAC88A" w14:textId="77777777" w:rsidR="002E474C" w:rsidRDefault="00000000">
            <w:pPr>
              <w:pStyle w:val="A-"/>
              <w:spacing w:line="260" w:lineRule="exact"/>
              <w:ind w:leftChars="-25" w:left="-53" w:rightChars="-25" w:right="-53"/>
            </w:pPr>
            <w:r>
              <w:rPr>
                <w:spacing w:val="-6"/>
              </w:rPr>
              <w:t>摄影扩印服务行业产生的废显（定）影剂、胶片和废像纸</w:t>
            </w:r>
          </w:p>
        </w:tc>
        <w:tc>
          <w:tcPr>
            <w:tcW w:w="663" w:type="dxa"/>
            <w:noWrap/>
            <w:vAlign w:val="center"/>
          </w:tcPr>
          <w:p w14:paraId="5EAC46C0" w14:textId="77777777" w:rsidR="002E474C" w:rsidRDefault="00000000">
            <w:pPr>
              <w:pStyle w:val="A-"/>
              <w:spacing w:line="260" w:lineRule="exact"/>
            </w:pPr>
            <w:r>
              <w:t>T</w:t>
            </w:r>
          </w:p>
        </w:tc>
      </w:tr>
      <w:tr w:rsidR="002E474C" w14:paraId="3C100C9C" w14:textId="77777777">
        <w:trPr>
          <w:trHeight w:val="300"/>
        </w:trPr>
        <w:tc>
          <w:tcPr>
            <w:tcW w:w="828" w:type="dxa"/>
            <w:vMerge/>
            <w:vAlign w:val="center"/>
          </w:tcPr>
          <w:p w14:paraId="65D8AB02" w14:textId="77777777" w:rsidR="002E474C" w:rsidRDefault="002E474C">
            <w:pPr>
              <w:pStyle w:val="A-"/>
              <w:spacing w:line="260" w:lineRule="exact"/>
            </w:pPr>
          </w:p>
        </w:tc>
        <w:tc>
          <w:tcPr>
            <w:tcW w:w="893" w:type="dxa"/>
            <w:noWrap/>
            <w:vAlign w:val="center"/>
          </w:tcPr>
          <w:p w14:paraId="44255AFF" w14:textId="77777777" w:rsidR="002E474C" w:rsidRDefault="00000000">
            <w:pPr>
              <w:pStyle w:val="A-"/>
              <w:spacing w:line="260" w:lineRule="exact"/>
            </w:pPr>
            <w:r>
              <w:t>非特定行业</w:t>
            </w:r>
          </w:p>
        </w:tc>
        <w:tc>
          <w:tcPr>
            <w:tcW w:w="1147" w:type="dxa"/>
            <w:noWrap/>
            <w:vAlign w:val="center"/>
          </w:tcPr>
          <w:p w14:paraId="6820B85C" w14:textId="77777777" w:rsidR="002E474C" w:rsidRDefault="00000000">
            <w:pPr>
              <w:pStyle w:val="A-"/>
              <w:spacing w:line="260" w:lineRule="exact"/>
              <w:ind w:leftChars="-25" w:left="-53" w:rightChars="-25" w:right="-53"/>
            </w:pPr>
            <w:r>
              <w:t>900-019-16</w:t>
            </w:r>
          </w:p>
        </w:tc>
        <w:tc>
          <w:tcPr>
            <w:tcW w:w="4991" w:type="dxa"/>
            <w:noWrap/>
            <w:vAlign w:val="center"/>
          </w:tcPr>
          <w:p w14:paraId="4A4D8573" w14:textId="77777777" w:rsidR="002E474C" w:rsidRDefault="00000000">
            <w:pPr>
              <w:pStyle w:val="A-"/>
              <w:spacing w:line="260" w:lineRule="exact"/>
            </w:pPr>
            <w:r>
              <w:t>其他行业产生的废显（定）影剂、胶片和废像纸</w:t>
            </w:r>
          </w:p>
        </w:tc>
        <w:tc>
          <w:tcPr>
            <w:tcW w:w="663" w:type="dxa"/>
            <w:noWrap/>
            <w:vAlign w:val="center"/>
          </w:tcPr>
          <w:p w14:paraId="1B05796D" w14:textId="77777777" w:rsidR="002E474C" w:rsidRDefault="00000000">
            <w:pPr>
              <w:pStyle w:val="A-"/>
              <w:spacing w:line="260" w:lineRule="exact"/>
            </w:pPr>
            <w:r>
              <w:t>T</w:t>
            </w:r>
          </w:p>
        </w:tc>
      </w:tr>
      <w:tr w:rsidR="002E474C" w14:paraId="716AE610" w14:textId="77777777">
        <w:trPr>
          <w:trHeight w:val="300"/>
        </w:trPr>
        <w:tc>
          <w:tcPr>
            <w:tcW w:w="828" w:type="dxa"/>
            <w:vMerge w:val="restart"/>
            <w:noWrap/>
            <w:vAlign w:val="center"/>
          </w:tcPr>
          <w:p w14:paraId="4EC0977C" w14:textId="77777777" w:rsidR="002E474C" w:rsidRDefault="00000000">
            <w:pPr>
              <w:pStyle w:val="A-"/>
              <w:spacing w:line="260" w:lineRule="exact"/>
            </w:pPr>
            <w:r>
              <w:t>HW17</w:t>
            </w:r>
            <w:r>
              <w:br/>
            </w:r>
            <w:r>
              <w:t>表面处理废物</w:t>
            </w:r>
          </w:p>
        </w:tc>
        <w:tc>
          <w:tcPr>
            <w:tcW w:w="893" w:type="dxa"/>
            <w:vMerge w:val="restart"/>
            <w:noWrap/>
            <w:vAlign w:val="center"/>
          </w:tcPr>
          <w:p w14:paraId="4D804F94" w14:textId="77777777" w:rsidR="002E474C" w:rsidRDefault="00000000">
            <w:pPr>
              <w:pStyle w:val="A-"/>
              <w:spacing w:line="260" w:lineRule="exact"/>
            </w:pPr>
            <w:r>
              <w:t>金属表面处理及热处理加工</w:t>
            </w:r>
          </w:p>
        </w:tc>
        <w:tc>
          <w:tcPr>
            <w:tcW w:w="1147" w:type="dxa"/>
            <w:noWrap/>
            <w:vAlign w:val="center"/>
          </w:tcPr>
          <w:p w14:paraId="4E79D14F" w14:textId="77777777" w:rsidR="002E474C" w:rsidRDefault="00000000">
            <w:pPr>
              <w:pStyle w:val="A-"/>
              <w:spacing w:line="260" w:lineRule="exact"/>
              <w:ind w:leftChars="-25" w:left="-53" w:rightChars="-25" w:right="-53"/>
            </w:pPr>
            <w:r>
              <w:t>336-050-17</w:t>
            </w:r>
          </w:p>
        </w:tc>
        <w:tc>
          <w:tcPr>
            <w:tcW w:w="4991" w:type="dxa"/>
            <w:noWrap/>
            <w:vAlign w:val="center"/>
          </w:tcPr>
          <w:p w14:paraId="325F96CC" w14:textId="77777777" w:rsidR="002E474C" w:rsidRDefault="00000000">
            <w:pPr>
              <w:pStyle w:val="A-"/>
              <w:spacing w:line="260" w:lineRule="exact"/>
            </w:pPr>
            <w:r>
              <w:rPr>
                <w:spacing w:val="-6"/>
              </w:rPr>
              <w:t>使用氯化亚锡进行敏化处理产生的废渣和废水处理污泥</w:t>
            </w:r>
          </w:p>
        </w:tc>
        <w:tc>
          <w:tcPr>
            <w:tcW w:w="663" w:type="dxa"/>
            <w:noWrap/>
            <w:vAlign w:val="center"/>
          </w:tcPr>
          <w:p w14:paraId="1828D472" w14:textId="77777777" w:rsidR="002E474C" w:rsidRDefault="00000000">
            <w:pPr>
              <w:pStyle w:val="A-"/>
              <w:spacing w:line="260" w:lineRule="exact"/>
            </w:pPr>
            <w:r>
              <w:t>T</w:t>
            </w:r>
          </w:p>
        </w:tc>
      </w:tr>
      <w:tr w:rsidR="002E474C" w14:paraId="40AC2D26" w14:textId="77777777">
        <w:trPr>
          <w:trHeight w:val="300"/>
        </w:trPr>
        <w:tc>
          <w:tcPr>
            <w:tcW w:w="828" w:type="dxa"/>
            <w:vMerge/>
            <w:vAlign w:val="center"/>
          </w:tcPr>
          <w:p w14:paraId="2D08ED0C" w14:textId="77777777" w:rsidR="002E474C" w:rsidRDefault="002E474C">
            <w:pPr>
              <w:pStyle w:val="A-"/>
              <w:spacing w:line="260" w:lineRule="exact"/>
            </w:pPr>
          </w:p>
        </w:tc>
        <w:tc>
          <w:tcPr>
            <w:tcW w:w="893" w:type="dxa"/>
            <w:vMerge/>
            <w:vAlign w:val="center"/>
          </w:tcPr>
          <w:p w14:paraId="4A7ABB4D" w14:textId="77777777" w:rsidR="002E474C" w:rsidRDefault="002E474C">
            <w:pPr>
              <w:pStyle w:val="A-"/>
              <w:spacing w:line="260" w:lineRule="exact"/>
            </w:pPr>
          </w:p>
        </w:tc>
        <w:tc>
          <w:tcPr>
            <w:tcW w:w="1147" w:type="dxa"/>
            <w:noWrap/>
            <w:vAlign w:val="center"/>
          </w:tcPr>
          <w:p w14:paraId="61705FEC" w14:textId="77777777" w:rsidR="002E474C" w:rsidRDefault="00000000">
            <w:pPr>
              <w:pStyle w:val="A-"/>
              <w:spacing w:line="260" w:lineRule="exact"/>
              <w:ind w:leftChars="-25" w:left="-53" w:rightChars="-25" w:right="-53"/>
            </w:pPr>
            <w:r>
              <w:t>336-051-17</w:t>
            </w:r>
          </w:p>
        </w:tc>
        <w:tc>
          <w:tcPr>
            <w:tcW w:w="4991" w:type="dxa"/>
            <w:noWrap/>
            <w:vAlign w:val="center"/>
          </w:tcPr>
          <w:p w14:paraId="2F1CD09B" w14:textId="77777777" w:rsidR="002E474C" w:rsidRDefault="00000000">
            <w:pPr>
              <w:pStyle w:val="A-"/>
              <w:spacing w:line="260" w:lineRule="exact"/>
            </w:pPr>
            <w:r>
              <w:rPr>
                <w:spacing w:val="-17"/>
              </w:rPr>
              <w:t>使用氯化锌、氯化铵进行敏化处理产生的废渣和废水处理污泥</w:t>
            </w:r>
          </w:p>
        </w:tc>
        <w:tc>
          <w:tcPr>
            <w:tcW w:w="663" w:type="dxa"/>
            <w:noWrap/>
            <w:vAlign w:val="center"/>
          </w:tcPr>
          <w:p w14:paraId="7F7B850D" w14:textId="77777777" w:rsidR="002E474C" w:rsidRDefault="00000000">
            <w:pPr>
              <w:pStyle w:val="A-"/>
              <w:spacing w:line="260" w:lineRule="exact"/>
            </w:pPr>
            <w:r>
              <w:t>T</w:t>
            </w:r>
          </w:p>
        </w:tc>
      </w:tr>
      <w:tr w:rsidR="002E474C" w14:paraId="39B94E58" w14:textId="77777777">
        <w:trPr>
          <w:trHeight w:val="300"/>
        </w:trPr>
        <w:tc>
          <w:tcPr>
            <w:tcW w:w="828" w:type="dxa"/>
            <w:vMerge/>
            <w:vAlign w:val="center"/>
          </w:tcPr>
          <w:p w14:paraId="284CD429" w14:textId="77777777" w:rsidR="002E474C" w:rsidRDefault="002E474C">
            <w:pPr>
              <w:pStyle w:val="A-"/>
              <w:spacing w:line="260" w:lineRule="exact"/>
            </w:pPr>
          </w:p>
        </w:tc>
        <w:tc>
          <w:tcPr>
            <w:tcW w:w="893" w:type="dxa"/>
            <w:vMerge/>
            <w:vAlign w:val="center"/>
          </w:tcPr>
          <w:p w14:paraId="2673FC11" w14:textId="77777777" w:rsidR="002E474C" w:rsidRDefault="002E474C">
            <w:pPr>
              <w:pStyle w:val="A-"/>
              <w:spacing w:line="260" w:lineRule="exact"/>
            </w:pPr>
          </w:p>
        </w:tc>
        <w:tc>
          <w:tcPr>
            <w:tcW w:w="1147" w:type="dxa"/>
            <w:noWrap/>
            <w:vAlign w:val="center"/>
          </w:tcPr>
          <w:p w14:paraId="4A99E37A" w14:textId="77777777" w:rsidR="002E474C" w:rsidRDefault="00000000">
            <w:pPr>
              <w:pStyle w:val="A-"/>
              <w:spacing w:line="260" w:lineRule="exact"/>
              <w:ind w:leftChars="-25" w:left="-53" w:rightChars="-25" w:right="-53"/>
            </w:pPr>
            <w:r>
              <w:t>336-052-17</w:t>
            </w:r>
          </w:p>
        </w:tc>
        <w:tc>
          <w:tcPr>
            <w:tcW w:w="4991" w:type="dxa"/>
            <w:noWrap/>
            <w:vAlign w:val="center"/>
          </w:tcPr>
          <w:p w14:paraId="0CB8AE38" w14:textId="77777777" w:rsidR="002E474C" w:rsidRDefault="00000000">
            <w:pPr>
              <w:pStyle w:val="A-"/>
              <w:spacing w:line="260" w:lineRule="exact"/>
            </w:pPr>
            <w:r>
              <w:t>使用锌和电镀化学品进行镀锌产生的废槽液、槽渣和废水处理污泥</w:t>
            </w:r>
          </w:p>
        </w:tc>
        <w:tc>
          <w:tcPr>
            <w:tcW w:w="663" w:type="dxa"/>
            <w:noWrap/>
            <w:vAlign w:val="center"/>
          </w:tcPr>
          <w:p w14:paraId="2400473A" w14:textId="77777777" w:rsidR="002E474C" w:rsidRDefault="00000000">
            <w:pPr>
              <w:pStyle w:val="A-"/>
              <w:spacing w:line="260" w:lineRule="exact"/>
            </w:pPr>
            <w:r>
              <w:t>T</w:t>
            </w:r>
          </w:p>
        </w:tc>
      </w:tr>
      <w:tr w:rsidR="002E474C" w14:paraId="2396EC67" w14:textId="77777777">
        <w:trPr>
          <w:trHeight w:val="300"/>
        </w:trPr>
        <w:tc>
          <w:tcPr>
            <w:tcW w:w="828" w:type="dxa"/>
            <w:vMerge/>
            <w:vAlign w:val="center"/>
          </w:tcPr>
          <w:p w14:paraId="14FF4A62" w14:textId="77777777" w:rsidR="002E474C" w:rsidRDefault="002E474C">
            <w:pPr>
              <w:pStyle w:val="A-"/>
              <w:spacing w:line="260" w:lineRule="exact"/>
            </w:pPr>
          </w:p>
        </w:tc>
        <w:tc>
          <w:tcPr>
            <w:tcW w:w="893" w:type="dxa"/>
            <w:vMerge/>
            <w:vAlign w:val="center"/>
          </w:tcPr>
          <w:p w14:paraId="20D53EDC" w14:textId="77777777" w:rsidR="002E474C" w:rsidRDefault="002E474C">
            <w:pPr>
              <w:pStyle w:val="A-"/>
              <w:spacing w:line="260" w:lineRule="exact"/>
            </w:pPr>
          </w:p>
        </w:tc>
        <w:tc>
          <w:tcPr>
            <w:tcW w:w="1147" w:type="dxa"/>
            <w:noWrap/>
            <w:vAlign w:val="center"/>
          </w:tcPr>
          <w:p w14:paraId="2FD94CAC" w14:textId="77777777" w:rsidR="002E474C" w:rsidRDefault="00000000">
            <w:pPr>
              <w:pStyle w:val="A-"/>
              <w:spacing w:line="260" w:lineRule="exact"/>
              <w:ind w:leftChars="-25" w:left="-53" w:rightChars="-25" w:right="-53"/>
            </w:pPr>
            <w:r>
              <w:t>336-053-17</w:t>
            </w:r>
          </w:p>
        </w:tc>
        <w:tc>
          <w:tcPr>
            <w:tcW w:w="4991" w:type="dxa"/>
            <w:noWrap/>
            <w:vAlign w:val="center"/>
          </w:tcPr>
          <w:p w14:paraId="3E5F38A7" w14:textId="77777777" w:rsidR="002E474C" w:rsidRDefault="00000000">
            <w:pPr>
              <w:pStyle w:val="A-"/>
              <w:spacing w:line="260" w:lineRule="exact"/>
            </w:pPr>
            <w:r>
              <w:t>使用镉和电镀化学品进行镀镉产生的废槽液、槽渣和废水处理污泥</w:t>
            </w:r>
          </w:p>
        </w:tc>
        <w:tc>
          <w:tcPr>
            <w:tcW w:w="663" w:type="dxa"/>
            <w:noWrap/>
            <w:vAlign w:val="center"/>
          </w:tcPr>
          <w:p w14:paraId="660D3429" w14:textId="77777777" w:rsidR="002E474C" w:rsidRDefault="00000000">
            <w:pPr>
              <w:pStyle w:val="A-"/>
              <w:spacing w:line="260" w:lineRule="exact"/>
            </w:pPr>
            <w:r>
              <w:t>T</w:t>
            </w:r>
          </w:p>
        </w:tc>
      </w:tr>
      <w:tr w:rsidR="002E474C" w14:paraId="658160EF" w14:textId="77777777">
        <w:trPr>
          <w:trHeight w:val="300"/>
        </w:trPr>
        <w:tc>
          <w:tcPr>
            <w:tcW w:w="828" w:type="dxa"/>
            <w:vMerge/>
            <w:vAlign w:val="center"/>
          </w:tcPr>
          <w:p w14:paraId="6FF7E748" w14:textId="77777777" w:rsidR="002E474C" w:rsidRDefault="002E474C">
            <w:pPr>
              <w:pStyle w:val="A-"/>
              <w:spacing w:line="260" w:lineRule="exact"/>
            </w:pPr>
          </w:p>
        </w:tc>
        <w:tc>
          <w:tcPr>
            <w:tcW w:w="893" w:type="dxa"/>
            <w:vMerge/>
            <w:vAlign w:val="center"/>
          </w:tcPr>
          <w:p w14:paraId="1470BA62" w14:textId="77777777" w:rsidR="002E474C" w:rsidRDefault="002E474C">
            <w:pPr>
              <w:pStyle w:val="A-"/>
              <w:spacing w:line="260" w:lineRule="exact"/>
            </w:pPr>
          </w:p>
        </w:tc>
        <w:tc>
          <w:tcPr>
            <w:tcW w:w="1147" w:type="dxa"/>
            <w:noWrap/>
            <w:vAlign w:val="center"/>
          </w:tcPr>
          <w:p w14:paraId="43AAF394" w14:textId="77777777" w:rsidR="002E474C" w:rsidRDefault="00000000">
            <w:pPr>
              <w:pStyle w:val="A-"/>
              <w:spacing w:line="260" w:lineRule="exact"/>
              <w:ind w:leftChars="-25" w:left="-53" w:rightChars="-25" w:right="-53"/>
            </w:pPr>
            <w:r>
              <w:t>336-054-17</w:t>
            </w:r>
          </w:p>
        </w:tc>
        <w:tc>
          <w:tcPr>
            <w:tcW w:w="4991" w:type="dxa"/>
            <w:noWrap/>
            <w:vAlign w:val="center"/>
          </w:tcPr>
          <w:p w14:paraId="104F5487" w14:textId="77777777" w:rsidR="002E474C" w:rsidRDefault="00000000">
            <w:pPr>
              <w:pStyle w:val="A-"/>
              <w:spacing w:line="260" w:lineRule="exact"/>
            </w:pPr>
            <w:r>
              <w:t>使用镍和电镀化学品进行镀镍产生的废槽液、槽渣和废水处理污泥</w:t>
            </w:r>
          </w:p>
        </w:tc>
        <w:tc>
          <w:tcPr>
            <w:tcW w:w="663" w:type="dxa"/>
            <w:noWrap/>
            <w:vAlign w:val="center"/>
          </w:tcPr>
          <w:p w14:paraId="4E6A77C3" w14:textId="77777777" w:rsidR="002E474C" w:rsidRDefault="00000000">
            <w:pPr>
              <w:pStyle w:val="A-"/>
              <w:spacing w:line="260" w:lineRule="exact"/>
            </w:pPr>
            <w:r>
              <w:t>T</w:t>
            </w:r>
          </w:p>
        </w:tc>
      </w:tr>
      <w:tr w:rsidR="002E474C" w14:paraId="37CBE5EF" w14:textId="77777777">
        <w:trPr>
          <w:trHeight w:val="300"/>
        </w:trPr>
        <w:tc>
          <w:tcPr>
            <w:tcW w:w="828" w:type="dxa"/>
            <w:vMerge/>
            <w:vAlign w:val="center"/>
          </w:tcPr>
          <w:p w14:paraId="2F709CA6" w14:textId="77777777" w:rsidR="002E474C" w:rsidRDefault="002E474C">
            <w:pPr>
              <w:pStyle w:val="A-"/>
              <w:spacing w:line="260" w:lineRule="exact"/>
            </w:pPr>
          </w:p>
        </w:tc>
        <w:tc>
          <w:tcPr>
            <w:tcW w:w="893" w:type="dxa"/>
            <w:vMerge/>
            <w:vAlign w:val="center"/>
          </w:tcPr>
          <w:p w14:paraId="0E364E65" w14:textId="77777777" w:rsidR="002E474C" w:rsidRDefault="002E474C">
            <w:pPr>
              <w:pStyle w:val="A-"/>
              <w:spacing w:line="260" w:lineRule="exact"/>
            </w:pPr>
          </w:p>
        </w:tc>
        <w:tc>
          <w:tcPr>
            <w:tcW w:w="1147" w:type="dxa"/>
            <w:noWrap/>
            <w:vAlign w:val="center"/>
          </w:tcPr>
          <w:p w14:paraId="546A341C" w14:textId="77777777" w:rsidR="002E474C" w:rsidRDefault="00000000">
            <w:pPr>
              <w:pStyle w:val="A-"/>
              <w:spacing w:line="260" w:lineRule="exact"/>
              <w:ind w:leftChars="-25" w:left="-53" w:rightChars="-25" w:right="-53"/>
            </w:pPr>
            <w:r>
              <w:t>336-055-17</w:t>
            </w:r>
          </w:p>
        </w:tc>
        <w:tc>
          <w:tcPr>
            <w:tcW w:w="4991" w:type="dxa"/>
            <w:noWrap/>
            <w:vAlign w:val="center"/>
          </w:tcPr>
          <w:p w14:paraId="095DF197" w14:textId="77777777" w:rsidR="002E474C" w:rsidRDefault="00000000">
            <w:pPr>
              <w:pStyle w:val="A-"/>
              <w:spacing w:line="260" w:lineRule="exact"/>
              <w:ind w:leftChars="-25" w:left="-53" w:rightChars="-25" w:right="-53"/>
            </w:pPr>
            <w:r>
              <w:rPr>
                <w:spacing w:val="-6"/>
              </w:rPr>
              <w:t>使用镀镍液进行镀镍产生的废槽液、槽渣和废水处理污泥</w:t>
            </w:r>
          </w:p>
        </w:tc>
        <w:tc>
          <w:tcPr>
            <w:tcW w:w="663" w:type="dxa"/>
            <w:noWrap/>
            <w:vAlign w:val="center"/>
          </w:tcPr>
          <w:p w14:paraId="7409D20B" w14:textId="77777777" w:rsidR="002E474C" w:rsidRDefault="00000000">
            <w:pPr>
              <w:pStyle w:val="A-"/>
              <w:spacing w:line="260" w:lineRule="exact"/>
            </w:pPr>
            <w:r>
              <w:t>T</w:t>
            </w:r>
          </w:p>
        </w:tc>
      </w:tr>
      <w:tr w:rsidR="002E474C" w14:paraId="73179DE0" w14:textId="77777777">
        <w:trPr>
          <w:trHeight w:val="300"/>
        </w:trPr>
        <w:tc>
          <w:tcPr>
            <w:tcW w:w="828" w:type="dxa"/>
            <w:vMerge/>
            <w:vAlign w:val="center"/>
          </w:tcPr>
          <w:p w14:paraId="2440D812" w14:textId="77777777" w:rsidR="002E474C" w:rsidRDefault="002E474C">
            <w:pPr>
              <w:pStyle w:val="A-"/>
              <w:spacing w:line="260" w:lineRule="exact"/>
            </w:pPr>
          </w:p>
        </w:tc>
        <w:tc>
          <w:tcPr>
            <w:tcW w:w="893" w:type="dxa"/>
            <w:vMerge/>
            <w:vAlign w:val="center"/>
          </w:tcPr>
          <w:p w14:paraId="66ADE0A3" w14:textId="77777777" w:rsidR="002E474C" w:rsidRDefault="002E474C">
            <w:pPr>
              <w:pStyle w:val="A-"/>
              <w:spacing w:line="260" w:lineRule="exact"/>
            </w:pPr>
          </w:p>
        </w:tc>
        <w:tc>
          <w:tcPr>
            <w:tcW w:w="1147" w:type="dxa"/>
            <w:noWrap/>
            <w:vAlign w:val="center"/>
          </w:tcPr>
          <w:p w14:paraId="378FAC99" w14:textId="77777777" w:rsidR="002E474C" w:rsidRDefault="00000000">
            <w:pPr>
              <w:pStyle w:val="A-"/>
              <w:spacing w:line="260" w:lineRule="exact"/>
              <w:ind w:leftChars="-25" w:left="-53" w:rightChars="-25" w:right="-53"/>
            </w:pPr>
            <w:r>
              <w:t>336-056-17</w:t>
            </w:r>
          </w:p>
        </w:tc>
        <w:tc>
          <w:tcPr>
            <w:tcW w:w="4991" w:type="dxa"/>
            <w:noWrap/>
            <w:vAlign w:val="center"/>
          </w:tcPr>
          <w:p w14:paraId="1DDD4C31" w14:textId="77777777" w:rsidR="002E474C" w:rsidRDefault="00000000">
            <w:pPr>
              <w:pStyle w:val="A-"/>
              <w:spacing w:line="260" w:lineRule="exact"/>
            </w:pPr>
            <w:r>
              <w:t>使用硝酸银、碱、</w:t>
            </w:r>
            <w:r>
              <w:t xml:space="preserve"> </w:t>
            </w:r>
            <w:r>
              <w:t>甲醛进行敷金属法镀银产生的废槽液、槽渣和废水处理污泥</w:t>
            </w:r>
          </w:p>
        </w:tc>
        <w:tc>
          <w:tcPr>
            <w:tcW w:w="663" w:type="dxa"/>
            <w:noWrap/>
            <w:vAlign w:val="center"/>
          </w:tcPr>
          <w:p w14:paraId="4DC0A8C6" w14:textId="77777777" w:rsidR="002E474C" w:rsidRDefault="00000000">
            <w:pPr>
              <w:pStyle w:val="A-"/>
              <w:spacing w:line="260" w:lineRule="exact"/>
            </w:pPr>
            <w:r>
              <w:t>T</w:t>
            </w:r>
          </w:p>
        </w:tc>
      </w:tr>
      <w:tr w:rsidR="002E474C" w14:paraId="18037944" w14:textId="77777777">
        <w:trPr>
          <w:trHeight w:val="300"/>
        </w:trPr>
        <w:tc>
          <w:tcPr>
            <w:tcW w:w="828" w:type="dxa"/>
            <w:vMerge/>
            <w:vAlign w:val="center"/>
          </w:tcPr>
          <w:p w14:paraId="6C10946E" w14:textId="77777777" w:rsidR="002E474C" w:rsidRDefault="002E474C">
            <w:pPr>
              <w:pStyle w:val="A-"/>
              <w:spacing w:line="260" w:lineRule="exact"/>
            </w:pPr>
          </w:p>
        </w:tc>
        <w:tc>
          <w:tcPr>
            <w:tcW w:w="893" w:type="dxa"/>
            <w:vMerge/>
            <w:vAlign w:val="center"/>
          </w:tcPr>
          <w:p w14:paraId="531B3C1E" w14:textId="77777777" w:rsidR="002E474C" w:rsidRDefault="002E474C">
            <w:pPr>
              <w:pStyle w:val="A-"/>
              <w:spacing w:line="260" w:lineRule="exact"/>
            </w:pPr>
          </w:p>
        </w:tc>
        <w:tc>
          <w:tcPr>
            <w:tcW w:w="1147" w:type="dxa"/>
            <w:noWrap/>
            <w:vAlign w:val="center"/>
          </w:tcPr>
          <w:p w14:paraId="56DE23FD" w14:textId="77777777" w:rsidR="002E474C" w:rsidRDefault="00000000">
            <w:pPr>
              <w:pStyle w:val="A-"/>
              <w:spacing w:line="260" w:lineRule="exact"/>
              <w:ind w:leftChars="-25" w:left="-53" w:rightChars="-25" w:right="-53"/>
            </w:pPr>
            <w:r>
              <w:t>336-057-17</w:t>
            </w:r>
          </w:p>
        </w:tc>
        <w:tc>
          <w:tcPr>
            <w:tcW w:w="4991" w:type="dxa"/>
            <w:noWrap/>
            <w:vAlign w:val="center"/>
          </w:tcPr>
          <w:p w14:paraId="231779A1" w14:textId="77777777" w:rsidR="002E474C" w:rsidRDefault="00000000">
            <w:pPr>
              <w:pStyle w:val="A-"/>
              <w:spacing w:line="260" w:lineRule="exact"/>
            </w:pPr>
            <w:r>
              <w:t>使用金和电镀化学品进行镀金产生的废槽液、槽渣和废水处理污泥</w:t>
            </w:r>
          </w:p>
        </w:tc>
        <w:tc>
          <w:tcPr>
            <w:tcW w:w="663" w:type="dxa"/>
            <w:noWrap/>
            <w:vAlign w:val="center"/>
          </w:tcPr>
          <w:p w14:paraId="56A1CB5C" w14:textId="77777777" w:rsidR="002E474C" w:rsidRDefault="00000000">
            <w:pPr>
              <w:pStyle w:val="A-"/>
              <w:spacing w:line="260" w:lineRule="exact"/>
            </w:pPr>
            <w:r>
              <w:t>T</w:t>
            </w:r>
          </w:p>
        </w:tc>
      </w:tr>
      <w:tr w:rsidR="002E474C" w14:paraId="4EAF8035" w14:textId="77777777">
        <w:trPr>
          <w:trHeight w:val="300"/>
        </w:trPr>
        <w:tc>
          <w:tcPr>
            <w:tcW w:w="828" w:type="dxa"/>
            <w:vMerge/>
            <w:vAlign w:val="center"/>
          </w:tcPr>
          <w:p w14:paraId="584FEE4F" w14:textId="77777777" w:rsidR="002E474C" w:rsidRDefault="002E474C">
            <w:pPr>
              <w:pStyle w:val="A-"/>
              <w:spacing w:line="260" w:lineRule="exact"/>
            </w:pPr>
          </w:p>
        </w:tc>
        <w:tc>
          <w:tcPr>
            <w:tcW w:w="893" w:type="dxa"/>
            <w:vMerge/>
            <w:vAlign w:val="center"/>
          </w:tcPr>
          <w:p w14:paraId="0D7626EB" w14:textId="77777777" w:rsidR="002E474C" w:rsidRDefault="002E474C">
            <w:pPr>
              <w:pStyle w:val="A-"/>
              <w:spacing w:line="260" w:lineRule="exact"/>
            </w:pPr>
          </w:p>
        </w:tc>
        <w:tc>
          <w:tcPr>
            <w:tcW w:w="1147" w:type="dxa"/>
            <w:noWrap/>
            <w:vAlign w:val="center"/>
          </w:tcPr>
          <w:p w14:paraId="08BFAD29" w14:textId="77777777" w:rsidR="002E474C" w:rsidRDefault="00000000">
            <w:pPr>
              <w:pStyle w:val="A-"/>
              <w:spacing w:line="260" w:lineRule="exact"/>
              <w:ind w:leftChars="-25" w:left="-53" w:rightChars="-25" w:right="-53"/>
            </w:pPr>
            <w:r>
              <w:t>336-058-17</w:t>
            </w:r>
          </w:p>
        </w:tc>
        <w:tc>
          <w:tcPr>
            <w:tcW w:w="4991" w:type="dxa"/>
            <w:noWrap/>
            <w:vAlign w:val="center"/>
          </w:tcPr>
          <w:p w14:paraId="3C62C2AE" w14:textId="77777777" w:rsidR="002E474C" w:rsidRDefault="00000000">
            <w:pPr>
              <w:pStyle w:val="A-"/>
              <w:spacing w:line="260" w:lineRule="exact"/>
            </w:pPr>
            <w:r>
              <w:t>使用镀铜液进行化学镀铜产生的废槽液、槽渣和废水处理污泥</w:t>
            </w:r>
          </w:p>
        </w:tc>
        <w:tc>
          <w:tcPr>
            <w:tcW w:w="663" w:type="dxa"/>
            <w:noWrap/>
            <w:vAlign w:val="center"/>
          </w:tcPr>
          <w:p w14:paraId="33D35D4F" w14:textId="77777777" w:rsidR="002E474C" w:rsidRDefault="00000000">
            <w:pPr>
              <w:pStyle w:val="A-"/>
              <w:spacing w:line="260" w:lineRule="exact"/>
            </w:pPr>
            <w:r>
              <w:t>T</w:t>
            </w:r>
          </w:p>
        </w:tc>
      </w:tr>
      <w:tr w:rsidR="002E474C" w14:paraId="549ED478" w14:textId="77777777">
        <w:trPr>
          <w:trHeight w:val="300"/>
        </w:trPr>
        <w:tc>
          <w:tcPr>
            <w:tcW w:w="828" w:type="dxa"/>
            <w:vMerge/>
            <w:vAlign w:val="center"/>
          </w:tcPr>
          <w:p w14:paraId="3DD6494C" w14:textId="77777777" w:rsidR="002E474C" w:rsidRDefault="002E474C">
            <w:pPr>
              <w:pStyle w:val="A-"/>
              <w:spacing w:line="260" w:lineRule="exact"/>
            </w:pPr>
          </w:p>
        </w:tc>
        <w:tc>
          <w:tcPr>
            <w:tcW w:w="893" w:type="dxa"/>
            <w:vMerge/>
            <w:vAlign w:val="center"/>
          </w:tcPr>
          <w:p w14:paraId="60C6AC7E" w14:textId="77777777" w:rsidR="002E474C" w:rsidRDefault="002E474C">
            <w:pPr>
              <w:pStyle w:val="A-"/>
              <w:spacing w:line="260" w:lineRule="exact"/>
            </w:pPr>
          </w:p>
        </w:tc>
        <w:tc>
          <w:tcPr>
            <w:tcW w:w="1147" w:type="dxa"/>
            <w:noWrap/>
            <w:vAlign w:val="center"/>
          </w:tcPr>
          <w:p w14:paraId="40D44D58" w14:textId="77777777" w:rsidR="002E474C" w:rsidRDefault="00000000">
            <w:pPr>
              <w:pStyle w:val="A-"/>
              <w:spacing w:line="260" w:lineRule="exact"/>
              <w:ind w:leftChars="-25" w:left="-53" w:rightChars="-25" w:right="-53"/>
            </w:pPr>
            <w:r>
              <w:t>336-059-17</w:t>
            </w:r>
          </w:p>
        </w:tc>
        <w:tc>
          <w:tcPr>
            <w:tcW w:w="4991" w:type="dxa"/>
            <w:noWrap/>
            <w:vAlign w:val="center"/>
          </w:tcPr>
          <w:p w14:paraId="2BA7EE34" w14:textId="77777777" w:rsidR="002E474C" w:rsidRDefault="00000000">
            <w:pPr>
              <w:pStyle w:val="A-"/>
              <w:spacing w:line="260" w:lineRule="exact"/>
            </w:pPr>
            <w:r>
              <w:rPr>
                <w:spacing w:val="-6"/>
              </w:rPr>
              <w:t>使用钯和锡盐进行活化处理产生的废渣和废水处理污泥</w:t>
            </w:r>
          </w:p>
        </w:tc>
        <w:tc>
          <w:tcPr>
            <w:tcW w:w="663" w:type="dxa"/>
            <w:noWrap/>
            <w:vAlign w:val="center"/>
          </w:tcPr>
          <w:p w14:paraId="646A146F" w14:textId="77777777" w:rsidR="002E474C" w:rsidRDefault="00000000">
            <w:pPr>
              <w:pStyle w:val="A-"/>
              <w:spacing w:line="260" w:lineRule="exact"/>
            </w:pPr>
            <w:r>
              <w:t>T</w:t>
            </w:r>
          </w:p>
        </w:tc>
      </w:tr>
      <w:tr w:rsidR="002E474C" w14:paraId="043F5635" w14:textId="77777777">
        <w:trPr>
          <w:trHeight w:val="300"/>
        </w:trPr>
        <w:tc>
          <w:tcPr>
            <w:tcW w:w="828" w:type="dxa"/>
            <w:vMerge/>
            <w:vAlign w:val="center"/>
          </w:tcPr>
          <w:p w14:paraId="6C49D9E1" w14:textId="77777777" w:rsidR="002E474C" w:rsidRDefault="002E474C">
            <w:pPr>
              <w:pStyle w:val="A-"/>
              <w:spacing w:line="260" w:lineRule="exact"/>
            </w:pPr>
          </w:p>
        </w:tc>
        <w:tc>
          <w:tcPr>
            <w:tcW w:w="893" w:type="dxa"/>
            <w:vMerge/>
            <w:vAlign w:val="center"/>
          </w:tcPr>
          <w:p w14:paraId="68388838" w14:textId="77777777" w:rsidR="002E474C" w:rsidRDefault="002E474C">
            <w:pPr>
              <w:pStyle w:val="A-"/>
              <w:spacing w:line="260" w:lineRule="exact"/>
            </w:pPr>
          </w:p>
        </w:tc>
        <w:tc>
          <w:tcPr>
            <w:tcW w:w="1147" w:type="dxa"/>
            <w:noWrap/>
            <w:vAlign w:val="center"/>
          </w:tcPr>
          <w:p w14:paraId="5BCEB35E" w14:textId="77777777" w:rsidR="002E474C" w:rsidRDefault="00000000">
            <w:pPr>
              <w:pStyle w:val="A-"/>
              <w:spacing w:line="260" w:lineRule="exact"/>
              <w:ind w:leftChars="-25" w:left="-53" w:rightChars="-25" w:right="-53"/>
            </w:pPr>
            <w:r>
              <w:t>336-060-17</w:t>
            </w:r>
          </w:p>
        </w:tc>
        <w:tc>
          <w:tcPr>
            <w:tcW w:w="4991" w:type="dxa"/>
            <w:noWrap/>
            <w:vAlign w:val="center"/>
          </w:tcPr>
          <w:p w14:paraId="23C413FD" w14:textId="77777777" w:rsidR="002E474C" w:rsidRDefault="00000000">
            <w:pPr>
              <w:pStyle w:val="A-"/>
              <w:spacing w:line="260" w:lineRule="exact"/>
            </w:pPr>
            <w:r>
              <w:t>使用铬和电镀化学品进行镀黑铬产生的废槽液、槽渣和废水处理污泥</w:t>
            </w:r>
          </w:p>
        </w:tc>
        <w:tc>
          <w:tcPr>
            <w:tcW w:w="663" w:type="dxa"/>
            <w:noWrap/>
            <w:vAlign w:val="center"/>
          </w:tcPr>
          <w:p w14:paraId="343F8789" w14:textId="77777777" w:rsidR="002E474C" w:rsidRDefault="00000000">
            <w:pPr>
              <w:pStyle w:val="A-"/>
              <w:spacing w:line="260" w:lineRule="exact"/>
            </w:pPr>
            <w:r>
              <w:t>T</w:t>
            </w:r>
          </w:p>
        </w:tc>
      </w:tr>
      <w:tr w:rsidR="002E474C" w14:paraId="1A12F54D" w14:textId="77777777">
        <w:trPr>
          <w:trHeight w:val="300"/>
        </w:trPr>
        <w:tc>
          <w:tcPr>
            <w:tcW w:w="828" w:type="dxa"/>
            <w:vMerge/>
            <w:vAlign w:val="center"/>
          </w:tcPr>
          <w:p w14:paraId="0CDAF504" w14:textId="77777777" w:rsidR="002E474C" w:rsidRDefault="002E474C">
            <w:pPr>
              <w:pStyle w:val="A-"/>
              <w:spacing w:line="260" w:lineRule="exact"/>
            </w:pPr>
          </w:p>
        </w:tc>
        <w:tc>
          <w:tcPr>
            <w:tcW w:w="893" w:type="dxa"/>
            <w:vMerge/>
            <w:vAlign w:val="center"/>
          </w:tcPr>
          <w:p w14:paraId="46F6520D" w14:textId="77777777" w:rsidR="002E474C" w:rsidRDefault="002E474C">
            <w:pPr>
              <w:pStyle w:val="A-"/>
              <w:spacing w:line="260" w:lineRule="exact"/>
            </w:pPr>
          </w:p>
        </w:tc>
        <w:tc>
          <w:tcPr>
            <w:tcW w:w="1147" w:type="dxa"/>
            <w:noWrap/>
            <w:vAlign w:val="center"/>
          </w:tcPr>
          <w:p w14:paraId="72B68E04" w14:textId="77777777" w:rsidR="002E474C" w:rsidRDefault="00000000">
            <w:pPr>
              <w:pStyle w:val="A-"/>
              <w:spacing w:line="260" w:lineRule="exact"/>
              <w:ind w:leftChars="-25" w:left="-53" w:rightChars="-25" w:right="-53"/>
            </w:pPr>
            <w:r>
              <w:t>336-061-17</w:t>
            </w:r>
          </w:p>
        </w:tc>
        <w:tc>
          <w:tcPr>
            <w:tcW w:w="4991" w:type="dxa"/>
            <w:noWrap/>
            <w:vAlign w:val="center"/>
          </w:tcPr>
          <w:p w14:paraId="607332BA" w14:textId="77777777" w:rsidR="002E474C" w:rsidRDefault="00000000">
            <w:pPr>
              <w:pStyle w:val="A-"/>
              <w:spacing w:line="260" w:lineRule="exact"/>
              <w:ind w:leftChars="-34" w:left="-71" w:rightChars="-34" w:right="-71"/>
            </w:pPr>
            <w:r>
              <w:rPr>
                <w:spacing w:val="-11"/>
              </w:rPr>
              <w:t>使用高锰酸钾进行钻孔除胶处理产生的废渣和废水处理污泥</w:t>
            </w:r>
          </w:p>
        </w:tc>
        <w:tc>
          <w:tcPr>
            <w:tcW w:w="663" w:type="dxa"/>
            <w:noWrap/>
            <w:vAlign w:val="center"/>
          </w:tcPr>
          <w:p w14:paraId="3E6DEC67" w14:textId="77777777" w:rsidR="002E474C" w:rsidRDefault="00000000">
            <w:pPr>
              <w:pStyle w:val="A-"/>
              <w:spacing w:line="260" w:lineRule="exact"/>
            </w:pPr>
            <w:r>
              <w:t>T</w:t>
            </w:r>
          </w:p>
        </w:tc>
      </w:tr>
      <w:tr w:rsidR="002E474C" w14:paraId="16FA4ACB" w14:textId="77777777">
        <w:trPr>
          <w:trHeight w:val="300"/>
        </w:trPr>
        <w:tc>
          <w:tcPr>
            <w:tcW w:w="828" w:type="dxa"/>
            <w:vMerge/>
            <w:vAlign w:val="center"/>
          </w:tcPr>
          <w:p w14:paraId="64594231" w14:textId="77777777" w:rsidR="002E474C" w:rsidRDefault="002E474C">
            <w:pPr>
              <w:pStyle w:val="A-"/>
              <w:spacing w:line="260" w:lineRule="exact"/>
            </w:pPr>
          </w:p>
        </w:tc>
        <w:tc>
          <w:tcPr>
            <w:tcW w:w="893" w:type="dxa"/>
            <w:vMerge/>
            <w:vAlign w:val="center"/>
          </w:tcPr>
          <w:p w14:paraId="4F4D4CFB" w14:textId="77777777" w:rsidR="002E474C" w:rsidRDefault="002E474C">
            <w:pPr>
              <w:pStyle w:val="A-"/>
              <w:spacing w:line="260" w:lineRule="exact"/>
            </w:pPr>
          </w:p>
        </w:tc>
        <w:tc>
          <w:tcPr>
            <w:tcW w:w="1147" w:type="dxa"/>
            <w:noWrap/>
            <w:vAlign w:val="center"/>
          </w:tcPr>
          <w:p w14:paraId="638F2AB3" w14:textId="77777777" w:rsidR="002E474C" w:rsidRDefault="00000000">
            <w:pPr>
              <w:pStyle w:val="A-"/>
              <w:spacing w:line="260" w:lineRule="exact"/>
              <w:ind w:leftChars="-25" w:left="-53" w:rightChars="-25" w:right="-53"/>
            </w:pPr>
            <w:r>
              <w:t>336-062-17</w:t>
            </w:r>
          </w:p>
        </w:tc>
        <w:tc>
          <w:tcPr>
            <w:tcW w:w="4991" w:type="dxa"/>
            <w:noWrap/>
            <w:vAlign w:val="center"/>
          </w:tcPr>
          <w:p w14:paraId="0665F5FD" w14:textId="77777777" w:rsidR="002E474C" w:rsidRDefault="00000000">
            <w:pPr>
              <w:pStyle w:val="A-"/>
              <w:spacing w:line="260" w:lineRule="exact"/>
            </w:pPr>
            <w:r>
              <w:t>使用铜和电镀化学品进行镀铜产生的废槽液、槽渣和废水处理污泥</w:t>
            </w:r>
          </w:p>
        </w:tc>
        <w:tc>
          <w:tcPr>
            <w:tcW w:w="663" w:type="dxa"/>
            <w:noWrap/>
            <w:vAlign w:val="center"/>
          </w:tcPr>
          <w:p w14:paraId="109AA00A" w14:textId="77777777" w:rsidR="002E474C" w:rsidRDefault="00000000">
            <w:pPr>
              <w:pStyle w:val="A-"/>
              <w:spacing w:line="260" w:lineRule="exact"/>
            </w:pPr>
            <w:r>
              <w:t>T</w:t>
            </w:r>
          </w:p>
        </w:tc>
      </w:tr>
      <w:tr w:rsidR="002E474C" w14:paraId="5B9EFEB9" w14:textId="77777777">
        <w:trPr>
          <w:trHeight w:val="300"/>
        </w:trPr>
        <w:tc>
          <w:tcPr>
            <w:tcW w:w="828" w:type="dxa"/>
            <w:vMerge/>
            <w:vAlign w:val="center"/>
          </w:tcPr>
          <w:p w14:paraId="1B141934" w14:textId="77777777" w:rsidR="002E474C" w:rsidRDefault="002E474C">
            <w:pPr>
              <w:pStyle w:val="A-"/>
              <w:spacing w:line="260" w:lineRule="exact"/>
            </w:pPr>
          </w:p>
        </w:tc>
        <w:tc>
          <w:tcPr>
            <w:tcW w:w="893" w:type="dxa"/>
            <w:vMerge/>
            <w:vAlign w:val="center"/>
          </w:tcPr>
          <w:p w14:paraId="6D178FFE" w14:textId="77777777" w:rsidR="002E474C" w:rsidRDefault="002E474C">
            <w:pPr>
              <w:pStyle w:val="A-"/>
              <w:spacing w:line="260" w:lineRule="exact"/>
            </w:pPr>
          </w:p>
        </w:tc>
        <w:tc>
          <w:tcPr>
            <w:tcW w:w="1147" w:type="dxa"/>
            <w:noWrap/>
            <w:vAlign w:val="center"/>
          </w:tcPr>
          <w:p w14:paraId="3BFBF4A4" w14:textId="77777777" w:rsidR="002E474C" w:rsidRDefault="00000000">
            <w:pPr>
              <w:pStyle w:val="A-"/>
              <w:spacing w:line="260" w:lineRule="exact"/>
              <w:ind w:leftChars="-25" w:left="-53" w:rightChars="-25" w:right="-53"/>
            </w:pPr>
            <w:r>
              <w:t>336-063-17</w:t>
            </w:r>
          </w:p>
        </w:tc>
        <w:tc>
          <w:tcPr>
            <w:tcW w:w="4991" w:type="dxa"/>
            <w:noWrap/>
            <w:vAlign w:val="center"/>
          </w:tcPr>
          <w:p w14:paraId="4BE50AAC" w14:textId="77777777" w:rsidR="002E474C" w:rsidRDefault="00000000">
            <w:pPr>
              <w:pStyle w:val="A-"/>
              <w:spacing w:line="260" w:lineRule="exact"/>
            </w:pPr>
            <w:r>
              <w:t>其他电镀工艺产生的废槽液、槽渣和废水处理污泥</w:t>
            </w:r>
          </w:p>
        </w:tc>
        <w:tc>
          <w:tcPr>
            <w:tcW w:w="663" w:type="dxa"/>
            <w:noWrap/>
            <w:vAlign w:val="center"/>
          </w:tcPr>
          <w:p w14:paraId="2CD7532F" w14:textId="77777777" w:rsidR="002E474C" w:rsidRDefault="00000000">
            <w:pPr>
              <w:pStyle w:val="A-"/>
              <w:spacing w:line="260" w:lineRule="exact"/>
            </w:pPr>
            <w:r>
              <w:t>T</w:t>
            </w:r>
          </w:p>
        </w:tc>
      </w:tr>
      <w:tr w:rsidR="002E474C" w14:paraId="65A3871D" w14:textId="77777777">
        <w:trPr>
          <w:trHeight w:val="300"/>
        </w:trPr>
        <w:tc>
          <w:tcPr>
            <w:tcW w:w="828" w:type="dxa"/>
            <w:vMerge/>
            <w:vAlign w:val="center"/>
          </w:tcPr>
          <w:p w14:paraId="7D9EF870" w14:textId="77777777" w:rsidR="002E474C" w:rsidRDefault="002E474C">
            <w:pPr>
              <w:pStyle w:val="A-"/>
              <w:spacing w:line="260" w:lineRule="exact"/>
            </w:pPr>
          </w:p>
        </w:tc>
        <w:tc>
          <w:tcPr>
            <w:tcW w:w="893" w:type="dxa"/>
            <w:vMerge/>
            <w:vAlign w:val="center"/>
          </w:tcPr>
          <w:p w14:paraId="56ADDCD8" w14:textId="77777777" w:rsidR="002E474C" w:rsidRDefault="002E474C">
            <w:pPr>
              <w:pStyle w:val="A-"/>
              <w:spacing w:line="260" w:lineRule="exact"/>
            </w:pPr>
          </w:p>
        </w:tc>
        <w:tc>
          <w:tcPr>
            <w:tcW w:w="1147" w:type="dxa"/>
            <w:noWrap/>
            <w:vAlign w:val="center"/>
          </w:tcPr>
          <w:p w14:paraId="66FE238E" w14:textId="77777777" w:rsidR="002E474C" w:rsidRDefault="00000000">
            <w:pPr>
              <w:pStyle w:val="A-"/>
              <w:spacing w:line="260" w:lineRule="exact"/>
              <w:ind w:leftChars="-25" w:left="-53" w:rightChars="-25" w:right="-53"/>
            </w:pPr>
            <w:r>
              <w:t>336-064-17</w:t>
            </w:r>
          </w:p>
        </w:tc>
        <w:tc>
          <w:tcPr>
            <w:tcW w:w="4991" w:type="dxa"/>
            <w:noWrap/>
            <w:vAlign w:val="center"/>
          </w:tcPr>
          <w:p w14:paraId="3EA6FDAA" w14:textId="77777777" w:rsidR="002E474C" w:rsidRDefault="00000000">
            <w:pPr>
              <w:pStyle w:val="A-"/>
              <w:spacing w:line="260" w:lineRule="exact"/>
            </w:pPr>
            <w: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p>
        </w:tc>
        <w:tc>
          <w:tcPr>
            <w:tcW w:w="663" w:type="dxa"/>
            <w:noWrap/>
            <w:vAlign w:val="center"/>
          </w:tcPr>
          <w:p w14:paraId="275E3EFF" w14:textId="77777777" w:rsidR="002E474C" w:rsidRDefault="00000000">
            <w:pPr>
              <w:pStyle w:val="A-"/>
              <w:spacing w:line="260" w:lineRule="exact"/>
            </w:pPr>
            <w:r>
              <w:t>T/C</w:t>
            </w:r>
          </w:p>
        </w:tc>
      </w:tr>
      <w:tr w:rsidR="002E474C" w14:paraId="58D3FA7F" w14:textId="77777777">
        <w:trPr>
          <w:trHeight w:val="300"/>
        </w:trPr>
        <w:tc>
          <w:tcPr>
            <w:tcW w:w="828" w:type="dxa"/>
            <w:vMerge/>
            <w:vAlign w:val="center"/>
          </w:tcPr>
          <w:p w14:paraId="4D835281" w14:textId="77777777" w:rsidR="002E474C" w:rsidRDefault="002E474C">
            <w:pPr>
              <w:pStyle w:val="A-"/>
              <w:spacing w:line="260" w:lineRule="exact"/>
            </w:pPr>
          </w:p>
        </w:tc>
        <w:tc>
          <w:tcPr>
            <w:tcW w:w="893" w:type="dxa"/>
            <w:vMerge/>
            <w:vAlign w:val="center"/>
          </w:tcPr>
          <w:p w14:paraId="4200F914" w14:textId="77777777" w:rsidR="002E474C" w:rsidRDefault="002E474C">
            <w:pPr>
              <w:pStyle w:val="A-"/>
              <w:spacing w:line="260" w:lineRule="exact"/>
            </w:pPr>
          </w:p>
        </w:tc>
        <w:tc>
          <w:tcPr>
            <w:tcW w:w="1147" w:type="dxa"/>
            <w:noWrap/>
            <w:vAlign w:val="center"/>
          </w:tcPr>
          <w:p w14:paraId="3A60426B" w14:textId="77777777" w:rsidR="002E474C" w:rsidRDefault="00000000">
            <w:pPr>
              <w:pStyle w:val="A-"/>
              <w:spacing w:line="260" w:lineRule="exact"/>
              <w:ind w:leftChars="-25" w:left="-53" w:rightChars="-25" w:right="-53"/>
            </w:pPr>
            <w:r>
              <w:t>336-066-17</w:t>
            </w:r>
          </w:p>
        </w:tc>
        <w:tc>
          <w:tcPr>
            <w:tcW w:w="4991" w:type="dxa"/>
            <w:noWrap/>
            <w:vAlign w:val="center"/>
          </w:tcPr>
          <w:p w14:paraId="19E0C7A8" w14:textId="77777777" w:rsidR="002E474C" w:rsidRDefault="00000000">
            <w:pPr>
              <w:pStyle w:val="A-"/>
              <w:spacing w:line="260" w:lineRule="exact"/>
            </w:pPr>
            <w:r>
              <w:t>镀层剥除过程中产生的废槽液、槽渣和废水处理污泥</w:t>
            </w:r>
          </w:p>
        </w:tc>
        <w:tc>
          <w:tcPr>
            <w:tcW w:w="663" w:type="dxa"/>
            <w:noWrap/>
            <w:vAlign w:val="center"/>
          </w:tcPr>
          <w:p w14:paraId="5F584821" w14:textId="77777777" w:rsidR="002E474C" w:rsidRDefault="00000000">
            <w:pPr>
              <w:pStyle w:val="A-"/>
              <w:spacing w:line="260" w:lineRule="exact"/>
            </w:pPr>
            <w:r>
              <w:t>T</w:t>
            </w:r>
          </w:p>
        </w:tc>
      </w:tr>
      <w:tr w:rsidR="002E474C" w14:paraId="64434F96" w14:textId="77777777">
        <w:trPr>
          <w:trHeight w:val="300"/>
        </w:trPr>
        <w:tc>
          <w:tcPr>
            <w:tcW w:w="828" w:type="dxa"/>
            <w:vMerge/>
            <w:vAlign w:val="center"/>
          </w:tcPr>
          <w:p w14:paraId="573DB22D" w14:textId="77777777" w:rsidR="002E474C" w:rsidRDefault="002E474C">
            <w:pPr>
              <w:pStyle w:val="A-"/>
              <w:spacing w:line="260" w:lineRule="exact"/>
            </w:pPr>
          </w:p>
        </w:tc>
        <w:tc>
          <w:tcPr>
            <w:tcW w:w="893" w:type="dxa"/>
            <w:vMerge/>
            <w:vAlign w:val="center"/>
          </w:tcPr>
          <w:p w14:paraId="74E95298" w14:textId="77777777" w:rsidR="002E474C" w:rsidRDefault="002E474C">
            <w:pPr>
              <w:pStyle w:val="A-"/>
              <w:spacing w:line="260" w:lineRule="exact"/>
            </w:pPr>
          </w:p>
        </w:tc>
        <w:tc>
          <w:tcPr>
            <w:tcW w:w="1147" w:type="dxa"/>
            <w:noWrap/>
            <w:vAlign w:val="center"/>
          </w:tcPr>
          <w:p w14:paraId="361280CA" w14:textId="77777777" w:rsidR="002E474C" w:rsidRDefault="00000000">
            <w:pPr>
              <w:pStyle w:val="A-"/>
              <w:spacing w:line="260" w:lineRule="exact"/>
              <w:ind w:leftChars="-25" w:left="-53" w:rightChars="-25" w:right="-53"/>
            </w:pPr>
            <w:r>
              <w:t>336-067-17</w:t>
            </w:r>
          </w:p>
        </w:tc>
        <w:tc>
          <w:tcPr>
            <w:tcW w:w="4991" w:type="dxa"/>
            <w:noWrap/>
            <w:vAlign w:val="center"/>
          </w:tcPr>
          <w:p w14:paraId="7EE38AB0" w14:textId="77777777" w:rsidR="002E474C" w:rsidRDefault="00000000">
            <w:pPr>
              <w:pStyle w:val="A-"/>
              <w:spacing w:line="260" w:lineRule="exact"/>
            </w:pPr>
            <w:r>
              <w:t>使用含重铬酸盐的胶体、有机溶剂、黏合剂进行漩流式抗蚀涂布产生的废渣和废水处理污泥</w:t>
            </w:r>
          </w:p>
        </w:tc>
        <w:tc>
          <w:tcPr>
            <w:tcW w:w="663" w:type="dxa"/>
            <w:noWrap/>
            <w:vAlign w:val="center"/>
          </w:tcPr>
          <w:p w14:paraId="7A4C82D0" w14:textId="77777777" w:rsidR="002E474C" w:rsidRDefault="00000000">
            <w:pPr>
              <w:pStyle w:val="A-"/>
              <w:spacing w:line="260" w:lineRule="exact"/>
            </w:pPr>
            <w:r>
              <w:t>T</w:t>
            </w:r>
          </w:p>
        </w:tc>
      </w:tr>
      <w:tr w:rsidR="002E474C" w14:paraId="40534DA6" w14:textId="77777777">
        <w:trPr>
          <w:trHeight w:val="300"/>
        </w:trPr>
        <w:tc>
          <w:tcPr>
            <w:tcW w:w="828" w:type="dxa"/>
            <w:vMerge/>
            <w:vAlign w:val="center"/>
          </w:tcPr>
          <w:p w14:paraId="0551083C" w14:textId="77777777" w:rsidR="002E474C" w:rsidRDefault="002E474C">
            <w:pPr>
              <w:pStyle w:val="A-"/>
              <w:spacing w:line="260" w:lineRule="exact"/>
            </w:pPr>
          </w:p>
        </w:tc>
        <w:tc>
          <w:tcPr>
            <w:tcW w:w="893" w:type="dxa"/>
            <w:vMerge/>
            <w:vAlign w:val="center"/>
          </w:tcPr>
          <w:p w14:paraId="10B59801" w14:textId="77777777" w:rsidR="002E474C" w:rsidRDefault="002E474C">
            <w:pPr>
              <w:pStyle w:val="A-"/>
              <w:spacing w:line="260" w:lineRule="exact"/>
            </w:pPr>
          </w:p>
        </w:tc>
        <w:tc>
          <w:tcPr>
            <w:tcW w:w="1147" w:type="dxa"/>
            <w:noWrap/>
            <w:vAlign w:val="center"/>
          </w:tcPr>
          <w:p w14:paraId="2195064D" w14:textId="77777777" w:rsidR="002E474C" w:rsidRDefault="00000000">
            <w:pPr>
              <w:pStyle w:val="A-"/>
              <w:spacing w:line="260" w:lineRule="exact"/>
              <w:ind w:leftChars="-25" w:left="-53" w:rightChars="-25" w:right="-53"/>
            </w:pPr>
            <w:r>
              <w:t>336-068-17</w:t>
            </w:r>
          </w:p>
        </w:tc>
        <w:tc>
          <w:tcPr>
            <w:tcW w:w="4991" w:type="dxa"/>
            <w:noWrap/>
            <w:vAlign w:val="center"/>
          </w:tcPr>
          <w:p w14:paraId="6D1F8AB1" w14:textId="77777777" w:rsidR="002E474C" w:rsidRDefault="00000000">
            <w:pPr>
              <w:pStyle w:val="A-"/>
              <w:spacing w:line="260" w:lineRule="exact"/>
            </w:pPr>
            <w:r>
              <w:t>使用铬化合物进行抗蚀层化学硬化产生的废渣和废</w:t>
            </w:r>
            <w:r>
              <w:lastRenderedPageBreak/>
              <w:t>水处理污泥</w:t>
            </w:r>
          </w:p>
        </w:tc>
        <w:tc>
          <w:tcPr>
            <w:tcW w:w="663" w:type="dxa"/>
            <w:noWrap/>
            <w:vAlign w:val="center"/>
          </w:tcPr>
          <w:p w14:paraId="6E189685" w14:textId="77777777" w:rsidR="002E474C" w:rsidRDefault="00000000">
            <w:pPr>
              <w:pStyle w:val="A-"/>
              <w:spacing w:line="260" w:lineRule="exact"/>
            </w:pPr>
            <w:r>
              <w:lastRenderedPageBreak/>
              <w:t>T</w:t>
            </w:r>
          </w:p>
        </w:tc>
      </w:tr>
      <w:tr w:rsidR="002E474C" w14:paraId="4C3EB481" w14:textId="77777777">
        <w:trPr>
          <w:trHeight w:val="300"/>
        </w:trPr>
        <w:tc>
          <w:tcPr>
            <w:tcW w:w="828" w:type="dxa"/>
            <w:vMerge/>
            <w:vAlign w:val="center"/>
          </w:tcPr>
          <w:p w14:paraId="56D6B158" w14:textId="77777777" w:rsidR="002E474C" w:rsidRDefault="002E474C">
            <w:pPr>
              <w:pStyle w:val="A-"/>
              <w:spacing w:line="260" w:lineRule="exact"/>
            </w:pPr>
          </w:p>
        </w:tc>
        <w:tc>
          <w:tcPr>
            <w:tcW w:w="893" w:type="dxa"/>
            <w:vMerge/>
            <w:vAlign w:val="center"/>
          </w:tcPr>
          <w:p w14:paraId="055E6739" w14:textId="77777777" w:rsidR="002E474C" w:rsidRDefault="002E474C">
            <w:pPr>
              <w:pStyle w:val="A-"/>
              <w:spacing w:line="260" w:lineRule="exact"/>
            </w:pPr>
          </w:p>
        </w:tc>
        <w:tc>
          <w:tcPr>
            <w:tcW w:w="1147" w:type="dxa"/>
            <w:noWrap/>
            <w:vAlign w:val="center"/>
          </w:tcPr>
          <w:p w14:paraId="11AA988D" w14:textId="77777777" w:rsidR="002E474C" w:rsidRDefault="00000000">
            <w:pPr>
              <w:pStyle w:val="A-"/>
              <w:spacing w:line="260" w:lineRule="exact"/>
              <w:ind w:leftChars="-25" w:left="-53" w:rightChars="-25" w:right="-53"/>
            </w:pPr>
            <w:r>
              <w:t>336-069-17</w:t>
            </w:r>
          </w:p>
        </w:tc>
        <w:tc>
          <w:tcPr>
            <w:tcW w:w="4991" w:type="dxa"/>
            <w:noWrap/>
            <w:vAlign w:val="center"/>
          </w:tcPr>
          <w:p w14:paraId="58AB1E75" w14:textId="77777777" w:rsidR="002E474C" w:rsidRDefault="00000000">
            <w:pPr>
              <w:pStyle w:val="A-"/>
              <w:spacing w:line="260" w:lineRule="exact"/>
            </w:pPr>
            <w:r>
              <w:t>使用铬酸镀铬产生的废槽液、槽渣和废水处理污泥</w:t>
            </w:r>
          </w:p>
        </w:tc>
        <w:tc>
          <w:tcPr>
            <w:tcW w:w="663" w:type="dxa"/>
            <w:noWrap/>
            <w:vAlign w:val="center"/>
          </w:tcPr>
          <w:p w14:paraId="37BC420D" w14:textId="77777777" w:rsidR="002E474C" w:rsidRDefault="00000000">
            <w:pPr>
              <w:pStyle w:val="A-"/>
              <w:spacing w:line="260" w:lineRule="exact"/>
            </w:pPr>
            <w:r>
              <w:t>T</w:t>
            </w:r>
          </w:p>
        </w:tc>
      </w:tr>
      <w:tr w:rsidR="002E474C" w14:paraId="29908729" w14:textId="77777777">
        <w:trPr>
          <w:trHeight w:val="300"/>
        </w:trPr>
        <w:tc>
          <w:tcPr>
            <w:tcW w:w="828" w:type="dxa"/>
            <w:vMerge/>
            <w:vAlign w:val="center"/>
          </w:tcPr>
          <w:p w14:paraId="1C9F9328" w14:textId="77777777" w:rsidR="002E474C" w:rsidRDefault="002E474C">
            <w:pPr>
              <w:pStyle w:val="A-"/>
              <w:spacing w:line="260" w:lineRule="exact"/>
            </w:pPr>
          </w:p>
        </w:tc>
        <w:tc>
          <w:tcPr>
            <w:tcW w:w="893" w:type="dxa"/>
            <w:vMerge/>
            <w:vAlign w:val="center"/>
          </w:tcPr>
          <w:p w14:paraId="30DD144A" w14:textId="77777777" w:rsidR="002E474C" w:rsidRDefault="002E474C">
            <w:pPr>
              <w:pStyle w:val="A-"/>
              <w:spacing w:line="260" w:lineRule="exact"/>
            </w:pPr>
          </w:p>
        </w:tc>
        <w:tc>
          <w:tcPr>
            <w:tcW w:w="1147" w:type="dxa"/>
            <w:noWrap/>
            <w:vAlign w:val="center"/>
          </w:tcPr>
          <w:p w14:paraId="2C601B8C" w14:textId="77777777" w:rsidR="002E474C" w:rsidRDefault="00000000">
            <w:pPr>
              <w:pStyle w:val="A-"/>
              <w:spacing w:line="260" w:lineRule="exact"/>
              <w:ind w:leftChars="-25" w:left="-53" w:rightChars="-25" w:right="-53"/>
            </w:pPr>
            <w:r>
              <w:t>336-100-17</w:t>
            </w:r>
          </w:p>
        </w:tc>
        <w:tc>
          <w:tcPr>
            <w:tcW w:w="4991" w:type="dxa"/>
            <w:noWrap/>
            <w:vAlign w:val="center"/>
          </w:tcPr>
          <w:p w14:paraId="7E0D9A54" w14:textId="77777777" w:rsidR="002E474C" w:rsidRDefault="00000000">
            <w:pPr>
              <w:pStyle w:val="A-"/>
              <w:spacing w:line="260" w:lineRule="exact"/>
              <w:ind w:leftChars="-25" w:left="-53" w:rightChars="-25" w:right="-53"/>
            </w:pPr>
            <w:r>
              <w:rPr>
                <w:spacing w:val="-11"/>
              </w:rPr>
              <w:t>使用铬酸进行阳极氧化产生的废槽液、槽渣和废水处理污泥</w:t>
            </w:r>
          </w:p>
        </w:tc>
        <w:tc>
          <w:tcPr>
            <w:tcW w:w="663" w:type="dxa"/>
            <w:noWrap/>
            <w:vAlign w:val="center"/>
          </w:tcPr>
          <w:p w14:paraId="6AE68BDD" w14:textId="77777777" w:rsidR="002E474C" w:rsidRDefault="00000000">
            <w:pPr>
              <w:pStyle w:val="A-"/>
              <w:spacing w:line="260" w:lineRule="exact"/>
            </w:pPr>
            <w:r>
              <w:t>T</w:t>
            </w:r>
          </w:p>
        </w:tc>
      </w:tr>
      <w:tr w:rsidR="002E474C" w14:paraId="2B178E55" w14:textId="77777777">
        <w:trPr>
          <w:trHeight w:val="300"/>
        </w:trPr>
        <w:tc>
          <w:tcPr>
            <w:tcW w:w="828" w:type="dxa"/>
            <w:vMerge/>
            <w:vAlign w:val="center"/>
          </w:tcPr>
          <w:p w14:paraId="289DFCB3" w14:textId="77777777" w:rsidR="002E474C" w:rsidRDefault="002E474C">
            <w:pPr>
              <w:pStyle w:val="A-"/>
              <w:spacing w:line="260" w:lineRule="exact"/>
            </w:pPr>
          </w:p>
        </w:tc>
        <w:tc>
          <w:tcPr>
            <w:tcW w:w="893" w:type="dxa"/>
            <w:vMerge/>
            <w:vAlign w:val="center"/>
          </w:tcPr>
          <w:p w14:paraId="4FF41979" w14:textId="77777777" w:rsidR="002E474C" w:rsidRDefault="002E474C">
            <w:pPr>
              <w:pStyle w:val="A-"/>
              <w:spacing w:line="260" w:lineRule="exact"/>
            </w:pPr>
          </w:p>
        </w:tc>
        <w:tc>
          <w:tcPr>
            <w:tcW w:w="1147" w:type="dxa"/>
            <w:noWrap/>
            <w:vAlign w:val="center"/>
          </w:tcPr>
          <w:p w14:paraId="62820482" w14:textId="77777777" w:rsidR="002E474C" w:rsidRDefault="00000000">
            <w:pPr>
              <w:pStyle w:val="A-"/>
              <w:spacing w:line="260" w:lineRule="exact"/>
              <w:ind w:leftChars="-25" w:left="-53" w:rightChars="-25" w:right="-53"/>
            </w:pPr>
            <w:r>
              <w:t>336-101-17</w:t>
            </w:r>
          </w:p>
        </w:tc>
        <w:tc>
          <w:tcPr>
            <w:tcW w:w="4991" w:type="dxa"/>
            <w:noWrap/>
            <w:vAlign w:val="center"/>
          </w:tcPr>
          <w:p w14:paraId="30F3C8FE" w14:textId="77777777" w:rsidR="002E474C" w:rsidRDefault="00000000">
            <w:pPr>
              <w:pStyle w:val="A-"/>
              <w:spacing w:line="260" w:lineRule="exact"/>
            </w:pPr>
            <w:r>
              <w:t>使用铬酸进行塑料表面粗化产生的废槽液、槽渣和废水处理污泥</w:t>
            </w:r>
          </w:p>
        </w:tc>
        <w:tc>
          <w:tcPr>
            <w:tcW w:w="663" w:type="dxa"/>
            <w:noWrap/>
            <w:vAlign w:val="center"/>
          </w:tcPr>
          <w:p w14:paraId="137282FB" w14:textId="77777777" w:rsidR="002E474C" w:rsidRDefault="00000000">
            <w:pPr>
              <w:pStyle w:val="A-"/>
              <w:spacing w:line="260" w:lineRule="exact"/>
            </w:pPr>
            <w:r>
              <w:t>T</w:t>
            </w:r>
          </w:p>
        </w:tc>
      </w:tr>
      <w:tr w:rsidR="002E474C" w14:paraId="468EAA51" w14:textId="77777777">
        <w:trPr>
          <w:trHeight w:val="300"/>
        </w:trPr>
        <w:tc>
          <w:tcPr>
            <w:tcW w:w="828" w:type="dxa"/>
            <w:vMerge w:val="restart"/>
            <w:noWrap/>
            <w:vAlign w:val="center"/>
          </w:tcPr>
          <w:p w14:paraId="41BC20BB" w14:textId="77777777" w:rsidR="002E474C" w:rsidRDefault="00000000">
            <w:pPr>
              <w:pStyle w:val="A-"/>
              <w:spacing w:line="260" w:lineRule="exact"/>
            </w:pPr>
            <w:r>
              <w:t>HW18</w:t>
            </w:r>
            <w:r>
              <w:br/>
            </w:r>
            <w:r>
              <w:t>焚烧处置残渣</w:t>
            </w:r>
          </w:p>
        </w:tc>
        <w:tc>
          <w:tcPr>
            <w:tcW w:w="893" w:type="dxa"/>
            <w:vMerge w:val="restart"/>
            <w:noWrap/>
            <w:vAlign w:val="center"/>
          </w:tcPr>
          <w:p w14:paraId="69407535" w14:textId="77777777" w:rsidR="002E474C" w:rsidRDefault="00000000">
            <w:pPr>
              <w:pStyle w:val="A-"/>
              <w:spacing w:line="260" w:lineRule="exact"/>
            </w:pPr>
            <w:r>
              <w:t>环境治理业</w:t>
            </w:r>
          </w:p>
        </w:tc>
        <w:tc>
          <w:tcPr>
            <w:tcW w:w="1147" w:type="dxa"/>
            <w:noWrap/>
            <w:vAlign w:val="center"/>
          </w:tcPr>
          <w:p w14:paraId="68DD52D6" w14:textId="77777777" w:rsidR="002E474C" w:rsidRDefault="00000000">
            <w:pPr>
              <w:pStyle w:val="A-"/>
              <w:spacing w:line="260" w:lineRule="exact"/>
              <w:ind w:leftChars="-25" w:left="-53" w:rightChars="-25" w:right="-53"/>
            </w:pPr>
            <w:r>
              <w:t>772-002-18</w:t>
            </w:r>
          </w:p>
        </w:tc>
        <w:tc>
          <w:tcPr>
            <w:tcW w:w="4991" w:type="dxa"/>
            <w:noWrap/>
            <w:vAlign w:val="center"/>
          </w:tcPr>
          <w:p w14:paraId="0DBFBAC1" w14:textId="77777777" w:rsidR="002E474C" w:rsidRDefault="00000000">
            <w:pPr>
              <w:pStyle w:val="A-"/>
              <w:spacing w:line="260" w:lineRule="exact"/>
            </w:pPr>
            <w:r>
              <w:t>生活垃圾焚烧飞灰</w:t>
            </w:r>
          </w:p>
        </w:tc>
        <w:tc>
          <w:tcPr>
            <w:tcW w:w="663" w:type="dxa"/>
            <w:noWrap/>
            <w:vAlign w:val="center"/>
          </w:tcPr>
          <w:p w14:paraId="0F6C3DE1" w14:textId="77777777" w:rsidR="002E474C" w:rsidRDefault="00000000">
            <w:pPr>
              <w:pStyle w:val="A-"/>
              <w:spacing w:line="260" w:lineRule="exact"/>
            </w:pPr>
            <w:r>
              <w:t>T</w:t>
            </w:r>
          </w:p>
        </w:tc>
      </w:tr>
      <w:tr w:rsidR="002E474C" w14:paraId="11A89F2F" w14:textId="77777777">
        <w:trPr>
          <w:trHeight w:val="300"/>
        </w:trPr>
        <w:tc>
          <w:tcPr>
            <w:tcW w:w="828" w:type="dxa"/>
            <w:vMerge/>
            <w:vAlign w:val="center"/>
          </w:tcPr>
          <w:p w14:paraId="6A28CD80" w14:textId="77777777" w:rsidR="002E474C" w:rsidRDefault="002E474C">
            <w:pPr>
              <w:pStyle w:val="A-"/>
              <w:spacing w:line="260" w:lineRule="exact"/>
            </w:pPr>
          </w:p>
        </w:tc>
        <w:tc>
          <w:tcPr>
            <w:tcW w:w="893" w:type="dxa"/>
            <w:vMerge/>
            <w:vAlign w:val="center"/>
          </w:tcPr>
          <w:p w14:paraId="3A608CCE" w14:textId="77777777" w:rsidR="002E474C" w:rsidRDefault="002E474C">
            <w:pPr>
              <w:pStyle w:val="A-"/>
              <w:spacing w:line="260" w:lineRule="exact"/>
            </w:pPr>
          </w:p>
        </w:tc>
        <w:tc>
          <w:tcPr>
            <w:tcW w:w="1147" w:type="dxa"/>
            <w:noWrap/>
            <w:vAlign w:val="center"/>
          </w:tcPr>
          <w:p w14:paraId="2506847E" w14:textId="77777777" w:rsidR="002E474C" w:rsidRDefault="00000000">
            <w:pPr>
              <w:pStyle w:val="A-"/>
              <w:spacing w:line="260" w:lineRule="exact"/>
              <w:ind w:leftChars="-25" w:left="-53" w:rightChars="-25" w:right="-53"/>
            </w:pPr>
            <w:r>
              <w:t>772-003-18</w:t>
            </w:r>
          </w:p>
        </w:tc>
        <w:tc>
          <w:tcPr>
            <w:tcW w:w="4991" w:type="dxa"/>
            <w:noWrap/>
            <w:vAlign w:val="center"/>
          </w:tcPr>
          <w:p w14:paraId="06159E75" w14:textId="77777777" w:rsidR="002E474C" w:rsidRDefault="00000000">
            <w:pPr>
              <w:pStyle w:val="A-"/>
              <w:spacing w:line="260" w:lineRule="exact"/>
            </w:pPr>
            <w:r>
              <w:t>具有毒性、感染性中一种或者两种危险特性的危险废物焚烧、热解等处置过程产生的飞灰、废水处理污泥和底渣（不包括生活垃圾焚烧炉协同处置感染性医疗废物产生的底渣）</w:t>
            </w:r>
          </w:p>
        </w:tc>
        <w:tc>
          <w:tcPr>
            <w:tcW w:w="663" w:type="dxa"/>
            <w:noWrap/>
            <w:vAlign w:val="center"/>
          </w:tcPr>
          <w:p w14:paraId="066CA954" w14:textId="77777777" w:rsidR="002E474C" w:rsidRDefault="00000000">
            <w:pPr>
              <w:pStyle w:val="A-"/>
              <w:spacing w:line="260" w:lineRule="exact"/>
            </w:pPr>
            <w:r>
              <w:t>T/In</w:t>
            </w:r>
          </w:p>
        </w:tc>
      </w:tr>
      <w:tr w:rsidR="002E474C" w14:paraId="53561E75" w14:textId="77777777">
        <w:trPr>
          <w:trHeight w:val="300"/>
        </w:trPr>
        <w:tc>
          <w:tcPr>
            <w:tcW w:w="828" w:type="dxa"/>
            <w:vMerge/>
            <w:vAlign w:val="center"/>
          </w:tcPr>
          <w:p w14:paraId="0CEF933D" w14:textId="77777777" w:rsidR="002E474C" w:rsidRDefault="002E474C">
            <w:pPr>
              <w:pStyle w:val="A-"/>
              <w:spacing w:line="260" w:lineRule="exact"/>
            </w:pPr>
          </w:p>
        </w:tc>
        <w:tc>
          <w:tcPr>
            <w:tcW w:w="893" w:type="dxa"/>
            <w:vMerge/>
            <w:vAlign w:val="center"/>
          </w:tcPr>
          <w:p w14:paraId="5DF0315F" w14:textId="77777777" w:rsidR="002E474C" w:rsidRDefault="002E474C">
            <w:pPr>
              <w:pStyle w:val="A-"/>
              <w:spacing w:line="260" w:lineRule="exact"/>
            </w:pPr>
          </w:p>
        </w:tc>
        <w:tc>
          <w:tcPr>
            <w:tcW w:w="1147" w:type="dxa"/>
            <w:noWrap/>
            <w:vAlign w:val="center"/>
          </w:tcPr>
          <w:p w14:paraId="62A2FBC7" w14:textId="77777777" w:rsidR="002E474C" w:rsidRDefault="00000000">
            <w:pPr>
              <w:pStyle w:val="A-"/>
              <w:spacing w:line="260" w:lineRule="exact"/>
              <w:ind w:leftChars="-25" w:left="-53" w:rightChars="-25" w:right="-53"/>
            </w:pPr>
            <w:r>
              <w:t>772-004-18</w:t>
            </w:r>
          </w:p>
        </w:tc>
        <w:tc>
          <w:tcPr>
            <w:tcW w:w="4991" w:type="dxa"/>
            <w:noWrap/>
            <w:vAlign w:val="center"/>
          </w:tcPr>
          <w:p w14:paraId="21A1DB36" w14:textId="77777777" w:rsidR="002E474C" w:rsidRDefault="00000000">
            <w:pPr>
              <w:pStyle w:val="A-"/>
              <w:spacing w:line="260" w:lineRule="exact"/>
            </w:pPr>
            <w:r>
              <w:t>危险废物等离子体、高温熔融等处置过程产生的非玻璃态物质和飞灰</w:t>
            </w:r>
          </w:p>
        </w:tc>
        <w:tc>
          <w:tcPr>
            <w:tcW w:w="663" w:type="dxa"/>
            <w:noWrap/>
            <w:vAlign w:val="center"/>
          </w:tcPr>
          <w:p w14:paraId="596358E5" w14:textId="77777777" w:rsidR="002E474C" w:rsidRDefault="00000000">
            <w:pPr>
              <w:pStyle w:val="A-"/>
              <w:spacing w:line="260" w:lineRule="exact"/>
            </w:pPr>
            <w:r>
              <w:t>T</w:t>
            </w:r>
          </w:p>
        </w:tc>
      </w:tr>
      <w:tr w:rsidR="002E474C" w14:paraId="0AE92A9C" w14:textId="77777777">
        <w:trPr>
          <w:trHeight w:val="300"/>
        </w:trPr>
        <w:tc>
          <w:tcPr>
            <w:tcW w:w="828" w:type="dxa"/>
            <w:vMerge/>
            <w:vAlign w:val="center"/>
          </w:tcPr>
          <w:p w14:paraId="29DB6378" w14:textId="77777777" w:rsidR="002E474C" w:rsidRDefault="002E474C">
            <w:pPr>
              <w:pStyle w:val="A-"/>
              <w:spacing w:line="260" w:lineRule="exact"/>
            </w:pPr>
          </w:p>
        </w:tc>
        <w:tc>
          <w:tcPr>
            <w:tcW w:w="893" w:type="dxa"/>
            <w:vMerge/>
            <w:vAlign w:val="center"/>
          </w:tcPr>
          <w:p w14:paraId="6083BAD3" w14:textId="77777777" w:rsidR="002E474C" w:rsidRDefault="002E474C">
            <w:pPr>
              <w:pStyle w:val="A-"/>
              <w:spacing w:line="260" w:lineRule="exact"/>
            </w:pPr>
          </w:p>
        </w:tc>
        <w:tc>
          <w:tcPr>
            <w:tcW w:w="1147" w:type="dxa"/>
            <w:noWrap/>
            <w:vAlign w:val="center"/>
          </w:tcPr>
          <w:p w14:paraId="38A30E63" w14:textId="77777777" w:rsidR="002E474C" w:rsidRDefault="00000000">
            <w:pPr>
              <w:pStyle w:val="A-"/>
              <w:spacing w:line="260" w:lineRule="exact"/>
              <w:ind w:leftChars="-25" w:left="-53" w:rightChars="-25" w:right="-53"/>
            </w:pPr>
            <w:r>
              <w:t>772-005-18</w:t>
            </w:r>
          </w:p>
        </w:tc>
        <w:tc>
          <w:tcPr>
            <w:tcW w:w="4991" w:type="dxa"/>
            <w:noWrap/>
            <w:vAlign w:val="center"/>
          </w:tcPr>
          <w:p w14:paraId="626BCEB8" w14:textId="77777777" w:rsidR="002E474C" w:rsidRDefault="00000000">
            <w:pPr>
              <w:pStyle w:val="A-"/>
              <w:spacing w:line="260" w:lineRule="exact"/>
            </w:pPr>
            <w:r>
              <w:t>固体废物焚烧处置过程中废气处理产生的废活性炭</w:t>
            </w:r>
          </w:p>
        </w:tc>
        <w:tc>
          <w:tcPr>
            <w:tcW w:w="663" w:type="dxa"/>
            <w:noWrap/>
            <w:vAlign w:val="center"/>
          </w:tcPr>
          <w:p w14:paraId="5CE6521E" w14:textId="77777777" w:rsidR="002E474C" w:rsidRDefault="00000000">
            <w:pPr>
              <w:pStyle w:val="A-"/>
              <w:spacing w:line="260" w:lineRule="exact"/>
            </w:pPr>
            <w:r>
              <w:t>T</w:t>
            </w:r>
          </w:p>
        </w:tc>
      </w:tr>
      <w:tr w:rsidR="002E474C" w14:paraId="4C84CCFF" w14:textId="77777777">
        <w:trPr>
          <w:trHeight w:val="300"/>
        </w:trPr>
        <w:tc>
          <w:tcPr>
            <w:tcW w:w="828" w:type="dxa"/>
            <w:noWrap/>
            <w:vAlign w:val="center"/>
          </w:tcPr>
          <w:p w14:paraId="2E1450C1" w14:textId="77777777" w:rsidR="002E474C" w:rsidRDefault="00000000">
            <w:pPr>
              <w:pStyle w:val="A-"/>
              <w:spacing w:line="260" w:lineRule="exact"/>
            </w:pPr>
            <w:r>
              <w:t>HW19</w:t>
            </w:r>
            <w:r>
              <w:br/>
            </w:r>
            <w:r>
              <w:rPr>
                <w:spacing w:val="-11"/>
              </w:rPr>
              <w:t>含金属羰基化合物废物</w:t>
            </w:r>
          </w:p>
        </w:tc>
        <w:tc>
          <w:tcPr>
            <w:tcW w:w="893" w:type="dxa"/>
            <w:noWrap/>
            <w:vAlign w:val="center"/>
          </w:tcPr>
          <w:p w14:paraId="5C6ACAC9" w14:textId="77777777" w:rsidR="002E474C" w:rsidRDefault="00000000">
            <w:pPr>
              <w:pStyle w:val="A-"/>
              <w:spacing w:line="260" w:lineRule="exact"/>
            </w:pPr>
            <w:r>
              <w:t>非特定行业</w:t>
            </w:r>
          </w:p>
        </w:tc>
        <w:tc>
          <w:tcPr>
            <w:tcW w:w="1147" w:type="dxa"/>
            <w:noWrap/>
            <w:vAlign w:val="center"/>
          </w:tcPr>
          <w:p w14:paraId="07F27696" w14:textId="77777777" w:rsidR="002E474C" w:rsidRDefault="00000000">
            <w:pPr>
              <w:pStyle w:val="A-"/>
              <w:spacing w:line="260" w:lineRule="exact"/>
              <w:ind w:leftChars="-25" w:left="-53" w:rightChars="-25" w:right="-53"/>
            </w:pPr>
            <w:r>
              <w:t>900-020-19</w:t>
            </w:r>
          </w:p>
        </w:tc>
        <w:tc>
          <w:tcPr>
            <w:tcW w:w="4991" w:type="dxa"/>
            <w:noWrap/>
            <w:vAlign w:val="center"/>
          </w:tcPr>
          <w:p w14:paraId="7BBC0BBD" w14:textId="77777777" w:rsidR="002E474C" w:rsidRDefault="00000000">
            <w:pPr>
              <w:pStyle w:val="A-"/>
              <w:spacing w:line="260" w:lineRule="exact"/>
            </w:pPr>
            <w:r>
              <w:t>金属羰基化合物生产、使用过程中产生的含有羰基化合物成分的废物</w:t>
            </w:r>
          </w:p>
        </w:tc>
        <w:tc>
          <w:tcPr>
            <w:tcW w:w="663" w:type="dxa"/>
            <w:noWrap/>
            <w:vAlign w:val="center"/>
          </w:tcPr>
          <w:p w14:paraId="781B5B27" w14:textId="77777777" w:rsidR="002E474C" w:rsidRDefault="00000000">
            <w:pPr>
              <w:pStyle w:val="A-"/>
              <w:spacing w:line="260" w:lineRule="exact"/>
            </w:pPr>
            <w:r>
              <w:t>T</w:t>
            </w:r>
          </w:p>
        </w:tc>
      </w:tr>
      <w:tr w:rsidR="002E474C" w14:paraId="1503DD23" w14:textId="77777777">
        <w:trPr>
          <w:trHeight w:val="300"/>
        </w:trPr>
        <w:tc>
          <w:tcPr>
            <w:tcW w:w="828" w:type="dxa"/>
            <w:noWrap/>
            <w:vAlign w:val="center"/>
          </w:tcPr>
          <w:p w14:paraId="1DB926C9" w14:textId="77777777" w:rsidR="002E474C" w:rsidRDefault="00000000">
            <w:pPr>
              <w:pStyle w:val="A-"/>
              <w:spacing w:line="260" w:lineRule="exact"/>
            </w:pPr>
            <w:r>
              <w:t>HW20</w:t>
            </w:r>
            <w:r>
              <w:br/>
            </w:r>
            <w:r>
              <w:t>含铍废物</w:t>
            </w:r>
          </w:p>
        </w:tc>
        <w:tc>
          <w:tcPr>
            <w:tcW w:w="893" w:type="dxa"/>
            <w:noWrap/>
            <w:vAlign w:val="center"/>
          </w:tcPr>
          <w:p w14:paraId="63119FD2" w14:textId="77777777" w:rsidR="002E474C" w:rsidRDefault="00000000">
            <w:pPr>
              <w:pStyle w:val="A-"/>
              <w:spacing w:line="260" w:lineRule="exact"/>
            </w:pPr>
            <w:r>
              <w:t>基础化学原料制造</w:t>
            </w:r>
          </w:p>
        </w:tc>
        <w:tc>
          <w:tcPr>
            <w:tcW w:w="1147" w:type="dxa"/>
            <w:noWrap/>
            <w:vAlign w:val="center"/>
          </w:tcPr>
          <w:p w14:paraId="362D1AF9" w14:textId="77777777" w:rsidR="002E474C" w:rsidRDefault="00000000">
            <w:pPr>
              <w:pStyle w:val="A-"/>
              <w:spacing w:line="260" w:lineRule="exact"/>
              <w:ind w:leftChars="-25" w:left="-53" w:rightChars="-25" w:right="-53"/>
            </w:pPr>
            <w:r>
              <w:t>261-040-20</w:t>
            </w:r>
          </w:p>
        </w:tc>
        <w:tc>
          <w:tcPr>
            <w:tcW w:w="4991" w:type="dxa"/>
            <w:noWrap/>
            <w:vAlign w:val="center"/>
          </w:tcPr>
          <w:p w14:paraId="7B709A92" w14:textId="77777777" w:rsidR="002E474C" w:rsidRDefault="00000000">
            <w:pPr>
              <w:pStyle w:val="A-"/>
              <w:spacing w:line="260" w:lineRule="exact"/>
            </w:pPr>
            <w:r>
              <w:t>铍及其化合物生产过程中产生的熔渣、集（除）尘装置收集的粉尘和废水处理污泥</w:t>
            </w:r>
          </w:p>
        </w:tc>
        <w:tc>
          <w:tcPr>
            <w:tcW w:w="663" w:type="dxa"/>
            <w:noWrap/>
            <w:vAlign w:val="center"/>
          </w:tcPr>
          <w:p w14:paraId="29E6C442" w14:textId="77777777" w:rsidR="002E474C" w:rsidRDefault="00000000">
            <w:pPr>
              <w:pStyle w:val="A-"/>
              <w:spacing w:line="260" w:lineRule="exact"/>
            </w:pPr>
            <w:r>
              <w:t>T</w:t>
            </w:r>
          </w:p>
        </w:tc>
      </w:tr>
      <w:tr w:rsidR="002E474C" w14:paraId="68E54B2C" w14:textId="77777777">
        <w:trPr>
          <w:trHeight w:val="300"/>
        </w:trPr>
        <w:tc>
          <w:tcPr>
            <w:tcW w:w="828" w:type="dxa"/>
            <w:vMerge w:val="restart"/>
            <w:noWrap/>
            <w:vAlign w:val="center"/>
          </w:tcPr>
          <w:p w14:paraId="5047544A" w14:textId="77777777" w:rsidR="002E474C" w:rsidRDefault="00000000">
            <w:pPr>
              <w:pStyle w:val="A-"/>
              <w:spacing w:line="260" w:lineRule="exact"/>
            </w:pPr>
            <w:r>
              <w:t>HW21</w:t>
            </w:r>
            <w:r>
              <w:br/>
            </w:r>
            <w:r>
              <w:t>含铬废物</w:t>
            </w:r>
          </w:p>
        </w:tc>
        <w:tc>
          <w:tcPr>
            <w:tcW w:w="893" w:type="dxa"/>
            <w:vMerge w:val="restart"/>
            <w:noWrap/>
            <w:vAlign w:val="center"/>
          </w:tcPr>
          <w:p w14:paraId="5B798D26" w14:textId="77777777" w:rsidR="002E474C" w:rsidRDefault="00000000">
            <w:pPr>
              <w:pStyle w:val="A-"/>
              <w:spacing w:line="260" w:lineRule="exact"/>
            </w:pPr>
            <w:r>
              <w:t>毛皮鞣制及制品加工</w:t>
            </w:r>
          </w:p>
        </w:tc>
        <w:tc>
          <w:tcPr>
            <w:tcW w:w="1147" w:type="dxa"/>
            <w:noWrap/>
            <w:vAlign w:val="center"/>
          </w:tcPr>
          <w:p w14:paraId="6128C4B8" w14:textId="77777777" w:rsidR="002E474C" w:rsidRDefault="00000000">
            <w:pPr>
              <w:pStyle w:val="A-"/>
              <w:spacing w:line="260" w:lineRule="exact"/>
              <w:ind w:leftChars="-25" w:left="-53" w:rightChars="-25" w:right="-53"/>
            </w:pPr>
            <w:r>
              <w:t>193-001-21</w:t>
            </w:r>
          </w:p>
        </w:tc>
        <w:tc>
          <w:tcPr>
            <w:tcW w:w="4991" w:type="dxa"/>
            <w:noWrap/>
            <w:vAlign w:val="center"/>
          </w:tcPr>
          <w:p w14:paraId="740F9F7B" w14:textId="77777777" w:rsidR="002E474C" w:rsidRDefault="00000000">
            <w:pPr>
              <w:pStyle w:val="A-"/>
              <w:spacing w:line="260" w:lineRule="exact"/>
              <w:ind w:leftChars="-25" w:left="-53" w:rightChars="-25" w:right="-53"/>
            </w:pPr>
            <w:r>
              <w:rPr>
                <w:spacing w:val="-11"/>
              </w:rPr>
              <w:t>使用铬鞣剂进行铬鞣、复鞣工艺产生的废水处理污泥和残渣</w:t>
            </w:r>
          </w:p>
        </w:tc>
        <w:tc>
          <w:tcPr>
            <w:tcW w:w="663" w:type="dxa"/>
            <w:noWrap/>
            <w:vAlign w:val="center"/>
          </w:tcPr>
          <w:p w14:paraId="16662D51" w14:textId="77777777" w:rsidR="002E474C" w:rsidRDefault="00000000">
            <w:pPr>
              <w:pStyle w:val="A-"/>
              <w:spacing w:line="260" w:lineRule="exact"/>
            </w:pPr>
            <w:r>
              <w:t>T</w:t>
            </w:r>
          </w:p>
        </w:tc>
      </w:tr>
      <w:tr w:rsidR="002E474C" w14:paraId="19A77DFA" w14:textId="77777777">
        <w:trPr>
          <w:trHeight w:val="300"/>
        </w:trPr>
        <w:tc>
          <w:tcPr>
            <w:tcW w:w="828" w:type="dxa"/>
            <w:vMerge/>
            <w:vAlign w:val="center"/>
          </w:tcPr>
          <w:p w14:paraId="3F81D384" w14:textId="77777777" w:rsidR="002E474C" w:rsidRDefault="002E474C">
            <w:pPr>
              <w:pStyle w:val="A-"/>
              <w:spacing w:line="260" w:lineRule="exact"/>
            </w:pPr>
          </w:p>
        </w:tc>
        <w:tc>
          <w:tcPr>
            <w:tcW w:w="893" w:type="dxa"/>
            <w:vMerge/>
            <w:vAlign w:val="center"/>
          </w:tcPr>
          <w:p w14:paraId="729C4472" w14:textId="77777777" w:rsidR="002E474C" w:rsidRDefault="002E474C">
            <w:pPr>
              <w:pStyle w:val="A-"/>
              <w:spacing w:line="260" w:lineRule="exact"/>
            </w:pPr>
          </w:p>
        </w:tc>
        <w:tc>
          <w:tcPr>
            <w:tcW w:w="1147" w:type="dxa"/>
            <w:noWrap/>
            <w:vAlign w:val="center"/>
          </w:tcPr>
          <w:p w14:paraId="6FFAACEB" w14:textId="77777777" w:rsidR="002E474C" w:rsidRDefault="00000000">
            <w:pPr>
              <w:pStyle w:val="A-"/>
              <w:spacing w:line="260" w:lineRule="exact"/>
              <w:ind w:leftChars="-25" w:left="-53" w:rightChars="-25" w:right="-53"/>
            </w:pPr>
            <w:r>
              <w:t>193-002-21</w:t>
            </w:r>
          </w:p>
        </w:tc>
        <w:tc>
          <w:tcPr>
            <w:tcW w:w="4991" w:type="dxa"/>
            <w:noWrap/>
            <w:vAlign w:val="center"/>
          </w:tcPr>
          <w:p w14:paraId="7EC89599" w14:textId="77777777" w:rsidR="002E474C" w:rsidRDefault="00000000">
            <w:pPr>
              <w:pStyle w:val="A-"/>
              <w:spacing w:line="260" w:lineRule="exact"/>
            </w:pPr>
            <w:r>
              <w:t>皮革、毛皮鞣制及切削过程产生的含铬废碎料</w:t>
            </w:r>
          </w:p>
        </w:tc>
        <w:tc>
          <w:tcPr>
            <w:tcW w:w="663" w:type="dxa"/>
            <w:noWrap/>
            <w:vAlign w:val="center"/>
          </w:tcPr>
          <w:p w14:paraId="702013E0" w14:textId="77777777" w:rsidR="002E474C" w:rsidRDefault="00000000">
            <w:pPr>
              <w:pStyle w:val="A-"/>
              <w:spacing w:line="260" w:lineRule="exact"/>
            </w:pPr>
            <w:r>
              <w:t>T</w:t>
            </w:r>
          </w:p>
        </w:tc>
      </w:tr>
      <w:tr w:rsidR="002E474C" w14:paraId="288CC69E" w14:textId="77777777">
        <w:trPr>
          <w:trHeight w:val="300"/>
        </w:trPr>
        <w:tc>
          <w:tcPr>
            <w:tcW w:w="828" w:type="dxa"/>
            <w:vMerge/>
            <w:vAlign w:val="center"/>
          </w:tcPr>
          <w:p w14:paraId="49988E33" w14:textId="77777777" w:rsidR="002E474C" w:rsidRDefault="002E474C">
            <w:pPr>
              <w:pStyle w:val="A-"/>
              <w:spacing w:line="260" w:lineRule="exact"/>
            </w:pPr>
          </w:p>
        </w:tc>
        <w:tc>
          <w:tcPr>
            <w:tcW w:w="893" w:type="dxa"/>
            <w:vMerge w:val="restart"/>
            <w:noWrap/>
            <w:vAlign w:val="center"/>
          </w:tcPr>
          <w:p w14:paraId="7C942512" w14:textId="77777777" w:rsidR="002E474C" w:rsidRDefault="00000000">
            <w:pPr>
              <w:pStyle w:val="A-"/>
              <w:spacing w:line="260" w:lineRule="exact"/>
            </w:pPr>
            <w:r>
              <w:t>基础化学原料制造</w:t>
            </w:r>
          </w:p>
        </w:tc>
        <w:tc>
          <w:tcPr>
            <w:tcW w:w="1147" w:type="dxa"/>
            <w:noWrap/>
            <w:vAlign w:val="center"/>
          </w:tcPr>
          <w:p w14:paraId="5A5F2EFB" w14:textId="77777777" w:rsidR="002E474C" w:rsidRDefault="00000000">
            <w:pPr>
              <w:pStyle w:val="A-"/>
              <w:spacing w:line="260" w:lineRule="exact"/>
              <w:ind w:leftChars="-25" w:left="-53" w:rightChars="-25" w:right="-53"/>
            </w:pPr>
            <w:r>
              <w:t>261-042-21</w:t>
            </w:r>
          </w:p>
        </w:tc>
        <w:tc>
          <w:tcPr>
            <w:tcW w:w="4991" w:type="dxa"/>
            <w:noWrap/>
            <w:vAlign w:val="center"/>
          </w:tcPr>
          <w:p w14:paraId="109A2E60" w14:textId="77777777" w:rsidR="002E474C" w:rsidRDefault="00000000">
            <w:pPr>
              <w:pStyle w:val="A-"/>
              <w:spacing w:line="260" w:lineRule="exact"/>
            </w:pPr>
            <w:r>
              <w:t>铬铁矿生产铬盐过程中产生的铝泥</w:t>
            </w:r>
          </w:p>
        </w:tc>
        <w:tc>
          <w:tcPr>
            <w:tcW w:w="663" w:type="dxa"/>
            <w:noWrap/>
            <w:vAlign w:val="center"/>
          </w:tcPr>
          <w:p w14:paraId="05F1CE87" w14:textId="77777777" w:rsidR="002E474C" w:rsidRDefault="00000000">
            <w:pPr>
              <w:pStyle w:val="A-"/>
              <w:spacing w:line="260" w:lineRule="exact"/>
            </w:pPr>
            <w:r>
              <w:t>T</w:t>
            </w:r>
          </w:p>
        </w:tc>
      </w:tr>
      <w:tr w:rsidR="002E474C" w14:paraId="0C9C4D90" w14:textId="77777777">
        <w:trPr>
          <w:trHeight w:val="300"/>
        </w:trPr>
        <w:tc>
          <w:tcPr>
            <w:tcW w:w="828" w:type="dxa"/>
            <w:vMerge/>
            <w:vAlign w:val="center"/>
          </w:tcPr>
          <w:p w14:paraId="3BAC705E" w14:textId="77777777" w:rsidR="002E474C" w:rsidRDefault="002E474C">
            <w:pPr>
              <w:pStyle w:val="A-"/>
              <w:spacing w:line="260" w:lineRule="exact"/>
            </w:pPr>
          </w:p>
        </w:tc>
        <w:tc>
          <w:tcPr>
            <w:tcW w:w="893" w:type="dxa"/>
            <w:vMerge/>
            <w:vAlign w:val="center"/>
          </w:tcPr>
          <w:p w14:paraId="615F9F3D" w14:textId="77777777" w:rsidR="002E474C" w:rsidRDefault="002E474C">
            <w:pPr>
              <w:pStyle w:val="A-"/>
              <w:spacing w:line="260" w:lineRule="exact"/>
            </w:pPr>
          </w:p>
        </w:tc>
        <w:tc>
          <w:tcPr>
            <w:tcW w:w="1147" w:type="dxa"/>
            <w:noWrap/>
            <w:vAlign w:val="center"/>
          </w:tcPr>
          <w:p w14:paraId="2C6CBFE0" w14:textId="77777777" w:rsidR="002E474C" w:rsidRDefault="00000000">
            <w:pPr>
              <w:pStyle w:val="A-"/>
              <w:spacing w:line="260" w:lineRule="exact"/>
              <w:ind w:leftChars="-25" w:left="-53" w:rightChars="-25" w:right="-53"/>
            </w:pPr>
            <w:r>
              <w:t>261-043-21</w:t>
            </w:r>
          </w:p>
        </w:tc>
        <w:tc>
          <w:tcPr>
            <w:tcW w:w="4991" w:type="dxa"/>
            <w:noWrap/>
            <w:vAlign w:val="center"/>
          </w:tcPr>
          <w:p w14:paraId="6309D09C" w14:textId="77777777" w:rsidR="002E474C" w:rsidRDefault="00000000">
            <w:pPr>
              <w:pStyle w:val="A-"/>
              <w:spacing w:line="260" w:lineRule="exact"/>
            </w:pPr>
            <w:r>
              <w:t>铬铁矿生产铬盐过程中产生的芒硝</w:t>
            </w:r>
          </w:p>
        </w:tc>
        <w:tc>
          <w:tcPr>
            <w:tcW w:w="663" w:type="dxa"/>
            <w:noWrap/>
            <w:vAlign w:val="center"/>
          </w:tcPr>
          <w:p w14:paraId="0A94E184" w14:textId="77777777" w:rsidR="002E474C" w:rsidRDefault="00000000">
            <w:pPr>
              <w:pStyle w:val="A-"/>
              <w:spacing w:line="260" w:lineRule="exact"/>
            </w:pPr>
            <w:r>
              <w:t>T</w:t>
            </w:r>
          </w:p>
        </w:tc>
      </w:tr>
      <w:tr w:rsidR="002E474C" w14:paraId="62F2766A" w14:textId="77777777">
        <w:trPr>
          <w:trHeight w:val="300"/>
        </w:trPr>
        <w:tc>
          <w:tcPr>
            <w:tcW w:w="828" w:type="dxa"/>
            <w:vMerge/>
            <w:vAlign w:val="center"/>
          </w:tcPr>
          <w:p w14:paraId="63584129" w14:textId="77777777" w:rsidR="002E474C" w:rsidRDefault="002E474C">
            <w:pPr>
              <w:pStyle w:val="A-"/>
              <w:spacing w:line="260" w:lineRule="exact"/>
            </w:pPr>
          </w:p>
        </w:tc>
        <w:tc>
          <w:tcPr>
            <w:tcW w:w="893" w:type="dxa"/>
            <w:vMerge/>
            <w:vAlign w:val="center"/>
          </w:tcPr>
          <w:p w14:paraId="4BC8B668" w14:textId="77777777" w:rsidR="002E474C" w:rsidRDefault="002E474C">
            <w:pPr>
              <w:pStyle w:val="A-"/>
              <w:spacing w:line="260" w:lineRule="exact"/>
            </w:pPr>
          </w:p>
        </w:tc>
        <w:tc>
          <w:tcPr>
            <w:tcW w:w="1147" w:type="dxa"/>
            <w:noWrap/>
            <w:vAlign w:val="center"/>
          </w:tcPr>
          <w:p w14:paraId="6E0A9EED" w14:textId="77777777" w:rsidR="002E474C" w:rsidRDefault="00000000">
            <w:pPr>
              <w:pStyle w:val="A-"/>
              <w:spacing w:line="260" w:lineRule="exact"/>
              <w:ind w:leftChars="-25" w:left="-53" w:rightChars="-25" w:right="-53"/>
            </w:pPr>
            <w:r>
              <w:t>261-044-21</w:t>
            </w:r>
          </w:p>
        </w:tc>
        <w:tc>
          <w:tcPr>
            <w:tcW w:w="4991" w:type="dxa"/>
            <w:noWrap/>
            <w:vAlign w:val="center"/>
          </w:tcPr>
          <w:p w14:paraId="287FE090" w14:textId="77777777" w:rsidR="002E474C" w:rsidRDefault="00000000">
            <w:pPr>
              <w:pStyle w:val="A-"/>
              <w:spacing w:line="260" w:lineRule="exact"/>
            </w:pPr>
            <w:r>
              <w:t>铬铁矿生产铬盐过程中产生的废水处理污泥</w:t>
            </w:r>
          </w:p>
        </w:tc>
        <w:tc>
          <w:tcPr>
            <w:tcW w:w="663" w:type="dxa"/>
            <w:noWrap/>
            <w:vAlign w:val="center"/>
          </w:tcPr>
          <w:p w14:paraId="4CD6AE88" w14:textId="77777777" w:rsidR="002E474C" w:rsidRDefault="00000000">
            <w:pPr>
              <w:pStyle w:val="A-"/>
              <w:spacing w:line="260" w:lineRule="exact"/>
            </w:pPr>
            <w:r>
              <w:t>T</w:t>
            </w:r>
          </w:p>
        </w:tc>
      </w:tr>
      <w:tr w:rsidR="002E474C" w14:paraId="761C7BF1" w14:textId="77777777">
        <w:trPr>
          <w:trHeight w:val="300"/>
        </w:trPr>
        <w:tc>
          <w:tcPr>
            <w:tcW w:w="828" w:type="dxa"/>
            <w:vMerge/>
            <w:vAlign w:val="center"/>
          </w:tcPr>
          <w:p w14:paraId="0AB5A6A3" w14:textId="77777777" w:rsidR="002E474C" w:rsidRDefault="002E474C">
            <w:pPr>
              <w:pStyle w:val="A-"/>
              <w:spacing w:line="260" w:lineRule="exact"/>
            </w:pPr>
          </w:p>
        </w:tc>
        <w:tc>
          <w:tcPr>
            <w:tcW w:w="893" w:type="dxa"/>
            <w:vMerge/>
            <w:vAlign w:val="center"/>
          </w:tcPr>
          <w:p w14:paraId="75C684CB" w14:textId="77777777" w:rsidR="002E474C" w:rsidRDefault="002E474C">
            <w:pPr>
              <w:pStyle w:val="A-"/>
              <w:spacing w:line="260" w:lineRule="exact"/>
            </w:pPr>
          </w:p>
        </w:tc>
        <w:tc>
          <w:tcPr>
            <w:tcW w:w="1147" w:type="dxa"/>
            <w:noWrap/>
            <w:vAlign w:val="center"/>
          </w:tcPr>
          <w:p w14:paraId="5BE147D2" w14:textId="77777777" w:rsidR="002E474C" w:rsidRDefault="00000000">
            <w:pPr>
              <w:pStyle w:val="A-"/>
              <w:spacing w:line="260" w:lineRule="exact"/>
              <w:ind w:leftChars="-25" w:left="-53" w:rightChars="-25" w:right="-53"/>
            </w:pPr>
            <w:r>
              <w:t>261-137-21</w:t>
            </w:r>
          </w:p>
        </w:tc>
        <w:tc>
          <w:tcPr>
            <w:tcW w:w="4991" w:type="dxa"/>
            <w:noWrap/>
            <w:vAlign w:val="center"/>
          </w:tcPr>
          <w:p w14:paraId="6C8D28AA" w14:textId="77777777" w:rsidR="002E474C" w:rsidRDefault="00000000">
            <w:pPr>
              <w:pStyle w:val="A-"/>
              <w:spacing w:line="260" w:lineRule="exact"/>
            </w:pPr>
            <w:r>
              <w:t>铬铁矿生产铬盐过程中产生的其他废物</w:t>
            </w:r>
          </w:p>
        </w:tc>
        <w:tc>
          <w:tcPr>
            <w:tcW w:w="663" w:type="dxa"/>
            <w:noWrap/>
            <w:vAlign w:val="center"/>
          </w:tcPr>
          <w:p w14:paraId="7E5DF8BE" w14:textId="77777777" w:rsidR="002E474C" w:rsidRDefault="00000000">
            <w:pPr>
              <w:pStyle w:val="A-"/>
              <w:spacing w:line="260" w:lineRule="exact"/>
            </w:pPr>
            <w:r>
              <w:t>T</w:t>
            </w:r>
          </w:p>
        </w:tc>
      </w:tr>
      <w:tr w:rsidR="002E474C" w14:paraId="59C04551" w14:textId="77777777">
        <w:trPr>
          <w:trHeight w:val="300"/>
        </w:trPr>
        <w:tc>
          <w:tcPr>
            <w:tcW w:w="828" w:type="dxa"/>
            <w:vMerge/>
            <w:vAlign w:val="center"/>
          </w:tcPr>
          <w:p w14:paraId="3DCBD48C" w14:textId="77777777" w:rsidR="002E474C" w:rsidRDefault="002E474C">
            <w:pPr>
              <w:pStyle w:val="A-"/>
              <w:spacing w:line="260" w:lineRule="exact"/>
            </w:pPr>
          </w:p>
        </w:tc>
        <w:tc>
          <w:tcPr>
            <w:tcW w:w="893" w:type="dxa"/>
            <w:vMerge/>
            <w:vAlign w:val="center"/>
          </w:tcPr>
          <w:p w14:paraId="4FA5CC69" w14:textId="77777777" w:rsidR="002E474C" w:rsidRDefault="002E474C">
            <w:pPr>
              <w:pStyle w:val="A-"/>
              <w:spacing w:line="260" w:lineRule="exact"/>
            </w:pPr>
          </w:p>
        </w:tc>
        <w:tc>
          <w:tcPr>
            <w:tcW w:w="1147" w:type="dxa"/>
            <w:noWrap/>
            <w:vAlign w:val="center"/>
          </w:tcPr>
          <w:p w14:paraId="269FB1E9" w14:textId="77777777" w:rsidR="002E474C" w:rsidRDefault="00000000">
            <w:pPr>
              <w:pStyle w:val="A-"/>
              <w:spacing w:line="260" w:lineRule="exact"/>
              <w:ind w:leftChars="-25" w:left="-53" w:rightChars="-25" w:right="-53"/>
            </w:pPr>
            <w:r>
              <w:t>261-138-21</w:t>
            </w:r>
          </w:p>
        </w:tc>
        <w:tc>
          <w:tcPr>
            <w:tcW w:w="4991" w:type="dxa"/>
            <w:noWrap/>
            <w:vAlign w:val="center"/>
          </w:tcPr>
          <w:p w14:paraId="57790259" w14:textId="77777777" w:rsidR="002E474C" w:rsidRDefault="00000000">
            <w:pPr>
              <w:pStyle w:val="A-"/>
              <w:spacing w:line="260" w:lineRule="exact"/>
            </w:pPr>
            <w:r>
              <w:t>以重铬酸钠和浓硫酸为原料生产铬酸酐过程中产生的含铬废液</w:t>
            </w:r>
          </w:p>
        </w:tc>
        <w:tc>
          <w:tcPr>
            <w:tcW w:w="663" w:type="dxa"/>
            <w:noWrap/>
            <w:vAlign w:val="center"/>
          </w:tcPr>
          <w:p w14:paraId="585BEDD7" w14:textId="77777777" w:rsidR="002E474C" w:rsidRDefault="00000000">
            <w:pPr>
              <w:pStyle w:val="A-"/>
              <w:spacing w:line="260" w:lineRule="exact"/>
            </w:pPr>
            <w:r>
              <w:t>T</w:t>
            </w:r>
          </w:p>
        </w:tc>
      </w:tr>
      <w:tr w:rsidR="002E474C" w14:paraId="76C0F01D" w14:textId="77777777">
        <w:trPr>
          <w:trHeight w:val="300"/>
        </w:trPr>
        <w:tc>
          <w:tcPr>
            <w:tcW w:w="828" w:type="dxa"/>
            <w:vMerge/>
            <w:vAlign w:val="center"/>
          </w:tcPr>
          <w:p w14:paraId="40302A10" w14:textId="77777777" w:rsidR="002E474C" w:rsidRDefault="002E474C">
            <w:pPr>
              <w:pStyle w:val="A-"/>
              <w:spacing w:line="260" w:lineRule="exact"/>
            </w:pPr>
          </w:p>
        </w:tc>
        <w:tc>
          <w:tcPr>
            <w:tcW w:w="893" w:type="dxa"/>
            <w:vMerge w:val="restart"/>
            <w:noWrap/>
            <w:vAlign w:val="center"/>
          </w:tcPr>
          <w:p w14:paraId="12CA8866" w14:textId="77777777" w:rsidR="002E474C" w:rsidRDefault="00000000">
            <w:pPr>
              <w:pStyle w:val="A-"/>
              <w:spacing w:line="260" w:lineRule="exact"/>
            </w:pPr>
            <w:r>
              <w:t>铁合金冶炼</w:t>
            </w:r>
          </w:p>
        </w:tc>
        <w:tc>
          <w:tcPr>
            <w:tcW w:w="1147" w:type="dxa"/>
            <w:noWrap/>
            <w:vAlign w:val="center"/>
          </w:tcPr>
          <w:p w14:paraId="7EDF69B2" w14:textId="77777777" w:rsidR="002E474C" w:rsidRDefault="00000000">
            <w:pPr>
              <w:pStyle w:val="A-"/>
              <w:spacing w:line="260" w:lineRule="exact"/>
              <w:ind w:leftChars="-25" w:left="-53" w:rightChars="-25" w:right="-53"/>
            </w:pPr>
            <w:r>
              <w:t>314-001-21</w:t>
            </w:r>
          </w:p>
        </w:tc>
        <w:tc>
          <w:tcPr>
            <w:tcW w:w="4991" w:type="dxa"/>
            <w:noWrap/>
            <w:vAlign w:val="center"/>
          </w:tcPr>
          <w:p w14:paraId="5BE6DE27" w14:textId="77777777" w:rsidR="002E474C" w:rsidRDefault="00000000">
            <w:pPr>
              <w:pStyle w:val="A-"/>
              <w:spacing w:line="260" w:lineRule="exact"/>
            </w:pPr>
            <w:r>
              <w:t>铬铁硅合金生产过程中集（除）尘装置收集的粉尘</w:t>
            </w:r>
          </w:p>
        </w:tc>
        <w:tc>
          <w:tcPr>
            <w:tcW w:w="663" w:type="dxa"/>
            <w:noWrap/>
            <w:vAlign w:val="center"/>
          </w:tcPr>
          <w:p w14:paraId="42E56E30" w14:textId="77777777" w:rsidR="002E474C" w:rsidRDefault="00000000">
            <w:pPr>
              <w:pStyle w:val="A-"/>
              <w:spacing w:line="260" w:lineRule="exact"/>
            </w:pPr>
            <w:r>
              <w:t>T</w:t>
            </w:r>
          </w:p>
        </w:tc>
      </w:tr>
      <w:tr w:rsidR="002E474C" w14:paraId="40A9CC2E" w14:textId="77777777">
        <w:trPr>
          <w:trHeight w:val="300"/>
        </w:trPr>
        <w:tc>
          <w:tcPr>
            <w:tcW w:w="828" w:type="dxa"/>
            <w:vMerge/>
            <w:vAlign w:val="center"/>
          </w:tcPr>
          <w:p w14:paraId="62C89014" w14:textId="77777777" w:rsidR="002E474C" w:rsidRDefault="002E474C">
            <w:pPr>
              <w:pStyle w:val="A-"/>
              <w:spacing w:line="260" w:lineRule="exact"/>
            </w:pPr>
          </w:p>
        </w:tc>
        <w:tc>
          <w:tcPr>
            <w:tcW w:w="893" w:type="dxa"/>
            <w:vMerge/>
            <w:vAlign w:val="center"/>
          </w:tcPr>
          <w:p w14:paraId="434C3FBC" w14:textId="77777777" w:rsidR="002E474C" w:rsidRDefault="002E474C">
            <w:pPr>
              <w:pStyle w:val="A-"/>
              <w:spacing w:line="260" w:lineRule="exact"/>
            </w:pPr>
          </w:p>
        </w:tc>
        <w:tc>
          <w:tcPr>
            <w:tcW w:w="1147" w:type="dxa"/>
            <w:noWrap/>
            <w:vAlign w:val="center"/>
          </w:tcPr>
          <w:p w14:paraId="5F35DB6C" w14:textId="77777777" w:rsidR="002E474C" w:rsidRDefault="00000000">
            <w:pPr>
              <w:pStyle w:val="A-"/>
              <w:spacing w:line="260" w:lineRule="exact"/>
              <w:ind w:leftChars="-25" w:left="-53" w:rightChars="-25" w:right="-53"/>
            </w:pPr>
            <w:r>
              <w:t>314-002-21</w:t>
            </w:r>
          </w:p>
        </w:tc>
        <w:tc>
          <w:tcPr>
            <w:tcW w:w="4991" w:type="dxa"/>
            <w:noWrap/>
            <w:vAlign w:val="center"/>
          </w:tcPr>
          <w:p w14:paraId="302FAD0E" w14:textId="77777777" w:rsidR="002E474C" w:rsidRDefault="00000000">
            <w:pPr>
              <w:pStyle w:val="A-"/>
              <w:spacing w:line="260" w:lineRule="exact"/>
            </w:pPr>
            <w:r>
              <w:t>铁铬合金生产过程中集（除）尘装置收集的粉尘</w:t>
            </w:r>
          </w:p>
        </w:tc>
        <w:tc>
          <w:tcPr>
            <w:tcW w:w="663" w:type="dxa"/>
            <w:noWrap/>
            <w:vAlign w:val="center"/>
          </w:tcPr>
          <w:p w14:paraId="300EBE5D" w14:textId="77777777" w:rsidR="002E474C" w:rsidRDefault="00000000">
            <w:pPr>
              <w:pStyle w:val="A-"/>
              <w:spacing w:line="260" w:lineRule="exact"/>
            </w:pPr>
            <w:r>
              <w:t>T</w:t>
            </w:r>
          </w:p>
        </w:tc>
      </w:tr>
      <w:tr w:rsidR="002E474C" w14:paraId="357FC7C4" w14:textId="77777777">
        <w:trPr>
          <w:trHeight w:val="300"/>
        </w:trPr>
        <w:tc>
          <w:tcPr>
            <w:tcW w:w="828" w:type="dxa"/>
            <w:vMerge/>
            <w:vAlign w:val="center"/>
          </w:tcPr>
          <w:p w14:paraId="4D0AC4BF" w14:textId="77777777" w:rsidR="002E474C" w:rsidRDefault="002E474C">
            <w:pPr>
              <w:pStyle w:val="A-"/>
              <w:spacing w:line="260" w:lineRule="exact"/>
            </w:pPr>
          </w:p>
        </w:tc>
        <w:tc>
          <w:tcPr>
            <w:tcW w:w="893" w:type="dxa"/>
            <w:vMerge/>
            <w:vAlign w:val="center"/>
          </w:tcPr>
          <w:p w14:paraId="312AAA88" w14:textId="77777777" w:rsidR="002E474C" w:rsidRDefault="002E474C">
            <w:pPr>
              <w:pStyle w:val="A-"/>
              <w:spacing w:line="260" w:lineRule="exact"/>
            </w:pPr>
          </w:p>
        </w:tc>
        <w:tc>
          <w:tcPr>
            <w:tcW w:w="1147" w:type="dxa"/>
            <w:noWrap/>
            <w:vAlign w:val="center"/>
          </w:tcPr>
          <w:p w14:paraId="4CDCE066" w14:textId="77777777" w:rsidR="002E474C" w:rsidRDefault="00000000">
            <w:pPr>
              <w:pStyle w:val="A-"/>
              <w:spacing w:line="260" w:lineRule="exact"/>
              <w:ind w:leftChars="-25" w:left="-53" w:rightChars="-25" w:right="-53"/>
            </w:pPr>
            <w:r>
              <w:t>314-003-21</w:t>
            </w:r>
          </w:p>
        </w:tc>
        <w:tc>
          <w:tcPr>
            <w:tcW w:w="4991" w:type="dxa"/>
            <w:noWrap/>
            <w:vAlign w:val="center"/>
          </w:tcPr>
          <w:p w14:paraId="50997D59" w14:textId="77777777" w:rsidR="002E474C" w:rsidRDefault="00000000">
            <w:pPr>
              <w:pStyle w:val="A-"/>
              <w:spacing w:line="260" w:lineRule="exact"/>
              <w:ind w:leftChars="-25" w:left="-53" w:rightChars="-25" w:right="-53"/>
            </w:pPr>
            <w:r>
              <w:t>铁铬合金生产过程中金属铬铝热法冶炼产生的冶炼渣</w:t>
            </w:r>
          </w:p>
        </w:tc>
        <w:tc>
          <w:tcPr>
            <w:tcW w:w="663" w:type="dxa"/>
            <w:noWrap/>
            <w:vAlign w:val="center"/>
          </w:tcPr>
          <w:p w14:paraId="2B6AA66F" w14:textId="77777777" w:rsidR="002E474C" w:rsidRDefault="00000000">
            <w:pPr>
              <w:pStyle w:val="A-"/>
              <w:spacing w:line="260" w:lineRule="exact"/>
            </w:pPr>
            <w:r>
              <w:t>T</w:t>
            </w:r>
          </w:p>
        </w:tc>
      </w:tr>
      <w:tr w:rsidR="002E474C" w14:paraId="153ADDD7" w14:textId="77777777">
        <w:trPr>
          <w:trHeight w:val="300"/>
        </w:trPr>
        <w:tc>
          <w:tcPr>
            <w:tcW w:w="828" w:type="dxa"/>
            <w:vMerge/>
            <w:vAlign w:val="center"/>
          </w:tcPr>
          <w:p w14:paraId="021F8312" w14:textId="77777777" w:rsidR="002E474C" w:rsidRDefault="002E474C">
            <w:pPr>
              <w:pStyle w:val="A-"/>
              <w:spacing w:line="260" w:lineRule="exact"/>
            </w:pPr>
          </w:p>
        </w:tc>
        <w:tc>
          <w:tcPr>
            <w:tcW w:w="893" w:type="dxa"/>
            <w:noWrap/>
            <w:vAlign w:val="center"/>
          </w:tcPr>
          <w:p w14:paraId="0DF40D5A" w14:textId="77777777" w:rsidR="002E474C" w:rsidRDefault="00000000">
            <w:pPr>
              <w:pStyle w:val="A-"/>
              <w:spacing w:line="260" w:lineRule="exact"/>
              <w:ind w:leftChars="-25" w:left="-53" w:rightChars="-25" w:right="-53"/>
            </w:pPr>
            <w:r>
              <w:rPr>
                <w:spacing w:val="-11"/>
              </w:rPr>
              <w:t>电子元件及电子专用材料制造</w:t>
            </w:r>
          </w:p>
        </w:tc>
        <w:tc>
          <w:tcPr>
            <w:tcW w:w="1147" w:type="dxa"/>
            <w:noWrap/>
            <w:vAlign w:val="center"/>
          </w:tcPr>
          <w:p w14:paraId="66B0F7EF" w14:textId="77777777" w:rsidR="002E474C" w:rsidRDefault="00000000">
            <w:pPr>
              <w:pStyle w:val="A-"/>
              <w:spacing w:line="260" w:lineRule="exact"/>
              <w:ind w:leftChars="-25" w:left="-53" w:rightChars="-25" w:right="-53"/>
            </w:pPr>
            <w:r>
              <w:t>398-002-21</w:t>
            </w:r>
          </w:p>
        </w:tc>
        <w:tc>
          <w:tcPr>
            <w:tcW w:w="4991" w:type="dxa"/>
            <w:noWrap/>
            <w:vAlign w:val="center"/>
          </w:tcPr>
          <w:p w14:paraId="2E246C2F" w14:textId="77777777" w:rsidR="002E474C" w:rsidRDefault="00000000">
            <w:pPr>
              <w:pStyle w:val="A-"/>
              <w:spacing w:line="260" w:lineRule="exact"/>
            </w:pPr>
            <w:r>
              <w:rPr>
                <w:spacing w:val="-6"/>
              </w:rPr>
              <w:t>使用铬酸进行钻孔除胶处理产生的废渣和废水处理污泥</w:t>
            </w:r>
          </w:p>
        </w:tc>
        <w:tc>
          <w:tcPr>
            <w:tcW w:w="663" w:type="dxa"/>
            <w:noWrap/>
            <w:vAlign w:val="center"/>
          </w:tcPr>
          <w:p w14:paraId="4657112E" w14:textId="77777777" w:rsidR="002E474C" w:rsidRDefault="00000000">
            <w:pPr>
              <w:pStyle w:val="A-"/>
              <w:spacing w:line="260" w:lineRule="exact"/>
            </w:pPr>
            <w:r>
              <w:t>T</w:t>
            </w:r>
          </w:p>
        </w:tc>
      </w:tr>
      <w:tr w:rsidR="002E474C" w14:paraId="79C16631" w14:textId="77777777">
        <w:trPr>
          <w:trHeight w:val="300"/>
        </w:trPr>
        <w:tc>
          <w:tcPr>
            <w:tcW w:w="828" w:type="dxa"/>
            <w:vMerge w:val="restart"/>
            <w:noWrap/>
            <w:vAlign w:val="center"/>
          </w:tcPr>
          <w:p w14:paraId="0E5D4991" w14:textId="77777777" w:rsidR="002E474C" w:rsidRDefault="00000000">
            <w:pPr>
              <w:pStyle w:val="A-"/>
              <w:spacing w:line="260" w:lineRule="exact"/>
            </w:pPr>
            <w:r>
              <w:t>HW22</w:t>
            </w:r>
            <w:r>
              <w:br/>
            </w:r>
            <w:r>
              <w:t>含铜废物</w:t>
            </w:r>
          </w:p>
        </w:tc>
        <w:tc>
          <w:tcPr>
            <w:tcW w:w="893" w:type="dxa"/>
            <w:noWrap/>
            <w:vAlign w:val="center"/>
          </w:tcPr>
          <w:p w14:paraId="2BDBE597" w14:textId="77777777" w:rsidR="002E474C" w:rsidRDefault="00000000">
            <w:pPr>
              <w:pStyle w:val="A-"/>
              <w:spacing w:line="260" w:lineRule="exact"/>
            </w:pPr>
            <w:r>
              <w:t>玻璃</w:t>
            </w:r>
          </w:p>
          <w:p w14:paraId="2E03A840" w14:textId="77777777" w:rsidR="002E474C" w:rsidRDefault="00000000">
            <w:pPr>
              <w:pStyle w:val="A-"/>
              <w:spacing w:line="260" w:lineRule="exact"/>
            </w:pPr>
            <w:r>
              <w:t>制造</w:t>
            </w:r>
          </w:p>
        </w:tc>
        <w:tc>
          <w:tcPr>
            <w:tcW w:w="1147" w:type="dxa"/>
            <w:noWrap/>
            <w:vAlign w:val="center"/>
          </w:tcPr>
          <w:p w14:paraId="5D5A6349" w14:textId="77777777" w:rsidR="002E474C" w:rsidRDefault="00000000">
            <w:pPr>
              <w:pStyle w:val="A-"/>
              <w:spacing w:line="260" w:lineRule="exact"/>
              <w:ind w:leftChars="-25" w:left="-53" w:rightChars="-25" w:right="-53"/>
            </w:pPr>
            <w:r>
              <w:t>304-001-22</w:t>
            </w:r>
          </w:p>
        </w:tc>
        <w:tc>
          <w:tcPr>
            <w:tcW w:w="4991" w:type="dxa"/>
            <w:noWrap/>
            <w:vAlign w:val="center"/>
          </w:tcPr>
          <w:p w14:paraId="6F9FBEA9" w14:textId="77777777" w:rsidR="002E474C" w:rsidRDefault="00000000">
            <w:pPr>
              <w:pStyle w:val="A-"/>
              <w:spacing w:line="260" w:lineRule="exact"/>
            </w:pPr>
            <w:r>
              <w:t>使用硫酸铜进行敷金属法镀铜产生的废槽液、槽渣和废水处理污泥</w:t>
            </w:r>
          </w:p>
        </w:tc>
        <w:tc>
          <w:tcPr>
            <w:tcW w:w="663" w:type="dxa"/>
            <w:noWrap/>
            <w:vAlign w:val="center"/>
          </w:tcPr>
          <w:p w14:paraId="5E623CBF" w14:textId="77777777" w:rsidR="002E474C" w:rsidRDefault="00000000">
            <w:pPr>
              <w:pStyle w:val="A-"/>
              <w:spacing w:line="260" w:lineRule="exact"/>
            </w:pPr>
            <w:r>
              <w:t>T</w:t>
            </w:r>
          </w:p>
        </w:tc>
      </w:tr>
      <w:tr w:rsidR="002E474C" w14:paraId="3C8CB164" w14:textId="77777777">
        <w:trPr>
          <w:trHeight w:val="300"/>
        </w:trPr>
        <w:tc>
          <w:tcPr>
            <w:tcW w:w="828" w:type="dxa"/>
            <w:vMerge/>
            <w:vAlign w:val="center"/>
          </w:tcPr>
          <w:p w14:paraId="0B7A5AD8" w14:textId="77777777" w:rsidR="002E474C" w:rsidRDefault="002E474C">
            <w:pPr>
              <w:pStyle w:val="A-"/>
              <w:spacing w:line="260" w:lineRule="exact"/>
            </w:pPr>
          </w:p>
        </w:tc>
        <w:tc>
          <w:tcPr>
            <w:tcW w:w="893" w:type="dxa"/>
            <w:vMerge w:val="restart"/>
            <w:noWrap/>
            <w:vAlign w:val="center"/>
          </w:tcPr>
          <w:p w14:paraId="6FFBB974" w14:textId="77777777" w:rsidR="002E474C" w:rsidRDefault="00000000">
            <w:pPr>
              <w:pStyle w:val="A-"/>
              <w:spacing w:line="260" w:lineRule="exact"/>
              <w:ind w:leftChars="-25" w:left="-53" w:rightChars="-25" w:right="-53"/>
            </w:pPr>
            <w:r>
              <w:rPr>
                <w:spacing w:val="-11"/>
              </w:rPr>
              <w:t>电子元件及电子专用材料制造</w:t>
            </w:r>
          </w:p>
        </w:tc>
        <w:tc>
          <w:tcPr>
            <w:tcW w:w="1147" w:type="dxa"/>
            <w:noWrap/>
            <w:vAlign w:val="center"/>
          </w:tcPr>
          <w:p w14:paraId="27067EB2" w14:textId="77777777" w:rsidR="002E474C" w:rsidRDefault="00000000">
            <w:pPr>
              <w:pStyle w:val="A-"/>
              <w:spacing w:line="260" w:lineRule="exact"/>
              <w:ind w:leftChars="-25" w:left="-53" w:rightChars="-25" w:right="-53"/>
            </w:pPr>
            <w:r>
              <w:t>398-004-22</w:t>
            </w:r>
          </w:p>
        </w:tc>
        <w:tc>
          <w:tcPr>
            <w:tcW w:w="4991" w:type="dxa"/>
            <w:noWrap/>
            <w:vAlign w:val="center"/>
          </w:tcPr>
          <w:p w14:paraId="3F372757" w14:textId="77777777" w:rsidR="002E474C" w:rsidRDefault="00000000">
            <w:pPr>
              <w:pStyle w:val="A-"/>
              <w:spacing w:line="260" w:lineRule="exact"/>
            </w:pPr>
            <w:r>
              <w:t>线路板生产过程中产生的废蚀铜液</w:t>
            </w:r>
          </w:p>
        </w:tc>
        <w:tc>
          <w:tcPr>
            <w:tcW w:w="663" w:type="dxa"/>
            <w:noWrap/>
            <w:vAlign w:val="center"/>
          </w:tcPr>
          <w:p w14:paraId="41ED02AE" w14:textId="77777777" w:rsidR="002E474C" w:rsidRDefault="00000000">
            <w:pPr>
              <w:pStyle w:val="A-"/>
              <w:spacing w:line="260" w:lineRule="exact"/>
            </w:pPr>
            <w:r>
              <w:t>T</w:t>
            </w:r>
          </w:p>
        </w:tc>
      </w:tr>
      <w:tr w:rsidR="002E474C" w14:paraId="5F8C8DC6" w14:textId="77777777">
        <w:trPr>
          <w:trHeight w:val="300"/>
        </w:trPr>
        <w:tc>
          <w:tcPr>
            <w:tcW w:w="828" w:type="dxa"/>
            <w:vMerge/>
            <w:vAlign w:val="center"/>
          </w:tcPr>
          <w:p w14:paraId="7C7E1D8B" w14:textId="77777777" w:rsidR="002E474C" w:rsidRDefault="002E474C">
            <w:pPr>
              <w:pStyle w:val="A-"/>
              <w:spacing w:line="260" w:lineRule="exact"/>
            </w:pPr>
          </w:p>
        </w:tc>
        <w:tc>
          <w:tcPr>
            <w:tcW w:w="893" w:type="dxa"/>
            <w:vMerge/>
            <w:vAlign w:val="center"/>
          </w:tcPr>
          <w:p w14:paraId="0D4063FF" w14:textId="77777777" w:rsidR="002E474C" w:rsidRDefault="002E474C">
            <w:pPr>
              <w:pStyle w:val="A-"/>
              <w:spacing w:line="260" w:lineRule="exact"/>
            </w:pPr>
          </w:p>
        </w:tc>
        <w:tc>
          <w:tcPr>
            <w:tcW w:w="1147" w:type="dxa"/>
            <w:noWrap/>
            <w:vAlign w:val="center"/>
          </w:tcPr>
          <w:p w14:paraId="7A48E2E8" w14:textId="77777777" w:rsidR="002E474C" w:rsidRDefault="00000000">
            <w:pPr>
              <w:pStyle w:val="A-"/>
              <w:spacing w:line="260" w:lineRule="exact"/>
              <w:ind w:leftChars="-25" w:left="-53" w:rightChars="-25" w:right="-53"/>
            </w:pPr>
            <w:r>
              <w:t>398-005-22</w:t>
            </w:r>
          </w:p>
        </w:tc>
        <w:tc>
          <w:tcPr>
            <w:tcW w:w="4991" w:type="dxa"/>
            <w:noWrap/>
            <w:vAlign w:val="center"/>
          </w:tcPr>
          <w:p w14:paraId="5935E41A" w14:textId="77777777" w:rsidR="002E474C" w:rsidRDefault="00000000">
            <w:pPr>
              <w:pStyle w:val="A-"/>
              <w:spacing w:line="260" w:lineRule="exact"/>
            </w:pPr>
            <w:r>
              <w:t>使用酸进行铜氧化处理产生的废液和废水处理污泥</w:t>
            </w:r>
          </w:p>
        </w:tc>
        <w:tc>
          <w:tcPr>
            <w:tcW w:w="663" w:type="dxa"/>
            <w:noWrap/>
            <w:vAlign w:val="center"/>
          </w:tcPr>
          <w:p w14:paraId="037CA32C" w14:textId="77777777" w:rsidR="002E474C" w:rsidRDefault="00000000">
            <w:pPr>
              <w:pStyle w:val="A-"/>
              <w:spacing w:line="260" w:lineRule="exact"/>
            </w:pPr>
            <w:r>
              <w:t>T</w:t>
            </w:r>
          </w:p>
        </w:tc>
      </w:tr>
      <w:tr w:rsidR="002E474C" w14:paraId="131CBCD6" w14:textId="77777777">
        <w:trPr>
          <w:trHeight w:val="300"/>
        </w:trPr>
        <w:tc>
          <w:tcPr>
            <w:tcW w:w="828" w:type="dxa"/>
            <w:vMerge/>
            <w:vAlign w:val="center"/>
          </w:tcPr>
          <w:p w14:paraId="2E27C703" w14:textId="77777777" w:rsidR="002E474C" w:rsidRDefault="002E474C">
            <w:pPr>
              <w:pStyle w:val="A-"/>
              <w:spacing w:line="260" w:lineRule="exact"/>
            </w:pPr>
          </w:p>
        </w:tc>
        <w:tc>
          <w:tcPr>
            <w:tcW w:w="893" w:type="dxa"/>
            <w:vMerge/>
            <w:vAlign w:val="center"/>
          </w:tcPr>
          <w:p w14:paraId="470A8F03" w14:textId="77777777" w:rsidR="002E474C" w:rsidRDefault="002E474C">
            <w:pPr>
              <w:pStyle w:val="A-"/>
              <w:spacing w:line="260" w:lineRule="exact"/>
            </w:pPr>
          </w:p>
        </w:tc>
        <w:tc>
          <w:tcPr>
            <w:tcW w:w="1147" w:type="dxa"/>
            <w:noWrap/>
            <w:vAlign w:val="center"/>
          </w:tcPr>
          <w:p w14:paraId="7B1D4685" w14:textId="77777777" w:rsidR="002E474C" w:rsidRDefault="00000000">
            <w:pPr>
              <w:pStyle w:val="A-"/>
              <w:spacing w:line="260" w:lineRule="exact"/>
              <w:ind w:leftChars="-25" w:left="-53" w:rightChars="-25" w:right="-53"/>
            </w:pPr>
            <w:r>
              <w:t>398-051-22</w:t>
            </w:r>
          </w:p>
        </w:tc>
        <w:tc>
          <w:tcPr>
            <w:tcW w:w="4991" w:type="dxa"/>
            <w:noWrap/>
            <w:vAlign w:val="center"/>
          </w:tcPr>
          <w:p w14:paraId="2D2753C1" w14:textId="77777777" w:rsidR="002E474C" w:rsidRDefault="00000000">
            <w:pPr>
              <w:pStyle w:val="A-"/>
              <w:spacing w:line="260" w:lineRule="exact"/>
            </w:pPr>
            <w:r>
              <w:t>铜板蚀刻过程中产生的废蚀刻液和废水处理污泥</w:t>
            </w:r>
          </w:p>
        </w:tc>
        <w:tc>
          <w:tcPr>
            <w:tcW w:w="663" w:type="dxa"/>
            <w:noWrap/>
            <w:vAlign w:val="center"/>
          </w:tcPr>
          <w:p w14:paraId="58C4DB45" w14:textId="77777777" w:rsidR="002E474C" w:rsidRDefault="00000000">
            <w:pPr>
              <w:pStyle w:val="A-"/>
              <w:spacing w:line="260" w:lineRule="exact"/>
            </w:pPr>
            <w:r>
              <w:t>T</w:t>
            </w:r>
          </w:p>
        </w:tc>
      </w:tr>
      <w:tr w:rsidR="002E474C" w14:paraId="42C37FA5" w14:textId="77777777">
        <w:trPr>
          <w:trHeight w:val="300"/>
        </w:trPr>
        <w:tc>
          <w:tcPr>
            <w:tcW w:w="828" w:type="dxa"/>
            <w:vMerge w:val="restart"/>
            <w:noWrap/>
            <w:vAlign w:val="center"/>
          </w:tcPr>
          <w:p w14:paraId="50851E41" w14:textId="77777777" w:rsidR="002E474C" w:rsidRDefault="00000000">
            <w:pPr>
              <w:pStyle w:val="A-"/>
              <w:spacing w:line="260" w:lineRule="exact"/>
            </w:pPr>
            <w:r>
              <w:t>HW23</w:t>
            </w:r>
            <w:r>
              <w:br/>
            </w:r>
            <w:r>
              <w:t>含锌废物</w:t>
            </w:r>
          </w:p>
        </w:tc>
        <w:tc>
          <w:tcPr>
            <w:tcW w:w="893" w:type="dxa"/>
            <w:noWrap/>
            <w:vAlign w:val="center"/>
          </w:tcPr>
          <w:p w14:paraId="1DE68C84" w14:textId="77777777" w:rsidR="002E474C" w:rsidRDefault="00000000">
            <w:pPr>
              <w:pStyle w:val="A-"/>
              <w:spacing w:line="260" w:lineRule="exact"/>
            </w:pPr>
            <w:r>
              <w:t>金属表面处理及热处理加工</w:t>
            </w:r>
          </w:p>
        </w:tc>
        <w:tc>
          <w:tcPr>
            <w:tcW w:w="1147" w:type="dxa"/>
            <w:noWrap/>
            <w:vAlign w:val="center"/>
          </w:tcPr>
          <w:p w14:paraId="30A962D2" w14:textId="77777777" w:rsidR="002E474C" w:rsidRDefault="00000000">
            <w:pPr>
              <w:pStyle w:val="A-"/>
              <w:spacing w:line="260" w:lineRule="exact"/>
              <w:ind w:leftChars="-25" w:left="-53" w:rightChars="-25" w:right="-53"/>
            </w:pPr>
            <w:r>
              <w:t>336-103-23</w:t>
            </w:r>
          </w:p>
        </w:tc>
        <w:tc>
          <w:tcPr>
            <w:tcW w:w="4991" w:type="dxa"/>
            <w:noWrap/>
            <w:vAlign w:val="center"/>
          </w:tcPr>
          <w:p w14:paraId="6D40D4F9" w14:textId="77777777" w:rsidR="002E474C" w:rsidRDefault="00000000">
            <w:pPr>
              <w:pStyle w:val="A-"/>
              <w:spacing w:line="260" w:lineRule="exact"/>
            </w:pPr>
            <w:r>
              <w:t>热镀锌过程中产生的废助镀熔（溶）剂和集（除）尘装置收集的粉尘</w:t>
            </w:r>
          </w:p>
        </w:tc>
        <w:tc>
          <w:tcPr>
            <w:tcW w:w="663" w:type="dxa"/>
            <w:noWrap/>
            <w:vAlign w:val="center"/>
          </w:tcPr>
          <w:p w14:paraId="6B37479F" w14:textId="77777777" w:rsidR="002E474C" w:rsidRDefault="00000000">
            <w:pPr>
              <w:pStyle w:val="A-"/>
              <w:spacing w:line="260" w:lineRule="exact"/>
            </w:pPr>
            <w:r>
              <w:t>T</w:t>
            </w:r>
          </w:p>
        </w:tc>
      </w:tr>
      <w:tr w:rsidR="002E474C" w14:paraId="2806D6F7" w14:textId="77777777">
        <w:trPr>
          <w:trHeight w:val="300"/>
        </w:trPr>
        <w:tc>
          <w:tcPr>
            <w:tcW w:w="828" w:type="dxa"/>
            <w:vMerge/>
            <w:vAlign w:val="center"/>
          </w:tcPr>
          <w:p w14:paraId="6104B189" w14:textId="77777777" w:rsidR="002E474C" w:rsidRDefault="002E474C">
            <w:pPr>
              <w:pStyle w:val="A-"/>
              <w:spacing w:line="260" w:lineRule="exact"/>
            </w:pPr>
          </w:p>
        </w:tc>
        <w:tc>
          <w:tcPr>
            <w:tcW w:w="893" w:type="dxa"/>
            <w:noWrap/>
            <w:vAlign w:val="center"/>
          </w:tcPr>
          <w:p w14:paraId="0C1BB162" w14:textId="77777777" w:rsidR="002E474C" w:rsidRDefault="00000000">
            <w:pPr>
              <w:pStyle w:val="A-"/>
              <w:spacing w:line="260" w:lineRule="exact"/>
            </w:pPr>
            <w:r>
              <w:t>电池</w:t>
            </w:r>
          </w:p>
          <w:p w14:paraId="1D70C390" w14:textId="77777777" w:rsidR="002E474C" w:rsidRDefault="00000000">
            <w:pPr>
              <w:pStyle w:val="A-"/>
              <w:spacing w:line="260" w:lineRule="exact"/>
            </w:pPr>
            <w:r>
              <w:t>制造</w:t>
            </w:r>
          </w:p>
        </w:tc>
        <w:tc>
          <w:tcPr>
            <w:tcW w:w="1147" w:type="dxa"/>
            <w:noWrap/>
            <w:vAlign w:val="center"/>
          </w:tcPr>
          <w:p w14:paraId="0A0B1F51" w14:textId="77777777" w:rsidR="002E474C" w:rsidRDefault="00000000">
            <w:pPr>
              <w:pStyle w:val="A-"/>
              <w:spacing w:line="260" w:lineRule="exact"/>
              <w:ind w:leftChars="-25" w:left="-53" w:rightChars="-25" w:right="-53"/>
            </w:pPr>
            <w:r>
              <w:t>384-001-23</w:t>
            </w:r>
          </w:p>
        </w:tc>
        <w:tc>
          <w:tcPr>
            <w:tcW w:w="4991" w:type="dxa"/>
            <w:noWrap/>
            <w:vAlign w:val="center"/>
          </w:tcPr>
          <w:p w14:paraId="67BD1C26" w14:textId="77777777" w:rsidR="002E474C" w:rsidRDefault="00000000">
            <w:pPr>
              <w:pStyle w:val="A-"/>
              <w:spacing w:line="260" w:lineRule="exact"/>
            </w:pPr>
            <w:r>
              <w:t>碱性锌锰电池、锌氧化银电池、锌空气电池生产过程中产生的废锌浆</w:t>
            </w:r>
          </w:p>
        </w:tc>
        <w:tc>
          <w:tcPr>
            <w:tcW w:w="663" w:type="dxa"/>
            <w:noWrap/>
            <w:vAlign w:val="center"/>
          </w:tcPr>
          <w:p w14:paraId="5CEDC0B5" w14:textId="77777777" w:rsidR="002E474C" w:rsidRDefault="00000000">
            <w:pPr>
              <w:pStyle w:val="A-"/>
              <w:spacing w:line="260" w:lineRule="exact"/>
            </w:pPr>
            <w:r>
              <w:t>T</w:t>
            </w:r>
          </w:p>
        </w:tc>
      </w:tr>
      <w:tr w:rsidR="002E474C" w14:paraId="0F04E4A4" w14:textId="77777777">
        <w:trPr>
          <w:trHeight w:val="300"/>
        </w:trPr>
        <w:tc>
          <w:tcPr>
            <w:tcW w:w="828" w:type="dxa"/>
            <w:vMerge/>
            <w:vAlign w:val="center"/>
          </w:tcPr>
          <w:p w14:paraId="29719B32" w14:textId="77777777" w:rsidR="002E474C" w:rsidRDefault="002E474C">
            <w:pPr>
              <w:pStyle w:val="A-"/>
              <w:spacing w:line="260" w:lineRule="exact"/>
            </w:pPr>
          </w:p>
        </w:tc>
        <w:tc>
          <w:tcPr>
            <w:tcW w:w="893" w:type="dxa"/>
            <w:noWrap/>
            <w:vAlign w:val="center"/>
          </w:tcPr>
          <w:p w14:paraId="065BA25D" w14:textId="77777777" w:rsidR="002E474C" w:rsidRDefault="00000000">
            <w:pPr>
              <w:pStyle w:val="A-"/>
              <w:spacing w:line="260" w:lineRule="exact"/>
            </w:pPr>
            <w:r>
              <w:t>炼钢</w:t>
            </w:r>
          </w:p>
        </w:tc>
        <w:tc>
          <w:tcPr>
            <w:tcW w:w="1147" w:type="dxa"/>
            <w:noWrap/>
            <w:vAlign w:val="center"/>
          </w:tcPr>
          <w:p w14:paraId="04706B0F" w14:textId="77777777" w:rsidR="002E474C" w:rsidRDefault="00000000">
            <w:pPr>
              <w:pStyle w:val="A-"/>
              <w:spacing w:line="260" w:lineRule="exact"/>
              <w:ind w:leftChars="-25" w:left="-53" w:rightChars="-25" w:right="-53"/>
            </w:pPr>
            <w:r>
              <w:t>312-001-23</w:t>
            </w:r>
          </w:p>
        </w:tc>
        <w:tc>
          <w:tcPr>
            <w:tcW w:w="4991" w:type="dxa"/>
            <w:noWrap/>
            <w:vAlign w:val="center"/>
          </w:tcPr>
          <w:p w14:paraId="67C7C470" w14:textId="77777777" w:rsidR="002E474C" w:rsidRDefault="00000000">
            <w:pPr>
              <w:pStyle w:val="A-"/>
              <w:spacing w:line="260" w:lineRule="exact"/>
            </w:pPr>
            <w:r>
              <w:t>废钢电炉炼钢过程中集（除）尘装置收集的粉尘和废水处理污泥</w:t>
            </w:r>
          </w:p>
        </w:tc>
        <w:tc>
          <w:tcPr>
            <w:tcW w:w="663" w:type="dxa"/>
            <w:noWrap/>
            <w:vAlign w:val="center"/>
          </w:tcPr>
          <w:p w14:paraId="75C7DA0C" w14:textId="77777777" w:rsidR="002E474C" w:rsidRDefault="00000000">
            <w:pPr>
              <w:pStyle w:val="A-"/>
              <w:spacing w:line="260" w:lineRule="exact"/>
            </w:pPr>
            <w:r>
              <w:t>T</w:t>
            </w:r>
          </w:p>
        </w:tc>
      </w:tr>
      <w:tr w:rsidR="002E474C" w14:paraId="24C1EA12" w14:textId="77777777">
        <w:trPr>
          <w:trHeight w:val="300"/>
        </w:trPr>
        <w:tc>
          <w:tcPr>
            <w:tcW w:w="828" w:type="dxa"/>
            <w:vMerge/>
            <w:vAlign w:val="center"/>
          </w:tcPr>
          <w:p w14:paraId="49C418CE" w14:textId="77777777" w:rsidR="002E474C" w:rsidRDefault="002E474C">
            <w:pPr>
              <w:pStyle w:val="A-"/>
              <w:spacing w:line="260" w:lineRule="exact"/>
            </w:pPr>
          </w:p>
        </w:tc>
        <w:tc>
          <w:tcPr>
            <w:tcW w:w="893" w:type="dxa"/>
            <w:noWrap/>
            <w:vAlign w:val="center"/>
          </w:tcPr>
          <w:p w14:paraId="02F87DA4" w14:textId="77777777" w:rsidR="002E474C" w:rsidRDefault="00000000">
            <w:pPr>
              <w:pStyle w:val="A-"/>
              <w:spacing w:line="260" w:lineRule="exact"/>
            </w:pPr>
            <w:r>
              <w:t>非特定行业</w:t>
            </w:r>
          </w:p>
        </w:tc>
        <w:tc>
          <w:tcPr>
            <w:tcW w:w="1147" w:type="dxa"/>
            <w:noWrap/>
            <w:vAlign w:val="center"/>
          </w:tcPr>
          <w:p w14:paraId="11F8B826" w14:textId="77777777" w:rsidR="002E474C" w:rsidRDefault="00000000">
            <w:pPr>
              <w:pStyle w:val="A-"/>
              <w:spacing w:line="260" w:lineRule="exact"/>
              <w:ind w:leftChars="-25" w:left="-53" w:rightChars="-25" w:right="-53"/>
            </w:pPr>
            <w:r>
              <w:t>900-021-23</w:t>
            </w:r>
          </w:p>
        </w:tc>
        <w:tc>
          <w:tcPr>
            <w:tcW w:w="4991" w:type="dxa"/>
            <w:noWrap/>
            <w:vAlign w:val="center"/>
          </w:tcPr>
          <w:p w14:paraId="0DBD4CCC" w14:textId="77777777" w:rsidR="002E474C" w:rsidRDefault="00000000">
            <w:pPr>
              <w:pStyle w:val="A-"/>
              <w:spacing w:line="260" w:lineRule="exact"/>
            </w:pPr>
            <w:r>
              <w:t>使用氢氧化钠、锌粉进行贵金属沉淀过程中产生的废液和废水处理污泥</w:t>
            </w:r>
          </w:p>
        </w:tc>
        <w:tc>
          <w:tcPr>
            <w:tcW w:w="663" w:type="dxa"/>
            <w:noWrap/>
            <w:vAlign w:val="center"/>
          </w:tcPr>
          <w:p w14:paraId="3237E110" w14:textId="77777777" w:rsidR="002E474C" w:rsidRDefault="00000000">
            <w:pPr>
              <w:pStyle w:val="A-"/>
              <w:spacing w:line="260" w:lineRule="exact"/>
            </w:pPr>
            <w:r>
              <w:t>T</w:t>
            </w:r>
          </w:p>
        </w:tc>
      </w:tr>
      <w:tr w:rsidR="002E474C" w14:paraId="7AB81E1E" w14:textId="77777777">
        <w:trPr>
          <w:trHeight w:val="300"/>
        </w:trPr>
        <w:tc>
          <w:tcPr>
            <w:tcW w:w="828" w:type="dxa"/>
            <w:noWrap/>
            <w:vAlign w:val="center"/>
          </w:tcPr>
          <w:p w14:paraId="3E3D846A" w14:textId="77777777" w:rsidR="002E474C" w:rsidRDefault="00000000">
            <w:pPr>
              <w:pStyle w:val="A-"/>
              <w:spacing w:line="260" w:lineRule="exact"/>
            </w:pPr>
            <w:r>
              <w:t>HW24</w:t>
            </w:r>
            <w:r>
              <w:br/>
            </w:r>
            <w:r>
              <w:t>含砷废物</w:t>
            </w:r>
          </w:p>
        </w:tc>
        <w:tc>
          <w:tcPr>
            <w:tcW w:w="893" w:type="dxa"/>
            <w:noWrap/>
            <w:vAlign w:val="center"/>
          </w:tcPr>
          <w:p w14:paraId="590DA21C" w14:textId="77777777" w:rsidR="002E474C" w:rsidRDefault="00000000">
            <w:pPr>
              <w:pStyle w:val="A-"/>
              <w:spacing w:line="260" w:lineRule="exact"/>
            </w:pPr>
            <w:r>
              <w:t>基础化学原料制造</w:t>
            </w:r>
          </w:p>
        </w:tc>
        <w:tc>
          <w:tcPr>
            <w:tcW w:w="1147" w:type="dxa"/>
            <w:noWrap/>
            <w:vAlign w:val="center"/>
          </w:tcPr>
          <w:p w14:paraId="7B10F093" w14:textId="77777777" w:rsidR="002E474C" w:rsidRDefault="00000000">
            <w:pPr>
              <w:pStyle w:val="A-"/>
              <w:spacing w:line="260" w:lineRule="exact"/>
              <w:ind w:leftChars="-25" w:left="-53" w:rightChars="-25" w:right="-53"/>
            </w:pPr>
            <w:r>
              <w:t>261-139-24</w:t>
            </w:r>
          </w:p>
        </w:tc>
        <w:tc>
          <w:tcPr>
            <w:tcW w:w="4991" w:type="dxa"/>
            <w:noWrap/>
            <w:vAlign w:val="center"/>
          </w:tcPr>
          <w:p w14:paraId="53EA2087" w14:textId="77777777" w:rsidR="002E474C" w:rsidRDefault="00000000">
            <w:pPr>
              <w:pStyle w:val="A-"/>
              <w:spacing w:line="260" w:lineRule="exact"/>
            </w:pPr>
            <w:r>
              <w:t>硫铁矿制酸过程中烟气净化产生的酸泥</w:t>
            </w:r>
          </w:p>
        </w:tc>
        <w:tc>
          <w:tcPr>
            <w:tcW w:w="663" w:type="dxa"/>
            <w:noWrap/>
            <w:vAlign w:val="center"/>
          </w:tcPr>
          <w:p w14:paraId="57EEAEE3" w14:textId="77777777" w:rsidR="002E474C" w:rsidRDefault="00000000">
            <w:pPr>
              <w:pStyle w:val="A-"/>
              <w:spacing w:line="260" w:lineRule="exact"/>
            </w:pPr>
            <w:r>
              <w:t>T</w:t>
            </w:r>
          </w:p>
        </w:tc>
      </w:tr>
      <w:tr w:rsidR="002E474C" w14:paraId="0FB9A9A4" w14:textId="77777777">
        <w:trPr>
          <w:trHeight w:val="300"/>
        </w:trPr>
        <w:tc>
          <w:tcPr>
            <w:tcW w:w="828" w:type="dxa"/>
            <w:vMerge w:val="restart"/>
            <w:noWrap/>
            <w:vAlign w:val="center"/>
          </w:tcPr>
          <w:p w14:paraId="04685512" w14:textId="77777777" w:rsidR="002E474C" w:rsidRDefault="00000000">
            <w:pPr>
              <w:pStyle w:val="A-"/>
              <w:spacing w:line="260" w:lineRule="exact"/>
            </w:pPr>
            <w:r>
              <w:t>HW31</w:t>
            </w:r>
            <w:r>
              <w:br/>
            </w:r>
            <w:r>
              <w:t>含铅废物</w:t>
            </w:r>
          </w:p>
        </w:tc>
        <w:tc>
          <w:tcPr>
            <w:tcW w:w="893" w:type="dxa"/>
            <w:noWrap/>
            <w:vAlign w:val="center"/>
          </w:tcPr>
          <w:p w14:paraId="319443DE" w14:textId="77777777" w:rsidR="002E474C" w:rsidRDefault="00000000">
            <w:pPr>
              <w:pStyle w:val="A-"/>
              <w:spacing w:line="260" w:lineRule="exact"/>
            </w:pPr>
            <w:r>
              <w:t>玻璃</w:t>
            </w:r>
          </w:p>
          <w:p w14:paraId="1FFC7B8F" w14:textId="77777777" w:rsidR="002E474C" w:rsidRDefault="00000000">
            <w:pPr>
              <w:pStyle w:val="A-"/>
              <w:spacing w:line="260" w:lineRule="exact"/>
            </w:pPr>
            <w:r>
              <w:t>制造</w:t>
            </w:r>
          </w:p>
        </w:tc>
        <w:tc>
          <w:tcPr>
            <w:tcW w:w="1147" w:type="dxa"/>
            <w:noWrap/>
            <w:vAlign w:val="center"/>
          </w:tcPr>
          <w:p w14:paraId="341CE39C" w14:textId="77777777" w:rsidR="002E474C" w:rsidRDefault="00000000">
            <w:pPr>
              <w:pStyle w:val="A-"/>
              <w:spacing w:line="260" w:lineRule="exact"/>
              <w:ind w:leftChars="-25" w:left="-53" w:rightChars="-25" w:right="-53"/>
            </w:pPr>
            <w:r>
              <w:t>304-002-31</w:t>
            </w:r>
          </w:p>
        </w:tc>
        <w:tc>
          <w:tcPr>
            <w:tcW w:w="4991" w:type="dxa"/>
            <w:noWrap/>
            <w:vAlign w:val="center"/>
          </w:tcPr>
          <w:p w14:paraId="53549629" w14:textId="77777777" w:rsidR="002E474C" w:rsidRDefault="00000000">
            <w:pPr>
              <w:pStyle w:val="A-"/>
              <w:spacing w:line="260" w:lineRule="exact"/>
            </w:pPr>
            <w:r>
              <w:t>使用铅盐和铅氧化物进行显像管玻璃熔炼过程中产生的废渣</w:t>
            </w:r>
          </w:p>
        </w:tc>
        <w:tc>
          <w:tcPr>
            <w:tcW w:w="663" w:type="dxa"/>
            <w:noWrap/>
            <w:vAlign w:val="center"/>
          </w:tcPr>
          <w:p w14:paraId="6F118F77" w14:textId="77777777" w:rsidR="002E474C" w:rsidRDefault="00000000">
            <w:pPr>
              <w:pStyle w:val="A-"/>
              <w:spacing w:line="260" w:lineRule="exact"/>
            </w:pPr>
            <w:r>
              <w:t>T</w:t>
            </w:r>
          </w:p>
        </w:tc>
      </w:tr>
      <w:tr w:rsidR="002E474C" w14:paraId="269EC3E7" w14:textId="77777777">
        <w:trPr>
          <w:trHeight w:val="300"/>
        </w:trPr>
        <w:tc>
          <w:tcPr>
            <w:tcW w:w="828" w:type="dxa"/>
            <w:vMerge/>
            <w:vAlign w:val="center"/>
          </w:tcPr>
          <w:p w14:paraId="60ADB126" w14:textId="77777777" w:rsidR="002E474C" w:rsidRDefault="002E474C">
            <w:pPr>
              <w:pStyle w:val="A-"/>
              <w:spacing w:line="260" w:lineRule="exact"/>
            </w:pPr>
          </w:p>
        </w:tc>
        <w:tc>
          <w:tcPr>
            <w:tcW w:w="893" w:type="dxa"/>
            <w:noWrap/>
            <w:vAlign w:val="center"/>
          </w:tcPr>
          <w:p w14:paraId="0271DDF8" w14:textId="77777777" w:rsidR="002E474C" w:rsidRDefault="00000000">
            <w:pPr>
              <w:pStyle w:val="A-"/>
              <w:spacing w:line="260" w:lineRule="exact"/>
              <w:ind w:leftChars="-25" w:left="-53" w:rightChars="-25" w:right="-53"/>
            </w:pPr>
            <w:r>
              <w:rPr>
                <w:spacing w:val="-11"/>
              </w:rPr>
              <w:t>电子元件及电子专用材料制造</w:t>
            </w:r>
          </w:p>
        </w:tc>
        <w:tc>
          <w:tcPr>
            <w:tcW w:w="1147" w:type="dxa"/>
            <w:noWrap/>
            <w:vAlign w:val="center"/>
          </w:tcPr>
          <w:p w14:paraId="655D1A6E" w14:textId="77777777" w:rsidR="002E474C" w:rsidRDefault="00000000">
            <w:pPr>
              <w:pStyle w:val="A-"/>
              <w:spacing w:line="260" w:lineRule="exact"/>
              <w:ind w:leftChars="-25" w:left="-53" w:rightChars="-25" w:right="-53"/>
            </w:pPr>
            <w:r>
              <w:t>398-052-31</w:t>
            </w:r>
          </w:p>
        </w:tc>
        <w:tc>
          <w:tcPr>
            <w:tcW w:w="4991" w:type="dxa"/>
            <w:noWrap/>
            <w:vAlign w:val="center"/>
          </w:tcPr>
          <w:p w14:paraId="3FCBD5AA" w14:textId="77777777" w:rsidR="002E474C" w:rsidRDefault="00000000">
            <w:pPr>
              <w:pStyle w:val="A-"/>
              <w:spacing w:line="260" w:lineRule="exact"/>
            </w:pPr>
            <w:r>
              <w:t>线路板制造过程中电镀铅锡合金产生的废液</w:t>
            </w:r>
          </w:p>
        </w:tc>
        <w:tc>
          <w:tcPr>
            <w:tcW w:w="663" w:type="dxa"/>
            <w:noWrap/>
            <w:vAlign w:val="center"/>
          </w:tcPr>
          <w:p w14:paraId="09D0B43A" w14:textId="77777777" w:rsidR="002E474C" w:rsidRDefault="00000000">
            <w:pPr>
              <w:pStyle w:val="A-"/>
              <w:spacing w:line="260" w:lineRule="exact"/>
            </w:pPr>
            <w:r>
              <w:t>T</w:t>
            </w:r>
          </w:p>
        </w:tc>
      </w:tr>
      <w:tr w:rsidR="002E474C" w14:paraId="090DF3A9" w14:textId="77777777">
        <w:trPr>
          <w:trHeight w:val="300"/>
        </w:trPr>
        <w:tc>
          <w:tcPr>
            <w:tcW w:w="828" w:type="dxa"/>
            <w:vMerge/>
            <w:vAlign w:val="center"/>
          </w:tcPr>
          <w:p w14:paraId="33CE3C8D" w14:textId="77777777" w:rsidR="002E474C" w:rsidRDefault="002E474C">
            <w:pPr>
              <w:pStyle w:val="A-"/>
              <w:spacing w:line="260" w:lineRule="exact"/>
            </w:pPr>
          </w:p>
        </w:tc>
        <w:tc>
          <w:tcPr>
            <w:tcW w:w="893" w:type="dxa"/>
            <w:noWrap/>
            <w:vAlign w:val="center"/>
          </w:tcPr>
          <w:p w14:paraId="09F5B994" w14:textId="77777777" w:rsidR="002E474C" w:rsidRDefault="00000000">
            <w:pPr>
              <w:pStyle w:val="A-"/>
              <w:spacing w:line="260" w:lineRule="exact"/>
            </w:pPr>
            <w:r>
              <w:t>电池</w:t>
            </w:r>
          </w:p>
          <w:p w14:paraId="32DD19C4" w14:textId="77777777" w:rsidR="002E474C" w:rsidRDefault="00000000">
            <w:pPr>
              <w:pStyle w:val="A-"/>
              <w:spacing w:line="260" w:lineRule="exact"/>
            </w:pPr>
            <w:r>
              <w:t>制造</w:t>
            </w:r>
          </w:p>
        </w:tc>
        <w:tc>
          <w:tcPr>
            <w:tcW w:w="1147" w:type="dxa"/>
            <w:noWrap/>
            <w:vAlign w:val="center"/>
          </w:tcPr>
          <w:p w14:paraId="6732341D" w14:textId="77777777" w:rsidR="002E474C" w:rsidRDefault="00000000">
            <w:pPr>
              <w:pStyle w:val="A-"/>
              <w:spacing w:line="260" w:lineRule="exact"/>
              <w:ind w:leftChars="-25" w:left="-53" w:rightChars="-25" w:right="-53"/>
            </w:pPr>
            <w:r>
              <w:t>384-004-31</w:t>
            </w:r>
          </w:p>
        </w:tc>
        <w:tc>
          <w:tcPr>
            <w:tcW w:w="4991" w:type="dxa"/>
            <w:noWrap/>
            <w:vAlign w:val="center"/>
          </w:tcPr>
          <w:p w14:paraId="0C063A6B" w14:textId="77777777" w:rsidR="002E474C" w:rsidRDefault="00000000">
            <w:pPr>
              <w:pStyle w:val="A-"/>
              <w:spacing w:line="260" w:lineRule="exact"/>
            </w:pPr>
            <w:r>
              <w:t>铅蓄电池生产过程中产生的废渣、集（除）尘装置收集的粉尘和废水处理污泥</w:t>
            </w:r>
          </w:p>
        </w:tc>
        <w:tc>
          <w:tcPr>
            <w:tcW w:w="663" w:type="dxa"/>
            <w:noWrap/>
            <w:vAlign w:val="center"/>
          </w:tcPr>
          <w:p w14:paraId="65FBD457" w14:textId="77777777" w:rsidR="002E474C" w:rsidRDefault="00000000">
            <w:pPr>
              <w:pStyle w:val="A-"/>
              <w:spacing w:line="260" w:lineRule="exact"/>
            </w:pPr>
            <w:r>
              <w:t>T</w:t>
            </w:r>
          </w:p>
        </w:tc>
      </w:tr>
      <w:tr w:rsidR="002E474C" w14:paraId="4EAB9B8E" w14:textId="77777777">
        <w:trPr>
          <w:trHeight w:val="300"/>
        </w:trPr>
        <w:tc>
          <w:tcPr>
            <w:tcW w:w="828" w:type="dxa"/>
            <w:vMerge/>
            <w:vAlign w:val="center"/>
          </w:tcPr>
          <w:p w14:paraId="77495D01" w14:textId="77777777" w:rsidR="002E474C" w:rsidRDefault="002E474C">
            <w:pPr>
              <w:pStyle w:val="A-"/>
              <w:spacing w:line="260" w:lineRule="exact"/>
            </w:pPr>
          </w:p>
        </w:tc>
        <w:tc>
          <w:tcPr>
            <w:tcW w:w="893" w:type="dxa"/>
            <w:noWrap/>
            <w:vAlign w:val="center"/>
          </w:tcPr>
          <w:p w14:paraId="5481DB8F" w14:textId="77777777" w:rsidR="002E474C" w:rsidRDefault="00000000">
            <w:pPr>
              <w:pStyle w:val="A-"/>
              <w:spacing w:line="260" w:lineRule="exact"/>
              <w:ind w:leftChars="-25" w:left="-53" w:rightChars="-25" w:right="-53"/>
            </w:pPr>
            <w:r>
              <w:rPr>
                <w:spacing w:val="-11"/>
              </w:rPr>
              <w:t>工艺美术及礼仪用品制造</w:t>
            </w:r>
          </w:p>
        </w:tc>
        <w:tc>
          <w:tcPr>
            <w:tcW w:w="1147" w:type="dxa"/>
            <w:noWrap/>
            <w:vAlign w:val="center"/>
          </w:tcPr>
          <w:p w14:paraId="14D0E1E1" w14:textId="77777777" w:rsidR="002E474C" w:rsidRDefault="00000000">
            <w:pPr>
              <w:pStyle w:val="A-"/>
              <w:spacing w:line="260" w:lineRule="exact"/>
              <w:ind w:leftChars="-25" w:left="-53" w:rightChars="-25" w:right="-53"/>
            </w:pPr>
            <w:r>
              <w:t>243-001-31</w:t>
            </w:r>
          </w:p>
        </w:tc>
        <w:tc>
          <w:tcPr>
            <w:tcW w:w="4991" w:type="dxa"/>
            <w:noWrap/>
            <w:vAlign w:val="center"/>
          </w:tcPr>
          <w:p w14:paraId="2C7641EA" w14:textId="77777777" w:rsidR="002E474C" w:rsidRDefault="00000000">
            <w:pPr>
              <w:pStyle w:val="A-"/>
              <w:spacing w:line="260" w:lineRule="exact"/>
            </w:pPr>
            <w:r>
              <w:t>使用铅箔进行烤钵试金法工艺产生的废烤钵</w:t>
            </w:r>
          </w:p>
        </w:tc>
        <w:tc>
          <w:tcPr>
            <w:tcW w:w="663" w:type="dxa"/>
            <w:noWrap/>
            <w:vAlign w:val="center"/>
          </w:tcPr>
          <w:p w14:paraId="4FCB8B4B" w14:textId="77777777" w:rsidR="002E474C" w:rsidRDefault="00000000">
            <w:pPr>
              <w:pStyle w:val="A-"/>
              <w:spacing w:line="260" w:lineRule="exact"/>
            </w:pPr>
            <w:r>
              <w:t>T</w:t>
            </w:r>
          </w:p>
        </w:tc>
      </w:tr>
      <w:tr w:rsidR="002E474C" w14:paraId="5EDF5BAB" w14:textId="77777777">
        <w:trPr>
          <w:trHeight w:val="300"/>
        </w:trPr>
        <w:tc>
          <w:tcPr>
            <w:tcW w:w="828" w:type="dxa"/>
            <w:vMerge/>
            <w:vAlign w:val="center"/>
          </w:tcPr>
          <w:p w14:paraId="287B723A" w14:textId="77777777" w:rsidR="002E474C" w:rsidRDefault="002E474C">
            <w:pPr>
              <w:pStyle w:val="A-"/>
              <w:spacing w:line="260" w:lineRule="exact"/>
            </w:pPr>
          </w:p>
        </w:tc>
        <w:tc>
          <w:tcPr>
            <w:tcW w:w="893" w:type="dxa"/>
            <w:vMerge w:val="restart"/>
            <w:noWrap/>
            <w:vAlign w:val="center"/>
          </w:tcPr>
          <w:p w14:paraId="22D9D42B" w14:textId="77777777" w:rsidR="002E474C" w:rsidRDefault="00000000">
            <w:pPr>
              <w:pStyle w:val="A-"/>
              <w:spacing w:line="260" w:lineRule="exact"/>
            </w:pPr>
            <w:r>
              <w:t>非特定行业</w:t>
            </w:r>
          </w:p>
        </w:tc>
        <w:tc>
          <w:tcPr>
            <w:tcW w:w="1147" w:type="dxa"/>
            <w:noWrap/>
            <w:vAlign w:val="center"/>
          </w:tcPr>
          <w:p w14:paraId="19AD38D6" w14:textId="77777777" w:rsidR="002E474C" w:rsidRDefault="00000000">
            <w:pPr>
              <w:pStyle w:val="A-"/>
              <w:spacing w:line="260" w:lineRule="exact"/>
              <w:ind w:leftChars="-25" w:left="-53" w:rightChars="-25" w:right="-53"/>
            </w:pPr>
            <w:r>
              <w:t>900-052-31</w:t>
            </w:r>
          </w:p>
        </w:tc>
        <w:tc>
          <w:tcPr>
            <w:tcW w:w="4991" w:type="dxa"/>
            <w:noWrap/>
            <w:vAlign w:val="center"/>
          </w:tcPr>
          <w:p w14:paraId="256A1A99" w14:textId="77777777" w:rsidR="002E474C" w:rsidRDefault="00000000">
            <w:pPr>
              <w:pStyle w:val="A-"/>
              <w:spacing w:line="260" w:lineRule="exact"/>
            </w:pPr>
            <w:r>
              <w:t>废铅蓄电池及废铅蓄电池拆解过程中产生的废铅板、废铅膏和酸液</w:t>
            </w:r>
          </w:p>
        </w:tc>
        <w:tc>
          <w:tcPr>
            <w:tcW w:w="663" w:type="dxa"/>
            <w:noWrap/>
            <w:vAlign w:val="center"/>
          </w:tcPr>
          <w:p w14:paraId="728B238A" w14:textId="77777777" w:rsidR="002E474C" w:rsidRDefault="00000000">
            <w:pPr>
              <w:pStyle w:val="A-"/>
              <w:spacing w:line="260" w:lineRule="exact"/>
            </w:pPr>
            <w:r>
              <w:t>T</w:t>
            </w:r>
            <w:r>
              <w:t>，</w:t>
            </w:r>
            <w:r>
              <w:t>C</w:t>
            </w:r>
          </w:p>
        </w:tc>
      </w:tr>
      <w:tr w:rsidR="002E474C" w14:paraId="1948C94C" w14:textId="77777777">
        <w:trPr>
          <w:trHeight w:val="300"/>
        </w:trPr>
        <w:tc>
          <w:tcPr>
            <w:tcW w:w="828" w:type="dxa"/>
            <w:vMerge/>
            <w:vAlign w:val="center"/>
          </w:tcPr>
          <w:p w14:paraId="39CC96BF" w14:textId="77777777" w:rsidR="002E474C" w:rsidRDefault="002E474C">
            <w:pPr>
              <w:pStyle w:val="A-"/>
              <w:spacing w:line="260" w:lineRule="exact"/>
            </w:pPr>
          </w:p>
        </w:tc>
        <w:tc>
          <w:tcPr>
            <w:tcW w:w="893" w:type="dxa"/>
            <w:vMerge/>
            <w:vAlign w:val="center"/>
          </w:tcPr>
          <w:p w14:paraId="78BFFF3D" w14:textId="77777777" w:rsidR="002E474C" w:rsidRDefault="002E474C">
            <w:pPr>
              <w:pStyle w:val="A-"/>
              <w:spacing w:line="260" w:lineRule="exact"/>
            </w:pPr>
          </w:p>
        </w:tc>
        <w:tc>
          <w:tcPr>
            <w:tcW w:w="1147" w:type="dxa"/>
            <w:noWrap/>
            <w:vAlign w:val="center"/>
          </w:tcPr>
          <w:p w14:paraId="78AFCFE7" w14:textId="77777777" w:rsidR="002E474C" w:rsidRDefault="00000000">
            <w:pPr>
              <w:pStyle w:val="A-"/>
              <w:spacing w:line="260" w:lineRule="exact"/>
              <w:ind w:leftChars="-25" w:left="-53" w:rightChars="-25" w:right="-53"/>
            </w:pPr>
            <w:r>
              <w:t>900-025-31</w:t>
            </w:r>
          </w:p>
        </w:tc>
        <w:tc>
          <w:tcPr>
            <w:tcW w:w="4991" w:type="dxa"/>
            <w:noWrap/>
            <w:vAlign w:val="center"/>
          </w:tcPr>
          <w:p w14:paraId="0BC7BDCB" w14:textId="77777777" w:rsidR="002E474C" w:rsidRDefault="00000000">
            <w:pPr>
              <w:pStyle w:val="A-"/>
              <w:spacing w:line="260" w:lineRule="exact"/>
            </w:pPr>
            <w:r>
              <w:t>使用硬脂酸铅进行抗黏涂层过程中产生的废物</w:t>
            </w:r>
          </w:p>
        </w:tc>
        <w:tc>
          <w:tcPr>
            <w:tcW w:w="663" w:type="dxa"/>
            <w:noWrap/>
            <w:vAlign w:val="center"/>
          </w:tcPr>
          <w:p w14:paraId="08C8C561" w14:textId="77777777" w:rsidR="002E474C" w:rsidRDefault="00000000">
            <w:pPr>
              <w:pStyle w:val="A-"/>
              <w:spacing w:line="260" w:lineRule="exact"/>
            </w:pPr>
            <w:r>
              <w:t>T</w:t>
            </w:r>
          </w:p>
        </w:tc>
      </w:tr>
      <w:tr w:rsidR="002E474C" w14:paraId="215E8602" w14:textId="77777777">
        <w:trPr>
          <w:trHeight w:val="300"/>
        </w:trPr>
        <w:tc>
          <w:tcPr>
            <w:tcW w:w="828" w:type="dxa"/>
            <w:noWrap/>
            <w:vAlign w:val="center"/>
          </w:tcPr>
          <w:p w14:paraId="185F1EC9" w14:textId="77777777" w:rsidR="002E474C" w:rsidRDefault="00000000">
            <w:pPr>
              <w:pStyle w:val="A-"/>
              <w:spacing w:line="260" w:lineRule="exact"/>
              <w:ind w:leftChars="-50" w:left="-105" w:rightChars="-50" w:right="-105"/>
            </w:pPr>
            <w:r>
              <w:t>HW32</w:t>
            </w:r>
            <w:r>
              <w:br/>
            </w:r>
            <w:r>
              <w:t>无机氟化物废物</w:t>
            </w:r>
          </w:p>
        </w:tc>
        <w:tc>
          <w:tcPr>
            <w:tcW w:w="893" w:type="dxa"/>
            <w:noWrap/>
            <w:vAlign w:val="center"/>
          </w:tcPr>
          <w:p w14:paraId="142CC503" w14:textId="77777777" w:rsidR="002E474C" w:rsidRDefault="00000000">
            <w:pPr>
              <w:pStyle w:val="A-"/>
              <w:spacing w:line="260" w:lineRule="exact"/>
            </w:pPr>
            <w:r>
              <w:t>非特定行业</w:t>
            </w:r>
          </w:p>
        </w:tc>
        <w:tc>
          <w:tcPr>
            <w:tcW w:w="1147" w:type="dxa"/>
            <w:noWrap/>
            <w:vAlign w:val="center"/>
          </w:tcPr>
          <w:p w14:paraId="148EBC37" w14:textId="77777777" w:rsidR="002E474C" w:rsidRDefault="00000000">
            <w:pPr>
              <w:pStyle w:val="A-"/>
              <w:spacing w:line="260" w:lineRule="exact"/>
              <w:ind w:leftChars="-25" w:left="-53" w:rightChars="-25" w:right="-53"/>
            </w:pPr>
            <w:r>
              <w:t>900-026-32</w:t>
            </w:r>
          </w:p>
        </w:tc>
        <w:tc>
          <w:tcPr>
            <w:tcW w:w="4991" w:type="dxa"/>
            <w:noWrap/>
            <w:vAlign w:val="center"/>
          </w:tcPr>
          <w:p w14:paraId="42D73F54" w14:textId="77777777" w:rsidR="002E474C" w:rsidRDefault="00000000">
            <w:pPr>
              <w:pStyle w:val="A-"/>
              <w:spacing w:line="260" w:lineRule="exact"/>
            </w:pPr>
            <w:r>
              <w:t>使用氢氟酸进行蚀刻产生的废蚀刻液</w:t>
            </w:r>
          </w:p>
        </w:tc>
        <w:tc>
          <w:tcPr>
            <w:tcW w:w="663" w:type="dxa"/>
            <w:noWrap/>
            <w:vAlign w:val="center"/>
          </w:tcPr>
          <w:p w14:paraId="56A55FF1" w14:textId="77777777" w:rsidR="002E474C" w:rsidRDefault="00000000">
            <w:pPr>
              <w:pStyle w:val="A-"/>
              <w:spacing w:line="260" w:lineRule="exact"/>
            </w:pPr>
            <w:r>
              <w:t>T</w:t>
            </w:r>
            <w:r>
              <w:t>，</w:t>
            </w:r>
            <w:r>
              <w:t>C</w:t>
            </w:r>
          </w:p>
        </w:tc>
      </w:tr>
      <w:tr w:rsidR="002E474C" w14:paraId="7D0293F3" w14:textId="77777777">
        <w:trPr>
          <w:trHeight w:val="300"/>
        </w:trPr>
        <w:tc>
          <w:tcPr>
            <w:tcW w:w="828" w:type="dxa"/>
            <w:vMerge w:val="restart"/>
            <w:noWrap/>
            <w:vAlign w:val="center"/>
          </w:tcPr>
          <w:p w14:paraId="4247ABF4" w14:textId="77777777" w:rsidR="002E474C" w:rsidRDefault="00000000">
            <w:pPr>
              <w:pStyle w:val="A-"/>
              <w:spacing w:line="260" w:lineRule="exact"/>
            </w:pPr>
            <w:r>
              <w:t>HW33</w:t>
            </w:r>
            <w:r>
              <w:br/>
            </w:r>
            <w:r>
              <w:t>无机氰化物废物</w:t>
            </w:r>
          </w:p>
        </w:tc>
        <w:tc>
          <w:tcPr>
            <w:tcW w:w="893" w:type="dxa"/>
            <w:noWrap/>
            <w:vAlign w:val="center"/>
          </w:tcPr>
          <w:p w14:paraId="529C9671" w14:textId="77777777" w:rsidR="002E474C" w:rsidRDefault="00000000">
            <w:pPr>
              <w:pStyle w:val="A-"/>
              <w:spacing w:line="260" w:lineRule="exact"/>
            </w:pPr>
            <w:r>
              <w:t>贵金属矿采选</w:t>
            </w:r>
          </w:p>
        </w:tc>
        <w:tc>
          <w:tcPr>
            <w:tcW w:w="1147" w:type="dxa"/>
            <w:noWrap/>
            <w:vAlign w:val="center"/>
          </w:tcPr>
          <w:p w14:paraId="5C444EFB" w14:textId="77777777" w:rsidR="002E474C" w:rsidRDefault="00000000">
            <w:pPr>
              <w:pStyle w:val="A-"/>
              <w:spacing w:line="260" w:lineRule="exact"/>
              <w:ind w:leftChars="-25" w:left="-53" w:rightChars="-25" w:right="-53"/>
            </w:pPr>
            <w:r>
              <w:t>092-003-33</w:t>
            </w:r>
          </w:p>
        </w:tc>
        <w:tc>
          <w:tcPr>
            <w:tcW w:w="4991" w:type="dxa"/>
            <w:noWrap/>
            <w:vAlign w:val="center"/>
          </w:tcPr>
          <w:p w14:paraId="4396DC88" w14:textId="77777777" w:rsidR="002E474C" w:rsidRDefault="00000000">
            <w:pPr>
              <w:pStyle w:val="A-"/>
              <w:spacing w:line="260" w:lineRule="exact"/>
            </w:pPr>
            <w:r>
              <w:t>采用氰化物进行黄金选矿过程中产生的含氰废水处理污泥和金精矿氰化尾渣</w:t>
            </w:r>
          </w:p>
        </w:tc>
        <w:tc>
          <w:tcPr>
            <w:tcW w:w="663" w:type="dxa"/>
            <w:noWrap/>
            <w:vAlign w:val="center"/>
          </w:tcPr>
          <w:p w14:paraId="0D973616" w14:textId="77777777" w:rsidR="002E474C" w:rsidRDefault="00000000">
            <w:pPr>
              <w:pStyle w:val="A-"/>
              <w:spacing w:line="260" w:lineRule="exact"/>
            </w:pPr>
            <w:r>
              <w:t>T</w:t>
            </w:r>
          </w:p>
        </w:tc>
      </w:tr>
      <w:tr w:rsidR="002E474C" w14:paraId="67B36CB7" w14:textId="77777777">
        <w:trPr>
          <w:trHeight w:val="300"/>
        </w:trPr>
        <w:tc>
          <w:tcPr>
            <w:tcW w:w="828" w:type="dxa"/>
            <w:vMerge/>
            <w:vAlign w:val="center"/>
          </w:tcPr>
          <w:p w14:paraId="66F2C6B0" w14:textId="77777777" w:rsidR="002E474C" w:rsidRDefault="002E474C">
            <w:pPr>
              <w:pStyle w:val="A-"/>
              <w:spacing w:line="260" w:lineRule="exact"/>
            </w:pPr>
          </w:p>
        </w:tc>
        <w:tc>
          <w:tcPr>
            <w:tcW w:w="893" w:type="dxa"/>
            <w:noWrap/>
            <w:vAlign w:val="center"/>
          </w:tcPr>
          <w:p w14:paraId="0ABD400F" w14:textId="77777777" w:rsidR="002E474C" w:rsidRDefault="00000000">
            <w:pPr>
              <w:pStyle w:val="A-"/>
              <w:spacing w:line="260" w:lineRule="exact"/>
              <w:ind w:leftChars="-25" w:left="-53" w:rightChars="-25" w:right="-53"/>
            </w:pPr>
            <w:r>
              <w:rPr>
                <w:spacing w:val="-11"/>
              </w:rPr>
              <w:t>金属表面处理及热处理加工</w:t>
            </w:r>
          </w:p>
        </w:tc>
        <w:tc>
          <w:tcPr>
            <w:tcW w:w="1147" w:type="dxa"/>
            <w:noWrap/>
            <w:vAlign w:val="center"/>
          </w:tcPr>
          <w:p w14:paraId="194F2511" w14:textId="77777777" w:rsidR="002E474C" w:rsidRDefault="00000000">
            <w:pPr>
              <w:pStyle w:val="A-"/>
              <w:spacing w:line="260" w:lineRule="exact"/>
              <w:ind w:leftChars="-25" w:left="-53" w:rightChars="-25" w:right="-53"/>
            </w:pPr>
            <w:r>
              <w:t>336-104-33</w:t>
            </w:r>
          </w:p>
        </w:tc>
        <w:tc>
          <w:tcPr>
            <w:tcW w:w="4991" w:type="dxa"/>
            <w:noWrap/>
            <w:vAlign w:val="center"/>
          </w:tcPr>
          <w:p w14:paraId="0C4DB7B3" w14:textId="77777777" w:rsidR="002E474C" w:rsidRDefault="00000000">
            <w:pPr>
              <w:pStyle w:val="A-"/>
              <w:spacing w:line="260" w:lineRule="exact"/>
            </w:pPr>
            <w:r>
              <w:t>使用氰化物进行浸洗过程中产生的废液</w:t>
            </w:r>
          </w:p>
        </w:tc>
        <w:tc>
          <w:tcPr>
            <w:tcW w:w="663" w:type="dxa"/>
            <w:noWrap/>
            <w:vAlign w:val="center"/>
          </w:tcPr>
          <w:p w14:paraId="1C8CFC30" w14:textId="77777777" w:rsidR="002E474C" w:rsidRDefault="00000000">
            <w:pPr>
              <w:pStyle w:val="A-"/>
              <w:spacing w:line="260" w:lineRule="exact"/>
            </w:pPr>
            <w:r>
              <w:t>T</w:t>
            </w:r>
            <w:r>
              <w:t>，</w:t>
            </w:r>
            <w:r>
              <w:t>R</w:t>
            </w:r>
          </w:p>
        </w:tc>
      </w:tr>
      <w:tr w:rsidR="002E474C" w14:paraId="4D1F2672" w14:textId="77777777">
        <w:trPr>
          <w:trHeight w:val="300"/>
        </w:trPr>
        <w:tc>
          <w:tcPr>
            <w:tcW w:w="828" w:type="dxa"/>
            <w:vMerge/>
            <w:vAlign w:val="center"/>
          </w:tcPr>
          <w:p w14:paraId="695E99EB" w14:textId="77777777" w:rsidR="002E474C" w:rsidRDefault="002E474C">
            <w:pPr>
              <w:pStyle w:val="A-"/>
              <w:spacing w:line="260" w:lineRule="exact"/>
            </w:pPr>
          </w:p>
        </w:tc>
        <w:tc>
          <w:tcPr>
            <w:tcW w:w="893" w:type="dxa"/>
            <w:vMerge w:val="restart"/>
            <w:noWrap/>
            <w:vAlign w:val="center"/>
          </w:tcPr>
          <w:p w14:paraId="6D43CCB9" w14:textId="77777777" w:rsidR="002E474C" w:rsidRDefault="00000000">
            <w:pPr>
              <w:pStyle w:val="A-"/>
              <w:spacing w:line="260" w:lineRule="exact"/>
            </w:pPr>
            <w:r>
              <w:t>非特定行业</w:t>
            </w:r>
          </w:p>
        </w:tc>
        <w:tc>
          <w:tcPr>
            <w:tcW w:w="1147" w:type="dxa"/>
            <w:noWrap/>
            <w:vAlign w:val="center"/>
          </w:tcPr>
          <w:p w14:paraId="5D11B4D0" w14:textId="77777777" w:rsidR="002E474C" w:rsidRDefault="00000000">
            <w:pPr>
              <w:pStyle w:val="A-"/>
              <w:spacing w:line="260" w:lineRule="exact"/>
              <w:ind w:leftChars="-25" w:left="-53" w:rightChars="-25" w:right="-53"/>
            </w:pPr>
            <w:r>
              <w:t>900-027-33</w:t>
            </w:r>
          </w:p>
        </w:tc>
        <w:tc>
          <w:tcPr>
            <w:tcW w:w="4991" w:type="dxa"/>
            <w:noWrap/>
            <w:vAlign w:val="center"/>
          </w:tcPr>
          <w:p w14:paraId="0B528714" w14:textId="77777777" w:rsidR="002E474C" w:rsidRDefault="00000000">
            <w:pPr>
              <w:pStyle w:val="A-"/>
              <w:spacing w:line="260" w:lineRule="exact"/>
              <w:ind w:leftChars="-34" w:left="-71" w:rightChars="-34" w:right="-71"/>
            </w:pPr>
            <w:r>
              <w:rPr>
                <w:spacing w:val="-11"/>
              </w:rPr>
              <w:t>使用氰化物进行表面硬化、碱性除油、</w:t>
            </w:r>
            <w:r>
              <w:rPr>
                <w:spacing w:val="-11"/>
              </w:rPr>
              <w:t xml:space="preserve"> </w:t>
            </w:r>
            <w:r>
              <w:rPr>
                <w:spacing w:val="-11"/>
              </w:rPr>
              <w:t>电解除油产生的废物</w:t>
            </w:r>
          </w:p>
        </w:tc>
        <w:tc>
          <w:tcPr>
            <w:tcW w:w="663" w:type="dxa"/>
            <w:noWrap/>
            <w:vAlign w:val="center"/>
          </w:tcPr>
          <w:p w14:paraId="7814B2E0" w14:textId="77777777" w:rsidR="002E474C" w:rsidRDefault="00000000">
            <w:pPr>
              <w:pStyle w:val="A-"/>
              <w:spacing w:line="260" w:lineRule="exact"/>
            </w:pPr>
            <w:r>
              <w:t>T</w:t>
            </w:r>
            <w:r>
              <w:t>，</w:t>
            </w:r>
            <w:r>
              <w:t>R</w:t>
            </w:r>
          </w:p>
        </w:tc>
      </w:tr>
      <w:tr w:rsidR="002E474C" w14:paraId="2BB6B120" w14:textId="77777777">
        <w:trPr>
          <w:trHeight w:val="300"/>
        </w:trPr>
        <w:tc>
          <w:tcPr>
            <w:tcW w:w="828" w:type="dxa"/>
            <w:vMerge/>
            <w:vAlign w:val="center"/>
          </w:tcPr>
          <w:p w14:paraId="3F12D2FC" w14:textId="77777777" w:rsidR="002E474C" w:rsidRDefault="002E474C">
            <w:pPr>
              <w:pStyle w:val="A-"/>
              <w:spacing w:line="260" w:lineRule="exact"/>
            </w:pPr>
          </w:p>
        </w:tc>
        <w:tc>
          <w:tcPr>
            <w:tcW w:w="893" w:type="dxa"/>
            <w:vMerge/>
            <w:vAlign w:val="center"/>
          </w:tcPr>
          <w:p w14:paraId="5034D2C8" w14:textId="77777777" w:rsidR="002E474C" w:rsidRDefault="002E474C">
            <w:pPr>
              <w:pStyle w:val="A-"/>
              <w:spacing w:line="260" w:lineRule="exact"/>
            </w:pPr>
          </w:p>
        </w:tc>
        <w:tc>
          <w:tcPr>
            <w:tcW w:w="1147" w:type="dxa"/>
            <w:noWrap/>
            <w:vAlign w:val="center"/>
          </w:tcPr>
          <w:p w14:paraId="15871634" w14:textId="77777777" w:rsidR="002E474C" w:rsidRDefault="00000000">
            <w:pPr>
              <w:pStyle w:val="A-"/>
              <w:spacing w:line="260" w:lineRule="exact"/>
              <w:ind w:leftChars="-25" w:left="-53" w:rightChars="-25" w:right="-53"/>
            </w:pPr>
            <w:r>
              <w:t>900-028-33</w:t>
            </w:r>
          </w:p>
        </w:tc>
        <w:tc>
          <w:tcPr>
            <w:tcW w:w="4991" w:type="dxa"/>
            <w:noWrap/>
            <w:vAlign w:val="center"/>
          </w:tcPr>
          <w:p w14:paraId="7A6B90AB" w14:textId="77777777" w:rsidR="002E474C" w:rsidRDefault="00000000">
            <w:pPr>
              <w:pStyle w:val="A-"/>
              <w:spacing w:line="260" w:lineRule="exact"/>
            </w:pPr>
            <w:r>
              <w:t>使用氰化物剥落金属镀层产生的废物</w:t>
            </w:r>
          </w:p>
        </w:tc>
        <w:tc>
          <w:tcPr>
            <w:tcW w:w="663" w:type="dxa"/>
            <w:noWrap/>
            <w:vAlign w:val="center"/>
          </w:tcPr>
          <w:p w14:paraId="0B99F0C7" w14:textId="77777777" w:rsidR="002E474C" w:rsidRDefault="00000000">
            <w:pPr>
              <w:pStyle w:val="A-"/>
              <w:spacing w:line="260" w:lineRule="exact"/>
            </w:pPr>
            <w:r>
              <w:t>T</w:t>
            </w:r>
            <w:r>
              <w:t>，</w:t>
            </w:r>
            <w:r>
              <w:t>R</w:t>
            </w:r>
          </w:p>
        </w:tc>
      </w:tr>
      <w:tr w:rsidR="002E474C" w14:paraId="00AD4EE9" w14:textId="77777777">
        <w:trPr>
          <w:trHeight w:val="300"/>
        </w:trPr>
        <w:tc>
          <w:tcPr>
            <w:tcW w:w="828" w:type="dxa"/>
            <w:vMerge/>
            <w:vAlign w:val="center"/>
          </w:tcPr>
          <w:p w14:paraId="1AB5E042" w14:textId="77777777" w:rsidR="002E474C" w:rsidRDefault="002E474C">
            <w:pPr>
              <w:pStyle w:val="A-"/>
              <w:spacing w:line="260" w:lineRule="exact"/>
            </w:pPr>
          </w:p>
        </w:tc>
        <w:tc>
          <w:tcPr>
            <w:tcW w:w="893" w:type="dxa"/>
            <w:vMerge/>
            <w:vAlign w:val="center"/>
          </w:tcPr>
          <w:p w14:paraId="4E691054" w14:textId="77777777" w:rsidR="002E474C" w:rsidRDefault="002E474C">
            <w:pPr>
              <w:pStyle w:val="A-"/>
              <w:spacing w:line="260" w:lineRule="exact"/>
            </w:pPr>
          </w:p>
        </w:tc>
        <w:tc>
          <w:tcPr>
            <w:tcW w:w="1147" w:type="dxa"/>
            <w:noWrap/>
            <w:vAlign w:val="center"/>
          </w:tcPr>
          <w:p w14:paraId="2FA443E1" w14:textId="77777777" w:rsidR="002E474C" w:rsidRDefault="00000000">
            <w:pPr>
              <w:pStyle w:val="A-"/>
              <w:spacing w:line="260" w:lineRule="exact"/>
              <w:ind w:leftChars="-25" w:left="-53" w:rightChars="-25" w:right="-53"/>
            </w:pPr>
            <w:r>
              <w:t>900-029-33</w:t>
            </w:r>
          </w:p>
        </w:tc>
        <w:tc>
          <w:tcPr>
            <w:tcW w:w="4991" w:type="dxa"/>
            <w:noWrap/>
            <w:vAlign w:val="center"/>
          </w:tcPr>
          <w:p w14:paraId="4BCCCEA7" w14:textId="77777777" w:rsidR="002E474C" w:rsidRDefault="00000000">
            <w:pPr>
              <w:pStyle w:val="A-"/>
              <w:spacing w:line="260" w:lineRule="exact"/>
            </w:pPr>
            <w:r>
              <w:t>使用氰化物和双氧水进行化学抛光产生的废物</w:t>
            </w:r>
          </w:p>
        </w:tc>
        <w:tc>
          <w:tcPr>
            <w:tcW w:w="663" w:type="dxa"/>
            <w:noWrap/>
            <w:vAlign w:val="center"/>
          </w:tcPr>
          <w:p w14:paraId="0B20B430" w14:textId="77777777" w:rsidR="002E474C" w:rsidRDefault="00000000">
            <w:pPr>
              <w:pStyle w:val="A-"/>
              <w:spacing w:line="260" w:lineRule="exact"/>
            </w:pPr>
            <w:r>
              <w:t>T</w:t>
            </w:r>
            <w:r>
              <w:t>，</w:t>
            </w:r>
            <w:r>
              <w:t>R</w:t>
            </w:r>
          </w:p>
        </w:tc>
      </w:tr>
      <w:tr w:rsidR="002E474C" w14:paraId="5B2A35B5" w14:textId="77777777">
        <w:trPr>
          <w:trHeight w:val="300"/>
        </w:trPr>
        <w:tc>
          <w:tcPr>
            <w:tcW w:w="828" w:type="dxa"/>
            <w:vMerge w:val="restart"/>
            <w:noWrap/>
            <w:vAlign w:val="center"/>
          </w:tcPr>
          <w:p w14:paraId="13B90056" w14:textId="77777777" w:rsidR="002E474C" w:rsidRDefault="00000000">
            <w:pPr>
              <w:pStyle w:val="A-"/>
              <w:spacing w:line="260" w:lineRule="exact"/>
            </w:pPr>
            <w:r>
              <w:t>HW34</w:t>
            </w:r>
            <w:r>
              <w:br/>
            </w:r>
            <w:r>
              <w:t>废酸</w:t>
            </w:r>
          </w:p>
        </w:tc>
        <w:tc>
          <w:tcPr>
            <w:tcW w:w="893" w:type="dxa"/>
            <w:noWrap/>
            <w:vAlign w:val="center"/>
          </w:tcPr>
          <w:p w14:paraId="3B4EA5DB" w14:textId="77777777" w:rsidR="002E474C" w:rsidRDefault="00000000">
            <w:pPr>
              <w:pStyle w:val="A-"/>
              <w:spacing w:line="260" w:lineRule="exact"/>
              <w:ind w:leftChars="-25" w:left="-53" w:rightChars="-25" w:right="-53"/>
            </w:pPr>
            <w:r>
              <w:rPr>
                <w:spacing w:val="-11"/>
              </w:rPr>
              <w:t>精炼石油产品制造</w:t>
            </w:r>
          </w:p>
        </w:tc>
        <w:tc>
          <w:tcPr>
            <w:tcW w:w="1147" w:type="dxa"/>
            <w:noWrap/>
            <w:vAlign w:val="center"/>
          </w:tcPr>
          <w:p w14:paraId="533D93E4" w14:textId="77777777" w:rsidR="002E474C" w:rsidRDefault="00000000">
            <w:pPr>
              <w:pStyle w:val="A-"/>
              <w:spacing w:line="260" w:lineRule="exact"/>
              <w:ind w:leftChars="-25" w:left="-53" w:rightChars="-25" w:right="-53"/>
            </w:pPr>
            <w:r>
              <w:t>251-014-34</w:t>
            </w:r>
          </w:p>
        </w:tc>
        <w:tc>
          <w:tcPr>
            <w:tcW w:w="4991" w:type="dxa"/>
            <w:noWrap/>
            <w:vAlign w:val="center"/>
          </w:tcPr>
          <w:p w14:paraId="7C5F855D" w14:textId="77777777" w:rsidR="002E474C" w:rsidRDefault="00000000">
            <w:pPr>
              <w:pStyle w:val="A-"/>
              <w:spacing w:line="260" w:lineRule="exact"/>
            </w:pPr>
            <w:r>
              <w:t>石油炼制过程产生的废酸及酸泥</w:t>
            </w:r>
          </w:p>
        </w:tc>
        <w:tc>
          <w:tcPr>
            <w:tcW w:w="663" w:type="dxa"/>
            <w:noWrap/>
            <w:vAlign w:val="center"/>
          </w:tcPr>
          <w:p w14:paraId="778C446E" w14:textId="77777777" w:rsidR="002E474C" w:rsidRDefault="00000000">
            <w:pPr>
              <w:pStyle w:val="A-"/>
              <w:spacing w:line="260" w:lineRule="exact"/>
            </w:pPr>
            <w:r>
              <w:t>C</w:t>
            </w:r>
            <w:r>
              <w:t>，</w:t>
            </w:r>
            <w:r>
              <w:t>T</w:t>
            </w:r>
          </w:p>
        </w:tc>
      </w:tr>
      <w:tr w:rsidR="002E474C" w14:paraId="344BAAC2" w14:textId="77777777">
        <w:trPr>
          <w:trHeight w:val="300"/>
        </w:trPr>
        <w:tc>
          <w:tcPr>
            <w:tcW w:w="828" w:type="dxa"/>
            <w:vMerge/>
            <w:vAlign w:val="center"/>
          </w:tcPr>
          <w:p w14:paraId="7D5B436E" w14:textId="77777777" w:rsidR="002E474C" w:rsidRDefault="002E474C">
            <w:pPr>
              <w:pStyle w:val="A-"/>
              <w:spacing w:line="260" w:lineRule="exact"/>
            </w:pPr>
          </w:p>
        </w:tc>
        <w:tc>
          <w:tcPr>
            <w:tcW w:w="893" w:type="dxa"/>
            <w:noWrap/>
            <w:vAlign w:val="center"/>
          </w:tcPr>
          <w:p w14:paraId="3136DBA2" w14:textId="77777777" w:rsidR="002E474C" w:rsidRDefault="00000000">
            <w:pPr>
              <w:pStyle w:val="A-"/>
              <w:spacing w:line="260" w:lineRule="exact"/>
              <w:ind w:leftChars="-25" w:left="-53" w:rightChars="-25" w:right="-53"/>
            </w:pPr>
            <w:r>
              <w:rPr>
                <w:spacing w:val="-11"/>
              </w:rPr>
              <w:t>涂料、油墨、颜料及类似产品制造</w:t>
            </w:r>
          </w:p>
        </w:tc>
        <w:tc>
          <w:tcPr>
            <w:tcW w:w="1147" w:type="dxa"/>
            <w:noWrap/>
            <w:vAlign w:val="center"/>
          </w:tcPr>
          <w:p w14:paraId="20949551" w14:textId="77777777" w:rsidR="002E474C" w:rsidRDefault="00000000">
            <w:pPr>
              <w:pStyle w:val="A-"/>
              <w:spacing w:line="260" w:lineRule="exact"/>
              <w:ind w:leftChars="-25" w:left="-53" w:rightChars="-25" w:right="-53"/>
            </w:pPr>
            <w:r>
              <w:t>264-013-34</w:t>
            </w:r>
          </w:p>
        </w:tc>
        <w:tc>
          <w:tcPr>
            <w:tcW w:w="4991" w:type="dxa"/>
            <w:noWrap/>
            <w:vAlign w:val="center"/>
          </w:tcPr>
          <w:p w14:paraId="7F31187E" w14:textId="77777777" w:rsidR="002E474C" w:rsidRDefault="00000000">
            <w:pPr>
              <w:pStyle w:val="A-"/>
              <w:spacing w:line="260" w:lineRule="exact"/>
            </w:pPr>
            <w:r>
              <w:t>硫酸法生产钛白粉（二氧化钛）过程中产生的废酸</w:t>
            </w:r>
          </w:p>
        </w:tc>
        <w:tc>
          <w:tcPr>
            <w:tcW w:w="663" w:type="dxa"/>
            <w:noWrap/>
            <w:vAlign w:val="center"/>
          </w:tcPr>
          <w:p w14:paraId="19859256" w14:textId="77777777" w:rsidR="002E474C" w:rsidRDefault="00000000">
            <w:pPr>
              <w:pStyle w:val="A-"/>
              <w:spacing w:line="260" w:lineRule="exact"/>
            </w:pPr>
            <w:r>
              <w:t>C</w:t>
            </w:r>
            <w:r>
              <w:t>，</w:t>
            </w:r>
            <w:r>
              <w:t>T</w:t>
            </w:r>
          </w:p>
        </w:tc>
      </w:tr>
      <w:tr w:rsidR="002E474C" w14:paraId="22CCA2D8" w14:textId="77777777">
        <w:trPr>
          <w:trHeight w:val="300"/>
        </w:trPr>
        <w:tc>
          <w:tcPr>
            <w:tcW w:w="828" w:type="dxa"/>
            <w:vMerge/>
            <w:vAlign w:val="center"/>
          </w:tcPr>
          <w:p w14:paraId="55E2B32F" w14:textId="77777777" w:rsidR="002E474C" w:rsidRDefault="002E474C">
            <w:pPr>
              <w:pStyle w:val="A-"/>
              <w:spacing w:line="260" w:lineRule="exact"/>
            </w:pPr>
          </w:p>
        </w:tc>
        <w:tc>
          <w:tcPr>
            <w:tcW w:w="893" w:type="dxa"/>
            <w:vMerge w:val="restart"/>
            <w:noWrap/>
            <w:vAlign w:val="center"/>
          </w:tcPr>
          <w:p w14:paraId="750102B0" w14:textId="77777777" w:rsidR="002E474C" w:rsidRDefault="00000000">
            <w:pPr>
              <w:pStyle w:val="A-"/>
              <w:spacing w:line="260" w:lineRule="exact"/>
            </w:pPr>
            <w:r>
              <w:t>基础化学原料制造</w:t>
            </w:r>
          </w:p>
        </w:tc>
        <w:tc>
          <w:tcPr>
            <w:tcW w:w="1147" w:type="dxa"/>
            <w:noWrap/>
            <w:vAlign w:val="center"/>
          </w:tcPr>
          <w:p w14:paraId="42D11A5D" w14:textId="77777777" w:rsidR="002E474C" w:rsidRDefault="00000000">
            <w:pPr>
              <w:pStyle w:val="A-"/>
              <w:spacing w:line="260" w:lineRule="exact"/>
              <w:ind w:leftChars="-25" w:left="-53" w:rightChars="-25" w:right="-53"/>
            </w:pPr>
            <w:r>
              <w:t>261-057-34</w:t>
            </w:r>
          </w:p>
        </w:tc>
        <w:tc>
          <w:tcPr>
            <w:tcW w:w="4991" w:type="dxa"/>
            <w:noWrap/>
            <w:vAlign w:val="center"/>
          </w:tcPr>
          <w:p w14:paraId="6AED4882" w14:textId="77777777" w:rsidR="002E474C" w:rsidRDefault="00000000">
            <w:pPr>
              <w:pStyle w:val="A-"/>
              <w:spacing w:line="260" w:lineRule="exact"/>
            </w:pPr>
            <w:r>
              <w:t>硫酸和亚硫酸、盐酸、氢氟酸、磷酸和亚磷酸、硝酸和亚硝酸等的生产、配制过程中产生的废酸及酸渣</w:t>
            </w:r>
          </w:p>
        </w:tc>
        <w:tc>
          <w:tcPr>
            <w:tcW w:w="663" w:type="dxa"/>
            <w:noWrap/>
            <w:vAlign w:val="center"/>
          </w:tcPr>
          <w:p w14:paraId="2C03A48E" w14:textId="77777777" w:rsidR="002E474C" w:rsidRDefault="00000000">
            <w:pPr>
              <w:pStyle w:val="A-"/>
              <w:spacing w:line="260" w:lineRule="exact"/>
            </w:pPr>
            <w:r>
              <w:t>C</w:t>
            </w:r>
            <w:r>
              <w:t>，</w:t>
            </w:r>
            <w:r>
              <w:t>T</w:t>
            </w:r>
          </w:p>
        </w:tc>
      </w:tr>
      <w:tr w:rsidR="002E474C" w14:paraId="46C02996" w14:textId="77777777">
        <w:trPr>
          <w:trHeight w:val="300"/>
        </w:trPr>
        <w:tc>
          <w:tcPr>
            <w:tcW w:w="828" w:type="dxa"/>
            <w:vMerge/>
            <w:vAlign w:val="center"/>
          </w:tcPr>
          <w:p w14:paraId="1F900858" w14:textId="77777777" w:rsidR="002E474C" w:rsidRDefault="002E474C">
            <w:pPr>
              <w:pStyle w:val="A-"/>
              <w:spacing w:line="260" w:lineRule="exact"/>
            </w:pPr>
          </w:p>
        </w:tc>
        <w:tc>
          <w:tcPr>
            <w:tcW w:w="893" w:type="dxa"/>
            <w:vMerge/>
            <w:vAlign w:val="center"/>
          </w:tcPr>
          <w:p w14:paraId="739CE392" w14:textId="77777777" w:rsidR="002E474C" w:rsidRDefault="002E474C">
            <w:pPr>
              <w:pStyle w:val="A-"/>
              <w:spacing w:line="260" w:lineRule="exact"/>
            </w:pPr>
          </w:p>
        </w:tc>
        <w:tc>
          <w:tcPr>
            <w:tcW w:w="1147" w:type="dxa"/>
            <w:noWrap/>
            <w:vAlign w:val="center"/>
          </w:tcPr>
          <w:p w14:paraId="64D33C71" w14:textId="77777777" w:rsidR="002E474C" w:rsidRDefault="00000000">
            <w:pPr>
              <w:pStyle w:val="A-"/>
              <w:spacing w:line="260" w:lineRule="exact"/>
              <w:ind w:leftChars="-25" w:left="-53" w:rightChars="-25" w:right="-53"/>
            </w:pPr>
            <w:r>
              <w:t>261-058-34</w:t>
            </w:r>
          </w:p>
        </w:tc>
        <w:tc>
          <w:tcPr>
            <w:tcW w:w="4991" w:type="dxa"/>
            <w:noWrap/>
            <w:vAlign w:val="center"/>
          </w:tcPr>
          <w:p w14:paraId="16C2A42E" w14:textId="77777777" w:rsidR="002E474C" w:rsidRDefault="00000000">
            <w:pPr>
              <w:pStyle w:val="A-"/>
              <w:spacing w:line="260" w:lineRule="exact"/>
            </w:pPr>
            <w:r>
              <w:t>卤素和卤素化学品生产过程中产生的废酸</w:t>
            </w:r>
          </w:p>
        </w:tc>
        <w:tc>
          <w:tcPr>
            <w:tcW w:w="663" w:type="dxa"/>
            <w:noWrap/>
            <w:vAlign w:val="center"/>
          </w:tcPr>
          <w:p w14:paraId="4421261E" w14:textId="77777777" w:rsidR="002E474C" w:rsidRDefault="00000000">
            <w:pPr>
              <w:pStyle w:val="A-"/>
              <w:spacing w:line="260" w:lineRule="exact"/>
            </w:pPr>
            <w:r>
              <w:t>C</w:t>
            </w:r>
            <w:r>
              <w:t>，</w:t>
            </w:r>
            <w:r>
              <w:t>T</w:t>
            </w:r>
          </w:p>
        </w:tc>
      </w:tr>
      <w:tr w:rsidR="002E474C" w14:paraId="3555E693" w14:textId="77777777">
        <w:trPr>
          <w:trHeight w:val="300"/>
        </w:trPr>
        <w:tc>
          <w:tcPr>
            <w:tcW w:w="828" w:type="dxa"/>
            <w:vMerge/>
            <w:vAlign w:val="center"/>
          </w:tcPr>
          <w:p w14:paraId="55082D6B" w14:textId="77777777" w:rsidR="002E474C" w:rsidRDefault="002E474C">
            <w:pPr>
              <w:pStyle w:val="A-"/>
              <w:spacing w:line="260" w:lineRule="exact"/>
            </w:pPr>
          </w:p>
        </w:tc>
        <w:tc>
          <w:tcPr>
            <w:tcW w:w="893" w:type="dxa"/>
            <w:noWrap/>
            <w:vAlign w:val="center"/>
          </w:tcPr>
          <w:p w14:paraId="35C3381D" w14:textId="77777777" w:rsidR="002E474C" w:rsidRDefault="00000000">
            <w:pPr>
              <w:pStyle w:val="A-"/>
              <w:spacing w:line="260" w:lineRule="exact"/>
            </w:pPr>
            <w:r>
              <w:t>钢压延加工</w:t>
            </w:r>
          </w:p>
        </w:tc>
        <w:tc>
          <w:tcPr>
            <w:tcW w:w="1147" w:type="dxa"/>
            <w:noWrap/>
            <w:vAlign w:val="center"/>
          </w:tcPr>
          <w:p w14:paraId="1D4C8D00" w14:textId="77777777" w:rsidR="002E474C" w:rsidRDefault="00000000">
            <w:pPr>
              <w:pStyle w:val="A-"/>
              <w:spacing w:line="260" w:lineRule="exact"/>
              <w:ind w:leftChars="-25" w:left="-53" w:rightChars="-25" w:right="-53"/>
            </w:pPr>
            <w:r>
              <w:t>313-001-34</w:t>
            </w:r>
          </w:p>
        </w:tc>
        <w:tc>
          <w:tcPr>
            <w:tcW w:w="4991" w:type="dxa"/>
            <w:noWrap/>
            <w:vAlign w:val="center"/>
          </w:tcPr>
          <w:p w14:paraId="1CC9F206" w14:textId="77777777" w:rsidR="002E474C" w:rsidRDefault="00000000">
            <w:pPr>
              <w:pStyle w:val="A-"/>
              <w:spacing w:line="260" w:lineRule="exact"/>
            </w:pPr>
            <w:r>
              <w:t>钢的精加工过程中产生的废酸性洗液</w:t>
            </w:r>
          </w:p>
        </w:tc>
        <w:tc>
          <w:tcPr>
            <w:tcW w:w="663" w:type="dxa"/>
            <w:noWrap/>
            <w:vAlign w:val="center"/>
          </w:tcPr>
          <w:p w14:paraId="0A568C6D" w14:textId="77777777" w:rsidR="002E474C" w:rsidRDefault="00000000">
            <w:pPr>
              <w:pStyle w:val="A-"/>
              <w:spacing w:line="260" w:lineRule="exact"/>
            </w:pPr>
            <w:r>
              <w:t>C</w:t>
            </w:r>
            <w:r>
              <w:t>，</w:t>
            </w:r>
            <w:r>
              <w:t>T</w:t>
            </w:r>
          </w:p>
        </w:tc>
      </w:tr>
      <w:tr w:rsidR="002E474C" w14:paraId="6FD6BA0F" w14:textId="77777777">
        <w:trPr>
          <w:trHeight w:val="300"/>
        </w:trPr>
        <w:tc>
          <w:tcPr>
            <w:tcW w:w="828" w:type="dxa"/>
            <w:vMerge/>
            <w:vAlign w:val="center"/>
          </w:tcPr>
          <w:p w14:paraId="3B7B58FD" w14:textId="77777777" w:rsidR="002E474C" w:rsidRDefault="002E474C">
            <w:pPr>
              <w:pStyle w:val="A-"/>
              <w:spacing w:line="260" w:lineRule="exact"/>
            </w:pPr>
          </w:p>
        </w:tc>
        <w:tc>
          <w:tcPr>
            <w:tcW w:w="893" w:type="dxa"/>
            <w:noWrap/>
            <w:vAlign w:val="center"/>
          </w:tcPr>
          <w:p w14:paraId="0611B59C" w14:textId="77777777" w:rsidR="002E474C" w:rsidRDefault="00000000">
            <w:pPr>
              <w:pStyle w:val="A-"/>
              <w:spacing w:line="260" w:lineRule="exact"/>
              <w:ind w:leftChars="-25" w:left="-53" w:rightChars="-25" w:right="-53"/>
              <w:rPr>
                <w:spacing w:val="-11"/>
              </w:rPr>
            </w:pPr>
            <w:r>
              <w:rPr>
                <w:spacing w:val="-11"/>
              </w:rPr>
              <w:t>金属表面处理及热处理加工</w:t>
            </w:r>
          </w:p>
        </w:tc>
        <w:tc>
          <w:tcPr>
            <w:tcW w:w="1147" w:type="dxa"/>
            <w:noWrap/>
            <w:vAlign w:val="center"/>
          </w:tcPr>
          <w:p w14:paraId="7070D106" w14:textId="77777777" w:rsidR="002E474C" w:rsidRDefault="00000000">
            <w:pPr>
              <w:pStyle w:val="A-"/>
              <w:spacing w:line="260" w:lineRule="exact"/>
              <w:ind w:leftChars="-25" w:left="-53" w:rightChars="-25" w:right="-53"/>
            </w:pPr>
            <w:r>
              <w:t>336-105-34</w:t>
            </w:r>
          </w:p>
        </w:tc>
        <w:tc>
          <w:tcPr>
            <w:tcW w:w="4991" w:type="dxa"/>
            <w:noWrap/>
            <w:vAlign w:val="center"/>
          </w:tcPr>
          <w:p w14:paraId="330FCB97" w14:textId="77777777" w:rsidR="002E474C" w:rsidRDefault="00000000">
            <w:pPr>
              <w:pStyle w:val="A-"/>
              <w:spacing w:line="260" w:lineRule="exact"/>
            </w:pPr>
            <w:r>
              <w:t>青铜生产过程中浸酸工序产生的废酸液</w:t>
            </w:r>
          </w:p>
        </w:tc>
        <w:tc>
          <w:tcPr>
            <w:tcW w:w="663" w:type="dxa"/>
            <w:noWrap/>
            <w:vAlign w:val="center"/>
          </w:tcPr>
          <w:p w14:paraId="000235CD" w14:textId="77777777" w:rsidR="002E474C" w:rsidRDefault="00000000">
            <w:pPr>
              <w:pStyle w:val="A-"/>
              <w:spacing w:line="260" w:lineRule="exact"/>
            </w:pPr>
            <w:r>
              <w:t>C</w:t>
            </w:r>
            <w:r>
              <w:t>，</w:t>
            </w:r>
            <w:r>
              <w:t>T</w:t>
            </w:r>
          </w:p>
        </w:tc>
      </w:tr>
      <w:tr w:rsidR="002E474C" w14:paraId="6FFC3A23" w14:textId="77777777">
        <w:trPr>
          <w:trHeight w:val="300"/>
        </w:trPr>
        <w:tc>
          <w:tcPr>
            <w:tcW w:w="828" w:type="dxa"/>
            <w:vMerge/>
            <w:vAlign w:val="center"/>
          </w:tcPr>
          <w:p w14:paraId="1BACC152" w14:textId="77777777" w:rsidR="002E474C" w:rsidRDefault="002E474C">
            <w:pPr>
              <w:pStyle w:val="A-"/>
              <w:spacing w:line="260" w:lineRule="exact"/>
            </w:pPr>
          </w:p>
        </w:tc>
        <w:tc>
          <w:tcPr>
            <w:tcW w:w="893" w:type="dxa"/>
            <w:vMerge w:val="restart"/>
            <w:noWrap/>
            <w:vAlign w:val="center"/>
          </w:tcPr>
          <w:p w14:paraId="4D812F65" w14:textId="77777777" w:rsidR="002E474C" w:rsidRDefault="00000000">
            <w:pPr>
              <w:pStyle w:val="A-"/>
              <w:spacing w:line="260" w:lineRule="exact"/>
              <w:ind w:leftChars="-25" w:left="-53" w:rightChars="-25" w:right="-53"/>
              <w:rPr>
                <w:spacing w:val="-11"/>
              </w:rPr>
            </w:pPr>
            <w:r>
              <w:rPr>
                <w:spacing w:val="-11"/>
              </w:rPr>
              <w:t>电子元件及电子专用材料制造</w:t>
            </w:r>
          </w:p>
        </w:tc>
        <w:tc>
          <w:tcPr>
            <w:tcW w:w="1147" w:type="dxa"/>
            <w:noWrap/>
            <w:vAlign w:val="center"/>
          </w:tcPr>
          <w:p w14:paraId="70040FE7" w14:textId="77777777" w:rsidR="002E474C" w:rsidRDefault="00000000">
            <w:pPr>
              <w:pStyle w:val="A-"/>
              <w:spacing w:line="260" w:lineRule="exact"/>
              <w:ind w:leftChars="-25" w:left="-53" w:rightChars="-25" w:right="-53"/>
            </w:pPr>
            <w:r>
              <w:t>398-005-34</w:t>
            </w:r>
          </w:p>
        </w:tc>
        <w:tc>
          <w:tcPr>
            <w:tcW w:w="4991" w:type="dxa"/>
            <w:noWrap/>
            <w:vAlign w:val="center"/>
          </w:tcPr>
          <w:p w14:paraId="66E3056E" w14:textId="77777777" w:rsidR="002E474C" w:rsidRDefault="00000000">
            <w:pPr>
              <w:pStyle w:val="A-"/>
              <w:spacing w:line="260" w:lineRule="exact"/>
            </w:pPr>
            <w:r>
              <w:t>使用酸进行电解除油、酸蚀、活化前表面敏化、催化、浸亮产生的废酸液</w:t>
            </w:r>
          </w:p>
        </w:tc>
        <w:tc>
          <w:tcPr>
            <w:tcW w:w="663" w:type="dxa"/>
            <w:noWrap/>
            <w:vAlign w:val="center"/>
          </w:tcPr>
          <w:p w14:paraId="2E54382F" w14:textId="77777777" w:rsidR="002E474C" w:rsidRDefault="00000000">
            <w:pPr>
              <w:pStyle w:val="A-"/>
              <w:spacing w:line="260" w:lineRule="exact"/>
            </w:pPr>
            <w:r>
              <w:t>C</w:t>
            </w:r>
            <w:r>
              <w:t>，</w:t>
            </w:r>
            <w:r>
              <w:t>T</w:t>
            </w:r>
          </w:p>
        </w:tc>
      </w:tr>
      <w:tr w:rsidR="002E474C" w14:paraId="67262CC0" w14:textId="77777777">
        <w:trPr>
          <w:trHeight w:val="300"/>
        </w:trPr>
        <w:tc>
          <w:tcPr>
            <w:tcW w:w="828" w:type="dxa"/>
            <w:vMerge/>
            <w:vAlign w:val="center"/>
          </w:tcPr>
          <w:p w14:paraId="3A4F5377" w14:textId="77777777" w:rsidR="002E474C" w:rsidRDefault="002E474C">
            <w:pPr>
              <w:pStyle w:val="A-"/>
              <w:spacing w:line="260" w:lineRule="exact"/>
            </w:pPr>
          </w:p>
        </w:tc>
        <w:tc>
          <w:tcPr>
            <w:tcW w:w="893" w:type="dxa"/>
            <w:vMerge/>
            <w:vAlign w:val="center"/>
          </w:tcPr>
          <w:p w14:paraId="1041D4B9" w14:textId="77777777" w:rsidR="002E474C" w:rsidRDefault="002E474C">
            <w:pPr>
              <w:pStyle w:val="A-"/>
              <w:spacing w:line="260" w:lineRule="exact"/>
            </w:pPr>
          </w:p>
        </w:tc>
        <w:tc>
          <w:tcPr>
            <w:tcW w:w="1147" w:type="dxa"/>
            <w:noWrap/>
            <w:vAlign w:val="center"/>
          </w:tcPr>
          <w:p w14:paraId="488A848A" w14:textId="77777777" w:rsidR="002E474C" w:rsidRDefault="00000000">
            <w:pPr>
              <w:pStyle w:val="A-"/>
              <w:spacing w:line="260" w:lineRule="exact"/>
              <w:ind w:leftChars="-25" w:left="-53" w:rightChars="-25" w:right="-53"/>
            </w:pPr>
            <w:r>
              <w:t>398-006-34</w:t>
            </w:r>
          </w:p>
        </w:tc>
        <w:tc>
          <w:tcPr>
            <w:tcW w:w="4991" w:type="dxa"/>
            <w:noWrap/>
            <w:vAlign w:val="center"/>
          </w:tcPr>
          <w:p w14:paraId="050B78FB" w14:textId="77777777" w:rsidR="002E474C" w:rsidRDefault="00000000">
            <w:pPr>
              <w:pStyle w:val="A-"/>
              <w:spacing w:line="260" w:lineRule="exact"/>
            </w:pPr>
            <w:r>
              <w:t>使用硝酸进行钻孔蚀胶处理产生的废酸液</w:t>
            </w:r>
          </w:p>
        </w:tc>
        <w:tc>
          <w:tcPr>
            <w:tcW w:w="663" w:type="dxa"/>
            <w:noWrap/>
            <w:vAlign w:val="center"/>
          </w:tcPr>
          <w:p w14:paraId="242CD64E" w14:textId="77777777" w:rsidR="002E474C" w:rsidRDefault="00000000">
            <w:pPr>
              <w:pStyle w:val="A-"/>
              <w:spacing w:line="260" w:lineRule="exact"/>
            </w:pPr>
            <w:r>
              <w:t>C</w:t>
            </w:r>
            <w:r>
              <w:t>，</w:t>
            </w:r>
            <w:r>
              <w:t>T</w:t>
            </w:r>
          </w:p>
        </w:tc>
      </w:tr>
      <w:tr w:rsidR="002E474C" w14:paraId="3CEAEC1C" w14:textId="77777777">
        <w:trPr>
          <w:trHeight w:val="300"/>
        </w:trPr>
        <w:tc>
          <w:tcPr>
            <w:tcW w:w="828" w:type="dxa"/>
            <w:vMerge/>
            <w:vAlign w:val="center"/>
          </w:tcPr>
          <w:p w14:paraId="3E8FA75A" w14:textId="77777777" w:rsidR="002E474C" w:rsidRDefault="002E474C">
            <w:pPr>
              <w:pStyle w:val="A-"/>
              <w:spacing w:line="260" w:lineRule="exact"/>
            </w:pPr>
          </w:p>
        </w:tc>
        <w:tc>
          <w:tcPr>
            <w:tcW w:w="893" w:type="dxa"/>
            <w:vMerge/>
            <w:vAlign w:val="center"/>
          </w:tcPr>
          <w:p w14:paraId="28140D3A" w14:textId="77777777" w:rsidR="002E474C" w:rsidRDefault="002E474C">
            <w:pPr>
              <w:pStyle w:val="A-"/>
              <w:spacing w:line="260" w:lineRule="exact"/>
            </w:pPr>
          </w:p>
        </w:tc>
        <w:tc>
          <w:tcPr>
            <w:tcW w:w="1147" w:type="dxa"/>
            <w:noWrap/>
            <w:vAlign w:val="center"/>
          </w:tcPr>
          <w:p w14:paraId="244C2245" w14:textId="77777777" w:rsidR="002E474C" w:rsidRDefault="00000000">
            <w:pPr>
              <w:pStyle w:val="A-"/>
              <w:spacing w:line="260" w:lineRule="exact"/>
              <w:ind w:leftChars="-25" w:left="-53" w:rightChars="-25" w:right="-53"/>
            </w:pPr>
            <w:r>
              <w:t>398-007-34</w:t>
            </w:r>
          </w:p>
        </w:tc>
        <w:tc>
          <w:tcPr>
            <w:tcW w:w="4991" w:type="dxa"/>
            <w:noWrap/>
            <w:vAlign w:val="center"/>
          </w:tcPr>
          <w:p w14:paraId="17CB6D63" w14:textId="77777777" w:rsidR="002E474C" w:rsidRDefault="00000000">
            <w:pPr>
              <w:pStyle w:val="A-"/>
              <w:spacing w:line="260" w:lineRule="exact"/>
            </w:pPr>
            <w:r>
              <w:t>液晶显示板或者集成电路板的生产过程中使用酸浸蚀剂进行氧化物浸蚀产生的废酸液</w:t>
            </w:r>
          </w:p>
        </w:tc>
        <w:tc>
          <w:tcPr>
            <w:tcW w:w="663" w:type="dxa"/>
            <w:noWrap/>
            <w:vAlign w:val="center"/>
          </w:tcPr>
          <w:p w14:paraId="72302AE8" w14:textId="77777777" w:rsidR="002E474C" w:rsidRDefault="00000000">
            <w:pPr>
              <w:pStyle w:val="A-"/>
              <w:spacing w:line="260" w:lineRule="exact"/>
            </w:pPr>
            <w:r>
              <w:t>C</w:t>
            </w:r>
            <w:r>
              <w:t>，</w:t>
            </w:r>
            <w:r>
              <w:t>T</w:t>
            </w:r>
          </w:p>
        </w:tc>
      </w:tr>
      <w:tr w:rsidR="002E474C" w14:paraId="4E5576F8" w14:textId="77777777">
        <w:trPr>
          <w:trHeight w:val="300"/>
        </w:trPr>
        <w:tc>
          <w:tcPr>
            <w:tcW w:w="828" w:type="dxa"/>
            <w:vMerge/>
            <w:vAlign w:val="center"/>
          </w:tcPr>
          <w:p w14:paraId="1B70C252" w14:textId="77777777" w:rsidR="002E474C" w:rsidRDefault="002E474C">
            <w:pPr>
              <w:pStyle w:val="A-"/>
              <w:spacing w:line="260" w:lineRule="exact"/>
            </w:pPr>
          </w:p>
        </w:tc>
        <w:tc>
          <w:tcPr>
            <w:tcW w:w="893" w:type="dxa"/>
            <w:vMerge w:val="restart"/>
            <w:noWrap/>
            <w:vAlign w:val="center"/>
          </w:tcPr>
          <w:p w14:paraId="4FDB7697" w14:textId="77777777" w:rsidR="002E474C" w:rsidRDefault="00000000">
            <w:pPr>
              <w:pStyle w:val="A-"/>
              <w:spacing w:line="260" w:lineRule="exact"/>
            </w:pPr>
            <w:r>
              <w:t>非特定行业</w:t>
            </w:r>
          </w:p>
        </w:tc>
        <w:tc>
          <w:tcPr>
            <w:tcW w:w="1147" w:type="dxa"/>
            <w:noWrap/>
            <w:vAlign w:val="center"/>
          </w:tcPr>
          <w:p w14:paraId="31615E8A" w14:textId="77777777" w:rsidR="002E474C" w:rsidRDefault="00000000">
            <w:pPr>
              <w:pStyle w:val="A-"/>
              <w:spacing w:line="260" w:lineRule="exact"/>
              <w:ind w:leftChars="-25" w:left="-53" w:rightChars="-25" w:right="-53"/>
            </w:pPr>
            <w:r>
              <w:t>900-300-34</w:t>
            </w:r>
          </w:p>
        </w:tc>
        <w:tc>
          <w:tcPr>
            <w:tcW w:w="4991" w:type="dxa"/>
            <w:noWrap/>
            <w:vAlign w:val="center"/>
          </w:tcPr>
          <w:p w14:paraId="7F74AC3F" w14:textId="77777777" w:rsidR="002E474C" w:rsidRDefault="00000000">
            <w:pPr>
              <w:pStyle w:val="A-"/>
              <w:spacing w:line="260" w:lineRule="exact"/>
            </w:pPr>
            <w:r>
              <w:t>使用酸进行清洗产生的废酸液</w:t>
            </w:r>
          </w:p>
        </w:tc>
        <w:tc>
          <w:tcPr>
            <w:tcW w:w="663" w:type="dxa"/>
            <w:noWrap/>
            <w:vAlign w:val="center"/>
          </w:tcPr>
          <w:p w14:paraId="3A00DE1B" w14:textId="77777777" w:rsidR="002E474C" w:rsidRDefault="00000000">
            <w:pPr>
              <w:pStyle w:val="A-"/>
              <w:spacing w:line="260" w:lineRule="exact"/>
            </w:pPr>
            <w:r>
              <w:t>C</w:t>
            </w:r>
            <w:r>
              <w:t>，</w:t>
            </w:r>
            <w:r>
              <w:t>T</w:t>
            </w:r>
          </w:p>
        </w:tc>
      </w:tr>
      <w:tr w:rsidR="002E474C" w14:paraId="768360D3" w14:textId="77777777">
        <w:trPr>
          <w:trHeight w:val="300"/>
        </w:trPr>
        <w:tc>
          <w:tcPr>
            <w:tcW w:w="828" w:type="dxa"/>
            <w:vMerge/>
            <w:vAlign w:val="center"/>
          </w:tcPr>
          <w:p w14:paraId="3FC1D4AC" w14:textId="77777777" w:rsidR="002E474C" w:rsidRDefault="002E474C">
            <w:pPr>
              <w:pStyle w:val="A-"/>
              <w:spacing w:line="260" w:lineRule="exact"/>
            </w:pPr>
          </w:p>
        </w:tc>
        <w:tc>
          <w:tcPr>
            <w:tcW w:w="893" w:type="dxa"/>
            <w:vMerge/>
            <w:vAlign w:val="center"/>
          </w:tcPr>
          <w:p w14:paraId="0A089664" w14:textId="77777777" w:rsidR="002E474C" w:rsidRDefault="002E474C">
            <w:pPr>
              <w:pStyle w:val="A-"/>
              <w:spacing w:line="260" w:lineRule="exact"/>
            </w:pPr>
          </w:p>
        </w:tc>
        <w:tc>
          <w:tcPr>
            <w:tcW w:w="1147" w:type="dxa"/>
            <w:noWrap/>
            <w:vAlign w:val="center"/>
          </w:tcPr>
          <w:p w14:paraId="067E2DE2" w14:textId="77777777" w:rsidR="002E474C" w:rsidRDefault="00000000">
            <w:pPr>
              <w:pStyle w:val="A-"/>
              <w:spacing w:line="260" w:lineRule="exact"/>
              <w:ind w:leftChars="-25" w:left="-53" w:rightChars="-25" w:right="-53"/>
            </w:pPr>
            <w:r>
              <w:t>900-301-34</w:t>
            </w:r>
          </w:p>
        </w:tc>
        <w:tc>
          <w:tcPr>
            <w:tcW w:w="4991" w:type="dxa"/>
            <w:noWrap/>
            <w:vAlign w:val="center"/>
          </w:tcPr>
          <w:p w14:paraId="31B2E961" w14:textId="77777777" w:rsidR="002E474C" w:rsidRDefault="00000000">
            <w:pPr>
              <w:pStyle w:val="A-"/>
              <w:spacing w:line="260" w:lineRule="exact"/>
            </w:pPr>
            <w:r>
              <w:t>使用硫酸进行酸性碳化产生的废酸液</w:t>
            </w:r>
          </w:p>
        </w:tc>
        <w:tc>
          <w:tcPr>
            <w:tcW w:w="663" w:type="dxa"/>
            <w:noWrap/>
            <w:vAlign w:val="center"/>
          </w:tcPr>
          <w:p w14:paraId="37B00382" w14:textId="77777777" w:rsidR="002E474C" w:rsidRDefault="00000000">
            <w:pPr>
              <w:pStyle w:val="A-"/>
              <w:spacing w:line="260" w:lineRule="exact"/>
            </w:pPr>
            <w:r>
              <w:t>C</w:t>
            </w:r>
            <w:r>
              <w:t>，</w:t>
            </w:r>
            <w:r>
              <w:t>T</w:t>
            </w:r>
          </w:p>
        </w:tc>
      </w:tr>
      <w:tr w:rsidR="002E474C" w14:paraId="1922CEBE" w14:textId="77777777">
        <w:trPr>
          <w:trHeight w:val="300"/>
        </w:trPr>
        <w:tc>
          <w:tcPr>
            <w:tcW w:w="828" w:type="dxa"/>
            <w:vMerge/>
            <w:vAlign w:val="center"/>
          </w:tcPr>
          <w:p w14:paraId="29266D40" w14:textId="77777777" w:rsidR="002E474C" w:rsidRDefault="002E474C">
            <w:pPr>
              <w:pStyle w:val="A-"/>
              <w:spacing w:line="260" w:lineRule="exact"/>
            </w:pPr>
          </w:p>
        </w:tc>
        <w:tc>
          <w:tcPr>
            <w:tcW w:w="893" w:type="dxa"/>
            <w:vMerge/>
            <w:vAlign w:val="center"/>
          </w:tcPr>
          <w:p w14:paraId="4239E79F" w14:textId="77777777" w:rsidR="002E474C" w:rsidRDefault="002E474C">
            <w:pPr>
              <w:pStyle w:val="A-"/>
              <w:spacing w:line="260" w:lineRule="exact"/>
            </w:pPr>
          </w:p>
        </w:tc>
        <w:tc>
          <w:tcPr>
            <w:tcW w:w="1147" w:type="dxa"/>
            <w:noWrap/>
            <w:vAlign w:val="center"/>
          </w:tcPr>
          <w:p w14:paraId="4277A184" w14:textId="77777777" w:rsidR="002E474C" w:rsidRDefault="00000000">
            <w:pPr>
              <w:pStyle w:val="A-"/>
              <w:spacing w:line="260" w:lineRule="exact"/>
              <w:ind w:leftChars="-25" w:left="-53" w:rightChars="-25" w:right="-53"/>
            </w:pPr>
            <w:r>
              <w:t>900-302-34</w:t>
            </w:r>
          </w:p>
        </w:tc>
        <w:tc>
          <w:tcPr>
            <w:tcW w:w="4991" w:type="dxa"/>
            <w:noWrap/>
            <w:vAlign w:val="center"/>
          </w:tcPr>
          <w:p w14:paraId="027C2E3B" w14:textId="77777777" w:rsidR="002E474C" w:rsidRDefault="00000000">
            <w:pPr>
              <w:pStyle w:val="A-"/>
              <w:spacing w:line="260" w:lineRule="exact"/>
            </w:pPr>
            <w:r>
              <w:t>使用硫酸进行酸蚀产生的废酸液</w:t>
            </w:r>
          </w:p>
        </w:tc>
        <w:tc>
          <w:tcPr>
            <w:tcW w:w="663" w:type="dxa"/>
            <w:noWrap/>
            <w:vAlign w:val="center"/>
          </w:tcPr>
          <w:p w14:paraId="710648C6" w14:textId="77777777" w:rsidR="002E474C" w:rsidRDefault="00000000">
            <w:pPr>
              <w:pStyle w:val="A-"/>
              <w:spacing w:line="260" w:lineRule="exact"/>
            </w:pPr>
            <w:r>
              <w:t>C</w:t>
            </w:r>
            <w:r>
              <w:t>，</w:t>
            </w:r>
            <w:r>
              <w:t>T</w:t>
            </w:r>
          </w:p>
        </w:tc>
      </w:tr>
      <w:tr w:rsidR="002E474C" w14:paraId="6F0B90B8" w14:textId="77777777">
        <w:trPr>
          <w:trHeight w:val="300"/>
        </w:trPr>
        <w:tc>
          <w:tcPr>
            <w:tcW w:w="828" w:type="dxa"/>
            <w:vMerge/>
            <w:vAlign w:val="center"/>
          </w:tcPr>
          <w:p w14:paraId="67620E56" w14:textId="77777777" w:rsidR="002E474C" w:rsidRDefault="002E474C">
            <w:pPr>
              <w:pStyle w:val="A-"/>
              <w:spacing w:line="260" w:lineRule="exact"/>
            </w:pPr>
          </w:p>
        </w:tc>
        <w:tc>
          <w:tcPr>
            <w:tcW w:w="893" w:type="dxa"/>
            <w:vMerge/>
            <w:vAlign w:val="center"/>
          </w:tcPr>
          <w:p w14:paraId="37CCE5BD" w14:textId="77777777" w:rsidR="002E474C" w:rsidRDefault="002E474C">
            <w:pPr>
              <w:pStyle w:val="A-"/>
              <w:spacing w:line="260" w:lineRule="exact"/>
            </w:pPr>
          </w:p>
        </w:tc>
        <w:tc>
          <w:tcPr>
            <w:tcW w:w="1147" w:type="dxa"/>
            <w:noWrap/>
            <w:vAlign w:val="center"/>
          </w:tcPr>
          <w:p w14:paraId="4A965E19" w14:textId="77777777" w:rsidR="002E474C" w:rsidRDefault="00000000">
            <w:pPr>
              <w:pStyle w:val="A-"/>
              <w:spacing w:line="260" w:lineRule="exact"/>
              <w:ind w:leftChars="-25" w:left="-53" w:rightChars="-25" w:right="-53"/>
            </w:pPr>
            <w:r>
              <w:t>900-303-34</w:t>
            </w:r>
          </w:p>
        </w:tc>
        <w:tc>
          <w:tcPr>
            <w:tcW w:w="4991" w:type="dxa"/>
            <w:noWrap/>
            <w:vAlign w:val="center"/>
          </w:tcPr>
          <w:p w14:paraId="05A4C824" w14:textId="77777777" w:rsidR="002E474C" w:rsidRDefault="00000000">
            <w:pPr>
              <w:pStyle w:val="A-"/>
              <w:spacing w:line="260" w:lineRule="exact"/>
            </w:pPr>
            <w:r>
              <w:t>使用磷酸进行磷化产生的废酸液</w:t>
            </w:r>
          </w:p>
        </w:tc>
        <w:tc>
          <w:tcPr>
            <w:tcW w:w="663" w:type="dxa"/>
            <w:noWrap/>
            <w:vAlign w:val="center"/>
          </w:tcPr>
          <w:p w14:paraId="1D9EC580" w14:textId="77777777" w:rsidR="002E474C" w:rsidRDefault="00000000">
            <w:pPr>
              <w:pStyle w:val="A-"/>
              <w:spacing w:line="260" w:lineRule="exact"/>
            </w:pPr>
            <w:r>
              <w:t>C</w:t>
            </w:r>
            <w:r>
              <w:t>，</w:t>
            </w:r>
            <w:r>
              <w:t>T</w:t>
            </w:r>
          </w:p>
        </w:tc>
      </w:tr>
      <w:tr w:rsidR="002E474C" w14:paraId="2B0D375A" w14:textId="77777777">
        <w:trPr>
          <w:trHeight w:val="300"/>
        </w:trPr>
        <w:tc>
          <w:tcPr>
            <w:tcW w:w="828" w:type="dxa"/>
            <w:vMerge/>
            <w:vAlign w:val="center"/>
          </w:tcPr>
          <w:p w14:paraId="29BBDF27" w14:textId="77777777" w:rsidR="002E474C" w:rsidRDefault="002E474C">
            <w:pPr>
              <w:pStyle w:val="A-"/>
              <w:spacing w:line="260" w:lineRule="exact"/>
            </w:pPr>
          </w:p>
        </w:tc>
        <w:tc>
          <w:tcPr>
            <w:tcW w:w="893" w:type="dxa"/>
            <w:vMerge/>
            <w:vAlign w:val="center"/>
          </w:tcPr>
          <w:p w14:paraId="276C9BD5" w14:textId="77777777" w:rsidR="002E474C" w:rsidRDefault="002E474C">
            <w:pPr>
              <w:pStyle w:val="A-"/>
              <w:spacing w:line="260" w:lineRule="exact"/>
            </w:pPr>
          </w:p>
        </w:tc>
        <w:tc>
          <w:tcPr>
            <w:tcW w:w="1147" w:type="dxa"/>
            <w:noWrap/>
            <w:vAlign w:val="center"/>
          </w:tcPr>
          <w:p w14:paraId="0CA30ADB" w14:textId="77777777" w:rsidR="002E474C" w:rsidRDefault="00000000">
            <w:pPr>
              <w:pStyle w:val="A-"/>
              <w:spacing w:line="260" w:lineRule="exact"/>
              <w:ind w:leftChars="-25" w:left="-53" w:rightChars="-25" w:right="-53"/>
            </w:pPr>
            <w:r>
              <w:t>900-304-34</w:t>
            </w:r>
          </w:p>
        </w:tc>
        <w:tc>
          <w:tcPr>
            <w:tcW w:w="4991" w:type="dxa"/>
            <w:noWrap/>
            <w:vAlign w:val="center"/>
          </w:tcPr>
          <w:p w14:paraId="65E42A2E" w14:textId="77777777" w:rsidR="002E474C" w:rsidRDefault="00000000">
            <w:pPr>
              <w:pStyle w:val="A-"/>
              <w:spacing w:line="260" w:lineRule="exact"/>
            </w:pPr>
            <w:r>
              <w:t>使用酸进行电解除油、金属表面敏化产生的废酸液</w:t>
            </w:r>
          </w:p>
        </w:tc>
        <w:tc>
          <w:tcPr>
            <w:tcW w:w="663" w:type="dxa"/>
            <w:noWrap/>
            <w:vAlign w:val="center"/>
          </w:tcPr>
          <w:p w14:paraId="7D331082" w14:textId="77777777" w:rsidR="002E474C" w:rsidRDefault="00000000">
            <w:pPr>
              <w:pStyle w:val="A-"/>
              <w:spacing w:line="260" w:lineRule="exact"/>
            </w:pPr>
            <w:r>
              <w:t>C</w:t>
            </w:r>
            <w:r>
              <w:t>，</w:t>
            </w:r>
            <w:r>
              <w:t>T</w:t>
            </w:r>
          </w:p>
        </w:tc>
      </w:tr>
      <w:tr w:rsidR="002E474C" w14:paraId="62824963" w14:textId="77777777">
        <w:trPr>
          <w:trHeight w:val="300"/>
        </w:trPr>
        <w:tc>
          <w:tcPr>
            <w:tcW w:w="828" w:type="dxa"/>
            <w:vMerge/>
            <w:vAlign w:val="center"/>
          </w:tcPr>
          <w:p w14:paraId="35112F5E" w14:textId="77777777" w:rsidR="002E474C" w:rsidRDefault="002E474C">
            <w:pPr>
              <w:pStyle w:val="A-"/>
              <w:spacing w:line="260" w:lineRule="exact"/>
            </w:pPr>
          </w:p>
        </w:tc>
        <w:tc>
          <w:tcPr>
            <w:tcW w:w="893" w:type="dxa"/>
            <w:vMerge/>
            <w:vAlign w:val="center"/>
          </w:tcPr>
          <w:p w14:paraId="6F530169" w14:textId="77777777" w:rsidR="002E474C" w:rsidRDefault="002E474C">
            <w:pPr>
              <w:pStyle w:val="A-"/>
              <w:spacing w:line="260" w:lineRule="exact"/>
            </w:pPr>
          </w:p>
        </w:tc>
        <w:tc>
          <w:tcPr>
            <w:tcW w:w="1147" w:type="dxa"/>
            <w:noWrap/>
            <w:vAlign w:val="center"/>
          </w:tcPr>
          <w:p w14:paraId="5E6A184C" w14:textId="77777777" w:rsidR="002E474C" w:rsidRDefault="00000000">
            <w:pPr>
              <w:pStyle w:val="A-"/>
              <w:spacing w:line="260" w:lineRule="exact"/>
              <w:ind w:leftChars="-25" w:left="-53" w:rightChars="-25" w:right="-53"/>
            </w:pPr>
            <w:r>
              <w:t>900-305-34</w:t>
            </w:r>
          </w:p>
        </w:tc>
        <w:tc>
          <w:tcPr>
            <w:tcW w:w="4991" w:type="dxa"/>
            <w:noWrap/>
            <w:vAlign w:val="center"/>
          </w:tcPr>
          <w:p w14:paraId="2732FEE4" w14:textId="77777777" w:rsidR="002E474C" w:rsidRDefault="00000000">
            <w:pPr>
              <w:pStyle w:val="A-"/>
              <w:spacing w:line="260" w:lineRule="exact"/>
            </w:pPr>
            <w:r>
              <w:rPr>
                <w:spacing w:val="-6"/>
              </w:rPr>
              <w:t>使用硝酸剥落不合格镀层及挂架金属镀层产生的废酸液</w:t>
            </w:r>
          </w:p>
        </w:tc>
        <w:tc>
          <w:tcPr>
            <w:tcW w:w="663" w:type="dxa"/>
            <w:noWrap/>
            <w:vAlign w:val="center"/>
          </w:tcPr>
          <w:p w14:paraId="6A693E27" w14:textId="77777777" w:rsidR="002E474C" w:rsidRDefault="00000000">
            <w:pPr>
              <w:pStyle w:val="A-"/>
              <w:spacing w:line="260" w:lineRule="exact"/>
            </w:pPr>
            <w:r>
              <w:t>C</w:t>
            </w:r>
            <w:r>
              <w:t>，</w:t>
            </w:r>
            <w:r>
              <w:t>T</w:t>
            </w:r>
          </w:p>
        </w:tc>
      </w:tr>
      <w:tr w:rsidR="002E474C" w14:paraId="53E44446" w14:textId="77777777">
        <w:trPr>
          <w:trHeight w:val="300"/>
        </w:trPr>
        <w:tc>
          <w:tcPr>
            <w:tcW w:w="828" w:type="dxa"/>
            <w:vMerge/>
            <w:vAlign w:val="center"/>
          </w:tcPr>
          <w:p w14:paraId="3B465865" w14:textId="77777777" w:rsidR="002E474C" w:rsidRDefault="002E474C">
            <w:pPr>
              <w:pStyle w:val="A-"/>
              <w:spacing w:line="260" w:lineRule="exact"/>
            </w:pPr>
          </w:p>
        </w:tc>
        <w:tc>
          <w:tcPr>
            <w:tcW w:w="893" w:type="dxa"/>
            <w:vMerge/>
            <w:vAlign w:val="center"/>
          </w:tcPr>
          <w:p w14:paraId="14B9F715" w14:textId="77777777" w:rsidR="002E474C" w:rsidRDefault="002E474C">
            <w:pPr>
              <w:pStyle w:val="A-"/>
              <w:spacing w:line="260" w:lineRule="exact"/>
            </w:pPr>
          </w:p>
        </w:tc>
        <w:tc>
          <w:tcPr>
            <w:tcW w:w="1147" w:type="dxa"/>
            <w:noWrap/>
            <w:vAlign w:val="center"/>
          </w:tcPr>
          <w:p w14:paraId="3D4892AE" w14:textId="77777777" w:rsidR="002E474C" w:rsidRDefault="00000000">
            <w:pPr>
              <w:pStyle w:val="A-"/>
              <w:spacing w:line="260" w:lineRule="exact"/>
              <w:ind w:leftChars="-25" w:left="-53" w:rightChars="-25" w:right="-53"/>
            </w:pPr>
            <w:r>
              <w:t>900-306-34</w:t>
            </w:r>
          </w:p>
        </w:tc>
        <w:tc>
          <w:tcPr>
            <w:tcW w:w="4991" w:type="dxa"/>
            <w:noWrap/>
            <w:vAlign w:val="center"/>
          </w:tcPr>
          <w:p w14:paraId="243003F1" w14:textId="77777777" w:rsidR="002E474C" w:rsidRDefault="00000000">
            <w:pPr>
              <w:pStyle w:val="A-"/>
              <w:spacing w:line="260" w:lineRule="exact"/>
            </w:pPr>
            <w:r>
              <w:t>使用硝酸进行钝化产生的废酸液</w:t>
            </w:r>
          </w:p>
        </w:tc>
        <w:tc>
          <w:tcPr>
            <w:tcW w:w="663" w:type="dxa"/>
            <w:noWrap/>
            <w:vAlign w:val="center"/>
          </w:tcPr>
          <w:p w14:paraId="6113E926" w14:textId="77777777" w:rsidR="002E474C" w:rsidRDefault="00000000">
            <w:pPr>
              <w:pStyle w:val="A-"/>
              <w:spacing w:line="260" w:lineRule="exact"/>
            </w:pPr>
            <w:r>
              <w:t>C</w:t>
            </w:r>
            <w:r>
              <w:t>，</w:t>
            </w:r>
            <w:r>
              <w:t>T</w:t>
            </w:r>
          </w:p>
        </w:tc>
      </w:tr>
      <w:tr w:rsidR="002E474C" w14:paraId="00E990C6" w14:textId="77777777">
        <w:trPr>
          <w:trHeight w:val="300"/>
        </w:trPr>
        <w:tc>
          <w:tcPr>
            <w:tcW w:w="828" w:type="dxa"/>
            <w:vMerge/>
            <w:vAlign w:val="center"/>
          </w:tcPr>
          <w:p w14:paraId="771C19BA" w14:textId="77777777" w:rsidR="002E474C" w:rsidRDefault="002E474C">
            <w:pPr>
              <w:pStyle w:val="A-"/>
              <w:spacing w:line="260" w:lineRule="exact"/>
            </w:pPr>
          </w:p>
        </w:tc>
        <w:tc>
          <w:tcPr>
            <w:tcW w:w="893" w:type="dxa"/>
            <w:vMerge/>
            <w:vAlign w:val="center"/>
          </w:tcPr>
          <w:p w14:paraId="0C13EEC8" w14:textId="77777777" w:rsidR="002E474C" w:rsidRDefault="002E474C">
            <w:pPr>
              <w:pStyle w:val="A-"/>
              <w:spacing w:line="260" w:lineRule="exact"/>
            </w:pPr>
          </w:p>
        </w:tc>
        <w:tc>
          <w:tcPr>
            <w:tcW w:w="1147" w:type="dxa"/>
            <w:noWrap/>
            <w:vAlign w:val="center"/>
          </w:tcPr>
          <w:p w14:paraId="73BC2C05" w14:textId="77777777" w:rsidR="002E474C" w:rsidRDefault="00000000">
            <w:pPr>
              <w:pStyle w:val="A-"/>
              <w:spacing w:line="260" w:lineRule="exact"/>
              <w:ind w:leftChars="-25" w:left="-53" w:rightChars="-25" w:right="-53"/>
            </w:pPr>
            <w:r>
              <w:t>900-307-34</w:t>
            </w:r>
          </w:p>
        </w:tc>
        <w:tc>
          <w:tcPr>
            <w:tcW w:w="4991" w:type="dxa"/>
            <w:noWrap/>
            <w:vAlign w:val="center"/>
          </w:tcPr>
          <w:p w14:paraId="14F1B2F5" w14:textId="77777777" w:rsidR="002E474C" w:rsidRDefault="00000000">
            <w:pPr>
              <w:pStyle w:val="A-"/>
              <w:spacing w:line="260" w:lineRule="exact"/>
            </w:pPr>
            <w:r>
              <w:t>使用酸进行电解抛光处理产生的废酸液</w:t>
            </w:r>
          </w:p>
        </w:tc>
        <w:tc>
          <w:tcPr>
            <w:tcW w:w="663" w:type="dxa"/>
            <w:noWrap/>
            <w:vAlign w:val="center"/>
          </w:tcPr>
          <w:p w14:paraId="176B0D4A" w14:textId="77777777" w:rsidR="002E474C" w:rsidRDefault="00000000">
            <w:pPr>
              <w:pStyle w:val="A-"/>
              <w:spacing w:line="260" w:lineRule="exact"/>
            </w:pPr>
            <w:r>
              <w:t>C</w:t>
            </w:r>
            <w:r>
              <w:t>，</w:t>
            </w:r>
            <w:r>
              <w:t>T</w:t>
            </w:r>
          </w:p>
        </w:tc>
      </w:tr>
      <w:tr w:rsidR="002E474C" w14:paraId="0D0F43F3" w14:textId="77777777">
        <w:trPr>
          <w:trHeight w:val="300"/>
        </w:trPr>
        <w:tc>
          <w:tcPr>
            <w:tcW w:w="828" w:type="dxa"/>
            <w:vMerge/>
            <w:vAlign w:val="center"/>
          </w:tcPr>
          <w:p w14:paraId="1B63BAF2" w14:textId="77777777" w:rsidR="002E474C" w:rsidRDefault="002E474C">
            <w:pPr>
              <w:pStyle w:val="A-"/>
              <w:spacing w:line="260" w:lineRule="exact"/>
            </w:pPr>
          </w:p>
        </w:tc>
        <w:tc>
          <w:tcPr>
            <w:tcW w:w="893" w:type="dxa"/>
            <w:vMerge/>
            <w:vAlign w:val="center"/>
          </w:tcPr>
          <w:p w14:paraId="5C07A689" w14:textId="77777777" w:rsidR="002E474C" w:rsidRDefault="002E474C">
            <w:pPr>
              <w:pStyle w:val="A-"/>
              <w:spacing w:line="260" w:lineRule="exact"/>
            </w:pPr>
          </w:p>
        </w:tc>
        <w:tc>
          <w:tcPr>
            <w:tcW w:w="1147" w:type="dxa"/>
            <w:noWrap/>
            <w:vAlign w:val="center"/>
          </w:tcPr>
          <w:p w14:paraId="2C8CCC32" w14:textId="77777777" w:rsidR="002E474C" w:rsidRDefault="00000000">
            <w:pPr>
              <w:pStyle w:val="A-"/>
              <w:spacing w:line="260" w:lineRule="exact"/>
              <w:ind w:leftChars="-25" w:left="-53" w:rightChars="-25" w:right="-53"/>
            </w:pPr>
            <w:r>
              <w:t>900-308-34</w:t>
            </w:r>
          </w:p>
        </w:tc>
        <w:tc>
          <w:tcPr>
            <w:tcW w:w="4991" w:type="dxa"/>
            <w:noWrap/>
            <w:vAlign w:val="center"/>
          </w:tcPr>
          <w:p w14:paraId="3082640B" w14:textId="77777777" w:rsidR="002E474C" w:rsidRDefault="00000000">
            <w:pPr>
              <w:pStyle w:val="A-"/>
              <w:spacing w:line="260" w:lineRule="exact"/>
            </w:pPr>
            <w:r>
              <w:t>使用酸进行催化（化学镀）产生的废酸液</w:t>
            </w:r>
          </w:p>
        </w:tc>
        <w:tc>
          <w:tcPr>
            <w:tcW w:w="663" w:type="dxa"/>
            <w:noWrap/>
            <w:vAlign w:val="center"/>
          </w:tcPr>
          <w:p w14:paraId="1544D796" w14:textId="77777777" w:rsidR="002E474C" w:rsidRDefault="00000000">
            <w:pPr>
              <w:pStyle w:val="A-"/>
              <w:spacing w:line="260" w:lineRule="exact"/>
            </w:pPr>
            <w:r>
              <w:t>C</w:t>
            </w:r>
            <w:r>
              <w:t>，</w:t>
            </w:r>
            <w:r>
              <w:t>T</w:t>
            </w:r>
          </w:p>
        </w:tc>
      </w:tr>
      <w:tr w:rsidR="002E474C" w14:paraId="30045E1E" w14:textId="77777777">
        <w:trPr>
          <w:trHeight w:val="300"/>
        </w:trPr>
        <w:tc>
          <w:tcPr>
            <w:tcW w:w="828" w:type="dxa"/>
            <w:vMerge/>
            <w:vAlign w:val="center"/>
          </w:tcPr>
          <w:p w14:paraId="1DAE8C6F" w14:textId="77777777" w:rsidR="002E474C" w:rsidRDefault="002E474C">
            <w:pPr>
              <w:pStyle w:val="A-"/>
              <w:spacing w:line="260" w:lineRule="exact"/>
            </w:pPr>
          </w:p>
        </w:tc>
        <w:tc>
          <w:tcPr>
            <w:tcW w:w="893" w:type="dxa"/>
            <w:vMerge/>
            <w:vAlign w:val="center"/>
          </w:tcPr>
          <w:p w14:paraId="4C4E38EB" w14:textId="77777777" w:rsidR="002E474C" w:rsidRDefault="002E474C">
            <w:pPr>
              <w:pStyle w:val="A-"/>
              <w:spacing w:line="260" w:lineRule="exact"/>
            </w:pPr>
          </w:p>
        </w:tc>
        <w:tc>
          <w:tcPr>
            <w:tcW w:w="1147" w:type="dxa"/>
            <w:noWrap/>
            <w:vAlign w:val="center"/>
          </w:tcPr>
          <w:p w14:paraId="6FEA6ADB" w14:textId="77777777" w:rsidR="002E474C" w:rsidRDefault="00000000">
            <w:pPr>
              <w:pStyle w:val="A-"/>
              <w:spacing w:line="260" w:lineRule="exact"/>
              <w:ind w:leftChars="-25" w:left="-53" w:rightChars="-25" w:right="-53"/>
            </w:pPr>
            <w:r>
              <w:t>900-349-34</w:t>
            </w:r>
          </w:p>
        </w:tc>
        <w:tc>
          <w:tcPr>
            <w:tcW w:w="4991" w:type="dxa"/>
            <w:noWrap/>
            <w:vAlign w:val="center"/>
          </w:tcPr>
          <w:p w14:paraId="0F124B72" w14:textId="77777777" w:rsidR="002E474C" w:rsidRDefault="00000000">
            <w:pPr>
              <w:pStyle w:val="A-"/>
              <w:spacing w:line="260" w:lineRule="exact"/>
            </w:pPr>
            <w:r>
              <w:t>生产、销售及使用过程中产生的失效、变质、不合格、淘汰、伪劣的强酸性擦洗粉、清洁剂、污迹去除剂以及其他强酸性废酸液和酸渣</w:t>
            </w:r>
          </w:p>
        </w:tc>
        <w:tc>
          <w:tcPr>
            <w:tcW w:w="663" w:type="dxa"/>
            <w:noWrap/>
            <w:vAlign w:val="center"/>
          </w:tcPr>
          <w:p w14:paraId="4BE51FDE" w14:textId="77777777" w:rsidR="002E474C" w:rsidRDefault="00000000">
            <w:pPr>
              <w:pStyle w:val="A-"/>
              <w:spacing w:line="260" w:lineRule="exact"/>
            </w:pPr>
            <w:r>
              <w:t>C</w:t>
            </w:r>
            <w:r>
              <w:t>，</w:t>
            </w:r>
            <w:r>
              <w:t>T</w:t>
            </w:r>
          </w:p>
        </w:tc>
      </w:tr>
      <w:tr w:rsidR="002E474C" w14:paraId="0AC15681" w14:textId="77777777">
        <w:trPr>
          <w:trHeight w:val="300"/>
        </w:trPr>
        <w:tc>
          <w:tcPr>
            <w:tcW w:w="828" w:type="dxa"/>
            <w:vMerge w:val="restart"/>
            <w:noWrap/>
            <w:vAlign w:val="center"/>
          </w:tcPr>
          <w:p w14:paraId="329B6FE7" w14:textId="77777777" w:rsidR="002E474C" w:rsidRDefault="00000000">
            <w:pPr>
              <w:pStyle w:val="A-"/>
              <w:spacing w:line="260" w:lineRule="exact"/>
            </w:pPr>
            <w:r>
              <w:t>HW35</w:t>
            </w:r>
            <w:r>
              <w:br/>
            </w:r>
            <w:r>
              <w:t>废碱</w:t>
            </w:r>
          </w:p>
        </w:tc>
        <w:tc>
          <w:tcPr>
            <w:tcW w:w="893" w:type="dxa"/>
            <w:noWrap/>
            <w:vAlign w:val="center"/>
          </w:tcPr>
          <w:p w14:paraId="1020C3F1" w14:textId="77777777" w:rsidR="002E474C" w:rsidRDefault="00000000">
            <w:pPr>
              <w:pStyle w:val="A-"/>
              <w:spacing w:line="260" w:lineRule="exact"/>
              <w:ind w:leftChars="-25" w:left="-53" w:rightChars="-25" w:right="-53"/>
              <w:rPr>
                <w:spacing w:val="-11"/>
              </w:rPr>
            </w:pPr>
            <w:r>
              <w:rPr>
                <w:spacing w:val="-11"/>
              </w:rPr>
              <w:t>精炼石油产品制造</w:t>
            </w:r>
          </w:p>
        </w:tc>
        <w:tc>
          <w:tcPr>
            <w:tcW w:w="1147" w:type="dxa"/>
            <w:noWrap/>
            <w:vAlign w:val="center"/>
          </w:tcPr>
          <w:p w14:paraId="5409B1EB" w14:textId="77777777" w:rsidR="002E474C" w:rsidRDefault="00000000">
            <w:pPr>
              <w:pStyle w:val="A-"/>
              <w:spacing w:line="260" w:lineRule="exact"/>
              <w:ind w:leftChars="-25" w:left="-53" w:rightChars="-25" w:right="-53"/>
            </w:pPr>
            <w:r>
              <w:t>251-015-35</w:t>
            </w:r>
          </w:p>
        </w:tc>
        <w:tc>
          <w:tcPr>
            <w:tcW w:w="4991" w:type="dxa"/>
            <w:noWrap/>
            <w:vAlign w:val="center"/>
          </w:tcPr>
          <w:p w14:paraId="12FB5526" w14:textId="77777777" w:rsidR="002E474C" w:rsidRDefault="00000000">
            <w:pPr>
              <w:pStyle w:val="A-"/>
              <w:spacing w:line="260" w:lineRule="exact"/>
            </w:pPr>
            <w:r>
              <w:t>石油炼制过程产生的废碱液和碱渣</w:t>
            </w:r>
          </w:p>
        </w:tc>
        <w:tc>
          <w:tcPr>
            <w:tcW w:w="663" w:type="dxa"/>
            <w:noWrap/>
            <w:vAlign w:val="center"/>
          </w:tcPr>
          <w:p w14:paraId="4EFE3EF0" w14:textId="77777777" w:rsidR="002E474C" w:rsidRDefault="00000000">
            <w:pPr>
              <w:pStyle w:val="A-"/>
              <w:spacing w:line="260" w:lineRule="exact"/>
            </w:pPr>
            <w:r>
              <w:t>C</w:t>
            </w:r>
            <w:r>
              <w:t>，</w:t>
            </w:r>
            <w:r>
              <w:t>T</w:t>
            </w:r>
          </w:p>
        </w:tc>
      </w:tr>
      <w:tr w:rsidR="002E474C" w14:paraId="3C7BF6D9" w14:textId="77777777">
        <w:trPr>
          <w:trHeight w:val="300"/>
        </w:trPr>
        <w:tc>
          <w:tcPr>
            <w:tcW w:w="828" w:type="dxa"/>
            <w:vMerge/>
            <w:vAlign w:val="center"/>
          </w:tcPr>
          <w:p w14:paraId="36205A1F" w14:textId="77777777" w:rsidR="002E474C" w:rsidRDefault="002E474C">
            <w:pPr>
              <w:pStyle w:val="A-"/>
              <w:spacing w:line="260" w:lineRule="exact"/>
            </w:pPr>
          </w:p>
        </w:tc>
        <w:tc>
          <w:tcPr>
            <w:tcW w:w="893" w:type="dxa"/>
            <w:noWrap/>
            <w:vAlign w:val="center"/>
          </w:tcPr>
          <w:p w14:paraId="122E2723" w14:textId="77777777" w:rsidR="002E474C" w:rsidRDefault="00000000">
            <w:pPr>
              <w:pStyle w:val="A-"/>
              <w:spacing w:line="260" w:lineRule="exact"/>
              <w:ind w:leftChars="-25" w:left="-53" w:rightChars="-25" w:right="-53"/>
              <w:rPr>
                <w:spacing w:val="-11"/>
              </w:rPr>
            </w:pPr>
            <w:r>
              <w:rPr>
                <w:spacing w:val="-11"/>
              </w:rPr>
              <w:t>基础化学原料制造</w:t>
            </w:r>
          </w:p>
        </w:tc>
        <w:tc>
          <w:tcPr>
            <w:tcW w:w="1147" w:type="dxa"/>
            <w:noWrap/>
            <w:vAlign w:val="center"/>
          </w:tcPr>
          <w:p w14:paraId="0FA03552" w14:textId="77777777" w:rsidR="002E474C" w:rsidRDefault="00000000">
            <w:pPr>
              <w:pStyle w:val="A-"/>
              <w:spacing w:line="260" w:lineRule="exact"/>
              <w:ind w:leftChars="-25" w:left="-53" w:rightChars="-25" w:right="-53"/>
            </w:pPr>
            <w:r>
              <w:t>261-059-35</w:t>
            </w:r>
          </w:p>
        </w:tc>
        <w:tc>
          <w:tcPr>
            <w:tcW w:w="4991" w:type="dxa"/>
            <w:noWrap/>
            <w:vAlign w:val="center"/>
          </w:tcPr>
          <w:p w14:paraId="102A48D5" w14:textId="77777777" w:rsidR="002E474C" w:rsidRDefault="00000000">
            <w:pPr>
              <w:pStyle w:val="A-"/>
              <w:spacing w:line="260" w:lineRule="exact"/>
            </w:pPr>
            <w:r>
              <w:t>氢氧化钙、氨水、氢氧化钠、氢氧化钾等的生产、配制中产生的废碱液、固态碱和碱渣</w:t>
            </w:r>
          </w:p>
        </w:tc>
        <w:tc>
          <w:tcPr>
            <w:tcW w:w="663" w:type="dxa"/>
            <w:noWrap/>
            <w:vAlign w:val="center"/>
          </w:tcPr>
          <w:p w14:paraId="4138D624" w14:textId="77777777" w:rsidR="002E474C" w:rsidRDefault="00000000">
            <w:pPr>
              <w:pStyle w:val="A-"/>
              <w:spacing w:line="260" w:lineRule="exact"/>
            </w:pPr>
            <w:r>
              <w:t>C</w:t>
            </w:r>
          </w:p>
        </w:tc>
      </w:tr>
      <w:tr w:rsidR="002E474C" w14:paraId="09F3DEB0" w14:textId="77777777">
        <w:trPr>
          <w:trHeight w:val="300"/>
        </w:trPr>
        <w:tc>
          <w:tcPr>
            <w:tcW w:w="828" w:type="dxa"/>
            <w:vMerge/>
            <w:vAlign w:val="center"/>
          </w:tcPr>
          <w:p w14:paraId="7AB9BF84" w14:textId="77777777" w:rsidR="002E474C" w:rsidRDefault="002E474C">
            <w:pPr>
              <w:pStyle w:val="A-"/>
              <w:spacing w:line="260" w:lineRule="exact"/>
            </w:pPr>
          </w:p>
        </w:tc>
        <w:tc>
          <w:tcPr>
            <w:tcW w:w="893" w:type="dxa"/>
            <w:noWrap/>
            <w:vAlign w:val="center"/>
          </w:tcPr>
          <w:p w14:paraId="42F51F3E" w14:textId="77777777" w:rsidR="002E474C" w:rsidRDefault="00000000">
            <w:pPr>
              <w:pStyle w:val="A-"/>
              <w:spacing w:line="260" w:lineRule="exact"/>
              <w:ind w:leftChars="-25" w:left="-53" w:rightChars="-25" w:right="-53"/>
              <w:rPr>
                <w:spacing w:val="-11"/>
              </w:rPr>
            </w:pPr>
            <w:r>
              <w:rPr>
                <w:spacing w:val="-11"/>
              </w:rPr>
              <w:t>毛皮鞣制及制品加工</w:t>
            </w:r>
          </w:p>
        </w:tc>
        <w:tc>
          <w:tcPr>
            <w:tcW w:w="1147" w:type="dxa"/>
            <w:noWrap/>
            <w:vAlign w:val="center"/>
          </w:tcPr>
          <w:p w14:paraId="50BC63C4" w14:textId="77777777" w:rsidR="002E474C" w:rsidRDefault="00000000">
            <w:pPr>
              <w:pStyle w:val="A-"/>
              <w:spacing w:line="260" w:lineRule="exact"/>
              <w:ind w:leftChars="-25" w:left="-53" w:rightChars="-25" w:right="-53"/>
            </w:pPr>
            <w:r>
              <w:t>193-003-35</w:t>
            </w:r>
          </w:p>
        </w:tc>
        <w:tc>
          <w:tcPr>
            <w:tcW w:w="4991" w:type="dxa"/>
            <w:noWrap/>
            <w:vAlign w:val="center"/>
          </w:tcPr>
          <w:p w14:paraId="664C32AA" w14:textId="77777777" w:rsidR="002E474C" w:rsidRDefault="00000000">
            <w:pPr>
              <w:pStyle w:val="A-"/>
              <w:spacing w:line="260" w:lineRule="exact"/>
            </w:pPr>
            <w:r>
              <w:t>使用氢氧化钙、硫化钠进行浸灰产生的废碱液</w:t>
            </w:r>
          </w:p>
        </w:tc>
        <w:tc>
          <w:tcPr>
            <w:tcW w:w="663" w:type="dxa"/>
            <w:noWrap/>
            <w:vAlign w:val="center"/>
          </w:tcPr>
          <w:p w14:paraId="14408325" w14:textId="77777777" w:rsidR="002E474C" w:rsidRDefault="00000000">
            <w:pPr>
              <w:pStyle w:val="A-"/>
              <w:spacing w:line="260" w:lineRule="exact"/>
            </w:pPr>
            <w:r>
              <w:t>C</w:t>
            </w:r>
            <w:r>
              <w:t>，</w:t>
            </w:r>
            <w:r>
              <w:t>R</w:t>
            </w:r>
          </w:p>
        </w:tc>
      </w:tr>
      <w:tr w:rsidR="002E474C" w14:paraId="5DDFF56C" w14:textId="77777777">
        <w:trPr>
          <w:trHeight w:val="300"/>
        </w:trPr>
        <w:tc>
          <w:tcPr>
            <w:tcW w:w="828" w:type="dxa"/>
            <w:vMerge/>
            <w:vAlign w:val="center"/>
          </w:tcPr>
          <w:p w14:paraId="6BB2BAE9" w14:textId="77777777" w:rsidR="002E474C" w:rsidRDefault="002E474C">
            <w:pPr>
              <w:pStyle w:val="A-"/>
              <w:spacing w:line="260" w:lineRule="exact"/>
            </w:pPr>
          </w:p>
        </w:tc>
        <w:tc>
          <w:tcPr>
            <w:tcW w:w="893" w:type="dxa"/>
            <w:noWrap/>
            <w:vAlign w:val="center"/>
          </w:tcPr>
          <w:p w14:paraId="42B96698" w14:textId="77777777" w:rsidR="002E474C" w:rsidRDefault="00000000">
            <w:pPr>
              <w:pStyle w:val="A-"/>
              <w:spacing w:line="260" w:lineRule="exact"/>
            </w:pPr>
            <w:r>
              <w:t>纸浆</w:t>
            </w:r>
          </w:p>
          <w:p w14:paraId="5DA1A910" w14:textId="77777777" w:rsidR="002E474C" w:rsidRDefault="00000000">
            <w:pPr>
              <w:pStyle w:val="A-"/>
              <w:spacing w:line="260" w:lineRule="exact"/>
            </w:pPr>
            <w:r>
              <w:t>制造</w:t>
            </w:r>
          </w:p>
        </w:tc>
        <w:tc>
          <w:tcPr>
            <w:tcW w:w="1147" w:type="dxa"/>
            <w:noWrap/>
            <w:vAlign w:val="center"/>
          </w:tcPr>
          <w:p w14:paraId="1DDFAE78" w14:textId="77777777" w:rsidR="002E474C" w:rsidRDefault="00000000">
            <w:pPr>
              <w:pStyle w:val="A-"/>
              <w:spacing w:line="260" w:lineRule="exact"/>
              <w:ind w:leftChars="-25" w:left="-53" w:rightChars="-25" w:right="-53"/>
            </w:pPr>
            <w:r>
              <w:t>221-002-35</w:t>
            </w:r>
          </w:p>
        </w:tc>
        <w:tc>
          <w:tcPr>
            <w:tcW w:w="4991" w:type="dxa"/>
            <w:noWrap/>
            <w:vAlign w:val="center"/>
          </w:tcPr>
          <w:p w14:paraId="2934FB66" w14:textId="77777777" w:rsidR="002E474C" w:rsidRDefault="00000000">
            <w:pPr>
              <w:pStyle w:val="A-"/>
              <w:spacing w:line="260" w:lineRule="exact"/>
            </w:pPr>
            <w:r>
              <w:t>碱法制浆过程中蒸煮制浆产生的废碱液</w:t>
            </w:r>
          </w:p>
        </w:tc>
        <w:tc>
          <w:tcPr>
            <w:tcW w:w="663" w:type="dxa"/>
            <w:noWrap/>
            <w:vAlign w:val="center"/>
          </w:tcPr>
          <w:p w14:paraId="709D4EAB" w14:textId="77777777" w:rsidR="002E474C" w:rsidRDefault="00000000">
            <w:pPr>
              <w:pStyle w:val="A-"/>
              <w:spacing w:line="260" w:lineRule="exact"/>
            </w:pPr>
            <w:r>
              <w:t>C</w:t>
            </w:r>
            <w:r>
              <w:t>，</w:t>
            </w:r>
            <w:r>
              <w:t>T</w:t>
            </w:r>
          </w:p>
        </w:tc>
      </w:tr>
      <w:tr w:rsidR="002E474C" w14:paraId="75FA67CE" w14:textId="77777777">
        <w:trPr>
          <w:trHeight w:val="300"/>
        </w:trPr>
        <w:tc>
          <w:tcPr>
            <w:tcW w:w="828" w:type="dxa"/>
            <w:vMerge/>
            <w:vAlign w:val="center"/>
          </w:tcPr>
          <w:p w14:paraId="73D72173" w14:textId="77777777" w:rsidR="002E474C" w:rsidRDefault="002E474C">
            <w:pPr>
              <w:pStyle w:val="A-"/>
              <w:spacing w:line="260" w:lineRule="exact"/>
            </w:pPr>
          </w:p>
        </w:tc>
        <w:tc>
          <w:tcPr>
            <w:tcW w:w="893" w:type="dxa"/>
            <w:vMerge w:val="restart"/>
            <w:noWrap/>
            <w:vAlign w:val="center"/>
          </w:tcPr>
          <w:p w14:paraId="1F2B243A" w14:textId="77777777" w:rsidR="002E474C" w:rsidRDefault="00000000">
            <w:pPr>
              <w:pStyle w:val="A-"/>
              <w:spacing w:line="260" w:lineRule="exact"/>
            </w:pPr>
            <w:r>
              <w:t>非特定行业</w:t>
            </w:r>
          </w:p>
        </w:tc>
        <w:tc>
          <w:tcPr>
            <w:tcW w:w="1147" w:type="dxa"/>
            <w:noWrap/>
            <w:vAlign w:val="center"/>
          </w:tcPr>
          <w:p w14:paraId="55198AD4" w14:textId="77777777" w:rsidR="002E474C" w:rsidRDefault="00000000">
            <w:pPr>
              <w:pStyle w:val="A-"/>
              <w:spacing w:line="260" w:lineRule="exact"/>
              <w:ind w:leftChars="-25" w:left="-53" w:rightChars="-25" w:right="-53"/>
            </w:pPr>
            <w:r>
              <w:t>900-350-35</w:t>
            </w:r>
          </w:p>
        </w:tc>
        <w:tc>
          <w:tcPr>
            <w:tcW w:w="4991" w:type="dxa"/>
            <w:noWrap/>
            <w:vAlign w:val="center"/>
          </w:tcPr>
          <w:p w14:paraId="4FEFC4FA" w14:textId="77777777" w:rsidR="002E474C" w:rsidRDefault="00000000">
            <w:pPr>
              <w:pStyle w:val="A-"/>
              <w:spacing w:line="260" w:lineRule="exact"/>
            </w:pPr>
            <w:r>
              <w:t>使用氢氧化钠进行煮炼过程中产生的废碱液</w:t>
            </w:r>
          </w:p>
        </w:tc>
        <w:tc>
          <w:tcPr>
            <w:tcW w:w="663" w:type="dxa"/>
            <w:noWrap/>
            <w:vAlign w:val="center"/>
          </w:tcPr>
          <w:p w14:paraId="3C647C1E" w14:textId="77777777" w:rsidR="002E474C" w:rsidRDefault="00000000">
            <w:pPr>
              <w:pStyle w:val="A-"/>
              <w:spacing w:line="260" w:lineRule="exact"/>
            </w:pPr>
            <w:r>
              <w:t>C</w:t>
            </w:r>
          </w:p>
        </w:tc>
      </w:tr>
      <w:tr w:rsidR="002E474C" w14:paraId="52450C67" w14:textId="77777777">
        <w:trPr>
          <w:trHeight w:val="300"/>
        </w:trPr>
        <w:tc>
          <w:tcPr>
            <w:tcW w:w="828" w:type="dxa"/>
            <w:vMerge/>
            <w:vAlign w:val="center"/>
          </w:tcPr>
          <w:p w14:paraId="226D5308" w14:textId="77777777" w:rsidR="002E474C" w:rsidRDefault="002E474C">
            <w:pPr>
              <w:pStyle w:val="A-"/>
              <w:spacing w:line="260" w:lineRule="exact"/>
            </w:pPr>
          </w:p>
        </w:tc>
        <w:tc>
          <w:tcPr>
            <w:tcW w:w="893" w:type="dxa"/>
            <w:vMerge/>
            <w:vAlign w:val="center"/>
          </w:tcPr>
          <w:p w14:paraId="571723DC" w14:textId="77777777" w:rsidR="002E474C" w:rsidRDefault="002E474C">
            <w:pPr>
              <w:pStyle w:val="A-"/>
              <w:spacing w:line="260" w:lineRule="exact"/>
            </w:pPr>
          </w:p>
        </w:tc>
        <w:tc>
          <w:tcPr>
            <w:tcW w:w="1147" w:type="dxa"/>
            <w:noWrap/>
            <w:vAlign w:val="center"/>
          </w:tcPr>
          <w:p w14:paraId="2DC7937A" w14:textId="77777777" w:rsidR="002E474C" w:rsidRDefault="00000000">
            <w:pPr>
              <w:pStyle w:val="A-"/>
              <w:spacing w:line="260" w:lineRule="exact"/>
              <w:ind w:leftChars="-25" w:left="-53" w:rightChars="-25" w:right="-53"/>
            </w:pPr>
            <w:r>
              <w:t>900-351-35</w:t>
            </w:r>
          </w:p>
        </w:tc>
        <w:tc>
          <w:tcPr>
            <w:tcW w:w="4991" w:type="dxa"/>
            <w:noWrap/>
            <w:vAlign w:val="center"/>
          </w:tcPr>
          <w:p w14:paraId="5C718004" w14:textId="77777777" w:rsidR="002E474C" w:rsidRDefault="00000000">
            <w:pPr>
              <w:pStyle w:val="A-"/>
              <w:spacing w:line="260" w:lineRule="exact"/>
            </w:pPr>
            <w:r>
              <w:t>使用氢氧化钠进行丝光处理过程中产生的废碱液</w:t>
            </w:r>
          </w:p>
        </w:tc>
        <w:tc>
          <w:tcPr>
            <w:tcW w:w="663" w:type="dxa"/>
            <w:noWrap/>
            <w:vAlign w:val="center"/>
          </w:tcPr>
          <w:p w14:paraId="09490B59" w14:textId="77777777" w:rsidR="002E474C" w:rsidRDefault="00000000">
            <w:pPr>
              <w:pStyle w:val="A-"/>
              <w:spacing w:line="260" w:lineRule="exact"/>
            </w:pPr>
            <w:r>
              <w:t>C</w:t>
            </w:r>
          </w:p>
        </w:tc>
      </w:tr>
      <w:tr w:rsidR="002E474C" w14:paraId="672AFBBE" w14:textId="77777777">
        <w:trPr>
          <w:trHeight w:val="300"/>
        </w:trPr>
        <w:tc>
          <w:tcPr>
            <w:tcW w:w="828" w:type="dxa"/>
            <w:vMerge/>
            <w:vAlign w:val="center"/>
          </w:tcPr>
          <w:p w14:paraId="3DF9B8AA" w14:textId="77777777" w:rsidR="002E474C" w:rsidRDefault="002E474C">
            <w:pPr>
              <w:pStyle w:val="A-"/>
              <w:spacing w:line="260" w:lineRule="exact"/>
            </w:pPr>
          </w:p>
        </w:tc>
        <w:tc>
          <w:tcPr>
            <w:tcW w:w="893" w:type="dxa"/>
            <w:vMerge/>
            <w:vAlign w:val="center"/>
          </w:tcPr>
          <w:p w14:paraId="302E2527" w14:textId="77777777" w:rsidR="002E474C" w:rsidRDefault="002E474C">
            <w:pPr>
              <w:pStyle w:val="A-"/>
              <w:spacing w:line="260" w:lineRule="exact"/>
            </w:pPr>
          </w:p>
        </w:tc>
        <w:tc>
          <w:tcPr>
            <w:tcW w:w="1147" w:type="dxa"/>
            <w:noWrap/>
            <w:vAlign w:val="center"/>
          </w:tcPr>
          <w:p w14:paraId="7554295F" w14:textId="77777777" w:rsidR="002E474C" w:rsidRDefault="00000000">
            <w:pPr>
              <w:pStyle w:val="A-"/>
              <w:spacing w:line="260" w:lineRule="exact"/>
              <w:ind w:leftChars="-25" w:left="-53" w:rightChars="-25" w:right="-53"/>
            </w:pPr>
            <w:r>
              <w:t>900-352-35</w:t>
            </w:r>
          </w:p>
        </w:tc>
        <w:tc>
          <w:tcPr>
            <w:tcW w:w="4991" w:type="dxa"/>
            <w:noWrap/>
            <w:vAlign w:val="center"/>
          </w:tcPr>
          <w:p w14:paraId="38C42A68" w14:textId="77777777" w:rsidR="002E474C" w:rsidRDefault="00000000">
            <w:pPr>
              <w:pStyle w:val="A-"/>
              <w:spacing w:line="260" w:lineRule="exact"/>
            </w:pPr>
            <w:r>
              <w:t>使用碱进行清洗产生的废碱液</w:t>
            </w:r>
          </w:p>
        </w:tc>
        <w:tc>
          <w:tcPr>
            <w:tcW w:w="663" w:type="dxa"/>
            <w:noWrap/>
            <w:vAlign w:val="center"/>
          </w:tcPr>
          <w:p w14:paraId="589BAC39" w14:textId="77777777" w:rsidR="002E474C" w:rsidRDefault="00000000">
            <w:pPr>
              <w:pStyle w:val="A-"/>
              <w:spacing w:line="260" w:lineRule="exact"/>
            </w:pPr>
            <w:r>
              <w:t>C</w:t>
            </w:r>
            <w:r>
              <w:t>，</w:t>
            </w:r>
            <w:r>
              <w:t>T</w:t>
            </w:r>
          </w:p>
        </w:tc>
      </w:tr>
      <w:tr w:rsidR="002E474C" w14:paraId="549D2E0F" w14:textId="77777777">
        <w:trPr>
          <w:trHeight w:val="300"/>
        </w:trPr>
        <w:tc>
          <w:tcPr>
            <w:tcW w:w="828" w:type="dxa"/>
            <w:vMerge/>
            <w:vAlign w:val="center"/>
          </w:tcPr>
          <w:p w14:paraId="77089D95" w14:textId="77777777" w:rsidR="002E474C" w:rsidRDefault="002E474C">
            <w:pPr>
              <w:pStyle w:val="A-"/>
              <w:spacing w:line="260" w:lineRule="exact"/>
            </w:pPr>
          </w:p>
        </w:tc>
        <w:tc>
          <w:tcPr>
            <w:tcW w:w="893" w:type="dxa"/>
            <w:vMerge/>
            <w:vAlign w:val="center"/>
          </w:tcPr>
          <w:p w14:paraId="20925D1C" w14:textId="77777777" w:rsidR="002E474C" w:rsidRDefault="002E474C">
            <w:pPr>
              <w:pStyle w:val="A-"/>
              <w:spacing w:line="260" w:lineRule="exact"/>
            </w:pPr>
          </w:p>
        </w:tc>
        <w:tc>
          <w:tcPr>
            <w:tcW w:w="1147" w:type="dxa"/>
            <w:noWrap/>
            <w:vAlign w:val="center"/>
          </w:tcPr>
          <w:p w14:paraId="2A0AB7F1" w14:textId="77777777" w:rsidR="002E474C" w:rsidRDefault="00000000">
            <w:pPr>
              <w:pStyle w:val="A-"/>
              <w:spacing w:line="260" w:lineRule="exact"/>
              <w:ind w:leftChars="-25" w:left="-53" w:rightChars="-25" w:right="-53"/>
            </w:pPr>
            <w:r>
              <w:t>900-353-35</w:t>
            </w:r>
          </w:p>
        </w:tc>
        <w:tc>
          <w:tcPr>
            <w:tcW w:w="4991" w:type="dxa"/>
            <w:noWrap/>
            <w:vAlign w:val="center"/>
          </w:tcPr>
          <w:p w14:paraId="783F57F0" w14:textId="77777777" w:rsidR="002E474C" w:rsidRDefault="00000000">
            <w:pPr>
              <w:pStyle w:val="A-"/>
              <w:spacing w:line="260" w:lineRule="exact"/>
            </w:pPr>
            <w:r>
              <w:rPr>
                <w:spacing w:val="-11"/>
              </w:rPr>
              <w:t>使用碱进行清洗除蜡、碱性除油、</w:t>
            </w:r>
            <w:r>
              <w:rPr>
                <w:spacing w:val="-11"/>
              </w:rPr>
              <w:t xml:space="preserve"> </w:t>
            </w:r>
            <w:r>
              <w:rPr>
                <w:spacing w:val="-11"/>
              </w:rPr>
              <w:t>电解除油产生的废碱液</w:t>
            </w:r>
          </w:p>
        </w:tc>
        <w:tc>
          <w:tcPr>
            <w:tcW w:w="663" w:type="dxa"/>
            <w:noWrap/>
            <w:vAlign w:val="center"/>
          </w:tcPr>
          <w:p w14:paraId="311D85A7" w14:textId="77777777" w:rsidR="002E474C" w:rsidRDefault="00000000">
            <w:pPr>
              <w:pStyle w:val="A-"/>
              <w:spacing w:line="260" w:lineRule="exact"/>
            </w:pPr>
            <w:r>
              <w:t>C</w:t>
            </w:r>
            <w:r>
              <w:t>，</w:t>
            </w:r>
            <w:r>
              <w:t>T</w:t>
            </w:r>
          </w:p>
        </w:tc>
      </w:tr>
      <w:tr w:rsidR="002E474C" w14:paraId="36C2CA9E" w14:textId="77777777">
        <w:trPr>
          <w:trHeight w:val="300"/>
        </w:trPr>
        <w:tc>
          <w:tcPr>
            <w:tcW w:w="828" w:type="dxa"/>
            <w:vMerge/>
            <w:vAlign w:val="center"/>
          </w:tcPr>
          <w:p w14:paraId="2CFCDFD9" w14:textId="77777777" w:rsidR="002E474C" w:rsidRDefault="002E474C">
            <w:pPr>
              <w:pStyle w:val="A-"/>
              <w:spacing w:line="260" w:lineRule="exact"/>
            </w:pPr>
          </w:p>
        </w:tc>
        <w:tc>
          <w:tcPr>
            <w:tcW w:w="893" w:type="dxa"/>
            <w:vMerge/>
            <w:vAlign w:val="center"/>
          </w:tcPr>
          <w:p w14:paraId="7C245EF8" w14:textId="77777777" w:rsidR="002E474C" w:rsidRDefault="002E474C">
            <w:pPr>
              <w:pStyle w:val="A-"/>
              <w:spacing w:line="260" w:lineRule="exact"/>
            </w:pPr>
          </w:p>
        </w:tc>
        <w:tc>
          <w:tcPr>
            <w:tcW w:w="1147" w:type="dxa"/>
            <w:noWrap/>
            <w:vAlign w:val="center"/>
          </w:tcPr>
          <w:p w14:paraId="1A5C59D1" w14:textId="77777777" w:rsidR="002E474C" w:rsidRDefault="00000000">
            <w:pPr>
              <w:pStyle w:val="A-"/>
              <w:spacing w:line="260" w:lineRule="exact"/>
              <w:ind w:leftChars="-25" w:left="-53" w:rightChars="-25" w:right="-53"/>
            </w:pPr>
            <w:r>
              <w:t>900-354-35</w:t>
            </w:r>
          </w:p>
        </w:tc>
        <w:tc>
          <w:tcPr>
            <w:tcW w:w="4991" w:type="dxa"/>
            <w:noWrap/>
            <w:vAlign w:val="center"/>
          </w:tcPr>
          <w:p w14:paraId="63EE5501" w14:textId="77777777" w:rsidR="002E474C" w:rsidRDefault="00000000">
            <w:pPr>
              <w:pStyle w:val="A-"/>
              <w:spacing w:line="260" w:lineRule="exact"/>
            </w:pPr>
            <w:r>
              <w:rPr>
                <w:spacing w:val="-6"/>
              </w:rPr>
              <w:t>使用碱进行电镀阻挡层或者抗蚀层的脱除产生的废碱液</w:t>
            </w:r>
          </w:p>
        </w:tc>
        <w:tc>
          <w:tcPr>
            <w:tcW w:w="663" w:type="dxa"/>
            <w:noWrap/>
            <w:vAlign w:val="center"/>
          </w:tcPr>
          <w:p w14:paraId="493FFC67" w14:textId="77777777" w:rsidR="002E474C" w:rsidRDefault="00000000">
            <w:pPr>
              <w:pStyle w:val="A-"/>
              <w:spacing w:line="260" w:lineRule="exact"/>
            </w:pPr>
            <w:r>
              <w:t>C</w:t>
            </w:r>
            <w:r>
              <w:t>，</w:t>
            </w:r>
            <w:r>
              <w:t>T</w:t>
            </w:r>
          </w:p>
        </w:tc>
      </w:tr>
      <w:tr w:rsidR="002E474C" w14:paraId="6FE6E5C1" w14:textId="77777777">
        <w:trPr>
          <w:trHeight w:val="300"/>
        </w:trPr>
        <w:tc>
          <w:tcPr>
            <w:tcW w:w="828" w:type="dxa"/>
            <w:vMerge/>
            <w:vAlign w:val="center"/>
          </w:tcPr>
          <w:p w14:paraId="69E3E903" w14:textId="77777777" w:rsidR="002E474C" w:rsidRDefault="002E474C">
            <w:pPr>
              <w:pStyle w:val="A-"/>
              <w:spacing w:line="260" w:lineRule="exact"/>
            </w:pPr>
          </w:p>
        </w:tc>
        <w:tc>
          <w:tcPr>
            <w:tcW w:w="893" w:type="dxa"/>
            <w:vMerge/>
            <w:vAlign w:val="center"/>
          </w:tcPr>
          <w:p w14:paraId="676EFB38" w14:textId="77777777" w:rsidR="002E474C" w:rsidRDefault="002E474C">
            <w:pPr>
              <w:pStyle w:val="A-"/>
              <w:spacing w:line="260" w:lineRule="exact"/>
            </w:pPr>
          </w:p>
        </w:tc>
        <w:tc>
          <w:tcPr>
            <w:tcW w:w="1147" w:type="dxa"/>
            <w:noWrap/>
            <w:vAlign w:val="center"/>
          </w:tcPr>
          <w:p w14:paraId="27A87919" w14:textId="77777777" w:rsidR="002E474C" w:rsidRDefault="00000000">
            <w:pPr>
              <w:pStyle w:val="A-"/>
              <w:spacing w:line="260" w:lineRule="exact"/>
              <w:ind w:leftChars="-25" w:left="-53" w:rightChars="-25" w:right="-53"/>
            </w:pPr>
            <w:r>
              <w:t>900-355-35</w:t>
            </w:r>
          </w:p>
        </w:tc>
        <w:tc>
          <w:tcPr>
            <w:tcW w:w="4991" w:type="dxa"/>
            <w:noWrap/>
            <w:vAlign w:val="center"/>
          </w:tcPr>
          <w:p w14:paraId="053A8130" w14:textId="77777777" w:rsidR="002E474C" w:rsidRDefault="00000000">
            <w:pPr>
              <w:pStyle w:val="A-"/>
              <w:spacing w:line="260" w:lineRule="exact"/>
            </w:pPr>
            <w:r>
              <w:t>使用碱进行氧化膜浸蚀产生的废碱液</w:t>
            </w:r>
          </w:p>
        </w:tc>
        <w:tc>
          <w:tcPr>
            <w:tcW w:w="663" w:type="dxa"/>
            <w:noWrap/>
            <w:vAlign w:val="center"/>
          </w:tcPr>
          <w:p w14:paraId="307ABE65" w14:textId="77777777" w:rsidR="002E474C" w:rsidRDefault="00000000">
            <w:pPr>
              <w:pStyle w:val="A-"/>
              <w:spacing w:line="260" w:lineRule="exact"/>
            </w:pPr>
            <w:r>
              <w:t>C</w:t>
            </w:r>
            <w:r>
              <w:t>，</w:t>
            </w:r>
            <w:r>
              <w:t>T</w:t>
            </w:r>
          </w:p>
        </w:tc>
      </w:tr>
      <w:tr w:rsidR="002E474C" w14:paraId="6A3A51F4" w14:textId="77777777">
        <w:trPr>
          <w:trHeight w:val="300"/>
        </w:trPr>
        <w:tc>
          <w:tcPr>
            <w:tcW w:w="828" w:type="dxa"/>
            <w:vMerge/>
            <w:vAlign w:val="center"/>
          </w:tcPr>
          <w:p w14:paraId="08091EBE" w14:textId="77777777" w:rsidR="002E474C" w:rsidRDefault="002E474C">
            <w:pPr>
              <w:pStyle w:val="A-"/>
              <w:spacing w:line="260" w:lineRule="exact"/>
            </w:pPr>
          </w:p>
        </w:tc>
        <w:tc>
          <w:tcPr>
            <w:tcW w:w="893" w:type="dxa"/>
            <w:vMerge/>
            <w:vAlign w:val="center"/>
          </w:tcPr>
          <w:p w14:paraId="60ED1BCA" w14:textId="77777777" w:rsidR="002E474C" w:rsidRDefault="002E474C">
            <w:pPr>
              <w:pStyle w:val="A-"/>
              <w:spacing w:line="260" w:lineRule="exact"/>
            </w:pPr>
          </w:p>
        </w:tc>
        <w:tc>
          <w:tcPr>
            <w:tcW w:w="1147" w:type="dxa"/>
            <w:noWrap/>
            <w:vAlign w:val="center"/>
          </w:tcPr>
          <w:p w14:paraId="034FFA24" w14:textId="77777777" w:rsidR="002E474C" w:rsidRDefault="00000000">
            <w:pPr>
              <w:pStyle w:val="A-"/>
              <w:spacing w:line="260" w:lineRule="exact"/>
              <w:ind w:leftChars="-25" w:left="-53" w:rightChars="-25" w:right="-53"/>
            </w:pPr>
            <w:r>
              <w:t>900-356-35</w:t>
            </w:r>
          </w:p>
        </w:tc>
        <w:tc>
          <w:tcPr>
            <w:tcW w:w="4991" w:type="dxa"/>
            <w:noWrap/>
            <w:vAlign w:val="center"/>
          </w:tcPr>
          <w:p w14:paraId="2E3BDDD1" w14:textId="77777777" w:rsidR="002E474C" w:rsidRDefault="00000000">
            <w:pPr>
              <w:pStyle w:val="A-"/>
              <w:spacing w:line="260" w:lineRule="exact"/>
            </w:pPr>
            <w:r>
              <w:t>使用碱溶液进行碱性清洗、图形显影产生的废碱液</w:t>
            </w:r>
          </w:p>
        </w:tc>
        <w:tc>
          <w:tcPr>
            <w:tcW w:w="663" w:type="dxa"/>
            <w:noWrap/>
            <w:vAlign w:val="center"/>
          </w:tcPr>
          <w:p w14:paraId="49B9713F" w14:textId="77777777" w:rsidR="002E474C" w:rsidRDefault="00000000">
            <w:pPr>
              <w:pStyle w:val="A-"/>
              <w:spacing w:line="260" w:lineRule="exact"/>
            </w:pPr>
            <w:r>
              <w:t>C</w:t>
            </w:r>
            <w:r>
              <w:t>，</w:t>
            </w:r>
            <w:r>
              <w:t>T</w:t>
            </w:r>
          </w:p>
        </w:tc>
      </w:tr>
      <w:tr w:rsidR="002E474C" w14:paraId="3930ED84" w14:textId="77777777">
        <w:trPr>
          <w:trHeight w:val="300"/>
        </w:trPr>
        <w:tc>
          <w:tcPr>
            <w:tcW w:w="828" w:type="dxa"/>
            <w:vMerge/>
            <w:vAlign w:val="center"/>
          </w:tcPr>
          <w:p w14:paraId="5A66F633" w14:textId="77777777" w:rsidR="002E474C" w:rsidRDefault="002E474C">
            <w:pPr>
              <w:pStyle w:val="A-"/>
              <w:spacing w:line="260" w:lineRule="exact"/>
            </w:pPr>
          </w:p>
        </w:tc>
        <w:tc>
          <w:tcPr>
            <w:tcW w:w="893" w:type="dxa"/>
            <w:vMerge/>
            <w:vAlign w:val="center"/>
          </w:tcPr>
          <w:p w14:paraId="3AFFE655" w14:textId="77777777" w:rsidR="002E474C" w:rsidRDefault="002E474C">
            <w:pPr>
              <w:pStyle w:val="A-"/>
              <w:spacing w:line="260" w:lineRule="exact"/>
            </w:pPr>
          </w:p>
        </w:tc>
        <w:tc>
          <w:tcPr>
            <w:tcW w:w="1147" w:type="dxa"/>
            <w:noWrap/>
            <w:vAlign w:val="center"/>
          </w:tcPr>
          <w:p w14:paraId="063422A0" w14:textId="77777777" w:rsidR="002E474C" w:rsidRDefault="00000000">
            <w:pPr>
              <w:pStyle w:val="A-"/>
              <w:spacing w:line="260" w:lineRule="exact"/>
              <w:ind w:leftChars="-25" w:left="-53" w:rightChars="-25" w:right="-53"/>
            </w:pPr>
            <w:r>
              <w:t>900-399-35</w:t>
            </w:r>
          </w:p>
        </w:tc>
        <w:tc>
          <w:tcPr>
            <w:tcW w:w="4991" w:type="dxa"/>
            <w:noWrap/>
            <w:vAlign w:val="center"/>
          </w:tcPr>
          <w:p w14:paraId="1920FC24" w14:textId="77777777" w:rsidR="002E474C" w:rsidRDefault="00000000">
            <w:pPr>
              <w:pStyle w:val="A-"/>
              <w:spacing w:line="260" w:lineRule="exact"/>
            </w:pPr>
            <w:r>
              <w:t>生产、销售及使用过程中产生的失效、变质、不合格、淘汰、伪劣的强碱性擦洗粉、清洁剂、污迹去除剂以及其他强碱性废碱液、固态碱和碱渣</w:t>
            </w:r>
          </w:p>
        </w:tc>
        <w:tc>
          <w:tcPr>
            <w:tcW w:w="663" w:type="dxa"/>
            <w:noWrap/>
            <w:vAlign w:val="center"/>
          </w:tcPr>
          <w:p w14:paraId="2175A468" w14:textId="77777777" w:rsidR="002E474C" w:rsidRDefault="00000000">
            <w:pPr>
              <w:pStyle w:val="A-"/>
              <w:spacing w:line="260" w:lineRule="exact"/>
            </w:pPr>
            <w:r>
              <w:t>C</w:t>
            </w:r>
            <w:r>
              <w:t>，</w:t>
            </w:r>
            <w:r>
              <w:t>T</w:t>
            </w:r>
          </w:p>
        </w:tc>
      </w:tr>
      <w:tr w:rsidR="002E474C" w14:paraId="553F2535" w14:textId="77777777">
        <w:trPr>
          <w:trHeight w:val="300"/>
        </w:trPr>
        <w:tc>
          <w:tcPr>
            <w:tcW w:w="828" w:type="dxa"/>
            <w:vMerge w:val="restart"/>
            <w:noWrap/>
            <w:vAlign w:val="center"/>
          </w:tcPr>
          <w:p w14:paraId="2514C296" w14:textId="77777777" w:rsidR="002E474C" w:rsidRDefault="00000000">
            <w:pPr>
              <w:pStyle w:val="A-"/>
              <w:spacing w:line="260" w:lineRule="exact"/>
            </w:pPr>
            <w:r>
              <w:t>HW37</w:t>
            </w:r>
            <w:r>
              <w:br/>
            </w:r>
            <w:r>
              <w:lastRenderedPageBreak/>
              <w:t>有机磷化合物废物</w:t>
            </w:r>
          </w:p>
        </w:tc>
        <w:tc>
          <w:tcPr>
            <w:tcW w:w="893" w:type="dxa"/>
            <w:vMerge w:val="restart"/>
            <w:noWrap/>
            <w:vAlign w:val="center"/>
          </w:tcPr>
          <w:p w14:paraId="2879C1F8" w14:textId="77777777" w:rsidR="002E474C" w:rsidRDefault="00000000">
            <w:pPr>
              <w:pStyle w:val="A-"/>
              <w:spacing w:line="260" w:lineRule="exact"/>
            </w:pPr>
            <w:r>
              <w:lastRenderedPageBreak/>
              <w:t>基础化</w:t>
            </w:r>
            <w:r>
              <w:lastRenderedPageBreak/>
              <w:t>学原料制造</w:t>
            </w:r>
          </w:p>
        </w:tc>
        <w:tc>
          <w:tcPr>
            <w:tcW w:w="1147" w:type="dxa"/>
            <w:noWrap/>
            <w:vAlign w:val="center"/>
          </w:tcPr>
          <w:p w14:paraId="621319E3" w14:textId="77777777" w:rsidR="002E474C" w:rsidRDefault="00000000">
            <w:pPr>
              <w:pStyle w:val="A-"/>
              <w:spacing w:line="260" w:lineRule="exact"/>
              <w:ind w:leftChars="-25" w:left="-53" w:rightChars="-25" w:right="-53"/>
            </w:pPr>
            <w:r>
              <w:lastRenderedPageBreak/>
              <w:t>261-061-37</w:t>
            </w:r>
          </w:p>
        </w:tc>
        <w:tc>
          <w:tcPr>
            <w:tcW w:w="4991" w:type="dxa"/>
            <w:noWrap/>
            <w:vAlign w:val="center"/>
          </w:tcPr>
          <w:p w14:paraId="11D50EA8" w14:textId="77777777" w:rsidR="002E474C" w:rsidRDefault="00000000">
            <w:pPr>
              <w:pStyle w:val="A-"/>
              <w:spacing w:line="260" w:lineRule="exact"/>
            </w:pPr>
            <w:r>
              <w:t>除农药以外其他有机磷化合物生产、配制过程中产</w:t>
            </w:r>
            <w:r>
              <w:lastRenderedPageBreak/>
              <w:t>生的反应残余物</w:t>
            </w:r>
          </w:p>
        </w:tc>
        <w:tc>
          <w:tcPr>
            <w:tcW w:w="663" w:type="dxa"/>
            <w:noWrap/>
            <w:vAlign w:val="center"/>
          </w:tcPr>
          <w:p w14:paraId="359FF9CE" w14:textId="77777777" w:rsidR="002E474C" w:rsidRDefault="00000000">
            <w:pPr>
              <w:pStyle w:val="A-"/>
              <w:spacing w:line="260" w:lineRule="exact"/>
            </w:pPr>
            <w:r>
              <w:lastRenderedPageBreak/>
              <w:t>T</w:t>
            </w:r>
          </w:p>
        </w:tc>
      </w:tr>
      <w:tr w:rsidR="002E474C" w14:paraId="16D33CC4" w14:textId="77777777">
        <w:trPr>
          <w:trHeight w:val="300"/>
        </w:trPr>
        <w:tc>
          <w:tcPr>
            <w:tcW w:w="828" w:type="dxa"/>
            <w:vMerge/>
            <w:vAlign w:val="center"/>
          </w:tcPr>
          <w:p w14:paraId="72834621" w14:textId="77777777" w:rsidR="002E474C" w:rsidRDefault="002E474C">
            <w:pPr>
              <w:pStyle w:val="A-"/>
              <w:spacing w:line="260" w:lineRule="exact"/>
            </w:pPr>
          </w:p>
        </w:tc>
        <w:tc>
          <w:tcPr>
            <w:tcW w:w="893" w:type="dxa"/>
            <w:vMerge/>
            <w:vAlign w:val="center"/>
          </w:tcPr>
          <w:p w14:paraId="31266510" w14:textId="77777777" w:rsidR="002E474C" w:rsidRDefault="002E474C">
            <w:pPr>
              <w:pStyle w:val="A-"/>
              <w:spacing w:line="260" w:lineRule="exact"/>
            </w:pPr>
          </w:p>
        </w:tc>
        <w:tc>
          <w:tcPr>
            <w:tcW w:w="1147" w:type="dxa"/>
            <w:noWrap/>
            <w:vAlign w:val="center"/>
          </w:tcPr>
          <w:p w14:paraId="28FFE111" w14:textId="77777777" w:rsidR="002E474C" w:rsidRDefault="00000000">
            <w:pPr>
              <w:pStyle w:val="A-"/>
              <w:spacing w:line="260" w:lineRule="exact"/>
              <w:ind w:leftChars="-25" w:left="-53" w:rightChars="-25" w:right="-53"/>
            </w:pPr>
            <w:r>
              <w:t>261-062-37</w:t>
            </w:r>
          </w:p>
        </w:tc>
        <w:tc>
          <w:tcPr>
            <w:tcW w:w="4991" w:type="dxa"/>
            <w:noWrap/>
            <w:vAlign w:val="center"/>
          </w:tcPr>
          <w:p w14:paraId="7B6A233C" w14:textId="77777777" w:rsidR="002E474C" w:rsidRDefault="00000000">
            <w:pPr>
              <w:pStyle w:val="A-"/>
              <w:spacing w:line="260" w:lineRule="exact"/>
            </w:pPr>
            <w:r>
              <w:t>除农药以外其他有机磷化合物生产、配制过程中产生的废过滤吸附介质</w:t>
            </w:r>
          </w:p>
        </w:tc>
        <w:tc>
          <w:tcPr>
            <w:tcW w:w="663" w:type="dxa"/>
            <w:noWrap/>
            <w:vAlign w:val="center"/>
          </w:tcPr>
          <w:p w14:paraId="31D6C1BD" w14:textId="77777777" w:rsidR="002E474C" w:rsidRDefault="00000000">
            <w:pPr>
              <w:pStyle w:val="A-"/>
              <w:spacing w:line="260" w:lineRule="exact"/>
            </w:pPr>
            <w:r>
              <w:t>T</w:t>
            </w:r>
          </w:p>
        </w:tc>
      </w:tr>
      <w:tr w:rsidR="002E474C" w14:paraId="05E59B7E" w14:textId="77777777">
        <w:trPr>
          <w:trHeight w:val="300"/>
        </w:trPr>
        <w:tc>
          <w:tcPr>
            <w:tcW w:w="828" w:type="dxa"/>
            <w:vMerge/>
            <w:vAlign w:val="center"/>
          </w:tcPr>
          <w:p w14:paraId="40CEDB28" w14:textId="77777777" w:rsidR="002E474C" w:rsidRDefault="002E474C">
            <w:pPr>
              <w:pStyle w:val="A-"/>
              <w:spacing w:line="260" w:lineRule="exact"/>
            </w:pPr>
          </w:p>
        </w:tc>
        <w:tc>
          <w:tcPr>
            <w:tcW w:w="893" w:type="dxa"/>
            <w:vMerge/>
            <w:vAlign w:val="center"/>
          </w:tcPr>
          <w:p w14:paraId="5ABA70F6" w14:textId="77777777" w:rsidR="002E474C" w:rsidRDefault="002E474C">
            <w:pPr>
              <w:pStyle w:val="A-"/>
              <w:spacing w:line="260" w:lineRule="exact"/>
            </w:pPr>
          </w:p>
        </w:tc>
        <w:tc>
          <w:tcPr>
            <w:tcW w:w="1147" w:type="dxa"/>
            <w:noWrap/>
            <w:vAlign w:val="center"/>
          </w:tcPr>
          <w:p w14:paraId="3D8C68A1" w14:textId="77777777" w:rsidR="002E474C" w:rsidRDefault="00000000">
            <w:pPr>
              <w:pStyle w:val="A-"/>
              <w:spacing w:line="260" w:lineRule="exact"/>
              <w:ind w:leftChars="-25" w:left="-53" w:rightChars="-25" w:right="-53"/>
            </w:pPr>
            <w:r>
              <w:t>261-063-37</w:t>
            </w:r>
          </w:p>
        </w:tc>
        <w:tc>
          <w:tcPr>
            <w:tcW w:w="4991" w:type="dxa"/>
            <w:noWrap/>
            <w:vAlign w:val="center"/>
          </w:tcPr>
          <w:p w14:paraId="4E96CB78" w14:textId="77777777" w:rsidR="002E474C" w:rsidRDefault="00000000">
            <w:pPr>
              <w:pStyle w:val="A-"/>
              <w:spacing w:line="260" w:lineRule="exact"/>
            </w:pPr>
            <w:r>
              <w:t>除农药以外其他有机磷化合物生产过程中产生的废水处理污泥</w:t>
            </w:r>
          </w:p>
        </w:tc>
        <w:tc>
          <w:tcPr>
            <w:tcW w:w="663" w:type="dxa"/>
            <w:noWrap/>
            <w:vAlign w:val="center"/>
          </w:tcPr>
          <w:p w14:paraId="0A08926A" w14:textId="77777777" w:rsidR="002E474C" w:rsidRDefault="00000000">
            <w:pPr>
              <w:pStyle w:val="A-"/>
              <w:spacing w:line="260" w:lineRule="exact"/>
            </w:pPr>
            <w:r>
              <w:t>T</w:t>
            </w:r>
          </w:p>
        </w:tc>
      </w:tr>
      <w:tr w:rsidR="002E474C" w14:paraId="664B5E96" w14:textId="77777777">
        <w:trPr>
          <w:trHeight w:val="300"/>
        </w:trPr>
        <w:tc>
          <w:tcPr>
            <w:tcW w:w="828" w:type="dxa"/>
            <w:vMerge/>
            <w:vAlign w:val="center"/>
          </w:tcPr>
          <w:p w14:paraId="548ADFFA" w14:textId="77777777" w:rsidR="002E474C" w:rsidRDefault="002E474C">
            <w:pPr>
              <w:pStyle w:val="A-"/>
              <w:spacing w:line="260" w:lineRule="exact"/>
            </w:pPr>
          </w:p>
        </w:tc>
        <w:tc>
          <w:tcPr>
            <w:tcW w:w="893" w:type="dxa"/>
            <w:noWrap/>
            <w:vAlign w:val="center"/>
          </w:tcPr>
          <w:p w14:paraId="6EBF644A" w14:textId="77777777" w:rsidR="002E474C" w:rsidRDefault="00000000">
            <w:pPr>
              <w:pStyle w:val="A-"/>
              <w:spacing w:line="260" w:lineRule="exact"/>
            </w:pPr>
            <w:r>
              <w:t>非特定行业</w:t>
            </w:r>
          </w:p>
        </w:tc>
        <w:tc>
          <w:tcPr>
            <w:tcW w:w="1147" w:type="dxa"/>
            <w:noWrap/>
            <w:vAlign w:val="center"/>
          </w:tcPr>
          <w:p w14:paraId="3F776F5B" w14:textId="77777777" w:rsidR="002E474C" w:rsidRDefault="00000000">
            <w:pPr>
              <w:pStyle w:val="A-"/>
              <w:spacing w:line="260" w:lineRule="exact"/>
              <w:ind w:leftChars="-25" w:left="-53" w:rightChars="-25" w:right="-53"/>
            </w:pPr>
            <w:r>
              <w:t>900-033-37</w:t>
            </w:r>
          </w:p>
        </w:tc>
        <w:tc>
          <w:tcPr>
            <w:tcW w:w="4991" w:type="dxa"/>
            <w:noWrap/>
            <w:vAlign w:val="center"/>
          </w:tcPr>
          <w:p w14:paraId="63F7D54A" w14:textId="77777777" w:rsidR="002E474C" w:rsidRDefault="00000000">
            <w:pPr>
              <w:pStyle w:val="A-"/>
              <w:spacing w:line="260" w:lineRule="exact"/>
            </w:pPr>
            <w:r>
              <w:t>生产、销售及使用过程中产生的废弃磷酸酯抗燃油</w:t>
            </w:r>
          </w:p>
        </w:tc>
        <w:tc>
          <w:tcPr>
            <w:tcW w:w="663" w:type="dxa"/>
            <w:noWrap/>
            <w:vAlign w:val="center"/>
          </w:tcPr>
          <w:p w14:paraId="35BE72EB" w14:textId="77777777" w:rsidR="002E474C" w:rsidRDefault="00000000">
            <w:pPr>
              <w:pStyle w:val="A-"/>
              <w:spacing w:line="260" w:lineRule="exact"/>
            </w:pPr>
            <w:r>
              <w:t>T</w:t>
            </w:r>
          </w:p>
        </w:tc>
      </w:tr>
      <w:tr w:rsidR="002E474C" w14:paraId="62B74575" w14:textId="77777777">
        <w:trPr>
          <w:trHeight w:val="300"/>
        </w:trPr>
        <w:tc>
          <w:tcPr>
            <w:tcW w:w="828" w:type="dxa"/>
            <w:vMerge w:val="restart"/>
            <w:noWrap/>
            <w:vAlign w:val="center"/>
          </w:tcPr>
          <w:p w14:paraId="747889B0" w14:textId="77777777" w:rsidR="002E474C" w:rsidRDefault="00000000">
            <w:pPr>
              <w:pStyle w:val="A-"/>
              <w:spacing w:line="260" w:lineRule="exact"/>
            </w:pPr>
            <w:r>
              <w:t>HW38</w:t>
            </w:r>
            <w:r>
              <w:br/>
            </w:r>
            <w:r>
              <w:t>有机氰化物废物</w:t>
            </w:r>
          </w:p>
        </w:tc>
        <w:tc>
          <w:tcPr>
            <w:tcW w:w="893" w:type="dxa"/>
            <w:vMerge w:val="restart"/>
            <w:noWrap/>
            <w:vAlign w:val="center"/>
          </w:tcPr>
          <w:p w14:paraId="4F47260A" w14:textId="77777777" w:rsidR="002E474C" w:rsidRDefault="00000000">
            <w:pPr>
              <w:pStyle w:val="A-"/>
              <w:spacing w:line="260" w:lineRule="exact"/>
            </w:pPr>
            <w:r>
              <w:t>基础化学原料制造</w:t>
            </w:r>
          </w:p>
        </w:tc>
        <w:tc>
          <w:tcPr>
            <w:tcW w:w="1147" w:type="dxa"/>
            <w:noWrap/>
            <w:vAlign w:val="center"/>
          </w:tcPr>
          <w:p w14:paraId="778B2645" w14:textId="77777777" w:rsidR="002E474C" w:rsidRDefault="00000000">
            <w:pPr>
              <w:pStyle w:val="A-"/>
              <w:spacing w:line="260" w:lineRule="exact"/>
              <w:ind w:leftChars="-25" w:left="-53" w:rightChars="-25" w:right="-53"/>
            </w:pPr>
            <w:r>
              <w:t>261-064-38</w:t>
            </w:r>
          </w:p>
        </w:tc>
        <w:tc>
          <w:tcPr>
            <w:tcW w:w="4991" w:type="dxa"/>
            <w:noWrap/>
            <w:vAlign w:val="center"/>
          </w:tcPr>
          <w:p w14:paraId="304820B3" w14:textId="77777777" w:rsidR="002E474C" w:rsidRDefault="00000000">
            <w:pPr>
              <w:pStyle w:val="A-"/>
              <w:spacing w:line="260" w:lineRule="exact"/>
            </w:pPr>
            <w:r>
              <w:t>丙烯腈生产过程中废水汽提器塔底的残余物</w:t>
            </w:r>
          </w:p>
        </w:tc>
        <w:tc>
          <w:tcPr>
            <w:tcW w:w="663" w:type="dxa"/>
            <w:noWrap/>
            <w:vAlign w:val="center"/>
          </w:tcPr>
          <w:p w14:paraId="5A1B41C7" w14:textId="77777777" w:rsidR="002E474C" w:rsidRDefault="00000000">
            <w:pPr>
              <w:pStyle w:val="A-"/>
              <w:spacing w:line="260" w:lineRule="exact"/>
            </w:pPr>
            <w:r>
              <w:t>T</w:t>
            </w:r>
            <w:r>
              <w:t>，</w:t>
            </w:r>
            <w:r>
              <w:t>R</w:t>
            </w:r>
          </w:p>
        </w:tc>
      </w:tr>
      <w:tr w:rsidR="002E474C" w14:paraId="42D604FF" w14:textId="77777777">
        <w:trPr>
          <w:trHeight w:val="300"/>
        </w:trPr>
        <w:tc>
          <w:tcPr>
            <w:tcW w:w="828" w:type="dxa"/>
            <w:vMerge/>
            <w:vAlign w:val="center"/>
          </w:tcPr>
          <w:p w14:paraId="2BF0955D" w14:textId="77777777" w:rsidR="002E474C" w:rsidRDefault="002E474C">
            <w:pPr>
              <w:pStyle w:val="A-"/>
              <w:spacing w:line="260" w:lineRule="exact"/>
            </w:pPr>
          </w:p>
        </w:tc>
        <w:tc>
          <w:tcPr>
            <w:tcW w:w="893" w:type="dxa"/>
            <w:vMerge/>
            <w:vAlign w:val="center"/>
          </w:tcPr>
          <w:p w14:paraId="479ECDED" w14:textId="77777777" w:rsidR="002E474C" w:rsidRDefault="002E474C">
            <w:pPr>
              <w:pStyle w:val="A-"/>
              <w:spacing w:line="260" w:lineRule="exact"/>
            </w:pPr>
          </w:p>
        </w:tc>
        <w:tc>
          <w:tcPr>
            <w:tcW w:w="1147" w:type="dxa"/>
            <w:noWrap/>
            <w:vAlign w:val="center"/>
          </w:tcPr>
          <w:p w14:paraId="324EDF54" w14:textId="77777777" w:rsidR="002E474C" w:rsidRDefault="00000000">
            <w:pPr>
              <w:pStyle w:val="A-"/>
              <w:spacing w:line="260" w:lineRule="exact"/>
              <w:ind w:leftChars="-25" w:left="-53" w:rightChars="-25" w:right="-53"/>
            </w:pPr>
            <w:r>
              <w:t>261-065-38</w:t>
            </w:r>
          </w:p>
        </w:tc>
        <w:tc>
          <w:tcPr>
            <w:tcW w:w="4991" w:type="dxa"/>
            <w:noWrap/>
            <w:vAlign w:val="center"/>
          </w:tcPr>
          <w:p w14:paraId="16DA7861" w14:textId="77777777" w:rsidR="002E474C" w:rsidRDefault="00000000">
            <w:pPr>
              <w:pStyle w:val="A-"/>
              <w:spacing w:line="260" w:lineRule="exact"/>
            </w:pPr>
            <w:r>
              <w:t>丙烯腈生产过程中乙腈蒸馏塔底的残余物</w:t>
            </w:r>
          </w:p>
        </w:tc>
        <w:tc>
          <w:tcPr>
            <w:tcW w:w="663" w:type="dxa"/>
            <w:noWrap/>
            <w:vAlign w:val="center"/>
          </w:tcPr>
          <w:p w14:paraId="5648D311" w14:textId="77777777" w:rsidR="002E474C" w:rsidRDefault="00000000">
            <w:pPr>
              <w:pStyle w:val="A-"/>
              <w:spacing w:line="260" w:lineRule="exact"/>
            </w:pPr>
            <w:r>
              <w:t>T</w:t>
            </w:r>
            <w:r>
              <w:t>，</w:t>
            </w:r>
            <w:r>
              <w:t>R</w:t>
            </w:r>
          </w:p>
        </w:tc>
      </w:tr>
      <w:tr w:rsidR="002E474C" w14:paraId="1EB53D1D" w14:textId="77777777">
        <w:trPr>
          <w:trHeight w:val="300"/>
        </w:trPr>
        <w:tc>
          <w:tcPr>
            <w:tcW w:w="828" w:type="dxa"/>
            <w:vMerge/>
            <w:vAlign w:val="center"/>
          </w:tcPr>
          <w:p w14:paraId="278A91F7" w14:textId="77777777" w:rsidR="002E474C" w:rsidRDefault="002E474C">
            <w:pPr>
              <w:pStyle w:val="A-"/>
              <w:spacing w:line="260" w:lineRule="exact"/>
            </w:pPr>
          </w:p>
        </w:tc>
        <w:tc>
          <w:tcPr>
            <w:tcW w:w="893" w:type="dxa"/>
            <w:vMerge/>
            <w:vAlign w:val="center"/>
          </w:tcPr>
          <w:p w14:paraId="0A0E76B8" w14:textId="77777777" w:rsidR="002E474C" w:rsidRDefault="002E474C">
            <w:pPr>
              <w:pStyle w:val="A-"/>
              <w:spacing w:line="260" w:lineRule="exact"/>
            </w:pPr>
          </w:p>
        </w:tc>
        <w:tc>
          <w:tcPr>
            <w:tcW w:w="1147" w:type="dxa"/>
            <w:noWrap/>
            <w:vAlign w:val="center"/>
          </w:tcPr>
          <w:p w14:paraId="67ED16FB" w14:textId="77777777" w:rsidR="002E474C" w:rsidRDefault="00000000">
            <w:pPr>
              <w:pStyle w:val="A-"/>
              <w:spacing w:line="260" w:lineRule="exact"/>
              <w:ind w:leftChars="-25" w:left="-53" w:rightChars="-25" w:right="-53"/>
            </w:pPr>
            <w:r>
              <w:t>261-066-38</w:t>
            </w:r>
          </w:p>
        </w:tc>
        <w:tc>
          <w:tcPr>
            <w:tcW w:w="4991" w:type="dxa"/>
            <w:noWrap/>
            <w:vAlign w:val="center"/>
          </w:tcPr>
          <w:p w14:paraId="0D97867C" w14:textId="77777777" w:rsidR="002E474C" w:rsidRDefault="00000000">
            <w:pPr>
              <w:pStyle w:val="A-"/>
              <w:spacing w:line="260" w:lineRule="exact"/>
            </w:pPr>
            <w:r>
              <w:t>丙烯腈生产过程中乙腈精制塔底的残余物</w:t>
            </w:r>
          </w:p>
        </w:tc>
        <w:tc>
          <w:tcPr>
            <w:tcW w:w="663" w:type="dxa"/>
            <w:noWrap/>
            <w:vAlign w:val="center"/>
          </w:tcPr>
          <w:p w14:paraId="090EFAB9" w14:textId="77777777" w:rsidR="002E474C" w:rsidRDefault="00000000">
            <w:pPr>
              <w:pStyle w:val="A-"/>
              <w:spacing w:line="260" w:lineRule="exact"/>
            </w:pPr>
            <w:r>
              <w:t>T</w:t>
            </w:r>
          </w:p>
        </w:tc>
      </w:tr>
      <w:tr w:rsidR="002E474C" w14:paraId="5AAB9417" w14:textId="77777777">
        <w:trPr>
          <w:trHeight w:val="300"/>
        </w:trPr>
        <w:tc>
          <w:tcPr>
            <w:tcW w:w="828" w:type="dxa"/>
            <w:vMerge/>
            <w:vAlign w:val="center"/>
          </w:tcPr>
          <w:p w14:paraId="29F633F7" w14:textId="77777777" w:rsidR="002E474C" w:rsidRDefault="002E474C">
            <w:pPr>
              <w:pStyle w:val="A-"/>
              <w:spacing w:line="260" w:lineRule="exact"/>
            </w:pPr>
          </w:p>
        </w:tc>
        <w:tc>
          <w:tcPr>
            <w:tcW w:w="893" w:type="dxa"/>
            <w:vMerge/>
            <w:vAlign w:val="center"/>
          </w:tcPr>
          <w:p w14:paraId="65344792" w14:textId="77777777" w:rsidR="002E474C" w:rsidRDefault="002E474C">
            <w:pPr>
              <w:pStyle w:val="A-"/>
              <w:spacing w:line="260" w:lineRule="exact"/>
            </w:pPr>
          </w:p>
        </w:tc>
        <w:tc>
          <w:tcPr>
            <w:tcW w:w="1147" w:type="dxa"/>
            <w:noWrap/>
            <w:vAlign w:val="center"/>
          </w:tcPr>
          <w:p w14:paraId="21AA98C3" w14:textId="77777777" w:rsidR="002E474C" w:rsidRDefault="00000000">
            <w:pPr>
              <w:pStyle w:val="A-"/>
              <w:spacing w:line="260" w:lineRule="exact"/>
              <w:ind w:leftChars="-25" w:left="-53" w:rightChars="-25" w:right="-53"/>
            </w:pPr>
            <w:r>
              <w:t>261-067-38</w:t>
            </w:r>
          </w:p>
        </w:tc>
        <w:tc>
          <w:tcPr>
            <w:tcW w:w="4991" w:type="dxa"/>
            <w:noWrap/>
            <w:vAlign w:val="center"/>
          </w:tcPr>
          <w:p w14:paraId="28B339D2" w14:textId="77777777" w:rsidR="002E474C" w:rsidRDefault="00000000">
            <w:pPr>
              <w:pStyle w:val="A-"/>
              <w:spacing w:line="260" w:lineRule="exact"/>
            </w:pPr>
            <w:r>
              <w:t>有机氰化物生产过程中产生的废母液和反应残余物</w:t>
            </w:r>
          </w:p>
        </w:tc>
        <w:tc>
          <w:tcPr>
            <w:tcW w:w="663" w:type="dxa"/>
            <w:noWrap/>
            <w:vAlign w:val="center"/>
          </w:tcPr>
          <w:p w14:paraId="7EBE03FA" w14:textId="77777777" w:rsidR="002E474C" w:rsidRDefault="00000000">
            <w:pPr>
              <w:pStyle w:val="A-"/>
              <w:spacing w:line="260" w:lineRule="exact"/>
            </w:pPr>
            <w:r>
              <w:t>T</w:t>
            </w:r>
          </w:p>
        </w:tc>
      </w:tr>
      <w:tr w:rsidR="002E474C" w14:paraId="6CA79357" w14:textId="77777777">
        <w:trPr>
          <w:trHeight w:val="300"/>
        </w:trPr>
        <w:tc>
          <w:tcPr>
            <w:tcW w:w="828" w:type="dxa"/>
            <w:vMerge/>
            <w:vAlign w:val="center"/>
          </w:tcPr>
          <w:p w14:paraId="035D2361" w14:textId="77777777" w:rsidR="002E474C" w:rsidRDefault="002E474C">
            <w:pPr>
              <w:pStyle w:val="A-"/>
              <w:spacing w:line="260" w:lineRule="exact"/>
            </w:pPr>
          </w:p>
        </w:tc>
        <w:tc>
          <w:tcPr>
            <w:tcW w:w="893" w:type="dxa"/>
            <w:vMerge/>
            <w:vAlign w:val="center"/>
          </w:tcPr>
          <w:p w14:paraId="2722FEBB" w14:textId="77777777" w:rsidR="002E474C" w:rsidRDefault="002E474C">
            <w:pPr>
              <w:pStyle w:val="A-"/>
              <w:spacing w:line="260" w:lineRule="exact"/>
            </w:pPr>
          </w:p>
        </w:tc>
        <w:tc>
          <w:tcPr>
            <w:tcW w:w="1147" w:type="dxa"/>
            <w:noWrap/>
            <w:vAlign w:val="center"/>
          </w:tcPr>
          <w:p w14:paraId="04931225" w14:textId="77777777" w:rsidR="002E474C" w:rsidRDefault="00000000">
            <w:pPr>
              <w:pStyle w:val="A-"/>
              <w:spacing w:line="260" w:lineRule="exact"/>
              <w:ind w:leftChars="-25" w:left="-53" w:rightChars="-25" w:right="-53"/>
            </w:pPr>
            <w:r>
              <w:t>261-068-38</w:t>
            </w:r>
          </w:p>
        </w:tc>
        <w:tc>
          <w:tcPr>
            <w:tcW w:w="4991" w:type="dxa"/>
            <w:noWrap/>
            <w:vAlign w:val="center"/>
          </w:tcPr>
          <w:p w14:paraId="192BD07D" w14:textId="77777777" w:rsidR="002E474C" w:rsidRDefault="00000000">
            <w:pPr>
              <w:pStyle w:val="A-"/>
              <w:spacing w:line="260" w:lineRule="exact"/>
            </w:pPr>
            <w:r>
              <w:t>有机氰化物生产过程中催化、精馏和过滤工序产生的废催化剂、釜底残余物和过滤介质</w:t>
            </w:r>
          </w:p>
        </w:tc>
        <w:tc>
          <w:tcPr>
            <w:tcW w:w="663" w:type="dxa"/>
            <w:noWrap/>
            <w:vAlign w:val="center"/>
          </w:tcPr>
          <w:p w14:paraId="40EA03FB" w14:textId="77777777" w:rsidR="002E474C" w:rsidRDefault="00000000">
            <w:pPr>
              <w:pStyle w:val="A-"/>
              <w:spacing w:line="260" w:lineRule="exact"/>
            </w:pPr>
            <w:r>
              <w:t>T</w:t>
            </w:r>
          </w:p>
        </w:tc>
      </w:tr>
      <w:tr w:rsidR="002E474C" w14:paraId="2CD3B1AB" w14:textId="77777777">
        <w:trPr>
          <w:trHeight w:val="300"/>
        </w:trPr>
        <w:tc>
          <w:tcPr>
            <w:tcW w:w="828" w:type="dxa"/>
            <w:vMerge/>
            <w:vAlign w:val="center"/>
          </w:tcPr>
          <w:p w14:paraId="73CC64AB" w14:textId="77777777" w:rsidR="002E474C" w:rsidRDefault="002E474C">
            <w:pPr>
              <w:pStyle w:val="A-"/>
              <w:spacing w:line="260" w:lineRule="exact"/>
            </w:pPr>
          </w:p>
        </w:tc>
        <w:tc>
          <w:tcPr>
            <w:tcW w:w="893" w:type="dxa"/>
            <w:vMerge/>
            <w:vAlign w:val="center"/>
          </w:tcPr>
          <w:p w14:paraId="033EDBE7" w14:textId="77777777" w:rsidR="002E474C" w:rsidRDefault="002E474C">
            <w:pPr>
              <w:pStyle w:val="A-"/>
              <w:spacing w:line="260" w:lineRule="exact"/>
            </w:pPr>
          </w:p>
        </w:tc>
        <w:tc>
          <w:tcPr>
            <w:tcW w:w="1147" w:type="dxa"/>
            <w:noWrap/>
            <w:vAlign w:val="center"/>
          </w:tcPr>
          <w:p w14:paraId="1D86D010" w14:textId="77777777" w:rsidR="002E474C" w:rsidRDefault="00000000">
            <w:pPr>
              <w:pStyle w:val="A-"/>
              <w:spacing w:line="260" w:lineRule="exact"/>
              <w:ind w:leftChars="-25" w:left="-53" w:rightChars="-25" w:right="-53"/>
            </w:pPr>
            <w:r>
              <w:t>261-069-38</w:t>
            </w:r>
          </w:p>
        </w:tc>
        <w:tc>
          <w:tcPr>
            <w:tcW w:w="4991" w:type="dxa"/>
            <w:noWrap/>
            <w:vAlign w:val="center"/>
          </w:tcPr>
          <w:p w14:paraId="57E8B08F" w14:textId="77777777" w:rsidR="002E474C" w:rsidRDefault="00000000">
            <w:pPr>
              <w:pStyle w:val="A-"/>
              <w:spacing w:line="260" w:lineRule="exact"/>
            </w:pPr>
            <w:r>
              <w:t>有机氰化物生产过程中产生的废水处理污泥</w:t>
            </w:r>
          </w:p>
        </w:tc>
        <w:tc>
          <w:tcPr>
            <w:tcW w:w="663" w:type="dxa"/>
            <w:noWrap/>
            <w:vAlign w:val="center"/>
          </w:tcPr>
          <w:p w14:paraId="14CA3804" w14:textId="77777777" w:rsidR="002E474C" w:rsidRDefault="00000000">
            <w:pPr>
              <w:pStyle w:val="A-"/>
              <w:spacing w:line="260" w:lineRule="exact"/>
            </w:pPr>
            <w:r>
              <w:t>T</w:t>
            </w:r>
          </w:p>
        </w:tc>
      </w:tr>
      <w:tr w:rsidR="002E474C" w14:paraId="15ED1DC0" w14:textId="77777777">
        <w:trPr>
          <w:trHeight w:val="300"/>
        </w:trPr>
        <w:tc>
          <w:tcPr>
            <w:tcW w:w="828" w:type="dxa"/>
            <w:vMerge/>
            <w:vAlign w:val="center"/>
          </w:tcPr>
          <w:p w14:paraId="5053BA26" w14:textId="77777777" w:rsidR="002E474C" w:rsidRDefault="002E474C">
            <w:pPr>
              <w:pStyle w:val="A-"/>
              <w:spacing w:line="260" w:lineRule="exact"/>
            </w:pPr>
          </w:p>
        </w:tc>
        <w:tc>
          <w:tcPr>
            <w:tcW w:w="893" w:type="dxa"/>
            <w:vMerge/>
            <w:vAlign w:val="center"/>
          </w:tcPr>
          <w:p w14:paraId="37191328" w14:textId="77777777" w:rsidR="002E474C" w:rsidRDefault="002E474C">
            <w:pPr>
              <w:pStyle w:val="A-"/>
              <w:spacing w:line="260" w:lineRule="exact"/>
            </w:pPr>
          </w:p>
        </w:tc>
        <w:tc>
          <w:tcPr>
            <w:tcW w:w="1147" w:type="dxa"/>
            <w:noWrap/>
            <w:vAlign w:val="center"/>
          </w:tcPr>
          <w:p w14:paraId="5800A6B8" w14:textId="77777777" w:rsidR="002E474C" w:rsidRDefault="00000000">
            <w:pPr>
              <w:pStyle w:val="A-"/>
              <w:spacing w:line="260" w:lineRule="exact"/>
              <w:ind w:leftChars="-25" w:left="-53" w:rightChars="-25" w:right="-53"/>
            </w:pPr>
            <w:r>
              <w:t>261-140-38</w:t>
            </w:r>
          </w:p>
        </w:tc>
        <w:tc>
          <w:tcPr>
            <w:tcW w:w="4991" w:type="dxa"/>
            <w:noWrap/>
            <w:vAlign w:val="center"/>
          </w:tcPr>
          <w:p w14:paraId="2C08BBBC" w14:textId="77777777" w:rsidR="002E474C" w:rsidRDefault="00000000">
            <w:pPr>
              <w:pStyle w:val="A-"/>
              <w:spacing w:line="260" w:lineRule="exact"/>
            </w:pPr>
            <w:r>
              <w:t>废腈纶高温高压水解生产聚丙烯腈</w:t>
            </w:r>
            <w:r>
              <w:t>-</w:t>
            </w:r>
            <w:r>
              <w:t>铵盐过程中产生的过滤残渣</w:t>
            </w:r>
          </w:p>
        </w:tc>
        <w:tc>
          <w:tcPr>
            <w:tcW w:w="663" w:type="dxa"/>
            <w:noWrap/>
            <w:vAlign w:val="center"/>
          </w:tcPr>
          <w:p w14:paraId="6616DB6F" w14:textId="77777777" w:rsidR="002E474C" w:rsidRDefault="00000000">
            <w:pPr>
              <w:pStyle w:val="A-"/>
              <w:spacing w:line="260" w:lineRule="exact"/>
            </w:pPr>
            <w:r>
              <w:t>T</w:t>
            </w:r>
          </w:p>
        </w:tc>
      </w:tr>
      <w:tr w:rsidR="002E474C" w14:paraId="69F765A6" w14:textId="77777777">
        <w:trPr>
          <w:trHeight w:val="300"/>
        </w:trPr>
        <w:tc>
          <w:tcPr>
            <w:tcW w:w="828" w:type="dxa"/>
            <w:vMerge w:val="restart"/>
            <w:noWrap/>
            <w:vAlign w:val="center"/>
          </w:tcPr>
          <w:p w14:paraId="449AFBDB" w14:textId="77777777" w:rsidR="002E474C" w:rsidRDefault="00000000">
            <w:pPr>
              <w:pStyle w:val="A-"/>
              <w:spacing w:line="260" w:lineRule="exact"/>
            </w:pPr>
            <w:r>
              <w:t>HW39</w:t>
            </w:r>
            <w:r>
              <w:br/>
            </w:r>
            <w:r>
              <w:t>含酚废物</w:t>
            </w:r>
          </w:p>
        </w:tc>
        <w:tc>
          <w:tcPr>
            <w:tcW w:w="893" w:type="dxa"/>
            <w:vMerge w:val="restart"/>
            <w:noWrap/>
            <w:vAlign w:val="center"/>
          </w:tcPr>
          <w:p w14:paraId="08BCE7BD" w14:textId="77777777" w:rsidR="002E474C" w:rsidRDefault="00000000">
            <w:pPr>
              <w:pStyle w:val="A-"/>
              <w:spacing w:line="260" w:lineRule="exact"/>
            </w:pPr>
            <w:r>
              <w:t>基础化学原料制造</w:t>
            </w:r>
          </w:p>
        </w:tc>
        <w:tc>
          <w:tcPr>
            <w:tcW w:w="1147" w:type="dxa"/>
            <w:noWrap/>
            <w:vAlign w:val="center"/>
          </w:tcPr>
          <w:p w14:paraId="5212F5B5" w14:textId="77777777" w:rsidR="002E474C" w:rsidRDefault="00000000">
            <w:pPr>
              <w:pStyle w:val="A-"/>
              <w:spacing w:line="260" w:lineRule="exact"/>
              <w:ind w:leftChars="-25" w:left="-53" w:rightChars="-25" w:right="-53"/>
            </w:pPr>
            <w:r>
              <w:t>261-070-39</w:t>
            </w:r>
          </w:p>
        </w:tc>
        <w:tc>
          <w:tcPr>
            <w:tcW w:w="4991" w:type="dxa"/>
            <w:noWrap/>
            <w:vAlign w:val="center"/>
          </w:tcPr>
          <w:p w14:paraId="3C68F580" w14:textId="77777777" w:rsidR="002E474C" w:rsidRDefault="00000000">
            <w:pPr>
              <w:pStyle w:val="A-"/>
              <w:spacing w:line="260" w:lineRule="exact"/>
            </w:pPr>
            <w:r>
              <w:rPr>
                <w:spacing w:val="-6"/>
              </w:rPr>
              <w:t>酚及酚类化合物生产过程中产生的废母液和反应残余物</w:t>
            </w:r>
          </w:p>
        </w:tc>
        <w:tc>
          <w:tcPr>
            <w:tcW w:w="663" w:type="dxa"/>
            <w:noWrap/>
            <w:vAlign w:val="center"/>
          </w:tcPr>
          <w:p w14:paraId="219EF3B0" w14:textId="77777777" w:rsidR="002E474C" w:rsidRDefault="00000000">
            <w:pPr>
              <w:pStyle w:val="A-"/>
              <w:spacing w:line="260" w:lineRule="exact"/>
            </w:pPr>
            <w:r>
              <w:t>T</w:t>
            </w:r>
          </w:p>
        </w:tc>
      </w:tr>
      <w:tr w:rsidR="002E474C" w14:paraId="0DAB93C5" w14:textId="77777777">
        <w:trPr>
          <w:trHeight w:val="300"/>
        </w:trPr>
        <w:tc>
          <w:tcPr>
            <w:tcW w:w="828" w:type="dxa"/>
            <w:vMerge/>
            <w:vAlign w:val="center"/>
          </w:tcPr>
          <w:p w14:paraId="530392C8" w14:textId="77777777" w:rsidR="002E474C" w:rsidRDefault="002E474C">
            <w:pPr>
              <w:pStyle w:val="A-"/>
              <w:spacing w:line="260" w:lineRule="exact"/>
            </w:pPr>
          </w:p>
        </w:tc>
        <w:tc>
          <w:tcPr>
            <w:tcW w:w="893" w:type="dxa"/>
            <w:vMerge/>
            <w:vAlign w:val="center"/>
          </w:tcPr>
          <w:p w14:paraId="4B22D7B3" w14:textId="77777777" w:rsidR="002E474C" w:rsidRDefault="002E474C">
            <w:pPr>
              <w:pStyle w:val="A-"/>
              <w:spacing w:line="260" w:lineRule="exact"/>
            </w:pPr>
          </w:p>
        </w:tc>
        <w:tc>
          <w:tcPr>
            <w:tcW w:w="1147" w:type="dxa"/>
            <w:noWrap/>
            <w:vAlign w:val="center"/>
          </w:tcPr>
          <w:p w14:paraId="12B9CE17" w14:textId="77777777" w:rsidR="002E474C" w:rsidRDefault="00000000">
            <w:pPr>
              <w:pStyle w:val="A-"/>
              <w:spacing w:line="260" w:lineRule="exact"/>
              <w:ind w:leftChars="-25" w:left="-53" w:rightChars="-25" w:right="-53"/>
            </w:pPr>
            <w:r>
              <w:t>261-071-39</w:t>
            </w:r>
          </w:p>
        </w:tc>
        <w:tc>
          <w:tcPr>
            <w:tcW w:w="4991" w:type="dxa"/>
            <w:noWrap/>
            <w:vAlign w:val="center"/>
          </w:tcPr>
          <w:p w14:paraId="7D23F695" w14:textId="77777777" w:rsidR="002E474C" w:rsidRDefault="00000000">
            <w:pPr>
              <w:pStyle w:val="A-"/>
              <w:spacing w:line="260" w:lineRule="exact"/>
            </w:pPr>
            <w:r>
              <w:t>酚及酚类化合物生产过程中产生的废过滤吸附介质、废催化剂、精馏残余物</w:t>
            </w:r>
          </w:p>
        </w:tc>
        <w:tc>
          <w:tcPr>
            <w:tcW w:w="663" w:type="dxa"/>
            <w:noWrap/>
            <w:vAlign w:val="center"/>
          </w:tcPr>
          <w:p w14:paraId="67B7B51A" w14:textId="77777777" w:rsidR="002E474C" w:rsidRDefault="00000000">
            <w:pPr>
              <w:pStyle w:val="A-"/>
              <w:spacing w:line="260" w:lineRule="exact"/>
            </w:pPr>
            <w:r>
              <w:t>T</w:t>
            </w:r>
          </w:p>
        </w:tc>
      </w:tr>
      <w:tr w:rsidR="002E474C" w14:paraId="2CCE0789" w14:textId="77777777">
        <w:trPr>
          <w:trHeight w:val="300"/>
        </w:trPr>
        <w:tc>
          <w:tcPr>
            <w:tcW w:w="828" w:type="dxa"/>
            <w:noWrap/>
            <w:vAlign w:val="center"/>
          </w:tcPr>
          <w:p w14:paraId="0A50A092" w14:textId="77777777" w:rsidR="002E474C" w:rsidRDefault="00000000">
            <w:pPr>
              <w:pStyle w:val="A-"/>
              <w:spacing w:line="260" w:lineRule="exact"/>
            </w:pPr>
            <w:r>
              <w:t>HW40</w:t>
            </w:r>
            <w:r>
              <w:br/>
            </w:r>
            <w:r>
              <w:t>含醚废物</w:t>
            </w:r>
          </w:p>
        </w:tc>
        <w:tc>
          <w:tcPr>
            <w:tcW w:w="893" w:type="dxa"/>
            <w:noWrap/>
            <w:vAlign w:val="center"/>
          </w:tcPr>
          <w:p w14:paraId="522CB6C3" w14:textId="77777777" w:rsidR="002E474C" w:rsidRDefault="00000000">
            <w:pPr>
              <w:pStyle w:val="A-"/>
              <w:spacing w:line="260" w:lineRule="exact"/>
            </w:pPr>
            <w:r>
              <w:t>基础化学原料制造</w:t>
            </w:r>
          </w:p>
        </w:tc>
        <w:tc>
          <w:tcPr>
            <w:tcW w:w="1147" w:type="dxa"/>
            <w:noWrap/>
            <w:vAlign w:val="center"/>
          </w:tcPr>
          <w:p w14:paraId="186C39BF" w14:textId="77777777" w:rsidR="002E474C" w:rsidRDefault="00000000">
            <w:pPr>
              <w:pStyle w:val="A-"/>
              <w:spacing w:line="260" w:lineRule="exact"/>
              <w:ind w:leftChars="-25" w:left="-53" w:rightChars="-25" w:right="-53"/>
            </w:pPr>
            <w:r>
              <w:t>261-072-40</w:t>
            </w:r>
          </w:p>
        </w:tc>
        <w:tc>
          <w:tcPr>
            <w:tcW w:w="4991" w:type="dxa"/>
            <w:noWrap/>
            <w:vAlign w:val="center"/>
          </w:tcPr>
          <w:p w14:paraId="0AF0253D" w14:textId="77777777" w:rsidR="002E474C" w:rsidRDefault="00000000">
            <w:pPr>
              <w:pStyle w:val="A-"/>
              <w:spacing w:line="260" w:lineRule="exact"/>
            </w:pPr>
            <w:r>
              <w:t>醚及醚类化合物生产过程（不包括成醚反应之前的合成过程）</w:t>
            </w:r>
            <w:r>
              <w:t xml:space="preserve"> </w:t>
            </w:r>
            <w:r>
              <w:t>中产生的醚类残液、反应残余物、废水处理污泥（不包括废水生化处理污泥）</w:t>
            </w:r>
          </w:p>
        </w:tc>
        <w:tc>
          <w:tcPr>
            <w:tcW w:w="663" w:type="dxa"/>
            <w:noWrap/>
            <w:vAlign w:val="center"/>
          </w:tcPr>
          <w:p w14:paraId="39D14843" w14:textId="77777777" w:rsidR="002E474C" w:rsidRDefault="00000000">
            <w:pPr>
              <w:pStyle w:val="A-"/>
              <w:spacing w:line="260" w:lineRule="exact"/>
            </w:pPr>
            <w:r>
              <w:t>T</w:t>
            </w:r>
          </w:p>
        </w:tc>
      </w:tr>
      <w:tr w:rsidR="002E474C" w14:paraId="26035F71" w14:textId="77777777">
        <w:trPr>
          <w:trHeight w:val="300"/>
        </w:trPr>
        <w:tc>
          <w:tcPr>
            <w:tcW w:w="828" w:type="dxa"/>
            <w:vMerge w:val="restart"/>
            <w:noWrap/>
            <w:vAlign w:val="center"/>
          </w:tcPr>
          <w:p w14:paraId="7703DA66" w14:textId="77777777" w:rsidR="002E474C" w:rsidRDefault="00000000">
            <w:pPr>
              <w:pStyle w:val="A-"/>
              <w:spacing w:line="260" w:lineRule="exact"/>
            </w:pPr>
            <w:r>
              <w:t>HW45</w:t>
            </w:r>
            <w:r>
              <w:br/>
            </w:r>
            <w:r>
              <w:t>含有机卤化物废物</w:t>
            </w:r>
          </w:p>
        </w:tc>
        <w:tc>
          <w:tcPr>
            <w:tcW w:w="893" w:type="dxa"/>
            <w:vMerge w:val="restart"/>
            <w:noWrap/>
            <w:vAlign w:val="center"/>
          </w:tcPr>
          <w:p w14:paraId="69DE6DC5" w14:textId="77777777" w:rsidR="002E474C" w:rsidRDefault="00000000">
            <w:pPr>
              <w:pStyle w:val="A-"/>
              <w:spacing w:line="260" w:lineRule="exact"/>
            </w:pPr>
            <w:r>
              <w:t>基础化学原料制造</w:t>
            </w:r>
          </w:p>
        </w:tc>
        <w:tc>
          <w:tcPr>
            <w:tcW w:w="1147" w:type="dxa"/>
            <w:noWrap/>
            <w:vAlign w:val="center"/>
          </w:tcPr>
          <w:p w14:paraId="1525FC01" w14:textId="77777777" w:rsidR="002E474C" w:rsidRDefault="00000000">
            <w:pPr>
              <w:pStyle w:val="A-"/>
              <w:spacing w:line="260" w:lineRule="exact"/>
              <w:ind w:leftChars="-25" w:left="-53" w:rightChars="-25" w:right="-53"/>
            </w:pPr>
            <w:r>
              <w:t>261-078-45</w:t>
            </w:r>
          </w:p>
        </w:tc>
        <w:tc>
          <w:tcPr>
            <w:tcW w:w="4991" w:type="dxa"/>
            <w:noWrap/>
            <w:vAlign w:val="center"/>
          </w:tcPr>
          <w:p w14:paraId="6D41793E" w14:textId="77777777" w:rsidR="002E474C" w:rsidRDefault="00000000">
            <w:pPr>
              <w:pStyle w:val="A-"/>
              <w:spacing w:line="260" w:lineRule="exact"/>
              <w:ind w:leftChars="-25" w:left="-53" w:rightChars="-25" w:right="-53"/>
            </w:pPr>
            <w:r>
              <w:t>乙烯溴化法生产二溴乙烯过程中废气净化产生的废液</w:t>
            </w:r>
          </w:p>
        </w:tc>
        <w:tc>
          <w:tcPr>
            <w:tcW w:w="663" w:type="dxa"/>
            <w:noWrap/>
            <w:vAlign w:val="center"/>
          </w:tcPr>
          <w:p w14:paraId="03D53949" w14:textId="77777777" w:rsidR="002E474C" w:rsidRDefault="00000000">
            <w:pPr>
              <w:pStyle w:val="A-"/>
              <w:spacing w:line="260" w:lineRule="exact"/>
            </w:pPr>
            <w:r>
              <w:t>T</w:t>
            </w:r>
          </w:p>
        </w:tc>
      </w:tr>
      <w:tr w:rsidR="002E474C" w14:paraId="63E9766E" w14:textId="77777777">
        <w:trPr>
          <w:trHeight w:val="300"/>
        </w:trPr>
        <w:tc>
          <w:tcPr>
            <w:tcW w:w="828" w:type="dxa"/>
            <w:vMerge/>
            <w:vAlign w:val="center"/>
          </w:tcPr>
          <w:p w14:paraId="6A71352F" w14:textId="77777777" w:rsidR="002E474C" w:rsidRDefault="002E474C">
            <w:pPr>
              <w:pStyle w:val="A-"/>
              <w:spacing w:line="260" w:lineRule="exact"/>
            </w:pPr>
          </w:p>
        </w:tc>
        <w:tc>
          <w:tcPr>
            <w:tcW w:w="893" w:type="dxa"/>
            <w:vMerge/>
            <w:vAlign w:val="center"/>
          </w:tcPr>
          <w:p w14:paraId="141242B0" w14:textId="77777777" w:rsidR="002E474C" w:rsidRDefault="002E474C">
            <w:pPr>
              <w:pStyle w:val="A-"/>
              <w:spacing w:line="260" w:lineRule="exact"/>
            </w:pPr>
          </w:p>
        </w:tc>
        <w:tc>
          <w:tcPr>
            <w:tcW w:w="1147" w:type="dxa"/>
            <w:noWrap/>
            <w:vAlign w:val="center"/>
          </w:tcPr>
          <w:p w14:paraId="1B952205" w14:textId="77777777" w:rsidR="002E474C" w:rsidRDefault="00000000">
            <w:pPr>
              <w:pStyle w:val="A-"/>
              <w:spacing w:line="260" w:lineRule="exact"/>
              <w:ind w:leftChars="-25" w:left="-53" w:rightChars="-25" w:right="-53"/>
            </w:pPr>
            <w:r>
              <w:t>261-079-45</w:t>
            </w:r>
          </w:p>
        </w:tc>
        <w:tc>
          <w:tcPr>
            <w:tcW w:w="4991" w:type="dxa"/>
            <w:noWrap/>
            <w:vAlign w:val="center"/>
          </w:tcPr>
          <w:p w14:paraId="4346E99D" w14:textId="77777777" w:rsidR="002E474C" w:rsidRDefault="00000000">
            <w:pPr>
              <w:pStyle w:val="A-"/>
              <w:spacing w:line="260" w:lineRule="exact"/>
              <w:ind w:leftChars="-50" w:left="-105" w:rightChars="-50" w:right="-105"/>
            </w:pPr>
            <w:r>
              <w:rPr>
                <w:spacing w:val="-6"/>
              </w:rPr>
              <w:t>乙烯溴化法生产二溴乙烯过程中产品精制产生的废吸附剂</w:t>
            </w:r>
          </w:p>
        </w:tc>
        <w:tc>
          <w:tcPr>
            <w:tcW w:w="663" w:type="dxa"/>
            <w:noWrap/>
            <w:vAlign w:val="center"/>
          </w:tcPr>
          <w:p w14:paraId="127D1709" w14:textId="77777777" w:rsidR="002E474C" w:rsidRDefault="00000000">
            <w:pPr>
              <w:pStyle w:val="A-"/>
              <w:spacing w:line="260" w:lineRule="exact"/>
            </w:pPr>
            <w:r>
              <w:t>T</w:t>
            </w:r>
          </w:p>
        </w:tc>
      </w:tr>
      <w:tr w:rsidR="002E474C" w14:paraId="68077852" w14:textId="77777777">
        <w:trPr>
          <w:trHeight w:val="300"/>
        </w:trPr>
        <w:tc>
          <w:tcPr>
            <w:tcW w:w="828" w:type="dxa"/>
            <w:vMerge/>
            <w:vAlign w:val="center"/>
          </w:tcPr>
          <w:p w14:paraId="0E7142B7" w14:textId="77777777" w:rsidR="002E474C" w:rsidRDefault="002E474C">
            <w:pPr>
              <w:pStyle w:val="A-"/>
              <w:spacing w:line="260" w:lineRule="exact"/>
            </w:pPr>
          </w:p>
        </w:tc>
        <w:tc>
          <w:tcPr>
            <w:tcW w:w="893" w:type="dxa"/>
            <w:vMerge/>
            <w:vAlign w:val="center"/>
          </w:tcPr>
          <w:p w14:paraId="2A191769" w14:textId="77777777" w:rsidR="002E474C" w:rsidRDefault="002E474C">
            <w:pPr>
              <w:pStyle w:val="A-"/>
              <w:spacing w:line="260" w:lineRule="exact"/>
            </w:pPr>
          </w:p>
        </w:tc>
        <w:tc>
          <w:tcPr>
            <w:tcW w:w="1147" w:type="dxa"/>
            <w:noWrap/>
            <w:vAlign w:val="center"/>
          </w:tcPr>
          <w:p w14:paraId="1FA3E213" w14:textId="77777777" w:rsidR="002E474C" w:rsidRDefault="00000000">
            <w:pPr>
              <w:pStyle w:val="A-"/>
              <w:spacing w:line="260" w:lineRule="exact"/>
              <w:ind w:leftChars="-25" w:left="-53" w:rightChars="-25" w:right="-53"/>
            </w:pPr>
            <w:r>
              <w:t>261-080-45</w:t>
            </w:r>
          </w:p>
        </w:tc>
        <w:tc>
          <w:tcPr>
            <w:tcW w:w="4991" w:type="dxa"/>
            <w:noWrap/>
            <w:vAlign w:val="center"/>
          </w:tcPr>
          <w:p w14:paraId="6D24BEF4" w14:textId="77777777" w:rsidR="002E474C" w:rsidRDefault="00000000">
            <w:pPr>
              <w:pStyle w:val="A-"/>
              <w:spacing w:line="260" w:lineRule="exact"/>
            </w:pPr>
            <w:r>
              <w:t>芳烃及其衍生物氯代反应过程中氯气和盐酸回收工艺产生的废液和废吸附剂</w:t>
            </w:r>
          </w:p>
        </w:tc>
        <w:tc>
          <w:tcPr>
            <w:tcW w:w="663" w:type="dxa"/>
            <w:noWrap/>
            <w:vAlign w:val="center"/>
          </w:tcPr>
          <w:p w14:paraId="35BE7E7E" w14:textId="77777777" w:rsidR="002E474C" w:rsidRDefault="00000000">
            <w:pPr>
              <w:pStyle w:val="A-"/>
              <w:spacing w:line="260" w:lineRule="exact"/>
            </w:pPr>
            <w:r>
              <w:t>T</w:t>
            </w:r>
          </w:p>
        </w:tc>
      </w:tr>
      <w:tr w:rsidR="002E474C" w14:paraId="2A7776B3" w14:textId="77777777">
        <w:trPr>
          <w:trHeight w:val="300"/>
        </w:trPr>
        <w:tc>
          <w:tcPr>
            <w:tcW w:w="828" w:type="dxa"/>
            <w:vMerge/>
            <w:vAlign w:val="center"/>
          </w:tcPr>
          <w:p w14:paraId="019FC5BF" w14:textId="77777777" w:rsidR="002E474C" w:rsidRDefault="002E474C">
            <w:pPr>
              <w:pStyle w:val="A-"/>
              <w:spacing w:line="260" w:lineRule="exact"/>
            </w:pPr>
          </w:p>
        </w:tc>
        <w:tc>
          <w:tcPr>
            <w:tcW w:w="893" w:type="dxa"/>
            <w:vMerge/>
            <w:vAlign w:val="center"/>
          </w:tcPr>
          <w:p w14:paraId="6971EFB3" w14:textId="77777777" w:rsidR="002E474C" w:rsidRDefault="002E474C">
            <w:pPr>
              <w:pStyle w:val="A-"/>
              <w:spacing w:line="260" w:lineRule="exact"/>
            </w:pPr>
          </w:p>
        </w:tc>
        <w:tc>
          <w:tcPr>
            <w:tcW w:w="1147" w:type="dxa"/>
            <w:noWrap/>
            <w:vAlign w:val="center"/>
          </w:tcPr>
          <w:p w14:paraId="53059286" w14:textId="77777777" w:rsidR="002E474C" w:rsidRDefault="00000000">
            <w:pPr>
              <w:pStyle w:val="A-"/>
              <w:spacing w:line="260" w:lineRule="exact"/>
              <w:ind w:leftChars="-25" w:left="-53" w:rightChars="-25" w:right="-53"/>
            </w:pPr>
            <w:r>
              <w:t>261-081-45</w:t>
            </w:r>
          </w:p>
        </w:tc>
        <w:tc>
          <w:tcPr>
            <w:tcW w:w="4991" w:type="dxa"/>
            <w:noWrap/>
            <w:vAlign w:val="center"/>
          </w:tcPr>
          <w:p w14:paraId="17D30496" w14:textId="77777777" w:rsidR="002E474C" w:rsidRDefault="00000000">
            <w:pPr>
              <w:pStyle w:val="A-"/>
              <w:spacing w:line="260" w:lineRule="exact"/>
              <w:ind w:leftChars="-25" w:left="-53" w:rightChars="-25" w:right="-53"/>
            </w:pPr>
            <w:r>
              <w:t>芳烃及其衍生物氯代反应过程中产生的废水处理污泥</w:t>
            </w:r>
          </w:p>
        </w:tc>
        <w:tc>
          <w:tcPr>
            <w:tcW w:w="663" w:type="dxa"/>
            <w:noWrap/>
            <w:vAlign w:val="center"/>
          </w:tcPr>
          <w:p w14:paraId="1563A32B" w14:textId="77777777" w:rsidR="002E474C" w:rsidRDefault="00000000">
            <w:pPr>
              <w:pStyle w:val="A-"/>
              <w:spacing w:line="260" w:lineRule="exact"/>
            </w:pPr>
            <w:r>
              <w:t>T</w:t>
            </w:r>
          </w:p>
        </w:tc>
      </w:tr>
      <w:tr w:rsidR="002E474C" w14:paraId="2D593769" w14:textId="77777777">
        <w:trPr>
          <w:trHeight w:val="300"/>
        </w:trPr>
        <w:tc>
          <w:tcPr>
            <w:tcW w:w="828" w:type="dxa"/>
            <w:vMerge/>
            <w:vAlign w:val="center"/>
          </w:tcPr>
          <w:p w14:paraId="44116ED8" w14:textId="77777777" w:rsidR="002E474C" w:rsidRDefault="002E474C">
            <w:pPr>
              <w:pStyle w:val="A-"/>
              <w:spacing w:line="260" w:lineRule="exact"/>
            </w:pPr>
          </w:p>
        </w:tc>
        <w:tc>
          <w:tcPr>
            <w:tcW w:w="893" w:type="dxa"/>
            <w:vMerge/>
            <w:vAlign w:val="center"/>
          </w:tcPr>
          <w:p w14:paraId="6BD628B0" w14:textId="77777777" w:rsidR="002E474C" w:rsidRDefault="002E474C">
            <w:pPr>
              <w:pStyle w:val="A-"/>
              <w:spacing w:line="260" w:lineRule="exact"/>
            </w:pPr>
          </w:p>
        </w:tc>
        <w:tc>
          <w:tcPr>
            <w:tcW w:w="1147" w:type="dxa"/>
            <w:noWrap/>
            <w:vAlign w:val="center"/>
          </w:tcPr>
          <w:p w14:paraId="11E3C813" w14:textId="77777777" w:rsidR="002E474C" w:rsidRDefault="00000000">
            <w:pPr>
              <w:pStyle w:val="A-"/>
              <w:spacing w:line="260" w:lineRule="exact"/>
              <w:ind w:leftChars="-25" w:left="-53" w:rightChars="-25" w:right="-53"/>
            </w:pPr>
            <w:r>
              <w:t>261-082-45</w:t>
            </w:r>
          </w:p>
        </w:tc>
        <w:tc>
          <w:tcPr>
            <w:tcW w:w="4991" w:type="dxa"/>
            <w:noWrap/>
            <w:vAlign w:val="center"/>
          </w:tcPr>
          <w:p w14:paraId="6A7F362D" w14:textId="77777777" w:rsidR="002E474C" w:rsidRDefault="00000000">
            <w:pPr>
              <w:pStyle w:val="A-"/>
              <w:spacing w:line="260" w:lineRule="exact"/>
            </w:pPr>
            <w:r>
              <w:t>氯乙烷生产过程中的塔底残余物</w:t>
            </w:r>
          </w:p>
        </w:tc>
        <w:tc>
          <w:tcPr>
            <w:tcW w:w="663" w:type="dxa"/>
            <w:noWrap/>
            <w:vAlign w:val="center"/>
          </w:tcPr>
          <w:p w14:paraId="2D4E3BCF" w14:textId="77777777" w:rsidR="002E474C" w:rsidRDefault="00000000">
            <w:pPr>
              <w:pStyle w:val="A-"/>
              <w:spacing w:line="260" w:lineRule="exact"/>
            </w:pPr>
            <w:r>
              <w:t>T</w:t>
            </w:r>
          </w:p>
        </w:tc>
      </w:tr>
      <w:tr w:rsidR="002E474C" w14:paraId="79AB1893" w14:textId="77777777">
        <w:trPr>
          <w:trHeight w:val="300"/>
        </w:trPr>
        <w:tc>
          <w:tcPr>
            <w:tcW w:w="828" w:type="dxa"/>
            <w:vMerge/>
            <w:vAlign w:val="center"/>
          </w:tcPr>
          <w:p w14:paraId="52AF8E5C" w14:textId="77777777" w:rsidR="002E474C" w:rsidRDefault="002E474C">
            <w:pPr>
              <w:pStyle w:val="A-"/>
              <w:spacing w:line="260" w:lineRule="exact"/>
            </w:pPr>
          </w:p>
        </w:tc>
        <w:tc>
          <w:tcPr>
            <w:tcW w:w="893" w:type="dxa"/>
            <w:vMerge/>
            <w:vAlign w:val="center"/>
          </w:tcPr>
          <w:p w14:paraId="33F549BF" w14:textId="77777777" w:rsidR="002E474C" w:rsidRDefault="002E474C">
            <w:pPr>
              <w:pStyle w:val="A-"/>
              <w:spacing w:line="260" w:lineRule="exact"/>
            </w:pPr>
          </w:p>
        </w:tc>
        <w:tc>
          <w:tcPr>
            <w:tcW w:w="1147" w:type="dxa"/>
            <w:noWrap/>
            <w:vAlign w:val="center"/>
          </w:tcPr>
          <w:p w14:paraId="641AF48F" w14:textId="77777777" w:rsidR="002E474C" w:rsidRDefault="00000000">
            <w:pPr>
              <w:pStyle w:val="A-"/>
              <w:spacing w:line="260" w:lineRule="exact"/>
              <w:ind w:leftChars="-25" w:left="-53" w:rightChars="-25" w:right="-53"/>
            </w:pPr>
            <w:r>
              <w:t>261-084-45</w:t>
            </w:r>
          </w:p>
        </w:tc>
        <w:tc>
          <w:tcPr>
            <w:tcW w:w="4991" w:type="dxa"/>
            <w:noWrap/>
            <w:vAlign w:val="center"/>
          </w:tcPr>
          <w:p w14:paraId="7924F96C" w14:textId="77777777" w:rsidR="002E474C" w:rsidRDefault="00000000">
            <w:pPr>
              <w:pStyle w:val="A-"/>
              <w:spacing w:line="260" w:lineRule="exact"/>
            </w:pPr>
            <w:r>
              <w:t>其他有机卤化物的生产过程（不包括卤化前的生产工段）中产生的残液、废过滤吸附介质、反应残余物、废水处理污泥（不包括环氧氯丙烷皂化液处理产生的石灰渣）、废催化剂（不包括本名录</w:t>
            </w:r>
            <w:r>
              <w:t xml:space="preserve"> HW04</w:t>
            </w:r>
            <w:r>
              <w:t>、</w:t>
            </w:r>
            <w:r>
              <w:t>HW06</w:t>
            </w:r>
            <w:r>
              <w:t>、</w:t>
            </w:r>
            <w:r>
              <w:t>HW11</w:t>
            </w:r>
            <w:r>
              <w:t>、</w:t>
            </w:r>
            <w:r>
              <w:t>HW12</w:t>
            </w:r>
            <w:r>
              <w:t>、</w:t>
            </w:r>
            <w:r>
              <w:t>HW13</w:t>
            </w:r>
            <w:r>
              <w:t>、</w:t>
            </w:r>
            <w:r>
              <w:t xml:space="preserve">HW39 </w:t>
            </w:r>
            <w:r>
              <w:t>类别的危险废物）</w:t>
            </w:r>
          </w:p>
        </w:tc>
        <w:tc>
          <w:tcPr>
            <w:tcW w:w="663" w:type="dxa"/>
            <w:noWrap/>
            <w:vAlign w:val="center"/>
          </w:tcPr>
          <w:p w14:paraId="1A819E85" w14:textId="77777777" w:rsidR="002E474C" w:rsidRDefault="00000000">
            <w:pPr>
              <w:pStyle w:val="A-"/>
              <w:spacing w:line="260" w:lineRule="exact"/>
            </w:pPr>
            <w:r>
              <w:t>T</w:t>
            </w:r>
          </w:p>
        </w:tc>
      </w:tr>
      <w:tr w:rsidR="002E474C" w14:paraId="13BC8C69" w14:textId="77777777">
        <w:trPr>
          <w:trHeight w:val="300"/>
        </w:trPr>
        <w:tc>
          <w:tcPr>
            <w:tcW w:w="828" w:type="dxa"/>
            <w:vMerge/>
            <w:vAlign w:val="center"/>
          </w:tcPr>
          <w:p w14:paraId="33DAAB73" w14:textId="77777777" w:rsidR="002E474C" w:rsidRDefault="002E474C">
            <w:pPr>
              <w:pStyle w:val="A-"/>
              <w:spacing w:line="260" w:lineRule="exact"/>
            </w:pPr>
          </w:p>
        </w:tc>
        <w:tc>
          <w:tcPr>
            <w:tcW w:w="893" w:type="dxa"/>
            <w:vMerge/>
            <w:vAlign w:val="center"/>
          </w:tcPr>
          <w:p w14:paraId="66F031EB" w14:textId="77777777" w:rsidR="002E474C" w:rsidRDefault="002E474C">
            <w:pPr>
              <w:pStyle w:val="A-"/>
              <w:spacing w:line="260" w:lineRule="exact"/>
            </w:pPr>
          </w:p>
        </w:tc>
        <w:tc>
          <w:tcPr>
            <w:tcW w:w="1147" w:type="dxa"/>
            <w:noWrap/>
            <w:vAlign w:val="center"/>
          </w:tcPr>
          <w:p w14:paraId="27B7E7BA" w14:textId="77777777" w:rsidR="002E474C" w:rsidRDefault="00000000">
            <w:pPr>
              <w:pStyle w:val="A-"/>
              <w:spacing w:line="260" w:lineRule="exact"/>
              <w:ind w:leftChars="-25" w:left="-53" w:rightChars="-25" w:right="-53"/>
            </w:pPr>
            <w:r>
              <w:t>261-085-45</w:t>
            </w:r>
          </w:p>
        </w:tc>
        <w:tc>
          <w:tcPr>
            <w:tcW w:w="4991" w:type="dxa"/>
            <w:noWrap/>
            <w:vAlign w:val="center"/>
          </w:tcPr>
          <w:p w14:paraId="55419EDD" w14:textId="77777777" w:rsidR="002E474C" w:rsidRDefault="00000000">
            <w:pPr>
              <w:pStyle w:val="A-"/>
              <w:spacing w:line="260" w:lineRule="exact"/>
            </w:pPr>
            <w:r>
              <w:rPr>
                <w:spacing w:val="-6"/>
              </w:rPr>
              <w:t>其他有机卤化物的生产过程中产生的不合格、淘汰、废弃的产品</w:t>
            </w:r>
            <w:r>
              <w:rPr>
                <w:rFonts w:hint="eastAsia"/>
                <w:spacing w:val="-6"/>
              </w:rPr>
              <w:t>(</w:t>
            </w:r>
            <w:r>
              <w:rPr>
                <w:spacing w:val="-6"/>
              </w:rPr>
              <w:t>不包括本名录</w:t>
            </w:r>
            <w:r>
              <w:rPr>
                <w:spacing w:val="-6"/>
              </w:rPr>
              <w:t>HW06</w:t>
            </w:r>
            <w:r>
              <w:rPr>
                <w:spacing w:val="-6"/>
              </w:rPr>
              <w:t>、</w:t>
            </w:r>
            <w:r>
              <w:rPr>
                <w:spacing w:val="-6"/>
              </w:rPr>
              <w:t xml:space="preserve">HW39 </w:t>
            </w:r>
            <w:r>
              <w:rPr>
                <w:spacing w:val="-6"/>
              </w:rPr>
              <w:t>类别的危险废物</w:t>
            </w:r>
            <w:r>
              <w:rPr>
                <w:rFonts w:hint="eastAsia"/>
                <w:spacing w:val="-6"/>
              </w:rPr>
              <w:t>)</w:t>
            </w:r>
          </w:p>
        </w:tc>
        <w:tc>
          <w:tcPr>
            <w:tcW w:w="663" w:type="dxa"/>
            <w:noWrap/>
            <w:vAlign w:val="center"/>
          </w:tcPr>
          <w:p w14:paraId="51786B63" w14:textId="77777777" w:rsidR="002E474C" w:rsidRDefault="00000000">
            <w:pPr>
              <w:pStyle w:val="A-"/>
              <w:spacing w:line="260" w:lineRule="exact"/>
            </w:pPr>
            <w:r>
              <w:t>T</w:t>
            </w:r>
          </w:p>
        </w:tc>
      </w:tr>
      <w:tr w:rsidR="002E474C" w14:paraId="43B5354A" w14:textId="77777777">
        <w:trPr>
          <w:trHeight w:val="300"/>
        </w:trPr>
        <w:tc>
          <w:tcPr>
            <w:tcW w:w="828" w:type="dxa"/>
            <w:vMerge/>
            <w:vAlign w:val="center"/>
          </w:tcPr>
          <w:p w14:paraId="43634AA5" w14:textId="77777777" w:rsidR="002E474C" w:rsidRDefault="002E474C">
            <w:pPr>
              <w:pStyle w:val="A-"/>
              <w:spacing w:line="260" w:lineRule="exact"/>
            </w:pPr>
          </w:p>
        </w:tc>
        <w:tc>
          <w:tcPr>
            <w:tcW w:w="893" w:type="dxa"/>
            <w:vMerge/>
            <w:vAlign w:val="center"/>
          </w:tcPr>
          <w:p w14:paraId="5333861D" w14:textId="77777777" w:rsidR="002E474C" w:rsidRDefault="002E474C">
            <w:pPr>
              <w:pStyle w:val="A-"/>
              <w:spacing w:line="260" w:lineRule="exact"/>
            </w:pPr>
          </w:p>
        </w:tc>
        <w:tc>
          <w:tcPr>
            <w:tcW w:w="1147" w:type="dxa"/>
            <w:noWrap/>
            <w:vAlign w:val="center"/>
          </w:tcPr>
          <w:p w14:paraId="7AACEF22" w14:textId="77777777" w:rsidR="002E474C" w:rsidRDefault="00000000">
            <w:pPr>
              <w:pStyle w:val="A-"/>
              <w:spacing w:line="260" w:lineRule="exact"/>
              <w:ind w:leftChars="-25" w:left="-53" w:rightChars="-25" w:right="-53"/>
            </w:pPr>
            <w:r>
              <w:t>261-086-45</w:t>
            </w:r>
          </w:p>
        </w:tc>
        <w:tc>
          <w:tcPr>
            <w:tcW w:w="4991" w:type="dxa"/>
            <w:noWrap/>
            <w:vAlign w:val="center"/>
          </w:tcPr>
          <w:p w14:paraId="575EDB12" w14:textId="77777777" w:rsidR="002E474C" w:rsidRDefault="00000000">
            <w:pPr>
              <w:pStyle w:val="A-"/>
              <w:spacing w:line="260" w:lineRule="exact"/>
            </w:pPr>
            <w:r>
              <w:t>石墨作阳极隔膜法生产氯气和烧碱过程中产生的废水处理污泥</w:t>
            </w:r>
          </w:p>
        </w:tc>
        <w:tc>
          <w:tcPr>
            <w:tcW w:w="663" w:type="dxa"/>
            <w:noWrap/>
            <w:vAlign w:val="center"/>
          </w:tcPr>
          <w:p w14:paraId="6D0714C8" w14:textId="77777777" w:rsidR="002E474C" w:rsidRDefault="00000000">
            <w:pPr>
              <w:pStyle w:val="A-"/>
              <w:spacing w:line="260" w:lineRule="exact"/>
            </w:pPr>
            <w:r>
              <w:t>T</w:t>
            </w:r>
          </w:p>
        </w:tc>
      </w:tr>
      <w:tr w:rsidR="002E474C" w14:paraId="6827D9D5" w14:textId="77777777">
        <w:trPr>
          <w:trHeight w:val="300"/>
        </w:trPr>
        <w:tc>
          <w:tcPr>
            <w:tcW w:w="828" w:type="dxa"/>
            <w:vMerge w:val="restart"/>
            <w:noWrap/>
            <w:vAlign w:val="center"/>
          </w:tcPr>
          <w:p w14:paraId="19CA42CF" w14:textId="77777777" w:rsidR="002E474C" w:rsidRDefault="00000000">
            <w:pPr>
              <w:pStyle w:val="A-"/>
              <w:spacing w:line="260" w:lineRule="exact"/>
            </w:pPr>
            <w:r>
              <w:t>HW46</w:t>
            </w:r>
            <w:r>
              <w:br/>
            </w:r>
            <w:r>
              <w:t>含镍废物</w:t>
            </w:r>
          </w:p>
        </w:tc>
        <w:tc>
          <w:tcPr>
            <w:tcW w:w="893" w:type="dxa"/>
            <w:noWrap/>
            <w:vAlign w:val="center"/>
          </w:tcPr>
          <w:p w14:paraId="7F71BA64" w14:textId="77777777" w:rsidR="002E474C" w:rsidRDefault="00000000">
            <w:pPr>
              <w:pStyle w:val="A-"/>
              <w:spacing w:line="260" w:lineRule="exact"/>
              <w:ind w:leftChars="-25" w:left="-53" w:rightChars="-25" w:right="-53"/>
            </w:pPr>
            <w:r>
              <w:rPr>
                <w:spacing w:val="-11"/>
              </w:rPr>
              <w:t>基础化学原料制造</w:t>
            </w:r>
          </w:p>
        </w:tc>
        <w:tc>
          <w:tcPr>
            <w:tcW w:w="1147" w:type="dxa"/>
            <w:noWrap/>
            <w:vAlign w:val="center"/>
          </w:tcPr>
          <w:p w14:paraId="49087B33" w14:textId="77777777" w:rsidR="002E474C" w:rsidRDefault="00000000">
            <w:pPr>
              <w:pStyle w:val="A-"/>
              <w:spacing w:line="260" w:lineRule="exact"/>
              <w:ind w:leftChars="-25" w:left="-53" w:rightChars="-25" w:right="-53"/>
            </w:pPr>
            <w:r>
              <w:t>261-087-46</w:t>
            </w:r>
          </w:p>
        </w:tc>
        <w:tc>
          <w:tcPr>
            <w:tcW w:w="4991" w:type="dxa"/>
            <w:noWrap/>
            <w:vAlign w:val="center"/>
          </w:tcPr>
          <w:p w14:paraId="656B2A84" w14:textId="77777777" w:rsidR="002E474C" w:rsidRDefault="00000000">
            <w:pPr>
              <w:pStyle w:val="A-"/>
              <w:spacing w:line="260" w:lineRule="exact"/>
            </w:pPr>
            <w:r>
              <w:t>镍化合物生产过程中产生的反应残余物及不合格、淘汰、废弃的产品</w:t>
            </w:r>
          </w:p>
        </w:tc>
        <w:tc>
          <w:tcPr>
            <w:tcW w:w="663" w:type="dxa"/>
            <w:noWrap/>
            <w:vAlign w:val="center"/>
          </w:tcPr>
          <w:p w14:paraId="5B4B05BC" w14:textId="77777777" w:rsidR="002E474C" w:rsidRDefault="00000000">
            <w:pPr>
              <w:pStyle w:val="A-"/>
              <w:spacing w:line="260" w:lineRule="exact"/>
            </w:pPr>
            <w:r>
              <w:t>T</w:t>
            </w:r>
          </w:p>
        </w:tc>
      </w:tr>
      <w:tr w:rsidR="002E474C" w14:paraId="59935B66" w14:textId="77777777">
        <w:trPr>
          <w:trHeight w:val="300"/>
        </w:trPr>
        <w:tc>
          <w:tcPr>
            <w:tcW w:w="828" w:type="dxa"/>
            <w:vMerge/>
            <w:vAlign w:val="center"/>
          </w:tcPr>
          <w:p w14:paraId="5BDCA6BB" w14:textId="77777777" w:rsidR="002E474C" w:rsidRDefault="002E474C">
            <w:pPr>
              <w:pStyle w:val="A-"/>
              <w:spacing w:line="260" w:lineRule="exact"/>
            </w:pPr>
          </w:p>
        </w:tc>
        <w:tc>
          <w:tcPr>
            <w:tcW w:w="893" w:type="dxa"/>
            <w:noWrap/>
            <w:vAlign w:val="center"/>
          </w:tcPr>
          <w:p w14:paraId="3AF5326B" w14:textId="77777777" w:rsidR="002E474C" w:rsidRDefault="00000000">
            <w:pPr>
              <w:pStyle w:val="A-"/>
              <w:spacing w:line="260" w:lineRule="exact"/>
            </w:pPr>
            <w:r>
              <w:t>电池</w:t>
            </w:r>
          </w:p>
          <w:p w14:paraId="6B9C0E95" w14:textId="77777777" w:rsidR="002E474C" w:rsidRDefault="00000000">
            <w:pPr>
              <w:pStyle w:val="A-"/>
              <w:spacing w:line="260" w:lineRule="exact"/>
            </w:pPr>
            <w:r>
              <w:t>制造</w:t>
            </w:r>
          </w:p>
        </w:tc>
        <w:tc>
          <w:tcPr>
            <w:tcW w:w="1147" w:type="dxa"/>
            <w:noWrap/>
            <w:vAlign w:val="center"/>
          </w:tcPr>
          <w:p w14:paraId="5CE8508E" w14:textId="77777777" w:rsidR="002E474C" w:rsidRDefault="00000000">
            <w:pPr>
              <w:pStyle w:val="A-"/>
              <w:spacing w:line="260" w:lineRule="exact"/>
              <w:ind w:leftChars="-25" w:left="-53" w:rightChars="-25" w:right="-53"/>
            </w:pPr>
            <w:r>
              <w:t>384-005-46</w:t>
            </w:r>
          </w:p>
        </w:tc>
        <w:tc>
          <w:tcPr>
            <w:tcW w:w="4991" w:type="dxa"/>
            <w:noWrap/>
            <w:vAlign w:val="center"/>
          </w:tcPr>
          <w:p w14:paraId="57673D1D" w14:textId="77777777" w:rsidR="002E474C" w:rsidRDefault="00000000">
            <w:pPr>
              <w:pStyle w:val="A-"/>
              <w:spacing w:line="260" w:lineRule="exact"/>
            </w:pPr>
            <w:r>
              <w:t>镍氢电池生产过程中产生的废渣和废水处理污泥</w:t>
            </w:r>
          </w:p>
        </w:tc>
        <w:tc>
          <w:tcPr>
            <w:tcW w:w="663" w:type="dxa"/>
            <w:noWrap/>
            <w:vAlign w:val="center"/>
          </w:tcPr>
          <w:p w14:paraId="2EA06019" w14:textId="77777777" w:rsidR="002E474C" w:rsidRDefault="00000000">
            <w:pPr>
              <w:pStyle w:val="A-"/>
              <w:spacing w:line="260" w:lineRule="exact"/>
            </w:pPr>
            <w:r>
              <w:t>T</w:t>
            </w:r>
          </w:p>
        </w:tc>
      </w:tr>
      <w:tr w:rsidR="002E474C" w14:paraId="3228BA4F" w14:textId="77777777">
        <w:trPr>
          <w:trHeight w:val="300"/>
        </w:trPr>
        <w:tc>
          <w:tcPr>
            <w:tcW w:w="828" w:type="dxa"/>
            <w:vMerge/>
            <w:vAlign w:val="center"/>
          </w:tcPr>
          <w:p w14:paraId="05263A5D" w14:textId="77777777" w:rsidR="002E474C" w:rsidRDefault="002E474C">
            <w:pPr>
              <w:pStyle w:val="A-"/>
              <w:spacing w:line="260" w:lineRule="exact"/>
            </w:pPr>
          </w:p>
        </w:tc>
        <w:tc>
          <w:tcPr>
            <w:tcW w:w="893" w:type="dxa"/>
            <w:noWrap/>
            <w:vAlign w:val="center"/>
          </w:tcPr>
          <w:p w14:paraId="2699C140" w14:textId="77777777" w:rsidR="002E474C" w:rsidRDefault="00000000">
            <w:pPr>
              <w:pStyle w:val="A-"/>
              <w:spacing w:line="260" w:lineRule="exact"/>
            </w:pPr>
            <w:r>
              <w:t>非特定行业</w:t>
            </w:r>
          </w:p>
        </w:tc>
        <w:tc>
          <w:tcPr>
            <w:tcW w:w="1147" w:type="dxa"/>
            <w:noWrap/>
            <w:vAlign w:val="center"/>
          </w:tcPr>
          <w:p w14:paraId="73978851" w14:textId="77777777" w:rsidR="002E474C" w:rsidRDefault="00000000">
            <w:pPr>
              <w:pStyle w:val="A-"/>
              <w:spacing w:line="260" w:lineRule="exact"/>
              <w:ind w:leftChars="-25" w:left="-53" w:rightChars="-25" w:right="-53"/>
            </w:pPr>
            <w:r>
              <w:t>900-037-46</w:t>
            </w:r>
          </w:p>
        </w:tc>
        <w:tc>
          <w:tcPr>
            <w:tcW w:w="4991" w:type="dxa"/>
            <w:noWrap/>
            <w:vAlign w:val="center"/>
          </w:tcPr>
          <w:p w14:paraId="175583FD" w14:textId="77777777" w:rsidR="002E474C" w:rsidRDefault="00000000">
            <w:pPr>
              <w:pStyle w:val="A-"/>
              <w:spacing w:line="260" w:lineRule="exact"/>
            </w:pPr>
            <w:r>
              <w:t>废弃的镍催化剂</w:t>
            </w:r>
          </w:p>
        </w:tc>
        <w:tc>
          <w:tcPr>
            <w:tcW w:w="663" w:type="dxa"/>
            <w:noWrap/>
            <w:vAlign w:val="center"/>
          </w:tcPr>
          <w:p w14:paraId="46B53E6D" w14:textId="77777777" w:rsidR="002E474C" w:rsidRDefault="00000000">
            <w:pPr>
              <w:pStyle w:val="A-"/>
              <w:spacing w:line="260" w:lineRule="exact"/>
            </w:pPr>
            <w:r>
              <w:t>T</w:t>
            </w:r>
            <w:r>
              <w:t>，</w:t>
            </w:r>
            <w:r>
              <w:t>I</w:t>
            </w:r>
          </w:p>
        </w:tc>
      </w:tr>
      <w:tr w:rsidR="002E474C" w14:paraId="68AC8A38" w14:textId="77777777">
        <w:trPr>
          <w:trHeight w:val="300"/>
        </w:trPr>
        <w:tc>
          <w:tcPr>
            <w:tcW w:w="828" w:type="dxa"/>
            <w:vMerge w:val="restart"/>
            <w:noWrap/>
            <w:vAlign w:val="center"/>
          </w:tcPr>
          <w:p w14:paraId="5F8032F4" w14:textId="77777777" w:rsidR="002E474C" w:rsidRDefault="00000000">
            <w:pPr>
              <w:pStyle w:val="A-"/>
              <w:spacing w:line="260" w:lineRule="exact"/>
            </w:pPr>
            <w:r>
              <w:t>HW47</w:t>
            </w:r>
            <w:r>
              <w:br/>
            </w:r>
            <w:r>
              <w:t>含钡废物</w:t>
            </w:r>
          </w:p>
        </w:tc>
        <w:tc>
          <w:tcPr>
            <w:tcW w:w="893" w:type="dxa"/>
            <w:noWrap/>
            <w:vAlign w:val="center"/>
          </w:tcPr>
          <w:p w14:paraId="542F94B4" w14:textId="77777777" w:rsidR="002E474C" w:rsidRDefault="00000000">
            <w:pPr>
              <w:pStyle w:val="A-"/>
              <w:spacing w:line="260" w:lineRule="exact"/>
              <w:ind w:leftChars="-25" w:left="-53" w:rightChars="-25" w:right="-53"/>
              <w:rPr>
                <w:spacing w:val="-11"/>
              </w:rPr>
            </w:pPr>
            <w:r>
              <w:rPr>
                <w:spacing w:val="-11"/>
              </w:rPr>
              <w:t>基础化学原料制造</w:t>
            </w:r>
          </w:p>
        </w:tc>
        <w:tc>
          <w:tcPr>
            <w:tcW w:w="1147" w:type="dxa"/>
            <w:noWrap/>
            <w:vAlign w:val="center"/>
          </w:tcPr>
          <w:p w14:paraId="4068A3F8" w14:textId="77777777" w:rsidR="002E474C" w:rsidRDefault="00000000">
            <w:pPr>
              <w:pStyle w:val="A-"/>
              <w:spacing w:line="260" w:lineRule="exact"/>
              <w:ind w:leftChars="-25" w:left="-53" w:rightChars="-25" w:right="-53"/>
            </w:pPr>
            <w:r>
              <w:t>261-088-47</w:t>
            </w:r>
          </w:p>
        </w:tc>
        <w:tc>
          <w:tcPr>
            <w:tcW w:w="4991" w:type="dxa"/>
            <w:noWrap/>
            <w:vAlign w:val="center"/>
          </w:tcPr>
          <w:p w14:paraId="09672E20" w14:textId="77777777" w:rsidR="002E474C" w:rsidRDefault="00000000">
            <w:pPr>
              <w:pStyle w:val="A-"/>
              <w:spacing w:line="260" w:lineRule="exact"/>
            </w:pPr>
            <w:r>
              <w:rPr>
                <w:spacing w:val="-6"/>
              </w:rPr>
              <w:t>钡化合物（不包括硫酸钡）生产过程中产生的熔渣、集（除）尘装置收集的粉尘、反应残余物、废水处理污泥</w:t>
            </w:r>
          </w:p>
        </w:tc>
        <w:tc>
          <w:tcPr>
            <w:tcW w:w="663" w:type="dxa"/>
            <w:noWrap/>
            <w:vAlign w:val="center"/>
          </w:tcPr>
          <w:p w14:paraId="56612A9C" w14:textId="77777777" w:rsidR="002E474C" w:rsidRDefault="00000000">
            <w:pPr>
              <w:pStyle w:val="A-"/>
              <w:spacing w:line="260" w:lineRule="exact"/>
            </w:pPr>
            <w:r>
              <w:t>T</w:t>
            </w:r>
          </w:p>
        </w:tc>
      </w:tr>
      <w:tr w:rsidR="002E474C" w14:paraId="19B9FD4F" w14:textId="77777777">
        <w:trPr>
          <w:trHeight w:val="300"/>
        </w:trPr>
        <w:tc>
          <w:tcPr>
            <w:tcW w:w="828" w:type="dxa"/>
            <w:vMerge/>
            <w:vAlign w:val="center"/>
          </w:tcPr>
          <w:p w14:paraId="3E3F8798" w14:textId="77777777" w:rsidR="002E474C" w:rsidRDefault="002E474C">
            <w:pPr>
              <w:pStyle w:val="A-"/>
              <w:spacing w:line="260" w:lineRule="exact"/>
            </w:pPr>
          </w:p>
        </w:tc>
        <w:tc>
          <w:tcPr>
            <w:tcW w:w="893" w:type="dxa"/>
            <w:noWrap/>
            <w:vAlign w:val="center"/>
          </w:tcPr>
          <w:p w14:paraId="2641B8B9" w14:textId="77777777" w:rsidR="002E474C" w:rsidRDefault="00000000">
            <w:pPr>
              <w:pStyle w:val="A-"/>
              <w:spacing w:line="260" w:lineRule="exact"/>
              <w:ind w:leftChars="-25" w:left="-53" w:rightChars="-25" w:right="-53"/>
              <w:rPr>
                <w:spacing w:val="-11"/>
              </w:rPr>
            </w:pPr>
            <w:r>
              <w:rPr>
                <w:spacing w:val="-11"/>
              </w:rPr>
              <w:t>金属表面处理及热</w:t>
            </w:r>
            <w:r>
              <w:rPr>
                <w:spacing w:val="-11"/>
              </w:rPr>
              <w:lastRenderedPageBreak/>
              <w:t>处理加工</w:t>
            </w:r>
          </w:p>
        </w:tc>
        <w:tc>
          <w:tcPr>
            <w:tcW w:w="1147" w:type="dxa"/>
            <w:noWrap/>
            <w:vAlign w:val="center"/>
          </w:tcPr>
          <w:p w14:paraId="42585744" w14:textId="77777777" w:rsidR="002E474C" w:rsidRDefault="00000000">
            <w:pPr>
              <w:pStyle w:val="A-"/>
              <w:spacing w:line="260" w:lineRule="exact"/>
              <w:ind w:leftChars="-25" w:left="-53" w:rightChars="-25" w:right="-53"/>
            </w:pPr>
            <w:r>
              <w:lastRenderedPageBreak/>
              <w:t>336-106-47</w:t>
            </w:r>
          </w:p>
        </w:tc>
        <w:tc>
          <w:tcPr>
            <w:tcW w:w="4991" w:type="dxa"/>
            <w:noWrap/>
            <w:vAlign w:val="center"/>
          </w:tcPr>
          <w:p w14:paraId="52189F2C" w14:textId="77777777" w:rsidR="002E474C" w:rsidRDefault="00000000">
            <w:pPr>
              <w:pStyle w:val="A-"/>
              <w:spacing w:line="260" w:lineRule="exact"/>
            </w:pPr>
            <w:r>
              <w:t>热处理工艺中产生的含钡盐浴渣</w:t>
            </w:r>
          </w:p>
        </w:tc>
        <w:tc>
          <w:tcPr>
            <w:tcW w:w="663" w:type="dxa"/>
            <w:noWrap/>
            <w:vAlign w:val="center"/>
          </w:tcPr>
          <w:p w14:paraId="159F422A" w14:textId="77777777" w:rsidR="002E474C" w:rsidRDefault="00000000">
            <w:pPr>
              <w:pStyle w:val="A-"/>
              <w:spacing w:line="260" w:lineRule="exact"/>
            </w:pPr>
            <w:r>
              <w:t>T</w:t>
            </w:r>
          </w:p>
        </w:tc>
      </w:tr>
      <w:tr w:rsidR="002E474C" w14:paraId="26B2DC07" w14:textId="77777777">
        <w:trPr>
          <w:trHeight w:val="300"/>
        </w:trPr>
        <w:tc>
          <w:tcPr>
            <w:tcW w:w="828" w:type="dxa"/>
            <w:vMerge w:val="restart"/>
            <w:noWrap/>
            <w:vAlign w:val="center"/>
          </w:tcPr>
          <w:p w14:paraId="0F376E15" w14:textId="77777777" w:rsidR="002E474C" w:rsidRDefault="00000000">
            <w:pPr>
              <w:pStyle w:val="A-"/>
              <w:spacing w:line="260" w:lineRule="exact"/>
            </w:pPr>
            <w:r>
              <w:t>HW48</w:t>
            </w:r>
            <w:r>
              <w:br/>
            </w:r>
            <w:r>
              <w:t>有色金属采选和冶炼废物</w:t>
            </w:r>
          </w:p>
        </w:tc>
        <w:tc>
          <w:tcPr>
            <w:tcW w:w="893" w:type="dxa"/>
            <w:vMerge w:val="restart"/>
            <w:noWrap/>
            <w:vAlign w:val="center"/>
          </w:tcPr>
          <w:p w14:paraId="5C86DFD0" w14:textId="77777777" w:rsidR="002E474C" w:rsidRDefault="00000000">
            <w:pPr>
              <w:pStyle w:val="A-"/>
              <w:spacing w:line="260" w:lineRule="exact"/>
            </w:pPr>
            <w:r>
              <w:t>常用有色金属矿采选</w:t>
            </w:r>
          </w:p>
        </w:tc>
        <w:tc>
          <w:tcPr>
            <w:tcW w:w="1147" w:type="dxa"/>
            <w:noWrap/>
            <w:vAlign w:val="center"/>
          </w:tcPr>
          <w:p w14:paraId="3D4513A4" w14:textId="77777777" w:rsidR="002E474C" w:rsidRDefault="00000000">
            <w:pPr>
              <w:pStyle w:val="A-"/>
              <w:spacing w:line="260" w:lineRule="exact"/>
              <w:ind w:leftChars="-25" w:left="-53" w:rightChars="-25" w:right="-53"/>
            </w:pPr>
            <w:r>
              <w:t>091-001-48</w:t>
            </w:r>
          </w:p>
        </w:tc>
        <w:tc>
          <w:tcPr>
            <w:tcW w:w="4991" w:type="dxa"/>
            <w:noWrap/>
            <w:vAlign w:val="center"/>
          </w:tcPr>
          <w:p w14:paraId="1E0F55B1" w14:textId="77777777" w:rsidR="002E474C" w:rsidRDefault="00000000">
            <w:pPr>
              <w:pStyle w:val="A-"/>
              <w:spacing w:line="260" w:lineRule="exact"/>
            </w:pPr>
            <w:r>
              <w:t>硫化铜矿、氧化铜矿等铜矿物采选过程中集（除）尘装置收集的粉尘</w:t>
            </w:r>
          </w:p>
        </w:tc>
        <w:tc>
          <w:tcPr>
            <w:tcW w:w="663" w:type="dxa"/>
            <w:noWrap/>
            <w:vAlign w:val="center"/>
          </w:tcPr>
          <w:p w14:paraId="4D573C58" w14:textId="77777777" w:rsidR="002E474C" w:rsidRDefault="00000000">
            <w:pPr>
              <w:pStyle w:val="A-"/>
              <w:spacing w:line="260" w:lineRule="exact"/>
            </w:pPr>
            <w:r>
              <w:t>T</w:t>
            </w:r>
          </w:p>
        </w:tc>
      </w:tr>
      <w:tr w:rsidR="002E474C" w14:paraId="31476648" w14:textId="77777777">
        <w:trPr>
          <w:trHeight w:val="300"/>
        </w:trPr>
        <w:tc>
          <w:tcPr>
            <w:tcW w:w="828" w:type="dxa"/>
            <w:vMerge/>
            <w:vAlign w:val="center"/>
          </w:tcPr>
          <w:p w14:paraId="36AFCD23" w14:textId="77777777" w:rsidR="002E474C" w:rsidRDefault="002E474C">
            <w:pPr>
              <w:pStyle w:val="A-"/>
              <w:spacing w:line="260" w:lineRule="exact"/>
            </w:pPr>
          </w:p>
        </w:tc>
        <w:tc>
          <w:tcPr>
            <w:tcW w:w="893" w:type="dxa"/>
            <w:vMerge/>
            <w:vAlign w:val="center"/>
          </w:tcPr>
          <w:p w14:paraId="115D9454" w14:textId="77777777" w:rsidR="002E474C" w:rsidRDefault="002E474C">
            <w:pPr>
              <w:pStyle w:val="A-"/>
              <w:spacing w:line="260" w:lineRule="exact"/>
            </w:pPr>
          </w:p>
        </w:tc>
        <w:tc>
          <w:tcPr>
            <w:tcW w:w="1147" w:type="dxa"/>
            <w:noWrap/>
            <w:vAlign w:val="center"/>
          </w:tcPr>
          <w:p w14:paraId="4E102179" w14:textId="77777777" w:rsidR="002E474C" w:rsidRDefault="00000000">
            <w:pPr>
              <w:pStyle w:val="A-"/>
              <w:spacing w:line="260" w:lineRule="exact"/>
              <w:ind w:leftChars="-25" w:left="-53" w:rightChars="-25" w:right="-53"/>
            </w:pPr>
            <w:r>
              <w:t>091-002-48</w:t>
            </w:r>
          </w:p>
        </w:tc>
        <w:tc>
          <w:tcPr>
            <w:tcW w:w="4991" w:type="dxa"/>
            <w:noWrap/>
            <w:vAlign w:val="center"/>
          </w:tcPr>
          <w:p w14:paraId="5BE0F952" w14:textId="77777777" w:rsidR="002E474C" w:rsidRDefault="00000000">
            <w:pPr>
              <w:pStyle w:val="A-"/>
              <w:spacing w:line="260" w:lineRule="exact"/>
            </w:pPr>
            <w:r>
              <w:rPr>
                <w:spacing w:val="-6"/>
              </w:rPr>
              <w:t>硫砷化合物（雌黄、雄黄及硫砷铁矿）或者其他含砷化合物的金属矿石采选过程中集（除）尘装置收集的粉尘</w:t>
            </w:r>
          </w:p>
        </w:tc>
        <w:tc>
          <w:tcPr>
            <w:tcW w:w="663" w:type="dxa"/>
            <w:noWrap/>
            <w:vAlign w:val="center"/>
          </w:tcPr>
          <w:p w14:paraId="60C99AE0" w14:textId="77777777" w:rsidR="002E474C" w:rsidRDefault="00000000">
            <w:pPr>
              <w:pStyle w:val="A-"/>
              <w:spacing w:line="260" w:lineRule="exact"/>
            </w:pPr>
            <w:r>
              <w:t>T</w:t>
            </w:r>
          </w:p>
        </w:tc>
      </w:tr>
      <w:tr w:rsidR="002E474C" w14:paraId="54300F32" w14:textId="77777777">
        <w:trPr>
          <w:trHeight w:val="300"/>
        </w:trPr>
        <w:tc>
          <w:tcPr>
            <w:tcW w:w="828" w:type="dxa"/>
            <w:vMerge/>
            <w:vAlign w:val="center"/>
          </w:tcPr>
          <w:p w14:paraId="1B2BA902" w14:textId="77777777" w:rsidR="002E474C" w:rsidRDefault="002E474C">
            <w:pPr>
              <w:pStyle w:val="A-"/>
              <w:spacing w:line="260" w:lineRule="exact"/>
            </w:pPr>
          </w:p>
        </w:tc>
        <w:tc>
          <w:tcPr>
            <w:tcW w:w="893" w:type="dxa"/>
            <w:vMerge w:val="restart"/>
            <w:noWrap/>
            <w:vAlign w:val="center"/>
          </w:tcPr>
          <w:p w14:paraId="74FF64D3" w14:textId="77777777" w:rsidR="002E474C" w:rsidRDefault="00000000">
            <w:pPr>
              <w:pStyle w:val="A-"/>
              <w:spacing w:line="260" w:lineRule="exact"/>
            </w:pPr>
            <w:r>
              <w:t>常用有色金属冶炼</w:t>
            </w:r>
          </w:p>
        </w:tc>
        <w:tc>
          <w:tcPr>
            <w:tcW w:w="1147" w:type="dxa"/>
            <w:noWrap/>
            <w:vAlign w:val="center"/>
          </w:tcPr>
          <w:p w14:paraId="04CBEE37" w14:textId="77777777" w:rsidR="002E474C" w:rsidRDefault="00000000">
            <w:pPr>
              <w:pStyle w:val="A-"/>
              <w:spacing w:line="260" w:lineRule="exact"/>
              <w:ind w:leftChars="-25" w:left="-53" w:rightChars="-25" w:right="-53"/>
            </w:pPr>
            <w:r>
              <w:t>321-002-48</w:t>
            </w:r>
          </w:p>
        </w:tc>
        <w:tc>
          <w:tcPr>
            <w:tcW w:w="4991" w:type="dxa"/>
            <w:noWrap/>
            <w:vAlign w:val="center"/>
          </w:tcPr>
          <w:p w14:paraId="1E7E5553" w14:textId="77777777" w:rsidR="002E474C" w:rsidRDefault="00000000">
            <w:pPr>
              <w:pStyle w:val="A-"/>
              <w:spacing w:line="260" w:lineRule="exact"/>
              <w:ind w:leftChars="-25" w:left="-53" w:rightChars="-25" w:right="-53"/>
            </w:pPr>
            <w:r>
              <w:rPr>
                <w:spacing w:val="-6"/>
              </w:rPr>
              <w:t>铜火法冶炼过程中烟气处理集（除）尘装置收集的粉尘</w:t>
            </w:r>
          </w:p>
        </w:tc>
        <w:tc>
          <w:tcPr>
            <w:tcW w:w="663" w:type="dxa"/>
            <w:noWrap/>
            <w:vAlign w:val="center"/>
          </w:tcPr>
          <w:p w14:paraId="6F9C2478" w14:textId="77777777" w:rsidR="002E474C" w:rsidRDefault="00000000">
            <w:pPr>
              <w:pStyle w:val="A-"/>
              <w:spacing w:line="260" w:lineRule="exact"/>
            </w:pPr>
            <w:r>
              <w:t>T</w:t>
            </w:r>
          </w:p>
        </w:tc>
      </w:tr>
      <w:tr w:rsidR="002E474C" w14:paraId="261694EA" w14:textId="77777777">
        <w:trPr>
          <w:trHeight w:val="300"/>
        </w:trPr>
        <w:tc>
          <w:tcPr>
            <w:tcW w:w="828" w:type="dxa"/>
            <w:vMerge/>
            <w:vAlign w:val="center"/>
          </w:tcPr>
          <w:p w14:paraId="52C3D7E4" w14:textId="77777777" w:rsidR="002E474C" w:rsidRDefault="002E474C">
            <w:pPr>
              <w:pStyle w:val="A-"/>
              <w:spacing w:line="260" w:lineRule="exact"/>
            </w:pPr>
          </w:p>
        </w:tc>
        <w:tc>
          <w:tcPr>
            <w:tcW w:w="893" w:type="dxa"/>
            <w:vMerge/>
            <w:vAlign w:val="center"/>
          </w:tcPr>
          <w:p w14:paraId="3E3E20CB" w14:textId="77777777" w:rsidR="002E474C" w:rsidRDefault="002E474C">
            <w:pPr>
              <w:pStyle w:val="A-"/>
              <w:spacing w:line="260" w:lineRule="exact"/>
            </w:pPr>
          </w:p>
        </w:tc>
        <w:tc>
          <w:tcPr>
            <w:tcW w:w="1147" w:type="dxa"/>
            <w:noWrap/>
            <w:vAlign w:val="center"/>
          </w:tcPr>
          <w:p w14:paraId="707CD2DA" w14:textId="77777777" w:rsidR="002E474C" w:rsidRDefault="00000000">
            <w:pPr>
              <w:pStyle w:val="A-"/>
              <w:spacing w:line="260" w:lineRule="exact"/>
              <w:ind w:leftChars="-25" w:left="-53" w:rightChars="-25" w:right="-53"/>
            </w:pPr>
            <w:r>
              <w:t>321-031-48</w:t>
            </w:r>
          </w:p>
        </w:tc>
        <w:tc>
          <w:tcPr>
            <w:tcW w:w="4991" w:type="dxa"/>
            <w:noWrap/>
            <w:vAlign w:val="center"/>
          </w:tcPr>
          <w:p w14:paraId="7FB1DD7E" w14:textId="77777777" w:rsidR="002E474C" w:rsidRDefault="00000000">
            <w:pPr>
              <w:pStyle w:val="A-"/>
              <w:spacing w:line="260" w:lineRule="exact"/>
            </w:pPr>
            <w:r>
              <w:t>铜火法冶炼烟气净化产生的酸泥（铅滤饼）</w:t>
            </w:r>
          </w:p>
        </w:tc>
        <w:tc>
          <w:tcPr>
            <w:tcW w:w="663" w:type="dxa"/>
            <w:noWrap/>
            <w:vAlign w:val="center"/>
          </w:tcPr>
          <w:p w14:paraId="658B24FB" w14:textId="77777777" w:rsidR="002E474C" w:rsidRDefault="00000000">
            <w:pPr>
              <w:pStyle w:val="A-"/>
              <w:spacing w:line="260" w:lineRule="exact"/>
            </w:pPr>
            <w:r>
              <w:t>T</w:t>
            </w:r>
          </w:p>
        </w:tc>
      </w:tr>
      <w:tr w:rsidR="002E474C" w14:paraId="2DCC9039" w14:textId="77777777">
        <w:trPr>
          <w:trHeight w:val="300"/>
        </w:trPr>
        <w:tc>
          <w:tcPr>
            <w:tcW w:w="828" w:type="dxa"/>
            <w:vMerge/>
            <w:vAlign w:val="center"/>
          </w:tcPr>
          <w:p w14:paraId="4B5BA5C8" w14:textId="77777777" w:rsidR="002E474C" w:rsidRDefault="002E474C">
            <w:pPr>
              <w:pStyle w:val="A-"/>
              <w:spacing w:line="260" w:lineRule="exact"/>
            </w:pPr>
          </w:p>
        </w:tc>
        <w:tc>
          <w:tcPr>
            <w:tcW w:w="893" w:type="dxa"/>
            <w:vMerge/>
            <w:vAlign w:val="center"/>
          </w:tcPr>
          <w:p w14:paraId="15F3BC28" w14:textId="77777777" w:rsidR="002E474C" w:rsidRDefault="002E474C">
            <w:pPr>
              <w:pStyle w:val="A-"/>
              <w:spacing w:line="260" w:lineRule="exact"/>
            </w:pPr>
          </w:p>
        </w:tc>
        <w:tc>
          <w:tcPr>
            <w:tcW w:w="1147" w:type="dxa"/>
            <w:noWrap/>
            <w:vAlign w:val="center"/>
          </w:tcPr>
          <w:p w14:paraId="4285FD7C" w14:textId="77777777" w:rsidR="002E474C" w:rsidRDefault="00000000">
            <w:pPr>
              <w:pStyle w:val="A-"/>
              <w:spacing w:line="260" w:lineRule="exact"/>
              <w:ind w:leftChars="-25" w:left="-53" w:rightChars="-25" w:right="-53"/>
            </w:pPr>
            <w:r>
              <w:t>321-032-48</w:t>
            </w:r>
          </w:p>
        </w:tc>
        <w:tc>
          <w:tcPr>
            <w:tcW w:w="4991" w:type="dxa"/>
            <w:noWrap/>
            <w:vAlign w:val="center"/>
          </w:tcPr>
          <w:p w14:paraId="295A454E" w14:textId="77777777" w:rsidR="002E474C" w:rsidRDefault="00000000">
            <w:pPr>
              <w:pStyle w:val="A-"/>
              <w:spacing w:line="260" w:lineRule="exact"/>
              <w:ind w:leftChars="-25" w:left="-53" w:rightChars="-25" w:right="-53"/>
            </w:pPr>
            <w:r>
              <w:t>铜火法冶炼烟气净化产生的污酸处理过程产生的砷渣</w:t>
            </w:r>
          </w:p>
        </w:tc>
        <w:tc>
          <w:tcPr>
            <w:tcW w:w="663" w:type="dxa"/>
            <w:noWrap/>
            <w:vAlign w:val="center"/>
          </w:tcPr>
          <w:p w14:paraId="07219137" w14:textId="77777777" w:rsidR="002E474C" w:rsidRDefault="00000000">
            <w:pPr>
              <w:pStyle w:val="A-"/>
              <w:spacing w:line="260" w:lineRule="exact"/>
            </w:pPr>
            <w:r>
              <w:t>T</w:t>
            </w:r>
          </w:p>
        </w:tc>
      </w:tr>
      <w:tr w:rsidR="002E474C" w14:paraId="1AEFF454" w14:textId="77777777">
        <w:trPr>
          <w:trHeight w:val="300"/>
        </w:trPr>
        <w:tc>
          <w:tcPr>
            <w:tcW w:w="828" w:type="dxa"/>
            <w:vMerge/>
            <w:vAlign w:val="center"/>
          </w:tcPr>
          <w:p w14:paraId="1BC598C0" w14:textId="77777777" w:rsidR="002E474C" w:rsidRDefault="002E474C">
            <w:pPr>
              <w:pStyle w:val="A-"/>
              <w:spacing w:line="260" w:lineRule="exact"/>
            </w:pPr>
          </w:p>
        </w:tc>
        <w:tc>
          <w:tcPr>
            <w:tcW w:w="893" w:type="dxa"/>
            <w:vMerge/>
            <w:vAlign w:val="center"/>
          </w:tcPr>
          <w:p w14:paraId="0681C084" w14:textId="77777777" w:rsidR="002E474C" w:rsidRDefault="002E474C">
            <w:pPr>
              <w:pStyle w:val="A-"/>
              <w:spacing w:line="260" w:lineRule="exact"/>
            </w:pPr>
          </w:p>
        </w:tc>
        <w:tc>
          <w:tcPr>
            <w:tcW w:w="1147" w:type="dxa"/>
            <w:noWrap/>
            <w:vAlign w:val="center"/>
          </w:tcPr>
          <w:p w14:paraId="3AC3355C" w14:textId="77777777" w:rsidR="002E474C" w:rsidRDefault="00000000">
            <w:pPr>
              <w:pStyle w:val="A-"/>
              <w:spacing w:line="260" w:lineRule="exact"/>
              <w:ind w:leftChars="-25" w:left="-53" w:rightChars="-25" w:right="-53"/>
            </w:pPr>
            <w:r>
              <w:t>321-003-48</w:t>
            </w:r>
          </w:p>
        </w:tc>
        <w:tc>
          <w:tcPr>
            <w:tcW w:w="4991" w:type="dxa"/>
            <w:noWrap/>
            <w:vAlign w:val="center"/>
          </w:tcPr>
          <w:p w14:paraId="6DE2E71B" w14:textId="77777777" w:rsidR="002E474C" w:rsidRDefault="00000000">
            <w:pPr>
              <w:pStyle w:val="A-"/>
              <w:spacing w:line="260" w:lineRule="exact"/>
            </w:pPr>
            <w:r>
              <w:t>粗锌精炼加工过程中湿法除尘产生的废水处理污泥</w:t>
            </w:r>
          </w:p>
        </w:tc>
        <w:tc>
          <w:tcPr>
            <w:tcW w:w="663" w:type="dxa"/>
            <w:noWrap/>
            <w:vAlign w:val="center"/>
          </w:tcPr>
          <w:p w14:paraId="34C8EB19" w14:textId="77777777" w:rsidR="002E474C" w:rsidRDefault="00000000">
            <w:pPr>
              <w:pStyle w:val="A-"/>
              <w:spacing w:line="260" w:lineRule="exact"/>
            </w:pPr>
            <w:r>
              <w:t>T</w:t>
            </w:r>
          </w:p>
        </w:tc>
      </w:tr>
      <w:tr w:rsidR="002E474C" w14:paraId="4EDAF350" w14:textId="77777777">
        <w:trPr>
          <w:trHeight w:val="300"/>
        </w:trPr>
        <w:tc>
          <w:tcPr>
            <w:tcW w:w="828" w:type="dxa"/>
            <w:vMerge/>
            <w:vAlign w:val="center"/>
          </w:tcPr>
          <w:p w14:paraId="027CF09E" w14:textId="77777777" w:rsidR="002E474C" w:rsidRDefault="002E474C">
            <w:pPr>
              <w:pStyle w:val="A-"/>
              <w:spacing w:line="260" w:lineRule="exact"/>
            </w:pPr>
          </w:p>
        </w:tc>
        <w:tc>
          <w:tcPr>
            <w:tcW w:w="893" w:type="dxa"/>
            <w:vMerge/>
            <w:vAlign w:val="center"/>
          </w:tcPr>
          <w:p w14:paraId="0E27966C" w14:textId="77777777" w:rsidR="002E474C" w:rsidRDefault="002E474C">
            <w:pPr>
              <w:pStyle w:val="A-"/>
              <w:spacing w:line="260" w:lineRule="exact"/>
            </w:pPr>
          </w:p>
        </w:tc>
        <w:tc>
          <w:tcPr>
            <w:tcW w:w="1147" w:type="dxa"/>
            <w:noWrap/>
            <w:vAlign w:val="center"/>
          </w:tcPr>
          <w:p w14:paraId="1FC2697B" w14:textId="77777777" w:rsidR="002E474C" w:rsidRDefault="00000000">
            <w:pPr>
              <w:pStyle w:val="A-"/>
              <w:spacing w:line="260" w:lineRule="exact"/>
              <w:ind w:leftChars="-25" w:left="-53" w:rightChars="-25" w:right="-53"/>
            </w:pPr>
            <w:r>
              <w:t>321-004-48</w:t>
            </w:r>
          </w:p>
        </w:tc>
        <w:tc>
          <w:tcPr>
            <w:tcW w:w="4991" w:type="dxa"/>
            <w:noWrap/>
            <w:vAlign w:val="center"/>
          </w:tcPr>
          <w:p w14:paraId="00555FAA" w14:textId="77777777" w:rsidR="002E474C" w:rsidRDefault="00000000">
            <w:pPr>
              <w:pStyle w:val="A-"/>
              <w:spacing w:line="260" w:lineRule="exact"/>
            </w:pPr>
            <w:r>
              <w:t>铅锌冶炼过程中，锌焙烧矿、锌氧化矿常规浸出法产生的浸出渣</w:t>
            </w:r>
          </w:p>
        </w:tc>
        <w:tc>
          <w:tcPr>
            <w:tcW w:w="663" w:type="dxa"/>
            <w:noWrap/>
            <w:vAlign w:val="center"/>
          </w:tcPr>
          <w:p w14:paraId="6643B746" w14:textId="77777777" w:rsidR="002E474C" w:rsidRDefault="00000000">
            <w:pPr>
              <w:pStyle w:val="A-"/>
              <w:spacing w:line="260" w:lineRule="exact"/>
            </w:pPr>
            <w:r>
              <w:t>T</w:t>
            </w:r>
          </w:p>
        </w:tc>
      </w:tr>
      <w:tr w:rsidR="002E474C" w14:paraId="390B9F5A" w14:textId="77777777">
        <w:trPr>
          <w:trHeight w:val="300"/>
        </w:trPr>
        <w:tc>
          <w:tcPr>
            <w:tcW w:w="828" w:type="dxa"/>
            <w:vMerge/>
            <w:vAlign w:val="center"/>
          </w:tcPr>
          <w:p w14:paraId="40B52818" w14:textId="77777777" w:rsidR="002E474C" w:rsidRDefault="002E474C">
            <w:pPr>
              <w:pStyle w:val="A-"/>
              <w:spacing w:line="260" w:lineRule="exact"/>
            </w:pPr>
          </w:p>
        </w:tc>
        <w:tc>
          <w:tcPr>
            <w:tcW w:w="893" w:type="dxa"/>
            <w:vMerge/>
            <w:vAlign w:val="center"/>
          </w:tcPr>
          <w:p w14:paraId="00CFE701" w14:textId="77777777" w:rsidR="002E474C" w:rsidRDefault="002E474C">
            <w:pPr>
              <w:pStyle w:val="A-"/>
              <w:spacing w:line="260" w:lineRule="exact"/>
            </w:pPr>
          </w:p>
        </w:tc>
        <w:tc>
          <w:tcPr>
            <w:tcW w:w="1147" w:type="dxa"/>
            <w:noWrap/>
            <w:vAlign w:val="center"/>
          </w:tcPr>
          <w:p w14:paraId="42DDD360" w14:textId="77777777" w:rsidR="002E474C" w:rsidRDefault="00000000">
            <w:pPr>
              <w:pStyle w:val="A-"/>
              <w:spacing w:line="260" w:lineRule="exact"/>
              <w:ind w:leftChars="-25" w:left="-53" w:rightChars="-25" w:right="-53"/>
            </w:pPr>
            <w:r>
              <w:t>321-005-48</w:t>
            </w:r>
          </w:p>
        </w:tc>
        <w:tc>
          <w:tcPr>
            <w:tcW w:w="4991" w:type="dxa"/>
            <w:noWrap/>
            <w:vAlign w:val="center"/>
          </w:tcPr>
          <w:p w14:paraId="5302E4B0" w14:textId="77777777" w:rsidR="002E474C" w:rsidRDefault="00000000">
            <w:pPr>
              <w:pStyle w:val="A-"/>
              <w:spacing w:line="260" w:lineRule="exact"/>
              <w:ind w:leftChars="-34" w:left="-71" w:rightChars="-34" w:right="-71"/>
            </w:pPr>
            <w:r>
              <w:rPr>
                <w:spacing w:val="-11"/>
              </w:rPr>
              <w:t>铅锌冶炼过程中，锌焙烧矿热酸浸出黄钾铁矾法产生铁矾渣</w:t>
            </w:r>
          </w:p>
        </w:tc>
        <w:tc>
          <w:tcPr>
            <w:tcW w:w="663" w:type="dxa"/>
            <w:noWrap/>
            <w:vAlign w:val="center"/>
          </w:tcPr>
          <w:p w14:paraId="310C1EF0" w14:textId="77777777" w:rsidR="002E474C" w:rsidRDefault="00000000">
            <w:pPr>
              <w:pStyle w:val="A-"/>
              <w:spacing w:line="260" w:lineRule="exact"/>
            </w:pPr>
            <w:r>
              <w:t>T</w:t>
            </w:r>
          </w:p>
        </w:tc>
      </w:tr>
      <w:tr w:rsidR="002E474C" w14:paraId="7FB3671E" w14:textId="77777777">
        <w:trPr>
          <w:trHeight w:val="300"/>
        </w:trPr>
        <w:tc>
          <w:tcPr>
            <w:tcW w:w="828" w:type="dxa"/>
            <w:vMerge/>
            <w:vAlign w:val="center"/>
          </w:tcPr>
          <w:p w14:paraId="0DED0216" w14:textId="77777777" w:rsidR="002E474C" w:rsidRDefault="002E474C">
            <w:pPr>
              <w:pStyle w:val="A-"/>
              <w:spacing w:line="260" w:lineRule="exact"/>
            </w:pPr>
          </w:p>
        </w:tc>
        <w:tc>
          <w:tcPr>
            <w:tcW w:w="893" w:type="dxa"/>
            <w:vMerge/>
            <w:vAlign w:val="center"/>
          </w:tcPr>
          <w:p w14:paraId="5875B6EB" w14:textId="77777777" w:rsidR="002E474C" w:rsidRDefault="002E474C">
            <w:pPr>
              <w:pStyle w:val="A-"/>
              <w:spacing w:line="260" w:lineRule="exact"/>
            </w:pPr>
          </w:p>
        </w:tc>
        <w:tc>
          <w:tcPr>
            <w:tcW w:w="1147" w:type="dxa"/>
            <w:noWrap/>
            <w:vAlign w:val="center"/>
          </w:tcPr>
          <w:p w14:paraId="36F746AA" w14:textId="77777777" w:rsidR="002E474C" w:rsidRDefault="00000000">
            <w:pPr>
              <w:pStyle w:val="A-"/>
              <w:spacing w:line="260" w:lineRule="exact"/>
              <w:ind w:leftChars="-25" w:left="-53" w:rightChars="-25" w:right="-53"/>
            </w:pPr>
            <w:r>
              <w:t>321-006-48</w:t>
            </w:r>
          </w:p>
        </w:tc>
        <w:tc>
          <w:tcPr>
            <w:tcW w:w="4991" w:type="dxa"/>
            <w:noWrap/>
            <w:vAlign w:val="center"/>
          </w:tcPr>
          <w:p w14:paraId="475EB3CF" w14:textId="77777777" w:rsidR="002E474C" w:rsidRDefault="00000000">
            <w:pPr>
              <w:pStyle w:val="A-"/>
              <w:spacing w:line="260" w:lineRule="exact"/>
              <w:ind w:leftChars="-25" w:left="-53" w:rightChars="-25" w:right="-53"/>
            </w:pPr>
            <w:r>
              <w:t>硫化锌矿常压氧浸或者加压氧浸产生的硫渣（浸出渣）</w:t>
            </w:r>
          </w:p>
        </w:tc>
        <w:tc>
          <w:tcPr>
            <w:tcW w:w="663" w:type="dxa"/>
            <w:noWrap/>
            <w:vAlign w:val="center"/>
          </w:tcPr>
          <w:p w14:paraId="1724F40D" w14:textId="77777777" w:rsidR="002E474C" w:rsidRDefault="00000000">
            <w:pPr>
              <w:pStyle w:val="A-"/>
              <w:spacing w:line="260" w:lineRule="exact"/>
            </w:pPr>
            <w:r>
              <w:t>T</w:t>
            </w:r>
          </w:p>
        </w:tc>
      </w:tr>
      <w:tr w:rsidR="002E474C" w14:paraId="166A52B8" w14:textId="77777777">
        <w:trPr>
          <w:trHeight w:val="300"/>
        </w:trPr>
        <w:tc>
          <w:tcPr>
            <w:tcW w:w="828" w:type="dxa"/>
            <w:vMerge/>
            <w:vAlign w:val="center"/>
          </w:tcPr>
          <w:p w14:paraId="2087E648" w14:textId="77777777" w:rsidR="002E474C" w:rsidRDefault="002E474C">
            <w:pPr>
              <w:pStyle w:val="A-"/>
              <w:spacing w:line="260" w:lineRule="exact"/>
            </w:pPr>
          </w:p>
        </w:tc>
        <w:tc>
          <w:tcPr>
            <w:tcW w:w="893" w:type="dxa"/>
            <w:vMerge/>
            <w:vAlign w:val="center"/>
          </w:tcPr>
          <w:p w14:paraId="189A1FB7" w14:textId="77777777" w:rsidR="002E474C" w:rsidRDefault="002E474C">
            <w:pPr>
              <w:pStyle w:val="A-"/>
              <w:spacing w:line="260" w:lineRule="exact"/>
            </w:pPr>
          </w:p>
        </w:tc>
        <w:tc>
          <w:tcPr>
            <w:tcW w:w="1147" w:type="dxa"/>
            <w:noWrap/>
            <w:vAlign w:val="center"/>
          </w:tcPr>
          <w:p w14:paraId="6BBF74DD" w14:textId="77777777" w:rsidR="002E474C" w:rsidRDefault="00000000">
            <w:pPr>
              <w:pStyle w:val="A-"/>
              <w:spacing w:line="260" w:lineRule="exact"/>
              <w:ind w:leftChars="-25" w:left="-53" w:rightChars="-25" w:right="-53"/>
            </w:pPr>
            <w:r>
              <w:t>321-007-48</w:t>
            </w:r>
          </w:p>
        </w:tc>
        <w:tc>
          <w:tcPr>
            <w:tcW w:w="4991" w:type="dxa"/>
            <w:noWrap/>
            <w:vAlign w:val="center"/>
          </w:tcPr>
          <w:p w14:paraId="2AF323C5" w14:textId="77777777" w:rsidR="002E474C" w:rsidRDefault="00000000">
            <w:pPr>
              <w:pStyle w:val="A-"/>
              <w:spacing w:line="260" w:lineRule="exact"/>
              <w:ind w:leftChars="-34" w:left="-71" w:rightChars="-34" w:right="-71"/>
            </w:pPr>
            <w:r>
              <w:rPr>
                <w:spacing w:val="-11"/>
              </w:rPr>
              <w:t>铅锌冶炼过程中，锌焙烧矿热酸浸出针铁矿法产生针铁矿渣</w:t>
            </w:r>
          </w:p>
        </w:tc>
        <w:tc>
          <w:tcPr>
            <w:tcW w:w="663" w:type="dxa"/>
            <w:noWrap/>
            <w:vAlign w:val="center"/>
          </w:tcPr>
          <w:p w14:paraId="4CAFFC2E" w14:textId="77777777" w:rsidR="002E474C" w:rsidRDefault="00000000">
            <w:pPr>
              <w:pStyle w:val="A-"/>
              <w:spacing w:line="260" w:lineRule="exact"/>
            </w:pPr>
            <w:r>
              <w:t>T</w:t>
            </w:r>
          </w:p>
        </w:tc>
      </w:tr>
      <w:tr w:rsidR="002E474C" w14:paraId="37DDB0DA" w14:textId="77777777">
        <w:trPr>
          <w:trHeight w:val="300"/>
        </w:trPr>
        <w:tc>
          <w:tcPr>
            <w:tcW w:w="828" w:type="dxa"/>
            <w:vMerge/>
            <w:vAlign w:val="center"/>
          </w:tcPr>
          <w:p w14:paraId="07F426CD" w14:textId="77777777" w:rsidR="002E474C" w:rsidRDefault="002E474C">
            <w:pPr>
              <w:pStyle w:val="A-"/>
              <w:spacing w:line="260" w:lineRule="exact"/>
            </w:pPr>
          </w:p>
        </w:tc>
        <w:tc>
          <w:tcPr>
            <w:tcW w:w="893" w:type="dxa"/>
            <w:vMerge/>
            <w:vAlign w:val="center"/>
          </w:tcPr>
          <w:p w14:paraId="3C8144AA" w14:textId="77777777" w:rsidR="002E474C" w:rsidRDefault="002E474C">
            <w:pPr>
              <w:pStyle w:val="A-"/>
              <w:spacing w:line="260" w:lineRule="exact"/>
            </w:pPr>
          </w:p>
        </w:tc>
        <w:tc>
          <w:tcPr>
            <w:tcW w:w="1147" w:type="dxa"/>
            <w:noWrap/>
            <w:vAlign w:val="center"/>
          </w:tcPr>
          <w:p w14:paraId="4633FE75" w14:textId="77777777" w:rsidR="002E474C" w:rsidRDefault="00000000">
            <w:pPr>
              <w:pStyle w:val="A-"/>
              <w:spacing w:line="260" w:lineRule="exact"/>
              <w:ind w:leftChars="-25" w:left="-53" w:rightChars="-25" w:right="-53"/>
            </w:pPr>
            <w:r>
              <w:t>321-008-48</w:t>
            </w:r>
          </w:p>
        </w:tc>
        <w:tc>
          <w:tcPr>
            <w:tcW w:w="4991" w:type="dxa"/>
            <w:noWrap/>
            <w:vAlign w:val="center"/>
          </w:tcPr>
          <w:p w14:paraId="53B59A08" w14:textId="77777777" w:rsidR="002E474C" w:rsidRDefault="00000000">
            <w:pPr>
              <w:pStyle w:val="A-"/>
              <w:spacing w:line="260" w:lineRule="exact"/>
            </w:pPr>
            <w:r>
              <w:rPr>
                <w:spacing w:val="-6"/>
              </w:rPr>
              <w:t>铅锌冶炼过程中，锌浸出液净化产生的净化渣，包括锌粉</w:t>
            </w:r>
            <w:r>
              <w:rPr>
                <w:spacing w:val="-6"/>
              </w:rPr>
              <w:t>-</w:t>
            </w:r>
            <w:r>
              <w:rPr>
                <w:spacing w:val="-6"/>
              </w:rPr>
              <w:t>黄药法、砷盐法、反向锑盐法、铅锑合金锌粉法等工艺除铜、锑、镉、钴、镍等杂质过程中产生的废渣</w:t>
            </w:r>
          </w:p>
        </w:tc>
        <w:tc>
          <w:tcPr>
            <w:tcW w:w="663" w:type="dxa"/>
            <w:noWrap/>
            <w:vAlign w:val="center"/>
          </w:tcPr>
          <w:p w14:paraId="78E30257" w14:textId="77777777" w:rsidR="002E474C" w:rsidRDefault="00000000">
            <w:pPr>
              <w:pStyle w:val="A-"/>
              <w:spacing w:line="260" w:lineRule="exact"/>
            </w:pPr>
            <w:r>
              <w:t>T</w:t>
            </w:r>
          </w:p>
        </w:tc>
      </w:tr>
      <w:tr w:rsidR="002E474C" w14:paraId="6B68F631" w14:textId="77777777">
        <w:trPr>
          <w:trHeight w:val="300"/>
        </w:trPr>
        <w:tc>
          <w:tcPr>
            <w:tcW w:w="828" w:type="dxa"/>
            <w:vMerge/>
            <w:vAlign w:val="center"/>
          </w:tcPr>
          <w:p w14:paraId="4ED66EBD" w14:textId="77777777" w:rsidR="002E474C" w:rsidRDefault="002E474C">
            <w:pPr>
              <w:pStyle w:val="A-"/>
              <w:spacing w:line="260" w:lineRule="exact"/>
            </w:pPr>
          </w:p>
        </w:tc>
        <w:tc>
          <w:tcPr>
            <w:tcW w:w="893" w:type="dxa"/>
            <w:vMerge/>
            <w:vAlign w:val="center"/>
          </w:tcPr>
          <w:p w14:paraId="136336CF" w14:textId="77777777" w:rsidR="002E474C" w:rsidRDefault="002E474C">
            <w:pPr>
              <w:pStyle w:val="A-"/>
              <w:spacing w:line="260" w:lineRule="exact"/>
            </w:pPr>
          </w:p>
        </w:tc>
        <w:tc>
          <w:tcPr>
            <w:tcW w:w="1147" w:type="dxa"/>
            <w:noWrap/>
            <w:vAlign w:val="center"/>
          </w:tcPr>
          <w:p w14:paraId="603A571F" w14:textId="77777777" w:rsidR="002E474C" w:rsidRDefault="00000000">
            <w:pPr>
              <w:pStyle w:val="A-"/>
              <w:spacing w:line="260" w:lineRule="exact"/>
              <w:ind w:leftChars="-25" w:left="-53" w:rightChars="-25" w:right="-53"/>
            </w:pPr>
            <w:r>
              <w:t>321-009-48</w:t>
            </w:r>
          </w:p>
        </w:tc>
        <w:tc>
          <w:tcPr>
            <w:tcW w:w="4991" w:type="dxa"/>
            <w:noWrap/>
            <w:vAlign w:val="center"/>
          </w:tcPr>
          <w:p w14:paraId="392D3BBF" w14:textId="77777777" w:rsidR="002E474C" w:rsidRDefault="00000000">
            <w:pPr>
              <w:pStyle w:val="A-"/>
              <w:spacing w:line="260" w:lineRule="exact"/>
            </w:pPr>
            <w:r>
              <w:t>铅锌冶炼过程中，阴极锌熔铸产生的熔铸浮渣</w:t>
            </w:r>
          </w:p>
        </w:tc>
        <w:tc>
          <w:tcPr>
            <w:tcW w:w="663" w:type="dxa"/>
            <w:noWrap/>
            <w:vAlign w:val="center"/>
          </w:tcPr>
          <w:p w14:paraId="1759CF0D" w14:textId="77777777" w:rsidR="002E474C" w:rsidRDefault="00000000">
            <w:pPr>
              <w:pStyle w:val="A-"/>
              <w:spacing w:line="260" w:lineRule="exact"/>
            </w:pPr>
            <w:r>
              <w:t>T</w:t>
            </w:r>
          </w:p>
        </w:tc>
      </w:tr>
      <w:tr w:rsidR="002E474C" w14:paraId="6C080184" w14:textId="77777777">
        <w:trPr>
          <w:trHeight w:val="300"/>
        </w:trPr>
        <w:tc>
          <w:tcPr>
            <w:tcW w:w="828" w:type="dxa"/>
            <w:vMerge/>
            <w:vAlign w:val="center"/>
          </w:tcPr>
          <w:p w14:paraId="34B9B927" w14:textId="77777777" w:rsidR="002E474C" w:rsidRDefault="002E474C">
            <w:pPr>
              <w:pStyle w:val="A-"/>
              <w:spacing w:line="260" w:lineRule="exact"/>
            </w:pPr>
          </w:p>
        </w:tc>
        <w:tc>
          <w:tcPr>
            <w:tcW w:w="893" w:type="dxa"/>
            <w:vMerge/>
            <w:vAlign w:val="center"/>
          </w:tcPr>
          <w:p w14:paraId="5400D0AD" w14:textId="77777777" w:rsidR="002E474C" w:rsidRDefault="002E474C">
            <w:pPr>
              <w:pStyle w:val="A-"/>
              <w:spacing w:line="260" w:lineRule="exact"/>
            </w:pPr>
          </w:p>
        </w:tc>
        <w:tc>
          <w:tcPr>
            <w:tcW w:w="1147" w:type="dxa"/>
            <w:noWrap/>
            <w:vAlign w:val="center"/>
          </w:tcPr>
          <w:p w14:paraId="3E526FF0" w14:textId="77777777" w:rsidR="002E474C" w:rsidRDefault="00000000">
            <w:pPr>
              <w:pStyle w:val="A-"/>
              <w:spacing w:line="260" w:lineRule="exact"/>
              <w:ind w:leftChars="-25" w:left="-53" w:rightChars="-25" w:right="-53"/>
            </w:pPr>
            <w:r>
              <w:t>321-010-48</w:t>
            </w:r>
          </w:p>
        </w:tc>
        <w:tc>
          <w:tcPr>
            <w:tcW w:w="4991" w:type="dxa"/>
            <w:noWrap/>
            <w:vAlign w:val="center"/>
          </w:tcPr>
          <w:p w14:paraId="7B9D2406" w14:textId="77777777" w:rsidR="002E474C" w:rsidRDefault="00000000">
            <w:pPr>
              <w:pStyle w:val="A-"/>
              <w:spacing w:line="260" w:lineRule="exact"/>
              <w:ind w:leftChars="-25" w:left="-53" w:rightChars="-25" w:right="-53"/>
            </w:pPr>
            <w:r>
              <w:rPr>
                <w:spacing w:val="-6"/>
              </w:rPr>
              <w:t>铅锌冶炼过程中，氧化锌浸出处理产生的氧化锌浸出渣</w:t>
            </w:r>
          </w:p>
        </w:tc>
        <w:tc>
          <w:tcPr>
            <w:tcW w:w="663" w:type="dxa"/>
            <w:noWrap/>
            <w:vAlign w:val="center"/>
          </w:tcPr>
          <w:p w14:paraId="567BF237" w14:textId="77777777" w:rsidR="002E474C" w:rsidRDefault="00000000">
            <w:pPr>
              <w:pStyle w:val="A-"/>
              <w:spacing w:line="260" w:lineRule="exact"/>
            </w:pPr>
            <w:r>
              <w:t>T</w:t>
            </w:r>
          </w:p>
        </w:tc>
      </w:tr>
      <w:tr w:rsidR="002E474C" w14:paraId="252163BF" w14:textId="77777777">
        <w:trPr>
          <w:trHeight w:val="300"/>
        </w:trPr>
        <w:tc>
          <w:tcPr>
            <w:tcW w:w="828" w:type="dxa"/>
            <w:vMerge/>
            <w:vAlign w:val="center"/>
          </w:tcPr>
          <w:p w14:paraId="0A2F277B" w14:textId="77777777" w:rsidR="002E474C" w:rsidRDefault="002E474C">
            <w:pPr>
              <w:pStyle w:val="A-"/>
              <w:spacing w:line="260" w:lineRule="exact"/>
            </w:pPr>
          </w:p>
        </w:tc>
        <w:tc>
          <w:tcPr>
            <w:tcW w:w="893" w:type="dxa"/>
            <w:vMerge/>
            <w:vAlign w:val="center"/>
          </w:tcPr>
          <w:p w14:paraId="4E0A5D58" w14:textId="77777777" w:rsidR="002E474C" w:rsidRDefault="002E474C">
            <w:pPr>
              <w:pStyle w:val="A-"/>
              <w:spacing w:line="260" w:lineRule="exact"/>
            </w:pPr>
          </w:p>
        </w:tc>
        <w:tc>
          <w:tcPr>
            <w:tcW w:w="1147" w:type="dxa"/>
            <w:noWrap/>
            <w:vAlign w:val="center"/>
          </w:tcPr>
          <w:p w14:paraId="7EABD3A1" w14:textId="77777777" w:rsidR="002E474C" w:rsidRDefault="00000000">
            <w:pPr>
              <w:pStyle w:val="A-"/>
              <w:spacing w:line="260" w:lineRule="exact"/>
              <w:ind w:leftChars="-25" w:left="-53" w:rightChars="-25" w:right="-53"/>
            </w:pPr>
            <w:r>
              <w:t>321-011-48</w:t>
            </w:r>
          </w:p>
        </w:tc>
        <w:tc>
          <w:tcPr>
            <w:tcW w:w="4991" w:type="dxa"/>
            <w:noWrap/>
            <w:vAlign w:val="center"/>
          </w:tcPr>
          <w:p w14:paraId="20E2BF73" w14:textId="77777777" w:rsidR="002E474C" w:rsidRDefault="00000000">
            <w:pPr>
              <w:pStyle w:val="A-"/>
              <w:spacing w:line="260" w:lineRule="exact"/>
            </w:pPr>
            <w:r>
              <w:t>铅锌冶炼过程中，鼓风炉炼锌锌蒸气冷凝分离系统产生的鼓风炉浮渣</w:t>
            </w:r>
          </w:p>
        </w:tc>
        <w:tc>
          <w:tcPr>
            <w:tcW w:w="663" w:type="dxa"/>
            <w:noWrap/>
            <w:vAlign w:val="center"/>
          </w:tcPr>
          <w:p w14:paraId="35D77146" w14:textId="77777777" w:rsidR="002E474C" w:rsidRDefault="00000000">
            <w:pPr>
              <w:pStyle w:val="A-"/>
              <w:spacing w:line="260" w:lineRule="exact"/>
            </w:pPr>
            <w:r>
              <w:t>T</w:t>
            </w:r>
          </w:p>
        </w:tc>
      </w:tr>
      <w:tr w:rsidR="002E474C" w14:paraId="23D5A1E8" w14:textId="77777777">
        <w:trPr>
          <w:trHeight w:val="300"/>
        </w:trPr>
        <w:tc>
          <w:tcPr>
            <w:tcW w:w="828" w:type="dxa"/>
            <w:vMerge/>
            <w:vAlign w:val="center"/>
          </w:tcPr>
          <w:p w14:paraId="0CFC5DA6" w14:textId="77777777" w:rsidR="002E474C" w:rsidRDefault="002E474C">
            <w:pPr>
              <w:pStyle w:val="A-"/>
              <w:spacing w:line="260" w:lineRule="exact"/>
            </w:pPr>
          </w:p>
        </w:tc>
        <w:tc>
          <w:tcPr>
            <w:tcW w:w="893" w:type="dxa"/>
            <w:vMerge/>
            <w:vAlign w:val="center"/>
          </w:tcPr>
          <w:p w14:paraId="48A152D1" w14:textId="77777777" w:rsidR="002E474C" w:rsidRDefault="002E474C">
            <w:pPr>
              <w:pStyle w:val="A-"/>
              <w:spacing w:line="260" w:lineRule="exact"/>
            </w:pPr>
          </w:p>
        </w:tc>
        <w:tc>
          <w:tcPr>
            <w:tcW w:w="1147" w:type="dxa"/>
            <w:noWrap/>
            <w:vAlign w:val="center"/>
          </w:tcPr>
          <w:p w14:paraId="6FF2E787" w14:textId="77777777" w:rsidR="002E474C" w:rsidRDefault="00000000">
            <w:pPr>
              <w:pStyle w:val="A-"/>
              <w:spacing w:line="260" w:lineRule="exact"/>
              <w:ind w:leftChars="-25" w:left="-53" w:rightChars="-25" w:right="-53"/>
            </w:pPr>
            <w:r>
              <w:t>321-012-48</w:t>
            </w:r>
          </w:p>
        </w:tc>
        <w:tc>
          <w:tcPr>
            <w:tcW w:w="4991" w:type="dxa"/>
            <w:noWrap/>
            <w:vAlign w:val="center"/>
          </w:tcPr>
          <w:p w14:paraId="54A90A72" w14:textId="77777777" w:rsidR="002E474C" w:rsidRDefault="00000000">
            <w:pPr>
              <w:pStyle w:val="A-"/>
              <w:spacing w:line="260" w:lineRule="exact"/>
            </w:pPr>
            <w:r>
              <w:t>铅锌冶炼过程中，锌精馏炉产生的锌渣</w:t>
            </w:r>
          </w:p>
        </w:tc>
        <w:tc>
          <w:tcPr>
            <w:tcW w:w="663" w:type="dxa"/>
            <w:noWrap/>
            <w:vAlign w:val="center"/>
          </w:tcPr>
          <w:p w14:paraId="7402A089" w14:textId="77777777" w:rsidR="002E474C" w:rsidRDefault="00000000">
            <w:pPr>
              <w:pStyle w:val="A-"/>
              <w:spacing w:line="260" w:lineRule="exact"/>
            </w:pPr>
            <w:r>
              <w:t>T</w:t>
            </w:r>
          </w:p>
        </w:tc>
      </w:tr>
      <w:tr w:rsidR="002E474C" w14:paraId="157B4514" w14:textId="77777777">
        <w:trPr>
          <w:trHeight w:val="300"/>
        </w:trPr>
        <w:tc>
          <w:tcPr>
            <w:tcW w:w="828" w:type="dxa"/>
            <w:vMerge/>
            <w:vAlign w:val="center"/>
          </w:tcPr>
          <w:p w14:paraId="55B0F7C1" w14:textId="77777777" w:rsidR="002E474C" w:rsidRDefault="002E474C">
            <w:pPr>
              <w:pStyle w:val="A-"/>
              <w:spacing w:line="260" w:lineRule="exact"/>
            </w:pPr>
          </w:p>
        </w:tc>
        <w:tc>
          <w:tcPr>
            <w:tcW w:w="893" w:type="dxa"/>
            <w:vMerge/>
            <w:vAlign w:val="center"/>
          </w:tcPr>
          <w:p w14:paraId="011D82FB" w14:textId="77777777" w:rsidR="002E474C" w:rsidRDefault="002E474C">
            <w:pPr>
              <w:pStyle w:val="A-"/>
              <w:spacing w:line="260" w:lineRule="exact"/>
            </w:pPr>
          </w:p>
        </w:tc>
        <w:tc>
          <w:tcPr>
            <w:tcW w:w="1147" w:type="dxa"/>
            <w:noWrap/>
            <w:vAlign w:val="center"/>
          </w:tcPr>
          <w:p w14:paraId="64367ED2" w14:textId="77777777" w:rsidR="002E474C" w:rsidRDefault="00000000">
            <w:pPr>
              <w:pStyle w:val="A-"/>
              <w:spacing w:line="260" w:lineRule="exact"/>
              <w:ind w:leftChars="-25" w:left="-53" w:rightChars="-25" w:right="-53"/>
            </w:pPr>
            <w:r>
              <w:t>321-013-48</w:t>
            </w:r>
          </w:p>
        </w:tc>
        <w:tc>
          <w:tcPr>
            <w:tcW w:w="4991" w:type="dxa"/>
            <w:noWrap/>
            <w:vAlign w:val="center"/>
          </w:tcPr>
          <w:p w14:paraId="19AC1B81" w14:textId="77777777" w:rsidR="002E474C" w:rsidRDefault="00000000">
            <w:pPr>
              <w:pStyle w:val="A-"/>
              <w:spacing w:line="260" w:lineRule="exact"/>
            </w:pPr>
            <w:r>
              <w:t>铅锌冶炼过程中，提取金、银、铋、镉、钴、铟、锗、铊、碲等金属过程中产生的废渣</w:t>
            </w:r>
          </w:p>
        </w:tc>
        <w:tc>
          <w:tcPr>
            <w:tcW w:w="663" w:type="dxa"/>
            <w:noWrap/>
            <w:vAlign w:val="center"/>
          </w:tcPr>
          <w:p w14:paraId="7AA7E14D" w14:textId="77777777" w:rsidR="002E474C" w:rsidRDefault="00000000">
            <w:pPr>
              <w:pStyle w:val="A-"/>
              <w:spacing w:line="260" w:lineRule="exact"/>
            </w:pPr>
            <w:r>
              <w:t>T</w:t>
            </w:r>
          </w:p>
        </w:tc>
      </w:tr>
      <w:tr w:rsidR="002E474C" w14:paraId="1733CA39" w14:textId="77777777">
        <w:trPr>
          <w:trHeight w:val="300"/>
        </w:trPr>
        <w:tc>
          <w:tcPr>
            <w:tcW w:w="828" w:type="dxa"/>
            <w:vMerge/>
            <w:vAlign w:val="center"/>
          </w:tcPr>
          <w:p w14:paraId="3515DEB7" w14:textId="77777777" w:rsidR="002E474C" w:rsidRDefault="002E474C">
            <w:pPr>
              <w:pStyle w:val="A-"/>
              <w:spacing w:line="260" w:lineRule="exact"/>
            </w:pPr>
          </w:p>
        </w:tc>
        <w:tc>
          <w:tcPr>
            <w:tcW w:w="893" w:type="dxa"/>
            <w:vMerge/>
            <w:vAlign w:val="center"/>
          </w:tcPr>
          <w:p w14:paraId="230DF324" w14:textId="77777777" w:rsidR="002E474C" w:rsidRDefault="002E474C">
            <w:pPr>
              <w:pStyle w:val="A-"/>
              <w:spacing w:line="260" w:lineRule="exact"/>
            </w:pPr>
          </w:p>
        </w:tc>
        <w:tc>
          <w:tcPr>
            <w:tcW w:w="1147" w:type="dxa"/>
            <w:noWrap/>
            <w:vAlign w:val="center"/>
          </w:tcPr>
          <w:p w14:paraId="69356BB1" w14:textId="77777777" w:rsidR="002E474C" w:rsidRDefault="00000000">
            <w:pPr>
              <w:pStyle w:val="A-"/>
              <w:spacing w:line="260" w:lineRule="exact"/>
              <w:ind w:leftChars="-25" w:left="-53" w:rightChars="-25" w:right="-53"/>
            </w:pPr>
            <w:r>
              <w:t>321-014-48</w:t>
            </w:r>
          </w:p>
        </w:tc>
        <w:tc>
          <w:tcPr>
            <w:tcW w:w="4991" w:type="dxa"/>
            <w:noWrap/>
            <w:vAlign w:val="center"/>
          </w:tcPr>
          <w:p w14:paraId="4171474F" w14:textId="77777777" w:rsidR="002E474C" w:rsidRDefault="00000000">
            <w:pPr>
              <w:pStyle w:val="A-"/>
              <w:spacing w:line="260" w:lineRule="exact"/>
            </w:pPr>
            <w:r>
              <w:t>铅锌冶炼过程中，集（除）尘装置收集的粉尘</w:t>
            </w:r>
          </w:p>
        </w:tc>
        <w:tc>
          <w:tcPr>
            <w:tcW w:w="663" w:type="dxa"/>
            <w:noWrap/>
            <w:vAlign w:val="center"/>
          </w:tcPr>
          <w:p w14:paraId="31C96BA8" w14:textId="77777777" w:rsidR="002E474C" w:rsidRDefault="00000000">
            <w:pPr>
              <w:pStyle w:val="A-"/>
              <w:spacing w:line="260" w:lineRule="exact"/>
            </w:pPr>
            <w:r>
              <w:t>T</w:t>
            </w:r>
          </w:p>
        </w:tc>
      </w:tr>
      <w:tr w:rsidR="002E474C" w14:paraId="52A171D8" w14:textId="77777777">
        <w:trPr>
          <w:trHeight w:val="300"/>
        </w:trPr>
        <w:tc>
          <w:tcPr>
            <w:tcW w:w="828" w:type="dxa"/>
            <w:vMerge/>
            <w:vAlign w:val="center"/>
          </w:tcPr>
          <w:p w14:paraId="38E1BD68" w14:textId="77777777" w:rsidR="002E474C" w:rsidRDefault="002E474C">
            <w:pPr>
              <w:pStyle w:val="A-"/>
              <w:spacing w:line="260" w:lineRule="exact"/>
            </w:pPr>
          </w:p>
        </w:tc>
        <w:tc>
          <w:tcPr>
            <w:tcW w:w="893" w:type="dxa"/>
            <w:vMerge/>
            <w:vAlign w:val="center"/>
          </w:tcPr>
          <w:p w14:paraId="472C0A4F" w14:textId="77777777" w:rsidR="002E474C" w:rsidRDefault="002E474C">
            <w:pPr>
              <w:pStyle w:val="A-"/>
              <w:spacing w:line="260" w:lineRule="exact"/>
            </w:pPr>
          </w:p>
        </w:tc>
        <w:tc>
          <w:tcPr>
            <w:tcW w:w="1147" w:type="dxa"/>
            <w:noWrap/>
            <w:vAlign w:val="center"/>
          </w:tcPr>
          <w:p w14:paraId="7F945622" w14:textId="77777777" w:rsidR="002E474C" w:rsidRDefault="00000000">
            <w:pPr>
              <w:pStyle w:val="A-"/>
              <w:spacing w:line="260" w:lineRule="exact"/>
              <w:ind w:leftChars="-25" w:left="-53" w:rightChars="-25" w:right="-53"/>
            </w:pPr>
            <w:r>
              <w:t>321-016-48</w:t>
            </w:r>
          </w:p>
        </w:tc>
        <w:tc>
          <w:tcPr>
            <w:tcW w:w="4991" w:type="dxa"/>
            <w:noWrap/>
            <w:vAlign w:val="center"/>
          </w:tcPr>
          <w:p w14:paraId="78B94398" w14:textId="77777777" w:rsidR="002E474C" w:rsidRDefault="00000000">
            <w:pPr>
              <w:pStyle w:val="A-"/>
              <w:spacing w:line="260" w:lineRule="exact"/>
            </w:pPr>
            <w:r>
              <w:t>粗铅精炼过程中产生的浮渣和底渣</w:t>
            </w:r>
          </w:p>
        </w:tc>
        <w:tc>
          <w:tcPr>
            <w:tcW w:w="663" w:type="dxa"/>
            <w:noWrap/>
            <w:vAlign w:val="center"/>
          </w:tcPr>
          <w:p w14:paraId="76631820" w14:textId="77777777" w:rsidR="002E474C" w:rsidRDefault="00000000">
            <w:pPr>
              <w:pStyle w:val="A-"/>
              <w:spacing w:line="260" w:lineRule="exact"/>
            </w:pPr>
            <w:r>
              <w:t>T</w:t>
            </w:r>
          </w:p>
        </w:tc>
      </w:tr>
      <w:tr w:rsidR="002E474C" w14:paraId="4ACB45C9" w14:textId="77777777">
        <w:trPr>
          <w:trHeight w:val="300"/>
        </w:trPr>
        <w:tc>
          <w:tcPr>
            <w:tcW w:w="828" w:type="dxa"/>
            <w:vMerge/>
            <w:vAlign w:val="center"/>
          </w:tcPr>
          <w:p w14:paraId="16994CCE" w14:textId="77777777" w:rsidR="002E474C" w:rsidRDefault="002E474C">
            <w:pPr>
              <w:pStyle w:val="A-"/>
              <w:spacing w:line="260" w:lineRule="exact"/>
            </w:pPr>
          </w:p>
        </w:tc>
        <w:tc>
          <w:tcPr>
            <w:tcW w:w="893" w:type="dxa"/>
            <w:vMerge/>
            <w:vAlign w:val="center"/>
          </w:tcPr>
          <w:p w14:paraId="12242C71" w14:textId="77777777" w:rsidR="002E474C" w:rsidRDefault="002E474C">
            <w:pPr>
              <w:pStyle w:val="A-"/>
              <w:spacing w:line="260" w:lineRule="exact"/>
            </w:pPr>
          </w:p>
        </w:tc>
        <w:tc>
          <w:tcPr>
            <w:tcW w:w="1147" w:type="dxa"/>
            <w:noWrap/>
            <w:vAlign w:val="center"/>
          </w:tcPr>
          <w:p w14:paraId="10C9A7F8" w14:textId="77777777" w:rsidR="002E474C" w:rsidRDefault="00000000">
            <w:pPr>
              <w:pStyle w:val="A-"/>
              <w:spacing w:line="260" w:lineRule="exact"/>
              <w:ind w:leftChars="-25" w:left="-53" w:rightChars="-25" w:right="-53"/>
            </w:pPr>
            <w:r>
              <w:t>321-017-48</w:t>
            </w:r>
          </w:p>
        </w:tc>
        <w:tc>
          <w:tcPr>
            <w:tcW w:w="4991" w:type="dxa"/>
            <w:noWrap/>
            <w:vAlign w:val="center"/>
          </w:tcPr>
          <w:p w14:paraId="233DA26C" w14:textId="77777777" w:rsidR="002E474C" w:rsidRDefault="00000000">
            <w:pPr>
              <w:pStyle w:val="A-"/>
              <w:spacing w:line="260" w:lineRule="exact"/>
            </w:pPr>
            <w:r>
              <w:t>铅锌冶炼过程中，炼铅鼓风炉产生的黄渣</w:t>
            </w:r>
          </w:p>
        </w:tc>
        <w:tc>
          <w:tcPr>
            <w:tcW w:w="663" w:type="dxa"/>
            <w:noWrap/>
            <w:vAlign w:val="center"/>
          </w:tcPr>
          <w:p w14:paraId="0E8CCE19" w14:textId="77777777" w:rsidR="002E474C" w:rsidRDefault="00000000">
            <w:pPr>
              <w:pStyle w:val="A-"/>
              <w:spacing w:line="260" w:lineRule="exact"/>
            </w:pPr>
            <w:r>
              <w:t>T</w:t>
            </w:r>
          </w:p>
        </w:tc>
      </w:tr>
      <w:tr w:rsidR="002E474C" w14:paraId="00EC8880" w14:textId="77777777">
        <w:trPr>
          <w:trHeight w:val="300"/>
        </w:trPr>
        <w:tc>
          <w:tcPr>
            <w:tcW w:w="828" w:type="dxa"/>
            <w:vMerge/>
            <w:vAlign w:val="center"/>
          </w:tcPr>
          <w:p w14:paraId="73410C67" w14:textId="77777777" w:rsidR="002E474C" w:rsidRDefault="002E474C">
            <w:pPr>
              <w:pStyle w:val="A-"/>
              <w:spacing w:line="260" w:lineRule="exact"/>
            </w:pPr>
          </w:p>
        </w:tc>
        <w:tc>
          <w:tcPr>
            <w:tcW w:w="893" w:type="dxa"/>
            <w:vMerge/>
            <w:vAlign w:val="center"/>
          </w:tcPr>
          <w:p w14:paraId="2185CA33" w14:textId="77777777" w:rsidR="002E474C" w:rsidRDefault="002E474C">
            <w:pPr>
              <w:pStyle w:val="A-"/>
              <w:spacing w:line="260" w:lineRule="exact"/>
            </w:pPr>
          </w:p>
        </w:tc>
        <w:tc>
          <w:tcPr>
            <w:tcW w:w="1147" w:type="dxa"/>
            <w:noWrap/>
            <w:vAlign w:val="center"/>
          </w:tcPr>
          <w:p w14:paraId="24AAC6E5" w14:textId="77777777" w:rsidR="002E474C" w:rsidRDefault="00000000">
            <w:pPr>
              <w:pStyle w:val="A-"/>
              <w:spacing w:line="260" w:lineRule="exact"/>
              <w:ind w:leftChars="-25" w:left="-53" w:rightChars="-25" w:right="-53"/>
            </w:pPr>
            <w:r>
              <w:t>321-018-48</w:t>
            </w:r>
          </w:p>
        </w:tc>
        <w:tc>
          <w:tcPr>
            <w:tcW w:w="4991" w:type="dxa"/>
            <w:noWrap/>
            <w:vAlign w:val="center"/>
          </w:tcPr>
          <w:p w14:paraId="469CF3CA" w14:textId="77777777" w:rsidR="002E474C" w:rsidRDefault="00000000">
            <w:pPr>
              <w:pStyle w:val="A-"/>
              <w:spacing w:line="260" w:lineRule="exact"/>
            </w:pPr>
            <w:r>
              <w:t>铅锌冶炼过程中，粗铅火法精炼产生的精炼渣</w:t>
            </w:r>
          </w:p>
        </w:tc>
        <w:tc>
          <w:tcPr>
            <w:tcW w:w="663" w:type="dxa"/>
            <w:noWrap/>
            <w:vAlign w:val="center"/>
          </w:tcPr>
          <w:p w14:paraId="0E4179DB" w14:textId="77777777" w:rsidR="002E474C" w:rsidRDefault="00000000">
            <w:pPr>
              <w:pStyle w:val="A-"/>
              <w:spacing w:line="260" w:lineRule="exact"/>
            </w:pPr>
            <w:r>
              <w:t>T</w:t>
            </w:r>
          </w:p>
        </w:tc>
      </w:tr>
      <w:tr w:rsidR="002E474C" w14:paraId="0118B05C" w14:textId="77777777">
        <w:trPr>
          <w:trHeight w:val="300"/>
        </w:trPr>
        <w:tc>
          <w:tcPr>
            <w:tcW w:w="828" w:type="dxa"/>
            <w:vMerge/>
            <w:vAlign w:val="center"/>
          </w:tcPr>
          <w:p w14:paraId="0D3D43FC" w14:textId="77777777" w:rsidR="002E474C" w:rsidRDefault="002E474C">
            <w:pPr>
              <w:pStyle w:val="A-"/>
              <w:spacing w:line="260" w:lineRule="exact"/>
            </w:pPr>
          </w:p>
        </w:tc>
        <w:tc>
          <w:tcPr>
            <w:tcW w:w="893" w:type="dxa"/>
            <w:vMerge/>
            <w:vAlign w:val="center"/>
          </w:tcPr>
          <w:p w14:paraId="0265D7D8" w14:textId="77777777" w:rsidR="002E474C" w:rsidRDefault="002E474C">
            <w:pPr>
              <w:pStyle w:val="A-"/>
              <w:spacing w:line="260" w:lineRule="exact"/>
            </w:pPr>
          </w:p>
        </w:tc>
        <w:tc>
          <w:tcPr>
            <w:tcW w:w="1147" w:type="dxa"/>
            <w:noWrap/>
            <w:vAlign w:val="center"/>
          </w:tcPr>
          <w:p w14:paraId="1816286A" w14:textId="77777777" w:rsidR="002E474C" w:rsidRDefault="00000000">
            <w:pPr>
              <w:pStyle w:val="A-"/>
              <w:spacing w:line="260" w:lineRule="exact"/>
              <w:ind w:leftChars="-25" w:left="-53" w:rightChars="-25" w:right="-53"/>
            </w:pPr>
            <w:r>
              <w:t>321-019-48</w:t>
            </w:r>
          </w:p>
        </w:tc>
        <w:tc>
          <w:tcPr>
            <w:tcW w:w="4991" w:type="dxa"/>
            <w:noWrap/>
            <w:vAlign w:val="center"/>
          </w:tcPr>
          <w:p w14:paraId="2519296A" w14:textId="77777777" w:rsidR="002E474C" w:rsidRDefault="00000000">
            <w:pPr>
              <w:pStyle w:val="A-"/>
              <w:spacing w:line="260" w:lineRule="exact"/>
            </w:pPr>
            <w:r>
              <w:t>铅锌冶炼过程中，铅电解产生的阳极泥及阳极泥处理后产生的含铅废渣和废水处理污泥</w:t>
            </w:r>
          </w:p>
        </w:tc>
        <w:tc>
          <w:tcPr>
            <w:tcW w:w="663" w:type="dxa"/>
            <w:noWrap/>
            <w:vAlign w:val="center"/>
          </w:tcPr>
          <w:p w14:paraId="51569180" w14:textId="77777777" w:rsidR="002E474C" w:rsidRDefault="00000000">
            <w:pPr>
              <w:pStyle w:val="A-"/>
              <w:spacing w:line="260" w:lineRule="exact"/>
            </w:pPr>
            <w:r>
              <w:t>T</w:t>
            </w:r>
          </w:p>
        </w:tc>
      </w:tr>
      <w:tr w:rsidR="002E474C" w14:paraId="1334872E" w14:textId="77777777">
        <w:trPr>
          <w:trHeight w:val="300"/>
        </w:trPr>
        <w:tc>
          <w:tcPr>
            <w:tcW w:w="828" w:type="dxa"/>
            <w:vMerge/>
            <w:vAlign w:val="center"/>
          </w:tcPr>
          <w:p w14:paraId="2B3274EB" w14:textId="77777777" w:rsidR="002E474C" w:rsidRDefault="002E474C">
            <w:pPr>
              <w:pStyle w:val="A-"/>
              <w:spacing w:line="260" w:lineRule="exact"/>
            </w:pPr>
          </w:p>
        </w:tc>
        <w:tc>
          <w:tcPr>
            <w:tcW w:w="893" w:type="dxa"/>
            <w:vMerge/>
            <w:vAlign w:val="center"/>
          </w:tcPr>
          <w:p w14:paraId="49BC1764" w14:textId="77777777" w:rsidR="002E474C" w:rsidRDefault="002E474C">
            <w:pPr>
              <w:pStyle w:val="A-"/>
              <w:spacing w:line="260" w:lineRule="exact"/>
            </w:pPr>
          </w:p>
        </w:tc>
        <w:tc>
          <w:tcPr>
            <w:tcW w:w="1147" w:type="dxa"/>
            <w:noWrap/>
            <w:vAlign w:val="center"/>
          </w:tcPr>
          <w:p w14:paraId="4FDA2943" w14:textId="77777777" w:rsidR="002E474C" w:rsidRDefault="00000000">
            <w:pPr>
              <w:pStyle w:val="A-"/>
              <w:spacing w:line="260" w:lineRule="exact"/>
              <w:ind w:leftChars="-25" w:left="-53" w:rightChars="-25" w:right="-53"/>
            </w:pPr>
            <w:r>
              <w:t>321-020-48</w:t>
            </w:r>
          </w:p>
        </w:tc>
        <w:tc>
          <w:tcPr>
            <w:tcW w:w="4991" w:type="dxa"/>
            <w:noWrap/>
            <w:vAlign w:val="center"/>
          </w:tcPr>
          <w:p w14:paraId="7F6DCDE5" w14:textId="77777777" w:rsidR="002E474C" w:rsidRDefault="00000000">
            <w:pPr>
              <w:pStyle w:val="A-"/>
              <w:spacing w:line="260" w:lineRule="exact"/>
            </w:pPr>
            <w:r>
              <w:t>铅锌冶炼过程中，阴极铅精炼产生的氧化铅渣及碱渣</w:t>
            </w:r>
          </w:p>
        </w:tc>
        <w:tc>
          <w:tcPr>
            <w:tcW w:w="663" w:type="dxa"/>
            <w:noWrap/>
            <w:vAlign w:val="center"/>
          </w:tcPr>
          <w:p w14:paraId="3280D33D" w14:textId="77777777" w:rsidR="002E474C" w:rsidRDefault="00000000">
            <w:pPr>
              <w:pStyle w:val="A-"/>
              <w:spacing w:line="260" w:lineRule="exact"/>
            </w:pPr>
            <w:r>
              <w:t>T</w:t>
            </w:r>
          </w:p>
        </w:tc>
      </w:tr>
      <w:tr w:rsidR="002E474C" w14:paraId="0D513B8E" w14:textId="77777777">
        <w:trPr>
          <w:trHeight w:val="300"/>
        </w:trPr>
        <w:tc>
          <w:tcPr>
            <w:tcW w:w="828" w:type="dxa"/>
            <w:vMerge/>
            <w:vAlign w:val="center"/>
          </w:tcPr>
          <w:p w14:paraId="6132B624" w14:textId="77777777" w:rsidR="002E474C" w:rsidRDefault="002E474C">
            <w:pPr>
              <w:pStyle w:val="A-"/>
              <w:spacing w:line="260" w:lineRule="exact"/>
            </w:pPr>
          </w:p>
        </w:tc>
        <w:tc>
          <w:tcPr>
            <w:tcW w:w="893" w:type="dxa"/>
            <w:vMerge/>
            <w:vAlign w:val="center"/>
          </w:tcPr>
          <w:p w14:paraId="71827963" w14:textId="77777777" w:rsidR="002E474C" w:rsidRDefault="002E474C">
            <w:pPr>
              <w:pStyle w:val="A-"/>
              <w:spacing w:line="260" w:lineRule="exact"/>
            </w:pPr>
          </w:p>
        </w:tc>
        <w:tc>
          <w:tcPr>
            <w:tcW w:w="1147" w:type="dxa"/>
            <w:noWrap/>
            <w:vAlign w:val="center"/>
          </w:tcPr>
          <w:p w14:paraId="3577C3E6" w14:textId="77777777" w:rsidR="002E474C" w:rsidRDefault="00000000">
            <w:pPr>
              <w:pStyle w:val="A-"/>
              <w:spacing w:line="260" w:lineRule="exact"/>
              <w:ind w:leftChars="-25" w:left="-53" w:rightChars="-25" w:right="-53"/>
            </w:pPr>
            <w:r>
              <w:t>321-021-48</w:t>
            </w:r>
          </w:p>
        </w:tc>
        <w:tc>
          <w:tcPr>
            <w:tcW w:w="4991" w:type="dxa"/>
            <w:noWrap/>
            <w:vAlign w:val="center"/>
          </w:tcPr>
          <w:p w14:paraId="4EA32EFD" w14:textId="77777777" w:rsidR="002E474C" w:rsidRDefault="00000000">
            <w:pPr>
              <w:pStyle w:val="A-"/>
              <w:spacing w:line="260" w:lineRule="exact"/>
            </w:pPr>
            <w:r>
              <w:t>铅锌冶炼过程中，锌焙烧矿热酸浸出黄钾铁矾法、热酸浸出针铁矿法产生的铅银渣</w:t>
            </w:r>
          </w:p>
        </w:tc>
        <w:tc>
          <w:tcPr>
            <w:tcW w:w="663" w:type="dxa"/>
            <w:noWrap/>
            <w:vAlign w:val="center"/>
          </w:tcPr>
          <w:p w14:paraId="654E70FB" w14:textId="77777777" w:rsidR="002E474C" w:rsidRDefault="00000000">
            <w:pPr>
              <w:pStyle w:val="A-"/>
              <w:spacing w:line="260" w:lineRule="exact"/>
            </w:pPr>
            <w:r>
              <w:t>T</w:t>
            </w:r>
          </w:p>
        </w:tc>
      </w:tr>
      <w:tr w:rsidR="002E474C" w14:paraId="679AAD07" w14:textId="77777777">
        <w:trPr>
          <w:trHeight w:val="300"/>
        </w:trPr>
        <w:tc>
          <w:tcPr>
            <w:tcW w:w="828" w:type="dxa"/>
            <w:vMerge/>
            <w:vAlign w:val="center"/>
          </w:tcPr>
          <w:p w14:paraId="00667F6C" w14:textId="77777777" w:rsidR="002E474C" w:rsidRDefault="002E474C">
            <w:pPr>
              <w:pStyle w:val="A-"/>
              <w:spacing w:line="260" w:lineRule="exact"/>
            </w:pPr>
          </w:p>
        </w:tc>
        <w:tc>
          <w:tcPr>
            <w:tcW w:w="893" w:type="dxa"/>
            <w:vMerge/>
            <w:vAlign w:val="center"/>
          </w:tcPr>
          <w:p w14:paraId="7732F4A0" w14:textId="77777777" w:rsidR="002E474C" w:rsidRDefault="002E474C">
            <w:pPr>
              <w:pStyle w:val="A-"/>
              <w:spacing w:line="260" w:lineRule="exact"/>
            </w:pPr>
          </w:p>
        </w:tc>
        <w:tc>
          <w:tcPr>
            <w:tcW w:w="1147" w:type="dxa"/>
            <w:noWrap/>
            <w:vAlign w:val="center"/>
          </w:tcPr>
          <w:p w14:paraId="78DF8646" w14:textId="77777777" w:rsidR="002E474C" w:rsidRDefault="00000000">
            <w:pPr>
              <w:pStyle w:val="A-"/>
              <w:spacing w:line="260" w:lineRule="exact"/>
              <w:ind w:leftChars="-25" w:left="-53" w:rightChars="-25" w:right="-53"/>
            </w:pPr>
            <w:r>
              <w:t>321-022-48</w:t>
            </w:r>
          </w:p>
        </w:tc>
        <w:tc>
          <w:tcPr>
            <w:tcW w:w="4991" w:type="dxa"/>
            <w:noWrap/>
            <w:vAlign w:val="center"/>
          </w:tcPr>
          <w:p w14:paraId="322F2617" w14:textId="77777777" w:rsidR="002E474C" w:rsidRDefault="00000000">
            <w:pPr>
              <w:pStyle w:val="A-"/>
              <w:spacing w:line="260" w:lineRule="exact"/>
            </w:pPr>
            <w:r>
              <w:rPr>
                <w:spacing w:val="-6"/>
              </w:rPr>
              <w:t>铅锌冶炼烟气净化产生的污酸除砷处理过程产生的砷渣</w:t>
            </w:r>
          </w:p>
        </w:tc>
        <w:tc>
          <w:tcPr>
            <w:tcW w:w="663" w:type="dxa"/>
            <w:noWrap/>
            <w:vAlign w:val="center"/>
          </w:tcPr>
          <w:p w14:paraId="55D5012B" w14:textId="77777777" w:rsidR="002E474C" w:rsidRDefault="00000000">
            <w:pPr>
              <w:pStyle w:val="A-"/>
              <w:spacing w:line="260" w:lineRule="exact"/>
            </w:pPr>
            <w:r>
              <w:t>T</w:t>
            </w:r>
          </w:p>
        </w:tc>
      </w:tr>
      <w:tr w:rsidR="002E474C" w14:paraId="540D2531" w14:textId="77777777">
        <w:trPr>
          <w:trHeight w:val="300"/>
        </w:trPr>
        <w:tc>
          <w:tcPr>
            <w:tcW w:w="828" w:type="dxa"/>
            <w:vMerge/>
            <w:vAlign w:val="center"/>
          </w:tcPr>
          <w:p w14:paraId="33ECE0A7" w14:textId="77777777" w:rsidR="002E474C" w:rsidRDefault="002E474C">
            <w:pPr>
              <w:pStyle w:val="A-"/>
              <w:spacing w:line="260" w:lineRule="exact"/>
            </w:pPr>
          </w:p>
        </w:tc>
        <w:tc>
          <w:tcPr>
            <w:tcW w:w="893" w:type="dxa"/>
            <w:vMerge/>
            <w:vAlign w:val="center"/>
          </w:tcPr>
          <w:p w14:paraId="21732ADB" w14:textId="77777777" w:rsidR="002E474C" w:rsidRDefault="002E474C">
            <w:pPr>
              <w:pStyle w:val="A-"/>
              <w:spacing w:line="260" w:lineRule="exact"/>
            </w:pPr>
          </w:p>
        </w:tc>
        <w:tc>
          <w:tcPr>
            <w:tcW w:w="1147" w:type="dxa"/>
            <w:noWrap/>
            <w:vAlign w:val="center"/>
          </w:tcPr>
          <w:p w14:paraId="5A3FD246" w14:textId="77777777" w:rsidR="002E474C" w:rsidRDefault="00000000">
            <w:pPr>
              <w:pStyle w:val="A-"/>
              <w:spacing w:line="260" w:lineRule="exact"/>
              <w:ind w:leftChars="-25" w:left="-53" w:rightChars="-25" w:right="-53"/>
            </w:pPr>
            <w:r>
              <w:t>321-023-48</w:t>
            </w:r>
          </w:p>
        </w:tc>
        <w:tc>
          <w:tcPr>
            <w:tcW w:w="4991" w:type="dxa"/>
            <w:noWrap/>
            <w:vAlign w:val="center"/>
          </w:tcPr>
          <w:p w14:paraId="5D72A28B" w14:textId="77777777" w:rsidR="002E474C" w:rsidRDefault="00000000">
            <w:pPr>
              <w:pStyle w:val="A-"/>
              <w:spacing w:line="260" w:lineRule="exact"/>
            </w:pPr>
            <w:r>
              <w:t>电解铝生产过程电解槽阴极内衬维修、更换产生的废渣（大修渣）</w:t>
            </w:r>
          </w:p>
        </w:tc>
        <w:tc>
          <w:tcPr>
            <w:tcW w:w="663" w:type="dxa"/>
            <w:noWrap/>
            <w:vAlign w:val="center"/>
          </w:tcPr>
          <w:p w14:paraId="11D2838B" w14:textId="77777777" w:rsidR="002E474C" w:rsidRDefault="00000000">
            <w:pPr>
              <w:pStyle w:val="A-"/>
              <w:spacing w:line="260" w:lineRule="exact"/>
            </w:pPr>
            <w:r>
              <w:t>T</w:t>
            </w:r>
          </w:p>
        </w:tc>
      </w:tr>
      <w:tr w:rsidR="002E474C" w14:paraId="75626B1F" w14:textId="77777777">
        <w:trPr>
          <w:trHeight w:val="300"/>
        </w:trPr>
        <w:tc>
          <w:tcPr>
            <w:tcW w:w="828" w:type="dxa"/>
            <w:vMerge/>
            <w:vAlign w:val="center"/>
          </w:tcPr>
          <w:p w14:paraId="17589D66" w14:textId="77777777" w:rsidR="002E474C" w:rsidRDefault="002E474C">
            <w:pPr>
              <w:pStyle w:val="A-"/>
              <w:spacing w:line="260" w:lineRule="exact"/>
            </w:pPr>
          </w:p>
        </w:tc>
        <w:tc>
          <w:tcPr>
            <w:tcW w:w="893" w:type="dxa"/>
            <w:vMerge/>
            <w:vAlign w:val="center"/>
          </w:tcPr>
          <w:p w14:paraId="3D9B084E" w14:textId="77777777" w:rsidR="002E474C" w:rsidRDefault="002E474C">
            <w:pPr>
              <w:pStyle w:val="A-"/>
              <w:spacing w:line="260" w:lineRule="exact"/>
            </w:pPr>
          </w:p>
        </w:tc>
        <w:tc>
          <w:tcPr>
            <w:tcW w:w="1147" w:type="dxa"/>
            <w:noWrap/>
            <w:vAlign w:val="center"/>
          </w:tcPr>
          <w:p w14:paraId="7F9A5F4A" w14:textId="77777777" w:rsidR="002E474C" w:rsidRDefault="00000000">
            <w:pPr>
              <w:pStyle w:val="A-"/>
              <w:spacing w:line="260" w:lineRule="exact"/>
              <w:ind w:leftChars="-25" w:left="-53" w:rightChars="-25" w:right="-53"/>
            </w:pPr>
            <w:r>
              <w:t>321-024-48</w:t>
            </w:r>
          </w:p>
        </w:tc>
        <w:tc>
          <w:tcPr>
            <w:tcW w:w="4991" w:type="dxa"/>
            <w:noWrap/>
            <w:vAlign w:val="center"/>
          </w:tcPr>
          <w:p w14:paraId="60469A9C" w14:textId="77777777" w:rsidR="002E474C" w:rsidRDefault="00000000">
            <w:pPr>
              <w:pStyle w:val="A-"/>
              <w:spacing w:line="260" w:lineRule="exact"/>
            </w:pPr>
            <w:r>
              <w:rPr>
                <w:spacing w:val="-6"/>
              </w:rPr>
              <w:t>电解铝铝液转移、精炼、合金化、铸造过程熔体表面产生的铝灰渣，</w:t>
            </w:r>
            <w:r>
              <w:rPr>
                <w:spacing w:val="-6"/>
              </w:rPr>
              <w:t xml:space="preserve"> </w:t>
            </w:r>
            <w:r>
              <w:rPr>
                <w:spacing w:val="-6"/>
              </w:rPr>
              <w:t>以及回收铝过程产生的盐渣和二次铝灰</w:t>
            </w:r>
          </w:p>
        </w:tc>
        <w:tc>
          <w:tcPr>
            <w:tcW w:w="663" w:type="dxa"/>
            <w:noWrap/>
            <w:vAlign w:val="center"/>
          </w:tcPr>
          <w:p w14:paraId="0FA62EE9" w14:textId="77777777" w:rsidR="002E474C" w:rsidRDefault="00000000">
            <w:pPr>
              <w:pStyle w:val="A-"/>
              <w:spacing w:line="260" w:lineRule="exact"/>
            </w:pPr>
            <w:r>
              <w:t>R</w:t>
            </w:r>
            <w:r>
              <w:t>，</w:t>
            </w:r>
            <w:r>
              <w:t>T</w:t>
            </w:r>
          </w:p>
        </w:tc>
      </w:tr>
      <w:tr w:rsidR="002E474C" w14:paraId="0F64B610" w14:textId="77777777">
        <w:trPr>
          <w:trHeight w:val="300"/>
        </w:trPr>
        <w:tc>
          <w:tcPr>
            <w:tcW w:w="828" w:type="dxa"/>
            <w:vMerge/>
            <w:vAlign w:val="center"/>
          </w:tcPr>
          <w:p w14:paraId="5BB4733B" w14:textId="77777777" w:rsidR="002E474C" w:rsidRDefault="002E474C">
            <w:pPr>
              <w:pStyle w:val="A-"/>
              <w:spacing w:line="260" w:lineRule="exact"/>
            </w:pPr>
          </w:p>
        </w:tc>
        <w:tc>
          <w:tcPr>
            <w:tcW w:w="893" w:type="dxa"/>
            <w:vMerge/>
            <w:vAlign w:val="center"/>
          </w:tcPr>
          <w:p w14:paraId="34B578B9" w14:textId="77777777" w:rsidR="002E474C" w:rsidRDefault="002E474C">
            <w:pPr>
              <w:pStyle w:val="A-"/>
              <w:spacing w:line="260" w:lineRule="exact"/>
            </w:pPr>
          </w:p>
        </w:tc>
        <w:tc>
          <w:tcPr>
            <w:tcW w:w="1147" w:type="dxa"/>
            <w:noWrap/>
            <w:vAlign w:val="center"/>
          </w:tcPr>
          <w:p w14:paraId="30E52654" w14:textId="77777777" w:rsidR="002E474C" w:rsidRDefault="00000000">
            <w:pPr>
              <w:pStyle w:val="A-"/>
              <w:spacing w:line="260" w:lineRule="exact"/>
              <w:ind w:leftChars="-25" w:left="-53" w:rightChars="-25" w:right="-53"/>
            </w:pPr>
            <w:r>
              <w:t>321-025-48</w:t>
            </w:r>
          </w:p>
        </w:tc>
        <w:tc>
          <w:tcPr>
            <w:tcW w:w="4991" w:type="dxa"/>
            <w:noWrap/>
            <w:vAlign w:val="center"/>
          </w:tcPr>
          <w:p w14:paraId="61FC252D" w14:textId="77777777" w:rsidR="002E474C" w:rsidRDefault="00000000">
            <w:pPr>
              <w:pStyle w:val="A-"/>
              <w:spacing w:line="260" w:lineRule="exact"/>
            </w:pPr>
            <w:r>
              <w:t>电解铝生产过程产生的炭渣</w:t>
            </w:r>
          </w:p>
        </w:tc>
        <w:tc>
          <w:tcPr>
            <w:tcW w:w="663" w:type="dxa"/>
            <w:noWrap/>
            <w:vAlign w:val="center"/>
          </w:tcPr>
          <w:p w14:paraId="212B2630" w14:textId="77777777" w:rsidR="002E474C" w:rsidRDefault="00000000">
            <w:pPr>
              <w:pStyle w:val="A-"/>
              <w:spacing w:line="260" w:lineRule="exact"/>
            </w:pPr>
            <w:r>
              <w:t>T</w:t>
            </w:r>
          </w:p>
        </w:tc>
      </w:tr>
      <w:tr w:rsidR="002E474C" w14:paraId="1B002796" w14:textId="77777777">
        <w:trPr>
          <w:trHeight w:val="300"/>
        </w:trPr>
        <w:tc>
          <w:tcPr>
            <w:tcW w:w="828" w:type="dxa"/>
            <w:vMerge/>
            <w:vAlign w:val="center"/>
          </w:tcPr>
          <w:p w14:paraId="25A94740" w14:textId="77777777" w:rsidR="002E474C" w:rsidRDefault="002E474C">
            <w:pPr>
              <w:pStyle w:val="A-"/>
              <w:spacing w:line="260" w:lineRule="exact"/>
            </w:pPr>
          </w:p>
        </w:tc>
        <w:tc>
          <w:tcPr>
            <w:tcW w:w="893" w:type="dxa"/>
            <w:vMerge/>
            <w:vAlign w:val="center"/>
          </w:tcPr>
          <w:p w14:paraId="6A1F2802" w14:textId="77777777" w:rsidR="002E474C" w:rsidRDefault="002E474C">
            <w:pPr>
              <w:pStyle w:val="A-"/>
              <w:spacing w:line="260" w:lineRule="exact"/>
            </w:pPr>
          </w:p>
        </w:tc>
        <w:tc>
          <w:tcPr>
            <w:tcW w:w="1147" w:type="dxa"/>
            <w:noWrap/>
            <w:vAlign w:val="center"/>
          </w:tcPr>
          <w:p w14:paraId="484EB2B0" w14:textId="77777777" w:rsidR="002E474C" w:rsidRDefault="00000000">
            <w:pPr>
              <w:pStyle w:val="A-"/>
              <w:spacing w:line="260" w:lineRule="exact"/>
              <w:ind w:leftChars="-25" w:left="-53" w:rightChars="-25" w:right="-53"/>
            </w:pPr>
            <w:r>
              <w:t>321-026-48</w:t>
            </w:r>
          </w:p>
        </w:tc>
        <w:tc>
          <w:tcPr>
            <w:tcW w:w="4991" w:type="dxa"/>
            <w:noWrap/>
            <w:vAlign w:val="center"/>
          </w:tcPr>
          <w:p w14:paraId="0E29DB3D" w14:textId="77777777" w:rsidR="002E474C" w:rsidRDefault="00000000">
            <w:pPr>
              <w:pStyle w:val="A-"/>
              <w:spacing w:line="260" w:lineRule="exact"/>
            </w:pPr>
            <w:r>
              <w:t>再生铝和铝材加工过程中，废铝及铝锭重熔、精炼、合金化、铸造熔体表面产生的铝灰渣，及其回收铝过程产生的盐渣和二次铝灰</w:t>
            </w:r>
          </w:p>
        </w:tc>
        <w:tc>
          <w:tcPr>
            <w:tcW w:w="663" w:type="dxa"/>
            <w:noWrap/>
            <w:vAlign w:val="center"/>
          </w:tcPr>
          <w:p w14:paraId="76CC69B4" w14:textId="77777777" w:rsidR="002E474C" w:rsidRDefault="00000000">
            <w:pPr>
              <w:pStyle w:val="A-"/>
              <w:spacing w:line="260" w:lineRule="exact"/>
            </w:pPr>
            <w:r>
              <w:t>R</w:t>
            </w:r>
          </w:p>
        </w:tc>
      </w:tr>
      <w:tr w:rsidR="002E474C" w14:paraId="6D627AEF" w14:textId="77777777">
        <w:trPr>
          <w:trHeight w:val="300"/>
        </w:trPr>
        <w:tc>
          <w:tcPr>
            <w:tcW w:w="828" w:type="dxa"/>
            <w:vMerge/>
            <w:vAlign w:val="center"/>
          </w:tcPr>
          <w:p w14:paraId="6FFB6F72" w14:textId="77777777" w:rsidR="002E474C" w:rsidRDefault="002E474C">
            <w:pPr>
              <w:pStyle w:val="A-"/>
              <w:spacing w:line="260" w:lineRule="exact"/>
            </w:pPr>
          </w:p>
        </w:tc>
        <w:tc>
          <w:tcPr>
            <w:tcW w:w="893" w:type="dxa"/>
            <w:vMerge/>
            <w:vAlign w:val="center"/>
          </w:tcPr>
          <w:p w14:paraId="1BEF4CF8" w14:textId="77777777" w:rsidR="002E474C" w:rsidRDefault="002E474C">
            <w:pPr>
              <w:pStyle w:val="A-"/>
              <w:spacing w:line="260" w:lineRule="exact"/>
            </w:pPr>
          </w:p>
        </w:tc>
        <w:tc>
          <w:tcPr>
            <w:tcW w:w="1147" w:type="dxa"/>
            <w:noWrap/>
            <w:vAlign w:val="center"/>
          </w:tcPr>
          <w:p w14:paraId="466896F1" w14:textId="77777777" w:rsidR="002E474C" w:rsidRDefault="00000000">
            <w:pPr>
              <w:pStyle w:val="A-"/>
              <w:spacing w:line="260" w:lineRule="exact"/>
              <w:ind w:leftChars="-25" w:left="-53" w:rightChars="-25" w:right="-53"/>
            </w:pPr>
            <w:r>
              <w:t>321-034-48</w:t>
            </w:r>
          </w:p>
        </w:tc>
        <w:tc>
          <w:tcPr>
            <w:tcW w:w="4991" w:type="dxa"/>
            <w:noWrap/>
            <w:vAlign w:val="center"/>
          </w:tcPr>
          <w:p w14:paraId="35737504" w14:textId="77777777" w:rsidR="002E474C" w:rsidRDefault="00000000">
            <w:pPr>
              <w:pStyle w:val="A-"/>
              <w:spacing w:line="260" w:lineRule="exact"/>
            </w:pPr>
            <w:r>
              <w:t>铝灰热回收铝过程烟气处理集（除）尘装置收集的粉尘，铝冶炼和再生过程烟气（包括：再生铝熔炼烟气、铝液熔体净化、除杂、合金化、铸造烟气）处理集（除）尘装置收集的粉尘</w:t>
            </w:r>
          </w:p>
        </w:tc>
        <w:tc>
          <w:tcPr>
            <w:tcW w:w="663" w:type="dxa"/>
            <w:noWrap/>
            <w:vAlign w:val="center"/>
          </w:tcPr>
          <w:p w14:paraId="295CEFA6" w14:textId="77777777" w:rsidR="002E474C" w:rsidRDefault="00000000">
            <w:pPr>
              <w:pStyle w:val="A-"/>
              <w:spacing w:line="260" w:lineRule="exact"/>
            </w:pPr>
            <w:r>
              <w:t>T</w:t>
            </w:r>
            <w:r>
              <w:t>，</w:t>
            </w:r>
            <w:r>
              <w:t>R</w:t>
            </w:r>
          </w:p>
        </w:tc>
      </w:tr>
      <w:tr w:rsidR="002E474C" w14:paraId="7294A2E5" w14:textId="77777777">
        <w:trPr>
          <w:trHeight w:val="300"/>
        </w:trPr>
        <w:tc>
          <w:tcPr>
            <w:tcW w:w="828" w:type="dxa"/>
            <w:vMerge/>
            <w:vAlign w:val="center"/>
          </w:tcPr>
          <w:p w14:paraId="76131589" w14:textId="77777777" w:rsidR="002E474C" w:rsidRDefault="002E474C">
            <w:pPr>
              <w:pStyle w:val="A-"/>
              <w:spacing w:line="260" w:lineRule="exact"/>
            </w:pPr>
          </w:p>
        </w:tc>
        <w:tc>
          <w:tcPr>
            <w:tcW w:w="893" w:type="dxa"/>
            <w:vMerge/>
            <w:vAlign w:val="center"/>
          </w:tcPr>
          <w:p w14:paraId="552E2C91" w14:textId="77777777" w:rsidR="002E474C" w:rsidRDefault="002E474C">
            <w:pPr>
              <w:pStyle w:val="A-"/>
              <w:spacing w:line="260" w:lineRule="exact"/>
            </w:pPr>
          </w:p>
        </w:tc>
        <w:tc>
          <w:tcPr>
            <w:tcW w:w="1147" w:type="dxa"/>
            <w:noWrap/>
            <w:vAlign w:val="center"/>
          </w:tcPr>
          <w:p w14:paraId="6770A3FE" w14:textId="77777777" w:rsidR="002E474C" w:rsidRDefault="00000000">
            <w:pPr>
              <w:pStyle w:val="A-"/>
              <w:spacing w:line="260" w:lineRule="exact"/>
              <w:ind w:leftChars="-25" w:left="-53" w:rightChars="-25" w:right="-53"/>
            </w:pPr>
            <w:r>
              <w:t>321-027-48</w:t>
            </w:r>
          </w:p>
        </w:tc>
        <w:tc>
          <w:tcPr>
            <w:tcW w:w="4991" w:type="dxa"/>
            <w:noWrap/>
            <w:vAlign w:val="center"/>
          </w:tcPr>
          <w:p w14:paraId="67504800" w14:textId="77777777" w:rsidR="002E474C" w:rsidRDefault="00000000">
            <w:pPr>
              <w:pStyle w:val="A-"/>
              <w:spacing w:line="260" w:lineRule="exact"/>
            </w:pPr>
            <w:r>
              <w:t>铜再生过程中集（除）尘装置收集的粉尘和湿法除</w:t>
            </w:r>
            <w:r>
              <w:lastRenderedPageBreak/>
              <w:t>尘产生的废水处理污泥</w:t>
            </w:r>
          </w:p>
        </w:tc>
        <w:tc>
          <w:tcPr>
            <w:tcW w:w="663" w:type="dxa"/>
            <w:noWrap/>
            <w:vAlign w:val="center"/>
          </w:tcPr>
          <w:p w14:paraId="0DE70417" w14:textId="77777777" w:rsidR="002E474C" w:rsidRDefault="00000000">
            <w:pPr>
              <w:pStyle w:val="A-"/>
              <w:spacing w:line="260" w:lineRule="exact"/>
            </w:pPr>
            <w:r>
              <w:lastRenderedPageBreak/>
              <w:t>T</w:t>
            </w:r>
          </w:p>
        </w:tc>
      </w:tr>
      <w:tr w:rsidR="002E474C" w14:paraId="746BD39A" w14:textId="77777777">
        <w:trPr>
          <w:trHeight w:val="300"/>
        </w:trPr>
        <w:tc>
          <w:tcPr>
            <w:tcW w:w="828" w:type="dxa"/>
            <w:vMerge/>
            <w:vAlign w:val="center"/>
          </w:tcPr>
          <w:p w14:paraId="4B3A2267" w14:textId="77777777" w:rsidR="002E474C" w:rsidRDefault="002E474C">
            <w:pPr>
              <w:pStyle w:val="A-"/>
              <w:spacing w:line="260" w:lineRule="exact"/>
            </w:pPr>
          </w:p>
        </w:tc>
        <w:tc>
          <w:tcPr>
            <w:tcW w:w="893" w:type="dxa"/>
            <w:vMerge/>
            <w:vAlign w:val="center"/>
          </w:tcPr>
          <w:p w14:paraId="1046A2F6" w14:textId="77777777" w:rsidR="002E474C" w:rsidRDefault="002E474C">
            <w:pPr>
              <w:pStyle w:val="A-"/>
              <w:spacing w:line="260" w:lineRule="exact"/>
            </w:pPr>
          </w:p>
        </w:tc>
        <w:tc>
          <w:tcPr>
            <w:tcW w:w="1147" w:type="dxa"/>
            <w:noWrap/>
            <w:vAlign w:val="center"/>
          </w:tcPr>
          <w:p w14:paraId="00E66D2B" w14:textId="77777777" w:rsidR="002E474C" w:rsidRDefault="00000000">
            <w:pPr>
              <w:pStyle w:val="A-"/>
              <w:spacing w:line="260" w:lineRule="exact"/>
              <w:ind w:leftChars="-25" w:left="-53" w:rightChars="-25" w:right="-53"/>
            </w:pPr>
            <w:r>
              <w:t>321-028-48</w:t>
            </w:r>
          </w:p>
        </w:tc>
        <w:tc>
          <w:tcPr>
            <w:tcW w:w="4991" w:type="dxa"/>
            <w:noWrap/>
            <w:vAlign w:val="center"/>
          </w:tcPr>
          <w:p w14:paraId="22F6CE22" w14:textId="77777777" w:rsidR="002E474C" w:rsidRDefault="00000000">
            <w:pPr>
              <w:pStyle w:val="A-"/>
              <w:spacing w:line="260" w:lineRule="exact"/>
            </w:pPr>
            <w:r>
              <w:t>锌再生过程中集（除）尘装置收集的粉尘和湿法除尘产生的废水处理污泥</w:t>
            </w:r>
          </w:p>
        </w:tc>
        <w:tc>
          <w:tcPr>
            <w:tcW w:w="663" w:type="dxa"/>
            <w:noWrap/>
            <w:vAlign w:val="center"/>
          </w:tcPr>
          <w:p w14:paraId="714EBB14" w14:textId="77777777" w:rsidR="002E474C" w:rsidRDefault="00000000">
            <w:pPr>
              <w:pStyle w:val="A-"/>
              <w:spacing w:line="260" w:lineRule="exact"/>
            </w:pPr>
            <w:r>
              <w:t>T</w:t>
            </w:r>
          </w:p>
        </w:tc>
      </w:tr>
      <w:tr w:rsidR="002E474C" w14:paraId="5721F652" w14:textId="77777777">
        <w:trPr>
          <w:trHeight w:val="300"/>
        </w:trPr>
        <w:tc>
          <w:tcPr>
            <w:tcW w:w="828" w:type="dxa"/>
            <w:vMerge/>
            <w:vAlign w:val="center"/>
          </w:tcPr>
          <w:p w14:paraId="67A1C1BD" w14:textId="77777777" w:rsidR="002E474C" w:rsidRDefault="002E474C">
            <w:pPr>
              <w:pStyle w:val="A-"/>
              <w:spacing w:line="260" w:lineRule="exact"/>
            </w:pPr>
          </w:p>
        </w:tc>
        <w:tc>
          <w:tcPr>
            <w:tcW w:w="893" w:type="dxa"/>
            <w:vMerge/>
            <w:vAlign w:val="center"/>
          </w:tcPr>
          <w:p w14:paraId="4392672C" w14:textId="77777777" w:rsidR="002E474C" w:rsidRDefault="002E474C">
            <w:pPr>
              <w:pStyle w:val="A-"/>
              <w:spacing w:line="260" w:lineRule="exact"/>
            </w:pPr>
          </w:p>
        </w:tc>
        <w:tc>
          <w:tcPr>
            <w:tcW w:w="1147" w:type="dxa"/>
            <w:noWrap/>
            <w:vAlign w:val="center"/>
          </w:tcPr>
          <w:p w14:paraId="628CD1F5" w14:textId="77777777" w:rsidR="002E474C" w:rsidRDefault="00000000">
            <w:pPr>
              <w:pStyle w:val="A-"/>
              <w:spacing w:line="260" w:lineRule="exact"/>
              <w:ind w:leftChars="-25" w:left="-53" w:rightChars="-25" w:right="-53"/>
            </w:pPr>
            <w:r>
              <w:t>321-029-48</w:t>
            </w:r>
          </w:p>
        </w:tc>
        <w:tc>
          <w:tcPr>
            <w:tcW w:w="4991" w:type="dxa"/>
            <w:noWrap/>
            <w:vAlign w:val="center"/>
          </w:tcPr>
          <w:p w14:paraId="4F5F8F13" w14:textId="77777777" w:rsidR="002E474C" w:rsidRDefault="00000000">
            <w:pPr>
              <w:pStyle w:val="A-"/>
              <w:spacing w:line="260" w:lineRule="exact"/>
            </w:pPr>
            <w:r>
              <w:t>铅再生过程中集（除）尘装置收集的粉尘和湿法除尘产生的废水处理污泥</w:t>
            </w:r>
          </w:p>
        </w:tc>
        <w:tc>
          <w:tcPr>
            <w:tcW w:w="663" w:type="dxa"/>
            <w:noWrap/>
            <w:vAlign w:val="center"/>
          </w:tcPr>
          <w:p w14:paraId="2000BB66" w14:textId="77777777" w:rsidR="002E474C" w:rsidRDefault="00000000">
            <w:pPr>
              <w:pStyle w:val="A-"/>
              <w:spacing w:line="260" w:lineRule="exact"/>
            </w:pPr>
            <w:r>
              <w:t>T</w:t>
            </w:r>
          </w:p>
        </w:tc>
      </w:tr>
      <w:tr w:rsidR="002E474C" w14:paraId="36D59EC5" w14:textId="77777777">
        <w:trPr>
          <w:trHeight w:val="300"/>
        </w:trPr>
        <w:tc>
          <w:tcPr>
            <w:tcW w:w="828" w:type="dxa"/>
            <w:vMerge/>
            <w:vAlign w:val="center"/>
          </w:tcPr>
          <w:p w14:paraId="4CF37F74" w14:textId="77777777" w:rsidR="002E474C" w:rsidRDefault="002E474C">
            <w:pPr>
              <w:pStyle w:val="A-"/>
              <w:spacing w:line="260" w:lineRule="exact"/>
            </w:pPr>
          </w:p>
        </w:tc>
        <w:tc>
          <w:tcPr>
            <w:tcW w:w="893" w:type="dxa"/>
            <w:vMerge/>
            <w:vAlign w:val="center"/>
          </w:tcPr>
          <w:p w14:paraId="346D72E9" w14:textId="77777777" w:rsidR="002E474C" w:rsidRDefault="002E474C">
            <w:pPr>
              <w:pStyle w:val="A-"/>
              <w:spacing w:line="260" w:lineRule="exact"/>
            </w:pPr>
          </w:p>
        </w:tc>
        <w:tc>
          <w:tcPr>
            <w:tcW w:w="1147" w:type="dxa"/>
            <w:noWrap/>
            <w:vAlign w:val="center"/>
          </w:tcPr>
          <w:p w14:paraId="65DE3274" w14:textId="77777777" w:rsidR="002E474C" w:rsidRDefault="00000000">
            <w:pPr>
              <w:pStyle w:val="A-"/>
              <w:spacing w:line="260" w:lineRule="exact"/>
              <w:ind w:leftChars="-25" w:left="-53" w:rightChars="-25" w:right="-53"/>
            </w:pPr>
            <w:r>
              <w:t>321-035-48</w:t>
            </w:r>
          </w:p>
        </w:tc>
        <w:tc>
          <w:tcPr>
            <w:tcW w:w="4991" w:type="dxa"/>
            <w:noWrap/>
            <w:vAlign w:val="center"/>
          </w:tcPr>
          <w:p w14:paraId="184275DE" w14:textId="77777777" w:rsidR="002E474C" w:rsidRDefault="00000000">
            <w:pPr>
              <w:pStyle w:val="A-"/>
              <w:spacing w:line="260" w:lineRule="exact"/>
            </w:pPr>
            <w:r>
              <w:rPr>
                <w:spacing w:val="-6"/>
              </w:rPr>
              <w:t>锡火法冶炼过程中烟气处理集（除）尘装置收集的粉尘</w:t>
            </w:r>
          </w:p>
        </w:tc>
        <w:tc>
          <w:tcPr>
            <w:tcW w:w="663" w:type="dxa"/>
            <w:noWrap/>
            <w:vAlign w:val="center"/>
          </w:tcPr>
          <w:p w14:paraId="48B08470" w14:textId="77777777" w:rsidR="002E474C" w:rsidRDefault="00000000">
            <w:pPr>
              <w:pStyle w:val="A-"/>
              <w:spacing w:line="260" w:lineRule="exact"/>
            </w:pPr>
            <w:r>
              <w:t>T</w:t>
            </w:r>
          </w:p>
        </w:tc>
      </w:tr>
      <w:tr w:rsidR="002E474C" w14:paraId="3C09FC6C" w14:textId="77777777">
        <w:trPr>
          <w:trHeight w:val="300"/>
        </w:trPr>
        <w:tc>
          <w:tcPr>
            <w:tcW w:w="828" w:type="dxa"/>
            <w:vMerge/>
            <w:vAlign w:val="center"/>
          </w:tcPr>
          <w:p w14:paraId="3C38BC7D" w14:textId="77777777" w:rsidR="002E474C" w:rsidRDefault="002E474C">
            <w:pPr>
              <w:pStyle w:val="A-"/>
              <w:spacing w:line="260" w:lineRule="exact"/>
            </w:pPr>
          </w:p>
        </w:tc>
        <w:tc>
          <w:tcPr>
            <w:tcW w:w="893" w:type="dxa"/>
            <w:vMerge/>
            <w:vAlign w:val="center"/>
          </w:tcPr>
          <w:p w14:paraId="67A3E7D7" w14:textId="77777777" w:rsidR="002E474C" w:rsidRDefault="002E474C">
            <w:pPr>
              <w:pStyle w:val="A-"/>
              <w:spacing w:line="260" w:lineRule="exact"/>
            </w:pPr>
          </w:p>
        </w:tc>
        <w:tc>
          <w:tcPr>
            <w:tcW w:w="1147" w:type="dxa"/>
            <w:noWrap/>
            <w:vAlign w:val="center"/>
          </w:tcPr>
          <w:p w14:paraId="16021A8B" w14:textId="77777777" w:rsidR="002E474C" w:rsidRDefault="00000000">
            <w:pPr>
              <w:pStyle w:val="A-"/>
              <w:spacing w:line="260" w:lineRule="exact"/>
              <w:ind w:leftChars="-25" w:left="-53" w:rightChars="-25" w:right="-53"/>
            </w:pPr>
            <w:r>
              <w:t>321-036-48</w:t>
            </w:r>
          </w:p>
        </w:tc>
        <w:tc>
          <w:tcPr>
            <w:tcW w:w="4991" w:type="dxa"/>
            <w:noWrap/>
            <w:vAlign w:val="center"/>
          </w:tcPr>
          <w:p w14:paraId="69C10E80" w14:textId="77777777" w:rsidR="002E474C" w:rsidRDefault="00000000">
            <w:pPr>
              <w:pStyle w:val="A-"/>
              <w:spacing w:line="260" w:lineRule="exact"/>
            </w:pPr>
            <w:r>
              <w:t>锡火法冶炼烟气净化产生的酸泥</w:t>
            </w:r>
          </w:p>
        </w:tc>
        <w:tc>
          <w:tcPr>
            <w:tcW w:w="663" w:type="dxa"/>
            <w:noWrap/>
            <w:vAlign w:val="center"/>
          </w:tcPr>
          <w:p w14:paraId="2E5633B2" w14:textId="77777777" w:rsidR="002E474C" w:rsidRDefault="00000000">
            <w:pPr>
              <w:pStyle w:val="A-"/>
              <w:spacing w:line="260" w:lineRule="exact"/>
            </w:pPr>
            <w:r>
              <w:t>T</w:t>
            </w:r>
          </w:p>
        </w:tc>
      </w:tr>
      <w:tr w:rsidR="002E474C" w14:paraId="655106A0" w14:textId="77777777">
        <w:trPr>
          <w:trHeight w:val="300"/>
        </w:trPr>
        <w:tc>
          <w:tcPr>
            <w:tcW w:w="828" w:type="dxa"/>
            <w:vMerge/>
            <w:vAlign w:val="center"/>
          </w:tcPr>
          <w:p w14:paraId="66257D05" w14:textId="77777777" w:rsidR="002E474C" w:rsidRDefault="002E474C">
            <w:pPr>
              <w:pStyle w:val="A-"/>
              <w:spacing w:line="260" w:lineRule="exact"/>
            </w:pPr>
          </w:p>
        </w:tc>
        <w:tc>
          <w:tcPr>
            <w:tcW w:w="893" w:type="dxa"/>
            <w:vMerge/>
            <w:vAlign w:val="center"/>
          </w:tcPr>
          <w:p w14:paraId="473A1516" w14:textId="77777777" w:rsidR="002E474C" w:rsidRDefault="002E474C">
            <w:pPr>
              <w:pStyle w:val="A-"/>
              <w:spacing w:line="260" w:lineRule="exact"/>
            </w:pPr>
          </w:p>
        </w:tc>
        <w:tc>
          <w:tcPr>
            <w:tcW w:w="1147" w:type="dxa"/>
            <w:noWrap/>
            <w:vAlign w:val="center"/>
          </w:tcPr>
          <w:p w14:paraId="1A47D8E4" w14:textId="77777777" w:rsidR="002E474C" w:rsidRDefault="00000000">
            <w:pPr>
              <w:pStyle w:val="A-"/>
              <w:spacing w:line="260" w:lineRule="exact"/>
              <w:ind w:leftChars="-25" w:left="-53" w:rightChars="-25" w:right="-53"/>
            </w:pPr>
            <w:r>
              <w:t>321-037-48</w:t>
            </w:r>
          </w:p>
        </w:tc>
        <w:tc>
          <w:tcPr>
            <w:tcW w:w="4991" w:type="dxa"/>
            <w:noWrap/>
            <w:vAlign w:val="center"/>
          </w:tcPr>
          <w:p w14:paraId="51586BE2" w14:textId="77777777" w:rsidR="002E474C" w:rsidRDefault="00000000">
            <w:pPr>
              <w:pStyle w:val="A-"/>
              <w:spacing w:line="260" w:lineRule="exact"/>
            </w:pPr>
            <w:r>
              <w:rPr>
                <w:spacing w:val="-6"/>
              </w:rPr>
              <w:t>锡火法冶炼烟气净化产生的污酸处理过程产生的砷渣</w:t>
            </w:r>
          </w:p>
        </w:tc>
        <w:tc>
          <w:tcPr>
            <w:tcW w:w="663" w:type="dxa"/>
            <w:noWrap/>
            <w:vAlign w:val="center"/>
          </w:tcPr>
          <w:p w14:paraId="482F9AC3" w14:textId="77777777" w:rsidR="002E474C" w:rsidRDefault="00000000">
            <w:pPr>
              <w:pStyle w:val="A-"/>
              <w:spacing w:line="260" w:lineRule="exact"/>
            </w:pPr>
            <w:r>
              <w:t>T</w:t>
            </w:r>
          </w:p>
        </w:tc>
      </w:tr>
      <w:tr w:rsidR="002E474C" w14:paraId="7E5D7132" w14:textId="77777777">
        <w:trPr>
          <w:trHeight w:val="300"/>
        </w:trPr>
        <w:tc>
          <w:tcPr>
            <w:tcW w:w="828" w:type="dxa"/>
            <w:vMerge/>
            <w:vAlign w:val="center"/>
          </w:tcPr>
          <w:p w14:paraId="70781585" w14:textId="77777777" w:rsidR="002E474C" w:rsidRDefault="002E474C">
            <w:pPr>
              <w:pStyle w:val="A-"/>
              <w:spacing w:line="260" w:lineRule="exact"/>
            </w:pPr>
          </w:p>
        </w:tc>
        <w:tc>
          <w:tcPr>
            <w:tcW w:w="893" w:type="dxa"/>
            <w:vMerge/>
            <w:vAlign w:val="center"/>
          </w:tcPr>
          <w:p w14:paraId="49DE70A6" w14:textId="77777777" w:rsidR="002E474C" w:rsidRDefault="002E474C">
            <w:pPr>
              <w:pStyle w:val="A-"/>
              <w:spacing w:line="260" w:lineRule="exact"/>
            </w:pPr>
          </w:p>
        </w:tc>
        <w:tc>
          <w:tcPr>
            <w:tcW w:w="1147" w:type="dxa"/>
            <w:noWrap/>
            <w:vAlign w:val="center"/>
          </w:tcPr>
          <w:p w14:paraId="75946858" w14:textId="77777777" w:rsidR="002E474C" w:rsidRDefault="00000000">
            <w:pPr>
              <w:pStyle w:val="A-"/>
              <w:spacing w:line="260" w:lineRule="exact"/>
              <w:ind w:leftChars="-25" w:left="-53" w:rightChars="-25" w:right="-53"/>
            </w:pPr>
            <w:r>
              <w:t>321-038-48</w:t>
            </w:r>
          </w:p>
        </w:tc>
        <w:tc>
          <w:tcPr>
            <w:tcW w:w="4991" w:type="dxa"/>
            <w:noWrap/>
            <w:vAlign w:val="center"/>
          </w:tcPr>
          <w:p w14:paraId="5973E237" w14:textId="77777777" w:rsidR="002E474C" w:rsidRDefault="00000000">
            <w:pPr>
              <w:pStyle w:val="A-"/>
              <w:spacing w:line="260" w:lineRule="exact"/>
            </w:pPr>
            <w:r>
              <w:t>锡再生过程中集（除）尘装置收集的粉尘和湿法除尘产生的废水处理污泥</w:t>
            </w:r>
          </w:p>
        </w:tc>
        <w:tc>
          <w:tcPr>
            <w:tcW w:w="663" w:type="dxa"/>
            <w:noWrap/>
            <w:vAlign w:val="center"/>
          </w:tcPr>
          <w:p w14:paraId="4DBA47B3" w14:textId="77777777" w:rsidR="002E474C" w:rsidRDefault="00000000">
            <w:pPr>
              <w:pStyle w:val="A-"/>
              <w:spacing w:line="260" w:lineRule="exact"/>
            </w:pPr>
            <w:r>
              <w:t>T</w:t>
            </w:r>
          </w:p>
        </w:tc>
      </w:tr>
      <w:tr w:rsidR="002E474C" w14:paraId="5F18268C" w14:textId="77777777">
        <w:trPr>
          <w:trHeight w:val="300"/>
        </w:trPr>
        <w:tc>
          <w:tcPr>
            <w:tcW w:w="828" w:type="dxa"/>
            <w:vMerge/>
            <w:vAlign w:val="center"/>
          </w:tcPr>
          <w:p w14:paraId="61CC7CD4" w14:textId="77777777" w:rsidR="002E474C" w:rsidRDefault="002E474C">
            <w:pPr>
              <w:pStyle w:val="A-"/>
              <w:spacing w:line="260" w:lineRule="exact"/>
            </w:pPr>
          </w:p>
        </w:tc>
        <w:tc>
          <w:tcPr>
            <w:tcW w:w="893" w:type="dxa"/>
            <w:noWrap/>
            <w:vAlign w:val="center"/>
          </w:tcPr>
          <w:p w14:paraId="7CDDBFFB" w14:textId="77777777" w:rsidR="002E474C" w:rsidRDefault="00000000">
            <w:pPr>
              <w:pStyle w:val="A-"/>
              <w:spacing w:line="260" w:lineRule="exact"/>
              <w:ind w:leftChars="-25" w:left="-53" w:rightChars="-25" w:right="-53"/>
            </w:pPr>
            <w:r>
              <w:rPr>
                <w:spacing w:val="-11"/>
              </w:rPr>
              <w:t>稀有稀土金属冶炼</w:t>
            </w:r>
          </w:p>
        </w:tc>
        <w:tc>
          <w:tcPr>
            <w:tcW w:w="1147" w:type="dxa"/>
            <w:noWrap/>
            <w:vAlign w:val="center"/>
          </w:tcPr>
          <w:p w14:paraId="621B00C2" w14:textId="77777777" w:rsidR="002E474C" w:rsidRDefault="00000000">
            <w:pPr>
              <w:pStyle w:val="A-"/>
              <w:spacing w:line="260" w:lineRule="exact"/>
              <w:ind w:leftChars="-25" w:left="-53" w:rightChars="-25" w:right="-53"/>
            </w:pPr>
            <w:r>
              <w:t>323-001-48</w:t>
            </w:r>
          </w:p>
        </w:tc>
        <w:tc>
          <w:tcPr>
            <w:tcW w:w="4991" w:type="dxa"/>
            <w:noWrap/>
            <w:vAlign w:val="center"/>
          </w:tcPr>
          <w:p w14:paraId="40F906FE" w14:textId="77777777" w:rsidR="002E474C" w:rsidRDefault="00000000">
            <w:pPr>
              <w:pStyle w:val="A-"/>
              <w:spacing w:line="260" w:lineRule="exact"/>
            </w:pPr>
            <w:r>
              <w:rPr>
                <w:spacing w:val="-6"/>
              </w:rPr>
              <w:t>以钨精矿为原料生产仲钨酸铵过程中碱分解产生的碱煮渣（钨渣）、除钼过程中产生的除钼渣和废水处理污泥</w:t>
            </w:r>
          </w:p>
        </w:tc>
        <w:tc>
          <w:tcPr>
            <w:tcW w:w="663" w:type="dxa"/>
            <w:noWrap/>
            <w:vAlign w:val="center"/>
          </w:tcPr>
          <w:p w14:paraId="2C8E030F" w14:textId="77777777" w:rsidR="002E474C" w:rsidRDefault="00000000">
            <w:pPr>
              <w:pStyle w:val="A-"/>
              <w:spacing w:line="260" w:lineRule="exact"/>
            </w:pPr>
            <w:r>
              <w:t>T</w:t>
            </w:r>
          </w:p>
        </w:tc>
      </w:tr>
      <w:tr w:rsidR="002E474C" w14:paraId="7EDD2979" w14:textId="77777777">
        <w:trPr>
          <w:trHeight w:val="300"/>
        </w:trPr>
        <w:tc>
          <w:tcPr>
            <w:tcW w:w="828" w:type="dxa"/>
            <w:vMerge w:val="restart"/>
            <w:noWrap/>
            <w:vAlign w:val="center"/>
          </w:tcPr>
          <w:p w14:paraId="3C8BA95E" w14:textId="77777777" w:rsidR="002E474C" w:rsidRDefault="00000000">
            <w:pPr>
              <w:pStyle w:val="A-"/>
              <w:spacing w:line="260" w:lineRule="exact"/>
            </w:pPr>
            <w:r>
              <w:t>HW49</w:t>
            </w:r>
            <w:r>
              <w:br/>
            </w:r>
            <w:r>
              <w:t>其他废物</w:t>
            </w:r>
          </w:p>
        </w:tc>
        <w:tc>
          <w:tcPr>
            <w:tcW w:w="893" w:type="dxa"/>
            <w:noWrap/>
            <w:vAlign w:val="center"/>
          </w:tcPr>
          <w:p w14:paraId="54ED5330" w14:textId="77777777" w:rsidR="002E474C" w:rsidRDefault="00000000">
            <w:pPr>
              <w:pStyle w:val="A-"/>
              <w:spacing w:line="260" w:lineRule="exact"/>
            </w:pPr>
            <w:r>
              <w:t>环境</w:t>
            </w:r>
          </w:p>
          <w:p w14:paraId="2F9D42B0" w14:textId="77777777" w:rsidR="002E474C" w:rsidRDefault="00000000">
            <w:pPr>
              <w:pStyle w:val="A-"/>
              <w:spacing w:line="260" w:lineRule="exact"/>
            </w:pPr>
            <w:r>
              <w:t>治理</w:t>
            </w:r>
          </w:p>
        </w:tc>
        <w:tc>
          <w:tcPr>
            <w:tcW w:w="1147" w:type="dxa"/>
            <w:noWrap/>
            <w:vAlign w:val="center"/>
          </w:tcPr>
          <w:p w14:paraId="3F142325" w14:textId="77777777" w:rsidR="002E474C" w:rsidRDefault="00000000">
            <w:pPr>
              <w:pStyle w:val="A-"/>
              <w:spacing w:line="260" w:lineRule="exact"/>
              <w:ind w:leftChars="-25" w:left="-53" w:rightChars="-25" w:right="-53"/>
            </w:pPr>
            <w:r>
              <w:t>772-006-49</w:t>
            </w:r>
          </w:p>
        </w:tc>
        <w:tc>
          <w:tcPr>
            <w:tcW w:w="4991" w:type="dxa"/>
            <w:noWrap/>
            <w:vAlign w:val="center"/>
          </w:tcPr>
          <w:p w14:paraId="029507AE" w14:textId="77777777" w:rsidR="002E474C" w:rsidRDefault="00000000">
            <w:pPr>
              <w:pStyle w:val="A-"/>
              <w:spacing w:line="260" w:lineRule="exact"/>
            </w:pPr>
            <w:r>
              <w:t>采用物理、化学、物理化学或者生物方法处理或者处置毒性或者感染性危险废物过程中产生的废水处理污泥和废水处理残渣（液）</w:t>
            </w:r>
          </w:p>
        </w:tc>
        <w:tc>
          <w:tcPr>
            <w:tcW w:w="663" w:type="dxa"/>
            <w:noWrap/>
            <w:vAlign w:val="center"/>
          </w:tcPr>
          <w:p w14:paraId="2A544B65" w14:textId="77777777" w:rsidR="002E474C" w:rsidRDefault="00000000">
            <w:pPr>
              <w:pStyle w:val="A-"/>
              <w:spacing w:line="260" w:lineRule="exact"/>
            </w:pPr>
            <w:r>
              <w:t>T/In</w:t>
            </w:r>
          </w:p>
        </w:tc>
      </w:tr>
      <w:tr w:rsidR="002E474C" w14:paraId="118DAF95" w14:textId="77777777">
        <w:trPr>
          <w:trHeight w:val="300"/>
        </w:trPr>
        <w:tc>
          <w:tcPr>
            <w:tcW w:w="828" w:type="dxa"/>
            <w:vMerge/>
            <w:vAlign w:val="center"/>
          </w:tcPr>
          <w:p w14:paraId="058CF841" w14:textId="77777777" w:rsidR="002E474C" w:rsidRDefault="002E474C">
            <w:pPr>
              <w:pStyle w:val="A-"/>
              <w:spacing w:line="260" w:lineRule="exact"/>
            </w:pPr>
          </w:p>
        </w:tc>
        <w:tc>
          <w:tcPr>
            <w:tcW w:w="893" w:type="dxa"/>
            <w:vMerge w:val="restart"/>
            <w:noWrap/>
            <w:vAlign w:val="center"/>
          </w:tcPr>
          <w:p w14:paraId="0C1C7B4E" w14:textId="77777777" w:rsidR="002E474C" w:rsidRDefault="00000000">
            <w:pPr>
              <w:pStyle w:val="A-"/>
              <w:spacing w:line="260" w:lineRule="exact"/>
            </w:pPr>
            <w:r>
              <w:t>非特定行业</w:t>
            </w:r>
          </w:p>
        </w:tc>
        <w:tc>
          <w:tcPr>
            <w:tcW w:w="1147" w:type="dxa"/>
            <w:noWrap/>
            <w:vAlign w:val="center"/>
          </w:tcPr>
          <w:p w14:paraId="3BB320D3" w14:textId="77777777" w:rsidR="002E474C" w:rsidRDefault="00000000">
            <w:pPr>
              <w:pStyle w:val="A-"/>
              <w:spacing w:line="260" w:lineRule="exact"/>
              <w:ind w:leftChars="-25" w:left="-53" w:rightChars="-25" w:right="-53"/>
            </w:pPr>
            <w:r>
              <w:t>900-039-49</w:t>
            </w:r>
          </w:p>
        </w:tc>
        <w:tc>
          <w:tcPr>
            <w:tcW w:w="4991" w:type="dxa"/>
            <w:noWrap/>
            <w:vAlign w:val="center"/>
          </w:tcPr>
          <w:p w14:paraId="61FF0F0C" w14:textId="77777777" w:rsidR="002E474C" w:rsidRDefault="00000000">
            <w:pPr>
              <w:pStyle w:val="A-"/>
              <w:spacing w:line="260" w:lineRule="exact"/>
            </w:pPr>
            <w:r>
              <w:rPr>
                <w:spacing w:val="-6"/>
              </w:rPr>
              <w:t>烟气、</w:t>
            </w:r>
            <w:r>
              <w:rPr>
                <w:spacing w:val="-6"/>
              </w:rPr>
              <w:t xml:space="preserve">VOCs </w:t>
            </w:r>
            <w:r>
              <w:rPr>
                <w:spacing w:val="-6"/>
              </w:rPr>
              <w:t>治理过程（不包括餐饮行业油烟治理过程）产生的废活性炭，化学原料和化学制品脱色（不包括有机合成食品添加剂脱色）、除杂、净化过程产生的废活性炭（不包括</w:t>
            </w:r>
            <w:r>
              <w:rPr>
                <w:spacing w:val="-6"/>
              </w:rPr>
              <w:t xml:space="preserve"> 900-405-06</w:t>
            </w:r>
            <w:r>
              <w:rPr>
                <w:spacing w:val="-6"/>
              </w:rPr>
              <w:t>、</w:t>
            </w:r>
            <w:r>
              <w:rPr>
                <w:spacing w:val="-6"/>
              </w:rPr>
              <w:t>772-005-18</w:t>
            </w:r>
            <w:r>
              <w:rPr>
                <w:spacing w:val="-6"/>
              </w:rPr>
              <w:t>、</w:t>
            </w:r>
            <w:r>
              <w:rPr>
                <w:spacing w:val="-6"/>
              </w:rPr>
              <w:t>261-053-29</w:t>
            </w:r>
            <w:r>
              <w:rPr>
                <w:spacing w:val="-6"/>
              </w:rPr>
              <w:t>、</w:t>
            </w:r>
            <w:r>
              <w:rPr>
                <w:spacing w:val="-6"/>
              </w:rPr>
              <w:t>265-002-29</w:t>
            </w:r>
            <w:r>
              <w:rPr>
                <w:spacing w:val="-6"/>
              </w:rPr>
              <w:t>、</w:t>
            </w:r>
            <w:r>
              <w:rPr>
                <w:spacing w:val="-6"/>
              </w:rPr>
              <w:t>384-003-29</w:t>
            </w:r>
            <w:r>
              <w:rPr>
                <w:spacing w:val="-6"/>
              </w:rPr>
              <w:t>、</w:t>
            </w:r>
            <w:r>
              <w:rPr>
                <w:spacing w:val="-6"/>
              </w:rPr>
              <w:t xml:space="preserve">387-001-29 </w:t>
            </w:r>
            <w:r>
              <w:rPr>
                <w:spacing w:val="-6"/>
              </w:rPr>
              <w:t>类危险废物）</w:t>
            </w:r>
          </w:p>
        </w:tc>
        <w:tc>
          <w:tcPr>
            <w:tcW w:w="663" w:type="dxa"/>
            <w:noWrap/>
            <w:vAlign w:val="center"/>
          </w:tcPr>
          <w:p w14:paraId="10F13BBE" w14:textId="77777777" w:rsidR="002E474C" w:rsidRDefault="00000000">
            <w:pPr>
              <w:pStyle w:val="A-"/>
              <w:spacing w:line="260" w:lineRule="exact"/>
            </w:pPr>
            <w:r>
              <w:t>T</w:t>
            </w:r>
          </w:p>
        </w:tc>
      </w:tr>
      <w:tr w:rsidR="002E474C" w14:paraId="143B4104" w14:textId="77777777">
        <w:trPr>
          <w:trHeight w:val="300"/>
        </w:trPr>
        <w:tc>
          <w:tcPr>
            <w:tcW w:w="828" w:type="dxa"/>
            <w:vMerge/>
            <w:vAlign w:val="center"/>
          </w:tcPr>
          <w:p w14:paraId="0395AC84" w14:textId="77777777" w:rsidR="002E474C" w:rsidRDefault="002E474C">
            <w:pPr>
              <w:pStyle w:val="A-"/>
              <w:spacing w:line="260" w:lineRule="exact"/>
            </w:pPr>
          </w:p>
        </w:tc>
        <w:tc>
          <w:tcPr>
            <w:tcW w:w="893" w:type="dxa"/>
            <w:vMerge/>
            <w:vAlign w:val="center"/>
          </w:tcPr>
          <w:p w14:paraId="2007FF13" w14:textId="77777777" w:rsidR="002E474C" w:rsidRDefault="002E474C">
            <w:pPr>
              <w:pStyle w:val="A-"/>
              <w:spacing w:line="260" w:lineRule="exact"/>
            </w:pPr>
          </w:p>
        </w:tc>
        <w:tc>
          <w:tcPr>
            <w:tcW w:w="1147" w:type="dxa"/>
            <w:noWrap/>
            <w:vAlign w:val="center"/>
          </w:tcPr>
          <w:p w14:paraId="6DD13B70" w14:textId="77777777" w:rsidR="002E474C" w:rsidRDefault="00000000">
            <w:pPr>
              <w:pStyle w:val="A-"/>
              <w:spacing w:line="260" w:lineRule="exact"/>
              <w:ind w:leftChars="-25" w:left="-53" w:rightChars="-25" w:right="-53"/>
            </w:pPr>
            <w:r>
              <w:t>900-041-49</w:t>
            </w:r>
          </w:p>
        </w:tc>
        <w:tc>
          <w:tcPr>
            <w:tcW w:w="4991" w:type="dxa"/>
            <w:noWrap/>
            <w:vAlign w:val="center"/>
          </w:tcPr>
          <w:p w14:paraId="0EE23918" w14:textId="77777777" w:rsidR="002E474C" w:rsidRDefault="00000000">
            <w:pPr>
              <w:pStyle w:val="A-"/>
              <w:spacing w:line="260" w:lineRule="exact"/>
            </w:pPr>
            <w:r>
              <w:t>含有或者沾染毒性、感染性危险废物的废弃的包装物、容器、过滤吸附介质</w:t>
            </w:r>
          </w:p>
        </w:tc>
        <w:tc>
          <w:tcPr>
            <w:tcW w:w="663" w:type="dxa"/>
            <w:noWrap/>
            <w:vAlign w:val="center"/>
          </w:tcPr>
          <w:p w14:paraId="17B4F582" w14:textId="77777777" w:rsidR="002E474C" w:rsidRDefault="00000000">
            <w:pPr>
              <w:pStyle w:val="A-"/>
              <w:spacing w:line="260" w:lineRule="exact"/>
            </w:pPr>
            <w:r>
              <w:t>T/In</w:t>
            </w:r>
          </w:p>
        </w:tc>
      </w:tr>
      <w:tr w:rsidR="002E474C" w14:paraId="049A5482" w14:textId="77777777">
        <w:trPr>
          <w:trHeight w:val="300"/>
        </w:trPr>
        <w:tc>
          <w:tcPr>
            <w:tcW w:w="828" w:type="dxa"/>
            <w:vMerge/>
            <w:vAlign w:val="center"/>
          </w:tcPr>
          <w:p w14:paraId="4039E030" w14:textId="77777777" w:rsidR="002E474C" w:rsidRDefault="002E474C">
            <w:pPr>
              <w:pStyle w:val="A-"/>
              <w:spacing w:line="260" w:lineRule="exact"/>
            </w:pPr>
          </w:p>
        </w:tc>
        <w:tc>
          <w:tcPr>
            <w:tcW w:w="893" w:type="dxa"/>
            <w:vMerge/>
            <w:vAlign w:val="center"/>
          </w:tcPr>
          <w:p w14:paraId="075A71F3" w14:textId="77777777" w:rsidR="002E474C" w:rsidRDefault="002E474C">
            <w:pPr>
              <w:pStyle w:val="A-"/>
              <w:spacing w:line="260" w:lineRule="exact"/>
            </w:pPr>
          </w:p>
        </w:tc>
        <w:tc>
          <w:tcPr>
            <w:tcW w:w="1147" w:type="dxa"/>
            <w:noWrap/>
            <w:vAlign w:val="center"/>
          </w:tcPr>
          <w:p w14:paraId="33D228F5" w14:textId="77777777" w:rsidR="002E474C" w:rsidRDefault="00000000">
            <w:pPr>
              <w:pStyle w:val="A-"/>
              <w:spacing w:line="260" w:lineRule="exact"/>
              <w:ind w:leftChars="-25" w:left="-53" w:rightChars="-25" w:right="-53"/>
            </w:pPr>
            <w:r>
              <w:t>900-042-49</w:t>
            </w:r>
          </w:p>
        </w:tc>
        <w:tc>
          <w:tcPr>
            <w:tcW w:w="4991" w:type="dxa"/>
            <w:noWrap/>
            <w:vAlign w:val="center"/>
          </w:tcPr>
          <w:p w14:paraId="207A02E4" w14:textId="77777777" w:rsidR="002E474C" w:rsidRDefault="00000000">
            <w:pPr>
              <w:pStyle w:val="A-"/>
              <w:spacing w:line="260" w:lineRule="exact"/>
            </w:pPr>
            <w:r>
              <w:t>环境事件及其处理过程中产生的沾染危险化学品、危险废物的废物</w:t>
            </w:r>
          </w:p>
        </w:tc>
        <w:tc>
          <w:tcPr>
            <w:tcW w:w="663" w:type="dxa"/>
            <w:noWrap/>
            <w:vAlign w:val="center"/>
          </w:tcPr>
          <w:p w14:paraId="03CDAE09" w14:textId="77777777" w:rsidR="002E474C" w:rsidRDefault="00000000">
            <w:pPr>
              <w:pStyle w:val="A-"/>
              <w:spacing w:line="260" w:lineRule="exact"/>
            </w:pPr>
            <w:r>
              <w:t>T/C/I/R/In</w:t>
            </w:r>
          </w:p>
        </w:tc>
      </w:tr>
      <w:tr w:rsidR="002E474C" w14:paraId="36D8EB44" w14:textId="77777777">
        <w:trPr>
          <w:trHeight w:val="300"/>
        </w:trPr>
        <w:tc>
          <w:tcPr>
            <w:tcW w:w="828" w:type="dxa"/>
            <w:vMerge/>
            <w:vAlign w:val="center"/>
          </w:tcPr>
          <w:p w14:paraId="2FA8AC69" w14:textId="77777777" w:rsidR="002E474C" w:rsidRDefault="002E474C">
            <w:pPr>
              <w:pStyle w:val="A-"/>
              <w:spacing w:line="260" w:lineRule="exact"/>
            </w:pPr>
          </w:p>
        </w:tc>
        <w:tc>
          <w:tcPr>
            <w:tcW w:w="893" w:type="dxa"/>
            <w:vMerge/>
            <w:vAlign w:val="center"/>
          </w:tcPr>
          <w:p w14:paraId="74EAFFEC" w14:textId="77777777" w:rsidR="002E474C" w:rsidRDefault="002E474C">
            <w:pPr>
              <w:pStyle w:val="A-"/>
              <w:spacing w:line="260" w:lineRule="exact"/>
            </w:pPr>
          </w:p>
        </w:tc>
        <w:tc>
          <w:tcPr>
            <w:tcW w:w="1147" w:type="dxa"/>
            <w:noWrap/>
            <w:vAlign w:val="center"/>
          </w:tcPr>
          <w:p w14:paraId="76690162" w14:textId="77777777" w:rsidR="002E474C" w:rsidRDefault="00000000">
            <w:pPr>
              <w:pStyle w:val="A-"/>
              <w:spacing w:line="260" w:lineRule="exact"/>
              <w:ind w:leftChars="-25" w:left="-53" w:rightChars="-25" w:right="-53"/>
            </w:pPr>
            <w:r>
              <w:t>900-044-49</w:t>
            </w:r>
          </w:p>
        </w:tc>
        <w:tc>
          <w:tcPr>
            <w:tcW w:w="4991" w:type="dxa"/>
            <w:noWrap/>
            <w:vAlign w:val="center"/>
          </w:tcPr>
          <w:p w14:paraId="35670829" w14:textId="77777777" w:rsidR="002E474C" w:rsidRDefault="00000000">
            <w:pPr>
              <w:pStyle w:val="A-"/>
              <w:spacing w:line="260" w:lineRule="exact"/>
            </w:pPr>
            <w:r>
              <w:t>废弃的镉镍电池、荧光粉和阴极射线管</w:t>
            </w:r>
          </w:p>
        </w:tc>
        <w:tc>
          <w:tcPr>
            <w:tcW w:w="663" w:type="dxa"/>
            <w:noWrap/>
            <w:vAlign w:val="center"/>
          </w:tcPr>
          <w:p w14:paraId="4CB0D49A" w14:textId="77777777" w:rsidR="002E474C" w:rsidRDefault="00000000">
            <w:pPr>
              <w:pStyle w:val="A-"/>
              <w:spacing w:line="260" w:lineRule="exact"/>
            </w:pPr>
            <w:r>
              <w:t>T</w:t>
            </w:r>
          </w:p>
        </w:tc>
      </w:tr>
      <w:tr w:rsidR="002E474C" w14:paraId="40D5A770" w14:textId="77777777">
        <w:trPr>
          <w:trHeight w:val="300"/>
        </w:trPr>
        <w:tc>
          <w:tcPr>
            <w:tcW w:w="828" w:type="dxa"/>
            <w:vMerge/>
            <w:vAlign w:val="center"/>
          </w:tcPr>
          <w:p w14:paraId="3AC668F2" w14:textId="77777777" w:rsidR="002E474C" w:rsidRDefault="002E474C">
            <w:pPr>
              <w:pStyle w:val="A-"/>
              <w:spacing w:line="260" w:lineRule="exact"/>
            </w:pPr>
          </w:p>
        </w:tc>
        <w:tc>
          <w:tcPr>
            <w:tcW w:w="893" w:type="dxa"/>
            <w:vMerge/>
            <w:vAlign w:val="center"/>
          </w:tcPr>
          <w:p w14:paraId="68B4CC33" w14:textId="77777777" w:rsidR="002E474C" w:rsidRDefault="002E474C">
            <w:pPr>
              <w:pStyle w:val="A-"/>
              <w:spacing w:line="260" w:lineRule="exact"/>
            </w:pPr>
          </w:p>
        </w:tc>
        <w:tc>
          <w:tcPr>
            <w:tcW w:w="1147" w:type="dxa"/>
            <w:noWrap/>
            <w:vAlign w:val="center"/>
          </w:tcPr>
          <w:p w14:paraId="7B0ABAE2" w14:textId="77777777" w:rsidR="002E474C" w:rsidRDefault="00000000">
            <w:pPr>
              <w:pStyle w:val="A-"/>
              <w:spacing w:line="260" w:lineRule="exact"/>
              <w:ind w:leftChars="-25" w:left="-53" w:rightChars="-25" w:right="-53"/>
            </w:pPr>
            <w:r>
              <w:t>900-045-49</w:t>
            </w:r>
          </w:p>
        </w:tc>
        <w:tc>
          <w:tcPr>
            <w:tcW w:w="4991" w:type="dxa"/>
            <w:noWrap/>
            <w:vAlign w:val="center"/>
          </w:tcPr>
          <w:p w14:paraId="65B061B1" w14:textId="77777777" w:rsidR="002E474C" w:rsidRDefault="00000000">
            <w:pPr>
              <w:pStyle w:val="A-"/>
              <w:spacing w:line="260" w:lineRule="exact"/>
            </w:pPr>
            <w:r>
              <w:rPr>
                <w:spacing w:val="-11"/>
              </w:rPr>
              <w:t>废电路板（包括已拆除或者未拆除元器件的废弃电路板），及废电路板拆解过程产生的废弃的</w:t>
            </w:r>
            <w:r>
              <w:rPr>
                <w:spacing w:val="-11"/>
              </w:rPr>
              <w:t xml:space="preserve"> CPU</w:t>
            </w:r>
            <w:r>
              <w:rPr>
                <w:spacing w:val="-11"/>
              </w:rPr>
              <w:t>、显卡、声卡、</w:t>
            </w:r>
            <w:r>
              <w:rPr>
                <w:spacing w:val="-11"/>
              </w:rPr>
              <w:t xml:space="preserve"> </w:t>
            </w:r>
            <w:r>
              <w:rPr>
                <w:spacing w:val="-11"/>
              </w:rPr>
              <w:t>内存、含电解液的电容器、含金等贵金属的连接件</w:t>
            </w:r>
          </w:p>
        </w:tc>
        <w:tc>
          <w:tcPr>
            <w:tcW w:w="663" w:type="dxa"/>
            <w:noWrap/>
            <w:vAlign w:val="center"/>
          </w:tcPr>
          <w:p w14:paraId="3AA0AB3A" w14:textId="77777777" w:rsidR="002E474C" w:rsidRDefault="00000000">
            <w:pPr>
              <w:pStyle w:val="A-"/>
              <w:spacing w:line="260" w:lineRule="exact"/>
            </w:pPr>
            <w:r>
              <w:t>T</w:t>
            </w:r>
          </w:p>
        </w:tc>
      </w:tr>
      <w:tr w:rsidR="002E474C" w14:paraId="2F1E2AE7" w14:textId="77777777">
        <w:trPr>
          <w:trHeight w:val="300"/>
        </w:trPr>
        <w:tc>
          <w:tcPr>
            <w:tcW w:w="828" w:type="dxa"/>
            <w:vMerge/>
            <w:vAlign w:val="center"/>
          </w:tcPr>
          <w:p w14:paraId="5F854595" w14:textId="77777777" w:rsidR="002E474C" w:rsidRDefault="002E474C">
            <w:pPr>
              <w:pStyle w:val="A-"/>
              <w:spacing w:line="260" w:lineRule="exact"/>
            </w:pPr>
          </w:p>
        </w:tc>
        <w:tc>
          <w:tcPr>
            <w:tcW w:w="893" w:type="dxa"/>
            <w:vMerge/>
            <w:vAlign w:val="center"/>
          </w:tcPr>
          <w:p w14:paraId="16CB536D" w14:textId="77777777" w:rsidR="002E474C" w:rsidRDefault="002E474C">
            <w:pPr>
              <w:pStyle w:val="A-"/>
              <w:spacing w:line="260" w:lineRule="exact"/>
            </w:pPr>
          </w:p>
        </w:tc>
        <w:tc>
          <w:tcPr>
            <w:tcW w:w="1147" w:type="dxa"/>
            <w:noWrap/>
            <w:vAlign w:val="center"/>
          </w:tcPr>
          <w:p w14:paraId="114C3E76" w14:textId="77777777" w:rsidR="002E474C" w:rsidRDefault="00000000">
            <w:pPr>
              <w:pStyle w:val="A-"/>
              <w:spacing w:line="260" w:lineRule="exact"/>
              <w:ind w:leftChars="-25" w:left="-53" w:rightChars="-25" w:right="-53"/>
            </w:pPr>
            <w:r>
              <w:t>900-046-49</w:t>
            </w:r>
          </w:p>
        </w:tc>
        <w:tc>
          <w:tcPr>
            <w:tcW w:w="4991" w:type="dxa"/>
            <w:noWrap/>
            <w:vAlign w:val="center"/>
          </w:tcPr>
          <w:p w14:paraId="350501BF" w14:textId="77777777" w:rsidR="002E474C" w:rsidRDefault="00000000">
            <w:pPr>
              <w:pStyle w:val="A-"/>
              <w:spacing w:line="260" w:lineRule="exact"/>
            </w:pPr>
            <w:r>
              <w:t>离子交换装置（不包括饮用水、工业纯水和锅炉软化水制备装置以及废水处理成套工艺中的离子交换装置）再生过程中产生的废水处理污泥</w:t>
            </w:r>
          </w:p>
        </w:tc>
        <w:tc>
          <w:tcPr>
            <w:tcW w:w="663" w:type="dxa"/>
            <w:noWrap/>
            <w:vAlign w:val="center"/>
          </w:tcPr>
          <w:p w14:paraId="1C20BDCD" w14:textId="77777777" w:rsidR="002E474C" w:rsidRDefault="00000000">
            <w:pPr>
              <w:pStyle w:val="A-"/>
              <w:spacing w:line="260" w:lineRule="exact"/>
            </w:pPr>
            <w:r>
              <w:t>T</w:t>
            </w:r>
          </w:p>
        </w:tc>
      </w:tr>
      <w:tr w:rsidR="002E474C" w14:paraId="1BC7713C" w14:textId="77777777">
        <w:trPr>
          <w:trHeight w:val="300"/>
        </w:trPr>
        <w:tc>
          <w:tcPr>
            <w:tcW w:w="828" w:type="dxa"/>
            <w:vMerge/>
            <w:vAlign w:val="center"/>
          </w:tcPr>
          <w:p w14:paraId="3360BA0F" w14:textId="77777777" w:rsidR="002E474C" w:rsidRDefault="002E474C">
            <w:pPr>
              <w:pStyle w:val="A-"/>
              <w:spacing w:line="260" w:lineRule="exact"/>
            </w:pPr>
          </w:p>
        </w:tc>
        <w:tc>
          <w:tcPr>
            <w:tcW w:w="893" w:type="dxa"/>
            <w:vMerge/>
            <w:vAlign w:val="center"/>
          </w:tcPr>
          <w:p w14:paraId="20CE98A2" w14:textId="77777777" w:rsidR="002E474C" w:rsidRDefault="002E474C">
            <w:pPr>
              <w:pStyle w:val="A-"/>
              <w:spacing w:line="260" w:lineRule="exact"/>
            </w:pPr>
          </w:p>
        </w:tc>
        <w:tc>
          <w:tcPr>
            <w:tcW w:w="1147" w:type="dxa"/>
            <w:noWrap/>
            <w:vAlign w:val="center"/>
          </w:tcPr>
          <w:p w14:paraId="30C247C2" w14:textId="77777777" w:rsidR="002E474C" w:rsidRDefault="00000000">
            <w:pPr>
              <w:pStyle w:val="A-"/>
              <w:spacing w:line="260" w:lineRule="exact"/>
              <w:ind w:leftChars="-25" w:left="-53" w:rightChars="-25" w:right="-53"/>
            </w:pPr>
            <w:r>
              <w:t>900-047-49</w:t>
            </w:r>
          </w:p>
        </w:tc>
        <w:tc>
          <w:tcPr>
            <w:tcW w:w="4991" w:type="dxa"/>
            <w:noWrap/>
            <w:vAlign w:val="center"/>
          </w:tcPr>
          <w:p w14:paraId="2847AD34" w14:textId="77777777" w:rsidR="002E474C" w:rsidRDefault="00000000">
            <w:pPr>
              <w:pStyle w:val="A-"/>
              <w:spacing w:line="260" w:lineRule="exact"/>
            </w:pPr>
            <w:r>
              <w:rPr>
                <w:spacing w:val="-6"/>
              </w:rPr>
              <w:t>生产、研究、开发、教学、环境检测（监测）活动中，化学和生物实验室（不包含感染性医学实验室及医疗机构化验室）产生的含氰、氟、重金属无机废液及无机废液处理产生的残渣、残液，含矿物油、有机溶剂、</w:t>
            </w:r>
            <w:r>
              <w:rPr>
                <w:spacing w:val="-6"/>
              </w:rPr>
              <w:t xml:space="preserve"> </w:t>
            </w:r>
            <w:r>
              <w:rPr>
                <w:spacing w:val="-6"/>
              </w:rPr>
              <w:t>甲醛有机废液，废酸、废碱，具有危险特性的残留样品，</w:t>
            </w:r>
            <w:r>
              <w:rPr>
                <w:spacing w:val="-6"/>
              </w:rPr>
              <w:t xml:space="preserve"> </w:t>
            </w:r>
            <w:r>
              <w:rPr>
                <w:spacing w:val="-6"/>
              </w:rPr>
              <w:t>以及沾染上述物质的一次性实验用品（不包括按实验室管理要求进行清洗后的废弃的烧杯、量器、漏斗等实验室用品）、包装物（不包括按实验室管理要求进行清洗后的试剂包装物、容器）、过滤吸附介质等</w:t>
            </w:r>
          </w:p>
        </w:tc>
        <w:tc>
          <w:tcPr>
            <w:tcW w:w="663" w:type="dxa"/>
            <w:noWrap/>
            <w:vAlign w:val="center"/>
          </w:tcPr>
          <w:p w14:paraId="60CC618E" w14:textId="77777777" w:rsidR="002E474C" w:rsidRDefault="00000000">
            <w:pPr>
              <w:pStyle w:val="A-"/>
              <w:spacing w:line="260" w:lineRule="exact"/>
            </w:pPr>
            <w:r>
              <w:t>T/C/I/R</w:t>
            </w:r>
          </w:p>
        </w:tc>
      </w:tr>
      <w:tr w:rsidR="002E474C" w14:paraId="76FD37A8" w14:textId="77777777">
        <w:trPr>
          <w:trHeight w:val="300"/>
        </w:trPr>
        <w:tc>
          <w:tcPr>
            <w:tcW w:w="828" w:type="dxa"/>
            <w:vMerge/>
            <w:vAlign w:val="center"/>
          </w:tcPr>
          <w:p w14:paraId="4D4FCCCF" w14:textId="77777777" w:rsidR="002E474C" w:rsidRDefault="002E474C">
            <w:pPr>
              <w:pStyle w:val="A-"/>
              <w:spacing w:line="260" w:lineRule="exact"/>
            </w:pPr>
          </w:p>
        </w:tc>
        <w:tc>
          <w:tcPr>
            <w:tcW w:w="893" w:type="dxa"/>
            <w:vMerge/>
            <w:vAlign w:val="center"/>
          </w:tcPr>
          <w:p w14:paraId="0970FC04" w14:textId="77777777" w:rsidR="002E474C" w:rsidRDefault="002E474C">
            <w:pPr>
              <w:pStyle w:val="A-"/>
              <w:spacing w:line="260" w:lineRule="exact"/>
            </w:pPr>
          </w:p>
        </w:tc>
        <w:tc>
          <w:tcPr>
            <w:tcW w:w="1147" w:type="dxa"/>
            <w:noWrap/>
            <w:vAlign w:val="center"/>
          </w:tcPr>
          <w:p w14:paraId="4E80DE9F" w14:textId="77777777" w:rsidR="002E474C" w:rsidRDefault="00000000">
            <w:pPr>
              <w:pStyle w:val="A-"/>
              <w:spacing w:line="260" w:lineRule="exact"/>
              <w:ind w:leftChars="-25" w:left="-53" w:rightChars="-25" w:right="-53"/>
            </w:pPr>
            <w:r>
              <w:t>900-053-49</w:t>
            </w:r>
          </w:p>
        </w:tc>
        <w:tc>
          <w:tcPr>
            <w:tcW w:w="4991" w:type="dxa"/>
            <w:noWrap/>
            <w:vAlign w:val="center"/>
          </w:tcPr>
          <w:p w14:paraId="40E96A4E" w14:textId="77777777" w:rsidR="002E474C" w:rsidRDefault="00000000">
            <w:pPr>
              <w:pStyle w:val="A-"/>
              <w:spacing w:line="260" w:lineRule="exact"/>
            </w:pPr>
            <w:r>
              <w:t>已禁止使用的，所有者申报废弃的，以及有关部门依法收缴或者接收且需要销毁的《关于持久性有机污染物的斯德哥尔摩公约》管控的化学物质（不包括本名录</w:t>
            </w:r>
            <w:r>
              <w:t xml:space="preserve"> HW04</w:t>
            </w:r>
            <w:r>
              <w:t>、</w:t>
            </w:r>
            <w:r>
              <w:t>HW05</w:t>
            </w:r>
            <w:r>
              <w:t>、</w:t>
            </w:r>
            <w:r>
              <w:t xml:space="preserve">HW10 </w:t>
            </w:r>
            <w:r>
              <w:t>类别的危险废物）</w:t>
            </w:r>
          </w:p>
        </w:tc>
        <w:tc>
          <w:tcPr>
            <w:tcW w:w="663" w:type="dxa"/>
            <w:noWrap/>
            <w:vAlign w:val="center"/>
          </w:tcPr>
          <w:p w14:paraId="55A0056E" w14:textId="77777777" w:rsidR="002E474C" w:rsidRDefault="00000000">
            <w:pPr>
              <w:pStyle w:val="A-"/>
              <w:spacing w:line="260" w:lineRule="exact"/>
            </w:pPr>
            <w:r>
              <w:t>T</w:t>
            </w:r>
          </w:p>
        </w:tc>
      </w:tr>
      <w:tr w:rsidR="002E474C" w14:paraId="35C32C55" w14:textId="77777777">
        <w:trPr>
          <w:trHeight w:val="300"/>
        </w:trPr>
        <w:tc>
          <w:tcPr>
            <w:tcW w:w="828" w:type="dxa"/>
            <w:vMerge/>
            <w:vAlign w:val="center"/>
          </w:tcPr>
          <w:p w14:paraId="6B4D1B0B" w14:textId="77777777" w:rsidR="002E474C" w:rsidRDefault="002E474C">
            <w:pPr>
              <w:pStyle w:val="A-"/>
              <w:spacing w:line="260" w:lineRule="exact"/>
            </w:pPr>
          </w:p>
        </w:tc>
        <w:tc>
          <w:tcPr>
            <w:tcW w:w="893" w:type="dxa"/>
            <w:vMerge/>
            <w:vAlign w:val="center"/>
          </w:tcPr>
          <w:p w14:paraId="08136E4F" w14:textId="77777777" w:rsidR="002E474C" w:rsidRDefault="002E474C">
            <w:pPr>
              <w:pStyle w:val="A-"/>
              <w:spacing w:line="260" w:lineRule="exact"/>
            </w:pPr>
          </w:p>
        </w:tc>
        <w:tc>
          <w:tcPr>
            <w:tcW w:w="1147" w:type="dxa"/>
            <w:noWrap/>
            <w:vAlign w:val="center"/>
          </w:tcPr>
          <w:p w14:paraId="6C7B832B" w14:textId="77777777" w:rsidR="002E474C" w:rsidRDefault="00000000">
            <w:pPr>
              <w:pStyle w:val="A-"/>
              <w:spacing w:line="260" w:lineRule="exact"/>
              <w:ind w:leftChars="-25" w:left="-53" w:rightChars="-25" w:right="-53"/>
            </w:pPr>
            <w:r>
              <w:t>900-999-49</w:t>
            </w:r>
          </w:p>
        </w:tc>
        <w:tc>
          <w:tcPr>
            <w:tcW w:w="4991" w:type="dxa"/>
            <w:noWrap/>
            <w:vAlign w:val="center"/>
          </w:tcPr>
          <w:p w14:paraId="59640AD8" w14:textId="77777777" w:rsidR="002E474C" w:rsidRDefault="00000000">
            <w:pPr>
              <w:pStyle w:val="A-"/>
              <w:spacing w:line="260" w:lineRule="exact"/>
            </w:pPr>
            <w:r>
              <w:rPr>
                <w:spacing w:val="-11"/>
              </w:rPr>
              <w:t>被所有者申报废弃的，或者未申报废弃但被非法排放、倾倒、利用、处置的，以及有关部门依法收缴或者接收且需要销毁的列入《危险化学品目录》的危险化学品（不含该目录中仅具有</w:t>
            </w:r>
            <w:r>
              <w:rPr>
                <w:spacing w:val="-11"/>
              </w:rPr>
              <w:t>“</w:t>
            </w:r>
            <w:r>
              <w:rPr>
                <w:spacing w:val="-11"/>
              </w:rPr>
              <w:t>加压气体</w:t>
            </w:r>
            <w:r>
              <w:rPr>
                <w:spacing w:val="-11"/>
              </w:rPr>
              <w:t>”</w:t>
            </w:r>
            <w:r>
              <w:rPr>
                <w:spacing w:val="-11"/>
              </w:rPr>
              <w:t>物理危险性的危险化学品）</w:t>
            </w:r>
          </w:p>
        </w:tc>
        <w:tc>
          <w:tcPr>
            <w:tcW w:w="663" w:type="dxa"/>
            <w:noWrap/>
            <w:vAlign w:val="center"/>
          </w:tcPr>
          <w:p w14:paraId="6E00F4FB" w14:textId="77777777" w:rsidR="002E474C" w:rsidRDefault="00000000">
            <w:pPr>
              <w:pStyle w:val="A-"/>
              <w:spacing w:line="260" w:lineRule="exact"/>
            </w:pPr>
            <w:r>
              <w:t>T/C/I/R</w:t>
            </w:r>
          </w:p>
        </w:tc>
      </w:tr>
      <w:tr w:rsidR="002E474C" w14:paraId="64797566" w14:textId="77777777">
        <w:trPr>
          <w:trHeight w:val="300"/>
        </w:trPr>
        <w:tc>
          <w:tcPr>
            <w:tcW w:w="828" w:type="dxa"/>
            <w:vMerge w:val="restart"/>
            <w:noWrap/>
            <w:vAlign w:val="center"/>
          </w:tcPr>
          <w:p w14:paraId="1B888921" w14:textId="77777777" w:rsidR="002E474C" w:rsidRDefault="00000000">
            <w:pPr>
              <w:pStyle w:val="A-"/>
              <w:spacing w:line="260" w:lineRule="exact"/>
            </w:pPr>
            <w:r>
              <w:lastRenderedPageBreak/>
              <w:t>HW50</w:t>
            </w:r>
            <w:r>
              <w:br/>
            </w:r>
            <w:r>
              <w:t>废催化剂</w:t>
            </w:r>
          </w:p>
        </w:tc>
        <w:tc>
          <w:tcPr>
            <w:tcW w:w="893" w:type="dxa"/>
            <w:vMerge w:val="restart"/>
            <w:noWrap/>
            <w:vAlign w:val="center"/>
          </w:tcPr>
          <w:p w14:paraId="60017F11" w14:textId="77777777" w:rsidR="002E474C" w:rsidRDefault="00000000">
            <w:pPr>
              <w:pStyle w:val="A-"/>
              <w:spacing w:line="260" w:lineRule="exact"/>
            </w:pPr>
            <w:r>
              <w:t>精炼石油产品制造</w:t>
            </w:r>
          </w:p>
        </w:tc>
        <w:tc>
          <w:tcPr>
            <w:tcW w:w="1147" w:type="dxa"/>
            <w:noWrap/>
            <w:vAlign w:val="center"/>
          </w:tcPr>
          <w:p w14:paraId="3474A557" w14:textId="77777777" w:rsidR="002E474C" w:rsidRDefault="00000000">
            <w:pPr>
              <w:pStyle w:val="A-"/>
              <w:spacing w:line="260" w:lineRule="exact"/>
              <w:ind w:leftChars="-25" w:left="-53" w:rightChars="-25" w:right="-53"/>
            </w:pPr>
            <w:r>
              <w:t>251-016-50</w:t>
            </w:r>
          </w:p>
        </w:tc>
        <w:tc>
          <w:tcPr>
            <w:tcW w:w="4991" w:type="dxa"/>
            <w:noWrap/>
            <w:vAlign w:val="center"/>
          </w:tcPr>
          <w:p w14:paraId="79F7BF3D" w14:textId="77777777" w:rsidR="002E474C" w:rsidRDefault="00000000">
            <w:pPr>
              <w:pStyle w:val="A-"/>
              <w:spacing w:line="260" w:lineRule="exact"/>
            </w:pPr>
            <w:r>
              <w:t>石油产品加氢精制过程中产生的废催化剂</w:t>
            </w:r>
          </w:p>
        </w:tc>
        <w:tc>
          <w:tcPr>
            <w:tcW w:w="663" w:type="dxa"/>
            <w:noWrap/>
            <w:vAlign w:val="center"/>
          </w:tcPr>
          <w:p w14:paraId="30706FB0" w14:textId="77777777" w:rsidR="002E474C" w:rsidRDefault="00000000">
            <w:pPr>
              <w:pStyle w:val="A-"/>
              <w:spacing w:line="260" w:lineRule="exact"/>
            </w:pPr>
            <w:r>
              <w:t>T</w:t>
            </w:r>
          </w:p>
        </w:tc>
      </w:tr>
      <w:tr w:rsidR="002E474C" w14:paraId="742C477C" w14:textId="77777777">
        <w:trPr>
          <w:trHeight w:val="300"/>
        </w:trPr>
        <w:tc>
          <w:tcPr>
            <w:tcW w:w="828" w:type="dxa"/>
            <w:vMerge/>
            <w:vAlign w:val="center"/>
          </w:tcPr>
          <w:p w14:paraId="2299A851" w14:textId="77777777" w:rsidR="002E474C" w:rsidRDefault="002E474C">
            <w:pPr>
              <w:pStyle w:val="A-"/>
              <w:spacing w:line="260" w:lineRule="exact"/>
            </w:pPr>
          </w:p>
        </w:tc>
        <w:tc>
          <w:tcPr>
            <w:tcW w:w="893" w:type="dxa"/>
            <w:vMerge/>
            <w:vAlign w:val="center"/>
          </w:tcPr>
          <w:p w14:paraId="7BDAF23B" w14:textId="77777777" w:rsidR="002E474C" w:rsidRDefault="002E474C">
            <w:pPr>
              <w:pStyle w:val="A-"/>
              <w:spacing w:line="260" w:lineRule="exact"/>
            </w:pPr>
          </w:p>
        </w:tc>
        <w:tc>
          <w:tcPr>
            <w:tcW w:w="1147" w:type="dxa"/>
            <w:noWrap/>
            <w:vAlign w:val="center"/>
          </w:tcPr>
          <w:p w14:paraId="198BB43A" w14:textId="77777777" w:rsidR="002E474C" w:rsidRDefault="00000000">
            <w:pPr>
              <w:pStyle w:val="A-"/>
              <w:spacing w:line="260" w:lineRule="exact"/>
              <w:ind w:leftChars="-25" w:left="-53" w:rightChars="-25" w:right="-53"/>
            </w:pPr>
            <w:r>
              <w:t>251-017-50</w:t>
            </w:r>
          </w:p>
        </w:tc>
        <w:tc>
          <w:tcPr>
            <w:tcW w:w="4991" w:type="dxa"/>
            <w:noWrap/>
            <w:vAlign w:val="center"/>
          </w:tcPr>
          <w:p w14:paraId="1F8DD30A" w14:textId="77777777" w:rsidR="002E474C" w:rsidRDefault="00000000">
            <w:pPr>
              <w:pStyle w:val="A-"/>
              <w:spacing w:line="260" w:lineRule="exact"/>
            </w:pPr>
            <w:r>
              <w:rPr>
                <w:spacing w:val="-6"/>
              </w:rPr>
              <w:t>石油炼制中采用钝镍剂进行催化裂化产生的废催化剂</w:t>
            </w:r>
          </w:p>
        </w:tc>
        <w:tc>
          <w:tcPr>
            <w:tcW w:w="663" w:type="dxa"/>
            <w:noWrap/>
            <w:vAlign w:val="center"/>
          </w:tcPr>
          <w:p w14:paraId="1EE5E26E" w14:textId="77777777" w:rsidR="002E474C" w:rsidRDefault="00000000">
            <w:pPr>
              <w:pStyle w:val="A-"/>
              <w:spacing w:line="260" w:lineRule="exact"/>
            </w:pPr>
            <w:r>
              <w:t>T</w:t>
            </w:r>
          </w:p>
        </w:tc>
      </w:tr>
      <w:tr w:rsidR="002E474C" w14:paraId="66E5B02A" w14:textId="77777777">
        <w:trPr>
          <w:trHeight w:val="300"/>
        </w:trPr>
        <w:tc>
          <w:tcPr>
            <w:tcW w:w="828" w:type="dxa"/>
            <w:vMerge/>
            <w:vAlign w:val="center"/>
          </w:tcPr>
          <w:p w14:paraId="61BF62B8" w14:textId="77777777" w:rsidR="002E474C" w:rsidRDefault="002E474C">
            <w:pPr>
              <w:pStyle w:val="A-"/>
              <w:spacing w:line="260" w:lineRule="exact"/>
            </w:pPr>
          </w:p>
        </w:tc>
        <w:tc>
          <w:tcPr>
            <w:tcW w:w="893" w:type="dxa"/>
            <w:vMerge/>
            <w:vAlign w:val="center"/>
          </w:tcPr>
          <w:p w14:paraId="063B24A8" w14:textId="77777777" w:rsidR="002E474C" w:rsidRDefault="002E474C">
            <w:pPr>
              <w:pStyle w:val="A-"/>
              <w:spacing w:line="260" w:lineRule="exact"/>
            </w:pPr>
          </w:p>
        </w:tc>
        <w:tc>
          <w:tcPr>
            <w:tcW w:w="1147" w:type="dxa"/>
            <w:noWrap/>
            <w:vAlign w:val="center"/>
          </w:tcPr>
          <w:p w14:paraId="25FA0585" w14:textId="77777777" w:rsidR="002E474C" w:rsidRDefault="00000000">
            <w:pPr>
              <w:pStyle w:val="A-"/>
              <w:spacing w:line="260" w:lineRule="exact"/>
              <w:ind w:leftChars="-25" w:left="-53" w:rightChars="-25" w:right="-53"/>
            </w:pPr>
            <w:r>
              <w:t>251-018-50</w:t>
            </w:r>
          </w:p>
        </w:tc>
        <w:tc>
          <w:tcPr>
            <w:tcW w:w="4991" w:type="dxa"/>
            <w:noWrap/>
            <w:vAlign w:val="center"/>
          </w:tcPr>
          <w:p w14:paraId="03B2738C" w14:textId="77777777" w:rsidR="002E474C" w:rsidRDefault="00000000">
            <w:pPr>
              <w:pStyle w:val="A-"/>
              <w:spacing w:line="260" w:lineRule="exact"/>
            </w:pPr>
            <w:r>
              <w:t>石油产品加氢裂化过程中产生的废催化剂</w:t>
            </w:r>
          </w:p>
        </w:tc>
        <w:tc>
          <w:tcPr>
            <w:tcW w:w="663" w:type="dxa"/>
            <w:noWrap/>
            <w:vAlign w:val="center"/>
          </w:tcPr>
          <w:p w14:paraId="7007661F" w14:textId="77777777" w:rsidR="002E474C" w:rsidRDefault="00000000">
            <w:pPr>
              <w:pStyle w:val="A-"/>
              <w:spacing w:line="260" w:lineRule="exact"/>
            </w:pPr>
            <w:r>
              <w:t>T</w:t>
            </w:r>
          </w:p>
        </w:tc>
      </w:tr>
      <w:tr w:rsidR="002E474C" w14:paraId="7A00E4DD" w14:textId="77777777">
        <w:trPr>
          <w:trHeight w:val="300"/>
        </w:trPr>
        <w:tc>
          <w:tcPr>
            <w:tcW w:w="828" w:type="dxa"/>
            <w:vMerge/>
            <w:vAlign w:val="center"/>
          </w:tcPr>
          <w:p w14:paraId="14A433AC" w14:textId="77777777" w:rsidR="002E474C" w:rsidRDefault="002E474C">
            <w:pPr>
              <w:pStyle w:val="A-"/>
              <w:spacing w:line="260" w:lineRule="exact"/>
            </w:pPr>
          </w:p>
        </w:tc>
        <w:tc>
          <w:tcPr>
            <w:tcW w:w="893" w:type="dxa"/>
            <w:vMerge/>
            <w:vAlign w:val="center"/>
          </w:tcPr>
          <w:p w14:paraId="7A5EFCFC" w14:textId="77777777" w:rsidR="002E474C" w:rsidRDefault="002E474C">
            <w:pPr>
              <w:pStyle w:val="A-"/>
              <w:spacing w:line="260" w:lineRule="exact"/>
            </w:pPr>
          </w:p>
        </w:tc>
        <w:tc>
          <w:tcPr>
            <w:tcW w:w="1147" w:type="dxa"/>
            <w:noWrap/>
            <w:vAlign w:val="center"/>
          </w:tcPr>
          <w:p w14:paraId="291C55E5" w14:textId="77777777" w:rsidR="002E474C" w:rsidRDefault="00000000">
            <w:pPr>
              <w:pStyle w:val="A-"/>
              <w:spacing w:line="260" w:lineRule="exact"/>
              <w:ind w:leftChars="-25" w:left="-53" w:rightChars="-25" w:right="-53"/>
            </w:pPr>
            <w:r>
              <w:t>251-019-50</w:t>
            </w:r>
          </w:p>
        </w:tc>
        <w:tc>
          <w:tcPr>
            <w:tcW w:w="4991" w:type="dxa"/>
            <w:noWrap/>
            <w:vAlign w:val="center"/>
          </w:tcPr>
          <w:p w14:paraId="3F17FFE4" w14:textId="77777777" w:rsidR="002E474C" w:rsidRDefault="00000000">
            <w:pPr>
              <w:pStyle w:val="A-"/>
              <w:spacing w:line="260" w:lineRule="exact"/>
            </w:pPr>
            <w:r>
              <w:t>石油产品催化重整过程中产生的废催化剂</w:t>
            </w:r>
          </w:p>
        </w:tc>
        <w:tc>
          <w:tcPr>
            <w:tcW w:w="663" w:type="dxa"/>
            <w:noWrap/>
            <w:vAlign w:val="center"/>
          </w:tcPr>
          <w:p w14:paraId="16C0B588" w14:textId="77777777" w:rsidR="002E474C" w:rsidRDefault="00000000">
            <w:pPr>
              <w:pStyle w:val="A-"/>
              <w:spacing w:line="260" w:lineRule="exact"/>
            </w:pPr>
            <w:r>
              <w:t>T</w:t>
            </w:r>
          </w:p>
        </w:tc>
      </w:tr>
      <w:tr w:rsidR="002E474C" w14:paraId="2F9158F2" w14:textId="77777777">
        <w:trPr>
          <w:trHeight w:val="300"/>
        </w:trPr>
        <w:tc>
          <w:tcPr>
            <w:tcW w:w="828" w:type="dxa"/>
            <w:vMerge/>
            <w:vAlign w:val="center"/>
          </w:tcPr>
          <w:p w14:paraId="0F58F6E9" w14:textId="77777777" w:rsidR="002E474C" w:rsidRDefault="002E474C">
            <w:pPr>
              <w:pStyle w:val="A-"/>
              <w:spacing w:line="260" w:lineRule="exact"/>
            </w:pPr>
          </w:p>
        </w:tc>
        <w:tc>
          <w:tcPr>
            <w:tcW w:w="893" w:type="dxa"/>
            <w:vMerge w:val="restart"/>
            <w:noWrap/>
            <w:vAlign w:val="center"/>
          </w:tcPr>
          <w:p w14:paraId="63050F9A" w14:textId="77777777" w:rsidR="002E474C" w:rsidRDefault="00000000">
            <w:pPr>
              <w:pStyle w:val="A-"/>
              <w:spacing w:line="260" w:lineRule="exact"/>
            </w:pPr>
            <w:r>
              <w:t>基础化学原料制造</w:t>
            </w:r>
          </w:p>
        </w:tc>
        <w:tc>
          <w:tcPr>
            <w:tcW w:w="1147" w:type="dxa"/>
            <w:noWrap/>
            <w:vAlign w:val="center"/>
          </w:tcPr>
          <w:p w14:paraId="5434614F" w14:textId="77777777" w:rsidR="002E474C" w:rsidRDefault="00000000">
            <w:pPr>
              <w:pStyle w:val="A-"/>
              <w:spacing w:line="260" w:lineRule="exact"/>
              <w:ind w:leftChars="-25" w:left="-53" w:rightChars="-25" w:right="-53"/>
            </w:pPr>
            <w:r>
              <w:t>261-151-50</w:t>
            </w:r>
          </w:p>
        </w:tc>
        <w:tc>
          <w:tcPr>
            <w:tcW w:w="4991" w:type="dxa"/>
            <w:noWrap/>
            <w:vAlign w:val="center"/>
          </w:tcPr>
          <w:p w14:paraId="7885EFC8" w14:textId="77777777" w:rsidR="002E474C" w:rsidRDefault="00000000">
            <w:pPr>
              <w:pStyle w:val="A-"/>
              <w:spacing w:line="260" w:lineRule="exact"/>
            </w:pPr>
            <w:r>
              <w:t>树脂、乳胶、增塑剂、胶水</w:t>
            </w:r>
            <w:r>
              <w:t>/</w:t>
            </w:r>
            <w:r>
              <w:t>胶合剂生产过程中合成、酯化、缩合等工序产生的废催化剂</w:t>
            </w:r>
          </w:p>
        </w:tc>
        <w:tc>
          <w:tcPr>
            <w:tcW w:w="663" w:type="dxa"/>
            <w:noWrap/>
            <w:vAlign w:val="center"/>
          </w:tcPr>
          <w:p w14:paraId="454CD4ED" w14:textId="77777777" w:rsidR="002E474C" w:rsidRDefault="00000000">
            <w:pPr>
              <w:pStyle w:val="A-"/>
              <w:spacing w:line="260" w:lineRule="exact"/>
            </w:pPr>
            <w:r>
              <w:t>T</w:t>
            </w:r>
          </w:p>
        </w:tc>
      </w:tr>
      <w:tr w:rsidR="002E474C" w14:paraId="63DAD659" w14:textId="77777777">
        <w:trPr>
          <w:trHeight w:val="300"/>
        </w:trPr>
        <w:tc>
          <w:tcPr>
            <w:tcW w:w="828" w:type="dxa"/>
            <w:vMerge/>
            <w:vAlign w:val="center"/>
          </w:tcPr>
          <w:p w14:paraId="760E1560" w14:textId="77777777" w:rsidR="002E474C" w:rsidRDefault="002E474C">
            <w:pPr>
              <w:pStyle w:val="A-"/>
              <w:spacing w:line="260" w:lineRule="exact"/>
            </w:pPr>
          </w:p>
        </w:tc>
        <w:tc>
          <w:tcPr>
            <w:tcW w:w="893" w:type="dxa"/>
            <w:vMerge/>
            <w:vAlign w:val="center"/>
          </w:tcPr>
          <w:p w14:paraId="1556FF6F" w14:textId="77777777" w:rsidR="002E474C" w:rsidRDefault="002E474C">
            <w:pPr>
              <w:pStyle w:val="A-"/>
              <w:spacing w:line="260" w:lineRule="exact"/>
            </w:pPr>
          </w:p>
        </w:tc>
        <w:tc>
          <w:tcPr>
            <w:tcW w:w="1147" w:type="dxa"/>
            <w:noWrap/>
            <w:vAlign w:val="center"/>
          </w:tcPr>
          <w:p w14:paraId="45920D08" w14:textId="77777777" w:rsidR="002E474C" w:rsidRDefault="00000000">
            <w:pPr>
              <w:pStyle w:val="A-"/>
              <w:spacing w:line="260" w:lineRule="exact"/>
              <w:ind w:leftChars="-25" w:left="-53" w:rightChars="-25" w:right="-53"/>
            </w:pPr>
            <w:r>
              <w:t>261-152-50</w:t>
            </w:r>
          </w:p>
        </w:tc>
        <w:tc>
          <w:tcPr>
            <w:tcW w:w="4991" w:type="dxa"/>
            <w:noWrap/>
            <w:vAlign w:val="center"/>
          </w:tcPr>
          <w:p w14:paraId="0F0ABF3B" w14:textId="77777777" w:rsidR="002E474C" w:rsidRDefault="00000000">
            <w:pPr>
              <w:pStyle w:val="A-"/>
              <w:spacing w:line="260" w:lineRule="exact"/>
            </w:pPr>
            <w:r>
              <w:t>有机溶剂生产过程中产生的废催化剂</w:t>
            </w:r>
          </w:p>
        </w:tc>
        <w:tc>
          <w:tcPr>
            <w:tcW w:w="663" w:type="dxa"/>
            <w:noWrap/>
            <w:vAlign w:val="center"/>
          </w:tcPr>
          <w:p w14:paraId="2A56ED50" w14:textId="77777777" w:rsidR="002E474C" w:rsidRDefault="00000000">
            <w:pPr>
              <w:pStyle w:val="A-"/>
              <w:spacing w:line="260" w:lineRule="exact"/>
            </w:pPr>
            <w:r>
              <w:t>T</w:t>
            </w:r>
          </w:p>
        </w:tc>
      </w:tr>
      <w:tr w:rsidR="002E474C" w14:paraId="01C87AE7" w14:textId="77777777">
        <w:trPr>
          <w:trHeight w:val="300"/>
        </w:trPr>
        <w:tc>
          <w:tcPr>
            <w:tcW w:w="828" w:type="dxa"/>
            <w:vMerge/>
            <w:vAlign w:val="center"/>
          </w:tcPr>
          <w:p w14:paraId="5D5E0EB0" w14:textId="77777777" w:rsidR="002E474C" w:rsidRDefault="002E474C">
            <w:pPr>
              <w:pStyle w:val="A-"/>
              <w:spacing w:line="260" w:lineRule="exact"/>
            </w:pPr>
          </w:p>
        </w:tc>
        <w:tc>
          <w:tcPr>
            <w:tcW w:w="893" w:type="dxa"/>
            <w:vMerge/>
            <w:vAlign w:val="center"/>
          </w:tcPr>
          <w:p w14:paraId="7C666787" w14:textId="77777777" w:rsidR="002E474C" w:rsidRDefault="002E474C">
            <w:pPr>
              <w:pStyle w:val="A-"/>
              <w:spacing w:line="260" w:lineRule="exact"/>
            </w:pPr>
          </w:p>
        </w:tc>
        <w:tc>
          <w:tcPr>
            <w:tcW w:w="1147" w:type="dxa"/>
            <w:noWrap/>
            <w:vAlign w:val="center"/>
          </w:tcPr>
          <w:p w14:paraId="7F9E8DF7" w14:textId="77777777" w:rsidR="002E474C" w:rsidRDefault="00000000">
            <w:pPr>
              <w:pStyle w:val="A-"/>
              <w:spacing w:line="260" w:lineRule="exact"/>
              <w:ind w:leftChars="-25" w:left="-53" w:rightChars="-25" w:right="-53"/>
            </w:pPr>
            <w:r>
              <w:t>261-153-50</w:t>
            </w:r>
          </w:p>
        </w:tc>
        <w:tc>
          <w:tcPr>
            <w:tcW w:w="4991" w:type="dxa"/>
            <w:noWrap/>
            <w:vAlign w:val="center"/>
          </w:tcPr>
          <w:p w14:paraId="00B93A8A" w14:textId="77777777" w:rsidR="002E474C" w:rsidRDefault="00000000">
            <w:pPr>
              <w:pStyle w:val="A-"/>
              <w:spacing w:line="260" w:lineRule="exact"/>
            </w:pPr>
            <w:r>
              <w:t>丙烯腈合成过程中产生的废催化剂</w:t>
            </w:r>
          </w:p>
        </w:tc>
        <w:tc>
          <w:tcPr>
            <w:tcW w:w="663" w:type="dxa"/>
            <w:noWrap/>
            <w:vAlign w:val="center"/>
          </w:tcPr>
          <w:p w14:paraId="5D0772B5" w14:textId="77777777" w:rsidR="002E474C" w:rsidRDefault="00000000">
            <w:pPr>
              <w:pStyle w:val="A-"/>
              <w:spacing w:line="260" w:lineRule="exact"/>
            </w:pPr>
            <w:r>
              <w:t>T</w:t>
            </w:r>
          </w:p>
        </w:tc>
      </w:tr>
      <w:tr w:rsidR="002E474C" w14:paraId="38844E16" w14:textId="77777777">
        <w:trPr>
          <w:trHeight w:val="300"/>
        </w:trPr>
        <w:tc>
          <w:tcPr>
            <w:tcW w:w="828" w:type="dxa"/>
            <w:vMerge/>
            <w:vAlign w:val="center"/>
          </w:tcPr>
          <w:p w14:paraId="031F9323" w14:textId="77777777" w:rsidR="002E474C" w:rsidRDefault="002E474C">
            <w:pPr>
              <w:pStyle w:val="A-"/>
              <w:spacing w:line="260" w:lineRule="exact"/>
            </w:pPr>
          </w:p>
        </w:tc>
        <w:tc>
          <w:tcPr>
            <w:tcW w:w="893" w:type="dxa"/>
            <w:vMerge/>
            <w:vAlign w:val="center"/>
          </w:tcPr>
          <w:p w14:paraId="6D5C676D" w14:textId="77777777" w:rsidR="002E474C" w:rsidRDefault="002E474C">
            <w:pPr>
              <w:pStyle w:val="A-"/>
              <w:spacing w:line="260" w:lineRule="exact"/>
            </w:pPr>
          </w:p>
        </w:tc>
        <w:tc>
          <w:tcPr>
            <w:tcW w:w="1147" w:type="dxa"/>
            <w:noWrap/>
            <w:vAlign w:val="center"/>
          </w:tcPr>
          <w:p w14:paraId="0CF8BCE7" w14:textId="77777777" w:rsidR="002E474C" w:rsidRDefault="00000000">
            <w:pPr>
              <w:pStyle w:val="A-"/>
              <w:spacing w:line="260" w:lineRule="exact"/>
              <w:ind w:leftChars="-25" w:left="-53" w:rightChars="-25" w:right="-53"/>
            </w:pPr>
            <w:r>
              <w:t>261-154-50</w:t>
            </w:r>
          </w:p>
        </w:tc>
        <w:tc>
          <w:tcPr>
            <w:tcW w:w="4991" w:type="dxa"/>
            <w:noWrap/>
            <w:vAlign w:val="center"/>
          </w:tcPr>
          <w:p w14:paraId="3D73A2F0" w14:textId="77777777" w:rsidR="002E474C" w:rsidRDefault="00000000">
            <w:pPr>
              <w:pStyle w:val="A-"/>
              <w:spacing w:line="260" w:lineRule="exact"/>
            </w:pPr>
            <w:r>
              <w:t>聚乙烯合成过程中产生的废催化剂</w:t>
            </w:r>
          </w:p>
        </w:tc>
        <w:tc>
          <w:tcPr>
            <w:tcW w:w="663" w:type="dxa"/>
            <w:noWrap/>
            <w:vAlign w:val="center"/>
          </w:tcPr>
          <w:p w14:paraId="183EB3CC" w14:textId="77777777" w:rsidR="002E474C" w:rsidRDefault="00000000">
            <w:pPr>
              <w:pStyle w:val="A-"/>
              <w:spacing w:line="260" w:lineRule="exact"/>
            </w:pPr>
            <w:r>
              <w:t>T</w:t>
            </w:r>
          </w:p>
        </w:tc>
      </w:tr>
      <w:tr w:rsidR="002E474C" w14:paraId="1E856623" w14:textId="77777777">
        <w:trPr>
          <w:trHeight w:val="300"/>
        </w:trPr>
        <w:tc>
          <w:tcPr>
            <w:tcW w:w="828" w:type="dxa"/>
            <w:vMerge/>
            <w:vAlign w:val="center"/>
          </w:tcPr>
          <w:p w14:paraId="46B46594" w14:textId="77777777" w:rsidR="002E474C" w:rsidRDefault="002E474C">
            <w:pPr>
              <w:pStyle w:val="A-"/>
              <w:spacing w:line="260" w:lineRule="exact"/>
            </w:pPr>
          </w:p>
        </w:tc>
        <w:tc>
          <w:tcPr>
            <w:tcW w:w="893" w:type="dxa"/>
            <w:vMerge/>
            <w:vAlign w:val="center"/>
          </w:tcPr>
          <w:p w14:paraId="11A9B277" w14:textId="77777777" w:rsidR="002E474C" w:rsidRDefault="002E474C">
            <w:pPr>
              <w:pStyle w:val="A-"/>
              <w:spacing w:line="260" w:lineRule="exact"/>
            </w:pPr>
          </w:p>
        </w:tc>
        <w:tc>
          <w:tcPr>
            <w:tcW w:w="1147" w:type="dxa"/>
            <w:noWrap/>
            <w:vAlign w:val="center"/>
          </w:tcPr>
          <w:p w14:paraId="36302E96" w14:textId="77777777" w:rsidR="002E474C" w:rsidRDefault="00000000">
            <w:pPr>
              <w:pStyle w:val="A-"/>
              <w:spacing w:line="260" w:lineRule="exact"/>
              <w:ind w:leftChars="-25" w:left="-53" w:rightChars="-25" w:right="-53"/>
            </w:pPr>
            <w:r>
              <w:t>261-155-50</w:t>
            </w:r>
          </w:p>
        </w:tc>
        <w:tc>
          <w:tcPr>
            <w:tcW w:w="4991" w:type="dxa"/>
            <w:noWrap/>
            <w:vAlign w:val="center"/>
          </w:tcPr>
          <w:p w14:paraId="71780289" w14:textId="77777777" w:rsidR="002E474C" w:rsidRDefault="00000000">
            <w:pPr>
              <w:pStyle w:val="A-"/>
              <w:spacing w:line="260" w:lineRule="exact"/>
            </w:pPr>
            <w:r>
              <w:t>聚丙烯合成过程中产生的废催化剂</w:t>
            </w:r>
          </w:p>
        </w:tc>
        <w:tc>
          <w:tcPr>
            <w:tcW w:w="663" w:type="dxa"/>
            <w:noWrap/>
            <w:vAlign w:val="center"/>
          </w:tcPr>
          <w:p w14:paraId="24063E01" w14:textId="77777777" w:rsidR="002E474C" w:rsidRDefault="00000000">
            <w:pPr>
              <w:pStyle w:val="A-"/>
              <w:spacing w:line="260" w:lineRule="exact"/>
            </w:pPr>
            <w:r>
              <w:t>T</w:t>
            </w:r>
          </w:p>
        </w:tc>
      </w:tr>
      <w:tr w:rsidR="002E474C" w14:paraId="0986717F" w14:textId="77777777">
        <w:trPr>
          <w:trHeight w:val="300"/>
        </w:trPr>
        <w:tc>
          <w:tcPr>
            <w:tcW w:w="828" w:type="dxa"/>
            <w:vMerge/>
            <w:vAlign w:val="center"/>
          </w:tcPr>
          <w:p w14:paraId="7EAC01E9" w14:textId="77777777" w:rsidR="002E474C" w:rsidRDefault="002E474C">
            <w:pPr>
              <w:pStyle w:val="A-"/>
              <w:spacing w:line="260" w:lineRule="exact"/>
            </w:pPr>
          </w:p>
        </w:tc>
        <w:tc>
          <w:tcPr>
            <w:tcW w:w="893" w:type="dxa"/>
            <w:vMerge/>
            <w:vAlign w:val="center"/>
          </w:tcPr>
          <w:p w14:paraId="27D24680" w14:textId="77777777" w:rsidR="002E474C" w:rsidRDefault="002E474C">
            <w:pPr>
              <w:pStyle w:val="A-"/>
              <w:spacing w:line="260" w:lineRule="exact"/>
            </w:pPr>
          </w:p>
        </w:tc>
        <w:tc>
          <w:tcPr>
            <w:tcW w:w="1147" w:type="dxa"/>
            <w:noWrap/>
            <w:vAlign w:val="center"/>
          </w:tcPr>
          <w:p w14:paraId="48E763E8" w14:textId="77777777" w:rsidR="002E474C" w:rsidRDefault="00000000">
            <w:pPr>
              <w:pStyle w:val="A-"/>
              <w:spacing w:line="260" w:lineRule="exact"/>
              <w:ind w:leftChars="-25" w:left="-53" w:rightChars="-25" w:right="-53"/>
            </w:pPr>
            <w:r>
              <w:t>261-156-50</w:t>
            </w:r>
          </w:p>
        </w:tc>
        <w:tc>
          <w:tcPr>
            <w:tcW w:w="4991" w:type="dxa"/>
            <w:noWrap/>
            <w:vAlign w:val="center"/>
          </w:tcPr>
          <w:p w14:paraId="6FF09917" w14:textId="77777777" w:rsidR="002E474C" w:rsidRDefault="00000000">
            <w:pPr>
              <w:pStyle w:val="A-"/>
              <w:spacing w:line="260" w:lineRule="exact"/>
            </w:pPr>
            <w:r>
              <w:t>烷烃脱氢过程中产生的废催化剂</w:t>
            </w:r>
          </w:p>
        </w:tc>
        <w:tc>
          <w:tcPr>
            <w:tcW w:w="663" w:type="dxa"/>
            <w:noWrap/>
            <w:vAlign w:val="center"/>
          </w:tcPr>
          <w:p w14:paraId="7C2DF113" w14:textId="77777777" w:rsidR="002E474C" w:rsidRDefault="00000000">
            <w:pPr>
              <w:pStyle w:val="A-"/>
              <w:spacing w:line="260" w:lineRule="exact"/>
            </w:pPr>
            <w:r>
              <w:t>T</w:t>
            </w:r>
          </w:p>
        </w:tc>
      </w:tr>
      <w:tr w:rsidR="002E474C" w14:paraId="39A84B44" w14:textId="77777777">
        <w:trPr>
          <w:trHeight w:val="300"/>
        </w:trPr>
        <w:tc>
          <w:tcPr>
            <w:tcW w:w="828" w:type="dxa"/>
            <w:vMerge/>
            <w:vAlign w:val="center"/>
          </w:tcPr>
          <w:p w14:paraId="05BCD7E7" w14:textId="77777777" w:rsidR="002E474C" w:rsidRDefault="002E474C">
            <w:pPr>
              <w:pStyle w:val="A-"/>
              <w:spacing w:line="260" w:lineRule="exact"/>
            </w:pPr>
          </w:p>
        </w:tc>
        <w:tc>
          <w:tcPr>
            <w:tcW w:w="893" w:type="dxa"/>
            <w:vMerge/>
            <w:vAlign w:val="center"/>
          </w:tcPr>
          <w:p w14:paraId="38B36653" w14:textId="77777777" w:rsidR="002E474C" w:rsidRDefault="002E474C">
            <w:pPr>
              <w:pStyle w:val="A-"/>
              <w:spacing w:line="260" w:lineRule="exact"/>
            </w:pPr>
          </w:p>
        </w:tc>
        <w:tc>
          <w:tcPr>
            <w:tcW w:w="1147" w:type="dxa"/>
            <w:noWrap/>
            <w:vAlign w:val="center"/>
          </w:tcPr>
          <w:p w14:paraId="55695AD6" w14:textId="77777777" w:rsidR="002E474C" w:rsidRDefault="00000000">
            <w:pPr>
              <w:pStyle w:val="A-"/>
              <w:spacing w:line="260" w:lineRule="exact"/>
              <w:ind w:leftChars="-25" w:left="-53" w:rightChars="-25" w:right="-53"/>
            </w:pPr>
            <w:r>
              <w:t>261-157-50</w:t>
            </w:r>
          </w:p>
        </w:tc>
        <w:tc>
          <w:tcPr>
            <w:tcW w:w="4991" w:type="dxa"/>
            <w:noWrap/>
            <w:vAlign w:val="center"/>
          </w:tcPr>
          <w:p w14:paraId="45CEB808" w14:textId="77777777" w:rsidR="002E474C" w:rsidRDefault="00000000">
            <w:pPr>
              <w:pStyle w:val="A-"/>
              <w:spacing w:line="260" w:lineRule="exact"/>
            </w:pPr>
            <w:r>
              <w:t>乙苯脱氢生产苯乙烯过程中产生的废催化剂</w:t>
            </w:r>
          </w:p>
        </w:tc>
        <w:tc>
          <w:tcPr>
            <w:tcW w:w="663" w:type="dxa"/>
            <w:noWrap/>
            <w:vAlign w:val="center"/>
          </w:tcPr>
          <w:p w14:paraId="2676E127" w14:textId="77777777" w:rsidR="002E474C" w:rsidRDefault="00000000">
            <w:pPr>
              <w:pStyle w:val="A-"/>
              <w:spacing w:line="260" w:lineRule="exact"/>
            </w:pPr>
            <w:r>
              <w:t>T</w:t>
            </w:r>
          </w:p>
        </w:tc>
      </w:tr>
      <w:tr w:rsidR="002E474C" w14:paraId="15DD3582" w14:textId="77777777">
        <w:trPr>
          <w:trHeight w:val="300"/>
        </w:trPr>
        <w:tc>
          <w:tcPr>
            <w:tcW w:w="828" w:type="dxa"/>
            <w:vMerge/>
            <w:vAlign w:val="center"/>
          </w:tcPr>
          <w:p w14:paraId="085C4F17" w14:textId="77777777" w:rsidR="002E474C" w:rsidRDefault="002E474C">
            <w:pPr>
              <w:pStyle w:val="A-"/>
              <w:spacing w:line="260" w:lineRule="exact"/>
            </w:pPr>
          </w:p>
        </w:tc>
        <w:tc>
          <w:tcPr>
            <w:tcW w:w="893" w:type="dxa"/>
            <w:vMerge/>
            <w:vAlign w:val="center"/>
          </w:tcPr>
          <w:p w14:paraId="5852E199" w14:textId="77777777" w:rsidR="002E474C" w:rsidRDefault="002E474C">
            <w:pPr>
              <w:pStyle w:val="A-"/>
              <w:spacing w:line="260" w:lineRule="exact"/>
            </w:pPr>
          </w:p>
        </w:tc>
        <w:tc>
          <w:tcPr>
            <w:tcW w:w="1147" w:type="dxa"/>
            <w:noWrap/>
            <w:vAlign w:val="center"/>
          </w:tcPr>
          <w:p w14:paraId="7EA585EB" w14:textId="77777777" w:rsidR="002E474C" w:rsidRDefault="00000000">
            <w:pPr>
              <w:pStyle w:val="A-"/>
              <w:spacing w:line="260" w:lineRule="exact"/>
              <w:ind w:leftChars="-25" w:left="-53" w:rightChars="-25" w:right="-53"/>
            </w:pPr>
            <w:r>
              <w:t>261-158-50</w:t>
            </w:r>
          </w:p>
        </w:tc>
        <w:tc>
          <w:tcPr>
            <w:tcW w:w="4991" w:type="dxa"/>
            <w:noWrap/>
            <w:vAlign w:val="center"/>
          </w:tcPr>
          <w:p w14:paraId="2F0F7252" w14:textId="77777777" w:rsidR="002E474C" w:rsidRDefault="00000000">
            <w:pPr>
              <w:pStyle w:val="A-"/>
              <w:spacing w:line="260" w:lineRule="exact"/>
            </w:pPr>
            <w:r>
              <w:t>采用烷基化反应（歧化）生产苯、二甲苯过程中产生的废催化剂</w:t>
            </w:r>
          </w:p>
        </w:tc>
        <w:tc>
          <w:tcPr>
            <w:tcW w:w="663" w:type="dxa"/>
            <w:noWrap/>
            <w:vAlign w:val="center"/>
          </w:tcPr>
          <w:p w14:paraId="7EA187A1" w14:textId="77777777" w:rsidR="002E474C" w:rsidRDefault="00000000">
            <w:pPr>
              <w:pStyle w:val="A-"/>
              <w:spacing w:line="260" w:lineRule="exact"/>
            </w:pPr>
            <w:r>
              <w:t>T</w:t>
            </w:r>
          </w:p>
        </w:tc>
      </w:tr>
      <w:tr w:rsidR="002E474C" w14:paraId="4D4BF694" w14:textId="77777777">
        <w:trPr>
          <w:trHeight w:val="300"/>
        </w:trPr>
        <w:tc>
          <w:tcPr>
            <w:tcW w:w="828" w:type="dxa"/>
            <w:vMerge/>
            <w:vAlign w:val="center"/>
          </w:tcPr>
          <w:p w14:paraId="625A862E" w14:textId="77777777" w:rsidR="002E474C" w:rsidRDefault="002E474C">
            <w:pPr>
              <w:pStyle w:val="A-"/>
              <w:spacing w:line="260" w:lineRule="exact"/>
            </w:pPr>
          </w:p>
        </w:tc>
        <w:tc>
          <w:tcPr>
            <w:tcW w:w="893" w:type="dxa"/>
            <w:vMerge/>
            <w:vAlign w:val="center"/>
          </w:tcPr>
          <w:p w14:paraId="45DA7744" w14:textId="77777777" w:rsidR="002E474C" w:rsidRDefault="002E474C">
            <w:pPr>
              <w:pStyle w:val="A-"/>
              <w:spacing w:line="260" w:lineRule="exact"/>
            </w:pPr>
          </w:p>
        </w:tc>
        <w:tc>
          <w:tcPr>
            <w:tcW w:w="1147" w:type="dxa"/>
            <w:noWrap/>
            <w:vAlign w:val="center"/>
          </w:tcPr>
          <w:p w14:paraId="691E3C66" w14:textId="77777777" w:rsidR="002E474C" w:rsidRDefault="00000000">
            <w:pPr>
              <w:pStyle w:val="A-"/>
              <w:spacing w:line="260" w:lineRule="exact"/>
              <w:ind w:leftChars="-25" w:left="-53" w:rightChars="-25" w:right="-53"/>
            </w:pPr>
            <w:r>
              <w:t>261-159-50</w:t>
            </w:r>
          </w:p>
        </w:tc>
        <w:tc>
          <w:tcPr>
            <w:tcW w:w="4991" w:type="dxa"/>
            <w:noWrap/>
            <w:vAlign w:val="center"/>
          </w:tcPr>
          <w:p w14:paraId="480006F2" w14:textId="77777777" w:rsidR="002E474C" w:rsidRDefault="00000000">
            <w:pPr>
              <w:pStyle w:val="A-"/>
              <w:spacing w:line="260" w:lineRule="exact"/>
            </w:pPr>
            <w:r>
              <w:t>二甲苯临氢异构化反应过程中产生的废催化剂</w:t>
            </w:r>
          </w:p>
        </w:tc>
        <w:tc>
          <w:tcPr>
            <w:tcW w:w="663" w:type="dxa"/>
            <w:noWrap/>
            <w:vAlign w:val="center"/>
          </w:tcPr>
          <w:p w14:paraId="44174F5A" w14:textId="77777777" w:rsidR="002E474C" w:rsidRDefault="00000000">
            <w:pPr>
              <w:pStyle w:val="A-"/>
              <w:spacing w:line="260" w:lineRule="exact"/>
            </w:pPr>
            <w:r>
              <w:t>T</w:t>
            </w:r>
          </w:p>
        </w:tc>
      </w:tr>
      <w:tr w:rsidR="002E474C" w14:paraId="6AF0C96F" w14:textId="77777777">
        <w:trPr>
          <w:trHeight w:val="300"/>
        </w:trPr>
        <w:tc>
          <w:tcPr>
            <w:tcW w:w="828" w:type="dxa"/>
            <w:vMerge/>
            <w:vAlign w:val="center"/>
          </w:tcPr>
          <w:p w14:paraId="763F5F28" w14:textId="77777777" w:rsidR="002E474C" w:rsidRDefault="002E474C">
            <w:pPr>
              <w:pStyle w:val="A-"/>
              <w:spacing w:line="260" w:lineRule="exact"/>
            </w:pPr>
          </w:p>
        </w:tc>
        <w:tc>
          <w:tcPr>
            <w:tcW w:w="893" w:type="dxa"/>
            <w:vMerge/>
            <w:vAlign w:val="center"/>
          </w:tcPr>
          <w:p w14:paraId="78328819" w14:textId="77777777" w:rsidR="002E474C" w:rsidRDefault="002E474C">
            <w:pPr>
              <w:pStyle w:val="A-"/>
              <w:spacing w:line="260" w:lineRule="exact"/>
            </w:pPr>
          </w:p>
        </w:tc>
        <w:tc>
          <w:tcPr>
            <w:tcW w:w="1147" w:type="dxa"/>
            <w:noWrap/>
            <w:vAlign w:val="center"/>
          </w:tcPr>
          <w:p w14:paraId="459C2FFA" w14:textId="77777777" w:rsidR="002E474C" w:rsidRDefault="00000000">
            <w:pPr>
              <w:pStyle w:val="A-"/>
              <w:spacing w:line="260" w:lineRule="exact"/>
              <w:ind w:leftChars="-25" w:left="-53" w:rightChars="-25" w:right="-53"/>
            </w:pPr>
            <w:r>
              <w:t>261-160-50</w:t>
            </w:r>
          </w:p>
        </w:tc>
        <w:tc>
          <w:tcPr>
            <w:tcW w:w="4991" w:type="dxa"/>
            <w:noWrap/>
            <w:vAlign w:val="center"/>
          </w:tcPr>
          <w:p w14:paraId="13E95E44" w14:textId="77777777" w:rsidR="002E474C" w:rsidRDefault="00000000">
            <w:pPr>
              <w:pStyle w:val="A-"/>
              <w:spacing w:line="260" w:lineRule="exact"/>
            </w:pPr>
            <w:r>
              <w:t>乙烯氧化生产环氧乙烷过程中产生的废催化剂</w:t>
            </w:r>
          </w:p>
        </w:tc>
        <w:tc>
          <w:tcPr>
            <w:tcW w:w="663" w:type="dxa"/>
            <w:noWrap/>
            <w:vAlign w:val="center"/>
          </w:tcPr>
          <w:p w14:paraId="7AD22560" w14:textId="77777777" w:rsidR="002E474C" w:rsidRDefault="00000000">
            <w:pPr>
              <w:pStyle w:val="A-"/>
              <w:spacing w:line="260" w:lineRule="exact"/>
            </w:pPr>
            <w:r>
              <w:t>T</w:t>
            </w:r>
          </w:p>
        </w:tc>
      </w:tr>
      <w:tr w:rsidR="002E474C" w14:paraId="7190828A" w14:textId="77777777">
        <w:trPr>
          <w:trHeight w:val="300"/>
        </w:trPr>
        <w:tc>
          <w:tcPr>
            <w:tcW w:w="828" w:type="dxa"/>
            <w:vMerge/>
            <w:vAlign w:val="center"/>
          </w:tcPr>
          <w:p w14:paraId="326CA761" w14:textId="77777777" w:rsidR="002E474C" w:rsidRDefault="002E474C">
            <w:pPr>
              <w:pStyle w:val="A-"/>
              <w:spacing w:line="260" w:lineRule="exact"/>
            </w:pPr>
          </w:p>
        </w:tc>
        <w:tc>
          <w:tcPr>
            <w:tcW w:w="893" w:type="dxa"/>
            <w:vMerge/>
            <w:vAlign w:val="center"/>
          </w:tcPr>
          <w:p w14:paraId="0D5DF80D" w14:textId="77777777" w:rsidR="002E474C" w:rsidRDefault="002E474C">
            <w:pPr>
              <w:pStyle w:val="A-"/>
              <w:spacing w:line="260" w:lineRule="exact"/>
            </w:pPr>
          </w:p>
        </w:tc>
        <w:tc>
          <w:tcPr>
            <w:tcW w:w="1147" w:type="dxa"/>
            <w:noWrap/>
            <w:vAlign w:val="center"/>
          </w:tcPr>
          <w:p w14:paraId="6901CCF5" w14:textId="77777777" w:rsidR="002E474C" w:rsidRDefault="00000000">
            <w:pPr>
              <w:pStyle w:val="A-"/>
              <w:spacing w:line="260" w:lineRule="exact"/>
              <w:ind w:leftChars="-25" w:left="-53" w:rightChars="-25" w:right="-53"/>
            </w:pPr>
            <w:r>
              <w:t>261-161-50</w:t>
            </w:r>
          </w:p>
        </w:tc>
        <w:tc>
          <w:tcPr>
            <w:tcW w:w="4991" w:type="dxa"/>
            <w:noWrap/>
            <w:vAlign w:val="center"/>
          </w:tcPr>
          <w:p w14:paraId="0520C2BA" w14:textId="77777777" w:rsidR="002E474C" w:rsidRDefault="00000000">
            <w:pPr>
              <w:pStyle w:val="A-"/>
              <w:spacing w:line="260" w:lineRule="exact"/>
            </w:pPr>
            <w:r>
              <w:t>硝基苯催化加氢法制备苯胺过程中产生的废催化剂</w:t>
            </w:r>
          </w:p>
        </w:tc>
        <w:tc>
          <w:tcPr>
            <w:tcW w:w="663" w:type="dxa"/>
            <w:noWrap/>
            <w:vAlign w:val="center"/>
          </w:tcPr>
          <w:p w14:paraId="54DB0660" w14:textId="77777777" w:rsidR="002E474C" w:rsidRDefault="00000000">
            <w:pPr>
              <w:pStyle w:val="A-"/>
              <w:spacing w:line="260" w:lineRule="exact"/>
            </w:pPr>
            <w:r>
              <w:t>T</w:t>
            </w:r>
          </w:p>
        </w:tc>
      </w:tr>
      <w:tr w:rsidR="002E474C" w14:paraId="427BEC3A" w14:textId="77777777">
        <w:trPr>
          <w:trHeight w:val="300"/>
        </w:trPr>
        <w:tc>
          <w:tcPr>
            <w:tcW w:w="828" w:type="dxa"/>
            <w:vMerge/>
            <w:vAlign w:val="center"/>
          </w:tcPr>
          <w:p w14:paraId="4FECD707" w14:textId="77777777" w:rsidR="002E474C" w:rsidRDefault="002E474C">
            <w:pPr>
              <w:pStyle w:val="A-"/>
              <w:spacing w:line="260" w:lineRule="exact"/>
            </w:pPr>
          </w:p>
        </w:tc>
        <w:tc>
          <w:tcPr>
            <w:tcW w:w="893" w:type="dxa"/>
            <w:vMerge/>
            <w:vAlign w:val="center"/>
          </w:tcPr>
          <w:p w14:paraId="4C01FACA" w14:textId="77777777" w:rsidR="002E474C" w:rsidRDefault="002E474C">
            <w:pPr>
              <w:pStyle w:val="A-"/>
              <w:spacing w:line="260" w:lineRule="exact"/>
            </w:pPr>
          </w:p>
        </w:tc>
        <w:tc>
          <w:tcPr>
            <w:tcW w:w="1147" w:type="dxa"/>
            <w:noWrap/>
            <w:vAlign w:val="center"/>
          </w:tcPr>
          <w:p w14:paraId="02FEE9A8" w14:textId="77777777" w:rsidR="002E474C" w:rsidRDefault="00000000">
            <w:pPr>
              <w:pStyle w:val="A-"/>
              <w:spacing w:line="260" w:lineRule="exact"/>
              <w:ind w:leftChars="-25" w:left="-53" w:rightChars="-25" w:right="-53"/>
            </w:pPr>
            <w:r>
              <w:t>261-162-50</w:t>
            </w:r>
          </w:p>
        </w:tc>
        <w:tc>
          <w:tcPr>
            <w:tcW w:w="4991" w:type="dxa"/>
            <w:noWrap/>
            <w:vAlign w:val="center"/>
          </w:tcPr>
          <w:p w14:paraId="08569672" w14:textId="77777777" w:rsidR="002E474C" w:rsidRDefault="00000000">
            <w:pPr>
              <w:pStyle w:val="A-"/>
              <w:spacing w:line="260" w:lineRule="exact"/>
            </w:pPr>
            <w:r>
              <w:t>以乙烯和丙烯为原料，采用茂金属催化体系生产乙丙橡胶过程中产生的废催化剂</w:t>
            </w:r>
          </w:p>
        </w:tc>
        <w:tc>
          <w:tcPr>
            <w:tcW w:w="663" w:type="dxa"/>
            <w:noWrap/>
            <w:vAlign w:val="center"/>
          </w:tcPr>
          <w:p w14:paraId="7CD640AB" w14:textId="77777777" w:rsidR="002E474C" w:rsidRDefault="00000000">
            <w:pPr>
              <w:pStyle w:val="A-"/>
              <w:spacing w:line="260" w:lineRule="exact"/>
            </w:pPr>
            <w:r>
              <w:t>T</w:t>
            </w:r>
          </w:p>
        </w:tc>
      </w:tr>
      <w:tr w:rsidR="002E474C" w14:paraId="37754D9D" w14:textId="77777777">
        <w:trPr>
          <w:trHeight w:val="300"/>
        </w:trPr>
        <w:tc>
          <w:tcPr>
            <w:tcW w:w="828" w:type="dxa"/>
            <w:vMerge/>
            <w:vAlign w:val="center"/>
          </w:tcPr>
          <w:p w14:paraId="27225167" w14:textId="77777777" w:rsidR="002E474C" w:rsidRDefault="002E474C">
            <w:pPr>
              <w:pStyle w:val="A-"/>
              <w:spacing w:line="260" w:lineRule="exact"/>
            </w:pPr>
          </w:p>
        </w:tc>
        <w:tc>
          <w:tcPr>
            <w:tcW w:w="893" w:type="dxa"/>
            <w:vMerge/>
            <w:vAlign w:val="center"/>
          </w:tcPr>
          <w:p w14:paraId="6A999835" w14:textId="77777777" w:rsidR="002E474C" w:rsidRDefault="002E474C">
            <w:pPr>
              <w:pStyle w:val="A-"/>
              <w:spacing w:line="260" w:lineRule="exact"/>
            </w:pPr>
          </w:p>
        </w:tc>
        <w:tc>
          <w:tcPr>
            <w:tcW w:w="1147" w:type="dxa"/>
            <w:noWrap/>
            <w:vAlign w:val="center"/>
          </w:tcPr>
          <w:p w14:paraId="21712783" w14:textId="77777777" w:rsidR="002E474C" w:rsidRDefault="00000000">
            <w:pPr>
              <w:pStyle w:val="A-"/>
              <w:spacing w:line="260" w:lineRule="exact"/>
              <w:ind w:leftChars="-25" w:left="-53" w:rightChars="-25" w:right="-53"/>
            </w:pPr>
            <w:r>
              <w:t>261-163-50</w:t>
            </w:r>
          </w:p>
        </w:tc>
        <w:tc>
          <w:tcPr>
            <w:tcW w:w="4991" w:type="dxa"/>
            <w:noWrap/>
            <w:vAlign w:val="center"/>
          </w:tcPr>
          <w:p w14:paraId="0D05828B" w14:textId="77777777" w:rsidR="002E474C" w:rsidRDefault="00000000">
            <w:pPr>
              <w:pStyle w:val="A-"/>
              <w:spacing w:line="260" w:lineRule="exact"/>
            </w:pPr>
            <w:r>
              <w:t>乙炔法生产醋酸乙烯酯过程中产生的废催化剂</w:t>
            </w:r>
          </w:p>
        </w:tc>
        <w:tc>
          <w:tcPr>
            <w:tcW w:w="663" w:type="dxa"/>
            <w:noWrap/>
            <w:vAlign w:val="center"/>
          </w:tcPr>
          <w:p w14:paraId="276DB995" w14:textId="77777777" w:rsidR="002E474C" w:rsidRDefault="00000000">
            <w:pPr>
              <w:pStyle w:val="A-"/>
              <w:spacing w:line="260" w:lineRule="exact"/>
            </w:pPr>
            <w:r>
              <w:t>T</w:t>
            </w:r>
          </w:p>
        </w:tc>
      </w:tr>
      <w:tr w:rsidR="002E474C" w14:paraId="69B7B055" w14:textId="77777777">
        <w:trPr>
          <w:trHeight w:val="300"/>
        </w:trPr>
        <w:tc>
          <w:tcPr>
            <w:tcW w:w="828" w:type="dxa"/>
            <w:vMerge/>
            <w:vAlign w:val="center"/>
          </w:tcPr>
          <w:p w14:paraId="2A2F5AA0" w14:textId="77777777" w:rsidR="002E474C" w:rsidRDefault="002E474C">
            <w:pPr>
              <w:pStyle w:val="A-"/>
              <w:spacing w:line="260" w:lineRule="exact"/>
            </w:pPr>
          </w:p>
        </w:tc>
        <w:tc>
          <w:tcPr>
            <w:tcW w:w="893" w:type="dxa"/>
            <w:vMerge/>
            <w:vAlign w:val="center"/>
          </w:tcPr>
          <w:p w14:paraId="75B476C0" w14:textId="77777777" w:rsidR="002E474C" w:rsidRDefault="002E474C">
            <w:pPr>
              <w:pStyle w:val="A-"/>
              <w:spacing w:line="260" w:lineRule="exact"/>
            </w:pPr>
          </w:p>
        </w:tc>
        <w:tc>
          <w:tcPr>
            <w:tcW w:w="1147" w:type="dxa"/>
            <w:noWrap/>
            <w:vAlign w:val="center"/>
          </w:tcPr>
          <w:p w14:paraId="273CA0A8" w14:textId="77777777" w:rsidR="002E474C" w:rsidRDefault="00000000">
            <w:pPr>
              <w:pStyle w:val="A-"/>
              <w:spacing w:line="260" w:lineRule="exact"/>
              <w:ind w:leftChars="-25" w:left="-53" w:rightChars="-25" w:right="-53"/>
            </w:pPr>
            <w:r>
              <w:t>261-164-50</w:t>
            </w:r>
          </w:p>
        </w:tc>
        <w:tc>
          <w:tcPr>
            <w:tcW w:w="4991" w:type="dxa"/>
            <w:noWrap/>
            <w:vAlign w:val="center"/>
          </w:tcPr>
          <w:p w14:paraId="5BEC1F14" w14:textId="77777777" w:rsidR="002E474C" w:rsidRDefault="00000000">
            <w:pPr>
              <w:pStyle w:val="A-"/>
              <w:spacing w:line="260" w:lineRule="exact"/>
              <w:ind w:leftChars="-25" w:left="-53" w:rightChars="-25" w:right="-53"/>
            </w:pPr>
            <w:r>
              <w:rPr>
                <w:spacing w:val="-11"/>
              </w:rPr>
              <w:t>甲醇和氨气催化合成、蒸馏制备甲胺过程中产生的废催化剂</w:t>
            </w:r>
          </w:p>
        </w:tc>
        <w:tc>
          <w:tcPr>
            <w:tcW w:w="663" w:type="dxa"/>
            <w:noWrap/>
            <w:vAlign w:val="center"/>
          </w:tcPr>
          <w:p w14:paraId="0C711823" w14:textId="77777777" w:rsidR="002E474C" w:rsidRDefault="00000000">
            <w:pPr>
              <w:pStyle w:val="A-"/>
              <w:spacing w:line="260" w:lineRule="exact"/>
            </w:pPr>
            <w:r>
              <w:t>T</w:t>
            </w:r>
          </w:p>
        </w:tc>
      </w:tr>
      <w:tr w:rsidR="002E474C" w14:paraId="1D2503B3" w14:textId="77777777">
        <w:trPr>
          <w:trHeight w:val="300"/>
        </w:trPr>
        <w:tc>
          <w:tcPr>
            <w:tcW w:w="828" w:type="dxa"/>
            <w:vMerge/>
            <w:vAlign w:val="center"/>
          </w:tcPr>
          <w:p w14:paraId="46F4A0DE" w14:textId="77777777" w:rsidR="002E474C" w:rsidRDefault="002E474C">
            <w:pPr>
              <w:pStyle w:val="A-"/>
              <w:spacing w:line="260" w:lineRule="exact"/>
            </w:pPr>
          </w:p>
        </w:tc>
        <w:tc>
          <w:tcPr>
            <w:tcW w:w="893" w:type="dxa"/>
            <w:vMerge/>
            <w:vAlign w:val="center"/>
          </w:tcPr>
          <w:p w14:paraId="31CC4562" w14:textId="77777777" w:rsidR="002E474C" w:rsidRDefault="002E474C">
            <w:pPr>
              <w:pStyle w:val="A-"/>
              <w:spacing w:line="260" w:lineRule="exact"/>
            </w:pPr>
          </w:p>
        </w:tc>
        <w:tc>
          <w:tcPr>
            <w:tcW w:w="1147" w:type="dxa"/>
            <w:noWrap/>
            <w:vAlign w:val="center"/>
          </w:tcPr>
          <w:p w14:paraId="048E8730" w14:textId="77777777" w:rsidR="002E474C" w:rsidRDefault="00000000">
            <w:pPr>
              <w:pStyle w:val="A-"/>
              <w:spacing w:line="260" w:lineRule="exact"/>
              <w:ind w:leftChars="-25" w:left="-53" w:rightChars="-25" w:right="-53"/>
            </w:pPr>
            <w:r>
              <w:t>261-165-50</w:t>
            </w:r>
          </w:p>
        </w:tc>
        <w:tc>
          <w:tcPr>
            <w:tcW w:w="4991" w:type="dxa"/>
            <w:noWrap/>
            <w:vAlign w:val="center"/>
          </w:tcPr>
          <w:p w14:paraId="6AE4F3F5" w14:textId="77777777" w:rsidR="002E474C" w:rsidRDefault="00000000">
            <w:pPr>
              <w:pStyle w:val="A-"/>
              <w:spacing w:line="260" w:lineRule="exact"/>
              <w:ind w:leftChars="-34" w:left="-71" w:rightChars="-34" w:right="-71"/>
            </w:pPr>
            <w:r>
              <w:rPr>
                <w:spacing w:val="-11"/>
              </w:rPr>
              <w:t>催化重整生产高辛烷值汽油和轻芳烃过程中产生的废催化剂</w:t>
            </w:r>
          </w:p>
        </w:tc>
        <w:tc>
          <w:tcPr>
            <w:tcW w:w="663" w:type="dxa"/>
            <w:noWrap/>
            <w:vAlign w:val="center"/>
          </w:tcPr>
          <w:p w14:paraId="6C6FEEB2" w14:textId="77777777" w:rsidR="002E474C" w:rsidRDefault="00000000">
            <w:pPr>
              <w:pStyle w:val="A-"/>
              <w:spacing w:line="260" w:lineRule="exact"/>
            </w:pPr>
            <w:r>
              <w:t>T</w:t>
            </w:r>
          </w:p>
        </w:tc>
      </w:tr>
      <w:tr w:rsidR="002E474C" w14:paraId="7CCBD293" w14:textId="77777777">
        <w:trPr>
          <w:trHeight w:val="300"/>
        </w:trPr>
        <w:tc>
          <w:tcPr>
            <w:tcW w:w="828" w:type="dxa"/>
            <w:vMerge/>
            <w:vAlign w:val="center"/>
          </w:tcPr>
          <w:p w14:paraId="300BA632" w14:textId="77777777" w:rsidR="002E474C" w:rsidRDefault="002E474C">
            <w:pPr>
              <w:pStyle w:val="A-"/>
              <w:spacing w:line="260" w:lineRule="exact"/>
            </w:pPr>
          </w:p>
        </w:tc>
        <w:tc>
          <w:tcPr>
            <w:tcW w:w="893" w:type="dxa"/>
            <w:vMerge/>
            <w:vAlign w:val="center"/>
          </w:tcPr>
          <w:p w14:paraId="49F3A088" w14:textId="77777777" w:rsidR="002E474C" w:rsidRDefault="002E474C">
            <w:pPr>
              <w:pStyle w:val="A-"/>
              <w:spacing w:line="260" w:lineRule="exact"/>
            </w:pPr>
          </w:p>
        </w:tc>
        <w:tc>
          <w:tcPr>
            <w:tcW w:w="1147" w:type="dxa"/>
            <w:noWrap/>
            <w:vAlign w:val="center"/>
          </w:tcPr>
          <w:p w14:paraId="22626F7A" w14:textId="77777777" w:rsidR="002E474C" w:rsidRDefault="00000000">
            <w:pPr>
              <w:pStyle w:val="A-"/>
              <w:spacing w:line="260" w:lineRule="exact"/>
              <w:ind w:leftChars="-25" w:left="-53" w:rightChars="-25" w:right="-53"/>
            </w:pPr>
            <w:r>
              <w:t>261-166-50</w:t>
            </w:r>
          </w:p>
        </w:tc>
        <w:tc>
          <w:tcPr>
            <w:tcW w:w="4991" w:type="dxa"/>
            <w:noWrap/>
            <w:vAlign w:val="center"/>
          </w:tcPr>
          <w:p w14:paraId="355B6EA4" w14:textId="77777777" w:rsidR="002E474C" w:rsidRDefault="00000000">
            <w:pPr>
              <w:pStyle w:val="A-"/>
              <w:spacing w:line="260" w:lineRule="exact"/>
            </w:pPr>
            <w:r>
              <w:t>采用碳酸二甲酯法生产甲苯二异氰酸酯过程中产生的废催化剂</w:t>
            </w:r>
          </w:p>
        </w:tc>
        <w:tc>
          <w:tcPr>
            <w:tcW w:w="663" w:type="dxa"/>
            <w:noWrap/>
            <w:vAlign w:val="center"/>
          </w:tcPr>
          <w:p w14:paraId="0FB062D2" w14:textId="77777777" w:rsidR="002E474C" w:rsidRDefault="00000000">
            <w:pPr>
              <w:pStyle w:val="A-"/>
              <w:spacing w:line="260" w:lineRule="exact"/>
            </w:pPr>
            <w:r>
              <w:t>T</w:t>
            </w:r>
          </w:p>
        </w:tc>
      </w:tr>
      <w:tr w:rsidR="002E474C" w14:paraId="18B9CA2C" w14:textId="77777777">
        <w:trPr>
          <w:trHeight w:val="300"/>
        </w:trPr>
        <w:tc>
          <w:tcPr>
            <w:tcW w:w="828" w:type="dxa"/>
            <w:vMerge/>
            <w:vAlign w:val="center"/>
          </w:tcPr>
          <w:p w14:paraId="325A4BC3" w14:textId="77777777" w:rsidR="002E474C" w:rsidRDefault="002E474C">
            <w:pPr>
              <w:pStyle w:val="A-"/>
              <w:spacing w:line="260" w:lineRule="exact"/>
            </w:pPr>
          </w:p>
        </w:tc>
        <w:tc>
          <w:tcPr>
            <w:tcW w:w="893" w:type="dxa"/>
            <w:vMerge/>
            <w:vAlign w:val="center"/>
          </w:tcPr>
          <w:p w14:paraId="4D194324" w14:textId="77777777" w:rsidR="002E474C" w:rsidRDefault="002E474C">
            <w:pPr>
              <w:pStyle w:val="A-"/>
              <w:spacing w:line="260" w:lineRule="exact"/>
            </w:pPr>
          </w:p>
        </w:tc>
        <w:tc>
          <w:tcPr>
            <w:tcW w:w="1147" w:type="dxa"/>
            <w:noWrap/>
            <w:vAlign w:val="center"/>
          </w:tcPr>
          <w:p w14:paraId="5D31AAF8" w14:textId="77777777" w:rsidR="002E474C" w:rsidRDefault="00000000">
            <w:pPr>
              <w:pStyle w:val="A-"/>
              <w:spacing w:line="260" w:lineRule="exact"/>
              <w:ind w:leftChars="-25" w:left="-53" w:rightChars="-25" w:right="-53"/>
            </w:pPr>
            <w:r>
              <w:t>261-167-50</w:t>
            </w:r>
          </w:p>
        </w:tc>
        <w:tc>
          <w:tcPr>
            <w:tcW w:w="4991" w:type="dxa"/>
            <w:noWrap/>
            <w:vAlign w:val="center"/>
          </w:tcPr>
          <w:p w14:paraId="5578E5B4" w14:textId="77777777" w:rsidR="002E474C" w:rsidRDefault="00000000">
            <w:pPr>
              <w:pStyle w:val="A-"/>
              <w:spacing w:line="260" w:lineRule="exact"/>
            </w:pPr>
            <w:r>
              <w:t>合成气合成、</w:t>
            </w:r>
            <w:r>
              <w:t xml:space="preserve"> </w:t>
            </w:r>
            <w:r>
              <w:t>甲烷氧化和液化石油气氧化生产甲醇过程中产生的废催化剂</w:t>
            </w:r>
          </w:p>
        </w:tc>
        <w:tc>
          <w:tcPr>
            <w:tcW w:w="663" w:type="dxa"/>
            <w:noWrap/>
            <w:vAlign w:val="center"/>
          </w:tcPr>
          <w:p w14:paraId="1A10FCAA" w14:textId="77777777" w:rsidR="002E474C" w:rsidRDefault="00000000">
            <w:pPr>
              <w:pStyle w:val="A-"/>
              <w:spacing w:line="260" w:lineRule="exact"/>
            </w:pPr>
            <w:r>
              <w:t>T</w:t>
            </w:r>
          </w:p>
        </w:tc>
      </w:tr>
      <w:tr w:rsidR="002E474C" w14:paraId="30F48203" w14:textId="77777777">
        <w:trPr>
          <w:trHeight w:val="300"/>
        </w:trPr>
        <w:tc>
          <w:tcPr>
            <w:tcW w:w="828" w:type="dxa"/>
            <w:vMerge/>
            <w:vAlign w:val="center"/>
          </w:tcPr>
          <w:p w14:paraId="2A8DA73E" w14:textId="77777777" w:rsidR="002E474C" w:rsidRDefault="002E474C">
            <w:pPr>
              <w:pStyle w:val="A-"/>
              <w:spacing w:line="260" w:lineRule="exact"/>
            </w:pPr>
          </w:p>
        </w:tc>
        <w:tc>
          <w:tcPr>
            <w:tcW w:w="893" w:type="dxa"/>
            <w:vMerge/>
            <w:vAlign w:val="center"/>
          </w:tcPr>
          <w:p w14:paraId="1755C447" w14:textId="77777777" w:rsidR="002E474C" w:rsidRDefault="002E474C">
            <w:pPr>
              <w:pStyle w:val="A-"/>
              <w:spacing w:line="260" w:lineRule="exact"/>
            </w:pPr>
          </w:p>
        </w:tc>
        <w:tc>
          <w:tcPr>
            <w:tcW w:w="1147" w:type="dxa"/>
            <w:noWrap/>
            <w:vAlign w:val="center"/>
          </w:tcPr>
          <w:p w14:paraId="50578799" w14:textId="77777777" w:rsidR="002E474C" w:rsidRDefault="00000000">
            <w:pPr>
              <w:pStyle w:val="A-"/>
              <w:spacing w:line="260" w:lineRule="exact"/>
              <w:ind w:leftChars="-25" w:left="-53" w:rightChars="-25" w:right="-53"/>
            </w:pPr>
            <w:r>
              <w:t>261-168-50</w:t>
            </w:r>
          </w:p>
        </w:tc>
        <w:tc>
          <w:tcPr>
            <w:tcW w:w="4991" w:type="dxa"/>
            <w:noWrap/>
            <w:vAlign w:val="center"/>
          </w:tcPr>
          <w:p w14:paraId="48F9CE13" w14:textId="77777777" w:rsidR="002E474C" w:rsidRDefault="00000000">
            <w:pPr>
              <w:pStyle w:val="A-"/>
              <w:spacing w:line="260" w:lineRule="exact"/>
            </w:pPr>
            <w:r>
              <w:t>甲苯氯化水解生产邻甲酚过程中产生的废催化剂</w:t>
            </w:r>
          </w:p>
        </w:tc>
        <w:tc>
          <w:tcPr>
            <w:tcW w:w="663" w:type="dxa"/>
            <w:noWrap/>
            <w:vAlign w:val="center"/>
          </w:tcPr>
          <w:p w14:paraId="32639269" w14:textId="77777777" w:rsidR="002E474C" w:rsidRDefault="00000000">
            <w:pPr>
              <w:pStyle w:val="A-"/>
              <w:spacing w:line="260" w:lineRule="exact"/>
            </w:pPr>
            <w:r>
              <w:t>T</w:t>
            </w:r>
          </w:p>
        </w:tc>
      </w:tr>
      <w:tr w:rsidR="002E474C" w14:paraId="533609F1" w14:textId="77777777">
        <w:trPr>
          <w:trHeight w:val="300"/>
        </w:trPr>
        <w:tc>
          <w:tcPr>
            <w:tcW w:w="828" w:type="dxa"/>
            <w:vMerge/>
            <w:vAlign w:val="center"/>
          </w:tcPr>
          <w:p w14:paraId="2F2C8BF3" w14:textId="77777777" w:rsidR="002E474C" w:rsidRDefault="002E474C">
            <w:pPr>
              <w:pStyle w:val="A-"/>
              <w:spacing w:line="260" w:lineRule="exact"/>
            </w:pPr>
          </w:p>
        </w:tc>
        <w:tc>
          <w:tcPr>
            <w:tcW w:w="893" w:type="dxa"/>
            <w:vMerge/>
            <w:vAlign w:val="center"/>
          </w:tcPr>
          <w:p w14:paraId="5B01C177" w14:textId="77777777" w:rsidR="002E474C" w:rsidRDefault="002E474C">
            <w:pPr>
              <w:pStyle w:val="A-"/>
              <w:spacing w:line="260" w:lineRule="exact"/>
            </w:pPr>
          </w:p>
        </w:tc>
        <w:tc>
          <w:tcPr>
            <w:tcW w:w="1147" w:type="dxa"/>
            <w:noWrap/>
            <w:vAlign w:val="center"/>
          </w:tcPr>
          <w:p w14:paraId="6D67EA6A" w14:textId="77777777" w:rsidR="002E474C" w:rsidRDefault="00000000">
            <w:pPr>
              <w:pStyle w:val="A-"/>
              <w:spacing w:line="260" w:lineRule="exact"/>
              <w:ind w:leftChars="-25" w:left="-53" w:rightChars="-25" w:right="-53"/>
            </w:pPr>
            <w:r>
              <w:t>261-169-50</w:t>
            </w:r>
          </w:p>
        </w:tc>
        <w:tc>
          <w:tcPr>
            <w:tcW w:w="4991" w:type="dxa"/>
            <w:noWrap/>
            <w:vAlign w:val="center"/>
          </w:tcPr>
          <w:p w14:paraId="4698CBD5" w14:textId="77777777" w:rsidR="002E474C" w:rsidRDefault="00000000">
            <w:pPr>
              <w:pStyle w:val="A-"/>
              <w:spacing w:line="260" w:lineRule="exact"/>
            </w:pPr>
            <w:r>
              <w:rPr>
                <w:spacing w:val="-11"/>
              </w:rPr>
              <w:t>异丙苯催化脱氢生产</w:t>
            </w:r>
            <w:r>
              <w:rPr>
                <w:spacing w:val="-11"/>
              </w:rPr>
              <w:t>α-</w:t>
            </w:r>
            <w:r>
              <w:rPr>
                <w:spacing w:val="-11"/>
              </w:rPr>
              <w:t>甲基苯乙烯过程中产生的废催化剂</w:t>
            </w:r>
          </w:p>
        </w:tc>
        <w:tc>
          <w:tcPr>
            <w:tcW w:w="663" w:type="dxa"/>
            <w:noWrap/>
            <w:vAlign w:val="center"/>
          </w:tcPr>
          <w:p w14:paraId="6ED096CC" w14:textId="77777777" w:rsidR="002E474C" w:rsidRDefault="00000000">
            <w:pPr>
              <w:pStyle w:val="A-"/>
              <w:spacing w:line="260" w:lineRule="exact"/>
            </w:pPr>
            <w:r>
              <w:t>T</w:t>
            </w:r>
          </w:p>
        </w:tc>
      </w:tr>
      <w:tr w:rsidR="002E474C" w14:paraId="25D458BE" w14:textId="77777777">
        <w:trPr>
          <w:trHeight w:val="300"/>
        </w:trPr>
        <w:tc>
          <w:tcPr>
            <w:tcW w:w="828" w:type="dxa"/>
            <w:vMerge/>
            <w:vAlign w:val="center"/>
          </w:tcPr>
          <w:p w14:paraId="5B2849E0" w14:textId="77777777" w:rsidR="002E474C" w:rsidRDefault="002E474C">
            <w:pPr>
              <w:pStyle w:val="A-"/>
              <w:spacing w:line="260" w:lineRule="exact"/>
            </w:pPr>
          </w:p>
        </w:tc>
        <w:tc>
          <w:tcPr>
            <w:tcW w:w="893" w:type="dxa"/>
            <w:vMerge/>
            <w:vAlign w:val="center"/>
          </w:tcPr>
          <w:p w14:paraId="33A702B9" w14:textId="77777777" w:rsidR="002E474C" w:rsidRDefault="002E474C">
            <w:pPr>
              <w:pStyle w:val="A-"/>
              <w:spacing w:line="260" w:lineRule="exact"/>
            </w:pPr>
          </w:p>
        </w:tc>
        <w:tc>
          <w:tcPr>
            <w:tcW w:w="1147" w:type="dxa"/>
            <w:noWrap/>
            <w:vAlign w:val="center"/>
          </w:tcPr>
          <w:p w14:paraId="29203FB6" w14:textId="77777777" w:rsidR="002E474C" w:rsidRDefault="00000000">
            <w:pPr>
              <w:pStyle w:val="A-"/>
              <w:spacing w:line="260" w:lineRule="exact"/>
              <w:ind w:leftChars="-25" w:left="-53" w:rightChars="-25" w:right="-53"/>
            </w:pPr>
            <w:r>
              <w:t>261-170-50</w:t>
            </w:r>
          </w:p>
        </w:tc>
        <w:tc>
          <w:tcPr>
            <w:tcW w:w="4991" w:type="dxa"/>
            <w:noWrap/>
            <w:vAlign w:val="center"/>
          </w:tcPr>
          <w:p w14:paraId="5538EE0D" w14:textId="77777777" w:rsidR="002E474C" w:rsidRDefault="00000000">
            <w:pPr>
              <w:pStyle w:val="A-"/>
              <w:spacing w:line="260" w:lineRule="exact"/>
              <w:ind w:leftChars="-34" w:left="-71" w:rightChars="-34" w:right="-71"/>
            </w:pPr>
            <w:r>
              <w:rPr>
                <w:spacing w:val="-11"/>
              </w:rPr>
              <w:t>异丁烯和甲醇催化生产甲基叔丁基醚过程中产生的废催化剂</w:t>
            </w:r>
          </w:p>
        </w:tc>
        <w:tc>
          <w:tcPr>
            <w:tcW w:w="663" w:type="dxa"/>
            <w:noWrap/>
            <w:vAlign w:val="center"/>
          </w:tcPr>
          <w:p w14:paraId="041146C3" w14:textId="77777777" w:rsidR="002E474C" w:rsidRDefault="00000000">
            <w:pPr>
              <w:pStyle w:val="A-"/>
              <w:spacing w:line="260" w:lineRule="exact"/>
            </w:pPr>
            <w:r>
              <w:t>T</w:t>
            </w:r>
          </w:p>
        </w:tc>
      </w:tr>
      <w:tr w:rsidR="002E474C" w14:paraId="4658A6BA" w14:textId="77777777">
        <w:trPr>
          <w:trHeight w:val="300"/>
        </w:trPr>
        <w:tc>
          <w:tcPr>
            <w:tcW w:w="828" w:type="dxa"/>
            <w:vMerge/>
            <w:vAlign w:val="center"/>
          </w:tcPr>
          <w:p w14:paraId="5E5D49D0" w14:textId="77777777" w:rsidR="002E474C" w:rsidRDefault="002E474C">
            <w:pPr>
              <w:pStyle w:val="A-"/>
              <w:spacing w:line="260" w:lineRule="exact"/>
            </w:pPr>
          </w:p>
        </w:tc>
        <w:tc>
          <w:tcPr>
            <w:tcW w:w="893" w:type="dxa"/>
            <w:vMerge/>
            <w:vAlign w:val="center"/>
          </w:tcPr>
          <w:p w14:paraId="3BE593C5" w14:textId="77777777" w:rsidR="002E474C" w:rsidRDefault="002E474C">
            <w:pPr>
              <w:pStyle w:val="A-"/>
              <w:spacing w:line="260" w:lineRule="exact"/>
            </w:pPr>
          </w:p>
        </w:tc>
        <w:tc>
          <w:tcPr>
            <w:tcW w:w="1147" w:type="dxa"/>
            <w:noWrap/>
            <w:vAlign w:val="center"/>
          </w:tcPr>
          <w:p w14:paraId="7162B2EC" w14:textId="77777777" w:rsidR="002E474C" w:rsidRDefault="00000000">
            <w:pPr>
              <w:pStyle w:val="A-"/>
              <w:spacing w:line="260" w:lineRule="exact"/>
              <w:ind w:leftChars="-25" w:left="-53" w:rightChars="-25" w:right="-53"/>
            </w:pPr>
            <w:r>
              <w:t>261-171-50</w:t>
            </w:r>
          </w:p>
        </w:tc>
        <w:tc>
          <w:tcPr>
            <w:tcW w:w="4991" w:type="dxa"/>
            <w:noWrap/>
            <w:vAlign w:val="center"/>
          </w:tcPr>
          <w:p w14:paraId="7276F713" w14:textId="77777777" w:rsidR="002E474C" w:rsidRDefault="00000000">
            <w:pPr>
              <w:pStyle w:val="A-"/>
              <w:spacing w:line="260" w:lineRule="exact"/>
            </w:pPr>
            <w:r>
              <w:t>以甲醇为原料采用铁钼法生产甲醛过程中产生的废铁钼催化剂</w:t>
            </w:r>
          </w:p>
        </w:tc>
        <w:tc>
          <w:tcPr>
            <w:tcW w:w="663" w:type="dxa"/>
            <w:noWrap/>
            <w:vAlign w:val="center"/>
          </w:tcPr>
          <w:p w14:paraId="58F1911B" w14:textId="77777777" w:rsidR="002E474C" w:rsidRDefault="00000000">
            <w:pPr>
              <w:pStyle w:val="A-"/>
              <w:spacing w:line="260" w:lineRule="exact"/>
            </w:pPr>
            <w:r>
              <w:t>T</w:t>
            </w:r>
          </w:p>
        </w:tc>
      </w:tr>
      <w:tr w:rsidR="002E474C" w14:paraId="53977ADA" w14:textId="77777777">
        <w:trPr>
          <w:trHeight w:val="300"/>
        </w:trPr>
        <w:tc>
          <w:tcPr>
            <w:tcW w:w="828" w:type="dxa"/>
            <w:vMerge/>
            <w:vAlign w:val="center"/>
          </w:tcPr>
          <w:p w14:paraId="52011951" w14:textId="77777777" w:rsidR="002E474C" w:rsidRDefault="002E474C">
            <w:pPr>
              <w:pStyle w:val="A-"/>
              <w:spacing w:line="260" w:lineRule="exact"/>
            </w:pPr>
          </w:p>
        </w:tc>
        <w:tc>
          <w:tcPr>
            <w:tcW w:w="893" w:type="dxa"/>
            <w:vMerge/>
            <w:vAlign w:val="center"/>
          </w:tcPr>
          <w:p w14:paraId="0F3519E9" w14:textId="77777777" w:rsidR="002E474C" w:rsidRDefault="002E474C">
            <w:pPr>
              <w:pStyle w:val="A-"/>
              <w:spacing w:line="260" w:lineRule="exact"/>
            </w:pPr>
          </w:p>
        </w:tc>
        <w:tc>
          <w:tcPr>
            <w:tcW w:w="1147" w:type="dxa"/>
            <w:noWrap/>
            <w:vAlign w:val="center"/>
          </w:tcPr>
          <w:p w14:paraId="032FBF30" w14:textId="77777777" w:rsidR="002E474C" w:rsidRDefault="00000000">
            <w:pPr>
              <w:pStyle w:val="A-"/>
              <w:spacing w:line="260" w:lineRule="exact"/>
              <w:ind w:leftChars="-25" w:left="-53" w:rightChars="-25" w:right="-53"/>
            </w:pPr>
            <w:r>
              <w:t>261-172-50</w:t>
            </w:r>
          </w:p>
        </w:tc>
        <w:tc>
          <w:tcPr>
            <w:tcW w:w="4991" w:type="dxa"/>
            <w:noWrap/>
            <w:vAlign w:val="center"/>
          </w:tcPr>
          <w:p w14:paraId="59C6491C" w14:textId="77777777" w:rsidR="002E474C" w:rsidRDefault="00000000">
            <w:pPr>
              <w:pStyle w:val="A-"/>
              <w:spacing w:line="260" w:lineRule="exact"/>
            </w:pPr>
            <w:r>
              <w:rPr>
                <w:spacing w:val="-11"/>
              </w:rPr>
              <w:t>邻二甲苯氧化法生产邻苯二甲酸酐过程中产生的废催化剂</w:t>
            </w:r>
          </w:p>
        </w:tc>
        <w:tc>
          <w:tcPr>
            <w:tcW w:w="663" w:type="dxa"/>
            <w:noWrap/>
            <w:vAlign w:val="center"/>
          </w:tcPr>
          <w:p w14:paraId="26EFAB9D" w14:textId="77777777" w:rsidR="002E474C" w:rsidRDefault="00000000">
            <w:pPr>
              <w:pStyle w:val="A-"/>
              <w:spacing w:line="260" w:lineRule="exact"/>
            </w:pPr>
            <w:r>
              <w:t>T</w:t>
            </w:r>
          </w:p>
        </w:tc>
      </w:tr>
      <w:tr w:rsidR="002E474C" w14:paraId="2D0EDB2E" w14:textId="77777777">
        <w:trPr>
          <w:trHeight w:val="300"/>
        </w:trPr>
        <w:tc>
          <w:tcPr>
            <w:tcW w:w="828" w:type="dxa"/>
            <w:vMerge/>
            <w:vAlign w:val="center"/>
          </w:tcPr>
          <w:p w14:paraId="7550EEB5" w14:textId="77777777" w:rsidR="002E474C" w:rsidRDefault="002E474C">
            <w:pPr>
              <w:pStyle w:val="A-"/>
              <w:spacing w:line="260" w:lineRule="exact"/>
            </w:pPr>
          </w:p>
        </w:tc>
        <w:tc>
          <w:tcPr>
            <w:tcW w:w="893" w:type="dxa"/>
            <w:vMerge/>
            <w:vAlign w:val="center"/>
          </w:tcPr>
          <w:p w14:paraId="3CE29D13" w14:textId="77777777" w:rsidR="002E474C" w:rsidRDefault="002E474C">
            <w:pPr>
              <w:pStyle w:val="A-"/>
              <w:spacing w:line="260" w:lineRule="exact"/>
            </w:pPr>
          </w:p>
        </w:tc>
        <w:tc>
          <w:tcPr>
            <w:tcW w:w="1147" w:type="dxa"/>
            <w:noWrap/>
            <w:vAlign w:val="center"/>
          </w:tcPr>
          <w:p w14:paraId="5CB0BD8A" w14:textId="77777777" w:rsidR="002E474C" w:rsidRDefault="00000000">
            <w:pPr>
              <w:pStyle w:val="A-"/>
              <w:spacing w:line="260" w:lineRule="exact"/>
              <w:ind w:leftChars="-25" w:left="-53" w:rightChars="-25" w:right="-53"/>
            </w:pPr>
            <w:r>
              <w:t>261-173-50</w:t>
            </w:r>
          </w:p>
        </w:tc>
        <w:tc>
          <w:tcPr>
            <w:tcW w:w="4991" w:type="dxa"/>
            <w:noWrap/>
            <w:vAlign w:val="center"/>
          </w:tcPr>
          <w:p w14:paraId="03643698" w14:textId="77777777" w:rsidR="002E474C" w:rsidRDefault="00000000">
            <w:pPr>
              <w:pStyle w:val="A-"/>
              <w:spacing w:line="260" w:lineRule="exact"/>
            </w:pPr>
            <w:r>
              <w:t>二氧化硫氧化生产硫酸过程中产生的废催化剂</w:t>
            </w:r>
          </w:p>
        </w:tc>
        <w:tc>
          <w:tcPr>
            <w:tcW w:w="663" w:type="dxa"/>
            <w:noWrap/>
            <w:vAlign w:val="center"/>
          </w:tcPr>
          <w:p w14:paraId="368F286E" w14:textId="77777777" w:rsidR="002E474C" w:rsidRDefault="00000000">
            <w:pPr>
              <w:pStyle w:val="A-"/>
              <w:spacing w:line="260" w:lineRule="exact"/>
            </w:pPr>
            <w:r>
              <w:t>T</w:t>
            </w:r>
          </w:p>
        </w:tc>
      </w:tr>
      <w:tr w:rsidR="002E474C" w14:paraId="6A27FBDB" w14:textId="77777777">
        <w:trPr>
          <w:trHeight w:val="300"/>
        </w:trPr>
        <w:tc>
          <w:tcPr>
            <w:tcW w:w="828" w:type="dxa"/>
            <w:vMerge/>
            <w:vAlign w:val="center"/>
          </w:tcPr>
          <w:p w14:paraId="2DFB37AC" w14:textId="77777777" w:rsidR="002E474C" w:rsidRDefault="002E474C">
            <w:pPr>
              <w:pStyle w:val="A-"/>
              <w:spacing w:line="260" w:lineRule="exact"/>
            </w:pPr>
          </w:p>
        </w:tc>
        <w:tc>
          <w:tcPr>
            <w:tcW w:w="893" w:type="dxa"/>
            <w:vMerge/>
            <w:vAlign w:val="center"/>
          </w:tcPr>
          <w:p w14:paraId="199391A9" w14:textId="77777777" w:rsidR="002E474C" w:rsidRDefault="002E474C">
            <w:pPr>
              <w:pStyle w:val="A-"/>
              <w:spacing w:line="260" w:lineRule="exact"/>
            </w:pPr>
          </w:p>
        </w:tc>
        <w:tc>
          <w:tcPr>
            <w:tcW w:w="1147" w:type="dxa"/>
            <w:noWrap/>
            <w:vAlign w:val="center"/>
          </w:tcPr>
          <w:p w14:paraId="4D47C182" w14:textId="77777777" w:rsidR="002E474C" w:rsidRDefault="00000000">
            <w:pPr>
              <w:pStyle w:val="A-"/>
              <w:spacing w:line="260" w:lineRule="exact"/>
              <w:ind w:leftChars="-25" w:left="-53" w:rightChars="-25" w:right="-53"/>
            </w:pPr>
            <w:r>
              <w:t>261-174-50</w:t>
            </w:r>
          </w:p>
        </w:tc>
        <w:tc>
          <w:tcPr>
            <w:tcW w:w="4991" w:type="dxa"/>
            <w:noWrap/>
            <w:vAlign w:val="center"/>
          </w:tcPr>
          <w:p w14:paraId="54D76C25" w14:textId="77777777" w:rsidR="002E474C" w:rsidRDefault="00000000">
            <w:pPr>
              <w:pStyle w:val="A-"/>
              <w:spacing w:line="260" w:lineRule="exact"/>
              <w:ind w:leftChars="-34" w:left="-71" w:rightChars="-34" w:right="-71"/>
            </w:pPr>
            <w:r>
              <w:rPr>
                <w:spacing w:val="-11"/>
              </w:rPr>
              <w:t>四氯乙烷催化脱氯化氢生产三氯乙烯过程中产生的废催化剂</w:t>
            </w:r>
          </w:p>
        </w:tc>
        <w:tc>
          <w:tcPr>
            <w:tcW w:w="663" w:type="dxa"/>
            <w:noWrap/>
            <w:vAlign w:val="center"/>
          </w:tcPr>
          <w:p w14:paraId="675CB210" w14:textId="77777777" w:rsidR="002E474C" w:rsidRDefault="00000000">
            <w:pPr>
              <w:pStyle w:val="A-"/>
              <w:spacing w:line="260" w:lineRule="exact"/>
            </w:pPr>
            <w:r>
              <w:t>T</w:t>
            </w:r>
          </w:p>
        </w:tc>
      </w:tr>
      <w:tr w:rsidR="002E474C" w14:paraId="4405EF16" w14:textId="77777777">
        <w:trPr>
          <w:trHeight w:val="300"/>
        </w:trPr>
        <w:tc>
          <w:tcPr>
            <w:tcW w:w="828" w:type="dxa"/>
            <w:vMerge/>
            <w:vAlign w:val="center"/>
          </w:tcPr>
          <w:p w14:paraId="1AF5FDEB" w14:textId="77777777" w:rsidR="002E474C" w:rsidRDefault="002E474C">
            <w:pPr>
              <w:pStyle w:val="A-"/>
              <w:spacing w:line="260" w:lineRule="exact"/>
            </w:pPr>
          </w:p>
        </w:tc>
        <w:tc>
          <w:tcPr>
            <w:tcW w:w="893" w:type="dxa"/>
            <w:vMerge/>
            <w:vAlign w:val="center"/>
          </w:tcPr>
          <w:p w14:paraId="6A1ACF6C" w14:textId="77777777" w:rsidR="002E474C" w:rsidRDefault="002E474C">
            <w:pPr>
              <w:pStyle w:val="A-"/>
              <w:spacing w:line="260" w:lineRule="exact"/>
            </w:pPr>
          </w:p>
        </w:tc>
        <w:tc>
          <w:tcPr>
            <w:tcW w:w="1147" w:type="dxa"/>
            <w:noWrap/>
            <w:vAlign w:val="center"/>
          </w:tcPr>
          <w:p w14:paraId="21946523" w14:textId="77777777" w:rsidR="002E474C" w:rsidRDefault="00000000">
            <w:pPr>
              <w:pStyle w:val="A-"/>
              <w:spacing w:line="260" w:lineRule="exact"/>
              <w:ind w:leftChars="-25" w:left="-53" w:rightChars="-25" w:right="-53"/>
            </w:pPr>
            <w:r>
              <w:t>261-175-50</w:t>
            </w:r>
          </w:p>
        </w:tc>
        <w:tc>
          <w:tcPr>
            <w:tcW w:w="4991" w:type="dxa"/>
            <w:noWrap/>
            <w:vAlign w:val="center"/>
          </w:tcPr>
          <w:p w14:paraId="54F8AFB4" w14:textId="77777777" w:rsidR="002E474C" w:rsidRDefault="00000000">
            <w:pPr>
              <w:pStyle w:val="A-"/>
              <w:spacing w:line="260" w:lineRule="exact"/>
            </w:pPr>
            <w:r>
              <w:t>苯氧化法生产顺丁烯二酸酐过程中产生的废催化剂</w:t>
            </w:r>
          </w:p>
        </w:tc>
        <w:tc>
          <w:tcPr>
            <w:tcW w:w="663" w:type="dxa"/>
            <w:noWrap/>
            <w:vAlign w:val="center"/>
          </w:tcPr>
          <w:p w14:paraId="63796AE0" w14:textId="77777777" w:rsidR="002E474C" w:rsidRDefault="00000000">
            <w:pPr>
              <w:pStyle w:val="A-"/>
              <w:spacing w:line="260" w:lineRule="exact"/>
            </w:pPr>
            <w:r>
              <w:t>T</w:t>
            </w:r>
          </w:p>
        </w:tc>
      </w:tr>
      <w:tr w:rsidR="002E474C" w14:paraId="2604105F" w14:textId="77777777">
        <w:trPr>
          <w:trHeight w:val="300"/>
        </w:trPr>
        <w:tc>
          <w:tcPr>
            <w:tcW w:w="828" w:type="dxa"/>
            <w:vMerge/>
            <w:vAlign w:val="center"/>
          </w:tcPr>
          <w:p w14:paraId="32B2056C" w14:textId="77777777" w:rsidR="002E474C" w:rsidRDefault="002E474C">
            <w:pPr>
              <w:pStyle w:val="A-"/>
              <w:spacing w:line="260" w:lineRule="exact"/>
            </w:pPr>
          </w:p>
        </w:tc>
        <w:tc>
          <w:tcPr>
            <w:tcW w:w="893" w:type="dxa"/>
            <w:vMerge/>
            <w:vAlign w:val="center"/>
          </w:tcPr>
          <w:p w14:paraId="7286BF52" w14:textId="77777777" w:rsidR="002E474C" w:rsidRDefault="002E474C">
            <w:pPr>
              <w:pStyle w:val="A-"/>
              <w:spacing w:line="260" w:lineRule="exact"/>
            </w:pPr>
          </w:p>
        </w:tc>
        <w:tc>
          <w:tcPr>
            <w:tcW w:w="1147" w:type="dxa"/>
            <w:noWrap/>
            <w:vAlign w:val="center"/>
          </w:tcPr>
          <w:p w14:paraId="3666AABF" w14:textId="77777777" w:rsidR="002E474C" w:rsidRDefault="00000000">
            <w:pPr>
              <w:pStyle w:val="A-"/>
              <w:spacing w:line="260" w:lineRule="exact"/>
              <w:ind w:leftChars="-25" w:left="-53" w:rightChars="-25" w:right="-53"/>
            </w:pPr>
            <w:r>
              <w:t>261-176-50</w:t>
            </w:r>
          </w:p>
        </w:tc>
        <w:tc>
          <w:tcPr>
            <w:tcW w:w="4991" w:type="dxa"/>
            <w:noWrap/>
            <w:vAlign w:val="center"/>
          </w:tcPr>
          <w:p w14:paraId="1BB121E7" w14:textId="77777777" w:rsidR="002E474C" w:rsidRDefault="00000000">
            <w:pPr>
              <w:pStyle w:val="A-"/>
              <w:spacing w:line="260" w:lineRule="exact"/>
            </w:pPr>
            <w:r>
              <w:t>甲苯空气氧化生产苯甲酸过程中产生的废催化剂</w:t>
            </w:r>
          </w:p>
        </w:tc>
        <w:tc>
          <w:tcPr>
            <w:tcW w:w="663" w:type="dxa"/>
            <w:noWrap/>
            <w:vAlign w:val="center"/>
          </w:tcPr>
          <w:p w14:paraId="756E5D74" w14:textId="77777777" w:rsidR="002E474C" w:rsidRDefault="00000000">
            <w:pPr>
              <w:pStyle w:val="A-"/>
              <w:spacing w:line="260" w:lineRule="exact"/>
            </w:pPr>
            <w:r>
              <w:t>T</w:t>
            </w:r>
          </w:p>
        </w:tc>
      </w:tr>
      <w:tr w:rsidR="002E474C" w14:paraId="1D62CF25" w14:textId="77777777">
        <w:trPr>
          <w:trHeight w:val="300"/>
        </w:trPr>
        <w:tc>
          <w:tcPr>
            <w:tcW w:w="828" w:type="dxa"/>
            <w:vMerge/>
            <w:vAlign w:val="center"/>
          </w:tcPr>
          <w:p w14:paraId="04F4CF47" w14:textId="77777777" w:rsidR="002E474C" w:rsidRDefault="002E474C">
            <w:pPr>
              <w:pStyle w:val="A-"/>
              <w:spacing w:line="260" w:lineRule="exact"/>
            </w:pPr>
          </w:p>
        </w:tc>
        <w:tc>
          <w:tcPr>
            <w:tcW w:w="893" w:type="dxa"/>
            <w:vMerge/>
            <w:vAlign w:val="center"/>
          </w:tcPr>
          <w:p w14:paraId="3EC08433" w14:textId="77777777" w:rsidR="002E474C" w:rsidRDefault="002E474C">
            <w:pPr>
              <w:pStyle w:val="A-"/>
              <w:spacing w:line="260" w:lineRule="exact"/>
            </w:pPr>
          </w:p>
        </w:tc>
        <w:tc>
          <w:tcPr>
            <w:tcW w:w="1147" w:type="dxa"/>
            <w:noWrap/>
            <w:vAlign w:val="center"/>
          </w:tcPr>
          <w:p w14:paraId="7A9C7536" w14:textId="77777777" w:rsidR="002E474C" w:rsidRDefault="00000000">
            <w:pPr>
              <w:pStyle w:val="A-"/>
              <w:spacing w:line="260" w:lineRule="exact"/>
              <w:ind w:leftChars="-25" w:left="-53" w:rightChars="-25" w:right="-53"/>
            </w:pPr>
            <w:r>
              <w:t>261-177-50</w:t>
            </w:r>
          </w:p>
        </w:tc>
        <w:tc>
          <w:tcPr>
            <w:tcW w:w="4991" w:type="dxa"/>
            <w:noWrap/>
            <w:vAlign w:val="center"/>
          </w:tcPr>
          <w:p w14:paraId="5F498CE8" w14:textId="77777777" w:rsidR="002E474C" w:rsidRDefault="00000000">
            <w:pPr>
              <w:pStyle w:val="A-"/>
              <w:spacing w:line="260" w:lineRule="exact"/>
              <w:ind w:leftChars="-34" w:left="-71" w:rightChars="-34" w:right="-71"/>
            </w:pPr>
            <w:r>
              <w:rPr>
                <w:spacing w:val="-11"/>
              </w:rPr>
              <w:t>羟丙腈氨化、加氢生产</w:t>
            </w:r>
            <w:r>
              <w:rPr>
                <w:spacing w:val="-11"/>
              </w:rPr>
              <w:t xml:space="preserve"> 3-</w:t>
            </w:r>
            <w:r>
              <w:rPr>
                <w:spacing w:val="-11"/>
              </w:rPr>
              <w:t>氨基</w:t>
            </w:r>
            <w:r>
              <w:rPr>
                <w:spacing w:val="-11"/>
              </w:rPr>
              <w:t>-1-</w:t>
            </w:r>
            <w:r>
              <w:rPr>
                <w:spacing w:val="-11"/>
              </w:rPr>
              <w:t>丙醇过程中产生的废催化剂</w:t>
            </w:r>
          </w:p>
        </w:tc>
        <w:tc>
          <w:tcPr>
            <w:tcW w:w="663" w:type="dxa"/>
            <w:noWrap/>
            <w:vAlign w:val="center"/>
          </w:tcPr>
          <w:p w14:paraId="23AF7687" w14:textId="77777777" w:rsidR="002E474C" w:rsidRDefault="00000000">
            <w:pPr>
              <w:pStyle w:val="A-"/>
              <w:spacing w:line="260" w:lineRule="exact"/>
            </w:pPr>
            <w:r>
              <w:t>T</w:t>
            </w:r>
          </w:p>
        </w:tc>
      </w:tr>
      <w:tr w:rsidR="002E474C" w14:paraId="619456A3" w14:textId="77777777">
        <w:trPr>
          <w:trHeight w:val="300"/>
        </w:trPr>
        <w:tc>
          <w:tcPr>
            <w:tcW w:w="828" w:type="dxa"/>
            <w:vMerge/>
            <w:vAlign w:val="center"/>
          </w:tcPr>
          <w:p w14:paraId="72B17776" w14:textId="77777777" w:rsidR="002E474C" w:rsidRDefault="002E474C">
            <w:pPr>
              <w:pStyle w:val="A-"/>
              <w:spacing w:line="260" w:lineRule="exact"/>
            </w:pPr>
          </w:p>
        </w:tc>
        <w:tc>
          <w:tcPr>
            <w:tcW w:w="893" w:type="dxa"/>
            <w:vMerge/>
            <w:vAlign w:val="center"/>
          </w:tcPr>
          <w:p w14:paraId="1D40CC7A" w14:textId="77777777" w:rsidR="002E474C" w:rsidRDefault="002E474C">
            <w:pPr>
              <w:pStyle w:val="A-"/>
              <w:spacing w:line="260" w:lineRule="exact"/>
            </w:pPr>
          </w:p>
        </w:tc>
        <w:tc>
          <w:tcPr>
            <w:tcW w:w="1147" w:type="dxa"/>
            <w:noWrap/>
            <w:vAlign w:val="center"/>
          </w:tcPr>
          <w:p w14:paraId="59F1194B" w14:textId="77777777" w:rsidR="002E474C" w:rsidRDefault="00000000">
            <w:pPr>
              <w:pStyle w:val="A-"/>
              <w:spacing w:line="260" w:lineRule="exact"/>
              <w:ind w:leftChars="-25" w:left="-53" w:rightChars="-25" w:right="-53"/>
            </w:pPr>
            <w:r>
              <w:t>261-178-50</w:t>
            </w:r>
          </w:p>
        </w:tc>
        <w:tc>
          <w:tcPr>
            <w:tcW w:w="4991" w:type="dxa"/>
            <w:noWrap/>
            <w:vAlign w:val="center"/>
          </w:tcPr>
          <w:p w14:paraId="11643C33" w14:textId="77777777" w:rsidR="002E474C" w:rsidRDefault="00000000">
            <w:pPr>
              <w:pStyle w:val="A-"/>
              <w:spacing w:line="260" w:lineRule="exact"/>
            </w:pPr>
            <w:r>
              <w:t>β-</w:t>
            </w:r>
            <w:r>
              <w:t>羟基丙腈催化加氢生产</w:t>
            </w:r>
            <w:r>
              <w:t xml:space="preserve"> 3-</w:t>
            </w:r>
            <w:r>
              <w:t>氨基</w:t>
            </w:r>
            <w:r>
              <w:t>-1-</w:t>
            </w:r>
            <w:r>
              <w:t>丙醇过程中产生的废催化剂</w:t>
            </w:r>
          </w:p>
        </w:tc>
        <w:tc>
          <w:tcPr>
            <w:tcW w:w="663" w:type="dxa"/>
            <w:noWrap/>
            <w:vAlign w:val="center"/>
          </w:tcPr>
          <w:p w14:paraId="4D661DDC" w14:textId="77777777" w:rsidR="002E474C" w:rsidRDefault="00000000">
            <w:pPr>
              <w:pStyle w:val="A-"/>
              <w:spacing w:line="260" w:lineRule="exact"/>
            </w:pPr>
            <w:r>
              <w:t>T</w:t>
            </w:r>
          </w:p>
        </w:tc>
      </w:tr>
      <w:tr w:rsidR="002E474C" w14:paraId="56E80CCB" w14:textId="77777777">
        <w:trPr>
          <w:trHeight w:val="300"/>
        </w:trPr>
        <w:tc>
          <w:tcPr>
            <w:tcW w:w="828" w:type="dxa"/>
            <w:vMerge/>
            <w:vAlign w:val="center"/>
          </w:tcPr>
          <w:p w14:paraId="12CCA3A1" w14:textId="77777777" w:rsidR="002E474C" w:rsidRDefault="002E474C">
            <w:pPr>
              <w:pStyle w:val="A-"/>
              <w:spacing w:line="260" w:lineRule="exact"/>
            </w:pPr>
          </w:p>
        </w:tc>
        <w:tc>
          <w:tcPr>
            <w:tcW w:w="893" w:type="dxa"/>
            <w:vMerge/>
            <w:vAlign w:val="center"/>
          </w:tcPr>
          <w:p w14:paraId="4FAE06FE" w14:textId="77777777" w:rsidR="002E474C" w:rsidRDefault="002E474C">
            <w:pPr>
              <w:pStyle w:val="A-"/>
              <w:spacing w:line="260" w:lineRule="exact"/>
            </w:pPr>
          </w:p>
        </w:tc>
        <w:tc>
          <w:tcPr>
            <w:tcW w:w="1147" w:type="dxa"/>
            <w:noWrap/>
            <w:vAlign w:val="center"/>
          </w:tcPr>
          <w:p w14:paraId="624F1E41" w14:textId="77777777" w:rsidR="002E474C" w:rsidRDefault="00000000">
            <w:pPr>
              <w:pStyle w:val="A-"/>
              <w:spacing w:line="260" w:lineRule="exact"/>
              <w:ind w:leftChars="-25" w:left="-53" w:rightChars="-25" w:right="-53"/>
            </w:pPr>
            <w:r>
              <w:t>261-179-50</w:t>
            </w:r>
          </w:p>
        </w:tc>
        <w:tc>
          <w:tcPr>
            <w:tcW w:w="4991" w:type="dxa"/>
            <w:noWrap/>
            <w:vAlign w:val="center"/>
          </w:tcPr>
          <w:p w14:paraId="1048979B" w14:textId="77777777" w:rsidR="002E474C" w:rsidRDefault="00000000">
            <w:pPr>
              <w:pStyle w:val="A-"/>
              <w:spacing w:line="260" w:lineRule="exact"/>
              <w:ind w:leftChars="-50" w:left="-105" w:rightChars="-50" w:right="-105"/>
            </w:pPr>
            <w:r>
              <w:rPr>
                <w:spacing w:val="-11"/>
              </w:rPr>
              <w:t>甲乙酮与氨催化加氢生产</w:t>
            </w:r>
            <w:r>
              <w:rPr>
                <w:spacing w:val="-11"/>
              </w:rPr>
              <w:t xml:space="preserve"> 2-</w:t>
            </w:r>
            <w:r>
              <w:rPr>
                <w:spacing w:val="-11"/>
              </w:rPr>
              <w:t>氨基丁烷过程中产生的废催化剂</w:t>
            </w:r>
          </w:p>
        </w:tc>
        <w:tc>
          <w:tcPr>
            <w:tcW w:w="663" w:type="dxa"/>
            <w:noWrap/>
            <w:vAlign w:val="center"/>
          </w:tcPr>
          <w:p w14:paraId="4BECCFAD" w14:textId="77777777" w:rsidR="002E474C" w:rsidRDefault="00000000">
            <w:pPr>
              <w:pStyle w:val="A-"/>
              <w:spacing w:line="260" w:lineRule="exact"/>
            </w:pPr>
            <w:r>
              <w:t>T</w:t>
            </w:r>
          </w:p>
        </w:tc>
      </w:tr>
      <w:tr w:rsidR="002E474C" w14:paraId="3574D1D2" w14:textId="77777777">
        <w:trPr>
          <w:trHeight w:val="300"/>
        </w:trPr>
        <w:tc>
          <w:tcPr>
            <w:tcW w:w="828" w:type="dxa"/>
            <w:vMerge/>
            <w:vAlign w:val="center"/>
          </w:tcPr>
          <w:p w14:paraId="1F3FA5A2" w14:textId="77777777" w:rsidR="002E474C" w:rsidRDefault="002E474C">
            <w:pPr>
              <w:pStyle w:val="A-"/>
              <w:spacing w:line="260" w:lineRule="exact"/>
            </w:pPr>
          </w:p>
        </w:tc>
        <w:tc>
          <w:tcPr>
            <w:tcW w:w="893" w:type="dxa"/>
            <w:vMerge/>
            <w:vAlign w:val="center"/>
          </w:tcPr>
          <w:p w14:paraId="67C2022E" w14:textId="77777777" w:rsidR="002E474C" w:rsidRDefault="002E474C">
            <w:pPr>
              <w:pStyle w:val="A-"/>
              <w:spacing w:line="260" w:lineRule="exact"/>
            </w:pPr>
          </w:p>
        </w:tc>
        <w:tc>
          <w:tcPr>
            <w:tcW w:w="1147" w:type="dxa"/>
            <w:noWrap/>
            <w:vAlign w:val="center"/>
          </w:tcPr>
          <w:p w14:paraId="18DA7FBF" w14:textId="77777777" w:rsidR="002E474C" w:rsidRDefault="00000000">
            <w:pPr>
              <w:pStyle w:val="A-"/>
              <w:spacing w:line="260" w:lineRule="exact"/>
              <w:ind w:leftChars="-25" w:left="-53" w:rightChars="-25" w:right="-53"/>
            </w:pPr>
            <w:r>
              <w:t>261-180-50</w:t>
            </w:r>
          </w:p>
        </w:tc>
        <w:tc>
          <w:tcPr>
            <w:tcW w:w="4991" w:type="dxa"/>
            <w:noWrap/>
            <w:vAlign w:val="center"/>
          </w:tcPr>
          <w:p w14:paraId="11637E7B" w14:textId="77777777" w:rsidR="002E474C" w:rsidRDefault="00000000">
            <w:pPr>
              <w:pStyle w:val="A-"/>
              <w:spacing w:line="260" w:lineRule="exact"/>
            </w:pPr>
            <w:r>
              <w:rPr>
                <w:spacing w:val="-6"/>
              </w:rPr>
              <w:t>苯酚和甲醇合成</w:t>
            </w:r>
            <w:r>
              <w:rPr>
                <w:spacing w:val="-6"/>
              </w:rPr>
              <w:t xml:space="preserve"> 2,6-</w:t>
            </w:r>
            <w:r>
              <w:rPr>
                <w:spacing w:val="-6"/>
              </w:rPr>
              <w:t>二甲基苯酚过程中产生的废催化剂</w:t>
            </w:r>
          </w:p>
        </w:tc>
        <w:tc>
          <w:tcPr>
            <w:tcW w:w="663" w:type="dxa"/>
            <w:noWrap/>
            <w:vAlign w:val="center"/>
          </w:tcPr>
          <w:p w14:paraId="30F80216" w14:textId="77777777" w:rsidR="002E474C" w:rsidRDefault="00000000">
            <w:pPr>
              <w:pStyle w:val="A-"/>
              <w:spacing w:line="260" w:lineRule="exact"/>
            </w:pPr>
            <w:r>
              <w:t>T</w:t>
            </w:r>
          </w:p>
        </w:tc>
      </w:tr>
      <w:tr w:rsidR="002E474C" w14:paraId="779A9729" w14:textId="77777777">
        <w:trPr>
          <w:trHeight w:val="300"/>
        </w:trPr>
        <w:tc>
          <w:tcPr>
            <w:tcW w:w="828" w:type="dxa"/>
            <w:vMerge/>
            <w:vAlign w:val="center"/>
          </w:tcPr>
          <w:p w14:paraId="5DA2383C" w14:textId="77777777" w:rsidR="002E474C" w:rsidRDefault="002E474C">
            <w:pPr>
              <w:pStyle w:val="A-"/>
              <w:spacing w:line="260" w:lineRule="exact"/>
            </w:pPr>
          </w:p>
        </w:tc>
        <w:tc>
          <w:tcPr>
            <w:tcW w:w="893" w:type="dxa"/>
            <w:vMerge/>
            <w:vAlign w:val="center"/>
          </w:tcPr>
          <w:p w14:paraId="3354328F" w14:textId="77777777" w:rsidR="002E474C" w:rsidRDefault="002E474C">
            <w:pPr>
              <w:pStyle w:val="A-"/>
              <w:spacing w:line="260" w:lineRule="exact"/>
            </w:pPr>
          </w:p>
        </w:tc>
        <w:tc>
          <w:tcPr>
            <w:tcW w:w="1147" w:type="dxa"/>
            <w:noWrap/>
            <w:vAlign w:val="center"/>
          </w:tcPr>
          <w:p w14:paraId="40246CD8" w14:textId="77777777" w:rsidR="002E474C" w:rsidRDefault="00000000">
            <w:pPr>
              <w:pStyle w:val="A-"/>
              <w:spacing w:line="260" w:lineRule="exact"/>
              <w:ind w:leftChars="-25" w:left="-53" w:rightChars="-25" w:right="-53"/>
            </w:pPr>
            <w:r>
              <w:t>261-181-50</w:t>
            </w:r>
          </w:p>
        </w:tc>
        <w:tc>
          <w:tcPr>
            <w:tcW w:w="4991" w:type="dxa"/>
            <w:noWrap/>
            <w:vAlign w:val="center"/>
          </w:tcPr>
          <w:p w14:paraId="50706C97" w14:textId="77777777" w:rsidR="002E474C" w:rsidRDefault="00000000">
            <w:pPr>
              <w:pStyle w:val="A-"/>
              <w:spacing w:line="260" w:lineRule="exact"/>
            </w:pPr>
            <w:r>
              <w:t>糠醛脱羰制备呋喃过程中产生的废催化剂</w:t>
            </w:r>
          </w:p>
        </w:tc>
        <w:tc>
          <w:tcPr>
            <w:tcW w:w="663" w:type="dxa"/>
            <w:noWrap/>
            <w:vAlign w:val="center"/>
          </w:tcPr>
          <w:p w14:paraId="0402B9B2" w14:textId="77777777" w:rsidR="002E474C" w:rsidRDefault="00000000">
            <w:pPr>
              <w:pStyle w:val="A-"/>
              <w:spacing w:line="260" w:lineRule="exact"/>
            </w:pPr>
            <w:r>
              <w:t>T</w:t>
            </w:r>
          </w:p>
        </w:tc>
      </w:tr>
      <w:tr w:rsidR="002E474C" w14:paraId="76F9A776" w14:textId="77777777">
        <w:trPr>
          <w:trHeight w:val="300"/>
        </w:trPr>
        <w:tc>
          <w:tcPr>
            <w:tcW w:w="828" w:type="dxa"/>
            <w:vMerge/>
            <w:vAlign w:val="center"/>
          </w:tcPr>
          <w:p w14:paraId="00A5F443" w14:textId="77777777" w:rsidR="002E474C" w:rsidRDefault="002E474C">
            <w:pPr>
              <w:pStyle w:val="A-"/>
              <w:spacing w:line="260" w:lineRule="exact"/>
            </w:pPr>
          </w:p>
        </w:tc>
        <w:tc>
          <w:tcPr>
            <w:tcW w:w="893" w:type="dxa"/>
            <w:vMerge/>
            <w:vAlign w:val="center"/>
          </w:tcPr>
          <w:p w14:paraId="79986542" w14:textId="77777777" w:rsidR="002E474C" w:rsidRDefault="002E474C">
            <w:pPr>
              <w:pStyle w:val="A-"/>
              <w:spacing w:line="260" w:lineRule="exact"/>
            </w:pPr>
          </w:p>
        </w:tc>
        <w:tc>
          <w:tcPr>
            <w:tcW w:w="1147" w:type="dxa"/>
            <w:noWrap/>
            <w:vAlign w:val="center"/>
          </w:tcPr>
          <w:p w14:paraId="66719AA6" w14:textId="77777777" w:rsidR="002E474C" w:rsidRDefault="00000000">
            <w:pPr>
              <w:pStyle w:val="A-"/>
              <w:spacing w:line="260" w:lineRule="exact"/>
              <w:ind w:leftChars="-25" w:left="-53" w:rightChars="-25" w:right="-53"/>
            </w:pPr>
            <w:r>
              <w:t>261-182-50</w:t>
            </w:r>
          </w:p>
        </w:tc>
        <w:tc>
          <w:tcPr>
            <w:tcW w:w="4991" w:type="dxa"/>
            <w:noWrap/>
            <w:vAlign w:val="center"/>
          </w:tcPr>
          <w:p w14:paraId="2F46B97B" w14:textId="77777777" w:rsidR="002E474C" w:rsidRDefault="00000000">
            <w:pPr>
              <w:pStyle w:val="A-"/>
              <w:spacing w:line="260" w:lineRule="exact"/>
            </w:pPr>
            <w:r>
              <w:t>过氧化法生产环氧丙烷过程中产生的废催化剂</w:t>
            </w:r>
          </w:p>
        </w:tc>
        <w:tc>
          <w:tcPr>
            <w:tcW w:w="663" w:type="dxa"/>
            <w:noWrap/>
            <w:vAlign w:val="center"/>
          </w:tcPr>
          <w:p w14:paraId="47468218" w14:textId="77777777" w:rsidR="002E474C" w:rsidRDefault="00000000">
            <w:pPr>
              <w:pStyle w:val="A-"/>
              <w:spacing w:line="260" w:lineRule="exact"/>
            </w:pPr>
            <w:r>
              <w:t>T</w:t>
            </w:r>
          </w:p>
        </w:tc>
      </w:tr>
      <w:tr w:rsidR="002E474C" w14:paraId="1C72B673" w14:textId="77777777">
        <w:trPr>
          <w:trHeight w:val="300"/>
        </w:trPr>
        <w:tc>
          <w:tcPr>
            <w:tcW w:w="828" w:type="dxa"/>
            <w:vMerge/>
            <w:vAlign w:val="center"/>
          </w:tcPr>
          <w:p w14:paraId="629A446A" w14:textId="77777777" w:rsidR="002E474C" w:rsidRDefault="002E474C">
            <w:pPr>
              <w:pStyle w:val="A-"/>
              <w:spacing w:line="260" w:lineRule="exact"/>
            </w:pPr>
          </w:p>
        </w:tc>
        <w:tc>
          <w:tcPr>
            <w:tcW w:w="893" w:type="dxa"/>
            <w:vMerge/>
            <w:vAlign w:val="center"/>
          </w:tcPr>
          <w:p w14:paraId="533F7BBC" w14:textId="77777777" w:rsidR="002E474C" w:rsidRDefault="002E474C">
            <w:pPr>
              <w:pStyle w:val="A-"/>
              <w:spacing w:line="260" w:lineRule="exact"/>
            </w:pPr>
          </w:p>
        </w:tc>
        <w:tc>
          <w:tcPr>
            <w:tcW w:w="1147" w:type="dxa"/>
            <w:noWrap/>
            <w:vAlign w:val="center"/>
          </w:tcPr>
          <w:p w14:paraId="457AC459" w14:textId="77777777" w:rsidR="002E474C" w:rsidRDefault="00000000">
            <w:pPr>
              <w:pStyle w:val="A-"/>
              <w:spacing w:line="260" w:lineRule="exact"/>
              <w:ind w:leftChars="-25" w:left="-53" w:rightChars="-25" w:right="-53"/>
            </w:pPr>
            <w:r>
              <w:t>261-183-50</w:t>
            </w:r>
          </w:p>
        </w:tc>
        <w:tc>
          <w:tcPr>
            <w:tcW w:w="4991" w:type="dxa"/>
            <w:noWrap/>
            <w:vAlign w:val="center"/>
          </w:tcPr>
          <w:p w14:paraId="11CB5723" w14:textId="77777777" w:rsidR="002E474C" w:rsidRDefault="00000000">
            <w:pPr>
              <w:pStyle w:val="A-"/>
              <w:spacing w:line="260" w:lineRule="exact"/>
            </w:pPr>
            <w:r>
              <w:rPr>
                <w:spacing w:val="-11"/>
              </w:rPr>
              <w:t>除农药以外其他有机磷化合物生产过程中产生的废催化剂</w:t>
            </w:r>
          </w:p>
        </w:tc>
        <w:tc>
          <w:tcPr>
            <w:tcW w:w="663" w:type="dxa"/>
            <w:noWrap/>
            <w:vAlign w:val="center"/>
          </w:tcPr>
          <w:p w14:paraId="40DA9429" w14:textId="77777777" w:rsidR="002E474C" w:rsidRDefault="00000000">
            <w:pPr>
              <w:pStyle w:val="A-"/>
              <w:spacing w:line="260" w:lineRule="exact"/>
            </w:pPr>
            <w:r>
              <w:t>T</w:t>
            </w:r>
          </w:p>
        </w:tc>
      </w:tr>
      <w:tr w:rsidR="002E474C" w14:paraId="04083AD0" w14:textId="77777777">
        <w:trPr>
          <w:trHeight w:val="300"/>
        </w:trPr>
        <w:tc>
          <w:tcPr>
            <w:tcW w:w="828" w:type="dxa"/>
            <w:vMerge/>
            <w:vAlign w:val="center"/>
          </w:tcPr>
          <w:p w14:paraId="77CE0D2D" w14:textId="77777777" w:rsidR="002E474C" w:rsidRDefault="002E474C">
            <w:pPr>
              <w:pStyle w:val="A-"/>
              <w:spacing w:line="260" w:lineRule="exact"/>
            </w:pPr>
          </w:p>
        </w:tc>
        <w:tc>
          <w:tcPr>
            <w:tcW w:w="893" w:type="dxa"/>
            <w:noWrap/>
            <w:vAlign w:val="center"/>
          </w:tcPr>
          <w:p w14:paraId="36DC686A" w14:textId="77777777" w:rsidR="002E474C" w:rsidRDefault="00000000">
            <w:pPr>
              <w:pStyle w:val="A-"/>
              <w:spacing w:line="260" w:lineRule="exact"/>
            </w:pPr>
            <w:r>
              <w:t>农药</w:t>
            </w:r>
          </w:p>
          <w:p w14:paraId="409E8818" w14:textId="77777777" w:rsidR="002E474C" w:rsidRDefault="00000000">
            <w:pPr>
              <w:pStyle w:val="A-"/>
              <w:spacing w:line="260" w:lineRule="exact"/>
            </w:pPr>
            <w:r>
              <w:lastRenderedPageBreak/>
              <w:t>制造</w:t>
            </w:r>
          </w:p>
        </w:tc>
        <w:tc>
          <w:tcPr>
            <w:tcW w:w="1147" w:type="dxa"/>
            <w:noWrap/>
            <w:vAlign w:val="center"/>
          </w:tcPr>
          <w:p w14:paraId="1CD7D58A" w14:textId="77777777" w:rsidR="002E474C" w:rsidRDefault="00000000">
            <w:pPr>
              <w:pStyle w:val="A-"/>
              <w:spacing w:line="260" w:lineRule="exact"/>
              <w:ind w:leftChars="-25" w:left="-53" w:rightChars="-25" w:right="-53"/>
            </w:pPr>
            <w:r>
              <w:lastRenderedPageBreak/>
              <w:t>263-013-50</w:t>
            </w:r>
          </w:p>
        </w:tc>
        <w:tc>
          <w:tcPr>
            <w:tcW w:w="4991" w:type="dxa"/>
            <w:noWrap/>
            <w:vAlign w:val="center"/>
          </w:tcPr>
          <w:p w14:paraId="1F27DA4A" w14:textId="77777777" w:rsidR="002E474C" w:rsidRDefault="00000000">
            <w:pPr>
              <w:pStyle w:val="A-"/>
              <w:spacing w:line="260" w:lineRule="exact"/>
            </w:pPr>
            <w:r>
              <w:t>化学合成农药生产过程中产生的废催化剂</w:t>
            </w:r>
          </w:p>
        </w:tc>
        <w:tc>
          <w:tcPr>
            <w:tcW w:w="663" w:type="dxa"/>
            <w:noWrap/>
            <w:vAlign w:val="center"/>
          </w:tcPr>
          <w:p w14:paraId="56EE037A" w14:textId="77777777" w:rsidR="002E474C" w:rsidRDefault="00000000">
            <w:pPr>
              <w:pStyle w:val="A-"/>
              <w:spacing w:line="260" w:lineRule="exact"/>
            </w:pPr>
            <w:r>
              <w:t>T</w:t>
            </w:r>
          </w:p>
        </w:tc>
      </w:tr>
      <w:tr w:rsidR="002E474C" w14:paraId="0DB4446F" w14:textId="77777777">
        <w:trPr>
          <w:trHeight w:val="300"/>
        </w:trPr>
        <w:tc>
          <w:tcPr>
            <w:tcW w:w="828" w:type="dxa"/>
            <w:vMerge/>
            <w:vAlign w:val="center"/>
          </w:tcPr>
          <w:p w14:paraId="4AC4E8B9" w14:textId="77777777" w:rsidR="002E474C" w:rsidRDefault="002E474C">
            <w:pPr>
              <w:pStyle w:val="A-"/>
              <w:spacing w:line="260" w:lineRule="exact"/>
            </w:pPr>
          </w:p>
        </w:tc>
        <w:tc>
          <w:tcPr>
            <w:tcW w:w="893" w:type="dxa"/>
            <w:noWrap/>
            <w:vAlign w:val="center"/>
          </w:tcPr>
          <w:p w14:paraId="7F20CCA8" w14:textId="77777777" w:rsidR="002E474C" w:rsidRDefault="00000000">
            <w:pPr>
              <w:pStyle w:val="A-"/>
              <w:spacing w:line="260" w:lineRule="exact"/>
              <w:ind w:leftChars="-25" w:left="-53" w:rightChars="-25" w:right="-53"/>
            </w:pPr>
            <w:r>
              <w:t>化学药品原料药制造</w:t>
            </w:r>
          </w:p>
        </w:tc>
        <w:tc>
          <w:tcPr>
            <w:tcW w:w="1147" w:type="dxa"/>
            <w:noWrap/>
            <w:vAlign w:val="center"/>
          </w:tcPr>
          <w:p w14:paraId="285845DD" w14:textId="77777777" w:rsidR="002E474C" w:rsidRDefault="00000000">
            <w:pPr>
              <w:pStyle w:val="A-"/>
              <w:spacing w:line="260" w:lineRule="exact"/>
              <w:ind w:leftChars="-25" w:left="-53" w:rightChars="-25" w:right="-53"/>
            </w:pPr>
            <w:r>
              <w:t>271-006-50</w:t>
            </w:r>
          </w:p>
        </w:tc>
        <w:tc>
          <w:tcPr>
            <w:tcW w:w="4991" w:type="dxa"/>
            <w:noWrap/>
            <w:vAlign w:val="center"/>
          </w:tcPr>
          <w:p w14:paraId="5D7CFA70" w14:textId="77777777" w:rsidR="002E474C" w:rsidRDefault="00000000">
            <w:pPr>
              <w:pStyle w:val="A-"/>
              <w:spacing w:line="260" w:lineRule="exact"/>
            </w:pPr>
            <w:r>
              <w:t>化学合成原料药生产过程中产生的废催化剂</w:t>
            </w:r>
          </w:p>
        </w:tc>
        <w:tc>
          <w:tcPr>
            <w:tcW w:w="663" w:type="dxa"/>
            <w:noWrap/>
            <w:vAlign w:val="center"/>
          </w:tcPr>
          <w:p w14:paraId="1EA07BA6" w14:textId="77777777" w:rsidR="002E474C" w:rsidRDefault="00000000">
            <w:pPr>
              <w:pStyle w:val="A-"/>
              <w:spacing w:line="260" w:lineRule="exact"/>
            </w:pPr>
            <w:r>
              <w:t>T</w:t>
            </w:r>
          </w:p>
        </w:tc>
      </w:tr>
      <w:tr w:rsidR="002E474C" w14:paraId="1E60912D" w14:textId="77777777">
        <w:trPr>
          <w:trHeight w:val="300"/>
        </w:trPr>
        <w:tc>
          <w:tcPr>
            <w:tcW w:w="828" w:type="dxa"/>
            <w:vMerge/>
            <w:vAlign w:val="center"/>
          </w:tcPr>
          <w:p w14:paraId="57B2017B" w14:textId="77777777" w:rsidR="002E474C" w:rsidRDefault="002E474C">
            <w:pPr>
              <w:pStyle w:val="A-"/>
              <w:spacing w:line="260" w:lineRule="exact"/>
            </w:pPr>
          </w:p>
        </w:tc>
        <w:tc>
          <w:tcPr>
            <w:tcW w:w="893" w:type="dxa"/>
            <w:noWrap/>
            <w:vAlign w:val="center"/>
          </w:tcPr>
          <w:p w14:paraId="62EFBD7F" w14:textId="77777777" w:rsidR="002E474C" w:rsidRDefault="00000000">
            <w:pPr>
              <w:pStyle w:val="A-"/>
              <w:spacing w:line="260" w:lineRule="exact"/>
            </w:pPr>
            <w:r>
              <w:t>兽用药品制造</w:t>
            </w:r>
          </w:p>
        </w:tc>
        <w:tc>
          <w:tcPr>
            <w:tcW w:w="1147" w:type="dxa"/>
            <w:noWrap/>
            <w:vAlign w:val="center"/>
          </w:tcPr>
          <w:p w14:paraId="2245ADF8" w14:textId="77777777" w:rsidR="002E474C" w:rsidRDefault="00000000">
            <w:pPr>
              <w:pStyle w:val="A-"/>
              <w:spacing w:line="260" w:lineRule="exact"/>
              <w:ind w:leftChars="-25" w:left="-53" w:rightChars="-25" w:right="-53"/>
            </w:pPr>
            <w:r>
              <w:t>275-009-50</w:t>
            </w:r>
          </w:p>
        </w:tc>
        <w:tc>
          <w:tcPr>
            <w:tcW w:w="4991" w:type="dxa"/>
            <w:noWrap/>
            <w:vAlign w:val="center"/>
          </w:tcPr>
          <w:p w14:paraId="662FCE18" w14:textId="77777777" w:rsidR="002E474C" w:rsidRDefault="00000000">
            <w:pPr>
              <w:pStyle w:val="A-"/>
              <w:spacing w:line="260" w:lineRule="exact"/>
            </w:pPr>
            <w:r>
              <w:t>兽药生产过程中产生的废催化剂</w:t>
            </w:r>
          </w:p>
        </w:tc>
        <w:tc>
          <w:tcPr>
            <w:tcW w:w="663" w:type="dxa"/>
            <w:noWrap/>
            <w:vAlign w:val="center"/>
          </w:tcPr>
          <w:p w14:paraId="5302681A" w14:textId="77777777" w:rsidR="002E474C" w:rsidRDefault="00000000">
            <w:pPr>
              <w:pStyle w:val="A-"/>
              <w:spacing w:line="260" w:lineRule="exact"/>
            </w:pPr>
            <w:r>
              <w:t>T</w:t>
            </w:r>
          </w:p>
        </w:tc>
      </w:tr>
      <w:tr w:rsidR="002E474C" w14:paraId="0017F2F8" w14:textId="77777777">
        <w:trPr>
          <w:trHeight w:val="300"/>
        </w:trPr>
        <w:tc>
          <w:tcPr>
            <w:tcW w:w="828" w:type="dxa"/>
            <w:vMerge/>
            <w:vAlign w:val="center"/>
          </w:tcPr>
          <w:p w14:paraId="79AE3C1E" w14:textId="77777777" w:rsidR="002E474C" w:rsidRDefault="002E474C">
            <w:pPr>
              <w:pStyle w:val="A-"/>
              <w:spacing w:line="260" w:lineRule="exact"/>
            </w:pPr>
          </w:p>
        </w:tc>
        <w:tc>
          <w:tcPr>
            <w:tcW w:w="893" w:type="dxa"/>
            <w:noWrap/>
            <w:vAlign w:val="center"/>
          </w:tcPr>
          <w:p w14:paraId="2C4543C2" w14:textId="77777777" w:rsidR="002E474C" w:rsidRDefault="00000000">
            <w:pPr>
              <w:pStyle w:val="A-"/>
              <w:spacing w:line="260" w:lineRule="exact"/>
              <w:ind w:leftChars="-34" w:left="-71" w:rightChars="-34" w:right="-71"/>
            </w:pPr>
            <w:r>
              <w:rPr>
                <w:spacing w:val="-11"/>
              </w:rPr>
              <w:t>生物药品制品制造</w:t>
            </w:r>
          </w:p>
        </w:tc>
        <w:tc>
          <w:tcPr>
            <w:tcW w:w="1147" w:type="dxa"/>
            <w:noWrap/>
            <w:vAlign w:val="center"/>
          </w:tcPr>
          <w:p w14:paraId="784542DD" w14:textId="77777777" w:rsidR="002E474C" w:rsidRDefault="00000000">
            <w:pPr>
              <w:pStyle w:val="A-"/>
              <w:spacing w:line="260" w:lineRule="exact"/>
              <w:ind w:leftChars="-25" w:left="-53" w:rightChars="-25" w:right="-53"/>
            </w:pPr>
            <w:r>
              <w:t>276-006-50</w:t>
            </w:r>
          </w:p>
        </w:tc>
        <w:tc>
          <w:tcPr>
            <w:tcW w:w="4991" w:type="dxa"/>
            <w:noWrap/>
            <w:vAlign w:val="center"/>
          </w:tcPr>
          <w:p w14:paraId="14230CE0" w14:textId="77777777" w:rsidR="002E474C" w:rsidRDefault="00000000">
            <w:pPr>
              <w:pStyle w:val="A-"/>
              <w:spacing w:line="260" w:lineRule="exact"/>
            </w:pPr>
            <w:r>
              <w:t>生物药品生产过程中产生的废催化剂</w:t>
            </w:r>
          </w:p>
        </w:tc>
        <w:tc>
          <w:tcPr>
            <w:tcW w:w="663" w:type="dxa"/>
            <w:noWrap/>
            <w:vAlign w:val="center"/>
          </w:tcPr>
          <w:p w14:paraId="1FB1B921" w14:textId="77777777" w:rsidR="002E474C" w:rsidRDefault="00000000">
            <w:pPr>
              <w:pStyle w:val="A-"/>
              <w:spacing w:line="260" w:lineRule="exact"/>
            </w:pPr>
            <w:r>
              <w:t>T</w:t>
            </w:r>
          </w:p>
        </w:tc>
      </w:tr>
      <w:tr w:rsidR="002E474C" w14:paraId="1A31B10E" w14:textId="77777777">
        <w:trPr>
          <w:trHeight w:val="300"/>
        </w:trPr>
        <w:tc>
          <w:tcPr>
            <w:tcW w:w="828" w:type="dxa"/>
            <w:vMerge/>
            <w:vAlign w:val="center"/>
          </w:tcPr>
          <w:p w14:paraId="31D0CE9D" w14:textId="77777777" w:rsidR="002E474C" w:rsidRDefault="002E474C">
            <w:pPr>
              <w:pStyle w:val="A-"/>
              <w:spacing w:line="260" w:lineRule="exact"/>
            </w:pPr>
          </w:p>
        </w:tc>
        <w:tc>
          <w:tcPr>
            <w:tcW w:w="893" w:type="dxa"/>
            <w:noWrap/>
            <w:vAlign w:val="center"/>
          </w:tcPr>
          <w:p w14:paraId="3293318F" w14:textId="77777777" w:rsidR="002E474C" w:rsidRDefault="00000000">
            <w:pPr>
              <w:pStyle w:val="A-"/>
              <w:spacing w:line="260" w:lineRule="exact"/>
            </w:pPr>
            <w:r>
              <w:t>环境</w:t>
            </w:r>
          </w:p>
          <w:p w14:paraId="53E0F7DD" w14:textId="77777777" w:rsidR="002E474C" w:rsidRDefault="00000000">
            <w:pPr>
              <w:pStyle w:val="A-"/>
              <w:spacing w:line="260" w:lineRule="exact"/>
            </w:pPr>
            <w:r>
              <w:t>治理业</w:t>
            </w:r>
          </w:p>
        </w:tc>
        <w:tc>
          <w:tcPr>
            <w:tcW w:w="1147" w:type="dxa"/>
            <w:noWrap/>
            <w:vAlign w:val="center"/>
          </w:tcPr>
          <w:p w14:paraId="7891CCF9" w14:textId="77777777" w:rsidR="002E474C" w:rsidRDefault="00000000">
            <w:pPr>
              <w:pStyle w:val="A-"/>
              <w:spacing w:line="260" w:lineRule="exact"/>
              <w:ind w:leftChars="-25" w:left="-53" w:rightChars="-25" w:right="-53"/>
            </w:pPr>
            <w:r>
              <w:t>772-007-50</w:t>
            </w:r>
          </w:p>
        </w:tc>
        <w:tc>
          <w:tcPr>
            <w:tcW w:w="4991" w:type="dxa"/>
            <w:noWrap/>
            <w:vAlign w:val="center"/>
          </w:tcPr>
          <w:p w14:paraId="0C7157AF" w14:textId="77777777" w:rsidR="002E474C" w:rsidRDefault="00000000">
            <w:pPr>
              <w:pStyle w:val="A-"/>
              <w:spacing w:line="260" w:lineRule="exact"/>
            </w:pPr>
            <w:r>
              <w:t>烟气脱硝过程中产生的废钒钛系催化剂</w:t>
            </w:r>
          </w:p>
        </w:tc>
        <w:tc>
          <w:tcPr>
            <w:tcW w:w="663" w:type="dxa"/>
            <w:noWrap/>
            <w:vAlign w:val="center"/>
          </w:tcPr>
          <w:p w14:paraId="733D855A" w14:textId="77777777" w:rsidR="002E474C" w:rsidRDefault="00000000">
            <w:pPr>
              <w:pStyle w:val="A-"/>
              <w:spacing w:line="260" w:lineRule="exact"/>
            </w:pPr>
            <w:r>
              <w:t>T</w:t>
            </w:r>
          </w:p>
        </w:tc>
      </w:tr>
      <w:tr w:rsidR="002E474C" w14:paraId="5DEF9859" w14:textId="77777777">
        <w:trPr>
          <w:trHeight w:val="300"/>
        </w:trPr>
        <w:tc>
          <w:tcPr>
            <w:tcW w:w="828" w:type="dxa"/>
            <w:vMerge/>
            <w:vAlign w:val="center"/>
          </w:tcPr>
          <w:p w14:paraId="7F62142A" w14:textId="77777777" w:rsidR="002E474C" w:rsidRDefault="002E474C">
            <w:pPr>
              <w:pStyle w:val="A-"/>
              <w:spacing w:line="260" w:lineRule="exact"/>
            </w:pPr>
          </w:p>
        </w:tc>
        <w:tc>
          <w:tcPr>
            <w:tcW w:w="893" w:type="dxa"/>
            <w:vMerge w:val="restart"/>
            <w:noWrap/>
            <w:vAlign w:val="center"/>
          </w:tcPr>
          <w:p w14:paraId="70AC844B" w14:textId="77777777" w:rsidR="002E474C" w:rsidRDefault="00000000">
            <w:pPr>
              <w:pStyle w:val="A-"/>
              <w:spacing w:line="260" w:lineRule="exact"/>
            </w:pPr>
            <w:r>
              <w:t>非特定行业</w:t>
            </w:r>
          </w:p>
        </w:tc>
        <w:tc>
          <w:tcPr>
            <w:tcW w:w="1147" w:type="dxa"/>
            <w:noWrap/>
            <w:vAlign w:val="center"/>
          </w:tcPr>
          <w:p w14:paraId="255C26F6" w14:textId="77777777" w:rsidR="002E474C" w:rsidRDefault="00000000">
            <w:pPr>
              <w:pStyle w:val="A-"/>
              <w:spacing w:line="260" w:lineRule="exact"/>
              <w:ind w:leftChars="-25" w:left="-53" w:rightChars="-25" w:right="-53"/>
            </w:pPr>
            <w:r>
              <w:t>900-048-50</w:t>
            </w:r>
          </w:p>
        </w:tc>
        <w:tc>
          <w:tcPr>
            <w:tcW w:w="4991" w:type="dxa"/>
            <w:noWrap/>
            <w:vAlign w:val="center"/>
          </w:tcPr>
          <w:p w14:paraId="5B4F6CA1" w14:textId="77777777" w:rsidR="002E474C" w:rsidRDefault="00000000">
            <w:pPr>
              <w:pStyle w:val="A-"/>
              <w:spacing w:line="260" w:lineRule="exact"/>
            </w:pPr>
            <w:r>
              <w:t>废液体催化剂</w:t>
            </w:r>
          </w:p>
        </w:tc>
        <w:tc>
          <w:tcPr>
            <w:tcW w:w="663" w:type="dxa"/>
            <w:noWrap/>
            <w:vAlign w:val="center"/>
          </w:tcPr>
          <w:p w14:paraId="11073E59" w14:textId="77777777" w:rsidR="002E474C" w:rsidRDefault="00000000">
            <w:pPr>
              <w:pStyle w:val="A-"/>
              <w:spacing w:line="260" w:lineRule="exact"/>
            </w:pPr>
            <w:r>
              <w:t>T</w:t>
            </w:r>
          </w:p>
        </w:tc>
      </w:tr>
      <w:tr w:rsidR="002E474C" w14:paraId="76D8D511" w14:textId="77777777">
        <w:trPr>
          <w:trHeight w:val="300"/>
        </w:trPr>
        <w:tc>
          <w:tcPr>
            <w:tcW w:w="828" w:type="dxa"/>
            <w:vMerge/>
            <w:vAlign w:val="center"/>
          </w:tcPr>
          <w:p w14:paraId="4BB47B21" w14:textId="77777777" w:rsidR="002E474C" w:rsidRDefault="002E474C">
            <w:pPr>
              <w:pStyle w:val="A-"/>
              <w:spacing w:line="260" w:lineRule="exact"/>
            </w:pPr>
          </w:p>
        </w:tc>
        <w:tc>
          <w:tcPr>
            <w:tcW w:w="893" w:type="dxa"/>
            <w:vMerge/>
            <w:vAlign w:val="center"/>
          </w:tcPr>
          <w:p w14:paraId="65E470EF" w14:textId="77777777" w:rsidR="002E474C" w:rsidRDefault="002E474C">
            <w:pPr>
              <w:pStyle w:val="A-"/>
              <w:spacing w:line="260" w:lineRule="exact"/>
            </w:pPr>
          </w:p>
        </w:tc>
        <w:tc>
          <w:tcPr>
            <w:tcW w:w="1147" w:type="dxa"/>
            <w:noWrap/>
            <w:vAlign w:val="center"/>
          </w:tcPr>
          <w:p w14:paraId="07CD79C3" w14:textId="77777777" w:rsidR="002E474C" w:rsidRDefault="00000000">
            <w:pPr>
              <w:pStyle w:val="A-"/>
              <w:spacing w:line="260" w:lineRule="exact"/>
              <w:ind w:leftChars="-25" w:left="-53" w:rightChars="-25" w:right="-53"/>
            </w:pPr>
            <w:r>
              <w:t>900-049-50</w:t>
            </w:r>
          </w:p>
        </w:tc>
        <w:tc>
          <w:tcPr>
            <w:tcW w:w="4991" w:type="dxa"/>
            <w:noWrap/>
            <w:vAlign w:val="center"/>
          </w:tcPr>
          <w:p w14:paraId="70C4E7C2" w14:textId="77777777" w:rsidR="002E474C" w:rsidRDefault="00000000">
            <w:pPr>
              <w:pStyle w:val="A-"/>
              <w:spacing w:line="260" w:lineRule="exact"/>
            </w:pPr>
            <w:r>
              <w:t>机动车和非道路移动机械尾气净化废催化剂</w:t>
            </w:r>
          </w:p>
        </w:tc>
        <w:tc>
          <w:tcPr>
            <w:tcW w:w="663" w:type="dxa"/>
            <w:noWrap/>
            <w:vAlign w:val="center"/>
          </w:tcPr>
          <w:p w14:paraId="4CFBE6FA" w14:textId="77777777" w:rsidR="002E474C" w:rsidRDefault="00000000">
            <w:pPr>
              <w:pStyle w:val="A-"/>
              <w:spacing w:line="260" w:lineRule="exact"/>
            </w:pPr>
            <w:r>
              <w:t>T</w:t>
            </w:r>
          </w:p>
        </w:tc>
      </w:tr>
    </w:tbl>
    <w:p w14:paraId="7772DB9E" w14:textId="77777777" w:rsidR="002E474C" w:rsidRDefault="002E474C"/>
    <w:p w14:paraId="0C6032B7" w14:textId="77777777" w:rsidR="002E474C" w:rsidRDefault="002E474C">
      <w:pPr>
        <w:pStyle w:val="A-z"/>
        <w:rPr>
          <w:color w:val="auto"/>
        </w:rPr>
      </w:pPr>
    </w:p>
    <w:p w14:paraId="618642C3" w14:textId="77777777" w:rsidR="002E474C" w:rsidRDefault="00000000">
      <w:pPr>
        <w:pStyle w:val="31"/>
        <w:spacing w:before="120" w:after="120"/>
        <w:rPr>
          <w:color w:val="auto"/>
        </w:rPr>
      </w:pPr>
      <w:r>
        <w:rPr>
          <w:color w:val="auto"/>
        </w:rPr>
        <w:t>危险废物成分分析</w:t>
      </w:r>
    </w:p>
    <w:p w14:paraId="76BC1A17" w14:textId="77777777" w:rsidR="002E474C" w:rsidRDefault="00000000">
      <w:pPr>
        <w:pStyle w:val="A-z"/>
        <w:rPr>
          <w:color w:val="auto"/>
        </w:rPr>
      </w:pPr>
      <w:bookmarkStart w:id="161" w:name="_Hlk150978751"/>
      <w:r>
        <w:rPr>
          <w:color w:val="auto"/>
        </w:rPr>
        <w:t>本项目协同处置的预处理产物来自吉木萨尔协同处置项目，</w:t>
      </w:r>
      <w:r>
        <w:rPr>
          <w:rFonts w:hint="eastAsia"/>
          <w:color w:val="auto"/>
        </w:rPr>
        <w:t>危废</w:t>
      </w:r>
      <w:r>
        <w:rPr>
          <w:color w:val="auto"/>
        </w:rPr>
        <w:t>类别</w:t>
      </w:r>
      <w:r>
        <w:rPr>
          <w:rFonts w:hint="eastAsia"/>
          <w:color w:val="auto"/>
        </w:rPr>
        <w:t>与</w:t>
      </w:r>
      <w:r>
        <w:rPr>
          <w:color w:val="auto"/>
        </w:rPr>
        <w:t>成分引自《中建合资公司利用新疆中建西部建设水泥制造有限公司水泥窑协同处置危险废物项目环境影响报告书》</w:t>
      </w:r>
      <w:bookmarkEnd w:id="161"/>
      <w:r>
        <w:rPr>
          <w:color w:val="auto"/>
        </w:rPr>
        <w:t>，</w:t>
      </w:r>
      <w:r>
        <w:rPr>
          <w:rFonts w:hint="eastAsia"/>
          <w:color w:val="auto"/>
        </w:rPr>
        <w:t>新增危废类别由建设单位提供。本</w:t>
      </w:r>
      <w:r>
        <w:rPr>
          <w:color w:val="auto"/>
        </w:rPr>
        <w:t>项目拟处置</w:t>
      </w:r>
      <w:r>
        <w:rPr>
          <w:rFonts w:hint="eastAsia"/>
          <w:color w:val="auto"/>
        </w:rPr>
        <w:t>的危废</w:t>
      </w:r>
      <w:r>
        <w:rPr>
          <w:color w:val="auto"/>
        </w:rPr>
        <w:t>成分</w:t>
      </w:r>
      <w:r>
        <w:rPr>
          <w:rFonts w:hint="eastAsia"/>
          <w:color w:val="auto"/>
        </w:rPr>
        <w:t>汇总，</w:t>
      </w:r>
      <w:r>
        <w:rPr>
          <w:color w:val="auto"/>
        </w:rPr>
        <w:t>见表</w:t>
      </w:r>
      <w:r>
        <w:rPr>
          <w:color w:val="auto"/>
        </w:rPr>
        <w:t>3.4-3</w:t>
      </w:r>
      <w:r>
        <w:rPr>
          <w:color w:val="auto"/>
        </w:rPr>
        <w:t>。</w:t>
      </w:r>
    </w:p>
    <w:p w14:paraId="2941C9BC"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5BE501FE" w14:textId="77777777" w:rsidR="002E474C" w:rsidRDefault="00000000">
      <w:pPr>
        <w:pStyle w:val="A--"/>
        <w:rPr>
          <w:color w:val="auto"/>
        </w:rPr>
      </w:pPr>
      <w:r>
        <w:rPr>
          <w:color w:val="auto"/>
        </w:rPr>
        <w:lastRenderedPageBreak/>
        <w:t>表</w:t>
      </w:r>
      <w:r>
        <w:rPr>
          <w:color w:val="auto"/>
        </w:rPr>
        <w:t xml:space="preserve">3.4-3  </w:t>
      </w:r>
      <w:r>
        <w:rPr>
          <w:rFonts w:hint="eastAsia"/>
          <w:color w:val="auto"/>
        </w:rPr>
        <w:t>本</w:t>
      </w:r>
      <w:r>
        <w:rPr>
          <w:color w:val="auto"/>
        </w:rPr>
        <w:t>项目拟处置危险废物成分分析一览表</w:t>
      </w:r>
    </w:p>
    <w:tbl>
      <w:tblPr>
        <w:tblStyle w:val="affff9"/>
        <w:tblW w:w="5000" w:type="pct"/>
        <w:tblLook w:val="04A0" w:firstRow="1" w:lastRow="0" w:firstColumn="1" w:lastColumn="0" w:noHBand="0" w:noVBand="1"/>
      </w:tblPr>
      <w:tblGrid>
        <w:gridCol w:w="1074"/>
        <w:gridCol w:w="618"/>
        <w:gridCol w:w="1476"/>
        <w:gridCol w:w="1525"/>
        <w:gridCol w:w="1896"/>
        <w:gridCol w:w="2219"/>
        <w:gridCol w:w="1525"/>
        <w:gridCol w:w="1659"/>
        <w:gridCol w:w="2438"/>
        <w:gridCol w:w="1319"/>
        <w:gridCol w:w="1319"/>
        <w:gridCol w:w="1896"/>
        <w:gridCol w:w="1709"/>
        <w:gridCol w:w="1691"/>
      </w:tblGrid>
      <w:tr w:rsidR="002E474C" w:rsidRPr="006B27CC" w14:paraId="5A86BBFD" w14:textId="77777777" w:rsidTr="009C3A0E">
        <w:tc>
          <w:tcPr>
            <w:tcW w:w="240" w:type="pct"/>
            <w:vMerge w:val="restart"/>
            <w:vAlign w:val="center"/>
          </w:tcPr>
          <w:p w14:paraId="7B8A5F29" w14:textId="77777777" w:rsidR="002E474C" w:rsidRPr="006B27CC" w:rsidRDefault="00000000" w:rsidP="006B27CC">
            <w:pPr>
              <w:pStyle w:val="A-"/>
              <w:spacing w:line="220" w:lineRule="exact"/>
              <w:ind w:leftChars="-50" w:left="-105" w:rightChars="-50" w:right="-105"/>
            </w:pPr>
            <w:r w:rsidRPr="006B27CC">
              <w:t>危险废物</w:t>
            </w:r>
          </w:p>
          <w:p w14:paraId="0671ABB2" w14:textId="77777777" w:rsidR="002E474C" w:rsidRPr="006B27CC" w:rsidRDefault="00000000" w:rsidP="006B27CC">
            <w:pPr>
              <w:pStyle w:val="A-"/>
              <w:spacing w:line="220" w:lineRule="exact"/>
              <w:ind w:leftChars="-50" w:left="-105" w:rightChars="-50" w:right="-105"/>
            </w:pPr>
            <w:r w:rsidRPr="006B27CC">
              <w:t>类别</w:t>
            </w:r>
          </w:p>
        </w:tc>
        <w:tc>
          <w:tcPr>
            <w:tcW w:w="138" w:type="pct"/>
            <w:vMerge w:val="restart"/>
            <w:vAlign w:val="center"/>
          </w:tcPr>
          <w:p w14:paraId="51D4929F" w14:textId="77777777" w:rsidR="002E474C" w:rsidRPr="006B27CC" w:rsidRDefault="00000000" w:rsidP="006B27CC">
            <w:pPr>
              <w:pStyle w:val="A-"/>
              <w:spacing w:line="220" w:lineRule="exact"/>
            </w:pPr>
            <w:r w:rsidRPr="006B27CC">
              <w:t>单位</w:t>
            </w:r>
          </w:p>
        </w:tc>
        <w:tc>
          <w:tcPr>
            <w:tcW w:w="330" w:type="pct"/>
            <w:vAlign w:val="center"/>
          </w:tcPr>
          <w:p w14:paraId="6309B820" w14:textId="77777777" w:rsidR="002E474C" w:rsidRPr="006B27CC" w:rsidRDefault="00000000" w:rsidP="006B27CC">
            <w:pPr>
              <w:pStyle w:val="A-"/>
              <w:spacing w:line="220" w:lineRule="exact"/>
            </w:pPr>
            <w:r w:rsidRPr="006B27CC">
              <w:t>HW02</w:t>
            </w:r>
          </w:p>
        </w:tc>
        <w:tc>
          <w:tcPr>
            <w:tcW w:w="341" w:type="pct"/>
            <w:vAlign w:val="center"/>
          </w:tcPr>
          <w:p w14:paraId="06E97FB7" w14:textId="77777777" w:rsidR="002E474C" w:rsidRPr="006B27CC" w:rsidRDefault="00000000" w:rsidP="006B27CC">
            <w:pPr>
              <w:pStyle w:val="A-"/>
              <w:spacing w:line="220" w:lineRule="exact"/>
            </w:pPr>
            <w:r w:rsidRPr="006B27CC">
              <w:t>HW03</w:t>
            </w:r>
          </w:p>
        </w:tc>
        <w:tc>
          <w:tcPr>
            <w:tcW w:w="424" w:type="pct"/>
            <w:vAlign w:val="center"/>
          </w:tcPr>
          <w:p w14:paraId="46D54C06" w14:textId="77777777" w:rsidR="002E474C" w:rsidRPr="006B27CC" w:rsidRDefault="00000000" w:rsidP="006B27CC">
            <w:pPr>
              <w:pStyle w:val="A-"/>
              <w:spacing w:line="220" w:lineRule="exact"/>
            </w:pPr>
            <w:r w:rsidRPr="006B27CC">
              <w:t>HW04</w:t>
            </w:r>
          </w:p>
        </w:tc>
        <w:tc>
          <w:tcPr>
            <w:tcW w:w="496" w:type="pct"/>
            <w:vAlign w:val="center"/>
          </w:tcPr>
          <w:p w14:paraId="7FD25306" w14:textId="77777777" w:rsidR="002E474C" w:rsidRPr="006B27CC" w:rsidRDefault="00000000" w:rsidP="006B27CC">
            <w:pPr>
              <w:pStyle w:val="A-"/>
              <w:spacing w:line="220" w:lineRule="exact"/>
            </w:pPr>
            <w:r w:rsidRPr="006B27CC">
              <w:t>HW05</w:t>
            </w:r>
          </w:p>
        </w:tc>
        <w:tc>
          <w:tcPr>
            <w:tcW w:w="341" w:type="pct"/>
            <w:vAlign w:val="center"/>
          </w:tcPr>
          <w:p w14:paraId="42C80D02" w14:textId="77777777" w:rsidR="002E474C" w:rsidRPr="006B27CC" w:rsidRDefault="00000000" w:rsidP="006B27CC">
            <w:pPr>
              <w:pStyle w:val="A-"/>
              <w:spacing w:line="220" w:lineRule="exact"/>
            </w:pPr>
            <w:r w:rsidRPr="006B27CC">
              <w:t>HW06</w:t>
            </w:r>
          </w:p>
        </w:tc>
        <w:tc>
          <w:tcPr>
            <w:tcW w:w="371" w:type="pct"/>
            <w:vAlign w:val="center"/>
          </w:tcPr>
          <w:p w14:paraId="0FA7DB13" w14:textId="77777777" w:rsidR="002E474C" w:rsidRPr="006B27CC" w:rsidRDefault="00000000" w:rsidP="006B27CC">
            <w:pPr>
              <w:pStyle w:val="A-"/>
              <w:spacing w:line="220" w:lineRule="exact"/>
            </w:pPr>
            <w:r w:rsidRPr="006B27CC">
              <w:t>HW07</w:t>
            </w:r>
          </w:p>
        </w:tc>
        <w:tc>
          <w:tcPr>
            <w:tcW w:w="545" w:type="pct"/>
            <w:vAlign w:val="center"/>
          </w:tcPr>
          <w:p w14:paraId="358C171C" w14:textId="77777777" w:rsidR="002E474C" w:rsidRPr="006B27CC" w:rsidRDefault="00000000" w:rsidP="006B27CC">
            <w:pPr>
              <w:pStyle w:val="A-"/>
              <w:spacing w:line="220" w:lineRule="exact"/>
            </w:pPr>
            <w:r w:rsidRPr="006B27CC">
              <w:t>HW08</w:t>
            </w:r>
          </w:p>
        </w:tc>
        <w:tc>
          <w:tcPr>
            <w:tcW w:w="295" w:type="pct"/>
            <w:vAlign w:val="center"/>
          </w:tcPr>
          <w:p w14:paraId="5A5F5148" w14:textId="77777777" w:rsidR="002E474C" w:rsidRPr="006B27CC" w:rsidRDefault="00000000" w:rsidP="006B27CC">
            <w:pPr>
              <w:pStyle w:val="A-"/>
              <w:spacing w:line="220" w:lineRule="exact"/>
            </w:pPr>
            <w:r w:rsidRPr="006B27CC">
              <w:t>HW09</w:t>
            </w:r>
          </w:p>
        </w:tc>
        <w:tc>
          <w:tcPr>
            <w:tcW w:w="295" w:type="pct"/>
            <w:vAlign w:val="center"/>
          </w:tcPr>
          <w:p w14:paraId="15BE1545" w14:textId="77777777" w:rsidR="002E474C" w:rsidRPr="006B27CC" w:rsidRDefault="00000000" w:rsidP="006B27CC">
            <w:pPr>
              <w:pStyle w:val="A-"/>
              <w:spacing w:line="220" w:lineRule="exact"/>
            </w:pPr>
            <w:r w:rsidRPr="006B27CC">
              <w:t>HW11</w:t>
            </w:r>
          </w:p>
        </w:tc>
        <w:tc>
          <w:tcPr>
            <w:tcW w:w="424" w:type="pct"/>
            <w:vAlign w:val="center"/>
          </w:tcPr>
          <w:p w14:paraId="3842B0F0" w14:textId="77777777" w:rsidR="002E474C" w:rsidRPr="006B27CC" w:rsidRDefault="00000000" w:rsidP="006B27CC">
            <w:pPr>
              <w:pStyle w:val="A-"/>
              <w:spacing w:line="220" w:lineRule="exact"/>
            </w:pPr>
            <w:r w:rsidRPr="006B27CC">
              <w:t>HW12</w:t>
            </w:r>
          </w:p>
        </w:tc>
        <w:tc>
          <w:tcPr>
            <w:tcW w:w="382" w:type="pct"/>
            <w:vAlign w:val="center"/>
          </w:tcPr>
          <w:p w14:paraId="718ABBDB" w14:textId="77777777" w:rsidR="002E474C" w:rsidRPr="006B27CC" w:rsidRDefault="00000000" w:rsidP="006B27CC">
            <w:pPr>
              <w:pStyle w:val="A-"/>
              <w:spacing w:line="220" w:lineRule="exact"/>
            </w:pPr>
            <w:r w:rsidRPr="006B27CC">
              <w:t>HW13</w:t>
            </w:r>
          </w:p>
        </w:tc>
        <w:tc>
          <w:tcPr>
            <w:tcW w:w="379" w:type="pct"/>
            <w:vAlign w:val="center"/>
          </w:tcPr>
          <w:p w14:paraId="7255A423" w14:textId="77777777" w:rsidR="002E474C" w:rsidRPr="006B27CC" w:rsidRDefault="00000000" w:rsidP="006B27CC">
            <w:pPr>
              <w:pStyle w:val="A-"/>
              <w:spacing w:line="220" w:lineRule="exact"/>
            </w:pPr>
            <w:r w:rsidRPr="006B27CC">
              <w:t>HW14</w:t>
            </w:r>
          </w:p>
        </w:tc>
      </w:tr>
      <w:tr w:rsidR="002E474C" w:rsidRPr="006B27CC" w14:paraId="7B3CB435" w14:textId="77777777" w:rsidTr="009C3A0E">
        <w:tc>
          <w:tcPr>
            <w:tcW w:w="240" w:type="pct"/>
            <w:vMerge/>
            <w:vAlign w:val="center"/>
          </w:tcPr>
          <w:p w14:paraId="7DE6BAB0" w14:textId="77777777" w:rsidR="002E474C" w:rsidRPr="006B27CC" w:rsidRDefault="002E474C" w:rsidP="006B27CC">
            <w:pPr>
              <w:pStyle w:val="A-"/>
              <w:spacing w:line="220" w:lineRule="exact"/>
            </w:pPr>
          </w:p>
        </w:tc>
        <w:tc>
          <w:tcPr>
            <w:tcW w:w="138" w:type="pct"/>
            <w:vMerge/>
            <w:vAlign w:val="center"/>
          </w:tcPr>
          <w:p w14:paraId="1794F3B7" w14:textId="77777777" w:rsidR="002E474C" w:rsidRPr="006B27CC" w:rsidRDefault="002E474C" w:rsidP="006B27CC">
            <w:pPr>
              <w:pStyle w:val="A-"/>
              <w:spacing w:line="220" w:lineRule="exact"/>
            </w:pPr>
          </w:p>
        </w:tc>
        <w:tc>
          <w:tcPr>
            <w:tcW w:w="330" w:type="pct"/>
            <w:vAlign w:val="center"/>
          </w:tcPr>
          <w:p w14:paraId="48567E09" w14:textId="77777777" w:rsidR="002E474C" w:rsidRPr="006B27CC" w:rsidRDefault="00000000" w:rsidP="006B27CC">
            <w:pPr>
              <w:pStyle w:val="A-"/>
              <w:spacing w:line="220" w:lineRule="exact"/>
            </w:pPr>
            <w:r w:rsidRPr="006B27CC">
              <w:t>医药废物</w:t>
            </w:r>
          </w:p>
        </w:tc>
        <w:tc>
          <w:tcPr>
            <w:tcW w:w="341" w:type="pct"/>
            <w:vAlign w:val="center"/>
          </w:tcPr>
          <w:p w14:paraId="392DEED8" w14:textId="77777777" w:rsidR="002E474C" w:rsidRPr="006B27CC" w:rsidRDefault="00000000" w:rsidP="006B27CC">
            <w:pPr>
              <w:pStyle w:val="A-"/>
              <w:spacing w:line="220" w:lineRule="exact"/>
            </w:pPr>
            <w:r w:rsidRPr="006B27CC">
              <w:t>废药物、药品</w:t>
            </w:r>
          </w:p>
        </w:tc>
        <w:tc>
          <w:tcPr>
            <w:tcW w:w="424" w:type="pct"/>
            <w:vAlign w:val="center"/>
          </w:tcPr>
          <w:p w14:paraId="3230AA90" w14:textId="77777777" w:rsidR="002E474C" w:rsidRPr="006B27CC" w:rsidRDefault="00000000" w:rsidP="006B27CC">
            <w:pPr>
              <w:pStyle w:val="A-"/>
              <w:spacing w:line="220" w:lineRule="exact"/>
            </w:pPr>
            <w:r w:rsidRPr="006B27CC">
              <w:t>农药废物</w:t>
            </w:r>
          </w:p>
        </w:tc>
        <w:tc>
          <w:tcPr>
            <w:tcW w:w="496" w:type="pct"/>
            <w:vAlign w:val="center"/>
          </w:tcPr>
          <w:p w14:paraId="100C24D7" w14:textId="77777777" w:rsidR="002E474C" w:rsidRPr="006B27CC" w:rsidRDefault="00000000" w:rsidP="006B27CC">
            <w:pPr>
              <w:pStyle w:val="A-"/>
              <w:spacing w:line="220" w:lineRule="exact"/>
            </w:pPr>
            <w:r w:rsidRPr="006B27CC">
              <w:t>木材防腐剂废物</w:t>
            </w:r>
          </w:p>
        </w:tc>
        <w:tc>
          <w:tcPr>
            <w:tcW w:w="341" w:type="pct"/>
            <w:vAlign w:val="center"/>
          </w:tcPr>
          <w:p w14:paraId="3CEE0D5E" w14:textId="77777777" w:rsidR="002E474C" w:rsidRPr="006B27CC" w:rsidRDefault="00000000" w:rsidP="006B27CC">
            <w:pPr>
              <w:pStyle w:val="A-"/>
              <w:spacing w:line="220" w:lineRule="exact"/>
              <w:ind w:leftChars="-50" w:left="-105" w:rightChars="-50" w:right="-105"/>
            </w:pPr>
            <w:r w:rsidRPr="006B27CC">
              <w:t>有机溶剂废物</w:t>
            </w:r>
          </w:p>
        </w:tc>
        <w:tc>
          <w:tcPr>
            <w:tcW w:w="371" w:type="pct"/>
            <w:vAlign w:val="center"/>
          </w:tcPr>
          <w:p w14:paraId="1383B102" w14:textId="77777777" w:rsidR="002E474C" w:rsidRPr="006B27CC" w:rsidRDefault="00000000" w:rsidP="006B27CC">
            <w:pPr>
              <w:pStyle w:val="A-"/>
              <w:spacing w:line="220" w:lineRule="exact"/>
              <w:ind w:leftChars="-50" w:left="-105" w:rightChars="-50" w:right="-105"/>
            </w:pPr>
            <w:r w:rsidRPr="006B27CC">
              <w:t>热处理含氰废物</w:t>
            </w:r>
          </w:p>
        </w:tc>
        <w:tc>
          <w:tcPr>
            <w:tcW w:w="545" w:type="pct"/>
            <w:vAlign w:val="center"/>
          </w:tcPr>
          <w:p w14:paraId="3E2A55BF" w14:textId="77777777" w:rsidR="002E474C" w:rsidRPr="006B27CC" w:rsidRDefault="00000000" w:rsidP="006B27CC">
            <w:pPr>
              <w:pStyle w:val="A-"/>
              <w:spacing w:line="220" w:lineRule="exact"/>
              <w:ind w:leftChars="-50" w:left="-105" w:rightChars="-50" w:right="-105"/>
            </w:pPr>
            <w:r w:rsidRPr="006B27CC">
              <w:t>废矿物油与含矿物油废物</w:t>
            </w:r>
          </w:p>
        </w:tc>
        <w:tc>
          <w:tcPr>
            <w:tcW w:w="295" w:type="pct"/>
            <w:vAlign w:val="center"/>
          </w:tcPr>
          <w:p w14:paraId="792846D1" w14:textId="77777777" w:rsidR="002E474C" w:rsidRPr="006B27CC" w:rsidRDefault="00000000" w:rsidP="006B27CC">
            <w:pPr>
              <w:pStyle w:val="A-"/>
              <w:spacing w:line="220" w:lineRule="exact"/>
            </w:pPr>
            <w:r w:rsidRPr="006B27CC">
              <w:t>乳化液</w:t>
            </w:r>
          </w:p>
        </w:tc>
        <w:tc>
          <w:tcPr>
            <w:tcW w:w="295" w:type="pct"/>
            <w:vAlign w:val="center"/>
          </w:tcPr>
          <w:p w14:paraId="1931B63E" w14:textId="77777777" w:rsidR="002E474C" w:rsidRPr="006B27CC" w:rsidRDefault="00000000" w:rsidP="006B27CC">
            <w:pPr>
              <w:pStyle w:val="A-"/>
              <w:spacing w:line="220" w:lineRule="exact"/>
            </w:pPr>
            <w:r w:rsidRPr="006B27CC">
              <w:t>精蒸馏残渣</w:t>
            </w:r>
          </w:p>
        </w:tc>
        <w:tc>
          <w:tcPr>
            <w:tcW w:w="424" w:type="pct"/>
            <w:vAlign w:val="center"/>
          </w:tcPr>
          <w:p w14:paraId="232914CF" w14:textId="77777777" w:rsidR="002E474C" w:rsidRPr="006B27CC" w:rsidRDefault="00000000" w:rsidP="006B27CC">
            <w:pPr>
              <w:pStyle w:val="A-"/>
              <w:spacing w:line="220" w:lineRule="exact"/>
            </w:pPr>
            <w:r w:rsidRPr="006B27CC">
              <w:t>染料、涂料废物</w:t>
            </w:r>
          </w:p>
        </w:tc>
        <w:tc>
          <w:tcPr>
            <w:tcW w:w="382" w:type="pct"/>
            <w:vAlign w:val="center"/>
          </w:tcPr>
          <w:p w14:paraId="7A100A15" w14:textId="77777777" w:rsidR="002E474C" w:rsidRPr="006B27CC" w:rsidRDefault="00000000" w:rsidP="006B27CC">
            <w:pPr>
              <w:pStyle w:val="A-"/>
              <w:spacing w:line="220" w:lineRule="exact"/>
              <w:ind w:leftChars="-50" w:left="-105" w:rightChars="-50" w:right="-105"/>
            </w:pPr>
            <w:r w:rsidRPr="006B27CC">
              <w:t>有机树脂类废物</w:t>
            </w:r>
          </w:p>
        </w:tc>
        <w:tc>
          <w:tcPr>
            <w:tcW w:w="379" w:type="pct"/>
            <w:vAlign w:val="center"/>
          </w:tcPr>
          <w:p w14:paraId="545FD35F" w14:textId="77777777" w:rsidR="002E474C" w:rsidRPr="006B27CC" w:rsidRDefault="00000000" w:rsidP="006B27CC">
            <w:pPr>
              <w:pStyle w:val="A-"/>
              <w:spacing w:line="220" w:lineRule="exact"/>
              <w:ind w:leftChars="-50" w:left="-105" w:rightChars="-50" w:right="-105"/>
            </w:pPr>
            <w:r w:rsidRPr="006B27CC">
              <w:t>新化学物质废物</w:t>
            </w:r>
          </w:p>
        </w:tc>
      </w:tr>
      <w:tr w:rsidR="002E474C" w:rsidRPr="006B27CC" w14:paraId="1A483EF6" w14:textId="77777777" w:rsidTr="009C3A0E">
        <w:tc>
          <w:tcPr>
            <w:tcW w:w="240" w:type="pct"/>
          </w:tcPr>
          <w:p w14:paraId="62DA4725" w14:textId="77777777" w:rsidR="002E474C" w:rsidRPr="006B27CC" w:rsidRDefault="00000000" w:rsidP="006B27CC">
            <w:pPr>
              <w:pStyle w:val="A-"/>
              <w:spacing w:line="220" w:lineRule="exact"/>
            </w:pPr>
            <w:r w:rsidRPr="006B27CC">
              <w:t>含水率</w:t>
            </w:r>
          </w:p>
        </w:tc>
        <w:tc>
          <w:tcPr>
            <w:tcW w:w="138" w:type="pct"/>
          </w:tcPr>
          <w:p w14:paraId="6AE833E0" w14:textId="77777777" w:rsidR="002E474C" w:rsidRPr="006B27CC" w:rsidRDefault="00000000" w:rsidP="006B27CC">
            <w:pPr>
              <w:pStyle w:val="A-"/>
              <w:spacing w:line="220" w:lineRule="exact"/>
            </w:pPr>
            <w:r w:rsidRPr="006B27CC">
              <w:t>%</w:t>
            </w:r>
          </w:p>
        </w:tc>
        <w:tc>
          <w:tcPr>
            <w:tcW w:w="330" w:type="pct"/>
          </w:tcPr>
          <w:p w14:paraId="691B059E" w14:textId="77777777" w:rsidR="002E474C" w:rsidRPr="006B27CC" w:rsidRDefault="002E474C" w:rsidP="006B27CC">
            <w:pPr>
              <w:pStyle w:val="A-"/>
              <w:spacing w:line="220" w:lineRule="exact"/>
            </w:pPr>
          </w:p>
        </w:tc>
        <w:tc>
          <w:tcPr>
            <w:tcW w:w="341" w:type="pct"/>
          </w:tcPr>
          <w:p w14:paraId="4CB3784E" w14:textId="77777777" w:rsidR="002E474C" w:rsidRPr="006B27CC" w:rsidRDefault="002E474C" w:rsidP="006B27CC">
            <w:pPr>
              <w:pStyle w:val="A-"/>
              <w:spacing w:line="220" w:lineRule="exact"/>
            </w:pPr>
          </w:p>
        </w:tc>
        <w:tc>
          <w:tcPr>
            <w:tcW w:w="424" w:type="pct"/>
          </w:tcPr>
          <w:p w14:paraId="1C1B367C" w14:textId="77777777" w:rsidR="002E474C" w:rsidRPr="006B27CC" w:rsidRDefault="00000000" w:rsidP="006B27CC">
            <w:pPr>
              <w:pStyle w:val="A-"/>
              <w:spacing w:line="220" w:lineRule="exact"/>
            </w:pPr>
            <w:r w:rsidRPr="006B27CC">
              <w:t>17.8</w:t>
            </w:r>
          </w:p>
        </w:tc>
        <w:tc>
          <w:tcPr>
            <w:tcW w:w="496" w:type="pct"/>
          </w:tcPr>
          <w:p w14:paraId="5B05E6F9" w14:textId="77777777" w:rsidR="002E474C" w:rsidRPr="006B27CC" w:rsidRDefault="00000000" w:rsidP="006B27CC">
            <w:pPr>
              <w:pStyle w:val="A-"/>
              <w:spacing w:line="220" w:lineRule="exact"/>
            </w:pPr>
            <w:r w:rsidRPr="006B27CC">
              <w:t>62.48</w:t>
            </w:r>
          </w:p>
        </w:tc>
        <w:tc>
          <w:tcPr>
            <w:tcW w:w="341" w:type="pct"/>
          </w:tcPr>
          <w:p w14:paraId="0C7AB394" w14:textId="77777777" w:rsidR="002E474C" w:rsidRPr="006B27CC" w:rsidRDefault="00000000" w:rsidP="006B27CC">
            <w:pPr>
              <w:pStyle w:val="A-"/>
              <w:spacing w:line="220" w:lineRule="exact"/>
            </w:pPr>
            <w:r w:rsidRPr="006B27CC">
              <w:t>86.5</w:t>
            </w:r>
          </w:p>
        </w:tc>
        <w:tc>
          <w:tcPr>
            <w:tcW w:w="371" w:type="pct"/>
          </w:tcPr>
          <w:p w14:paraId="5A47F56D" w14:textId="77777777" w:rsidR="002E474C" w:rsidRPr="006B27CC" w:rsidRDefault="00000000" w:rsidP="006B27CC">
            <w:pPr>
              <w:pStyle w:val="A-"/>
              <w:spacing w:line="220" w:lineRule="exact"/>
            </w:pPr>
            <w:r w:rsidRPr="006B27CC">
              <w:t>18.9</w:t>
            </w:r>
          </w:p>
        </w:tc>
        <w:tc>
          <w:tcPr>
            <w:tcW w:w="545" w:type="pct"/>
          </w:tcPr>
          <w:p w14:paraId="159F4D70" w14:textId="77777777" w:rsidR="002E474C" w:rsidRPr="006B27CC" w:rsidRDefault="00000000" w:rsidP="006B27CC">
            <w:pPr>
              <w:pStyle w:val="A-"/>
              <w:spacing w:line="220" w:lineRule="exact"/>
            </w:pPr>
            <w:r w:rsidRPr="006B27CC">
              <w:t>17.5</w:t>
            </w:r>
          </w:p>
        </w:tc>
        <w:tc>
          <w:tcPr>
            <w:tcW w:w="295" w:type="pct"/>
          </w:tcPr>
          <w:p w14:paraId="1B6A7850" w14:textId="77777777" w:rsidR="002E474C" w:rsidRPr="006B27CC" w:rsidRDefault="00000000" w:rsidP="006B27CC">
            <w:pPr>
              <w:pStyle w:val="A-"/>
              <w:spacing w:line="220" w:lineRule="exact"/>
            </w:pPr>
            <w:r w:rsidRPr="006B27CC">
              <w:t>89</w:t>
            </w:r>
          </w:p>
        </w:tc>
        <w:tc>
          <w:tcPr>
            <w:tcW w:w="295" w:type="pct"/>
          </w:tcPr>
          <w:p w14:paraId="5E96587F" w14:textId="77777777" w:rsidR="002E474C" w:rsidRPr="006B27CC" w:rsidRDefault="00000000" w:rsidP="006B27CC">
            <w:pPr>
              <w:pStyle w:val="A-"/>
              <w:spacing w:line="220" w:lineRule="exact"/>
            </w:pPr>
            <w:r w:rsidRPr="006B27CC">
              <w:t>95.4</w:t>
            </w:r>
          </w:p>
        </w:tc>
        <w:tc>
          <w:tcPr>
            <w:tcW w:w="424" w:type="pct"/>
          </w:tcPr>
          <w:p w14:paraId="48CDEC42" w14:textId="77777777" w:rsidR="002E474C" w:rsidRPr="006B27CC" w:rsidRDefault="00000000" w:rsidP="006B27CC">
            <w:pPr>
              <w:pStyle w:val="A-"/>
              <w:spacing w:line="220" w:lineRule="exact"/>
            </w:pPr>
            <w:r w:rsidRPr="006B27CC">
              <w:t>27.7</w:t>
            </w:r>
          </w:p>
        </w:tc>
        <w:tc>
          <w:tcPr>
            <w:tcW w:w="382" w:type="pct"/>
          </w:tcPr>
          <w:p w14:paraId="1EED7DF0" w14:textId="77777777" w:rsidR="002E474C" w:rsidRPr="006B27CC" w:rsidRDefault="00000000" w:rsidP="006B27CC">
            <w:pPr>
              <w:pStyle w:val="A-"/>
              <w:spacing w:line="220" w:lineRule="exact"/>
            </w:pPr>
            <w:r w:rsidRPr="006B27CC">
              <w:t>4.75</w:t>
            </w:r>
          </w:p>
        </w:tc>
        <w:tc>
          <w:tcPr>
            <w:tcW w:w="379" w:type="pct"/>
          </w:tcPr>
          <w:p w14:paraId="1805317D" w14:textId="77777777" w:rsidR="002E474C" w:rsidRPr="006B27CC" w:rsidRDefault="002E474C" w:rsidP="006B27CC">
            <w:pPr>
              <w:pStyle w:val="A-"/>
              <w:spacing w:line="220" w:lineRule="exact"/>
            </w:pPr>
          </w:p>
        </w:tc>
      </w:tr>
      <w:tr w:rsidR="002E474C" w:rsidRPr="006B27CC" w14:paraId="323CB8EE" w14:textId="77777777" w:rsidTr="009C3A0E">
        <w:tc>
          <w:tcPr>
            <w:tcW w:w="240" w:type="pct"/>
          </w:tcPr>
          <w:p w14:paraId="60A41FD5" w14:textId="77777777" w:rsidR="002E474C" w:rsidRPr="006B27CC" w:rsidRDefault="00000000" w:rsidP="006B27CC">
            <w:pPr>
              <w:pStyle w:val="A-"/>
              <w:spacing w:line="220" w:lineRule="exact"/>
            </w:pPr>
            <w:r w:rsidRPr="006B27CC">
              <w:t>热值</w:t>
            </w:r>
          </w:p>
        </w:tc>
        <w:tc>
          <w:tcPr>
            <w:tcW w:w="138" w:type="pct"/>
          </w:tcPr>
          <w:p w14:paraId="13661EA0" w14:textId="77777777" w:rsidR="002E474C" w:rsidRPr="006B27CC" w:rsidRDefault="00000000" w:rsidP="006B27CC">
            <w:pPr>
              <w:pStyle w:val="A-"/>
              <w:spacing w:line="220" w:lineRule="exact"/>
            </w:pPr>
            <w:r w:rsidRPr="006B27CC">
              <w:t>J/g</w:t>
            </w:r>
          </w:p>
        </w:tc>
        <w:tc>
          <w:tcPr>
            <w:tcW w:w="330" w:type="pct"/>
          </w:tcPr>
          <w:p w14:paraId="4FB19759" w14:textId="77777777" w:rsidR="002E474C" w:rsidRPr="006B27CC" w:rsidRDefault="00000000" w:rsidP="006B27CC">
            <w:pPr>
              <w:pStyle w:val="A-"/>
              <w:spacing w:line="220" w:lineRule="exact"/>
            </w:pPr>
            <w:r w:rsidRPr="006B27CC">
              <w:t xml:space="preserve">2471.10 </w:t>
            </w:r>
          </w:p>
        </w:tc>
        <w:tc>
          <w:tcPr>
            <w:tcW w:w="341" w:type="pct"/>
          </w:tcPr>
          <w:p w14:paraId="6B080626" w14:textId="77777777" w:rsidR="002E474C" w:rsidRPr="006B27CC" w:rsidRDefault="002E474C" w:rsidP="006B27CC">
            <w:pPr>
              <w:pStyle w:val="A-"/>
              <w:spacing w:line="220" w:lineRule="exact"/>
            </w:pPr>
          </w:p>
        </w:tc>
        <w:tc>
          <w:tcPr>
            <w:tcW w:w="424" w:type="pct"/>
          </w:tcPr>
          <w:p w14:paraId="2DE0D153" w14:textId="77777777" w:rsidR="002E474C" w:rsidRPr="006B27CC" w:rsidRDefault="00000000" w:rsidP="006B27CC">
            <w:pPr>
              <w:pStyle w:val="A-"/>
              <w:spacing w:line="220" w:lineRule="exact"/>
            </w:pPr>
            <w:r w:rsidRPr="006B27CC">
              <w:t>193.5</w:t>
            </w:r>
          </w:p>
        </w:tc>
        <w:tc>
          <w:tcPr>
            <w:tcW w:w="496" w:type="pct"/>
          </w:tcPr>
          <w:p w14:paraId="24CB17D3" w14:textId="77777777" w:rsidR="002E474C" w:rsidRPr="006B27CC" w:rsidRDefault="00000000" w:rsidP="006B27CC">
            <w:pPr>
              <w:pStyle w:val="A-"/>
              <w:spacing w:line="220" w:lineRule="exact"/>
            </w:pPr>
            <w:r w:rsidRPr="006B27CC">
              <w:t>23289.2</w:t>
            </w:r>
          </w:p>
        </w:tc>
        <w:tc>
          <w:tcPr>
            <w:tcW w:w="341" w:type="pct"/>
          </w:tcPr>
          <w:p w14:paraId="1E5DB5BF" w14:textId="77777777" w:rsidR="002E474C" w:rsidRPr="006B27CC" w:rsidRDefault="00000000" w:rsidP="006B27CC">
            <w:pPr>
              <w:pStyle w:val="A-"/>
              <w:spacing w:line="220" w:lineRule="exact"/>
            </w:pPr>
            <w:r w:rsidRPr="006B27CC">
              <w:t>2841</w:t>
            </w:r>
          </w:p>
        </w:tc>
        <w:tc>
          <w:tcPr>
            <w:tcW w:w="371" w:type="pct"/>
          </w:tcPr>
          <w:p w14:paraId="0C122DCB" w14:textId="77777777" w:rsidR="002E474C" w:rsidRPr="006B27CC" w:rsidRDefault="00000000" w:rsidP="006B27CC">
            <w:pPr>
              <w:pStyle w:val="A-"/>
              <w:spacing w:line="220" w:lineRule="exact"/>
            </w:pPr>
            <w:r w:rsidRPr="006B27CC">
              <w:t>19.34</w:t>
            </w:r>
          </w:p>
        </w:tc>
        <w:tc>
          <w:tcPr>
            <w:tcW w:w="545" w:type="pct"/>
          </w:tcPr>
          <w:p w14:paraId="30736A36" w14:textId="77777777" w:rsidR="002E474C" w:rsidRPr="006B27CC" w:rsidRDefault="00000000" w:rsidP="006B27CC">
            <w:pPr>
              <w:pStyle w:val="A-"/>
              <w:spacing w:line="220" w:lineRule="exact"/>
            </w:pPr>
            <w:r w:rsidRPr="006B27CC">
              <w:t>3469</w:t>
            </w:r>
          </w:p>
        </w:tc>
        <w:tc>
          <w:tcPr>
            <w:tcW w:w="295" w:type="pct"/>
          </w:tcPr>
          <w:p w14:paraId="56BE6C90" w14:textId="77777777" w:rsidR="002E474C" w:rsidRPr="006B27CC" w:rsidRDefault="00000000" w:rsidP="006B27CC">
            <w:pPr>
              <w:pStyle w:val="A-"/>
              <w:spacing w:line="220" w:lineRule="exact"/>
            </w:pPr>
            <w:r w:rsidRPr="006B27CC">
              <w:t>586.5</w:t>
            </w:r>
          </w:p>
        </w:tc>
        <w:tc>
          <w:tcPr>
            <w:tcW w:w="295" w:type="pct"/>
          </w:tcPr>
          <w:p w14:paraId="6257AD12" w14:textId="77777777" w:rsidR="002E474C" w:rsidRPr="006B27CC" w:rsidRDefault="00000000" w:rsidP="006B27CC">
            <w:pPr>
              <w:pStyle w:val="A-"/>
              <w:spacing w:line="220" w:lineRule="exact"/>
            </w:pPr>
            <w:r w:rsidRPr="006B27CC">
              <w:t>169.7</w:t>
            </w:r>
          </w:p>
        </w:tc>
        <w:tc>
          <w:tcPr>
            <w:tcW w:w="424" w:type="pct"/>
          </w:tcPr>
          <w:p w14:paraId="589786CC" w14:textId="77777777" w:rsidR="002E474C" w:rsidRPr="006B27CC" w:rsidRDefault="00000000" w:rsidP="006B27CC">
            <w:pPr>
              <w:pStyle w:val="A-"/>
              <w:spacing w:line="220" w:lineRule="exact"/>
            </w:pPr>
            <w:r w:rsidRPr="006B27CC">
              <w:t>3015.3</w:t>
            </w:r>
          </w:p>
        </w:tc>
        <w:tc>
          <w:tcPr>
            <w:tcW w:w="382" w:type="pct"/>
          </w:tcPr>
          <w:p w14:paraId="481B123B" w14:textId="77777777" w:rsidR="002E474C" w:rsidRPr="006B27CC" w:rsidRDefault="00000000" w:rsidP="006B27CC">
            <w:pPr>
              <w:pStyle w:val="A-"/>
              <w:spacing w:line="220" w:lineRule="exact"/>
            </w:pPr>
            <w:r w:rsidRPr="006B27CC">
              <w:t xml:space="preserve">3155.40 </w:t>
            </w:r>
          </w:p>
        </w:tc>
        <w:tc>
          <w:tcPr>
            <w:tcW w:w="379" w:type="pct"/>
          </w:tcPr>
          <w:p w14:paraId="51973E45" w14:textId="77777777" w:rsidR="002E474C" w:rsidRPr="006B27CC" w:rsidRDefault="002E474C" w:rsidP="006B27CC">
            <w:pPr>
              <w:pStyle w:val="A-"/>
              <w:spacing w:line="220" w:lineRule="exact"/>
            </w:pPr>
          </w:p>
        </w:tc>
      </w:tr>
      <w:tr w:rsidR="002E474C" w:rsidRPr="006B27CC" w14:paraId="7720915C" w14:textId="77777777" w:rsidTr="009C3A0E">
        <w:tc>
          <w:tcPr>
            <w:tcW w:w="240" w:type="pct"/>
          </w:tcPr>
          <w:p w14:paraId="5E8F5076" w14:textId="77777777" w:rsidR="002E474C" w:rsidRPr="006B27CC" w:rsidRDefault="00000000" w:rsidP="006B27CC">
            <w:pPr>
              <w:pStyle w:val="A-"/>
              <w:spacing w:line="220" w:lineRule="exact"/>
            </w:pPr>
            <w:r w:rsidRPr="006B27CC">
              <w:t>SiO</w:t>
            </w:r>
            <w:r w:rsidRPr="006B27CC">
              <w:rPr>
                <w:vertAlign w:val="subscript"/>
              </w:rPr>
              <w:t>2</w:t>
            </w:r>
          </w:p>
        </w:tc>
        <w:tc>
          <w:tcPr>
            <w:tcW w:w="138" w:type="pct"/>
          </w:tcPr>
          <w:p w14:paraId="3B0E9C14" w14:textId="77777777" w:rsidR="002E474C" w:rsidRPr="006B27CC" w:rsidRDefault="00000000" w:rsidP="006B27CC">
            <w:pPr>
              <w:pStyle w:val="A-"/>
              <w:spacing w:line="220" w:lineRule="exact"/>
            </w:pPr>
            <w:r w:rsidRPr="006B27CC">
              <w:t>%</w:t>
            </w:r>
          </w:p>
        </w:tc>
        <w:tc>
          <w:tcPr>
            <w:tcW w:w="330" w:type="pct"/>
          </w:tcPr>
          <w:p w14:paraId="3A86839B" w14:textId="77777777" w:rsidR="002E474C" w:rsidRPr="006B27CC" w:rsidRDefault="00000000" w:rsidP="006B27CC">
            <w:pPr>
              <w:pStyle w:val="A-"/>
              <w:spacing w:line="220" w:lineRule="exact"/>
            </w:pPr>
            <w:r w:rsidRPr="006B27CC">
              <w:t>19.287</w:t>
            </w:r>
          </w:p>
        </w:tc>
        <w:tc>
          <w:tcPr>
            <w:tcW w:w="341" w:type="pct"/>
          </w:tcPr>
          <w:p w14:paraId="5573B111" w14:textId="77777777" w:rsidR="002E474C" w:rsidRPr="006B27CC" w:rsidRDefault="00000000" w:rsidP="006B27CC">
            <w:pPr>
              <w:pStyle w:val="A-"/>
              <w:spacing w:line="220" w:lineRule="exact"/>
            </w:pPr>
            <w:r w:rsidRPr="006B27CC">
              <w:t>19.287</w:t>
            </w:r>
          </w:p>
        </w:tc>
        <w:tc>
          <w:tcPr>
            <w:tcW w:w="424" w:type="pct"/>
          </w:tcPr>
          <w:p w14:paraId="525CB842" w14:textId="77777777" w:rsidR="002E474C" w:rsidRPr="006B27CC" w:rsidRDefault="00000000" w:rsidP="006B27CC">
            <w:pPr>
              <w:pStyle w:val="A-"/>
              <w:spacing w:line="220" w:lineRule="exact"/>
            </w:pPr>
            <w:r w:rsidRPr="006B27CC">
              <w:t>8.6</w:t>
            </w:r>
          </w:p>
        </w:tc>
        <w:tc>
          <w:tcPr>
            <w:tcW w:w="496" w:type="pct"/>
          </w:tcPr>
          <w:p w14:paraId="4A15A912" w14:textId="77777777" w:rsidR="002E474C" w:rsidRPr="006B27CC" w:rsidRDefault="00000000" w:rsidP="006B27CC">
            <w:pPr>
              <w:pStyle w:val="A-"/>
              <w:spacing w:line="220" w:lineRule="exact"/>
            </w:pPr>
            <w:r w:rsidRPr="006B27CC">
              <w:t>50.618</w:t>
            </w:r>
          </w:p>
        </w:tc>
        <w:tc>
          <w:tcPr>
            <w:tcW w:w="341" w:type="pct"/>
          </w:tcPr>
          <w:p w14:paraId="3C04035D" w14:textId="77777777" w:rsidR="002E474C" w:rsidRPr="006B27CC" w:rsidRDefault="00000000" w:rsidP="006B27CC">
            <w:pPr>
              <w:pStyle w:val="A-"/>
              <w:spacing w:line="220" w:lineRule="exact"/>
            </w:pPr>
            <w:r w:rsidRPr="006B27CC">
              <w:t>0.3</w:t>
            </w:r>
          </w:p>
        </w:tc>
        <w:tc>
          <w:tcPr>
            <w:tcW w:w="371" w:type="pct"/>
          </w:tcPr>
          <w:p w14:paraId="0101C8E0" w14:textId="77777777" w:rsidR="002E474C" w:rsidRPr="006B27CC" w:rsidRDefault="00000000" w:rsidP="006B27CC">
            <w:pPr>
              <w:pStyle w:val="A-"/>
              <w:spacing w:line="220" w:lineRule="exact"/>
            </w:pPr>
            <w:r w:rsidRPr="006B27CC">
              <w:t>38.473</w:t>
            </w:r>
          </w:p>
        </w:tc>
        <w:tc>
          <w:tcPr>
            <w:tcW w:w="545" w:type="pct"/>
          </w:tcPr>
          <w:p w14:paraId="3C83F4CB" w14:textId="77777777" w:rsidR="002E474C" w:rsidRPr="006B27CC" w:rsidRDefault="00000000" w:rsidP="006B27CC">
            <w:pPr>
              <w:pStyle w:val="A-"/>
              <w:spacing w:line="220" w:lineRule="exact"/>
            </w:pPr>
            <w:r w:rsidRPr="006B27CC">
              <w:t>12.3</w:t>
            </w:r>
          </w:p>
        </w:tc>
        <w:tc>
          <w:tcPr>
            <w:tcW w:w="295" w:type="pct"/>
          </w:tcPr>
          <w:p w14:paraId="2D52EB29" w14:textId="77777777" w:rsidR="002E474C" w:rsidRPr="006B27CC" w:rsidRDefault="00000000" w:rsidP="006B27CC">
            <w:pPr>
              <w:pStyle w:val="A-"/>
              <w:spacing w:line="220" w:lineRule="exact"/>
            </w:pPr>
            <w:r w:rsidRPr="006B27CC">
              <w:t>5.29</w:t>
            </w:r>
          </w:p>
        </w:tc>
        <w:tc>
          <w:tcPr>
            <w:tcW w:w="295" w:type="pct"/>
          </w:tcPr>
          <w:p w14:paraId="611459E9" w14:textId="77777777" w:rsidR="002E474C" w:rsidRPr="006B27CC" w:rsidRDefault="00000000" w:rsidP="006B27CC">
            <w:pPr>
              <w:pStyle w:val="A-"/>
              <w:spacing w:line="220" w:lineRule="exact"/>
            </w:pPr>
            <w:r w:rsidRPr="006B27CC">
              <w:t>0</w:t>
            </w:r>
          </w:p>
        </w:tc>
        <w:tc>
          <w:tcPr>
            <w:tcW w:w="424" w:type="pct"/>
          </w:tcPr>
          <w:p w14:paraId="64CA2D90" w14:textId="77777777" w:rsidR="002E474C" w:rsidRPr="006B27CC" w:rsidRDefault="00000000" w:rsidP="006B27CC">
            <w:pPr>
              <w:pStyle w:val="A-"/>
              <w:spacing w:line="220" w:lineRule="exact"/>
            </w:pPr>
            <w:r w:rsidRPr="006B27CC">
              <w:t>0.268</w:t>
            </w:r>
          </w:p>
        </w:tc>
        <w:tc>
          <w:tcPr>
            <w:tcW w:w="382" w:type="pct"/>
          </w:tcPr>
          <w:p w14:paraId="3B42D90F" w14:textId="77777777" w:rsidR="002E474C" w:rsidRPr="006B27CC" w:rsidRDefault="00000000" w:rsidP="006B27CC">
            <w:pPr>
              <w:pStyle w:val="A-"/>
              <w:spacing w:line="220" w:lineRule="exact"/>
            </w:pPr>
            <w:r w:rsidRPr="006B27CC">
              <w:t>8.69</w:t>
            </w:r>
          </w:p>
        </w:tc>
        <w:tc>
          <w:tcPr>
            <w:tcW w:w="379" w:type="pct"/>
          </w:tcPr>
          <w:p w14:paraId="0E8DF5EF" w14:textId="77777777" w:rsidR="002E474C" w:rsidRPr="006B27CC" w:rsidRDefault="002E474C" w:rsidP="006B27CC">
            <w:pPr>
              <w:pStyle w:val="A-"/>
              <w:spacing w:line="220" w:lineRule="exact"/>
            </w:pPr>
          </w:p>
        </w:tc>
      </w:tr>
      <w:tr w:rsidR="002E474C" w:rsidRPr="006B27CC" w14:paraId="084497A1" w14:textId="77777777" w:rsidTr="009C3A0E">
        <w:tc>
          <w:tcPr>
            <w:tcW w:w="240" w:type="pct"/>
          </w:tcPr>
          <w:p w14:paraId="377577D3" w14:textId="77777777" w:rsidR="002E474C" w:rsidRPr="006B27CC" w:rsidRDefault="00000000" w:rsidP="006B27CC">
            <w:pPr>
              <w:pStyle w:val="A-"/>
              <w:spacing w:line="220" w:lineRule="exact"/>
            </w:pPr>
            <w:r w:rsidRPr="006B27CC">
              <w:t>AlO</w:t>
            </w:r>
            <w:r w:rsidRPr="006B27CC">
              <w:rPr>
                <w:vertAlign w:val="subscript"/>
              </w:rPr>
              <w:t>2</w:t>
            </w:r>
          </w:p>
        </w:tc>
        <w:tc>
          <w:tcPr>
            <w:tcW w:w="138" w:type="pct"/>
          </w:tcPr>
          <w:p w14:paraId="3082A7CE" w14:textId="77777777" w:rsidR="002E474C" w:rsidRPr="006B27CC" w:rsidRDefault="00000000" w:rsidP="006B27CC">
            <w:pPr>
              <w:pStyle w:val="A-"/>
              <w:spacing w:line="220" w:lineRule="exact"/>
            </w:pPr>
            <w:r w:rsidRPr="006B27CC">
              <w:t>%</w:t>
            </w:r>
          </w:p>
        </w:tc>
        <w:tc>
          <w:tcPr>
            <w:tcW w:w="330" w:type="pct"/>
          </w:tcPr>
          <w:p w14:paraId="1F6C4E9F" w14:textId="77777777" w:rsidR="002E474C" w:rsidRPr="006B27CC" w:rsidRDefault="00000000" w:rsidP="006B27CC">
            <w:pPr>
              <w:pStyle w:val="A-"/>
              <w:spacing w:line="220" w:lineRule="exact"/>
            </w:pPr>
            <w:r w:rsidRPr="006B27CC">
              <w:t>2.739</w:t>
            </w:r>
          </w:p>
        </w:tc>
        <w:tc>
          <w:tcPr>
            <w:tcW w:w="341" w:type="pct"/>
          </w:tcPr>
          <w:p w14:paraId="1910F9DD" w14:textId="77777777" w:rsidR="002E474C" w:rsidRPr="006B27CC" w:rsidRDefault="00000000" w:rsidP="006B27CC">
            <w:pPr>
              <w:pStyle w:val="A-"/>
              <w:spacing w:line="220" w:lineRule="exact"/>
            </w:pPr>
            <w:r w:rsidRPr="006B27CC">
              <w:t>2.739</w:t>
            </w:r>
          </w:p>
        </w:tc>
        <w:tc>
          <w:tcPr>
            <w:tcW w:w="424" w:type="pct"/>
          </w:tcPr>
          <w:p w14:paraId="3B4E4D6E" w14:textId="77777777" w:rsidR="002E474C" w:rsidRPr="006B27CC" w:rsidRDefault="00000000" w:rsidP="006B27CC">
            <w:pPr>
              <w:pStyle w:val="A-"/>
              <w:spacing w:line="220" w:lineRule="exact"/>
            </w:pPr>
            <w:r w:rsidRPr="006B27CC">
              <w:t>5.24</w:t>
            </w:r>
          </w:p>
        </w:tc>
        <w:tc>
          <w:tcPr>
            <w:tcW w:w="496" w:type="pct"/>
          </w:tcPr>
          <w:p w14:paraId="45FD4D00" w14:textId="77777777" w:rsidR="002E474C" w:rsidRPr="006B27CC" w:rsidRDefault="00000000" w:rsidP="006B27CC">
            <w:pPr>
              <w:pStyle w:val="A-"/>
              <w:spacing w:line="220" w:lineRule="exact"/>
            </w:pPr>
            <w:r w:rsidRPr="006B27CC">
              <w:t>1.604</w:t>
            </w:r>
          </w:p>
        </w:tc>
        <w:tc>
          <w:tcPr>
            <w:tcW w:w="341" w:type="pct"/>
          </w:tcPr>
          <w:p w14:paraId="217FE340" w14:textId="77777777" w:rsidR="002E474C" w:rsidRPr="006B27CC" w:rsidRDefault="00000000" w:rsidP="006B27CC">
            <w:pPr>
              <w:pStyle w:val="A-"/>
              <w:spacing w:line="220" w:lineRule="exact"/>
            </w:pPr>
            <w:r w:rsidRPr="006B27CC">
              <w:t>0.267</w:t>
            </w:r>
          </w:p>
        </w:tc>
        <w:tc>
          <w:tcPr>
            <w:tcW w:w="371" w:type="pct"/>
          </w:tcPr>
          <w:p w14:paraId="423DD775" w14:textId="77777777" w:rsidR="002E474C" w:rsidRPr="006B27CC" w:rsidRDefault="00000000" w:rsidP="006B27CC">
            <w:pPr>
              <w:pStyle w:val="A-"/>
              <w:spacing w:line="220" w:lineRule="exact"/>
            </w:pPr>
            <w:r w:rsidRPr="006B27CC">
              <w:t>8.2</w:t>
            </w:r>
          </w:p>
        </w:tc>
        <w:tc>
          <w:tcPr>
            <w:tcW w:w="545" w:type="pct"/>
          </w:tcPr>
          <w:p w14:paraId="597F68BD" w14:textId="77777777" w:rsidR="002E474C" w:rsidRPr="006B27CC" w:rsidRDefault="00000000" w:rsidP="006B27CC">
            <w:pPr>
              <w:pStyle w:val="A-"/>
              <w:spacing w:line="220" w:lineRule="exact"/>
            </w:pPr>
            <w:r w:rsidRPr="006B27CC">
              <w:t>11.86</w:t>
            </w:r>
          </w:p>
        </w:tc>
        <w:tc>
          <w:tcPr>
            <w:tcW w:w="295" w:type="pct"/>
          </w:tcPr>
          <w:p w14:paraId="07E1EE35" w14:textId="77777777" w:rsidR="002E474C" w:rsidRPr="006B27CC" w:rsidRDefault="00000000" w:rsidP="006B27CC">
            <w:pPr>
              <w:pStyle w:val="A-"/>
              <w:spacing w:line="220" w:lineRule="exact"/>
            </w:pPr>
            <w:r w:rsidRPr="006B27CC">
              <w:t>6.32</w:t>
            </w:r>
          </w:p>
        </w:tc>
        <w:tc>
          <w:tcPr>
            <w:tcW w:w="295" w:type="pct"/>
          </w:tcPr>
          <w:p w14:paraId="017C2F0A" w14:textId="77777777" w:rsidR="002E474C" w:rsidRPr="006B27CC" w:rsidRDefault="00000000" w:rsidP="006B27CC">
            <w:pPr>
              <w:pStyle w:val="A-"/>
              <w:spacing w:line="220" w:lineRule="exact"/>
            </w:pPr>
            <w:r w:rsidRPr="006B27CC">
              <w:t>0</w:t>
            </w:r>
          </w:p>
        </w:tc>
        <w:tc>
          <w:tcPr>
            <w:tcW w:w="424" w:type="pct"/>
          </w:tcPr>
          <w:p w14:paraId="14254690" w14:textId="77777777" w:rsidR="002E474C" w:rsidRPr="006B27CC" w:rsidRDefault="00000000" w:rsidP="006B27CC">
            <w:pPr>
              <w:pStyle w:val="A-"/>
              <w:spacing w:line="220" w:lineRule="exact"/>
            </w:pPr>
            <w:r w:rsidRPr="006B27CC">
              <w:t>0.205</w:t>
            </w:r>
          </w:p>
        </w:tc>
        <w:tc>
          <w:tcPr>
            <w:tcW w:w="382" w:type="pct"/>
          </w:tcPr>
          <w:p w14:paraId="7510B111" w14:textId="77777777" w:rsidR="002E474C" w:rsidRPr="006B27CC" w:rsidRDefault="00000000" w:rsidP="006B27CC">
            <w:pPr>
              <w:pStyle w:val="A-"/>
              <w:spacing w:line="220" w:lineRule="exact"/>
            </w:pPr>
            <w:r w:rsidRPr="006B27CC">
              <w:t>7.17</w:t>
            </w:r>
          </w:p>
        </w:tc>
        <w:tc>
          <w:tcPr>
            <w:tcW w:w="379" w:type="pct"/>
          </w:tcPr>
          <w:p w14:paraId="1C65CBB5" w14:textId="77777777" w:rsidR="002E474C" w:rsidRPr="006B27CC" w:rsidRDefault="002E474C" w:rsidP="006B27CC">
            <w:pPr>
              <w:pStyle w:val="A-"/>
              <w:spacing w:line="220" w:lineRule="exact"/>
            </w:pPr>
          </w:p>
        </w:tc>
      </w:tr>
      <w:tr w:rsidR="002E474C" w:rsidRPr="006B27CC" w14:paraId="51A82CF5" w14:textId="77777777" w:rsidTr="009C3A0E">
        <w:tc>
          <w:tcPr>
            <w:tcW w:w="240" w:type="pct"/>
          </w:tcPr>
          <w:p w14:paraId="4A79A9CB" w14:textId="77777777" w:rsidR="002E474C" w:rsidRPr="006B27CC" w:rsidRDefault="00000000" w:rsidP="006B27CC">
            <w:pPr>
              <w:pStyle w:val="A-"/>
              <w:spacing w:line="220" w:lineRule="exact"/>
            </w:pPr>
            <w:r w:rsidRPr="006B27CC">
              <w:t>Fe</w:t>
            </w:r>
          </w:p>
        </w:tc>
        <w:tc>
          <w:tcPr>
            <w:tcW w:w="138" w:type="pct"/>
          </w:tcPr>
          <w:p w14:paraId="3873B454" w14:textId="77777777" w:rsidR="002E474C" w:rsidRPr="006B27CC" w:rsidRDefault="00000000" w:rsidP="006B27CC">
            <w:pPr>
              <w:pStyle w:val="A-"/>
              <w:spacing w:line="220" w:lineRule="exact"/>
            </w:pPr>
            <w:r w:rsidRPr="006B27CC">
              <w:t>%</w:t>
            </w:r>
          </w:p>
        </w:tc>
        <w:tc>
          <w:tcPr>
            <w:tcW w:w="330" w:type="pct"/>
          </w:tcPr>
          <w:p w14:paraId="49D9BD5A" w14:textId="77777777" w:rsidR="002E474C" w:rsidRPr="006B27CC" w:rsidRDefault="00000000" w:rsidP="006B27CC">
            <w:pPr>
              <w:pStyle w:val="A-"/>
              <w:spacing w:line="220" w:lineRule="exact"/>
            </w:pPr>
            <w:r w:rsidRPr="006B27CC">
              <w:t>2.145</w:t>
            </w:r>
          </w:p>
        </w:tc>
        <w:tc>
          <w:tcPr>
            <w:tcW w:w="341" w:type="pct"/>
          </w:tcPr>
          <w:p w14:paraId="4142006F" w14:textId="77777777" w:rsidR="002E474C" w:rsidRPr="006B27CC" w:rsidRDefault="00000000" w:rsidP="006B27CC">
            <w:pPr>
              <w:pStyle w:val="A-"/>
              <w:spacing w:line="220" w:lineRule="exact"/>
            </w:pPr>
            <w:r w:rsidRPr="006B27CC">
              <w:t>2.145</w:t>
            </w:r>
          </w:p>
        </w:tc>
        <w:tc>
          <w:tcPr>
            <w:tcW w:w="424" w:type="pct"/>
          </w:tcPr>
          <w:p w14:paraId="1C177AE4" w14:textId="77777777" w:rsidR="002E474C" w:rsidRPr="006B27CC" w:rsidRDefault="00000000" w:rsidP="006B27CC">
            <w:pPr>
              <w:pStyle w:val="A-"/>
              <w:spacing w:line="220" w:lineRule="exact"/>
            </w:pPr>
            <w:r w:rsidRPr="006B27CC">
              <w:t>0.000000587</w:t>
            </w:r>
          </w:p>
        </w:tc>
        <w:tc>
          <w:tcPr>
            <w:tcW w:w="496" w:type="pct"/>
          </w:tcPr>
          <w:p w14:paraId="4BD24B21" w14:textId="77777777" w:rsidR="002E474C" w:rsidRPr="006B27CC" w:rsidRDefault="00000000" w:rsidP="006B27CC">
            <w:pPr>
              <w:pStyle w:val="A-"/>
              <w:spacing w:line="220" w:lineRule="exact"/>
            </w:pPr>
            <w:r w:rsidRPr="006B27CC">
              <w:t>2.731</w:t>
            </w:r>
          </w:p>
        </w:tc>
        <w:tc>
          <w:tcPr>
            <w:tcW w:w="341" w:type="pct"/>
          </w:tcPr>
          <w:p w14:paraId="5D9903B5" w14:textId="77777777" w:rsidR="002E474C" w:rsidRPr="006B27CC" w:rsidRDefault="00000000" w:rsidP="006B27CC">
            <w:pPr>
              <w:pStyle w:val="A-"/>
              <w:spacing w:line="220" w:lineRule="exact"/>
            </w:pPr>
            <w:r w:rsidRPr="006B27CC">
              <w:t>0.000000652</w:t>
            </w:r>
          </w:p>
        </w:tc>
        <w:tc>
          <w:tcPr>
            <w:tcW w:w="371" w:type="pct"/>
          </w:tcPr>
          <w:p w14:paraId="523024F9" w14:textId="77777777" w:rsidR="002E474C" w:rsidRPr="006B27CC" w:rsidRDefault="00000000" w:rsidP="006B27CC">
            <w:pPr>
              <w:pStyle w:val="A-"/>
              <w:spacing w:line="220" w:lineRule="exact"/>
            </w:pPr>
            <w:r w:rsidRPr="006B27CC">
              <w:t>19.697</w:t>
            </w:r>
          </w:p>
        </w:tc>
        <w:tc>
          <w:tcPr>
            <w:tcW w:w="545" w:type="pct"/>
          </w:tcPr>
          <w:p w14:paraId="1C0745B7" w14:textId="77777777" w:rsidR="002E474C" w:rsidRPr="006B27CC" w:rsidRDefault="00000000" w:rsidP="006B27CC">
            <w:pPr>
              <w:pStyle w:val="A-"/>
              <w:spacing w:line="220" w:lineRule="exact"/>
            </w:pPr>
            <w:r w:rsidRPr="006B27CC">
              <w:t>7.9E-10</w:t>
            </w:r>
          </w:p>
        </w:tc>
        <w:tc>
          <w:tcPr>
            <w:tcW w:w="295" w:type="pct"/>
          </w:tcPr>
          <w:p w14:paraId="5E0A4E7A" w14:textId="77777777" w:rsidR="002E474C" w:rsidRPr="006B27CC" w:rsidRDefault="00000000" w:rsidP="006B27CC">
            <w:pPr>
              <w:pStyle w:val="A-"/>
              <w:spacing w:line="220" w:lineRule="exact"/>
            </w:pPr>
            <w:r w:rsidRPr="006B27CC">
              <w:t>0.00000334</w:t>
            </w:r>
          </w:p>
        </w:tc>
        <w:tc>
          <w:tcPr>
            <w:tcW w:w="295" w:type="pct"/>
          </w:tcPr>
          <w:p w14:paraId="4C7185B9" w14:textId="77777777" w:rsidR="002E474C" w:rsidRPr="006B27CC" w:rsidRDefault="00000000" w:rsidP="006B27CC">
            <w:pPr>
              <w:pStyle w:val="A-"/>
              <w:spacing w:line="220" w:lineRule="exact"/>
            </w:pPr>
            <w:r w:rsidRPr="006B27CC">
              <w:t>0.00000309</w:t>
            </w:r>
          </w:p>
        </w:tc>
        <w:tc>
          <w:tcPr>
            <w:tcW w:w="424" w:type="pct"/>
          </w:tcPr>
          <w:p w14:paraId="3A23D729" w14:textId="77777777" w:rsidR="002E474C" w:rsidRPr="006B27CC" w:rsidRDefault="00000000" w:rsidP="006B27CC">
            <w:pPr>
              <w:pStyle w:val="A-"/>
              <w:spacing w:line="220" w:lineRule="exact"/>
            </w:pPr>
            <w:r w:rsidRPr="006B27CC">
              <w:t>0.00129</w:t>
            </w:r>
          </w:p>
        </w:tc>
        <w:tc>
          <w:tcPr>
            <w:tcW w:w="382" w:type="pct"/>
          </w:tcPr>
          <w:p w14:paraId="0C020847" w14:textId="77777777" w:rsidR="002E474C" w:rsidRPr="006B27CC" w:rsidRDefault="00000000" w:rsidP="006B27CC">
            <w:pPr>
              <w:pStyle w:val="A-"/>
              <w:spacing w:line="220" w:lineRule="exact"/>
            </w:pPr>
            <w:r w:rsidRPr="006B27CC">
              <w:t>2.86E-10</w:t>
            </w:r>
          </w:p>
        </w:tc>
        <w:tc>
          <w:tcPr>
            <w:tcW w:w="379" w:type="pct"/>
          </w:tcPr>
          <w:p w14:paraId="4504511A" w14:textId="77777777" w:rsidR="002E474C" w:rsidRPr="006B27CC" w:rsidRDefault="002E474C" w:rsidP="006B27CC">
            <w:pPr>
              <w:pStyle w:val="A-"/>
              <w:spacing w:line="220" w:lineRule="exact"/>
            </w:pPr>
          </w:p>
        </w:tc>
      </w:tr>
      <w:tr w:rsidR="002E474C" w:rsidRPr="006B27CC" w14:paraId="281A19B7" w14:textId="77777777" w:rsidTr="009C3A0E">
        <w:tc>
          <w:tcPr>
            <w:tcW w:w="240" w:type="pct"/>
          </w:tcPr>
          <w:p w14:paraId="3BD19D07" w14:textId="77777777" w:rsidR="002E474C" w:rsidRPr="006B27CC" w:rsidRDefault="00000000" w:rsidP="006B27CC">
            <w:pPr>
              <w:pStyle w:val="A-"/>
              <w:spacing w:line="220" w:lineRule="exact"/>
            </w:pPr>
            <w:proofErr w:type="spellStart"/>
            <w:r w:rsidRPr="006B27CC">
              <w:t>CaO</w:t>
            </w:r>
            <w:proofErr w:type="spellEnd"/>
          </w:p>
        </w:tc>
        <w:tc>
          <w:tcPr>
            <w:tcW w:w="138" w:type="pct"/>
          </w:tcPr>
          <w:p w14:paraId="7381F034" w14:textId="77777777" w:rsidR="002E474C" w:rsidRPr="006B27CC" w:rsidRDefault="00000000" w:rsidP="006B27CC">
            <w:pPr>
              <w:pStyle w:val="A-"/>
              <w:spacing w:line="220" w:lineRule="exact"/>
            </w:pPr>
            <w:r w:rsidRPr="006B27CC">
              <w:t>%</w:t>
            </w:r>
          </w:p>
        </w:tc>
        <w:tc>
          <w:tcPr>
            <w:tcW w:w="330" w:type="pct"/>
          </w:tcPr>
          <w:p w14:paraId="5AE8F2D9" w14:textId="77777777" w:rsidR="002E474C" w:rsidRPr="006B27CC" w:rsidRDefault="00000000" w:rsidP="006B27CC">
            <w:pPr>
              <w:pStyle w:val="A-"/>
              <w:spacing w:line="220" w:lineRule="exact"/>
            </w:pPr>
            <w:r w:rsidRPr="006B27CC">
              <w:t>38.24</w:t>
            </w:r>
          </w:p>
        </w:tc>
        <w:tc>
          <w:tcPr>
            <w:tcW w:w="341" w:type="pct"/>
          </w:tcPr>
          <w:p w14:paraId="35B967B1" w14:textId="77777777" w:rsidR="002E474C" w:rsidRPr="006B27CC" w:rsidRDefault="00000000" w:rsidP="006B27CC">
            <w:pPr>
              <w:pStyle w:val="A-"/>
              <w:spacing w:line="220" w:lineRule="exact"/>
            </w:pPr>
            <w:r w:rsidRPr="006B27CC">
              <w:t>38.24</w:t>
            </w:r>
          </w:p>
        </w:tc>
        <w:tc>
          <w:tcPr>
            <w:tcW w:w="424" w:type="pct"/>
          </w:tcPr>
          <w:p w14:paraId="24CBCA9E" w14:textId="77777777" w:rsidR="002E474C" w:rsidRPr="006B27CC" w:rsidRDefault="00000000" w:rsidP="006B27CC">
            <w:pPr>
              <w:pStyle w:val="A-"/>
              <w:spacing w:line="220" w:lineRule="exact"/>
            </w:pPr>
            <w:r w:rsidRPr="006B27CC">
              <w:t>6.31</w:t>
            </w:r>
          </w:p>
        </w:tc>
        <w:tc>
          <w:tcPr>
            <w:tcW w:w="496" w:type="pct"/>
          </w:tcPr>
          <w:p w14:paraId="3928D6A8" w14:textId="77777777" w:rsidR="002E474C" w:rsidRPr="006B27CC" w:rsidRDefault="00000000" w:rsidP="006B27CC">
            <w:pPr>
              <w:pStyle w:val="A-"/>
              <w:spacing w:line="220" w:lineRule="exact"/>
            </w:pPr>
            <w:r w:rsidRPr="006B27CC">
              <w:t>8.478</w:t>
            </w:r>
          </w:p>
        </w:tc>
        <w:tc>
          <w:tcPr>
            <w:tcW w:w="341" w:type="pct"/>
          </w:tcPr>
          <w:p w14:paraId="6EBFBAE7" w14:textId="77777777" w:rsidR="002E474C" w:rsidRPr="006B27CC" w:rsidRDefault="00000000" w:rsidP="006B27CC">
            <w:pPr>
              <w:pStyle w:val="A-"/>
              <w:spacing w:line="220" w:lineRule="exact"/>
            </w:pPr>
            <w:r w:rsidRPr="006B27CC">
              <w:t>2.35</w:t>
            </w:r>
          </w:p>
        </w:tc>
        <w:tc>
          <w:tcPr>
            <w:tcW w:w="371" w:type="pct"/>
          </w:tcPr>
          <w:p w14:paraId="4C7221E2" w14:textId="77777777" w:rsidR="002E474C" w:rsidRPr="006B27CC" w:rsidRDefault="00000000" w:rsidP="006B27CC">
            <w:pPr>
              <w:pStyle w:val="A-"/>
              <w:spacing w:line="220" w:lineRule="exact"/>
            </w:pPr>
            <w:r w:rsidRPr="006B27CC">
              <w:t>0.746</w:t>
            </w:r>
          </w:p>
        </w:tc>
        <w:tc>
          <w:tcPr>
            <w:tcW w:w="545" w:type="pct"/>
          </w:tcPr>
          <w:p w14:paraId="518ABF94" w14:textId="77777777" w:rsidR="002E474C" w:rsidRPr="006B27CC" w:rsidRDefault="00000000" w:rsidP="006B27CC">
            <w:pPr>
              <w:pStyle w:val="A-"/>
              <w:spacing w:line="220" w:lineRule="exact"/>
            </w:pPr>
            <w:r w:rsidRPr="006B27CC">
              <w:t>8.63</w:t>
            </w:r>
          </w:p>
        </w:tc>
        <w:tc>
          <w:tcPr>
            <w:tcW w:w="295" w:type="pct"/>
          </w:tcPr>
          <w:p w14:paraId="52E480DC" w14:textId="77777777" w:rsidR="002E474C" w:rsidRPr="006B27CC" w:rsidRDefault="00000000" w:rsidP="006B27CC">
            <w:pPr>
              <w:pStyle w:val="A-"/>
              <w:spacing w:line="220" w:lineRule="exact"/>
            </w:pPr>
            <w:r w:rsidRPr="006B27CC">
              <w:t>2.7</w:t>
            </w:r>
          </w:p>
        </w:tc>
        <w:tc>
          <w:tcPr>
            <w:tcW w:w="295" w:type="pct"/>
          </w:tcPr>
          <w:p w14:paraId="23304793" w14:textId="77777777" w:rsidR="002E474C" w:rsidRPr="006B27CC" w:rsidRDefault="00000000" w:rsidP="006B27CC">
            <w:pPr>
              <w:pStyle w:val="A-"/>
              <w:spacing w:line="220" w:lineRule="exact"/>
            </w:pPr>
            <w:r w:rsidRPr="006B27CC">
              <w:t>0</w:t>
            </w:r>
          </w:p>
        </w:tc>
        <w:tc>
          <w:tcPr>
            <w:tcW w:w="424" w:type="pct"/>
          </w:tcPr>
          <w:p w14:paraId="0E36891A" w14:textId="77777777" w:rsidR="002E474C" w:rsidRPr="006B27CC" w:rsidRDefault="00000000" w:rsidP="006B27CC">
            <w:pPr>
              <w:pStyle w:val="A-"/>
              <w:spacing w:line="220" w:lineRule="exact"/>
            </w:pPr>
            <w:r w:rsidRPr="006B27CC">
              <w:t>25.3</w:t>
            </w:r>
          </w:p>
        </w:tc>
        <w:tc>
          <w:tcPr>
            <w:tcW w:w="382" w:type="pct"/>
          </w:tcPr>
          <w:p w14:paraId="5D3674D9" w14:textId="77777777" w:rsidR="002E474C" w:rsidRPr="006B27CC" w:rsidRDefault="00000000" w:rsidP="006B27CC">
            <w:pPr>
              <w:pStyle w:val="A-"/>
              <w:spacing w:line="220" w:lineRule="exact"/>
            </w:pPr>
            <w:r w:rsidRPr="006B27CC">
              <w:t>3.12</w:t>
            </w:r>
          </w:p>
        </w:tc>
        <w:tc>
          <w:tcPr>
            <w:tcW w:w="379" w:type="pct"/>
          </w:tcPr>
          <w:p w14:paraId="0D2D90D6" w14:textId="77777777" w:rsidR="002E474C" w:rsidRPr="006B27CC" w:rsidRDefault="002E474C" w:rsidP="006B27CC">
            <w:pPr>
              <w:pStyle w:val="A-"/>
              <w:spacing w:line="220" w:lineRule="exact"/>
            </w:pPr>
          </w:p>
        </w:tc>
      </w:tr>
      <w:tr w:rsidR="002E474C" w:rsidRPr="006B27CC" w14:paraId="5AFA8D40" w14:textId="77777777" w:rsidTr="009C3A0E">
        <w:tc>
          <w:tcPr>
            <w:tcW w:w="240" w:type="pct"/>
          </w:tcPr>
          <w:p w14:paraId="0C594F42" w14:textId="77777777" w:rsidR="002E474C" w:rsidRPr="006B27CC" w:rsidRDefault="00000000" w:rsidP="006B27CC">
            <w:pPr>
              <w:pStyle w:val="A-"/>
              <w:spacing w:line="220" w:lineRule="exact"/>
            </w:pPr>
            <w:r w:rsidRPr="006B27CC">
              <w:t>F</w:t>
            </w:r>
          </w:p>
        </w:tc>
        <w:tc>
          <w:tcPr>
            <w:tcW w:w="138" w:type="pct"/>
          </w:tcPr>
          <w:p w14:paraId="59425F48" w14:textId="77777777" w:rsidR="002E474C" w:rsidRPr="006B27CC" w:rsidRDefault="00000000" w:rsidP="006B27CC">
            <w:pPr>
              <w:pStyle w:val="A-"/>
              <w:spacing w:line="220" w:lineRule="exact"/>
            </w:pPr>
            <w:r w:rsidRPr="006B27CC">
              <w:t>%</w:t>
            </w:r>
          </w:p>
        </w:tc>
        <w:tc>
          <w:tcPr>
            <w:tcW w:w="330" w:type="pct"/>
          </w:tcPr>
          <w:p w14:paraId="624E31DC" w14:textId="77777777" w:rsidR="002E474C" w:rsidRPr="006B27CC" w:rsidRDefault="002E474C" w:rsidP="006B27CC">
            <w:pPr>
              <w:pStyle w:val="A-"/>
              <w:spacing w:line="220" w:lineRule="exact"/>
            </w:pPr>
          </w:p>
        </w:tc>
        <w:tc>
          <w:tcPr>
            <w:tcW w:w="341" w:type="pct"/>
          </w:tcPr>
          <w:p w14:paraId="6CDBA38E" w14:textId="77777777" w:rsidR="002E474C" w:rsidRPr="006B27CC" w:rsidRDefault="002E474C" w:rsidP="006B27CC">
            <w:pPr>
              <w:pStyle w:val="A-"/>
              <w:spacing w:line="220" w:lineRule="exact"/>
            </w:pPr>
          </w:p>
        </w:tc>
        <w:tc>
          <w:tcPr>
            <w:tcW w:w="424" w:type="pct"/>
          </w:tcPr>
          <w:p w14:paraId="411E683C" w14:textId="77777777" w:rsidR="002E474C" w:rsidRPr="006B27CC" w:rsidRDefault="002E474C" w:rsidP="006B27CC">
            <w:pPr>
              <w:pStyle w:val="A-"/>
              <w:spacing w:line="220" w:lineRule="exact"/>
            </w:pPr>
          </w:p>
        </w:tc>
        <w:tc>
          <w:tcPr>
            <w:tcW w:w="496" w:type="pct"/>
          </w:tcPr>
          <w:p w14:paraId="4691A422" w14:textId="77777777" w:rsidR="002E474C" w:rsidRPr="006B27CC" w:rsidRDefault="002E474C" w:rsidP="006B27CC">
            <w:pPr>
              <w:pStyle w:val="A-"/>
              <w:spacing w:line="220" w:lineRule="exact"/>
            </w:pPr>
          </w:p>
        </w:tc>
        <w:tc>
          <w:tcPr>
            <w:tcW w:w="341" w:type="pct"/>
          </w:tcPr>
          <w:p w14:paraId="5C527A20" w14:textId="77777777" w:rsidR="002E474C" w:rsidRPr="006B27CC" w:rsidRDefault="00000000" w:rsidP="006B27CC">
            <w:pPr>
              <w:pStyle w:val="A-"/>
              <w:spacing w:line="220" w:lineRule="exact"/>
            </w:pPr>
            <w:r w:rsidRPr="006B27CC">
              <w:t>0.00000024</w:t>
            </w:r>
          </w:p>
        </w:tc>
        <w:tc>
          <w:tcPr>
            <w:tcW w:w="371" w:type="pct"/>
          </w:tcPr>
          <w:p w14:paraId="63240C4B" w14:textId="77777777" w:rsidR="002E474C" w:rsidRPr="006B27CC" w:rsidRDefault="002E474C" w:rsidP="006B27CC">
            <w:pPr>
              <w:pStyle w:val="A-"/>
              <w:spacing w:line="220" w:lineRule="exact"/>
            </w:pPr>
          </w:p>
        </w:tc>
        <w:tc>
          <w:tcPr>
            <w:tcW w:w="545" w:type="pct"/>
          </w:tcPr>
          <w:p w14:paraId="78F87DF2" w14:textId="77777777" w:rsidR="002E474C" w:rsidRPr="006B27CC" w:rsidRDefault="00000000" w:rsidP="006B27CC">
            <w:pPr>
              <w:pStyle w:val="A-"/>
              <w:spacing w:line="220" w:lineRule="exact"/>
            </w:pPr>
            <w:r w:rsidRPr="006B27CC">
              <w:t>0.00000035</w:t>
            </w:r>
          </w:p>
        </w:tc>
        <w:tc>
          <w:tcPr>
            <w:tcW w:w="295" w:type="pct"/>
          </w:tcPr>
          <w:p w14:paraId="7004B1E9" w14:textId="77777777" w:rsidR="002E474C" w:rsidRPr="006B27CC" w:rsidRDefault="00000000" w:rsidP="006B27CC">
            <w:pPr>
              <w:pStyle w:val="A-"/>
              <w:spacing w:line="220" w:lineRule="exact"/>
            </w:pPr>
            <w:r w:rsidRPr="006B27CC">
              <w:t>0</w:t>
            </w:r>
          </w:p>
        </w:tc>
        <w:tc>
          <w:tcPr>
            <w:tcW w:w="295" w:type="pct"/>
          </w:tcPr>
          <w:p w14:paraId="7F2A215D" w14:textId="77777777" w:rsidR="002E474C" w:rsidRPr="006B27CC" w:rsidRDefault="00000000" w:rsidP="006B27CC">
            <w:pPr>
              <w:pStyle w:val="A-"/>
              <w:spacing w:line="220" w:lineRule="exact"/>
            </w:pPr>
            <w:r w:rsidRPr="006B27CC">
              <w:t>0.00000823</w:t>
            </w:r>
          </w:p>
        </w:tc>
        <w:tc>
          <w:tcPr>
            <w:tcW w:w="424" w:type="pct"/>
          </w:tcPr>
          <w:p w14:paraId="0E4EF861" w14:textId="77777777" w:rsidR="002E474C" w:rsidRPr="006B27CC" w:rsidRDefault="00000000" w:rsidP="006B27CC">
            <w:pPr>
              <w:pStyle w:val="A-"/>
              <w:spacing w:line="220" w:lineRule="exact"/>
            </w:pPr>
            <w:r w:rsidRPr="006B27CC">
              <w:t>0.00085</w:t>
            </w:r>
          </w:p>
        </w:tc>
        <w:tc>
          <w:tcPr>
            <w:tcW w:w="382" w:type="pct"/>
          </w:tcPr>
          <w:p w14:paraId="069B6401" w14:textId="77777777" w:rsidR="002E474C" w:rsidRPr="006B27CC" w:rsidRDefault="00000000" w:rsidP="006B27CC">
            <w:pPr>
              <w:pStyle w:val="A-"/>
              <w:spacing w:line="220" w:lineRule="exact"/>
            </w:pPr>
            <w:r w:rsidRPr="006B27CC">
              <w:t>0.00000082</w:t>
            </w:r>
          </w:p>
        </w:tc>
        <w:tc>
          <w:tcPr>
            <w:tcW w:w="379" w:type="pct"/>
          </w:tcPr>
          <w:p w14:paraId="125827C6" w14:textId="77777777" w:rsidR="002E474C" w:rsidRPr="006B27CC" w:rsidRDefault="002E474C" w:rsidP="006B27CC">
            <w:pPr>
              <w:pStyle w:val="A-"/>
              <w:spacing w:line="220" w:lineRule="exact"/>
            </w:pPr>
          </w:p>
        </w:tc>
      </w:tr>
      <w:tr w:rsidR="002E474C" w:rsidRPr="006B27CC" w14:paraId="26778EDE" w14:textId="77777777" w:rsidTr="009C3A0E">
        <w:tc>
          <w:tcPr>
            <w:tcW w:w="240" w:type="pct"/>
          </w:tcPr>
          <w:p w14:paraId="5909C48A" w14:textId="77777777" w:rsidR="002E474C" w:rsidRPr="006B27CC" w:rsidRDefault="00000000" w:rsidP="006B27CC">
            <w:pPr>
              <w:pStyle w:val="A-"/>
              <w:spacing w:line="220" w:lineRule="exact"/>
            </w:pPr>
            <w:r w:rsidRPr="006B27CC">
              <w:t>Cl</w:t>
            </w:r>
          </w:p>
        </w:tc>
        <w:tc>
          <w:tcPr>
            <w:tcW w:w="138" w:type="pct"/>
          </w:tcPr>
          <w:p w14:paraId="66C5B860" w14:textId="77777777" w:rsidR="002E474C" w:rsidRPr="006B27CC" w:rsidRDefault="00000000" w:rsidP="006B27CC">
            <w:pPr>
              <w:pStyle w:val="A-"/>
              <w:spacing w:line="220" w:lineRule="exact"/>
            </w:pPr>
            <w:r w:rsidRPr="006B27CC">
              <w:t>%</w:t>
            </w:r>
          </w:p>
        </w:tc>
        <w:tc>
          <w:tcPr>
            <w:tcW w:w="330" w:type="pct"/>
          </w:tcPr>
          <w:p w14:paraId="4A3F1756" w14:textId="77777777" w:rsidR="002E474C" w:rsidRPr="006B27CC" w:rsidRDefault="00000000" w:rsidP="006B27CC">
            <w:pPr>
              <w:pStyle w:val="A-"/>
              <w:spacing w:line="220" w:lineRule="exact"/>
            </w:pPr>
            <w:r w:rsidRPr="006B27CC">
              <w:t>1.015</w:t>
            </w:r>
          </w:p>
        </w:tc>
        <w:tc>
          <w:tcPr>
            <w:tcW w:w="341" w:type="pct"/>
          </w:tcPr>
          <w:p w14:paraId="716F1DA0" w14:textId="77777777" w:rsidR="002E474C" w:rsidRPr="006B27CC" w:rsidRDefault="00000000" w:rsidP="006B27CC">
            <w:pPr>
              <w:pStyle w:val="A-"/>
              <w:spacing w:line="220" w:lineRule="exact"/>
            </w:pPr>
            <w:r w:rsidRPr="006B27CC">
              <w:t>1.015</w:t>
            </w:r>
          </w:p>
        </w:tc>
        <w:tc>
          <w:tcPr>
            <w:tcW w:w="424" w:type="pct"/>
          </w:tcPr>
          <w:p w14:paraId="4ED065BB" w14:textId="77777777" w:rsidR="002E474C" w:rsidRPr="006B27CC" w:rsidRDefault="00000000" w:rsidP="006B27CC">
            <w:pPr>
              <w:pStyle w:val="A-"/>
              <w:spacing w:line="220" w:lineRule="exact"/>
            </w:pPr>
            <w:r w:rsidRPr="006B27CC">
              <w:t>0.00000096</w:t>
            </w:r>
          </w:p>
        </w:tc>
        <w:tc>
          <w:tcPr>
            <w:tcW w:w="496" w:type="pct"/>
          </w:tcPr>
          <w:p w14:paraId="2BDB9246" w14:textId="77777777" w:rsidR="002E474C" w:rsidRPr="006B27CC" w:rsidRDefault="00000000" w:rsidP="006B27CC">
            <w:pPr>
              <w:pStyle w:val="A-"/>
              <w:spacing w:line="220" w:lineRule="exact"/>
            </w:pPr>
            <w:r w:rsidRPr="006B27CC">
              <w:t>2.439</w:t>
            </w:r>
          </w:p>
        </w:tc>
        <w:tc>
          <w:tcPr>
            <w:tcW w:w="341" w:type="pct"/>
          </w:tcPr>
          <w:p w14:paraId="21874B04" w14:textId="77777777" w:rsidR="002E474C" w:rsidRPr="006B27CC" w:rsidRDefault="00000000" w:rsidP="006B27CC">
            <w:pPr>
              <w:pStyle w:val="A-"/>
              <w:spacing w:line="220" w:lineRule="exact"/>
            </w:pPr>
            <w:r w:rsidRPr="006B27CC">
              <w:t>0.00000135</w:t>
            </w:r>
          </w:p>
        </w:tc>
        <w:tc>
          <w:tcPr>
            <w:tcW w:w="371" w:type="pct"/>
          </w:tcPr>
          <w:p w14:paraId="5E55AC26" w14:textId="77777777" w:rsidR="002E474C" w:rsidRPr="006B27CC" w:rsidRDefault="00000000" w:rsidP="006B27CC">
            <w:pPr>
              <w:pStyle w:val="A-"/>
              <w:spacing w:line="220" w:lineRule="exact"/>
            </w:pPr>
            <w:r w:rsidRPr="006B27CC">
              <w:t>0.02</w:t>
            </w:r>
          </w:p>
        </w:tc>
        <w:tc>
          <w:tcPr>
            <w:tcW w:w="545" w:type="pct"/>
          </w:tcPr>
          <w:p w14:paraId="17BA0387" w14:textId="77777777" w:rsidR="002E474C" w:rsidRPr="006B27CC" w:rsidRDefault="00000000" w:rsidP="006B27CC">
            <w:pPr>
              <w:pStyle w:val="A-"/>
              <w:spacing w:line="220" w:lineRule="exact"/>
            </w:pPr>
            <w:r w:rsidRPr="006B27CC">
              <w:t>0.00000165</w:t>
            </w:r>
          </w:p>
        </w:tc>
        <w:tc>
          <w:tcPr>
            <w:tcW w:w="295" w:type="pct"/>
          </w:tcPr>
          <w:p w14:paraId="5625FDBA" w14:textId="77777777" w:rsidR="002E474C" w:rsidRPr="006B27CC" w:rsidRDefault="00000000" w:rsidP="006B27CC">
            <w:pPr>
              <w:pStyle w:val="A-"/>
              <w:spacing w:line="220" w:lineRule="exact"/>
            </w:pPr>
            <w:r w:rsidRPr="006B27CC">
              <w:t>0</w:t>
            </w:r>
          </w:p>
        </w:tc>
        <w:tc>
          <w:tcPr>
            <w:tcW w:w="295" w:type="pct"/>
          </w:tcPr>
          <w:p w14:paraId="0A839E71" w14:textId="77777777" w:rsidR="002E474C" w:rsidRPr="006B27CC" w:rsidRDefault="00000000" w:rsidP="006B27CC">
            <w:pPr>
              <w:pStyle w:val="A-"/>
              <w:spacing w:line="220" w:lineRule="exact"/>
            </w:pPr>
            <w:r w:rsidRPr="006B27CC">
              <w:t>0.00001687</w:t>
            </w:r>
          </w:p>
        </w:tc>
        <w:tc>
          <w:tcPr>
            <w:tcW w:w="424" w:type="pct"/>
          </w:tcPr>
          <w:p w14:paraId="76620EAB" w14:textId="77777777" w:rsidR="002E474C" w:rsidRPr="006B27CC" w:rsidRDefault="00000000" w:rsidP="006B27CC">
            <w:pPr>
              <w:pStyle w:val="A-"/>
              <w:spacing w:line="220" w:lineRule="exact"/>
            </w:pPr>
            <w:r w:rsidRPr="006B27CC">
              <w:t>0.00102</w:t>
            </w:r>
          </w:p>
        </w:tc>
        <w:tc>
          <w:tcPr>
            <w:tcW w:w="382" w:type="pct"/>
          </w:tcPr>
          <w:p w14:paraId="2AD9AA1D" w14:textId="77777777" w:rsidR="002E474C" w:rsidRPr="006B27CC" w:rsidRDefault="00000000" w:rsidP="006B27CC">
            <w:pPr>
              <w:pStyle w:val="A-"/>
              <w:spacing w:line="220" w:lineRule="exact"/>
            </w:pPr>
            <w:r w:rsidRPr="006B27CC">
              <w:t>0.0000012</w:t>
            </w:r>
          </w:p>
        </w:tc>
        <w:tc>
          <w:tcPr>
            <w:tcW w:w="379" w:type="pct"/>
          </w:tcPr>
          <w:p w14:paraId="7B5FD4E7" w14:textId="77777777" w:rsidR="002E474C" w:rsidRPr="006B27CC" w:rsidRDefault="002E474C" w:rsidP="006B27CC">
            <w:pPr>
              <w:pStyle w:val="A-"/>
              <w:spacing w:line="220" w:lineRule="exact"/>
            </w:pPr>
          </w:p>
        </w:tc>
      </w:tr>
      <w:tr w:rsidR="002E474C" w:rsidRPr="006B27CC" w14:paraId="4E6A88F5" w14:textId="77777777" w:rsidTr="009C3A0E">
        <w:tc>
          <w:tcPr>
            <w:tcW w:w="240" w:type="pct"/>
          </w:tcPr>
          <w:p w14:paraId="53B09252" w14:textId="77777777" w:rsidR="002E474C" w:rsidRPr="006B27CC" w:rsidRDefault="00000000" w:rsidP="006B27CC">
            <w:pPr>
              <w:pStyle w:val="A-"/>
              <w:spacing w:line="220" w:lineRule="exact"/>
            </w:pPr>
            <w:r w:rsidRPr="006B27CC">
              <w:t>S</w:t>
            </w:r>
          </w:p>
        </w:tc>
        <w:tc>
          <w:tcPr>
            <w:tcW w:w="138" w:type="pct"/>
          </w:tcPr>
          <w:p w14:paraId="37EA2C0E" w14:textId="77777777" w:rsidR="002E474C" w:rsidRPr="006B27CC" w:rsidRDefault="00000000" w:rsidP="006B27CC">
            <w:pPr>
              <w:pStyle w:val="A-"/>
              <w:spacing w:line="220" w:lineRule="exact"/>
            </w:pPr>
            <w:r w:rsidRPr="006B27CC">
              <w:t>%</w:t>
            </w:r>
          </w:p>
        </w:tc>
        <w:tc>
          <w:tcPr>
            <w:tcW w:w="330" w:type="pct"/>
          </w:tcPr>
          <w:p w14:paraId="2DA8EDE1" w14:textId="77777777" w:rsidR="002E474C" w:rsidRPr="006B27CC" w:rsidRDefault="00000000" w:rsidP="006B27CC">
            <w:pPr>
              <w:pStyle w:val="A-"/>
              <w:spacing w:line="220" w:lineRule="exact"/>
            </w:pPr>
            <w:r w:rsidRPr="006B27CC">
              <w:t>21.647</w:t>
            </w:r>
          </w:p>
        </w:tc>
        <w:tc>
          <w:tcPr>
            <w:tcW w:w="341" w:type="pct"/>
          </w:tcPr>
          <w:p w14:paraId="44BA8D95" w14:textId="77777777" w:rsidR="002E474C" w:rsidRPr="006B27CC" w:rsidRDefault="00000000" w:rsidP="006B27CC">
            <w:pPr>
              <w:pStyle w:val="A-"/>
              <w:spacing w:line="220" w:lineRule="exact"/>
            </w:pPr>
            <w:r w:rsidRPr="006B27CC">
              <w:t>21.647</w:t>
            </w:r>
          </w:p>
        </w:tc>
        <w:tc>
          <w:tcPr>
            <w:tcW w:w="424" w:type="pct"/>
          </w:tcPr>
          <w:p w14:paraId="43D6537D" w14:textId="77777777" w:rsidR="002E474C" w:rsidRPr="006B27CC" w:rsidRDefault="002E474C" w:rsidP="006B27CC">
            <w:pPr>
              <w:pStyle w:val="A-"/>
              <w:spacing w:line="220" w:lineRule="exact"/>
            </w:pPr>
          </w:p>
        </w:tc>
        <w:tc>
          <w:tcPr>
            <w:tcW w:w="496" w:type="pct"/>
          </w:tcPr>
          <w:p w14:paraId="104DAB65" w14:textId="77777777" w:rsidR="002E474C" w:rsidRPr="006B27CC" w:rsidRDefault="00000000" w:rsidP="006B27CC">
            <w:pPr>
              <w:pStyle w:val="A-"/>
              <w:spacing w:line="220" w:lineRule="exact"/>
            </w:pPr>
            <w:r w:rsidRPr="006B27CC">
              <w:t>2.451</w:t>
            </w:r>
          </w:p>
        </w:tc>
        <w:tc>
          <w:tcPr>
            <w:tcW w:w="341" w:type="pct"/>
          </w:tcPr>
          <w:p w14:paraId="0EB4F206" w14:textId="77777777" w:rsidR="002E474C" w:rsidRPr="006B27CC" w:rsidRDefault="00000000" w:rsidP="006B27CC">
            <w:pPr>
              <w:pStyle w:val="A-"/>
              <w:spacing w:line="220" w:lineRule="exact"/>
            </w:pPr>
            <w:r w:rsidRPr="006B27CC">
              <w:t>0.355</w:t>
            </w:r>
          </w:p>
        </w:tc>
        <w:tc>
          <w:tcPr>
            <w:tcW w:w="371" w:type="pct"/>
          </w:tcPr>
          <w:p w14:paraId="4EB589B9" w14:textId="77777777" w:rsidR="002E474C" w:rsidRPr="006B27CC" w:rsidRDefault="00000000" w:rsidP="006B27CC">
            <w:pPr>
              <w:pStyle w:val="A-"/>
              <w:spacing w:line="220" w:lineRule="exact"/>
            </w:pPr>
            <w:r w:rsidRPr="006B27CC">
              <w:t>28.848</w:t>
            </w:r>
          </w:p>
        </w:tc>
        <w:tc>
          <w:tcPr>
            <w:tcW w:w="545" w:type="pct"/>
          </w:tcPr>
          <w:p w14:paraId="25716B3B" w14:textId="77777777" w:rsidR="002E474C" w:rsidRPr="006B27CC" w:rsidRDefault="00000000" w:rsidP="006B27CC">
            <w:pPr>
              <w:pStyle w:val="A-"/>
              <w:spacing w:line="220" w:lineRule="exact"/>
            </w:pPr>
            <w:r w:rsidRPr="006B27CC">
              <w:t>0.17</w:t>
            </w:r>
          </w:p>
        </w:tc>
        <w:tc>
          <w:tcPr>
            <w:tcW w:w="295" w:type="pct"/>
          </w:tcPr>
          <w:p w14:paraId="0B2B74ED" w14:textId="77777777" w:rsidR="002E474C" w:rsidRPr="006B27CC" w:rsidRDefault="00000000" w:rsidP="006B27CC">
            <w:pPr>
              <w:pStyle w:val="A-"/>
              <w:spacing w:line="220" w:lineRule="exact"/>
            </w:pPr>
            <w:r w:rsidRPr="006B27CC">
              <w:t>0.66</w:t>
            </w:r>
          </w:p>
        </w:tc>
        <w:tc>
          <w:tcPr>
            <w:tcW w:w="295" w:type="pct"/>
          </w:tcPr>
          <w:p w14:paraId="1D316E4F" w14:textId="77777777" w:rsidR="002E474C" w:rsidRPr="006B27CC" w:rsidRDefault="00000000" w:rsidP="006B27CC">
            <w:pPr>
              <w:pStyle w:val="A-"/>
              <w:spacing w:line="220" w:lineRule="exact"/>
            </w:pPr>
            <w:r w:rsidRPr="006B27CC">
              <w:t>0.003</w:t>
            </w:r>
          </w:p>
        </w:tc>
        <w:tc>
          <w:tcPr>
            <w:tcW w:w="424" w:type="pct"/>
          </w:tcPr>
          <w:p w14:paraId="0C6187BF" w14:textId="77777777" w:rsidR="002E474C" w:rsidRPr="006B27CC" w:rsidRDefault="00000000" w:rsidP="006B27CC">
            <w:pPr>
              <w:pStyle w:val="A-"/>
              <w:spacing w:line="220" w:lineRule="exact"/>
            </w:pPr>
            <w:r w:rsidRPr="006B27CC">
              <w:t>0.84</w:t>
            </w:r>
          </w:p>
        </w:tc>
        <w:tc>
          <w:tcPr>
            <w:tcW w:w="382" w:type="pct"/>
          </w:tcPr>
          <w:p w14:paraId="14A162F6" w14:textId="77777777" w:rsidR="002E474C" w:rsidRPr="006B27CC" w:rsidRDefault="00000000" w:rsidP="006B27CC">
            <w:pPr>
              <w:pStyle w:val="A-"/>
              <w:spacing w:line="220" w:lineRule="exact"/>
            </w:pPr>
            <w:r w:rsidRPr="006B27CC">
              <w:t>0.21</w:t>
            </w:r>
          </w:p>
        </w:tc>
        <w:tc>
          <w:tcPr>
            <w:tcW w:w="379" w:type="pct"/>
          </w:tcPr>
          <w:p w14:paraId="0E5E302B" w14:textId="77777777" w:rsidR="002E474C" w:rsidRPr="006B27CC" w:rsidRDefault="002E474C" w:rsidP="006B27CC">
            <w:pPr>
              <w:pStyle w:val="A-"/>
              <w:spacing w:line="220" w:lineRule="exact"/>
            </w:pPr>
          </w:p>
        </w:tc>
      </w:tr>
      <w:tr w:rsidR="002E474C" w:rsidRPr="006B27CC" w14:paraId="6CD1ED17" w14:textId="77777777" w:rsidTr="009C3A0E">
        <w:tc>
          <w:tcPr>
            <w:tcW w:w="240" w:type="pct"/>
          </w:tcPr>
          <w:p w14:paraId="681506B4" w14:textId="77777777" w:rsidR="002E474C" w:rsidRPr="006B27CC" w:rsidRDefault="00000000" w:rsidP="006B27CC">
            <w:pPr>
              <w:pStyle w:val="A-"/>
              <w:spacing w:line="220" w:lineRule="exact"/>
            </w:pPr>
            <w:r w:rsidRPr="006B27CC">
              <w:t>Cr</w:t>
            </w:r>
          </w:p>
        </w:tc>
        <w:tc>
          <w:tcPr>
            <w:tcW w:w="138" w:type="pct"/>
          </w:tcPr>
          <w:p w14:paraId="09AF1038" w14:textId="77777777" w:rsidR="002E474C" w:rsidRPr="006B27CC" w:rsidRDefault="00000000" w:rsidP="006B27CC">
            <w:pPr>
              <w:pStyle w:val="A-"/>
              <w:spacing w:line="220" w:lineRule="exact"/>
            </w:pPr>
            <w:r w:rsidRPr="006B27CC">
              <w:t>%</w:t>
            </w:r>
          </w:p>
        </w:tc>
        <w:tc>
          <w:tcPr>
            <w:tcW w:w="330" w:type="pct"/>
          </w:tcPr>
          <w:p w14:paraId="1C0DEC3E" w14:textId="77777777" w:rsidR="002E474C" w:rsidRPr="006B27CC" w:rsidRDefault="002E474C" w:rsidP="006B27CC">
            <w:pPr>
              <w:pStyle w:val="A-"/>
              <w:spacing w:line="220" w:lineRule="exact"/>
            </w:pPr>
          </w:p>
        </w:tc>
        <w:tc>
          <w:tcPr>
            <w:tcW w:w="341" w:type="pct"/>
          </w:tcPr>
          <w:p w14:paraId="5D2CCD54" w14:textId="77777777" w:rsidR="002E474C" w:rsidRPr="006B27CC" w:rsidRDefault="002E474C" w:rsidP="006B27CC">
            <w:pPr>
              <w:pStyle w:val="A-"/>
              <w:spacing w:line="220" w:lineRule="exact"/>
            </w:pPr>
          </w:p>
        </w:tc>
        <w:tc>
          <w:tcPr>
            <w:tcW w:w="424" w:type="pct"/>
          </w:tcPr>
          <w:p w14:paraId="1ACE024F" w14:textId="77777777" w:rsidR="002E474C" w:rsidRPr="006B27CC" w:rsidRDefault="00000000" w:rsidP="006B27CC">
            <w:pPr>
              <w:pStyle w:val="A-"/>
              <w:spacing w:line="220" w:lineRule="exact"/>
            </w:pPr>
            <w:r w:rsidRPr="006B27CC">
              <w:t>0.000000009</w:t>
            </w:r>
          </w:p>
        </w:tc>
        <w:tc>
          <w:tcPr>
            <w:tcW w:w="496" w:type="pct"/>
          </w:tcPr>
          <w:p w14:paraId="6C3B4EAA" w14:textId="77777777" w:rsidR="002E474C" w:rsidRPr="006B27CC" w:rsidRDefault="002E474C" w:rsidP="006B27CC">
            <w:pPr>
              <w:pStyle w:val="A-"/>
              <w:spacing w:line="220" w:lineRule="exact"/>
            </w:pPr>
          </w:p>
        </w:tc>
        <w:tc>
          <w:tcPr>
            <w:tcW w:w="341" w:type="pct"/>
          </w:tcPr>
          <w:p w14:paraId="3A45B1EA" w14:textId="77777777" w:rsidR="002E474C" w:rsidRPr="006B27CC" w:rsidRDefault="00000000" w:rsidP="006B27CC">
            <w:pPr>
              <w:pStyle w:val="A-"/>
              <w:spacing w:line="220" w:lineRule="exact"/>
            </w:pPr>
            <w:r w:rsidRPr="006B27CC">
              <w:t>3E-10</w:t>
            </w:r>
          </w:p>
        </w:tc>
        <w:tc>
          <w:tcPr>
            <w:tcW w:w="371" w:type="pct"/>
          </w:tcPr>
          <w:p w14:paraId="1EC7360D" w14:textId="77777777" w:rsidR="002E474C" w:rsidRPr="006B27CC" w:rsidRDefault="00000000" w:rsidP="006B27CC">
            <w:pPr>
              <w:pStyle w:val="A-"/>
              <w:spacing w:line="220" w:lineRule="exact"/>
            </w:pPr>
            <w:r w:rsidRPr="006B27CC">
              <w:t>0.021</w:t>
            </w:r>
          </w:p>
        </w:tc>
        <w:tc>
          <w:tcPr>
            <w:tcW w:w="545" w:type="pct"/>
          </w:tcPr>
          <w:p w14:paraId="5B71549B" w14:textId="77777777" w:rsidR="002E474C" w:rsidRPr="006B27CC" w:rsidRDefault="00000000" w:rsidP="006B27CC">
            <w:pPr>
              <w:pStyle w:val="A-"/>
              <w:spacing w:line="220" w:lineRule="exact"/>
            </w:pPr>
            <w:r w:rsidRPr="006B27CC">
              <w:t>0.0000861</w:t>
            </w:r>
          </w:p>
        </w:tc>
        <w:tc>
          <w:tcPr>
            <w:tcW w:w="295" w:type="pct"/>
          </w:tcPr>
          <w:p w14:paraId="25C7ADE1" w14:textId="77777777" w:rsidR="002E474C" w:rsidRPr="006B27CC" w:rsidRDefault="00000000" w:rsidP="006B27CC">
            <w:pPr>
              <w:pStyle w:val="A-"/>
              <w:spacing w:line="220" w:lineRule="exact"/>
            </w:pPr>
            <w:r w:rsidRPr="006B27CC">
              <w:t>0.0000528</w:t>
            </w:r>
          </w:p>
        </w:tc>
        <w:tc>
          <w:tcPr>
            <w:tcW w:w="295" w:type="pct"/>
          </w:tcPr>
          <w:p w14:paraId="786655F8" w14:textId="77777777" w:rsidR="002E474C" w:rsidRPr="006B27CC" w:rsidRDefault="00000000" w:rsidP="006B27CC">
            <w:pPr>
              <w:pStyle w:val="A-"/>
              <w:spacing w:line="220" w:lineRule="exact"/>
            </w:pPr>
            <w:r w:rsidRPr="006B27CC">
              <w:t>8.59E-08</w:t>
            </w:r>
          </w:p>
        </w:tc>
        <w:tc>
          <w:tcPr>
            <w:tcW w:w="424" w:type="pct"/>
          </w:tcPr>
          <w:p w14:paraId="08FD0501" w14:textId="77777777" w:rsidR="002E474C" w:rsidRPr="006B27CC" w:rsidRDefault="00000000" w:rsidP="006B27CC">
            <w:pPr>
              <w:pStyle w:val="A-"/>
              <w:spacing w:line="220" w:lineRule="exact"/>
            </w:pPr>
            <w:r w:rsidRPr="006B27CC">
              <w:t>3.75E-08</w:t>
            </w:r>
          </w:p>
        </w:tc>
        <w:tc>
          <w:tcPr>
            <w:tcW w:w="382" w:type="pct"/>
          </w:tcPr>
          <w:p w14:paraId="6DB5BF38" w14:textId="77777777" w:rsidR="002E474C" w:rsidRPr="006B27CC" w:rsidRDefault="00000000" w:rsidP="006B27CC">
            <w:pPr>
              <w:pStyle w:val="A-"/>
              <w:spacing w:line="220" w:lineRule="exact"/>
            </w:pPr>
            <w:r w:rsidRPr="006B27CC">
              <w:t>3.75E-08</w:t>
            </w:r>
          </w:p>
        </w:tc>
        <w:tc>
          <w:tcPr>
            <w:tcW w:w="379" w:type="pct"/>
          </w:tcPr>
          <w:p w14:paraId="7075A899" w14:textId="77777777" w:rsidR="002E474C" w:rsidRPr="006B27CC" w:rsidRDefault="002E474C" w:rsidP="006B27CC">
            <w:pPr>
              <w:pStyle w:val="A-"/>
              <w:spacing w:line="220" w:lineRule="exact"/>
            </w:pPr>
          </w:p>
        </w:tc>
      </w:tr>
      <w:tr w:rsidR="002E474C" w:rsidRPr="006B27CC" w14:paraId="2EA5C9C5" w14:textId="77777777" w:rsidTr="009C3A0E">
        <w:tc>
          <w:tcPr>
            <w:tcW w:w="240" w:type="pct"/>
          </w:tcPr>
          <w:p w14:paraId="4C8180C5" w14:textId="77777777" w:rsidR="002E474C" w:rsidRPr="006B27CC" w:rsidRDefault="00000000" w:rsidP="006B27CC">
            <w:pPr>
              <w:pStyle w:val="A-"/>
              <w:spacing w:line="220" w:lineRule="exact"/>
            </w:pPr>
            <w:r w:rsidRPr="006B27CC">
              <w:t>Cu</w:t>
            </w:r>
          </w:p>
        </w:tc>
        <w:tc>
          <w:tcPr>
            <w:tcW w:w="138" w:type="pct"/>
          </w:tcPr>
          <w:p w14:paraId="1F35D152" w14:textId="77777777" w:rsidR="002E474C" w:rsidRPr="006B27CC" w:rsidRDefault="00000000" w:rsidP="006B27CC">
            <w:pPr>
              <w:pStyle w:val="A-"/>
              <w:spacing w:line="220" w:lineRule="exact"/>
            </w:pPr>
            <w:r w:rsidRPr="006B27CC">
              <w:t>%</w:t>
            </w:r>
          </w:p>
        </w:tc>
        <w:tc>
          <w:tcPr>
            <w:tcW w:w="330" w:type="pct"/>
          </w:tcPr>
          <w:p w14:paraId="6EAC02C4" w14:textId="77777777" w:rsidR="002E474C" w:rsidRPr="006B27CC" w:rsidRDefault="00000000" w:rsidP="006B27CC">
            <w:pPr>
              <w:pStyle w:val="A-"/>
              <w:spacing w:line="220" w:lineRule="exact"/>
            </w:pPr>
            <w:r w:rsidRPr="006B27CC">
              <w:t>0.113</w:t>
            </w:r>
          </w:p>
        </w:tc>
        <w:tc>
          <w:tcPr>
            <w:tcW w:w="341" w:type="pct"/>
          </w:tcPr>
          <w:p w14:paraId="57F2FA16" w14:textId="77777777" w:rsidR="002E474C" w:rsidRPr="006B27CC" w:rsidRDefault="00000000" w:rsidP="006B27CC">
            <w:pPr>
              <w:pStyle w:val="A-"/>
              <w:spacing w:line="220" w:lineRule="exact"/>
            </w:pPr>
            <w:r w:rsidRPr="006B27CC">
              <w:t>0.113</w:t>
            </w:r>
          </w:p>
        </w:tc>
        <w:tc>
          <w:tcPr>
            <w:tcW w:w="424" w:type="pct"/>
          </w:tcPr>
          <w:p w14:paraId="1F70F297" w14:textId="77777777" w:rsidR="002E474C" w:rsidRPr="006B27CC" w:rsidRDefault="00000000" w:rsidP="006B27CC">
            <w:pPr>
              <w:pStyle w:val="A-"/>
              <w:spacing w:line="220" w:lineRule="exact"/>
            </w:pPr>
            <w:r w:rsidRPr="006B27CC">
              <w:t>0.0000172</w:t>
            </w:r>
          </w:p>
        </w:tc>
        <w:tc>
          <w:tcPr>
            <w:tcW w:w="496" w:type="pct"/>
          </w:tcPr>
          <w:p w14:paraId="4B17411A" w14:textId="77777777" w:rsidR="002E474C" w:rsidRPr="006B27CC" w:rsidRDefault="002E474C" w:rsidP="006B27CC">
            <w:pPr>
              <w:pStyle w:val="A-"/>
              <w:spacing w:line="220" w:lineRule="exact"/>
            </w:pPr>
          </w:p>
        </w:tc>
        <w:tc>
          <w:tcPr>
            <w:tcW w:w="341" w:type="pct"/>
          </w:tcPr>
          <w:p w14:paraId="56296FC4" w14:textId="77777777" w:rsidR="002E474C" w:rsidRPr="006B27CC" w:rsidRDefault="00000000" w:rsidP="006B27CC">
            <w:pPr>
              <w:pStyle w:val="A-"/>
              <w:spacing w:line="220" w:lineRule="exact"/>
            </w:pPr>
            <w:r w:rsidRPr="006B27CC">
              <w:t>0.00000001</w:t>
            </w:r>
          </w:p>
        </w:tc>
        <w:tc>
          <w:tcPr>
            <w:tcW w:w="371" w:type="pct"/>
          </w:tcPr>
          <w:p w14:paraId="0EB18C92" w14:textId="77777777" w:rsidR="002E474C" w:rsidRPr="006B27CC" w:rsidRDefault="00000000" w:rsidP="006B27CC">
            <w:pPr>
              <w:pStyle w:val="A-"/>
              <w:spacing w:line="220" w:lineRule="exact"/>
            </w:pPr>
            <w:r w:rsidRPr="006B27CC">
              <w:t>0.113</w:t>
            </w:r>
          </w:p>
        </w:tc>
        <w:tc>
          <w:tcPr>
            <w:tcW w:w="545" w:type="pct"/>
          </w:tcPr>
          <w:p w14:paraId="4C6A72C3" w14:textId="77777777" w:rsidR="002E474C" w:rsidRPr="006B27CC" w:rsidRDefault="00000000" w:rsidP="006B27CC">
            <w:pPr>
              <w:pStyle w:val="A-"/>
              <w:spacing w:line="220" w:lineRule="exact"/>
            </w:pPr>
            <w:r w:rsidRPr="006B27CC">
              <w:t>1.48E-09</w:t>
            </w:r>
          </w:p>
        </w:tc>
        <w:tc>
          <w:tcPr>
            <w:tcW w:w="295" w:type="pct"/>
          </w:tcPr>
          <w:p w14:paraId="2AC185BF" w14:textId="77777777" w:rsidR="002E474C" w:rsidRPr="006B27CC" w:rsidRDefault="00000000" w:rsidP="006B27CC">
            <w:pPr>
              <w:pStyle w:val="A-"/>
              <w:spacing w:line="220" w:lineRule="exact"/>
            </w:pPr>
            <w:r w:rsidRPr="006B27CC">
              <w:t>0.0000994</w:t>
            </w:r>
          </w:p>
        </w:tc>
        <w:tc>
          <w:tcPr>
            <w:tcW w:w="295" w:type="pct"/>
          </w:tcPr>
          <w:p w14:paraId="5D34C13C" w14:textId="77777777" w:rsidR="002E474C" w:rsidRPr="006B27CC" w:rsidRDefault="00000000" w:rsidP="006B27CC">
            <w:pPr>
              <w:pStyle w:val="A-"/>
              <w:spacing w:line="220" w:lineRule="exact"/>
            </w:pPr>
            <w:r w:rsidRPr="006B27CC">
              <w:t>7.51E-08</w:t>
            </w:r>
          </w:p>
        </w:tc>
        <w:tc>
          <w:tcPr>
            <w:tcW w:w="424" w:type="pct"/>
          </w:tcPr>
          <w:p w14:paraId="4BE5F443" w14:textId="77777777" w:rsidR="002E474C" w:rsidRPr="006B27CC" w:rsidRDefault="00000000" w:rsidP="006B27CC">
            <w:pPr>
              <w:pStyle w:val="A-"/>
              <w:spacing w:line="220" w:lineRule="exact"/>
            </w:pPr>
            <w:r w:rsidRPr="006B27CC">
              <w:t>0.00000125</w:t>
            </w:r>
          </w:p>
        </w:tc>
        <w:tc>
          <w:tcPr>
            <w:tcW w:w="382" w:type="pct"/>
          </w:tcPr>
          <w:p w14:paraId="4FD88388" w14:textId="77777777" w:rsidR="002E474C" w:rsidRPr="006B27CC" w:rsidRDefault="00000000" w:rsidP="006B27CC">
            <w:pPr>
              <w:pStyle w:val="A-"/>
              <w:spacing w:line="220" w:lineRule="exact"/>
            </w:pPr>
            <w:r w:rsidRPr="006B27CC">
              <w:t>0.0000802</w:t>
            </w:r>
          </w:p>
        </w:tc>
        <w:tc>
          <w:tcPr>
            <w:tcW w:w="379" w:type="pct"/>
          </w:tcPr>
          <w:p w14:paraId="403AE667" w14:textId="77777777" w:rsidR="002E474C" w:rsidRPr="006B27CC" w:rsidRDefault="002E474C" w:rsidP="006B27CC">
            <w:pPr>
              <w:pStyle w:val="A-"/>
              <w:spacing w:line="220" w:lineRule="exact"/>
            </w:pPr>
          </w:p>
        </w:tc>
      </w:tr>
      <w:tr w:rsidR="002E474C" w:rsidRPr="006B27CC" w14:paraId="6A46D7BD" w14:textId="77777777" w:rsidTr="009C3A0E">
        <w:tc>
          <w:tcPr>
            <w:tcW w:w="240" w:type="pct"/>
          </w:tcPr>
          <w:p w14:paraId="293A67EE" w14:textId="77777777" w:rsidR="002E474C" w:rsidRPr="006B27CC" w:rsidRDefault="00000000" w:rsidP="006B27CC">
            <w:pPr>
              <w:pStyle w:val="A-"/>
              <w:spacing w:line="220" w:lineRule="exact"/>
            </w:pPr>
            <w:r w:rsidRPr="006B27CC">
              <w:t>Zn</w:t>
            </w:r>
          </w:p>
        </w:tc>
        <w:tc>
          <w:tcPr>
            <w:tcW w:w="138" w:type="pct"/>
          </w:tcPr>
          <w:p w14:paraId="40B1D560" w14:textId="77777777" w:rsidR="002E474C" w:rsidRPr="006B27CC" w:rsidRDefault="00000000" w:rsidP="006B27CC">
            <w:pPr>
              <w:pStyle w:val="A-"/>
              <w:spacing w:line="220" w:lineRule="exact"/>
            </w:pPr>
            <w:r w:rsidRPr="006B27CC">
              <w:t>%</w:t>
            </w:r>
          </w:p>
        </w:tc>
        <w:tc>
          <w:tcPr>
            <w:tcW w:w="330" w:type="pct"/>
          </w:tcPr>
          <w:p w14:paraId="01539B65" w14:textId="77777777" w:rsidR="002E474C" w:rsidRPr="006B27CC" w:rsidRDefault="00000000" w:rsidP="006B27CC">
            <w:pPr>
              <w:pStyle w:val="A-"/>
              <w:spacing w:line="220" w:lineRule="exact"/>
            </w:pPr>
            <w:r w:rsidRPr="006B27CC">
              <w:t>0.051</w:t>
            </w:r>
          </w:p>
        </w:tc>
        <w:tc>
          <w:tcPr>
            <w:tcW w:w="341" w:type="pct"/>
          </w:tcPr>
          <w:p w14:paraId="7F7D2B28" w14:textId="77777777" w:rsidR="002E474C" w:rsidRPr="006B27CC" w:rsidRDefault="00000000" w:rsidP="006B27CC">
            <w:pPr>
              <w:pStyle w:val="A-"/>
              <w:spacing w:line="220" w:lineRule="exact"/>
            </w:pPr>
            <w:r w:rsidRPr="006B27CC">
              <w:t>0.051</w:t>
            </w:r>
          </w:p>
        </w:tc>
        <w:tc>
          <w:tcPr>
            <w:tcW w:w="424" w:type="pct"/>
          </w:tcPr>
          <w:p w14:paraId="7FEDA9F2" w14:textId="77777777" w:rsidR="002E474C" w:rsidRPr="006B27CC" w:rsidRDefault="00000000" w:rsidP="006B27CC">
            <w:pPr>
              <w:pStyle w:val="A-"/>
              <w:spacing w:line="220" w:lineRule="exact"/>
            </w:pPr>
            <w:r w:rsidRPr="006B27CC">
              <w:t>0.0000769</w:t>
            </w:r>
          </w:p>
        </w:tc>
        <w:tc>
          <w:tcPr>
            <w:tcW w:w="496" w:type="pct"/>
          </w:tcPr>
          <w:p w14:paraId="5B9D9D6D" w14:textId="77777777" w:rsidR="002E474C" w:rsidRPr="006B27CC" w:rsidRDefault="00000000" w:rsidP="006B27CC">
            <w:pPr>
              <w:pStyle w:val="A-"/>
              <w:spacing w:line="220" w:lineRule="exact"/>
            </w:pPr>
            <w:r w:rsidRPr="006B27CC">
              <w:t>1.012</w:t>
            </w:r>
          </w:p>
        </w:tc>
        <w:tc>
          <w:tcPr>
            <w:tcW w:w="341" w:type="pct"/>
          </w:tcPr>
          <w:p w14:paraId="48AD49D2" w14:textId="77777777" w:rsidR="002E474C" w:rsidRPr="006B27CC" w:rsidRDefault="00000000" w:rsidP="006B27CC">
            <w:pPr>
              <w:pStyle w:val="A-"/>
              <w:spacing w:line="220" w:lineRule="exact"/>
            </w:pPr>
            <w:r w:rsidRPr="006B27CC">
              <w:t>0.000000319</w:t>
            </w:r>
          </w:p>
        </w:tc>
        <w:tc>
          <w:tcPr>
            <w:tcW w:w="371" w:type="pct"/>
          </w:tcPr>
          <w:p w14:paraId="3AF5D45B" w14:textId="77777777" w:rsidR="002E474C" w:rsidRPr="006B27CC" w:rsidRDefault="00000000" w:rsidP="006B27CC">
            <w:pPr>
              <w:pStyle w:val="A-"/>
              <w:spacing w:line="220" w:lineRule="exact"/>
            </w:pPr>
            <w:r w:rsidRPr="006B27CC">
              <w:t>0.273</w:t>
            </w:r>
          </w:p>
        </w:tc>
        <w:tc>
          <w:tcPr>
            <w:tcW w:w="545" w:type="pct"/>
          </w:tcPr>
          <w:p w14:paraId="03E08373" w14:textId="77777777" w:rsidR="002E474C" w:rsidRPr="006B27CC" w:rsidRDefault="00000000" w:rsidP="006B27CC">
            <w:pPr>
              <w:pStyle w:val="A-"/>
              <w:spacing w:line="220" w:lineRule="exact"/>
            </w:pPr>
            <w:r w:rsidRPr="006B27CC">
              <w:t>1.14E-09</w:t>
            </w:r>
          </w:p>
        </w:tc>
        <w:tc>
          <w:tcPr>
            <w:tcW w:w="295" w:type="pct"/>
          </w:tcPr>
          <w:p w14:paraId="571F84D4" w14:textId="77777777" w:rsidR="002E474C" w:rsidRPr="006B27CC" w:rsidRDefault="00000000" w:rsidP="006B27CC">
            <w:pPr>
              <w:pStyle w:val="A-"/>
              <w:spacing w:line="220" w:lineRule="exact"/>
            </w:pPr>
            <w:r w:rsidRPr="006B27CC">
              <w:t>2.61E-09</w:t>
            </w:r>
          </w:p>
        </w:tc>
        <w:tc>
          <w:tcPr>
            <w:tcW w:w="295" w:type="pct"/>
          </w:tcPr>
          <w:p w14:paraId="6F379FBD" w14:textId="77777777" w:rsidR="002E474C" w:rsidRPr="006B27CC" w:rsidRDefault="00000000" w:rsidP="006B27CC">
            <w:pPr>
              <w:pStyle w:val="A-"/>
              <w:spacing w:line="220" w:lineRule="exact"/>
            </w:pPr>
            <w:r w:rsidRPr="006B27CC">
              <w:t>0.000000323</w:t>
            </w:r>
          </w:p>
        </w:tc>
        <w:tc>
          <w:tcPr>
            <w:tcW w:w="424" w:type="pct"/>
          </w:tcPr>
          <w:p w14:paraId="43F816FD" w14:textId="77777777" w:rsidR="002E474C" w:rsidRPr="006B27CC" w:rsidRDefault="00000000" w:rsidP="006B27CC">
            <w:pPr>
              <w:pStyle w:val="A-"/>
              <w:spacing w:line="220" w:lineRule="exact"/>
            </w:pPr>
            <w:r w:rsidRPr="006B27CC">
              <w:t>0.0014</w:t>
            </w:r>
          </w:p>
        </w:tc>
        <w:tc>
          <w:tcPr>
            <w:tcW w:w="382" w:type="pct"/>
          </w:tcPr>
          <w:p w14:paraId="1F96AF2B" w14:textId="77777777" w:rsidR="002E474C" w:rsidRPr="006B27CC" w:rsidRDefault="00000000" w:rsidP="006B27CC">
            <w:pPr>
              <w:pStyle w:val="A-"/>
              <w:spacing w:line="220" w:lineRule="exact"/>
            </w:pPr>
            <w:r w:rsidRPr="006B27CC">
              <w:t>0.0000472</w:t>
            </w:r>
          </w:p>
        </w:tc>
        <w:tc>
          <w:tcPr>
            <w:tcW w:w="379" w:type="pct"/>
          </w:tcPr>
          <w:p w14:paraId="72CAD47E" w14:textId="77777777" w:rsidR="002E474C" w:rsidRPr="006B27CC" w:rsidRDefault="002E474C" w:rsidP="006B27CC">
            <w:pPr>
              <w:pStyle w:val="A-"/>
              <w:spacing w:line="220" w:lineRule="exact"/>
            </w:pPr>
          </w:p>
        </w:tc>
      </w:tr>
      <w:tr w:rsidR="002E474C" w:rsidRPr="006B27CC" w14:paraId="0EFCEEA3" w14:textId="77777777" w:rsidTr="009C3A0E">
        <w:tc>
          <w:tcPr>
            <w:tcW w:w="240" w:type="pct"/>
          </w:tcPr>
          <w:p w14:paraId="3ACF5224" w14:textId="77777777" w:rsidR="002E474C" w:rsidRPr="006B27CC" w:rsidRDefault="00000000" w:rsidP="006B27CC">
            <w:pPr>
              <w:pStyle w:val="A-"/>
              <w:spacing w:line="220" w:lineRule="exact"/>
            </w:pPr>
            <w:r w:rsidRPr="006B27CC">
              <w:t>Cd</w:t>
            </w:r>
          </w:p>
        </w:tc>
        <w:tc>
          <w:tcPr>
            <w:tcW w:w="138" w:type="pct"/>
          </w:tcPr>
          <w:p w14:paraId="3E8EF8CF" w14:textId="77777777" w:rsidR="002E474C" w:rsidRPr="006B27CC" w:rsidRDefault="00000000" w:rsidP="006B27CC">
            <w:pPr>
              <w:pStyle w:val="A-"/>
              <w:spacing w:line="220" w:lineRule="exact"/>
            </w:pPr>
            <w:r w:rsidRPr="006B27CC">
              <w:t>%</w:t>
            </w:r>
          </w:p>
        </w:tc>
        <w:tc>
          <w:tcPr>
            <w:tcW w:w="330" w:type="pct"/>
          </w:tcPr>
          <w:p w14:paraId="0DEBECDA" w14:textId="77777777" w:rsidR="002E474C" w:rsidRPr="006B27CC" w:rsidRDefault="002E474C" w:rsidP="006B27CC">
            <w:pPr>
              <w:pStyle w:val="A-"/>
              <w:spacing w:line="220" w:lineRule="exact"/>
            </w:pPr>
          </w:p>
        </w:tc>
        <w:tc>
          <w:tcPr>
            <w:tcW w:w="341" w:type="pct"/>
          </w:tcPr>
          <w:p w14:paraId="2EEA1DE5" w14:textId="77777777" w:rsidR="002E474C" w:rsidRPr="006B27CC" w:rsidRDefault="002E474C" w:rsidP="006B27CC">
            <w:pPr>
              <w:pStyle w:val="A-"/>
              <w:spacing w:line="220" w:lineRule="exact"/>
            </w:pPr>
          </w:p>
        </w:tc>
        <w:tc>
          <w:tcPr>
            <w:tcW w:w="424" w:type="pct"/>
          </w:tcPr>
          <w:p w14:paraId="6689A498" w14:textId="77777777" w:rsidR="002E474C" w:rsidRPr="006B27CC" w:rsidRDefault="002E474C" w:rsidP="006B27CC">
            <w:pPr>
              <w:pStyle w:val="A-"/>
              <w:spacing w:line="220" w:lineRule="exact"/>
            </w:pPr>
          </w:p>
        </w:tc>
        <w:tc>
          <w:tcPr>
            <w:tcW w:w="496" w:type="pct"/>
          </w:tcPr>
          <w:p w14:paraId="497C4338" w14:textId="77777777" w:rsidR="002E474C" w:rsidRPr="006B27CC" w:rsidRDefault="002E474C" w:rsidP="006B27CC">
            <w:pPr>
              <w:pStyle w:val="A-"/>
              <w:spacing w:line="220" w:lineRule="exact"/>
            </w:pPr>
          </w:p>
        </w:tc>
        <w:tc>
          <w:tcPr>
            <w:tcW w:w="341" w:type="pct"/>
          </w:tcPr>
          <w:p w14:paraId="3F2B99AE" w14:textId="77777777" w:rsidR="002E474C" w:rsidRPr="006B27CC" w:rsidRDefault="00000000" w:rsidP="006B27CC">
            <w:pPr>
              <w:pStyle w:val="A-"/>
              <w:spacing w:line="220" w:lineRule="exact"/>
            </w:pPr>
            <w:r w:rsidRPr="006B27CC">
              <w:t>6.62E-08</w:t>
            </w:r>
          </w:p>
        </w:tc>
        <w:tc>
          <w:tcPr>
            <w:tcW w:w="371" w:type="pct"/>
          </w:tcPr>
          <w:p w14:paraId="06B375FE" w14:textId="77777777" w:rsidR="002E474C" w:rsidRPr="006B27CC" w:rsidRDefault="002E474C" w:rsidP="006B27CC">
            <w:pPr>
              <w:pStyle w:val="A-"/>
              <w:spacing w:line="220" w:lineRule="exact"/>
            </w:pPr>
          </w:p>
        </w:tc>
        <w:tc>
          <w:tcPr>
            <w:tcW w:w="545" w:type="pct"/>
          </w:tcPr>
          <w:p w14:paraId="2DC23338" w14:textId="77777777" w:rsidR="002E474C" w:rsidRPr="006B27CC" w:rsidRDefault="00000000" w:rsidP="006B27CC">
            <w:pPr>
              <w:pStyle w:val="A-"/>
              <w:spacing w:line="220" w:lineRule="exact"/>
            </w:pPr>
            <w:r w:rsidRPr="006B27CC">
              <w:t>0.00000834</w:t>
            </w:r>
          </w:p>
        </w:tc>
        <w:tc>
          <w:tcPr>
            <w:tcW w:w="295" w:type="pct"/>
          </w:tcPr>
          <w:p w14:paraId="0E33A9B0" w14:textId="77777777" w:rsidR="002E474C" w:rsidRPr="006B27CC" w:rsidRDefault="00000000" w:rsidP="006B27CC">
            <w:pPr>
              <w:pStyle w:val="A-"/>
              <w:spacing w:line="220" w:lineRule="exact"/>
            </w:pPr>
            <w:r w:rsidRPr="006B27CC">
              <w:t>0.00000224</w:t>
            </w:r>
          </w:p>
        </w:tc>
        <w:tc>
          <w:tcPr>
            <w:tcW w:w="295" w:type="pct"/>
          </w:tcPr>
          <w:p w14:paraId="6F017D35" w14:textId="77777777" w:rsidR="002E474C" w:rsidRPr="006B27CC" w:rsidRDefault="002E474C" w:rsidP="006B27CC">
            <w:pPr>
              <w:pStyle w:val="A-"/>
              <w:spacing w:line="220" w:lineRule="exact"/>
            </w:pPr>
          </w:p>
        </w:tc>
        <w:tc>
          <w:tcPr>
            <w:tcW w:w="424" w:type="pct"/>
          </w:tcPr>
          <w:p w14:paraId="272D43E8" w14:textId="77777777" w:rsidR="002E474C" w:rsidRPr="006B27CC" w:rsidRDefault="00000000" w:rsidP="006B27CC">
            <w:pPr>
              <w:pStyle w:val="A-"/>
              <w:spacing w:line="220" w:lineRule="exact"/>
            </w:pPr>
            <w:r w:rsidRPr="006B27CC">
              <w:t>0</w:t>
            </w:r>
          </w:p>
        </w:tc>
        <w:tc>
          <w:tcPr>
            <w:tcW w:w="382" w:type="pct"/>
          </w:tcPr>
          <w:p w14:paraId="0E92D342" w14:textId="77777777" w:rsidR="002E474C" w:rsidRPr="006B27CC" w:rsidRDefault="00000000" w:rsidP="006B27CC">
            <w:pPr>
              <w:pStyle w:val="A-"/>
              <w:spacing w:line="220" w:lineRule="exact"/>
            </w:pPr>
            <w:r w:rsidRPr="006B27CC">
              <w:t>0.00000022</w:t>
            </w:r>
          </w:p>
        </w:tc>
        <w:tc>
          <w:tcPr>
            <w:tcW w:w="379" w:type="pct"/>
          </w:tcPr>
          <w:p w14:paraId="31BF3264" w14:textId="77777777" w:rsidR="002E474C" w:rsidRPr="006B27CC" w:rsidRDefault="002E474C" w:rsidP="006B27CC">
            <w:pPr>
              <w:pStyle w:val="A-"/>
              <w:spacing w:line="220" w:lineRule="exact"/>
            </w:pPr>
          </w:p>
        </w:tc>
      </w:tr>
      <w:tr w:rsidR="002E474C" w:rsidRPr="006B27CC" w14:paraId="36DC5A8A" w14:textId="77777777" w:rsidTr="009C3A0E">
        <w:tc>
          <w:tcPr>
            <w:tcW w:w="240" w:type="pct"/>
          </w:tcPr>
          <w:p w14:paraId="185BA18F" w14:textId="77777777" w:rsidR="002E474C" w:rsidRPr="006B27CC" w:rsidRDefault="00000000" w:rsidP="006B27CC">
            <w:pPr>
              <w:pStyle w:val="A-"/>
              <w:spacing w:line="220" w:lineRule="exact"/>
            </w:pPr>
            <w:r w:rsidRPr="006B27CC">
              <w:t>Pb</w:t>
            </w:r>
          </w:p>
        </w:tc>
        <w:tc>
          <w:tcPr>
            <w:tcW w:w="138" w:type="pct"/>
          </w:tcPr>
          <w:p w14:paraId="0E51A339" w14:textId="77777777" w:rsidR="002E474C" w:rsidRPr="006B27CC" w:rsidRDefault="00000000" w:rsidP="006B27CC">
            <w:pPr>
              <w:pStyle w:val="A-"/>
              <w:spacing w:line="220" w:lineRule="exact"/>
            </w:pPr>
            <w:r w:rsidRPr="006B27CC">
              <w:t>%</w:t>
            </w:r>
          </w:p>
        </w:tc>
        <w:tc>
          <w:tcPr>
            <w:tcW w:w="330" w:type="pct"/>
          </w:tcPr>
          <w:p w14:paraId="6CEF84FD" w14:textId="77777777" w:rsidR="002E474C" w:rsidRPr="006B27CC" w:rsidRDefault="00000000" w:rsidP="006B27CC">
            <w:pPr>
              <w:pStyle w:val="A-"/>
              <w:spacing w:line="220" w:lineRule="exact"/>
            </w:pPr>
            <w:r w:rsidRPr="006B27CC">
              <w:t>0.139</w:t>
            </w:r>
          </w:p>
        </w:tc>
        <w:tc>
          <w:tcPr>
            <w:tcW w:w="341" w:type="pct"/>
          </w:tcPr>
          <w:p w14:paraId="3BCDE275" w14:textId="77777777" w:rsidR="002E474C" w:rsidRPr="006B27CC" w:rsidRDefault="00000000" w:rsidP="006B27CC">
            <w:pPr>
              <w:pStyle w:val="A-"/>
              <w:spacing w:line="220" w:lineRule="exact"/>
            </w:pPr>
            <w:r w:rsidRPr="006B27CC">
              <w:t>0.139</w:t>
            </w:r>
          </w:p>
        </w:tc>
        <w:tc>
          <w:tcPr>
            <w:tcW w:w="424" w:type="pct"/>
          </w:tcPr>
          <w:p w14:paraId="647588C7" w14:textId="77777777" w:rsidR="002E474C" w:rsidRPr="006B27CC" w:rsidRDefault="00000000" w:rsidP="006B27CC">
            <w:pPr>
              <w:pStyle w:val="A-"/>
              <w:spacing w:line="220" w:lineRule="exact"/>
            </w:pPr>
            <w:r w:rsidRPr="006B27CC">
              <w:t>0.000000009</w:t>
            </w:r>
          </w:p>
        </w:tc>
        <w:tc>
          <w:tcPr>
            <w:tcW w:w="496" w:type="pct"/>
          </w:tcPr>
          <w:p w14:paraId="0C0D382D" w14:textId="77777777" w:rsidR="002E474C" w:rsidRPr="006B27CC" w:rsidRDefault="002E474C" w:rsidP="006B27CC">
            <w:pPr>
              <w:pStyle w:val="A-"/>
              <w:spacing w:line="220" w:lineRule="exact"/>
            </w:pPr>
          </w:p>
        </w:tc>
        <w:tc>
          <w:tcPr>
            <w:tcW w:w="341" w:type="pct"/>
          </w:tcPr>
          <w:p w14:paraId="7230CFD1" w14:textId="77777777" w:rsidR="002E474C" w:rsidRPr="006B27CC" w:rsidRDefault="00000000" w:rsidP="006B27CC">
            <w:pPr>
              <w:pStyle w:val="A-"/>
              <w:spacing w:line="220" w:lineRule="exact"/>
            </w:pPr>
            <w:r w:rsidRPr="006B27CC">
              <w:t>0.0000112</w:t>
            </w:r>
          </w:p>
        </w:tc>
        <w:tc>
          <w:tcPr>
            <w:tcW w:w="371" w:type="pct"/>
          </w:tcPr>
          <w:p w14:paraId="55A16AFA" w14:textId="77777777" w:rsidR="002E474C" w:rsidRPr="006B27CC" w:rsidRDefault="00000000" w:rsidP="006B27CC">
            <w:pPr>
              <w:pStyle w:val="A-"/>
              <w:spacing w:line="220" w:lineRule="exact"/>
            </w:pPr>
            <w:r w:rsidRPr="006B27CC">
              <w:t>0.239</w:t>
            </w:r>
          </w:p>
        </w:tc>
        <w:tc>
          <w:tcPr>
            <w:tcW w:w="545" w:type="pct"/>
          </w:tcPr>
          <w:p w14:paraId="2C91E1F2" w14:textId="77777777" w:rsidR="002E474C" w:rsidRPr="006B27CC" w:rsidRDefault="00000000" w:rsidP="006B27CC">
            <w:pPr>
              <w:pStyle w:val="A-"/>
              <w:spacing w:line="220" w:lineRule="exact"/>
            </w:pPr>
            <w:r w:rsidRPr="006B27CC">
              <w:t>0.000597</w:t>
            </w:r>
          </w:p>
        </w:tc>
        <w:tc>
          <w:tcPr>
            <w:tcW w:w="295" w:type="pct"/>
          </w:tcPr>
          <w:p w14:paraId="7395D4AE" w14:textId="77777777" w:rsidR="002E474C" w:rsidRPr="006B27CC" w:rsidRDefault="00000000" w:rsidP="006B27CC">
            <w:pPr>
              <w:pStyle w:val="A-"/>
              <w:spacing w:line="220" w:lineRule="exact"/>
            </w:pPr>
            <w:r w:rsidRPr="006B27CC">
              <w:t>0.0002254</w:t>
            </w:r>
          </w:p>
        </w:tc>
        <w:tc>
          <w:tcPr>
            <w:tcW w:w="295" w:type="pct"/>
          </w:tcPr>
          <w:p w14:paraId="560D1A42" w14:textId="77777777" w:rsidR="002E474C" w:rsidRPr="006B27CC" w:rsidRDefault="00000000" w:rsidP="006B27CC">
            <w:pPr>
              <w:pStyle w:val="A-"/>
              <w:spacing w:line="220" w:lineRule="exact"/>
            </w:pPr>
            <w:r w:rsidRPr="006B27CC">
              <w:t>0.000000507</w:t>
            </w:r>
          </w:p>
        </w:tc>
        <w:tc>
          <w:tcPr>
            <w:tcW w:w="424" w:type="pct"/>
          </w:tcPr>
          <w:p w14:paraId="4FB54A57" w14:textId="77777777" w:rsidR="002E474C" w:rsidRPr="006B27CC" w:rsidRDefault="00000000" w:rsidP="006B27CC">
            <w:pPr>
              <w:pStyle w:val="A-"/>
              <w:spacing w:line="220" w:lineRule="exact"/>
            </w:pPr>
            <w:r w:rsidRPr="006B27CC">
              <w:t>0.0000018</w:t>
            </w:r>
          </w:p>
        </w:tc>
        <w:tc>
          <w:tcPr>
            <w:tcW w:w="382" w:type="pct"/>
          </w:tcPr>
          <w:p w14:paraId="78F1C8D0" w14:textId="77777777" w:rsidR="002E474C" w:rsidRPr="006B27CC" w:rsidRDefault="00000000" w:rsidP="006B27CC">
            <w:pPr>
              <w:pStyle w:val="A-"/>
              <w:spacing w:line="220" w:lineRule="exact"/>
            </w:pPr>
            <w:r w:rsidRPr="006B27CC">
              <w:t>0.0000259</w:t>
            </w:r>
          </w:p>
        </w:tc>
        <w:tc>
          <w:tcPr>
            <w:tcW w:w="379" w:type="pct"/>
          </w:tcPr>
          <w:p w14:paraId="6EB1D244" w14:textId="77777777" w:rsidR="002E474C" w:rsidRPr="006B27CC" w:rsidRDefault="002E474C" w:rsidP="006B27CC">
            <w:pPr>
              <w:pStyle w:val="A-"/>
              <w:spacing w:line="220" w:lineRule="exact"/>
            </w:pPr>
          </w:p>
        </w:tc>
      </w:tr>
      <w:tr w:rsidR="002E474C" w:rsidRPr="006B27CC" w14:paraId="15B73902" w14:textId="77777777" w:rsidTr="009C3A0E">
        <w:tc>
          <w:tcPr>
            <w:tcW w:w="240" w:type="pct"/>
          </w:tcPr>
          <w:p w14:paraId="3E8A1FE6" w14:textId="77777777" w:rsidR="002E474C" w:rsidRPr="006B27CC" w:rsidRDefault="00000000" w:rsidP="006B27CC">
            <w:pPr>
              <w:pStyle w:val="A-"/>
              <w:spacing w:line="220" w:lineRule="exact"/>
            </w:pPr>
            <w:r w:rsidRPr="006B27CC">
              <w:t>Ni</w:t>
            </w:r>
          </w:p>
        </w:tc>
        <w:tc>
          <w:tcPr>
            <w:tcW w:w="138" w:type="pct"/>
          </w:tcPr>
          <w:p w14:paraId="53F68422" w14:textId="77777777" w:rsidR="002E474C" w:rsidRPr="006B27CC" w:rsidRDefault="00000000" w:rsidP="006B27CC">
            <w:pPr>
              <w:pStyle w:val="A-"/>
              <w:spacing w:line="220" w:lineRule="exact"/>
            </w:pPr>
            <w:r w:rsidRPr="006B27CC">
              <w:t>%</w:t>
            </w:r>
          </w:p>
        </w:tc>
        <w:tc>
          <w:tcPr>
            <w:tcW w:w="330" w:type="pct"/>
          </w:tcPr>
          <w:p w14:paraId="3337F46E" w14:textId="77777777" w:rsidR="002E474C" w:rsidRPr="006B27CC" w:rsidRDefault="002E474C" w:rsidP="006B27CC">
            <w:pPr>
              <w:pStyle w:val="A-"/>
              <w:spacing w:line="220" w:lineRule="exact"/>
            </w:pPr>
          </w:p>
        </w:tc>
        <w:tc>
          <w:tcPr>
            <w:tcW w:w="341" w:type="pct"/>
          </w:tcPr>
          <w:p w14:paraId="04A8DEE8" w14:textId="77777777" w:rsidR="002E474C" w:rsidRPr="006B27CC" w:rsidRDefault="002E474C" w:rsidP="006B27CC">
            <w:pPr>
              <w:pStyle w:val="A-"/>
              <w:spacing w:line="220" w:lineRule="exact"/>
            </w:pPr>
          </w:p>
        </w:tc>
        <w:tc>
          <w:tcPr>
            <w:tcW w:w="424" w:type="pct"/>
          </w:tcPr>
          <w:p w14:paraId="5D7C0D92" w14:textId="77777777" w:rsidR="002E474C" w:rsidRPr="006B27CC" w:rsidRDefault="00000000" w:rsidP="006B27CC">
            <w:pPr>
              <w:pStyle w:val="A-"/>
              <w:spacing w:line="220" w:lineRule="exact"/>
            </w:pPr>
            <w:r w:rsidRPr="006B27CC">
              <w:t>0.00000582</w:t>
            </w:r>
          </w:p>
        </w:tc>
        <w:tc>
          <w:tcPr>
            <w:tcW w:w="496" w:type="pct"/>
          </w:tcPr>
          <w:p w14:paraId="7B218914" w14:textId="77777777" w:rsidR="002E474C" w:rsidRPr="006B27CC" w:rsidRDefault="002E474C" w:rsidP="006B27CC">
            <w:pPr>
              <w:pStyle w:val="A-"/>
              <w:spacing w:line="220" w:lineRule="exact"/>
            </w:pPr>
          </w:p>
        </w:tc>
        <w:tc>
          <w:tcPr>
            <w:tcW w:w="341" w:type="pct"/>
          </w:tcPr>
          <w:p w14:paraId="5094CBCF" w14:textId="77777777" w:rsidR="002E474C" w:rsidRPr="006B27CC" w:rsidRDefault="00000000" w:rsidP="006B27CC">
            <w:pPr>
              <w:pStyle w:val="A-"/>
              <w:spacing w:line="220" w:lineRule="exact"/>
            </w:pPr>
            <w:r w:rsidRPr="006B27CC">
              <w:t>7.07E-08</w:t>
            </w:r>
          </w:p>
        </w:tc>
        <w:tc>
          <w:tcPr>
            <w:tcW w:w="371" w:type="pct"/>
          </w:tcPr>
          <w:p w14:paraId="775BB4AA" w14:textId="77777777" w:rsidR="002E474C" w:rsidRPr="006B27CC" w:rsidRDefault="002E474C" w:rsidP="006B27CC">
            <w:pPr>
              <w:pStyle w:val="A-"/>
              <w:spacing w:line="220" w:lineRule="exact"/>
            </w:pPr>
          </w:p>
        </w:tc>
        <w:tc>
          <w:tcPr>
            <w:tcW w:w="545" w:type="pct"/>
          </w:tcPr>
          <w:p w14:paraId="142ED040" w14:textId="77777777" w:rsidR="002E474C" w:rsidRPr="006B27CC" w:rsidRDefault="00000000" w:rsidP="006B27CC">
            <w:pPr>
              <w:pStyle w:val="A-"/>
              <w:spacing w:line="220" w:lineRule="exact"/>
            </w:pPr>
            <w:r w:rsidRPr="006B27CC">
              <w:t>0.000214</w:t>
            </w:r>
          </w:p>
        </w:tc>
        <w:tc>
          <w:tcPr>
            <w:tcW w:w="295" w:type="pct"/>
          </w:tcPr>
          <w:p w14:paraId="62F7EFB4" w14:textId="77777777" w:rsidR="002E474C" w:rsidRPr="006B27CC" w:rsidRDefault="00000000" w:rsidP="006B27CC">
            <w:pPr>
              <w:pStyle w:val="A-"/>
              <w:spacing w:line="220" w:lineRule="exact"/>
            </w:pPr>
            <w:r w:rsidRPr="006B27CC">
              <w:t>0.0002894</w:t>
            </w:r>
          </w:p>
        </w:tc>
        <w:tc>
          <w:tcPr>
            <w:tcW w:w="295" w:type="pct"/>
          </w:tcPr>
          <w:p w14:paraId="5CB3BF08" w14:textId="77777777" w:rsidR="002E474C" w:rsidRPr="006B27CC" w:rsidRDefault="00000000" w:rsidP="006B27CC">
            <w:pPr>
              <w:pStyle w:val="A-"/>
              <w:spacing w:line="220" w:lineRule="exact"/>
            </w:pPr>
            <w:r w:rsidRPr="006B27CC">
              <w:t>0.000000172</w:t>
            </w:r>
          </w:p>
        </w:tc>
        <w:tc>
          <w:tcPr>
            <w:tcW w:w="424" w:type="pct"/>
          </w:tcPr>
          <w:p w14:paraId="76B46C4C" w14:textId="77777777" w:rsidR="002E474C" w:rsidRPr="006B27CC" w:rsidRDefault="00000000" w:rsidP="006B27CC">
            <w:pPr>
              <w:pStyle w:val="A-"/>
              <w:spacing w:line="220" w:lineRule="exact"/>
            </w:pPr>
            <w:r w:rsidRPr="006B27CC">
              <w:t>0.0000012</w:t>
            </w:r>
          </w:p>
        </w:tc>
        <w:tc>
          <w:tcPr>
            <w:tcW w:w="382" w:type="pct"/>
          </w:tcPr>
          <w:p w14:paraId="02AB8A03" w14:textId="77777777" w:rsidR="002E474C" w:rsidRPr="006B27CC" w:rsidRDefault="00000000" w:rsidP="006B27CC">
            <w:pPr>
              <w:pStyle w:val="A-"/>
              <w:spacing w:line="220" w:lineRule="exact"/>
            </w:pPr>
            <w:r w:rsidRPr="006B27CC">
              <w:t>0.0000147</w:t>
            </w:r>
          </w:p>
        </w:tc>
        <w:tc>
          <w:tcPr>
            <w:tcW w:w="379" w:type="pct"/>
          </w:tcPr>
          <w:p w14:paraId="09DA45DF" w14:textId="77777777" w:rsidR="002E474C" w:rsidRPr="006B27CC" w:rsidRDefault="002E474C" w:rsidP="006B27CC">
            <w:pPr>
              <w:pStyle w:val="A-"/>
              <w:spacing w:line="220" w:lineRule="exact"/>
            </w:pPr>
          </w:p>
        </w:tc>
      </w:tr>
      <w:tr w:rsidR="002E474C" w:rsidRPr="006B27CC" w14:paraId="1E6E0724" w14:textId="77777777" w:rsidTr="009C3A0E">
        <w:tc>
          <w:tcPr>
            <w:tcW w:w="240" w:type="pct"/>
          </w:tcPr>
          <w:p w14:paraId="3112C6A7" w14:textId="77777777" w:rsidR="002E474C" w:rsidRPr="006B27CC" w:rsidRDefault="00000000" w:rsidP="006B27CC">
            <w:pPr>
              <w:pStyle w:val="A-"/>
              <w:spacing w:line="220" w:lineRule="exact"/>
            </w:pPr>
            <w:r w:rsidRPr="006B27CC">
              <w:t>Mn</w:t>
            </w:r>
          </w:p>
        </w:tc>
        <w:tc>
          <w:tcPr>
            <w:tcW w:w="138" w:type="pct"/>
          </w:tcPr>
          <w:p w14:paraId="385BC375" w14:textId="77777777" w:rsidR="002E474C" w:rsidRPr="006B27CC" w:rsidRDefault="00000000" w:rsidP="006B27CC">
            <w:pPr>
              <w:pStyle w:val="A-"/>
              <w:spacing w:line="220" w:lineRule="exact"/>
            </w:pPr>
            <w:r w:rsidRPr="006B27CC">
              <w:t>%</w:t>
            </w:r>
          </w:p>
        </w:tc>
        <w:tc>
          <w:tcPr>
            <w:tcW w:w="330" w:type="pct"/>
          </w:tcPr>
          <w:p w14:paraId="336625FA" w14:textId="77777777" w:rsidR="002E474C" w:rsidRPr="006B27CC" w:rsidRDefault="002E474C" w:rsidP="006B27CC">
            <w:pPr>
              <w:pStyle w:val="A-"/>
              <w:spacing w:line="220" w:lineRule="exact"/>
            </w:pPr>
          </w:p>
        </w:tc>
        <w:tc>
          <w:tcPr>
            <w:tcW w:w="341" w:type="pct"/>
          </w:tcPr>
          <w:p w14:paraId="70CBA81B" w14:textId="77777777" w:rsidR="002E474C" w:rsidRPr="006B27CC" w:rsidRDefault="002E474C" w:rsidP="006B27CC">
            <w:pPr>
              <w:pStyle w:val="A-"/>
              <w:spacing w:line="220" w:lineRule="exact"/>
            </w:pPr>
          </w:p>
        </w:tc>
        <w:tc>
          <w:tcPr>
            <w:tcW w:w="424" w:type="pct"/>
          </w:tcPr>
          <w:p w14:paraId="4FFD0E2A" w14:textId="77777777" w:rsidR="002E474C" w:rsidRPr="006B27CC" w:rsidRDefault="00000000" w:rsidP="006B27CC">
            <w:pPr>
              <w:pStyle w:val="A-"/>
              <w:spacing w:line="220" w:lineRule="exact"/>
            </w:pPr>
            <w:r w:rsidRPr="006B27CC">
              <w:t>0.0001047</w:t>
            </w:r>
          </w:p>
        </w:tc>
        <w:tc>
          <w:tcPr>
            <w:tcW w:w="496" w:type="pct"/>
          </w:tcPr>
          <w:p w14:paraId="3A1552ED" w14:textId="77777777" w:rsidR="002E474C" w:rsidRPr="006B27CC" w:rsidRDefault="002E474C" w:rsidP="006B27CC">
            <w:pPr>
              <w:pStyle w:val="A-"/>
              <w:spacing w:line="220" w:lineRule="exact"/>
            </w:pPr>
          </w:p>
        </w:tc>
        <w:tc>
          <w:tcPr>
            <w:tcW w:w="341" w:type="pct"/>
          </w:tcPr>
          <w:p w14:paraId="5F1B16A0" w14:textId="77777777" w:rsidR="002E474C" w:rsidRPr="006B27CC" w:rsidRDefault="00000000" w:rsidP="006B27CC">
            <w:pPr>
              <w:pStyle w:val="A-"/>
              <w:spacing w:line="220" w:lineRule="exact"/>
            </w:pPr>
            <w:r w:rsidRPr="006B27CC">
              <w:t>0.00000001</w:t>
            </w:r>
          </w:p>
        </w:tc>
        <w:tc>
          <w:tcPr>
            <w:tcW w:w="371" w:type="pct"/>
          </w:tcPr>
          <w:p w14:paraId="2D3FF1BC" w14:textId="77777777" w:rsidR="002E474C" w:rsidRPr="006B27CC" w:rsidRDefault="00000000" w:rsidP="006B27CC">
            <w:pPr>
              <w:pStyle w:val="A-"/>
              <w:spacing w:line="220" w:lineRule="exact"/>
            </w:pPr>
            <w:r w:rsidRPr="006B27CC">
              <w:t>0.062</w:t>
            </w:r>
          </w:p>
        </w:tc>
        <w:tc>
          <w:tcPr>
            <w:tcW w:w="545" w:type="pct"/>
          </w:tcPr>
          <w:p w14:paraId="09298B92" w14:textId="77777777" w:rsidR="002E474C" w:rsidRPr="006B27CC" w:rsidRDefault="00000000" w:rsidP="006B27CC">
            <w:pPr>
              <w:pStyle w:val="A-"/>
              <w:spacing w:line="220" w:lineRule="exact"/>
            </w:pPr>
            <w:r w:rsidRPr="006B27CC">
              <w:t>0.000837</w:t>
            </w:r>
          </w:p>
        </w:tc>
        <w:tc>
          <w:tcPr>
            <w:tcW w:w="295" w:type="pct"/>
          </w:tcPr>
          <w:p w14:paraId="19DC2474" w14:textId="77777777" w:rsidR="002E474C" w:rsidRPr="006B27CC" w:rsidRDefault="00000000" w:rsidP="006B27CC">
            <w:pPr>
              <w:pStyle w:val="A-"/>
              <w:spacing w:line="220" w:lineRule="exact"/>
            </w:pPr>
            <w:r w:rsidRPr="006B27CC">
              <w:t>0.0007844</w:t>
            </w:r>
          </w:p>
        </w:tc>
        <w:tc>
          <w:tcPr>
            <w:tcW w:w="295" w:type="pct"/>
          </w:tcPr>
          <w:p w14:paraId="2D6F2366" w14:textId="77777777" w:rsidR="002E474C" w:rsidRPr="006B27CC" w:rsidRDefault="00000000" w:rsidP="006B27CC">
            <w:pPr>
              <w:pStyle w:val="A-"/>
              <w:spacing w:line="220" w:lineRule="exact"/>
            </w:pPr>
            <w:r w:rsidRPr="006B27CC">
              <w:t>4.23E-08</w:t>
            </w:r>
          </w:p>
        </w:tc>
        <w:tc>
          <w:tcPr>
            <w:tcW w:w="424" w:type="pct"/>
          </w:tcPr>
          <w:p w14:paraId="1BADCECF" w14:textId="77777777" w:rsidR="002E474C" w:rsidRPr="006B27CC" w:rsidRDefault="00000000" w:rsidP="006B27CC">
            <w:pPr>
              <w:pStyle w:val="A-"/>
              <w:spacing w:line="220" w:lineRule="exact"/>
            </w:pPr>
            <w:r w:rsidRPr="006B27CC">
              <w:t>0.00000846</w:t>
            </w:r>
          </w:p>
        </w:tc>
        <w:tc>
          <w:tcPr>
            <w:tcW w:w="382" w:type="pct"/>
          </w:tcPr>
          <w:p w14:paraId="75E38B00" w14:textId="77777777" w:rsidR="002E474C" w:rsidRPr="006B27CC" w:rsidRDefault="00000000" w:rsidP="006B27CC">
            <w:pPr>
              <w:pStyle w:val="A-"/>
              <w:spacing w:line="220" w:lineRule="exact"/>
            </w:pPr>
            <w:r w:rsidRPr="006B27CC">
              <w:t>0.0000386</w:t>
            </w:r>
          </w:p>
        </w:tc>
        <w:tc>
          <w:tcPr>
            <w:tcW w:w="379" w:type="pct"/>
          </w:tcPr>
          <w:p w14:paraId="35587ADC" w14:textId="77777777" w:rsidR="002E474C" w:rsidRPr="006B27CC" w:rsidRDefault="002E474C" w:rsidP="006B27CC">
            <w:pPr>
              <w:pStyle w:val="A-"/>
              <w:spacing w:line="220" w:lineRule="exact"/>
            </w:pPr>
          </w:p>
        </w:tc>
      </w:tr>
      <w:tr w:rsidR="002E474C" w:rsidRPr="006B27CC" w14:paraId="36F16DB1" w14:textId="77777777" w:rsidTr="009C3A0E">
        <w:tc>
          <w:tcPr>
            <w:tcW w:w="240" w:type="pct"/>
          </w:tcPr>
          <w:p w14:paraId="7E14B2E9" w14:textId="77777777" w:rsidR="002E474C" w:rsidRPr="006B27CC" w:rsidRDefault="00000000" w:rsidP="006B27CC">
            <w:pPr>
              <w:pStyle w:val="A-"/>
              <w:spacing w:line="220" w:lineRule="exact"/>
            </w:pPr>
            <w:r w:rsidRPr="006B27CC">
              <w:t>As</w:t>
            </w:r>
          </w:p>
        </w:tc>
        <w:tc>
          <w:tcPr>
            <w:tcW w:w="138" w:type="pct"/>
          </w:tcPr>
          <w:p w14:paraId="7B2095BE" w14:textId="77777777" w:rsidR="002E474C" w:rsidRPr="006B27CC" w:rsidRDefault="00000000" w:rsidP="006B27CC">
            <w:pPr>
              <w:pStyle w:val="A-"/>
              <w:spacing w:line="220" w:lineRule="exact"/>
            </w:pPr>
            <w:r w:rsidRPr="006B27CC">
              <w:t>%</w:t>
            </w:r>
          </w:p>
        </w:tc>
        <w:tc>
          <w:tcPr>
            <w:tcW w:w="330" w:type="pct"/>
          </w:tcPr>
          <w:p w14:paraId="2C1D9907" w14:textId="77777777" w:rsidR="002E474C" w:rsidRPr="006B27CC" w:rsidRDefault="002E474C" w:rsidP="006B27CC">
            <w:pPr>
              <w:pStyle w:val="A-"/>
              <w:spacing w:line="220" w:lineRule="exact"/>
            </w:pPr>
          </w:p>
        </w:tc>
        <w:tc>
          <w:tcPr>
            <w:tcW w:w="341" w:type="pct"/>
          </w:tcPr>
          <w:p w14:paraId="068476E4" w14:textId="77777777" w:rsidR="002E474C" w:rsidRPr="006B27CC" w:rsidRDefault="002E474C" w:rsidP="006B27CC">
            <w:pPr>
              <w:pStyle w:val="A-"/>
              <w:spacing w:line="220" w:lineRule="exact"/>
            </w:pPr>
          </w:p>
        </w:tc>
        <w:tc>
          <w:tcPr>
            <w:tcW w:w="424" w:type="pct"/>
          </w:tcPr>
          <w:p w14:paraId="22D1B809" w14:textId="77777777" w:rsidR="002E474C" w:rsidRPr="006B27CC" w:rsidRDefault="00000000" w:rsidP="006B27CC">
            <w:pPr>
              <w:pStyle w:val="A-"/>
              <w:spacing w:line="220" w:lineRule="exact"/>
            </w:pPr>
            <w:r w:rsidRPr="006B27CC">
              <w:t>9.4E-09</w:t>
            </w:r>
          </w:p>
        </w:tc>
        <w:tc>
          <w:tcPr>
            <w:tcW w:w="496" w:type="pct"/>
          </w:tcPr>
          <w:p w14:paraId="628DF561" w14:textId="77777777" w:rsidR="002E474C" w:rsidRPr="006B27CC" w:rsidRDefault="002E474C" w:rsidP="006B27CC">
            <w:pPr>
              <w:pStyle w:val="A-"/>
              <w:spacing w:line="220" w:lineRule="exact"/>
            </w:pPr>
          </w:p>
        </w:tc>
        <w:tc>
          <w:tcPr>
            <w:tcW w:w="341" w:type="pct"/>
          </w:tcPr>
          <w:p w14:paraId="7B0B6858" w14:textId="77777777" w:rsidR="002E474C" w:rsidRPr="006B27CC" w:rsidRDefault="00000000" w:rsidP="006B27CC">
            <w:pPr>
              <w:pStyle w:val="A-"/>
              <w:spacing w:line="220" w:lineRule="exact"/>
            </w:pPr>
            <w:r w:rsidRPr="006B27CC">
              <w:t>2.23E-08</w:t>
            </w:r>
          </w:p>
        </w:tc>
        <w:tc>
          <w:tcPr>
            <w:tcW w:w="371" w:type="pct"/>
          </w:tcPr>
          <w:p w14:paraId="7FAEFD90" w14:textId="77777777" w:rsidR="002E474C" w:rsidRPr="006B27CC" w:rsidRDefault="002E474C" w:rsidP="006B27CC">
            <w:pPr>
              <w:pStyle w:val="A-"/>
              <w:spacing w:line="220" w:lineRule="exact"/>
            </w:pPr>
          </w:p>
        </w:tc>
        <w:tc>
          <w:tcPr>
            <w:tcW w:w="545" w:type="pct"/>
          </w:tcPr>
          <w:p w14:paraId="7742786B" w14:textId="77777777" w:rsidR="002E474C" w:rsidRPr="006B27CC" w:rsidRDefault="00000000" w:rsidP="006B27CC">
            <w:pPr>
              <w:pStyle w:val="A-"/>
              <w:spacing w:line="220" w:lineRule="exact"/>
            </w:pPr>
            <w:r w:rsidRPr="006B27CC">
              <w:t>0.00000736</w:t>
            </w:r>
          </w:p>
        </w:tc>
        <w:tc>
          <w:tcPr>
            <w:tcW w:w="295" w:type="pct"/>
          </w:tcPr>
          <w:p w14:paraId="4C128B7E" w14:textId="77777777" w:rsidR="002E474C" w:rsidRPr="006B27CC" w:rsidRDefault="00000000" w:rsidP="006B27CC">
            <w:pPr>
              <w:pStyle w:val="A-"/>
              <w:spacing w:line="220" w:lineRule="exact"/>
            </w:pPr>
            <w:r w:rsidRPr="006B27CC">
              <w:t>0.0000018</w:t>
            </w:r>
          </w:p>
        </w:tc>
        <w:tc>
          <w:tcPr>
            <w:tcW w:w="295" w:type="pct"/>
          </w:tcPr>
          <w:p w14:paraId="7E7E4CE4" w14:textId="77777777" w:rsidR="002E474C" w:rsidRPr="006B27CC" w:rsidRDefault="00000000" w:rsidP="006B27CC">
            <w:pPr>
              <w:pStyle w:val="A-"/>
              <w:spacing w:line="220" w:lineRule="exact"/>
            </w:pPr>
            <w:r w:rsidRPr="006B27CC">
              <w:t>4.7E-09</w:t>
            </w:r>
          </w:p>
        </w:tc>
        <w:tc>
          <w:tcPr>
            <w:tcW w:w="424" w:type="pct"/>
          </w:tcPr>
          <w:p w14:paraId="4E58CB27" w14:textId="77777777" w:rsidR="002E474C" w:rsidRPr="006B27CC" w:rsidRDefault="00000000" w:rsidP="006B27CC">
            <w:pPr>
              <w:pStyle w:val="A-"/>
              <w:spacing w:line="220" w:lineRule="exact"/>
            </w:pPr>
            <w:r w:rsidRPr="006B27CC">
              <w:t>0.00000064</w:t>
            </w:r>
          </w:p>
        </w:tc>
        <w:tc>
          <w:tcPr>
            <w:tcW w:w="382" w:type="pct"/>
          </w:tcPr>
          <w:p w14:paraId="3F76689E" w14:textId="77777777" w:rsidR="002E474C" w:rsidRPr="006B27CC" w:rsidRDefault="00000000" w:rsidP="006B27CC">
            <w:pPr>
              <w:pStyle w:val="A-"/>
              <w:spacing w:line="220" w:lineRule="exact"/>
            </w:pPr>
            <w:r w:rsidRPr="006B27CC">
              <w:t>0.000000735</w:t>
            </w:r>
          </w:p>
        </w:tc>
        <w:tc>
          <w:tcPr>
            <w:tcW w:w="379" w:type="pct"/>
          </w:tcPr>
          <w:p w14:paraId="3C9839E2" w14:textId="77777777" w:rsidR="002E474C" w:rsidRPr="006B27CC" w:rsidRDefault="002E474C" w:rsidP="006B27CC">
            <w:pPr>
              <w:pStyle w:val="A-"/>
              <w:spacing w:line="220" w:lineRule="exact"/>
            </w:pPr>
          </w:p>
        </w:tc>
      </w:tr>
      <w:tr w:rsidR="002E474C" w:rsidRPr="006B27CC" w14:paraId="129F88D3" w14:textId="77777777" w:rsidTr="009C3A0E">
        <w:tc>
          <w:tcPr>
            <w:tcW w:w="240" w:type="pct"/>
          </w:tcPr>
          <w:p w14:paraId="6709E9ED" w14:textId="77777777" w:rsidR="002E474C" w:rsidRPr="006B27CC" w:rsidRDefault="00000000" w:rsidP="006B27CC">
            <w:pPr>
              <w:pStyle w:val="A-"/>
              <w:spacing w:line="220" w:lineRule="exact"/>
            </w:pPr>
            <w:r w:rsidRPr="006B27CC">
              <w:t>Hg</w:t>
            </w:r>
          </w:p>
        </w:tc>
        <w:tc>
          <w:tcPr>
            <w:tcW w:w="138" w:type="pct"/>
          </w:tcPr>
          <w:p w14:paraId="02602602" w14:textId="77777777" w:rsidR="002E474C" w:rsidRPr="006B27CC" w:rsidRDefault="00000000" w:rsidP="006B27CC">
            <w:pPr>
              <w:pStyle w:val="A-"/>
              <w:spacing w:line="220" w:lineRule="exact"/>
            </w:pPr>
            <w:r w:rsidRPr="006B27CC">
              <w:t>%</w:t>
            </w:r>
          </w:p>
        </w:tc>
        <w:tc>
          <w:tcPr>
            <w:tcW w:w="330" w:type="pct"/>
          </w:tcPr>
          <w:p w14:paraId="3D9EC656" w14:textId="77777777" w:rsidR="002E474C" w:rsidRPr="006B27CC" w:rsidRDefault="002E474C" w:rsidP="006B27CC">
            <w:pPr>
              <w:pStyle w:val="A-"/>
              <w:spacing w:line="220" w:lineRule="exact"/>
            </w:pPr>
          </w:p>
        </w:tc>
        <w:tc>
          <w:tcPr>
            <w:tcW w:w="341" w:type="pct"/>
          </w:tcPr>
          <w:p w14:paraId="0F2BA026" w14:textId="77777777" w:rsidR="002E474C" w:rsidRPr="006B27CC" w:rsidRDefault="002E474C" w:rsidP="006B27CC">
            <w:pPr>
              <w:pStyle w:val="A-"/>
              <w:spacing w:line="220" w:lineRule="exact"/>
            </w:pPr>
          </w:p>
        </w:tc>
        <w:tc>
          <w:tcPr>
            <w:tcW w:w="424" w:type="pct"/>
          </w:tcPr>
          <w:p w14:paraId="17AB8030" w14:textId="77777777" w:rsidR="002E474C" w:rsidRPr="006B27CC" w:rsidRDefault="00000000" w:rsidP="006B27CC">
            <w:pPr>
              <w:pStyle w:val="A-"/>
              <w:spacing w:line="220" w:lineRule="exact"/>
            </w:pPr>
            <w:r w:rsidRPr="006B27CC">
              <w:t>8.1E-09</w:t>
            </w:r>
          </w:p>
        </w:tc>
        <w:tc>
          <w:tcPr>
            <w:tcW w:w="496" w:type="pct"/>
          </w:tcPr>
          <w:p w14:paraId="296175A0" w14:textId="77777777" w:rsidR="002E474C" w:rsidRPr="006B27CC" w:rsidRDefault="002E474C" w:rsidP="006B27CC">
            <w:pPr>
              <w:pStyle w:val="A-"/>
              <w:spacing w:line="220" w:lineRule="exact"/>
            </w:pPr>
          </w:p>
        </w:tc>
        <w:tc>
          <w:tcPr>
            <w:tcW w:w="341" w:type="pct"/>
          </w:tcPr>
          <w:p w14:paraId="1AEA39D8" w14:textId="77777777" w:rsidR="002E474C" w:rsidRPr="006B27CC" w:rsidRDefault="00000000" w:rsidP="006B27CC">
            <w:pPr>
              <w:pStyle w:val="A-"/>
              <w:spacing w:line="220" w:lineRule="exact"/>
            </w:pPr>
            <w:r w:rsidRPr="006B27CC">
              <w:t>1.3E-10</w:t>
            </w:r>
          </w:p>
        </w:tc>
        <w:tc>
          <w:tcPr>
            <w:tcW w:w="371" w:type="pct"/>
          </w:tcPr>
          <w:p w14:paraId="26B9C838" w14:textId="77777777" w:rsidR="002E474C" w:rsidRPr="006B27CC" w:rsidRDefault="002E474C" w:rsidP="006B27CC">
            <w:pPr>
              <w:pStyle w:val="A-"/>
              <w:spacing w:line="220" w:lineRule="exact"/>
            </w:pPr>
          </w:p>
        </w:tc>
        <w:tc>
          <w:tcPr>
            <w:tcW w:w="545" w:type="pct"/>
          </w:tcPr>
          <w:p w14:paraId="4042E163" w14:textId="77777777" w:rsidR="002E474C" w:rsidRPr="006B27CC" w:rsidRDefault="00000000" w:rsidP="006B27CC">
            <w:pPr>
              <w:pStyle w:val="A-"/>
              <w:spacing w:line="220" w:lineRule="exact"/>
            </w:pPr>
            <w:r w:rsidRPr="006B27CC">
              <w:t>0.00000121</w:t>
            </w:r>
          </w:p>
        </w:tc>
        <w:tc>
          <w:tcPr>
            <w:tcW w:w="295" w:type="pct"/>
          </w:tcPr>
          <w:p w14:paraId="60CD7305" w14:textId="77777777" w:rsidR="002E474C" w:rsidRPr="006B27CC" w:rsidRDefault="00000000" w:rsidP="006B27CC">
            <w:pPr>
              <w:pStyle w:val="A-"/>
              <w:spacing w:line="220" w:lineRule="exact"/>
            </w:pPr>
            <w:r w:rsidRPr="006B27CC">
              <w:t>0.00000005</w:t>
            </w:r>
          </w:p>
        </w:tc>
        <w:tc>
          <w:tcPr>
            <w:tcW w:w="295" w:type="pct"/>
          </w:tcPr>
          <w:p w14:paraId="44C281C6" w14:textId="77777777" w:rsidR="002E474C" w:rsidRPr="006B27CC" w:rsidRDefault="00000000" w:rsidP="006B27CC">
            <w:pPr>
              <w:pStyle w:val="A-"/>
              <w:spacing w:line="220" w:lineRule="exact"/>
            </w:pPr>
            <w:r w:rsidRPr="006B27CC">
              <w:t>7E-10</w:t>
            </w:r>
          </w:p>
        </w:tc>
        <w:tc>
          <w:tcPr>
            <w:tcW w:w="424" w:type="pct"/>
          </w:tcPr>
          <w:p w14:paraId="74F9658A" w14:textId="77777777" w:rsidR="002E474C" w:rsidRPr="006B27CC" w:rsidRDefault="00000000" w:rsidP="006B27CC">
            <w:pPr>
              <w:pStyle w:val="A-"/>
              <w:spacing w:line="220" w:lineRule="exact"/>
            </w:pPr>
            <w:r w:rsidRPr="006B27CC">
              <w:t>0.000000774</w:t>
            </w:r>
          </w:p>
        </w:tc>
        <w:tc>
          <w:tcPr>
            <w:tcW w:w="382" w:type="pct"/>
          </w:tcPr>
          <w:p w14:paraId="1EB94C75" w14:textId="77777777" w:rsidR="002E474C" w:rsidRPr="006B27CC" w:rsidRDefault="00000000" w:rsidP="006B27CC">
            <w:pPr>
              <w:pStyle w:val="A-"/>
              <w:spacing w:line="220" w:lineRule="exact"/>
            </w:pPr>
            <w:r w:rsidRPr="006B27CC">
              <w:t>0.000000631</w:t>
            </w:r>
          </w:p>
        </w:tc>
        <w:tc>
          <w:tcPr>
            <w:tcW w:w="379" w:type="pct"/>
          </w:tcPr>
          <w:p w14:paraId="45B6D894" w14:textId="77777777" w:rsidR="002E474C" w:rsidRPr="006B27CC" w:rsidRDefault="002E474C" w:rsidP="006B27CC">
            <w:pPr>
              <w:pStyle w:val="A-"/>
              <w:spacing w:line="220" w:lineRule="exact"/>
            </w:pPr>
          </w:p>
        </w:tc>
      </w:tr>
      <w:tr w:rsidR="002E474C" w:rsidRPr="006B27CC" w14:paraId="5DEAB823" w14:textId="77777777" w:rsidTr="009C3A0E">
        <w:tc>
          <w:tcPr>
            <w:tcW w:w="240" w:type="pct"/>
            <w:vMerge w:val="restart"/>
            <w:vAlign w:val="center"/>
          </w:tcPr>
          <w:p w14:paraId="0D50BF14" w14:textId="77777777" w:rsidR="002E474C" w:rsidRPr="006B27CC" w:rsidRDefault="00000000" w:rsidP="006B27CC">
            <w:pPr>
              <w:pStyle w:val="A-"/>
              <w:spacing w:line="220" w:lineRule="exact"/>
            </w:pPr>
            <w:r w:rsidRPr="006B27CC">
              <w:t>危险废物</w:t>
            </w:r>
          </w:p>
          <w:p w14:paraId="6DBF0D1F" w14:textId="77777777" w:rsidR="002E474C" w:rsidRPr="006B27CC" w:rsidRDefault="00000000" w:rsidP="006B27CC">
            <w:pPr>
              <w:pStyle w:val="A-"/>
              <w:spacing w:line="220" w:lineRule="exact"/>
            </w:pPr>
            <w:r w:rsidRPr="006B27CC">
              <w:t>类别</w:t>
            </w:r>
          </w:p>
        </w:tc>
        <w:tc>
          <w:tcPr>
            <w:tcW w:w="138" w:type="pct"/>
            <w:vMerge w:val="restart"/>
            <w:vAlign w:val="center"/>
          </w:tcPr>
          <w:p w14:paraId="55675A91" w14:textId="77777777" w:rsidR="002E474C" w:rsidRPr="006B27CC" w:rsidRDefault="00000000" w:rsidP="006B27CC">
            <w:pPr>
              <w:pStyle w:val="A-"/>
              <w:spacing w:line="220" w:lineRule="exact"/>
            </w:pPr>
            <w:r w:rsidRPr="006B27CC">
              <w:t>单位</w:t>
            </w:r>
          </w:p>
        </w:tc>
        <w:tc>
          <w:tcPr>
            <w:tcW w:w="330" w:type="pct"/>
            <w:vAlign w:val="center"/>
          </w:tcPr>
          <w:p w14:paraId="790A53B3" w14:textId="77777777" w:rsidR="002E474C" w:rsidRPr="006B27CC" w:rsidRDefault="00000000" w:rsidP="006B27CC">
            <w:pPr>
              <w:pStyle w:val="A-"/>
              <w:spacing w:line="220" w:lineRule="exact"/>
            </w:pPr>
            <w:r w:rsidRPr="006B27CC">
              <w:t>HW16</w:t>
            </w:r>
          </w:p>
        </w:tc>
        <w:tc>
          <w:tcPr>
            <w:tcW w:w="341" w:type="pct"/>
            <w:vAlign w:val="center"/>
          </w:tcPr>
          <w:p w14:paraId="1C39F0DE" w14:textId="77777777" w:rsidR="002E474C" w:rsidRPr="006B27CC" w:rsidRDefault="00000000" w:rsidP="006B27CC">
            <w:pPr>
              <w:pStyle w:val="A-"/>
              <w:spacing w:line="220" w:lineRule="exact"/>
            </w:pPr>
            <w:r w:rsidRPr="006B27CC">
              <w:t>HW17</w:t>
            </w:r>
          </w:p>
        </w:tc>
        <w:tc>
          <w:tcPr>
            <w:tcW w:w="424" w:type="pct"/>
            <w:vAlign w:val="center"/>
          </w:tcPr>
          <w:p w14:paraId="75DA2B6B" w14:textId="77777777" w:rsidR="002E474C" w:rsidRPr="006B27CC" w:rsidRDefault="00000000" w:rsidP="006B27CC">
            <w:pPr>
              <w:pStyle w:val="A-"/>
              <w:spacing w:line="220" w:lineRule="exact"/>
            </w:pPr>
            <w:r w:rsidRPr="006B27CC">
              <w:t>HW18</w:t>
            </w:r>
          </w:p>
        </w:tc>
        <w:tc>
          <w:tcPr>
            <w:tcW w:w="496" w:type="pct"/>
            <w:vAlign w:val="center"/>
          </w:tcPr>
          <w:p w14:paraId="4DC09F9B" w14:textId="77777777" w:rsidR="002E474C" w:rsidRPr="006B27CC" w:rsidRDefault="00000000" w:rsidP="006B27CC">
            <w:pPr>
              <w:pStyle w:val="A-"/>
              <w:spacing w:line="220" w:lineRule="exact"/>
            </w:pPr>
            <w:r w:rsidRPr="006B27CC">
              <w:t>HW19</w:t>
            </w:r>
          </w:p>
        </w:tc>
        <w:tc>
          <w:tcPr>
            <w:tcW w:w="341" w:type="pct"/>
            <w:vAlign w:val="center"/>
          </w:tcPr>
          <w:p w14:paraId="71B7E156" w14:textId="77777777" w:rsidR="002E474C" w:rsidRPr="006B27CC" w:rsidRDefault="00000000" w:rsidP="006B27CC">
            <w:pPr>
              <w:pStyle w:val="A-"/>
              <w:spacing w:line="220" w:lineRule="exact"/>
            </w:pPr>
            <w:r w:rsidRPr="006B27CC">
              <w:t>HW20</w:t>
            </w:r>
          </w:p>
        </w:tc>
        <w:tc>
          <w:tcPr>
            <w:tcW w:w="371" w:type="pct"/>
            <w:vAlign w:val="center"/>
          </w:tcPr>
          <w:p w14:paraId="364C8CE4" w14:textId="77777777" w:rsidR="002E474C" w:rsidRPr="006B27CC" w:rsidRDefault="00000000" w:rsidP="006B27CC">
            <w:pPr>
              <w:pStyle w:val="A-"/>
              <w:spacing w:line="220" w:lineRule="exact"/>
            </w:pPr>
            <w:r w:rsidRPr="006B27CC">
              <w:t>HW21</w:t>
            </w:r>
          </w:p>
        </w:tc>
        <w:tc>
          <w:tcPr>
            <w:tcW w:w="545" w:type="pct"/>
            <w:vAlign w:val="center"/>
          </w:tcPr>
          <w:p w14:paraId="31C5C8FE" w14:textId="77777777" w:rsidR="002E474C" w:rsidRPr="006B27CC" w:rsidRDefault="00000000" w:rsidP="006B27CC">
            <w:pPr>
              <w:pStyle w:val="A-"/>
              <w:spacing w:line="220" w:lineRule="exact"/>
            </w:pPr>
            <w:r w:rsidRPr="006B27CC">
              <w:t>HW22</w:t>
            </w:r>
          </w:p>
        </w:tc>
        <w:tc>
          <w:tcPr>
            <w:tcW w:w="295" w:type="pct"/>
            <w:vAlign w:val="center"/>
          </w:tcPr>
          <w:p w14:paraId="0BBC7AAA" w14:textId="77777777" w:rsidR="002E474C" w:rsidRPr="006B27CC" w:rsidRDefault="00000000" w:rsidP="006B27CC">
            <w:pPr>
              <w:pStyle w:val="A-"/>
              <w:spacing w:line="220" w:lineRule="exact"/>
            </w:pPr>
            <w:r w:rsidRPr="006B27CC">
              <w:t>HW23</w:t>
            </w:r>
          </w:p>
        </w:tc>
        <w:tc>
          <w:tcPr>
            <w:tcW w:w="295" w:type="pct"/>
            <w:vAlign w:val="center"/>
          </w:tcPr>
          <w:p w14:paraId="58BA7CAF" w14:textId="77777777" w:rsidR="002E474C" w:rsidRPr="006B27CC" w:rsidRDefault="00000000" w:rsidP="006B27CC">
            <w:pPr>
              <w:pStyle w:val="A-"/>
              <w:spacing w:line="220" w:lineRule="exact"/>
            </w:pPr>
            <w:r w:rsidRPr="006B27CC">
              <w:t>HW24</w:t>
            </w:r>
          </w:p>
        </w:tc>
        <w:tc>
          <w:tcPr>
            <w:tcW w:w="424" w:type="pct"/>
            <w:vAlign w:val="center"/>
          </w:tcPr>
          <w:p w14:paraId="054E36DF" w14:textId="77777777" w:rsidR="002E474C" w:rsidRPr="006B27CC" w:rsidRDefault="00000000" w:rsidP="006B27CC">
            <w:pPr>
              <w:pStyle w:val="A-"/>
              <w:spacing w:line="220" w:lineRule="exact"/>
            </w:pPr>
            <w:r w:rsidRPr="006B27CC">
              <w:t>HW31</w:t>
            </w:r>
          </w:p>
        </w:tc>
        <w:tc>
          <w:tcPr>
            <w:tcW w:w="382" w:type="pct"/>
            <w:vAlign w:val="center"/>
          </w:tcPr>
          <w:p w14:paraId="249BAEB4" w14:textId="77777777" w:rsidR="002E474C" w:rsidRPr="006B27CC" w:rsidRDefault="00000000" w:rsidP="006B27CC">
            <w:pPr>
              <w:pStyle w:val="A-"/>
              <w:spacing w:line="220" w:lineRule="exact"/>
            </w:pPr>
            <w:r w:rsidRPr="006B27CC">
              <w:t>HW32</w:t>
            </w:r>
          </w:p>
        </w:tc>
        <w:tc>
          <w:tcPr>
            <w:tcW w:w="379" w:type="pct"/>
            <w:vAlign w:val="center"/>
          </w:tcPr>
          <w:p w14:paraId="0389F0E2" w14:textId="77777777" w:rsidR="002E474C" w:rsidRPr="006B27CC" w:rsidRDefault="00000000" w:rsidP="006B27CC">
            <w:pPr>
              <w:pStyle w:val="A-"/>
              <w:spacing w:line="220" w:lineRule="exact"/>
            </w:pPr>
            <w:r w:rsidRPr="006B27CC">
              <w:t>HW33</w:t>
            </w:r>
          </w:p>
        </w:tc>
      </w:tr>
      <w:tr w:rsidR="002E474C" w:rsidRPr="006B27CC" w14:paraId="6390387D" w14:textId="77777777" w:rsidTr="009C3A0E">
        <w:tc>
          <w:tcPr>
            <w:tcW w:w="240" w:type="pct"/>
            <w:vMerge/>
            <w:vAlign w:val="center"/>
          </w:tcPr>
          <w:p w14:paraId="10A6ECBC" w14:textId="77777777" w:rsidR="002E474C" w:rsidRPr="006B27CC" w:rsidRDefault="002E474C" w:rsidP="006B27CC">
            <w:pPr>
              <w:pStyle w:val="A-"/>
              <w:spacing w:line="220" w:lineRule="exact"/>
            </w:pPr>
          </w:p>
        </w:tc>
        <w:tc>
          <w:tcPr>
            <w:tcW w:w="138" w:type="pct"/>
            <w:vMerge/>
            <w:vAlign w:val="center"/>
          </w:tcPr>
          <w:p w14:paraId="6ED4AFDA" w14:textId="77777777" w:rsidR="002E474C" w:rsidRPr="006B27CC" w:rsidRDefault="002E474C" w:rsidP="006B27CC">
            <w:pPr>
              <w:pStyle w:val="A-"/>
              <w:spacing w:line="220" w:lineRule="exact"/>
            </w:pPr>
          </w:p>
        </w:tc>
        <w:tc>
          <w:tcPr>
            <w:tcW w:w="330" w:type="pct"/>
            <w:vAlign w:val="center"/>
          </w:tcPr>
          <w:p w14:paraId="706B29F1" w14:textId="77777777" w:rsidR="002E474C" w:rsidRPr="006B27CC" w:rsidRDefault="00000000" w:rsidP="006B27CC">
            <w:pPr>
              <w:pStyle w:val="A-"/>
              <w:spacing w:line="220" w:lineRule="exact"/>
              <w:ind w:leftChars="-50" w:left="-105" w:rightChars="-50" w:right="-105"/>
            </w:pPr>
            <w:r w:rsidRPr="006B27CC">
              <w:t>感光材料废物</w:t>
            </w:r>
          </w:p>
        </w:tc>
        <w:tc>
          <w:tcPr>
            <w:tcW w:w="341" w:type="pct"/>
            <w:vAlign w:val="center"/>
          </w:tcPr>
          <w:p w14:paraId="5A34E42E" w14:textId="77777777" w:rsidR="002E474C" w:rsidRPr="006B27CC" w:rsidRDefault="00000000" w:rsidP="006B27CC">
            <w:pPr>
              <w:pStyle w:val="A-"/>
              <w:spacing w:line="220" w:lineRule="exact"/>
              <w:ind w:leftChars="-50" w:left="-105" w:rightChars="-50" w:right="-105"/>
            </w:pPr>
            <w:r w:rsidRPr="006B27CC">
              <w:t>表面处理废物</w:t>
            </w:r>
          </w:p>
        </w:tc>
        <w:tc>
          <w:tcPr>
            <w:tcW w:w="424" w:type="pct"/>
            <w:vAlign w:val="center"/>
          </w:tcPr>
          <w:p w14:paraId="3A22ACA0" w14:textId="77777777" w:rsidR="002E474C" w:rsidRPr="006B27CC" w:rsidRDefault="00000000" w:rsidP="006B27CC">
            <w:pPr>
              <w:pStyle w:val="A-"/>
              <w:spacing w:line="220" w:lineRule="exact"/>
            </w:pPr>
            <w:r w:rsidRPr="006B27CC">
              <w:t>焚烧处置残渣</w:t>
            </w:r>
          </w:p>
        </w:tc>
        <w:tc>
          <w:tcPr>
            <w:tcW w:w="496" w:type="pct"/>
            <w:vAlign w:val="center"/>
          </w:tcPr>
          <w:p w14:paraId="5F454FE3" w14:textId="77777777" w:rsidR="002E474C" w:rsidRPr="006B27CC" w:rsidRDefault="00000000" w:rsidP="006B27CC">
            <w:pPr>
              <w:pStyle w:val="A-"/>
              <w:spacing w:line="220" w:lineRule="exact"/>
              <w:ind w:leftChars="-50" w:left="-105" w:rightChars="-50" w:right="-105"/>
            </w:pPr>
            <w:r w:rsidRPr="006B27CC">
              <w:t>含金属羰基化合物废物</w:t>
            </w:r>
          </w:p>
        </w:tc>
        <w:tc>
          <w:tcPr>
            <w:tcW w:w="341" w:type="pct"/>
            <w:vAlign w:val="center"/>
          </w:tcPr>
          <w:p w14:paraId="0116A889" w14:textId="77777777" w:rsidR="002E474C" w:rsidRPr="006B27CC" w:rsidRDefault="00000000" w:rsidP="006B27CC">
            <w:pPr>
              <w:pStyle w:val="A-"/>
              <w:spacing w:line="220" w:lineRule="exact"/>
            </w:pPr>
            <w:r w:rsidRPr="006B27CC">
              <w:t>含铍废物</w:t>
            </w:r>
          </w:p>
        </w:tc>
        <w:tc>
          <w:tcPr>
            <w:tcW w:w="371" w:type="pct"/>
            <w:vAlign w:val="center"/>
          </w:tcPr>
          <w:p w14:paraId="5D4C46EA" w14:textId="77777777" w:rsidR="002E474C" w:rsidRPr="006B27CC" w:rsidRDefault="00000000" w:rsidP="006B27CC">
            <w:pPr>
              <w:pStyle w:val="A-"/>
              <w:spacing w:line="220" w:lineRule="exact"/>
            </w:pPr>
            <w:r w:rsidRPr="006B27CC">
              <w:t>含铬废物</w:t>
            </w:r>
          </w:p>
        </w:tc>
        <w:tc>
          <w:tcPr>
            <w:tcW w:w="545" w:type="pct"/>
            <w:vAlign w:val="center"/>
          </w:tcPr>
          <w:p w14:paraId="52497339" w14:textId="77777777" w:rsidR="002E474C" w:rsidRPr="006B27CC" w:rsidRDefault="00000000" w:rsidP="006B27CC">
            <w:pPr>
              <w:pStyle w:val="A-"/>
              <w:spacing w:line="220" w:lineRule="exact"/>
            </w:pPr>
            <w:r w:rsidRPr="006B27CC">
              <w:t>含铜废物</w:t>
            </w:r>
          </w:p>
        </w:tc>
        <w:tc>
          <w:tcPr>
            <w:tcW w:w="295" w:type="pct"/>
            <w:vAlign w:val="center"/>
          </w:tcPr>
          <w:p w14:paraId="66D62C71" w14:textId="77777777" w:rsidR="002E474C" w:rsidRPr="006B27CC" w:rsidRDefault="00000000" w:rsidP="006B27CC">
            <w:pPr>
              <w:pStyle w:val="A-"/>
              <w:spacing w:line="220" w:lineRule="exact"/>
            </w:pPr>
            <w:r w:rsidRPr="006B27CC">
              <w:t>含锌废物</w:t>
            </w:r>
          </w:p>
        </w:tc>
        <w:tc>
          <w:tcPr>
            <w:tcW w:w="295" w:type="pct"/>
            <w:vAlign w:val="center"/>
          </w:tcPr>
          <w:p w14:paraId="4173E9FB" w14:textId="77777777" w:rsidR="002E474C" w:rsidRPr="006B27CC" w:rsidRDefault="00000000" w:rsidP="006B27CC">
            <w:pPr>
              <w:pStyle w:val="A-"/>
              <w:spacing w:line="220" w:lineRule="exact"/>
            </w:pPr>
            <w:r w:rsidRPr="006B27CC">
              <w:t>含砷废物</w:t>
            </w:r>
          </w:p>
        </w:tc>
        <w:tc>
          <w:tcPr>
            <w:tcW w:w="424" w:type="pct"/>
            <w:vAlign w:val="center"/>
          </w:tcPr>
          <w:p w14:paraId="16E4107D" w14:textId="77777777" w:rsidR="002E474C" w:rsidRPr="006B27CC" w:rsidRDefault="00000000" w:rsidP="006B27CC">
            <w:pPr>
              <w:pStyle w:val="A-"/>
              <w:spacing w:line="220" w:lineRule="exact"/>
            </w:pPr>
            <w:r w:rsidRPr="006B27CC">
              <w:t>含铅废物</w:t>
            </w:r>
          </w:p>
        </w:tc>
        <w:tc>
          <w:tcPr>
            <w:tcW w:w="382" w:type="pct"/>
            <w:vAlign w:val="center"/>
          </w:tcPr>
          <w:p w14:paraId="465937C5" w14:textId="77777777" w:rsidR="002E474C" w:rsidRPr="006B27CC" w:rsidRDefault="00000000" w:rsidP="006B27CC">
            <w:pPr>
              <w:pStyle w:val="A-"/>
              <w:spacing w:line="220" w:lineRule="exact"/>
              <w:ind w:leftChars="-50" w:left="-105" w:rightChars="-50" w:right="-105"/>
            </w:pPr>
            <w:r w:rsidRPr="006B27CC">
              <w:t>无机氟化物废物</w:t>
            </w:r>
          </w:p>
        </w:tc>
        <w:tc>
          <w:tcPr>
            <w:tcW w:w="379" w:type="pct"/>
            <w:vAlign w:val="center"/>
          </w:tcPr>
          <w:p w14:paraId="67BD486C" w14:textId="77777777" w:rsidR="002E474C" w:rsidRPr="006B27CC" w:rsidRDefault="00000000" w:rsidP="006B27CC">
            <w:pPr>
              <w:pStyle w:val="A-"/>
              <w:spacing w:line="220" w:lineRule="exact"/>
              <w:ind w:leftChars="-50" w:left="-105" w:rightChars="-50" w:right="-105"/>
            </w:pPr>
            <w:r w:rsidRPr="006B27CC">
              <w:t>无机氰化物废物</w:t>
            </w:r>
          </w:p>
        </w:tc>
      </w:tr>
      <w:tr w:rsidR="002E474C" w:rsidRPr="006B27CC" w14:paraId="1567AF6C" w14:textId="77777777" w:rsidTr="009C3A0E">
        <w:tc>
          <w:tcPr>
            <w:tcW w:w="240" w:type="pct"/>
          </w:tcPr>
          <w:p w14:paraId="2ED40AC6" w14:textId="77777777" w:rsidR="002E474C" w:rsidRPr="006B27CC" w:rsidRDefault="00000000" w:rsidP="006B27CC">
            <w:pPr>
              <w:pStyle w:val="A-"/>
              <w:spacing w:line="220" w:lineRule="exact"/>
            </w:pPr>
            <w:r w:rsidRPr="006B27CC">
              <w:t>含水率</w:t>
            </w:r>
          </w:p>
        </w:tc>
        <w:tc>
          <w:tcPr>
            <w:tcW w:w="138" w:type="pct"/>
          </w:tcPr>
          <w:p w14:paraId="17AE0EF8" w14:textId="77777777" w:rsidR="002E474C" w:rsidRPr="006B27CC" w:rsidRDefault="00000000" w:rsidP="006B27CC">
            <w:pPr>
              <w:pStyle w:val="A-"/>
              <w:spacing w:line="220" w:lineRule="exact"/>
            </w:pPr>
            <w:r w:rsidRPr="006B27CC">
              <w:t>%</w:t>
            </w:r>
          </w:p>
        </w:tc>
        <w:tc>
          <w:tcPr>
            <w:tcW w:w="330" w:type="pct"/>
          </w:tcPr>
          <w:p w14:paraId="0B810D0C" w14:textId="77777777" w:rsidR="002E474C" w:rsidRPr="006B27CC" w:rsidRDefault="002E474C" w:rsidP="006B27CC">
            <w:pPr>
              <w:pStyle w:val="A-"/>
              <w:spacing w:line="220" w:lineRule="exact"/>
            </w:pPr>
          </w:p>
        </w:tc>
        <w:tc>
          <w:tcPr>
            <w:tcW w:w="341" w:type="pct"/>
          </w:tcPr>
          <w:p w14:paraId="70DE4DBD" w14:textId="77777777" w:rsidR="002E474C" w:rsidRPr="006B27CC" w:rsidRDefault="00000000" w:rsidP="006B27CC">
            <w:pPr>
              <w:pStyle w:val="A-"/>
              <w:spacing w:line="220" w:lineRule="exact"/>
            </w:pPr>
            <w:r w:rsidRPr="006B27CC">
              <w:t>39.1</w:t>
            </w:r>
          </w:p>
        </w:tc>
        <w:tc>
          <w:tcPr>
            <w:tcW w:w="424" w:type="pct"/>
          </w:tcPr>
          <w:p w14:paraId="1B593756" w14:textId="77777777" w:rsidR="002E474C" w:rsidRPr="006B27CC" w:rsidRDefault="00000000" w:rsidP="006B27CC">
            <w:pPr>
              <w:pStyle w:val="A-"/>
              <w:spacing w:line="220" w:lineRule="exact"/>
            </w:pPr>
            <w:r w:rsidRPr="006B27CC">
              <w:t>3.61</w:t>
            </w:r>
          </w:p>
        </w:tc>
        <w:tc>
          <w:tcPr>
            <w:tcW w:w="496" w:type="pct"/>
          </w:tcPr>
          <w:p w14:paraId="48AC9278" w14:textId="77777777" w:rsidR="002E474C" w:rsidRPr="006B27CC" w:rsidRDefault="002E474C" w:rsidP="006B27CC">
            <w:pPr>
              <w:pStyle w:val="A-"/>
              <w:spacing w:line="220" w:lineRule="exact"/>
            </w:pPr>
          </w:p>
        </w:tc>
        <w:tc>
          <w:tcPr>
            <w:tcW w:w="341" w:type="pct"/>
          </w:tcPr>
          <w:p w14:paraId="1F7BD03A" w14:textId="77777777" w:rsidR="002E474C" w:rsidRPr="006B27CC" w:rsidRDefault="00000000" w:rsidP="006B27CC">
            <w:pPr>
              <w:pStyle w:val="A-"/>
              <w:spacing w:line="220" w:lineRule="exact"/>
            </w:pPr>
            <w:r w:rsidRPr="006B27CC">
              <w:t>65.4</w:t>
            </w:r>
          </w:p>
        </w:tc>
        <w:tc>
          <w:tcPr>
            <w:tcW w:w="371" w:type="pct"/>
          </w:tcPr>
          <w:p w14:paraId="6BEFF13F" w14:textId="77777777" w:rsidR="002E474C" w:rsidRPr="006B27CC" w:rsidRDefault="00000000" w:rsidP="006B27CC">
            <w:pPr>
              <w:pStyle w:val="A-"/>
              <w:spacing w:line="220" w:lineRule="exact"/>
            </w:pPr>
            <w:r w:rsidRPr="006B27CC">
              <w:t>38.54</w:t>
            </w:r>
          </w:p>
        </w:tc>
        <w:tc>
          <w:tcPr>
            <w:tcW w:w="545" w:type="pct"/>
          </w:tcPr>
          <w:p w14:paraId="6F06F638" w14:textId="77777777" w:rsidR="002E474C" w:rsidRPr="006B27CC" w:rsidRDefault="00000000" w:rsidP="006B27CC">
            <w:pPr>
              <w:pStyle w:val="A-"/>
              <w:spacing w:line="220" w:lineRule="exact"/>
            </w:pPr>
            <w:r w:rsidRPr="006B27CC">
              <w:t>3.45</w:t>
            </w:r>
          </w:p>
        </w:tc>
        <w:tc>
          <w:tcPr>
            <w:tcW w:w="295" w:type="pct"/>
          </w:tcPr>
          <w:p w14:paraId="7920B7C1" w14:textId="77777777" w:rsidR="002E474C" w:rsidRPr="006B27CC" w:rsidRDefault="00000000" w:rsidP="006B27CC">
            <w:pPr>
              <w:pStyle w:val="A-"/>
              <w:spacing w:line="220" w:lineRule="exact"/>
            </w:pPr>
            <w:r w:rsidRPr="006B27CC">
              <w:t xml:space="preserve">7.20 </w:t>
            </w:r>
          </w:p>
        </w:tc>
        <w:tc>
          <w:tcPr>
            <w:tcW w:w="295" w:type="pct"/>
          </w:tcPr>
          <w:p w14:paraId="7736593A" w14:textId="77777777" w:rsidR="002E474C" w:rsidRPr="006B27CC" w:rsidRDefault="00000000" w:rsidP="006B27CC">
            <w:pPr>
              <w:pStyle w:val="A-"/>
              <w:spacing w:line="220" w:lineRule="exact"/>
            </w:pPr>
            <w:r w:rsidRPr="006B27CC">
              <w:t xml:space="preserve">23.20 </w:t>
            </w:r>
          </w:p>
        </w:tc>
        <w:tc>
          <w:tcPr>
            <w:tcW w:w="424" w:type="pct"/>
          </w:tcPr>
          <w:p w14:paraId="7B09F87C" w14:textId="77777777" w:rsidR="002E474C" w:rsidRPr="006B27CC" w:rsidRDefault="00000000" w:rsidP="006B27CC">
            <w:pPr>
              <w:pStyle w:val="A-"/>
              <w:spacing w:line="220" w:lineRule="exact"/>
            </w:pPr>
            <w:r w:rsidRPr="006B27CC">
              <w:t>16.31</w:t>
            </w:r>
          </w:p>
        </w:tc>
        <w:tc>
          <w:tcPr>
            <w:tcW w:w="382" w:type="pct"/>
          </w:tcPr>
          <w:p w14:paraId="488E94F9" w14:textId="77777777" w:rsidR="002E474C" w:rsidRPr="006B27CC" w:rsidRDefault="002E474C" w:rsidP="006B27CC">
            <w:pPr>
              <w:pStyle w:val="A-"/>
              <w:spacing w:line="220" w:lineRule="exact"/>
            </w:pPr>
          </w:p>
        </w:tc>
        <w:tc>
          <w:tcPr>
            <w:tcW w:w="379" w:type="pct"/>
          </w:tcPr>
          <w:p w14:paraId="20F5EBE7" w14:textId="77777777" w:rsidR="002E474C" w:rsidRPr="006B27CC" w:rsidRDefault="00000000" w:rsidP="006B27CC">
            <w:pPr>
              <w:pStyle w:val="A-"/>
              <w:spacing w:line="220" w:lineRule="exact"/>
            </w:pPr>
            <w:r w:rsidRPr="006B27CC">
              <w:t>18.9</w:t>
            </w:r>
          </w:p>
        </w:tc>
      </w:tr>
      <w:tr w:rsidR="002E474C" w:rsidRPr="006B27CC" w14:paraId="6ED86172" w14:textId="77777777" w:rsidTr="009C3A0E">
        <w:tc>
          <w:tcPr>
            <w:tcW w:w="240" w:type="pct"/>
          </w:tcPr>
          <w:p w14:paraId="45C1860B" w14:textId="77777777" w:rsidR="002E474C" w:rsidRPr="006B27CC" w:rsidRDefault="00000000" w:rsidP="006B27CC">
            <w:pPr>
              <w:pStyle w:val="A-"/>
              <w:spacing w:line="220" w:lineRule="exact"/>
            </w:pPr>
            <w:r w:rsidRPr="006B27CC">
              <w:t>热值</w:t>
            </w:r>
          </w:p>
        </w:tc>
        <w:tc>
          <w:tcPr>
            <w:tcW w:w="138" w:type="pct"/>
          </w:tcPr>
          <w:p w14:paraId="2C403C99" w14:textId="77777777" w:rsidR="002E474C" w:rsidRPr="006B27CC" w:rsidRDefault="00000000" w:rsidP="006B27CC">
            <w:pPr>
              <w:pStyle w:val="A-"/>
              <w:spacing w:line="220" w:lineRule="exact"/>
            </w:pPr>
            <w:r w:rsidRPr="006B27CC">
              <w:t>J/g</w:t>
            </w:r>
          </w:p>
        </w:tc>
        <w:tc>
          <w:tcPr>
            <w:tcW w:w="330" w:type="pct"/>
          </w:tcPr>
          <w:p w14:paraId="376182F0" w14:textId="77777777" w:rsidR="002E474C" w:rsidRPr="006B27CC" w:rsidRDefault="00000000" w:rsidP="006B27CC">
            <w:pPr>
              <w:pStyle w:val="A-"/>
              <w:spacing w:line="220" w:lineRule="exact"/>
            </w:pPr>
            <w:r w:rsidRPr="006B27CC">
              <w:t>40093.7</w:t>
            </w:r>
          </w:p>
        </w:tc>
        <w:tc>
          <w:tcPr>
            <w:tcW w:w="341" w:type="pct"/>
          </w:tcPr>
          <w:p w14:paraId="32E9045C" w14:textId="77777777" w:rsidR="002E474C" w:rsidRPr="006B27CC" w:rsidRDefault="00000000" w:rsidP="006B27CC">
            <w:pPr>
              <w:pStyle w:val="A-"/>
              <w:spacing w:line="220" w:lineRule="exact"/>
            </w:pPr>
            <w:r w:rsidRPr="006B27CC">
              <w:t>164.3</w:t>
            </w:r>
          </w:p>
        </w:tc>
        <w:tc>
          <w:tcPr>
            <w:tcW w:w="424" w:type="pct"/>
          </w:tcPr>
          <w:p w14:paraId="305908BA" w14:textId="77777777" w:rsidR="002E474C" w:rsidRPr="006B27CC" w:rsidRDefault="00000000" w:rsidP="006B27CC">
            <w:pPr>
              <w:pStyle w:val="A-"/>
              <w:spacing w:line="220" w:lineRule="exact"/>
            </w:pPr>
            <w:r w:rsidRPr="006B27CC">
              <w:t>102.4</w:t>
            </w:r>
          </w:p>
        </w:tc>
        <w:tc>
          <w:tcPr>
            <w:tcW w:w="496" w:type="pct"/>
          </w:tcPr>
          <w:p w14:paraId="62B09019" w14:textId="77777777" w:rsidR="002E474C" w:rsidRPr="006B27CC" w:rsidRDefault="002E474C" w:rsidP="006B27CC">
            <w:pPr>
              <w:pStyle w:val="A-"/>
              <w:spacing w:line="220" w:lineRule="exact"/>
            </w:pPr>
          </w:p>
        </w:tc>
        <w:tc>
          <w:tcPr>
            <w:tcW w:w="341" w:type="pct"/>
          </w:tcPr>
          <w:p w14:paraId="2A9508B1" w14:textId="77777777" w:rsidR="002E474C" w:rsidRPr="006B27CC" w:rsidRDefault="002E474C" w:rsidP="006B27CC">
            <w:pPr>
              <w:pStyle w:val="A-"/>
              <w:spacing w:line="220" w:lineRule="exact"/>
            </w:pPr>
          </w:p>
        </w:tc>
        <w:tc>
          <w:tcPr>
            <w:tcW w:w="371" w:type="pct"/>
          </w:tcPr>
          <w:p w14:paraId="327B4093" w14:textId="77777777" w:rsidR="002E474C" w:rsidRPr="006B27CC" w:rsidRDefault="002E474C" w:rsidP="006B27CC">
            <w:pPr>
              <w:pStyle w:val="A-"/>
              <w:spacing w:line="220" w:lineRule="exact"/>
            </w:pPr>
          </w:p>
        </w:tc>
        <w:tc>
          <w:tcPr>
            <w:tcW w:w="545" w:type="pct"/>
          </w:tcPr>
          <w:p w14:paraId="3D690BD0" w14:textId="77777777" w:rsidR="002E474C" w:rsidRPr="006B27CC" w:rsidRDefault="002E474C" w:rsidP="006B27CC">
            <w:pPr>
              <w:pStyle w:val="A-"/>
              <w:spacing w:line="220" w:lineRule="exact"/>
            </w:pPr>
          </w:p>
        </w:tc>
        <w:tc>
          <w:tcPr>
            <w:tcW w:w="295" w:type="pct"/>
          </w:tcPr>
          <w:p w14:paraId="01F6FE30" w14:textId="77777777" w:rsidR="002E474C" w:rsidRPr="006B27CC" w:rsidRDefault="002E474C" w:rsidP="006B27CC">
            <w:pPr>
              <w:pStyle w:val="A-"/>
              <w:spacing w:line="220" w:lineRule="exact"/>
            </w:pPr>
          </w:p>
        </w:tc>
        <w:tc>
          <w:tcPr>
            <w:tcW w:w="295" w:type="pct"/>
          </w:tcPr>
          <w:p w14:paraId="7B821FD2" w14:textId="77777777" w:rsidR="002E474C" w:rsidRPr="006B27CC" w:rsidRDefault="002E474C" w:rsidP="006B27CC">
            <w:pPr>
              <w:pStyle w:val="A-"/>
              <w:spacing w:line="220" w:lineRule="exact"/>
            </w:pPr>
          </w:p>
        </w:tc>
        <w:tc>
          <w:tcPr>
            <w:tcW w:w="424" w:type="pct"/>
          </w:tcPr>
          <w:p w14:paraId="4A0BB7D2" w14:textId="77777777" w:rsidR="002E474C" w:rsidRPr="006B27CC" w:rsidRDefault="002E474C" w:rsidP="006B27CC">
            <w:pPr>
              <w:pStyle w:val="A-"/>
              <w:spacing w:line="220" w:lineRule="exact"/>
            </w:pPr>
          </w:p>
        </w:tc>
        <w:tc>
          <w:tcPr>
            <w:tcW w:w="382" w:type="pct"/>
          </w:tcPr>
          <w:p w14:paraId="3E97DFDC" w14:textId="77777777" w:rsidR="002E474C" w:rsidRPr="006B27CC" w:rsidRDefault="002E474C" w:rsidP="006B27CC">
            <w:pPr>
              <w:pStyle w:val="A-"/>
              <w:spacing w:line="220" w:lineRule="exact"/>
            </w:pPr>
          </w:p>
        </w:tc>
        <w:tc>
          <w:tcPr>
            <w:tcW w:w="379" w:type="pct"/>
          </w:tcPr>
          <w:p w14:paraId="6373DC54" w14:textId="77777777" w:rsidR="002E474C" w:rsidRPr="006B27CC" w:rsidRDefault="002E474C" w:rsidP="006B27CC">
            <w:pPr>
              <w:pStyle w:val="A-"/>
              <w:spacing w:line="220" w:lineRule="exact"/>
            </w:pPr>
          </w:p>
        </w:tc>
      </w:tr>
      <w:tr w:rsidR="002E474C" w:rsidRPr="006B27CC" w14:paraId="1DE082AF" w14:textId="77777777" w:rsidTr="009C3A0E">
        <w:tc>
          <w:tcPr>
            <w:tcW w:w="240" w:type="pct"/>
          </w:tcPr>
          <w:p w14:paraId="7E1F57EF" w14:textId="77777777" w:rsidR="002E474C" w:rsidRPr="006B27CC" w:rsidRDefault="00000000" w:rsidP="006B27CC">
            <w:pPr>
              <w:pStyle w:val="A-"/>
              <w:spacing w:line="220" w:lineRule="exact"/>
            </w:pPr>
            <w:r w:rsidRPr="006B27CC">
              <w:t>SiO</w:t>
            </w:r>
            <w:r w:rsidRPr="006B27CC">
              <w:rPr>
                <w:vertAlign w:val="subscript"/>
              </w:rPr>
              <w:t>2</w:t>
            </w:r>
          </w:p>
        </w:tc>
        <w:tc>
          <w:tcPr>
            <w:tcW w:w="138" w:type="pct"/>
          </w:tcPr>
          <w:p w14:paraId="137D600B" w14:textId="77777777" w:rsidR="002E474C" w:rsidRPr="006B27CC" w:rsidRDefault="00000000" w:rsidP="006B27CC">
            <w:pPr>
              <w:pStyle w:val="A-"/>
              <w:spacing w:line="220" w:lineRule="exact"/>
            </w:pPr>
            <w:r w:rsidRPr="006B27CC">
              <w:t>%</w:t>
            </w:r>
          </w:p>
        </w:tc>
        <w:tc>
          <w:tcPr>
            <w:tcW w:w="330" w:type="pct"/>
          </w:tcPr>
          <w:p w14:paraId="4BDA2EFB" w14:textId="77777777" w:rsidR="002E474C" w:rsidRPr="006B27CC" w:rsidRDefault="002E474C" w:rsidP="006B27CC">
            <w:pPr>
              <w:pStyle w:val="A-"/>
              <w:spacing w:line="220" w:lineRule="exact"/>
            </w:pPr>
          </w:p>
        </w:tc>
        <w:tc>
          <w:tcPr>
            <w:tcW w:w="341" w:type="pct"/>
          </w:tcPr>
          <w:p w14:paraId="0C493ABD" w14:textId="77777777" w:rsidR="002E474C" w:rsidRPr="006B27CC" w:rsidRDefault="00000000" w:rsidP="006B27CC">
            <w:pPr>
              <w:pStyle w:val="A-"/>
              <w:spacing w:line="220" w:lineRule="exact"/>
            </w:pPr>
            <w:r w:rsidRPr="006B27CC">
              <w:t>12.8</w:t>
            </w:r>
          </w:p>
        </w:tc>
        <w:tc>
          <w:tcPr>
            <w:tcW w:w="424" w:type="pct"/>
          </w:tcPr>
          <w:p w14:paraId="705F192F" w14:textId="77777777" w:rsidR="002E474C" w:rsidRPr="006B27CC" w:rsidRDefault="00000000" w:rsidP="006B27CC">
            <w:pPr>
              <w:pStyle w:val="A-"/>
              <w:spacing w:line="220" w:lineRule="exact"/>
            </w:pPr>
            <w:r w:rsidRPr="006B27CC">
              <w:t>24.7</w:t>
            </w:r>
          </w:p>
        </w:tc>
        <w:tc>
          <w:tcPr>
            <w:tcW w:w="496" w:type="pct"/>
          </w:tcPr>
          <w:p w14:paraId="0B560694" w14:textId="77777777" w:rsidR="002E474C" w:rsidRPr="006B27CC" w:rsidRDefault="002E474C" w:rsidP="006B27CC">
            <w:pPr>
              <w:pStyle w:val="A-"/>
              <w:spacing w:line="220" w:lineRule="exact"/>
            </w:pPr>
          </w:p>
        </w:tc>
        <w:tc>
          <w:tcPr>
            <w:tcW w:w="341" w:type="pct"/>
          </w:tcPr>
          <w:p w14:paraId="7E4721D2" w14:textId="77777777" w:rsidR="002E474C" w:rsidRPr="006B27CC" w:rsidRDefault="002E474C" w:rsidP="006B27CC">
            <w:pPr>
              <w:pStyle w:val="A-"/>
              <w:spacing w:line="220" w:lineRule="exact"/>
            </w:pPr>
          </w:p>
        </w:tc>
        <w:tc>
          <w:tcPr>
            <w:tcW w:w="371" w:type="pct"/>
          </w:tcPr>
          <w:p w14:paraId="09E96F20" w14:textId="77777777" w:rsidR="002E474C" w:rsidRPr="006B27CC" w:rsidRDefault="00000000" w:rsidP="006B27CC">
            <w:pPr>
              <w:pStyle w:val="A-"/>
              <w:spacing w:line="220" w:lineRule="exact"/>
            </w:pPr>
            <w:r w:rsidRPr="006B27CC">
              <w:t>0.161</w:t>
            </w:r>
          </w:p>
        </w:tc>
        <w:tc>
          <w:tcPr>
            <w:tcW w:w="545" w:type="pct"/>
          </w:tcPr>
          <w:p w14:paraId="5B58DF96" w14:textId="77777777" w:rsidR="002E474C" w:rsidRPr="006B27CC" w:rsidRDefault="00000000" w:rsidP="006B27CC">
            <w:pPr>
              <w:pStyle w:val="A-"/>
              <w:spacing w:line="220" w:lineRule="exact"/>
            </w:pPr>
            <w:r w:rsidRPr="006B27CC">
              <w:t>0.131</w:t>
            </w:r>
          </w:p>
        </w:tc>
        <w:tc>
          <w:tcPr>
            <w:tcW w:w="295" w:type="pct"/>
          </w:tcPr>
          <w:p w14:paraId="7B8669D6" w14:textId="77777777" w:rsidR="002E474C" w:rsidRPr="006B27CC" w:rsidRDefault="00000000" w:rsidP="006B27CC">
            <w:pPr>
              <w:pStyle w:val="A-"/>
              <w:spacing w:line="220" w:lineRule="exact"/>
            </w:pPr>
            <w:r w:rsidRPr="006B27CC">
              <w:t>1.099</w:t>
            </w:r>
          </w:p>
        </w:tc>
        <w:tc>
          <w:tcPr>
            <w:tcW w:w="295" w:type="pct"/>
          </w:tcPr>
          <w:p w14:paraId="6E97299B" w14:textId="77777777" w:rsidR="002E474C" w:rsidRPr="006B27CC" w:rsidRDefault="00000000" w:rsidP="006B27CC">
            <w:pPr>
              <w:pStyle w:val="A-"/>
              <w:spacing w:line="220" w:lineRule="exact"/>
            </w:pPr>
            <w:r w:rsidRPr="006B27CC">
              <w:t>10.529</w:t>
            </w:r>
          </w:p>
        </w:tc>
        <w:tc>
          <w:tcPr>
            <w:tcW w:w="424" w:type="pct"/>
          </w:tcPr>
          <w:p w14:paraId="38240AAF" w14:textId="77777777" w:rsidR="002E474C" w:rsidRPr="006B27CC" w:rsidRDefault="00000000" w:rsidP="006B27CC">
            <w:pPr>
              <w:pStyle w:val="A-"/>
              <w:spacing w:line="220" w:lineRule="exact"/>
            </w:pPr>
            <w:r w:rsidRPr="006B27CC">
              <w:t>0.131</w:t>
            </w:r>
          </w:p>
        </w:tc>
        <w:tc>
          <w:tcPr>
            <w:tcW w:w="382" w:type="pct"/>
          </w:tcPr>
          <w:p w14:paraId="59BA9A4A" w14:textId="77777777" w:rsidR="002E474C" w:rsidRPr="006B27CC" w:rsidRDefault="00000000" w:rsidP="006B27CC">
            <w:pPr>
              <w:pStyle w:val="A-"/>
              <w:spacing w:line="220" w:lineRule="exact"/>
            </w:pPr>
            <w:r w:rsidRPr="006B27CC">
              <w:t>10.529</w:t>
            </w:r>
          </w:p>
        </w:tc>
        <w:tc>
          <w:tcPr>
            <w:tcW w:w="379" w:type="pct"/>
          </w:tcPr>
          <w:p w14:paraId="66BDE3FE" w14:textId="77777777" w:rsidR="002E474C" w:rsidRPr="006B27CC" w:rsidRDefault="00000000" w:rsidP="006B27CC">
            <w:pPr>
              <w:pStyle w:val="A-"/>
              <w:spacing w:line="220" w:lineRule="exact"/>
            </w:pPr>
            <w:r w:rsidRPr="006B27CC">
              <w:t>38.473</w:t>
            </w:r>
          </w:p>
        </w:tc>
      </w:tr>
      <w:tr w:rsidR="002E474C" w:rsidRPr="006B27CC" w14:paraId="2481772C" w14:textId="77777777" w:rsidTr="009C3A0E">
        <w:tc>
          <w:tcPr>
            <w:tcW w:w="240" w:type="pct"/>
          </w:tcPr>
          <w:p w14:paraId="49022D45" w14:textId="77777777" w:rsidR="002E474C" w:rsidRPr="006B27CC" w:rsidRDefault="00000000" w:rsidP="006B27CC">
            <w:pPr>
              <w:pStyle w:val="A-"/>
              <w:spacing w:line="220" w:lineRule="exact"/>
            </w:pPr>
            <w:r w:rsidRPr="006B27CC">
              <w:t>AlO</w:t>
            </w:r>
            <w:r w:rsidRPr="006B27CC">
              <w:rPr>
                <w:vertAlign w:val="subscript"/>
              </w:rPr>
              <w:t>2</w:t>
            </w:r>
          </w:p>
        </w:tc>
        <w:tc>
          <w:tcPr>
            <w:tcW w:w="138" w:type="pct"/>
          </w:tcPr>
          <w:p w14:paraId="738F84A8" w14:textId="77777777" w:rsidR="002E474C" w:rsidRPr="006B27CC" w:rsidRDefault="00000000" w:rsidP="006B27CC">
            <w:pPr>
              <w:pStyle w:val="A-"/>
              <w:spacing w:line="220" w:lineRule="exact"/>
            </w:pPr>
            <w:r w:rsidRPr="006B27CC">
              <w:t>%</w:t>
            </w:r>
          </w:p>
        </w:tc>
        <w:tc>
          <w:tcPr>
            <w:tcW w:w="330" w:type="pct"/>
          </w:tcPr>
          <w:p w14:paraId="63E12401" w14:textId="77777777" w:rsidR="002E474C" w:rsidRPr="006B27CC" w:rsidRDefault="002E474C" w:rsidP="006B27CC">
            <w:pPr>
              <w:pStyle w:val="A-"/>
              <w:spacing w:line="220" w:lineRule="exact"/>
            </w:pPr>
          </w:p>
        </w:tc>
        <w:tc>
          <w:tcPr>
            <w:tcW w:w="341" w:type="pct"/>
          </w:tcPr>
          <w:p w14:paraId="4F2F27AF" w14:textId="77777777" w:rsidR="002E474C" w:rsidRPr="006B27CC" w:rsidRDefault="00000000" w:rsidP="006B27CC">
            <w:pPr>
              <w:pStyle w:val="A-"/>
              <w:spacing w:line="220" w:lineRule="exact"/>
            </w:pPr>
            <w:r w:rsidRPr="006B27CC">
              <w:t>6.06</w:t>
            </w:r>
          </w:p>
        </w:tc>
        <w:tc>
          <w:tcPr>
            <w:tcW w:w="424" w:type="pct"/>
          </w:tcPr>
          <w:p w14:paraId="5F123EF0" w14:textId="77777777" w:rsidR="002E474C" w:rsidRPr="006B27CC" w:rsidRDefault="00000000" w:rsidP="006B27CC">
            <w:pPr>
              <w:pStyle w:val="A-"/>
              <w:spacing w:line="220" w:lineRule="exact"/>
            </w:pPr>
            <w:r w:rsidRPr="006B27CC">
              <w:t>11.6</w:t>
            </w:r>
          </w:p>
        </w:tc>
        <w:tc>
          <w:tcPr>
            <w:tcW w:w="496" w:type="pct"/>
          </w:tcPr>
          <w:p w14:paraId="5A055946" w14:textId="77777777" w:rsidR="002E474C" w:rsidRPr="006B27CC" w:rsidRDefault="002E474C" w:rsidP="006B27CC">
            <w:pPr>
              <w:pStyle w:val="A-"/>
              <w:spacing w:line="220" w:lineRule="exact"/>
            </w:pPr>
          </w:p>
        </w:tc>
        <w:tc>
          <w:tcPr>
            <w:tcW w:w="341" w:type="pct"/>
          </w:tcPr>
          <w:p w14:paraId="1A3EB556" w14:textId="77777777" w:rsidR="002E474C" w:rsidRPr="006B27CC" w:rsidRDefault="00000000" w:rsidP="006B27CC">
            <w:pPr>
              <w:pStyle w:val="A-"/>
              <w:spacing w:line="220" w:lineRule="exact"/>
            </w:pPr>
            <w:r w:rsidRPr="006B27CC">
              <w:t>0.72</w:t>
            </w:r>
          </w:p>
        </w:tc>
        <w:tc>
          <w:tcPr>
            <w:tcW w:w="371" w:type="pct"/>
          </w:tcPr>
          <w:p w14:paraId="72BF7516" w14:textId="77777777" w:rsidR="002E474C" w:rsidRPr="006B27CC" w:rsidRDefault="00000000" w:rsidP="006B27CC">
            <w:pPr>
              <w:pStyle w:val="A-"/>
              <w:spacing w:line="220" w:lineRule="exact"/>
            </w:pPr>
            <w:r w:rsidRPr="006B27CC">
              <w:t>0.057</w:t>
            </w:r>
          </w:p>
        </w:tc>
        <w:tc>
          <w:tcPr>
            <w:tcW w:w="545" w:type="pct"/>
          </w:tcPr>
          <w:p w14:paraId="35FBCCD2" w14:textId="77777777" w:rsidR="002E474C" w:rsidRPr="006B27CC" w:rsidRDefault="00000000" w:rsidP="006B27CC">
            <w:pPr>
              <w:pStyle w:val="A-"/>
              <w:spacing w:line="220" w:lineRule="exact"/>
            </w:pPr>
            <w:r w:rsidRPr="006B27CC">
              <w:t>0.053</w:t>
            </w:r>
          </w:p>
        </w:tc>
        <w:tc>
          <w:tcPr>
            <w:tcW w:w="295" w:type="pct"/>
          </w:tcPr>
          <w:p w14:paraId="17ED69A3" w14:textId="77777777" w:rsidR="002E474C" w:rsidRPr="006B27CC" w:rsidRDefault="00000000" w:rsidP="006B27CC">
            <w:pPr>
              <w:pStyle w:val="A-"/>
              <w:spacing w:line="220" w:lineRule="exact"/>
            </w:pPr>
            <w:r w:rsidRPr="006B27CC">
              <w:t>0.023</w:t>
            </w:r>
          </w:p>
        </w:tc>
        <w:tc>
          <w:tcPr>
            <w:tcW w:w="295" w:type="pct"/>
          </w:tcPr>
          <w:p w14:paraId="09FA416C" w14:textId="77777777" w:rsidR="002E474C" w:rsidRPr="006B27CC" w:rsidRDefault="00000000" w:rsidP="006B27CC">
            <w:pPr>
              <w:pStyle w:val="A-"/>
              <w:spacing w:line="220" w:lineRule="exact"/>
            </w:pPr>
            <w:r w:rsidRPr="006B27CC">
              <w:t>1.556</w:t>
            </w:r>
          </w:p>
        </w:tc>
        <w:tc>
          <w:tcPr>
            <w:tcW w:w="424" w:type="pct"/>
          </w:tcPr>
          <w:p w14:paraId="60AC9058" w14:textId="77777777" w:rsidR="002E474C" w:rsidRPr="006B27CC" w:rsidRDefault="00000000" w:rsidP="006B27CC">
            <w:pPr>
              <w:pStyle w:val="A-"/>
              <w:spacing w:line="220" w:lineRule="exact"/>
            </w:pPr>
            <w:r w:rsidRPr="006B27CC">
              <w:t>0.053</w:t>
            </w:r>
          </w:p>
        </w:tc>
        <w:tc>
          <w:tcPr>
            <w:tcW w:w="382" w:type="pct"/>
          </w:tcPr>
          <w:p w14:paraId="572A5E14" w14:textId="77777777" w:rsidR="002E474C" w:rsidRPr="006B27CC" w:rsidRDefault="00000000" w:rsidP="006B27CC">
            <w:pPr>
              <w:pStyle w:val="A-"/>
              <w:spacing w:line="220" w:lineRule="exact"/>
            </w:pPr>
            <w:r w:rsidRPr="006B27CC">
              <w:t>1.556</w:t>
            </w:r>
          </w:p>
        </w:tc>
        <w:tc>
          <w:tcPr>
            <w:tcW w:w="379" w:type="pct"/>
          </w:tcPr>
          <w:p w14:paraId="0F680481" w14:textId="77777777" w:rsidR="002E474C" w:rsidRPr="006B27CC" w:rsidRDefault="00000000" w:rsidP="006B27CC">
            <w:pPr>
              <w:pStyle w:val="A-"/>
              <w:spacing w:line="220" w:lineRule="exact"/>
            </w:pPr>
            <w:r w:rsidRPr="006B27CC">
              <w:t>8.2</w:t>
            </w:r>
          </w:p>
        </w:tc>
      </w:tr>
      <w:tr w:rsidR="002E474C" w:rsidRPr="006B27CC" w14:paraId="657EA1E7" w14:textId="77777777" w:rsidTr="009C3A0E">
        <w:tc>
          <w:tcPr>
            <w:tcW w:w="240" w:type="pct"/>
          </w:tcPr>
          <w:p w14:paraId="15C59034" w14:textId="77777777" w:rsidR="002E474C" w:rsidRPr="006B27CC" w:rsidRDefault="00000000" w:rsidP="006B27CC">
            <w:pPr>
              <w:pStyle w:val="A-"/>
              <w:spacing w:line="220" w:lineRule="exact"/>
            </w:pPr>
            <w:r w:rsidRPr="006B27CC">
              <w:t>Fe</w:t>
            </w:r>
          </w:p>
        </w:tc>
        <w:tc>
          <w:tcPr>
            <w:tcW w:w="138" w:type="pct"/>
          </w:tcPr>
          <w:p w14:paraId="5739DDBA" w14:textId="77777777" w:rsidR="002E474C" w:rsidRPr="006B27CC" w:rsidRDefault="00000000" w:rsidP="006B27CC">
            <w:pPr>
              <w:pStyle w:val="A-"/>
              <w:spacing w:line="220" w:lineRule="exact"/>
            </w:pPr>
            <w:r w:rsidRPr="006B27CC">
              <w:t>%</w:t>
            </w:r>
          </w:p>
        </w:tc>
        <w:tc>
          <w:tcPr>
            <w:tcW w:w="330" w:type="pct"/>
          </w:tcPr>
          <w:p w14:paraId="61FC034F" w14:textId="77777777" w:rsidR="002E474C" w:rsidRPr="006B27CC" w:rsidRDefault="002E474C" w:rsidP="006B27CC">
            <w:pPr>
              <w:pStyle w:val="A-"/>
              <w:spacing w:line="220" w:lineRule="exact"/>
            </w:pPr>
          </w:p>
        </w:tc>
        <w:tc>
          <w:tcPr>
            <w:tcW w:w="341" w:type="pct"/>
          </w:tcPr>
          <w:p w14:paraId="1C17C644" w14:textId="77777777" w:rsidR="002E474C" w:rsidRPr="006B27CC" w:rsidRDefault="00000000" w:rsidP="006B27CC">
            <w:pPr>
              <w:pStyle w:val="A-"/>
              <w:spacing w:line="220" w:lineRule="exact"/>
            </w:pPr>
            <w:r w:rsidRPr="006B27CC">
              <w:t>0.000000189</w:t>
            </w:r>
          </w:p>
        </w:tc>
        <w:tc>
          <w:tcPr>
            <w:tcW w:w="424" w:type="pct"/>
          </w:tcPr>
          <w:p w14:paraId="571DED01" w14:textId="77777777" w:rsidR="002E474C" w:rsidRPr="006B27CC" w:rsidRDefault="00000000" w:rsidP="006B27CC">
            <w:pPr>
              <w:pStyle w:val="A-"/>
              <w:spacing w:line="220" w:lineRule="exact"/>
            </w:pPr>
            <w:r w:rsidRPr="006B27CC">
              <w:t>0.000000324</w:t>
            </w:r>
          </w:p>
        </w:tc>
        <w:tc>
          <w:tcPr>
            <w:tcW w:w="496" w:type="pct"/>
          </w:tcPr>
          <w:p w14:paraId="321A1216" w14:textId="77777777" w:rsidR="002E474C" w:rsidRPr="006B27CC" w:rsidRDefault="002E474C" w:rsidP="006B27CC">
            <w:pPr>
              <w:pStyle w:val="A-"/>
              <w:spacing w:line="220" w:lineRule="exact"/>
            </w:pPr>
          </w:p>
        </w:tc>
        <w:tc>
          <w:tcPr>
            <w:tcW w:w="341" w:type="pct"/>
          </w:tcPr>
          <w:p w14:paraId="2D349DDA" w14:textId="77777777" w:rsidR="002E474C" w:rsidRPr="006B27CC" w:rsidRDefault="00000000" w:rsidP="006B27CC">
            <w:pPr>
              <w:pStyle w:val="A-"/>
              <w:spacing w:line="220" w:lineRule="exact"/>
            </w:pPr>
            <w:r w:rsidRPr="006B27CC">
              <w:t>1.34</w:t>
            </w:r>
          </w:p>
        </w:tc>
        <w:tc>
          <w:tcPr>
            <w:tcW w:w="371" w:type="pct"/>
          </w:tcPr>
          <w:p w14:paraId="56986F17" w14:textId="77777777" w:rsidR="002E474C" w:rsidRPr="006B27CC" w:rsidRDefault="00000000" w:rsidP="006B27CC">
            <w:pPr>
              <w:pStyle w:val="A-"/>
              <w:spacing w:line="220" w:lineRule="exact"/>
            </w:pPr>
            <w:r w:rsidRPr="006B27CC">
              <w:t>0.058</w:t>
            </w:r>
          </w:p>
        </w:tc>
        <w:tc>
          <w:tcPr>
            <w:tcW w:w="545" w:type="pct"/>
          </w:tcPr>
          <w:p w14:paraId="30EA965B" w14:textId="77777777" w:rsidR="002E474C" w:rsidRPr="006B27CC" w:rsidRDefault="00000000" w:rsidP="006B27CC">
            <w:pPr>
              <w:pStyle w:val="A-"/>
              <w:spacing w:line="220" w:lineRule="exact"/>
            </w:pPr>
            <w:r w:rsidRPr="006B27CC">
              <w:t>84.946</w:t>
            </w:r>
          </w:p>
        </w:tc>
        <w:tc>
          <w:tcPr>
            <w:tcW w:w="295" w:type="pct"/>
          </w:tcPr>
          <w:p w14:paraId="3296E219" w14:textId="77777777" w:rsidR="002E474C" w:rsidRPr="006B27CC" w:rsidRDefault="002E474C" w:rsidP="006B27CC">
            <w:pPr>
              <w:pStyle w:val="A-"/>
              <w:spacing w:line="220" w:lineRule="exact"/>
            </w:pPr>
          </w:p>
        </w:tc>
        <w:tc>
          <w:tcPr>
            <w:tcW w:w="295" w:type="pct"/>
          </w:tcPr>
          <w:p w14:paraId="616CA608" w14:textId="77777777" w:rsidR="002E474C" w:rsidRPr="006B27CC" w:rsidRDefault="00000000" w:rsidP="006B27CC">
            <w:pPr>
              <w:pStyle w:val="A-"/>
              <w:spacing w:line="220" w:lineRule="exact"/>
            </w:pPr>
            <w:r w:rsidRPr="006B27CC">
              <w:t>41.157</w:t>
            </w:r>
          </w:p>
        </w:tc>
        <w:tc>
          <w:tcPr>
            <w:tcW w:w="424" w:type="pct"/>
          </w:tcPr>
          <w:p w14:paraId="202A6FA7" w14:textId="77777777" w:rsidR="002E474C" w:rsidRPr="006B27CC" w:rsidRDefault="00000000" w:rsidP="006B27CC">
            <w:pPr>
              <w:pStyle w:val="A-"/>
              <w:spacing w:line="220" w:lineRule="exact"/>
            </w:pPr>
            <w:r w:rsidRPr="006B27CC">
              <w:t>84.946</w:t>
            </w:r>
          </w:p>
        </w:tc>
        <w:tc>
          <w:tcPr>
            <w:tcW w:w="382" w:type="pct"/>
          </w:tcPr>
          <w:p w14:paraId="170A1EFB" w14:textId="77777777" w:rsidR="002E474C" w:rsidRPr="006B27CC" w:rsidRDefault="00000000" w:rsidP="006B27CC">
            <w:pPr>
              <w:pStyle w:val="A-"/>
              <w:spacing w:line="220" w:lineRule="exact"/>
            </w:pPr>
            <w:r w:rsidRPr="006B27CC">
              <w:t>41.157</w:t>
            </w:r>
          </w:p>
        </w:tc>
        <w:tc>
          <w:tcPr>
            <w:tcW w:w="379" w:type="pct"/>
          </w:tcPr>
          <w:p w14:paraId="7A533755" w14:textId="77777777" w:rsidR="002E474C" w:rsidRPr="006B27CC" w:rsidRDefault="00000000" w:rsidP="006B27CC">
            <w:pPr>
              <w:pStyle w:val="A-"/>
              <w:spacing w:line="220" w:lineRule="exact"/>
            </w:pPr>
            <w:r w:rsidRPr="006B27CC">
              <w:t>19.697</w:t>
            </w:r>
          </w:p>
        </w:tc>
      </w:tr>
      <w:tr w:rsidR="002E474C" w:rsidRPr="006B27CC" w14:paraId="31F4280B" w14:textId="77777777" w:rsidTr="009C3A0E">
        <w:tc>
          <w:tcPr>
            <w:tcW w:w="240" w:type="pct"/>
          </w:tcPr>
          <w:p w14:paraId="4615F5A8" w14:textId="77777777" w:rsidR="002E474C" w:rsidRPr="006B27CC" w:rsidRDefault="00000000" w:rsidP="006B27CC">
            <w:pPr>
              <w:pStyle w:val="A-"/>
              <w:spacing w:line="220" w:lineRule="exact"/>
            </w:pPr>
            <w:proofErr w:type="spellStart"/>
            <w:r w:rsidRPr="006B27CC">
              <w:t>CaO</w:t>
            </w:r>
            <w:proofErr w:type="spellEnd"/>
          </w:p>
        </w:tc>
        <w:tc>
          <w:tcPr>
            <w:tcW w:w="138" w:type="pct"/>
          </w:tcPr>
          <w:p w14:paraId="537E0698" w14:textId="77777777" w:rsidR="002E474C" w:rsidRPr="006B27CC" w:rsidRDefault="00000000" w:rsidP="006B27CC">
            <w:pPr>
              <w:pStyle w:val="A-"/>
              <w:spacing w:line="220" w:lineRule="exact"/>
            </w:pPr>
            <w:r w:rsidRPr="006B27CC">
              <w:t>%</w:t>
            </w:r>
          </w:p>
        </w:tc>
        <w:tc>
          <w:tcPr>
            <w:tcW w:w="330" w:type="pct"/>
          </w:tcPr>
          <w:p w14:paraId="24CFE9E2" w14:textId="77777777" w:rsidR="002E474C" w:rsidRPr="006B27CC" w:rsidRDefault="002E474C" w:rsidP="006B27CC">
            <w:pPr>
              <w:pStyle w:val="A-"/>
              <w:spacing w:line="220" w:lineRule="exact"/>
            </w:pPr>
          </w:p>
        </w:tc>
        <w:tc>
          <w:tcPr>
            <w:tcW w:w="341" w:type="pct"/>
          </w:tcPr>
          <w:p w14:paraId="574C55D2" w14:textId="77777777" w:rsidR="002E474C" w:rsidRPr="006B27CC" w:rsidRDefault="00000000" w:rsidP="006B27CC">
            <w:pPr>
              <w:pStyle w:val="A-"/>
              <w:spacing w:line="220" w:lineRule="exact"/>
            </w:pPr>
            <w:r w:rsidRPr="006B27CC">
              <w:t>8.65</w:t>
            </w:r>
          </w:p>
        </w:tc>
        <w:tc>
          <w:tcPr>
            <w:tcW w:w="424" w:type="pct"/>
          </w:tcPr>
          <w:p w14:paraId="26854783" w14:textId="77777777" w:rsidR="002E474C" w:rsidRPr="006B27CC" w:rsidRDefault="00000000" w:rsidP="006B27CC">
            <w:pPr>
              <w:pStyle w:val="A-"/>
              <w:spacing w:line="220" w:lineRule="exact"/>
            </w:pPr>
            <w:r w:rsidRPr="006B27CC">
              <w:t>12.5</w:t>
            </w:r>
          </w:p>
        </w:tc>
        <w:tc>
          <w:tcPr>
            <w:tcW w:w="496" w:type="pct"/>
          </w:tcPr>
          <w:p w14:paraId="6215277B" w14:textId="77777777" w:rsidR="002E474C" w:rsidRPr="006B27CC" w:rsidRDefault="002E474C" w:rsidP="006B27CC">
            <w:pPr>
              <w:pStyle w:val="A-"/>
              <w:spacing w:line="220" w:lineRule="exact"/>
            </w:pPr>
          </w:p>
        </w:tc>
        <w:tc>
          <w:tcPr>
            <w:tcW w:w="341" w:type="pct"/>
          </w:tcPr>
          <w:p w14:paraId="6098910B" w14:textId="77777777" w:rsidR="002E474C" w:rsidRPr="006B27CC" w:rsidRDefault="00000000" w:rsidP="006B27CC">
            <w:pPr>
              <w:pStyle w:val="A-"/>
              <w:spacing w:line="220" w:lineRule="exact"/>
            </w:pPr>
            <w:r w:rsidRPr="006B27CC">
              <w:t>15.35</w:t>
            </w:r>
          </w:p>
        </w:tc>
        <w:tc>
          <w:tcPr>
            <w:tcW w:w="371" w:type="pct"/>
          </w:tcPr>
          <w:p w14:paraId="58013A65" w14:textId="77777777" w:rsidR="002E474C" w:rsidRPr="006B27CC" w:rsidRDefault="00000000" w:rsidP="006B27CC">
            <w:pPr>
              <w:pStyle w:val="A-"/>
              <w:spacing w:line="220" w:lineRule="exact"/>
            </w:pPr>
            <w:r w:rsidRPr="006B27CC">
              <w:t>0.484</w:t>
            </w:r>
          </w:p>
        </w:tc>
        <w:tc>
          <w:tcPr>
            <w:tcW w:w="545" w:type="pct"/>
          </w:tcPr>
          <w:p w14:paraId="422A2802" w14:textId="77777777" w:rsidR="002E474C" w:rsidRPr="006B27CC" w:rsidRDefault="00000000" w:rsidP="006B27CC">
            <w:pPr>
              <w:pStyle w:val="A-"/>
              <w:spacing w:line="220" w:lineRule="exact"/>
            </w:pPr>
            <w:r w:rsidRPr="006B27CC">
              <w:t>0.135</w:t>
            </w:r>
          </w:p>
        </w:tc>
        <w:tc>
          <w:tcPr>
            <w:tcW w:w="295" w:type="pct"/>
          </w:tcPr>
          <w:p w14:paraId="664D9D1B" w14:textId="77777777" w:rsidR="002E474C" w:rsidRPr="006B27CC" w:rsidRDefault="00000000" w:rsidP="006B27CC">
            <w:pPr>
              <w:pStyle w:val="A-"/>
              <w:spacing w:line="220" w:lineRule="exact"/>
            </w:pPr>
            <w:r w:rsidRPr="006B27CC">
              <w:t>0.232</w:t>
            </w:r>
          </w:p>
        </w:tc>
        <w:tc>
          <w:tcPr>
            <w:tcW w:w="295" w:type="pct"/>
          </w:tcPr>
          <w:p w14:paraId="4A91007B" w14:textId="77777777" w:rsidR="002E474C" w:rsidRPr="006B27CC" w:rsidRDefault="00000000" w:rsidP="006B27CC">
            <w:pPr>
              <w:pStyle w:val="A-"/>
              <w:spacing w:line="220" w:lineRule="exact"/>
            </w:pPr>
            <w:r w:rsidRPr="006B27CC">
              <w:t>6.017</w:t>
            </w:r>
          </w:p>
        </w:tc>
        <w:tc>
          <w:tcPr>
            <w:tcW w:w="424" w:type="pct"/>
          </w:tcPr>
          <w:p w14:paraId="37CC4933" w14:textId="77777777" w:rsidR="002E474C" w:rsidRPr="006B27CC" w:rsidRDefault="00000000" w:rsidP="006B27CC">
            <w:pPr>
              <w:pStyle w:val="A-"/>
              <w:spacing w:line="220" w:lineRule="exact"/>
            </w:pPr>
            <w:r w:rsidRPr="006B27CC">
              <w:t>0.135</w:t>
            </w:r>
          </w:p>
        </w:tc>
        <w:tc>
          <w:tcPr>
            <w:tcW w:w="382" w:type="pct"/>
          </w:tcPr>
          <w:p w14:paraId="3320ED30" w14:textId="77777777" w:rsidR="002E474C" w:rsidRPr="006B27CC" w:rsidRDefault="00000000" w:rsidP="006B27CC">
            <w:pPr>
              <w:pStyle w:val="A-"/>
              <w:spacing w:line="220" w:lineRule="exact"/>
            </w:pPr>
            <w:r w:rsidRPr="006B27CC">
              <w:t>6.017</w:t>
            </w:r>
          </w:p>
        </w:tc>
        <w:tc>
          <w:tcPr>
            <w:tcW w:w="379" w:type="pct"/>
          </w:tcPr>
          <w:p w14:paraId="1138251B" w14:textId="77777777" w:rsidR="002E474C" w:rsidRPr="006B27CC" w:rsidRDefault="00000000" w:rsidP="006B27CC">
            <w:pPr>
              <w:pStyle w:val="A-"/>
              <w:spacing w:line="220" w:lineRule="exact"/>
            </w:pPr>
            <w:r w:rsidRPr="006B27CC">
              <w:t>0.746</w:t>
            </w:r>
          </w:p>
        </w:tc>
      </w:tr>
      <w:tr w:rsidR="002E474C" w:rsidRPr="006B27CC" w14:paraId="5106534A" w14:textId="77777777" w:rsidTr="009C3A0E">
        <w:tc>
          <w:tcPr>
            <w:tcW w:w="240" w:type="pct"/>
          </w:tcPr>
          <w:p w14:paraId="7EB1006A" w14:textId="77777777" w:rsidR="002E474C" w:rsidRPr="006B27CC" w:rsidRDefault="00000000" w:rsidP="006B27CC">
            <w:pPr>
              <w:pStyle w:val="A-"/>
              <w:spacing w:line="220" w:lineRule="exact"/>
            </w:pPr>
            <w:r w:rsidRPr="006B27CC">
              <w:t>F</w:t>
            </w:r>
          </w:p>
        </w:tc>
        <w:tc>
          <w:tcPr>
            <w:tcW w:w="138" w:type="pct"/>
          </w:tcPr>
          <w:p w14:paraId="6769DB37" w14:textId="77777777" w:rsidR="002E474C" w:rsidRPr="006B27CC" w:rsidRDefault="00000000" w:rsidP="006B27CC">
            <w:pPr>
              <w:pStyle w:val="A-"/>
              <w:spacing w:line="220" w:lineRule="exact"/>
            </w:pPr>
            <w:r w:rsidRPr="006B27CC">
              <w:t>%</w:t>
            </w:r>
          </w:p>
        </w:tc>
        <w:tc>
          <w:tcPr>
            <w:tcW w:w="330" w:type="pct"/>
          </w:tcPr>
          <w:p w14:paraId="630BBECB" w14:textId="77777777" w:rsidR="002E474C" w:rsidRPr="006B27CC" w:rsidRDefault="002E474C" w:rsidP="006B27CC">
            <w:pPr>
              <w:pStyle w:val="A-"/>
              <w:spacing w:line="220" w:lineRule="exact"/>
            </w:pPr>
          </w:p>
        </w:tc>
        <w:tc>
          <w:tcPr>
            <w:tcW w:w="341" w:type="pct"/>
          </w:tcPr>
          <w:p w14:paraId="54A36E93" w14:textId="77777777" w:rsidR="002E474C" w:rsidRPr="006B27CC" w:rsidRDefault="00000000" w:rsidP="006B27CC">
            <w:pPr>
              <w:pStyle w:val="A-"/>
              <w:spacing w:line="220" w:lineRule="exact"/>
            </w:pPr>
            <w:r w:rsidRPr="006B27CC">
              <w:t>0.000000273</w:t>
            </w:r>
          </w:p>
        </w:tc>
        <w:tc>
          <w:tcPr>
            <w:tcW w:w="424" w:type="pct"/>
          </w:tcPr>
          <w:p w14:paraId="1CD5EEC5" w14:textId="77777777" w:rsidR="002E474C" w:rsidRPr="006B27CC" w:rsidRDefault="00000000" w:rsidP="006B27CC">
            <w:pPr>
              <w:pStyle w:val="A-"/>
              <w:spacing w:line="220" w:lineRule="exact"/>
            </w:pPr>
            <w:r w:rsidRPr="006B27CC">
              <w:t>0.00000096</w:t>
            </w:r>
          </w:p>
        </w:tc>
        <w:tc>
          <w:tcPr>
            <w:tcW w:w="496" w:type="pct"/>
          </w:tcPr>
          <w:p w14:paraId="5635CE96" w14:textId="77777777" w:rsidR="002E474C" w:rsidRPr="006B27CC" w:rsidRDefault="002E474C" w:rsidP="006B27CC">
            <w:pPr>
              <w:pStyle w:val="A-"/>
              <w:spacing w:line="220" w:lineRule="exact"/>
            </w:pPr>
          </w:p>
        </w:tc>
        <w:tc>
          <w:tcPr>
            <w:tcW w:w="341" w:type="pct"/>
          </w:tcPr>
          <w:p w14:paraId="69433438" w14:textId="77777777" w:rsidR="002E474C" w:rsidRPr="006B27CC" w:rsidRDefault="002E474C" w:rsidP="006B27CC">
            <w:pPr>
              <w:pStyle w:val="A-"/>
              <w:spacing w:line="220" w:lineRule="exact"/>
            </w:pPr>
          </w:p>
        </w:tc>
        <w:tc>
          <w:tcPr>
            <w:tcW w:w="371" w:type="pct"/>
          </w:tcPr>
          <w:p w14:paraId="52373F7B" w14:textId="77777777" w:rsidR="002E474C" w:rsidRPr="006B27CC" w:rsidRDefault="002E474C" w:rsidP="006B27CC">
            <w:pPr>
              <w:pStyle w:val="A-"/>
              <w:spacing w:line="220" w:lineRule="exact"/>
            </w:pPr>
          </w:p>
        </w:tc>
        <w:tc>
          <w:tcPr>
            <w:tcW w:w="545" w:type="pct"/>
          </w:tcPr>
          <w:p w14:paraId="2C8B242E" w14:textId="77777777" w:rsidR="002E474C" w:rsidRPr="006B27CC" w:rsidRDefault="002E474C" w:rsidP="006B27CC">
            <w:pPr>
              <w:pStyle w:val="A-"/>
              <w:spacing w:line="220" w:lineRule="exact"/>
            </w:pPr>
          </w:p>
        </w:tc>
        <w:tc>
          <w:tcPr>
            <w:tcW w:w="295" w:type="pct"/>
          </w:tcPr>
          <w:p w14:paraId="70F7D206" w14:textId="77777777" w:rsidR="002E474C" w:rsidRPr="006B27CC" w:rsidRDefault="002E474C" w:rsidP="006B27CC">
            <w:pPr>
              <w:pStyle w:val="A-"/>
              <w:spacing w:line="220" w:lineRule="exact"/>
            </w:pPr>
          </w:p>
        </w:tc>
        <w:tc>
          <w:tcPr>
            <w:tcW w:w="295" w:type="pct"/>
          </w:tcPr>
          <w:p w14:paraId="6E411DCC" w14:textId="77777777" w:rsidR="002E474C" w:rsidRPr="006B27CC" w:rsidRDefault="00000000" w:rsidP="006B27CC">
            <w:pPr>
              <w:pStyle w:val="A-"/>
              <w:spacing w:line="220" w:lineRule="exact"/>
            </w:pPr>
            <w:r w:rsidRPr="006B27CC">
              <w:t>2.169</w:t>
            </w:r>
          </w:p>
        </w:tc>
        <w:tc>
          <w:tcPr>
            <w:tcW w:w="424" w:type="pct"/>
          </w:tcPr>
          <w:p w14:paraId="5321116C" w14:textId="77777777" w:rsidR="002E474C" w:rsidRPr="006B27CC" w:rsidRDefault="002E474C" w:rsidP="006B27CC">
            <w:pPr>
              <w:pStyle w:val="A-"/>
              <w:spacing w:line="220" w:lineRule="exact"/>
            </w:pPr>
          </w:p>
        </w:tc>
        <w:tc>
          <w:tcPr>
            <w:tcW w:w="382" w:type="pct"/>
          </w:tcPr>
          <w:p w14:paraId="36A62EE2" w14:textId="77777777" w:rsidR="002E474C" w:rsidRPr="006B27CC" w:rsidRDefault="00000000" w:rsidP="006B27CC">
            <w:pPr>
              <w:pStyle w:val="A-"/>
              <w:spacing w:line="220" w:lineRule="exact"/>
            </w:pPr>
            <w:r w:rsidRPr="006B27CC">
              <w:t>2.169</w:t>
            </w:r>
          </w:p>
        </w:tc>
        <w:tc>
          <w:tcPr>
            <w:tcW w:w="379" w:type="pct"/>
          </w:tcPr>
          <w:p w14:paraId="206154FE" w14:textId="77777777" w:rsidR="002E474C" w:rsidRPr="006B27CC" w:rsidRDefault="002E474C" w:rsidP="006B27CC">
            <w:pPr>
              <w:pStyle w:val="A-"/>
              <w:spacing w:line="220" w:lineRule="exact"/>
            </w:pPr>
          </w:p>
        </w:tc>
      </w:tr>
      <w:tr w:rsidR="002E474C" w:rsidRPr="006B27CC" w14:paraId="2872F166" w14:textId="77777777" w:rsidTr="009C3A0E">
        <w:tc>
          <w:tcPr>
            <w:tcW w:w="240" w:type="pct"/>
          </w:tcPr>
          <w:p w14:paraId="7AB60E81" w14:textId="77777777" w:rsidR="002E474C" w:rsidRPr="006B27CC" w:rsidRDefault="00000000" w:rsidP="006B27CC">
            <w:pPr>
              <w:pStyle w:val="A-"/>
              <w:spacing w:line="220" w:lineRule="exact"/>
            </w:pPr>
            <w:r w:rsidRPr="006B27CC">
              <w:t>Cl</w:t>
            </w:r>
          </w:p>
        </w:tc>
        <w:tc>
          <w:tcPr>
            <w:tcW w:w="138" w:type="pct"/>
          </w:tcPr>
          <w:p w14:paraId="355755C9" w14:textId="77777777" w:rsidR="002E474C" w:rsidRPr="006B27CC" w:rsidRDefault="00000000" w:rsidP="006B27CC">
            <w:pPr>
              <w:pStyle w:val="A-"/>
              <w:spacing w:line="220" w:lineRule="exact"/>
            </w:pPr>
            <w:r w:rsidRPr="006B27CC">
              <w:t>%</w:t>
            </w:r>
          </w:p>
        </w:tc>
        <w:tc>
          <w:tcPr>
            <w:tcW w:w="330" w:type="pct"/>
          </w:tcPr>
          <w:p w14:paraId="7282E1A6" w14:textId="77777777" w:rsidR="002E474C" w:rsidRPr="006B27CC" w:rsidRDefault="002E474C" w:rsidP="006B27CC">
            <w:pPr>
              <w:pStyle w:val="A-"/>
              <w:spacing w:line="220" w:lineRule="exact"/>
            </w:pPr>
          </w:p>
        </w:tc>
        <w:tc>
          <w:tcPr>
            <w:tcW w:w="341" w:type="pct"/>
          </w:tcPr>
          <w:p w14:paraId="22179125" w14:textId="77777777" w:rsidR="002E474C" w:rsidRPr="006B27CC" w:rsidRDefault="00000000" w:rsidP="006B27CC">
            <w:pPr>
              <w:pStyle w:val="A-"/>
              <w:spacing w:line="220" w:lineRule="exact"/>
            </w:pPr>
            <w:r w:rsidRPr="006B27CC">
              <w:t>0.00000025</w:t>
            </w:r>
          </w:p>
        </w:tc>
        <w:tc>
          <w:tcPr>
            <w:tcW w:w="424" w:type="pct"/>
          </w:tcPr>
          <w:p w14:paraId="7D280B62" w14:textId="77777777" w:rsidR="002E474C" w:rsidRPr="006B27CC" w:rsidRDefault="00000000" w:rsidP="006B27CC">
            <w:pPr>
              <w:pStyle w:val="A-"/>
              <w:spacing w:line="220" w:lineRule="exact"/>
            </w:pPr>
            <w:r w:rsidRPr="006B27CC">
              <w:t>0.00000096</w:t>
            </w:r>
          </w:p>
        </w:tc>
        <w:tc>
          <w:tcPr>
            <w:tcW w:w="496" w:type="pct"/>
          </w:tcPr>
          <w:p w14:paraId="0449B1BB" w14:textId="77777777" w:rsidR="002E474C" w:rsidRPr="006B27CC" w:rsidRDefault="002E474C" w:rsidP="006B27CC">
            <w:pPr>
              <w:pStyle w:val="A-"/>
              <w:spacing w:line="220" w:lineRule="exact"/>
            </w:pPr>
          </w:p>
        </w:tc>
        <w:tc>
          <w:tcPr>
            <w:tcW w:w="341" w:type="pct"/>
          </w:tcPr>
          <w:p w14:paraId="1A34019E" w14:textId="77777777" w:rsidR="002E474C" w:rsidRPr="006B27CC" w:rsidRDefault="00000000" w:rsidP="006B27CC">
            <w:pPr>
              <w:pStyle w:val="A-"/>
              <w:spacing w:line="220" w:lineRule="exact"/>
            </w:pPr>
            <w:r w:rsidRPr="006B27CC">
              <w:t>0.5</w:t>
            </w:r>
          </w:p>
        </w:tc>
        <w:tc>
          <w:tcPr>
            <w:tcW w:w="371" w:type="pct"/>
          </w:tcPr>
          <w:p w14:paraId="582EC418" w14:textId="77777777" w:rsidR="002E474C" w:rsidRPr="006B27CC" w:rsidRDefault="00000000" w:rsidP="006B27CC">
            <w:pPr>
              <w:pStyle w:val="A-"/>
              <w:spacing w:line="220" w:lineRule="exact"/>
            </w:pPr>
            <w:r w:rsidRPr="006B27CC">
              <w:t>0.157</w:t>
            </w:r>
          </w:p>
        </w:tc>
        <w:tc>
          <w:tcPr>
            <w:tcW w:w="545" w:type="pct"/>
          </w:tcPr>
          <w:p w14:paraId="1525A151" w14:textId="77777777" w:rsidR="002E474C" w:rsidRPr="006B27CC" w:rsidRDefault="00000000" w:rsidP="006B27CC">
            <w:pPr>
              <w:pStyle w:val="A-"/>
              <w:spacing w:line="220" w:lineRule="exact"/>
            </w:pPr>
            <w:r w:rsidRPr="006B27CC">
              <w:t>0.356</w:t>
            </w:r>
          </w:p>
        </w:tc>
        <w:tc>
          <w:tcPr>
            <w:tcW w:w="295" w:type="pct"/>
          </w:tcPr>
          <w:p w14:paraId="5FAA56AC" w14:textId="77777777" w:rsidR="002E474C" w:rsidRPr="006B27CC" w:rsidRDefault="002E474C" w:rsidP="006B27CC">
            <w:pPr>
              <w:pStyle w:val="A-"/>
              <w:spacing w:line="220" w:lineRule="exact"/>
            </w:pPr>
          </w:p>
        </w:tc>
        <w:tc>
          <w:tcPr>
            <w:tcW w:w="295" w:type="pct"/>
          </w:tcPr>
          <w:p w14:paraId="24CBF1CF" w14:textId="77777777" w:rsidR="002E474C" w:rsidRPr="006B27CC" w:rsidRDefault="00000000" w:rsidP="006B27CC">
            <w:pPr>
              <w:pStyle w:val="A-"/>
              <w:spacing w:line="220" w:lineRule="exact"/>
            </w:pPr>
            <w:r w:rsidRPr="006B27CC">
              <w:t>0.709</w:t>
            </w:r>
          </w:p>
        </w:tc>
        <w:tc>
          <w:tcPr>
            <w:tcW w:w="424" w:type="pct"/>
          </w:tcPr>
          <w:p w14:paraId="3F084633" w14:textId="77777777" w:rsidR="002E474C" w:rsidRPr="006B27CC" w:rsidRDefault="00000000" w:rsidP="006B27CC">
            <w:pPr>
              <w:pStyle w:val="A-"/>
              <w:spacing w:line="220" w:lineRule="exact"/>
            </w:pPr>
            <w:r w:rsidRPr="006B27CC">
              <w:t>0.356</w:t>
            </w:r>
          </w:p>
        </w:tc>
        <w:tc>
          <w:tcPr>
            <w:tcW w:w="382" w:type="pct"/>
          </w:tcPr>
          <w:p w14:paraId="3B79EE9D" w14:textId="77777777" w:rsidR="002E474C" w:rsidRPr="006B27CC" w:rsidRDefault="00000000" w:rsidP="006B27CC">
            <w:pPr>
              <w:pStyle w:val="A-"/>
              <w:spacing w:line="220" w:lineRule="exact"/>
            </w:pPr>
            <w:r w:rsidRPr="006B27CC">
              <w:t>0.709</w:t>
            </w:r>
          </w:p>
        </w:tc>
        <w:tc>
          <w:tcPr>
            <w:tcW w:w="379" w:type="pct"/>
          </w:tcPr>
          <w:p w14:paraId="4FC3DFF1" w14:textId="77777777" w:rsidR="002E474C" w:rsidRPr="006B27CC" w:rsidRDefault="00000000" w:rsidP="006B27CC">
            <w:pPr>
              <w:pStyle w:val="A-"/>
              <w:spacing w:line="220" w:lineRule="exact"/>
            </w:pPr>
            <w:r w:rsidRPr="006B27CC">
              <w:t>0.02</w:t>
            </w:r>
          </w:p>
        </w:tc>
      </w:tr>
      <w:tr w:rsidR="002E474C" w:rsidRPr="006B27CC" w14:paraId="7428E27B" w14:textId="77777777" w:rsidTr="009C3A0E">
        <w:tc>
          <w:tcPr>
            <w:tcW w:w="240" w:type="pct"/>
          </w:tcPr>
          <w:p w14:paraId="5CA3AF85" w14:textId="77777777" w:rsidR="002E474C" w:rsidRPr="006B27CC" w:rsidRDefault="00000000" w:rsidP="006B27CC">
            <w:pPr>
              <w:pStyle w:val="A-"/>
              <w:spacing w:line="220" w:lineRule="exact"/>
            </w:pPr>
            <w:r w:rsidRPr="006B27CC">
              <w:t>S</w:t>
            </w:r>
          </w:p>
        </w:tc>
        <w:tc>
          <w:tcPr>
            <w:tcW w:w="138" w:type="pct"/>
          </w:tcPr>
          <w:p w14:paraId="0E915683" w14:textId="77777777" w:rsidR="002E474C" w:rsidRPr="006B27CC" w:rsidRDefault="00000000" w:rsidP="006B27CC">
            <w:pPr>
              <w:pStyle w:val="A-"/>
              <w:spacing w:line="220" w:lineRule="exact"/>
            </w:pPr>
            <w:r w:rsidRPr="006B27CC">
              <w:t>%</w:t>
            </w:r>
          </w:p>
        </w:tc>
        <w:tc>
          <w:tcPr>
            <w:tcW w:w="330" w:type="pct"/>
          </w:tcPr>
          <w:p w14:paraId="78B0A738" w14:textId="77777777" w:rsidR="002E474C" w:rsidRPr="006B27CC" w:rsidRDefault="002E474C" w:rsidP="006B27CC">
            <w:pPr>
              <w:pStyle w:val="A-"/>
              <w:spacing w:line="220" w:lineRule="exact"/>
            </w:pPr>
          </w:p>
        </w:tc>
        <w:tc>
          <w:tcPr>
            <w:tcW w:w="341" w:type="pct"/>
          </w:tcPr>
          <w:p w14:paraId="2C0C020F" w14:textId="77777777" w:rsidR="002E474C" w:rsidRPr="006B27CC" w:rsidRDefault="00000000" w:rsidP="006B27CC">
            <w:pPr>
              <w:pStyle w:val="A-"/>
              <w:spacing w:line="220" w:lineRule="exact"/>
            </w:pPr>
            <w:r w:rsidRPr="006B27CC">
              <w:t>0.038</w:t>
            </w:r>
          </w:p>
        </w:tc>
        <w:tc>
          <w:tcPr>
            <w:tcW w:w="424" w:type="pct"/>
          </w:tcPr>
          <w:p w14:paraId="63B7D6E2" w14:textId="77777777" w:rsidR="002E474C" w:rsidRPr="006B27CC" w:rsidRDefault="00000000" w:rsidP="006B27CC">
            <w:pPr>
              <w:pStyle w:val="A-"/>
              <w:spacing w:line="220" w:lineRule="exact"/>
            </w:pPr>
            <w:r w:rsidRPr="006B27CC">
              <w:t>0.001</w:t>
            </w:r>
          </w:p>
        </w:tc>
        <w:tc>
          <w:tcPr>
            <w:tcW w:w="496" w:type="pct"/>
          </w:tcPr>
          <w:p w14:paraId="1EBB8959" w14:textId="77777777" w:rsidR="002E474C" w:rsidRPr="006B27CC" w:rsidRDefault="002E474C" w:rsidP="006B27CC">
            <w:pPr>
              <w:pStyle w:val="A-"/>
              <w:spacing w:line="220" w:lineRule="exact"/>
            </w:pPr>
          </w:p>
        </w:tc>
        <w:tc>
          <w:tcPr>
            <w:tcW w:w="341" w:type="pct"/>
          </w:tcPr>
          <w:p w14:paraId="1B90EEBB" w14:textId="77777777" w:rsidR="002E474C" w:rsidRPr="006B27CC" w:rsidRDefault="00000000" w:rsidP="006B27CC">
            <w:pPr>
              <w:pStyle w:val="A-"/>
              <w:spacing w:line="220" w:lineRule="exact"/>
            </w:pPr>
            <w:r w:rsidRPr="006B27CC">
              <w:t>4.3</w:t>
            </w:r>
          </w:p>
        </w:tc>
        <w:tc>
          <w:tcPr>
            <w:tcW w:w="371" w:type="pct"/>
          </w:tcPr>
          <w:p w14:paraId="222335C8" w14:textId="77777777" w:rsidR="002E474C" w:rsidRPr="006B27CC" w:rsidRDefault="00000000" w:rsidP="006B27CC">
            <w:pPr>
              <w:pStyle w:val="A-"/>
              <w:spacing w:line="220" w:lineRule="exact"/>
            </w:pPr>
            <w:r w:rsidRPr="006B27CC">
              <w:t>32.584</w:t>
            </w:r>
          </w:p>
        </w:tc>
        <w:tc>
          <w:tcPr>
            <w:tcW w:w="545" w:type="pct"/>
          </w:tcPr>
          <w:p w14:paraId="3BD2F5D3" w14:textId="77777777" w:rsidR="002E474C" w:rsidRPr="006B27CC" w:rsidRDefault="002E474C" w:rsidP="006B27CC">
            <w:pPr>
              <w:pStyle w:val="A-"/>
              <w:spacing w:line="220" w:lineRule="exact"/>
            </w:pPr>
          </w:p>
        </w:tc>
        <w:tc>
          <w:tcPr>
            <w:tcW w:w="295" w:type="pct"/>
          </w:tcPr>
          <w:p w14:paraId="272D7406" w14:textId="77777777" w:rsidR="002E474C" w:rsidRPr="006B27CC" w:rsidRDefault="00000000" w:rsidP="006B27CC">
            <w:pPr>
              <w:pStyle w:val="A-"/>
              <w:spacing w:line="220" w:lineRule="exact"/>
            </w:pPr>
            <w:r w:rsidRPr="006B27CC">
              <w:t>0.206</w:t>
            </w:r>
          </w:p>
        </w:tc>
        <w:tc>
          <w:tcPr>
            <w:tcW w:w="295" w:type="pct"/>
          </w:tcPr>
          <w:p w14:paraId="15C8D1E4" w14:textId="77777777" w:rsidR="002E474C" w:rsidRPr="006B27CC" w:rsidRDefault="00000000" w:rsidP="006B27CC">
            <w:pPr>
              <w:pStyle w:val="A-"/>
              <w:spacing w:line="220" w:lineRule="exact"/>
            </w:pPr>
            <w:r w:rsidRPr="006B27CC">
              <w:t>0.908</w:t>
            </w:r>
          </w:p>
        </w:tc>
        <w:tc>
          <w:tcPr>
            <w:tcW w:w="424" w:type="pct"/>
          </w:tcPr>
          <w:p w14:paraId="5428C4C9" w14:textId="77777777" w:rsidR="002E474C" w:rsidRPr="006B27CC" w:rsidRDefault="002E474C" w:rsidP="006B27CC">
            <w:pPr>
              <w:pStyle w:val="A-"/>
              <w:spacing w:line="220" w:lineRule="exact"/>
            </w:pPr>
          </w:p>
        </w:tc>
        <w:tc>
          <w:tcPr>
            <w:tcW w:w="382" w:type="pct"/>
          </w:tcPr>
          <w:p w14:paraId="3B122C42" w14:textId="77777777" w:rsidR="002E474C" w:rsidRPr="006B27CC" w:rsidRDefault="00000000" w:rsidP="006B27CC">
            <w:pPr>
              <w:pStyle w:val="A-"/>
              <w:spacing w:line="220" w:lineRule="exact"/>
            </w:pPr>
            <w:r w:rsidRPr="006B27CC">
              <w:t>0.908</w:t>
            </w:r>
          </w:p>
        </w:tc>
        <w:tc>
          <w:tcPr>
            <w:tcW w:w="379" w:type="pct"/>
          </w:tcPr>
          <w:p w14:paraId="4338C6A1" w14:textId="77777777" w:rsidR="002E474C" w:rsidRPr="006B27CC" w:rsidRDefault="00000000" w:rsidP="006B27CC">
            <w:pPr>
              <w:pStyle w:val="A-"/>
              <w:spacing w:line="220" w:lineRule="exact"/>
            </w:pPr>
            <w:r w:rsidRPr="006B27CC">
              <w:t>28.848</w:t>
            </w:r>
          </w:p>
        </w:tc>
      </w:tr>
      <w:tr w:rsidR="002E474C" w:rsidRPr="006B27CC" w14:paraId="07CAA335" w14:textId="77777777" w:rsidTr="009C3A0E">
        <w:tc>
          <w:tcPr>
            <w:tcW w:w="240" w:type="pct"/>
          </w:tcPr>
          <w:p w14:paraId="5F857A46" w14:textId="77777777" w:rsidR="002E474C" w:rsidRPr="006B27CC" w:rsidRDefault="00000000" w:rsidP="006B27CC">
            <w:pPr>
              <w:pStyle w:val="A-"/>
              <w:spacing w:line="220" w:lineRule="exact"/>
            </w:pPr>
            <w:r w:rsidRPr="006B27CC">
              <w:t>Cr</w:t>
            </w:r>
          </w:p>
        </w:tc>
        <w:tc>
          <w:tcPr>
            <w:tcW w:w="138" w:type="pct"/>
          </w:tcPr>
          <w:p w14:paraId="1EB0B75C" w14:textId="77777777" w:rsidR="002E474C" w:rsidRPr="006B27CC" w:rsidRDefault="00000000" w:rsidP="006B27CC">
            <w:pPr>
              <w:pStyle w:val="A-"/>
              <w:spacing w:line="220" w:lineRule="exact"/>
            </w:pPr>
            <w:r w:rsidRPr="006B27CC">
              <w:t>%</w:t>
            </w:r>
          </w:p>
        </w:tc>
        <w:tc>
          <w:tcPr>
            <w:tcW w:w="330" w:type="pct"/>
          </w:tcPr>
          <w:p w14:paraId="7C76F56C" w14:textId="77777777" w:rsidR="002E474C" w:rsidRPr="006B27CC" w:rsidRDefault="002E474C" w:rsidP="006B27CC">
            <w:pPr>
              <w:pStyle w:val="A-"/>
              <w:spacing w:line="220" w:lineRule="exact"/>
            </w:pPr>
          </w:p>
        </w:tc>
        <w:tc>
          <w:tcPr>
            <w:tcW w:w="341" w:type="pct"/>
          </w:tcPr>
          <w:p w14:paraId="7AB2287E" w14:textId="77777777" w:rsidR="002E474C" w:rsidRPr="006B27CC" w:rsidRDefault="00000000" w:rsidP="006B27CC">
            <w:pPr>
              <w:pStyle w:val="A-"/>
              <w:spacing w:line="220" w:lineRule="exact"/>
            </w:pPr>
            <w:r w:rsidRPr="006B27CC">
              <w:t>0.00000024</w:t>
            </w:r>
          </w:p>
        </w:tc>
        <w:tc>
          <w:tcPr>
            <w:tcW w:w="424" w:type="pct"/>
          </w:tcPr>
          <w:p w14:paraId="1FC85825" w14:textId="77777777" w:rsidR="002E474C" w:rsidRPr="006B27CC" w:rsidRDefault="00000000" w:rsidP="006B27CC">
            <w:pPr>
              <w:pStyle w:val="A-"/>
              <w:spacing w:line="220" w:lineRule="exact"/>
            </w:pPr>
            <w:r w:rsidRPr="006B27CC">
              <w:t>0.000000003</w:t>
            </w:r>
          </w:p>
        </w:tc>
        <w:tc>
          <w:tcPr>
            <w:tcW w:w="496" w:type="pct"/>
          </w:tcPr>
          <w:p w14:paraId="63EA4C58" w14:textId="77777777" w:rsidR="002E474C" w:rsidRPr="006B27CC" w:rsidRDefault="002E474C" w:rsidP="006B27CC">
            <w:pPr>
              <w:pStyle w:val="A-"/>
              <w:spacing w:line="220" w:lineRule="exact"/>
            </w:pPr>
          </w:p>
        </w:tc>
        <w:tc>
          <w:tcPr>
            <w:tcW w:w="341" w:type="pct"/>
          </w:tcPr>
          <w:p w14:paraId="2E7FC20F" w14:textId="77777777" w:rsidR="002E474C" w:rsidRPr="006B27CC" w:rsidRDefault="00000000" w:rsidP="006B27CC">
            <w:pPr>
              <w:pStyle w:val="A-"/>
              <w:spacing w:line="220" w:lineRule="exact"/>
            </w:pPr>
            <w:r w:rsidRPr="006B27CC">
              <w:t>0.002</w:t>
            </w:r>
          </w:p>
        </w:tc>
        <w:tc>
          <w:tcPr>
            <w:tcW w:w="371" w:type="pct"/>
          </w:tcPr>
          <w:p w14:paraId="7644771D" w14:textId="77777777" w:rsidR="002E474C" w:rsidRPr="006B27CC" w:rsidRDefault="00000000" w:rsidP="006B27CC">
            <w:pPr>
              <w:pStyle w:val="A-"/>
              <w:spacing w:line="220" w:lineRule="exact"/>
            </w:pPr>
            <w:r w:rsidRPr="006B27CC">
              <w:t>23.35</w:t>
            </w:r>
          </w:p>
        </w:tc>
        <w:tc>
          <w:tcPr>
            <w:tcW w:w="545" w:type="pct"/>
          </w:tcPr>
          <w:p w14:paraId="3B9A802F" w14:textId="77777777" w:rsidR="002E474C" w:rsidRPr="006B27CC" w:rsidRDefault="002E474C" w:rsidP="006B27CC">
            <w:pPr>
              <w:pStyle w:val="A-"/>
              <w:spacing w:line="220" w:lineRule="exact"/>
            </w:pPr>
          </w:p>
        </w:tc>
        <w:tc>
          <w:tcPr>
            <w:tcW w:w="295" w:type="pct"/>
          </w:tcPr>
          <w:p w14:paraId="31344D3D" w14:textId="77777777" w:rsidR="002E474C" w:rsidRPr="006B27CC" w:rsidRDefault="002E474C" w:rsidP="006B27CC">
            <w:pPr>
              <w:pStyle w:val="A-"/>
              <w:spacing w:line="220" w:lineRule="exact"/>
            </w:pPr>
          </w:p>
        </w:tc>
        <w:tc>
          <w:tcPr>
            <w:tcW w:w="295" w:type="pct"/>
          </w:tcPr>
          <w:p w14:paraId="3E83DF8C" w14:textId="77777777" w:rsidR="002E474C" w:rsidRPr="006B27CC" w:rsidRDefault="00000000" w:rsidP="006B27CC">
            <w:pPr>
              <w:pStyle w:val="A-"/>
              <w:spacing w:line="220" w:lineRule="exact"/>
            </w:pPr>
            <w:r w:rsidRPr="006B27CC">
              <w:t>0.346</w:t>
            </w:r>
          </w:p>
        </w:tc>
        <w:tc>
          <w:tcPr>
            <w:tcW w:w="424" w:type="pct"/>
          </w:tcPr>
          <w:p w14:paraId="6423D526" w14:textId="77777777" w:rsidR="002E474C" w:rsidRPr="006B27CC" w:rsidRDefault="002E474C" w:rsidP="006B27CC">
            <w:pPr>
              <w:pStyle w:val="A-"/>
              <w:spacing w:line="220" w:lineRule="exact"/>
            </w:pPr>
          </w:p>
        </w:tc>
        <w:tc>
          <w:tcPr>
            <w:tcW w:w="382" w:type="pct"/>
          </w:tcPr>
          <w:p w14:paraId="4DB50419" w14:textId="77777777" w:rsidR="002E474C" w:rsidRPr="006B27CC" w:rsidRDefault="00000000" w:rsidP="006B27CC">
            <w:pPr>
              <w:pStyle w:val="A-"/>
              <w:spacing w:line="220" w:lineRule="exact"/>
            </w:pPr>
            <w:r w:rsidRPr="006B27CC">
              <w:t>0.346</w:t>
            </w:r>
          </w:p>
        </w:tc>
        <w:tc>
          <w:tcPr>
            <w:tcW w:w="379" w:type="pct"/>
          </w:tcPr>
          <w:p w14:paraId="346AFF23" w14:textId="77777777" w:rsidR="002E474C" w:rsidRPr="006B27CC" w:rsidRDefault="00000000" w:rsidP="006B27CC">
            <w:pPr>
              <w:pStyle w:val="A-"/>
              <w:spacing w:line="220" w:lineRule="exact"/>
            </w:pPr>
            <w:r w:rsidRPr="006B27CC">
              <w:t>0.021</w:t>
            </w:r>
          </w:p>
        </w:tc>
      </w:tr>
      <w:tr w:rsidR="002E474C" w:rsidRPr="006B27CC" w14:paraId="35AAF899" w14:textId="77777777" w:rsidTr="009C3A0E">
        <w:tc>
          <w:tcPr>
            <w:tcW w:w="240" w:type="pct"/>
          </w:tcPr>
          <w:p w14:paraId="03E3D24B" w14:textId="77777777" w:rsidR="002E474C" w:rsidRPr="006B27CC" w:rsidRDefault="00000000" w:rsidP="006B27CC">
            <w:pPr>
              <w:pStyle w:val="A-"/>
              <w:spacing w:line="220" w:lineRule="exact"/>
            </w:pPr>
            <w:r w:rsidRPr="006B27CC">
              <w:t>Cu</w:t>
            </w:r>
          </w:p>
        </w:tc>
        <w:tc>
          <w:tcPr>
            <w:tcW w:w="138" w:type="pct"/>
          </w:tcPr>
          <w:p w14:paraId="560736E6" w14:textId="77777777" w:rsidR="002E474C" w:rsidRPr="006B27CC" w:rsidRDefault="00000000" w:rsidP="006B27CC">
            <w:pPr>
              <w:pStyle w:val="A-"/>
              <w:spacing w:line="220" w:lineRule="exact"/>
            </w:pPr>
            <w:r w:rsidRPr="006B27CC">
              <w:t>%</w:t>
            </w:r>
          </w:p>
        </w:tc>
        <w:tc>
          <w:tcPr>
            <w:tcW w:w="330" w:type="pct"/>
          </w:tcPr>
          <w:p w14:paraId="6DD20379" w14:textId="77777777" w:rsidR="002E474C" w:rsidRPr="006B27CC" w:rsidRDefault="002E474C" w:rsidP="006B27CC">
            <w:pPr>
              <w:pStyle w:val="A-"/>
              <w:spacing w:line="220" w:lineRule="exact"/>
            </w:pPr>
          </w:p>
        </w:tc>
        <w:tc>
          <w:tcPr>
            <w:tcW w:w="341" w:type="pct"/>
          </w:tcPr>
          <w:p w14:paraId="2CDC24B5" w14:textId="77777777" w:rsidR="002E474C" w:rsidRPr="006B27CC" w:rsidRDefault="00000000" w:rsidP="006B27CC">
            <w:pPr>
              <w:pStyle w:val="A-"/>
              <w:spacing w:line="220" w:lineRule="exact"/>
            </w:pPr>
            <w:r w:rsidRPr="006B27CC">
              <w:t>0.000001364</w:t>
            </w:r>
          </w:p>
        </w:tc>
        <w:tc>
          <w:tcPr>
            <w:tcW w:w="424" w:type="pct"/>
          </w:tcPr>
          <w:p w14:paraId="1478EF06" w14:textId="77777777" w:rsidR="002E474C" w:rsidRPr="006B27CC" w:rsidRDefault="00000000" w:rsidP="006B27CC">
            <w:pPr>
              <w:pStyle w:val="A-"/>
              <w:spacing w:line="220" w:lineRule="exact"/>
            </w:pPr>
            <w:r w:rsidRPr="006B27CC">
              <w:t>0.0000075</w:t>
            </w:r>
          </w:p>
        </w:tc>
        <w:tc>
          <w:tcPr>
            <w:tcW w:w="496" w:type="pct"/>
          </w:tcPr>
          <w:p w14:paraId="7E7686A7" w14:textId="77777777" w:rsidR="002E474C" w:rsidRPr="006B27CC" w:rsidRDefault="002E474C" w:rsidP="006B27CC">
            <w:pPr>
              <w:pStyle w:val="A-"/>
              <w:spacing w:line="220" w:lineRule="exact"/>
            </w:pPr>
          </w:p>
        </w:tc>
        <w:tc>
          <w:tcPr>
            <w:tcW w:w="341" w:type="pct"/>
          </w:tcPr>
          <w:p w14:paraId="2418ADD4" w14:textId="77777777" w:rsidR="002E474C" w:rsidRPr="006B27CC" w:rsidRDefault="00000000" w:rsidP="006B27CC">
            <w:pPr>
              <w:pStyle w:val="A-"/>
              <w:spacing w:line="220" w:lineRule="exact"/>
            </w:pPr>
            <w:r w:rsidRPr="006B27CC">
              <w:t>0.02</w:t>
            </w:r>
          </w:p>
        </w:tc>
        <w:tc>
          <w:tcPr>
            <w:tcW w:w="371" w:type="pct"/>
          </w:tcPr>
          <w:p w14:paraId="61D16CEA" w14:textId="77777777" w:rsidR="002E474C" w:rsidRPr="006B27CC" w:rsidRDefault="002E474C" w:rsidP="006B27CC">
            <w:pPr>
              <w:pStyle w:val="A-"/>
              <w:spacing w:line="220" w:lineRule="exact"/>
            </w:pPr>
          </w:p>
        </w:tc>
        <w:tc>
          <w:tcPr>
            <w:tcW w:w="545" w:type="pct"/>
          </w:tcPr>
          <w:p w14:paraId="3A4C311D" w14:textId="77777777" w:rsidR="002E474C" w:rsidRPr="006B27CC" w:rsidRDefault="00000000" w:rsidP="006B27CC">
            <w:pPr>
              <w:pStyle w:val="A-"/>
              <w:spacing w:line="220" w:lineRule="exact"/>
            </w:pPr>
            <w:r w:rsidRPr="006B27CC">
              <w:t>6.458</w:t>
            </w:r>
          </w:p>
        </w:tc>
        <w:tc>
          <w:tcPr>
            <w:tcW w:w="295" w:type="pct"/>
          </w:tcPr>
          <w:p w14:paraId="1804F2CA" w14:textId="77777777" w:rsidR="002E474C" w:rsidRPr="006B27CC" w:rsidRDefault="002E474C" w:rsidP="006B27CC">
            <w:pPr>
              <w:pStyle w:val="A-"/>
              <w:spacing w:line="220" w:lineRule="exact"/>
            </w:pPr>
          </w:p>
        </w:tc>
        <w:tc>
          <w:tcPr>
            <w:tcW w:w="295" w:type="pct"/>
          </w:tcPr>
          <w:p w14:paraId="10E2ED47" w14:textId="77777777" w:rsidR="002E474C" w:rsidRPr="006B27CC" w:rsidRDefault="00000000" w:rsidP="006B27CC">
            <w:pPr>
              <w:pStyle w:val="A-"/>
              <w:spacing w:line="220" w:lineRule="exact"/>
            </w:pPr>
            <w:r w:rsidRPr="006B27CC">
              <w:t>23.066</w:t>
            </w:r>
          </w:p>
        </w:tc>
        <w:tc>
          <w:tcPr>
            <w:tcW w:w="424" w:type="pct"/>
          </w:tcPr>
          <w:p w14:paraId="6CB5719D" w14:textId="77777777" w:rsidR="002E474C" w:rsidRPr="006B27CC" w:rsidRDefault="00000000" w:rsidP="006B27CC">
            <w:pPr>
              <w:pStyle w:val="A-"/>
              <w:spacing w:line="220" w:lineRule="exact"/>
            </w:pPr>
            <w:r w:rsidRPr="006B27CC">
              <w:t>6.458</w:t>
            </w:r>
          </w:p>
        </w:tc>
        <w:tc>
          <w:tcPr>
            <w:tcW w:w="382" w:type="pct"/>
          </w:tcPr>
          <w:p w14:paraId="07D4966A" w14:textId="77777777" w:rsidR="002E474C" w:rsidRPr="006B27CC" w:rsidRDefault="00000000" w:rsidP="006B27CC">
            <w:pPr>
              <w:pStyle w:val="A-"/>
              <w:spacing w:line="220" w:lineRule="exact"/>
            </w:pPr>
            <w:r w:rsidRPr="006B27CC">
              <w:t>23.066</w:t>
            </w:r>
          </w:p>
        </w:tc>
        <w:tc>
          <w:tcPr>
            <w:tcW w:w="379" w:type="pct"/>
          </w:tcPr>
          <w:p w14:paraId="019B1616" w14:textId="77777777" w:rsidR="002E474C" w:rsidRPr="006B27CC" w:rsidRDefault="00000000" w:rsidP="006B27CC">
            <w:pPr>
              <w:pStyle w:val="A-"/>
              <w:spacing w:line="220" w:lineRule="exact"/>
            </w:pPr>
            <w:r w:rsidRPr="006B27CC">
              <w:t>0.113</w:t>
            </w:r>
          </w:p>
        </w:tc>
      </w:tr>
      <w:tr w:rsidR="002E474C" w:rsidRPr="006B27CC" w14:paraId="05B40B79" w14:textId="77777777" w:rsidTr="009C3A0E">
        <w:tc>
          <w:tcPr>
            <w:tcW w:w="240" w:type="pct"/>
          </w:tcPr>
          <w:p w14:paraId="7B0FDEAB" w14:textId="77777777" w:rsidR="002E474C" w:rsidRPr="006B27CC" w:rsidRDefault="00000000" w:rsidP="006B27CC">
            <w:pPr>
              <w:pStyle w:val="A-"/>
              <w:spacing w:line="220" w:lineRule="exact"/>
            </w:pPr>
            <w:r w:rsidRPr="006B27CC">
              <w:t>Zn</w:t>
            </w:r>
          </w:p>
        </w:tc>
        <w:tc>
          <w:tcPr>
            <w:tcW w:w="138" w:type="pct"/>
          </w:tcPr>
          <w:p w14:paraId="2ADE50AA" w14:textId="77777777" w:rsidR="002E474C" w:rsidRPr="006B27CC" w:rsidRDefault="00000000" w:rsidP="006B27CC">
            <w:pPr>
              <w:pStyle w:val="A-"/>
              <w:spacing w:line="220" w:lineRule="exact"/>
            </w:pPr>
            <w:r w:rsidRPr="006B27CC">
              <w:t>%</w:t>
            </w:r>
          </w:p>
        </w:tc>
        <w:tc>
          <w:tcPr>
            <w:tcW w:w="330" w:type="pct"/>
          </w:tcPr>
          <w:p w14:paraId="2DC95E0E" w14:textId="77777777" w:rsidR="002E474C" w:rsidRPr="006B27CC" w:rsidRDefault="002E474C" w:rsidP="006B27CC">
            <w:pPr>
              <w:pStyle w:val="A-"/>
              <w:spacing w:line="220" w:lineRule="exact"/>
            </w:pPr>
          </w:p>
        </w:tc>
        <w:tc>
          <w:tcPr>
            <w:tcW w:w="341" w:type="pct"/>
          </w:tcPr>
          <w:p w14:paraId="2129FFD4" w14:textId="77777777" w:rsidR="002E474C" w:rsidRPr="006B27CC" w:rsidRDefault="00000000" w:rsidP="006B27CC">
            <w:pPr>
              <w:pStyle w:val="A-"/>
              <w:spacing w:line="220" w:lineRule="exact"/>
            </w:pPr>
            <w:r w:rsidRPr="006B27CC">
              <w:t>0.00000306</w:t>
            </w:r>
          </w:p>
        </w:tc>
        <w:tc>
          <w:tcPr>
            <w:tcW w:w="424" w:type="pct"/>
          </w:tcPr>
          <w:p w14:paraId="63481918" w14:textId="77777777" w:rsidR="002E474C" w:rsidRPr="006B27CC" w:rsidRDefault="00000000" w:rsidP="006B27CC">
            <w:pPr>
              <w:pStyle w:val="A-"/>
              <w:spacing w:line="220" w:lineRule="exact"/>
            </w:pPr>
            <w:r w:rsidRPr="006B27CC">
              <w:t>0.0000093</w:t>
            </w:r>
          </w:p>
        </w:tc>
        <w:tc>
          <w:tcPr>
            <w:tcW w:w="496" w:type="pct"/>
          </w:tcPr>
          <w:p w14:paraId="5FF78695" w14:textId="77777777" w:rsidR="002E474C" w:rsidRPr="006B27CC" w:rsidRDefault="002E474C" w:rsidP="006B27CC">
            <w:pPr>
              <w:pStyle w:val="A-"/>
              <w:spacing w:line="220" w:lineRule="exact"/>
            </w:pPr>
          </w:p>
        </w:tc>
        <w:tc>
          <w:tcPr>
            <w:tcW w:w="341" w:type="pct"/>
          </w:tcPr>
          <w:p w14:paraId="35F2EC4E" w14:textId="77777777" w:rsidR="002E474C" w:rsidRPr="006B27CC" w:rsidRDefault="00000000" w:rsidP="006B27CC">
            <w:pPr>
              <w:pStyle w:val="A-"/>
              <w:spacing w:line="220" w:lineRule="exact"/>
            </w:pPr>
            <w:r w:rsidRPr="006B27CC">
              <w:t>0.00013</w:t>
            </w:r>
          </w:p>
        </w:tc>
        <w:tc>
          <w:tcPr>
            <w:tcW w:w="371" w:type="pct"/>
          </w:tcPr>
          <w:p w14:paraId="43602E93" w14:textId="77777777" w:rsidR="002E474C" w:rsidRPr="006B27CC" w:rsidRDefault="00000000" w:rsidP="006B27CC">
            <w:pPr>
              <w:pStyle w:val="A-"/>
              <w:spacing w:line="220" w:lineRule="exact"/>
            </w:pPr>
            <w:r w:rsidRPr="006B27CC">
              <w:t>0.035</w:t>
            </w:r>
          </w:p>
        </w:tc>
        <w:tc>
          <w:tcPr>
            <w:tcW w:w="545" w:type="pct"/>
          </w:tcPr>
          <w:p w14:paraId="5BE786C1" w14:textId="77777777" w:rsidR="002E474C" w:rsidRPr="006B27CC" w:rsidRDefault="00000000" w:rsidP="006B27CC">
            <w:pPr>
              <w:pStyle w:val="A-"/>
              <w:spacing w:line="220" w:lineRule="exact"/>
            </w:pPr>
            <w:r w:rsidRPr="006B27CC">
              <w:t>0.139</w:t>
            </w:r>
          </w:p>
        </w:tc>
        <w:tc>
          <w:tcPr>
            <w:tcW w:w="295" w:type="pct"/>
          </w:tcPr>
          <w:p w14:paraId="5C2993A5" w14:textId="77777777" w:rsidR="002E474C" w:rsidRPr="006B27CC" w:rsidRDefault="00000000" w:rsidP="006B27CC">
            <w:pPr>
              <w:pStyle w:val="A-"/>
              <w:spacing w:line="220" w:lineRule="exact"/>
            </w:pPr>
            <w:r w:rsidRPr="006B27CC">
              <w:t>97.085</w:t>
            </w:r>
          </w:p>
        </w:tc>
        <w:tc>
          <w:tcPr>
            <w:tcW w:w="295" w:type="pct"/>
          </w:tcPr>
          <w:p w14:paraId="4212129C" w14:textId="77777777" w:rsidR="002E474C" w:rsidRPr="006B27CC" w:rsidRDefault="00000000" w:rsidP="006B27CC">
            <w:pPr>
              <w:pStyle w:val="A-"/>
              <w:spacing w:line="220" w:lineRule="exact"/>
            </w:pPr>
            <w:r w:rsidRPr="006B27CC">
              <w:t>0.278</w:t>
            </w:r>
          </w:p>
        </w:tc>
        <w:tc>
          <w:tcPr>
            <w:tcW w:w="424" w:type="pct"/>
          </w:tcPr>
          <w:p w14:paraId="4A60B334" w14:textId="77777777" w:rsidR="002E474C" w:rsidRPr="006B27CC" w:rsidRDefault="00000000" w:rsidP="006B27CC">
            <w:pPr>
              <w:pStyle w:val="A-"/>
              <w:spacing w:line="220" w:lineRule="exact"/>
            </w:pPr>
            <w:r w:rsidRPr="006B27CC">
              <w:t>0.139</w:t>
            </w:r>
          </w:p>
        </w:tc>
        <w:tc>
          <w:tcPr>
            <w:tcW w:w="382" w:type="pct"/>
          </w:tcPr>
          <w:p w14:paraId="7AC7A522" w14:textId="77777777" w:rsidR="002E474C" w:rsidRPr="006B27CC" w:rsidRDefault="00000000" w:rsidP="006B27CC">
            <w:pPr>
              <w:pStyle w:val="A-"/>
              <w:spacing w:line="220" w:lineRule="exact"/>
            </w:pPr>
            <w:r w:rsidRPr="006B27CC">
              <w:t>0.278</w:t>
            </w:r>
          </w:p>
        </w:tc>
        <w:tc>
          <w:tcPr>
            <w:tcW w:w="379" w:type="pct"/>
          </w:tcPr>
          <w:p w14:paraId="581701FC" w14:textId="77777777" w:rsidR="002E474C" w:rsidRPr="006B27CC" w:rsidRDefault="00000000" w:rsidP="006B27CC">
            <w:pPr>
              <w:pStyle w:val="A-"/>
              <w:spacing w:line="220" w:lineRule="exact"/>
            </w:pPr>
            <w:r w:rsidRPr="006B27CC">
              <w:t>0.273</w:t>
            </w:r>
          </w:p>
        </w:tc>
      </w:tr>
      <w:tr w:rsidR="002E474C" w:rsidRPr="006B27CC" w14:paraId="1FF301E2" w14:textId="77777777" w:rsidTr="009C3A0E">
        <w:tc>
          <w:tcPr>
            <w:tcW w:w="240" w:type="pct"/>
          </w:tcPr>
          <w:p w14:paraId="6728DC26" w14:textId="77777777" w:rsidR="002E474C" w:rsidRPr="006B27CC" w:rsidRDefault="00000000" w:rsidP="006B27CC">
            <w:pPr>
              <w:pStyle w:val="A-"/>
              <w:spacing w:line="220" w:lineRule="exact"/>
            </w:pPr>
            <w:r w:rsidRPr="006B27CC">
              <w:t>Cd</w:t>
            </w:r>
          </w:p>
        </w:tc>
        <w:tc>
          <w:tcPr>
            <w:tcW w:w="138" w:type="pct"/>
          </w:tcPr>
          <w:p w14:paraId="25928AAD" w14:textId="77777777" w:rsidR="002E474C" w:rsidRPr="006B27CC" w:rsidRDefault="00000000" w:rsidP="006B27CC">
            <w:pPr>
              <w:pStyle w:val="A-"/>
              <w:spacing w:line="220" w:lineRule="exact"/>
            </w:pPr>
            <w:r w:rsidRPr="006B27CC">
              <w:t>%</w:t>
            </w:r>
          </w:p>
        </w:tc>
        <w:tc>
          <w:tcPr>
            <w:tcW w:w="330" w:type="pct"/>
          </w:tcPr>
          <w:p w14:paraId="01DEE5C5" w14:textId="77777777" w:rsidR="002E474C" w:rsidRPr="006B27CC" w:rsidRDefault="002E474C" w:rsidP="006B27CC">
            <w:pPr>
              <w:pStyle w:val="A-"/>
              <w:spacing w:line="220" w:lineRule="exact"/>
            </w:pPr>
          </w:p>
        </w:tc>
        <w:tc>
          <w:tcPr>
            <w:tcW w:w="341" w:type="pct"/>
          </w:tcPr>
          <w:p w14:paraId="5F215EA7" w14:textId="77777777" w:rsidR="002E474C" w:rsidRPr="006B27CC" w:rsidRDefault="002E474C" w:rsidP="006B27CC">
            <w:pPr>
              <w:pStyle w:val="A-"/>
              <w:spacing w:line="220" w:lineRule="exact"/>
            </w:pPr>
          </w:p>
        </w:tc>
        <w:tc>
          <w:tcPr>
            <w:tcW w:w="424" w:type="pct"/>
          </w:tcPr>
          <w:p w14:paraId="1E390D55" w14:textId="77777777" w:rsidR="002E474C" w:rsidRPr="006B27CC" w:rsidRDefault="00000000" w:rsidP="006B27CC">
            <w:pPr>
              <w:pStyle w:val="A-"/>
              <w:spacing w:line="220" w:lineRule="exact"/>
            </w:pPr>
            <w:r w:rsidRPr="006B27CC">
              <w:t>0.00000194</w:t>
            </w:r>
          </w:p>
        </w:tc>
        <w:tc>
          <w:tcPr>
            <w:tcW w:w="496" w:type="pct"/>
          </w:tcPr>
          <w:p w14:paraId="0DC12623" w14:textId="77777777" w:rsidR="002E474C" w:rsidRPr="006B27CC" w:rsidRDefault="002E474C" w:rsidP="006B27CC">
            <w:pPr>
              <w:pStyle w:val="A-"/>
              <w:spacing w:line="220" w:lineRule="exact"/>
            </w:pPr>
          </w:p>
        </w:tc>
        <w:tc>
          <w:tcPr>
            <w:tcW w:w="341" w:type="pct"/>
          </w:tcPr>
          <w:p w14:paraId="45E0BF4B" w14:textId="77777777" w:rsidR="002E474C" w:rsidRPr="006B27CC" w:rsidRDefault="00000000" w:rsidP="006B27CC">
            <w:pPr>
              <w:pStyle w:val="A-"/>
              <w:spacing w:line="220" w:lineRule="exact"/>
            </w:pPr>
            <w:r w:rsidRPr="006B27CC">
              <w:t>0.0019</w:t>
            </w:r>
          </w:p>
        </w:tc>
        <w:tc>
          <w:tcPr>
            <w:tcW w:w="371" w:type="pct"/>
          </w:tcPr>
          <w:p w14:paraId="5A176B06" w14:textId="77777777" w:rsidR="002E474C" w:rsidRPr="006B27CC" w:rsidRDefault="002E474C" w:rsidP="006B27CC">
            <w:pPr>
              <w:pStyle w:val="A-"/>
              <w:spacing w:line="220" w:lineRule="exact"/>
            </w:pPr>
          </w:p>
        </w:tc>
        <w:tc>
          <w:tcPr>
            <w:tcW w:w="545" w:type="pct"/>
          </w:tcPr>
          <w:p w14:paraId="4F71A9A8" w14:textId="77777777" w:rsidR="002E474C" w:rsidRPr="006B27CC" w:rsidRDefault="002E474C" w:rsidP="006B27CC">
            <w:pPr>
              <w:pStyle w:val="A-"/>
              <w:spacing w:line="220" w:lineRule="exact"/>
            </w:pPr>
          </w:p>
        </w:tc>
        <w:tc>
          <w:tcPr>
            <w:tcW w:w="295" w:type="pct"/>
          </w:tcPr>
          <w:p w14:paraId="5686821F" w14:textId="77777777" w:rsidR="002E474C" w:rsidRPr="006B27CC" w:rsidRDefault="002E474C" w:rsidP="006B27CC">
            <w:pPr>
              <w:pStyle w:val="A-"/>
              <w:spacing w:line="220" w:lineRule="exact"/>
            </w:pPr>
          </w:p>
        </w:tc>
        <w:tc>
          <w:tcPr>
            <w:tcW w:w="295" w:type="pct"/>
          </w:tcPr>
          <w:p w14:paraId="013AD547" w14:textId="77777777" w:rsidR="002E474C" w:rsidRPr="006B27CC" w:rsidRDefault="002E474C" w:rsidP="006B27CC">
            <w:pPr>
              <w:pStyle w:val="A-"/>
              <w:spacing w:line="220" w:lineRule="exact"/>
            </w:pPr>
          </w:p>
        </w:tc>
        <w:tc>
          <w:tcPr>
            <w:tcW w:w="424" w:type="pct"/>
          </w:tcPr>
          <w:p w14:paraId="4914BB7E" w14:textId="77777777" w:rsidR="002E474C" w:rsidRPr="006B27CC" w:rsidRDefault="002E474C" w:rsidP="006B27CC">
            <w:pPr>
              <w:pStyle w:val="A-"/>
              <w:spacing w:line="220" w:lineRule="exact"/>
            </w:pPr>
          </w:p>
        </w:tc>
        <w:tc>
          <w:tcPr>
            <w:tcW w:w="382" w:type="pct"/>
          </w:tcPr>
          <w:p w14:paraId="3B699B2E" w14:textId="77777777" w:rsidR="002E474C" w:rsidRPr="006B27CC" w:rsidRDefault="002E474C" w:rsidP="006B27CC">
            <w:pPr>
              <w:pStyle w:val="A-"/>
              <w:spacing w:line="220" w:lineRule="exact"/>
            </w:pPr>
          </w:p>
        </w:tc>
        <w:tc>
          <w:tcPr>
            <w:tcW w:w="379" w:type="pct"/>
          </w:tcPr>
          <w:p w14:paraId="5D7300D0" w14:textId="77777777" w:rsidR="002E474C" w:rsidRPr="006B27CC" w:rsidRDefault="002E474C" w:rsidP="006B27CC">
            <w:pPr>
              <w:pStyle w:val="A-"/>
              <w:spacing w:line="220" w:lineRule="exact"/>
            </w:pPr>
          </w:p>
        </w:tc>
      </w:tr>
      <w:tr w:rsidR="002E474C" w:rsidRPr="006B27CC" w14:paraId="0F6527A2" w14:textId="77777777" w:rsidTr="009C3A0E">
        <w:tc>
          <w:tcPr>
            <w:tcW w:w="240" w:type="pct"/>
          </w:tcPr>
          <w:p w14:paraId="489BF82B" w14:textId="77777777" w:rsidR="002E474C" w:rsidRPr="006B27CC" w:rsidRDefault="00000000" w:rsidP="006B27CC">
            <w:pPr>
              <w:pStyle w:val="A-"/>
              <w:spacing w:line="220" w:lineRule="exact"/>
            </w:pPr>
            <w:r w:rsidRPr="006B27CC">
              <w:t>Pb</w:t>
            </w:r>
          </w:p>
        </w:tc>
        <w:tc>
          <w:tcPr>
            <w:tcW w:w="138" w:type="pct"/>
          </w:tcPr>
          <w:p w14:paraId="228C64E3" w14:textId="77777777" w:rsidR="002E474C" w:rsidRPr="006B27CC" w:rsidRDefault="00000000" w:rsidP="006B27CC">
            <w:pPr>
              <w:pStyle w:val="A-"/>
              <w:spacing w:line="220" w:lineRule="exact"/>
            </w:pPr>
            <w:r w:rsidRPr="006B27CC">
              <w:t>%</w:t>
            </w:r>
          </w:p>
        </w:tc>
        <w:tc>
          <w:tcPr>
            <w:tcW w:w="330" w:type="pct"/>
          </w:tcPr>
          <w:p w14:paraId="7F071514" w14:textId="77777777" w:rsidR="002E474C" w:rsidRPr="006B27CC" w:rsidRDefault="002E474C" w:rsidP="006B27CC">
            <w:pPr>
              <w:pStyle w:val="A-"/>
              <w:spacing w:line="220" w:lineRule="exact"/>
            </w:pPr>
          </w:p>
        </w:tc>
        <w:tc>
          <w:tcPr>
            <w:tcW w:w="341" w:type="pct"/>
          </w:tcPr>
          <w:p w14:paraId="4DC09E72" w14:textId="77777777" w:rsidR="002E474C" w:rsidRPr="006B27CC" w:rsidRDefault="00000000" w:rsidP="006B27CC">
            <w:pPr>
              <w:pStyle w:val="A-"/>
              <w:spacing w:line="220" w:lineRule="exact"/>
            </w:pPr>
            <w:r w:rsidRPr="006B27CC">
              <w:t>0.000000072</w:t>
            </w:r>
          </w:p>
        </w:tc>
        <w:tc>
          <w:tcPr>
            <w:tcW w:w="424" w:type="pct"/>
          </w:tcPr>
          <w:p w14:paraId="718B50C1" w14:textId="77777777" w:rsidR="002E474C" w:rsidRPr="006B27CC" w:rsidRDefault="00000000" w:rsidP="006B27CC">
            <w:pPr>
              <w:pStyle w:val="A-"/>
              <w:spacing w:line="220" w:lineRule="exact"/>
            </w:pPr>
            <w:r w:rsidRPr="006B27CC">
              <w:t>0.000000047</w:t>
            </w:r>
          </w:p>
        </w:tc>
        <w:tc>
          <w:tcPr>
            <w:tcW w:w="496" w:type="pct"/>
          </w:tcPr>
          <w:p w14:paraId="08A5F80C" w14:textId="77777777" w:rsidR="002E474C" w:rsidRPr="006B27CC" w:rsidRDefault="002E474C" w:rsidP="006B27CC">
            <w:pPr>
              <w:pStyle w:val="A-"/>
              <w:spacing w:line="220" w:lineRule="exact"/>
            </w:pPr>
          </w:p>
        </w:tc>
        <w:tc>
          <w:tcPr>
            <w:tcW w:w="341" w:type="pct"/>
          </w:tcPr>
          <w:p w14:paraId="6229A89E" w14:textId="77777777" w:rsidR="002E474C" w:rsidRPr="006B27CC" w:rsidRDefault="00000000" w:rsidP="006B27CC">
            <w:pPr>
              <w:pStyle w:val="A-"/>
              <w:spacing w:line="220" w:lineRule="exact"/>
            </w:pPr>
            <w:r w:rsidRPr="006B27CC">
              <w:t>0.0024</w:t>
            </w:r>
          </w:p>
        </w:tc>
        <w:tc>
          <w:tcPr>
            <w:tcW w:w="371" w:type="pct"/>
          </w:tcPr>
          <w:p w14:paraId="7336A171" w14:textId="77777777" w:rsidR="002E474C" w:rsidRPr="006B27CC" w:rsidRDefault="002E474C" w:rsidP="006B27CC">
            <w:pPr>
              <w:pStyle w:val="A-"/>
              <w:spacing w:line="220" w:lineRule="exact"/>
            </w:pPr>
          </w:p>
        </w:tc>
        <w:tc>
          <w:tcPr>
            <w:tcW w:w="545" w:type="pct"/>
          </w:tcPr>
          <w:p w14:paraId="11DC6969" w14:textId="77777777" w:rsidR="002E474C" w:rsidRPr="006B27CC" w:rsidRDefault="00000000" w:rsidP="006B27CC">
            <w:pPr>
              <w:pStyle w:val="A-"/>
              <w:spacing w:line="220" w:lineRule="exact"/>
            </w:pPr>
            <w:r w:rsidRPr="006B27CC">
              <w:t>0.039</w:t>
            </w:r>
          </w:p>
        </w:tc>
        <w:tc>
          <w:tcPr>
            <w:tcW w:w="295" w:type="pct"/>
          </w:tcPr>
          <w:p w14:paraId="4FC49046" w14:textId="77777777" w:rsidR="002E474C" w:rsidRPr="006B27CC" w:rsidRDefault="002E474C" w:rsidP="006B27CC">
            <w:pPr>
              <w:pStyle w:val="A-"/>
              <w:spacing w:line="220" w:lineRule="exact"/>
            </w:pPr>
          </w:p>
        </w:tc>
        <w:tc>
          <w:tcPr>
            <w:tcW w:w="295" w:type="pct"/>
          </w:tcPr>
          <w:p w14:paraId="42DFB0EF" w14:textId="77777777" w:rsidR="002E474C" w:rsidRPr="006B27CC" w:rsidRDefault="002E474C" w:rsidP="006B27CC">
            <w:pPr>
              <w:pStyle w:val="A-"/>
              <w:spacing w:line="220" w:lineRule="exact"/>
            </w:pPr>
          </w:p>
        </w:tc>
        <w:tc>
          <w:tcPr>
            <w:tcW w:w="424" w:type="pct"/>
          </w:tcPr>
          <w:p w14:paraId="1A93A30F" w14:textId="77777777" w:rsidR="002E474C" w:rsidRPr="006B27CC" w:rsidRDefault="00000000" w:rsidP="006B27CC">
            <w:pPr>
              <w:pStyle w:val="A-"/>
              <w:spacing w:line="220" w:lineRule="exact"/>
            </w:pPr>
            <w:r w:rsidRPr="006B27CC">
              <w:t>0.039</w:t>
            </w:r>
          </w:p>
        </w:tc>
        <w:tc>
          <w:tcPr>
            <w:tcW w:w="382" w:type="pct"/>
          </w:tcPr>
          <w:p w14:paraId="2CE32EF2" w14:textId="77777777" w:rsidR="002E474C" w:rsidRPr="006B27CC" w:rsidRDefault="002E474C" w:rsidP="006B27CC">
            <w:pPr>
              <w:pStyle w:val="A-"/>
              <w:spacing w:line="220" w:lineRule="exact"/>
            </w:pPr>
          </w:p>
        </w:tc>
        <w:tc>
          <w:tcPr>
            <w:tcW w:w="379" w:type="pct"/>
          </w:tcPr>
          <w:p w14:paraId="228CD21B" w14:textId="77777777" w:rsidR="002E474C" w:rsidRPr="006B27CC" w:rsidRDefault="00000000" w:rsidP="006B27CC">
            <w:pPr>
              <w:pStyle w:val="A-"/>
              <w:spacing w:line="220" w:lineRule="exact"/>
            </w:pPr>
            <w:r w:rsidRPr="006B27CC">
              <w:t>0.239</w:t>
            </w:r>
          </w:p>
        </w:tc>
      </w:tr>
      <w:tr w:rsidR="002E474C" w:rsidRPr="006B27CC" w14:paraId="4251CC01" w14:textId="77777777" w:rsidTr="009C3A0E">
        <w:tc>
          <w:tcPr>
            <w:tcW w:w="240" w:type="pct"/>
          </w:tcPr>
          <w:p w14:paraId="36AE32D1" w14:textId="77777777" w:rsidR="002E474C" w:rsidRPr="006B27CC" w:rsidRDefault="00000000" w:rsidP="006B27CC">
            <w:pPr>
              <w:pStyle w:val="A-"/>
              <w:spacing w:line="220" w:lineRule="exact"/>
            </w:pPr>
            <w:r w:rsidRPr="006B27CC">
              <w:t>Ni</w:t>
            </w:r>
          </w:p>
        </w:tc>
        <w:tc>
          <w:tcPr>
            <w:tcW w:w="138" w:type="pct"/>
          </w:tcPr>
          <w:p w14:paraId="53E041E8" w14:textId="77777777" w:rsidR="002E474C" w:rsidRPr="006B27CC" w:rsidRDefault="00000000" w:rsidP="006B27CC">
            <w:pPr>
              <w:pStyle w:val="A-"/>
              <w:spacing w:line="220" w:lineRule="exact"/>
            </w:pPr>
            <w:r w:rsidRPr="006B27CC">
              <w:t>%</w:t>
            </w:r>
          </w:p>
        </w:tc>
        <w:tc>
          <w:tcPr>
            <w:tcW w:w="330" w:type="pct"/>
          </w:tcPr>
          <w:p w14:paraId="5D4D5425" w14:textId="77777777" w:rsidR="002E474C" w:rsidRPr="006B27CC" w:rsidRDefault="002E474C" w:rsidP="006B27CC">
            <w:pPr>
              <w:pStyle w:val="A-"/>
              <w:spacing w:line="220" w:lineRule="exact"/>
            </w:pPr>
          </w:p>
        </w:tc>
        <w:tc>
          <w:tcPr>
            <w:tcW w:w="341" w:type="pct"/>
          </w:tcPr>
          <w:p w14:paraId="7AA1FABC" w14:textId="77777777" w:rsidR="002E474C" w:rsidRPr="006B27CC" w:rsidRDefault="00000000" w:rsidP="006B27CC">
            <w:pPr>
              <w:pStyle w:val="A-"/>
              <w:spacing w:line="220" w:lineRule="exact"/>
            </w:pPr>
            <w:r w:rsidRPr="006B27CC">
              <w:t>0.00000581</w:t>
            </w:r>
          </w:p>
        </w:tc>
        <w:tc>
          <w:tcPr>
            <w:tcW w:w="424" w:type="pct"/>
          </w:tcPr>
          <w:p w14:paraId="331D02B2" w14:textId="77777777" w:rsidR="002E474C" w:rsidRPr="006B27CC" w:rsidRDefault="00000000" w:rsidP="006B27CC">
            <w:pPr>
              <w:pStyle w:val="A-"/>
              <w:spacing w:line="220" w:lineRule="exact"/>
            </w:pPr>
            <w:r w:rsidRPr="006B27CC">
              <w:t>0.0000071</w:t>
            </w:r>
          </w:p>
        </w:tc>
        <w:tc>
          <w:tcPr>
            <w:tcW w:w="496" w:type="pct"/>
          </w:tcPr>
          <w:p w14:paraId="7AFD3F00" w14:textId="77777777" w:rsidR="002E474C" w:rsidRPr="006B27CC" w:rsidRDefault="002E474C" w:rsidP="006B27CC">
            <w:pPr>
              <w:pStyle w:val="A-"/>
              <w:spacing w:line="220" w:lineRule="exact"/>
            </w:pPr>
          </w:p>
        </w:tc>
        <w:tc>
          <w:tcPr>
            <w:tcW w:w="341" w:type="pct"/>
          </w:tcPr>
          <w:p w14:paraId="6066E91F" w14:textId="77777777" w:rsidR="002E474C" w:rsidRPr="006B27CC" w:rsidRDefault="00000000" w:rsidP="006B27CC">
            <w:pPr>
              <w:pStyle w:val="A-"/>
              <w:spacing w:line="220" w:lineRule="exact"/>
            </w:pPr>
            <w:r w:rsidRPr="006B27CC">
              <w:t>0.00034</w:t>
            </w:r>
          </w:p>
        </w:tc>
        <w:tc>
          <w:tcPr>
            <w:tcW w:w="371" w:type="pct"/>
          </w:tcPr>
          <w:p w14:paraId="670A297E" w14:textId="77777777" w:rsidR="002E474C" w:rsidRPr="006B27CC" w:rsidRDefault="002E474C" w:rsidP="006B27CC">
            <w:pPr>
              <w:pStyle w:val="A-"/>
              <w:spacing w:line="220" w:lineRule="exact"/>
            </w:pPr>
          </w:p>
        </w:tc>
        <w:tc>
          <w:tcPr>
            <w:tcW w:w="545" w:type="pct"/>
          </w:tcPr>
          <w:p w14:paraId="0BE6C1CF" w14:textId="77777777" w:rsidR="002E474C" w:rsidRPr="006B27CC" w:rsidRDefault="002E474C" w:rsidP="006B27CC">
            <w:pPr>
              <w:pStyle w:val="A-"/>
              <w:spacing w:line="220" w:lineRule="exact"/>
            </w:pPr>
          </w:p>
        </w:tc>
        <w:tc>
          <w:tcPr>
            <w:tcW w:w="295" w:type="pct"/>
          </w:tcPr>
          <w:p w14:paraId="2EA5DF6B" w14:textId="77777777" w:rsidR="002E474C" w:rsidRPr="006B27CC" w:rsidRDefault="002E474C" w:rsidP="006B27CC">
            <w:pPr>
              <w:pStyle w:val="A-"/>
              <w:spacing w:line="220" w:lineRule="exact"/>
            </w:pPr>
          </w:p>
        </w:tc>
        <w:tc>
          <w:tcPr>
            <w:tcW w:w="295" w:type="pct"/>
          </w:tcPr>
          <w:p w14:paraId="2C78CEB5" w14:textId="77777777" w:rsidR="002E474C" w:rsidRPr="006B27CC" w:rsidRDefault="002E474C" w:rsidP="006B27CC">
            <w:pPr>
              <w:pStyle w:val="A-"/>
              <w:spacing w:line="220" w:lineRule="exact"/>
            </w:pPr>
          </w:p>
        </w:tc>
        <w:tc>
          <w:tcPr>
            <w:tcW w:w="424" w:type="pct"/>
          </w:tcPr>
          <w:p w14:paraId="319ED07E" w14:textId="77777777" w:rsidR="002E474C" w:rsidRPr="006B27CC" w:rsidRDefault="002E474C" w:rsidP="006B27CC">
            <w:pPr>
              <w:pStyle w:val="A-"/>
              <w:spacing w:line="220" w:lineRule="exact"/>
            </w:pPr>
          </w:p>
        </w:tc>
        <w:tc>
          <w:tcPr>
            <w:tcW w:w="382" w:type="pct"/>
          </w:tcPr>
          <w:p w14:paraId="34B14A57" w14:textId="77777777" w:rsidR="002E474C" w:rsidRPr="006B27CC" w:rsidRDefault="002E474C" w:rsidP="006B27CC">
            <w:pPr>
              <w:pStyle w:val="A-"/>
              <w:spacing w:line="220" w:lineRule="exact"/>
            </w:pPr>
          </w:p>
        </w:tc>
        <w:tc>
          <w:tcPr>
            <w:tcW w:w="379" w:type="pct"/>
          </w:tcPr>
          <w:p w14:paraId="107DB9E9" w14:textId="77777777" w:rsidR="002E474C" w:rsidRPr="006B27CC" w:rsidRDefault="002E474C" w:rsidP="006B27CC">
            <w:pPr>
              <w:pStyle w:val="A-"/>
              <w:spacing w:line="220" w:lineRule="exact"/>
            </w:pPr>
          </w:p>
        </w:tc>
      </w:tr>
      <w:tr w:rsidR="002E474C" w:rsidRPr="006B27CC" w14:paraId="0D61BE1A" w14:textId="77777777" w:rsidTr="009C3A0E">
        <w:tc>
          <w:tcPr>
            <w:tcW w:w="240" w:type="pct"/>
          </w:tcPr>
          <w:p w14:paraId="570C0A38" w14:textId="77777777" w:rsidR="002E474C" w:rsidRPr="006B27CC" w:rsidRDefault="00000000" w:rsidP="006B27CC">
            <w:pPr>
              <w:pStyle w:val="A-"/>
              <w:spacing w:line="220" w:lineRule="exact"/>
            </w:pPr>
            <w:r w:rsidRPr="006B27CC">
              <w:t>Mn</w:t>
            </w:r>
          </w:p>
        </w:tc>
        <w:tc>
          <w:tcPr>
            <w:tcW w:w="138" w:type="pct"/>
          </w:tcPr>
          <w:p w14:paraId="03F0E79B" w14:textId="77777777" w:rsidR="002E474C" w:rsidRPr="006B27CC" w:rsidRDefault="00000000" w:rsidP="006B27CC">
            <w:pPr>
              <w:pStyle w:val="A-"/>
              <w:spacing w:line="220" w:lineRule="exact"/>
            </w:pPr>
            <w:r w:rsidRPr="006B27CC">
              <w:t>%</w:t>
            </w:r>
          </w:p>
        </w:tc>
        <w:tc>
          <w:tcPr>
            <w:tcW w:w="330" w:type="pct"/>
          </w:tcPr>
          <w:p w14:paraId="4BF1CFF1" w14:textId="77777777" w:rsidR="002E474C" w:rsidRPr="006B27CC" w:rsidRDefault="002E474C" w:rsidP="006B27CC">
            <w:pPr>
              <w:pStyle w:val="A-"/>
              <w:spacing w:line="220" w:lineRule="exact"/>
            </w:pPr>
          </w:p>
        </w:tc>
        <w:tc>
          <w:tcPr>
            <w:tcW w:w="341" w:type="pct"/>
          </w:tcPr>
          <w:p w14:paraId="16C337F4" w14:textId="77777777" w:rsidR="002E474C" w:rsidRPr="006B27CC" w:rsidRDefault="00000000" w:rsidP="006B27CC">
            <w:pPr>
              <w:pStyle w:val="A-"/>
              <w:spacing w:line="220" w:lineRule="exact"/>
            </w:pPr>
            <w:r w:rsidRPr="006B27CC">
              <w:t>0.0000715</w:t>
            </w:r>
          </w:p>
        </w:tc>
        <w:tc>
          <w:tcPr>
            <w:tcW w:w="424" w:type="pct"/>
          </w:tcPr>
          <w:p w14:paraId="5A465897" w14:textId="77777777" w:rsidR="002E474C" w:rsidRPr="006B27CC" w:rsidRDefault="00000000" w:rsidP="006B27CC">
            <w:pPr>
              <w:pStyle w:val="A-"/>
              <w:spacing w:line="220" w:lineRule="exact"/>
            </w:pPr>
            <w:r w:rsidRPr="006B27CC">
              <w:t>0.0002524</w:t>
            </w:r>
          </w:p>
        </w:tc>
        <w:tc>
          <w:tcPr>
            <w:tcW w:w="496" w:type="pct"/>
          </w:tcPr>
          <w:p w14:paraId="57C18799" w14:textId="77777777" w:rsidR="002E474C" w:rsidRPr="006B27CC" w:rsidRDefault="002E474C" w:rsidP="006B27CC">
            <w:pPr>
              <w:pStyle w:val="A-"/>
              <w:spacing w:line="220" w:lineRule="exact"/>
            </w:pPr>
          </w:p>
        </w:tc>
        <w:tc>
          <w:tcPr>
            <w:tcW w:w="341" w:type="pct"/>
          </w:tcPr>
          <w:p w14:paraId="367BE441" w14:textId="77777777" w:rsidR="002E474C" w:rsidRPr="006B27CC" w:rsidRDefault="00000000" w:rsidP="006B27CC">
            <w:pPr>
              <w:pStyle w:val="A-"/>
              <w:spacing w:line="220" w:lineRule="exact"/>
            </w:pPr>
            <w:r w:rsidRPr="006B27CC">
              <w:t>0.0072</w:t>
            </w:r>
          </w:p>
        </w:tc>
        <w:tc>
          <w:tcPr>
            <w:tcW w:w="371" w:type="pct"/>
          </w:tcPr>
          <w:p w14:paraId="49F06C20" w14:textId="77777777" w:rsidR="002E474C" w:rsidRPr="006B27CC" w:rsidRDefault="002E474C" w:rsidP="006B27CC">
            <w:pPr>
              <w:pStyle w:val="A-"/>
              <w:spacing w:line="220" w:lineRule="exact"/>
            </w:pPr>
          </w:p>
        </w:tc>
        <w:tc>
          <w:tcPr>
            <w:tcW w:w="545" w:type="pct"/>
          </w:tcPr>
          <w:p w14:paraId="2770F1A6" w14:textId="77777777" w:rsidR="002E474C" w:rsidRPr="006B27CC" w:rsidRDefault="00000000" w:rsidP="006B27CC">
            <w:pPr>
              <w:pStyle w:val="A-"/>
              <w:spacing w:line="220" w:lineRule="exact"/>
            </w:pPr>
            <w:r w:rsidRPr="006B27CC">
              <w:t>0.206</w:t>
            </w:r>
          </w:p>
        </w:tc>
        <w:tc>
          <w:tcPr>
            <w:tcW w:w="295" w:type="pct"/>
          </w:tcPr>
          <w:p w14:paraId="32F347F8" w14:textId="77777777" w:rsidR="002E474C" w:rsidRPr="006B27CC" w:rsidRDefault="002E474C" w:rsidP="006B27CC">
            <w:pPr>
              <w:pStyle w:val="A-"/>
              <w:spacing w:line="220" w:lineRule="exact"/>
            </w:pPr>
          </w:p>
        </w:tc>
        <w:tc>
          <w:tcPr>
            <w:tcW w:w="295" w:type="pct"/>
          </w:tcPr>
          <w:p w14:paraId="3A1CC6B1" w14:textId="77777777" w:rsidR="002E474C" w:rsidRPr="006B27CC" w:rsidRDefault="00000000" w:rsidP="006B27CC">
            <w:pPr>
              <w:pStyle w:val="A-"/>
              <w:spacing w:line="220" w:lineRule="exact"/>
            </w:pPr>
            <w:r w:rsidRPr="006B27CC">
              <w:t>1.896</w:t>
            </w:r>
          </w:p>
        </w:tc>
        <w:tc>
          <w:tcPr>
            <w:tcW w:w="424" w:type="pct"/>
          </w:tcPr>
          <w:p w14:paraId="7CFF46B8" w14:textId="77777777" w:rsidR="002E474C" w:rsidRPr="006B27CC" w:rsidRDefault="00000000" w:rsidP="006B27CC">
            <w:pPr>
              <w:pStyle w:val="A-"/>
              <w:spacing w:line="220" w:lineRule="exact"/>
            </w:pPr>
            <w:r w:rsidRPr="006B27CC">
              <w:t>0.206</w:t>
            </w:r>
          </w:p>
        </w:tc>
        <w:tc>
          <w:tcPr>
            <w:tcW w:w="382" w:type="pct"/>
          </w:tcPr>
          <w:p w14:paraId="6848F98D" w14:textId="77777777" w:rsidR="002E474C" w:rsidRPr="006B27CC" w:rsidRDefault="00000000" w:rsidP="006B27CC">
            <w:pPr>
              <w:pStyle w:val="A-"/>
              <w:spacing w:line="220" w:lineRule="exact"/>
            </w:pPr>
            <w:r w:rsidRPr="006B27CC">
              <w:t>1.896</w:t>
            </w:r>
          </w:p>
        </w:tc>
        <w:tc>
          <w:tcPr>
            <w:tcW w:w="379" w:type="pct"/>
          </w:tcPr>
          <w:p w14:paraId="529A880A" w14:textId="77777777" w:rsidR="002E474C" w:rsidRPr="006B27CC" w:rsidRDefault="00000000" w:rsidP="006B27CC">
            <w:pPr>
              <w:pStyle w:val="A-"/>
              <w:spacing w:line="220" w:lineRule="exact"/>
            </w:pPr>
            <w:r w:rsidRPr="006B27CC">
              <w:t>0.062</w:t>
            </w:r>
          </w:p>
        </w:tc>
      </w:tr>
      <w:tr w:rsidR="002E474C" w:rsidRPr="006B27CC" w14:paraId="018B3F6B" w14:textId="77777777" w:rsidTr="009C3A0E">
        <w:tc>
          <w:tcPr>
            <w:tcW w:w="240" w:type="pct"/>
          </w:tcPr>
          <w:p w14:paraId="79C6B672" w14:textId="77777777" w:rsidR="002E474C" w:rsidRPr="006B27CC" w:rsidRDefault="00000000" w:rsidP="006B27CC">
            <w:pPr>
              <w:pStyle w:val="A-"/>
              <w:spacing w:line="220" w:lineRule="exact"/>
            </w:pPr>
            <w:r w:rsidRPr="006B27CC">
              <w:t>As</w:t>
            </w:r>
          </w:p>
        </w:tc>
        <w:tc>
          <w:tcPr>
            <w:tcW w:w="138" w:type="pct"/>
          </w:tcPr>
          <w:p w14:paraId="57522CCC" w14:textId="77777777" w:rsidR="002E474C" w:rsidRPr="006B27CC" w:rsidRDefault="00000000" w:rsidP="006B27CC">
            <w:pPr>
              <w:pStyle w:val="A-"/>
              <w:spacing w:line="220" w:lineRule="exact"/>
            </w:pPr>
            <w:r w:rsidRPr="006B27CC">
              <w:t>%</w:t>
            </w:r>
          </w:p>
        </w:tc>
        <w:tc>
          <w:tcPr>
            <w:tcW w:w="330" w:type="pct"/>
          </w:tcPr>
          <w:p w14:paraId="068D71D8" w14:textId="77777777" w:rsidR="002E474C" w:rsidRPr="006B27CC" w:rsidRDefault="002E474C" w:rsidP="006B27CC">
            <w:pPr>
              <w:pStyle w:val="A-"/>
              <w:spacing w:line="220" w:lineRule="exact"/>
            </w:pPr>
          </w:p>
        </w:tc>
        <w:tc>
          <w:tcPr>
            <w:tcW w:w="341" w:type="pct"/>
          </w:tcPr>
          <w:p w14:paraId="7B5515E0" w14:textId="77777777" w:rsidR="002E474C" w:rsidRPr="006B27CC" w:rsidRDefault="00000000" w:rsidP="006B27CC">
            <w:pPr>
              <w:pStyle w:val="A-"/>
              <w:spacing w:line="220" w:lineRule="exact"/>
            </w:pPr>
            <w:r w:rsidRPr="006B27CC">
              <w:t>0.00000013</w:t>
            </w:r>
          </w:p>
        </w:tc>
        <w:tc>
          <w:tcPr>
            <w:tcW w:w="424" w:type="pct"/>
          </w:tcPr>
          <w:p w14:paraId="0A352B3D" w14:textId="77777777" w:rsidR="002E474C" w:rsidRPr="006B27CC" w:rsidRDefault="00000000" w:rsidP="006B27CC">
            <w:pPr>
              <w:pStyle w:val="A-"/>
              <w:spacing w:line="220" w:lineRule="exact"/>
            </w:pPr>
            <w:r w:rsidRPr="006B27CC">
              <w:t>0.000000916</w:t>
            </w:r>
          </w:p>
        </w:tc>
        <w:tc>
          <w:tcPr>
            <w:tcW w:w="496" w:type="pct"/>
          </w:tcPr>
          <w:p w14:paraId="34C87630" w14:textId="77777777" w:rsidR="002E474C" w:rsidRPr="006B27CC" w:rsidRDefault="002E474C" w:rsidP="006B27CC">
            <w:pPr>
              <w:pStyle w:val="A-"/>
              <w:spacing w:line="220" w:lineRule="exact"/>
            </w:pPr>
          </w:p>
        </w:tc>
        <w:tc>
          <w:tcPr>
            <w:tcW w:w="341" w:type="pct"/>
          </w:tcPr>
          <w:p w14:paraId="096ADDAB" w14:textId="77777777" w:rsidR="002E474C" w:rsidRPr="006B27CC" w:rsidRDefault="00000000" w:rsidP="006B27CC">
            <w:pPr>
              <w:pStyle w:val="A-"/>
              <w:spacing w:line="220" w:lineRule="exact"/>
            </w:pPr>
            <w:r w:rsidRPr="006B27CC">
              <w:t>0.002</w:t>
            </w:r>
          </w:p>
        </w:tc>
        <w:tc>
          <w:tcPr>
            <w:tcW w:w="371" w:type="pct"/>
          </w:tcPr>
          <w:p w14:paraId="63C68E82" w14:textId="77777777" w:rsidR="002E474C" w:rsidRPr="006B27CC" w:rsidRDefault="002E474C" w:rsidP="006B27CC">
            <w:pPr>
              <w:pStyle w:val="A-"/>
              <w:spacing w:line="220" w:lineRule="exact"/>
            </w:pPr>
          </w:p>
        </w:tc>
        <w:tc>
          <w:tcPr>
            <w:tcW w:w="545" w:type="pct"/>
          </w:tcPr>
          <w:p w14:paraId="53560391" w14:textId="77777777" w:rsidR="002E474C" w:rsidRPr="006B27CC" w:rsidRDefault="00000000" w:rsidP="006B27CC">
            <w:pPr>
              <w:pStyle w:val="A-"/>
              <w:spacing w:line="220" w:lineRule="exact"/>
            </w:pPr>
            <w:r w:rsidRPr="006B27CC">
              <w:t>0.039</w:t>
            </w:r>
          </w:p>
        </w:tc>
        <w:tc>
          <w:tcPr>
            <w:tcW w:w="295" w:type="pct"/>
          </w:tcPr>
          <w:p w14:paraId="25D3B28F" w14:textId="77777777" w:rsidR="002E474C" w:rsidRPr="006B27CC" w:rsidRDefault="002E474C" w:rsidP="006B27CC">
            <w:pPr>
              <w:pStyle w:val="A-"/>
              <w:spacing w:line="220" w:lineRule="exact"/>
            </w:pPr>
          </w:p>
        </w:tc>
        <w:tc>
          <w:tcPr>
            <w:tcW w:w="295" w:type="pct"/>
          </w:tcPr>
          <w:p w14:paraId="4575EC78" w14:textId="77777777" w:rsidR="002E474C" w:rsidRPr="006B27CC" w:rsidRDefault="00000000" w:rsidP="006B27CC">
            <w:pPr>
              <w:pStyle w:val="A-"/>
              <w:spacing w:line="220" w:lineRule="exact"/>
            </w:pPr>
            <w:r w:rsidRPr="006B27CC">
              <w:t>3.392</w:t>
            </w:r>
          </w:p>
        </w:tc>
        <w:tc>
          <w:tcPr>
            <w:tcW w:w="424" w:type="pct"/>
          </w:tcPr>
          <w:p w14:paraId="57FD8D3C" w14:textId="77777777" w:rsidR="002E474C" w:rsidRPr="006B27CC" w:rsidRDefault="00000000" w:rsidP="006B27CC">
            <w:pPr>
              <w:pStyle w:val="A-"/>
              <w:spacing w:line="220" w:lineRule="exact"/>
            </w:pPr>
            <w:r w:rsidRPr="006B27CC">
              <w:t>0.039</w:t>
            </w:r>
          </w:p>
        </w:tc>
        <w:tc>
          <w:tcPr>
            <w:tcW w:w="382" w:type="pct"/>
          </w:tcPr>
          <w:p w14:paraId="3520283D" w14:textId="77777777" w:rsidR="002E474C" w:rsidRPr="006B27CC" w:rsidRDefault="00000000" w:rsidP="006B27CC">
            <w:pPr>
              <w:pStyle w:val="A-"/>
              <w:spacing w:line="220" w:lineRule="exact"/>
            </w:pPr>
            <w:r w:rsidRPr="006B27CC">
              <w:t>3.392</w:t>
            </w:r>
          </w:p>
        </w:tc>
        <w:tc>
          <w:tcPr>
            <w:tcW w:w="379" w:type="pct"/>
          </w:tcPr>
          <w:p w14:paraId="2DB48627" w14:textId="77777777" w:rsidR="002E474C" w:rsidRPr="006B27CC" w:rsidRDefault="002E474C" w:rsidP="006B27CC">
            <w:pPr>
              <w:pStyle w:val="A-"/>
              <w:spacing w:line="220" w:lineRule="exact"/>
            </w:pPr>
          </w:p>
        </w:tc>
      </w:tr>
      <w:tr w:rsidR="002E474C" w:rsidRPr="006B27CC" w14:paraId="73BB4418" w14:textId="77777777" w:rsidTr="009C3A0E">
        <w:tc>
          <w:tcPr>
            <w:tcW w:w="240" w:type="pct"/>
          </w:tcPr>
          <w:p w14:paraId="560C96A7" w14:textId="77777777" w:rsidR="002E474C" w:rsidRPr="006B27CC" w:rsidRDefault="00000000" w:rsidP="006B27CC">
            <w:pPr>
              <w:pStyle w:val="A-"/>
              <w:spacing w:line="220" w:lineRule="exact"/>
            </w:pPr>
            <w:r w:rsidRPr="006B27CC">
              <w:t>Hg</w:t>
            </w:r>
          </w:p>
        </w:tc>
        <w:tc>
          <w:tcPr>
            <w:tcW w:w="138" w:type="pct"/>
          </w:tcPr>
          <w:p w14:paraId="3BFC7A02" w14:textId="77777777" w:rsidR="002E474C" w:rsidRPr="006B27CC" w:rsidRDefault="00000000" w:rsidP="006B27CC">
            <w:pPr>
              <w:pStyle w:val="A-"/>
              <w:spacing w:line="220" w:lineRule="exact"/>
            </w:pPr>
            <w:r w:rsidRPr="006B27CC">
              <w:t>%</w:t>
            </w:r>
          </w:p>
        </w:tc>
        <w:tc>
          <w:tcPr>
            <w:tcW w:w="330" w:type="pct"/>
          </w:tcPr>
          <w:p w14:paraId="5FE16EE6" w14:textId="77777777" w:rsidR="002E474C" w:rsidRPr="006B27CC" w:rsidRDefault="002E474C" w:rsidP="006B27CC">
            <w:pPr>
              <w:pStyle w:val="A-"/>
              <w:spacing w:line="220" w:lineRule="exact"/>
            </w:pPr>
          </w:p>
        </w:tc>
        <w:tc>
          <w:tcPr>
            <w:tcW w:w="341" w:type="pct"/>
          </w:tcPr>
          <w:p w14:paraId="66685507" w14:textId="77777777" w:rsidR="002E474C" w:rsidRPr="006B27CC" w:rsidRDefault="00000000" w:rsidP="006B27CC">
            <w:pPr>
              <w:pStyle w:val="A-"/>
              <w:spacing w:line="220" w:lineRule="exact"/>
            </w:pPr>
            <w:r w:rsidRPr="006B27CC">
              <w:t>4.79E-08</w:t>
            </w:r>
          </w:p>
        </w:tc>
        <w:tc>
          <w:tcPr>
            <w:tcW w:w="424" w:type="pct"/>
          </w:tcPr>
          <w:p w14:paraId="4B92E7D3" w14:textId="77777777" w:rsidR="002E474C" w:rsidRPr="006B27CC" w:rsidRDefault="00000000" w:rsidP="006B27CC">
            <w:pPr>
              <w:pStyle w:val="A-"/>
              <w:spacing w:line="220" w:lineRule="exact"/>
            </w:pPr>
            <w:r w:rsidRPr="006B27CC">
              <w:t>4.11E-08</w:t>
            </w:r>
          </w:p>
        </w:tc>
        <w:tc>
          <w:tcPr>
            <w:tcW w:w="496" w:type="pct"/>
          </w:tcPr>
          <w:p w14:paraId="5DD47446" w14:textId="77777777" w:rsidR="002E474C" w:rsidRPr="006B27CC" w:rsidRDefault="002E474C" w:rsidP="006B27CC">
            <w:pPr>
              <w:pStyle w:val="A-"/>
              <w:spacing w:line="220" w:lineRule="exact"/>
            </w:pPr>
          </w:p>
        </w:tc>
        <w:tc>
          <w:tcPr>
            <w:tcW w:w="341" w:type="pct"/>
          </w:tcPr>
          <w:p w14:paraId="3A7D8D7A" w14:textId="77777777" w:rsidR="002E474C" w:rsidRPr="006B27CC" w:rsidRDefault="00000000" w:rsidP="006B27CC">
            <w:pPr>
              <w:pStyle w:val="A-"/>
              <w:spacing w:line="220" w:lineRule="exact"/>
            </w:pPr>
            <w:r w:rsidRPr="006B27CC">
              <w:t>0.00035</w:t>
            </w:r>
          </w:p>
        </w:tc>
        <w:tc>
          <w:tcPr>
            <w:tcW w:w="371" w:type="pct"/>
          </w:tcPr>
          <w:p w14:paraId="7DA9584F" w14:textId="77777777" w:rsidR="002E474C" w:rsidRPr="006B27CC" w:rsidRDefault="002E474C" w:rsidP="006B27CC">
            <w:pPr>
              <w:pStyle w:val="A-"/>
              <w:spacing w:line="220" w:lineRule="exact"/>
            </w:pPr>
          </w:p>
        </w:tc>
        <w:tc>
          <w:tcPr>
            <w:tcW w:w="545" w:type="pct"/>
          </w:tcPr>
          <w:p w14:paraId="64ADCA7B" w14:textId="77777777" w:rsidR="002E474C" w:rsidRPr="006B27CC" w:rsidRDefault="002E474C" w:rsidP="006B27CC">
            <w:pPr>
              <w:pStyle w:val="A-"/>
              <w:spacing w:line="220" w:lineRule="exact"/>
            </w:pPr>
          </w:p>
        </w:tc>
        <w:tc>
          <w:tcPr>
            <w:tcW w:w="295" w:type="pct"/>
          </w:tcPr>
          <w:p w14:paraId="7A3DAD38" w14:textId="77777777" w:rsidR="002E474C" w:rsidRPr="006B27CC" w:rsidRDefault="002E474C" w:rsidP="006B27CC">
            <w:pPr>
              <w:pStyle w:val="A-"/>
              <w:spacing w:line="220" w:lineRule="exact"/>
            </w:pPr>
          </w:p>
        </w:tc>
        <w:tc>
          <w:tcPr>
            <w:tcW w:w="295" w:type="pct"/>
          </w:tcPr>
          <w:p w14:paraId="2B2B23B3" w14:textId="77777777" w:rsidR="002E474C" w:rsidRPr="006B27CC" w:rsidRDefault="002E474C" w:rsidP="006B27CC">
            <w:pPr>
              <w:pStyle w:val="A-"/>
              <w:spacing w:line="220" w:lineRule="exact"/>
            </w:pPr>
          </w:p>
        </w:tc>
        <w:tc>
          <w:tcPr>
            <w:tcW w:w="424" w:type="pct"/>
          </w:tcPr>
          <w:p w14:paraId="3105424D" w14:textId="77777777" w:rsidR="002E474C" w:rsidRPr="006B27CC" w:rsidRDefault="002E474C" w:rsidP="006B27CC">
            <w:pPr>
              <w:pStyle w:val="A-"/>
              <w:spacing w:line="220" w:lineRule="exact"/>
            </w:pPr>
          </w:p>
        </w:tc>
        <w:tc>
          <w:tcPr>
            <w:tcW w:w="382" w:type="pct"/>
          </w:tcPr>
          <w:p w14:paraId="31CD4742" w14:textId="77777777" w:rsidR="002E474C" w:rsidRPr="006B27CC" w:rsidRDefault="002E474C" w:rsidP="006B27CC">
            <w:pPr>
              <w:pStyle w:val="A-"/>
              <w:spacing w:line="220" w:lineRule="exact"/>
            </w:pPr>
          </w:p>
        </w:tc>
        <w:tc>
          <w:tcPr>
            <w:tcW w:w="379" w:type="pct"/>
          </w:tcPr>
          <w:p w14:paraId="2B338D2A" w14:textId="77777777" w:rsidR="002E474C" w:rsidRPr="006B27CC" w:rsidRDefault="002E474C" w:rsidP="006B27CC">
            <w:pPr>
              <w:pStyle w:val="A-"/>
              <w:spacing w:line="220" w:lineRule="exact"/>
            </w:pPr>
          </w:p>
        </w:tc>
      </w:tr>
      <w:tr w:rsidR="002E474C" w:rsidRPr="006B27CC" w14:paraId="6CEEF566" w14:textId="77777777" w:rsidTr="009C3A0E">
        <w:tc>
          <w:tcPr>
            <w:tcW w:w="240" w:type="pct"/>
          </w:tcPr>
          <w:p w14:paraId="723043A1" w14:textId="77777777" w:rsidR="002E474C" w:rsidRPr="006B27CC" w:rsidRDefault="00000000" w:rsidP="006B27CC">
            <w:pPr>
              <w:pStyle w:val="A-"/>
              <w:spacing w:line="220" w:lineRule="exact"/>
            </w:pPr>
            <w:r w:rsidRPr="006B27CC">
              <w:t>Be</w:t>
            </w:r>
          </w:p>
        </w:tc>
        <w:tc>
          <w:tcPr>
            <w:tcW w:w="138" w:type="pct"/>
            <w:noWrap/>
          </w:tcPr>
          <w:p w14:paraId="409F5B85" w14:textId="77777777" w:rsidR="002E474C" w:rsidRPr="006B27CC" w:rsidRDefault="002E474C" w:rsidP="006B27CC">
            <w:pPr>
              <w:pStyle w:val="A-"/>
              <w:spacing w:line="220" w:lineRule="exact"/>
            </w:pPr>
          </w:p>
        </w:tc>
        <w:tc>
          <w:tcPr>
            <w:tcW w:w="330" w:type="pct"/>
            <w:noWrap/>
          </w:tcPr>
          <w:p w14:paraId="3C86C3AD" w14:textId="77777777" w:rsidR="002E474C" w:rsidRPr="006B27CC" w:rsidRDefault="002E474C" w:rsidP="006B27CC">
            <w:pPr>
              <w:pStyle w:val="A-"/>
              <w:spacing w:line="220" w:lineRule="exact"/>
            </w:pPr>
          </w:p>
        </w:tc>
        <w:tc>
          <w:tcPr>
            <w:tcW w:w="341" w:type="pct"/>
            <w:noWrap/>
          </w:tcPr>
          <w:p w14:paraId="190D8CD5" w14:textId="77777777" w:rsidR="002E474C" w:rsidRPr="006B27CC" w:rsidRDefault="002E474C" w:rsidP="006B27CC">
            <w:pPr>
              <w:pStyle w:val="A-"/>
              <w:spacing w:line="220" w:lineRule="exact"/>
            </w:pPr>
          </w:p>
        </w:tc>
        <w:tc>
          <w:tcPr>
            <w:tcW w:w="424" w:type="pct"/>
            <w:noWrap/>
          </w:tcPr>
          <w:p w14:paraId="37E077B5" w14:textId="77777777" w:rsidR="002E474C" w:rsidRPr="006B27CC" w:rsidRDefault="002E474C" w:rsidP="006B27CC">
            <w:pPr>
              <w:pStyle w:val="A-"/>
              <w:spacing w:line="220" w:lineRule="exact"/>
            </w:pPr>
          </w:p>
        </w:tc>
        <w:tc>
          <w:tcPr>
            <w:tcW w:w="496" w:type="pct"/>
            <w:noWrap/>
          </w:tcPr>
          <w:p w14:paraId="395D3AAA" w14:textId="77777777" w:rsidR="002E474C" w:rsidRPr="006B27CC" w:rsidRDefault="002E474C" w:rsidP="006B27CC">
            <w:pPr>
              <w:pStyle w:val="A-"/>
              <w:spacing w:line="220" w:lineRule="exact"/>
            </w:pPr>
          </w:p>
        </w:tc>
        <w:tc>
          <w:tcPr>
            <w:tcW w:w="341" w:type="pct"/>
          </w:tcPr>
          <w:p w14:paraId="48A0526A" w14:textId="77777777" w:rsidR="002E474C" w:rsidRPr="006B27CC" w:rsidRDefault="00000000" w:rsidP="006B27CC">
            <w:pPr>
              <w:pStyle w:val="A-"/>
              <w:spacing w:line="220" w:lineRule="exact"/>
            </w:pPr>
            <w:r w:rsidRPr="006B27CC">
              <w:t>0.021</w:t>
            </w:r>
          </w:p>
        </w:tc>
        <w:tc>
          <w:tcPr>
            <w:tcW w:w="371" w:type="pct"/>
            <w:noWrap/>
          </w:tcPr>
          <w:p w14:paraId="4986915C" w14:textId="77777777" w:rsidR="002E474C" w:rsidRPr="006B27CC" w:rsidRDefault="002E474C" w:rsidP="006B27CC">
            <w:pPr>
              <w:pStyle w:val="A-"/>
              <w:spacing w:line="220" w:lineRule="exact"/>
            </w:pPr>
          </w:p>
        </w:tc>
        <w:tc>
          <w:tcPr>
            <w:tcW w:w="545" w:type="pct"/>
            <w:noWrap/>
          </w:tcPr>
          <w:p w14:paraId="4A8362FE" w14:textId="77777777" w:rsidR="002E474C" w:rsidRPr="006B27CC" w:rsidRDefault="002E474C" w:rsidP="006B27CC">
            <w:pPr>
              <w:pStyle w:val="A-"/>
              <w:spacing w:line="220" w:lineRule="exact"/>
            </w:pPr>
          </w:p>
        </w:tc>
        <w:tc>
          <w:tcPr>
            <w:tcW w:w="295" w:type="pct"/>
            <w:noWrap/>
          </w:tcPr>
          <w:p w14:paraId="2D798BAF" w14:textId="77777777" w:rsidR="002E474C" w:rsidRPr="006B27CC" w:rsidRDefault="002E474C" w:rsidP="006B27CC">
            <w:pPr>
              <w:pStyle w:val="A-"/>
              <w:spacing w:line="220" w:lineRule="exact"/>
            </w:pPr>
          </w:p>
        </w:tc>
        <w:tc>
          <w:tcPr>
            <w:tcW w:w="295" w:type="pct"/>
            <w:noWrap/>
          </w:tcPr>
          <w:p w14:paraId="2AF07126" w14:textId="77777777" w:rsidR="002E474C" w:rsidRPr="006B27CC" w:rsidRDefault="002E474C" w:rsidP="006B27CC">
            <w:pPr>
              <w:pStyle w:val="A-"/>
              <w:spacing w:line="220" w:lineRule="exact"/>
            </w:pPr>
          </w:p>
        </w:tc>
        <w:tc>
          <w:tcPr>
            <w:tcW w:w="424" w:type="pct"/>
            <w:noWrap/>
          </w:tcPr>
          <w:p w14:paraId="65317799" w14:textId="77777777" w:rsidR="002E474C" w:rsidRPr="006B27CC" w:rsidRDefault="002E474C" w:rsidP="006B27CC">
            <w:pPr>
              <w:pStyle w:val="A-"/>
              <w:spacing w:line="220" w:lineRule="exact"/>
            </w:pPr>
          </w:p>
        </w:tc>
        <w:tc>
          <w:tcPr>
            <w:tcW w:w="382" w:type="pct"/>
            <w:noWrap/>
          </w:tcPr>
          <w:p w14:paraId="35C61CA6" w14:textId="77777777" w:rsidR="002E474C" w:rsidRPr="006B27CC" w:rsidRDefault="002E474C" w:rsidP="006B27CC">
            <w:pPr>
              <w:pStyle w:val="A-"/>
              <w:spacing w:line="220" w:lineRule="exact"/>
            </w:pPr>
          </w:p>
        </w:tc>
        <w:tc>
          <w:tcPr>
            <w:tcW w:w="379" w:type="pct"/>
            <w:noWrap/>
          </w:tcPr>
          <w:p w14:paraId="0C45CDA5" w14:textId="77777777" w:rsidR="002E474C" w:rsidRPr="006B27CC" w:rsidRDefault="002E474C" w:rsidP="006B27CC">
            <w:pPr>
              <w:pStyle w:val="A-"/>
              <w:spacing w:line="220" w:lineRule="exact"/>
            </w:pPr>
          </w:p>
        </w:tc>
      </w:tr>
      <w:tr w:rsidR="002E474C" w:rsidRPr="006B27CC" w14:paraId="390AAC10" w14:textId="77777777" w:rsidTr="009C3A0E">
        <w:tc>
          <w:tcPr>
            <w:tcW w:w="240" w:type="pct"/>
            <w:vMerge w:val="restart"/>
            <w:vAlign w:val="center"/>
          </w:tcPr>
          <w:p w14:paraId="26494EAE" w14:textId="77777777" w:rsidR="002E474C" w:rsidRPr="006B27CC" w:rsidRDefault="00000000" w:rsidP="006B27CC">
            <w:pPr>
              <w:pStyle w:val="A-"/>
              <w:spacing w:line="220" w:lineRule="exact"/>
            </w:pPr>
            <w:r w:rsidRPr="006B27CC">
              <w:t>危险废物</w:t>
            </w:r>
          </w:p>
          <w:p w14:paraId="655C302B" w14:textId="77777777" w:rsidR="002E474C" w:rsidRPr="006B27CC" w:rsidRDefault="00000000" w:rsidP="006B27CC">
            <w:pPr>
              <w:pStyle w:val="A-"/>
              <w:spacing w:line="220" w:lineRule="exact"/>
            </w:pPr>
            <w:r w:rsidRPr="006B27CC">
              <w:t>类别</w:t>
            </w:r>
          </w:p>
        </w:tc>
        <w:tc>
          <w:tcPr>
            <w:tcW w:w="138" w:type="pct"/>
            <w:vMerge w:val="restart"/>
            <w:vAlign w:val="center"/>
          </w:tcPr>
          <w:p w14:paraId="1CB0BBFD" w14:textId="77777777" w:rsidR="002E474C" w:rsidRPr="006B27CC" w:rsidRDefault="00000000" w:rsidP="006B27CC">
            <w:pPr>
              <w:pStyle w:val="A-"/>
              <w:spacing w:line="220" w:lineRule="exact"/>
            </w:pPr>
            <w:r w:rsidRPr="006B27CC">
              <w:t>单位</w:t>
            </w:r>
          </w:p>
        </w:tc>
        <w:tc>
          <w:tcPr>
            <w:tcW w:w="330" w:type="pct"/>
            <w:vAlign w:val="center"/>
          </w:tcPr>
          <w:p w14:paraId="43288EA2" w14:textId="77777777" w:rsidR="002E474C" w:rsidRPr="006B27CC" w:rsidRDefault="00000000" w:rsidP="006B27CC">
            <w:pPr>
              <w:pStyle w:val="A-"/>
              <w:spacing w:line="220" w:lineRule="exact"/>
            </w:pPr>
            <w:r w:rsidRPr="006B27CC">
              <w:t>HW34</w:t>
            </w:r>
          </w:p>
        </w:tc>
        <w:tc>
          <w:tcPr>
            <w:tcW w:w="341" w:type="pct"/>
            <w:vAlign w:val="center"/>
          </w:tcPr>
          <w:p w14:paraId="05F4BFC3" w14:textId="77777777" w:rsidR="002E474C" w:rsidRPr="006B27CC" w:rsidRDefault="00000000" w:rsidP="006B27CC">
            <w:pPr>
              <w:pStyle w:val="A-"/>
              <w:spacing w:line="220" w:lineRule="exact"/>
            </w:pPr>
            <w:r w:rsidRPr="006B27CC">
              <w:t>HW35</w:t>
            </w:r>
          </w:p>
        </w:tc>
        <w:tc>
          <w:tcPr>
            <w:tcW w:w="424" w:type="pct"/>
            <w:vAlign w:val="center"/>
          </w:tcPr>
          <w:p w14:paraId="196D4654" w14:textId="77777777" w:rsidR="002E474C" w:rsidRPr="006B27CC" w:rsidRDefault="00000000" w:rsidP="006B27CC">
            <w:pPr>
              <w:pStyle w:val="A-"/>
              <w:spacing w:line="220" w:lineRule="exact"/>
            </w:pPr>
            <w:r w:rsidRPr="006B27CC">
              <w:t>HW37</w:t>
            </w:r>
          </w:p>
        </w:tc>
        <w:tc>
          <w:tcPr>
            <w:tcW w:w="496" w:type="pct"/>
            <w:vAlign w:val="center"/>
          </w:tcPr>
          <w:p w14:paraId="102FB79F" w14:textId="77777777" w:rsidR="002E474C" w:rsidRPr="006B27CC" w:rsidRDefault="00000000" w:rsidP="006B27CC">
            <w:pPr>
              <w:pStyle w:val="A-"/>
              <w:spacing w:line="220" w:lineRule="exact"/>
            </w:pPr>
            <w:r w:rsidRPr="006B27CC">
              <w:t>HW38</w:t>
            </w:r>
          </w:p>
        </w:tc>
        <w:tc>
          <w:tcPr>
            <w:tcW w:w="341" w:type="pct"/>
            <w:vAlign w:val="center"/>
          </w:tcPr>
          <w:p w14:paraId="11A3FD98" w14:textId="77777777" w:rsidR="002E474C" w:rsidRPr="006B27CC" w:rsidRDefault="00000000" w:rsidP="006B27CC">
            <w:pPr>
              <w:pStyle w:val="A-"/>
              <w:spacing w:line="220" w:lineRule="exact"/>
            </w:pPr>
            <w:r w:rsidRPr="006B27CC">
              <w:t>HW39</w:t>
            </w:r>
          </w:p>
        </w:tc>
        <w:tc>
          <w:tcPr>
            <w:tcW w:w="371" w:type="pct"/>
            <w:vAlign w:val="center"/>
          </w:tcPr>
          <w:p w14:paraId="5B4477D9" w14:textId="77777777" w:rsidR="002E474C" w:rsidRPr="006B27CC" w:rsidRDefault="00000000" w:rsidP="006B27CC">
            <w:pPr>
              <w:pStyle w:val="A-"/>
              <w:spacing w:line="220" w:lineRule="exact"/>
            </w:pPr>
            <w:r w:rsidRPr="006B27CC">
              <w:t>HW40</w:t>
            </w:r>
          </w:p>
        </w:tc>
        <w:tc>
          <w:tcPr>
            <w:tcW w:w="545" w:type="pct"/>
            <w:vAlign w:val="center"/>
          </w:tcPr>
          <w:p w14:paraId="6CB6B28B" w14:textId="77777777" w:rsidR="002E474C" w:rsidRPr="006B27CC" w:rsidRDefault="00000000" w:rsidP="006B27CC">
            <w:pPr>
              <w:pStyle w:val="A-"/>
              <w:spacing w:line="220" w:lineRule="exact"/>
            </w:pPr>
            <w:r w:rsidRPr="006B27CC">
              <w:t>HW45</w:t>
            </w:r>
          </w:p>
        </w:tc>
        <w:tc>
          <w:tcPr>
            <w:tcW w:w="295" w:type="pct"/>
            <w:vAlign w:val="center"/>
          </w:tcPr>
          <w:p w14:paraId="37EC8239" w14:textId="77777777" w:rsidR="002E474C" w:rsidRPr="006B27CC" w:rsidRDefault="00000000" w:rsidP="006B27CC">
            <w:pPr>
              <w:pStyle w:val="A-"/>
              <w:spacing w:line="220" w:lineRule="exact"/>
            </w:pPr>
            <w:r w:rsidRPr="006B27CC">
              <w:t>HW46</w:t>
            </w:r>
          </w:p>
        </w:tc>
        <w:tc>
          <w:tcPr>
            <w:tcW w:w="295" w:type="pct"/>
            <w:vAlign w:val="center"/>
          </w:tcPr>
          <w:p w14:paraId="074C84C6" w14:textId="77777777" w:rsidR="002E474C" w:rsidRPr="006B27CC" w:rsidRDefault="00000000" w:rsidP="006B27CC">
            <w:pPr>
              <w:pStyle w:val="A-"/>
              <w:spacing w:line="220" w:lineRule="exact"/>
            </w:pPr>
            <w:r w:rsidRPr="006B27CC">
              <w:t>HW47</w:t>
            </w:r>
          </w:p>
        </w:tc>
        <w:tc>
          <w:tcPr>
            <w:tcW w:w="424" w:type="pct"/>
            <w:vAlign w:val="center"/>
          </w:tcPr>
          <w:p w14:paraId="1D8E5F06" w14:textId="77777777" w:rsidR="002E474C" w:rsidRPr="006B27CC" w:rsidRDefault="00000000" w:rsidP="006B27CC">
            <w:pPr>
              <w:pStyle w:val="A-"/>
              <w:spacing w:line="220" w:lineRule="exact"/>
            </w:pPr>
            <w:r w:rsidRPr="006B27CC">
              <w:t>HW48</w:t>
            </w:r>
          </w:p>
        </w:tc>
        <w:tc>
          <w:tcPr>
            <w:tcW w:w="382" w:type="pct"/>
            <w:vAlign w:val="center"/>
          </w:tcPr>
          <w:p w14:paraId="79E01A68" w14:textId="77777777" w:rsidR="002E474C" w:rsidRPr="006B27CC" w:rsidRDefault="00000000" w:rsidP="006B27CC">
            <w:pPr>
              <w:pStyle w:val="A-"/>
              <w:spacing w:line="220" w:lineRule="exact"/>
            </w:pPr>
            <w:r w:rsidRPr="006B27CC">
              <w:t>HW49</w:t>
            </w:r>
          </w:p>
        </w:tc>
        <w:tc>
          <w:tcPr>
            <w:tcW w:w="379" w:type="pct"/>
            <w:vAlign w:val="center"/>
          </w:tcPr>
          <w:p w14:paraId="2561EE96" w14:textId="77777777" w:rsidR="002E474C" w:rsidRPr="006B27CC" w:rsidRDefault="00000000" w:rsidP="006B27CC">
            <w:pPr>
              <w:pStyle w:val="A-"/>
              <w:spacing w:line="220" w:lineRule="exact"/>
            </w:pPr>
            <w:r w:rsidRPr="006B27CC">
              <w:t>HW50</w:t>
            </w:r>
          </w:p>
        </w:tc>
      </w:tr>
      <w:tr w:rsidR="002E474C" w:rsidRPr="006B27CC" w14:paraId="569FB874" w14:textId="77777777" w:rsidTr="009C3A0E">
        <w:tc>
          <w:tcPr>
            <w:tcW w:w="240" w:type="pct"/>
            <w:vMerge/>
            <w:vAlign w:val="center"/>
          </w:tcPr>
          <w:p w14:paraId="6977A4CC" w14:textId="77777777" w:rsidR="002E474C" w:rsidRPr="006B27CC" w:rsidRDefault="002E474C" w:rsidP="006B27CC">
            <w:pPr>
              <w:pStyle w:val="A-"/>
              <w:spacing w:line="220" w:lineRule="exact"/>
            </w:pPr>
          </w:p>
        </w:tc>
        <w:tc>
          <w:tcPr>
            <w:tcW w:w="138" w:type="pct"/>
            <w:vMerge/>
            <w:vAlign w:val="center"/>
          </w:tcPr>
          <w:p w14:paraId="2DFA0EC9" w14:textId="77777777" w:rsidR="002E474C" w:rsidRPr="006B27CC" w:rsidRDefault="002E474C" w:rsidP="006B27CC">
            <w:pPr>
              <w:pStyle w:val="A-"/>
              <w:spacing w:line="220" w:lineRule="exact"/>
            </w:pPr>
          </w:p>
        </w:tc>
        <w:tc>
          <w:tcPr>
            <w:tcW w:w="330" w:type="pct"/>
            <w:vAlign w:val="center"/>
          </w:tcPr>
          <w:p w14:paraId="6D160557" w14:textId="77777777" w:rsidR="002E474C" w:rsidRPr="006B27CC" w:rsidRDefault="00000000" w:rsidP="006B27CC">
            <w:pPr>
              <w:pStyle w:val="A-"/>
              <w:spacing w:line="220" w:lineRule="exact"/>
            </w:pPr>
            <w:r w:rsidRPr="006B27CC">
              <w:t>废酸</w:t>
            </w:r>
          </w:p>
        </w:tc>
        <w:tc>
          <w:tcPr>
            <w:tcW w:w="341" w:type="pct"/>
            <w:vAlign w:val="center"/>
          </w:tcPr>
          <w:p w14:paraId="00D7D006" w14:textId="77777777" w:rsidR="002E474C" w:rsidRPr="006B27CC" w:rsidRDefault="00000000" w:rsidP="006B27CC">
            <w:pPr>
              <w:pStyle w:val="A-"/>
              <w:spacing w:line="220" w:lineRule="exact"/>
            </w:pPr>
            <w:r w:rsidRPr="006B27CC">
              <w:t>废碱</w:t>
            </w:r>
          </w:p>
        </w:tc>
        <w:tc>
          <w:tcPr>
            <w:tcW w:w="424" w:type="pct"/>
            <w:vAlign w:val="center"/>
          </w:tcPr>
          <w:p w14:paraId="72541B91" w14:textId="77777777" w:rsidR="002E474C" w:rsidRPr="006B27CC" w:rsidRDefault="00000000" w:rsidP="006B27CC">
            <w:pPr>
              <w:pStyle w:val="A-"/>
              <w:spacing w:line="220" w:lineRule="exact"/>
              <w:ind w:leftChars="-50" w:left="-105" w:rightChars="-50" w:right="-105"/>
            </w:pPr>
            <w:r w:rsidRPr="006B27CC">
              <w:t>有机磷化合物废物</w:t>
            </w:r>
          </w:p>
        </w:tc>
        <w:tc>
          <w:tcPr>
            <w:tcW w:w="496" w:type="pct"/>
            <w:vAlign w:val="center"/>
          </w:tcPr>
          <w:p w14:paraId="1FB27C05" w14:textId="77777777" w:rsidR="002E474C" w:rsidRPr="006B27CC" w:rsidRDefault="00000000" w:rsidP="006B27CC">
            <w:pPr>
              <w:pStyle w:val="A-"/>
              <w:spacing w:line="220" w:lineRule="exact"/>
            </w:pPr>
            <w:r w:rsidRPr="006B27CC">
              <w:t>有机氰化废物</w:t>
            </w:r>
          </w:p>
        </w:tc>
        <w:tc>
          <w:tcPr>
            <w:tcW w:w="341" w:type="pct"/>
            <w:vAlign w:val="center"/>
          </w:tcPr>
          <w:p w14:paraId="1D4C91E0" w14:textId="77777777" w:rsidR="002E474C" w:rsidRPr="006B27CC" w:rsidRDefault="00000000" w:rsidP="006B27CC">
            <w:pPr>
              <w:pStyle w:val="A-"/>
              <w:spacing w:line="220" w:lineRule="exact"/>
            </w:pPr>
            <w:r w:rsidRPr="006B27CC">
              <w:t>含酚废物</w:t>
            </w:r>
          </w:p>
        </w:tc>
        <w:tc>
          <w:tcPr>
            <w:tcW w:w="371" w:type="pct"/>
            <w:vAlign w:val="center"/>
          </w:tcPr>
          <w:p w14:paraId="1D8511D9" w14:textId="77777777" w:rsidR="002E474C" w:rsidRPr="006B27CC" w:rsidRDefault="00000000" w:rsidP="006B27CC">
            <w:pPr>
              <w:pStyle w:val="A-"/>
              <w:spacing w:line="220" w:lineRule="exact"/>
            </w:pPr>
            <w:r w:rsidRPr="006B27CC">
              <w:t>含醚废物</w:t>
            </w:r>
          </w:p>
        </w:tc>
        <w:tc>
          <w:tcPr>
            <w:tcW w:w="545" w:type="pct"/>
            <w:vAlign w:val="center"/>
          </w:tcPr>
          <w:p w14:paraId="150A72A6" w14:textId="77777777" w:rsidR="002E474C" w:rsidRPr="006B27CC" w:rsidRDefault="00000000" w:rsidP="006B27CC">
            <w:pPr>
              <w:pStyle w:val="A-"/>
              <w:spacing w:line="220" w:lineRule="exact"/>
            </w:pPr>
            <w:r w:rsidRPr="006B27CC">
              <w:t>含有机卤化物废物</w:t>
            </w:r>
          </w:p>
        </w:tc>
        <w:tc>
          <w:tcPr>
            <w:tcW w:w="295" w:type="pct"/>
            <w:vAlign w:val="center"/>
          </w:tcPr>
          <w:p w14:paraId="4CDD025A" w14:textId="77777777" w:rsidR="002E474C" w:rsidRPr="006B27CC" w:rsidRDefault="00000000" w:rsidP="006B27CC">
            <w:pPr>
              <w:pStyle w:val="A-"/>
              <w:spacing w:line="220" w:lineRule="exact"/>
            </w:pPr>
            <w:r w:rsidRPr="006B27CC">
              <w:t>含镍废物</w:t>
            </w:r>
          </w:p>
        </w:tc>
        <w:tc>
          <w:tcPr>
            <w:tcW w:w="295" w:type="pct"/>
            <w:vAlign w:val="center"/>
          </w:tcPr>
          <w:p w14:paraId="55B00B70" w14:textId="77777777" w:rsidR="002E474C" w:rsidRPr="006B27CC" w:rsidRDefault="00000000" w:rsidP="006B27CC">
            <w:pPr>
              <w:pStyle w:val="A-"/>
              <w:spacing w:line="220" w:lineRule="exact"/>
            </w:pPr>
            <w:r w:rsidRPr="006B27CC">
              <w:t>含钡废物</w:t>
            </w:r>
          </w:p>
        </w:tc>
        <w:tc>
          <w:tcPr>
            <w:tcW w:w="424" w:type="pct"/>
            <w:vAlign w:val="center"/>
          </w:tcPr>
          <w:p w14:paraId="5DB3B23C" w14:textId="77777777" w:rsidR="002E474C" w:rsidRPr="006B27CC" w:rsidRDefault="00000000" w:rsidP="006B27CC">
            <w:pPr>
              <w:pStyle w:val="A-"/>
              <w:spacing w:line="220" w:lineRule="exact"/>
              <w:ind w:leftChars="-50" w:left="-105" w:rightChars="-50" w:right="-105"/>
            </w:pPr>
            <w:r w:rsidRPr="006B27CC">
              <w:t>有色金属冶炼废物</w:t>
            </w:r>
          </w:p>
        </w:tc>
        <w:tc>
          <w:tcPr>
            <w:tcW w:w="382" w:type="pct"/>
            <w:vAlign w:val="center"/>
          </w:tcPr>
          <w:p w14:paraId="51C98CE0" w14:textId="77777777" w:rsidR="002E474C" w:rsidRPr="006B27CC" w:rsidRDefault="00000000" w:rsidP="006B27CC">
            <w:pPr>
              <w:pStyle w:val="A-"/>
              <w:spacing w:line="220" w:lineRule="exact"/>
            </w:pPr>
            <w:r w:rsidRPr="006B27CC">
              <w:t>其他</w:t>
            </w:r>
          </w:p>
        </w:tc>
        <w:tc>
          <w:tcPr>
            <w:tcW w:w="379" w:type="pct"/>
            <w:vAlign w:val="center"/>
          </w:tcPr>
          <w:p w14:paraId="3C2E487D" w14:textId="77777777" w:rsidR="002E474C" w:rsidRPr="006B27CC" w:rsidRDefault="00000000" w:rsidP="006B27CC">
            <w:pPr>
              <w:pStyle w:val="A-"/>
              <w:spacing w:line="220" w:lineRule="exact"/>
            </w:pPr>
            <w:r w:rsidRPr="006B27CC">
              <w:t>废催化剂</w:t>
            </w:r>
          </w:p>
        </w:tc>
      </w:tr>
      <w:tr w:rsidR="002E474C" w:rsidRPr="006B27CC" w14:paraId="2E3BD147" w14:textId="77777777" w:rsidTr="009C3A0E">
        <w:tc>
          <w:tcPr>
            <w:tcW w:w="240" w:type="pct"/>
          </w:tcPr>
          <w:p w14:paraId="48741A33" w14:textId="77777777" w:rsidR="002E474C" w:rsidRPr="006B27CC" w:rsidRDefault="00000000" w:rsidP="006B27CC">
            <w:pPr>
              <w:pStyle w:val="A-"/>
              <w:spacing w:line="220" w:lineRule="exact"/>
            </w:pPr>
            <w:r w:rsidRPr="006B27CC">
              <w:t>含水率</w:t>
            </w:r>
          </w:p>
        </w:tc>
        <w:tc>
          <w:tcPr>
            <w:tcW w:w="138" w:type="pct"/>
          </w:tcPr>
          <w:p w14:paraId="291DEB20" w14:textId="77777777" w:rsidR="002E474C" w:rsidRPr="006B27CC" w:rsidRDefault="00000000" w:rsidP="006B27CC">
            <w:pPr>
              <w:pStyle w:val="A-"/>
              <w:spacing w:line="220" w:lineRule="exact"/>
            </w:pPr>
            <w:r w:rsidRPr="006B27CC">
              <w:t>%</w:t>
            </w:r>
          </w:p>
        </w:tc>
        <w:tc>
          <w:tcPr>
            <w:tcW w:w="330" w:type="pct"/>
          </w:tcPr>
          <w:p w14:paraId="7BD1E0DF" w14:textId="77777777" w:rsidR="002E474C" w:rsidRPr="006B27CC" w:rsidRDefault="00000000" w:rsidP="006B27CC">
            <w:pPr>
              <w:pStyle w:val="A-"/>
              <w:spacing w:line="220" w:lineRule="exact"/>
            </w:pPr>
            <w:r w:rsidRPr="006B27CC">
              <w:t>97.4</w:t>
            </w:r>
          </w:p>
        </w:tc>
        <w:tc>
          <w:tcPr>
            <w:tcW w:w="341" w:type="pct"/>
          </w:tcPr>
          <w:p w14:paraId="3DACB855" w14:textId="77777777" w:rsidR="002E474C" w:rsidRPr="006B27CC" w:rsidRDefault="00000000" w:rsidP="006B27CC">
            <w:pPr>
              <w:pStyle w:val="A-"/>
              <w:spacing w:line="220" w:lineRule="exact"/>
            </w:pPr>
            <w:r w:rsidRPr="006B27CC">
              <w:t>95.73</w:t>
            </w:r>
          </w:p>
        </w:tc>
        <w:tc>
          <w:tcPr>
            <w:tcW w:w="424" w:type="pct"/>
          </w:tcPr>
          <w:p w14:paraId="26286F52" w14:textId="77777777" w:rsidR="002E474C" w:rsidRPr="006B27CC" w:rsidRDefault="00000000" w:rsidP="006B27CC">
            <w:pPr>
              <w:pStyle w:val="A-"/>
              <w:spacing w:line="220" w:lineRule="exact"/>
            </w:pPr>
            <w:r w:rsidRPr="006B27CC">
              <w:t>92.68</w:t>
            </w:r>
          </w:p>
        </w:tc>
        <w:tc>
          <w:tcPr>
            <w:tcW w:w="496" w:type="pct"/>
          </w:tcPr>
          <w:p w14:paraId="7843597A" w14:textId="77777777" w:rsidR="002E474C" w:rsidRPr="006B27CC" w:rsidRDefault="00000000" w:rsidP="006B27CC">
            <w:pPr>
              <w:pStyle w:val="A-"/>
              <w:spacing w:line="220" w:lineRule="exact"/>
            </w:pPr>
            <w:r w:rsidRPr="006B27CC">
              <w:t>18.9</w:t>
            </w:r>
          </w:p>
        </w:tc>
        <w:tc>
          <w:tcPr>
            <w:tcW w:w="341" w:type="pct"/>
          </w:tcPr>
          <w:p w14:paraId="4ACCA278" w14:textId="77777777" w:rsidR="002E474C" w:rsidRPr="006B27CC" w:rsidRDefault="00000000" w:rsidP="006B27CC">
            <w:pPr>
              <w:pStyle w:val="A-"/>
              <w:spacing w:line="220" w:lineRule="exact"/>
            </w:pPr>
            <w:r w:rsidRPr="006B27CC">
              <w:t>27.21</w:t>
            </w:r>
          </w:p>
        </w:tc>
        <w:tc>
          <w:tcPr>
            <w:tcW w:w="371" w:type="pct"/>
          </w:tcPr>
          <w:p w14:paraId="2781A6E5" w14:textId="77777777" w:rsidR="002E474C" w:rsidRPr="006B27CC" w:rsidRDefault="002E474C" w:rsidP="006B27CC">
            <w:pPr>
              <w:pStyle w:val="A-"/>
              <w:spacing w:line="220" w:lineRule="exact"/>
            </w:pPr>
          </w:p>
        </w:tc>
        <w:tc>
          <w:tcPr>
            <w:tcW w:w="545" w:type="pct"/>
          </w:tcPr>
          <w:p w14:paraId="33EC55BE" w14:textId="77777777" w:rsidR="002E474C" w:rsidRPr="006B27CC" w:rsidRDefault="002E474C" w:rsidP="006B27CC">
            <w:pPr>
              <w:pStyle w:val="A-"/>
              <w:spacing w:line="220" w:lineRule="exact"/>
            </w:pPr>
          </w:p>
        </w:tc>
        <w:tc>
          <w:tcPr>
            <w:tcW w:w="295" w:type="pct"/>
          </w:tcPr>
          <w:p w14:paraId="0CA2167E" w14:textId="77777777" w:rsidR="002E474C" w:rsidRPr="006B27CC" w:rsidRDefault="00000000" w:rsidP="006B27CC">
            <w:pPr>
              <w:pStyle w:val="A-"/>
              <w:spacing w:line="220" w:lineRule="exact"/>
            </w:pPr>
            <w:r w:rsidRPr="006B27CC">
              <w:t>33.8</w:t>
            </w:r>
          </w:p>
        </w:tc>
        <w:tc>
          <w:tcPr>
            <w:tcW w:w="295" w:type="pct"/>
          </w:tcPr>
          <w:p w14:paraId="4145A9A7" w14:textId="77777777" w:rsidR="002E474C" w:rsidRPr="006B27CC" w:rsidRDefault="002E474C" w:rsidP="006B27CC">
            <w:pPr>
              <w:pStyle w:val="A-"/>
              <w:spacing w:line="220" w:lineRule="exact"/>
            </w:pPr>
          </w:p>
        </w:tc>
        <w:tc>
          <w:tcPr>
            <w:tcW w:w="424" w:type="pct"/>
          </w:tcPr>
          <w:p w14:paraId="288A4941" w14:textId="77777777" w:rsidR="002E474C" w:rsidRPr="006B27CC" w:rsidRDefault="00000000" w:rsidP="006B27CC">
            <w:pPr>
              <w:pStyle w:val="A-"/>
              <w:spacing w:line="220" w:lineRule="exact"/>
            </w:pPr>
            <w:r w:rsidRPr="006B27CC">
              <w:t>1.92</w:t>
            </w:r>
          </w:p>
        </w:tc>
        <w:tc>
          <w:tcPr>
            <w:tcW w:w="382" w:type="pct"/>
          </w:tcPr>
          <w:p w14:paraId="5C29176E" w14:textId="77777777" w:rsidR="002E474C" w:rsidRPr="006B27CC" w:rsidRDefault="00000000" w:rsidP="006B27CC">
            <w:pPr>
              <w:pStyle w:val="A-"/>
              <w:spacing w:line="220" w:lineRule="exact"/>
            </w:pPr>
            <w:r w:rsidRPr="006B27CC">
              <w:t>13.2</w:t>
            </w:r>
          </w:p>
        </w:tc>
        <w:tc>
          <w:tcPr>
            <w:tcW w:w="379" w:type="pct"/>
          </w:tcPr>
          <w:p w14:paraId="2F74C87B" w14:textId="77777777" w:rsidR="002E474C" w:rsidRPr="006B27CC" w:rsidRDefault="00000000" w:rsidP="006B27CC">
            <w:pPr>
              <w:pStyle w:val="A-"/>
              <w:spacing w:line="220" w:lineRule="exact"/>
            </w:pPr>
            <w:r w:rsidRPr="006B27CC">
              <w:t>68.3</w:t>
            </w:r>
          </w:p>
        </w:tc>
      </w:tr>
      <w:tr w:rsidR="002E474C" w:rsidRPr="006B27CC" w14:paraId="01DF6165" w14:textId="77777777" w:rsidTr="009C3A0E">
        <w:tc>
          <w:tcPr>
            <w:tcW w:w="240" w:type="pct"/>
          </w:tcPr>
          <w:p w14:paraId="47D86C48" w14:textId="77777777" w:rsidR="002E474C" w:rsidRPr="006B27CC" w:rsidRDefault="00000000" w:rsidP="006B27CC">
            <w:pPr>
              <w:pStyle w:val="A-"/>
              <w:spacing w:line="220" w:lineRule="exact"/>
            </w:pPr>
            <w:r w:rsidRPr="006B27CC">
              <w:t>热值</w:t>
            </w:r>
          </w:p>
        </w:tc>
        <w:tc>
          <w:tcPr>
            <w:tcW w:w="138" w:type="pct"/>
          </w:tcPr>
          <w:p w14:paraId="54BED7AD" w14:textId="77777777" w:rsidR="002E474C" w:rsidRPr="006B27CC" w:rsidRDefault="00000000" w:rsidP="006B27CC">
            <w:pPr>
              <w:pStyle w:val="A-"/>
              <w:spacing w:line="220" w:lineRule="exact"/>
            </w:pPr>
            <w:r w:rsidRPr="006B27CC">
              <w:t>J/g</w:t>
            </w:r>
          </w:p>
        </w:tc>
        <w:tc>
          <w:tcPr>
            <w:tcW w:w="330" w:type="pct"/>
          </w:tcPr>
          <w:p w14:paraId="3864F9AA" w14:textId="77777777" w:rsidR="002E474C" w:rsidRPr="006B27CC" w:rsidRDefault="00000000" w:rsidP="006B27CC">
            <w:pPr>
              <w:pStyle w:val="A-"/>
              <w:spacing w:line="220" w:lineRule="exact"/>
            </w:pPr>
            <w:r w:rsidRPr="006B27CC">
              <w:t>-1040.15</w:t>
            </w:r>
          </w:p>
        </w:tc>
        <w:tc>
          <w:tcPr>
            <w:tcW w:w="341" w:type="pct"/>
          </w:tcPr>
          <w:p w14:paraId="14CAC53A" w14:textId="77777777" w:rsidR="002E474C" w:rsidRPr="006B27CC" w:rsidRDefault="00000000" w:rsidP="006B27CC">
            <w:pPr>
              <w:pStyle w:val="A-"/>
              <w:spacing w:line="220" w:lineRule="exact"/>
            </w:pPr>
            <w:r w:rsidRPr="006B27CC">
              <w:t xml:space="preserve">-780.20 </w:t>
            </w:r>
          </w:p>
        </w:tc>
        <w:tc>
          <w:tcPr>
            <w:tcW w:w="424" w:type="pct"/>
          </w:tcPr>
          <w:p w14:paraId="41FD0D13" w14:textId="77777777" w:rsidR="002E474C" w:rsidRPr="006B27CC" w:rsidRDefault="00000000" w:rsidP="006B27CC">
            <w:pPr>
              <w:pStyle w:val="A-"/>
              <w:spacing w:line="220" w:lineRule="exact"/>
            </w:pPr>
            <w:r w:rsidRPr="006B27CC">
              <w:t>593.6</w:t>
            </w:r>
          </w:p>
        </w:tc>
        <w:tc>
          <w:tcPr>
            <w:tcW w:w="496" w:type="pct"/>
          </w:tcPr>
          <w:p w14:paraId="23EB64ED" w14:textId="77777777" w:rsidR="002E474C" w:rsidRPr="006B27CC" w:rsidRDefault="002E474C" w:rsidP="006B27CC">
            <w:pPr>
              <w:pStyle w:val="A-"/>
              <w:spacing w:line="220" w:lineRule="exact"/>
            </w:pPr>
          </w:p>
        </w:tc>
        <w:tc>
          <w:tcPr>
            <w:tcW w:w="341" w:type="pct"/>
          </w:tcPr>
          <w:p w14:paraId="188B9577" w14:textId="77777777" w:rsidR="002E474C" w:rsidRPr="006B27CC" w:rsidRDefault="00000000" w:rsidP="006B27CC">
            <w:pPr>
              <w:pStyle w:val="A-"/>
              <w:spacing w:line="220" w:lineRule="exact"/>
            </w:pPr>
            <w:r w:rsidRPr="006B27CC">
              <w:t>14300.47</w:t>
            </w:r>
          </w:p>
        </w:tc>
        <w:tc>
          <w:tcPr>
            <w:tcW w:w="371" w:type="pct"/>
          </w:tcPr>
          <w:p w14:paraId="3DF1C701" w14:textId="77777777" w:rsidR="002E474C" w:rsidRPr="006B27CC" w:rsidRDefault="00000000" w:rsidP="006B27CC">
            <w:pPr>
              <w:pStyle w:val="A-"/>
              <w:spacing w:line="220" w:lineRule="exact"/>
            </w:pPr>
            <w:r w:rsidRPr="006B27CC">
              <w:t xml:space="preserve">6100.30 </w:t>
            </w:r>
          </w:p>
        </w:tc>
        <w:tc>
          <w:tcPr>
            <w:tcW w:w="545" w:type="pct"/>
          </w:tcPr>
          <w:p w14:paraId="7F6C43DB" w14:textId="77777777" w:rsidR="002E474C" w:rsidRPr="006B27CC" w:rsidRDefault="00000000" w:rsidP="006B27CC">
            <w:pPr>
              <w:pStyle w:val="A-"/>
              <w:spacing w:line="220" w:lineRule="exact"/>
            </w:pPr>
            <w:r w:rsidRPr="006B27CC">
              <w:t>3150.3</w:t>
            </w:r>
          </w:p>
        </w:tc>
        <w:tc>
          <w:tcPr>
            <w:tcW w:w="295" w:type="pct"/>
          </w:tcPr>
          <w:p w14:paraId="7774283C" w14:textId="77777777" w:rsidR="002E474C" w:rsidRPr="006B27CC" w:rsidRDefault="00000000" w:rsidP="006B27CC">
            <w:pPr>
              <w:pStyle w:val="A-"/>
              <w:spacing w:line="220" w:lineRule="exact"/>
            </w:pPr>
            <w:r w:rsidRPr="006B27CC">
              <w:t>133.1</w:t>
            </w:r>
          </w:p>
        </w:tc>
        <w:tc>
          <w:tcPr>
            <w:tcW w:w="295" w:type="pct"/>
          </w:tcPr>
          <w:p w14:paraId="3E38736B" w14:textId="77777777" w:rsidR="002E474C" w:rsidRPr="006B27CC" w:rsidRDefault="00000000" w:rsidP="006B27CC">
            <w:pPr>
              <w:pStyle w:val="A-"/>
              <w:spacing w:line="220" w:lineRule="exact"/>
            </w:pPr>
            <w:r w:rsidRPr="006B27CC">
              <w:t>23521.3</w:t>
            </w:r>
          </w:p>
        </w:tc>
        <w:tc>
          <w:tcPr>
            <w:tcW w:w="424" w:type="pct"/>
          </w:tcPr>
          <w:p w14:paraId="16B09FD3" w14:textId="77777777" w:rsidR="002E474C" w:rsidRPr="006B27CC" w:rsidRDefault="00000000" w:rsidP="006B27CC">
            <w:pPr>
              <w:pStyle w:val="A-"/>
              <w:spacing w:line="220" w:lineRule="exact"/>
            </w:pPr>
            <w:r w:rsidRPr="006B27CC">
              <w:t>1454.7</w:t>
            </w:r>
          </w:p>
        </w:tc>
        <w:tc>
          <w:tcPr>
            <w:tcW w:w="382" w:type="pct"/>
          </w:tcPr>
          <w:p w14:paraId="10F00DDD" w14:textId="77777777" w:rsidR="002E474C" w:rsidRPr="006B27CC" w:rsidRDefault="00000000" w:rsidP="006B27CC">
            <w:pPr>
              <w:pStyle w:val="A-"/>
              <w:spacing w:line="220" w:lineRule="exact"/>
            </w:pPr>
            <w:r w:rsidRPr="006B27CC">
              <w:t>923.6</w:t>
            </w:r>
          </w:p>
        </w:tc>
        <w:tc>
          <w:tcPr>
            <w:tcW w:w="379" w:type="pct"/>
          </w:tcPr>
          <w:p w14:paraId="64509134" w14:textId="77777777" w:rsidR="002E474C" w:rsidRPr="006B27CC" w:rsidRDefault="00000000" w:rsidP="006B27CC">
            <w:pPr>
              <w:pStyle w:val="A-"/>
              <w:spacing w:line="220" w:lineRule="exact"/>
            </w:pPr>
            <w:r w:rsidRPr="006B27CC">
              <w:t>130.1</w:t>
            </w:r>
          </w:p>
        </w:tc>
      </w:tr>
      <w:tr w:rsidR="002E474C" w:rsidRPr="006B27CC" w14:paraId="3A1AA2D4" w14:textId="77777777" w:rsidTr="009C3A0E">
        <w:tc>
          <w:tcPr>
            <w:tcW w:w="240" w:type="pct"/>
          </w:tcPr>
          <w:p w14:paraId="71A80993" w14:textId="77777777" w:rsidR="002E474C" w:rsidRPr="006B27CC" w:rsidRDefault="00000000" w:rsidP="006B27CC">
            <w:pPr>
              <w:pStyle w:val="A-"/>
              <w:spacing w:line="220" w:lineRule="exact"/>
            </w:pPr>
            <w:r w:rsidRPr="006B27CC">
              <w:t>SiO</w:t>
            </w:r>
            <w:r w:rsidRPr="006B27CC">
              <w:rPr>
                <w:vertAlign w:val="subscript"/>
              </w:rPr>
              <w:t>2</w:t>
            </w:r>
          </w:p>
        </w:tc>
        <w:tc>
          <w:tcPr>
            <w:tcW w:w="138" w:type="pct"/>
          </w:tcPr>
          <w:p w14:paraId="56843AD9" w14:textId="77777777" w:rsidR="002E474C" w:rsidRPr="006B27CC" w:rsidRDefault="00000000" w:rsidP="006B27CC">
            <w:pPr>
              <w:pStyle w:val="A-"/>
              <w:spacing w:line="220" w:lineRule="exact"/>
            </w:pPr>
            <w:r w:rsidRPr="006B27CC">
              <w:t>%</w:t>
            </w:r>
          </w:p>
        </w:tc>
        <w:tc>
          <w:tcPr>
            <w:tcW w:w="330" w:type="pct"/>
          </w:tcPr>
          <w:p w14:paraId="29D27DB6" w14:textId="77777777" w:rsidR="002E474C" w:rsidRPr="006B27CC" w:rsidRDefault="00000000" w:rsidP="006B27CC">
            <w:pPr>
              <w:pStyle w:val="A-"/>
              <w:spacing w:line="220" w:lineRule="exact"/>
            </w:pPr>
            <w:r w:rsidRPr="006B27CC">
              <w:t>2.89</w:t>
            </w:r>
          </w:p>
        </w:tc>
        <w:tc>
          <w:tcPr>
            <w:tcW w:w="341" w:type="pct"/>
          </w:tcPr>
          <w:p w14:paraId="0B2D71A8" w14:textId="77777777" w:rsidR="002E474C" w:rsidRPr="006B27CC" w:rsidRDefault="00000000" w:rsidP="006B27CC">
            <w:pPr>
              <w:pStyle w:val="A-"/>
              <w:spacing w:line="220" w:lineRule="exact"/>
            </w:pPr>
            <w:r w:rsidRPr="006B27CC">
              <w:t>4.019</w:t>
            </w:r>
          </w:p>
        </w:tc>
        <w:tc>
          <w:tcPr>
            <w:tcW w:w="424" w:type="pct"/>
          </w:tcPr>
          <w:p w14:paraId="696DF8E5" w14:textId="77777777" w:rsidR="002E474C" w:rsidRPr="006B27CC" w:rsidRDefault="002E474C" w:rsidP="006B27CC">
            <w:pPr>
              <w:pStyle w:val="A-"/>
              <w:spacing w:line="220" w:lineRule="exact"/>
            </w:pPr>
          </w:p>
        </w:tc>
        <w:tc>
          <w:tcPr>
            <w:tcW w:w="496" w:type="pct"/>
          </w:tcPr>
          <w:p w14:paraId="3AF2523E" w14:textId="77777777" w:rsidR="002E474C" w:rsidRPr="006B27CC" w:rsidRDefault="00000000" w:rsidP="006B27CC">
            <w:pPr>
              <w:pStyle w:val="A-"/>
              <w:spacing w:line="220" w:lineRule="exact"/>
            </w:pPr>
            <w:r w:rsidRPr="006B27CC">
              <w:t>38.473</w:t>
            </w:r>
          </w:p>
        </w:tc>
        <w:tc>
          <w:tcPr>
            <w:tcW w:w="341" w:type="pct"/>
          </w:tcPr>
          <w:p w14:paraId="7D49E152" w14:textId="77777777" w:rsidR="002E474C" w:rsidRPr="006B27CC" w:rsidRDefault="00000000" w:rsidP="006B27CC">
            <w:pPr>
              <w:pStyle w:val="A-"/>
              <w:spacing w:line="220" w:lineRule="exact"/>
            </w:pPr>
            <w:r w:rsidRPr="006B27CC">
              <w:t>0.569</w:t>
            </w:r>
          </w:p>
        </w:tc>
        <w:tc>
          <w:tcPr>
            <w:tcW w:w="371" w:type="pct"/>
          </w:tcPr>
          <w:p w14:paraId="16560DF6" w14:textId="77777777" w:rsidR="002E474C" w:rsidRPr="006B27CC" w:rsidRDefault="002E474C" w:rsidP="006B27CC">
            <w:pPr>
              <w:pStyle w:val="A-"/>
              <w:spacing w:line="220" w:lineRule="exact"/>
            </w:pPr>
          </w:p>
        </w:tc>
        <w:tc>
          <w:tcPr>
            <w:tcW w:w="545" w:type="pct"/>
          </w:tcPr>
          <w:p w14:paraId="7E6263EA" w14:textId="77777777" w:rsidR="002E474C" w:rsidRPr="006B27CC" w:rsidRDefault="002E474C" w:rsidP="006B27CC">
            <w:pPr>
              <w:pStyle w:val="A-"/>
              <w:spacing w:line="220" w:lineRule="exact"/>
            </w:pPr>
          </w:p>
        </w:tc>
        <w:tc>
          <w:tcPr>
            <w:tcW w:w="295" w:type="pct"/>
          </w:tcPr>
          <w:p w14:paraId="1FA00823" w14:textId="77777777" w:rsidR="002E474C" w:rsidRPr="006B27CC" w:rsidRDefault="00000000" w:rsidP="006B27CC">
            <w:pPr>
              <w:pStyle w:val="A-"/>
              <w:spacing w:line="220" w:lineRule="exact"/>
            </w:pPr>
            <w:r w:rsidRPr="006B27CC">
              <w:t>11.9</w:t>
            </w:r>
          </w:p>
        </w:tc>
        <w:tc>
          <w:tcPr>
            <w:tcW w:w="295" w:type="pct"/>
          </w:tcPr>
          <w:p w14:paraId="5964F191" w14:textId="77777777" w:rsidR="002E474C" w:rsidRPr="006B27CC" w:rsidRDefault="002E474C" w:rsidP="006B27CC">
            <w:pPr>
              <w:pStyle w:val="A-"/>
              <w:spacing w:line="220" w:lineRule="exact"/>
            </w:pPr>
          </w:p>
        </w:tc>
        <w:tc>
          <w:tcPr>
            <w:tcW w:w="424" w:type="pct"/>
          </w:tcPr>
          <w:p w14:paraId="10943320" w14:textId="77777777" w:rsidR="002E474C" w:rsidRPr="006B27CC" w:rsidRDefault="00000000" w:rsidP="006B27CC">
            <w:pPr>
              <w:pStyle w:val="A-"/>
              <w:spacing w:line="220" w:lineRule="exact"/>
            </w:pPr>
            <w:r w:rsidRPr="006B27CC">
              <w:t>14.5</w:t>
            </w:r>
          </w:p>
        </w:tc>
        <w:tc>
          <w:tcPr>
            <w:tcW w:w="382" w:type="pct"/>
          </w:tcPr>
          <w:p w14:paraId="207A183C" w14:textId="77777777" w:rsidR="002E474C" w:rsidRPr="006B27CC" w:rsidRDefault="00000000" w:rsidP="006B27CC">
            <w:pPr>
              <w:pStyle w:val="A-"/>
              <w:spacing w:line="220" w:lineRule="exact"/>
            </w:pPr>
            <w:r w:rsidRPr="006B27CC">
              <w:t>2.12</w:t>
            </w:r>
          </w:p>
        </w:tc>
        <w:tc>
          <w:tcPr>
            <w:tcW w:w="379" w:type="pct"/>
          </w:tcPr>
          <w:p w14:paraId="070085D3" w14:textId="77777777" w:rsidR="002E474C" w:rsidRPr="006B27CC" w:rsidRDefault="00000000" w:rsidP="006B27CC">
            <w:pPr>
              <w:pStyle w:val="A-"/>
              <w:spacing w:line="220" w:lineRule="exact"/>
            </w:pPr>
            <w:r w:rsidRPr="006B27CC">
              <w:t>1.16</w:t>
            </w:r>
          </w:p>
        </w:tc>
      </w:tr>
      <w:tr w:rsidR="002E474C" w:rsidRPr="006B27CC" w14:paraId="0BD1238B" w14:textId="77777777" w:rsidTr="009C3A0E">
        <w:tc>
          <w:tcPr>
            <w:tcW w:w="240" w:type="pct"/>
          </w:tcPr>
          <w:p w14:paraId="2AE57B2E" w14:textId="77777777" w:rsidR="002E474C" w:rsidRPr="006B27CC" w:rsidRDefault="00000000" w:rsidP="006B27CC">
            <w:pPr>
              <w:pStyle w:val="A-"/>
              <w:spacing w:line="220" w:lineRule="exact"/>
            </w:pPr>
            <w:r w:rsidRPr="006B27CC">
              <w:t>AlO</w:t>
            </w:r>
            <w:r w:rsidRPr="006B27CC">
              <w:rPr>
                <w:vertAlign w:val="subscript"/>
              </w:rPr>
              <w:t>2</w:t>
            </w:r>
          </w:p>
        </w:tc>
        <w:tc>
          <w:tcPr>
            <w:tcW w:w="138" w:type="pct"/>
          </w:tcPr>
          <w:p w14:paraId="40B35739" w14:textId="77777777" w:rsidR="002E474C" w:rsidRPr="006B27CC" w:rsidRDefault="00000000" w:rsidP="006B27CC">
            <w:pPr>
              <w:pStyle w:val="A-"/>
              <w:spacing w:line="220" w:lineRule="exact"/>
            </w:pPr>
            <w:r w:rsidRPr="006B27CC">
              <w:t>%</w:t>
            </w:r>
          </w:p>
        </w:tc>
        <w:tc>
          <w:tcPr>
            <w:tcW w:w="330" w:type="pct"/>
          </w:tcPr>
          <w:p w14:paraId="3B25F26F" w14:textId="77777777" w:rsidR="002E474C" w:rsidRPr="006B27CC" w:rsidRDefault="00000000" w:rsidP="006B27CC">
            <w:pPr>
              <w:pStyle w:val="A-"/>
              <w:spacing w:line="220" w:lineRule="exact"/>
            </w:pPr>
            <w:r w:rsidRPr="006B27CC">
              <w:t>0.059</w:t>
            </w:r>
          </w:p>
        </w:tc>
        <w:tc>
          <w:tcPr>
            <w:tcW w:w="341" w:type="pct"/>
          </w:tcPr>
          <w:p w14:paraId="39D2662A" w14:textId="77777777" w:rsidR="002E474C" w:rsidRPr="006B27CC" w:rsidRDefault="00000000" w:rsidP="006B27CC">
            <w:pPr>
              <w:pStyle w:val="A-"/>
              <w:spacing w:line="220" w:lineRule="exact"/>
            </w:pPr>
            <w:r w:rsidRPr="006B27CC">
              <w:t>30.053</w:t>
            </w:r>
          </w:p>
        </w:tc>
        <w:tc>
          <w:tcPr>
            <w:tcW w:w="424" w:type="pct"/>
          </w:tcPr>
          <w:p w14:paraId="57A62AEE" w14:textId="77777777" w:rsidR="002E474C" w:rsidRPr="006B27CC" w:rsidRDefault="002E474C" w:rsidP="006B27CC">
            <w:pPr>
              <w:pStyle w:val="A-"/>
              <w:spacing w:line="220" w:lineRule="exact"/>
            </w:pPr>
          </w:p>
        </w:tc>
        <w:tc>
          <w:tcPr>
            <w:tcW w:w="496" w:type="pct"/>
          </w:tcPr>
          <w:p w14:paraId="1CC9C5DA" w14:textId="77777777" w:rsidR="002E474C" w:rsidRPr="006B27CC" w:rsidRDefault="00000000" w:rsidP="006B27CC">
            <w:pPr>
              <w:pStyle w:val="A-"/>
              <w:spacing w:line="220" w:lineRule="exact"/>
            </w:pPr>
            <w:r w:rsidRPr="006B27CC">
              <w:t>8.2</w:t>
            </w:r>
          </w:p>
        </w:tc>
        <w:tc>
          <w:tcPr>
            <w:tcW w:w="341" w:type="pct"/>
          </w:tcPr>
          <w:p w14:paraId="03B80A6D" w14:textId="77777777" w:rsidR="002E474C" w:rsidRPr="006B27CC" w:rsidRDefault="00000000" w:rsidP="006B27CC">
            <w:pPr>
              <w:pStyle w:val="A-"/>
              <w:spacing w:line="220" w:lineRule="exact"/>
            </w:pPr>
            <w:r w:rsidRPr="006B27CC">
              <w:t>98.101</w:t>
            </w:r>
          </w:p>
        </w:tc>
        <w:tc>
          <w:tcPr>
            <w:tcW w:w="371" w:type="pct"/>
          </w:tcPr>
          <w:p w14:paraId="46749CFD" w14:textId="77777777" w:rsidR="002E474C" w:rsidRPr="006B27CC" w:rsidRDefault="002E474C" w:rsidP="006B27CC">
            <w:pPr>
              <w:pStyle w:val="A-"/>
              <w:spacing w:line="220" w:lineRule="exact"/>
            </w:pPr>
          </w:p>
        </w:tc>
        <w:tc>
          <w:tcPr>
            <w:tcW w:w="545" w:type="pct"/>
          </w:tcPr>
          <w:p w14:paraId="02B761E4" w14:textId="77777777" w:rsidR="002E474C" w:rsidRPr="006B27CC" w:rsidRDefault="002E474C" w:rsidP="006B27CC">
            <w:pPr>
              <w:pStyle w:val="A-"/>
              <w:spacing w:line="220" w:lineRule="exact"/>
            </w:pPr>
          </w:p>
        </w:tc>
        <w:tc>
          <w:tcPr>
            <w:tcW w:w="295" w:type="pct"/>
          </w:tcPr>
          <w:p w14:paraId="50332259" w14:textId="77777777" w:rsidR="002E474C" w:rsidRPr="006B27CC" w:rsidRDefault="00000000" w:rsidP="006B27CC">
            <w:pPr>
              <w:pStyle w:val="A-"/>
              <w:spacing w:line="220" w:lineRule="exact"/>
            </w:pPr>
            <w:r w:rsidRPr="006B27CC">
              <w:t>4.2</w:t>
            </w:r>
          </w:p>
        </w:tc>
        <w:tc>
          <w:tcPr>
            <w:tcW w:w="295" w:type="pct"/>
          </w:tcPr>
          <w:p w14:paraId="54B984DA" w14:textId="77777777" w:rsidR="002E474C" w:rsidRPr="006B27CC" w:rsidRDefault="002E474C" w:rsidP="006B27CC">
            <w:pPr>
              <w:pStyle w:val="A-"/>
              <w:spacing w:line="220" w:lineRule="exact"/>
            </w:pPr>
          </w:p>
        </w:tc>
        <w:tc>
          <w:tcPr>
            <w:tcW w:w="424" w:type="pct"/>
          </w:tcPr>
          <w:p w14:paraId="6C2A8BD7" w14:textId="77777777" w:rsidR="002E474C" w:rsidRPr="006B27CC" w:rsidRDefault="00000000" w:rsidP="006B27CC">
            <w:pPr>
              <w:pStyle w:val="A-"/>
              <w:spacing w:line="220" w:lineRule="exact"/>
            </w:pPr>
            <w:r w:rsidRPr="006B27CC">
              <w:t>13.03</w:t>
            </w:r>
          </w:p>
        </w:tc>
        <w:tc>
          <w:tcPr>
            <w:tcW w:w="382" w:type="pct"/>
          </w:tcPr>
          <w:p w14:paraId="37439F7B" w14:textId="77777777" w:rsidR="002E474C" w:rsidRPr="006B27CC" w:rsidRDefault="00000000" w:rsidP="006B27CC">
            <w:pPr>
              <w:pStyle w:val="A-"/>
              <w:spacing w:line="220" w:lineRule="exact"/>
            </w:pPr>
            <w:r w:rsidRPr="006B27CC">
              <w:t>5.55</w:t>
            </w:r>
          </w:p>
        </w:tc>
        <w:tc>
          <w:tcPr>
            <w:tcW w:w="379" w:type="pct"/>
          </w:tcPr>
          <w:p w14:paraId="384A0C93" w14:textId="77777777" w:rsidR="002E474C" w:rsidRPr="006B27CC" w:rsidRDefault="00000000" w:rsidP="006B27CC">
            <w:pPr>
              <w:pStyle w:val="A-"/>
              <w:spacing w:line="220" w:lineRule="exact"/>
            </w:pPr>
            <w:r w:rsidRPr="006B27CC">
              <w:t>0.46</w:t>
            </w:r>
          </w:p>
        </w:tc>
      </w:tr>
      <w:tr w:rsidR="002E474C" w:rsidRPr="006B27CC" w14:paraId="13584427" w14:textId="77777777" w:rsidTr="009C3A0E">
        <w:tc>
          <w:tcPr>
            <w:tcW w:w="240" w:type="pct"/>
          </w:tcPr>
          <w:p w14:paraId="714D518D" w14:textId="77777777" w:rsidR="002E474C" w:rsidRPr="006B27CC" w:rsidRDefault="00000000" w:rsidP="006B27CC">
            <w:pPr>
              <w:pStyle w:val="A-"/>
              <w:spacing w:line="220" w:lineRule="exact"/>
            </w:pPr>
            <w:r w:rsidRPr="006B27CC">
              <w:t>Fe</w:t>
            </w:r>
          </w:p>
        </w:tc>
        <w:tc>
          <w:tcPr>
            <w:tcW w:w="138" w:type="pct"/>
          </w:tcPr>
          <w:p w14:paraId="3E3E880E" w14:textId="77777777" w:rsidR="002E474C" w:rsidRPr="006B27CC" w:rsidRDefault="00000000" w:rsidP="006B27CC">
            <w:pPr>
              <w:pStyle w:val="A-"/>
              <w:spacing w:line="220" w:lineRule="exact"/>
            </w:pPr>
            <w:r w:rsidRPr="006B27CC">
              <w:t>%</w:t>
            </w:r>
          </w:p>
        </w:tc>
        <w:tc>
          <w:tcPr>
            <w:tcW w:w="330" w:type="pct"/>
          </w:tcPr>
          <w:p w14:paraId="7FF66869" w14:textId="77777777" w:rsidR="002E474C" w:rsidRPr="006B27CC" w:rsidRDefault="002E474C" w:rsidP="006B27CC">
            <w:pPr>
              <w:pStyle w:val="A-"/>
              <w:spacing w:line="220" w:lineRule="exact"/>
            </w:pPr>
          </w:p>
        </w:tc>
        <w:tc>
          <w:tcPr>
            <w:tcW w:w="341" w:type="pct"/>
          </w:tcPr>
          <w:p w14:paraId="2B10707E" w14:textId="77777777" w:rsidR="002E474C" w:rsidRPr="006B27CC" w:rsidRDefault="00000000" w:rsidP="006B27CC">
            <w:pPr>
              <w:pStyle w:val="A-"/>
              <w:spacing w:line="220" w:lineRule="exact"/>
            </w:pPr>
            <w:r w:rsidRPr="006B27CC">
              <w:t>1.166</w:t>
            </w:r>
          </w:p>
        </w:tc>
        <w:tc>
          <w:tcPr>
            <w:tcW w:w="424" w:type="pct"/>
          </w:tcPr>
          <w:p w14:paraId="30B85E6D" w14:textId="77777777" w:rsidR="002E474C" w:rsidRPr="006B27CC" w:rsidRDefault="002E474C" w:rsidP="006B27CC">
            <w:pPr>
              <w:pStyle w:val="A-"/>
              <w:spacing w:line="220" w:lineRule="exact"/>
            </w:pPr>
          </w:p>
        </w:tc>
        <w:tc>
          <w:tcPr>
            <w:tcW w:w="496" w:type="pct"/>
          </w:tcPr>
          <w:p w14:paraId="2C0B4E78" w14:textId="77777777" w:rsidR="002E474C" w:rsidRPr="006B27CC" w:rsidRDefault="00000000" w:rsidP="006B27CC">
            <w:pPr>
              <w:pStyle w:val="A-"/>
              <w:spacing w:line="220" w:lineRule="exact"/>
            </w:pPr>
            <w:r w:rsidRPr="006B27CC">
              <w:t>19.697</w:t>
            </w:r>
          </w:p>
        </w:tc>
        <w:tc>
          <w:tcPr>
            <w:tcW w:w="341" w:type="pct"/>
          </w:tcPr>
          <w:p w14:paraId="48CE2763" w14:textId="77777777" w:rsidR="002E474C" w:rsidRPr="006B27CC" w:rsidRDefault="00000000" w:rsidP="006B27CC">
            <w:pPr>
              <w:pStyle w:val="A-"/>
              <w:spacing w:line="220" w:lineRule="exact"/>
            </w:pPr>
            <w:r w:rsidRPr="006B27CC">
              <w:t>0.305</w:t>
            </w:r>
          </w:p>
        </w:tc>
        <w:tc>
          <w:tcPr>
            <w:tcW w:w="371" w:type="pct"/>
          </w:tcPr>
          <w:p w14:paraId="27C9D9FB" w14:textId="77777777" w:rsidR="002E474C" w:rsidRPr="006B27CC" w:rsidRDefault="002E474C" w:rsidP="006B27CC">
            <w:pPr>
              <w:pStyle w:val="A-"/>
              <w:spacing w:line="220" w:lineRule="exact"/>
            </w:pPr>
          </w:p>
        </w:tc>
        <w:tc>
          <w:tcPr>
            <w:tcW w:w="545" w:type="pct"/>
          </w:tcPr>
          <w:p w14:paraId="05BC43EF" w14:textId="77777777" w:rsidR="002E474C" w:rsidRPr="006B27CC" w:rsidRDefault="002E474C" w:rsidP="006B27CC">
            <w:pPr>
              <w:pStyle w:val="A-"/>
              <w:spacing w:line="220" w:lineRule="exact"/>
            </w:pPr>
          </w:p>
        </w:tc>
        <w:tc>
          <w:tcPr>
            <w:tcW w:w="295" w:type="pct"/>
          </w:tcPr>
          <w:p w14:paraId="2286E1D2" w14:textId="77777777" w:rsidR="002E474C" w:rsidRPr="006B27CC" w:rsidRDefault="00000000" w:rsidP="006B27CC">
            <w:pPr>
              <w:pStyle w:val="A-"/>
              <w:spacing w:line="220" w:lineRule="exact"/>
            </w:pPr>
            <w:r w:rsidRPr="006B27CC">
              <w:t>0.000000342</w:t>
            </w:r>
          </w:p>
        </w:tc>
        <w:tc>
          <w:tcPr>
            <w:tcW w:w="295" w:type="pct"/>
          </w:tcPr>
          <w:p w14:paraId="2B91FF65" w14:textId="77777777" w:rsidR="002E474C" w:rsidRPr="006B27CC" w:rsidRDefault="002E474C" w:rsidP="006B27CC">
            <w:pPr>
              <w:pStyle w:val="A-"/>
              <w:spacing w:line="220" w:lineRule="exact"/>
            </w:pPr>
          </w:p>
        </w:tc>
        <w:tc>
          <w:tcPr>
            <w:tcW w:w="424" w:type="pct"/>
          </w:tcPr>
          <w:p w14:paraId="1AFF91D2" w14:textId="77777777" w:rsidR="002E474C" w:rsidRPr="006B27CC" w:rsidRDefault="00000000" w:rsidP="006B27CC">
            <w:pPr>
              <w:pStyle w:val="A-"/>
              <w:spacing w:line="220" w:lineRule="exact"/>
            </w:pPr>
            <w:r w:rsidRPr="006B27CC">
              <w:t>0.000000471</w:t>
            </w:r>
          </w:p>
        </w:tc>
        <w:tc>
          <w:tcPr>
            <w:tcW w:w="382" w:type="pct"/>
          </w:tcPr>
          <w:p w14:paraId="5989EDBE" w14:textId="77777777" w:rsidR="002E474C" w:rsidRPr="006B27CC" w:rsidRDefault="00000000" w:rsidP="006B27CC">
            <w:pPr>
              <w:pStyle w:val="A-"/>
              <w:spacing w:line="220" w:lineRule="exact"/>
            </w:pPr>
            <w:r w:rsidRPr="006B27CC">
              <w:t>0.000000742</w:t>
            </w:r>
          </w:p>
        </w:tc>
        <w:tc>
          <w:tcPr>
            <w:tcW w:w="379" w:type="pct"/>
          </w:tcPr>
          <w:p w14:paraId="1B7284AB" w14:textId="77777777" w:rsidR="002E474C" w:rsidRPr="006B27CC" w:rsidRDefault="00000000" w:rsidP="006B27CC">
            <w:pPr>
              <w:pStyle w:val="A-"/>
              <w:spacing w:line="220" w:lineRule="exact"/>
            </w:pPr>
            <w:r w:rsidRPr="006B27CC">
              <w:t>0.00000068</w:t>
            </w:r>
          </w:p>
        </w:tc>
      </w:tr>
      <w:tr w:rsidR="002E474C" w:rsidRPr="006B27CC" w14:paraId="7E3626E0" w14:textId="77777777" w:rsidTr="009C3A0E">
        <w:tc>
          <w:tcPr>
            <w:tcW w:w="240" w:type="pct"/>
          </w:tcPr>
          <w:p w14:paraId="3C3B5034" w14:textId="77777777" w:rsidR="002E474C" w:rsidRPr="006B27CC" w:rsidRDefault="00000000" w:rsidP="006B27CC">
            <w:pPr>
              <w:pStyle w:val="A-"/>
              <w:spacing w:line="220" w:lineRule="exact"/>
            </w:pPr>
            <w:proofErr w:type="spellStart"/>
            <w:r w:rsidRPr="006B27CC">
              <w:t>CaO</w:t>
            </w:r>
            <w:proofErr w:type="spellEnd"/>
          </w:p>
        </w:tc>
        <w:tc>
          <w:tcPr>
            <w:tcW w:w="138" w:type="pct"/>
          </w:tcPr>
          <w:p w14:paraId="4A80B208" w14:textId="77777777" w:rsidR="002E474C" w:rsidRPr="006B27CC" w:rsidRDefault="00000000" w:rsidP="006B27CC">
            <w:pPr>
              <w:pStyle w:val="A-"/>
              <w:spacing w:line="220" w:lineRule="exact"/>
            </w:pPr>
            <w:r w:rsidRPr="006B27CC">
              <w:t>%</w:t>
            </w:r>
          </w:p>
        </w:tc>
        <w:tc>
          <w:tcPr>
            <w:tcW w:w="330" w:type="pct"/>
          </w:tcPr>
          <w:p w14:paraId="463AC043" w14:textId="77777777" w:rsidR="002E474C" w:rsidRPr="006B27CC" w:rsidRDefault="00000000" w:rsidP="006B27CC">
            <w:pPr>
              <w:pStyle w:val="A-"/>
              <w:spacing w:line="220" w:lineRule="exact"/>
            </w:pPr>
            <w:r w:rsidRPr="006B27CC">
              <w:t>0.043</w:t>
            </w:r>
          </w:p>
        </w:tc>
        <w:tc>
          <w:tcPr>
            <w:tcW w:w="341" w:type="pct"/>
          </w:tcPr>
          <w:p w14:paraId="56EE9EA2" w14:textId="77777777" w:rsidR="002E474C" w:rsidRPr="006B27CC" w:rsidRDefault="00000000" w:rsidP="006B27CC">
            <w:pPr>
              <w:pStyle w:val="A-"/>
              <w:spacing w:line="220" w:lineRule="exact"/>
            </w:pPr>
            <w:r w:rsidRPr="006B27CC">
              <w:t>6.094</w:t>
            </w:r>
          </w:p>
        </w:tc>
        <w:tc>
          <w:tcPr>
            <w:tcW w:w="424" w:type="pct"/>
          </w:tcPr>
          <w:p w14:paraId="1B4893F5" w14:textId="77777777" w:rsidR="002E474C" w:rsidRPr="006B27CC" w:rsidRDefault="002E474C" w:rsidP="006B27CC">
            <w:pPr>
              <w:pStyle w:val="A-"/>
              <w:spacing w:line="220" w:lineRule="exact"/>
            </w:pPr>
          </w:p>
        </w:tc>
        <w:tc>
          <w:tcPr>
            <w:tcW w:w="496" w:type="pct"/>
          </w:tcPr>
          <w:p w14:paraId="4A60CF15" w14:textId="77777777" w:rsidR="002E474C" w:rsidRPr="006B27CC" w:rsidRDefault="00000000" w:rsidP="006B27CC">
            <w:pPr>
              <w:pStyle w:val="A-"/>
              <w:spacing w:line="220" w:lineRule="exact"/>
            </w:pPr>
            <w:r w:rsidRPr="006B27CC">
              <w:t>0.746</w:t>
            </w:r>
          </w:p>
        </w:tc>
        <w:tc>
          <w:tcPr>
            <w:tcW w:w="341" w:type="pct"/>
          </w:tcPr>
          <w:p w14:paraId="7EF5317E" w14:textId="77777777" w:rsidR="002E474C" w:rsidRPr="006B27CC" w:rsidRDefault="00000000" w:rsidP="006B27CC">
            <w:pPr>
              <w:pStyle w:val="A-"/>
              <w:spacing w:line="220" w:lineRule="exact"/>
            </w:pPr>
            <w:r w:rsidRPr="006B27CC">
              <w:t>0.177</w:t>
            </w:r>
          </w:p>
        </w:tc>
        <w:tc>
          <w:tcPr>
            <w:tcW w:w="371" w:type="pct"/>
          </w:tcPr>
          <w:p w14:paraId="1F7898F3" w14:textId="77777777" w:rsidR="002E474C" w:rsidRPr="006B27CC" w:rsidRDefault="002E474C" w:rsidP="006B27CC">
            <w:pPr>
              <w:pStyle w:val="A-"/>
              <w:spacing w:line="220" w:lineRule="exact"/>
            </w:pPr>
          </w:p>
        </w:tc>
        <w:tc>
          <w:tcPr>
            <w:tcW w:w="545" w:type="pct"/>
          </w:tcPr>
          <w:p w14:paraId="70906496" w14:textId="77777777" w:rsidR="002E474C" w:rsidRPr="006B27CC" w:rsidRDefault="002E474C" w:rsidP="006B27CC">
            <w:pPr>
              <w:pStyle w:val="A-"/>
              <w:spacing w:line="220" w:lineRule="exact"/>
            </w:pPr>
          </w:p>
        </w:tc>
        <w:tc>
          <w:tcPr>
            <w:tcW w:w="295" w:type="pct"/>
          </w:tcPr>
          <w:p w14:paraId="6E6FC52D" w14:textId="77777777" w:rsidR="002E474C" w:rsidRPr="006B27CC" w:rsidRDefault="00000000" w:rsidP="006B27CC">
            <w:pPr>
              <w:pStyle w:val="A-"/>
              <w:spacing w:line="220" w:lineRule="exact"/>
            </w:pPr>
            <w:r w:rsidRPr="006B27CC">
              <w:t>6.89</w:t>
            </w:r>
          </w:p>
        </w:tc>
        <w:tc>
          <w:tcPr>
            <w:tcW w:w="295" w:type="pct"/>
          </w:tcPr>
          <w:p w14:paraId="50EC44C2" w14:textId="77777777" w:rsidR="002E474C" w:rsidRPr="006B27CC" w:rsidRDefault="002E474C" w:rsidP="006B27CC">
            <w:pPr>
              <w:pStyle w:val="A-"/>
              <w:spacing w:line="220" w:lineRule="exact"/>
            </w:pPr>
          </w:p>
        </w:tc>
        <w:tc>
          <w:tcPr>
            <w:tcW w:w="424" w:type="pct"/>
          </w:tcPr>
          <w:p w14:paraId="1316B898" w14:textId="77777777" w:rsidR="002E474C" w:rsidRPr="006B27CC" w:rsidRDefault="00000000" w:rsidP="006B27CC">
            <w:pPr>
              <w:pStyle w:val="A-"/>
              <w:spacing w:line="220" w:lineRule="exact"/>
            </w:pPr>
            <w:r w:rsidRPr="006B27CC">
              <w:t>8.23</w:t>
            </w:r>
          </w:p>
        </w:tc>
        <w:tc>
          <w:tcPr>
            <w:tcW w:w="382" w:type="pct"/>
          </w:tcPr>
          <w:p w14:paraId="69B46B32" w14:textId="77777777" w:rsidR="002E474C" w:rsidRPr="006B27CC" w:rsidRDefault="00000000" w:rsidP="006B27CC">
            <w:pPr>
              <w:pStyle w:val="A-"/>
              <w:spacing w:line="220" w:lineRule="exact"/>
            </w:pPr>
            <w:r w:rsidRPr="006B27CC">
              <w:t>6.35</w:t>
            </w:r>
          </w:p>
        </w:tc>
        <w:tc>
          <w:tcPr>
            <w:tcW w:w="379" w:type="pct"/>
          </w:tcPr>
          <w:p w14:paraId="49813E0C" w14:textId="77777777" w:rsidR="002E474C" w:rsidRPr="006B27CC" w:rsidRDefault="00000000" w:rsidP="006B27CC">
            <w:pPr>
              <w:pStyle w:val="A-"/>
              <w:spacing w:line="220" w:lineRule="exact"/>
            </w:pPr>
            <w:r w:rsidRPr="006B27CC">
              <w:t>2.63</w:t>
            </w:r>
          </w:p>
        </w:tc>
      </w:tr>
      <w:tr w:rsidR="002E474C" w:rsidRPr="006B27CC" w14:paraId="330D7189" w14:textId="77777777" w:rsidTr="009C3A0E">
        <w:tc>
          <w:tcPr>
            <w:tcW w:w="240" w:type="pct"/>
          </w:tcPr>
          <w:p w14:paraId="7E7E5B61" w14:textId="77777777" w:rsidR="002E474C" w:rsidRPr="006B27CC" w:rsidRDefault="00000000" w:rsidP="006B27CC">
            <w:pPr>
              <w:pStyle w:val="A-"/>
              <w:spacing w:line="220" w:lineRule="exact"/>
            </w:pPr>
            <w:r w:rsidRPr="006B27CC">
              <w:t>F</w:t>
            </w:r>
          </w:p>
        </w:tc>
        <w:tc>
          <w:tcPr>
            <w:tcW w:w="138" w:type="pct"/>
          </w:tcPr>
          <w:p w14:paraId="508489C1" w14:textId="77777777" w:rsidR="002E474C" w:rsidRPr="006B27CC" w:rsidRDefault="00000000" w:rsidP="006B27CC">
            <w:pPr>
              <w:pStyle w:val="A-"/>
              <w:spacing w:line="220" w:lineRule="exact"/>
            </w:pPr>
            <w:r w:rsidRPr="006B27CC">
              <w:t>%</w:t>
            </w:r>
          </w:p>
        </w:tc>
        <w:tc>
          <w:tcPr>
            <w:tcW w:w="330" w:type="pct"/>
          </w:tcPr>
          <w:p w14:paraId="07A59226" w14:textId="77777777" w:rsidR="002E474C" w:rsidRPr="006B27CC" w:rsidRDefault="002E474C" w:rsidP="006B27CC">
            <w:pPr>
              <w:pStyle w:val="A-"/>
              <w:spacing w:line="220" w:lineRule="exact"/>
            </w:pPr>
          </w:p>
        </w:tc>
        <w:tc>
          <w:tcPr>
            <w:tcW w:w="341" w:type="pct"/>
          </w:tcPr>
          <w:p w14:paraId="75E477E5" w14:textId="77777777" w:rsidR="002E474C" w:rsidRPr="006B27CC" w:rsidRDefault="002E474C" w:rsidP="006B27CC">
            <w:pPr>
              <w:pStyle w:val="A-"/>
              <w:spacing w:line="220" w:lineRule="exact"/>
            </w:pPr>
          </w:p>
        </w:tc>
        <w:tc>
          <w:tcPr>
            <w:tcW w:w="424" w:type="pct"/>
          </w:tcPr>
          <w:p w14:paraId="58D87FF4" w14:textId="77777777" w:rsidR="002E474C" w:rsidRPr="006B27CC" w:rsidRDefault="002E474C" w:rsidP="006B27CC">
            <w:pPr>
              <w:pStyle w:val="A-"/>
              <w:spacing w:line="220" w:lineRule="exact"/>
            </w:pPr>
          </w:p>
        </w:tc>
        <w:tc>
          <w:tcPr>
            <w:tcW w:w="496" w:type="pct"/>
          </w:tcPr>
          <w:p w14:paraId="04B1A5E9" w14:textId="77777777" w:rsidR="002E474C" w:rsidRPr="006B27CC" w:rsidRDefault="002E474C" w:rsidP="006B27CC">
            <w:pPr>
              <w:pStyle w:val="A-"/>
              <w:spacing w:line="220" w:lineRule="exact"/>
            </w:pPr>
          </w:p>
        </w:tc>
        <w:tc>
          <w:tcPr>
            <w:tcW w:w="341" w:type="pct"/>
          </w:tcPr>
          <w:p w14:paraId="2E368F32" w14:textId="77777777" w:rsidR="002E474C" w:rsidRPr="006B27CC" w:rsidRDefault="00000000" w:rsidP="006B27CC">
            <w:pPr>
              <w:pStyle w:val="A-"/>
              <w:spacing w:line="220" w:lineRule="exact"/>
            </w:pPr>
            <w:r w:rsidRPr="006B27CC">
              <w:t>0</w:t>
            </w:r>
          </w:p>
        </w:tc>
        <w:tc>
          <w:tcPr>
            <w:tcW w:w="371" w:type="pct"/>
          </w:tcPr>
          <w:p w14:paraId="7E2049CD" w14:textId="77777777" w:rsidR="002E474C" w:rsidRPr="006B27CC" w:rsidRDefault="002E474C" w:rsidP="006B27CC">
            <w:pPr>
              <w:pStyle w:val="A-"/>
              <w:spacing w:line="220" w:lineRule="exact"/>
            </w:pPr>
          </w:p>
        </w:tc>
        <w:tc>
          <w:tcPr>
            <w:tcW w:w="545" w:type="pct"/>
          </w:tcPr>
          <w:p w14:paraId="37BC391B" w14:textId="77777777" w:rsidR="002E474C" w:rsidRPr="006B27CC" w:rsidRDefault="002E474C" w:rsidP="006B27CC">
            <w:pPr>
              <w:pStyle w:val="A-"/>
              <w:spacing w:line="220" w:lineRule="exact"/>
            </w:pPr>
          </w:p>
        </w:tc>
        <w:tc>
          <w:tcPr>
            <w:tcW w:w="295" w:type="pct"/>
          </w:tcPr>
          <w:p w14:paraId="4AE78F8F" w14:textId="77777777" w:rsidR="002E474C" w:rsidRPr="006B27CC" w:rsidRDefault="00000000" w:rsidP="006B27CC">
            <w:pPr>
              <w:pStyle w:val="A-"/>
              <w:spacing w:line="220" w:lineRule="exact"/>
            </w:pPr>
            <w:r w:rsidRPr="006B27CC">
              <w:t>0.000000232</w:t>
            </w:r>
          </w:p>
        </w:tc>
        <w:tc>
          <w:tcPr>
            <w:tcW w:w="295" w:type="pct"/>
          </w:tcPr>
          <w:p w14:paraId="307B371E" w14:textId="77777777" w:rsidR="002E474C" w:rsidRPr="006B27CC" w:rsidRDefault="002E474C" w:rsidP="006B27CC">
            <w:pPr>
              <w:pStyle w:val="A-"/>
              <w:spacing w:line="220" w:lineRule="exact"/>
            </w:pPr>
          </w:p>
        </w:tc>
        <w:tc>
          <w:tcPr>
            <w:tcW w:w="424" w:type="pct"/>
          </w:tcPr>
          <w:p w14:paraId="01FE4F65" w14:textId="77777777" w:rsidR="002E474C" w:rsidRPr="006B27CC" w:rsidRDefault="00000000" w:rsidP="006B27CC">
            <w:pPr>
              <w:pStyle w:val="A-"/>
              <w:spacing w:line="220" w:lineRule="exact"/>
            </w:pPr>
            <w:r w:rsidRPr="006B27CC">
              <w:t>0.00001236</w:t>
            </w:r>
          </w:p>
        </w:tc>
        <w:tc>
          <w:tcPr>
            <w:tcW w:w="382" w:type="pct"/>
          </w:tcPr>
          <w:p w14:paraId="143892D6" w14:textId="77777777" w:rsidR="002E474C" w:rsidRPr="006B27CC" w:rsidRDefault="00000000" w:rsidP="006B27CC">
            <w:pPr>
              <w:pStyle w:val="A-"/>
              <w:spacing w:line="220" w:lineRule="exact"/>
            </w:pPr>
            <w:r w:rsidRPr="006B27CC">
              <w:t>0</w:t>
            </w:r>
          </w:p>
        </w:tc>
        <w:tc>
          <w:tcPr>
            <w:tcW w:w="379" w:type="pct"/>
          </w:tcPr>
          <w:p w14:paraId="5965D79C" w14:textId="77777777" w:rsidR="002E474C" w:rsidRPr="006B27CC" w:rsidRDefault="00000000" w:rsidP="006B27CC">
            <w:pPr>
              <w:pStyle w:val="A-"/>
              <w:spacing w:line="220" w:lineRule="exact"/>
            </w:pPr>
            <w:r w:rsidRPr="006B27CC">
              <w:t>0.00001311</w:t>
            </w:r>
          </w:p>
        </w:tc>
      </w:tr>
      <w:tr w:rsidR="002E474C" w:rsidRPr="006B27CC" w14:paraId="78BF4C64" w14:textId="77777777" w:rsidTr="009C3A0E">
        <w:tc>
          <w:tcPr>
            <w:tcW w:w="240" w:type="pct"/>
          </w:tcPr>
          <w:p w14:paraId="25C963E5" w14:textId="77777777" w:rsidR="002E474C" w:rsidRPr="006B27CC" w:rsidRDefault="00000000" w:rsidP="006B27CC">
            <w:pPr>
              <w:pStyle w:val="A-"/>
              <w:spacing w:line="220" w:lineRule="exact"/>
            </w:pPr>
            <w:r w:rsidRPr="006B27CC">
              <w:t>Cl</w:t>
            </w:r>
          </w:p>
        </w:tc>
        <w:tc>
          <w:tcPr>
            <w:tcW w:w="138" w:type="pct"/>
          </w:tcPr>
          <w:p w14:paraId="3A0A1AD7" w14:textId="77777777" w:rsidR="002E474C" w:rsidRPr="006B27CC" w:rsidRDefault="00000000" w:rsidP="006B27CC">
            <w:pPr>
              <w:pStyle w:val="A-"/>
              <w:spacing w:line="220" w:lineRule="exact"/>
            </w:pPr>
            <w:r w:rsidRPr="006B27CC">
              <w:t>%</w:t>
            </w:r>
          </w:p>
        </w:tc>
        <w:tc>
          <w:tcPr>
            <w:tcW w:w="330" w:type="pct"/>
          </w:tcPr>
          <w:p w14:paraId="30B46AFF" w14:textId="77777777" w:rsidR="002E474C" w:rsidRPr="006B27CC" w:rsidRDefault="00000000" w:rsidP="006B27CC">
            <w:pPr>
              <w:pStyle w:val="A-"/>
              <w:spacing w:line="220" w:lineRule="exact"/>
            </w:pPr>
            <w:r w:rsidRPr="006B27CC">
              <w:t>5.131</w:t>
            </w:r>
          </w:p>
        </w:tc>
        <w:tc>
          <w:tcPr>
            <w:tcW w:w="341" w:type="pct"/>
          </w:tcPr>
          <w:p w14:paraId="147977A8" w14:textId="77777777" w:rsidR="002E474C" w:rsidRPr="006B27CC" w:rsidRDefault="00000000" w:rsidP="006B27CC">
            <w:pPr>
              <w:pStyle w:val="A-"/>
              <w:spacing w:line="220" w:lineRule="exact"/>
            </w:pPr>
            <w:r w:rsidRPr="006B27CC">
              <w:t>0.421</w:t>
            </w:r>
          </w:p>
        </w:tc>
        <w:tc>
          <w:tcPr>
            <w:tcW w:w="424" w:type="pct"/>
          </w:tcPr>
          <w:p w14:paraId="12F0124B" w14:textId="77777777" w:rsidR="002E474C" w:rsidRPr="006B27CC" w:rsidRDefault="002E474C" w:rsidP="006B27CC">
            <w:pPr>
              <w:pStyle w:val="A-"/>
              <w:spacing w:line="220" w:lineRule="exact"/>
            </w:pPr>
          </w:p>
        </w:tc>
        <w:tc>
          <w:tcPr>
            <w:tcW w:w="496" w:type="pct"/>
          </w:tcPr>
          <w:p w14:paraId="1EFA8BCF" w14:textId="77777777" w:rsidR="002E474C" w:rsidRPr="006B27CC" w:rsidRDefault="00000000" w:rsidP="006B27CC">
            <w:pPr>
              <w:pStyle w:val="A-"/>
              <w:spacing w:line="220" w:lineRule="exact"/>
            </w:pPr>
            <w:r w:rsidRPr="006B27CC">
              <w:t>0.02</w:t>
            </w:r>
          </w:p>
        </w:tc>
        <w:tc>
          <w:tcPr>
            <w:tcW w:w="341" w:type="pct"/>
          </w:tcPr>
          <w:p w14:paraId="0CD23F65" w14:textId="77777777" w:rsidR="002E474C" w:rsidRPr="006B27CC" w:rsidRDefault="00000000" w:rsidP="006B27CC">
            <w:pPr>
              <w:pStyle w:val="A-"/>
              <w:spacing w:line="220" w:lineRule="exact"/>
            </w:pPr>
            <w:r w:rsidRPr="006B27CC">
              <w:t>0.202</w:t>
            </w:r>
          </w:p>
        </w:tc>
        <w:tc>
          <w:tcPr>
            <w:tcW w:w="371" w:type="pct"/>
          </w:tcPr>
          <w:p w14:paraId="78D6CC32" w14:textId="77777777" w:rsidR="002E474C" w:rsidRPr="006B27CC" w:rsidRDefault="002E474C" w:rsidP="006B27CC">
            <w:pPr>
              <w:pStyle w:val="A-"/>
              <w:spacing w:line="220" w:lineRule="exact"/>
            </w:pPr>
          </w:p>
        </w:tc>
        <w:tc>
          <w:tcPr>
            <w:tcW w:w="545" w:type="pct"/>
          </w:tcPr>
          <w:p w14:paraId="63649771" w14:textId="77777777" w:rsidR="002E474C" w:rsidRPr="006B27CC" w:rsidRDefault="002E474C" w:rsidP="006B27CC">
            <w:pPr>
              <w:pStyle w:val="A-"/>
              <w:spacing w:line="220" w:lineRule="exact"/>
            </w:pPr>
          </w:p>
        </w:tc>
        <w:tc>
          <w:tcPr>
            <w:tcW w:w="295" w:type="pct"/>
          </w:tcPr>
          <w:p w14:paraId="2512BEDE" w14:textId="77777777" w:rsidR="002E474C" w:rsidRPr="006B27CC" w:rsidRDefault="00000000" w:rsidP="006B27CC">
            <w:pPr>
              <w:pStyle w:val="A-"/>
              <w:spacing w:line="220" w:lineRule="exact"/>
            </w:pPr>
            <w:r w:rsidRPr="006B27CC">
              <w:t>0.000000379</w:t>
            </w:r>
          </w:p>
        </w:tc>
        <w:tc>
          <w:tcPr>
            <w:tcW w:w="295" w:type="pct"/>
          </w:tcPr>
          <w:p w14:paraId="5B3104F1" w14:textId="77777777" w:rsidR="002E474C" w:rsidRPr="006B27CC" w:rsidRDefault="002E474C" w:rsidP="006B27CC">
            <w:pPr>
              <w:pStyle w:val="A-"/>
              <w:spacing w:line="220" w:lineRule="exact"/>
            </w:pPr>
          </w:p>
        </w:tc>
        <w:tc>
          <w:tcPr>
            <w:tcW w:w="424" w:type="pct"/>
          </w:tcPr>
          <w:p w14:paraId="02977788" w14:textId="77777777" w:rsidR="002E474C" w:rsidRPr="006B27CC" w:rsidRDefault="00000000" w:rsidP="006B27CC">
            <w:pPr>
              <w:pStyle w:val="A-"/>
              <w:spacing w:line="220" w:lineRule="exact"/>
            </w:pPr>
            <w:r w:rsidRPr="006B27CC">
              <w:t>0.00000091</w:t>
            </w:r>
          </w:p>
        </w:tc>
        <w:tc>
          <w:tcPr>
            <w:tcW w:w="382" w:type="pct"/>
          </w:tcPr>
          <w:p w14:paraId="07D1580E" w14:textId="77777777" w:rsidR="002E474C" w:rsidRPr="006B27CC" w:rsidRDefault="00000000" w:rsidP="006B27CC">
            <w:pPr>
              <w:pStyle w:val="A-"/>
              <w:spacing w:line="220" w:lineRule="exact"/>
            </w:pPr>
            <w:r w:rsidRPr="006B27CC">
              <w:t>0.00000171</w:t>
            </w:r>
          </w:p>
        </w:tc>
        <w:tc>
          <w:tcPr>
            <w:tcW w:w="379" w:type="pct"/>
          </w:tcPr>
          <w:p w14:paraId="052BB4AF" w14:textId="77777777" w:rsidR="002E474C" w:rsidRPr="006B27CC" w:rsidRDefault="00000000" w:rsidP="006B27CC">
            <w:pPr>
              <w:pStyle w:val="A-"/>
              <w:spacing w:line="220" w:lineRule="exact"/>
            </w:pPr>
            <w:r w:rsidRPr="006B27CC">
              <w:t>0.00000005</w:t>
            </w:r>
          </w:p>
        </w:tc>
      </w:tr>
      <w:tr w:rsidR="002E474C" w:rsidRPr="006B27CC" w14:paraId="1F9B9D7A" w14:textId="77777777" w:rsidTr="009C3A0E">
        <w:tc>
          <w:tcPr>
            <w:tcW w:w="240" w:type="pct"/>
          </w:tcPr>
          <w:p w14:paraId="5DE29D6D" w14:textId="77777777" w:rsidR="002E474C" w:rsidRPr="006B27CC" w:rsidRDefault="00000000" w:rsidP="006B27CC">
            <w:pPr>
              <w:pStyle w:val="A-"/>
              <w:spacing w:line="220" w:lineRule="exact"/>
            </w:pPr>
            <w:r w:rsidRPr="006B27CC">
              <w:t>S</w:t>
            </w:r>
          </w:p>
        </w:tc>
        <w:tc>
          <w:tcPr>
            <w:tcW w:w="138" w:type="pct"/>
          </w:tcPr>
          <w:p w14:paraId="59BE56B5" w14:textId="77777777" w:rsidR="002E474C" w:rsidRPr="006B27CC" w:rsidRDefault="00000000" w:rsidP="006B27CC">
            <w:pPr>
              <w:pStyle w:val="A-"/>
              <w:spacing w:line="220" w:lineRule="exact"/>
            </w:pPr>
            <w:r w:rsidRPr="006B27CC">
              <w:t>%</w:t>
            </w:r>
          </w:p>
        </w:tc>
        <w:tc>
          <w:tcPr>
            <w:tcW w:w="330" w:type="pct"/>
          </w:tcPr>
          <w:p w14:paraId="76113E1C" w14:textId="77777777" w:rsidR="002E474C" w:rsidRPr="006B27CC" w:rsidRDefault="00000000" w:rsidP="006B27CC">
            <w:pPr>
              <w:pStyle w:val="A-"/>
              <w:spacing w:line="220" w:lineRule="exact"/>
            </w:pPr>
            <w:r w:rsidRPr="006B27CC">
              <w:t>0.038</w:t>
            </w:r>
          </w:p>
        </w:tc>
        <w:tc>
          <w:tcPr>
            <w:tcW w:w="341" w:type="pct"/>
          </w:tcPr>
          <w:p w14:paraId="0E88A8A5" w14:textId="77777777" w:rsidR="002E474C" w:rsidRPr="006B27CC" w:rsidRDefault="00000000" w:rsidP="006B27CC">
            <w:pPr>
              <w:pStyle w:val="A-"/>
              <w:spacing w:line="220" w:lineRule="exact"/>
            </w:pPr>
            <w:r w:rsidRPr="006B27CC">
              <w:t>8.41</w:t>
            </w:r>
          </w:p>
        </w:tc>
        <w:tc>
          <w:tcPr>
            <w:tcW w:w="424" w:type="pct"/>
          </w:tcPr>
          <w:p w14:paraId="2BBA67C8" w14:textId="77777777" w:rsidR="002E474C" w:rsidRPr="006B27CC" w:rsidRDefault="002E474C" w:rsidP="006B27CC">
            <w:pPr>
              <w:pStyle w:val="A-"/>
              <w:spacing w:line="220" w:lineRule="exact"/>
            </w:pPr>
          </w:p>
        </w:tc>
        <w:tc>
          <w:tcPr>
            <w:tcW w:w="496" w:type="pct"/>
          </w:tcPr>
          <w:p w14:paraId="292C3315" w14:textId="77777777" w:rsidR="002E474C" w:rsidRPr="006B27CC" w:rsidRDefault="00000000" w:rsidP="006B27CC">
            <w:pPr>
              <w:pStyle w:val="A-"/>
              <w:spacing w:line="220" w:lineRule="exact"/>
            </w:pPr>
            <w:r w:rsidRPr="006B27CC">
              <w:t>28.848</w:t>
            </w:r>
          </w:p>
        </w:tc>
        <w:tc>
          <w:tcPr>
            <w:tcW w:w="341" w:type="pct"/>
          </w:tcPr>
          <w:p w14:paraId="1FB074CA" w14:textId="77777777" w:rsidR="002E474C" w:rsidRPr="006B27CC" w:rsidRDefault="00000000" w:rsidP="006B27CC">
            <w:pPr>
              <w:pStyle w:val="A-"/>
              <w:spacing w:line="220" w:lineRule="exact"/>
            </w:pPr>
            <w:r w:rsidRPr="006B27CC">
              <w:t>0.261</w:t>
            </w:r>
          </w:p>
        </w:tc>
        <w:tc>
          <w:tcPr>
            <w:tcW w:w="371" w:type="pct"/>
          </w:tcPr>
          <w:p w14:paraId="4F7D19C9" w14:textId="77777777" w:rsidR="002E474C" w:rsidRPr="006B27CC" w:rsidRDefault="002E474C" w:rsidP="006B27CC">
            <w:pPr>
              <w:pStyle w:val="A-"/>
              <w:spacing w:line="220" w:lineRule="exact"/>
            </w:pPr>
          </w:p>
        </w:tc>
        <w:tc>
          <w:tcPr>
            <w:tcW w:w="545" w:type="pct"/>
          </w:tcPr>
          <w:p w14:paraId="0D531AE6" w14:textId="77777777" w:rsidR="002E474C" w:rsidRPr="006B27CC" w:rsidRDefault="002E474C" w:rsidP="006B27CC">
            <w:pPr>
              <w:pStyle w:val="A-"/>
              <w:spacing w:line="220" w:lineRule="exact"/>
            </w:pPr>
          </w:p>
        </w:tc>
        <w:tc>
          <w:tcPr>
            <w:tcW w:w="295" w:type="pct"/>
          </w:tcPr>
          <w:p w14:paraId="483BAC17" w14:textId="77777777" w:rsidR="002E474C" w:rsidRPr="006B27CC" w:rsidRDefault="00000000" w:rsidP="006B27CC">
            <w:pPr>
              <w:pStyle w:val="A-"/>
              <w:spacing w:line="220" w:lineRule="exact"/>
            </w:pPr>
            <w:r w:rsidRPr="006B27CC">
              <w:t>0.055</w:t>
            </w:r>
          </w:p>
        </w:tc>
        <w:tc>
          <w:tcPr>
            <w:tcW w:w="295" w:type="pct"/>
          </w:tcPr>
          <w:p w14:paraId="3445D396" w14:textId="77777777" w:rsidR="002E474C" w:rsidRPr="006B27CC" w:rsidRDefault="002E474C" w:rsidP="006B27CC">
            <w:pPr>
              <w:pStyle w:val="A-"/>
              <w:spacing w:line="220" w:lineRule="exact"/>
            </w:pPr>
          </w:p>
        </w:tc>
        <w:tc>
          <w:tcPr>
            <w:tcW w:w="424" w:type="pct"/>
          </w:tcPr>
          <w:p w14:paraId="75D2E42D" w14:textId="77777777" w:rsidR="002E474C" w:rsidRPr="006B27CC" w:rsidRDefault="00000000" w:rsidP="006B27CC">
            <w:pPr>
              <w:pStyle w:val="A-"/>
              <w:spacing w:line="220" w:lineRule="exact"/>
            </w:pPr>
            <w:r w:rsidRPr="006B27CC">
              <w:t>0.089</w:t>
            </w:r>
          </w:p>
        </w:tc>
        <w:tc>
          <w:tcPr>
            <w:tcW w:w="382" w:type="pct"/>
          </w:tcPr>
          <w:p w14:paraId="36888583" w14:textId="77777777" w:rsidR="002E474C" w:rsidRPr="006B27CC" w:rsidRDefault="00000000" w:rsidP="006B27CC">
            <w:pPr>
              <w:pStyle w:val="A-"/>
              <w:spacing w:line="220" w:lineRule="exact"/>
            </w:pPr>
            <w:r w:rsidRPr="006B27CC">
              <w:t>0.07</w:t>
            </w:r>
          </w:p>
        </w:tc>
        <w:tc>
          <w:tcPr>
            <w:tcW w:w="379" w:type="pct"/>
          </w:tcPr>
          <w:p w14:paraId="2E76D379" w14:textId="77777777" w:rsidR="002E474C" w:rsidRPr="006B27CC" w:rsidRDefault="00000000" w:rsidP="006B27CC">
            <w:pPr>
              <w:pStyle w:val="A-"/>
              <w:spacing w:line="220" w:lineRule="exact"/>
            </w:pPr>
            <w:r w:rsidRPr="006B27CC">
              <w:t>0.03</w:t>
            </w:r>
          </w:p>
        </w:tc>
      </w:tr>
      <w:tr w:rsidR="002E474C" w:rsidRPr="006B27CC" w14:paraId="39F5EB5C" w14:textId="77777777" w:rsidTr="009C3A0E">
        <w:tc>
          <w:tcPr>
            <w:tcW w:w="240" w:type="pct"/>
          </w:tcPr>
          <w:p w14:paraId="2FF526F7" w14:textId="77777777" w:rsidR="002E474C" w:rsidRPr="006B27CC" w:rsidRDefault="00000000" w:rsidP="006B27CC">
            <w:pPr>
              <w:pStyle w:val="A-"/>
              <w:spacing w:line="220" w:lineRule="exact"/>
            </w:pPr>
            <w:r w:rsidRPr="006B27CC">
              <w:t>Cr</w:t>
            </w:r>
          </w:p>
        </w:tc>
        <w:tc>
          <w:tcPr>
            <w:tcW w:w="138" w:type="pct"/>
          </w:tcPr>
          <w:p w14:paraId="6AE49CCE" w14:textId="77777777" w:rsidR="002E474C" w:rsidRPr="006B27CC" w:rsidRDefault="00000000" w:rsidP="006B27CC">
            <w:pPr>
              <w:pStyle w:val="A-"/>
              <w:spacing w:line="220" w:lineRule="exact"/>
            </w:pPr>
            <w:r w:rsidRPr="006B27CC">
              <w:t>%</w:t>
            </w:r>
          </w:p>
        </w:tc>
        <w:tc>
          <w:tcPr>
            <w:tcW w:w="330" w:type="pct"/>
          </w:tcPr>
          <w:p w14:paraId="5F608B30" w14:textId="77777777" w:rsidR="002E474C" w:rsidRPr="006B27CC" w:rsidRDefault="002E474C" w:rsidP="006B27CC">
            <w:pPr>
              <w:pStyle w:val="A-"/>
              <w:spacing w:line="220" w:lineRule="exact"/>
            </w:pPr>
          </w:p>
        </w:tc>
        <w:tc>
          <w:tcPr>
            <w:tcW w:w="341" w:type="pct"/>
          </w:tcPr>
          <w:p w14:paraId="15C89020" w14:textId="77777777" w:rsidR="002E474C" w:rsidRPr="006B27CC" w:rsidRDefault="00000000" w:rsidP="006B27CC">
            <w:pPr>
              <w:pStyle w:val="A-"/>
              <w:spacing w:line="220" w:lineRule="exact"/>
            </w:pPr>
            <w:r w:rsidRPr="006B27CC">
              <w:t>0.044</w:t>
            </w:r>
          </w:p>
        </w:tc>
        <w:tc>
          <w:tcPr>
            <w:tcW w:w="424" w:type="pct"/>
          </w:tcPr>
          <w:p w14:paraId="4A4DCD61" w14:textId="77777777" w:rsidR="002E474C" w:rsidRPr="006B27CC" w:rsidRDefault="002E474C" w:rsidP="006B27CC">
            <w:pPr>
              <w:pStyle w:val="A-"/>
              <w:spacing w:line="220" w:lineRule="exact"/>
            </w:pPr>
          </w:p>
        </w:tc>
        <w:tc>
          <w:tcPr>
            <w:tcW w:w="496" w:type="pct"/>
          </w:tcPr>
          <w:p w14:paraId="25CCCD18" w14:textId="77777777" w:rsidR="002E474C" w:rsidRPr="006B27CC" w:rsidRDefault="00000000" w:rsidP="006B27CC">
            <w:pPr>
              <w:pStyle w:val="A-"/>
              <w:spacing w:line="220" w:lineRule="exact"/>
            </w:pPr>
            <w:r w:rsidRPr="006B27CC">
              <w:t>0.021</w:t>
            </w:r>
          </w:p>
        </w:tc>
        <w:tc>
          <w:tcPr>
            <w:tcW w:w="341" w:type="pct"/>
          </w:tcPr>
          <w:p w14:paraId="3CE4D6CE" w14:textId="77777777" w:rsidR="002E474C" w:rsidRPr="006B27CC" w:rsidRDefault="00000000" w:rsidP="006B27CC">
            <w:pPr>
              <w:pStyle w:val="A-"/>
              <w:spacing w:line="220" w:lineRule="exact"/>
            </w:pPr>
            <w:r w:rsidRPr="006B27CC">
              <w:t>0</w:t>
            </w:r>
          </w:p>
        </w:tc>
        <w:tc>
          <w:tcPr>
            <w:tcW w:w="371" w:type="pct"/>
          </w:tcPr>
          <w:p w14:paraId="32116272" w14:textId="77777777" w:rsidR="002E474C" w:rsidRPr="006B27CC" w:rsidRDefault="002E474C" w:rsidP="006B27CC">
            <w:pPr>
              <w:pStyle w:val="A-"/>
              <w:spacing w:line="220" w:lineRule="exact"/>
            </w:pPr>
          </w:p>
        </w:tc>
        <w:tc>
          <w:tcPr>
            <w:tcW w:w="545" w:type="pct"/>
          </w:tcPr>
          <w:p w14:paraId="5FFA7F70" w14:textId="77777777" w:rsidR="002E474C" w:rsidRPr="006B27CC" w:rsidRDefault="002E474C" w:rsidP="006B27CC">
            <w:pPr>
              <w:pStyle w:val="A-"/>
              <w:spacing w:line="220" w:lineRule="exact"/>
            </w:pPr>
          </w:p>
        </w:tc>
        <w:tc>
          <w:tcPr>
            <w:tcW w:w="295" w:type="pct"/>
          </w:tcPr>
          <w:p w14:paraId="27F7C53B" w14:textId="77777777" w:rsidR="002E474C" w:rsidRPr="006B27CC" w:rsidRDefault="00000000" w:rsidP="006B27CC">
            <w:pPr>
              <w:pStyle w:val="A-"/>
              <w:spacing w:line="220" w:lineRule="exact"/>
            </w:pPr>
            <w:r w:rsidRPr="006B27CC">
              <w:t>0.00000005</w:t>
            </w:r>
          </w:p>
        </w:tc>
        <w:tc>
          <w:tcPr>
            <w:tcW w:w="295" w:type="pct"/>
          </w:tcPr>
          <w:p w14:paraId="67561E3B" w14:textId="77777777" w:rsidR="002E474C" w:rsidRPr="006B27CC" w:rsidRDefault="002E474C" w:rsidP="006B27CC">
            <w:pPr>
              <w:pStyle w:val="A-"/>
              <w:spacing w:line="220" w:lineRule="exact"/>
            </w:pPr>
          </w:p>
        </w:tc>
        <w:tc>
          <w:tcPr>
            <w:tcW w:w="424" w:type="pct"/>
          </w:tcPr>
          <w:p w14:paraId="6DD2A74E" w14:textId="77777777" w:rsidR="002E474C" w:rsidRPr="006B27CC" w:rsidRDefault="00000000" w:rsidP="006B27CC">
            <w:pPr>
              <w:pStyle w:val="A-"/>
              <w:spacing w:line="220" w:lineRule="exact"/>
            </w:pPr>
            <w:r w:rsidRPr="006B27CC">
              <w:t>0</w:t>
            </w:r>
          </w:p>
        </w:tc>
        <w:tc>
          <w:tcPr>
            <w:tcW w:w="382" w:type="pct"/>
          </w:tcPr>
          <w:p w14:paraId="45694E6D" w14:textId="77777777" w:rsidR="002E474C" w:rsidRPr="006B27CC" w:rsidRDefault="00000000" w:rsidP="006B27CC">
            <w:pPr>
              <w:pStyle w:val="A-"/>
              <w:spacing w:line="220" w:lineRule="exact"/>
            </w:pPr>
            <w:r w:rsidRPr="006B27CC">
              <w:t>0.000000004</w:t>
            </w:r>
          </w:p>
        </w:tc>
        <w:tc>
          <w:tcPr>
            <w:tcW w:w="379" w:type="pct"/>
          </w:tcPr>
          <w:p w14:paraId="73F2856F" w14:textId="77777777" w:rsidR="002E474C" w:rsidRPr="006B27CC" w:rsidRDefault="00000000" w:rsidP="006B27CC">
            <w:pPr>
              <w:pStyle w:val="A-"/>
              <w:spacing w:line="220" w:lineRule="exact"/>
            </w:pPr>
            <w:r w:rsidRPr="006B27CC">
              <w:t>0.0004</w:t>
            </w:r>
          </w:p>
        </w:tc>
      </w:tr>
      <w:tr w:rsidR="002E474C" w:rsidRPr="006B27CC" w14:paraId="4E1E0DCA" w14:textId="77777777" w:rsidTr="009C3A0E">
        <w:tc>
          <w:tcPr>
            <w:tcW w:w="240" w:type="pct"/>
          </w:tcPr>
          <w:p w14:paraId="2A5301F6" w14:textId="77777777" w:rsidR="002E474C" w:rsidRPr="006B27CC" w:rsidRDefault="00000000" w:rsidP="006B27CC">
            <w:pPr>
              <w:pStyle w:val="A-"/>
              <w:spacing w:line="220" w:lineRule="exact"/>
            </w:pPr>
            <w:r w:rsidRPr="006B27CC">
              <w:t>Cu</w:t>
            </w:r>
          </w:p>
        </w:tc>
        <w:tc>
          <w:tcPr>
            <w:tcW w:w="138" w:type="pct"/>
          </w:tcPr>
          <w:p w14:paraId="4D7F1687" w14:textId="77777777" w:rsidR="002E474C" w:rsidRPr="006B27CC" w:rsidRDefault="00000000" w:rsidP="006B27CC">
            <w:pPr>
              <w:pStyle w:val="A-"/>
              <w:spacing w:line="220" w:lineRule="exact"/>
            </w:pPr>
            <w:r w:rsidRPr="006B27CC">
              <w:t>%</w:t>
            </w:r>
          </w:p>
        </w:tc>
        <w:tc>
          <w:tcPr>
            <w:tcW w:w="330" w:type="pct"/>
          </w:tcPr>
          <w:p w14:paraId="1F9022EB" w14:textId="77777777" w:rsidR="002E474C" w:rsidRPr="006B27CC" w:rsidRDefault="002E474C" w:rsidP="006B27CC">
            <w:pPr>
              <w:pStyle w:val="A-"/>
              <w:spacing w:line="220" w:lineRule="exact"/>
            </w:pPr>
          </w:p>
        </w:tc>
        <w:tc>
          <w:tcPr>
            <w:tcW w:w="341" w:type="pct"/>
          </w:tcPr>
          <w:p w14:paraId="77985E18" w14:textId="77777777" w:rsidR="002E474C" w:rsidRPr="006B27CC" w:rsidRDefault="00000000" w:rsidP="006B27CC">
            <w:pPr>
              <w:pStyle w:val="A-"/>
              <w:spacing w:line="220" w:lineRule="exact"/>
            </w:pPr>
            <w:r w:rsidRPr="006B27CC">
              <w:t>17.184</w:t>
            </w:r>
          </w:p>
        </w:tc>
        <w:tc>
          <w:tcPr>
            <w:tcW w:w="424" w:type="pct"/>
          </w:tcPr>
          <w:p w14:paraId="2B5EBEEC" w14:textId="77777777" w:rsidR="002E474C" w:rsidRPr="006B27CC" w:rsidRDefault="002E474C" w:rsidP="006B27CC">
            <w:pPr>
              <w:pStyle w:val="A-"/>
              <w:spacing w:line="220" w:lineRule="exact"/>
            </w:pPr>
          </w:p>
        </w:tc>
        <w:tc>
          <w:tcPr>
            <w:tcW w:w="496" w:type="pct"/>
          </w:tcPr>
          <w:p w14:paraId="6CCF357B" w14:textId="77777777" w:rsidR="002E474C" w:rsidRPr="006B27CC" w:rsidRDefault="00000000" w:rsidP="006B27CC">
            <w:pPr>
              <w:pStyle w:val="A-"/>
              <w:spacing w:line="220" w:lineRule="exact"/>
            </w:pPr>
            <w:r w:rsidRPr="006B27CC">
              <w:t>0.113</w:t>
            </w:r>
          </w:p>
        </w:tc>
        <w:tc>
          <w:tcPr>
            <w:tcW w:w="341" w:type="pct"/>
          </w:tcPr>
          <w:p w14:paraId="6443900A" w14:textId="77777777" w:rsidR="002E474C" w:rsidRPr="006B27CC" w:rsidRDefault="00000000" w:rsidP="006B27CC">
            <w:pPr>
              <w:pStyle w:val="A-"/>
              <w:spacing w:line="220" w:lineRule="exact"/>
            </w:pPr>
            <w:r w:rsidRPr="006B27CC">
              <w:t>0</w:t>
            </w:r>
          </w:p>
        </w:tc>
        <w:tc>
          <w:tcPr>
            <w:tcW w:w="371" w:type="pct"/>
          </w:tcPr>
          <w:p w14:paraId="0EF9C041" w14:textId="77777777" w:rsidR="002E474C" w:rsidRPr="006B27CC" w:rsidRDefault="002E474C" w:rsidP="006B27CC">
            <w:pPr>
              <w:pStyle w:val="A-"/>
              <w:spacing w:line="220" w:lineRule="exact"/>
            </w:pPr>
          </w:p>
        </w:tc>
        <w:tc>
          <w:tcPr>
            <w:tcW w:w="545" w:type="pct"/>
          </w:tcPr>
          <w:p w14:paraId="1E513151" w14:textId="77777777" w:rsidR="002E474C" w:rsidRPr="006B27CC" w:rsidRDefault="002E474C" w:rsidP="006B27CC">
            <w:pPr>
              <w:pStyle w:val="A-"/>
              <w:spacing w:line="220" w:lineRule="exact"/>
            </w:pPr>
          </w:p>
        </w:tc>
        <w:tc>
          <w:tcPr>
            <w:tcW w:w="295" w:type="pct"/>
          </w:tcPr>
          <w:p w14:paraId="2BDDB0A4" w14:textId="77777777" w:rsidR="002E474C" w:rsidRPr="006B27CC" w:rsidRDefault="00000000" w:rsidP="006B27CC">
            <w:pPr>
              <w:pStyle w:val="A-"/>
              <w:spacing w:line="220" w:lineRule="exact"/>
            </w:pPr>
            <w:r w:rsidRPr="006B27CC">
              <w:t>0.00000311</w:t>
            </w:r>
          </w:p>
        </w:tc>
        <w:tc>
          <w:tcPr>
            <w:tcW w:w="295" w:type="pct"/>
          </w:tcPr>
          <w:p w14:paraId="72CE509A" w14:textId="77777777" w:rsidR="002E474C" w:rsidRPr="006B27CC" w:rsidRDefault="002E474C" w:rsidP="006B27CC">
            <w:pPr>
              <w:pStyle w:val="A-"/>
              <w:spacing w:line="220" w:lineRule="exact"/>
            </w:pPr>
          </w:p>
        </w:tc>
        <w:tc>
          <w:tcPr>
            <w:tcW w:w="424" w:type="pct"/>
          </w:tcPr>
          <w:p w14:paraId="6FF719A8" w14:textId="77777777" w:rsidR="002E474C" w:rsidRPr="006B27CC" w:rsidRDefault="00000000" w:rsidP="006B27CC">
            <w:pPr>
              <w:pStyle w:val="A-"/>
              <w:spacing w:line="220" w:lineRule="exact"/>
            </w:pPr>
            <w:r w:rsidRPr="006B27CC">
              <w:t>0.00606</w:t>
            </w:r>
          </w:p>
        </w:tc>
        <w:tc>
          <w:tcPr>
            <w:tcW w:w="382" w:type="pct"/>
          </w:tcPr>
          <w:p w14:paraId="75A029A7" w14:textId="77777777" w:rsidR="002E474C" w:rsidRPr="006B27CC" w:rsidRDefault="00000000" w:rsidP="006B27CC">
            <w:pPr>
              <w:pStyle w:val="A-"/>
              <w:spacing w:line="220" w:lineRule="exact"/>
            </w:pPr>
            <w:r w:rsidRPr="006B27CC">
              <w:t>0.0000394</w:t>
            </w:r>
          </w:p>
        </w:tc>
        <w:tc>
          <w:tcPr>
            <w:tcW w:w="379" w:type="pct"/>
          </w:tcPr>
          <w:p w14:paraId="1C6AF3F7" w14:textId="77777777" w:rsidR="002E474C" w:rsidRPr="006B27CC" w:rsidRDefault="00000000" w:rsidP="006B27CC">
            <w:pPr>
              <w:pStyle w:val="A-"/>
              <w:spacing w:line="220" w:lineRule="exact"/>
            </w:pPr>
            <w:r w:rsidRPr="006B27CC">
              <w:t>0.0003627</w:t>
            </w:r>
          </w:p>
        </w:tc>
      </w:tr>
      <w:tr w:rsidR="002E474C" w:rsidRPr="006B27CC" w14:paraId="780DE32D" w14:textId="77777777" w:rsidTr="009C3A0E">
        <w:tc>
          <w:tcPr>
            <w:tcW w:w="240" w:type="pct"/>
          </w:tcPr>
          <w:p w14:paraId="7203EE06" w14:textId="77777777" w:rsidR="002E474C" w:rsidRPr="006B27CC" w:rsidRDefault="00000000" w:rsidP="006B27CC">
            <w:pPr>
              <w:pStyle w:val="A-"/>
              <w:spacing w:line="220" w:lineRule="exact"/>
            </w:pPr>
            <w:r w:rsidRPr="006B27CC">
              <w:t>Zn</w:t>
            </w:r>
          </w:p>
        </w:tc>
        <w:tc>
          <w:tcPr>
            <w:tcW w:w="138" w:type="pct"/>
          </w:tcPr>
          <w:p w14:paraId="1BCF4EBF" w14:textId="77777777" w:rsidR="002E474C" w:rsidRPr="006B27CC" w:rsidRDefault="00000000" w:rsidP="006B27CC">
            <w:pPr>
              <w:pStyle w:val="A-"/>
              <w:spacing w:line="220" w:lineRule="exact"/>
            </w:pPr>
            <w:r w:rsidRPr="006B27CC">
              <w:t>%</w:t>
            </w:r>
          </w:p>
        </w:tc>
        <w:tc>
          <w:tcPr>
            <w:tcW w:w="330" w:type="pct"/>
          </w:tcPr>
          <w:p w14:paraId="7B0CC4E2" w14:textId="77777777" w:rsidR="002E474C" w:rsidRPr="006B27CC" w:rsidRDefault="002E474C" w:rsidP="006B27CC">
            <w:pPr>
              <w:pStyle w:val="A-"/>
              <w:spacing w:line="220" w:lineRule="exact"/>
            </w:pPr>
          </w:p>
        </w:tc>
        <w:tc>
          <w:tcPr>
            <w:tcW w:w="341" w:type="pct"/>
          </w:tcPr>
          <w:p w14:paraId="33EA0797" w14:textId="77777777" w:rsidR="002E474C" w:rsidRPr="006B27CC" w:rsidRDefault="00000000" w:rsidP="006B27CC">
            <w:pPr>
              <w:pStyle w:val="A-"/>
              <w:spacing w:line="220" w:lineRule="exact"/>
            </w:pPr>
            <w:r w:rsidRPr="006B27CC">
              <w:t>0.073</w:t>
            </w:r>
          </w:p>
        </w:tc>
        <w:tc>
          <w:tcPr>
            <w:tcW w:w="424" w:type="pct"/>
          </w:tcPr>
          <w:p w14:paraId="3431FE81" w14:textId="77777777" w:rsidR="002E474C" w:rsidRPr="006B27CC" w:rsidRDefault="002E474C" w:rsidP="006B27CC">
            <w:pPr>
              <w:pStyle w:val="A-"/>
              <w:spacing w:line="220" w:lineRule="exact"/>
            </w:pPr>
          </w:p>
        </w:tc>
        <w:tc>
          <w:tcPr>
            <w:tcW w:w="496" w:type="pct"/>
          </w:tcPr>
          <w:p w14:paraId="7CFD5BBF" w14:textId="77777777" w:rsidR="002E474C" w:rsidRPr="006B27CC" w:rsidRDefault="00000000" w:rsidP="006B27CC">
            <w:pPr>
              <w:pStyle w:val="A-"/>
              <w:spacing w:line="220" w:lineRule="exact"/>
            </w:pPr>
            <w:r w:rsidRPr="006B27CC">
              <w:t>0.273</w:t>
            </w:r>
          </w:p>
        </w:tc>
        <w:tc>
          <w:tcPr>
            <w:tcW w:w="341" w:type="pct"/>
          </w:tcPr>
          <w:p w14:paraId="1EB5BA21" w14:textId="77777777" w:rsidR="002E474C" w:rsidRPr="006B27CC" w:rsidRDefault="00000000" w:rsidP="006B27CC">
            <w:pPr>
              <w:pStyle w:val="A-"/>
              <w:spacing w:line="220" w:lineRule="exact"/>
            </w:pPr>
            <w:r w:rsidRPr="006B27CC">
              <w:t>0.019</w:t>
            </w:r>
          </w:p>
        </w:tc>
        <w:tc>
          <w:tcPr>
            <w:tcW w:w="371" w:type="pct"/>
          </w:tcPr>
          <w:p w14:paraId="3CB254B0" w14:textId="77777777" w:rsidR="002E474C" w:rsidRPr="006B27CC" w:rsidRDefault="002E474C" w:rsidP="006B27CC">
            <w:pPr>
              <w:pStyle w:val="A-"/>
              <w:spacing w:line="220" w:lineRule="exact"/>
            </w:pPr>
          </w:p>
        </w:tc>
        <w:tc>
          <w:tcPr>
            <w:tcW w:w="545" w:type="pct"/>
          </w:tcPr>
          <w:p w14:paraId="2067AF78" w14:textId="77777777" w:rsidR="002E474C" w:rsidRPr="006B27CC" w:rsidRDefault="002E474C" w:rsidP="006B27CC">
            <w:pPr>
              <w:pStyle w:val="A-"/>
              <w:spacing w:line="220" w:lineRule="exact"/>
            </w:pPr>
          </w:p>
        </w:tc>
        <w:tc>
          <w:tcPr>
            <w:tcW w:w="295" w:type="pct"/>
          </w:tcPr>
          <w:p w14:paraId="44C345AB" w14:textId="77777777" w:rsidR="002E474C" w:rsidRPr="006B27CC" w:rsidRDefault="00000000" w:rsidP="006B27CC">
            <w:pPr>
              <w:pStyle w:val="A-"/>
              <w:spacing w:line="220" w:lineRule="exact"/>
            </w:pPr>
            <w:r w:rsidRPr="006B27CC">
              <w:t>0.00000139</w:t>
            </w:r>
          </w:p>
        </w:tc>
        <w:tc>
          <w:tcPr>
            <w:tcW w:w="295" w:type="pct"/>
          </w:tcPr>
          <w:p w14:paraId="12547802" w14:textId="77777777" w:rsidR="002E474C" w:rsidRPr="006B27CC" w:rsidRDefault="002E474C" w:rsidP="006B27CC">
            <w:pPr>
              <w:pStyle w:val="A-"/>
              <w:spacing w:line="220" w:lineRule="exact"/>
            </w:pPr>
          </w:p>
        </w:tc>
        <w:tc>
          <w:tcPr>
            <w:tcW w:w="424" w:type="pct"/>
          </w:tcPr>
          <w:p w14:paraId="4D8C91C2" w14:textId="77777777" w:rsidR="002E474C" w:rsidRPr="006B27CC" w:rsidRDefault="00000000" w:rsidP="006B27CC">
            <w:pPr>
              <w:pStyle w:val="A-"/>
              <w:spacing w:line="220" w:lineRule="exact"/>
            </w:pPr>
            <w:r w:rsidRPr="006B27CC">
              <w:t>0.009298</w:t>
            </w:r>
          </w:p>
        </w:tc>
        <w:tc>
          <w:tcPr>
            <w:tcW w:w="382" w:type="pct"/>
          </w:tcPr>
          <w:p w14:paraId="24C09FB0" w14:textId="77777777" w:rsidR="002E474C" w:rsidRPr="006B27CC" w:rsidRDefault="00000000" w:rsidP="006B27CC">
            <w:pPr>
              <w:pStyle w:val="A-"/>
              <w:spacing w:line="220" w:lineRule="exact"/>
            </w:pPr>
            <w:r w:rsidRPr="006B27CC">
              <w:t>0.0000279</w:t>
            </w:r>
          </w:p>
        </w:tc>
        <w:tc>
          <w:tcPr>
            <w:tcW w:w="379" w:type="pct"/>
          </w:tcPr>
          <w:p w14:paraId="0CBADF1C" w14:textId="77777777" w:rsidR="002E474C" w:rsidRPr="006B27CC" w:rsidRDefault="00000000" w:rsidP="006B27CC">
            <w:pPr>
              <w:pStyle w:val="A-"/>
              <w:spacing w:line="220" w:lineRule="exact"/>
            </w:pPr>
            <w:r w:rsidRPr="006B27CC">
              <w:t>0.0074633</w:t>
            </w:r>
          </w:p>
        </w:tc>
      </w:tr>
      <w:tr w:rsidR="002E474C" w:rsidRPr="006B27CC" w14:paraId="7FB60D12" w14:textId="77777777" w:rsidTr="009C3A0E">
        <w:tc>
          <w:tcPr>
            <w:tcW w:w="240" w:type="pct"/>
          </w:tcPr>
          <w:p w14:paraId="47D1236B" w14:textId="77777777" w:rsidR="002E474C" w:rsidRPr="006B27CC" w:rsidRDefault="00000000" w:rsidP="006B27CC">
            <w:pPr>
              <w:pStyle w:val="A-"/>
              <w:spacing w:line="220" w:lineRule="exact"/>
            </w:pPr>
            <w:r w:rsidRPr="006B27CC">
              <w:t>Cd</w:t>
            </w:r>
          </w:p>
        </w:tc>
        <w:tc>
          <w:tcPr>
            <w:tcW w:w="138" w:type="pct"/>
          </w:tcPr>
          <w:p w14:paraId="3D489344" w14:textId="77777777" w:rsidR="002E474C" w:rsidRPr="006B27CC" w:rsidRDefault="00000000" w:rsidP="006B27CC">
            <w:pPr>
              <w:pStyle w:val="A-"/>
              <w:spacing w:line="220" w:lineRule="exact"/>
            </w:pPr>
            <w:r w:rsidRPr="006B27CC">
              <w:t>%</w:t>
            </w:r>
          </w:p>
        </w:tc>
        <w:tc>
          <w:tcPr>
            <w:tcW w:w="330" w:type="pct"/>
          </w:tcPr>
          <w:p w14:paraId="244677EA" w14:textId="77777777" w:rsidR="002E474C" w:rsidRPr="006B27CC" w:rsidRDefault="002E474C" w:rsidP="006B27CC">
            <w:pPr>
              <w:pStyle w:val="A-"/>
              <w:spacing w:line="220" w:lineRule="exact"/>
            </w:pPr>
          </w:p>
        </w:tc>
        <w:tc>
          <w:tcPr>
            <w:tcW w:w="341" w:type="pct"/>
          </w:tcPr>
          <w:p w14:paraId="3E73082D" w14:textId="77777777" w:rsidR="002E474C" w:rsidRPr="006B27CC" w:rsidRDefault="002E474C" w:rsidP="006B27CC">
            <w:pPr>
              <w:pStyle w:val="A-"/>
              <w:spacing w:line="220" w:lineRule="exact"/>
            </w:pPr>
          </w:p>
        </w:tc>
        <w:tc>
          <w:tcPr>
            <w:tcW w:w="424" w:type="pct"/>
          </w:tcPr>
          <w:p w14:paraId="5E0D7AB7" w14:textId="77777777" w:rsidR="002E474C" w:rsidRPr="006B27CC" w:rsidRDefault="002E474C" w:rsidP="006B27CC">
            <w:pPr>
              <w:pStyle w:val="A-"/>
              <w:spacing w:line="220" w:lineRule="exact"/>
            </w:pPr>
          </w:p>
        </w:tc>
        <w:tc>
          <w:tcPr>
            <w:tcW w:w="496" w:type="pct"/>
          </w:tcPr>
          <w:p w14:paraId="4629AC8D" w14:textId="77777777" w:rsidR="002E474C" w:rsidRPr="006B27CC" w:rsidRDefault="002E474C" w:rsidP="006B27CC">
            <w:pPr>
              <w:pStyle w:val="A-"/>
              <w:spacing w:line="220" w:lineRule="exact"/>
            </w:pPr>
          </w:p>
        </w:tc>
        <w:tc>
          <w:tcPr>
            <w:tcW w:w="341" w:type="pct"/>
          </w:tcPr>
          <w:p w14:paraId="47CD708B" w14:textId="77777777" w:rsidR="002E474C" w:rsidRPr="006B27CC" w:rsidRDefault="00000000" w:rsidP="006B27CC">
            <w:pPr>
              <w:pStyle w:val="A-"/>
              <w:spacing w:line="220" w:lineRule="exact"/>
            </w:pPr>
            <w:r w:rsidRPr="006B27CC">
              <w:t>0</w:t>
            </w:r>
          </w:p>
        </w:tc>
        <w:tc>
          <w:tcPr>
            <w:tcW w:w="371" w:type="pct"/>
          </w:tcPr>
          <w:p w14:paraId="2F635DBD" w14:textId="77777777" w:rsidR="002E474C" w:rsidRPr="006B27CC" w:rsidRDefault="002E474C" w:rsidP="006B27CC">
            <w:pPr>
              <w:pStyle w:val="A-"/>
              <w:spacing w:line="220" w:lineRule="exact"/>
            </w:pPr>
          </w:p>
        </w:tc>
        <w:tc>
          <w:tcPr>
            <w:tcW w:w="545" w:type="pct"/>
          </w:tcPr>
          <w:p w14:paraId="120FDBF4" w14:textId="77777777" w:rsidR="002E474C" w:rsidRPr="006B27CC" w:rsidRDefault="002E474C" w:rsidP="006B27CC">
            <w:pPr>
              <w:pStyle w:val="A-"/>
              <w:spacing w:line="220" w:lineRule="exact"/>
            </w:pPr>
          </w:p>
        </w:tc>
        <w:tc>
          <w:tcPr>
            <w:tcW w:w="295" w:type="pct"/>
          </w:tcPr>
          <w:p w14:paraId="0575CD47" w14:textId="77777777" w:rsidR="002E474C" w:rsidRPr="006B27CC" w:rsidRDefault="002E474C" w:rsidP="006B27CC">
            <w:pPr>
              <w:pStyle w:val="A-"/>
              <w:spacing w:line="220" w:lineRule="exact"/>
            </w:pPr>
          </w:p>
        </w:tc>
        <w:tc>
          <w:tcPr>
            <w:tcW w:w="295" w:type="pct"/>
          </w:tcPr>
          <w:p w14:paraId="1350C1A9" w14:textId="77777777" w:rsidR="002E474C" w:rsidRPr="006B27CC" w:rsidRDefault="002E474C" w:rsidP="006B27CC">
            <w:pPr>
              <w:pStyle w:val="A-"/>
              <w:spacing w:line="220" w:lineRule="exact"/>
            </w:pPr>
          </w:p>
        </w:tc>
        <w:tc>
          <w:tcPr>
            <w:tcW w:w="424" w:type="pct"/>
          </w:tcPr>
          <w:p w14:paraId="1C2231F6" w14:textId="77777777" w:rsidR="002E474C" w:rsidRPr="006B27CC" w:rsidRDefault="00000000" w:rsidP="006B27CC">
            <w:pPr>
              <w:pStyle w:val="A-"/>
              <w:spacing w:line="220" w:lineRule="exact"/>
            </w:pPr>
            <w:r w:rsidRPr="006B27CC">
              <w:t>0</w:t>
            </w:r>
          </w:p>
        </w:tc>
        <w:tc>
          <w:tcPr>
            <w:tcW w:w="382" w:type="pct"/>
          </w:tcPr>
          <w:p w14:paraId="66E35B5E" w14:textId="77777777" w:rsidR="002E474C" w:rsidRPr="006B27CC" w:rsidRDefault="00000000" w:rsidP="006B27CC">
            <w:pPr>
              <w:pStyle w:val="A-"/>
              <w:spacing w:line="220" w:lineRule="exact"/>
            </w:pPr>
            <w:r w:rsidRPr="006B27CC">
              <w:t>0</w:t>
            </w:r>
          </w:p>
        </w:tc>
        <w:tc>
          <w:tcPr>
            <w:tcW w:w="379" w:type="pct"/>
          </w:tcPr>
          <w:p w14:paraId="3B351D69" w14:textId="77777777" w:rsidR="002E474C" w:rsidRPr="006B27CC" w:rsidRDefault="00000000" w:rsidP="006B27CC">
            <w:pPr>
              <w:pStyle w:val="A-"/>
              <w:spacing w:line="220" w:lineRule="exact"/>
            </w:pPr>
            <w:r w:rsidRPr="006B27CC">
              <w:t>0.00000075</w:t>
            </w:r>
          </w:p>
        </w:tc>
      </w:tr>
      <w:tr w:rsidR="002E474C" w:rsidRPr="006B27CC" w14:paraId="2B9A41E2" w14:textId="77777777" w:rsidTr="009C3A0E">
        <w:tc>
          <w:tcPr>
            <w:tcW w:w="240" w:type="pct"/>
          </w:tcPr>
          <w:p w14:paraId="06207A22" w14:textId="77777777" w:rsidR="002E474C" w:rsidRPr="006B27CC" w:rsidRDefault="00000000" w:rsidP="006B27CC">
            <w:pPr>
              <w:pStyle w:val="A-"/>
              <w:spacing w:line="220" w:lineRule="exact"/>
            </w:pPr>
            <w:r w:rsidRPr="006B27CC">
              <w:t>Pb</w:t>
            </w:r>
          </w:p>
        </w:tc>
        <w:tc>
          <w:tcPr>
            <w:tcW w:w="138" w:type="pct"/>
          </w:tcPr>
          <w:p w14:paraId="26FA10F1" w14:textId="77777777" w:rsidR="002E474C" w:rsidRPr="006B27CC" w:rsidRDefault="00000000" w:rsidP="006B27CC">
            <w:pPr>
              <w:pStyle w:val="A-"/>
              <w:spacing w:line="220" w:lineRule="exact"/>
            </w:pPr>
            <w:r w:rsidRPr="006B27CC">
              <w:t>%</w:t>
            </w:r>
          </w:p>
        </w:tc>
        <w:tc>
          <w:tcPr>
            <w:tcW w:w="330" w:type="pct"/>
          </w:tcPr>
          <w:p w14:paraId="6268B5EE" w14:textId="77777777" w:rsidR="002E474C" w:rsidRPr="006B27CC" w:rsidRDefault="002E474C" w:rsidP="006B27CC">
            <w:pPr>
              <w:pStyle w:val="A-"/>
              <w:spacing w:line="220" w:lineRule="exact"/>
            </w:pPr>
          </w:p>
        </w:tc>
        <w:tc>
          <w:tcPr>
            <w:tcW w:w="341" w:type="pct"/>
          </w:tcPr>
          <w:p w14:paraId="66185722" w14:textId="77777777" w:rsidR="002E474C" w:rsidRPr="006B27CC" w:rsidRDefault="002E474C" w:rsidP="006B27CC">
            <w:pPr>
              <w:pStyle w:val="A-"/>
              <w:spacing w:line="220" w:lineRule="exact"/>
            </w:pPr>
          </w:p>
        </w:tc>
        <w:tc>
          <w:tcPr>
            <w:tcW w:w="424" w:type="pct"/>
          </w:tcPr>
          <w:p w14:paraId="4ED38DDD" w14:textId="77777777" w:rsidR="002E474C" w:rsidRPr="006B27CC" w:rsidRDefault="002E474C" w:rsidP="006B27CC">
            <w:pPr>
              <w:pStyle w:val="A-"/>
              <w:spacing w:line="220" w:lineRule="exact"/>
            </w:pPr>
          </w:p>
        </w:tc>
        <w:tc>
          <w:tcPr>
            <w:tcW w:w="496" w:type="pct"/>
          </w:tcPr>
          <w:p w14:paraId="24F64150" w14:textId="77777777" w:rsidR="002E474C" w:rsidRPr="006B27CC" w:rsidRDefault="00000000" w:rsidP="006B27CC">
            <w:pPr>
              <w:pStyle w:val="A-"/>
              <w:spacing w:line="220" w:lineRule="exact"/>
            </w:pPr>
            <w:r w:rsidRPr="006B27CC">
              <w:t>0.239</w:t>
            </w:r>
          </w:p>
        </w:tc>
        <w:tc>
          <w:tcPr>
            <w:tcW w:w="341" w:type="pct"/>
          </w:tcPr>
          <w:p w14:paraId="16344E5E" w14:textId="77777777" w:rsidR="002E474C" w:rsidRPr="006B27CC" w:rsidRDefault="00000000" w:rsidP="006B27CC">
            <w:pPr>
              <w:pStyle w:val="A-"/>
              <w:spacing w:line="220" w:lineRule="exact"/>
            </w:pPr>
            <w:r w:rsidRPr="006B27CC">
              <w:t>0</w:t>
            </w:r>
          </w:p>
        </w:tc>
        <w:tc>
          <w:tcPr>
            <w:tcW w:w="371" w:type="pct"/>
          </w:tcPr>
          <w:p w14:paraId="6FAF1761" w14:textId="77777777" w:rsidR="002E474C" w:rsidRPr="006B27CC" w:rsidRDefault="002E474C" w:rsidP="006B27CC">
            <w:pPr>
              <w:pStyle w:val="A-"/>
              <w:spacing w:line="220" w:lineRule="exact"/>
            </w:pPr>
          </w:p>
        </w:tc>
        <w:tc>
          <w:tcPr>
            <w:tcW w:w="545" w:type="pct"/>
          </w:tcPr>
          <w:p w14:paraId="2B20DD06" w14:textId="77777777" w:rsidR="002E474C" w:rsidRPr="006B27CC" w:rsidRDefault="002E474C" w:rsidP="006B27CC">
            <w:pPr>
              <w:pStyle w:val="A-"/>
              <w:spacing w:line="220" w:lineRule="exact"/>
            </w:pPr>
          </w:p>
        </w:tc>
        <w:tc>
          <w:tcPr>
            <w:tcW w:w="295" w:type="pct"/>
          </w:tcPr>
          <w:p w14:paraId="26CC0187" w14:textId="77777777" w:rsidR="002E474C" w:rsidRPr="006B27CC" w:rsidRDefault="00000000" w:rsidP="006B27CC">
            <w:pPr>
              <w:pStyle w:val="A-"/>
              <w:spacing w:line="220" w:lineRule="exact"/>
            </w:pPr>
            <w:r w:rsidRPr="006B27CC">
              <w:t>0.000000005</w:t>
            </w:r>
          </w:p>
        </w:tc>
        <w:tc>
          <w:tcPr>
            <w:tcW w:w="295" w:type="pct"/>
          </w:tcPr>
          <w:p w14:paraId="7B63636B" w14:textId="77777777" w:rsidR="002E474C" w:rsidRPr="006B27CC" w:rsidRDefault="002E474C" w:rsidP="006B27CC">
            <w:pPr>
              <w:pStyle w:val="A-"/>
              <w:spacing w:line="220" w:lineRule="exact"/>
            </w:pPr>
          </w:p>
        </w:tc>
        <w:tc>
          <w:tcPr>
            <w:tcW w:w="424" w:type="pct"/>
          </w:tcPr>
          <w:p w14:paraId="2EE9F5BC" w14:textId="77777777" w:rsidR="002E474C" w:rsidRPr="006B27CC" w:rsidRDefault="00000000" w:rsidP="006B27CC">
            <w:pPr>
              <w:pStyle w:val="A-"/>
              <w:spacing w:line="220" w:lineRule="exact"/>
            </w:pPr>
            <w:r w:rsidRPr="006B27CC">
              <w:t>0.000861</w:t>
            </w:r>
          </w:p>
        </w:tc>
        <w:tc>
          <w:tcPr>
            <w:tcW w:w="382" w:type="pct"/>
          </w:tcPr>
          <w:p w14:paraId="6084FC7F" w14:textId="77777777" w:rsidR="002E474C" w:rsidRPr="006B27CC" w:rsidRDefault="00000000" w:rsidP="006B27CC">
            <w:pPr>
              <w:pStyle w:val="A-"/>
              <w:spacing w:line="220" w:lineRule="exact"/>
            </w:pPr>
            <w:r w:rsidRPr="006B27CC">
              <w:t>0.000000008</w:t>
            </w:r>
          </w:p>
        </w:tc>
        <w:tc>
          <w:tcPr>
            <w:tcW w:w="379" w:type="pct"/>
          </w:tcPr>
          <w:p w14:paraId="68D76DC0" w14:textId="77777777" w:rsidR="002E474C" w:rsidRPr="006B27CC" w:rsidRDefault="00000000" w:rsidP="006B27CC">
            <w:pPr>
              <w:pStyle w:val="A-"/>
              <w:spacing w:line="220" w:lineRule="exact"/>
            </w:pPr>
            <w:r w:rsidRPr="006B27CC">
              <w:t>0.0000503</w:t>
            </w:r>
          </w:p>
        </w:tc>
      </w:tr>
      <w:tr w:rsidR="002E474C" w:rsidRPr="006B27CC" w14:paraId="152EB0EC" w14:textId="77777777" w:rsidTr="009C3A0E">
        <w:tc>
          <w:tcPr>
            <w:tcW w:w="240" w:type="pct"/>
          </w:tcPr>
          <w:p w14:paraId="57DE3A7D" w14:textId="77777777" w:rsidR="002E474C" w:rsidRPr="006B27CC" w:rsidRDefault="00000000" w:rsidP="006B27CC">
            <w:pPr>
              <w:pStyle w:val="A-"/>
              <w:spacing w:line="220" w:lineRule="exact"/>
            </w:pPr>
            <w:r w:rsidRPr="006B27CC">
              <w:t>Ni</w:t>
            </w:r>
          </w:p>
        </w:tc>
        <w:tc>
          <w:tcPr>
            <w:tcW w:w="138" w:type="pct"/>
          </w:tcPr>
          <w:p w14:paraId="0376C0E1" w14:textId="77777777" w:rsidR="002E474C" w:rsidRPr="006B27CC" w:rsidRDefault="00000000" w:rsidP="006B27CC">
            <w:pPr>
              <w:pStyle w:val="A-"/>
              <w:spacing w:line="220" w:lineRule="exact"/>
            </w:pPr>
            <w:r w:rsidRPr="006B27CC">
              <w:t>%</w:t>
            </w:r>
          </w:p>
        </w:tc>
        <w:tc>
          <w:tcPr>
            <w:tcW w:w="330" w:type="pct"/>
          </w:tcPr>
          <w:p w14:paraId="7DD227B0" w14:textId="77777777" w:rsidR="002E474C" w:rsidRPr="006B27CC" w:rsidRDefault="002E474C" w:rsidP="006B27CC">
            <w:pPr>
              <w:pStyle w:val="A-"/>
              <w:spacing w:line="220" w:lineRule="exact"/>
            </w:pPr>
          </w:p>
        </w:tc>
        <w:tc>
          <w:tcPr>
            <w:tcW w:w="341" w:type="pct"/>
          </w:tcPr>
          <w:p w14:paraId="024994BC" w14:textId="77777777" w:rsidR="002E474C" w:rsidRPr="006B27CC" w:rsidRDefault="002E474C" w:rsidP="006B27CC">
            <w:pPr>
              <w:pStyle w:val="A-"/>
              <w:spacing w:line="220" w:lineRule="exact"/>
            </w:pPr>
          </w:p>
        </w:tc>
        <w:tc>
          <w:tcPr>
            <w:tcW w:w="424" w:type="pct"/>
          </w:tcPr>
          <w:p w14:paraId="5BDBA545" w14:textId="77777777" w:rsidR="002E474C" w:rsidRPr="006B27CC" w:rsidRDefault="002E474C" w:rsidP="006B27CC">
            <w:pPr>
              <w:pStyle w:val="A-"/>
              <w:spacing w:line="220" w:lineRule="exact"/>
            </w:pPr>
          </w:p>
        </w:tc>
        <w:tc>
          <w:tcPr>
            <w:tcW w:w="496" w:type="pct"/>
          </w:tcPr>
          <w:p w14:paraId="14603205" w14:textId="77777777" w:rsidR="002E474C" w:rsidRPr="006B27CC" w:rsidRDefault="002E474C" w:rsidP="006B27CC">
            <w:pPr>
              <w:pStyle w:val="A-"/>
              <w:spacing w:line="220" w:lineRule="exact"/>
            </w:pPr>
          </w:p>
        </w:tc>
        <w:tc>
          <w:tcPr>
            <w:tcW w:w="341" w:type="pct"/>
          </w:tcPr>
          <w:p w14:paraId="496BAE27" w14:textId="77777777" w:rsidR="002E474C" w:rsidRPr="006B27CC" w:rsidRDefault="00000000" w:rsidP="006B27CC">
            <w:pPr>
              <w:pStyle w:val="A-"/>
              <w:spacing w:line="220" w:lineRule="exact"/>
            </w:pPr>
            <w:r w:rsidRPr="006B27CC">
              <w:t>0</w:t>
            </w:r>
          </w:p>
        </w:tc>
        <w:tc>
          <w:tcPr>
            <w:tcW w:w="371" w:type="pct"/>
          </w:tcPr>
          <w:p w14:paraId="4304DAD2" w14:textId="77777777" w:rsidR="002E474C" w:rsidRPr="006B27CC" w:rsidRDefault="002E474C" w:rsidP="006B27CC">
            <w:pPr>
              <w:pStyle w:val="A-"/>
              <w:spacing w:line="220" w:lineRule="exact"/>
            </w:pPr>
          </w:p>
        </w:tc>
        <w:tc>
          <w:tcPr>
            <w:tcW w:w="545" w:type="pct"/>
          </w:tcPr>
          <w:p w14:paraId="2C4B7D29" w14:textId="77777777" w:rsidR="002E474C" w:rsidRPr="006B27CC" w:rsidRDefault="002E474C" w:rsidP="006B27CC">
            <w:pPr>
              <w:pStyle w:val="A-"/>
              <w:spacing w:line="220" w:lineRule="exact"/>
            </w:pPr>
          </w:p>
        </w:tc>
        <w:tc>
          <w:tcPr>
            <w:tcW w:w="295" w:type="pct"/>
          </w:tcPr>
          <w:p w14:paraId="670D63AF" w14:textId="77777777" w:rsidR="002E474C" w:rsidRPr="006B27CC" w:rsidRDefault="00000000" w:rsidP="006B27CC">
            <w:pPr>
              <w:pStyle w:val="A-"/>
              <w:spacing w:line="220" w:lineRule="exact"/>
            </w:pPr>
            <w:r w:rsidRPr="006B27CC">
              <w:t>0.0000477</w:t>
            </w:r>
          </w:p>
        </w:tc>
        <w:tc>
          <w:tcPr>
            <w:tcW w:w="295" w:type="pct"/>
          </w:tcPr>
          <w:p w14:paraId="07B62FF5" w14:textId="77777777" w:rsidR="002E474C" w:rsidRPr="006B27CC" w:rsidRDefault="002E474C" w:rsidP="006B27CC">
            <w:pPr>
              <w:pStyle w:val="A-"/>
              <w:spacing w:line="220" w:lineRule="exact"/>
            </w:pPr>
          </w:p>
        </w:tc>
        <w:tc>
          <w:tcPr>
            <w:tcW w:w="424" w:type="pct"/>
          </w:tcPr>
          <w:p w14:paraId="735A7562" w14:textId="77777777" w:rsidR="002E474C" w:rsidRPr="006B27CC" w:rsidRDefault="00000000" w:rsidP="006B27CC">
            <w:pPr>
              <w:pStyle w:val="A-"/>
              <w:spacing w:line="220" w:lineRule="exact"/>
            </w:pPr>
            <w:r w:rsidRPr="006B27CC">
              <w:t>0.000417</w:t>
            </w:r>
          </w:p>
        </w:tc>
        <w:tc>
          <w:tcPr>
            <w:tcW w:w="382" w:type="pct"/>
          </w:tcPr>
          <w:p w14:paraId="70563752" w14:textId="77777777" w:rsidR="002E474C" w:rsidRPr="006B27CC" w:rsidRDefault="00000000" w:rsidP="006B27CC">
            <w:pPr>
              <w:pStyle w:val="A-"/>
              <w:spacing w:line="220" w:lineRule="exact"/>
            </w:pPr>
            <w:r w:rsidRPr="006B27CC">
              <w:t>0.0000155</w:t>
            </w:r>
          </w:p>
        </w:tc>
        <w:tc>
          <w:tcPr>
            <w:tcW w:w="379" w:type="pct"/>
          </w:tcPr>
          <w:p w14:paraId="36953568" w14:textId="77777777" w:rsidR="002E474C" w:rsidRPr="006B27CC" w:rsidRDefault="00000000" w:rsidP="006B27CC">
            <w:pPr>
              <w:pStyle w:val="A-"/>
              <w:spacing w:line="220" w:lineRule="exact"/>
            </w:pPr>
            <w:r w:rsidRPr="006B27CC">
              <w:t>0.00000325</w:t>
            </w:r>
          </w:p>
        </w:tc>
      </w:tr>
      <w:tr w:rsidR="002E474C" w:rsidRPr="006B27CC" w14:paraId="57F8BD6D" w14:textId="77777777" w:rsidTr="009C3A0E">
        <w:tc>
          <w:tcPr>
            <w:tcW w:w="240" w:type="pct"/>
          </w:tcPr>
          <w:p w14:paraId="3B4614EB" w14:textId="77777777" w:rsidR="002E474C" w:rsidRPr="006B27CC" w:rsidRDefault="00000000" w:rsidP="006B27CC">
            <w:pPr>
              <w:pStyle w:val="A-"/>
              <w:spacing w:line="220" w:lineRule="exact"/>
            </w:pPr>
            <w:r w:rsidRPr="006B27CC">
              <w:t>Mn</w:t>
            </w:r>
          </w:p>
        </w:tc>
        <w:tc>
          <w:tcPr>
            <w:tcW w:w="138" w:type="pct"/>
          </w:tcPr>
          <w:p w14:paraId="0A9D4448" w14:textId="77777777" w:rsidR="002E474C" w:rsidRPr="006B27CC" w:rsidRDefault="00000000" w:rsidP="006B27CC">
            <w:pPr>
              <w:pStyle w:val="A-"/>
              <w:spacing w:line="220" w:lineRule="exact"/>
            </w:pPr>
            <w:r w:rsidRPr="006B27CC">
              <w:t>%</w:t>
            </w:r>
          </w:p>
        </w:tc>
        <w:tc>
          <w:tcPr>
            <w:tcW w:w="330" w:type="pct"/>
          </w:tcPr>
          <w:p w14:paraId="4E512784" w14:textId="77777777" w:rsidR="002E474C" w:rsidRPr="006B27CC" w:rsidRDefault="002E474C" w:rsidP="006B27CC">
            <w:pPr>
              <w:pStyle w:val="A-"/>
              <w:spacing w:line="220" w:lineRule="exact"/>
            </w:pPr>
          </w:p>
        </w:tc>
        <w:tc>
          <w:tcPr>
            <w:tcW w:w="341" w:type="pct"/>
          </w:tcPr>
          <w:p w14:paraId="1A65D6FC" w14:textId="77777777" w:rsidR="002E474C" w:rsidRPr="006B27CC" w:rsidRDefault="00000000" w:rsidP="006B27CC">
            <w:pPr>
              <w:pStyle w:val="A-"/>
              <w:spacing w:line="220" w:lineRule="exact"/>
            </w:pPr>
            <w:r w:rsidRPr="006B27CC">
              <w:t>2.51</w:t>
            </w:r>
          </w:p>
        </w:tc>
        <w:tc>
          <w:tcPr>
            <w:tcW w:w="424" w:type="pct"/>
          </w:tcPr>
          <w:p w14:paraId="4FF547D4" w14:textId="77777777" w:rsidR="002E474C" w:rsidRPr="006B27CC" w:rsidRDefault="002E474C" w:rsidP="006B27CC">
            <w:pPr>
              <w:pStyle w:val="A-"/>
              <w:spacing w:line="220" w:lineRule="exact"/>
            </w:pPr>
          </w:p>
        </w:tc>
        <w:tc>
          <w:tcPr>
            <w:tcW w:w="496" w:type="pct"/>
          </w:tcPr>
          <w:p w14:paraId="0FD17865" w14:textId="77777777" w:rsidR="002E474C" w:rsidRPr="006B27CC" w:rsidRDefault="00000000" w:rsidP="006B27CC">
            <w:pPr>
              <w:pStyle w:val="A-"/>
              <w:spacing w:line="220" w:lineRule="exact"/>
            </w:pPr>
            <w:r w:rsidRPr="006B27CC">
              <w:t>0.062</w:t>
            </w:r>
          </w:p>
        </w:tc>
        <w:tc>
          <w:tcPr>
            <w:tcW w:w="341" w:type="pct"/>
          </w:tcPr>
          <w:p w14:paraId="72046F23" w14:textId="77777777" w:rsidR="002E474C" w:rsidRPr="006B27CC" w:rsidRDefault="00000000" w:rsidP="006B27CC">
            <w:pPr>
              <w:pStyle w:val="A-"/>
              <w:spacing w:line="220" w:lineRule="exact"/>
            </w:pPr>
            <w:r w:rsidRPr="006B27CC">
              <w:t>0</w:t>
            </w:r>
          </w:p>
        </w:tc>
        <w:tc>
          <w:tcPr>
            <w:tcW w:w="371" w:type="pct"/>
          </w:tcPr>
          <w:p w14:paraId="2F28979D" w14:textId="77777777" w:rsidR="002E474C" w:rsidRPr="006B27CC" w:rsidRDefault="002E474C" w:rsidP="006B27CC">
            <w:pPr>
              <w:pStyle w:val="A-"/>
              <w:spacing w:line="220" w:lineRule="exact"/>
            </w:pPr>
          </w:p>
        </w:tc>
        <w:tc>
          <w:tcPr>
            <w:tcW w:w="545" w:type="pct"/>
          </w:tcPr>
          <w:p w14:paraId="434D2C4A" w14:textId="77777777" w:rsidR="002E474C" w:rsidRPr="006B27CC" w:rsidRDefault="002E474C" w:rsidP="006B27CC">
            <w:pPr>
              <w:pStyle w:val="A-"/>
              <w:spacing w:line="220" w:lineRule="exact"/>
            </w:pPr>
          </w:p>
        </w:tc>
        <w:tc>
          <w:tcPr>
            <w:tcW w:w="295" w:type="pct"/>
          </w:tcPr>
          <w:p w14:paraId="02A8ECF3" w14:textId="77777777" w:rsidR="002E474C" w:rsidRPr="006B27CC" w:rsidRDefault="00000000" w:rsidP="006B27CC">
            <w:pPr>
              <w:pStyle w:val="A-"/>
              <w:spacing w:line="220" w:lineRule="exact"/>
            </w:pPr>
            <w:r w:rsidRPr="006B27CC">
              <w:t>0.000015</w:t>
            </w:r>
          </w:p>
        </w:tc>
        <w:tc>
          <w:tcPr>
            <w:tcW w:w="295" w:type="pct"/>
          </w:tcPr>
          <w:p w14:paraId="2596E67E" w14:textId="77777777" w:rsidR="002E474C" w:rsidRPr="006B27CC" w:rsidRDefault="002E474C" w:rsidP="006B27CC">
            <w:pPr>
              <w:pStyle w:val="A-"/>
              <w:spacing w:line="220" w:lineRule="exact"/>
            </w:pPr>
          </w:p>
        </w:tc>
        <w:tc>
          <w:tcPr>
            <w:tcW w:w="424" w:type="pct"/>
          </w:tcPr>
          <w:p w14:paraId="29153CCE" w14:textId="77777777" w:rsidR="002E474C" w:rsidRPr="006B27CC" w:rsidRDefault="00000000" w:rsidP="006B27CC">
            <w:pPr>
              <w:pStyle w:val="A-"/>
              <w:spacing w:line="220" w:lineRule="exact"/>
            </w:pPr>
            <w:r w:rsidRPr="006B27CC">
              <w:t>0.002159</w:t>
            </w:r>
          </w:p>
        </w:tc>
        <w:tc>
          <w:tcPr>
            <w:tcW w:w="382" w:type="pct"/>
          </w:tcPr>
          <w:p w14:paraId="2ECA6AD3" w14:textId="77777777" w:rsidR="002E474C" w:rsidRPr="006B27CC" w:rsidRDefault="00000000" w:rsidP="006B27CC">
            <w:pPr>
              <w:pStyle w:val="A-"/>
              <w:spacing w:line="220" w:lineRule="exact"/>
            </w:pPr>
            <w:r w:rsidRPr="006B27CC">
              <w:t>0.00000698</w:t>
            </w:r>
          </w:p>
        </w:tc>
        <w:tc>
          <w:tcPr>
            <w:tcW w:w="379" w:type="pct"/>
          </w:tcPr>
          <w:p w14:paraId="2670FF24" w14:textId="77777777" w:rsidR="002E474C" w:rsidRPr="006B27CC" w:rsidRDefault="00000000" w:rsidP="006B27CC">
            <w:pPr>
              <w:pStyle w:val="A-"/>
              <w:spacing w:line="220" w:lineRule="exact"/>
            </w:pPr>
            <w:r w:rsidRPr="006B27CC">
              <w:t>0.00000585</w:t>
            </w:r>
          </w:p>
        </w:tc>
      </w:tr>
      <w:tr w:rsidR="002E474C" w:rsidRPr="006B27CC" w14:paraId="481F2865" w14:textId="77777777" w:rsidTr="009C3A0E">
        <w:tc>
          <w:tcPr>
            <w:tcW w:w="240" w:type="pct"/>
          </w:tcPr>
          <w:p w14:paraId="7C87E505" w14:textId="77777777" w:rsidR="002E474C" w:rsidRPr="006B27CC" w:rsidRDefault="00000000" w:rsidP="006B27CC">
            <w:pPr>
              <w:pStyle w:val="A-"/>
              <w:spacing w:line="220" w:lineRule="exact"/>
            </w:pPr>
            <w:r w:rsidRPr="006B27CC">
              <w:t>As</w:t>
            </w:r>
          </w:p>
        </w:tc>
        <w:tc>
          <w:tcPr>
            <w:tcW w:w="138" w:type="pct"/>
          </w:tcPr>
          <w:p w14:paraId="0469FCA3" w14:textId="77777777" w:rsidR="002E474C" w:rsidRPr="006B27CC" w:rsidRDefault="00000000" w:rsidP="006B27CC">
            <w:pPr>
              <w:pStyle w:val="A-"/>
              <w:spacing w:line="220" w:lineRule="exact"/>
            </w:pPr>
            <w:r w:rsidRPr="006B27CC">
              <w:t>%</w:t>
            </w:r>
          </w:p>
        </w:tc>
        <w:tc>
          <w:tcPr>
            <w:tcW w:w="330" w:type="pct"/>
          </w:tcPr>
          <w:p w14:paraId="710DAA97" w14:textId="77777777" w:rsidR="002E474C" w:rsidRPr="006B27CC" w:rsidRDefault="002E474C" w:rsidP="006B27CC">
            <w:pPr>
              <w:pStyle w:val="A-"/>
              <w:spacing w:line="220" w:lineRule="exact"/>
            </w:pPr>
          </w:p>
        </w:tc>
        <w:tc>
          <w:tcPr>
            <w:tcW w:w="341" w:type="pct"/>
          </w:tcPr>
          <w:p w14:paraId="34565798" w14:textId="77777777" w:rsidR="002E474C" w:rsidRPr="006B27CC" w:rsidRDefault="002E474C" w:rsidP="006B27CC">
            <w:pPr>
              <w:pStyle w:val="A-"/>
              <w:spacing w:line="220" w:lineRule="exact"/>
            </w:pPr>
          </w:p>
        </w:tc>
        <w:tc>
          <w:tcPr>
            <w:tcW w:w="424" w:type="pct"/>
          </w:tcPr>
          <w:p w14:paraId="6F6B3C0E" w14:textId="77777777" w:rsidR="002E474C" w:rsidRPr="006B27CC" w:rsidRDefault="002E474C" w:rsidP="006B27CC">
            <w:pPr>
              <w:pStyle w:val="A-"/>
              <w:spacing w:line="220" w:lineRule="exact"/>
            </w:pPr>
          </w:p>
        </w:tc>
        <w:tc>
          <w:tcPr>
            <w:tcW w:w="496" w:type="pct"/>
          </w:tcPr>
          <w:p w14:paraId="7FEBDD1E" w14:textId="77777777" w:rsidR="002E474C" w:rsidRPr="006B27CC" w:rsidRDefault="002E474C" w:rsidP="006B27CC">
            <w:pPr>
              <w:pStyle w:val="A-"/>
              <w:spacing w:line="220" w:lineRule="exact"/>
            </w:pPr>
          </w:p>
        </w:tc>
        <w:tc>
          <w:tcPr>
            <w:tcW w:w="341" w:type="pct"/>
          </w:tcPr>
          <w:p w14:paraId="168EC7CE" w14:textId="77777777" w:rsidR="002E474C" w:rsidRPr="006B27CC" w:rsidRDefault="00000000" w:rsidP="006B27CC">
            <w:pPr>
              <w:pStyle w:val="A-"/>
              <w:spacing w:line="220" w:lineRule="exact"/>
            </w:pPr>
            <w:r w:rsidRPr="006B27CC">
              <w:t>0</w:t>
            </w:r>
          </w:p>
        </w:tc>
        <w:tc>
          <w:tcPr>
            <w:tcW w:w="371" w:type="pct"/>
          </w:tcPr>
          <w:p w14:paraId="7E93DFB5" w14:textId="77777777" w:rsidR="002E474C" w:rsidRPr="006B27CC" w:rsidRDefault="002E474C" w:rsidP="006B27CC">
            <w:pPr>
              <w:pStyle w:val="A-"/>
              <w:spacing w:line="220" w:lineRule="exact"/>
            </w:pPr>
          </w:p>
        </w:tc>
        <w:tc>
          <w:tcPr>
            <w:tcW w:w="545" w:type="pct"/>
          </w:tcPr>
          <w:p w14:paraId="09FA1399" w14:textId="77777777" w:rsidR="002E474C" w:rsidRPr="006B27CC" w:rsidRDefault="002E474C" w:rsidP="006B27CC">
            <w:pPr>
              <w:pStyle w:val="A-"/>
              <w:spacing w:line="220" w:lineRule="exact"/>
            </w:pPr>
          </w:p>
        </w:tc>
        <w:tc>
          <w:tcPr>
            <w:tcW w:w="295" w:type="pct"/>
          </w:tcPr>
          <w:p w14:paraId="59CE9D56" w14:textId="77777777" w:rsidR="002E474C" w:rsidRPr="006B27CC" w:rsidRDefault="00000000" w:rsidP="006B27CC">
            <w:pPr>
              <w:pStyle w:val="A-"/>
              <w:spacing w:line="220" w:lineRule="exact"/>
            </w:pPr>
            <w:r w:rsidRPr="006B27CC">
              <w:t>0.000000098</w:t>
            </w:r>
          </w:p>
        </w:tc>
        <w:tc>
          <w:tcPr>
            <w:tcW w:w="295" w:type="pct"/>
          </w:tcPr>
          <w:p w14:paraId="6676D464" w14:textId="77777777" w:rsidR="002E474C" w:rsidRPr="006B27CC" w:rsidRDefault="002E474C" w:rsidP="006B27CC">
            <w:pPr>
              <w:pStyle w:val="A-"/>
              <w:spacing w:line="220" w:lineRule="exact"/>
            </w:pPr>
          </w:p>
        </w:tc>
        <w:tc>
          <w:tcPr>
            <w:tcW w:w="424" w:type="pct"/>
          </w:tcPr>
          <w:p w14:paraId="77BEEC99" w14:textId="77777777" w:rsidR="002E474C" w:rsidRPr="006B27CC" w:rsidRDefault="00000000" w:rsidP="006B27CC">
            <w:pPr>
              <w:pStyle w:val="A-"/>
              <w:spacing w:line="220" w:lineRule="exact"/>
            </w:pPr>
            <w:r w:rsidRPr="006B27CC">
              <w:t>0.00000912</w:t>
            </w:r>
          </w:p>
        </w:tc>
        <w:tc>
          <w:tcPr>
            <w:tcW w:w="382" w:type="pct"/>
          </w:tcPr>
          <w:p w14:paraId="7287957A" w14:textId="77777777" w:rsidR="002E474C" w:rsidRPr="006B27CC" w:rsidRDefault="00000000" w:rsidP="006B27CC">
            <w:pPr>
              <w:pStyle w:val="A-"/>
              <w:spacing w:line="220" w:lineRule="exact"/>
            </w:pPr>
            <w:r w:rsidRPr="006B27CC">
              <w:t>0.000000861</w:t>
            </w:r>
          </w:p>
        </w:tc>
        <w:tc>
          <w:tcPr>
            <w:tcW w:w="379" w:type="pct"/>
          </w:tcPr>
          <w:p w14:paraId="567E58BD" w14:textId="77777777" w:rsidR="002E474C" w:rsidRPr="006B27CC" w:rsidRDefault="00000000" w:rsidP="006B27CC">
            <w:pPr>
              <w:pStyle w:val="A-"/>
              <w:spacing w:line="220" w:lineRule="exact"/>
            </w:pPr>
            <w:r w:rsidRPr="006B27CC">
              <w:t>0.0000111</w:t>
            </w:r>
          </w:p>
        </w:tc>
      </w:tr>
      <w:tr w:rsidR="002E474C" w:rsidRPr="006B27CC" w14:paraId="70B9D301" w14:textId="77777777" w:rsidTr="009C3A0E">
        <w:tc>
          <w:tcPr>
            <w:tcW w:w="240" w:type="pct"/>
          </w:tcPr>
          <w:p w14:paraId="6E5D8D72" w14:textId="77777777" w:rsidR="002E474C" w:rsidRPr="006B27CC" w:rsidRDefault="00000000" w:rsidP="006B27CC">
            <w:pPr>
              <w:pStyle w:val="A-"/>
              <w:spacing w:line="220" w:lineRule="exact"/>
            </w:pPr>
            <w:r w:rsidRPr="006B27CC">
              <w:t>Hg</w:t>
            </w:r>
          </w:p>
        </w:tc>
        <w:tc>
          <w:tcPr>
            <w:tcW w:w="138" w:type="pct"/>
          </w:tcPr>
          <w:p w14:paraId="160837B1" w14:textId="77777777" w:rsidR="002E474C" w:rsidRPr="006B27CC" w:rsidRDefault="00000000" w:rsidP="006B27CC">
            <w:pPr>
              <w:pStyle w:val="A-"/>
              <w:spacing w:line="220" w:lineRule="exact"/>
            </w:pPr>
            <w:r w:rsidRPr="006B27CC">
              <w:t>%</w:t>
            </w:r>
          </w:p>
        </w:tc>
        <w:tc>
          <w:tcPr>
            <w:tcW w:w="330" w:type="pct"/>
          </w:tcPr>
          <w:p w14:paraId="544D3CB8" w14:textId="77777777" w:rsidR="002E474C" w:rsidRPr="006B27CC" w:rsidRDefault="00000000" w:rsidP="006B27CC">
            <w:pPr>
              <w:pStyle w:val="A-"/>
              <w:spacing w:line="220" w:lineRule="exact"/>
            </w:pPr>
            <w:r w:rsidRPr="006B27CC">
              <w:t>0.004</w:t>
            </w:r>
          </w:p>
        </w:tc>
        <w:tc>
          <w:tcPr>
            <w:tcW w:w="341" w:type="pct"/>
          </w:tcPr>
          <w:p w14:paraId="321F3A42" w14:textId="77777777" w:rsidR="002E474C" w:rsidRPr="006B27CC" w:rsidRDefault="002E474C" w:rsidP="006B27CC">
            <w:pPr>
              <w:pStyle w:val="A-"/>
              <w:spacing w:line="220" w:lineRule="exact"/>
            </w:pPr>
          </w:p>
        </w:tc>
        <w:tc>
          <w:tcPr>
            <w:tcW w:w="424" w:type="pct"/>
          </w:tcPr>
          <w:p w14:paraId="730AC087" w14:textId="77777777" w:rsidR="002E474C" w:rsidRPr="006B27CC" w:rsidRDefault="002E474C" w:rsidP="006B27CC">
            <w:pPr>
              <w:pStyle w:val="A-"/>
              <w:spacing w:line="220" w:lineRule="exact"/>
            </w:pPr>
          </w:p>
        </w:tc>
        <w:tc>
          <w:tcPr>
            <w:tcW w:w="496" w:type="pct"/>
          </w:tcPr>
          <w:p w14:paraId="7E88F0FA" w14:textId="77777777" w:rsidR="002E474C" w:rsidRPr="006B27CC" w:rsidRDefault="002E474C" w:rsidP="006B27CC">
            <w:pPr>
              <w:pStyle w:val="A-"/>
              <w:spacing w:line="220" w:lineRule="exact"/>
            </w:pPr>
          </w:p>
        </w:tc>
        <w:tc>
          <w:tcPr>
            <w:tcW w:w="341" w:type="pct"/>
          </w:tcPr>
          <w:p w14:paraId="6691A36D" w14:textId="77777777" w:rsidR="002E474C" w:rsidRPr="006B27CC" w:rsidRDefault="00000000" w:rsidP="006B27CC">
            <w:pPr>
              <w:pStyle w:val="A-"/>
              <w:spacing w:line="220" w:lineRule="exact"/>
            </w:pPr>
            <w:r w:rsidRPr="006B27CC">
              <w:t>0</w:t>
            </w:r>
          </w:p>
        </w:tc>
        <w:tc>
          <w:tcPr>
            <w:tcW w:w="371" w:type="pct"/>
          </w:tcPr>
          <w:p w14:paraId="7C376921" w14:textId="77777777" w:rsidR="002E474C" w:rsidRPr="006B27CC" w:rsidRDefault="002E474C" w:rsidP="006B27CC">
            <w:pPr>
              <w:pStyle w:val="A-"/>
              <w:spacing w:line="220" w:lineRule="exact"/>
            </w:pPr>
          </w:p>
        </w:tc>
        <w:tc>
          <w:tcPr>
            <w:tcW w:w="545" w:type="pct"/>
          </w:tcPr>
          <w:p w14:paraId="74C923B3" w14:textId="77777777" w:rsidR="002E474C" w:rsidRPr="006B27CC" w:rsidRDefault="002E474C" w:rsidP="006B27CC">
            <w:pPr>
              <w:pStyle w:val="A-"/>
              <w:spacing w:line="220" w:lineRule="exact"/>
            </w:pPr>
          </w:p>
        </w:tc>
        <w:tc>
          <w:tcPr>
            <w:tcW w:w="295" w:type="pct"/>
          </w:tcPr>
          <w:p w14:paraId="636B8F06" w14:textId="77777777" w:rsidR="002E474C" w:rsidRPr="006B27CC" w:rsidRDefault="00000000" w:rsidP="006B27CC">
            <w:pPr>
              <w:pStyle w:val="A-"/>
              <w:spacing w:line="220" w:lineRule="exact"/>
            </w:pPr>
            <w:r w:rsidRPr="006B27CC">
              <w:t>7.4E-09</w:t>
            </w:r>
          </w:p>
        </w:tc>
        <w:tc>
          <w:tcPr>
            <w:tcW w:w="295" w:type="pct"/>
          </w:tcPr>
          <w:p w14:paraId="305AC2E8" w14:textId="77777777" w:rsidR="002E474C" w:rsidRPr="006B27CC" w:rsidRDefault="002E474C" w:rsidP="006B27CC">
            <w:pPr>
              <w:pStyle w:val="A-"/>
              <w:spacing w:line="220" w:lineRule="exact"/>
            </w:pPr>
          </w:p>
        </w:tc>
        <w:tc>
          <w:tcPr>
            <w:tcW w:w="424" w:type="pct"/>
          </w:tcPr>
          <w:p w14:paraId="24F3FD13" w14:textId="77777777" w:rsidR="002E474C" w:rsidRPr="006B27CC" w:rsidRDefault="00000000" w:rsidP="006B27CC">
            <w:pPr>
              <w:pStyle w:val="A-"/>
              <w:spacing w:line="220" w:lineRule="exact"/>
            </w:pPr>
            <w:r w:rsidRPr="006B27CC">
              <w:t>0.000000431</w:t>
            </w:r>
          </w:p>
        </w:tc>
        <w:tc>
          <w:tcPr>
            <w:tcW w:w="382" w:type="pct"/>
          </w:tcPr>
          <w:p w14:paraId="3F407D9F" w14:textId="77777777" w:rsidR="002E474C" w:rsidRPr="006B27CC" w:rsidRDefault="00000000" w:rsidP="006B27CC">
            <w:pPr>
              <w:pStyle w:val="A-"/>
              <w:spacing w:line="220" w:lineRule="exact"/>
            </w:pPr>
            <w:r w:rsidRPr="006B27CC">
              <w:t>3.26E-08</w:t>
            </w:r>
          </w:p>
        </w:tc>
        <w:tc>
          <w:tcPr>
            <w:tcW w:w="379" w:type="pct"/>
          </w:tcPr>
          <w:p w14:paraId="28200DB0" w14:textId="77777777" w:rsidR="002E474C" w:rsidRPr="006B27CC" w:rsidRDefault="00000000" w:rsidP="006B27CC">
            <w:pPr>
              <w:pStyle w:val="A-"/>
              <w:spacing w:line="220" w:lineRule="exact"/>
            </w:pPr>
            <w:r w:rsidRPr="006B27CC">
              <w:t>0.00000018</w:t>
            </w:r>
          </w:p>
        </w:tc>
      </w:tr>
    </w:tbl>
    <w:p w14:paraId="23E0C4CD" w14:textId="77777777" w:rsidR="002E474C" w:rsidRDefault="002E474C">
      <w:pPr>
        <w:pStyle w:val="A-z"/>
        <w:rPr>
          <w:color w:val="auto"/>
        </w:rPr>
        <w:sectPr w:rsidR="002E474C">
          <w:pgSz w:w="23814" w:h="16840"/>
          <w:pgMar w:top="720" w:right="720" w:bottom="720" w:left="720" w:header="851" w:footer="992" w:gutter="0"/>
          <w:cols w:space="720"/>
          <w:docGrid w:linePitch="312"/>
        </w:sectPr>
      </w:pPr>
    </w:p>
    <w:p w14:paraId="00EAB4A2" w14:textId="77777777" w:rsidR="002E474C" w:rsidRDefault="00000000">
      <w:pPr>
        <w:pStyle w:val="31"/>
        <w:spacing w:before="120" w:after="120"/>
        <w:rPr>
          <w:color w:val="auto"/>
        </w:rPr>
      </w:pPr>
      <w:r>
        <w:rPr>
          <w:color w:val="auto"/>
        </w:rPr>
        <w:lastRenderedPageBreak/>
        <w:t>危险废物特性要求</w:t>
      </w:r>
    </w:p>
    <w:p w14:paraId="47205B41" w14:textId="77777777" w:rsidR="002E474C" w:rsidRDefault="00000000">
      <w:pPr>
        <w:pStyle w:val="A-z"/>
        <w:rPr>
          <w:color w:val="auto"/>
          <w:lang w:val="en-US"/>
        </w:rPr>
      </w:pPr>
      <w:r>
        <w:rPr>
          <w:color w:val="auto"/>
        </w:rPr>
        <w:t>本项目</w:t>
      </w:r>
      <w:r>
        <w:rPr>
          <w:rFonts w:hint="eastAsia"/>
          <w:color w:val="auto"/>
        </w:rPr>
        <w:t>协同处置的危险废物主要</w:t>
      </w:r>
      <w:r>
        <w:rPr>
          <w:color w:val="auto"/>
        </w:rPr>
        <w:t>来自于预处理中心的预处理产物，</w:t>
      </w:r>
      <w:r>
        <w:rPr>
          <w:rFonts w:hint="eastAsia"/>
          <w:color w:val="auto"/>
        </w:rPr>
        <w:t>危废</w:t>
      </w:r>
      <w:r>
        <w:rPr>
          <w:color w:val="auto"/>
        </w:rPr>
        <w:t>预处理过程中已采取危险废物准入控制措施（包括入窑元素符合性分析、准入评估、配伍方案设计）、入厂验收（包括危废检查、取样检验、类</w:t>
      </w:r>
      <w:r w:rsidRPr="006B27CC">
        <w:rPr>
          <w:color w:val="auto"/>
        </w:rPr>
        <w:t>别核对、制定协同处置方案）</w:t>
      </w:r>
      <w:r w:rsidRPr="006B27CC">
        <w:rPr>
          <w:rFonts w:hint="eastAsia"/>
          <w:color w:val="auto"/>
        </w:rPr>
        <w:t>。</w:t>
      </w:r>
      <w:r w:rsidRPr="006B27CC">
        <w:rPr>
          <w:rFonts w:hint="eastAsia"/>
          <w:color w:val="auto"/>
          <w:lang w:val="en-US"/>
        </w:rPr>
        <w:t>本项目接收的不需要预处理的危废直接经投料系统入窑处置，</w:t>
      </w:r>
      <w:r w:rsidRPr="006B27CC">
        <w:rPr>
          <w:color w:val="auto"/>
          <w:spacing w:val="-6"/>
        </w:rPr>
        <w:t>仅在</w:t>
      </w:r>
      <w:r w:rsidRPr="006B27CC">
        <w:rPr>
          <w:rFonts w:hint="eastAsia"/>
          <w:color w:val="auto"/>
          <w:spacing w:val="-6"/>
        </w:rPr>
        <w:t>本项目</w:t>
      </w:r>
      <w:r w:rsidRPr="006B27CC">
        <w:rPr>
          <w:color w:val="auto"/>
          <w:spacing w:val="-6"/>
        </w:rPr>
        <w:t>固态危废预处理车间破碎废弃包装物</w:t>
      </w:r>
      <w:r w:rsidRPr="006B27CC">
        <w:rPr>
          <w:rFonts w:hint="eastAsia"/>
          <w:color w:val="auto"/>
          <w:spacing w:val="-6"/>
        </w:rPr>
        <w:t>和</w:t>
      </w:r>
      <w:r w:rsidRPr="006B27CC">
        <w:rPr>
          <w:color w:val="auto"/>
          <w:spacing w:val="-6"/>
        </w:rPr>
        <w:t>不满足直接入窑处置</w:t>
      </w:r>
      <w:r w:rsidRPr="006B27CC">
        <w:rPr>
          <w:rFonts w:hint="eastAsia"/>
          <w:color w:val="auto"/>
          <w:spacing w:val="-6"/>
        </w:rPr>
        <w:t>要求</w:t>
      </w:r>
      <w:r w:rsidRPr="006B27CC">
        <w:rPr>
          <w:color w:val="auto"/>
          <w:spacing w:val="-6"/>
        </w:rPr>
        <w:t>的物料</w:t>
      </w:r>
      <w:r w:rsidRPr="006B27CC">
        <w:rPr>
          <w:rFonts w:hint="eastAsia"/>
          <w:color w:val="auto"/>
          <w:spacing w:val="-6"/>
        </w:rPr>
        <w:t>，</w:t>
      </w:r>
      <w:r w:rsidRPr="006B27CC">
        <w:rPr>
          <w:color w:val="auto"/>
          <w:spacing w:val="-6"/>
        </w:rPr>
        <w:t>在液态处置车间对投料废液进行过滤处理</w:t>
      </w:r>
      <w:r w:rsidRPr="006B27CC">
        <w:rPr>
          <w:bCs/>
          <w:color w:val="auto"/>
          <w:lang w:val="en-US"/>
        </w:rPr>
        <w:t>。</w:t>
      </w:r>
      <w:r w:rsidRPr="006B27CC">
        <w:rPr>
          <w:rFonts w:hint="eastAsia"/>
          <w:color w:val="auto"/>
        </w:rPr>
        <w:t>入窑危废</w:t>
      </w:r>
      <w:r w:rsidRPr="006B27CC">
        <w:rPr>
          <w:color w:val="auto"/>
        </w:rPr>
        <w:t>特性应符合</w:t>
      </w:r>
      <w:r w:rsidRPr="006B27CC">
        <w:rPr>
          <w:color w:val="auto"/>
          <w:lang w:val="en-US"/>
        </w:rPr>
        <w:t>GB30485-2013</w:t>
      </w:r>
      <w:r w:rsidRPr="006B27CC">
        <w:rPr>
          <w:color w:val="auto"/>
          <w:lang w:val="en-US"/>
        </w:rPr>
        <w:t>、</w:t>
      </w:r>
      <w:r w:rsidRPr="006B27CC">
        <w:rPr>
          <w:color w:val="auto"/>
          <w:lang w:val="en-US"/>
        </w:rPr>
        <w:t>HJ662-2013</w:t>
      </w:r>
      <w:r w:rsidRPr="006B27CC">
        <w:rPr>
          <w:color w:val="auto"/>
          <w:lang w:val="en-US"/>
        </w:rPr>
        <w:t>、</w:t>
      </w:r>
      <w:r w:rsidRPr="006B27CC">
        <w:rPr>
          <w:color w:val="auto"/>
          <w:lang w:val="en-US"/>
        </w:rPr>
        <w:t>GB50634-2010</w:t>
      </w:r>
      <w:r w:rsidRPr="006B27CC">
        <w:rPr>
          <w:color w:val="auto"/>
          <w:lang w:val="en-US"/>
        </w:rPr>
        <w:t>和</w:t>
      </w:r>
      <w:r w:rsidRPr="006B27CC">
        <w:rPr>
          <w:color w:val="auto"/>
          <w:lang w:val="en-US"/>
        </w:rPr>
        <w:t>GB</w:t>
      </w:r>
      <w:r w:rsidRPr="006B27CC">
        <w:rPr>
          <w:rFonts w:hint="eastAsia"/>
          <w:color w:val="auto"/>
          <w:lang w:val="en-US"/>
        </w:rPr>
        <w:t>/T</w:t>
      </w:r>
      <w:r w:rsidRPr="006B27CC">
        <w:rPr>
          <w:color w:val="auto"/>
          <w:lang w:val="en-US"/>
        </w:rPr>
        <w:t>30760-2024</w:t>
      </w:r>
      <w:r w:rsidRPr="006B27CC">
        <w:rPr>
          <w:color w:val="auto"/>
          <w:lang w:val="en-US"/>
        </w:rPr>
        <w:t>中水泥窑协同处置的废物种类要求</w:t>
      </w:r>
      <w:r w:rsidRPr="006B27CC">
        <w:rPr>
          <w:rFonts w:hint="eastAsia"/>
          <w:color w:val="auto"/>
          <w:lang w:val="en-US"/>
        </w:rPr>
        <w:t>、</w:t>
      </w:r>
      <w:r w:rsidRPr="006B27CC">
        <w:rPr>
          <w:color w:val="auto"/>
          <w:lang w:val="en-US"/>
        </w:rPr>
        <w:t>特性要求</w:t>
      </w:r>
      <w:r w:rsidRPr="006B27CC">
        <w:rPr>
          <w:rFonts w:hint="eastAsia"/>
          <w:color w:val="auto"/>
          <w:lang w:val="en-US"/>
        </w:rPr>
        <w:t>及</w:t>
      </w:r>
      <w:r w:rsidRPr="006B27CC">
        <w:rPr>
          <w:color w:val="auto"/>
        </w:rPr>
        <w:t>安全生产要求</w:t>
      </w:r>
      <w:r w:rsidRPr="006B27CC">
        <w:rPr>
          <w:color w:val="auto"/>
          <w:lang w:val="en-US"/>
        </w:rPr>
        <w:t>。</w:t>
      </w:r>
    </w:p>
    <w:p w14:paraId="3F59B37E" w14:textId="77777777" w:rsidR="002E474C" w:rsidRDefault="00000000">
      <w:pPr>
        <w:pStyle w:val="31"/>
        <w:spacing w:beforeLines="0" w:before="0" w:afterLines="0" w:after="0"/>
        <w:rPr>
          <w:color w:val="auto"/>
        </w:rPr>
      </w:pPr>
      <w:r>
        <w:rPr>
          <w:color w:val="auto"/>
        </w:rPr>
        <w:t>处置规模的合理性</w:t>
      </w:r>
    </w:p>
    <w:p w14:paraId="2D3BA724" w14:textId="77777777" w:rsidR="002E474C" w:rsidRDefault="00000000">
      <w:pPr>
        <w:pStyle w:val="A-z"/>
        <w:rPr>
          <w:color w:val="auto"/>
          <w:spacing w:val="-6"/>
        </w:rPr>
      </w:pPr>
      <w:r>
        <w:rPr>
          <w:color w:val="auto"/>
        </w:rPr>
        <w:t>本项目水泥窑协同处置</w:t>
      </w:r>
      <w:r>
        <w:rPr>
          <w:color w:val="auto"/>
        </w:rPr>
        <w:t>5</w:t>
      </w:r>
      <w:r>
        <w:rPr>
          <w:color w:val="auto"/>
        </w:rPr>
        <w:t>万</w:t>
      </w:r>
      <w:r>
        <w:rPr>
          <w:color w:val="auto"/>
        </w:rPr>
        <w:t>t/a</w:t>
      </w:r>
      <w:r>
        <w:rPr>
          <w:color w:val="auto"/>
        </w:rPr>
        <w:t>危险废物。其中，固态（含半固态）废物</w:t>
      </w:r>
      <w:r>
        <w:rPr>
          <w:color w:val="auto"/>
        </w:rPr>
        <w:t>4.5</w:t>
      </w:r>
      <w:r>
        <w:rPr>
          <w:color w:val="auto"/>
        </w:rPr>
        <w:t>万</w:t>
      </w:r>
      <w:r>
        <w:rPr>
          <w:color w:val="auto"/>
        </w:rPr>
        <w:t>t/a</w:t>
      </w:r>
      <w:r>
        <w:rPr>
          <w:color w:val="auto"/>
        </w:rPr>
        <w:t>、液态废物</w:t>
      </w:r>
      <w:r>
        <w:rPr>
          <w:color w:val="auto"/>
        </w:rPr>
        <w:t>0.5</w:t>
      </w:r>
      <w:r>
        <w:rPr>
          <w:color w:val="auto"/>
        </w:rPr>
        <w:t>万</w:t>
      </w:r>
      <w:r>
        <w:rPr>
          <w:color w:val="auto"/>
        </w:rPr>
        <w:t>t/a</w:t>
      </w:r>
      <w:r>
        <w:rPr>
          <w:color w:val="auto"/>
        </w:rPr>
        <w:t>。环评根据</w:t>
      </w:r>
      <w:bookmarkStart w:id="162" w:name="_Hlk151227165"/>
      <w:r>
        <w:rPr>
          <w:color w:val="auto"/>
        </w:rPr>
        <w:t>《水泥窑协同处置危险废物经营许可证审查指南（试行）》</w:t>
      </w:r>
      <w:bookmarkEnd w:id="162"/>
      <w:r>
        <w:rPr>
          <w:color w:val="auto"/>
        </w:rPr>
        <w:t>中表</w:t>
      </w:r>
      <w:r>
        <w:rPr>
          <w:color w:val="auto"/>
        </w:rPr>
        <w:t>2</w:t>
      </w:r>
      <w:r>
        <w:rPr>
          <w:color w:val="auto"/>
        </w:rPr>
        <w:t>和表</w:t>
      </w:r>
      <w:r>
        <w:rPr>
          <w:color w:val="auto"/>
        </w:rPr>
        <w:t>3</w:t>
      </w:r>
      <w:r>
        <w:rPr>
          <w:color w:val="auto"/>
        </w:rPr>
        <w:t>水泥窑对危险废物的最大容量中的相关叙述：</w:t>
      </w:r>
      <w:r>
        <w:rPr>
          <w:color w:val="auto"/>
          <w:spacing w:val="-6"/>
        </w:rPr>
        <w:t>将低位热值大于等于</w:t>
      </w:r>
      <w:r>
        <w:rPr>
          <w:color w:val="auto"/>
          <w:spacing w:val="-6"/>
        </w:rPr>
        <w:t>3MJ/kg</w:t>
      </w:r>
      <w:r>
        <w:rPr>
          <w:color w:val="auto"/>
          <w:spacing w:val="-6"/>
        </w:rPr>
        <w:t>的</w:t>
      </w:r>
      <w:r>
        <w:rPr>
          <w:rFonts w:hint="eastAsia"/>
          <w:color w:val="auto"/>
          <w:spacing w:val="-6"/>
        </w:rPr>
        <w:t>危险废物划分为</w:t>
      </w:r>
      <w:r>
        <w:rPr>
          <w:color w:val="auto"/>
          <w:spacing w:val="-6"/>
        </w:rPr>
        <w:t>可燃</w:t>
      </w:r>
      <w:r>
        <w:rPr>
          <w:rFonts w:hint="eastAsia"/>
          <w:color w:val="auto"/>
          <w:spacing w:val="-6"/>
        </w:rPr>
        <w:t>危险废物</w:t>
      </w:r>
      <w:r>
        <w:rPr>
          <w:color w:val="auto"/>
          <w:spacing w:val="-6"/>
        </w:rPr>
        <w:t>，小于</w:t>
      </w:r>
      <w:r>
        <w:rPr>
          <w:color w:val="auto"/>
          <w:spacing w:val="-6"/>
        </w:rPr>
        <w:t>3MJ/kg</w:t>
      </w:r>
      <w:r>
        <w:rPr>
          <w:color w:val="auto"/>
          <w:spacing w:val="-6"/>
        </w:rPr>
        <w:t>的为不可燃。</w:t>
      </w:r>
      <w:r>
        <w:rPr>
          <w:rFonts w:hint="eastAsia"/>
          <w:color w:val="auto"/>
          <w:spacing w:val="-6"/>
        </w:rPr>
        <w:t>根据危险废物成分分析，本项目可燃危废包括</w:t>
      </w:r>
      <w:r>
        <w:rPr>
          <w:rFonts w:hint="eastAsia"/>
          <w:color w:val="auto"/>
          <w:spacing w:val="-6"/>
        </w:rPr>
        <w:t>HW05</w:t>
      </w:r>
      <w:r>
        <w:rPr>
          <w:rFonts w:hint="eastAsia"/>
          <w:color w:val="auto"/>
          <w:spacing w:val="-6"/>
        </w:rPr>
        <w:t>、</w:t>
      </w:r>
      <w:r>
        <w:rPr>
          <w:rFonts w:hint="eastAsia"/>
          <w:color w:val="auto"/>
          <w:spacing w:val="-6"/>
        </w:rPr>
        <w:t>HW08</w:t>
      </w:r>
      <w:r>
        <w:rPr>
          <w:rFonts w:hint="eastAsia"/>
          <w:color w:val="auto"/>
          <w:spacing w:val="-6"/>
        </w:rPr>
        <w:t>、</w:t>
      </w:r>
      <w:r>
        <w:rPr>
          <w:rFonts w:hint="eastAsia"/>
          <w:color w:val="auto"/>
          <w:spacing w:val="-6"/>
        </w:rPr>
        <w:t>HW12</w:t>
      </w:r>
      <w:r>
        <w:rPr>
          <w:rFonts w:hint="eastAsia"/>
          <w:color w:val="auto"/>
          <w:spacing w:val="-6"/>
        </w:rPr>
        <w:t>、</w:t>
      </w:r>
      <w:r>
        <w:rPr>
          <w:rFonts w:hint="eastAsia"/>
          <w:color w:val="auto"/>
          <w:spacing w:val="-6"/>
        </w:rPr>
        <w:t>HW13</w:t>
      </w:r>
      <w:r>
        <w:rPr>
          <w:rFonts w:hint="eastAsia"/>
          <w:color w:val="auto"/>
          <w:spacing w:val="-6"/>
        </w:rPr>
        <w:t>、</w:t>
      </w:r>
      <w:r>
        <w:rPr>
          <w:rFonts w:hint="eastAsia"/>
          <w:color w:val="auto"/>
          <w:spacing w:val="-6"/>
        </w:rPr>
        <w:t>HW16</w:t>
      </w:r>
      <w:r>
        <w:rPr>
          <w:rFonts w:hint="eastAsia"/>
          <w:color w:val="auto"/>
          <w:spacing w:val="-6"/>
        </w:rPr>
        <w:t>、</w:t>
      </w:r>
      <w:r>
        <w:rPr>
          <w:rFonts w:hint="eastAsia"/>
          <w:color w:val="auto"/>
          <w:spacing w:val="-6"/>
        </w:rPr>
        <w:t>HW39</w:t>
      </w:r>
      <w:r>
        <w:rPr>
          <w:rFonts w:hint="eastAsia"/>
          <w:color w:val="auto"/>
          <w:spacing w:val="-6"/>
        </w:rPr>
        <w:t>、</w:t>
      </w:r>
      <w:r>
        <w:rPr>
          <w:rFonts w:hint="eastAsia"/>
          <w:color w:val="auto"/>
          <w:spacing w:val="-6"/>
        </w:rPr>
        <w:t>HW40</w:t>
      </w:r>
      <w:r>
        <w:rPr>
          <w:rFonts w:hint="eastAsia"/>
          <w:color w:val="auto"/>
          <w:spacing w:val="-6"/>
        </w:rPr>
        <w:t>、</w:t>
      </w:r>
      <w:r>
        <w:rPr>
          <w:rFonts w:hint="eastAsia"/>
          <w:color w:val="auto"/>
          <w:spacing w:val="-6"/>
        </w:rPr>
        <w:t>HW45</w:t>
      </w:r>
      <w:r>
        <w:rPr>
          <w:rFonts w:hint="eastAsia"/>
          <w:color w:val="auto"/>
          <w:spacing w:val="-6"/>
        </w:rPr>
        <w:t>及</w:t>
      </w:r>
      <w:r>
        <w:rPr>
          <w:rFonts w:hint="eastAsia"/>
          <w:color w:val="auto"/>
          <w:spacing w:val="-6"/>
        </w:rPr>
        <w:t>HW47</w:t>
      </w:r>
      <w:r>
        <w:rPr>
          <w:rFonts w:hint="eastAsia"/>
          <w:color w:val="auto"/>
          <w:spacing w:val="-6"/>
        </w:rPr>
        <w:t>，合计</w:t>
      </w:r>
      <w:r>
        <w:rPr>
          <w:rFonts w:hint="eastAsia"/>
          <w:color w:val="auto"/>
          <w:spacing w:val="-6"/>
        </w:rPr>
        <w:t>10183</w:t>
      </w:r>
      <w:r>
        <w:rPr>
          <w:color w:val="auto"/>
          <w:spacing w:val="-6"/>
          <w:lang w:val="en-US"/>
        </w:rPr>
        <w:t>t/a</w:t>
      </w:r>
      <w:r>
        <w:rPr>
          <w:color w:val="auto"/>
          <w:spacing w:val="-6"/>
          <w:lang w:val="en-US"/>
        </w:rPr>
        <w:t>，可燃危废平均低位热值为</w:t>
      </w:r>
      <w:r>
        <w:rPr>
          <w:rFonts w:hint="eastAsia"/>
          <w:color w:val="auto"/>
          <w:spacing w:val="-6"/>
          <w:lang w:val="en-US"/>
        </w:rPr>
        <w:t>5.98</w:t>
      </w:r>
      <w:r>
        <w:rPr>
          <w:color w:val="auto"/>
          <w:spacing w:val="-6"/>
          <w:lang w:val="en-US"/>
        </w:rPr>
        <w:t>MJ/kg</w:t>
      </w:r>
      <w:r>
        <w:rPr>
          <w:color w:val="auto"/>
          <w:spacing w:val="-6"/>
          <w:lang w:val="en-US"/>
        </w:rPr>
        <w:t>。根据指南表</w:t>
      </w:r>
      <w:r>
        <w:rPr>
          <w:color w:val="auto"/>
          <w:spacing w:val="-6"/>
          <w:lang w:val="en-US"/>
        </w:rPr>
        <w:t>3</w:t>
      </w:r>
      <w:r>
        <w:rPr>
          <w:color w:val="auto"/>
          <w:spacing w:val="-6"/>
          <w:lang w:val="en-US"/>
        </w:rPr>
        <w:t>内容，</w:t>
      </w:r>
      <w:r>
        <w:rPr>
          <w:rFonts w:hint="eastAsia"/>
          <w:color w:val="auto"/>
          <w:spacing w:val="-6"/>
          <w:lang w:val="en-US"/>
        </w:rPr>
        <w:t>本项目最大可投加比例约占水泥窑熟料生产能力的</w:t>
      </w:r>
      <w:r>
        <w:rPr>
          <w:rFonts w:hint="eastAsia"/>
          <w:color w:val="auto"/>
          <w:spacing w:val="-6"/>
          <w:lang w:val="en-US"/>
        </w:rPr>
        <w:t>16%</w:t>
      </w:r>
      <w:r>
        <w:rPr>
          <w:rFonts w:hint="eastAsia"/>
          <w:color w:val="auto"/>
          <w:spacing w:val="-6"/>
          <w:lang w:val="en-US"/>
        </w:rPr>
        <w:t>，</w:t>
      </w:r>
      <w:r>
        <w:rPr>
          <w:color w:val="auto"/>
          <w:spacing w:val="-6"/>
          <w:lang w:val="en-US"/>
        </w:rPr>
        <w:t>本项目投加的可燃危险废物占水泥窑熟料生产能力的</w:t>
      </w:r>
      <w:r>
        <w:rPr>
          <w:color w:val="auto"/>
          <w:spacing w:val="-6"/>
          <w:lang w:val="en-US"/>
        </w:rPr>
        <w:t>0.</w:t>
      </w:r>
      <w:r>
        <w:rPr>
          <w:rFonts w:hint="eastAsia"/>
          <w:color w:val="auto"/>
          <w:spacing w:val="-6"/>
          <w:lang w:val="en-US"/>
        </w:rPr>
        <w:t>68</w:t>
      </w:r>
      <w:r>
        <w:rPr>
          <w:color w:val="auto"/>
          <w:spacing w:val="-6"/>
          <w:lang w:val="en-US"/>
        </w:rPr>
        <w:t>%</w:t>
      </w:r>
      <w:r>
        <w:rPr>
          <w:color w:val="auto"/>
          <w:spacing w:val="-6"/>
          <w:lang w:val="en-US"/>
        </w:rPr>
        <w:t>，满足投加可燃危废</w:t>
      </w:r>
      <w:r>
        <w:rPr>
          <w:color w:val="auto"/>
          <w:lang w:val="en-US"/>
        </w:rPr>
        <w:t>投加质量的最大容量要求。</w:t>
      </w:r>
    </w:p>
    <w:p w14:paraId="6487E86B" w14:textId="77777777" w:rsidR="002E474C" w:rsidRDefault="00000000">
      <w:pPr>
        <w:pStyle w:val="A-z"/>
        <w:rPr>
          <w:color w:val="auto"/>
        </w:rPr>
      </w:pPr>
      <w:r>
        <w:rPr>
          <w:color w:val="auto"/>
        </w:rPr>
        <w:t>本项目拟处置危废中的不可燃废物</w:t>
      </w:r>
      <w:r>
        <w:rPr>
          <w:color w:val="auto"/>
        </w:rPr>
        <w:t>4</w:t>
      </w:r>
      <w:r>
        <w:rPr>
          <w:rFonts w:hint="eastAsia"/>
          <w:color w:val="auto"/>
        </w:rPr>
        <w:t>1</w:t>
      </w:r>
      <w:r>
        <w:rPr>
          <w:color w:val="auto"/>
        </w:rPr>
        <w:t>165.62t/a</w:t>
      </w:r>
      <w:r>
        <w:rPr>
          <w:color w:val="auto"/>
        </w:rPr>
        <w:t>，不可燃废物合计占</w:t>
      </w:r>
      <w:r>
        <w:rPr>
          <w:color w:val="auto"/>
          <w:lang w:val="en-US"/>
        </w:rPr>
        <w:t>水泥窑熟料生产能力的</w:t>
      </w:r>
      <w:r>
        <w:rPr>
          <w:color w:val="auto"/>
          <w:lang w:val="en-US"/>
        </w:rPr>
        <w:t>2.</w:t>
      </w:r>
      <w:r>
        <w:rPr>
          <w:rFonts w:hint="eastAsia"/>
          <w:color w:val="auto"/>
          <w:lang w:val="en-US"/>
        </w:rPr>
        <w:t>7</w:t>
      </w:r>
      <w:r>
        <w:rPr>
          <w:color w:val="auto"/>
          <w:lang w:val="en-US"/>
        </w:rPr>
        <w:t>4%</w:t>
      </w:r>
      <w:r>
        <w:rPr>
          <w:rFonts w:hint="eastAsia"/>
          <w:color w:val="auto"/>
          <w:lang w:val="en-US"/>
        </w:rPr>
        <w:t>。因此，拟处置的固态危废中不含有机质及氰化物的质量，含有机质或氰化物的小粒径、大粒径或大块状的质量及半固态危废的质量，均不超过</w:t>
      </w:r>
      <w:r>
        <w:rPr>
          <w:color w:val="auto"/>
          <w:lang w:val="en-US"/>
        </w:rPr>
        <w:t>水泥窑熟料生产能力的</w:t>
      </w:r>
      <w:r>
        <w:rPr>
          <w:color w:val="auto"/>
          <w:lang w:val="en-US"/>
        </w:rPr>
        <w:t>2.</w:t>
      </w:r>
      <w:r>
        <w:rPr>
          <w:rFonts w:hint="eastAsia"/>
          <w:color w:val="auto"/>
          <w:lang w:val="en-US"/>
        </w:rPr>
        <w:t>7</w:t>
      </w:r>
      <w:r>
        <w:rPr>
          <w:color w:val="auto"/>
          <w:lang w:val="en-US"/>
        </w:rPr>
        <w:t>4%</w:t>
      </w:r>
      <w:r>
        <w:rPr>
          <w:rFonts w:hint="eastAsia"/>
          <w:color w:val="auto"/>
          <w:lang w:val="en-US"/>
        </w:rPr>
        <w:t>。本项目液态危废的处置规模为</w:t>
      </w:r>
      <w:r>
        <w:rPr>
          <w:rFonts w:hint="eastAsia"/>
          <w:color w:val="auto"/>
          <w:lang w:val="en-US"/>
        </w:rPr>
        <w:t>0.5</w:t>
      </w:r>
      <w:r>
        <w:rPr>
          <w:rFonts w:hint="eastAsia"/>
          <w:color w:val="auto"/>
          <w:lang w:val="en-US"/>
        </w:rPr>
        <w:t>万</w:t>
      </w:r>
      <w:r>
        <w:rPr>
          <w:rFonts w:hint="eastAsia"/>
          <w:color w:val="auto"/>
          <w:lang w:val="en-US"/>
        </w:rPr>
        <w:t>t/a</w:t>
      </w:r>
      <w:r>
        <w:rPr>
          <w:rFonts w:hint="eastAsia"/>
          <w:color w:val="auto"/>
          <w:lang w:val="en-US"/>
        </w:rPr>
        <w:t>，投加的液态危废占</w:t>
      </w:r>
      <w:r>
        <w:rPr>
          <w:color w:val="auto"/>
          <w:lang w:val="en-US"/>
        </w:rPr>
        <w:t>水泥窑熟料生产能力的</w:t>
      </w:r>
      <w:r>
        <w:rPr>
          <w:rFonts w:hint="eastAsia"/>
          <w:color w:val="auto"/>
          <w:lang w:val="en-US"/>
        </w:rPr>
        <w:t>0.33</w:t>
      </w:r>
      <w:r>
        <w:rPr>
          <w:color w:val="auto"/>
          <w:lang w:val="en-US"/>
        </w:rPr>
        <w:t>%</w:t>
      </w:r>
      <w:r>
        <w:rPr>
          <w:rFonts w:hint="eastAsia"/>
          <w:color w:val="auto"/>
          <w:lang w:val="en-US"/>
        </w:rPr>
        <w:t>。</w:t>
      </w:r>
      <w:r>
        <w:rPr>
          <w:color w:val="auto"/>
          <w:lang w:val="en-US"/>
        </w:rPr>
        <w:t>因此，</w:t>
      </w:r>
      <w:r>
        <w:rPr>
          <w:rFonts w:hint="eastAsia"/>
          <w:color w:val="auto"/>
          <w:lang w:val="en-US"/>
        </w:rPr>
        <w:t>拟处置的固态危废中，</w:t>
      </w:r>
      <w:r>
        <w:rPr>
          <w:color w:val="auto"/>
          <w:lang w:val="en-US"/>
        </w:rPr>
        <w:t>液态、</w:t>
      </w:r>
      <w:r>
        <w:rPr>
          <w:color w:val="auto"/>
        </w:rPr>
        <w:t>固态及半固态</w:t>
      </w:r>
      <w:r>
        <w:rPr>
          <w:rFonts w:hint="eastAsia"/>
          <w:color w:val="auto"/>
        </w:rPr>
        <w:t>危废</w:t>
      </w:r>
      <w:r>
        <w:rPr>
          <w:color w:val="auto"/>
        </w:rPr>
        <w:t>均</w:t>
      </w:r>
      <w:r>
        <w:rPr>
          <w:color w:val="auto"/>
          <w:lang w:val="en-US"/>
        </w:rPr>
        <w:t>满足各类</w:t>
      </w:r>
      <w:r>
        <w:rPr>
          <w:color w:val="auto"/>
        </w:rPr>
        <w:t>不</w:t>
      </w:r>
      <w:r>
        <w:rPr>
          <w:color w:val="auto"/>
          <w:lang w:val="en-US"/>
        </w:rPr>
        <w:t>可燃危险废物投加质量的最大容量要求。</w:t>
      </w:r>
    </w:p>
    <w:p w14:paraId="4CEC30A1" w14:textId="77777777" w:rsidR="002E474C" w:rsidRDefault="00000000">
      <w:pPr>
        <w:pStyle w:val="A-z"/>
        <w:rPr>
          <w:color w:val="auto"/>
        </w:rPr>
      </w:pPr>
      <w:r>
        <w:rPr>
          <w:color w:val="auto"/>
        </w:rPr>
        <w:t>综上所述，项目的危废处置规模整体上是合理的。</w:t>
      </w:r>
    </w:p>
    <w:p w14:paraId="1C126F93" w14:textId="77777777" w:rsidR="002E474C" w:rsidRDefault="00000000">
      <w:pPr>
        <w:pStyle w:val="A-z"/>
        <w:rPr>
          <w:color w:val="auto"/>
        </w:rPr>
      </w:pPr>
      <w:r>
        <w:rPr>
          <w:color w:val="auto"/>
        </w:rPr>
        <w:t>对比分析见表</w:t>
      </w:r>
      <w:r>
        <w:rPr>
          <w:color w:val="auto"/>
        </w:rPr>
        <w:t>3.4-4</w:t>
      </w:r>
      <w:r>
        <w:rPr>
          <w:color w:val="auto"/>
        </w:rPr>
        <w:t>。</w:t>
      </w:r>
    </w:p>
    <w:p w14:paraId="5E23EEE0" w14:textId="77777777" w:rsidR="002E474C" w:rsidRDefault="002E474C">
      <w:pPr>
        <w:pStyle w:val="A-z"/>
        <w:rPr>
          <w:color w:val="auto"/>
        </w:rPr>
      </w:pPr>
    </w:p>
    <w:p w14:paraId="41C07059" w14:textId="77777777" w:rsidR="002E474C" w:rsidRDefault="002E474C">
      <w:pPr>
        <w:pStyle w:val="A-z"/>
        <w:rPr>
          <w:color w:val="auto"/>
        </w:rPr>
      </w:pPr>
    </w:p>
    <w:p w14:paraId="0A4F2123" w14:textId="77777777" w:rsidR="002E474C" w:rsidRDefault="00000000">
      <w:pPr>
        <w:pStyle w:val="A--"/>
        <w:spacing w:beforeLines="0" w:before="0"/>
        <w:ind w:leftChars="0" w:left="0" w:rightChars="0" w:right="0"/>
        <w:rPr>
          <w:color w:val="auto"/>
        </w:rPr>
      </w:pPr>
      <w:bookmarkStart w:id="163" w:name="_Ref126854968"/>
      <w:r>
        <w:rPr>
          <w:color w:val="auto"/>
        </w:rPr>
        <w:lastRenderedPageBreak/>
        <w:t>表</w:t>
      </w:r>
      <w:bookmarkEnd w:id="163"/>
      <w:r>
        <w:rPr>
          <w:color w:val="auto"/>
        </w:rPr>
        <w:t xml:space="preserve">3.4-4  </w:t>
      </w:r>
      <w:r>
        <w:rPr>
          <w:color w:val="auto"/>
        </w:rPr>
        <w:t>项目处置规模合理性对比分析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2697"/>
        <w:gridCol w:w="3161"/>
        <w:gridCol w:w="1586"/>
      </w:tblGrid>
      <w:tr w:rsidR="002E474C" w14:paraId="458C6039" w14:textId="77777777">
        <w:trPr>
          <w:tblHeader/>
        </w:trPr>
        <w:tc>
          <w:tcPr>
            <w:tcW w:w="2090" w:type="pct"/>
            <w:gridSpan w:val="3"/>
            <w:vAlign w:val="center"/>
          </w:tcPr>
          <w:p w14:paraId="18B7012D" w14:textId="77777777" w:rsidR="002E474C" w:rsidRDefault="00000000">
            <w:pPr>
              <w:pStyle w:val="A-"/>
              <w:spacing w:line="240" w:lineRule="exact"/>
            </w:pPr>
            <w:r>
              <w:t>废物特性和形态</w:t>
            </w:r>
          </w:p>
        </w:tc>
        <w:tc>
          <w:tcPr>
            <w:tcW w:w="1929" w:type="pct"/>
            <w:vAlign w:val="center"/>
          </w:tcPr>
          <w:p w14:paraId="3FB4DD6F" w14:textId="77777777" w:rsidR="002E474C" w:rsidRDefault="00000000">
            <w:pPr>
              <w:pStyle w:val="A-"/>
              <w:spacing w:line="240" w:lineRule="exact"/>
            </w:pPr>
            <w:r>
              <w:t>可投加的危险废物的最大质量</w:t>
            </w:r>
          </w:p>
        </w:tc>
        <w:tc>
          <w:tcPr>
            <w:tcW w:w="980" w:type="pct"/>
            <w:vAlign w:val="center"/>
          </w:tcPr>
          <w:p w14:paraId="189FCD1C" w14:textId="77777777" w:rsidR="002E474C" w:rsidRDefault="00000000">
            <w:pPr>
              <w:pStyle w:val="A-"/>
              <w:spacing w:line="240" w:lineRule="exact"/>
            </w:pPr>
            <w:r>
              <w:t>本项目情况</w:t>
            </w:r>
          </w:p>
        </w:tc>
      </w:tr>
      <w:tr w:rsidR="002E474C" w14:paraId="24F4090C" w14:textId="77777777">
        <w:tc>
          <w:tcPr>
            <w:tcW w:w="2090" w:type="pct"/>
            <w:gridSpan w:val="3"/>
            <w:vAlign w:val="center"/>
          </w:tcPr>
          <w:p w14:paraId="35543543" w14:textId="77777777" w:rsidR="002E474C" w:rsidRDefault="00000000">
            <w:pPr>
              <w:pStyle w:val="A-"/>
              <w:spacing w:line="240" w:lineRule="exact"/>
            </w:pPr>
            <w:r>
              <w:t>可燃</w:t>
            </w:r>
          </w:p>
        </w:tc>
        <w:tc>
          <w:tcPr>
            <w:tcW w:w="1929" w:type="pct"/>
            <w:vAlign w:val="center"/>
          </w:tcPr>
          <w:p w14:paraId="7A8C1AE9" w14:textId="77777777" w:rsidR="002E474C" w:rsidRDefault="00000000">
            <w:pPr>
              <w:pStyle w:val="A-"/>
              <w:spacing w:line="240" w:lineRule="exact"/>
              <w:ind w:leftChars="-50" w:left="-105" w:rightChars="-50" w:right="-105"/>
            </w:pPr>
            <w:r>
              <w:t>不同热值对应可投加的可燃危险废物的百分比不超过</w:t>
            </w:r>
            <w:r>
              <w:t>16%~22%</w:t>
            </w:r>
          </w:p>
        </w:tc>
        <w:tc>
          <w:tcPr>
            <w:tcW w:w="980" w:type="pct"/>
            <w:vAlign w:val="center"/>
          </w:tcPr>
          <w:p w14:paraId="6BF15919" w14:textId="77777777" w:rsidR="002E474C" w:rsidRDefault="00000000">
            <w:pPr>
              <w:pStyle w:val="A-"/>
              <w:spacing w:line="240" w:lineRule="exact"/>
            </w:pPr>
            <w:r>
              <w:t>本项目</w:t>
            </w:r>
            <w:r>
              <w:t>0.</w:t>
            </w:r>
            <w:r>
              <w:rPr>
                <w:rFonts w:hint="eastAsia"/>
              </w:rPr>
              <w:t>6</w:t>
            </w:r>
            <w:r>
              <w:t xml:space="preserve">8% </w:t>
            </w:r>
          </w:p>
        </w:tc>
      </w:tr>
      <w:tr w:rsidR="002E474C" w14:paraId="3F8EDBDC" w14:textId="77777777">
        <w:tc>
          <w:tcPr>
            <w:tcW w:w="235" w:type="pct"/>
            <w:vMerge w:val="restart"/>
            <w:vAlign w:val="center"/>
          </w:tcPr>
          <w:p w14:paraId="410BD9AA" w14:textId="77777777" w:rsidR="002E474C" w:rsidRDefault="00000000">
            <w:pPr>
              <w:pStyle w:val="A-"/>
              <w:spacing w:line="240" w:lineRule="exact"/>
            </w:pPr>
            <w:r>
              <w:t>不可燃</w:t>
            </w:r>
          </w:p>
        </w:tc>
        <w:tc>
          <w:tcPr>
            <w:tcW w:w="1855" w:type="pct"/>
            <w:gridSpan w:val="2"/>
            <w:vAlign w:val="center"/>
          </w:tcPr>
          <w:p w14:paraId="7EAA3375" w14:textId="77777777" w:rsidR="002E474C" w:rsidRDefault="00000000">
            <w:pPr>
              <w:pStyle w:val="A-"/>
              <w:spacing w:line="240" w:lineRule="exact"/>
            </w:pPr>
            <w:r>
              <w:t>液态</w:t>
            </w:r>
          </w:p>
        </w:tc>
        <w:tc>
          <w:tcPr>
            <w:tcW w:w="1929" w:type="pct"/>
            <w:vAlign w:val="center"/>
          </w:tcPr>
          <w:p w14:paraId="62851480" w14:textId="77777777" w:rsidR="002E474C" w:rsidRDefault="00000000">
            <w:pPr>
              <w:pStyle w:val="A-"/>
              <w:spacing w:line="240" w:lineRule="exact"/>
              <w:ind w:leftChars="-50" w:left="-105" w:rightChars="-50" w:right="-105"/>
            </w:pPr>
            <w:bookmarkStart w:id="164" w:name="_Hlk151227341"/>
            <w:r>
              <w:rPr>
                <w:spacing w:val="-11"/>
              </w:rPr>
              <w:t>一般不超过水泥窑熟料生产能力的</w:t>
            </w:r>
            <w:r>
              <w:rPr>
                <w:spacing w:val="-11"/>
              </w:rPr>
              <w:t>10%</w:t>
            </w:r>
            <w:bookmarkEnd w:id="164"/>
          </w:p>
        </w:tc>
        <w:tc>
          <w:tcPr>
            <w:tcW w:w="980" w:type="pct"/>
            <w:vAlign w:val="center"/>
          </w:tcPr>
          <w:p w14:paraId="26705C3A" w14:textId="77777777" w:rsidR="002E474C" w:rsidRDefault="00000000">
            <w:pPr>
              <w:pStyle w:val="A-"/>
              <w:spacing w:line="240" w:lineRule="exact"/>
              <w:ind w:leftChars="-50" w:left="-105" w:rightChars="-50" w:right="-105"/>
              <w:rPr>
                <w:spacing w:val="-11"/>
              </w:rPr>
            </w:pPr>
            <w:r>
              <w:rPr>
                <w:spacing w:val="-11"/>
              </w:rPr>
              <w:t>本项目不超过</w:t>
            </w:r>
            <w:r>
              <w:rPr>
                <w:spacing w:val="-11"/>
              </w:rPr>
              <w:t>0.33%</w:t>
            </w:r>
          </w:p>
        </w:tc>
      </w:tr>
      <w:tr w:rsidR="002E474C" w14:paraId="6C307D3D" w14:textId="77777777">
        <w:tc>
          <w:tcPr>
            <w:tcW w:w="235" w:type="pct"/>
            <w:vMerge/>
            <w:vAlign w:val="center"/>
          </w:tcPr>
          <w:p w14:paraId="66956900" w14:textId="77777777" w:rsidR="002E474C" w:rsidRDefault="002E474C">
            <w:pPr>
              <w:pStyle w:val="A-"/>
              <w:spacing w:line="240" w:lineRule="exact"/>
            </w:pPr>
          </w:p>
        </w:tc>
        <w:tc>
          <w:tcPr>
            <w:tcW w:w="205" w:type="pct"/>
            <w:vMerge w:val="restart"/>
            <w:vAlign w:val="center"/>
          </w:tcPr>
          <w:p w14:paraId="0CEA1C4A" w14:textId="77777777" w:rsidR="002E474C" w:rsidRDefault="00000000">
            <w:pPr>
              <w:pStyle w:val="A-"/>
              <w:spacing w:line="240" w:lineRule="exact"/>
            </w:pPr>
            <w:r>
              <w:t>固态</w:t>
            </w:r>
          </w:p>
        </w:tc>
        <w:tc>
          <w:tcPr>
            <w:tcW w:w="1649" w:type="pct"/>
            <w:vAlign w:val="center"/>
          </w:tcPr>
          <w:p w14:paraId="0C4BFCF5" w14:textId="77777777" w:rsidR="002E474C" w:rsidRDefault="00000000">
            <w:pPr>
              <w:pStyle w:val="A-"/>
              <w:spacing w:line="240" w:lineRule="exact"/>
            </w:pPr>
            <w:r>
              <w:rPr>
                <w:spacing w:val="-6"/>
              </w:rPr>
              <w:t>含有机质或氰化物的小粒径</w:t>
            </w:r>
          </w:p>
        </w:tc>
        <w:tc>
          <w:tcPr>
            <w:tcW w:w="1929" w:type="pct"/>
            <w:vAlign w:val="center"/>
          </w:tcPr>
          <w:p w14:paraId="5A33EDB6" w14:textId="77777777" w:rsidR="002E474C" w:rsidRDefault="00000000">
            <w:pPr>
              <w:pStyle w:val="A-"/>
              <w:spacing w:line="240" w:lineRule="exact"/>
              <w:ind w:leftChars="-50" w:left="-105" w:rightChars="-50" w:right="-105"/>
              <w:rPr>
                <w:spacing w:val="-6"/>
              </w:rPr>
            </w:pPr>
            <w:r>
              <w:rPr>
                <w:spacing w:val="-11"/>
              </w:rPr>
              <w:t>一般不超过水泥窑熟料生产能力的</w:t>
            </w:r>
            <w:r>
              <w:rPr>
                <w:spacing w:val="-11"/>
              </w:rPr>
              <w:t>15%</w:t>
            </w:r>
          </w:p>
        </w:tc>
        <w:tc>
          <w:tcPr>
            <w:tcW w:w="980" w:type="pct"/>
            <w:vMerge w:val="restart"/>
            <w:vAlign w:val="center"/>
          </w:tcPr>
          <w:p w14:paraId="15334D7D" w14:textId="77777777" w:rsidR="002E474C" w:rsidRDefault="00000000">
            <w:pPr>
              <w:pStyle w:val="A-"/>
              <w:spacing w:line="240" w:lineRule="exact"/>
              <w:ind w:leftChars="-50" w:left="-105" w:rightChars="-50" w:right="-105"/>
              <w:rPr>
                <w:spacing w:val="-11"/>
              </w:rPr>
            </w:pPr>
            <w:r>
              <w:rPr>
                <w:spacing w:val="-11"/>
              </w:rPr>
              <w:t>本项目不超过</w:t>
            </w:r>
            <w:r>
              <w:rPr>
                <w:spacing w:val="-11"/>
              </w:rPr>
              <w:t>2.</w:t>
            </w:r>
            <w:r>
              <w:rPr>
                <w:rFonts w:hint="eastAsia"/>
                <w:spacing w:val="-11"/>
              </w:rPr>
              <w:t>7</w:t>
            </w:r>
            <w:r>
              <w:rPr>
                <w:spacing w:val="-11"/>
              </w:rPr>
              <w:t>4%</w:t>
            </w:r>
          </w:p>
        </w:tc>
      </w:tr>
      <w:tr w:rsidR="002E474C" w14:paraId="7A9F60CD" w14:textId="77777777">
        <w:tc>
          <w:tcPr>
            <w:tcW w:w="235" w:type="pct"/>
            <w:vMerge/>
            <w:vAlign w:val="center"/>
          </w:tcPr>
          <w:p w14:paraId="1B417C48" w14:textId="77777777" w:rsidR="002E474C" w:rsidRDefault="002E474C">
            <w:pPr>
              <w:pStyle w:val="A-"/>
              <w:spacing w:line="240" w:lineRule="exact"/>
            </w:pPr>
          </w:p>
        </w:tc>
        <w:tc>
          <w:tcPr>
            <w:tcW w:w="205" w:type="pct"/>
            <w:vMerge/>
            <w:vAlign w:val="center"/>
          </w:tcPr>
          <w:p w14:paraId="3A499805" w14:textId="77777777" w:rsidR="002E474C" w:rsidRDefault="002E474C">
            <w:pPr>
              <w:pStyle w:val="A-"/>
              <w:spacing w:line="240" w:lineRule="exact"/>
            </w:pPr>
          </w:p>
        </w:tc>
        <w:tc>
          <w:tcPr>
            <w:tcW w:w="1649" w:type="pct"/>
            <w:vAlign w:val="center"/>
          </w:tcPr>
          <w:p w14:paraId="3459C4B2" w14:textId="77777777" w:rsidR="002E474C" w:rsidRDefault="00000000">
            <w:pPr>
              <w:pStyle w:val="A-"/>
              <w:spacing w:line="240" w:lineRule="exact"/>
            </w:pPr>
            <w:r>
              <w:t>含有机质或氰化物的大粒径或大块状</w:t>
            </w:r>
          </w:p>
        </w:tc>
        <w:tc>
          <w:tcPr>
            <w:tcW w:w="1929" w:type="pct"/>
            <w:vAlign w:val="center"/>
          </w:tcPr>
          <w:p w14:paraId="72DBA213" w14:textId="77777777" w:rsidR="002E474C" w:rsidRDefault="00000000">
            <w:pPr>
              <w:pStyle w:val="A-"/>
              <w:spacing w:line="240" w:lineRule="exact"/>
              <w:ind w:leftChars="-50" w:left="-105" w:rightChars="-50" w:right="-105"/>
              <w:rPr>
                <w:spacing w:val="-6"/>
              </w:rPr>
            </w:pPr>
            <w:r>
              <w:rPr>
                <w:spacing w:val="-6"/>
              </w:rPr>
              <w:t>一般不超过水泥窑熟料生产能力的</w:t>
            </w:r>
            <w:r>
              <w:rPr>
                <w:spacing w:val="-6"/>
              </w:rPr>
              <w:t>4%</w:t>
            </w:r>
          </w:p>
        </w:tc>
        <w:tc>
          <w:tcPr>
            <w:tcW w:w="980" w:type="pct"/>
            <w:vMerge/>
            <w:vAlign w:val="center"/>
          </w:tcPr>
          <w:p w14:paraId="6EE5A2B1" w14:textId="77777777" w:rsidR="002E474C" w:rsidRDefault="002E474C">
            <w:pPr>
              <w:pStyle w:val="A-"/>
              <w:spacing w:line="240" w:lineRule="exact"/>
              <w:ind w:leftChars="-50" w:left="-105" w:rightChars="-50" w:right="-105"/>
              <w:rPr>
                <w:spacing w:val="-11"/>
              </w:rPr>
            </w:pPr>
          </w:p>
        </w:tc>
      </w:tr>
      <w:tr w:rsidR="002E474C" w14:paraId="4E2B5FBC" w14:textId="77777777">
        <w:tc>
          <w:tcPr>
            <w:tcW w:w="235" w:type="pct"/>
            <w:vMerge/>
            <w:vAlign w:val="center"/>
          </w:tcPr>
          <w:p w14:paraId="4F518618" w14:textId="77777777" w:rsidR="002E474C" w:rsidRDefault="002E474C">
            <w:pPr>
              <w:pStyle w:val="A-"/>
              <w:spacing w:line="240" w:lineRule="exact"/>
            </w:pPr>
          </w:p>
        </w:tc>
        <w:tc>
          <w:tcPr>
            <w:tcW w:w="205" w:type="pct"/>
            <w:vMerge/>
            <w:vAlign w:val="center"/>
          </w:tcPr>
          <w:p w14:paraId="059216AC" w14:textId="77777777" w:rsidR="002E474C" w:rsidRDefault="002E474C">
            <w:pPr>
              <w:pStyle w:val="A-"/>
              <w:spacing w:line="240" w:lineRule="exact"/>
            </w:pPr>
          </w:p>
        </w:tc>
        <w:tc>
          <w:tcPr>
            <w:tcW w:w="1649" w:type="pct"/>
            <w:vAlign w:val="center"/>
          </w:tcPr>
          <w:p w14:paraId="507C70B1" w14:textId="77777777" w:rsidR="002E474C" w:rsidRDefault="00000000">
            <w:pPr>
              <w:pStyle w:val="A-"/>
              <w:spacing w:line="240" w:lineRule="exact"/>
              <w:ind w:leftChars="-50" w:left="-105" w:rightChars="-50" w:right="-105"/>
            </w:pPr>
            <w:r>
              <w:rPr>
                <w:spacing w:val="-11"/>
              </w:rPr>
              <w:t>不含有机质（有机质含量</w:t>
            </w:r>
            <w:r>
              <w:rPr>
                <w:spacing w:val="-11"/>
              </w:rPr>
              <w:t>&lt;0.5%</w:t>
            </w:r>
            <w:r>
              <w:rPr>
                <w:spacing w:val="-11"/>
              </w:rPr>
              <w:t>，二噁英类含量</w:t>
            </w:r>
            <w:r>
              <w:rPr>
                <w:spacing w:val="-11"/>
              </w:rPr>
              <w:t>&lt;10ngTEQ/kg</w:t>
            </w:r>
            <w:r>
              <w:rPr>
                <w:spacing w:val="-11"/>
              </w:rPr>
              <w:t>，其他特征有机物含量</w:t>
            </w:r>
            <w:r>
              <w:rPr>
                <w:spacing w:val="-11"/>
              </w:rPr>
              <w:t>≤</w:t>
            </w:r>
            <w:r>
              <w:rPr>
                <w:spacing w:val="-11"/>
              </w:rPr>
              <w:t>常规水泥生料中相应的有机物含量）和氰化物（</w:t>
            </w:r>
            <w:r>
              <w:rPr>
                <w:spacing w:val="-11"/>
              </w:rPr>
              <w:t>CN-</w:t>
            </w:r>
            <w:r>
              <w:rPr>
                <w:spacing w:val="-11"/>
              </w:rPr>
              <w:t>）含量</w:t>
            </w:r>
            <w:r>
              <w:rPr>
                <w:spacing w:val="-11"/>
              </w:rPr>
              <w:t>&lt;0.01mg/kg</w:t>
            </w:r>
          </w:p>
        </w:tc>
        <w:tc>
          <w:tcPr>
            <w:tcW w:w="1929" w:type="pct"/>
            <w:vAlign w:val="center"/>
          </w:tcPr>
          <w:p w14:paraId="50FC1695" w14:textId="77777777" w:rsidR="002E474C" w:rsidRDefault="00000000">
            <w:pPr>
              <w:pStyle w:val="A-"/>
              <w:spacing w:line="240" w:lineRule="exact"/>
              <w:ind w:leftChars="-50" w:left="-105" w:rightChars="-50" w:right="-105"/>
              <w:rPr>
                <w:spacing w:val="-6"/>
              </w:rPr>
            </w:pPr>
            <w:r>
              <w:rPr>
                <w:spacing w:val="-6"/>
              </w:rPr>
              <w:t>一般不超过水泥窑熟料生产能力的</w:t>
            </w:r>
            <w:r>
              <w:rPr>
                <w:spacing w:val="-6"/>
              </w:rPr>
              <w:t>15%</w:t>
            </w:r>
          </w:p>
        </w:tc>
        <w:tc>
          <w:tcPr>
            <w:tcW w:w="980" w:type="pct"/>
            <w:vAlign w:val="center"/>
          </w:tcPr>
          <w:p w14:paraId="71FB3BA0" w14:textId="77777777" w:rsidR="002E474C" w:rsidRDefault="00000000">
            <w:pPr>
              <w:pStyle w:val="A-"/>
              <w:spacing w:line="240" w:lineRule="exact"/>
              <w:ind w:leftChars="-50" w:left="-105" w:rightChars="-50" w:right="-105"/>
              <w:rPr>
                <w:spacing w:val="-11"/>
              </w:rPr>
            </w:pPr>
            <w:r>
              <w:rPr>
                <w:spacing w:val="-11"/>
              </w:rPr>
              <w:t>本项目不超过</w:t>
            </w:r>
            <w:r>
              <w:rPr>
                <w:spacing w:val="-11"/>
              </w:rPr>
              <w:t>2.</w:t>
            </w:r>
            <w:r>
              <w:rPr>
                <w:rFonts w:hint="eastAsia"/>
                <w:spacing w:val="-11"/>
              </w:rPr>
              <w:t>7</w:t>
            </w:r>
            <w:r>
              <w:rPr>
                <w:spacing w:val="-11"/>
              </w:rPr>
              <w:t>4%</w:t>
            </w:r>
          </w:p>
        </w:tc>
      </w:tr>
      <w:tr w:rsidR="002E474C" w14:paraId="380A5EE6" w14:textId="77777777">
        <w:tc>
          <w:tcPr>
            <w:tcW w:w="235" w:type="pct"/>
            <w:vMerge/>
            <w:vAlign w:val="center"/>
          </w:tcPr>
          <w:p w14:paraId="71049DD0" w14:textId="77777777" w:rsidR="002E474C" w:rsidRDefault="002E474C">
            <w:pPr>
              <w:pStyle w:val="A-"/>
              <w:spacing w:line="240" w:lineRule="exact"/>
            </w:pPr>
          </w:p>
        </w:tc>
        <w:tc>
          <w:tcPr>
            <w:tcW w:w="1855" w:type="pct"/>
            <w:gridSpan w:val="2"/>
            <w:vAlign w:val="center"/>
          </w:tcPr>
          <w:p w14:paraId="592731B1" w14:textId="77777777" w:rsidR="002E474C" w:rsidRDefault="00000000">
            <w:pPr>
              <w:pStyle w:val="A-"/>
              <w:spacing w:line="240" w:lineRule="exact"/>
            </w:pPr>
            <w:r>
              <w:t>半固态</w:t>
            </w:r>
          </w:p>
        </w:tc>
        <w:tc>
          <w:tcPr>
            <w:tcW w:w="1929" w:type="pct"/>
            <w:vAlign w:val="center"/>
          </w:tcPr>
          <w:p w14:paraId="4FAA3A54" w14:textId="77777777" w:rsidR="002E474C" w:rsidRDefault="00000000">
            <w:pPr>
              <w:pStyle w:val="A-"/>
              <w:spacing w:line="240" w:lineRule="exact"/>
              <w:ind w:leftChars="-50" w:left="-105" w:rightChars="-50" w:right="-105"/>
            </w:pPr>
            <w:r>
              <w:rPr>
                <w:spacing w:val="-11"/>
              </w:rPr>
              <w:t>一般不超过水泥窑熟料生产能力的</w:t>
            </w:r>
            <w:r>
              <w:rPr>
                <w:spacing w:val="-11"/>
              </w:rPr>
              <w:t>4%</w:t>
            </w:r>
          </w:p>
        </w:tc>
        <w:tc>
          <w:tcPr>
            <w:tcW w:w="980" w:type="pct"/>
            <w:vAlign w:val="center"/>
          </w:tcPr>
          <w:p w14:paraId="508C78FD" w14:textId="77777777" w:rsidR="002E474C" w:rsidRDefault="00000000">
            <w:pPr>
              <w:pStyle w:val="A-"/>
              <w:spacing w:line="240" w:lineRule="exact"/>
              <w:ind w:leftChars="-50" w:left="-105" w:rightChars="-50" w:right="-105"/>
              <w:rPr>
                <w:spacing w:val="-11"/>
              </w:rPr>
            </w:pPr>
            <w:r>
              <w:rPr>
                <w:spacing w:val="-11"/>
              </w:rPr>
              <w:t>本项目不超过</w:t>
            </w:r>
            <w:r>
              <w:rPr>
                <w:spacing w:val="-11"/>
              </w:rPr>
              <w:t>2.</w:t>
            </w:r>
            <w:r>
              <w:rPr>
                <w:rFonts w:hint="eastAsia"/>
                <w:spacing w:val="-11"/>
              </w:rPr>
              <w:t>7</w:t>
            </w:r>
            <w:r>
              <w:rPr>
                <w:spacing w:val="-11"/>
              </w:rPr>
              <w:t>4%</w:t>
            </w:r>
          </w:p>
        </w:tc>
      </w:tr>
    </w:tbl>
    <w:p w14:paraId="00E760FF" w14:textId="77777777" w:rsidR="002E474C" w:rsidRDefault="002E474C"/>
    <w:p w14:paraId="4780B608" w14:textId="77777777" w:rsidR="002E474C" w:rsidRDefault="00000000">
      <w:pPr>
        <w:pStyle w:val="A-z"/>
        <w:rPr>
          <w:color w:val="auto"/>
        </w:rPr>
      </w:pPr>
      <w:r>
        <w:rPr>
          <w:color w:val="auto"/>
        </w:rPr>
        <w:t>根据《关于新疆维吾尔自治区</w:t>
      </w:r>
      <w:r>
        <w:rPr>
          <w:color w:val="auto"/>
        </w:rPr>
        <w:t>2026</w:t>
      </w:r>
      <w:r>
        <w:rPr>
          <w:color w:val="auto"/>
        </w:rPr>
        <w:t>年危险废物利用处置设施投资建设引导性公告》，自治区危险废物</w:t>
      </w:r>
      <w:r>
        <w:rPr>
          <w:color w:val="auto"/>
        </w:rPr>
        <w:t>2025</w:t>
      </w:r>
      <w:r>
        <w:rPr>
          <w:color w:val="auto"/>
        </w:rPr>
        <w:t>年产生量达到</w:t>
      </w:r>
      <w:r>
        <w:rPr>
          <w:color w:val="auto"/>
        </w:rPr>
        <w:t>761.00</w:t>
      </w:r>
      <w:r>
        <w:rPr>
          <w:color w:val="auto"/>
        </w:rPr>
        <w:t>万吨。截至</w:t>
      </w:r>
      <w:r>
        <w:rPr>
          <w:color w:val="auto"/>
        </w:rPr>
        <w:t>2025</w:t>
      </w:r>
      <w:r>
        <w:rPr>
          <w:color w:val="auto"/>
        </w:rPr>
        <w:t>年</w:t>
      </w:r>
      <w:r>
        <w:rPr>
          <w:color w:val="auto"/>
        </w:rPr>
        <w:t>12</w:t>
      </w:r>
      <w:r>
        <w:rPr>
          <w:color w:val="auto"/>
        </w:rPr>
        <w:t>月底，全区持危险废物综合经营许可证的水泥窑协同处置单位</w:t>
      </w:r>
      <w:r>
        <w:rPr>
          <w:color w:val="auto"/>
        </w:rPr>
        <w:t>4</w:t>
      </w:r>
      <w:r>
        <w:rPr>
          <w:color w:val="auto"/>
        </w:rPr>
        <w:t>家，处置能力</w:t>
      </w:r>
      <w:r>
        <w:rPr>
          <w:color w:val="auto"/>
        </w:rPr>
        <w:t>36</w:t>
      </w:r>
      <w:r>
        <w:rPr>
          <w:color w:val="auto"/>
        </w:rPr>
        <w:t>万吨</w:t>
      </w:r>
      <w:r>
        <w:rPr>
          <w:color w:val="auto"/>
        </w:rPr>
        <w:t>/</w:t>
      </w:r>
      <w:r>
        <w:rPr>
          <w:color w:val="auto"/>
        </w:rPr>
        <w:t>年。</w:t>
      </w:r>
      <w:r>
        <w:rPr>
          <w:color w:val="auto"/>
          <w:lang w:val="en-US"/>
        </w:rPr>
        <w:t>2024</w:t>
      </w:r>
      <w:r>
        <w:rPr>
          <w:color w:val="auto"/>
          <w:lang w:val="en-US"/>
        </w:rPr>
        <w:t>年吐鲁番市危险废物产生量为</w:t>
      </w:r>
      <w:r>
        <w:rPr>
          <w:color w:val="auto"/>
          <w:lang w:val="en-US"/>
        </w:rPr>
        <w:t>36.72</w:t>
      </w:r>
      <w:r>
        <w:rPr>
          <w:color w:val="auto"/>
          <w:lang w:val="en-US"/>
        </w:rPr>
        <w:t>万吨。</w:t>
      </w:r>
      <w:r>
        <w:rPr>
          <w:color w:val="auto"/>
        </w:rPr>
        <w:t>自治区</w:t>
      </w:r>
      <w:r>
        <w:rPr>
          <w:color w:val="auto"/>
          <w:lang w:val="en-US"/>
        </w:rPr>
        <w:t>危险废物产生量增加的同时，多家</w:t>
      </w:r>
      <w:r>
        <w:rPr>
          <w:color w:val="auto"/>
        </w:rPr>
        <w:t>水泥窑协同处置单位因水泥生产线错峰生产、设备故障等原因，使协同处置项目依托的水泥生产线</w:t>
      </w:r>
      <w:r>
        <w:rPr>
          <w:bCs/>
          <w:color w:val="auto"/>
          <w:lang w:val="en-US"/>
        </w:rPr>
        <w:t>运行时间缩短，</w:t>
      </w:r>
      <w:r>
        <w:rPr>
          <w:color w:val="auto"/>
        </w:rPr>
        <w:t>生产负荷率降低，难以保证大量危险废物及时得到安全处置。吐鲁番市唯一的水泥窑协同处置单位</w:t>
      </w:r>
      <w:r>
        <w:rPr>
          <w:color w:val="auto"/>
          <w:lang w:val="en-US"/>
        </w:rPr>
        <w:t>吐鲁番天山金越环境科技有限公司吐鲁番天山水泥有限责任公司已于</w:t>
      </w:r>
      <w:r>
        <w:rPr>
          <w:color w:val="auto"/>
          <w:lang w:val="en-US"/>
        </w:rPr>
        <w:t>2026</w:t>
      </w:r>
      <w:r>
        <w:rPr>
          <w:color w:val="auto"/>
          <w:lang w:val="en-US"/>
        </w:rPr>
        <w:t>年</w:t>
      </w:r>
      <w:r>
        <w:rPr>
          <w:color w:val="auto"/>
          <w:lang w:val="en-US"/>
        </w:rPr>
        <w:t>1</w:t>
      </w:r>
      <w:r>
        <w:rPr>
          <w:color w:val="auto"/>
          <w:lang w:val="en-US"/>
        </w:rPr>
        <w:t>月注销危险废物经营许可证，退出</w:t>
      </w:r>
      <w:r>
        <w:rPr>
          <w:color w:val="auto"/>
        </w:rPr>
        <w:t>水泥窑协同处置</w:t>
      </w:r>
      <w:r>
        <w:rPr>
          <w:color w:val="auto"/>
          <w:lang w:val="en-US"/>
        </w:rPr>
        <w:t>行业。</w:t>
      </w:r>
      <w:r>
        <w:rPr>
          <w:color w:val="auto"/>
        </w:rPr>
        <w:t>在吉木萨尔协同处置项目生产负荷率仅为设计能力</w:t>
      </w:r>
      <w:r>
        <w:rPr>
          <w:color w:val="auto"/>
        </w:rPr>
        <w:t>30%</w:t>
      </w:r>
      <w:r>
        <w:rPr>
          <w:color w:val="auto"/>
        </w:rPr>
        <w:t>的情况下，本项目年处置</w:t>
      </w:r>
      <w:r>
        <w:rPr>
          <w:color w:val="auto"/>
        </w:rPr>
        <w:t>5</w:t>
      </w:r>
      <w:r>
        <w:rPr>
          <w:color w:val="auto"/>
        </w:rPr>
        <w:t>万吨危险废物的规模是合适的</w:t>
      </w:r>
      <w:r>
        <w:rPr>
          <w:rFonts w:hint="eastAsia"/>
          <w:color w:val="auto"/>
        </w:rPr>
        <w:t>，</w:t>
      </w:r>
      <w:r>
        <w:rPr>
          <w:color w:val="auto"/>
        </w:rPr>
        <w:t>危险废物来源可以保证。</w:t>
      </w:r>
    </w:p>
    <w:p w14:paraId="2FD42EDE" w14:textId="77777777" w:rsidR="002E474C" w:rsidRDefault="00000000">
      <w:pPr>
        <w:pStyle w:val="31"/>
        <w:spacing w:before="120" w:after="120"/>
        <w:rPr>
          <w:color w:val="auto"/>
        </w:rPr>
      </w:pPr>
      <w:r>
        <w:rPr>
          <w:color w:val="auto"/>
        </w:rPr>
        <w:t>危险废物协同处置的可行性</w:t>
      </w:r>
    </w:p>
    <w:p w14:paraId="7A16D768" w14:textId="77777777" w:rsidR="002E474C" w:rsidRDefault="00000000">
      <w:pPr>
        <w:pStyle w:val="A-z"/>
        <w:rPr>
          <w:color w:val="auto"/>
        </w:rPr>
      </w:pPr>
      <w:r>
        <w:rPr>
          <w:rFonts w:eastAsia="宋体"/>
          <w:color w:val="auto"/>
        </w:rPr>
        <w:t>本评价主要从三个方面分析危废入窑的可行性，一是本项目危废</w:t>
      </w:r>
      <w:r>
        <w:rPr>
          <w:rFonts w:eastAsia="宋体" w:hint="eastAsia"/>
          <w:color w:val="auto"/>
        </w:rPr>
        <w:t>有</w:t>
      </w:r>
      <w:r>
        <w:rPr>
          <w:rFonts w:eastAsia="宋体"/>
          <w:color w:val="auto"/>
        </w:rPr>
        <w:t>一定的含水率，水泥窑是否可以有效处理；二是采取水泥窑协同处置的最终效果；三是对水泥产品质量影响。具体分析如下：</w:t>
      </w:r>
    </w:p>
    <w:p w14:paraId="5952AC09" w14:textId="77777777" w:rsidR="002E474C" w:rsidRDefault="00000000">
      <w:pPr>
        <w:pStyle w:val="A-z"/>
        <w:rPr>
          <w:color w:val="auto"/>
        </w:rPr>
      </w:pPr>
      <w:r>
        <w:rPr>
          <w:rFonts w:eastAsia="宋体"/>
          <w:color w:val="auto"/>
        </w:rPr>
        <w:t>（</w:t>
      </w:r>
      <w:r>
        <w:rPr>
          <w:color w:val="auto"/>
        </w:rPr>
        <w:t>1</w:t>
      </w:r>
      <w:r>
        <w:rPr>
          <w:rFonts w:eastAsia="宋体"/>
          <w:color w:val="auto"/>
        </w:rPr>
        <w:t>）项目处理的</w:t>
      </w:r>
      <w:r>
        <w:rPr>
          <w:rFonts w:eastAsia="宋体" w:hint="eastAsia"/>
          <w:color w:val="auto"/>
        </w:rPr>
        <w:t>危废</w:t>
      </w:r>
      <w:r>
        <w:rPr>
          <w:rFonts w:eastAsia="宋体"/>
          <w:color w:val="auto"/>
        </w:rPr>
        <w:t>中虽然含有一定的水分及不可燃物质，能够入窑有效焚烧，主要有</w:t>
      </w:r>
      <w:r>
        <w:rPr>
          <w:rFonts w:eastAsia="宋体" w:hint="eastAsia"/>
          <w:color w:val="auto"/>
        </w:rPr>
        <w:t>以下</w:t>
      </w:r>
      <w:r>
        <w:rPr>
          <w:rFonts w:eastAsia="宋体"/>
          <w:color w:val="auto"/>
        </w:rPr>
        <w:t>几点原因：</w:t>
      </w:r>
    </w:p>
    <w:p w14:paraId="539ECDD4" w14:textId="77777777" w:rsidR="002E474C" w:rsidRDefault="00000000">
      <w:pPr>
        <w:pStyle w:val="A-z"/>
        <w:rPr>
          <w:color w:val="auto"/>
        </w:rPr>
      </w:pPr>
      <w:r>
        <w:rPr>
          <w:color w:val="auto"/>
        </w:rPr>
        <w:t>1</w:t>
      </w:r>
      <w:r>
        <w:rPr>
          <w:rFonts w:eastAsia="宋体"/>
          <w:color w:val="auto"/>
        </w:rPr>
        <w:t>）经过前期预处理，进窑物料中的含水率会进一步</w:t>
      </w:r>
      <w:r>
        <w:rPr>
          <w:rFonts w:eastAsia="宋体" w:hint="eastAsia"/>
          <w:color w:val="auto"/>
        </w:rPr>
        <w:t>降低</w:t>
      </w:r>
      <w:r>
        <w:rPr>
          <w:rFonts w:eastAsia="宋体"/>
          <w:color w:val="auto"/>
        </w:rPr>
        <w:t>，且按照</w:t>
      </w:r>
      <w:r>
        <w:rPr>
          <w:rFonts w:eastAsia="宋体" w:hint="eastAsia"/>
          <w:color w:val="auto"/>
        </w:rPr>
        <w:t>危废</w:t>
      </w:r>
      <w:r>
        <w:rPr>
          <w:rFonts w:eastAsia="宋体"/>
          <w:color w:val="auto"/>
        </w:rPr>
        <w:t>添加比例及</w:t>
      </w:r>
      <w:r>
        <w:rPr>
          <w:rFonts w:eastAsia="宋体" w:hint="eastAsia"/>
          <w:color w:val="auto"/>
        </w:rPr>
        <w:t>其中</w:t>
      </w:r>
      <w:r>
        <w:rPr>
          <w:rFonts w:eastAsia="宋体"/>
          <w:color w:val="auto"/>
        </w:rPr>
        <w:t>的水分计算，入窑</w:t>
      </w:r>
      <w:r>
        <w:rPr>
          <w:rFonts w:eastAsia="宋体" w:hint="eastAsia"/>
          <w:color w:val="auto"/>
        </w:rPr>
        <w:t>危废</w:t>
      </w:r>
      <w:r>
        <w:rPr>
          <w:rFonts w:eastAsia="宋体"/>
          <w:color w:val="auto"/>
        </w:rPr>
        <w:t>所含水分对</w:t>
      </w:r>
      <w:r>
        <w:rPr>
          <w:rFonts w:eastAsia="宋体" w:hint="eastAsia"/>
          <w:color w:val="auto"/>
        </w:rPr>
        <w:t>水泥窑熟料生产的</w:t>
      </w:r>
      <w:r>
        <w:rPr>
          <w:rFonts w:eastAsia="宋体"/>
          <w:color w:val="auto"/>
        </w:rPr>
        <w:t>整体原料</w:t>
      </w:r>
      <w:r>
        <w:rPr>
          <w:rFonts w:eastAsia="宋体" w:hint="eastAsia"/>
          <w:color w:val="auto"/>
        </w:rPr>
        <w:t>含水率</w:t>
      </w:r>
      <w:r>
        <w:rPr>
          <w:rFonts w:eastAsia="宋体" w:hint="eastAsia"/>
          <w:color w:val="auto"/>
        </w:rPr>
        <w:lastRenderedPageBreak/>
        <w:t>的影响</w:t>
      </w:r>
      <w:r>
        <w:rPr>
          <w:rFonts w:eastAsia="宋体"/>
          <w:color w:val="auto"/>
        </w:rPr>
        <w:t>极小。</w:t>
      </w:r>
    </w:p>
    <w:p w14:paraId="0E4B21D3" w14:textId="77777777" w:rsidR="002E474C" w:rsidRDefault="00000000">
      <w:pPr>
        <w:pStyle w:val="A-z"/>
        <w:rPr>
          <w:color w:val="auto"/>
        </w:rPr>
      </w:pPr>
      <w:r>
        <w:rPr>
          <w:color w:val="auto"/>
        </w:rPr>
        <w:t>2</w:t>
      </w:r>
      <w:r>
        <w:rPr>
          <w:rFonts w:eastAsia="宋体"/>
          <w:color w:val="auto"/>
        </w:rPr>
        <w:t>）经过预处理调整的</w:t>
      </w:r>
      <w:r>
        <w:rPr>
          <w:rFonts w:eastAsia="宋体" w:hint="eastAsia"/>
          <w:color w:val="auto"/>
        </w:rPr>
        <w:t>危废</w:t>
      </w:r>
      <w:r>
        <w:rPr>
          <w:rFonts w:eastAsia="宋体"/>
          <w:color w:val="auto"/>
        </w:rPr>
        <w:t>所指的含水率中的水分并不是单纯的水分子，其中含有有机溶剂等高热值液态成分，对水泥窑温度反而起提升作用。</w:t>
      </w:r>
    </w:p>
    <w:p w14:paraId="735D4D07" w14:textId="77777777" w:rsidR="002E474C" w:rsidRDefault="00000000">
      <w:pPr>
        <w:pStyle w:val="A-z"/>
        <w:rPr>
          <w:color w:val="auto"/>
        </w:rPr>
      </w:pPr>
      <w:r>
        <w:rPr>
          <w:color w:val="auto"/>
        </w:rPr>
        <w:t>3</w:t>
      </w:r>
      <w:r>
        <w:rPr>
          <w:rFonts w:eastAsia="宋体"/>
          <w:color w:val="auto"/>
        </w:rPr>
        <w:t>）水泥窑协调处置技术规范规定，废物入窑口为窑尾分解炉或窑头、生料磨，对水泥窑温度影响相对较小，且即使对水泥窑产生影响，在水泥厂中控室可及时反映，通过改变物料投加速率等简单手段可迅速消除影响。</w:t>
      </w:r>
    </w:p>
    <w:p w14:paraId="5D60FA48" w14:textId="77777777" w:rsidR="002E474C" w:rsidRDefault="00000000">
      <w:pPr>
        <w:pStyle w:val="A-z"/>
        <w:rPr>
          <w:color w:val="auto"/>
        </w:rPr>
      </w:pPr>
      <w:r>
        <w:rPr>
          <w:color w:val="auto"/>
        </w:rPr>
        <w:t>4</w:t>
      </w:r>
      <w:r>
        <w:rPr>
          <w:rFonts w:eastAsia="宋体"/>
          <w:color w:val="auto"/>
        </w:rPr>
        <w:t>）水泥窑协同处置危险废物技术是国家鼓励的，在此基础上，国家对入窑的废物中需要控制的可能污染环境的物质是有标准的，只要不超出规定范围添加危险废物，且通过了性能测试要求，入窑就可行。废物中的水通过预处置达到一个相当稳定的含水率，对热量损失也是稳定的。</w:t>
      </w:r>
    </w:p>
    <w:p w14:paraId="6C6E75FE" w14:textId="77777777" w:rsidR="002E474C" w:rsidRDefault="00000000">
      <w:pPr>
        <w:pStyle w:val="A-z"/>
        <w:rPr>
          <w:color w:val="auto"/>
        </w:rPr>
      </w:pPr>
      <w:r>
        <w:rPr>
          <w:rFonts w:eastAsia="宋体"/>
          <w:color w:val="auto"/>
        </w:rPr>
        <w:t>（</w:t>
      </w:r>
      <w:r>
        <w:rPr>
          <w:color w:val="auto"/>
        </w:rPr>
        <w:t>2</w:t>
      </w:r>
      <w:r>
        <w:rPr>
          <w:rFonts w:eastAsia="宋体"/>
          <w:color w:val="auto"/>
        </w:rPr>
        <w:t>）水泥窑协同处理的有效性</w:t>
      </w:r>
    </w:p>
    <w:p w14:paraId="09ED753E" w14:textId="77777777" w:rsidR="002E474C" w:rsidRDefault="00000000">
      <w:pPr>
        <w:pStyle w:val="A-z"/>
        <w:rPr>
          <w:color w:val="auto"/>
        </w:rPr>
      </w:pPr>
      <w:r>
        <w:rPr>
          <w:rFonts w:eastAsia="宋体"/>
          <w:color w:val="auto"/>
        </w:rPr>
        <w:t>相比一般危废焚烧炉，水泥回转窑筒体长，危废在回转窑高温状态下停留时间长。根据统计数据，物料从窑尾到窑头总的停留时间在</w:t>
      </w:r>
      <w:r>
        <w:rPr>
          <w:color w:val="auto"/>
        </w:rPr>
        <w:t>35min</w:t>
      </w:r>
      <w:r>
        <w:rPr>
          <w:rFonts w:eastAsia="宋体"/>
          <w:color w:val="auto"/>
        </w:rPr>
        <w:t>左右，气体在大于</w:t>
      </w:r>
      <w:r>
        <w:rPr>
          <w:color w:val="auto"/>
        </w:rPr>
        <w:t>950℃</w:t>
      </w:r>
      <w:r>
        <w:rPr>
          <w:rFonts w:eastAsia="宋体"/>
          <w:color w:val="auto"/>
        </w:rPr>
        <w:t>以上的停留时间在</w:t>
      </w:r>
      <w:r>
        <w:rPr>
          <w:color w:val="auto"/>
        </w:rPr>
        <w:t>12s</w:t>
      </w:r>
      <w:r>
        <w:rPr>
          <w:rFonts w:eastAsia="宋体"/>
          <w:color w:val="auto"/>
        </w:rPr>
        <w:t>以上，高于</w:t>
      </w:r>
      <w:r>
        <w:rPr>
          <w:color w:val="auto"/>
        </w:rPr>
        <w:t>1300℃</w:t>
      </w:r>
      <w:r>
        <w:rPr>
          <w:rFonts w:eastAsia="宋体"/>
          <w:color w:val="auto"/>
        </w:rPr>
        <w:t>以上的停留时间大于</w:t>
      </w:r>
      <w:r>
        <w:rPr>
          <w:color w:val="auto"/>
        </w:rPr>
        <w:t>3s</w:t>
      </w:r>
      <w:r>
        <w:rPr>
          <w:rFonts w:eastAsia="宋体"/>
          <w:color w:val="auto"/>
        </w:rPr>
        <w:t>，更有利于危废的充分燃烧和分解，项目拟处置的危废最终绝大部分以窑尾烟气（经处理后可以达标排放）形式对外达标排放，剩余部分固存在水泥熟料中。此外，水泥窑焚烧处置后无二次固废产生、外排。生产废水全部入窑焚烧处置不外排。因此，水泥窑协同处置危废是科学环保的一种末端处置方式，处置效果良好。</w:t>
      </w:r>
    </w:p>
    <w:p w14:paraId="75B78152" w14:textId="77777777" w:rsidR="002E474C" w:rsidRDefault="00000000">
      <w:pPr>
        <w:pStyle w:val="A-z"/>
        <w:rPr>
          <w:color w:val="auto"/>
        </w:rPr>
      </w:pPr>
      <w:bookmarkStart w:id="165" w:name="_Hlk150988411"/>
      <w:r>
        <w:rPr>
          <w:rFonts w:eastAsia="宋体"/>
          <w:color w:val="auto"/>
        </w:rPr>
        <w:t>（</w:t>
      </w:r>
      <w:r>
        <w:rPr>
          <w:color w:val="auto"/>
        </w:rPr>
        <w:t>3</w:t>
      </w:r>
      <w:r>
        <w:rPr>
          <w:rFonts w:eastAsia="宋体"/>
          <w:color w:val="auto"/>
        </w:rPr>
        <w:t>）对熟料及水泥产量和质量影响分析</w:t>
      </w:r>
    </w:p>
    <w:p w14:paraId="1BE910AA" w14:textId="77777777" w:rsidR="002E474C" w:rsidRDefault="00000000">
      <w:pPr>
        <w:pStyle w:val="A-z"/>
        <w:rPr>
          <w:color w:val="auto"/>
        </w:rPr>
      </w:pPr>
      <w:r>
        <w:rPr>
          <w:rFonts w:eastAsia="宋体"/>
          <w:color w:val="auto"/>
        </w:rPr>
        <w:t>根据吉木萨尔协同处置项目实际运行情况同时参照同类项目运行情况，固废采用水泥窑协同处置，对水泥熟料的产量、质量不会造成影响，主要分析如下：</w:t>
      </w:r>
    </w:p>
    <w:p w14:paraId="5731168F" w14:textId="77777777" w:rsidR="002E474C" w:rsidRDefault="00000000">
      <w:pPr>
        <w:pStyle w:val="A-z"/>
        <w:rPr>
          <w:rFonts w:eastAsia="宋体"/>
          <w:color w:val="auto"/>
        </w:rPr>
      </w:pPr>
      <w:r>
        <w:rPr>
          <w:rFonts w:eastAsia="宋体" w:hint="eastAsia"/>
          <w:color w:val="auto"/>
        </w:rPr>
        <w:t>1</w:t>
      </w:r>
      <w:r>
        <w:rPr>
          <w:rFonts w:eastAsia="宋体" w:hint="eastAsia"/>
          <w:color w:val="auto"/>
        </w:rPr>
        <w:t>）</w:t>
      </w:r>
      <w:r>
        <w:rPr>
          <w:rFonts w:eastAsia="宋体"/>
          <w:color w:val="auto"/>
        </w:rPr>
        <w:t>本项目</w:t>
      </w:r>
      <w:r>
        <w:rPr>
          <w:rFonts w:eastAsia="宋体" w:hint="eastAsia"/>
          <w:color w:val="auto"/>
        </w:rPr>
        <w:t>拟处理的危废共计</w:t>
      </w:r>
      <w:r>
        <w:rPr>
          <w:rFonts w:eastAsia="宋体" w:hint="eastAsia"/>
          <w:color w:val="auto"/>
        </w:rPr>
        <w:t>51348.62t/a</w:t>
      </w:r>
      <w:r>
        <w:rPr>
          <w:rFonts w:eastAsia="宋体" w:hint="eastAsia"/>
          <w:color w:val="auto"/>
        </w:rPr>
        <w:t>，占</w:t>
      </w:r>
      <w:r>
        <w:rPr>
          <w:rFonts w:hint="eastAsia"/>
          <w:color w:val="auto"/>
          <w:spacing w:val="-6"/>
          <w:lang w:val="en-US"/>
        </w:rPr>
        <w:t>水泥窑熟料生产能力的</w:t>
      </w:r>
      <w:r>
        <w:rPr>
          <w:rFonts w:hint="eastAsia"/>
          <w:color w:val="auto"/>
          <w:spacing w:val="-6"/>
          <w:lang w:val="en-US"/>
        </w:rPr>
        <w:t>3.42%</w:t>
      </w:r>
      <w:r>
        <w:rPr>
          <w:rFonts w:hint="eastAsia"/>
          <w:color w:val="auto"/>
          <w:spacing w:val="-6"/>
          <w:lang w:val="en-US"/>
        </w:rPr>
        <w:t>，满足</w:t>
      </w:r>
      <w:r>
        <w:rPr>
          <w:rFonts w:eastAsia="宋体"/>
          <w:color w:val="auto"/>
        </w:rPr>
        <w:t>《水泥窑协同处置危险废物经营许可证审查指南（试行）》提出</w:t>
      </w:r>
      <w:r>
        <w:rPr>
          <w:rFonts w:eastAsia="宋体" w:hint="eastAsia"/>
          <w:color w:val="auto"/>
        </w:rPr>
        <w:t>的</w:t>
      </w:r>
      <w:r>
        <w:rPr>
          <w:rFonts w:eastAsia="宋体"/>
          <w:color w:val="auto"/>
        </w:rPr>
        <w:t>不同热值与</w:t>
      </w:r>
      <w:r>
        <w:rPr>
          <w:rFonts w:eastAsia="宋体" w:hint="eastAsia"/>
          <w:color w:val="auto"/>
        </w:rPr>
        <w:t>各种</w:t>
      </w:r>
      <w:r>
        <w:rPr>
          <w:rFonts w:eastAsia="宋体"/>
          <w:color w:val="auto"/>
        </w:rPr>
        <w:t>成分的</w:t>
      </w:r>
      <w:r>
        <w:rPr>
          <w:color w:val="auto"/>
          <w:lang w:val="en-US"/>
        </w:rPr>
        <w:t>危险废物投加质量的最大容量要求</w:t>
      </w:r>
      <w:r>
        <w:rPr>
          <w:rFonts w:hint="eastAsia"/>
          <w:color w:val="auto"/>
          <w:lang w:val="en-US"/>
        </w:rPr>
        <w:t>，</w:t>
      </w:r>
      <w:r>
        <w:rPr>
          <w:rFonts w:eastAsia="宋体"/>
          <w:color w:val="auto"/>
        </w:rPr>
        <w:t>对于</w:t>
      </w:r>
      <w:r>
        <w:rPr>
          <w:rFonts w:eastAsia="宋体" w:hint="eastAsia"/>
          <w:color w:val="auto"/>
        </w:rPr>
        <w:t>熟料</w:t>
      </w:r>
      <w:r>
        <w:rPr>
          <w:rFonts w:eastAsia="宋体"/>
          <w:color w:val="auto"/>
        </w:rPr>
        <w:t>生产的干扰较为可控。</w:t>
      </w:r>
    </w:p>
    <w:p w14:paraId="2AFC7C07" w14:textId="77777777" w:rsidR="002E474C" w:rsidRDefault="00000000">
      <w:pPr>
        <w:pStyle w:val="A-z"/>
        <w:rPr>
          <w:color w:val="auto"/>
        </w:rPr>
      </w:pPr>
      <w:r>
        <w:rPr>
          <w:rFonts w:eastAsia="宋体" w:hint="eastAsia"/>
          <w:color w:val="auto"/>
        </w:rPr>
        <w:t>2</w:t>
      </w:r>
      <w:r>
        <w:rPr>
          <w:rFonts w:eastAsia="宋体" w:hint="eastAsia"/>
          <w:color w:val="auto"/>
        </w:rPr>
        <w:t>）根据元素平衡核算，本项目运行后</w:t>
      </w:r>
      <w:r>
        <w:rPr>
          <w:rFonts w:eastAsia="宋体" w:hint="eastAsia"/>
          <w:color w:val="auto"/>
        </w:rPr>
        <w:t>Cl</w:t>
      </w:r>
      <w:r>
        <w:rPr>
          <w:rFonts w:eastAsia="宋体" w:hint="eastAsia"/>
          <w:color w:val="auto"/>
        </w:rPr>
        <w:t>元素、</w:t>
      </w:r>
      <w:r>
        <w:rPr>
          <w:rFonts w:eastAsia="宋体" w:hint="eastAsia"/>
          <w:color w:val="auto"/>
        </w:rPr>
        <w:t>F</w:t>
      </w:r>
      <w:r>
        <w:rPr>
          <w:rFonts w:eastAsia="宋体" w:hint="eastAsia"/>
          <w:color w:val="auto"/>
        </w:rPr>
        <w:t>元素及重金属的投加量</w:t>
      </w:r>
      <w:r>
        <w:rPr>
          <w:rFonts w:eastAsia="宋体"/>
          <w:color w:val="auto"/>
        </w:rPr>
        <w:t>见表</w:t>
      </w:r>
      <w:r>
        <w:rPr>
          <w:color w:val="auto"/>
        </w:rPr>
        <w:t>3.4-5</w:t>
      </w:r>
      <w:r>
        <w:rPr>
          <w:rFonts w:eastAsia="宋体"/>
          <w:color w:val="auto"/>
        </w:rPr>
        <w:t>。</w:t>
      </w:r>
    </w:p>
    <w:p w14:paraId="332EF24F" w14:textId="77777777" w:rsidR="002E474C" w:rsidRDefault="00000000">
      <w:pPr>
        <w:pStyle w:val="A--"/>
        <w:rPr>
          <w:color w:val="auto"/>
        </w:rPr>
      </w:pPr>
      <w:r>
        <w:rPr>
          <w:color w:val="auto"/>
        </w:rPr>
        <w:t>表</w:t>
      </w:r>
      <w:r>
        <w:rPr>
          <w:color w:val="auto"/>
        </w:rPr>
        <w:t xml:space="preserve">3.4-5  </w:t>
      </w:r>
      <w:r>
        <w:rPr>
          <w:color w:val="auto"/>
        </w:rPr>
        <w:t>协同处置后水泥熟料质量影响对比情况表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54"/>
        <w:gridCol w:w="900"/>
        <w:gridCol w:w="1005"/>
        <w:gridCol w:w="1142"/>
        <w:gridCol w:w="1142"/>
        <w:gridCol w:w="1142"/>
        <w:gridCol w:w="1148"/>
      </w:tblGrid>
      <w:tr w:rsidR="002E474C" w14:paraId="09A1A98A" w14:textId="77777777">
        <w:trPr>
          <w:jc w:val="center"/>
        </w:trPr>
        <w:tc>
          <w:tcPr>
            <w:tcW w:w="580" w:type="pct"/>
            <w:vMerge w:val="restart"/>
            <w:shd w:val="clear" w:color="auto" w:fill="auto"/>
            <w:vAlign w:val="center"/>
          </w:tcPr>
          <w:p w14:paraId="2B128B68" w14:textId="77777777" w:rsidR="002E474C" w:rsidRDefault="00000000">
            <w:pPr>
              <w:pStyle w:val="A-"/>
            </w:pPr>
            <w:r>
              <w:t>内容</w:t>
            </w:r>
          </w:p>
        </w:tc>
        <w:tc>
          <w:tcPr>
            <w:tcW w:w="514" w:type="pct"/>
            <w:vMerge w:val="restart"/>
            <w:shd w:val="clear" w:color="auto" w:fill="auto"/>
            <w:vAlign w:val="center"/>
          </w:tcPr>
          <w:p w14:paraId="5EEE374F" w14:textId="77777777" w:rsidR="002E474C" w:rsidRDefault="00000000">
            <w:pPr>
              <w:pStyle w:val="A-"/>
              <w:ind w:leftChars="-50" w:left="-105" w:rightChars="-50" w:right="-105"/>
            </w:pPr>
            <w:r>
              <w:t>生料中</w:t>
            </w:r>
            <w:r>
              <w:t>Cl</w:t>
            </w:r>
            <w:r>
              <w:t>含量</w:t>
            </w:r>
            <w:r>
              <w:t>%</w:t>
            </w:r>
          </w:p>
        </w:tc>
        <w:tc>
          <w:tcPr>
            <w:tcW w:w="542" w:type="pct"/>
            <w:vMerge w:val="restart"/>
            <w:shd w:val="clear" w:color="auto" w:fill="auto"/>
            <w:vAlign w:val="center"/>
          </w:tcPr>
          <w:p w14:paraId="12081A4B" w14:textId="77777777" w:rsidR="002E474C" w:rsidRDefault="00000000">
            <w:pPr>
              <w:pStyle w:val="A-"/>
              <w:ind w:leftChars="-50" w:left="-105" w:rightChars="-50" w:right="-105"/>
            </w:pPr>
            <w:r>
              <w:t>生料中</w:t>
            </w:r>
            <w:r>
              <w:rPr>
                <w:rFonts w:hint="eastAsia"/>
              </w:rPr>
              <w:t>F</w:t>
            </w:r>
            <w:r>
              <w:t>含量</w:t>
            </w:r>
            <w:r>
              <w:t>%</w:t>
            </w:r>
          </w:p>
        </w:tc>
        <w:tc>
          <w:tcPr>
            <w:tcW w:w="3362" w:type="pct"/>
            <w:gridSpan w:val="5"/>
            <w:shd w:val="clear" w:color="auto" w:fill="auto"/>
            <w:vAlign w:val="center"/>
          </w:tcPr>
          <w:p w14:paraId="5BE56006" w14:textId="77777777" w:rsidR="002E474C" w:rsidRDefault="00000000">
            <w:pPr>
              <w:pStyle w:val="A-"/>
            </w:pPr>
            <w:r>
              <w:t>五类重金属含量</w:t>
            </w:r>
            <w:r>
              <w:rPr>
                <w:rFonts w:hint="eastAsia"/>
              </w:rPr>
              <w:t>投加量</w:t>
            </w:r>
          </w:p>
        </w:tc>
      </w:tr>
      <w:tr w:rsidR="002E474C" w14:paraId="240DDF7F" w14:textId="77777777">
        <w:trPr>
          <w:jc w:val="center"/>
        </w:trPr>
        <w:tc>
          <w:tcPr>
            <w:tcW w:w="580" w:type="pct"/>
            <w:vMerge/>
            <w:shd w:val="clear" w:color="auto" w:fill="auto"/>
            <w:vAlign w:val="center"/>
          </w:tcPr>
          <w:p w14:paraId="19F1C111" w14:textId="77777777" w:rsidR="002E474C" w:rsidRDefault="002E474C">
            <w:pPr>
              <w:pStyle w:val="A-"/>
            </w:pPr>
          </w:p>
        </w:tc>
        <w:tc>
          <w:tcPr>
            <w:tcW w:w="514" w:type="pct"/>
            <w:vMerge/>
            <w:shd w:val="clear" w:color="auto" w:fill="auto"/>
            <w:vAlign w:val="center"/>
          </w:tcPr>
          <w:p w14:paraId="6A8869E9" w14:textId="77777777" w:rsidR="002E474C" w:rsidRDefault="002E474C">
            <w:pPr>
              <w:pStyle w:val="A-"/>
            </w:pPr>
          </w:p>
        </w:tc>
        <w:tc>
          <w:tcPr>
            <w:tcW w:w="542" w:type="pct"/>
            <w:vMerge/>
            <w:shd w:val="clear" w:color="auto" w:fill="auto"/>
            <w:vAlign w:val="center"/>
          </w:tcPr>
          <w:p w14:paraId="0E540D74" w14:textId="77777777" w:rsidR="002E474C" w:rsidRDefault="002E474C">
            <w:pPr>
              <w:pStyle w:val="A-"/>
            </w:pPr>
          </w:p>
        </w:tc>
        <w:tc>
          <w:tcPr>
            <w:tcW w:w="606" w:type="pct"/>
            <w:shd w:val="clear" w:color="auto" w:fill="auto"/>
            <w:vAlign w:val="center"/>
          </w:tcPr>
          <w:p w14:paraId="4994CDA4" w14:textId="77777777" w:rsidR="002E474C" w:rsidRDefault="00000000">
            <w:pPr>
              <w:pStyle w:val="A-"/>
            </w:pPr>
            <w:r>
              <w:t>Hg</w:t>
            </w:r>
          </w:p>
        </w:tc>
        <w:tc>
          <w:tcPr>
            <w:tcW w:w="688" w:type="pct"/>
            <w:shd w:val="clear" w:color="auto" w:fill="auto"/>
            <w:vAlign w:val="center"/>
          </w:tcPr>
          <w:p w14:paraId="6CA1F6C0" w14:textId="77777777" w:rsidR="002E474C" w:rsidRDefault="00000000">
            <w:pPr>
              <w:pStyle w:val="A-"/>
            </w:pPr>
            <w:r>
              <w:t>Cr</w:t>
            </w:r>
          </w:p>
        </w:tc>
        <w:tc>
          <w:tcPr>
            <w:tcW w:w="688" w:type="pct"/>
            <w:shd w:val="clear" w:color="auto" w:fill="auto"/>
            <w:vAlign w:val="center"/>
          </w:tcPr>
          <w:p w14:paraId="1C840C5A" w14:textId="77777777" w:rsidR="002E474C" w:rsidRDefault="00000000">
            <w:pPr>
              <w:pStyle w:val="A-"/>
            </w:pPr>
            <w:r>
              <w:t>As</w:t>
            </w:r>
          </w:p>
        </w:tc>
        <w:tc>
          <w:tcPr>
            <w:tcW w:w="688" w:type="pct"/>
            <w:shd w:val="clear" w:color="auto" w:fill="auto"/>
            <w:vAlign w:val="center"/>
          </w:tcPr>
          <w:p w14:paraId="10DAA20E" w14:textId="77777777" w:rsidR="002E474C" w:rsidRDefault="00000000">
            <w:pPr>
              <w:pStyle w:val="A-"/>
            </w:pPr>
            <w:r>
              <w:t>Cd</w:t>
            </w:r>
          </w:p>
        </w:tc>
        <w:tc>
          <w:tcPr>
            <w:tcW w:w="691" w:type="pct"/>
            <w:shd w:val="clear" w:color="auto" w:fill="auto"/>
            <w:vAlign w:val="center"/>
          </w:tcPr>
          <w:p w14:paraId="2E879FE5" w14:textId="77777777" w:rsidR="002E474C" w:rsidRDefault="00000000">
            <w:pPr>
              <w:pStyle w:val="A-"/>
            </w:pPr>
            <w:r>
              <w:t>Pb</w:t>
            </w:r>
          </w:p>
        </w:tc>
      </w:tr>
      <w:tr w:rsidR="002E474C" w14:paraId="6D621A96" w14:textId="77777777">
        <w:trPr>
          <w:jc w:val="center"/>
        </w:trPr>
        <w:tc>
          <w:tcPr>
            <w:tcW w:w="580" w:type="pct"/>
            <w:vMerge/>
            <w:shd w:val="clear" w:color="auto" w:fill="auto"/>
            <w:vAlign w:val="center"/>
          </w:tcPr>
          <w:p w14:paraId="2F9EB35D" w14:textId="77777777" w:rsidR="002E474C" w:rsidRDefault="002E474C">
            <w:pPr>
              <w:pStyle w:val="A-"/>
            </w:pPr>
          </w:p>
        </w:tc>
        <w:tc>
          <w:tcPr>
            <w:tcW w:w="514" w:type="pct"/>
            <w:vMerge/>
            <w:shd w:val="clear" w:color="auto" w:fill="auto"/>
            <w:vAlign w:val="center"/>
          </w:tcPr>
          <w:p w14:paraId="7653BF3D" w14:textId="77777777" w:rsidR="002E474C" w:rsidRDefault="002E474C">
            <w:pPr>
              <w:pStyle w:val="A-"/>
            </w:pPr>
          </w:p>
        </w:tc>
        <w:tc>
          <w:tcPr>
            <w:tcW w:w="542" w:type="pct"/>
            <w:vMerge/>
            <w:shd w:val="clear" w:color="auto" w:fill="auto"/>
            <w:vAlign w:val="center"/>
          </w:tcPr>
          <w:p w14:paraId="05DC79CE" w14:textId="77777777" w:rsidR="002E474C" w:rsidRDefault="002E474C">
            <w:pPr>
              <w:pStyle w:val="A-"/>
            </w:pPr>
          </w:p>
        </w:tc>
        <w:tc>
          <w:tcPr>
            <w:tcW w:w="606" w:type="pct"/>
            <w:shd w:val="clear" w:color="auto" w:fill="auto"/>
            <w:vAlign w:val="center"/>
          </w:tcPr>
          <w:p w14:paraId="76398403" w14:textId="77777777" w:rsidR="002E474C" w:rsidRDefault="00000000">
            <w:pPr>
              <w:pStyle w:val="A-"/>
            </w:pPr>
            <w:r>
              <w:t>mg/kg-</w:t>
            </w:r>
            <w:r>
              <w:rPr>
                <w:rFonts w:hint="eastAsia"/>
              </w:rPr>
              <w:t>cli</w:t>
            </w:r>
          </w:p>
        </w:tc>
        <w:tc>
          <w:tcPr>
            <w:tcW w:w="688" w:type="pct"/>
            <w:shd w:val="clear" w:color="auto" w:fill="auto"/>
            <w:vAlign w:val="center"/>
          </w:tcPr>
          <w:p w14:paraId="178A5F6D" w14:textId="77777777" w:rsidR="002E474C" w:rsidRDefault="00000000">
            <w:pPr>
              <w:pStyle w:val="A-"/>
            </w:pPr>
            <w:r>
              <w:t>mg/kg-</w:t>
            </w:r>
            <w:r>
              <w:rPr>
                <w:rFonts w:hint="eastAsia"/>
              </w:rPr>
              <w:t>cem</w:t>
            </w:r>
          </w:p>
        </w:tc>
        <w:tc>
          <w:tcPr>
            <w:tcW w:w="688" w:type="pct"/>
            <w:shd w:val="clear" w:color="auto" w:fill="auto"/>
          </w:tcPr>
          <w:p w14:paraId="327BA7A6" w14:textId="77777777" w:rsidR="002E474C" w:rsidRDefault="00000000">
            <w:pPr>
              <w:pStyle w:val="A-"/>
            </w:pPr>
            <w:r>
              <w:t>mg/kg-</w:t>
            </w:r>
            <w:r>
              <w:rPr>
                <w:rFonts w:hint="eastAsia"/>
              </w:rPr>
              <w:t>cem</w:t>
            </w:r>
          </w:p>
        </w:tc>
        <w:tc>
          <w:tcPr>
            <w:tcW w:w="688" w:type="pct"/>
            <w:shd w:val="clear" w:color="auto" w:fill="auto"/>
          </w:tcPr>
          <w:p w14:paraId="4CDB56FB" w14:textId="77777777" w:rsidR="002E474C" w:rsidRDefault="00000000">
            <w:pPr>
              <w:pStyle w:val="A-"/>
            </w:pPr>
            <w:r>
              <w:t>mg/kg-</w:t>
            </w:r>
            <w:r>
              <w:rPr>
                <w:rFonts w:hint="eastAsia"/>
              </w:rPr>
              <w:t>cem</w:t>
            </w:r>
          </w:p>
        </w:tc>
        <w:tc>
          <w:tcPr>
            <w:tcW w:w="691" w:type="pct"/>
            <w:shd w:val="clear" w:color="auto" w:fill="auto"/>
          </w:tcPr>
          <w:p w14:paraId="15A4C68F" w14:textId="77777777" w:rsidR="002E474C" w:rsidRDefault="00000000">
            <w:pPr>
              <w:pStyle w:val="A-"/>
            </w:pPr>
            <w:r>
              <w:t>mg/kg-</w:t>
            </w:r>
            <w:r>
              <w:rPr>
                <w:rFonts w:hint="eastAsia"/>
              </w:rPr>
              <w:t>cem</w:t>
            </w:r>
          </w:p>
        </w:tc>
      </w:tr>
      <w:tr w:rsidR="002E474C" w14:paraId="70A831DE" w14:textId="77777777">
        <w:trPr>
          <w:jc w:val="center"/>
        </w:trPr>
        <w:tc>
          <w:tcPr>
            <w:tcW w:w="580" w:type="pct"/>
            <w:shd w:val="clear" w:color="auto" w:fill="auto"/>
            <w:vAlign w:val="center"/>
          </w:tcPr>
          <w:p w14:paraId="4343D3AB" w14:textId="77777777" w:rsidR="002E474C" w:rsidRDefault="00000000">
            <w:pPr>
              <w:pStyle w:val="A-"/>
            </w:pPr>
            <w:r>
              <w:rPr>
                <w:rFonts w:hint="eastAsia"/>
              </w:rPr>
              <w:t>本项目</w:t>
            </w:r>
          </w:p>
        </w:tc>
        <w:tc>
          <w:tcPr>
            <w:tcW w:w="514" w:type="pct"/>
            <w:shd w:val="clear" w:color="auto" w:fill="auto"/>
            <w:vAlign w:val="center"/>
          </w:tcPr>
          <w:p w14:paraId="1C1C1A5E" w14:textId="77777777" w:rsidR="002E474C" w:rsidRDefault="00000000">
            <w:pPr>
              <w:pStyle w:val="A-"/>
            </w:pPr>
            <w:r>
              <w:t>0.030</w:t>
            </w:r>
          </w:p>
        </w:tc>
        <w:tc>
          <w:tcPr>
            <w:tcW w:w="542" w:type="pct"/>
            <w:shd w:val="clear" w:color="auto" w:fill="auto"/>
            <w:vAlign w:val="center"/>
          </w:tcPr>
          <w:p w14:paraId="7D2C5A6B" w14:textId="77777777" w:rsidR="002E474C" w:rsidRDefault="00000000">
            <w:pPr>
              <w:pStyle w:val="A-"/>
            </w:pPr>
            <w:r>
              <w:t>0.0</w:t>
            </w:r>
            <w:r>
              <w:rPr>
                <w:rFonts w:hint="eastAsia"/>
              </w:rPr>
              <w:t>12</w:t>
            </w:r>
          </w:p>
        </w:tc>
        <w:tc>
          <w:tcPr>
            <w:tcW w:w="606" w:type="pct"/>
            <w:shd w:val="clear" w:color="auto" w:fill="auto"/>
            <w:vAlign w:val="center"/>
          </w:tcPr>
          <w:p w14:paraId="2995A5A5" w14:textId="77777777" w:rsidR="002E474C" w:rsidRDefault="00000000">
            <w:pPr>
              <w:pStyle w:val="A-"/>
            </w:pPr>
            <w:r>
              <w:t>0.082</w:t>
            </w:r>
          </w:p>
        </w:tc>
        <w:tc>
          <w:tcPr>
            <w:tcW w:w="688" w:type="pct"/>
            <w:shd w:val="clear" w:color="auto" w:fill="auto"/>
            <w:vAlign w:val="center"/>
          </w:tcPr>
          <w:p w14:paraId="6D007EA2" w14:textId="77777777" w:rsidR="002E474C" w:rsidRDefault="00000000">
            <w:pPr>
              <w:pStyle w:val="A-"/>
            </w:pPr>
            <w:r>
              <w:t>1.381</w:t>
            </w:r>
          </w:p>
        </w:tc>
        <w:tc>
          <w:tcPr>
            <w:tcW w:w="688" w:type="pct"/>
            <w:shd w:val="clear" w:color="auto" w:fill="auto"/>
            <w:vAlign w:val="center"/>
          </w:tcPr>
          <w:p w14:paraId="470708EF" w14:textId="77777777" w:rsidR="002E474C" w:rsidRDefault="00000000">
            <w:pPr>
              <w:pStyle w:val="A-"/>
            </w:pPr>
            <w:r>
              <w:t>0.575</w:t>
            </w:r>
          </w:p>
        </w:tc>
        <w:tc>
          <w:tcPr>
            <w:tcW w:w="688" w:type="pct"/>
            <w:shd w:val="clear" w:color="auto" w:fill="auto"/>
            <w:vAlign w:val="center"/>
          </w:tcPr>
          <w:p w14:paraId="73EE8ADE" w14:textId="77777777" w:rsidR="002E474C" w:rsidRDefault="00000000">
            <w:pPr>
              <w:pStyle w:val="A-"/>
            </w:pPr>
            <w:r>
              <w:t>0.038</w:t>
            </w:r>
          </w:p>
        </w:tc>
        <w:tc>
          <w:tcPr>
            <w:tcW w:w="691" w:type="pct"/>
            <w:shd w:val="clear" w:color="auto" w:fill="auto"/>
            <w:vAlign w:val="center"/>
          </w:tcPr>
          <w:p w14:paraId="215262E2" w14:textId="77777777" w:rsidR="002E474C" w:rsidRDefault="00000000">
            <w:pPr>
              <w:pStyle w:val="A-"/>
            </w:pPr>
            <w:r>
              <w:t>0.864</w:t>
            </w:r>
          </w:p>
        </w:tc>
      </w:tr>
      <w:tr w:rsidR="002E474C" w14:paraId="4BFDEC78" w14:textId="77777777">
        <w:trPr>
          <w:jc w:val="center"/>
        </w:trPr>
        <w:tc>
          <w:tcPr>
            <w:tcW w:w="580" w:type="pct"/>
            <w:shd w:val="clear" w:color="auto" w:fill="auto"/>
            <w:vAlign w:val="center"/>
          </w:tcPr>
          <w:p w14:paraId="22C2D556" w14:textId="77777777" w:rsidR="002E474C" w:rsidRDefault="00000000">
            <w:pPr>
              <w:pStyle w:val="A-"/>
            </w:pPr>
            <w:r>
              <w:lastRenderedPageBreak/>
              <w:t>最大允许投加量限值</w:t>
            </w:r>
          </w:p>
        </w:tc>
        <w:tc>
          <w:tcPr>
            <w:tcW w:w="514" w:type="pct"/>
            <w:shd w:val="clear" w:color="auto" w:fill="auto"/>
            <w:vAlign w:val="center"/>
          </w:tcPr>
          <w:p w14:paraId="277EFC84" w14:textId="77777777" w:rsidR="002E474C" w:rsidRDefault="00000000">
            <w:pPr>
              <w:pStyle w:val="A-"/>
            </w:pPr>
            <w:r>
              <w:t>＜</w:t>
            </w:r>
            <w:r>
              <w:t>0.04</w:t>
            </w:r>
          </w:p>
        </w:tc>
        <w:tc>
          <w:tcPr>
            <w:tcW w:w="542" w:type="pct"/>
            <w:shd w:val="clear" w:color="auto" w:fill="auto"/>
            <w:vAlign w:val="center"/>
          </w:tcPr>
          <w:p w14:paraId="4DAA173D" w14:textId="77777777" w:rsidR="002E474C" w:rsidRDefault="00000000">
            <w:pPr>
              <w:pStyle w:val="A-"/>
            </w:pPr>
            <w:r>
              <w:t>＜</w:t>
            </w:r>
            <w:r>
              <w:t>0.</w:t>
            </w:r>
            <w:r>
              <w:rPr>
                <w:rFonts w:hint="eastAsia"/>
              </w:rPr>
              <w:t>5</w:t>
            </w:r>
          </w:p>
        </w:tc>
        <w:tc>
          <w:tcPr>
            <w:tcW w:w="606" w:type="pct"/>
            <w:shd w:val="clear" w:color="auto" w:fill="auto"/>
            <w:vAlign w:val="center"/>
          </w:tcPr>
          <w:p w14:paraId="114A5D59" w14:textId="77777777" w:rsidR="002E474C" w:rsidRDefault="00000000">
            <w:pPr>
              <w:pStyle w:val="A-"/>
            </w:pPr>
            <w:r>
              <w:t>≤0.23</w:t>
            </w:r>
          </w:p>
        </w:tc>
        <w:tc>
          <w:tcPr>
            <w:tcW w:w="688" w:type="pct"/>
            <w:shd w:val="clear" w:color="auto" w:fill="auto"/>
            <w:vAlign w:val="center"/>
          </w:tcPr>
          <w:p w14:paraId="6CEBDF2B" w14:textId="77777777" w:rsidR="002E474C" w:rsidRDefault="00000000">
            <w:pPr>
              <w:pStyle w:val="A-"/>
            </w:pPr>
            <w:r>
              <w:t>≤</w:t>
            </w:r>
            <w:r>
              <w:rPr>
                <w:rFonts w:hint="eastAsia"/>
              </w:rPr>
              <w:t>320</w:t>
            </w:r>
          </w:p>
        </w:tc>
        <w:tc>
          <w:tcPr>
            <w:tcW w:w="688" w:type="pct"/>
            <w:shd w:val="clear" w:color="auto" w:fill="auto"/>
            <w:vAlign w:val="center"/>
          </w:tcPr>
          <w:p w14:paraId="2FDD6B89" w14:textId="77777777" w:rsidR="002E474C" w:rsidRDefault="00000000">
            <w:pPr>
              <w:pStyle w:val="A-"/>
            </w:pPr>
            <w:r>
              <w:t>≤</w:t>
            </w:r>
            <w:r>
              <w:rPr>
                <w:rFonts w:hint="eastAsia"/>
              </w:rPr>
              <w:t>4280</w:t>
            </w:r>
          </w:p>
        </w:tc>
        <w:tc>
          <w:tcPr>
            <w:tcW w:w="688" w:type="pct"/>
            <w:shd w:val="clear" w:color="auto" w:fill="auto"/>
            <w:vAlign w:val="center"/>
          </w:tcPr>
          <w:p w14:paraId="5C73246F" w14:textId="77777777" w:rsidR="002E474C" w:rsidRDefault="00000000">
            <w:pPr>
              <w:pStyle w:val="A-"/>
            </w:pPr>
            <w:r>
              <w:t>≤</w:t>
            </w:r>
            <w:r>
              <w:rPr>
                <w:rFonts w:hint="eastAsia"/>
              </w:rPr>
              <w:t>40</w:t>
            </w:r>
          </w:p>
        </w:tc>
        <w:tc>
          <w:tcPr>
            <w:tcW w:w="691" w:type="pct"/>
            <w:shd w:val="clear" w:color="auto" w:fill="auto"/>
            <w:vAlign w:val="center"/>
          </w:tcPr>
          <w:p w14:paraId="4849A2F8" w14:textId="77777777" w:rsidR="002E474C" w:rsidRDefault="00000000">
            <w:pPr>
              <w:pStyle w:val="A-"/>
            </w:pPr>
            <w:r>
              <w:t>≤</w:t>
            </w:r>
            <w:r>
              <w:rPr>
                <w:rFonts w:hint="eastAsia"/>
              </w:rPr>
              <w:t>1590</w:t>
            </w:r>
          </w:p>
        </w:tc>
      </w:tr>
    </w:tbl>
    <w:p w14:paraId="7C1236BB" w14:textId="77777777" w:rsidR="002E474C" w:rsidRDefault="002E474C"/>
    <w:p w14:paraId="61CAADE0" w14:textId="77777777" w:rsidR="002E474C" w:rsidRDefault="00000000">
      <w:pPr>
        <w:pStyle w:val="A-z"/>
        <w:rPr>
          <w:color w:val="auto"/>
        </w:rPr>
      </w:pPr>
      <w:r>
        <w:rPr>
          <w:rFonts w:eastAsia="宋体" w:hint="eastAsia"/>
          <w:color w:val="auto"/>
        </w:rPr>
        <w:t>本项目</w:t>
      </w:r>
      <w:r>
        <w:rPr>
          <w:rFonts w:eastAsia="宋体" w:hint="eastAsia"/>
          <w:color w:val="auto"/>
        </w:rPr>
        <w:t>Cl</w:t>
      </w:r>
      <w:r>
        <w:rPr>
          <w:rFonts w:eastAsia="宋体" w:hint="eastAsia"/>
          <w:color w:val="auto"/>
        </w:rPr>
        <w:t>元素、</w:t>
      </w:r>
      <w:r>
        <w:rPr>
          <w:rFonts w:eastAsia="宋体" w:hint="eastAsia"/>
          <w:color w:val="auto"/>
        </w:rPr>
        <w:t>F</w:t>
      </w:r>
      <w:r>
        <w:rPr>
          <w:rFonts w:eastAsia="宋体" w:hint="eastAsia"/>
          <w:color w:val="auto"/>
        </w:rPr>
        <w:t>元素及</w:t>
      </w:r>
      <w:r>
        <w:rPr>
          <w:color w:val="auto"/>
        </w:rPr>
        <w:t>五类重金属（</w:t>
      </w:r>
      <w:r>
        <w:rPr>
          <w:color w:val="auto"/>
        </w:rPr>
        <w:t>Hg</w:t>
      </w:r>
      <w:r>
        <w:rPr>
          <w:color w:val="auto"/>
        </w:rPr>
        <w:t>、</w:t>
      </w:r>
      <w:r>
        <w:rPr>
          <w:color w:val="auto"/>
        </w:rPr>
        <w:t>Cr</w:t>
      </w:r>
      <w:r>
        <w:rPr>
          <w:color w:val="auto"/>
        </w:rPr>
        <w:t>、</w:t>
      </w:r>
      <w:r>
        <w:rPr>
          <w:color w:val="auto"/>
        </w:rPr>
        <w:t>As</w:t>
      </w:r>
      <w:r>
        <w:rPr>
          <w:color w:val="auto"/>
        </w:rPr>
        <w:t>、</w:t>
      </w:r>
      <w:r>
        <w:rPr>
          <w:color w:val="auto"/>
        </w:rPr>
        <w:t>Cd</w:t>
      </w:r>
      <w:r>
        <w:rPr>
          <w:color w:val="auto"/>
        </w:rPr>
        <w:t>、</w:t>
      </w:r>
      <w:r>
        <w:rPr>
          <w:color w:val="auto"/>
        </w:rPr>
        <w:t>Pb</w:t>
      </w:r>
      <w:r>
        <w:rPr>
          <w:color w:val="auto"/>
        </w:rPr>
        <w:t>）</w:t>
      </w:r>
      <w:r>
        <w:rPr>
          <w:rFonts w:eastAsia="宋体" w:hint="eastAsia"/>
          <w:color w:val="auto"/>
        </w:rPr>
        <w:t>的投加量均满足</w:t>
      </w:r>
      <w:r>
        <w:rPr>
          <w:color w:val="auto"/>
        </w:rPr>
        <w:t>《水泥窑协同处置固体废物环境保护技术规范》（</w:t>
      </w:r>
      <w:r>
        <w:rPr>
          <w:color w:val="auto"/>
        </w:rPr>
        <w:t>HJ662-2013</w:t>
      </w:r>
      <w:r>
        <w:rPr>
          <w:color w:val="auto"/>
        </w:rPr>
        <w:t>）</w:t>
      </w:r>
      <w:r>
        <w:rPr>
          <w:rFonts w:hint="eastAsia"/>
          <w:color w:val="auto"/>
        </w:rPr>
        <w:t>对于各主要元素的最大允许投加量限值要求。</w:t>
      </w:r>
      <w:r>
        <w:rPr>
          <w:color w:val="auto"/>
        </w:rPr>
        <w:t>该标准制定的目的之一就是要确保水泥窑协同处置项目的熟料质量稳定，最终以固态化合物形式固化在水泥熟料的晶格中。</w:t>
      </w:r>
    </w:p>
    <w:p w14:paraId="54776283" w14:textId="77777777" w:rsidR="002E474C" w:rsidRDefault="00000000">
      <w:pPr>
        <w:pStyle w:val="A-z"/>
        <w:rPr>
          <w:color w:val="auto"/>
        </w:rPr>
      </w:pPr>
      <w:r>
        <w:rPr>
          <w:rFonts w:hint="eastAsia"/>
          <w:color w:val="auto"/>
        </w:rPr>
        <w:t>3</w:t>
      </w:r>
      <w:r>
        <w:rPr>
          <w:rFonts w:hint="eastAsia"/>
          <w:color w:val="auto"/>
        </w:rPr>
        <w:t>）</w:t>
      </w:r>
      <w:r>
        <w:rPr>
          <w:color w:val="auto"/>
        </w:rPr>
        <w:t>根据《水泥窑协同处置固体废物技术规范》（</w:t>
      </w:r>
      <w:r>
        <w:rPr>
          <w:color w:val="auto"/>
        </w:rPr>
        <w:t>GB/T30760-2024</w:t>
      </w:r>
      <w:r>
        <w:rPr>
          <w:color w:val="auto"/>
        </w:rPr>
        <w:t>）中关于水泥熟料中重金属含量限值的要求</w:t>
      </w:r>
      <w:r>
        <w:rPr>
          <w:color w:val="auto"/>
        </w:rPr>
        <w:t>“</w:t>
      </w:r>
      <w:r>
        <w:rPr>
          <w:color w:val="auto"/>
        </w:rPr>
        <w:t>水泥窑协同处置危险废物时，水泥熟料中重金属元素含量不宜超过表</w:t>
      </w:r>
      <w:r>
        <w:rPr>
          <w:color w:val="auto"/>
        </w:rPr>
        <w:t>2</w:t>
      </w:r>
      <w:r>
        <w:rPr>
          <w:color w:val="auto"/>
        </w:rPr>
        <w:t>规定的限值。水泥熟料中重金属含量的检测按附录</w:t>
      </w:r>
      <w:r>
        <w:rPr>
          <w:color w:val="auto"/>
        </w:rPr>
        <w:t>B</w:t>
      </w:r>
      <w:r>
        <w:rPr>
          <w:color w:val="auto"/>
        </w:rPr>
        <w:t>规定的方法进行</w:t>
      </w:r>
      <w:r>
        <w:rPr>
          <w:color w:val="auto"/>
        </w:rPr>
        <w:t>”</w:t>
      </w:r>
      <w:r>
        <w:rPr>
          <w:color w:val="auto"/>
        </w:rPr>
        <w:t>，</w:t>
      </w:r>
      <w:r>
        <w:rPr>
          <w:color w:val="auto"/>
        </w:rPr>
        <w:t>“</w:t>
      </w:r>
      <w:r>
        <w:rPr>
          <w:color w:val="auto"/>
        </w:rPr>
        <w:t>水泥窑协同处置危险废物时，水泥熟料中可浸出重金属含量不得超过表</w:t>
      </w:r>
      <w:r>
        <w:rPr>
          <w:color w:val="auto"/>
        </w:rPr>
        <w:t>3</w:t>
      </w:r>
      <w:r>
        <w:rPr>
          <w:color w:val="auto"/>
        </w:rPr>
        <w:t>规定的限值。水泥熟料中可浸出重金属含量测定按</w:t>
      </w:r>
      <w:r>
        <w:rPr>
          <w:color w:val="auto"/>
        </w:rPr>
        <w:t>GB/T30810</w:t>
      </w:r>
      <w:r>
        <w:rPr>
          <w:color w:val="auto"/>
        </w:rPr>
        <w:t>规定的方法进行，其中样品制备按</w:t>
      </w:r>
      <w:r>
        <w:rPr>
          <w:color w:val="auto"/>
        </w:rPr>
        <w:t>GB/T21372-2024</w:t>
      </w:r>
      <w:r>
        <w:rPr>
          <w:color w:val="auto"/>
        </w:rPr>
        <w:t>中</w:t>
      </w:r>
      <w:r>
        <w:rPr>
          <w:color w:val="auto"/>
        </w:rPr>
        <w:t>5.2</w:t>
      </w:r>
      <w:r>
        <w:rPr>
          <w:color w:val="auto"/>
        </w:rPr>
        <w:t>节进行</w:t>
      </w:r>
      <w:r>
        <w:rPr>
          <w:color w:val="auto"/>
        </w:rPr>
        <w:t>”</w:t>
      </w:r>
      <w:r>
        <w:rPr>
          <w:color w:val="auto"/>
        </w:rPr>
        <w:t>。</w:t>
      </w:r>
    </w:p>
    <w:p w14:paraId="030B18BB" w14:textId="77777777" w:rsidR="002E474C" w:rsidRDefault="00000000">
      <w:pPr>
        <w:pStyle w:val="A-z"/>
        <w:rPr>
          <w:color w:val="auto"/>
        </w:rPr>
      </w:pPr>
      <w:r>
        <w:rPr>
          <w:color w:val="auto"/>
        </w:rPr>
        <w:t>因此，本项目建成后，水泥熟料中的重金属含量及可浸出重金属含量限值应分别满足表</w:t>
      </w:r>
      <w:r>
        <w:rPr>
          <w:color w:val="auto"/>
        </w:rPr>
        <w:t>3.4-7</w:t>
      </w:r>
      <w:r>
        <w:rPr>
          <w:color w:val="auto"/>
        </w:rPr>
        <w:t>的要求。</w:t>
      </w:r>
    </w:p>
    <w:p w14:paraId="5BC068F1" w14:textId="77777777" w:rsidR="002E474C" w:rsidRDefault="00000000">
      <w:pPr>
        <w:pStyle w:val="A--"/>
        <w:rPr>
          <w:color w:val="auto"/>
        </w:rPr>
      </w:pPr>
      <w:bookmarkStart w:id="166" w:name="_Ref152062731"/>
      <w:r>
        <w:rPr>
          <w:color w:val="auto"/>
        </w:rPr>
        <w:t>表</w:t>
      </w:r>
      <w:bookmarkEnd w:id="166"/>
      <w:r>
        <w:rPr>
          <w:color w:val="auto"/>
        </w:rPr>
        <w:t xml:space="preserve">3.4-7  </w:t>
      </w:r>
      <w:r>
        <w:rPr>
          <w:color w:val="auto"/>
        </w:rPr>
        <w:t>水泥熟料中重金属含量限值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1"/>
        <w:gridCol w:w="2680"/>
        <w:gridCol w:w="3625"/>
      </w:tblGrid>
      <w:tr w:rsidR="002E474C" w14:paraId="0126F01B" w14:textId="77777777">
        <w:trPr>
          <w:jc w:val="center"/>
        </w:trPr>
        <w:tc>
          <w:tcPr>
            <w:tcW w:w="1200" w:type="pct"/>
            <w:shd w:val="clear" w:color="auto" w:fill="auto"/>
            <w:noWrap/>
            <w:tcMar>
              <w:top w:w="15" w:type="dxa"/>
              <w:left w:w="15" w:type="dxa"/>
              <w:bottom w:w="0" w:type="dxa"/>
              <w:right w:w="15" w:type="dxa"/>
            </w:tcMar>
            <w:vAlign w:val="center"/>
          </w:tcPr>
          <w:p w14:paraId="7F86C96E" w14:textId="77777777" w:rsidR="002E474C" w:rsidRDefault="00000000">
            <w:pPr>
              <w:pStyle w:val="A-"/>
            </w:pPr>
            <w:r>
              <w:t>重金属</w:t>
            </w:r>
          </w:p>
        </w:tc>
        <w:tc>
          <w:tcPr>
            <w:tcW w:w="1615" w:type="pct"/>
          </w:tcPr>
          <w:p w14:paraId="70EA76AC" w14:textId="77777777" w:rsidR="002E474C" w:rsidRDefault="00000000">
            <w:pPr>
              <w:pStyle w:val="A-"/>
            </w:pPr>
            <w:r>
              <w:t>重金属含量限值</w:t>
            </w:r>
            <w:r>
              <w:t>/</w:t>
            </w:r>
            <w:r>
              <w:t>（</w:t>
            </w:r>
            <w:r>
              <w:t>mg/kg</w:t>
            </w:r>
            <w:r>
              <w:t>）</w:t>
            </w:r>
          </w:p>
        </w:tc>
        <w:tc>
          <w:tcPr>
            <w:tcW w:w="2185" w:type="pct"/>
            <w:shd w:val="clear" w:color="auto" w:fill="auto"/>
            <w:noWrap/>
            <w:tcMar>
              <w:top w:w="15" w:type="dxa"/>
              <w:left w:w="15" w:type="dxa"/>
              <w:bottom w:w="0" w:type="dxa"/>
              <w:right w:w="15" w:type="dxa"/>
            </w:tcMar>
            <w:vAlign w:val="center"/>
          </w:tcPr>
          <w:p w14:paraId="6DD78C1C" w14:textId="77777777" w:rsidR="002E474C" w:rsidRDefault="00000000">
            <w:pPr>
              <w:pStyle w:val="A-"/>
            </w:pPr>
            <w:r>
              <w:t>可浸出重金属含量限值</w:t>
            </w:r>
            <w:r>
              <w:t>/</w:t>
            </w:r>
            <w:r>
              <w:t>（</w:t>
            </w:r>
            <w:r>
              <w:t>mg/kg</w:t>
            </w:r>
            <w:r>
              <w:t>）</w:t>
            </w:r>
          </w:p>
        </w:tc>
      </w:tr>
      <w:tr w:rsidR="002E474C" w14:paraId="532FE66A" w14:textId="77777777">
        <w:trPr>
          <w:jc w:val="center"/>
        </w:trPr>
        <w:tc>
          <w:tcPr>
            <w:tcW w:w="1200" w:type="pct"/>
            <w:shd w:val="clear" w:color="auto" w:fill="auto"/>
            <w:noWrap/>
            <w:tcMar>
              <w:top w:w="15" w:type="dxa"/>
              <w:left w:w="15" w:type="dxa"/>
              <w:bottom w:w="0" w:type="dxa"/>
              <w:right w:w="15" w:type="dxa"/>
            </w:tcMar>
            <w:vAlign w:val="center"/>
          </w:tcPr>
          <w:p w14:paraId="4DD5FEDE" w14:textId="77777777" w:rsidR="002E474C" w:rsidRDefault="00000000">
            <w:pPr>
              <w:pStyle w:val="A-"/>
            </w:pPr>
            <w:r>
              <w:t>砷（</w:t>
            </w:r>
            <w:r>
              <w:t>As</w:t>
            </w:r>
            <w:r>
              <w:t>）</w:t>
            </w:r>
          </w:p>
        </w:tc>
        <w:tc>
          <w:tcPr>
            <w:tcW w:w="1615" w:type="pct"/>
            <w:vAlign w:val="center"/>
          </w:tcPr>
          <w:p w14:paraId="259F7A4B" w14:textId="77777777" w:rsidR="002E474C" w:rsidRDefault="00000000">
            <w:pPr>
              <w:pStyle w:val="A-"/>
            </w:pPr>
            <w:r>
              <w:t>40</w:t>
            </w:r>
          </w:p>
        </w:tc>
        <w:tc>
          <w:tcPr>
            <w:tcW w:w="2185" w:type="pct"/>
            <w:shd w:val="clear" w:color="auto" w:fill="auto"/>
            <w:noWrap/>
            <w:tcMar>
              <w:top w:w="15" w:type="dxa"/>
              <w:left w:w="15" w:type="dxa"/>
              <w:bottom w:w="0" w:type="dxa"/>
              <w:right w:w="15" w:type="dxa"/>
            </w:tcMar>
            <w:vAlign w:val="center"/>
          </w:tcPr>
          <w:p w14:paraId="722366E9" w14:textId="77777777" w:rsidR="002E474C" w:rsidRDefault="00000000">
            <w:pPr>
              <w:pStyle w:val="A-"/>
            </w:pPr>
            <w:r>
              <w:t>0.1</w:t>
            </w:r>
          </w:p>
        </w:tc>
      </w:tr>
      <w:tr w:rsidR="002E474C" w14:paraId="5BFB224A" w14:textId="77777777">
        <w:trPr>
          <w:jc w:val="center"/>
        </w:trPr>
        <w:tc>
          <w:tcPr>
            <w:tcW w:w="1200" w:type="pct"/>
            <w:shd w:val="clear" w:color="auto" w:fill="auto"/>
            <w:noWrap/>
            <w:tcMar>
              <w:top w:w="15" w:type="dxa"/>
              <w:left w:w="15" w:type="dxa"/>
              <w:bottom w:w="0" w:type="dxa"/>
              <w:right w:w="15" w:type="dxa"/>
            </w:tcMar>
            <w:vAlign w:val="center"/>
          </w:tcPr>
          <w:p w14:paraId="6FA74E64" w14:textId="77777777" w:rsidR="002E474C" w:rsidRDefault="00000000">
            <w:pPr>
              <w:pStyle w:val="A-"/>
            </w:pPr>
            <w:r>
              <w:t>铅（</w:t>
            </w:r>
            <w:r>
              <w:t>Pb</w:t>
            </w:r>
            <w:r>
              <w:t>）</w:t>
            </w:r>
          </w:p>
        </w:tc>
        <w:tc>
          <w:tcPr>
            <w:tcW w:w="1615" w:type="pct"/>
            <w:vAlign w:val="center"/>
          </w:tcPr>
          <w:p w14:paraId="00774306" w14:textId="77777777" w:rsidR="002E474C" w:rsidRDefault="00000000">
            <w:pPr>
              <w:pStyle w:val="A-"/>
            </w:pPr>
            <w:r>
              <w:t>100</w:t>
            </w:r>
          </w:p>
        </w:tc>
        <w:tc>
          <w:tcPr>
            <w:tcW w:w="2185" w:type="pct"/>
            <w:shd w:val="clear" w:color="auto" w:fill="auto"/>
            <w:noWrap/>
            <w:tcMar>
              <w:top w:w="15" w:type="dxa"/>
              <w:left w:w="15" w:type="dxa"/>
              <w:bottom w:w="0" w:type="dxa"/>
              <w:right w:w="15" w:type="dxa"/>
            </w:tcMar>
            <w:vAlign w:val="center"/>
          </w:tcPr>
          <w:p w14:paraId="7A52F7D8" w14:textId="77777777" w:rsidR="002E474C" w:rsidRDefault="00000000">
            <w:pPr>
              <w:pStyle w:val="A-"/>
            </w:pPr>
            <w:r>
              <w:t>0.3</w:t>
            </w:r>
          </w:p>
        </w:tc>
      </w:tr>
      <w:tr w:rsidR="002E474C" w14:paraId="615176DA" w14:textId="77777777">
        <w:trPr>
          <w:jc w:val="center"/>
        </w:trPr>
        <w:tc>
          <w:tcPr>
            <w:tcW w:w="1200" w:type="pct"/>
            <w:shd w:val="clear" w:color="auto" w:fill="auto"/>
            <w:noWrap/>
            <w:tcMar>
              <w:top w:w="15" w:type="dxa"/>
              <w:left w:w="15" w:type="dxa"/>
              <w:bottom w:w="0" w:type="dxa"/>
              <w:right w:w="15" w:type="dxa"/>
            </w:tcMar>
            <w:vAlign w:val="center"/>
          </w:tcPr>
          <w:p w14:paraId="4C5F49D3" w14:textId="77777777" w:rsidR="002E474C" w:rsidRDefault="00000000">
            <w:pPr>
              <w:pStyle w:val="A-"/>
            </w:pPr>
            <w:r>
              <w:t>镉（</w:t>
            </w:r>
            <w:r>
              <w:t>Cd</w:t>
            </w:r>
            <w:r>
              <w:t>）</w:t>
            </w:r>
          </w:p>
        </w:tc>
        <w:tc>
          <w:tcPr>
            <w:tcW w:w="1615" w:type="pct"/>
            <w:vAlign w:val="center"/>
          </w:tcPr>
          <w:p w14:paraId="7E9FEE6D" w14:textId="77777777" w:rsidR="002E474C" w:rsidRDefault="00000000">
            <w:pPr>
              <w:pStyle w:val="A-"/>
            </w:pPr>
            <w:r>
              <w:t>1.5</w:t>
            </w:r>
          </w:p>
        </w:tc>
        <w:tc>
          <w:tcPr>
            <w:tcW w:w="2185" w:type="pct"/>
            <w:shd w:val="clear" w:color="auto" w:fill="auto"/>
            <w:noWrap/>
            <w:tcMar>
              <w:top w:w="15" w:type="dxa"/>
              <w:left w:w="15" w:type="dxa"/>
              <w:bottom w:w="0" w:type="dxa"/>
              <w:right w:w="15" w:type="dxa"/>
            </w:tcMar>
            <w:vAlign w:val="center"/>
          </w:tcPr>
          <w:p w14:paraId="588AD670" w14:textId="77777777" w:rsidR="002E474C" w:rsidRDefault="00000000">
            <w:pPr>
              <w:pStyle w:val="A-"/>
            </w:pPr>
            <w:r>
              <w:t>0.03</w:t>
            </w:r>
          </w:p>
        </w:tc>
      </w:tr>
      <w:tr w:rsidR="002E474C" w14:paraId="053521E1" w14:textId="77777777">
        <w:trPr>
          <w:jc w:val="center"/>
        </w:trPr>
        <w:tc>
          <w:tcPr>
            <w:tcW w:w="1200" w:type="pct"/>
            <w:shd w:val="clear" w:color="auto" w:fill="auto"/>
            <w:noWrap/>
            <w:tcMar>
              <w:top w:w="15" w:type="dxa"/>
              <w:left w:w="15" w:type="dxa"/>
              <w:bottom w:w="0" w:type="dxa"/>
              <w:right w:w="15" w:type="dxa"/>
            </w:tcMar>
            <w:vAlign w:val="center"/>
          </w:tcPr>
          <w:p w14:paraId="0D49862E" w14:textId="77777777" w:rsidR="002E474C" w:rsidRDefault="00000000">
            <w:pPr>
              <w:pStyle w:val="A-"/>
            </w:pPr>
            <w:r>
              <w:t>铬（</w:t>
            </w:r>
            <w:r>
              <w:t>Cr</w:t>
            </w:r>
            <w:r>
              <w:t>）</w:t>
            </w:r>
          </w:p>
        </w:tc>
        <w:tc>
          <w:tcPr>
            <w:tcW w:w="1615" w:type="pct"/>
            <w:vAlign w:val="center"/>
          </w:tcPr>
          <w:p w14:paraId="58AD4549" w14:textId="77777777" w:rsidR="002E474C" w:rsidRDefault="00000000">
            <w:pPr>
              <w:pStyle w:val="A-"/>
            </w:pPr>
            <w:r>
              <w:t>150</w:t>
            </w:r>
          </w:p>
        </w:tc>
        <w:tc>
          <w:tcPr>
            <w:tcW w:w="2185" w:type="pct"/>
            <w:shd w:val="clear" w:color="auto" w:fill="auto"/>
            <w:noWrap/>
            <w:tcMar>
              <w:top w:w="15" w:type="dxa"/>
              <w:left w:w="15" w:type="dxa"/>
              <w:bottom w:w="0" w:type="dxa"/>
              <w:right w:w="15" w:type="dxa"/>
            </w:tcMar>
            <w:vAlign w:val="center"/>
          </w:tcPr>
          <w:p w14:paraId="0A47F2AA" w14:textId="77777777" w:rsidR="002E474C" w:rsidRDefault="00000000">
            <w:pPr>
              <w:pStyle w:val="A-"/>
            </w:pPr>
            <w:r>
              <w:t>0.2</w:t>
            </w:r>
          </w:p>
        </w:tc>
      </w:tr>
      <w:tr w:rsidR="002E474C" w14:paraId="0FBCE115" w14:textId="77777777">
        <w:trPr>
          <w:jc w:val="center"/>
        </w:trPr>
        <w:tc>
          <w:tcPr>
            <w:tcW w:w="1200" w:type="pct"/>
            <w:shd w:val="clear" w:color="auto" w:fill="auto"/>
            <w:noWrap/>
            <w:tcMar>
              <w:top w:w="15" w:type="dxa"/>
              <w:left w:w="15" w:type="dxa"/>
              <w:bottom w:w="0" w:type="dxa"/>
              <w:right w:w="15" w:type="dxa"/>
            </w:tcMar>
            <w:vAlign w:val="center"/>
          </w:tcPr>
          <w:p w14:paraId="6261581A" w14:textId="77777777" w:rsidR="002E474C" w:rsidRDefault="00000000">
            <w:pPr>
              <w:pStyle w:val="A-"/>
            </w:pPr>
            <w:r>
              <w:t>铜（</w:t>
            </w:r>
            <w:r>
              <w:t>Cu</w:t>
            </w:r>
            <w:r>
              <w:t>）</w:t>
            </w:r>
          </w:p>
        </w:tc>
        <w:tc>
          <w:tcPr>
            <w:tcW w:w="1615" w:type="pct"/>
            <w:vAlign w:val="center"/>
          </w:tcPr>
          <w:p w14:paraId="4B7DD375" w14:textId="77777777" w:rsidR="002E474C" w:rsidRDefault="00000000">
            <w:pPr>
              <w:pStyle w:val="A-"/>
            </w:pPr>
            <w:r>
              <w:t>100</w:t>
            </w:r>
          </w:p>
        </w:tc>
        <w:tc>
          <w:tcPr>
            <w:tcW w:w="2185" w:type="pct"/>
            <w:shd w:val="clear" w:color="auto" w:fill="auto"/>
            <w:noWrap/>
            <w:tcMar>
              <w:top w:w="15" w:type="dxa"/>
              <w:left w:w="15" w:type="dxa"/>
              <w:bottom w:w="0" w:type="dxa"/>
              <w:right w:w="15" w:type="dxa"/>
            </w:tcMar>
            <w:vAlign w:val="center"/>
          </w:tcPr>
          <w:p w14:paraId="35260C91" w14:textId="77777777" w:rsidR="002E474C" w:rsidRDefault="00000000">
            <w:pPr>
              <w:pStyle w:val="A-"/>
            </w:pPr>
            <w:r>
              <w:t>1.0</w:t>
            </w:r>
          </w:p>
        </w:tc>
      </w:tr>
      <w:tr w:rsidR="002E474C" w14:paraId="5B6C7899" w14:textId="77777777">
        <w:trPr>
          <w:jc w:val="center"/>
        </w:trPr>
        <w:tc>
          <w:tcPr>
            <w:tcW w:w="1200" w:type="pct"/>
            <w:shd w:val="clear" w:color="auto" w:fill="auto"/>
            <w:noWrap/>
            <w:tcMar>
              <w:top w:w="15" w:type="dxa"/>
              <w:left w:w="15" w:type="dxa"/>
              <w:bottom w:w="0" w:type="dxa"/>
              <w:right w:w="15" w:type="dxa"/>
            </w:tcMar>
            <w:vAlign w:val="center"/>
          </w:tcPr>
          <w:p w14:paraId="5C13A444" w14:textId="77777777" w:rsidR="002E474C" w:rsidRDefault="00000000">
            <w:pPr>
              <w:pStyle w:val="A-"/>
            </w:pPr>
            <w:r>
              <w:t>镍（</w:t>
            </w:r>
            <w:r>
              <w:t>Ni</w:t>
            </w:r>
            <w:r>
              <w:t>）</w:t>
            </w:r>
          </w:p>
        </w:tc>
        <w:tc>
          <w:tcPr>
            <w:tcW w:w="1615" w:type="pct"/>
            <w:vAlign w:val="center"/>
          </w:tcPr>
          <w:p w14:paraId="7891A309" w14:textId="77777777" w:rsidR="002E474C" w:rsidRDefault="00000000">
            <w:pPr>
              <w:pStyle w:val="A-"/>
            </w:pPr>
            <w:r>
              <w:t>100</w:t>
            </w:r>
          </w:p>
        </w:tc>
        <w:tc>
          <w:tcPr>
            <w:tcW w:w="2185" w:type="pct"/>
            <w:shd w:val="clear" w:color="auto" w:fill="auto"/>
            <w:noWrap/>
            <w:tcMar>
              <w:top w:w="15" w:type="dxa"/>
              <w:left w:w="15" w:type="dxa"/>
              <w:bottom w:w="0" w:type="dxa"/>
              <w:right w:w="15" w:type="dxa"/>
            </w:tcMar>
            <w:vAlign w:val="center"/>
          </w:tcPr>
          <w:p w14:paraId="0628846A" w14:textId="77777777" w:rsidR="002E474C" w:rsidRDefault="00000000">
            <w:pPr>
              <w:pStyle w:val="A-"/>
            </w:pPr>
            <w:r>
              <w:t>0.2</w:t>
            </w:r>
          </w:p>
        </w:tc>
      </w:tr>
      <w:tr w:rsidR="002E474C" w14:paraId="4B350BB2" w14:textId="77777777">
        <w:trPr>
          <w:jc w:val="center"/>
        </w:trPr>
        <w:tc>
          <w:tcPr>
            <w:tcW w:w="1200" w:type="pct"/>
            <w:shd w:val="clear" w:color="auto" w:fill="auto"/>
            <w:noWrap/>
            <w:tcMar>
              <w:top w:w="15" w:type="dxa"/>
              <w:left w:w="15" w:type="dxa"/>
              <w:bottom w:w="0" w:type="dxa"/>
              <w:right w:w="15" w:type="dxa"/>
            </w:tcMar>
            <w:vAlign w:val="center"/>
          </w:tcPr>
          <w:p w14:paraId="6B5B7838" w14:textId="77777777" w:rsidR="002E474C" w:rsidRDefault="00000000">
            <w:pPr>
              <w:pStyle w:val="A-"/>
            </w:pPr>
            <w:r>
              <w:t>锌（</w:t>
            </w:r>
            <w:r>
              <w:t>Zn</w:t>
            </w:r>
            <w:r>
              <w:t>）</w:t>
            </w:r>
          </w:p>
        </w:tc>
        <w:tc>
          <w:tcPr>
            <w:tcW w:w="1615" w:type="pct"/>
            <w:vAlign w:val="center"/>
          </w:tcPr>
          <w:p w14:paraId="2F1FF91A" w14:textId="77777777" w:rsidR="002E474C" w:rsidRDefault="00000000">
            <w:pPr>
              <w:pStyle w:val="A-"/>
            </w:pPr>
            <w:r>
              <w:t>500</w:t>
            </w:r>
          </w:p>
        </w:tc>
        <w:tc>
          <w:tcPr>
            <w:tcW w:w="2185" w:type="pct"/>
            <w:shd w:val="clear" w:color="auto" w:fill="auto"/>
            <w:noWrap/>
            <w:tcMar>
              <w:top w:w="15" w:type="dxa"/>
              <w:left w:w="15" w:type="dxa"/>
              <w:bottom w:w="0" w:type="dxa"/>
              <w:right w:w="15" w:type="dxa"/>
            </w:tcMar>
            <w:vAlign w:val="center"/>
          </w:tcPr>
          <w:p w14:paraId="78A41E8D" w14:textId="77777777" w:rsidR="002E474C" w:rsidRDefault="00000000">
            <w:pPr>
              <w:pStyle w:val="A-"/>
            </w:pPr>
            <w:r>
              <w:t>1.0</w:t>
            </w:r>
          </w:p>
        </w:tc>
      </w:tr>
      <w:tr w:rsidR="002E474C" w14:paraId="328C2DB8" w14:textId="77777777">
        <w:trPr>
          <w:jc w:val="center"/>
        </w:trPr>
        <w:tc>
          <w:tcPr>
            <w:tcW w:w="1200" w:type="pct"/>
            <w:shd w:val="clear" w:color="auto" w:fill="auto"/>
            <w:noWrap/>
            <w:tcMar>
              <w:top w:w="15" w:type="dxa"/>
              <w:left w:w="15" w:type="dxa"/>
              <w:bottom w:w="0" w:type="dxa"/>
              <w:right w:w="15" w:type="dxa"/>
            </w:tcMar>
            <w:vAlign w:val="center"/>
          </w:tcPr>
          <w:p w14:paraId="4D0E8AE6" w14:textId="77777777" w:rsidR="002E474C" w:rsidRDefault="00000000">
            <w:pPr>
              <w:pStyle w:val="A-"/>
            </w:pPr>
            <w:r>
              <w:t>锰（</w:t>
            </w:r>
            <w:r>
              <w:t>Mn</w:t>
            </w:r>
            <w:r>
              <w:t>）</w:t>
            </w:r>
          </w:p>
        </w:tc>
        <w:tc>
          <w:tcPr>
            <w:tcW w:w="1615" w:type="pct"/>
            <w:vAlign w:val="center"/>
          </w:tcPr>
          <w:p w14:paraId="41F36E39" w14:textId="77777777" w:rsidR="002E474C" w:rsidRDefault="00000000">
            <w:pPr>
              <w:pStyle w:val="A-"/>
            </w:pPr>
            <w:r>
              <w:t>600</w:t>
            </w:r>
          </w:p>
        </w:tc>
        <w:tc>
          <w:tcPr>
            <w:tcW w:w="2185" w:type="pct"/>
            <w:shd w:val="clear" w:color="auto" w:fill="auto"/>
            <w:noWrap/>
            <w:tcMar>
              <w:top w:w="15" w:type="dxa"/>
              <w:left w:w="15" w:type="dxa"/>
              <w:bottom w:w="0" w:type="dxa"/>
              <w:right w:w="15" w:type="dxa"/>
            </w:tcMar>
            <w:vAlign w:val="center"/>
          </w:tcPr>
          <w:p w14:paraId="32D8644A" w14:textId="77777777" w:rsidR="002E474C" w:rsidRDefault="00000000">
            <w:pPr>
              <w:pStyle w:val="A-"/>
            </w:pPr>
            <w:r>
              <w:t>1.0</w:t>
            </w:r>
          </w:p>
        </w:tc>
      </w:tr>
    </w:tbl>
    <w:p w14:paraId="46C2C695" w14:textId="77777777" w:rsidR="002E474C" w:rsidRDefault="002E474C"/>
    <w:p w14:paraId="5DFEE902" w14:textId="77777777" w:rsidR="002E474C" w:rsidRDefault="00000000">
      <w:pPr>
        <w:pStyle w:val="A-z"/>
        <w:rPr>
          <w:color w:val="auto"/>
        </w:rPr>
      </w:pPr>
      <w:r>
        <w:rPr>
          <w:rFonts w:hint="eastAsia"/>
          <w:color w:val="auto"/>
        </w:rPr>
        <w:t>4</w:t>
      </w:r>
      <w:r>
        <w:rPr>
          <w:rFonts w:hint="eastAsia"/>
          <w:color w:val="auto"/>
        </w:rPr>
        <w:t>）</w:t>
      </w:r>
      <w:r>
        <w:rPr>
          <w:color w:val="auto"/>
        </w:rPr>
        <w:t>根据《硅酸盐水泥熟料》（</w:t>
      </w:r>
      <w:r>
        <w:rPr>
          <w:color w:val="auto"/>
        </w:rPr>
        <w:t>GB/T21372-2024</w:t>
      </w:r>
      <w:r>
        <w:rPr>
          <w:color w:val="auto"/>
        </w:rPr>
        <w:t>），硅酸盐水泥熟料的基本化学成分要求，见表</w:t>
      </w:r>
      <w:r>
        <w:rPr>
          <w:color w:val="auto"/>
        </w:rPr>
        <w:t>3.4-6</w:t>
      </w:r>
      <w:r>
        <w:rPr>
          <w:color w:val="auto"/>
        </w:rPr>
        <w:t>。</w:t>
      </w:r>
    </w:p>
    <w:p w14:paraId="173DEC89" w14:textId="77777777" w:rsidR="002E474C" w:rsidRDefault="00000000">
      <w:pPr>
        <w:pStyle w:val="A--"/>
        <w:rPr>
          <w:color w:val="auto"/>
        </w:rPr>
      </w:pPr>
      <w:bookmarkStart w:id="167" w:name="_Ref135305723"/>
      <w:r>
        <w:rPr>
          <w:color w:val="auto"/>
        </w:rPr>
        <w:t>表</w:t>
      </w:r>
      <w:bookmarkEnd w:id="167"/>
      <w:r>
        <w:rPr>
          <w:color w:val="auto"/>
        </w:rPr>
        <w:t xml:space="preserve">3.4-6  </w:t>
      </w:r>
      <w:r>
        <w:rPr>
          <w:color w:val="auto"/>
        </w:rPr>
        <w:t>硅酸盐水泥熟料的基本化学成分要求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091"/>
        <w:gridCol w:w="1194"/>
        <w:gridCol w:w="1194"/>
        <w:gridCol w:w="1034"/>
        <w:gridCol w:w="964"/>
        <w:gridCol w:w="836"/>
        <w:gridCol w:w="848"/>
      </w:tblGrid>
      <w:tr w:rsidR="002E474C" w14:paraId="0EEB520C" w14:textId="77777777">
        <w:tc>
          <w:tcPr>
            <w:tcW w:w="685" w:type="pct"/>
            <w:shd w:val="clear" w:color="auto" w:fill="auto"/>
            <w:noWrap/>
            <w:tcMar>
              <w:top w:w="15" w:type="dxa"/>
              <w:left w:w="15" w:type="dxa"/>
              <w:bottom w:w="0" w:type="dxa"/>
              <w:right w:w="15" w:type="dxa"/>
            </w:tcMar>
            <w:vAlign w:val="center"/>
          </w:tcPr>
          <w:p w14:paraId="3DA81272" w14:textId="77777777" w:rsidR="002E474C" w:rsidRDefault="00000000">
            <w:pPr>
              <w:pStyle w:val="A-"/>
            </w:pPr>
            <w:r>
              <w:t>f-</w:t>
            </w:r>
            <w:proofErr w:type="spellStart"/>
            <w:r>
              <w:t>CaO</w:t>
            </w:r>
            <w:proofErr w:type="spellEnd"/>
            <w:r>
              <w:t>（质量分数）</w:t>
            </w:r>
            <w:r>
              <w:t>/%</w:t>
            </w:r>
          </w:p>
        </w:tc>
        <w:tc>
          <w:tcPr>
            <w:tcW w:w="657" w:type="pct"/>
            <w:shd w:val="clear" w:color="auto" w:fill="auto"/>
            <w:noWrap/>
            <w:tcMar>
              <w:top w:w="15" w:type="dxa"/>
              <w:left w:w="15" w:type="dxa"/>
              <w:bottom w:w="0" w:type="dxa"/>
              <w:right w:w="15" w:type="dxa"/>
            </w:tcMar>
            <w:vAlign w:val="center"/>
          </w:tcPr>
          <w:p w14:paraId="73D86E9C" w14:textId="77777777" w:rsidR="002E474C" w:rsidRDefault="00000000">
            <w:pPr>
              <w:pStyle w:val="A-"/>
            </w:pPr>
            <w:r>
              <w:t>MgO</w:t>
            </w:r>
            <w:r>
              <w:t>（质量分数）</w:t>
            </w:r>
            <w:r>
              <w:t>/%</w:t>
            </w:r>
          </w:p>
        </w:tc>
        <w:tc>
          <w:tcPr>
            <w:tcW w:w="719" w:type="pct"/>
            <w:shd w:val="clear" w:color="auto" w:fill="auto"/>
            <w:noWrap/>
            <w:tcMar>
              <w:top w:w="15" w:type="dxa"/>
              <w:left w:w="15" w:type="dxa"/>
              <w:bottom w:w="0" w:type="dxa"/>
              <w:right w:w="15" w:type="dxa"/>
            </w:tcMar>
            <w:vAlign w:val="center"/>
          </w:tcPr>
          <w:p w14:paraId="511856A6" w14:textId="77777777" w:rsidR="002E474C" w:rsidRDefault="00000000">
            <w:pPr>
              <w:pStyle w:val="A-"/>
            </w:pPr>
            <w:r>
              <w:t>烧失量（质量分数）</w:t>
            </w:r>
            <w:r>
              <w:t>/%</w:t>
            </w:r>
          </w:p>
        </w:tc>
        <w:tc>
          <w:tcPr>
            <w:tcW w:w="719" w:type="pct"/>
            <w:shd w:val="clear" w:color="auto" w:fill="auto"/>
            <w:noWrap/>
            <w:tcMar>
              <w:top w:w="15" w:type="dxa"/>
              <w:left w:w="15" w:type="dxa"/>
              <w:bottom w:w="0" w:type="dxa"/>
              <w:right w:w="15" w:type="dxa"/>
            </w:tcMar>
            <w:vAlign w:val="center"/>
          </w:tcPr>
          <w:p w14:paraId="2DC10170" w14:textId="77777777" w:rsidR="002E474C" w:rsidRDefault="00000000">
            <w:pPr>
              <w:pStyle w:val="A-"/>
            </w:pPr>
            <w:r>
              <w:t>不溶物（质量分数）</w:t>
            </w:r>
            <w:r>
              <w:t>/%</w:t>
            </w:r>
          </w:p>
        </w:tc>
        <w:tc>
          <w:tcPr>
            <w:tcW w:w="623" w:type="pct"/>
            <w:shd w:val="clear" w:color="auto" w:fill="auto"/>
            <w:noWrap/>
            <w:tcMar>
              <w:top w:w="15" w:type="dxa"/>
              <w:left w:w="15" w:type="dxa"/>
              <w:bottom w:w="0" w:type="dxa"/>
              <w:right w:w="15" w:type="dxa"/>
            </w:tcMar>
            <w:vAlign w:val="center"/>
          </w:tcPr>
          <w:p w14:paraId="6060E513" w14:textId="77777777" w:rsidR="002E474C" w:rsidRDefault="00000000">
            <w:pPr>
              <w:pStyle w:val="A-"/>
            </w:pPr>
            <w:r>
              <w:t>SO</w:t>
            </w:r>
            <w:r>
              <w:rPr>
                <w:vertAlign w:val="subscript"/>
              </w:rPr>
              <w:t>3</w:t>
            </w:r>
            <w:r>
              <w:t>（质量分数）</w:t>
            </w:r>
            <w:r>
              <w:t>/%</w:t>
            </w:r>
          </w:p>
        </w:tc>
        <w:tc>
          <w:tcPr>
            <w:tcW w:w="581" w:type="pct"/>
            <w:shd w:val="clear" w:color="auto" w:fill="auto"/>
            <w:noWrap/>
            <w:tcMar>
              <w:top w:w="15" w:type="dxa"/>
              <w:left w:w="15" w:type="dxa"/>
              <w:bottom w:w="0" w:type="dxa"/>
              <w:right w:w="15" w:type="dxa"/>
            </w:tcMar>
            <w:vAlign w:val="center"/>
          </w:tcPr>
          <w:p w14:paraId="0040FD5F" w14:textId="77777777" w:rsidR="002E474C" w:rsidRDefault="00000000">
            <w:pPr>
              <w:pStyle w:val="A-"/>
            </w:pPr>
            <w:r>
              <w:t>硅酸盐矿物含量</w:t>
            </w:r>
            <w:r>
              <w:t>/%</w:t>
            </w:r>
          </w:p>
        </w:tc>
        <w:tc>
          <w:tcPr>
            <w:tcW w:w="504" w:type="pct"/>
            <w:shd w:val="clear" w:color="auto" w:fill="auto"/>
            <w:noWrap/>
            <w:tcMar>
              <w:top w:w="15" w:type="dxa"/>
              <w:left w:w="15" w:type="dxa"/>
              <w:bottom w:w="0" w:type="dxa"/>
              <w:right w:w="15" w:type="dxa"/>
            </w:tcMar>
            <w:vAlign w:val="center"/>
          </w:tcPr>
          <w:p w14:paraId="5844D577" w14:textId="77777777" w:rsidR="002E474C" w:rsidRDefault="00000000">
            <w:pPr>
              <w:pStyle w:val="A-"/>
            </w:pPr>
            <w:proofErr w:type="spellStart"/>
            <w:r>
              <w:t>CaO</w:t>
            </w:r>
            <w:proofErr w:type="spellEnd"/>
            <w:r>
              <w:t>/SiO</w:t>
            </w:r>
            <w:r>
              <w:rPr>
                <w:vertAlign w:val="subscript"/>
              </w:rPr>
              <w:t>2</w:t>
            </w:r>
            <w:r>
              <w:t>质量比</w:t>
            </w:r>
          </w:p>
        </w:tc>
        <w:tc>
          <w:tcPr>
            <w:tcW w:w="512" w:type="pct"/>
            <w:shd w:val="clear" w:color="auto" w:fill="auto"/>
            <w:noWrap/>
            <w:tcMar>
              <w:top w:w="15" w:type="dxa"/>
              <w:left w:w="15" w:type="dxa"/>
              <w:bottom w:w="0" w:type="dxa"/>
              <w:right w:w="15" w:type="dxa"/>
            </w:tcMar>
            <w:vAlign w:val="center"/>
          </w:tcPr>
          <w:p w14:paraId="63BE19A9" w14:textId="77777777" w:rsidR="002E474C" w:rsidRDefault="00000000">
            <w:pPr>
              <w:pStyle w:val="A-"/>
            </w:pPr>
            <w:r>
              <w:t>数据来源</w:t>
            </w:r>
          </w:p>
        </w:tc>
      </w:tr>
      <w:tr w:rsidR="002E474C" w14:paraId="195B247D" w14:textId="77777777">
        <w:tc>
          <w:tcPr>
            <w:tcW w:w="685" w:type="pct"/>
            <w:shd w:val="clear" w:color="auto" w:fill="auto"/>
            <w:noWrap/>
            <w:tcMar>
              <w:top w:w="15" w:type="dxa"/>
              <w:left w:w="15" w:type="dxa"/>
              <w:bottom w:w="0" w:type="dxa"/>
              <w:right w:w="15" w:type="dxa"/>
            </w:tcMar>
            <w:vAlign w:val="center"/>
          </w:tcPr>
          <w:p w14:paraId="74B74E2E" w14:textId="77777777" w:rsidR="002E474C" w:rsidRDefault="00000000">
            <w:pPr>
              <w:pStyle w:val="A-"/>
            </w:pPr>
            <w:r>
              <w:t>≤1.5</w:t>
            </w:r>
          </w:p>
        </w:tc>
        <w:tc>
          <w:tcPr>
            <w:tcW w:w="657" w:type="pct"/>
            <w:shd w:val="clear" w:color="auto" w:fill="auto"/>
            <w:noWrap/>
            <w:tcMar>
              <w:top w:w="15" w:type="dxa"/>
              <w:left w:w="15" w:type="dxa"/>
              <w:bottom w:w="0" w:type="dxa"/>
              <w:right w:w="15" w:type="dxa"/>
            </w:tcMar>
            <w:vAlign w:val="center"/>
          </w:tcPr>
          <w:p w14:paraId="373F20EA" w14:textId="77777777" w:rsidR="002E474C" w:rsidRDefault="00000000">
            <w:pPr>
              <w:pStyle w:val="A-"/>
            </w:pPr>
            <w:r>
              <w:t>≤5.0</w:t>
            </w:r>
          </w:p>
        </w:tc>
        <w:tc>
          <w:tcPr>
            <w:tcW w:w="719" w:type="pct"/>
            <w:shd w:val="clear" w:color="auto" w:fill="auto"/>
            <w:noWrap/>
            <w:tcMar>
              <w:top w:w="15" w:type="dxa"/>
              <w:left w:w="15" w:type="dxa"/>
              <w:bottom w:w="0" w:type="dxa"/>
              <w:right w:w="15" w:type="dxa"/>
            </w:tcMar>
            <w:vAlign w:val="center"/>
          </w:tcPr>
          <w:p w14:paraId="0BDE818F" w14:textId="77777777" w:rsidR="002E474C" w:rsidRDefault="00000000">
            <w:pPr>
              <w:pStyle w:val="A-"/>
            </w:pPr>
            <w:r>
              <w:t>≤1.0</w:t>
            </w:r>
          </w:p>
        </w:tc>
        <w:tc>
          <w:tcPr>
            <w:tcW w:w="719" w:type="pct"/>
            <w:shd w:val="clear" w:color="auto" w:fill="auto"/>
            <w:noWrap/>
            <w:tcMar>
              <w:top w:w="15" w:type="dxa"/>
              <w:left w:w="15" w:type="dxa"/>
              <w:bottom w:w="0" w:type="dxa"/>
              <w:right w:w="15" w:type="dxa"/>
            </w:tcMar>
            <w:vAlign w:val="center"/>
          </w:tcPr>
          <w:p w14:paraId="721D088A" w14:textId="77777777" w:rsidR="002E474C" w:rsidRDefault="00000000">
            <w:pPr>
              <w:pStyle w:val="A-"/>
            </w:pPr>
            <w:r>
              <w:t>≤0.5</w:t>
            </w:r>
          </w:p>
        </w:tc>
        <w:tc>
          <w:tcPr>
            <w:tcW w:w="623" w:type="pct"/>
            <w:shd w:val="clear" w:color="auto" w:fill="auto"/>
            <w:noWrap/>
            <w:tcMar>
              <w:top w:w="15" w:type="dxa"/>
              <w:left w:w="15" w:type="dxa"/>
              <w:bottom w:w="0" w:type="dxa"/>
              <w:right w:w="15" w:type="dxa"/>
            </w:tcMar>
            <w:vAlign w:val="center"/>
          </w:tcPr>
          <w:p w14:paraId="5EDD7BCF" w14:textId="77777777" w:rsidR="002E474C" w:rsidRDefault="00000000">
            <w:pPr>
              <w:pStyle w:val="A-"/>
            </w:pPr>
            <w:r>
              <w:t>≤1.5</w:t>
            </w:r>
          </w:p>
        </w:tc>
        <w:tc>
          <w:tcPr>
            <w:tcW w:w="581" w:type="pct"/>
            <w:shd w:val="clear" w:color="auto" w:fill="auto"/>
            <w:noWrap/>
            <w:tcMar>
              <w:top w:w="15" w:type="dxa"/>
              <w:left w:w="15" w:type="dxa"/>
              <w:bottom w:w="0" w:type="dxa"/>
              <w:right w:w="15" w:type="dxa"/>
            </w:tcMar>
            <w:vAlign w:val="center"/>
          </w:tcPr>
          <w:p w14:paraId="71E3A0C5" w14:textId="77777777" w:rsidR="002E474C" w:rsidRDefault="00000000">
            <w:pPr>
              <w:pStyle w:val="A-"/>
            </w:pPr>
            <w:r>
              <w:t>≥66</w:t>
            </w:r>
          </w:p>
        </w:tc>
        <w:tc>
          <w:tcPr>
            <w:tcW w:w="504" w:type="pct"/>
            <w:shd w:val="clear" w:color="auto" w:fill="auto"/>
            <w:noWrap/>
            <w:tcMar>
              <w:top w:w="15" w:type="dxa"/>
              <w:left w:w="15" w:type="dxa"/>
              <w:bottom w:w="0" w:type="dxa"/>
              <w:right w:w="15" w:type="dxa"/>
            </w:tcMar>
            <w:vAlign w:val="center"/>
          </w:tcPr>
          <w:p w14:paraId="449B86F9" w14:textId="77777777" w:rsidR="002E474C" w:rsidRDefault="00000000">
            <w:pPr>
              <w:pStyle w:val="A-"/>
            </w:pPr>
            <w:r>
              <w:t>≥2.0</w:t>
            </w:r>
          </w:p>
        </w:tc>
        <w:tc>
          <w:tcPr>
            <w:tcW w:w="512" w:type="pct"/>
            <w:shd w:val="clear" w:color="auto" w:fill="auto"/>
            <w:noWrap/>
            <w:tcMar>
              <w:top w:w="15" w:type="dxa"/>
              <w:left w:w="15" w:type="dxa"/>
              <w:bottom w:w="0" w:type="dxa"/>
              <w:right w:w="15" w:type="dxa"/>
            </w:tcMar>
            <w:vAlign w:val="center"/>
          </w:tcPr>
          <w:p w14:paraId="1D95DD65" w14:textId="77777777" w:rsidR="002E474C" w:rsidRDefault="00000000">
            <w:pPr>
              <w:pStyle w:val="A-"/>
            </w:pPr>
            <w:r>
              <w:t>GB/T21372-2024</w:t>
            </w:r>
          </w:p>
        </w:tc>
      </w:tr>
      <w:bookmarkEnd w:id="165"/>
    </w:tbl>
    <w:p w14:paraId="58939D1C" w14:textId="77777777" w:rsidR="002E474C" w:rsidRDefault="002E474C"/>
    <w:p w14:paraId="6ABDB461" w14:textId="77777777" w:rsidR="002E474C" w:rsidRDefault="00000000">
      <w:pPr>
        <w:pStyle w:val="A-z"/>
        <w:rPr>
          <w:color w:val="auto"/>
        </w:rPr>
      </w:pPr>
      <w:bookmarkStart w:id="168" w:name="_Ref152062738"/>
      <w:r>
        <w:rPr>
          <w:color w:val="auto"/>
        </w:rPr>
        <w:t>综上，</w:t>
      </w:r>
      <w:r>
        <w:rPr>
          <w:rFonts w:hint="eastAsia"/>
          <w:color w:val="auto"/>
        </w:rPr>
        <w:t>本项目投运后，在严格执行</w:t>
      </w:r>
      <w:r>
        <w:rPr>
          <w:rFonts w:eastAsia="宋体"/>
          <w:color w:val="auto"/>
        </w:rPr>
        <w:t>《水泥窑协同处置危险废物经营许可证审查指南（试行）》</w:t>
      </w:r>
      <w:r>
        <w:rPr>
          <w:color w:val="auto"/>
        </w:rPr>
        <w:t>《水泥窑协同处置固体废物环境保护技术规范》（</w:t>
      </w:r>
      <w:r>
        <w:rPr>
          <w:color w:val="auto"/>
        </w:rPr>
        <w:t>HJ662-2013</w:t>
      </w:r>
      <w:r>
        <w:rPr>
          <w:color w:val="auto"/>
        </w:rPr>
        <w:t>）</w:t>
      </w:r>
      <w:r>
        <w:rPr>
          <w:rFonts w:hint="eastAsia"/>
          <w:color w:val="auto"/>
        </w:rPr>
        <w:t>、</w:t>
      </w:r>
      <w:r>
        <w:rPr>
          <w:color w:val="auto"/>
        </w:rPr>
        <w:lastRenderedPageBreak/>
        <w:t>《水泥窑协同处置固体废物技术规范》（</w:t>
      </w:r>
      <w:r>
        <w:rPr>
          <w:color w:val="auto"/>
        </w:rPr>
        <w:t>GB/T30760-2024</w:t>
      </w:r>
      <w:r>
        <w:rPr>
          <w:color w:val="auto"/>
        </w:rPr>
        <w:t>）</w:t>
      </w:r>
      <w:r>
        <w:rPr>
          <w:rFonts w:hint="eastAsia"/>
          <w:color w:val="auto"/>
        </w:rPr>
        <w:t>等相关规范的前提下，水泥窑生产的熟料</w:t>
      </w:r>
      <w:r>
        <w:rPr>
          <w:color w:val="auto"/>
        </w:rPr>
        <w:t>质量</w:t>
      </w:r>
      <w:r>
        <w:rPr>
          <w:rFonts w:hint="eastAsia"/>
          <w:color w:val="auto"/>
        </w:rPr>
        <w:t>满足</w:t>
      </w:r>
      <w:r>
        <w:rPr>
          <w:color w:val="auto"/>
        </w:rPr>
        <w:t>《硅酸盐水泥熟料》（</w:t>
      </w:r>
      <w:r>
        <w:rPr>
          <w:color w:val="auto"/>
        </w:rPr>
        <w:t>GB/T21372-2024</w:t>
      </w:r>
      <w:r>
        <w:rPr>
          <w:color w:val="auto"/>
        </w:rPr>
        <w:t>）</w:t>
      </w:r>
      <w:r>
        <w:rPr>
          <w:rFonts w:hint="eastAsia"/>
          <w:color w:val="auto"/>
        </w:rPr>
        <w:t>，厂内</w:t>
      </w:r>
      <w:r>
        <w:rPr>
          <w:color w:val="auto"/>
        </w:rPr>
        <w:t>生产的水泥质量满足《通用硅酸盐水泥》（</w:t>
      </w:r>
      <w:r>
        <w:rPr>
          <w:color w:val="auto"/>
        </w:rPr>
        <w:t>GB175-2023</w:t>
      </w:r>
      <w:r>
        <w:rPr>
          <w:color w:val="auto"/>
        </w:rPr>
        <w:t>）的要求</w:t>
      </w:r>
      <w:r>
        <w:rPr>
          <w:rFonts w:hint="eastAsia"/>
          <w:color w:val="auto"/>
        </w:rPr>
        <w:t>，</w:t>
      </w:r>
      <w:r>
        <w:rPr>
          <w:color w:val="auto"/>
        </w:rPr>
        <w:t>拟协同处置的危险废物对</w:t>
      </w:r>
      <w:r>
        <w:rPr>
          <w:rFonts w:hint="eastAsia"/>
          <w:color w:val="auto"/>
        </w:rPr>
        <w:t>熟料及</w:t>
      </w:r>
      <w:r>
        <w:rPr>
          <w:color w:val="auto"/>
        </w:rPr>
        <w:t>水泥</w:t>
      </w:r>
      <w:r>
        <w:rPr>
          <w:rFonts w:hint="eastAsia"/>
          <w:color w:val="auto"/>
        </w:rPr>
        <w:t>的</w:t>
      </w:r>
      <w:r>
        <w:rPr>
          <w:color w:val="auto"/>
        </w:rPr>
        <w:t>产量及质量影响不大。</w:t>
      </w:r>
    </w:p>
    <w:bookmarkEnd w:id="168"/>
    <w:p w14:paraId="24763594" w14:textId="77777777" w:rsidR="002E474C" w:rsidRDefault="00000000">
      <w:pPr>
        <w:pStyle w:val="31"/>
        <w:spacing w:before="120" w:after="120"/>
        <w:rPr>
          <w:color w:val="auto"/>
        </w:rPr>
      </w:pPr>
      <w:r>
        <w:rPr>
          <w:color w:val="auto"/>
        </w:rPr>
        <w:t>危险废物入窑前的配伍方案设计</w:t>
      </w:r>
    </w:p>
    <w:p w14:paraId="65F22490" w14:textId="77777777" w:rsidR="002E474C" w:rsidRDefault="00000000">
      <w:pPr>
        <w:pStyle w:val="A-z"/>
        <w:rPr>
          <w:color w:val="auto"/>
        </w:rPr>
      </w:pPr>
      <w:r>
        <w:rPr>
          <w:color w:val="auto"/>
        </w:rPr>
        <w:t>在安全有效处置危险废物的同时，要保障窑况稳定，产品质量，排放达标，保证人身安全，根据《</w:t>
      </w:r>
      <w:r>
        <w:rPr>
          <w:rFonts w:hint="eastAsia"/>
          <w:color w:val="auto"/>
        </w:rPr>
        <w:t>水泥窑协同处置危险废物经营许可证审查指南（试行）</w:t>
      </w:r>
      <w:r>
        <w:rPr>
          <w:color w:val="auto"/>
        </w:rPr>
        <w:t>》、《水泥窑协同处置固体废物环境保护技术规范》（</w:t>
      </w:r>
      <w:r>
        <w:rPr>
          <w:color w:val="auto"/>
        </w:rPr>
        <w:t>HJ662</w:t>
      </w:r>
      <w:r>
        <w:rPr>
          <w:color w:val="auto"/>
        </w:rPr>
        <w:t>）、《水泥窑协同处置固体废物技术规范》（</w:t>
      </w:r>
      <w:r>
        <w:rPr>
          <w:color w:val="auto"/>
          <w:spacing w:val="-6"/>
        </w:rPr>
        <w:t>GB/T30760</w:t>
      </w:r>
      <w:r>
        <w:rPr>
          <w:color w:val="auto"/>
        </w:rPr>
        <w:t>）、《水泥工业大气污染物排放标准》（</w:t>
      </w:r>
      <w:r>
        <w:rPr>
          <w:color w:val="auto"/>
        </w:rPr>
        <w:t>GB4915</w:t>
      </w:r>
      <w:r>
        <w:rPr>
          <w:color w:val="auto"/>
        </w:rPr>
        <w:t>）等标准规范制定危险废物配伍指导方案。</w:t>
      </w:r>
    </w:p>
    <w:p w14:paraId="15719230" w14:textId="77777777" w:rsidR="002E474C" w:rsidRDefault="00000000">
      <w:pPr>
        <w:pStyle w:val="41"/>
        <w:rPr>
          <w:color w:val="auto"/>
        </w:rPr>
      </w:pPr>
      <w:r>
        <w:rPr>
          <w:color w:val="auto"/>
        </w:rPr>
        <w:t>物料配伍的主要原则</w:t>
      </w:r>
    </w:p>
    <w:p w14:paraId="4102082A" w14:textId="77777777" w:rsidR="002E474C" w:rsidRDefault="00000000">
      <w:pPr>
        <w:pStyle w:val="A-z"/>
        <w:rPr>
          <w:color w:val="auto"/>
        </w:rPr>
      </w:pPr>
      <w:r>
        <w:rPr>
          <w:color w:val="auto"/>
        </w:rPr>
        <w:t>（</w:t>
      </w:r>
      <w:r>
        <w:rPr>
          <w:color w:val="auto"/>
        </w:rPr>
        <w:t>1</w:t>
      </w:r>
      <w:r>
        <w:rPr>
          <w:color w:val="auto"/>
        </w:rPr>
        <w:t>）保持窑内焚烧的持续性、稳定性</w:t>
      </w:r>
    </w:p>
    <w:p w14:paraId="06000D1A" w14:textId="77777777" w:rsidR="002E474C" w:rsidRDefault="00000000">
      <w:pPr>
        <w:pStyle w:val="A-z"/>
        <w:rPr>
          <w:color w:val="auto"/>
        </w:rPr>
      </w:pPr>
      <w:r>
        <w:rPr>
          <w:color w:val="auto"/>
        </w:rPr>
        <w:t>对危险废物成分、热值进行搭配，保证成分均匀，热值稳定，从而保障窑内持续稳定的燃烧。</w:t>
      </w:r>
    </w:p>
    <w:p w14:paraId="4B0349C1" w14:textId="77777777" w:rsidR="002E474C" w:rsidRDefault="00000000">
      <w:pPr>
        <w:pStyle w:val="A-z"/>
        <w:rPr>
          <w:color w:val="auto"/>
        </w:rPr>
      </w:pPr>
      <w:r>
        <w:rPr>
          <w:color w:val="auto"/>
        </w:rPr>
        <w:t>（</w:t>
      </w:r>
      <w:r>
        <w:rPr>
          <w:color w:val="auto"/>
        </w:rPr>
        <w:t>2</w:t>
      </w:r>
      <w:r>
        <w:rPr>
          <w:color w:val="auto"/>
        </w:rPr>
        <w:t>）控制重金属、氯、硫、碱的含量</w:t>
      </w:r>
    </w:p>
    <w:p w14:paraId="58314A80" w14:textId="77777777" w:rsidR="002E474C" w:rsidRDefault="00000000">
      <w:pPr>
        <w:pStyle w:val="A-z"/>
        <w:rPr>
          <w:color w:val="auto"/>
        </w:rPr>
      </w:pPr>
      <w:r>
        <w:rPr>
          <w:color w:val="auto"/>
        </w:rPr>
        <w:t>结合考虑水泥原料、燃煤、协同处置危险废物对窑工况的影响，控制危险废物中重金属、氯、硫、碱元素含量投加速率，保障水泥产品符合</w:t>
      </w:r>
      <w:r>
        <w:rPr>
          <w:color w:val="auto"/>
          <w:spacing w:val="-6"/>
        </w:rPr>
        <w:t>GB/T30760</w:t>
      </w:r>
      <w:r>
        <w:rPr>
          <w:color w:val="auto"/>
        </w:rPr>
        <w:t>要求。</w:t>
      </w:r>
    </w:p>
    <w:p w14:paraId="76040516" w14:textId="77777777" w:rsidR="002E474C" w:rsidRDefault="00000000">
      <w:pPr>
        <w:pStyle w:val="A-z"/>
        <w:rPr>
          <w:color w:val="auto"/>
        </w:rPr>
      </w:pPr>
      <w:r>
        <w:rPr>
          <w:color w:val="auto"/>
        </w:rPr>
        <w:t>（</w:t>
      </w:r>
      <w:r>
        <w:rPr>
          <w:color w:val="auto"/>
        </w:rPr>
        <w:t>3</w:t>
      </w:r>
      <w:r>
        <w:rPr>
          <w:color w:val="auto"/>
        </w:rPr>
        <w:t>）排放控制达标</w:t>
      </w:r>
    </w:p>
    <w:p w14:paraId="13440F1C" w14:textId="77777777" w:rsidR="002E474C" w:rsidRDefault="00000000">
      <w:pPr>
        <w:pStyle w:val="A-z"/>
        <w:rPr>
          <w:color w:val="auto"/>
        </w:rPr>
      </w:pPr>
      <w:r>
        <w:rPr>
          <w:color w:val="auto"/>
        </w:rPr>
        <w:t>合理配伍，适量投加，保障窑尾氮氧化物、氯化氢、氟化氢和重金属的排放满足</w:t>
      </w:r>
      <w:r>
        <w:rPr>
          <w:color w:val="auto"/>
        </w:rPr>
        <w:t>GB4915</w:t>
      </w:r>
      <w:r>
        <w:rPr>
          <w:color w:val="auto"/>
        </w:rPr>
        <w:t>要求。</w:t>
      </w:r>
    </w:p>
    <w:p w14:paraId="3504713A" w14:textId="77777777" w:rsidR="002E474C" w:rsidRDefault="00000000">
      <w:pPr>
        <w:pStyle w:val="A-z"/>
        <w:rPr>
          <w:color w:val="auto"/>
        </w:rPr>
      </w:pPr>
      <w:r>
        <w:rPr>
          <w:color w:val="auto"/>
        </w:rPr>
        <w:t>（</w:t>
      </w:r>
      <w:r>
        <w:rPr>
          <w:color w:val="auto"/>
        </w:rPr>
        <w:t>4</w:t>
      </w:r>
      <w:r>
        <w:rPr>
          <w:color w:val="auto"/>
        </w:rPr>
        <w:t>）保障安全生产</w:t>
      </w:r>
    </w:p>
    <w:p w14:paraId="06787F90" w14:textId="77777777" w:rsidR="002E474C" w:rsidRDefault="00000000">
      <w:pPr>
        <w:pStyle w:val="A-z"/>
        <w:rPr>
          <w:color w:val="auto"/>
        </w:rPr>
      </w:pPr>
      <w:r>
        <w:rPr>
          <w:color w:val="auto"/>
        </w:rPr>
        <w:t>危险废物处置的全过程中，不仅要保证处置设施的安全，还要保障人身安全。根据分析、实验结果，科学搭配焚烧处置的废物，使得一些易混合发生反应的、爆炸的、高腐蚀性的得到预处理，另外必须保证废物与容器和料仓之间的相容性、安全性。</w:t>
      </w:r>
    </w:p>
    <w:p w14:paraId="57C26159" w14:textId="77777777" w:rsidR="002E474C" w:rsidRDefault="00000000">
      <w:pPr>
        <w:pStyle w:val="41"/>
        <w:rPr>
          <w:color w:val="auto"/>
        </w:rPr>
      </w:pPr>
      <w:r>
        <w:rPr>
          <w:color w:val="auto"/>
        </w:rPr>
        <w:t>物料配伍的依据</w:t>
      </w:r>
    </w:p>
    <w:p w14:paraId="571D6959" w14:textId="77777777" w:rsidR="002E474C" w:rsidRDefault="00000000">
      <w:pPr>
        <w:pStyle w:val="A-z"/>
        <w:rPr>
          <w:color w:val="auto"/>
        </w:rPr>
      </w:pPr>
      <w:r>
        <w:rPr>
          <w:color w:val="auto"/>
        </w:rPr>
        <w:t>配伍的主要依据是水泥原料、燃煤、危险废物的检测数据。检测项目一般包括热值、氯含量、重金属含量、烧失量、反应性、相容性、水分、挥发性。准入</w:t>
      </w:r>
      <w:r>
        <w:rPr>
          <w:color w:val="auto"/>
        </w:rPr>
        <w:lastRenderedPageBreak/>
        <w:t>人员根据入窑各物料的热值、元素检测数据和废物的种类及数量，考虑配伍效果，出具相应的处置方案。实验室每周按照实际生产比例对配伍后的物料进行取样检测，以验证配伍效果和掌握入窑废物的情况。</w:t>
      </w:r>
    </w:p>
    <w:p w14:paraId="1E5F6941" w14:textId="77777777" w:rsidR="002E474C" w:rsidRDefault="00000000">
      <w:pPr>
        <w:pStyle w:val="41"/>
        <w:rPr>
          <w:color w:val="auto"/>
        </w:rPr>
      </w:pPr>
      <w:r>
        <w:rPr>
          <w:color w:val="auto"/>
        </w:rPr>
        <w:t>物料配伍</w:t>
      </w:r>
    </w:p>
    <w:p w14:paraId="4D55A7FF" w14:textId="77777777" w:rsidR="002E474C" w:rsidRDefault="00000000">
      <w:pPr>
        <w:pStyle w:val="A-z"/>
        <w:rPr>
          <w:color w:val="auto"/>
        </w:rPr>
      </w:pPr>
      <w:r>
        <w:rPr>
          <w:rFonts w:eastAsia="宋体"/>
          <w:color w:val="auto"/>
        </w:rPr>
        <w:t>（</w:t>
      </w:r>
      <w:r>
        <w:rPr>
          <w:color w:val="auto"/>
        </w:rPr>
        <w:t>1</w:t>
      </w:r>
      <w:r>
        <w:rPr>
          <w:rFonts w:eastAsia="宋体"/>
          <w:color w:val="auto"/>
        </w:rPr>
        <w:t>）热值</w:t>
      </w:r>
    </w:p>
    <w:p w14:paraId="6A1AC31E" w14:textId="77777777" w:rsidR="002E474C" w:rsidRDefault="00000000">
      <w:pPr>
        <w:pStyle w:val="A-z"/>
        <w:rPr>
          <w:color w:val="auto"/>
        </w:rPr>
      </w:pPr>
      <w:r>
        <w:rPr>
          <w:rFonts w:eastAsia="宋体"/>
          <w:color w:val="auto"/>
        </w:rPr>
        <w:t>均衡废物的热值，保持热值稳定，使窑内热负荷控制设计规定的范围，保证系统运行的经济可靠。</w:t>
      </w:r>
    </w:p>
    <w:p w14:paraId="1FBC3BCE" w14:textId="77777777" w:rsidR="002E474C" w:rsidRDefault="00000000">
      <w:pPr>
        <w:pStyle w:val="A-z"/>
        <w:rPr>
          <w:color w:val="auto"/>
        </w:rPr>
      </w:pPr>
      <w:r>
        <w:rPr>
          <w:rFonts w:eastAsia="宋体"/>
          <w:color w:val="auto"/>
        </w:rPr>
        <w:t>（</w:t>
      </w:r>
      <w:r>
        <w:rPr>
          <w:color w:val="auto"/>
        </w:rPr>
        <w:t>2</w:t>
      </w:r>
      <w:r>
        <w:rPr>
          <w:rFonts w:eastAsia="宋体"/>
          <w:color w:val="auto"/>
        </w:rPr>
        <w:t>）有害元素投加</w:t>
      </w:r>
    </w:p>
    <w:p w14:paraId="134F0283" w14:textId="77777777" w:rsidR="002E474C" w:rsidRDefault="00000000">
      <w:pPr>
        <w:pStyle w:val="A-z"/>
        <w:rPr>
          <w:color w:val="auto"/>
        </w:rPr>
      </w:pPr>
      <w:r>
        <w:rPr>
          <w:rFonts w:eastAsia="宋体"/>
          <w:color w:val="auto"/>
        </w:rPr>
        <w:t>根据水泥企业实际情况，危险废物投加和常规燃料、常规原料、混合材中的重金属、氯、硫、氟含量总和符合《水泥窑协同处置危险废物环境保护技术规范》（</w:t>
      </w:r>
      <w:r>
        <w:rPr>
          <w:color w:val="auto"/>
        </w:rPr>
        <w:t>HJ662-2013</w:t>
      </w:r>
      <w:r>
        <w:rPr>
          <w:rFonts w:eastAsia="宋体"/>
          <w:color w:val="auto"/>
        </w:rPr>
        <w:t>）要求。</w:t>
      </w:r>
    </w:p>
    <w:p w14:paraId="592029AA" w14:textId="77777777" w:rsidR="002E474C" w:rsidRDefault="00000000">
      <w:pPr>
        <w:pStyle w:val="A-z"/>
        <w:rPr>
          <w:color w:val="auto"/>
        </w:rPr>
      </w:pPr>
      <w:r>
        <w:rPr>
          <w:rFonts w:eastAsia="宋体"/>
          <w:color w:val="auto"/>
        </w:rPr>
        <w:t>出具配伍方案的人员要随时掌握水泥厂原、燃料及混合材检测数据，形成配伍的本底值数据，任何一种材料的供应商、产地发生变化时，要根据新的检测数据及时调整配伍方案。</w:t>
      </w:r>
    </w:p>
    <w:p w14:paraId="41EB42F0" w14:textId="77777777" w:rsidR="002E474C" w:rsidRDefault="00000000">
      <w:pPr>
        <w:pStyle w:val="A-z"/>
        <w:rPr>
          <w:color w:val="auto"/>
        </w:rPr>
      </w:pPr>
      <w:r>
        <w:rPr>
          <w:rFonts w:eastAsia="宋体"/>
          <w:color w:val="auto"/>
        </w:rPr>
        <w:t>本项目分析化验与质量控制工作依托吉木萨尔协同处置项目预处理中心分析化验室。实验室应将物料检测分析单于取样后三日内交给准入人员，准入人员制定焚烧处置方案并将废物分析单和处置方案同时交给处置车间主管人员。</w:t>
      </w:r>
    </w:p>
    <w:p w14:paraId="7973C567" w14:textId="77777777" w:rsidR="002E474C" w:rsidRDefault="00000000">
      <w:pPr>
        <w:pStyle w:val="A-z"/>
        <w:rPr>
          <w:color w:val="auto"/>
          <w:szCs w:val="24"/>
        </w:rPr>
      </w:pPr>
      <w:r>
        <w:rPr>
          <w:rFonts w:eastAsia="宋体"/>
          <w:color w:val="auto"/>
          <w:szCs w:val="24"/>
        </w:rPr>
        <w:t>（</w:t>
      </w:r>
      <w:r>
        <w:rPr>
          <w:color w:val="auto"/>
          <w:szCs w:val="24"/>
        </w:rPr>
        <w:t>4</w:t>
      </w:r>
      <w:r>
        <w:rPr>
          <w:rFonts w:eastAsia="宋体"/>
          <w:color w:val="auto"/>
          <w:szCs w:val="24"/>
        </w:rPr>
        <w:t>）计算方法</w:t>
      </w:r>
    </w:p>
    <w:p w14:paraId="696906E9" w14:textId="77777777" w:rsidR="002E474C" w:rsidRDefault="00000000">
      <w:pPr>
        <w:pStyle w:val="A-z"/>
        <w:rPr>
          <w:color w:val="auto"/>
        </w:rPr>
      </w:pPr>
      <w:r>
        <w:rPr>
          <w:rFonts w:eastAsia="宋体"/>
          <w:color w:val="auto"/>
        </w:rPr>
        <w:t>根据生产实际，建立模型，应用</w:t>
      </w:r>
      <w:bookmarkStart w:id="169" w:name="OLE_LINK68"/>
      <w:r>
        <w:rPr>
          <w:color w:val="auto"/>
        </w:rPr>
        <w:t>Excel</w:t>
      </w:r>
      <w:bookmarkEnd w:id="169"/>
      <w:r>
        <w:rPr>
          <w:rFonts w:eastAsia="宋体"/>
          <w:color w:val="auto"/>
        </w:rPr>
        <w:t>软件及其</w:t>
      </w:r>
      <w:r>
        <w:rPr>
          <w:color w:val="auto"/>
        </w:rPr>
        <w:t>“</w:t>
      </w:r>
      <w:r>
        <w:rPr>
          <w:rFonts w:eastAsia="宋体"/>
          <w:color w:val="auto"/>
        </w:rPr>
        <w:t>规划求解</w:t>
      </w:r>
      <w:r>
        <w:rPr>
          <w:color w:val="auto"/>
        </w:rPr>
        <w:t>”</w:t>
      </w:r>
      <w:r>
        <w:rPr>
          <w:rFonts w:eastAsia="宋体"/>
          <w:color w:val="auto"/>
        </w:rPr>
        <w:t>工具进行重金属配料计算，首先建立计算模板，包括模板设计、公式编写、函数调用、规划求解；然后进行模板调试应用，输入水泥窑数据和已知的生料、燃料、混合材及不同危险废物重金属含量，利用配料模板计算出各危险废物废物的比例。</w:t>
      </w:r>
    </w:p>
    <w:p w14:paraId="7D3B1AA4" w14:textId="77777777" w:rsidR="002E474C" w:rsidRDefault="00000000">
      <w:pPr>
        <w:pStyle w:val="A-z"/>
        <w:rPr>
          <w:color w:val="auto"/>
          <w:szCs w:val="24"/>
        </w:rPr>
      </w:pPr>
      <w:r>
        <w:rPr>
          <w:rFonts w:eastAsia="宋体"/>
          <w:color w:val="auto"/>
          <w:szCs w:val="24"/>
        </w:rPr>
        <w:t>水泥窑处置多种重金属、多种固废，计算过程会涉及到重金属之间的协同控制，比如</w:t>
      </w:r>
      <w:r>
        <w:rPr>
          <w:color w:val="auto"/>
          <w:szCs w:val="24"/>
        </w:rPr>
        <w:t>“</w:t>
      </w:r>
      <w:r>
        <w:rPr>
          <w:rFonts w:eastAsia="宋体"/>
          <w:color w:val="auto"/>
          <w:szCs w:val="24"/>
        </w:rPr>
        <w:t>铊</w:t>
      </w:r>
      <w:r>
        <w:rPr>
          <w:color w:val="auto"/>
          <w:szCs w:val="24"/>
        </w:rPr>
        <w:t>+</w:t>
      </w:r>
      <w:r>
        <w:rPr>
          <w:rFonts w:eastAsia="宋体"/>
          <w:color w:val="auto"/>
          <w:szCs w:val="24"/>
        </w:rPr>
        <w:t>镉</w:t>
      </w:r>
      <w:r>
        <w:rPr>
          <w:color w:val="auto"/>
          <w:szCs w:val="24"/>
        </w:rPr>
        <w:t>+</w:t>
      </w:r>
      <w:r>
        <w:rPr>
          <w:rFonts w:eastAsia="宋体"/>
          <w:color w:val="auto"/>
          <w:szCs w:val="24"/>
        </w:rPr>
        <w:t>铅</w:t>
      </w:r>
      <w:r>
        <w:rPr>
          <w:color w:val="auto"/>
          <w:szCs w:val="24"/>
        </w:rPr>
        <w:t>+15×</w:t>
      </w:r>
      <w:r>
        <w:rPr>
          <w:rFonts w:eastAsia="宋体"/>
          <w:color w:val="auto"/>
          <w:szCs w:val="24"/>
        </w:rPr>
        <w:t>砷（</w:t>
      </w:r>
      <w:r>
        <w:rPr>
          <w:color w:val="auto"/>
          <w:szCs w:val="24"/>
        </w:rPr>
        <w:t>T</w:t>
      </w:r>
      <w:r>
        <w:rPr>
          <w:rFonts w:hint="eastAsia"/>
          <w:color w:val="auto"/>
          <w:szCs w:val="24"/>
          <w:lang w:val="en-US"/>
        </w:rPr>
        <w:t>l</w:t>
      </w:r>
      <w:r>
        <w:rPr>
          <w:color w:val="auto"/>
          <w:szCs w:val="24"/>
        </w:rPr>
        <w:t>+Cd+Pb+15×As</w:t>
      </w:r>
      <w:r>
        <w:rPr>
          <w:rFonts w:eastAsia="宋体"/>
          <w:color w:val="auto"/>
          <w:szCs w:val="24"/>
        </w:rPr>
        <w:t>）</w:t>
      </w:r>
      <w:r>
        <w:rPr>
          <w:color w:val="auto"/>
          <w:szCs w:val="24"/>
        </w:rPr>
        <w:t>”</w:t>
      </w:r>
      <w:r>
        <w:rPr>
          <w:rFonts w:eastAsia="宋体"/>
          <w:color w:val="auto"/>
          <w:szCs w:val="24"/>
        </w:rPr>
        <w:t>总量不超过</w:t>
      </w:r>
      <w:r>
        <w:rPr>
          <w:color w:val="auto"/>
          <w:szCs w:val="24"/>
        </w:rPr>
        <w:t>230mg/kg-cli</w:t>
      </w:r>
      <w:r>
        <w:rPr>
          <w:rFonts w:eastAsia="宋体"/>
          <w:color w:val="auto"/>
          <w:szCs w:val="24"/>
        </w:rPr>
        <w:t>等。</w:t>
      </w:r>
    </w:p>
    <w:p w14:paraId="5F7A0B66" w14:textId="77777777" w:rsidR="002E474C" w:rsidRDefault="00000000">
      <w:pPr>
        <w:pStyle w:val="A-z"/>
        <w:rPr>
          <w:color w:val="auto"/>
          <w:szCs w:val="24"/>
        </w:rPr>
      </w:pPr>
      <w:r>
        <w:rPr>
          <w:rFonts w:eastAsia="宋体"/>
          <w:color w:val="auto"/>
          <w:szCs w:val="24"/>
        </w:rPr>
        <w:t>配伍计算模型选定标准中要求控制的所有汞、铊、镉、铅、砷、铍、铬、锡、锑、铜、锰、镍、钒、锌、钼等</w:t>
      </w:r>
      <w:r>
        <w:rPr>
          <w:color w:val="auto"/>
          <w:szCs w:val="24"/>
        </w:rPr>
        <w:t>15</w:t>
      </w:r>
      <w:r>
        <w:rPr>
          <w:rFonts w:eastAsia="宋体"/>
          <w:color w:val="auto"/>
          <w:szCs w:val="24"/>
        </w:rPr>
        <w:t>种重金属，在</w:t>
      </w:r>
      <w:r>
        <w:rPr>
          <w:color w:val="auto"/>
          <w:szCs w:val="24"/>
        </w:rPr>
        <w:t>Excel</w:t>
      </w:r>
      <w:r>
        <w:rPr>
          <w:rFonts w:eastAsia="宋体"/>
          <w:color w:val="auto"/>
          <w:szCs w:val="24"/>
        </w:rPr>
        <w:t>中主要包括三套表，分别命名为</w:t>
      </w:r>
      <w:r>
        <w:rPr>
          <w:color w:val="auto"/>
          <w:szCs w:val="24"/>
        </w:rPr>
        <w:t>“</w:t>
      </w:r>
      <w:r>
        <w:rPr>
          <w:rFonts w:eastAsia="宋体"/>
          <w:color w:val="auto"/>
          <w:szCs w:val="24"/>
        </w:rPr>
        <w:t>水泥窑基本信息</w:t>
      </w:r>
      <w:r>
        <w:rPr>
          <w:color w:val="auto"/>
          <w:szCs w:val="24"/>
        </w:rPr>
        <w:t>”</w:t>
      </w:r>
      <w:r>
        <w:rPr>
          <w:rFonts w:eastAsia="宋体"/>
          <w:color w:val="auto"/>
          <w:szCs w:val="24"/>
        </w:rPr>
        <w:t>、</w:t>
      </w:r>
      <w:r>
        <w:rPr>
          <w:color w:val="auto"/>
          <w:szCs w:val="24"/>
        </w:rPr>
        <w:t>“HJ662</w:t>
      </w:r>
      <w:r>
        <w:rPr>
          <w:rFonts w:eastAsia="宋体"/>
          <w:color w:val="auto"/>
          <w:szCs w:val="24"/>
        </w:rPr>
        <w:t>限值</w:t>
      </w:r>
      <w:r>
        <w:rPr>
          <w:color w:val="auto"/>
          <w:szCs w:val="24"/>
        </w:rPr>
        <w:t>”</w:t>
      </w:r>
      <w:r>
        <w:rPr>
          <w:rFonts w:eastAsia="宋体"/>
          <w:color w:val="auto"/>
          <w:szCs w:val="24"/>
        </w:rPr>
        <w:t>和</w:t>
      </w:r>
      <w:r>
        <w:rPr>
          <w:color w:val="auto"/>
          <w:szCs w:val="24"/>
        </w:rPr>
        <w:t>“</w:t>
      </w:r>
      <w:r>
        <w:rPr>
          <w:color w:val="auto"/>
          <w:spacing w:val="-6"/>
        </w:rPr>
        <w:t>GB/T30760</w:t>
      </w:r>
      <w:r>
        <w:rPr>
          <w:rFonts w:eastAsia="宋体"/>
          <w:color w:val="auto"/>
          <w:szCs w:val="24"/>
        </w:rPr>
        <w:t>限值</w:t>
      </w:r>
      <w:r>
        <w:rPr>
          <w:color w:val="auto"/>
          <w:szCs w:val="24"/>
        </w:rPr>
        <w:t>”</w:t>
      </w:r>
      <w:r>
        <w:rPr>
          <w:rFonts w:eastAsia="宋体"/>
          <w:color w:val="auto"/>
          <w:szCs w:val="24"/>
        </w:rPr>
        <w:t>。</w:t>
      </w:r>
    </w:p>
    <w:p w14:paraId="681431C7" w14:textId="77777777" w:rsidR="002E474C" w:rsidRDefault="00000000">
      <w:pPr>
        <w:pStyle w:val="A-z"/>
        <w:rPr>
          <w:color w:val="auto"/>
          <w:szCs w:val="24"/>
        </w:rPr>
      </w:pPr>
      <w:r>
        <w:rPr>
          <w:color w:val="auto"/>
          <w:szCs w:val="24"/>
        </w:rPr>
        <w:t>“</w:t>
      </w:r>
      <w:r>
        <w:rPr>
          <w:rFonts w:eastAsia="宋体"/>
          <w:color w:val="auto"/>
          <w:szCs w:val="24"/>
        </w:rPr>
        <w:t>水泥窑基本信息表</w:t>
      </w:r>
      <w:r>
        <w:rPr>
          <w:color w:val="auto"/>
          <w:szCs w:val="24"/>
        </w:rPr>
        <w:t>”</w:t>
      </w:r>
      <w:r>
        <w:rPr>
          <w:rFonts w:eastAsia="宋体"/>
          <w:color w:val="auto"/>
          <w:szCs w:val="24"/>
        </w:rPr>
        <w:t>中主要为计算提供燃料、生料、熟料、混合材使用量，以及水泥产量和煤灰分等基本数据，数据全部需要依据实际情况填写；</w:t>
      </w:r>
    </w:p>
    <w:p w14:paraId="69C68472" w14:textId="77777777" w:rsidR="002E474C" w:rsidRDefault="00000000">
      <w:pPr>
        <w:pStyle w:val="A-z"/>
        <w:rPr>
          <w:color w:val="auto"/>
          <w:szCs w:val="24"/>
        </w:rPr>
      </w:pPr>
      <w:r>
        <w:rPr>
          <w:color w:val="auto"/>
          <w:szCs w:val="24"/>
        </w:rPr>
        <w:lastRenderedPageBreak/>
        <w:t>“HJ662</w:t>
      </w:r>
      <w:r>
        <w:rPr>
          <w:rFonts w:eastAsia="宋体"/>
          <w:color w:val="auto"/>
          <w:szCs w:val="24"/>
        </w:rPr>
        <w:t>限值</w:t>
      </w:r>
      <w:r>
        <w:rPr>
          <w:color w:val="auto"/>
          <w:szCs w:val="24"/>
        </w:rPr>
        <w:t>”</w:t>
      </w:r>
      <w:r>
        <w:rPr>
          <w:rFonts w:eastAsia="宋体"/>
          <w:color w:val="auto"/>
          <w:szCs w:val="24"/>
        </w:rPr>
        <w:t>计算表格中可以根据</w:t>
      </w:r>
      <w:r>
        <w:rPr>
          <w:color w:val="auto"/>
          <w:szCs w:val="24"/>
        </w:rPr>
        <w:t>HJ662</w:t>
      </w:r>
      <w:r>
        <w:rPr>
          <w:rFonts w:eastAsia="宋体"/>
          <w:color w:val="auto"/>
          <w:szCs w:val="24"/>
        </w:rPr>
        <w:t>提供的控制方法来进行配料计算，包括五个模块，分别命名为</w:t>
      </w:r>
      <w:r>
        <w:rPr>
          <w:color w:val="auto"/>
          <w:szCs w:val="24"/>
        </w:rPr>
        <w:t>“</w:t>
      </w:r>
      <w:r>
        <w:rPr>
          <w:rFonts w:eastAsia="宋体"/>
          <w:color w:val="auto"/>
          <w:szCs w:val="24"/>
        </w:rPr>
        <w:t>固体废物重金属含量</w:t>
      </w:r>
      <w:r>
        <w:rPr>
          <w:color w:val="auto"/>
          <w:szCs w:val="24"/>
        </w:rPr>
        <w:t>”</w:t>
      </w:r>
      <w:r>
        <w:rPr>
          <w:rFonts w:eastAsia="宋体"/>
          <w:color w:val="auto"/>
          <w:szCs w:val="24"/>
        </w:rPr>
        <w:t>、</w:t>
      </w:r>
      <w:r>
        <w:rPr>
          <w:color w:val="auto"/>
          <w:szCs w:val="24"/>
        </w:rPr>
        <w:t>“</w:t>
      </w:r>
      <w:r>
        <w:rPr>
          <w:rFonts w:eastAsia="宋体"/>
          <w:color w:val="auto"/>
          <w:szCs w:val="24"/>
        </w:rPr>
        <w:t>原、燃料及混合材重金属含量</w:t>
      </w:r>
      <w:r>
        <w:rPr>
          <w:color w:val="auto"/>
          <w:szCs w:val="24"/>
        </w:rPr>
        <w:t>”</w:t>
      </w:r>
      <w:r>
        <w:rPr>
          <w:rFonts w:eastAsia="宋体"/>
          <w:color w:val="auto"/>
          <w:szCs w:val="24"/>
        </w:rPr>
        <w:t>、</w:t>
      </w:r>
      <w:r>
        <w:rPr>
          <w:color w:val="auto"/>
          <w:szCs w:val="24"/>
        </w:rPr>
        <w:t>“</w:t>
      </w:r>
      <w:r>
        <w:rPr>
          <w:rFonts w:eastAsia="宋体"/>
          <w:color w:val="auto"/>
          <w:szCs w:val="24"/>
        </w:rPr>
        <w:t>熟料重金属限值</w:t>
      </w:r>
      <w:r>
        <w:rPr>
          <w:color w:val="auto"/>
          <w:szCs w:val="24"/>
        </w:rPr>
        <w:t>”</w:t>
      </w:r>
      <w:r>
        <w:rPr>
          <w:rFonts w:eastAsia="宋体"/>
          <w:color w:val="auto"/>
          <w:szCs w:val="24"/>
        </w:rPr>
        <w:t>、</w:t>
      </w:r>
      <w:r>
        <w:rPr>
          <w:color w:val="auto"/>
          <w:szCs w:val="24"/>
        </w:rPr>
        <w:t>“</w:t>
      </w:r>
      <w:r>
        <w:rPr>
          <w:rFonts w:eastAsia="宋体"/>
          <w:color w:val="auto"/>
          <w:szCs w:val="24"/>
        </w:rPr>
        <w:t>水泥重金属限值</w:t>
      </w:r>
      <w:r>
        <w:rPr>
          <w:color w:val="auto"/>
          <w:szCs w:val="24"/>
        </w:rPr>
        <w:t>”</w:t>
      </w:r>
      <w:r>
        <w:rPr>
          <w:rFonts w:eastAsia="宋体"/>
          <w:color w:val="auto"/>
          <w:szCs w:val="24"/>
        </w:rPr>
        <w:t>、</w:t>
      </w:r>
      <w:r>
        <w:rPr>
          <w:color w:val="auto"/>
          <w:szCs w:val="24"/>
        </w:rPr>
        <w:t>“</w:t>
      </w:r>
      <w:r>
        <w:rPr>
          <w:rFonts w:eastAsia="宋体"/>
          <w:color w:val="auto"/>
          <w:szCs w:val="24"/>
        </w:rPr>
        <w:t>固废处置量限定及计算</w:t>
      </w:r>
      <w:r>
        <w:rPr>
          <w:color w:val="auto"/>
          <w:szCs w:val="24"/>
        </w:rPr>
        <w:t>”</w:t>
      </w:r>
      <w:r>
        <w:rPr>
          <w:rFonts w:eastAsia="宋体"/>
          <w:color w:val="auto"/>
          <w:szCs w:val="24"/>
        </w:rPr>
        <w:t>。实际操作时，将检测结果分别填入</w:t>
      </w:r>
      <w:r>
        <w:rPr>
          <w:color w:val="auto"/>
          <w:szCs w:val="24"/>
        </w:rPr>
        <w:t>“</w:t>
      </w:r>
      <w:r>
        <w:rPr>
          <w:rFonts w:eastAsia="宋体"/>
          <w:color w:val="auto"/>
          <w:szCs w:val="24"/>
        </w:rPr>
        <w:t>固体废物重金属含量</w:t>
      </w:r>
      <w:r>
        <w:rPr>
          <w:color w:val="auto"/>
          <w:szCs w:val="24"/>
        </w:rPr>
        <w:t>”</w:t>
      </w:r>
      <w:r>
        <w:rPr>
          <w:rFonts w:eastAsia="宋体"/>
          <w:color w:val="auto"/>
          <w:szCs w:val="24"/>
        </w:rPr>
        <w:t>、</w:t>
      </w:r>
      <w:r>
        <w:rPr>
          <w:color w:val="auto"/>
          <w:szCs w:val="24"/>
        </w:rPr>
        <w:t>“</w:t>
      </w:r>
      <w:r>
        <w:rPr>
          <w:rFonts w:eastAsia="宋体"/>
          <w:color w:val="auto"/>
          <w:szCs w:val="24"/>
        </w:rPr>
        <w:t>原、燃料及混合材重金属含量</w:t>
      </w:r>
      <w:r>
        <w:rPr>
          <w:color w:val="auto"/>
          <w:szCs w:val="24"/>
        </w:rPr>
        <w:t>”</w:t>
      </w:r>
      <w:r>
        <w:rPr>
          <w:rFonts w:eastAsia="宋体"/>
          <w:color w:val="auto"/>
          <w:szCs w:val="24"/>
        </w:rPr>
        <w:t>模块；</w:t>
      </w:r>
      <w:r>
        <w:rPr>
          <w:color w:val="auto"/>
          <w:szCs w:val="24"/>
        </w:rPr>
        <w:t>“</w:t>
      </w:r>
      <w:r>
        <w:rPr>
          <w:rFonts w:eastAsia="宋体"/>
          <w:color w:val="auto"/>
          <w:szCs w:val="24"/>
        </w:rPr>
        <w:t>熟料重金属限值</w:t>
      </w:r>
      <w:r>
        <w:rPr>
          <w:color w:val="auto"/>
          <w:szCs w:val="24"/>
        </w:rPr>
        <w:t>”</w:t>
      </w:r>
      <w:r>
        <w:rPr>
          <w:rFonts w:eastAsia="宋体"/>
          <w:color w:val="auto"/>
          <w:szCs w:val="24"/>
        </w:rPr>
        <w:t>模块的限值来自</w:t>
      </w:r>
      <w:r>
        <w:rPr>
          <w:color w:val="auto"/>
          <w:szCs w:val="24"/>
        </w:rPr>
        <w:t>HJ662</w:t>
      </w:r>
      <w:r>
        <w:rPr>
          <w:rFonts w:eastAsia="宋体"/>
          <w:color w:val="auto"/>
          <w:szCs w:val="24"/>
        </w:rPr>
        <w:t>，数据为固废、水泥生产原燃料和混合材重金属含量折合到单位熟料的计算结果；</w:t>
      </w:r>
      <w:r>
        <w:rPr>
          <w:color w:val="auto"/>
          <w:szCs w:val="24"/>
        </w:rPr>
        <w:t>“</w:t>
      </w:r>
      <w:r>
        <w:rPr>
          <w:rFonts w:eastAsia="宋体"/>
          <w:color w:val="auto"/>
          <w:szCs w:val="24"/>
        </w:rPr>
        <w:t>熟料重金属限值</w:t>
      </w:r>
      <w:r>
        <w:rPr>
          <w:color w:val="auto"/>
          <w:szCs w:val="24"/>
        </w:rPr>
        <w:t>”</w:t>
      </w:r>
      <w:r>
        <w:rPr>
          <w:rFonts w:eastAsia="宋体"/>
          <w:color w:val="auto"/>
          <w:szCs w:val="24"/>
        </w:rPr>
        <w:t>模块的限值来自</w:t>
      </w:r>
      <w:r>
        <w:rPr>
          <w:color w:val="auto"/>
          <w:szCs w:val="24"/>
        </w:rPr>
        <w:t>HJ662</w:t>
      </w:r>
      <w:r>
        <w:rPr>
          <w:rFonts w:eastAsia="宋体"/>
          <w:color w:val="auto"/>
          <w:szCs w:val="24"/>
        </w:rPr>
        <w:t>，数据为固废、水泥生产原燃料和混合材重金属含量折合到单位熟料的计算结果；</w:t>
      </w:r>
      <w:r>
        <w:rPr>
          <w:color w:val="auto"/>
          <w:szCs w:val="24"/>
        </w:rPr>
        <w:t>“</w:t>
      </w:r>
      <w:r>
        <w:rPr>
          <w:rFonts w:eastAsia="宋体"/>
          <w:color w:val="auto"/>
          <w:szCs w:val="24"/>
        </w:rPr>
        <w:t>处置量限定及计算</w:t>
      </w:r>
      <w:r>
        <w:rPr>
          <w:color w:val="auto"/>
          <w:szCs w:val="24"/>
        </w:rPr>
        <w:t>”</w:t>
      </w:r>
      <w:r>
        <w:rPr>
          <w:rFonts w:eastAsia="宋体"/>
          <w:color w:val="auto"/>
          <w:szCs w:val="24"/>
        </w:rPr>
        <w:t>模块中的</w:t>
      </w:r>
      <w:r>
        <w:rPr>
          <w:color w:val="auto"/>
          <w:szCs w:val="24"/>
        </w:rPr>
        <w:t>“</w:t>
      </w:r>
      <w:r>
        <w:rPr>
          <w:rFonts w:eastAsia="宋体"/>
          <w:color w:val="auto"/>
          <w:szCs w:val="24"/>
        </w:rPr>
        <w:t>废物库存量</w:t>
      </w:r>
      <w:r>
        <w:rPr>
          <w:color w:val="auto"/>
          <w:szCs w:val="24"/>
        </w:rPr>
        <w:t>”</w:t>
      </w:r>
      <w:r>
        <w:rPr>
          <w:rFonts w:eastAsia="宋体"/>
          <w:color w:val="auto"/>
          <w:szCs w:val="24"/>
        </w:rPr>
        <w:t>、</w:t>
      </w:r>
      <w:r>
        <w:rPr>
          <w:color w:val="auto"/>
          <w:szCs w:val="24"/>
        </w:rPr>
        <w:t>“</w:t>
      </w:r>
      <w:r>
        <w:rPr>
          <w:rFonts w:eastAsia="宋体"/>
          <w:color w:val="auto"/>
          <w:szCs w:val="24"/>
        </w:rPr>
        <w:t>最大处置量</w:t>
      </w:r>
      <w:r>
        <w:rPr>
          <w:color w:val="auto"/>
          <w:szCs w:val="24"/>
        </w:rPr>
        <w:t>”</w:t>
      </w:r>
      <w:r>
        <w:rPr>
          <w:rFonts w:eastAsia="宋体"/>
          <w:color w:val="auto"/>
          <w:szCs w:val="24"/>
        </w:rPr>
        <w:t>、</w:t>
      </w:r>
      <w:r>
        <w:rPr>
          <w:color w:val="auto"/>
          <w:szCs w:val="24"/>
        </w:rPr>
        <w:t>“</w:t>
      </w:r>
      <w:r>
        <w:rPr>
          <w:rFonts w:eastAsia="宋体"/>
          <w:color w:val="auto"/>
          <w:szCs w:val="24"/>
        </w:rPr>
        <w:t>最小处置量</w:t>
      </w:r>
      <w:r>
        <w:rPr>
          <w:color w:val="auto"/>
          <w:szCs w:val="24"/>
        </w:rPr>
        <w:t>”</w:t>
      </w:r>
      <w:r>
        <w:rPr>
          <w:rFonts w:eastAsia="宋体"/>
          <w:color w:val="auto"/>
          <w:szCs w:val="24"/>
        </w:rPr>
        <w:t>需要根据实际情况填写，</w:t>
      </w:r>
      <w:r>
        <w:rPr>
          <w:color w:val="auto"/>
          <w:szCs w:val="24"/>
        </w:rPr>
        <w:t>“</w:t>
      </w:r>
      <w:r>
        <w:rPr>
          <w:rFonts w:eastAsia="宋体"/>
          <w:color w:val="auto"/>
          <w:szCs w:val="24"/>
        </w:rPr>
        <w:t>废物库存量</w:t>
      </w:r>
      <w:r>
        <w:rPr>
          <w:color w:val="auto"/>
          <w:szCs w:val="24"/>
        </w:rPr>
        <w:t>”</w:t>
      </w:r>
      <w:r>
        <w:rPr>
          <w:rFonts w:eastAsia="宋体"/>
          <w:color w:val="auto"/>
          <w:szCs w:val="24"/>
        </w:rPr>
        <w:t>用于为处置量配伍提供参考，</w:t>
      </w:r>
      <w:r>
        <w:rPr>
          <w:color w:val="auto"/>
          <w:szCs w:val="24"/>
        </w:rPr>
        <w:t>“</w:t>
      </w:r>
      <w:r>
        <w:rPr>
          <w:rFonts w:eastAsia="宋体"/>
          <w:color w:val="auto"/>
          <w:szCs w:val="24"/>
        </w:rPr>
        <w:t>最大处置量</w:t>
      </w:r>
      <w:r>
        <w:rPr>
          <w:color w:val="auto"/>
          <w:szCs w:val="24"/>
        </w:rPr>
        <w:t>”</w:t>
      </w:r>
      <w:r>
        <w:rPr>
          <w:rFonts w:eastAsia="宋体"/>
          <w:color w:val="auto"/>
          <w:szCs w:val="24"/>
        </w:rPr>
        <w:t>及</w:t>
      </w:r>
      <w:r>
        <w:rPr>
          <w:color w:val="auto"/>
          <w:szCs w:val="24"/>
        </w:rPr>
        <w:t>“</w:t>
      </w:r>
      <w:r>
        <w:rPr>
          <w:rFonts w:eastAsia="宋体"/>
          <w:color w:val="auto"/>
          <w:szCs w:val="24"/>
        </w:rPr>
        <w:t>最小处置量</w:t>
      </w:r>
      <w:r>
        <w:rPr>
          <w:color w:val="auto"/>
          <w:szCs w:val="24"/>
        </w:rPr>
        <w:t>”</w:t>
      </w:r>
      <w:r>
        <w:rPr>
          <w:rFonts w:eastAsia="宋体"/>
          <w:color w:val="auto"/>
          <w:szCs w:val="24"/>
        </w:rPr>
        <w:t>可以根据库存积压或不足来灵活设定；给定必要数据并设定条件后，利用</w:t>
      </w:r>
      <w:r>
        <w:rPr>
          <w:color w:val="auto"/>
        </w:rPr>
        <w:t>Excel</w:t>
      </w:r>
      <w:r>
        <w:rPr>
          <w:rFonts w:eastAsia="宋体"/>
          <w:color w:val="auto"/>
          <w:szCs w:val="24"/>
        </w:rPr>
        <w:t>的规划求解功能计算出各废物的配伍量显示在</w:t>
      </w:r>
      <w:r>
        <w:rPr>
          <w:color w:val="auto"/>
          <w:szCs w:val="24"/>
        </w:rPr>
        <w:t>“</w:t>
      </w:r>
      <w:r>
        <w:rPr>
          <w:rFonts w:eastAsia="宋体"/>
          <w:color w:val="auto"/>
          <w:szCs w:val="24"/>
        </w:rPr>
        <w:t>处置量配伍</w:t>
      </w:r>
      <w:r>
        <w:rPr>
          <w:color w:val="auto"/>
          <w:szCs w:val="24"/>
        </w:rPr>
        <w:t>”</w:t>
      </w:r>
      <w:r>
        <w:rPr>
          <w:rFonts w:eastAsia="宋体"/>
          <w:color w:val="auto"/>
          <w:szCs w:val="24"/>
        </w:rPr>
        <w:t>中。</w:t>
      </w:r>
    </w:p>
    <w:p w14:paraId="7FD3EB7E" w14:textId="77777777" w:rsidR="002E474C" w:rsidRDefault="00000000">
      <w:pPr>
        <w:pStyle w:val="A-z"/>
        <w:rPr>
          <w:color w:val="auto"/>
          <w:szCs w:val="24"/>
        </w:rPr>
      </w:pPr>
      <w:r>
        <w:rPr>
          <w:rFonts w:eastAsia="宋体"/>
          <w:color w:val="auto"/>
          <w:szCs w:val="24"/>
        </w:rPr>
        <w:t>对于</w:t>
      </w:r>
      <w:r>
        <w:rPr>
          <w:color w:val="auto"/>
          <w:szCs w:val="24"/>
        </w:rPr>
        <w:t>C</w:t>
      </w:r>
      <w:r>
        <w:rPr>
          <w:rFonts w:hint="eastAsia"/>
          <w:color w:val="auto"/>
          <w:szCs w:val="24"/>
          <w:lang w:val="en-US"/>
        </w:rPr>
        <w:t>l</w:t>
      </w:r>
      <w:r>
        <w:rPr>
          <w:rFonts w:eastAsia="宋体"/>
          <w:color w:val="auto"/>
          <w:szCs w:val="24"/>
        </w:rPr>
        <w:t>、</w:t>
      </w:r>
      <w:r>
        <w:rPr>
          <w:color w:val="auto"/>
          <w:szCs w:val="24"/>
        </w:rPr>
        <w:t>F</w:t>
      </w:r>
      <w:r>
        <w:rPr>
          <w:rFonts w:eastAsia="宋体"/>
          <w:color w:val="auto"/>
          <w:szCs w:val="24"/>
        </w:rPr>
        <w:t>元素的控制，通过简单的给定水泥生产原料、燃料、混合材的</w:t>
      </w:r>
      <w:r>
        <w:rPr>
          <w:color w:val="auto"/>
          <w:szCs w:val="24"/>
        </w:rPr>
        <w:t>Cl</w:t>
      </w:r>
      <w:r>
        <w:rPr>
          <w:rFonts w:eastAsia="宋体"/>
          <w:color w:val="auto"/>
          <w:szCs w:val="24"/>
        </w:rPr>
        <w:t>或</w:t>
      </w:r>
      <w:r>
        <w:rPr>
          <w:color w:val="auto"/>
          <w:szCs w:val="24"/>
        </w:rPr>
        <w:t>F</w:t>
      </w:r>
      <w:r>
        <w:rPr>
          <w:rFonts w:eastAsia="宋体"/>
          <w:color w:val="auto"/>
          <w:szCs w:val="24"/>
        </w:rPr>
        <w:t>含量，结合限值即可计算单位时间固体废物最大处置量。这种情况，只要按照</w:t>
      </w:r>
      <w:r>
        <w:rPr>
          <w:color w:val="auto"/>
          <w:szCs w:val="24"/>
        </w:rPr>
        <w:t>HJ662</w:t>
      </w:r>
      <w:r>
        <w:rPr>
          <w:rFonts w:eastAsia="宋体"/>
          <w:color w:val="auto"/>
          <w:szCs w:val="24"/>
        </w:rPr>
        <w:t>计算方式进行简单计算即可得到最大入窑量。</w:t>
      </w:r>
    </w:p>
    <w:p w14:paraId="7FFE380E" w14:textId="77777777" w:rsidR="002E474C" w:rsidRDefault="00000000">
      <w:pPr>
        <w:pStyle w:val="A-z"/>
        <w:rPr>
          <w:color w:val="auto"/>
          <w:sz w:val="28"/>
          <w:szCs w:val="28"/>
        </w:rPr>
      </w:pPr>
      <w:r>
        <w:rPr>
          <w:rFonts w:eastAsia="宋体"/>
          <w:color w:val="auto"/>
          <w:szCs w:val="24"/>
        </w:rPr>
        <w:t>入窑物料中</w:t>
      </w:r>
      <w:r>
        <w:rPr>
          <w:color w:val="auto"/>
          <w:szCs w:val="24"/>
        </w:rPr>
        <w:t>F</w:t>
      </w:r>
      <w:r>
        <w:rPr>
          <w:rFonts w:eastAsia="宋体"/>
          <w:color w:val="auto"/>
          <w:szCs w:val="24"/>
        </w:rPr>
        <w:t>或</w:t>
      </w:r>
      <w:r>
        <w:rPr>
          <w:color w:val="auto"/>
          <w:szCs w:val="24"/>
        </w:rPr>
        <w:t>Cl</w:t>
      </w:r>
      <w:r>
        <w:rPr>
          <w:rFonts w:eastAsia="宋体"/>
          <w:color w:val="auto"/>
          <w:szCs w:val="24"/>
        </w:rPr>
        <w:t>的含量计算如下：</w:t>
      </w:r>
    </w:p>
    <w:p w14:paraId="56B977E2" w14:textId="77777777" w:rsidR="002E474C" w:rsidRDefault="00000000">
      <w:pPr>
        <w:pStyle w:val="A-z"/>
        <w:rPr>
          <w:rFonts w:eastAsia="仿宋_GB2312"/>
          <w:color w:val="auto"/>
          <w:szCs w:val="28"/>
        </w:rPr>
      </w:pPr>
      <w:r>
        <w:rPr>
          <w:rFonts w:eastAsia="仿宋_GB2312"/>
          <w:noProof/>
          <w:color w:val="auto"/>
          <w:szCs w:val="28"/>
        </w:rPr>
        <w:drawing>
          <wp:inline distT="0" distB="0" distL="0" distR="0" wp14:anchorId="10582C11" wp14:editId="219F3E80">
            <wp:extent cx="4805680" cy="44640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5680" cy="446405"/>
                    </a:xfrm>
                    <a:prstGeom prst="rect">
                      <a:avLst/>
                    </a:prstGeom>
                    <a:noFill/>
                    <a:ln>
                      <a:noFill/>
                    </a:ln>
                  </pic:spPr>
                </pic:pic>
              </a:graphicData>
            </a:graphic>
          </wp:inline>
        </w:drawing>
      </w:r>
    </w:p>
    <w:p w14:paraId="2438EA40" w14:textId="77777777" w:rsidR="002E474C" w:rsidRDefault="00000000">
      <w:pPr>
        <w:pStyle w:val="A-z"/>
        <w:rPr>
          <w:color w:val="auto"/>
          <w:szCs w:val="24"/>
        </w:rPr>
      </w:pPr>
      <w:r>
        <w:rPr>
          <w:rFonts w:eastAsia="宋体"/>
          <w:color w:val="auto"/>
          <w:szCs w:val="24"/>
        </w:rPr>
        <w:t>式中：</w:t>
      </w:r>
      <w:r>
        <w:rPr>
          <w:color w:val="auto"/>
          <w:szCs w:val="24"/>
        </w:rPr>
        <w:t>C</w:t>
      </w:r>
      <w:r>
        <w:rPr>
          <w:rFonts w:eastAsia="宋体"/>
          <w:color w:val="auto"/>
          <w:szCs w:val="24"/>
        </w:rPr>
        <w:t>为入窑物料</w:t>
      </w:r>
      <w:r>
        <w:rPr>
          <w:color w:val="auto"/>
          <w:szCs w:val="24"/>
        </w:rPr>
        <w:t>F</w:t>
      </w:r>
      <w:r>
        <w:rPr>
          <w:rFonts w:eastAsia="宋体"/>
          <w:color w:val="auto"/>
          <w:szCs w:val="24"/>
        </w:rPr>
        <w:t>或</w:t>
      </w:r>
      <w:r>
        <w:rPr>
          <w:color w:val="auto"/>
          <w:szCs w:val="24"/>
        </w:rPr>
        <w:t>Cl</w:t>
      </w:r>
      <w:r>
        <w:rPr>
          <w:rFonts w:eastAsia="宋体"/>
          <w:color w:val="auto"/>
          <w:szCs w:val="24"/>
        </w:rPr>
        <w:t>元素的含量，单位</w:t>
      </w:r>
      <w:r>
        <w:rPr>
          <w:color w:val="auto"/>
          <w:szCs w:val="24"/>
        </w:rPr>
        <w:t>%</w:t>
      </w:r>
      <w:r>
        <w:rPr>
          <w:rFonts w:eastAsia="宋体"/>
          <w:color w:val="auto"/>
          <w:szCs w:val="24"/>
        </w:rPr>
        <w:t>；</w:t>
      </w:r>
    </w:p>
    <w:p w14:paraId="367F683A" w14:textId="77777777" w:rsidR="002E474C" w:rsidRDefault="00000000">
      <w:pPr>
        <w:pStyle w:val="A-z"/>
        <w:ind w:firstLineChars="500" w:firstLine="1200"/>
        <w:rPr>
          <w:color w:val="auto"/>
          <w:szCs w:val="24"/>
        </w:rPr>
      </w:pPr>
      <w:r>
        <w:rPr>
          <w:color w:val="auto"/>
          <w:szCs w:val="24"/>
        </w:rPr>
        <w:t>C</w:t>
      </w:r>
      <w:r>
        <w:rPr>
          <w:color w:val="auto"/>
          <w:szCs w:val="24"/>
          <w:vertAlign w:val="subscript"/>
        </w:rPr>
        <w:t>w</w:t>
      </w:r>
      <w:r>
        <w:rPr>
          <w:rFonts w:eastAsia="宋体"/>
          <w:color w:val="auto"/>
          <w:szCs w:val="24"/>
        </w:rPr>
        <w:t>、</w:t>
      </w:r>
      <w:r>
        <w:rPr>
          <w:color w:val="auto"/>
          <w:szCs w:val="24"/>
        </w:rPr>
        <w:t>C</w:t>
      </w:r>
      <w:r>
        <w:rPr>
          <w:color w:val="auto"/>
          <w:szCs w:val="24"/>
          <w:vertAlign w:val="subscript"/>
        </w:rPr>
        <w:t>f</w:t>
      </w:r>
      <w:r>
        <w:rPr>
          <w:rFonts w:eastAsia="宋体"/>
          <w:color w:val="auto"/>
          <w:szCs w:val="24"/>
        </w:rPr>
        <w:t>、</w:t>
      </w:r>
      <w:r>
        <w:rPr>
          <w:color w:val="auto"/>
          <w:szCs w:val="24"/>
        </w:rPr>
        <w:t>C</w:t>
      </w:r>
      <w:r>
        <w:rPr>
          <w:color w:val="auto"/>
          <w:szCs w:val="24"/>
          <w:vertAlign w:val="subscript"/>
        </w:rPr>
        <w:t>r</w:t>
      </w:r>
      <w:r>
        <w:rPr>
          <w:rFonts w:eastAsia="宋体"/>
          <w:color w:val="auto"/>
          <w:szCs w:val="24"/>
        </w:rPr>
        <w:t>、</w:t>
      </w:r>
      <w:r>
        <w:rPr>
          <w:color w:val="auto"/>
          <w:szCs w:val="24"/>
        </w:rPr>
        <w:t>C</w:t>
      </w:r>
      <w:r>
        <w:rPr>
          <w:color w:val="auto"/>
          <w:szCs w:val="24"/>
          <w:vertAlign w:val="subscript"/>
        </w:rPr>
        <w:t>s</w:t>
      </w:r>
      <w:r>
        <w:rPr>
          <w:rFonts w:eastAsia="宋体"/>
          <w:color w:val="auto"/>
          <w:szCs w:val="24"/>
        </w:rPr>
        <w:t>和</w:t>
      </w:r>
      <w:r>
        <w:rPr>
          <w:color w:val="auto"/>
          <w:szCs w:val="24"/>
        </w:rPr>
        <w:t>C</w:t>
      </w:r>
      <w:r>
        <w:rPr>
          <w:color w:val="auto"/>
          <w:szCs w:val="24"/>
          <w:vertAlign w:val="subscript"/>
        </w:rPr>
        <w:t>i1</w:t>
      </w:r>
      <w:r>
        <w:rPr>
          <w:rFonts w:eastAsia="宋体"/>
          <w:color w:val="auto"/>
          <w:szCs w:val="24"/>
        </w:rPr>
        <w:t>、</w:t>
      </w:r>
      <w:r>
        <w:rPr>
          <w:color w:val="auto"/>
          <w:szCs w:val="24"/>
        </w:rPr>
        <w:t>C</w:t>
      </w:r>
      <w:r>
        <w:rPr>
          <w:color w:val="auto"/>
          <w:szCs w:val="24"/>
          <w:vertAlign w:val="subscript"/>
        </w:rPr>
        <w:t>i2</w:t>
      </w:r>
      <w:r>
        <w:rPr>
          <w:rFonts w:eastAsia="宋体"/>
          <w:color w:val="auto"/>
          <w:szCs w:val="24"/>
        </w:rPr>
        <w:t>分别为生活垃圾、常规燃料、常规原料、污泥和第一种危废、第二种危废中</w:t>
      </w:r>
      <w:r>
        <w:rPr>
          <w:color w:val="auto"/>
          <w:szCs w:val="24"/>
        </w:rPr>
        <w:t>F</w:t>
      </w:r>
      <w:r>
        <w:rPr>
          <w:rFonts w:eastAsia="宋体"/>
          <w:color w:val="auto"/>
          <w:szCs w:val="24"/>
        </w:rPr>
        <w:t>或</w:t>
      </w:r>
      <w:r>
        <w:rPr>
          <w:color w:val="auto"/>
          <w:szCs w:val="24"/>
        </w:rPr>
        <w:t>Cl</w:t>
      </w:r>
      <w:r>
        <w:rPr>
          <w:rFonts w:eastAsia="宋体"/>
          <w:color w:val="auto"/>
          <w:szCs w:val="24"/>
        </w:rPr>
        <w:t>含量，单位</w:t>
      </w:r>
      <w:r>
        <w:rPr>
          <w:color w:val="auto"/>
          <w:szCs w:val="24"/>
        </w:rPr>
        <w:t>mg/kg</w:t>
      </w:r>
      <w:r>
        <w:rPr>
          <w:rFonts w:eastAsia="宋体"/>
          <w:color w:val="auto"/>
          <w:szCs w:val="24"/>
        </w:rPr>
        <w:t>；</w:t>
      </w:r>
    </w:p>
    <w:p w14:paraId="50CE3DC7" w14:textId="77777777" w:rsidR="002E474C" w:rsidRDefault="00000000">
      <w:pPr>
        <w:pStyle w:val="A-z"/>
        <w:ind w:firstLineChars="500" w:firstLine="1200"/>
        <w:rPr>
          <w:color w:val="auto"/>
        </w:rPr>
      </w:pPr>
      <w:r>
        <w:rPr>
          <w:color w:val="auto"/>
          <w:szCs w:val="24"/>
        </w:rPr>
        <w:t>m</w:t>
      </w:r>
      <w:r>
        <w:rPr>
          <w:color w:val="auto"/>
          <w:szCs w:val="24"/>
          <w:vertAlign w:val="subscript"/>
        </w:rPr>
        <w:t>w</w:t>
      </w:r>
      <w:r>
        <w:rPr>
          <w:rFonts w:eastAsia="宋体"/>
          <w:color w:val="auto"/>
          <w:szCs w:val="24"/>
        </w:rPr>
        <w:t>、</w:t>
      </w:r>
      <w:r>
        <w:rPr>
          <w:color w:val="auto"/>
          <w:szCs w:val="24"/>
        </w:rPr>
        <w:t>m</w:t>
      </w:r>
      <w:r>
        <w:rPr>
          <w:color w:val="auto"/>
          <w:szCs w:val="24"/>
          <w:vertAlign w:val="subscript"/>
        </w:rPr>
        <w:t>f</w:t>
      </w:r>
      <w:r>
        <w:rPr>
          <w:rFonts w:eastAsia="宋体"/>
          <w:color w:val="auto"/>
          <w:szCs w:val="24"/>
        </w:rPr>
        <w:t>、</w:t>
      </w:r>
      <w:r>
        <w:rPr>
          <w:color w:val="auto"/>
          <w:szCs w:val="24"/>
        </w:rPr>
        <w:t>m</w:t>
      </w:r>
      <w:r>
        <w:rPr>
          <w:color w:val="auto"/>
          <w:szCs w:val="24"/>
          <w:vertAlign w:val="subscript"/>
        </w:rPr>
        <w:t xml:space="preserve">r </w:t>
      </w:r>
      <w:r>
        <w:rPr>
          <w:rFonts w:eastAsia="宋体"/>
          <w:color w:val="auto"/>
          <w:szCs w:val="24"/>
        </w:rPr>
        <w:t>、</w:t>
      </w:r>
      <w:r>
        <w:rPr>
          <w:color w:val="auto"/>
          <w:szCs w:val="24"/>
        </w:rPr>
        <w:t>m</w:t>
      </w:r>
      <w:r>
        <w:rPr>
          <w:color w:val="auto"/>
          <w:szCs w:val="24"/>
          <w:vertAlign w:val="subscript"/>
        </w:rPr>
        <w:t>s</w:t>
      </w:r>
      <w:r>
        <w:rPr>
          <w:rFonts w:eastAsia="宋体"/>
          <w:color w:val="auto"/>
          <w:szCs w:val="24"/>
        </w:rPr>
        <w:t>和</w:t>
      </w:r>
      <w:r>
        <w:rPr>
          <w:color w:val="auto"/>
          <w:szCs w:val="24"/>
        </w:rPr>
        <w:t>m</w:t>
      </w:r>
      <w:r>
        <w:rPr>
          <w:color w:val="auto"/>
          <w:szCs w:val="24"/>
          <w:vertAlign w:val="subscript"/>
        </w:rPr>
        <w:t>i1</w:t>
      </w:r>
      <w:r>
        <w:rPr>
          <w:rFonts w:eastAsia="宋体"/>
          <w:color w:val="auto"/>
          <w:szCs w:val="24"/>
        </w:rPr>
        <w:t>、</w:t>
      </w:r>
      <w:r>
        <w:rPr>
          <w:color w:val="auto"/>
          <w:szCs w:val="24"/>
        </w:rPr>
        <w:t>m</w:t>
      </w:r>
      <w:r>
        <w:rPr>
          <w:color w:val="auto"/>
          <w:szCs w:val="24"/>
          <w:vertAlign w:val="subscript"/>
        </w:rPr>
        <w:t>i2</w:t>
      </w:r>
      <w:r>
        <w:rPr>
          <w:rFonts w:eastAsia="宋体"/>
          <w:color w:val="auto"/>
          <w:szCs w:val="24"/>
        </w:rPr>
        <w:t>分别为单位时间生活垃圾、常规燃料、常规原料、污泥和第一种危废、第二种危废的投加量，单位</w:t>
      </w:r>
      <w:r>
        <w:rPr>
          <w:color w:val="auto"/>
          <w:szCs w:val="24"/>
        </w:rPr>
        <w:t>kg/h</w:t>
      </w:r>
      <w:r>
        <w:rPr>
          <w:rFonts w:eastAsia="宋体"/>
          <w:color w:val="auto"/>
          <w:szCs w:val="24"/>
        </w:rPr>
        <w:t>。</w:t>
      </w:r>
    </w:p>
    <w:p w14:paraId="1324EACA" w14:textId="77777777" w:rsidR="002E474C" w:rsidRDefault="00000000">
      <w:pPr>
        <w:pStyle w:val="21"/>
        <w:spacing w:before="240" w:after="240"/>
        <w:rPr>
          <w:color w:val="auto"/>
        </w:rPr>
      </w:pPr>
      <w:bookmarkStart w:id="170" w:name="_Toc225848855"/>
      <w:bookmarkStart w:id="171" w:name="_Toc6807"/>
      <w:r>
        <w:rPr>
          <w:color w:val="auto"/>
        </w:rPr>
        <w:t>工程分析</w:t>
      </w:r>
      <w:bookmarkEnd w:id="170"/>
      <w:bookmarkEnd w:id="171"/>
    </w:p>
    <w:p w14:paraId="0A5005A7" w14:textId="77777777" w:rsidR="002E474C" w:rsidRDefault="00000000">
      <w:pPr>
        <w:pStyle w:val="31"/>
        <w:spacing w:before="120" w:after="120"/>
        <w:rPr>
          <w:color w:val="auto"/>
        </w:rPr>
      </w:pPr>
      <w:r>
        <w:rPr>
          <w:color w:val="auto"/>
        </w:rPr>
        <w:t>水泥窑协同处置生产工艺</w:t>
      </w:r>
    </w:p>
    <w:p w14:paraId="3AF588F9" w14:textId="77777777" w:rsidR="002E474C" w:rsidRDefault="00000000">
      <w:pPr>
        <w:pStyle w:val="41"/>
        <w:rPr>
          <w:color w:val="auto"/>
        </w:rPr>
      </w:pPr>
      <w:r>
        <w:rPr>
          <w:color w:val="auto"/>
        </w:rPr>
        <w:t>新型干法水泥窑煅烧过程</w:t>
      </w:r>
    </w:p>
    <w:p w14:paraId="78947FDC" w14:textId="77777777" w:rsidR="002E474C" w:rsidRDefault="00000000">
      <w:pPr>
        <w:pStyle w:val="A-z"/>
        <w:rPr>
          <w:color w:val="auto"/>
        </w:rPr>
      </w:pPr>
      <w:r>
        <w:rPr>
          <w:color w:val="auto"/>
        </w:rPr>
        <w:t>新型干法窑的煅烧过程如图</w:t>
      </w:r>
      <w:r>
        <w:rPr>
          <w:color w:val="auto"/>
        </w:rPr>
        <w:t>3.5-1</w:t>
      </w:r>
      <w:r>
        <w:rPr>
          <w:color w:val="auto"/>
        </w:rPr>
        <w:t>所示，物料和烟气流向相反。物料流向：生料磨</w:t>
      </w:r>
      <w:r>
        <w:rPr>
          <w:color w:val="auto"/>
        </w:rPr>
        <w:t>→</w:t>
      </w:r>
      <w:r>
        <w:rPr>
          <w:color w:val="auto"/>
        </w:rPr>
        <w:t>预热器</w:t>
      </w:r>
      <w:r>
        <w:rPr>
          <w:color w:val="auto"/>
        </w:rPr>
        <w:t>→</w:t>
      </w:r>
      <w:r>
        <w:rPr>
          <w:color w:val="auto"/>
        </w:rPr>
        <w:t>分解炉</w:t>
      </w:r>
      <w:r>
        <w:rPr>
          <w:color w:val="auto"/>
        </w:rPr>
        <w:t>→</w:t>
      </w:r>
      <w:r>
        <w:rPr>
          <w:color w:val="auto"/>
        </w:rPr>
        <w:t>回转窑</w:t>
      </w:r>
      <w:r>
        <w:rPr>
          <w:color w:val="auto"/>
        </w:rPr>
        <w:t>→</w:t>
      </w:r>
      <w:r>
        <w:rPr>
          <w:color w:val="auto"/>
        </w:rPr>
        <w:t>冷却机；烟气流向：回转窑</w:t>
      </w:r>
      <w:r>
        <w:rPr>
          <w:color w:val="auto"/>
        </w:rPr>
        <w:t>→</w:t>
      </w:r>
      <w:r>
        <w:rPr>
          <w:color w:val="auto"/>
        </w:rPr>
        <w:t>分解炉</w:t>
      </w:r>
      <w:r>
        <w:rPr>
          <w:color w:val="auto"/>
        </w:rPr>
        <w:t>→</w:t>
      </w:r>
      <w:r>
        <w:rPr>
          <w:color w:val="auto"/>
        </w:rPr>
        <w:t>预热</w:t>
      </w:r>
      <w:r>
        <w:rPr>
          <w:color w:val="auto"/>
        </w:rPr>
        <w:lastRenderedPageBreak/>
        <w:t>器</w:t>
      </w:r>
      <w:r>
        <w:rPr>
          <w:color w:val="auto"/>
        </w:rPr>
        <w:t>→</w:t>
      </w:r>
      <w:r>
        <w:rPr>
          <w:color w:val="auto"/>
        </w:rPr>
        <w:t>余热锅炉</w:t>
      </w:r>
      <w:r>
        <w:rPr>
          <w:color w:val="auto"/>
        </w:rPr>
        <w:t>→</w:t>
      </w:r>
      <w:r>
        <w:rPr>
          <w:color w:val="auto"/>
        </w:rPr>
        <w:t>生料磨或增湿塔</w:t>
      </w:r>
      <w:r>
        <w:rPr>
          <w:color w:val="auto"/>
        </w:rPr>
        <w:t>→</w:t>
      </w:r>
      <w:r>
        <w:rPr>
          <w:color w:val="auto"/>
        </w:rPr>
        <w:t>除尘器</w:t>
      </w:r>
      <w:r>
        <w:rPr>
          <w:color w:val="auto"/>
        </w:rPr>
        <w:t>→</w:t>
      </w:r>
      <w:r>
        <w:rPr>
          <w:color w:val="auto"/>
        </w:rPr>
        <w:t>烟囱。</w:t>
      </w:r>
    </w:p>
    <w:p w14:paraId="09703DD9" w14:textId="77777777" w:rsidR="002E474C" w:rsidRDefault="00000000">
      <w:pPr>
        <w:pStyle w:val="A-z"/>
        <w:rPr>
          <w:b/>
          <w:bCs/>
          <w:color w:val="auto"/>
        </w:rPr>
      </w:pPr>
      <w:r>
        <w:rPr>
          <w:color w:val="auto"/>
        </w:rPr>
        <w:t>悬浮预热器内：物料温度</w:t>
      </w:r>
      <w:r>
        <w:rPr>
          <w:color w:val="auto"/>
        </w:rPr>
        <w:t>100~750℃</w:t>
      </w:r>
      <w:r>
        <w:rPr>
          <w:color w:val="auto"/>
        </w:rPr>
        <w:t>，停留时间</w:t>
      </w:r>
      <w:r>
        <w:rPr>
          <w:color w:val="auto"/>
        </w:rPr>
        <w:t>50s</w:t>
      </w:r>
      <w:r>
        <w:rPr>
          <w:color w:val="auto"/>
        </w:rPr>
        <w:t>左右；气体温度</w:t>
      </w:r>
      <w:r>
        <w:rPr>
          <w:color w:val="auto"/>
        </w:rPr>
        <w:t>350~850℃</w:t>
      </w:r>
      <w:r>
        <w:rPr>
          <w:color w:val="auto"/>
        </w:rPr>
        <w:t>，停留时间</w:t>
      </w:r>
      <w:r>
        <w:rPr>
          <w:color w:val="auto"/>
        </w:rPr>
        <w:t>10s</w:t>
      </w:r>
      <w:r>
        <w:rPr>
          <w:color w:val="auto"/>
        </w:rPr>
        <w:t>左右。分解炉内：物料温度</w:t>
      </w:r>
      <w:r>
        <w:rPr>
          <w:color w:val="auto"/>
        </w:rPr>
        <w:t>750~900℃</w:t>
      </w:r>
      <w:r>
        <w:rPr>
          <w:color w:val="auto"/>
        </w:rPr>
        <w:t>，停留时间</w:t>
      </w:r>
      <w:r>
        <w:rPr>
          <w:color w:val="auto"/>
        </w:rPr>
        <w:t>5s</w:t>
      </w:r>
      <w:r>
        <w:rPr>
          <w:color w:val="auto"/>
        </w:rPr>
        <w:t>左右；气体温度</w:t>
      </w:r>
      <w:r>
        <w:rPr>
          <w:color w:val="auto"/>
        </w:rPr>
        <w:t>850~1150℃</w:t>
      </w:r>
      <w:r>
        <w:rPr>
          <w:color w:val="auto"/>
        </w:rPr>
        <w:t>，停留时间</w:t>
      </w:r>
      <w:r>
        <w:rPr>
          <w:color w:val="auto"/>
        </w:rPr>
        <w:t>3s</w:t>
      </w:r>
      <w:r>
        <w:rPr>
          <w:color w:val="auto"/>
        </w:rPr>
        <w:t>左右。回转窑窑内：物料温度</w:t>
      </w:r>
      <w:r>
        <w:rPr>
          <w:color w:val="auto"/>
        </w:rPr>
        <w:t>900~1450℃</w:t>
      </w:r>
      <w:r>
        <w:rPr>
          <w:color w:val="auto"/>
        </w:rPr>
        <w:t>，停留时间</w:t>
      </w:r>
      <w:r>
        <w:rPr>
          <w:color w:val="auto"/>
        </w:rPr>
        <w:t>30min</w:t>
      </w:r>
      <w:r>
        <w:rPr>
          <w:color w:val="auto"/>
        </w:rPr>
        <w:t>左右；烟气温度</w:t>
      </w:r>
      <w:r>
        <w:rPr>
          <w:color w:val="auto"/>
        </w:rPr>
        <w:t>1150~2000℃</w:t>
      </w:r>
      <w:r>
        <w:rPr>
          <w:color w:val="auto"/>
        </w:rPr>
        <w:t>，停留时间</w:t>
      </w:r>
      <w:r>
        <w:rPr>
          <w:color w:val="auto"/>
        </w:rPr>
        <w:t>10s</w:t>
      </w:r>
      <w:r>
        <w:rPr>
          <w:color w:val="auto"/>
        </w:rPr>
        <w:t>左右。</w:t>
      </w:r>
    </w:p>
    <w:p w14:paraId="32015445" w14:textId="77777777" w:rsidR="002E474C" w:rsidRDefault="00000000">
      <w:pPr>
        <w:pStyle w:val="A-z"/>
        <w:rPr>
          <w:color w:val="auto"/>
        </w:rPr>
      </w:pPr>
      <w:r>
        <w:rPr>
          <w:color w:val="auto"/>
        </w:rPr>
        <w:t>熟料烧成系统各温区发生的主要反应见表</w:t>
      </w:r>
      <w:r>
        <w:rPr>
          <w:color w:val="auto"/>
        </w:rPr>
        <w:t>3.5-1</w:t>
      </w:r>
      <w:r>
        <w:rPr>
          <w:color w:val="auto"/>
        </w:rPr>
        <w:t>。</w:t>
      </w:r>
    </w:p>
    <w:p w14:paraId="780ABBDF" w14:textId="77777777" w:rsidR="002E474C" w:rsidRDefault="00000000">
      <w:pPr>
        <w:pStyle w:val="A--"/>
        <w:rPr>
          <w:color w:val="auto"/>
        </w:rPr>
      </w:pPr>
      <w:bookmarkStart w:id="172" w:name="_Ref127186845"/>
      <w:r>
        <w:rPr>
          <w:color w:val="auto"/>
        </w:rPr>
        <w:t>表</w:t>
      </w:r>
      <w:bookmarkEnd w:id="172"/>
      <w:r>
        <w:rPr>
          <w:color w:val="auto"/>
        </w:rPr>
        <w:t xml:space="preserve">3.5-1  </w:t>
      </w:r>
      <w:r>
        <w:rPr>
          <w:color w:val="auto"/>
        </w:rPr>
        <w:t>熟料烧成系统各温度区主要反应表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10"/>
        <w:gridCol w:w="1222"/>
        <w:gridCol w:w="5488"/>
      </w:tblGrid>
      <w:tr w:rsidR="002E474C" w14:paraId="318DD8A3" w14:textId="77777777">
        <w:trPr>
          <w:cantSplit/>
        </w:trPr>
        <w:tc>
          <w:tcPr>
            <w:tcW w:w="426" w:type="dxa"/>
            <w:vAlign w:val="center"/>
          </w:tcPr>
          <w:p w14:paraId="4ED64DED" w14:textId="77777777" w:rsidR="002E474C" w:rsidRDefault="00000000">
            <w:pPr>
              <w:pStyle w:val="A-"/>
            </w:pPr>
            <w:r>
              <w:t>序号</w:t>
            </w:r>
          </w:p>
        </w:tc>
        <w:tc>
          <w:tcPr>
            <w:tcW w:w="933" w:type="dxa"/>
            <w:vAlign w:val="center"/>
          </w:tcPr>
          <w:p w14:paraId="0E7856F1" w14:textId="77777777" w:rsidR="002E474C" w:rsidRDefault="00000000">
            <w:pPr>
              <w:pStyle w:val="A-"/>
            </w:pPr>
            <w:r>
              <w:t>区域</w:t>
            </w:r>
          </w:p>
          <w:p w14:paraId="39AC06DC" w14:textId="77777777" w:rsidR="002E474C" w:rsidRDefault="00000000">
            <w:pPr>
              <w:pStyle w:val="A-"/>
            </w:pPr>
            <w:r>
              <w:t>名称</w:t>
            </w:r>
          </w:p>
        </w:tc>
        <w:tc>
          <w:tcPr>
            <w:tcW w:w="1225" w:type="dxa"/>
            <w:vAlign w:val="center"/>
          </w:tcPr>
          <w:p w14:paraId="178FFF50" w14:textId="77777777" w:rsidR="002E474C" w:rsidRDefault="00000000">
            <w:pPr>
              <w:pStyle w:val="A-"/>
            </w:pPr>
            <w:r>
              <w:t>物料温度（</w:t>
            </w:r>
            <w:r>
              <w:t>℃</w:t>
            </w:r>
            <w:r>
              <w:t>）</w:t>
            </w:r>
          </w:p>
        </w:tc>
        <w:tc>
          <w:tcPr>
            <w:tcW w:w="5688" w:type="dxa"/>
            <w:vAlign w:val="center"/>
          </w:tcPr>
          <w:p w14:paraId="0A426E4B" w14:textId="77777777" w:rsidR="002E474C" w:rsidRDefault="00000000">
            <w:pPr>
              <w:pStyle w:val="A-"/>
            </w:pPr>
            <w:r>
              <w:t>主要反应</w:t>
            </w:r>
          </w:p>
        </w:tc>
      </w:tr>
      <w:tr w:rsidR="002E474C" w14:paraId="12CF47DE" w14:textId="77777777">
        <w:trPr>
          <w:cantSplit/>
          <w:trHeight w:val="250"/>
        </w:trPr>
        <w:tc>
          <w:tcPr>
            <w:tcW w:w="426" w:type="dxa"/>
            <w:vAlign w:val="center"/>
          </w:tcPr>
          <w:p w14:paraId="29BCB132" w14:textId="77777777" w:rsidR="002E474C" w:rsidRDefault="00000000">
            <w:pPr>
              <w:pStyle w:val="A-"/>
            </w:pPr>
            <w:r>
              <w:t>1</w:t>
            </w:r>
          </w:p>
        </w:tc>
        <w:tc>
          <w:tcPr>
            <w:tcW w:w="933" w:type="dxa"/>
            <w:vAlign w:val="center"/>
          </w:tcPr>
          <w:p w14:paraId="46E685AF" w14:textId="77777777" w:rsidR="002E474C" w:rsidRDefault="00000000">
            <w:pPr>
              <w:pStyle w:val="A-"/>
            </w:pPr>
            <w:r>
              <w:t>干燥带</w:t>
            </w:r>
          </w:p>
        </w:tc>
        <w:tc>
          <w:tcPr>
            <w:tcW w:w="1225" w:type="dxa"/>
            <w:vAlign w:val="center"/>
          </w:tcPr>
          <w:p w14:paraId="14A35F19" w14:textId="77777777" w:rsidR="002E474C" w:rsidRDefault="00000000">
            <w:pPr>
              <w:pStyle w:val="A-"/>
            </w:pPr>
            <w:r>
              <w:t>20~150</w:t>
            </w:r>
          </w:p>
        </w:tc>
        <w:tc>
          <w:tcPr>
            <w:tcW w:w="5688" w:type="dxa"/>
            <w:vAlign w:val="center"/>
          </w:tcPr>
          <w:p w14:paraId="5A83F15C" w14:textId="77777777" w:rsidR="002E474C" w:rsidRDefault="00000000">
            <w:pPr>
              <w:pStyle w:val="A-"/>
            </w:pPr>
            <w:r>
              <w:t>物料水分蒸发</w:t>
            </w:r>
          </w:p>
        </w:tc>
      </w:tr>
      <w:tr w:rsidR="002E474C" w14:paraId="54FB2A8F" w14:textId="77777777">
        <w:trPr>
          <w:cantSplit/>
        </w:trPr>
        <w:tc>
          <w:tcPr>
            <w:tcW w:w="426" w:type="dxa"/>
            <w:vAlign w:val="center"/>
          </w:tcPr>
          <w:p w14:paraId="3504C346" w14:textId="77777777" w:rsidR="002E474C" w:rsidRDefault="00000000">
            <w:pPr>
              <w:pStyle w:val="A-"/>
            </w:pPr>
            <w:r>
              <w:t>2</w:t>
            </w:r>
          </w:p>
        </w:tc>
        <w:tc>
          <w:tcPr>
            <w:tcW w:w="933" w:type="dxa"/>
            <w:vAlign w:val="center"/>
          </w:tcPr>
          <w:p w14:paraId="12C4340B" w14:textId="77777777" w:rsidR="002E474C" w:rsidRDefault="00000000">
            <w:pPr>
              <w:pStyle w:val="A-"/>
            </w:pPr>
            <w:r>
              <w:t>预热带</w:t>
            </w:r>
          </w:p>
        </w:tc>
        <w:tc>
          <w:tcPr>
            <w:tcW w:w="1225" w:type="dxa"/>
            <w:vAlign w:val="center"/>
          </w:tcPr>
          <w:p w14:paraId="0C0D34C9" w14:textId="77777777" w:rsidR="002E474C" w:rsidRDefault="00000000">
            <w:pPr>
              <w:pStyle w:val="A-"/>
            </w:pPr>
            <w:r>
              <w:t>150~600</w:t>
            </w:r>
          </w:p>
        </w:tc>
        <w:tc>
          <w:tcPr>
            <w:tcW w:w="5688" w:type="dxa"/>
            <w:vAlign w:val="center"/>
          </w:tcPr>
          <w:p w14:paraId="71AEABA1" w14:textId="77777777" w:rsidR="002E474C" w:rsidRDefault="00000000">
            <w:pPr>
              <w:pStyle w:val="A-"/>
            </w:pPr>
            <w:r>
              <w:t>陶土脱水与分解</w:t>
            </w:r>
          </w:p>
        </w:tc>
      </w:tr>
      <w:tr w:rsidR="002E474C" w14:paraId="0E050BA0" w14:textId="77777777">
        <w:trPr>
          <w:cantSplit/>
        </w:trPr>
        <w:tc>
          <w:tcPr>
            <w:tcW w:w="426" w:type="dxa"/>
            <w:vAlign w:val="center"/>
          </w:tcPr>
          <w:p w14:paraId="429C9F85" w14:textId="77777777" w:rsidR="002E474C" w:rsidRDefault="00000000">
            <w:pPr>
              <w:pStyle w:val="A-"/>
            </w:pPr>
            <w:r>
              <w:t>3</w:t>
            </w:r>
          </w:p>
        </w:tc>
        <w:tc>
          <w:tcPr>
            <w:tcW w:w="933" w:type="dxa"/>
            <w:vAlign w:val="center"/>
          </w:tcPr>
          <w:p w14:paraId="0DA0768E" w14:textId="77777777" w:rsidR="002E474C" w:rsidRDefault="00000000">
            <w:pPr>
              <w:pStyle w:val="A-"/>
            </w:pPr>
            <w:r>
              <w:t>分解带</w:t>
            </w:r>
          </w:p>
        </w:tc>
        <w:tc>
          <w:tcPr>
            <w:tcW w:w="1225" w:type="dxa"/>
            <w:vAlign w:val="center"/>
          </w:tcPr>
          <w:p w14:paraId="5FF0D2C4" w14:textId="77777777" w:rsidR="002E474C" w:rsidRDefault="00000000">
            <w:pPr>
              <w:pStyle w:val="A-"/>
            </w:pPr>
            <w:r>
              <w:t>600~900</w:t>
            </w:r>
          </w:p>
        </w:tc>
        <w:tc>
          <w:tcPr>
            <w:tcW w:w="5688" w:type="dxa"/>
            <w:vAlign w:val="center"/>
          </w:tcPr>
          <w:p w14:paraId="34D29759" w14:textId="77777777" w:rsidR="002E474C" w:rsidRDefault="00000000">
            <w:pPr>
              <w:pStyle w:val="A-"/>
            </w:pPr>
            <w:r>
              <w:t>石灰石中碳酸盐分解，形成</w:t>
            </w:r>
            <w:r>
              <w:t>Ca</w:t>
            </w:r>
            <w:r>
              <w:t>、</w:t>
            </w:r>
            <w:r>
              <w:t>CF</w:t>
            </w:r>
            <w:r>
              <w:t>、</w:t>
            </w:r>
            <w:r>
              <w:t>C</w:t>
            </w:r>
            <w:r>
              <w:rPr>
                <w:vertAlign w:val="subscript"/>
              </w:rPr>
              <w:t>2</w:t>
            </w:r>
            <w:r>
              <w:t>F</w:t>
            </w:r>
            <w:r>
              <w:t>；开始形成</w:t>
            </w:r>
            <w:r>
              <w:t>C</w:t>
            </w:r>
            <w:r>
              <w:rPr>
                <w:vertAlign w:val="subscript"/>
              </w:rPr>
              <w:t>12</w:t>
            </w:r>
            <w:r>
              <w:t>A</w:t>
            </w:r>
            <w:r>
              <w:rPr>
                <w:vertAlign w:val="subscript"/>
              </w:rPr>
              <w:t>7</w:t>
            </w:r>
            <w:r>
              <w:t>，</w:t>
            </w:r>
            <w:r>
              <w:t>C</w:t>
            </w:r>
            <w:r>
              <w:rPr>
                <w:vertAlign w:val="subscript"/>
              </w:rPr>
              <w:t>2</w:t>
            </w:r>
            <w:r>
              <w:t>S</w:t>
            </w:r>
          </w:p>
        </w:tc>
      </w:tr>
      <w:tr w:rsidR="002E474C" w14:paraId="70CF9811" w14:textId="77777777">
        <w:trPr>
          <w:cantSplit/>
        </w:trPr>
        <w:tc>
          <w:tcPr>
            <w:tcW w:w="426" w:type="dxa"/>
            <w:vAlign w:val="center"/>
          </w:tcPr>
          <w:p w14:paraId="729BA7E1" w14:textId="77777777" w:rsidR="002E474C" w:rsidRDefault="00000000">
            <w:pPr>
              <w:pStyle w:val="A-"/>
            </w:pPr>
            <w:r>
              <w:t>4</w:t>
            </w:r>
          </w:p>
        </w:tc>
        <w:tc>
          <w:tcPr>
            <w:tcW w:w="933" w:type="dxa"/>
            <w:vAlign w:val="center"/>
          </w:tcPr>
          <w:p w14:paraId="588449C3" w14:textId="77777777" w:rsidR="002E474C" w:rsidRDefault="00000000">
            <w:pPr>
              <w:pStyle w:val="A-"/>
            </w:pPr>
            <w:r>
              <w:t>反应带</w:t>
            </w:r>
          </w:p>
        </w:tc>
        <w:tc>
          <w:tcPr>
            <w:tcW w:w="1225" w:type="dxa"/>
            <w:vAlign w:val="center"/>
          </w:tcPr>
          <w:p w14:paraId="660EB4C0" w14:textId="77777777" w:rsidR="002E474C" w:rsidRDefault="00000000">
            <w:pPr>
              <w:pStyle w:val="A-"/>
            </w:pPr>
            <w:r>
              <w:t>900~1300</w:t>
            </w:r>
          </w:p>
        </w:tc>
        <w:tc>
          <w:tcPr>
            <w:tcW w:w="5688" w:type="dxa"/>
            <w:vAlign w:val="center"/>
          </w:tcPr>
          <w:p w14:paraId="5D390DB4" w14:textId="77777777" w:rsidR="002E474C" w:rsidRDefault="00000000">
            <w:pPr>
              <w:pStyle w:val="A-"/>
            </w:pPr>
            <w:r>
              <w:t>大量形成</w:t>
            </w:r>
            <w:r>
              <w:t>C</w:t>
            </w:r>
            <w:r>
              <w:rPr>
                <w:vertAlign w:val="subscript"/>
              </w:rPr>
              <w:t>2</w:t>
            </w:r>
            <w:r>
              <w:t>S</w:t>
            </w:r>
            <w:r>
              <w:t>，</w:t>
            </w:r>
            <w:r>
              <w:t>C</w:t>
            </w:r>
            <w:r>
              <w:rPr>
                <w:vertAlign w:val="subscript"/>
              </w:rPr>
              <w:t>4</w:t>
            </w:r>
            <w:r>
              <w:t>AF</w:t>
            </w:r>
            <w:r>
              <w:t>，</w:t>
            </w:r>
            <w:r>
              <w:t>C</w:t>
            </w:r>
            <w:r>
              <w:rPr>
                <w:vertAlign w:val="subscript"/>
              </w:rPr>
              <w:t>3</w:t>
            </w:r>
            <w:r>
              <w:t>S</w:t>
            </w:r>
          </w:p>
        </w:tc>
      </w:tr>
      <w:tr w:rsidR="002E474C" w14:paraId="32B92696" w14:textId="77777777">
        <w:trPr>
          <w:cantSplit/>
        </w:trPr>
        <w:tc>
          <w:tcPr>
            <w:tcW w:w="426" w:type="dxa"/>
            <w:vAlign w:val="center"/>
          </w:tcPr>
          <w:p w14:paraId="6709B0AB" w14:textId="77777777" w:rsidR="002E474C" w:rsidRDefault="00000000">
            <w:pPr>
              <w:pStyle w:val="A-"/>
            </w:pPr>
            <w:r>
              <w:t>5</w:t>
            </w:r>
          </w:p>
        </w:tc>
        <w:tc>
          <w:tcPr>
            <w:tcW w:w="933" w:type="dxa"/>
            <w:vAlign w:val="center"/>
          </w:tcPr>
          <w:p w14:paraId="79CB90EB" w14:textId="77777777" w:rsidR="002E474C" w:rsidRDefault="00000000">
            <w:pPr>
              <w:pStyle w:val="A-"/>
            </w:pPr>
            <w:r>
              <w:t>烧成带</w:t>
            </w:r>
          </w:p>
        </w:tc>
        <w:tc>
          <w:tcPr>
            <w:tcW w:w="1225" w:type="dxa"/>
            <w:vAlign w:val="center"/>
          </w:tcPr>
          <w:p w14:paraId="118390CB" w14:textId="77777777" w:rsidR="002E474C" w:rsidRDefault="00000000">
            <w:pPr>
              <w:pStyle w:val="A-"/>
            </w:pPr>
            <w:r>
              <w:t>1300~1450</w:t>
            </w:r>
          </w:p>
        </w:tc>
        <w:tc>
          <w:tcPr>
            <w:tcW w:w="5688" w:type="dxa"/>
            <w:vAlign w:val="center"/>
          </w:tcPr>
          <w:p w14:paraId="7F567450" w14:textId="77777777" w:rsidR="002E474C" w:rsidRDefault="00000000">
            <w:pPr>
              <w:pStyle w:val="A-"/>
            </w:pPr>
            <w:r>
              <w:t>液相开始出现形成</w:t>
            </w:r>
            <w:r>
              <w:t>C</w:t>
            </w:r>
            <w:r>
              <w:rPr>
                <w:vertAlign w:val="subscript"/>
              </w:rPr>
              <w:t>3</w:t>
            </w:r>
            <w:r>
              <w:t>S</w:t>
            </w:r>
            <w:r>
              <w:t>，</w:t>
            </w:r>
            <w:r>
              <w:t>f-</w:t>
            </w:r>
            <w:proofErr w:type="spellStart"/>
            <w:r>
              <w:t>CaO</w:t>
            </w:r>
            <w:proofErr w:type="spellEnd"/>
            <w:r>
              <w:t>逐步消失，液相量达到</w:t>
            </w:r>
            <w:r>
              <w:t>20%~30%</w:t>
            </w:r>
            <w:r>
              <w:t>；</w:t>
            </w:r>
            <w:r>
              <w:t>Al</w:t>
            </w:r>
            <w:r>
              <w:rPr>
                <w:vertAlign w:val="subscript"/>
              </w:rPr>
              <w:t>2</w:t>
            </w:r>
            <w:r>
              <w:t>O</w:t>
            </w:r>
            <w:r>
              <w:rPr>
                <w:vertAlign w:val="subscript"/>
              </w:rPr>
              <w:t>3</w:t>
            </w:r>
            <w:r>
              <w:t>、</w:t>
            </w:r>
            <w:r>
              <w:t>Fe</w:t>
            </w:r>
            <w:r>
              <w:rPr>
                <w:vertAlign w:val="subscript"/>
              </w:rPr>
              <w:t>2</w:t>
            </w:r>
            <w:r>
              <w:t>O</w:t>
            </w:r>
            <w:r>
              <w:rPr>
                <w:vertAlign w:val="subscript"/>
              </w:rPr>
              <w:t>3</w:t>
            </w:r>
            <w:r>
              <w:t>及其他组分进入液相。</w:t>
            </w:r>
          </w:p>
        </w:tc>
      </w:tr>
      <w:tr w:rsidR="002E474C" w14:paraId="4903EE0E" w14:textId="77777777">
        <w:trPr>
          <w:cantSplit/>
        </w:trPr>
        <w:tc>
          <w:tcPr>
            <w:tcW w:w="426" w:type="dxa"/>
            <w:vAlign w:val="center"/>
          </w:tcPr>
          <w:p w14:paraId="040A1659" w14:textId="77777777" w:rsidR="002E474C" w:rsidRDefault="00000000">
            <w:pPr>
              <w:pStyle w:val="A-"/>
            </w:pPr>
            <w:r>
              <w:t>6</w:t>
            </w:r>
          </w:p>
        </w:tc>
        <w:tc>
          <w:tcPr>
            <w:tcW w:w="933" w:type="dxa"/>
            <w:vAlign w:val="center"/>
          </w:tcPr>
          <w:p w14:paraId="1207FD3F" w14:textId="77777777" w:rsidR="002E474C" w:rsidRDefault="00000000">
            <w:pPr>
              <w:pStyle w:val="A-"/>
            </w:pPr>
            <w:r>
              <w:t>冷却带</w:t>
            </w:r>
          </w:p>
        </w:tc>
        <w:tc>
          <w:tcPr>
            <w:tcW w:w="1225" w:type="dxa"/>
            <w:vAlign w:val="center"/>
          </w:tcPr>
          <w:p w14:paraId="578B141B" w14:textId="77777777" w:rsidR="002E474C" w:rsidRDefault="00000000">
            <w:pPr>
              <w:pStyle w:val="A-"/>
            </w:pPr>
            <w:r>
              <w:t>1300~1000</w:t>
            </w:r>
          </w:p>
        </w:tc>
        <w:tc>
          <w:tcPr>
            <w:tcW w:w="5688" w:type="dxa"/>
            <w:vAlign w:val="center"/>
          </w:tcPr>
          <w:p w14:paraId="0D8F2ED2" w14:textId="77777777" w:rsidR="002E474C" w:rsidRDefault="00000000">
            <w:pPr>
              <w:pStyle w:val="A-"/>
            </w:pPr>
            <w:r>
              <w:rPr>
                <w:spacing w:val="-11"/>
              </w:rPr>
              <w:t>C</w:t>
            </w:r>
            <w:r>
              <w:rPr>
                <w:spacing w:val="-11"/>
                <w:vertAlign w:val="subscript"/>
              </w:rPr>
              <w:t>3</w:t>
            </w:r>
            <w:r>
              <w:rPr>
                <w:spacing w:val="-11"/>
              </w:rPr>
              <w:t>A</w:t>
            </w:r>
            <w:r>
              <w:rPr>
                <w:spacing w:val="-11"/>
              </w:rPr>
              <w:t>，</w:t>
            </w:r>
            <w:r>
              <w:rPr>
                <w:spacing w:val="-11"/>
              </w:rPr>
              <w:t>C</w:t>
            </w:r>
            <w:r>
              <w:rPr>
                <w:spacing w:val="-11"/>
                <w:vertAlign w:val="subscript"/>
              </w:rPr>
              <w:t>4</w:t>
            </w:r>
            <w:r>
              <w:rPr>
                <w:spacing w:val="-11"/>
              </w:rPr>
              <w:t>AF</w:t>
            </w:r>
            <w:r>
              <w:rPr>
                <w:spacing w:val="-11"/>
              </w:rPr>
              <w:t>有时还有</w:t>
            </w:r>
            <w:r>
              <w:rPr>
                <w:spacing w:val="-11"/>
              </w:rPr>
              <w:t>C</w:t>
            </w:r>
            <w:r>
              <w:rPr>
                <w:spacing w:val="-11"/>
                <w:vertAlign w:val="subscript"/>
              </w:rPr>
              <w:t>12</w:t>
            </w:r>
            <w:r>
              <w:rPr>
                <w:spacing w:val="-11"/>
              </w:rPr>
              <w:t>A</w:t>
            </w:r>
            <w:r>
              <w:rPr>
                <w:spacing w:val="-11"/>
                <w:vertAlign w:val="subscript"/>
              </w:rPr>
              <w:t>7</w:t>
            </w:r>
            <w:r>
              <w:rPr>
                <w:spacing w:val="-11"/>
              </w:rPr>
              <w:t>重新结晶出来，部分液相成为玻璃体。</w:t>
            </w:r>
          </w:p>
        </w:tc>
      </w:tr>
    </w:tbl>
    <w:p w14:paraId="36D058AB" w14:textId="77777777" w:rsidR="002E474C" w:rsidRDefault="002E474C"/>
    <w:p w14:paraId="66E5FC2F" w14:textId="77777777" w:rsidR="002E474C" w:rsidRDefault="00000000">
      <w:pPr>
        <w:pStyle w:val="A-z"/>
        <w:rPr>
          <w:color w:val="auto"/>
        </w:rPr>
      </w:pPr>
      <w:r>
        <w:rPr>
          <w:color w:val="auto"/>
        </w:rPr>
        <w:t>根据国内对水泥窑协同处置危险废物重金属固化迁移规律的研究成果，水泥熟料中主要包含</w:t>
      </w:r>
      <w:r>
        <w:rPr>
          <w:color w:val="auto"/>
        </w:rPr>
        <w:t>4</w:t>
      </w:r>
      <w:r>
        <w:rPr>
          <w:color w:val="auto"/>
        </w:rPr>
        <w:t>种矿物，硅酸二钙（</w:t>
      </w:r>
      <w:r>
        <w:rPr>
          <w:color w:val="auto"/>
        </w:rPr>
        <w:t>C</w:t>
      </w:r>
      <w:r>
        <w:rPr>
          <w:color w:val="auto"/>
          <w:vertAlign w:val="subscript"/>
        </w:rPr>
        <w:t>2</w:t>
      </w:r>
      <w:r>
        <w:rPr>
          <w:color w:val="auto"/>
        </w:rPr>
        <w:t>S</w:t>
      </w:r>
      <w:r>
        <w:rPr>
          <w:color w:val="auto"/>
        </w:rPr>
        <w:t>）、铝酸三钙（</w:t>
      </w:r>
      <w:r>
        <w:rPr>
          <w:color w:val="auto"/>
        </w:rPr>
        <w:t>C</w:t>
      </w:r>
      <w:r>
        <w:rPr>
          <w:color w:val="auto"/>
          <w:vertAlign w:val="subscript"/>
        </w:rPr>
        <w:t>3</w:t>
      </w:r>
      <w:r>
        <w:rPr>
          <w:color w:val="auto"/>
        </w:rPr>
        <w:t>A</w:t>
      </w:r>
      <w:r>
        <w:rPr>
          <w:color w:val="auto"/>
        </w:rPr>
        <w:t>）、铁铝酸四钙（</w:t>
      </w:r>
      <w:r>
        <w:rPr>
          <w:color w:val="auto"/>
        </w:rPr>
        <w:t>C</w:t>
      </w:r>
      <w:r>
        <w:rPr>
          <w:color w:val="auto"/>
          <w:vertAlign w:val="subscript"/>
        </w:rPr>
        <w:t>4</w:t>
      </w:r>
      <w:r>
        <w:rPr>
          <w:color w:val="auto"/>
        </w:rPr>
        <w:t>AF</w:t>
      </w:r>
      <w:r>
        <w:rPr>
          <w:color w:val="auto"/>
        </w:rPr>
        <w:t>）和硅酸三钙（</w:t>
      </w:r>
      <w:r>
        <w:rPr>
          <w:color w:val="auto"/>
        </w:rPr>
        <w:t>C</w:t>
      </w:r>
      <w:r>
        <w:rPr>
          <w:color w:val="auto"/>
          <w:vertAlign w:val="subscript"/>
        </w:rPr>
        <w:t>3</w:t>
      </w:r>
      <w:r>
        <w:rPr>
          <w:color w:val="auto"/>
        </w:rPr>
        <w:t>S</w:t>
      </w:r>
      <w:r>
        <w:rPr>
          <w:color w:val="auto"/>
        </w:rPr>
        <w:t>）。</w:t>
      </w:r>
      <w:r>
        <w:rPr>
          <w:color w:val="auto"/>
        </w:rPr>
        <w:t>C</w:t>
      </w:r>
      <w:r>
        <w:rPr>
          <w:color w:val="auto"/>
          <w:vertAlign w:val="subscript"/>
        </w:rPr>
        <w:t>2</w:t>
      </w:r>
      <w:r>
        <w:rPr>
          <w:color w:val="auto"/>
        </w:rPr>
        <w:t>S</w:t>
      </w:r>
      <w:r>
        <w:rPr>
          <w:color w:val="auto"/>
        </w:rPr>
        <w:t>在</w:t>
      </w:r>
      <w:r>
        <w:rPr>
          <w:color w:val="auto"/>
        </w:rPr>
        <w:t>800℃</w:t>
      </w:r>
      <w:r>
        <w:rPr>
          <w:color w:val="auto"/>
        </w:rPr>
        <w:t>左右开始形成，</w:t>
      </w:r>
      <w:r>
        <w:rPr>
          <w:color w:val="auto"/>
        </w:rPr>
        <w:t>C</w:t>
      </w:r>
      <w:r>
        <w:rPr>
          <w:color w:val="auto"/>
          <w:vertAlign w:val="subscript"/>
        </w:rPr>
        <w:t>3</w:t>
      </w:r>
      <w:r>
        <w:rPr>
          <w:color w:val="auto"/>
        </w:rPr>
        <w:t>A</w:t>
      </w:r>
      <w:r>
        <w:rPr>
          <w:color w:val="auto"/>
        </w:rPr>
        <w:t>及</w:t>
      </w:r>
      <w:r>
        <w:rPr>
          <w:color w:val="auto"/>
        </w:rPr>
        <w:t>C</w:t>
      </w:r>
      <w:r>
        <w:rPr>
          <w:color w:val="auto"/>
          <w:vertAlign w:val="subscript"/>
        </w:rPr>
        <w:t>4</w:t>
      </w:r>
      <w:r>
        <w:rPr>
          <w:color w:val="auto"/>
        </w:rPr>
        <w:t>AF</w:t>
      </w:r>
      <w:r>
        <w:rPr>
          <w:color w:val="auto"/>
        </w:rPr>
        <w:t>在</w:t>
      </w:r>
      <w:r>
        <w:rPr>
          <w:color w:val="auto"/>
        </w:rPr>
        <w:t>900~1100℃</w:t>
      </w:r>
      <w:r>
        <w:rPr>
          <w:color w:val="auto"/>
        </w:rPr>
        <w:t>逐渐开始形成，在</w:t>
      </w:r>
      <w:r>
        <w:rPr>
          <w:color w:val="auto"/>
        </w:rPr>
        <w:t>1100~1200℃</w:t>
      </w:r>
      <w:r>
        <w:rPr>
          <w:color w:val="auto"/>
        </w:rPr>
        <w:t>大量形成，</w:t>
      </w:r>
      <w:r>
        <w:rPr>
          <w:color w:val="auto"/>
        </w:rPr>
        <w:t>1200~1300℃</w:t>
      </w:r>
      <w:r>
        <w:rPr>
          <w:color w:val="auto"/>
        </w:rPr>
        <w:t>过程中开始出现液相，</w:t>
      </w:r>
      <w:r>
        <w:rPr>
          <w:color w:val="auto"/>
        </w:rPr>
        <w:t>CaO</w:t>
      </w:r>
      <w:r>
        <w:rPr>
          <w:color w:val="auto"/>
        </w:rPr>
        <w:t>与</w:t>
      </w:r>
      <w:r>
        <w:rPr>
          <w:color w:val="auto"/>
        </w:rPr>
        <w:t>C</w:t>
      </w:r>
      <w:r>
        <w:rPr>
          <w:color w:val="auto"/>
          <w:vertAlign w:val="subscript"/>
        </w:rPr>
        <w:t>2</w:t>
      </w:r>
      <w:r>
        <w:rPr>
          <w:color w:val="auto"/>
        </w:rPr>
        <w:t>S</w:t>
      </w:r>
      <w:r>
        <w:rPr>
          <w:color w:val="auto"/>
        </w:rPr>
        <w:t>溶入液相中，游离氧化钙被充分吸收大量生成</w:t>
      </w:r>
      <w:r>
        <w:rPr>
          <w:color w:val="auto"/>
        </w:rPr>
        <w:t>C</w:t>
      </w:r>
      <w:r>
        <w:rPr>
          <w:color w:val="auto"/>
          <w:vertAlign w:val="subscript"/>
        </w:rPr>
        <w:t>3</w:t>
      </w:r>
      <w:r>
        <w:rPr>
          <w:color w:val="auto"/>
        </w:rPr>
        <w:t>S</w:t>
      </w:r>
      <w:r>
        <w:rPr>
          <w:color w:val="auto"/>
        </w:rPr>
        <w:t>。</w:t>
      </w:r>
    </w:p>
    <w:p w14:paraId="71E659D5" w14:textId="77777777" w:rsidR="002E474C" w:rsidRDefault="00000000">
      <w:pPr>
        <w:pStyle w:val="41"/>
        <w:rPr>
          <w:color w:val="auto"/>
        </w:rPr>
      </w:pPr>
      <w:r>
        <w:rPr>
          <w:color w:val="auto"/>
        </w:rPr>
        <w:t>协同处置原理</w:t>
      </w:r>
    </w:p>
    <w:p w14:paraId="2D1125AF" w14:textId="77777777" w:rsidR="002E474C" w:rsidRDefault="00000000">
      <w:pPr>
        <w:pStyle w:val="A-z"/>
        <w:rPr>
          <w:color w:val="auto"/>
        </w:rPr>
      </w:pPr>
      <w:r>
        <w:rPr>
          <w:color w:val="auto"/>
        </w:rPr>
        <w:t>高温作用下促使未分解或难分解的物质进一步分解；高温锻烧过程中固相和液相反应将分解或燃烧后的残余物中绝大部分重金属离子固化在熟料中；同时预分解全系统在负压下运行且窑尾安装烟气处理装置，高效收尘系统和粉灰循环利用系统保证了有害粉尘的收集和利用。</w:t>
      </w:r>
    </w:p>
    <w:p w14:paraId="05DF743C" w14:textId="77777777" w:rsidR="002E474C" w:rsidRDefault="00000000">
      <w:pPr>
        <w:pStyle w:val="A-z"/>
        <w:rPr>
          <w:color w:val="auto"/>
        </w:rPr>
      </w:pPr>
      <w:r>
        <w:rPr>
          <w:color w:val="auto"/>
        </w:rPr>
        <w:t>（</w:t>
      </w:r>
      <w:r>
        <w:rPr>
          <w:color w:val="auto"/>
        </w:rPr>
        <w:t>1</w:t>
      </w:r>
      <w:r>
        <w:rPr>
          <w:color w:val="auto"/>
        </w:rPr>
        <w:t>）挥发性危废处置及有机物的去除</w:t>
      </w:r>
    </w:p>
    <w:p w14:paraId="687AC41D" w14:textId="77777777" w:rsidR="002E474C" w:rsidRDefault="00000000">
      <w:pPr>
        <w:pStyle w:val="A-z"/>
        <w:rPr>
          <w:color w:val="auto"/>
          <w:kern w:val="0"/>
        </w:rPr>
      </w:pPr>
      <w:r>
        <w:rPr>
          <w:color w:val="auto"/>
        </w:rPr>
        <w:t>项目所指的挥发性危废是主要成分为挥发性有机物的危险废物。挥发性有机物是一种在常温常压下，具有高蒸汽压和易蒸发</w:t>
      </w:r>
      <w:r>
        <w:rPr>
          <w:color w:val="auto"/>
          <w:kern w:val="0"/>
        </w:rPr>
        <w:t>性能的碳氢类物质，在高温下易氧化燃烧，完全氧化时生成</w:t>
      </w:r>
      <w:r>
        <w:rPr>
          <w:color w:val="auto"/>
          <w:kern w:val="0"/>
        </w:rPr>
        <w:t>CO</w:t>
      </w:r>
      <w:r>
        <w:rPr>
          <w:color w:val="auto"/>
          <w:kern w:val="0"/>
          <w:vertAlign w:val="subscript"/>
        </w:rPr>
        <w:t>2</w:t>
      </w:r>
      <w:r>
        <w:rPr>
          <w:color w:val="auto"/>
          <w:kern w:val="0"/>
        </w:rPr>
        <w:t>和</w:t>
      </w:r>
      <w:r>
        <w:rPr>
          <w:color w:val="auto"/>
          <w:kern w:val="0"/>
        </w:rPr>
        <w:t>H</w:t>
      </w:r>
      <w:r>
        <w:rPr>
          <w:color w:val="auto"/>
          <w:kern w:val="0"/>
          <w:vertAlign w:val="subscript"/>
        </w:rPr>
        <w:t>2</w:t>
      </w:r>
      <w:r>
        <w:rPr>
          <w:color w:val="auto"/>
          <w:kern w:val="0"/>
        </w:rPr>
        <w:t>O</w:t>
      </w:r>
      <w:r>
        <w:rPr>
          <w:color w:val="auto"/>
          <w:kern w:val="0"/>
        </w:rPr>
        <w:t>。</w:t>
      </w:r>
    </w:p>
    <w:p w14:paraId="48C26DB8" w14:textId="77777777" w:rsidR="002E474C" w:rsidRDefault="00000000">
      <w:pPr>
        <w:pStyle w:val="A-z"/>
        <w:rPr>
          <w:color w:val="auto"/>
          <w:kern w:val="0"/>
        </w:rPr>
      </w:pPr>
      <w:r>
        <w:rPr>
          <w:color w:val="auto"/>
          <w:kern w:val="0"/>
        </w:rPr>
        <w:t>挥发性危废经预处理形成膏状后，被喷枪高压气流切割成细小的颗粒喷入分</w:t>
      </w:r>
      <w:r>
        <w:rPr>
          <w:color w:val="auto"/>
          <w:kern w:val="0"/>
        </w:rPr>
        <w:lastRenderedPageBreak/>
        <w:t>解炉底部，与炉内向上升烟气充分混合接触，并呈悬浮态，有机物在温度</w:t>
      </w:r>
      <w:r>
        <w:rPr>
          <w:color w:val="auto"/>
          <w:kern w:val="0"/>
        </w:rPr>
        <w:t>850~1150℃</w:t>
      </w:r>
      <w:r>
        <w:rPr>
          <w:color w:val="auto"/>
          <w:kern w:val="0"/>
        </w:rPr>
        <w:t>，停留时间</w:t>
      </w:r>
      <w:r>
        <w:rPr>
          <w:color w:val="auto"/>
          <w:kern w:val="0"/>
        </w:rPr>
        <w:t>3s</w:t>
      </w:r>
      <w:r>
        <w:rPr>
          <w:color w:val="auto"/>
          <w:kern w:val="0"/>
        </w:rPr>
        <w:t>的条件下，迅速充分燃烧分解，燃烧效率大于</w:t>
      </w:r>
      <w:r>
        <w:rPr>
          <w:color w:val="auto"/>
          <w:kern w:val="0"/>
        </w:rPr>
        <w:t>99.9%</w:t>
      </w:r>
      <w:r>
        <w:rPr>
          <w:color w:val="auto"/>
          <w:kern w:val="0"/>
        </w:rPr>
        <w:t>，焚毁去除率大于</w:t>
      </w:r>
      <w:r>
        <w:rPr>
          <w:color w:val="auto"/>
          <w:kern w:val="0"/>
        </w:rPr>
        <w:t>99.99%</w:t>
      </w:r>
      <w:r>
        <w:rPr>
          <w:color w:val="auto"/>
          <w:kern w:val="0"/>
        </w:rPr>
        <w:t>。</w:t>
      </w:r>
    </w:p>
    <w:p w14:paraId="65F7F5DF" w14:textId="77777777" w:rsidR="002E474C" w:rsidRDefault="00000000">
      <w:pPr>
        <w:pStyle w:val="A-z"/>
        <w:rPr>
          <w:bCs/>
          <w:color w:val="auto"/>
          <w:kern w:val="0"/>
        </w:rPr>
      </w:pPr>
      <w:r>
        <w:rPr>
          <w:color w:val="auto"/>
        </w:rPr>
        <w:t>（</w:t>
      </w:r>
      <w:r>
        <w:rPr>
          <w:color w:val="auto"/>
        </w:rPr>
        <w:t>2</w:t>
      </w:r>
      <w:r>
        <w:rPr>
          <w:color w:val="auto"/>
        </w:rPr>
        <w:t>）</w:t>
      </w:r>
      <w:r>
        <w:rPr>
          <w:bCs/>
          <w:color w:val="auto"/>
          <w:kern w:val="0"/>
        </w:rPr>
        <w:t>HCl</w:t>
      </w:r>
      <w:r>
        <w:rPr>
          <w:bCs/>
          <w:color w:val="auto"/>
          <w:kern w:val="0"/>
        </w:rPr>
        <w:t>、</w:t>
      </w:r>
      <w:r>
        <w:rPr>
          <w:bCs/>
          <w:color w:val="auto"/>
          <w:kern w:val="0"/>
        </w:rPr>
        <w:t>HF</w:t>
      </w:r>
      <w:r>
        <w:rPr>
          <w:bCs/>
          <w:color w:val="auto"/>
          <w:kern w:val="0"/>
        </w:rPr>
        <w:t>酸性气体的去除</w:t>
      </w:r>
    </w:p>
    <w:p w14:paraId="74A05788" w14:textId="77777777" w:rsidR="002E474C" w:rsidRDefault="00000000">
      <w:pPr>
        <w:pStyle w:val="A-z"/>
        <w:rPr>
          <w:color w:val="auto"/>
          <w:kern w:val="0"/>
        </w:rPr>
      </w:pPr>
      <w:r>
        <w:rPr>
          <w:color w:val="auto"/>
          <w:kern w:val="0"/>
        </w:rPr>
        <w:t>含氟原燃料在烧成过程形成的</w:t>
      </w:r>
      <w:r>
        <w:rPr>
          <w:color w:val="auto"/>
          <w:kern w:val="0"/>
        </w:rPr>
        <w:t>HF</w:t>
      </w:r>
      <w:r>
        <w:rPr>
          <w:color w:val="auto"/>
          <w:kern w:val="0"/>
        </w:rPr>
        <w:t>会与生料煅烧中产生的</w:t>
      </w:r>
      <w:r>
        <w:rPr>
          <w:color w:val="auto"/>
          <w:kern w:val="0"/>
        </w:rPr>
        <w:t>CaO</w:t>
      </w:r>
      <w:r>
        <w:rPr>
          <w:color w:val="auto"/>
          <w:kern w:val="0"/>
        </w:rPr>
        <w:t>，</w:t>
      </w:r>
      <w:r>
        <w:rPr>
          <w:color w:val="auto"/>
          <w:kern w:val="0"/>
        </w:rPr>
        <w:t>Al</w:t>
      </w:r>
      <w:r>
        <w:rPr>
          <w:color w:val="auto"/>
          <w:kern w:val="0"/>
          <w:vertAlign w:val="subscript"/>
        </w:rPr>
        <w:t>2</w:t>
      </w:r>
      <w:r>
        <w:rPr>
          <w:color w:val="auto"/>
          <w:kern w:val="0"/>
        </w:rPr>
        <w:t>O</w:t>
      </w:r>
      <w:r>
        <w:rPr>
          <w:color w:val="auto"/>
          <w:kern w:val="0"/>
          <w:vertAlign w:val="subscript"/>
        </w:rPr>
        <w:t>3</w:t>
      </w:r>
      <w:r>
        <w:rPr>
          <w:color w:val="auto"/>
          <w:kern w:val="0"/>
        </w:rPr>
        <w:t>形成氟铝酸钙固溶于熟料中带出窑外，</w:t>
      </w:r>
      <w:r>
        <w:rPr>
          <w:color w:val="auto"/>
          <w:kern w:val="0"/>
        </w:rPr>
        <w:t>90~95%</w:t>
      </w:r>
      <w:r>
        <w:rPr>
          <w:color w:val="auto"/>
          <w:kern w:val="0"/>
        </w:rPr>
        <w:t>的</w:t>
      </w:r>
      <w:r>
        <w:rPr>
          <w:color w:val="auto"/>
          <w:kern w:val="0"/>
        </w:rPr>
        <w:t>F</w:t>
      </w:r>
      <w:r>
        <w:rPr>
          <w:color w:val="auto"/>
          <w:kern w:val="0"/>
        </w:rPr>
        <w:t>元素会随熟料带入窑外，剩余的</w:t>
      </w:r>
      <w:r>
        <w:rPr>
          <w:color w:val="auto"/>
          <w:kern w:val="0"/>
        </w:rPr>
        <w:t>F</w:t>
      </w:r>
      <w:r>
        <w:rPr>
          <w:color w:val="auto"/>
          <w:kern w:val="0"/>
        </w:rPr>
        <w:t>元素以</w:t>
      </w:r>
      <w:r>
        <w:rPr>
          <w:color w:val="auto"/>
          <w:kern w:val="0"/>
        </w:rPr>
        <w:t>CaF</w:t>
      </w:r>
      <w:r>
        <w:rPr>
          <w:color w:val="auto"/>
          <w:kern w:val="0"/>
          <w:vertAlign w:val="subscript"/>
        </w:rPr>
        <w:t>2</w:t>
      </w:r>
      <w:r>
        <w:rPr>
          <w:color w:val="auto"/>
          <w:kern w:val="0"/>
        </w:rPr>
        <w:t>的形式凝结在窑灰中在窑内形成内循环，极少部分随尾气排放。水泥窑产生的</w:t>
      </w:r>
      <w:r>
        <w:rPr>
          <w:color w:val="auto"/>
          <w:kern w:val="0"/>
        </w:rPr>
        <w:t>HCl</w:t>
      </w:r>
      <w:r>
        <w:rPr>
          <w:color w:val="auto"/>
          <w:kern w:val="0"/>
        </w:rPr>
        <w:t>主要来自于含氯的原燃料在烧成过程中形成的</w:t>
      </w:r>
      <w:r>
        <w:rPr>
          <w:color w:val="auto"/>
          <w:kern w:val="0"/>
        </w:rPr>
        <w:t>HCl</w:t>
      </w:r>
      <w:r>
        <w:rPr>
          <w:color w:val="auto"/>
          <w:kern w:val="0"/>
        </w:rPr>
        <w:t>。由于水泥窑中具有强碱性环境，</w:t>
      </w:r>
      <w:r>
        <w:rPr>
          <w:color w:val="auto"/>
          <w:kern w:val="0"/>
        </w:rPr>
        <w:t>HCl</w:t>
      </w:r>
      <w:r>
        <w:rPr>
          <w:color w:val="auto"/>
          <w:kern w:val="0"/>
        </w:rPr>
        <w:t>在窑内与</w:t>
      </w:r>
      <w:r>
        <w:rPr>
          <w:color w:val="auto"/>
          <w:kern w:val="0"/>
        </w:rPr>
        <w:t>CaO</w:t>
      </w:r>
      <w:r>
        <w:rPr>
          <w:color w:val="auto"/>
          <w:kern w:val="0"/>
        </w:rPr>
        <w:t>反应生产</w:t>
      </w:r>
      <w:r>
        <w:rPr>
          <w:color w:val="auto"/>
          <w:kern w:val="0"/>
        </w:rPr>
        <w:t>CaCl</w:t>
      </w:r>
      <w:r>
        <w:rPr>
          <w:color w:val="auto"/>
          <w:kern w:val="0"/>
          <w:vertAlign w:val="subscript"/>
        </w:rPr>
        <w:t>2</w:t>
      </w:r>
      <w:r>
        <w:rPr>
          <w:color w:val="auto"/>
          <w:kern w:val="0"/>
        </w:rPr>
        <w:t>随熟料带出窑外，或与碱金属氯化物反应生成</w:t>
      </w:r>
      <w:r>
        <w:rPr>
          <w:color w:val="auto"/>
          <w:kern w:val="0"/>
        </w:rPr>
        <w:t>NaCl</w:t>
      </w:r>
      <w:r>
        <w:rPr>
          <w:color w:val="auto"/>
          <w:kern w:val="0"/>
        </w:rPr>
        <w:t>、</w:t>
      </w:r>
      <w:r>
        <w:rPr>
          <w:color w:val="auto"/>
          <w:kern w:val="0"/>
        </w:rPr>
        <w:t>KCl</w:t>
      </w:r>
      <w:r>
        <w:rPr>
          <w:color w:val="auto"/>
          <w:kern w:val="0"/>
        </w:rPr>
        <w:t>在窑内形成内循环而不断积累，通常情况下，</w:t>
      </w:r>
      <w:r>
        <w:rPr>
          <w:color w:val="auto"/>
          <w:kern w:val="0"/>
        </w:rPr>
        <w:t>97%</w:t>
      </w:r>
      <w:r>
        <w:rPr>
          <w:color w:val="auto"/>
          <w:kern w:val="0"/>
        </w:rPr>
        <w:t>以上的</w:t>
      </w:r>
      <w:r>
        <w:rPr>
          <w:color w:val="auto"/>
          <w:kern w:val="0"/>
        </w:rPr>
        <w:t>HCl</w:t>
      </w:r>
      <w:r>
        <w:rPr>
          <w:color w:val="auto"/>
          <w:kern w:val="0"/>
        </w:rPr>
        <w:t>在窑内会被碱性物质吸收，随尾气排放到窑外的量很少，只有当原料中</w:t>
      </w:r>
      <w:r>
        <w:rPr>
          <w:color w:val="auto"/>
          <w:kern w:val="0"/>
        </w:rPr>
        <w:t>Cl</w:t>
      </w:r>
      <w:r>
        <w:rPr>
          <w:color w:val="auto"/>
          <w:kern w:val="0"/>
        </w:rPr>
        <w:t>元素添加速率过大，或窑内</w:t>
      </w:r>
      <w:r>
        <w:rPr>
          <w:color w:val="auto"/>
          <w:kern w:val="0"/>
        </w:rPr>
        <w:t>NaCl</w:t>
      </w:r>
      <w:r>
        <w:rPr>
          <w:color w:val="auto"/>
          <w:kern w:val="0"/>
        </w:rPr>
        <w:t>、</w:t>
      </w:r>
      <w:r>
        <w:rPr>
          <w:color w:val="auto"/>
          <w:kern w:val="0"/>
        </w:rPr>
        <w:t>KCl</w:t>
      </w:r>
      <w:r>
        <w:rPr>
          <w:color w:val="auto"/>
          <w:kern w:val="0"/>
        </w:rPr>
        <w:t>内循环累计到一定程度而达到原料带入量与随尾气和熟料排出量达到平衡后，随尾气排出的</w:t>
      </w:r>
      <w:r>
        <w:rPr>
          <w:color w:val="auto"/>
          <w:kern w:val="0"/>
        </w:rPr>
        <w:t>HCl</w:t>
      </w:r>
      <w:r>
        <w:rPr>
          <w:color w:val="auto"/>
          <w:kern w:val="0"/>
        </w:rPr>
        <w:t>可能会增加。这也是水泥窑协同处置危险废物相对于其它焚烧炉的一个重要优势。</w:t>
      </w:r>
    </w:p>
    <w:p w14:paraId="464AEF59" w14:textId="77777777" w:rsidR="002E474C" w:rsidRDefault="00000000">
      <w:pPr>
        <w:pStyle w:val="A-z"/>
        <w:rPr>
          <w:color w:val="auto"/>
          <w:kern w:val="0"/>
        </w:rPr>
      </w:pPr>
      <w:r>
        <w:rPr>
          <w:color w:val="auto"/>
          <w:kern w:val="0"/>
        </w:rPr>
        <w:t>根据《水泥窑协同处置固体废物环境保护技术规范》（</w:t>
      </w:r>
      <w:r>
        <w:rPr>
          <w:color w:val="auto"/>
          <w:kern w:val="0"/>
        </w:rPr>
        <w:t>HJ662-2013</w:t>
      </w:r>
      <w:r>
        <w:rPr>
          <w:color w:val="auto"/>
          <w:kern w:val="0"/>
        </w:rPr>
        <w:t>）</w:t>
      </w:r>
      <w:r>
        <w:rPr>
          <w:color w:val="auto"/>
          <w:kern w:val="0"/>
        </w:rPr>
        <w:t>6.6.8</w:t>
      </w:r>
      <w:r>
        <w:rPr>
          <w:color w:val="auto"/>
          <w:kern w:val="0"/>
        </w:rPr>
        <w:t>要求</w:t>
      </w:r>
      <w:r>
        <w:rPr>
          <w:color w:val="auto"/>
          <w:kern w:val="0"/>
        </w:rPr>
        <w:t>“</w:t>
      </w:r>
      <w:r>
        <w:rPr>
          <w:color w:val="auto"/>
          <w:kern w:val="0"/>
        </w:rPr>
        <w:t>协同处置企业应根据水泥生产工艺特点，控制随物料入窑的氯和氟元素的投加量，以保证水泥的正常生产和熟料质量符合国家标准，入窑物料中氟元素含量不应大于</w:t>
      </w:r>
      <w:r>
        <w:rPr>
          <w:color w:val="auto"/>
          <w:kern w:val="0"/>
        </w:rPr>
        <w:t>0.5%</w:t>
      </w:r>
      <w:r>
        <w:rPr>
          <w:color w:val="auto"/>
          <w:kern w:val="0"/>
        </w:rPr>
        <w:t>，氯元素含量不应大于</w:t>
      </w:r>
      <w:r>
        <w:rPr>
          <w:color w:val="auto"/>
          <w:kern w:val="0"/>
        </w:rPr>
        <w:t>0.04%”</w:t>
      </w:r>
      <w:r>
        <w:rPr>
          <w:color w:val="auto"/>
          <w:kern w:val="0"/>
        </w:rPr>
        <w:t>，水泥窑协同处置规范中并未对</w:t>
      </w:r>
      <w:r>
        <w:rPr>
          <w:color w:val="auto"/>
          <w:kern w:val="0"/>
        </w:rPr>
        <w:t>Na</w:t>
      </w:r>
      <w:r>
        <w:rPr>
          <w:color w:val="auto"/>
          <w:kern w:val="0"/>
        </w:rPr>
        <w:t>、</w:t>
      </w:r>
      <w:r>
        <w:rPr>
          <w:color w:val="auto"/>
          <w:kern w:val="0"/>
        </w:rPr>
        <w:t>K</w:t>
      </w:r>
      <w:r>
        <w:rPr>
          <w:color w:val="auto"/>
          <w:kern w:val="0"/>
        </w:rPr>
        <w:t>和</w:t>
      </w:r>
      <w:r>
        <w:rPr>
          <w:color w:val="auto"/>
          <w:kern w:val="0"/>
        </w:rPr>
        <w:t>P</w:t>
      </w:r>
      <w:r>
        <w:rPr>
          <w:color w:val="auto"/>
          <w:kern w:val="0"/>
        </w:rPr>
        <w:t>等元素进行限制，主要通过控制氯元素来实现保证水泥质量的目的。</w:t>
      </w:r>
    </w:p>
    <w:p w14:paraId="43CCF562" w14:textId="77777777" w:rsidR="002E474C" w:rsidRDefault="00000000">
      <w:pPr>
        <w:pStyle w:val="A-z"/>
        <w:rPr>
          <w:bCs/>
          <w:color w:val="auto"/>
          <w:kern w:val="0"/>
        </w:rPr>
      </w:pPr>
      <w:r>
        <w:rPr>
          <w:color w:val="auto"/>
        </w:rPr>
        <w:t>（</w:t>
      </w:r>
      <w:r>
        <w:rPr>
          <w:color w:val="auto"/>
        </w:rPr>
        <w:t>3</w:t>
      </w:r>
      <w:r>
        <w:rPr>
          <w:color w:val="auto"/>
        </w:rPr>
        <w:t>）</w:t>
      </w:r>
      <w:r>
        <w:rPr>
          <w:bCs/>
          <w:color w:val="auto"/>
          <w:kern w:val="0"/>
        </w:rPr>
        <w:t>二噁英类抑制及去除</w:t>
      </w:r>
    </w:p>
    <w:p w14:paraId="28EE9874" w14:textId="77777777" w:rsidR="002E474C" w:rsidRDefault="00000000">
      <w:pPr>
        <w:pStyle w:val="A-z"/>
        <w:rPr>
          <w:color w:val="auto"/>
          <w:kern w:val="0"/>
        </w:rPr>
      </w:pPr>
      <w:r>
        <w:rPr>
          <w:color w:val="auto"/>
          <w:kern w:val="0"/>
        </w:rPr>
        <w:t>挥发性危废中还有部分物质含有含氯的有机物，其窑内一定条件下会形成二噁英类。根据查阅文献（孙吉平，刘星星等，利用水泥新型干法窑系统处置城市垃圾抑制二噁英类产生的机理研究，长沙铁道学院学报，</w:t>
      </w:r>
      <w:r>
        <w:rPr>
          <w:color w:val="auto"/>
          <w:kern w:val="0"/>
        </w:rPr>
        <w:t>2012.6</w:t>
      </w:r>
      <w:r>
        <w:rPr>
          <w:color w:val="auto"/>
          <w:kern w:val="0"/>
        </w:rPr>
        <w:t>）及相关资料，二噁英类是由各种氯代前体物进一步转化而成，如多氯联苯、氯苯等含氯芳香烃类化合物，这些前体物在</w:t>
      </w:r>
      <w:r>
        <w:rPr>
          <w:color w:val="auto"/>
          <w:kern w:val="0"/>
        </w:rPr>
        <w:t>HCl</w:t>
      </w:r>
      <w:r>
        <w:rPr>
          <w:color w:val="auto"/>
          <w:kern w:val="0"/>
        </w:rPr>
        <w:t>、</w:t>
      </w:r>
      <w:r>
        <w:rPr>
          <w:color w:val="auto"/>
          <w:kern w:val="0"/>
        </w:rPr>
        <w:t>O</w:t>
      </w:r>
      <w:r>
        <w:rPr>
          <w:color w:val="auto"/>
          <w:kern w:val="0"/>
          <w:vertAlign w:val="subscript"/>
        </w:rPr>
        <w:t>2</w:t>
      </w:r>
      <w:r>
        <w:rPr>
          <w:color w:val="auto"/>
          <w:kern w:val="0"/>
        </w:rPr>
        <w:t>、</w:t>
      </w:r>
      <w:r>
        <w:rPr>
          <w:color w:val="auto"/>
          <w:kern w:val="0"/>
        </w:rPr>
        <w:t>CO</w:t>
      </w:r>
      <w:r>
        <w:rPr>
          <w:color w:val="auto"/>
          <w:kern w:val="0"/>
        </w:rPr>
        <w:t>存在，在</w:t>
      </w:r>
      <w:r>
        <w:rPr>
          <w:color w:val="auto"/>
          <w:kern w:val="0"/>
        </w:rPr>
        <w:t>250~600℃</w:t>
      </w:r>
      <w:r>
        <w:rPr>
          <w:color w:val="auto"/>
          <w:kern w:val="0"/>
        </w:rPr>
        <w:t>之间条件下，在特定的金属离子（</w:t>
      </w:r>
      <w:r>
        <w:rPr>
          <w:color w:val="auto"/>
          <w:kern w:val="0"/>
        </w:rPr>
        <w:t>Cu</w:t>
      </w:r>
      <w:r>
        <w:rPr>
          <w:color w:val="auto"/>
          <w:kern w:val="0"/>
          <w:vertAlign w:val="superscript"/>
        </w:rPr>
        <w:t>2+</w:t>
      </w:r>
      <w:r>
        <w:rPr>
          <w:color w:val="auto"/>
          <w:kern w:val="0"/>
        </w:rPr>
        <w:t>、</w:t>
      </w:r>
      <w:r>
        <w:rPr>
          <w:color w:val="auto"/>
          <w:kern w:val="0"/>
        </w:rPr>
        <w:t>Fe</w:t>
      </w:r>
      <w:r>
        <w:rPr>
          <w:color w:val="auto"/>
          <w:kern w:val="0"/>
          <w:vertAlign w:val="superscript"/>
        </w:rPr>
        <w:t>2+</w:t>
      </w:r>
      <w:r>
        <w:rPr>
          <w:color w:val="auto"/>
          <w:kern w:val="0"/>
        </w:rPr>
        <w:t>）对其催化作用下生成二噁英类。而二噁英类的消除要求焚烧温度大于</w:t>
      </w:r>
      <w:r>
        <w:rPr>
          <w:color w:val="auto"/>
          <w:kern w:val="0"/>
        </w:rPr>
        <w:t>800℃</w:t>
      </w:r>
      <w:r>
        <w:rPr>
          <w:color w:val="auto"/>
          <w:kern w:val="0"/>
        </w:rPr>
        <w:t>，在此高温区停留</w:t>
      </w:r>
      <w:r>
        <w:rPr>
          <w:color w:val="auto"/>
          <w:kern w:val="0"/>
        </w:rPr>
        <w:t>1~2</w:t>
      </w:r>
      <w:r>
        <w:rPr>
          <w:rFonts w:hint="eastAsia"/>
          <w:color w:val="auto"/>
          <w:kern w:val="0"/>
        </w:rPr>
        <w:t>s</w:t>
      </w:r>
      <w:r>
        <w:rPr>
          <w:color w:val="auto"/>
          <w:kern w:val="0"/>
        </w:rPr>
        <w:t>，尽量缩短燃烧烟气的处理和排放温度处于（</w:t>
      </w:r>
      <w:r>
        <w:rPr>
          <w:color w:val="auto"/>
          <w:kern w:val="0"/>
        </w:rPr>
        <w:t>300~400℃</w:t>
      </w:r>
      <w:r>
        <w:rPr>
          <w:color w:val="auto"/>
          <w:kern w:val="0"/>
        </w:rPr>
        <w:t>）之间时间。</w:t>
      </w:r>
    </w:p>
    <w:p w14:paraId="645B6A89" w14:textId="77777777" w:rsidR="002E474C" w:rsidRDefault="00000000">
      <w:pPr>
        <w:pStyle w:val="A-z"/>
        <w:rPr>
          <w:color w:val="auto"/>
          <w:kern w:val="0"/>
        </w:rPr>
      </w:pPr>
      <w:r>
        <w:rPr>
          <w:color w:val="auto"/>
          <w:kern w:val="0"/>
        </w:rPr>
        <w:t>水泥窑协同处置危险废物对二噁英类控制具有有利条件。</w:t>
      </w:r>
    </w:p>
    <w:p w14:paraId="22130627" w14:textId="77777777" w:rsidR="002E474C" w:rsidRDefault="00000000">
      <w:pPr>
        <w:pStyle w:val="A-z"/>
        <w:rPr>
          <w:color w:val="auto"/>
        </w:rPr>
      </w:pPr>
      <w:r>
        <w:rPr>
          <w:color w:val="auto"/>
        </w:rPr>
        <w:t>1</w:t>
      </w:r>
      <w:r>
        <w:rPr>
          <w:color w:val="auto"/>
        </w:rPr>
        <w:t>）危险废物带入烧成系统的</w:t>
      </w:r>
      <w:r>
        <w:rPr>
          <w:color w:val="auto"/>
        </w:rPr>
        <w:t>Cl</w:t>
      </w:r>
      <w:r>
        <w:rPr>
          <w:color w:val="auto"/>
          <w:vertAlign w:val="superscript"/>
        </w:rPr>
        <w:t>-</w:t>
      </w:r>
      <w:r>
        <w:rPr>
          <w:color w:val="auto"/>
        </w:rPr>
        <w:t>（有机氯高温分解）在燃烧过程中与高温气</w:t>
      </w:r>
      <w:r>
        <w:rPr>
          <w:color w:val="auto"/>
        </w:rPr>
        <w:lastRenderedPageBreak/>
        <w:t>流和高温、高细度、高浓度、高吸附性、高均匀性分布的碱性物料充分接触，充分吸收，不会成为二噁英类的氯源，使得二噁英类失去了形成的第一条件。</w:t>
      </w:r>
    </w:p>
    <w:p w14:paraId="4EDFCDB9" w14:textId="77777777" w:rsidR="002E474C" w:rsidRDefault="00000000">
      <w:pPr>
        <w:pStyle w:val="A-z"/>
        <w:rPr>
          <w:color w:val="auto"/>
        </w:rPr>
      </w:pPr>
      <w:r>
        <w:rPr>
          <w:color w:val="auto"/>
        </w:rPr>
        <w:t>2</w:t>
      </w:r>
      <w:r>
        <w:rPr>
          <w:color w:val="auto"/>
        </w:rPr>
        <w:t>）项目大部分挥发性有机物在分解炉底部投入，在</w:t>
      </w:r>
      <w:r>
        <w:rPr>
          <w:color w:val="auto"/>
        </w:rPr>
        <w:t>850~1150℃</w:t>
      </w:r>
      <w:r>
        <w:rPr>
          <w:color w:val="auto"/>
        </w:rPr>
        <w:t>温度下停留</w:t>
      </w:r>
      <w:r>
        <w:rPr>
          <w:color w:val="auto"/>
        </w:rPr>
        <w:t>3s</w:t>
      </w:r>
      <w:r>
        <w:rPr>
          <w:color w:val="auto"/>
        </w:rPr>
        <w:t>，停留时间大于</w:t>
      </w:r>
      <w:r>
        <w:rPr>
          <w:color w:val="auto"/>
        </w:rPr>
        <w:t>2s</w:t>
      </w:r>
      <w:r>
        <w:rPr>
          <w:color w:val="auto"/>
        </w:rPr>
        <w:t>，有足够的焚烧时间。在</w:t>
      </w:r>
      <w:r>
        <w:rPr>
          <w:color w:val="auto"/>
        </w:rPr>
        <w:t>1450℃</w:t>
      </w:r>
      <w:r>
        <w:rPr>
          <w:color w:val="auto"/>
        </w:rPr>
        <w:t>高温下二噁英类及有机物迅速破除，且停留时间</w:t>
      </w:r>
      <w:r>
        <w:rPr>
          <w:color w:val="auto"/>
        </w:rPr>
        <w:t>10s</w:t>
      </w:r>
      <w:r>
        <w:rPr>
          <w:color w:val="auto"/>
        </w:rPr>
        <w:t>，远大于</w:t>
      </w:r>
      <w:r>
        <w:rPr>
          <w:color w:val="auto"/>
        </w:rPr>
        <w:t>2s</w:t>
      </w:r>
      <w:r>
        <w:rPr>
          <w:color w:val="auto"/>
        </w:rPr>
        <w:t>，有足够的焚烧时间，不存在不完全燃烧区域。二噁英类和有机物分解成的</w:t>
      </w:r>
      <w:r>
        <w:rPr>
          <w:color w:val="auto"/>
        </w:rPr>
        <w:t>Cl</w:t>
      </w:r>
      <w:r>
        <w:rPr>
          <w:color w:val="auto"/>
          <w:vertAlign w:val="superscript"/>
        </w:rPr>
        <w:t>-</w:t>
      </w:r>
      <w:r>
        <w:rPr>
          <w:color w:val="auto"/>
        </w:rPr>
        <w:t>又迅速被窑内碱性物料吸收。</w:t>
      </w:r>
    </w:p>
    <w:p w14:paraId="7AE41DF3" w14:textId="77777777" w:rsidR="002E474C" w:rsidRDefault="00000000">
      <w:pPr>
        <w:pStyle w:val="A-z"/>
        <w:ind w:firstLine="456"/>
        <w:rPr>
          <w:color w:val="auto"/>
          <w:spacing w:val="-6"/>
        </w:rPr>
      </w:pPr>
      <w:r>
        <w:rPr>
          <w:color w:val="auto"/>
          <w:spacing w:val="-6"/>
        </w:rPr>
        <w:t>3</w:t>
      </w:r>
      <w:r>
        <w:rPr>
          <w:color w:val="auto"/>
          <w:spacing w:val="-6"/>
        </w:rPr>
        <w:t>）在烟气降温阶段，窑尾一级预热器进口气体为</w:t>
      </w:r>
      <w:r>
        <w:rPr>
          <w:color w:val="auto"/>
          <w:spacing w:val="-6"/>
        </w:rPr>
        <w:t>530℃</w:t>
      </w:r>
      <w:r>
        <w:rPr>
          <w:color w:val="auto"/>
          <w:spacing w:val="-6"/>
        </w:rPr>
        <w:t>，出口气体温度为</w:t>
      </w:r>
      <w:r>
        <w:rPr>
          <w:color w:val="auto"/>
          <w:spacing w:val="-6"/>
        </w:rPr>
        <w:t>330℃</w:t>
      </w:r>
      <w:r>
        <w:rPr>
          <w:color w:val="auto"/>
          <w:spacing w:val="-6"/>
        </w:rPr>
        <w:t>，因窑尾预热器系统内气固悬浮换热，因此随着生料在进口气体管道的喂入，气体温度在</w:t>
      </w:r>
      <w:r>
        <w:rPr>
          <w:color w:val="auto"/>
          <w:spacing w:val="-6"/>
        </w:rPr>
        <w:t>0.1s</w:t>
      </w:r>
      <w:r>
        <w:rPr>
          <w:color w:val="auto"/>
          <w:spacing w:val="-6"/>
        </w:rPr>
        <w:t>内迅速降至</w:t>
      </w:r>
      <w:r>
        <w:rPr>
          <w:color w:val="auto"/>
          <w:spacing w:val="-6"/>
        </w:rPr>
        <w:t>350℃~400℃</w:t>
      </w:r>
      <w:r>
        <w:rPr>
          <w:color w:val="auto"/>
          <w:spacing w:val="-6"/>
        </w:rPr>
        <w:t>，同时预热器中</w:t>
      </w:r>
      <w:r>
        <w:rPr>
          <w:color w:val="auto"/>
          <w:spacing w:val="-6"/>
        </w:rPr>
        <w:t>Cl</w:t>
      </w:r>
      <w:r>
        <w:rPr>
          <w:color w:val="auto"/>
          <w:spacing w:val="-6"/>
          <w:vertAlign w:val="superscript"/>
        </w:rPr>
        <w:t>-</w:t>
      </w:r>
      <w:r>
        <w:rPr>
          <w:color w:val="auto"/>
          <w:spacing w:val="-6"/>
        </w:rPr>
        <w:t>含量极少，极少的</w:t>
      </w:r>
      <w:r>
        <w:rPr>
          <w:color w:val="auto"/>
          <w:spacing w:val="-6"/>
        </w:rPr>
        <w:t>Cl</w:t>
      </w:r>
      <w:r>
        <w:rPr>
          <w:color w:val="auto"/>
          <w:spacing w:val="-6"/>
          <w:vertAlign w:val="superscript"/>
        </w:rPr>
        <w:t>-</w:t>
      </w:r>
      <w:r>
        <w:rPr>
          <w:color w:val="auto"/>
          <w:spacing w:val="-6"/>
        </w:rPr>
        <w:t>也易被生料吸收，生料里又缺少</w:t>
      </w:r>
      <w:r>
        <w:rPr>
          <w:color w:val="auto"/>
          <w:spacing w:val="-6"/>
          <w:kern w:val="0"/>
        </w:rPr>
        <w:t>Cu</w:t>
      </w:r>
      <w:r>
        <w:rPr>
          <w:color w:val="auto"/>
          <w:spacing w:val="-6"/>
          <w:kern w:val="0"/>
          <w:vertAlign w:val="superscript"/>
        </w:rPr>
        <w:t>2+</w:t>
      </w:r>
      <w:r>
        <w:rPr>
          <w:color w:val="auto"/>
          <w:spacing w:val="-6"/>
          <w:kern w:val="0"/>
        </w:rPr>
        <w:t>、</w:t>
      </w:r>
      <w:r>
        <w:rPr>
          <w:color w:val="auto"/>
          <w:spacing w:val="-6"/>
          <w:kern w:val="0"/>
        </w:rPr>
        <w:t>Fe</w:t>
      </w:r>
      <w:r>
        <w:rPr>
          <w:color w:val="auto"/>
          <w:spacing w:val="-6"/>
          <w:kern w:val="0"/>
          <w:vertAlign w:val="superscript"/>
        </w:rPr>
        <w:t>2+</w:t>
      </w:r>
      <w:r>
        <w:rPr>
          <w:color w:val="auto"/>
          <w:spacing w:val="-6"/>
        </w:rPr>
        <w:t>催化剂，较难再次形成二噁英类，预热器出来的烟气还需经过增湿塔、原料磨和除尘器等构成多级收尘系统，在增湿塔内，烟气温度从</w:t>
      </w:r>
      <w:r>
        <w:rPr>
          <w:color w:val="auto"/>
          <w:spacing w:val="-6"/>
        </w:rPr>
        <w:t>330℃</w:t>
      </w:r>
      <w:r>
        <w:rPr>
          <w:color w:val="auto"/>
          <w:spacing w:val="-6"/>
        </w:rPr>
        <w:t>迅速冷却至</w:t>
      </w:r>
      <w:r>
        <w:rPr>
          <w:color w:val="auto"/>
          <w:spacing w:val="-6"/>
        </w:rPr>
        <w:t>250℃</w:t>
      </w:r>
      <w:r>
        <w:rPr>
          <w:color w:val="auto"/>
          <w:spacing w:val="-6"/>
        </w:rPr>
        <w:t>以下，避免了二噁英类二次合成。</w:t>
      </w:r>
    </w:p>
    <w:p w14:paraId="1C5DFB20" w14:textId="77777777" w:rsidR="002E474C" w:rsidRDefault="00000000">
      <w:pPr>
        <w:pStyle w:val="A-z"/>
        <w:rPr>
          <w:bCs/>
          <w:color w:val="auto"/>
          <w:kern w:val="0"/>
        </w:rPr>
      </w:pPr>
      <w:r>
        <w:rPr>
          <w:color w:val="auto"/>
        </w:rPr>
        <w:t>4</w:t>
      </w:r>
      <w:r>
        <w:rPr>
          <w:color w:val="auto"/>
        </w:rPr>
        <w:t>）</w:t>
      </w:r>
      <w:r>
        <w:rPr>
          <w:bCs/>
          <w:color w:val="auto"/>
          <w:kern w:val="0"/>
        </w:rPr>
        <w:t>重金属固定</w:t>
      </w:r>
    </w:p>
    <w:p w14:paraId="5C77BA3D" w14:textId="77777777" w:rsidR="002E474C" w:rsidRDefault="00000000">
      <w:pPr>
        <w:pStyle w:val="A-z"/>
        <w:rPr>
          <w:color w:val="auto"/>
        </w:rPr>
      </w:pPr>
      <w:r>
        <w:rPr>
          <w:color w:val="auto"/>
        </w:rPr>
        <w:t>根据文献（水泥窑共处置危险废物过程中重金属的分配，中国环境科学</w:t>
      </w:r>
      <w:r>
        <w:rPr>
          <w:color w:val="auto"/>
        </w:rPr>
        <w:t>2009</w:t>
      </w:r>
      <w:r>
        <w:rPr>
          <w:color w:val="auto"/>
        </w:rPr>
        <w:t>，</w:t>
      </w:r>
      <w:r>
        <w:rPr>
          <w:color w:val="auto"/>
        </w:rPr>
        <w:t>29</w:t>
      </w:r>
      <w:r>
        <w:rPr>
          <w:color w:val="auto"/>
        </w:rPr>
        <w:t>（</w:t>
      </w:r>
      <w:r>
        <w:rPr>
          <w:color w:val="auto"/>
        </w:rPr>
        <w:t>9</w:t>
      </w:r>
      <w:r>
        <w:rPr>
          <w:color w:val="auto"/>
        </w:rPr>
        <w:t>），闫大海、李璐等）及相关资料，重金属有三个流向</w:t>
      </w:r>
      <w:r>
        <w:rPr>
          <w:color w:val="auto"/>
        </w:rPr>
        <w:t>——</w:t>
      </w:r>
      <w:r>
        <w:rPr>
          <w:color w:val="auto"/>
        </w:rPr>
        <w:t>进入熟料；随尾气排放；附着在回转窑灰上。</w:t>
      </w:r>
    </w:p>
    <w:p w14:paraId="7830982A" w14:textId="77777777" w:rsidR="002E474C" w:rsidRDefault="00000000">
      <w:pPr>
        <w:pStyle w:val="A-z"/>
        <w:rPr>
          <w:color w:val="auto"/>
        </w:rPr>
      </w:pPr>
      <w:r>
        <w:rPr>
          <w:color w:val="auto"/>
        </w:rPr>
        <w:t>根据《水泥窑协同处置固体废物环境保护技术规范编制说明》中重金属的挥发特性，可将重金属分为</w:t>
      </w:r>
      <w:r>
        <w:rPr>
          <w:color w:val="auto"/>
        </w:rPr>
        <w:t>4</w:t>
      </w:r>
      <w:r>
        <w:rPr>
          <w:color w:val="auto"/>
        </w:rPr>
        <w:t>类，见表</w:t>
      </w:r>
      <w:r>
        <w:rPr>
          <w:color w:val="auto"/>
        </w:rPr>
        <w:t>3.5-2</w:t>
      </w:r>
      <w:r>
        <w:rPr>
          <w:color w:val="auto"/>
        </w:rPr>
        <w:t>。</w:t>
      </w:r>
    </w:p>
    <w:p w14:paraId="7B4A7392" w14:textId="77777777" w:rsidR="002E474C" w:rsidRDefault="00000000">
      <w:pPr>
        <w:pStyle w:val="A--"/>
        <w:spacing w:beforeLines="0" w:before="0"/>
        <w:ind w:leftChars="0" w:left="0" w:rightChars="0" w:right="0"/>
        <w:rPr>
          <w:color w:val="auto"/>
        </w:rPr>
      </w:pPr>
      <w:r>
        <w:rPr>
          <w:color w:val="auto"/>
        </w:rPr>
        <w:t>表</w:t>
      </w:r>
      <w:r>
        <w:rPr>
          <w:color w:val="auto"/>
        </w:rPr>
        <w:t xml:space="preserve">3.5-2  </w:t>
      </w:r>
      <w:r>
        <w:rPr>
          <w:color w:val="auto"/>
        </w:rPr>
        <w:t>微量元素在水泥窑内的挥发性分级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611"/>
        <w:gridCol w:w="1790"/>
      </w:tblGrid>
      <w:tr w:rsidR="002E474C" w14:paraId="71315BC5" w14:textId="77777777">
        <w:tc>
          <w:tcPr>
            <w:tcW w:w="539" w:type="pct"/>
            <w:vAlign w:val="center"/>
          </w:tcPr>
          <w:p w14:paraId="7240B307" w14:textId="77777777" w:rsidR="002E474C" w:rsidRDefault="00000000">
            <w:pPr>
              <w:pStyle w:val="A-"/>
            </w:pPr>
            <w:r>
              <w:t>等级</w:t>
            </w:r>
          </w:p>
        </w:tc>
        <w:tc>
          <w:tcPr>
            <w:tcW w:w="3382" w:type="pct"/>
            <w:vAlign w:val="center"/>
          </w:tcPr>
          <w:p w14:paraId="372111A6" w14:textId="77777777" w:rsidR="002E474C" w:rsidRDefault="00000000">
            <w:pPr>
              <w:pStyle w:val="A-"/>
            </w:pPr>
            <w:r>
              <w:t>元素</w:t>
            </w:r>
          </w:p>
        </w:tc>
        <w:tc>
          <w:tcPr>
            <w:tcW w:w="1079" w:type="pct"/>
            <w:vAlign w:val="center"/>
          </w:tcPr>
          <w:p w14:paraId="0AAEDBC2" w14:textId="77777777" w:rsidR="002E474C" w:rsidRDefault="00000000">
            <w:pPr>
              <w:pStyle w:val="A-"/>
            </w:pPr>
            <w:r>
              <w:t>冷凝温度（</w:t>
            </w:r>
            <w:r>
              <w:t>℃</w:t>
            </w:r>
            <w:r>
              <w:t>）</w:t>
            </w:r>
          </w:p>
        </w:tc>
      </w:tr>
      <w:tr w:rsidR="002E474C" w14:paraId="24BBCE5F" w14:textId="77777777">
        <w:tc>
          <w:tcPr>
            <w:tcW w:w="539" w:type="pct"/>
            <w:vAlign w:val="center"/>
          </w:tcPr>
          <w:p w14:paraId="0D9A7A8C" w14:textId="77777777" w:rsidR="002E474C" w:rsidRDefault="00000000">
            <w:pPr>
              <w:pStyle w:val="A-"/>
            </w:pPr>
            <w:r>
              <w:t>不挥发</w:t>
            </w:r>
          </w:p>
        </w:tc>
        <w:tc>
          <w:tcPr>
            <w:tcW w:w="3382" w:type="pct"/>
            <w:vAlign w:val="center"/>
          </w:tcPr>
          <w:p w14:paraId="7A5C0893" w14:textId="77777777" w:rsidR="002E474C" w:rsidRDefault="00000000">
            <w:pPr>
              <w:pStyle w:val="A-"/>
            </w:pPr>
            <w:r>
              <w:t>Ba</w:t>
            </w:r>
            <w:r>
              <w:t>，</w:t>
            </w:r>
            <w:r>
              <w:t>Be</w:t>
            </w:r>
            <w:r>
              <w:t>，</w:t>
            </w:r>
            <w:r>
              <w:t>Cr</w:t>
            </w:r>
            <w:r>
              <w:t>，</w:t>
            </w:r>
            <w:r>
              <w:t>Ni</w:t>
            </w:r>
            <w:r>
              <w:t>，</w:t>
            </w:r>
            <w:r>
              <w:t>V</w:t>
            </w:r>
            <w:r>
              <w:t>，</w:t>
            </w:r>
            <w:r>
              <w:t>Al</w:t>
            </w:r>
            <w:r>
              <w:t>，</w:t>
            </w:r>
            <w:r>
              <w:t>Ti</w:t>
            </w:r>
            <w:r>
              <w:t>，</w:t>
            </w:r>
            <w:r>
              <w:t>Ca</w:t>
            </w:r>
            <w:r>
              <w:t>，</w:t>
            </w:r>
            <w:r>
              <w:t>Fe</w:t>
            </w:r>
            <w:r>
              <w:t>，</w:t>
            </w:r>
            <w:r>
              <w:t>Mn</w:t>
            </w:r>
            <w:r>
              <w:t>，</w:t>
            </w:r>
            <w:r>
              <w:t>Cu</w:t>
            </w:r>
            <w:r>
              <w:t>，</w:t>
            </w:r>
            <w:r>
              <w:t>Ag</w:t>
            </w:r>
          </w:p>
        </w:tc>
        <w:tc>
          <w:tcPr>
            <w:tcW w:w="1079" w:type="pct"/>
            <w:vAlign w:val="center"/>
          </w:tcPr>
          <w:p w14:paraId="37C1E6B0" w14:textId="77777777" w:rsidR="002E474C" w:rsidRDefault="00000000">
            <w:pPr>
              <w:pStyle w:val="A-"/>
            </w:pPr>
            <w:r>
              <w:t>--</w:t>
            </w:r>
          </w:p>
        </w:tc>
      </w:tr>
      <w:tr w:rsidR="002E474C" w14:paraId="76AD81A2" w14:textId="77777777">
        <w:tc>
          <w:tcPr>
            <w:tcW w:w="539" w:type="pct"/>
            <w:vAlign w:val="center"/>
          </w:tcPr>
          <w:p w14:paraId="53E8E395" w14:textId="77777777" w:rsidR="002E474C" w:rsidRDefault="00000000">
            <w:pPr>
              <w:pStyle w:val="A-"/>
            </w:pPr>
            <w:r>
              <w:t>半挥发</w:t>
            </w:r>
          </w:p>
        </w:tc>
        <w:tc>
          <w:tcPr>
            <w:tcW w:w="3382" w:type="pct"/>
            <w:vAlign w:val="center"/>
          </w:tcPr>
          <w:p w14:paraId="286FB980" w14:textId="77777777" w:rsidR="002E474C" w:rsidRDefault="00000000">
            <w:pPr>
              <w:pStyle w:val="A-"/>
            </w:pPr>
            <w:r>
              <w:t>As</w:t>
            </w:r>
            <w:r>
              <w:t>，</w:t>
            </w:r>
            <w:r>
              <w:t>Sb</w:t>
            </w:r>
            <w:r>
              <w:t>，</w:t>
            </w:r>
            <w:r>
              <w:t>Cd</w:t>
            </w:r>
            <w:r>
              <w:t>，</w:t>
            </w:r>
            <w:r>
              <w:t>Pb</w:t>
            </w:r>
            <w:r>
              <w:t>，</w:t>
            </w:r>
            <w:r>
              <w:t>Se</w:t>
            </w:r>
            <w:r>
              <w:t>，</w:t>
            </w:r>
            <w:r>
              <w:t>Zn</w:t>
            </w:r>
            <w:r>
              <w:t>，</w:t>
            </w:r>
            <w:r>
              <w:t>K</w:t>
            </w:r>
            <w:r>
              <w:t>，</w:t>
            </w:r>
            <w:r>
              <w:t>Na</w:t>
            </w:r>
          </w:p>
        </w:tc>
        <w:tc>
          <w:tcPr>
            <w:tcW w:w="1079" w:type="pct"/>
            <w:vAlign w:val="center"/>
          </w:tcPr>
          <w:p w14:paraId="612C2C54" w14:textId="77777777" w:rsidR="002E474C" w:rsidRDefault="00000000">
            <w:pPr>
              <w:pStyle w:val="A-"/>
            </w:pPr>
            <w:r>
              <w:t>700~900</w:t>
            </w:r>
          </w:p>
        </w:tc>
      </w:tr>
      <w:tr w:rsidR="002E474C" w14:paraId="42610271" w14:textId="77777777">
        <w:tc>
          <w:tcPr>
            <w:tcW w:w="539" w:type="pct"/>
            <w:vAlign w:val="center"/>
          </w:tcPr>
          <w:p w14:paraId="79530C00" w14:textId="77777777" w:rsidR="002E474C" w:rsidRDefault="00000000">
            <w:pPr>
              <w:pStyle w:val="A-"/>
            </w:pPr>
            <w:r>
              <w:t>易挥发</w:t>
            </w:r>
          </w:p>
        </w:tc>
        <w:tc>
          <w:tcPr>
            <w:tcW w:w="3382" w:type="pct"/>
            <w:vAlign w:val="center"/>
          </w:tcPr>
          <w:p w14:paraId="0200486D" w14:textId="77777777" w:rsidR="002E474C" w:rsidRDefault="00000000">
            <w:pPr>
              <w:pStyle w:val="A-"/>
            </w:pPr>
            <w:r>
              <w:t>Tl</w:t>
            </w:r>
          </w:p>
        </w:tc>
        <w:tc>
          <w:tcPr>
            <w:tcW w:w="1079" w:type="pct"/>
            <w:vAlign w:val="center"/>
          </w:tcPr>
          <w:p w14:paraId="5FE72AC7" w14:textId="77777777" w:rsidR="002E474C" w:rsidRDefault="00000000">
            <w:pPr>
              <w:pStyle w:val="A-"/>
            </w:pPr>
            <w:r>
              <w:t>450~550</w:t>
            </w:r>
          </w:p>
        </w:tc>
      </w:tr>
      <w:tr w:rsidR="002E474C" w14:paraId="4F4E91B4" w14:textId="77777777">
        <w:tc>
          <w:tcPr>
            <w:tcW w:w="539" w:type="pct"/>
            <w:vAlign w:val="center"/>
          </w:tcPr>
          <w:p w14:paraId="1EA773FB" w14:textId="77777777" w:rsidR="002E474C" w:rsidRDefault="00000000">
            <w:pPr>
              <w:pStyle w:val="A-"/>
            </w:pPr>
            <w:r>
              <w:t>高挥发</w:t>
            </w:r>
          </w:p>
        </w:tc>
        <w:tc>
          <w:tcPr>
            <w:tcW w:w="3382" w:type="pct"/>
            <w:vAlign w:val="center"/>
          </w:tcPr>
          <w:p w14:paraId="1919303D" w14:textId="77777777" w:rsidR="002E474C" w:rsidRDefault="00000000">
            <w:pPr>
              <w:pStyle w:val="A-"/>
            </w:pPr>
            <w:r>
              <w:t>Hg</w:t>
            </w:r>
          </w:p>
        </w:tc>
        <w:tc>
          <w:tcPr>
            <w:tcW w:w="1079" w:type="pct"/>
            <w:vAlign w:val="center"/>
          </w:tcPr>
          <w:p w14:paraId="765C55A5" w14:textId="77777777" w:rsidR="002E474C" w:rsidRDefault="00000000">
            <w:pPr>
              <w:pStyle w:val="A-"/>
            </w:pPr>
            <w:r>
              <w:t>&lt;250</w:t>
            </w:r>
          </w:p>
        </w:tc>
      </w:tr>
    </w:tbl>
    <w:p w14:paraId="14387C7C" w14:textId="77777777" w:rsidR="002E474C" w:rsidRDefault="002E474C"/>
    <w:p w14:paraId="560C6F92" w14:textId="77777777" w:rsidR="002E474C" w:rsidRDefault="00000000">
      <w:pPr>
        <w:pStyle w:val="A-z"/>
        <w:rPr>
          <w:color w:val="auto"/>
        </w:rPr>
      </w:pPr>
      <w:r>
        <w:rPr>
          <w:color w:val="auto"/>
        </w:rPr>
        <w:t>本项目对于危废中主要金属元素汞、砷、铅、铬、镉、铜、锌、镍、锰等可按挥发性划分为</w:t>
      </w:r>
      <w:r>
        <w:rPr>
          <w:color w:val="auto"/>
        </w:rPr>
        <w:t>3</w:t>
      </w:r>
      <w:r>
        <w:rPr>
          <w:color w:val="auto"/>
        </w:rPr>
        <w:t>个等级：</w:t>
      </w:r>
    </w:p>
    <w:p w14:paraId="36211BAA" w14:textId="77777777" w:rsidR="002E474C" w:rsidRDefault="00000000">
      <w:pPr>
        <w:pStyle w:val="A-z"/>
        <w:rPr>
          <w:color w:val="auto"/>
        </w:rPr>
      </w:pPr>
      <w:r>
        <w:rPr>
          <w:color w:val="auto"/>
        </w:rPr>
        <w:t>①</w:t>
      </w:r>
      <w:r>
        <w:rPr>
          <w:color w:val="auto"/>
        </w:rPr>
        <w:t>不挥发类元素</w:t>
      </w:r>
      <w:r>
        <w:rPr>
          <w:color w:val="auto"/>
        </w:rPr>
        <w:t>——</w:t>
      </w:r>
      <w:r>
        <w:rPr>
          <w:color w:val="auto"/>
        </w:rPr>
        <w:t>镍、铬、锰、铜，</w:t>
      </w:r>
      <w:r>
        <w:rPr>
          <w:color w:val="auto"/>
        </w:rPr>
        <w:t>99.9%</w:t>
      </w:r>
      <w:r>
        <w:rPr>
          <w:color w:val="auto"/>
        </w:rPr>
        <w:t>以上直接进入熟料，极少量通过尾气排出；</w:t>
      </w:r>
    </w:p>
    <w:p w14:paraId="2F2F2A9E" w14:textId="77777777" w:rsidR="002E474C" w:rsidRDefault="00000000">
      <w:pPr>
        <w:pStyle w:val="A-z"/>
        <w:rPr>
          <w:color w:val="auto"/>
        </w:rPr>
      </w:pPr>
      <w:r>
        <w:rPr>
          <w:color w:val="auto"/>
        </w:rPr>
        <w:t>②</w:t>
      </w:r>
      <w:r>
        <w:rPr>
          <w:color w:val="auto"/>
        </w:rPr>
        <w:t>半挥发性元素</w:t>
      </w:r>
      <w:r>
        <w:rPr>
          <w:color w:val="auto"/>
        </w:rPr>
        <w:t>——</w:t>
      </w:r>
      <w:r>
        <w:rPr>
          <w:color w:val="auto"/>
        </w:rPr>
        <w:t>锌、铅、镉、砷，在窑内（物料</w:t>
      </w:r>
      <w:r>
        <w:rPr>
          <w:color w:val="auto"/>
        </w:rPr>
        <w:t>900~1450℃</w:t>
      </w:r>
      <w:r>
        <w:rPr>
          <w:color w:val="auto"/>
        </w:rPr>
        <w:t>）部分挥发出来随烟气进入预热器，遇冷（</w:t>
      </w:r>
      <w:r>
        <w:rPr>
          <w:color w:val="auto"/>
        </w:rPr>
        <w:t>330~550℃</w:t>
      </w:r>
      <w:r>
        <w:rPr>
          <w:color w:val="auto"/>
        </w:rPr>
        <w:t>）后凝结回到物料中返回到窑内，由于在窑内和预热器之间形成内循环，最终几乎全部进入熟料，少量随尾气排出；</w:t>
      </w:r>
    </w:p>
    <w:p w14:paraId="3F82AB6B" w14:textId="77777777" w:rsidR="002E474C" w:rsidRDefault="00000000">
      <w:pPr>
        <w:pStyle w:val="A-z"/>
        <w:rPr>
          <w:color w:val="auto"/>
        </w:rPr>
      </w:pPr>
      <w:r>
        <w:rPr>
          <w:color w:val="auto"/>
        </w:rPr>
        <w:t>③</w:t>
      </w:r>
      <w:r>
        <w:rPr>
          <w:color w:val="auto"/>
        </w:rPr>
        <w:t>易挥发</w:t>
      </w:r>
      <w:r>
        <w:rPr>
          <w:color w:val="auto"/>
        </w:rPr>
        <w:t>——</w:t>
      </w:r>
      <w:r>
        <w:rPr>
          <w:color w:val="auto"/>
        </w:rPr>
        <w:t>汞，约</w:t>
      </w:r>
      <w:r>
        <w:rPr>
          <w:color w:val="auto"/>
        </w:rPr>
        <w:t>100℃</w:t>
      </w:r>
      <w:r>
        <w:rPr>
          <w:color w:val="auto"/>
        </w:rPr>
        <w:t>可完全挥发，即在生料中可完全挥发，随烟气进</w:t>
      </w:r>
      <w:r>
        <w:rPr>
          <w:color w:val="auto"/>
        </w:rPr>
        <w:lastRenderedPageBreak/>
        <w:t>入增湿塔后温度迅速降低，变为固态富集在窑灰中，窑灰返回送往生料入窑系统，形成外循环或排放。</w:t>
      </w:r>
    </w:p>
    <w:p w14:paraId="12F6EE4F" w14:textId="77777777" w:rsidR="002E474C" w:rsidRDefault="00000000">
      <w:pPr>
        <w:pStyle w:val="A-z"/>
        <w:rPr>
          <w:color w:val="auto"/>
        </w:rPr>
      </w:pPr>
      <w:bookmarkStart w:id="173" w:name="OLE_LINK70"/>
      <w:r>
        <w:rPr>
          <w:color w:val="auto"/>
        </w:rPr>
        <w:t>水泥熟料对重金属固定作用：根据国内对水泥窑协同处置危险废物重金属固化迁移规律的研究成果，水泥熟料中主要包含</w:t>
      </w:r>
      <w:r>
        <w:rPr>
          <w:color w:val="auto"/>
        </w:rPr>
        <w:t>4</w:t>
      </w:r>
      <w:r>
        <w:rPr>
          <w:color w:val="auto"/>
        </w:rPr>
        <w:t>种矿物，硅酸二钙（</w:t>
      </w:r>
      <w:r>
        <w:rPr>
          <w:color w:val="auto"/>
        </w:rPr>
        <w:t>C</w:t>
      </w:r>
      <w:r>
        <w:rPr>
          <w:color w:val="auto"/>
          <w:vertAlign w:val="subscript"/>
        </w:rPr>
        <w:t>2</w:t>
      </w:r>
      <w:r>
        <w:rPr>
          <w:color w:val="auto"/>
        </w:rPr>
        <w:t>S</w:t>
      </w:r>
      <w:r>
        <w:rPr>
          <w:color w:val="auto"/>
        </w:rPr>
        <w:t>）、铝酸三钙（</w:t>
      </w:r>
      <w:r>
        <w:rPr>
          <w:color w:val="auto"/>
        </w:rPr>
        <w:t>C</w:t>
      </w:r>
      <w:r>
        <w:rPr>
          <w:color w:val="auto"/>
          <w:vertAlign w:val="subscript"/>
        </w:rPr>
        <w:t>3</w:t>
      </w:r>
      <w:r>
        <w:rPr>
          <w:color w:val="auto"/>
        </w:rPr>
        <w:t>A</w:t>
      </w:r>
      <w:r>
        <w:rPr>
          <w:color w:val="auto"/>
        </w:rPr>
        <w:t>）、铁铝酸四钙（</w:t>
      </w:r>
      <w:r>
        <w:rPr>
          <w:color w:val="auto"/>
        </w:rPr>
        <w:t>C</w:t>
      </w:r>
      <w:r>
        <w:rPr>
          <w:color w:val="auto"/>
          <w:vertAlign w:val="subscript"/>
        </w:rPr>
        <w:t>4</w:t>
      </w:r>
      <w:r>
        <w:rPr>
          <w:color w:val="auto"/>
        </w:rPr>
        <w:t>AF</w:t>
      </w:r>
      <w:r>
        <w:rPr>
          <w:color w:val="auto"/>
        </w:rPr>
        <w:t>）和硅酸三钙（</w:t>
      </w:r>
      <w:r>
        <w:rPr>
          <w:color w:val="auto"/>
        </w:rPr>
        <w:t>C</w:t>
      </w:r>
      <w:r>
        <w:rPr>
          <w:color w:val="auto"/>
          <w:vertAlign w:val="subscript"/>
        </w:rPr>
        <w:t>3</w:t>
      </w:r>
      <w:r>
        <w:rPr>
          <w:color w:val="auto"/>
        </w:rPr>
        <w:t>S</w:t>
      </w:r>
      <w:r>
        <w:rPr>
          <w:color w:val="auto"/>
        </w:rPr>
        <w:t>）。</w:t>
      </w:r>
      <w:r>
        <w:rPr>
          <w:color w:val="auto"/>
        </w:rPr>
        <w:t>C</w:t>
      </w:r>
      <w:r>
        <w:rPr>
          <w:color w:val="auto"/>
          <w:vertAlign w:val="subscript"/>
        </w:rPr>
        <w:t>2</w:t>
      </w:r>
      <w:r>
        <w:rPr>
          <w:color w:val="auto"/>
        </w:rPr>
        <w:t>S</w:t>
      </w:r>
      <w:r>
        <w:rPr>
          <w:color w:val="auto"/>
        </w:rPr>
        <w:t>在</w:t>
      </w:r>
      <w:r>
        <w:rPr>
          <w:color w:val="auto"/>
        </w:rPr>
        <w:t>800℃</w:t>
      </w:r>
      <w:r>
        <w:rPr>
          <w:color w:val="auto"/>
        </w:rPr>
        <w:t>左右开始形成，</w:t>
      </w:r>
      <w:r>
        <w:rPr>
          <w:color w:val="auto"/>
        </w:rPr>
        <w:t>C</w:t>
      </w:r>
      <w:r>
        <w:rPr>
          <w:color w:val="auto"/>
          <w:vertAlign w:val="subscript"/>
        </w:rPr>
        <w:t>3</w:t>
      </w:r>
      <w:r>
        <w:rPr>
          <w:color w:val="auto"/>
        </w:rPr>
        <w:t>A</w:t>
      </w:r>
      <w:r>
        <w:rPr>
          <w:color w:val="auto"/>
        </w:rPr>
        <w:t>及</w:t>
      </w:r>
      <w:r>
        <w:rPr>
          <w:color w:val="auto"/>
        </w:rPr>
        <w:t>C</w:t>
      </w:r>
      <w:r>
        <w:rPr>
          <w:color w:val="auto"/>
          <w:vertAlign w:val="subscript"/>
        </w:rPr>
        <w:t>4</w:t>
      </w:r>
      <w:r>
        <w:rPr>
          <w:color w:val="auto"/>
        </w:rPr>
        <w:t>AF</w:t>
      </w:r>
      <w:r>
        <w:rPr>
          <w:color w:val="auto"/>
        </w:rPr>
        <w:t>在</w:t>
      </w:r>
      <w:r>
        <w:rPr>
          <w:color w:val="auto"/>
        </w:rPr>
        <w:t>900~1100℃</w:t>
      </w:r>
      <w:r>
        <w:rPr>
          <w:color w:val="auto"/>
        </w:rPr>
        <w:t>逐渐开始形成，在</w:t>
      </w:r>
      <w:r>
        <w:rPr>
          <w:color w:val="auto"/>
        </w:rPr>
        <w:t>1100~1200℃</w:t>
      </w:r>
      <w:r>
        <w:rPr>
          <w:color w:val="auto"/>
        </w:rPr>
        <w:t>大量形成，</w:t>
      </w:r>
      <w:r>
        <w:rPr>
          <w:color w:val="auto"/>
        </w:rPr>
        <w:t>1200~1300℃</w:t>
      </w:r>
      <w:r>
        <w:rPr>
          <w:color w:val="auto"/>
        </w:rPr>
        <w:t>过程中开始出现液相，</w:t>
      </w:r>
      <w:r>
        <w:rPr>
          <w:color w:val="auto"/>
        </w:rPr>
        <w:t>CaO</w:t>
      </w:r>
      <w:r>
        <w:rPr>
          <w:color w:val="auto"/>
        </w:rPr>
        <w:t>与</w:t>
      </w:r>
      <w:r>
        <w:rPr>
          <w:color w:val="auto"/>
        </w:rPr>
        <w:t>C</w:t>
      </w:r>
      <w:r>
        <w:rPr>
          <w:color w:val="auto"/>
          <w:vertAlign w:val="subscript"/>
        </w:rPr>
        <w:t>2</w:t>
      </w:r>
      <w:r>
        <w:rPr>
          <w:color w:val="auto"/>
        </w:rPr>
        <w:t>S</w:t>
      </w:r>
      <w:r>
        <w:rPr>
          <w:color w:val="auto"/>
        </w:rPr>
        <w:t>溶入液相中，游离氧化钙被充分吸收大量生成</w:t>
      </w:r>
      <w:r>
        <w:rPr>
          <w:color w:val="auto"/>
        </w:rPr>
        <w:t>C</w:t>
      </w:r>
      <w:r>
        <w:rPr>
          <w:color w:val="auto"/>
          <w:vertAlign w:val="subscript"/>
        </w:rPr>
        <w:t>3</w:t>
      </w:r>
      <w:r>
        <w:rPr>
          <w:color w:val="auto"/>
        </w:rPr>
        <w:t>S</w:t>
      </w:r>
      <w:bookmarkEnd w:id="173"/>
      <w:r>
        <w:rPr>
          <w:color w:val="auto"/>
        </w:rPr>
        <w:t>。在水泥窑熟料煅烧</w:t>
      </w:r>
      <w:r>
        <w:rPr>
          <w:color w:val="auto"/>
        </w:rPr>
        <w:t>900~1450℃</w:t>
      </w:r>
      <w:r>
        <w:rPr>
          <w:color w:val="auto"/>
        </w:rPr>
        <w:t>温度下，不挥发类金属通过固相反应或液相烧结进入熟料矿物晶格内；半挥发类金属绝大部分与物料里的碱性物质反应生成重金属盐类分布在熟料矿物中，挥发出来的金属在窑内不断循环下达到饱和平衡，从而抑制了这些重金属的继续挥发，达到很好的固化效果。</w:t>
      </w:r>
    </w:p>
    <w:p w14:paraId="2620F649" w14:textId="77777777" w:rsidR="002E474C" w:rsidRDefault="00000000">
      <w:pPr>
        <w:pStyle w:val="A-z"/>
        <w:rPr>
          <w:color w:val="auto"/>
        </w:rPr>
      </w:pPr>
      <w:r>
        <w:rPr>
          <w:color w:val="auto"/>
        </w:rPr>
        <w:t>本项目重金属在熟料、烟气之间的分配系数，综合参考《固体废物生产水泥污染控制标准编制说明》中表</w:t>
      </w:r>
      <w:r>
        <w:rPr>
          <w:color w:val="auto"/>
        </w:rPr>
        <w:t>10</w:t>
      </w:r>
      <w:r>
        <w:rPr>
          <w:color w:val="auto"/>
        </w:rPr>
        <w:t>课题组开展的试烧试验测得的重金属分配系数及</w:t>
      </w:r>
      <w:r>
        <w:rPr>
          <w:color w:val="auto"/>
        </w:rPr>
        <w:t>HJ662</w:t>
      </w:r>
      <w:r>
        <w:rPr>
          <w:color w:val="auto"/>
        </w:rPr>
        <w:t>编制过程中得出的部分分配系数，为考虑最不利情况，取重金属在熟料中固化比率的最小值。</w:t>
      </w:r>
    </w:p>
    <w:p w14:paraId="59952117" w14:textId="77777777" w:rsidR="002E474C" w:rsidRDefault="00000000">
      <w:pPr>
        <w:pStyle w:val="A-z"/>
        <w:rPr>
          <w:color w:val="auto"/>
        </w:rPr>
      </w:pPr>
      <w:r>
        <w:rPr>
          <w:color w:val="auto"/>
        </w:rPr>
        <w:t>水泥窑协同处置危险废物和危险废物焚烧炉处置危险废物的技术参数对比，见表</w:t>
      </w:r>
      <w:r>
        <w:rPr>
          <w:color w:val="auto"/>
        </w:rPr>
        <w:t>3.5-3</w:t>
      </w:r>
      <w:r>
        <w:rPr>
          <w:color w:val="auto"/>
        </w:rPr>
        <w:t>。</w:t>
      </w:r>
    </w:p>
    <w:p w14:paraId="48DC89C4" w14:textId="77777777" w:rsidR="002E474C" w:rsidRDefault="002E474C">
      <w:pPr>
        <w:pStyle w:val="A-z"/>
        <w:rPr>
          <w:color w:val="auto"/>
        </w:rPr>
      </w:pPr>
    </w:p>
    <w:p w14:paraId="49234FA3" w14:textId="77777777" w:rsidR="002E474C" w:rsidRDefault="00000000">
      <w:pPr>
        <w:pStyle w:val="A--"/>
        <w:spacing w:beforeLines="0" w:before="0"/>
        <w:ind w:leftChars="0" w:left="0" w:rightChars="0" w:right="0"/>
        <w:rPr>
          <w:color w:val="auto"/>
        </w:rPr>
      </w:pPr>
      <w:r>
        <w:rPr>
          <w:color w:val="auto"/>
        </w:rPr>
        <w:t>表</w:t>
      </w:r>
      <w:r>
        <w:rPr>
          <w:color w:val="auto"/>
        </w:rPr>
        <w:t xml:space="preserve">3.5-3  </w:t>
      </w:r>
      <w:r>
        <w:rPr>
          <w:color w:val="auto"/>
        </w:rPr>
        <w:t>水泥窑协同处置和危险废物焚烧炉处置危险废物技术参数一览表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958"/>
        <w:gridCol w:w="2660"/>
      </w:tblGrid>
      <w:tr w:rsidR="002E474C" w14:paraId="31DE8867" w14:textId="77777777">
        <w:trPr>
          <w:trHeight w:val="340"/>
        </w:trPr>
        <w:tc>
          <w:tcPr>
            <w:tcW w:w="2217" w:type="pct"/>
            <w:vAlign w:val="center"/>
          </w:tcPr>
          <w:p w14:paraId="6AB309B6" w14:textId="77777777" w:rsidR="002E474C" w:rsidRDefault="00000000">
            <w:pPr>
              <w:pStyle w:val="A-"/>
            </w:pPr>
            <w:r>
              <w:t>指标</w:t>
            </w:r>
          </w:p>
        </w:tc>
        <w:tc>
          <w:tcPr>
            <w:tcW w:w="1180" w:type="pct"/>
            <w:vAlign w:val="center"/>
          </w:tcPr>
          <w:p w14:paraId="718881BA" w14:textId="77777777" w:rsidR="002E474C" w:rsidRDefault="00000000">
            <w:pPr>
              <w:pStyle w:val="A-"/>
            </w:pPr>
            <w:r>
              <w:t>水泥窑</w:t>
            </w:r>
          </w:p>
        </w:tc>
        <w:tc>
          <w:tcPr>
            <w:tcW w:w="1603" w:type="pct"/>
            <w:vAlign w:val="center"/>
          </w:tcPr>
          <w:p w14:paraId="1CE5AB04" w14:textId="77777777" w:rsidR="002E474C" w:rsidRDefault="00000000">
            <w:pPr>
              <w:pStyle w:val="A-"/>
            </w:pPr>
            <w:r>
              <w:t>危险废物焚烧炉</w:t>
            </w:r>
          </w:p>
        </w:tc>
      </w:tr>
      <w:tr w:rsidR="002E474C" w14:paraId="6FD6DE38" w14:textId="77777777">
        <w:trPr>
          <w:trHeight w:val="340"/>
        </w:trPr>
        <w:tc>
          <w:tcPr>
            <w:tcW w:w="2217" w:type="pct"/>
            <w:vAlign w:val="center"/>
          </w:tcPr>
          <w:p w14:paraId="4123A9FD" w14:textId="77777777" w:rsidR="002E474C" w:rsidRDefault="00000000">
            <w:pPr>
              <w:pStyle w:val="A-"/>
            </w:pPr>
            <w:r>
              <w:t>焚烧高温区烟气温度（</w:t>
            </w:r>
            <w:r>
              <w:t>℃</w:t>
            </w:r>
            <w:r>
              <w:t>）</w:t>
            </w:r>
          </w:p>
        </w:tc>
        <w:tc>
          <w:tcPr>
            <w:tcW w:w="1180" w:type="pct"/>
            <w:vAlign w:val="center"/>
          </w:tcPr>
          <w:p w14:paraId="103D2F32" w14:textId="77777777" w:rsidR="002E474C" w:rsidRDefault="00000000">
            <w:pPr>
              <w:pStyle w:val="A-"/>
            </w:pPr>
            <w:r>
              <w:t>≥1450</w:t>
            </w:r>
          </w:p>
        </w:tc>
        <w:tc>
          <w:tcPr>
            <w:tcW w:w="1603" w:type="pct"/>
            <w:vAlign w:val="center"/>
          </w:tcPr>
          <w:p w14:paraId="1648544D" w14:textId="77777777" w:rsidR="002E474C" w:rsidRDefault="00000000">
            <w:pPr>
              <w:pStyle w:val="A-"/>
            </w:pPr>
            <w:r>
              <w:t>≥1100</w:t>
            </w:r>
          </w:p>
        </w:tc>
      </w:tr>
      <w:tr w:rsidR="002E474C" w14:paraId="542D640F" w14:textId="77777777">
        <w:trPr>
          <w:trHeight w:val="340"/>
        </w:trPr>
        <w:tc>
          <w:tcPr>
            <w:tcW w:w="2217" w:type="pct"/>
            <w:vAlign w:val="center"/>
          </w:tcPr>
          <w:p w14:paraId="2117F8CA" w14:textId="77777777" w:rsidR="002E474C" w:rsidRDefault="00000000">
            <w:pPr>
              <w:pStyle w:val="A-"/>
            </w:pPr>
            <w:r>
              <w:t>1100℃</w:t>
            </w:r>
            <w:r>
              <w:t>以上烟气停留时间（</w:t>
            </w:r>
            <w:r>
              <w:t>s</w:t>
            </w:r>
            <w:r>
              <w:t>）</w:t>
            </w:r>
          </w:p>
        </w:tc>
        <w:tc>
          <w:tcPr>
            <w:tcW w:w="1180" w:type="pct"/>
            <w:vAlign w:val="center"/>
          </w:tcPr>
          <w:p w14:paraId="2FB02D55" w14:textId="77777777" w:rsidR="002E474C" w:rsidRDefault="00000000">
            <w:pPr>
              <w:pStyle w:val="A-"/>
            </w:pPr>
            <w:r>
              <w:t>≥</w:t>
            </w:r>
            <w:r>
              <w:rPr>
                <w:rFonts w:hint="eastAsia"/>
              </w:rPr>
              <w:t>4.0</w:t>
            </w:r>
          </w:p>
        </w:tc>
        <w:tc>
          <w:tcPr>
            <w:tcW w:w="1603" w:type="pct"/>
            <w:vAlign w:val="center"/>
          </w:tcPr>
          <w:p w14:paraId="14C7E874" w14:textId="77777777" w:rsidR="002E474C" w:rsidRDefault="00000000">
            <w:pPr>
              <w:pStyle w:val="A-"/>
            </w:pPr>
            <w:r>
              <w:t>≥2.0</w:t>
            </w:r>
          </w:p>
        </w:tc>
      </w:tr>
      <w:tr w:rsidR="002E474C" w14:paraId="26D3884C" w14:textId="77777777">
        <w:trPr>
          <w:trHeight w:val="340"/>
        </w:trPr>
        <w:tc>
          <w:tcPr>
            <w:tcW w:w="2217" w:type="pct"/>
            <w:vAlign w:val="center"/>
          </w:tcPr>
          <w:p w14:paraId="6C647CF2" w14:textId="77777777" w:rsidR="002E474C" w:rsidRDefault="00000000">
            <w:pPr>
              <w:pStyle w:val="A-"/>
            </w:pPr>
            <w:r>
              <w:t>燃烧效率（</w:t>
            </w:r>
            <w:r>
              <w:t>%</w:t>
            </w:r>
            <w:r>
              <w:t>）</w:t>
            </w:r>
          </w:p>
        </w:tc>
        <w:tc>
          <w:tcPr>
            <w:tcW w:w="1180" w:type="pct"/>
            <w:vAlign w:val="center"/>
          </w:tcPr>
          <w:p w14:paraId="661A4686" w14:textId="77777777" w:rsidR="002E474C" w:rsidRDefault="00000000">
            <w:pPr>
              <w:pStyle w:val="A-"/>
            </w:pPr>
            <w:r>
              <w:t>≥</w:t>
            </w:r>
            <w:r>
              <w:rPr>
                <w:rFonts w:hint="eastAsia"/>
              </w:rPr>
              <w:t>99.9</w:t>
            </w:r>
          </w:p>
        </w:tc>
        <w:tc>
          <w:tcPr>
            <w:tcW w:w="1603" w:type="pct"/>
            <w:vAlign w:val="center"/>
          </w:tcPr>
          <w:p w14:paraId="19107134" w14:textId="77777777" w:rsidR="002E474C" w:rsidRDefault="00000000">
            <w:pPr>
              <w:pStyle w:val="A-"/>
            </w:pPr>
            <w:r>
              <w:t>≥99.9</w:t>
            </w:r>
          </w:p>
        </w:tc>
      </w:tr>
      <w:tr w:rsidR="002E474C" w14:paraId="4B196A50" w14:textId="77777777">
        <w:trPr>
          <w:trHeight w:val="340"/>
        </w:trPr>
        <w:tc>
          <w:tcPr>
            <w:tcW w:w="2217" w:type="pct"/>
            <w:vAlign w:val="center"/>
          </w:tcPr>
          <w:p w14:paraId="1C208C20" w14:textId="77777777" w:rsidR="002E474C" w:rsidRDefault="00000000">
            <w:pPr>
              <w:pStyle w:val="A-"/>
            </w:pPr>
            <w:r>
              <w:t>焚毁去除率（</w:t>
            </w:r>
            <w:r>
              <w:t>%</w:t>
            </w:r>
            <w:r>
              <w:t>）</w:t>
            </w:r>
          </w:p>
        </w:tc>
        <w:tc>
          <w:tcPr>
            <w:tcW w:w="1180" w:type="pct"/>
            <w:vAlign w:val="center"/>
          </w:tcPr>
          <w:p w14:paraId="27AC6A2A" w14:textId="77777777" w:rsidR="002E474C" w:rsidRDefault="00000000">
            <w:pPr>
              <w:pStyle w:val="A-"/>
            </w:pPr>
            <w:r>
              <w:t>≥99.9999</w:t>
            </w:r>
          </w:p>
        </w:tc>
        <w:tc>
          <w:tcPr>
            <w:tcW w:w="1603" w:type="pct"/>
            <w:vAlign w:val="center"/>
          </w:tcPr>
          <w:p w14:paraId="1C718C20" w14:textId="77777777" w:rsidR="002E474C" w:rsidRDefault="00000000">
            <w:pPr>
              <w:pStyle w:val="A-"/>
            </w:pPr>
            <w:r>
              <w:t>≥99.99</w:t>
            </w:r>
          </w:p>
        </w:tc>
      </w:tr>
      <w:tr w:rsidR="002E474C" w14:paraId="4579ECE8" w14:textId="77777777">
        <w:trPr>
          <w:trHeight w:val="340"/>
        </w:trPr>
        <w:tc>
          <w:tcPr>
            <w:tcW w:w="2217" w:type="pct"/>
            <w:vAlign w:val="center"/>
          </w:tcPr>
          <w:p w14:paraId="29104BDE" w14:textId="77777777" w:rsidR="002E474C" w:rsidRDefault="00000000">
            <w:pPr>
              <w:pStyle w:val="A-"/>
            </w:pPr>
            <w:r>
              <w:t>热灼减率（</w:t>
            </w:r>
            <w:r>
              <w:t>%</w:t>
            </w:r>
            <w:r>
              <w:t>）</w:t>
            </w:r>
          </w:p>
        </w:tc>
        <w:tc>
          <w:tcPr>
            <w:tcW w:w="1180" w:type="pct"/>
            <w:vAlign w:val="center"/>
          </w:tcPr>
          <w:p w14:paraId="713B3E17" w14:textId="77777777" w:rsidR="002E474C" w:rsidRDefault="00000000">
            <w:pPr>
              <w:pStyle w:val="A-"/>
            </w:pPr>
            <w:r>
              <w:t>/</w:t>
            </w:r>
          </w:p>
        </w:tc>
        <w:tc>
          <w:tcPr>
            <w:tcW w:w="1603" w:type="pct"/>
            <w:vAlign w:val="center"/>
          </w:tcPr>
          <w:p w14:paraId="08C9EC46" w14:textId="77777777" w:rsidR="002E474C" w:rsidRDefault="00000000">
            <w:pPr>
              <w:pStyle w:val="A-"/>
            </w:pPr>
            <w:r>
              <w:t>＜</w:t>
            </w:r>
            <w:r>
              <w:t>5</w:t>
            </w:r>
          </w:p>
        </w:tc>
      </w:tr>
    </w:tbl>
    <w:p w14:paraId="718251F3" w14:textId="77777777" w:rsidR="002E474C" w:rsidRDefault="002E474C"/>
    <w:p w14:paraId="15DC1C36" w14:textId="77777777" w:rsidR="002E474C" w:rsidRDefault="00000000">
      <w:pPr>
        <w:pStyle w:val="41"/>
        <w:rPr>
          <w:color w:val="auto"/>
        </w:rPr>
      </w:pPr>
      <w:r>
        <w:rPr>
          <w:color w:val="auto"/>
        </w:rPr>
        <w:t>处置技术方案</w:t>
      </w:r>
    </w:p>
    <w:p w14:paraId="3832EFFA" w14:textId="77777777" w:rsidR="002E474C" w:rsidRDefault="00000000">
      <w:pPr>
        <w:pStyle w:val="A-z"/>
        <w:rPr>
          <w:color w:val="auto"/>
        </w:rPr>
      </w:pPr>
      <w:r>
        <w:rPr>
          <w:color w:val="auto"/>
        </w:rPr>
        <w:t>结合目前国内水泥窑协同处置项目的技术方案和实际运营情况，本项目工艺主要分为固态危险废物、液态危废处置系统。</w:t>
      </w:r>
    </w:p>
    <w:p w14:paraId="152D11AE" w14:textId="77777777" w:rsidR="002E474C" w:rsidRDefault="00000000">
      <w:pPr>
        <w:pStyle w:val="A-z"/>
        <w:rPr>
          <w:color w:val="auto"/>
        </w:rPr>
      </w:pPr>
      <w:r>
        <w:rPr>
          <w:color w:val="auto"/>
        </w:rPr>
        <w:t>本项目处置危险废物包含废酸、废碱、有机溶剂废物、乳化液、医药废物、废药物药品、精馏残渣、废矿物油等。利用合理安全的热值搭配利用，将相容性</w:t>
      </w:r>
      <w:r>
        <w:rPr>
          <w:color w:val="auto"/>
        </w:rPr>
        <w:lastRenderedPageBreak/>
        <w:t>废物混合后处置。项目将固态危废、液态危废通过配伍后分别送入窑焚烧。针对不同状态和物理特性的危险废物，采用多种入窑输送系统，对各类废物的精细化控制，实现对窑系统的最小影响。具备处置系统多，处置废物类别多，对危险废物物理化学特性复杂性的针对性强，入窑控制好，对窑系统的影响可控。</w:t>
      </w:r>
    </w:p>
    <w:p w14:paraId="7D0BFB1A" w14:textId="77777777" w:rsidR="002E474C" w:rsidRDefault="00000000">
      <w:pPr>
        <w:pStyle w:val="41"/>
        <w:rPr>
          <w:color w:val="auto"/>
        </w:rPr>
      </w:pPr>
      <w:r>
        <w:rPr>
          <w:color w:val="auto"/>
        </w:rPr>
        <w:t>投料点与投加控制要求</w:t>
      </w:r>
    </w:p>
    <w:p w14:paraId="4FAD0BCE" w14:textId="77777777" w:rsidR="002E474C" w:rsidRDefault="00000000">
      <w:pPr>
        <w:pStyle w:val="A-z"/>
        <w:rPr>
          <w:color w:val="auto"/>
        </w:rPr>
      </w:pPr>
      <w:r>
        <w:rPr>
          <w:color w:val="auto"/>
        </w:rPr>
        <w:t>（</w:t>
      </w:r>
      <w:r>
        <w:rPr>
          <w:color w:val="auto"/>
        </w:rPr>
        <w:t>1</w:t>
      </w:r>
      <w:r>
        <w:rPr>
          <w:color w:val="auto"/>
        </w:rPr>
        <w:t>）回转窑协同处置危废投加位置</w:t>
      </w:r>
    </w:p>
    <w:p w14:paraId="3CAAC550" w14:textId="77777777" w:rsidR="002E474C" w:rsidRDefault="00000000">
      <w:pPr>
        <w:pStyle w:val="A-z"/>
        <w:rPr>
          <w:color w:val="auto"/>
        </w:rPr>
      </w:pPr>
      <w:r>
        <w:rPr>
          <w:color w:val="auto"/>
        </w:rPr>
        <w:t>新型干法窑的废物投加位置包括以下三处投料点，详见图</w:t>
      </w:r>
      <w:r>
        <w:rPr>
          <w:color w:val="auto"/>
        </w:rPr>
        <w:t>3.5-2</w:t>
      </w:r>
      <w:r>
        <w:rPr>
          <w:color w:val="auto"/>
        </w:rPr>
        <w:t>。</w:t>
      </w:r>
    </w:p>
    <w:p w14:paraId="7E6061FB" w14:textId="77777777" w:rsidR="002E474C" w:rsidRDefault="00000000">
      <w:pPr>
        <w:pStyle w:val="A-z"/>
        <w:rPr>
          <w:color w:val="auto"/>
        </w:rPr>
      </w:pPr>
      <w:r>
        <w:rPr>
          <w:color w:val="auto"/>
        </w:rPr>
        <w:t>1</w:t>
      </w:r>
      <w:r>
        <w:rPr>
          <w:color w:val="auto"/>
        </w:rPr>
        <w:t>）窑头高温段，包括主燃烧器投加点和窑门罩投加点；</w:t>
      </w:r>
    </w:p>
    <w:p w14:paraId="529BC4CE" w14:textId="77777777" w:rsidR="002E474C" w:rsidRDefault="00000000">
      <w:pPr>
        <w:pStyle w:val="A-z"/>
        <w:rPr>
          <w:color w:val="auto"/>
        </w:rPr>
      </w:pPr>
      <w:r>
        <w:rPr>
          <w:color w:val="auto"/>
        </w:rPr>
        <w:t>2</w:t>
      </w:r>
      <w:r>
        <w:rPr>
          <w:color w:val="auto"/>
        </w:rPr>
        <w:t>）窑尾高温段，包括分解炉、窑尾烟室和上升管道投加点；</w:t>
      </w:r>
    </w:p>
    <w:p w14:paraId="3CD9FEF5" w14:textId="77777777" w:rsidR="002E474C" w:rsidRDefault="00000000">
      <w:pPr>
        <w:pStyle w:val="A-z"/>
        <w:rPr>
          <w:color w:val="auto"/>
          <w:kern w:val="0"/>
        </w:rPr>
      </w:pPr>
      <w:r>
        <w:rPr>
          <w:color w:val="auto"/>
        </w:rPr>
        <w:t>3</w:t>
      </w:r>
      <w:r>
        <w:rPr>
          <w:color w:val="auto"/>
        </w:rPr>
        <w:t>）生料配料系统（生料磨）。</w:t>
      </w:r>
    </w:p>
    <w:p w14:paraId="71E568F8" w14:textId="77777777" w:rsidR="002E474C" w:rsidRDefault="00000000">
      <w:pPr>
        <w:pStyle w:val="A-z"/>
        <w:rPr>
          <w:color w:val="auto"/>
        </w:rPr>
      </w:pPr>
      <w:r>
        <w:rPr>
          <w:color w:val="auto"/>
        </w:rPr>
        <w:t>不同投料点适合的废物特性汇总分析，见表</w:t>
      </w:r>
      <w:r>
        <w:rPr>
          <w:color w:val="auto"/>
        </w:rPr>
        <w:t>3.5-4</w:t>
      </w:r>
      <w:r>
        <w:rPr>
          <w:color w:val="auto"/>
        </w:rPr>
        <w:t>。</w:t>
      </w:r>
    </w:p>
    <w:p w14:paraId="4F0FDAFA" w14:textId="77777777" w:rsidR="002E474C" w:rsidRDefault="00000000">
      <w:pPr>
        <w:pStyle w:val="A--"/>
        <w:rPr>
          <w:color w:val="auto"/>
        </w:rPr>
      </w:pPr>
      <w:r>
        <w:rPr>
          <w:color w:val="auto"/>
        </w:rPr>
        <w:t>表</w:t>
      </w:r>
      <w:r>
        <w:rPr>
          <w:color w:val="auto"/>
        </w:rPr>
        <w:t xml:space="preserve">3.5-4  </w:t>
      </w:r>
      <w:r>
        <w:rPr>
          <w:color w:val="auto"/>
        </w:rPr>
        <w:t>不同投料点的特点及适合的废物特性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705"/>
        <w:gridCol w:w="2056"/>
        <w:gridCol w:w="2471"/>
        <w:gridCol w:w="2436"/>
      </w:tblGrid>
      <w:tr w:rsidR="002E474C" w14:paraId="6B051694" w14:textId="77777777">
        <w:trPr>
          <w:tblHeader/>
          <w:jc w:val="center"/>
        </w:trPr>
        <w:tc>
          <w:tcPr>
            <w:tcW w:w="803" w:type="pct"/>
            <w:gridSpan w:val="2"/>
            <w:vAlign w:val="center"/>
          </w:tcPr>
          <w:p w14:paraId="2E508B94" w14:textId="77777777" w:rsidR="002E474C" w:rsidRDefault="00000000">
            <w:pPr>
              <w:pStyle w:val="A-"/>
            </w:pPr>
            <w:r>
              <w:t>投料点</w:t>
            </w:r>
          </w:p>
        </w:tc>
        <w:tc>
          <w:tcPr>
            <w:tcW w:w="1239" w:type="pct"/>
            <w:vAlign w:val="center"/>
          </w:tcPr>
          <w:p w14:paraId="63076FAD" w14:textId="77777777" w:rsidR="002E474C" w:rsidRDefault="00000000">
            <w:pPr>
              <w:pStyle w:val="A-"/>
            </w:pPr>
            <w:r>
              <w:t>加料点特性</w:t>
            </w:r>
          </w:p>
        </w:tc>
        <w:tc>
          <w:tcPr>
            <w:tcW w:w="1489" w:type="pct"/>
            <w:vAlign w:val="center"/>
          </w:tcPr>
          <w:p w14:paraId="2F54218E" w14:textId="77777777" w:rsidR="002E474C" w:rsidRDefault="00000000">
            <w:pPr>
              <w:pStyle w:val="A-"/>
            </w:pPr>
            <w:r>
              <w:t>适合的废物特性</w:t>
            </w:r>
          </w:p>
        </w:tc>
        <w:tc>
          <w:tcPr>
            <w:tcW w:w="1468" w:type="pct"/>
            <w:vAlign w:val="center"/>
          </w:tcPr>
          <w:p w14:paraId="49981908" w14:textId="77777777" w:rsidR="002E474C" w:rsidRDefault="00000000">
            <w:pPr>
              <w:pStyle w:val="A-"/>
            </w:pPr>
            <w:r>
              <w:t>投加方式</w:t>
            </w:r>
          </w:p>
        </w:tc>
      </w:tr>
      <w:tr w:rsidR="002E474C" w14:paraId="3A2825D3" w14:textId="77777777">
        <w:trPr>
          <w:jc w:val="center"/>
        </w:trPr>
        <w:tc>
          <w:tcPr>
            <w:tcW w:w="378" w:type="pct"/>
            <w:vMerge w:val="restart"/>
            <w:vAlign w:val="center"/>
          </w:tcPr>
          <w:p w14:paraId="3D402154" w14:textId="77777777" w:rsidR="002E474C" w:rsidRDefault="00000000">
            <w:pPr>
              <w:pStyle w:val="A-"/>
            </w:pPr>
            <w:r>
              <w:t>窑头高温段投料点</w:t>
            </w:r>
          </w:p>
        </w:tc>
        <w:tc>
          <w:tcPr>
            <w:tcW w:w="425" w:type="pct"/>
            <w:vAlign w:val="center"/>
          </w:tcPr>
          <w:p w14:paraId="604B6D34" w14:textId="77777777" w:rsidR="002E474C" w:rsidRDefault="00000000">
            <w:pPr>
              <w:pStyle w:val="A-"/>
            </w:pPr>
            <w:r>
              <w:t>主燃烧器投料点</w:t>
            </w:r>
          </w:p>
        </w:tc>
        <w:tc>
          <w:tcPr>
            <w:tcW w:w="1239" w:type="pct"/>
            <w:vAlign w:val="center"/>
          </w:tcPr>
          <w:p w14:paraId="48A94DFD" w14:textId="77777777" w:rsidR="002E474C" w:rsidRDefault="00000000">
            <w:pPr>
              <w:pStyle w:val="A-"/>
            </w:pPr>
            <w:r>
              <w:t>优势：温度最高，气相停留时间最长，废物喷入距离可调整；</w:t>
            </w:r>
          </w:p>
          <w:p w14:paraId="2221C48B" w14:textId="77777777" w:rsidR="002E474C" w:rsidRDefault="00000000">
            <w:pPr>
              <w:pStyle w:val="A-"/>
            </w:pPr>
            <w:r>
              <w:rPr>
                <w:spacing w:val="-6"/>
              </w:rPr>
              <w:t>劣势：物料停留时间短，火焰易受影响，对废物物理特性有较多限制。</w:t>
            </w:r>
          </w:p>
        </w:tc>
        <w:tc>
          <w:tcPr>
            <w:tcW w:w="1489" w:type="pct"/>
            <w:vAlign w:val="center"/>
          </w:tcPr>
          <w:p w14:paraId="047DD5FA" w14:textId="77777777" w:rsidR="002E474C" w:rsidRDefault="00000000">
            <w:pPr>
              <w:pStyle w:val="A-"/>
            </w:pPr>
            <w:r>
              <w:t>物理特性：液态废物；易于气力输送的粉状或小粒径废物。</w:t>
            </w:r>
          </w:p>
          <w:p w14:paraId="6A868440" w14:textId="77777777" w:rsidR="002E474C" w:rsidRDefault="00000000">
            <w:pPr>
              <w:pStyle w:val="A-"/>
            </w:pPr>
            <w:r>
              <w:t>化学特性：含</w:t>
            </w:r>
            <w:r>
              <w:t>POPs</w:t>
            </w:r>
            <w:r>
              <w:t>和高氯、高毒、难降解有机物质的废物；热值高、含水率低的有机废液。</w:t>
            </w:r>
          </w:p>
        </w:tc>
        <w:tc>
          <w:tcPr>
            <w:tcW w:w="1468" w:type="pct"/>
            <w:vAlign w:val="center"/>
          </w:tcPr>
          <w:p w14:paraId="458C8070" w14:textId="77777777" w:rsidR="002E474C" w:rsidRDefault="00000000">
            <w:pPr>
              <w:pStyle w:val="A-"/>
            </w:pPr>
            <w:r>
              <w:rPr>
                <w:spacing w:val="-6"/>
              </w:rPr>
              <w:t>通过泵力输送投加的液态废物不应含有沉淀物，以免堵塞燃烧器喷嘴；通过气力输送投加的粉状废物，从多通道燃烧器的不同通道喷入窑内，若废物灰分含量高，尽可能喷入窑内距离窑头更远的距离，尽量达到固相反应带，以保证喷入的废物与窑内物料有足够的反应时间。</w:t>
            </w:r>
          </w:p>
        </w:tc>
      </w:tr>
      <w:tr w:rsidR="002E474C" w14:paraId="6850E26E" w14:textId="77777777">
        <w:trPr>
          <w:jc w:val="center"/>
        </w:trPr>
        <w:tc>
          <w:tcPr>
            <w:tcW w:w="378" w:type="pct"/>
            <w:vMerge/>
            <w:vAlign w:val="center"/>
          </w:tcPr>
          <w:p w14:paraId="313FE107" w14:textId="77777777" w:rsidR="002E474C" w:rsidRDefault="002E474C">
            <w:pPr>
              <w:pStyle w:val="A-"/>
            </w:pPr>
          </w:p>
        </w:tc>
        <w:tc>
          <w:tcPr>
            <w:tcW w:w="425" w:type="pct"/>
            <w:vAlign w:val="center"/>
          </w:tcPr>
          <w:p w14:paraId="7AA8870E" w14:textId="77777777" w:rsidR="002E474C" w:rsidRDefault="00000000">
            <w:pPr>
              <w:pStyle w:val="A-"/>
            </w:pPr>
            <w:r>
              <w:t>窑门罩投料点</w:t>
            </w:r>
          </w:p>
        </w:tc>
        <w:tc>
          <w:tcPr>
            <w:tcW w:w="1239" w:type="pct"/>
            <w:vAlign w:val="center"/>
          </w:tcPr>
          <w:p w14:paraId="2E522929" w14:textId="77777777" w:rsidR="002E474C" w:rsidRDefault="00000000">
            <w:pPr>
              <w:pStyle w:val="A-"/>
            </w:pPr>
            <w:r>
              <w:t>优势：温度最高，气相停留时间最长，火焰不易受影响；</w:t>
            </w:r>
          </w:p>
          <w:p w14:paraId="2101D427" w14:textId="77777777" w:rsidR="002E474C" w:rsidRDefault="00000000">
            <w:pPr>
              <w:pStyle w:val="A-"/>
            </w:pPr>
            <w:r>
              <w:rPr>
                <w:spacing w:val="-6"/>
              </w:rPr>
              <w:t>劣势：废物喷入距离短，物料停留时间最短。</w:t>
            </w:r>
          </w:p>
        </w:tc>
        <w:tc>
          <w:tcPr>
            <w:tcW w:w="1489" w:type="pct"/>
            <w:vAlign w:val="center"/>
          </w:tcPr>
          <w:p w14:paraId="5E348FDE" w14:textId="77777777" w:rsidR="002E474C" w:rsidRDefault="00000000">
            <w:pPr>
              <w:pStyle w:val="A-"/>
            </w:pPr>
            <w:r>
              <w:t>物理特性：通常为液态废物；少数情况下也可投加固态废物。</w:t>
            </w:r>
          </w:p>
          <w:p w14:paraId="21801E3A" w14:textId="77777777" w:rsidR="002E474C" w:rsidRDefault="00000000">
            <w:pPr>
              <w:pStyle w:val="A-"/>
            </w:pPr>
            <w:r>
              <w:rPr>
                <w:spacing w:val="-6"/>
              </w:rPr>
              <w:t>化学特性：热值低、含水率高的有机废液和无机废液，尤其适合含</w:t>
            </w:r>
            <w:r>
              <w:rPr>
                <w:spacing w:val="-6"/>
              </w:rPr>
              <w:t xml:space="preserve"> POPs </w:t>
            </w:r>
            <w:r>
              <w:rPr>
                <w:spacing w:val="-6"/>
              </w:rPr>
              <w:t>和高氯、高毒、难降解有机物的废液。</w:t>
            </w:r>
          </w:p>
        </w:tc>
        <w:tc>
          <w:tcPr>
            <w:tcW w:w="1468" w:type="pct"/>
            <w:vAlign w:val="center"/>
          </w:tcPr>
          <w:p w14:paraId="4B146419" w14:textId="77777777" w:rsidR="002E474C" w:rsidRDefault="00000000">
            <w:pPr>
              <w:pStyle w:val="A-"/>
            </w:pPr>
            <w:r>
              <w:t>投加固态废物时，可以采用特殊设计的投加设施，确保将固态废物投至距离窑头更远的距离，避免废物未充分燃烧或燃烧残渣未充分与物料反应即随熟料排出窑外而进入冷却机；投加的液态废物通过泵力输送至窑门罩喷入窑内。</w:t>
            </w:r>
          </w:p>
        </w:tc>
      </w:tr>
      <w:tr w:rsidR="002E474C" w14:paraId="0BA4EDA7" w14:textId="77777777">
        <w:trPr>
          <w:jc w:val="center"/>
        </w:trPr>
        <w:tc>
          <w:tcPr>
            <w:tcW w:w="378" w:type="pct"/>
            <w:vMerge w:val="restart"/>
            <w:vAlign w:val="center"/>
          </w:tcPr>
          <w:p w14:paraId="020B7D84" w14:textId="77777777" w:rsidR="002E474C" w:rsidRDefault="00000000">
            <w:pPr>
              <w:pStyle w:val="A-"/>
            </w:pPr>
            <w:r>
              <w:t>窑尾高温段投料点</w:t>
            </w:r>
          </w:p>
        </w:tc>
        <w:tc>
          <w:tcPr>
            <w:tcW w:w="425" w:type="pct"/>
            <w:vAlign w:val="center"/>
          </w:tcPr>
          <w:p w14:paraId="0DDAE57B" w14:textId="77777777" w:rsidR="002E474C" w:rsidRDefault="00000000">
            <w:pPr>
              <w:pStyle w:val="A-"/>
            </w:pPr>
            <w:r>
              <w:t>窑尾烟室投加点</w:t>
            </w:r>
          </w:p>
        </w:tc>
        <w:tc>
          <w:tcPr>
            <w:tcW w:w="1239" w:type="pct"/>
            <w:vAlign w:val="center"/>
          </w:tcPr>
          <w:p w14:paraId="21A25FD4" w14:textId="77777777" w:rsidR="002E474C" w:rsidRDefault="00000000">
            <w:pPr>
              <w:pStyle w:val="A-"/>
            </w:pPr>
            <w:r>
              <w:t>优势：温度较高，气相停留时间较长，物料停留时间长，分解炉燃烧工况不易受影响，物料适应性广；</w:t>
            </w:r>
          </w:p>
          <w:p w14:paraId="6D42FEB6" w14:textId="77777777" w:rsidR="002E474C" w:rsidRDefault="00000000">
            <w:pPr>
              <w:pStyle w:val="A-"/>
            </w:pPr>
            <w:r>
              <w:t>劣势：温度和气相停留时间均大大低于窑头高温区，窑尾温度</w:t>
            </w:r>
            <w:r>
              <w:lastRenderedPageBreak/>
              <w:t>易受影响且不易调节。</w:t>
            </w:r>
          </w:p>
        </w:tc>
        <w:tc>
          <w:tcPr>
            <w:tcW w:w="1489" w:type="pct"/>
            <w:vAlign w:val="center"/>
          </w:tcPr>
          <w:p w14:paraId="3E327CE2" w14:textId="77777777" w:rsidR="002E474C" w:rsidRDefault="00000000">
            <w:pPr>
              <w:pStyle w:val="A-"/>
            </w:pPr>
            <w:r>
              <w:lastRenderedPageBreak/>
              <w:t>物理特性：各种物态废物，包括液态、粉状、浆状、小颗粒状、大块状。化学特性：有机废物；含有机物的废物；有机和无机废液；含</w:t>
            </w:r>
            <w:r>
              <w:t xml:space="preserve"> POPs </w:t>
            </w:r>
            <w:r>
              <w:t>和高氯、高毒、难降解有机物质的废物因受物理特性限</w:t>
            </w:r>
            <w:r>
              <w:lastRenderedPageBreak/>
              <w:t>制</w:t>
            </w:r>
            <w:r>
              <w:t xml:space="preserve"> </w:t>
            </w:r>
            <w:r>
              <w:t>不便从窑头投入时可从该处投入。</w:t>
            </w:r>
          </w:p>
        </w:tc>
        <w:tc>
          <w:tcPr>
            <w:tcW w:w="1468" w:type="pct"/>
            <w:vMerge w:val="restart"/>
            <w:vAlign w:val="center"/>
          </w:tcPr>
          <w:p w14:paraId="31EDD22E" w14:textId="77777777" w:rsidR="002E474C" w:rsidRDefault="00000000">
            <w:pPr>
              <w:pStyle w:val="A-"/>
            </w:pPr>
            <w:r>
              <w:lastRenderedPageBreak/>
              <w:t>投加的液态、浆状废物通过泵力输送，粉状废物通过密闭的机械传送带或气力输送，大块状废物通过机械传送带输送。</w:t>
            </w:r>
          </w:p>
        </w:tc>
      </w:tr>
      <w:tr w:rsidR="002E474C" w14:paraId="61D09B6B" w14:textId="77777777">
        <w:trPr>
          <w:jc w:val="center"/>
        </w:trPr>
        <w:tc>
          <w:tcPr>
            <w:tcW w:w="378" w:type="pct"/>
            <w:vMerge/>
            <w:vAlign w:val="center"/>
          </w:tcPr>
          <w:p w14:paraId="513DE952" w14:textId="77777777" w:rsidR="002E474C" w:rsidRDefault="002E474C">
            <w:pPr>
              <w:pStyle w:val="A-"/>
            </w:pPr>
          </w:p>
        </w:tc>
        <w:tc>
          <w:tcPr>
            <w:tcW w:w="425" w:type="pct"/>
            <w:vAlign w:val="center"/>
          </w:tcPr>
          <w:p w14:paraId="4F2CDDD5" w14:textId="77777777" w:rsidR="002E474C" w:rsidRDefault="00000000">
            <w:pPr>
              <w:pStyle w:val="A-"/>
            </w:pPr>
            <w:r>
              <w:t>分解炉和上升管道投加点</w:t>
            </w:r>
          </w:p>
        </w:tc>
        <w:tc>
          <w:tcPr>
            <w:tcW w:w="1239" w:type="pct"/>
            <w:vAlign w:val="center"/>
          </w:tcPr>
          <w:p w14:paraId="07471591" w14:textId="77777777" w:rsidR="002E474C" w:rsidRDefault="00000000">
            <w:pPr>
              <w:pStyle w:val="A-"/>
            </w:pPr>
            <w:r>
              <w:t>优势：温度较高，气相停留时间较长，物料停留时间长，有利于控制温度波动（通过调整常规燃料添加量）；</w:t>
            </w:r>
          </w:p>
          <w:p w14:paraId="4D12FF57" w14:textId="77777777" w:rsidR="002E474C" w:rsidRDefault="00000000">
            <w:pPr>
              <w:pStyle w:val="A-"/>
            </w:pPr>
            <w:r>
              <w:t>劣势：温度和气相停留时间均大大低于窑头，气流、压力和分解炉燃烧工况易受影响。</w:t>
            </w:r>
          </w:p>
        </w:tc>
        <w:tc>
          <w:tcPr>
            <w:tcW w:w="1489" w:type="pct"/>
            <w:vAlign w:val="center"/>
          </w:tcPr>
          <w:p w14:paraId="6CDA9820" w14:textId="77777777" w:rsidR="002E474C" w:rsidRDefault="00000000">
            <w:pPr>
              <w:pStyle w:val="A-"/>
            </w:pPr>
            <w:r>
              <w:t>物理特性：粒径较小的固体废物。</w:t>
            </w:r>
          </w:p>
          <w:p w14:paraId="190AF691" w14:textId="77777777" w:rsidR="002E474C" w:rsidRDefault="00000000">
            <w:pPr>
              <w:pStyle w:val="A-"/>
            </w:pPr>
            <w:r>
              <w:t>化学特性：与窑尾烟室类似，但为了避免影响分解炉内气流、压力和燃烧工况，含水率高的废物尽量不从此处投加。</w:t>
            </w:r>
          </w:p>
        </w:tc>
        <w:tc>
          <w:tcPr>
            <w:tcW w:w="1468" w:type="pct"/>
            <w:vMerge/>
            <w:vAlign w:val="center"/>
          </w:tcPr>
          <w:p w14:paraId="54A1E4BA" w14:textId="77777777" w:rsidR="002E474C" w:rsidRDefault="002E474C">
            <w:pPr>
              <w:pStyle w:val="A-"/>
            </w:pPr>
          </w:p>
        </w:tc>
      </w:tr>
      <w:tr w:rsidR="002E474C" w14:paraId="15A55E83" w14:textId="77777777">
        <w:trPr>
          <w:trHeight w:val="1681"/>
          <w:jc w:val="center"/>
        </w:trPr>
        <w:tc>
          <w:tcPr>
            <w:tcW w:w="803" w:type="pct"/>
            <w:gridSpan w:val="2"/>
            <w:vAlign w:val="center"/>
          </w:tcPr>
          <w:p w14:paraId="1AE74EA3" w14:textId="77777777" w:rsidR="002E474C" w:rsidRDefault="00000000">
            <w:pPr>
              <w:pStyle w:val="A-"/>
            </w:pPr>
            <w:r>
              <w:t>生料磨投料点</w:t>
            </w:r>
          </w:p>
        </w:tc>
        <w:tc>
          <w:tcPr>
            <w:tcW w:w="1239" w:type="pct"/>
            <w:vAlign w:val="center"/>
          </w:tcPr>
          <w:p w14:paraId="36C072DF" w14:textId="77777777" w:rsidR="002E474C" w:rsidRDefault="00000000">
            <w:pPr>
              <w:pStyle w:val="A-"/>
            </w:pPr>
            <w:r>
              <w:t>优势：物料停留时间最长，投料易于操作投料装置简单；</w:t>
            </w:r>
          </w:p>
          <w:p w14:paraId="10039C92" w14:textId="77777777" w:rsidR="002E474C" w:rsidRDefault="00000000">
            <w:pPr>
              <w:pStyle w:val="A-"/>
            </w:pPr>
            <w:r>
              <w:rPr>
                <w:spacing w:val="-11"/>
              </w:rPr>
              <w:t>劣势：温度最低，气相停留时间最短，有害成分和元素易挥发进入大气。</w:t>
            </w:r>
          </w:p>
        </w:tc>
        <w:tc>
          <w:tcPr>
            <w:tcW w:w="1489" w:type="pct"/>
            <w:vAlign w:val="center"/>
          </w:tcPr>
          <w:p w14:paraId="759A526B" w14:textId="77777777" w:rsidR="002E474C" w:rsidRDefault="00000000">
            <w:pPr>
              <w:pStyle w:val="A-"/>
            </w:pPr>
            <w:r>
              <w:t>物料特性：固态废物，粒径适应性广，块状粉状均可。</w:t>
            </w:r>
          </w:p>
          <w:p w14:paraId="3C58DAB7" w14:textId="77777777" w:rsidR="002E474C" w:rsidRDefault="00000000">
            <w:pPr>
              <w:pStyle w:val="A-"/>
            </w:pPr>
            <w:r>
              <w:t>化学特性：不含有机物和挥发半挥发性重金属的固态废物。</w:t>
            </w:r>
          </w:p>
        </w:tc>
        <w:tc>
          <w:tcPr>
            <w:tcW w:w="1468" w:type="pct"/>
            <w:vAlign w:val="center"/>
          </w:tcPr>
          <w:p w14:paraId="37CB8475" w14:textId="77777777" w:rsidR="002E474C" w:rsidRDefault="00000000">
            <w:pPr>
              <w:pStyle w:val="A-"/>
            </w:pPr>
            <w:r>
              <w:t>采用与输送和投加常规生料相同的设施和方法。</w:t>
            </w:r>
          </w:p>
        </w:tc>
      </w:tr>
    </w:tbl>
    <w:p w14:paraId="0427918C" w14:textId="77777777" w:rsidR="002E474C" w:rsidRDefault="002E474C"/>
    <w:p w14:paraId="7D07660C" w14:textId="77777777" w:rsidR="002E474C" w:rsidRDefault="00000000">
      <w:pPr>
        <w:pStyle w:val="A-z"/>
        <w:rPr>
          <w:color w:val="auto"/>
        </w:rPr>
      </w:pPr>
      <w:r>
        <w:rPr>
          <w:color w:val="auto"/>
        </w:rPr>
        <w:t>（</w:t>
      </w:r>
      <w:r>
        <w:rPr>
          <w:color w:val="auto"/>
        </w:rPr>
        <w:t>2</w:t>
      </w:r>
      <w:r>
        <w:rPr>
          <w:color w:val="auto"/>
        </w:rPr>
        <w:t>）危险废物投加控制要求</w:t>
      </w:r>
    </w:p>
    <w:p w14:paraId="1FE2D16C" w14:textId="77777777" w:rsidR="002E474C" w:rsidRDefault="00000000">
      <w:pPr>
        <w:pStyle w:val="A-z"/>
        <w:rPr>
          <w:color w:val="auto"/>
        </w:rPr>
      </w:pPr>
      <w:r>
        <w:rPr>
          <w:color w:val="auto"/>
        </w:rPr>
        <w:t>1</w:t>
      </w:r>
      <w:r>
        <w:rPr>
          <w:color w:val="auto"/>
        </w:rPr>
        <w:t>）窑头加入点：</w:t>
      </w:r>
    </w:p>
    <w:p w14:paraId="5B88E7D6" w14:textId="77777777" w:rsidR="002E474C" w:rsidRDefault="00000000">
      <w:pPr>
        <w:pStyle w:val="A-z"/>
        <w:rPr>
          <w:color w:val="auto"/>
        </w:rPr>
      </w:pPr>
      <w:r>
        <w:rPr>
          <w:color w:val="auto"/>
        </w:rPr>
        <w:t>①</w:t>
      </w:r>
      <w:r>
        <w:rPr>
          <w:color w:val="auto"/>
        </w:rPr>
        <w:t>主燃烧器投加点：</w:t>
      </w:r>
      <w:r>
        <w:rPr>
          <w:color w:val="auto"/>
        </w:rPr>
        <w:t>1800</w:t>
      </w:r>
      <w:bookmarkStart w:id="174" w:name="OLE_LINK71"/>
      <w:r>
        <w:rPr>
          <w:color w:val="auto"/>
        </w:rPr>
        <w:t>~</w:t>
      </w:r>
      <w:bookmarkEnd w:id="174"/>
      <w:r>
        <w:rPr>
          <w:color w:val="auto"/>
        </w:rPr>
        <w:t>2000℃</w:t>
      </w:r>
      <w:r>
        <w:rPr>
          <w:color w:val="auto"/>
        </w:rPr>
        <w:t>，火焰中心温度高达</w:t>
      </w:r>
      <w:r>
        <w:rPr>
          <w:color w:val="auto"/>
        </w:rPr>
        <w:t>2500℃</w:t>
      </w:r>
      <w:r>
        <w:rPr>
          <w:color w:val="auto"/>
        </w:rPr>
        <w:t>，而且火焰长度占整个回转窑长度的</w:t>
      </w:r>
      <w:r>
        <w:rPr>
          <w:color w:val="auto"/>
        </w:rPr>
        <w:t>30%~40%</w:t>
      </w:r>
      <w:r>
        <w:rPr>
          <w:color w:val="auto"/>
        </w:rPr>
        <w:t>左右。在整个回转窑内物料温度</w:t>
      </w:r>
      <w:r>
        <w:rPr>
          <w:color w:val="auto"/>
        </w:rPr>
        <w:t xml:space="preserve"> 900~1450℃</w:t>
      </w:r>
      <w:r>
        <w:rPr>
          <w:color w:val="auto"/>
        </w:rPr>
        <w:t>，停留时间</w:t>
      </w:r>
      <w:r>
        <w:rPr>
          <w:color w:val="auto"/>
        </w:rPr>
        <w:t>20min</w:t>
      </w:r>
      <w:r>
        <w:rPr>
          <w:color w:val="auto"/>
        </w:rPr>
        <w:t>左右；烟气温度</w:t>
      </w:r>
      <w:r>
        <w:rPr>
          <w:color w:val="auto"/>
        </w:rPr>
        <w:t>1150-2000 ℃</w:t>
      </w:r>
      <w:r>
        <w:rPr>
          <w:color w:val="auto"/>
        </w:rPr>
        <w:t>，停留时间</w:t>
      </w:r>
      <w:r>
        <w:rPr>
          <w:color w:val="auto"/>
        </w:rPr>
        <w:t>10s</w:t>
      </w:r>
      <w:r>
        <w:rPr>
          <w:color w:val="auto"/>
        </w:rPr>
        <w:t>左右。</w:t>
      </w:r>
    </w:p>
    <w:p w14:paraId="2E32E126" w14:textId="77777777" w:rsidR="002E474C" w:rsidRDefault="00000000">
      <w:pPr>
        <w:pStyle w:val="A-z"/>
        <w:rPr>
          <w:color w:val="auto"/>
        </w:rPr>
      </w:pPr>
      <w:r>
        <w:rPr>
          <w:color w:val="auto"/>
        </w:rPr>
        <w:t>②</w:t>
      </w:r>
      <w:r>
        <w:rPr>
          <w:color w:val="auto"/>
        </w:rPr>
        <w:t>窑头（窑门罩）投料点：</w:t>
      </w:r>
      <w:r>
        <w:rPr>
          <w:color w:val="auto"/>
        </w:rPr>
        <w:t>750~850℃</w:t>
      </w:r>
      <w:r>
        <w:rPr>
          <w:color w:val="auto"/>
        </w:rPr>
        <w:t>。整个回转窑内物料温度</w:t>
      </w:r>
      <w:r>
        <w:rPr>
          <w:color w:val="auto"/>
        </w:rPr>
        <w:t>900~1450 ℃</w:t>
      </w:r>
      <w:r>
        <w:rPr>
          <w:color w:val="auto"/>
        </w:rPr>
        <w:t>，停留时间</w:t>
      </w:r>
      <w:r>
        <w:rPr>
          <w:color w:val="auto"/>
        </w:rPr>
        <w:t xml:space="preserve">20min </w:t>
      </w:r>
      <w:r>
        <w:rPr>
          <w:color w:val="auto"/>
        </w:rPr>
        <w:t>左右；烟气温度</w:t>
      </w:r>
      <w:r>
        <w:rPr>
          <w:color w:val="auto"/>
        </w:rPr>
        <w:t>1150~2000℃</w:t>
      </w:r>
      <w:r>
        <w:rPr>
          <w:color w:val="auto"/>
        </w:rPr>
        <w:t>，停留时间</w:t>
      </w:r>
      <w:r>
        <w:rPr>
          <w:color w:val="auto"/>
        </w:rPr>
        <w:t>10s</w:t>
      </w:r>
      <w:r>
        <w:rPr>
          <w:color w:val="auto"/>
        </w:rPr>
        <w:t>左右。</w:t>
      </w:r>
    </w:p>
    <w:p w14:paraId="70F43190" w14:textId="77777777" w:rsidR="002E474C" w:rsidRDefault="00000000">
      <w:pPr>
        <w:pStyle w:val="A-z"/>
        <w:rPr>
          <w:color w:val="auto"/>
        </w:rPr>
      </w:pPr>
      <w:r>
        <w:rPr>
          <w:color w:val="auto"/>
        </w:rPr>
        <w:t>废液部分成份彻底焚毁温度高于</w:t>
      </w:r>
      <w:r>
        <w:rPr>
          <w:color w:val="auto"/>
        </w:rPr>
        <w:t>1100℃</w:t>
      </w:r>
      <w:r>
        <w:rPr>
          <w:color w:val="auto"/>
        </w:rPr>
        <w:t>，需在窑头高温区投加，因此本项目在窑头主要投加液态危废。</w:t>
      </w:r>
    </w:p>
    <w:p w14:paraId="631E5B72" w14:textId="77777777" w:rsidR="002E474C" w:rsidRDefault="00000000">
      <w:pPr>
        <w:pStyle w:val="A-z"/>
        <w:rPr>
          <w:color w:val="auto"/>
        </w:rPr>
      </w:pPr>
      <w:r>
        <w:rPr>
          <w:color w:val="auto"/>
        </w:rPr>
        <w:t>2</w:t>
      </w:r>
      <w:r>
        <w:rPr>
          <w:color w:val="auto"/>
        </w:rPr>
        <w:t>）窑尾加入点：</w:t>
      </w:r>
    </w:p>
    <w:p w14:paraId="1EA70141" w14:textId="77777777" w:rsidR="002E474C" w:rsidRDefault="00000000">
      <w:pPr>
        <w:pStyle w:val="A-z"/>
        <w:rPr>
          <w:color w:val="auto"/>
        </w:rPr>
      </w:pPr>
      <w:r>
        <w:rPr>
          <w:color w:val="auto"/>
        </w:rPr>
        <w:t>①</w:t>
      </w:r>
      <w:r>
        <w:rPr>
          <w:color w:val="auto"/>
        </w:rPr>
        <w:t>分解炉及上升管道投料点：物料温度</w:t>
      </w:r>
      <w:r>
        <w:rPr>
          <w:color w:val="auto"/>
        </w:rPr>
        <w:t>750~900℃</w:t>
      </w:r>
      <w:r>
        <w:rPr>
          <w:color w:val="auto"/>
        </w:rPr>
        <w:t>，停留时间</w:t>
      </w:r>
      <w:r>
        <w:rPr>
          <w:color w:val="auto"/>
        </w:rPr>
        <w:t>10s</w:t>
      </w:r>
      <w:r>
        <w:rPr>
          <w:color w:val="auto"/>
        </w:rPr>
        <w:t>左右；气体温度</w:t>
      </w:r>
      <w:r>
        <w:rPr>
          <w:color w:val="auto"/>
        </w:rPr>
        <w:t>850~1150℃</w:t>
      </w:r>
      <w:r>
        <w:rPr>
          <w:color w:val="auto"/>
        </w:rPr>
        <w:t>，停留时间</w:t>
      </w:r>
      <w:r>
        <w:rPr>
          <w:color w:val="auto"/>
        </w:rPr>
        <w:t>3s</w:t>
      </w:r>
      <w:r>
        <w:rPr>
          <w:color w:val="auto"/>
        </w:rPr>
        <w:t>左右。在悬浮预热器内，物料温度</w:t>
      </w:r>
      <w:r>
        <w:rPr>
          <w:color w:val="auto"/>
        </w:rPr>
        <w:t>100~750℃</w:t>
      </w:r>
      <w:r>
        <w:rPr>
          <w:color w:val="auto"/>
        </w:rPr>
        <w:t>，停留时间</w:t>
      </w:r>
      <w:r>
        <w:rPr>
          <w:color w:val="auto"/>
        </w:rPr>
        <w:t>50s</w:t>
      </w:r>
      <w:r>
        <w:rPr>
          <w:color w:val="auto"/>
        </w:rPr>
        <w:t>左右；气体温度</w:t>
      </w:r>
      <w:r>
        <w:rPr>
          <w:color w:val="auto"/>
        </w:rPr>
        <w:t>350~850℃</w:t>
      </w:r>
      <w:r>
        <w:rPr>
          <w:color w:val="auto"/>
        </w:rPr>
        <w:t>，停留时间</w:t>
      </w:r>
      <w:r>
        <w:rPr>
          <w:color w:val="auto"/>
        </w:rPr>
        <w:t>10s</w:t>
      </w:r>
      <w:r>
        <w:rPr>
          <w:color w:val="auto"/>
        </w:rPr>
        <w:t>左右。</w:t>
      </w:r>
    </w:p>
    <w:p w14:paraId="07E7D01E" w14:textId="77777777" w:rsidR="002E474C" w:rsidRDefault="00000000">
      <w:pPr>
        <w:pStyle w:val="A-z"/>
        <w:rPr>
          <w:color w:val="auto"/>
        </w:rPr>
      </w:pPr>
      <w:r>
        <w:rPr>
          <w:color w:val="auto"/>
        </w:rPr>
        <w:t>②</w:t>
      </w:r>
      <w:r>
        <w:rPr>
          <w:color w:val="auto"/>
        </w:rPr>
        <w:t>窑尾烟室投加点：</w:t>
      </w:r>
      <w:r>
        <w:rPr>
          <w:color w:val="auto"/>
        </w:rPr>
        <w:t>950~1050℃</w:t>
      </w:r>
      <w:r>
        <w:rPr>
          <w:color w:val="auto"/>
        </w:rPr>
        <w:t>。</w:t>
      </w:r>
    </w:p>
    <w:p w14:paraId="6327B689" w14:textId="77777777" w:rsidR="002E474C" w:rsidRDefault="00000000">
      <w:pPr>
        <w:pStyle w:val="A-z"/>
        <w:rPr>
          <w:color w:val="auto"/>
        </w:rPr>
      </w:pPr>
      <w:r>
        <w:rPr>
          <w:color w:val="auto"/>
        </w:rPr>
        <w:t>固体及半固体废物物料种类复杂，且在</w:t>
      </w:r>
      <w:r>
        <w:rPr>
          <w:color w:val="auto"/>
        </w:rPr>
        <w:t>800~1050℃</w:t>
      </w:r>
      <w:r>
        <w:rPr>
          <w:color w:val="auto"/>
        </w:rPr>
        <w:t>彻底焚毁。而窑尾烟室及分解炉区域温度为</w:t>
      </w:r>
      <w:r>
        <w:rPr>
          <w:color w:val="auto"/>
        </w:rPr>
        <w:t>850~1050℃</w:t>
      </w:r>
      <w:r>
        <w:rPr>
          <w:color w:val="auto"/>
        </w:rPr>
        <w:t>，且此区域主要燃烧空间大，抗干扰能力及处置量远大于窑头区域。因此本项目在窑尾主要加入固体半固体危险废物。结合危</w:t>
      </w:r>
      <w:r>
        <w:rPr>
          <w:color w:val="auto"/>
        </w:rPr>
        <w:lastRenderedPageBreak/>
        <w:t>险废物种类的燃尽特性及物料粒度（</w:t>
      </w:r>
      <w:r>
        <w:rPr>
          <w:color w:val="auto"/>
        </w:rPr>
        <w:t>50~100mm</w:t>
      </w:r>
      <w:r>
        <w:rPr>
          <w:color w:val="auto"/>
        </w:rPr>
        <w:t>），认为物料进入窑尾后先向下掉落，随后水份蒸发，挥发性成分释放，因此加入点设置为分解炉底部区域。</w:t>
      </w:r>
    </w:p>
    <w:p w14:paraId="059282FC" w14:textId="77777777" w:rsidR="002E474C" w:rsidRDefault="00000000">
      <w:pPr>
        <w:pStyle w:val="A-z"/>
        <w:rPr>
          <w:color w:val="auto"/>
        </w:rPr>
      </w:pPr>
      <w:r>
        <w:rPr>
          <w:color w:val="auto"/>
        </w:rPr>
        <w:t>3</w:t>
      </w:r>
      <w:r>
        <w:rPr>
          <w:color w:val="auto"/>
        </w:rPr>
        <w:t>）生料磨投加点：</w:t>
      </w:r>
      <w:r>
        <w:rPr>
          <w:color w:val="auto"/>
        </w:rPr>
        <w:t>200~220℃</w:t>
      </w:r>
      <w:r>
        <w:rPr>
          <w:color w:val="auto"/>
        </w:rPr>
        <w:t>。</w:t>
      </w:r>
    </w:p>
    <w:p w14:paraId="60B7AF86" w14:textId="77777777" w:rsidR="002E474C" w:rsidRDefault="00000000">
      <w:pPr>
        <w:pStyle w:val="A-z"/>
        <w:rPr>
          <w:color w:val="auto"/>
        </w:rPr>
      </w:pPr>
      <w:r>
        <w:rPr>
          <w:color w:val="auto"/>
        </w:rPr>
        <w:t>根据《水泥窑协同处置固体废物环境保护技术规范》（</w:t>
      </w:r>
      <w:r>
        <w:rPr>
          <w:color w:val="auto"/>
        </w:rPr>
        <w:t>HJ662-2013</w:t>
      </w:r>
      <w:r>
        <w:rPr>
          <w:color w:val="auto"/>
        </w:rPr>
        <w:t>），在生料磨只能投加不含有机物和挥发半挥发性重金属的固态危废。本项目在原料磨投加点主要加入纯无机类（不挥发）危废。</w:t>
      </w:r>
    </w:p>
    <w:p w14:paraId="01D58771" w14:textId="77777777" w:rsidR="002E474C" w:rsidRDefault="00000000">
      <w:pPr>
        <w:pStyle w:val="A-z"/>
        <w:rPr>
          <w:color w:val="auto"/>
        </w:rPr>
      </w:pPr>
      <w:r>
        <w:rPr>
          <w:color w:val="auto"/>
        </w:rPr>
        <w:t>本项目采用的投料点共</w:t>
      </w:r>
      <w:r>
        <w:rPr>
          <w:color w:val="auto"/>
        </w:rPr>
        <w:t>3</w:t>
      </w:r>
      <w:r>
        <w:rPr>
          <w:color w:val="auto"/>
        </w:rPr>
        <w:t>个位置（窑头窑门罩、分解炉、生料磨），根据每次接收</w:t>
      </w:r>
      <w:r>
        <w:rPr>
          <w:rFonts w:hint="eastAsia"/>
          <w:color w:val="auto"/>
        </w:rPr>
        <w:t>危废</w:t>
      </w:r>
      <w:r>
        <w:rPr>
          <w:color w:val="auto"/>
        </w:rPr>
        <w:t>类别进行配伍，选择投加口进行投加焚烧处置。投加口严格按照《水泥窑协同处置固体废物环境保护技术规范》（</w:t>
      </w:r>
      <w:r>
        <w:rPr>
          <w:color w:val="auto"/>
        </w:rPr>
        <w:t>HJ662-2013</w:t>
      </w:r>
      <w:r>
        <w:rPr>
          <w:color w:val="auto"/>
        </w:rPr>
        <w:t>）要求进行设置，根据危废不同理化性质分别进行投加。</w:t>
      </w:r>
    </w:p>
    <w:p w14:paraId="77B9B2C5" w14:textId="77777777" w:rsidR="002E474C" w:rsidRDefault="00000000">
      <w:pPr>
        <w:pStyle w:val="31"/>
        <w:spacing w:before="120" w:after="120"/>
        <w:rPr>
          <w:color w:val="auto"/>
        </w:rPr>
      </w:pPr>
      <w:r>
        <w:rPr>
          <w:color w:val="auto"/>
        </w:rPr>
        <w:t>工艺流程及产污环节分析</w:t>
      </w:r>
    </w:p>
    <w:p w14:paraId="2A0C1CAA" w14:textId="77777777" w:rsidR="002E474C" w:rsidRDefault="00000000">
      <w:pPr>
        <w:pStyle w:val="41"/>
        <w:rPr>
          <w:color w:val="auto"/>
        </w:rPr>
      </w:pPr>
      <w:r>
        <w:rPr>
          <w:color w:val="auto"/>
        </w:rPr>
        <w:t>水泥窑协同处置生产工艺</w:t>
      </w:r>
    </w:p>
    <w:p w14:paraId="2DB4824C" w14:textId="77777777" w:rsidR="002E474C" w:rsidRDefault="00000000">
      <w:pPr>
        <w:pStyle w:val="A-z"/>
        <w:rPr>
          <w:color w:val="auto"/>
        </w:rPr>
      </w:pPr>
      <w:r>
        <w:rPr>
          <w:color w:val="auto"/>
        </w:rPr>
        <w:t>水泥窑协同处置工艺可分为入场检查检验</w:t>
      </w:r>
      <w:r>
        <w:rPr>
          <w:rFonts w:eastAsia="TimesNewRoman"/>
          <w:color w:val="auto"/>
        </w:rPr>
        <w:t>(</w:t>
      </w:r>
      <w:r>
        <w:rPr>
          <w:color w:val="auto"/>
        </w:rPr>
        <w:t>制定处置方案</w:t>
      </w:r>
      <w:r>
        <w:rPr>
          <w:rFonts w:eastAsia="TimesNewRoman"/>
          <w:color w:val="auto"/>
        </w:rPr>
        <w:t>)</w:t>
      </w:r>
      <w:r>
        <w:rPr>
          <w:color w:val="auto"/>
        </w:rPr>
        <w:t>、贮存与输送系统、预处理</w:t>
      </w:r>
      <w:r>
        <w:rPr>
          <w:rFonts w:hint="eastAsia"/>
          <w:color w:val="auto"/>
        </w:rPr>
        <w:t>车间</w:t>
      </w:r>
      <w:r>
        <w:rPr>
          <w:color w:val="auto"/>
        </w:rPr>
        <w:t>、给料系统、焚烧系统。其中</w:t>
      </w:r>
      <w:r>
        <w:rPr>
          <w:bCs/>
          <w:color w:val="auto"/>
          <w:lang w:val="en-US"/>
        </w:rPr>
        <w:t>固态（含半固态）废物预处理主要依托预处理中心，液态废物仅做过滤处理</w:t>
      </w:r>
      <w:r>
        <w:rPr>
          <w:color w:val="auto"/>
        </w:rPr>
        <w:t>；焚烧系统包括余热回收利用系统、烟气净化系统等部分组成。</w:t>
      </w:r>
    </w:p>
    <w:p w14:paraId="00F75D9A" w14:textId="77777777" w:rsidR="002E474C" w:rsidRDefault="00000000">
      <w:pPr>
        <w:pStyle w:val="A-z"/>
        <w:rPr>
          <w:color w:val="auto"/>
        </w:rPr>
      </w:pPr>
      <w:r>
        <w:rPr>
          <w:color w:val="auto"/>
        </w:rPr>
        <w:t>入厂的危险废物从形态上分类，包括固态危废预处理产物和液态危废两种采用不同的处置方案。危险废物在厂内处置工艺流程见图</w:t>
      </w:r>
      <w:r>
        <w:rPr>
          <w:color w:val="auto"/>
        </w:rPr>
        <w:t>3.5-3</w:t>
      </w:r>
      <w:r>
        <w:rPr>
          <w:color w:val="auto"/>
        </w:rPr>
        <w:t>。</w:t>
      </w:r>
    </w:p>
    <w:p w14:paraId="16455E65" w14:textId="77777777" w:rsidR="002E474C" w:rsidRDefault="00000000">
      <w:pPr>
        <w:pStyle w:val="41"/>
        <w:rPr>
          <w:color w:val="auto"/>
        </w:rPr>
      </w:pPr>
      <w:r>
        <w:rPr>
          <w:color w:val="auto"/>
        </w:rPr>
        <w:t>危险废物准入控制与入厂验收</w:t>
      </w:r>
    </w:p>
    <w:p w14:paraId="30A04175" w14:textId="77777777" w:rsidR="002E474C" w:rsidRDefault="00000000">
      <w:pPr>
        <w:pStyle w:val="A-z"/>
        <w:rPr>
          <w:color w:val="auto"/>
        </w:rPr>
      </w:pPr>
      <w:r>
        <w:rPr>
          <w:color w:val="auto"/>
        </w:rPr>
        <w:t>本项目拟处理危废</w:t>
      </w:r>
      <w:r>
        <w:rPr>
          <w:rFonts w:hint="eastAsia"/>
          <w:color w:val="auto"/>
        </w:rPr>
        <w:t>主要为</w:t>
      </w:r>
      <w:r>
        <w:rPr>
          <w:color w:val="auto"/>
        </w:rPr>
        <w:t>预处理中心的预处理产物</w:t>
      </w:r>
      <w:r>
        <w:rPr>
          <w:rFonts w:hint="eastAsia"/>
          <w:color w:val="auto"/>
        </w:rPr>
        <w:t>，</w:t>
      </w:r>
      <w:r>
        <w:rPr>
          <w:bCs/>
          <w:color w:val="auto"/>
          <w:lang w:val="en-US"/>
        </w:rPr>
        <w:t>少量</w:t>
      </w:r>
      <w:r>
        <w:rPr>
          <w:color w:val="auto"/>
        </w:rPr>
        <w:t>来自吐鲁番市及周边县市收集的危险废物</w:t>
      </w:r>
      <w:r>
        <w:rPr>
          <w:rFonts w:hint="eastAsia"/>
          <w:color w:val="auto"/>
        </w:rPr>
        <w:t>。</w:t>
      </w:r>
      <w:r>
        <w:rPr>
          <w:rFonts w:hint="eastAsia"/>
          <w:color w:val="auto"/>
          <w:lang w:val="en-US"/>
        </w:rPr>
        <w:t>厂内</w:t>
      </w:r>
      <w:r>
        <w:rPr>
          <w:rFonts w:hint="eastAsia"/>
          <w:color w:val="auto"/>
        </w:rPr>
        <w:t>危险废物的取样检测、</w:t>
      </w:r>
      <w:r>
        <w:rPr>
          <w:color w:val="auto"/>
        </w:rPr>
        <w:t>分析化验与质量控制工作依托吉木萨尔协同处置项目预处理中心分析化验室</w:t>
      </w:r>
      <w:r>
        <w:rPr>
          <w:rFonts w:hint="eastAsia"/>
          <w:color w:val="auto"/>
        </w:rPr>
        <w:t>。</w:t>
      </w:r>
    </w:p>
    <w:p w14:paraId="7E43166D" w14:textId="77777777" w:rsidR="002E474C" w:rsidRDefault="00000000">
      <w:pPr>
        <w:pStyle w:val="A-z"/>
        <w:rPr>
          <w:color w:val="auto"/>
        </w:rPr>
      </w:pPr>
      <w:r>
        <w:rPr>
          <w:color w:val="auto"/>
        </w:rPr>
        <w:t>预处理产物</w:t>
      </w:r>
      <w:r>
        <w:rPr>
          <w:rFonts w:hint="eastAsia"/>
          <w:color w:val="auto"/>
        </w:rPr>
        <w:t>在</w:t>
      </w:r>
      <w:r>
        <w:rPr>
          <w:color w:val="auto"/>
        </w:rPr>
        <w:t>预处理过程中已采取危险废物准入控制措施（包括入窑元素符合性分析、准入评估、配伍方案设计）、入厂验收（包括危废检查、取样检验、类别核对、制定协同处置方案）、预处理工艺（包括破碎、配伍均质）等。</w:t>
      </w:r>
    </w:p>
    <w:p w14:paraId="6EC051F6" w14:textId="77777777" w:rsidR="002E474C" w:rsidRDefault="00000000">
      <w:pPr>
        <w:pStyle w:val="A-z"/>
        <w:rPr>
          <w:color w:val="auto"/>
        </w:rPr>
      </w:pPr>
      <w:r>
        <w:rPr>
          <w:color w:val="auto"/>
        </w:rPr>
        <w:t>预处理产物入厂后采取简化准入、验收管理管理。预处理中心的不同批次预处理产物，在生产工艺操作参数未改变的前提下，可以仅对首批次危废进行采样分析，其后产生的危废采样分析在制定处置方案时进行。</w:t>
      </w:r>
    </w:p>
    <w:p w14:paraId="6315446C" w14:textId="77777777" w:rsidR="002E474C" w:rsidRDefault="00000000">
      <w:pPr>
        <w:pStyle w:val="A-z"/>
        <w:rPr>
          <w:color w:val="auto"/>
        </w:rPr>
      </w:pPr>
      <w:r>
        <w:rPr>
          <w:color w:val="auto"/>
        </w:rPr>
        <w:lastRenderedPageBreak/>
        <w:t>本项目分析化验与质量控制工作依托预处理中心分析化验室，委托该分析化验室进行定期送样分析。</w:t>
      </w:r>
    </w:p>
    <w:p w14:paraId="41EEDF64" w14:textId="77777777" w:rsidR="002E474C" w:rsidRDefault="00000000">
      <w:pPr>
        <w:pStyle w:val="41"/>
        <w:rPr>
          <w:color w:val="auto"/>
        </w:rPr>
      </w:pPr>
      <w:r>
        <w:rPr>
          <w:color w:val="auto"/>
        </w:rPr>
        <w:t>制定配伍与处置方案</w:t>
      </w:r>
    </w:p>
    <w:p w14:paraId="03FCD859" w14:textId="77777777" w:rsidR="002E474C" w:rsidRDefault="00000000">
      <w:pPr>
        <w:pStyle w:val="A-z"/>
        <w:rPr>
          <w:color w:val="auto"/>
        </w:rPr>
      </w:pPr>
      <w:r>
        <w:rPr>
          <w:color w:val="auto"/>
        </w:rPr>
        <w:t>为保证生产安全，不将严禁配伍的固体废物混合是关键。本项目涉及的危险废物类型中，部分危险废物性质较稳定，相互混合不会发生化学反应，部分类型危险废物与其它危险废物混合可能产生危险</w:t>
      </w:r>
      <w:r>
        <w:rPr>
          <w:color w:val="auto"/>
        </w:rPr>
        <w:t>(</w:t>
      </w:r>
      <w:r>
        <w:rPr>
          <w:color w:val="auto"/>
        </w:rPr>
        <w:t>例如反应释放出有毒物质等</w:t>
      </w:r>
      <w:r>
        <w:rPr>
          <w:color w:val="auto"/>
        </w:rPr>
        <w:t>)</w:t>
      </w:r>
      <w:r>
        <w:rPr>
          <w:color w:val="auto"/>
        </w:rPr>
        <w:t>。</w:t>
      </w:r>
    </w:p>
    <w:p w14:paraId="160479B8" w14:textId="77777777" w:rsidR="002E474C" w:rsidRDefault="00000000">
      <w:pPr>
        <w:pStyle w:val="A-z"/>
        <w:rPr>
          <w:color w:val="auto"/>
        </w:rPr>
      </w:pPr>
      <w:r>
        <w:rPr>
          <w:color w:val="auto"/>
        </w:rPr>
        <w:t>预处理中心的危险废物预处理过程中已采取危险废物准入控制措施、入厂验收、预处理工艺，确保预处理产物运输、贮存和协同处置全过程安全及水泥生产安全。液态危废按入厂包装分批次单独投料，不考虑危险废物混合加工的风险。</w:t>
      </w:r>
    </w:p>
    <w:p w14:paraId="44BE41D7" w14:textId="77777777" w:rsidR="002E474C" w:rsidRDefault="00000000">
      <w:pPr>
        <w:pStyle w:val="A-z"/>
        <w:ind w:firstLine="456"/>
        <w:rPr>
          <w:color w:val="auto"/>
          <w:spacing w:val="-6"/>
          <w:lang w:val="en-US"/>
        </w:rPr>
      </w:pPr>
      <w:r>
        <w:rPr>
          <w:color w:val="auto"/>
          <w:spacing w:val="-6"/>
          <w:lang w:val="en-US"/>
        </w:rPr>
        <w:t>为进一步强化入窑处置环节的安全管控，确保预处理产物与水泥生产工艺适配，在预处理产物入窑前，必须提前制定科学合理的配伍方案及处置方案，严格开展配伍试验与评估工作。配伍方案需结合预处理产物的成分、特性及水泥生产工艺要求，明确各类产物的配伍比例、混合方式及注意事项；处置方案需细化入窑流程、安全防控措施、应急处置预案等内容，确保配伍后的物料符合入窑标准，杜绝因配伍不当引发的生产安全事故、环境污染等问题，保障协同处置环节的合规性与安全性。</w:t>
      </w:r>
    </w:p>
    <w:p w14:paraId="51F09F35" w14:textId="77777777" w:rsidR="002E474C" w:rsidRDefault="00000000">
      <w:pPr>
        <w:pStyle w:val="A-z"/>
        <w:rPr>
          <w:color w:val="auto"/>
          <w:lang w:val="en-US"/>
        </w:rPr>
      </w:pPr>
      <w:r>
        <w:rPr>
          <w:color w:val="auto"/>
          <w:lang w:val="en-US"/>
        </w:rPr>
        <w:t>危险废物入窑前需进行严格的实验，确定配伍方案，生产过程严格按此规定进行原料废物的配伍。</w:t>
      </w:r>
    </w:p>
    <w:p w14:paraId="1718A6BF" w14:textId="77777777" w:rsidR="002E474C" w:rsidRDefault="00000000">
      <w:pPr>
        <w:pStyle w:val="A-z"/>
        <w:rPr>
          <w:color w:val="auto"/>
          <w:lang w:val="en-US"/>
        </w:rPr>
      </w:pPr>
      <w:r>
        <w:rPr>
          <w:color w:val="auto"/>
          <w:lang w:val="en-US"/>
        </w:rPr>
        <w:t>（</w:t>
      </w:r>
      <w:r>
        <w:rPr>
          <w:color w:val="auto"/>
          <w:lang w:val="en-US"/>
        </w:rPr>
        <w:t>1</w:t>
      </w:r>
      <w:r>
        <w:rPr>
          <w:color w:val="auto"/>
          <w:lang w:val="en-US"/>
        </w:rPr>
        <w:t>）以危险废物入厂后的分析检测结果为依据，制定危险废物协同处置方案。危险废物协同处置方案包括危险废物贮存、输送和入窑协同处置技术流程、配伍和技术参数，以及安全风险和相应的安全操作提示。</w:t>
      </w:r>
    </w:p>
    <w:p w14:paraId="27C1B5D8" w14:textId="77777777" w:rsidR="002E474C" w:rsidRDefault="00000000">
      <w:pPr>
        <w:pStyle w:val="A-z"/>
        <w:rPr>
          <w:color w:val="auto"/>
          <w:lang w:val="en-US"/>
        </w:rPr>
      </w:pPr>
      <w:r>
        <w:rPr>
          <w:color w:val="auto"/>
          <w:lang w:val="en-US"/>
        </w:rPr>
        <w:t>（</w:t>
      </w:r>
      <w:r>
        <w:rPr>
          <w:color w:val="auto"/>
          <w:lang w:val="en-US"/>
        </w:rPr>
        <w:t>2</w:t>
      </w:r>
      <w:r>
        <w:rPr>
          <w:color w:val="auto"/>
          <w:lang w:val="en-US"/>
        </w:rPr>
        <w:t>）制定协同处置方案时应注意以下关键环节：</w:t>
      </w:r>
    </w:p>
    <w:p w14:paraId="4D69EBBF" w14:textId="77777777" w:rsidR="002E474C" w:rsidRDefault="00000000">
      <w:pPr>
        <w:pStyle w:val="A-z"/>
        <w:rPr>
          <w:color w:val="auto"/>
          <w:lang w:val="en-US"/>
        </w:rPr>
      </w:pPr>
      <w:r>
        <w:rPr>
          <w:color w:val="auto"/>
          <w:lang w:val="en-US"/>
        </w:rPr>
        <w:t>1</w:t>
      </w:r>
      <w:r>
        <w:rPr>
          <w:color w:val="auto"/>
          <w:lang w:val="en-US"/>
        </w:rPr>
        <w:t>）危险废物及其混合物在贮存、厂内运输、预处理和入窑焚烧过程中不对所接触材料造成腐蚀破坏。</w:t>
      </w:r>
    </w:p>
    <w:p w14:paraId="7385D4C7" w14:textId="77777777" w:rsidR="002E474C" w:rsidRDefault="00000000">
      <w:pPr>
        <w:pStyle w:val="A-z"/>
        <w:rPr>
          <w:color w:val="auto"/>
          <w:lang w:val="en-US"/>
        </w:rPr>
      </w:pPr>
      <w:r>
        <w:rPr>
          <w:color w:val="auto"/>
          <w:lang w:val="en-US"/>
        </w:rPr>
        <w:t>2</w:t>
      </w:r>
      <w:r>
        <w:rPr>
          <w:color w:val="auto"/>
          <w:lang w:val="en-US"/>
        </w:rPr>
        <w:t>）入窑危险废物中有害物质的含量和投加速率满足本标准相关要求，防止对水泥生产和水泥质量造成不利影响。</w:t>
      </w:r>
    </w:p>
    <w:p w14:paraId="7040C0B0" w14:textId="77777777" w:rsidR="002E474C" w:rsidRDefault="00000000">
      <w:pPr>
        <w:pStyle w:val="A-z"/>
        <w:rPr>
          <w:color w:val="auto"/>
          <w:lang w:val="en-US"/>
        </w:rPr>
      </w:pPr>
      <w:r>
        <w:rPr>
          <w:color w:val="auto"/>
          <w:lang w:val="en-US"/>
        </w:rPr>
        <w:t>（</w:t>
      </w:r>
      <w:r>
        <w:rPr>
          <w:color w:val="auto"/>
          <w:lang w:val="en-US"/>
        </w:rPr>
        <w:t>3</w:t>
      </w:r>
      <w:r>
        <w:rPr>
          <w:color w:val="auto"/>
          <w:lang w:val="en-US"/>
        </w:rPr>
        <w:t>）危险废物入厂检查和检验结果应该记录备案，与危险废物协同处置方案共同入档保存。入厂检查和检验结果记录及危险废物协同处置方案的保存时间不应低于</w:t>
      </w:r>
      <w:r>
        <w:rPr>
          <w:color w:val="auto"/>
          <w:lang w:val="en-US"/>
        </w:rPr>
        <w:t>3</w:t>
      </w:r>
      <w:r>
        <w:rPr>
          <w:color w:val="auto"/>
          <w:lang w:val="en-US"/>
        </w:rPr>
        <w:t>年。</w:t>
      </w:r>
    </w:p>
    <w:p w14:paraId="7F2D1D70" w14:textId="77777777" w:rsidR="002E474C" w:rsidRDefault="00000000">
      <w:pPr>
        <w:pStyle w:val="41"/>
        <w:rPr>
          <w:color w:val="auto"/>
        </w:rPr>
      </w:pPr>
      <w:r>
        <w:rPr>
          <w:color w:val="auto"/>
        </w:rPr>
        <w:t>危险废物贮存</w:t>
      </w:r>
    </w:p>
    <w:p w14:paraId="00CF5B7C" w14:textId="77777777" w:rsidR="002E474C" w:rsidRDefault="00000000">
      <w:pPr>
        <w:pStyle w:val="A-z"/>
        <w:rPr>
          <w:color w:val="auto"/>
        </w:rPr>
      </w:pPr>
      <w:r>
        <w:rPr>
          <w:color w:val="auto"/>
        </w:rPr>
        <w:lastRenderedPageBreak/>
        <w:t>（</w:t>
      </w:r>
      <w:r>
        <w:rPr>
          <w:color w:val="auto"/>
        </w:rPr>
        <w:t>1</w:t>
      </w:r>
      <w:r>
        <w:rPr>
          <w:color w:val="auto"/>
        </w:rPr>
        <w:t>）按照《水泥窑协同处置固体废物环境保护技术规范》（</w:t>
      </w:r>
      <w:r>
        <w:rPr>
          <w:color w:val="auto"/>
        </w:rPr>
        <w:t>HJ662-2013</w:t>
      </w:r>
      <w:r>
        <w:rPr>
          <w:color w:val="auto"/>
        </w:rPr>
        <w:t>）要求进行危险废物贮存。</w:t>
      </w:r>
    </w:p>
    <w:p w14:paraId="2DF55906" w14:textId="77777777" w:rsidR="002E474C" w:rsidRDefault="00000000">
      <w:pPr>
        <w:pStyle w:val="A-z"/>
        <w:rPr>
          <w:color w:val="auto"/>
        </w:rPr>
      </w:pPr>
      <w:r>
        <w:rPr>
          <w:color w:val="auto"/>
        </w:rPr>
        <w:t>1</w:t>
      </w:r>
      <w:r>
        <w:rPr>
          <w:color w:val="auto"/>
        </w:rPr>
        <w:t>）本项目危险废物贮存设施包括危废贮存库、固态危废预处理车间贮存区及清洗间，以保证固体废物不与水泥生产原料、燃料和产品混合贮存。分区贮存拟处置的危险废物，包括贮存吨箱、铁桶装的液态废物，打包的预处理产物、清洗后的包装等物品。</w:t>
      </w:r>
    </w:p>
    <w:p w14:paraId="3864FEC4" w14:textId="77777777" w:rsidR="002E474C" w:rsidRDefault="00000000">
      <w:pPr>
        <w:pStyle w:val="A-z"/>
        <w:rPr>
          <w:color w:val="auto"/>
        </w:rPr>
      </w:pPr>
      <w:r>
        <w:rPr>
          <w:color w:val="auto"/>
        </w:rPr>
        <w:t>2</w:t>
      </w:r>
      <w:r>
        <w:rPr>
          <w:color w:val="auto"/>
        </w:rPr>
        <w:t>）危废贮存库内专门设置不明性质废物存区。不明性质废物暂存区应与其他废物贮存区隔离，并设有专门的存取通道。</w:t>
      </w:r>
    </w:p>
    <w:p w14:paraId="158E8467" w14:textId="77777777" w:rsidR="002E474C" w:rsidRDefault="00000000">
      <w:pPr>
        <w:pStyle w:val="A-z"/>
        <w:rPr>
          <w:color w:val="auto"/>
        </w:rPr>
      </w:pPr>
      <w:r>
        <w:rPr>
          <w:color w:val="auto"/>
        </w:rPr>
        <w:t>3</w:t>
      </w:r>
      <w:r>
        <w:rPr>
          <w:color w:val="auto"/>
        </w:rPr>
        <w:t>）危废贮存设施符合</w:t>
      </w:r>
      <w:r>
        <w:rPr>
          <w:color w:val="auto"/>
          <w:lang w:val="en-US"/>
        </w:rPr>
        <w:t>《建筑防火通用规范》（</w:t>
      </w:r>
      <w:r>
        <w:rPr>
          <w:color w:val="auto"/>
          <w:lang w:val="en-US"/>
        </w:rPr>
        <w:t>GB 55037-2022</w:t>
      </w:r>
      <w:r>
        <w:rPr>
          <w:color w:val="auto"/>
          <w:lang w:val="en-US"/>
        </w:rPr>
        <w:t>）</w:t>
      </w:r>
      <w:r>
        <w:rPr>
          <w:color w:val="auto"/>
        </w:rPr>
        <w:t>等相关消防规范的要求。与水泥窑窑体、分解炉和预热器保持一定的安全距离；贮存设施内张贴严禁烟火的明显标识；根据固体废物特性、贮存和卸载区条件配置相应的消防警报设备和灭火器材；贮存设施中的电子设备接地，并装备抗静电设备；设置防爆通讯设备并保持通畅完好。</w:t>
      </w:r>
    </w:p>
    <w:p w14:paraId="177A2176" w14:textId="77777777" w:rsidR="002E474C" w:rsidRDefault="00000000">
      <w:pPr>
        <w:pStyle w:val="A-z"/>
        <w:rPr>
          <w:color w:val="auto"/>
        </w:rPr>
      </w:pPr>
      <w:r>
        <w:rPr>
          <w:color w:val="auto"/>
        </w:rPr>
        <w:t>4</w:t>
      </w:r>
      <w:r>
        <w:rPr>
          <w:color w:val="auto"/>
        </w:rPr>
        <w:t>）危废贮存设施的设计、安全防护、污染防治等满足</w:t>
      </w:r>
      <w:r>
        <w:rPr>
          <w:color w:val="auto"/>
        </w:rPr>
        <w:t>GB18597</w:t>
      </w:r>
      <w:r>
        <w:rPr>
          <w:color w:val="auto"/>
        </w:rPr>
        <w:t>和</w:t>
      </w:r>
      <w:r>
        <w:rPr>
          <w:color w:val="auto"/>
        </w:rPr>
        <w:t>HJ/T176</w:t>
      </w:r>
      <w:r>
        <w:rPr>
          <w:color w:val="auto"/>
        </w:rPr>
        <w:t>中的相关要求；危废贮存区标有明确的安全警告和清晰的撤离路线；危废贮存区及附近配备紧急人体清洗冲淋设施，并标明用途。</w:t>
      </w:r>
    </w:p>
    <w:p w14:paraId="43626EA1" w14:textId="77777777" w:rsidR="002E474C" w:rsidRDefault="00000000">
      <w:pPr>
        <w:pStyle w:val="A-z"/>
        <w:rPr>
          <w:color w:val="auto"/>
        </w:rPr>
      </w:pPr>
      <w:r>
        <w:rPr>
          <w:color w:val="auto"/>
        </w:rPr>
        <w:t>5</w:t>
      </w:r>
      <w:r>
        <w:rPr>
          <w:color w:val="auto"/>
        </w:rPr>
        <w:t>）危废贮存设施具有良好的防渗性能并设置污水收集装置；贮存设施采用封闭措施，保证其中污泥存放时处于负压状态；贮存设施内抽取的废气处理达标后排放。危废贮存库、固态危废预处理车间地面均设导流槽和集液池。</w:t>
      </w:r>
    </w:p>
    <w:p w14:paraId="323AEA42" w14:textId="77777777" w:rsidR="002E474C" w:rsidRDefault="00000000">
      <w:pPr>
        <w:pStyle w:val="A-z"/>
        <w:rPr>
          <w:color w:val="auto"/>
        </w:rPr>
      </w:pPr>
      <w:r>
        <w:rPr>
          <w:color w:val="auto"/>
        </w:rPr>
        <w:t>6</w:t>
      </w:r>
      <w:r>
        <w:rPr>
          <w:color w:val="auto"/>
        </w:rPr>
        <w:t>）除上述规定之外的其他固体废物贮存设施均有良好的防渗性能，以及必要的防雨、防尘功能。地沟和地面防渗，满足《危险废物贮存污染控制标准》（</w:t>
      </w:r>
      <w:r>
        <w:rPr>
          <w:color w:val="auto"/>
        </w:rPr>
        <w:t>GB18597-2023</w:t>
      </w:r>
      <w:r>
        <w:rPr>
          <w:color w:val="auto"/>
        </w:rPr>
        <w:t>）中对基础层的防渗要求。</w:t>
      </w:r>
    </w:p>
    <w:p w14:paraId="1939C2AA" w14:textId="77777777" w:rsidR="002E474C" w:rsidRDefault="00000000">
      <w:pPr>
        <w:pStyle w:val="A-z"/>
        <w:rPr>
          <w:color w:val="auto"/>
        </w:rPr>
      </w:pPr>
      <w:r>
        <w:rPr>
          <w:color w:val="auto"/>
        </w:rPr>
        <w:t>（</w:t>
      </w:r>
      <w:r>
        <w:rPr>
          <w:color w:val="auto"/>
        </w:rPr>
        <w:t>2</w:t>
      </w:r>
      <w:r>
        <w:rPr>
          <w:color w:val="auto"/>
        </w:rPr>
        <w:t>）根据《水泥窑协同处置工业废物设计规范》（</w:t>
      </w:r>
      <w:r>
        <w:rPr>
          <w:color w:val="auto"/>
        </w:rPr>
        <w:t>GB50634-2010</w:t>
      </w:r>
      <w:r>
        <w:rPr>
          <w:color w:val="auto"/>
        </w:rPr>
        <w:t>），</w:t>
      </w:r>
      <w:r>
        <w:rPr>
          <w:rFonts w:hint="eastAsia"/>
          <w:color w:val="auto"/>
        </w:rPr>
        <w:t>危险废物</w:t>
      </w:r>
      <w:r>
        <w:rPr>
          <w:color w:val="auto"/>
        </w:rPr>
        <w:t>的贮存要求如下：</w:t>
      </w:r>
    </w:p>
    <w:p w14:paraId="57EDC1AF" w14:textId="77777777" w:rsidR="002E474C" w:rsidRDefault="00000000">
      <w:pPr>
        <w:pStyle w:val="A-z"/>
        <w:rPr>
          <w:color w:val="auto"/>
        </w:rPr>
      </w:pPr>
      <w:r>
        <w:rPr>
          <w:color w:val="auto"/>
        </w:rPr>
        <w:t>1</w:t>
      </w:r>
      <w:r>
        <w:rPr>
          <w:color w:val="auto"/>
        </w:rPr>
        <w:t>）应对</w:t>
      </w:r>
      <w:r>
        <w:rPr>
          <w:rFonts w:hint="eastAsia"/>
          <w:color w:val="auto"/>
        </w:rPr>
        <w:t>危废</w:t>
      </w:r>
      <w:r>
        <w:rPr>
          <w:color w:val="auto"/>
        </w:rPr>
        <w:t>进行物理化学分类，并依据检测结果确定贮存方式。</w:t>
      </w:r>
    </w:p>
    <w:p w14:paraId="572C2CD1" w14:textId="77777777" w:rsidR="002E474C" w:rsidRDefault="00000000">
      <w:pPr>
        <w:pStyle w:val="A-z"/>
        <w:rPr>
          <w:color w:val="auto"/>
        </w:rPr>
      </w:pPr>
      <w:r>
        <w:rPr>
          <w:color w:val="auto"/>
        </w:rPr>
        <w:t>2</w:t>
      </w:r>
      <w:r>
        <w:rPr>
          <w:color w:val="auto"/>
        </w:rPr>
        <w:t>）</w:t>
      </w:r>
      <w:r>
        <w:rPr>
          <w:rFonts w:hint="eastAsia"/>
          <w:color w:val="auto"/>
        </w:rPr>
        <w:t>危废</w:t>
      </w:r>
      <w:r>
        <w:rPr>
          <w:color w:val="auto"/>
        </w:rPr>
        <w:t>应分类存放。已经过检测和未经过检测的</w:t>
      </w:r>
      <w:r>
        <w:rPr>
          <w:rFonts w:hint="eastAsia"/>
          <w:color w:val="auto"/>
        </w:rPr>
        <w:t>危废</w:t>
      </w:r>
      <w:r>
        <w:rPr>
          <w:color w:val="auto"/>
        </w:rPr>
        <w:t>应分区存放；已经过检测的</w:t>
      </w:r>
      <w:r>
        <w:rPr>
          <w:rFonts w:hint="eastAsia"/>
          <w:color w:val="auto"/>
        </w:rPr>
        <w:t>危废</w:t>
      </w:r>
      <w:r>
        <w:rPr>
          <w:color w:val="auto"/>
        </w:rPr>
        <w:t>还应按物理、化学性质分区存放。</w:t>
      </w:r>
    </w:p>
    <w:p w14:paraId="54C02A63" w14:textId="77777777" w:rsidR="002E474C" w:rsidRDefault="00000000">
      <w:pPr>
        <w:pStyle w:val="A-z"/>
        <w:rPr>
          <w:color w:val="auto"/>
        </w:rPr>
      </w:pPr>
      <w:r>
        <w:rPr>
          <w:color w:val="auto"/>
        </w:rPr>
        <w:t>3</w:t>
      </w:r>
      <w:r>
        <w:rPr>
          <w:color w:val="auto"/>
        </w:rPr>
        <w:t>）</w:t>
      </w:r>
      <w:r>
        <w:rPr>
          <w:rFonts w:hint="eastAsia"/>
          <w:color w:val="auto"/>
        </w:rPr>
        <w:t>危废</w:t>
      </w:r>
      <w:r>
        <w:rPr>
          <w:color w:val="auto"/>
        </w:rPr>
        <w:t>应按其相容性分区存放，不相容的</w:t>
      </w:r>
      <w:r>
        <w:rPr>
          <w:rFonts w:hint="eastAsia"/>
          <w:color w:val="auto"/>
        </w:rPr>
        <w:t>危废</w:t>
      </w:r>
      <w:r>
        <w:rPr>
          <w:color w:val="auto"/>
        </w:rPr>
        <w:t>存放区必须有隔断。</w:t>
      </w:r>
    </w:p>
    <w:p w14:paraId="6B26F759" w14:textId="77777777" w:rsidR="002E474C" w:rsidRDefault="00000000">
      <w:pPr>
        <w:pStyle w:val="A-z"/>
        <w:rPr>
          <w:color w:val="auto"/>
        </w:rPr>
      </w:pPr>
      <w:r>
        <w:rPr>
          <w:color w:val="auto"/>
        </w:rPr>
        <w:t>（</w:t>
      </w:r>
      <w:r>
        <w:rPr>
          <w:color w:val="auto"/>
        </w:rPr>
        <w:t>3</w:t>
      </w:r>
      <w:r>
        <w:rPr>
          <w:color w:val="auto"/>
        </w:rPr>
        <w:t>）本项目配置的贮存设施满足《危险废物收集</w:t>
      </w:r>
      <w:r>
        <w:rPr>
          <w:color w:val="auto"/>
        </w:rPr>
        <w:t xml:space="preserve"> </w:t>
      </w:r>
      <w:r>
        <w:rPr>
          <w:color w:val="auto"/>
        </w:rPr>
        <w:t>贮存</w:t>
      </w:r>
      <w:r>
        <w:rPr>
          <w:color w:val="auto"/>
        </w:rPr>
        <w:t xml:space="preserve"> </w:t>
      </w:r>
      <w:r>
        <w:rPr>
          <w:color w:val="auto"/>
        </w:rPr>
        <w:t>运输技术规范》（</w:t>
      </w:r>
      <w:r>
        <w:rPr>
          <w:color w:val="auto"/>
        </w:rPr>
        <w:t>HJ2025-2012</w:t>
      </w:r>
      <w:r>
        <w:rPr>
          <w:color w:val="auto"/>
        </w:rPr>
        <w:t>）要求：</w:t>
      </w:r>
    </w:p>
    <w:p w14:paraId="50EBF3F0" w14:textId="77777777" w:rsidR="002E474C" w:rsidRDefault="00000000">
      <w:pPr>
        <w:pStyle w:val="A-z"/>
        <w:rPr>
          <w:color w:val="auto"/>
        </w:rPr>
      </w:pPr>
      <w:r>
        <w:rPr>
          <w:color w:val="auto"/>
        </w:rPr>
        <w:lastRenderedPageBreak/>
        <w:t>1</w:t>
      </w:r>
      <w:r>
        <w:rPr>
          <w:color w:val="auto"/>
        </w:rPr>
        <w:t>）危险废物贮存设施的选址、设计、建设、运行管理满足</w:t>
      </w:r>
      <w:r>
        <w:rPr>
          <w:color w:val="auto"/>
        </w:rPr>
        <w:t xml:space="preserve"> GB18597</w:t>
      </w:r>
      <w:r>
        <w:rPr>
          <w:color w:val="auto"/>
        </w:rPr>
        <w:t>、</w:t>
      </w:r>
      <w:r>
        <w:rPr>
          <w:color w:val="auto"/>
        </w:rPr>
        <w:t>GBZ1</w:t>
      </w:r>
      <w:r>
        <w:rPr>
          <w:color w:val="auto"/>
        </w:rPr>
        <w:t>、</w:t>
      </w:r>
      <w:r>
        <w:rPr>
          <w:color w:val="auto"/>
        </w:rPr>
        <w:t xml:space="preserve">GBZ2 </w:t>
      </w:r>
      <w:r>
        <w:rPr>
          <w:color w:val="auto"/>
        </w:rPr>
        <w:t>的有关要求。</w:t>
      </w:r>
    </w:p>
    <w:p w14:paraId="06FA1987" w14:textId="77777777" w:rsidR="002E474C" w:rsidRDefault="00000000">
      <w:pPr>
        <w:pStyle w:val="A-z"/>
        <w:rPr>
          <w:color w:val="auto"/>
        </w:rPr>
      </w:pPr>
      <w:r>
        <w:rPr>
          <w:color w:val="auto"/>
        </w:rPr>
        <w:t>2</w:t>
      </w:r>
      <w:r>
        <w:rPr>
          <w:color w:val="auto"/>
        </w:rPr>
        <w:t>）危险废物贮存设施配备通讯设备、照明设备和消防设施。</w:t>
      </w:r>
    </w:p>
    <w:p w14:paraId="43B213A1" w14:textId="77777777" w:rsidR="002E474C" w:rsidRDefault="00000000">
      <w:pPr>
        <w:pStyle w:val="A-z"/>
        <w:rPr>
          <w:color w:val="auto"/>
        </w:rPr>
      </w:pPr>
      <w:r>
        <w:rPr>
          <w:color w:val="auto"/>
        </w:rPr>
        <w:t>3</w:t>
      </w:r>
      <w:r>
        <w:rPr>
          <w:color w:val="auto"/>
        </w:rPr>
        <w:t>）危险废物贮存按照废物种类和特性进行分区贮存，并设置防雨、防火、防雷、防扬尘装置。</w:t>
      </w:r>
    </w:p>
    <w:p w14:paraId="21A7DB2F" w14:textId="77777777" w:rsidR="002E474C" w:rsidRDefault="00000000">
      <w:pPr>
        <w:pStyle w:val="A-z"/>
        <w:rPr>
          <w:color w:val="auto"/>
        </w:rPr>
      </w:pPr>
      <w:r>
        <w:rPr>
          <w:color w:val="auto"/>
        </w:rPr>
        <w:t>4</w:t>
      </w:r>
      <w:r>
        <w:rPr>
          <w:color w:val="auto"/>
        </w:rPr>
        <w:t>）贮存易燃易爆危险废物时配置有机气体报警、火灾报警装置和导出静电的接地装置。</w:t>
      </w:r>
    </w:p>
    <w:p w14:paraId="3F906FCB" w14:textId="77777777" w:rsidR="002E474C" w:rsidRDefault="00000000">
      <w:pPr>
        <w:pStyle w:val="A-z"/>
        <w:rPr>
          <w:color w:val="auto"/>
        </w:rPr>
      </w:pPr>
      <w:r>
        <w:rPr>
          <w:color w:val="auto"/>
        </w:rPr>
        <w:t>5</w:t>
      </w:r>
      <w:r>
        <w:rPr>
          <w:color w:val="auto"/>
        </w:rPr>
        <w:t>）废弃危险化学品的贮存满足《常用化学危险品贮存通则》、《危险化学品安全管理条例》、《废弃危险化学品污染环境防治办法》的要求。贮存废弃剧毒化学品充分考虑防盗要求，采用双钥匙封闭式管理，且有专人</w:t>
      </w:r>
      <w:r>
        <w:rPr>
          <w:color w:val="auto"/>
        </w:rPr>
        <w:t>24h</w:t>
      </w:r>
      <w:r>
        <w:rPr>
          <w:color w:val="auto"/>
        </w:rPr>
        <w:t>看管。</w:t>
      </w:r>
    </w:p>
    <w:p w14:paraId="231D90CB" w14:textId="77777777" w:rsidR="002E474C" w:rsidRDefault="00000000">
      <w:pPr>
        <w:pStyle w:val="A-z"/>
        <w:rPr>
          <w:color w:val="auto"/>
        </w:rPr>
      </w:pPr>
      <w:r>
        <w:rPr>
          <w:color w:val="auto"/>
        </w:rPr>
        <w:t>6</w:t>
      </w:r>
      <w:r>
        <w:rPr>
          <w:color w:val="auto"/>
        </w:rPr>
        <w:t>）危险废物贮存期限严格执行《中华人民共和国固体废物污染环境防治法》的有关规定。</w:t>
      </w:r>
    </w:p>
    <w:p w14:paraId="4048919D" w14:textId="77777777" w:rsidR="002E474C" w:rsidRDefault="00000000">
      <w:pPr>
        <w:pStyle w:val="A-z"/>
        <w:rPr>
          <w:color w:val="auto"/>
        </w:rPr>
      </w:pPr>
      <w:r>
        <w:rPr>
          <w:color w:val="auto"/>
        </w:rPr>
        <w:t>7</w:t>
      </w:r>
      <w:r>
        <w:rPr>
          <w:color w:val="auto"/>
        </w:rPr>
        <w:t>）危险废物贮存建立危险废物贮存的台账制度。</w:t>
      </w:r>
    </w:p>
    <w:p w14:paraId="3B071405" w14:textId="77777777" w:rsidR="002E474C" w:rsidRDefault="00000000">
      <w:pPr>
        <w:pStyle w:val="A-z"/>
        <w:rPr>
          <w:color w:val="auto"/>
        </w:rPr>
      </w:pPr>
      <w:r>
        <w:rPr>
          <w:color w:val="auto"/>
        </w:rPr>
        <w:t>8</w:t>
      </w:r>
      <w:r>
        <w:rPr>
          <w:color w:val="auto"/>
        </w:rPr>
        <w:t>）危险废物贮存设施根据贮存的废物种类和特性设置标志。</w:t>
      </w:r>
    </w:p>
    <w:p w14:paraId="1997D172" w14:textId="77777777" w:rsidR="002E474C" w:rsidRDefault="00000000">
      <w:pPr>
        <w:pStyle w:val="A-z"/>
        <w:rPr>
          <w:color w:val="auto"/>
        </w:rPr>
      </w:pPr>
      <w:r>
        <w:rPr>
          <w:color w:val="auto"/>
        </w:rPr>
        <w:t>9</w:t>
      </w:r>
      <w:r>
        <w:rPr>
          <w:color w:val="auto"/>
        </w:rPr>
        <w:t>）危险废物贮存设施的关闭按照</w:t>
      </w:r>
      <w:r>
        <w:rPr>
          <w:color w:val="auto"/>
        </w:rPr>
        <w:t xml:space="preserve"> GB18597</w:t>
      </w:r>
      <w:r>
        <w:rPr>
          <w:color w:val="auto"/>
        </w:rPr>
        <w:t>和《</w:t>
      </w:r>
      <w:bookmarkStart w:id="175" w:name="OLE_LINK18"/>
      <w:r>
        <w:rPr>
          <w:color w:val="auto"/>
        </w:rPr>
        <w:t>危险废物经营许可证管理办法</w:t>
      </w:r>
      <w:bookmarkEnd w:id="175"/>
      <w:r>
        <w:rPr>
          <w:color w:val="auto"/>
        </w:rPr>
        <w:t>》的有关规定执行。</w:t>
      </w:r>
    </w:p>
    <w:p w14:paraId="4D08DB9F" w14:textId="77777777" w:rsidR="002E474C" w:rsidRDefault="00000000">
      <w:pPr>
        <w:pStyle w:val="A-z"/>
        <w:rPr>
          <w:color w:val="auto"/>
        </w:rPr>
      </w:pPr>
      <w:r>
        <w:rPr>
          <w:rFonts w:hint="eastAsia"/>
          <w:color w:val="auto"/>
        </w:rPr>
        <w:t>（</w:t>
      </w:r>
      <w:r>
        <w:rPr>
          <w:rFonts w:hint="eastAsia"/>
          <w:color w:val="auto"/>
        </w:rPr>
        <w:t>4</w:t>
      </w:r>
      <w:r>
        <w:rPr>
          <w:rFonts w:hint="eastAsia"/>
          <w:color w:val="auto"/>
        </w:rPr>
        <w:t>）按照</w:t>
      </w:r>
      <w:r>
        <w:rPr>
          <w:color w:val="auto"/>
        </w:rPr>
        <w:t>《危险废物贮存污染控制标准》（</w:t>
      </w:r>
      <w:r>
        <w:rPr>
          <w:color w:val="auto"/>
        </w:rPr>
        <w:t>GB18597-2023</w:t>
      </w:r>
      <w:r>
        <w:rPr>
          <w:color w:val="auto"/>
        </w:rPr>
        <w:t>）</w:t>
      </w:r>
      <w:r>
        <w:rPr>
          <w:rFonts w:hint="eastAsia"/>
          <w:color w:val="auto"/>
        </w:rPr>
        <w:t>总体</w:t>
      </w:r>
      <w:r>
        <w:rPr>
          <w:color w:val="auto"/>
        </w:rPr>
        <w:t>要求进行危险废物贮存。</w:t>
      </w:r>
    </w:p>
    <w:p w14:paraId="791B0C16" w14:textId="77777777" w:rsidR="002E474C" w:rsidRDefault="00000000">
      <w:pPr>
        <w:pStyle w:val="A-z"/>
        <w:rPr>
          <w:color w:val="auto"/>
        </w:rPr>
      </w:pPr>
      <w:r>
        <w:rPr>
          <w:rFonts w:hint="eastAsia"/>
          <w:color w:val="auto"/>
        </w:rPr>
        <w:t>1</w:t>
      </w:r>
      <w:r>
        <w:rPr>
          <w:rFonts w:hint="eastAsia"/>
          <w:color w:val="auto"/>
        </w:rPr>
        <w:t>）建造危险废物贮存设施或设置贮存场所，并根据需要选择贮存设施类型。</w:t>
      </w:r>
    </w:p>
    <w:p w14:paraId="5CE1DD9A" w14:textId="77777777" w:rsidR="002E474C" w:rsidRDefault="00000000">
      <w:pPr>
        <w:pStyle w:val="A-z"/>
        <w:rPr>
          <w:color w:val="auto"/>
        </w:rPr>
      </w:pPr>
      <w:r>
        <w:rPr>
          <w:rFonts w:hint="eastAsia"/>
          <w:color w:val="auto"/>
        </w:rPr>
        <w:t>2</w:t>
      </w:r>
      <w:r>
        <w:rPr>
          <w:rFonts w:hint="eastAsia"/>
          <w:color w:val="auto"/>
        </w:rPr>
        <w:t>）贮存危险废物应根据危险废物的类别、数量、形态、物理化学性质和环境风险等因素，确定贮存设施或场所类型和规模。</w:t>
      </w:r>
    </w:p>
    <w:p w14:paraId="5C4D358B" w14:textId="77777777" w:rsidR="002E474C" w:rsidRDefault="00000000">
      <w:pPr>
        <w:pStyle w:val="A-z"/>
        <w:rPr>
          <w:color w:val="auto"/>
        </w:rPr>
      </w:pPr>
      <w:r>
        <w:rPr>
          <w:rFonts w:hint="eastAsia"/>
          <w:color w:val="auto"/>
        </w:rPr>
        <w:t>3</w:t>
      </w:r>
      <w:r>
        <w:rPr>
          <w:rFonts w:hint="eastAsia"/>
          <w:color w:val="auto"/>
        </w:rPr>
        <w:t>）贮存危险废物应根据危险废物的类别、形态、物理化学性质和污染防治要求进行分类贮存，且应避免危险废物与不相容的物质或材料接触。</w:t>
      </w:r>
    </w:p>
    <w:p w14:paraId="650E513D" w14:textId="77777777" w:rsidR="002E474C" w:rsidRDefault="00000000">
      <w:pPr>
        <w:pStyle w:val="A-z"/>
        <w:rPr>
          <w:color w:val="auto"/>
        </w:rPr>
      </w:pPr>
      <w:r>
        <w:rPr>
          <w:rFonts w:hint="eastAsia"/>
          <w:color w:val="auto"/>
        </w:rPr>
        <w:t>4</w:t>
      </w:r>
      <w:r>
        <w:rPr>
          <w:rFonts w:hint="eastAsia"/>
          <w:color w:val="auto"/>
        </w:rPr>
        <w:t>）贮存危险废物应根据危险废物的形态、物理化学性质、包装形式和污染物迁移途径，采取措施减少污染物的产生，防止其污染环境。</w:t>
      </w:r>
    </w:p>
    <w:p w14:paraId="714F6F31" w14:textId="77777777" w:rsidR="002E474C" w:rsidRDefault="00000000">
      <w:pPr>
        <w:pStyle w:val="A-z"/>
        <w:rPr>
          <w:color w:val="auto"/>
        </w:rPr>
      </w:pPr>
      <w:r>
        <w:rPr>
          <w:rFonts w:hint="eastAsia"/>
          <w:color w:val="auto"/>
        </w:rPr>
        <w:t>5</w:t>
      </w:r>
      <w:r>
        <w:rPr>
          <w:rFonts w:hint="eastAsia"/>
          <w:color w:val="auto"/>
        </w:rPr>
        <w:t>）危险废物贮存过程产生的液态废物和固态废物应分类收集，按其环境管理要求妥善处理。</w:t>
      </w:r>
    </w:p>
    <w:p w14:paraId="6395B9E6" w14:textId="77777777" w:rsidR="002E474C" w:rsidRDefault="00000000">
      <w:pPr>
        <w:pStyle w:val="A-z"/>
        <w:rPr>
          <w:color w:val="auto"/>
        </w:rPr>
      </w:pPr>
      <w:r>
        <w:rPr>
          <w:rFonts w:hint="eastAsia"/>
          <w:color w:val="auto"/>
        </w:rPr>
        <w:t>6</w:t>
      </w:r>
      <w:r>
        <w:rPr>
          <w:rFonts w:hint="eastAsia"/>
          <w:color w:val="auto"/>
        </w:rPr>
        <w:t>）贮存设施或场所、容器和包装物应按</w:t>
      </w:r>
      <w:r>
        <w:rPr>
          <w:rFonts w:hint="eastAsia"/>
          <w:color w:val="auto"/>
        </w:rPr>
        <w:t>HJ 1276</w:t>
      </w:r>
      <w:r>
        <w:rPr>
          <w:rFonts w:hint="eastAsia"/>
          <w:color w:val="auto"/>
        </w:rPr>
        <w:t>要求设置危险废物贮存设施或场所标志、危险废物贮存分区标志和危险废物标签等危险废物识别标志。</w:t>
      </w:r>
    </w:p>
    <w:p w14:paraId="2D6D472D" w14:textId="77777777" w:rsidR="002E474C" w:rsidRDefault="00000000">
      <w:pPr>
        <w:pStyle w:val="A-z"/>
        <w:rPr>
          <w:color w:val="auto"/>
        </w:rPr>
      </w:pPr>
      <w:r>
        <w:rPr>
          <w:rFonts w:hint="eastAsia"/>
          <w:color w:val="auto"/>
        </w:rPr>
        <w:t>7</w:t>
      </w:r>
      <w:r>
        <w:rPr>
          <w:rFonts w:hint="eastAsia"/>
          <w:color w:val="auto"/>
        </w:rPr>
        <w:t>）</w:t>
      </w:r>
      <w:r>
        <w:rPr>
          <w:rFonts w:hint="eastAsia"/>
          <w:color w:val="auto"/>
        </w:rPr>
        <w:t>HJ 1259</w:t>
      </w:r>
      <w:r>
        <w:rPr>
          <w:rFonts w:hint="eastAsia"/>
          <w:color w:val="auto"/>
        </w:rPr>
        <w:t>规定的危险废物环境重点监管单位，应采用电子地磅、电子标签、</w:t>
      </w:r>
      <w:r>
        <w:rPr>
          <w:rFonts w:hint="eastAsia"/>
          <w:color w:val="auto"/>
        </w:rPr>
        <w:lastRenderedPageBreak/>
        <w:t>电子管理台账等技术手段对危险废物贮存过程进行信息化管理，确保数据完整、真实、准确；采用视频监控的应确保监控画面清晰，视频记录保存时间至少为</w:t>
      </w:r>
      <w:r>
        <w:rPr>
          <w:rFonts w:hint="eastAsia"/>
          <w:color w:val="auto"/>
        </w:rPr>
        <w:t>3</w:t>
      </w:r>
      <w:r>
        <w:rPr>
          <w:rFonts w:hint="eastAsia"/>
          <w:color w:val="auto"/>
        </w:rPr>
        <w:t>个月。</w:t>
      </w:r>
    </w:p>
    <w:p w14:paraId="6F31D0D8" w14:textId="77777777" w:rsidR="002E474C" w:rsidRDefault="00000000">
      <w:pPr>
        <w:pStyle w:val="A-z"/>
        <w:rPr>
          <w:color w:val="auto"/>
        </w:rPr>
      </w:pPr>
      <w:r>
        <w:rPr>
          <w:rFonts w:hint="eastAsia"/>
          <w:color w:val="auto"/>
        </w:rPr>
        <w:t>8</w:t>
      </w:r>
      <w:r>
        <w:rPr>
          <w:rFonts w:hint="eastAsia"/>
          <w:color w:val="auto"/>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779EB821" w14:textId="77777777" w:rsidR="002E474C" w:rsidRDefault="00000000">
      <w:pPr>
        <w:pStyle w:val="A-z"/>
        <w:rPr>
          <w:color w:val="auto"/>
        </w:rPr>
      </w:pPr>
      <w:r>
        <w:rPr>
          <w:rFonts w:hint="eastAsia"/>
          <w:color w:val="auto"/>
        </w:rPr>
        <w:t>9</w:t>
      </w:r>
      <w:r>
        <w:rPr>
          <w:rFonts w:hint="eastAsia"/>
          <w:color w:val="auto"/>
        </w:rPr>
        <w:t>）在常温常压下易爆、易燃及排出有毒气体的危险废物应进行预处理，使之稳定后贮存，否则应按易爆、易燃危险品贮存。</w:t>
      </w:r>
    </w:p>
    <w:p w14:paraId="43DF2C13" w14:textId="77777777" w:rsidR="002E474C" w:rsidRDefault="00000000">
      <w:pPr>
        <w:pStyle w:val="A-z"/>
        <w:rPr>
          <w:color w:val="auto"/>
        </w:rPr>
      </w:pPr>
      <w:r>
        <w:rPr>
          <w:rFonts w:hint="eastAsia"/>
          <w:color w:val="auto"/>
        </w:rPr>
        <w:t>10</w:t>
      </w:r>
      <w:r>
        <w:rPr>
          <w:rFonts w:hint="eastAsia"/>
          <w:color w:val="auto"/>
        </w:rPr>
        <w:t>）危险废物贮存除应满足环境保护相关要求外，还应执行国家安全生产、职业健康、交通运输、消防等法律法规和标准的相关要求。</w:t>
      </w:r>
    </w:p>
    <w:p w14:paraId="704ABCC8" w14:textId="77777777" w:rsidR="002E474C" w:rsidRDefault="00000000">
      <w:pPr>
        <w:pStyle w:val="41"/>
        <w:rPr>
          <w:b w:val="0"/>
          <w:bCs w:val="0"/>
          <w:color w:val="auto"/>
          <w:szCs w:val="28"/>
        </w:rPr>
      </w:pPr>
      <w:r>
        <w:rPr>
          <w:color w:val="auto"/>
          <w:szCs w:val="28"/>
          <w:lang w:val="en-US"/>
        </w:rPr>
        <w:t>危险废物破碎预处理</w:t>
      </w:r>
    </w:p>
    <w:p w14:paraId="7E393199" w14:textId="77777777" w:rsidR="002E474C" w:rsidRDefault="00000000">
      <w:pPr>
        <w:pStyle w:val="A-z"/>
        <w:rPr>
          <w:color w:val="auto"/>
        </w:rPr>
      </w:pPr>
      <w:r>
        <w:rPr>
          <w:color w:val="auto"/>
        </w:rPr>
        <w:t>厂区固态危废预处理车间单独设置破碎间，进行危险废物破碎预处理作业，处理</w:t>
      </w:r>
      <w:r>
        <w:rPr>
          <w:color w:val="auto"/>
          <w:spacing w:val="-6"/>
        </w:rPr>
        <w:t>废弃包装物</w:t>
      </w:r>
      <w:r>
        <w:rPr>
          <w:rFonts w:hint="eastAsia"/>
          <w:color w:val="auto"/>
          <w:spacing w:val="-6"/>
        </w:rPr>
        <w:t>和</w:t>
      </w:r>
      <w:r>
        <w:rPr>
          <w:color w:val="auto"/>
          <w:spacing w:val="-6"/>
        </w:rPr>
        <w:t>不满足直接入窑处置</w:t>
      </w:r>
      <w:r>
        <w:rPr>
          <w:rFonts w:hint="eastAsia"/>
          <w:color w:val="auto"/>
          <w:spacing w:val="-6"/>
        </w:rPr>
        <w:t>要求</w:t>
      </w:r>
      <w:r>
        <w:rPr>
          <w:color w:val="auto"/>
          <w:spacing w:val="-6"/>
        </w:rPr>
        <w:t>的物料</w:t>
      </w:r>
      <w:r>
        <w:rPr>
          <w:color w:val="auto"/>
        </w:rPr>
        <w:t>（粘油废物、废编织物、废油漆桶等），通过双轴剪切式破碎机破碎至</w:t>
      </w:r>
      <w:r>
        <w:rPr>
          <w:color w:val="auto"/>
        </w:rPr>
        <w:t>10-20cm</w:t>
      </w:r>
      <w:r>
        <w:rPr>
          <w:color w:val="auto"/>
        </w:rPr>
        <w:t>尺寸，然后使用密闭标准容器承装，转运至窑尾固态危废处置设施进行处置。</w:t>
      </w:r>
    </w:p>
    <w:p w14:paraId="288E476C" w14:textId="77777777" w:rsidR="002E474C" w:rsidRDefault="00000000">
      <w:pPr>
        <w:pStyle w:val="41"/>
        <w:rPr>
          <w:color w:val="auto"/>
        </w:rPr>
      </w:pPr>
      <w:r>
        <w:rPr>
          <w:color w:val="auto"/>
        </w:rPr>
        <w:t>危险废物厂内输送</w:t>
      </w:r>
    </w:p>
    <w:p w14:paraId="7556B8CC" w14:textId="77777777" w:rsidR="002E474C" w:rsidRDefault="00000000">
      <w:pPr>
        <w:pStyle w:val="A-z"/>
        <w:rPr>
          <w:color w:val="auto"/>
        </w:rPr>
      </w:pPr>
      <w:r>
        <w:rPr>
          <w:color w:val="auto"/>
        </w:rPr>
        <w:t>（</w:t>
      </w:r>
      <w:r>
        <w:rPr>
          <w:color w:val="auto"/>
        </w:rPr>
        <w:t>1</w:t>
      </w:r>
      <w:r>
        <w:rPr>
          <w:color w:val="auto"/>
        </w:rPr>
        <w:t>）在危险废物装卸场所、贮存场所、投加区域等各个区域之间，根据危险废物特性和设施要求配备必要的输送设备。</w:t>
      </w:r>
    </w:p>
    <w:p w14:paraId="1AFC5DA7" w14:textId="77777777" w:rsidR="002E474C" w:rsidRDefault="00000000">
      <w:pPr>
        <w:pStyle w:val="A-z"/>
        <w:rPr>
          <w:color w:val="auto"/>
        </w:rPr>
      </w:pPr>
      <w:r>
        <w:rPr>
          <w:color w:val="auto"/>
        </w:rPr>
        <w:t>（</w:t>
      </w:r>
      <w:r>
        <w:rPr>
          <w:color w:val="auto"/>
        </w:rPr>
        <w:t>2</w:t>
      </w:r>
      <w:r>
        <w:rPr>
          <w:color w:val="auto"/>
        </w:rPr>
        <w:t>）危险废物的物流出入口以及转运、输送路线远离办公和生活服务设施。</w:t>
      </w:r>
    </w:p>
    <w:p w14:paraId="5EA186BD" w14:textId="77777777" w:rsidR="002E474C" w:rsidRDefault="00000000">
      <w:pPr>
        <w:pStyle w:val="A-z"/>
        <w:rPr>
          <w:color w:val="auto"/>
        </w:rPr>
      </w:pPr>
      <w:r>
        <w:rPr>
          <w:color w:val="auto"/>
        </w:rPr>
        <w:t>（</w:t>
      </w:r>
      <w:r>
        <w:rPr>
          <w:color w:val="auto"/>
        </w:rPr>
        <w:t>3</w:t>
      </w:r>
      <w:r>
        <w:rPr>
          <w:color w:val="auto"/>
        </w:rPr>
        <w:t>）输送设备所用材料适应危险废物特性，确保不被腐蚀和不与危险废物发生任何反应。</w:t>
      </w:r>
    </w:p>
    <w:p w14:paraId="75BAEDE7" w14:textId="77777777" w:rsidR="002E474C" w:rsidRDefault="00000000">
      <w:pPr>
        <w:pStyle w:val="A-z"/>
        <w:rPr>
          <w:color w:val="auto"/>
        </w:rPr>
      </w:pPr>
      <w:r>
        <w:rPr>
          <w:color w:val="auto"/>
        </w:rPr>
        <w:t>（</w:t>
      </w:r>
      <w:r>
        <w:rPr>
          <w:color w:val="auto"/>
        </w:rPr>
        <w:t>4</w:t>
      </w:r>
      <w:r>
        <w:rPr>
          <w:color w:val="auto"/>
        </w:rPr>
        <w:t>）管道输送设备保持良好的密闭性能，防止危险废物的滴漏和溢出。</w:t>
      </w:r>
    </w:p>
    <w:p w14:paraId="1F45B0AE" w14:textId="77777777" w:rsidR="002E474C" w:rsidRDefault="00000000">
      <w:pPr>
        <w:pStyle w:val="A-z"/>
        <w:rPr>
          <w:color w:val="auto"/>
        </w:rPr>
      </w:pPr>
      <w:r>
        <w:rPr>
          <w:color w:val="auto"/>
        </w:rPr>
        <w:t>（</w:t>
      </w:r>
      <w:r>
        <w:rPr>
          <w:color w:val="auto"/>
        </w:rPr>
        <w:t>5</w:t>
      </w:r>
      <w:r>
        <w:rPr>
          <w:color w:val="auto"/>
        </w:rPr>
        <w:t>）非密闭输送设备（如传送带、抓料斗等）采取防护措施（如加设防护罩），防止粉尘飘散。</w:t>
      </w:r>
    </w:p>
    <w:p w14:paraId="4F97BD21" w14:textId="77777777" w:rsidR="002E474C" w:rsidRDefault="00000000">
      <w:pPr>
        <w:pStyle w:val="A-z"/>
        <w:rPr>
          <w:color w:val="auto"/>
        </w:rPr>
      </w:pPr>
      <w:r>
        <w:rPr>
          <w:color w:val="auto"/>
        </w:rPr>
        <w:t>（</w:t>
      </w:r>
      <w:r>
        <w:rPr>
          <w:color w:val="auto"/>
        </w:rPr>
        <w:t>6</w:t>
      </w:r>
      <w:r>
        <w:rPr>
          <w:color w:val="auto"/>
        </w:rPr>
        <w:t>）移动式输送设备，采取措施防止粉尘飘散和危险废物遗撒。</w:t>
      </w:r>
    </w:p>
    <w:p w14:paraId="0B3F847E" w14:textId="77777777" w:rsidR="002E474C" w:rsidRDefault="00000000">
      <w:pPr>
        <w:pStyle w:val="A-z"/>
        <w:rPr>
          <w:color w:val="auto"/>
        </w:rPr>
      </w:pPr>
      <w:r>
        <w:rPr>
          <w:color w:val="auto"/>
        </w:rPr>
        <w:t>（</w:t>
      </w:r>
      <w:r>
        <w:rPr>
          <w:color w:val="auto"/>
        </w:rPr>
        <w:t>7</w:t>
      </w:r>
      <w:r>
        <w:rPr>
          <w:color w:val="auto"/>
        </w:rPr>
        <w:t>）厂内输送危险废物的管道、传送带在显眼处标有安全警告信息。</w:t>
      </w:r>
    </w:p>
    <w:p w14:paraId="1ECA7FA9" w14:textId="77777777" w:rsidR="002E474C" w:rsidRDefault="00000000">
      <w:pPr>
        <w:pStyle w:val="A-z"/>
        <w:rPr>
          <w:color w:val="auto"/>
        </w:rPr>
      </w:pPr>
      <w:r>
        <w:rPr>
          <w:color w:val="auto"/>
        </w:rPr>
        <w:t>（</w:t>
      </w:r>
      <w:r>
        <w:rPr>
          <w:color w:val="auto"/>
        </w:rPr>
        <w:t>8</w:t>
      </w:r>
      <w:r>
        <w:rPr>
          <w:color w:val="auto"/>
        </w:rPr>
        <w:t>）在进行危险废物的厂内输送时，采取必要的措施防止危险废物的扬尘、溢出和泄漏。</w:t>
      </w:r>
    </w:p>
    <w:p w14:paraId="59903E79" w14:textId="77777777" w:rsidR="002E474C" w:rsidRDefault="00000000">
      <w:pPr>
        <w:pStyle w:val="A-z"/>
        <w:rPr>
          <w:color w:val="auto"/>
        </w:rPr>
      </w:pPr>
      <w:r>
        <w:rPr>
          <w:color w:val="auto"/>
        </w:rPr>
        <w:lastRenderedPageBreak/>
        <w:t>（</w:t>
      </w:r>
      <w:r>
        <w:rPr>
          <w:color w:val="auto"/>
        </w:rPr>
        <w:t>9</w:t>
      </w:r>
      <w:r>
        <w:rPr>
          <w:color w:val="auto"/>
        </w:rPr>
        <w:t>）危险废物运输车辆定期进行清洗。</w:t>
      </w:r>
    </w:p>
    <w:p w14:paraId="0DB99E1F" w14:textId="77777777" w:rsidR="002E474C" w:rsidRDefault="00000000">
      <w:pPr>
        <w:pStyle w:val="A-z"/>
        <w:rPr>
          <w:color w:val="auto"/>
        </w:rPr>
      </w:pPr>
      <w:r>
        <w:rPr>
          <w:color w:val="auto"/>
        </w:rPr>
        <w:t>（</w:t>
      </w:r>
      <w:r>
        <w:rPr>
          <w:color w:val="auto"/>
        </w:rPr>
        <w:t>10</w:t>
      </w:r>
      <w:r>
        <w:rPr>
          <w:color w:val="auto"/>
        </w:rPr>
        <w:t>）采用车辆在厂内运输危险废物时，按照运输车辆的专用路线行驶。</w:t>
      </w:r>
    </w:p>
    <w:p w14:paraId="24F3CFE6" w14:textId="77777777" w:rsidR="002E474C" w:rsidRDefault="00000000">
      <w:pPr>
        <w:pStyle w:val="A-z"/>
        <w:rPr>
          <w:color w:val="auto"/>
        </w:rPr>
      </w:pPr>
      <w:r>
        <w:rPr>
          <w:color w:val="auto"/>
        </w:rPr>
        <w:t>（</w:t>
      </w:r>
      <w:r>
        <w:rPr>
          <w:color w:val="auto"/>
        </w:rPr>
        <w:t>11</w:t>
      </w:r>
      <w:r>
        <w:rPr>
          <w:color w:val="auto"/>
        </w:rPr>
        <w:t>）厂内危险废物输送设施管理、维护产生的各种废物均应作为危险废物进行管理和处置。</w:t>
      </w:r>
    </w:p>
    <w:p w14:paraId="387B6CB8" w14:textId="77777777" w:rsidR="002E474C" w:rsidRDefault="00000000">
      <w:pPr>
        <w:pStyle w:val="41"/>
        <w:rPr>
          <w:color w:val="auto"/>
        </w:rPr>
      </w:pPr>
      <w:r>
        <w:rPr>
          <w:color w:val="auto"/>
        </w:rPr>
        <w:t>投料协同处置</w:t>
      </w:r>
    </w:p>
    <w:p w14:paraId="7206913A" w14:textId="77777777" w:rsidR="002E474C" w:rsidRDefault="00000000">
      <w:pPr>
        <w:pStyle w:val="A-z"/>
        <w:rPr>
          <w:color w:val="auto"/>
        </w:rPr>
      </w:pPr>
      <w:r>
        <w:rPr>
          <w:color w:val="auto"/>
        </w:rPr>
        <w:t>（</w:t>
      </w:r>
      <w:r>
        <w:rPr>
          <w:color w:val="auto"/>
        </w:rPr>
        <w:t>1</w:t>
      </w:r>
      <w:r>
        <w:rPr>
          <w:color w:val="auto"/>
        </w:rPr>
        <w:t>）本项目危废投料点</w:t>
      </w:r>
    </w:p>
    <w:p w14:paraId="00FE5BBB" w14:textId="77777777" w:rsidR="002E474C" w:rsidRDefault="00000000">
      <w:pPr>
        <w:pStyle w:val="A-z"/>
        <w:rPr>
          <w:color w:val="auto"/>
        </w:rPr>
      </w:pPr>
      <w:r>
        <w:rPr>
          <w:color w:val="auto"/>
        </w:rPr>
        <w:t>本项目采用的投料点共</w:t>
      </w:r>
      <w:r>
        <w:rPr>
          <w:color w:val="auto"/>
        </w:rPr>
        <w:t>3</w:t>
      </w:r>
      <w:r>
        <w:rPr>
          <w:color w:val="auto"/>
        </w:rPr>
        <w:t>个位置（窑头窑门罩、分解炉、生料磨），</w:t>
      </w:r>
      <w:r>
        <w:rPr>
          <w:color w:val="auto"/>
        </w:rPr>
        <w:t>4</w:t>
      </w:r>
      <w:r>
        <w:rPr>
          <w:color w:val="auto"/>
        </w:rPr>
        <w:t>个口（固态危废</w:t>
      </w:r>
      <w:r>
        <w:rPr>
          <w:color w:val="auto"/>
        </w:rPr>
        <w:t>/</w:t>
      </w:r>
      <w:r>
        <w:rPr>
          <w:color w:val="auto"/>
        </w:rPr>
        <w:t>应急处置系统送入分解炉；液态废物喷入窑头窑门罩；无机类废物加入生料磨；液态处置车间和固态处置系统废气送入窑头篦冷机高温段）。本项目危废入窑位置汇总情况见表</w:t>
      </w:r>
      <w:r>
        <w:rPr>
          <w:color w:val="auto"/>
        </w:rPr>
        <w:t>3.5-5</w:t>
      </w:r>
      <w:r>
        <w:rPr>
          <w:color w:val="auto"/>
        </w:rPr>
        <w:t>。</w:t>
      </w:r>
    </w:p>
    <w:p w14:paraId="3911B993" w14:textId="77777777" w:rsidR="002E474C" w:rsidRDefault="00000000">
      <w:pPr>
        <w:pStyle w:val="A--"/>
        <w:spacing w:beforeLines="0" w:before="0"/>
        <w:ind w:leftChars="0" w:left="0" w:rightChars="0" w:right="0"/>
        <w:rPr>
          <w:color w:val="auto"/>
        </w:rPr>
      </w:pPr>
      <w:bookmarkStart w:id="176" w:name="_Ref127283426"/>
      <w:r>
        <w:rPr>
          <w:color w:val="auto"/>
        </w:rPr>
        <w:t>表</w:t>
      </w:r>
      <w:bookmarkEnd w:id="176"/>
      <w:r>
        <w:rPr>
          <w:color w:val="auto"/>
        </w:rPr>
        <w:t xml:space="preserve">3.5-5  </w:t>
      </w:r>
      <w:r>
        <w:rPr>
          <w:color w:val="auto"/>
        </w:rPr>
        <w:t>本项目危废入窑位置</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4598"/>
        <w:gridCol w:w="2970"/>
      </w:tblGrid>
      <w:tr w:rsidR="002E474C" w14:paraId="40C9E1A2" w14:textId="77777777">
        <w:tc>
          <w:tcPr>
            <w:tcW w:w="444" w:type="pct"/>
            <w:vAlign w:val="center"/>
          </w:tcPr>
          <w:p w14:paraId="78090F6C" w14:textId="77777777" w:rsidR="002E474C" w:rsidRDefault="00000000">
            <w:pPr>
              <w:pStyle w:val="A-"/>
            </w:pPr>
            <w:r>
              <w:t>序号</w:t>
            </w:r>
          </w:p>
        </w:tc>
        <w:tc>
          <w:tcPr>
            <w:tcW w:w="2767" w:type="pct"/>
            <w:vAlign w:val="center"/>
          </w:tcPr>
          <w:p w14:paraId="0EA1916E" w14:textId="77777777" w:rsidR="002E474C" w:rsidRDefault="00000000">
            <w:pPr>
              <w:pStyle w:val="A-"/>
            </w:pPr>
            <w:r>
              <w:t>危险废物</w:t>
            </w:r>
          </w:p>
        </w:tc>
        <w:tc>
          <w:tcPr>
            <w:tcW w:w="1788" w:type="pct"/>
            <w:vAlign w:val="center"/>
          </w:tcPr>
          <w:p w14:paraId="6754F1B7" w14:textId="77777777" w:rsidR="002E474C" w:rsidRDefault="00000000">
            <w:pPr>
              <w:pStyle w:val="A-"/>
            </w:pPr>
            <w:r>
              <w:t>入窑位置</w:t>
            </w:r>
          </w:p>
        </w:tc>
      </w:tr>
      <w:tr w:rsidR="002E474C" w14:paraId="6E60821E" w14:textId="77777777">
        <w:tc>
          <w:tcPr>
            <w:tcW w:w="444" w:type="pct"/>
            <w:vAlign w:val="center"/>
          </w:tcPr>
          <w:p w14:paraId="1BE1C9C3" w14:textId="77777777" w:rsidR="002E474C" w:rsidRDefault="00000000">
            <w:pPr>
              <w:pStyle w:val="A-"/>
            </w:pPr>
            <w:r>
              <w:t>1</w:t>
            </w:r>
          </w:p>
        </w:tc>
        <w:tc>
          <w:tcPr>
            <w:tcW w:w="2767" w:type="pct"/>
            <w:vAlign w:val="center"/>
          </w:tcPr>
          <w:p w14:paraId="40060360" w14:textId="77777777" w:rsidR="002E474C" w:rsidRDefault="00000000">
            <w:pPr>
              <w:pStyle w:val="A-"/>
            </w:pPr>
            <w:r>
              <w:t>固态危废</w:t>
            </w:r>
            <w:r>
              <w:t>/</w:t>
            </w:r>
            <w:r>
              <w:t>应急处置系统</w:t>
            </w:r>
          </w:p>
        </w:tc>
        <w:tc>
          <w:tcPr>
            <w:tcW w:w="1788" w:type="pct"/>
            <w:vAlign w:val="center"/>
          </w:tcPr>
          <w:p w14:paraId="41BC42EE" w14:textId="77777777" w:rsidR="002E474C" w:rsidRDefault="00000000">
            <w:pPr>
              <w:pStyle w:val="A-"/>
            </w:pPr>
            <w:r>
              <w:t>窑尾分解炉</w:t>
            </w:r>
          </w:p>
        </w:tc>
      </w:tr>
      <w:tr w:rsidR="002E474C" w14:paraId="785DB844" w14:textId="77777777">
        <w:tc>
          <w:tcPr>
            <w:tcW w:w="444" w:type="pct"/>
            <w:vAlign w:val="center"/>
          </w:tcPr>
          <w:p w14:paraId="076CBB0D" w14:textId="77777777" w:rsidR="002E474C" w:rsidRDefault="00000000">
            <w:pPr>
              <w:pStyle w:val="A-"/>
            </w:pPr>
            <w:r>
              <w:t>2</w:t>
            </w:r>
          </w:p>
        </w:tc>
        <w:tc>
          <w:tcPr>
            <w:tcW w:w="2767" w:type="pct"/>
            <w:vAlign w:val="center"/>
          </w:tcPr>
          <w:p w14:paraId="7150A8D4" w14:textId="77777777" w:rsidR="002E474C" w:rsidRDefault="00000000">
            <w:pPr>
              <w:pStyle w:val="A-"/>
            </w:pPr>
            <w:r>
              <w:t>液态危废</w:t>
            </w:r>
          </w:p>
        </w:tc>
        <w:tc>
          <w:tcPr>
            <w:tcW w:w="1788" w:type="pct"/>
            <w:vAlign w:val="center"/>
          </w:tcPr>
          <w:p w14:paraId="3E69B551" w14:textId="77777777" w:rsidR="002E474C" w:rsidRDefault="00000000">
            <w:pPr>
              <w:pStyle w:val="A-"/>
            </w:pPr>
            <w:r>
              <w:t>窑头窑门罩</w:t>
            </w:r>
          </w:p>
        </w:tc>
      </w:tr>
      <w:tr w:rsidR="002E474C" w14:paraId="3133867A" w14:textId="77777777">
        <w:tc>
          <w:tcPr>
            <w:tcW w:w="444" w:type="pct"/>
            <w:vAlign w:val="center"/>
          </w:tcPr>
          <w:p w14:paraId="3E7312B9" w14:textId="77777777" w:rsidR="002E474C" w:rsidRDefault="00000000">
            <w:pPr>
              <w:pStyle w:val="A-"/>
            </w:pPr>
            <w:r>
              <w:t>3</w:t>
            </w:r>
          </w:p>
        </w:tc>
        <w:tc>
          <w:tcPr>
            <w:tcW w:w="2767" w:type="pct"/>
            <w:vAlign w:val="center"/>
          </w:tcPr>
          <w:p w14:paraId="5FA20D29" w14:textId="77777777" w:rsidR="002E474C" w:rsidRDefault="00000000">
            <w:pPr>
              <w:pStyle w:val="A-"/>
            </w:pPr>
            <w:r>
              <w:t>无机类废物处置系统</w:t>
            </w:r>
          </w:p>
        </w:tc>
        <w:tc>
          <w:tcPr>
            <w:tcW w:w="1788" w:type="pct"/>
            <w:vAlign w:val="center"/>
          </w:tcPr>
          <w:p w14:paraId="66DFC272" w14:textId="77777777" w:rsidR="002E474C" w:rsidRDefault="00000000">
            <w:pPr>
              <w:pStyle w:val="A-"/>
            </w:pPr>
            <w:r>
              <w:t>生料磨</w:t>
            </w:r>
          </w:p>
        </w:tc>
      </w:tr>
      <w:tr w:rsidR="002E474C" w14:paraId="744E7DAB" w14:textId="77777777">
        <w:tc>
          <w:tcPr>
            <w:tcW w:w="444" w:type="pct"/>
            <w:vAlign w:val="center"/>
          </w:tcPr>
          <w:p w14:paraId="20BAC1DA" w14:textId="77777777" w:rsidR="002E474C" w:rsidRDefault="00000000">
            <w:pPr>
              <w:pStyle w:val="A-"/>
            </w:pPr>
            <w:r>
              <w:t>4</w:t>
            </w:r>
          </w:p>
        </w:tc>
        <w:tc>
          <w:tcPr>
            <w:tcW w:w="2767" w:type="pct"/>
            <w:vAlign w:val="center"/>
          </w:tcPr>
          <w:p w14:paraId="37AB7F45" w14:textId="77777777" w:rsidR="002E474C" w:rsidRDefault="00000000">
            <w:pPr>
              <w:pStyle w:val="A-"/>
            </w:pPr>
            <w:r>
              <w:t>液态处置车间和固态处置系统废气收集系统</w:t>
            </w:r>
          </w:p>
        </w:tc>
        <w:tc>
          <w:tcPr>
            <w:tcW w:w="1788" w:type="pct"/>
            <w:vAlign w:val="center"/>
          </w:tcPr>
          <w:p w14:paraId="493E40F3" w14:textId="77777777" w:rsidR="002E474C" w:rsidRDefault="00000000">
            <w:pPr>
              <w:pStyle w:val="A-"/>
            </w:pPr>
            <w:r>
              <w:t>窑头篦冷机高温段</w:t>
            </w:r>
          </w:p>
        </w:tc>
      </w:tr>
    </w:tbl>
    <w:p w14:paraId="02380FB2" w14:textId="77777777" w:rsidR="002E474C" w:rsidRDefault="002E474C"/>
    <w:p w14:paraId="3BBEDBD5" w14:textId="77777777" w:rsidR="002E474C" w:rsidRDefault="00000000">
      <w:pPr>
        <w:pStyle w:val="A-z"/>
        <w:rPr>
          <w:color w:val="auto"/>
        </w:rPr>
      </w:pPr>
      <w:r>
        <w:rPr>
          <w:color w:val="auto"/>
        </w:rPr>
        <w:t>（</w:t>
      </w:r>
      <w:r>
        <w:rPr>
          <w:color w:val="auto"/>
        </w:rPr>
        <w:t>2</w:t>
      </w:r>
      <w:r>
        <w:rPr>
          <w:color w:val="auto"/>
        </w:rPr>
        <w:t>）危险废物投加工艺流程</w:t>
      </w:r>
    </w:p>
    <w:p w14:paraId="24044EC1" w14:textId="77777777" w:rsidR="002E474C" w:rsidRDefault="00000000">
      <w:pPr>
        <w:pStyle w:val="A-z"/>
        <w:rPr>
          <w:color w:val="auto"/>
        </w:rPr>
      </w:pPr>
      <w:r>
        <w:rPr>
          <w:color w:val="auto"/>
        </w:rPr>
        <w:t>预处理产物及应急处置系统在厂内配伍后送至水泥窑窑尾分解炉底部入窑焚烧处理，液态废物在液态处置车间经过滤后输送到窑头罩，通过喷枪的喷枪射入新型干法水泥窑内焚烧。</w:t>
      </w:r>
    </w:p>
    <w:p w14:paraId="544DFA75" w14:textId="77777777" w:rsidR="002E474C" w:rsidRDefault="00000000">
      <w:pPr>
        <w:pStyle w:val="A-z"/>
        <w:rPr>
          <w:color w:val="auto"/>
        </w:rPr>
      </w:pPr>
      <w:r>
        <w:rPr>
          <w:color w:val="auto"/>
        </w:rPr>
        <w:t>1</w:t>
      </w:r>
      <w:r>
        <w:rPr>
          <w:color w:val="auto"/>
        </w:rPr>
        <w:t>）固态危废投料系统（分解炉投料口）</w:t>
      </w:r>
    </w:p>
    <w:p w14:paraId="4E8E4B1F" w14:textId="77777777" w:rsidR="002E474C" w:rsidRDefault="00000000">
      <w:pPr>
        <w:pStyle w:val="A-z"/>
        <w:rPr>
          <w:color w:val="auto"/>
        </w:rPr>
      </w:pPr>
      <w:r>
        <w:rPr>
          <w:color w:val="auto"/>
        </w:rPr>
        <w:t>预处理产物采用标准容器密封入厂，拉运至缓冲仓经计量输送系统完成投料。固态处置系统由称重、提升、翻斗、布料、锁风等部分组成，使用标准箱包装的物料，由叉车提升放置于称重系统上，物料称重后，自动进入提升设施内部，经过锁紧装置固定，物料及其包装物提升至水泥窑尾预热器三层平台。</w:t>
      </w:r>
    </w:p>
    <w:p w14:paraId="43E4BE53" w14:textId="77777777" w:rsidR="002E474C" w:rsidRDefault="00000000">
      <w:pPr>
        <w:pStyle w:val="A-z"/>
        <w:rPr>
          <w:color w:val="auto"/>
        </w:rPr>
      </w:pPr>
      <w:r>
        <w:rPr>
          <w:color w:val="auto"/>
        </w:rPr>
        <w:t>提升机将物料提升到位后，系统自动翻斗将物料倒出，标准包装容器回收，物料入暂存仓，经过板喂称布料，并输送至入料口，经过喂料锁风装置交叉锁风，物料入分解炉高温焚烧。</w:t>
      </w:r>
    </w:p>
    <w:p w14:paraId="5C99D3CB" w14:textId="77777777" w:rsidR="002E474C" w:rsidRDefault="00000000">
      <w:pPr>
        <w:pStyle w:val="A-z"/>
        <w:rPr>
          <w:color w:val="auto"/>
        </w:rPr>
      </w:pPr>
      <w:r>
        <w:rPr>
          <w:color w:val="auto"/>
        </w:rPr>
        <w:t>2</w:t>
      </w:r>
      <w:r>
        <w:rPr>
          <w:color w:val="auto"/>
        </w:rPr>
        <w:t>）液态危废投料系统</w:t>
      </w:r>
    </w:p>
    <w:p w14:paraId="145EF940" w14:textId="77777777" w:rsidR="002E474C" w:rsidRDefault="00000000">
      <w:pPr>
        <w:pStyle w:val="A-z"/>
        <w:rPr>
          <w:color w:val="auto"/>
        </w:rPr>
      </w:pPr>
      <w:r>
        <w:rPr>
          <w:color w:val="auto"/>
        </w:rPr>
        <w:t>桶装物料在预处理中心确认性状满足液态处置系统处置后，转运至本项目。厂内接收的液态危废采用</w:t>
      </w:r>
      <w:r>
        <w:rPr>
          <w:color w:val="auto"/>
        </w:rPr>
        <w:t>25L</w:t>
      </w:r>
      <w:r>
        <w:rPr>
          <w:color w:val="auto"/>
        </w:rPr>
        <w:t>～</w:t>
      </w:r>
      <w:r>
        <w:rPr>
          <w:color w:val="auto"/>
        </w:rPr>
        <w:t>1000L</w:t>
      </w:r>
      <w:r>
        <w:rPr>
          <w:color w:val="auto"/>
        </w:rPr>
        <w:t>铁（塑料）桶包装。</w:t>
      </w:r>
    </w:p>
    <w:p w14:paraId="1A8CD250" w14:textId="77777777" w:rsidR="002E474C" w:rsidRDefault="00000000">
      <w:pPr>
        <w:pStyle w:val="A-z"/>
        <w:rPr>
          <w:color w:val="auto"/>
        </w:rPr>
      </w:pPr>
      <w:r>
        <w:rPr>
          <w:color w:val="auto"/>
        </w:rPr>
        <w:lastRenderedPageBreak/>
        <w:t>本项目液态危险废物处置系统主要包括上料、过滤、输送和处置。</w:t>
      </w:r>
    </w:p>
    <w:p w14:paraId="276CF42C" w14:textId="77777777" w:rsidR="002E474C" w:rsidRDefault="00000000">
      <w:pPr>
        <w:pStyle w:val="A-z"/>
        <w:ind w:firstLine="456"/>
        <w:rPr>
          <w:color w:val="auto"/>
          <w:spacing w:val="-6"/>
        </w:rPr>
      </w:pPr>
      <w:r>
        <w:rPr>
          <w:color w:val="auto"/>
          <w:spacing w:val="-6"/>
        </w:rPr>
        <w:t>废液使用叉车从贮存车间转运至处置车间，根据废液性质，使用对应的气动隔膜泵实现废物的上料。物料的输送设备为气动隔膜泵，物料经过过滤器过滤，经过管道输送至废液处置电位；过滤产生的杂质定期清理，集中收集后通过固态或者应急处置系统进行处置。废液通过管道输送至窑门罩，经过喷枪和压缩空气雾化打散，进行焚烧处置。车间设有移动式紧急洗眼器，紧急时用于冲洗眼睛、皮肤。</w:t>
      </w:r>
    </w:p>
    <w:p w14:paraId="19DFFCCD" w14:textId="77777777" w:rsidR="002E474C" w:rsidRDefault="00000000">
      <w:pPr>
        <w:pStyle w:val="A-z"/>
        <w:rPr>
          <w:color w:val="auto"/>
        </w:rPr>
      </w:pPr>
      <w:r>
        <w:rPr>
          <w:color w:val="auto"/>
        </w:rPr>
        <w:t>本处置系统在运行过程中不产生废液，系统泄漏及场地冲洗废水通过集液池收集，收集的废液通过液态危废预处理</w:t>
      </w:r>
      <w:r>
        <w:rPr>
          <w:rFonts w:hint="eastAsia"/>
          <w:color w:val="auto"/>
        </w:rPr>
        <w:t>装置</w:t>
      </w:r>
      <w:r>
        <w:rPr>
          <w:color w:val="auto"/>
        </w:rPr>
        <w:t>处置。</w:t>
      </w:r>
      <w:r>
        <w:rPr>
          <w:color w:val="auto"/>
          <w:lang w:val="en-US"/>
        </w:rPr>
        <w:t>液态处置车间的废气通过管道收集后入窑焚烧处理。</w:t>
      </w:r>
    </w:p>
    <w:p w14:paraId="54D5D2AB" w14:textId="77777777" w:rsidR="002E474C" w:rsidRDefault="00000000">
      <w:pPr>
        <w:pStyle w:val="A-z"/>
        <w:rPr>
          <w:color w:val="auto"/>
        </w:rPr>
      </w:pPr>
      <w:r>
        <w:rPr>
          <w:color w:val="auto"/>
        </w:rPr>
        <w:t>3</w:t>
      </w:r>
      <w:r>
        <w:rPr>
          <w:color w:val="auto"/>
        </w:rPr>
        <w:t>）应急投料系统</w:t>
      </w:r>
    </w:p>
    <w:p w14:paraId="29FFC622" w14:textId="77777777" w:rsidR="002E474C" w:rsidRDefault="00000000">
      <w:pPr>
        <w:pStyle w:val="A-z"/>
        <w:rPr>
          <w:color w:val="auto"/>
          <w:lang w:val="en-US"/>
        </w:rPr>
      </w:pPr>
      <w:r>
        <w:rPr>
          <w:color w:val="auto"/>
          <w:lang w:val="en-US"/>
        </w:rPr>
        <w:t>在窑尾塔架旁设置提升装置和窑尾入窑溜子，以适应极少量化学试剂、剧毒类无法预处理的固态危险废物入窑焚烧。</w:t>
      </w:r>
    </w:p>
    <w:p w14:paraId="5460E24A" w14:textId="77777777" w:rsidR="002E474C" w:rsidRDefault="00000000">
      <w:pPr>
        <w:pStyle w:val="A-z"/>
        <w:rPr>
          <w:color w:val="auto"/>
        </w:rPr>
      </w:pPr>
      <w:r>
        <w:rPr>
          <w:color w:val="auto"/>
          <w:lang w:val="en-US"/>
        </w:rPr>
        <w:t>入窑溜子将无法预处理的固态危险废物</w:t>
      </w:r>
      <w:r>
        <w:rPr>
          <w:color w:val="auto"/>
        </w:rPr>
        <w:t>输送至入料口，经过喂料锁风装置交叉锁风，物料入分解炉高温焚烧。</w:t>
      </w:r>
    </w:p>
    <w:p w14:paraId="23D605DB" w14:textId="77777777" w:rsidR="002E474C" w:rsidRDefault="00000000">
      <w:pPr>
        <w:pStyle w:val="A-z"/>
        <w:rPr>
          <w:color w:val="auto"/>
        </w:rPr>
      </w:pPr>
      <w:r>
        <w:rPr>
          <w:color w:val="auto"/>
        </w:rPr>
        <w:t>4</w:t>
      </w:r>
      <w:r>
        <w:rPr>
          <w:color w:val="auto"/>
        </w:rPr>
        <w:t>）无机类废物处置系统</w:t>
      </w:r>
    </w:p>
    <w:p w14:paraId="64AB5548" w14:textId="77777777" w:rsidR="002E474C" w:rsidRDefault="00000000">
      <w:pPr>
        <w:pStyle w:val="A-z"/>
        <w:rPr>
          <w:color w:val="auto"/>
        </w:rPr>
      </w:pPr>
      <w:r>
        <w:rPr>
          <w:color w:val="auto"/>
        </w:rPr>
        <w:t>不含有机质（有机质含量小于</w:t>
      </w:r>
      <w:r>
        <w:rPr>
          <w:color w:val="auto"/>
        </w:rPr>
        <w:t>0.5%</w:t>
      </w:r>
      <w:r>
        <w:rPr>
          <w:color w:val="auto"/>
        </w:rPr>
        <w:t>，二噁英类含量小于</w:t>
      </w:r>
      <w:r>
        <w:rPr>
          <w:color w:val="auto"/>
        </w:rPr>
        <w:t>10ngTEQ/kg</w:t>
      </w:r>
      <w:r>
        <w:rPr>
          <w:color w:val="auto"/>
        </w:rPr>
        <w:t>，其他特征有机物含量不大于常规水泥生料中相应的有机物含量）和氰化物（</w:t>
      </w:r>
      <w:r>
        <w:rPr>
          <w:color w:val="auto"/>
        </w:rPr>
        <w:t>CN</w:t>
      </w:r>
      <w:r>
        <w:rPr>
          <w:color w:val="auto"/>
          <w:vertAlign w:val="superscript"/>
        </w:rPr>
        <w:t>-</w:t>
      </w:r>
      <w:r>
        <w:rPr>
          <w:color w:val="auto"/>
        </w:rPr>
        <w:t>含量小于</w:t>
      </w:r>
      <w:r>
        <w:rPr>
          <w:color w:val="auto"/>
        </w:rPr>
        <w:t>0.01mg/kg</w:t>
      </w:r>
      <w:r>
        <w:rPr>
          <w:color w:val="auto"/>
        </w:rPr>
        <w:t>）用水泥生料粉磨系统原有设施通过配料系统从生料磨加入。</w:t>
      </w:r>
    </w:p>
    <w:p w14:paraId="22E0115D" w14:textId="77777777" w:rsidR="002E474C" w:rsidRDefault="00000000">
      <w:pPr>
        <w:pStyle w:val="41"/>
        <w:rPr>
          <w:color w:val="auto"/>
        </w:rPr>
      </w:pPr>
      <w:r>
        <w:rPr>
          <w:color w:val="auto"/>
        </w:rPr>
        <w:t>生产废气收集及处理系统</w:t>
      </w:r>
    </w:p>
    <w:p w14:paraId="0906E253" w14:textId="77777777" w:rsidR="002E474C" w:rsidRDefault="00000000">
      <w:pPr>
        <w:pStyle w:val="A-z"/>
        <w:rPr>
          <w:color w:val="auto"/>
        </w:rPr>
      </w:pPr>
      <w:r>
        <w:rPr>
          <w:color w:val="auto"/>
        </w:rPr>
        <w:t>（</w:t>
      </w:r>
      <w:r>
        <w:rPr>
          <w:color w:val="auto"/>
        </w:rPr>
        <w:t>1</w:t>
      </w:r>
      <w:r>
        <w:rPr>
          <w:color w:val="auto"/>
        </w:rPr>
        <w:t>）危废贮存及预处理废气</w:t>
      </w:r>
    </w:p>
    <w:p w14:paraId="68252CD8" w14:textId="77777777" w:rsidR="002E474C" w:rsidRDefault="00000000">
      <w:pPr>
        <w:pStyle w:val="A-z"/>
        <w:rPr>
          <w:color w:val="auto"/>
        </w:rPr>
      </w:pPr>
      <w:r>
        <w:rPr>
          <w:color w:val="auto"/>
        </w:rPr>
        <w:t>危废贮存库和固态危废预处理车间均为封闭式结构，车间内呈负压状态。</w:t>
      </w:r>
    </w:p>
    <w:p w14:paraId="75363820" w14:textId="77777777" w:rsidR="002E474C" w:rsidRDefault="00000000">
      <w:pPr>
        <w:pStyle w:val="A-z"/>
        <w:rPr>
          <w:color w:val="auto"/>
        </w:rPr>
      </w:pPr>
      <w:r>
        <w:rPr>
          <w:color w:val="auto"/>
        </w:rPr>
        <w:t>固态危废预处理车间内单独设置破碎间，废包装物及物料破碎过程</w:t>
      </w:r>
      <w:r>
        <w:rPr>
          <w:color w:val="auto"/>
          <w:lang w:val="en-US"/>
        </w:rPr>
        <w:t>会产生颗粒物</w:t>
      </w:r>
      <w:r>
        <w:rPr>
          <w:color w:val="auto"/>
        </w:rPr>
        <w:t>。</w:t>
      </w:r>
      <w:r>
        <w:rPr>
          <w:color w:val="auto"/>
          <w:lang w:val="en-US"/>
        </w:rPr>
        <w:t>破碎间采用集气罩收集破碎预处理</w:t>
      </w:r>
      <w:r>
        <w:rPr>
          <w:rFonts w:hint="eastAsia"/>
          <w:color w:val="auto"/>
          <w:lang w:val="en-US"/>
        </w:rPr>
        <w:t>车间破碎间在</w:t>
      </w:r>
      <w:r>
        <w:rPr>
          <w:color w:val="auto"/>
          <w:lang w:val="en-US"/>
        </w:rPr>
        <w:t>上料、出料位置产生的含尘废气，</w:t>
      </w:r>
      <w:r>
        <w:rPr>
          <w:color w:val="auto"/>
        </w:rPr>
        <w:t>采用布袋除尘器处理后，废气在固态危废预处理车间内无组织排放。</w:t>
      </w:r>
    </w:p>
    <w:p w14:paraId="3C1425C7" w14:textId="77777777" w:rsidR="002E474C" w:rsidRDefault="00000000">
      <w:pPr>
        <w:pStyle w:val="A-z"/>
        <w:rPr>
          <w:color w:val="auto"/>
        </w:rPr>
      </w:pPr>
      <w:r>
        <w:rPr>
          <w:color w:val="auto"/>
        </w:rPr>
        <w:t>固态危废预处理车间贮存区和危废贮存库内固态与液态危废预处理产物</w:t>
      </w:r>
      <w:r>
        <w:rPr>
          <w:color w:val="auto"/>
          <w:lang w:val="en-US"/>
        </w:rPr>
        <w:t>贮存过程中会散发出有机物气体和臭气。</w:t>
      </w:r>
      <w:r>
        <w:rPr>
          <w:color w:val="auto"/>
        </w:rPr>
        <w:t>在车间及库房顶部设置吸风口，</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、非甲烷总烃等无组织废气通过风口、输送风管和风机被收集起来，采用两级活性炭吸附处理后通过</w:t>
      </w:r>
      <w:r>
        <w:rPr>
          <w:color w:val="auto"/>
        </w:rPr>
        <w:t>15m</w:t>
      </w:r>
      <w:r>
        <w:rPr>
          <w:color w:val="auto"/>
        </w:rPr>
        <w:t>排气筒排放。</w:t>
      </w:r>
    </w:p>
    <w:p w14:paraId="6BFA0A66" w14:textId="77777777" w:rsidR="002E474C" w:rsidRDefault="00000000">
      <w:pPr>
        <w:pStyle w:val="A-z"/>
        <w:rPr>
          <w:color w:val="auto"/>
        </w:rPr>
      </w:pPr>
      <w:r>
        <w:rPr>
          <w:color w:val="auto"/>
        </w:rPr>
        <w:t>（</w:t>
      </w:r>
      <w:r>
        <w:rPr>
          <w:color w:val="auto"/>
        </w:rPr>
        <w:t>2</w:t>
      </w:r>
      <w:r>
        <w:rPr>
          <w:color w:val="auto"/>
        </w:rPr>
        <w:t>）加料废气</w:t>
      </w:r>
    </w:p>
    <w:p w14:paraId="726DD35A" w14:textId="77777777" w:rsidR="002E474C" w:rsidRDefault="00000000">
      <w:pPr>
        <w:pStyle w:val="A-z"/>
        <w:rPr>
          <w:color w:val="auto"/>
        </w:rPr>
      </w:pPr>
      <w:r>
        <w:rPr>
          <w:color w:val="auto"/>
        </w:rPr>
        <w:lastRenderedPageBreak/>
        <w:t>在无机类废物加料系统、液态处置车间和固态危废加料系统均为封闭式结构且分别设废气收集系统。</w:t>
      </w:r>
    </w:p>
    <w:p w14:paraId="7A521DE6" w14:textId="77777777" w:rsidR="002E474C" w:rsidRDefault="00000000">
      <w:pPr>
        <w:pStyle w:val="A-z"/>
        <w:rPr>
          <w:color w:val="auto"/>
        </w:rPr>
      </w:pPr>
      <w:r>
        <w:rPr>
          <w:color w:val="auto"/>
        </w:rPr>
        <w:t>无机类废物固废缓存料仓卸料与加料过程生产废气负压收集，并入生料皮带廊道收尘系统处理排放。</w:t>
      </w:r>
    </w:p>
    <w:p w14:paraId="3B520AA6" w14:textId="77777777" w:rsidR="002E474C" w:rsidRDefault="00000000">
      <w:pPr>
        <w:pStyle w:val="A-z"/>
        <w:rPr>
          <w:color w:val="auto"/>
        </w:rPr>
      </w:pPr>
      <w:r>
        <w:rPr>
          <w:color w:val="auto"/>
        </w:rPr>
        <w:t>液态处置车间和固态危废</w:t>
      </w:r>
      <w:r>
        <w:rPr>
          <w:color w:val="auto"/>
        </w:rPr>
        <w:t>/</w:t>
      </w:r>
      <w:r>
        <w:rPr>
          <w:color w:val="auto"/>
        </w:rPr>
        <w:t>应急加料系统生产过程产生的废气负压收集后合并送往水泥窑篦冷机高温段焚烧处理。</w:t>
      </w:r>
    </w:p>
    <w:p w14:paraId="556F5327" w14:textId="77777777" w:rsidR="002E474C" w:rsidRDefault="00000000">
      <w:pPr>
        <w:pStyle w:val="A-z"/>
        <w:rPr>
          <w:color w:val="auto"/>
        </w:rPr>
      </w:pPr>
      <w:r>
        <w:rPr>
          <w:color w:val="auto"/>
        </w:rPr>
        <w:t>在水泥窑停窑或检修期间及协同处置系统停料检修期间，无机类废物加料系统、液态处置车间和固态危废加料系统均清空存量废物，设备空置停用，无危废存放及投加，不产生废气。</w:t>
      </w:r>
    </w:p>
    <w:p w14:paraId="2AD5D8A2" w14:textId="77777777" w:rsidR="002E474C" w:rsidRDefault="00000000">
      <w:pPr>
        <w:pStyle w:val="41"/>
        <w:rPr>
          <w:color w:val="auto"/>
        </w:rPr>
      </w:pPr>
      <w:r>
        <w:rPr>
          <w:color w:val="auto"/>
        </w:rPr>
        <w:t>产污环节分析</w:t>
      </w:r>
    </w:p>
    <w:p w14:paraId="68E4940B" w14:textId="77777777" w:rsidR="002E474C" w:rsidRDefault="00000000">
      <w:pPr>
        <w:pStyle w:val="A-z"/>
        <w:rPr>
          <w:color w:val="auto"/>
        </w:rPr>
      </w:pPr>
      <w:r>
        <w:rPr>
          <w:color w:val="auto"/>
        </w:rPr>
        <w:t>本项目主要产污环节及排污特征详见表</w:t>
      </w:r>
      <w:r>
        <w:rPr>
          <w:color w:val="auto"/>
        </w:rPr>
        <w:t>3.5-6</w:t>
      </w:r>
      <w:r>
        <w:rPr>
          <w:color w:val="auto"/>
        </w:rPr>
        <w:t>。</w:t>
      </w:r>
    </w:p>
    <w:p w14:paraId="241057FE" w14:textId="77777777" w:rsidR="002E474C" w:rsidRDefault="00000000">
      <w:pPr>
        <w:pStyle w:val="A--"/>
        <w:rPr>
          <w:color w:val="auto"/>
        </w:rPr>
      </w:pPr>
      <w:bookmarkStart w:id="177" w:name="_Ref111401603"/>
      <w:bookmarkStart w:id="178" w:name="_Hlk150985107"/>
      <w:bookmarkStart w:id="179" w:name="_Hlk151318288"/>
      <w:r>
        <w:rPr>
          <w:color w:val="auto"/>
        </w:rPr>
        <w:t>表</w:t>
      </w:r>
      <w:bookmarkEnd w:id="177"/>
      <w:r>
        <w:rPr>
          <w:color w:val="auto"/>
        </w:rPr>
        <w:t xml:space="preserve">3.5-6  </w:t>
      </w:r>
      <w:r>
        <w:rPr>
          <w:color w:val="auto"/>
        </w:rPr>
        <w:t>本项目主要产污节点及污染物一览表</w:t>
      </w:r>
      <w:bookmarkEnd w:id="178"/>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4"/>
        <w:gridCol w:w="479"/>
        <w:gridCol w:w="1821"/>
        <w:gridCol w:w="1951"/>
        <w:gridCol w:w="2863"/>
        <w:gridCol w:w="745"/>
      </w:tblGrid>
      <w:tr w:rsidR="002E474C" w14:paraId="6E8575A0" w14:textId="77777777">
        <w:trPr>
          <w:tblHeader/>
        </w:trPr>
        <w:tc>
          <w:tcPr>
            <w:tcW w:w="261" w:type="pct"/>
            <w:vAlign w:val="center"/>
          </w:tcPr>
          <w:p w14:paraId="220C77A1" w14:textId="77777777" w:rsidR="002E474C" w:rsidRDefault="00000000">
            <w:pPr>
              <w:pStyle w:val="A-"/>
            </w:pPr>
            <w:r>
              <w:t>项目</w:t>
            </w:r>
          </w:p>
        </w:tc>
        <w:tc>
          <w:tcPr>
            <w:tcW w:w="289" w:type="pct"/>
            <w:vAlign w:val="center"/>
          </w:tcPr>
          <w:p w14:paraId="5356127C" w14:textId="77777777" w:rsidR="002E474C" w:rsidRDefault="00000000">
            <w:pPr>
              <w:pStyle w:val="A-"/>
            </w:pPr>
            <w:r>
              <w:t>编号</w:t>
            </w:r>
          </w:p>
        </w:tc>
        <w:tc>
          <w:tcPr>
            <w:tcW w:w="1097" w:type="pct"/>
            <w:vAlign w:val="center"/>
          </w:tcPr>
          <w:p w14:paraId="28100553" w14:textId="77777777" w:rsidR="002E474C" w:rsidRDefault="00000000">
            <w:pPr>
              <w:pStyle w:val="A-"/>
            </w:pPr>
            <w:r>
              <w:t>产污环节</w:t>
            </w:r>
          </w:p>
        </w:tc>
        <w:tc>
          <w:tcPr>
            <w:tcW w:w="1175" w:type="pct"/>
            <w:vAlign w:val="center"/>
          </w:tcPr>
          <w:p w14:paraId="09A918AC" w14:textId="77777777" w:rsidR="002E474C" w:rsidRDefault="00000000">
            <w:pPr>
              <w:pStyle w:val="A-"/>
            </w:pPr>
            <w:r>
              <w:t>污染物组成</w:t>
            </w:r>
          </w:p>
        </w:tc>
        <w:tc>
          <w:tcPr>
            <w:tcW w:w="1725" w:type="pct"/>
            <w:vAlign w:val="center"/>
          </w:tcPr>
          <w:p w14:paraId="372437F5" w14:textId="77777777" w:rsidR="002E474C" w:rsidRDefault="00000000">
            <w:pPr>
              <w:pStyle w:val="A-"/>
            </w:pPr>
            <w:r>
              <w:t>治理措施</w:t>
            </w:r>
          </w:p>
        </w:tc>
        <w:tc>
          <w:tcPr>
            <w:tcW w:w="449" w:type="pct"/>
            <w:vAlign w:val="center"/>
          </w:tcPr>
          <w:p w14:paraId="038371B2" w14:textId="77777777" w:rsidR="002E474C" w:rsidRDefault="00000000">
            <w:pPr>
              <w:pStyle w:val="A-"/>
            </w:pPr>
            <w:r>
              <w:t>排放</w:t>
            </w:r>
          </w:p>
          <w:p w14:paraId="64AD7C46" w14:textId="77777777" w:rsidR="002E474C" w:rsidRDefault="00000000">
            <w:pPr>
              <w:pStyle w:val="A-"/>
            </w:pPr>
            <w:r>
              <w:t>方式</w:t>
            </w:r>
          </w:p>
        </w:tc>
      </w:tr>
      <w:tr w:rsidR="002E474C" w14:paraId="25ACF750" w14:textId="77777777">
        <w:tc>
          <w:tcPr>
            <w:tcW w:w="261" w:type="pct"/>
            <w:vMerge w:val="restart"/>
            <w:vAlign w:val="center"/>
          </w:tcPr>
          <w:p w14:paraId="10FE600E" w14:textId="77777777" w:rsidR="002E474C" w:rsidRDefault="00000000">
            <w:pPr>
              <w:pStyle w:val="A-"/>
            </w:pPr>
            <w:r>
              <w:t>废气</w:t>
            </w:r>
          </w:p>
        </w:tc>
        <w:tc>
          <w:tcPr>
            <w:tcW w:w="289" w:type="pct"/>
            <w:vAlign w:val="center"/>
          </w:tcPr>
          <w:p w14:paraId="09B7C657" w14:textId="77777777" w:rsidR="002E474C" w:rsidRDefault="00000000">
            <w:pPr>
              <w:pStyle w:val="A-"/>
            </w:pPr>
            <w:r>
              <w:t>G1</w:t>
            </w:r>
          </w:p>
        </w:tc>
        <w:tc>
          <w:tcPr>
            <w:tcW w:w="1097" w:type="pct"/>
            <w:vAlign w:val="center"/>
          </w:tcPr>
          <w:p w14:paraId="6A40B57E" w14:textId="77777777" w:rsidR="002E474C" w:rsidRDefault="00000000">
            <w:pPr>
              <w:pStyle w:val="A-"/>
            </w:pPr>
            <w:r>
              <w:t>危废贮存库及</w:t>
            </w:r>
          </w:p>
          <w:p w14:paraId="4F7FA453" w14:textId="77777777" w:rsidR="002E474C" w:rsidRDefault="00000000">
            <w:pPr>
              <w:pStyle w:val="A-"/>
            </w:pPr>
            <w:r>
              <w:t>固态危废预处理车间</w:t>
            </w:r>
          </w:p>
        </w:tc>
        <w:tc>
          <w:tcPr>
            <w:tcW w:w="1175" w:type="pct"/>
            <w:vAlign w:val="center"/>
          </w:tcPr>
          <w:p w14:paraId="6ECFE029" w14:textId="77777777" w:rsidR="002E474C" w:rsidRDefault="00000000">
            <w:pPr>
              <w:pStyle w:val="A-"/>
            </w:pPr>
            <w:r>
              <w:t>NH</w:t>
            </w:r>
            <w:r>
              <w:rPr>
                <w:vertAlign w:val="subscript"/>
              </w:rPr>
              <w:t>3</w:t>
            </w:r>
            <w:r>
              <w:t>、</w:t>
            </w:r>
            <w:r>
              <w:t>H</w:t>
            </w:r>
            <w:r>
              <w:rPr>
                <w:vertAlign w:val="subscript"/>
              </w:rPr>
              <w:t>2</w:t>
            </w:r>
            <w:r>
              <w:t>S</w:t>
            </w:r>
            <w:r>
              <w:t>、</w:t>
            </w:r>
            <w:r>
              <w:rPr>
                <w:rFonts w:hint="eastAsia"/>
              </w:rPr>
              <w:t>NMHC</w:t>
            </w:r>
          </w:p>
        </w:tc>
        <w:tc>
          <w:tcPr>
            <w:tcW w:w="1725" w:type="pct"/>
            <w:vAlign w:val="center"/>
          </w:tcPr>
          <w:p w14:paraId="37D78732" w14:textId="77777777" w:rsidR="002E474C" w:rsidRDefault="00000000">
            <w:pPr>
              <w:pStyle w:val="A-"/>
            </w:pPr>
            <w:r>
              <w:rPr>
                <w:spacing w:val="-11"/>
              </w:rPr>
              <w:t>封闭式车间，设置负压，采取两级活性炭吸附，经</w:t>
            </w:r>
            <w:r>
              <w:rPr>
                <w:spacing w:val="-11"/>
              </w:rPr>
              <w:t>15m</w:t>
            </w:r>
            <w:r>
              <w:rPr>
                <w:spacing w:val="-11"/>
              </w:rPr>
              <w:t>排气筒排放。</w:t>
            </w:r>
          </w:p>
        </w:tc>
        <w:tc>
          <w:tcPr>
            <w:tcW w:w="449" w:type="pct"/>
            <w:vAlign w:val="center"/>
          </w:tcPr>
          <w:p w14:paraId="626A5E35" w14:textId="77777777" w:rsidR="002E474C" w:rsidRDefault="00000000">
            <w:pPr>
              <w:pStyle w:val="A-"/>
            </w:pPr>
            <w:r>
              <w:t>有组织、连续</w:t>
            </w:r>
          </w:p>
        </w:tc>
      </w:tr>
      <w:tr w:rsidR="002E474C" w14:paraId="099B6CFF" w14:textId="77777777">
        <w:tc>
          <w:tcPr>
            <w:tcW w:w="261" w:type="pct"/>
            <w:vMerge/>
            <w:vAlign w:val="center"/>
          </w:tcPr>
          <w:p w14:paraId="77988CA7" w14:textId="77777777" w:rsidR="002E474C" w:rsidRDefault="002E474C">
            <w:pPr>
              <w:pStyle w:val="A-"/>
            </w:pPr>
          </w:p>
        </w:tc>
        <w:tc>
          <w:tcPr>
            <w:tcW w:w="289" w:type="pct"/>
            <w:vAlign w:val="center"/>
          </w:tcPr>
          <w:p w14:paraId="3258E5A5" w14:textId="77777777" w:rsidR="002E474C" w:rsidRDefault="00000000">
            <w:pPr>
              <w:pStyle w:val="A-"/>
            </w:pPr>
            <w:r>
              <w:t>G2</w:t>
            </w:r>
          </w:p>
        </w:tc>
        <w:tc>
          <w:tcPr>
            <w:tcW w:w="1097" w:type="pct"/>
            <w:vAlign w:val="center"/>
          </w:tcPr>
          <w:p w14:paraId="176EB1E7" w14:textId="77777777" w:rsidR="002E474C" w:rsidRDefault="00000000">
            <w:pPr>
              <w:pStyle w:val="A-"/>
            </w:pPr>
            <w:r>
              <w:t>回转窑窑尾</w:t>
            </w:r>
          </w:p>
        </w:tc>
        <w:tc>
          <w:tcPr>
            <w:tcW w:w="1175" w:type="pct"/>
            <w:vAlign w:val="center"/>
          </w:tcPr>
          <w:p w14:paraId="0CAB9EEC" w14:textId="77777777" w:rsidR="002E474C" w:rsidRDefault="00000000">
            <w:pPr>
              <w:pStyle w:val="A-"/>
            </w:pPr>
            <w:r>
              <w:t>SO</w:t>
            </w:r>
            <w:r>
              <w:rPr>
                <w:vertAlign w:val="subscript"/>
              </w:rPr>
              <w:t>2</w:t>
            </w:r>
            <w:r>
              <w:t>、</w:t>
            </w:r>
            <w:r>
              <w:t>NOx</w:t>
            </w:r>
            <w:r>
              <w:t>、烟尘、氨、</w:t>
            </w:r>
            <w:r>
              <w:t>HCl</w:t>
            </w:r>
            <w:r>
              <w:t>、</w:t>
            </w:r>
            <w:r>
              <w:t>HF</w:t>
            </w:r>
            <w:r>
              <w:t>、重金属类、二噁英类等</w:t>
            </w:r>
          </w:p>
        </w:tc>
        <w:tc>
          <w:tcPr>
            <w:tcW w:w="1725" w:type="pct"/>
            <w:vAlign w:val="center"/>
          </w:tcPr>
          <w:p w14:paraId="2EFC7976" w14:textId="77777777" w:rsidR="002E474C" w:rsidRDefault="00000000">
            <w:pPr>
              <w:pStyle w:val="A-"/>
            </w:pPr>
            <w:r>
              <w:t>SNCR+SCR+</w:t>
            </w:r>
            <w:r>
              <w:t>增湿塔（急冷）</w:t>
            </w:r>
            <w:r>
              <w:t>+</w:t>
            </w:r>
            <w:r>
              <w:t>电袋除尘</w:t>
            </w:r>
            <w:r>
              <w:t>+85m</w:t>
            </w:r>
            <w:r>
              <w:t>烟囱</w:t>
            </w:r>
          </w:p>
        </w:tc>
        <w:tc>
          <w:tcPr>
            <w:tcW w:w="449" w:type="pct"/>
            <w:vAlign w:val="center"/>
          </w:tcPr>
          <w:p w14:paraId="26CC6069" w14:textId="77777777" w:rsidR="002E474C" w:rsidRDefault="00000000">
            <w:pPr>
              <w:pStyle w:val="A-"/>
            </w:pPr>
            <w:r>
              <w:t>有组织、连续</w:t>
            </w:r>
          </w:p>
        </w:tc>
      </w:tr>
      <w:tr w:rsidR="002E474C" w14:paraId="3606FA32" w14:textId="77777777">
        <w:tc>
          <w:tcPr>
            <w:tcW w:w="261" w:type="pct"/>
            <w:vMerge/>
            <w:vAlign w:val="center"/>
          </w:tcPr>
          <w:p w14:paraId="2AB125BD" w14:textId="77777777" w:rsidR="002E474C" w:rsidRDefault="002E474C">
            <w:pPr>
              <w:pStyle w:val="A-"/>
            </w:pPr>
          </w:p>
        </w:tc>
        <w:tc>
          <w:tcPr>
            <w:tcW w:w="289" w:type="pct"/>
            <w:vAlign w:val="center"/>
          </w:tcPr>
          <w:p w14:paraId="690198DA" w14:textId="77777777" w:rsidR="002E474C" w:rsidRDefault="00000000">
            <w:pPr>
              <w:pStyle w:val="A-"/>
            </w:pPr>
            <w:r>
              <w:t>/</w:t>
            </w:r>
          </w:p>
        </w:tc>
        <w:tc>
          <w:tcPr>
            <w:tcW w:w="1097" w:type="pct"/>
            <w:vAlign w:val="center"/>
          </w:tcPr>
          <w:p w14:paraId="7D51D130" w14:textId="77777777" w:rsidR="002E474C" w:rsidRDefault="00000000">
            <w:pPr>
              <w:pStyle w:val="A-"/>
            </w:pPr>
            <w:r>
              <w:t>破碎间破碎废气</w:t>
            </w:r>
          </w:p>
        </w:tc>
        <w:tc>
          <w:tcPr>
            <w:tcW w:w="1175" w:type="pct"/>
            <w:vAlign w:val="center"/>
          </w:tcPr>
          <w:p w14:paraId="46D31127" w14:textId="77777777" w:rsidR="002E474C" w:rsidRDefault="00000000">
            <w:pPr>
              <w:pStyle w:val="A-"/>
            </w:pPr>
            <w:r>
              <w:t>粉尘</w:t>
            </w:r>
          </w:p>
        </w:tc>
        <w:tc>
          <w:tcPr>
            <w:tcW w:w="1725" w:type="pct"/>
            <w:vAlign w:val="center"/>
          </w:tcPr>
          <w:p w14:paraId="2A45E29B" w14:textId="77777777" w:rsidR="002E474C" w:rsidRDefault="00000000">
            <w:pPr>
              <w:pStyle w:val="A-"/>
              <w:rPr>
                <w:spacing w:val="-6"/>
              </w:rPr>
            </w:pPr>
            <w:r>
              <w:rPr>
                <w:spacing w:val="-6"/>
              </w:rPr>
              <w:t>破碎间为独立封闭式结构，设置集气罩，含尘废气采用集气罩</w:t>
            </w:r>
            <w:r>
              <w:rPr>
                <w:spacing w:val="-6"/>
              </w:rPr>
              <w:t>+</w:t>
            </w:r>
            <w:r>
              <w:rPr>
                <w:spacing w:val="-6"/>
              </w:rPr>
              <w:t>布袋除尘器处理后在车间内排放。</w:t>
            </w:r>
          </w:p>
        </w:tc>
        <w:tc>
          <w:tcPr>
            <w:tcW w:w="449" w:type="pct"/>
            <w:vAlign w:val="center"/>
          </w:tcPr>
          <w:p w14:paraId="56131B31" w14:textId="77777777" w:rsidR="002E474C" w:rsidRDefault="00000000">
            <w:pPr>
              <w:pStyle w:val="A-"/>
            </w:pPr>
            <w:r>
              <w:t>/</w:t>
            </w:r>
          </w:p>
        </w:tc>
      </w:tr>
      <w:tr w:rsidR="002E474C" w14:paraId="3EB8295D" w14:textId="77777777">
        <w:tc>
          <w:tcPr>
            <w:tcW w:w="261" w:type="pct"/>
            <w:vMerge/>
            <w:vAlign w:val="center"/>
          </w:tcPr>
          <w:p w14:paraId="44B9305F" w14:textId="77777777" w:rsidR="002E474C" w:rsidRDefault="002E474C">
            <w:pPr>
              <w:pStyle w:val="A-"/>
            </w:pPr>
          </w:p>
        </w:tc>
        <w:tc>
          <w:tcPr>
            <w:tcW w:w="289" w:type="pct"/>
            <w:vAlign w:val="center"/>
          </w:tcPr>
          <w:p w14:paraId="0F818F0C" w14:textId="77777777" w:rsidR="002E474C" w:rsidRDefault="00000000">
            <w:pPr>
              <w:pStyle w:val="A-"/>
            </w:pPr>
            <w:r>
              <w:t>/</w:t>
            </w:r>
          </w:p>
        </w:tc>
        <w:tc>
          <w:tcPr>
            <w:tcW w:w="1097" w:type="pct"/>
            <w:vAlign w:val="center"/>
          </w:tcPr>
          <w:p w14:paraId="78596D5D" w14:textId="77777777" w:rsidR="002E474C" w:rsidRDefault="00000000">
            <w:pPr>
              <w:pStyle w:val="A-"/>
            </w:pPr>
            <w:r>
              <w:t>纯无机类加料废气</w:t>
            </w:r>
          </w:p>
        </w:tc>
        <w:tc>
          <w:tcPr>
            <w:tcW w:w="1175" w:type="pct"/>
            <w:vAlign w:val="center"/>
          </w:tcPr>
          <w:p w14:paraId="19C576DC" w14:textId="77777777" w:rsidR="002E474C" w:rsidRDefault="00000000">
            <w:pPr>
              <w:pStyle w:val="A-"/>
            </w:pPr>
            <w:r>
              <w:t>粉尘</w:t>
            </w:r>
          </w:p>
        </w:tc>
        <w:tc>
          <w:tcPr>
            <w:tcW w:w="1725" w:type="pct"/>
            <w:vAlign w:val="center"/>
          </w:tcPr>
          <w:p w14:paraId="476D82F4" w14:textId="77777777" w:rsidR="002E474C" w:rsidRDefault="00000000">
            <w:pPr>
              <w:pStyle w:val="A-"/>
              <w:rPr>
                <w:spacing w:val="-6"/>
              </w:rPr>
            </w:pPr>
            <w:r>
              <w:rPr>
                <w:spacing w:val="-6"/>
              </w:rPr>
              <w:t>①</w:t>
            </w:r>
            <w:r>
              <w:rPr>
                <w:spacing w:val="-6"/>
              </w:rPr>
              <w:t>封闭式结构，设置负压，废气集气后并入生料皮带廊道中间收尘系统废气除尘设施；</w:t>
            </w:r>
            <w:r>
              <w:rPr>
                <w:spacing w:val="-6"/>
              </w:rPr>
              <w:t>②</w:t>
            </w:r>
            <w:r>
              <w:rPr>
                <w:spacing w:val="-6"/>
              </w:rPr>
              <w:t>停窑期间停止存料及加料，无生产废气。</w:t>
            </w:r>
          </w:p>
        </w:tc>
        <w:tc>
          <w:tcPr>
            <w:tcW w:w="449" w:type="pct"/>
            <w:vAlign w:val="center"/>
          </w:tcPr>
          <w:p w14:paraId="4F45AAD9" w14:textId="77777777" w:rsidR="002E474C" w:rsidRDefault="00000000">
            <w:pPr>
              <w:pStyle w:val="A-"/>
            </w:pPr>
            <w:r>
              <w:t>/</w:t>
            </w:r>
          </w:p>
        </w:tc>
      </w:tr>
      <w:tr w:rsidR="002E474C" w14:paraId="51D964ED" w14:textId="77777777">
        <w:tc>
          <w:tcPr>
            <w:tcW w:w="261" w:type="pct"/>
            <w:vMerge/>
            <w:vAlign w:val="center"/>
          </w:tcPr>
          <w:p w14:paraId="3A17A928" w14:textId="77777777" w:rsidR="002E474C" w:rsidRDefault="002E474C">
            <w:pPr>
              <w:pStyle w:val="A-"/>
            </w:pPr>
          </w:p>
        </w:tc>
        <w:tc>
          <w:tcPr>
            <w:tcW w:w="289" w:type="pct"/>
            <w:vAlign w:val="center"/>
          </w:tcPr>
          <w:p w14:paraId="38C12B3D" w14:textId="77777777" w:rsidR="002E474C" w:rsidRDefault="00000000">
            <w:pPr>
              <w:pStyle w:val="A-"/>
            </w:pPr>
            <w:r>
              <w:t>/</w:t>
            </w:r>
          </w:p>
        </w:tc>
        <w:tc>
          <w:tcPr>
            <w:tcW w:w="1097" w:type="pct"/>
            <w:vAlign w:val="center"/>
          </w:tcPr>
          <w:p w14:paraId="65A4967A" w14:textId="77777777" w:rsidR="002E474C" w:rsidRDefault="00000000">
            <w:pPr>
              <w:pStyle w:val="A-"/>
            </w:pPr>
            <w:r>
              <w:t>固废与废液</w:t>
            </w:r>
          </w:p>
          <w:p w14:paraId="762DC5EC" w14:textId="77777777" w:rsidR="002E474C" w:rsidRDefault="00000000">
            <w:pPr>
              <w:pStyle w:val="A-"/>
            </w:pPr>
            <w:r>
              <w:t>加料系统</w:t>
            </w:r>
          </w:p>
        </w:tc>
        <w:tc>
          <w:tcPr>
            <w:tcW w:w="1175" w:type="pct"/>
            <w:vAlign w:val="center"/>
          </w:tcPr>
          <w:p w14:paraId="550ED563" w14:textId="77777777" w:rsidR="002E474C" w:rsidRDefault="00000000">
            <w:pPr>
              <w:pStyle w:val="A-"/>
            </w:pPr>
            <w:r>
              <w:t>NH</w:t>
            </w:r>
            <w:r>
              <w:rPr>
                <w:vertAlign w:val="subscript"/>
              </w:rPr>
              <w:t>3</w:t>
            </w:r>
            <w:r>
              <w:t>、</w:t>
            </w:r>
            <w:r>
              <w:t>H</w:t>
            </w:r>
            <w:r>
              <w:rPr>
                <w:vertAlign w:val="subscript"/>
              </w:rPr>
              <w:t>2</w:t>
            </w:r>
            <w:r>
              <w:t>S</w:t>
            </w:r>
            <w:r>
              <w:t>、</w:t>
            </w:r>
            <w:r>
              <w:rPr>
                <w:rFonts w:hint="eastAsia"/>
              </w:rPr>
              <w:t>NMHC</w:t>
            </w:r>
          </w:p>
        </w:tc>
        <w:tc>
          <w:tcPr>
            <w:tcW w:w="1725" w:type="pct"/>
            <w:vAlign w:val="center"/>
          </w:tcPr>
          <w:p w14:paraId="351D0B1C" w14:textId="77777777" w:rsidR="002E474C" w:rsidRDefault="00000000">
            <w:pPr>
              <w:pStyle w:val="A-"/>
              <w:rPr>
                <w:spacing w:val="-6"/>
              </w:rPr>
            </w:pPr>
            <w:r>
              <w:rPr>
                <w:spacing w:val="-11"/>
              </w:rPr>
              <w:t>①</w:t>
            </w:r>
            <w:r>
              <w:rPr>
                <w:spacing w:val="-11"/>
              </w:rPr>
              <w:t>封闭式车间，设置负压，废气集气后送回转窑焚烧处置；</w:t>
            </w:r>
            <w:r>
              <w:rPr>
                <w:spacing w:val="-11"/>
              </w:rPr>
              <w:t>②</w:t>
            </w:r>
            <w:r>
              <w:rPr>
                <w:spacing w:val="-11"/>
              </w:rPr>
              <w:t>停窑期间停止存料及加料，无生产废气。</w:t>
            </w:r>
          </w:p>
        </w:tc>
        <w:tc>
          <w:tcPr>
            <w:tcW w:w="449" w:type="pct"/>
            <w:vAlign w:val="center"/>
          </w:tcPr>
          <w:p w14:paraId="36400A56" w14:textId="77777777" w:rsidR="002E474C" w:rsidRDefault="00000000">
            <w:pPr>
              <w:pStyle w:val="A-"/>
            </w:pPr>
            <w:r>
              <w:t>/</w:t>
            </w:r>
          </w:p>
        </w:tc>
      </w:tr>
      <w:tr w:rsidR="002E474C" w14:paraId="55944CDC" w14:textId="77777777">
        <w:tc>
          <w:tcPr>
            <w:tcW w:w="261" w:type="pct"/>
            <w:vMerge/>
            <w:vAlign w:val="center"/>
          </w:tcPr>
          <w:p w14:paraId="1C01B037" w14:textId="77777777" w:rsidR="002E474C" w:rsidRDefault="002E474C">
            <w:pPr>
              <w:pStyle w:val="A-"/>
            </w:pPr>
          </w:p>
        </w:tc>
        <w:tc>
          <w:tcPr>
            <w:tcW w:w="289" w:type="pct"/>
            <w:vAlign w:val="center"/>
          </w:tcPr>
          <w:p w14:paraId="07D1F8D6" w14:textId="77777777" w:rsidR="002E474C" w:rsidRDefault="00000000">
            <w:pPr>
              <w:pStyle w:val="A-"/>
            </w:pPr>
            <w:r>
              <w:t>G3</w:t>
            </w:r>
          </w:p>
        </w:tc>
        <w:tc>
          <w:tcPr>
            <w:tcW w:w="1097" w:type="pct"/>
            <w:vAlign w:val="center"/>
          </w:tcPr>
          <w:p w14:paraId="1D43EED4" w14:textId="77777777" w:rsidR="002E474C" w:rsidRDefault="00000000">
            <w:pPr>
              <w:pStyle w:val="A-"/>
            </w:pPr>
            <w:r>
              <w:t>危废贮存废气</w:t>
            </w:r>
          </w:p>
          <w:p w14:paraId="522E00A0" w14:textId="77777777" w:rsidR="002E474C" w:rsidRDefault="00000000">
            <w:pPr>
              <w:pStyle w:val="A-"/>
            </w:pPr>
            <w:r>
              <w:t>无组织排放</w:t>
            </w:r>
          </w:p>
        </w:tc>
        <w:tc>
          <w:tcPr>
            <w:tcW w:w="1175" w:type="pct"/>
            <w:vAlign w:val="center"/>
          </w:tcPr>
          <w:p w14:paraId="49DACA26" w14:textId="77777777" w:rsidR="002E474C" w:rsidRDefault="00000000">
            <w:pPr>
              <w:pStyle w:val="A-"/>
            </w:pPr>
            <w:r>
              <w:t>NH</w:t>
            </w:r>
            <w:r>
              <w:rPr>
                <w:vertAlign w:val="subscript"/>
              </w:rPr>
              <w:t>3</w:t>
            </w:r>
            <w:r>
              <w:t>、</w:t>
            </w:r>
            <w:r>
              <w:t>H</w:t>
            </w:r>
            <w:r>
              <w:rPr>
                <w:vertAlign w:val="subscript"/>
              </w:rPr>
              <w:t>2</w:t>
            </w:r>
            <w:r>
              <w:t>S</w:t>
            </w:r>
            <w:r>
              <w:t>、</w:t>
            </w:r>
            <w:r>
              <w:rPr>
                <w:rFonts w:hint="eastAsia"/>
              </w:rPr>
              <w:t>NMHC</w:t>
            </w:r>
          </w:p>
        </w:tc>
        <w:tc>
          <w:tcPr>
            <w:tcW w:w="1725" w:type="pct"/>
            <w:vAlign w:val="center"/>
          </w:tcPr>
          <w:p w14:paraId="6989ED57" w14:textId="77777777" w:rsidR="002E474C" w:rsidRDefault="00000000">
            <w:pPr>
              <w:pStyle w:val="A-"/>
            </w:pPr>
            <w:r>
              <w:t>封闭式车间，设置负压。</w:t>
            </w:r>
          </w:p>
        </w:tc>
        <w:tc>
          <w:tcPr>
            <w:tcW w:w="449" w:type="pct"/>
            <w:vAlign w:val="center"/>
          </w:tcPr>
          <w:p w14:paraId="6B632521" w14:textId="77777777" w:rsidR="002E474C" w:rsidRDefault="00000000">
            <w:pPr>
              <w:pStyle w:val="A-"/>
            </w:pPr>
            <w:r>
              <w:t>无组织</w:t>
            </w:r>
          </w:p>
        </w:tc>
      </w:tr>
      <w:tr w:rsidR="002E474C" w14:paraId="360DE47F" w14:textId="77777777">
        <w:tc>
          <w:tcPr>
            <w:tcW w:w="261" w:type="pct"/>
            <w:vMerge/>
            <w:vAlign w:val="center"/>
          </w:tcPr>
          <w:p w14:paraId="35558716" w14:textId="77777777" w:rsidR="002E474C" w:rsidRDefault="002E474C">
            <w:pPr>
              <w:pStyle w:val="A-"/>
            </w:pPr>
          </w:p>
        </w:tc>
        <w:tc>
          <w:tcPr>
            <w:tcW w:w="289" w:type="pct"/>
            <w:vAlign w:val="center"/>
          </w:tcPr>
          <w:p w14:paraId="2D2C37CD" w14:textId="77777777" w:rsidR="002E474C" w:rsidRDefault="00000000">
            <w:pPr>
              <w:pStyle w:val="A-"/>
            </w:pPr>
            <w:r>
              <w:t>G4</w:t>
            </w:r>
          </w:p>
        </w:tc>
        <w:tc>
          <w:tcPr>
            <w:tcW w:w="1097" w:type="pct"/>
            <w:vAlign w:val="center"/>
          </w:tcPr>
          <w:p w14:paraId="14658107" w14:textId="77777777" w:rsidR="002E474C" w:rsidRDefault="00000000">
            <w:pPr>
              <w:pStyle w:val="A-"/>
            </w:pPr>
            <w:r>
              <w:t>交通运输</w:t>
            </w:r>
          </w:p>
        </w:tc>
        <w:tc>
          <w:tcPr>
            <w:tcW w:w="1175" w:type="pct"/>
            <w:vAlign w:val="center"/>
          </w:tcPr>
          <w:p w14:paraId="15139CF2" w14:textId="77777777" w:rsidR="002E474C" w:rsidRDefault="00000000">
            <w:pPr>
              <w:pStyle w:val="A-"/>
            </w:pPr>
            <w:r>
              <w:t>PM</w:t>
            </w:r>
            <w:r>
              <w:t>、</w:t>
            </w:r>
            <w:r>
              <w:t>NO</w:t>
            </w:r>
            <w:r>
              <w:rPr>
                <w:vertAlign w:val="subscript"/>
              </w:rPr>
              <w:t>X</w:t>
            </w:r>
            <w:r>
              <w:t>、</w:t>
            </w:r>
            <w:r>
              <w:t>THC</w:t>
            </w:r>
          </w:p>
        </w:tc>
        <w:tc>
          <w:tcPr>
            <w:tcW w:w="1725" w:type="pct"/>
            <w:vAlign w:val="center"/>
          </w:tcPr>
          <w:p w14:paraId="2C78BA9E" w14:textId="77777777" w:rsidR="002E474C" w:rsidRDefault="00000000">
            <w:pPr>
              <w:pStyle w:val="A-"/>
            </w:pPr>
            <w:r>
              <w:t>提高车辆运行状态及排放标准</w:t>
            </w:r>
          </w:p>
        </w:tc>
        <w:tc>
          <w:tcPr>
            <w:tcW w:w="449" w:type="pct"/>
            <w:vAlign w:val="center"/>
          </w:tcPr>
          <w:p w14:paraId="2E9C1CE9" w14:textId="77777777" w:rsidR="002E474C" w:rsidRDefault="00000000">
            <w:pPr>
              <w:pStyle w:val="A-"/>
            </w:pPr>
            <w:r>
              <w:t>无组织</w:t>
            </w:r>
          </w:p>
        </w:tc>
      </w:tr>
      <w:tr w:rsidR="002E474C" w14:paraId="467F17E2" w14:textId="77777777">
        <w:tc>
          <w:tcPr>
            <w:tcW w:w="261" w:type="pct"/>
            <w:vMerge w:val="restart"/>
            <w:vAlign w:val="center"/>
          </w:tcPr>
          <w:p w14:paraId="4E03AB69" w14:textId="77777777" w:rsidR="002E474C" w:rsidRDefault="00000000">
            <w:pPr>
              <w:pStyle w:val="A-"/>
            </w:pPr>
            <w:r>
              <w:t>废水</w:t>
            </w:r>
          </w:p>
        </w:tc>
        <w:tc>
          <w:tcPr>
            <w:tcW w:w="289" w:type="pct"/>
            <w:vAlign w:val="center"/>
          </w:tcPr>
          <w:p w14:paraId="7DD3BBB9" w14:textId="77777777" w:rsidR="002E474C" w:rsidRDefault="00000000">
            <w:pPr>
              <w:pStyle w:val="A-"/>
            </w:pPr>
            <w:r>
              <w:t>W1</w:t>
            </w:r>
          </w:p>
        </w:tc>
        <w:tc>
          <w:tcPr>
            <w:tcW w:w="1097" w:type="pct"/>
            <w:vAlign w:val="center"/>
          </w:tcPr>
          <w:p w14:paraId="3ED5AD94" w14:textId="77777777" w:rsidR="002E474C" w:rsidRDefault="00000000">
            <w:pPr>
              <w:pStyle w:val="A-"/>
            </w:pPr>
            <w:r>
              <w:t>化验废水</w:t>
            </w:r>
          </w:p>
        </w:tc>
        <w:tc>
          <w:tcPr>
            <w:tcW w:w="1175" w:type="pct"/>
            <w:vAlign w:val="center"/>
          </w:tcPr>
          <w:p w14:paraId="2670ECE5" w14:textId="77777777" w:rsidR="002E474C" w:rsidRDefault="00000000">
            <w:pPr>
              <w:pStyle w:val="A-"/>
            </w:pPr>
            <w:r>
              <w:t>COD</w:t>
            </w:r>
            <w:r>
              <w:t>、氨氮、</w:t>
            </w:r>
            <w:r>
              <w:t>BOD</w:t>
            </w:r>
            <w:r>
              <w:rPr>
                <w:vertAlign w:val="subscript"/>
              </w:rPr>
              <w:t>5</w:t>
            </w:r>
            <w:r>
              <w:t>、</w:t>
            </w:r>
            <w:r>
              <w:t>SS</w:t>
            </w:r>
            <w:r>
              <w:t>、</w:t>
            </w:r>
            <w:r>
              <w:t>Cu</w:t>
            </w:r>
            <w:r>
              <w:t>、</w:t>
            </w:r>
            <w:r>
              <w:t>Zn</w:t>
            </w:r>
            <w:r>
              <w:t>、</w:t>
            </w:r>
            <w:r>
              <w:t>Cd</w:t>
            </w:r>
            <w:r>
              <w:t>、</w:t>
            </w:r>
            <w:r>
              <w:t>Pb</w:t>
            </w:r>
            <w:r>
              <w:t>、</w:t>
            </w:r>
            <w:r>
              <w:t>Cr</w:t>
            </w:r>
            <w:r>
              <w:t>、</w:t>
            </w:r>
            <w:r>
              <w:t>Ni</w:t>
            </w:r>
            <w:r>
              <w:t>、</w:t>
            </w:r>
            <w:r>
              <w:t>As</w:t>
            </w:r>
          </w:p>
        </w:tc>
        <w:tc>
          <w:tcPr>
            <w:tcW w:w="1725" w:type="pct"/>
            <w:vMerge w:val="restart"/>
            <w:vAlign w:val="center"/>
          </w:tcPr>
          <w:p w14:paraId="553CD6C5" w14:textId="77777777" w:rsidR="002E474C" w:rsidRDefault="00000000">
            <w:pPr>
              <w:pStyle w:val="A-"/>
            </w:pPr>
            <w:r>
              <w:rPr>
                <w:spacing w:val="-6"/>
              </w:rPr>
              <w:t>回收后送液态危废处置系统，作为废物重新进入水泥窑焚烧处置</w:t>
            </w:r>
          </w:p>
        </w:tc>
        <w:tc>
          <w:tcPr>
            <w:tcW w:w="449" w:type="pct"/>
            <w:vMerge w:val="restart"/>
            <w:vAlign w:val="center"/>
          </w:tcPr>
          <w:p w14:paraId="1A082BA5" w14:textId="77777777" w:rsidR="002E474C" w:rsidRDefault="00000000">
            <w:pPr>
              <w:pStyle w:val="A-"/>
            </w:pPr>
            <w:r>
              <w:t>不外排</w:t>
            </w:r>
          </w:p>
        </w:tc>
      </w:tr>
      <w:tr w:rsidR="002E474C" w14:paraId="4C2432C9" w14:textId="77777777">
        <w:tc>
          <w:tcPr>
            <w:tcW w:w="261" w:type="pct"/>
            <w:vMerge/>
            <w:vAlign w:val="center"/>
          </w:tcPr>
          <w:p w14:paraId="14C402C2" w14:textId="77777777" w:rsidR="002E474C" w:rsidRDefault="002E474C">
            <w:pPr>
              <w:pStyle w:val="A-"/>
            </w:pPr>
          </w:p>
        </w:tc>
        <w:tc>
          <w:tcPr>
            <w:tcW w:w="289" w:type="pct"/>
            <w:vAlign w:val="center"/>
          </w:tcPr>
          <w:p w14:paraId="3EAA9528" w14:textId="77777777" w:rsidR="002E474C" w:rsidRDefault="00000000">
            <w:pPr>
              <w:pStyle w:val="A-"/>
            </w:pPr>
            <w:r>
              <w:t>W2</w:t>
            </w:r>
          </w:p>
        </w:tc>
        <w:tc>
          <w:tcPr>
            <w:tcW w:w="1097" w:type="pct"/>
            <w:vAlign w:val="center"/>
          </w:tcPr>
          <w:p w14:paraId="312900B7" w14:textId="77777777" w:rsidR="002E474C" w:rsidRDefault="00000000">
            <w:pPr>
              <w:pStyle w:val="A-"/>
            </w:pPr>
            <w:r>
              <w:t>车辆及容器清洗</w:t>
            </w:r>
          </w:p>
          <w:p w14:paraId="0D0D3683" w14:textId="77777777" w:rsidR="002E474C" w:rsidRDefault="00000000">
            <w:pPr>
              <w:pStyle w:val="A-"/>
            </w:pPr>
            <w:r>
              <w:t>废水</w:t>
            </w:r>
          </w:p>
        </w:tc>
        <w:tc>
          <w:tcPr>
            <w:tcW w:w="1175" w:type="pct"/>
            <w:vAlign w:val="center"/>
          </w:tcPr>
          <w:p w14:paraId="4EF104C0" w14:textId="77777777" w:rsidR="002E474C" w:rsidRDefault="00000000">
            <w:pPr>
              <w:pStyle w:val="A-"/>
            </w:pPr>
            <w:r>
              <w:t>COD</w:t>
            </w:r>
            <w:r>
              <w:t>、氨氮、</w:t>
            </w:r>
            <w:r>
              <w:t>BOD</w:t>
            </w:r>
            <w:r>
              <w:rPr>
                <w:vertAlign w:val="subscript"/>
              </w:rPr>
              <w:t>5</w:t>
            </w:r>
            <w:r>
              <w:t>、</w:t>
            </w:r>
            <w:r>
              <w:t>SS</w:t>
            </w:r>
          </w:p>
        </w:tc>
        <w:tc>
          <w:tcPr>
            <w:tcW w:w="1725" w:type="pct"/>
            <w:vMerge/>
            <w:vAlign w:val="center"/>
          </w:tcPr>
          <w:p w14:paraId="0F500654" w14:textId="77777777" w:rsidR="002E474C" w:rsidRDefault="002E474C">
            <w:pPr>
              <w:pStyle w:val="A-"/>
            </w:pPr>
          </w:p>
        </w:tc>
        <w:tc>
          <w:tcPr>
            <w:tcW w:w="449" w:type="pct"/>
            <w:vMerge/>
            <w:vAlign w:val="center"/>
          </w:tcPr>
          <w:p w14:paraId="0C0F906C" w14:textId="77777777" w:rsidR="002E474C" w:rsidRDefault="002E474C">
            <w:pPr>
              <w:pStyle w:val="A-"/>
            </w:pPr>
          </w:p>
        </w:tc>
      </w:tr>
      <w:tr w:rsidR="002E474C" w14:paraId="109E2D43" w14:textId="77777777">
        <w:tc>
          <w:tcPr>
            <w:tcW w:w="261" w:type="pct"/>
            <w:vMerge/>
            <w:vAlign w:val="center"/>
          </w:tcPr>
          <w:p w14:paraId="23BD21A9" w14:textId="77777777" w:rsidR="002E474C" w:rsidRDefault="002E474C">
            <w:pPr>
              <w:pStyle w:val="A-"/>
            </w:pPr>
          </w:p>
        </w:tc>
        <w:tc>
          <w:tcPr>
            <w:tcW w:w="289" w:type="pct"/>
            <w:vAlign w:val="center"/>
          </w:tcPr>
          <w:p w14:paraId="29C125AA" w14:textId="77777777" w:rsidR="002E474C" w:rsidRDefault="00000000">
            <w:pPr>
              <w:pStyle w:val="A-"/>
            </w:pPr>
            <w:r>
              <w:t>W3</w:t>
            </w:r>
          </w:p>
        </w:tc>
        <w:tc>
          <w:tcPr>
            <w:tcW w:w="1097" w:type="pct"/>
            <w:vAlign w:val="center"/>
          </w:tcPr>
          <w:p w14:paraId="71CEB95B" w14:textId="77777777" w:rsidR="002E474C" w:rsidRDefault="00000000">
            <w:pPr>
              <w:pStyle w:val="A-"/>
            </w:pPr>
            <w:r>
              <w:t>设备检修清洗废水</w:t>
            </w:r>
          </w:p>
        </w:tc>
        <w:tc>
          <w:tcPr>
            <w:tcW w:w="1175" w:type="pct"/>
            <w:vAlign w:val="center"/>
          </w:tcPr>
          <w:p w14:paraId="22A9C6A8" w14:textId="77777777" w:rsidR="002E474C" w:rsidRDefault="00000000">
            <w:pPr>
              <w:pStyle w:val="A-"/>
            </w:pPr>
            <w:r>
              <w:t>COD</w:t>
            </w:r>
            <w:r>
              <w:t>、氨氮、</w:t>
            </w:r>
            <w:r>
              <w:t>BOD</w:t>
            </w:r>
            <w:r>
              <w:rPr>
                <w:vertAlign w:val="subscript"/>
              </w:rPr>
              <w:t>5</w:t>
            </w:r>
            <w:r>
              <w:t>、</w:t>
            </w:r>
            <w:r>
              <w:t>SS</w:t>
            </w:r>
          </w:p>
        </w:tc>
        <w:tc>
          <w:tcPr>
            <w:tcW w:w="1725" w:type="pct"/>
            <w:vMerge/>
            <w:vAlign w:val="center"/>
          </w:tcPr>
          <w:p w14:paraId="6636D267" w14:textId="77777777" w:rsidR="002E474C" w:rsidRDefault="002E474C">
            <w:pPr>
              <w:pStyle w:val="A-"/>
            </w:pPr>
          </w:p>
        </w:tc>
        <w:tc>
          <w:tcPr>
            <w:tcW w:w="449" w:type="pct"/>
            <w:vMerge/>
            <w:vAlign w:val="center"/>
          </w:tcPr>
          <w:p w14:paraId="60329C2C" w14:textId="77777777" w:rsidR="002E474C" w:rsidRDefault="002E474C">
            <w:pPr>
              <w:pStyle w:val="A-"/>
            </w:pPr>
          </w:p>
        </w:tc>
      </w:tr>
      <w:tr w:rsidR="002E474C" w14:paraId="1D39E2F3" w14:textId="77777777">
        <w:tc>
          <w:tcPr>
            <w:tcW w:w="261" w:type="pct"/>
            <w:vMerge/>
            <w:vAlign w:val="center"/>
          </w:tcPr>
          <w:p w14:paraId="1F3B1EAF" w14:textId="77777777" w:rsidR="002E474C" w:rsidRDefault="002E474C">
            <w:pPr>
              <w:pStyle w:val="A-"/>
            </w:pPr>
          </w:p>
        </w:tc>
        <w:tc>
          <w:tcPr>
            <w:tcW w:w="289" w:type="pct"/>
            <w:vAlign w:val="center"/>
          </w:tcPr>
          <w:p w14:paraId="3A14F405" w14:textId="77777777" w:rsidR="002E474C" w:rsidRDefault="00000000">
            <w:pPr>
              <w:pStyle w:val="A-"/>
            </w:pPr>
            <w:r>
              <w:t>W4</w:t>
            </w:r>
          </w:p>
        </w:tc>
        <w:tc>
          <w:tcPr>
            <w:tcW w:w="1097" w:type="pct"/>
            <w:vAlign w:val="center"/>
          </w:tcPr>
          <w:p w14:paraId="50E2327E" w14:textId="77777777" w:rsidR="002E474C" w:rsidRDefault="00000000">
            <w:pPr>
              <w:pStyle w:val="A-"/>
            </w:pPr>
            <w:r>
              <w:t>生活污水</w:t>
            </w:r>
          </w:p>
        </w:tc>
        <w:tc>
          <w:tcPr>
            <w:tcW w:w="1175" w:type="pct"/>
            <w:vAlign w:val="center"/>
          </w:tcPr>
          <w:p w14:paraId="10B7DAFA" w14:textId="77777777" w:rsidR="002E474C" w:rsidRDefault="00000000">
            <w:pPr>
              <w:pStyle w:val="A-"/>
            </w:pPr>
            <w:r>
              <w:t>COD</w:t>
            </w:r>
            <w:r>
              <w:t>、氨氮、</w:t>
            </w:r>
            <w:r>
              <w:t>BOD</w:t>
            </w:r>
            <w:r>
              <w:rPr>
                <w:vertAlign w:val="subscript"/>
              </w:rPr>
              <w:t>5</w:t>
            </w:r>
            <w:r>
              <w:t>、</w:t>
            </w:r>
            <w:r>
              <w:t>SS</w:t>
            </w:r>
          </w:p>
        </w:tc>
        <w:tc>
          <w:tcPr>
            <w:tcW w:w="1725" w:type="pct"/>
            <w:vAlign w:val="center"/>
          </w:tcPr>
          <w:p w14:paraId="78585C11" w14:textId="77777777" w:rsidR="002E474C" w:rsidRDefault="00000000">
            <w:pPr>
              <w:pStyle w:val="A-"/>
            </w:pPr>
            <w:r>
              <w:t>经管网排至厂内综合污水处理站处理后回用于生产</w:t>
            </w:r>
            <w:r>
              <w:rPr>
                <w:rFonts w:hint="eastAsia"/>
              </w:rPr>
              <w:t>或绿化</w:t>
            </w:r>
          </w:p>
        </w:tc>
        <w:tc>
          <w:tcPr>
            <w:tcW w:w="449" w:type="pct"/>
            <w:vAlign w:val="center"/>
          </w:tcPr>
          <w:p w14:paraId="70D101AB" w14:textId="77777777" w:rsidR="002E474C" w:rsidRDefault="00000000">
            <w:pPr>
              <w:pStyle w:val="A-"/>
            </w:pPr>
            <w:r>
              <w:t>不外排</w:t>
            </w:r>
          </w:p>
        </w:tc>
      </w:tr>
      <w:tr w:rsidR="002E474C" w14:paraId="276FD1CA" w14:textId="77777777">
        <w:tc>
          <w:tcPr>
            <w:tcW w:w="261" w:type="pct"/>
            <w:vMerge w:val="restart"/>
            <w:vAlign w:val="center"/>
          </w:tcPr>
          <w:p w14:paraId="50C4586C" w14:textId="77777777" w:rsidR="002E474C" w:rsidRDefault="00000000">
            <w:pPr>
              <w:pStyle w:val="A-"/>
            </w:pPr>
            <w:r>
              <w:t>固废</w:t>
            </w:r>
          </w:p>
        </w:tc>
        <w:tc>
          <w:tcPr>
            <w:tcW w:w="289" w:type="pct"/>
            <w:vAlign w:val="center"/>
          </w:tcPr>
          <w:p w14:paraId="17810067" w14:textId="77777777" w:rsidR="002E474C" w:rsidRDefault="00000000">
            <w:pPr>
              <w:pStyle w:val="A-"/>
            </w:pPr>
            <w:r>
              <w:t>S1</w:t>
            </w:r>
          </w:p>
        </w:tc>
        <w:tc>
          <w:tcPr>
            <w:tcW w:w="1097" w:type="pct"/>
            <w:vAlign w:val="center"/>
          </w:tcPr>
          <w:p w14:paraId="4AF928BD" w14:textId="77777777" w:rsidR="002E474C" w:rsidRDefault="00000000">
            <w:pPr>
              <w:pStyle w:val="A-"/>
            </w:pPr>
            <w:r>
              <w:t>废包装物</w:t>
            </w:r>
          </w:p>
        </w:tc>
        <w:tc>
          <w:tcPr>
            <w:tcW w:w="1175" w:type="pct"/>
            <w:vAlign w:val="center"/>
          </w:tcPr>
          <w:p w14:paraId="539CB2C6" w14:textId="77777777" w:rsidR="002E474C" w:rsidRDefault="00000000">
            <w:pPr>
              <w:pStyle w:val="A-"/>
            </w:pPr>
            <w:r>
              <w:t>容器、包装袋</w:t>
            </w:r>
          </w:p>
          <w:p w14:paraId="3D834726" w14:textId="77777777" w:rsidR="002E474C" w:rsidRDefault="00000000">
            <w:pPr>
              <w:pStyle w:val="A-"/>
            </w:pPr>
            <w:r>
              <w:t>（金属、塑料）</w:t>
            </w:r>
          </w:p>
        </w:tc>
        <w:tc>
          <w:tcPr>
            <w:tcW w:w="1725" w:type="pct"/>
            <w:vMerge w:val="restart"/>
            <w:vAlign w:val="center"/>
          </w:tcPr>
          <w:p w14:paraId="704D41E3" w14:textId="77777777" w:rsidR="002E474C" w:rsidRDefault="00000000">
            <w:pPr>
              <w:pStyle w:val="A-"/>
            </w:pPr>
            <w:r>
              <w:t>水泥窑焚烧处置</w:t>
            </w:r>
          </w:p>
        </w:tc>
        <w:tc>
          <w:tcPr>
            <w:tcW w:w="449" w:type="pct"/>
            <w:vMerge w:val="restart"/>
            <w:vAlign w:val="center"/>
          </w:tcPr>
          <w:p w14:paraId="5EE58D6F" w14:textId="77777777" w:rsidR="002E474C" w:rsidRDefault="00000000">
            <w:pPr>
              <w:pStyle w:val="A-"/>
            </w:pPr>
            <w:r>
              <w:t>不外排</w:t>
            </w:r>
          </w:p>
        </w:tc>
      </w:tr>
      <w:tr w:rsidR="002E474C" w14:paraId="5F66087A" w14:textId="77777777">
        <w:tc>
          <w:tcPr>
            <w:tcW w:w="261" w:type="pct"/>
            <w:vMerge/>
            <w:vAlign w:val="center"/>
          </w:tcPr>
          <w:p w14:paraId="07CFEC88" w14:textId="77777777" w:rsidR="002E474C" w:rsidRDefault="002E474C">
            <w:pPr>
              <w:pStyle w:val="A-"/>
            </w:pPr>
          </w:p>
        </w:tc>
        <w:tc>
          <w:tcPr>
            <w:tcW w:w="289" w:type="pct"/>
            <w:vAlign w:val="center"/>
          </w:tcPr>
          <w:p w14:paraId="4EB1CF15" w14:textId="77777777" w:rsidR="002E474C" w:rsidRDefault="00000000">
            <w:pPr>
              <w:pStyle w:val="A-"/>
            </w:pPr>
            <w:r>
              <w:t>S2</w:t>
            </w:r>
          </w:p>
        </w:tc>
        <w:tc>
          <w:tcPr>
            <w:tcW w:w="1097" w:type="pct"/>
            <w:vAlign w:val="center"/>
          </w:tcPr>
          <w:p w14:paraId="166242E1" w14:textId="77777777" w:rsidR="002E474C" w:rsidRDefault="00000000">
            <w:pPr>
              <w:pStyle w:val="A-"/>
            </w:pPr>
            <w:r>
              <w:t>废水收集池</w:t>
            </w:r>
          </w:p>
        </w:tc>
        <w:tc>
          <w:tcPr>
            <w:tcW w:w="1175" w:type="pct"/>
            <w:vAlign w:val="center"/>
          </w:tcPr>
          <w:p w14:paraId="52AC7AF1" w14:textId="77777777" w:rsidR="002E474C" w:rsidRDefault="00000000">
            <w:pPr>
              <w:pStyle w:val="A-"/>
            </w:pPr>
            <w:r>
              <w:t>污水沉淀污泥</w:t>
            </w:r>
          </w:p>
        </w:tc>
        <w:tc>
          <w:tcPr>
            <w:tcW w:w="1725" w:type="pct"/>
            <w:vMerge/>
            <w:vAlign w:val="center"/>
          </w:tcPr>
          <w:p w14:paraId="3DF55B26" w14:textId="77777777" w:rsidR="002E474C" w:rsidRDefault="002E474C">
            <w:pPr>
              <w:pStyle w:val="A-"/>
            </w:pPr>
          </w:p>
        </w:tc>
        <w:tc>
          <w:tcPr>
            <w:tcW w:w="449" w:type="pct"/>
            <w:vMerge/>
            <w:vAlign w:val="center"/>
          </w:tcPr>
          <w:p w14:paraId="08B6945A" w14:textId="77777777" w:rsidR="002E474C" w:rsidRDefault="002E474C">
            <w:pPr>
              <w:pStyle w:val="A-"/>
            </w:pPr>
          </w:p>
        </w:tc>
      </w:tr>
      <w:tr w:rsidR="002E474C" w14:paraId="3B3ED72D" w14:textId="77777777">
        <w:tc>
          <w:tcPr>
            <w:tcW w:w="261" w:type="pct"/>
            <w:vMerge/>
            <w:vAlign w:val="center"/>
          </w:tcPr>
          <w:p w14:paraId="68600A9B" w14:textId="77777777" w:rsidR="002E474C" w:rsidRDefault="002E474C">
            <w:pPr>
              <w:pStyle w:val="A-"/>
            </w:pPr>
          </w:p>
        </w:tc>
        <w:tc>
          <w:tcPr>
            <w:tcW w:w="289" w:type="pct"/>
            <w:vAlign w:val="center"/>
          </w:tcPr>
          <w:p w14:paraId="4783D7CA" w14:textId="77777777" w:rsidR="002E474C" w:rsidRDefault="00000000">
            <w:pPr>
              <w:pStyle w:val="A-"/>
            </w:pPr>
            <w:r>
              <w:t>S3</w:t>
            </w:r>
          </w:p>
        </w:tc>
        <w:tc>
          <w:tcPr>
            <w:tcW w:w="1097" w:type="pct"/>
            <w:vAlign w:val="center"/>
          </w:tcPr>
          <w:p w14:paraId="27FA4769" w14:textId="77777777" w:rsidR="002E474C" w:rsidRDefault="00000000">
            <w:pPr>
              <w:pStyle w:val="A-"/>
            </w:pPr>
            <w:r>
              <w:t>活性炭吸附装置</w:t>
            </w:r>
          </w:p>
        </w:tc>
        <w:tc>
          <w:tcPr>
            <w:tcW w:w="1175" w:type="pct"/>
            <w:vAlign w:val="center"/>
          </w:tcPr>
          <w:p w14:paraId="4792579E" w14:textId="77777777" w:rsidR="002E474C" w:rsidRDefault="00000000">
            <w:pPr>
              <w:pStyle w:val="A-"/>
            </w:pPr>
            <w:r>
              <w:t>废活性炭</w:t>
            </w:r>
          </w:p>
        </w:tc>
        <w:tc>
          <w:tcPr>
            <w:tcW w:w="1725" w:type="pct"/>
            <w:vMerge/>
            <w:vAlign w:val="center"/>
          </w:tcPr>
          <w:p w14:paraId="54382562" w14:textId="77777777" w:rsidR="002E474C" w:rsidRDefault="002E474C">
            <w:pPr>
              <w:pStyle w:val="A-"/>
            </w:pPr>
          </w:p>
        </w:tc>
        <w:tc>
          <w:tcPr>
            <w:tcW w:w="449" w:type="pct"/>
            <w:vMerge/>
            <w:vAlign w:val="center"/>
          </w:tcPr>
          <w:p w14:paraId="08FF0A67" w14:textId="77777777" w:rsidR="002E474C" w:rsidRDefault="002E474C">
            <w:pPr>
              <w:pStyle w:val="A-"/>
            </w:pPr>
          </w:p>
        </w:tc>
      </w:tr>
      <w:tr w:rsidR="002E474C" w14:paraId="45EAA7CC" w14:textId="77777777">
        <w:tc>
          <w:tcPr>
            <w:tcW w:w="261" w:type="pct"/>
            <w:vMerge/>
            <w:vAlign w:val="center"/>
          </w:tcPr>
          <w:p w14:paraId="74D1B74E" w14:textId="77777777" w:rsidR="002E474C" w:rsidRDefault="002E474C">
            <w:pPr>
              <w:pStyle w:val="A-"/>
            </w:pPr>
          </w:p>
        </w:tc>
        <w:tc>
          <w:tcPr>
            <w:tcW w:w="289" w:type="pct"/>
            <w:vAlign w:val="center"/>
          </w:tcPr>
          <w:p w14:paraId="2C7222FF" w14:textId="77777777" w:rsidR="002E474C" w:rsidRDefault="00000000">
            <w:pPr>
              <w:pStyle w:val="A-"/>
            </w:pPr>
            <w:r>
              <w:t>S4</w:t>
            </w:r>
          </w:p>
        </w:tc>
        <w:tc>
          <w:tcPr>
            <w:tcW w:w="1097" w:type="pct"/>
            <w:vAlign w:val="center"/>
          </w:tcPr>
          <w:p w14:paraId="31B56DA0" w14:textId="77777777" w:rsidR="002E474C" w:rsidRDefault="00000000">
            <w:pPr>
              <w:pStyle w:val="A-"/>
            </w:pPr>
            <w:r>
              <w:t>布袋除尘器</w:t>
            </w:r>
          </w:p>
        </w:tc>
        <w:tc>
          <w:tcPr>
            <w:tcW w:w="1175" w:type="pct"/>
            <w:vAlign w:val="center"/>
          </w:tcPr>
          <w:p w14:paraId="183B5690" w14:textId="77777777" w:rsidR="002E474C" w:rsidRDefault="00000000">
            <w:pPr>
              <w:pStyle w:val="A-"/>
            </w:pPr>
            <w:r>
              <w:t>废滤袋</w:t>
            </w:r>
          </w:p>
        </w:tc>
        <w:tc>
          <w:tcPr>
            <w:tcW w:w="1725" w:type="pct"/>
            <w:vMerge/>
            <w:vAlign w:val="center"/>
          </w:tcPr>
          <w:p w14:paraId="37749812" w14:textId="77777777" w:rsidR="002E474C" w:rsidRDefault="002E474C">
            <w:pPr>
              <w:pStyle w:val="A-"/>
            </w:pPr>
          </w:p>
        </w:tc>
        <w:tc>
          <w:tcPr>
            <w:tcW w:w="449" w:type="pct"/>
            <w:vMerge/>
            <w:vAlign w:val="center"/>
          </w:tcPr>
          <w:p w14:paraId="0EFAC881" w14:textId="77777777" w:rsidR="002E474C" w:rsidRDefault="002E474C">
            <w:pPr>
              <w:pStyle w:val="A-"/>
            </w:pPr>
          </w:p>
        </w:tc>
      </w:tr>
      <w:tr w:rsidR="002E474C" w14:paraId="31D9B875" w14:textId="77777777">
        <w:tc>
          <w:tcPr>
            <w:tcW w:w="261" w:type="pct"/>
            <w:vMerge/>
            <w:vAlign w:val="center"/>
          </w:tcPr>
          <w:p w14:paraId="56341A05" w14:textId="77777777" w:rsidR="002E474C" w:rsidRDefault="002E474C">
            <w:pPr>
              <w:pStyle w:val="A-"/>
            </w:pPr>
          </w:p>
        </w:tc>
        <w:tc>
          <w:tcPr>
            <w:tcW w:w="289" w:type="pct"/>
            <w:vAlign w:val="center"/>
          </w:tcPr>
          <w:p w14:paraId="27D714A6" w14:textId="77777777" w:rsidR="002E474C" w:rsidRDefault="00000000">
            <w:pPr>
              <w:pStyle w:val="A-"/>
            </w:pPr>
            <w:r>
              <w:t>S5</w:t>
            </w:r>
          </w:p>
        </w:tc>
        <w:tc>
          <w:tcPr>
            <w:tcW w:w="1097" w:type="pct"/>
            <w:vAlign w:val="center"/>
          </w:tcPr>
          <w:p w14:paraId="013FEE30" w14:textId="77777777" w:rsidR="002E474C" w:rsidRDefault="00000000">
            <w:pPr>
              <w:pStyle w:val="A-"/>
            </w:pPr>
            <w:r>
              <w:t>布袋除尘器</w:t>
            </w:r>
          </w:p>
        </w:tc>
        <w:tc>
          <w:tcPr>
            <w:tcW w:w="1175" w:type="pct"/>
            <w:vAlign w:val="center"/>
          </w:tcPr>
          <w:p w14:paraId="0CA15EAA" w14:textId="77777777" w:rsidR="002E474C" w:rsidRDefault="00000000">
            <w:pPr>
              <w:pStyle w:val="A-"/>
            </w:pPr>
            <w:r>
              <w:t>除尘灰</w:t>
            </w:r>
          </w:p>
        </w:tc>
        <w:tc>
          <w:tcPr>
            <w:tcW w:w="1725" w:type="pct"/>
            <w:vMerge/>
            <w:vAlign w:val="center"/>
          </w:tcPr>
          <w:p w14:paraId="25B94E37" w14:textId="77777777" w:rsidR="002E474C" w:rsidRDefault="002E474C">
            <w:pPr>
              <w:pStyle w:val="A-"/>
            </w:pPr>
          </w:p>
        </w:tc>
        <w:tc>
          <w:tcPr>
            <w:tcW w:w="449" w:type="pct"/>
            <w:vMerge/>
            <w:vAlign w:val="center"/>
          </w:tcPr>
          <w:p w14:paraId="50FA6AA2" w14:textId="77777777" w:rsidR="002E474C" w:rsidRDefault="002E474C">
            <w:pPr>
              <w:pStyle w:val="A-"/>
            </w:pPr>
          </w:p>
        </w:tc>
      </w:tr>
      <w:tr w:rsidR="002E474C" w14:paraId="7CF92B17" w14:textId="77777777">
        <w:tc>
          <w:tcPr>
            <w:tcW w:w="261" w:type="pct"/>
            <w:vMerge/>
            <w:vAlign w:val="center"/>
          </w:tcPr>
          <w:p w14:paraId="08863C5F" w14:textId="77777777" w:rsidR="002E474C" w:rsidRDefault="002E474C">
            <w:pPr>
              <w:pStyle w:val="A-"/>
            </w:pPr>
          </w:p>
        </w:tc>
        <w:tc>
          <w:tcPr>
            <w:tcW w:w="289" w:type="pct"/>
            <w:vAlign w:val="center"/>
          </w:tcPr>
          <w:p w14:paraId="20C6B027" w14:textId="77777777" w:rsidR="002E474C" w:rsidRDefault="00000000">
            <w:pPr>
              <w:pStyle w:val="A-"/>
            </w:pPr>
            <w:r>
              <w:t>S6</w:t>
            </w:r>
          </w:p>
        </w:tc>
        <w:tc>
          <w:tcPr>
            <w:tcW w:w="1097" w:type="pct"/>
            <w:vAlign w:val="center"/>
          </w:tcPr>
          <w:p w14:paraId="01607F05" w14:textId="77777777" w:rsidR="002E474C" w:rsidRDefault="00000000">
            <w:pPr>
              <w:pStyle w:val="A-"/>
            </w:pPr>
            <w:r>
              <w:t>废液过滤</w:t>
            </w:r>
          </w:p>
        </w:tc>
        <w:tc>
          <w:tcPr>
            <w:tcW w:w="1175" w:type="pct"/>
            <w:vAlign w:val="center"/>
          </w:tcPr>
          <w:p w14:paraId="6DF594CB" w14:textId="77777777" w:rsidR="002E474C" w:rsidRDefault="00000000">
            <w:pPr>
              <w:pStyle w:val="A-"/>
            </w:pPr>
            <w:r>
              <w:t>废液滤渣</w:t>
            </w:r>
          </w:p>
        </w:tc>
        <w:tc>
          <w:tcPr>
            <w:tcW w:w="1725" w:type="pct"/>
            <w:vMerge/>
            <w:vAlign w:val="center"/>
          </w:tcPr>
          <w:p w14:paraId="015A0F83" w14:textId="77777777" w:rsidR="002E474C" w:rsidRDefault="002E474C">
            <w:pPr>
              <w:pStyle w:val="A-"/>
            </w:pPr>
          </w:p>
        </w:tc>
        <w:tc>
          <w:tcPr>
            <w:tcW w:w="449" w:type="pct"/>
            <w:vMerge/>
            <w:vAlign w:val="center"/>
          </w:tcPr>
          <w:p w14:paraId="7711B27C" w14:textId="77777777" w:rsidR="002E474C" w:rsidRDefault="002E474C">
            <w:pPr>
              <w:pStyle w:val="A-"/>
            </w:pPr>
          </w:p>
        </w:tc>
      </w:tr>
      <w:tr w:rsidR="002E474C" w14:paraId="60AEA75B" w14:textId="77777777">
        <w:tc>
          <w:tcPr>
            <w:tcW w:w="261" w:type="pct"/>
            <w:vMerge/>
            <w:vAlign w:val="center"/>
          </w:tcPr>
          <w:p w14:paraId="7DF71A3F" w14:textId="77777777" w:rsidR="002E474C" w:rsidRDefault="002E474C">
            <w:pPr>
              <w:pStyle w:val="A-"/>
            </w:pPr>
          </w:p>
        </w:tc>
        <w:tc>
          <w:tcPr>
            <w:tcW w:w="289" w:type="pct"/>
            <w:vAlign w:val="center"/>
          </w:tcPr>
          <w:p w14:paraId="0BB6DDB3" w14:textId="77777777" w:rsidR="002E474C" w:rsidRDefault="00000000">
            <w:pPr>
              <w:pStyle w:val="A-"/>
            </w:pPr>
            <w:r>
              <w:t>S7</w:t>
            </w:r>
          </w:p>
        </w:tc>
        <w:tc>
          <w:tcPr>
            <w:tcW w:w="1097" w:type="pct"/>
            <w:vAlign w:val="center"/>
          </w:tcPr>
          <w:p w14:paraId="0163C46B" w14:textId="77777777" w:rsidR="002E474C" w:rsidRDefault="00000000">
            <w:pPr>
              <w:pStyle w:val="A-"/>
            </w:pPr>
            <w:r>
              <w:t>设备维修</w:t>
            </w:r>
          </w:p>
        </w:tc>
        <w:tc>
          <w:tcPr>
            <w:tcW w:w="1175" w:type="pct"/>
            <w:vAlign w:val="center"/>
          </w:tcPr>
          <w:p w14:paraId="6B72ECAC" w14:textId="77777777" w:rsidR="002E474C" w:rsidRDefault="00000000">
            <w:pPr>
              <w:pStyle w:val="A-"/>
            </w:pPr>
            <w:r>
              <w:t>废润滑油</w:t>
            </w:r>
          </w:p>
        </w:tc>
        <w:tc>
          <w:tcPr>
            <w:tcW w:w="1725" w:type="pct"/>
            <w:vMerge/>
            <w:vAlign w:val="center"/>
          </w:tcPr>
          <w:p w14:paraId="32EE7E58" w14:textId="77777777" w:rsidR="002E474C" w:rsidRDefault="002E474C">
            <w:pPr>
              <w:pStyle w:val="A-"/>
            </w:pPr>
          </w:p>
        </w:tc>
        <w:tc>
          <w:tcPr>
            <w:tcW w:w="449" w:type="pct"/>
            <w:vMerge/>
            <w:vAlign w:val="center"/>
          </w:tcPr>
          <w:p w14:paraId="0271BEBA" w14:textId="77777777" w:rsidR="002E474C" w:rsidRDefault="002E474C">
            <w:pPr>
              <w:pStyle w:val="A-"/>
            </w:pPr>
          </w:p>
        </w:tc>
      </w:tr>
      <w:tr w:rsidR="002E474C" w14:paraId="6ED1AFFA" w14:textId="77777777">
        <w:tc>
          <w:tcPr>
            <w:tcW w:w="261" w:type="pct"/>
            <w:vMerge/>
            <w:vAlign w:val="center"/>
          </w:tcPr>
          <w:p w14:paraId="27573A56" w14:textId="77777777" w:rsidR="002E474C" w:rsidRDefault="002E474C">
            <w:pPr>
              <w:pStyle w:val="A-"/>
            </w:pPr>
          </w:p>
        </w:tc>
        <w:tc>
          <w:tcPr>
            <w:tcW w:w="289" w:type="pct"/>
            <w:vAlign w:val="center"/>
          </w:tcPr>
          <w:p w14:paraId="5865AB6A" w14:textId="77777777" w:rsidR="002E474C" w:rsidRDefault="00000000">
            <w:pPr>
              <w:pStyle w:val="A-"/>
            </w:pPr>
            <w:r>
              <w:t>S8</w:t>
            </w:r>
          </w:p>
        </w:tc>
        <w:tc>
          <w:tcPr>
            <w:tcW w:w="1097" w:type="pct"/>
            <w:vAlign w:val="center"/>
          </w:tcPr>
          <w:p w14:paraId="4F6DE7DC" w14:textId="77777777" w:rsidR="002E474C" w:rsidRDefault="00000000">
            <w:pPr>
              <w:pStyle w:val="A-"/>
            </w:pPr>
            <w:r>
              <w:t>生活设施</w:t>
            </w:r>
          </w:p>
        </w:tc>
        <w:tc>
          <w:tcPr>
            <w:tcW w:w="1175" w:type="pct"/>
            <w:vAlign w:val="center"/>
          </w:tcPr>
          <w:p w14:paraId="4664C168" w14:textId="77777777" w:rsidR="002E474C" w:rsidRDefault="00000000">
            <w:pPr>
              <w:pStyle w:val="A-"/>
            </w:pPr>
            <w:r>
              <w:t>生活垃圾</w:t>
            </w:r>
          </w:p>
        </w:tc>
        <w:tc>
          <w:tcPr>
            <w:tcW w:w="1725" w:type="pct"/>
            <w:vAlign w:val="center"/>
          </w:tcPr>
          <w:p w14:paraId="225C8E7F" w14:textId="77777777" w:rsidR="002E474C" w:rsidRDefault="00000000">
            <w:pPr>
              <w:pStyle w:val="A-"/>
            </w:pPr>
            <w:r>
              <w:t>圣雄股份公司垃圾场填埋处理</w:t>
            </w:r>
          </w:p>
        </w:tc>
        <w:tc>
          <w:tcPr>
            <w:tcW w:w="449" w:type="pct"/>
            <w:vMerge/>
            <w:vAlign w:val="center"/>
          </w:tcPr>
          <w:p w14:paraId="53D35E33" w14:textId="77777777" w:rsidR="002E474C" w:rsidRDefault="002E474C">
            <w:pPr>
              <w:pStyle w:val="A-"/>
            </w:pPr>
          </w:p>
        </w:tc>
      </w:tr>
      <w:tr w:rsidR="002E474C" w14:paraId="21635859" w14:textId="77777777">
        <w:tc>
          <w:tcPr>
            <w:tcW w:w="261" w:type="pct"/>
            <w:vMerge w:val="restart"/>
            <w:vAlign w:val="center"/>
          </w:tcPr>
          <w:p w14:paraId="7D5907C5" w14:textId="77777777" w:rsidR="002E474C" w:rsidRDefault="00000000">
            <w:pPr>
              <w:pStyle w:val="A-"/>
            </w:pPr>
            <w:r>
              <w:t>噪声</w:t>
            </w:r>
          </w:p>
        </w:tc>
        <w:tc>
          <w:tcPr>
            <w:tcW w:w="289" w:type="pct"/>
            <w:vAlign w:val="center"/>
          </w:tcPr>
          <w:p w14:paraId="5B8C1DCE" w14:textId="77777777" w:rsidR="002E474C" w:rsidRDefault="00000000">
            <w:pPr>
              <w:pStyle w:val="A-"/>
            </w:pPr>
            <w:r>
              <w:t>N1</w:t>
            </w:r>
          </w:p>
        </w:tc>
        <w:tc>
          <w:tcPr>
            <w:tcW w:w="1097" w:type="pct"/>
            <w:vAlign w:val="center"/>
          </w:tcPr>
          <w:p w14:paraId="296050D0" w14:textId="77777777" w:rsidR="002E474C" w:rsidRDefault="00000000">
            <w:pPr>
              <w:pStyle w:val="A-"/>
            </w:pPr>
            <w:r>
              <w:rPr>
                <w:rFonts w:hint="eastAsia"/>
              </w:rPr>
              <w:t>装载机</w:t>
            </w:r>
          </w:p>
        </w:tc>
        <w:tc>
          <w:tcPr>
            <w:tcW w:w="1175" w:type="pct"/>
            <w:vAlign w:val="center"/>
          </w:tcPr>
          <w:p w14:paraId="6F090165" w14:textId="77777777" w:rsidR="002E474C" w:rsidRDefault="00000000">
            <w:pPr>
              <w:pStyle w:val="A-"/>
            </w:pPr>
            <w:r>
              <w:t>噪声</w:t>
            </w:r>
          </w:p>
        </w:tc>
        <w:tc>
          <w:tcPr>
            <w:tcW w:w="1725" w:type="pct"/>
            <w:vMerge w:val="restart"/>
            <w:vAlign w:val="center"/>
          </w:tcPr>
          <w:p w14:paraId="4787649F" w14:textId="77777777" w:rsidR="002E474C" w:rsidRDefault="00000000">
            <w:pPr>
              <w:pStyle w:val="A-"/>
            </w:pPr>
            <w:r>
              <w:t>厂房隔声、基础减振等</w:t>
            </w:r>
          </w:p>
        </w:tc>
        <w:tc>
          <w:tcPr>
            <w:tcW w:w="449" w:type="pct"/>
            <w:vAlign w:val="center"/>
          </w:tcPr>
          <w:p w14:paraId="302BF504" w14:textId="77777777" w:rsidR="002E474C" w:rsidRDefault="00000000">
            <w:pPr>
              <w:pStyle w:val="A-"/>
            </w:pPr>
            <w:r>
              <w:t>间歇</w:t>
            </w:r>
          </w:p>
        </w:tc>
      </w:tr>
      <w:tr w:rsidR="002E474C" w14:paraId="12A7C81D" w14:textId="77777777">
        <w:tc>
          <w:tcPr>
            <w:tcW w:w="261" w:type="pct"/>
            <w:vMerge/>
            <w:vAlign w:val="center"/>
          </w:tcPr>
          <w:p w14:paraId="7B410327" w14:textId="77777777" w:rsidR="002E474C" w:rsidRDefault="002E474C">
            <w:pPr>
              <w:pStyle w:val="A-"/>
            </w:pPr>
          </w:p>
        </w:tc>
        <w:tc>
          <w:tcPr>
            <w:tcW w:w="289" w:type="pct"/>
            <w:vAlign w:val="center"/>
          </w:tcPr>
          <w:p w14:paraId="0822F18C" w14:textId="77777777" w:rsidR="002E474C" w:rsidRDefault="00000000">
            <w:pPr>
              <w:pStyle w:val="A-"/>
            </w:pPr>
            <w:r>
              <w:t>N2</w:t>
            </w:r>
          </w:p>
        </w:tc>
        <w:tc>
          <w:tcPr>
            <w:tcW w:w="1097" w:type="pct"/>
            <w:vAlign w:val="center"/>
          </w:tcPr>
          <w:p w14:paraId="3F993D6F" w14:textId="77777777" w:rsidR="002E474C" w:rsidRDefault="00000000">
            <w:pPr>
              <w:pStyle w:val="A-"/>
            </w:pPr>
            <w:r>
              <w:t>破碎机</w:t>
            </w:r>
          </w:p>
        </w:tc>
        <w:tc>
          <w:tcPr>
            <w:tcW w:w="1175" w:type="pct"/>
            <w:vAlign w:val="center"/>
          </w:tcPr>
          <w:p w14:paraId="74D6A04A" w14:textId="77777777" w:rsidR="002E474C" w:rsidRDefault="00000000">
            <w:pPr>
              <w:pStyle w:val="A-"/>
            </w:pPr>
            <w:r>
              <w:t>噪声</w:t>
            </w:r>
          </w:p>
        </w:tc>
        <w:tc>
          <w:tcPr>
            <w:tcW w:w="1725" w:type="pct"/>
            <w:vMerge/>
            <w:vAlign w:val="center"/>
          </w:tcPr>
          <w:p w14:paraId="68D03655" w14:textId="77777777" w:rsidR="002E474C" w:rsidRDefault="002E474C">
            <w:pPr>
              <w:pStyle w:val="A-"/>
            </w:pPr>
          </w:p>
        </w:tc>
        <w:tc>
          <w:tcPr>
            <w:tcW w:w="449" w:type="pct"/>
            <w:vAlign w:val="center"/>
          </w:tcPr>
          <w:p w14:paraId="16C15A09" w14:textId="77777777" w:rsidR="002E474C" w:rsidRDefault="00000000">
            <w:pPr>
              <w:pStyle w:val="A-"/>
            </w:pPr>
            <w:r>
              <w:t>间歇</w:t>
            </w:r>
          </w:p>
        </w:tc>
      </w:tr>
      <w:tr w:rsidR="002E474C" w14:paraId="42B73376" w14:textId="77777777">
        <w:tc>
          <w:tcPr>
            <w:tcW w:w="261" w:type="pct"/>
            <w:vMerge/>
            <w:vAlign w:val="center"/>
          </w:tcPr>
          <w:p w14:paraId="49B4C6E4" w14:textId="77777777" w:rsidR="002E474C" w:rsidRDefault="002E474C">
            <w:pPr>
              <w:pStyle w:val="A-"/>
            </w:pPr>
          </w:p>
        </w:tc>
        <w:tc>
          <w:tcPr>
            <w:tcW w:w="289" w:type="pct"/>
            <w:vAlign w:val="center"/>
          </w:tcPr>
          <w:p w14:paraId="373F082C" w14:textId="77777777" w:rsidR="002E474C" w:rsidRDefault="00000000">
            <w:pPr>
              <w:pStyle w:val="A-"/>
            </w:pPr>
            <w:r>
              <w:t>N3</w:t>
            </w:r>
          </w:p>
        </w:tc>
        <w:tc>
          <w:tcPr>
            <w:tcW w:w="1097" w:type="pct"/>
            <w:vAlign w:val="center"/>
          </w:tcPr>
          <w:p w14:paraId="082956AE" w14:textId="77777777" w:rsidR="002E474C" w:rsidRDefault="00000000">
            <w:pPr>
              <w:pStyle w:val="A-"/>
            </w:pPr>
            <w:r>
              <w:t>输送装置、喂料机</w:t>
            </w:r>
          </w:p>
        </w:tc>
        <w:tc>
          <w:tcPr>
            <w:tcW w:w="1175" w:type="pct"/>
            <w:vAlign w:val="center"/>
          </w:tcPr>
          <w:p w14:paraId="34EF0AC2" w14:textId="77777777" w:rsidR="002E474C" w:rsidRDefault="00000000">
            <w:pPr>
              <w:pStyle w:val="A-"/>
            </w:pPr>
            <w:r>
              <w:t>噪声</w:t>
            </w:r>
          </w:p>
        </w:tc>
        <w:tc>
          <w:tcPr>
            <w:tcW w:w="1725" w:type="pct"/>
            <w:vMerge/>
            <w:vAlign w:val="center"/>
          </w:tcPr>
          <w:p w14:paraId="517C7B22" w14:textId="77777777" w:rsidR="002E474C" w:rsidRDefault="002E474C">
            <w:pPr>
              <w:pStyle w:val="A-"/>
            </w:pPr>
          </w:p>
        </w:tc>
        <w:tc>
          <w:tcPr>
            <w:tcW w:w="449" w:type="pct"/>
            <w:vAlign w:val="center"/>
          </w:tcPr>
          <w:p w14:paraId="2F8CAC35" w14:textId="77777777" w:rsidR="002E474C" w:rsidRDefault="00000000">
            <w:pPr>
              <w:pStyle w:val="A-"/>
            </w:pPr>
            <w:r>
              <w:t>间歇</w:t>
            </w:r>
          </w:p>
        </w:tc>
      </w:tr>
      <w:tr w:rsidR="002E474C" w14:paraId="73DE7085" w14:textId="77777777">
        <w:tc>
          <w:tcPr>
            <w:tcW w:w="261" w:type="pct"/>
            <w:vMerge/>
            <w:vAlign w:val="center"/>
          </w:tcPr>
          <w:p w14:paraId="093E1747" w14:textId="77777777" w:rsidR="002E474C" w:rsidRDefault="002E474C">
            <w:pPr>
              <w:pStyle w:val="A-"/>
            </w:pPr>
          </w:p>
        </w:tc>
        <w:tc>
          <w:tcPr>
            <w:tcW w:w="289" w:type="pct"/>
            <w:vAlign w:val="center"/>
          </w:tcPr>
          <w:p w14:paraId="2E0FB75E" w14:textId="77777777" w:rsidR="002E474C" w:rsidRDefault="00000000">
            <w:pPr>
              <w:pStyle w:val="A-"/>
            </w:pPr>
            <w:r>
              <w:t>N4</w:t>
            </w:r>
          </w:p>
        </w:tc>
        <w:tc>
          <w:tcPr>
            <w:tcW w:w="1097" w:type="pct"/>
            <w:vAlign w:val="center"/>
          </w:tcPr>
          <w:p w14:paraId="2BFA49F2" w14:textId="77777777" w:rsidR="002E474C" w:rsidRDefault="00000000">
            <w:pPr>
              <w:pStyle w:val="A-"/>
            </w:pPr>
            <w:r>
              <w:t>各类机泵</w:t>
            </w:r>
          </w:p>
        </w:tc>
        <w:tc>
          <w:tcPr>
            <w:tcW w:w="1175" w:type="pct"/>
            <w:vAlign w:val="center"/>
          </w:tcPr>
          <w:p w14:paraId="3BF3969E" w14:textId="77777777" w:rsidR="002E474C" w:rsidRDefault="00000000">
            <w:pPr>
              <w:pStyle w:val="A-"/>
            </w:pPr>
            <w:r>
              <w:t>噪声</w:t>
            </w:r>
          </w:p>
        </w:tc>
        <w:tc>
          <w:tcPr>
            <w:tcW w:w="1725" w:type="pct"/>
            <w:vMerge/>
            <w:vAlign w:val="center"/>
          </w:tcPr>
          <w:p w14:paraId="0AE5ECBD" w14:textId="77777777" w:rsidR="002E474C" w:rsidRDefault="002E474C">
            <w:pPr>
              <w:pStyle w:val="A-"/>
            </w:pPr>
          </w:p>
        </w:tc>
        <w:tc>
          <w:tcPr>
            <w:tcW w:w="449" w:type="pct"/>
            <w:vAlign w:val="center"/>
          </w:tcPr>
          <w:p w14:paraId="31B7D11F" w14:textId="77777777" w:rsidR="002E474C" w:rsidRDefault="00000000">
            <w:pPr>
              <w:pStyle w:val="A-"/>
            </w:pPr>
            <w:r>
              <w:t>间歇</w:t>
            </w:r>
          </w:p>
        </w:tc>
      </w:tr>
      <w:tr w:rsidR="002E474C" w14:paraId="38D498CD" w14:textId="77777777">
        <w:tc>
          <w:tcPr>
            <w:tcW w:w="261" w:type="pct"/>
            <w:vMerge/>
            <w:vAlign w:val="center"/>
          </w:tcPr>
          <w:p w14:paraId="378F8B7D" w14:textId="77777777" w:rsidR="002E474C" w:rsidRDefault="002E474C">
            <w:pPr>
              <w:pStyle w:val="A-"/>
            </w:pPr>
          </w:p>
        </w:tc>
        <w:tc>
          <w:tcPr>
            <w:tcW w:w="289" w:type="pct"/>
            <w:vAlign w:val="center"/>
          </w:tcPr>
          <w:p w14:paraId="18E706EA" w14:textId="77777777" w:rsidR="002E474C" w:rsidRDefault="00000000">
            <w:pPr>
              <w:pStyle w:val="A-"/>
            </w:pPr>
            <w:r>
              <w:t>N5</w:t>
            </w:r>
          </w:p>
        </w:tc>
        <w:tc>
          <w:tcPr>
            <w:tcW w:w="1097" w:type="pct"/>
            <w:vAlign w:val="center"/>
          </w:tcPr>
          <w:p w14:paraId="720103F0" w14:textId="77777777" w:rsidR="002E474C" w:rsidRDefault="00000000">
            <w:pPr>
              <w:pStyle w:val="A-"/>
            </w:pPr>
            <w:r>
              <w:t>风机</w:t>
            </w:r>
          </w:p>
        </w:tc>
        <w:tc>
          <w:tcPr>
            <w:tcW w:w="1175" w:type="pct"/>
            <w:vAlign w:val="center"/>
          </w:tcPr>
          <w:p w14:paraId="2C011296" w14:textId="77777777" w:rsidR="002E474C" w:rsidRDefault="00000000">
            <w:pPr>
              <w:pStyle w:val="A-"/>
            </w:pPr>
            <w:r>
              <w:t>噪声</w:t>
            </w:r>
          </w:p>
        </w:tc>
        <w:tc>
          <w:tcPr>
            <w:tcW w:w="1725" w:type="pct"/>
            <w:vMerge/>
            <w:vAlign w:val="center"/>
          </w:tcPr>
          <w:p w14:paraId="4032DCD5" w14:textId="77777777" w:rsidR="002E474C" w:rsidRDefault="002E474C">
            <w:pPr>
              <w:pStyle w:val="A-"/>
            </w:pPr>
          </w:p>
        </w:tc>
        <w:tc>
          <w:tcPr>
            <w:tcW w:w="449" w:type="pct"/>
            <w:vAlign w:val="center"/>
          </w:tcPr>
          <w:p w14:paraId="7A4EB722" w14:textId="77777777" w:rsidR="002E474C" w:rsidRDefault="00000000">
            <w:pPr>
              <w:pStyle w:val="A-"/>
            </w:pPr>
            <w:r>
              <w:t>间歇</w:t>
            </w:r>
          </w:p>
        </w:tc>
      </w:tr>
      <w:bookmarkEnd w:id="179"/>
    </w:tbl>
    <w:p w14:paraId="4EF6B748" w14:textId="77777777" w:rsidR="002E474C" w:rsidRDefault="002E474C"/>
    <w:p w14:paraId="69E21195" w14:textId="77777777" w:rsidR="002E474C" w:rsidRDefault="00000000">
      <w:pPr>
        <w:pStyle w:val="31"/>
        <w:spacing w:before="120" w:after="120"/>
        <w:rPr>
          <w:color w:val="auto"/>
        </w:rPr>
      </w:pPr>
      <w:r>
        <w:rPr>
          <w:color w:val="auto"/>
        </w:rPr>
        <w:t>平衡分析</w:t>
      </w:r>
    </w:p>
    <w:p w14:paraId="20C96576" w14:textId="77777777" w:rsidR="002E474C" w:rsidRDefault="00000000">
      <w:pPr>
        <w:pStyle w:val="41"/>
        <w:rPr>
          <w:color w:val="auto"/>
        </w:rPr>
      </w:pPr>
      <w:r>
        <w:rPr>
          <w:color w:val="auto"/>
        </w:rPr>
        <w:t>物料平衡</w:t>
      </w:r>
    </w:p>
    <w:p w14:paraId="69461BA8" w14:textId="77777777" w:rsidR="002E474C" w:rsidRDefault="00000000">
      <w:pPr>
        <w:pStyle w:val="A-z"/>
        <w:rPr>
          <w:color w:val="auto"/>
          <w:lang w:val="en-US"/>
        </w:rPr>
      </w:pPr>
      <w:r>
        <w:rPr>
          <w:color w:val="auto"/>
        </w:rPr>
        <w:t>水泥窑协同处置危废前后熟料产能仍为</w:t>
      </w:r>
      <w:r>
        <w:rPr>
          <w:color w:val="auto"/>
        </w:rPr>
        <w:t>5000t/d</w:t>
      </w:r>
      <w:r>
        <w:rPr>
          <w:color w:val="auto"/>
        </w:rPr>
        <w:t>，产出熟料</w:t>
      </w:r>
      <w:r>
        <w:rPr>
          <w:color w:val="auto"/>
        </w:rPr>
        <w:t>150</w:t>
      </w:r>
      <w:r>
        <w:rPr>
          <w:color w:val="auto"/>
        </w:rPr>
        <w:t>万</w:t>
      </w:r>
      <w:r>
        <w:rPr>
          <w:color w:val="auto"/>
        </w:rPr>
        <w:t>t/a</w:t>
      </w:r>
      <w:r>
        <w:rPr>
          <w:color w:val="auto"/>
        </w:rPr>
        <w:t>。入窑原辅料配比与消耗量均按照圣雄水泥公司</w:t>
      </w:r>
      <w:r>
        <w:rPr>
          <w:color w:val="auto"/>
        </w:rPr>
        <w:t>2025</w:t>
      </w:r>
      <w:r>
        <w:rPr>
          <w:color w:val="auto"/>
        </w:rPr>
        <w:t>年生产台账</w:t>
      </w:r>
      <w:r>
        <w:rPr>
          <w:rFonts w:hint="eastAsia"/>
          <w:color w:val="auto"/>
        </w:rPr>
        <w:t>原辅材料</w:t>
      </w:r>
      <w:r>
        <w:rPr>
          <w:color w:val="auto"/>
        </w:rPr>
        <w:t>消耗与熟料产出情况</w:t>
      </w:r>
      <w:r>
        <w:rPr>
          <w:rFonts w:hint="eastAsia"/>
          <w:color w:val="auto"/>
        </w:rPr>
        <w:t>（</w:t>
      </w:r>
      <w:r>
        <w:rPr>
          <w:rFonts w:hint="eastAsia"/>
          <w:color w:val="auto"/>
        </w:rPr>
        <w:t>3.1.5</w:t>
      </w:r>
      <w:r>
        <w:rPr>
          <w:rFonts w:hint="eastAsia"/>
          <w:color w:val="auto"/>
        </w:rPr>
        <w:t>原辅材料消耗中的</w:t>
      </w:r>
      <w:r>
        <w:rPr>
          <w:color w:val="auto"/>
        </w:rPr>
        <w:t>原辅材料、燃料用量及配比情况一览</w:t>
      </w:r>
      <w:r>
        <w:rPr>
          <w:rFonts w:hint="eastAsia"/>
          <w:color w:val="auto"/>
        </w:rPr>
        <w:t>）</w:t>
      </w:r>
      <w:r>
        <w:rPr>
          <w:color w:val="auto"/>
        </w:rPr>
        <w:t>，结合《</w:t>
      </w:r>
      <w:bookmarkStart w:id="180" w:name="OLE_LINK72"/>
      <w:r>
        <w:rPr>
          <w:color w:val="auto"/>
        </w:rPr>
        <w:t>水泥回转窑热平衡、热效率、综合能耗计算方法》（</w:t>
      </w:r>
      <w:r>
        <w:rPr>
          <w:color w:val="auto"/>
        </w:rPr>
        <w:t>GB/T 26281</w:t>
      </w:r>
      <w:bookmarkEnd w:id="180"/>
      <w:r>
        <w:rPr>
          <w:color w:val="auto"/>
        </w:rPr>
        <w:t>-20</w:t>
      </w:r>
      <w:r>
        <w:rPr>
          <w:rFonts w:hint="eastAsia"/>
          <w:color w:val="auto"/>
        </w:rPr>
        <w:t>21</w:t>
      </w:r>
      <w:r>
        <w:rPr>
          <w:color w:val="auto"/>
        </w:rPr>
        <w:t>）折算为满负荷（熟料产量</w:t>
      </w:r>
      <w:r>
        <w:rPr>
          <w:color w:val="auto"/>
        </w:rPr>
        <w:t>150</w:t>
      </w:r>
      <w:r>
        <w:rPr>
          <w:color w:val="auto"/>
        </w:rPr>
        <w:t>万</w:t>
      </w:r>
      <w:r>
        <w:rPr>
          <w:color w:val="auto"/>
        </w:rPr>
        <w:t>t/a</w:t>
      </w:r>
      <w:r>
        <w:rPr>
          <w:color w:val="auto"/>
        </w:rPr>
        <w:t>）工况下的原料及燃料消耗</w:t>
      </w:r>
      <w:r>
        <w:rPr>
          <w:rFonts w:hint="eastAsia"/>
          <w:color w:val="auto"/>
        </w:rPr>
        <w:t>（</w:t>
      </w:r>
      <w:r>
        <w:rPr>
          <w:rFonts w:hint="eastAsia"/>
          <w:color w:val="auto"/>
        </w:rPr>
        <w:t>3.3.4</w:t>
      </w:r>
      <w:r>
        <w:rPr>
          <w:rFonts w:hint="eastAsia"/>
          <w:color w:val="auto"/>
        </w:rPr>
        <w:t>协同处置后的原辅材料及能耗消耗中的</w:t>
      </w:r>
      <w:r>
        <w:rPr>
          <w:color w:val="auto"/>
        </w:rPr>
        <w:t>本项目实施后水泥窑内物料</w:t>
      </w:r>
      <w:r>
        <w:rPr>
          <w:rFonts w:hint="eastAsia"/>
          <w:color w:val="auto"/>
        </w:rPr>
        <w:t>消耗</w:t>
      </w:r>
      <w:r>
        <w:rPr>
          <w:color w:val="auto"/>
        </w:rPr>
        <w:t>情况一览表</w:t>
      </w:r>
      <w:r>
        <w:rPr>
          <w:rFonts w:hint="eastAsia"/>
          <w:color w:val="auto"/>
        </w:rPr>
        <w:t>）</w:t>
      </w:r>
      <w:r>
        <w:rPr>
          <w:color w:val="auto"/>
        </w:rPr>
        <w:t>。物料平衡核算以厂内熟料烧成单元原料接收数据为基准消耗值，</w:t>
      </w:r>
      <w:r>
        <w:rPr>
          <w:color w:val="auto"/>
          <w:lang w:val="en-US"/>
        </w:rPr>
        <w:t>涵盖原料输送、破碎等预处理、煅烧、收尘等全环节，兼顾生产损耗（按行业常规</w:t>
      </w:r>
      <w:r>
        <w:rPr>
          <w:color w:val="auto"/>
          <w:lang w:val="en-US"/>
        </w:rPr>
        <w:t>≤0.5%</w:t>
      </w:r>
      <w:r>
        <w:rPr>
          <w:color w:val="auto"/>
          <w:lang w:val="en-US"/>
        </w:rPr>
        <w:t>设定）。</w:t>
      </w:r>
    </w:p>
    <w:p w14:paraId="419FFA49" w14:textId="33B25025" w:rsidR="002E474C" w:rsidRDefault="00000000">
      <w:pPr>
        <w:pStyle w:val="A-z"/>
        <w:rPr>
          <w:color w:val="auto"/>
          <w:lang w:val="en-US"/>
        </w:rPr>
      </w:pPr>
      <w:r>
        <w:rPr>
          <w:color w:val="auto"/>
          <w:lang w:val="en-US"/>
        </w:rPr>
        <w:t>系统空气量包括一次空气量、冷却机空气量、生料带入空气量、窑系统漏入空气量</w:t>
      </w:r>
      <w:r>
        <w:rPr>
          <w:rFonts w:hint="eastAsia"/>
          <w:color w:val="auto"/>
          <w:lang w:val="en-US"/>
        </w:rPr>
        <w:t>及其他物料带入量</w:t>
      </w:r>
      <w:r>
        <w:rPr>
          <w:color w:val="auto"/>
          <w:lang w:val="en-US"/>
        </w:rPr>
        <w:t>，</w:t>
      </w:r>
      <w:r w:rsidR="0053254D">
        <w:rPr>
          <w:rFonts w:hint="eastAsia"/>
          <w:color w:val="auto"/>
          <w:lang w:val="en-US"/>
        </w:rPr>
        <w:t>烟气带出废气量扣除入窑物料烧损后还包括</w:t>
      </w:r>
      <w:r>
        <w:rPr>
          <w:color w:val="auto"/>
          <w:lang w:val="en-US"/>
        </w:rPr>
        <w:t>预热器出口废气量、冷却机排出空气量、煤磨抽冷却机空气量等，</w:t>
      </w:r>
      <w:r w:rsidR="0053254D">
        <w:rPr>
          <w:rFonts w:hint="eastAsia"/>
          <w:color w:val="auto"/>
          <w:lang w:val="en-US"/>
        </w:rPr>
        <w:t>分别根据各风机参数计算进出窑空气质量。</w:t>
      </w:r>
    </w:p>
    <w:p w14:paraId="31519ED5" w14:textId="77777777" w:rsidR="002E474C" w:rsidRDefault="00000000">
      <w:pPr>
        <w:pStyle w:val="A-z"/>
        <w:rPr>
          <w:color w:val="auto"/>
        </w:rPr>
      </w:pPr>
      <w:r>
        <w:rPr>
          <w:color w:val="auto"/>
          <w:lang w:val="en-US"/>
        </w:rPr>
        <w:t>窑灰产生量计算根据</w:t>
      </w:r>
      <w:r>
        <w:rPr>
          <w:color w:val="auto"/>
        </w:rPr>
        <w:t>圣雄水泥公司</w:t>
      </w:r>
      <w:r>
        <w:rPr>
          <w:color w:val="auto"/>
        </w:rPr>
        <w:t>2025</w:t>
      </w:r>
      <w:r>
        <w:rPr>
          <w:color w:val="auto"/>
        </w:rPr>
        <w:t>年实际生产台账，结合在线监测数据中的烟气量、电袋除尘器的除尘效率及烟尘排放情况进行核算。协同处置项目</w:t>
      </w:r>
      <w:r>
        <w:rPr>
          <w:color w:val="auto"/>
        </w:rPr>
        <w:lastRenderedPageBreak/>
        <w:t>投运后，窑灰</w:t>
      </w:r>
      <w:r>
        <w:rPr>
          <w:color w:val="auto"/>
          <w:spacing w:val="-4"/>
        </w:rPr>
        <w:t>部分返回原料系统，部分按比例掺入熟料生产水泥</w:t>
      </w:r>
      <w:r>
        <w:rPr>
          <w:rFonts w:hint="eastAsia"/>
          <w:color w:val="auto"/>
        </w:rPr>
        <w:t>，物料平衡中窑灰按</w:t>
      </w:r>
      <w:r>
        <w:rPr>
          <w:rFonts w:hint="eastAsia"/>
          <w:color w:val="auto"/>
        </w:rPr>
        <w:t>90%</w:t>
      </w:r>
      <w:r>
        <w:rPr>
          <w:rFonts w:hint="eastAsia"/>
          <w:color w:val="auto"/>
        </w:rPr>
        <w:t>返回原料系统计。</w:t>
      </w:r>
    </w:p>
    <w:p w14:paraId="2BBFA9DB" w14:textId="77777777" w:rsidR="002E474C" w:rsidRDefault="00000000">
      <w:pPr>
        <w:pStyle w:val="A-z"/>
        <w:rPr>
          <w:color w:val="auto"/>
          <w:lang w:val="en-US"/>
        </w:rPr>
      </w:pPr>
      <w:r>
        <w:rPr>
          <w:rFonts w:hint="eastAsia"/>
          <w:color w:val="auto"/>
        </w:rPr>
        <w:t>本项目产生的车辆、容器及设备清洗废水</w:t>
      </w:r>
      <w:r>
        <w:rPr>
          <w:rFonts w:hint="eastAsia"/>
          <w:color w:val="auto"/>
        </w:rPr>
        <w:t>165t/a</w:t>
      </w:r>
      <w:r>
        <w:rPr>
          <w:rFonts w:hint="eastAsia"/>
          <w:color w:val="auto"/>
        </w:rPr>
        <w:t>及产生的危险废物</w:t>
      </w:r>
      <w:r>
        <w:rPr>
          <w:rFonts w:hint="eastAsia"/>
          <w:color w:val="auto"/>
        </w:rPr>
        <w:t>37.8t/a</w:t>
      </w:r>
      <w:r>
        <w:rPr>
          <w:rFonts w:hint="eastAsia"/>
          <w:color w:val="auto"/>
        </w:rPr>
        <w:t>返回回转窑处置。</w:t>
      </w:r>
    </w:p>
    <w:p w14:paraId="234722D4" w14:textId="77777777" w:rsidR="002E474C" w:rsidRDefault="00000000">
      <w:pPr>
        <w:pStyle w:val="A-z"/>
        <w:rPr>
          <w:color w:val="auto"/>
          <w:lang w:val="en-US"/>
        </w:rPr>
      </w:pPr>
      <w:r>
        <w:rPr>
          <w:color w:val="auto"/>
          <w:lang w:val="en-US"/>
        </w:rPr>
        <w:t>部分</w:t>
      </w:r>
      <w:r>
        <w:rPr>
          <w:color w:val="auto"/>
        </w:rPr>
        <w:t>危废</w:t>
      </w:r>
      <w:r>
        <w:rPr>
          <w:color w:val="auto"/>
          <w:lang w:val="en-US"/>
        </w:rPr>
        <w:t>含有钙、硅、铝、铁等水泥熟料合成所需的无机组分</w:t>
      </w:r>
      <w:r>
        <w:rPr>
          <w:color w:val="auto"/>
        </w:rPr>
        <w:t>可替代部分原料，根据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w:t>
      </w:r>
      <w:r>
        <w:rPr>
          <w:color w:val="auto"/>
        </w:rPr>
        <w:t>协同处置危废约可替代</w:t>
      </w:r>
      <w:r>
        <w:rPr>
          <w:rFonts w:hint="eastAsia"/>
          <w:color w:val="auto"/>
        </w:rPr>
        <w:t>页岩、硅石、铁矿粉等</w:t>
      </w:r>
      <w:r>
        <w:rPr>
          <w:color w:val="auto"/>
        </w:rPr>
        <w:t>原料约</w:t>
      </w:r>
      <w:r>
        <w:rPr>
          <w:color w:val="auto"/>
        </w:rPr>
        <w:t>14371t/a</w:t>
      </w:r>
      <w:r>
        <w:rPr>
          <w:color w:val="auto"/>
        </w:rPr>
        <w:t>。危废中的可燃类别具有一定热值</w:t>
      </w:r>
      <w:r>
        <w:rPr>
          <w:rFonts w:hint="eastAsia"/>
          <w:color w:val="auto"/>
        </w:rPr>
        <w:t>，</w:t>
      </w:r>
      <w:r>
        <w:rPr>
          <w:color w:val="auto"/>
        </w:rPr>
        <w:t>可替代部分</w:t>
      </w:r>
      <w:r>
        <w:rPr>
          <w:rFonts w:hint="eastAsia"/>
          <w:color w:val="auto"/>
        </w:rPr>
        <w:t>沫煤</w:t>
      </w:r>
      <w:r>
        <w:rPr>
          <w:color w:val="auto"/>
        </w:rPr>
        <w:t>，</w:t>
      </w:r>
      <w:r>
        <w:rPr>
          <w:color w:val="auto"/>
          <w:lang w:val="en-US"/>
        </w:rPr>
        <w:t>经测算，项目处置危废带入热值约</w:t>
      </w:r>
      <w:r>
        <w:rPr>
          <w:color w:val="auto"/>
          <w:lang w:val="en-US"/>
        </w:rPr>
        <w:t>93663</w:t>
      </w:r>
      <w:r>
        <w:rPr>
          <w:rFonts w:hint="eastAsia"/>
          <w:color w:val="auto"/>
          <w:lang w:val="en-US"/>
        </w:rPr>
        <w:t>.</w:t>
      </w:r>
      <w:r>
        <w:rPr>
          <w:color w:val="auto"/>
          <w:lang w:val="en-US"/>
        </w:rPr>
        <w:t>83456</w:t>
      </w:r>
      <w:r>
        <w:rPr>
          <w:rFonts w:hint="eastAsia"/>
          <w:color w:val="auto"/>
          <w:lang w:val="en-US"/>
        </w:rPr>
        <w:t>G</w:t>
      </w:r>
      <w:r>
        <w:rPr>
          <w:color w:val="auto"/>
          <w:lang w:val="en-US"/>
        </w:rPr>
        <w:t>J</w:t>
      </w:r>
      <w:r>
        <w:rPr>
          <w:color w:val="auto"/>
          <w:lang w:val="en-US"/>
        </w:rPr>
        <w:t>，约可替代标煤</w:t>
      </w:r>
      <w:r>
        <w:rPr>
          <w:color w:val="auto"/>
          <w:lang w:val="en-US"/>
        </w:rPr>
        <w:t>3196t/a</w:t>
      </w:r>
      <w:r>
        <w:rPr>
          <w:color w:val="auto"/>
          <w:lang w:val="en-US"/>
        </w:rPr>
        <w:t>，折原煤约</w:t>
      </w:r>
      <w:r>
        <w:rPr>
          <w:color w:val="auto"/>
          <w:lang w:val="en-US"/>
        </w:rPr>
        <w:t>4474t/a</w:t>
      </w:r>
      <w:r>
        <w:rPr>
          <w:color w:val="auto"/>
          <w:lang w:val="en-US"/>
        </w:rPr>
        <w:t>。考虑到协同处置危废所需热量消耗，物料平衡中未核算危废在水泥窑焚烧过程中替代原煤的消耗量。</w:t>
      </w:r>
    </w:p>
    <w:p w14:paraId="7ABB0480" w14:textId="77777777" w:rsidR="002E474C" w:rsidRDefault="00000000">
      <w:pPr>
        <w:pStyle w:val="41"/>
        <w:rPr>
          <w:color w:val="auto"/>
        </w:rPr>
      </w:pPr>
      <w:r>
        <w:rPr>
          <w:color w:val="auto"/>
        </w:rPr>
        <w:t>重金属平衡</w:t>
      </w:r>
    </w:p>
    <w:p w14:paraId="73A8ABD7" w14:textId="77777777" w:rsidR="002E474C" w:rsidRDefault="00000000">
      <w:pPr>
        <w:pStyle w:val="A-z"/>
        <w:rPr>
          <w:color w:val="auto"/>
        </w:rPr>
      </w:pPr>
      <w:r>
        <w:rPr>
          <w:color w:val="auto"/>
        </w:rPr>
        <w:t>重金属在水泥窑的高温条件下，流向主要有三个方面：进入烟气、进入熟料、进入窑灰。窑灰</w:t>
      </w:r>
      <w:r>
        <w:rPr>
          <w:color w:val="auto"/>
          <w:spacing w:val="-4"/>
        </w:rPr>
        <w:t>部分返回原料系统，部分掺入熟料生产水泥</w:t>
      </w:r>
      <w:r>
        <w:rPr>
          <w:color w:val="auto"/>
        </w:rPr>
        <w:t>，同时严格控制其掺加比例，确保水泥产品中的氯、碱、硫含量满足要求，水泥产品环境安全性满足相关标准的要求。本评价考虑最不利情况下重金属排放系数取《</w:t>
      </w:r>
      <w:r>
        <w:rPr>
          <w:color w:val="auto"/>
        </w:rPr>
        <w:t>&lt;</w:t>
      </w:r>
      <w:r>
        <w:rPr>
          <w:color w:val="auto"/>
        </w:rPr>
        <w:t>水泥窑协同处置固体废物污染控制标准</w:t>
      </w:r>
      <w:r>
        <w:rPr>
          <w:color w:val="auto"/>
        </w:rPr>
        <w:t>&gt;</w:t>
      </w:r>
      <w:r>
        <w:rPr>
          <w:color w:val="auto"/>
        </w:rPr>
        <w:t>编制说明》中的上限值。</w:t>
      </w:r>
    </w:p>
    <w:p w14:paraId="1081295C" w14:textId="77777777" w:rsidR="002E474C" w:rsidRDefault="00000000">
      <w:pPr>
        <w:pStyle w:val="A-z"/>
        <w:rPr>
          <w:color w:val="auto"/>
        </w:rPr>
      </w:pPr>
      <w:r>
        <w:rPr>
          <w:rFonts w:hint="eastAsia"/>
          <w:color w:val="auto"/>
        </w:rPr>
        <w:t>根据</w:t>
      </w:r>
      <w:r>
        <w:rPr>
          <w:color w:val="auto"/>
        </w:rPr>
        <w:t>《</w:t>
      </w:r>
      <w:r>
        <w:rPr>
          <w:color w:val="auto"/>
        </w:rPr>
        <w:t>&lt;</w:t>
      </w:r>
      <w:r>
        <w:rPr>
          <w:color w:val="auto"/>
        </w:rPr>
        <w:t>水泥窑协同处置固体废物污染控制标准</w:t>
      </w:r>
      <w:r>
        <w:rPr>
          <w:color w:val="auto"/>
        </w:rPr>
        <w:t>&gt;</w:t>
      </w:r>
      <w:r>
        <w:rPr>
          <w:color w:val="auto"/>
        </w:rPr>
        <w:t>编制说明》</w:t>
      </w:r>
      <w:r>
        <w:rPr>
          <w:rFonts w:hint="eastAsia"/>
          <w:color w:val="auto"/>
        </w:rPr>
        <w:t>，</w:t>
      </w:r>
      <w:r>
        <w:rPr>
          <w:rFonts w:hint="eastAsia"/>
          <w:color w:val="auto"/>
          <w:lang w:val="en-US"/>
        </w:rPr>
        <w:t>Hg</w:t>
      </w:r>
      <w:r>
        <w:rPr>
          <w:rFonts w:hint="eastAsia"/>
          <w:color w:val="auto"/>
          <w:lang w:val="en-US"/>
        </w:rPr>
        <w:t>属于高挥发元素，在约</w:t>
      </w:r>
      <w:r>
        <w:rPr>
          <w:rFonts w:hint="eastAsia"/>
          <w:color w:val="auto"/>
          <w:lang w:val="en-US"/>
        </w:rPr>
        <w:t>100</w:t>
      </w:r>
      <w:r>
        <w:rPr>
          <w:rFonts w:hint="eastAsia"/>
          <w:color w:val="auto"/>
          <w:lang w:val="en-US"/>
        </w:rPr>
        <w:t>℃温度下完全蒸发，所以不会结合在熟料中，在预热器系统内不能冷凝和分离出来，主要是凝结在窑灰上或随窑废气带走形成外循环和排放，</w:t>
      </w:r>
      <w:r>
        <w:rPr>
          <w:color w:val="auto"/>
        </w:rPr>
        <w:t>不带入熟料。</w:t>
      </w:r>
      <w:r>
        <w:rPr>
          <w:rFonts w:hint="eastAsia"/>
          <w:color w:val="auto"/>
          <w:lang w:val="en-US"/>
        </w:rPr>
        <w:t>在悬浮预热器窑上，</w:t>
      </w:r>
      <w:r>
        <w:rPr>
          <w:rFonts w:hint="eastAsia"/>
          <w:color w:val="auto"/>
          <w:lang w:val="en-US"/>
        </w:rPr>
        <w:t>130</w:t>
      </w:r>
      <w:r>
        <w:rPr>
          <w:rFonts w:hint="eastAsia"/>
          <w:color w:val="auto"/>
          <w:lang w:val="en-US"/>
        </w:rPr>
        <w:t>℃时</w:t>
      </w:r>
      <w:r>
        <w:rPr>
          <w:rFonts w:hint="eastAsia"/>
          <w:color w:val="auto"/>
          <w:lang w:val="en-US"/>
        </w:rPr>
        <w:t>Hg</w:t>
      </w:r>
      <w:r>
        <w:rPr>
          <w:rFonts w:hint="eastAsia"/>
          <w:color w:val="auto"/>
          <w:lang w:val="en-US"/>
        </w:rPr>
        <w:t>通过凝结在窑灰上的分离率可达约</w:t>
      </w:r>
      <w:r>
        <w:rPr>
          <w:rFonts w:hint="eastAsia"/>
          <w:color w:val="auto"/>
          <w:lang w:val="en-US"/>
        </w:rPr>
        <w:t>90%</w:t>
      </w:r>
      <w:r>
        <w:rPr>
          <w:rFonts w:hint="eastAsia"/>
          <w:color w:val="auto"/>
          <w:lang w:val="en-US"/>
        </w:rPr>
        <w:t>。</w:t>
      </w:r>
    </w:p>
    <w:p w14:paraId="062154BB" w14:textId="0576A4F3" w:rsidR="002E474C" w:rsidRDefault="00000000" w:rsidP="00BD6279">
      <w:pPr>
        <w:pStyle w:val="A-z"/>
      </w:pPr>
      <w:r>
        <w:rPr>
          <w:color w:val="auto"/>
        </w:rPr>
        <w:t>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危险废物成分分析中的危废成分汇总表计算本项目危险废物投料带入水泥窑的</w:t>
      </w:r>
      <w:r>
        <w:rPr>
          <w:color w:val="auto"/>
        </w:rPr>
        <w:t>重金属量，重金属大部分进入熟料，少量排至大气。</w:t>
      </w:r>
    </w:p>
    <w:p w14:paraId="47BC4A4C" w14:textId="77777777" w:rsidR="002E474C" w:rsidRDefault="00000000">
      <w:pPr>
        <w:pStyle w:val="41"/>
        <w:rPr>
          <w:color w:val="auto"/>
        </w:rPr>
      </w:pPr>
      <w:r>
        <w:rPr>
          <w:color w:val="auto"/>
        </w:rPr>
        <w:t>硫、氟、氯平衡</w:t>
      </w:r>
    </w:p>
    <w:p w14:paraId="1D7B2093" w14:textId="77777777" w:rsidR="002E474C" w:rsidRDefault="00000000">
      <w:pPr>
        <w:pStyle w:val="A-z"/>
        <w:rPr>
          <w:color w:val="auto"/>
        </w:rPr>
      </w:pPr>
      <w:r>
        <w:rPr>
          <w:rFonts w:hint="eastAsia"/>
          <w:color w:val="auto"/>
        </w:rPr>
        <w:t>圣雄水泥公司</w:t>
      </w:r>
      <w:r>
        <w:rPr>
          <w:rFonts w:hint="eastAsia"/>
          <w:color w:val="auto"/>
        </w:rPr>
        <w:t>5000t/d</w:t>
      </w:r>
      <w:r>
        <w:rPr>
          <w:color w:val="auto"/>
        </w:rPr>
        <w:t>电石渣干法水泥生产线</w:t>
      </w:r>
      <w:r>
        <w:rPr>
          <w:rFonts w:hint="eastAsia"/>
          <w:color w:val="auto"/>
        </w:rPr>
        <w:t>的</w:t>
      </w:r>
      <w:r>
        <w:rPr>
          <w:color w:val="auto"/>
        </w:rPr>
        <w:t>原辅材料中硫、氟、氯元素含量主要来自圣雄水泥公司入厂原料检测单，未检测原料及元素含量部分引用其</w:t>
      </w:r>
      <w:r>
        <w:rPr>
          <w:color w:val="auto"/>
        </w:rPr>
        <w:lastRenderedPageBreak/>
        <w:t>他水泥生产企业、建材生产企业原辅材料检测报告</w:t>
      </w:r>
      <w:r>
        <w:rPr>
          <w:rFonts w:hint="eastAsia"/>
          <w:color w:val="auto"/>
        </w:rPr>
        <w:t>或</w:t>
      </w:r>
      <w:r>
        <w:rPr>
          <w:color w:val="auto"/>
        </w:rPr>
        <w:t>废渣检测报告，部分引用同类新型干法水泥生产线环境影响报告书及《新疆水泥行业原辅材料元素含量背景值手册》（新疆环境科学研究院，</w:t>
      </w:r>
      <w:r>
        <w:rPr>
          <w:color w:val="auto"/>
        </w:rPr>
        <w:t>2024</w:t>
      </w:r>
      <w:r>
        <w:rPr>
          <w:color w:val="auto"/>
        </w:rPr>
        <w:t>年），另有部分引自《新型干法水泥生产原料及燃料特性手册》（中国建材工业出版社，</w:t>
      </w:r>
      <w:r>
        <w:rPr>
          <w:color w:val="auto"/>
        </w:rPr>
        <w:t>2023</w:t>
      </w:r>
      <w:r>
        <w:rPr>
          <w:color w:val="auto"/>
        </w:rPr>
        <w:t>年版）、《水泥窑协同处置固体废物技术指南》（生态环境部环境工程评估中心，</w:t>
      </w:r>
      <w:r>
        <w:rPr>
          <w:color w:val="auto"/>
        </w:rPr>
        <w:t>2022</w:t>
      </w:r>
      <w:r>
        <w:rPr>
          <w:color w:val="auto"/>
        </w:rPr>
        <w:t>年发布）等文献的常见固体废物元素含量参考值。以上引用数据用于补充各类原料元素含量的区域典型值，确保数据符合新疆本地原料特性。</w:t>
      </w:r>
    </w:p>
    <w:p w14:paraId="777F40FD" w14:textId="77777777" w:rsidR="002E474C" w:rsidRDefault="00000000">
      <w:pPr>
        <w:pStyle w:val="A-z"/>
        <w:rPr>
          <w:color w:val="auto"/>
        </w:rPr>
      </w:pPr>
      <w:r>
        <w:rPr>
          <w:rFonts w:hint="eastAsia"/>
          <w:color w:val="auto"/>
        </w:rPr>
        <w:t>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危险废物成分分析中的危废成分汇总表计算，本项目投加物料中的硫元素总计</w:t>
      </w:r>
      <w:r>
        <w:rPr>
          <w:rFonts w:hint="eastAsia"/>
          <w:color w:val="auto"/>
        </w:rPr>
        <w:t>577.23t/a</w:t>
      </w:r>
      <w:r>
        <w:rPr>
          <w:rFonts w:hint="eastAsia"/>
          <w:color w:val="auto"/>
        </w:rPr>
        <w:t>，投加量为</w:t>
      </w:r>
      <w:r>
        <w:rPr>
          <w:rFonts w:hint="eastAsia"/>
          <w:color w:val="auto"/>
        </w:rPr>
        <w:t>384.82</w:t>
      </w:r>
      <w:r>
        <w:rPr>
          <w:color w:val="auto"/>
        </w:rPr>
        <w:t>mg/kg-cli</w:t>
      </w:r>
      <w:r>
        <w:rPr>
          <w:rFonts w:hint="eastAsia"/>
          <w:color w:val="auto"/>
        </w:rPr>
        <w:t>。常规原料一般取硫化物硫与有机硫含量约占配料系统物料中全硫的</w:t>
      </w:r>
      <w:r>
        <w:rPr>
          <w:rFonts w:hint="eastAsia"/>
          <w:color w:val="auto"/>
        </w:rPr>
        <w:t>5%</w:t>
      </w:r>
      <w:r>
        <w:rPr>
          <w:rFonts w:ascii="宋体" w:eastAsia="宋体" w:hAnsi="宋体" w:hint="eastAsia"/>
          <w:color w:val="auto"/>
        </w:rPr>
        <w:t>～</w:t>
      </w:r>
      <w:r>
        <w:rPr>
          <w:rFonts w:hint="eastAsia"/>
          <w:color w:val="auto"/>
        </w:rPr>
        <w:t>10%</w:t>
      </w:r>
      <w:r>
        <w:rPr>
          <w:rFonts w:hint="eastAsia"/>
          <w:color w:val="auto"/>
        </w:rPr>
        <w:t>，</w:t>
      </w:r>
      <w:r>
        <w:rPr>
          <w:rFonts w:hint="eastAsia"/>
          <w:color w:val="auto"/>
          <w:lang w:val="en-US"/>
        </w:rPr>
        <w:t>取保守值</w:t>
      </w:r>
      <w:r>
        <w:rPr>
          <w:rFonts w:hint="eastAsia"/>
          <w:color w:val="auto"/>
          <w:lang w:val="en-US"/>
        </w:rPr>
        <w:t>10%</w:t>
      </w:r>
      <w:r>
        <w:rPr>
          <w:rFonts w:hint="eastAsia"/>
          <w:color w:val="auto"/>
          <w:lang w:val="en-US"/>
        </w:rPr>
        <w:t>，本项目</w:t>
      </w:r>
      <w:r>
        <w:rPr>
          <w:rFonts w:hint="eastAsia"/>
          <w:color w:val="auto"/>
        </w:rPr>
        <w:t>硫化物硫与有机硫总含量为</w:t>
      </w:r>
      <w:r>
        <w:rPr>
          <w:color w:val="auto"/>
        </w:rPr>
        <w:t>0.00</w:t>
      </w:r>
      <w:r>
        <w:rPr>
          <w:rFonts w:hint="eastAsia"/>
          <w:color w:val="auto"/>
        </w:rPr>
        <w:t>7</w:t>
      </w:r>
      <w:r>
        <w:rPr>
          <w:color w:val="auto"/>
        </w:rPr>
        <w:t>%</w:t>
      </w:r>
      <w:r>
        <w:rPr>
          <w:color w:val="auto"/>
        </w:rPr>
        <w:t>；</w:t>
      </w:r>
      <w:r>
        <w:rPr>
          <w:rFonts w:hint="eastAsia"/>
          <w:color w:val="auto"/>
        </w:rPr>
        <w:t>常规原料一般取硫酸盐硫含量约占配料系统物料中全硫的</w:t>
      </w:r>
      <w:r>
        <w:rPr>
          <w:rFonts w:hint="eastAsia"/>
          <w:color w:val="auto"/>
        </w:rPr>
        <w:t>90%</w:t>
      </w:r>
      <w:r>
        <w:rPr>
          <w:rFonts w:ascii="宋体" w:eastAsia="宋体" w:hAnsi="宋体" w:hint="eastAsia"/>
          <w:color w:val="auto"/>
        </w:rPr>
        <w:t>～</w:t>
      </w:r>
      <w:r>
        <w:rPr>
          <w:rFonts w:hint="eastAsia"/>
          <w:color w:val="auto"/>
        </w:rPr>
        <w:t>95%</w:t>
      </w:r>
      <w:r>
        <w:rPr>
          <w:rFonts w:hint="eastAsia"/>
          <w:color w:val="auto"/>
        </w:rPr>
        <w:t>，</w:t>
      </w:r>
      <w:r>
        <w:rPr>
          <w:rFonts w:hint="eastAsia"/>
          <w:color w:val="auto"/>
          <w:lang w:val="en-US"/>
        </w:rPr>
        <w:t>取保守值</w:t>
      </w:r>
      <w:r>
        <w:rPr>
          <w:rFonts w:hint="eastAsia"/>
          <w:color w:val="auto"/>
          <w:lang w:val="en-US"/>
        </w:rPr>
        <w:t>95%</w:t>
      </w:r>
      <w:r>
        <w:rPr>
          <w:rFonts w:hint="eastAsia"/>
          <w:color w:val="auto"/>
          <w:lang w:val="en-US"/>
        </w:rPr>
        <w:t>，</w:t>
      </w:r>
      <w:r>
        <w:rPr>
          <w:color w:val="auto"/>
        </w:rPr>
        <w:t>从窑头、窑尾高温区投加的全硫与配料系统投加的硫酸盐硫总投加量为</w:t>
      </w:r>
      <w:r>
        <w:rPr>
          <w:rFonts w:hint="eastAsia"/>
          <w:color w:val="auto"/>
        </w:rPr>
        <w:t>750.399</w:t>
      </w:r>
      <w:r>
        <w:rPr>
          <w:color w:val="auto"/>
        </w:rPr>
        <w:t>mg/kg-cli</w:t>
      </w:r>
      <w:r>
        <w:rPr>
          <w:color w:val="auto"/>
        </w:rPr>
        <w:t>。由平衡分析可知，入窑物料中氟元素含量</w:t>
      </w:r>
      <w:r>
        <w:rPr>
          <w:color w:val="auto"/>
        </w:rPr>
        <w:t>0.012%</w:t>
      </w:r>
      <w:r>
        <w:rPr>
          <w:color w:val="auto"/>
        </w:rPr>
        <w:t>，氯元素含量为</w:t>
      </w:r>
      <w:r>
        <w:rPr>
          <w:color w:val="auto"/>
        </w:rPr>
        <w:t>0.030%</w:t>
      </w:r>
      <w:r>
        <w:rPr>
          <w:rFonts w:hint="eastAsia"/>
          <w:color w:val="auto"/>
        </w:rPr>
        <w:t>。综上分析，本项目危险废物投料</w:t>
      </w:r>
      <w:r>
        <w:rPr>
          <w:color w:val="auto"/>
        </w:rPr>
        <w:t>满足《水泥窑协同处置固体废物环境保护技术规范》（</w:t>
      </w:r>
      <w:r>
        <w:rPr>
          <w:color w:val="auto"/>
        </w:rPr>
        <w:t>HJ 662-2013</w:t>
      </w:r>
      <w:r>
        <w:rPr>
          <w:color w:val="auto"/>
        </w:rPr>
        <w:t>）中</w:t>
      </w:r>
      <w:r>
        <w:rPr>
          <w:color w:val="auto"/>
        </w:rPr>
        <w:t>“</w:t>
      </w:r>
      <w:r>
        <w:rPr>
          <w:color w:val="auto"/>
        </w:rPr>
        <w:t>从窑头、窑尾高温区投加的全硫与配料系统投加的硫酸盐硫总投加量不应大于</w:t>
      </w:r>
      <w:r>
        <w:rPr>
          <w:color w:val="auto"/>
        </w:rPr>
        <w:t>3000mg/kg-cli</w:t>
      </w:r>
      <w:r>
        <w:rPr>
          <w:color w:val="auto"/>
        </w:rPr>
        <w:t>。</w:t>
      </w:r>
      <w:r>
        <w:rPr>
          <w:color w:val="auto"/>
        </w:rPr>
        <w:t>”</w:t>
      </w:r>
      <w:r>
        <w:rPr>
          <w:color w:val="auto"/>
        </w:rPr>
        <w:t>和</w:t>
      </w:r>
      <w:r>
        <w:rPr>
          <w:color w:val="auto"/>
        </w:rPr>
        <w:t>“</w:t>
      </w:r>
      <w:r>
        <w:rPr>
          <w:color w:val="auto"/>
        </w:rPr>
        <w:t>入窑物料中氟元素含量不应大于</w:t>
      </w:r>
      <w:r>
        <w:rPr>
          <w:color w:val="auto"/>
        </w:rPr>
        <w:t>0.5</w:t>
      </w:r>
      <w:r>
        <w:rPr>
          <w:rFonts w:hint="eastAsia"/>
          <w:color w:val="auto"/>
          <w:lang w:val="en-US"/>
        </w:rPr>
        <w:t>%</w:t>
      </w:r>
      <w:r>
        <w:rPr>
          <w:color w:val="auto"/>
        </w:rPr>
        <w:t>，氯元素含量不应大于</w:t>
      </w:r>
      <w:r>
        <w:rPr>
          <w:color w:val="auto"/>
        </w:rPr>
        <w:t>0.04</w:t>
      </w:r>
      <w:r>
        <w:rPr>
          <w:rFonts w:hint="eastAsia"/>
          <w:color w:val="auto"/>
          <w:lang w:val="en-US"/>
        </w:rPr>
        <w:t>%</w:t>
      </w:r>
      <w:r>
        <w:rPr>
          <w:color w:val="auto"/>
        </w:rPr>
        <w:t>”</w:t>
      </w:r>
      <w:r>
        <w:rPr>
          <w:color w:val="auto"/>
        </w:rPr>
        <w:t>的规定。</w:t>
      </w:r>
    </w:p>
    <w:p w14:paraId="7FE9C82E" w14:textId="77777777" w:rsidR="002E474C" w:rsidRDefault="00000000">
      <w:pPr>
        <w:pStyle w:val="31"/>
        <w:spacing w:before="120" w:after="120"/>
        <w:rPr>
          <w:color w:val="auto"/>
        </w:rPr>
      </w:pPr>
      <w:r>
        <w:rPr>
          <w:color w:val="auto"/>
        </w:rPr>
        <w:t>污染源源强核算</w:t>
      </w:r>
    </w:p>
    <w:p w14:paraId="46B181AD" w14:textId="77777777" w:rsidR="002E474C" w:rsidRDefault="00000000">
      <w:pPr>
        <w:pStyle w:val="41"/>
        <w:rPr>
          <w:color w:val="auto"/>
        </w:rPr>
      </w:pPr>
      <w:r>
        <w:rPr>
          <w:color w:val="auto"/>
        </w:rPr>
        <w:t>废气污染源源强核算</w:t>
      </w:r>
    </w:p>
    <w:p w14:paraId="22C89228" w14:textId="77777777" w:rsidR="002E474C" w:rsidRDefault="00000000">
      <w:pPr>
        <w:pStyle w:val="A-z"/>
        <w:rPr>
          <w:color w:val="auto"/>
        </w:rPr>
      </w:pPr>
      <w:r>
        <w:rPr>
          <w:color w:val="auto"/>
        </w:rPr>
        <w:t>（</w:t>
      </w:r>
      <w:r>
        <w:rPr>
          <w:color w:val="auto"/>
        </w:rPr>
        <w:t>1</w:t>
      </w:r>
      <w:r>
        <w:rPr>
          <w:color w:val="auto"/>
        </w:rPr>
        <w:t>）大气污染源分析</w:t>
      </w:r>
    </w:p>
    <w:p w14:paraId="039BC6E0" w14:textId="77777777" w:rsidR="002E474C" w:rsidRDefault="00000000">
      <w:pPr>
        <w:pStyle w:val="A-z"/>
        <w:rPr>
          <w:color w:val="auto"/>
        </w:rPr>
      </w:pPr>
      <w:r>
        <w:rPr>
          <w:color w:val="auto"/>
        </w:rPr>
        <w:t>利用水泥窑协同处置危险废物，产生废气的污染源项包括：</w:t>
      </w:r>
    </w:p>
    <w:p w14:paraId="0A2937A6" w14:textId="77777777" w:rsidR="002E474C" w:rsidRDefault="00000000">
      <w:pPr>
        <w:pStyle w:val="A-z"/>
        <w:rPr>
          <w:color w:val="auto"/>
        </w:rPr>
      </w:pPr>
      <w:r>
        <w:rPr>
          <w:color w:val="auto"/>
        </w:rPr>
        <w:t>1</w:t>
      </w:r>
      <w:r>
        <w:rPr>
          <w:color w:val="auto"/>
        </w:rPr>
        <w:t>）危废贮存废气（</w:t>
      </w:r>
      <w:r>
        <w:rPr>
          <w:color w:val="auto"/>
        </w:rPr>
        <w:t>G1</w:t>
      </w:r>
      <w:r>
        <w:rPr>
          <w:color w:val="auto"/>
        </w:rPr>
        <w:t>）</w:t>
      </w:r>
    </w:p>
    <w:p w14:paraId="6A489E97" w14:textId="77777777" w:rsidR="002E474C" w:rsidRDefault="00000000">
      <w:pPr>
        <w:pStyle w:val="A-z"/>
        <w:rPr>
          <w:color w:val="auto"/>
        </w:rPr>
      </w:pPr>
      <w:r>
        <w:rPr>
          <w:color w:val="auto"/>
        </w:rPr>
        <w:t>固态危废预处理车间内单独设置破碎间，采用集气罩收集含尘废气，经布袋除尘器处理后，废气在固态危废预处理车间内无组织排放。考虑到破碎间在固态危废预处理车间内独立设置，且采用集气罩</w:t>
      </w:r>
      <w:r>
        <w:rPr>
          <w:color w:val="auto"/>
        </w:rPr>
        <w:t>+</w:t>
      </w:r>
      <w:r>
        <w:rPr>
          <w:color w:val="auto"/>
        </w:rPr>
        <w:t>布袋除尘器处理，除尘后的废气颗粒物含量很低，</w:t>
      </w:r>
      <w:r>
        <w:rPr>
          <w:rFonts w:hint="eastAsia"/>
          <w:color w:val="auto"/>
        </w:rPr>
        <w:t>再经</w:t>
      </w:r>
      <w:r>
        <w:rPr>
          <w:color w:val="auto"/>
        </w:rPr>
        <w:t>固态危废预处理车间与危废贮存库</w:t>
      </w:r>
      <w:r>
        <w:rPr>
          <w:rFonts w:hint="eastAsia"/>
          <w:color w:val="auto"/>
        </w:rPr>
        <w:t>负压系统收集处理。因此，危废贮存废气</w:t>
      </w:r>
      <w:r>
        <w:rPr>
          <w:color w:val="auto"/>
        </w:rPr>
        <w:t>不考虑颗粒物。</w:t>
      </w:r>
    </w:p>
    <w:p w14:paraId="7EF8E509" w14:textId="77777777" w:rsidR="002E474C" w:rsidRDefault="00000000">
      <w:pPr>
        <w:pStyle w:val="A-z"/>
        <w:rPr>
          <w:color w:val="auto"/>
        </w:rPr>
      </w:pPr>
      <w:r>
        <w:rPr>
          <w:color w:val="auto"/>
        </w:rPr>
        <w:t>固态危废预处理车间与危废贮存库均为封闭式结构，二者共用一套负压集气</w:t>
      </w:r>
      <w:r>
        <w:rPr>
          <w:color w:val="auto"/>
        </w:rPr>
        <w:lastRenderedPageBreak/>
        <w:t>处理系统，排放废气中主要污染物为非甲烷总烃、</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等。废气经负压收集后采用两级活性炭吸附处理达标后，通过</w:t>
      </w:r>
      <w:r>
        <w:rPr>
          <w:color w:val="auto"/>
        </w:rPr>
        <w:t>15m</w:t>
      </w:r>
      <w:r>
        <w:rPr>
          <w:color w:val="auto"/>
        </w:rPr>
        <w:t>排气筒排空。</w:t>
      </w:r>
    </w:p>
    <w:p w14:paraId="2D7796D6" w14:textId="77777777" w:rsidR="002E474C" w:rsidRDefault="00000000">
      <w:pPr>
        <w:pStyle w:val="A-z"/>
        <w:rPr>
          <w:color w:val="auto"/>
        </w:rPr>
      </w:pPr>
      <w:r>
        <w:rPr>
          <w:color w:val="auto"/>
        </w:rPr>
        <w:t>2</w:t>
      </w:r>
      <w:r>
        <w:rPr>
          <w:color w:val="auto"/>
        </w:rPr>
        <w:t>）回转窑窑尾（</w:t>
      </w:r>
      <w:r>
        <w:rPr>
          <w:color w:val="auto"/>
        </w:rPr>
        <w:t>G2</w:t>
      </w:r>
      <w:r>
        <w:rPr>
          <w:color w:val="auto"/>
        </w:rPr>
        <w:t>）</w:t>
      </w:r>
    </w:p>
    <w:p w14:paraId="5FE2604A" w14:textId="77777777" w:rsidR="002E474C" w:rsidRDefault="00000000">
      <w:pPr>
        <w:pStyle w:val="A-z"/>
        <w:ind w:firstLine="456"/>
        <w:rPr>
          <w:color w:val="auto"/>
          <w:spacing w:val="-6"/>
        </w:rPr>
      </w:pPr>
      <w:r>
        <w:rPr>
          <w:color w:val="auto"/>
          <w:spacing w:val="-6"/>
        </w:rPr>
        <w:t>回转窑窑尾烟气排气筒作为协同处置危险废物的主要污染源项，其排放主要污染物包括烟尘、</w:t>
      </w:r>
      <w:r>
        <w:rPr>
          <w:color w:val="auto"/>
          <w:spacing w:val="-6"/>
        </w:rPr>
        <w:t>SO</w:t>
      </w:r>
      <w:r>
        <w:rPr>
          <w:color w:val="auto"/>
          <w:spacing w:val="-6"/>
          <w:vertAlign w:val="subscript"/>
        </w:rPr>
        <w:t>2</w:t>
      </w:r>
      <w:r>
        <w:rPr>
          <w:color w:val="auto"/>
          <w:spacing w:val="-6"/>
        </w:rPr>
        <w:t>、</w:t>
      </w:r>
      <w:r>
        <w:rPr>
          <w:color w:val="auto"/>
          <w:spacing w:val="-6"/>
        </w:rPr>
        <w:t>NOx</w:t>
      </w:r>
      <w:r>
        <w:rPr>
          <w:color w:val="auto"/>
          <w:spacing w:val="-6"/>
        </w:rPr>
        <w:t>、</w:t>
      </w:r>
      <w:r>
        <w:rPr>
          <w:color w:val="auto"/>
          <w:spacing w:val="-6"/>
        </w:rPr>
        <w:t>HCl</w:t>
      </w:r>
      <w:r>
        <w:rPr>
          <w:color w:val="auto"/>
          <w:spacing w:val="-6"/>
        </w:rPr>
        <w:t>、</w:t>
      </w:r>
      <w:r>
        <w:rPr>
          <w:color w:val="auto"/>
          <w:spacing w:val="-6"/>
        </w:rPr>
        <w:t>HF</w:t>
      </w:r>
      <w:r>
        <w:rPr>
          <w:color w:val="auto"/>
          <w:spacing w:val="-6"/>
        </w:rPr>
        <w:t>、重金属、二噁英类等。主要防治措施为</w:t>
      </w:r>
      <w:r>
        <w:rPr>
          <w:color w:val="auto"/>
          <w:spacing w:val="-6"/>
        </w:rPr>
        <w:t>SNCR+SCR+</w:t>
      </w:r>
      <w:r>
        <w:rPr>
          <w:color w:val="auto"/>
          <w:spacing w:val="-6"/>
        </w:rPr>
        <w:t>增湿塔（急冷）</w:t>
      </w:r>
      <w:r>
        <w:rPr>
          <w:color w:val="auto"/>
          <w:spacing w:val="-6"/>
        </w:rPr>
        <w:t>+</w:t>
      </w:r>
      <w:r>
        <w:rPr>
          <w:color w:val="auto"/>
          <w:spacing w:val="-6"/>
        </w:rPr>
        <w:t>电袋除尘器，处理达标的废气通过</w:t>
      </w:r>
      <w:r>
        <w:rPr>
          <w:color w:val="auto"/>
          <w:spacing w:val="-6"/>
        </w:rPr>
        <w:t>85m</w:t>
      </w:r>
      <w:r>
        <w:rPr>
          <w:color w:val="auto"/>
          <w:spacing w:val="-6"/>
        </w:rPr>
        <w:t>烟囱排放。</w:t>
      </w:r>
    </w:p>
    <w:p w14:paraId="0A94DAD7" w14:textId="77777777" w:rsidR="002E474C" w:rsidRDefault="00000000">
      <w:pPr>
        <w:pStyle w:val="A-z"/>
        <w:rPr>
          <w:color w:val="auto"/>
        </w:rPr>
      </w:pPr>
      <w:r>
        <w:rPr>
          <w:color w:val="auto"/>
        </w:rPr>
        <w:t>（</w:t>
      </w:r>
      <w:r>
        <w:rPr>
          <w:color w:val="auto"/>
        </w:rPr>
        <w:t>2</w:t>
      </w:r>
      <w:r>
        <w:rPr>
          <w:color w:val="auto"/>
        </w:rPr>
        <w:t>）废气源强确定依据</w:t>
      </w:r>
    </w:p>
    <w:p w14:paraId="0B9C296C" w14:textId="77777777" w:rsidR="002E474C" w:rsidRDefault="00000000">
      <w:pPr>
        <w:pStyle w:val="A-z"/>
        <w:rPr>
          <w:color w:val="auto"/>
        </w:rPr>
      </w:pPr>
      <w:r>
        <w:rPr>
          <w:color w:val="auto"/>
        </w:rPr>
        <w:t>本项目污染物产生及排放源强确定主要依据：</w:t>
      </w:r>
    </w:p>
    <w:p w14:paraId="00EDDA5F" w14:textId="77777777" w:rsidR="002E474C" w:rsidRDefault="00000000">
      <w:pPr>
        <w:pStyle w:val="A-z"/>
        <w:rPr>
          <w:color w:val="auto"/>
        </w:rPr>
      </w:pPr>
      <w:r>
        <w:rPr>
          <w:color w:val="auto"/>
        </w:rPr>
        <w:t>1</w:t>
      </w:r>
      <w:r>
        <w:rPr>
          <w:color w:val="auto"/>
        </w:rPr>
        <w:t>）有关水泥窑协同处置危险废物标准及规范要求；</w:t>
      </w:r>
    </w:p>
    <w:p w14:paraId="3FDF2296" w14:textId="77777777" w:rsidR="002E474C" w:rsidRDefault="00000000">
      <w:pPr>
        <w:pStyle w:val="A-z"/>
        <w:rPr>
          <w:color w:val="auto"/>
        </w:rPr>
      </w:pPr>
      <w:r>
        <w:rPr>
          <w:color w:val="auto"/>
        </w:rPr>
        <w:t>2</w:t>
      </w:r>
      <w:r>
        <w:rPr>
          <w:color w:val="auto"/>
        </w:rPr>
        <w:t>）类比与本项目采用相同生产工艺、设备的水泥行业企业污染物产生及排放统计数据；</w:t>
      </w:r>
    </w:p>
    <w:p w14:paraId="6E3EB78C" w14:textId="77777777" w:rsidR="002E474C" w:rsidRDefault="00000000">
      <w:pPr>
        <w:pStyle w:val="A-z"/>
        <w:rPr>
          <w:color w:val="auto"/>
        </w:rPr>
      </w:pPr>
      <w:bookmarkStart w:id="181" w:name="_Hlk151319115"/>
      <w:r>
        <w:rPr>
          <w:color w:val="auto"/>
        </w:rPr>
        <w:t>3</w:t>
      </w:r>
      <w:r>
        <w:rPr>
          <w:color w:val="auto"/>
        </w:rPr>
        <w:t>）类比吉木萨尔协同处置项目现场监测数据</w:t>
      </w:r>
      <w:bookmarkEnd w:id="181"/>
      <w:r>
        <w:rPr>
          <w:color w:val="auto"/>
        </w:rPr>
        <w:t>；</w:t>
      </w:r>
    </w:p>
    <w:p w14:paraId="7714601B" w14:textId="77777777" w:rsidR="002E474C" w:rsidRDefault="00000000">
      <w:pPr>
        <w:pStyle w:val="A-z"/>
        <w:rPr>
          <w:color w:val="auto"/>
        </w:rPr>
      </w:pPr>
      <w:r>
        <w:rPr>
          <w:color w:val="auto"/>
        </w:rPr>
        <w:t>4</w:t>
      </w:r>
      <w:r>
        <w:rPr>
          <w:color w:val="auto"/>
        </w:rPr>
        <w:t>）物料衡算。</w:t>
      </w:r>
    </w:p>
    <w:p w14:paraId="3A1EA0C5" w14:textId="77777777" w:rsidR="002E474C" w:rsidRDefault="00000000">
      <w:pPr>
        <w:pStyle w:val="A-z"/>
        <w:rPr>
          <w:color w:val="auto"/>
        </w:rPr>
      </w:pPr>
      <w:bookmarkStart w:id="182" w:name="_Hlk151315351"/>
      <w:r>
        <w:rPr>
          <w:rFonts w:hint="eastAsia"/>
          <w:color w:val="auto"/>
        </w:rPr>
        <w:t>主要类比项目情况：</w:t>
      </w:r>
    </w:p>
    <w:p w14:paraId="1F6D9D4A" w14:textId="77777777" w:rsidR="002E474C" w:rsidRDefault="00000000">
      <w:pPr>
        <w:pStyle w:val="A-z"/>
        <w:rPr>
          <w:color w:val="auto"/>
        </w:rPr>
      </w:pPr>
      <w:r>
        <w:rPr>
          <w:color w:val="auto"/>
        </w:rPr>
        <w:t>吉木萨尔协同处置项目现有</w:t>
      </w:r>
      <w:r>
        <w:rPr>
          <w:color w:val="auto"/>
        </w:rPr>
        <w:t>3000t/d</w:t>
      </w:r>
      <w:r>
        <w:rPr>
          <w:color w:val="auto"/>
        </w:rPr>
        <w:t>新型干法水泥生产线协同处置</w:t>
      </w:r>
      <w:r>
        <w:rPr>
          <w:color w:val="auto"/>
        </w:rPr>
        <w:t>10</w:t>
      </w:r>
      <w:r>
        <w:rPr>
          <w:color w:val="auto"/>
        </w:rPr>
        <w:t>万</w:t>
      </w:r>
      <w:r>
        <w:rPr>
          <w:color w:val="auto"/>
        </w:rPr>
        <w:t>t/a</w:t>
      </w:r>
      <w:r>
        <w:rPr>
          <w:color w:val="auto"/>
        </w:rPr>
        <w:t>工业危险废物，其中液态工业危险废物</w:t>
      </w:r>
      <w:r>
        <w:rPr>
          <w:color w:val="auto"/>
        </w:rPr>
        <w:t>2.0</w:t>
      </w:r>
      <w:r>
        <w:rPr>
          <w:color w:val="auto"/>
        </w:rPr>
        <w:t>万</w:t>
      </w:r>
      <w:r>
        <w:rPr>
          <w:color w:val="auto"/>
        </w:rPr>
        <w:t>t/a</w:t>
      </w:r>
      <w:r>
        <w:rPr>
          <w:color w:val="auto"/>
        </w:rPr>
        <w:t>；固态工业危险废物</w:t>
      </w:r>
      <w:r>
        <w:rPr>
          <w:color w:val="auto"/>
        </w:rPr>
        <w:t>3.0</w:t>
      </w:r>
      <w:r>
        <w:rPr>
          <w:color w:val="auto"/>
        </w:rPr>
        <w:t>万</w:t>
      </w:r>
      <w:r>
        <w:rPr>
          <w:color w:val="auto"/>
        </w:rPr>
        <w:t>t/a</w:t>
      </w:r>
      <w:r>
        <w:rPr>
          <w:color w:val="auto"/>
        </w:rPr>
        <w:t>；半固态工业危险废物</w:t>
      </w:r>
      <w:r>
        <w:rPr>
          <w:color w:val="auto"/>
        </w:rPr>
        <w:t>5.0</w:t>
      </w:r>
      <w:r>
        <w:rPr>
          <w:color w:val="auto"/>
        </w:rPr>
        <w:t>万</w:t>
      </w:r>
      <w:r>
        <w:rPr>
          <w:color w:val="auto"/>
        </w:rPr>
        <w:t>t/a</w:t>
      </w:r>
      <w:r>
        <w:rPr>
          <w:color w:val="auto"/>
        </w:rPr>
        <w:t>。</w:t>
      </w:r>
      <w:r>
        <w:rPr>
          <w:rFonts w:hint="eastAsia"/>
          <w:color w:val="auto"/>
        </w:rPr>
        <w:t>预处理中心危废联合贮存库储存危险废物</w:t>
      </w:r>
      <w:r>
        <w:rPr>
          <w:rFonts w:hint="eastAsia"/>
          <w:color w:val="auto"/>
        </w:rPr>
        <w:t>10</w:t>
      </w:r>
      <w:r>
        <w:rPr>
          <w:rFonts w:hint="eastAsia"/>
          <w:color w:val="auto"/>
        </w:rPr>
        <w:t>万</w:t>
      </w:r>
      <w:r>
        <w:rPr>
          <w:rFonts w:hint="eastAsia"/>
          <w:color w:val="auto"/>
        </w:rPr>
        <w:t>t/a</w:t>
      </w:r>
      <w:r>
        <w:rPr>
          <w:rFonts w:hint="eastAsia"/>
          <w:color w:val="auto"/>
        </w:rPr>
        <w:t>，年运行时长</w:t>
      </w:r>
      <w:r>
        <w:rPr>
          <w:rFonts w:hint="eastAsia"/>
          <w:color w:val="auto"/>
        </w:rPr>
        <w:t>7200h</w:t>
      </w:r>
      <w:r>
        <w:rPr>
          <w:rFonts w:hint="eastAsia"/>
          <w:color w:val="auto"/>
        </w:rPr>
        <w:t>。</w:t>
      </w:r>
    </w:p>
    <w:p w14:paraId="4B37F227" w14:textId="77777777" w:rsidR="002E474C" w:rsidRDefault="00000000">
      <w:pPr>
        <w:pStyle w:val="A-z"/>
        <w:rPr>
          <w:color w:val="auto"/>
        </w:rPr>
      </w:pPr>
      <w:r>
        <w:rPr>
          <w:color w:val="auto"/>
        </w:rPr>
        <w:t>类比项目水泥窑为</w:t>
      </w:r>
      <w:r>
        <w:rPr>
          <w:color w:val="auto"/>
        </w:rPr>
        <w:t>3000t/d</w:t>
      </w:r>
      <w:r>
        <w:rPr>
          <w:color w:val="auto"/>
        </w:rPr>
        <w:t>新型干法水泥生产线，危险废物处置规模</w:t>
      </w:r>
      <w:r>
        <w:rPr>
          <w:rFonts w:hint="eastAsia"/>
          <w:color w:val="auto"/>
        </w:rPr>
        <w:t>为</w:t>
      </w:r>
      <w:r>
        <w:rPr>
          <w:rFonts w:hint="eastAsia"/>
          <w:color w:val="auto"/>
        </w:rPr>
        <w:t>10</w:t>
      </w:r>
      <w:r>
        <w:rPr>
          <w:rFonts w:hint="eastAsia"/>
          <w:color w:val="auto"/>
        </w:rPr>
        <w:t>万</w:t>
      </w:r>
      <w:r>
        <w:rPr>
          <w:rFonts w:hint="eastAsia"/>
          <w:color w:val="auto"/>
        </w:rPr>
        <w:t>t/a</w:t>
      </w:r>
      <w:r>
        <w:rPr>
          <w:rFonts w:hint="eastAsia"/>
          <w:color w:val="auto"/>
        </w:rPr>
        <w:t>，</w:t>
      </w:r>
      <w:r>
        <w:rPr>
          <w:color w:val="auto"/>
        </w:rPr>
        <w:t>本项目</w:t>
      </w:r>
      <w:r>
        <w:rPr>
          <w:color w:val="auto"/>
        </w:rPr>
        <w:t>5000t/d</w:t>
      </w:r>
      <w:r>
        <w:rPr>
          <w:color w:val="auto"/>
        </w:rPr>
        <w:t>电石渣干法水泥生产线危险废物处置规模</w:t>
      </w:r>
      <w:r>
        <w:rPr>
          <w:rFonts w:hint="eastAsia"/>
          <w:color w:val="auto"/>
        </w:rPr>
        <w:t>为</w:t>
      </w:r>
      <w:r>
        <w:rPr>
          <w:rFonts w:hint="eastAsia"/>
          <w:color w:val="auto"/>
        </w:rPr>
        <w:t>5</w:t>
      </w:r>
      <w:r>
        <w:rPr>
          <w:rFonts w:hint="eastAsia"/>
          <w:color w:val="auto"/>
        </w:rPr>
        <w:t>万</w:t>
      </w:r>
      <w:r>
        <w:rPr>
          <w:rFonts w:hint="eastAsia"/>
          <w:color w:val="auto"/>
        </w:rPr>
        <w:t>t/a</w:t>
      </w:r>
      <w:r>
        <w:rPr>
          <w:rFonts w:hint="eastAsia"/>
          <w:color w:val="auto"/>
        </w:rPr>
        <w:t>，危废</w:t>
      </w:r>
      <w:r>
        <w:rPr>
          <w:color w:val="auto"/>
        </w:rPr>
        <w:t>处置类别及编号与本项目</w:t>
      </w:r>
      <w:r>
        <w:rPr>
          <w:rFonts w:hint="eastAsia"/>
          <w:color w:val="auto"/>
        </w:rPr>
        <w:t>相似。</w:t>
      </w:r>
      <w:r>
        <w:rPr>
          <w:color w:val="auto"/>
        </w:rPr>
        <w:t>类比项目窑尾烟气采用</w:t>
      </w:r>
      <w:r>
        <w:rPr>
          <w:color w:val="auto"/>
        </w:rPr>
        <w:t>SNCR+</w:t>
      </w:r>
      <w:r>
        <w:rPr>
          <w:color w:val="auto"/>
        </w:rPr>
        <w:t>增湿塔</w:t>
      </w:r>
      <w:r>
        <w:rPr>
          <w:color w:val="auto"/>
        </w:rPr>
        <w:t>+</w:t>
      </w:r>
      <w:r>
        <w:rPr>
          <w:color w:val="auto"/>
        </w:rPr>
        <w:t>电袋除尘</w:t>
      </w:r>
      <w:r>
        <w:rPr>
          <w:color w:val="auto"/>
        </w:rPr>
        <w:t>”</w:t>
      </w:r>
      <w:r>
        <w:rPr>
          <w:color w:val="auto"/>
        </w:rPr>
        <w:t>净化后通过烟囱排放，和</w:t>
      </w:r>
      <w:r>
        <w:rPr>
          <w:rFonts w:hint="eastAsia"/>
          <w:color w:val="auto"/>
        </w:rPr>
        <w:t>圣雄水泥公司现状</w:t>
      </w:r>
      <w:r>
        <w:rPr>
          <w:color w:val="auto"/>
        </w:rPr>
        <w:t>窑尾烟气采用的</w:t>
      </w:r>
      <w:r>
        <w:rPr>
          <w:color w:val="auto"/>
        </w:rPr>
        <w:t>“SNCR+</w:t>
      </w:r>
      <w:r>
        <w:rPr>
          <w:color w:val="auto"/>
        </w:rPr>
        <w:t>增湿塔（急冷）</w:t>
      </w:r>
      <w:r>
        <w:rPr>
          <w:color w:val="auto"/>
        </w:rPr>
        <w:t>+</w:t>
      </w:r>
      <w:r>
        <w:rPr>
          <w:color w:val="auto"/>
        </w:rPr>
        <w:t>电袋除尘</w:t>
      </w:r>
      <w:r>
        <w:rPr>
          <w:color w:val="auto"/>
        </w:rPr>
        <w:t>”</w:t>
      </w:r>
      <w:r>
        <w:rPr>
          <w:color w:val="auto"/>
        </w:rPr>
        <w:t>相</w:t>
      </w:r>
      <w:r>
        <w:rPr>
          <w:rFonts w:hint="eastAsia"/>
          <w:color w:val="auto"/>
        </w:rPr>
        <w:t>同。</w:t>
      </w:r>
      <w:r>
        <w:rPr>
          <w:color w:val="auto"/>
        </w:rPr>
        <w:t>类比项目危废</w:t>
      </w:r>
      <w:r>
        <w:rPr>
          <w:rFonts w:hint="eastAsia"/>
          <w:color w:val="auto"/>
        </w:rPr>
        <w:t>联合</w:t>
      </w:r>
      <w:r>
        <w:rPr>
          <w:color w:val="auto"/>
        </w:rPr>
        <w:t>贮存库</w:t>
      </w:r>
      <w:r>
        <w:rPr>
          <w:rFonts w:hint="eastAsia"/>
          <w:color w:val="auto"/>
        </w:rPr>
        <w:t>与本项目危废贮存库均为密闭式结构，设负压系统收集贮存废气，运行时间均为</w:t>
      </w:r>
      <w:r>
        <w:rPr>
          <w:rFonts w:hint="eastAsia"/>
          <w:color w:val="auto"/>
        </w:rPr>
        <w:t>7200h/a</w:t>
      </w:r>
      <w:r>
        <w:rPr>
          <w:rFonts w:hint="eastAsia"/>
          <w:color w:val="auto"/>
        </w:rPr>
        <w:t>。正常工况送水泥窑焚烧，</w:t>
      </w:r>
      <w:r>
        <w:rPr>
          <w:color w:val="auto"/>
        </w:rPr>
        <w:t>在停窑期间的</w:t>
      </w:r>
      <w:r>
        <w:rPr>
          <w:rFonts w:hint="eastAsia"/>
          <w:color w:val="auto"/>
        </w:rPr>
        <w:t>贮存</w:t>
      </w:r>
      <w:r>
        <w:rPr>
          <w:color w:val="auto"/>
        </w:rPr>
        <w:t>废气采用</w:t>
      </w:r>
      <w:r>
        <w:rPr>
          <w:rFonts w:hint="eastAsia"/>
          <w:color w:val="auto"/>
        </w:rPr>
        <w:t>“</w:t>
      </w:r>
      <w:r>
        <w:rPr>
          <w:color w:val="auto"/>
        </w:rPr>
        <w:t>低温等离子</w:t>
      </w:r>
      <w:r>
        <w:rPr>
          <w:color w:val="auto"/>
        </w:rPr>
        <w:t>+</w:t>
      </w:r>
      <w:r>
        <w:rPr>
          <w:color w:val="auto"/>
        </w:rPr>
        <w:t>活性炭吸附</w:t>
      </w:r>
      <w:r>
        <w:rPr>
          <w:rFonts w:hint="eastAsia"/>
          <w:color w:val="auto"/>
        </w:rPr>
        <w:t>”</w:t>
      </w:r>
      <w:r>
        <w:rPr>
          <w:color w:val="auto"/>
        </w:rPr>
        <w:t>处理</w:t>
      </w:r>
      <w:r>
        <w:rPr>
          <w:rFonts w:hint="eastAsia"/>
          <w:color w:val="auto"/>
        </w:rPr>
        <w:t>，</w:t>
      </w:r>
      <w:r>
        <w:rPr>
          <w:color w:val="auto"/>
        </w:rPr>
        <w:t>本项目采用两级活性炭吸附</w:t>
      </w:r>
      <w:r>
        <w:rPr>
          <w:rFonts w:hint="eastAsia"/>
          <w:color w:val="auto"/>
        </w:rPr>
        <w:t>处理</w:t>
      </w:r>
      <w:r>
        <w:rPr>
          <w:color w:val="auto"/>
        </w:rPr>
        <w:t>，对有机废气与臭气具有相似的</w:t>
      </w:r>
      <w:r>
        <w:rPr>
          <w:rFonts w:hint="eastAsia"/>
          <w:color w:val="auto"/>
        </w:rPr>
        <w:t>去除</w:t>
      </w:r>
      <w:r>
        <w:rPr>
          <w:color w:val="auto"/>
        </w:rPr>
        <w:t>效率，具有</w:t>
      </w:r>
      <w:r>
        <w:rPr>
          <w:rFonts w:hint="eastAsia"/>
          <w:color w:val="auto"/>
        </w:rPr>
        <w:t>可类比性</w:t>
      </w:r>
      <w:r>
        <w:rPr>
          <w:color w:val="auto"/>
        </w:rPr>
        <w:t>。</w:t>
      </w:r>
      <w:bookmarkEnd w:id="182"/>
    </w:p>
    <w:p w14:paraId="24646D2C" w14:textId="77777777" w:rsidR="002E474C" w:rsidRDefault="00000000">
      <w:pPr>
        <w:pStyle w:val="A-z"/>
        <w:rPr>
          <w:color w:val="auto"/>
        </w:rPr>
      </w:pPr>
      <w:r>
        <w:rPr>
          <w:color w:val="auto"/>
        </w:rPr>
        <w:t>类比项目协同处置危废前的</w:t>
      </w:r>
      <w:r>
        <w:rPr>
          <w:rFonts w:hint="eastAsia"/>
          <w:color w:val="auto"/>
        </w:rPr>
        <w:t>窑尾烟气</w:t>
      </w:r>
      <w:r>
        <w:rPr>
          <w:color w:val="auto"/>
        </w:rPr>
        <w:t>污染物排放数据来自新疆中建西部建设水泥制造有限公司水泥生产线</w:t>
      </w:r>
      <w:r>
        <w:rPr>
          <w:color w:val="auto"/>
        </w:rPr>
        <w:t>2018</w:t>
      </w:r>
      <w:r>
        <w:rPr>
          <w:color w:val="auto"/>
        </w:rPr>
        <w:t>、</w:t>
      </w:r>
      <w:r>
        <w:rPr>
          <w:color w:val="auto"/>
        </w:rPr>
        <w:t>2019</w:t>
      </w:r>
      <w:r>
        <w:rPr>
          <w:color w:val="auto"/>
        </w:rPr>
        <w:t>年自行监测及在线监测报告，协同处置危废后的</w:t>
      </w:r>
      <w:r>
        <w:rPr>
          <w:rFonts w:hint="eastAsia"/>
          <w:color w:val="auto"/>
        </w:rPr>
        <w:t>窑尾烟气</w:t>
      </w:r>
      <w:r>
        <w:rPr>
          <w:color w:val="auto"/>
        </w:rPr>
        <w:t>污染物排放数据来自</w:t>
      </w:r>
      <w:r>
        <w:rPr>
          <w:bCs/>
          <w:color w:val="auto"/>
          <w:lang w:val="en-US"/>
        </w:rPr>
        <w:t>新疆中建西部建设水泥制造有限公司</w:t>
      </w:r>
      <w:r>
        <w:rPr>
          <w:rFonts w:hint="eastAsia"/>
          <w:bCs/>
          <w:color w:val="auto"/>
          <w:lang w:val="en-US"/>
        </w:rPr>
        <w:t>2023</w:t>
      </w:r>
      <w:r>
        <w:rPr>
          <w:color w:val="auto"/>
        </w:rPr>
        <w:t>年自行监测报告</w:t>
      </w:r>
      <w:r>
        <w:rPr>
          <w:bCs/>
          <w:color w:val="auto"/>
        </w:rPr>
        <w:t>。</w:t>
      </w:r>
      <w:r>
        <w:rPr>
          <w:color w:val="auto"/>
        </w:rPr>
        <w:t>危废贮存库</w:t>
      </w:r>
      <w:r>
        <w:rPr>
          <w:rFonts w:hint="eastAsia"/>
          <w:color w:val="auto"/>
        </w:rPr>
        <w:t>废气</w:t>
      </w:r>
      <w:r>
        <w:rPr>
          <w:color w:val="auto"/>
        </w:rPr>
        <w:t>污染物排放数据来自</w:t>
      </w:r>
      <w:r>
        <w:rPr>
          <w:bCs/>
          <w:color w:val="auto"/>
          <w:lang w:val="en-US"/>
        </w:rPr>
        <w:t>中建合资公司利</w:t>
      </w:r>
      <w:r>
        <w:rPr>
          <w:bCs/>
          <w:color w:val="auto"/>
          <w:lang w:val="en-US"/>
        </w:rPr>
        <w:lastRenderedPageBreak/>
        <w:t>用</w:t>
      </w:r>
      <w:bookmarkStart w:id="183" w:name="OLE_LINK42"/>
      <w:r>
        <w:rPr>
          <w:bCs/>
          <w:color w:val="auto"/>
          <w:lang w:val="en-US"/>
        </w:rPr>
        <w:t>新疆中建西部建设水泥制造有限公司</w:t>
      </w:r>
      <w:bookmarkEnd w:id="183"/>
      <w:r>
        <w:rPr>
          <w:bCs/>
          <w:color w:val="auto"/>
          <w:lang w:val="en-US"/>
        </w:rPr>
        <w:t>水泥窑协同处置危险废物项目</w:t>
      </w:r>
      <w:r>
        <w:rPr>
          <w:color w:val="auto"/>
        </w:rPr>
        <w:t>2025</w:t>
      </w:r>
      <w:r>
        <w:rPr>
          <w:color w:val="auto"/>
        </w:rPr>
        <w:t>年自行监测报告</w:t>
      </w:r>
      <w:r>
        <w:rPr>
          <w:bCs/>
          <w:color w:val="auto"/>
        </w:rPr>
        <w:t>。</w:t>
      </w:r>
      <w:r>
        <w:rPr>
          <w:color w:val="auto"/>
        </w:rPr>
        <w:t>类比项目在协同处置危险废物前后的废气监测结果，见表</w:t>
      </w:r>
      <w:r>
        <w:rPr>
          <w:color w:val="auto"/>
        </w:rPr>
        <w:t>3.5-11</w:t>
      </w:r>
      <w:r>
        <w:rPr>
          <w:color w:val="auto"/>
        </w:rPr>
        <w:t>、表</w:t>
      </w:r>
      <w:r>
        <w:rPr>
          <w:color w:val="auto"/>
        </w:rPr>
        <w:t>3.5-12</w:t>
      </w:r>
      <w:r>
        <w:rPr>
          <w:color w:val="auto"/>
        </w:rPr>
        <w:t>。</w:t>
      </w:r>
    </w:p>
    <w:p w14:paraId="3BBCFFBC" w14:textId="77777777" w:rsidR="002E474C" w:rsidRDefault="00000000">
      <w:pPr>
        <w:pStyle w:val="A--"/>
        <w:rPr>
          <w:color w:val="auto"/>
        </w:rPr>
      </w:pPr>
      <w:bookmarkStart w:id="184" w:name="_Ref151299755"/>
      <w:bookmarkStart w:id="185" w:name="_Ref151299733"/>
      <w:r>
        <w:rPr>
          <w:color w:val="auto"/>
        </w:rPr>
        <w:t>表</w:t>
      </w:r>
      <w:bookmarkEnd w:id="184"/>
      <w:r>
        <w:rPr>
          <w:color w:val="auto"/>
        </w:rPr>
        <w:t xml:space="preserve">3.5-11  </w:t>
      </w:r>
      <w:r>
        <w:rPr>
          <w:color w:val="auto"/>
        </w:rPr>
        <w:t>类比项目窑尾排气筒监测数据一览表</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2"/>
        <w:gridCol w:w="1687"/>
        <w:gridCol w:w="1663"/>
        <w:gridCol w:w="2635"/>
        <w:gridCol w:w="1259"/>
      </w:tblGrid>
      <w:tr w:rsidR="002E474C" w14:paraId="129D4032" w14:textId="77777777">
        <w:trPr>
          <w:trHeight w:val="201"/>
        </w:trPr>
        <w:tc>
          <w:tcPr>
            <w:tcW w:w="1651" w:type="pct"/>
            <w:gridSpan w:val="2"/>
            <w:vAlign w:val="center"/>
          </w:tcPr>
          <w:p w14:paraId="5CABA577" w14:textId="77777777" w:rsidR="002E474C" w:rsidRDefault="00000000">
            <w:pPr>
              <w:pStyle w:val="A-"/>
            </w:pPr>
            <w:r>
              <w:t>监测时段</w:t>
            </w:r>
          </w:p>
        </w:tc>
        <w:tc>
          <w:tcPr>
            <w:tcW w:w="1002" w:type="pct"/>
            <w:vAlign w:val="center"/>
          </w:tcPr>
          <w:p w14:paraId="3FF79BB9" w14:textId="77777777" w:rsidR="002E474C" w:rsidRDefault="00000000">
            <w:pPr>
              <w:pStyle w:val="A-"/>
            </w:pPr>
            <w:r>
              <w:t>监测因子</w:t>
            </w:r>
          </w:p>
        </w:tc>
        <w:tc>
          <w:tcPr>
            <w:tcW w:w="1588" w:type="pct"/>
            <w:vAlign w:val="center"/>
          </w:tcPr>
          <w:p w14:paraId="191DEBB7" w14:textId="77777777" w:rsidR="002E474C" w:rsidRDefault="00000000">
            <w:pPr>
              <w:pStyle w:val="A-"/>
            </w:pPr>
            <w:r>
              <w:t>监测值（</w:t>
            </w:r>
            <w:r>
              <w:t>mg/m</w:t>
            </w:r>
            <w:r>
              <w:rPr>
                <w:vertAlign w:val="superscript"/>
              </w:rPr>
              <w:t>3</w:t>
            </w:r>
            <w:r>
              <w:t>）</w:t>
            </w:r>
          </w:p>
        </w:tc>
        <w:tc>
          <w:tcPr>
            <w:tcW w:w="759" w:type="pct"/>
            <w:vAlign w:val="center"/>
          </w:tcPr>
          <w:p w14:paraId="2BE8875A" w14:textId="77777777" w:rsidR="002E474C" w:rsidRDefault="00000000">
            <w:pPr>
              <w:pStyle w:val="A-"/>
            </w:pPr>
            <w:r>
              <w:t>达标排放情况</w:t>
            </w:r>
          </w:p>
        </w:tc>
      </w:tr>
      <w:tr w:rsidR="002E474C" w14:paraId="418BD9F7" w14:textId="77777777">
        <w:trPr>
          <w:trHeight w:val="201"/>
        </w:trPr>
        <w:tc>
          <w:tcPr>
            <w:tcW w:w="634" w:type="pct"/>
            <w:vMerge w:val="restart"/>
            <w:vAlign w:val="center"/>
          </w:tcPr>
          <w:p w14:paraId="35B46FFE" w14:textId="77777777" w:rsidR="002E474C" w:rsidRDefault="00000000">
            <w:pPr>
              <w:pStyle w:val="A-"/>
            </w:pPr>
            <w:r>
              <w:t>协同处置危废前</w:t>
            </w:r>
          </w:p>
        </w:tc>
        <w:tc>
          <w:tcPr>
            <w:tcW w:w="1017" w:type="pct"/>
            <w:vMerge w:val="restart"/>
            <w:vAlign w:val="center"/>
          </w:tcPr>
          <w:p w14:paraId="66393518" w14:textId="77777777" w:rsidR="002E474C" w:rsidRDefault="00000000">
            <w:pPr>
              <w:pStyle w:val="A-"/>
            </w:pPr>
            <w:r>
              <w:t>2018</w:t>
            </w:r>
            <w:r>
              <w:t>、</w:t>
            </w:r>
            <w:r>
              <w:t>2019</w:t>
            </w:r>
            <w:r>
              <w:t>年自行监测及在线监测平均值</w:t>
            </w:r>
          </w:p>
        </w:tc>
        <w:tc>
          <w:tcPr>
            <w:tcW w:w="1002" w:type="pct"/>
            <w:vAlign w:val="center"/>
          </w:tcPr>
          <w:p w14:paraId="3BB6C10C" w14:textId="77777777" w:rsidR="002E474C" w:rsidRDefault="00000000">
            <w:pPr>
              <w:pStyle w:val="A-"/>
            </w:pPr>
            <w:r>
              <w:t>烟尘浓度</w:t>
            </w:r>
          </w:p>
        </w:tc>
        <w:tc>
          <w:tcPr>
            <w:tcW w:w="1588" w:type="pct"/>
            <w:vAlign w:val="center"/>
          </w:tcPr>
          <w:p w14:paraId="6D18AF57" w14:textId="77777777" w:rsidR="002E474C" w:rsidRDefault="00000000">
            <w:pPr>
              <w:pStyle w:val="A-"/>
            </w:pPr>
            <w:r>
              <w:t>6.93~28.18</w:t>
            </w:r>
          </w:p>
        </w:tc>
        <w:tc>
          <w:tcPr>
            <w:tcW w:w="759" w:type="pct"/>
            <w:vAlign w:val="center"/>
          </w:tcPr>
          <w:p w14:paraId="670B8F78" w14:textId="77777777" w:rsidR="002E474C" w:rsidRDefault="00000000">
            <w:pPr>
              <w:pStyle w:val="A-"/>
            </w:pPr>
            <w:r>
              <w:t>达标</w:t>
            </w:r>
          </w:p>
        </w:tc>
      </w:tr>
      <w:tr w:rsidR="002E474C" w14:paraId="3F68E787" w14:textId="77777777">
        <w:trPr>
          <w:trHeight w:val="198"/>
        </w:trPr>
        <w:tc>
          <w:tcPr>
            <w:tcW w:w="634" w:type="pct"/>
            <w:vMerge/>
            <w:vAlign w:val="center"/>
          </w:tcPr>
          <w:p w14:paraId="2D35BDBC" w14:textId="77777777" w:rsidR="002E474C" w:rsidRDefault="002E474C">
            <w:pPr>
              <w:pStyle w:val="A-"/>
            </w:pPr>
          </w:p>
        </w:tc>
        <w:tc>
          <w:tcPr>
            <w:tcW w:w="1017" w:type="pct"/>
            <w:vMerge/>
            <w:vAlign w:val="center"/>
          </w:tcPr>
          <w:p w14:paraId="01BCA972" w14:textId="77777777" w:rsidR="002E474C" w:rsidRDefault="002E474C">
            <w:pPr>
              <w:pStyle w:val="A-"/>
            </w:pPr>
          </w:p>
        </w:tc>
        <w:tc>
          <w:tcPr>
            <w:tcW w:w="1002" w:type="pct"/>
            <w:vAlign w:val="center"/>
          </w:tcPr>
          <w:p w14:paraId="3DBD2D37" w14:textId="77777777" w:rsidR="002E474C" w:rsidRDefault="00000000">
            <w:pPr>
              <w:pStyle w:val="A-"/>
            </w:pPr>
            <w:r>
              <w:t>SO</w:t>
            </w:r>
            <w:r>
              <w:rPr>
                <w:vertAlign w:val="subscript"/>
              </w:rPr>
              <w:t>2</w:t>
            </w:r>
            <w:r>
              <w:t>浓度</w:t>
            </w:r>
          </w:p>
        </w:tc>
        <w:tc>
          <w:tcPr>
            <w:tcW w:w="1588" w:type="pct"/>
            <w:vAlign w:val="center"/>
          </w:tcPr>
          <w:p w14:paraId="1D7C76AB" w14:textId="77777777" w:rsidR="002E474C" w:rsidRDefault="00000000">
            <w:pPr>
              <w:pStyle w:val="A-"/>
            </w:pPr>
            <w:r>
              <w:t>0.728~31.182</w:t>
            </w:r>
          </w:p>
        </w:tc>
        <w:tc>
          <w:tcPr>
            <w:tcW w:w="759" w:type="pct"/>
            <w:vAlign w:val="center"/>
          </w:tcPr>
          <w:p w14:paraId="4AE146E0" w14:textId="77777777" w:rsidR="002E474C" w:rsidRDefault="00000000">
            <w:pPr>
              <w:pStyle w:val="A-"/>
            </w:pPr>
            <w:r>
              <w:t>达标</w:t>
            </w:r>
          </w:p>
        </w:tc>
      </w:tr>
      <w:tr w:rsidR="002E474C" w14:paraId="7DE1B628" w14:textId="77777777">
        <w:trPr>
          <w:trHeight w:val="201"/>
        </w:trPr>
        <w:tc>
          <w:tcPr>
            <w:tcW w:w="634" w:type="pct"/>
            <w:vMerge/>
            <w:vAlign w:val="center"/>
          </w:tcPr>
          <w:p w14:paraId="3686EBF4" w14:textId="77777777" w:rsidR="002E474C" w:rsidRDefault="002E474C">
            <w:pPr>
              <w:pStyle w:val="A-"/>
            </w:pPr>
          </w:p>
        </w:tc>
        <w:tc>
          <w:tcPr>
            <w:tcW w:w="1017" w:type="pct"/>
            <w:vMerge/>
            <w:vAlign w:val="center"/>
          </w:tcPr>
          <w:p w14:paraId="7116B52C" w14:textId="77777777" w:rsidR="002E474C" w:rsidRDefault="002E474C">
            <w:pPr>
              <w:pStyle w:val="A-"/>
            </w:pPr>
          </w:p>
        </w:tc>
        <w:tc>
          <w:tcPr>
            <w:tcW w:w="1002" w:type="pct"/>
            <w:vAlign w:val="center"/>
          </w:tcPr>
          <w:p w14:paraId="0F314868" w14:textId="77777777" w:rsidR="002E474C" w:rsidRDefault="00000000">
            <w:pPr>
              <w:pStyle w:val="A-"/>
            </w:pPr>
            <w:r>
              <w:t>NOx</w:t>
            </w:r>
            <w:r>
              <w:t>浓度</w:t>
            </w:r>
          </w:p>
        </w:tc>
        <w:tc>
          <w:tcPr>
            <w:tcW w:w="1588" w:type="pct"/>
            <w:shd w:val="clear" w:color="auto" w:fill="auto"/>
            <w:vAlign w:val="center"/>
          </w:tcPr>
          <w:p w14:paraId="70B37527" w14:textId="77777777" w:rsidR="002E474C" w:rsidRDefault="00000000">
            <w:pPr>
              <w:pStyle w:val="A-"/>
            </w:pPr>
            <w:r>
              <w:t>67.487~303.717</w:t>
            </w:r>
          </w:p>
        </w:tc>
        <w:tc>
          <w:tcPr>
            <w:tcW w:w="759" w:type="pct"/>
            <w:vAlign w:val="center"/>
          </w:tcPr>
          <w:p w14:paraId="2FA23BED" w14:textId="77777777" w:rsidR="002E474C" w:rsidRDefault="00000000">
            <w:pPr>
              <w:pStyle w:val="A-"/>
            </w:pPr>
            <w:r>
              <w:t>达标</w:t>
            </w:r>
          </w:p>
        </w:tc>
      </w:tr>
      <w:tr w:rsidR="002E474C" w14:paraId="0AB36B57" w14:textId="77777777">
        <w:trPr>
          <w:trHeight w:val="201"/>
        </w:trPr>
        <w:tc>
          <w:tcPr>
            <w:tcW w:w="634" w:type="pct"/>
            <w:vMerge/>
            <w:vAlign w:val="center"/>
          </w:tcPr>
          <w:p w14:paraId="57160C2C" w14:textId="77777777" w:rsidR="002E474C" w:rsidRDefault="002E474C">
            <w:pPr>
              <w:pStyle w:val="A-"/>
            </w:pPr>
          </w:p>
        </w:tc>
        <w:tc>
          <w:tcPr>
            <w:tcW w:w="1017" w:type="pct"/>
            <w:vMerge/>
            <w:vAlign w:val="center"/>
          </w:tcPr>
          <w:p w14:paraId="03DDE6B4" w14:textId="77777777" w:rsidR="002E474C" w:rsidRDefault="002E474C">
            <w:pPr>
              <w:pStyle w:val="A-"/>
            </w:pPr>
          </w:p>
        </w:tc>
        <w:tc>
          <w:tcPr>
            <w:tcW w:w="1002" w:type="pct"/>
            <w:vAlign w:val="center"/>
          </w:tcPr>
          <w:p w14:paraId="72E83E63" w14:textId="77777777" w:rsidR="002E474C" w:rsidRDefault="00000000">
            <w:pPr>
              <w:pStyle w:val="A-"/>
            </w:pPr>
            <w:r>
              <w:t>氟化物</w:t>
            </w:r>
          </w:p>
        </w:tc>
        <w:tc>
          <w:tcPr>
            <w:tcW w:w="1588" w:type="pct"/>
            <w:vAlign w:val="center"/>
          </w:tcPr>
          <w:p w14:paraId="52AE423E" w14:textId="77777777" w:rsidR="002E474C" w:rsidRDefault="00000000">
            <w:pPr>
              <w:pStyle w:val="A-"/>
            </w:pPr>
            <w:r>
              <w:t>0.22</w:t>
            </w:r>
            <w:r>
              <w:t>～</w:t>
            </w:r>
            <w:r>
              <w:t>0.26</w:t>
            </w:r>
          </w:p>
        </w:tc>
        <w:tc>
          <w:tcPr>
            <w:tcW w:w="759" w:type="pct"/>
            <w:vAlign w:val="center"/>
          </w:tcPr>
          <w:p w14:paraId="02301C1E" w14:textId="77777777" w:rsidR="002E474C" w:rsidRDefault="00000000">
            <w:pPr>
              <w:pStyle w:val="A-"/>
            </w:pPr>
            <w:r>
              <w:t>达标</w:t>
            </w:r>
          </w:p>
        </w:tc>
      </w:tr>
      <w:tr w:rsidR="002E474C" w14:paraId="30CC6E91" w14:textId="77777777">
        <w:trPr>
          <w:trHeight w:val="201"/>
        </w:trPr>
        <w:tc>
          <w:tcPr>
            <w:tcW w:w="634" w:type="pct"/>
            <w:vMerge/>
            <w:vAlign w:val="center"/>
          </w:tcPr>
          <w:p w14:paraId="2029A42E" w14:textId="77777777" w:rsidR="002E474C" w:rsidRDefault="002E474C">
            <w:pPr>
              <w:pStyle w:val="A-"/>
            </w:pPr>
          </w:p>
        </w:tc>
        <w:tc>
          <w:tcPr>
            <w:tcW w:w="1017" w:type="pct"/>
            <w:vMerge/>
            <w:vAlign w:val="center"/>
          </w:tcPr>
          <w:p w14:paraId="788C2C53" w14:textId="77777777" w:rsidR="002E474C" w:rsidRDefault="002E474C">
            <w:pPr>
              <w:pStyle w:val="A-"/>
            </w:pPr>
          </w:p>
        </w:tc>
        <w:tc>
          <w:tcPr>
            <w:tcW w:w="1002" w:type="pct"/>
            <w:vAlign w:val="center"/>
          </w:tcPr>
          <w:p w14:paraId="348D62E1" w14:textId="77777777" w:rsidR="002E474C" w:rsidRDefault="00000000">
            <w:pPr>
              <w:pStyle w:val="A-"/>
            </w:pPr>
            <w:r>
              <w:t>氨</w:t>
            </w:r>
          </w:p>
        </w:tc>
        <w:tc>
          <w:tcPr>
            <w:tcW w:w="1588" w:type="pct"/>
            <w:vAlign w:val="center"/>
          </w:tcPr>
          <w:p w14:paraId="2F171134" w14:textId="77777777" w:rsidR="002E474C" w:rsidRDefault="00000000">
            <w:pPr>
              <w:pStyle w:val="A-"/>
            </w:pPr>
            <w:r>
              <w:t>1.68</w:t>
            </w:r>
            <w:r>
              <w:t>～</w:t>
            </w:r>
            <w:r>
              <w:t>2.64</w:t>
            </w:r>
          </w:p>
        </w:tc>
        <w:tc>
          <w:tcPr>
            <w:tcW w:w="759" w:type="pct"/>
            <w:vAlign w:val="center"/>
          </w:tcPr>
          <w:p w14:paraId="22FBCBF6" w14:textId="77777777" w:rsidR="002E474C" w:rsidRDefault="00000000">
            <w:pPr>
              <w:pStyle w:val="A-"/>
            </w:pPr>
            <w:r>
              <w:t>达标</w:t>
            </w:r>
          </w:p>
        </w:tc>
      </w:tr>
      <w:tr w:rsidR="002E474C" w14:paraId="2B1A13AB" w14:textId="77777777">
        <w:trPr>
          <w:trHeight w:val="201"/>
        </w:trPr>
        <w:tc>
          <w:tcPr>
            <w:tcW w:w="634" w:type="pct"/>
            <w:vMerge/>
            <w:vAlign w:val="center"/>
          </w:tcPr>
          <w:p w14:paraId="2DBA6E1E" w14:textId="77777777" w:rsidR="002E474C" w:rsidRDefault="002E474C">
            <w:pPr>
              <w:pStyle w:val="A-"/>
            </w:pPr>
          </w:p>
        </w:tc>
        <w:tc>
          <w:tcPr>
            <w:tcW w:w="1017" w:type="pct"/>
            <w:vMerge/>
            <w:vAlign w:val="center"/>
          </w:tcPr>
          <w:p w14:paraId="641F4CA3" w14:textId="77777777" w:rsidR="002E474C" w:rsidRDefault="002E474C">
            <w:pPr>
              <w:pStyle w:val="A-"/>
            </w:pPr>
          </w:p>
        </w:tc>
        <w:tc>
          <w:tcPr>
            <w:tcW w:w="1002" w:type="pct"/>
            <w:vAlign w:val="center"/>
          </w:tcPr>
          <w:p w14:paraId="1FCBFDF5" w14:textId="77777777" w:rsidR="002E474C" w:rsidRDefault="00000000">
            <w:pPr>
              <w:pStyle w:val="A-"/>
            </w:pPr>
            <w:r>
              <w:t>汞及其化合物</w:t>
            </w:r>
          </w:p>
        </w:tc>
        <w:tc>
          <w:tcPr>
            <w:tcW w:w="1588" w:type="pct"/>
            <w:vAlign w:val="center"/>
          </w:tcPr>
          <w:p w14:paraId="6FDA5354" w14:textId="77777777" w:rsidR="002E474C" w:rsidRDefault="00000000">
            <w:pPr>
              <w:pStyle w:val="A-"/>
            </w:pPr>
            <w:r>
              <w:t>未检出</w:t>
            </w:r>
          </w:p>
        </w:tc>
        <w:tc>
          <w:tcPr>
            <w:tcW w:w="759" w:type="pct"/>
            <w:vAlign w:val="center"/>
          </w:tcPr>
          <w:p w14:paraId="25BBA79E" w14:textId="77777777" w:rsidR="002E474C" w:rsidRDefault="00000000">
            <w:pPr>
              <w:pStyle w:val="A-"/>
            </w:pPr>
            <w:r>
              <w:t>达标</w:t>
            </w:r>
          </w:p>
        </w:tc>
      </w:tr>
      <w:tr w:rsidR="002E474C" w14:paraId="36D2412F" w14:textId="77777777">
        <w:trPr>
          <w:trHeight w:val="191"/>
        </w:trPr>
        <w:tc>
          <w:tcPr>
            <w:tcW w:w="634" w:type="pct"/>
            <w:vMerge w:val="restart"/>
            <w:vAlign w:val="center"/>
          </w:tcPr>
          <w:p w14:paraId="22715499" w14:textId="77777777" w:rsidR="002E474C" w:rsidRDefault="00000000">
            <w:pPr>
              <w:pStyle w:val="A-"/>
            </w:pPr>
            <w:r>
              <w:t>协同处置危废时</w:t>
            </w:r>
          </w:p>
        </w:tc>
        <w:tc>
          <w:tcPr>
            <w:tcW w:w="1017" w:type="pct"/>
            <w:vMerge w:val="restart"/>
            <w:vAlign w:val="center"/>
          </w:tcPr>
          <w:p w14:paraId="70C74460" w14:textId="77777777" w:rsidR="002E474C" w:rsidRDefault="00000000">
            <w:pPr>
              <w:pStyle w:val="A-"/>
            </w:pPr>
            <w:r>
              <w:t>2023</w:t>
            </w:r>
            <w:r>
              <w:t>年</w:t>
            </w:r>
          </w:p>
        </w:tc>
        <w:tc>
          <w:tcPr>
            <w:tcW w:w="1002" w:type="pct"/>
            <w:vAlign w:val="center"/>
          </w:tcPr>
          <w:p w14:paraId="27970C11" w14:textId="77777777" w:rsidR="002E474C" w:rsidRDefault="00000000">
            <w:pPr>
              <w:pStyle w:val="A-"/>
            </w:pPr>
            <w:r>
              <w:t>烟尘浓度</w:t>
            </w:r>
          </w:p>
        </w:tc>
        <w:tc>
          <w:tcPr>
            <w:tcW w:w="1588" w:type="pct"/>
            <w:vAlign w:val="center"/>
          </w:tcPr>
          <w:p w14:paraId="68B69EF2" w14:textId="77777777" w:rsidR="002E474C" w:rsidRDefault="00000000">
            <w:pPr>
              <w:pStyle w:val="A-"/>
            </w:pPr>
            <w:r>
              <w:t>21~26</w:t>
            </w:r>
          </w:p>
        </w:tc>
        <w:tc>
          <w:tcPr>
            <w:tcW w:w="759" w:type="pct"/>
            <w:vAlign w:val="center"/>
          </w:tcPr>
          <w:p w14:paraId="40FCA1A6" w14:textId="77777777" w:rsidR="002E474C" w:rsidRDefault="00000000">
            <w:pPr>
              <w:pStyle w:val="A-"/>
            </w:pPr>
            <w:r>
              <w:t>达标</w:t>
            </w:r>
          </w:p>
        </w:tc>
      </w:tr>
      <w:tr w:rsidR="002E474C" w14:paraId="623E0F8E" w14:textId="77777777">
        <w:trPr>
          <w:trHeight w:val="186"/>
        </w:trPr>
        <w:tc>
          <w:tcPr>
            <w:tcW w:w="634" w:type="pct"/>
            <w:vMerge/>
            <w:vAlign w:val="center"/>
          </w:tcPr>
          <w:p w14:paraId="3B1B86C9" w14:textId="77777777" w:rsidR="002E474C" w:rsidRDefault="002E474C">
            <w:pPr>
              <w:pStyle w:val="A-"/>
            </w:pPr>
          </w:p>
        </w:tc>
        <w:tc>
          <w:tcPr>
            <w:tcW w:w="1017" w:type="pct"/>
            <w:vMerge/>
            <w:vAlign w:val="center"/>
          </w:tcPr>
          <w:p w14:paraId="2A0E9746" w14:textId="77777777" w:rsidR="002E474C" w:rsidRDefault="002E474C">
            <w:pPr>
              <w:pStyle w:val="A-"/>
            </w:pPr>
          </w:p>
        </w:tc>
        <w:tc>
          <w:tcPr>
            <w:tcW w:w="1002" w:type="pct"/>
            <w:vAlign w:val="center"/>
          </w:tcPr>
          <w:p w14:paraId="0CCE327F" w14:textId="77777777" w:rsidR="002E474C" w:rsidRDefault="00000000">
            <w:pPr>
              <w:pStyle w:val="A-"/>
            </w:pPr>
            <w:r>
              <w:t>SO</w:t>
            </w:r>
            <w:r>
              <w:rPr>
                <w:vertAlign w:val="subscript"/>
              </w:rPr>
              <w:t>2</w:t>
            </w:r>
            <w:r>
              <w:t>浓度</w:t>
            </w:r>
          </w:p>
        </w:tc>
        <w:tc>
          <w:tcPr>
            <w:tcW w:w="1588" w:type="pct"/>
            <w:vAlign w:val="center"/>
          </w:tcPr>
          <w:p w14:paraId="5D73F259" w14:textId="77777777" w:rsidR="002E474C" w:rsidRDefault="00000000">
            <w:pPr>
              <w:pStyle w:val="A-"/>
            </w:pPr>
            <w:r>
              <w:t>3~6</w:t>
            </w:r>
          </w:p>
        </w:tc>
        <w:tc>
          <w:tcPr>
            <w:tcW w:w="759" w:type="pct"/>
            <w:vAlign w:val="center"/>
          </w:tcPr>
          <w:p w14:paraId="442533B9" w14:textId="77777777" w:rsidR="002E474C" w:rsidRDefault="00000000">
            <w:pPr>
              <w:pStyle w:val="A-"/>
            </w:pPr>
            <w:r>
              <w:t>达标</w:t>
            </w:r>
          </w:p>
        </w:tc>
      </w:tr>
      <w:tr w:rsidR="002E474C" w14:paraId="4066F9F8" w14:textId="77777777">
        <w:trPr>
          <w:trHeight w:val="185"/>
        </w:trPr>
        <w:tc>
          <w:tcPr>
            <w:tcW w:w="634" w:type="pct"/>
            <w:vMerge/>
            <w:vAlign w:val="center"/>
          </w:tcPr>
          <w:p w14:paraId="01E7A224" w14:textId="77777777" w:rsidR="002E474C" w:rsidRDefault="002E474C">
            <w:pPr>
              <w:pStyle w:val="A-"/>
            </w:pPr>
          </w:p>
        </w:tc>
        <w:tc>
          <w:tcPr>
            <w:tcW w:w="1017" w:type="pct"/>
            <w:vMerge/>
            <w:vAlign w:val="center"/>
          </w:tcPr>
          <w:p w14:paraId="2E43F39B" w14:textId="77777777" w:rsidR="002E474C" w:rsidRDefault="002E474C">
            <w:pPr>
              <w:pStyle w:val="A-"/>
            </w:pPr>
          </w:p>
        </w:tc>
        <w:tc>
          <w:tcPr>
            <w:tcW w:w="1002" w:type="pct"/>
            <w:vAlign w:val="center"/>
          </w:tcPr>
          <w:p w14:paraId="7FE54172" w14:textId="77777777" w:rsidR="002E474C" w:rsidRDefault="00000000">
            <w:pPr>
              <w:pStyle w:val="A-"/>
            </w:pPr>
            <w:r>
              <w:t>NOx</w:t>
            </w:r>
            <w:r>
              <w:t>浓度</w:t>
            </w:r>
          </w:p>
        </w:tc>
        <w:tc>
          <w:tcPr>
            <w:tcW w:w="1588" w:type="pct"/>
            <w:shd w:val="clear" w:color="auto" w:fill="auto"/>
            <w:vAlign w:val="center"/>
          </w:tcPr>
          <w:p w14:paraId="190CB5D7" w14:textId="77777777" w:rsidR="002E474C" w:rsidRDefault="00000000">
            <w:pPr>
              <w:pStyle w:val="A-"/>
            </w:pPr>
            <w:r>
              <w:t>32~54</w:t>
            </w:r>
          </w:p>
        </w:tc>
        <w:tc>
          <w:tcPr>
            <w:tcW w:w="759" w:type="pct"/>
            <w:vAlign w:val="center"/>
          </w:tcPr>
          <w:p w14:paraId="17A8C3A9" w14:textId="77777777" w:rsidR="002E474C" w:rsidRDefault="00000000">
            <w:pPr>
              <w:pStyle w:val="A-"/>
            </w:pPr>
            <w:r>
              <w:t>达标</w:t>
            </w:r>
          </w:p>
        </w:tc>
      </w:tr>
      <w:tr w:rsidR="002E474C" w14:paraId="4E645CF2" w14:textId="77777777">
        <w:trPr>
          <w:trHeight w:val="183"/>
        </w:trPr>
        <w:tc>
          <w:tcPr>
            <w:tcW w:w="634" w:type="pct"/>
            <w:vMerge/>
            <w:vAlign w:val="center"/>
          </w:tcPr>
          <w:p w14:paraId="49907530" w14:textId="77777777" w:rsidR="002E474C" w:rsidRDefault="002E474C">
            <w:pPr>
              <w:pStyle w:val="A-"/>
            </w:pPr>
          </w:p>
        </w:tc>
        <w:tc>
          <w:tcPr>
            <w:tcW w:w="1017" w:type="pct"/>
            <w:vMerge/>
            <w:vAlign w:val="center"/>
          </w:tcPr>
          <w:p w14:paraId="45EC80F6" w14:textId="77777777" w:rsidR="002E474C" w:rsidRDefault="002E474C">
            <w:pPr>
              <w:pStyle w:val="A-"/>
            </w:pPr>
          </w:p>
        </w:tc>
        <w:tc>
          <w:tcPr>
            <w:tcW w:w="1002" w:type="pct"/>
            <w:vAlign w:val="center"/>
          </w:tcPr>
          <w:p w14:paraId="1D1C44FF" w14:textId="77777777" w:rsidR="002E474C" w:rsidRDefault="00000000">
            <w:pPr>
              <w:pStyle w:val="A-"/>
            </w:pPr>
            <w:r>
              <w:t>NH</w:t>
            </w:r>
            <w:r>
              <w:rPr>
                <w:vertAlign w:val="subscript"/>
              </w:rPr>
              <w:t>3</w:t>
            </w:r>
          </w:p>
        </w:tc>
        <w:tc>
          <w:tcPr>
            <w:tcW w:w="1588" w:type="pct"/>
            <w:vAlign w:val="center"/>
          </w:tcPr>
          <w:p w14:paraId="608FA621" w14:textId="77777777" w:rsidR="002E474C" w:rsidRDefault="00000000">
            <w:pPr>
              <w:pStyle w:val="A-"/>
            </w:pPr>
            <w:r>
              <w:t>1.86~2.58</w:t>
            </w:r>
          </w:p>
        </w:tc>
        <w:tc>
          <w:tcPr>
            <w:tcW w:w="759" w:type="pct"/>
            <w:vAlign w:val="center"/>
          </w:tcPr>
          <w:p w14:paraId="01E52260" w14:textId="77777777" w:rsidR="002E474C" w:rsidRDefault="00000000">
            <w:pPr>
              <w:pStyle w:val="A-"/>
            </w:pPr>
            <w:r>
              <w:t>达标</w:t>
            </w:r>
          </w:p>
        </w:tc>
      </w:tr>
      <w:tr w:rsidR="002E474C" w14:paraId="75DD4F83" w14:textId="77777777">
        <w:trPr>
          <w:trHeight w:val="186"/>
        </w:trPr>
        <w:tc>
          <w:tcPr>
            <w:tcW w:w="634" w:type="pct"/>
            <w:vMerge/>
            <w:vAlign w:val="center"/>
          </w:tcPr>
          <w:p w14:paraId="7B4E7FDD" w14:textId="77777777" w:rsidR="002E474C" w:rsidRDefault="002E474C">
            <w:pPr>
              <w:pStyle w:val="A-"/>
            </w:pPr>
          </w:p>
        </w:tc>
        <w:tc>
          <w:tcPr>
            <w:tcW w:w="1017" w:type="pct"/>
            <w:vMerge/>
            <w:vAlign w:val="center"/>
          </w:tcPr>
          <w:p w14:paraId="0D8C2ADD" w14:textId="77777777" w:rsidR="002E474C" w:rsidRDefault="002E474C">
            <w:pPr>
              <w:pStyle w:val="A-"/>
            </w:pPr>
          </w:p>
        </w:tc>
        <w:tc>
          <w:tcPr>
            <w:tcW w:w="1002" w:type="pct"/>
            <w:vAlign w:val="center"/>
          </w:tcPr>
          <w:p w14:paraId="55551136" w14:textId="77777777" w:rsidR="002E474C" w:rsidRDefault="00000000">
            <w:pPr>
              <w:pStyle w:val="A-"/>
            </w:pPr>
            <w:r>
              <w:t>HF</w:t>
            </w:r>
          </w:p>
        </w:tc>
        <w:tc>
          <w:tcPr>
            <w:tcW w:w="1588" w:type="pct"/>
            <w:vAlign w:val="center"/>
          </w:tcPr>
          <w:p w14:paraId="3B8235E9" w14:textId="77777777" w:rsidR="002E474C" w:rsidRDefault="00000000">
            <w:pPr>
              <w:pStyle w:val="A-"/>
            </w:pPr>
            <w:r>
              <w:t>＜</w:t>
            </w:r>
            <w:r>
              <w:t>0.09</w:t>
            </w:r>
          </w:p>
        </w:tc>
        <w:tc>
          <w:tcPr>
            <w:tcW w:w="759" w:type="pct"/>
            <w:vAlign w:val="center"/>
          </w:tcPr>
          <w:p w14:paraId="0D5AF7B3" w14:textId="77777777" w:rsidR="002E474C" w:rsidRDefault="00000000">
            <w:pPr>
              <w:pStyle w:val="A-"/>
            </w:pPr>
            <w:r>
              <w:t>达标</w:t>
            </w:r>
          </w:p>
        </w:tc>
      </w:tr>
      <w:tr w:rsidR="002E474C" w14:paraId="367851F8" w14:textId="77777777">
        <w:trPr>
          <w:trHeight w:val="183"/>
        </w:trPr>
        <w:tc>
          <w:tcPr>
            <w:tcW w:w="634" w:type="pct"/>
            <w:vMerge/>
            <w:vAlign w:val="center"/>
          </w:tcPr>
          <w:p w14:paraId="46404B5A" w14:textId="77777777" w:rsidR="002E474C" w:rsidRDefault="002E474C">
            <w:pPr>
              <w:pStyle w:val="A-"/>
            </w:pPr>
          </w:p>
        </w:tc>
        <w:tc>
          <w:tcPr>
            <w:tcW w:w="1017" w:type="pct"/>
            <w:vMerge/>
            <w:vAlign w:val="center"/>
          </w:tcPr>
          <w:p w14:paraId="2B9791CA" w14:textId="77777777" w:rsidR="002E474C" w:rsidRDefault="002E474C">
            <w:pPr>
              <w:pStyle w:val="A-"/>
            </w:pPr>
          </w:p>
        </w:tc>
        <w:tc>
          <w:tcPr>
            <w:tcW w:w="1002" w:type="pct"/>
            <w:vAlign w:val="center"/>
          </w:tcPr>
          <w:p w14:paraId="70C0C0E8" w14:textId="77777777" w:rsidR="002E474C" w:rsidRDefault="00000000">
            <w:pPr>
              <w:pStyle w:val="A-"/>
            </w:pPr>
            <w:r>
              <w:t>HCl</w:t>
            </w:r>
          </w:p>
        </w:tc>
        <w:tc>
          <w:tcPr>
            <w:tcW w:w="1588" w:type="pct"/>
            <w:vAlign w:val="center"/>
          </w:tcPr>
          <w:p w14:paraId="2DB56BE9" w14:textId="77777777" w:rsidR="002E474C" w:rsidRDefault="00000000">
            <w:pPr>
              <w:pStyle w:val="A-"/>
            </w:pPr>
            <w:r>
              <w:t>＜</w:t>
            </w:r>
            <w:r>
              <w:t>0.2</w:t>
            </w:r>
          </w:p>
        </w:tc>
        <w:tc>
          <w:tcPr>
            <w:tcW w:w="759" w:type="pct"/>
            <w:vAlign w:val="center"/>
          </w:tcPr>
          <w:p w14:paraId="23F98537" w14:textId="77777777" w:rsidR="002E474C" w:rsidRDefault="00000000">
            <w:pPr>
              <w:pStyle w:val="A-"/>
            </w:pPr>
            <w:r>
              <w:t>达标</w:t>
            </w:r>
          </w:p>
        </w:tc>
      </w:tr>
      <w:tr w:rsidR="002E474C" w14:paraId="6A675F88" w14:textId="77777777">
        <w:trPr>
          <w:trHeight w:val="186"/>
        </w:trPr>
        <w:tc>
          <w:tcPr>
            <w:tcW w:w="634" w:type="pct"/>
            <w:vMerge/>
            <w:vAlign w:val="center"/>
          </w:tcPr>
          <w:p w14:paraId="40ED5968" w14:textId="77777777" w:rsidR="002E474C" w:rsidRDefault="002E474C">
            <w:pPr>
              <w:pStyle w:val="A-"/>
            </w:pPr>
          </w:p>
        </w:tc>
        <w:tc>
          <w:tcPr>
            <w:tcW w:w="1017" w:type="pct"/>
            <w:vMerge/>
            <w:vAlign w:val="center"/>
          </w:tcPr>
          <w:p w14:paraId="6C8BBB1A" w14:textId="77777777" w:rsidR="002E474C" w:rsidRDefault="002E474C">
            <w:pPr>
              <w:pStyle w:val="A-"/>
            </w:pPr>
          </w:p>
        </w:tc>
        <w:tc>
          <w:tcPr>
            <w:tcW w:w="1002" w:type="pct"/>
            <w:vAlign w:val="center"/>
          </w:tcPr>
          <w:p w14:paraId="4795C9DC" w14:textId="77777777" w:rsidR="002E474C" w:rsidRDefault="00000000">
            <w:pPr>
              <w:pStyle w:val="A-"/>
            </w:pPr>
            <w:r>
              <w:t>汞及其化合物</w:t>
            </w:r>
          </w:p>
        </w:tc>
        <w:tc>
          <w:tcPr>
            <w:tcW w:w="1588" w:type="pct"/>
            <w:vAlign w:val="center"/>
          </w:tcPr>
          <w:p w14:paraId="586DC8AC" w14:textId="77777777" w:rsidR="002E474C" w:rsidRDefault="00000000">
            <w:pPr>
              <w:pStyle w:val="A-"/>
            </w:pPr>
            <w:r>
              <w:t>＜</w:t>
            </w:r>
            <w:r>
              <w:t>2.7×10</w:t>
            </w:r>
            <w:r>
              <w:rPr>
                <w:vertAlign w:val="superscript"/>
              </w:rPr>
              <w:t>-3</w:t>
            </w:r>
          </w:p>
        </w:tc>
        <w:tc>
          <w:tcPr>
            <w:tcW w:w="759" w:type="pct"/>
            <w:vAlign w:val="center"/>
          </w:tcPr>
          <w:p w14:paraId="06B860D4" w14:textId="77777777" w:rsidR="002E474C" w:rsidRDefault="00000000">
            <w:pPr>
              <w:pStyle w:val="A-"/>
            </w:pPr>
            <w:r>
              <w:t>达标</w:t>
            </w:r>
          </w:p>
        </w:tc>
      </w:tr>
      <w:tr w:rsidR="002E474C" w14:paraId="1AE59B12" w14:textId="77777777">
        <w:trPr>
          <w:trHeight w:val="185"/>
        </w:trPr>
        <w:tc>
          <w:tcPr>
            <w:tcW w:w="634" w:type="pct"/>
            <w:vMerge/>
            <w:vAlign w:val="center"/>
          </w:tcPr>
          <w:p w14:paraId="1AC8DF4B" w14:textId="77777777" w:rsidR="002E474C" w:rsidRDefault="002E474C">
            <w:pPr>
              <w:pStyle w:val="A-"/>
            </w:pPr>
          </w:p>
        </w:tc>
        <w:tc>
          <w:tcPr>
            <w:tcW w:w="1017" w:type="pct"/>
            <w:vMerge/>
            <w:vAlign w:val="center"/>
          </w:tcPr>
          <w:p w14:paraId="272AEF87" w14:textId="77777777" w:rsidR="002E474C" w:rsidRDefault="002E474C">
            <w:pPr>
              <w:pStyle w:val="A-"/>
            </w:pPr>
          </w:p>
        </w:tc>
        <w:tc>
          <w:tcPr>
            <w:tcW w:w="1002" w:type="pct"/>
            <w:vAlign w:val="center"/>
          </w:tcPr>
          <w:p w14:paraId="3533D91F" w14:textId="77777777" w:rsidR="002E474C" w:rsidRDefault="00000000">
            <w:pPr>
              <w:pStyle w:val="A-"/>
            </w:pPr>
            <w:r>
              <w:t>铊</w:t>
            </w:r>
            <w:r>
              <w:t>+</w:t>
            </w:r>
            <w:r>
              <w:t>镉</w:t>
            </w:r>
            <w:r>
              <w:t>+</w:t>
            </w:r>
            <w:r>
              <w:t>铅</w:t>
            </w:r>
            <w:r>
              <w:t>+</w:t>
            </w:r>
            <w:r>
              <w:t>砷</w:t>
            </w:r>
          </w:p>
        </w:tc>
        <w:tc>
          <w:tcPr>
            <w:tcW w:w="1588" w:type="pct"/>
            <w:vAlign w:val="center"/>
          </w:tcPr>
          <w:p w14:paraId="211D5441" w14:textId="77777777" w:rsidR="002E474C" w:rsidRDefault="00000000">
            <w:pPr>
              <w:pStyle w:val="A-"/>
            </w:pPr>
            <w:r>
              <w:t>0.0233</w:t>
            </w:r>
          </w:p>
        </w:tc>
        <w:tc>
          <w:tcPr>
            <w:tcW w:w="759" w:type="pct"/>
            <w:vAlign w:val="center"/>
          </w:tcPr>
          <w:p w14:paraId="7D35FADB" w14:textId="77777777" w:rsidR="002E474C" w:rsidRDefault="00000000">
            <w:pPr>
              <w:pStyle w:val="A-"/>
            </w:pPr>
            <w:r>
              <w:t>达标</w:t>
            </w:r>
          </w:p>
        </w:tc>
      </w:tr>
      <w:tr w:rsidR="002E474C" w14:paraId="0E0BDD38" w14:textId="77777777">
        <w:trPr>
          <w:trHeight w:val="183"/>
        </w:trPr>
        <w:tc>
          <w:tcPr>
            <w:tcW w:w="634" w:type="pct"/>
            <w:vMerge/>
            <w:vAlign w:val="center"/>
          </w:tcPr>
          <w:p w14:paraId="757AD096" w14:textId="77777777" w:rsidR="002E474C" w:rsidRDefault="002E474C">
            <w:pPr>
              <w:pStyle w:val="A-"/>
            </w:pPr>
          </w:p>
        </w:tc>
        <w:tc>
          <w:tcPr>
            <w:tcW w:w="1017" w:type="pct"/>
            <w:vMerge/>
            <w:vAlign w:val="center"/>
          </w:tcPr>
          <w:p w14:paraId="03A0FC89" w14:textId="77777777" w:rsidR="002E474C" w:rsidRDefault="002E474C">
            <w:pPr>
              <w:pStyle w:val="A-"/>
            </w:pPr>
          </w:p>
        </w:tc>
        <w:tc>
          <w:tcPr>
            <w:tcW w:w="1002" w:type="pct"/>
            <w:vAlign w:val="center"/>
          </w:tcPr>
          <w:p w14:paraId="5204D8ED" w14:textId="77777777" w:rsidR="002E474C" w:rsidRDefault="00000000">
            <w:pPr>
              <w:pStyle w:val="A-"/>
            </w:pPr>
            <w:r>
              <w:t>铍</w:t>
            </w:r>
            <w:r>
              <w:t>+</w:t>
            </w:r>
            <w:r>
              <w:t>铬</w:t>
            </w:r>
            <w:r>
              <w:t>+</w:t>
            </w:r>
            <w:r>
              <w:t>锡</w:t>
            </w:r>
            <w:r>
              <w:t>+</w:t>
            </w:r>
            <w:r>
              <w:t>锑</w:t>
            </w:r>
            <w:r>
              <w:t>+</w:t>
            </w:r>
            <w:r>
              <w:t>铜</w:t>
            </w:r>
          </w:p>
          <w:p w14:paraId="1F02EF0A" w14:textId="77777777" w:rsidR="002E474C" w:rsidRDefault="00000000">
            <w:pPr>
              <w:pStyle w:val="A-"/>
            </w:pPr>
            <w:r>
              <w:t>+</w:t>
            </w:r>
            <w:r>
              <w:t>钴</w:t>
            </w:r>
            <w:r>
              <w:t>+</w:t>
            </w:r>
            <w:r>
              <w:t>锰</w:t>
            </w:r>
            <w:r>
              <w:t>+</w:t>
            </w:r>
            <w:r>
              <w:t>镍</w:t>
            </w:r>
          </w:p>
        </w:tc>
        <w:tc>
          <w:tcPr>
            <w:tcW w:w="1588" w:type="pct"/>
            <w:vAlign w:val="center"/>
          </w:tcPr>
          <w:p w14:paraId="4E991E89" w14:textId="77777777" w:rsidR="002E474C" w:rsidRDefault="00000000">
            <w:pPr>
              <w:pStyle w:val="A-"/>
            </w:pPr>
            <w:r>
              <w:t>0.0094</w:t>
            </w:r>
          </w:p>
        </w:tc>
        <w:tc>
          <w:tcPr>
            <w:tcW w:w="759" w:type="pct"/>
            <w:vAlign w:val="center"/>
          </w:tcPr>
          <w:p w14:paraId="633547AF" w14:textId="77777777" w:rsidR="002E474C" w:rsidRDefault="00000000">
            <w:pPr>
              <w:pStyle w:val="A-"/>
            </w:pPr>
            <w:r>
              <w:t>达标</w:t>
            </w:r>
          </w:p>
        </w:tc>
      </w:tr>
      <w:tr w:rsidR="002E474C" w14:paraId="06C42E55" w14:textId="77777777">
        <w:trPr>
          <w:trHeight w:val="385"/>
        </w:trPr>
        <w:tc>
          <w:tcPr>
            <w:tcW w:w="634" w:type="pct"/>
            <w:vMerge/>
            <w:vAlign w:val="center"/>
          </w:tcPr>
          <w:p w14:paraId="78325C3F" w14:textId="77777777" w:rsidR="002E474C" w:rsidRDefault="002E474C">
            <w:pPr>
              <w:pStyle w:val="A-"/>
            </w:pPr>
          </w:p>
        </w:tc>
        <w:tc>
          <w:tcPr>
            <w:tcW w:w="1017" w:type="pct"/>
            <w:vMerge/>
            <w:vAlign w:val="center"/>
          </w:tcPr>
          <w:p w14:paraId="3F09D1DA" w14:textId="77777777" w:rsidR="002E474C" w:rsidRDefault="002E474C">
            <w:pPr>
              <w:pStyle w:val="A-"/>
            </w:pPr>
          </w:p>
        </w:tc>
        <w:tc>
          <w:tcPr>
            <w:tcW w:w="1002" w:type="pct"/>
            <w:vAlign w:val="center"/>
          </w:tcPr>
          <w:p w14:paraId="76C46080" w14:textId="77777777" w:rsidR="002E474C" w:rsidRDefault="00000000">
            <w:pPr>
              <w:pStyle w:val="A-"/>
            </w:pPr>
            <w:r>
              <w:t>二噁英类</w:t>
            </w:r>
          </w:p>
        </w:tc>
        <w:tc>
          <w:tcPr>
            <w:tcW w:w="1588" w:type="pct"/>
            <w:vAlign w:val="center"/>
          </w:tcPr>
          <w:p w14:paraId="66B6F334" w14:textId="77777777" w:rsidR="002E474C" w:rsidRDefault="00000000">
            <w:pPr>
              <w:pStyle w:val="A-"/>
            </w:pPr>
            <w:r>
              <w:t xml:space="preserve">0.042~0.065 </w:t>
            </w:r>
            <w:proofErr w:type="spellStart"/>
            <w:r>
              <w:t>ngTEQ</w:t>
            </w:r>
            <w:proofErr w:type="spellEnd"/>
            <w:r>
              <w:t>/m</w:t>
            </w:r>
            <w:r>
              <w:rPr>
                <w:vertAlign w:val="superscript"/>
              </w:rPr>
              <w:t>3</w:t>
            </w:r>
          </w:p>
        </w:tc>
        <w:tc>
          <w:tcPr>
            <w:tcW w:w="759" w:type="pct"/>
            <w:vAlign w:val="center"/>
          </w:tcPr>
          <w:p w14:paraId="139CF087" w14:textId="77777777" w:rsidR="002E474C" w:rsidRDefault="00000000">
            <w:pPr>
              <w:pStyle w:val="A-"/>
            </w:pPr>
            <w:r>
              <w:t>达标</w:t>
            </w:r>
          </w:p>
        </w:tc>
      </w:tr>
    </w:tbl>
    <w:p w14:paraId="2F322AB4" w14:textId="77777777" w:rsidR="002E474C" w:rsidRDefault="002E474C">
      <w:bookmarkStart w:id="186" w:name="_Ref151299756"/>
    </w:p>
    <w:p w14:paraId="329CFB3B" w14:textId="77777777" w:rsidR="002E474C" w:rsidRDefault="00000000">
      <w:pPr>
        <w:pStyle w:val="A--"/>
        <w:rPr>
          <w:color w:val="auto"/>
        </w:rPr>
      </w:pPr>
      <w:r>
        <w:rPr>
          <w:color w:val="auto"/>
        </w:rPr>
        <w:t>表</w:t>
      </w:r>
      <w:bookmarkEnd w:id="186"/>
      <w:r>
        <w:rPr>
          <w:color w:val="auto"/>
        </w:rPr>
        <w:t xml:space="preserve">3.5-12  </w:t>
      </w:r>
      <w:r>
        <w:rPr>
          <w:color w:val="auto"/>
        </w:rPr>
        <w:t>类比项目危废</w:t>
      </w:r>
      <w:r>
        <w:rPr>
          <w:rFonts w:hint="eastAsia"/>
          <w:color w:val="auto"/>
        </w:rPr>
        <w:t>联合</w:t>
      </w:r>
      <w:r>
        <w:rPr>
          <w:color w:val="auto"/>
        </w:rPr>
        <w:t>贮存库排气筒监测数据一览表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0"/>
        <w:gridCol w:w="1497"/>
        <w:gridCol w:w="3805"/>
        <w:gridCol w:w="1794"/>
      </w:tblGrid>
      <w:tr w:rsidR="002E474C" w14:paraId="5ADD4017" w14:textId="77777777">
        <w:trPr>
          <w:trHeight w:val="201"/>
        </w:trPr>
        <w:tc>
          <w:tcPr>
            <w:tcW w:w="723" w:type="pct"/>
            <w:vAlign w:val="center"/>
          </w:tcPr>
          <w:p w14:paraId="4B5ED6FB" w14:textId="77777777" w:rsidR="002E474C" w:rsidRDefault="00000000">
            <w:pPr>
              <w:pStyle w:val="A-"/>
            </w:pPr>
            <w:r>
              <w:t>监测时段</w:t>
            </w:r>
          </w:p>
        </w:tc>
        <w:tc>
          <w:tcPr>
            <w:tcW w:w="902" w:type="pct"/>
            <w:vAlign w:val="center"/>
          </w:tcPr>
          <w:p w14:paraId="106A3F24" w14:textId="77777777" w:rsidR="002E474C" w:rsidRDefault="00000000">
            <w:pPr>
              <w:pStyle w:val="A-"/>
            </w:pPr>
            <w:r>
              <w:t>监测因子</w:t>
            </w:r>
          </w:p>
        </w:tc>
        <w:tc>
          <w:tcPr>
            <w:tcW w:w="2293" w:type="pct"/>
            <w:vAlign w:val="center"/>
          </w:tcPr>
          <w:p w14:paraId="57050764" w14:textId="77777777" w:rsidR="002E474C" w:rsidRDefault="00000000">
            <w:pPr>
              <w:pStyle w:val="A-"/>
            </w:pPr>
            <w:r>
              <w:t>污染物最大排放速率（</w:t>
            </w:r>
            <w:r>
              <w:t>kg/h</w:t>
            </w:r>
            <w:r>
              <w:t>）</w:t>
            </w:r>
          </w:p>
        </w:tc>
        <w:tc>
          <w:tcPr>
            <w:tcW w:w="1081" w:type="pct"/>
            <w:vAlign w:val="center"/>
          </w:tcPr>
          <w:p w14:paraId="76F973D2" w14:textId="77777777" w:rsidR="002E474C" w:rsidRDefault="00000000">
            <w:pPr>
              <w:pStyle w:val="A-"/>
            </w:pPr>
            <w:r>
              <w:t>达标排放情况</w:t>
            </w:r>
          </w:p>
        </w:tc>
      </w:tr>
      <w:tr w:rsidR="002E474C" w14:paraId="42D4070E" w14:textId="77777777">
        <w:trPr>
          <w:trHeight w:val="191"/>
        </w:trPr>
        <w:tc>
          <w:tcPr>
            <w:tcW w:w="723" w:type="pct"/>
            <w:vMerge w:val="restart"/>
            <w:vAlign w:val="center"/>
          </w:tcPr>
          <w:p w14:paraId="74F0957C" w14:textId="77777777" w:rsidR="002E474C" w:rsidRDefault="00000000">
            <w:pPr>
              <w:pStyle w:val="A-"/>
            </w:pPr>
            <w:r>
              <w:t>2025</w:t>
            </w:r>
            <w:r>
              <w:t>年</w:t>
            </w:r>
          </w:p>
        </w:tc>
        <w:tc>
          <w:tcPr>
            <w:tcW w:w="902" w:type="pct"/>
            <w:vAlign w:val="center"/>
          </w:tcPr>
          <w:p w14:paraId="4CA39BCD" w14:textId="77777777" w:rsidR="002E474C" w:rsidRDefault="00000000">
            <w:pPr>
              <w:pStyle w:val="A-"/>
            </w:pPr>
            <w:r>
              <w:t>H</w:t>
            </w:r>
            <w:r>
              <w:rPr>
                <w:vertAlign w:val="subscript"/>
              </w:rPr>
              <w:t>2</w:t>
            </w:r>
            <w:r>
              <w:t>S</w:t>
            </w:r>
          </w:p>
        </w:tc>
        <w:tc>
          <w:tcPr>
            <w:tcW w:w="2293" w:type="pct"/>
            <w:vAlign w:val="center"/>
          </w:tcPr>
          <w:p w14:paraId="3B9CD4B9" w14:textId="77777777" w:rsidR="002E474C" w:rsidRDefault="00000000">
            <w:pPr>
              <w:pStyle w:val="A-"/>
            </w:pPr>
            <w:r>
              <w:t>0.00938</w:t>
            </w:r>
          </w:p>
        </w:tc>
        <w:tc>
          <w:tcPr>
            <w:tcW w:w="1081" w:type="pct"/>
            <w:vAlign w:val="center"/>
          </w:tcPr>
          <w:p w14:paraId="0A99A177" w14:textId="77777777" w:rsidR="002E474C" w:rsidRDefault="00000000">
            <w:pPr>
              <w:pStyle w:val="A-"/>
            </w:pPr>
            <w:r>
              <w:t>达标</w:t>
            </w:r>
          </w:p>
        </w:tc>
      </w:tr>
      <w:tr w:rsidR="002E474C" w14:paraId="5D0CDDE3" w14:textId="77777777">
        <w:trPr>
          <w:trHeight w:val="191"/>
        </w:trPr>
        <w:tc>
          <w:tcPr>
            <w:tcW w:w="723" w:type="pct"/>
            <w:vMerge/>
            <w:vAlign w:val="center"/>
          </w:tcPr>
          <w:p w14:paraId="5B1F8019" w14:textId="77777777" w:rsidR="002E474C" w:rsidRDefault="002E474C">
            <w:pPr>
              <w:pStyle w:val="A-"/>
            </w:pPr>
          </w:p>
        </w:tc>
        <w:tc>
          <w:tcPr>
            <w:tcW w:w="902" w:type="pct"/>
            <w:vAlign w:val="center"/>
          </w:tcPr>
          <w:p w14:paraId="62821B04" w14:textId="77777777" w:rsidR="002E474C" w:rsidRDefault="00000000">
            <w:pPr>
              <w:pStyle w:val="A-"/>
            </w:pPr>
            <w:r>
              <w:t>NH</w:t>
            </w:r>
            <w:r>
              <w:rPr>
                <w:vertAlign w:val="subscript"/>
              </w:rPr>
              <w:t>3</w:t>
            </w:r>
          </w:p>
        </w:tc>
        <w:tc>
          <w:tcPr>
            <w:tcW w:w="2293" w:type="pct"/>
            <w:vAlign w:val="center"/>
          </w:tcPr>
          <w:p w14:paraId="345363C9" w14:textId="77777777" w:rsidR="002E474C" w:rsidRDefault="00000000">
            <w:pPr>
              <w:pStyle w:val="A-"/>
            </w:pPr>
            <w:r>
              <w:t xml:space="preserve">0.115 </w:t>
            </w:r>
          </w:p>
        </w:tc>
        <w:tc>
          <w:tcPr>
            <w:tcW w:w="1081" w:type="pct"/>
            <w:vAlign w:val="center"/>
          </w:tcPr>
          <w:p w14:paraId="7E27EF1B" w14:textId="77777777" w:rsidR="002E474C" w:rsidRDefault="00000000">
            <w:pPr>
              <w:pStyle w:val="A-"/>
            </w:pPr>
            <w:r>
              <w:t>达标</w:t>
            </w:r>
          </w:p>
        </w:tc>
      </w:tr>
      <w:tr w:rsidR="002E474C" w14:paraId="0F18B330" w14:textId="77777777">
        <w:trPr>
          <w:trHeight w:val="183"/>
        </w:trPr>
        <w:tc>
          <w:tcPr>
            <w:tcW w:w="723" w:type="pct"/>
            <w:vMerge/>
            <w:vAlign w:val="center"/>
          </w:tcPr>
          <w:p w14:paraId="51A929B3" w14:textId="77777777" w:rsidR="002E474C" w:rsidRDefault="002E474C">
            <w:pPr>
              <w:pStyle w:val="A-"/>
            </w:pPr>
          </w:p>
        </w:tc>
        <w:tc>
          <w:tcPr>
            <w:tcW w:w="902" w:type="pct"/>
            <w:vAlign w:val="center"/>
          </w:tcPr>
          <w:p w14:paraId="61B1A8DE" w14:textId="77777777" w:rsidR="002E474C" w:rsidRDefault="00000000">
            <w:pPr>
              <w:pStyle w:val="A-"/>
            </w:pPr>
            <w:r>
              <w:t>非甲烷总烃</w:t>
            </w:r>
          </w:p>
        </w:tc>
        <w:tc>
          <w:tcPr>
            <w:tcW w:w="2293" w:type="pct"/>
            <w:vAlign w:val="center"/>
          </w:tcPr>
          <w:p w14:paraId="77A83B9D" w14:textId="77777777" w:rsidR="002E474C" w:rsidRDefault="00000000">
            <w:pPr>
              <w:pStyle w:val="A-"/>
            </w:pPr>
            <w:r>
              <w:t>0.125</w:t>
            </w:r>
          </w:p>
        </w:tc>
        <w:tc>
          <w:tcPr>
            <w:tcW w:w="1081" w:type="pct"/>
            <w:vAlign w:val="center"/>
          </w:tcPr>
          <w:p w14:paraId="0C03F69E" w14:textId="77777777" w:rsidR="002E474C" w:rsidRDefault="00000000">
            <w:pPr>
              <w:pStyle w:val="A-"/>
            </w:pPr>
            <w:r>
              <w:t>达标</w:t>
            </w:r>
          </w:p>
        </w:tc>
      </w:tr>
    </w:tbl>
    <w:p w14:paraId="419EFD39" w14:textId="77777777" w:rsidR="002E474C" w:rsidRDefault="002E474C">
      <w:bookmarkStart w:id="187" w:name="_Ref151299757"/>
    </w:p>
    <w:bookmarkEnd w:id="187"/>
    <w:p w14:paraId="0B6543CF" w14:textId="77777777" w:rsidR="002E474C" w:rsidRDefault="00000000">
      <w:pPr>
        <w:pStyle w:val="A-z"/>
        <w:spacing w:beforeLines="50" w:before="120"/>
        <w:rPr>
          <w:color w:val="auto"/>
        </w:rPr>
      </w:pPr>
      <w:r>
        <w:rPr>
          <w:color w:val="auto"/>
        </w:rPr>
        <w:t>由类比项目监测数据可知，窑尾采用</w:t>
      </w:r>
      <w:r>
        <w:rPr>
          <w:color w:val="auto"/>
        </w:rPr>
        <w:t>SNCR</w:t>
      </w:r>
      <w:r>
        <w:rPr>
          <w:color w:val="auto"/>
        </w:rPr>
        <w:t>脱硝</w:t>
      </w:r>
      <w:r>
        <w:rPr>
          <w:color w:val="auto"/>
        </w:rPr>
        <w:t>+</w:t>
      </w:r>
      <w:bookmarkStart w:id="188" w:name="OLE_LINK74"/>
      <w:r>
        <w:rPr>
          <w:color w:val="auto"/>
        </w:rPr>
        <w:t>增湿塔</w:t>
      </w:r>
      <w:bookmarkEnd w:id="188"/>
      <w:r>
        <w:rPr>
          <w:color w:val="auto"/>
        </w:rPr>
        <w:t>+</w:t>
      </w:r>
      <w:r>
        <w:rPr>
          <w:color w:val="auto"/>
        </w:rPr>
        <w:t>电袋除尘处理措施后，协同处置危废前后排放常规的污染物颗粒物、</w:t>
      </w:r>
      <w:r>
        <w:rPr>
          <w:color w:val="auto"/>
        </w:rPr>
        <w:t>SO</w:t>
      </w:r>
      <w:r>
        <w:rPr>
          <w:color w:val="auto"/>
          <w:vertAlign w:val="subscript"/>
        </w:rPr>
        <w:t>2</w:t>
      </w:r>
      <w:r>
        <w:rPr>
          <w:color w:val="auto"/>
        </w:rPr>
        <w:t>、</w:t>
      </w:r>
      <w:r>
        <w:rPr>
          <w:color w:val="auto"/>
        </w:rPr>
        <w:t>NOx</w:t>
      </w:r>
      <w:r>
        <w:rPr>
          <w:color w:val="auto"/>
        </w:rPr>
        <w:t>、氨浓度变化不大，属于正常波动范围，从而说明处置危险废物对于水泥窑排放烟尘、</w:t>
      </w:r>
      <w:r>
        <w:rPr>
          <w:color w:val="auto"/>
        </w:rPr>
        <w:t>SO</w:t>
      </w:r>
      <w:r>
        <w:rPr>
          <w:color w:val="auto"/>
          <w:vertAlign w:val="subscript"/>
        </w:rPr>
        <w:t>2</w:t>
      </w:r>
      <w:r>
        <w:rPr>
          <w:color w:val="auto"/>
        </w:rPr>
        <w:t>、</w:t>
      </w:r>
      <w:r>
        <w:rPr>
          <w:color w:val="auto"/>
        </w:rPr>
        <w:t>NOx</w:t>
      </w:r>
      <w:r>
        <w:rPr>
          <w:color w:val="auto"/>
        </w:rPr>
        <w:t>、氨影响不大。因此，本项目建成后，回转窑排放的常规污染因子情况以依托工程现有监测数据为依据。</w:t>
      </w:r>
    </w:p>
    <w:p w14:paraId="46E71658" w14:textId="77777777" w:rsidR="002E474C" w:rsidRDefault="00000000">
      <w:pPr>
        <w:pStyle w:val="A-z"/>
        <w:rPr>
          <w:color w:val="auto"/>
        </w:rPr>
      </w:pPr>
      <w:r>
        <w:rPr>
          <w:color w:val="auto"/>
        </w:rPr>
        <w:t>综上所述，根据同类项目运行经验以及《水泥窑协同处置固体废物污染控制标准编制说明》可知，协同处置危废前后，水泥窑窑尾的烟气量以及粉尘、</w:t>
      </w:r>
      <w:r>
        <w:rPr>
          <w:color w:val="auto"/>
        </w:rPr>
        <w:t>SO</w:t>
      </w:r>
      <w:r>
        <w:rPr>
          <w:color w:val="auto"/>
          <w:vertAlign w:val="subscript"/>
        </w:rPr>
        <w:t>2</w:t>
      </w:r>
      <w:r>
        <w:rPr>
          <w:color w:val="auto"/>
        </w:rPr>
        <w:t>、</w:t>
      </w:r>
      <w:r>
        <w:rPr>
          <w:color w:val="auto"/>
        </w:rPr>
        <w:t>NOx</w:t>
      </w:r>
      <w:r>
        <w:rPr>
          <w:color w:val="auto"/>
        </w:rPr>
        <w:t>排放情况变化不大，属于正常波动范围，烟尘、</w:t>
      </w:r>
      <w:r>
        <w:rPr>
          <w:color w:val="auto"/>
        </w:rPr>
        <w:t>SO</w:t>
      </w:r>
      <w:r>
        <w:rPr>
          <w:color w:val="auto"/>
          <w:vertAlign w:val="subscript"/>
        </w:rPr>
        <w:t>2</w:t>
      </w:r>
      <w:r>
        <w:rPr>
          <w:color w:val="auto"/>
        </w:rPr>
        <w:t>、</w:t>
      </w:r>
      <w:r>
        <w:rPr>
          <w:color w:val="auto"/>
        </w:rPr>
        <w:t>NOx</w:t>
      </w:r>
      <w:r>
        <w:rPr>
          <w:color w:val="auto"/>
        </w:rPr>
        <w:t>排放浓度基本与水泥窑的废物协同处置过程无关。主要原因是水泥窑有很强的热稳定性，焚烧少</w:t>
      </w:r>
      <w:r>
        <w:rPr>
          <w:color w:val="auto"/>
        </w:rPr>
        <w:lastRenderedPageBreak/>
        <w:t>量废物不会改变水泥窑内部的燃烧工况。原料带入的易挥发性硫化物是造成</w:t>
      </w:r>
      <w:r>
        <w:rPr>
          <w:color w:val="auto"/>
        </w:rPr>
        <w:t>SO</w:t>
      </w:r>
      <w:r>
        <w:rPr>
          <w:color w:val="auto"/>
          <w:vertAlign w:val="subscript"/>
        </w:rPr>
        <w:t>2</w:t>
      </w:r>
      <w:r>
        <w:rPr>
          <w:color w:val="auto"/>
        </w:rPr>
        <w:t>排放的主要根源，而从高温区投入水泥窑的废物中的</w:t>
      </w:r>
      <w:r>
        <w:rPr>
          <w:color w:val="auto"/>
        </w:rPr>
        <w:t>S</w:t>
      </w:r>
      <w:r>
        <w:rPr>
          <w:color w:val="auto"/>
        </w:rPr>
        <w:t>元素与烟气中</w:t>
      </w:r>
      <w:r>
        <w:rPr>
          <w:color w:val="auto"/>
        </w:rPr>
        <w:t>SO</w:t>
      </w:r>
      <w:r>
        <w:rPr>
          <w:color w:val="auto"/>
          <w:vertAlign w:val="subscript"/>
        </w:rPr>
        <w:t>2</w:t>
      </w:r>
      <w:r>
        <w:rPr>
          <w:color w:val="auto"/>
        </w:rPr>
        <w:t>的排放无直接关系。烧成窑尾排放的</w:t>
      </w:r>
      <w:r>
        <w:rPr>
          <w:color w:val="auto"/>
        </w:rPr>
        <w:t>SO</w:t>
      </w:r>
      <w:r>
        <w:rPr>
          <w:color w:val="auto"/>
          <w:vertAlign w:val="subscript"/>
        </w:rPr>
        <w:t>2</w:t>
      </w:r>
      <w:r>
        <w:rPr>
          <w:color w:val="auto"/>
        </w:rPr>
        <w:t>是由于煤粉在窑内燃烧及煅烧熟料时生料带入的硫产生的。由于水泥烧成过程中窑内存在大量的氧化钙和碱性氧化物，产生的</w:t>
      </w:r>
      <w:r>
        <w:rPr>
          <w:color w:val="auto"/>
        </w:rPr>
        <w:t>SO</w:t>
      </w:r>
      <w:r>
        <w:rPr>
          <w:color w:val="auto"/>
          <w:vertAlign w:val="subscript"/>
        </w:rPr>
        <w:t>2</w:t>
      </w:r>
      <w:r>
        <w:rPr>
          <w:color w:val="auto"/>
        </w:rPr>
        <w:t>大部分将被吸收形成硫酸钙以及亚硫酸钙等中间物质，窑外分解窑由于物料与气体接触充分，则吸硫率约</w:t>
      </w:r>
      <w:r>
        <w:rPr>
          <w:color w:val="auto"/>
        </w:rPr>
        <w:t>95%~100%</w:t>
      </w:r>
      <w:r>
        <w:rPr>
          <w:color w:val="auto"/>
        </w:rPr>
        <w:t>，该股废气又经增湿塔装置后可去除</w:t>
      </w:r>
      <w:r>
        <w:rPr>
          <w:color w:val="auto"/>
        </w:rPr>
        <w:t>50%</w:t>
      </w:r>
      <w:r>
        <w:rPr>
          <w:color w:val="auto"/>
        </w:rPr>
        <w:t>以上，</w:t>
      </w:r>
      <w:r>
        <w:rPr>
          <w:color w:val="auto"/>
        </w:rPr>
        <w:t>SO</w:t>
      </w:r>
      <w:r>
        <w:rPr>
          <w:color w:val="auto"/>
          <w:vertAlign w:val="subscript"/>
        </w:rPr>
        <w:t>2</w:t>
      </w:r>
      <w:r>
        <w:rPr>
          <w:color w:val="auto"/>
        </w:rPr>
        <w:t>的实际排放量甚微。通常情况下，水泥窑内为氧化气氛，排放烟气中</w:t>
      </w:r>
      <w:r>
        <w:rPr>
          <w:color w:val="auto"/>
        </w:rPr>
        <w:t>NH</w:t>
      </w:r>
      <w:r>
        <w:rPr>
          <w:color w:val="auto"/>
          <w:vertAlign w:val="subscript"/>
        </w:rPr>
        <w:t>3</w:t>
      </w:r>
      <w:r>
        <w:rPr>
          <w:color w:val="auto"/>
        </w:rPr>
        <w:t>含量极少，欧盟、美国水泥窑协同处置标准中均未规定</w:t>
      </w:r>
      <w:r>
        <w:rPr>
          <w:color w:val="auto"/>
        </w:rPr>
        <w:t>NH</w:t>
      </w:r>
      <w:r>
        <w:rPr>
          <w:color w:val="auto"/>
          <w:vertAlign w:val="subscript"/>
        </w:rPr>
        <w:t>3</w:t>
      </w:r>
      <w:r>
        <w:rPr>
          <w:color w:val="auto"/>
        </w:rPr>
        <w:t>的排放限值。排放烟气中</w:t>
      </w:r>
      <w:r>
        <w:rPr>
          <w:color w:val="auto"/>
        </w:rPr>
        <w:t>NH</w:t>
      </w:r>
      <w:r>
        <w:rPr>
          <w:color w:val="auto"/>
          <w:vertAlign w:val="subscript"/>
        </w:rPr>
        <w:t>3</w:t>
      </w:r>
      <w:r>
        <w:rPr>
          <w:color w:val="auto"/>
        </w:rPr>
        <w:t>主要来源于使用氨水、尿素等含氨物质作为还原剂去除烟气中氮氧化物，和协同处置危险废物无关。因此，本项目实施后，现有工程窑尾烟囱中颗粒物、</w:t>
      </w:r>
      <w:r>
        <w:rPr>
          <w:color w:val="auto"/>
        </w:rPr>
        <w:t>SO</w:t>
      </w:r>
      <w:r>
        <w:rPr>
          <w:color w:val="auto"/>
          <w:vertAlign w:val="subscript"/>
        </w:rPr>
        <w:t>2</w:t>
      </w:r>
      <w:r>
        <w:rPr>
          <w:color w:val="auto"/>
        </w:rPr>
        <w:t>、</w:t>
      </w:r>
      <w:r>
        <w:rPr>
          <w:color w:val="auto"/>
        </w:rPr>
        <w:t>NOx</w:t>
      </w:r>
      <w:r>
        <w:rPr>
          <w:color w:val="auto"/>
        </w:rPr>
        <w:t>、</w:t>
      </w:r>
      <w:r>
        <w:rPr>
          <w:color w:val="auto"/>
        </w:rPr>
        <w:t>NH</w:t>
      </w:r>
      <w:r>
        <w:rPr>
          <w:color w:val="auto"/>
          <w:vertAlign w:val="subscript"/>
        </w:rPr>
        <w:t>3</w:t>
      </w:r>
      <w:r>
        <w:rPr>
          <w:color w:val="auto"/>
        </w:rPr>
        <w:t>等四项污染物排放量（包括排放方式、排放强度）不发生变化，本评价不再对窑尾烟气中颗粒物、</w:t>
      </w:r>
      <w:r>
        <w:rPr>
          <w:color w:val="auto"/>
        </w:rPr>
        <w:t>SO</w:t>
      </w:r>
      <w:r>
        <w:rPr>
          <w:color w:val="auto"/>
          <w:vertAlign w:val="subscript"/>
        </w:rPr>
        <w:t>2</w:t>
      </w:r>
      <w:r>
        <w:rPr>
          <w:color w:val="auto"/>
        </w:rPr>
        <w:t>、</w:t>
      </w:r>
      <w:r>
        <w:rPr>
          <w:color w:val="auto"/>
        </w:rPr>
        <w:t>NOx</w:t>
      </w:r>
      <w:r>
        <w:rPr>
          <w:color w:val="auto"/>
        </w:rPr>
        <w:t>、</w:t>
      </w:r>
      <w:r>
        <w:rPr>
          <w:color w:val="auto"/>
        </w:rPr>
        <w:t>NH</w:t>
      </w:r>
      <w:r>
        <w:rPr>
          <w:color w:val="auto"/>
          <w:vertAlign w:val="subscript"/>
        </w:rPr>
        <w:t>3</w:t>
      </w:r>
      <w:r>
        <w:rPr>
          <w:color w:val="auto"/>
        </w:rPr>
        <w:t>等四项污染物进行评价。</w:t>
      </w:r>
    </w:p>
    <w:p w14:paraId="2A510603" w14:textId="77777777" w:rsidR="002E474C" w:rsidRDefault="00000000">
      <w:pPr>
        <w:pStyle w:val="A-z"/>
        <w:rPr>
          <w:color w:val="auto"/>
        </w:rPr>
      </w:pPr>
      <w:r>
        <w:rPr>
          <w:color w:val="auto"/>
        </w:rPr>
        <w:t>（</w:t>
      </w:r>
      <w:r>
        <w:rPr>
          <w:color w:val="auto"/>
        </w:rPr>
        <w:t>3</w:t>
      </w:r>
      <w:r>
        <w:rPr>
          <w:color w:val="auto"/>
        </w:rPr>
        <w:t>）大气污染源源强核算</w:t>
      </w:r>
    </w:p>
    <w:p w14:paraId="016064FB" w14:textId="77777777" w:rsidR="002E474C" w:rsidRDefault="00000000">
      <w:pPr>
        <w:pStyle w:val="A-z"/>
        <w:rPr>
          <w:color w:val="auto"/>
        </w:rPr>
      </w:pPr>
      <w:r>
        <w:rPr>
          <w:color w:val="auto"/>
        </w:rPr>
        <w:t>1</w:t>
      </w:r>
      <w:r>
        <w:rPr>
          <w:color w:val="auto"/>
        </w:rPr>
        <w:t>）危废贮存废气（</w:t>
      </w:r>
      <w:r>
        <w:rPr>
          <w:color w:val="auto"/>
        </w:rPr>
        <w:t>G1</w:t>
      </w:r>
      <w:r>
        <w:rPr>
          <w:color w:val="auto"/>
        </w:rPr>
        <w:t>）</w:t>
      </w:r>
    </w:p>
    <w:p w14:paraId="6A0E9406" w14:textId="77777777" w:rsidR="002E474C" w:rsidRDefault="00000000">
      <w:pPr>
        <w:pStyle w:val="A-z"/>
        <w:rPr>
          <w:color w:val="auto"/>
        </w:rPr>
      </w:pPr>
      <w:r>
        <w:rPr>
          <w:color w:val="auto"/>
        </w:rPr>
        <w:t>固态危废预处理车间贮存区和危废贮存库内固态与液态危废预处理产物贮存过程中会散发出有机物气体和臭气。</w:t>
      </w:r>
    </w:p>
    <w:p w14:paraId="21EFBA1A" w14:textId="77777777" w:rsidR="002E474C" w:rsidRDefault="00000000">
      <w:pPr>
        <w:pStyle w:val="A-z"/>
        <w:rPr>
          <w:color w:val="auto"/>
          <w:lang w:val="en-US"/>
        </w:rPr>
      </w:pPr>
      <w:r>
        <w:rPr>
          <w:color w:val="auto"/>
        </w:rPr>
        <w:t>吉木萨尔协同处置项目危废联合贮存库</w:t>
      </w:r>
      <w:r>
        <w:rPr>
          <w:rFonts w:hint="eastAsia"/>
          <w:color w:val="auto"/>
        </w:rPr>
        <w:t>，</w:t>
      </w:r>
      <w:r>
        <w:rPr>
          <w:color w:val="auto"/>
        </w:rPr>
        <w:t>对危险废物存储规模为</w:t>
      </w:r>
      <w:r>
        <w:rPr>
          <w:color w:val="auto"/>
        </w:rPr>
        <w:t>10</w:t>
      </w:r>
      <w:r>
        <w:rPr>
          <w:color w:val="auto"/>
        </w:rPr>
        <w:t>万</w:t>
      </w:r>
      <w:r>
        <w:rPr>
          <w:color w:val="auto"/>
        </w:rPr>
        <w:t>t/a</w:t>
      </w:r>
      <w:r>
        <w:rPr>
          <w:color w:val="auto"/>
        </w:rPr>
        <w:t>，运行时间</w:t>
      </w:r>
      <w:r>
        <w:rPr>
          <w:color w:val="auto"/>
        </w:rPr>
        <w:t>7200h</w:t>
      </w:r>
      <w:r>
        <w:rPr>
          <w:color w:val="auto"/>
        </w:rPr>
        <w:t>。封闭式结构设置负压系统（</w:t>
      </w:r>
      <w:r>
        <w:rPr>
          <w:color w:val="auto"/>
        </w:rPr>
        <w:t>-</w:t>
      </w:r>
      <w:r>
        <w:rPr>
          <w:rFonts w:hint="eastAsia"/>
          <w:color w:val="auto"/>
        </w:rPr>
        <w:t>2</w:t>
      </w:r>
      <w:r>
        <w:rPr>
          <w:color w:val="auto"/>
        </w:rPr>
        <w:t>0Pa</w:t>
      </w:r>
      <w:r>
        <w:rPr>
          <w:color w:val="auto"/>
        </w:rPr>
        <w:t>），废气捕集率</w:t>
      </w:r>
      <w:r>
        <w:rPr>
          <w:rFonts w:hint="eastAsia"/>
          <w:color w:val="auto"/>
        </w:rPr>
        <w:t>设计值</w:t>
      </w:r>
      <w:r>
        <w:rPr>
          <w:color w:val="auto"/>
        </w:rPr>
        <w:t>90%</w:t>
      </w:r>
      <w:r>
        <w:rPr>
          <w:color w:val="auto"/>
        </w:rPr>
        <w:t>。当回转窑</w:t>
      </w:r>
      <w:r>
        <w:rPr>
          <w:color w:val="auto"/>
          <w:lang w:val="en-US"/>
        </w:rPr>
        <w:t>检修停车等非正常工况时，</w:t>
      </w:r>
      <w:r>
        <w:rPr>
          <w:color w:val="auto"/>
        </w:rPr>
        <w:t>收集的废气采用</w:t>
      </w:r>
      <w:r>
        <w:rPr>
          <w:color w:val="auto"/>
          <w:lang w:val="en-US"/>
        </w:rPr>
        <w:t>“</w:t>
      </w:r>
      <w:r>
        <w:rPr>
          <w:rFonts w:hint="eastAsia"/>
          <w:color w:val="auto"/>
          <w:lang w:val="en-US"/>
        </w:rPr>
        <w:t>等离子</w:t>
      </w:r>
      <w:r>
        <w:rPr>
          <w:color w:val="auto"/>
          <w:lang w:val="en-US"/>
        </w:rPr>
        <w:t>+</w:t>
      </w:r>
      <w:r>
        <w:rPr>
          <w:color w:val="auto"/>
          <w:lang w:val="en-US"/>
        </w:rPr>
        <w:t>活性炭吸附</w:t>
      </w:r>
      <w:r>
        <w:rPr>
          <w:color w:val="auto"/>
          <w:lang w:val="en-US"/>
        </w:rPr>
        <w:t>”</w:t>
      </w:r>
      <w:r>
        <w:rPr>
          <w:color w:val="auto"/>
          <w:lang w:val="en-US"/>
        </w:rPr>
        <w:t>处理后排放。污染物去除效率按硫化氢</w:t>
      </w:r>
      <w:r>
        <w:rPr>
          <w:color w:val="auto"/>
          <w:lang w:val="en-US"/>
        </w:rPr>
        <w:t>90%</w:t>
      </w:r>
      <w:r>
        <w:rPr>
          <w:color w:val="auto"/>
          <w:lang w:val="en-US"/>
        </w:rPr>
        <w:t>、氨</w:t>
      </w:r>
      <w:r>
        <w:rPr>
          <w:color w:val="auto"/>
          <w:lang w:val="en-US"/>
        </w:rPr>
        <w:t>90%</w:t>
      </w:r>
      <w:r>
        <w:rPr>
          <w:color w:val="auto"/>
          <w:lang w:val="en-US"/>
        </w:rPr>
        <w:t>、非甲烷总烃</w:t>
      </w:r>
      <w:r>
        <w:rPr>
          <w:color w:val="auto"/>
          <w:lang w:val="en-US"/>
        </w:rPr>
        <w:t>90%</w:t>
      </w:r>
      <w:r>
        <w:rPr>
          <w:color w:val="auto"/>
          <w:lang w:val="en-US"/>
        </w:rPr>
        <w:t>计。根据</w:t>
      </w:r>
      <w:r>
        <w:rPr>
          <w:color w:val="auto"/>
          <w:lang w:val="en-US"/>
        </w:rPr>
        <w:t>2025</w:t>
      </w:r>
      <w:r>
        <w:rPr>
          <w:color w:val="auto"/>
          <w:lang w:val="en-US"/>
        </w:rPr>
        <w:t>年企业自行监测报告的最大排放速率核算污染物产生速率。</w:t>
      </w:r>
      <w:r>
        <w:rPr>
          <w:color w:val="auto"/>
        </w:rPr>
        <w:t>吉木萨尔协同处置项目的危废联合贮存库</w:t>
      </w:r>
      <w:r>
        <w:rPr>
          <w:color w:val="auto"/>
          <w:lang w:val="en-US"/>
        </w:rPr>
        <w:t>污染物产生与排放情况，见表</w:t>
      </w:r>
      <w:r>
        <w:rPr>
          <w:color w:val="auto"/>
          <w:lang w:val="en-US"/>
        </w:rPr>
        <w:t>3.5-13</w:t>
      </w:r>
      <w:r>
        <w:rPr>
          <w:color w:val="auto"/>
          <w:lang w:val="en-US"/>
        </w:rPr>
        <w:t>。</w:t>
      </w:r>
    </w:p>
    <w:p w14:paraId="04C3411B" w14:textId="77777777" w:rsidR="002E474C" w:rsidRDefault="00000000">
      <w:pPr>
        <w:pStyle w:val="A--"/>
        <w:rPr>
          <w:color w:val="auto"/>
        </w:rPr>
      </w:pPr>
      <w:r>
        <w:rPr>
          <w:color w:val="auto"/>
        </w:rPr>
        <w:t>表</w:t>
      </w:r>
      <w:r>
        <w:rPr>
          <w:color w:val="auto"/>
        </w:rPr>
        <w:t xml:space="preserve">3.5-13  </w:t>
      </w:r>
      <w:r>
        <w:rPr>
          <w:color w:val="auto"/>
        </w:rPr>
        <w:t>吉木萨尔协同处置项目的贮存库污染物产排情况</w:t>
      </w:r>
    </w:p>
    <w:tbl>
      <w:tblPr>
        <w:tblStyle w:val="affff9"/>
        <w:tblW w:w="5000" w:type="pct"/>
        <w:tblLook w:val="04A0" w:firstRow="1" w:lastRow="0" w:firstColumn="1" w:lastColumn="0" w:noHBand="0" w:noVBand="1"/>
      </w:tblPr>
      <w:tblGrid>
        <w:gridCol w:w="847"/>
        <w:gridCol w:w="1239"/>
        <w:gridCol w:w="947"/>
        <w:gridCol w:w="1415"/>
        <w:gridCol w:w="1020"/>
        <w:gridCol w:w="1416"/>
        <w:gridCol w:w="1412"/>
      </w:tblGrid>
      <w:tr w:rsidR="002E474C" w14:paraId="44759701" w14:textId="77777777">
        <w:tc>
          <w:tcPr>
            <w:tcW w:w="498" w:type="pct"/>
            <w:vAlign w:val="center"/>
          </w:tcPr>
          <w:p w14:paraId="51A54B20" w14:textId="77777777" w:rsidR="002E474C" w:rsidRDefault="00000000">
            <w:pPr>
              <w:pStyle w:val="A-"/>
            </w:pPr>
            <w:r>
              <w:t>污染物</w:t>
            </w:r>
          </w:p>
        </w:tc>
        <w:tc>
          <w:tcPr>
            <w:tcW w:w="749" w:type="pct"/>
            <w:vAlign w:val="center"/>
          </w:tcPr>
          <w:p w14:paraId="4D3FEBCE" w14:textId="77777777" w:rsidR="002E474C" w:rsidRDefault="00000000">
            <w:pPr>
              <w:pStyle w:val="A-"/>
            </w:pPr>
            <w:r>
              <w:t>产生速率（</w:t>
            </w:r>
            <w:r>
              <w:rPr>
                <w:rStyle w:val="font21"/>
                <w:rFonts w:ascii="Times New Roman" w:hAnsi="Times New Roman" w:cs="Times New Roman" w:hint="default"/>
                <w:color w:val="auto"/>
              </w:rPr>
              <w:t>kg/h</w:t>
            </w:r>
            <w:r>
              <w:t>）</w:t>
            </w:r>
          </w:p>
        </w:tc>
        <w:tc>
          <w:tcPr>
            <w:tcW w:w="573" w:type="pct"/>
            <w:vAlign w:val="center"/>
          </w:tcPr>
          <w:p w14:paraId="28462E3B" w14:textId="77777777" w:rsidR="002E474C" w:rsidRDefault="00000000">
            <w:pPr>
              <w:pStyle w:val="A-"/>
            </w:pPr>
            <w:r>
              <w:t>收集效率（</w:t>
            </w:r>
            <w:r>
              <w:rPr>
                <w:rStyle w:val="font21"/>
                <w:rFonts w:ascii="Times New Roman" w:hAnsi="Times New Roman" w:cs="Times New Roman" w:hint="default"/>
                <w:color w:val="auto"/>
              </w:rPr>
              <w:t>%</w:t>
            </w:r>
            <w:r>
              <w:t>）</w:t>
            </w:r>
          </w:p>
        </w:tc>
        <w:tc>
          <w:tcPr>
            <w:tcW w:w="855" w:type="pct"/>
            <w:vAlign w:val="center"/>
          </w:tcPr>
          <w:p w14:paraId="27685298" w14:textId="77777777" w:rsidR="002E474C" w:rsidRDefault="00000000">
            <w:pPr>
              <w:pStyle w:val="A-"/>
            </w:pPr>
            <w:r>
              <w:t>有组织收集速率（</w:t>
            </w:r>
            <w:r>
              <w:rPr>
                <w:rStyle w:val="font21"/>
                <w:rFonts w:ascii="Times New Roman" w:hAnsi="Times New Roman" w:cs="Times New Roman" w:hint="default"/>
                <w:color w:val="auto"/>
              </w:rPr>
              <w:t>kg/h</w:t>
            </w:r>
            <w:r>
              <w:t>）</w:t>
            </w:r>
          </w:p>
        </w:tc>
        <w:tc>
          <w:tcPr>
            <w:tcW w:w="617" w:type="pct"/>
            <w:vAlign w:val="center"/>
          </w:tcPr>
          <w:p w14:paraId="68355DCB" w14:textId="77777777" w:rsidR="002E474C" w:rsidRDefault="00000000">
            <w:pPr>
              <w:pStyle w:val="A-"/>
            </w:pPr>
            <w:r>
              <w:t>处理效率（</w:t>
            </w:r>
            <w:r>
              <w:t>%</w:t>
            </w:r>
            <w:r>
              <w:t>）</w:t>
            </w:r>
          </w:p>
        </w:tc>
        <w:tc>
          <w:tcPr>
            <w:tcW w:w="855" w:type="pct"/>
            <w:vAlign w:val="center"/>
          </w:tcPr>
          <w:p w14:paraId="625C2703" w14:textId="77777777" w:rsidR="002E474C" w:rsidRDefault="00000000">
            <w:pPr>
              <w:pStyle w:val="A-"/>
            </w:pPr>
            <w:r>
              <w:t>有组织排放速率（</w:t>
            </w:r>
            <w:r>
              <w:rPr>
                <w:rStyle w:val="font21"/>
                <w:rFonts w:ascii="Times New Roman" w:hAnsi="Times New Roman" w:cs="Times New Roman" w:hint="default"/>
                <w:color w:val="auto"/>
              </w:rPr>
              <w:t>kg/h</w:t>
            </w:r>
            <w:r>
              <w:t>）</w:t>
            </w:r>
          </w:p>
        </w:tc>
        <w:tc>
          <w:tcPr>
            <w:tcW w:w="855" w:type="pct"/>
            <w:vAlign w:val="center"/>
          </w:tcPr>
          <w:p w14:paraId="04517802" w14:textId="77777777" w:rsidR="002E474C" w:rsidRDefault="00000000">
            <w:pPr>
              <w:pStyle w:val="A-"/>
            </w:pPr>
            <w:r>
              <w:t>无组织排放速率（</w:t>
            </w:r>
            <w:r>
              <w:rPr>
                <w:rStyle w:val="font21"/>
                <w:rFonts w:ascii="Times New Roman" w:hAnsi="Times New Roman" w:cs="Times New Roman" w:hint="default"/>
                <w:color w:val="auto"/>
              </w:rPr>
              <w:t>kg/h</w:t>
            </w:r>
            <w:r>
              <w:t>）</w:t>
            </w:r>
          </w:p>
        </w:tc>
      </w:tr>
      <w:tr w:rsidR="002E474C" w14:paraId="1B5DAD29" w14:textId="77777777">
        <w:tc>
          <w:tcPr>
            <w:tcW w:w="498" w:type="pct"/>
            <w:vAlign w:val="center"/>
          </w:tcPr>
          <w:p w14:paraId="6E2ED6A1" w14:textId="77777777" w:rsidR="002E474C" w:rsidRDefault="00000000">
            <w:pPr>
              <w:pStyle w:val="A-"/>
            </w:pPr>
            <w:r>
              <w:rPr>
                <w:rStyle w:val="font21"/>
                <w:rFonts w:ascii="Times New Roman" w:hAnsi="Times New Roman" w:cs="Times New Roman" w:hint="default"/>
                <w:color w:val="auto"/>
                <w:sz w:val="21"/>
                <w:szCs w:val="21"/>
              </w:rPr>
              <w:t>H</w:t>
            </w:r>
            <w:r>
              <w:rPr>
                <w:rStyle w:val="font31"/>
                <w:rFonts w:ascii="Times New Roman" w:hAnsi="Times New Roman" w:hint="default"/>
                <w:color w:val="auto"/>
                <w:sz w:val="21"/>
                <w:szCs w:val="21"/>
                <w:vertAlign w:val="subscript"/>
              </w:rPr>
              <w:t>2</w:t>
            </w:r>
            <w:r>
              <w:rPr>
                <w:rStyle w:val="font21"/>
                <w:rFonts w:ascii="Times New Roman" w:hAnsi="Times New Roman" w:cs="Times New Roman" w:hint="default"/>
                <w:color w:val="auto"/>
                <w:sz w:val="21"/>
                <w:szCs w:val="21"/>
              </w:rPr>
              <w:t>S</w:t>
            </w:r>
          </w:p>
        </w:tc>
        <w:tc>
          <w:tcPr>
            <w:tcW w:w="749" w:type="pct"/>
            <w:vAlign w:val="center"/>
          </w:tcPr>
          <w:p w14:paraId="15ECD374" w14:textId="77777777" w:rsidR="002E474C" w:rsidRDefault="00000000">
            <w:pPr>
              <w:pStyle w:val="A-"/>
            </w:pPr>
            <w:r>
              <w:t xml:space="preserve">0.10 </w:t>
            </w:r>
          </w:p>
        </w:tc>
        <w:tc>
          <w:tcPr>
            <w:tcW w:w="573" w:type="pct"/>
            <w:vAlign w:val="center"/>
          </w:tcPr>
          <w:p w14:paraId="3978D172" w14:textId="77777777" w:rsidR="002E474C" w:rsidRDefault="00000000">
            <w:pPr>
              <w:pStyle w:val="A-"/>
            </w:pPr>
            <w:r>
              <w:t>90</w:t>
            </w:r>
          </w:p>
        </w:tc>
        <w:tc>
          <w:tcPr>
            <w:tcW w:w="855" w:type="pct"/>
            <w:vAlign w:val="center"/>
          </w:tcPr>
          <w:p w14:paraId="6B07E71E" w14:textId="77777777" w:rsidR="002E474C" w:rsidRDefault="00000000">
            <w:pPr>
              <w:pStyle w:val="A-"/>
            </w:pPr>
            <w:r>
              <w:t>0.0938</w:t>
            </w:r>
          </w:p>
        </w:tc>
        <w:tc>
          <w:tcPr>
            <w:tcW w:w="617" w:type="pct"/>
            <w:vAlign w:val="center"/>
          </w:tcPr>
          <w:p w14:paraId="293A4889" w14:textId="77777777" w:rsidR="002E474C" w:rsidRDefault="00000000">
            <w:pPr>
              <w:pStyle w:val="A-"/>
            </w:pPr>
            <w:r>
              <w:t>90</w:t>
            </w:r>
          </w:p>
        </w:tc>
        <w:tc>
          <w:tcPr>
            <w:tcW w:w="855" w:type="pct"/>
            <w:vAlign w:val="center"/>
          </w:tcPr>
          <w:p w14:paraId="3BFD7321" w14:textId="77777777" w:rsidR="002E474C" w:rsidRDefault="00000000">
            <w:pPr>
              <w:pStyle w:val="A-"/>
            </w:pPr>
            <w:r>
              <w:t>0.00938</w:t>
            </w:r>
          </w:p>
        </w:tc>
        <w:tc>
          <w:tcPr>
            <w:tcW w:w="855" w:type="pct"/>
            <w:vAlign w:val="center"/>
          </w:tcPr>
          <w:p w14:paraId="05369E25" w14:textId="77777777" w:rsidR="002E474C" w:rsidRDefault="00000000">
            <w:pPr>
              <w:pStyle w:val="A-"/>
            </w:pPr>
            <w:r>
              <w:t xml:space="preserve">0.010 </w:t>
            </w:r>
          </w:p>
        </w:tc>
      </w:tr>
      <w:tr w:rsidR="002E474C" w14:paraId="38BA9C41" w14:textId="77777777">
        <w:tc>
          <w:tcPr>
            <w:tcW w:w="498" w:type="pct"/>
            <w:vAlign w:val="center"/>
          </w:tcPr>
          <w:p w14:paraId="73C8CED0" w14:textId="77777777" w:rsidR="002E474C" w:rsidRDefault="00000000">
            <w:pPr>
              <w:pStyle w:val="A-"/>
            </w:pPr>
            <w:r>
              <w:rPr>
                <w:rStyle w:val="font21"/>
                <w:rFonts w:ascii="Times New Roman" w:hAnsi="Times New Roman" w:cs="Times New Roman" w:hint="default"/>
                <w:color w:val="auto"/>
                <w:sz w:val="21"/>
                <w:szCs w:val="21"/>
              </w:rPr>
              <w:t>NH</w:t>
            </w:r>
            <w:r>
              <w:rPr>
                <w:rStyle w:val="font31"/>
                <w:rFonts w:ascii="Times New Roman" w:hAnsi="Times New Roman" w:hint="default"/>
                <w:color w:val="auto"/>
                <w:sz w:val="21"/>
                <w:szCs w:val="21"/>
                <w:vertAlign w:val="subscript"/>
              </w:rPr>
              <w:t>3</w:t>
            </w:r>
          </w:p>
        </w:tc>
        <w:tc>
          <w:tcPr>
            <w:tcW w:w="749" w:type="pct"/>
            <w:vAlign w:val="center"/>
          </w:tcPr>
          <w:p w14:paraId="79B3085B" w14:textId="77777777" w:rsidR="002E474C" w:rsidRDefault="00000000">
            <w:pPr>
              <w:pStyle w:val="A-"/>
            </w:pPr>
            <w:r>
              <w:t xml:space="preserve">1.28 </w:t>
            </w:r>
          </w:p>
        </w:tc>
        <w:tc>
          <w:tcPr>
            <w:tcW w:w="573" w:type="pct"/>
            <w:vAlign w:val="center"/>
          </w:tcPr>
          <w:p w14:paraId="64548291" w14:textId="77777777" w:rsidR="002E474C" w:rsidRDefault="00000000">
            <w:pPr>
              <w:pStyle w:val="A-"/>
            </w:pPr>
            <w:r>
              <w:t>90</w:t>
            </w:r>
          </w:p>
        </w:tc>
        <w:tc>
          <w:tcPr>
            <w:tcW w:w="855" w:type="pct"/>
            <w:vAlign w:val="center"/>
          </w:tcPr>
          <w:p w14:paraId="1921EA17" w14:textId="77777777" w:rsidR="002E474C" w:rsidRDefault="00000000">
            <w:pPr>
              <w:pStyle w:val="A-"/>
            </w:pPr>
            <w:r>
              <w:t>1.15</w:t>
            </w:r>
          </w:p>
        </w:tc>
        <w:tc>
          <w:tcPr>
            <w:tcW w:w="617" w:type="pct"/>
            <w:vAlign w:val="center"/>
          </w:tcPr>
          <w:p w14:paraId="451E4008" w14:textId="77777777" w:rsidR="002E474C" w:rsidRDefault="00000000">
            <w:pPr>
              <w:pStyle w:val="A-"/>
            </w:pPr>
            <w:r>
              <w:t>90</w:t>
            </w:r>
          </w:p>
        </w:tc>
        <w:tc>
          <w:tcPr>
            <w:tcW w:w="855" w:type="pct"/>
            <w:vAlign w:val="center"/>
          </w:tcPr>
          <w:p w14:paraId="348B5E48" w14:textId="77777777" w:rsidR="002E474C" w:rsidRDefault="00000000">
            <w:pPr>
              <w:pStyle w:val="A-"/>
            </w:pPr>
            <w:r>
              <w:t xml:space="preserve">0.115 </w:t>
            </w:r>
          </w:p>
        </w:tc>
        <w:tc>
          <w:tcPr>
            <w:tcW w:w="855" w:type="pct"/>
            <w:vAlign w:val="center"/>
          </w:tcPr>
          <w:p w14:paraId="61ACAECB" w14:textId="77777777" w:rsidR="002E474C" w:rsidRDefault="00000000">
            <w:pPr>
              <w:pStyle w:val="A-"/>
            </w:pPr>
            <w:r>
              <w:t xml:space="preserve">0.128 </w:t>
            </w:r>
          </w:p>
        </w:tc>
      </w:tr>
      <w:tr w:rsidR="002E474C" w14:paraId="0C32948C" w14:textId="77777777">
        <w:tc>
          <w:tcPr>
            <w:tcW w:w="498" w:type="pct"/>
            <w:vAlign w:val="center"/>
          </w:tcPr>
          <w:p w14:paraId="6A0942C7" w14:textId="77777777" w:rsidR="002E474C" w:rsidRDefault="00000000">
            <w:pPr>
              <w:pStyle w:val="A-"/>
            </w:pPr>
            <w:r>
              <w:t>NMHC</w:t>
            </w:r>
          </w:p>
        </w:tc>
        <w:tc>
          <w:tcPr>
            <w:tcW w:w="749" w:type="pct"/>
            <w:vAlign w:val="center"/>
          </w:tcPr>
          <w:p w14:paraId="0053ABFB" w14:textId="77777777" w:rsidR="002E474C" w:rsidRDefault="00000000">
            <w:pPr>
              <w:pStyle w:val="A-"/>
            </w:pPr>
            <w:r>
              <w:t xml:space="preserve">1.39 </w:t>
            </w:r>
          </w:p>
        </w:tc>
        <w:tc>
          <w:tcPr>
            <w:tcW w:w="573" w:type="pct"/>
            <w:vAlign w:val="center"/>
          </w:tcPr>
          <w:p w14:paraId="24F96DF0" w14:textId="77777777" w:rsidR="002E474C" w:rsidRDefault="00000000">
            <w:pPr>
              <w:pStyle w:val="A-"/>
            </w:pPr>
            <w:r>
              <w:t>90</w:t>
            </w:r>
          </w:p>
        </w:tc>
        <w:tc>
          <w:tcPr>
            <w:tcW w:w="855" w:type="pct"/>
            <w:vAlign w:val="center"/>
          </w:tcPr>
          <w:p w14:paraId="0FFB5B0C" w14:textId="77777777" w:rsidR="002E474C" w:rsidRDefault="00000000">
            <w:pPr>
              <w:pStyle w:val="A-"/>
            </w:pPr>
            <w:r>
              <w:t>1.25</w:t>
            </w:r>
          </w:p>
        </w:tc>
        <w:tc>
          <w:tcPr>
            <w:tcW w:w="617" w:type="pct"/>
            <w:vAlign w:val="center"/>
          </w:tcPr>
          <w:p w14:paraId="38E08878" w14:textId="77777777" w:rsidR="002E474C" w:rsidRDefault="00000000">
            <w:pPr>
              <w:pStyle w:val="A-"/>
            </w:pPr>
            <w:r>
              <w:t>90</w:t>
            </w:r>
          </w:p>
        </w:tc>
        <w:tc>
          <w:tcPr>
            <w:tcW w:w="855" w:type="pct"/>
            <w:vAlign w:val="center"/>
          </w:tcPr>
          <w:p w14:paraId="18E02469" w14:textId="77777777" w:rsidR="002E474C" w:rsidRDefault="00000000">
            <w:pPr>
              <w:pStyle w:val="A-"/>
            </w:pPr>
            <w:r>
              <w:t>0.125</w:t>
            </w:r>
          </w:p>
        </w:tc>
        <w:tc>
          <w:tcPr>
            <w:tcW w:w="855" w:type="pct"/>
            <w:vAlign w:val="center"/>
          </w:tcPr>
          <w:p w14:paraId="69E18830" w14:textId="77777777" w:rsidR="002E474C" w:rsidRDefault="00000000">
            <w:pPr>
              <w:pStyle w:val="A-"/>
            </w:pPr>
            <w:r>
              <w:t xml:space="preserve">0.139 </w:t>
            </w:r>
          </w:p>
        </w:tc>
      </w:tr>
    </w:tbl>
    <w:p w14:paraId="0B79830C" w14:textId="77777777" w:rsidR="002E474C" w:rsidRDefault="002E474C"/>
    <w:p w14:paraId="4FA52213" w14:textId="77777777" w:rsidR="002E474C" w:rsidRDefault="00000000">
      <w:pPr>
        <w:pStyle w:val="A-z"/>
        <w:rPr>
          <w:color w:val="auto"/>
        </w:rPr>
      </w:pPr>
      <w:r>
        <w:rPr>
          <w:rFonts w:hint="eastAsia"/>
          <w:color w:val="auto"/>
          <w:lang w:val="en-US"/>
        </w:rPr>
        <w:t>本次评价</w:t>
      </w:r>
      <w:r>
        <w:rPr>
          <w:color w:val="auto"/>
          <w:lang w:val="en-US"/>
        </w:rPr>
        <w:t>参照</w:t>
      </w:r>
      <w:r>
        <w:rPr>
          <w:color w:val="auto"/>
        </w:rPr>
        <w:t>吉木萨尔协同处置项目危废联合贮存库的污染物初始产生量，同时类比本项目</w:t>
      </w:r>
      <w:r>
        <w:rPr>
          <w:color w:val="auto"/>
          <w:lang w:val="en-US"/>
        </w:rPr>
        <w:t>危险废物贮存规模，计算本项目</w:t>
      </w:r>
      <w:r>
        <w:rPr>
          <w:color w:val="auto"/>
        </w:rPr>
        <w:t>危废贮存设施有组织废气污染源</w:t>
      </w:r>
      <w:r>
        <w:rPr>
          <w:color w:val="auto"/>
        </w:rPr>
        <w:lastRenderedPageBreak/>
        <w:t>强。</w:t>
      </w:r>
    </w:p>
    <w:p w14:paraId="0D190E05" w14:textId="77777777" w:rsidR="002E474C" w:rsidRDefault="00000000">
      <w:pPr>
        <w:pStyle w:val="A-z"/>
        <w:rPr>
          <w:color w:val="auto"/>
        </w:rPr>
      </w:pPr>
      <w:r>
        <w:rPr>
          <w:rFonts w:hint="eastAsia"/>
          <w:color w:val="auto"/>
        </w:rPr>
        <w:t>本项目</w:t>
      </w:r>
      <w:r>
        <w:rPr>
          <w:color w:val="auto"/>
        </w:rPr>
        <w:t>固态危废预处理车间</w:t>
      </w:r>
      <w:r>
        <w:rPr>
          <w:rFonts w:hint="eastAsia"/>
          <w:color w:val="auto"/>
        </w:rPr>
        <w:t>危废贮存区</w:t>
      </w:r>
      <w:r>
        <w:rPr>
          <w:color w:val="auto"/>
        </w:rPr>
        <w:t>和危废贮存库内均为封闭式结构，对危险废物存储规模为</w:t>
      </w:r>
      <w:r>
        <w:rPr>
          <w:color w:val="auto"/>
        </w:rPr>
        <w:t>5</w:t>
      </w:r>
      <w:r>
        <w:rPr>
          <w:color w:val="auto"/>
        </w:rPr>
        <w:t>万</w:t>
      </w:r>
      <w:r>
        <w:rPr>
          <w:color w:val="auto"/>
        </w:rPr>
        <w:t>t/a</w:t>
      </w:r>
      <w:r>
        <w:rPr>
          <w:color w:val="auto"/>
        </w:rPr>
        <w:t>，设一套负压系统（</w:t>
      </w:r>
      <w:r>
        <w:rPr>
          <w:color w:val="auto"/>
        </w:rPr>
        <w:t>-50Pa</w:t>
      </w:r>
      <w:r>
        <w:rPr>
          <w:color w:val="auto"/>
        </w:rPr>
        <w:t>）收集废气，</w:t>
      </w:r>
      <w:r>
        <w:rPr>
          <w:color w:val="auto"/>
          <w:lang w:val="en-US"/>
        </w:rPr>
        <w:t>废气捕集率不低于</w:t>
      </w:r>
      <w:r>
        <w:rPr>
          <w:color w:val="auto"/>
          <w:lang w:val="en-US"/>
        </w:rPr>
        <w:t>99%</w:t>
      </w:r>
      <w:r>
        <w:rPr>
          <w:color w:val="auto"/>
          <w:lang w:val="en-US"/>
        </w:rPr>
        <w:t>。集气风机的风量为</w:t>
      </w:r>
      <w:r>
        <w:rPr>
          <w:color w:val="auto"/>
          <w:lang w:val="en-US"/>
        </w:rPr>
        <w:t>15000m</w:t>
      </w:r>
      <w:r>
        <w:rPr>
          <w:color w:val="auto"/>
          <w:vertAlign w:val="superscript"/>
          <w:lang w:val="en-US"/>
        </w:rPr>
        <w:t>3</w:t>
      </w:r>
      <w:r>
        <w:rPr>
          <w:color w:val="auto"/>
          <w:lang w:val="en-US"/>
        </w:rPr>
        <w:t>/h</w:t>
      </w:r>
      <w:r>
        <w:rPr>
          <w:color w:val="auto"/>
          <w:lang w:val="en-US"/>
        </w:rPr>
        <w:t>，</w:t>
      </w:r>
      <w:r>
        <w:rPr>
          <w:color w:val="auto"/>
        </w:rPr>
        <w:t>废气采用两级活性炭吸附处理，</w:t>
      </w:r>
      <w:r>
        <w:rPr>
          <w:color w:val="auto"/>
          <w:lang w:val="en-US"/>
        </w:rPr>
        <w:t>各项污染物去除效率按硫化氢</w:t>
      </w:r>
      <w:r>
        <w:rPr>
          <w:color w:val="auto"/>
          <w:lang w:val="en-US"/>
        </w:rPr>
        <w:t>90%</w:t>
      </w:r>
      <w:r>
        <w:rPr>
          <w:color w:val="auto"/>
          <w:lang w:val="en-US"/>
        </w:rPr>
        <w:t>、氨</w:t>
      </w:r>
      <w:r>
        <w:rPr>
          <w:color w:val="auto"/>
          <w:lang w:val="en-US"/>
        </w:rPr>
        <w:t>90%</w:t>
      </w:r>
      <w:r>
        <w:rPr>
          <w:color w:val="auto"/>
          <w:lang w:val="en-US"/>
        </w:rPr>
        <w:t>、非甲烷总烃</w:t>
      </w:r>
      <w:r>
        <w:rPr>
          <w:color w:val="auto"/>
          <w:lang w:val="en-US"/>
        </w:rPr>
        <w:t>90%</w:t>
      </w:r>
      <w:r>
        <w:rPr>
          <w:color w:val="auto"/>
          <w:lang w:val="en-US"/>
        </w:rPr>
        <w:t>计，处理后</w:t>
      </w:r>
      <w:r>
        <w:rPr>
          <w:color w:val="auto"/>
        </w:rPr>
        <w:t>经</w:t>
      </w:r>
      <w:r>
        <w:rPr>
          <w:color w:val="auto"/>
        </w:rPr>
        <w:t>15m</w:t>
      </w:r>
      <w:r>
        <w:rPr>
          <w:color w:val="auto"/>
        </w:rPr>
        <w:t>排气筒排放。根据类比，本项目危废贮存废气污染物产生源强汇总，见表</w:t>
      </w:r>
      <w:r>
        <w:rPr>
          <w:color w:val="auto"/>
        </w:rPr>
        <w:t>3.5-14</w:t>
      </w:r>
      <w:r>
        <w:rPr>
          <w:color w:val="auto"/>
        </w:rPr>
        <w:t>。</w:t>
      </w:r>
    </w:p>
    <w:p w14:paraId="153B8480" w14:textId="77777777" w:rsidR="002E474C" w:rsidRDefault="00000000">
      <w:pPr>
        <w:pStyle w:val="A--"/>
        <w:rPr>
          <w:rStyle w:val="A-Char"/>
          <w:color w:val="auto"/>
        </w:rPr>
      </w:pPr>
      <w:r>
        <w:rPr>
          <w:rStyle w:val="A-Char"/>
          <w:color w:val="auto"/>
        </w:rPr>
        <w:t>表</w:t>
      </w:r>
      <w:r>
        <w:rPr>
          <w:rStyle w:val="A-Char"/>
          <w:color w:val="auto"/>
        </w:rPr>
        <w:t xml:space="preserve">3.5-14  </w:t>
      </w:r>
      <w:r>
        <w:rPr>
          <w:color w:val="auto"/>
        </w:rPr>
        <w:t>本项目危废贮存废气</w:t>
      </w:r>
      <w:r>
        <w:rPr>
          <w:rStyle w:val="A-Char"/>
          <w:color w:val="auto"/>
        </w:rPr>
        <w:t>污染物产生源强汇总表</w:t>
      </w:r>
    </w:p>
    <w:tbl>
      <w:tblPr>
        <w:tblStyle w:val="affff9"/>
        <w:tblW w:w="4943" w:type="pct"/>
        <w:tblLook w:val="04A0" w:firstRow="1" w:lastRow="0" w:firstColumn="1" w:lastColumn="0" w:noHBand="0" w:noVBand="1"/>
      </w:tblPr>
      <w:tblGrid>
        <w:gridCol w:w="847"/>
        <w:gridCol w:w="1010"/>
        <w:gridCol w:w="811"/>
        <w:gridCol w:w="1010"/>
        <w:gridCol w:w="1010"/>
        <w:gridCol w:w="811"/>
        <w:gridCol w:w="1010"/>
        <w:gridCol w:w="846"/>
        <w:gridCol w:w="846"/>
      </w:tblGrid>
      <w:tr w:rsidR="002E474C" w14:paraId="406E3E5E" w14:textId="77777777">
        <w:trPr>
          <w:trHeight w:val="795"/>
        </w:trPr>
        <w:tc>
          <w:tcPr>
            <w:tcW w:w="516" w:type="pct"/>
            <w:noWrap/>
            <w:vAlign w:val="center"/>
          </w:tcPr>
          <w:p w14:paraId="2756DC32" w14:textId="77777777" w:rsidR="002E474C" w:rsidRDefault="00000000">
            <w:pPr>
              <w:pStyle w:val="A-"/>
            </w:pPr>
            <w:r>
              <w:t>污染物</w:t>
            </w:r>
          </w:p>
        </w:tc>
        <w:tc>
          <w:tcPr>
            <w:tcW w:w="616" w:type="pct"/>
          </w:tcPr>
          <w:p w14:paraId="4A4A3EC2" w14:textId="77777777" w:rsidR="002E474C" w:rsidRDefault="00000000">
            <w:pPr>
              <w:pStyle w:val="A-"/>
            </w:pPr>
            <w:r>
              <w:t>产生速率（</w:t>
            </w:r>
            <w:r>
              <w:t>kg/h</w:t>
            </w:r>
            <w:r>
              <w:t>）</w:t>
            </w:r>
          </w:p>
        </w:tc>
        <w:tc>
          <w:tcPr>
            <w:tcW w:w="494" w:type="pct"/>
          </w:tcPr>
          <w:p w14:paraId="1D567517" w14:textId="77777777" w:rsidR="002E474C" w:rsidRDefault="00000000">
            <w:pPr>
              <w:pStyle w:val="A-"/>
            </w:pPr>
            <w:r>
              <w:t>收集效率（</w:t>
            </w:r>
            <w:r>
              <w:t>%</w:t>
            </w:r>
            <w:r>
              <w:t>）</w:t>
            </w:r>
          </w:p>
        </w:tc>
        <w:tc>
          <w:tcPr>
            <w:tcW w:w="616" w:type="pct"/>
          </w:tcPr>
          <w:p w14:paraId="18D6BA51" w14:textId="77777777" w:rsidR="002E474C" w:rsidRDefault="00000000">
            <w:pPr>
              <w:pStyle w:val="A-"/>
            </w:pPr>
            <w:r>
              <w:t>有组织收集速率（</w:t>
            </w:r>
            <w:r>
              <w:t>kg/h</w:t>
            </w:r>
            <w:r>
              <w:t>）</w:t>
            </w:r>
          </w:p>
        </w:tc>
        <w:tc>
          <w:tcPr>
            <w:tcW w:w="616" w:type="pct"/>
          </w:tcPr>
          <w:p w14:paraId="00B6696E" w14:textId="77777777" w:rsidR="002E474C" w:rsidRDefault="00000000">
            <w:pPr>
              <w:pStyle w:val="A-"/>
            </w:pPr>
            <w:r>
              <w:t>无组织排放速率（</w:t>
            </w:r>
            <w:r>
              <w:t>kg/h</w:t>
            </w:r>
            <w:r>
              <w:t>）</w:t>
            </w:r>
          </w:p>
        </w:tc>
        <w:tc>
          <w:tcPr>
            <w:tcW w:w="494" w:type="pct"/>
          </w:tcPr>
          <w:p w14:paraId="70F756AF" w14:textId="77777777" w:rsidR="002E474C" w:rsidRDefault="00000000">
            <w:pPr>
              <w:pStyle w:val="A-"/>
            </w:pPr>
            <w:r>
              <w:t>处理效率（</w:t>
            </w:r>
            <w:r>
              <w:t>%</w:t>
            </w:r>
            <w:r>
              <w:t>）</w:t>
            </w:r>
          </w:p>
        </w:tc>
        <w:tc>
          <w:tcPr>
            <w:tcW w:w="616" w:type="pct"/>
          </w:tcPr>
          <w:p w14:paraId="5BC55A7B" w14:textId="77777777" w:rsidR="002E474C" w:rsidRDefault="00000000">
            <w:pPr>
              <w:pStyle w:val="A-"/>
            </w:pPr>
            <w:r>
              <w:t>有组织排放速率（</w:t>
            </w:r>
            <w:r>
              <w:t>kg/h</w:t>
            </w:r>
            <w:r>
              <w:t>）</w:t>
            </w:r>
          </w:p>
        </w:tc>
        <w:tc>
          <w:tcPr>
            <w:tcW w:w="516" w:type="pct"/>
          </w:tcPr>
          <w:p w14:paraId="3D2CFD12" w14:textId="77777777" w:rsidR="002E474C" w:rsidRDefault="00000000">
            <w:pPr>
              <w:pStyle w:val="A-"/>
            </w:pPr>
            <w:r>
              <w:t>有组织排放量（</w:t>
            </w:r>
            <w:r>
              <w:t>t/a</w:t>
            </w:r>
            <w:r>
              <w:t>）</w:t>
            </w:r>
          </w:p>
        </w:tc>
        <w:tc>
          <w:tcPr>
            <w:tcW w:w="516" w:type="pct"/>
            <w:vAlign w:val="center"/>
          </w:tcPr>
          <w:p w14:paraId="01F573F5" w14:textId="77777777" w:rsidR="002E474C" w:rsidRDefault="00000000">
            <w:pPr>
              <w:pStyle w:val="A-"/>
            </w:pPr>
            <w:r>
              <w:t>无组织排放量（</w:t>
            </w:r>
            <w:r>
              <w:rPr>
                <w:rStyle w:val="font21"/>
                <w:rFonts w:ascii="Times New Roman" w:hAnsi="Times New Roman" w:cs="Times New Roman" w:hint="default"/>
                <w:color w:val="auto"/>
                <w:sz w:val="21"/>
                <w:szCs w:val="21"/>
              </w:rPr>
              <w:t>t/a</w:t>
            </w:r>
            <w:r>
              <w:t>）</w:t>
            </w:r>
          </w:p>
        </w:tc>
      </w:tr>
      <w:tr w:rsidR="002E474C" w14:paraId="4F893E16" w14:textId="77777777">
        <w:trPr>
          <w:trHeight w:val="360"/>
        </w:trPr>
        <w:tc>
          <w:tcPr>
            <w:tcW w:w="516" w:type="pct"/>
            <w:vAlign w:val="center"/>
          </w:tcPr>
          <w:p w14:paraId="605B771D" w14:textId="77777777" w:rsidR="002E474C" w:rsidRDefault="00000000">
            <w:pPr>
              <w:pStyle w:val="A-"/>
            </w:pPr>
            <w:r>
              <w:t>H</w:t>
            </w:r>
            <w:r>
              <w:rPr>
                <w:vertAlign w:val="subscript"/>
              </w:rPr>
              <w:t>2</w:t>
            </w:r>
            <w:r>
              <w:t>S</w:t>
            </w:r>
          </w:p>
        </w:tc>
        <w:tc>
          <w:tcPr>
            <w:tcW w:w="616" w:type="pct"/>
            <w:noWrap/>
            <w:vAlign w:val="center"/>
          </w:tcPr>
          <w:p w14:paraId="2FF571A5" w14:textId="77777777" w:rsidR="002E474C" w:rsidRDefault="00000000">
            <w:pPr>
              <w:pStyle w:val="A-"/>
            </w:pPr>
            <w:r>
              <w:rPr>
                <w:rFonts w:hint="eastAsia"/>
              </w:rPr>
              <w:t xml:space="preserve">0.052 </w:t>
            </w:r>
          </w:p>
        </w:tc>
        <w:tc>
          <w:tcPr>
            <w:tcW w:w="494" w:type="pct"/>
            <w:noWrap/>
            <w:vAlign w:val="center"/>
          </w:tcPr>
          <w:p w14:paraId="7615A62C" w14:textId="77777777" w:rsidR="002E474C" w:rsidRDefault="00000000">
            <w:pPr>
              <w:pStyle w:val="A-"/>
            </w:pPr>
            <w:r>
              <w:t>99</w:t>
            </w:r>
          </w:p>
        </w:tc>
        <w:tc>
          <w:tcPr>
            <w:tcW w:w="616" w:type="pct"/>
            <w:noWrap/>
            <w:vAlign w:val="center"/>
          </w:tcPr>
          <w:p w14:paraId="3794E104" w14:textId="77777777" w:rsidR="002E474C" w:rsidRDefault="00000000">
            <w:pPr>
              <w:pStyle w:val="A-"/>
            </w:pPr>
            <w:r>
              <w:t>0.047</w:t>
            </w:r>
          </w:p>
        </w:tc>
        <w:tc>
          <w:tcPr>
            <w:tcW w:w="616" w:type="pct"/>
            <w:noWrap/>
            <w:vAlign w:val="center"/>
          </w:tcPr>
          <w:p w14:paraId="65893A2E" w14:textId="77777777" w:rsidR="002E474C" w:rsidRDefault="00000000">
            <w:pPr>
              <w:pStyle w:val="A-"/>
            </w:pPr>
            <w:r>
              <w:t>0.0</w:t>
            </w:r>
            <w:r>
              <w:rPr>
                <w:rFonts w:hint="eastAsia"/>
              </w:rPr>
              <w:t>052</w:t>
            </w:r>
          </w:p>
        </w:tc>
        <w:tc>
          <w:tcPr>
            <w:tcW w:w="494" w:type="pct"/>
            <w:vAlign w:val="center"/>
          </w:tcPr>
          <w:p w14:paraId="5C89EDD8" w14:textId="77777777" w:rsidR="002E474C" w:rsidRDefault="00000000">
            <w:pPr>
              <w:pStyle w:val="A-"/>
            </w:pPr>
            <w:r>
              <w:t>90</w:t>
            </w:r>
          </w:p>
        </w:tc>
        <w:tc>
          <w:tcPr>
            <w:tcW w:w="616" w:type="pct"/>
            <w:vAlign w:val="center"/>
          </w:tcPr>
          <w:p w14:paraId="32767054" w14:textId="77777777" w:rsidR="002E474C" w:rsidRDefault="00000000">
            <w:pPr>
              <w:pStyle w:val="A-"/>
            </w:pPr>
            <w:r>
              <w:t>0.005</w:t>
            </w:r>
          </w:p>
        </w:tc>
        <w:tc>
          <w:tcPr>
            <w:tcW w:w="516" w:type="pct"/>
            <w:vAlign w:val="center"/>
          </w:tcPr>
          <w:p w14:paraId="04C01FD6" w14:textId="77777777" w:rsidR="002E474C" w:rsidRDefault="00000000">
            <w:pPr>
              <w:pStyle w:val="A-"/>
            </w:pPr>
            <w:r>
              <w:t>0.034</w:t>
            </w:r>
          </w:p>
        </w:tc>
        <w:tc>
          <w:tcPr>
            <w:tcW w:w="516" w:type="pct"/>
            <w:noWrap/>
            <w:vAlign w:val="center"/>
          </w:tcPr>
          <w:p w14:paraId="5991F5A2" w14:textId="77777777" w:rsidR="002E474C" w:rsidRDefault="00000000">
            <w:pPr>
              <w:pStyle w:val="A-"/>
            </w:pPr>
            <w:r>
              <w:t>0.0</w:t>
            </w:r>
            <w:r>
              <w:rPr>
                <w:rFonts w:hint="eastAsia"/>
              </w:rPr>
              <w:t>28</w:t>
            </w:r>
          </w:p>
        </w:tc>
      </w:tr>
      <w:tr w:rsidR="002E474C" w14:paraId="48C66A93" w14:textId="77777777">
        <w:trPr>
          <w:trHeight w:val="360"/>
        </w:trPr>
        <w:tc>
          <w:tcPr>
            <w:tcW w:w="516" w:type="pct"/>
            <w:vAlign w:val="center"/>
          </w:tcPr>
          <w:p w14:paraId="5F1FC3F5" w14:textId="77777777" w:rsidR="002E474C" w:rsidRDefault="00000000">
            <w:pPr>
              <w:pStyle w:val="A-"/>
            </w:pPr>
            <w:r>
              <w:t>NH</w:t>
            </w:r>
            <w:r>
              <w:rPr>
                <w:vertAlign w:val="subscript"/>
              </w:rPr>
              <w:t>3</w:t>
            </w:r>
          </w:p>
        </w:tc>
        <w:tc>
          <w:tcPr>
            <w:tcW w:w="616" w:type="pct"/>
            <w:noWrap/>
            <w:vAlign w:val="center"/>
          </w:tcPr>
          <w:p w14:paraId="60AD7268" w14:textId="77777777" w:rsidR="002E474C" w:rsidRDefault="00000000">
            <w:pPr>
              <w:pStyle w:val="A-"/>
            </w:pPr>
            <w:r>
              <w:rPr>
                <w:rFonts w:hint="eastAsia"/>
              </w:rPr>
              <w:t xml:space="preserve">0.639 </w:t>
            </w:r>
          </w:p>
        </w:tc>
        <w:tc>
          <w:tcPr>
            <w:tcW w:w="494" w:type="pct"/>
            <w:noWrap/>
            <w:vAlign w:val="center"/>
          </w:tcPr>
          <w:p w14:paraId="790AE8E7" w14:textId="77777777" w:rsidR="002E474C" w:rsidRDefault="00000000">
            <w:pPr>
              <w:pStyle w:val="A-"/>
            </w:pPr>
            <w:r>
              <w:t>99</w:t>
            </w:r>
          </w:p>
        </w:tc>
        <w:tc>
          <w:tcPr>
            <w:tcW w:w="616" w:type="pct"/>
            <w:noWrap/>
            <w:vAlign w:val="center"/>
          </w:tcPr>
          <w:p w14:paraId="3295E00D" w14:textId="77777777" w:rsidR="002E474C" w:rsidRDefault="00000000">
            <w:pPr>
              <w:pStyle w:val="A-"/>
            </w:pPr>
            <w:r>
              <w:t>0.575</w:t>
            </w:r>
          </w:p>
        </w:tc>
        <w:tc>
          <w:tcPr>
            <w:tcW w:w="616" w:type="pct"/>
            <w:noWrap/>
            <w:vAlign w:val="center"/>
          </w:tcPr>
          <w:p w14:paraId="3AC12F8F" w14:textId="77777777" w:rsidR="002E474C" w:rsidRDefault="00000000">
            <w:pPr>
              <w:pStyle w:val="A-"/>
            </w:pPr>
            <w:r>
              <w:t>0.0</w:t>
            </w:r>
            <w:r>
              <w:rPr>
                <w:rFonts w:hint="eastAsia"/>
              </w:rPr>
              <w:t>639</w:t>
            </w:r>
          </w:p>
        </w:tc>
        <w:tc>
          <w:tcPr>
            <w:tcW w:w="494" w:type="pct"/>
            <w:vAlign w:val="center"/>
          </w:tcPr>
          <w:p w14:paraId="204A5CD0" w14:textId="77777777" w:rsidR="002E474C" w:rsidRDefault="00000000">
            <w:pPr>
              <w:pStyle w:val="A-"/>
            </w:pPr>
            <w:r>
              <w:t>90</w:t>
            </w:r>
          </w:p>
        </w:tc>
        <w:tc>
          <w:tcPr>
            <w:tcW w:w="616" w:type="pct"/>
            <w:vAlign w:val="center"/>
          </w:tcPr>
          <w:p w14:paraId="5FD76590" w14:textId="77777777" w:rsidR="002E474C" w:rsidRDefault="00000000">
            <w:pPr>
              <w:pStyle w:val="A-"/>
            </w:pPr>
            <w:r>
              <w:t>0.058</w:t>
            </w:r>
          </w:p>
        </w:tc>
        <w:tc>
          <w:tcPr>
            <w:tcW w:w="516" w:type="pct"/>
            <w:vAlign w:val="center"/>
          </w:tcPr>
          <w:p w14:paraId="65602285" w14:textId="77777777" w:rsidR="002E474C" w:rsidRDefault="00000000">
            <w:pPr>
              <w:pStyle w:val="A-"/>
            </w:pPr>
            <w:r>
              <w:t>0.414</w:t>
            </w:r>
          </w:p>
        </w:tc>
        <w:tc>
          <w:tcPr>
            <w:tcW w:w="516" w:type="pct"/>
            <w:noWrap/>
            <w:vAlign w:val="center"/>
          </w:tcPr>
          <w:p w14:paraId="34194705" w14:textId="77777777" w:rsidR="002E474C" w:rsidRDefault="00000000">
            <w:pPr>
              <w:pStyle w:val="A-"/>
            </w:pPr>
            <w:r>
              <w:t>0.</w:t>
            </w:r>
            <w:r>
              <w:rPr>
                <w:rFonts w:hint="eastAsia"/>
              </w:rPr>
              <w:t>460</w:t>
            </w:r>
          </w:p>
        </w:tc>
      </w:tr>
      <w:tr w:rsidR="002E474C" w14:paraId="7C2C430A" w14:textId="77777777">
        <w:trPr>
          <w:trHeight w:val="300"/>
        </w:trPr>
        <w:tc>
          <w:tcPr>
            <w:tcW w:w="516" w:type="pct"/>
            <w:vAlign w:val="center"/>
          </w:tcPr>
          <w:p w14:paraId="7EF3687C" w14:textId="77777777" w:rsidR="002E474C" w:rsidRDefault="00000000">
            <w:pPr>
              <w:pStyle w:val="A-"/>
            </w:pPr>
            <w:r>
              <w:t>NMHC</w:t>
            </w:r>
          </w:p>
        </w:tc>
        <w:tc>
          <w:tcPr>
            <w:tcW w:w="616" w:type="pct"/>
            <w:noWrap/>
            <w:vAlign w:val="center"/>
          </w:tcPr>
          <w:p w14:paraId="5AFC4A24" w14:textId="77777777" w:rsidR="002E474C" w:rsidRDefault="00000000">
            <w:pPr>
              <w:pStyle w:val="A-"/>
            </w:pPr>
            <w:r>
              <w:rPr>
                <w:rFonts w:hint="eastAsia"/>
              </w:rPr>
              <w:t xml:space="preserve">0.694 </w:t>
            </w:r>
          </w:p>
        </w:tc>
        <w:tc>
          <w:tcPr>
            <w:tcW w:w="494" w:type="pct"/>
            <w:noWrap/>
            <w:vAlign w:val="center"/>
          </w:tcPr>
          <w:p w14:paraId="1BB532E7" w14:textId="77777777" w:rsidR="002E474C" w:rsidRDefault="00000000">
            <w:pPr>
              <w:pStyle w:val="A-"/>
            </w:pPr>
            <w:r>
              <w:t>99</w:t>
            </w:r>
          </w:p>
        </w:tc>
        <w:tc>
          <w:tcPr>
            <w:tcW w:w="616" w:type="pct"/>
            <w:noWrap/>
            <w:vAlign w:val="center"/>
          </w:tcPr>
          <w:p w14:paraId="116E8A02" w14:textId="77777777" w:rsidR="002E474C" w:rsidRDefault="00000000">
            <w:pPr>
              <w:pStyle w:val="A-"/>
            </w:pPr>
            <w:r>
              <w:t>0.625</w:t>
            </w:r>
          </w:p>
        </w:tc>
        <w:tc>
          <w:tcPr>
            <w:tcW w:w="616" w:type="pct"/>
            <w:noWrap/>
            <w:vAlign w:val="center"/>
          </w:tcPr>
          <w:p w14:paraId="58B12A25" w14:textId="77777777" w:rsidR="002E474C" w:rsidRDefault="00000000">
            <w:pPr>
              <w:pStyle w:val="A-"/>
            </w:pPr>
            <w:r>
              <w:t>0.0</w:t>
            </w:r>
            <w:r>
              <w:rPr>
                <w:rFonts w:hint="eastAsia"/>
              </w:rPr>
              <w:t>694</w:t>
            </w:r>
          </w:p>
        </w:tc>
        <w:tc>
          <w:tcPr>
            <w:tcW w:w="494" w:type="pct"/>
            <w:vAlign w:val="center"/>
          </w:tcPr>
          <w:p w14:paraId="1FAAA8DB" w14:textId="77777777" w:rsidR="002E474C" w:rsidRDefault="00000000">
            <w:pPr>
              <w:pStyle w:val="A-"/>
            </w:pPr>
            <w:r>
              <w:t>90</w:t>
            </w:r>
          </w:p>
        </w:tc>
        <w:tc>
          <w:tcPr>
            <w:tcW w:w="616" w:type="pct"/>
            <w:vAlign w:val="center"/>
          </w:tcPr>
          <w:p w14:paraId="711CA41C" w14:textId="77777777" w:rsidR="002E474C" w:rsidRDefault="00000000">
            <w:pPr>
              <w:pStyle w:val="A-"/>
            </w:pPr>
            <w:r>
              <w:t>0.063</w:t>
            </w:r>
          </w:p>
        </w:tc>
        <w:tc>
          <w:tcPr>
            <w:tcW w:w="516" w:type="pct"/>
            <w:vAlign w:val="center"/>
          </w:tcPr>
          <w:p w14:paraId="72D0BC1B" w14:textId="77777777" w:rsidR="002E474C" w:rsidRDefault="00000000">
            <w:pPr>
              <w:pStyle w:val="A-"/>
            </w:pPr>
            <w:r>
              <w:t>0.450</w:t>
            </w:r>
          </w:p>
        </w:tc>
        <w:tc>
          <w:tcPr>
            <w:tcW w:w="516" w:type="pct"/>
            <w:noWrap/>
            <w:vAlign w:val="center"/>
          </w:tcPr>
          <w:p w14:paraId="4CCD546A" w14:textId="77777777" w:rsidR="002E474C" w:rsidRDefault="00000000">
            <w:pPr>
              <w:pStyle w:val="A-"/>
            </w:pPr>
            <w:r>
              <w:t>0.</w:t>
            </w:r>
            <w:r>
              <w:rPr>
                <w:rFonts w:hint="eastAsia"/>
              </w:rPr>
              <w:t>500</w:t>
            </w:r>
          </w:p>
        </w:tc>
      </w:tr>
    </w:tbl>
    <w:p w14:paraId="4914E359" w14:textId="77777777" w:rsidR="002E474C" w:rsidRDefault="002E474C"/>
    <w:p w14:paraId="4162ABF7" w14:textId="77777777" w:rsidR="002E474C" w:rsidRDefault="00000000">
      <w:pPr>
        <w:pStyle w:val="A-z"/>
        <w:rPr>
          <w:color w:val="auto"/>
        </w:rPr>
      </w:pPr>
      <w:r>
        <w:rPr>
          <w:color w:val="auto"/>
        </w:rPr>
        <w:t>2</w:t>
      </w:r>
      <w:r>
        <w:rPr>
          <w:color w:val="auto"/>
        </w:rPr>
        <w:t>）窑尾废气（</w:t>
      </w:r>
      <w:r>
        <w:rPr>
          <w:color w:val="auto"/>
        </w:rPr>
        <w:t>G2</w:t>
      </w:r>
      <w:r>
        <w:rPr>
          <w:color w:val="auto"/>
        </w:rPr>
        <w:t>）</w:t>
      </w:r>
    </w:p>
    <w:p w14:paraId="016C0C62" w14:textId="77777777" w:rsidR="002E474C" w:rsidRDefault="00000000">
      <w:pPr>
        <w:pStyle w:val="A-z"/>
        <w:rPr>
          <w:color w:val="auto"/>
        </w:rPr>
      </w:pPr>
      <w:r>
        <w:rPr>
          <w:rFonts w:eastAsia="宋体"/>
          <w:color w:val="auto"/>
        </w:rPr>
        <w:t>①</w:t>
      </w:r>
      <w:r>
        <w:rPr>
          <w:color w:val="auto"/>
        </w:rPr>
        <w:t>窑尾烟气量</w:t>
      </w:r>
    </w:p>
    <w:p w14:paraId="2923C36D" w14:textId="77777777" w:rsidR="002E474C" w:rsidRDefault="00000000">
      <w:pPr>
        <w:pStyle w:val="A-z"/>
        <w:rPr>
          <w:color w:val="auto"/>
        </w:rPr>
      </w:pPr>
      <w:r>
        <w:rPr>
          <w:color w:val="auto"/>
        </w:rPr>
        <w:t>利用水泥窑协同处置危险废物，危险废物根据成分不同可作为原料、燃料等加入。本项目协同处置的危险废物种类包括固态（含半固态）和液态等多种形态，根据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w:t>
      </w:r>
      <w:r>
        <w:rPr>
          <w:color w:val="auto"/>
        </w:rPr>
        <w:t>入窑危险废物中水分含量约为</w:t>
      </w:r>
      <w:r>
        <w:rPr>
          <w:color w:val="auto"/>
        </w:rPr>
        <w:t>3</w:t>
      </w:r>
      <w:r>
        <w:rPr>
          <w:rFonts w:hint="eastAsia"/>
          <w:color w:val="auto"/>
        </w:rPr>
        <w:t>1.43</w:t>
      </w:r>
      <w:r>
        <w:rPr>
          <w:color w:val="auto"/>
        </w:rPr>
        <w:t>%</w:t>
      </w:r>
      <w:r>
        <w:rPr>
          <w:color w:val="auto"/>
        </w:rPr>
        <w:t>，废物在进入水泥窑系统之后，水分吸热激化，最终以气态形式由窑尾预热器排出系统。类比同类项目，</w:t>
      </w:r>
      <w:bookmarkStart w:id="189" w:name="_Hlk151227560"/>
      <w:r>
        <w:rPr>
          <w:color w:val="auto"/>
        </w:rPr>
        <w:t>利用水泥窑对危险废物进行协同处置，干烟气量基本没有变化，增加的主要是湿烟气量中水汽。</w:t>
      </w:r>
      <w:bookmarkEnd w:id="189"/>
    </w:p>
    <w:p w14:paraId="5C0CEC70" w14:textId="77777777" w:rsidR="002E474C" w:rsidRDefault="00000000">
      <w:pPr>
        <w:pStyle w:val="A-z"/>
        <w:rPr>
          <w:color w:val="auto"/>
        </w:rPr>
      </w:pPr>
      <w:r>
        <w:rPr>
          <w:color w:val="auto"/>
        </w:rPr>
        <w:t>在无机类废物加料系统、液态处置车间和固态危废加料系统均为封闭式结构且分别设废气收集系统。其中，无机类废物固废缓存料仓卸料与加料过程生产废气负压收集后合并并入生料皮带廊道中间收尘系统处理排放，生产废气主要含颗粒物，无机类固废协同处置系统含尘废气并入生料皮带廊道中间收尘系统，由圣雄水泥公司进行水泥生产线超低排放改造，由于无机类固废协同处置系统含尘废气的废气量及污染物相对较少，污染物排放纳入水泥生产工艺废气，不单独核算污染源强。液态处置车间和固态危废</w:t>
      </w:r>
      <w:r>
        <w:rPr>
          <w:color w:val="auto"/>
        </w:rPr>
        <w:t>/</w:t>
      </w:r>
      <w:r>
        <w:rPr>
          <w:color w:val="auto"/>
        </w:rPr>
        <w:t>应急加料系统生产过程产生的废气负压收集合并送往水泥窑篦冷机高温段焚烧处理。</w:t>
      </w:r>
      <w:bookmarkStart w:id="190" w:name="OLE_LINK1"/>
      <w:r>
        <w:rPr>
          <w:color w:val="auto"/>
        </w:rPr>
        <w:t>协同处置系统生产废气</w:t>
      </w:r>
      <w:r>
        <w:rPr>
          <w:rFonts w:hint="eastAsia"/>
          <w:color w:val="auto"/>
        </w:rPr>
        <w:t>的</w:t>
      </w:r>
      <w:r>
        <w:rPr>
          <w:color w:val="auto"/>
        </w:rPr>
        <w:t>废气量</w:t>
      </w:r>
      <w:r>
        <w:rPr>
          <w:rFonts w:hint="eastAsia"/>
          <w:color w:val="auto"/>
        </w:rPr>
        <w:t>与</w:t>
      </w:r>
      <w:r>
        <w:rPr>
          <w:color w:val="auto"/>
        </w:rPr>
        <w:t>污染物</w:t>
      </w:r>
      <w:r>
        <w:rPr>
          <w:rFonts w:hint="eastAsia"/>
          <w:color w:val="auto"/>
        </w:rPr>
        <w:t>均很小</w:t>
      </w:r>
      <w:r>
        <w:rPr>
          <w:color w:val="auto"/>
        </w:rPr>
        <w:t>，</w:t>
      </w:r>
      <w:bookmarkEnd w:id="190"/>
      <w:r>
        <w:rPr>
          <w:rFonts w:hint="eastAsia"/>
          <w:color w:val="auto"/>
        </w:rPr>
        <w:t>相对于水泥窑的窑尾烟气的烟气量与污染物产生情况，</w:t>
      </w:r>
      <w:r>
        <w:rPr>
          <w:color w:val="auto"/>
        </w:rPr>
        <w:t>生产废气</w:t>
      </w:r>
      <w:r>
        <w:rPr>
          <w:rFonts w:hint="eastAsia"/>
          <w:color w:val="auto"/>
        </w:rPr>
        <w:t>返</w:t>
      </w:r>
      <w:r>
        <w:rPr>
          <w:rFonts w:hint="eastAsia"/>
          <w:color w:val="auto"/>
        </w:rPr>
        <w:lastRenderedPageBreak/>
        <w:t>回回转窑经高温</w:t>
      </w:r>
      <w:r>
        <w:rPr>
          <w:color w:val="auto"/>
        </w:rPr>
        <w:t>焚烧</w:t>
      </w:r>
      <w:r>
        <w:rPr>
          <w:rFonts w:hint="eastAsia"/>
          <w:color w:val="auto"/>
        </w:rPr>
        <w:t>后</w:t>
      </w:r>
      <w:r>
        <w:rPr>
          <w:color w:val="auto"/>
        </w:rPr>
        <w:t>对窑尾烟气源强影响</w:t>
      </w:r>
      <w:r>
        <w:rPr>
          <w:rFonts w:hint="eastAsia"/>
          <w:color w:val="auto"/>
        </w:rPr>
        <w:t>很小</w:t>
      </w:r>
      <w:r>
        <w:rPr>
          <w:color w:val="auto"/>
        </w:rPr>
        <w:t>，因此不单独核算污染源强。</w:t>
      </w:r>
    </w:p>
    <w:p w14:paraId="76D760BC" w14:textId="77777777" w:rsidR="002E474C" w:rsidRDefault="00000000">
      <w:pPr>
        <w:pStyle w:val="A-z"/>
        <w:rPr>
          <w:color w:val="auto"/>
        </w:rPr>
      </w:pPr>
      <w:r>
        <w:rPr>
          <w:color w:val="auto"/>
        </w:rPr>
        <w:t>在水泥窑停窑或检修期间及协同处置系统停料检修期间，无机类废物加料系统、液态处置车间和固态危废加料系统均清空存量废物，设备空置停用，无危废存放、投加与过滤生产，不产生废气。</w:t>
      </w:r>
    </w:p>
    <w:p w14:paraId="3FA6FEF0" w14:textId="77777777" w:rsidR="002E474C" w:rsidRDefault="00000000">
      <w:pPr>
        <w:pStyle w:val="A-z"/>
        <w:ind w:firstLine="456"/>
        <w:rPr>
          <w:color w:val="auto"/>
          <w:spacing w:val="-6"/>
        </w:rPr>
      </w:pPr>
      <w:r>
        <w:rPr>
          <w:color w:val="auto"/>
          <w:spacing w:val="-6"/>
        </w:rPr>
        <w:t>环评结合现有</w:t>
      </w:r>
      <w:r>
        <w:rPr>
          <w:color w:val="auto"/>
          <w:spacing w:val="-6"/>
        </w:rPr>
        <w:t>5000t/d</w:t>
      </w:r>
      <w:r>
        <w:rPr>
          <w:color w:val="auto"/>
        </w:rPr>
        <w:t>电石渣干法水泥生产线</w:t>
      </w:r>
      <w:r>
        <w:rPr>
          <w:color w:val="auto"/>
          <w:spacing w:val="-6"/>
        </w:rPr>
        <w:t>2025</w:t>
      </w:r>
      <w:r>
        <w:rPr>
          <w:color w:val="auto"/>
          <w:spacing w:val="-6"/>
        </w:rPr>
        <w:t>年全年（不包括</w:t>
      </w:r>
      <w:r>
        <w:rPr>
          <w:color w:val="auto"/>
          <w:spacing w:val="-6"/>
        </w:rPr>
        <w:t>4</w:t>
      </w:r>
      <w:r>
        <w:rPr>
          <w:color w:val="auto"/>
          <w:spacing w:val="-6"/>
        </w:rPr>
        <w:t>月份停窑检修监测结果）在线监测数据统计结果，全年窑尾烟气平均值</w:t>
      </w:r>
      <w:r>
        <w:rPr>
          <w:color w:val="auto"/>
          <w:spacing w:val="-6"/>
        </w:rPr>
        <w:t>654831Nm</w:t>
      </w:r>
      <w:r>
        <w:rPr>
          <w:color w:val="auto"/>
          <w:spacing w:val="-6"/>
          <w:vertAlign w:val="superscript"/>
        </w:rPr>
        <w:t>3</w:t>
      </w:r>
      <w:r>
        <w:rPr>
          <w:color w:val="auto"/>
          <w:spacing w:val="-6"/>
        </w:rPr>
        <w:t>/h</w:t>
      </w:r>
      <w:r>
        <w:rPr>
          <w:color w:val="auto"/>
          <w:spacing w:val="-6"/>
        </w:rPr>
        <w:t>作为本评价污染源核算的基准烟气量。考虑入窑危险废物以及带入水分蒸发等影响，预计本项目运行后，窑尾废气量有所增加。</w:t>
      </w:r>
      <w:bookmarkStart w:id="191" w:name="_Hlk151227696"/>
      <w:r>
        <w:rPr>
          <w:color w:val="auto"/>
          <w:spacing w:val="-6"/>
        </w:rPr>
        <w:t>根据《排污许可证申请与核发技术规范</w:t>
      </w:r>
      <w:r>
        <w:rPr>
          <w:color w:val="auto"/>
          <w:spacing w:val="-6"/>
        </w:rPr>
        <w:t xml:space="preserve"> </w:t>
      </w:r>
      <w:r>
        <w:rPr>
          <w:color w:val="auto"/>
          <w:spacing w:val="-6"/>
        </w:rPr>
        <w:t>水泥工业》（</w:t>
      </w:r>
      <w:r>
        <w:rPr>
          <w:color w:val="auto"/>
          <w:spacing w:val="-6"/>
        </w:rPr>
        <w:t>HJ847-2017</w:t>
      </w:r>
      <w:r>
        <w:rPr>
          <w:color w:val="auto"/>
          <w:spacing w:val="-6"/>
        </w:rPr>
        <w:t>），协同处置固体废物的水泥（熟料）制造排污单位，窑尾基准排气量系数放大</w:t>
      </w:r>
      <w:r>
        <w:rPr>
          <w:color w:val="auto"/>
          <w:spacing w:val="-6"/>
        </w:rPr>
        <w:t>1.1</w:t>
      </w:r>
      <w:r>
        <w:rPr>
          <w:color w:val="auto"/>
          <w:spacing w:val="-6"/>
        </w:rPr>
        <w:t>倍</w:t>
      </w:r>
      <w:bookmarkEnd w:id="191"/>
      <w:r>
        <w:rPr>
          <w:color w:val="auto"/>
          <w:spacing w:val="-6"/>
        </w:rPr>
        <w:t>，故本项目运行后，预计通过窑尾烟囱外排烟气量为</w:t>
      </w:r>
      <w:r>
        <w:rPr>
          <w:color w:val="auto"/>
          <w:spacing w:val="-6"/>
        </w:rPr>
        <w:t>720314Nm</w:t>
      </w:r>
      <w:r>
        <w:rPr>
          <w:color w:val="auto"/>
          <w:spacing w:val="-6"/>
          <w:vertAlign w:val="superscript"/>
        </w:rPr>
        <w:t>3</w:t>
      </w:r>
      <w:r>
        <w:rPr>
          <w:color w:val="auto"/>
          <w:spacing w:val="-6"/>
        </w:rPr>
        <w:t>/h</w:t>
      </w:r>
      <w:r>
        <w:rPr>
          <w:color w:val="auto"/>
          <w:spacing w:val="-6"/>
        </w:rPr>
        <w:t>。</w:t>
      </w:r>
    </w:p>
    <w:p w14:paraId="048F13BC" w14:textId="77777777" w:rsidR="002E474C" w:rsidRDefault="00000000">
      <w:pPr>
        <w:pStyle w:val="A-z"/>
        <w:rPr>
          <w:color w:val="auto"/>
        </w:rPr>
      </w:pPr>
      <w:r>
        <w:rPr>
          <w:rFonts w:eastAsia="宋体"/>
          <w:color w:val="auto"/>
        </w:rPr>
        <w:t>②</w:t>
      </w:r>
      <w:r>
        <w:rPr>
          <w:color w:val="auto"/>
        </w:rPr>
        <w:t>重金属</w:t>
      </w:r>
    </w:p>
    <w:p w14:paraId="7FF4BEE7" w14:textId="77777777" w:rsidR="002E474C" w:rsidRDefault="00000000">
      <w:pPr>
        <w:pStyle w:val="A-z"/>
        <w:rPr>
          <w:color w:val="auto"/>
        </w:rPr>
      </w:pPr>
      <w:r>
        <w:rPr>
          <w:color w:val="auto"/>
        </w:rPr>
        <w:t>水泥熟料矿物结构中的结晶化学特征之一是在其晶格中具有分布各种杂质离子的能力，这些杂质离子以类质同晶的方式取代主要结构元素。正是这些晶体的特殊结构和杂质离子的取代行为，为利用水泥熟料固化重金属元素在物质结构上提供了可能。故水泥熟料矿物的晶体结构为重金属离子在其中的</w:t>
      </w:r>
      <w:r>
        <w:rPr>
          <w:color w:val="auto"/>
        </w:rPr>
        <w:t>“</w:t>
      </w:r>
      <w:r>
        <w:rPr>
          <w:color w:val="auto"/>
        </w:rPr>
        <w:t>固溶</w:t>
      </w:r>
      <w:r>
        <w:rPr>
          <w:color w:val="auto"/>
        </w:rPr>
        <w:t>”</w:t>
      </w:r>
      <w:r>
        <w:rPr>
          <w:color w:val="auto"/>
        </w:rPr>
        <w:t>提供了结构上的先决条件。且不同重金属离子的具体取代情况有很大差别，这主要和这些离子的离子半径，离子价态，离子极性，离子配位数，离子电负性以及所形成的化学键的强度有关。以上即水泥窑固定重金属的</w:t>
      </w:r>
      <w:r>
        <w:rPr>
          <w:color w:val="auto"/>
        </w:rPr>
        <w:t>“</w:t>
      </w:r>
      <w:r>
        <w:rPr>
          <w:color w:val="auto"/>
        </w:rPr>
        <w:t>熟料矿物晶格取代理论</w:t>
      </w:r>
      <w:r>
        <w:rPr>
          <w:color w:val="auto"/>
        </w:rPr>
        <w:t>”</w:t>
      </w:r>
      <w:r>
        <w:rPr>
          <w:color w:val="auto"/>
        </w:rPr>
        <w:t>。重金属被固定在熟料矿物相晶格中之后，存在形态不再是某种简单的化合物形式，而是分布在熟料矿物相晶格的主要金属元素如</w:t>
      </w:r>
      <w:r>
        <w:rPr>
          <w:color w:val="auto"/>
        </w:rPr>
        <w:t>Ca</w:t>
      </w:r>
      <w:r>
        <w:rPr>
          <w:color w:val="auto"/>
        </w:rPr>
        <w:t>、</w:t>
      </w:r>
      <w:r>
        <w:rPr>
          <w:color w:val="auto"/>
        </w:rPr>
        <w:t>Al</w:t>
      </w:r>
      <w:r>
        <w:rPr>
          <w:color w:val="auto"/>
        </w:rPr>
        <w:t>以及</w:t>
      </w:r>
      <w:r>
        <w:rPr>
          <w:color w:val="auto"/>
        </w:rPr>
        <w:t>Si</w:t>
      </w:r>
      <w:r>
        <w:rPr>
          <w:color w:val="auto"/>
        </w:rPr>
        <w:t>之间，即在晶格中某处取代了这些元素的位置，此时重金属若再想从体系中迁移出，必须在矿物相再此被破坏的情况下才可能发生，即高温、酸碱腐蚀等；而熟料中矿物相的存在形态又是相当稳定的，重金属被</w:t>
      </w:r>
      <w:r>
        <w:rPr>
          <w:color w:val="auto"/>
        </w:rPr>
        <w:t>“</w:t>
      </w:r>
      <w:r>
        <w:rPr>
          <w:color w:val="auto"/>
        </w:rPr>
        <w:t>固溶</w:t>
      </w:r>
      <w:r>
        <w:rPr>
          <w:color w:val="auto"/>
        </w:rPr>
        <w:t>”</w:t>
      </w:r>
      <w:r>
        <w:rPr>
          <w:color w:val="auto"/>
        </w:rPr>
        <w:t>在内，安全性是有保障的。</w:t>
      </w:r>
    </w:p>
    <w:p w14:paraId="6B4C992E" w14:textId="77777777" w:rsidR="002E474C" w:rsidRDefault="00000000">
      <w:pPr>
        <w:pStyle w:val="A-z"/>
        <w:rPr>
          <w:color w:val="auto"/>
        </w:rPr>
      </w:pPr>
      <w:r>
        <w:rPr>
          <w:color w:val="auto"/>
        </w:rPr>
        <w:t>根据《水泥窑协同处置固体废物污染物控制标准编制说明》，由水泥生产所需的常规原燃料和危险废物带入窑内的重金属在窑内部分随烟气排入大气，大部分进入熟料，部分在窑内不断循环累积。根据重金属的挥发特性，可将重金属分为不挥发、半挥发、易挥发、高挥发等四类重金属。</w:t>
      </w:r>
    </w:p>
    <w:p w14:paraId="749D5DE3" w14:textId="77777777" w:rsidR="002E474C" w:rsidRDefault="00000000">
      <w:pPr>
        <w:pStyle w:val="A-z"/>
        <w:rPr>
          <w:color w:val="auto"/>
        </w:rPr>
      </w:pPr>
      <w:r>
        <w:rPr>
          <w:color w:val="auto"/>
        </w:rPr>
        <w:t>不挥发类元素</w:t>
      </w:r>
      <w:r>
        <w:rPr>
          <w:color w:val="auto"/>
        </w:rPr>
        <w:t>99.9%</w:t>
      </w:r>
      <w:r>
        <w:rPr>
          <w:color w:val="auto"/>
        </w:rPr>
        <w:t>以上被结合到熟料中；半挥发类元素在窑和预热器系统内形成内循环，最终几乎全部进入熟料，随烟气带入带出窑系统外的量很少；易挥发元素</w:t>
      </w:r>
      <w:r>
        <w:rPr>
          <w:color w:val="auto"/>
        </w:rPr>
        <w:t>Tl</w:t>
      </w:r>
      <w:r>
        <w:rPr>
          <w:color w:val="auto"/>
        </w:rPr>
        <w:t>在预热器内形成内循环和冷凝在窑灰形成外循环，一般不带入熟料，</w:t>
      </w:r>
      <w:r>
        <w:rPr>
          <w:color w:val="auto"/>
        </w:rPr>
        <w:lastRenderedPageBreak/>
        <w:t>随烟气排放的量少，但随内外循环累积，随净化后烟气排放的</w:t>
      </w:r>
      <w:r>
        <w:rPr>
          <w:color w:val="auto"/>
        </w:rPr>
        <w:t>Tl</w:t>
      </w:r>
      <w:r>
        <w:rPr>
          <w:color w:val="auto"/>
        </w:rPr>
        <w:t>逐渐升高；高挥发元素</w:t>
      </w:r>
      <w:r>
        <w:rPr>
          <w:color w:val="auto"/>
        </w:rPr>
        <w:t>Hg</w:t>
      </w:r>
      <w:r>
        <w:rPr>
          <w:color w:val="auto"/>
        </w:rPr>
        <w:t>主要是凝结在窑灰上或随烟气带走形成外循环和排放，不带入熟料。</w:t>
      </w:r>
      <w:r>
        <w:rPr>
          <w:color w:val="auto"/>
          <w:lang w:val="en-US"/>
        </w:rPr>
        <w:t>在悬浮预热窑上，</w:t>
      </w:r>
      <w:r>
        <w:rPr>
          <w:color w:val="auto"/>
          <w:lang w:val="en-US"/>
        </w:rPr>
        <w:t>130℃</w:t>
      </w:r>
      <w:r>
        <w:rPr>
          <w:color w:val="auto"/>
          <w:lang w:val="en-US"/>
        </w:rPr>
        <w:t>时</w:t>
      </w:r>
      <w:r>
        <w:rPr>
          <w:color w:val="auto"/>
          <w:lang w:val="en-US"/>
        </w:rPr>
        <w:t>Hg</w:t>
      </w:r>
      <w:r>
        <w:rPr>
          <w:color w:val="auto"/>
          <w:lang w:val="en-US"/>
        </w:rPr>
        <w:t>通过凝结在窑灰上的分离率可达约</w:t>
      </w:r>
      <w:r>
        <w:rPr>
          <w:color w:val="auto"/>
          <w:lang w:val="en-US"/>
        </w:rPr>
        <w:t>90%</w:t>
      </w:r>
      <w:r>
        <w:rPr>
          <w:color w:val="auto"/>
          <w:lang w:val="en-US"/>
        </w:rPr>
        <w:t>。</w:t>
      </w:r>
    </w:p>
    <w:p w14:paraId="5DA01FC2" w14:textId="77777777" w:rsidR="002E474C" w:rsidRDefault="00000000">
      <w:pPr>
        <w:pStyle w:val="A-z"/>
        <w:rPr>
          <w:color w:val="auto"/>
        </w:rPr>
      </w:pPr>
      <w:r>
        <w:rPr>
          <w:rFonts w:hint="eastAsia"/>
          <w:color w:val="auto"/>
        </w:rPr>
        <w:t>根据</w:t>
      </w:r>
      <w:r>
        <w:rPr>
          <w:color w:val="auto"/>
        </w:rPr>
        <w:t>中国环境科学研究院</w:t>
      </w:r>
      <w:r>
        <w:rPr>
          <w:rFonts w:hint="eastAsia"/>
          <w:color w:val="auto"/>
        </w:rPr>
        <w:t>编制的</w:t>
      </w:r>
      <w:r>
        <w:rPr>
          <w:color w:val="auto"/>
        </w:rPr>
        <w:t>《我国水泥行业汞排放与协同控制实测研究》（水俣公约配套课题）</w:t>
      </w:r>
      <w:r>
        <w:rPr>
          <w:rFonts w:hint="eastAsia"/>
          <w:color w:val="auto"/>
        </w:rPr>
        <w:t>，</w:t>
      </w:r>
      <w:r>
        <w:rPr>
          <w:color w:val="auto"/>
        </w:rPr>
        <w:t>实测</w:t>
      </w:r>
      <w:r>
        <w:rPr>
          <w:color w:val="auto"/>
        </w:rPr>
        <w:t>17</w:t>
      </w:r>
      <w:r>
        <w:rPr>
          <w:color w:val="auto"/>
        </w:rPr>
        <w:t>条协同</w:t>
      </w:r>
      <w:r>
        <w:rPr>
          <w:rFonts w:hint="eastAsia"/>
          <w:color w:val="auto"/>
        </w:rPr>
        <w:t>处置危险废物</w:t>
      </w:r>
      <w:r>
        <w:rPr>
          <w:color w:val="auto"/>
        </w:rPr>
        <w:t>水泥</w:t>
      </w:r>
      <w:r>
        <w:rPr>
          <w:rFonts w:hint="eastAsia"/>
          <w:color w:val="auto"/>
        </w:rPr>
        <w:t>生产</w:t>
      </w:r>
      <w:r>
        <w:rPr>
          <w:color w:val="auto"/>
        </w:rPr>
        <w:t>线（</w:t>
      </w:r>
      <w:r>
        <w:rPr>
          <w:color w:val="auto"/>
        </w:rPr>
        <w:t>SNCR</w:t>
      </w:r>
      <w:r>
        <w:rPr>
          <w:rFonts w:hint="eastAsia"/>
          <w:color w:val="auto"/>
        </w:rPr>
        <w:t>+</w:t>
      </w:r>
      <w:r>
        <w:rPr>
          <w:color w:val="auto"/>
        </w:rPr>
        <w:t>SCR+</w:t>
      </w:r>
      <w:r>
        <w:rPr>
          <w:color w:val="auto"/>
        </w:rPr>
        <w:t>急冷</w:t>
      </w:r>
      <w:r>
        <w:rPr>
          <w:color w:val="auto"/>
        </w:rPr>
        <w:t>+</w:t>
      </w:r>
      <w:r>
        <w:rPr>
          <w:color w:val="auto"/>
        </w:rPr>
        <w:t>电袋）：系统综合脱汞实测区间</w:t>
      </w:r>
      <w:r>
        <w:rPr>
          <w:color w:val="auto"/>
        </w:rPr>
        <w:t>51.7%~59.5%</w:t>
      </w:r>
      <w:r>
        <w:rPr>
          <w:rFonts w:hint="eastAsia"/>
          <w:color w:val="auto"/>
        </w:rPr>
        <w:t>，</w:t>
      </w:r>
      <w:r>
        <w:rPr>
          <w:color w:val="auto"/>
        </w:rPr>
        <w:t>电袋单元独立脱汞</w:t>
      </w:r>
      <w:r>
        <w:rPr>
          <w:color w:val="auto"/>
        </w:rPr>
        <w:t>43.1%~48.9%</w:t>
      </w:r>
      <w:r>
        <w:rPr>
          <w:color w:val="auto"/>
        </w:rPr>
        <w:t>。</w:t>
      </w:r>
      <w:r>
        <w:rPr>
          <w:rFonts w:hint="eastAsia"/>
          <w:color w:val="auto"/>
        </w:rPr>
        <w:t>此外，根据</w:t>
      </w:r>
      <w:r>
        <w:rPr>
          <w:color w:val="auto"/>
        </w:rPr>
        <w:t>《工业窑炉协同脱汞大数据统计》</w:t>
      </w:r>
      <w:r>
        <w:rPr>
          <w:rFonts w:hint="eastAsia"/>
          <w:color w:val="auto"/>
        </w:rPr>
        <w:t>（</w:t>
      </w:r>
      <w:r>
        <w:rPr>
          <w:color w:val="auto"/>
        </w:rPr>
        <w:t>武汉大学</w:t>
      </w:r>
      <w:r>
        <w:rPr>
          <w:rFonts w:hint="eastAsia"/>
          <w:color w:val="auto"/>
        </w:rPr>
        <w:t>，</w:t>
      </w:r>
      <w:r>
        <w:rPr>
          <w:color w:val="auto"/>
        </w:rPr>
        <w:t>王祖武</w:t>
      </w:r>
      <w:r>
        <w:rPr>
          <w:rFonts w:hint="eastAsia"/>
          <w:color w:val="auto"/>
        </w:rPr>
        <w:t>），</w:t>
      </w:r>
      <w:r>
        <w:rPr>
          <w:color w:val="auto"/>
        </w:rPr>
        <w:t>汇总国内</w:t>
      </w:r>
      <w:r>
        <w:rPr>
          <w:color w:val="auto"/>
        </w:rPr>
        <w:t>28</w:t>
      </w:r>
      <w:r>
        <w:rPr>
          <w:color w:val="auto"/>
        </w:rPr>
        <w:t>条水泥协同处置生产线：</w:t>
      </w:r>
      <w:r>
        <w:rPr>
          <w:color w:val="auto"/>
        </w:rPr>
        <w:t>SCR+</w:t>
      </w:r>
      <w:r>
        <w:rPr>
          <w:color w:val="auto"/>
        </w:rPr>
        <w:t>急冷</w:t>
      </w:r>
      <w:r>
        <w:rPr>
          <w:color w:val="auto"/>
        </w:rPr>
        <w:t>+</w:t>
      </w:r>
      <w:r>
        <w:rPr>
          <w:color w:val="auto"/>
        </w:rPr>
        <w:t>电袋：系统脱汞区间</w:t>
      </w:r>
      <w:r>
        <w:rPr>
          <w:color w:val="auto"/>
        </w:rPr>
        <w:t>54.2%~59.7%</w:t>
      </w:r>
      <w:r>
        <w:rPr>
          <w:rFonts w:hint="eastAsia"/>
          <w:color w:val="auto"/>
        </w:rPr>
        <w:t>，</w:t>
      </w:r>
      <w:r>
        <w:rPr>
          <w:color w:val="auto"/>
        </w:rPr>
        <w:t>电袋单体脱汞</w:t>
      </w:r>
      <w:r>
        <w:rPr>
          <w:color w:val="auto"/>
        </w:rPr>
        <w:t>44.5%~49.8%</w:t>
      </w:r>
      <w:r>
        <w:rPr>
          <w:color w:val="auto"/>
        </w:rPr>
        <w:t>。</w:t>
      </w:r>
      <w:r>
        <w:rPr>
          <w:rFonts w:hint="eastAsia"/>
          <w:color w:val="auto"/>
        </w:rPr>
        <w:t>根据《</w:t>
      </w:r>
      <w:r>
        <w:rPr>
          <w:color w:val="auto"/>
          <w:lang w:val="en-US"/>
        </w:rPr>
        <w:t>协同处置废物水泥窑汞等非常规污染物分析与排放</w:t>
      </w:r>
      <w:r>
        <w:rPr>
          <w:rFonts w:hint="eastAsia"/>
          <w:color w:val="auto"/>
        </w:rPr>
        <w:t>》（</w:t>
      </w:r>
      <w:r>
        <w:rPr>
          <w:color w:val="auto"/>
          <w:lang w:val="en-US"/>
        </w:rPr>
        <w:t>王相凤等</w:t>
      </w:r>
      <w:r>
        <w:rPr>
          <w:rFonts w:hint="eastAsia"/>
          <w:color w:val="auto"/>
          <w:lang w:val="en-US"/>
        </w:rPr>
        <w:t>，</w:t>
      </w:r>
      <w:r>
        <w:rPr>
          <w:color w:val="auto"/>
          <w:lang w:val="en-US"/>
        </w:rPr>
        <w:t>环境化学</w:t>
      </w:r>
      <w:r>
        <w:rPr>
          <w:rFonts w:hint="eastAsia"/>
          <w:color w:val="auto"/>
          <w:lang w:val="en-US"/>
        </w:rPr>
        <w:t>，</w:t>
      </w:r>
      <w:r>
        <w:rPr>
          <w:color w:val="auto"/>
          <w:lang w:val="en-US"/>
        </w:rPr>
        <w:t>2018</w:t>
      </w:r>
      <w:r>
        <w:rPr>
          <w:rFonts w:hint="eastAsia"/>
          <w:color w:val="auto"/>
          <w:lang w:val="en-US"/>
        </w:rPr>
        <w:t>，</w:t>
      </w:r>
      <w:r>
        <w:rPr>
          <w:color w:val="auto"/>
          <w:lang w:val="en-US"/>
        </w:rPr>
        <w:t>37(12)</w:t>
      </w:r>
      <w:r>
        <w:rPr>
          <w:rFonts w:hint="eastAsia"/>
          <w:color w:val="auto"/>
        </w:rPr>
        <w:t>），</w:t>
      </w:r>
      <w:r>
        <w:rPr>
          <w:color w:val="auto"/>
          <w:lang w:val="en-US"/>
        </w:rPr>
        <w:t>协同处置危废</w:t>
      </w:r>
      <w:r>
        <w:rPr>
          <w:rFonts w:hint="eastAsia"/>
          <w:color w:val="auto"/>
          <w:lang w:val="en-US"/>
        </w:rPr>
        <w:t>的水泥</w:t>
      </w:r>
      <w:r>
        <w:rPr>
          <w:rFonts w:hint="eastAsia"/>
          <w:color w:val="auto"/>
        </w:rPr>
        <w:t>窑窑尾烟气采用</w:t>
      </w:r>
      <w:r>
        <w:rPr>
          <w:color w:val="auto"/>
        </w:rPr>
        <w:t>SNCR+</w:t>
      </w:r>
      <w:r>
        <w:rPr>
          <w:color w:val="auto"/>
        </w:rPr>
        <w:t>急冷</w:t>
      </w:r>
      <w:r>
        <w:rPr>
          <w:color w:val="auto"/>
        </w:rPr>
        <w:t>+</w:t>
      </w:r>
      <w:r>
        <w:rPr>
          <w:color w:val="auto"/>
        </w:rPr>
        <w:t>电袋</w:t>
      </w:r>
      <w:r>
        <w:rPr>
          <w:rFonts w:hint="eastAsia"/>
          <w:color w:val="auto"/>
        </w:rPr>
        <w:t>：</w:t>
      </w:r>
      <w:r>
        <w:rPr>
          <w:color w:val="auto"/>
        </w:rPr>
        <w:t>电袋单体独立脱汞（仅除尘环节）：</w:t>
      </w:r>
      <w:r>
        <w:rPr>
          <w:color w:val="auto"/>
        </w:rPr>
        <w:t>41%~49%</w:t>
      </w:r>
      <w:r>
        <w:rPr>
          <w:rFonts w:hint="eastAsia"/>
          <w:color w:val="auto"/>
        </w:rPr>
        <w:t>。综合以上资料，本项目依托的水泥窑窑尾烟气现状采用</w:t>
      </w:r>
      <w:r>
        <w:rPr>
          <w:color w:val="auto"/>
        </w:rPr>
        <w:t>SNCR+</w:t>
      </w:r>
      <w:r>
        <w:rPr>
          <w:color w:val="auto"/>
        </w:rPr>
        <w:t>急冷</w:t>
      </w:r>
      <w:r>
        <w:rPr>
          <w:color w:val="auto"/>
        </w:rPr>
        <w:t>+</w:t>
      </w:r>
      <w:r>
        <w:rPr>
          <w:color w:val="auto"/>
        </w:rPr>
        <w:t>电袋</w:t>
      </w:r>
      <w:r>
        <w:rPr>
          <w:rFonts w:hint="eastAsia"/>
          <w:color w:val="auto"/>
        </w:rPr>
        <w:t>除尘，</w:t>
      </w:r>
      <w:r>
        <w:rPr>
          <w:color w:val="auto"/>
        </w:rPr>
        <w:t>电袋除尘单体脱汞效率</w:t>
      </w:r>
      <w:r>
        <w:rPr>
          <w:rFonts w:hint="eastAsia"/>
          <w:color w:val="auto"/>
        </w:rPr>
        <w:t>按</w:t>
      </w:r>
      <w:r>
        <w:rPr>
          <w:rFonts w:hint="eastAsia"/>
          <w:color w:val="auto"/>
        </w:rPr>
        <w:t>45%</w:t>
      </w:r>
      <w:r>
        <w:rPr>
          <w:rFonts w:hint="eastAsia"/>
          <w:color w:val="auto"/>
        </w:rPr>
        <w:t>计。</w:t>
      </w:r>
    </w:p>
    <w:p w14:paraId="5427C81F" w14:textId="77777777" w:rsidR="002E474C" w:rsidRDefault="00000000">
      <w:pPr>
        <w:pStyle w:val="A-z"/>
        <w:rPr>
          <w:color w:val="auto"/>
        </w:rPr>
      </w:pPr>
      <w:r>
        <w:rPr>
          <w:color w:val="auto"/>
        </w:rPr>
        <w:t>烟气中重金属浓度除了与废物中重金属含量有关外，还与废物的投加速率、水泥窑产量、常规原料和燃料中重金属含量等有关。因此，通过限制重金属的投加量和投加速率控制排放烟气中的重金属浓度满足《水泥窑协同处置固体废物污染物控制标准》（</w:t>
      </w:r>
      <w:r>
        <w:rPr>
          <w:color w:val="auto"/>
        </w:rPr>
        <w:t>GB30485-2013</w:t>
      </w:r>
      <w:r>
        <w:rPr>
          <w:color w:val="auto"/>
        </w:rPr>
        <w:t>）规定的浓度限值。</w:t>
      </w:r>
    </w:p>
    <w:p w14:paraId="15353471" w14:textId="77777777" w:rsidR="002E474C" w:rsidRDefault="00000000">
      <w:pPr>
        <w:pStyle w:val="A-z"/>
        <w:rPr>
          <w:color w:val="auto"/>
        </w:rPr>
      </w:pPr>
      <w:r>
        <w:rPr>
          <w:rFonts w:eastAsia="宋体"/>
          <w:color w:val="auto"/>
        </w:rPr>
        <w:t>③</w:t>
      </w:r>
      <w:r>
        <w:rPr>
          <w:color w:val="auto"/>
        </w:rPr>
        <w:t>二噁英类</w:t>
      </w:r>
    </w:p>
    <w:p w14:paraId="35298B19" w14:textId="77777777" w:rsidR="002E474C" w:rsidRDefault="00000000">
      <w:pPr>
        <w:pStyle w:val="A-z"/>
        <w:rPr>
          <w:color w:val="auto"/>
        </w:rPr>
      </w:pPr>
      <w:r>
        <w:rPr>
          <w:color w:val="auto"/>
        </w:rPr>
        <w:t>根据《水泥窑协同处置固体废物污染物控制标准编制说明》，在水泥窑内的高温氧化气氛下，由燃料带入的二噁英类会彻底分解，因此水泥窑内的二噁英类主要来自在窑系统低温部位（预热器上部、增湿塔、磨机、除尘设备）发生的二噁英类合成反应。</w:t>
      </w:r>
    </w:p>
    <w:p w14:paraId="15CA12D4" w14:textId="77777777" w:rsidR="002E474C" w:rsidRDefault="00000000">
      <w:pPr>
        <w:pStyle w:val="A-z"/>
        <w:rPr>
          <w:color w:val="auto"/>
        </w:rPr>
      </w:pPr>
      <w:r>
        <w:rPr>
          <w:color w:val="auto"/>
        </w:rPr>
        <w:t>针对二噁英类物质的形成机理，本项目采用新型干法水泥窑协同处置危险废物，可以有效控制二噁英类的产生，主要表现在以下几方面：</w:t>
      </w:r>
    </w:p>
    <w:p w14:paraId="04411334" w14:textId="77777777" w:rsidR="002E474C" w:rsidRDefault="00000000">
      <w:pPr>
        <w:pStyle w:val="A-z"/>
        <w:rPr>
          <w:color w:val="auto"/>
        </w:rPr>
      </w:pPr>
      <w:r>
        <w:rPr>
          <w:color w:val="auto"/>
        </w:rPr>
        <w:t>A.</w:t>
      </w:r>
      <w:r>
        <w:rPr>
          <w:color w:val="auto"/>
        </w:rPr>
        <w:t>从源头上减少二噁英类产生所需的氯元素</w:t>
      </w:r>
    </w:p>
    <w:p w14:paraId="4F8A709B" w14:textId="77777777" w:rsidR="002E474C" w:rsidRDefault="00000000">
      <w:pPr>
        <w:pStyle w:val="A-z"/>
        <w:rPr>
          <w:color w:val="auto"/>
        </w:rPr>
      </w:pPr>
      <w:r>
        <w:rPr>
          <w:color w:val="auto"/>
        </w:rPr>
        <w:t>对于现代干法水泥生产系统，为了保证窑系统操作的稳定性和连续性，常对生料中干法生产操作的化学成分（</w:t>
      </w:r>
      <w:r>
        <w:rPr>
          <w:color w:val="auto"/>
        </w:rPr>
        <w:t>K</w:t>
      </w:r>
      <w:r>
        <w:rPr>
          <w:color w:val="auto"/>
          <w:vertAlign w:val="subscript"/>
        </w:rPr>
        <w:t>2</w:t>
      </w:r>
      <w:r>
        <w:rPr>
          <w:color w:val="auto"/>
        </w:rPr>
        <w:t>O+Na</w:t>
      </w:r>
      <w:r>
        <w:rPr>
          <w:color w:val="auto"/>
          <w:vertAlign w:val="subscript"/>
        </w:rPr>
        <w:t>2</w:t>
      </w:r>
      <w:r>
        <w:rPr>
          <w:color w:val="auto"/>
        </w:rPr>
        <w:t>O</w:t>
      </w:r>
      <w:r>
        <w:rPr>
          <w:color w:val="auto"/>
        </w:rPr>
        <w:t>，</w:t>
      </w:r>
      <w:r>
        <w:rPr>
          <w:color w:val="auto"/>
        </w:rPr>
        <w:t>SO</w:t>
      </w:r>
      <w:r>
        <w:rPr>
          <w:color w:val="auto"/>
          <w:vertAlign w:val="subscript"/>
        </w:rPr>
        <w:t>3</w:t>
      </w:r>
      <w:r>
        <w:rPr>
          <w:color w:val="auto"/>
          <w:vertAlign w:val="superscript"/>
        </w:rPr>
        <w:t>2-</w:t>
      </w:r>
      <w:r>
        <w:rPr>
          <w:color w:val="auto"/>
        </w:rPr>
        <w:t>，</w:t>
      </w:r>
      <w:r>
        <w:rPr>
          <w:color w:val="auto"/>
        </w:rPr>
        <w:t>Cl</w:t>
      </w:r>
      <w:r>
        <w:rPr>
          <w:color w:val="auto"/>
          <w:vertAlign w:val="superscript"/>
        </w:rPr>
        <w:t>-</w:t>
      </w:r>
      <w:r>
        <w:rPr>
          <w:color w:val="auto"/>
        </w:rPr>
        <w:t>）的含量进行控制。</w:t>
      </w:r>
    </w:p>
    <w:p w14:paraId="0D0EC56D" w14:textId="77777777" w:rsidR="002E474C" w:rsidRDefault="00000000">
      <w:pPr>
        <w:pStyle w:val="A-z"/>
        <w:ind w:firstLine="456"/>
        <w:rPr>
          <w:color w:val="auto"/>
          <w:spacing w:val="-6"/>
        </w:rPr>
      </w:pPr>
      <w:r>
        <w:rPr>
          <w:color w:val="auto"/>
          <w:spacing w:val="-6"/>
        </w:rPr>
        <w:t>一般情况下，硫碱摩尔比接近于</w:t>
      </w:r>
      <w:r>
        <w:rPr>
          <w:color w:val="auto"/>
          <w:spacing w:val="-6"/>
        </w:rPr>
        <w:t>1</w:t>
      </w:r>
      <w:r>
        <w:rPr>
          <w:color w:val="auto"/>
          <w:spacing w:val="-6"/>
        </w:rPr>
        <w:t>，保持</w:t>
      </w:r>
      <w:r>
        <w:rPr>
          <w:color w:val="auto"/>
          <w:spacing w:val="-6"/>
        </w:rPr>
        <w:t>Cl</w:t>
      </w:r>
      <w:r>
        <w:rPr>
          <w:color w:val="auto"/>
          <w:spacing w:val="-6"/>
          <w:vertAlign w:val="superscript"/>
        </w:rPr>
        <w:t>-</w:t>
      </w:r>
      <w:r>
        <w:rPr>
          <w:color w:val="auto"/>
          <w:spacing w:val="-6"/>
        </w:rPr>
        <w:t>离子对</w:t>
      </w:r>
      <w:r>
        <w:rPr>
          <w:color w:val="auto"/>
          <w:spacing w:val="-6"/>
        </w:rPr>
        <w:t>SO</w:t>
      </w:r>
      <w:r>
        <w:rPr>
          <w:color w:val="auto"/>
          <w:spacing w:val="-6"/>
          <w:vertAlign w:val="subscript"/>
        </w:rPr>
        <w:t>3</w:t>
      </w:r>
      <w:r>
        <w:rPr>
          <w:color w:val="auto"/>
          <w:spacing w:val="-6"/>
          <w:vertAlign w:val="superscript"/>
        </w:rPr>
        <w:t>2-</w:t>
      </w:r>
      <w:r>
        <w:rPr>
          <w:color w:val="auto"/>
          <w:spacing w:val="-6"/>
        </w:rPr>
        <w:t>的比值接近</w:t>
      </w:r>
      <w:r>
        <w:rPr>
          <w:color w:val="auto"/>
          <w:spacing w:val="-6"/>
        </w:rPr>
        <w:t>1</w:t>
      </w:r>
      <w:r>
        <w:rPr>
          <w:color w:val="auto"/>
          <w:spacing w:val="-6"/>
        </w:rPr>
        <w:t>。由危险废物进入烧成系统的</w:t>
      </w:r>
      <w:r>
        <w:rPr>
          <w:color w:val="auto"/>
          <w:spacing w:val="-6"/>
        </w:rPr>
        <w:t>Cl</w:t>
      </w:r>
      <w:r>
        <w:rPr>
          <w:color w:val="auto"/>
          <w:spacing w:val="-6"/>
          <w:vertAlign w:val="superscript"/>
        </w:rPr>
        <w:t>-</w:t>
      </w:r>
      <w:r>
        <w:rPr>
          <w:color w:val="auto"/>
          <w:spacing w:val="-6"/>
        </w:rPr>
        <w:t>和常规生料中的</w:t>
      </w:r>
      <w:r>
        <w:rPr>
          <w:color w:val="auto"/>
          <w:spacing w:val="-6"/>
        </w:rPr>
        <w:t>Cl</w:t>
      </w:r>
      <w:r>
        <w:rPr>
          <w:color w:val="auto"/>
          <w:spacing w:val="-6"/>
          <w:vertAlign w:val="superscript"/>
        </w:rPr>
        <w:t>-</w:t>
      </w:r>
      <w:r>
        <w:rPr>
          <w:color w:val="auto"/>
          <w:spacing w:val="-6"/>
        </w:rPr>
        <w:t>的总含量低于</w:t>
      </w:r>
      <w:r>
        <w:rPr>
          <w:color w:val="auto"/>
          <w:spacing w:val="-6"/>
        </w:rPr>
        <w:t>0.015%</w:t>
      </w:r>
      <w:r>
        <w:rPr>
          <w:color w:val="auto"/>
          <w:spacing w:val="-6"/>
        </w:rPr>
        <w:t>（国内一些水泥烧成系统可放宽至</w:t>
      </w:r>
      <w:r>
        <w:rPr>
          <w:color w:val="auto"/>
          <w:spacing w:val="-6"/>
        </w:rPr>
        <w:t>0.02%</w:t>
      </w:r>
      <w:r>
        <w:rPr>
          <w:color w:val="auto"/>
          <w:spacing w:val="-6"/>
        </w:rPr>
        <w:t>）。而这部分</w:t>
      </w:r>
      <w:r>
        <w:rPr>
          <w:color w:val="auto"/>
          <w:spacing w:val="-6"/>
        </w:rPr>
        <w:t>Cl</w:t>
      </w:r>
      <w:r>
        <w:rPr>
          <w:color w:val="auto"/>
          <w:spacing w:val="-6"/>
          <w:vertAlign w:val="superscript"/>
        </w:rPr>
        <w:t>-</w:t>
      </w:r>
      <w:r>
        <w:rPr>
          <w:color w:val="auto"/>
          <w:spacing w:val="-6"/>
        </w:rPr>
        <w:t>在水泥煅烧系统内可以被水泥生料完全吸收，</w:t>
      </w:r>
      <w:r>
        <w:rPr>
          <w:color w:val="auto"/>
          <w:spacing w:val="-6"/>
        </w:rPr>
        <w:lastRenderedPageBreak/>
        <w:t>且不会对系统产生不利的影响。被吸收的</w:t>
      </w:r>
      <w:r>
        <w:rPr>
          <w:color w:val="auto"/>
          <w:spacing w:val="-6"/>
        </w:rPr>
        <w:t>Cl</w:t>
      </w:r>
      <w:r>
        <w:rPr>
          <w:color w:val="auto"/>
          <w:spacing w:val="-6"/>
          <w:vertAlign w:val="superscript"/>
        </w:rPr>
        <w:t>-</w:t>
      </w:r>
      <w:r>
        <w:rPr>
          <w:color w:val="auto"/>
          <w:spacing w:val="-6"/>
        </w:rPr>
        <w:t>以</w:t>
      </w:r>
      <w:r>
        <w:rPr>
          <w:color w:val="auto"/>
          <w:spacing w:val="-6"/>
        </w:rPr>
        <w:t>2CaO·SiO</w:t>
      </w:r>
      <w:r>
        <w:rPr>
          <w:color w:val="auto"/>
          <w:spacing w:val="-6"/>
          <w:vertAlign w:val="subscript"/>
        </w:rPr>
        <w:t>2</w:t>
      </w:r>
      <w:r>
        <w:rPr>
          <w:color w:val="auto"/>
          <w:spacing w:val="-6"/>
        </w:rPr>
        <w:t>·CaCl</w:t>
      </w:r>
      <w:r>
        <w:rPr>
          <w:color w:val="auto"/>
          <w:spacing w:val="-6"/>
          <w:vertAlign w:val="subscript"/>
        </w:rPr>
        <w:t>2</w:t>
      </w:r>
      <w:r>
        <w:rPr>
          <w:color w:val="auto"/>
          <w:spacing w:val="-6"/>
        </w:rPr>
        <w:t>（稳定温度</w:t>
      </w:r>
      <w:r>
        <w:rPr>
          <w:color w:val="auto"/>
          <w:spacing w:val="-6"/>
        </w:rPr>
        <w:t>1084℃-1100℃</w:t>
      </w:r>
      <w:r>
        <w:rPr>
          <w:color w:val="auto"/>
          <w:spacing w:val="-6"/>
        </w:rPr>
        <w:t>）的形式被水泥生料裹挟到回转窑内，夹带在熟料的铝酸盐和铁铝酸盐的溶剂型矿物中被带出烧成系统，减少二噁英类物质形成的氯源。</w:t>
      </w:r>
    </w:p>
    <w:p w14:paraId="0AB89548" w14:textId="77777777" w:rsidR="002E474C" w:rsidRDefault="00000000">
      <w:pPr>
        <w:pStyle w:val="A-z"/>
        <w:rPr>
          <w:color w:val="auto"/>
        </w:rPr>
      </w:pPr>
      <w:r>
        <w:rPr>
          <w:color w:val="auto"/>
        </w:rPr>
        <w:t>B.</w:t>
      </w:r>
      <w:r>
        <w:rPr>
          <w:color w:val="auto"/>
        </w:rPr>
        <w:t>高温焚烧确保二噁英类不易产生</w:t>
      </w:r>
    </w:p>
    <w:p w14:paraId="6643A4D9" w14:textId="77777777" w:rsidR="002E474C" w:rsidRDefault="00000000">
      <w:pPr>
        <w:pStyle w:val="A-z"/>
        <w:ind w:firstLine="456"/>
        <w:rPr>
          <w:color w:val="auto"/>
          <w:spacing w:val="-6"/>
        </w:rPr>
      </w:pPr>
      <w:r>
        <w:rPr>
          <w:color w:val="auto"/>
          <w:spacing w:val="-6"/>
        </w:rPr>
        <w:t>根据《危险废物焚烧污染控制标准》（</w:t>
      </w:r>
      <w:r>
        <w:rPr>
          <w:color w:val="auto"/>
          <w:spacing w:val="-6"/>
        </w:rPr>
        <w:t>GB18448-2020</w:t>
      </w:r>
      <w:r>
        <w:rPr>
          <w:color w:val="auto"/>
          <w:spacing w:val="-6"/>
        </w:rPr>
        <w:t>）中规定的焚烧炉技术要求，烟气温度大于</w:t>
      </w:r>
      <w:r>
        <w:rPr>
          <w:color w:val="auto"/>
          <w:spacing w:val="-6"/>
        </w:rPr>
        <w:t>1100℃</w:t>
      </w:r>
      <w:r>
        <w:rPr>
          <w:color w:val="auto"/>
          <w:spacing w:val="-6"/>
        </w:rPr>
        <w:t>，烟气停留时间大于</w:t>
      </w:r>
      <w:r>
        <w:rPr>
          <w:color w:val="auto"/>
          <w:spacing w:val="-6"/>
        </w:rPr>
        <w:t>2</w:t>
      </w:r>
      <w:r>
        <w:rPr>
          <w:rFonts w:hint="eastAsia"/>
          <w:color w:val="auto"/>
          <w:spacing w:val="-6"/>
        </w:rPr>
        <w:t>s</w:t>
      </w:r>
      <w:r>
        <w:rPr>
          <w:color w:val="auto"/>
          <w:spacing w:val="-6"/>
        </w:rPr>
        <w:t>，燃烧效率大于</w:t>
      </w:r>
      <w:r>
        <w:rPr>
          <w:color w:val="auto"/>
          <w:spacing w:val="-6"/>
        </w:rPr>
        <w:t>99.9%</w:t>
      </w:r>
      <w:r>
        <w:rPr>
          <w:color w:val="auto"/>
          <w:spacing w:val="-6"/>
        </w:rPr>
        <w:t>，焚毁去除率</w:t>
      </w:r>
      <w:r>
        <w:rPr>
          <w:color w:val="auto"/>
          <w:spacing w:val="-6"/>
        </w:rPr>
        <w:t>99.99%</w:t>
      </w:r>
      <w:r>
        <w:rPr>
          <w:color w:val="auto"/>
          <w:spacing w:val="-6"/>
        </w:rPr>
        <w:t>。本项目采用新型干法水泥回转窑窑型，水泥回转窑窑内温度高（最高可达</w:t>
      </w:r>
      <w:r>
        <w:rPr>
          <w:color w:val="auto"/>
          <w:spacing w:val="-6"/>
        </w:rPr>
        <w:t>1750℃</w:t>
      </w:r>
      <w:r>
        <w:rPr>
          <w:color w:val="auto"/>
          <w:spacing w:val="-6"/>
        </w:rPr>
        <w:t>），停留时间长（</w:t>
      </w:r>
      <w:r>
        <w:rPr>
          <w:color w:val="auto"/>
          <w:spacing w:val="-6"/>
        </w:rPr>
        <w:t>1300℃</w:t>
      </w:r>
      <w:r>
        <w:rPr>
          <w:color w:val="auto"/>
          <w:spacing w:val="-6"/>
        </w:rPr>
        <w:t>环境停留时间大于</w:t>
      </w:r>
      <w:r>
        <w:rPr>
          <w:color w:val="auto"/>
          <w:spacing w:val="-6"/>
        </w:rPr>
        <w:t>4</w:t>
      </w:r>
      <w:r>
        <w:rPr>
          <w:rFonts w:hint="eastAsia"/>
          <w:color w:val="auto"/>
          <w:spacing w:val="-6"/>
        </w:rPr>
        <w:t>s</w:t>
      </w:r>
      <w:r>
        <w:rPr>
          <w:color w:val="auto"/>
          <w:spacing w:val="-6"/>
        </w:rPr>
        <w:t>），在此条件下对二噁英类物质及其前体物质焚烧焚毁率可达</w:t>
      </w:r>
      <w:r>
        <w:rPr>
          <w:color w:val="auto"/>
          <w:spacing w:val="-6"/>
        </w:rPr>
        <w:t>99.9999%</w:t>
      </w:r>
      <w:r>
        <w:rPr>
          <w:color w:val="auto"/>
          <w:spacing w:val="-6"/>
        </w:rPr>
        <w:t>，大大优于传统焚烧炉；值得注意的是，泵入烧成系统的危险废物处于悬浮态，不存在不完全燃烧区域，高温下有机物和水分迅速蒸发和气化，随着烟气进入分解炉，在氧化条件下燃烧完毕。从而使易生成</w:t>
      </w:r>
      <w:r>
        <w:rPr>
          <w:color w:val="auto"/>
          <w:spacing w:val="-6"/>
        </w:rPr>
        <w:t>PCDD\PCDF</w:t>
      </w:r>
      <w:r>
        <w:rPr>
          <w:color w:val="auto"/>
          <w:spacing w:val="-6"/>
        </w:rPr>
        <w:t>的有机氯化物完全燃烧，或已生成的</w:t>
      </w:r>
      <w:r>
        <w:rPr>
          <w:color w:val="auto"/>
          <w:spacing w:val="-6"/>
        </w:rPr>
        <w:t>PCDD\PCDF</w:t>
      </w:r>
      <w:r>
        <w:rPr>
          <w:color w:val="auto"/>
          <w:spacing w:val="-6"/>
        </w:rPr>
        <w:t>完全分解。</w:t>
      </w:r>
    </w:p>
    <w:p w14:paraId="4C1813CA" w14:textId="77777777" w:rsidR="002E474C" w:rsidRDefault="00000000">
      <w:pPr>
        <w:pStyle w:val="A-z"/>
        <w:rPr>
          <w:color w:val="auto"/>
        </w:rPr>
      </w:pPr>
      <w:r>
        <w:rPr>
          <w:color w:val="auto"/>
        </w:rPr>
        <w:t>C.</w:t>
      </w:r>
      <w:r>
        <w:rPr>
          <w:color w:val="auto"/>
        </w:rPr>
        <w:t>预热器系统内碱性物料的吸附</w:t>
      </w:r>
    </w:p>
    <w:p w14:paraId="52BC08FE" w14:textId="77777777" w:rsidR="002E474C" w:rsidRDefault="00000000">
      <w:pPr>
        <w:pStyle w:val="A-z"/>
        <w:rPr>
          <w:color w:val="auto"/>
        </w:rPr>
      </w:pPr>
      <w:r>
        <w:rPr>
          <w:color w:val="auto"/>
        </w:rPr>
        <w:t>窑尾预热器系统的气体中含有大量的生料粉，主要成分为</w:t>
      </w:r>
      <w:r>
        <w:rPr>
          <w:color w:val="auto"/>
        </w:rPr>
        <w:t>CaCO</w:t>
      </w:r>
      <w:r>
        <w:rPr>
          <w:color w:val="auto"/>
          <w:vertAlign w:val="subscript"/>
        </w:rPr>
        <w:t>3</w:t>
      </w:r>
      <w:r>
        <w:rPr>
          <w:color w:val="auto"/>
        </w:rPr>
        <w:t>、</w:t>
      </w:r>
      <w:r>
        <w:rPr>
          <w:color w:val="auto"/>
        </w:rPr>
        <w:t>MgCO</w:t>
      </w:r>
      <w:r>
        <w:rPr>
          <w:color w:val="auto"/>
          <w:vertAlign w:val="subscript"/>
        </w:rPr>
        <w:t>3</w:t>
      </w:r>
      <w:r>
        <w:rPr>
          <w:color w:val="auto"/>
        </w:rPr>
        <w:t>、</w:t>
      </w:r>
      <w:r>
        <w:rPr>
          <w:color w:val="auto"/>
        </w:rPr>
        <w:t>CaO</w:t>
      </w:r>
      <w:r>
        <w:rPr>
          <w:color w:val="auto"/>
        </w:rPr>
        <w:t>和</w:t>
      </w:r>
      <w:r>
        <w:rPr>
          <w:color w:val="auto"/>
        </w:rPr>
        <w:t>MgO</w:t>
      </w:r>
      <w:r>
        <w:rPr>
          <w:color w:val="auto"/>
        </w:rPr>
        <w:t>，可与燃烧产生的</w:t>
      </w:r>
      <w:r>
        <w:rPr>
          <w:color w:val="auto"/>
        </w:rPr>
        <w:t>Cl</w:t>
      </w:r>
      <w:r>
        <w:rPr>
          <w:color w:val="auto"/>
          <w:vertAlign w:val="superscript"/>
        </w:rPr>
        <w:t>-</w:t>
      </w:r>
      <w:r>
        <w:rPr>
          <w:color w:val="auto"/>
        </w:rPr>
        <w:t>迅速反应，从而消除二噁英类产生所需的氯，抑制二噁英类物质产生。即使进入收尘器的烟气含有痕量的二噁英类，也会被高浓度超细微粉吸附，被收尘器收下，随烟道气排出的残留二噁英类完全能够满足</w:t>
      </w:r>
      <w:r>
        <w:rPr>
          <w:color w:val="auto"/>
        </w:rPr>
        <w:t>0.1ng-TEQ/Nm</w:t>
      </w:r>
      <w:r>
        <w:rPr>
          <w:color w:val="auto"/>
          <w:vertAlign w:val="superscript"/>
        </w:rPr>
        <w:t>3</w:t>
      </w:r>
      <w:r>
        <w:rPr>
          <w:color w:val="auto"/>
        </w:rPr>
        <w:t>的控制要求。</w:t>
      </w:r>
    </w:p>
    <w:p w14:paraId="12B1E599" w14:textId="77777777" w:rsidR="002E474C" w:rsidRDefault="00000000">
      <w:pPr>
        <w:pStyle w:val="A-z"/>
        <w:rPr>
          <w:color w:val="auto"/>
        </w:rPr>
      </w:pPr>
      <w:r>
        <w:rPr>
          <w:color w:val="auto"/>
        </w:rPr>
        <w:t>D.</w:t>
      </w:r>
      <w:r>
        <w:rPr>
          <w:color w:val="auto"/>
        </w:rPr>
        <w:t>生料中的硫分对二噁英类的产生有抑制作用</w:t>
      </w:r>
    </w:p>
    <w:p w14:paraId="4DC1D295" w14:textId="77777777" w:rsidR="002E474C" w:rsidRDefault="00000000">
      <w:pPr>
        <w:pStyle w:val="A-z"/>
        <w:rPr>
          <w:color w:val="auto"/>
        </w:rPr>
      </w:pPr>
      <w:r>
        <w:rPr>
          <w:color w:val="auto"/>
        </w:rPr>
        <w:t>有关研究证明（参见文献：水泥窑协同处置固废烟气中二噁英类排放研究综述，付建英，《能源工程》；水泥窑协同处置垃圾时二噁英类分布特征与控制，蔡玉良，《中国水泥》），燃料中或其他物料夹带的硫分对二噁英类的形成有一定的抑制作用：一是由于硫分的存在控制了</w:t>
      </w:r>
      <w:r>
        <w:rPr>
          <w:color w:val="auto"/>
        </w:rPr>
        <w:t>Cl</w:t>
      </w:r>
      <w:r>
        <w:rPr>
          <w:color w:val="auto"/>
          <w:vertAlign w:val="superscript"/>
        </w:rPr>
        <w:t>-</w:t>
      </w:r>
      <w:r>
        <w:rPr>
          <w:color w:val="auto"/>
        </w:rPr>
        <w:t>，使得</w:t>
      </w:r>
      <w:r>
        <w:rPr>
          <w:color w:val="auto"/>
        </w:rPr>
        <w:t>Cl</w:t>
      </w:r>
      <w:r>
        <w:rPr>
          <w:color w:val="auto"/>
          <w:vertAlign w:val="superscript"/>
        </w:rPr>
        <w:t>-</w:t>
      </w:r>
      <w:r>
        <w:rPr>
          <w:color w:val="auto"/>
        </w:rPr>
        <w:t>以</w:t>
      </w:r>
      <w:r>
        <w:rPr>
          <w:color w:val="auto"/>
        </w:rPr>
        <w:t>HCl</w:t>
      </w:r>
      <w:r>
        <w:rPr>
          <w:color w:val="auto"/>
        </w:rPr>
        <w:t>的形式存在；二是由于硫分的存在降低了</w:t>
      </w:r>
      <w:r>
        <w:rPr>
          <w:color w:val="auto"/>
        </w:rPr>
        <w:t>Cu</w:t>
      </w:r>
      <w:r>
        <w:rPr>
          <w:color w:val="auto"/>
        </w:rPr>
        <w:t>的催化活性，使其生成了</w:t>
      </w:r>
      <w:r>
        <w:rPr>
          <w:color w:val="auto"/>
        </w:rPr>
        <w:t>CuSO</w:t>
      </w:r>
      <w:r>
        <w:rPr>
          <w:color w:val="auto"/>
          <w:vertAlign w:val="subscript"/>
        </w:rPr>
        <w:t>4</w:t>
      </w:r>
      <w:r>
        <w:rPr>
          <w:color w:val="auto"/>
        </w:rPr>
        <w:t>；三是由于硫分的存在形成了磺酸盐分前体物或含硫有机化合物，抑制了二噁英类的生成。</w:t>
      </w:r>
    </w:p>
    <w:p w14:paraId="67925667" w14:textId="77777777" w:rsidR="002E474C" w:rsidRDefault="00000000">
      <w:pPr>
        <w:pStyle w:val="A-z"/>
        <w:rPr>
          <w:color w:val="auto"/>
        </w:rPr>
      </w:pPr>
      <w:r>
        <w:rPr>
          <w:rFonts w:hint="eastAsia"/>
          <w:color w:val="auto"/>
        </w:rPr>
        <w:t>本项目依托水泥窑的窑尾烟气污染源强核算类比</w:t>
      </w:r>
      <w:r>
        <w:rPr>
          <w:color w:val="auto"/>
        </w:rPr>
        <w:t>同类项目</w:t>
      </w:r>
      <w:r>
        <w:rPr>
          <w:rFonts w:hint="eastAsia"/>
          <w:color w:val="auto"/>
        </w:rPr>
        <w:t>的窑尾污染源排放数据，类比数据来源于新疆维吾尔自治区污染源监测数据管理与信息共享公开平台公开数据、项目竣工环境保护验收数据、</w:t>
      </w:r>
      <w:r>
        <w:rPr>
          <w:color w:val="auto"/>
        </w:rPr>
        <w:t>全国排污许可平台自行监测年报</w:t>
      </w:r>
      <w:r>
        <w:rPr>
          <w:rFonts w:hint="eastAsia"/>
          <w:color w:val="auto"/>
        </w:rPr>
        <w:t>及生态环境主管部门监督性监测数据。</w:t>
      </w:r>
    </w:p>
    <w:p w14:paraId="50FDAE74" w14:textId="77777777" w:rsidR="002E474C" w:rsidRDefault="00000000">
      <w:pPr>
        <w:pStyle w:val="A-z"/>
        <w:rPr>
          <w:color w:val="auto"/>
        </w:rPr>
      </w:pPr>
      <w:r>
        <w:rPr>
          <w:rFonts w:hint="eastAsia"/>
          <w:color w:val="auto"/>
        </w:rPr>
        <w:t>库车红狮水泥窑协同处置</w:t>
      </w:r>
      <w:r>
        <w:rPr>
          <w:rFonts w:hint="eastAsia"/>
          <w:color w:val="auto"/>
        </w:rPr>
        <w:t>10</w:t>
      </w:r>
      <w:r>
        <w:rPr>
          <w:rFonts w:hint="eastAsia"/>
          <w:color w:val="auto"/>
        </w:rPr>
        <w:t>万</w:t>
      </w:r>
      <w:r>
        <w:rPr>
          <w:rFonts w:hint="eastAsia"/>
          <w:color w:val="auto"/>
        </w:rPr>
        <w:t>t/a</w:t>
      </w:r>
      <w:r>
        <w:rPr>
          <w:color w:val="auto"/>
        </w:rPr>
        <w:t>工业危险废物</w:t>
      </w:r>
      <w:r>
        <w:rPr>
          <w:rFonts w:hint="eastAsia"/>
          <w:color w:val="auto"/>
        </w:rPr>
        <w:t>项目在</w:t>
      </w:r>
      <w:r>
        <w:rPr>
          <w:rFonts w:hint="eastAsia"/>
          <w:color w:val="auto"/>
        </w:rPr>
        <w:t>2023</w:t>
      </w:r>
      <w:r>
        <w:rPr>
          <w:rFonts w:hint="eastAsia"/>
          <w:color w:val="auto"/>
        </w:rPr>
        <w:t>年投产，在</w:t>
      </w:r>
      <w:r>
        <w:rPr>
          <w:rFonts w:hint="eastAsia"/>
          <w:color w:val="auto"/>
        </w:rPr>
        <w:lastRenderedPageBreak/>
        <w:t>2023</w:t>
      </w:r>
      <w:r>
        <w:rPr>
          <w:rFonts w:hint="eastAsia"/>
          <w:color w:val="auto"/>
        </w:rPr>
        <w:t>年</w:t>
      </w:r>
      <w:r>
        <w:rPr>
          <w:rFonts w:hint="eastAsia"/>
          <w:color w:val="auto"/>
        </w:rPr>
        <w:t>-2025</w:t>
      </w:r>
      <w:r>
        <w:rPr>
          <w:rFonts w:hint="eastAsia"/>
          <w:color w:val="auto"/>
        </w:rPr>
        <w:t>年开展的各项监测结果显示，窑尾烟气中</w:t>
      </w:r>
      <w:r>
        <w:rPr>
          <w:color w:val="auto"/>
        </w:rPr>
        <w:t>二噁英类</w:t>
      </w:r>
      <w:r>
        <w:rPr>
          <w:rFonts w:hint="eastAsia"/>
          <w:color w:val="auto"/>
        </w:rPr>
        <w:t>排放</w:t>
      </w:r>
      <w:r>
        <w:rPr>
          <w:color w:val="auto"/>
        </w:rPr>
        <w:t>浓度</w:t>
      </w:r>
      <w:r>
        <w:rPr>
          <w:rFonts w:hint="eastAsia"/>
          <w:color w:val="auto"/>
        </w:rPr>
        <w:t>在</w:t>
      </w:r>
      <w:r>
        <w:rPr>
          <w:rFonts w:hint="eastAsia"/>
          <w:color w:val="auto"/>
        </w:rPr>
        <w:t>0.023</w:t>
      </w:r>
      <w:r>
        <w:rPr>
          <w:rFonts w:hint="eastAsia"/>
          <w:color w:val="auto"/>
        </w:rPr>
        <w:t>～</w:t>
      </w:r>
      <w:r>
        <w:rPr>
          <w:rFonts w:hint="eastAsia"/>
          <w:color w:val="auto"/>
        </w:rPr>
        <w:t>0.027</w:t>
      </w:r>
      <w:r>
        <w:rPr>
          <w:color w:val="auto"/>
        </w:rPr>
        <w:t>ngTEQ/m</w:t>
      </w:r>
      <w:r>
        <w:rPr>
          <w:rFonts w:hint="eastAsia"/>
          <w:color w:val="auto"/>
        </w:rPr>
        <w:t>³范围内；</w:t>
      </w:r>
      <w:r>
        <w:rPr>
          <w:color w:val="auto"/>
        </w:rPr>
        <w:t>吉木萨尔协同处置项目</w:t>
      </w:r>
      <w:r>
        <w:rPr>
          <w:rFonts w:hint="eastAsia"/>
          <w:color w:val="auto"/>
        </w:rPr>
        <w:t>在</w:t>
      </w:r>
      <w:r>
        <w:rPr>
          <w:rFonts w:hint="eastAsia"/>
          <w:color w:val="auto"/>
        </w:rPr>
        <w:t>2023</w:t>
      </w:r>
      <w:r>
        <w:rPr>
          <w:rFonts w:hint="eastAsia"/>
          <w:color w:val="auto"/>
        </w:rPr>
        <w:t>年投产，在</w:t>
      </w:r>
      <w:r>
        <w:rPr>
          <w:rFonts w:hint="eastAsia"/>
          <w:color w:val="auto"/>
        </w:rPr>
        <w:t>2023</w:t>
      </w:r>
      <w:r>
        <w:rPr>
          <w:rFonts w:hint="eastAsia"/>
          <w:color w:val="auto"/>
        </w:rPr>
        <w:t>年</w:t>
      </w:r>
      <w:r>
        <w:rPr>
          <w:rFonts w:hint="eastAsia"/>
          <w:color w:val="auto"/>
        </w:rPr>
        <w:t>-2025</w:t>
      </w:r>
      <w:r>
        <w:rPr>
          <w:rFonts w:hint="eastAsia"/>
          <w:color w:val="auto"/>
        </w:rPr>
        <w:t>年开展的各项监测结果显示，窑尾烟气中</w:t>
      </w:r>
      <w:r>
        <w:rPr>
          <w:color w:val="auto"/>
        </w:rPr>
        <w:t>二噁英类</w:t>
      </w:r>
      <w:r>
        <w:rPr>
          <w:rFonts w:hint="eastAsia"/>
          <w:color w:val="auto"/>
        </w:rPr>
        <w:t>排放</w:t>
      </w:r>
      <w:r>
        <w:rPr>
          <w:color w:val="auto"/>
        </w:rPr>
        <w:t>浓度</w:t>
      </w:r>
      <w:r>
        <w:rPr>
          <w:rFonts w:hint="eastAsia"/>
          <w:color w:val="auto"/>
        </w:rPr>
        <w:t>在</w:t>
      </w:r>
      <w:r>
        <w:rPr>
          <w:rFonts w:hint="eastAsia"/>
          <w:color w:val="auto"/>
        </w:rPr>
        <w:t>0.018</w:t>
      </w:r>
      <w:r>
        <w:rPr>
          <w:rFonts w:hint="eastAsia"/>
          <w:color w:val="auto"/>
        </w:rPr>
        <w:t>～</w:t>
      </w:r>
      <w:r>
        <w:rPr>
          <w:rFonts w:hint="eastAsia"/>
          <w:color w:val="auto"/>
        </w:rPr>
        <w:t>0.025</w:t>
      </w:r>
      <w:r>
        <w:rPr>
          <w:color w:val="auto"/>
        </w:rPr>
        <w:t>ngTEQ/m</w:t>
      </w:r>
      <w:r>
        <w:rPr>
          <w:rFonts w:hint="eastAsia"/>
          <w:color w:val="auto"/>
        </w:rPr>
        <w:t>³范围内；</w:t>
      </w:r>
      <w:r>
        <w:rPr>
          <w:color w:val="auto"/>
        </w:rPr>
        <w:t>新疆柏航环保科技有限公司利用水泥窑协同处置</w:t>
      </w:r>
      <w:r>
        <w:rPr>
          <w:rFonts w:hint="eastAsia"/>
          <w:color w:val="auto"/>
        </w:rPr>
        <w:t>8</w:t>
      </w:r>
      <w:r>
        <w:rPr>
          <w:rFonts w:hint="eastAsia"/>
          <w:color w:val="auto"/>
        </w:rPr>
        <w:t>万</w:t>
      </w:r>
      <w:r>
        <w:rPr>
          <w:rFonts w:hint="eastAsia"/>
          <w:color w:val="auto"/>
        </w:rPr>
        <w:t>t/a</w:t>
      </w:r>
      <w:r>
        <w:rPr>
          <w:color w:val="auto"/>
        </w:rPr>
        <w:t>工业危险废物</w:t>
      </w:r>
      <w:r>
        <w:rPr>
          <w:rFonts w:hint="eastAsia"/>
          <w:color w:val="auto"/>
        </w:rPr>
        <w:t>项目在</w:t>
      </w:r>
      <w:r>
        <w:rPr>
          <w:rFonts w:hint="eastAsia"/>
          <w:color w:val="auto"/>
        </w:rPr>
        <w:t>2022</w:t>
      </w:r>
      <w:r>
        <w:rPr>
          <w:rFonts w:hint="eastAsia"/>
          <w:color w:val="auto"/>
        </w:rPr>
        <w:t>年投产，在</w:t>
      </w:r>
      <w:r>
        <w:rPr>
          <w:rFonts w:hint="eastAsia"/>
          <w:color w:val="auto"/>
        </w:rPr>
        <w:t>2022</w:t>
      </w:r>
      <w:r>
        <w:rPr>
          <w:rFonts w:hint="eastAsia"/>
          <w:color w:val="auto"/>
        </w:rPr>
        <w:t>年</w:t>
      </w:r>
      <w:r>
        <w:rPr>
          <w:rFonts w:hint="eastAsia"/>
          <w:color w:val="auto"/>
        </w:rPr>
        <w:t>-2025</w:t>
      </w:r>
      <w:r>
        <w:rPr>
          <w:rFonts w:hint="eastAsia"/>
          <w:color w:val="auto"/>
        </w:rPr>
        <w:t>年开展的各项监测结果显示，窑尾烟气中</w:t>
      </w:r>
      <w:r>
        <w:rPr>
          <w:color w:val="auto"/>
        </w:rPr>
        <w:t>二噁英类</w:t>
      </w:r>
      <w:r>
        <w:rPr>
          <w:rFonts w:hint="eastAsia"/>
          <w:color w:val="auto"/>
        </w:rPr>
        <w:t>排放</w:t>
      </w:r>
      <w:r>
        <w:rPr>
          <w:color w:val="auto"/>
        </w:rPr>
        <w:t>浓度</w:t>
      </w:r>
      <w:r>
        <w:rPr>
          <w:rFonts w:hint="eastAsia"/>
          <w:color w:val="auto"/>
        </w:rPr>
        <w:t>在</w:t>
      </w:r>
      <w:r>
        <w:rPr>
          <w:rFonts w:hint="eastAsia"/>
          <w:color w:val="auto"/>
        </w:rPr>
        <w:t>0.016</w:t>
      </w:r>
      <w:r>
        <w:rPr>
          <w:rFonts w:ascii="宋体" w:eastAsia="宋体" w:hAnsi="宋体" w:hint="eastAsia"/>
          <w:color w:val="auto"/>
        </w:rPr>
        <w:t>～</w:t>
      </w:r>
      <w:r>
        <w:rPr>
          <w:rFonts w:hint="eastAsia"/>
          <w:color w:val="auto"/>
        </w:rPr>
        <w:t>0.020</w:t>
      </w:r>
      <w:r>
        <w:rPr>
          <w:color w:val="auto"/>
        </w:rPr>
        <w:t>ngTEQ/m</w:t>
      </w:r>
      <w:r>
        <w:rPr>
          <w:color w:val="auto"/>
          <w:vertAlign w:val="superscript"/>
        </w:rPr>
        <w:t>3</w:t>
      </w:r>
      <w:r>
        <w:rPr>
          <w:rFonts w:hint="eastAsia"/>
          <w:color w:val="auto"/>
        </w:rPr>
        <w:t>范围内；</w:t>
      </w:r>
      <w:r>
        <w:rPr>
          <w:color w:val="auto"/>
          <w:lang w:val="en-US"/>
        </w:rPr>
        <w:t>巴州天山水泥有限责任公司水泥窑协同处置</w:t>
      </w:r>
      <w:r>
        <w:rPr>
          <w:rFonts w:hint="eastAsia"/>
          <w:color w:val="auto"/>
          <w:lang w:val="en-US"/>
        </w:rPr>
        <w:t>6</w:t>
      </w:r>
      <w:r>
        <w:rPr>
          <w:rFonts w:hint="eastAsia"/>
          <w:color w:val="auto"/>
          <w:lang w:val="en-US"/>
        </w:rPr>
        <w:t>万</w:t>
      </w:r>
      <w:r>
        <w:rPr>
          <w:rFonts w:hint="eastAsia"/>
          <w:color w:val="auto"/>
          <w:lang w:val="en-US"/>
        </w:rPr>
        <w:t>t/a</w:t>
      </w:r>
      <w:r>
        <w:rPr>
          <w:color w:val="auto"/>
          <w:lang w:val="en-US"/>
        </w:rPr>
        <w:t>危险废物技改项目</w:t>
      </w:r>
      <w:r>
        <w:rPr>
          <w:rFonts w:hint="eastAsia"/>
          <w:color w:val="auto"/>
        </w:rPr>
        <w:t>在</w:t>
      </w:r>
      <w:r>
        <w:rPr>
          <w:rFonts w:hint="eastAsia"/>
          <w:color w:val="auto"/>
        </w:rPr>
        <w:t>2024</w:t>
      </w:r>
      <w:r>
        <w:rPr>
          <w:rFonts w:hint="eastAsia"/>
          <w:color w:val="auto"/>
        </w:rPr>
        <w:t>年投产，在</w:t>
      </w:r>
      <w:r>
        <w:rPr>
          <w:rFonts w:hint="eastAsia"/>
          <w:color w:val="auto"/>
        </w:rPr>
        <w:t>2024</w:t>
      </w:r>
      <w:r>
        <w:rPr>
          <w:rFonts w:hint="eastAsia"/>
          <w:color w:val="auto"/>
        </w:rPr>
        <w:t>年</w:t>
      </w:r>
      <w:r>
        <w:rPr>
          <w:rFonts w:hint="eastAsia"/>
          <w:color w:val="auto"/>
        </w:rPr>
        <w:t>-2025</w:t>
      </w:r>
      <w:r>
        <w:rPr>
          <w:rFonts w:hint="eastAsia"/>
          <w:color w:val="auto"/>
        </w:rPr>
        <w:t>年开展的各项监测结果显示，窑尾烟气中</w:t>
      </w:r>
      <w:r>
        <w:rPr>
          <w:color w:val="auto"/>
        </w:rPr>
        <w:t>二噁英类</w:t>
      </w:r>
      <w:r>
        <w:rPr>
          <w:rFonts w:hint="eastAsia"/>
          <w:color w:val="auto"/>
        </w:rPr>
        <w:t>排放</w:t>
      </w:r>
      <w:r>
        <w:rPr>
          <w:color w:val="auto"/>
        </w:rPr>
        <w:t>浓度</w:t>
      </w:r>
      <w:r>
        <w:rPr>
          <w:rFonts w:hint="eastAsia"/>
          <w:color w:val="auto"/>
        </w:rPr>
        <w:t>在</w:t>
      </w:r>
      <w:r>
        <w:rPr>
          <w:rFonts w:hint="eastAsia"/>
          <w:color w:val="auto"/>
        </w:rPr>
        <w:t>0.022</w:t>
      </w:r>
      <w:r>
        <w:rPr>
          <w:rFonts w:ascii="宋体" w:eastAsia="宋体" w:hAnsi="宋体" w:hint="eastAsia"/>
          <w:color w:val="auto"/>
        </w:rPr>
        <w:t>～</w:t>
      </w:r>
      <w:r>
        <w:rPr>
          <w:rFonts w:hint="eastAsia"/>
          <w:color w:val="auto"/>
        </w:rPr>
        <w:t>0.026</w:t>
      </w:r>
      <w:r>
        <w:rPr>
          <w:color w:val="auto"/>
        </w:rPr>
        <w:t>ngTEQ/m</w:t>
      </w:r>
      <w:r>
        <w:rPr>
          <w:color w:val="auto"/>
          <w:vertAlign w:val="superscript"/>
        </w:rPr>
        <w:t>3</w:t>
      </w:r>
      <w:r>
        <w:rPr>
          <w:rFonts w:hint="eastAsia"/>
          <w:color w:val="auto"/>
        </w:rPr>
        <w:t>范围内。</w:t>
      </w:r>
    </w:p>
    <w:p w14:paraId="400C5C3D" w14:textId="77777777" w:rsidR="002E474C" w:rsidRDefault="00000000">
      <w:pPr>
        <w:pStyle w:val="A-z"/>
        <w:rPr>
          <w:color w:val="auto"/>
        </w:rPr>
      </w:pPr>
      <w:r>
        <w:rPr>
          <w:rFonts w:hint="eastAsia"/>
          <w:color w:val="auto"/>
        </w:rPr>
        <w:t>综上，</w:t>
      </w:r>
      <w:r>
        <w:rPr>
          <w:color w:val="auto"/>
        </w:rPr>
        <w:t>类比同类项目，本项目水泥窑协同处置危险废物排放的窑尾废气中二噁英类的排放浓度以</w:t>
      </w:r>
      <w:r>
        <w:rPr>
          <w:color w:val="auto"/>
        </w:rPr>
        <w:t>0.05ngTEQ/m</w:t>
      </w:r>
      <w:r>
        <w:rPr>
          <w:color w:val="auto"/>
          <w:vertAlign w:val="superscript"/>
        </w:rPr>
        <w:t>3</w:t>
      </w:r>
      <w:r>
        <w:rPr>
          <w:color w:val="auto"/>
        </w:rPr>
        <w:t>计。</w:t>
      </w:r>
    </w:p>
    <w:p w14:paraId="353B7517" w14:textId="77777777" w:rsidR="002E474C" w:rsidRDefault="00000000">
      <w:pPr>
        <w:pStyle w:val="A-z"/>
        <w:rPr>
          <w:color w:val="auto"/>
        </w:rPr>
      </w:pPr>
      <w:r>
        <w:rPr>
          <w:rFonts w:eastAsia="宋体"/>
          <w:color w:val="auto"/>
        </w:rPr>
        <w:t>④</w:t>
      </w:r>
      <w:r>
        <w:rPr>
          <w:color w:val="auto"/>
        </w:rPr>
        <w:t>HF</w:t>
      </w:r>
      <w:r>
        <w:rPr>
          <w:color w:val="auto"/>
        </w:rPr>
        <w:t>和</w:t>
      </w:r>
      <w:r>
        <w:rPr>
          <w:color w:val="auto"/>
        </w:rPr>
        <w:t>HCl</w:t>
      </w:r>
    </w:p>
    <w:p w14:paraId="4507C088" w14:textId="77777777" w:rsidR="002E474C" w:rsidRDefault="00000000">
      <w:pPr>
        <w:pStyle w:val="A-z"/>
        <w:rPr>
          <w:color w:val="auto"/>
        </w:rPr>
      </w:pPr>
      <w:r>
        <w:rPr>
          <w:color w:val="auto"/>
        </w:rPr>
        <w:t>根据《水泥窑协同处置固体废物污染物控制标准编制说明》：</w:t>
      </w:r>
      <w:r>
        <w:rPr>
          <w:color w:val="auto"/>
        </w:rPr>
        <w:t>“</w:t>
      </w:r>
      <w:r>
        <w:rPr>
          <w:color w:val="auto"/>
        </w:rPr>
        <w:t>水泥窑产生烟气中的氟化物主要为</w:t>
      </w:r>
      <w:r>
        <w:rPr>
          <w:color w:val="auto"/>
        </w:rPr>
        <w:t>HF</w:t>
      </w:r>
      <w:r>
        <w:rPr>
          <w:color w:val="auto"/>
        </w:rPr>
        <w:t>，</w:t>
      </w:r>
      <w:r>
        <w:rPr>
          <w:color w:val="auto"/>
        </w:rPr>
        <w:t>HF</w:t>
      </w:r>
      <w:r>
        <w:rPr>
          <w:color w:val="auto"/>
        </w:rPr>
        <w:t>主要来自于原燃料，如黏土中的氟，以及含氟矿化剂（</w:t>
      </w:r>
      <w:r>
        <w:rPr>
          <w:color w:val="auto"/>
        </w:rPr>
        <w:t>CaF</w:t>
      </w:r>
      <w:r>
        <w:rPr>
          <w:color w:val="auto"/>
          <w:vertAlign w:val="subscript"/>
        </w:rPr>
        <w:t>2</w:t>
      </w:r>
      <w:r>
        <w:rPr>
          <w:color w:val="auto"/>
        </w:rPr>
        <w:t>）。含氟原燃料在烧成过程形成的</w:t>
      </w:r>
      <w:r>
        <w:rPr>
          <w:color w:val="auto"/>
        </w:rPr>
        <w:t>HF</w:t>
      </w:r>
      <w:r>
        <w:rPr>
          <w:color w:val="auto"/>
        </w:rPr>
        <w:t>会与</w:t>
      </w:r>
      <w:r>
        <w:rPr>
          <w:color w:val="auto"/>
        </w:rPr>
        <w:t>CaO</w:t>
      </w:r>
      <w:r>
        <w:rPr>
          <w:color w:val="auto"/>
        </w:rPr>
        <w:t>、</w:t>
      </w:r>
      <w:r>
        <w:rPr>
          <w:color w:val="auto"/>
        </w:rPr>
        <w:t>Al</w:t>
      </w:r>
      <w:r>
        <w:rPr>
          <w:color w:val="auto"/>
          <w:vertAlign w:val="subscript"/>
        </w:rPr>
        <w:t>2</w:t>
      </w:r>
      <w:r>
        <w:rPr>
          <w:color w:val="auto"/>
        </w:rPr>
        <w:t>O</w:t>
      </w:r>
      <w:r>
        <w:rPr>
          <w:color w:val="auto"/>
          <w:vertAlign w:val="subscript"/>
        </w:rPr>
        <w:t>3</w:t>
      </w:r>
      <w:r>
        <w:rPr>
          <w:color w:val="auto"/>
        </w:rPr>
        <w:t>形成氟铝酸钙固溶于熟料中带出窑外，</w:t>
      </w:r>
      <w:r>
        <w:rPr>
          <w:color w:val="auto"/>
        </w:rPr>
        <w:t>90%-95%</w:t>
      </w:r>
      <w:r>
        <w:rPr>
          <w:color w:val="auto"/>
        </w:rPr>
        <w:t>的</w:t>
      </w:r>
      <w:r>
        <w:rPr>
          <w:color w:val="auto"/>
        </w:rPr>
        <w:t>F</w:t>
      </w:r>
      <w:r>
        <w:rPr>
          <w:color w:val="auto"/>
        </w:rPr>
        <w:t>元素会随熟料带入窑外，剩余的</w:t>
      </w:r>
      <w:r>
        <w:rPr>
          <w:color w:val="auto"/>
        </w:rPr>
        <w:t>F</w:t>
      </w:r>
      <w:r>
        <w:rPr>
          <w:color w:val="auto"/>
        </w:rPr>
        <w:t>元素以</w:t>
      </w:r>
      <w:r>
        <w:rPr>
          <w:color w:val="auto"/>
        </w:rPr>
        <w:t>CaF</w:t>
      </w:r>
      <w:r>
        <w:rPr>
          <w:color w:val="auto"/>
          <w:vertAlign w:val="subscript"/>
        </w:rPr>
        <w:t>2</w:t>
      </w:r>
      <w:r>
        <w:rPr>
          <w:color w:val="auto"/>
        </w:rPr>
        <w:t>的形式凝结在窑灰中在窑内进行循环，极少部分随尾气排放。控制</w:t>
      </w:r>
      <w:r>
        <w:rPr>
          <w:color w:val="auto"/>
        </w:rPr>
        <w:t>HF</w:t>
      </w:r>
      <w:r>
        <w:rPr>
          <w:color w:val="auto"/>
        </w:rPr>
        <w:t>的排放，最主要的方法是限制含氟原燃料的投加速率。由于</w:t>
      </w:r>
      <w:r>
        <w:rPr>
          <w:color w:val="auto"/>
        </w:rPr>
        <w:t>F</w:t>
      </w:r>
      <w:r>
        <w:rPr>
          <w:color w:val="auto"/>
        </w:rPr>
        <w:t>主要是在窑内形成内循环和随熟料排出窑外，随尾气排入大气的比例很小，因此对含</w:t>
      </w:r>
      <w:r>
        <w:rPr>
          <w:color w:val="auto"/>
        </w:rPr>
        <w:t>F</w:t>
      </w:r>
      <w:r>
        <w:rPr>
          <w:color w:val="auto"/>
        </w:rPr>
        <w:t>元素投加速率的限制主要是考虑</w:t>
      </w:r>
      <w:r>
        <w:rPr>
          <w:color w:val="auto"/>
        </w:rPr>
        <w:t>F</w:t>
      </w:r>
      <w:r>
        <w:rPr>
          <w:color w:val="auto"/>
        </w:rPr>
        <w:t>对熟料烧成和熟料质量的影响，以及碱金属</w:t>
      </w:r>
      <w:r>
        <w:rPr>
          <w:color w:val="auto"/>
        </w:rPr>
        <w:t>F</w:t>
      </w:r>
      <w:r>
        <w:rPr>
          <w:color w:val="auto"/>
        </w:rPr>
        <w:t>化物窑内内循环造成的结皮不影响工况运行。</w:t>
      </w:r>
    </w:p>
    <w:p w14:paraId="5571FEB1" w14:textId="77777777" w:rsidR="002E474C" w:rsidRDefault="00000000">
      <w:pPr>
        <w:pStyle w:val="A-z"/>
        <w:rPr>
          <w:color w:val="auto"/>
        </w:rPr>
      </w:pPr>
      <w:r>
        <w:rPr>
          <w:color w:val="auto"/>
        </w:rPr>
        <w:t>水泥窑产生的</w:t>
      </w:r>
      <w:r>
        <w:rPr>
          <w:color w:val="auto"/>
        </w:rPr>
        <w:t>HCl</w:t>
      </w:r>
      <w:r>
        <w:rPr>
          <w:color w:val="auto"/>
        </w:rPr>
        <w:t>主要来自于含氯的原燃料在烧成过程中形成的</w:t>
      </w:r>
      <w:r>
        <w:rPr>
          <w:color w:val="auto"/>
        </w:rPr>
        <w:t>HCl</w:t>
      </w:r>
      <w:r>
        <w:rPr>
          <w:color w:val="auto"/>
        </w:rPr>
        <w:t>。由于水泥窑中具有强碱性环境，</w:t>
      </w:r>
      <w:r>
        <w:rPr>
          <w:color w:val="auto"/>
        </w:rPr>
        <w:t>HCl</w:t>
      </w:r>
      <w:r>
        <w:rPr>
          <w:color w:val="auto"/>
        </w:rPr>
        <w:t>在窑内与</w:t>
      </w:r>
      <w:r>
        <w:rPr>
          <w:color w:val="auto"/>
        </w:rPr>
        <w:t>CaO</w:t>
      </w:r>
      <w:r>
        <w:rPr>
          <w:color w:val="auto"/>
        </w:rPr>
        <w:t>反应生成</w:t>
      </w:r>
      <w:r>
        <w:rPr>
          <w:color w:val="auto"/>
        </w:rPr>
        <w:t>CaCl</w:t>
      </w:r>
      <w:r>
        <w:rPr>
          <w:color w:val="auto"/>
          <w:vertAlign w:val="subscript"/>
        </w:rPr>
        <w:t>2</w:t>
      </w:r>
      <w:r>
        <w:rPr>
          <w:color w:val="auto"/>
        </w:rPr>
        <w:t>随着熟料带出窑外，或与碱金属氧化物反应生成</w:t>
      </w:r>
      <w:r>
        <w:rPr>
          <w:color w:val="auto"/>
        </w:rPr>
        <w:t>NaCl</w:t>
      </w:r>
      <w:r>
        <w:rPr>
          <w:color w:val="auto"/>
        </w:rPr>
        <w:t>、</w:t>
      </w:r>
      <w:r>
        <w:rPr>
          <w:color w:val="auto"/>
        </w:rPr>
        <w:t>KCl</w:t>
      </w:r>
      <w:r>
        <w:rPr>
          <w:color w:val="auto"/>
        </w:rPr>
        <w:t>在窑内形成内循环而不断积蓄。通常情况下，</w:t>
      </w:r>
      <w:r>
        <w:rPr>
          <w:color w:val="auto"/>
        </w:rPr>
        <w:t>97%</w:t>
      </w:r>
      <w:r>
        <w:rPr>
          <w:color w:val="auto"/>
        </w:rPr>
        <w:t>以上的</w:t>
      </w:r>
      <w:r>
        <w:rPr>
          <w:color w:val="auto"/>
        </w:rPr>
        <w:t>HCl</w:t>
      </w:r>
      <w:r>
        <w:rPr>
          <w:color w:val="auto"/>
        </w:rPr>
        <w:t>在窑内会被碱性物质吸收，随尾气排放至窑外的量很少，只有当原料中</w:t>
      </w:r>
      <w:r>
        <w:rPr>
          <w:color w:val="auto"/>
        </w:rPr>
        <w:t>Cl</w:t>
      </w:r>
      <w:r>
        <w:rPr>
          <w:color w:val="auto"/>
        </w:rPr>
        <w:t>元素添加速率过大，或窑内</w:t>
      </w:r>
      <w:r>
        <w:rPr>
          <w:color w:val="auto"/>
        </w:rPr>
        <w:t>NaCl</w:t>
      </w:r>
      <w:r>
        <w:rPr>
          <w:color w:val="auto"/>
        </w:rPr>
        <w:t>、</w:t>
      </w:r>
      <w:r>
        <w:rPr>
          <w:color w:val="auto"/>
        </w:rPr>
        <w:t>KCl</w:t>
      </w:r>
      <w:r>
        <w:rPr>
          <w:color w:val="auto"/>
        </w:rPr>
        <w:t>内循环累积到一定程度而达到原料带入量与随尾气和熟料排出量达到平衡后，随尾气排出的</w:t>
      </w:r>
      <w:r>
        <w:rPr>
          <w:color w:val="auto"/>
        </w:rPr>
        <w:t>HCl</w:t>
      </w:r>
      <w:r>
        <w:rPr>
          <w:color w:val="auto"/>
        </w:rPr>
        <w:t>可能会增加。</w:t>
      </w:r>
      <w:r>
        <w:rPr>
          <w:color w:val="auto"/>
        </w:rPr>
        <w:t>”</w:t>
      </w:r>
      <w:r>
        <w:rPr>
          <w:color w:val="auto"/>
        </w:rPr>
        <w:t>控制</w:t>
      </w:r>
      <w:r>
        <w:rPr>
          <w:color w:val="auto"/>
        </w:rPr>
        <w:t>HCl</w:t>
      </w:r>
      <w:r>
        <w:rPr>
          <w:color w:val="auto"/>
        </w:rPr>
        <w:t>的排放，最主要的方法是限制含</w:t>
      </w:r>
      <w:r>
        <w:rPr>
          <w:color w:val="auto"/>
        </w:rPr>
        <w:t>Cl</w:t>
      </w:r>
      <w:r>
        <w:rPr>
          <w:color w:val="auto"/>
        </w:rPr>
        <w:t>原燃料的投加速率。由于</w:t>
      </w:r>
      <w:r>
        <w:rPr>
          <w:color w:val="auto"/>
        </w:rPr>
        <w:t>Cl</w:t>
      </w:r>
      <w:r>
        <w:rPr>
          <w:color w:val="auto"/>
        </w:rPr>
        <w:t>主要是在窑内形成内循环和随熟料排出窑外，以</w:t>
      </w:r>
      <w:r>
        <w:rPr>
          <w:color w:val="auto"/>
        </w:rPr>
        <w:t>HCl</w:t>
      </w:r>
      <w:r>
        <w:rPr>
          <w:color w:val="auto"/>
        </w:rPr>
        <w:t>随尾气排入大气的比例很小，因此对含</w:t>
      </w:r>
      <w:r>
        <w:rPr>
          <w:color w:val="auto"/>
        </w:rPr>
        <w:t>Cl</w:t>
      </w:r>
      <w:r>
        <w:rPr>
          <w:color w:val="auto"/>
        </w:rPr>
        <w:t>元素投加速率的限制主要是考虑熟料中</w:t>
      </w:r>
      <w:r>
        <w:rPr>
          <w:color w:val="auto"/>
        </w:rPr>
        <w:t>Cl</w:t>
      </w:r>
      <w:r>
        <w:rPr>
          <w:color w:val="auto"/>
        </w:rPr>
        <w:t>含量满足标</w:t>
      </w:r>
      <w:r>
        <w:rPr>
          <w:color w:val="auto"/>
        </w:rPr>
        <w:lastRenderedPageBreak/>
        <w:t>准，以及碱金属氯化物窑内内循环造成的结皮不影响工况运行。</w:t>
      </w:r>
    </w:p>
    <w:p w14:paraId="1144AB9D" w14:textId="77777777" w:rsidR="002E474C" w:rsidRDefault="00000000">
      <w:pPr>
        <w:pStyle w:val="A-z"/>
        <w:rPr>
          <w:color w:val="auto"/>
        </w:rPr>
      </w:pPr>
      <w:r>
        <w:rPr>
          <w:color w:val="auto"/>
        </w:rPr>
        <w:t>回转窑内的碱性环境可以中和绝大部分</w:t>
      </w:r>
      <w:r>
        <w:rPr>
          <w:color w:val="auto"/>
        </w:rPr>
        <w:t>HF</w:t>
      </w:r>
      <w:r>
        <w:rPr>
          <w:color w:val="auto"/>
        </w:rPr>
        <w:t>、</w:t>
      </w:r>
      <w:r>
        <w:rPr>
          <w:color w:val="auto"/>
        </w:rPr>
        <w:t>HCl</w:t>
      </w:r>
      <w:r>
        <w:rPr>
          <w:color w:val="auto"/>
        </w:rPr>
        <w:t>，废物中的</w:t>
      </w:r>
      <w:r>
        <w:rPr>
          <w:color w:val="auto"/>
        </w:rPr>
        <w:t>Cl</w:t>
      </w:r>
      <w:r>
        <w:rPr>
          <w:color w:val="auto"/>
        </w:rPr>
        <w:t>、</w:t>
      </w:r>
      <w:r>
        <w:rPr>
          <w:color w:val="auto"/>
        </w:rPr>
        <w:t>F</w:t>
      </w:r>
      <w:r>
        <w:rPr>
          <w:color w:val="auto"/>
        </w:rPr>
        <w:t>含量主要对系统结皮和水泥产品质量有影响，而与烟气中</w:t>
      </w:r>
      <w:r>
        <w:rPr>
          <w:color w:val="auto"/>
        </w:rPr>
        <w:t>HF</w:t>
      </w:r>
      <w:r>
        <w:rPr>
          <w:color w:val="auto"/>
        </w:rPr>
        <w:t>和</w:t>
      </w:r>
      <w:r>
        <w:rPr>
          <w:color w:val="auto"/>
        </w:rPr>
        <w:t>HCl</w:t>
      </w:r>
      <w:r>
        <w:rPr>
          <w:color w:val="auto"/>
        </w:rPr>
        <w:t>的排放无直接关系。在控制随物料入窑的氯</w:t>
      </w:r>
      <w:r>
        <w:rPr>
          <w:color w:val="auto"/>
        </w:rPr>
        <w:t>(Cl)</w:t>
      </w:r>
      <w:r>
        <w:rPr>
          <w:color w:val="auto"/>
        </w:rPr>
        <w:t>和氟</w:t>
      </w:r>
      <w:r>
        <w:rPr>
          <w:color w:val="auto"/>
        </w:rPr>
        <w:t>(F)</w:t>
      </w:r>
      <w:r>
        <w:rPr>
          <w:color w:val="auto"/>
        </w:rPr>
        <w:t>元素的投加量，即入窑物料中氟元素含量不应大于</w:t>
      </w:r>
      <w:r>
        <w:rPr>
          <w:color w:val="auto"/>
        </w:rPr>
        <w:t>0.5%</w:t>
      </w:r>
      <w:r>
        <w:rPr>
          <w:color w:val="auto"/>
        </w:rPr>
        <w:t>，氯元素含量不应大于</w:t>
      </w:r>
      <w:r>
        <w:rPr>
          <w:color w:val="auto"/>
        </w:rPr>
        <w:t>0.04%</w:t>
      </w:r>
      <w:r>
        <w:rPr>
          <w:color w:val="auto"/>
        </w:rPr>
        <w:t>的前提下，</w:t>
      </w:r>
      <w:r>
        <w:rPr>
          <w:color w:val="auto"/>
        </w:rPr>
        <w:t>HCl</w:t>
      </w:r>
      <w:r>
        <w:rPr>
          <w:color w:val="auto"/>
        </w:rPr>
        <w:t>、</w:t>
      </w:r>
      <w:r>
        <w:rPr>
          <w:color w:val="auto"/>
        </w:rPr>
        <w:t>HF</w:t>
      </w:r>
      <w:r>
        <w:rPr>
          <w:color w:val="auto"/>
        </w:rPr>
        <w:t>的排放浓度可以满足排放标准限值要求。</w:t>
      </w:r>
    </w:p>
    <w:p w14:paraId="12785B50" w14:textId="77777777" w:rsidR="002E474C" w:rsidRDefault="00000000">
      <w:pPr>
        <w:pStyle w:val="A-z"/>
        <w:rPr>
          <w:color w:val="auto"/>
        </w:rPr>
      </w:pPr>
      <w:r>
        <w:rPr>
          <w:color w:val="auto"/>
        </w:rPr>
        <w:t>类比同类项目，</w:t>
      </w:r>
      <w:r>
        <w:rPr>
          <w:rFonts w:hint="eastAsia"/>
          <w:color w:val="auto"/>
        </w:rPr>
        <w:t>库车红狮水泥窑协同处置</w:t>
      </w:r>
      <w:r>
        <w:rPr>
          <w:rFonts w:hint="eastAsia"/>
          <w:color w:val="auto"/>
        </w:rPr>
        <w:t>10</w:t>
      </w:r>
      <w:r>
        <w:rPr>
          <w:rFonts w:hint="eastAsia"/>
          <w:color w:val="auto"/>
        </w:rPr>
        <w:t>万</w:t>
      </w:r>
      <w:r>
        <w:rPr>
          <w:rFonts w:hint="eastAsia"/>
          <w:color w:val="auto"/>
        </w:rPr>
        <w:t>t/a</w:t>
      </w:r>
      <w:r>
        <w:rPr>
          <w:color w:val="auto"/>
        </w:rPr>
        <w:t>工业危险废物</w:t>
      </w:r>
      <w:r>
        <w:rPr>
          <w:rFonts w:hint="eastAsia"/>
          <w:color w:val="auto"/>
        </w:rPr>
        <w:t>项目在</w:t>
      </w:r>
      <w:r>
        <w:rPr>
          <w:rFonts w:hint="eastAsia"/>
          <w:color w:val="auto"/>
        </w:rPr>
        <w:t>2023</w:t>
      </w:r>
      <w:r>
        <w:rPr>
          <w:rFonts w:hint="eastAsia"/>
          <w:color w:val="auto"/>
        </w:rPr>
        <w:t>年</w:t>
      </w:r>
      <w:r>
        <w:rPr>
          <w:rFonts w:hint="eastAsia"/>
          <w:color w:val="auto"/>
        </w:rPr>
        <w:t>-2025</w:t>
      </w:r>
      <w:r>
        <w:rPr>
          <w:rFonts w:hint="eastAsia"/>
          <w:color w:val="auto"/>
        </w:rPr>
        <w:t>年间，窑尾烟气中氟化氢排放</w:t>
      </w:r>
      <w:r>
        <w:rPr>
          <w:color w:val="auto"/>
        </w:rPr>
        <w:t>浓度</w:t>
      </w:r>
      <w:r>
        <w:rPr>
          <w:rFonts w:hint="eastAsia"/>
          <w:color w:val="auto"/>
        </w:rPr>
        <w:t>在</w:t>
      </w:r>
      <w:r>
        <w:rPr>
          <w:rFonts w:hint="eastAsia"/>
          <w:color w:val="auto"/>
        </w:rPr>
        <w:t>0.22</w:t>
      </w:r>
      <w:r>
        <w:rPr>
          <w:rFonts w:ascii="宋体" w:eastAsia="宋体" w:hAnsi="宋体" w:hint="eastAsia"/>
          <w:color w:val="auto"/>
        </w:rPr>
        <w:t>～</w:t>
      </w:r>
      <w:r>
        <w:rPr>
          <w:rFonts w:hint="eastAsia"/>
          <w:color w:val="auto"/>
        </w:rPr>
        <w:t>0.26mg</w:t>
      </w:r>
      <w:r>
        <w:rPr>
          <w:color w:val="auto"/>
        </w:rPr>
        <w:t>/m</w:t>
      </w:r>
      <w:r>
        <w:rPr>
          <w:color w:val="auto"/>
          <w:vertAlign w:val="superscript"/>
        </w:rPr>
        <w:t>3</w:t>
      </w:r>
      <w:r>
        <w:rPr>
          <w:rFonts w:hint="eastAsia"/>
          <w:color w:val="auto"/>
        </w:rPr>
        <w:t>范围内，氯化氢排放</w:t>
      </w:r>
      <w:r>
        <w:rPr>
          <w:color w:val="auto"/>
        </w:rPr>
        <w:t>浓度</w:t>
      </w:r>
      <w:r>
        <w:rPr>
          <w:rFonts w:hint="eastAsia"/>
          <w:color w:val="auto"/>
        </w:rPr>
        <w:t>在</w:t>
      </w:r>
      <w:r>
        <w:rPr>
          <w:rFonts w:hint="eastAsia"/>
          <w:color w:val="auto"/>
        </w:rPr>
        <w:t>2.28</w:t>
      </w:r>
      <w:r>
        <w:rPr>
          <w:rFonts w:ascii="宋体" w:eastAsia="宋体" w:hAnsi="宋体" w:hint="eastAsia"/>
          <w:color w:val="auto"/>
        </w:rPr>
        <w:t>～</w:t>
      </w:r>
      <w:r>
        <w:rPr>
          <w:rFonts w:hint="eastAsia"/>
          <w:color w:val="auto"/>
        </w:rPr>
        <w:t>2.54mg</w:t>
      </w:r>
      <w:r>
        <w:rPr>
          <w:color w:val="auto"/>
        </w:rPr>
        <w:t>/m</w:t>
      </w:r>
      <w:r>
        <w:rPr>
          <w:color w:val="auto"/>
          <w:vertAlign w:val="superscript"/>
        </w:rPr>
        <w:t>3</w:t>
      </w:r>
      <w:r>
        <w:rPr>
          <w:rFonts w:hint="eastAsia"/>
          <w:color w:val="auto"/>
        </w:rPr>
        <w:t>范围内；</w:t>
      </w:r>
      <w:r>
        <w:rPr>
          <w:color w:val="auto"/>
        </w:rPr>
        <w:t>吉木萨尔协同处置项目</w:t>
      </w:r>
      <w:r>
        <w:rPr>
          <w:rFonts w:hint="eastAsia"/>
          <w:color w:val="auto"/>
        </w:rPr>
        <w:t>在</w:t>
      </w:r>
      <w:r>
        <w:rPr>
          <w:rFonts w:hint="eastAsia"/>
          <w:color w:val="auto"/>
        </w:rPr>
        <w:t>2023</w:t>
      </w:r>
      <w:r>
        <w:rPr>
          <w:rFonts w:hint="eastAsia"/>
          <w:color w:val="auto"/>
        </w:rPr>
        <w:t>年</w:t>
      </w:r>
      <w:r>
        <w:rPr>
          <w:rFonts w:hint="eastAsia"/>
          <w:color w:val="auto"/>
        </w:rPr>
        <w:t>-2025</w:t>
      </w:r>
      <w:r>
        <w:rPr>
          <w:rFonts w:hint="eastAsia"/>
          <w:color w:val="auto"/>
        </w:rPr>
        <w:t>年间，窑尾烟气中氟化氢排放</w:t>
      </w:r>
      <w:r>
        <w:rPr>
          <w:color w:val="auto"/>
        </w:rPr>
        <w:t>浓度</w:t>
      </w:r>
      <w:r>
        <w:rPr>
          <w:rFonts w:hint="eastAsia"/>
          <w:color w:val="auto"/>
        </w:rPr>
        <w:t>在</w:t>
      </w:r>
      <w:r>
        <w:rPr>
          <w:rFonts w:hint="eastAsia"/>
          <w:color w:val="auto"/>
        </w:rPr>
        <w:t>0.17</w:t>
      </w:r>
      <w:r>
        <w:rPr>
          <w:rFonts w:ascii="宋体" w:eastAsia="宋体" w:hAnsi="宋体" w:hint="eastAsia"/>
          <w:color w:val="auto"/>
        </w:rPr>
        <w:t>～</w:t>
      </w:r>
      <w:r>
        <w:rPr>
          <w:rFonts w:hint="eastAsia"/>
          <w:color w:val="auto"/>
        </w:rPr>
        <w:t>0.24mg</w:t>
      </w:r>
      <w:r>
        <w:rPr>
          <w:color w:val="auto"/>
        </w:rPr>
        <w:t>/m</w:t>
      </w:r>
      <w:r>
        <w:rPr>
          <w:color w:val="auto"/>
          <w:vertAlign w:val="superscript"/>
        </w:rPr>
        <w:t>3</w:t>
      </w:r>
      <w:r>
        <w:rPr>
          <w:rFonts w:hint="eastAsia"/>
          <w:color w:val="auto"/>
        </w:rPr>
        <w:t>范围内，氯化氢排放</w:t>
      </w:r>
      <w:r>
        <w:rPr>
          <w:color w:val="auto"/>
        </w:rPr>
        <w:t>浓度</w:t>
      </w:r>
      <w:r>
        <w:rPr>
          <w:rFonts w:hint="eastAsia"/>
          <w:color w:val="auto"/>
        </w:rPr>
        <w:t>在</w:t>
      </w:r>
      <w:r>
        <w:rPr>
          <w:rFonts w:hint="eastAsia"/>
          <w:color w:val="auto"/>
        </w:rPr>
        <w:t>1.85</w:t>
      </w:r>
      <w:r>
        <w:rPr>
          <w:rFonts w:ascii="宋体" w:eastAsia="宋体" w:hAnsi="宋体" w:hint="eastAsia"/>
          <w:color w:val="auto"/>
        </w:rPr>
        <w:t>～</w:t>
      </w:r>
      <w:r>
        <w:rPr>
          <w:rFonts w:hint="eastAsia"/>
          <w:color w:val="auto"/>
        </w:rPr>
        <w:t>2.21mg</w:t>
      </w:r>
      <w:r>
        <w:rPr>
          <w:color w:val="auto"/>
        </w:rPr>
        <w:t>/m</w:t>
      </w:r>
      <w:r>
        <w:rPr>
          <w:color w:val="auto"/>
          <w:vertAlign w:val="superscript"/>
        </w:rPr>
        <w:t>3</w:t>
      </w:r>
      <w:r>
        <w:rPr>
          <w:rFonts w:hint="eastAsia"/>
          <w:color w:val="auto"/>
        </w:rPr>
        <w:t>范围内；</w:t>
      </w:r>
      <w:r>
        <w:rPr>
          <w:color w:val="auto"/>
        </w:rPr>
        <w:t>新疆柏航环保科技有限公司利用水泥窑协同处置</w:t>
      </w:r>
      <w:r>
        <w:rPr>
          <w:rFonts w:hint="eastAsia"/>
          <w:color w:val="auto"/>
        </w:rPr>
        <w:t>8</w:t>
      </w:r>
      <w:r>
        <w:rPr>
          <w:rFonts w:hint="eastAsia"/>
          <w:color w:val="auto"/>
        </w:rPr>
        <w:t>万</w:t>
      </w:r>
      <w:r>
        <w:rPr>
          <w:rFonts w:hint="eastAsia"/>
          <w:color w:val="auto"/>
        </w:rPr>
        <w:t>t/a</w:t>
      </w:r>
      <w:r>
        <w:rPr>
          <w:color w:val="auto"/>
        </w:rPr>
        <w:t>工业危险废物</w:t>
      </w:r>
      <w:r>
        <w:rPr>
          <w:rFonts w:hint="eastAsia"/>
          <w:color w:val="auto"/>
        </w:rPr>
        <w:t>项目在</w:t>
      </w:r>
      <w:r>
        <w:rPr>
          <w:rFonts w:hint="eastAsia"/>
          <w:color w:val="auto"/>
        </w:rPr>
        <w:t>2022</w:t>
      </w:r>
      <w:r>
        <w:rPr>
          <w:rFonts w:hint="eastAsia"/>
          <w:color w:val="auto"/>
        </w:rPr>
        <w:t>年</w:t>
      </w:r>
      <w:r>
        <w:rPr>
          <w:rFonts w:hint="eastAsia"/>
          <w:color w:val="auto"/>
        </w:rPr>
        <w:t>-2025</w:t>
      </w:r>
      <w:r>
        <w:rPr>
          <w:rFonts w:hint="eastAsia"/>
          <w:color w:val="auto"/>
        </w:rPr>
        <w:t>年间，窑尾烟气中氟化氢排放</w:t>
      </w:r>
      <w:r>
        <w:rPr>
          <w:color w:val="auto"/>
        </w:rPr>
        <w:t>浓度</w:t>
      </w:r>
      <w:r>
        <w:rPr>
          <w:rFonts w:hint="eastAsia"/>
          <w:color w:val="auto"/>
        </w:rPr>
        <w:t>在</w:t>
      </w:r>
      <w:r>
        <w:rPr>
          <w:rFonts w:hint="eastAsia"/>
          <w:color w:val="auto"/>
        </w:rPr>
        <w:t>0.14</w:t>
      </w:r>
      <w:r>
        <w:rPr>
          <w:rFonts w:ascii="宋体" w:eastAsia="宋体" w:hAnsi="宋体" w:hint="eastAsia"/>
          <w:color w:val="auto"/>
        </w:rPr>
        <w:t>～</w:t>
      </w:r>
      <w:r>
        <w:rPr>
          <w:rFonts w:hint="eastAsia"/>
          <w:color w:val="auto"/>
        </w:rPr>
        <w:t>0.18mg</w:t>
      </w:r>
      <w:r>
        <w:rPr>
          <w:color w:val="auto"/>
        </w:rPr>
        <w:t>/m</w:t>
      </w:r>
      <w:r>
        <w:rPr>
          <w:color w:val="auto"/>
          <w:vertAlign w:val="superscript"/>
        </w:rPr>
        <w:t>3</w:t>
      </w:r>
      <w:r>
        <w:rPr>
          <w:rFonts w:hint="eastAsia"/>
          <w:color w:val="auto"/>
        </w:rPr>
        <w:t>范围内，氯化氢排放</w:t>
      </w:r>
      <w:r>
        <w:rPr>
          <w:color w:val="auto"/>
        </w:rPr>
        <w:t>浓度</w:t>
      </w:r>
      <w:r>
        <w:rPr>
          <w:rFonts w:hint="eastAsia"/>
          <w:color w:val="auto"/>
        </w:rPr>
        <w:t>在</w:t>
      </w:r>
      <w:r>
        <w:rPr>
          <w:rFonts w:hint="eastAsia"/>
          <w:color w:val="auto"/>
        </w:rPr>
        <w:t>1.58</w:t>
      </w:r>
      <w:r>
        <w:rPr>
          <w:rFonts w:ascii="宋体" w:eastAsia="宋体" w:hAnsi="宋体" w:hint="eastAsia"/>
          <w:color w:val="auto"/>
        </w:rPr>
        <w:t>～</w:t>
      </w:r>
      <w:r>
        <w:rPr>
          <w:rFonts w:hint="eastAsia"/>
          <w:color w:val="auto"/>
        </w:rPr>
        <w:t>1.92mg</w:t>
      </w:r>
      <w:r>
        <w:rPr>
          <w:color w:val="auto"/>
        </w:rPr>
        <w:t>/m</w:t>
      </w:r>
      <w:r>
        <w:rPr>
          <w:color w:val="auto"/>
          <w:vertAlign w:val="superscript"/>
        </w:rPr>
        <w:t>3</w:t>
      </w:r>
      <w:r>
        <w:rPr>
          <w:rFonts w:hint="eastAsia"/>
          <w:color w:val="auto"/>
        </w:rPr>
        <w:t>范围内；</w:t>
      </w:r>
      <w:r>
        <w:rPr>
          <w:color w:val="auto"/>
          <w:lang w:val="en-US"/>
        </w:rPr>
        <w:t>巴州天山水泥有限责任公司水泥窑协同处置</w:t>
      </w:r>
      <w:r>
        <w:rPr>
          <w:rFonts w:hint="eastAsia"/>
          <w:color w:val="auto"/>
          <w:lang w:val="en-US"/>
        </w:rPr>
        <w:t>6</w:t>
      </w:r>
      <w:r>
        <w:rPr>
          <w:rFonts w:hint="eastAsia"/>
          <w:color w:val="auto"/>
          <w:lang w:val="en-US"/>
        </w:rPr>
        <w:t>万</w:t>
      </w:r>
      <w:r>
        <w:rPr>
          <w:rFonts w:hint="eastAsia"/>
          <w:color w:val="auto"/>
          <w:lang w:val="en-US"/>
        </w:rPr>
        <w:t>t/a</w:t>
      </w:r>
      <w:r>
        <w:rPr>
          <w:color w:val="auto"/>
          <w:lang w:val="en-US"/>
        </w:rPr>
        <w:t>危险废物技改项目</w:t>
      </w:r>
      <w:r>
        <w:rPr>
          <w:rFonts w:hint="eastAsia"/>
          <w:color w:val="auto"/>
        </w:rPr>
        <w:t>在</w:t>
      </w:r>
      <w:r>
        <w:rPr>
          <w:rFonts w:hint="eastAsia"/>
          <w:color w:val="auto"/>
        </w:rPr>
        <w:t>2024</w:t>
      </w:r>
      <w:r>
        <w:rPr>
          <w:rFonts w:hint="eastAsia"/>
          <w:color w:val="auto"/>
        </w:rPr>
        <w:t>年</w:t>
      </w:r>
      <w:r>
        <w:rPr>
          <w:rFonts w:hint="eastAsia"/>
          <w:color w:val="auto"/>
        </w:rPr>
        <w:t>-2025</w:t>
      </w:r>
      <w:r>
        <w:rPr>
          <w:rFonts w:hint="eastAsia"/>
          <w:color w:val="auto"/>
        </w:rPr>
        <w:t>年间，窑尾烟气中氟化氢排放</w:t>
      </w:r>
      <w:r>
        <w:rPr>
          <w:color w:val="auto"/>
        </w:rPr>
        <w:t>浓度</w:t>
      </w:r>
      <w:r>
        <w:rPr>
          <w:rFonts w:hint="eastAsia"/>
          <w:color w:val="auto"/>
        </w:rPr>
        <w:t>在</w:t>
      </w:r>
      <w:r>
        <w:rPr>
          <w:rFonts w:hint="eastAsia"/>
          <w:color w:val="auto"/>
        </w:rPr>
        <w:t>0.20</w:t>
      </w:r>
      <w:r>
        <w:rPr>
          <w:rFonts w:ascii="宋体" w:eastAsia="宋体" w:hAnsi="宋体" w:hint="eastAsia"/>
          <w:color w:val="auto"/>
        </w:rPr>
        <w:t>～</w:t>
      </w:r>
      <w:r>
        <w:rPr>
          <w:rFonts w:hint="eastAsia"/>
          <w:color w:val="auto"/>
        </w:rPr>
        <w:t>0.25mg</w:t>
      </w:r>
      <w:r>
        <w:rPr>
          <w:color w:val="auto"/>
        </w:rPr>
        <w:t>/m</w:t>
      </w:r>
      <w:r>
        <w:rPr>
          <w:color w:val="auto"/>
          <w:vertAlign w:val="superscript"/>
        </w:rPr>
        <w:t>3</w:t>
      </w:r>
      <w:r>
        <w:rPr>
          <w:rFonts w:hint="eastAsia"/>
          <w:color w:val="auto"/>
        </w:rPr>
        <w:t>范围内，氯化氢排放</w:t>
      </w:r>
      <w:r>
        <w:rPr>
          <w:color w:val="auto"/>
        </w:rPr>
        <w:t>浓度</w:t>
      </w:r>
      <w:r>
        <w:rPr>
          <w:rFonts w:hint="eastAsia"/>
          <w:color w:val="auto"/>
        </w:rPr>
        <w:t>在</w:t>
      </w:r>
      <w:r>
        <w:rPr>
          <w:rFonts w:hint="eastAsia"/>
          <w:color w:val="auto"/>
        </w:rPr>
        <w:t>2.15</w:t>
      </w:r>
      <w:r>
        <w:rPr>
          <w:rFonts w:ascii="宋体" w:eastAsia="宋体" w:hAnsi="宋体" w:hint="eastAsia"/>
          <w:color w:val="auto"/>
        </w:rPr>
        <w:t>～</w:t>
      </w:r>
      <w:r>
        <w:rPr>
          <w:rFonts w:hint="eastAsia"/>
          <w:color w:val="auto"/>
        </w:rPr>
        <w:t>2.42mg</w:t>
      </w:r>
      <w:r>
        <w:rPr>
          <w:color w:val="auto"/>
        </w:rPr>
        <w:t>/m</w:t>
      </w:r>
      <w:r>
        <w:rPr>
          <w:color w:val="auto"/>
          <w:vertAlign w:val="superscript"/>
        </w:rPr>
        <w:t>3</w:t>
      </w:r>
      <w:r>
        <w:rPr>
          <w:rFonts w:hint="eastAsia"/>
          <w:color w:val="auto"/>
        </w:rPr>
        <w:t>范围内。</w:t>
      </w:r>
      <w:r>
        <w:rPr>
          <w:color w:val="auto"/>
        </w:rPr>
        <w:t>本评价根据物料衡算得到</w:t>
      </w:r>
      <w:r>
        <w:rPr>
          <w:color w:val="auto"/>
        </w:rPr>
        <w:t>HF</w:t>
      </w:r>
      <w:r>
        <w:rPr>
          <w:color w:val="auto"/>
        </w:rPr>
        <w:t>的排放浓度为</w:t>
      </w:r>
      <w:r>
        <w:rPr>
          <w:color w:val="auto"/>
        </w:rPr>
        <w:t>0.278mg/Nm</w:t>
      </w:r>
      <w:r>
        <w:rPr>
          <w:color w:val="auto"/>
          <w:vertAlign w:val="superscript"/>
        </w:rPr>
        <w:t>3</w:t>
      </w:r>
      <w:r>
        <w:rPr>
          <w:color w:val="auto"/>
        </w:rPr>
        <w:t>，</w:t>
      </w:r>
      <w:r>
        <w:rPr>
          <w:color w:val="auto"/>
        </w:rPr>
        <w:t>HCl</w:t>
      </w:r>
      <w:r>
        <w:rPr>
          <w:color w:val="auto"/>
        </w:rPr>
        <w:t>的排放浓度为</w:t>
      </w:r>
      <w:r>
        <w:rPr>
          <w:color w:val="auto"/>
        </w:rPr>
        <w:t>4.99mg/Nm</w:t>
      </w:r>
      <w:r>
        <w:rPr>
          <w:color w:val="auto"/>
          <w:vertAlign w:val="superscript"/>
        </w:rPr>
        <w:t>3</w:t>
      </w:r>
      <w:r>
        <w:rPr>
          <w:color w:val="auto"/>
        </w:rPr>
        <w:t>，属于正常范围。</w:t>
      </w:r>
    </w:p>
    <w:p w14:paraId="2E53C529" w14:textId="77777777" w:rsidR="002E474C" w:rsidRDefault="00000000">
      <w:pPr>
        <w:pStyle w:val="A-z"/>
        <w:rPr>
          <w:color w:val="auto"/>
        </w:rPr>
      </w:pPr>
      <w:r>
        <w:rPr>
          <w:color w:val="auto"/>
        </w:rPr>
        <w:t>本项目有组织废气污染源产排情况汇总，见表</w:t>
      </w:r>
      <w:r>
        <w:rPr>
          <w:color w:val="auto"/>
        </w:rPr>
        <w:t>3.5-15</w:t>
      </w:r>
      <w:r>
        <w:rPr>
          <w:color w:val="auto"/>
        </w:rPr>
        <w:t>。</w:t>
      </w:r>
    </w:p>
    <w:p w14:paraId="52C31129" w14:textId="77777777" w:rsidR="002E474C" w:rsidRDefault="002E474C">
      <w:pPr>
        <w:pStyle w:val="A-z"/>
        <w:rPr>
          <w:color w:val="auto"/>
        </w:rPr>
      </w:pPr>
      <w:bookmarkStart w:id="192" w:name="_Hlk151318422"/>
    </w:p>
    <w:p w14:paraId="20762225"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6F08AD85" w14:textId="77777777" w:rsidR="002E474C" w:rsidRDefault="002E474C">
      <w:pPr>
        <w:pStyle w:val="A-0"/>
        <w:rPr>
          <w:color w:val="auto"/>
        </w:rPr>
      </w:pPr>
      <w:bookmarkStart w:id="193" w:name="_Ref132221321"/>
      <w:bookmarkStart w:id="194" w:name="_Ref127961514"/>
    </w:p>
    <w:p w14:paraId="3AF5BD7B" w14:textId="77777777" w:rsidR="002E474C" w:rsidRDefault="00000000">
      <w:pPr>
        <w:pStyle w:val="A--"/>
        <w:rPr>
          <w:color w:val="auto"/>
        </w:rPr>
      </w:pPr>
      <w:r>
        <w:rPr>
          <w:color w:val="auto"/>
        </w:rPr>
        <w:t>表</w:t>
      </w:r>
      <w:bookmarkEnd w:id="193"/>
      <w:r>
        <w:rPr>
          <w:color w:val="auto"/>
        </w:rPr>
        <w:t xml:space="preserve">3.5-15  </w:t>
      </w:r>
      <w:r>
        <w:rPr>
          <w:color w:val="auto"/>
        </w:rPr>
        <w:t>本项目正常工况下废气污染源源强核算结果及相关参数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0"/>
        <w:gridCol w:w="627"/>
        <w:gridCol w:w="1574"/>
        <w:gridCol w:w="706"/>
        <w:gridCol w:w="989"/>
        <w:gridCol w:w="1556"/>
        <w:gridCol w:w="847"/>
        <w:gridCol w:w="849"/>
        <w:gridCol w:w="706"/>
        <w:gridCol w:w="1556"/>
        <w:gridCol w:w="847"/>
        <w:gridCol w:w="566"/>
        <w:gridCol w:w="566"/>
        <w:gridCol w:w="524"/>
        <w:gridCol w:w="675"/>
      </w:tblGrid>
      <w:tr w:rsidR="002E474C" w14:paraId="137BBCE1" w14:textId="77777777">
        <w:trPr>
          <w:tblHeader/>
        </w:trPr>
        <w:tc>
          <w:tcPr>
            <w:tcW w:w="242" w:type="pct"/>
            <w:vMerge w:val="restart"/>
            <w:shd w:val="clear" w:color="auto" w:fill="auto"/>
            <w:noWrap/>
            <w:tcMar>
              <w:top w:w="15" w:type="dxa"/>
              <w:left w:w="15" w:type="dxa"/>
              <w:bottom w:w="0" w:type="dxa"/>
              <w:right w:w="15" w:type="dxa"/>
            </w:tcMar>
            <w:vAlign w:val="center"/>
          </w:tcPr>
          <w:p w14:paraId="0072DC66" w14:textId="77777777" w:rsidR="002E474C" w:rsidRDefault="00000000">
            <w:pPr>
              <w:pStyle w:val="A-"/>
            </w:pPr>
            <w:r>
              <w:t>装置</w:t>
            </w:r>
          </w:p>
        </w:tc>
        <w:tc>
          <w:tcPr>
            <w:tcW w:w="237" w:type="pct"/>
            <w:vMerge w:val="restart"/>
            <w:shd w:val="clear" w:color="auto" w:fill="auto"/>
            <w:noWrap/>
            <w:tcMar>
              <w:top w:w="15" w:type="dxa"/>
              <w:left w:w="15" w:type="dxa"/>
              <w:bottom w:w="0" w:type="dxa"/>
              <w:right w:w="15" w:type="dxa"/>
            </w:tcMar>
            <w:vAlign w:val="center"/>
          </w:tcPr>
          <w:p w14:paraId="517DD7D2" w14:textId="77777777" w:rsidR="002E474C" w:rsidRDefault="00000000">
            <w:pPr>
              <w:pStyle w:val="A-"/>
            </w:pPr>
            <w:r>
              <w:t>污染源</w:t>
            </w:r>
          </w:p>
        </w:tc>
        <w:tc>
          <w:tcPr>
            <w:tcW w:w="595" w:type="pct"/>
            <w:vMerge w:val="restart"/>
            <w:shd w:val="clear" w:color="auto" w:fill="auto"/>
            <w:noWrap/>
            <w:tcMar>
              <w:top w:w="15" w:type="dxa"/>
              <w:left w:w="15" w:type="dxa"/>
              <w:bottom w:w="0" w:type="dxa"/>
              <w:right w:w="15" w:type="dxa"/>
            </w:tcMar>
            <w:vAlign w:val="center"/>
          </w:tcPr>
          <w:p w14:paraId="63CD77EB" w14:textId="77777777" w:rsidR="002E474C" w:rsidRDefault="00000000">
            <w:pPr>
              <w:pStyle w:val="A-"/>
            </w:pPr>
            <w:r>
              <w:t>污染物</w:t>
            </w:r>
          </w:p>
        </w:tc>
        <w:tc>
          <w:tcPr>
            <w:tcW w:w="267" w:type="pct"/>
            <w:vMerge w:val="restart"/>
            <w:vAlign w:val="center"/>
          </w:tcPr>
          <w:p w14:paraId="5C7E5580" w14:textId="77777777" w:rsidR="002E474C" w:rsidRDefault="00000000">
            <w:pPr>
              <w:pStyle w:val="A-"/>
            </w:pPr>
            <w:r>
              <w:t>烟气量</w:t>
            </w:r>
            <w:r>
              <w:t>m</w:t>
            </w:r>
            <w:r>
              <w:rPr>
                <w:vertAlign w:val="superscript"/>
              </w:rPr>
              <w:t>3</w:t>
            </w:r>
            <w:r>
              <w:t>/h</w:t>
            </w:r>
            <w:r>
              <w:t>）</w:t>
            </w:r>
          </w:p>
        </w:tc>
        <w:tc>
          <w:tcPr>
            <w:tcW w:w="1282" w:type="pct"/>
            <w:gridSpan w:val="3"/>
            <w:shd w:val="clear" w:color="auto" w:fill="auto"/>
            <w:noWrap/>
            <w:tcMar>
              <w:top w:w="15" w:type="dxa"/>
              <w:left w:w="15" w:type="dxa"/>
              <w:bottom w:w="0" w:type="dxa"/>
              <w:right w:w="15" w:type="dxa"/>
            </w:tcMar>
            <w:vAlign w:val="center"/>
          </w:tcPr>
          <w:p w14:paraId="75A2F540" w14:textId="77777777" w:rsidR="002E474C" w:rsidRDefault="00000000">
            <w:pPr>
              <w:pStyle w:val="A-"/>
            </w:pPr>
            <w:r>
              <w:t>污染物产生</w:t>
            </w:r>
          </w:p>
        </w:tc>
        <w:tc>
          <w:tcPr>
            <w:tcW w:w="588" w:type="pct"/>
            <w:gridSpan w:val="2"/>
            <w:shd w:val="clear" w:color="auto" w:fill="auto"/>
            <w:noWrap/>
            <w:tcMar>
              <w:top w:w="15" w:type="dxa"/>
              <w:left w:w="15" w:type="dxa"/>
              <w:bottom w:w="0" w:type="dxa"/>
              <w:right w:w="15" w:type="dxa"/>
            </w:tcMar>
            <w:vAlign w:val="center"/>
          </w:tcPr>
          <w:p w14:paraId="07A78BB8" w14:textId="77777777" w:rsidR="002E474C" w:rsidRDefault="00000000">
            <w:pPr>
              <w:pStyle w:val="A-"/>
            </w:pPr>
            <w:r>
              <w:t>治理措施</w:t>
            </w:r>
          </w:p>
        </w:tc>
        <w:tc>
          <w:tcPr>
            <w:tcW w:w="908" w:type="pct"/>
            <w:gridSpan w:val="2"/>
            <w:shd w:val="clear" w:color="auto" w:fill="auto"/>
            <w:vAlign w:val="center"/>
          </w:tcPr>
          <w:p w14:paraId="41A7C1DF" w14:textId="77777777" w:rsidR="002E474C" w:rsidRDefault="00000000">
            <w:pPr>
              <w:pStyle w:val="A-"/>
            </w:pPr>
            <w:r>
              <w:t>污染物排放</w:t>
            </w:r>
          </w:p>
        </w:tc>
        <w:tc>
          <w:tcPr>
            <w:tcW w:w="626" w:type="pct"/>
            <w:gridSpan w:val="3"/>
            <w:vAlign w:val="center"/>
          </w:tcPr>
          <w:p w14:paraId="5BC57269" w14:textId="77777777" w:rsidR="002E474C" w:rsidRDefault="00000000">
            <w:pPr>
              <w:pStyle w:val="A-"/>
            </w:pPr>
            <w:r>
              <w:t>排气筒参数</w:t>
            </w:r>
          </w:p>
        </w:tc>
        <w:tc>
          <w:tcPr>
            <w:tcW w:w="255" w:type="pct"/>
            <w:vMerge w:val="restart"/>
            <w:shd w:val="clear" w:color="auto" w:fill="auto"/>
            <w:tcMar>
              <w:top w:w="15" w:type="dxa"/>
              <w:left w:w="15" w:type="dxa"/>
              <w:bottom w:w="0" w:type="dxa"/>
              <w:right w:w="15" w:type="dxa"/>
            </w:tcMar>
            <w:vAlign w:val="center"/>
          </w:tcPr>
          <w:p w14:paraId="40C2FD49" w14:textId="77777777" w:rsidR="002E474C" w:rsidRDefault="00000000">
            <w:pPr>
              <w:pStyle w:val="A-"/>
            </w:pPr>
            <w:r>
              <w:t>排放时间</w:t>
            </w:r>
            <w:r>
              <w:t>/h</w:t>
            </w:r>
          </w:p>
        </w:tc>
      </w:tr>
      <w:tr w:rsidR="002E474C" w14:paraId="2C38D839" w14:textId="77777777">
        <w:trPr>
          <w:tblHeader/>
        </w:trPr>
        <w:tc>
          <w:tcPr>
            <w:tcW w:w="242" w:type="pct"/>
            <w:vMerge/>
            <w:vAlign w:val="center"/>
          </w:tcPr>
          <w:p w14:paraId="0D09B1AC" w14:textId="77777777" w:rsidR="002E474C" w:rsidRDefault="002E474C">
            <w:pPr>
              <w:pStyle w:val="A-"/>
            </w:pPr>
          </w:p>
        </w:tc>
        <w:tc>
          <w:tcPr>
            <w:tcW w:w="237" w:type="pct"/>
            <w:vMerge/>
            <w:vAlign w:val="center"/>
          </w:tcPr>
          <w:p w14:paraId="47F1D439" w14:textId="77777777" w:rsidR="002E474C" w:rsidRDefault="002E474C">
            <w:pPr>
              <w:pStyle w:val="A-"/>
            </w:pPr>
          </w:p>
        </w:tc>
        <w:tc>
          <w:tcPr>
            <w:tcW w:w="595" w:type="pct"/>
            <w:vMerge/>
            <w:vAlign w:val="center"/>
          </w:tcPr>
          <w:p w14:paraId="23676627" w14:textId="77777777" w:rsidR="002E474C" w:rsidRDefault="002E474C">
            <w:pPr>
              <w:pStyle w:val="A-"/>
            </w:pPr>
          </w:p>
        </w:tc>
        <w:tc>
          <w:tcPr>
            <w:tcW w:w="267" w:type="pct"/>
            <w:vMerge/>
            <w:vAlign w:val="center"/>
          </w:tcPr>
          <w:p w14:paraId="50C698AB" w14:textId="77777777" w:rsidR="002E474C" w:rsidRDefault="002E474C">
            <w:pPr>
              <w:pStyle w:val="A-"/>
            </w:pPr>
          </w:p>
        </w:tc>
        <w:tc>
          <w:tcPr>
            <w:tcW w:w="374" w:type="pct"/>
            <w:shd w:val="clear" w:color="auto" w:fill="auto"/>
            <w:tcMar>
              <w:top w:w="15" w:type="dxa"/>
              <w:left w:w="15" w:type="dxa"/>
              <w:bottom w:w="0" w:type="dxa"/>
              <w:right w:w="15" w:type="dxa"/>
            </w:tcMar>
            <w:vAlign w:val="center"/>
          </w:tcPr>
          <w:p w14:paraId="6DDBC24B" w14:textId="77777777" w:rsidR="002E474C" w:rsidRDefault="00000000">
            <w:pPr>
              <w:pStyle w:val="A-"/>
            </w:pPr>
            <w:r>
              <w:t>核算方法</w:t>
            </w:r>
          </w:p>
        </w:tc>
        <w:tc>
          <w:tcPr>
            <w:tcW w:w="588" w:type="pct"/>
            <w:shd w:val="clear" w:color="auto" w:fill="auto"/>
            <w:tcMar>
              <w:top w:w="15" w:type="dxa"/>
              <w:left w:w="15" w:type="dxa"/>
              <w:bottom w:w="0" w:type="dxa"/>
              <w:right w:w="15" w:type="dxa"/>
            </w:tcMar>
            <w:vAlign w:val="center"/>
          </w:tcPr>
          <w:p w14:paraId="22B99FD9" w14:textId="77777777" w:rsidR="002E474C" w:rsidRDefault="00000000">
            <w:pPr>
              <w:pStyle w:val="A-"/>
            </w:pPr>
            <w:r>
              <w:t>产生浓度（</w:t>
            </w:r>
            <w:r>
              <w:t>mg/m</w:t>
            </w:r>
            <w:r>
              <w:rPr>
                <w:vertAlign w:val="superscript"/>
              </w:rPr>
              <w:t>3</w:t>
            </w:r>
            <w:r>
              <w:t>）</w:t>
            </w:r>
          </w:p>
        </w:tc>
        <w:tc>
          <w:tcPr>
            <w:tcW w:w="320" w:type="pct"/>
            <w:shd w:val="clear" w:color="auto" w:fill="auto"/>
            <w:tcMar>
              <w:top w:w="15" w:type="dxa"/>
              <w:left w:w="15" w:type="dxa"/>
              <w:bottom w:w="0" w:type="dxa"/>
              <w:right w:w="15" w:type="dxa"/>
            </w:tcMar>
            <w:vAlign w:val="center"/>
          </w:tcPr>
          <w:p w14:paraId="46361130" w14:textId="77777777" w:rsidR="002E474C" w:rsidRDefault="00000000">
            <w:pPr>
              <w:pStyle w:val="A-"/>
            </w:pPr>
            <w:r>
              <w:t>产生速率（</w:t>
            </w:r>
            <w:r>
              <w:t>kg/h</w:t>
            </w:r>
            <w:r>
              <w:t>）</w:t>
            </w:r>
          </w:p>
        </w:tc>
        <w:tc>
          <w:tcPr>
            <w:tcW w:w="321" w:type="pct"/>
            <w:shd w:val="clear" w:color="auto" w:fill="auto"/>
            <w:noWrap/>
            <w:tcMar>
              <w:top w:w="15" w:type="dxa"/>
              <w:left w:w="15" w:type="dxa"/>
              <w:bottom w:w="0" w:type="dxa"/>
              <w:right w:w="15" w:type="dxa"/>
            </w:tcMar>
            <w:vAlign w:val="center"/>
          </w:tcPr>
          <w:p w14:paraId="233E319C" w14:textId="77777777" w:rsidR="002E474C" w:rsidRDefault="00000000">
            <w:pPr>
              <w:pStyle w:val="A-"/>
            </w:pPr>
            <w:r>
              <w:t>工艺</w:t>
            </w:r>
          </w:p>
        </w:tc>
        <w:tc>
          <w:tcPr>
            <w:tcW w:w="267" w:type="pct"/>
            <w:shd w:val="clear" w:color="auto" w:fill="auto"/>
            <w:noWrap/>
            <w:tcMar>
              <w:top w:w="15" w:type="dxa"/>
              <w:left w:w="15" w:type="dxa"/>
              <w:bottom w:w="0" w:type="dxa"/>
              <w:right w:w="15" w:type="dxa"/>
            </w:tcMar>
            <w:vAlign w:val="center"/>
          </w:tcPr>
          <w:p w14:paraId="2401F8FA" w14:textId="77777777" w:rsidR="002E474C" w:rsidRDefault="00000000">
            <w:pPr>
              <w:pStyle w:val="A-"/>
            </w:pPr>
            <w:r>
              <w:t>效率</w:t>
            </w:r>
            <w:r>
              <w:t>/%</w:t>
            </w:r>
          </w:p>
        </w:tc>
        <w:tc>
          <w:tcPr>
            <w:tcW w:w="588" w:type="pct"/>
            <w:shd w:val="clear" w:color="auto" w:fill="auto"/>
            <w:tcMar>
              <w:top w:w="15" w:type="dxa"/>
              <w:left w:w="15" w:type="dxa"/>
              <w:bottom w:w="0" w:type="dxa"/>
              <w:right w:w="15" w:type="dxa"/>
            </w:tcMar>
            <w:vAlign w:val="center"/>
          </w:tcPr>
          <w:p w14:paraId="7AB95759" w14:textId="77777777" w:rsidR="002E474C" w:rsidRDefault="00000000">
            <w:pPr>
              <w:pStyle w:val="A-"/>
            </w:pPr>
            <w:r>
              <w:t>排放浓度（</w:t>
            </w:r>
            <w:r>
              <w:t>mg/m</w:t>
            </w:r>
            <w:r>
              <w:rPr>
                <w:vertAlign w:val="superscript"/>
              </w:rPr>
              <w:t>3</w:t>
            </w:r>
            <w:r>
              <w:t>）</w:t>
            </w:r>
          </w:p>
        </w:tc>
        <w:tc>
          <w:tcPr>
            <w:tcW w:w="320" w:type="pct"/>
            <w:shd w:val="clear" w:color="auto" w:fill="auto"/>
            <w:tcMar>
              <w:top w:w="15" w:type="dxa"/>
              <w:left w:w="15" w:type="dxa"/>
              <w:bottom w:w="0" w:type="dxa"/>
              <w:right w:w="15" w:type="dxa"/>
            </w:tcMar>
            <w:vAlign w:val="center"/>
          </w:tcPr>
          <w:p w14:paraId="3358EAF1" w14:textId="77777777" w:rsidR="002E474C" w:rsidRDefault="00000000">
            <w:pPr>
              <w:pStyle w:val="A-"/>
            </w:pPr>
            <w:r>
              <w:t>排放速率（</w:t>
            </w:r>
            <w:r>
              <w:t>kg/h</w:t>
            </w:r>
            <w:r>
              <w:t>）</w:t>
            </w:r>
          </w:p>
        </w:tc>
        <w:tc>
          <w:tcPr>
            <w:tcW w:w="214" w:type="pct"/>
            <w:vAlign w:val="center"/>
          </w:tcPr>
          <w:p w14:paraId="7539F1E5" w14:textId="77777777" w:rsidR="002E474C" w:rsidRDefault="00000000">
            <w:pPr>
              <w:pStyle w:val="A-"/>
            </w:pPr>
            <w:r>
              <w:t>高度</w:t>
            </w:r>
            <w:r>
              <w:t>/m</w:t>
            </w:r>
          </w:p>
        </w:tc>
        <w:tc>
          <w:tcPr>
            <w:tcW w:w="214" w:type="pct"/>
            <w:vAlign w:val="center"/>
          </w:tcPr>
          <w:p w14:paraId="4B01CFEF" w14:textId="77777777" w:rsidR="002E474C" w:rsidRDefault="00000000">
            <w:pPr>
              <w:pStyle w:val="A-"/>
            </w:pPr>
            <w:r>
              <w:t>内径</w:t>
            </w:r>
            <w:r>
              <w:t>/m</w:t>
            </w:r>
          </w:p>
        </w:tc>
        <w:tc>
          <w:tcPr>
            <w:tcW w:w="198" w:type="pct"/>
            <w:vAlign w:val="center"/>
          </w:tcPr>
          <w:p w14:paraId="1F92D37A" w14:textId="77777777" w:rsidR="002E474C" w:rsidRDefault="00000000">
            <w:pPr>
              <w:pStyle w:val="A-"/>
            </w:pPr>
            <w:r>
              <w:t>温度</w:t>
            </w:r>
            <w:r>
              <w:t>/m</w:t>
            </w:r>
          </w:p>
        </w:tc>
        <w:tc>
          <w:tcPr>
            <w:tcW w:w="255" w:type="pct"/>
            <w:vMerge/>
            <w:vAlign w:val="center"/>
          </w:tcPr>
          <w:p w14:paraId="5EC7A604" w14:textId="77777777" w:rsidR="002E474C" w:rsidRDefault="002E474C">
            <w:pPr>
              <w:pStyle w:val="A-"/>
            </w:pPr>
          </w:p>
        </w:tc>
      </w:tr>
      <w:tr w:rsidR="002E474C" w14:paraId="3F444698" w14:textId="77777777">
        <w:tc>
          <w:tcPr>
            <w:tcW w:w="242" w:type="pct"/>
            <w:vMerge w:val="restart"/>
            <w:shd w:val="clear" w:color="auto" w:fill="auto"/>
            <w:tcMar>
              <w:top w:w="15" w:type="dxa"/>
              <w:left w:w="15" w:type="dxa"/>
              <w:bottom w:w="0" w:type="dxa"/>
              <w:right w:w="15" w:type="dxa"/>
            </w:tcMar>
            <w:vAlign w:val="center"/>
          </w:tcPr>
          <w:p w14:paraId="1BCBC459" w14:textId="77777777" w:rsidR="002E474C" w:rsidRDefault="00000000">
            <w:pPr>
              <w:pStyle w:val="A-"/>
            </w:pPr>
            <w:r>
              <w:t>水泥窑及窑尾余热利用系统</w:t>
            </w:r>
          </w:p>
        </w:tc>
        <w:tc>
          <w:tcPr>
            <w:tcW w:w="237" w:type="pct"/>
            <w:vMerge w:val="restart"/>
            <w:shd w:val="clear" w:color="auto" w:fill="auto"/>
            <w:noWrap/>
            <w:tcMar>
              <w:top w:w="15" w:type="dxa"/>
              <w:left w:w="15" w:type="dxa"/>
              <w:bottom w:w="0" w:type="dxa"/>
              <w:right w:w="15" w:type="dxa"/>
            </w:tcMar>
            <w:vAlign w:val="center"/>
          </w:tcPr>
          <w:p w14:paraId="7338424D" w14:textId="77777777" w:rsidR="002E474C" w:rsidRDefault="00000000">
            <w:pPr>
              <w:pStyle w:val="A-"/>
            </w:pPr>
            <w:r>
              <w:t>窑尾烟气</w:t>
            </w:r>
            <w:r>
              <w:t>DA030</w:t>
            </w:r>
          </w:p>
        </w:tc>
        <w:tc>
          <w:tcPr>
            <w:tcW w:w="595" w:type="pct"/>
            <w:shd w:val="clear" w:color="auto" w:fill="auto"/>
            <w:noWrap/>
            <w:tcMar>
              <w:top w:w="15" w:type="dxa"/>
              <w:left w:w="15" w:type="dxa"/>
              <w:bottom w:w="0" w:type="dxa"/>
              <w:right w:w="15" w:type="dxa"/>
            </w:tcMar>
            <w:vAlign w:val="center"/>
          </w:tcPr>
          <w:p w14:paraId="5054781C" w14:textId="77777777" w:rsidR="002E474C" w:rsidRDefault="00000000">
            <w:pPr>
              <w:pStyle w:val="A-"/>
            </w:pPr>
            <w:r>
              <w:t>HF</w:t>
            </w:r>
          </w:p>
        </w:tc>
        <w:tc>
          <w:tcPr>
            <w:tcW w:w="267" w:type="pct"/>
            <w:vMerge w:val="restart"/>
            <w:vAlign w:val="center"/>
          </w:tcPr>
          <w:p w14:paraId="5390B8FD" w14:textId="77777777" w:rsidR="002E474C" w:rsidRDefault="00000000">
            <w:pPr>
              <w:pStyle w:val="A-"/>
            </w:pPr>
            <w:r>
              <w:t>720314</w:t>
            </w:r>
          </w:p>
        </w:tc>
        <w:tc>
          <w:tcPr>
            <w:tcW w:w="374" w:type="pct"/>
            <w:shd w:val="clear" w:color="auto" w:fill="auto"/>
            <w:noWrap/>
            <w:tcMar>
              <w:top w:w="15" w:type="dxa"/>
              <w:left w:w="15" w:type="dxa"/>
              <w:bottom w:w="0" w:type="dxa"/>
              <w:right w:w="15" w:type="dxa"/>
            </w:tcMar>
            <w:vAlign w:val="center"/>
          </w:tcPr>
          <w:p w14:paraId="7215B48C"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45BC5B9D" w14:textId="77777777" w:rsidR="002E474C" w:rsidRDefault="00000000">
            <w:pPr>
              <w:pStyle w:val="A-"/>
            </w:pPr>
            <w:r>
              <w:t>0.278</w:t>
            </w:r>
          </w:p>
        </w:tc>
        <w:tc>
          <w:tcPr>
            <w:tcW w:w="320" w:type="pct"/>
            <w:shd w:val="clear" w:color="auto" w:fill="auto"/>
            <w:noWrap/>
            <w:tcMar>
              <w:top w:w="15" w:type="dxa"/>
              <w:left w:w="15" w:type="dxa"/>
              <w:bottom w:w="0" w:type="dxa"/>
              <w:right w:w="15" w:type="dxa"/>
            </w:tcMar>
            <w:vAlign w:val="center"/>
          </w:tcPr>
          <w:p w14:paraId="66138082" w14:textId="77777777" w:rsidR="002E474C" w:rsidRDefault="00000000">
            <w:pPr>
              <w:pStyle w:val="A-"/>
            </w:pPr>
            <w:r>
              <w:t>0.2</w:t>
            </w:r>
          </w:p>
        </w:tc>
        <w:tc>
          <w:tcPr>
            <w:tcW w:w="321" w:type="pct"/>
            <w:vMerge w:val="restart"/>
            <w:shd w:val="clear" w:color="auto" w:fill="auto"/>
            <w:noWrap/>
            <w:tcMar>
              <w:top w:w="15" w:type="dxa"/>
              <w:left w:w="15" w:type="dxa"/>
              <w:bottom w:w="0" w:type="dxa"/>
              <w:right w:w="15" w:type="dxa"/>
            </w:tcMar>
            <w:vAlign w:val="center"/>
          </w:tcPr>
          <w:p w14:paraId="1535D957" w14:textId="77777777" w:rsidR="002E474C" w:rsidRDefault="00000000">
            <w:pPr>
              <w:pStyle w:val="A-"/>
            </w:pPr>
            <w:r>
              <w:t>SNCR+SCR+</w:t>
            </w:r>
            <w:r>
              <w:t>急冷</w:t>
            </w:r>
            <w:r>
              <w:t>+</w:t>
            </w:r>
            <w:r>
              <w:t>电袋除尘</w:t>
            </w:r>
          </w:p>
        </w:tc>
        <w:tc>
          <w:tcPr>
            <w:tcW w:w="267" w:type="pct"/>
            <w:shd w:val="clear" w:color="auto" w:fill="auto"/>
            <w:noWrap/>
            <w:tcMar>
              <w:top w:w="15" w:type="dxa"/>
              <w:left w:w="15" w:type="dxa"/>
              <w:bottom w:w="0" w:type="dxa"/>
              <w:right w:w="15" w:type="dxa"/>
            </w:tcMar>
            <w:vAlign w:val="center"/>
          </w:tcPr>
          <w:p w14:paraId="4DDF977A"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15C2F7FE" w14:textId="77777777" w:rsidR="002E474C" w:rsidRDefault="00000000">
            <w:pPr>
              <w:pStyle w:val="A-"/>
            </w:pPr>
            <w:r>
              <w:t>0.278</w:t>
            </w:r>
          </w:p>
        </w:tc>
        <w:tc>
          <w:tcPr>
            <w:tcW w:w="320" w:type="pct"/>
            <w:shd w:val="clear" w:color="auto" w:fill="auto"/>
            <w:noWrap/>
            <w:tcMar>
              <w:top w:w="15" w:type="dxa"/>
              <w:left w:w="15" w:type="dxa"/>
              <w:bottom w:w="0" w:type="dxa"/>
              <w:right w:w="15" w:type="dxa"/>
            </w:tcMar>
            <w:vAlign w:val="center"/>
          </w:tcPr>
          <w:p w14:paraId="73B0887D" w14:textId="77777777" w:rsidR="002E474C" w:rsidRDefault="00000000">
            <w:pPr>
              <w:pStyle w:val="A-"/>
            </w:pPr>
            <w:r>
              <w:t>0.2</w:t>
            </w:r>
          </w:p>
        </w:tc>
        <w:tc>
          <w:tcPr>
            <w:tcW w:w="214" w:type="pct"/>
            <w:vMerge w:val="restart"/>
            <w:vAlign w:val="center"/>
          </w:tcPr>
          <w:p w14:paraId="56710C9C" w14:textId="77777777" w:rsidR="002E474C" w:rsidRDefault="00000000">
            <w:pPr>
              <w:pStyle w:val="A-"/>
            </w:pPr>
            <w:r>
              <w:t>85</w:t>
            </w:r>
          </w:p>
        </w:tc>
        <w:tc>
          <w:tcPr>
            <w:tcW w:w="214" w:type="pct"/>
            <w:vMerge w:val="restart"/>
            <w:vAlign w:val="center"/>
          </w:tcPr>
          <w:p w14:paraId="49FD9769" w14:textId="77777777" w:rsidR="002E474C" w:rsidRDefault="00000000">
            <w:pPr>
              <w:pStyle w:val="A-"/>
            </w:pPr>
            <w:r>
              <w:t>5.2</w:t>
            </w:r>
          </w:p>
        </w:tc>
        <w:tc>
          <w:tcPr>
            <w:tcW w:w="198" w:type="pct"/>
            <w:vMerge w:val="restart"/>
            <w:vAlign w:val="center"/>
          </w:tcPr>
          <w:p w14:paraId="20A66FB6" w14:textId="77777777" w:rsidR="002E474C" w:rsidRDefault="00000000">
            <w:pPr>
              <w:pStyle w:val="A-"/>
            </w:pPr>
            <w:r>
              <w:t>130</w:t>
            </w:r>
          </w:p>
        </w:tc>
        <w:tc>
          <w:tcPr>
            <w:tcW w:w="255" w:type="pct"/>
            <w:vMerge w:val="restart"/>
            <w:shd w:val="clear" w:color="auto" w:fill="auto"/>
            <w:noWrap/>
            <w:tcMar>
              <w:top w:w="15" w:type="dxa"/>
              <w:left w:w="15" w:type="dxa"/>
              <w:bottom w:w="0" w:type="dxa"/>
              <w:right w:w="15" w:type="dxa"/>
            </w:tcMar>
            <w:vAlign w:val="center"/>
          </w:tcPr>
          <w:p w14:paraId="2C18676B" w14:textId="77777777" w:rsidR="002E474C" w:rsidRDefault="00000000">
            <w:pPr>
              <w:pStyle w:val="A-"/>
            </w:pPr>
            <w:r>
              <w:t>7200</w:t>
            </w:r>
          </w:p>
        </w:tc>
      </w:tr>
      <w:tr w:rsidR="002E474C" w14:paraId="56A76BCF" w14:textId="77777777">
        <w:tc>
          <w:tcPr>
            <w:tcW w:w="242" w:type="pct"/>
            <w:vMerge/>
            <w:vAlign w:val="center"/>
          </w:tcPr>
          <w:p w14:paraId="3954FD13" w14:textId="77777777" w:rsidR="002E474C" w:rsidRDefault="002E474C">
            <w:pPr>
              <w:pStyle w:val="A-"/>
            </w:pPr>
          </w:p>
        </w:tc>
        <w:tc>
          <w:tcPr>
            <w:tcW w:w="237" w:type="pct"/>
            <w:vMerge/>
            <w:vAlign w:val="center"/>
          </w:tcPr>
          <w:p w14:paraId="0C7DA32A"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4AE92CE4" w14:textId="77777777" w:rsidR="002E474C" w:rsidRDefault="00000000">
            <w:pPr>
              <w:pStyle w:val="A-"/>
            </w:pPr>
            <w:r>
              <w:t>HCl</w:t>
            </w:r>
          </w:p>
        </w:tc>
        <w:tc>
          <w:tcPr>
            <w:tcW w:w="267" w:type="pct"/>
            <w:vMerge/>
            <w:vAlign w:val="center"/>
          </w:tcPr>
          <w:p w14:paraId="6E6C0E3A"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426ABA63"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137D306C" w14:textId="77777777" w:rsidR="002E474C" w:rsidRDefault="00000000">
            <w:pPr>
              <w:pStyle w:val="A-"/>
            </w:pPr>
            <w:r>
              <w:t>4.99</w:t>
            </w:r>
          </w:p>
        </w:tc>
        <w:tc>
          <w:tcPr>
            <w:tcW w:w="320" w:type="pct"/>
            <w:shd w:val="clear" w:color="auto" w:fill="auto"/>
            <w:noWrap/>
            <w:tcMar>
              <w:top w:w="15" w:type="dxa"/>
              <w:left w:w="15" w:type="dxa"/>
              <w:bottom w:w="0" w:type="dxa"/>
              <w:right w:w="15" w:type="dxa"/>
            </w:tcMar>
            <w:vAlign w:val="center"/>
          </w:tcPr>
          <w:p w14:paraId="44B76B83" w14:textId="77777777" w:rsidR="002E474C" w:rsidRDefault="00000000">
            <w:pPr>
              <w:pStyle w:val="A-"/>
            </w:pPr>
            <w:r>
              <w:t xml:space="preserve">3.597 </w:t>
            </w:r>
          </w:p>
        </w:tc>
        <w:tc>
          <w:tcPr>
            <w:tcW w:w="321" w:type="pct"/>
            <w:vMerge/>
            <w:shd w:val="clear" w:color="auto" w:fill="auto"/>
            <w:noWrap/>
            <w:tcMar>
              <w:top w:w="15" w:type="dxa"/>
              <w:left w:w="15" w:type="dxa"/>
              <w:bottom w:w="0" w:type="dxa"/>
              <w:right w:w="15" w:type="dxa"/>
            </w:tcMar>
            <w:vAlign w:val="center"/>
          </w:tcPr>
          <w:p w14:paraId="4BA456FB"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7AA9C594"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5E0DBC45" w14:textId="77777777" w:rsidR="002E474C" w:rsidRDefault="00000000">
            <w:pPr>
              <w:pStyle w:val="A-"/>
            </w:pPr>
            <w:r>
              <w:t>4.99</w:t>
            </w:r>
          </w:p>
        </w:tc>
        <w:tc>
          <w:tcPr>
            <w:tcW w:w="320" w:type="pct"/>
            <w:shd w:val="clear" w:color="auto" w:fill="auto"/>
            <w:noWrap/>
            <w:tcMar>
              <w:top w:w="15" w:type="dxa"/>
              <w:left w:w="15" w:type="dxa"/>
              <w:bottom w:w="0" w:type="dxa"/>
              <w:right w:w="15" w:type="dxa"/>
            </w:tcMar>
            <w:vAlign w:val="center"/>
          </w:tcPr>
          <w:p w14:paraId="4FFC867F" w14:textId="77777777" w:rsidR="002E474C" w:rsidRDefault="00000000">
            <w:pPr>
              <w:pStyle w:val="A-"/>
            </w:pPr>
            <w:r>
              <w:t xml:space="preserve">3.597 </w:t>
            </w:r>
          </w:p>
        </w:tc>
        <w:tc>
          <w:tcPr>
            <w:tcW w:w="214" w:type="pct"/>
            <w:vMerge/>
            <w:vAlign w:val="center"/>
          </w:tcPr>
          <w:p w14:paraId="25C09167" w14:textId="77777777" w:rsidR="002E474C" w:rsidRDefault="002E474C">
            <w:pPr>
              <w:pStyle w:val="A-"/>
            </w:pPr>
          </w:p>
        </w:tc>
        <w:tc>
          <w:tcPr>
            <w:tcW w:w="214" w:type="pct"/>
            <w:vMerge/>
            <w:vAlign w:val="center"/>
          </w:tcPr>
          <w:p w14:paraId="6796D908" w14:textId="77777777" w:rsidR="002E474C" w:rsidRDefault="002E474C">
            <w:pPr>
              <w:pStyle w:val="A-"/>
            </w:pPr>
          </w:p>
        </w:tc>
        <w:tc>
          <w:tcPr>
            <w:tcW w:w="198" w:type="pct"/>
            <w:vMerge/>
            <w:vAlign w:val="center"/>
          </w:tcPr>
          <w:p w14:paraId="21110616"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25234F56" w14:textId="77777777" w:rsidR="002E474C" w:rsidRDefault="002E474C">
            <w:pPr>
              <w:pStyle w:val="A-"/>
            </w:pPr>
          </w:p>
        </w:tc>
      </w:tr>
      <w:tr w:rsidR="002E474C" w14:paraId="3CF691C6" w14:textId="77777777">
        <w:tc>
          <w:tcPr>
            <w:tcW w:w="242" w:type="pct"/>
            <w:vMerge/>
            <w:vAlign w:val="center"/>
          </w:tcPr>
          <w:p w14:paraId="6FDFCEAB" w14:textId="77777777" w:rsidR="002E474C" w:rsidRDefault="002E474C">
            <w:pPr>
              <w:pStyle w:val="A-"/>
            </w:pPr>
          </w:p>
        </w:tc>
        <w:tc>
          <w:tcPr>
            <w:tcW w:w="237" w:type="pct"/>
            <w:vMerge/>
            <w:vAlign w:val="center"/>
          </w:tcPr>
          <w:p w14:paraId="78087A97"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7853F873" w14:textId="77777777" w:rsidR="002E474C" w:rsidRDefault="00000000">
            <w:pPr>
              <w:pStyle w:val="A-"/>
            </w:pPr>
            <w:r>
              <w:t>Cr</w:t>
            </w:r>
          </w:p>
        </w:tc>
        <w:tc>
          <w:tcPr>
            <w:tcW w:w="267" w:type="pct"/>
            <w:vMerge/>
            <w:vAlign w:val="center"/>
          </w:tcPr>
          <w:p w14:paraId="486F4EE2"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71321EB9"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2AD18B41" w14:textId="77777777" w:rsidR="002E474C" w:rsidRDefault="00000000">
            <w:pPr>
              <w:pStyle w:val="A-"/>
            </w:pPr>
            <w:r>
              <w:t>2.00E-04</w:t>
            </w:r>
          </w:p>
        </w:tc>
        <w:tc>
          <w:tcPr>
            <w:tcW w:w="320" w:type="pct"/>
            <w:shd w:val="clear" w:color="auto" w:fill="auto"/>
            <w:noWrap/>
            <w:tcMar>
              <w:top w:w="15" w:type="dxa"/>
              <w:left w:w="15" w:type="dxa"/>
              <w:bottom w:w="0" w:type="dxa"/>
              <w:right w:w="15" w:type="dxa"/>
            </w:tcMar>
            <w:vAlign w:val="center"/>
          </w:tcPr>
          <w:p w14:paraId="43D813C1" w14:textId="77777777" w:rsidR="002E474C" w:rsidRDefault="00000000">
            <w:pPr>
              <w:pStyle w:val="A-"/>
            </w:pPr>
            <w:r>
              <w:t>1.44E-04</w:t>
            </w:r>
          </w:p>
        </w:tc>
        <w:tc>
          <w:tcPr>
            <w:tcW w:w="321" w:type="pct"/>
            <w:vMerge/>
            <w:shd w:val="clear" w:color="auto" w:fill="auto"/>
            <w:noWrap/>
            <w:tcMar>
              <w:top w:w="15" w:type="dxa"/>
              <w:left w:w="15" w:type="dxa"/>
              <w:bottom w:w="0" w:type="dxa"/>
              <w:right w:w="15" w:type="dxa"/>
            </w:tcMar>
            <w:vAlign w:val="center"/>
          </w:tcPr>
          <w:p w14:paraId="537AB678"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25B6EDE4"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75D10490" w14:textId="77777777" w:rsidR="002E474C" w:rsidRDefault="00000000">
            <w:pPr>
              <w:pStyle w:val="A-"/>
            </w:pPr>
            <w:r>
              <w:t>2.00E-04</w:t>
            </w:r>
          </w:p>
        </w:tc>
        <w:tc>
          <w:tcPr>
            <w:tcW w:w="320" w:type="pct"/>
            <w:shd w:val="clear" w:color="auto" w:fill="auto"/>
            <w:noWrap/>
            <w:tcMar>
              <w:top w:w="15" w:type="dxa"/>
              <w:left w:w="15" w:type="dxa"/>
              <w:bottom w:w="0" w:type="dxa"/>
              <w:right w:w="15" w:type="dxa"/>
            </w:tcMar>
            <w:vAlign w:val="center"/>
          </w:tcPr>
          <w:p w14:paraId="6EA9061D" w14:textId="77777777" w:rsidR="002E474C" w:rsidRDefault="00000000">
            <w:pPr>
              <w:pStyle w:val="A-"/>
            </w:pPr>
            <w:r>
              <w:t>1.44E-04</w:t>
            </w:r>
          </w:p>
        </w:tc>
        <w:tc>
          <w:tcPr>
            <w:tcW w:w="214" w:type="pct"/>
            <w:vMerge/>
            <w:vAlign w:val="center"/>
          </w:tcPr>
          <w:p w14:paraId="655C85D6" w14:textId="77777777" w:rsidR="002E474C" w:rsidRDefault="002E474C">
            <w:pPr>
              <w:pStyle w:val="A-"/>
            </w:pPr>
          </w:p>
        </w:tc>
        <w:tc>
          <w:tcPr>
            <w:tcW w:w="214" w:type="pct"/>
            <w:vMerge/>
            <w:vAlign w:val="center"/>
          </w:tcPr>
          <w:p w14:paraId="298753F6" w14:textId="77777777" w:rsidR="002E474C" w:rsidRDefault="002E474C">
            <w:pPr>
              <w:pStyle w:val="A-"/>
            </w:pPr>
          </w:p>
        </w:tc>
        <w:tc>
          <w:tcPr>
            <w:tcW w:w="198" w:type="pct"/>
            <w:vMerge/>
            <w:vAlign w:val="center"/>
          </w:tcPr>
          <w:p w14:paraId="47ACC973"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4AB92CC0" w14:textId="77777777" w:rsidR="002E474C" w:rsidRDefault="002E474C">
            <w:pPr>
              <w:pStyle w:val="A-"/>
            </w:pPr>
          </w:p>
        </w:tc>
      </w:tr>
      <w:tr w:rsidR="002E474C" w14:paraId="5A5DBB66" w14:textId="77777777">
        <w:tc>
          <w:tcPr>
            <w:tcW w:w="242" w:type="pct"/>
            <w:vMerge/>
            <w:vAlign w:val="center"/>
          </w:tcPr>
          <w:p w14:paraId="5A433278" w14:textId="77777777" w:rsidR="002E474C" w:rsidRDefault="002E474C">
            <w:pPr>
              <w:pStyle w:val="A-"/>
            </w:pPr>
          </w:p>
        </w:tc>
        <w:tc>
          <w:tcPr>
            <w:tcW w:w="237" w:type="pct"/>
            <w:vMerge/>
            <w:vAlign w:val="center"/>
          </w:tcPr>
          <w:p w14:paraId="5EF401C1"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51F432FC" w14:textId="77777777" w:rsidR="002E474C" w:rsidRDefault="00000000">
            <w:pPr>
              <w:pStyle w:val="A-"/>
            </w:pPr>
            <w:r>
              <w:t>Cu</w:t>
            </w:r>
          </w:p>
        </w:tc>
        <w:tc>
          <w:tcPr>
            <w:tcW w:w="267" w:type="pct"/>
            <w:vMerge/>
            <w:vAlign w:val="center"/>
          </w:tcPr>
          <w:p w14:paraId="2054E0A4"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733AA70D"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2C2795C2" w14:textId="77777777" w:rsidR="002E474C" w:rsidRDefault="00000000">
            <w:pPr>
              <w:pStyle w:val="A-"/>
            </w:pPr>
            <w:r>
              <w:t>4.22E-02</w:t>
            </w:r>
          </w:p>
        </w:tc>
        <w:tc>
          <w:tcPr>
            <w:tcW w:w="320" w:type="pct"/>
            <w:shd w:val="clear" w:color="auto" w:fill="auto"/>
            <w:noWrap/>
            <w:tcMar>
              <w:top w:w="15" w:type="dxa"/>
              <w:left w:w="15" w:type="dxa"/>
              <w:bottom w:w="0" w:type="dxa"/>
              <w:right w:w="15" w:type="dxa"/>
            </w:tcMar>
            <w:vAlign w:val="center"/>
          </w:tcPr>
          <w:p w14:paraId="05A90D05" w14:textId="77777777" w:rsidR="002E474C" w:rsidRDefault="00000000">
            <w:pPr>
              <w:pStyle w:val="A-"/>
            </w:pPr>
            <w:r>
              <w:t>3.04E-02</w:t>
            </w:r>
          </w:p>
        </w:tc>
        <w:tc>
          <w:tcPr>
            <w:tcW w:w="321" w:type="pct"/>
            <w:vMerge/>
            <w:shd w:val="clear" w:color="auto" w:fill="auto"/>
            <w:noWrap/>
            <w:tcMar>
              <w:top w:w="15" w:type="dxa"/>
              <w:left w:w="15" w:type="dxa"/>
              <w:bottom w:w="0" w:type="dxa"/>
              <w:right w:w="15" w:type="dxa"/>
            </w:tcMar>
            <w:vAlign w:val="center"/>
          </w:tcPr>
          <w:p w14:paraId="41652E9D"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61BA26E8"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3D73855F" w14:textId="77777777" w:rsidR="002E474C" w:rsidRDefault="00000000">
            <w:pPr>
              <w:pStyle w:val="A-"/>
            </w:pPr>
            <w:r>
              <w:t>4.22E-02</w:t>
            </w:r>
          </w:p>
        </w:tc>
        <w:tc>
          <w:tcPr>
            <w:tcW w:w="320" w:type="pct"/>
            <w:shd w:val="clear" w:color="auto" w:fill="auto"/>
            <w:noWrap/>
            <w:tcMar>
              <w:top w:w="15" w:type="dxa"/>
              <w:left w:w="15" w:type="dxa"/>
              <w:bottom w:w="0" w:type="dxa"/>
              <w:right w:w="15" w:type="dxa"/>
            </w:tcMar>
            <w:vAlign w:val="center"/>
          </w:tcPr>
          <w:p w14:paraId="13D0675B" w14:textId="77777777" w:rsidR="002E474C" w:rsidRDefault="00000000">
            <w:pPr>
              <w:pStyle w:val="A-"/>
            </w:pPr>
            <w:r>
              <w:t>3.04E-02</w:t>
            </w:r>
          </w:p>
        </w:tc>
        <w:tc>
          <w:tcPr>
            <w:tcW w:w="214" w:type="pct"/>
            <w:vMerge/>
            <w:vAlign w:val="center"/>
          </w:tcPr>
          <w:p w14:paraId="3D19B95E" w14:textId="77777777" w:rsidR="002E474C" w:rsidRDefault="002E474C">
            <w:pPr>
              <w:pStyle w:val="A-"/>
            </w:pPr>
          </w:p>
        </w:tc>
        <w:tc>
          <w:tcPr>
            <w:tcW w:w="214" w:type="pct"/>
            <w:vMerge/>
            <w:vAlign w:val="center"/>
          </w:tcPr>
          <w:p w14:paraId="1EE9248A" w14:textId="77777777" w:rsidR="002E474C" w:rsidRDefault="002E474C">
            <w:pPr>
              <w:pStyle w:val="A-"/>
            </w:pPr>
          </w:p>
        </w:tc>
        <w:tc>
          <w:tcPr>
            <w:tcW w:w="198" w:type="pct"/>
            <w:vMerge/>
            <w:vAlign w:val="center"/>
          </w:tcPr>
          <w:p w14:paraId="712B905B"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2F4DE52D" w14:textId="77777777" w:rsidR="002E474C" w:rsidRDefault="002E474C">
            <w:pPr>
              <w:pStyle w:val="A-"/>
            </w:pPr>
          </w:p>
        </w:tc>
      </w:tr>
      <w:tr w:rsidR="002E474C" w14:paraId="744F8EFB" w14:textId="77777777">
        <w:tc>
          <w:tcPr>
            <w:tcW w:w="242" w:type="pct"/>
            <w:vMerge/>
            <w:vAlign w:val="center"/>
          </w:tcPr>
          <w:p w14:paraId="58EB1FE7" w14:textId="77777777" w:rsidR="002E474C" w:rsidRDefault="002E474C">
            <w:pPr>
              <w:pStyle w:val="A-"/>
            </w:pPr>
          </w:p>
        </w:tc>
        <w:tc>
          <w:tcPr>
            <w:tcW w:w="237" w:type="pct"/>
            <w:vMerge/>
            <w:vAlign w:val="center"/>
          </w:tcPr>
          <w:p w14:paraId="4F33D7AE"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12E6043B" w14:textId="77777777" w:rsidR="002E474C" w:rsidRDefault="00000000">
            <w:pPr>
              <w:pStyle w:val="A-"/>
            </w:pPr>
            <w:r>
              <w:t>Cd</w:t>
            </w:r>
          </w:p>
        </w:tc>
        <w:tc>
          <w:tcPr>
            <w:tcW w:w="267" w:type="pct"/>
            <w:vMerge/>
            <w:vAlign w:val="center"/>
          </w:tcPr>
          <w:p w14:paraId="1D3D12FE"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4B0E5FA8"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01789184" w14:textId="77777777" w:rsidR="002E474C" w:rsidRDefault="00000000">
            <w:pPr>
              <w:pStyle w:val="A-"/>
            </w:pPr>
            <w:r>
              <w:t>2.21E-05</w:t>
            </w:r>
          </w:p>
        </w:tc>
        <w:tc>
          <w:tcPr>
            <w:tcW w:w="320" w:type="pct"/>
            <w:shd w:val="clear" w:color="auto" w:fill="auto"/>
            <w:noWrap/>
            <w:tcMar>
              <w:top w:w="15" w:type="dxa"/>
              <w:left w:w="15" w:type="dxa"/>
              <w:bottom w:w="0" w:type="dxa"/>
              <w:right w:w="15" w:type="dxa"/>
            </w:tcMar>
            <w:vAlign w:val="center"/>
          </w:tcPr>
          <w:p w14:paraId="0973347F" w14:textId="77777777" w:rsidR="002E474C" w:rsidRDefault="00000000">
            <w:pPr>
              <w:pStyle w:val="A-"/>
            </w:pPr>
            <w:r>
              <w:t>1.59E-05</w:t>
            </w:r>
          </w:p>
        </w:tc>
        <w:tc>
          <w:tcPr>
            <w:tcW w:w="321" w:type="pct"/>
            <w:vMerge/>
            <w:shd w:val="clear" w:color="auto" w:fill="auto"/>
            <w:noWrap/>
            <w:tcMar>
              <w:top w:w="15" w:type="dxa"/>
              <w:left w:w="15" w:type="dxa"/>
              <w:bottom w:w="0" w:type="dxa"/>
              <w:right w:w="15" w:type="dxa"/>
            </w:tcMar>
            <w:vAlign w:val="center"/>
          </w:tcPr>
          <w:p w14:paraId="23B1A0D1"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70732523"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0C64A28C" w14:textId="77777777" w:rsidR="002E474C" w:rsidRDefault="00000000">
            <w:pPr>
              <w:pStyle w:val="A-"/>
            </w:pPr>
            <w:r>
              <w:t>2.21E-05</w:t>
            </w:r>
          </w:p>
        </w:tc>
        <w:tc>
          <w:tcPr>
            <w:tcW w:w="320" w:type="pct"/>
            <w:shd w:val="clear" w:color="auto" w:fill="auto"/>
            <w:noWrap/>
            <w:tcMar>
              <w:top w:w="15" w:type="dxa"/>
              <w:left w:w="15" w:type="dxa"/>
              <w:bottom w:w="0" w:type="dxa"/>
              <w:right w:w="15" w:type="dxa"/>
            </w:tcMar>
            <w:vAlign w:val="center"/>
          </w:tcPr>
          <w:p w14:paraId="0BBC833E" w14:textId="77777777" w:rsidR="002E474C" w:rsidRDefault="00000000">
            <w:pPr>
              <w:pStyle w:val="A-"/>
            </w:pPr>
            <w:r>
              <w:t>1.59E-05</w:t>
            </w:r>
          </w:p>
        </w:tc>
        <w:tc>
          <w:tcPr>
            <w:tcW w:w="214" w:type="pct"/>
            <w:vMerge/>
            <w:vAlign w:val="center"/>
          </w:tcPr>
          <w:p w14:paraId="5A03A5B5" w14:textId="77777777" w:rsidR="002E474C" w:rsidRDefault="002E474C">
            <w:pPr>
              <w:pStyle w:val="A-"/>
            </w:pPr>
          </w:p>
        </w:tc>
        <w:tc>
          <w:tcPr>
            <w:tcW w:w="214" w:type="pct"/>
            <w:vMerge/>
            <w:vAlign w:val="center"/>
          </w:tcPr>
          <w:p w14:paraId="58F8F5D5" w14:textId="77777777" w:rsidR="002E474C" w:rsidRDefault="002E474C">
            <w:pPr>
              <w:pStyle w:val="A-"/>
            </w:pPr>
          </w:p>
        </w:tc>
        <w:tc>
          <w:tcPr>
            <w:tcW w:w="198" w:type="pct"/>
            <w:vMerge/>
            <w:vAlign w:val="center"/>
          </w:tcPr>
          <w:p w14:paraId="61FBC77D"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132101D2" w14:textId="77777777" w:rsidR="002E474C" w:rsidRDefault="002E474C">
            <w:pPr>
              <w:pStyle w:val="A-"/>
            </w:pPr>
          </w:p>
        </w:tc>
      </w:tr>
      <w:tr w:rsidR="002E474C" w14:paraId="35A53293" w14:textId="77777777">
        <w:tc>
          <w:tcPr>
            <w:tcW w:w="242" w:type="pct"/>
            <w:vMerge/>
            <w:vAlign w:val="center"/>
          </w:tcPr>
          <w:p w14:paraId="2B2D2E24" w14:textId="77777777" w:rsidR="002E474C" w:rsidRDefault="002E474C">
            <w:pPr>
              <w:pStyle w:val="A-"/>
            </w:pPr>
          </w:p>
        </w:tc>
        <w:tc>
          <w:tcPr>
            <w:tcW w:w="237" w:type="pct"/>
            <w:vMerge/>
            <w:vAlign w:val="center"/>
          </w:tcPr>
          <w:p w14:paraId="7F4FF7C3"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39E0E821" w14:textId="77777777" w:rsidR="002E474C" w:rsidRDefault="00000000">
            <w:pPr>
              <w:pStyle w:val="A-"/>
            </w:pPr>
            <w:r>
              <w:t>Pb</w:t>
            </w:r>
          </w:p>
        </w:tc>
        <w:tc>
          <w:tcPr>
            <w:tcW w:w="267" w:type="pct"/>
            <w:vMerge/>
            <w:vAlign w:val="center"/>
          </w:tcPr>
          <w:p w14:paraId="0436103C"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291983E6"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52E5C793" w14:textId="77777777" w:rsidR="002E474C" w:rsidRDefault="00000000">
            <w:pPr>
              <w:pStyle w:val="A-"/>
            </w:pPr>
            <w:r>
              <w:t>5.00E-04</w:t>
            </w:r>
          </w:p>
        </w:tc>
        <w:tc>
          <w:tcPr>
            <w:tcW w:w="320" w:type="pct"/>
            <w:shd w:val="clear" w:color="auto" w:fill="auto"/>
            <w:noWrap/>
            <w:tcMar>
              <w:top w:w="15" w:type="dxa"/>
              <w:left w:w="15" w:type="dxa"/>
              <w:bottom w:w="0" w:type="dxa"/>
              <w:right w:w="15" w:type="dxa"/>
            </w:tcMar>
            <w:vAlign w:val="center"/>
          </w:tcPr>
          <w:p w14:paraId="54263502" w14:textId="77777777" w:rsidR="002E474C" w:rsidRDefault="00000000">
            <w:pPr>
              <w:pStyle w:val="A-"/>
            </w:pPr>
            <w:r>
              <w:t>3.60E-04</w:t>
            </w:r>
          </w:p>
        </w:tc>
        <w:tc>
          <w:tcPr>
            <w:tcW w:w="321" w:type="pct"/>
            <w:vMerge/>
            <w:shd w:val="clear" w:color="auto" w:fill="auto"/>
            <w:noWrap/>
            <w:tcMar>
              <w:top w:w="15" w:type="dxa"/>
              <w:left w:w="15" w:type="dxa"/>
              <w:bottom w:w="0" w:type="dxa"/>
              <w:right w:w="15" w:type="dxa"/>
            </w:tcMar>
            <w:vAlign w:val="center"/>
          </w:tcPr>
          <w:p w14:paraId="58CC6910"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34E774C3"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2E773089" w14:textId="77777777" w:rsidR="002E474C" w:rsidRDefault="00000000">
            <w:pPr>
              <w:pStyle w:val="A-"/>
            </w:pPr>
            <w:r>
              <w:t>5.00E-04</w:t>
            </w:r>
          </w:p>
        </w:tc>
        <w:tc>
          <w:tcPr>
            <w:tcW w:w="320" w:type="pct"/>
            <w:shd w:val="clear" w:color="auto" w:fill="auto"/>
            <w:noWrap/>
            <w:tcMar>
              <w:top w:w="15" w:type="dxa"/>
              <w:left w:w="15" w:type="dxa"/>
              <w:bottom w:w="0" w:type="dxa"/>
              <w:right w:w="15" w:type="dxa"/>
            </w:tcMar>
            <w:vAlign w:val="center"/>
          </w:tcPr>
          <w:p w14:paraId="2D8DCD7D" w14:textId="77777777" w:rsidR="002E474C" w:rsidRDefault="00000000">
            <w:pPr>
              <w:pStyle w:val="A-"/>
            </w:pPr>
            <w:r>
              <w:t>3.60E-04</w:t>
            </w:r>
          </w:p>
        </w:tc>
        <w:tc>
          <w:tcPr>
            <w:tcW w:w="214" w:type="pct"/>
            <w:vMerge/>
            <w:vAlign w:val="center"/>
          </w:tcPr>
          <w:p w14:paraId="34110675" w14:textId="77777777" w:rsidR="002E474C" w:rsidRDefault="002E474C">
            <w:pPr>
              <w:pStyle w:val="A-"/>
            </w:pPr>
          </w:p>
        </w:tc>
        <w:tc>
          <w:tcPr>
            <w:tcW w:w="214" w:type="pct"/>
            <w:vMerge/>
            <w:vAlign w:val="center"/>
          </w:tcPr>
          <w:p w14:paraId="0C318C60" w14:textId="77777777" w:rsidR="002E474C" w:rsidRDefault="002E474C">
            <w:pPr>
              <w:pStyle w:val="A-"/>
            </w:pPr>
          </w:p>
        </w:tc>
        <w:tc>
          <w:tcPr>
            <w:tcW w:w="198" w:type="pct"/>
            <w:vMerge/>
            <w:vAlign w:val="center"/>
          </w:tcPr>
          <w:p w14:paraId="63E2F87E"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1563EDC4" w14:textId="77777777" w:rsidR="002E474C" w:rsidRDefault="002E474C">
            <w:pPr>
              <w:pStyle w:val="A-"/>
            </w:pPr>
          </w:p>
        </w:tc>
      </w:tr>
      <w:tr w:rsidR="002E474C" w14:paraId="66669FEC" w14:textId="77777777">
        <w:tc>
          <w:tcPr>
            <w:tcW w:w="242" w:type="pct"/>
            <w:vMerge/>
            <w:vAlign w:val="center"/>
          </w:tcPr>
          <w:p w14:paraId="1D91F7FD" w14:textId="77777777" w:rsidR="002E474C" w:rsidRDefault="002E474C">
            <w:pPr>
              <w:pStyle w:val="A-"/>
            </w:pPr>
          </w:p>
        </w:tc>
        <w:tc>
          <w:tcPr>
            <w:tcW w:w="237" w:type="pct"/>
            <w:vMerge/>
            <w:vAlign w:val="center"/>
          </w:tcPr>
          <w:p w14:paraId="03E35C70"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445DD8A7" w14:textId="77777777" w:rsidR="002E474C" w:rsidRDefault="00000000">
            <w:pPr>
              <w:pStyle w:val="A-"/>
            </w:pPr>
            <w:r>
              <w:t>Ni</w:t>
            </w:r>
          </w:p>
        </w:tc>
        <w:tc>
          <w:tcPr>
            <w:tcW w:w="267" w:type="pct"/>
            <w:vMerge/>
            <w:vAlign w:val="center"/>
          </w:tcPr>
          <w:p w14:paraId="5F4D5FB3"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365D387C"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314CBA73" w14:textId="77777777" w:rsidR="002E474C" w:rsidRDefault="00000000">
            <w:pPr>
              <w:pStyle w:val="A-"/>
            </w:pPr>
            <w:r>
              <w:t>8.47E-06</w:t>
            </w:r>
          </w:p>
        </w:tc>
        <w:tc>
          <w:tcPr>
            <w:tcW w:w="320" w:type="pct"/>
            <w:shd w:val="clear" w:color="auto" w:fill="auto"/>
            <w:noWrap/>
            <w:tcMar>
              <w:top w:w="15" w:type="dxa"/>
              <w:left w:w="15" w:type="dxa"/>
              <w:bottom w:w="0" w:type="dxa"/>
              <w:right w:w="15" w:type="dxa"/>
            </w:tcMar>
            <w:vAlign w:val="center"/>
          </w:tcPr>
          <w:p w14:paraId="6799999A" w14:textId="77777777" w:rsidR="002E474C" w:rsidRDefault="00000000">
            <w:pPr>
              <w:pStyle w:val="A-"/>
            </w:pPr>
            <w:r>
              <w:t>6.10E-06</w:t>
            </w:r>
          </w:p>
        </w:tc>
        <w:tc>
          <w:tcPr>
            <w:tcW w:w="321" w:type="pct"/>
            <w:vMerge/>
            <w:shd w:val="clear" w:color="auto" w:fill="auto"/>
            <w:noWrap/>
            <w:tcMar>
              <w:top w:w="15" w:type="dxa"/>
              <w:left w:w="15" w:type="dxa"/>
              <w:bottom w:w="0" w:type="dxa"/>
              <w:right w:w="15" w:type="dxa"/>
            </w:tcMar>
            <w:vAlign w:val="center"/>
          </w:tcPr>
          <w:p w14:paraId="0AA6A242"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35AB7460"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0D9C5BC6" w14:textId="77777777" w:rsidR="002E474C" w:rsidRDefault="00000000">
            <w:pPr>
              <w:pStyle w:val="A-"/>
            </w:pPr>
            <w:r>
              <w:t>8.47E-06</w:t>
            </w:r>
          </w:p>
        </w:tc>
        <w:tc>
          <w:tcPr>
            <w:tcW w:w="320" w:type="pct"/>
            <w:shd w:val="clear" w:color="auto" w:fill="auto"/>
            <w:noWrap/>
            <w:tcMar>
              <w:top w:w="15" w:type="dxa"/>
              <w:left w:w="15" w:type="dxa"/>
              <w:bottom w:w="0" w:type="dxa"/>
              <w:right w:w="15" w:type="dxa"/>
            </w:tcMar>
            <w:vAlign w:val="center"/>
          </w:tcPr>
          <w:p w14:paraId="427966B0" w14:textId="77777777" w:rsidR="002E474C" w:rsidRDefault="00000000">
            <w:pPr>
              <w:pStyle w:val="A-"/>
            </w:pPr>
            <w:r>
              <w:t>6.10E-06</w:t>
            </w:r>
          </w:p>
        </w:tc>
        <w:tc>
          <w:tcPr>
            <w:tcW w:w="214" w:type="pct"/>
            <w:vMerge/>
            <w:vAlign w:val="center"/>
          </w:tcPr>
          <w:p w14:paraId="46654AC6" w14:textId="77777777" w:rsidR="002E474C" w:rsidRDefault="002E474C">
            <w:pPr>
              <w:pStyle w:val="A-"/>
            </w:pPr>
          </w:p>
        </w:tc>
        <w:tc>
          <w:tcPr>
            <w:tcW w:w="214" w:type="pct"/>
            <w:vMerge/>
            <w:vAlign w:val="center"/>
          </w:tcPr>
          <w:p w14:paraId="36F269CB" w14:textId="77777777" w:rsidR="002E474C" w:rsidRDefault="002E474C">
            <w:pPr>
              <w:pStyle w:val="A-"/>
            </w:pPr>
          </w:p>
        </w:tc>
        <w:tc>
          <w:tcPr>
            <w:tcW w:w="198" w:type="pct"/>
            <w:vMerge/>
            <w:vAlign w:val="center"/>
          </w:tcPr>
          <w:p w14:paraId="0CD15EC0"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572CA299" w14:textId="77777777" w:rsidR="002E474C" w:rsidRDefault="002E474C">
            <w:pPr>
              <w:pStyle w:val="A-"/>
            </w:pPr>
          </w:p>
        </w:tc>
      </w:tr>
      <w:tr w:rsidR="002E474C" w14:paraId="53610E78" w14:textId="77777777">
        <w:tc>
          <w:tcPr>
            <w:tcW w:w="242" w:type="pct"/>
            <w:vMerge/>
            <w:vAlign w:val="center"/>
          </w:tcPr>
          <w:p w14:paraId="0A12007F" w14:textId="77777777" w:rsidR="002E474C" w:rsidRDefault="002E474C">
            <w:pPr>
              <w:pStyle w:val="A-"/>
            </w:pPr>
          </w:p>
        </w:tc>
        <w:tc>
          <w:tcPr>
            <w:tcW w:w="237" w:type="pct"/>
            <w:vMerge/>
            <w:vAlign w:val="center"/>
          </w:tcPr>
          <w:p w14:paraId="6FA9C0DB"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5E587EA7" w14:textId="77777777" w:rsidR="002E474C" w:rsidRDefault="00000000">
            <w:pPr>
              <w:pStyle w:val="A-"/>
            </w:pPr>
            <w:r>
              <w:t>Mn</w:t>
            </w:r>
          </w:p>
        </w:tc>
        <w:tc>
          <w:tcPr>
            <w:tcW w:w="267" w:type="pct"/>
            <w:vMerge/>
            <w:vAlign w:val="center"/>
          </w:tcPr>
          <w:p w14:paraId="03FFB87E"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04557BDD"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5E7D88B4" w14:textId="77777777" w:rsidR="002E474C" w:rsidRDefault="00000000">
            <w:pPr>
              <w:pStyle w:val="A-"/>
            </w:pPr>
            <w:r>
              <w:t>1.23E-03</w:t>
            </w:r>
          </w:p>
        </w:tc>
        <w:tc>
          <w:tcPr>
            <w:tcW w:w="320" w:type="pct"/>
            <w:shd w:val="clear" w:color="auto" w:fill="auto"/>
            <w:noWrap/>
            <w:tcMar>
              <w:top w:w="15" w:type="dxa"/>
              <w:left w:w="15" w:type="dxa"/>
              <w:bottom w:w="0" w:type="dxa"/>
              <w:right w:w="15" w:type="dxa"/>
            </w:tcMar>
            <w:vAlign w:val="center"/>
          </w:tcPr>
          <w:p w14:paraId="10F23CCE" w14:textId="77777777" w:rsidR="002E474C" w:rsidRDefault="00000000">
            <w:pPr>
              <w:pStyle w:val="A-"/>
            </w:pPr>
            <w:r>
              <w:t>8.86E-04</w:t>
            </w:r>
          </w:p>
        </w:tc>
        <w:tc>
          <w:tcPr>
            <w:tcW w:w="321" w:type="pct"/>
            <w:vMerge/>
            <w:shd w:val="clear" w:color="auto" w:fill="auto"/>
            <w:noWrap/>
            <w:tcMar>
              <w:top w:w="15" w:type="dxa"/>
              <w:left w:w="15" w:type="dxa"/>
              <w:bottom w:w="0" w:type="dxa"/>
              <w:right w:w="15" w:type="dxa"/>
            </w:tcMar>
            <w:vAlign w:val="center"/>
          </w:tcPr>
          <w:p w14:paraId="38137564"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5D8B4CE7"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44121003" w14:textId="77777777" w:rsidR="002E474C" w:rsidRDefault="00000000">
            <w:pPr>
              <w:pStyle w:val="A-"/>
            </w:pPr>
            <w:r>
              <w:t>1.23E-03</w:t>
            </w:r>
          </w:p>
        </w:tc>
        <w:tc>
          <w:tcPr>
            <w:tcW w:w="320" w:type="pct"/>
            <w:shd w:val="clear" w:color="auto" w:fill="auto"/>
            <w:noWrap/>
            <w:tcMar>
              <w:top w:w="15" w:type="dxa"/>
              <w:left w:w="15" w:type="dxa"/>
              <w:bottom w:w="0" w:type="dxa"/>
              <w:right w:w="15" w:type="dxa"/>
            </w:tcMar>
            <w:vAlign w:val="center"/>
          </w:tcPr>
          <w:p w14:paraId="03FD119E" w14:textId="77777777" w:rsidR="002E474C" w:rsidRDefault="00000000">
            <w:pPr>
              <w:pStyle w:val="A-"/>
            </w:pPr>
            <w:r>
              <w:t>8.86E-04</w:t>
            </w:r>
          </w:p>
        </w:tc>
        <w:tc>
          <w:tcPr>
            <w:tcW w:w="214" w:type="pct"/>
            <w:vMerge/>
            <w:vAlign w:val="center"/>
          </w:tcPr>
          <w:p w14:paraId="1E999BAA" w14:textId="77777777" w:rsidR="002E474C" w:rsidRDefault="002E474C">
            <w:pPr>
              <w:pStyle w:val="A-"/>
            </w:pPr>
          </w:p>
        </w:tc>
        <w:tc>
          <w:tcPr>
            <w:tcW w:w="214" w:type="pct"/>
            <w:vMerge/>
            <w:vAlign w:val="center"/>
          </w:tcPr>
          <w:p w14:paraId="05F58441" w14:textId="77777777" w:rsidR="002E474C" w:rsidRDefault="002E474C">
            <w:pPr>
              <w:pStyle w:val="A-"/>
            </w:pPr>
          </w:p>
        </w:tc>
        <w:tc>
          <w:tcPr>
            <w:tcW w:w="198" w:type="pct"/>
            <w:vMerge/>
            <w:vAlign w:val="center"/>
          </w:tcPr>
          <w:p w14:paraId="36DF6DA2"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347DA649" w14:textId="77777777" w:rsidR="002E474C" w:rsidRDefault="002E474C">
            <w:pPr>
              <w:pStyle w:val="A-"/>
            </w:pPr>
          </w:p>
        </w:tc>
      </w:tr>
      <w:tr w:rsidR="002E474C" w14:paraId="2365A199" w14:textId="77777777">
        <w:tc>
          <w:tcPr>
            <w:tcW w:w="242" w:type="pct"/>
            <w:vMerge/>
            <w:vAlign w:val="center"/>
          </w:tcPr>
          <w:p w14:paraId="4D74E42A" w14:textId="77777777" w:rsidR="002E474C" w:rsidRDefault="002E474C">
            <w:pPr>
              <w:pStyle w:val="A-"/>
            </w:pPr>
          </w:p>
        </w:tc>
        <w:tc>
          <w:tcPr>
            <w:tcW w:w="237" w:type="pct"/>
            <w:vMerge/>
            <w:vAlign w:val="center"/>
          </w:tcPr>
          <w:p w14:paraId="1861FF8B"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02953AA3" w14:textId="77777777" w:rsidR="002E474C" w:rsidRDefault="00000000">
            <w:pPr>
              <w:pStyle w:val="A-"/>
            </w:pPr>
            <w:r>
              <w:t>As</w:t>
            </w:r>
          </w:p>
        </w:tc>
        <w:tc>
          <w:tcPr>
            <w:tcW w:w="267" w:type="pct"/>
            <w:vMerge/>
            <w:vAlign w:val="center"/>
          </w:tcPr>
          <w:p w14:paraId="31F7291A"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71F09287"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35322BD8" w14:textId="77777777" w:rsidR="002E474C" w:rsidRDefault="00000000">
            <w:pPr>
              <w:pStyle w:val="A-"/>
            </w:pPr>
            <w:r>
              <w:t>3.33E-05</w:t>
            </w:r>
          </w:p>
        </w:tc>
        <w:tc>
          <w:tcPr>
            <w:tcW w:w="320" w:type="pct"/>
            <w:shd w:val="clear" w:color="auto" w:fill="auto"/>
            <w:noWrap/>
            <w:tcMar>
              <w:top w:w="15" w:type="dxa"/>
              <w:left w:w="15" w:type="dxa"/>
              <w:bottom w:w="0" w:type="dxa"/>
              <w:right w:w="15" w:type="dxa"/>
            </w:tcMar>
            <w:vAlign w:val="center"/>
          </w:tcPr>
          <w:p w14:paraId="60C8DF66" w14:textId="77777777" w:rsidR="002E474C" w:rsidRDefault="00000000">
            <w:pPr>
              <w:pStyle w:val="A-"/>
            </w:pPr>
            <w:r>
              <w:t>2.40E-05</w:t>
            </w:r>
          </w:p>
        </w:tc>
        <w:tc>
          <w:tcPr>
            <w:tcW w:w="321" w:type="pct"/>
            <w:vMerge/>
            <w:shd w:val="clear" w:color="auto" w:fill="auto"/>
            <w:noWrap/>
            <w:tcMar>
              <w:top w:w="15" w:type="dxa"/>
              <w:left w:w="15" w:type="dxa"/>
              <w:bottom w:w="0" w:type="dxa"/>
              <w:right w:w="15" w:type="dxa"/>
            </w:tcMar>
            <w:vAlign w:val="center"/>
          </w:tcPr>
          <w:p w14:paraId="152F3568"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4F209918"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309DFE0B" w14:textId="77777777" w:rsidR="002E474C" w:rsidRDefault="00000000">
            <w:pPr>
              <w:pStyle w:val="A-"/>
            </w:pPr>
            <w:r>
              <w:t>3.33E-05</w:t>
            </w:r>
          </w:p>
        </w:tc>
        <w:tc>
          <w:tcPr>
            <w:tcW w:w="320" w:type="pct"/>
            <w:shd w:val="clear" w:color="auto" w:fill="auto"/>
            <w:noWrap/>
            <w:tcMar>
              <w:top w:w="15" w:type="dxa"/>
              <w:left w:w="15" w:type="dxa"/>
              <w:bottom w:w="0" w:type="dxa"/>
              <w:right w:w="15" w:type="dxa"/>
            </w:tcMar>
            <w:vAlign w:val="center"/>
          </w:tcPr>
          <w:p w14:paraId="3827BB0C" w14:textId="77777777" w:rsidR="002E474C" w:rsidRDefault="00000000">
            <w:pPr>
              <w:pStyle w:val="A-"/>
            </w:pPr>
            <w:r>
              <w:t>2.40E-05</w:t>
            </w:r>
          </w:p>
        </w:tc>
        <w:tc>
          <w:tcPr>
            <w:tcW w:w="214" w:type="pct"/>
            <w:vMerge/>
            <w:vAlign w:val="center"/>
          </w:tcPr>
          <w:p w14:paraId="673F8709" w14:textId="77777777" w:rsidR="002E474C" w:rsidRDefault="002E474C">
            <w:pPr>
              <w:pStyle w:val="A-"/>
            </w:pPr>
          </w:p>
        </w:tc>
        <w:tc>
          <w:tcPr>
            <w:tcW w:w="214" w:type="pct"/>
            <w:vMerge/>
            <w:vAlign w:val="center"/>
          </w:tcPr>
          <w:p w14:paraId="0B2C4FA5" w14:textId="77777777" w:rsidR="002E474C" w:rsidRDefault="002E474C">
            <w:pPr>
              <w:pStyle w:val="A-"/>
            </w:pPr>
          </w:p>
        </w:tc>
        <w:tc>
          <w:tcPr>
            <w:tcW w:w="198" w:type="pct"/>
            <w:vMerge/>
            <w:vAlign w:val="center"/>
          </w:tcPr>
          <w:p w14:paraId="3DF82B95"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74ACC745" w14:textId="77777777" w:rsidR="002E474C" w:rsidRDefault="002E474C">
            <w:pPr>
              <w:pStyle w:val="A-"/>
            </w:pPr>
          </w:p>
        </w:tc>
      </w:tr>
      <w:tr w:rsidR="002E474C" w14:paraId="239F86F2" w14:textId="77777777">
        <w:tc>
          <w:tcPr>
            <w:tcW w:w="242" w:type="pct"/>
            <w:vMerge/>
            <w:vAlign w:val="center"/>
          </w:tcPr>
          <w:p w14:paraId="0CF5240E" w14:textId="77777777" w:rsidR="002E474C" w:rsidRDefault="002E474C">
            <w:pPr>
              <w:pStyle w:val="A-"/>
            </w:pPr>
          </w:p>
        </w:tc>
        <w:tc>
          <w:tcPr>
            <w:tcW w:w="237" w:type="pct"/>
            <w:vMerge/>
            <w:vAlign w:val="center"/>
          </w:tcPr>
          <w:p w14:paraId="3374ECC7"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27AC50E8" w14:textId="77777777" w:rsidR="002E474C" w:rsidRDefault="00000000">
            <w:pPr>
              <w:pStyle w:val="A-"/>
            </w:pPr>
            <w:r>
              <w:t>Hg</w:t>
            </w:r>
          </w:p>
        </w:tc>
        <w:tc>
          <w:tcPr>
            <w:tcW w:w="267" w:type="pct"/>
            <w:vMerge/>
            <w:vAlign w:val="center"/>
          </w:tcPr>
          <w:p w14:paraId="18A89A1E"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172D2F77"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3B82B568" w14:textId="77777777" w:rsidR="002E474C" w:rsidRDefault="00000000">
            <w:pPr>
              <w:pStyle w:val="A-"/>
            </w:pPr>
            <w:r>
              <w:t>2.36E-03</w:t>
            </w:r>
          </w:p>
        </w:tc>
        <w:tc>
          <w:tcPr>
            <w:tcW w:w="320" w:type="pct"/>
            <w:shd w:val="clear" w:color="auto" w:fill="auto"/>
            <w:noWrap/>
            <w:tcMar>
              <w:top w:w="15" w:type="dxa"/>
              <w:left w:w="15" w:type="dxa"/>
              <w:bottom w:w="0" w:type="dxa"/>
              <w:right w:w="15" w:type="dxa"/>
            </w:tcMar>
            <w:vAlign w:val="center"/>
          </w:tcPr>
          <w:p w14:paraId="20763412" w14:textId="77777777" w:rsidR="002E474C" w:rsidRDefault="00000000">
            <w:pPr>
              <w:pStyle w:val="A-"/>
            </w:pPr>
            <w:r>
              <w:t>1.70E-03</w:t>
            </w:r>
          </w:p>
        </w:tc>
        <w:tc>
          <w:tcPr>
            <w:tcW w:w="321" w:type="pct"/>
            <w:vMerge/>
            <w:shd w:val="clear" w:color="auto" w:fill="auto"/>
            <w:noWrap/>
            <w:tcMar>
              <w:top w:w="15" w:type="dxa"/>
              <w:left w:w="15" w:type="dxa"/>
              <w:bottom w:w="0" w:type="dxa"/>
              <w:right w:w="15" w:type="dxa"/>
            </w:tcMar>
            <w:vAlign w:val="center"/>
          </w:tcPr>
          <w:p w14:paraId="71B84F7B"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46CE23AF" w14:textId="77777777" w:rsidR="002E474C" w:rsidRDefault="00000000">
            <w:pPr>
              <w:pStyle w:val="A-"/>
            </w:pPr>
            <w:r>
              <w:rPr>
                <w:rFonts w:hint="eastAsia"/>
              </w:rPr>
              <w:t>45</w:t>
            </w:r>
          </w:p>
        </w:tc>
        <w:tc>
          <w:tcPr>
            <w:tcW w:w="588" w:type="pct"/>
            <w:shd w:val="clear" w:color="auto" w:fill="auto"/>
            <w:noWrap/>
            <w:tcMar>
              <w:top w:w="15" w:type="dxa"/>
              <w:left w:w="15" w:type="dxa"/>
              <w:bottom w:w="0" w:type="dxa"/>
              <w:right w:w="15" w:type="dxa"/>
            </w:tcMar>
            <w:vAlign w:val="center"/>
          </w:tcPr>
          <w:p w14:paraId="6D3BD01B" w14:textId="77777777" w:rsidR="002E474C" w:rsidRDefault="00000000">
            <w:pPr>
              <w:pStyle w:val="A-"/>
            </w:pPr>
            <w:r>
              <w:rPr>
                <w:rFonts w:hint="eastAsia"/>
              </w:rPr>
              <w:t>1.30</w:t>
            </w:r>
            <w:r>
              <w:t>E-0</w:t>
            </w:r>
            <w:r>
              <w:rPr>
                <w:rFonts w:hint="eastAsia"/>
              </w:rPr>
              <w:t>3</w:t>
            </w:r>
          </w:p>
        </w:tc>
        <w:tc>
          <w:tcPr>
            <w:tcW w:w="320" w:type="pct"/>
            <w:shd w:val="clear" w:color="auto" w:fill="auto"/>
            <w:noWrap/>
            <w:tcMar>
              <w:top w:w="15" w:type="dxa"/>
              <w:left w:w="15" w:type="dxa"/>
              <w:bottom w:w="0" w:type="dxa"/>
              <w:right w:w="15" w:type="dxa"/>
            </w:tcMar>
            <w:vAlign w:val="center"/>
          </w:tcPr>
          <w:p w14:paraId="2AAB8C5A" w14:textId="77777777" w:rsidR="002E474C" w:rsidRDefault="00000000">
            <w:pPr>
              <w:pStyle w:val="A-"/>
            </w:pPr>
            <w:r>
              <w:rPr>
                <w:rFonts w:hint="eastAsia"/>
              </w:rPr>
              <w:t>9.37</w:t>
            </w:r>
            <w:r>
              <w:t>E-04</w:t>
            </w:r>
          </w:p>
        </w:tc>
        <w:tc>
          <w:tcPr>
            <w:tcW w:w="214" w:type="pct"/>
            <w:vMerge/>
            <w:vAlign w:val="center"/>
          </w:tcPr>
          <w:p w14:paraId="12342BF2" w14:textId="77777777" w:rsidR="002E474C" w:rsidRDefault="002E474C">
            <w:pPr>
              <w:pStyle w:val="A-"/>
            </w:pPr>
          </w:p>
        </w:tc>
        <w:tc>
          <w:tcPr>
            <w:tcW w:w="214" w:type="pct"/>
            <w:vMerge/>
            <w:vAlign w:val="center"/>
          </w:tcPr>
          <w:p w14:paraId="76868ED2" w14:textId="77777777" w:rsidR="002E474C" w:rsidRDefault="002E474C">
            <w:pPr>
              <w:pStyle w:val="A-"/>
            </w:pPr>
          </w:p>
        </w:tc>
        <w:tc>
          <w:tcPr>
            <w:tcW w:w="198" w:type="pct"/>
            <w:vMerge/>
            <w:vAlign w:val="center"/>
          </w:tcPr>
          <w:p w14:paraId="2321F910"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695CAE81" w14:textId="77777777" w:rsidR="002E474C" w:rsidRDefault="002E474C">
            <w:pPr>
              <w:pStyle w:val="A-"/>
            </w:pPr>
          </w:p>
        </w:tc>
      </w:tr>
      <w:tr w:rsidR="002E474C" w14:paraId="31197BF5" w14:textId="77777777">
        <w:tc>
          <w:tcPr>
            <w:tcW w:w="242" w:type="pct"/>
            <w:vMerge/>
            <w:vAlign w:val="center"/>
          </w:tcPr>
          <w:p w14:paraId="3A08C3F6" w14:textId="77777777" w:rsidR="002E474C" w:rsidRDefault="002E474C">
            <w:pPr>
              <w:pStyle w:val="A-"/>
            </w:pPr>
          </w:p>
        </w:tc>
        <w:tc>
          <w:tcPr>
            <w:tcW w:w="237" w:type="pct"/>
            <w:vMerge/>
            <w:vAlign w:val="center"/>
          </w:tcPr>
          <w:p w14:paraId="7D528A3B"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628DFFC7" w14:textId="77777777" w:rsidR="002E474C" w:rsidRDefault="00000000">
            <w:pPr>
              <w:pStyle w:val="A-"/>
            </w:pPr>
            <w:proofErr w:type="spellStart"/>
            <w:r>
              <w:t>Tl+Cd+Pb+As</w:t>
            </w:r>
            <w:proofErr w:type="spellEnd"/>
          </w:p>
        </w:tc>
        <w:tc>
          <w:tcPr>
            <w:tcW w:w="267" w:type="pct"/>
            <w:vMerge/>
            <w:vAlign w:val="center"/>
          </w:tcPr>
          <w:p w14:paraId="7C9A695B"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4AC8AFC2"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100B8E4E" w14:textId="77777777" w:rsidR="002E474C" w:rsidRDefault="00000000">
            <w:pPr>
              <w:pStyle w:val="A-"/>
            </w:pPr>
            <w:r>
              <w:t>5.55E-04</w:t>
            </w:r>
          </w:p>
        </w:tc>
        <w:tc>
          <w:tcPr>
            <w:tcW w:w="320" w:type="pct"/>
            <w:shd w:val="clear" w:color="auto" w:fill="auto"/>
            <w:noWrap/>
            <w:tcMar>
              <w:top w:w="15" w:type="dxa"/>
              <w:left w:w="15" w:type="dxa"/>
              <w:bottom w:w="0" w:type="dxa"/>
              <w:right w:w="15" w:type="dxa"/>
            </w:tcMar>
            <w:vAlign w:val="center"/>
          </w:tcPr>
          <w:p w14:paraId="265EFE3C" w14:textId="77777777" w:rsidR="002E474C" w:rsidRDefault="00000000">
            <w:pPr>
              <w:pStyle w:val="A-"/>
            </w:pPr>
            <w:r>
              <w:t>4.00E-04</w:t>
            </w:r>
          </w:p>
        </w:tc>
        <w:tc>
          <w:tcPr>
            <w:tcW w:w="321" w:type="pct"/>
            <w:vMerge/>
            <w:shd w:val="clear" w:color="auto" w:fill="auto"/>
            <w:noWrap/>
            <w:tcMar>
              <w:top w:w="15" w:type="dxa"/>
              <w:left w:w="15" w:type="dxa"/>
              <w:bottom w:w="0" w:type="dxa"/>
              <w:right w:w="15" w:type="dxa"/>
            </w:tcMar>
            <w:vAlign w:val="center"/>
          </w:tcPr>
          <w:p w14:paraId="254C0A9B"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713FA8BC"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323918A1" w14:textId="77777777" w:rsidR="002E474C" w:rsidRDefault="00000000">
            <w:pPr>
              <w:pStyle w:val="A-"/>
            </w:pPr>
            <w:r>
              <w:t>5.55E-04</w:t>
            </w:r>
          </w:p>
        </w:tc>
        <w:tc>
          <w:tcPr>
            <w:tcW w:w="320" w:type="pct"/>
            <w:shd w:val="clear" w:color="auto" w:fill="auto"/>
            <w:noWrap/>
            <w:tcMar>
              <w:top w:w="15" w:type="dxa"/>
              <w:left w:w="15" w:type="dxa"/>
              <w:bottom w:w="0" w:type="dxa"/>
              <w:right w:w="15" w:type="dxa"/>
            </w:tcMar>
            <w:vAlign w:val="center"/>
          </w:tcPr>
          <w:p w14:paraId="5372945B" w14:textId="77777777" w:rsidR="002E474C" w:rsidRDefault="00000000">
            <w:pPr>
              <w:pStyle w:val="A-"/>
            </w:pPr>
            <w:r>
              <w:t>4.00E-04</w:t>
            </w:r>
          </w:p>
        </w:tc>
        <w:tc>
          <w:tcPr>
            <w:tcW w:w="214" w:type="pct"/>
            <w:vMerge/>
            <w:vAlign w:val="center"/>
          </w:tcPr>
          <w:p w14:paraId="6DB245EA" w14:textId="77777777" w:rsidR="002E474C" w:rsidRDefault="002E474C">
            <w:pPr>
              <w:pStyle w:val="A-"/>
            </w:pPr>
          </w:p>
        </w:tc>
        <w:tc>
          <w:tcPr>
            <w:tcW w:w="214" w:type="pct"/>
            <w:vMerge/>
            <w:vAlign w:val="center"/>
          </w:tcPr>
          <w:p w14:paraId="6B31208F" w14:textId="77777777" w:rsidR="002E474C" w:rsidRDefault="002E474C">
            <w:pPr>
              <w:pStyle w:val="A-"/>
            </w:pPr>
          </w:p>
        </w:tc>
        <w:tc>
          <w:tcPr>
            <w:tcW w:w="198" w:type="pct"/>
            <w:vMerge/>
            <w:vAlign w:val="center"/>
          </w:tcPr>
          <w:p w14:paraId="56BB0635"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5FEA0D9F" w14:textId="77777777" w:rsidR="002E474C" w:rsidRDefault="002E474C">
            <w:pPr>
              <w:pStyle w:val="A-"/>
            </w:pPr>
          </w:p>
        </w:tc>
      </w:tr>
      <w:tr w:rsidR="002E474C" w14:paraId="129A62E8" w14:textId="77777777">
        <w:tc>
          <w:tcPr>
            <w:tcW w:w="242" w:type="pct"/>
            <w:vMerge/>
            <w:vAlign w:val="center"/>
          </w:tcPr>
          <w:p w14:paraId="39B52EC3" w14:textId="77777777" w:rsidR="002E474C" w:rsidRDefault="002E474C">
            <w:pPr>
              <w:pStyle w:val="A-"/>
            </w:pPr>
          </w:p>
        </w:tc>
        <w:tc>
          <w:tcPr>
            <w:tcW w:w="237" w:type="pct"/>
            <w:vMerge/>
            <w:vAlign w:val="center"/>
          </w:tcPr>
          <w:p w14:paraId="76CFB0A0" w14:textId="77777777" w:rsidR="002E474C" w:rsidRDefault="002E474C">
            <w:pPr>
              <w:pStyle w:val="A-"/>
            </w:pPr>
          </w:p>
        </w:tc>
        <w:tc>
          <w:tcPr>
            <w:tcW w:w="595" w:type="pct"/>
            <w:shd w:val="clear" w:color="auto" w:fill="auto"/>
            <w:tcMar>
              <w:top w:w="15" w:type="dxa"/>
              <w:left w:w="15" w:type="dxa"/>
              <w:bottom w:w="0" w:type="dxa"/>
              <w:right w:w="15" w:type="dxa"/>
            </w:tcMar>
            <w:vAlign w:val="center"/>
          </w:tcPr>
          <w:p w14:paraId="18B7D666" w14:textId="77777777" w:rsidR="002E474C" w:rsidRDefault="00000000">
            <w:pPr>
              <w:pStyle w:val="A-"/>
            </w:pPr>
            <w:proofErr w:type="spellStart"/>
            <w:r>
              <w:t>Be+Cr+Sn+Sb+Cu+Co+Mn+Ni+V</w:t>
            </w:r>
            <w:proofErr w:type="spellEnd"/>
          </w:p>
        </w:tc>
        <w:tc>
          <w:tcPr>
            <w:tcW w:w="267" w:type="pct"/>
            <w:vMerge/>
            <w:vAlign w:val="center"/>
          </w:tcPr>
          <w:p w14:paraId="5FA8CCA9"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69C065C7" w14:textId="77777777" w:rsidR="002E474C" w:rsidRDefault="00000000">
            <w:pPr>
              <w:pStyle w:val="A-"/>
            </w:pPr>
            <w:r>
              <w:t>物料衡算</w:t>
            </w:r>
          </w:p>
        </w:tc>
        <w:tc>
          <w:tcPr>
            <w:tcW w:w="588" w:type="pct"/>
            <w:shd w:val="clear" w:color="auto" w:fill="auto"/>
            <w:noWrap/>
            <w:tcMar>
              <w:top w:w="15" w:type="dxa"/>
              <w:left w:w="15" w:type="dxa"/>
              <w:bottom w:w="0" w:type="dxa"/>
              <w:right w:w="15" w:type="dxa"/>
            </w:tcMar>
            <w:vAlign w:val="center"/>
          </w:tcPr>
          <w:p w14:paraId="150D8333" w14:textId="77777777" w:rsidR="002E474C" w:rsidRDefault="00000000">
            <w:pPr>
              <w:pStyle w:val="A-"/>
            </w:pPr>
            <w:r>
              <w:t>4.36E-02</w:t>
            </w:r>
          </w:p>
        </w:tc>
        <w:tc>
          <w:tcPr>
            <w:tcW w:w="320" w:type="pct"/>
            <w:shd w:val="clear" w:color="auto" w:fill="auto"/>
            <w:noWrap/>
            <w:tcMar>
              <w:top w:w="15" w:type="dxa"/>
              <w:left w:w="15" w:type="dxa"/>
              <w:bottom w:w="0" w:type="dxa"/>
              <w:right w:w="15" w:type="dxa"/>
            </w:tcMar>
            <w:vAlign w:val="center"/>
          </w:tcPr>
          <w:p w14:paraId="426EF153" w14:textId="77777777" w:rsidR="002E474C" w:rsidRDefault="00000000">
            <w:pPr>
              <w:pStyle w:val="A-"/>
            </w:pPr>
            <w:r>
              <w:t>3.14E-02</w:t>
            </w:r>
          </w:p>
        </w:tc>
        <w:tc>
          <w:tcPr>
            <w:tcW w:w="321" w:type="pct"/>
            <w:vMerge/>
            <w:shd w:val="clear" w:color="auto" w:fill="auto"/>
            <w:noWrap/>
            <w:tcMar>
              <w:top w:w="15" w:type="dxa"/>
              <w:left w:w="15" w:type="dxa"/>
              <w:bottom w:w="0" w:type="dxa"/>
              <w:right w:w="15" w:type="dxa"/>
            </w:tcMar>
            <w:vAlign w:val="center"/>
          </w:tcPr>
          <w:p w14:paraId="352CE707"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16A7C446"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3D2164E8" w14:textId="77777777" w:rsidR="002E474C" w:rsidRDefault="00000000">
            <w:pPr>
              <w:pStyle w:val="A-"/>
            </w:pPr>
            <w:r>
              <w:t>4.36E-02</w:t>
            </w:r>
          </w:p>
        </w:tc>
        <w:tc>
          <w:tcPr>
            <w:tcW w:w="320" w:type="pct"/>
            <w:shd w:val="clear" w:color="auto" w:fill="auto"/>
            <w:noWrap/>
            <w:tcMar>
              <w:top w:w="15" w:type="dxa"/>
              <w:left w:w="15" w:type="dxa"/>
              <w:bottom w:w="0" w:type="dxa"/>
              <w:right w:w="15" w:type="dxa"/>
            </w:tcMar>
            <w:vAlign w:val="center"/>
          </w:tcPr>
          <w:p w14:paraId="4528E9F4" w14:textId="77777777" w:rsidR="002E474C" w:rsidRDefault="00000000">
            <w:pPr>
              <w:pStyle w:val="A-"/>
            </w:pPr>
            <w:r>
              <w:t>3.14E-02</w:t>
            </w:r>
          </w:p>
        </w:tc>
        <w:tc>
          <w:tcPr>
            <w:tcW w:w="214" w:type="pct"/>
            <w:vMerge/>
            <w:vAlign w:val="center"/>
          </w:tcPr>
          <w:p w14:paraId="4DA40F08" w14:textId="77777777" w:rsidR="002E474C" w:rsidRDefault="002E474C">
            <w:pPr>
              <w:pStyle w:val="A-"/>
            </w:pPr>
          </w:p>
        </w:tc>
        <w:tc>
          <w:tcPr>
            <w:tcW w:w="214" w:type="pct"/>
            <w:vMerge/>
            <w:vAlign w:val="center"/>
          </w:tcPr>
          <w:p w14:paraId="29E17422" w14:textId="77777777" w:rsidR="002E474C" w:rsidRDefault="002E474C">
            <w:pPr>
              <w:pStyle w:val="A-"/>
            </w:pPr>
          </w:p>
        </w:tc>
        <w:tc>
          <w:tcPr>
            <w:tcW w:w="198" w:type="pct"/>
            <w:vMerge/>
            <w:vAlign w:val="center"/>
          </w:tcPr>
          <w:p w14:paraId="4931081B"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7910BFC8" w14:textId="77777777" w:rsidR="002E474C" w:rsidRDefault="002E474C">
            <w:pPr>
              <w:pStyle w:val="A-"/>
            </w:pPr>
          </w:p>
        </w:tc>
      </w:tr>
      <w:tr w:rsidR="002E474C" w14:paraId="5D055451" w14:textId="77777777">
        <w:tc>
          <w:tcPr>
            <w:tcW w:w="242" w:type="pct"/>
            <w:vMerge/>
            <w:vAlign w:val="center"/>
          </w:tcPr>
          <w:p w14:paraId="47D10C83" w14:textId="77777777" w:rsidR="002E474C" w:rsidRDefault="002E474C">
            <w:pPr>
              <w:pStyle w:val="A-"/>
            </w:pPr>
          </w:p>
        </w:tc>
        <w:tc>
          <w:tcPr>
            <w:tcW w:w="237" w:type="pct"/>
            <w:vMerge/>
            <w:vAlign w:val="center"/>
          </w:tcPr>
          <w:p w14:paraId="39D9DA34" w14:textId="77777777" w:rsidR="002E474C" w:rsidRDefault="002E474C">
            <w:pPr>
              <w:pStyle w:val="A-"/>
            </w:pPr>
          </w:p>
        </w:tc>
        <w:tc>
          <w:tcPr>
            <w:tcW w:w="595" w:type="pct"/>
            <w:shd w:val="clear" w:color="auto" w:fill="auto"/>
            <w:tcMar>
              <w:top w:w="15" w:type="dxa"/>
              <w:left w:w="15" w:type="dxa"/>
              <w:bottom w:w="0" w:type="dxa"/>
              <w:right w:w="15" w:type="dxa"/>
            </w:tcMar>
            <w:vAlign w:val="center"/>
          </w:tcPr>
          <w:p w14:paraId="7594C3D8" w14:textId="77777777" w:rsidR="002E474C" w:rsidRDefault="00000000">
            <w:pPr>
              <w:pStyle w:val="A-"/>
            </w:pPr>
            <w:r>
              <w:t>二噁英类</w:t>
            </w:r>
          </w:p>
        </w:tc>
        <w:tc>
          <w:tcPr>
            <w:tcW w:w="267" w:type="pct"/>
            <w:vMerge/>
            <w:vAlign w:val="center"/>
          </w:tcPr>
          <w:p w14:paraId="672A3632"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596DF866" w14:textId="77777777" w:rsidR="002E474C" w:rsidRDefault="00000000">
            <w:pPr>
              <w:pStyle w:val="A-"/>
            </w:pPr>
            <w:r>
              <w:t>类比</w:t>
            </w:r>
          </w:p>
        </w:tc>
        <w:tc>
          <w:tcPr>
            <w:tcW w:w="588" w:type="pct"/>
            <w:shd w:val="clear" w:color="auto" w:fill="auto"/>
            <w:noWrap/>
            <w:tcMar>
              <w:top w:w="15" w:type="dxa"/>
              <w:left w:w="15" w:type="dxa"/>
              <w:bottom w:w="0" w:type="dxa"/>
              <w:right w:w="15" w:type="dxa"/>
            </w:tcMar>
            <w:vAlign w:val="center"/>
          </w:tcPr>
          <w:p w14:paraId="6ADF51E5" w14:textId="77777777" w:rsidR="002E474C" w:rsidRDefault="00000000">
            <w:pPr>
              <w:pStyle w:val="A-"/>
            </w:pPr>
            <w:r>
              <w:t>0.05</w:t>
            </w:r>
            <w:r>
              <w:t>（</w:t>
            </w:r>
            <w:proofErr w:type="spellStart"/>
            <w:r>
              <w:t>ngTEQ</w:t>
            </w:r>
            <w:proofErr w:type="spellEnd"/>
            <w:r>
              <w:t>/Nm</w:t>
            </w:r>
            <w:r>
              <w:rPr>
                <w:vertAlign w:val="superscript"/>
              </w:rPr>
              <w:t>3</w:t>
            </w:r>
            <w:r>
              <w:t>）</w:t>
            </w:r>
          </w:p>
        </w:tc>
        <w:tc>
          <w:tcPr>
            <w:tcW w:w="320" w:type="pct"/>
            <w:shd w:val="clear" w:color="auto" w:fill="auto"/>
            <w:noWrap/>
            <w:tcMar>
              <w:top w:w="15" w:type="dxa"/>
              <w:left w:w="15" w:type="dxa"/>
              <w:bottom w:w="0" w:type="dxa"/>
              <w:right w:w="15" w:type="dxa"/>
            </w:tcMar>
            <w:vAlign w:val="center"/>
          </w:tcPr>
          <w:p w14:paraId="1455AD2A" w14:textId="77777777" w:rsidR="002E474C" w:rsidRDefault="00000000">
            <w:pPr>
              <w:pStyle w:val="A-"/>
            </w:pPr>
            <w:r>
              <w:t>3.60E-08</w:t>
            </w:r>
          </w:p>
        </w:tc>
        <w:tc>
          <w:tcPr>
            <w:tcW w:w="321" w:type="pct"/>
            <w:vMerge/>
            <w:shd w:val="clear" w:color="auto" w:fill="auto"/>
            <w:noWrap/>
            <w:tcMar>
              <w:top w:w="15" w:type="dxa"/>
              <w:left w:w="15" w:type="dxa"/>
              <w:bottom w:w="0" w:type="dxa"/>
              <w:right w:w="15" w:type="dxa"/>
            </w:tcMar>
            <w:vAlign w:val="center"/>
          </w:tcPr>
          <w:p w14:paraId="35E0D82F"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0DD25832" w14:textId="77777777" w:rsidR="002E474C" w:rsidRDefault="00000000">
            <w:pPr>
              <w:pStyle w:val="A-"/>
            </w:pPr>
            <w:r>
              <w:t>0</w:t>
            </w:r>
          </w:p>
        </w:tc>
        <w:tc>
          <w:tcPr>
            <w:tcW w:w="588" w:type="pct"/>
            <w:shd w:val="clear" w:color="auto" w:fill="auto"/>
            <w:noWrap/>
            <w:tcMar>
              <w:top w:w="15" w:type="dxa"/>
              <w:left w:w="15" w:type="dxa"/>
              <w:bottom w:w="0" w:type="dxa"/>
              <w:right w:w="15" w:type="dxa"/>
            </w:tcMar>
            <w:vAlign w:val="center"/>
          </w:tcPr>
          <w:p w14:paraId="598E36D3" w14:textId="77777777" w:rsidR="002E474C" w:rsidRDefault="00000000">
            <w:pPr>
              <w:pStyle w:val="A-"/>
            </w:pPr>
            <w:r>
              <w:t>0.05</w:t>
            </w:r>
            <w:r>
              <w:t>（</w:t>
            </w:r>
            <w:proofErr w:type="spellStart"/>
            <w:r>
              <w:t>ngTEQ</w:t>
            </w:r>
            <w:proofErr w:type="spellEnd"/>
            <w:r>
              <w:t>/Nm</w:t>
            </w:r>
            <w:r>
              <w:rPr>
                <w:vertAlign w:val="superscript"/>
              </w:rPr>
              <w:t>3</w:t>
            </w:r>
            <w:r>
              <w:t>）</w:t>
            </w:r>
          </w:p>
        </w:tc>
        <w:tc>
          <w:tcPr>
            <w:tcW w:w="320" w:type="pct"/>
            <w:shd w:val="clear" w:color="auto" w:fill="auto"/>
            <w:noWrap/>
            <w:tcMar>
              <w:top w:w="15" w:type="dxa"/>
              <w:left w:w="15" w:type="dxa"/>
              <w:bottom w:w="0" w:type="dxa"/>
              <w:right w:w="15" w:type="dxa"/>
            </w:tcMar>
            <w:vAlign w:val="center"/>
          </w:tcPr>
          <w:p w14:paraId="3FDA337D" w14:textId="77777777" w:rsidR="002E474C" w:rsidRDefault="00000000">
            <w:pPr>
              <w:pStyle w:val="A-"/>
            </w:pPr>
            <w:r>
              <w:t>3.60E-08</w:t>
            </w:r>
          </w:p>
        </w:tc>
        <w:tc>
          <w:tcPr>
            <w:tcW w:w="214" w:type="pct"/>
            <w:vMerge/>
            <w:vAlign w:val="center"/>
          </w:tcPr>
          <w:p w14:paraId="30F61F66" w14:textId="77777777" w:rsidR="002E474C" w:rsidRDefault="002E474C">
            <w:pPr>
              <w:pStyle w:val="A-"/>
            </w:pPr>
          </w:p>
        </w:tc>
        <w:tc>
          <w:tcPr>
            <w:tcW w:w="214" w:type="pct"/>
            <w:vMerge/>
            <w:vAlign w:val="center"/>
          </w:tcPr>
          <w:p w14:paraId="6D1F4F7D" w14:textId="77777777" w:rsidR="002E474C" w:rsidRDefault="002E474C">
            <w:pPr>
              <w:pStyle w:val="A-"/>
            </w:pPr>
          </w:p>
        </w:tc>
        <w:tc>
          <w:tcPr>
            <w:tcW w:w="198" w:type="pct"/>
            <w:vMerge/>
            <w:vAlign w:val="center"/>
          </w:tcPr>
          <w:p w14:paraId="65395A88"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6452F170" w14:textId="77777777" w:rsidR="002E474C" w:rsidRDefault="002E474C">
            <w:pPr>
              <w:pStyle w:val="A-"/>
            </w:pPr>
          </w:p>
        </w:tc>
      </w:tr>
      <w:tr w:rsidR="002E474C" w14:paraId="66EC67FD" w14:textId="77777777">
        <w:tc>
          <w:tcPr>
            <w:tcW w:w="242" w:type="pct"/>
            <w:vMerge w:val="restart"/>
            <w:vAlign w:val="center"/>
          </w:tcPr>
          <w:p w14:paraId="30808038" w14:textId="77777777" w:rsidR="002E474C" w:rsidRDefault="00000000">
            <w:pPr>
              <w:pStyle w:val="A-"/>
            </w:pPr>
            <w:r>
              <w:t>危废贮存库及固态与处理车间</w:t>
            </w:r>
          </w:p>
        </w:tc>
        <w:tc>
          <w:tcPr>
            <w:tcW w:w="237" w:type="pct"/>
            <w:vMerge w:val="restart"/>
            <w:vAlign w:val="center"/>
          </w:tcPr>
          <w:p w14:paraId="4CC3A12F" w14:textId="77777777" w:rsidR="002E474C" w:rsidRDefault="00000000">
            <w:pPr>
              <w:pStyle w:val="A-"/>
            </w:pPr>
            <w:r>
              <w:t>危废贮存废气</w:t>
            </w:r>
            <w:r>
              <w:t>DA001</w:t>
            </w:r>
          </w:p>
        </w:tc>
        <w:tc>
          <w:tcPr>
            <w:tcW w:w="595" w:type="pct"/>
            <w:shd w:val="clear" w:color="auto" w:fill="auto"/>
            <w:tcMar>
              <w:top w:w="15" w:type="dxa"/>
              <w:left w:w="15" w:type="dxa"/>
              <w:bottom w:w="0" w:type="dxa"/>
              <w:right w:w="15" w:type="dxa"/>
            </w:tcMar>
            <w:vAlign w:val="center"/>
          </w:tcPr>
          <w:p w14:paraId="080B74CD" w14:textId="77777777" w:rsidR="002E474C" w:rsidRDefault="00000000">
            <w:pPr>
              <w:pStyle w:val="A-"/>
              <w:rPr>
                <w:spacing w:val="-10"/>
              </w:rPr>
            </w:pPr>
            <w:r>
              <w:t>H</w:t>
            </w:r>
            <w:r>
              <w:rPr>
                <w:vertAlign w:val="subscript"/>
              </w:rPr>
              <w:t>2</w:t>
            </w:r>
            <w:r>
              <w:t>S</w:t>
            </w:r>
          </w:p>
        </w:tc>
        <w:tc>
          <w:tcPr>
            <w:tcW w:w="267" w:type="pct"/>
            <w:vMerge w:val="restart"/>
            <w:shd w:val="clear" w:color="auto" w:fill="auto"/>
            <w:vAlign w:val="center"/>
          </w:tcPr>
          <w:p w14:paraId="3A8C7F17" w14:textId="77777777" w:rsidR="002E474C" w:rsidRDefault="00000000">
            <w:pPr>
              <w:pStyle w:val="A-"/>
            </w:pPr>
            <w:r>
              <w:t>15000</w:t>
            </w:r>
          </w:p>
        </w:tc>
        <w:tc>
          <w:tcPr>
            <w:tcW w:w="374" w:type="pct"/>
            <w:shd w:val="clear" w:color="auto" w:fill="auto"/>
            <w:noWrap/>
            <w:tcMar>
              <w:top w:w="15" w:type="dxa"/>
              <w:left w:w="15" w:type="dxa"/>
              <w:bottom w:w="0" w:type="dxa"/>
              <w:right w:w="15" w:type="dxa"/>
            </w:tcMar>
            <w:vAlign w:val="center"/>
          </w:tcPr>
          <w:p w14:paraId="3AF46C0C" w14:textId="77777777" w:rsidR="002E474C" w:rsidRDefault="00000000">
            <w:pPr>
              <w:pStyle w:val="A-"/>
            </w:pPr>
            <w:r>
              <w:t>类比</w:t>
            </w:r>
          </w:p>
        </w:tc>
        <w:tc>
          <w:tcPr>
            <w:tcW w:w="588" w:type="pct"/>
            <w:shd w:val="clear" w:color="auto" w:fill="auto"/>
            <w:noWrap/>
            <w:tcMar>
              <w:top w:w="15" w:type="dxa"/>
              <w:left w:w="15" w:type="dxa"/>
              <w:bottom w:w="0" w:type="dxa"/>
              <w:right w:w="15" w:type="dxa"/>
            </w:tcMar>
            <w:vAlign w:val="center"/>
          </w:tcPr>
          <w:p w14:paraId="4DE1E844" w14:textId="77777777" w:rsidR="002E474C" w:rsidRDefault="00000000">
            <w:pPr>
              <w:pStyle w:val="A-"/>
            </w:pPr>
            <w:r>
              <w:rPr>
                <w:rFonts w:hint="eastAsia"/>
              </w:rPr>
              <w:t>3.1</w:t>
            </w:r>
          </w:p>
        </w:tc>
        <w:tc>
          <w:tcPr>
            <w:tcW w:w="320" w:type="pct"/>
            <w:shd w:val="clear" w:color="auto" w:fill="auto"/>
            <w:noWrap/>
            <w:tcMar>
              <w:top w:w="15" w:type="dxa"/>
              <w:left w:w="15" w:type="dxa"/>
              <w:bottom w:w="0" w:type="dxa"/>
              <w:right w:w="15" w:type="dxa"/>
            </w:tcMar>
            <w:vAlign w:val="center"/>
          </w:tcPr>
          <w:p w14:paraId="6E9865B9" w14:textId="77777777" w:rsidR="002E474C" w:rsidRDefault="00000000">
            <w:pPr>
              <w:pStyle w:val="A-"/>
            </w:pPr>
            <w:r>
              <w:t xml:space="preserve">0.047 </w:t>
            </w:r>
          </w:p>
        </w:tc>
        <w:tc>
          <w:tcPr>
            <w:tcW w:w="321" w:type="pct"/>
            <w:vMerge w:val="restart"/>
            <w:shd w:val="clear" w:color="auto" w:fill="auto"/>
            <w:noWrap/>
            <w:tcMar>
              <w:top w:w="15" w:type="dxa"/>
              <w:left w:w="15" w:type="dxa"/>
              <w:bottom w:w="0" w:type="dxa"/>
              <w:right w:w="15" w:type="dxa"/>
            </w:tcMar>
            <w:vAlign w:val="center"/>
          </w:tcPr>
          <w:p w14:paraId="67834F0F" w14:textId="77777777" w:rsidR="002E474C" w:rsidRDefault="00000000">
            <w:pPr>
              <w:pStyle w:val="A-"/>
            </w:pPr>
            <w:r>
              <w:t>两级活性炭吸附</w:t>
            </w:r>
          </w:p>
        </w:tc>
        <w:tc>
          <w:tcPr>
            <w:tcW w:w="267" w:type="pct"/>
            <w:shd w:val="clear" w:color="auto" w:fill="auto"/>
            <w:noWrap/>
            <w:tcMar>
              <w:top w:w="15" w:type="dxa"/>
              <w:left w:w="15" w:type="dxa"/>
              <w:bottom w:w="0" w:type="dxa"/>
              <w:right w:w="15" w:type="dxa"/>
            </w:tcMar>
            <w:vAlign w:val="center"/>
          </w:tcPr>
          <w:p w14:paraId="337CDF2C" w14:textId="77777777" w:rsidR="002E474C" w:rsidRDefault="00000000">
            <w:pPr>
              <w:pStyle w:val="A-"/>
            </w:pPr>
            <w:r>
              <w:t>90</w:t>
            </w:r>
          </w:p>
        </w:tc>
        <w:tc>
          <w:tcPr>
            <w:tcW w:w="588" w:type="pct"/>
            <w:shd w:val="clear" w:color="auto" w:fill="auto"/>
            <w:noWrap/>
            <w:tcMar>
              <w:top w:w="15" w:type="dxa"/>
              <w:left w:w="15" w:type="dxa"/>
              <w:bottom w:w="0" w:type="dxa"/>
              <w:right w:w="15" w:type="dxa"/>
            </w:tcMar>
            <w:vAlign w:val="center"/>
          </w:tcPr>
          <w:p w14:paraId="588A63F7" w14:textId="77777777" w:rsidR="002E474C" w:rsidRDefault="00000000">
            <w:pPr>
              <w:pStyle w:val="A-"/>
            </w:pPr>
            <w:r>
              <w:t>0.3</w:t>
            </w:r>
            <w:r>
              <w:rPr>
                <w:rFonts w:hint="eastAsia"/>
              </w:rPr>
              <w:t>1</w:t>
            </w:r>
            <w:r>
              <w:t xml:space="preserve"> </w:t>
            </w:r>
          </w:p>
        </w:tc>
        <w:tc>
          <w:tcPr>
            <w:tcW w:w="320" w:type="pct"/>
            <w:shd w:val="clear" w:color="auto" w:fill="auto"/>
            <w:noWrap/>
            <w:tcMar>
              <w:top w:w="15" w:type="dxa"/>
              <w:left w:w="15" w:type="dxa"/>
              <w:bottom w:w="0" w:type="dxa"/>
              <w:right w:w="15" w:type="dxa"/>
            </w:tcMar>
            <w:vAlign w:val="center"/>
          </w:tcPr>
          <w:p w14:paraId="5029D16C" w14:textId="77777777" w:rsidR="002E474C" w:rsidRDefault="00000000">
            <w:pPr>
              <w:pStyle w:val="A-"/>
            </w:pPr>
            <w:r>
              <w:t xml:space="preserve">0.005 </w:t>
            </w:r>
          </w:p>
        </w:tc>
        <w:tc>
          <w:tcPr>
            <w:tcW w:w="214" w:type="pct"/>
            <w:vMerge w:val="restart"/>
            <w:vAlign w:val="center"/>
          </w:tcPr>
          <w:p w14:paraId="6F53FC24" w14:textId="77777777" w:rsidR="002E474C" w:rsidRDefault="00000000">
            <w:pPr>
              <w:pStyle w:val="A-"/>
            </w:pPr>
            <w:r>
              <w:t>15</w:t>
            </w:r>
          </w:p>
        </w:tc>
        <w:tc>
          <w:tcPr>
            <w:tcW w:w="214" w:type="pct"/>
            <w:vMerge w:val="restart"/>
            <w:shd w:val="clear" w:color="auto" w:fill="auto"/>
            <w:vAlign w:val="center"/>
          </w:tcPr>
          <w:p w14:paraId="03FCDE1A" w14:textId="77777777" w:rsidR="002E474C" w:rsidRDefault="00000000">
            <w:pPr>
              <w:pStyle w:val="A-"/>
            </w:pPr>
            <w:r>
              <w:t>0.8</w:t>
            </w:r>
          </w:p>
        </w:tc>
        <w:tc>
          <w:tcPr>
            <w:tcW w:w="198" w:type="pct"/>
            <w:vMerge w:val="restart"/>
            <w:vAlign w:val="center"/>
          </w:tcPr>
          <w:p w14:paraId="16E14A03" w14:textId="77777777" w:rsidR="002E474C" w:rsidRDefault="00000000">
            <w:pPr>
              <w:pStyle w:val="A-"/>
            </w:pPr>
            <w:r>
              <w:t>20</w:t>
            </w:r>
          </w:p>
        </w:tc>
        <w:tc>
          <w:tcPr>
            <w:tcW w:w="255" w:type="pct"/>
            <w:vMerge w:val="restart"/>
            <w:shd w:val="clear" w:color="auto" w:fill="auto"/>
            <w:noWrap/>
            <w:tcMar>
              <w:top w:w="15" w:type="dxa"/>
              <w:left w:w="15" w:type="dxa"/>
              <w:bottom w:w="0" w:type="dxa"/>
              <w:right w:w="15" w:type="dxa"/>
            </w:tcMar>
            <w:vAlign w:val="center"/>
          </w:tcPr>
          <w:p w14:paraId="5BE12244" w14:textId="77777777" w:rsidR="002E474C" w:rsidRDefault="00000000">
            <w:pPr>
              <w:pStyle w:val="A-"/>
            </w:pPr>
            <w:r>
              <w:t>7200</w:t>
            </w:r>
          </w:p>
        </w:tc>
      </w:tr>
      <w:tr w:rsidR="002E474C" w14:paraId="13D4AB7A" w14:textId="77777777">
        <w:tc>
          <w:tcPr>
            <w:tcW w:w="242" w:type="pct"/>
            <w:vMerge/>
            <w:vAlign w:val="center"/>
          </w:tcPr>
          <w:p w14:paraId="165E3439" w14:textId="77777777" w:rsidR="002E474C" w:rsidRDefault="002E474C">
            <w:pPr>
              <w:pStyle w:val="A-"/>
            </w:pPr>
          </w:p>
        </w:tc>
        <w:tc>
          <w:tcPr>
            <w:tcW w:w="237" w:type="pct"/>
            <w:vMerge/>
            <w:vAlign w:val="center"/>
          </w:tcPr>
          <w:p w14:paraId="370623FB" w14:textId="77777777" w:rsidR="002E474C" w:rsidRDefault="002E474C">
            <w:pPr>
              <w:pStyle w:val="A-"/>
            </w:pPr>
          </w:p>
        </w:tc>
        <w:tc>
          <w:tcPr>
            <w:tcW w:w="595" w:type="pct"/>
            <w:shd w:val="clear" w:color="auto" w:fill="auto"/>
            <w:tcMar>
              <w:top w:w="15" w:type="dxa"/>
              <w:left w:w="15" w:type="dxa"/>
              <w:bottom w:w="0" w:type="dxa"/>
              <w:right w:w="15" w:type="dxa"/>
            </w:tcMar>
            <w:vAlign w:val="center"/>
          </w:tcPr>
          <w:p w14:paraId="019F33A5" w14:textId="77777777" w:rsidR="002E474C" w:rsidRDefault="00000000">
            <w:pPr>
              <w:pStyle w:val="A-"/>
              <w:rPr>
                <w:spacing w:val="-10"/>
              </w:rPr>
            </w:pPr>
            <w:r>
              <w:t>NH</w:t>
            </w:r>
            <w:r>
              <w:rPr>
                <w:vertAlign w:val="subscript"/>
              </w:rPr>
              <w:t>3</w:t>
            </w:r>
          </w:p>
        </w:tc>
        <w:tc>
          <w:tcPr>
            <w:tcW w:w="267" w:type="pct"/>
            <w:vMerge/>
            <w:shd w:val="clear" w:color="auto" w:fill="auto"/>
            <w:vAlign w:val="center"/>
          </w:tcPr>
          <w:p w14:paraId="538D0427"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63E52362" w14:textId="77777777" w:rsidR="002E474C" w:rsidRDefault="00000000">
            <w:pPr>
              <w:pStyle w:val="A-"/>
            </w:pPr>
            <w:r>
              <w:t>类比</w:t>
            </w:r>
          </w:p>
        </w:tc>
        <w:tc>
          <w:tcPr>
            <w:tcW w:w="588" w:type="pct"/>
            <w:shd w:val="clear" w:color="auto" w:fill="auto"/>
            <w:noWrap/>
            <w:tcMar>
              <w:top w:w="15" w:type="dxa"/>
              <w:left w:w="15" w:type="dxa"/>
              <w:bottom w:w="0" w:type="dxa"/>
              <w:right w:w="15" w:type="dxa"/>
            </w:tcMar>
            <w:vAlign w:val="center"/>
          </w:tcPr>
          <w:p w14:paraId="688B5C63" w14:textId="77777777" w:rsidR="002E474C" w:rsidRDefault="00000000">
            <w:pPr>
              <w:pStyle w:val="A-"/>
            </w:pPr>
            <w:r>
              <w:t xml:space="preserve">38 </w:t>
            </w:r>
          </w:p>
        </w:tc>
        <w:tc>
          <w:tcPr>
            <w:tcW w:w="320" w:type="pct"/>
            <w:shd w:val="clear" w:color="auto" w:fill="auto"/>
            <w:noWrap/>
            <w:tcMar>
              <w:top w:w="15" w:type="dxa"/>
              <w:left w:w="15" w:type="dxa"/>
              <w:bottom w:w="0" w:type="dxa"/>
              <w:right w:w="15" w:type="dxa"/>
            </w:tcMar>
            <w:vAlign w:val="center"/>
          </w:tcPr>
          <w:p w14:paraId="4564307C" w14:textId="77777777" w:rsidR="002E474C" w:rsidRDefault="00000000">
            <w:pPr>
              <w:pStyle w:val="A-"/>
            </w:pPr>
            <w:r>
              <w:t>0.575</w:t>
            </w:r>
          </w:p>
        </w:tc>
        <w:tc>
          <w:tcPr>
            <w:tcW w:w="321" w:type="pct"/>
            <w:vMerge/>
            <w:shd w:val="clear" w:color="auto" w:fill="auto"/>
            <w:noWrap/>
            <w:tcMar>
              <w:top w:w="15" w:type="dxa"/>
              <w:left w:w="15" w:type="dxa"/>
              <w:bottom w:w="0" w:type="dxa"/>
              <w:right w:w="15" w:type="dxa"/>
            </w:tcMar>
            <w:vAlign w:val="center"/>
          </w:tcPr>
          <w:p w14:paraId="2FA4DBD1"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6291A170" w14:textId="77777777" w:rsidR="002E474C" w:rsidRDefault="00000000">
            <w:pPr>
              <w:pStyle w:val="A-"/>
            </w:pPr>
            <w:r>
              <w:t>90</w:t>
            </w:r>
          </w:p>
        </w:tc>
        <w:tc>
          <w:tcPr>
            <w:tcW w:w="588" w:type="pct"/>
            <w:shd w:val="clear" w:color="auto" w:fill="auto"/>
            <w:noWrap/>
            <w:tcMar>
              <w:top w:w="15" w:type="dxa"/>
              <w:left w:w="15" w:type="dxa"/>
              <w:bottom w:w="0" w:type="dxa"/>
              <w:right w:w="15" w:type="dxa"/>
            </w:tcMar>
            <w:vAlign w:val="center"/>
          </w:tcPr>
          <w:p w14:paraId="07EB2E97" w14:textId="77777777" w:rsidR="002E474C" w:rsidRDefault="00000000">
            <w:pPr>
              <w:pStyle w:val="A-"/>
            </w:pPr>
            <w:r>
              <w:t>3.8</w:t>
            </w:r>
            <w:r>
              <w:rPr>
                <w:rFonts w:hint="eastAsia"/>
              </w:rPr>
              <w:t>3</w:t>
            </w:r>
            <w:r>
              <w:t xml:space="preserve"> </w:t>
            </w:r>
          </w:p>
        </w:tc>
        <w:tc>
          <w:tcPr>
            <w:tcW w:w="320" w:type="pct"/>
            <w:shd w:val="clear" w:color="auto" w:fill="auto"/>
            <w:noWrap/>
            <w:tcMar>
              <w:top w:w="15" w:type="dxa"/>
              <w:left w:w="15" w:type="dxa"/>
              <w:bottom w:w="0" w:type="dxa"/>
              <w:right w:w="15" w:type="dxa"/>
            </w:tcMar>
            <w:vAlign w:val="center"/>
          </w:tcPr>
          <w:p w14:paraId="646715B8" w14:textId="77777777" w:rsidR="002E474C" w:rsidRDefault="00000000">
            <w:pPr>
              <w:pStyle w:val="A-"/>
            </w:pPr>
            <w:r>
              <w:t xml:space="preserve">0.058 </w:t>
            </w:r>
          </w:p>
        </w:tc>
        <w:tc>
          <w:tcPr>
            <w:tcW w:w="214" w:type="pct"/>
            <w:vMerge/>
            <w:vAlign w:val="center"/>
          </w:tcPr>
          <w:p w14:paraId="61B91CE4" w14:textId="77777777" w:rsidR="002E474C" w:rsidRDefault="002E474C">
            <w:pPr>
              <w:pStyle w:val="A-"/>
            </w:pPr>
          </w:p>
        </w:tc>
        <w:tc>
          <w:tcPr>
            <w:tcW w:w="214" w:type="pct"/>
            <w:vMerge/>
            <w:shd w:val="clear" w:color="auto" w:fill="auto"/>
            <w:vAlign w:val="center"/>
          </w:tcPr>
          <w:p w14:paraId="159649FF" w14:textId="77777777" w:rsidR="002E474C" w:rsidRDefault="002E474C">
            <w:pPr>
              <w:pStyle w:val="A-"/>
            </w:pPr>
          </w:p>
        </w:tc>
        <w:tc>
          <w:tcPr>
            <w:tcW w:w="198" w:type="pct"/>
            <w:vMerge/>
            <w:vAlign w:val="center"/>
          </w:tcPr>
          <w:p w14:paraId="41A17615"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6A3BD12D" w14:textId="77777777" w:rsidR="002E474C" w:rsidRDefault="002E474C">
            <w:pPr>
              <w:pStyle w:val="A-"/>
            </w:pPr>
          </w:p>
        </w:tc>
      </w:tr>
      <w:tr w:rsidR="002E474C" w14:paraId="3F10E1EB" w14:textId="77777777">
        <w:tc>
          <w:tcPr>
            <w:tcW w:w="242" w:type="pct"/>
            <w:vMerge/>
            <w:vAlign w:val="center"/>
          </w:tcPr>
          <w:p w14:paraId="60C33206" w14:textId="77777777" w:rsidR="002E474C" w:rsidRDefault="002E474C">
            <w:pPr>
              <w:pStyle w:val="A-"/>
            </w:pPr>
          </w:p>
        </w:tc>
        <w:tc>
          <w:tcPr>
            <w:tcW w:w="237" w:type="pct"/>
            <w:vMerge/>
            <w:vAlign w:val="center"/>
          </w:tcPr>
          <w:p w14:paraId="3B62EDB1" w14:textId="77777777" w:rsidR="002E474C" w:rsidRDefault="002E474C">
            <w:pPr>
              <w:pStyle w:val="A-"/>
            </w:pPr>
          </w:p>
        </w:tc>
        <w:tc>
          <w:tcPr>
            <w:tcW w:w="595" w:type="pct"/>
            <w:shd w:val="clear" w:color="auto" w:fill="auto"/>
            <w:tcMar>
              <w:top w:w="15" w:type="dxa"/>
              <w:left w:w="15" w:type="dxa"/>
              <w:bottom w:w="0" w:type="dxa"/>
              <w:right w:w="15" w:type="dxa"/>
            </w:tcMar>
            <w:vAlign w:val="center"/>
          </w:tcPr>
          <w:p w14:paraId="5D456D26" w14:textId="77777777" w:rsidR="002E474C" w:rsidRDefault="00000000">
            <w:pPr>
              <w:pStyle w:val="A-"/>
              <w:rPr>
                <w:spacing w:val="-10"/>
              </w:rPr>
            </w:pPr>
            <w:r>
              <w:t>NMHC</w:t>
            </w:r>
          </w:p>
        </w:tc>
        <w:tc>
          <w:tcPr>
            <w:tcW w:w="267" w:type="pct"/>
            <w:vMerge/>
            <w:shd w:val="clear" w:color="auto" w:fill="auto"/>
            <w:vAlign w:val="center"/>
          </w:tcPr>
          <w:p w14:paraId="4B794071" w14:textId="77777777" w:rsidR="002E474C" w:rsidRDefault="002E474C">
            <w:pPr>
              <w:pStyle w:val="A-"/>
            </w:pPr>
          </w:p>
        </w:tc>
        <w:tc>
          <w:tcPr>
            <w:tcW w:w="374" w:type="pct"/>
            <w:shd w:val="clear" w:color="auto" w:fill="auto"/>
            <w:noWrap/>
            <w:tcMar>
              <w:top w:w="15" w:type="dxa"/>
              <w:left w:w="15" w:type="dxa"/>
              <w:bottom w:w="0" w:type="dxa"/>
              <w:right w:w="15" w:type="dxa"/>
            </w:tcMar>
            <w:vAlign w:val="center"/>
          </w:tcPr>
          <w:p w14:paraId="05AA0FA3" w14:textId="77777777" w:rsidR="002E474C" w:rsidRDefault="00000000">
            <w:pPr>
              <w:pStyle w:val="A-"/>
            </w:pPr>
            <w:r>
              <w:t>类比</w:t>
            </w:r>
          </w:p>
        </w:tc>
        <w:tc>
          <w:tcPr>
            <w:tcW w:w="588" w:type="pct"/>
            <w:shd w:val="clear" w:color="auto" w:fill="auto"/>
            <w:noWrap/>
            <w:tcMar>
              <w:top w:w="15" w:type="dxa"/>
              <w:left w:w="15" w:type="dxa"/>
              <w:bottom w:w="0" w:type="dxa"/>
              <w:right w:w="15" w:type="dxa"/>
            </w:tcMar>
            <w:vAlign w:val="center"/>
          </w:tcPr>
          <w:p w14:paraId="682698DC" w14:textId="77777777" w:rsidR="002E474C" w:rsidRDefault="00000000">
            <w:pPr>
              <w:pStyle w:val="A-"/>
            </w:pPr>
            <w:r>
              <w:t xml:space="preserve">41.7 </w:t>
            </w:r>
          </w:p>
        </w:tc>
        <w:tc>
          <w:tcPr>
            <w:tcW w:w="320" w:type="pct"/>
            <w:shd w:val="clear" w:color="auto" w:fill="auto"/>
            <w:noWrap/>
            <w:tcMar>
              <w:top w:w="15" w:type="dxa"/>
              <w:left w:w="15" w:type="dxa"/>
              <w:bottom w:w="0" w:type="dxa"/>
              <w:right w:w="15" w:type="dxa"/>
            </w:tcMar>
            <w:vAlign w:val="center"/>
          </w:tcPr>
          <w:p w14:paraId="2BC3160D" w14:textId="77777777" w:rsidR="002E474C" w:rsidRDefault="00000000">
            <w:pPr>
              <w:pStyle w:val="A-"/>
            </w:pPr>
            <w:r>
              <w:t>0.625</w:t>
            </w:r>
          </w:p>
        </w:tc>
        <w:tc>
          <w:tcPr>
            <w:tcW w:w="321" w:type="pct"/>
            <w:vMerge/>
            <w:shd w:val="clear" w:color="auto" w:fill="auto"/>
            <w:noWrap/>
            <w:tcMar>
              <w:top w:w="15" w:type="dxa"/>
              <w:left w:w="15" w:type="dxa"/>
              <w:bottom w:w="0" w:type="dxa"/>
              <w:right w:w="15" w:type="dxa"/>
            </w:tcMar>
            <w:vAlign w:val="center"/>
          </w:tcPr>
          <w:p w14:paraId="7631BA4D" w14:textId="77777777" w:rsidR="002E474C" w:rsidRDefault="002E474C">
            <w:pPr>
              <w:pStyle w:val="A-"/>
            </w:pPr>
          </w:p>
        </w:tc>
        <w:tc>
          <w:tcPr>
            <w:tcW w:w="267" w:type="pct"/>
            <w:shd w:val="clear" w:color="auto" w:fill="auto"/>
            <w:noWrap/>
            <w:tcMar>
              <w:top w:w="15" w:type="dxa"/>
              <w:left w:w="15" w:type="dxa"/>
              <w:bottom w:w="0" w:type="dxa"/>
              <w:right w:w="15" w:type="dxa"/>
            </w:tcMar>
            <w:vAlign w:val="center"/>
          </w:tcPr>
          <w:p w14:paraId="6CC5040C" w14:textId="77777777" w:rsidR="002E474C" w:rsidRDefault="00000000">
            <w:pPr>
              <w:pStyle w:val="A-"/>
            </w:pPr>
            <w:r>
              <w:t>90</w:t>
            </w:r>
          </w:p>
        </w:tc>
        <w:tc>
          <w:tcPr>
            <w:tcW w:w="588" w:type="pct"/>
            <w:shd w:val="clear" w:color="auto" w:fill="auto"/>
            <w:noWrap/>
            <w:tcMar>
              <w:top w:w="15" w:type="dxa"/>
              <w:left w:w="15" w:type="dxa"/>
              <w:bottom w:w="0" w:type="dxa"/>
              <w:right w:w="15" w:type="dxa"/>
            </w:tcMar>
            <w:vAlign w:val="center"/>
          </w:tcPr>
          <w:p w14:paraId="5D3925BC" w14:textId="77777777" w:rsidR="002E474C" w:rsidRDefault="00000000">
            <w:pPr>
              <w:pStyle w:val="A-"/>
            </w:pPr>
            <w:r>
              <w:t xml:space="preserve">4.17 </w:t>
            </w:r>
          </w:p>
        </w:tc>
        <w:tc>
          <w:tcPr>
            <w:tcW w:w="320" w:type="pct"/>
            <w:shd w:val="clear" w:color="auto" w:fill="auto"/>
            <w:noWrap/>
            <w:tcMar>
              <w:top w:w="15" w:type="dxa"/>
              <w:left w:w="15" w:type="dxa"/>
              <w:bottom w:w="0" w:type="dxa"/>
              <w:right w:w="15" w:type="dxa"/>
            </w:tcMar>
            <w:vAlign w:val="center"/>
          </w:tcPr>
          <w:p w14:paraId="7469945B" w14:textId="77777777" w:rsidR="002E474C" w:rsidRDefault="00000000">
            <w:pPr>
              <w:pStyle w:val="A-"/>
            </w:pPr>
            <w:r>
              <w:t xml:space="preserve">0.063 </w:t>
            </w:r>
          </w:p>
        </w:tc>
        <w:tc>
          <w:tcPr>
            <w:tcW w:w="214" w:type="pct"/>
            <w:vMerge/>
            <w:vAlign w:val="center"/>
          </w:tcPr>
          <w:p w14:paraId="116D58F4" w14:textId="77777777" w:rsidR="002E474C" w:rsidRDefault="002E474C">
            <w:pPr>
              <w:pStyle w:val="A-"/>
            </w:pPr>
          </w:p>
        </w:tc>
        <w:tc>
          <w:tcPr>
            <w:tcW w:w="214" w:type="pct"/>
            <w:vMerge/>
            <w:shd w:val="clear" w:color="auto" w:fill="auto"/>
            <w:vAlign w:val="center"/>
          </w:tcPr>
          <w:p w14:paraId="2AFA3FB7" w14:textId="77777777" w:rsidR="002E474C" w:rsidRDefault="002E474C">
            <w:pPr>
              <w:pStyle w:val="A-"/>
            </w:pPr>
          </w:p>
        </w:tc>
        <w:tc>
          <w:tcPr>
            <w:tcW w:w="198" w:type="pct"/>
            <w:vMerge/>
            <w:vAlign w:val="center"/>
          </w:tcPr>
          <w:p w14:paraId="5D6B165C" w14:textId="77777777" w:rsidR="002E474C" w:rsidRDefault="002E474C">
            <w:pPr>
              <w:pStyle w:val="A-"/>
            </w:pPr>
          </w:p>
        </w:tc>
        <w:tc>
          <w:tcPr>
            <w:tcW w:w="255" w:type="pct"/>
            <w:vMerge/>
            <w:shd w:val="clear" w:color="auto" w:fill="auto"/>
            <w:noWrap/>
            <w:tcMar>
              <w:top w:w="15" w:type="dxa"/>
              <w:left w:w="15" w:type="dxa"/>
              <w:bottom w:w="0" w:type="dxa"/>
              <w:right w:w="15" w:type="dxa"/>
            </w:tcMar>
            <w:vAlign w:val="center"/>
          </w:tcPr>
          <w:p w14:paraId="7045C12D" w14:textId="77777777" w:rsidR="002E474C" w:rsidRDefault="002E474C">
            <w:pPr>
              <w:pStyle w:val="A-"/>
            </w:pPr>
          </w:p>
        </w:tc>
      </w:tr>
    </w:tbl>
    <w:p w14:paraId="05B7D6E8" w14:textId="77777777" w:rsidR="002E474C" w:rsidRDefault="002E474C">
      <w:bookmarkStart w:id="195" w:name="_Ref151306550"/>
    </w:p>
    <w:bookmarkEnd w:id="194"/>
    <w:bookmarkEnd w:id="195"/>
    <w:p w14:paraId="78BC3049"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17849271" w14:textId="77777777" w:rsidR="002E474C" w:rsidRDefault="00000000">
      <w:pPr>
        <w:pStyle w:val="A-z"/>
        <w:rPr>
          <w:color w:val="auto"/>
        </w:rPr>
      </w:pPr>
      <w:r>
        <w:rPr>
          <w:color w:val="auto"/>
        </w:rPr>
        <w:lastRenderedPageBreak/>
        <w:t>（</w:t>
      </w:r>
      <w:r>
        <w:rPr>
          <w:color w:val="auto"/>
        </w:rPr>
        <w:t>3</w:t>
      </w:r>
      <w:r>
        <w:rPr>
          <w:color w:val="auto"/>
        </w:rPr>
        <w:t>）无组织排放源（</w:t>
      </w:r>
      <w:r>
        <w:rPr>
          <w:color w:val="auto"/>
        </w:rPr>
        <w:t>G3</w:t>
      </w:r>
      <w:r>
        <w:rPr>
          <w:color w:val="auto"/>
        </w:rPr>
        <w:t>）</w:t>
      </w:r>
    </w:p>
    <w:p w14:paraId="53F2A555" w14:textId="77777777" w:rsidR="002E474C" w:rsidRDefault="00000000">
      <w:pPr>
        <w:pStyle w:val="A-z"/>
        <w:rPr>
          <w:color w:val="auto"/>
        </w:rPr>
      </w:pPr>
      <w:r>
        <w:rPr>
          <w:color w:val="auto"/>
        </w:rPr>
        <w:t>固态危废预处理车间内单独设置破碎间，采用集气罩收集含尘废气，经布袋除尘器处理后的废气在固态危废预处理车间内无组织排放。固态危废预处理车间为封闭结构，考虑到封闭车间对颗粒物的控制效率，环评不考虑固态危废预处理车间颗粒物无组织排放影响。</w:t>
      </w:r>
    </w:p>
    <w:p w14:paraId="1EBD9522" w14:textId="77777777" w:rsidR="002E474C" w:rsidRDefault="00000000">
      <w:pPr>
        <w:pStyle w:val="A-z"/>
        <w:rPr>
          <w:color w:val="auto"/>
        </w:rPr>
      </w:pPr>
      <w:r>
        <w:rPr>
          <w:color w:val="auto"/>
        </w:rPr>
        <w:t>危废贮存设施仅存在少量无组织有害气体排放，固态危废预处理车间与危废贮存库均为封闭式结构且配套负压集气，保持微负压状态（</w:t>
      </w:r>
      <w:r>
        <w:rPr>
          <w:rFonts w:hint="eastAsia"/>
          <w:color w:val="auto"/>
          <w:lang w:val="en-US"/>
        </w:rPr>
        <w:t>-</w:t>
      </w:r>
      <w:r>
        <w:rPr>
          <w:color w:val="auto"/>
          <w:lang w:val="en-US"/>
        </w:rPr>
        <w:t>50Pa</w:t>
      </w:r>
      <w:r>
        <w:rPr>
          <w:color w:val="auto"/>
        </w:rPr>
        <w:t>）</w:t>
      </w:r>
      <w:r>
        <w:rPr>
          <w:color w:val="auto"/>
          <w:lang w:val="en-US"/>
        </w:rPr>
        <w:t>，废气捕集率不低于</w:t>
      </w:r>
      <w:r>
        <w:rPr>
          <w:color w:val="auto"/>
          <w:lang w:val="en-US"/>
        </w:rPr>
        <w:t>99%</w:t>
      </w:r>
      <w:r>
        <w:rPr>
          <w:color w:val="auto"/>
          <w:lang w:val="en-US"/>
        </w:rPr>
        <w:t>，无组织排放量小于</w:t>
      </w:r>
      <w:r>
        <w:rPr>
          <w:color w:val="auto"/>
          <w:lang w:val="en-US"/>
        </w:rPr>
        <w:t>1%</w:t>
      </w:r>
      <w:r>
        <w:rPr>
          <w:color w:val="auto"/>
          <w:lang w:val="en-US"/>
        </w:rPr>
        <w:t>。</w:t>
      </w:r>
      <w:r>
        <w:rPr>
          <w:color w:val="auto"/>
        </w:rPr>
        <w:t>无组织排放量为</w:t>
      </w:r>
      <w:r>
        <w:rPr>
          <w:color w:val="auto"/>
        </w:rPr>
        <w:t>H</w:t>
      </w:r>
      <w:r>
        <w:rPr>
          <w:color w:val="auto"/>
          <w:vertAlign w:val="subscript"/>
        </w:rPr>
        <w:t>2</w:t>
      </w:r>
      <w:r>
        <w:rPr>
          <w:color w:val="auto"/>
        </w:rPr>
        <w:t>S0.0</w:t>
      </w:r>
      <w:r>
        <w:rPr>
          <w:rFonts w:hint="eastAsia"/>
          <w:color w:val="auto"/>
        </w:rPr>
        <w:t>38</w:t>
      </w:r>
      <w:r>
        <w:rPr>
          <w:color w:val="auto"/>
        </w:rPr>
        <w:t>t/a</w:t>
      </w:r>
      <w:r>
        <w:rPr>
          <w:color w:val="auto"/>
        </w:rPr>
        <w:t>、</w:t>
      </w:r>
      <w:r>
        <w:rPr>
          <w:color w:val="auto"/>
        </w:rPr>
        <w:t>NH</w:t>
      </w:r>
      <w:r>
        <w:rPr>
          <w:color w:val="auto"/>
          <w:vertAlign w:val="subscript"/>
        </w:rPr>
        <w:t>3</w:t>
      </w:r>
      <w:r>
        <w:rPr>
          <w:color w:val="auto"/>
        </w:rPr>
        <w:t>0.</w:t>
      </w:r>
      <w:r>
        <w:rPr>
          <w:rFonts w:hint="eastAsia"/>
          <w:color w:val="auto"/>
        </w:rPr>
        <w:t>460</w:t>
      </w:r>
      <w:r>
        <w:rPr>
          <w:color w:val="auto"/>
        </w:rPr>
        <w:t>t/a</w:t>
      </w:r>
      <w:r>
        <w:rPr>
          <w:color w:val="auto"/>
        </w:rPr>
        <w:t>、</w:t>
      </w:r>
      <w:r>
        <w:rPr>
          <w:color w:val="auto"/>
        </w:rPr>
        <w:t>NMHC</w:t>
      </w:r>
      <w:r>
        <w:rPr>
          <w:rFonts w:hint="eastAsia"/>
          <w:color w:val="auto"/>
        </w:rPr>
        <w:t>0.500</w:t>
      </w:r>
      <w:r>
        <w:rPr>
          <w:color w:val="auto"/>
        </w:rPr>
        <w:t>t/a</w:t>
      </w:r>
      <w:r>
        <w:rPr>
          <w:color w:val="auto"/>
        </w:rPr>
        <w:t>。</w:t>
      </w:r>
    </w:p>
    <w:p w14:paraId="6A0EF85D" w14:textId="77777777" w:rsidR="002E474C" w:rsidRDefault="00000000">
      <w:pPr>
        <w:pStyle w:val="A-z"/>
        <w:rPr>
          <w:color w:val="auto"/>
        </w:rPr>
      </w:pPr>
      <w:r>
        <w:rPr>
          <w:color w:val="auto"/>
        </w:rPr>
        <w:t>本项目无组织废气污染源排放情况汇总，见表</w:t>
      </w:r>
      <w:r>
        <w:rPr>
          <w:color w:val="auto"/>
        </w:rPr>
        <w:t>3.5-16</w:t>
      </w:r>
      <w:r>
        <w:rPr>
          <w:color w:val="auto"/>
        </w:rPr>
        <w:t>。</w:t>
      </w:r>
    </w:p>
    <w:p w14:paraId="5B5AFEC5" w14:textId="77777777" w:rsidR="002E474C" w:rsidRDefault="00000000">
      <w:pPr>
        <w:pStyle w:val="A--"/>
        <w:spacing w:beforeLines="0" w:before="0"/>
        <w:rPr>
          <w:color w:val="auto"/>
        </w:rPr>
      </w:pPr>
      <w:r>
        <w:rPr>
          <w:color w:val="auto"/>
        </w:rPr>
        <w:t>表</w:t>
      </w:r>
      <w:r>
        <w:rPr>
          <w:color w:val="auto"/>
        </w:rPr>
        <w:t xml:space="preserve">3.5-16  </w:t>
      </w:r>
      <w:r>
        <w:rPr>
          <w:color w:val="auto"/>
        </w:rPr>
        <w:t>本项目无组织废气排放一览表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2"/>
        <w:gridCol w:w="661"/>
        <w:gridCol w:w="1525"/>
        <w:gridCol w:w="1454"/>
        <w:gridCol w:w="1664"/>
        <w:gridCol w:w="1290"/>
        <w:gridCol w:w="870"/>
      </w:tblGrid>
      <w:tr w:rsidR="002E474C" w14:paraId="665AD967" w14:textId="77777777">
        <w:tc>
          <w:tcPr>
            <w:tcW w:w="501" w:type="pct"/>
            <w:shd w:val="clear" w:color="auto" w:fill="auto"/>
            <w:tcMar>
              <w:top w:w="15" w:type="dxa"/>
              <w:left w:w="15" w:type="dxa"/>
              <w:bottom w:w="0" w:type="dxa"/>
              <w:right w:w="15" w:type="dxa"/>
            </w:tcMar>
            <w:vAlign w:val="center"/>
          </w:tcPr>
          <w:p w14:paraId="4CECB67D" w14:textId="77777777" w:rsidR="002E474C" w:rsidRDefault="00000000">
            <w:pPr>
              <w:pStyle w:val="A-"/>
            </w:pPr>
            <w:r>
              <w:t>污染源</w:t>
            </w:r>
          </w:p>
        </w:tc>
        <w:tc>
          <w:tcPr>
            <w:tcW w:w="398" w:type="pct"/>
            <w:shd w:val="clear" w:color="auto" w:fill="auto"/>
            <w:noWrap/>
            <w:tcMar>
              <w:top w:w="15" w:type="dxa"/>
              <w:left w:w="15" w:type="dxa"/>
              <w:bottom w:w="0" w:type="dxa"/>
              <w:right w:w="15" w:type="dxa"/>
            </w:tcMar>
            <w:vAlign w:val="center"/>
          </w:tcPr>
          <w:p w14:paraId="3021BAF8" w14:textId="77777777" w:rsidR="002E474C" w:rsidRDefault="00000000">
            <w:pPr>
              <w:pStyle w:val="A-"/>
            </w:pPr>
            <w:r>
              <w:t>污染物</w:t>
            </w:r>
          </w:p>
        </w:tc>
        <w:tc>
          <w:tcPr>
            <w:tcW w:w="919" w:type="pct"/>
            <w:shd w:val="clear" w:color="auto" w:fill="auto"/>
            <w:noWrap/>
            <w:tcMar>
              <w:top w:w="15" w:type="dxa"/>
              <w:left w:w="15" w:type="dxa"/>
              <w:bottom w:w="0" w:type="dxa"/>
              <w:right w:w="15" w:type="dxa"/>
            </w:tcMar>
            <w:vAlign w:val="center"/>
          </w:tcPr>
          <w:p w14:paraId="190E829B" w14:textId="77777777" w:rsidR="002E474C" w:rsidRDefault="00000000">
            <w:pPr>
              <w:pStyle w:val="A-"/>
            </w:pPr>
            <w:r>
              <w:t>面源面积（</w:t>
            </w:r>
            <w:r>
              <w:t>m</w:t>
            </w:r>
            <w:r>
              <w:rPr>
                <w:vertAlign w:val="superscript"/>
              </w:rPr>
              <w:t>2</w:t>
            </w:r>
            <w:r>
              <w:t>）</w:t>
            </w:r>
          </w:p>
        </w:tc>
        <w:tc>
          <w:tcPr>
            <w:tcW w:w="876" w:type="pct"/>
            <w:shd w:val="clear" w:color="auto" w:fill="auto"/>
            <w:noWrap/>
            <w:tcMar>
              <w:top w:w="15" w:type="dxa"/>
              <w:left w:w="15" w:type="dxa"/>
              <w:bottom w:w="0" w:type="dxa"/>
              <w:right w:w="15" w:type="dxa"/>
            </w:tcMar>
            <w:vAlign w:val="center"/>
          </w:tcPr>
          <w:p w14:paraId="5CB524DC" w14:textId="77777777" w:rsidR="002E474C" w:rsidRDefault="00000000">
            <w:pPr>
              <w:pStyle w:val="A-"/>
            </w:pPr>
            <w:r>
              <w:t>排放高度（</w:t>
            </w:r>
            <w:r>
              <w:t>m</w:t>
            </w:r>
            <w:r>
              <w:t>）</w:t>
            </w:r>
          </w:p>
        </w:tc>
        <w:tc>
          <w:tcPr>
            <w:tcW w:w="1003" w:type="pct"/>
            <w:shd w:val="clear" w:color="auto" w:fill="auto"/>
            <w:noWrap/>
            <w:tcMar>
              <w:top w:w="15" w:type="dxa"/>
              <w:left w:w="15" w:type="dxa"/>
              <w:bottom w:w="0" w:type="dxa"/>
              <w:right w:w="15" w:type="dxa"/>
            </w:tcMar>
            <w:vAlign w:val="center"/>
          </w:tcPr>
          <w:p w14:paraId="2C5400BD" w14:textId="77777777" w:rsidR="002E474C" w:rsidRDefault="00000000">
            <w:pPr>
              <w:pStyle w:val="A-"/>
            </w:pPr>
            <w:r>
              <w:t>排放速率（</w:t>
            </w:r>
            <w:r>
              <w:t>kg/h</w:t>
            </w:r>
            <w:r>
              <w:t>）</w:t>
            </w:r>
          </w:p>
        </w:tc>
        <w:tc>
          <w:tcPr>
            <w:tcW w:w="777" w:type="pct"/>
            <w:shd w:val="clear" w:color="auto" w:fill="auto"/>
            <w:noWrap/>
            <w:tcMar>
              <w:top w:w="15" w:type="dxa"/>
              <w:left w:w="15" w:type="dxa"/>
              <w:bottom w:w="0" w:type="dxa"/>
              <w:right w:w="15" w:type="dxa"/>
            </w:tcMar>
            <w:vAlign w:val="center"/>
          </w:tcPr>
          <w:p w14:paraId="2DAD0CF5" w14:textId="77777777" w:rsidR="002E474C" w:rsidRDefault="00000000">
            <w:pPr>
              <w:pStyle w:val="A-"/>
            </w:pPr>
            <w:r>
              <w:t>排放量（</w:t>
            </w:r>
            <w:r>
              <w:t>t/a</w:t>
            </w:r>
            <w:r>
              <w:t>）</w:t>
            </w:r>
          </w:p>
        </w:tc>
        <w:tc>
          <w:tcPr>
            <w:tcW w:w="524" w:type="pct"/>
            <w:shd w:val="clear" w:color="auto" w:fill="auto"/>
            <w:noWrap/>
            <w:tcMar>
              <w:top w:w="15" w:type="dxa"/>
              <w:left w:w="15" w:type="dxa"/>
              <w:bottom w:w="0" w:type="dxa"/>
              <w:right w:w="15" w:type="dxa"/>
            </w:tcMar>
            <w:vAlign w:val="center"/>
          </w:tcPr>
          <w:p w14:paraId="62D6D29E" w14:textId="77777777" w:rsidR="002E474C" w:rsidRDefault="00000000">
            <w:pPr>
              <w:pStyle w:val="A-"/>
            </w:pPr>
            <w:r>
              <w:t>排放时间</w:t>
            </w:r>
          </w:p>
        </w:tc>
      </w:tr>
      <w:tr w:rsidR="002E474C" w14:paraId="213578F7" w14:textId="77777777">
        <w:tc>
          <w:tcPr>
            <w:tcW w:w="501" w:type="pct"/>
            <w:vMerge w:val="restart"/>
            <w:shd w:val="clear" w:color="auto" w:fill="auto"/>
            <w:tcMar>
              <w:top w:w="15" w:type="dxa"/>
              <w:left w:w="15" w:type="dxa"/>
              <w:bottom w:w="0" w:type="dxa"/>
              <w:right w:w="15" w:type="dxa"/>
            </w:tcMar>
            <w:vAlign w:val="center"/>
          </w:tcPr>
          <w:p w14:paraId="465334BC" w14:textId="77777777" w:rsidR="002E474C" w:rsidRDefault="00000000">
            <w:pPr>
              <w:pStyle w:val="A-"/>
            </w:pPr>
            <w:r>
              <w:t>危废</w:t>
            </w:r>
          </w:p>
          <w:p w14:paraId="011AF4DB" w14:textId="77777777" w:rsidR="002E474C" w:rsidRDefault="00000000">
            <w:pPr>
              <w:pStyle w:val="A-"/>
            </w:pPr>
            <w:r>
              <w:t>贮存库</w:t>
            </w:r>
          </w:p>
        </w:tc>
        <w:tc>
          <w:tcPr>
            <w:tcW w:w="398" w:type="pct"/>
            <w:shd w:val="clear" w:color="auto" w:fill="auto"/>
            <w:noWrap/>
            <w:tcMar>
              <w:top w:w="15" w:type="dxa"/>
              <w:left w:w="15" w:type="dxa"/>
              <w:bottom w:w="0" w:type="dxa"/>
              <w:right w:w="15" w:type="dxa"/>
            </w:tcMar>
            <w:vAlign w:val="center"/>
          </w:tcPr>
          <w:p w14:paraId="02301FE6" w14:textId="77777777" w:rsidR="002E474C" w:rsidRDefault="00000000">
            <w:pPr>
              <w:pStyle w:val="A-"/>
            </w:pPr>
            <w:r>
              <w:t>H</w:t>
            </w:r>
            <w:r>
              <w:rPr>
                <w:vertAlign w:val="subscript"/>
              </w:rPr>
              <w:t>2</w:t>
            </w:r>
            <w:r>
              <w:t>S</w:t>
            </w:r>
          </w:p>
        </w:tc>
        <w:tc>
          <w:tcPr>
            <w:tcW w:w="919" w:type="pct"/>
            <w:vMerge w:val="restart"/>
            <w:shd w:val="clear" w:color="auto" w:fill="auto"/>
            <w:noWrap/>
            <w:tcMar>
              <w:top w:w="15" w:type="dxa"/>
              <w:left w:w="15" w:type="dxa"/>
              <w:bottom w:w="0" w:type="dxa"/>
              <w:right w:w="15" w:type="dxa"/>
            </w:tcMar>
            <w:vAlign w:val="center"/>
          </w:tcPr>
          <w:p w14:paraId="0B445FB9" w14:textId="77777777" w:rsidR="002E474C" w:rsidRDefault="00000000">
            <w:pPr>
              <w:pStyle w:val="A-"/>
            </w:pPr>
            <w:r>
              <w:t>210</w:t>
            </w:r>
          </w:p>
        </w:tc>
        <w:tc>
          <w:tcPr>
            <w:tcW w:w="876" w:type="pct"/>
            <w:vMerge w:val="restart"/>
            <w:shd w:val="clear" w:color="auto" w:fill="auto"/>
            <w:noWrap/>
            <w:tcMar>
              <w:top w:w="15" w:type="dxa"/>
              <w:left w:w="15" w:type="dxa"/>
              <w:bottom w:w="0" w:type="dxa"/>
              <w:right w:w="15" w:type="dxa"/>
            </w:tcMar>
            <w:vAlign w:val="center"/>
          </w:tcPr>
          <w:p w14:paraId="5918FEC7" w14:textId="77777777" w:rsidR="002E474C" w:rsidRDefault="00000000">
            <w:pPr>
              <w:pStyle w:val="A-"/>
            </w:pPr>
            <w:r>
              <w:t>5.7</w:t>
            </w:r>
          </w:p>
        </w:tc>
        <w:tc>
          <w:tcPr>
            <w:tcW w:w="1003" w:type="pct"/>
            <w:shd w:val="clear" w:color="auto" w:fill="auto"/>
            <w:noWrap/>
            <w:tcMar>
              <w:top w:w="15" w:type="dxa"/>
              <w:left w:w="15" w:type="dxa"/>
              <w:bottom w:w="0" w:type="dxa"/>
              <w:right w:w="15" w:type="dxa"/>
            </w:tcMar>
            <w:vAlign w:val="center"/>
          </w:tcPr>
          <w:p w14:paraId="2EF2FD32" w14:textId="77777777" w:rsidR="002E474C" w:rsidRDefault="00000000">
            <w:pPr>
              <w:pStyle w:val="A-"/>
            </w:pPr>
            <w:r>
              <w:rPr>
                <w:rFonts w:hint="eastAsia"/>
              </w:rPr>
              <w:t xml:space="preserve">0.00087 </w:t>
            </w:r>
          </w:p>
        </w:tc>
        <w:tc>
          <w:tcPr>
            <w:tcW w:w="777" w:type="pct"/>
            <w:shd w:val="clear" w:color="auto" w:fill="auto"/>
            <w:noWrap/>
            <w:tcMar>
              <w:top w:w="15" w:type="dxa"/>
              <w:left w:w="15" w:type="dxa"/>
              <w:bottom w:w="0" w:type="dxa"/>
              <w:right w:w="15" w:type="dxa"/>
            </w:tcMar>
            <w:vAlign w:val="center"/>
          </w:tcPr>
          <w:p w14:paraId="3AE82CEC" w14:textId="77777777" w:rsidR="002E474C" w:rsidRDefault="00000000">
            <w:pPr>
              <w:pStyle w:val="A-"/>
            </w:pPr>
            <w:r>
              <w:rPr>
                <w:rFonts w:hint="eastAsia"/>
              </w:rPr>
              <w:t xml:space="preserve">0.0063 </w:t>
            </w:r>
          </w:p>
        </w:tc>
        <w:tc>
          <w:tcPr>
            <w:tcW w:w="524" w:type="pct"/>
            <w:shd w:val="clear" w:color="auto" w:fill="auto"/>
            <w:noWrap/>
            <w:tcMar>
              <w:top w:w="15" w:type="dxa"/>
              <w:left w:w="15" w:type="dxa"/>
              <w:bottom w:w="0" w:type="dxa"/>
              <w:right w:w="15" w:type="dxa"/>
            </w:tcMar>
            <w:vAlign w:val="center"/>
          </w:tcPr>
          <w:p w14:paraId="781037B1" w14:textId="77777777" w:rsidR="002E474C" w:rsidRDefault="00000000">
            <w:pPr>
              <w:pStyle w:val="A-"/>
            </w:pPr>
            <w:r>
              <w:t>7200</w:t>
            </w:r>
          </w:p>
        </w:tc>
      </w:tr>
      <w:tr w:rsidR="002E474C" w14:paraId="13241DC4" w14:textId="77777777">
        <w:tc>
          <w:tcPr>
            <w:tcW w:w="501" w:type="pct"/>
            <w:vMerge/>
            <w:vAlign w:val="center"/>
          </w:tcPr>
          <w:p w14:paraId="1B6E525B" w14:textId="77777777" w:rsidR="002E474C" w:rsidRDefault="002E474C">
            <w:pPr>
              <w:pStyle w:val="A-"/>
            </w:pPr>
          </w:p>
        </w:tc>
        <w:tc>
          <w:tcPr>
            <w:tcW w:w="398" w:type="pct"/>
            <w:shd w:val="clear" w:color="auto" w:fill="auto"/>
            <w:noWrap/>
            <w:tcMar>
              <w:top w:w="15" w:type="dxa"/>
              <w:left w:w="15" w:type="dxa"/>
              <w:bottom w:w="0" w:type="dxa"/>
              <w:right w:w="15" w:type="dxa"/>
            </w:tcMar>
            <w:vAlign w:val="center"/>
          </w:tcPr>
          <w:p w14:paraId="725A307E" w14:textId="77777777" w:rsidR="002E474C" w:rsidRDefault="00000000">
            <w:pPr>
              <w:pStyle w:val="A-"/>
            </w:pPr>
            <w:r>
              <w:t>NH</w:t>
            </w:r>
            <w:r>
              <w:rPr>
                <w:vertAlign w:val="subscript"/>
              </w:rPr>
              <w:t>3</w:t>
            </w:r>
          </w:p>
        </w:tc>
        <w:tc>
          <w:tcPr>
            <w:tcW w:w="919" w:type="pct"/>
            <w:vMerge/>
            <w:shd w:val="clear" w:color="auto" w:fill="auto"/>
            <w:noWrap/>
            <w:tcMar>
              <w:top w:w="15" w:type="dxa"/>
              <w:left w:w="15" w:type="dxa"/>
              <w:bottom w:w="0" w:type="dxa"/>
              <w:right w:w="15" w:type="dxa"/>
            </w:tcMar>
            <w:vAlign w:val="center"/>
          </w:tcPr>
          <w:p w14:paraId="09033DE6" w14:textId="77777777" w:rsidR="002E474C" w:rsidRDefault="002E474C">
            <w:pPr>
              <w:pStyle w:val="A-"/>
            </w:pPr>
          </w:p>
        </w:tc>
        <w:tc>
          <w:tcPr>
            <w:tcW w:w="876" w:type="pct"/>
            <w:vMerge/>
            <w:shd w:val="clear" w:color="auto" w:fill="auto"/>
            <w:noWrap/>
            <w:tcMar>
              <w:top w:w="15" w:type="dxa"/>
              <w:left w:w="15" w:type="dxa"/>
              <w:bottom w:w="0" w:type="dxa"/>
              <w:right w:w="15" w:type="dxa"/>
            </w:tcMar>
            <w:vAlign w:val="center"/>
          </w:tcPr>
          <w:p w14:paraId="5C6A583A" w14:textId="77777777" w:rsidR="002E474C" w:rsidRDefault="002E474C">
            <w:pPr>
              <w:pStyle w:val="A-"/>
            </w:pPr>
          </w:p>
        </w:tc>
        <w:tc>
          <w:tcPr>
            <w:tcW w:w="1003" w:type="pct"/>
            <w:shd w:val="clear" w:color="auto" w:fill="auto"/>
            <w:noWrap/>
            <w:tcMar>
              <w:top w:w="15" w:type="dxa"/>
              <w:left w:w="15" w:type="dxa"/>
              <w:bottom w:w="0" w:type="dxa"/>
              <w:right w:w="15" w:type="dxa"/>
            </w:tcMar>
            <w:vAlign w:val="center"/>
          </w:tcPr>
          <w:p w14:paraId="76C78155" w14:textId="77777777" w:rsidR="002E474C" w:rsidRDefault="00000000">
            <w:pPr>
              <w:pStyle w:val="A-"/>
            </w:pPr>
            <w:r>
              <w:rPr>
                <w:rFonts w:hint="eastAsia"/>
              </w:rPr>
              <w:t xml:space="preserve">0.0106 </w:t>
            </w:r>
          </w:p>
        </w:tc>
        <w:tc>
          <w:tcPr>
            <w:tcW w:w="777" w:type="pct"/>
            <w:shd w:val="clear" w:color="auto" w:fill="auto"/>
            <w:noWrap/>
            <w:tcMar>
              <w:top w:w="15" w:type="dxa"/>
              <w:left w:w="15" w:type="dxa"/>
              <w:bottom w:w="0" w:type="dxa"/>
              <w:right w:w="15" w:type="dxa"/>
            </w:tcMar>
            <w:vAlign w:val="center"/>
          </w:tcPr>
          <w:p w14:paraId="5EB99908" w14:textId="77777777" w:rsidR="002E474C" w:rsidRDefault="00000000">
            <w:pPr>
              <w:pStyle w:val="A-"/>
            </w:pPr>
            <w:r>
              <w:rPr>
                <w:rFonts w:hint="eastAsia"/>
              </w:rPr>
              <w:t xml:space="preserve">0.0767 </w:t>
            </w:r>
          </w:p>
        </w:tc>
        <w:tc>
          <w:tcPr>
            <w:tcW w:w="524" w:type="pct"/>
            <w:shd w:val="clear" w:color="auto" w:fill="auto"/>
            <w:noWrap/>
            <w:tcMar>
              <w:top w:w="15" w:type="dxa"/>
              <w:left w:w="15" w:type="dxa"/>
              <w:bottom w:w="0" w:type="dxa"/>
              <w:right w:w="15" w:type="dxa"/>
            </w:tcMar>
            <w:vAlign w:val="center"/>
          </w:tcPr>
          <w:p w14:paraId="1130AB30" w14:textId="77777777" w:rsidR="002E474C" w:rsidRDefault="00000000">
            <w:pPr>
              <w:pStyle w:val="A-"/>
            </w:pPr>
            <w:r>
              <w:t>7200</w:t>
            </w:r>
          </w:p>
        </w:tc>
      </w:tr>
      <w:tr w:rsidR="002E474C" w14:paraId="79EF810E" w14:textId="77777777">
        <w:tc>
          <w:tcPr>
            <w:tcW w:w="501" w:type="pct"/>
            <w:vMerge/>
            <w:vAlign w:val="center"/>
          </w:tcPr>
          <w:p w14:paraId="6B96AD0F" w14:textId="77777777" w:rsidR="002E474C" w:rsidRDefault="002E474C">
            <w:pPr>
              <w:pStyle w:val="A-"/>
            </w:pPr>
          </w:p>
        </w:tc>
        <w:tc>
          <w:tcPr>
            <w:tcW w:w="398" w:type="pct"/>
            <w:shd w:val="clear" w:color="auto" w:fill="auto"/>
            <w:noWrap/>
            <w:tcMar>
              <w:top w:w="15" w:type="dxa"/>
              <w:left w:w="15" w:type="dxa"/>
              <w:bottom w:w="0" w:type="dxa"/>
              <w:right w:w="15" w:type="dxa"/>
            </w:tcMar>
            <w:vAlign w:val="center"/>
          </w:tcPr>
          <w:p w14:paraId="0E7A15E2" w14:textId="77777777" w:rsidR="002E474C" w:rsidRDefault="00000000">
            <w:pPr>
              <w:pStyle w:val="A-"/>
            </w:pPr>
            <w:r>
              <w:t>NMHC</w:t>
            </w:r>
          </w:p>
        </w:tc>
        <w:tc>
          <w:tcPr>
            <w:tcW w:w="919" w:type="pct"/>
            <w:vMerge/>
            <w:shd w:val="clear" w:color="auto" w:fill="auto"/>
            <w:noWrap/>
            <w:tcMar>
              <w:top w:w="15" w:type="dxa"/>
              <w:left w:w="15" w:type="dxa"/>
              <w:bottom w:w="0" w:type="dxa"/>
              <w:right w:w="15" w:type="dxa"/>
            </w:tcMar>
            <w:vAlign w:val="center"/>
          </w:tcPr>
          <w:p w14:paraId="7CA63545" w14:textId="77777777" w:rsidR="002E474C" w:rsidRDefault="002E474C">
            <w:pPr>
              <w:pStyle w:val="A-"/>
            </w:pPr>
          </w:p>
        </w:tc>
        <w:tc>
          <w:tcPr>
            <w:tcW w:w="876" w:type="pct"/>
            <w:vMerge/>
            <w:shd w:val="clear" w:color="auto" w:fill="auto"/>
            <w:noWrap/>
            <w:tcMar>
              <w:top w:w="15" w:type="dxa"/>
              <w:left w:w="15" w:type="dxa"/>
              <w:bottom w:w="0" w:type="dxa"/>
              <w:right w:w="15" w:type="dxa"/>
            </w:tcMar>
            <w:vAlign w:val="center"/>
          </w:tcPr>
          <w:p w14:paraId="0F56A4C9" w14:textId="77777777" w:rsidR="002E474C" w:rsidRDefault="002E474C">
            <w:pPr>
              <w:pStyle w:val="A-"/>
            </w:pPr>
          </w:p>
        </w:tc>
        <w:tc>
          <w:tcPr>
            <w:tcW w:w="1003" w:type="pct"/>
            <w:shd w:val="clear" w:color="auto" w:fill="auto"/>
            <w:noWrap/>
            <w:tcMar>
              <w:top w:w="15" w:type="dxa"/>
              <w:left w:w="15" w:type="dxa"/>
              <w:bottom w:w="0" w:type="dxa"/>
              <w:right w:w="15" w:type="dxa"/>
            </w:tcMar>
            <w:vAlign w:val="center"/>
          </w:tcPr>
          <w:p w14:paraId="09FC6B4B" w14:textId="77777777" w:rsidR="002E474C" w:rsidRDefault="00000000">
            <w:pPr>
              <w:pStyle w:val="A-"/>
            </w:pPr>
            <w:r>
              <w:rPr>
                <w:rFonts w:hint="eastAsia"/>
              </w:rPr>
              <w:t xml:space="preserve">0.0116 </w:t>
            </w:r>
          </w:p>
        </w:tc>
        <w:tc>
          <w:tcPr>
            <w:tcW w:w="777" w:type="pct"/>
            <w:shd w:val="clear" w:color="auto" w:fill="auto"/>
            <w:noWrap/>
            <w:tcMar>
              <w:top w:w="15" w:type="dxa"/>
              <w:left w:w="15" w:type="dxa"/>
              <w:bottom w:w="0" w:type="dxa"/>
              <w:right w:w="15" w:type="dxa"/>
            </w:tcMar>
            <w:vAlign w:val="center"/>
          </w:tcPr>
          <w:p w14:paraId="33ACDF88" w14:textId="77777777" w:rsidR="002E474C" w:rsidRDefault="00000000">
            <w:pPr>
              <w:pStyle w:val="A-"/>
            </w:pPr>
            <w:r>
              <w:rPr>
                <w:rFonts w:hint="eastAsia"/>
              </w:rPr>
              <w:t xml:space="preserve">0.0833 </w:t>
            </w:r>
          </w:p>
        </w:tc>
        <w:tc>
          <w:tcPr>
            <w:tcW w:w="524" w:type="pct"/>
            <w:shd w:val="clear" w:color="auto" w:fill="auto"/>
            <w:noWrap/>
            <w:tcMar>
              <w:top w:w="15" w:type="dxa"/>
              <w:left w:w="15" w:type="dxa"/>
              <w:bottom w:w="0" w:type="dxa"/>
              <w:right w:w="15" w:type="dxa"/>
            </w:tcMar>
            <w:vAlign w:val="center"/>
          </w:tcPr>
          <w:p w14:paraId="0A084298" w14:textId="77777777" w:rsidR="002E474C" w:rsidRDefault="00000000">
            <w:pPr>
              <w:pStyle w:val="A-"/>
            </w:pPr>
            <w:r>
              <w:t>7200</w:t>
            </w:r>
          </w:p>
        </w:tc>
      </w:tr>
      <w:tr w:rsidR="002E474C" w14:paraId="49439FA5" w14:textId="77777777">
        <w:tc>
          <w:tcPr>
            <w:tcW w:w="501" w:type="pct"/>
            <w:vMerge w:val="restart"/>
            <w:vAlign w:val="center"/>
          </w:tcPr>
          <w:p w14:paraId="7436ECFF" w14:textId="77777777" w:rsidR="002E474C" w:rsidRDefault="00000000">
            <w:pPr>
              <w:pStyle w:val="A-"/>
            </w:pPr>
            <w:r>
              <w:t>固态危废预处理车间</w:t>
            </w:r>
          </w:p>
        </w:tc>
        <w:tc>
          <w:tcPr>
            <w:tcW w:w="398" w:type="pct"/>
            <w:shd w:val="clear" w:color="auto" w:fill="auto"/>
            <w:noWrap/>
            <w:tcMar>
              <w:top w:w="15" w:type="dxa"/>
              <w:left w:w="15" w:type="dxa"/>
              <w:bottom w:w="0" w:type="dxa"/>
              <w:right w:w="15" w:type="dxa"/>
            </w:tcMar>
            <w:vAlign w:val="center"/>
          </w:tcPr>
          <w:p w14:paraId="7A2ED6AA" w14:textId="77777777" w:rsidR="002E474C" w:rsidRDefault="00000000">
            <w:pPr>
              <w:pStyle w:val="A-"/>
            </w:pPr>
            <w:r>
              <w:t>H</w:t>
            </w:r>
            <w:r>
              <w:rPr>
                <w:vertAlign w:val="subscript"/>
              </w:rPr>
              <w:t>2</w:t>
            </w:r>
            <w:r>
              <w:t>S</w:t>
            </w:r>
          </w:p>
        </w:tc>
        <w:tc>
          <w:tcPr>
            <w:tcW w:w="919" w:type="pct"/>
            <w:vMerge w:val="restart"/>
            <w:shd w:val="clear" w:color="auto" w:fill="auto"/>
            <w:noWrap/>
            <w:tcMar>
              <w:top w:w="15" w:type="dxa"/>
              <w:left w:w="15" w:type="dxa"/>
              <w:bottom w:w="0" w:type="dxa"/>
              <w:right w:w="15" w:type="dxa"/>
            </w:tcMar>
            <w:vAlign w:val="center"/>
          </w:tcPr>
          <w:p w14:paraId="71EE247A" w14:textId="77777777" w:rsidR="002E474C" w:rsidRDefault="00000000">
            <w:pPr>
              <w:pStyle w:val="A-"/>
            </w:pPr>
            <w:r>
              <w:t>940</w:t>
            </w:r>
          </w:p>
        </w:tc>
        <w:tc>
          <w:tcPr>
            <w:tcW w:w="876" w:type="pct"/>
            <w:vMerge w:val="restart"/>
            <w:shd w:val="clear" w:color="auto" w:fill="auto"/>
            <w:noWrap/>
            <w:tcMar>
              <w:top w:w="15" w:type="dxa"/>
              <w:left w:w="15" w:type="dxa"/>
              <w:bottom w:w="0" w:type="dxa"/>
              <w:right w:w="15" w:type="dxa"/>
            </w:tcMar>
            <w:vAlign w:val="center"/>
          </w:tcPr>
          <w:p w14:paraId="57FA4BBD" w14:textId="77777777" w:rsidR="002E474C" w:rsidRDefault="00000000">
            <w:pPr>
              <w:pStyle w:val="A-"/>
            </w:pPr>
            <w:r>
              <w:t>7.5</w:t>
            </w:r>
          </w:p>
        </w:tc>
        <w:tc>
          <w:tcPr>
            <w:tcW w:w="1003" w:type="pct"/>
            <w:shd w:val="clear" w:color="auto" w:fill="auto"/>
            <w:noWrap/>
            <w:tcMar>
              <w:top w:w="15" w:type="dxa"/>
              <w:left w:w="15" w:type="dxa"/>
              <w:bottom w:w="0" w:type="dxa"/>
              <w:right w:w="15" w:type="dxa"/>
            </w:tcMar>
            <w:vAlign w:val="center"/>
          </w:tcPr>
          <w:p w14:paraId="38386F65" w14:textId="77777777" w:rsidR="002E474C" w:rsidRDefault="00000000">
            <w:pPr>
              <w:pStyle w:val="A-"/>
            </w:pPr>
            <w:r>
              <w:rPr>
                <w:rFonts w:hint="eastAsia"/>
              </w:rPr>
              <w:t xml:space="preserve">0.0043 </w:t>
            </w:r>
          </w:p>
        </w:tc>
        <w:tc>
          <w:tcPr>
            <w:tcW w:w="777" w:type="pct"/>
            <w:shd w:val="clear" w:color="auto" w:fill="auto"/>
            <w:noWrap/>
            <w:tcMar>
              <w:top w:w="15" w:type="dxa"/>
              <w:left w:w="15" w:type="dxa"/>
              <w:bottom w:w="0" w:type="dxa"/>
              <w:right w:w="15" w:type="dxa"/>
            </w:tcMar>
            <w:vAlign w:val="center"/>
          </w:tcPr>
          <w:p w14:paraId="68165872" w14:textId="77777777" w:rsidR="002E474C" w:rsidRDefault="00000000">
            <w:pPr>
              <w:pStyle w:val="A-"/>
            </w:pPr>
            <w:r>
              <w:rPr>
                <w:rFonts w:hint="eastAsia"/>
              </w:rPr>
              <w:t xml:space="preserve">0.0313 </w:t>
            </w:r>
          </w:p>
        </w:tc>
        <w:tc>
          <w:tcPr>
            <w:tcW w:w="524" w:type="pct"/>
            <w:shd w:val="clear" w:color="auto" w:fill="auto"/>
            <w:noWrap/>
            <w:tcMar>
              <w:top w:w="15" w:type="dxa"/>
              <w:left w:w="15" w:type="dxa"/>
              <w:bottom w:w="0" w:type="dxa"/>
              <w:right w:w="15" w:type="dxa"/>
            </w:tcMar>
            <w:vAlign w:val="center"/>
          </w:tcPr>
          <w:p w14:paraId="3C4BF6B0" w14:textId="77777777" w:rsidR="002E474C" w:rsidRDefault="00000000">
            <w:pPr>
              <w:pStyle w:val="A-"/>
            </w:pPr>
            <w:r>
              <w:t>7200</w:t>
            </w:r>
          </w:p>
        </w:tc>
      </w:tr>
      <w:tr w:rsidR="002E474C" w14:paraId="64E66159" w14:textId="77777777">
        <w:tc>
          <w:tcPr>
            <w:tcW w:w="501" w:type="pct"/>
            <w:vMerge/>
            <w:vAlign w:val="center"/>
          </w:tcPr>
          <w:p w14:paraId="42505163" w14:textId="77777777" w:rsidR="002E474C" w:rsidRDefault="002E474C">
            <w:pPr>
              <w:pStyle w:val="A-"/>
            </w:pPr>
          </w:p>
        </w:tc>
        <w:tc>
          <w:tcPr>
            <w:tcW w:w="398" w:type="pct"/>
            <w:shd w:val="clear" w:color="auto" w:fill="auto"/>
            <w:noWrap/>
            <w:tcMar>
              <w:top w:w="15" w:type="dxa"/>
              <w:left w:w="15" w:type="dxa"/>
              <w:bottom w:w="0" w:type="dxa"/>
              <w:right w:w="15" w:type="dxa"/>
            </w:tcMar>
            <w:vAlign w:val="center"/>
          </w:tcPr>
          <w:p w14:paraId="1E4F11A4" w14:textId="77777777" w:rsidR="002E474C" w:rsidRDefault="00000000">
            <w:pPr>
              <w:pStyle w:val="A-"/>
            </w:pPr>
            <w:r>
              <w:t>NH</w:t>
            </w:r>
            <w:r>
              <w:rPr>
                <w:vertAlign w:val="subscript"/>
              </w:rPr>
              <w:t>3</w:t>
            </w:r>
          </w:p>
        </w:tc>
        <w:tc>
          <w:tcPr>
            <w:tcW w:w="919" w:type="pct"/>
            <w:vMerge/>
            <w:shd w:val="clear" w:color="auto" w:fill="auto"/>
            <w:noWrap/>
            <w:tcMar>
              <w:top w:w="15" w:type="dxa"/>
              <w:left w:w="15" w:type="dxa"/>
              <w:bottom w:w="0" w:type="dxa"/>
              <w:right w:w="15" w:type="dxa"/>
            </w:tcMar>
            <w:vAlign w:val="center"/>
          </w:tcPr>
          <w:p w14:paraId="5A648FC7" w14:textId="77777777" w:rsidR="002E474C" w:rsidRDefault="002E474C">
            <w:pPr>
              <w:pStyle w:val="A-"/>
            </w:pPr>
          </w:p>
        </w:tc>
        <w:tc>
          <w:tcPr>
            <w:tcW w:w="876" w:type="pct"/>
            <w:vMerge/>
            <w:shd w:val="clear" w:color="auto" w:fill="auto"/>
            <w:noWrap/>
            <w:tcMar>
              <w:top w:w="15" w:type="dxa"/>
              <w:left w:w="15" w:type="dxa"/>
              <w:bottom w:w="0" w:type="dxa"/>
              <w:right w:w="15" w:type="dxa"/>
            </w:tcMar>
            <w:vAlign w:val="center"/>
          </w:tcPr>
          <w:p w14:paraId="5EEC9EE8" w14:textId="77777777" w:rsidR="002E474C" w:rsidRDefault="002E474C">
            <w:pPr>
              <w:pStyle w:val="A-"/>
            </w:pPr>
          </w:p>
        </w:tc>
        <w:tc>
          <w:tcPr>
            <w:tcW w:w="1003" w:type="pct"/>
            <w:shd w:val="clear" w:color="auto" w:fill="auto"/>
            <w:noWrap/>
            <w:tcMar>
              <w:top w:w="15" w:type="dxa"/>
              <w:left w:w="15" w:type="dxa"/>
              <w:bottom w:w="0" w:type="dxa"/>
              <w:right w:w="15" w:type="dxa"/>
            </w:tcMar>
            <w:vAlign w:val="center"/>
          </w:tcPr>
          <w:p w14:paraId="36990D6A" w14:textId="77777777" w:rsidR="002E474C" w:rsidRDefault="00000000">
            <w:pPr>
              <w:pStyle w:val="A-"/>
            </w:pPr>
            <w:r>
              <w:rPr>
                <w:rFonts w:hint="eastAsia"/>
              </w:rPr>
              <w:t xml:space="preserve">0.0532 </w:t>
            </w:r>
          </w:p>
        </w:tc>
        <w:tc>
          <w:tcPr>
            <w:tcW w:w="777" w:type="pct"/>
            <w:shd w:val="clear" w:color="auto" w:fill="auto"/>
            <w:noWrap/>
            <w:tcMar>
              <w:top w:w="15" w:type="dxa"/>
              <w:left w:w="15" w:type="dxa"/>
              <w:bottom w:w="0" w:type="dxa"/>
              <w:right w:w="15" w:type="dxa"/>
            </w:tcMar>
            <w:vAlign w:val="center"/>
          </w:tcPr>
          <w:p w14:paraId="28A45AE6" w14:textId="77777777" w:rsidR="002E474C" w:rsidRDefault="00000000">
            <w:pPr>
              <w:pStyle w:val="A-"/>
            </w:pPr>
            <w:r>
              <w:rPr>
                <w:rFonts w:hint="eastAsia"/>
              </w:rPr>
              <w:t xml:space="preserve">0.3833 </w:t>
            </w:r>
          </w:p>
        </w:tc>
        <w:tc>
          <w:tcPr>
            <w:tcW w:w="524" w:type="pct"/>
            <w:shd w:val="clear" w:color="auto" w:fill="auto"/>
            <w:noWrap/>
            <w:tcMar>
              <w:top w:w="15" w:type="dxa"/>
              <w:left w:w="15" w:type="dxa"/>
              <w:bottom w:w="0" w:type="dxa"/>
              <w:right w:w="15" w:type="dxa"/>
            </w:tcMar>
            <w:vAlign w:val="center"/>
          </w:tcPr>
          <w:p w14:paraId="443FF6A8" w14:textId="77777777" w:rsidR="002E474C" w:rsidRDefault="00000000">
            <w:pPr>
              <w:pStyle w:val="A-"/>
            </w:pPr>
            <w:r>
              <w:t>7200</w:t>
            </w:r>
          </w:p>
        </w:tc>
      </w:tr>
      <w:tr w:rsidR="002E474C" w14:paraId="60981BE0" w14:textId="77777777">
        <w:tc>
          <w:tcPr>
            <w:tcW w:w="501" w:type="pct"/>
            <w:vMerge/>
            <w:vAlign w:val="center"/>
          </w:tcPr>
          <w:p w14:paraId="753176C2" w14:textId="77777777" w:rsidR="002E474C" w:rsidRDefault="002E474C">
            <w:pPr>
              <w:pStyle w:val="A-"/>
            </w:pPr>
          </w:p>
        </w:tc>
        <w:tc>
          <w:tcPr>
            <w:tcW w:w="398" w:type="pct"/>
            <w:shd w:val="clear" w:color="auto" w:fill="auto"/>
            <w:noWrap/>
            <w:tcMar>
              <w:top w:w="15" w:type="dxa"/>
              <w:left w:w="15" w:type="dxa"/>
              <w:bottom w:w="0" w:type="dxa"/>
              <w:right w:w="15" w:type="dxa"/>
            </w:tcMar>
            <w:vAlign w:val="center"/>
          </w:tcPr>
          <w:p w14:paraId="05A5F21B" w14:textId="77777777" w:rsidR="002E474C" w:rsidRDefault="00000000">
            <w:pPr>
              <w:pStyle w:val="A-"/>
            </w:pPr>
            <w:r>
              <w:t>NMHC</w:t>
            </w:r>
          </w:p>
        </w:tc>
        <w:tc>
          <w:tcPr>
            <w:tcW w:w="919" w:type="pct"/>
            <w:vMerge/>
            <w:shd w:val="clear" w:color="auto" w:fill="auto"/>
            <w:noWrap/>
            <w:tcMar>
              <w:top w:w="15" w:type="dxa"/>
              <w:left w:w="15" w:type="dxa"/>
              <w:bottom w:w="0" w:type="dxa"/>
              <w:right w:w="15" w:type="dxa"/>
            </w:tcMar>
            <w:vAlign w:val="center"/>
          </w:tcPr>
          <w:p w14:paraId="4A45B293" w14:textId="77777777" w:rsidR="002E474C" w:rsidRDefault="002E474C">
            <w:pPr>
              <w:pStyle w:val="A-"/>
            </w:pPr>
          </w:p>
        </w:tc>
        <w:tc>
          <w:tcPr>
            <w:tcW w:w="876" w:type="pct"/>
            <w:vMerge/>
            <w:shd w:val="clear" w:color="auto" w:fill="auto"/>
            <w:noWrap/>
            <w:tcMar>
              <w:top w:w="15" w:type="dxa"/>
              <w:left w:w="15" w:type="dxa"/>
              <w:bottom w:w="0" w:type="dxa"/>
              <w:right w:w="15" w:type="dxa"/>
            </w:tcMar>
            <w:vAlign w:val="center"/>
          </w:tcPr>
          <w:p w14:paraId="6EE09727" w14:textId="77777777" w:rsidR="002E474C" w:rsidRDefault="002E474C">
            <w:pPr>
              <w:pStyle w:val="A-"/>
            </w:pPr>
          </w:p>
        </w:tc>
        <w:tc>
          <w:tcPr>
            <w:tcW w:w="1003" w:type="pct"/>
            <w:shd w:val="clear" w:color="auto" w:fill="auto"/>
            <w:noWrap/>
            <w:tcMar>
              <w:top w:w="15" w:type="dxa"/>
              <w:left w:w="15" w:type="dxa"/>
              <w:bottom w:w="0" w:type="dxa"/>
              <w:right w:w="15" w:type="dxa"/>
            </w:tcMar>
            <w:vAlign w:val="center"/>
          </w:tcPr>
          <w:p w14:paraId="3913A6A2" w14:textId="77777777" w:rsidR="002E474C" w:rsidRDefault="00000000">
            <w:pPr>
              <w:pStyle w:val="A-"/>
            </w:pPr>
            <w:r>
              <w:rPr>
                <w:rFonts w:hint="eastAsia"/>
              </w:rPr>
              <w:t xml:space="preserve">0.0579 </w:t>
            </w:r>
          </w:p>
        </w:tc>
        <w:tc>
          <w:tcPr>
            <w:tcW w:w="777" w:type="pct"/>
            <w:shd w:val="clear" w:color="auto" w:fill="auto"/>
            <w:noWrap/>
            <w:tcMar>
              <w:top w:w="15" w:type="dxa"/>
              <w:left w:w="15" w:type="dxa"/>
              <w:bottom w:w="0" w:type="dxa"/>
              <w:right w:w="15" w:type="dxa"/>
            </w:tcMar>
            <w:vAlign w:val="center"/>
          </w:tcPr>
          <w:p w14:paraId="41EC6B3E" w14:textId="77777777" w:rsidR="002E474C" w:rsidRDefault="00000000">
            <w:pPr>
              <w:pStyle w:val="A-"/>
            </w:pPr>
            <w:r>
              <w:rPr>
                <w:rFonts w:hint="eastAsia"/>
              </w:rPr>
              <w:t xml:space="preserve">0.4167 </w:t>
            </w:r>
          </w:p>
        </w:tc>
        <w:tc>
          <w:tcPr>
            <w:tcW w:w="524" w:type="pct"/>
            <w:shd w:val="clear" w:color="auto" w:fill="auto"/>
            <w:noWrap/>
            <w:tcMar>
              <w:top w:w="15" w:type="dxa"/>
              <w:left w:w="15" w:type="dxa"/>
              <w:bottom w:w="0" w:type="dxa"/>
              <w:right w:w="15" w:type="dxa"/>
            </w:tcMar>
            <w:vAlign w:val="center"/>
          </w:tcPr>
          <w:p w14:paraId="25DB13EC" w14:textId="77777777" w:rsidR="002E474C" w:rsidRDefault="00000000">
            <w:pPr>
              <w:pStyle w:val="A-"/>
            </w:pPr>
            <w:r>
              <w:t>7200</w:t>
            </w:r>
          </w:p>
        </w:tc>
      </w:tr>
    </w:tbl>
    <w:p w14:paraId="696811D8" w14:textId="77777777" w:rsidR="002E474C" w:rsidRDefault="002E474C">
      <w:pPr>
        <w:pStyle w:val="A-z"/>
        <w:rPr>
          <w:color w:val="auto"/>
        </w:rPr>
      </w:pPr>
    </w:p>
    <w:p w14:paraId="66954E96" w14:textId="77777777" w:rsidR="002E474C" w:rsidRDefault="00000000">
      <w:pPr>
        <w:pStyle w:val="A-z"/>
        <w:rPr>
          <w:color w:val="auto"/>
        </w:rPr>
      </w:pPr>
      <w:r>
        <w:rPr>
          <w:color w:val="auto"/>
        </w:rPr>
        <w:t>（</w:t>
      </w:r>
      <w:r>
        <w:rPr>
          <w:color w:val="auto"/>
        </w:rPr>
        <w:t>4</w:t>
      </w:r>
      <w:r>
        <w:rPr>
          <w:color w:val="auto"/>
        </w:rPr>
        <w:t>）新增交通运输移动源（</w:t>
      </w:r>
      <w:r>
        <w:rPr>
          <w:color w:val="auto"/>
        </w:rPr>
        <w:t>G4</w:t>
      </w:r>
      <w:r>
        <w:rPr>
          <w:color w:val="auto"/>
        </w:rPr>
        <w:t>）</w:t>
      </w:r>
    </w:p>
    <w:p w14:paraId="08F4CA41" w14:textId="77777777" w:rsidR="002E474C" w:rsidRDefault="00000000">
      <w:pPr>
        <w:pStyle w:val="A-z"/>
        <w:rPr>
          <w:color w:val="auto"/>
        </w:rPr>
      </w:pPr>
      <w:r>
        <w:rPr>
          <w:color w:val="auto"/>
        </w:rPr>
        <w:t>本项目新增危险废物运输量</w:t>
      </w:r>
      <w:r>
        <w:rPr>
          <w:color w:val="auto"/>
        </w:rPr>
        <w:t>5</w:t>
      </w:r>
      <w:r>
        <w:rPr>
          <w:color w:val="auto"/>
        </w:rPr>
        <w:t>万</w:t>
      </w:r>
      <w:r>
        <w:rPr>
          <w:color w:val="auto"/>
        </w:rPr>
        <w:t>t/a</w:t>
      </w:r>
      <w:r>
        <w:rPr>
          <w:color w:val="auto"/>
        </w:rPr>
        <w:t>，不新增水泥原辅材料及产品量，采用汽车运输方式，运输车辆尾气排放的污染物为</w:t>
      </w:r>
      <w:r>
        <w:rPr>
          <w:color w:val="auto"/>
        </w:rPr>
        <w:t>PM</w:t>
      </w:r>
      <w:r>
        <w:rPr>
          <w:color w:val="auto"/>
        </w:rPr>
        <w:t>、</w:t>
      </w:r>
      <w:r>
        <w:rPr>
          <w:color w:val="auto"/>
        </w:rPr>
        <w:t>NO</w:t>
      </w:r>
      <w:r>
        <w:rPr>
          <w:color w:val="auto"/>
          <w:vertAlign w:val="subscript"/>
        </w:rPr>
        <w:t>X</w:t>
      </w:r>
      <w:r>
        <w:rPr>
          <w:color w:val="auto"/>
        </w:rPr>
        <w:t>、</w:t>
      </w:r>
      <w:r>
        <w:rPr>
          <w:color w:val="auto"/>
        </w:rPr>
        <w:t>THC</w:t>
      </w:r>
      <w:r>
        <w:rPr>
          <w:color w:val="auto"/>
        </w:rPr>
        <w:t>。具体运输方案见表</w:t>
      </w:r>
      <w:r>
        <w:rPr>
          <w:color w:val="auto"/>
        </w:rPr>
        <w:t>3.5-17</w:t>
      </w:r>
      <w:r>
        <w:rPr>
          <w:color w:val="auto"/>
        </w:rPr>
        <w:t>。</w:t>
      </w:r>
    </w:p>
    <w:p w14:paraId="31FFD976" w14:textId="77777777" w:rsidR="002E474C" w:rsidRDefault="00000000">
      <w:pPr>
        <w:pStyle w:val="A--"/>
        <w:rPr>
          <w:color w:val="auto"/>
        </w:rPr>
      </w:pPr>
      <w:bookmarkStart w:id="196" w:name="_Ref107326619"/>
      <w:r>
        <w:rPr>
          <w:color w:val="auto"/>
        </w:rPr>
        <w:t>表</w:t>
      </w:r>
      <w:bookmarkEnd w:id="196"/>
      <w:r>
        <w:rPr>
          <w:color w:val="auto"/>
        </w:rPr>
        <w:t xml:space="preserve">3.5-17  </w:t>
      </w:r>
      <w:r>
        <w:rPr>
          <w:color w:val="auto"/>
        </w:rPr>
        <w:t>项目主要物料运输方案</w:t>
      </w:r>
    </w:p>
    <w:tbl>
      <w:tblPr>
        <w:tblStyle w:val="afffffffffff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52"/>
        <w:gridCol w:w="3244"/>
      </w:tblGrid>
      <w:tr w:rsidR="002E474C" w14:paraId="5561F449" w14:textId="77777777">
        <w:tc>
          <w:tcPr>
            <w:tcW w:w="3045" w:type="pct"/>
          </w:tcPr>
          <w:p w14:paraId="3F464009" w14:textId="77777777" w:rsidR="002E474C" w:rsidRDefault="00000000">
            <w:pPr>
              <w:pStyle w:val="A-"/>
            </w:pPr>
            <w:r>
              <w:t>项目</w:t>
            </w:r>
          </w:p>
        </w:tc>
        <w:tc>
          <w:tcPr>
            <w:tcW w:w="1955" w:type="pct"/>
          </w:tcPr>
          <w:p w14:paraId="05136DA5" w14:textId="77777777" w:rsidR="002E474C" w:rsidRDefault="00000000">
            <w:pPr>
              <w:pStyle w:val="A-"/>
            </w:pPr>
            <w:r>
              <w:t>危险废物</w:t>
            </w:r>
          </w:p>
        </w:tc>
      </w:tr>
      <w:tr w:rsidR="002E474C" w14:paraId="4628229F" w14:textId="77777777">
        <w:tc>
          <w:tcPr>
            <w:tcW w:w="3045" w:type="pct"/>
          </w:tcPr>
          <w:p w14:paraId="29E567D7" w14:textId="77777777" w:rsidR="002E474C" w:rsidRDefault="00000000">
            <w:pPr>
              <w:pStyle w:val="A-"/>
            </w:pPr>
            <w:r>
              <w:t>年运输量（</w:t>
            </w:r>
            <w:r>
              <w:t>t</w:t>
            </w:r>
            <w:r>
              <w:t>）</w:t>
            </w:r>
          </w:p>
        </w:tc>
        <w:tc>
          <w:tcPr>
            <w:tcW w:w="1955" w:type="pct"/>
          </w:tcPr>
          <w:p w14:paraId="60CD7C58" w14:textId="77777777" w:rsidR="002E474C" w:rsidRDefault="00000000">
            <w:pPr>
              <w:pStyle w:val="A-"/>
            </w:pPr>
            <w:r>
              <w:t>50000</w:t>
            </w:r>
          </w:p>
        </w:tc>
      </w:tr>
      <w:tr w:rsidR="002E474C" w14:paraId="6795F350" w14:textId="77777777">
        <w:tc>
          <w:tcPr>
            <w:tcW w:w="3045" w:type="pct"/>
          </w:tcPr>
          <w:p w14:paraId="0CC501C3" w14:textId="77777777" w:rsidR="002E474C" w:rsidRDefault="00000000">
            <w:pPr>
              <w:pStyle w:val="A-"/>
            </w:pPr>
            <w:r>
              <w:t>运输车辆载重（</w:t>
            </w:r>
            <w:r>
              <w:t>t</w:t>
            </w:r>
            <w:r>
              <w:t>）</w:t>
            </w:r>
          </w:p>
        </w:tc>
        <w:tc>
          <w:tcPr>
            <w:tcW w:w="1955" w:type="pct"/>
          </w:tcPr>
          <w:p w14:paraId="7CE13AB4" w14:textId="77777777" w:rsidR="002E474C" w:rsidRDefault="00000000">
            <w:pPr>
              <w:pStyle w:val="A-"/>
            </w:pPr>
            <w:r>
              <w:t>20</w:t>
            </w:r>
          </w:p>
        </w:tc>
      </w:tr>
      <w:tr w:rsidR="002E474C" w14:paraId="05231DEB" w14:textId="77777777">
        <w:tc>
          <w:tcPr>
            <w:tcW w:w="3045" w:type="pct"/>
          </w:tcPr>
          <w:p w14:paraId="7EA441DD" w14:textId="77777777" w:rsidR="002E474C" w:rsidRDefault="00000000">
            <w:pPr>
              <w:pStyle w:val="A-"/>
            </w:pPr>
            <w:r>
              <w:t>车次</w:t>
            </w:r>
          </w:p>
        </w:tc>
        <w:tc>
          <w:tcPr>
            <w:tcW w:w="1955" w:type="pct"/>
          </w:tcPr>
          <w:p w14:paraId="7E7FBA83" w14:textId="77777777" w:rsidR="002E474C" w:rsidRDefault="00000000">
            <w:pPr>
              <w:pStyle w:val="A-"/>
            </w:pPr>
            <w:r>
              <w:t>2500</w:t>
            </w:r>
          </w:p>
        </w:tc>
      </w:tr>
    </w:tbl>
    <w:p w14:paraId="2F3F6A42" w14:textId="77777777" w:rsidR="002E474C" w:rsidRDefault="002E474C"/>
    <w:p w14:paraId="2EDC2E0F" w14:textId="77777777" w:rsidR="002E474C" w:rsidRDefault="00000000">
      <w:pPr>
        <w:pStyle w:val="A-z"/>
        <w:rPr>
          <w:color w:val="auto"/>
        </w:rPr>
      </w:pPr>
      <w:r>
        <w:rPr>
          <w:color w:val="auto"/>
        </w:rPr>
        <w:t>根据《环境影响评价技术导则</w:t>
      </w:r>
      <w:r>
        <w:rPr>
          <w:color w:val="auto"/>
        </w:rPr>
        <w:t xml:space="preserve"> </w:t>
      </w:r>
      <w:r>
        <w:rPr>
          <w:color w:val="auto"/>
        </w:rPr>
        <w:t>大气环境》（</w:t>
      </w:r>
      <w:r>
        <w:rPr>
          <w:color w:val="auto"/>
        </w:rPr>
        <w:t>HJ2.2-2018</w:t>
      </w:r>
      <w:r>
        <w:rPr>
          <w:color w:val="auto"/>
        </w:rPr>
        <w:t>）的要求和本项目物料及产品运输新增的交通运输量，参照《环境影响评价技术导则</w:t>
      </w:r>
      <w:r>
        <w:rPr>
          <w:color w:val="auto"/>
        </w:rPr>
        <w:t xml:space="preserve"> </w:t>
      </w:r>
      <w:r>
        <w:rPr>
          <w:color w:val="auto"/>
        </w:rPr>
        <w:t>公路建设项目》（</w:t>
      </w:r>
      <w:r>
        <w:rPr>
          <w:color w:val="auto"/>
        </w:rPr>
        <w:t>HJ 1358-2024</w:t>
      </w:r>
      <w:r>
        <w:rPr>
          <w:color w:val="auto"/>
        </w:rPr>
        <w:t>）和《移动源产排污核算方法和系数手册》中机动车污染物排放系数，计算新增的交通运输移动源。</w:t>
      </w:r>
    </w:p>
    <w:p w14:paraId="4FDFC53F" w14:textId="77777777" w:rsidR="002E474C" w:rsidRDefault="00000000">
      <w:pPr>
        <w:pStyle w:val="A-z"/>
        <w:rPr>
          <w:color w:val="auto"/>
        </w:rPr>
      </w:pPr>
      <w:r>
        <w:rPr>
          <w:color w:val="auto"/>
        </w:rPr>
        <w:t>根据《排放源统计调查产排污核算方法和系数手册》的《移动源产排污核算方法和系数手册》表</w:t>
      </w:r>
      <w:r>
        <w:rPr>
          <w:color w:val="auto"/>
        </w:rPr>
        <w:t>1-1</w:t>
      </w:r>
      <w:r>
        <w:rPr>
          <w:color w:val="auto"/>
        </w:rPr>
        <w:t>机动车类型分类，总质量大于等于</w:t>
      </w:r>
      <w:r>
        <w:rPr>
          <w:color w:val="auto"/>
        </w:rPr>
        <w:t>12000kg</w:t>
      </w:r>
      <w:r>
        <w:rPr>
          <w:color w:val="auto"/>
        </w:rPr>
        <w:t>的载货汽车</w:t>
      </w:r>
      <w:r>
        <w:rPr>
          <w:color w:val="auto"/>
        </w:rPr>
        <w:lastRenderedPageBreak/>
        <w:t>为重型汽车。根据《汽车、挂车及汽车列车外廓尺寸、轴荷及质量限值》，六轴汽车列车最大允许总质量限制为</w:t>
      </w:r>
      <w:r>
        <w:rPr>
          <w:color w:val="auto"/>
        </w:rPr>
        <w:t>49t</w:t>
      </w:r>
      <w:r>
        <w:rPr>
          <w:color w:val="auto"/>
        </w:rPr>
        <w:t>，按六轴汽车列车最大自重</w:t>
      </w:r>
      <w:r>
        <w:rPr>
          <w:color w:val="auto"/>
        </w:rPr>
        <w:t>14t</w:t>
      </w:r>
      <w:r>
        <w:rPr>
          <w:color w:val="auto"/>
        </w:rPr>
        <w:t>计算，单次最大可运输</w:t>
      </w:r>
      <w:r>
        <w:rPr>
          <w:color w:val="auto"/>
        </w:rPr>
        <w:t>35t</w:t>
      </w:r>
      <w:r>
        <w:rPr>
          <w:color w:val="auto"/>
        </w:rPr>
        <w:t>货物。</w:t>
      </w:r>
    </w:p>
    <w:p w14:paraId="569EECE2" w14:textId="77777777" w:rsidR="002E474C" w:rsidRDefault="00000000">
      <w:pPr>
        <w:pStyle w:val="A-z"/>
        <w:rPr>
          <w:color w:val="auto"/>
        </w:rPr>
      </w:pPr>
      <w:r>
        <w:rPr>
          <w:color w:val="auto"/>
        </w:rPr>
        <w:t>本项目公路总运输量为</w:t>
      </w:r>
      <w:r>
        <w:rPr>
          <w:color w:val="auto"/>
        </w:rPr>
        <w:t>50000t/a</w:t>
      </w:r>
      <w:r>
        <w:rPr>
          <w:color w:val="auto"/>
        </w:rPr>
        <w:t>，采用汽车运送。按机动车运输平均载重</w:t>
      </w:r>
      <w:r>
        <w:rPr>
          <w:color w:val="auto"/>
        </w:rPr>
        <w:t>20t</w:t>
      </w:r>
      <w:r>
        <w:rPr>
          <w:color w:val="auto"/>
        </w:rPr>
        <w:t>计，本项目将导致该区域公路新增车流量约</w:t>
      </w:r>
      <w:r>
        <w:rPr>
          <w:color w:val="auto"/>
        </w:rPr>
        <w:t>2500</w:t>
      </w:r>
      <w:r>
        <w:rPr>
          <w:color w:val="auto"/>
        </w:rPr>
        <w:t>辆</w:t>
      </w:r>
      <w:r>
        <w:rPr>
          <w:color w:val="auto"/>
        </w:rPr>
        <w:t>/a</w:t>
      </w:r>
      <w:r>
        <w:rPr>
          <w:color w:val="auto"/>
        </w:rPr>
        <w:t>。按专用运输车辆每辆车的年运输次数</w:t>
      </w:r>
      <w:r>
        <w:rPr>
          <w:color w:val="auto"/>
        </w:rPr>
        <w:t>300</w:t>
      </w:r>
      <w:r>
        <w:rPr>
          <w:color w:val="auto"/>
        </w:rPr>
        <w:t>次计，专用运输车辆为</w:t>
      </w:r>
      <w:r>
        <w:rPr>
          <w:color w:val="auto"/>
        </w:rPr>
        <w:t>9</w:t>
      </w:r>
      <w:r>
        <w:rPr>
          <w:color w:val="auto"/>
        </w:rPr>
        <w:t>辆</w:t>
      </w:r>
      <w:r>
        <w:rPr>
          <w:color w:val="auto"/>
        </w:rPr>
        <w:t>/a</w:t>
      </w:r>
      <w:r>
        <w:rPr>
          <w:color w:val="auto"/>
        </w:rPr>
        <w:t>。</w:t>
      </w:r>
    </w:p>
    <w:p w14:paraId="578A1CE0" w14:textId="77777777" w:rsidR="002E474C" w:rsidRDefault="00000000">
      <w:pPr>
        <w:pStyle w:val="A-z"/>
        <w:rPr>
          <w:color w:val="auto"/>
        </w:rPr>
      </w:pPr>
      <w:r>
        <w:rPr>
          <w:color w:val="auto"/>
        </w:rPr>
        <w:t>根据《移动源产排污核算方法和系数手册》附表《</w:t>
      </w:r>
      <w:bookmarkStart w:id="197" w:name="OLE_LINK59"/>
      <w:r>
        <w:rPr>
          <w:color w:val="auto"/>
        </w:rPr>
        <w:t>机动车排放系数手册系数表</w:t>
      </w:r>
      <w:bookmarkEnd w:id="197"/>
      <w:r>
        <w:rPr>
          <w:color w:val="auto"/>
        </w:rPr>
        <w:t>》，吐鲁番市</w:t>
      </w:r>
      <w:r>
        <w:rPr>
          <w:color w:val="auto"/>
        </w:rPr>
        <w:t>NOx</w:t>
      </w:r>
      <w:r>
        <w:rPr>
          <w:color w:val="auto"/>
        </w:rPr>
        <w:t>、</w:t>
      </w:r>
      <w:r>
        <w:rPr>
          <w:color w:val="auto"/>
        </w:rPr>
        <w:t>PM</w:t>
      </w:r>
      <w:r>
        <w:rPr>
          <w:color w:val="auto"/>
        </w:rPr>
        <w:t>、</w:t>
      </w:r>
      <w:r>
        <w:rPr>
          <w:color w:val="auto"/>
        </w:rPr>
        <w:t>VOCs</w:t>
      </w:r>
      <w:r>
        <w:rPr>
          <w:color w:val="auto"/>
        </w:rPr>
        <w:t>重型柴油载货汽车国五排放系数（克</w:t>
      </w:r>
      <w:r>
        <w:rPr>
          <w:color w:val="auto"/>
        </w:rPr>
        <w:t>/</w:t>
      </w:r>
      <w:r>
        <w:rPr>
          <w:color w:val="auto"/>
        </w:rPr>
        <w:t>辆</w:t>
      </w:r>
      <w:r>
        <w:rPr>
          <w:color w:val="auto"/>
        </w:rPr>
        <w:t>·</w:t>
      </w:r>
      <w:r>
        <w:rPr>
          <w:color w:val="auto"/>
        </w:rPr>
        <w:t>年）分别为</w:t>
      </w:r>
      <w:r>
        <w:rPr>
          <w:color w:val="auto"/>
        </w:rPr>
        <w:t>210506</w:t>
      </w:r>
      <w:r>
        <w:rPr>
          <w:color w:val="auto"/>
        </w:rPr>
        <w:t>、</w:t>
      </w:r>
      <w:r>
        <w:rPr>
          <w:color w:val="auto"/>
        </w:rPr>
        <w:t>1622</w:t>
      </w:r>
      <w:r>
        <w:rPr>
          <w:color w:val="auto"/>
        </w:rPr>
        <w:t>、</w:t>
      </w:r>
      <w:r>
        <w:rPr>
          <w:color w:val="auto"/>
        </w:rPr>
        <w:t>3272</w:t>
      </w:r>
      <w:r>
        <w:rPr>
          <w:color w:val="auto"/>
        </w:rPr>
        <w:t>。通过计算可以得到本项目交通运输源污染物排放情况，见表</w:t>
      </w:r>
      <w:r>
        <w:rPr>
          <w:color w:val="auto"/>
        </w:rPr>
        <w:t>3.5-18</w:t>
      </w:r>
      <w:r>
        <w:rPr>
          <w:color w:val="auto"/>
        </w:rPr>
        <w:t>。</w:t>
      </w:r>
    </w:p>
    <w:p w14:paraId="688294AA" w14:textId="77777777" w:rsidR="002E474C" w:rsidRDefault="00000000">
      <w:pPr>
        <w:pStyle w:val="A--"/>
        <w:rPr>
          <w:color w:val="auto"/>
        </w:rPr>
      </w:pPr>
      <w:r>
        <w:rPr>
          <w:color w:val="auto"/>
        </w:rPr>
        <w:t>表</w:t>
      </w:r>
      <w:r>
        <w:rPr>
          <w:color w:val="auto"/>
        </w:rPr>
        <w:t xml:space="preserve">3.5-18    </w:t>
      </w:r>
      <w:r>
        <w:rPr>
          <w:color w:val="auto"/>
        </w:rPr>
        <w:t>本项目交通运输移动源各污染物排放源强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0"/>
        <w:gridCol w:w="1521"/>
        <w:gridCol w:w="1294"/>
        <w:gridCol w:w="1643"/>
        <w:gridCol w:w="1097"/>
      </w:tblGrid>
      <w:tr w:rsidR="002E474C" w14:paraId="734DEC4F" w14:textId="77777777">
        <w:trPr>
          <w:jc w:val="center"/>
        </w:trPr>
        <w:tc>
          <w:tcPr>
            <w:tcW w:w="826" w:type="pct"/>
            <w:noWrap/>
            <w:vAlign w:val="center"/>
          </w:tcPr>
          <w:p w14:paraId="748E2F0C" w14:textId="77777777" w:rsidR="002E474C" w:rsidRDefault="00000000">
            <w:pPr>
              <w:pStyle w:val="A-"/>
            </w:pPr>
            <w:bookmarkStart w:id="198" w:name="_Hlk198226080"/>
            <w:r>
              <w:t>车型</w:t>
            </w:r>
          </w:p>
        </w:tc>
        <w:tc>
          <w:tcPr>
            <w:tcW w:w="826" w:type="pct"/>
            <w:noWrap/>
            <w:vAlign w:val="center"/>
          </w:tcPr>
          <w:p w14:paraId="0DAFD1C7" w14:textId="77777777" w:rsidR="002E474C" w:rsidRDefault="00000000">
            <w:pPr>
              <w:pStyle w:val="A-"/>
            </w:pPr>
            <w:r>
              <w:t>污染因子</w:t>
            </w:r>
          </w:p>
        </w:tc>
        <w:tc>
          <w:tcPr>
            <w:tcW w:w="917" w:type="pct"/>
            <w:noWrap/>
            <w:vAlign w:val="center"/>
          </w:tcPr>
          <w:p w14:paraId="2D0F80DB" w14:textId="77777777" w:rsidR="002E474C" w:rsidRDefault="00000000">
            <w:pPr>
              <w:pStyle w:val="A-"/>
            </w:pPr>
            <w:r>
              <w:t>推荐值</w:t>
            </w:r>
          </w:p>
          <w:p w14:paraId="46CF28ED" w14:textId="77777777" w:rsidR="002E474C" w:rsidRDefault="00000000">
            <w:pPr>
              <w:pStyle w:val="A-"/>
            </w:pPr>
            <w:r>
              <w:t>（</w:t>
            </w:r>
            <w:r>
              <w:t>g/</w:t>
            </w:r>
            <w:r>
              <w:t>辆</w:t>
            </w:r>
            <w:r>
              <w:t>·a</w:t>
            </w:r>
            <w:r>
              <w:t>）</w:t>
            </w:r>
          </w:p>
        </w:tc>
        <w:tc>
          <w:tcPr>
            <w:tcW w:w="780" w:type="pct"/>
            <w:vAlign w:val="center"/>
          </w:tcPr>
          <w:p w14:paraId="1461DDFF" w14:textId="77777777" w:rsidR="002E474C" w:rsidRDefault="00000000">
            <w:pPr>
              <w:pStyle w:val="A-"/>
            </w:pPr>
            <w:r>
              <w:t>车流量</w:t>
            </w:r>
          </w:p>
          <w:p w14:paraId="098E4792" w14:textId="77777777" w:rsidR="002E474C" w:rsidRDefault="00000000">
            <w:pPr>
              <w:pStyle w:val="A-"/>
            </w:pPr>
            <w:r>
              <w:t>（辆</w:t>
            </w:r>
            <w:r>
              <w:t>/a</w:t>
            </w:r>
            <w:r>
              <w:t>）</w:t>
            </w:r>
          </w:p>
        </w:tc>
        <w:tc>
          <w:tcPr>
            <w:tcW w:w="990" w:type="pct"/>
            <w:noWrap/>
            <w:vAlign w:val="center"/>
          </w:tcPr>
          <w:p w14:paraId="325C6DE7" w14:textId="77777777" w:rsidR="002E474C" w:rsidRDefault="00000000">
            <w:pPr>
              <w:pStyle w:val="A-"/>
            </w:pPr>
            <w:r>
              <w:t>专用车辆数</w:t>
            </w:r>
          </w:p>
          <w:p w14:paraId="1EF103CC" w14:textId="77777777" w:rsidR="002E474C" w:rsidRDefault="00000000">
            <w:pPr>
              <w:pStyle w:val="A-"/>
            </w:pPr>
            <w:r>
              <w:t>（辆</w:t>
            </w:r>
            <w:r>
              <w:t>/a</w:t>
            </w:r>
            <w:r>
              <w:t>）</w:t>
            </w:r>
          </w:p>
        </w:tc>
        <w:tc>
          <w:tcPr>
            <w:tcW w:w="661" w:type="pct"/>
            <w:noWrap/>
            <w:vAlign w:val="center"/>
          </w:tcPr>
          <w:p w14:paraId="1F2B6A86" w14:textId="77777777" w:rsidR="002E474C" w:rsidRDefault="00000000">
            <w:pPr>
              <w:pStyle w:val="A-"/>
            </w:pPr>
            <w:r>
              <w:t>排放量</w:t>
            </w:r>
          </w:p>
          <w:p w14:paraId="5FA2601C" w14:textId="77777777" w:rsidR="002E474C" w:rsidRDefault="00000000">
            <w:pPr>
              <w:pStyle w:val="A-"/>
            </w:pPr>
            <w:r>
              <w:t>（</w:t>
            </w:r>
            <w:r>
              <w:t>t/a</w:t>
            </w:r>
            <w:r>
              <w:t>）</w:t>
            </w:r>
          </w:p>
        </w:tc>
      </w:tr>
      <w:tr w:rsidR="002E474C" w14:paraId="72D6D1CF" w14:textId="77777777">
        <w:trPr>
          <w:jc w:val="center"/>
        </w:trPr>
        <w:tc>
          <w:tcPr>
            <w:tcW w:w="826" w:type="pct"/>
            <w:vMerge w:val="restart"/>
            <w:noWrap/>
            <w:vAlign w:val="center"/>
          </w:tcPr>
          <w:p w14:paraId="0F6F803F" w14:textId="77777777" w:rsidR="002E474C" w:rsidRDefault="00000000">
            <w:pPr>
              <w:pStyle w:val="A-"/>
            </w:pPr>
            <w:r>
              <w:t>重型柴油</w:t>
            </w:r>
          </w:p>
          <w:p w14:paraId="4397B9F1" w14:textId="77777777" w:rsidR="002E474C" w:rsidRDefault="00000000">
            <w:pPr>
              <w:pStyle w:val="A-"/>
            </w:pPr>
            <w:r>
              <w:t>载货汽车</w:t>
            </w:r>
          </w:p>
        </w:tc>
        <w:tc>
          <w:tcPr>
            <w:tcW w:w="826" w:type="pct"/>
            <w:noWrap/>
            <w:vAlign w:val="center"/>
          </w:tcPr>
          <w:p w14:paraId="2EC53036" w14:textId="77777777" w:rsidR="002E474C" w:rsidRDefault="00000000">
            <w:pPr>
              <w:pStyle w:val="A-"/>
            </w:pPr>
            <w:r>
              <w:t>PM</w:t>
            </w:r>
          </w:p>
        </w:tc>
        <w:tc>
          <w:tcPr>
            <w:tcW w:w="917" w:type="pct"/>
            <w:noWrap/>
            <w:vAlign w:val="center"/>
          </w:tcPr>
          <w:p w14:paraId="5DD76367" w14:textId="77777777" w:rsidR="002E474C" w:rsidRDefault="00000000">
            <w:pPr>
              <w:pStyle w:val="A-"/>
            </w:pPr>
            <w:r>
              <w:t>1622</w:t>
            </w:r>
          </w:p>
        </w:tc>
        <w:tc>
          <w:tcPr>
            <w:tcW w:w="780" w:type="pct"/>
            <w:vMerge w:val="restart"/>
            <w:vAlign w:val="center"/>
          </w:tcPr>
          <w:p w14:paraId="2B0D53D1" w14:textId="77777777" w:rsidR="002E474C" w:rsidRDefault="00000000">
            <w:pPr>
              <w:pStyle w:val="A-"/>
            </w:pPr>
            <w:r>
              <w:t>300</w:t>
            </w:r>
          </w:p>
        </w:tc>
        <w:tc>
          <w:tcPr>
            <w:tcW w:w="990" w:type="pct"/>
            <w:vMerge w:val="restart"/>
            <w:noWrap/>
            <w:vAlign w:val="center"/>
          </w:tcPr>
          <w:p w14:paraId="395533E5" w14:textId="77777777" w:rsidR="002E474C" w:rsidRDefault="00000000">
            <w:pPr>
              <w:pStyle w:val="A-"/>
            </w:pPr>
            <w:r>
              <w:t>9</w:t>
            </w:r>
          </w:p>
        </w:tc>
        <w:tc>
          <w:tcPr>
            <w:tcW w:w="661" w:type="pct"/>
            <w:noWrap/>
            <w:vAlign w:val="center"/>
          </w:tcPr>
          <w:p w14:paraId="14B4B029" w14:textId="77777777" w:rsidR="002E474C" w:rsidRDefault="00000000">
            <w:pPr>
              <w:pStyle w:val="A-"/>
            </w:pPr>
            <w:r>
              <w:t>0.01</w:t>
            </w:r>
          </w:p>
        </w:tc>
      </w:tr>
      <w:tr w:rsidR="002E474C" w14:paraId="659B0A82" w14:textId="77777777">
        <w:trPr>
          <w:jc w:val="center"/>
        </w:trPr>
        <w:tc>
          <w:tcPr>
            <w:tcW w:w="826" w:type="pct"/>
            <w:vMerge/>
            <w:vAlign w:val="center"/>
          </w:tcPr>
          <w:p w14:paraId="363BE5E4" w14:textId="77777777" w:rsidR="002E474C" w:rsidRDefault="002E474C">
            <w:pPr>
              <w:pStyle w:val="A-"/>
            </w:pPr>
          </w:p>
        </w:tc>
        <w:tc>
          <w:tcPr>
            <w:tcW w:w="826" w:type="pct"/>
            <w:noWrap/>
            <w:vAlign w:val="center"/>
          </w:tcPr>
          <w:p w14:paraId="32EF20B0" w14:textId="77777777" w:rsidR="002E474C" w:rsidRDefault="00000000">
            <w:pPr>
              <w:pStyle w:val="A-"/>
            </w:pPr>
            <w:r>
              <w:t>NOx</w:t>
            </w:r>
          </w:p>
        </w:tc>
        <w:tc>
          <w:tcPr>
            <w:tcW w:w="917" w:type="pct"/>
            <w:noWrap/>
            <w:vAlign w:val="center"/>
          </w:tcPr>
          <w:p w14:paraId="1AC5D702" w14:textId="77777777" w:rsidR="002E474C" w:rsidRDefault="00000000">
            <w:pPr>
              <w:pStyle w:val="A-"/>
            </w:pPr>
            <w:r>
              <w:t>210506</w:t>
            </w:r>
          </w:p>
        </w:tc>
        <w:tc>
          <w:tcPr>
            <w:tcW w:w="780" w:type="pct"/>
            <w:vMerge/>
            <w:vAlign w:val="center"/>
          </w:tcPr>
          <w:p w14:paraId="32D61DC0" w14:textId="77777777" w:rsidR="002E474C" w:rsidRDefault="002E474C">
            <w:pPr>
              <w:pStyle w:val="A-"/>
            </w:pPr>
          </w:p>
        </w:tc>
        <w:tc>
          <w:tcPr>
            <w:tcW w:w="990" w:type="pct"/>
            <w:vMerge/>
            <w:vAlign w:val="center"/>
          </w:tcPr>
          <w:p w14:paraId="5B40272A" w14:textId="77777777" w:rsidR="002E474C" w:rsidRDefault="002E474C">
            <w:pPr>
              <w:pStyle w:val="A-"/>
            </w:pPr>
          </w:p>
        </w:tc>
        <w:tc>
          <w:tcPr>
            <w:tcW w:w="661" w:type="pct"/>
            <w:noWrap/>
            <w:vAlign w:val="center"/>
          </w:tcPr>
          <w:p w14:paraId="472B5CFC" w14:textId="77777777" w:rsidR="002E474C" w:rsidRDefault="00000000">
            <w:pPr>
              <w:pStyle w:val="A-"/>
            </w:pPr>
            <w:r>
              <w:t>1.89</w:t>
            </w:r>
          </w:p>
        </w:tc>
      </w:tr>
      <w:tr w:rsidR="002E474C" w14:paraId="7D4AB150" w14:textId="77777777">
        <w:trPr>
          <w:jc w:val="center"/>
        </w:trPr>
        <w:tc>
          <w:tcPr>
            <w:tcW w:w="826" w:type="pct"/>
            <w:vMerge/>
            <w:vAlign w:val="center"/>
          </w:tcPr>
          <w:p w14:paraId="07EF0AB3" w14:textId="77777777" w:rsidR="002E474C" w:rsidRDefault="002E474C">
            <w:pPr>
              <w:pStyle w:val="A-"/>
            </w:pPr>
          </w:p>
        </w:tc>
        <w:tc>
          <w:tcPr>
            <w:tcW w:w="826" w:type="pct"/>
            <w:noWrap/>
            <w:vAlign w:val="center"/>
          </w:tcPr>
          <w:p w14:paraId="787A36F6" w14:textId="77777777" w:rsidR="002E474C" w:rsidRDefault="00000000">
            <w:pPr>
              <w:pStyle w:val="A-"/>
            </w:pPr>
            <w:r>
              <w:t>THC</w:t>
            </w:r>
          </w:p>
        </w:tc>
        <w:tc>
          <w:tcPr>
            <w:tcW w:w="917" w:type="pct"/>
            <w:noWrap/>
            <w:vAlign w:val="center"/>
          </w:tcPr>
          <w:p w14:paraId="039B7594" w14:textId="77777777" w:rsidR="002E474C" w:rsidRDefault="00000000">
            <w:pPr>
              <w:pStyle w:val="A-"/>
            </w:pPr>
            <w:r>
              <w:t>3272</w:t>
            </w:r>
          </w:p>
        </w:tc>
        <w:tc>
          <w:tcPr>
            <w:tcW w:w="780" w:type="pct"/>
            <w:vMerge/>
            <w:vAlign w:val="center"/>
          </w:tcPr>
          <w:p w14:paraId="7DFA6C21" w14:textId="77777777" w:rsidR="002E474C" w:rsidRDefault="002E474C">
            <w:pPr>
              <w:pStyle w:val="A-"/>
            </w:pPr>
          </w:p>
        </w:tc>
        <w:tc>
          <w:tcPr>
            <w:tcW w:w="990" w:type="pct"/>
            <w:vMerge/>
            <w:vAlign w:val="center"/>
          </w:tcPr>
          <w:p w14:paraId="0B132521" w14:textId="77777777" w:rsidR="002E474C" w:rsidRDefault="002E474C">
            <w:pPr>
              <w:pStyle w:val="A-"/>
            </w:pPr>
          </w:p>
        </w:tc>
        <w:tc>
          <w:tcPr>
            <w:tcW w:w="661" w:type="pct"/>
            <w:noWrap/>
            <w:vAlign w:val="center"/>
          </w:tcPr>
          <w:p w14:paraId="78840F45" w14:textId="77777777" w:rsidR="002E474C" w:rsidRDefault="00000000">
            <w:pPr>
              <w:pStyle w:val="A-"/>
            </w:pPr>
            <w:r>
              <w:t>0.03</w:t>
            </w:r>
          </w:p>
        </w:tc>
      </w:tr>
      <w:bookmarkEnd w:id="198"/>
    </w:tbl>
    <w:p w14:paraId="358155F4" w14:textId="77777777" w:rsidR="002E474C" w:rsidRDefault="002E474C">
      <w:pPr>
        <w:widowControl/>
        <w:ind w:firstLine="200"/>
        <w:jc w:val="left"/>
        <w:rPr>
          <w:sz w:val="18"/>
        </w:rPr>
      </w:pPr>
    </w:p>
    <w:p w14:paraId="3DCB5047" w14:textId="77777777" w:rsidR="002E474C" w:rsidRDefault="00000000">
      <w:pPr>
        <w:pStyle w:val="A-z"/>
        <w:spacing w:beforeLines="50" w:before="120"/>
        <w:rPr>
          <w:color w:val="auto"/>
        </w:rPr>
      </w:pPr>
      <w:r>
        <w:rPr>
          <w:color w:val="auto"/>
        </w:rPr>
        <w:t>本项目物料运输引起的新增交通运输污染源源强较小，对周边城市道路交通流量贡献量较小</w:t>
      </w:r>
      <w:r>
        <w:rPr>
          <w:rFonts w:hint="eastAsia"/>
          <w:color w:val="auto"/>
        </w:rPr>
        <w:t>。如采用新能源货运车辆运输厂外危险废物，则不排放行驶尾气。本</w:t>
      </w:r>
      <w:r>
        <w:rPr>
          <w:color w:val="auto"/>
        </w:rPr>
        <w:t>项目的建设引起的交通运输移动源对环境空气的影响较小。</w:t>
      </w:r>
      <w:bookmarkEnd w:id="192"/>
    </w:p>
    <w:p w14:paraId="3BD37714" w14:textId="77777777" w:rsidR="002E474C" w:rsidRDefault="00000000">
      <w:pPr>
        <w:pStyle w:val="41"/>
        <w:rPr>
          <w:color w:val="auto"/>
        </w:rPr>
      </w:pPr>
      <w:r>
        <w:rPr>
          <w:color w:val="auto"/>
        </w:rPr>
        <w:t>废水污染源源强核算</w:t>
      </w:r>
    </w:p>
    <w:p w14:paraId="3A8C1873" w14:textId="77777777" w:rsidR="002E474C" w:rsidRDefault="00000000">
      <w:pPr>
        <w:pStyle w:val="A-z"/>
        <w:rPr>
          <w:color w:val="auto"/>
        </w:rPr>
      </w:pPr>
      <w:r>
        <w:rPr>
          <w:color w:val="auto"/>
        </w:rPr>
        <w:t>（</w:t>
      </w:r>
      <w:r>
        <w:rPr>
          <w:color w:val="auto"/>
        </w:rPr>
        <w:t>1</w:t>
      </w:r>
      <w:r>
        <w:rPr>
          <w:color w:val="auto"/>
        </w:rPr>
        <w:t>）车辆及容器清洗废水（</w:t>
      </w:r>
      <w:r>
        <w:rPr>
          <w:color w:val="auto"/>
        </w:rPr>
        <w:t>W2</w:t>
      </w:r>
      <w:r>
        <w:rPr>
          <w:color w:val="auto"/>
        </w:rPr>
        <w:t>）</w:t>
      </w:r>
    </w:p>
    <w:p w14:paraId="2B92D9FB" w14:textId="77777777" w:rsidR="002E474C" w:rsidRDefault="00000000">
      <w:pPr>
        <w:pStyle w:val="A-z"/>
        <w:rPr>
          <w:color w:val="auto"/>
        </w:rPr>
      </w:pPr>
      <w:r>
        <w:rPr>
          <w:color w:val="auto"/>
        </w:rPr>
        <w:t>本项目危险废物车辆需在卸载完成后进行车辆及容器清洗。依据《建筑给水排水设计规范》（</w:t>
      </w:r>
      <w:r>
        <w:rPr>
          <w:color w:val="auto"/>
        </w:rPr>
        <w:t>GB50015-2019</w:t>
      </w:r>
      <w:r>
        <w:rPr>
          <w:color w:val="auto"/>
        </w:rPr>
        <w:t>）载重汽车冲洗用水量定额为</w:t>
      </w:r>
      <w:r>
        <w:rPr>
          <w:color w:val="auto"/>
        </w:rPr>
        <w:t>80L/</w:t>
      </w:r>
      <w:r>
        <w:rPr>
          <w:color w:val="auto"/>
        </w:rPr>
        <w:t>辆</w:t>
      </w:r>
      <w:r>
        <w:rPr>
          <w:color w:val="auto"/>
        </w:rPr>
        <w:t>•</w:t>
      </w:r>
      <w:r>
        <w:rPr>
          <w:color w:val="auto"/>
        </w:rPr>
        <w:t>次，项目每天运输危险废物量</w:t>
      </w:r>
      <w:r>
        <w:rPr>
          <w:color w:val="auto"/>
        </w:rPr>
        <w:t>167t/d</w:t>
      </w:r>
      <w:r>
        <w:rPr>
          <w:color w:val="auto"/>
        </w:rPr>
        <w:t>（</w:t>
      </w:r>
      <w:r>
        <w:rPr>
          <w:color w:val="auto"/>
        </w:rPr>
        <w:t>300d</w:t>
      </w:r>
      <w:r>
        <w:rPr>
          <w:color w:val="auto"/>
        </w:rPr>
        <w:t>计），载重汽车荷载</w:t>
      </w:r>
      <w:r>
        <w:rPr>
          <w:color w:val="auto"/>
        </w:rPr>
        <w:t>20t</w:t>
      </w:r>
      <w:r>
        <w:rPr>
          <w:color w:val="auto"/>
        </w:rPr>
        <w:t>，则每天运输车辆</w:t>
      </w:r>
      <w:r>
        <w:rPr>
          <w:color w:val="auto"/>
        </w:rPr>
        <w:t>8</w:t>
      </w:r>
      <w:r>
        <w:rPr>
          <w:color w:val="auto"/>
        </w:rPr>
        <w:t>～</w:t>
      </w:r>
      <w:r>
        <w:rPr>
          <w:color w:val="auto"/>
        </w:rPr>
        <w:t>9</w:t>
      </w:r>
      <w:r>
        <w:rPr>
          <w:color w:val="auto"/>
        </w:rPr>
        <w:t>辆次，平均消耗冲洗用水</w:t>
      </w:r>
      <w:r>
        <w:rPr>
          <w:color w:val="auto"/>
        </w:rPr>
        <w:t>0.67m</w:t>
      </w:r>
      <w:r>
        <w:rPr>
          <w:color w:val="auto"/>
          <w:vertAlign w:val="superscript"/>
        </w:rPr>
        <w:t>3</w:t>
      </w:r>
      <w:r>
        <w:rPr>
          <w:color w:val="auto"/>
        </w:rPr>
        <w:t>/d</w:t>
      </w:r>
      <w:r>
        <w:rPr>
          <w:color w:val="auto"/>
        </w:rPr>
        <w:t>（</w:t>
      </w:r>
      <w:r>
        <w:rPr>
          <w:color w:val="auto"/>
        </w:rPr>
        <w:t>200m</w:t>
      </w:r>
      <w:r>
        <w:rPr>
          <w:color w:val="auto"/>
          <w:vertAlign w:val="superscript"/>
        </w:rPr>
        <w:t>3</w:t>
      </w:r>
      <w:r>
        <w:rPr>
          <w:color w:val="auto"/>
        </w:rPr>
        <w:t>/a</w:t>
      </w:r>
      <w:r>
        <w:rPr>
          <w:color w:val="auto"/>
        </w:rPr>
        <w:t>），折污系数按</w:t>
      </w:r>
      <w:r>
        <w:rPr>
          <w:color w:val="auto"/>
        </w:rPr>
        <w:t>0.80</w:t>
      </w:r>
      <w:r>
        <w:rPr>
          <w:color w:val="auto"/>
        </w:rPr>
        <w:t>计，产生冲洗废水</w:t>
      </w:r>
      <w:r>
        <w:rPr>
          <w:color w:val="auto"/>
        </w:rPr>
        <w:t>0.53m</w:t>
      </w:r>
      <w:r>
        <w:rPr>
          <w:color w:val="auto"/>
          <w:vertAlign w:val="superscript"/>
        </w:rPr>
        <w:t>3</w:t>
      </w:r>
      <w:r>
        <w:rPr>
          <w:color w:val="auto"/>
        </w:rPr>
        <w:t>/d</w:t>
      </w:r>
      <w:r>
        <w:rPr>
          <w:color w:val="auto"/>
        </w:rPr>
        <w:t>（</w:t>
      </w:r>
      <w:r>
        <w:rPr>
          <w:color w:val="auto"/>
        </w:rPr>
        <w:t>160m</w:t>
      </w:r>
      <w:r>
        <w:rPr>
          <w:color w:val="auto"/>
          <w:vertAlign w:val="superscript"/>
        </w:rPr>
        <w:t>3</w:t>
      </w:r>
      <w:r>
        <w:rPr>
          <w:color w:val="auto"/>
        </w:rPr>
        <w:t>/a</w:t>
      </w:r>
      <w:r>
        <w:rPr>
          <w:color w:val="auto"/>
        </w:rPr>
        <w:t>）。车辆及容器清洗废水送废水收集池沉淀后，经液态处置车间喷入回转窑焚烧，不外排。</w:t>
      </w:r>
    </w:p>
    <w:p w14:paraId="3BC142BB" w14:textId="77777777" w:rsidR="002E474C" w:rsidRDefault="00000000">
      <w:pPr>
        <w:pStyle w:val="A-z"/>
        <w:rPr>
          <w:color w:val="auto"/>
        </w:rPr>
      </w:pPr>
      <w:r>
        <w:rPr>
          <w:color w:val="auto"/>
        </w:rPr>
        <w:t>（</w:t>
      </w:r>
      <w:r>
        <w:rPr>
          <w:color w:val="auto"/>
        </w:rPr>
        <w:t>2</w:t>
      </w:r>
      <w:r>
        <w:rPr>
          <w:color w:val="auto"/>
        </w:rPr>
        <w:t>）设备检修清洗废水（</w:t>
      </w:r>
      <w:r>
        <w:rPr>
          <w:color w:val="auto"/>
        </w:rPr>
        <w:t>W3</w:t>
      </w:r>
      <w:r>
        <w:rPr>
          <w:color w:val="auto"/>
        </w:rPr>
        <w:t>）</w:t>
      </w:r>
    </w:p>
    <w:p w14:paraId="0029E3E4" w14:textId="77777777" w:rsidR="002E474C" w:rsidRDefault="00000000">
      <w:pPr>
        <w:pStyle w:val="A-z"/>
        <w:rPr>
          <w:color w:val="auto"/>
        </w:rPr>
      </w:pPr>
      <w:r>
        <w:rPr>
          <w:color w:val="auto"/>
        </w:rPr>
        <w:t>项目定期对生产设备进行检修时，产生设备清洗废水约为</w:t>
      </w:r>
      <w:r>
        <w:rPr>
          <w:color w:val="auto"/>
        </w:rPr>
        <w:t>5m</w:t>
      </w:r>
      <w:r>
        <w:rPr>
          <w:color w:val="auto"/>
          <w:vertAlign w:val="superscript"/>
        </w:rPr>
        <w:t>3</w:t>
      </w:r>
      <w:r>
        <w:rPr>
          <w:color w:val="auto"/>
        </w:rPr>
        <w:t>/a</w:t>
      </w:r>
      <w:r>
        <w:rPr>
          <w:color w:val="auto"/>
        </w:rPr>
        <w:t>，</w:t>
      </w:r>
      <w:bookmarkStart w:id="199" w:name="_Hlk151227918"/>
      <w:r>
        <w:rPr>
          <w:color w:val="auto"/>
        </w:rPr>
        <w:t>设备清洗废水采用专用容器收集，经液态处置车间喷入回转窑焚烧</w:t>
      </w:r>
      <w:bookmarkEnd w:id="199"/>
      <w:r>
        <w:rPr>
          <w:color w:val="auto"/>
        </w:rPr>
        <w:t>，不外排。</w:t>
      </w:r>
    </w:p>
    <w:p w14:paraId="62186124" w14:textId="77777777" w:rsidR="002E474C" w:rsidRDefault="00000000">
      <w:pPr>
        <w:pStyle w:val="A-z"/>
        <w:rPr>
          <w:color w:val="auto"/>
        </w:rPr>
      </w:pPr>
      <w:r>
        <w:rPr>
          <w:color w:val="auto"/>
        </w:rPr>
        <w:t>（</w:t>
      </w:r>
      <w:r>
        <w:rPr>
          <w:color w:val="auto"/>
        </w:rPr>
        <w:t>3</w:t>
      </w:r>
      <w:r>
        <w:rPr>
          <w:color w:val="auto"/>
        </w:rPr>
        <w:t>）职工生活污水（</w:t>
      </w:r>
      <w:r>
        <w:rPr>
          <w:color w:val="auto"/>
        </w:rPr>
        <w:t>W4</w:t>
      </w:r>
      <w:r>
        <w:rPr>
          <w:color w:val="auto"/>
        </w:rPr>
        <w:t>）</w:t>
      </w:r>
    </w:p>
    <w:p w14:paraId="5C538E93" w14:textId="77777777" w:rsidR="002E474C" w:rsidRDefault="00000000">
      <w:pPr>
        <w:pStyle w:val="A-z"/>
        <w:ind w:firstLine="456"/>
        <w:rPr>
          <w:color w:val="auto"/>
          <w:spacing w:val="-6"/>
        </w:rPr>
      </w:pPr>
      <w:bookmarkStart w:id="200" w:name="_Hlk151318106"/>
      <w:r>
        <w:rPr>
          <w:color w:val="auto"/>
          <w:spacing w:val="-6"/>
        </w:rPr>
        <w:lastRenderedPageBreak/>
        <w:t>本项目依托水泥厂现有办公生活设施，生活污水经管网排入厂内综合污水处理站处理。</w:t>
      </w:r>
      <w:bookmarkEnd w:id="200"/>
      <w:r>
        <w:rPr>
          <w:color w:val="auto"/>
          <w:spacing w:val="-6"/>
          <w:lang w:val="en-US"/>
        </w:rPr>
        <w:t>根据《排放源统计调查产排污核算方法和系数手册》的附表</w:t>
      </w:r>
      <w:r>
        <w:rPr>
          <w:color w:val="auto"/>
          <w:spacing w:val="-6"/>
          <w:lang w:val="en-US"/>
        </w:rPr>
        <w:t>1</w:t>
      </w:r>
      <w:r>
        <w:rPr>
          <w:color w:val="auto"/>
          <w:spacing w:val="-6"/>
          <w:lang w:val="en-US"/>
        </w:rPr>
        <w:t>《生活污染源产排污系数手册》，新疆为三区，人均综合生活用水量</w:t>
      </w:r>
      <w:r>
        <w:rPr>
          <w:color w:val="auto"/>
          <w:spacing w:val="-6"/>
          <w:lang w:val="en-US"/>
        </w:rPr>
        <w:t>137</w:t>
      </w:r>
      <w:r>
        <w:rPr>
          <w:color w:val="auto"/>
          <w:spacing w:val="-6"/>
        </w:rPr>
        <w:t>L/</w:t>
      </w:r>
      <w:r>
        <w:rPr>
          <w:color w:val="auto"/>
          <w:spacing w:val="-6"/>
        </w:rPr>
        <w:t>人</w:t>
      </w:r>
      <w:r>
        <w:rPr>
          <w:color w:val="auto"/>
          <w:spacing w:val="-6"/>
        </w:rPr>
        <w:t>·d</w:t>
      </w:r>
      <w:r>
        <w:rPr>
          <w:color w:val="auto"/>
          <w:spacing w:val="-6"/>
        </w:rPr>
        <w:t>计，折污系数</w:t>
      </w:r>
      <w:r>
        <w:rPr>
          <w:color w:val="auto"/>
          <w:spacing w:val="-6"/>
        </w:rPr>
        <w:t>0.80</w:t>
      </w:r>
      <w:r>
        <w:rPr>
          <w:color w:val="auto"/>
          <w:spacing w:val="-6"/>
        </w:rPr>
        <w:t>。本项目新增劳动定员</w:t>
      </w:r>
      <w:r>
        <w:rPr>
          <w:color w:val="auto"/>
          <w:spacing w:val="-6"/>
        </w:rPr>
        <w:t>20</w:t>
      </w:r>
      <w:r>
        <w:rPr>
          <w:color w:val="auto"/>
          <w:spacing w:val="-6"/>
        </w:rPr>
        <w:t>人，生活用水量</w:t>
      </w:r>
      <w:r>
        <w:rPr>
          <w:color w:val="auto"/>
          <w:spacing w:val="-6"/>
        </w:rPr>
        <w:t>2.74m</w:t>
      </w:r>
      <w:r>
        <w:rPr>
          <w:color w:val="auto"/>
          <w:spacing w:val="-6"/>
          <w:vertAlign w:val="superscript"/>
        </w:rPr>
        <w:t>3</w:t>
      </w:r>
      <w:r>
        <w:rPr>
          <w:color w:val="auto"/>
          <w:spacing w:val="-6"/>
        </w:rPr>
        <w:t>/d</w:t>
      </w:r>
      <w:r>
        <w:rPr>
          <w:color w:val="auto"/>
          <w:spacing w:val="-6"/>
        </w:rPr>
        <w:t>（</w:t>
      </w:r>
      <w:r>
        <w:rPr>
          <w:color w:val="auto"/>
          <w:spacing w:val="-6"/>
        </w:rPr>
        <w:t>822m</w:t>
      </w:r>
      <w:r>
        <w:rPr>
          <w:color w:val="auto"/>
          <w:spacing w:val="-6"/>
          <w:vertAlign w:val="superscript"/>
        </w:rPr>
        <w:t>3</w:t>
      </w:r>
      <w:r>
        <w:rPr>
          <w:color w:val="auto"/>
          <w:spacing w:val="-6"/>
        </w:rPr>
        <w:t>/a</w:t>
      </w:r>
      <w:r>
        <w:rPr>
          <w:color w:val="auto"/>
          <w:spacing w:val="-6"/>
        </w:rPr>
        <w:t>），生活污水产生量为</w:t>
      </w:r>
      <w:r>
        <w:rPr>
          <w:color w:val="auto"/>
          <w:spacing w:val="-6"/>
        </w:rPr>
        <w:t>2.2m</w:t>
      </w:r>
      <w:r>
        <w:rPr>
          <w:color w:val="auto"/>
          <w:spacing w:val="-6"/>
          <w:vertAlign w:val="superscript"/>
        </w:rPr>
        <w:t>3</w:t>
      </w:r>
      <w:r>
        <w:rPr>
          <w:color w:val="auto"/>
          <w:spacing w:val="-6"/>
        </w:rPr>
        <w:t>/d</w:t>
      </w:r>
      <w:r>
        <w:rPr>
          <w:color w:val="auto"/>
          <w:spacing w:val="-6"/>
        </w:rPr>
        <w:t>（</w:t>
      </w:r>
      <w:r>
        <w:rPr>
          <w:color w:val="auto"/>
          <w:spacing w:val="-6"/>
        </w:rPr>
        <w:t>657.6m</w:t>
      </w:r>
      <w:r>
        <w:rPr>
          <w:color w:val="auto"/>
          <w:spacing w:val="-6"/>
          <w:vertAlign w:val="superscript"/>
        </w:rPr>
        <w:t>3</w:t>
      </w:r>
      <w:r>
        <w:rPr>
          <w:color w:val="auto"/>
          <w:spacing w:val="-6"/>
        </w:rPr>
        <w:t>/a</w:t>
      </w:r>
      <w:r>
        <w:rPr>
          <w:color w:val="auto"/>
          <w:spacing w:val="-6"/>
        </w:rPr>
        <w:t>），主要污染物为</w:t>
      </w:r>
      <w:r>
        <w:rPr>
          <w:color w:val="auto"/>
          <w:spacing w:val="-6"/>
        </w:rPr>
        <w:t>COD</w:t>
      </w:r>
      <w:r>
        <w:rPr>
          <w:color w:val="auto"/>
          <w:spacing w:val="-6"/>
        </w:rPr>
        <w:t>、</w:t>
      </w:r>
      <w:r>
        <w:rPr>
          <w:color w:val="auto"/>
          <w:spacing w:val="-6"/>
        </w:rPr>
        <w:t>BOD</w:t>
      </w:r>
      <w:r>
        <w:rPr>
          <w:color w:val="auto"/>
          <w:spacing w:val="-6"/>
          <w:vertAlign w:val="subscript"/>
        </w:rPr>
        <w:t>5</w:t>
      </w:r>
      <w:r>
        <w:rPr>
          <w:color w:val="auto"/>
          <w:spacing w:val="-6"/>
        </w:rPr>
        <w:t>、</w:t>
      </w:r>
      <w:r>
        <w:rPr>
          <w:color w:val="auto"/>
          <w:spacing w:val="-6"/>
        </w:rPr>
        <w:t>SS</w:t>
      </w:r>
      <w:r>
        <w:rPr>
          <w:color w:val="auto"/>
          <w:spacing w:val="-6"/>
        </w:rPr>
        <w:t>、氨氮等。</w:t>
      </w:r>
    </w:p>
    <w:p w14:paraId="0C91863B" w14:textId="77777777" w:rsidR="002E474C" w:rsidRDefault="00000000">
      <w:pPr>
        <w:pStyle w:val="A-z"/>
        <w:rPr>
          <w:color w:val="auto"/>
        </w:rPr>
      </w:pPr>
      <w:r>
        <w:rPr>
          <w:color w:val="auto"/>
        </w:rPr>
        <w:t>本项目废水污染源源强核算结果见表</w:t>
      </w:r>
      <w:r>
        <w:rPr>
          <w:color w:val="auto"/>
        </w:rPr>
        <w:t>3.5-19</w:t>
      </w:r>
      <w:r>
        <w:rPr>
          <w:color w:val="auto"/>
        </w:rPr>
        <w:t>。</w:t>
      </w:r>
    </w:p>
    <w:p w14:paraId="1D68FA0C" w14:textId="77777777" w:rsidR="002E474C" w:rsidRDefault="00000000">
      <w:pPr>
        <w:pStyle w:val="41"/>
        <w:rPr>
          <w:color w:val="auto"/>
        </w:rPr>
      </w:pPr>
      <w:r>
        <w:rPr>
          <w:color w:val="auto"/>
        </w:rPr>
        <w:t>噪声污染源源强核算</w:t>
      </w:r>
    </w:p>
    <w:p w14:paraId="3E01137E" w14:textId="77777777" w:rsidR="002E474C" w:rsidRDefault="00000000">
      <w:pPr>
        <w:pStyle w:val="A-z"/>
        <w:rPr>
          <w:color w:val="auto"/>
        </w:rPr>
      </w:pPr>
      <w:r>
        <w:rPr>
          <w:color w:val="auto"/>
        </w:rPr>
        <w:t>本项目实施后，新增噪声源主要包括固态危废预处理车间和液态处置车间的</w:t>
      </w:r>
      <w:r>
        <w:rPr>
          <w:rFonts w:hint="eastAsia"/>
          <w:color w:val="auto"/>
        </w:rPr>
        <w:t>设备</w:t>
      </w:r>
      <w:r>
        <w:rPr>
          <w:color w:val="auto"/>
        </w:rPr>
        <w:t>噪声。</w:t>
      </w:r>
      <w:r>
        <w:rPr>
          <w:color w:val="auto"/>
          <w:lang w:val="en-US"/>
        </w:rPr>
        <w:t>新增设备主要布局于固态预处理车间内，固态预处理车间主要噪声源强包括破碎机、给料机、风机、泵等，噪声声压级在</w:t>
      </w:r>
      <w:r>
        <w:rPr>
          <w:color w:val="auto"/>
          <w:lang w:val="en-US"/>
        </w:rPr>
        <w:t>80</w:t>
      </w:r>
      <w:r>
        <w:rPr>
          <w:color w:val="auto"/>
          <w:lang w:val="en-US"/>
        </w:rPr>
        <w:t>～</w:t>
      </w:r>
      <w:r>
        <w:rPr>
          <w:color w:val="auto"/>
          <w:lang w:val="en-US"/>
        </w:rPr>
        <w:t>95dB</w:t>
      </w:r>
      <w:r>
        <w:rPr>
          <w:color w:val="auto"/>
          <w:lang w:val="en-US"/>
        </w:rPr>
        <w:t>（</w:t>
      </w:r>
      <w:r>
        <w:rPr>
          <w:color w:val="auto"/>
          <w:lang w:val="en-US"/>
        </w:rPr>
        <w:t>A</w:t>
      </w:r>
      <w:r>
        <w:rPr>
          <w:color w:val="auto"/>
          <w:lang w:val="en-US"/>
        </w:rPr>
        <w:t>）之间。</w:t>
      </w:r>
      <w:r>
        <w:rPr>
          <w:color w:val="auto"/>
        </w:rPr>
        <w:t>本项目噪声污染源源强核算结果见表</w:t>
      </w:r>
      <w:r>
        <w:rPr>
          <w:color w:val="auto"/>
        </w:rPr>
        <w:t>3.5-20</w:t>
      </w:r>
      <w:r>
        <w:rPr>
          <w:color w:val="auto"/>
        </w:rPr>
        <w:t>。</w:t>
      </w:r>
    </w:p>
    <w:p w14:paraId="1EF184DF" w14:textId="77777777" w:rsidR="002E474C" w:rsidRDefault="00000000">
      <w:pPr>
        <w:pStyle w:val="A--"/>
        <w:rPr>
          <w:color w:val="auto"/>
        </w:rPr>
      </w:pPr>
      <w:bookmarkStart w:id="201" w:name="_Ref112150239"/>
      <w:r>
        <w:rPr>
          <w:color w:val="auto"/>
        </w:rPr>
        <w:t>表</w:t>
      </w:r>
      <w:bookmarkEnd w:id="201"/>
      <w:r>
        <w:rPr>
          <w:color w:val="auto"/>
        </w:rPr>
        <w:t xml:space="preserve">3.5-20  </w:t>
      </w:r>
      <w:r>
        <w:rPr>
          <w:color w:val="auto"/>
        </w:rPr>
        <w:t>本项目噪声污染源源强核算结果及相关参数</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559"/>
        <w:gridCol w:w="567"/>
        <w:gridCol w:w="689"/>
        <w:gridCol w:w="567"/>
        <w:gridCol w:w="709"/>
        <w:gridCol w:w="1168"/>
        <w:gridCol w:w="851"/>
        <w:gridCol w:w="628"/>
        <w:gridCol w:w="826"/>
        <w:gridCol w:w="401"/>
      </w:tblGrid>
      <w:tr w:rsidR="002E474C" w14:paraId="16E00092" w14:textId="77777777">
        <w:trPr>
          <w:trHeight w:val="855"/>
        </w:trPr>
        <w:tc>
          <w:tcPr>
            <w:tcW w:w="724" w:type="dxa"/>
            <w:vMerge w:val="restart"/>
            <w:shd w:val="clear" w:color="auto" w:fill="auto"/>
            <w:tcMar>
              <w:top w:w="15" w:type="dxa"/>
              <w:left w:w="15" w:type="dxa"/>
              <w:bottom w:w="0" w:type="dxa"/>
              <w:right w:w="15" w:type="dxa"/>
            </w:tcMar>
            <w:vAlign w:val="center"/>
          </w:tcPr>
          <w:p w14:paraId="7884CBE3" w14:textId="77777777" w:rsidR="002E474C" w:rsidRDefault="00000000">
            <w:pPr>
              <w:pStyle w:val="A-"/>
            </w:pPr>
            <w:r>
              <w:t>工序</w:t>
            </w:r>
            <w:r>
              <w:t>/</w:t>
            </w:r>
            <w:r>
              <w:t>生产线</w:t>
            </w:r>
          </w:p>
        </w:tc>
        <w:tc>
          <w:tcPr>
            <w:tcW w:w="1559" w:type="dxa"/>
            <w:vMerge w:val="restart"/>
            <w:shd w:val="clear" w:color="auto" w:fill="auto"/>
            <w:noWrap/>
            <w:tcMar>
              <w:top w:w="15" w:type="dxa"/>
              <w:left w:w="15" w:type="dxa"/>
              <w:bottom w:w="0" w:type="dxa"/>
              <w:right w:w="15" w:type="dxa"/>
            </w:tcMar>
            <w:vAlign w:val="center"/>
          </w:tcPr>
          <w:p w14:paraId="428165B9" w14:textId="77777777" w:rsidR="002E474C" w:rsidRDefault="00000000">
            <w:pPr>
              <w:pStyle w:val="A-"/>
            </w:pPr>
            <w:r>
              <w:t>噪声源</w:t>
            </w:r>
          </w:p>
        </w:tc>
        <w:tc>
          <w:tcPr>
            <w:tcW w:w="567" w:type="dxa"/>
            <w:vMerge w:val="restart"/>
            <w:shd w:val="clear" w:color="auto" w:fill="auto"/>
            <w:noWrap/>
            <w:tcMar>
              <w:top w:w="15" w:type="dxa"/>
              <w:left w:w="15" w:type="dxa"/>
              <w:bottom w:w="0" w:type="dxa"/>
              <w:right w:w="15" w:type="dxa"/>
            </w:tcMar>
            <w:vAlign w:val="center"/>
          </w:tcPr>
          <w:p w14:paraId="32148955" w14:textId="77777777" w:rsidR="002E474C" w:rsidRDefault="00000000">
            <w:pPr>
              <w:pStyle w:val="A-"/>
            </w:pPr>
            <w:r>
              <w:t>数量</w:t>
            </w:r>
          </w:p>
        </w:tc>
        <w:tc>
          <w:tcPr>
            <w:tcW w:w="689" w:type="dxa"/>
            <w:vMerge w:val="restart"/>
            <w:shd w:val="clear" w:color="auto" w:fill="auto"/>
            <w:tcMar>
              <w:top w:w="15" w:type="dxa"/>
              <w:left w:w="15" w:type="dxa"/>
              <w:bottom w:w="0" w:type="dxa"/>
              <w:right w:w="15" w:type="dxa"/>
            </w:tcMar>
            <w:vAlign w:val="center"/>
          </w:tcPr>
          <w:p w14:paraId="38D8BFC2" w14:textId="77777777" w:rsidR="002E474C" w:rsidRDefault="00000000">
            <w:pPr>
              <w:pStyle w:val="A-"/>
            </w:pPr>
            <w:r>
              <w:t>声源类型</w:t>
            </w:r>
          </w:p>
        </w:tc>
        <w:tc>
          <w:tcPr>
            <w:tcW w:w="1276" w:type="dxa"/>
            <w:gridSpan w:val="2"/>
            <w:shd w:val="clear" w:color="auto" w:fill="auto"/>
            <w:noWrap/>
            <w:tcMar>
              <w:top w:w="15" w:type="dxa"/>
              <w:left w:w="15" w:type="dxa"/>
              <w:bottom w:w="0" w:type="dxa"/>
              <w:right w:w="15" w:type="dxa"/>
            </w:tcMar>
            <w:vAlign w:val="center"/>
          </w:tcPr>
          <w:p w14:paraId="2A5C6EF1" w14:textId="77777777" w:rsidR="002E474C" w:rsidRDefault="00000000">
            <w:pPr>
              <w:pStyle w:val="A-"/>
            </w:pPr>
            <w:r>
              <w:t>噪声源强</w:t>
            </w:r>
          </w:p>
        </w:tc>
        <w:tc>
          <w:tcPr>
            <w:tcW w:w="2019" w:type="dxa"/>
            <w:gridSpan w:val="2"/>
            <w:shd w:val="clear" w:color="auto" w:fill="auto"/>
            <w:noWrap/>
            <w:tcMar>
              <w:top w:w="15" w:type="dxa"/>
              <w:left w:w="15" w:type="dxa"/>
              <w:bottom w:w="0" w:type="dxa"/>
              <w:right w:w="15" w:type="dxa"/>
            </w:tcMar>
            <w:vAlign w:val="center"/>
          </w:tcPr>
          <w:p w14:paraId="622DDE4D" w14:textId="77777777" w:rsidR="002E474C" w:rsidRDefault="00000000">
            <w:pPr>
              <w:pStyle w:val="A-"/>
            </w:pPr>
            <w:r>
              <w:t>降噪措施</w:t>
            </w:r>
          </w:p>
        </w:tc>
        <w:tc>
          <w:tcPr>
            <w:tcW w:w="1454" w:type="dxa"/>
            <w:gridSpan w:val="2"/>
            <w:shd w:val="clear" w:color="auto" w:fill="auto"/>
            <w:noWrap/>
            <w:tcMar>
              <w:top w:w="15" w:type="dxa"/>
              <w:left w:w="15" w:type="dxa"/>
              <w:bottom w:w="0" w:type="dxa"/>
              <w:right w:w="15" w:type="dxa"/>
            </w:tcMar>
            <w:vAlign w:val="center"/>
          </w:tcPr>
          <w:p w14:paraId="0D800DCC" w14:textId="77777777" w:rsidR="002E474C" w:rsidRDefault="00000000">
            <w:pPr>
              <w:pStyle w:val="A-"/>
            </w:pPr>
            <w:r>
              <w:t>噪声排放量</w:t>
            </w:r>
          </w:p>
        </w:tc>
        <w:tc>
          <w:tcPr>
            <w:tcW w:w="401" w:type="dxa"/>
            <w:vMerge w:val="restart"/>
            <w:shd w:val="clear" w:color="auto" w:fill="auto"/>
            <w:tcMar>
              <w:top w:w="15" w:type="dxa"/>
              <w:left w:w="15" w:type="dxa"/>
              <w:bottom w:w="0" w:type="dxa"/>
              <w:right w:w="15" w:type="dxa"/>
            </w:tcMar>
            <w:vAlign w:val="center"/>
          </w:tcPr>
          <w:p w14:paraId="796DBD82" w14:textId="77777777" w:rsidR="002E474C" w:rsidRDefault="00000000">
            <w:pPr>
              <w:pStyle w:val="A-"/>
            </w:pPr>
            <w:r>
              <w:t>持续时间</w:t>
            </w:r>
            <w:r>
              <w:t>/h</w:t>
            </w:r>
          </w:p>
        </w:tc>
      </w:tr>
      <w:tr w:rsidR="002E474C" w14:paraId="40D0621B" w14:textId="77777777">
        <w:trPr>
          <w:trHeight w:val="285"/>
        </w:trPr>
        <w:tc>
          <w:tcPr>
            <w:tcW w:w="724" w:type="dxa"/>
            <w:vMerge/>
            <w:vAlign w:val="center"/>
          </w:tcPr>
          <w:p w14:paraId="00AE152A" w14:textId="77777777" w:rsidR="002E474C" w:rsidRDefault="002E474C">
            <w:pPr>
              <w:pStyle w:val="A-"/>
            </w:pPr>
          </w:p>
        </w:tc>
        <w:tc>
          <w:tcPr>
            <w:tcW w:w="1559" w:type="dxa"/>
            <w:vMerge/>
            <w:vAlign w:val="center"/>
          </w:tcPr>
          <w:p w14:paraId="4C40D329" w14:textId="77777777" w:rsidR="002E474C" w:rsidRDefault="002E474C">
            <w:pPr>
              <w:pStyle w:val="A-"/>
            </w:pPr>
          </w:p>
        </w:tc>
        <w:tc>
          <w:tcPr>
            <w:tcW w:w="567" w:type="dxa"/>
            <w:vMerge/>
            <w:vAlign w:val="center"/>
          </w:tcPr>
          <w:p w14:paraId="4179E6A6" w14:textId="77777777" w:rsidR="002E474C" w:rsidRDefault="002E474C">
            <w:pPr>
              <w:pStyle w:val="A-"/>
            </w:pPr>
          </w:p>
        </w:tc>
        <w:tc>
          <w:tcPr>
            <w:tcW w:w="689" w:type="dxa"/>
            <w:vMerge/>
            <w:vAlign w:val="center"/>
          </w:tcPr>
          <w:p w14:paraId="678747BF" w14:textId="77777777" w:rsidR="002E474C" w:rsidRDefault="002E474C">
            <w:pPr>
              <w:pStyle w:val="A-"/>
            </w:pPr>
          </w:p>
        </w:tc>
        <w:tc>
          <w:tcPr>
            <w:tcW w:w="567" w:type="dxa"/>
            <w:shd w:val="clear" w:color="auto" w:fill="auto"/>
            <w:noWrap/>
            <w:tcMar>
              <w:top w:w="15" w:type="dxa"/>
              <w:left w:w="15" w:type="dxa"/>
              <w:bottom w:w="0" w:type="dxa"/>
              <w:right w:w="15" w:type="dxa"/>
            </w:tcMar>
            <w:vAlign w:val="center"/>
          </w:tcPr>
          <w:p w14:paraId="4DF53EF5" w14:textId="77777777" w:rsidR="002E474C" w:rsidRDefault="00000000">
            <w:pPr>
              <w:pStyle w:val="A-"/>
            </w:pPr>
            <w:r>
              <w:t>核算方法</w:t>
            </w:r>
          </w:p>
        </w:tc>
        <w:tc>
          <w:tcPr>
            <w:tcW w:w="709" w:type="dxa"/>
            <w:shd w:val="clear" w:color="auto" w:fill="auto"/>
            <w:noWrap/>
            <w:tcMar>
              <w:top w:w="15" w:type="dxa"/>
              <w:left w:w="15" w:type="dxa"/>
              <w:bottom w:w="0" w:type="dxa"/>
              <w:right w:w="15" w:type="dxa"/>
            </w:tcMar>
            <w:vAlign w:val="center"/>
          </w:tcPr>
          <w:p w14:paraId="39A54667" w14:textId="77777777" w:rsidR="002E474C" w:rsidRDefault="00000000">
            <w:pPr>
              <w:pStyle w:val="A-"/>
            </w:pPr>
            <w:r>
              <w:t>噪声值</w:t>
            </w:r>
            <w:r>
              <w:t>/dB(A)</w:t>
            </w:r>
          </w:p>
        </w:tc>
        <w:tc>
          <w:tcPr>
            <w:tcW w:w="1168" w:type="dxa"/>
            <w:shd w:val="clear" w:color="auto" w:fill="auto"/>
            <w:noWrap/>
            <w:tcMar>
              <w:top w:w="15" w:type="dxa"/>
              <w:left w:w="15" w:type="dxa"/>
              <w:bottom w:w="0" w:type="dxa"/>
              <w:right w:w="15" w:type="dxa"/>
            </w:tcMar>
            <w:vAlign w:val="center"/>
          </w:tcPr>
          <w:p w14:paraId="6DA3BFC7" w14:textId="77777777" w:rsidR="002E474C" w:rsidRDefault="00000000">
            <w:pPr>
              <w:pStyle w:val="A-"/>
            </w:pPr>
            <w:r>
              <w:t>工艺</w:t>
            </w:r>
          </w:p>
        </w:tc>
        <w:tc>
          <w:tcPr>
            <w:tcW w:w="851" w:type="dxa"/>
            <w:shd w:val="clear" w:color="auto" w:fill="auto"/>
            <w:noWrap/>
            <w:tcMar>
              <w:top w:w="15" w:type="dxa"/>
              <w:left w:w="15" w:type="dxa"/>
              <w:bottom w:w="0" w:type="dxa"/>
              <w:right w:w="15" w:type="dxa"/>
            </w:tcMar>
            <w:vAlign w:val="center"/>
          </w:tcPr>
          <w:p w14:paraId="694786C1" w14:textId="77777777" w:rsidR="002E474C" w:rsidRDefault="00000000">
            <w:pPr>
              <w:pStyle w:val="A-"/>
            </w:pPr>
            <w:r>
              <w:t>降噪效果</w:t>
            </w:r>
            <w:r>
              <w:t>/dB(A)</w:t>
            </w:r>
          </w:p>
        </w:tc>
        <w:tc>
          <w:tcPr>
            <w:tcW w:w="628" w:type="dxa"/>
            <w:shd w:val="clear" w:color="auto" w:fill="auto"/>
            <w:noWrap/>
            <w:tcMar>
              <w:top w:w="15" w:type="dxa"/>
              <w:left w:w="15" w:type="dxa"/>
              <w:bottom w:w="0" w:type="dxa"/>
              <w:right w:w="15" w:type="dxa"/>
            </w:tcMar>
            <w:vAlign w:val="center"/>
          </w:tcPr>
          <w:p w14:paraId="50BA7A9D" w14:textId="77777777" w:rsidR="002E474C" w:rsidRDefault="00000000">
            <w:pPr>
              <w:pStyle w:val="A-"/>
            </w:pPr>
            <w:r>
              <w:t>核算</w:t>
            </w:r>
          </w:p>
          <w:p w14:paraId="5CA67823" w14:textId="77777777" w:rsidR="002E474C" w:rsidRDefault="00000000">
            <w:pPr>
              <w:pStyle w:val="A-"/>
            </w:pPr>
            <w:r>
              <w:t>方法</w:t>
            </w:r>
          </w:p>
        </w:tc>
        <w:tc>
          <w:tcPr>
            <w:tcW w:w="826" w:type="dxa"/>
            <w:shd w:val="clear" w:color="auto" w:fill="auto"/>
            <w:noWrap/>
            <w:tcMar>
              <w:top w:w="15" w:type="dxa"/>
              <w:left w:w="15" w:type="dxa"/>
              <w:bottom w:w="0" w:type="dxa"/>
              <w:right w:w="15" w:type="dxa"/>
            </w:tcMar>
            <w:vAlign w:val="center"/>
          </w:tcPr>
          <w:p w14:paraId="0556F1CB" w14:textId="77777777" w:rsidR="002E474C" w:rsidRDefault="00000000">
            <w:pPr>
              <w:pStyle w:val="A-"/>
            </w:pPr>
            <w:r>
              <w:t>噪声值</w:t>
            </w:r>
            <w:r>
              <w:t>/dB(A)</w:t>
            </w:r>
          </w:p>
        </w:tc>
        <w:tc>
          <w:tcPr>
            <w:tcW w:w="401" w:type="dxa"/>
            <w:vMerge/>
            <w:vAlign w:val="center"/>
          </w:tcPr>
          <w:p w14:paraId="2B93366A" w14:textId="77777777" w:rsidR="002E474C" w:rsidRDefault="002E474C">
            <w:pPr>
              <w:pStyle w:val="A-"/>
            </w:pPr>
          </w:p>
        </w:tc>
      </w:tr>
      <w:tr w:rsidR="002E474C" w14:paraId="0BBB140F" w14:textId="77777777">
        <w:trPr>
          <w:trHeight w:val="285"/>
        </w:trPr>
        <w:tc>
          <w:tcPr>
            <w:tcW w:w="724" w:type="dxa"/>
            <w:vMerge w:val="restart"/>
            <w:shd w:val="clear" w:color="auto" w:fill="auto"/>
            <w:tcMar>
              <w:top w:w="15" w:type="dxa"/>
              <w:left w:w="15" w:type="dxa"/>
              <w:bottom w:w="0" w:type="dxa"/>
              <w:right w:w="15" w:type="dxa"/>
            </w:tcMar>
            <w:vAlign w:val="center"/>
          </w:tcPr>
          <w:p w14:paraId="53376B3C" w14:textId="77777777" w:rsidR="002E474C" w:rsidRDefault="00000000">
            <w:pPr>
              <w:pStyle w:val="A-"/>
            </w:pPr>
            <w:r>
              <w:t>固态危废预处理车间</w:t>
            </w:r>
          </w:p>
        </w:tc>
        <w:tc>
          <w:tcPr>
            <w:tcW w:w="1559" w:type="dxa"/>
            <w:shd w:val="clear" w:color="auto" w:fill="auto"/>
            <w:noWrap/>
            <w:tcMar>
              <w:top w:w="15" w:type="dxa"/>
              <w:left w:w="15" w:type="dxa"/>
              <w:bottom w:w="0" w:type="dxa"/>
              <w:right w:w="15" w:type="dxa"/>
            </w:tcMar>
            <w:vAlign w:val="bottom"/>
          </w:tcPr>
          <w:p w14:paraId="232FE7B9" w14:textId="77777777" w:rsidR="002E474C" w:rsidRDefault="00000000">
            <w:pPr>
              <w:pStyle w:val="A-"/>
            </w:pPr>
            <w:r>
              <w:rPr>
                <w:rFonts w:hint="eastAsia"/>
              </w:rPr>
              <w:t>装载机</w:t>
            </w:r>
          </w:p>
        </w:tc>
        <w:tc>
          <w:tcPr>
            <w:tcW w:w="567" w:type="dxa"/>
            <w:shd w:val="clear" w:color="auto" w:fill="auto"/>
            <w:noWrap/>
            <w:tcMar>
              <w:top w:w="15" w:type="dxa"/>
              <w:left w:w="15" w:type="dxa"/>
              <w:bottom w:w="0" w:type="dxa"/>
              <w:right w:w="15" w:type="dxa"/>
            </w:tcMar>
            <w:vAlign w:val="center"/>
          </w:tcPr>
          <w:p w14:paraId="0C4879E4" w14:textId="77777777" w:rsidR="002E474C" w:rsidRDefault="00000000">
            <w:pPr>
              <w:pStyle w:val="A-"/>
            </w:pPr>
            <w:r>
              <w:t>2</w:t>
            </w:r>
          </w:p>
        </w:tc>
        <w:tc>
          <w:tcPr>
            <w:tcW w:w="689" w:type="dxa"/>
            <w:shd w:val="clear" w:color="auto" w:fill="auto"/>
            <w:noWrap/>
            <w:tcMar>
              <w:top w:w="15" w:type="dxa"/>
              <w:left w:w="15" w:type="dxa"/>
              <w:bottom w:w="0" w:type="dxa"/>
              <w:right w:w="15" w:type="dxa"/>
            </w:tcMar>
            <w:vAlign w:val="center"/>
          </w:tcPr>
          <w:p w14:paraId="03FFA768"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70B9F5CA"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242257DF" w14:textId="77777777" w:rsidR="002E474C" w:rsidRDefault="00000000">
            <w:pPr>
              <w:pStyle w:val="A-"/>
            </w:pPr>
            <w:r>
              <w:t>85</w:t>
            </w:r>
          </w:p>
        </w:tc>
        <w:tc>
          <w:tcPr>
            <w:tcW w:w="1168" w:type="dxa"/>
            <w:shd w:val="clear" w:color="auto" w:fill="auto"/>
            <w:noWrap/>
            <w:tcMar>
              <w:top w:w="15" w:type="dxa"/>
              <w:left w:w="15" w:type="dxa"/>
              <w:bottom w:w="0" w:type="dxa"/>
              <w:right w:w="15" w:type="dxa"/>
            </w:tcMar>
            <w:vAlign w:val="center"/>
          </w:tcPr>
          <w:p w14:paraId="499ACFD9"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vAlign w:val="center"/>
          </w:tcPr>
          <w:p w14:paraId="05DE6D01"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35029000"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2F935F39" w14:textId="77777777" w:rsidR="002E474C" w:rsidRDefault="00000000">
            <w:pPr>
              <w:pStyle w:val="A-"/>
            </w:pPr>
            <w:r>
              <w:t>6</w:t>
            </w:r>
            <w:r>
              <w:rPr>
                <w:rFonts w:hint="eastAsia"/>
              </w:rPr>
              <w:t>5</w:t>
            </w:r>
          </w:p>
        </w:tc>
        <w:tc>
          <w:tcPr>
            <w:tcW w:w="401" w:type="dxa"/>
            <w:shd w:val="clear" w:color="auto" w:fill="auto"/>
            <w:noWrap/>
            <w:tcMar>
              <w:top w:w="15" w:type="dxa"/>
              <w:left w:w="15" w:type="dxa"/>
              <w:bottom w:w="0" w:type="dxa"/>
              <w:right w:w="15" w:type="dxa"/>
            </w:tcMar>
            <w:vAlign w:val="center"/>
          </w:tcPr>
          <w:p w14:paraId="44B463CF" w14:textId="77777777" w:rsidR="002E474C" w:rsidRDefault="00000000">
            <w:pPr>
              <w:pStyle w:val="A-"/>
            </w:pPr>
            <w:r>
              <w:t>24</w:t>
            </w:r>
          </w:p>
        </w:tc>
      </w:tr>
      <w:tr w:rsidR="002E474C" w14:paraId="72789981" w14:textId="77777777">
        <w:trPr>
          <w:trHeight w:val="285"/>
        </w:trPr>
        <w:tc>
          <w:tcPr>
            <w:tcW w:w="724" w:type="dxa"/>
            <w:vMerge/>
            <w:vAlign w:val="center"/>
          </w:tcPr>
          <w:p w14:paraId="7CAC6142"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1BD0ADD2" w14:textId="77777777" w:rsidR="002E474C" w:rsidRDefault="00000000">
            <w:pPr>
              <w:pStyle w:val="A-"/>
            </w:pPr>
            <w:r>
              <w:t>破碎机</w:t>
            </w:r>
          </w:p>
        </w:tc>
        <w:tc>
          <w:tcPr>
            <w:tcW w:w="567" w:type="dxa"/>
            <w:shd w:val="clear" w:color="auto" w:fill="auto"/>
            <w:tcMar>
              <w:top w:w="15" w:type="dxa"/>
              <w:left w:w="15" w:type="dxa"/>
              <w:bottom w:w="0" w:type="dxa"/>
              <w:right w:w="15" w:type="dxa"/>
            </w:tcMar>
            <w:vAlign w:val="center"/>
          </w:tcPr>
          <w:p w14:paraId="4A4814F0" w14:textId="77777777" w:rsidR="002E474C" w:rsidRDefault="00000000">
            <w:pPr>
              <w:pStyle w:val="A-"/>
            </w:pPr>
            <w:r>
              <w:t>1</w:t>
            </w:r>
          </w:p>
        </w:tc>
        <w:tc>
          <w:tcPr>
            <w:tcW w:w="689" w:type="dxa"/>
            <w:shd w:val="clear" w:color="auto" w:fill="auto"/>
            <w:noWrap/>
            <w:tcMar>
              <w:top w:w="15" w:type="dxa"/>
              <w:left w:w="15" w:type="dxa"/>
              <w:bottom w:w="0" w:type="dxa"/>
              <w:right w:w="15" w:type="dxa"/>
            </w:tcMar>
            <w:vAlign w:val="center"/>
          </w:tcPr>
          <w:p w14:paraId="4C8E87A0"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63D8335F"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2F2BF7DA" w14:textId="77777777" w:rsidR="002E474C" w:rsidRDefault="00000000">
            <w:pPr>
              <w:pStyle w:val="A-"/>
            </w:pPr>
            <w:r>
              <w:t>90</w:t>
            </w:r>
          </w:p>
        </w:tc>
        <w:tc>
          <w:tcPr>
            <w:tcW w:w="1168" w:type="dxa"/>
            <w:shd w:val="clear" w:color="auto" w:fill="auto"/>
            <w:noWrap/>
            <w:tcMar>
              <w:top w:w="15" w:type="dxa"/>
              <w:left w:w="15" w:type="dxa"/>
              <w:bottom w:w="0" w:type="dxa"/>
              <w:right w:w="15" w:type="dxa"/>
            </w:tcMar>
            <w:vAlign w:val="center"/>
          </w:tcPr>
          <w:p w14:paraId="622A84CD"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tcPr>
          <w:p w14:paraId="21A673AA"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49354BE5"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1D7E5883" w14:textId="77777777" w:rsidR="002E474C" w:rsidRDefault="00000000">
            <w:pPr>
              <w:pStyle w:val="A-"/>
            </w:pPr>
            <w:r>
              <w:rPr>
                <w:rFonts w:hint="eastAsia"/>
              </w:rPr>
              <w:t>70</w:t>
            </w:r>
          </w:p>
        </w:tc>
        <w:tc>
          <w:tcPr>
            <w:tcW w:w="401" w:type="dxa"/>
            <w:shd w:val="clear" w:color="auto" w:fill="auto"/>
            <w:noWrap/>
            <w:tcMar>
              <w:top w:w="15" w:type="dxa"/>
              <w:left w:w="15" w:type="dxa"/>
              <w:bottom w:w="0" w:type="dxa"/>
              <w:right w:w="15" w:type="dxa"/>
            </w:tcMar>
            <w:vAlign w:val="center"/>
          </w:tcPr>
          <w:p w14:paraId="4342EDAA" w14:textId="77777777" w:rsidR="002E474C" w:rsidRDefault="00000000">
            <w:pPr>
              <w:pStyle w:val="A-"/>
            </w:pPr>
            <w:r>
              <w:t>24</w:t>
            </w:r>
          </w:p>
        </w:tc>
      </w:tr>
      <w:tr w:rsidR="002E474C" w14:paraId="7D0853B3" w14:textId="77777777">
        <w:trPr>
          <w:trHeight w:val="285"/>
        </w:trPr>
        <w:tc>
          <w:tcPr>
            <w:tcW w:w="724" w:type="dxa"/>
            <w:vMerge/>
            <w:vAlign w:val="center"/>
          </w:tcPr>
          <w:p w14:paraId="316BDF4D"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0BCE383A" w14:textId="77777777" w:rsidR="002E474C" w:rsidRDefault="00000000">
            <w:pPr>
              <w:pStyle w:val="A-"/>
            </w:pPr>
            <w:r>
              <w:t>喂料机</w:t>
            </w:r>
          </w:p>
        </w:tc>
        <w:tc>
          <w:tcPr>
            <w:tcW w:w="567" w:type="dxa"/>
            <w:shd w:val="clear" w:color="auto" w:fill="auto"/>
            <w:tcMar>
              <w:top w:w="15" w:type="dxa"/>
              <w:left w:w="15" w:type="dxa"/>
              <w:bottom w:w="0" w:type="dxa"/>
              <w:right w:w="15" w:type="dxa"/>
            </w:tcMar>
            <w:vAlign w:val="center"/>
          </w:tcPr>
          <w:p w14:paraId="5FE8B2AD" w14:textId="77777777" w:rsidR="002E474C" w:rsidRDefault="00000000">
            <w:pPr>
              <w:pStyle w:val="A-"/>
            </w:pPr>
            <w:r>
              <w:t>2</w:t>
            </w:r>
          </w:p>
        </w:tc>
        <w:tc>
          <w:tcPr>
            <w:tcW w:w="689" w:type="dxa"/>
            <w:shd w:val="clear" w:color="auto" w:fill="auto"/>
            <w:noWrap/>
            <w:tcMar>
              <w:top w:w="15" w:type="dxa"/>
              <w:left w:w="15" w:type="dxa"/>
              <w:bottom w:w="0" w:type="dxa"/>
              <w:right w:w="15" w:type="dxa"/>
            </w:tcMar>
            <w:vAlign w:val="center"/>
          </w:tcPr>
          <w:p w14:paraId="4DE5C3FC"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5CB1A69F"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3BEBB876" w14:textId="77777777" w:rsidR="002E474C" w:rsidRDefault="00000000">
            <w:pPr>
              <w:pStyle w:val="A-"/>
            </w:pPr>
            <w:r>
              <w:t>85</w:t>
            </w:r>
          </w:p>
        </w:tc>
        <w:tc>
          <w:tcPr>
            <w:tcW w:w="1168" w:type="dxa"/>
            <w:shd w:val="clear" w:color="auto" w:fill="auto"/>
            <w:noWrap/>
            <w:tcMar>
              <w:top w:w="15" w:type="dxa"/>
              <w:left w:w="15" w:type="dxa"/>
              <w:bottom w:w="0" w:type="dxa"/>
              <w:right w:w="15" w:type="dxa"/>
            </w:tcMar>
            <w:vAlign w:val="center"/>
          </w:tcPr>
          <w:p w14:paraId="354329A7"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tcPr>
          <w:p w14:paraId="2A010C44"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136619F1"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5500E031" w14:textId="77777777" w:rsidR="002E474C" w:rsidRDefault="00000000">
            <w:pPr>
              <w:pStyle w:val="A-"/>
            </w:pPr>
            <w:r>
              <w:t>6</w:t>
            </w:r>
            <w:r>
              <w:rPr>
                <w:rFonts w:hint="eastAsia"/>
              </w:rPr>
              <w:t>5</w:t>
            </w:r>
          </w:p>
        </w:tc>
        <w:tc>
          <w:tcPr>
            <w:tcW w:w="401" w:type="dxa"/>
            <w:shd w:val="clear" w:color="auto" w:fill="auto"/>
            <w:noWrap/>
            <w:tcMar>
              <w:top w:w="15" w:type="dxa"/>
              <w:left w:w="15" w:type="dxa"/>
              <w:bottom w:w="0" w:type="dxa"/>
              <w:right w:w="15" w:type="dxa"/>
            </w:tcMar>
            <w:vAlign w:val="center"/>
          </w:tcPr>
          <w:p w14:paraId="796EC6C6" w14:textId="77777777" w:rsidR="002E474C" w:rsidRDefault="00000000">
            <w:pPr>
              <w:pStyle w:val="A-"/>
            </w:pPr>
            <w:r>
              <w:t>24</w:t>
            </w:r>
          </w:p>
        </w:tc>
      </w:tr>
      <w:tr w:rsidR="002E474C" w14:paraId="3AB26346" w14:textId="77777777">
        <w:trPr>
          <w:trHeight w:val="285"/>
        </w:trPr>
        <w:tc>
          <w:tcPr>
            <w:tcW w:w="724" w:type="dxa"/>
            <w:vMerge/>
            <w:vAlign w:val="center"/>
          </w:tcPr>
          <w:p w14:paraId="69762AE0"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5D03B63B" w14:textId="77777777" w:rsidR="002E474C" w:rsidRDefault="00000000">
            <w:pPr>
              <w:pStyle w:val="A-"/>
            </w:pPr>
            <w:r>
              <w:t>输送装置</w:t>
            </w:r>
          </w:p>
        </w:tc>
        <w:tc>
          <w:tcPr>
            <w:tcW w:w="567" w:type="dxa"/>
            <w:shd w:val="clear" w:color="auto" w:fill="auto"/>
            <w:tcMar>
              <w:top w:w="15" w:type="dxa"/>
              <w:left w:w="15" w:type="dxa"/>
              <w:bottom w:w="0" w:type="dxa"/>
              <w:right w:w="15" w:type="dxa"/>
            </w:tcMar>
            <w:vAlign w:val="center"/>
          </w:tcPr>
          <w:p w14:paraId="44C76DE8" w14:textId="77777777" w:rsidR="002E474C" w:rsidRDefault="00000000">
            <w:pPr>
              <w:pStyle w:val="A-"/>
            </w:pPr>
            <w:r>
              <w:t>1</w:t>
            </w:r>
          </w:p>
        </w:tc>
        <w:tc>
          <w:tcPr>
            <w:tcW w:w="689" w:type="dxa"/>
            <w:shd w:val="clear" w:color="auto" w:fill="auto"/>
            <w:noWrap/>
            <w:tcMar>
              <w:top w:w="15" w:type="dxa"/>
              <w:left w:w="15" w:type="dxa"/>
              <w:bottom w:w="0" w:type="dxa"/>
              <w:right w:w="15" w:type="dxa"/>
            </w:tcMar>
            <w:vAlign w:val="center"/>
          </w:tcPr>
          <w:p w14:paraId="4069E512"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0262BB18"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134BEB23" w14:textId="77777777" w:rsidR="002E474C" w:rsidRDefault="00000000">
            <w:pPr>
              <w:pStyle w:val="A-"/>
            </w:pPr>
            <w:r>
              <w:t>75</w:t>
            </w:r>
          </w:p>
        </w:tc>
        <w:tc>
          <w:tcPr>
            <w:tcW w:w="1168" w:type="dxa"/>
            <w:shd w:val="clear" w:color="auto" w:fill="auto"/>
            <w:noWrap/>
            <w:tcMar>
              <w:top w:w="15" w:type="dxa"/>
              <w:left w:w="15" w:type="dxa"/>
              <w:bottom w:w="0" w:type="dxa"/>
              <w:right w:w="15" w:type="dxa"/>
            </w:tcMar>
            <w:vAlign w:val="center"/>
          </w:tcPr>
          <w:p w14:paraId="6D149DF1"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tcPr>
          <w:p w14:paraId="62DD7C73"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119CC985"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1AE0D57A" w14:textId="77777777" w:rsidR="002E474C" w:rsidRDefault="00000000">
            <w:pPr>
              <w:pStyle w:val="A-"/>
            </w:pPr>
            <w:r>
              <w:t>5</w:t>
            </w:r>
            <w:r>
              <w:rPr>
                <w:rFonts w:hint="eastAsia"/>
              </w:rPr>
              <w:t>5</w:t>
            </w:r>
          </w:p>
        </w:tc>
        <w:tc>
          <w:tcPr>
            <w:tcW w:w="401" w:type="dxa"/>
            <w:shd w:val="clear" w:color="auto" w:fill="auto"/>
            <w:noWrap/>
            <w:tcMar>
              <w:top w:w="15" w:type="dxa"/>
              <w:left w:w="15" w:type="dxa"/>
              <w:bottom w:w="0" w:type="dxa"/>
              <w:right w:w="15" w:type="dxa"/>
            </w:tcMar>
            <w:vAlign w:val="center"/>
          </w:tcPr>
          <w:p w14:paraId="761505AA" w14:textId="77777777" w:rsidR="002E474C" w:rsidRDefault="00000000">
            <w:pPr>
              <w:pStyle w:val="A-"/>
            </w:pPr>
            <w:r>
              <w:t>24</w:t>
            </w:r>
          </w:p>
        </w:tc>
      </w:tr>
      <w:tr w:rsidR="002E474C" w14:paraId="586417F9" w14:textId="77777777">
        <w:trPr>
          <w:trHeight w:val="285"/>
        </w:trPr>
        <w:tc>
          <w:tcPr>
            <w:tcW w:w="724" w:type="dxa"/>
            <w:vMerge/>
            <w:vAlign w:val="center"/>
          </w:tcPr>
          <w:p w14:paraId="3A069044"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1F0410EC" w14:textId="77777777" w:rsidR="002E474C" w:rsidRDefault="00000000">
            <w:pPr>
              <w:pStyle w:val="A-"/>
            </w:pPr>
            <w:r>
              <w:t>风机</w:t>
            </w:r>
          </w:p>
        </w:tc>
        <w:tc>
          <w:tcPr>
            <w:tcW w:w="567" w:type="dxa"/>
            <w:shd w:val="clear" w:color="auto" w:fill="auto"/>
            <w:tcMar>
              <w:top w:w="15" w:type="dxa"/>
              <w:left w:w="15" w:type="dxa"/>
              <w:bottom w:w="0" w:type="dxa"/>
              <w:right w:w="15" w:type="dxa"/>
            </w:tcMar>
            <w:vAlign w:val="center"/>
          </w:tcPr>
          <w:p w14:paraId="1B3DBE31" w14:textId="77777777" w:rsidR="002E474C" w:rsidRDefault="00000000">
            <w:pPr>
              <w:pStyle w:val="A-"/>
            </w:pPr>
            <w:r>
              <w:t>2</w:t>
            </w:r>
          </w:p>
        </w:tc>
        <w:tc>
          <w:tcPr>
            <w:tcW w:w="689" w:type="dxa"/>
            <w:shd w:val="clear" w:color="auto" w:fill="auto"/>
            <w:noWrap/>
            <w:tcMar>
              <w:top w:w="15" w:type="dxa"/>
              <w:left w:w="15" w:type="dxa"/>
              <w:bottom w:w="0" w:type="dxa"/>
              <w:right w:w="15" w:type="dxa"/>
            </w:tcMar>
            <w:vAlign w:val="center"/>
          </w:tcPr>
          <w:p w14:paraId="4A4E0993"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6F9C8ABA"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5D3AC112" w14:textId="77777777" w:rsidR="002E474C" w:rsidRDefault="00000000">
            <w:pPr>
              <w:pStyle w:val="A-"/>
            </w:pPr>
            <w:r>
              <w:t>85</w:t>
            </w:r>
          </w:p>
        </w:tc>
        <w:tc>
          <w:tcPr>
            <w:tcW w:w="1168" w:type="dxa"/>
            <w:shd w:val="clear" w:color="auto" w:fill="auto"/>
            <w:noWrap/>
            <w:tcMar>
              <w:top w:w="15" w:type="dxa"/>
              <w:left w:w="15" w:type="dxa"/>
              <w:bottom w:w="0" w:type="dxa"/>
              <w:right w:w="15" w:type="dxa"/>
            </w:tcMar>
            <w:vAlign w:val="center"/>
          </w:tcPr>
          <w:p w14:paraId="5002322F" w14:textId="77777777" w:rsidR="002E474C" w:rsidRDefault="00000000">
            <w:pPr>
              <w:pStyle w:val="A-"/>
            </w:pPr>
            <w:r>
              <w:t>消声、减振</w:t>
            </w:r>
          </w:p>
        </w:tc>
        <w:tc>
          <w:tcPr>
            <w:tcW w:w="851" w:type="dxa"/>
            <w:shd w:val="clear" w:color="auto" w:fill="auto"/>
            <w:noWrap/>
            <w:tcMar>
              <w:top w:w="15" w:type="dxa"/>
              <w:left w:w="15" w:type="dxa"/>
              <w:bottom w:w="0" w:type="dxa"/>
              <w:right w:w="15" w:type="dxa"/>
            </w:tcMar>
          </w:tcPr>
          <w:p w14:paraId="6E34AE36"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5A583540"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2E38BF05" w14:textId="77777777" w:rsidR="002E474C" w:rsidRDefault="00000000">
            <w:pPr>
              <w:pStyle w:val="A-"/>
            </w:pPr>
            <w:r>
              <w:t>65</w:t>
            </w:r>
          </w:p>
        </w:tc>
        <w:tc>
          <w:tcPr>
            <w:tcW w:w="401" w:type="dxa"/>
            <w:shd w:val="clear" w:color="auto" w:fill="auto"/>
            <w:noWrap/>
            <w:tcMar>
              <w:top w:w="15" w:type="dxa"/>
              <w:left w:w="15" w:type="dxa"/>
              <w:bottom w:w="0" w:type="dxa"/>
              <w:right w:w="15" w:type="dxa"/>
            </w:tcMar>
            <w:vAlign w:val="center"/>
          </w:tcPr>
          <w:p w14:paraId="61483647" w14:textId="77777777" w:rsidR="002E474C" w:rsidRDefault="00000000">
            <w:pPr>
              <w:pStyle w:val="A-"/>
            </w:pPr>
            <w:r>
              <w:t>24</w:t>
            </w:r>
          </w:p>
        </w:tc>
      </w:tr>
      <w:tr w:rsidR="002E474C" w14:paraId="6E68D0A7" w14:textId="77777777">
        <w:trPr>
          <w:trHeight w:val="285"/>
        </w:trPr>
        <w:tc>
          <w:tcPr>
            <w:tcW w:w="724" w:type="dxa"/>
            <w:vMerge w:val="restart"/>
            <w:vAlign w:val="center"/>
          </w:tcPr>
          <w:p w14:paraId="59CCCAF6" w14:textId="77777777" w:rsidR="002E474C" w:rsidRDefault="00000000">
            <w:pPr>
              <w:pStyle w:val="A-"/>
            </w:pPr>
            <w:r>
              <w:t>无机类废物加料设施</w:t>
            </w:r>
          </w:p>
        </w:tc>
        <w:tc>
          <w:tcPr>
            <w:tcW w:w="1559" w:type="dxa"/>
            <w:shd w:val="clear" w:color="auto" w:fill="auto"/>
            <w:tcMar>
              <w:top w:w="15" w:type="dxa"/>
              <w:left w:w="15" w:type="dxa"/>
              <w:bottom w:w="0" w:type="dxa"/>
              <w:right w:w="15" w:type="dxa"/>
            </w:tcMar>
            <w:vAlign w:val="center"/>
          </w:tcPr>
          <w:p w14:paraId="32DA5113" w14:textId="77777777" w:rsidR="002E474C" w:rsidRDefault="00000000">
            <w:pPr>
              <w:pStyle w:val="A-"/>
            </w:pPr>
            <w:r>
              <w:t>输送装置</w:t>
            </w:r>
          </w:p>
        </w:tc>
        <w:tc>
          <w:tcPr>
            <w:tcW w:w="567" w:type="dxa"/>
            <w:shd w:val="clear" w:color="auto" w:fill="auto"/>
            <w:tcMar>
              <w:top w:w="15" w:type="dxa"/>
              <w:left w:w="15" w:type="dxa"/>
              <w:bottom w:w="0" w:type="dxa"/>
              <w:right w:w="15" w:type="dxa"/>
            </w:tcMar>
            <w:vAlign w:val="center"/>
          </w:tcPr>
          <w:p w14:paraId="3E899351" w14:textId="77777777" w:rsidR="002E474C" w:rsidRDefault="00000000">
            <w:pPr>
              <w:pStyle w:val="A-"/>
            </w:pPr>
            <w:r>
              <w:t>1</w:t>
            </w:r>
          </w:p>
        </w:tc>
        <w:tc>
          <w:tcPr>
            <w:tcW w:w="689" w:type="dxa"/>
            <w:shd w:val="clear" w:color="auto" w:fill="auto"/>
            <w:noWrap/>
            <w:tcMar>
              <w:top w:w="15" w:type="dxa"/>
              <w:left w:w="15" w:type="dxa"/>
              <w:bottom w:w="0" w:type="dxa"/>
              <w:right w:w="15" w:type="dxa"/>
            </w:tcMar>
            <w:vAlign w:val="center"/>
          </w:tcPr>
          <w:p w14:paraId="1F2328D1"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5B2B7093"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099298BE" w14:textId="77777777" w:rsidR="002E474C" w:rsidRDefault="00000000">
            <w:pPr>
              <w:pStyle w:val="A-"/>
            </w:pPr>
            <w:r>
              <w:t>75</w:t>
            </w:r>
          </w:p>
        </w:tc>
        <w:tc>
          <w:tcPr>
            <w:tcW w:w="1168" w:type="dxa"/>
            <w:shd w:val="clear" w:color="auto" w:fill="auto"/>
            <w:noWrap/>
            <w:tcMar>
              <w:top w:w="15" w:type="dxa"/>
              <w:left w:w="15" w:type="dxa"/>
              <w:bottom w:w="0" w:type="dxa"/>
              <w:right w:w="15" w:type="dxa"/>
            </w:tcMar>
            <w:vAlign w:val="center"/>
          </w:tcPr>
          <w:p w14:paraId="690BA54B"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tcPr>
          <w:p w14:paraId="7617667D"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4C974649"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4CEB340B" w14:textId="77777777" w:rsidR="002E474C" w:rsidRDefault="00000000">
            <w:pPr>
              <w:pStyle w:val="A-"/>
            </w:pPr>
            <w:r>
              <w:t>5</w:t>
            </w:r>
            <w:r>
              <w:rPr>
                <w:rFonts w:hint="eastAsia"/>
              </w:rPr>
              <w:t>5</w:t>
            </w:r>
          </w:p>
        </w:tc>
        <w:tc>
          <w:tcPr>
            <w:tcW w:w="401" w:type="dxa"/>
            <w:shd w:val="clear" w:color="auto" w:fill="auto"/>
            <w:noWrap/>
            <w:tcMar>
              <w:top w:w="15" w:type="dxa"/>
              <w:left w:w="15" w:type="dxa"/>
              <w:bottom w:w="0" w:type="dxa"/>
              <w:right w:w="15" w:type="dxa"/>
            </w:tcMar>
            <w:vAlign w:val="center"/>
          </w:tcPr>
          <w:p w14:paraId="680EB342" w14:textId="77777777" w:rsidR="002E474C" w:rsidRDefault="00000000">
            <w:pPr>
              <w:pStyle w:val="A-"/>
            </w:pPr>
            <w:r>
              <w:t>24</w:t>
            </w:r>
          </w:p>
        </w:tc>
      </w:tr>
      <w:tr w:rsidR="002E474C" w14:paraId="3900856D" w14:textId="77777777">
        <w:trPr>
          <w:trHeight w:val="285"/>
        </w:trPr>
        <w:tc>
          <w:tcPr>
            <w:tcW w:w="724" w:type="dxa"/>
            <w:vMerge/>
            <w:vAlign w:val="center"/>
          </w:tcPr>
          <w:p w14:paraId="71C25B39"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27957EC8" w14:textId="77777777" w:rsidR="002E474C" w:rsidRDefault="00000000">
            <w:pPr>
              <w:pStyle w:val="A-"/>
            </w:pPr>
            <w:r>
              <w:t>风机</w:t>
            </w:r>
          </w:p>
        </w:tc>
        <w:tc>
          <w:tcPr>
            <w:tcW w:w="567" w:type="dxa"/>
            <w:shd w:val="clear" w:color="auto" w:fill="auto"/>
            <w:tcMar>
              <w:top w:w="15" w:type="dxa"/>
              <w:left w:w="15" w:type="dxa"/>
              <w:bottom w:w="0" w:type="dxa"/>
              <w:right w:w="15" w:type="dxa"/>
            </w:tcMar>
            <w:vAlign w:val="center"/>
          </w:tcPr>
          <w:p w14:paraId="08361220" w14:textId="77777777" w:rsidR="002E474C" w:rsidRDefault="00000000">
            <w:pPr>
              <w:pStyle w:val="A-"/>
            </w:pPr>
            <w:r>
              <w:t>1</w:t>
            </w:r>
          </w:p>
        </w:tc>
        <w:tc>
          <w:tcPr>
            <w:tcW w:w="689" w:type="dxa"/>
            <w:shd w:val="clear" w:color="auto" w:fill="auto"/>
            <w:noWrap/>
            <w:tcMar>
              <w:top w:w="15" w:type="dxa"/>
              <w:left w:w="15" w:type="dxa"/>
              <w:bottom w:w="0" w:type="dxa"/>
              <w:right w:w="15" w:type="dxa"/>
            </w:tcMar>
            <w:vAlign w:val="center"/>
          </w:tcPr>
          <w:p w14:paraId="2485741A"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61CCCC4A"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519408C1" w14:textId="77777777" w:rsidR="002E474C" w:rsidRDefault="00000000">
            <w:pPr>
              <w:pStyle w:val="A-"/>
            </w:pPr>
            <w:r>
              <w:t>85</w:t>
            </w:r>
          </w:p>
        </w:tc>
        <w:tc>
          <w:tcPr>
            <w:tcW w:w="1168" w:type="dxa"/>
            <w:shd w:val="clear" w:color="auto" w:fill="auto"/>
            <w:noWrap/>
            <w:tcMar>
              <w:top w:w="15" w:type="dxa"/>
              <w:left w:w="15" w:type="dxa"/>
              <w:bottom w:w="0" w:type="dxa"/>
              <w:right w:w="15" w:type="dxa"/>
            </w:tcMar>
            <w:vAlign w:val="center"/>
          </w:tcPr>
          <w:p w14:paraId="05D99F3C" w14:textId="77777777" w:rsidR="002E474C" w:rsidRDefault="00000000">
            <w:pPr>
              <w:pStyle w:val="A-"/>
            </w:pPr>
            <w:r>
              <w:t>消声、减振</w:t>
            </w:r>
          </w:p>
        </w:tc>
        <w:tc>
          <w:tcPr>
            <w:tcW w:w="851" w:type="dxa"/>
            <w:shd w:val="clear" w:color="auto" w:fill="auto"/>
            <w:noWrap/>
            <w:tcMar>
              <w:top w:w="15" w:type="dxa"/>
              <w:left w:w="15" w:type="dxa"/>
              <w:bottom w:w="0" w:type="dxa"/>
              <w:right w:w="15" w:type="dxa"/>
            </w:tcMar>
          </w:tcPr>
          <w:p w14:paraId="1E76A937"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0A5256ED"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6AD21F15" w14:textId="77777777" w:rsidR="002E474C" w:rsidRDefault="00000000">
            <w:pPr>
              <w:pStyle w:val="A-"/>
            </w:pPr>
            <w:r>
              <w:t>65</w:t>
            </w:r>
          </w:p>
        </w:tc>
        <w:tc>
          <w:tcPr>
            <w:tcW w:w="401" w:type="dxa"/>
            <w:shd w:val="clear" w:color="auto" w:fill="auto"/>
            <w:noWrap/>
            <w:tcMar>
              <w:top w:w="15" w:type="dxa"/>
              <w:left w:w="15" w:type="dxa"/>
              <w:bottom w:w="0" w:type="dxa"/>
              <w:right w:w="15" w:type="dxa"/>
            </w:tcMar>
            <w:vAlign w:val="center"/>
          </w:tcPr>
          <w:p w14:paraId="19D1BC04" w14:textId="77777777" w:rsidR="002E474C" w:rsidRDefault="00000000">
            <w:pPr>
              <w:pStyle w:val="A-"/>
            </w:pPr>
            <w:r>
              <w:t>24</w:t>
            </w:r>
          </w:p>
        </w:tc>
      </w:tr>
      <w:tr w:rsidR="002E474C" w14:paraId="484B6F5D" w14:textId="77777777">
        <w:trPr>
          <w:trHeight w:val="285"/>
        </w:trPr>
        <w:tc>
          <w:tcPr>
            <w:tcW w:w="724" w:type="dxa"/>
            <w:vMerge w:val="restart"/>
            <w:vAlign w:val="center"/>
          </w:tcPr>
          <w:p w14:paraId="2A18352C" w14:textId="77777777" w:rsidR="002E474C" w:rsidRDefault="00000000">
            <w:pPr>
              <w:pStyle w:val="A-"/>
            </w:pPr>
            <w:r>
              <w:t>液态处置车间</w:t>
            </w:r>
          </w:p>
        </w:tc>
        <w:tc>
          <w:tcPr>
            <w:tcW w:w="1559" w:type="dxa"/>
            <w:shd w:val="clear" w:color="auto" w:fill="auto"/>
            <w:tcMar>
              <w:top w:w="15" w:type="dxa"/>
              <w:left w:w="15" w:type="dxa"/>
              <w:bottom w:w="0" w:type="dxa"/>
              <w:right w:w="15" w:type="dxa"/>
            </w:tcMar>
            <w:vAlign w:val="center"/>
          </w:tcPr>
          <w:p w14:paraId="02458D23" w14:textId="77777777" w:rsidR="002E474C" w:rsidRDefault="00000000">
            <w:pPr>
              <w:pStyle w:val="A-"/>
            </w:pPr>
            <w:r>
              <w:t>泵类</w:t>
            </w:r>
          </w:p>
        </w:tc>
        <w:tc>
          <w:tcPr>
            <w:tcW w:w="567" w:type="dxa"/>
            <w:shd w:val="clear" w:color="auto" w:fill="auto"/>
            <w:tcMar>
              <w:top w:w="15" w:type="dxa"/>
              <w:left w:w="15" w:type="dxa"/>
              <w:bottom w:w="0" w:type="dxa"/>
              <w:right w:w="15" w:type="dxa"/>
            </w:tcMar>
            <w:vAlign w:val="center"/>
          </w:tcPr>
          <w:p w14:paraId="4067672B" w14:textId="77777777" w:rsidR="002E474C" w:rsidRDefault="00000000">
            <w:pPr>
              <w:pStyle w:val="A-"/>
            </w:pPr>
            <w:r>
              <w:t>2</w:t>
            </w:r>
          </w:p>
        </w:tc>
        <w:tc>
          <w:tcPr>
            <w:tcW w:w="689" w:type="dxa"/>
            <w:shd w:val="clear" w:color="auto" w:fill="auto"/>
            <w:noWrap/>
            <w:tcMar>
              <w:top w:w="15" w:type="dxa"/>
              <w:left w:w="15" w:type="dxa"/>
              <w:bottom w:w="0" w:type="dxa"/>
              <w:right w:w="15" w:type="dxa"/>
            </w:tcMar>
            <w:vAlign w:val="center"/>
          </w:tcPr>
          <w:p w14:paraId="67EB2330"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4B9DFA2B"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1108EC5B" w14:textId="77777777" w:rsidR="002E474C" w:rsidRDefault="00000000">
            <w:pPr>
              <w:pStyle w:val="A-"/>
            </w:pPr>
            <w:r>
              <w:t>90</w:t>
            </w:r>
          </w:p>
        </w:tc>
        <w:tc>
          <w:tcPr>
            <w:tcW w:w="1168" w:type="dxa"/>
            <w:shd w:val="clear" w:color="auto" w:fill="auto"/>
            <w:noWrap/>
            <w:tcMar>
              <w:top w:w="15" w:type="dxa"/>
              <w:left w:w="15" w:type="dxa"/>
              <w:bottom w:w="0" w:type="dxa"/>
              <w:right w:w="15" w:type="dxa"/>
            </w:tcMar>
            <w:vAlign w:val="center"/>
          </w:tcPr>
          <w:p w14:paraId="0E80ABED" w14:textId="77777777" w:rsidR="002E474C" w:rsidRDefault="00000000">
            <w:pPr>
              <w:pStyle w:val="A-"/>
            </w:pPr>
            <w:r>
              <w:t>隔声、减振</w:t>
            </w:r>
          </w:p>
        </w:tc>
        <w:tc>
          <w:tcPr>
            <w:tcW w:w="851" w:type="dxa"/>
            <w:shd w:val="clear" w:color="auto" w:fill="auto"/>
            <w:noWrap/>
            <w:tcMar>
              <w:top w:w="15" w:type="dxa"/>
              <w:left w:w="15" w:type="dxa"/>
              <w:bottom w:w="0" w:type="dxa"/>
              <w:right w:w="15" w:type="dxa"/>
            </w:tcMar>
          </w:tcPr>
          <w:p w14:paraId="45BA25BC"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0E68F7FD"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0410F253" w14:textId="77777777" w:rsidR="002E474C" w:rsidRDefault="00000000">
            <w:pPr>
              <w:pStyle w:val="A-"/>
            </w:pPr>
            <w:r>
              <w:rPr>
                <w:rFonts w:hint="eastAsia"/>
              </w:rPr>
              <w:t>70</w:t>
            </w:r>
          </w:p>
        </w:tc>
        <w:tc>
          <w:tcPr>
            <w:tcW w:w="401" w:type="dxa"/>
            <w:shd w:val="clear" w:color="auto" w:fill="auto"/>
            <w:noWrap/>
            <w:tcMar>
              <w:top w:w="15" w:type="dxa"/>
              <w:left w:w="15" w:type="dxa"/>
              <w:bottom w:w="0" w:type="dxa"/>
              <w:right w:w="15" w:type="dxa"/>
            </w:tcMar>
            <w:vAlign w:val="center"/>
          </w:tcPr>
          <w:p w14:paraId="1CF2B42C" w14:textId="77777777" w:rsidR="002E474C" w:rsidRDefault="00000000">
            <w:pPr>
              <w:pStyle w:val="A-"/>
            </w:pPr>
            <w:r>
              <w:t>24</w:t>
            </w:r>
          </w:p>
        </w:tc>
      </w:tr>
      <w:tr w:rsidR="002E474C" w14:paraId="515717B2" w14:textId="77777777">
        <w:trPr>
          <w:trHeight w:val="285"/>
        </w:trPr>
        <w:tc>
          <w:tcPr>
            <w:tcW w:w="724" w:type="dxa"/>
            <w:vMerge/>
            <w:vAlign w:val="center"/>
          </w:tcPr>
          <w:p w14:paraId="5E7B0C71" w14:textId="77777777" w:rsidR="002E474C" w:rsidRDefault="002E474C">
            <w:pPr>
              <w:pStyle w:val="A-"/>
            </w:pPr>
          </w:p>
        </w:tc>
        <w:tc>
          <w:tcPr>
            <w:tcW w:w="1559" w:type="dxa"/>
            <w:shd w:val="clear" w:color="auto" w:fill="auto"/>
            <w:tcMar>
              <w:top w:w="15" w:type="dxa"/>
              <w:left w:w="15" w:type="dxa"/>
              <w:bottom w:w="0" w:type="dxa"/>
              <w:right w:w="15" w:type="dxa"/>
            </w:tcMar>
            <w:vAlign w:val="center"/>
          </w:tcPr>
          <w:p w14:paraId="3BEB222F" w14:textId="77777777" w:rsidR="002E474C" w:rsidRDefault="00000000">
            <w:pPr>
              <w:pStyle w:val="A-"/>
            </w:pPr>
            <w:r>
              <w:t>风机</w:t>
            </w:r>
          </w:p>
        </w:tc>
        <w:tc>
          <w:tcPr>
            <w:tcW w:w="567" w:type="dxa"/>
            <w:shd w:val="clear" w:color="auto" w:fill="auto"/>
            <w:tcMar>
              <w:top w:w="15" w:type="dxa"/>
              <w:left w:w="15" w:type="dxa"/>
              <w:bottom w:w="0" w:type="dxa"/>
              <w:right w:w="15" w:type="dxa"/>
            </w:tcMar>
            <w:vAlign w:val="center"/>
          </w:tcPr>
          <w:p w14:paraId="1483504D" w14:textId="77777777" w:rsidR="002E474C" w:rsidRDefault="00000000">
            <w:pPr>
              <w:pStyle w:val="A-"/>
            </w:pPr>
            <w:r>
              <w:t>1</w:t>
            </w:r>
          </w:p>
        </w:tc>
        <w:tc>
          <w:tcPr>
            <w:tcW w:w="689" w:type="dxa"/>
            <w:shd w:val="clear" w:color="auto" w:fill="auto"/>
            <w:noWrap/>
            <w:tcMar>
              <w:top w:w="15" w:type="dxa"/>
              <w:left w:w="15" w:type="dxa"/>
              <w:bottom w:w="0" w:type="dxa"/>
              <w:right w:w="15" w:type="dxa"/>
            </w:tcMar>
            <w:vAlign w:val="center"/>
          </w:tcPr>
          <w:p w14:paraId="3675653D" w14:textId="77777777" w:rsidR="002E474C" w:rsidRDefault="00000000">
            <w:pPr>
              <w:pStyle w:val="A-"/>
            </w:pPr>
            <w:r>
              <w:t>频发</w:t>
            </w:r>
          </w:p>
        </w:tc>
        <w:tc>
          <w:tcPr>
            <w:tcW w:w="567" w:type="dxa"/>
            <w:shd w:val="clear" w:color="auto" w:fill="auto"/>
            <w:noWrap/>
            <w:tcMar>
              <w:top w:w="15" w:type="dxa"/>
              <w:left w:w="15" w:type="dxa"/>
              <w:bottom w:w="0" w:type="dxa"/>
              <w:right w:w="15" w:type="dxa"/>
            </w:tcMar>
            <w:vAlign w:val="center"/>
          </w:tcPr>
          <w:p w14:paraId="15F914B5" w14:textId="77777777" w:rsidR="002E474C" w:rsidRDefault="00000000">
            <w:pPr>
              <w:pStyle w:val="A-"/>
            </w:pPr>
            <w:r>
              <w:t>类比</w:t>
            </w:r>
          </w:p>
        </w:tc>
        <w:tc>
          <w:tcPr>
            <w:tcW w:w="709" w:type="dxa"/>
            <w:shd w:val="clear" w:color="auto" w:fill="auto"/>
            <w:noWrap/>
            <w:tcMar>
              <w:top w:w="15" w:type="dxa"/>
              <w:left w:w="15" w:type="dxa"/>
              <w:bottom w:w="0" w:type="dxa"/>
              <w:right w:w="15" w:type="dxa"/>
            </w:tcMar>
            <w:vAlign w:val="center"/>
          </w:tcPr>
          <w:p w14:paraId="44084EF2" w14:textId="77777777" w:rsidR="002E474C" w:rsidRDefault="00000000">
            <w:pPr>
              <w:pStyle w:val="A-"/>
            </w:pPr>
            <w:r>
              <w:t>85</w:t>
            </w:r>
          </w:p>
        </w:tc>
        <w:tc>
          <w:tcPr>
            <w:tcW w:w="1168" w:type="dxa"/>
            <w:shd w:val="clear" w:color="auto" w:fill="auto"/>
            <w:noWrap/>
            <w:tcMar>
              <w:top w:w="15" w:type="dxa"/>
              <w:left w:w="15" w:type="dxa"/>
              <w:bottom w:w="0" w:type="dxa"/>
              <w:right w:w="15" w:type="dxa"/>
            </w:tcMar>
            <w:vAlign w:val="center"/>
          </w:tcPr>
          <w:p w14:paraId="4474E6CB" w14:textId="77777777" w:rsidR="002E474C" w:rsidRDefault="00000000">
            <w:pPr>
              <w:pStyle w:val="A-"/>
            </w:pPr>
            <w:r>
              <w:t>消声、减振</w:t>
            </w:r>
          </w:p>
        </w:tc>
        <w:tc>
          <w:tcPr>
            <w:tcW w:w="851" w:type="dxa"/>
            <w:shd w:val="clear" w:color="auto" w:fill="auto"/>
            <w:noWrap/>
            <w:tcMar>
              <w:top w:w="15" w:type="dxa"/>
              <w:left w:w="15" w:type="dxa"/>
              <w:bottom w:w="0" w:type="dxa"/>
              <w:right w:w="15" w:type="dxa"/>
            </w:tcMar>
          </w:tcPr>
          <w:p w14:paraId="39F7D2FB" w14:textId="77777777" w:rsidR="002E474C" w:rsidRDefault="00000000">
            <w:pPr>
              <w:pStyle w:val="A-"/>
            </w:pPr>
            <w:r>
              <w:rPr>
                <w:rFonts w:hint="eastAsia"/>
              </w:rPr>
              <w:t>20</w:t>
            </w:r>
          </w:p>
        </w:tc>
        <w:tc>
          <w:tcPr>
            <w:tcW w:w="628" w:type="dxa"/>
            <w:shd w:val="clear" w:color="auto" w:fill="auto"/>
            <w:noWrap/>
            <w:tcMar>
              <w:top w:w="15" w:type="dxa"/>
              <w:left w:w="15" w:type="dxa"/>
              <w:bottom w:w="0" w:type="dxa"/>
              <w:right w:w="15" w:type="dxa"/>
            </w:tcMar>
            <w:vAlign w:val="center"/>
          </w:tcPr>
          <w:p w14:paraId="4E2C02D9" w14:textId="77777777" w:rsidR="002E474C" w:rsidRDefault="00000000">
            <w:pPr>
              <w:pStyle w:val="A-"/>
            </w:pPr>
            <w:r>
              <w:t>类比</w:t>
            </w:r>
          </w:p>
        </w:tc>
        <w:tc>
          <w:tcPr>
            <w:tcW w:w="826" w:type="dxa"/>
            <w:shd w:val="clear" w:color="auto" w:fill="auto"/>
            <w:noWrap/>
            <w:tcMar>
              <w:top w:w="15" w:type="dxa"/>
              <w:left w:w="15" w:type="dxa"/>
              <w:bottom w:w="0" w:type="dxa"/>
              <w:right w:w="15" w:type="dxa"/>
            </w:tcMar>
            <w:vAlign w:val="center"/>
          </w:tcPr>
          <w:p w14:paraId="52F377AF" w14:textId="77777777" w:rsidR="002E474C" w:rsidRDefault="00000000">
            <w:pPr>
              <w:pStyle w:val="A-"/>
            </w:pPr>
            <w:r>
              <w:t>65</w:t>
            </w:r>
          </w:p>
        </w:tc>
        <w:tc>
          <w:tcPr>
            <w:tcW w:w="401" w:type="dxa"/>
            <w:shd w:val="clear" w:color="auto" w:fill="auto"/>
            <w:noWrap/>
            <w:tcMar>
              <w:top w:w="15" w:type="dxa"/>
              <w:left w:w="15" w:type="dxa"/>
              <w:bottom w:w="0" w:type="dxa"/>
              <w:right w:w="15" w:type="dxa"/>
            </w:tcMar>
            <w:vAlign w:val="center"/>
          </w:tcPr>
          <w:p w14:paraId="21B9549B" w14:textId="77777777" w:rsidR="002E474C" w:rsidRDefault="00000000">
            <w:pPr>
              <w:pStyle w:val="A-"/>
            </w:pPr>
            <w:r>
              <w:t>24</w:t>
            </w:r>
          </w:p>
        </w:tc>
      </w:tr>
    </w:tbl>
    <w:p w14:paraId="15D4836F" w14:textId="77777777" w:rsidR="002E474C" w:rsidRDefault="002E474C">
      <w:pPr>
        <w:pStyle w:val="A-z"/>
        <w:rPr>
          <w:color w:val="auto"/>
        </w:rPr>
      </w:pPr>
    </w:p>
    <w:p w14:paraId="45D73D54"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6D58ACAF" w14:textId="77777777" w:rsidR="002E474C" w:rsidRDefault="00000000">
      <w:pPr>
        <w:pStyle w:val="A--"/>
        <w:rPr>
          <w:color w:val="auto"/>
        </w:rPr>
      </w:pPr>
      <w:bookmarkStart w:id="202" w:name="_Ref127979066"/>
      <w:r>
        <w:rPr>
          <w:color w:val="auto"/>
        </w:rPr>
        <w:lastRenderedPageBreak/>
        <w:t>表</w:t>
      </w:r>
      <w:bookmarkEnd w:id="202"/>
      <w:r>
        <w:rPr>
          <w:color w:val="auto"/>
        </w:rPr>
        <w:t xml:space="preserve">3.5-19  </w:t>
      </w:r>
      <w:r>
        <w:rPr>
          <w:color w:val="auto"/>
        </w:rPr>
        <w:t>本项目废水污染源源强核算结果及相关参数</w:t>
      </w:r>
    </w:p>
    <w:tbl>
      <w:tblPr>
        <w:tblStyle w:val="affff9"/>
        <w:tblW w:w="5000" w:type="pct"/>
        <w:tblLayout w:type="fixed"/>
        <w:tblLook w:val="04A0" w:firstRow="1" w:lastRow="0" w:firstColumn="1" w:lastColumn="0" w:noHBand="0" w:noVBand="1"/>
      </w:tblPr>
      <w:tblGrid>
        <w:gridCol w:w="977"/>
        <w:gridCol w:w="1443"/>
        <w:gridCol w:w="945"/>
        <w:gridCol w:w="953"/>
        <w:gridCol w:w="797"/>
        <w:gridCol w:w="1003"/>
        <w:gridCol w:w="1225"/>
        <w:gridCol w:w="1069"/>
        <w:gridCol w:w="884"/>
        <w:gridCol w:w="775"/>
        <w:gridCol w:w="1003"/>
        <w:gridCol w:w="1220"/>
        <w:gridCol w:w="934"/>
      </w:tblGrid>
      <w:tr w:rsidR="002E474C" w14:paraId="2671B0C6" w14:textId="77777777">
        <w:trPr>
          <w:trHeight w:val="300"/>
        </w:trPr>
        <w:tc>
          <w:tcPr>
            <w:tcW w:w="369" w:type="pct"/>
            <w:vMerge w:val="restart"/>
            <w:vAlign w:val="center"/>
          </w:tcPr>
          <w:p w14:paraId="7DE5A85C" w14:textId="77777777" w:rsidR="002E474C" w:rsidRDefault="00000000">
            <w:pPr>
              <w:pStyle w:val="A-"/>
            </w:pPr>
            <w:r>
              <w:t>工序</w:t>
            </w:r>
            <w:r>
              <w:t>/</w:t>
            </w:r>
            <w:r>
              <w:t>生产线</w:t>
            </w:r>
          </w:p>
        </w:tc>
        <w:tc>
          <w:tcPr>
            <w:tcW w:w="545" w:type="pct"/>
            <w:vMerge w:val="restart"/>
            <w:vAlign w:val="center"/>
          </w:tcPr>
          <w:p w14:paraId="6E78DC1D" w14:textId="77777777" w:rsidR="002E474C" w:rsidRDefault="00000000">
            <w:pPr>
              <w:pStyle w:val="A-"/>
            </w:pPr>
            <w:r>
              <w:t>装置</w:t>
            </w:r>
          </w:p>
        </w:tc>
        <w:tc>
          <w:tcPr>
            <w:tcW w:w="357" w:type="pct"/>
            <w:vMerge w:val="restart"/>
            <w:vAlign w:val="center"/>
          </w:tcPr>
          <w:p w14:paraId="2DA126C5" w14:textId="77777777" w:rsidR="002E474C" w:rsidRDefault="00000000">
            <w:pPr>
              <w:pStyle w:val="A-"/>
            </w:pPr>
            <w:r>
              <w:t>污染源</w:t>
            </w:r>
          </w:p>
        </w:tc>
        <w:tc>
          <w:tcPr>
            <w:tcW w:w="360" w:type="pct"/>
            <w:vMerge w:val="restart"/>
            <w:vAlign w:val="center"/>
          </w:tcPr>
          <w:p w14:paraId="1A590C24" w14:textId="77777777" w:rsidR="002E474C" w:rsidRDefault="00000000">
            <w:pPr>
              <w:pStyle w:val="A-"/>
            </w:pPr>
            <w:r>
              <w:t>污染物</w:t>
            </w:r>
          </w:p>
        </w:tc>
        <w:tc>
          <w:tcPr>
            <w:tcW w:w="1547" w:type="pct"/>
            <w:gridSpan w:val="4"/>
            <w:vAlign w:val="center"/>
          </w:tcPr>
          <w:p w14:paraId="653379DF" w14:textId="77777777" w:rsidR="002E474C" w:rsidRDefault="00000000">
            <w:pPr>
              <w:pStyle w:val="A-"/>
            </w:pPr>
            <w:r>
              <w:t>污染物产生</w:t>
            </w:r>
          </w:p>
        </w:tc>
        <w:tc>
          <w:tcPr>
            <w:tcW w:w="627" w:type="pct"/>
            <w:gridSpan w:val="2"/>
            <w:vAlign w:val="center"/>
          </w:tcPr>
          <w:p w14:paraId="02D75414" w14:textId="77777777" w:rsidR="002E474C" w:rsidRDefault="00000000">
            <w:pPr>
              <w:pStyle w:val="A-"/>
            </w:pPr>
            <w:r>
              <w:t>治理措施</w:t>
            </w:r>
          </w:p>
        </w:tc>
        <w:tc>
          <w:tcPr>
            <w:tcW w:w="1193" w:type="pct"/>
            <w:gridSpan w:val="3"/>
            <w:vAlign w:val="center"/>
          </w:tcPr>
          <w:p w14:paraId="19C1449B" w14:textId="77777777" w:rsidR="002E474C" w:rsidRDefault="00000000">
            <w:pPr>
              <w:pStyle w:val="A-"/>
            </w:pPr>
            <w:r>
              <w:t>污染物排放</w:t>
            </w:r>
          </w:p>
        </w:tc>
      </w:tr>
      <w:tr w:rsidR="002E474C" w14:paraId="5C8E56C8" w14:textId="77777777">
        <w:trPr>
          <w:trHeight w:val="855"/>
        </w:trPr>
        <w:tc>
          <w:tcPr>
            <w:tcW w:w="369" w:type="pct"/>
            <w:vMerge/>
            <w:vAlign w:val="center"/>
          </w:tcPr>
          <w:p w14:paraId="72976AD4" w14:textId="77777777" w:rsidR="002E474C" w:rsidRDefault="002E474C">
            <w:pPr>
              <w:pStyle w:val="A-"/>
            </w:pPr>
          </w:p>
        </w:tc>
        <w:tc>
          <w:tcPr>
            <w:tcW w:w="545" w:type="pct"/>
            <w:vMerge/>
            <w:vAlign w:val="center"/>
          </w:tcPr>
          <w:p w14:paraId="35EA2B1F" w14:textId="77777777" w:rsidR="002E474C" w:rsidRDefault="002E474C">
            <w:pPr>
              <w:pStyle w:val="A-"/>
            </w:pPr>
          </w:p>
        </w:tc>
        <w:tc>
          <w:tcPr>
            <w:tcW w:w="357" w:type="pct"/>
            <w:vMerge/>
            <w:vAlign w:val="center"/>
          </w:tcPr>
          <w:p w14:paraId="73851183" w14:textId="77777777" w:rsidR="002E474C" w:rsidRDefault="002E474C">
            <w:pPr>
              <w:pStyle w:val="A-"/>
            </w:pPr>
          </w:p>
        </w:tc>
        <w:tc>
          <w:tcPr>
            <w:tcW w:w="360" w:type="pct"/>
            <w:vMerge/>
            <w:vAlign w:val="center"/>
          </w:tcPr>
          <w:p w14:paraId="52FDB2D8" w14:textId="77777777" w:rsidR="002E474C" w:rsidRDefault="002E474C">
            <w:pPr>
              <w:pStyle w:val="A-"/>
            </w:pPr>
          </w:p>
        </w:tc>
        <w:tc>
          <w:tcPr>
            <w:tcW w:w="301" w:type="pct"/>
            <w:vAlign w:val="center"/>
          </w:tcPr>
          <w:p w14:paraId="69C2E3CE" w14:textId="77777777" w:rsidR="002E474C" w:rsidRDefault="00000000">
            <w:pPr>
              <w:pStyle w:val="A-"/>
            </w:pPr>
            <w:r>
              <w:t>核算方法</w:t>
            </w:r>
          </w:p>
        </w:tc>
        <w:tc>
          <w:tcPr>
            <w:tcW w:w="379" w:type="pct"/>
            <w:vAlign w:val="center"/>
          </w:tcPr>
          <w:p w14:paraId="74AA3FC8" w14:textId="77777777" w:rsidR="002E474C" w:rsidRDefault="00000000">
            <w:pPr>
              <w:pStyle w:val="A-"/>
            </w:pPr>
            <w:r>
              <w:t>废水量（</w:t>
            </w:r>
            <w:r>
              <w:t>m</w:t>
            </w:r>
            <w:r>
              <w:rPr>
                <w:vertAlign w:val="superscript"/>
              </w:rPr>
              <w:t>3</w:t>
            </w:r>
            <w:r>
              <w:t>/a</w:t>
            </w:r>
            <w:r>
              <w:t>）</w:t>
            </w:r>
          </w:p>
        </w:tc>
        <w:tc>
          <w:tcPr>
            <w:tcW w:w="463" w:type="pct"/>
            <w:vAlign w:val="center"/>
          </w:tcPr>
          <w:p w14:paraId="425DD5B7" w14:textId="77777777" w:rsidR="002E474C" w:rsidRDefault="00000000">
            <w:pPr>
              <w:pStyle w:val="A-"/>
            </w:pPr>
            <w:r>
              <w:t>产生浓度（</w:t>
            </w:r>
            <w:r>
              <w:t>mg/L</w:t>
            </w:r>
            <w:r>
              <w:t>）</w:t>
            </w:r>
          </w:p>
        </w:tc>
        <w:tc>
          <w:tcPr>
            <w:tcW w:w="403" w:type="pct"/>
            <w:vAlign w:val="center"/>
          </w:tcPr>
          <w:p w14:paraId="24DCA346" w14:textId="77777777" w:rsidR="002E474C" w:rsidRDefault="00000000">
            <w:pPr>
              <w:pStyle w:val="A-"/>
            </w:pPr>
            <w:r>
              <w:t>产生量（</w:t>
            </w:r>
            <w:r>
              <w:t>t/a</w:t>
            </w:r>
            <w:r>
              <w:t>）</w:t>
            </w:r>
          </w:p>
        </w:tc>
        <w:tc>
          <w:tcPr>
            <w:tcW w:w="334" w:type="pct"/>
            <w:vAlign w:val="center"/>
          </w:tcPr>
          <w:p w14:paraId="3F708D72" w14:textId="77777777" w:rsidR="002E474C" w:rsidRDefault="00000000">
            <w:pPr>
              <w:pStyle w:val="A-"/>
            </w:pPr>
            <w:r>
              <w:t>工艺</w:t>
            </w:r>
          </w:p>
        </w:tc>
        <w:tc>
          <w:tcPr>
            <w:tcW w:w="293" w:type="pct"/>
            <w:vAlign w:val="center"/>
          </w:tcPr>
          <w:p w14:paraId="5BEF2029" w14:textId="77777777" w:rsidR="002E474C" w:rsidRDefault="00000000">
            <w:pPr>
              <w:pStyle w:val="A-"/>
            </w:pPr>
            <w:r>
              <w:t>效率</w:t>
            </w:r>
            <w:r>
              <w:t>/%</w:t>
            </w:r>
          </w:p>
        </w:tc>
        <w:tc>
          <w:tcPr>
            <w:tcW w:w="379" w:type="pct"/>
            <w:vAlign w:val="center"/>
          </w:tcPr>
          <w:p w14:paraId="7FB1A540" w14:textId="77777777" w:rsidR="002E474C" w:rsidRDefault="00000000">
            <w:pPr>
              <w:pStyle w:val="A-"/>
            </w:pPr>
            <w:r>
              <w:t>废水量（</w:t>
            </w:r>
            <w:r>
              <w:t>m</w:t>
            </w:r>
            <w:r>
              <w:rPr>
                <w:vertAlign w:val="superscript"/>
              </w:rPr>
              <w:t>3</w:t>
            </w:r>
            <w:r>
              <w:t>/a</w:t>
            </w:r>
            <w:r>
              <w:t>）</w:t>
            </w:r>
          </w:p>
        </w:tc>
        <w:tc>
          <w:tcPr>
            <w:tcW w:w="461" w:type="pct"/>
            <w:vAlign w:val="center"/>
          </w:tcPr>
          <w:p w14:paraId="5D1D78B7" w14:textId="77777777" w:rsidR="002E474C" w:rsidRDefault="00000000">
            <w:pPr>
              <w:pStyle w:val="A-"/>
            </w:pPr>
            <w:r>
              <w:t>排放浓度（</w:t>
            </w:r>
            <w:r>
              <w:t>mg/L</w:t>
            </w:r>
            <w:r>
              <w:t>）</w:t>
            </w:r>
          </w:p>
        </w:tc>
        <w:tc>
          <w:tcPr>
            <w:tcW w:w="353" w:type="pct"/>
            <w:vAlign w:val="center"/>
          </w:tcPr>
          <w:p w14:paraId="4EACF70C" w14:textId="77777777" w:rsidR="002E474C" w:rsidRDefault="00000000">
            <w:pPr>
              <w:pStyle w:val="A-"/>
            </w:pPr>
            <w:r>
              <w:t>排放量（</w:t>
            </w:r>
            <w:r>
              <w:t>t/a</w:t>
            </w:r>
            <w:r>
              <w:t>）</w:t>
            </w:r>
          </w:p>
        </w:tc>
      </w:tr>
      <w:tr w:rsidR="002E474C" w14:paraId="051EB1C9" w14:textId="77777777">
        <w:trPr>
          <w:trHeight w:val="300"/>
        </w:trPr>
        <w:tc>
          <w:tcPr>
            <w:tcW w:w="369" w:type="pct"/>
            <w:vMerge w:val="restart"/>
            <w:vAlign w:val="center"/>
          </w:tcPr>
          <w:p w14:paraId="5BA4252D" w14:textId="77777777" w:rsidR="002E474C" w:rsidRDefault="00000000">
            <w:pPr>
              <w:pStyle w:val="A-"/>
            </w:pPr>
            <w:r>
              <w:t>危废预处理</w:t>
            </w:r>
          </w:p>
        </w:tc>
        <w:tc>
          <w:tcPr>
            <w:tcW w:w="545" w:type="pct"/>
            <w:vMerge w:val="restart"/>
            <w:vAlign w:val="center"/>
          </w:tcPr>
          <w:p w14:paraId="4333061D" w14:textId="77777777" w:rsidR="002E474C" w:rsidRDefault="00000000">
            <w:pPr>
              <w:pStyle w:val="A-"/>
            </w:pPr>
            <w:r>
              <w:t>车辆或容器清洗废水</w:t>
            </w:r>
          </w:p>
        </w:tc>
        <w:tc>
          <w:tcPr>
            <w:tcW w:w="357" w:type="pct"/>
            <w:vMerge w:val="restart"/>
            <w:vAlign w:val="center"/>
          </w:tcPr>
          <w:p w14:paraId="177E6D6A" w14:textId="77777777" w:rsidR="002E474C" w:rsidRDefault="00000000">
            <w:pPr>
              <w:pStyle w:val="A-"/>
            </w:pPr>
            <w:r>
              <w:t>清洗</w:t>
            </w:r>
          </w:p>
          <w:p w14:paraId="68383E0B" w14:textId="77777777" w:rsidR="002E474C" w:rsidRDefault="00000000">
            <w:pPr>
              <w:pStyle w:val="A-"/>
            </w:pPr>
            <w:r>
              <w:t>废水</w:t>
            </w:r>
          </w:p>
        </w:tc>
        <w:tc>
          <w:tcPr>
            <w:tcW w:w="360" w:type="pct"/>
            <w:vAlign w:val="center"/>
          </w:tcPr>
          <w:p w14:paraId="50B11139" w14:textId="77777777" w:rsidR="002E474C" w:rsidRDefault="00000000">
            <w:pPr>
              <w:pStyle w:val="A-"/>
            </w:pPr>
            <w:r>
              <w:t>COD</w:t>
            </w:r>
          </w:p>
        </w:tc>
        <w:tc>
          <w:tcPr>
            <w:tcW w:w="301" w:type="pct"/>
            <w:vAlign w:val="center"/>
          </w:tcPr>
          <w:p w14:paraId="33EEA0C2" w14:textId="77777777" w:rsidR="002E474C" w:rsidRDefault="00000000">
            <w:pPr>
              <w:pStyle w:val="A-"/>
            </w:pPr>
            <w:r>
              <w:t>类比</w:t>
            </w:r>
          </w:p>
        </w:tc>
        <w:tc>
          <w:tcPr>
            <w:tcW w:w="379" w:type="pct"/>
            <w:vMerge w:val="restart"/>
            <w:vAlign w:val="center"/>
          </w:tcPr>
          <w:p w14:paraId="6499FF47" w14:textId="77777777" w:rsidR="002E474C" w:rsidRDefault="00000000">
            <w:pPr>
              <w:pStyle w:val="A-"/>
            </w:pPr>
            <w:r>
              <w:t>160</w:t>
            </w:r>
          </w:p>
        </w:tc>
        <w:tc>
          <w:tcPr>
            <w:tcW w:w="463" w:type="pct"/>
            <w:vAlign w:val="center"/>
          </w:tcPr>
          <w:p w14:paraId="02E3279B" w14:textId="77777777" w:rsidR="002E474C" w:rsidRDefault="00000000">
            <w:pPr>
              <w:pStyle w:val="A-"/>
            </w:pPr>
            <w:r>
              <w:t>1500</w:t>
            </w:r>
          </w:p>
        </w:tc>
        <w:tc>
          <w:tcPr>
            <w:tcW w:w="403" w:type="pct"/>
            <w:vAlign w:val="center"/>
          </w:tcPr>
          <w:p w14:paraId="5F730C7F" w14:textId="77777777" w:rsidR="002E474C" w:rsidRDefault="00000000">
            <w:pPr>
              <w:pStyle w:val="A-"/>
            </w:pPr>
            <w:r>
              <w:t>0.240</w:t>
            </w:r>
          </w:p>
        </w:tc>
        <w:tc>
          <w:tcPr>
            <w:tcW w:w="334" w:type="pct"/>
            <w:vMerge w:val="restart"/>
            <w:vAlign w:val="center"/>
          </w:tcPr>
          <w:p w14:paraId="5BB33DE7" w14:textId="77777777" w:rsidR="002E474C" w:rsidRDefault="00000000">
            <w:pPr>
              <w:pStyle w:val="A-"/>
            </w:pPr>
            <w:r>
              <w:t>入窑</w:t>
            </w:r>
          </w:p>
          <w:p w14:paraId="065AA8A1" w14:textId="77777777" w:rsidR="002E474C" w:rsidRDefault="00000000">
            <w:pPr>
              <w:pStyle w:val="A-"/>
            </w:pPr>
            <w:r>
              <w:t>焚烧</w:t>
            </w:r>
          </w:p>
        </w:tc>
        <w:tc>
          <w:tcPr>
            <w:tcW w:w="293" w:type="pct"/>
            <w:noWrap/>
            <w:vAlign w:val="center"/>
          </w:tcPr>
          <w:p w14:paraId="5F03D691" w14:textId="77777777" w:rsidR="002E474C" w:rsidRDefault="00000000">
            <w:pPr>
              <w:pStyle w:val="A-"/>
            </w:pPr>
            <w:r>
              <w:t>100</w:t>
            </w:r>
          </w:p>
        </w:tc>
        <w:tc>
          <w:tcPr>
            <w:tcW w:w="379" w:type="pct"/>
            <w:vAlign w:val="center"/>
          </w:tcPr>
          <w:p w14:paraId="314B6DB7" w14:textId="77777777" w:rsidR="002E474C" w:rsidRDefault="00000000">
            <w:pPr>
              <w:pStyle w:val="A-"/>
            </w:pPr>
            <w:r>
              <w:t>0</w:t>
            </w:r>
          </w:p>
        </w:tc>
        <w:tc>
          <w:tcPr>
            <w:tcW w:w="461" w:type="pct"/>
            <w:vAlign w:val="center"/>
          </w:tcPr>
          <w:p w14:paraId="35BCD4AE" w14:textId="77777777" w:rsidR="002E474C" w:rsidRDefault="00000000">
            <w:pPr>
              <w:pStyle w:val="A-"/>
            </w:pPr>
            <w:r>
              <w:t>0</w:t>
            </w:r>
          </w:p>
        </w:tc>
        <w:tc>
          <w:tcPr>
            <w:tcW w:w="353" w:type="pct"/>
            <w:vAlign w:val="center"/>
          </w:tcPr>
          <w:p w14:paraId="2837F0D4" w14:textId="77777777" w:rsidR="002E474C" w:rsidRDefault="00000000">
            <w:pPr>
              <w:pStyle w:val="A-"/>
            </w:pPr>
            <w:r>
              <w:t>0</w:t>
            </w:r>
          </w:p>
        </w:tc>
      </w:tr>
      <w:tr w:rsidR="002E474C" w14:paraId="51FAEF95" w14:textId="77777777">
        <w:trPr>
          <w:trHeight w:val="300"/>
        </w:trPr>
        <w:tc>
          <w:tcPr>
            <w:tcW w:w="369" w:type="pct"/>
            <w:vMerge/>
            <w:vAlign w:val="center"/>
          </w:tcPr>
          <w:p w14:paraId="05972B6A" w14:textId="77777777" w:rsidR="002E474C" w:rsidRDefault="002E474C">
            <w:pPr>
              <w:pStyle w:val="A-"/>
            </w:pPr>
          </w:p>
        </w:tc>
        <w:tc>
          <w:tcPr>
            <w:tcW w:w="545" w:type="pct"/>
            <w:vMerge/>
            <w:vAlign w:val="center"/>
          </w:tcPr>
          <w:p w14:paraId="13692840" w14:textId="77777777" w:rsidR="002E474C" w:rsidRDefault="002E474C">
            <w:pPr>
              <w:pStyle w:val="A-"/>
            </w:pPr>
          </w:p>
        </w:tc>
        <w:tc>
          <w:tcPr>
            <w:tcW w:w="357" w:type="pct"/>
            <w:vMerge/>
            <w:vAlign w:val="center"/>
          </w:tcPr>
          <w:p w14:paraId="4439CF34" w14:textId="77777777" w:rsidR="002E474C" w:rsidRDefault="002E474C">
            <w:pPr>
              <w:pStyle w:val="A-"/>
            </w:pPr>
          </w:p>
        </w:tc>
        <w:tc>
          <w:tcPr>
            <w:tcW w:w="360" w:type="pct"/>
            <w:vAlign w:val="center"/>
          </w:tcPr>
          <w:p w14:paraId="78CEE151" w14:textId="77777777" w:rsidR="002E474C" w:rsidRDefault="00000000">
            <w:pPr>
              <w:pStyle w:val="A-"/>
            </w:pPr>
            <w:r>
              <w:t>氨氮</w:t>
            </w:r>
          </w:p>
        </w:tc>
        <w:tc>
          <w:tcPr>
            <w:tcW w:w="301" w:type="pct"/>
            <w:vAlign w:val="center"/>
          </w:tcPr>
          <w:p w14:paraId="33A6E20E" w14:textId="77777777" w:rsidR="002E474C" w:rsidRDefault="00000000">
            <w:pPr>
              <w:pStyle w:val="A-"/>
            </w:pPr>
            <w:r>
              <w:t>类比</w:t>
            </w:r>
          </w:p>
        </w:tc>
        <w:tc>
          <w:tcPr>
            <w:tcW w:w="379" w:type="pct"/>
            <w:vMerge/>
            <w:vAlign w:val="center"/>
          </w:tcPr>
          <w:p w14:paraId="243AEFDB" w14:textId="77777777" w:rsidR="002E474C" w:rsidRDefault="002E474C">
            <w:pPr>
              <w:pStyle w:val="A-"/>
            </w:pPr>
          </w:p>
        </w:tc>
        <w:tc>
          <w:tcPr>
            <w:tcW w:w="463" w:type="pct"/>
            <w:vAlign w:val="center"/>
          </w:tcPr>
          <w:p w14:paraId="041063F4" w14:textId="77777777" w:rsidR="002E474C" w:rsidRDefault="00000000">
            <w:pPr>
              <w:pStyle w:val="A-"/>
            </w:pPr>
            <w:r>
              <w:t>80</w:t>
            </w:r>
          </w:p>
        </w:tc>
        <w:tc>
          <w:tcPr>
            <w:tcW w:w="403" w:type="pct"/>
            <w:vAlign w:val="center"/>
          </w:tcPr>
          <w:p w14:paraId="03D72E62" w14:textId="77777777" w:rsidR="002E474C" w:rsidRDefault="00000000">
            <w:pPr>
              <w:pStyle w:val="A-"/>
            </w:pPr>
            <w:r>
              <w:t>0.013</w:t>
            </w:r>
          </w:p>
        </w:tc>
        <w:tc>
          <w:tcPr>
            <w:tcW w:w="334" w:type="pct"/>
            <w:vMerge/>
            <w:vAlign w:val="center"/>
          </w:tcPr>
          <w:p w14:paraId="711B158E" w14:textId="77777777" w:rsidR="002E474C" w:rsidRDefault="002E474C">
            <w:pPr>
              <w:pStyle w:val="A-"/>
            </w:pPr>
          </w:p>
        </w:tc>
        <w:tc>
          <w:tcPr>
            <w:tcW w:w="293" w:type="pct"/>
            <w:noWrap/>
            <w:vAlign w:val="center"/>
          </w:tcPr>
          <w:p w14:paraId="3716CC04" w14:textId="77777777" w:rsidR="002E474C" w:rsidRDefault="00000000">
            <w:pPr>
              <w:pStyle w:val="A-"/>
            </w:pPr>
            <w:r>
              <w:t>100</w:t>
            </w:r>
          </w:p>
        </w:tc>
        <w:tc>
          <w:tcPr>
            <w:tcW w:w="379" w:type="pct"/>
            <w:vAlign w:val="center"/>
          </w:tcPr>
          <w:p w14:paraId="009D90CB" w14:textId="77777777" w:rsidR="002E474C" w:rsidRDefault="00000000">
            <w:pPr>
              <w:pStyle w:val="A-"/>
            </w:pPr>
            <w:r>
              <w:t>0</w:t>
            </w:r>
          </w:p>
        </w:tc>
        <w:tc>
          <w:tcPr>
            <w:tcW w:w="461" w:type="pct"/>
            <w:vAlign w:val="center"/>
          </w:tcPr>
          <w:p w14:paraId="37C87F55" w14:textId="77777777" w:rsidR="002E474C" w:rsidRDefault="00000000">
            <w:pPr>
              <w:pStyle w:val="A-"/>
            </w:pPr>
            <w:r>
              <w:t>0</w:t>
            </w:r>
          </w:p>
        </w:tc>
        <w:tc>
          <w:tcPr>
            <w:tcW w:w="353" w:type="pct"/>
            <w:vAlign w:val="center"/>
          </w:tcPr>
          <w:p w14:paraId="21C9B394" w14:textId="77777777" w:rsidR="002E474C" w:rsidRDefault="00000000">
            <w:pPr>
              <w:pStyle w:val="A-"/>
            </w:pPr>
            <w:r>
              <w:t>0</w:t>
            </w:r>
          </w:p>
        </w:tc>
      </w:tr>
      <w:tr w:rsidR="002E474C" w14:paraId="71031B90" w14:textId="77777777">
        <w:trPr>
          <w:trHeight w:val="300"/>
        </w:trPr>
        <w:tc>
          <w:tcPr>
            <w:tcW w:w="369" w:type="pct"/>
            <w:vMerge/>
            <w:vAlign w:val="center"/>
          </w:tcPr>
          <w:p w14:paraId="22C61786" w14:textId="77777777" w:rsidR="002E474C" w:rsidRDefault="002E474C">
            <w:pPr>
              <w:pStyle w:val="A-"/>
            </w:pPr>
          </w:p>
        </w:tc>
        <w:tc>
          <w:tcPr>
            <w:tcW w:w="545" w:type="pct"/>
            <w:vMerge/>
            <w:vAlign w:val="center"/>
          </w:tcPr>
          <w:p w14:paraId="248134D7" w14:textId="77777777" w:rsidR="002E474C" w:rsidRDefault="002E474C">
            <w:pPr>
              <w:pStyle w:val="A-"/>
            </w:pPr>
          </w:p>
        </w:tc>
        <w:tc>
          <w:tcPr>
            <w:tcW w:w="357" w:type="pct"/>
            <w:vMerge/>
            <w:vAlign w:val="center"/>
          </w:tcPr>
          <w:p w14:paraId="0BD4E8B0" w14:textId="77777777" w:rsidR="002E474C" w:rsidRDefault="002E474C">
            <w:pPr>
              <w:pStyle w:val="A-"/>
            </w:pPr>
          </w:p>
        </w:tc>
        <w:tc>
          <w:tcPr>
            <w:tcW w:w="360" w:type="pct"/>
            <w:vAlign w:val="center"/>
          </w:tcPr>
          <w:p w14:paraId="01EF4D7B" w14:textId="77777777" w:rsidR="002E474C" w:rsidRDefault="00000000">
            <w:pPr>
              <w:pStyle w:val="A-"/>
            </w:pPr>
            <w:r>
              <w:t>石油类</w:t>
            </w:r>
          </w:p>
        </w:tc>
        <w:tc>
          <w:tcPr>
            <w:tcW w:w="301" w:type="pct"/>
            <w:vAlign w:val="center"/>
          </w:tcPr>
          <w:p w14:paraId="547C1B3C" w14:textId="77777777" w:rsidR="002E474C" w:rsidRDefault="00000000">
            <w:pPr>
              <w:pStyle w:val="A-"/>
            </w:pPr>
            <w:r>
              <w:t>类比</w:t>
            </w:r>
          </w:p>
        </w:tc>
        <w:tc>
          <w:tcPr>
            <w:tcW w:w="379" w:type="pct"/>
            <w:vMerge/>
            <w:vAlign w:val="center"/>
          </w:tcPr>
          <w:p w14:paraId="382DA571" w14:textId="77777777" w:rsidR="002E474C" w:rsidRDefault="002E474C">
            <w:pPr>
              <w:pStyle w:val="A-"/>
            </w:pPr>
          </w:p>
        </w:tc>
        <w:tc>
          <w:tcPr>
            <w:tcW w:w="463" w:type="pct"/>
            <w:vAlign w:val="center"/>
          </w:tcPr>
          <w:p w14:paraId="4A30A5F5" w14:textId="77777777" w:rsidR="002E474C" w:rsidRDefault="00000000">
            <w:pPr>
              <w:pStyle w:val="A-"/>
            </w:pPr>
            <w:r>
              <w:t>20</w:t>
            </w:r>
          </w:p>
        </w:tc>
        <w:tc>
          <w:tcPr>
            <w:tcW w:w="403" w:type="pct"/>
            <w:vAlign w:val="center"/>
          </w:tcPr>
          <w:p w14:paraId="475B93E7" w14:textId="77777777" w:rsidR="002E474C" w:rsidRDefault="00000000">
            <w:pPr>
              <w:pStyle w:val="A-"/>
            </w:pPr>
            <w:r>
              <w:t>0.003</w:t>
            </w:r>
          </w:p>
        </w:tc>
        <w:tc>
          <w:tcPr>
            <w:tcW w:w="334" w:type="pct"/>
            <w:vMerge/>
            <w:vAlign w:val="center"/>
          </w:tcPr>
          <w:p w14:paraId="1F45CDFA" w14:textId="77777777" w:rsidR="002E474C" w:rsidRDefault="002E474C">
            <w:pPr>
              <w:pStyle w:val="A-"/>
            </w:pPr>
          </w:p>
        </w:tc>
        <w:tc>
          <w:tcPr>
            <w:tcW w:w="293" w:type="pct"/>
            <w:noWrap/>
            <w:vAlign w:val="center"/>
          </w:tcPr>
          <w:p w14:paraId="53FBA71E" w14:textId="77777777" w:rsidR="002E474C" w:rsidRDefault="00000000">
            <w:pPr>
              <w:pStyle w:val="A-"/>
            </w:pPr>
            <w:r>
              <w:t>100</w:t>
            </w:r>
          </w:p>
        </w:tc>
        <w:tc>
          <w:tcPr>
            <w:tcW w:w="379" w:type="pct"/>
            <w:vAlign w:val="center"/>
          </w:tcPr>
          <w:p w14:paraId="784705AF" w14:textId="77777777" w:rsidR="002E474C" w:rsidRDefault="00000000">
            <w:pPr>
              <w:pStyle w:val="A-"/>
            </w:pPr>
            <w:r>
              <w:t>0</w:t>
            </w:r>
          </w:p>
        </w:tc>
        <w:tc>
          <w:tcPr>
            <w:tcW w:w="461" w:type="pct"/>
            <w:vAlign w:val="center"/>
          </w:tcPr>
          <w:p w14:paraId="57B1F7F8" w14:textId="77777777" w:rsidR="002E474C" w:rsidRDefault="00000000">
            <w:pPr>
              <w:pStyle w:val="A-"/>
            </w:pPr>
            <w:r>
              <w:t>0</w:t>
            </w:r>
          </w:p>
        </w:tc>
        <w:tc>
          <w:tcPr>
            <w:tcW w:w="353" w:type="pct"/>
            <w:vAlign w:val="center"/>
          </w:tcPr>
          <w:p w14:paraId="6182C66D" w14:textId="77777777" w:rsidR="002E474C" w:rsidRDefault="00000000">
            <w:pPr>
              <w:pStyle w:val="A-"/>
            </w:pPr>
            <w:r>
              <w:t>0</w:t>
            </w:r>
          </w:p>
        </w:tc>
      </w:tr>
      <w:tr w:rsidR="002E474C" w14:paraId="1BE27448" w14:textId="77777777">
        <w:trPr>
          <w:trHeight w:val="300"/>
        </w:trPr>
        <w:tc>
          <w:tcPr>
            <w:tcW w:w="369" w:type="pct"/>
            <w:vMerge/>
            <w:vAlign w:val="center"/>
          </w:tcPr>
          <w:p w14:paraId="1F454698" w14:textId="77777777" w:rsidR="002E474C" w:rsidRDefault="002E474C">
            <w:pPr>
              <w:pStyle w:val="A-"/>
            </w:pPr>
          </w:p>
        </w:tc>
        <w:tc>
          <w:tcPr>
            <w:tcW w:w="545" w:type="pct"/>
            <w:vMerge/>
            <w:vAlign w:val="center"/>
          </w:tcPr>
          <w:p w14:paraId="3FB2029F" w14:textId="77777777" w:rsidR="002E474C" w:rsidRDefault="002E474C">
            <w:pPr>
              <w:pStyle w:val="A-"/>
            </w:pPr>
          </w:p>
        </w:tc>
        <w:tc>
          <w:tcPr>
            <w:tcW w:w="357" w:type="pct"/>
            <w:vMerge/>
            <w:vAlign w:val="center"/>
          </w:tcPr>
          <w:p w14:paraId="2B1B5997" w14:textId="77777777" w:rsidR="002E474C" w:rsidRDefault="002E474C">
            <w:pPr>
              <w:pStyle w:val="A-"/>
            </w:pPr>
          </w:p>
        </w:tc>
        <w:tc>
          <w:tcPr>
            <w:tcW w:w="360" w:type="pct"/>
            <w:vAlign w:val="center"/>
          </w:tcPr>
          <w:p w14:paraId="5348C8CD" w14:textId="77777777" w:rsidR="002E474C" w:rsidRDefault="00000000">
            <w:pPr>
              <w:pStyle w:val="A-"/>
            </w:pPr>
            <w:r>
              <w:t>SS</w:t>
            </w:r>
          </w:p>
        </w:tc>
        <w:tc>
          <w:tcPr>
            <w:tcW w:w="301" w:type="pct"/>
            <w:vAlign w:val="center"/>
          </w:tcPr>
          <w:p w14:paraId="2A4C3D3C" w14:textId="77777777" w:rsidR="002E474C" w:rsidRDefault="00000000">
            <w:pPr>
              <w:pStyle w:val="A-"/>
            </w:pPr>
            <w:r>
              <w:t>类比</w:t>
            </w:r>
          </w:p>
        </w:tc>
        <w:tc>
          <w:tcPr>
            <w:tcW w:w="379" w:type="pct"/>
            <w:vMerge/>
            <w:vAlign w:val="center"/>
          </w:tcPr>
          <w:p w14:paraId="49D5FBB1" w14:textId="77777777" w:rsidR="002E474C" w:rsidRDefault="002E474C">
            <w:pPr>
              <w:pStyle w:val="A-"/>
            </w:pPr>
          </w:p>
        </w:tc>
        <w:tc>
          <w:tcPr>
            <w:tcW w:w="463" w:type="pct"/>
            <w:vAlign w:val="center"/>
          </w:tcPr>
          <w:p w14:paraId="3125876C" w14:textId="77777777" w:rsidR="002E474C" w:rsidRDefault="00000000">
            <w:pPr>
              <w:pStyle w:val="A-"/>
            </w:pPr>
            <w:r>
              <w:t>500</w:t>
            </w:r>
          </w:p>
        </w:tc>
        <w:tc>
          <w:tcPr>
            <w:tcW w:w="403" w:type="pct"/>
            <w:vAlign w:val="center"/>
          </w:tcPr>
          <w:p w14:paraId="07C91713" w14:textId="77777777" w:rsidR="002E474C" w:rsidRDefault="00000000">
            <w:pPr>
              <w:pStyle w:val="A-"/>
            </w:pPr>
            <w:r>
              <w:t>0.080</w:t>
            </w:r>
          </w:p>
        </w:tc>
        <w:tc>
          <w:tcPr>
            <w:tcW w:w="334" w:type="pct"/>
            <w:vMerge/>
            <w:vAlign w:val="center"/>
          </w:tcPr>
          <w:p w14:paraId="4886E967" w14:textId="77777777" w:rsidR="002E474C" w:rsidRDefault="002E474C">
            <w:pPr>
              <w:pStyle w:val="A-"/>
            </w:pPr>
          </w:p>
        </w:tc>
        <w:tc>
          <w:tcPr>
            <w:tcW w:w="293" w:type="pct"/>
            <w:noWrap/>
            <w:vAlign w:val="center"/>
          </w:tcPr>
          <w:p w14:paraId="7AB4E26A" w14:textId="77777777" w:rsidR="002E474C" w:rsidRDefault="00000000">
            <w:pPr>
              <w:pStyle w:val="A-"/>
            </w:pPr>
            <w:r>
              <w:t>100</w:t>
            </w:r>
          </w:p>
        </w:tc>
        <w:tc>
          <w:tcPr>
            <w:tcW w:w="379" w:type="pct"/>
            <w:vAlign w:val="center"/>
          </w:tcPr>
          <w:p w14:paraId="085F0016" w14:textId="77777777" w:rsidR="002E474C" w:rsidRDefault="00000000">
            <w:pPr>
              <w:pStyle w:val="A-"/>
            </w:pPr>
            <w:r>
              <w:t>0</w:t>
            </w:r>
          </w:p>
        </w:tc>
        <w:tc>
          <w:tcPr>
            <w:tcW w:w="461" w:type="pct"/>
            <w:vAlign w:val="center"/>
          </w:tcPr>
          <w:p w14:paraId="3F92FDF8" w14:textId="77777777" w:rsidR="002E474C" w:rsidRDefault="00000000">
            <w:pPr>
              <w:pStyle w:val="A-"/>
            </w:pPr>
            <w:r>
              <w:t>0</w:t>
            </w:r>
          </w:p>
        </w:tc>
        <w:tc>
          <w:tcPr>
            <w:tcW w:w="353" w:type="pct"/>
            <w:vAlign w:val="center"/>
          </w:tcPr>
          <w:p w14:paraId="0525F2DB" w14:textId="77777777" w:rsidR="002E474C" w:rsidRDefault="00000000">
            <w:pPr>
              <w:pStyle w:val="A-"/>
            </w:pPr>
            <w:r>
              <w:t>0</w:t>
            </w:r>
          </w:p>
        </w:tc>
      </w:tr>
      <w:tr w:rsidR="002E474C" w14:paraId="626716E2" w14:textId="77777777">
        <w:trPr>
          <w:trHeight w:val="300"/>
        </w:trPr>
        <w:tc>
          <w:tcPr>
            <w:tcW w:w="369" w:type="pct"/>
            <w:vMerge w:val="restart"/>
            <w:vAlign w:val="center"/>
          </w:tcPr>
          <w:p w14:paraId="5993B4E3" w14:textId="77777777" w:rsidR="002E474C" w:rsidRDefault="00000000">
            <w:pPr>
              <w:pStyle w:val="A-"/>
            </w:pPr>
            <w:r>
              <w:t>危废预处理</w:t>
            </w:r>
          </w:p>
        </w:tc>
        <w:tc>
          <w:tcPr>
            <w:tcW w:w="545" w:type="pct"/>
            <w:vMerge w:val="restart"/>
            <w:vAlign w:val="center"/>
          </w:tcPr>
          <w:p w14:paraId="128F544A" w14:textId="77777777" w:rsidR="002E474C" w:rsidRDefault="00000000">
            <w:pPr>
              <w:pStyle w:val="A-"/>
            </w:pPr>
            <w:r>
              <w:t>设备检修清洗废水</w:t>
            </w:r>
          </w:p>
        </w:tc>
        <w:tc>
          <w:tcPr>
            <w:tcW w:w="357" w:type="pct"/>
            <w:vMerge w:val="restart"/>
            <w:vAlign w:val="center"/>
          </w:tcPr>
          <w:p w14:paraId="1FA15CF9" w14:textId="77777777" w:rsidR="002E474C" w:rsidRDefault="00000000">
            <w:pPr>
              <w:pStyle w:val="A-"/>
            </w:pPr>
            <w:r>
              <w:t>检修</w:t>
            </w:r>
          </w:p>
          <w:p w14:paraId="0C7877E1" w14:textId="77777777" w:rsidR="002E474C" w:rsidRDefault="00000000">
            <w:pPr>
              <w:pStyle w:val="A-"/>
            </w:pPr>
            <w:r>
              <w:t>废水</w:t>
            </w:r>
          </w:p>
        </w:tc>
        <w:tc>
          <w:tcPr>
            <w:tcW w:w="360" w:type="pct"/>
            <w:vAlign w:val="center"/>
          </w:tcPr>
          <w:p w14:paraId="049BA7CB" w14:textId="77777777" w:rsidR="002E474C" w:rsidRDefault="00000000">
            <w:pPr>
              <w:pStyle w:val="A-"/>
            </w:pPr>
            <w:r>
              <w:t>COD</w:t>
            </w:r>
          </w:p>
        </w:tc>
        <w:tc>
          <w:tcPr>
            <w:tcW w:w="301" w:type="pct"/>
            <w:vAlign w:val="center"/>
          </w:tcPr>
          <w:p w14:paraId="6280BAEF" w14:textId="77777777" w:rsidR="002E474C" w:rsidRDefault="00000000">
            <w:pPr>
              <w:pStyle w:val="A-"/>
            </w:pPr>
            <w:r>
              <w:t>类比</w:t>
            </w:r>
          </w:p>
        </w:tc>
        <w:tc>
          <w:tcPr>
            <w:tcW w:w="379" w:type="pct"/>
            <w:vMerge w:val="restart"/>
            <w:vAlign w:val="center"/>
          </w:tcPr>
          <w:p w14:paraId="7F9058C2" w14:textId="77777777" w:rsidR="002E474C" w:rsidRDefault="00000000">
            <w:pPr>
              <w:pStyle w:val="A-"/>
            </w:pPr>
            <w:r>
              <w:t>5</w:t>
            </w:r>
          </w:p>
        </w:tc>
        <w:tc>
          <w:tcPr>
            <w:tcW w:w="463" w:type="pct"/>
            <w:vAlign w:val="center"/>
          </w:tcPr>
          <w:p w14:paraId="5FAA06EE" w14:textId="77777777" w:rsidR="002E474C" w:rsidRDefault="00000000">
            <w:pPr>
              <w:pStyle w:val="A-"/>
            </w:pPr>
            <w:r>
              <w:t>1500</w:t>
            </w:r>
          </w:p>
        </w:tc>
        <w:tc>
          <w:tcPr>
            <w:tcW w:w="403" w:type="pct"/>
            <w:vAlign w:val="center"/>
          </w:tcPr>
          <w:p w14:paraId="18D8CD6D" w14:textId="77777777" w:rsidR="002E474C" w:rsidRDefault="00000000">
            <w:pPr>
              <w:pStyle w:val="A-"/>
            </w:pPr>
            <w:r>
              <w:t>0.008</w:t>
            </w:r>
          </w:p>
        </w:tc>
        <w:tc>
          <w:tcPr>
            <w:tcW w:w="334" w:type="pct"/>
            <w:vMerge w:val="restart"/>
            <w:vAlign w:val="center"/>
          </w:tcPr>
          <w:p w14:paraId="504D96D4" w14:textId="77777777" w:rsidR="002E474C" w:rsidRDefault="00000000">
            <w:pPr>
              <w:pStyle w:val="A-"/>
            </w:pPr>
            <w:r>
              <w:t>入窑</w:t>
            </w:r>
          </w:p>
          <w:p w14:paraId="4BA020C0" w14:textId="77777777" w:rsidR="002E474C" w:rsidRDefault="00000000">
            <w:pPr>
              <w:pStyle w:val="A-"/>
            </w:pPr>
            <w:r>
              <w:t>焚烧</w:t>
            </w:r>
          </w:p>
        </w:tc>
        <w:tc>
          <w:tcPr>
            <w:tcW w:w="293" w:type="pct"/>
            <w:noWrap/>
            <w:vAlign w:val="center"/>
          </w:tcPr>
          <w:p w14:paraId="59154881" w14:textId="77777777" w:rsidR="002E474C" w:rsidRDefault="00000000">
            <w:pPr>
              <w:pStyle w:val="A-"/>
            </w:pPr>
            <w:r>
              <w:t>100</w:t>
            </w:r>
          </w:p>
        </w:tc>
        <w:tc>
          <w:tcPr>
            <w:tcW w:w="379" w:type="pct"/>
            <w:vAlign w:val="center"/>
          </w:tcPr>
          <w:p w14:paraId="208B6624" w14:textId="77777777" w:rsidR="002E474C" w:rsidRDefault="00000000">
            <w:pPr>
              <w:pStyle w:val="A-"/>
            </w:pPr>
            <w:r>
              <w:t>0</w:t>
            </w:r>
          </w:p>
        </w:tc>
        <w:tc>
          <w:tcPr>
            <w:tcW w:w="461" w:type="pct"/>
            <w:vAlign w:val="center"/>
          </w:tcPr>
          <w:p w14:paraId="1EDA2E6C" w14:textId="77777777" w:rsidR="002E474C" w:rsidRDefault="00000000">
            <w:pPr>
              <w:pStyle w:val="A-"/>
            </w:pPr>
            <w:r>
              <w:t>0</w:t>
            </w:r>
          </w:p>
        </w:tc>
        <w:tc>
          <w:tcPr>
            <w:tcW w:w="353" w:type="pct"/>
            <w:vAlign w:val="center"/>
          </w:tcPr>
          <w:p w14:paraId="3333B9AE" w14:textId="77777777" w:rsidR="002E474C" w:rsidRDefault="00000000">
            <w:pPr>
              <w:pStyle w:val="A-"/>
            </w:pPr>
            <w:r>
              <w:t>0</w:t>
            </w:r>
          </w:p>
        </w:tc>
      </w:tr>
      <w:tr w:rsidR="002E474C" w14:paraId="11DEAD57" w14:textId="77777777">
        <w:trPr>
          <w:trHeight w:val="300"/>
        </w:trPr>
        <w:tc>
          <w:tcPr>
            <w:tcW w:w="369" w:type="pct"/>
            <w:vMerge/>
            <w:vAlign w:val="center"/>
          </w:tcPr>
          <w:p w14:paraId="27E5D1AA" w14:textId="77777777" w:rsidR="002E474C" w:rsidRDefault="002E474C">
            <w:pPr>
              <w:pStyle w:val="A-"/>
            </w:pPr>
          </w:p>
        </w:tc>
        <w:tc>
          <w:tcPr>
            <w:tcW w:w="545" w:type="pct"/>
            <w:vMerge/>
            <w:vAlign w:val="center"/>
          </w:tcPr>
          <w:p w14:paraId="36A9405F" w14:textId="77777777" w:rsidR="002E474C" w:rsidRDefault="002E474C">
            <w:pPr>
              <w:pStyle w:val="A-"/>
            </w:pPr>
          </w:p>
        </w:tc>
        <w:tc>
          <w:tcPr>
            <w:tcW w:w="357" w:type="pct"/>
            <w:vMerge/>
            <w:vAlign w:val="center"/>
          </w:tcPr>
          <w:p w14:paraId="16175FA5" w14:textId="77777777" w:rsidR="002E474C" w:rsidRDefault="002E474C">
            <w:pPr>
              <w:pStyle w:val="A-"/>
            </w:pPr>
          </w:p>
        </w:tc>
        <w:tc>
          <w:tcPr>
            <w:tcW w:w="360" w:type="pct"/>
            <w:vAlign w:val="center"/>
          </w:tcPr>
          <w:p w14:paraId="19BCFC55" w14:textId="77777777" w:rsidR="002E474C" w:rsidRDefault="00000000">
            <w:pPr>
              <w:pStyle w:val="A-"/>
            </w:pPr>
            <w:r>
              <w:t>氨氮</w:t>
            </w:r>
          </w:p>
        </w:tc>
        <w:tc>
          <w:tcPr>
            <w:tcW w:w="301" w:type="pct"/>
            <w:vAlign w:val="center"/>
          </w:tcPr>
          <w:p w14:paraId="022915FC" w14:textId="77777777" w:rsidR="002E474C" w:rsidRDefault="00000000">
            <w:pPr>
              <w:pStyle w:val="A-"/>
            </w:pPr>
            <w:r>
              <w:t>类比</w:t>
            </w:r>
          </w:p>
        </w:tc>
        <w:tc>
          <w:tcPr>
            <w:tcW w:w="379" w:type="pct"/>
            <w:vMerge/>
            <w:vAlign w:val="center"/>
          </w:tcPr>
          <w:p w14:paraId="7D3D147F" w14:textId="77777777" w:rsidR="002E474C" w:rsidRDefault="002E474C">
            <w:pPr>
              <w:pStyle w:val="A-"/>
            </w:pPr>
          </w:p>
        </w:tc>
        <w:tc>
          <w:tcPr>
            <w:tcW w:w="463" w:type="pct"/>
            <w:vAlign w:val="center"/>
          </w:tcPr>
          <w:p w14:paraId="2B4855EF" w14:textId="77777777" w:rsidR="002E474C" w:rsidRDefault="00000000">
            <w:pPr>
              <w:pStyle w:val="A-"/>
            </w:pPr>
            <w:r>
              <w:t>80</w:t>
            </w:r>
          </w:p>
        </w:tc>
        <w:tc>
          <w:tcPr>
            <w:tcW w:w="403" w:type="pct"/>
            <w:vAlign w:val="center"/>
          </w:tcPr>
          <w:p w14:paraId="11157DBB" w14:textId="77777777" w:rsidR="002E474C" w:rsidRDefault="00000000">
            <w:pPr>
              <w:pStyle w:val="A-"/>
            </w:pPr>
            <w:r>
              <w:t>0.0004</w:t>
            </w:r>
          </w:p>
        </w:tc>
        <w:tc>
          <w:tcPr>
            <w:tcW w:w="334" w:type="pct"/>
            <w:vMerge/>
            <w:vAlign w:val="center"/>
          </w:tcPr>
          <w:p w14:paraId="0085227D" w14:textId="77777777" w:rsidR="002E474C" w:rsidRDefault="002E474C">
            <w:pPr>
              <w:pStyle w:val="A-"/>
            </w:pPr>
          </w:p>
        </w:tc>
        <w:tc>
          <w:tcPr>
            <w:tcW w:w="293" w:type="pct"/>
            <w:noWrap/>
            <w:vAlign w:val="center"/>
          </w:tcPr>
          <w:p w14:paraId="0E88C7B1" w14:textId="77777777" w:rsidR="002E474C" w:rsidRDefault="00000000">
            <w:pPr>
              <w:pStyle w:val="A-"/>
            </w:pPr>
            <w:r>
              <w:t>100</w:t>
            </w:r>
          </w:p>
        </w:tc>
        <w:tc>
          <w:tcPr>
            <w:tcW w:w="379" w:type="pct"/>
            <w:vAlign w:val="center"/>
          </w:tcPr>
          <w:p w14:paraId="30618035" w14:textId="77777777" w:rsidR="002E474C" w:rsidRDefault="00000000">
            <w:pPr>
              <w:pStyle w:val="A-"/>
            </w:pPr>
            <w:r>
              <w:t>0</w:t>
            </w:r>
          </w:p>
        </w:tc>
        <w:tc>
          <w:tcPr>
            <w:tcW w:w="461" w:type="pct"/>
            <w:vAlign w:val="center"/>
          </w:tcPr>
          <w:p w14:paraId="27804B5B" w14:textId="77777777" w:rsidR="002E474C" w:rsidRDefault="00000000">
            <w:pPr>
              <w:pStyle w:val="A-"/>
            </w:pPr>
            <w:r>
              <w:t>0</w:t>
            </w:r>
          </w:p>
        </w:tc>
        <w:tc>
          <w:tcPr>
            <w:tcW w:w="353" w:type="pct"/>
            <w:vAlign w:val="center"/>
          </w:tcPr>
          <w:p w14:paraId="7FD7B8EF" w14:textId="77777777" w:rsidR="002E474C" w:rsidRDefault="00000000">
            <w:pPr>
              <w:pStyle w:val="A-"/>
            </w:pPr>
            <w:r>
              <w:t>0</w:t>
            </w:r>
          </w:p>
        </w:tc>
      </w:tr>
      <w:tr w:rsidR="002E474C" w14:paraId="5C05B7C8" w14:textId="77777777">
        <w:trPr>
          <w:trHeight w:val="300"/>
        </w:trPr>
        <w:tc>
          <w:tcPr>
            <w:tcW w:w="369" w:type="pct"/>
            <w:vMerge/>
            <w:vAlign w:val="center"/>
          </w:tcPr>
          <w:p w14:paraId="26AC8BE5" w14:textId="77777777" w:rsidR="002E474C" w:rsidRDefault="002E474C">
            <w:pPr>
              <w:pStyle w:val="A-"/>
            </w:pPr>
          </w:p>
        </w:tc>
        <w:tc>
          <w:tcPr>
            <w:tcW w:w="545" w:type="pct"/>
            <w:vMerge/>
            <w:vAlign w:val="center"/>
          </w:tcPr>
          <w:p w14:paraId="447F86E4" w14:textId="77777777" w:rsidR="002E474C" w:rsidRDefault="002E474C">
            <w:pPr>
              <w:pStyle w:val="A-"/>
            </w:pPr>
          </w:p>
        </w:tc>
        <w:tc>
          <w:tcPr>
            <w:tcW w:w="357" w:type="pct"/>
            <w:vMerge/>
            <w:vAlign w:val="center"/>
          </w:tcPr>
          <w:p w14:paraId="6B66A33B" w14:textId="77777777" w:rsidR="002E474C" w:rsidRDefault="002E474C">
            <w:pPr>
              <w:pStyle w:val="A-"/>
            </w:pPr>
          </w:p>
        </w:tc>
        <w:tc>
          <w:tcPr>
            <w:tcW w:w="360" w:type="pct"/>
            <w:vAlign w:val="center"/>
          </w:tcPr>
          <w:p w14:paraId="5B90F66F" w14:textId="77777777" w:rsidR="002E474C" w:rsidRDefault="00000000">
            <w:pPr>
              <w:pStyle w:val="A-"/>
            </w:pPr>
            <w:r>
              <w:t>石油类</w:t>
            </w:r>
          </w:p>
        </w:tc>
        <w:tc>
          <w:tcPr>
            <w:tcW w:w="301" w:type="pct"/>
            <w:vAlign w:val="center"/>
          </w:tcPr>
          <w:p w14:paraId="634ADEA8" w14:textId="77777777" w:rsidR="002E474C" w:rsidRDefault="00000000">
            <w:pPr>
              <w:pStyle w:val="A-"/>
            </w:pPr>
            <w:r>
              <w:t>类比</w:t>
            </w:r>
          </w:p>
        </w:tc>
        <w:tc>
          <w:tcPr>
            <w:tcW w:w="379" w:type="pct"/>
            <w:vMerge/>
            <w:vAlign w:val="center"/>
          </w:tcPr>
          <w:p w14:paraId="4A4CC72B" w14:textId="77777777" w:rsidR="002E474C" w:rsidRDefault="002E474C">
            <w:pPr>
              <w:pStyle w:val="A-"/>
            </w:pPr>
          </w:p>
        </w:tc>
        <w:tc>
          <w:tcPr>
            <w:tcW w:w="463" w:type="pct"/>
            <w:vAlign w:val="center"/>
          </w:tcPr>
          <w:p w14:paraId="7E81AB49" w14:textId="77777777" w:rsidR="002E474C" w:rsidRDefault="00000000">
            <w:pPr>
              <w:pStyle w:val="A-"/>
            </w:pPr>
            <w:r>
              <w:t>20</w:t>
            </w:r>
          </w:p>
        </w:tc>
        <w:tc>
          <w:tcPr>
            <w:tcW w:w="403" w:type="pct"/>
            <w:vAlign w:val="center"/>
          </w:tcPr>
          <w:p w14:paraId="4F951A96" w14:textId="77777777" w:rsidR="002E474C" w:rsidRDefault="00000000">
            <w:pPr>
              <w:pStyle w:val="A-"/>
            </w:pPr>
            <w:r>
              <w:t>0.0001</w:t>
            </w:r>
          </w:p>
        </w:tc>
        <w:tc>
          <w:tcPr>
            <w:tcW w:w="334" w:type="pct"/>
            <w:vMerge/>
            <w:vAlign w:val="center"/>
          </w:tcPr>
          <w:p w14:paraId="2629CB21" w14:textId="77777777" w:rsidR="002E474C" w:rsidRDefault="002E474C">
            <w:pPr>
              <w:pStyle w:val="A-"/>
            </w:pPr>
          </w:p>
        </w:tc>
        <w:tc>
          <w:tcPr>
            <w:tcW w:w="293" w:type="pct"/>
            <w:noWrap/>
            <w:vAlign w:val="center"/>
          </w:tcPr>
          <w:p w14:paraId="2C627447" w14:textId="77777777" w:rsidR="002E474C" w:rsidRDefault="00000000">
            <w:pPr>
              <w:pStyle w:val="A-"/>
            </w:pPr>
            <w:r>
              <w:t>100</w:t>
            </w:r>
          </w:p>
        </w:tc>
        <w:tc>
          <w:tcPr>
            <w:tcW w:w="379" w:type="pct"/>
            <w:vAlign w:val="center"/>
          </w:tcPr>
          <w:p w14:paraId="58137F9D" w14:textId="77777777" w:rsidR="002E474C" w:rsidRDefault="00000000">
            <w:pPr>
              <w:pStyle w:val="A-"/>
            </w:pPr>
            <w:r>
              <w:t>0</w:t>
            </w:r>
          </w:p>
        </w:tc>
        <w:tc>
          <w:tcPr>
            <w:tcW w:w="461" w:type="pct"/>
            <w:vAlign w:val="center"/>
          </w:tcPr>
          <w:p w14:paraId="7F13903C" w14:textId="77777777" w:rsidR="002E474C" w:rsidRDefault="00000000">
            <w:pPr>
              <w:pStyle w:val="A-"/>
            </w:pPr>
            <w:r>
              <w:t>0</w:t>
            </w:r>
          </w:p>
        </w:tc>
        <w:tc>
          <w:tcPr>
            <w:tcW w:w="353" w:type="pct"/>
            <w:vAlign w:val="center"/>
          </w:tcPr>
          <w:p w14:paraId="2C9144B6" w14:textId="77777777" w:rsidR="002E474C" w:rsidRDefault="00000000">
            <w:pPr>
              <w:pStyle w:val="A-"/>
            </w:pPr>
            <w:r>
              <w:t>0</w:t>
            </w:r>
          </w:p>
        </w:tc>
      </w:tr>
      <w:tr w:rsidR="002E474C" w14:paraId="5B4AC0C7" w14:textId="77777777">
        <w:trPr>
          <w:trHeight w:val="300"/>
        </w:trPr>
        <w:tc>
          <w:tcPr>
            <w:tcW w:w="369" w:type="pct"/>
            <w:vMerge/>
            <w:vAlign w:val="center"/>
          </w:tcPr>
          <w:p w14:paraId="6268604D" w14:textId="77777777" w:rsidR="002E474C" w:rsidRDefault="002E474C">
            <w:pPr>
              <w:pStyle w:val="A-"/>
            </w:pPr>
          </w:p>
        </w:tc>
        <w:tc>
          <w:tcPr>
            <w:tcW w:w="545" w:type="pct"/>
            <w:vMerge/>
            <w:vAlign w:val="center"/>
          </w:tcPr>
          <w:p w14:paraId="59435259" w14:textId="77777777" w:rsidR="002E474C" w:rsidRDefault="002E474C">
            <w:pPr>
              <w:pStyle w:val="A-"/>
            </w:pPr>
          </w:p>
        </w:tc>
        <w:tc>
          <w:tcPr>
            <w:tcW w:w="357" w:type="pct"/>
            <w:vMerge/>
            <w:vAlign w:val="center"/>
          </w:tcPr>
          <w:p w14:paraId="06BAFB26" w14:textId="77777777" w:rsidR="002E474C" w:rsidRDefault="002E474C">
            <w:pPr>
              <w:pStyle w:val="A-"/>
            </w:pPr>
          </w:p>
        </w:tc>
        <w:tc>
          <w:tcPr>
            <w:tcW w:w="360" w:type="pct"/>
            <w:vAlign w:val="center"/>
          </w:tcPr>
          <w:p w14:paraId="4E4199F9" w14:textId="77777777" w:rsidR="002E474C" w:rsidRDefault="00000000">
            <w:pPr>
              <w:pStyle w:val="A-"/>
            </w:pPr>
            <w:r>
              <w:t>SS</w:t>
            </w:r>
          </w:p>
        </w:tc>
        <w:tc>
          <w:tcPr>
            <w:tcW w:w="301" w:type="pct"/>
            <w:vAlign w:val="center"/>
          </w:tcPr>
          <w:p w14:paraId="45BCD600" w14:textId="77777777" w:rsidR="002E474C" w:rsidRDefault="00000000">
            <w:pPr>
              <w:pStyle w:val="A-"/>
            </w:pPr>
            <w:r>
              <w:t>类比</w:t>
            </w:r>
          </w:p>
        </w:tc>
        <w:tc>
          <w:tcPr>
            <w:tcW w:w="379" w:type="pct"/>
            <w:vMerge/>
            <w:vAlign w:val="center"/>
          </w:tcPr>
          <w:p w14:paraId="786A9118" w14:textId="77777777" w:rsidR="002E474C" w:rsidRDefault="002E474C">
            <w:pPr>
              <w:pStyle w:val="A-"/>
            </w:pPr>
          </w:p>
        </w:tc>
        <w:tc>
          <w:tcPr>
            <w:tcW w:w="463" w:type="pct"/>
            <w:vAlign w:val="center"/>
          </w:tcPr>
          <w:p w14:paraId="2B4D306B" w14:textId="77777777" w:rsidR="002E474C" w:rsidRDefault="00000000">
            <w:pPr>
              <w:pStyle w:val="A-"/>
            </w:pPr>
            <w:r>
              <w:t>500</w:t>
            </w:r>
          </w:p>
        </w:tc>
        <w:tc>
          <w:tcPr>
            <w:tcW w:w="403" w:type="pct"/>
            <w:vAlign w:val="center"/>
          </w:tcPr>
          <w:p w14:paraId="4B474586" w14:textId="77777777" w:rsidR="002E474C" w:rsidRDefault="00000000">
            <w:pPr>
              <w:pStyle w:val="A-"/>
            </w:pPr>
            <w:r>
              <w:t>0.003</w:t>
            </w:r>
          </w:p>
        </w:tc>
        <w:tc>
          <w:tcPr>
            <w:tcW w:w="334" w:type="pct"/>
            <w:vMerge/>
            <w:vAlign w:val="center"/>
          </w:tcPr>
          <w:p w14:paraId="0842F88E" w14:textId="77777777" w:rsidR="002E474C" w:rsidRDefault="002E474C">
            <w:pPr>
              <w:pStyle w:val="A-"/>
            </w:pPr>
          </w:p>
        </w:tc>
        <w:tc>
          <w:tcPr>
            <w:tcW w:w="293" w:type="pct"/>
            <w:noWrap/>
            <w:vAlign w:val="center"/>
          </w:tcPr>
          <w:p w14:paraId="0C460F05" w14:textId="77777777" w:rsidR="002E474C" w:rsidRDefault="00000000">
            <w:pPr>
              <w:pStyle w:val="A-"/>
            </w:pPr>
            <w:r>
              <w:t>100</w:t>
            </w:r>
          </w:p>
        </w:tc>
        <w:tc>
          <w:tcPr>
            <w:tcW w:w="379" w:type="pct"/>
            <w:vAlign w:val="center"/>
          </w:tcPr>
          <w:p w14:paraId="76BAE577" w14:textId="77777777" w:rsidR="002E474C" w:rsidRDefault="00000000">
            <w:pPr>
              <w:pStyle w:val="A-"/>
            </w:pPr>
            <w:r>
              <w:t>0</w:t>
            </w:r>
          </w:p>
        </w:tc>
        <w:tc>
          <w:tcPr>
            <w:tcW w:w="461" w:type="pct"/>
            <w:vAlign w:val="center"/>
          </w:tcPr>
          <w:p w14:paraId="7B01FE56" w14:textId="77777777" w:rsidR="002E474C" w:rsidRDefault="00000000">
            <w:pPr>
              <w:pStyle w:val="A-"/>
            </w:pPr>
            <w:r>
              <w:t>0</w:t>
            </w:r>
          </w:p>
        </w:tc>
        <w:tc>
          <w:tcPr>
            <w:tcW w:w="353" w:type="pct"/>
            <w:vAlign w:val="center"/>
          </w:tcPr>
          <w:p w14:paraId="1687300B" w14:textId="77777777" w:rsidR="002E474C" w:rsidRDefault="00000000">
            <w:pPr>
              <w:pStyle w:val="A-"/>
            </w:pPr>
            <w:r>
              <w:t>0</w:t>
            </w:r>
          </w:p>
        </w:tc>
      </w:tr>
      <w:tr w:rsidR="002E474C" w14:paraId="5FAB7694" w14:textId="77777777">
        <w:trPr>
          <w:trHeight w:val="300"/>
        </w:trPr>
        <w:tc>
          <w:tcPr>
            <w:tcW w:w="369" w:type="pct"/>
            <w:vMerge w:val="restart"/>
            <w:noWrap/>
            <w:vAlign w:val="center"/>
          </w:tcPr>
          <w:p w14:paraId="5DD287A1" w14:textId="77777777" w:rsidR="002E474C" w:rsidRDefault="00000000">
            <w:pPr>
              <w:pStyle w:val="A-"/>
            </w:pPr>
            <w:r>
              <w:t>办公</w:t>
            </w:r>
          </w:p>
          <w:p w14:paraId="70AA168F" w14:textId="77777777" w:rsidR="002E474C" w:rsidRDefault="00000000">
            <w:pPr>
              <w:pStyle w:val="A-"/>
            </w:pPr>
            <w:r>
              <w:t>生活</w:t>
            </w:r>
          </w:p>
        </w:tc>
        <w:tc>
          <w:tcPr>
            <w:tcW w:w="545" w:type="pct"/>
            <w:vMerge w:val="restart"/>
            <w:vAlign w:val="center"/>
          </w:tcPr>
          <w:p w14:paraId="48305B71" w14:textId="77777777" w:rsidR="002E474C" w:rsidRDefault="00000000">
            <w:pPr>
              <w:pStyle w:val="A-"/>
            </w:pPr>
            <w:r>
              <w:t>办公生活</w:t>
            </w:r>
          </w:p>
          <w:p w14:paraId="0230E2AF" w14:textId="77777777" w:rsidR="002E474C" w:rsidRDefault="00000000">
            <w:pPr>
              <w:pStyle w:val="A-"/>
            </w:pPr>
            <w:r>
              <w:t>设施</w:t>
            </w:r>
          </w:p>
        </w:tc>
        <w:tc>
          <w:tcPr>
            <w:tcW w:w="357" w:type="pct"/>
            <w:vMerge w:val="restart"/>
            <w:vAlign w:val="center"/>
          </w:tcPr>
          <w:p w14:paraId="287504E1" w14:textId="77777777" w:rsidR="002E474C" w:rsidRDefault="00000000">
            <w:pPr>
              <w:pStyle w:val="A-"/>
            </w:pPr>
            <w:r>
              <w:t>生活</w:t>
            </w:r>
          </w:p>
          <w:p w14:paraId="2C48F326" w14:textId="77777777" w:rsidR="002E474C" w:rsidRDefault="00000000">
            <w:pPr>
              <w:pStyle w:val="A-"/>
            </w:pPr>
            <w:r>
              <w:t>污水</w:t>
            </w:r>
          </w:p>
        </w:tc>
        <w:tc>
          <w:tcPr>
            <w:tcW w:w="360" w:type="pct"/>
            <w:vAlign w:val="center"/>
          </w:tcPr>
          <w:p w14:paraId="05A4C742" w14:textId="77777777" w:rsidR="002E474C" w:rsidRDefault="00000000">
            <w:pPr>
              <w:pStyle w:val="A-"/>
            </w:pPr>
            <w:r>
              <w:t>COD</w:t>
            </w:r>
          </w:p>
        </w:tc>
        <w:tc>
          <w:tcPr>
            <w:tcW w:w="301" w:type="pct"/>
            <w:vAlign w:val="center"/>
          </w:tcPr>
          <w:p w14:paraId="1D7CE946" w14:textId="77777777" w:rsidR="002E474C" w:rsidRDefault="00000000">
            <w:pPr>
              <w:pStyle w:val="A-"/>
            </w:pPr>
            <w:r>
              <w:t>系数</w:t>
            </w:r>
          </w:p>
        </w:tc>
        <w:tc>
          <w:tcPr>
            <w:tcW w:w="379" w:type="pct"/>
            <w:vMerge w:val="restart"/>
            <w:vAlign w:val="center"/>
          </w:tcPr>
          <w:p w14:paraId="5C0DE20B" w14:textId="77777777" w:rsidR="002E474C" w:rsidRDefault="00000000">
            <w:pPr>
              <w:pStyle w:val="A-"/>
            </w:pPr>
            <w:r>
              <w:t>657.6</w:t>
            </w:r>
          </w:p>
        </w:tc>
        <w:tc>
          <w:tcPr>
            <w:tcW w:w="463" w:type="pct"/>
            <w:vAlign w:val="center"/>
          </w:tcPr>
          <w:p w14:paraId="1BA5A201" w14:textId="77777777" w:rsidR="002E474C" w:rsidRDefault="00000000">
            <w:pPr>
              <w:pStyle w:val="A-"/>
            </w:pPr>
            <w:r>
              <w:t>460</w:t>
            </w:r>
          </w:p>
        </w:tc>
        <w:tc>
          <w:tcPr>
            <w:tcW w:w="403" w:type="pct"/>
            <w:vAlign w:val="center"/>
          </w:tcPr>
          <w:p w14:paraId="3C44CA51" w14:textId="77777777" w:rsidR="002E474C" w:rsidRDefault="00000000">
            <w:pPr>
              <w:pStyle w:val="A-"/>
            </w:pPr>
            <w:r>
              <w:t>0.302</w:t>
            </w:r>
          </w:p>
        </w:tc>
        <w:tc>
          <w:tcPr>
            <w:tcW w:w="334" w:type="pct"/>
            <w:vMerge w:val="restart"/>
            <w:vAlign w:val="center"/>
          </w:tcPr>
          <w:p w14:paraId="361269FB" w14:textId="77777777" w:rsidR="002E474C" w:rsidRDefault="00000000">
            <w:pPr>
              <w:pStyle w:val="A-"/>
            </w:pPr>
            <w:r>
              <w:t>综合污水处理站处理后回用于生产</w:t>
            </w:r>
            <w:r>
              <w:rPr>
                <w:rFonts w:hint="eastAsia"/>
              </w:rPr>
              <w:t>或绿化</w:t>
            </w:r>
          </w:p>
        </w:tc>
        <w:tc>
          <w:tcPr>
            <w:tcW w:w="293" w:type="pct"/>
            <w:noWrap/>
            <w:vAlign w:val="center"/>
          </w:tcPr>
          <w:p w14:paraId="7B7892E1" w14:textId="77777777" w:rsidR="002E474C" w:rsidRDefault="00000000">
            <w:pPr>
              <w:pStyle w:val="A-"/>
            </w:pPr>
            <w:r>
              <w:t>100</w:t>
            </w:r>
          </w:p>
        </w:tc>
        <w:tc>
          <w:tcPr>
            <w:tcW w:w="379" w:type="pct"/>
            <w:vAlign w:val="center"/>
          </w:tcPr>
          <w:p w14:paraId="5BA7B3A1" w14:textId="77777777" w:rsidR="002E474C" w:rsidRDefault="00000000">
            <w:pPr>
              <w:pStyle w:val="A-"/>
            </w:pPr>
            <w:r>
              <w:t>0</w:t>
            </w:r>
          </w:p>
        </w:tc>
        <w:tc>
          <w:tcPr>
            <w:tcW w:w="461" w:type="pct"/>
            <w:vAlign w:val="center"/>
          </w:tcPr>
          <w:p w14:paraId="4BA304EC" w14:textId="77777777" w:rsidR="002E474C" w:rsidRDefault="00000000">
            <w:pPr>
              <w:pStyle w:val="A-"/>
            </w:pPr>
            <w:r>
              <w:t>0</w:t>
            </w:r>
          </w:p>
        </w:tc>
        <w:tc>
          <w:tcPr>
            <w:tcW w:w="353" w:type="pct"/>
            <w:vAlign w:val="center"/>
          </w:tcPr>
          <w:p w14:paraId="4800BEFB" w14:textId="77777777" w:rsidR="002E474C" w:rsidRDefault="00000000">
            <w:pPr>
              <w:pStyle w:val="A-"/>
            </w:pPr>
            <w:r>
              <w:t>0</w:t>
            </w:r>
          </w:p>
        </w:tc>
      </w:tr>
      <w:tr w:rsidR="002E474C" w14:paraId="41FBCED0" w14:textId="77777777">
        <w:trPr>
          <w:trHeight w:val="315"/>
        </w:trPr>
        <w:tc>
          <w:tcPr>
            <w:tcW w:w="369" w:type="pct"/>
            <w:vMerge/>
            <w:vAlign w:val="center"/>
          </w:tcPr>
          <w:p w14:paraId="4FF0EBF9" w14:textId="77777777" w:rsidR="002E474C" w:rsidRDefault="002E474C">
            <w:pPr>
              <w:pStyle w:val="A-"/>
            </w:pPr>
          </w:p>
        </w:tc>
        <w:tc>
          <w:tcPr>
            <w:tcW w:w="545" w:type="pct"/>
            <w:vMerge/>
            <w:vAlign w:val="center"/>
          </w:tcPr>
          <w:p w14:paraId="689991FC" w14:textId="77777777" w:rsidR="002E474C" w:rsidRDefault="002E474C">
            <w:pPr>
              <w:pStyle w:val="A-"/>
            </w:pPr>
          </w:p>
        </w:tc>
        <w:tc>
          <w:tcPr>
            <w:tcW w:w="357" w:type="pct"/>
            <w:vMerge/>
            <w:vAlign w:val="center"/>
          </w:tcPr>
          <w:p w14:paraId="66826B47" w14:textId="77777777" w:rsidR="002E474C" w:rsidRDefault="002E474C">
            <w:pPr>
              <w:pStyle w:val="A-"/>
            </w:pPr>
          </w:p>
        </w:tc>
        <w:tc>
          <w:tcPr>
            <w:tcW w:w="360" w:type="pct"/>
            <w:vAlign w:val="center"/>
          </w:tcPr>
          <w:p w14:paraId="345A70DD" w14:textId="77777777" w:rsidR="002E474C" w:rsidRDefault="00000000">
            <w:pPr>
              <w:pStyle w:val="A-"/>
            </w:pPr>
            <w:r>
              <w:t>BOD</w:t>
            </w:r>
            <w:r>
              <w:rPr>
                <w:vertAlign w:val="subscript"/>
              </w:rPr>
              <w:t>5</w:t>
            </w:r>
          </w:p>
        </w:tc>
        <w:tc>
          <w:tcPr>
            <w:tcW w:w="301" w:type="pct"/>
            <w:vAlign w:val="center"/>
          </w:tcPr>
          <w:p w14:paraId="0CA8A19C" w14:textId="77777777" w:rsidR="002E474C" w:rsidRDefault="00000000">
            <w:pPr>
              <w:pStyle w:val="A-"/>
            </w:pPr>
            <w:r>
              <w:t>类比</w:t>
            </w:r>
          </w:p>
        </w:tc>
        <w:tc>
          <w:tcPr>
            <w:tcW w:w="379" w:type="pct"/>
            <w:vMerge/>
            <w:vAlign w:val="center"/>
          </w:tcPr>
          <w:p w14:paraId="3C4C908C" w14:textId="77777777" w:rsidR="002E474C" w:rsidRDefault="002E474C">
            <w:pPr>
              <w:pStyle w:val="A-"/>
            </w:pPr>
          </w:p>
        </w:tc>
        <w:tc>
          <w:tcPr>
            <w:tcW w:w="463" w:type="pct"/>
            <w:vAlign w:val="center"/>
          </w:tcPr>
          <w:p w14:paraId="60523182" w14:textId="77777777" w:rsidR="002E474C" w:rsidRDefault="00000000">
            <w:pPr>
              <w:pStyle w:val="A-"/>
            </w:pPr>
            <w:r>
              <w:t>250</w:t>
            </w:r>
          </w:p>
        </w:tc>
        <w:tc>
          <w:tcPr>
            <w:tcW w:w="403" w:type="pct"/>
            <w:vAlign w:val="center"/>
          </w:tcPr>
          <w:p w14:paraId="4C424296" w14:textId="77777777" w:rsidR="002E474C" w:rsidRDefault="00000000">
            <w:pPr>
              <w:pStyle w:val="A-"/>
            </w:pPr>
            <w:r>
              <w:t>0.164</w:t>
            </w:r>
          </w:p>
        </w:tc>
        <w:tc>
          <w:tcPr>
            <w:tcW w:w="334" w:type="pct"/>
            <w:vMerge/>
            <w:vAlign w:val="center"/>
          </w:tcPr>
          <w:p w14:paraId="25013FB9" w14:textId="77777777" w:rsidR="002E474C" w:rsidRDefault="002E474C">
            <w:pPr>
              <w:pStyle w:val="A-"/>
            </w:pPr>
          </w:p>
        </w:tc>
        <w:tc>
          <w:tcPr>
            <w:tcW w:w="293" w:type="pct"/>
            <w:noWrap/>
            <w:vAlign w:val="center"/>
          </w:tcPr>
          <w:p w14:paraId="3BF65DC5" w14:textId="77777777" w:rsidR="002E474C" w:rsidRDefault="00000000">
            <w:pPr>
              <w:pStyle w:val="A-"/>
            </w:pPr>
            <w:r>
              <w:t>100</w:t>
            </w:r>
          </w:p>
        </w:tc>
        <w:tc>
          <w:tcPr>
            <w:tcW w:w="379" w:type="pct"/>
            <w:vAlign w:val="center"/>
          </w:tcPr>
          <w:p w14:paraId="757825EE" w14:textId="77777777" w:rsidR="002E474C" w:rsidRDefault="00000000">
            <w:pPr>
              <w:pStyle w:val="A-"/>
            </w:pPr>
            <w:r>
              <w:t>0</w:t>
            </w:r>
          </w:p>
        </w:tc>
        <w:tc>
          <w:tcPr>
            <w:tcW w:w="461" w:type="pct"/>
            <w:vAlign w:val="center"/>
          </w:tcPr>
          <w:p w14:paraId="1D5413B9" w14:textId="77777777" w:rsidR="002E474C" w:rsidRDefault="00000000">
            <w:pPr>
              <w:pStyle w:val="A-"/>
            </w:pPr>
            <w:r>
              <w:t>0</w:t>
            </w:r>
          </w:p>
        </w:tc>
        <w:tc>
          <w:tcPr>
            <w:tcW w:w="353" w:type="pct"/>
            <w:vAlign w:val="center"/>
          </w:tcPr>
          <w:p w14:paraId="3D856837" w14:textId="77777777" w:rsidR="002E474C" w:rsidRDefault="00000000">
            <w:pPr>
              <w:pStyle w:val="A-"/>
            </w:pPr>
            <w:r>
              <w:t>0</w:t>
            </w:r>
          </w:p>
        </w:tc>
      </w:tr>
      <w:tr w:rsidR="002E474C" w14:paraId="5176FEFE" w14:textId="77777777">
        <w:trPr>
          <w:trHeight w:val="300"/>
        </w:trPr>
        <w:tc>
          <w:tcPr>
            <w:tcW w:w="369" w:type="pct"/>
            <w:vMerge/>
            <w:vAlign w:val="center"/>
          </w:tcPr>
          <w:p w14:paraId="7439CA51" w14:textId="77777777" w:rsidR="002E474C" w:rsidRDefault="002E474C">
            <w:pPr>
              <w:pStyle w:val="A-"/>
            </w:pPr>
          </w:p>
        </w:tc>
        <w:tc>
          <w:tcPr>
            <w:tcW w:w="545" w:type="pct"/>
            <w:vMerge/>
            <w:vAlign w:val="center"/>
          </w:tcPr>
          <w:p w14:paraId="68136D93" w14:textId="77777777" w:rsidR="002E474C" w:rsidRDefault="002E474C">
            <w:pPr>
              <w:pStyle w:val="A-"/>
            </w:pPr>
          </w:p>
        </w:tc>
        <w:tc>
          <w:tcPr>
            <w:tcW w:w="357" w:type="pct"/>
            <w:vMerge/>
            <w:vAlign w:val="center"/>
          </w:tcPr>
          <w:p w14:paraId="4C5F8CD3" w14:textId="77777777" w:rsidR="002E474C" w:rsidRDefault="002E474C">
            <w:pPr>
              <w:pStyle w:val="A-"/>
            </w:pPr>
          </w:p>
        </w:tc>
        <w:tc>
          <w:tcPr>
            <w:tcW w:w="360" w:type="pct"/>
            <w:vAlign w:val="center"/>
          </w:tcPr>
          <w:p w14:paraId="08AA4E20" w14:textId="77777777" w:rsidR="002E474C" w:rsidRDefault="00000000">
            <w:pPr>
              <w:pStyle w:val="A-"/>
            </w:pPr>
            <w:r>
              <w:t>氨氮</w:t>
            </w:r>
          </w:p>
        </w:tc>
        <w:tc>
          <w:tcPr>
            <w:tcW w:w="301" w:type="pct"/>
            <w:vAlign w:val="center"/>
          </w:tcPr>
          <w:p w14:paraId="0883E271" w14:textId="77777777" w:rsidR="002E474C" w:rsidRDefault="00000000">
            <w:pPr>
              <w:pStyle w:val="A-"/>
            </w:pPr>
            <w:r>
              <w:t>系数</w:t>
            </w:r>
          </w:p>
        </w:tc>
        <w:tc>
          <w:tcPr>
            <w:tcW w:w="379" w:type="pct"/>
            <w:vMerge/>
            <w:vAlign w:val="center"/>
          </w:tcPr>
          <w:p w14:paraId="4692C119" w14:textId="77777777" w:rsidR="002E474C" w:rsidRDefault="002E474C">
            <w:pPr>
              <w:pStyle w:val="A-"/>
            </w:pPr>
          </w:p>
        </w:tc>
        <w:tc>
          <w:tcPr>
            <w:tcW w:w="463" w:type="pct"/>
            <w:vAlign w:val="center"/>
          </w:tcPr>
          <w:p w14:paraId="0706B0D4" w14:textId="77777777" w:rsidR="002E474C" w:rsidRDefault="00000000">
            <w:pPr>
              <w:pStyle w:val="A-"/>
            </w:pPr>
            <w:r>
              <w:t>52.2</w:t>
            </w:r>
          </w:p>
        </w:tc>
        <w:tc>
          <w:tcPr>
            <w:tcW w:w="403" w:type="pct"/>
            <w:vAlign w:val="center"/>
          </w:tcPr>
          <w:p w14:paraId="26BA7934" w14:textId="77777777" w:rsidR="002E474C" w:rsidRDefault="00000000">
            <w:pPr>
              <w:pStyle w:val="A-"/>
            </w:pPr>
            <w:r>
              <w:t>0.034</w:t>
            </w:r>
          </w:p>
        </w:tc>
        <w:tc>
          <w:tcPr>
            <w:tcW w:w="334" w:type="pct"/>
            <w:vMerge/>
            <w:vAlign w:val="center"/>
          </w:tcPr>
          <w:p w14:paraId="5AC87E9B" w14:textId="77777777" w:rsidR="002E474C" w:rsidRDefault="002E474C">
            <w:pPr>
              <w:pStyle w:val="A-"/>
            </w:pPr>
          </w:p>
        </w:tc>
        <w:tc>
          <w:tcPr>
            <w:tcW w:w="293" w:type="pct"/>
            <w:noWrap/>
            <w:vAlign w:val="center"/>
          </w:tcPr>
          <w:p w14:paraId="58ADDB6C" w14:textId="77777777" w:rsidR="002E474C" w:rsidRDefault="00000000">
            <w:pPr>
              <w:pStyle w:val="A-"/>
            </w:pPr>
            <w:r>
              <w:t>100</w:t>
            </w:r>
          </w:p>
        </w:tc>
        <w:tc>
          <w:tcPr>
            <w:tcW w:w="379" w:type="pct"/>
            <w:vAlign w:val="center"/>
          </w:tcPr>
          <w:p w14:paraId="20C79348" w14:textId="77777777" w:rsidR="002E474C" w:rsidRDefault="00000000">
            <w:pPr>
              <w:pStyle w:val="A-"/>
            </w:pPr>
            <w:r>
              <w:t>0</w:t>
            </w:r>
          </w:p>
        </w:tc>
        <w:tc>
          <w:tcPr>
            <w:tcW w:w="461" w:type="pct"/>
            <w:vAlign w:val="center"/>
          </w:tcPr>
          <w:p w14:paraId="2369EADA" w14:textId="77777777" w:rsidR="002E474C" w:rsidRDefault="00000000">
            <w:pPr>
              <w:pStyle w:val="A-"/>
            </w:pPr>
            <w:r>
              <w:t>0</w:t>
            </w:r>
          </w:p>
        </w:tc>
        <w:tc>
          <w:tcPr>
            <w:tcW w:w="353" w:type="pct"/>
            <w:vAlign w:val="center"/>
          </w:tcPr>
          <w:p w14:paraId="316381CA" w14:textId="77777777" w:rsidR="002E474C" w:rsidRDefault="00000000">
            <w:pPr>
              <w:pStyle w:val="A-"/>
            </w:pPr>
            <w:r>
              <w:t>0</w:t>
            </w:r>
          </w:p>
        </w:tc>
      </w:tr>
      <w:tr w:rsidR="002E474C" w14:paraId="2D17D575" w14:textId="77777777">
        <w:trPr>
          <w:trHeight w:val="300"/>
        </w:trPr>
        <w:tc>
          <w:tcPr>
            <w:tcW w:w="369" w:type="pct"/>
            <w:vMerge/>
            <w:vAlign w:val="center"/>
          </w:tcPr>
          <w:p w14:paraId="5D214398" w14:textId="77777777" w:rsidR="002E474C" w:rsidRDefault="002E474C">
            <w:pPr>
              <w:pStyle w:val="A-"/>
            </w:pPr>
          </w:p>
        </w:tc>
        <w:tc>
          <w:tcPr>
            <w:tcW w:w="545" w:type="pct"/>
            <w:vMerge/>
            <w:vAlign w:val="center"/>
          </w:tcPr>
          <w:p w14:paraId="602AF895" w14:textId="77777777" w:rsidR="002E474C" w:rsidRDefault="002E474C">
            <w:pPr>
              <w:pStyle w:val="A-"/>
            </w:pPr>
          </w:p>
        </w:tc>
        <w:tc>
          <w:tcPr>
            <w:tcW w:w="357" w:type="pct"/>
            <w:vMerge/>
            <w:vAlign w:val="center"/>
          </w:tcPr>
          <w:p w14:paraId="6B8F4837" w14:textId="77777777" w:rsidR="002E474C" w:rsidRDefault="002E474C">
            <w:pPr>
              <w:pStyle w:val="A-"/>
            </w:pPr>
          </w:p>
        </w:tc>
        <w:tc>
          <w:tcPr>
            <w:tcW w:w="360" w:type="pct"/>
            <w:vAlign w:val="center"/>
          </w:tcPr>
          <w:p w14:paraId="72D248E2" w14:textId="77777777" w:rsidR="002E474C" w:rsidRDefault="00000000">
            <w:pPr>
              <w:pStyle w:val="A-"/>
            </w:pPr>
            <w:r>
              <w:t>总氮</w:t>
            </w:r>
          </w:p>
        </w:tc>
        <w:tc>
          <w:tcPr>
            <w:tcW w:w="301" w:type="pct"/>
            <w:vAlign w:val="center"/>
          </w:tcPr>
          <w:p w14:paraId="0842FD51" w14:textId="77777777" w:rsidR="002E474C" w:rsidRDefault="00000000">
            <w:pPr>
              <w:pStyle w:val="A-"/>
            </w:pPr>
            <w:r>
              <w:t>系数</w:t>
            </w:r>
          </w:p>
        </w:tc>
        <w:tc>
          <w:tcPr>
            <w:tcW w:w="379" w:type="pct"/>
            <w:vMerge/>
            <w:vAlign w:val="center"/>
          </w:tcPr>
          <w:p w14:paraId="0CFCBF9B" w14:textId="77777777" w:rsidR="002E474C" w:rsidRDefault="002E474C">
            <w:pPr>
              <w:pStyle w:val="A-"/>
            </w:pPr>
          </w:p>
        </w:tc>
        <w:tc>
          <w:tcPr>
            <w:tcW w:w="463" w:type="pct"/>
            <w:vAlign w:val="center"/>
          </w:tcPr>
          <w:p w14:paraId="574F531B" w14:textId="77777777" w:rsidR="002E474C" w:rsidRDefault="00000000">
            <w:pPr>
              <w:pStyle w:val="A-"/>
            </w:pPr>
            <w:r>
              <w:t>71.2</w:t>
            </w:r>
          </w:p>
        </w:tc>
        <w:tc>
          <w:tcPr>
            <w:tcW w:w="403" w:type="pct"/>
            <w:vAlign w:val="center"/>
          </w:tcPr>
          <w:p w14:paraId="19341CAF" w14:textId="77777777" w:rsidR="002E474C" w:rsidRDefault="00000000">
            <w:pPr>
              <w:pStyle w:val="A-"/>
            </w:pPr>
            <w:r>
              <w:t>0.047</w:t>
            </w:r>
          </w:p>
        </w:tc>
        <w:tc>
          <w:tcPr>
            <w:tcW w:w="334" w:type="pct"/>
            <w:vMerge/>
            <w:vAlign w:val="center"/>
          </w:tcPr>
          <w:p w14:paraId="7F3D324C" w14:textId="77777777" w:rsidR="002E474C" w:rsidRDefault="002E474C">
            <w:pPr>
              <w:pStyle w:val="A-"/>
            </w:pPr>
          </w:p>
        </w:tc>
        <w:tc>
          <w:tcPr>
            <w:tcW w:w="293" w:type="pct"/>
            <w:noWrap/>
            <w:vAlign w:val="center"/>
          </w:tcPr>
          <w:p w14:paraId="69BF8DCF" w14:textId="77777777" w:rsidR="002E474C" w:rsidRDefault="00000000">
            <w:pPr>
              <w:pStyle w:val="A-"/>
            </w:pPr>
            <w:r>
              <w:t>100</w:t>
            </w:r>
          </w:p>
        </w:tc>
        <w:tc>
          <w:tcPr>
            <w:tcW w:w="379" w:type="pct"/>
            <w:vAlign w:val="center"/>
          </w:tcPr>
          <w:p w14:paraId="74B0364E" w14:textId="77777777" w:rsidR="002E474C" w:rsidRDefault="00000000">
            <w:pPr>
              <w:pStyle w:val="A-"/>
            </w:pPr>
            <w:r>
              <w:t>0</w:t>
            </w:r>
          </w:p>
        </w:tc>
        <w:tc>
          <w:tcPr>
            <w:tcW w:w="461" w:type="pct"/>
            <w:vAlign w:val="center"/>
          </w:tcPr>
          <w:p w14:paraId="2720550F" w14:textId="77777777" w:rsidR="002E474C" w:rsidRDefault="00000000">
            <w:pPr>
              <w:pStyle w:val="A-"/>
            </w:pPr>
            <w:r>
              <w:t>0</w:t>
            </w:r>
          </w:p>
        </w:tc>
        <w:tc>
          <w:tcPr>
            <w:tcW w:w="353" w:type="pct"/>
            <w:vAlign w:val="center"/>
          </w:tcPr>
          <w:p w14:paraId="1E6BEAB5" w14:textId="77777777" w:rsidR="002E474C" w:rsidRDefault="00000000">
            <w:pPr>
              <w:pStyle w:val="A-"/>
            </w:pPr>
            <w:r>
              <w:t>0</w:t>
            </w:r>
          </w:p>
        </w:tc>
      </w:tr>
      <w:tr w:rsidR="002E474C" w14:paraId="500C8803" w14:textId="77777777">
        <w:trPr>
          <w:trHeight w:val="300"/>
        </w:trPr>
        <w:tc>
          <w:tcPr>
            <w:tcW w:w="369" w:type="pct"/>
            <w:vMerge/>
            <w:vAlign w:val="center"/>
          </w:tcPr>
          <w:p w14:paraId="0664A9B9" w14:textId="77777777" w:rsidR="002E474C" w:rsidRDefault="002E474C">
            <w:pPr>
              <w:pStyle w:val="A-"/>
            </w:pPr>
          </w:p>
        </w:tc>
        <w:tc>
          <w:tcPr>
            <w:tcW w:w="545" w:type="pct"/>
            <w:vMerge/>
            <w:vAlign w:val="center"/>
          </w:tcPr>
          <w:p w14:paraId="5ECFC4DE" w14:textId="77777777" w:rsidR="002E474C" w:rsidRDefault="002E474C">
            <w:pPr>
              <w:pStyle w:val="A-"/>
            </w:pPr>
          </w:p>
        </w:tc>
        <w:tc>
          <w:tcPr>
            <w:tcW w:w="357" w:type="pct"/>
            <w:vMerge/>
            <w:vAlign w:val="center"/>
          </w:tcPr>
          <w:p w14:paraId="63C06E5C" w14:textId="77777777" w:rsidR="002E474C" w:rsidRDefault="002E474C">
            <w:pPr>
              <w:pStyle w:val="A-"/>
            </w:pPr>
          </w:p>
        </w:tc>
        <w:tc>
          <w:tcPr>
            <w:tcW w:w="360" w:type="pct"/>
            <w:vAlign w:val="center"/>
          </w:tcPr>
          <w:p w14:paraId="6856A6F8" w14:textId="77777777" w:rsidR="002E474C" w:rsidRDefault="00000000">
            <w:pPr>
              <w:pStyle w:val="A-"/>
            </w:pPr>
            <w:r>
              <w:t>总磷</w:t>
            </w:r>
          </w:p>
        </w:tc>
        <w:tc>
          <w:tcPr>
            <w:tcW w:w="301" w:type="pct"/>
            <w:vAlign w:val="center"/>
          </w:tcPr>
          <w:p w14:paraId="5F507958" w14:textId="77777777" w:rsidR="002E474C" w:rsidRDefault="00000000">
            <w:pPr>
              <w:pStyle w:val="A-"/>
            </w:pPr>
            <w:r>
              <w:t>系数</w:t>
            </w:r>
          </w:p>
        </w:tc>
        <w:tc>
          <w:tcPr>
            <w:tcW w:w="379" w:type="pct"/>
            <w:vMerge/>
            <w:vAlign w:val="center"/>
          </w:tcPr>
          <w:p w14:paraId="2D4C0B79" w14:textId="77777777" w:rsidR="002E474C" w:rsidRDefault="002E474C">
            <w:pPr>
              <w:pStyle w:val="A-"/>
            </w:pPr>
          </w:p>
        </w:tc>
        <w:tc>
          <w:tcPr>
            <w:tcW w:w="463" w:type="pct"/>
            <w:vAlign w:val="center"/>
          </w:tcPr>
          <w:p w14:paraId="5960E704" w14:textId="77777777" w:rsidR="002E474C" w:rsidRDefault="00000000">
            <w:pPr>
              <w:pStyle w:val="A-"/>
            </w:pPr>
            <w:r>
              <w:t>5.12</w:t>
            </w:r>
          </w:p>
        </w:tc>
        <w:tc>
          <w:tcPr>
            <w:tcW w:w="403" w:type="pct"/>
            <w:vAlign w:val="center"/>
          </w:tcPr>
          <w:p w14:paraId="758B57EC" w14:textId="77777777" w:rsidR="002E474C" w:rsidRDefault="00000000">
            <w:pPr>
              <w:pStyle w:val="A-"/>
            </w:pPr>
            <w:r>
              <w:t>0.003</w:t>
            </w:r>
          </w:p>
        </w:tc>
        <w:tc>
          <w:tcPr>
            <w:tcW w:w="334" w:type="pct"/>
            <w:vMerge/>
            <w:vAlign w:val="center"/>
          </w:tcPr>
          <w:p w14:paraId="7DB8DFE8" w14:textId="77777777" w:rsidR="002E474C" w:rsidRDefault="002E474C">
            <w:pPr>
              <w:pStyle w:val="A-"/>
            </w:pPr>
          </w:p>
        </w:tc>
        <w:tc>
          <w:tcPr>
            <w:tcW w:w="293" w:type="pct"/>
            <w:noWrap/>
            <w:vAlign w:val="center"/>
          </w:tcPr>
          <w:p w14:paraId="3872CC21" w14:textId="77777777" w:rsidR="002E474C" w:rsidRDefault="00000000">
            <w:pPr>
              <w:pStyle w:val="A-"/>
            </w:pPr>
            <w:r>
              <w:t>100</w:t>
            </w:r>
          </w:p>
        </w:tc>
        <w:tc>
          <w:tcPr>
            <w:tcW w:w="379" w:type="pct"/>
            <w:vAlign w:val="center"/>
          </w:tcPr>
          <w:p w14:paraId="270DE9C7" w14:textId="77777777" w:rsidR="002E474C" w:rsidRDefault="00000000">
            <w:pPr>
              <w:pStyle w:val="A-"/>
            </w:pPr>
            <w:r>
              <w:t>0</w:t>
            </w:r>
          </w:p>
        </w:tc>
        <w:tc>
          <w:tcPr>
            <w:tcW w:w="461" w:type="pct"/>
            <w:vAlign w:val="center"/>
          </w:tcPr>
          <w:p w14:paraId="5BCE3E53" w14:textId="77777777" w:rsidR="002E474C" w:rsidRDefault="00000000">
            <w:pPr>
              <w:pStyle w:val="A-"/>
            </w:pPr>
            <w:r>
              <w:t>0</w:t>
            </w:r>
          </w:p>
        </w:tc>
        <w:tc>
          <w:tcPr>
            <w:tcW w:w="353" w:type="pct"/>
            <w:vAlign w:val="center"/>
          </w:tcPr>
          <w:p w14:paraId="1239D77D" w14:textId="77777777" w:rsidR="002E474C" w:rsidRDefault="00000000">
            <w:pPr>
              <w:pStyle w:val="A-"/>
            </w:pPr>
            <w:r>
              <w:t>0</w:t>
            </w:r>
          </w:p>
        </w:tc>
      </w:tr>
      <w:tr w:rsidR="002E474C" w14:paraId="2C1FCCCB" w14:textId="77777777">
        <w:trPr>
          <w:trHeight w:val="300"/>
        </w:trPr>
        <w:tc>
          <w:tcPr>
            <w:tcW w:w="369" w:type="pct"/>
            <w:vMerge/>
            <w:vAlign w:val="center"/>
          </w:tcPr>
          <w:p w14:paraId="0BCABE60" w14:textId="77777777" w:rsidR="002E474C" w:rsidRDefault="002E474C">
            <w:pPr>
              <w:pStyle w:val="A-"/>
            </w:pPr>
          </w:p>
        </w:tc>
        <w:tc>
          <w:tcPr>
            <w:tcW w:w="545" w:type="pct"/>
            <w:vMerge/>
            <w:vAlign w:val="center"/>
          </w:tcPr>
          <w:p w14:paraId="7BF60FD6" w14:textId="77777777" w:rsidR="002E474C" w:rsidRDefault="002E474C">
            <w:pPr>
              <w:pStyle w:val="A-"/>
            </w:pPr>
          </w:p>
        </w:tc>
        <w:tc>
          <w:tcPr>
            <w:tcW w:w="357" w:type="pct"/>
            <w:vMerge/>
            <w:vAlign w:val="center"/>
          </w:tcPr>
          <w:p w14:paraId="29CA6FF7" w14:textId="77777777" w:rsidR="002E474C" w:rsidRDefault="002E474C">
            <w:pPr>
              <w:pStyle w:val="A-"/>
            </w:pPr>
          </w:p>
        </w:tc>
        <w:tc>
          <w:tcPr>
            <w:tcW w:w="360" w:type="pct"/>
            <w:vAlign w:val="center"/>
          </w:tcPr>
          <w:p w14:paraId="56362DDF" w14:textId="77777777" w:rsidR="002E474C" w:rsidRDefault="00000000">
            <w:pPr>
              <w:pStyle w:val="A-"/>
            </w:pPr>
            <w:r>
              <w:t>SS</w:t>
            </w:r>
          </w:p>
        </w:tc>
        <w:tc>
          <w:tcPr>
            <w:tcW w:w="301" w:type="pct"/>
            <w:vAlign w:val="center"/>
          </w:tcPr>
          <w:p w14:paraId="778AA75D" w14:textId="77777777" w:rsidR="002E474C" w:rsidRDefault="00000000">
            <w:pPr>
              <w:pStyle w:val="A-"/>
            </w:pPr>
            <w:r>
              <w:t>类比</w:t>
            </w:r>
          </w:p>
        </w:tc>
        <w:tc>
          <w:tcPr>
            <w:tcW w:w="379" w:type="pct"/>
            <w:vMerge/>
            <w:vAlign w:val="center"/>
          </w:tcPr>
          <w:p w14:paraId="1D439572" w14:textId="77777777" w:rsidR="002E474C" w:rsidRDefault="002E474C">
            <w:pPr>
              <w:pStyle w:val="A-"/>
            </w:pPr>
          </w:p>
        </w:tc>
        <w:tc>
          <w:tcPr>
            <w:tcW w:w="463" w:type="pct"/>
            <w:vAlign w:val="center"/>
          </w:tcPr>
          <w:p w14:paraId="44C8F73A" w14:textId="77777777" w:rsidR="002E474C" w:rsidRDefault="00000000">
            <w:pPr>
              <w:pStyle w:val="A-"/>
            </w:pPr>
            <w:r>
              <w:t>300</w:t>
            </w:r>
          </w:p>
        </w:tc>
        <w:tc>
          <w:tcPr>
            <w:tcW w:w="403" w:type="pct"/>
            <w:vAlign w:val="center"/>
          </w:tcPr>
          <w:p w14:paraId="6CC14A7A" w14:textId="77777777" w:rsidR="002E474C" w:rsidRDefault="00000000">
            <w:pPr>
              <w:pStyle w:val="A-"/>
            </w:pPr>
            <w:r>
              <w:t>0.197</w:t>
            </w:r>
          </w:p>
        </w:tc>
        <w:tc>
          <w:tcPr>
            <w:tcW w:w="334" w:type="pct"/>
            <w:vMerge/>
            <w:vAlign w:val="center"/>
          </w:tcPr>
          <w:p w14:paraId="4E53256D" w14:textId="77777777" w:rsidR="002E474C" w:rsidRDefault="002E474C">
            <w:pPr>
              <w:pStyle w:val="A-"/>
            </w:pPr>
          </w:p>
        </w:tc>
        <w:tc>
          <w:tcPr>
            <w:tcW w:w="293" w:type="pct"/>
            <w:noWrap/>
            <w:vAlign w:val="center"/>
          </w:tcPr>
          <w:p w14:paraId="66CFB138" w14:textId="77777777" w:rsidR="002E474C" w:rsidRDefault="00000000">
            <w:pPr>
              <w:pStyle w:val="A-"/>
            </w:pPr>
            <w:r>
              <w:t>100</w:t>
            </w:r>
          </w:p>
        </w:tc>
        <w:tc>
          <w:tcPr>
            <w:tcW w:w="379" w:type="pct"/>
            <w:vAlign w:val="center"/>
          </w:tcPr>
          <w:p w14:paraId="48CE9D64" w14:textId="77777777" w:rsidR="002E474C" w:rsidRDefault="00000000">
            <w:pPr>
              <w:pStyle w:val="A-"/>
            </w:pPr>
            <w:r>
              <w:t>0</w:t>
            </w:r>
          </w:p>
        </w:tc>
        <w:tc>
          <w:tcPr>
            <w:tcW w:w="461" w:type="pct"/>
            <w:vAlign w:val="center"/>
          </w:tcPr>
          <w:p w14:paraId="3978DC52" w14:textId="77777777" w:rsidR="002E474C" w:rsidRDefault="00000000">
            <w:pPr>
              <w:pStyle w:val="A-"/>
            </w:pPr>
            <w:r>
              <w:t>0</w:t>
            </w:r>
          </w:p>
        </w:tc>
        <w:tc>
          <w:tcPr>
            <w:tcW w:w="353" w:type="pct"/>
            <w:vAlign w:val="center"/>
          </w:tcPr>
          <w:p w14:paraId="6CA90B34" w14:textId="77777777" w:rsidR="002E474C" w:rsidRDefault="00000000">
            <w:pPr>
              <w:pStyle w:val="A-"/>
            </w:pPr>
            <w:r>
              <w:t>0</w:t>
            </w:r>
          </w:p>
        </w:tc>
      </w:tr>
    </w:tbl>
    <w:p w14:paraId="5B0047CF" w14:textId="77777777" w:rsidR="002E474C" w:rsidRDefault="002E474C">
      <w:pPr>
        <w:pStyle w:val="A-0"/>
        <w:rPr>
          <w:color w:val="auto"/>
        </w:rPr>
      </w:pPr>
    </w:p>
    <w:p w14:paraId="34CFB5A7"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3864E710" w14:textId="77777777" w:rsidR="002E474C" w:rsidRDefault="00000000">
      <w:pPr>
        <w:pStyle w:val="41"/>
        <w:rPr>
          <w:color w:val="auto"/>
        </w:rPr>
      </w:pPr>
      <w:r>
        <w:rPr>
          <w:color w:val="auto"/>
        </w:rPr>
        <w:lastRenderedPageBreak/>
        <w:t>固体废物污染源源强核算</w:t>
      </w:r>
    </w:p>
    <w:p w14:paraId="1201197F" w14:textId="77777777" w:rsidR="002E474C" w:rsidRDefault="00000000">
      <w:pPr>
        <w:pStyle w:val="A-z"/>
        <w:rPr>
          <w:color w:val="auto"/>
        </w:rPr>
      </w:pPr>
      <w:r>
        <w:rPr>
          <w:color w:val="auto"/>
        </w:rPr>
        <w:t>本项目危险废物接收、贮存和加料过程产生的次生废物，根据《水泥窑协同处置危险废物环境保护技术规范》（</w:t>
      </w:r>
      <w:r>
        <w:rPr>
          <w:color w:val="auto"/>
        </w:rPr>
        <w:t>HJ662-2013</w:t>
      </w:r>
      <w:r>
        <w:rPr>
          <w:color w:val="auto"/>
        </w:rPr>
        <w:t>）规定：预处理产生的各种废物均应作为危险废物进行管理和处置。</w:t>
      </w:r>
    </w:p>
    <w:p w14:paraId="4F3BD7F4" w14:textId="77777777" w:rsidR="002E474C" w:rsidRDefault="00000000">
      <w:pPr>
        <w:pStyle w:val="A-z"/>
        <w:rPr>
          <w:color w:val="auto"/>
        </w:rPr>
      </w:pPr>
      <w:r>
        <w:rPr>
          <w:color w:val="auto"/>
        </w:rPr>
        <w:t>根据《固体废物鉴别标准</w:t>
      </w:r>
      <w:r>
        <w:rPr>
          <w:color w:val="auto"/>
        </w:rPr>
        <w:t xml:space="preserve"> </w:t>
      </w:r>
      <w:r>
        <w:rPr>
          <w:color w:val="auto"/>
        </w:rPr>
        <w:t>通则》（</w:t>
      </w:r>
      <w:r>
        <w:rPr>
          <w:color w:val="auto"/>
        </w:rPr>
        <w:t>GB 34330-2025</w:t>
      </w:r>
      <w:r>
        <w:rPr>
          <w:color w:val="auto"/>
        </w:rPr>
        <w:t>），生产企业内部通过以下方式返回原生产线作为原料使用的物质不属于固体废物。包括：</w:t>
      </w:r>
      <w:r>
        <w:rPr>
          <w:color w:val="auto"/>
        </w:rPr>
        <w:t>a</w:t>
      </w:r>
      <w:r>
        <w:rPr>
          <w:color w:val="auto"/>
        </w:rPr>
        <w:t>）不净过贮存或堆积过程，直接返回。</w:t>
      </w:r>
      <w:r>
        <w:rPr>
          <w:color w:val="auto"/>
        </w:rPr>
        <w:t>b</w:t>
      </w:r>
      <w:r>
        <w:rPr>
          <w:color w:val="auto"/>
        </w:rPr>
        <w:t>）在非连续化生产过程中，贮存于能够防止物料通过泄漏、扬尘、遗撒、逸散等途径造成损失的固定贮存装置中，并通过封闭管道或其他相对封闭的运输系统直接返回。</w:t>
      </w:r>
      <w:r>
        <w:rPr>
          <w:color w:val="auto"/>
        </w:rPr>
        <w:t>c</w:t>
      </w:r>
      <w:r>
        <w:rPr>
          <w:color w:val="auto"/>
        </w:rPr>
        <w:t>）进入生产工艺配套工序再生后返回。据此，回转窑协同处置危险废物后的窑尾烟气经窑尾电袋除尘系统收集的窑灰部分返回原料系统，部分按比例掺入熟料生产水泥，不属于固体废物。</w:t>
      </w:r>
    </w:p>
    <w:p w14:paraId="21E6CA6E" w14:textId="77777777" w:rsidR="002E474C" w:rsidRDefault="00000000">
      <w:pPr>
        <w:pStyle w:val="A-z"/>
        <w:rPr>
          <w:color w:val="auto"/>
        </w:rPr>
      </w:pPr>
      <w:r>
        <w:rPr>
          <w:color w:val="auto"/>
        </w:rPr>
        <w:t>（</w:t>
      </w:r>
      <w:r>
        <w:rPr>
          <w:color w:val="auto"/>
        </w:rPr>
        <w:t>1</w:t>
      </w:r>
      <w:r>
        <w:rPr>
          <w:color w:val="auto"/>
        </w:rPr>
        <w:t>）废包装物（</w:t>
      </w:r>
      <w:r>
        <w:rPr>
          <w:color w:val="auto"/>
        </w:rPr>
        <w:t>S1</w:t>
      </w:r>
      <w:r>
        <w:rPr>
          <w:color w:val="auto"/>
        </w:rPr>
        <w:t>）</w:t>
      </w:r>
    </w:p>
    <w:p w14:paraId="65CD0B2F" w14:textId="77777777" w:rsidR="002E474C" w:rsidRDefault="00000000">
      <w:pPr>
        <w:pStyle w:val="A-z"/>
        <w:rPr>
          <w:color w:val="auto"/>
        </w:rPr>
      </w:pPr>
      <w:bookmarkStart w:id="203" w:name="_Hlk150983120"/>
      <w:r>
        <w:rPr>
          <w:color w:val="auto"/>
        </w:rPr>
        <w:t>危废专用包装物中的吨袋</w:t>
      </w:r>
      <w:r>
        <w:rPr>
          <w:rFonts w:hint="eastAsia"/>
          <w:color w:val="auto"/>
        </w:rPr>
        <w:t>、</w:t>
      </w:r>
      <w:r>
        <w:rPr>
          <w:color w:val="auto"/>
        </w:rPr>
        <w:t>200L</w:t>
      </w:r>
      <w:r>
        <w:rPr>
          <w:color w:val="auto"/>
        </w:rPr>
        <w:t>铁桶</w:t>
      </w:r>
      <w:r>
        <w:rPr>
          <w:rFonts w:hint="eastAsia"/>
          <w:color w:val="auto"/>
        </w:rPr>
        <w:t>、</w:t>
      </w:r>
      <w:r>
        <w:rPr>
          <w:color w:val="auto"/>
        </w:rPr>
        <w:t>200L</w:t>
      </w:r>
      <w:r>
        <w:rPr>
          <w:color w:val="auto"/>
        </w:rPr>
        <w:t>塑料桶</w:t>
      </w:r>
      <w:r>
        <w:rPr>
          <w:rFonts w:hint="eastAsia"/>
          <w:color w:val="auto"/>
        </w:rPr>
        <w:t>、</w:t>
      </w:r>
      <w:r>
        <w:rPr>
          <w:color w:val="auto"/>
        </w:rPr>
        <w:t>25L</w:t>
      </w:r>
      <w:r>
        <w:rPr>
          <w:color w:val="auto"/>
        </w:rPr>
        <w:t>塑料桶均为危废包装物</w:t>
      </w:r>
      <w:r>
        <w:rPr>
          <w:rFonts w:hint="eastAsia"/>
          <w:color w:val="auto"/>
        </w:rPr>
        <w:t>。考虑到包装袋及塑料桶</w:t>
      </w:r>
      <w:r>
        <w:rPr>
          <w:color w:val="auto"/>
          <w:lang w:val="en-US"/>
        </w:rPr>
        <w:t>基体易吸附有机溶剂、酸碱、重金属残留，深度</w:t>
      </w:r>
      <w:r>
        <w:rPr>
          <w:color w:val="auto"/>
        </w:rPr>
        <w:t>清洗难度大</w:t>
      </w:r>
      <w:r>
        <w:rPr>
          <w:rFonts w:hint="eastAsia"/>
          <w:color w:val="auto"/>
        </w:rPr>
        <w:t>，</w:t>
      </w:r>
      <w:r>
        <w:rPr>
          <w:color w:val="auto"/>
        </w:rPr>
        <w:t>重复利用价值</w:t>
      </w:r>
      <w:r>
        <w:rPr>
          <w:rFonts w:hint="eastAsia"/>
          <w:color w:val="auto"/>
        </w:rPr>
        <w:t>低</w:t>
      </w:r>
      <w:r>
        <w:rPr>
          <w:color w:val="auto"/>
        </w:rPr>
        <w:t>，</w:t>
      </w:r>
      <w:r>
        <w:rPr>
          <w:rFonts w:hint="eastAsia"/>
          <w:color w:val="auto"/>
        </w:rPr>
        <w:t>另有部分</w:t>
      </w:r>
      <w:r>
        <w:rPr>
          <w:color w:val="auto"/>
          <w:lang w:val="en-US"/>
        </w:rPr>
        <w:t>锈蚀穿孔、严重变形、内壁附着碳化油泥、盛装难降解有毒废液无法清洗达标的报废铁桶</w:t>
      </w:r>
      <w:r>
        <w:rPr>
          <w:color w:val="auto"/>
        </w:rPr>
        <w:t>。</w:t>
      </w:r>
    </w:p>
    <w:p w14:paraId="04CB3C0A" w14:textId="77777777" w:rsidR="002E474C" w:rsidRDefault="00000000">
      <w:pPr>
        <w:pStyle w:val="A-z"/>
        <w:rPr>
          <w:color w:val="auto"/>
        </w:rPr>
      </w:pPr>
      <w:r>
        <w:rPr>
          <w:color w:val="auto"/>
        </w:rPr>
        <w:t>本项目</w:t>
      </w:r>
      <w:r>
        <w:rPr>
          <w:rFonts w:hint="eastAsia"/>
          <w:color w:val="auto"/>
        </w:rPr>
        <w:t>处理液态危险废物不可回用包装桶（含铁桶及塑料桶）按</w:t>
      </w:r>
      <w:r>
        <w:rPr>
          <w:rFonts w:hint="eastAsia"/>
          <w:color w:val="auto"/>
          <w:lang w:val="en-US"/>
        </w:rPr>
        <w:t>20</w:t>
      </w:r>
      <w:r>
        <w:rPr>
          <w:rFonts w:hint="eastAsia"/>
          <w:color w:val="auto"/>
        </w:rPr>
        <w:t>00</w:t>
      </w:r>
      <w:r>
        <w:rPr>
          <w:rFonts w:hint="eastAsia"/>
          <w:color w:val="auto"/>
          <w:lang w:val="en-US"/>
        </w:rPr>
        <w:t>0</w:t>
      </w:r>
      <w:r>
        <w:rPr>
          <w:rFonts w:hint="eastAsia"/>
          <w:color w:val="auto"/>
        </w:rPr>
        <w:t>只计，废包装袋约</w:t>
      </w:r>
      <w:r>
        <w:rPr>
          <w:rFonts w:hint="eastAsia"/>
          <w:color w:val="auto"/>
          <w:lang w:val="en-US"/>
        </w:rPr>
        <w:t>4</w:t>
      </w:r>
      <w:r>
        <w:rPr>
          <w:rFonts w:hint="eastAsia"/>
          <w:color w:val="auto"/>
        </w:rPr>
        <w:t>5000</w:t>
      </w:r>
      <w:r>
        <w:rPr>
          <w:rFonts w:hint="eastAsia"/>
          <w:color w:val="auto"/>
        </w:rPr>
        <w:t>条，单只包装袋按</w:t>
      </w:r>
      <w:r>
        <w:rPr>
          <w:rFonts w:hint="eastAsia"/>
          <w:color w:val="auto"/>
        </w:rPr>
        <w:t>0.1kg</w:t>
      </w:r>
      <w:r>
        <w:rPr>
          <w:rFonts w:hint="eastAsia"/>
          <w:color w:val="auto"/>
        </w:rPr>
        <w:t>计，单只包装桶平均重量按</w:t>
      </w:r>
      <w:r>
        <w:rPr>
          <w:rFonts w:hint="eastAsia"/>
          <w:color w:val="auto"/>
          <w:lang w:val="en-US"/>
        </w:rPr>
        <w:t>10</w:t>
      </w:r>
      <w:r>
        <w:rPr>
          <w:rFonts w:hint="eastAsia"/>
          <w:color w:val="auto"/>
        </w:rPr>
        <w:t>kg</w:t>
      </w:r>
      <w:r>
        <w:rPr>
          <w:rFonts w:hint="eastAsia"/>
          <w:color w:val="auto"/>
        </w:rPr>
        <w:t>计，则</w:t>
      </w:r>
      <w:r>
        <w:rPr>
          <w:color w:val="auto"/>
        </w:rPr>
        <w:t>预计产生不可重复使用废包装物约</w:t>
      </w:r>
      <w:r>
        <w:rPr>
          <w:rFonts w:hint="eastAsia"/>
          <w:color w:val="auto"/>
          <w:lang w:val="en-US"/>
        </w:rPr>
        <w:t>205</w:t>
      </w:r>
      <w:r>
        <w:rPr>
          <w:color w:val="auto"/>
        </w:rPr>
        <w:t>t/a</w:t>
      </w:r>
      <w:r>
        <w:rPr>
          <w:color w:val="auto"/>
        </w:rPr>
        <w:t>，对于各种盛装废物的包装物破碎后，</w:t>
      </w:r>
      <w:bookmarkEnd w:id="203"/>
      <w:r>
        <w:rPr>
          <w:color w:val="auto"/>
        </w:rPr>
        <w:t>掺入预处理产物投入水泥窑高温区焚烧。</w:t>
      </w:r>
    </w:p>
    <w:p w14:paraId="03CAFF30" w14:textId="77777777" w:rsidR="002E474C" w:rsidRDefault="00000000">
      <w:pPr>
        <w:pStyle w:val="A-z"/>
        <w:rPr>
          <w:color w:val="auto"/>
        </w:rPr>
      </w:pPr>
      <w:r>
        <w:rPr>
          <w:color w:val="auto"/>
        </w:rPr>
        <w:t>（</w:t>
      </w:r>
      <w:r>
        <w:rPr>
          <w:color w:val="auto"/>
        </w:rPr>
        <w:t>2</w:t>
      </w:r>
      <w:r>
        <w:rPr>
          <w:color w:val="auto"/>
        </w:rPr>
        <w:t>）污水收集池污泥（</w:t>
      </w:r>
      <w:r>
        <w:rPr>
          <w:color w:val="auto"/>
        </w:rPr>
        <w:t>S2</w:t>
      </w:r>
      <w:r>
        <w:rPr>
          <w:color w:val="auto"/>
        </w:rPr>
        <w:t>）</w:t>
      </w:r>
    </w:p>
    <w:p w14:paraId="1DAC86B8" w14:textId="77777777" w:rsidR="002E474C" w:rsidRDefault="00000000">
      <w:pPr>
        <w:pStyle w:val="A-z"/>
        <w:rPr>
          <w:color w:val="auto"/>
        </w:rPr>
      </w:pPr>
      <w:r>
        <w:rPr>
          <w:color w:val="auto"/>
        </w:rPr>
        <w:t>项目对运输车辆、容器等进行清洗，清洗废水汇入收集池内</w:t>
      </w:r>
      <w:r>
        <w:rPr>
          <w:rFonts w:hint="eastAsia"/>
          <w:color w:val="auto"/>
        </w:rPr>
        <w:t>。根据车辆及容器清洗用水的水量与水质分析，悬浮物产生量约</w:t>
      </w:r>
      <w:r>
        <w:rPr>
          <w:rFonts w:hint="eastAsia"/>
          <w:color w:val="auto"/>
        </w:rPr>
        <w:t>0.08t/a</w:t>
      </w:r>
      <w:r>
        <w:rPr>
          <w:rFonts w:hint="eastAsia"/>
          <w:color w:val="auto"/>
        </w:rPr>
        <w:t>，定期清掏池底沉积的污泥含水按</w:t>
      </w:r>
      <w:r>
        <w:rPr>
          <w:rFonts w:hint="eastAsia"/>
          <w:color w:val="auto"/>
        </w:rPr>
        <w:t>60%</w:t>
      </w:r>
      <w:r>
        <w:rPr>
          <w:rFonts w:hint="eastAsia"/>
          <w:color w:val="auto"/>
        </w:rPr>
        <w:t>计，则</w:t>
      </w:r>
      <w:r>
        <w:rPr>
          <w:color w:val="auto"/>
        </w:rPr>
        <w:t>收集池沉淀污泥预计产生量</w:t>
      </w:r>
      <w:r>
        <w:rPr>
          <w:color w:val="auto"/>
        </w:rPr>
        <w:t>0.2t/a</w:t>
      </w:r>
      <w:r>
        <w:rPr>
          <w:color w:val="auto"/>
        </w:rPr>
        <w:t>，掺入预处理产物投入水泥窑高温区焚烧。</w:t>
      </w:r>
    </w:p>
    <w:p w14:paraId="7EB8EFBF" w14:textId="77777777" w:rsidR="002E474C" w:rsidRDefault="00000000">
      <w:pPr>
        <w:pStyle w:val="A-z"/>
        <w:rPr>
          <w:color w:val="auto"/>
        </w:rPr>
      </w:pPr>
      <w:r>
        <w:rPr>
          <w:color w:val="auto"/>
        </w:rPr>
        <w:t>（</w:t>
      </w:r>
      <w:r>
        <w:rPr>
          <w:color w:val="auto"/>
        </w:rPr>
        <w:t>3</w:t>
      </w:r>
      <w:r>
        <w:rPr>
          <w:color w:val="auto"/>
        </w:rPr>
        <w:t>）废活性炭（</w:t>
      </w:r>
      <w:r>
        <w:rPr>
          <w:color w:val="auto"/>
        </w:rPr>
        <w:t>S3</w:t>
      </w:r>
      <w:r>
        <w:rPr>
          <w:color w:val="auto"/>
        </w:rPr>
        <w:t>）</w:t>
      </w:r>
    </w:p>
    <w:p w14:paraId="17D2675A" w14:textId="77777777" w:rsidR="002E474C" w:rsidRDefault="00000000">
      <w:pPr>
        <w:pStyle w:val="A-z"/>
        <w:rPr>
          <w:color w:val="auto"/>
        </w:rPr>
      </w:pPr>
      <w:r>
        <w:rPr>
          <w:color w:val="auto"/>
        </w:rPr>
        <w:t>危废贮存废气净化系统采用两级活性炭吸附法</w:t>
      </w:r>
      <w:r>
        <w:rPr>
          <w:rFonts w:hint="eastAsia"/>
          <w:color w:val="auto"/>
        </w:rPr>
        <w:t>。根据污染源强核算，本项目危废贮存废气中的污染成分包括</w:t>
      </w:r>
      <w:r>
        <w:rPr>
          <w:rFonts w:hint="eastAsia"/>
          <w:color w:val="auto"/>
        </w:rPr>
        <w:t>H</w:t>
      </w:r>
      <w:r>
        <w:rPr>
          <w:rFonts w:hint="eastAsia"/>
          <w:color w:val="auto"/>
          <w:vertAlign w:val="subscript"/>
        </w:rPr>
        <w:t>2</w:t>
      </w:r>
      <w:r>
        <w:rPr>
          <w:rFonts w:hint="eastAsia"/>
          <w:color w:val="auto"/>
        </w:rPr>
        <w:t>S</w:t>
      </w:r>
      <w:r>
        <w:rPr>
          <w:rFonts w:hint="eastAsia"/>
          <w:color w:val="auto"/>
        </w:rPr>
        <w:t>、</w:t>
      </w:r>
      <w:r>
        <w:rPr>
          <w:rFonts w:hint="eastAsia"/>
          <w:color w:val="auto"/>
        </w:rPr>
        <w:t>NH</w:t>
      </w:r>
      <w:r>
        <w:rPr>
          <w:rFonts w:hint="eastAsia"/>
          <w:color w:val="auto"/>
          <w:vertAlign w:val="subscript"/>
        </w:rPr>
        <w:t>3</w:t>
      </w:r>
      <w:r>
        <w:rPr>
          <w:rFonts w:hint="eastAsia"/>
          <w:color w:val="auto"/>
        </w:rPr>
        <w:t>、</w:t>
      </w:r>
      <w:r>
        <w:rPr>
          <w:rFonts w:hint="eastAsia"/>
          <w:color w:val="auto"/>
        </w:rPr>
        <w:t>NMHC</w:t>
      </w:r>
      <w:r>
        <w:rPr>
          <w:rFonts w:hint="eastAsia"/>
          <w:color w:val="auto"/>
        </w:rPr>
        <w:t>，污染物产生量约</w:t>
      </w:r>
      <w:r>
        <w:rPr>
          <w:rFonts w:hint="eastAsia"/>
          <w:color w:val="auto"/>
          <w:lang w:val="en-US"/>
        </w:rPr>
        <w:t>8.98</w:t>
      </w:r>
      <w:r>
        <w:rPr>
          <w:rFonts w:hint="eastAsia"/>
          <w:color w:val="auto"/>
        </w:rPr>
        <w:t>t/a</w:t>
      </w:r>
      <w:r>
        <w:rPr>
          <w:rFonts w:hint="eastAsia"/>
          <w:color w:val="auto"/>
        </w:rPr>
        <w:t>。活性炭饱和吸附量约为</w:t>
      </w:r>
      <w:r>
        <w:rPr>
          <w:rFonts w:hint="eastAsia"/>
          <w:color w:val="auto"/>
          <w:lang w:val="en-US"/>
        </w:rPr>
        <w:t>30</w:t>
      </w:r>
      <w:r>
        <w:rPr>
          <w:rFonts w:hint="eastAsia"/>
          <w:color w:val="auto"/>
        </w:rPr>
        <w:t>%</w:t>
      </w:r>
      <w:r>
        <w:rPr>
          <w:rFonts w:hint="eastAsia"/>
          <w:color w:val="auto"/>
        </w:rPr>
        <w:t>，根据污染物去除情况合计，本项目</w:t>
      </w:r>
      <w:r>
        <w:rPr>
          <w:color w:val="auto"/>
        </w:rPr>
        <w:t>产生废活性炭约</w:t>
      </w:r>
      <w:r>
        <w:rPr>
          <w:rFonts w:hint="eastAsia"/>
          <w:color w:val="auto"/>
          <w:lang w:val="en-US"/>
        </w:rPr>
        <w:lastRenderedPageBreak/>
        <w:t>30</w:t>
      </w:r>
      <w:r>
        <w:rPr>
          <w:color w:val="auto"/>
        </w:rPr>
        <w:t>t/a</w:t>
      </w:r>
      <w:r>
        <w:rPr>
          <w:color w:val="auto"/>
        </w:rPr>
        <w:t>，掺入预处理产物投入水泥窑高温区焚烧。</w:t>
      </w:r>
    </w:p>
    <w:p w14:paraId="7DD3AFFF" w14:textId="77777777" w:rsidR="002E474C" w:rsidRDefault="00000000">
      <w:pPr>
        <w:pStyle w:val="A-z"/>
        <w:rPr>
          <w:color w:val="auto"/>
        </w:rPr>
      </w:pPr>
      <w:r>
        <w:rPr>
          <w:color w:val="auto"/>
        </w:rPr>
        <w:t>（</w:t>
      </w:r>
      <w:r>
        <w:rPr>
          <w:color w:val="auto"/>
        </w:rPr>
        <w:t>4</w:t>
      </w:r>
      <w:r>
        <w:rPr>
          <w:color w:val="auto"/>
        </w:rPr>
        <w:t>）废滤袋（</w:t>
      </w:r>
      <w:r>
        <w:rPr>
          <w:color w:val="auto"/>
        </w:rPr>
        <w:t>S4</w:t>
      </w:r>
      <w:r>
        <w:rPr>
          <w:color w:val="auto"/>
        </w:rPr>
        <w:t>）</w:t>
      </w:r>
    </w:p>
    <w:p w14:paraId="3D13D4B4" w14:textId="77777777" w:rsidR="002E474C" w:rsidRDefault="00000000">
      <w:pPr>
        <w:pStyle w:val="A-z"/>
        <w:rPr>
          <w:color w:val="auto"/>
        </w:rPr>
      </w:pPr>
      <w:r>
        <w:rPr>
          <w:color w:val="auto"/>
        </w:rPr>
        <w:t>本项目实施后，窑尾烟气及破碎间含尘废气布袋除尘器更换的废滤袋属于危险废物</w:t>
      </w:r>
      <w:r>
        <w:rPr>
          <w:rFonts w:hint="eastAsia"/>
          <w:color w:val="auto"/>
        </w:rPr>
        <w:t>。根据布袋除尘器运行情况定期检查布袋破损情况，考虑到布袋的寿命，正常工况下年综合更换率一般为</w:t>
      </w:r>
      <w:r>
        <w:rPr>
          <w:rFonts w:hint="eastAsia"/>
          <w:color w:val="auto"/>
        </w:rPr>
        <w:t>50%</w:t>
      </w:r>
      <w:r>
        <w:rPr>
          <w:rFonts w:hint="eastAsia"/>
          <w:color w:val="auto"/>
        </w:rPr>
        <w:t>。本项目年更换滤袋按</w:t>
      </w:r>
      <w:r>
        <w:rPr>
          <w:rFonts w:hint="eastAsia"/>
          <w:color w:val="auto"/>
        </w:rPr>
        <w:t>500</w:t>
      </w:r>
      <w:r>
        <w:rPr>
          <w:rFonts w:hint="eastAsia"/>
          <w:color w:val="auto"/>
        </w:rPr>
        <w:t>只计，综合各种滤袋材质，每条废布袋质量按</w:t>
      </w:r>
      <w:r>
        <w:rPr>
          <w:rFonts w:hint="eastAsia"/>
          <w:color w:val="auto"/>
        </w:rPr>
        <w:t>1.0kg</w:t>
      </w:r>
      <w:r>
        <w:rPr>
          <w:rFonts w:hint="eastAsia"/>
          <w:color w:val="auto"/>
        </w:rPr>
        <w:t>计，本项目废布袋</w:t>
      </w:r>
      <w:r>
        <w:rPr>
          <w:color w:val="auto"/>
        </w:rPr>
        <w:t>产生量约</w:t>
      </w:r>
      <w:r>
        <w:rPr>
          <w:rFonts w:hint="eastAsia"/>
          <w:color w:val="auto"/>
        </w:rPr>
        <w:t>为</w:t>
      </w:r>
      <w:r>
        <w:rPr>
          <w:color w:val="auto"/>
        </w:rPr>
        <w:t>0.5t/a</w:t>
      </w:r>
      <w:r>
        <w:rPr>
          <w:color w:val="auto"/>
        </w:rPr>
        <w:t>。掺入预处理产物投入水泥窑高温区焚烧。</w:t>
      </w:r>
    </w:p>
    <w:p w14:paraId="3CD3DC07" w14:textId="77777777" w:rsidR="002E474C" w:rsidRDefault="00000000">
      <w:pPr>
        <w:pStyle w:val="A-z"/>
        <w:rPr>
          <w:color w:val="auto"/>
        </w:rPr>
      </w:pPr>
      <w:r>
        <w:rPr>
          <w:color w:val="auto"/>
        </w:rPr>
        <w:t>（</w:t>
      </w:r>
      <w:r>
        <w:rPr>
          <w:color w:val="auto"/>
        </w:rPr>
        <w:t>5</w:t>
      </w:r>
      <w:r>
        <w:rPr>
          <w:color w:val="auto"/>
        </w:rPr>
        <w:t>）除尘灰（</w:t>
      </w:r>
      <w:r>
        <w:rPr>
          <w:color w:val="auto"/>
        </w:rPr>
        <w:t>S5</w:t>
      </w:r>
      <w:r>
        <w:rPr>
          <w:color w:val="auto"/>
        </w:rPr>
        <w:t>）</w:t>
      </w:r>
    </w:p>
    <w:p w14:paraId="26ACBBD5" w14:textId="77777777" w:rsidR="002E474C" w:rsidRDefault="00000000">
      <w:pPr>
        <w:pStyle w:val="A-z"/>
        <w:rPr>
          <w:color w:val="auto"/>
        </w:rPr>
      </w:pPr>
      <w:r>
        <w:rPr>
          <w:rFonts w:hint="eastAsia"/>
          <w:color w:val="auto"/>
        </w:rPr>
        <w:t>固态危废预处理车间采用</w:t>
      </w:r>
      <w:r>
        <w:rPr>
          <w:color w:val="auto"/>
        </w:rPr>
        <w:t>布袋除尘器</w:t>
      </w:r>
      <w:r>
        <w:rPr>
          <w:rFonts w:hint="eastAsia"/>
          <w:color w:val="auto"/>
        </w:rPr>
        <w:t>去除含尘废气，破碎物料主要为废包装袋、桶及当地</w:t>
      </w:r>
      <w:r>
        <w:rPr>
          <w:color w:val="auto"/>
        </w:rPr>
        <w:t>收集的</w:t>
      </w:r>
      <w:r>
        <w:rPr>
          <w:rFonts w:hint="eastAsia"/>
          <w:color w:val="auto"/>
        </w:rPr>
        <w:t>少量</w:t>
      </w:r>
      <w:r>
        <w:rPr>
          <w:color w:val="auto"/>
        </w:rPr>
        <w:t>危险废物</w:t>
      </w:r>
      <w:r>
        <w:rPr>
          <w:rFonts w:hint="eastAsia"/>
          <w:color w:val="auto"/>
        </w:rPr>
        <w:t>，破碎过程产生的粉尘较小，考虑到本项目的破碎负荷低，运行时间短，且破碎物不易起尘。破碎废气量</w:t>
      </w:r>
      <w:r>
        <w:rPr>
          <w:rFonts w:hint="eastAsia"/>
          <w:color w:val="auto"/>
        </w:rPr>
        <w:t>2000m</w:t>
      </w:r>
      <w:r>
        <w:rPr>
          <w:rFonts w:hint="eastAsia"/>
          <w:color w:val="auto"/>
        </w:rPr>
        <w:t>³，初始粉尘产生浓度约为</w:t>
      </w:r>
      <w:r>
        <w:rPr>
          <w:rFonts w:hint="eastAsia"/>
          <w:color w:val="auto"/>
        </w:rPr>
        <w:t>800</w:t>
      </w:r>
      <w:r>
        <w:rPr>
          <w:rFonts w:ascii="宋体" w:eastAsia="宋体" w:hAnsi="宋体" w:hint="eastAsia"/>
          <w:color w:val="auto"/>
        </w:rPr>
        <w:t>～</w:t>
      </w:r>
      <w:r>
        <w:rPr>
          <w:rFonts w:hint="eastAsia"/>
          <w:color w:val="auto"/>
        </w:rPr>
        <w:t>1000mg/m</w:t>
      </w:r>
      <w:r>
        <w:rPr>
          <w:rFonts w:hint="eastAsia"/>
          <w:color w:val="auto"/>
        </w:rPr>
        <w:t>³，布袋除尘起的去除效率按</w:t>
      </w:r>
      <w:r>
        <w:rPr>
          <w:rFonts w:hint="eastAsia"/>
          <w:color w:val="auto"/>
        </w:rPr>
        <w:t>99%</w:t>
      </w:r>
      <w:r>
        <w:rPr>
          <w:rFonts w:hint="eastAsia"/>
          <w:color w:val="auto"/>
        </w:rPr>
        <w:t>计，则估算破碎粉尘量约为</w:t>
      </w:r>
      <w:r>
        <w:rPr>
          <w:rFonts w:hint="eastAsia"/>
          <w:color w:val="auto"/>
        </w:rPr>
        <w:t>12t/a</w:t>
      </w:r>
      <w:r>
        <w:rPr>
          <w:rFonts w:hint="eastAsia"/>
          <w:color w:val="auto"/>
        </w:rPr>
        <w:t>计根据废气中的颗粒物产生及去除情况</w:t>
      </w:r>
      <w:r>
        <w:rPr>
          <w:color w:val="auto"/>
        </w:rPr>
        <w:t>，掺入预处理产物投入水泥窑高温区焚烧。</w:t>
      </w:r>
    </w:p>
    <w:p w14:paraId="4BAE9233" w14:textId="77777777" w:rsidR="002E474C" w:rsidRDefault="00000000">
      <w:pPr>
        <w:pStyle w:val="A-z"/>
        <w:rPr>
          <w:color w:val="auto"/>
        </w:rPr>
      </w:pPr>
      <w:r>
        <w:rPr>
          <w:color w:val="auto"/>
        </w:rPr>
        <w:t>（</w:t>
      </w:r>
      <w:r>
        <w:rPr>
          <w:color w:val="auto"/>
        </w:rPr>
        <w:t>6</w:t>
      </w:r>
      <w:r>
        <w:rPr>
          <w:color w:val="auto"/>
        </w:rPr>
        <w:t>）滤渣（</w:t>
      </w:r>
      <w:r>
        <w:rPr>
          <w:color w:val="auto"/>
        </w:rPr>
        <w:t>S6</w:t>
      </w:r>
      <w:r>
        <w:rPr>
          <w:color w:val="auto"/>
        </w:rPr>
        <w:t>）</w:t>
      </w:r>
    </w:p>
    <w:p w14:paraId="032B94BC" w14:textId="77777777" w:rsidR="002E474C" w:rsidRDefault="00000000">
      <w:pPr>
        <w:pStyle w:val="A-z"/>
        <w:rPr>
          <w:color w:val="auto"/>
        </w:rPr>
      </w:pPr>
      <w:r>
        <w:rPr>
          <w:color w:val="auto"/>
        </w:rPr>
        <w:t>液态危废加料过程中采用过滤器过滤过程产生滤渣，按照处置量</w:t>
      </w:r>
      <w:r>
        <w:rPr>
          <w:color w:val="auto"/>
        </w:rPr>
        <w:t>0.2‰</w:t>
      </w:r>
      <w:r>
        <w:rPr>
          <w:color w:val="auto"/>
        </w:rPr>
        <w:t>计，则产生滤渣</w:t>
      </w:r>
      <w:r>
        <w:rPr>
          <w:color w:val="auto"/>
        </w:rPr>
        <w:t>1t/a</w:t>
      </w:r>
      <w:r>
        <w:rPr>
          <w:color w:val="auto"/>
        </w:rPr>
        <w:t>，掺入预处理产物投入水泥窑高温区焚烧。</w:t>
      </w:r>
    </w:p>
    <w:p w14:paraId="39F59A7B" w14:textId="77777777" w:rsidR="002E474C" w:rsidRDefault="00000000">
      <w:pPr>
        <w:pStyle w:val="A-z"/>
        <w:rPr>
          <w:color w:val="auto"/>
        </w:rPr>
      </w:pPr>
      <w:r>
        <w:rPr>
          <w:color w:val="auto"/>
        </w:rPr>
        <w:t>（</w:t>
      </w:r>
      <w:r>
        <w:rPr>
          <w:color w:val="auto"/>
        </w:rPr>
        <w:t>7</w:t>
      </w:r>
      <w:r>
        <w:rPr>
          <w:color w:val="auto"/>
        </w:rPr>
        <w:t>）废润滑油（</w:t>
      </w:r>
      <w:r>
        <w:rPr>
          <w:color w:val="auto"/>
        </w:rPr>
        <w:t>S7</w:t>
      </w:r>
      <w:r>
        <w:rPr>
          <w:color w:val="auto"/>
        </w:rPr>
        <w:t>）</w:t>
      </w:r>
    </w:p>
    <w:p w14:paraId="1E3444A5" w14:textId="77777777" w:rsidR="002E474C" w:rsidRDefault="00000000">
      <w:pPr>
        <w:pStyle w:val="A-z"/>
        <w:rPr>
          <w:color w:val="auto"/>
        </w:rPr>
      </w:pPr>
      <w:bookmarkStart w:id="204" w:name="_Hlk150984244"/>
      <w:r>
        <w:rPr>
          <w:color w:val="auto"/>
        </w:rPr>
        <w:t>本项目设备维修过程会产生废润滑油，产生量约</w:t>
      </w:r>
      <w:r>
        <w:rPr>
          <w:color w:val="auto"/>
        </w:rPr>
        <w:t>0.1t/a</w:t>
      </w:r>
      <w:r>
        <w:rPr>
          <w:color w:val="auto"/>
        </w:rPr>
        <w:t>，</w:t>
      </w:r>
      <w:bookmarkEnd w:id="204"/>
      <w:r>
        <w:rPr>
          <w:color w:val="auto"/>
        </w:rPr>
        <w:t>掺入预处理产物投入水泥窑高温区焚烧。</w:t>
      </w:r>
    </w:p>
    <w:p w14:paraId="563A1DE5" w14:textId="77777777" w:rsidR="002E474C" w:rsidRDefault="00000000">
      <w:pPr>
        <w:pStyle w:val="A-z"/>
        <w:rPr>
          <w:color w:val="auto"/>
        </w:rPr>
      </w:pPr>
      <w:r>
        <w:rPr>
          <w:color w:val="auto"/>
        </w:rPr>
        <w:t>（</w:t>
      </w:r>
      <w:r>
        <w:rPr>
          <w:color w:val="auto"/>
        </w:rPr>
        <w:t>8</w:t>
      </w:r>
      <w:r>
        <w:rPr>
          <w:color w:val="auto"/>
        </w:rPr>
        <w:t>）生活垃圾（</w:t>
      </w:r>
      <w:r>
        <w:rPr>
          <w:color w:val="auto"/>
        </w:rPr>
        <w:t>S8</w:t>
      </w:r>
      <w:r>
        <w:rPr>
          <w:color w:val="auto"/>
        </w:rPr>
        <w:t>）</w:t>
      </w:r>
    </w:p>
    <w:p w14:paraId="0E99BDA0" w14:textId="77777777" w:rsidR="002E474C" w:rsidRDefault="00000000">
      <w:pPr>
        <w:pStyle w:val="A-z"/>
        <w:rPr>
          <w:color w:val="auto"/>
        </w:rPr>
      </w:pPr>
      <w:r>
        <w:rPr>
          <w:color w:val="auto"/>
        </w:rPr>
        <w:t>本项目新增劳动定员</w:t>
      </w:r>
      <w:r>
        <w:rPr>
          <w:color w:val="auto"/>
        </w:rPr>
        <w:t>20</w:t>
      </w:r>
      <w:r>
        <w:rPr>
          <w:color w:val="auto"/>
        </w:rPr>
        <w:t>人，生活垃圾产生量按</w:t>
      </w:r>
      <w:r>
        <w:rPr>
          <w:color w:val="auto"/>
        </w:rPr>
        <w:t>1kg/</w:t>
      </w:r>
      <w:r>
        <w:rPr>
          <w:color w:val="auto"/>
        </w:rPr>
        <w:t>人</w:t>
      </w:r>
      <w:r>
        <w:rPr>
          <w:color w:val="auto"/>
        </w:rPr>
        <w:t>·d</w:t>
      </w:r>
      <w:r>
        <w:rPr>
          <w:color w:val="auto"/>
        </w:rPr>
        <w:t>计算，生活垃圾产生量为</w:t>
      </w:r>
      <w:r>
        <w:rPr>
          <w:color w:val="auto"/>
        </w:rPr>
        <w:t>6t/a</w:t>
      </w:r>
      <w:r>
        <w:rPr>
          <w:color w:val="auto"/>
        </w:rPr>
        <w:t>。生活垃圾收集后送圣雄股份公司垃圾场填埋处理。</w:t>
      </w:r>
    </w:p>
    <w:p w14:paraId="3B0C5806" w14:textId="77777777" w:rsidR="002E474C" w:rsidRDefault="00000000">
      <w:pPr>
        <w:pStyle w:val="A-z"/>
        <w:rPr>
          <w:color w:val="auto"/>
        </w:rPr>
      </w:pPr>
      <w:r>
        <w:rPr>
          <w:color w:val="auto"/>
        </w:rPr>
        <w:t>本项目固体废物污染源源强核算结果见表</w:t>
      </w:r>
      <w:r>
        <w:rPr>
          <w:color w:val="auto"/>
        </w:rPr>
        <w:t>3.5-21</w:t>
      </w:r>
      <w:r>
        <w:rPr>
          <w:color w:val="auto"/>
        </w:rPr>
        <w:t>。</w:t>
      </w:r>
    </w:p>
    <w:p w14:paraId="6399C128" w14:textId="77777777" w:rsidR="002E474C" w:rsidRDefault="002E474C">
      <w:pPr>
        <w:pStyle w:val="A-z"/>
        <w:rPr>
          <w:color w:val="auto"/>
        </w:rPr>
      </w:pPr>
    </w:p>
    <w:p w14:paraId="1C9419B7"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78AB3075" w14:textId="77777777" w:rsidR="002E474C" w:rsidRDefault="002E474C">
      <w:pPr>
        <w:pStyle w:val="A-0"/>
        <w:rPr>
          <w:color w:val="auto"/>
        </w:rPr>
      </w:pPr>
      <w:bookmarkStart w:id="205" w:name="_Ref111454151"/>
    </w:p>
    <w:p w14:paraId="5A6EF46F" w14:textId="77777777" w:rsidR="002E474C" w:rsidRDefault="002E474C">
      <w:pPr>
        <w:pStyle w:val="A-0"/>
        <w:rPr>
          <w:color w:val="auto"/>
        </w:rPr>
      </w:pPr>
    </w:p>
    <w:bookmarkEnd w:id="205"/>
    <w:p w14:paraId="6DA430F2" w14:textId="77777777" w:rsidR="002E474C" w:rsidRDefault="00000000">
      <w:pPr>
        <w:pStyle w:val="A--"/>
        <w:rPr>
          <w:color w:val="auto"/>
        </w:rPr>
      </w:pPr>
      <w:r>
        <w:rPr>
          <w:color w:val="auto"/>
        </w:rPr>
        <w:t xml:space="preserve">3.5-21  </w:t>
      </w:r>
      <w:r>
        <w:rPr>
          <w:color w:val="auto"/>
        </w:rPr>
        <w:t>本项目固体废物污染源源强核算结果及相关参数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675"/>
        <w:gridCol w:w="1114"/>
        <w:gridCol w:w="1254"/>
        <w:gridCol w:w="976"/>
        <w:gridCol w:w="791"/>
        <w:gridCol w:w="1299"/>
        <w:gridCol w:w="1114"/>
        <w:gridCol w:w="839"/>
        <w:gridCol w:w="696"/>
        <w:gridCol w:w="836"/>
        <w:gridCol w:w="1275"/>
      </w:tblGrid>
      <w:tr w:rsidR="002E474C" w14:paraId="3E65404E" w14:textId="77777777">
        <w:tc>
          <w:tcPr>
            <w:tcW w:w="514" w:type="pct"/>
            <w:vMerge w:val="restart"/>
            <w:shd w:val="clear" w:color="auto" w:fill="auto"/>
            <w:vAlign w:val="center"/>
          </w:tcPr>
          <w:p w14:paraId="4EF69FF6" w14:textId="77777777" w:rsidR="002E474C" w:rsidRDefault="00000000">
            <w:pPr>
              <w:pStyle w:val="A-"/>
            </w:pPr>
            <w:r>
              <w:t>工序</w:t>
            </w:r>
            <w:r>
              <w:t>/</w:t>
            </w:r>
            <w:r>
              <w:t>生产线</w:t>
            </w:r>
          </w:p>
        </w:tc>
        <w:tc>
          <w:tcPr>
            <w:tcW w:w="633" w:type="pct"/>
            <w:vMerge w:val="restart"/>
            <w:shd w:val="clear" w:color="auto" w:fill="auto"/>
            <w:vAlign w:val="center"/>
          </w:tcPr>
          <w:p w14:paraId="66637782" w14:textId="77777777" w:rsidR="002E474C" w:rsidRDefault="00000000">
            <w:pPr>
              <w:pStyle w:val="A-"/>
            </w:pPr>
            <w:r>
              <w:t>装置</w:t>
            </w:r>
          </w:p>
        </w:tc>
        <w:tc>
          <w:tcPr>
            <w:tcW w:w="421" w:type="pct"/>
            <w:vMerge w:val="restart"/>
            <w:shd w:val="clear" w:color="auto" w:fill="auto"/>
            <w:vAlign w:val="center"/>
          </w:tcPr>
          <w:p w14:paraId="10EC9996" w14:textId="77777777" w:rsidR="002E474C" w:rsidRDefault="00000000">
            <w:pPr>
              <w:pStyle w:val="A-"/>
            </w:pPr>
            <w:r>
              <w:t>固体废物</w:t>
            </w:r>
          </w:p>
          <w:p w14:paraId="5FCCBD6C" w14:textId="77777777" w:rsidR="002E474C" w:rsidRDefault="00000000">
            <w:pPr>
              <w:pStyle w:val="A-"/>
            </w:pPr>
            <w:r>
              <w:t>名称</w:t>
            </w:r>
          </w:p>
        </w:tc>
        <w:tc>
          <w:tcPr>
            <w:tcW w:w="474" w:type="pct"/>
            <w:vMerge w:val="restart"/>
            <w:shd w:val="clear" w:color="auto" w:fill="auto"/>
            <w:vAlign w:val="center"/>
          </w:tcPr>
          <w:p w14:paraId="4C8BBF56" w14:textId="77777777" w:rsidR="002E474C" w:rsidRDefault="00000000">
            <w:pPr>
              <w:pStyle w:val="A-"/>
            </w:pPr>
            <w:r>
              <w:t>固体废物</w:t>
            </w:r>
          </w:p>
          <w:p w14:paraId="28381DAF" w14:textId="77777777" w:rsidR="002E474C" w:rsidRDefault="00000000">
            <w:pPr>
              <w:pStyle w:val="A-"/>
            </w:pPr>
            <w:r>
              <w:t>属性</w:t>
            </w:r>
          </w:p>
        </w:tc>
        <w:tc>
          <w:tcPr>
            <w:tcW w:w="369" w:type="pct"/>
            <w:vMerge w:val="restart"/>
            <w:shd w:val="clear" w:color="auto" w:fill="auto"/>
            <w:vAlign w:val="center"/>
          </w:tcPr>
          <w:p w14:paraId="0BD79B71" w14:textId="77777777" w:rsidR="002E474C" w:rsidRDefault="00000000">
            <w:pPr>
              <w:pStyle w:val="A-"/>
            </w:pPr>
            <w:r>
              <w:t>废物</w:t>
            </w:r>
          </w:p>
          <w:p w14:paraId="697301DC" w14:textId="77777777" w:rsidR="002E474C" w:rsidRDefault="00000000">
            <w:pPr>
              <w:pStyle w:val="A-"/>
            </w:pPr>
            <w:r>
              <w:t>类别</w:t>
            </w:r>
          </w:p>
        </w:tc>
        <w:tc>
          <w:tcPr>
            <w:tcW w:w="299" w:type="pct"/>
            <w:vMerge w:val="restart"/>
            <w:shd w:val="clear" w:color="auto" w:fill="auto"/>
            <w:vAlign w:val="center"/>
          </w:tcPr>
          <w:p w14:paraId="7C1B3D85" w14:textId="77777777" w:rsidR="002E474C" w:rsidRDefault="00000000">
            <w:pPr>
              <w:pStyle w:val="A-"/>
            </w:pPr>
            <w:r>
              <w:t>危险特性</w:t>
            </w:r>
          </w:p>
        </w:tc>
        <w:tc>
          <w:tcPr>
            <w:tcW w:w="491" w:type="pct"/>
            <w:vMerge w:val="restart"/>
            <w:shd w:val="clear" w:color="auto" w:fill="auto"/>
            <w:vAlign w:val="center"/>
          </w:tcPr>
          <w:p w14:paraId="3C140709" w14:textId="77777777" w:rsidR="002E474C" w:rsidRDefault="00000000">
            <w:pPr>
              <w:pStyle w:val="A-"/>
            </w:pPr>
            <w:r>
              <w:t>废物代码</w:t>
            </w:r>
          </w:p>
        </w:tc>
        <w:tc>
          <w:tcPr>
            <w:tcW w:w="738" w:type="pct"/>
            <w:gridSpan w:val="2"/>
            <w:shd w:val="clear" w:color="auto" w:fill="auto"/>
            <w:vAlign w:val="center"/>
          </w:tcPr>
          <w:p w14:paraId="675EB783" w14:textId="77777777" w:rsidR="002E474C" w:rsidRDefault="00000000">
            <w:pPr>
              <w:pStyle w:val="A-"/>
            </w:pPr>
            <w:r>
              <w:t>产生情况</w:t>
            </w:r>
          </w:p>
        </w:tc>
        <w:tc>
          <w:tcPr>
            <w:tcW w:w="579" w:type="pct"/>
            <w:gridSpan w:val="2"/>
            <w:shd w:val="clear" w:color="auto" w:fill="auto"/>
            <w:vAlign w:val="center"/>
          </w:tcPr>
          <w:p w14:paraId="37B3153A" w14:textId="77777777" w:rsidR="002E474C" w:rsidRDefault="00000000">
            <w:pPr>
              <w:pStyle w:val="A-"/>
            </w:pPr>
            <w:r>
              <w:t>处置措施</w:t>
            </w:r>
          </w:p>
        </w:tc>
        <w:tc>
          <w:tcPr>
            <w:tcW w:w="482" w:type="pct"/>
            <w:vMerge w:val="restart"/>
            <w:shd w:val="clear" w:color="auto" w:fill="auto"/>
            <w:vAlign w:val="center"/>
          </w:tcPr>
          <w:p w14:paraId="6C42167A" w14:textId="77777777" w:rsidR="002E474C" w:rsidRDefault="00000000">
            <w:pPr>
              <w:pStyle w:val="A-"/>
            </w:pPr>
            <w:r>
              <w:t>最终去向</w:t>
            </w:r>
          </w:p>
        </w:tc>
      </w:tr>
      <w:tr w:rsidR="002E474C" w14:paraId="1FD8098E" w14:textId="77777777">
        <w:tc>
          <w:tcPr>
            <w:tcW w:w="514" w:type="pct"/>
            <w:vMerge/>
            <w:shd w:val="clear" w:color="auto" w:fill="auto"/>
            <w:vAlign w:val="center"/>
          </w:tcPr>
          <w:p w14:paraId="4D60BF16" w14:textId="77777777" w:rsidR="002E474C" w:rsidRDefault="002E474C">
            <w:pPr>
              <w:pStyle w:val="A-"/>
            </w:pPr>
          </w:p>
        </w:tc>
        <w:tc>
          <w:tcPr>
            <w:tcW w:w="633" w:type="pct"/>
            <w:vMerge/>
            <w:shd w:val="clear" w:color="auto" w:fill="auto"/>
            <w:vAlign w:val="center"/>
          </w:tcPr>
          <w:p w14:paraId="138F852A" w14:textId="77777777" w:rsidR="002E474C" w:rsidRDefault="002E474C">
            <w:pPr>
              <w:pStyle w:val="A-"/>
            </w:pPr>
          </w:p>
        </w:tc>
        <w:tc>
          <w:tcPr>
            <w:tcW w:w="421" w:type="pct"/>
            <w:vMerge/>
            <w:shd w:val="clear" w:color="auto" w:fill="auto"/>
            <w:vAlign w:val="center"/>
          </w:tcPr>
          <w:p w14:paraId="03F44B64" w14:textId="77777777" w:rsidR="002E474C" w:rsidRDefault="002E474C">
            <w:pPr>
              <w:pStyle w:val="A-"/>
            </w:pPr>
          </w:p>
        </w:tc>
        <w:tc>
          <w:tcPr>
            <w:tcW w:w="474" w:type="pct"/>
            <w:vMerge/>
            <w:shd w:val="clear" w:color="auto" w:fill="auto"/>
            <w:vAlign w:val="center"/>
          </w:tcPr>
          <w:p w14:paraId="4DFCF878" w14:textId="77777777" w:rsidR="002E474C" w:rsidRDefault="002E474C">
            <w:pPr>
              <w:pStyle w:val="A-"/>
            </w:pPr>
          </w:p>
        </w:tc>
        <w:tc>
          <w:tcPr>
            <w:tcW w:w="369" w:type="pct"/>
            <w:vMerge/>
            <w:shd w:val="clear" w:color="auto" w:fill="auto"/>
            <w:vAlign w:val="center"/>
          </w:tcPr>
          <w:p w14:paraId="7CD4F5D2" w14:textId="77777777" w:rsidR="002E474C" w:rsidRDefault="002E474C">
            <w:pPr>
              <w:pStyle w:val="A-"/>
            </w:pPr>
          </w:p>
        </w:tc>
        <w:tc>
          <w:tcPr>
            <w:tcW w:w="299" w:type="pct"/>
            <w:vMerge/>
            <w:shd w:val="clear" w:color="auto" w:fill="auto"/>
            <w:vAlign w:val="center"/>
          </w:tcPr>
          <w:p w14:paraId="10E77E84" w14:textId="77777777" w:rsidR="002E474C" w:rsidRDefault="002E474C">
            <w:pPr>
              <w:pStyle w:val="A-"/>
            </w:pPr>
          </w:p>
        </w:tc>
        <w:tc>
          <w:tcPr>
            <w:tcW w:w="491" w:type="pct"/>
            <w:vMerge/>
            <w:shd w:val="clear" w:color="auto" w:fill="auto"/>
            <w:vAlign w:val="center"/>
          </w:tcPr>
          <w:p w14:paraId="1BED3FEF" w14:textId="77777777" w:rsidR="002E474C" w:rsidRDefault="002E474C">
            <w:pPr>
              <w:pStyle w:val="A-"/>
            </w:pPr>
          </w:p>
        </w:tc>
        <w:tc>
          <w:tcPr>
            <w:tcW w:w="421" w:type="pct"/>
            <w:shd w:val="clear" w:color="auto" w:fill="auto"/>
            <w:vAlign w:val="center"/>
          </w:tcPr>
          <w:p w14:paraId="77BA6D37" w14:textId="77777777" w:rsidR="002E474C" w:rsidRDefault="00000000">
            <w:pPr>
              <w:pStyle w:val="A-"/>
            </w:pPr>
            <w:r>
              <w:t>核算方法</w:t>
            </w:r>
          </w:p>
        </w:tc>
        <w:tc>
          <w:tcPr>
            <w:tcW w:w="317" w:type="pct"/>
            <w:shd w:val="clear" w:color="auto" w:fill="auto"/>
            <w:vAlign w:val="center"/>
          </w:tcPr>
          <w:p w14:paraId="45FCDC6D" w14:textId="77777777" w:rsidR="002E474C" w:rsidRDefault="00000000">
            <w:pPr>
              <w:pStyle w:val="A-"/>
            </w:pPr>
            <w:r>
              <w:t>产生量</w:t>
            </w:r>
          </w:p>
          <w:p w14:paraId="10A12EC5" w14:textId="77777777" w:rsidR="002E474C" w:rsidRDefault="00000000">
            <w:pPr>
              <w:pStyle w:val="A-"/>
            </w:pPr>
            <w:r>
              <w:t>t/a</w:t>
            </w:r>
          </w:p>
        </w:tc>
        <w:tc>
          <w:tcPr>
            <w:tcW w:w="263" w:type="pct"/>
            <w:shd w:val="clear" w:color="auto" w:fill="auto"/>
            <w:vAlign w:val="center"/>
          </w:tcPr>
          <w:p w14:paraId="128C07FF" w14:textId="77777777" w:rsidR="002E474C" w:rsidRDefault="00000000">
            <w:pPr>
              <w:pStyle w:val="A-"/>
            </w:pPr>
            <w:r>
              <w:t>工艺</w:t>
            </w:r>
          </w:p>
        </w:tc>
        <w:tc>
          <w:tcPr>
            <w:tcW w:w="316" w:type="pct"/>
            <w:shd w:val="clear" w:color="auto" w:fill="auto"/>
            <w:vAlign w:val="center"/>
          </w:tcPr>
          <w:p w14:paraId="211B7F9B" w14:textId="77777777" w:rsidR="002E474C" w:rsidRDefault="00000000">
            <w:pPr>
              <w:pStyle w:val="A-"/>
            </w:pPr>
            <w:r>
              <w:t>处置量</w:t>
            </w:r>
          </w:p>
          <w:p w14:paraId="36FB191A" w14:textId="77777777" w:rsidR="002E474C" w:rsidRDefault="00000000">
            <w:pPr>
              <w:pStyle w:val="A-"/>
            </w:pPr>
            <w:r>
              <w:t>t/a</w:t>
            </w:r>
          </w:p>
        </w:tc>
        <w:tc>
          <w:tcPr>
            <w:tcW w:w="482" w:type="pct"/>
            <w:vMerge/>
            <w:shd w:val="clear" w:color="auto" w:fill="auto"/>
            <w:vAlign w:val="center"/>
          </w:tcPr>
          <w:p w14:paraId="59FED256" w14:textId="77777777" w:rsidR="002E474C" w:rsidRDefault="002E474C">
            <w:pPr>
              <w:pStyle w:val="A-"/>
            </w:pPr>
          </w:p>
        </w:tc>
      </w:tr>
      <w:tr w:rsidR="002E474C" w14:paraId="2E00C170" w14:textId="77777777">
        <w:tc>
          <w:tcPr>
            <w:tcW w:w="514" w:type="pct"/>
            <w:vMerge w:val="restart"/>
            <w:shd w:val="clear" w:color="auto" w:fill="auto"/>
            <w:vAlign w:val="center"/>
          </w:tcPr>
          <w:p w14:paraId="3DF35E09" w14:textId="77777777" w:rsidR="002E474C" w:rsidRDefault="00000000">
            <w:pPr>
              <w:pStyle w:val="A-"/>
            </w:pPr>
            <w:r>
              <w:t>危废暂存、预处理</w:t>
            </w:r>
          </w:p>
        </w:tc>
        <w:tc>
          <w:tcPr>
            <w:tcW w:w="633" w:type="pct"/>
            <w:shd w:val="clear" w:color="auto" w:fill="auto"/>
            <w:vAlign w:val="center"/>
          </w:tcPr>
          <w:p w14:paraId="3C6B43C1" w14:textId="77777777" w:rsidR="002E474C" w:rsidRDefault="00000000">
            <w:pPr>
              <w:pStyle w:val="A-"/>
            </w:pPr>
            <w:r>
              <w:t>盛装危废</w:t>
            </w:r>
          </w:p>
        </w:tc>
        <w:tc>
          <w:tcPr>
            <w:tcW w:w="421" w:type="pct"/>
            <w:shd w:val="clear" w:color="auto" w:fill="auto"/>
            <w:vAlign w:val="center"/>
          </w:tcPr>
          <w:p w14:paraId="7A131DB3" w14:textId="77777777" w:rsidR="002E474C" w:rsidRDefault="00000000">
            <w:pPr>
              <w:pStyle w:val="A-"/>
            </w:pPr>
            <w:r>
              <w:t>废包装物</w:t>
            </w:r>
          </w:p>
        </w:tc>
        <w:tc>
          <w:tcPr>
            <w:tcW w:w="474" w:type="pct"/>
            <w:shd w:val="clear" w:color="auto" w:fill="auto"/>
            <w:vAlign w:val="center"/>
          </w:tcPr>
          <w:p w14:paraId="4A674D05" w14:textId="77777777" w:rsidR="002E474C" w:rsidRDefault="00000000">
            <w:pPr>
              <w:pStyle w:val="A-"/>
            </w:pPr>
            <w:r>
              <w:t>危险废物</w:t>
            </w:r>
          </w:p>
        </w:tc>
        <w:tc>
          <w:tcPr>
            <w:tcW w:w="369" w:type="pct"/>
            <w:shd w:val="clear" w:color="auto" w:fill="auto"/>
            <w:vAlign w:val="center"/>
          </w:tcPr>
          <w:p w14:paraId="78028F5B" w14:textId="77777777" w:rsidR="002E474C" w:rsidRDefault="00000000">
            <w:pPr>
              <w:pStyle w:val="A-"/>
            </w:pPr>
            <w:r>
              <w:t>HW49</w:t>
            </w:r>
          </w:p>
        </w:tc>
        <w:tc>
          <w:tcPr>
            <w:tcW w:w="299" w:type="pct"/>
            <w:shd w:val="clear" w:color="auto" w:fill="auto"/>
            <w:vAlign w:val="center"/>
          </w:tcPr>
          <w:p w14:paraId="15428E65" w14:textId="77777777" w:rsidR="002E474C" w:rsidRDefault="00000000">
            <w:pPr>
              <w:pStyle w:val="A-"/>
            </w:pPr>
            <w:r>
              <w:t>T/In</w:t>
            </w:r>
          </w:p>
        </w:tc>
        <w:tc>
          <w:tcPr>
            <w:tcW w:w="491" w:type="pct"/>
            <w:shd w:val="clear" w:color="auto" w:fill="auto"/>
            <w:vAlign w:val="center"/>
          </w:tcPr>
          <w:p w14:paraId="355D87BE" w14:textId="77777777" w:rsidR="002E474C" w:rsidRDefault="00000000">
            <w:pPr>
              <w:pStyle w:val="A-"/>
            </w:pPr>
            <w:r>
              <w:t>900-041-49</w:t>
            </w:r>
          </w:p>
        </w:tc>
        <w:tc>
          <w:tcPr>
            <w:tcW w:w="421" w:type="pct"/>
            <w:shd w:val="clear" w:color="auto" w:fill="auto"/>
            <w:vAlign w:val="center"/>
          </w:tcPr>
          <w:p w14:paraId="602D4FB3" w14:textId="77777777" w:rsidR="002E474C" w:rsidRDefault="00000000">
            <w:pPr>
              <w:pStyle w:val="A-"/>
            </w:pPr>
            <w:r>
              <w:t>类比法</w:t>
            </w:r>
          </w:p>
        </w:tc>
        <w:tc>
          <w:tcPr>
            <w:tcW w:w="317" w:type="pct"/>
            <w:shd w:val="clear" w:color="auto" w:fill="auto"/>
            <w:vAlign w:val="center"/>
          </w:tcPr>
          <w:p w14:paraId="45577166" w14:textId="77777777" w:rsidR="002E474C" w:rsidRDefault="00000000">
            <w:pPr>
              <w:pStyle w:val="A-"/>
            </w:pPr>
            <w:r>
              <w:rPr>
                <w:rFonts w:hint="eastAsia"/>
              </w:rPr>
              <w:t>205</w:t>
            </w:r>
          </w:p>
        </w:tc>
        <w:tc>
          <w:tcPr>
            <w:tcW w:w="263" w:type="pct"/>
            <w:vMerge w:val="restart"/>
            <w:shd w:val="clear" w:color="auto" w:fill="auto"/>
            <w:vAlign w:val="center"/>
          </w:tcPr>
          <w:p w14:paraId="46A63B0F" w14:textId="77777777" w:rsidR="002E474C" w:rsidRDefault="00000000">
            <w:pPr>
              <w:pStyle w:val="A-"/>
            </w:pPr>
            <w:r>
              <w:t>水泥窑协同处置</w:t>
            </w:r>
          </w:p>
        </w:tc>
        <w:tc>
          <w:tcPr>
            <w:tcW w:w="316" w:type="pct"/>
            <w:shd w:val="clear" w:color="auto" w:fill="auto"/>
            <w:vAlign w:val="center"/>
          </w:tcPr>
          <w:p w14:paraId="72348297" w14:textId="77777777" w:rsidR="002E474C" w:rsidRDefault="00000000">
            <w:pPr>
              <w:pStyle w:val="A-"/>
            </w:pPr>
            <w:r>
              <w:rPr>
                <w:rFonts w:hint="eastAsia"/>
              </w:rPr>
              <w:t>205</w:t>
            </w:r>
          </w:p>
        </w:tc>
        <w:tc>
          <w:tcPr>
            <w:tcW w:w="482" w:type="pct"/>
            <w:shd w:val="clear" w:color="auto" w:fill="auto"/>
            <w:vAlign w:val="center"/>
          </w:tcPr>
          <w:p w14:paraId="6382DA62" w14:textId="77777777" w:rsidR="002E474C" w:rsidRDefault="00000000">
            <w:pPr>
              <w:pStyle w:val="A-"/>
            </w:pPr>
            <w:r>
              <w:t>水泥窑</w:t>
            </w:r>
          </w:p>
        </w:tc>
      </w:tr>
      <w:tr w:rsidR="002E474C" w14:paraId="1CECA321" w14:textId="77777777">
        <w:tc>
          <w:tcPr>
            <w:tcW w:w="514" w:type="pct"/>
            <w:vMerge/>
            <w:shd w:val="clear" w:color="auto" w:fill="auto"/>
            <w:vAlign w:val="center"/>
          </w:tcPr>
          <w:p w14:paraId="6E09A560" w14:textId="77777777" w:rsidR="002E474C" w:rsidRDefault="002E474C">
            <w:pPr>
              <w:pStyle w:val="A-"/>
            </w:pPr>
          </w:p>
        </w:tc>
        <w:tc>
          <w:tcPr>
            <w:tcW w:w="633" w:type="pct"/>
            <w:shd w:val="clear" w:color="auto" w:fill="auto"/>
            <w:vAlign w:val="center"/>
          </w:tcPr>
          <w:p w14:paraId="031A3CDB" w14:textId="77777777" w:rsidR="002E474C" w:rsidRDefault="00000000">
            <w:pPr>
              <w:pStyle w:val="A-"/>
            </w:pPr>
            <w:r>
              <w:t>过滤器</w:t>
            </w:r>
          </w:p>
        </w:tc>
        <w:tc>
          <w:tcPr>
            <w:tcW w:w="421" w:type="pct"/>
            <w:shd w:val="clear" w:color="auto" w:fill="auto"/>
            <w:vAlign w:val="center"/>
          </w:tcPr>
          <w:p w14:paraId="209D3D1B" w14:textId="77777777" w:rsidR="002E474C" w:rsidRDefault="00000000">
            <w:pPr>
              <w:pStyle w:val="A-"/>
            </w:pPr>
            <w:r>
              <w:t>滤渣</w:t>
            </w:r>
          </w:p>
        </w:tc>
        <w:tc>
          <w:tcPr>
            <w:tcW w:w="474" w:type="pct"/>
            <w:shd w:val="clear" w:color="auto" w:fill="auto"/>
            <w:vAlign w:val="center"/>
          </w:tcPr>
          <w:p w14:paraId="4B3DFA58" w14:textId="77777777" w:rsidR="002E474C" w:rsidRDefault="00000000">
            <w:pPr>
              <w:pStyle w:val="A-"/>
            </w:pPr>
            <w:r>
              <w:t>危险废物</w:t>
            </w:r>
          </w:p>
        </w:tc>
        <w:tc>
          <w:tcPr>
            <w:tcW w:w="369" w:type="pct"/>
            <w:shd w:val="clear" w:color="auto" w:fill="auto"/>
            <w:vAlign w:val="center"/>
          </w:tcPr>
          <w:p w14:paraId="23B9E207" w14:textId="77777777" w:rsidR="002E474C" w:rsidRDefault="00000000">
            <w:pPr>
              <w:pStyle w:val="A-"/>
            </w:pPr>
            <w:r>
              <w:t>HW49</w:t>
            </w:r>
          </w:p>
        </w:tc>
        <w:tc>
          <w:tcPr>
            <w:tcW w:w="299" w:type="pct"/>
            <w:shd w:val="clear" w:color="auto" w:fill="auto"/>
            <w:vAlign w:val="center"/>
          </w:tcPr>
          <w:p w14:paraId="2D20FB23" w14:textId="77777777" w:rsidR="002E474C" w:rsidRDefault="00000000">
            <w:pPr>
              <w:pStyle w:val="A-"/>
            </w:pPr>
            <w:r>
              <w:t>T/In</w:t>
            </w:r>
          </w:p>
        </w:tc>
        <w:tc>
          <w:tcPr>
            <w:tcW w:w="491" w:type="pct"/>
            <w:shd w:val="clear" w:color="auto" w:fill="auto"/>
            <w:vAlign w:val="center"/>
          </w:tcPr>
          <w:p w14:paraId="654F4A53" w14:textId="77777777" w:rsidR="002E474C" w:rsidRDefault="00000000">
            <w:pPr>
              <w:pStyle w:val="A-"/>
            </w:pPr>
            <w:r>
              <w:t>772-006-49</w:t>
            </w:r>
          </w:p>
        </w:tc>
        <w:tc>
          <w:tcPr>
            <w:tcW w:w="421" w:type="pct"/>
            <w:shd w:val="clear" w:color="auto" w:fill="auto"/>
            <w:vAlign w:val="center"/>
          </w:tcPr>
          <w:p w14:paraId="2DE33F79" w14:textId="77777777" w:rsidR="002E474C" w:rsidRDefault="00000000">
            <w:pPr>
              <w:pStyle w:val="A-"/>
            </w:pPr>
            <w:r>
              <w:t>类比法</w:t>
            </w:r>
          </w:p>
        </w:tc>
        <w:tc>
          <w:tcPr>
            <w:tcW w:w="317" w:type="pct"/>
            <w:shd w:val="clear" w:color="auto" w:fill="auto"/>
            <w:vAlign w:val="center"/>
          </w:tcPr>
          <w:p w14:paraId="0206DF53" w14:textId="77777777" w:rsidR="002E474C" w:rsidRDefault="00000000">
            <w:pPr>
              <w:pStyle w:val="A-"/>
            </w:pPr>
            <w:r>
              <w:t>1</w:t>
            </w:r>
          </w:p>
        </w:tc>
        <w:tc>
          <w:tcPr>
            <w:tcW w:w="263" w:type="pct"/>
            <w:vMerge/>
            <w:shd w:val="clear" w:color="auto" w:fill="auto"/>
            <w:vAlign w:val="center"/>
          </w:tcPr>
          <w:p w14:paraId="5CB228E0" w14:textId="77777777" w:rsidR="002E474C" w:rsidRDefault="002E474C">
            <w:pPr>
              <w:pStyle w:val="A-"/>
            </w:pPr>
          </w:p>
        </w:tc>
        <w:tc>
          <w:tcPr>
            <w:tcW w:w="316" w:type="pct"/>
            <w:shd w:val="clear" w:color="auto" w:fill="auto"/>
            <w:vAlign w:val="center"/>
          </w:tcPr>
          <w:p w14:paraId="39D6FC49" w14:textId="77777777" w:rsidR="002E474C" w:rsidRDefault="00000000">
            <w:pPr>
              <w:pStyle w:val="A-"/>
            </w:pPr>
            <w:r>
              <w:t>1</w:t>
            </w:r>
          </w:p>
        </w:tc>
        <w:tc>
          <w:tcPr>
            <w:tcW w:w="482" w:type="pct"/>
            <w:shd w:val="clear" w:color="auto" w:fill="auto"/>
            <w:vAlign w:val="center"/>
          </w:tcPr>
          <w:p w14:paraId="07993E03" w14:textId="77777777" w:rsidR="002E474C" w:rsidRDefault="00000000">
            <w:pPr>
              <w:pStyle w:val="A-"/>
            </w:pPr>
            <w:r>
              <w:t>水泥窑</w:t>
            </w:r>
          </w:p>
        </w:tc>
      </w:tr>
      <w:tr w:rsidR="002E474C" w14:paraId="39441E00" w14:textId="77777777">
        <w:tc>
          <w:tcPr>
            <w:tcW w:w="514" w:type="pct"/>
            <w:vMerge/>
            <w:shd w:val="clear" w:color="auto" w:fill="auto"/>
            <w:vAlign w:val="center"/>
          </w:tcPr>
          <w:p w14:paraId="3D3AD8A5" w14:textId="77777777" w:rsidR="002E474C" w:rsidRDefault="002E474C">
            <w:pPr>
              <w:pStyle w:val="A-"/>
            </w:pPr>
          </w:p>
        </w:tc>
        <w:tc>
          <w:tcPr>
            <w:tcW w:w="633" w:type="pct"/>
            <w:shd w:val="clear" w:color="auto" w:fill="auto"/>
            <w:vAlign w:val="center"/>
          </w:tcPr>
          <w:p w14:paraId="1595F980" w14:textId="77777777" w:rsidR="002E474C" w:rsidRDefault="00000000">
            <w:pPr>
              <w:pStyle w:val="A-"/>
            </w:pPr>
            <w:r>
              <w:t>污水收集池</w:t>
            </w:r>
          </w:p>
        </w:tc>
        <w:tc>
          <w:tcPr>
            <w:tcW w:w="421" w:type="pct"/>
            <w:shd w:val="clear" w:color="auto" w:fill="auto"/>
            <w:vAlign w:val="center"/>
          </w:tcPr>
          <w:p w14:paraId="359168E2" w14:textId="77777777" w:rsidR="002E474C" w:rsidRDefault="00000000">
            <w:pPr>
              <w:pStyle w:val="A-"/>
            </w:pPr>
            <w:r>
              <w:t>污泥</w:t>
            </w:r>
          </w:p>
        </w:tc>
        <w:tc>
          <w:tcPr>
            <w:tcW w:w="474" w:type="pct"/>
            <w:shd w:val="clear" w:color="auto" w:fill="auto"/>
            <w:vAlign w:val="center"/>
          </w:tcPr>
          <w:p w14:paraId="26718796" w14:textId="77777777" w:rsidR="002E474C" w:rsidRDefault="00000000">
            <w:pPr>
              <w:pStyle w:val="A-"/>
            </w:pPr>
            <w:r>
              <w:t>危险废物</w:t>
            </w:r>
          </w:p>
        </w:tc>
        <w:tc>
          <w:tcPr>
            <w:tcW w:w="369" w:type="pct"/>
            <w:shd w:val="clear" w:color="auto" w:fill="auto"/>
            <w:vAlign w:val="center"/>
          </w:tcPr>
          <w:p w14:paraId="6C6B4507" w14:textId="77777777" w:rsidR="002E474C" w:rsidRDefault="00000000">
            <w:pPr>
              <w:pStyle w:val="A-"/>
            </w:pPr>
            <w:r>
              <w:t>HW49</w:t>
            </w:r>
          </w:p>
        </w:tc>
        <w:tc>
          <w:tcPr>
            <w:tcW w:w="299" w:type="pct"/>
            <w:shd w:val="clear" w:color="auto" w:fill="auto"/>
            <w:vAlign w:val="center"/>
          </w:tcPr>
          <w:p w14:paraId="6A441EF1" w14:textId="77777777" w:rsidR="002E474C" w:rsidRDefault="00000000">
            <w:pPr>
              <w:pStyle w:val="A-"/>
            </w:pPr>
            <w:r>
              <w:t>T/In</w:t>
            </w:r>
          </w:p>
        </w:tc>
        <w:tc>
          <w:tcPr>
            <w:tcW w:w="491" w:type="pct"/>
            <w:shd w:val="clear" w:color="auto" w:fill="auto"/>
            <w:vAlign w:val="center"/>
          </w:tcPr>
          <w:p w14:paraId="5263F810" w14:textId="77777777" w:rsidR="002E474C" w:rsidRDefault="00000000">
            <w:pPr>
              <w:pStyle w:val="A-"/>
            </w:pPr>
            <w:r>
              <w:t>772-006-49</w:t>
            </w:r>
          </w:p>
        </w:tc>
        <w:tc>
          <w:tcPr>
            <w:tcW w:w="421" w:type="pct"/>
            <w:shd w:val="clear" w:color="auto" w:fill="auto"/>
            <w:vAlign w:val="center"/>
          </w:tcPr>
          <w:p w14:paraId="603068F5" w14:textId="77777777" w:rsidR="002E474C" w:rsidRDefault="00000000">
            <w:pPr>
              <w:pStyle w:val="A-"/>
            </w:pPr>
            <w:r>
              <w:t>类比法</w:t>
            </w:r>
          </w:p>
        </w:tc>
        <w:tc>
          <w:tcPr>
            <w:tcW w:w="317" w:type="pct"/>
            <w:shd w:val="clear" w:color="auto" w:fill="auto"/>
            <w:vAlign w:val="center"/>
          </w:tcPr>
          <w:p w14:paraId="3C377577" w14:textId="77777777" w:rsidR="002E474C" w:rsidRDefault="00000000">
            <w:pPr>
              <w:pStyle w:val="A-"/>
            </w:pPr>
            <w:r>
              <w:t>0.2</w:t>
            </w:r>
          </w:p>
        </w:tc>
        <w:tc>
          <w:tcPr>
            <w:tcW w:w="263" w:type="pct"/>
            <w:vMerge/>
            <w:shd w:val="clear" w:color="auto" w:fill="auto"/>
            <w:vAlign w:val="center"/>
          </w:tcPr>
          <w:p w14:paraId="36A236BD" w14:textId="77777777" w:rsidR="002E474C" w:rsidRDefault="002E474C">
            <w:pPr>
              <w:pStyle w:val="A-"/>
            </w:pPr>
          </w:p>
        </w:tc>
        <w:tc>
          <w:tcPr>
            <w:tcW w:w="316" w:type="pct"/>
            <w:shd w:val="clear" w:color="auto" w:fill="auto"/>
            <w:vAlign w:val="center"/>
          </w:tcPr>
          <w:p w14:paraId="081AC8B4" w14:textId="77777777" w:rsidR="002E474C" w:rsidRDefault="00000000">
            <w:pPr>
              <w:pStyle w:val="A-"/>
            </w:pPr>
            <w:r>
              <w:t>0.2</w:t>
            </w:r>
          </w:p>
        </w:tc>
        <w:tc>
          <w:tcPr>
            <w:tcW w:w="482" w:type="pct"/>
            <w:shd w:val="clear" w:color="auto" w:fill="auto"/>
            <w:vAlign w:val="center"/>
          </w:tcPr>
          <w:p w14:paraId="06926548" w14:textId="77777777" w:rsidR="002E474C" w:rsidRDefault="00000000">
            <w:pPr>
              <w:pStyle w:val="A-"/>
            </w:pPr>
            <w:r>
              <w:t>水泥窑</w:t>
            </w:r>
          </w:p>
        </w:tc>
      </w:tr>
      <w:tr w:rsidR="002E474C" w14:paraId="27E90C5E" w14:textId="77777777">
        <w:tc>
          <w:tcPr>
            <w:tcW w:w="514" w:type="pct"/>
            <w:vMerge/>
            <w:shd w:val="clear" w:color="auto" w:fill="auto"/>
            <w:vAlign w:val="center"/>
          </w:tcPr>
          <w:p w14:paraId="053FAB3D" w14:textId="77777777" w:rsidR="002E474C" w:rsidRDefault="002E474C">
            <w:pPr>
              <w:pStyle w:val="A-"/>
            </w:pPr>
          </w:p>
        </w:tc>
        <w:tc>
          <w:tcPr>
            <w:tcW w:w="633" w:type="pct"/>
            <w:shd w:val="clear" w:color="auto" w:fill="auto"/>
            <w:vAlign w:val="center"/>
          </w:tcPr>
          <w:p w14:paraId="7698F057" w14:textId="77777777" w:rsidR="002E474C" w:rsidRDefault="00000000">
            <w:pPr>
              <w:pStyle w:val="A-"/>
            </w:pPr>
            <w:r>
              <w:t>活性炭吸附装置</w:t>
            </w:r>
          </w:p>
        </w:tc>
        <w:tc>
          <w:tcPr>
            <w:tcW w:w="421" w:type="pct"/>
            <w:shd w:val="clear" w:color="auto" w:fill="auto"/>
            <w:vAlign w:val="center"/>
          </w:tcPr>
          <w:p w14:paraId="644927C0" w14:textId="77777777" w:rsidR="002E474C" w:rsidRDefault="00000000">
            <w:pPr>
              <w:pStyle w:val="A-"/>
            </w:pPr>
            <w:r>
              <w:t>废活性炭</w:t>
            </w:r>
          </w:p>
        </w:tc>
        <w:tc>
          <w:tcPr>
            <w:tcW w:w="474" w:type="pct"/>
            <w:shd w:val="clear" w:color="auto" w:fill="auto"/>
            <w:vAlign w:val="center"/>
          </w:tcPr>
          <w:p w14:paraId="6586CB30" w14:textId="77777777" w:rsidR="002E474C" w:rsidRDefault="00000000">
            <w:pPr>
              <w:pStyle w:val="A-"/>
            </w:pPr>
            <w:r>
              <w:t>危险废物</w:t>
            </w:r>
          </w:p>
        </w:tc>
        <w:tc>
          <w:tcPr>
            <w:tcW w:w="369" w:type="pct"/>
            <w:shd w:val="clear" w:color="auto" w:fill="auto"/>
            <w:vAlign w:val="center"/>
          </w:tcPr>
          <w:p w14:paraId="7F2DD37D" w14:textId="77777777" w:rsidR="002E474C" w:rsidRDefault="00000000">
            <w:pPr>
              <w:pStyle w:val="A-"/>
            </w:pPr>
            <w:r>
              <w:t>HW49</w:t>
            </w:r>
          </w:p>
        </w:tc>
        <w:tc>
          <w:tcPr>
            <w:tcW w:w="299" w:type="pct"/>
            <w:shd w:val="clear" w:color="auto" w:fill="auto"/>
            <w:vAlign w:val="center"/>
          </w:tcPr>
          <w:p w14:paraId="1C17678F" w14:textId="77777777" w:rsidR="002E474C" w:rsidRDefault="00000000">
            <w:pPr>
              <w:pStyle w:val="A-"/>
            </w:pPr>
            <w:r>
              <w:t>T</w:t>
            </w:r>
          </w:p>
        </w:tc>
        <w:tc>
          <w:tcPr>
            <w:tcW w:w="491" w:type="pct"/>
            <w:shd w:val="clear" w:color="auto" w:fill="auto"/>
            <w:vAlign w:val="center"/>
          </w:tcPr>
          <w:p w14:paraId="48ECAA3F" w14:textId="77777777" w:rsidR="002E474C" w:rsidRDefault="00000000">
            <w:pPr>
              <w:pStyle w:val="A-"/>
            </w:pPr>
            <w:r>
              <w:t>900-039-49</w:t>
            </w:r>
          </w:p>
        </w:tc>
        <w:tc>
          <w:tcPr>
            <w:tcW w:w="421" w:type="pct"/>
            <w:shd w:val="clear" w:color="auto" w:fill="auto"/>
            <w:vAlign w:val="center"/>
          </w:tcPr>
          <w:p w14:paraId="3A4C0FCC" w14:textId="77777777" w:rsidR="002E474C" w:rsidRDefault="00000000">
            <w:pPr>
              <w:pStyle w:val="A-"/>
            </w:pPr>
            <w:r>
              <w:t>类比法</w:t>
            </w:r>
          </w:p>
        </w:tc>
        <w:tc>
          <w:tcPr>
            <w:tcW w:w="317" w:type="pct"/>
            <w:shd w:val="clear" w:color="auto" w:fill="auto"/>
            <w:vAlign w:val="center"/>
          </w:tcPr>
          <w:p w14:paraId="1306E7F1" w14:textId="77777777" w:rsidR="002E474C" w:rsidRDefault="00000000">
            <w:pPr>
              <w:pStyle w:val="A-"/>
            </w:pPr>
            <w:r>
              <w:rPr>
                <w:rFonts w:hint="eastAsia"/>
              </w:rPr>
              <w:t>30</w:t>
            </w:r>
          </w:p>
        </w:tc>
        <w:tc>
          <w:tcPr>
            <w:tcW w:w="263" w:type="pct"/>
            <w:vMerge/>
            <w:shd w:val="clear" w:color="auto" w:fill="auto"/>
            <w:vAlign w:val="center"/>
          </w:tcPr>
          <w:p w14:paraId="0AFCD26F" w14:textId="77777777" w:rsidR="002E474C" w:rsidRDefault="002E474C">
            <w:pPr>
              <w:pStyle w:val="A-"/>
            </w:pPr>
          </w:p>
        </w:tc>
        <w:tc>
          <w:tcPr>
            <w:tcW w:w="316" w:type="pct"/>
            <w:shd w:val="clear" w:color="auto" w:fill="auto"/>
            <w:vAlign w:val="center"/>
          </w:tcPr>
          <w:p w14:paraId="2021A38C" w14:textId="77777777" w:rsidR="002E474C" w:rsidRDefault="00000000">
            <w:pPr>
              <w:pStyle w:val="A-"/>
            </w:pPr>
            <w:r>
              <w:rPr>
                <w:rFonts w:hint="eastAsia"/>
              </w:rPr>
              <w:t>30</w:t>
            </w:r>
          </w:p>
        </w:tc>
        <w:tc>
          <w:tcPr>
            <w:tcW w:w="482" w:type="pct"/>
            <w:shd w:val="clear" w:color="auto" w:fill="auto"/>
            <w:vAlign w:val="center"/>
          </w:tcPr>
          <w:p w14:paraId="458C06AE" w14:textId="77777777" w:rsidR="002E474C" w:rsidRDefault="00000000">
            <w:pPr>
              <w:pStyle w:val="A-"/>
            </w:pPr>
            <w:r>
              <w:t>水泥窑</w:t>
            </w:r>
          </w:p>
        </w:tc>
      </w:tr>
      <w:tr w:rsidR="002E474C" w14:paraId="591EB729" w14:textId="77777777">
        <w:tc>
          <w:tcPr>
            <w:tcW w:w="514" w:type="pct"/>
            <w:vMerge w:val="restart"/>
            <w:shd w:val="clear" w:color="auto" w:fill="auto"/>
            <w:vAlign w:val="center"/>
          </w:tcPr>
          <w:p w14:paraId="328C2CBE" w14:textId="77777777" w:rsidR="002E474C" w:rsidRDefault="00000000">
            <w:pPr>
              <w:pStyle w:val="A-"/>
            </w:pPr>
            <w:r>
              <w:t>环保设施</w:t>
            </w:r>
          </w:p>
        </w:tc>
        <w:tc>
          <w:tcPr>
            <w:tcW w:w="633" w:type="pct"/>
            <w:vMerge w:val="restart"/>
            <w:shd w:val="clear" w:color="auto" w:fill="auto"/>
            <w:vAlign w:val="center"/>
          </w:tcPr>
          <w:p w14:paraId="469D5083" w14:textId="77777777" w:rsidR="002E474C" w:rsidRDefault="00000000">
            <w:pPr>
              <w:pStyle w:val="A-"/>
            </w:pPr>
            <w:r>
              <w:t>布袋除尘器</w:t>
            </w:r>
          </w:p>
        </w:tc>
        <w:tc>
          <w:tcPr>
            <w:tcW w:w="421" w:type="pct"/>
            <w:shd w:val="clear" w:color="auto" w:fill="auto"/>
            <w:vAlign w:val="center"/>
          </w:tcPr>
          <w:p w14:paraId="1C26831D" w14:textId="77777777" w:rsidR="002E474C" w:rsidRDefault="00000000">
            <w:pPr>
              <w:pStyle w:val="A-"/>
            </w:pPr>
            <w:r>
              <w:t>废滤袋</w:t>
            </w:r>
          </w:p>
        </w:tc>
        <w:tc>
          <w:tcPr>
            <w:tcW w:w="474" w:type="pct"/>
            <w:shd w:val="clear" w:color="auto" w:fill="auto"/>
            <w:vAlign w:val="center"/>
          </w:tcPr>
          <w:p w14:paraId="0C80BAFE" w14:textId="77777777" w:rsidR="002E474C" w:rsidRDefault="00000000">
            <w:pPr>
              <w:pStyle w:val="A-"/>
            </w:pPr>
            <w:r>
              <w:t>危险废物</w:t>
            </w:r>
          </w:p>
        </w:tc>
        <w:tc>
          <w:tcPr>
            <w:tcW w:w="369" w:type="pct"/>
            <w:shd w:val="clear" w:color="auto" w:fill="auto"/>
            <w:vAlign w:val="center"/>
          </w:tcPr>
          <w:p w14:paraId="41925261" w14:textId="77777777" w:rsidR="002E474C" w:rsidRDefault="00000000">
            <w:pPr>
              <w:pStyle w:val="A-"/>
            </w:pPr>
            <w:r>
              <w:t>HW49</w:t>
            </w:r>
          </w:p>
        </w:tc>
        <w:tc>
          <w:tcPr>
            <w:tcW w:w="299" w:type="pct"/>
            <w:shd w:val="clear" w:color="auto" w:fill="auto"/>
            <w:vAlign w:val="center"/>
          </w:tcPr>
          <w:p w14:paraId="256F1E3E" w14:textId="77777777" w:rsidR="002E474C" w:rsidRDefault="00000000">
            <w:pPr>
              <w:pStyle w:val="A-"/>
            </w:pPr>
            <w:r>
              <w:t>T/In</w:t>
            </w:r>
          </w:p>
        </w:tc>
        <w:tc>
          <w:tcPr>
            <w:tcW w:w="491" w:type="pct"/>
            <w:shd w:val="clear" w:color="auto" w:fill="auto"/>
            <w:vAlign w:val="center"/>
          </w:tcPr>
          <w:p w14:paraId="32E8038C" w14:textId="77777777" w:rsidR="002E474C" w:rsidRDefault="00000000">
            <w:pPr>
              <w:pStyle w:val="A-"/>
            </w:pPr>
            <w:r>
              <w:t>900-041-49</w:t>
            </w:r>
          </w:p>
        </w:tc>
        <w:tc>
          <w:tcPr>
            <w:tcW w:w="421" w:type="pct"/>
            <w:shd w:val="clear" w:color="auto" w:fill="auto"/>
            <w:vAlign w:val="center"/>
          </w:tcPr>
          <w:p w14:paraId="09DCCF3B" w14:textId="77777777" w:rsidR="002E474C" w:rsidRDefault="00000000">
            <w:pPr>
              <w:pStyle w:val="A-"/>
            </w:pPr>
            <w:r>
              <w:t>类比法</w:t>
            </w:r>
          </w:p>
        </w:tc>
        <w:tc>
          <w:tcPr>
            <w:tcW w:w="317" w:type="pct"/>
            <w:shd w:val="clear" w:color="auto" w:fill="auto"/>
            <w:vAlign w:val="center"/>
          </w:tcPr>
          <w:p w14:paraId="7706B4D7" w14:textId="77777777" w:rsidR="002E474C" w:rsidRDefault="00000000">
            <w:pPr>
              <w:pStyle w:val="A-"/>
            </w:pPr>
            <w:r>
              <w:t>0.5</w:t>
            </w:r>
          </w:p>
        </w:tc>
        <w:tc>
          <w:tcPr>
            <w:tcW w:w="263" w:type="pct"/>
            <w:vMerge/>
            <w:shd w:val="clear" w:color="auto" w:fill="auto"/>
            <w:vAlign w:val="center"/>
          </w:tcPr>
          <w:p w14:paraId="575494F7" w14:textId="77777777" w:rsidR="002E474C" w:rsidRDefault="002E474C">
            <w:pPr>
              <w:pStyle w:val="A-"/>
            </w:pPr>
          </w:p>
        </w:tc>
        <w:tc>
          <w:tcPr>
            <w:tcW w:w="316" w:type="pct"/>
            <w:shd w:val="clear" w:color="auto" w:fill="auto"/>
            <w:vAlign w:val="center"/>
          </w:tcPr>
          <w:p w14:paraId="62E3A11E" w14:textId="77777777" w:rsidR="002E474C" w:rsidRDefault="00000000">
            <w:pPr>
              <w:pStyle w:val="A-"/>
            </w:pPr>
            <w:r>
              <w:t>0.5</w:t>
            </w:r>
          </w:p>
        </w:tc>
        <w:tc>
          <w:tcPr>
            <w:tcW w:w="482" w:type="pct"/>
            <w:shd w:val="clear" w:color="auto" w:fill="auto"/>
            <w:vAlign w:val="center"/>
          </w:tcPr>
          <w:p w14:paraId="51A8F07C" w14:textId="77777777" w:rsidR="002E474C" w:rsidRDefault="00000000">
            <w:pPr>
              <w:pStyle w:val="A-"/>
            </w:pPr>
            <w:r>
              <w:t>水泥窑</w:t>
            </w:r>
          </w:p>
        </w:tc>
      </w:tr>
      <w:tr w:rsidR="002E474C" w14:paraId="6714B4BB" w14:textId="77777777">
        <w:tc>
          <w:tcPr>
            <w:tcW w:w="514" w:type="pct"/>
            <w:vMerge/>
            <w:shd w:val="clear" w:color="auto" w:fill="auto"/>
            <w:vAlign w:val="center"/>
          </w:tcPr>
          <w:p w14:paraId="0A65923D" w14:textId="77777777" w:rsidR="002E474C" w:rsidRDefault="002E474C">
            <w:pPr>
              <w:pStyle w:val="A-"/>
            </w:pPr>
          </w:p>
        </w:tc>
        <w:tc>
          <w:tcPr>
            <w:tcW w:w="633" w:type="pct"/>
            <w:vMerge/>
            <w:shd w:val="clear" w:color="auto" w:fill="auto"/>
            <w:vAlign w:val="center"/>
          </w:tcPr>
          <w:p w14:paraId="75A7E8AD" w14:textId="77777777" w:rsidR="002E474C" w:rsidRDefault="002E474C">
            <w:pPr>
              <w:pStyle w:val="A-"/>
            </w:pPr>
          </w:p>
        </w:tc>
        <w:tc>
          <w:tcPr>
            <w:tcW w:w="421" w:type="pct"/>
            <w:shd w:val="clear" w:color="auto" w:fill="auto"/>
            <w:vAlign w:val="center"/>
          </w:tcPr>
          <w:p w14:paraId="45962FBB" w14:textId="77777777" w:rsidR="002E474C" w:rsidRDefault="00000000">
            <w:pPr>
              <w:pStyle w:val="A-"/>
            </w:pPr>
            <w:r>
              <w:t>除尘灰</w:t>
            </w:r>
          </w:p>
        </w:tc>
        <w:tc>
          <w:tcPr>
            <w:tcW w:w="474" w:type="pct"/>
            <w:shd w:val="clear" w:color="auto" w:fill="auto"/>
            <w:vAlign w:val="center"/>
          </w:tcPr>
          <w:p w14:paraId="2DB1EE94" w14:textId="77777777" w:rsidR="002E474C" w:rsidRDefault="00000000">
            <w:pPr>
              <w:pStyle w:val="A-"/>
            </w:pPr>
            <w:r>
              <w:t>危险废物</w:t>
            </w:r>
          </w:p>
        </w:tc>
        <w:tc>
          <w:tcPr>
            <w:tcW w:w="369" w:type="pct"/>
            <w:shd w:val="clear" w:color="auto" w:fill="auto"/>
            <w:vAlign w:val="center"/>
          </w:tcPr>
          <w:p w14:paraId="1E1A6ED9" w14:textId="77777777" w:rsidR="002E474C" w:rsidRDefault="00000000">
            <w:pPr>
              <w:pStyle w:val="A-"/>
            </w:pPr>
            <w:r>
              <w:t>HW18</w:t>
            </w:r>
          </w:p>
        </w:tc>
        <w:tc>
          <w:tcPr>
            <w:tcW w:w="299" w:type="pct"/>
            <w:shd w:val="clear" w:color="auto" w:fill="auto"/>
            <w:vAlign w:val="center"/>
          </w:tcPr>
          <w:p w14:paraId="771B2E74" w14:textId="77777777" w:rsidR="002E474C" w:rsidRDefault="00000000">
            <w:pPr>
              <w:pStyle w:val="A-"/>
            </w:pPr>
            <w:r>
              <w:t>T/In</w:t>
            </w:r>
          </w:p>
        </w:tc>
        <w:tc>
          <w:tcPr>
            <w:tcW w:w="491" w:type="pct"/>
            <w:shd w:val="clear" w:color="auto" w:fill="auto"/>
            <w:vAlign w:val="center"/>
          </w:tcPr>
          <w:p w14:paraId="68D21E1C" w14:textId="77777777" w:rsidR="002E474C" w:rsidRDefault="00000000">
            <w:pPr>
              <w:pStyle w:val="A-"/>
            </w:pPr>
            <w:bookmarkStart w:id="206" w:name="OLE_LINK75"/>
            <w:r>
              <w:t>772-003-18</w:t>
            </w:r>
            <w:bookmarkEnd w:id="206"/>
          </w:p>
        </w:tc>
        <w:tc>
          <w:tcPr>
            <w:tcW w:w="421" w:type="pct"/>
            <w:shd w:val="clear" w:color="auto" w:fill="auto"/>
            <w:vAlign w:val="center"/>
          </w:tcPr>
          <w:p w14:paraId="5FDA0FAE" w14:textId="77777777" w:rsidR="002E474C" w:rsidRDefault="00000000">
            <w:pPr>
              <w:pStyle w:val="A-"/>
            </w:pPr>
            <w:r>
              <w:t>类比法</w:t>
            </w:r>
          </w:p>
        </w:tc>
        <w:tc>
          <w:tcPr>
            <w:tcW w:w="317" w:type="pct"/>
            <w:shd w:val="clear" w:color="auto" w:fill="auto"/>
            <w:vAlign w:val="center"/>
          </w:tcPr>
          <w:p w14:paraId="4B987B8C" w14:textId="77777777" w:rsidR="002E474C" w:rsidRDefault="00000000">
            <w:pPr>
              <w:pStyle w:val="A-"/>
            </w:pPr>
            <w:r>
              <w:t>12</w:t>
            </w:r>
          </w:p>
        </w:tc>
        <w:tc>
          <w:tcPr>
            <w:tcW w:w="263" w:type="pct"/>
            <w:vMerge/>
            <w:shd w:val="clear" w:color="auto" w:fill="auto"/>
            <w:vAlign w:val="center"/>
          </w:tcPr>
          <w:p w14:paraId="33C894EF" w14:textId="77777777" w:rsidR="002E474C" w:rsidRDefault="002E474C">
            <w:pPr>
              <w:pStyle w:val="A-"/>
            </w:pPr>
          </w:p>
        </w:tc>
        <w:tc>
          <w:tcPr>
            <w:tcW w:w="316" w:type="pct"/>
            <w:shd w:val="clear" w:color="auto" w:fill="auto"/>
            <w:vAlign w:val="center"/>
          </w:tcPr>
          <w:p w14:paraId="31065DF5" w14:textId="77777777" w:rsidR="002E474C" w:rsidRDefault="00000000">
            <w:pPr>
              <w:pStyle w:val="A-"/>
            </w:pPr>
            <w:r>
              <w:t>12</w:t>
            </w:r>
          </w:p>
        </w:tc>
        <w:tc>
          <w:tcPr>
            <w:tcW w:w="482" w:type="pct"/>
            <w:shd w:val="clear" w:color="auto" w:fill="auto"/>
            <w:vAlign w:val="center"/>
          </w:tcPr>
          <w:p w14:paraId="5C4F3E45" w14:textId="77777777" w:rsidR="002E474C" w:rsidRDefault="00000000">
            <w:pPr>
              <w:pStyle w:val="A-"/>
            </w:pPr>
            <w:r>
              <w:t>水泥窑</w:t>
            </w:r>
          </w:p>
        </w:tc>
      </w:tr>
      <w:tr w:rsidR="002E474C" w14:paraId="562B9F82" w14:textId="77777777">
        <w:tc>
          <w:tcPr>
            <w:tcW w:w="514" w:type="pct"/>
            <w:shd w:val="clear" w:color="auto" w:fill="auto"/>
            <w:vAlign w:val="center"/>
          </w:tcPr>
          <w:p w14:paraId="206657B5" w14:textId="77777777" w:rsidR="002E474C" w:rsidRDefault="00000000">
            <w:pPr>
              <w:pStyle w:val="A-"/>
            </w:pPr>
            <w:r>
              <w:t>设备检维修</w:t>
            </w:r>
          </w:p>
        </w:tc>
        <w:tc>
          <w:tcPr>
            <w:tcW w:w="633" w:type="pct"/>
            <w:shd w:val="clear" w:color="auto" w:fill="auto"/>
            <w:vAlign w:val="center"/>
          </w:tcPr>
          <w:p w14:paraId="113F7234" w14:textId="77777777" w:rsidR="002E474C" w:rsidRDefault="00000000">
            <w:pPr>
              <w:pStyle w:val="A-"/>
            </w:pPr>
            <w:r>
              <w:t>生产设备</w:t>
            </w:r>
          </w:p>
        </w:tc>
        <w:tc>
          <w:tcPr>
            <w:tcW w:w="421" w:type="pct"/>
            <w:shd w:val="clear" w:color="auto" w:fill="auto"/>
            <w:vAlign w:val="center"/>
          </w:tcPr>
          <w:p w14:paraId="4A0CF840" w14:textId="77777777" w:rsidR="002E474C" w:rsidRDefault="00000000">
            <w:pPr>
              <w:pStyle w:val="A-"/>
            </w:pPr>
            <w:r>
              <w:t>废润滑油</w:t>
            </w:r>
          </w:p>
        </w:tc>
        <w:tc>
          <w:tcPr>
            <w:tcW w:w="474" w:type="pct"/>
            <w:shd w:val="clear" w:color="auto" w:fill="auto"/>
            <w:vAlign w:val="center"/>
          </w:tcPr>
          <w:p w14:paraId="6E9C9467" w14:textId="77777777" w:rsidR="002E474C" w:rsidRDefault="00000000">
            <w:pPr>
              <w:pStyle w:val="A-"/>
            </w:pPr>
            <w:r>
              <w:t>危险废物</w:t>
            </w:r>
          </w:p>
        </w:tc>
        <w:tc>
          <w:tcPr>
            <w:tcW w:w="369" w:type="pct"/>
            <w:shd w:val="clear" w:color="auto" w:fill="auto"/>
            <w:vAlign w:val="center"/>
          </w:tcPr>
          <w:p w14:paraId="07F61581" w14:textId="77777777" w:rsidR="002E474C" w:rsidRDefault="00000000">
            <w:pPr>
              <w:pStyle w:val="A-"/>
            </w:pPr>
            <w:r>
              <w:t>HW</w:t>
            </w:r>
            <w:r>
              <w:rPr>
                <w:rFonts w:hint="eastAsia"/>
              </w:rPr>
              <w:t>0</w:t>
            </w:r>
            <w:r>
              <w:t>8</w:t>
            </w:r>
          </w:p>
        </w:tc>
        <w:tc>
          <w:tcPr>
            <w:tcW w:w="299" w:type="pct"/>
            <w:shd w:val="clear" w:color="auto" w:fill="auto"/>
            <w:vAlign w:val="center"/>
          </w:tcPr>
          <w:p w14:paraId="06A3A080" w14:textId="77777777" w:rsidR="002E474C" w:rsidRDefault="00000000">
            <w:pPr>
              <w:pStyle w:val="A-"/>
            </w:pPr>
            <w:r>
              <w:t>T</w:t>
            </w:r>
            <w:r>
              <w:t>，</w:t>
            </w:r>
            <w:r>
              <w:t>I</w:t>
            </w:r>
          </w:p>
        </w:tc>
        <w:tc>
          <w:tcPr>
            <w:tcW w:w="491" w:type="pct"/>
            <w:shd w:val="clear" w:color="auto" w:fill="auto"/>
            <w:vAlign w:val="center"/>
          </w:tcPr>
          <w:p w14:paraId="4E510F8A" w14:textId="77777777" w:rsidR="002E474C" w:rsidRDefault="00000000">
            <w:pPr>
              <w:pStyle w:val="A-"/>
            </w:pPr>
            <w:r>
              <w:t>900-214-08</w:t>
            </w:r>
          </w:p>
        </w:tc>
        <w:tc>
          <w:tcPr>
            <w:tcW w:w="421" w:type="pct"/>
            <w:shd w:val="clear" w:color="auto" w:fill="auto"/>
            <w:vAlign w:val="center"/>
          </w:tcPr>
          <w:p w14:paraId="16CDEE16" w14:textId="77777777" w:rsidR="002E474C" w:rsidRDefault="00000000">
            <w:pPr>
              <w:pStyle w:val="A-"/>
            </w:pPr>
            <w:r>
              <w:t>类比法</w:t>
            </w:r>
          </w:p>
        </w:tc>
        <w:tc>
          <w:tcPr>
            <w:tcW w:w="317" w:type="pct"/>
            <w:shd w:val="clear" w:color="auto" w:fill="auto"/>
            <w:vAlign w:val="center"/>
          </w:tcPr>
          <w:p w14:paraId="75338A5F" w14:textId="77777777" w:rsidR="002E474C" w:rsidRDefault="00000000">
            <w:pPr>
              <w:pStyle w:val="A-"/>
            </w:pPr>
            <w:r>
              <w:t>0.1</w:t>
            </w:r>
          </w:p>
        </w:tc>
        <w:tc>
          <w:tcPr>
            <w:tcW w:w="263" w:type="pct"/>
            <w:vMerge/>
            <w:shd w:val="clear" w:color="auto" w:fill="auto"/>
            <w:vAlign w:val="center"/>
          </w:tcPr>
          <w:p w14:paraId="55504A2F" w14:textId="77777777" w:rsidR="002E474C" w:rsidRDefault="002E474C">
            <w:pPr>
              <w:pStyle w:val="A-"/>
            </w:pPr>
          </w:p>
        </w:tc>
        <w:tc>
          <w:tcPr>
            <w:tcW w:w="316" w:type="pct"/>
            <w:shd w:val="clear" w:color="auto" w:fill="auto"/>
            <w:vAlign w:val="center"/>
          </w:tcPr>
          <w:p w14:paraId="043AC7AB" w14:textId="77777777" w:rsidR="002E474C" w:rsidRDefault="00000000">
            <w:pPr>
              <w:pStyle w:val="A-"/>
            </w:pPr>
            <w:r>
              <w:t>0.1</w:t>
            </w:r>
          </w:p>
        </w:tc>
        <w:tc>
          <w:tcPr>
            <w:tcW w:w="482" w:type="pct"/>
            <w:shd w:val="clear" w:color="auto" w:fill="auto"/>
            <w:vAlign w:val="center"/>
          </w:tcPr>
          <w:p w14:paraId="5E0A8F63" w14:textId="77777777" w:rsidR="002E474C" w:rsidRDefault="00000000">
            <w:pPr>
              <w:pStyle w:val="A-"/>
            </w:pPr>
            <w:r>
              <w:t>水泥窑</w:t>
            </w:r>
          </w:p>
        </w:tc>
      </w:tr>
      <w:tr w:rsidR="002E474C" w14:paraId="395B245A" w14:textId="77777777">
        <w:tc>
          <w:tcPr>
            <w:tcW w:w="514" w:type="pct"/>
            <w:shd w:val="clear" w:color="auto" w:fill="auto"/>
            <w:vAlign w:val="center"/>
          </w:tcPr>
          <w:p w14:paraId="62931032" w14:textId="77777777" w:rsidR="002E474C" w:rsidRDefault="00000000">
            <w:pPr>
              <w:pStyle w:val="A-"/>
            </w:pPr>
            <w:r>
              <w:t>生活设施</w:t>
            </w:r>
          </w:p>
        </w:tc>
        <w:tc>
          <w:tcPr>
            <w:tcW w:w="633" w:type="pct"/>
            <w:shd w:val="clear" w:color="auto" w:fill="auto"/>
            <w:vAlign w:val="center"/>
          </w:tcPr>
          <w:p w14:paraId="3EE1436D" w14:textId="77777777" w:rsidR="002E474C" w:rsidRDefault="00000000">
            <w:pPr>
              <w:pStyle w:val="A-"/>
            </w:pPr>
            <w:r>
              <w:t>员工生活</w:t>
            </w:r>
          </w:p>
        </w:tc>
        <w:tc>
          <w:tcPr>
            <w:tcW w:w="421" w:type="pct"/>
            <w:shd w:val="clear" w:color="auto" w:fill="auto"/>
            <w:vAlign w:val="center"/>
          </w:tcPr>
          <w:p w14:paraId="62E490B3" w14:textId="77777777" w:rsidR="002E474C" w:rsidRDefault="00000000">
            <w:pPr>
              <w:pStyle w:val="A-"/>
            </w:pPr>
            <w:r>
              <w:t>生活垃圾</w:t>
            </w:r>
          </w:p>
        </w:tc>
        <w:tc>
          <w:tcPr>
            <w:tcW w:w="474" w:type="pct"/>
            <w:shd w:val="clear" w:color="auto" w:fill="auto"/>
            <w:vAlign w:val="center"/>
          </w:tcPr>
          <w:p w14:paraId="759016A4" w14:textId="77777777" w:rsidR="002E474C" w:rsidRDefault="00000000">
            <w:pPr>
              <w:pStyle w:val="A-"/>
            </w:pPr>
            <w:r>
              <w:t>生活垃圾</w:t>
            </w:r>
          </w:p>
        </w:tc>
        <w:tc>
          <w:tcPr>
            <w:tcW w:w="369" w:type="pct"/>
            <w:shd w:val="clear" w:color="auto" w:fill="auto"/>
            <w:vAlign w:val="center"/>
          </w:tcPr>
          <w:p w14:paraId="33C175D5" w14:textId="77777777" w:rsidR="002E474C" w:rsidRDefault="00000000">
            <w:pPr>
              <w:pStyle w:val="A-"/>
            </w:pPr>
            <w:r>
              <w:t>SW60</w:t>
            </w:r>
          </w:p>
        </w:tc>
        <w:tc>
          <w:tcPr>
            <w:tcW w:w="299" w:type="pct"/>
            <w:shd w:val="clear" w:color="auto" w:fill="auto"/>
            <w:vAlign w:val="center"/>
          </w:tcPr>
          <w:p w14:paraId="1FD247B8" w14:textId="77777777" w:rsidR="002E474C" w:rsidRDefault="00000000">
            <w:pPr>
              <w:pStyle w:val="A-"/>
            </w:pPr>
            <w:r>
              <w:t>/</w:t>
            </w:r>
          </w:p>
        </w:tc>
        <w:tc>
          <w:tcPr>
            <w:tcW w:w="491" w:type="pct"/>
            <w:shd w:val="clear" w:color="auto" w:fill="auto"/>
            <w:vAlign w:val="center"/>
          </w:tcPr>
          <w:p w14:paraId="6116216D" w14:textId="77777777" w:rsidR="002E474C" w:rsidRDefault="00000000">
            <w:pPr>
              <w:pStyle w:val="A-"/>
            </w:pPr>
            <w:bookmarkStart w:id="207" w:name="RANGE!J52"/>
            <w:r>
              <w:t>900-001-S60</w:t>
            </w:r>
            <w:bookmarkEnd w:id="207"/>
          </w:p>
        </w:tc>
        <w:tc>
          <w:tcPr>
            <w:tcW w:w="421" w:type="pct"/>
            <w:shd w:val="clear" w:color="auto" w:fill="auto"/>
            <w:vAlign w:val="center"/>
          </w:tcPr>
          <w:p w14:paraId="290D4CA8" w14:textId="77777777" w:rsidR="002E474C" w:rsidRDefault="00000000">
            <w:pPr>
              <w:pStyle w:val="A-"/>
            </w:pPr>
            <w:r>
              <w:t>系数法</w:t>
            </w:r>
          </w:p>
        </w:tc>
        <w:tc>
          <w:tcPr>
            <w:tcW w:w="317" w:type="pct"/>
            <w:shd w:val="clear" w:color="auto" w:fill="auto"/>
            <w:vAlign w:val="center"/>
          </w:tcPr>
          <w:p w14:paraId="7E429EBF" w14:textId="77777777" w:rsidR="002E474C" w:rsidRDefault="00000000">
            <w:pPr>
              <w:pStyle w:val="A-"/>
            </w:pPr>
            <w:r>
              <w:t>6</w:t>
            </w:r>
          </w:p>
        </w:tc>
        <w:tc>
          <w:tcPr>
            <w:tcW w:w="263" w:type="pct"/>
            <w:shd w:val="clear" w:color="auto" w:fill="auto"/>
            <w:vAlign w:val="center"/>
          </w:tcPr>
          <w:p w14:paraId="5CD0FDCC" w14:textId="77777777" w:rsidR="002E474C" w:rsidRDefault="00000000">
            <w:pPr>
              <w:pStyle w:val="A-"/>
            </w:pPr>
            <w:r>
              <w:t>填埋</w:t>
            </w:r>
          </w:p>
        </w:tc>
        <w:tc>
          <w:tcPr>
            <w:tcW w:w="316" w:type="pct"/>
            <w:shd w:val="clear" w:color="auto" w:fill="auto"/>
            <w:vAlign w:val="center"/>
          </w:tcPr>
          <w:p w14:paraId="58A5510D" w14:textId="77777777" w:rsidR="002E474C" w:rsidRDefault="00000000">
            <w:pPr>
              <w:pStyle w:val="A-"/>
            </w:pPr>
            <w:r>
              <w:t>6</w:t>
            </w:r>
          </w:p>
        </w:tc>
        <w:tc>
          <w:tcPr>
            <w:tcW w:w="482" w:type="pct"/>
            <w:shd w:val="clear" w:color="auto" w:fill="auto"/>
            <w:vAlign w:val="center"/>
          </w:tcPr>
          <w:p w14:paraId="592346AC" w14:textId="77777777" w:rsidR="002E474C" w:rsidRDefault="00000000">
            <w:pPr>
              <w:pStyle w:val="A-"/>
            </w:pPr>
            <w:r>
              <w:t>圣雄股份公司垃圾场</w:t>
            </w:r>
          </w:p>
        </w:tc>
      </w:tr>
    </w:tbl>
    <w:p w14:paraId="788E71CD" w14:textId="77777777" w:rsidR="002E474C" w:rsidRDefault="002E474C">
      <w:pPr>
        <w:pStyle w:val="A--"/>
        <w:rPr>
          <w:color w:val="auto"/>
        </w:rPr>
      </w:pPr>
    </w:p>
    <w:p w14:paraId="0BB0AEE6"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143276EA" w14:textId="77777777" w:rsidR="002E474C" w:rsidRDefault="00000000">
      <w:pPr>
        <w:pStyle w:val="41"/>
        <w:spacing w:before="156" w:after="156"/>
        <w:rPr>
          <w:color w:val="auto"/>
        </w:rPr>
      </w:pPr>
      <w:r>
        <w:rPr>
          <w:color w:val="auto"/>
        </w:rPr>
        <w:lastRenderedPageBreak/>
        <w:t>非正常工况污染源强核算</w:t>
      </w:r>
    </w:p>
    <w:p w14:paraId="6F089BD0" w14:textId="77777777" w:rsidR="002E474C" w:rsidRDefault="00000000">
      <w:pPr>
        <w:pStyle w:val="A-z"/>
        <w:rPr>
          <w:color w:val="auto"/>
        </w:rPr>
      </w:pPr>
      <w:r>
        <w:rPr>
          <w:color w:val="auto"/>
        </w:rPr>
        <w:t>非正常排放指生产过程中开停车、设备检修、工艺设备运转异常等非正常工况下的污染物排放，以及污染物排放控制措施达不到应有效率等情况下的排放。不包括事故排放。</w:t>
      </w:r>
    </w:p>
    <w:p w14:paraId="384E6C3B" w14:textId="77777777" w:rsidR="002E474C" w:rsidRDefault="00000000">
      <w:pPr>
        <w:pStyle w:val="A-z"/>
        <w:rPr>
          <w:color w:val="auto"/>
        </w:rPr>
      </w:pPr>
      <w:r>
        <w:rPr>
          <w:color w:val="auto"/>
        </w:rPr>
        <w:t>根据《水泥工业大气污染物排放标准》</w:t>
      </w:r>
      <w:r>
        <w:rPr>
          <w:color w:val="auto"/>
        </w:rPr>
        <w:t>(GB4915-2013)</w:t>
      </w:r>
      <w:r>
        <w:rPr>
          <w:color w:val="auto"/>
        </w:rPr>
        <w:t>：</w:t>
      </w:r>
      <w:r>
        <w:rPr>
          <w:rFonts w:hint="eastAsia"/>
          <w:color w:val="auto"/>
        </w:rPr>
        <w:t>“</w:t>
      </w:r>
      <w:r>
        <w:rPr>
          <w:color w:val="auto"/>
        </w:rPr>
        <w:t xml:space="preserve">4.3.2 </w:t>
      </w:r>
      <w:r>
        <w:rPr>
          <w:color w:val="auto"/>
        </w:rPr>
        <w:t>净化处理装置应与其对应的生产工艺设备同步运转。应保证在生产工艺设备运行波动情况下净化处理装置仍能正常运转，实现达标排放。因净化处理装置故障造成非正常排放，应停止运转对应的生产工艺设备，待检修完毕后共同投入使用。</w:t>
      </w:r>
      <w:r>
        <w:rPr>
          <w:rFonts w:hint="eastAsia"/>
          <w:color w:val="auto"/>
        </w:rPr>
        <w:t>”</w:t>
      </w:r>
    </w:p>
    <w:p w14:paraId="339ADC0A" w14:textId="77777777" w:rsidR="002E474C" w:rsidRDefault="00000000">
      <w:pPr>
        <w:pStyle w:val="A-z"/>
        <w:rPr>
          <w:color w:val="auto"/>
        </w:rPr>
      </w:pPr>
      <w:r>
        <w:rPr>
          <w:color w:val="auto"/>
        </w:rPr>
        <w:t>根据《水泥窑协同处置固体废物污染控制标准》（</w:t>
      </w:r>
      <w:r>
        <w:rPr>
          <w:color w:val="auto"/>
        </w:rPr>
        <w:t>GB30485-2013</w:t>
      </w:r>
      <w:r>
        <w:rPr>
          <w:color w:val="auto"/>
        </w:rPr>
        <w:t>）：</w:t>
      </w:r>
      <w:r>
        <w:rPr>
          <w:rFonts w:hint="eastAsia"/>
          <w:color w:val="auto"/>
        </w:rPr>
        <w:t>“</w:t>
      </w:r>
      <w:r>
        <w:rPr>
          <w:color w:val="auto"/>
        </w:rPr>
        <w:t xml:space="preserve">6.3 </w:t>
      </w:r>
      <w:r>
        <w:rPr>
          <w:color w:val="auto"/>
        </w:rPr>
        <w:t>在水泥窑达到正常生产工况并稳定运行至少</w:t>
      </w:r>
      <w:r>
        <w:rPr>
          <w:color w:val="auto"/>
        </w:rPr>
        <w:t>4</w:t>
      </w:r>
      <w:r>
        <w:rPr>
          <w:color w:val="auto"/>
        </w:rPr>
        <w:t>小时后，方可开始投加固体废物；因水泥窑维修、事故检修等原因停窑前至少</w:t>
      </w:r>
      <w:r>
        <w:rPr>
          <w:color w:val="auto"/>
        </w:rPr>
        <w:t>4</w:t>
      </w:r>
      <w:r>
        <w:rPr>
          <w:color w:val="auto"/>
        </w:rPr>
        <w:t>小时内禁止投加固体废物。</w:t>
      </w:r>
      <w:r>
        <w:rPr>
          <w:color w:val="auto"/>
        </w:rPr>
        <w:t xml:space="preserve">6.4 </w:t>
      </w:r>
      <w:r>
        <w:rPr>
          <w:color w:val="auto"/>
        </w:rPr>
        <w:t>当水泥窑出现故障或事故造成运行工况不正常，如窑内温度明显下降、烟气中污染物浓度明显升高等情况时，必须立即停止投加固体废物，待查明原因并恢复正常运行后方可恢复投加。</w:t>
      </w:r>
      <w:r>
        <w:rPr>
          <w:rFonts w:hint="eastAsia"/>
          <w:color w:val="auto"/>
        </w:rPr>
        <w:t>”</w:t>
      </w:r>
    </w:p>
    <w:p w14:paraId="56F845D8" w14:textId="77777777" w:rsidR="002E474C" w:rsidRDefault="00000000">
      <w:pPr>
        <w:pStyle w:val="A-z"/>
        <w:rPr>
          <w:color w:val="auto"/>
        </w:rPr>
      </w:pPr>
      <w:r>
        <w:rPr>
          <w:color w:val="auto"/>
        </w:rPr>
        <w:t>在水泥窑停窑或检修期间及协同处置系统停料检修期间，无机类废物加料系统、液态处置车间和固态危废加料系统均清空存量废物，设备空置停用，无危废存放、投加与过滤生产，不产生废气。因此，本项目在水泥窑开停机及停窑期间过程中不会投加固废，本评价不考虑开停车、检维修等非正常工况，主要考虑污染物排放控制措施达不到应有效率等情况下的排放。</w:t>
      </w:r>
    </w:p>
    <w:p w14:paraId="0D9C63FC" w14:textId="77777777" w:rsidR="002E474C" w:rsidRDefault="00000000">
      <w:pPr>
        <w:pStyle w:val="A-z"/>
        <w:rPr>
          <w:color w:val="auto"/>
        </w:rPr>
      </w:pPr>
      <w:r>
        <w:rPr>
          <w:color w:val="auto"/>
        </w:rPr>
        <w:t>（</w:t>
      </w:r>
      <w:r>
        <w:rPr>
          <w:color w:val="auto"/>
        </w:rPr>
        <w:t>1</w:t>
      </w:r>
      <w:r>
        <w:rPr>
          <w:color w:val="auto"/>
        </w:rPr>
        <w:t>）危废贮存废气进入两级活性炭吸附装置处理</w:t>
      </w:r>
    </w:p>
    <w:p w14:paraId="43B47F55" w14:textId="77777777" w:rsidR="002E474C" w:rsidRDefault="00000000">
      <w:pPr>
        <w:pStyle w:val="A-z"/>
        <w:rPr>
          <w:color w:val="auto"/>
        </w:rPr>
      </w:pPr>
      <w:r>
        <w:rPr>
          <w:color w:val="auto"/>
        </w:rPr>
        <w:t>固态危废预处理车间与危废贮存库经设一套负压系统收集废气后，采用两级活性炭吸附处理后经</w:t>
      </w:r>
      <w:r>
        <w:rPr>
          <w:color w:val="auto"/>
        </w:rPr>
        <w:t>1</w:t>
      </w:r>
      <w:r>
        <w:rPr>
          <w:color w:val="auto"/>
        </w:rPr>
        <w:t>根</w:t>
      </w:r>
      <w:r>
        <w:rPr>
          <w:color w:val="auto"/>
        </w:rPr>
        <w:t>15m</w:t>
      </w:r>
      <w:r>
        <w:rPr>
          <w:color w:val="auto"/>
        </w:rPr>
        <w:t>排气筒排放。环评按两级活性炭吸附其他污染物效率降低至</w:t>
      </w:r>
      <w:r>
        <w:rPr>
          <w:color w:val="auto"/>
        </w:rPr>
        <w:t>45%</w:t>
      </w:r>
      <w:r>
        <w:rPr>
          <w:color w:val="auto"/>
        </w:rPr>
        <w:t>，非正常排放工况连续持续</w:t>
      </w:r>
      <w:r>
        <w:rPr>
          <w:color w:val="auto"/>
        </w:rPr>
        <w:t>30d</w:t>
      </w:r>
      <w:r>
        <w:rPr>
          <w:color w:val="auto"/>
        </w:rPr>
        <w:t>，核算非正常工况废气污染源强。</w:t>
      </w:r>
    </w:p>
    <w:p w14:paraId="7E85AFF9" w14:textId="77777777" w:rsidR="002E474C" w:rsidRDefault="00000000">
      <w:pPr>
        <w:pStyle w:val="A-z"/>
        <w:rPr>
          <w:color w:val="auto"/>
        </w:rPr>
      </w:pPr>
      <w:r>
        <w:rPr>
          <w:color w:val="auto"/>
        </w:rPr>
        <w:t>（</w:t>
      </w:r>
      <w:r>
        <w:rPr>
          <w:color w:val="auto"/>
        </w:rPr>
        <w:t>2</w:t>
      </w:r>
      <w:r>
        <w:rPr>
          <w:color w:val="auto"/>
        </w:rPr>
        <w:t>）回转窑烟气冷却、换热设施（余热锅炉、增湿塔等）故障或效率下降时，二噁英类在窑外合成量将增加，拟将排放浓度增大为达标排放限值的</w:t>
      </w:r>
      <w:r>
        <w:rPr>
          <w:color w:val="auto"/>
        </w:rPr>
        <w:t>100</w:t>
      </w:r>
      <w:r>
        <w:rPr>
          <w:color w:val="auto"/>
        </w:rPr>
        <w:t>倍（即</w:t>
      </w:r>
      <w:r>
        <w:rPr>
          <w:color w:val="auto"/>
        </w:rPr>
        <w:t>10ngTEQ/Nm</w:t>
      </w:r>
      <w:r>
        <w:rPr>
          <w:color w:val="auto"/>
          <w:vertAlign w:val="superscript"/>
        </w:rPr>
        <w:t>3</w:t>
      </w:r>
      <w:r>
        <w:rPr>
          <w:color w:val="auto"/>
        </w:rPr>
        <w:t>）作为二噁英类</w:t>
      </w:r>
      <w:r>
        <w:rPr>
          <w:color w:val="auto"/>
        </w:rPr>
        <w:tab/>
      </w:r>
      <w:r>
        <w:rPr>
          <w:color w:val="auto"/>
        </w:rPr>
        <w:t>非正常排放工况。由前述分析可知，</w:t>
      </w:r>
      <w:bookmarkStart w:id="208" w:name="_Hlk151312737"/>
      <w:r>
        <w:rPr>
          <w:color w:val="auto"/>
        </w:rPr>
        <w:t>协同处置危险废物不会导致窑尾颗粒物排放量增大，因此本项目不考虑窑尾除尘设施效率降低导致的颗粒物排放增大情形，该情形属于水泥厂现有工程非正常工况。</w:t>
      </w:r>
      <w:bookmarkEnd w:id="208"/>
    </w:p>
    <w:p w14:paraId="69BCEA53" w14:textId="77777777" w:rsidR="002E474C" w:rsidRDefault="00000000">
      <w:pPr>
        <w:pStyle w:val="A-z"/>
        <w:rPr>
          <w:color w:val="auto"/>
        </w:rPr>
      </w:pPr>
      <w:r>
        <w:rPr>
          <w:color w:val="auto"/>
        </w:rPr>
        <w:t>本项目非正常排放废气污染源源强核算结果见表</w:t>
      </w:r>
      <w:r>
        <w:rPr>
          <w:color w:val="auto"/>
        </w:rPr>
        <w:t>3.5-22</w:t>
      </w:r>
      <w:r>
        <w:rPr>
          <w:color w:val="auto"/>
        </w:rPr>
        <w:t>。</w:t>
      </w:r>
    </w:p>
    <w:p w14:paraId="0F76708F" w14:textId="77777777" w:rsidR="002E474C" w:rsidRDefault="00000000">
      <w:pPr>
        <w:pStyle w:val="A--"/>
        <w:spacing w:before="156"/>
        <w:rPr>
          <w:color w:val="auto"/>
        </w:rPr>
      </w:pPr>
      <w:bookmarkStart w:id="209" w:name="_Ref151306556"/>
      <w:bookmarkStart w:id="210" w:name="_Ref127974598"/>
      <w:bookmarkStart w:id="211" w:name="_Hlk151318016"/>
      <w:r>
        <w:rPr>
          <w:color w:val="auto"/>
        </w:rPr>
        <w:lastRenderedPageBreak/>
        <w:t>表</w:t>
      </w:r>
      <w:bookmarkEnd w:id="209"/>
      <w:bookmarkEnd w:id="210"/>
      <w:r>
        <w:rPr>
          <w:color w:val="auto"/>
        </w:rPr>
        <w:t xml:space="preserve">3.5-22  </w:t>
      </w:r>
      <w:r>
        <w:rPr>
          <w:color w:val="auto"/>
        </w:rPr>
        <w:t>本项目非正常排放废气污染源源强核算结果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2"/>
        <w:gridCol w:w="677"/>
        <w:gridCol w:w="480"/>
        <w:gridCol w:w="816"/>
        <w:gridCol w:w="987"/>
        <w:gridCol w:w="989"/>
        <w:gridCol w:w="705"/>
        <w:gridCol w:w="569"/>
        <w:gridCol w:w="991"/>
        <w:gridCol w:w="846"/>
        <w:gridCol w:w="514"/>
      </w:tblGrid>
      <w:tr w:rsidR="002E474C" w14:paraId="236807B4" w14:textId="77777777">
        <w:trPr>
          <w:trHeight w:val="285"/>
          <w:jc w:val="center"/>
        </w:trPr>
        <w:tc>
          <w:tcPr>
            <w:tcW w:w="435" w:type="pct"/>
            <w:vMerge w:val="restart"/>
            <w:shd w:val="clear" w:color="auto" w:fill="auto"/>
            <w:noWrap/>
            <w:tcMar>
              <w:top w:w="15" w:type="dxa"/>
              <w:left w:w="15" w:type="dxa"/>
              <w:bottom w:w="0" w:type="dxa"/>
              <w:right w:w="15" w:type="dxa"/>
            </w:tcMar>
            <w:vAlign w:val="center"/>
          </w:tcPr>
          <w:p w14:paraId="4DC8E1D5" w14:textId="77777777" w:rsidR="002E474C" w:rsidRDefault="00000000">
            <w:pPr>
              <w:pStyle w:val="A-"/>
            </w:pPr>
            <w:r>
              <w:t>装置</w:t>
            </w:r>
          </w:p>
        </w:tc>
        <w:tc>
          <w:tcPr>
            <w:tcW w:w="408" w:type="pct"/>
            <w:vMerge w:val="restart"/>
            <w:shd w:val="clear" w:color="auto" w:fill="auto"/>
            <w:noWrap/>
            <w:tcMar>
              <w:top w:w="15" w:type="dxa"/>
              <w:left w:w="15" w:type="dxa"/>
              <w:bottom w:w="0" w:type="dxa"/>
              <w:right w:w="15" w:type="dxa"/>
            </w:tcMar>
            <w:vAlign w:val="center"/>
          </w:tcPr>
          <w:p w14:paraId="2E8C97F3" w14:textId="77777777" w:rsidR="002E474C" w:rsidRDefault="00000000">
            <w:pPr>
              <w:pStyle w:val="A-"/>
            </w:pPr>
            <w:r>
              <w:t>污染源</w:t>
            </w:r>
          </w:p>
        </w:tc>
        <w:tc>
          <w:tcPr>
            <w:tcW w:w="289" w:type="pct"/>
            <w:vMerge w:val="restart"/>
            <w:shd w:val="clear" w:color="auto" w:fill="auto"/>
            <w:noWrap/>
            <w:tcMar>
              <w:top w:w="15" w:type="dxa"/>
              <w:left w:w="15" w:type="dxa"/>
              <w:bottom w:w="0" w:type="dxa"/>
              <w:right w:w="15" w:type="dxa"/>
            </w:tcMar>
            <w:vAlign w:val="center"/>
          </w:tcPr>
          <w:p w14:paraId="62AE0A82" w14:textId="77777777" w:rsidR="002E474C" w:rsidRDefault="00000000">
            <w:pPr>
              <w:pStyle w:val="A-"/>
            </w:pPr>
            <w:r>
              <w:t>污染物</w:t>
            </w:r>
          </w:p>
        </w:tc>
        <w:tc>
          <w:tcPr>
            <w:tcW w:w="492" w:type="pct"/>
            <w:vMerge w:val="restart"/>
            <w:shd w:val="clear" w:color="auto" w:fill="auto"/>
            <w:vAlign w:val="center"/>
          </w:tcPr>
          <w:p w14:paraId="49D61722" w14:textId="77777777" w:rsidR="002E474C" w:rsidRDefault="00000000">
            <w:pPr>
              <w:pStyle w:val="A-"/>
            </w:pPr>
            <w:r>
              <w:t>废气量（</w:t>
            </w:r>
            <w:r>
              <w:t>m</w:t>
            </w:r>
            <w:r>
              <w:rPr>
                <w:vertAlign w:val="superscript"/>
              </w:rPr>
              <w:t>3</w:t>
            </w:r>
            <w:r>
              <w:t>/h</w:t>
            </w:r>
            <w:r>
              <w:t>）</w:t>
            </w:r>
          </w:p>
        </w:tc>
        <w:tc>
          <w:tcPr>
            <w:tcW w:w="1191" w:type="pct"/>
            <w:gridSpan w:val="2"/>
            <w:shd w:val="clear" w:color="auto" w:fill="auto"/>
            <w:noWrap/>
            <w:tcMar>
              <w:top w:w="15" w:type="dxa"/>
              <w:left w:w="15" w:type="dxa"/>
              <w:bottom w:w="0" w:type="dxa"/>
              <w:right w:w="15" w:type="dxa"/>
            </w:tcMar>
            <w:vAlign w:val="center"/>
          </w:tcPr>
          <w:p w14:paraId="3542617F" w14:textId="77777777" w:rsidR="002E474C" w:rsidRDefault="00000000">
            <w:pPr>
              <w:pStyle w:val="A-"/>
            </w:pPr>
            <w:r>
              <w:t>污染物产生</w:t>
            </w:r>
          </w:p>
        </w:tc>
        <w:tc>
          <w:tcPr>
            <w:tcW w:w="768" w:type="pct"/>
            <w:gridSpan w:val="2"/>
            <w:shd w:val="clear" w:color="auto" w:fill="auto"/>
            <w:noWrap/>
            <w:tcMar>
              <w:top w:w="15" w:type="dxa"/>
              <w:left w:w="15" w:type="dxa"/>
              <w:bottom w:w="0" w:type="dxa"/>
              <w:right w:w="15" w:type="dxa"/>
            </w:tcMar>
            <w:vAlign w:val="center"/>
          </w:tcPr>
          <w:p w14:paraId="4EA31F6D" w14:textId="77777777" w:rsidR="002E474C" w:rsidRDefault="00000000">
            <w:pPr>
              <w:pStyle w:val="A-"/>
            </w:pPr>
            <w:r>
              <w:t>治理措施</w:t>
            </w:r>
          </w:p>
        </w:tc>
        <w:tc>
          <w:tcPr>
            <w:tcW w:w="1107" w:type="pct"/>
            <w:gridSpan w:val="2"/>
            <w:shd w:val="clear" w:color="auto" w:fill="auto"/>
            <w:vAlign w:val="center"/>
          </w:tcPr>
          <w:p w14:paraId="62F96DB7" w14:textId="77777777" w:rsidR="002E474C" w:rsidRDefault="00000000">
            <w:pPr>
              <w:pStyle w:val="A-"/>
            </w:pPr>
            <w:r>
              <w:t>污染物排放</w:t>
            </w:r>
          </w:p>
        </w:tc>
        <w:tc>
          <w:tcPr>
            <w:tcW w:w="310" w:type="pct"/>
            <w:vMerge w:val="restart"/>
            <w:shd w:val="clear" w:color="auto" w:fill="auto"/>
            <w:tcMar>
              <w:top w:w="15" w:type="dxa"/>
              <w:left w:w="15" w:type="dxa"/>
              <w:bottom w:w="0" w:type="dxa"/>
              <w:right w:w="15" w:type="dxa"/>
            </w:tcMar>
            <w:vAlign w:val="center"/>
          </w:tcPr>
          <w:p w14:paraId="15F2EC82" w14:textId="77777777" w:rsidR="002E474C" w:rsidRDefault="00000000">
            <w:pPr>
              <w:pStyle w:val="A-"/>
            </w:pPr>
            <w:r>
              <w:t>排放时间</w:t>
            </w:r>
            <w:r>
              <w:t>/h</w:t>
            </w:r>
          </w:p>
        </w:tc>
      </w:tr>
      <w:tr w:rsidR="002E474C" w14:paraId="4280339F" w14:textId="77777777">
        <w:trPr>
          <w:trHeight w:val="615"/>
          <w:jc w:val="center"/>
        </w:trPr>
        <w:tc>
          <w:tcPr>
            <w:tcW w:w="435" w:type="pct"/>
            <w:vMerge/>
            <w:shd w:val="clear" w:color="auto" w:fill="auto"/>
            <w:vAlign w:val="center"/>
          </w:tcPr>
          <w:p w14:paraId="68FC3B03" w14:textId="77777777" w:rsidR="002E474C" w:rsidRDefault="002E474C">
            <w:pPr>
              <w:pStyle w:val="A-"/>
            </w:pPr>
          </w:p>
        </w:tc>
        <w:tc>
          <w:tcPr>
            <w:tcW w:w="408" w:type="pct"/>
            <w:vMerge/>
            <w:shd w:val="clear" w:color="auto" w:fill="auto"/>
            <w:vAlign w:val="center"/>
          </w:tcPr>
          <w:p w14:paraId="2F70CBE4" w14:textId="77777777" w:rsidR="002E474C" w:rsidRDefault="002E474C">
            <w:pPr>
              <w:pStyle w:val="A-"/>
            </w:pPr>
          </w:p>
        </w:tc>
        <w:tc>
          <w:tcPr>
            <w:tcW w:w="289" w:type="pct"/>
            <w:vMerge/>
            <w:shd w:val="clear" w:color="auto" w:fill="auto"/>
            <w:vAlign w:val="center"/>
          </w:tcPr>
          <w:p w14:paraId="154AAF97" w14:textId="77777777" w:rsidR="002E474C" w:rsidRDefault="002E474C">
            <w:pPr>
              <w:pStyle w:val="A-"/>
            </w:pPr>
          </w:p>
        </w:tc>
        <w:tc>
          <w:tcPr>
            <w:tcW w:w="492" w:type="pct"/>
            <w:vMerge/>
            <w:shd w:val="clear" w:color="auto" w:fill="auto"/>
            <w:vAlign w:val="center"/>
          </w:tcPr>
          <w:p w14:paraId="6D3EEB73" w14:textId="77777777" w:rsidR="002E474C" w:rsidRDefault="002E474C">
            <w:pPr>
              <w:pStyle w:val="A-"/>
            </w:pPr>
          </w:p>
        </w:tc>
        <w:tc>
          <w:tcPr>
            <w:tcW w:w="595" w:type="pct"/>
            <w:shd w:val="clear" w:color="auto" w:fill="auto"/>
            <w:tcMar>
              <w:top w:w="15" w:type="dxa"/>
              <w:left w:w="15" w:type="dxa"/>
              <w:bottom w:w="0" w:type="dxa"/>
              <w:right w:w="15" w:type="dxa"/>
            </w:tcMar>
            <w:vAlign w:val="center"/>
          </w:tcPr>
          <w:p w14:paraId="21DB9271" w14:textId="77777777" w:rsidR="002E474C" w:rsidRDefault="00000000">
            <w:pPr>
              <w:pStyle w:val="A-"/>
            </w:pPr>
            <w:r>
              <w:t>产生浓度</w:t>
            </w:r>
          </w:p>
          <w:p w14:paraId="7F8DAFAC" w14:textId="77777777" w:rsidR="002E474C" w:rsidRDefault="00000000">
            <w:pPr>
              <w:pStyle w:val="A-"/>
            </w:pPr>
            <w:r>
              <w:t>（</w:t>
            </w:r>
            <w:r>
              <w:t>mg/m</w:t>
            </w:r>
            <w:r>
              <w:rPr>
                <w:vertAlign w:val="superscript"/>
              </w:rPr>
              <w:t>3</w:t>
            </w:r>
            <w:r>
              <w:t>）</w:t>
            </w:r>
          </w:p>
        </w:tc>
        <w:tc>
          <w:tcPr>
            <w:tcW w:w="596" w:type="pct"/>
            <w:shd w:val="clear" w:color="auto" w:fill="auto"/>
            <w:tcMar>
              <w:top w:w="15" w:type="dxa"/>
              <w:left w:w="15" w:type="dxa"/>
              <w:bottom w:w="0" w:type="dxa"/>
              <w:right w:w="15" w:type="dxa"/>
            </w:tcMar>
            <w:vAlign w:val="center"/>
          </w:tcPr>
          <w:p w14:paraId="79994348" w14:textId="77777777" w:rsidR="002E474C" w:rsidRDefault="00000000">
            <w:pPr>
              <w:pStyle w:val="A-"/>
            </w:pPr>
            <w:r>
              <w:t>产生速率（</w:t>
            </w:r>
            <w:r>
              <w:t>kg/h</w:t>
            </w:r>
            <w:r>
              <w:t>）</w:t>
            </w:r>
          </w:p>
        </w:tc>
        <w:tc>
          <w:tcPr>
            <w:tcW w:w="425" w:type="pct"/>
            <w:shd w:val="clear" w:color="auto" w:fill="auto"/>
            <w:noWrap/>
            <w:tcMar>
              <w:top w:w="15" w:type="dxa"/>
              <w:left w:w="15" w:type="dxa"/>
              <w:bottom w:w="0" w:type="dxa"/>
              <w:right w:w="15" w:type="dxa"/>
            </w:tcMar>
            <w:vAlign w:val="center"/>
          </w:tcPr>
          <w:p w14:paraId="07B70D48" w14:textId="77777777" w:rsidR="002E474C" w:rsidRDefault="00000000">
            <w:pPr>
              <w:pStyle w:val="A-"/>
            </w:pPr>
            <w:r>
              <w:t>工艺</w:t>
            </w:r>
          </w:p>
        </w:tc>
        <w:tc>
          <w:tcPr>
            <w:tcW w:w="343" w:type="pct"/>
            <w:shd w:val="clear" w:color="auto" w:fill="auto"/>
            <w:noWrap/>
            <w:tcMar>
              <w:top w:w="15" w:type="dxa"/>
              <w:left w:w="15" w:type="dxa"/>
              <w:bottom w:w="0" w:type="dxa"/>
              <w:right w:w="15" w:type="dxa"/>
            </w:tcMar>
            <w:vAlign w:val="center"/>
          </w:tcPr>
          <w:p w14:paraId="14853AD5" w14:textId="77777777" w:rsidR="002E474C" w:rsidRDefault="00000000">
            <w:pPr>
              <w:pStyle w:val="A-"/>
            </w:pPr>
            <w:r>
              <w:t>效率</w:t>
            </w:r>
            <w:r>
              <w:t>/%</w:t>
            </w:r>
          </w:p>
        </w:tc>
        <w:tc>
          <w:tcPr>
            <w:tcW w:w="597" w:type="pct"/>
            <w:shd w:val="clear" w:color="auto" w:fill="auto"/>
            <w:tcMar>
              <w:top w:w="15" w:type="dxa"/>
              <w:left w:w="15" w:type="dxa"/>
              <w:bottom w:w="0" w:type="dxa"/>
              <w:right w:w="15" w:type="dxa"/>
            </w:tcMar>
            <w:vAlign w:val="center"/>
          </w:tcPr>
          <w:p w14:paraId="562EAF48" w14:textId="77777777" w:rsidR="002E474C" w:rsidRDefault="00000000">
            <w:pPr>
              <w:pStyle w:val="A-"/>
            </w:pPr>
            <w:r>
              <w:t>排放浓度（</w:t>
            </w:r>
            <w:r>
              <w:t>mg/m</w:t>
            </w:r>
            <w:r>
              <w:rPr>
                <w:vertAlign w:val="superscript"/>
              </w:rPr>
              <w:t>3</w:t>
            </w:r>
            <w:r>
              <w:t>）</w:t>
            </w:r>
          </w:p>
        </w:tc>
        <w:tc>
          <w:tcPr>
            <w:tcW w:w="510" w:type="pct"/>
            <w:shd w:val="clear" w:color="auto" w:fill="auto"/>
            <w:tcMar>
              <w:top w:w="15" w:type="dxa"/>
              <w:left w:w="15" w:type="dxa"/>
              <w:bottom w:w="0" w:type="dxa"/>
              <w:right w:w="15" w:type="dxa"/>
            </w:tcMar>
            <w:vAlign w:val="center"/>
          </w:tcPr>
          <w:p w14:paraId="580735F2" w14:textId="77777777" w:rsidR="002E474C" w:rsidRDefault="00000000">
            <w:pPr>
              <w:pStyle w:val="A-"/>
            </w:pPr>
            <w:r>
              <w:t>排放速率（</w:t>
            </w:r>
            <w:r>
              <w:t>kg/h</w:t>
            </w:r>
            <w:r>
              <w:t>）</w:t>
            </w:r>
          </w:p>
        </w:tc>
        <w:tc>
          <w:tcPr>
            <w:tcW w:w="310" w:type="pct"/>
            <w:vMerge/>
            <w:shd w:val="clear" w:color="auto" w:fill="auto"/>
            <w:vAlign w:val="center"/>
          </w:tcPr>
          <w:p w14:paraId="27AD681F" w14:textId="77777777" w:rsidR="002E474C" w:rsidRDefault="002E474C">
            <w:pPr>
              <w:pStyle w:val="A-"/>
            </w:pPr>
          </w:p>
        </w:tc>
      </w:tr>
      <w:tr w:rsidR="002E474C" w14:paraId="0D04833A" w14:textId="77777777">
        <w:trPr>
          <w:trHeight w:val="285"/>
          <w:jc w:val="center"/>
        </w:trPr>
        <w:tc>
          <w:tcPr>
            <w:tcW w:w="435" w:type="pct"/>
            <w:vMerge w:val="restart"/>
            <w:shd w:val="clear" w:color="auto" w:fill="auto"/>
            <w:tcMar>
              <w:top w:w="15" w:type="dxa"/>
              <w:left w:w="15" w:type="dxa"/>
              <w:bottom w:w="0" w:type="dxa"/>
              <w:right w:w="15" w:type="dxa"/>
            </w:tcMar>
            <w:vAlign w:val="center"/>
          </w:tcPr>
          <w:p w14:paraId="4B4923BE" w14:textId="77777777" w:rsidR="002E474C" w:rsidRDefault="00000000">
            <w:pPr>
              <w:pStyle w:val="A-"/>
            </w:pPr>
            <w:r>
              <w:t>危废贮存库与固态危废预处理车间</w:t>
            </w:r>
          </w:p>
        </w:tc>
        <w:tc>
          <w:tcPr>
            <w:tcW w:w="408" w:type="pct"/>
            <w:vMerge w:val="restart"/>
            <w:shd w:val="clear" w:color="auto" w:fill="auto"/>
            <w:tcMar>
              <w:top w:w="15" w:type="dxa"/>
              <w:left w:w="15" w:type="dxa"/>
              <w:bottom w:w="0" w:type="dxa"/>
              <w:right w:w="15" w:type="dxa"/>
            </w:tcMar>
            <w:vAlign w:val="center"/>
          </w:tcPr>
          <w:p w14:paraId="4FED06B7" w14:textId="77777777" w:rsidR="002E474C" w:rsidRDefault="00000000">
            <w:pPr>
              <w:pStyle w:val="A-"/>
            </w:pPr>
            <w:r>
              <w:t>固态危废预处理车间排气筒</w:t>
            </w:r>
            <w:r>
              <w:t>DA001</w:t>
            </w:r>
          </w:p>
        </w:tc>
        <w:tc>
          <w:tcPr>
            <w:tcW w:w="289" w:type="pct"/>
            <w:shd w:val="clear" w:color="auto" w:fill="auto"/>
            <w:noWrap/>
            <w:tcMar>
              <w:top w:w="15" w:type="dxa"/>
              <w:left w:w="15" w:type="dxa"/>
              <w:bottom w:w="0" w:type="dxa"/>
              <w:right w:w="15" w:type="dxa"/>
            </w:tcMar>
            <w:vAlign w:val="center"/>
          </w:tcPr>
          <w:p w14:paraId="53277A63" w14:textId="77777777" w:rsidR="002E474C" w:rsidRDefault="00000000">
            <w:pPr>
              <w:pStyle w:val="A-"/>
            </w:pPr>
            <w:r>
              <w:t>H</w:t>
            </w:r>
            <w:r>
              <w:rPr>
                <w:vertAlign w:val="subscript"/>
              </w:rPr>
              <w:t>2</w:t>
            </w:r>
            <w:r>
              <w:t>S</w:t>
            </w:r>
          </w:p>
        </w:tc>
        <w:tc>
          <w:tcPr>
            <w:tcW w:w="492" w:type="pct"/>
            <w:vMerge w:val="restart"/>
            <w:shd w:val="clear" w:color="auto" w:fill="auto"/>
            <w:vAlign w:val="center"/>
          </w:tcPr>
          <w:p w14:paraId="2C8F14FD" w14:textId="77777777" w:rsidR="002E474C" w:rsidRDefault="00000000">
            <w:pPr>
              <w:pStyle w:val="A-"/>
            </w:pPr>
            <w:r>
              <w:t>15000</w:t>
            </w:r>
          </w:p>
        </w:tc>
        <w:tc>
          <w:tcPr>
            <w:tcW w:w="595" w:type="pct"/>
            <w:shd w:val="clear" w:color="auto" w:fill="auto"/>
            <w:noWrap/>
            <w:tcMar>
              <w:top w:w="15" w:type="dxa"/>
              <w:left w:w="15" w:type="dxa"/>
              <w:bottom w:w="0" w:type="dxa"/>
              <w:right w:w="15" w:type="dxa"/>
            </w:tcMar>
            <w:vAlign w:val="center"/>
          </w:tcPr>
          <w:p w14:paraId="0824EC67" w14:textId="77777777" w:rsidR="002E474C" w:rsidRDefault="00000000">
            <w:pPr>
              <w:pStyle w:val="A-"/>
            </w:pPr>
            <w:r>
              <w:t>3</w:t>
            </w:r>
            <w:r>
              <w:rPr>
                <w:rFonts w:hint="eastAsia"/>
              </w:rPr>
              <w:t>.1</w:t>
            </w:r>
          </w:p>
        </w:tc>
        <w:tc>
          <w:tcPr>
            <w:tcW w:w="596" w:type="pct"/>
            <w:shd w:val="clear" w:color="auto" w:fill="auto"/>
            <w:noWrap/>
            <w:tcMar>
              <w:top w:w="15" w:type="dxa"/>
              <w:left w:w="15" w:type="dxa"/>
              <w:bottom w:w="0" w:type="dxa"/>
              <w:right w:w="15" w:type="dxa"/>
            </w:tcMar>
            <w:vAlign w:val="center"/>
          </w:tcPr>
          <w:p w14:paraId="0B8DF1A1" w14:textId="77777777" w:rsidR="002E474C" w:rsidRDefault="00000000">
            <w:pPr>
              <w:pStyle w:val="A-"/>
            </w:pPr>
            <w:r>
              <w:t xml:space="preserve">0.047 </w:t>
            </w:r>
          </w:p>
        </w:tc>
        <w:tc>
          <w:tcPr>
            <w:tcW w:w="425" w:type="pct"/>
            <w:vMerge w:val="restart"/>
            <w:shd w:val="clear" w:color="auto" w:fill="auto"/>
            <w:tcMar>
              <w:top w:w="15" w:type="dxa"/>
              <w:left w:w="15" w:type="dxa"/>
              <w:bottom w:w="0" w:type="dxa"/>
              <w:right w:w="15" w:type="dxa"/>
            </w:tcMar>
            <w:vAlign w:val="center"/>
          </w:tcPr>
          <w:p w14:paraId="5F7B6888" w14:textId="77777777" w:rsidR="002E474C" w:rsidRDefault="00000000">
            <w:pPr>
              <w:pStyle w:val="A-"/>
            </w:pPr>
            <w:r>
              <w:t>活性炭吸附降效</w:t>
            </w:r>
          </w:p>
        </w:tc>
        <w:tc>
          <w:tcPr>
            <w:tcW w:w="343" w:type="pct"/>
            <w:shd w:val="clear" w:color="auto" w:fill="auto"/>
            <w:noWrap/>
            <w:tcMar>
              <w:top w:w="15" w:type="dxa"/>
              <w:left w:w="15" w:type="dxa"/>
              <w:bottom w:w="0" w:type="dxa"/>
              <w:right w:w="15" w:type="dxa"/>
            </w:tcMar>
            <w:vAlign w:val="center"/>
          </w:tcPr>
          <w:p w14:paraId="1C660858" w14:textId="77777777" w:rsidR="002E474C" w:rsidRDefault="00000000">
            <w:pPr>
              <w:pStyle w:val="A-"/>
            </w:pPr>
            <w:r>
              <w:t>45</w:t>
            </w:r>
          </w:p>
        </w:tc>
        <w:tc>
          <w:tcPr>
            <w:tcW w:w="597" w:type="pct"/>
            <w:shd w:val="clear" w:color="auto" w:fill="auto"/>
            <w:noWrap/>
            <w:tcMar>
              <w:top w:w="15" w:type="dxa"/>
              <w:left w:w="15" w:type="dxa"/>
              <w:bottom w:w="0" w:type="dxa"/>
              <w:right w:w="15" w:type="dxa"/>
            </w:tcMar>
            <w:vAlign w:val="center"/>
          </w:tcPr>
          <w:p w14:paraId="115AD0C4" w14:textId="77777777" w:rsidR="002E474C" w:rsidRDefault="00000000">
            <w:pPr>
              <w:pStyle w:val="A-"/>
            </w:pPr>
            <w:r>
              <w:t xml:space="preserve">1.7 </w:t>
            </w:r>
          </w:p>
        </w:tc>
        <w:tc>
          <w:tcPr>
            <w:tcW w:w="510" w:type="pct"/>
            <w:shd w:val="clear" w:color="auto" w:fill="auto"/>
            <w:noWrap/>
            <w:tcMar>
              <w:top w:w="15" w:type="dxa"/>
              <w:left w:w="15" w:type="dxa"/>
              <w:bottom w:w="0" w:type="dxa"/>
              <w:right w:w="15" w:type="dxa"/>
            </w:tcMar>
            <w:vAlign w:val="center"/>
          </w:tcPr>
          <w:p w14:paraId="6407BCE7" w14:textId="77777777" w:rsidR="002E474C" w:rsidRDefault="00000000">
            <w:pPr>
              <w:pStyle w:val="A-"/>
            </w:pPr>
            <w:r>
              <w:t xml:space="preserve">0.026 </w:t>
            </w:r>
          </w:p>
        </w:tc>
        <w:tc>
          <w:tcPr>
            <w:tcW w:w="310" w:type="pct"/>
            <w:shd w:val="clear" w:color="auto" w:fill="auto"/>
            <w:noWrap/>
            <w:tcMar>
              <w:top w:w="15" w:type="dxa"/>
              <w:left w:w="15" w:type="dxa"/>
              <w:bottom w:w="0" w:type="dxa"/>
              <w:right w:w="15" w:type="dxa"/>
            </w:tcMar>
            <w:vAlign w:val="center"/>
          </w:tcPr>
          <w:p w14:paraId="17E6D19F" w14:textId="77777777" w:rsidR="002E474C" w:rsidRDefault="00000000">
            <w:pPr>
              <w:pStyle w:val="A-"/>
            </w:pPr>
            <w:r>
              <w:t>720</w:t>
            </w:r>
          </w:p>
        </w:tc>
      </w:tr>
      <w:tr w:rsidR="002E474C" w14:paraId="5191A75F" w14:textId="77777777">
        <w:trPr>
          <w:trHeight w:val="285"/>
          <w:jc w:val="center"/>
        </w:trPr>
        <w:tc>
          <w:tcPr>
            <w:tcW w:w="435" w:type="pct"/>
            <w:vMerge/>
            <w:shd w:val="clear" w:color="auto" w:fill="auto"/>
            <w:vAlign w:val="center"/>
          </w:tcPr>
          <w:p w14:paraId="012AFFF9" w14:textId="77777777" w:rsidR="002E474C" w:rsidRDefault="002E474C">
            <w:pPr>
              <w:pStyle w:val="A-"/>
            </w:pPr>
          </w:p>
        </w:tc>
        <w:tc>
          <w:tcPr>
            <w:tcW w:w="408" w:type="pct"/>
            <w:vMerge/>
            <w:shd w:val="clear" w:color="auto" w:fill="auto"/>
            <w:vAlign w:val="center"/>
          </w:tcPr>
          <w:p w14:paraId="69AA93E6" w14:textId="77777777" w:rsidR="002E474C" w:rsidRDefault="002E474C">
            <w:pPr>
              <w:pStyle w:val="A-"/>
            </w:pPr>
          </w:p>
        </w:tc>
        <w:tc>
          <w:tcPr>
            <w:tcW w:w="289" w:type="pct"/>
            <w:shd w:val="clear" w:color="auto" w:fill="auto"/>
            <w:noWrap/>
            <w:tcMar>
              <w:top w:w="15" w:type="dxa"/>
              <w:left w:w="15" w:type="dxa"/>
              <w:bottom w:w="0" w:type="dxa"/>
              <w:right w:w="15" w:type="dxa"/>
            </w:tcMar>
            <w:vAlign w:val="center"/>
          </w:tcPr>
          <w:p w14:paraId="4FF8D158" w14:textId="77777777" w:rsidR="002E474C" w:rsidRDefault="00000000">
            <w:pPr>
              <w:pStyle w:val="A-"/>
            </w:pPr>
            <w:r>
              <w:t>NH</w:t>
            </w:r>
            <w:r>
              <w:rPr>
                <w:vertAlign w:val="subscript"/>
              </w:rPr>
              <w:t>3</w:t>
            </w:r>
          </w:p>
        </w:tc>
        <w:tc>
          <w:tcPr>
            <w:tcW w:w="492" w:type="pct"/>
            <w:vMerge/>
            <w:shd w:val="clear" w:color="auto" w:fill="auto"/>
            <w:vAlign w:val="center"/>
          </w:tcPr>
          <w:p w14:paraId="17840CC4"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3FEA6EFB" w14:textId="77777777" w:rsidR="002E474C" w:rsidRDefault="00000000">
            <w:pPr>
              <w:pStyle w:val="A-"/>
            </w:pPr>
            <w:r>
              <w:t>38</w:t>
            </w:r>
            <w:r>
              <w:rPr>
                <w:rFonts w:hint="eastAsia"/>
              </w:rPr>
              <w:t>.3</w:t>
            </w:r>
          </w:p>
        </w:tc>
        <w:tc>
          <w:tcPr>
            <w:tcW w:w="596" w:type="pct"/>
            <w:shd w:val="clear" w:color="auto" w:fill="auto"/>
            <w:noWrap/>
            <w:tcMar>
              <w:top w:w="15" w:type="dxa"/>
              <w:left w:w="15" w:type="dxa"/>
              <w:bottom w:w="0" w:type="dxa"/>
              <w:right w:w="15" w:type="dxa"/>
            </w:tcMar>
            <w:vAlign w:val="center"/>
          </w:tcPr>
          <w:p w14:paraId="1FB05A5E" w14:textId="77777777" w:rsidR="002E474C" w:rsidRDefault="00000000">
            <w:pPr>
              <w:pStyle w:val="A-"/>
            </w:pPr>
            <w:r>
              <w:t>0.575</w:t>
            </w:r>
          </w:p>
        </w:tc>
        <w:tc>
          <w:tcPr>
            <w:tcW w:w="425" w:type="pct"/>
            <w:vMerge/>
            <w:shd w:val="clear" w:color="auto" w:fill="auto"/>
            <w:vAlign w:val="center"/>
          </w:tcPr>
          <w:p w14:paraId="4B87910E" w14:textId="77777777" w:rsidR="002E474C" w:rsidRDefault="002E474C">
            <w:pPr>
              <w:pStyle w:val="A-"/>
            </w:pPr>
          </w:p>
        </w:tc>
        <w:tc>
          <w:tcPr>
            <w:tcW w:w="343" w:type="pct"/>
            <w:shd w:val="clear" w:color="auto" w:fill="auto"/>
            <w:noWrap/>
            <w:tcMar>
              <w:top w:w="15" w:type="dxa"/>
              <w:left w:w="15" w:type="dxa"/>
              <w:bottom w:w="0" w:type="dxa"/>
              <w:right w:w="15" w:type="dxa"/>
            </w:tcMar>
            <w:vAlign w:val="center"/>
          </w:tcPr>
          <w:p w14:paraId="2AD495D0" w14:textId="77777777" w:rsidR="002E474C" w:rsidRDefault="00000000">
            <w:pPr>
              <w:pStyle w:val="A-"/>
            </w:pPr>
            <w:r>
              <w:t>45</w:t>
            </w:r>
          </w:p>
        </w:tc>
        <w:tc>
          <w:tcPr>
            <w:tcW w:w="597" w:type="pct"/>
            <w:shd w:val="clear" w:color="auto" w:fill="auto"/>
            <w:noWrap/>
            <w:tcMar>
              <w:top w:w="15" w:type="dxa"/>
              <w:left w:w="15" w:type="dxa"/>
              <w:bottom w:w="0" w:type="dxa"/>
              <w:right w:w="15" w:type="dxa"/>
            </w:tcMar>
            <w:vAlign w:val="center"/>
          </w:tcPr>
          <w:p w14:paraId="38840A3B" w14:textId="77777777" w:rsidR="002E474C" w:rsidRDefault="00000000">
            <w:pPr>
              <w:pStyle w:val="A-"/>
            </w:pPr>
            <w:r>
              <w:t xml:space="preserve">21.1 </w:t>
            </w:r>
          </w:p>
        </w:tc>
        <w:tc>
          <w:tcPr>
            <w:tcW w:w="510" w:type="pct"/>
            <w:shd w:val="clear" w:color="auto" w:fill="auto"/>
            <w:noWrap/>
            <w:tcMar>
              <w:top w:w="15" w:type="dxa"/>
              <w:left w:w="15" w:type="dxa"/>
              <w:bottom w:w="0" w:type="dxa"/>
              <w:right w:w="15" w:type="dxa"/>
            </w:tcMar>
            <w:vAlign w:val="center"/>
          </w:tcPr>
          <w:p w14:paraId="3C893FB8" w14:textId="77777777" w:rsidR="002E474C" w:rsidRDefault="00000000">
            <w:pPr>
              <w:pStyle w:val="A-"/>
            </w:pPr>
            <w:r>
              <w:t xml:space="preserve">0.316 </w:t>
            </w:r>
          </w:p>
        </w:tc>
        <w:tc>
          <w:tcPr>
            <w:tcW w:w="310" w:type="pct"/>
            <w:shd w:val="clear" w:color="auto" w:fill="auto"/>
            <w:noWrap/>
            <w:tcMar>
              <w:top w:w="15" w:type="dxa"/>
              <w:left w:w="15" w:type="dxa"/>
              <w:bottom w:w="0" w:type="dxa"/>
              <w:right w:w="15" w:type="dxa"/>
            </w:tcMar>
            <w:vAlign w:val="center"/>
          </w:tcPr>
          <w:p w14:paraId="785E37DA" w14:textId="77777777" w:rsidR="002E474C" w:rsidRDefault="00000000">
            <w:pPr>
              <w:pStyle w:val="A-"/>
            </w:pPr>
            <w:r>
              <w:t>720</w:t>
            </w:r>
          </w:p>
        </w:tc>
      </w:tr>
      <w:tr w:rsidR="002E474C" w14:paraId="159FAEB7" w14:textId="77777777">
        <w:trPr>
          <w:trHeight w:val="285"/>
          <w:jc w:val="center"/>
        </w:trPr>
        <w:tc>
          <w:tcPr>
            <w:tcW w:w="435" w:type="pct"/>
            <w:vMerge/>
            <w:shd w:val="clear" w:color="auto" w:fill="auto"/>
            <w:vAlign w:val="center"/>
          </w:tcPr>
          <w:p w14:paraId="5BCEC70B" w14:textId="77777777" w:rsidR="002E474C" w:rsidRDefault="002E474C">
            <w:pPr>
              <w:pStyle w:val="A-"/>
            </w:pPr>
          </w:p>
        </w:tc>
        <w:tc>
          <w:tcPr>
            <w:tcW w:w="408" w:type="pct"/>
            <w:vMerge/>
            <w:shd w:val="clear" w:color="auto" w:fill="auto"/>
            <w:vAlign w:val="center"/>
          </w:tcPr>
          <w:p w14:paraId="26B6E18A" w14:textId="77777777" w:rsidR="002E474C" w:rsidRDefault="002E474C">
            <w:pPr>
              <w:pStyle w:val="A-"/>
            </w:pPr>
          </w:p>
        </w:tc>
        <w:tc>
          <w:tcPr>
            <w:tcW w:w="289" w:type="pct"/>
            <w:shd w:val="clear" w:color="auto" w:fill="auto"/>
            <w:noWrap/>
            <w:tcMar>
              <w:top w:w="15" w:type="dxa"/>
              <w:left w:w="15" w:type="dxa"/>
              <w:bottom w:w="0" w:type="dxa"/>
              <w:right w:w="15" w:type="dxa"/>
            </w:tcMar>
            <w:vAlign w:val="center"/>
          </w:tcPr>
          <w:p w14:paraId="50F73E3A" w14:textId="77777777" w:rsidR="002E474C" w:rsidRDefault="00000000">
            <w:pPr>
              <w:pStyle w:val="A-"/>
            </w:pPr>
            <w:r>
              <w:t>NMHC</w:t>
            </w:r>
          </w:p>
        </w:tc>
        <w:tc>
          <w:tcPr>
            <w:tcW w:w="492" w:type="pct"/>
            <w:vMerge/>
            <w:shd w:val="clear" w:color="auto" w:fill="auto"/>
            <w:vAlign w:val="center"/>
          </w:tcPr>
          <w:p w14:paraId="381B21C5" w14:textId="77777777" w:rsidR="002E474C" w:rsidRDefault="002E474C">
            <w:pPr>
              <w:pStyle w:val="A-"/>
            </w:pPr>
          </w:p>
        </w:tc>
        <w:tc>
          <w:tcPr>
            <w:tcW w:w="595" w:type="pct"/>
            <w:shd w:val="clear" w:color="auto" w:fill="auto"/>
            <w:noWrap/>
            <w:tcMar>
              <w:top w:w="15" w:type="dxa"/>
              <w:left w:w="15" w:type="dxa"/>
              <w:bottom w:w="0" w:type="dxa"/>
              <w:right w:w="15" w:type="dxa"/>
            </w:tcMar>
            <w:vAlign w:val="center"/>
          </w:tcPr>
          <w:p w14:paraId="03EB4F39" w14:textId="77777777" w:rsidR="002E474C" w:rsidRDefault="00000000">
            <w:pPr>
              <w:pStyle w:val="A-"/>
            </w:pPr>
            <w:r>
              <w:t xml:space="preserve">41.7 </w:t>
            </w:r>
          </w:p>
        </w:tc>
        <w:tc>
          <w:tcPr>
            <w:tcW w:w="596" w:type="pct"/>
            <w:shd w:val="clear" w:color="auto" w:fill="auto"/>
            <w:noWrap/>
            <w:tcMar>
              <w:top w:w="15" w:type="dxa"/>
              <w:left w:w="15" w:type="dxa"/>
              <w:bottom w:w="0" w:type="dxa"/>
              <w:right w:w="15" w:type="dxa"/>
            </w:tcMar>
            <w:vAlign w:val="center"/>
          </w:tcPr>
          <w:p w14:paraId="754AEA36" w14:textId="77777777" w:rsidR="002E474C" w:rsidRDefault="00000000">
            <w:pPr>
              <w:pStyle w:val="A-"/>
            </w:pPr>
            <w:r>
              <w:t>0.625</w:t>
            </w:r>
          </w:p>
        </w:tc>
        <w:tc>
          <w:tcPr>
            <w:tcW w:w="425" w:type="pct"/>
            <w:vMerge/>
            <w:shd w:val="clear" w:color="auto" w:fill="auto"/>
            <w:noWrap/>
            <w:tcMar>
              <w:top w:w="15" w:type="dxa"/>
              <w:left w:w="15" w:type="dxa"/>
              <w:bottom w:w="0" w:type="dxa"/>
              <w:right w:w="15" w:type="dxa"/>
            </w:tcMar>
            <w:vAlign w:val="center"/>
          </w:tcPr>
          <w:p w14:paraId="560815C6" w14:textId="77777777" w:rsidR="002E474C" w:rsidRDefault="002E474C">
            <w:pPr>
              <w:pStyle w:val="A-"/>
            </w:pPr>
          </w:p>
        </w:tc>
        <w:tc>
          <w:tcPr>
            <w:tcW w:w="343" w:type="pct"/>
            <w:shd w:val="clear" w:color="auto" w:fill="auto"/>
            <w:noWrap/>
            <w:tcMar>
              <w:top w:w="15" w:type="dxa"/>
              <w:left w:w="15" w:type="dxa"/>
              <w:bottom w:w="0" w:type="dxa"/>
              <w:right w:w="15" w:type="dxa"/>
            </w:tcMar>
            <w:vAlign w:val="center"/>
          </w:tcPr>
          <w:p w14:paraId="0F382606" w14:textId="77777777" w:rsidR="002E474C" w:rsidRDefault="00000000">
            <w:pPr>
              <w:pStyle w:val="A-"/>
            </w:pPr>
            <w:r>
              <w:t>45</w:t>
            </w:r>
          </w:p>
        </w:tc>
        <w:tc>
          <w:tcPr>
            <w:tcW w:w="597" w:type="pct"/>
            <w:shd w:val="clear" w:color="auto" w:fill="auto"/>
            <w:noWrap/>
            <w:tcMar>
              <w:top w:w="15" w:type="dxa"/>
              <w:left w:w="15" w:type="dxa"/>
              <w:bottom w:w="0" w:type="dxa"/>
              <w:right w:w="15" w:type="dxa"/>
            </w:tcMar>
            <w:vAlign w:val="center"/>
          </w:tcPr>
          <w:p w14:paraId="78176687" w14:textId="77777777" w:rsidR="002E474C" w:rsidRDefault="00000000">
            <w:pPr>
              <w:pStyle w:val="A-"/>
            </w:pPr>
            <w:r>
              <w:t>22.9</w:t>
            </w:r>
          </w:p>
        </w:tc>
        <w:tc>
          <w:tcPr>
            <w:tcW w:w="510" w:type="pct"/>
            <w:shd w:val="clear" w:color="auto" w:fill="auto"/>
            <w:noWrap/>
            <w:tcMar>
              <w:top w:w="15" w:type="dxa"/>
              <w:left w:w="15" w:type="dxa"/>
              <w:bottom w:w="0" w:type="dxa"/>
              <w:right w:w="15" w:type="dxa"/>
            </w:tcMar>
            <w:vAlign w:val="center"/>
          </w:tcPr>
          <w:p w14:paraId="34C54BA5" w14:textId="77777777" w:rsidR="002E474C" w:rsidRDefault="00000000">
            <w:pPr>
              <w:pStyle w:val="A-"/>
            </w:pPr>
            <w:r>
              <w:t xml:space="preserve">0.344 </w:t>
            </w:r>
          </w:p>
        </w:tc>
        <w:tc>
          <w:tcPr>
            <w:tcW w:w="310" w:type="pct"/>
            <w:shd w:val="clear" w:color="auto" w:fill="auto"/>
            <w:noWrap/>
            <w:tcMar>
              <w:top w:w="15" w:type="dxa"/>
              <w:left w:w="15" w:type="dxa"/>
              <w:bottom w:w="0" w:type="dxa"/>
              <w:right w:w="15" w:type="dxa"/>
            </w:tcMar>
            <w:vAlign w:val="center"/>
          </w:tcPr>
          <w:p w14:paraId="0FF3C380" w14:textId="77777777" w:rsidR="002E474C" w:rsidRDefault="00000000">
            <w:pPr>
              <w:pStyle w:val="A-"/>
            </w:pPr>
            <w:r>
              <w:t>720</w:t>
            </w:r>
          </w:p>
        </w:tc>
      </w:tr>
      <w:tr w:rsidR="002E474C" w14:paraId="63C1A53B" w14:textId="77777777">
        <w:trPr>
          <w:trHeight w:val="855"/>
          <w:jc w:val="center"/>
        </w:trPr>
        <w:tc>
          <w:tcPr>
            <w:tcW w:w="435" w:type="pct"/>
            <w:shd w:val="clear" w:color="auto" w:fill="auto"/>
            <w:tcMar>
              <w:top w:w="15" w:type="dxa"/>
              <w:left w:w="15" w:type="dxa"/>
              <w:bottom w:w="0" w:type="dxa"/>
              <w:right w:w="15" w:type="dxa"/>
            </w:tcMar>
            <w:vAlign w:val="center"/>
          </w:tcPr>
          <w:p w14:paraId="29FE5236" w14:textId="77777777" w:rsidR="002E474C" w:rsidRDefault="00000000">
            <w:pPr>
              <w:pStyle w:val="A-"/>
            </w:pPr>
            <w:r>
              <w:t>水泥窑及窑尾余热利用系统</w:t>
            </w:r>
          </w:p>
        </w:tc>
        <w:tc>
          <w:tcPr>
            <w:tcW w:w="408" w:type="pct"/>
            <w:shd w:val="clear" w:color="auto" w:fill="auto"/>
            <w:noWrap/>
            <w:tcMar>
              <w:top w:w="15" w:type="dxa"/>
              <w:left w:w="15" w:type="dxa"/>
              <w:bottom w:w="0" w:type="dxa"/>
              <w:right w:w="15" w:type="dxa"/>
            </w:tcMar>
            <w:vAlign w:val="center"/>
          </w:tcPr>
          <w:p w14:paraId="1CA4B025" w14:textId="77777777" w:rsidR="002E474C" w:rsidRDefault="00000000">
            <w:pPr>
              <w:pStyle w:val="A-"/>
            </w:pPr>
            <w:r>
              <w:t>窑尾</w:t>
            </w:r>
          </w:p>
          <w:p w14:paraId="75063CB3" w14:textId="77777777" w:rsidR="002E474C" w:rsidRDefault="00000000">
            <w:pPr>
              <w:pStyle w:val="A-"/>
            </w:pPr>
            <w:r>
              <w:t>烟囱</w:t>
            </w:r>
            <w:r>
              <w:t>DA030</w:t>
            </w:r>
          </w:p>
        </w:tc>
        <w:tc>
          <w:tcPr>
            <w:tcW w:w="289" w:type="pct"/>
            <w:shd w:val="clear" w:color="auto" w:fill="auto"/>
            <w:tcMar>
              <w:top w:w="15" w:type="dxa"/>
              <w:left w:w="15" w:type="dxa"/>
              <w:bottom w:w="0" w:type="dxa"/>
              <w:right w:w="15" w:type="dxa"/>
            </w:tcMar>
            <w:vAlign w:val="center"/>
          </w:tcPr>
          <w:p w14:paraId="0B53A740" w14:textId="77777777" w:rsidR="002E474C" w:rsidRDefault="00000000">
            <w:pPr>
              <w:pStyle w:val="A-"/>
            </w:pPr>
            <w:r>
              <w:t>二噁英类</w:t>
            </w:r>
          </w:p>
        </w:tc>
        <w:tc>
          <w:tcPr>
            <w:tcW w:w="492" w:type="pct"/>
            <w:shd w:val="clear" w:color="auto" w:fill="auto"/>
            <w:vAlign w:val="center"/>
          </w:tcPr>
          <w:p w14:paraId="2343FE6B" w14:textId="77777777" w:rsidR="002E474C" w:rsidRDefault="00000000">
            <w:pPr>
              <w:pStyle w:val="A-"/>
            </w:pPr>
            <w:r>
              <w:t>720314</w:t>
            </w:r>
          </w:p>
        </w:tc>
        <w:tc>
          <w:tcPr>
            <w:tcW w:w="595" w:type="pct"/>
            <w:shd w:val="clear" w:color="auto" w:fill="auto"/>
            <w:noWrap/>
            <w:tcMar>
              <w:top w:w="15" w:type="dxa"/>
              <w:left w:w="15" w:type="dxa"/>
              <w:bottom w:w="0" w:type="dxa"/>
              <w:right w:w="15" w:type="dxa"/>
            </w:tcMar>
            <w:vAlign w:val="center"/>
          </w:tcPr>
          <w:p w14:paraId="0284233F" w14:textId="77777777" w:rsidR="002E474C" w:rsidRDefault="00000000">
            <w:pPr>
              <w:pStyle w:val="A-"/>
            </w:pPr>
            <w:r>
              <w:t>10</w:t>
            </w:r>
            <w:r>
              <w:t>（</w:t>
            </w:r>
            <w:proofErr w:type="spellStart"/>
            <w:r>
              <w:t>ngTEQ</w:t>
            </w:r>
            <w:proofErr w:type="spellEnd"/>
            <w:r>
              <w:t>/Nm</w:t>
            </w:r>
            <w:r>
              <w:rPr>
                <w:vertAlign w:val="superscript"/>
              </w:rPr>
              <w:t>3</w:t>
            </w:r>
            <w:r>
              <w:t>）</w:t>
            </w:r>
          </w:p>
        </w:tc>
        <w:tc>
          <w:tcPr>
            <w:tcW w:w="596" w:type="pct"/>
            <w:shd w:val="clear" w:color="auto" w:fill="auto"/>
            <w:noWrap/>
            <w:tcMar>
              <w:top w:w="15" w:type="dxa"/>
              <w:left w:w="15" w:type="dxa"/>
              <w:bottom w:w="0" w:type="dxa"/>
              <w:right w:w="15" w:type="dxa"/>
            </w:tcMar>
            <w:vAlign w:val="center"/>
          </w:tcPr>
          <w:p w14:paraId="2248C93B" w14:textId="77777777" w:rsidR="002E474C" w:rsidRDefault="00000000">
            <w:pPr>
              <w:pStyle w:val="A-"/>
            </w:pPr>
            <w:r>
              <w:t>7.20E-06</w:t>
            </w:r>
          </w:p>
        </w:tc>
        <w:tc>
          <w:tcPr>
            <w:tcW w:w="425" w:type="pct"/>
            <w:shd w:val="clear" w:color="auto" w:fill="auto"/>
            <w:noWrap/>
            <w:tcMar>
              <w:top w:w="15" w:type="dxa"/>
              <w:left w:w="15" w:type="dxa"/>
              <w:bottom w:w="0" w:type="dxa"/>
              <w:right w:w="15" w:type="dxa"/>
            </w:tcMar>
            <w:vAlign w:val="center"/>
          </w:tcPr>
          <w:p w14:paraId="5D5CAFC1" w14:textId="77777777" w:rsidR="002E474C" w:rsidRDefault="00000000">
            <w:pPr>
              <w:pStyle w:val="A-"/>
            </w:pPr>
            <w:r>
              <w:t>冷却设施故障</w:t>
            </w:r>
          </w:p>
        </w:tc>
        <w:tc>
          <w:tcPr>
            <w:tcW w:w="343" w:type="pct"/>
            <w:shd w:val="clear" w:color="auto" w:fill="auto"/>
            <w:noWrap/>
            <w:tcMar>
              <w:top w:w="15" w:type="dxa"/>
              <w:left w:w="15" w:type="dxa"/>
              <w:bottom w:w="0" w:type="dxa"/>
              <w:right w:w="15" w:type="dxa"/>
            </w:tcMar>
            <w:vAlign w:val="center"/>
          </w:tcPr>
          <w:p w14:paraId="47CF6F5B" w14:textId="77777777" w:rsidR="002E474C" w:rsidRDefault="00000000">
            <w:pPr>
              <w:pStyle w:val="A-"/>
            </w:pPr>
            <w:r>
              <w:t>/</w:t>
            </w:r>
          </w:p>
        </w:tc>
        <w:tc>
          <w:tcPr>
            <w:tcW w:w="597" w:type="pct"/>
            <w:shd w:val="clear" w:color="auto" w:fill="auto"/>
            <w:noWrap/>
            <w:tcMar>
              <w:top w:w="15" w:type="dxa"/>
              <w:left w:w="15" w:type="dxa"/>
              <w:bottom w:w="0" w:type="dxa"/>
              <w:right w:w="15" w:type="dxa"/>
            </w:tcMar>
            <w:vAlign w:val="center"/>
          </w:tcPr>
          <w:p w14:paraId="7BEFD3A4" w14:textId="77777777" w:rsidR="002E474C" w:rsidRDefault="00000000">
            <w:pPr>
              <w:pStyle w:val="A-"/>
            </w:pPr>
            <w:r>
              <w:t>10</w:t>
            </w:r>
            <w:r>
              <w:t>（</w:t>
            </w:r>
            <w:proofErr w:type="spellStart"/>
            <w:r>
              <w:t>ngTEQ</w:t>
            </w:r>
            <w:proofErr w:type="spellEnd"/>
            <w:r>
              <w:t>/Nm</w:t>
            </w:r>
            <w:r>
              <w:rPr>
                <w:vertAlign w:val="superscript"/>
              </w:rPr>
              <w:t>3</w:t>
            </w:r>
            <w:r>
              <w:t>）</w:t>
            </w:r>
          </w:p>
        </w:tc>
        <w:tc>
          <w:tcPr>
            <w:tcW w:w="510" w:type="pct"/>
            <w:shd w:val="clear" w:color="auto" w:fill="auto"/>
            <w:noWrap/>
            <w:tcMar>
              <w:top w:w="15" w:type="dxa"/>
              <w:left w:w="15" w:type="dxa"/>
              <w:bottom w:w="0" w:type="dxa"/>
              <w:right w:w="15" w:type="dxa"/>
            </w:tcMar>
            <w:vAlign w:val="center"/>
          </w:tcPr>
          <w:p w14:paraId="3A9735C3" w14:textId="77777777" w:rsidR="002E474C" w:rsidRDefault="00000000">
            <w:pPr>
              <w:pStyle w:val="A-"/>
            </w:pPr>
            <w:r>
              <w:t>7.2E-06</w:t>
            </w:r>
          </w:p>
        </w:tc>
        <w:tc>
          <w:tcPr>
            <w:tcW w:w="310" w:type="pct"/>
            <w:shd w:val="clear" w:color="auto" w:fill="auto"/>
            <w:noWrap/>
            <w:tcMar>
              <w:top w:w="15" w:type="dxa"/>
              <w:left w:w="15" w:type="dxa"/>
              <w:bottom w:w="0" w:type="dxa"/>
              <w:right w:w="15" w:type="dxa"/>
            </w:tcMar>
            <w:vAlign w:val="center"/>
          </w:tcPr>
          <w:p w14:paraId="55F644FE" w14:textId="77777777" w:rsidR="002E474C" w:rsidRDefault="00000000">
            <w:pPr>
              <w:pStyle w:val="A-"/>
            </w:pPr>
            <w:r>
              <w:t>1</w:t>
            </w:r>
          </w:p>
        </w:tc>
      </w:tr>
      <w:bookmarkEnd w:id="211"/>
    </w:tbl>
    <w:p w14:paraId="16ECA3ED" w14:textId="77777777" w:rsidR="002E474C" w:rsidRDefault="002E474C">
      <w:pPr>
        <w:pStyle w:val="A-z"/>
        <w:spacing w:line="240" w:lineRule="exact"/>
        <w:rPr>
          <w:color w:val="auto"/>
        </w:rPr>
      </w:pPr>
    </w:p>
    <w:p w14:paraId="0F596642" w14:textId="77777777" w:rsidR="002E474C" w:rsidRDefault="00000000">
      <w:pPr>
        <w:pStyle w:val="31"/>
        <w:spacing w:before="156" w:after="156"/>
        <w:rPr>
          <w:color w:val="auto"/>
        </w:rPr>
      </w:pPr>
      <w:r>
        <w:rPr>
          <w:color w:val="auto"/>
        </w:rPr>
        <w:t>协同处置危险废物污染物排放汇总</w:t>
      </w:r>
    </w:p>
    <w:p w14:paraId="73B4BD6D" w14:textId="77777777" w:rsidR="002E474C" w:rsidRDefault="00000000">
      <w:pPr>
        <w:pStyle w:val="A-z"/>
        <w:rPr>
          <w:color w:val="auto"/>
        </w:rPr>
      </w:pPr>
      <w:r>
        <w:rPr>
          <w:color w:val="auto"/>
        </w:rPr>
        <w:t>协同处置项目污染物排放量统计见表</w:t>
      </w:r>
      <w:r>
        <w:rPr>
          <w:color w:val="auto"/>
        </w:rPr>
        <w:t>3.5-23</w:t>
      </w:r>
      <w:r>
        <w:rPr>
          <w:color w:val="auto"/>
        </w:rPr>
        <w:t>。</w:t>
      </w:r>
    </w:p>
    <w:p w14:paraId="77D3FB6D" w14:textId="77777777" w:rsidR="002E474C" w:rsidRDefault="00000000">
      <w:pPr>
        <w:pStyle w:val="A--"/>
        <w:spacing w:beforeLines="0" w:before="0"/>
        <w:ind w:leftChars="0" w:left="0" w:rightChars="0" w:right="0"/>
        <w:rPr>
          <w:color w:val="auto"/>
        </w:rPr>
      </w:pPr>
      <w:bookmarkStart w:id="212" w:name="_Ref111454505"/>
      <w:r>
        <w:rPr>
          <w:color w:val="auto"/>
        </w:rPr>
        <w:t>表</w:t>
      </w:r>
      <w:bookmarkEnd w:id="212"/>
      <w:r>
        <w:rPr>
          <w:color w:val="auto"/>
        </w:rPr>
        <w:t xml:space="preserve">3.5-23  </w:t>
      </w:r>
      <w:r>
        <w:rPr>
          <w:color w:val="auto"/>
        </w:rPr>
        <w:t>协同处置项目污染物排放量统计</w:t>
      </w:r>
    </w:p>
    <w:tbl>
      <w:tblPr>
        <w:tblW w:w="5000" w:type="pct"/>
        <w:tblCellMar>
          <w:left w:w="0" w:type="dxa"/>
          <w:right w:w="0" w:type="dxa"/>
        </w:tblCellMar>
        <w:tblLook w:val="04A0" w:firstRow="1" w:lastRow="0" w:firstColumn="1" w:lastColumn="0" w:noHBand="0" w:noVBand="1"/>
      </w:tblPr>
      <w:tblGrid>
        <w:gridCol w:w="523"/>
        <w:gridCol w:w="833"/>
        <w:gridCol w:w="3008"/>
        <w:gridCol w:w="800"/>
        <w:gridCol w:w="1176"/>
        <w:gridCol w:w="997"/>
        <w:gridCol w:w="959"/>
      </w:tblGrid>
      <w:tr w:rsidR="002E474C" w14:paraId="6243CBE6" w14:textId="77777777">
        <w:trPr>
          <w:trHeight w:val="283"/>
          <w:tblHeader/>
        </w:trPr>
        <w:tc>
          <w:tcPr>
            <w:tcW w:w="817"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tcPr>
          <w:p w14:paraId="1A61761E" w14:textId="77777777" w:rsidR="002E474C" w:rsidRDefault="00000000">
            <w:pPr>
              <w:pStyle w:val="A-"/>
              <w:spacing w:line="240" w:lineRule="exact"/>
            </w:pPr>
            <w:r>
              <w:t>类别</w:t>
            </w:r>
          </w:p>
        </w:tc>
        <w:tc>
          <w:tcPr>
            <w:tcW w:w="181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FD1792" w14:textId="77777777" w:rsidR="002E474C" w:rsidRDefault="00000000">
            <w:pPr>
              <w:pStyle w:val="A-"/>
              <w:spacing w:line="240" w:lineRule="exact"/>
            </w:pPr>
            <w:r>
              <w:t>污染物</w:t>
            </w:r>
          </w:p>
        </w:tc>
        <w:tc>
          <w:tcPr>
            <w:tcW w:w="482" w:type="pct"/>
            <w:tcBorders>
              <w:top w:val="single" w:sz="4" w:space="0" w:color="auto"/>
              <w:left w:val="nil"/>
              <w:bottom w:val="single" w:sz="4" w:space="0" w:color="auto"/>
              <w:right w:val="single" w:sz="4" w:space="0" w:color="auto"/>
            </w:tcBorders>
            <w:vAlign w:val="center"/>
          </w:tcPr>
          <w:p w14:paraId="337DF822" w14:textId="77777777" w:rsidR="002E474C" w:rsidRDefault="00000000">
            <w:pPr>
              <w:pStyle w:val="A-"/>
              <w:spacing w:line="240" w:lineRule="exact"/>
            </w:pPr>
            <w:r>
              <w:t>单位</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A4FDC2" w14:textId="77777777" w:rsidR="002E474C" w:rsidRDefault="00000000">
            <w:pPr>
              <w:pStyle w:val="A-"/>
              <w:spacing w:line="240" w:lineRule="exact"/>
            </w:pPr>
            <w:r>
              <w:t>产生量</w:t>
            </w:r>
          </w:p>
        </w:tc>
        <w:tc>
          <w:tcPr>
            <w:tcW w:w="60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A7A0F2" w14:textId="77777777" w:rsidR="002E474C" w:rsidRDefault="00000000">
            <w:pPr>
              <w:pStyle w:val="A-"/>
              <w:spacing w:line="240" w:lineRule="exact"/>
            </w:pPr>
            <w:r>
              <w:t>削减量</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D61080" w14:textId="77777777" w:rsidR="002E474C" w:rsidRDefault="00000000">
            <w:pPr>
              <w:pStyle w:val="A-"/>
              <w:spacing w:line="240" w:lineRule="exact"/>
            </w:pPr>
            <w:r>
              <w:t>排放量</w:t>
            </w:r>
          </w:p>
        </w:tc>
      </w:tr>
      <w:tr w:rsidR="002E474C" w14:paraId="2AB23523" w14:textId="77777777">
        <w:trPr>
          <w:trHeight w:val="283"/>
        </w:trPr>
        <w:tc>
          <w:tcPr>
            <w:tcW w:w="31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5DF228BE" w14:textId="77777777" w:rsidR="002E474C" w:rsidRDefault="00000000">
            <w:pPr>
              <w:pStyle w:val="A-"/>
              <w:spacing w:line="240" w:lineRule="exact"/>
            </w:pPr>
            <w:r>
              <w:t>废气</w:t>
            </w:r>
          </w:p>
        </w:tc>
        <w:tc>
          <w:tcPr>
            <w:tcW w:w="5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2E11FA55" w14:textId="77777777" w:rsidR="002E474C" w:rsidRDefault="00000000">
            <w:pPr>
              <w:pStyle w:val="A-"/>
              <w:spacing w:line="240" w:lineRule="exact"/>
            </w:pPr>
            <w:r>
              <w:t>有组织</w:t>
            </w: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2BD6BA5" w14:textId="77777777" w:rsidR="002E474C" w:rsidRDefault="00000000">
            <w:pPr>
              <w:pStyle w:val="A-"/>
              <w:spacing w:line="240" w:lineRule="exact"/>
            </w:pPr>
            <w:r>
              <w:t>废气量</w:t>
            </w:r>
          </w:p>
        </w:tc>
        <w:tc>
          <w:tcPr>
            <w:tcW w:w="482" w:type="pct"/>
            <w:tcBorders>
              <w:top w:val="single" w:sz="4" w:space="0" w:color="auto"/>
              <w:left w:val="nil"/>
              <w:bottom w:val="single" w:sz="4" w:space="0" w:color="auto"/>
              <w:right w:val="single" w:sz="4" w:space="0" w:color="auto"/>
            </w:tcBorders>
          </w:tcPr>
          <w:p w14:paraId="37D74779" w14:textId="77777777" w:rsidR="002E474C" w:rsidRDefault="00000000">
            <w:pPr>
              <w:pStyle w:val="A-"/>
              <w:spacing w:line="240" w:lineRule="exact"/>
            </w:pPr>
            <w:r>
              <w:t>万</w:t>
            </w:r>
            <w:r>
              <w:t>m</w:t>
            </w:r>
            <w:r>
              <w:rPr>
                <w:vertAlign w:val="superscript"/>
              </w:rPr>
              <w:t>3</w:t>
            </w:r>
            <w:r>
              <w: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DDBF14" w14:textId="77777777" w:rsidR="002E474C" w:rsidRDefault="00000000">
            <w:pPr>
              <w:pStyle w:val="A-"/>
              <w:spacing w:line="240" w:lineRule="exact"/>
            </w:pPr>
            <w:r>
              <w:t>529426.08</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F8561B"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0C1C9B" w14:textId="77777777" w:rsidR="002E474C" w:rsidRDefault="00000000">
            <w:pPr>
              <w:pStyle w:val="A-"/>
              <w:spacing w:line="240" w:lineRule="exact"/>
            </w:pPr>
            <w:r>
              <w:t>529426.08</w:t>
            </w:r>
          </w:p>
        </w:tc>
      </w:tr>
      <w:tr w:rsidR="002E474C" w14:paraId="1828F7C9"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11AD367E"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3D102AC8"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461E89" w14:textId="77777777" w:rsidR="002E474C" w:rsidRDefault="00000000">
            <w:pPr>
              <w:pStyle w:val="A-"/>
              <w:spacing w:line="240" w:lineRule="exact"/>
            </w:pPr>
            <w:r>
              <w:t>HF</w:t>
            </w:r>
          </w:p>
        </w:tc>
        <w:tc>
          <w:tcPr>
            <w:tcW w:w="482" w:type="pct"/>
            <w:tcBorders>
              <w:top w:val="single" w:sz="4" w:space="0" w:color="auto"/>
              <w:left w:val="nil"/>
              <w:bottom w:val="single" w:sz="4" w:space="0" w:color="auto"/>
              <w:right w:val="single" w:sz="4" w:space="0" w:color="auto"/>
            </w:tcBorders>
          </w:tcPr>
          <w:p w14:paraId="0D0E4C7B"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98D4EF" w14:textId="77777777" w:rsidR="002E474C" w:rsidRDefault="00000000">
            <w:pPr>
              <w:pStyle w:val="A-"/>
              <w:spacing w:line="240" w:lineRule="exact"/>
            </w:pPr>
            <w:r>
              <w:t xml:space="preserve">1.443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2DD541"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5ADEF9" w14:textId="77777777" w:rsidR="002E474C" w:rsidRDefault="00000000">
            <w:pPr>
              <w:pStyle w:val="A-"/>
              <w:spacing w:line="240" w:lineRule="exact"/>
            </w:pPr>
            <w:r>
              <w:t xml:space="preserve">1.443 </w:t>
            </w:r>
          </w:p>
        </w:tc>
      </w:tr>
      <w:tr w:rsidR="002E474C" w14:paraId="7C0AD368"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76B6A146"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5755F0AA"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FE9BE0" w14:textId="77777777" w:rsidR="002E474C" w:rsidRDefault="00000000">
            <w:pPr>
              <w:pStyle w:val="A-"/>
              <w:spacing w:line="240" w:lineRule="exact"/>
            </w:pPr>
            <w:r>
              <w:t>HCl</w:t>
            </w:r>
          </w:p>
        </w:tc>
        <w:tc>
          <w:tcPr>
            <w:tcW w:w="482" w:type="pct"/>
            <w:tcBorders>
              <w:top w:val="single" w:sz="4" w:space="0" w:color="auto"/>
              <w:left w:val="nil"/>
              <w:bottom w:val="single" w:sz="4" w:space="0" w:color="auto"/>
              <w:right w:val="single" w:sz="4" w:space="0" w:color="auto"/>
            </w:tcBorders>
          </w:tcPr>
          <w:p w14:paraId="40AEAC5A"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16D995" w14:textId="77777777" w:rsidR="002E474C" w:rsidRDefault="00000000">
            <w:pPr>
              <w:pStyle w:val="A-"/>
              <w:spacing w:line="240" w:lineRule="exact"/>
            </w:pPr>
            <w:r>
              <w:t xml:space="preserve">25.900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A5D748"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40E12A" w14:textId="77777777" w:rsidR="002E474C" w:rsidRDefault="00000000">
            <w:pPr>
              <w:pStyle w:val="A-"/>
              <w:spacing w:line="240" w:lineRule="exact"/>
            </w:pPr>
            <w:r>
              <w:t xml:space="preserve">25.900 </w:t>
            </w:r>
          </w:p>
        </w:tc>
      </w:tr>
      <w:tr w:rsidR="002E474C" w14:paraId="04E6CC56"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465D441A"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030A7516"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3A8616" w14:textId="77777777" w:rsidR="002E474C" w:rsidRDefault="00000000">
            <w:pPr>
              <w:pStyle w:val="A-"/>
              <w:spacing w:line="240" w:lineRule="exact"/>
            </w:pPr>
            <w:r>
              <w:t>Cr</w:t>
            </w:r>
          </w:p>
        </w:tc>
        <w:tc>
          <w:tcPr>
            <w:tcW w:w="482" w:type="pct"/>
            <w:tcBorders>
              <w:top w:val="single" w:sz="4" w:space="0" w:color="auto"/>
              <w:left w:val="nil"/>
              <w:bottom w:val="single" w:sz="4" w:space="0" w:color="auto"/>
              <w:right w:val="single" w:sz="4" w:space="0" w:color="auto"/>
            </w:tcBorders>
            <w:vAlign w:val="center"/>
          </w:tcPr>
          <w:p w14:paraId="3736E392"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C51FE5" w14:textId="77777777" w:rsidR="002E474C" w:rsidRDefault="00000000">
            <w:pPr>
              <w:pStyle w:val="A-"/>
              <w:spacing w:line="240" w:lineRule="exact"/>
            </w:pPr>
            <w:r>
              <w:t xml:space="preserve">1.036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657572"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578DC6" w14:textId="77777777" w:rsidR="002E474C" w:rsidRDefault="00000000">
            <w:pPr>
              <w:pStyle w:val="A-"/>
              <w:spacing w:line="240" w:lineRule="exact"/>
            </w:pPr>
            <w:r>
              <w:t xml:space="preserve">1.036 </w:t>
            </w:r>
          </w:p>
        </w:tc>
      </w:tr>
      <w:tr w:rsidR="002E474C" w14:paraId="035FB900"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2539A5D5"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2F9BA4C3"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0C9227" w14:textId="77777777" w:rsidR="002E474C" w:rsidRDefault="00000000">
            <w:pPr>
              <w:pStyle w:val="A-"/>
              <w:spacing w:line="240" w:lineRule="exact"/>
            </w:pPr>
            <w:r>
              <w:t>Cu</w:t>
            </w:r>
          </w:p>
        </w:tc>
        <w:tc>
          <w:tcPr>
            <w:tcW w:w="482" w:type="pct"/>
            <w:tcBorders>
              <w:top w:val="single" w:sz="4" w:space="0" w:color="auto"/>
              <w:left w:val="nil"/>
              <w:bottom w:val="single" w:sz="4" w:space="0" w:color="auto"/>
              <w:right w:val="single" w:sz="4" w:space="0" w:color="auto"/>
            </w:tcBorders>
            <w:vAlign w:val="center"/>
          </w:tcPr>
          <w:p w14:paraId="5A4F9651"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468B73" w14:textId="77777777" w:rsidR="002E474C" w:rsidRDefault="00000000">
            <w:pPr>
              <w:pStyle w:val="A-"/>
              <w:spacing w:line="240" w:lineRule="exact"/>
            </w:pPr>
            <w:r>
              <w:t xml:space="preserve">218.830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60A0E8"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09ADDC" w14:textId="77777777" w:rsidR="002E474C" w:rsidRDefault="00000000">
            <w:pPr>
              <w:pStyle w:val="A-"/>
              <w:spacing w:line="240" w:lineRule="exact"/>
            </w:pPr>
            <w:r>
              <w:t xml:space="preserve">218.830 </w:t>
            </w:r>
          </w:p>
        </w:tc>
      </w:tr>
      <w:tr w:rsidR="002E474C" w14:paraId="2016EBA6"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0A48F405"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2BC60E14"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16D9D3" w14:textId="77777777" w:rsidR="002E474C" w:rsidRDefault="00000000">
            <w:pPr>
              <w:pStyle w:val="A-"/>
              <w:spacing w:line="240" w:lineRule="exact"/>
            </w:pPr>
            <w:r>
              <w:t>Cd</w:t>
            </w:r>
          </w:p>
        </w:tc>
        <w:tc>
          <w:tcPr>
            <w:tcW w:w="482" w:type="pct"/>
            <w:tcBorders>
              <w:top w:val="single" w:sz="4" w:space="0" w:color="auto"/>
              <w:left w:val="nil"/>
              <w:bottom w:val="single" w:sz="4" w:space="0" w:color="auto"/>
              <w:right w:val="single" w:sz="4" w:space="0" w:color="auto"/>
            </w:tcBorders>
            <w:vAlign w:val="center"/>
          </w:tcPr>
          <w:p w14:paraId="4FAF5535"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64BF21" w14:textId="77777777" w:rsidR="002E474C" w:rsidRDefault="00000000">
            <w:pPr>
              <w:pStyle w:val="A-"/>
              <w:spacing w:line="240" w:lineRule="exact"/>
            </w:pPr>
            <w:r>
              <w:t xml:space="preserve">0.115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05058A"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B273F1" w14:textId="77777777" w:rsidR="002E474C" w:rsidRDefault="00000000">
            <w:pPr>
              <w:pStyle w:val="A-"/>
              <w:spacing w:line="240" w:lineRule="exact"/>
            </w:pPr>
            <w:r>
              <w:t xml:space="preserve">0.115 </w:t>
            </w:r>
          </w:p>
        </w:tc>
      </w:tr>
      <w:tr w:rsidR="002E474C" w14:paraId="3FAA7216"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2A5B05F7"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0100933A"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1CB7EB" w14:textId="77777777" w:rsidR="002E474C" w:rsidRDefault="00000000">
            <w:pPr>
              <w:pStyle w:val="A-"/>
              <w:spacing w:line="240" w:lineRule="exact"/>
            </w:pPr>
            <w:r>
              <w:t>Pb</w:t>
            </w:r>
          </w:p>
        </w:tc>
        <w:tc>
          <w:tcPr>
            <w:tcW w:w="482" w:type="pct"/>
            <w:tcBorders>
              <w:top w:val="single" w:sz="4" w:space="0" w:color="auto"/>
              <w:left w:val="nil"/>
              <w:bottom w:val="single" w:sz="4" w:space="0" w:color="auto"/>
              <w:right w:val="single" w:sz="4" w:space="0" w:color="auto"/>
            </w:tcBorders>
            <w:vAlign w:val="center"/>
          </w:tcPr>
          <w:p w14:paraId="7EC86D6A"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1A65F1" w14:textId="77777777" w:rsidR="002E474C" w:rsidRDefault="00000000">
            <w:pPr>
              <w:pStyle w:val="A-"/>
              <w:spacing w:line="240" w:lineRule="exact"/>
            </w:pPr>
            <w:r>
              <w:t xml:space="preserve">2.593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1C5BC79"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DC3357" w14:textId="77777777" w:rsidR="002E474C" w:rsidRDefault="00000000">
            <w:pPr>
              <w:pStyle w:val="A-"/>
              <w:spacing w:line="240" w:lineRule="exact"/>
            </w:pPr>
            <w:r>
              <w:t xml:space="preserve">2.593 </w:t>
            </w:r>
          </w:p>
        </w:tc>
      </w:tr>
      <w:tr w:rsidR="002E474C" w14:paraId="46AD757F"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08E79BE6"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38547B3B"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085483" w14:textId="77777777" w:rsidR="002E474C" w:rsidRDefault="00000000">
            <w:pPr>
              <w:pStyle w:val="A-"/>
              <w:spacing w:line="240" w:lineRule="exact"/>
            </w:pPr>
            <w:r>
              <w:t>Ni</w:t>
            </w:r>
          </w:p>
        </w:tc>
        <w:tc>
          <w:tcPr>
            <w:tcW w:w="482" w:type="pct"/>
            <w:tcBorders>
              <w:top w:val="single" w:sz="4" w:space="0" w:color="auto"/>
              <w:left w:val="nil"/>
              <w:bottom w:val="single" w:sz="4" w:space="0" w:color="auto"/>
              <w:right w:val="single" w:sz="4" w:space="0" w:color="auto"/>
            </w:tcBorders>
            <w:vAlign w:val="center"/>
          </w:tcPr>
          <w:p w14:paraId="069EE369"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86E101" w14:textId="77777777" w:rsidR="002E474C" w:rsidRDefault="00000000">
            <w:pPr>
              <w:pStyle w:val="A-"/>
              <w:spacing w:line="240" w:lineRule="exact"/>
            </w:pPr>
            <w:r>
              <w:t xml:space="preserve">0.044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729D23"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02FCEB" w14:textId="77777777" w:rsidR="002E474C" w:rsidRDefault="00000000">
            <w:pPr>
              <w:pStyle w:val="A-"/>
              <w:spacing w:line="240" w:lineRule="exact"/>
            </w:pPr>
            <w:r>
              <w:t xml:space="preserve">0.044 </w:t>
            </w:r>
          </w:p>
        </w:tc>
      </w:tr>
      <w:tr w:rsidR="002E474C" w14:paraId="1F555269"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078176D6"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0CB8A039"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E77231" w14:textId="77777777" w:rsidR="002E474C" w:rsidRDefault="00000000">
            <w:pPr>
              <w:pStyle w:val="A-"/>
              <w:spacing w:line="240" w:lineRule="exact"/>
            </w:pPr>
            <w:r>
              <w:t>Mn</w:t>
            </w:r>
          </w:p>
        </w:tc>
        <w:tc>
          <w:tcPr>
            <w:tcW w:w="482" w:type="pct"/>
            <w:tcBorders>
              <w:top w:val="single" w:sz="4" w:space="0" w:color="auto"/>
              <w:left w:val="nil"/>
              <w:bottom w:val="single" w:sz="4" w:space="0" w:color="auto"/>
              <w:right w:val="single" w:sz="4" w:space="0" w:color="auto"/>
            </w:tcBorders>
            <w:vAlign w:val="center"/>
          </w:tcPr>
          <w:p w14:paraId="47148037"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87A395" w14:textId="77777777" w:rsidR="002E474C" w:rsidRDefault="00000000">
            <w:pPr>
              <w:pStyle w:val="A-"/>
              <w:spacing w:line="240" w:lineRule="exact"/>
            </w:pPr>
            <w:r>
              <w:t xml:space="preserve">6.382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9B70A9"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3DBBAB" w14:textId="77777777" w:rsidR="002E474C" w:rsidRDefault="00000000">
            <w:pPr>
              <w:pStyle w:val="A-"/>
              <w:spacing w:line="240" w:lineRule="exact"/>
            </w:pPr>
            <w:r>
              <w:t xml:space="preserve">6.382 </w:t>
            </w:r>
          </w:p>
        </w:tc>
      </w:tr>
      <w:tr w:rsidR="002E474C" w14:paraId="38CAD124"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27473DF8"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732112EE"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E02B5F" w14:textId="77777777" w:rsidR="002E474C" w:rsidRDefault="00000000">
            <w:pPr>
              <w:pStyle w:val="A-"/>
              <w:spacing w:line="240" w:lineRule="exact"/>
            </w:pPr>
            <w:r>
              <w:t>As</w:t>
            </w:r>
          </w:p>
        </w:tc>
        <w:tc>
          <w:tcPr>
            <w:tcW w:w="482" w:type="pct"/>
            <w:tcBorders>
              <w:top w:val="single" w:sz="4" w:space="0" w:color="auto"/>
              <w:left w:val="nil"/>
              <w:bottom w:val="single" w:sz="4" w:space="0" w:color="auto"/>
              <w:right w:val="single" w:sz="4" w:space="0" w:color="auto"/>
            </w:tcBorders>
            <w:vAlign w:val="center"/>
          </w:tcPr>
          <w:p w14:paraId="70ECBF8A"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7CFDC7" w14:textId="77777777" w:rsidR="002E474C" w:rsidRDefault="00000000">
            <w:pPr>
              <w:pStyle w:val="A-"/>
              <w:spacing w:line="240" w:lineRule="exact"/>
            </w:pPr>
            <w:r>
              <w:t xml:space="preserve">0.173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20A3D1"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3971AC" w14:textId="77777777" w:rsidR="002E474C" w:rsidRDefault="00000000">
            <w:pPr>
              <w:pStyle w:val="A-"/>
              <w:spacing w:line="240" w:lineRule="exact"/>
            </w:pPr>
            <w:r>
              <w:t xml:space="preserve">0.173 </w:t>
            </w:r>
          </w:p>
        </w:tc>
      </w:tr>
      <w:tr w:rsidR="002E474C" w14:paraId="740FE0FC"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57C61D01"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6653A1C7"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723725" w14:textId="77777777" w:rsidR="002E474C" w:rsidRDefault="00000000">
            <w:pPr>
              <w:pStyle w:val="A-"/>
              <w:spacing w:line="240" w:lineRule="exact"/>
            </w:pPr>
            <w:r>
              <w:t>Hg</w:t>
            </w:r>
          </w:p>
        </w:tc>
        <w:tc>
          <w:tcPr>
            <w:tcW w:w="482" w:type="pct"/>
            <w:tcBorders>
              <w:top w:val="single" w:sz="4" w:space="0" w:color="auto"/>
              <w:left w:val="nil"/>
              <w:bottom w:val="single" w:sz="4" w:space="0" w:color="auto"/>
              <w:right w:val="single" w:sz="4" w:space="0" w:color="auto"/>
            </w:tcBorders>
            <w:vAlign w:val="center"/>
          </w:tcPr>
          <w:p w14:paraId="05BA56D8"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A24C1F" w14:textId="77777777" w:rsidR="002E474C" w:rsidRDefault="00000000">
            <w:pPr>
              <w:pStyle w:val="A-"/>
              <w:spacing w:line="240" w:lineRule="exact"/>
            </w:pPr>
            <w:r>
              <w:t xml:space="preserve">12.263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4F2F2E" w14:textId="77777777" w:rsidR="002E474C" w:rsidRDefault="00000000">
            <w:pPr>
              <w:pStyle w:val="A-"/>
              <w:spacing w:line="240" w:lineRule="exact"/>
            </w:pPr>
            <w:r>
              <w:rPr>
                <w:rFonts w:hint="eastAsia"/>
              </w:rPr>
              <w:t>5.518</w:t>
            </w:r>
            <w:r>
              <w:t xml:space="preserve"> </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D1E376" w14:textId="77777777" w:rsidR="002E474C" w:rsidRDefault="00000000">
            <w:pPr>
              <w:pStyle w:val="A-"/>
              <w:spacing w:line="240" w:lineRule="exact"/>
            </w:pPr>
            <w:r>
              <w:rPr>
                <w:rFonts w:hint="eastAsia"/>
              </w:rPr>
              <w:t>6.745</w:t>
            </w:r>
          </w:p>
        </w:tc>
      </w:tr>
      <w:tr w:rsidR="002E474C" w14:paraId="21CEC6AB"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20370974"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7A725BD0"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0392F01" w14:textId="77777777" w:rsidR="002E474C" w:rsidRDefault="00000000">
            <w:pPr>
              <w:pStyle w:val="A-"/>
              <w:spacing w:line="240" w:lineRule="exact"/>
            </w:pPr>
            <w:proofErr w:type="spellStart"/>
            <w:r>
              <w:t>Tl+Cd+Pb+As</w:t>
            </w:r>
            <w:proofErr w:type="spellEnd"/>
          </w:p>
        </w:tc>
        <w:tc>
          <w:tcPr>
            <w:tcW w:w="482" w:type="pct"/>
            <w:tcBorders>
              <w:top w:val="single" w:sz="4" w:space="0" w:color="auto"/>
              <w:left w:val="nil"/>
              <w:bottom w:val="single" w:sz="4" w:space="0" w:color="auto"/>
              <w:right w:val="single" w:sz="4" w:space="0" w:color="auto"/>
            </w:tcBorders>
            <w:vAlign w:val="center"/>
          </w:tcPr>
          <w:p w14:paraId="7CCCF753"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3933AC" w14:textId="77777777" w:rsidR="002E474C" w:rsidRDefault="00000000">
            <w:pPr>
              <w:pStyle w:val="A-"/>
              <w:spacing w:line="240" w:lineRule="exact"/>
            </w:pPr>
            <w:r>
              <w:t xml:space="preserve">2.881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802586"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2C6FED" w14:textId="77777777" w:rsidR="002E474C" w:rsidRDefault="00000000">
            <w:pPr>
              <w:pStyle w:val="A-"/>
              <w:spacing w:line="240" w:lineRule="exact"/>
            </w:pPr>
            <w:r>
              <w:t xml:space="preserve">2.881 </w:t>
            </w:r>
          </w:p>
        </w:tc>
      </w:tr>
      <w:tr w:rsidR="002E474C" w14:paraId="7C54F38B"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14A8536F"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18957D7A"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FB74FB" w14:textId="77777777" w:rsidR="002E474C" w:rsidRDefault="00000000">
            <w:pPr>
              <w:pStyle w:val="A-"/>
              <w:spacing w:line="240" w:lineRule="exact"/>
            </w:pPr>
            <w:proofErr w:type="spellStart"/>
            <w:r>
              <w:t>Be+Cr+Sn+Sb+Cu+Co+Mn+Ni+V</w:t>
            </w:r>
            <w:proofErr w:type="spellEnd"/>
          </w:p>
        </w:tc>
        <w:tc>
          <w:tcPr>
            <w:tcW w:w="482" w:type="pct"/>
            <w:tcBorders>
              <w:top w:val="single" w:sz="4" w:space="0" w:color="auto"/>
              <w:left w:val="nil"/>
              <w:bottom w:val="single" w:sz="4" w:space="0" w:color="auto"/>
              <w:right w:val="single" w:sz="4" w:space="0" w:color="auto"/>
            </w:tcBorders>
            <w:vAlign w:val="center"/>
          </w:tcPr>
          <w:p w14:paraId="7EC39BD8" w14:textId="77777777" w:rsidR="002E474C" w:rsidRDefault="00000000">
            <w:pPr>
              <w:pStyle w:val="A-"/>
              <w:spacing w:line="240" w:lineRule="exact"/>
            </w:pPr>
            <w:r>
              <w:t>kg/a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3EA56E" w14:textId="25D27E8B" w:rsidR="002E474C" w:rsidRDefault="00000000">
            <w:pPr>
              <w:pStyle w:val="A-"/>
              <w:spacing w:line="240" w:lineRule="exact"/>
            </w:pPr>
            <w:r>
              <w:t>226.29</w:t>
            </w:r>
            <w:r w:rsidR="00A01DE8">
              <w:rPr>
                <w:rFonts w:hint="eastAsia"/>
              </w:rPr>
              <w:t>2</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5D3F75"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5844D1" w14:textId="77777777" w:rsidR="002E474C" w:rsidRDefault="00000000">
            <w:pPr>
              <w:pStyle w:val="A-"/>
              <w:spacing w:line="240" w:lineRule="exact"/>
            </w:pPr>
            <w:r>
              <w:t xml:space="preserve">226.292 </w:t>
            </w:r>
          </w:p>
        </w:tc>
      </w:tr>
      <w:tr w:rsidR="002E474C" w14:paraId="595359A0"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621011BB"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1D85250D"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EB2FB4" w14:textId="77777777" w:rsidR="002E474C" w:rsidRDefault="00000000">
            <w:pPr>
              <w:pStyle w:val="A-"/>
              <w:spacing w:line="240" w:lineRule="exact"/>
            </w:pPr>
            <w:r>
              <w:t>二噁英类</w:t>
            </w:r>
          </w:p>
        </w:tc>
        <w:tc>
          <w:tcPr>
            <w:tcW w:w="482" w:type="pct"/>
            <w:tcBorders>
              <w:top w:val="single" w:sz="4" w:space="0" w:color="auto"/>
              <w:left w:val="nil"/>
              <w:bottom w:val="single" w:sz="4" w:space="0" w:color="auto"/>
              <w:right w:val="single" w:sz="4" w:space="0" w:color="auto"/>
            </w:tcBorders>
            <w:vAlign w:val="center"/>
          </w:tcPr>
          <w:p w14:paraId="3491C6E9" w14:textId="77777777" w:rsidR="002E474C" w:rsidRDefault="00000000">
            <w:pPr>
              <w:pStyle w:val="A-"/>
              <w:spacing w:line="240" w:lineRule="exact"/>
              <w:rPr>
                <w:rFonts w:eastAsia="等线"/>
              </w:rPr>
            </w:pPr>
            <w:proofErr w:type="spellStart"/>
            <w:r>
              <w:t>gTEQ</w:t>
            </w:r>
            <w:proofErr w:type="spellEnd"/>
            <w:r>
              <w: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88AD2A" w14:textId="77777777" w:rsidR="002E474C" w:rsidRDefault="00000000">
            <w:pPr>
              <w:pStyle w:val="A-"/>
              <w:spacing w:line="240" w:lineRule="exact"/>
            </w:pPr>
            <w:r>
              <w:t xml:space="preserve">0.259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67F9E7"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EADDFE" w14:textId="77777777" w:rsidR="002E474C" w:rsidRDefault="00000000">
            <w:pPr>
              <w:pStyle w:val="A-"/>
              <w:spacing w:line="240" w:lineRule="exact"/>
            </w:pPr>
            <w:r>
              <w:t xml:space="preserve">0.259 </w:t>
            </w:r>
          </w:p>
        </w:tc>
      </w:tr>
      <w:tr w:rsidR="002E474C" w14:paraId="441F1937"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6DA22ECE"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01EA9352"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225548" w14:textId="77777777" w:rsidR="002E474C" w:rsidRDefault="00000000">
            <w:pPr>
              <w:pStyle w:val="A-"/>
              <w:spacing w:line="240" w:lineRule="exact"/>
            </w:pPr>
            <w:r>
              <w:t>H</w:t>
            </w:r>
            <w:r>
              <w:rPr>
                <w:vertAlign w:val="subscript"/>
              </w:rPr>
              <w:t>2</w:t>
            </w:r>
            <w:r>
              <w:t>S</w:t>
            </w:r>
          </w:p>
        </w:tc>
        <w:tc>
          <w:tcPr>
            <w:tcW w:w="482" w:type="pct"/>
            <w:tcBorders>
              <w:top w:val="single" w:sz="4" w:space="0" w:color="auto"/>
              <w:left w:val="nil"/>
              <w:bottom w:val="single" w:sz="4" w:space="0" w:color="auto"/>
              <w:right w:val="single" w:sz="4" w:space="0" w:color="auto"/>
            </w:tcBorders>
          </w:tcPr>
          <w:p w14:paraId="032E703F"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94D723" w14:textId="77777777" w:rsidR="002E474C" w:rsidRDefault="00000000">
            <w:pPr>
              <w:pStyle w:val="A-"/>
              <w:spacing w:line="240" w:lineRule="exact"/>
            </w:pPr>
            <w:r>
              <w:t xml:space="preserve">0.338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0E20AD" w14:textId="77777777" w:rsidR="002E474C" w:rsidRDefault="00000000">
            <w:pPr>
              <w:pStyle w:val="A-"/>
              <w:spacing w:line="240" w:lineRule="exact"/>
            </w:pPr>
            <w:r>
              <w:t xml:space="preserve">0.304 </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0857D9" w14:textId="77777777" w:rsidR="002E474C" w:rsidRDefault="00000000">
            <w:pPr>
              <w:pStyle w:val="A-"/>
              <w:spacing w:line="240" w:lineRule="exact"/>
            </w:pPr>
            <w:r>
              <w:t xml:space="preserve">0.034 </w:t>
            </w:r>
          </w:p>
        </w:tc>
      </w:tr>
      <w:tr w:rsidR="002E474C" w14:paraId="2A8D584C"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781736B5" w14:textId="77777777" w:rsidR="002E474C" w:rsidRDefault="002E474C">
            <w:pPr>
              <w:pStyle w:val="A-"/>
              <w:spacing w:line="240" w:lineRule="exact"/>
            </w:pPr>
          </w:p>
        </w:tc>
        <w:tc>
          <w:tcPr>
            <w:tcW w:w="502" w:type="pct"/>
            <w:vMerge/>
            <w:tcBorders>
              <w:left w:val="single" w:sz="4" w:space="0" w:color="auto"/>
              <w:right w:val="single" w:sz="4" w:space="0" w:color="auto"/>
            </w:tcBorders>
            <w:vAlign w:val="center"/>
          </w:tcPr>
          <w:p w14:paraId="2D9AB4E4"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1A617A" w14:textId="77777777" w:rsidR="002E474C" w:rsidRDefault="00000000">
            <w:pPr>
              <w:pStyle w:val="A-"/>
              <w:spacing w:line="240" w:lineRule="exact"/>
            </w:pPr>
            <w:r>
              <w:t>NH</w:t>
            </w:r>
            <w:r>
              <w:rPr>
                <w:vertAlign w:val="subscript"/>
              </w:rPr>
              <w:t>3</w:t>
            </w:r>
          </w:p>
        </w:tc>
        <w:tc>
          <w:tcPr>
            <w:tcW w:w="482" w:type="pct"/>
            <w:tcBorders>
              <w:top w:val="single" w:sz="4" w:space="0" w:color="auto"/>
              <w:left w:val="nil"/>
              <w:bottom w:val="single" w:sz="4" w:space="0" w:color="auto"/>
              <w:right w:val="single" w:sz="4" w:space="0" w:color="auto"/>
            </w:tcBorders>
          </w:tcPr>
          <w:p w14:paraId="461A4635"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0444A1" w14:textId="77777777" w:rsidR="002E474C" w:rsidRDefault="00000000">
            <w:pPr>
              <w:pStyle w:val="A-"/>
              <w:spacing w:line="240" w:lineRule="exact"/>
            </w:pPr>
            <w:r>
              <w:t xml:space="preserve">4.140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C9CB7A" w14:textId="77777777" w:rsidR="002E474C" w:rsidRDefault="00000000">
            <w:pPr>
              <w:pStyle w:val="A-"/>
              <w:spacing w:line="240" w:lineRule="exact"/>
            </w:pPr>
            <w:r>
              <w:t>3.726</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8FCBE1" w14:textId="77777777" w:rsidR="002E474C" w:rsidRDefault="00000000">
            <w:pPr>
              <w:pStyle w:val="A-"/>
              <w:spacing w:line="240" w:lineRule="exact"/>
            </w:pPr>
            <w:r>
              <w:t>0.414</w:t>
            </w:r>
          </w:p>
        </w:tc>
      </w:tr>
      <w:tr w:rsidR="002E474C" w14:paraId="305CB50D"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0B81221F" w14:textId="77777777" w:rsidR="002E474C" w:rsidRDefault="002E474C">
            <w:pPr>
              <w:pStyle w:val="A-"/>
              <w:spacing w:line="240" w:lineRule="exact"/>
            </w:pPr>
          </w:p>
        </w:tc>
        <w:tc>
          <w:tcPr>
            <w:tcW w:w="502" w:type="pct"/>
            <w:vMerge/>
            <w:tcBorders>
              <w:left w:val="single" w:sz="4" w:space="0" w:color="auto"/>
              <w:bottom w:val="single" w:sz="4" w:space="0" w:color="000000"/>
              <w:right w:val="single" w:sz="4" w:space="0" w:color="auto"/>
            </w:tcBorders>
            <w:vAlign w:val="center"/>
          </w:tcPr>
          <w:p w14:paraId="7406AFD0"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93B360" w14:textId="77777777" w:rsidR="002E474C" w:rsidRDefault="00000000">
            <w:pPr>
              <w:pStyle w:val="A-"/>
              <w:spacing w:line="240" w:lineRule="exact"/>
            </w:pPr>
            <w:r>
              <w:t>NMHC</w:t>
            </w:r>
          </w:p>
        </w:tc>
        <w:tc>
          <w:tcPr>
            <w:tcW w:w="482" w:type="pct"/>
            <w:tcBorders>
              <w:top w:val="single" w:sz="4" w:space="0" w:color="auto"/>
              <w:left w:val="nil"/>
              <w:bottom w:val="single" w:sz="4" w:space="0" w:color="auto"/>
              <w:right w:val="single" w:sz="4" w:space="0" w:color="auto"/>
            </w:tcBorders>
          </w:tcPr>
          <w:p w14:paraId="20554A9C"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1C0942" w14:textId="77777777" w:rsidR="002E474C" w:rsidRDefault="00000000">
            <w:pPr>
              <w:pStyle w:val="A-"/>
              <w:spacing w:line="240" w:lineRule="exact"/>
            </w:pPr>
            <w:r>
              <w:t xml:space="preserve">4.500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9BE07F" w14:textId="77777777" w:rsidR="002E474C" w:rsidRDefault="00000000">
            <w:pPr>
              <w:pStyle w:val="A-"/>
              <w:spacing w:line="240" w:lineRule="exact"/>
            </w:pPr>
            <w:r>
              <w:t>4.05</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0058D5" w14:textId="77777777" w:rsidR="002E474C" w:rsidRDefault="00000000">
            <w:pPr>
              <w:pStyle w:val="A-"/>
              <w:spacing w:line="240" w:lineRule="exact"/>
            </w:pPr>
            <w:r>
              <w:t xml:space="preserve">0.450 </w:t>
            </w:r>
          </w:p>
        </w:tc>
      </w:tr>
      <w:tr w:rsidR="002E474C" w14:paraId="48EF2CAE"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6F9A8D1C" w14:textId="77777777" w:rsidR="002E474C" w:rsidRDefault="002E474C">
            <w:pPr>
              <w:pStyle w:val="A-"/>
              <w:spacing w:line="240" w:lineRule="exact"/>
            </w:pPr>
          </w:p>
        </w:tc>
        <w:tc>
          <w:tcPr>
            <w:tcW w:w="502"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17245FC3" w14:textId="77777777" w:rsidR="002E474C" w:rsidRDefault="00000000">
            <w:pPr>
              <w:pStyle w:val="A-"/>
              <w:spacing w:line="240" w:lineRule="exact"/>
            </w:pPr>
            <w:r>
              <w:t>无组织</w:t>
            </w: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7A8797" w14:textId="77777777" w:rsidR="002E474C" w:rsidRDefault="00000000">
            <w:pPr>
              <w:pStyle w:val="A-"/>
              <w:spacing w:line="240" w:lineRule="exact"/>
            </w:pPr>
            <w:r>
              <w:t>H</w:t>
            </w:r>
            <w:r>
              <w:rPr>
                <w:vertAlign w:val="subscript"/>
              </w:rPr>
              <w:t>2</w:t>
            </w:r>
            <w:r>
              <w:t>S</w:t>
            </w:r>
          </w:p>
        </w:tc>
        <w:tc>
          <w:tcPr>
            <w:tcW w:w="482" w:type="pct"/>
            <w:tcBorders>
              <w:top w:val="single" w:sz="4" w:space="0" w:color="auto"/>
              <w:left w:val="nil"/>
              <w:bottom w:val="single" w:sz="4" w:space="0" w:color="auto"/>
              <w:right w:val="single" w:sz="4" w:space="0" w:color="auto"/>
            </w:tcBorders>
          </w:tcPr>
          <w:p w14:paraId="1CB09E33"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B1C50C" w14:textId="77777777" w:rsidR="002E474C" w:rsidRDefault="00000000">
            <w:pPr>
              <w:pStyle w:val="A-"/>
              <w:spacing w:line="240" w:lineRule="exact"/>
            </w:pPr>
            <w:r>
              <w:t>0.</w:t>
            </w:r>
            <w:r>
              <w:rPr>
                <w:rFonts w:hint="eastAsia"/>
              </w:rPr>
              <w:t>038</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4E131E1"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435A62" w14:textId="77777777" w:rsidR="002E474C" w:rsidRDefault="00000000">
            <w:pPr>
              <w:pStyle w:val="A-"/>
              <w:spacing w:line="240" w:lineRule="exact"/>
            </w:pPr>
            <w:r>
              <w:t>0.0</w:t>
            </w:r>
            <w:r>
              <w:rPr>
                <w:rFonts w:hint="eastAsia"/>
              </w:rPr>
              <w:t>38</w:t>
            </w:r>
          </w:p>
        </w:tc>
      </w:tr>
      <w:tr w:rsidR="002E474C" w14:paraId="4072A852"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1A91E934" w14:textId="77777777" w:rsidR="002E474C" w:rsidRDefault="002E474C">
            <w:pPr>
              <w:pStyle w:val="A-"/>
              <w:spacing w:line="240" w:lineRule="exact"/>
            </w:pPr>
          </w:p>
        </w:tc>
        <w:tc>
          <w:tcPr>
            <w:tcW w:w="502" w:type="pct"/>
            <w:vMerge/>
            <w:tcBorders>
              <w:top w:val="nil"/>
              <w:left w:val="single" w:sz="4" w:space="0" w:color="auto"/>
              <w:bottom w:val="single" w:sz="4" w:space="0" w:color="000000"/>
              <w:right w:val="single" w:sz="4" w:space="0" w:color="auto"/>
            </w:tcBorders>
            <w:vAlign w:val="center"/>
          </w:tcPr>
          <w:p w14:paraId="6AAC2922"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B2F4DC" w14:textId="77777777" w:rsidR="002E474C" w:rsidRDefault="00000000">
            <w:pPr>
              <w:pStyle w:val="A-"/>
              <w:spacing w:line="240" w:lineRule="exact"/>
            </w:pPr>
            <w:r>
              <w:t>NH</w:t>
            </w:r>
            <w:r>
              <w:rPr>
                <w:vertAlign w:val="subscript"/>
              </w:rPr>
              <w:t>3</w:t>
            </w:r>
          </w:p>
        </w:tc>
        <w:tc>
          <w:tcPr>
            <w:tcW w:w="482" w:type="pct"/>
            <w:tcBorders>
              <w:top w:val="single" w:sz="4" w:space="0" w:color="auto"/>
              <w:left w:val="nil"/>
              <w:bottom w:val="single" w:sz="4" w:space="0" w:color="auto"/>
              <w:right w:val="single" w:sz="4" w:space="0" w:color="auto"/>
            </w:tcBorders>
          </w:tcPr>
          <w:p w14:paraId="11689143"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997C0C" w14:textId="77777777" w:rsidR="002E474C" w:rsidRDefault="00000000">
            <w:pPr>
              <w:pStyle w:val="A-"/>
              <w:spacing w:line="240" w:lineRule="exact"/>
            </w:pPr>
            <w:r>
              <w:t>0.</w:t>
            </w:r>
            <w:r>
              <w:rPr>
                <w:rFonts w:hint="eastAsia"/>
              </w:rPr>
              <w:t>460</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6238C7DA"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57DAD3" w14:textId="77777777" w:rsidR="002E474C" w:rsidRDefault="00000000">
            <w:pPr>
              <w:pStyle w:val="A-"/>
              <w:spacing w:line="240" w:lineRule="exact"/>
            </w:pPr>
            <w:r>
              <w:t>0.</w:t>
            </w:r>
            <w:r>
              <w:rPr>
                <w:rFonts w:hint="eastAsia"/>
              </w:rPr>
              <w:t>460</w:t>
            </w:r>
          </w:p>
        </w:tc>
      </w:tr>
      <w:tr w:rsidR="002E474C" w14:paraId="6990AF6B" w14:textId="77777777">
        <w:trPr>
          <w:trHeight w:val="283"/>
        </w:trPr>
        <w:tc>
          <w:tcPr>
            <w:tcW w:w="315" w:type="pct"/>
            <w:vMerge/>
            <w:tcBorders>
              <w:top w:val="nil"/>
              <w:left w:val="single" w:sz="4" w:space="0" w:color="auto"/>
              <w:bottom w:val="single" w:sz="4" w:space="0" w:color="000000"/>
              <w:right w:val="single" w:sz="4" w:space="0" w:color="auto"/>
            </w:tcBorders>
            <w:vAlign w:val="center"/>
          </w:tcPr>
          <w:p w14:paraId="09B01933" w14:textId="77777777" w:rsidR="002E474C" w:rsidRDefault="002E474C">
            <w:pPr>
              <w:pStyle w:val="A-"/>
              <w:spacing w:line="240" w:lineRule="exact"/>
            </w:pPr>
          </w:p>
        </w:tc>
        <w:tc>
          <w:tcPr>
            <w:tcW w:w="502" w:type="pct"/>
            <w:vMerge/>
            <w:tcBorders>
              <w:top w:val="nil"/>
              <w:left w:val="single" w:sz="4" w:space="0" w:color="auto"/>
              <w:bottom w:val="single" w:sz="4" w:space="0" w:color="000000"/>
              <w:right w:val="single" w:sz="4" w:space="0" w:color="auto"/>
            </w:tcBorders>
            <w:vAlign w:val="center"/>
          </w:tcPr>
          <w:p w14:paraId="43C370F9"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D1EA2E" w14:textId="77777777" w:rsidR="002E474C" w:rsidRDefault="00000000">
            <w:pPr>
              <w:pStyle w:val="A-"/>
              <w:spacing w:line="240" w:lineRule="exact"/>
            </w:pPr>
            <w:r>
              <w:t>NMHC</w:t>
            </w:r>
          </w:p>
        </w:tc>
        <w:tc>
          <w:tcPr>
            <w:tcW w:w="482" w:type="pct"/>
            <w:tcBorders>
              <w:top w:val="single" w:sz="4" w:space="0" w:color="auto"/>
              <w:left w:val="nil"/>
              <w:bottom w:val="single" w:sz="4" w:space="0" w:color="auto"/>
              <w:right w:val="single" w:sz="4" w:space="0" w:color="auto"/>
            </w:tcBorders>
          </w:tcPr>
          <w:p w14:paraId="7F11CBDC" w14:textId="77777777" w:rsidR="002E474C" w:rsidRDefault="00000000">
            <w:pPr>
              <w:pStyle w:val="A-"/>
              <w:spacing w:line="240" w:lineRule="exact"/>
              <w:rPr>
                <w:rFonts w:eastAsia="等线"/>
              </w:rPr>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C6BF5D" w14:textId="77777777" w:rsidR="002E474C" w:rsidRDefault="00000000">
            <w:pPr>
              <w:pStyle w:val="A-"/>
              <w:spacing w:line="240" w:lineRule="exact"/>
            </w:pPr>
            <w:r>
              <w:t>0.</w:t>
            </w:r>
            <w:r>
              <w:rPr>
                <w:rFonts w:hint="eastAsia"/>
              </w:rPr>
              <w:t>500</w:t>
            </w:r>
            <w:r>
              <w:t xml:space="preserve">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2BA84A26" w14:textId="77777777" w:rsidR="002E474C" w:rsidRDefault="00000000">
            <w:pPr>
              <w:pStyle w:val="A-"/>
              <w:spacing w:line="240" w:lineRule="exact"/>
            </w:pPr>
            <w:r>
              <w:t>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3154D7" w14:textId="77777777" w:rsidR="002E474C" w:rsidRDefault="00000000">
            <w:pPr>
              <w:pStyle w:val="A-"/>
              <w:spacing w:line="240" w:lineRule="exact"/>
            </w:pPr>
            <w:r>
              <w:t>0.</w:t>
            </w:r>
            <w:r>
              <w:rPr>
                <w:rFonts w:hint="eastAsia"/>
              </w:rPr>
              <w:t>500</w:t>
            </w:r>
            <w:r>
              <w:t xml:space="preserve"> </w:t>
            </w:r>
          </w:p>
        </w:tc>
      </w:tr>
      <w:tr w:rsidR="002E474C" w14:paraId="153A4102" w14:textId="77777777">
        <w:trPr>
          <w:trHeight w:val="283"/>
        </w:trPr>
        <w:tc>
          <w:tcPr>
            <w:tcW w:w="817" w:type="pct"/>
            <w:gridSpan w:val="2"/>
            <w:vMerge w:val="restart"/>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center"/>
          </w:tcPr>
          <w:p w14:paraId="6EA68AB0" w14:textId="77777777" w:rsidR="002E474C" w:rsidRDefault="00000000">
            <w:pPr>
              <w:pStyle w:val="A-"/>
              <w:spacing w:line="240" w:lineRule="exact"/>
            </w:pPr>
            <w:r>
              <w:t>废水</w:t>
            </w: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237495" w14:textId="77777777" w:rsidR="002E474C" w:rsidRDefault="00000000">
            <w:pPr>
              <w:pStyle w:val="A-"/>
              <w:spacing w:line="240" w:lineRule="exact"/>
            </w:pPr>
            <w:r>
              <w:t>废水量</w:t>
            </w:r>
          </w:p>
        </w:tc>
        <w:tc>
          <w:tcPr>
            <w:tcW w:w="482" w:type="pct"/>
            <w:tcBorders>
              <w:top w:val="single" w:sz="4" w:space="0" w:color="auto"/>
              <w:left w:val="nil"/>
              <w:bottom w:val="single" w:sz="4" w:space="0" w:color="auto"/>
              <w:right w:val="single" w:sz="4" w:space="0" w:color="auto"/>
            </w:tcBorders>
            <w:vAlign w:val="center"/>
          </w:tcPr>
          <w:p w14:paraId="193C284F" w14:textId="77777777" w:rsidR="002E474C" w:rsidRDefault="00000000">
            <w:pPr>
              <w:pStyle w:val="A-"/>
              <w:spacing w:line="240" w:lineRule="exact"/>
            </w:pPr>
            <w:r>
              <w:t>m³/a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3E330AC" w14:textId="77777777" w:rsidR="002E474C" w:rsidRDefault="00000000">
            <w:pPr>
              <w:pStyle w:val="A-"/>
              <w:spacing w:line="240" w:lineRule="exact"/>
            </w:pPr>
            <w:r>
              <w:t>822.6</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F0563" w14:textId="77777777" w:rsidR="002E474C" w:rsidRDefault="00000000">
            <w:pPr>
              <w:pStyle w:val="A-"/>
              <w:spacing w:line="240" w:lineRule="exact"/>
            </w:pPr>
            <w:r>
              <w:t>822.6</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0E64B4" w14:textId="77777777" w:rsidR="002E474C" w:rsidRDefault="00000000">
            <w:pPr>
              <w:pStyle w:val="A-"/>
              <w:spacing w:line="240" w:lineRule="exact"/>
            </w:pPr>
            <w:r>
              <w:t>0</w:t>
            </w:r>
          </w:p>
        </w:tc>
      </w:tr>
      <w:tr w:rsidR="002E474C" w14:paraId="7FB766AF" w14:textId="77777777">
        <w:trPr>
          <w:trHeight w:val="283"/>
        </w:trPr>
        <w:tc>
          <w:tcPr>
            <w:tcW w:w="817" w:type="pct"/>
            <w:gridSpan w:val="2"/>
            <w:vMerge/>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center"/>
          </w:tcPr>
          <w:p w14:paraId="76DCA7B0"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1A1376" w14:textId="77777777" w:rsidR="002E474C" w:rsidRDefault="00000000">
            <w:pPr>
              <w:pStyle w:val="A-"/>
              <w:spacing w:line="240" w:lineRule="exact"/>
            </w:pPr>
            <w:r>
              <w:t>COD</w:t>
            </w:r>
          </w:p>
        </w:tc>
        <w:tc>
          <w:tcPr>
            <w:tcW w:w="482" w:type="pct"/>
            <w:tcBorders>
              <w:top w:val="single" w:sz="4" w:space="0" w:color="auto"/>
              <w:left w:val="nil"/>
              <w:bottom w:val="single" w:sz="4" w:space="0" w:color="auto"/>
              <w:right w:val="single" w:sz="4" w:space="0" w:color="auto"/>
            </w:tcBorders>
            <w:vAlign w:val="center"/>
          </w:tcPr>
          <w:p w14:paraId="2569478C"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EA89BE" w14:textId="77777777" w:rsidR="002E474C" w:rsidRDefault="00000000">
            <w:pPr>
              <w:pStyle w:val="A-"/>
              <w:spacing w:line="240" w:lineRule="exact"/>
            </w:pPr>
            <w:r>
              <w:t xml:space="preserve">0.550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32D98" w14:textId="77777777" w:rsidR="002E474C" w:rsidRDefault="00000000">
            <w:pPr>
              <w:pStyle w:val="A-"/>
              <w:spacing w:line="240" w:lineRule="exact"/>
            </w:pPr>
            <w:r>
              <w:t xml:space="preserve">0.550 </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E8E575" w14:textId="77777777" w:rsidR="002E474C" w:rsidRDefault="00000000">
            <w:pPr>
              <w:pStyle w:val="A-"/>
              <w:spacing w:line="240" w:lineRule="exact"/>
            </w:pPr>
            <w:r>
              <w:t>0</w:t>
            </w:r>
          </w:p>
        </w:tc>
      </w:tr>
      <w:tr w:rsidR="002E474C" w14:paraId="0EC55B45" w14:textId="77777777">
        <w:trPr>
          <w:trHeight w:val="283"/>
        </w:trPr>
        <w:tc>
          <w:tcPr>
            <w:tcW w:w="817" w:type="pct"/>
            <w:gridSpan w:val="2"/>
            <w:vMerge/>
            <w:tcBorders>
              <w:top w:val="single" w:sz="4" w:space="0" w:color="auto"/>
              <w:left w:val="single" w:sz="4" w:space="0" w:color="auto"/>
              <w:bottom w:val="nil"/>
              <w:right w:val="single" w:sz="4" w:space="0" w:color="000000"/>
            </w:tcBorders>
            <w:vAlign w:val="center"/>
          </w:tcPr>
          <w:p w14:paraId="39EB35B8"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78AE49" w14:textId="77777777" w:rsidR="002E474C" w:rsidRDefault="00000000">
            <w:pPr>
              <w:pStyle w:val="A-"/>
              <w:spacing w:line="240" w:lineRule="exact"/>
            </w:pPr>
            <w:r>
              <w:t>氨氮</w:t>
            </w:r>
          </w:p>
        </w:tc>
        <w:tc>
          <w:tcPr>
            <w:tcW w:w="482" w:type="pct"/>
            <w:tcBorders>
              <w:top w:val="single" w:sz="4" w:space="0" w:color="auto"/>
              <w:left w:val="nil"/>
              <w:bottom w:val="single" w:sz="4" w:space="0" w:color="auto"/>
              <w:right w:val="single" w:sz="4" w:space="0" w:color="auto"/>
            </w:tcBorders>
            <w:vAlign w:val="center"/>
          </w:tcPr>
          <w:p w14:paraId="23C2E337"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936D68" w14:textId="77777777" w:rsidR="002E474C" w:rsidRDefault="00000000">
            <w:pPr>
              <w:pStyle w:val="A-"/>
              <w:spacing w:line="240" w:lineRule="exact"/>
            </w:pPr>
            <w:r>
              <w:t xml:space="preserve">0.048 </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D8D9A3" w14:textId="77777777" w:rsidR="002E474C" w:rsidRDefault="00000000">
            <w:pPr>
              <w:pStyle w:val="A-"/>
              <w:spacing w:line="240" w:lineRule="exact"/>
            </w:pPr>
            <w:r>
              <w:t xml:space="preserve">0.048 </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223E85" w14:textId="77777777" w:rsidR="002E474C" w:rsidRDefault="00000000">
            <w:pPr>
              <w:pStyle w:val="A-"/>
              <w:spacing w:line="240" w:lineRule="exact"/>
            </w:pPr>
            <w:r>
              <w:t>0</w:t>
            </w:r>
          </w:p>
        </w:tc>
      </w:tr>
      <w:tr w:rsidR="002E474C" w14:paraId="351EA48A" w14:textId="77777777">
        <w:trPr>
          <w:trHeight w:val="283"/>
        </w:trPr>
        <w:tc>
          <w:tcPr>
            <w:tcW w:w="81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44B2FB9" w14:textId="77777777" w:rsidR="002E474C" w:rsidRDefault="00000000">
            <w:pPr>
              <w:pStyle w:val="A-"/>
              <w:spacing w:line="240" w:lineRule="exact"/>
            </w:pPr>
            <w:r>
              <w:t>固体废物</w:t>
            </w: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7294E4" w14:textId="77777777" w:rsidR="002E474C" w:rsidRDefault="00000000">
            <w:pPr>
              <w:pStyle w:val="A-"/>
              <w:spacing w:line="240" w:lineRule="exact"/>
            </w:pPr>
            <w:r>
              <w:t>废包装物</w:t>
            </w:r>
          </w:p>
        </w:tc>
        <w:tc>
          <w:tcPr>
            <w:tcW w:w="482" w:type="pct"/>
            <w:tcBorders>
              <w:top w:val="single" w:sz="4" w:space="0" w:color="auto"/>
              <w:left w:val="nil"/>
              <w:bottom w:val="single" w:sz="4" w:space="0" w:color="auto"/>
              <w:right w:val="single" w:sz="4" w:space="0" w:color="auto"/>
            </w:tcBorders>
          </w:tcPr>
          <w:p w14:paraId="2DC6A9A6"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670F56" w14:textId="77777777" w:rsidR="002E474C" w:rsidRDefault="00000000">
            <w:pPr>
              <w:pStyle w:val="A-"/>
              <w:spacing w:line="240" w:lineRule="exact"/>
            </w:pPr>
            <w:r>
              <w:rPr>
                <w:rFonts w:hint="eastAsia"/>
              </w:rPr>
              <w:t>205</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C41B67" w14:textId="77777777" w:rsidR="002E474C" w:rsidRDefault="00000000">
            <w:pPr>
              <w:pStyle w:val="A-"/>
              <w:spacing w:line="240" w:lineRule="exact"/>
            </w:pPr>
            <w:r>
              <w:rPr>
                <w:rFonts w:hint="eastAsia"/>
              </w:rPr>
              <w:t>205</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5C0AFF" w14:textId="77777777" w:rsidR="002E474C" w:rsidRDefault="00000000">
            <w:pPr>
              <w:pStyle w:val="A-"/>
              <w:spacing w:line="240" w:lineRule="exact"/>
            </w:pPr>
            <w:r>
              <w:t>0</w:t>
            </w:r>
          </w:p>
        </w:tc>
      </w:tr>
      <w:tr w:rsidR="002E474C" w14:paraId="72C5AB15"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739B1C0B"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8FD100" w14:textId="77777777" w:rsidR="002E474C" w:rsidRDefault="00000000">
            <w:pPr>
              <w:pStyle w:val="A-"/>
              <w:spacing w:line="240" w:lineRule="exact"/>
            </w:pPr>
            <w:r>
              <w:t>过滤渣</w:t>
            </w:r>
          </w:p>
        </w:tc>
        <w:tc>
          <w:tcPr>
            <w:tcW w:w="482" w:type="pct"/>
            <w:tcBorders>
              <w:top w:val="single" w:sz="4" w:space="0" w:color="auto"/>
              <w:left w:val="nil"/>
              <w:bottom w:val="single" w:sz="4" w:space="0" w:color="auto"/>
              <w:right w:val="single" w:sz="4" w:space="0" w:color="auto"/>
            </w:tcBorders>
          </w:tcPr>
          <w:p w14:paraId="4851C258"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997F8A" w14:textId="77777777" w:rsidR="002E474C" w:rsidRDefault="00000000">
            <w:pPr>
              <w:pStyle w:val="A-"/>
              <w:spacing w:line="240" w:lineRule="exact"/>
            </w:pPr>
            <w:r>
              <w:t>1</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BE953E" w14:textId="77777777" w:rsidR="002E474C" w:rsidRDefault="00000000">
            <w:pPr>
              <w:pStyle w:val="A-"/>
              <w:spacing w:line="240" w:lineRule="exact"/>
            </w:pPr>
            <w:r>
              <w:t>1</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47049A2" w14:textId="77777777" w:rsidR="002E474C" w:rsidRDefault="00000000">
            <w:pPr>
              <w:pStyle w:val="A-"/>
              <w:spacing w:line="240" w:lineRule="exact"/>
            </w:pPr>
            <w:r>
              <w:t>0</w:t>
            </w:r>
          </w:p>
        </w:tc>
      </w:tr>
      <w:tr w:rsidR="002E474C" w14:paraId="27962C9C"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24413FAA"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341A1F" w14:textId="77777777" w:rsidR="002E474C" w:rsidRDefault="00000000">
            <w:pPr>
              <w:pStyle w:val="A-"/>
              <w:spacing w:line="240" w:lineRule="exact"/>
            </w:pPr>
            <w:r>
              <w:t>污水收集池污泥</w:t>
            </w:r>
          </w:p>
        </w:tc>
        <w:tc>
          <w:tcPr>
            <w:tcW w:w="482" w:type="pct"/>
            <w:tcBorders>
              <w:top w:val="single" w:sz="4" w:space="0" w:color="auto"/>
              <w:left w:val="nil"/>
              <w:bottom w:val="single" w:sz="4" w:space="0" w:color="auto"/>
              <w:right w:val="single" w:sz="4" w:space="0" w:color="auto"/>
            </w:tcBorders>
          </w:tcPr>
          <w:p w14:paraId="47DB0E66"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C431B4" w14:textId="77777777" w:rsidR="002E474C" w:rsidRDefault="00000000">
            <w:pPr>
              <w:pStyle w:val="A-"/>
              <w:spacing w:line="240" w:lineRule="exact"/>
            </w:pPr>
            <w:r>
              <w:t>0.2</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B38748" w14:textId="77777777" w:rsidR="002E474C" w:rsidRDefault="00000000">
            <w:pPr>
              <w:pStyle w:val="A-"/>
              <w:spacing w:line="240" w:lineRule="exact"/>
            </w:pPr>
            <w:r>
              <w:t>0.2</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59942C" w14:textId="77777777" w:rsidR="002E474C" w:rsidRDefault="00000000">
            <w:pPr>
              <w:pStyle w:val="A-"/>
              <w:spacing w:line="240" w:lineRule="exact"/>
            </w:pPr>
            <w:r>
              <w:t>0</w:t>
            </w:r>
          </w:p>
        </w:tc>
      </w:tr>
      <w:tr w:rsidR="002E474C" w14:paraId="17D69F2D"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473A213B"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19B5FE" w14:textId="77777777" w:rsidR="002E474C" w:rsidRDefault="00000000">
            <w:pPr>
              <w:pStyle w:val="A-"/>
              <w:spacing w:line="240" w:lineRule="exact"/>
            </w:pPr>
            <w:r>
              <w:t>废活性炭</w:t>
            </w:r>
          </w:p>
        </w:tc>
        <w:tc>
          <w:tcPr>
            <w:tcW w:w="482" w:type="pct"/>
            <w:tcBorders>
              <w:top w:val="single" w:sz="4" w:space="0" w:color="auto"/>
              <w:left w:val="nil"/>
              <w:bottom w:val="single" w:sz="4" w:space="0" w:color="auto"/>
              <w:right w:val="single" w:sz="4" w:space="0" w:color="auto"/>
            </w:tcBorders>
            <w:vAlign w:val="center"/>
          </w:tcPr>
          <w:p w14:paraId="216797C8"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36AA93" w14:textId="77777777" w:rsidR="002E474C" w:rsidRDefault="00000000">
            <w:pPr>
              <w:pStyle w:val="A-"/>
              <w:spacing w:line="240" w:lineRule="exact"/>
            </w:pPr>
            <w:r>
              <w:rPr>
                <w:rFonts w:hint="eastAsia"/>
              </w:rPr>
              <w:t>30</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3A97DA" w14:textId="77777777" w:rsidR="002E474C" w:rsidRDefault="00000000">
            <w:pPr>
              <w:pStyle w:val="A-"/>
              <w:spacing w:line="240" w:lineRule="exact"/>
            </w:pPr>
            <w:r>
              <w:rPr>
                <w:rFonts w:hint="eastAsia"/>
              </w:rPr>
              <w:t>30</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E066DB" w14:textId="77777777" w:rsidR="002E474C" w:rsidRDefault="00000000">
            <w:pPr>
              <w:pStyle w:val="A-"/>
              <w:spacing w:line="240" w:lineRule="exact"/>
            </w:pPr>
            <w:r>
              <w:t>0</w:t>
            </w:r>
          </w:p>
        </w:tc>
      </w:tr>
      <w:tr w:rsidR="002E474C" w14:paraId="7B5571AF"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1FA53CFE"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21A63B" w14:textId="77777777" w:rsidR="002E474C" w:rsidRDefault="00000000">
            <w:pPr>
              <w:pStyle w:val="A-"/>
              <w:spacing w:line="240" w:lineRule="exact"/>
            </w:pPr>
            <w:r>
              <w:t>废润滑油</w:t>
            </w:r>
          </w:p>
        </w:tc>
        <w:tc>
          <w:tcPr>
            <w:tcW w:w="482" w:type="pct"/>
            <w:tcBorders>
              <w:top w:val="single" w:sz="4" w:space="0" w:color="auto"/>
              <w:left w:val="nil"/>
              <w:bottom w:val="single" w:sz="4" w:space="0" w:color="auto"/>
              <w:right w:val="single" w:sz="4" w:space="0" w:color="auto"/>
            </w:tcBorders>
            <w:vAlign w:val="center"/>
          </w:tcPr>
          <w:p w14:paraId="22F2E3A0"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1341D2" w14:textId="77777777" w:rsidR="002E474C" w:rsidRDefault="00000000">
            <w:pPr>
              <w:pStyle w:val="A-"/>
              <w:spacing w:line="240" w:lineRule="exact"/>
            </w:pPr>
            <w:r>
              <w:t>0.1</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D1072F" w14:textId="77777777" w:rsidR="002E474C" w:rsidRDefault="00000000">
            <w:pPr>
              <w:pStyle w:val="A-"/>
              <w:spacing w:line="240" w:lineRule="exact"/>
            </w:pPr>
            <w:r>
              <w:t>0.1</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0D4D25" w14:textId="77777777" w:rsidR="002E474C" w:rsidRDefault="00000000">
            <w:pPr>
              <w:pStyle w:val="A-"/>
              <w:spacing w:line="240" w:lineRule="exact"/>
            </w:pPr>
            <w:r>
              <w:t>0</w:t>
            </w:r>
          </w:p>
        </w:tc>
      </w:tr>
      <w:tr w:rsidR="002E474C" w14:paraId="3551170B"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17F74056"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6BDD2A" w14:textId="77777777" w:rsidR="002E474C" w:rsidRDefault="00000000">
            <w:pPr>
              <w:pStyle w:val="A-"/>
              <w:spacing w:line="240" w:lineRule="exact"/>
            </w:pPr>
            <w:r>
              <w:t>废滤袋</w:t>
            </w:r>
          </w:p>
        </w:tc>
        <w:tc>
          <w:tcPr>
            <w:tcW w:w="482" w:type="pct"/>
            <w:tcBorders>
              <w:top w:val="single" w:sz="4" w:space="0" w:color="auto"/>
              <w:left w:val="nil"/>
              <w:bottom w:val="single" w:sz="4" w:space="0" w:color="auto"/>
              <w:right w:val="single" w:sz="4" w:space="0" w:color="auto"/>
            </w:tcBorders>
            <w:vAlign w:val="center"/>
          </w:tcPr>
          <w:p w14:paraId="5C105764"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F58DF0" w14:textId="77777777" w:rsidR="002E474C" w:rsidRDefault="00000000">
            <w:pPr>
              <w:pStyle w:val="A-"/>
              <w:spacing w:line="240" w:lineRule="exact"/>
            </w:pPr>
            <w:r>
              <w:t>0.5</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531EA1" w14:textId="77777777" w:rsidR="002E474C" w:rsidRDefault="00000000">
            <w:pPr>
              <w:pStyle w:val="A-"/>
              <w:spacing w:line="240" w:lineRule="exact"/>
            </w:pPr>
            <w:r>
              <w:t>0.5</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CAFCCC" w14:textId="77777777" w:rsidR="002E474C" w:rsidRDefault="00000000">
            <w:pPr>
              <w:pStyle w:val="A-"/>
              <w:spacing w:line="240" w:lineRule="exact"/>
            </w:pPr>
            <w:r>
              <w:t>0</w:t>
            </w:r>
          </w:p>
        </w:tc>
      </w:tr>
      <w:tr w:rsidR="002E474C" w14:paraId="33AF82FD"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02EDE16F"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EE0A08" w14:textId="77777777" w:rsidR="002E474C" w:rsidRDefault="00000000">
            <w:pPr>
              <w:pStyle w:val="A-"/>
              <w:spacing w:line="240" w:lineRule="exact"/>
            </w:pPr>
            <w:r>
              <w:t>除尘灰</w:t>
            </w:r>
          </w:p>
        </w:tc>
        <w:tc>
          <w:tcPr>
            <w:tcW w:w="482" w:type="pct"/>
            <w:tcBorders>
              <w:top w:val="single" w:sz="4" w:space="0" w:color="auto"/>
              <w:left w:val="nil"/>
              <w:bottom w:val="single" w:sz="4" w:space="0" w:color="auto"/>
              <w:right w:val="single" w:sz="4" w:space="0" w:color="auto"/>
            </w:tcBorders>
            <w:vAlign w:val="center"/>
          </w:tcPr>
          <w:p w14:paraId="1903C348"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675AA0" w14:textId="77777777" w:rsidR="002E474C" w:rsidRDefault="00000000">
            <w:pPr>
              <w:pStyle w:val="A-"/>
              <w:spacing w:line="240" w:lineRule="exact"/>
            </w:pPr>
            <w:r>
              <w:t>12</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0C922D" w14:textId="77777777" w:rsidR="002E474C" w:rsidRDefault="00000000">
            <w:pPr>
              <w:pStyle w:val="A-"/>
              <w:spacing w:line="240" w:lineRule="exact"/>
            </w:pPr>
            <w:r>
              <w:t>12</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50B152" w14:textId="77777777" w:rsidR="002E474C" w:rsidRDefault="00000000">
            <w:pPr>
              <w:pStyle w:val="A-"/>
              <w:spacing w:line="240" w:lineRule="exact"/>
            </w:pPr>
            <w:r>
              <w:t>0</w:t>
            </w:r>
          </w:p>
        </w:tc>
      </w:tr>
      <w:tr w:rsidR="002E474C" w14:paraId="14651A4C" w14:textId="77777777">
        <w:trPr>
          <w:trHeight w:val="283"/>
        </w:trPr>
        <w:tc>
          <w:tcPr>
            <w:tcW w:w="817" w:type="pct"/>
            <w:gridSpan w:val="2"/>
            <w:vMerge/>
            <w:tcBorders>
              <w:top w:val="single" w:sz="4" w:space="0" w:color="auto"/>
              <w:left w:val="single" w:sz="4" w:space="0" w:color="auto"/>
              <w:bottom w:val="single" w:sz="4" w:space="0" w:color="auto"/>
              <w:right w:val="single" w:sz="4" w:space="0" w:color="auto"/>
            </w:tcBorders>
            <w:vAlign w:val="center"/>
          </w:tcPr>
          <w:p w14:paraId="6F40E279" w14:textId="77777777" w:rsidR="002E474C" w:rsidRDefault="002E474C">
            <w:pPr>
              <w:pStyle w:val="A-"/>
              <w:spacing w:line="240" w:lineRule="exact"/>
            </w:pPr>
          </w:p>
        </w:tc>
        <w:tc>
          <w:tcPr>
            <w:tcW w:w="18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3D2F80" w14:textId="77777777" w:rsidR="002E474C" w:rsidRDefault="00000000">
            <w:pPr>
              <w:pStyle w:val="A-"/>
              <w:spacing w:line="240" w:lineRule="exact"/>
            </w:pPr>
            <w:r>
              <w:t>生活垃圾</w:t>
            </w:r>
          </w:p>
        </w:tc>
        <w:tc>
          <w:tcPr>
            <w:tcW w:w="482" w:type="pct"/>
            <w:tcBorders>
              <w:top w:val="single" w:sz="4" w:space="0" w:color="auto"/>
              <w:left w:val="nil"/>
              <w:bottom w:val="single" w:sz="4" w:space="0" w:color="auto"/>
              <w:right w:val="single" w:sz="4" w:space="0" w:color="auto"/>
            </w:tcBorders>
            <w:vAlign w:val="center"/>
          </w:tcPr>
          <w:p w14:paraId="7153F892" w14:textId="77777777" w:rsidR="002E474C" w:rsidRDefault="00000000">
            <w:pPr>
              <w:pStyle w:val="A-"/>
              <w:spacing w:line="240" w:lineRule="exact"/>
            </w:pPr>
            <w:r>
              <w:t>t/a</w:t>
            </w:r>
          </w:p>
        </w:tc>
        <w:tc>
          <w:tcPr>
            <w:tcW w:w="7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73E649" w14:textId="77777777" w:rsidR="002E474C" w:rsidRDefault="00000000">
            <w:pPr>
              <w:pStyle w:val="A-"/>
              <w:spacing w:line="240" w:lineRule="exact"/>
            </w:pPr>
            <w:r>
              <w:t>6</w:t>
            </w:r>
          </w:p>
        </w:tc>
        <w:tc>
          <w:tcPr>
            <w:tcW w:w="6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565211" w14:textId="77777777" w:rsidR="002E474C" w:rsidRDefault="00000000">
            <w:pPr>
              <w:pStyle w:val="A-"/>
              <w:spacing w:line="240" w:lineRule="exact"/>
            </w:pPr>
            <w:r>
              <w:t>6</w:t>
            </w:r>
          </w:p>
        </w:tc>
        <w:tc>
          <w:tcPr>
            <w:tcW w:w="5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971DF5" w14:textId="77777777" w:rsidR="002E474C" w:rsidRDefault="00000000">
            <w:pPr>
              <w:pStyle w:val="A-"/>
              <w:spacing w:line="240" w:lineRule="exact"/>
            </w:pPr>
            <w:r>
              <w:t>0</w:t>
            </w:r>
          </w:p>
        </w:tc>
      </w:tr>
    </w:tbl>
    <w:p w14:paraId="05AE845E" w14:textId="77777777" w:rsidR="002E474C" w:rsidRDefault="00000000">
      <w:pPr>
        <w:pStyle w:val="A-"/>
        <w:jc w:val="left"/>
      </w:pPr>
      <w:r>
        <w:t>注：水泥窑协同处置危险废物不会导致窑尾烟气中颗粒物、</w:t>
      </w:r>
      <w:r>
        <w:t>NOx</w:t>
      </w:r>
      <w:r>
        <w:t>、</w:t>
      </w:r>
      <w:r>
        <w:t>SO</w:t>
      </w:r>
      <w:r>
        <w:rPr>
          <w:vertAlign w:val="subscript"/>
        </w:rPr>
        <w:t>2</w:t>
      </w:r>
      <w:r>
        <w:t>、</w:t>
      </w:r>
      <w:r>
        <w:t>NH</w:t>
      </w:r>
      <w:r>
        <w:rPr>
          <w:vertAlign w:val="subscript"/>
        </w:rPr>
        <w:t>3</w:t>
      </w:r>
      <w:r>
        <w:t>等四项污染物排放量增加。</w:t>
      </w:r>
    </w:p>
    <w:p w14:paraId="1318CAD1" w14:textId="77777777" w:rsidR="002E474C" w:rsidRDefault="00000000">
      <w:pPr>
        <w:pStyle w:val="31"/>
        <w:spacing w:before="156" w:afterLines="0" w:after="0"/>
        <w:rPr>
          <w:color w:val="auto"/>
        </w:rPr>
      </w:pPr>
      <w:r>
        <w:rPr>
          <w:color w:val="auto"/>
        </w:rPr>
        <w:t>本项目实施后污染物</w:t>
      </w:r>
      <w:r>
        <w:rPr>
          <w:color w:val="auto"/>
        </w:rPr>
        <w:t>“</w:t>
      </w:r>
      <w:r>
        <w:rPr>
          <w:color w:val="auto"/>
        </w:rPr>
        <w:t>三本账</w:t>
      </w:r>
      <w:r>
        <w:rPr>
          <w:color w:val="auto"/>
        </w:rPr>
        <w:t>”</w:t>
      </w:r>
      <w:r>
        <w:rPr>
          <w:color w:val="auto"/>
        </w:rPr>
        <w:t>汇总</w:t>
      </w:r>
    </w:p>
    <w:p w14:paraId="39295E09" w14:textId="77777777" w:rsidR="002E474C" w:rsidRDefault="00000000">
      <w:pPr>
        <w:pStyle w:val="A-z"/>
        <w:rPr>
          <w:color w:val="auto"/>
        </w:rPr>
      </w:pPr>
      <w:bookmarkStart w:id="213" w:name="_Ref129691207"/>
      <w:bookmarkStart w:id="214" w:name="_Hlk151212590"/>
      <w:r>
        <w:rPr>
          <w:color w:val="auto"/>
        </w:rPr>
        <w:t>本项目实施后保持现电石渣干法水泥生产线产能不变。现有工程主要污染物排放量根据</w:t>
      </w:r>
      <w:r>
        <w:rPr>
          <w:color w:val="auto"/>
        </w:rPr>
        <w:t>2025</w:t>
      </w:r>
      <w:r>
        <w:rPr>
          <w:color w:val="auto"/>
        </w:rPr>
        <w:t>年生产负荷及《新疆圣雄水泥有限公司排污许可证执行报告年报（</w:t>
      </w:r>
      <w:r>
        <w:rPr>
          <w:color w:val="auto"/>
        </w:rPr>
        <w:t>2025</w:t>
      </w:r>
      <w:r>
        <w:rPr>
          <w:color w:val="auto"/>
        </w:rPr>
        <w:t>年）》核算至满负荷工况。氨、氟化氢与氯化氢根据</w:t>
      </w:r>
      <w:r>
        <w:rPr>
          <w:color w:val="auto"/>
        </w:rPr>
        <w:t>2025</w:t>
      </w:r>
      <w:r>
        <w:rPr>
          <w:color w:val="auto"/>
        </w:rPr>
        <w:t>年企业自行监测报告最大排放速率和物料平衡核算现有工程排放量核算。</w:t>
      </w:r>
    </w:p>
    <w:p w14:paraId="03095C42" w14:textId="77777777" w:rsidR="002E474C" w:rsidRDefault="00000000">
      <w:pPr>
        <w:pStyle w:val="A-z"/>
        <w:rPr>
          <w:color w:val="auto"/>
        </w:rPr>
      </w:pPr>
      <w:r>
        <w:rPr>
          <w:color w:val="auto"/>
        </w:rPr>
        <w:t>本项目实施后正常工况下污染物排放变化情况见表</w:t>
      </w:r>
      <w:r>
        <w:rPr>
          <w:color w:val="auto"/>
        </w:rPr>
        <w:t>3.5-24</w:t>
      </w:r>
      <w:r>
        <w:rPr>
          <w:color w:val="auto"/>
        </w:rPr>
        <w:t>。</w:t>
      </w:r>
    </w:p>
    <w:p w14:paraId="1925136A" w14:textId="77777777" w:rsidR="002E474C" w:rsidRDefault="00000000">
      <w:pPr>
        <w:pStyle w:val="A--"/>
        <w:spacing w:beforeLines="0" w:before="0"/>
        <w:ind w:leftChars="0" w:left="0" w:rightChars="0" w:right="0"/>
        <w:rPr>
          <w:color w:val="auto"/>
        </w:rPr>
      </w:pPr>
      <w:r>
        <w:rPr>
          <w:color w:val="auto"/>
        </w:rPr>
        <w:t>表</w:t>
      </w:r>
      <w:bookmarkEnd w:id="213"/>
      <w:r>
        <w:rPr>
          <w:color w:val="auto"/>
        </w:rPr>
        <w:t xml:space="preserve">3.5-24  </w:t>
      </w:r>
      <w:r>
        <w:rPr>
          <w:color w:val="auto"/>
        </w:rPr>
        <w:t>本项目实施后水泥窑污染物排放量统计（三本帐）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
        <w:gridCol w:w="1571"/>
        <w:gridCol w:w="1128"/>
        <w:gridCol w:w="1128"/>
        <w:gridCol w:w="1128"/>
        <w:gridCol w:w="1692"/>
        <w:gridCol w:w="1369"/>
      </w:tblGrid>
      <w:tr w:rsidR="002E474C" w14:paraId="59E764F8" w14:textId="77777777" w:rsidTr="009C3A0E">
        <w:trPr>
          <w:trHeight w:val="23"/>
        </w:trPr>
        <w:tc>
          <w:tcPr>
            <w:tcW w:w="168" w:type="pct"/>
            <w:shd w:val="clear" w:color="auto" w:fill="auto"/>
            <w:noWrap/>
            <w:tcMar>
              <w:top w:w="15" w:type="dxa"/>
              <w:left w:w="15" w:type="dxa"/>
              <w:bottom w:w="0" w:type="dxa"/>
              <w:right w:w="15" w:type="dxa"/>
            </w:tcMar>
            <w:vAlign w:val="center"/>
          </w:tcPr>
          <w:p w14:paraId="3E668F45" w14:textId="77777777" w:rsidR="002E474C" w:rsidRDefault="00000000">
            <w:pPr>
              <w:pStyle w:val="A-"/>
            </w:pPr>
            <w:r>
              <w:t>类型</w:t>
            </w:r>
          </w:p>
        </w:tc>
        <w:tc>
          <w:tcPr>
            <w:tcW w:w="947" w:type="pct"/>
            <w:shd w:val="clear" w:color="auto" w:fill="auto"/>
            <w:noWrap/>
            <w:tcMar>
              <w:top w:w="15" w:type="dxa"/>
              <w:left w:w="15" w:type="dxa"/>
              <w:bottom w:w="0" w:type="dxa"/>
              <w:right w:w="15" w:type="dxa"/>
            </w:tcMar>
            <w:vAlign w:val="center"/>
          </w:tcPr>
          <w:p w14:paraId="7F9318AA" w14:textId="77777777" w:rsidR="002E474C" w:rsidRDefault="00000000">
            <w:pPr>
              <w:pStyle w:val="A-"/>
            </w:pPr>
            <w:r>
              <w:t>污染物</w:t>
            </w:r>
          </w:p>
        </w:tc>
        <w:tc>
          <w:tcPr>
            <w:tcW w:w="680" w:type="pct"/>
            <w:shd w:val="clear" w:color="auto" w:fill="auto"/>
            <w:noWrap/>
            <w:tcMar>
              <w:top w:w="15" w:type="dxa"/>
              <w:left w:w="15" w:type="dxa"/>
              <w:bottom w:w="0" w:type="dxa"/>
              <w:right w:w="15" w:type="dxa"/>
            </w:tcMar>
            <w:vAlign w:val="center"/>
          </w:tcPr>
          <w:p w14:paraId="4926205A" w14:textId="77777777" w:rsidR="002E474C" w:rsidRDefault="00000000">
            <w:pPr>
              <w:pStyle w:val="A-"/>
            </w:pPr>
            <w:r>
              <w:t>现有工程排放量（</w:t>
            </w:r>
            <w:r>
              <w:t>t/a</w:t>
            </w:r>
            <w:r>
              <w:t>）</w:t>
            </w:r>
          </w:p>
        </w:tc>
        <w:tc>
          <w:tcPr>
            <w:tcW w:w="680" w:type="pct"/>
            <w:shd w:val="clear" w:color="auto" w:fill="auto"/>
            <w:noWrap/>
            <w:tcMar>
              <w:top w:w="15" w:type="dxa"/>
              <w:left w:w="15" w:type="dxa"/>
              <w:bottom w:w="0" w:type="dxa"/>
              <w:right w:w="15" w:type="dxa"/>
            </w:tcMar>
            <w:vAlign w:val="center"/>
          </w:tcPr>
          <w:p w14:paraId="56B3FA6E" w14:textId="77777777" w:rsidR="002E474C" w:rsidRDefault="00000000">
            <w:pPr>
              <w:pStyle w:val="A-"/>
            </w:pPr>
            <w:r>
              <w:t>本项目排放量（</w:t>
            </w:r>
            <w:r>
              <w:t>t/a</w:t>
            </w:r>
            <w:r>
              <w:t>）</w:t>
            </w:r>
          </w:p>
        </w:tc>
        <w:tc>
          <w:tcPr>
            <w:tcW w:w="680" w:type="pct"/>
            <w:shd w:val="clear" w:color="auto" w:fill="auto"/>
            <w:noWrap/>
            <w:tcMar>
              <w:top w:w="15" w:type="dxa"/>
              <w:left w:w="15" w:type="dxa"/>
              <w:bottom w:w="0" w:type="dxa"/>
              <w:right w:w="15" w:type="dxa"/>
            </w:tcMar>
            <w:vAlign w:val="center"/>
          </w:tcPr>
          <w:p w14:paraId="519B30B7" w14:textId="77777777" w:rsidR="002E474C" w:rsidRDefault="00000000">
            <w:pPr>
              <w:pStyle w:val="A-"/>
            </w:pPr>
            <w:r>
              <w:t>“</w:t>
            </w:r>
            <w:r>
              <w:t>以新带老</w:t>
            </w:r>
            <w:r>
              <w:t>”</w:t>
            </w:r>
            <w:r>
              <w:t>削减量</w:t>
            </w:r>
          </w:p>
        </w:tc>
        <w:tc>
          <w:tcPr>
            <w:tcW w:w="1020" w:type="pct"/>
            <w:shd w:val="clear" w:color="auto" w:fill="auto"/>
            <w:noWrap/>
            <w:tcMar>
              <w:top w:w="15" w:type="dxa"/>
              <w:left w:w="15" w:type="dxa"/>
              <w:bottom w:w="0" w:type="dxa"/>
              <w:right w:w="15" w:type="dxa"/>
            </w:tcMar>
            <w:vAlign w:val="center"/>
          </w:tcPr>
          <w:p w14:paraId="49A8C5C1" w14:textId="77777777" w:rsidR="002E474C" w:rsidRDefault="00000000">
            <w:pPr>
              <w:pStyle w:val="A-"/>
            </w:pPr>
            <w:r>
              <w:t>本项目实施后全厂排放量（</w:t>
            </w:r>
            <w:r>
              <w:t>t/a</w:t>
            </w:r>
            <w:r>
              <w:t>）</w:t>
            </w:r>
          </w:p>
        </w:tc>
        <w:tc>
          <w:tcPr>
            <w:tcW w:w="825" w:type="pct"/>
            <w:shd w:val="clear" w:color="auto" w:fill="auto"/>
            <w:noWrap/>
            <w:tcMar>
              <w:top w:w="15" w:type="dxa"/>
              <w:left w:w="15" w:type="dxa"/>
              <w:bottom w:w="0" w:type="dxa"/>
              <w:right w:w="15" w:type="dxa"/>
            </w:tcMar>
            <w:vAlign w:val="center"/>
          </w:tcPr>
          <w:p w14:paraId="6AB75ED1" w14:textId="77777777" w:rsidR="002E474C" w:rsidRDefault="00000000">
            <w:pPr>
              <w:pStyle w:val="A-"/>
            </w:pPr>
            <w:r>
              <w:t>增减变化</w:t>
            </w:r>
          </w:p>
          <w:p w14:paraId="17BD72BC" w14:textId="77777777" w:rsidR="002E474C" w:rsidRDefault="00000000">
            <w:pPr>
              <w:pStyle w:val="A-"/>
            </w:pPr>
            <w:r>
              <w:t>量（</w:t>
            </w:r>
            <w:r>
              <w:t>t/a</w:t>
            </w:r>
            <w:r>
              <w:t>）</w:t>
            </w:r>
          </w:p>
        </w:tc>
      </w:tr>
      <w:tr w:rsidR="002E474C" w14:paraId="50EFE9EE" w14:textId="77777777" w:rsidTr="009C3A0E">
        <w:trPr>
          <w:trHeight w:val="23"/>
        </w:trPr>
        <w:tc>
          <w:tcPr>
            <w:tcW w:w="168" w:type="pct"/>
            <w:vMerge w:val="restart"/>
            <w:shd w:val="clear" w:color="auto" w:fill="auto"/>
            <w:noWrap/>
            <w:tcMar>
              <w:top w:w="15" w:type="dxa"/>
              <w:left w:w="15" w:type="dxa"/>
              <w:bottom w:w="0" w:type="dxa"/>
              <w:right w:w="15" w:type="dxa"/>
            </w:tcMar>
            <w:vAlign w:val="center"/>
          </w:tcPr>
          <w:p w14:paraId="1D1973A9" w14:textId="77777777" w:rsidR="002E474C" w:rsidRDefault="00000000">
            <w:pPr>
              <w:pStyle w:val="A-"/>
            </w:pPr>
            <w:r>
              <w:t>废气</w:t>
            </w:r>
          </w:p>
        </w:tc>
        <w:tc>
          <w:tcPr>
            <w:tcW w:w="947" w:type="pct"/>
            <w:shd w:val="clear" w:color="auto" w:fill="auto"/>
            <w:noWrap/>
            <w:tcMar>
              <w:top w:w="15" w:type="dxa"/>
              <w:left w:w="15" w:type="dxa"/>
              <w:bottom w:w="0" w:type="dxa"/>
              <w:right w:w="15" w:type="dxa"/>
            </w:tcMar>
            <w:vAlign w:val="center"/>
          </w:tcPr>
          <w:p w14:paraId="7476CDA5" w14:textId="77777777" w:rsidR="002E474C" w:rsidRDefault="00000000">
            <w:pPr>
              <w:pStyle w:val="A-"/>
            </w:pPr>
            <w:r>
              <w:t>颗粒物</w:t>
            </w:r>
          </w:p>
        </w:tc>
        <w:tc>
          <w:tcPr>
            <w:tcW w:w="680" w:type="pct"/>
            <w:shd w:val="clear" w:color="auto" w:fill="auto"/>
            <w:noWrap/>
            <w:tcMar>
              <w:top w:w="15" w:type="dxa"/>
              <w:left w:w="15" w:type="dxa"/>
              <w:bottom w:w="0" w:type="dxa"/>
              <w:right w:w="15" w:type="dxa"/>
            </w:tcMar>
            <w:vAlign w:val="center"/>
          </w:tcPr>
          <w:p w14:paraId="0CBC1613" w14:textId="77777777" w:rsidR="002E474C" w:rsidRDefault="00000000">
            <w:pPr>
              <w:pStyle w:val="A-"/>
            </w:pPr>
            <w:r>
              <w:t>41.579</w:t>
            </w:r>
          </w:p>
        </w:tc>
        <w:tc>
          <w:tcPr>
            <w:tcW w:w="680" w:type="pct"/>
            <w:shd w:val="clear" w:color="auto" w:fill="auto"/>
            <w:noWrap/>
            <w:tcMar>
              <w:top w:w="15" w:type="dxa"/>
              <w:left w:w="15" w:type="dxa"/>
              <w:bottom w:w="0" w:type="dxa"/>
              <w:right w:w="15" w:type="dxa"/>
            </w:tcMar>
            <w:vAlign w:val="center"/>
          </w:tcPr>
          <w:p w14:paraId="26A7965E"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06406839"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6FEAFE8A" w14:textId="77777777" w:rsidR="002E474C" w:rsidRDefault="00000000">
            <w:pPr>
              <w:pStyle w:val="A-"/>
            </w:pPr>
            <w:r>
              <w:t>41.579</w:t>
            </w:r>
          </w:p>
        </w:tc>
        <w:tc>
          <w:tcPr>
            <w:tcW w:w="825" w:type="pct"/>
            <w:shd w:val="clear" w:color="auto" w:fill="auto"/>
            <w:noWrap/>
            <w:tcMar>
              <w:top w:w="15" w:type="dxa"/>
              <w:left w:w="15" w:type="dxa"/>
              <w:bottom w:w="0" w:type="dxa"/>
              <w:right w:w="15" w:type="dxa"/>
            </w:tcMar>
            <w:vAlign w:val="center"/>
          </w:tcPr>
          <w:p w14:paraId="2533D7F0" w14:textId="77777777" w:rsidR="002E474C" w:rsidRDefault="00000000">
            <w:pPr>
              <w:pStyle w:val="A-"/>
            </w:pPr>
            <w:r>
              <w:t>0</w:t>
            </w:r>
          </w:p>
        </w:tc>
      </w:tr>
      <w:tr w:rsidR="002E474C" w14:paraId="0159FA7E" w14:textId="77777777" w:rsidTr="009C3A0E">
        <w:trPr>
          <w:trHeight w:val="23"/>
        </w:trPr>
        <w:tc>
          <w:tcPr>
            <w:tcW w:w="168" w:type="pct"/>
            <w:vMerge/>
            <w:vAlign w:val="center"/>
          </w:tcPr>
          <w:p w14:paraId="1EEE1DD7"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2FFB746F" w14:textId="77777777" w:rsidR="002E474C" w:rsidRDefault="00000000">
            <w:pPr>
              <w:pStyle w:val="A-"/>
            </w:pPr>
            <w:r>
              <w:t>二氧化硫</w:t>
            </w:r>
          </w:p>
        </w:tc>
        <w:tc>
          <w:tcPr>
            <w:tcW w:w="680" w:type="pct"/>
            <w:shd w:val="clear" w:color="auto" w:fill="auto"/>
            <w:noWrap/>
            <w:tcMar>
              <w:top w:w="15" w:type="dxa"/>
              <w:left w:w="15" w:type="dxa"/>
              <w:bottom w:w="0" w:type="dxa"/>
              <w:right w:w="15" w:type="dxa"/>
            </w:tcMar>
            <w:vAlign w:val="center"/>
          </w:tcPr>
          <w:p w14:paraId="5CAE8A0F" w14:textId="77777777" w:rsidR="002E474C" w:rsidRDefault="00000000">
            <w:pPr>
              <w:pStyle w:val="A-"/>
            </w:pPr>
            <w:r>
              <w:t>33.837</w:t>
            </w:r>
          </w:p>
        </w:tc>
        <w:tc>
          <w:tcPr>
            <w:tcW w:w="680" w:type="pct"/>
            <w:shd w:val="clear" w:color="auto" w:fill="auto"/>
            <w:noWrap/>
            <w:tcMar>
              <w:top w:w="15" w:type="dxa"/>
              <w:left w:w="15" w:type="dxa"/>
              <w:bottom w:w="0" w:type="dxa"/>
              <w:right w:w="15" w:type="dxa"/>
            </w:tcMar>
            <w:vAlign w:val="center"/>
          </w:tcPr>
          <w:p w14:paraId="2EF34315"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45614A1B"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064C09B" w14:textId="77777777" w:rsidR="002E474C" w:rsidRDefault="00000000">
            <w:pPr>
              <w:pStyle w:val="A-"/>
            </w:pPr>
            <w:r>
              <w:t>33.837</w:t>
            </w:r>
          </w:p>
        </w:tc>
        <w:tc>
          <w:tcPr>
            <w:tcW w:w="825" w:type="pct"/>
            <w:shd w:val="clear" w:color="auto" w:fill="auto"/>
            <w:noWrap/>
            <w:tcMar>
              <w:top w:w="15" w:type="dxa"/>
              <w:left w:w="15" w:type="dxa"/>
              <w:bottom w:w="0" w:type="dxa"/>
              <w:right w:w="15" w:type="dxa"/>
            </w:tcMar>
            <w:vAlign w:val="center"/>
          </w:tcPr>
          <w:p w14:paraId="743DC921" w14:textId="77777777" w:rsidR="002E474C" w:rsidRDefault="00000000">
            <w:pPr>
              <w:pStyle w:val="A-"/>
            </w:pPr>
            <w:r>
              <w:t>0</w:t>
            </w:r>
          </w:p>
        </w:tc>
      </w:tr>
      <w:tr w:rsidR="002E474C" w14:paraId="17C4FDDD" w14:textId="77777777" w:rsidTr="009C3A0E">
        <w:trPr>
          <w:trHeight w:val="23"/>
        </w:trPr>
        <w:tc>
          <w:tcPr>
            <w:tcW w:w="168" w:type="pct"/>
            <w:vMerge/>
            <w:vAlign w:val="center"/>
          </w:tcPr>
          <w:p w14:paraId="73EB5EDB"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27A2E269" w14:textId="77777777" w:rsidR="002E474C" w:rsidRDefault="00000000">
            <w:pPr>
              <w:pStyle w:val="A-"/>
            </w:pPr>
            <w:r>
              <w:t>氮氧化物</w:t>
            </w:r>
          </w:p>
        </w:tc>
        <w:tc>
          <w:tcPr>
            <w:tcW w:w="680" w:type="pct"/>
            <w:shd w:val="clear" w:color="auto" w:fill="auto"/>
            <w:noWrap/>
            <w:tcMar>
              <w:top w:w="15" w:type="dxa"/>
              <w:left w:w="15" w:type="dxa"/>
              <w:bottom w:w="0" w:type="dxa"/>
              <w:right w:w="15" w:type="dxa"/>
            </w:tcMar>
            <w:vAlign w:val="center"/>
          </w:tcPr>
          <w:p w14:paraId="2ED495E9" w14:textId="77777777" w:rsidR="002E474C" w:rsidRDefault="00000000">
            <w:pPr>
              <w:pStyle w:val="A-"/>
            </w:pPr>
            <w:r>
              <w:t>381.856</w:t>
            </w:r>
          </w:p>
        </w:tc>
        <w:tc>
          <w:tcPr>
            <w:tcW w:w="680" w:type="pct"/>
            <w:shd w:val="clear" w:color="auto" w:fill="auto"/>
            <w:noWrap/>
            <w:tcMar>
              <w:top w:w="15" w:type="dxa"/>
              <w:left w:w="15" w:type="dxa"/>
              <w:bottom w:w="0" w:type="dxa"/>
              <w:right w:w="15" w:type="dxa"/>
            </w:tcMar>
            <w:vAlign w:val="center"/>
          </w:tcPr>
          <w:p w14:paraId="2C87D53A"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720BD3C8"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AC884F5" w14:textId="77777777" w:rsidR="002E474C" w:rsidRDefault="00000000">
            <w:pPr>
              <w:pStyle w:val="A-"/>
            </w:pPr>
            <w:r>
              <w:t>381.856</w:t>
            </w:r>
          </w:p>
        </w:tc>
        <w:tc>
          <w:tcPr>
            <w:tcW w:w="825" w:type="pct"/>
            <w:shd w:val="clear" w:color="auto" w:fill="auto"/>
            <w:noWrap/>
            <w:tcMar>
              <w:top w:w="15" w:type="dxa"/>
              <w:left w:w="15" w:type="dxa"/>
              <w:bottom w:w="0" w:type="dxa"/>
              <w:right w:w="15" w:type="dxa"/>
            </w:tcMar>
            <w:vAlign w:val="center"/>
          </w:tcPr>
          <w:p w14:paraId="09A19B06" w14:textId="77777777" w:rsidR="002E474C" w:rsidRDefault="00000000">
            <w:pPr>
              <w:pStyle w:val="A-"/>
            </w:pPr>
            <w:r>
              <w:t>0</w:t>
            </w:r>
          </w:p>
        </w:tc>
      </w:tr>
      <w:tr w:rsidR="002E474C" w14:paraId="2E48DEDE" w14:textId="77777777" w:rsidTr="009C3A0E">
        <w:trPr>
          <w:trHeight w:val="23"/>
        </w:trPr>
        <w:tc>
          <w:tcPr>
            <w:tcW w:w="168" w:type="pct"/>
            <w:vMerge/>
            <w:vAlign w:val="center"/>
          </w:tcPr>
          <w:p w14:paraId="7B4BC21A"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24624FD7" w14:textId="77777777" w:rsidR="002E474C" w:rsidRDefault="00000000">
            <w:pPr>
              <w:pStyle w:val="A-"/>
            </w:pPr>
            <w:r>
              <w:t>HF</w:t>
            </w:r>
          </w:p>
        </w:tc>
        <w:tc>
          <w:tcPr>
            <w:tcW w:w="680" w:type="pct"/>
            <w:shd w:val="clear" w:color="auto" w:fill="auto"/>
            <w:noWrap/>
            <w:tcMar>
              <w:top w:w="15" w:type="dxa"/>
              <w:left w:w="15" w:type="dxa"/>
              <w:bottom w:w="0" w:type="dxa"/>
              <w:right w:w="15" w:type="dxa"/>
            </w:tcMar>
            <w:vAlign w:val="center"/>
          </w:tcPr>
          <w:p w14:paraId="6A9DB043" w14:textId="77777777" w:rsidR="002E474C" w:rsidRDefault="00000000">
            <w:pPr>
              <w:pStyle w:val="A-"/>
            </w:pPr>
            <w:r>
              <w:t>1.440</w:t>
            </w:r>
          </w:p>
        </w:tc>
        <w:tc>
          <w:tcPr>
            <w:tcW w:w="680" w:type="pct"/>
            <w:shd w:val="clear" w:color="auto" w:fill="auto"/>
            <w:noWrap/>
            <w:tcMar>
              <w:top w:w="15" w:type="dxa"/>
              <w:left w:w="15" w:type="dxa"/>
              <w:bottom w:w="0" w:type="dxa"/>
              <w:right w:w="15" w:type="dxa"/>
            </w:tcMar>
            <w:vAlign w:val="center"/>
          </w:tcPr>
          <w:p w14:paraId="3E7FED48" w14:textId="77777777" w:rsidR="002E474C" w:rsidRDefault="00000000">
            <w:pPr>
              <w:pStyle w:val="A-"/>
              <w:rPr>
                <w:rFonts w:eastAsia="等线"/>
              </w:rPr>
            </w:pPr>
            <w:r>
              <w:t>0.003</w:t>
            </w:r>
          </w:p>
        </w:tc>
        <w:tc>
          <w:tcPr>
            <w:tcW w:w="680" w:type="pct"/>
            <w:shd w:val="clear" w:color="auto" w:fill="auto"/>
            <w:noWrap/>
            <w:tcMar>
              <w:top w:w="15" w:type="dxa"/>
              <w:left w:w="15" w:type="dxa"/>
              <w:bottom w:w="0" w:type="dxa"/>
              <w:right w:w="15" w:type="dxa"/>
            </w:tcMar>
            <w:vAlign w:val="center"/>
          </w:tcPr>
          <w:p w14:paraId="4CBEAF0F"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A4EAC5D" w14:textId="77777777" w:rsidR="002E474C" w:rsidRDefault="00000000">
            <w:pPr>
              <w:pStyle w:val="A-"/>
              <w:rPr>
                <w:rFonts w:eastAsia="等线"/>
              </w:rPr>
            </w:pPr>
            <w:r>
              <w:t>1.443</w:t>
            </w:r>
          </w:p>
        </w:tc>
        <w:tc>
          <w:tcPr>
            <w:tcW w:w="825" w:type="pct"/>
            <w:shd w:val="clear" w:color="auto" w:fill="auto"/>
            <w:noWrap/>
            <w:tcMar>
              <w:top w:w="15" w:type="dxa"/>
              <w:left w:w="15" w:type="dxa"/>
              <w:bottom w:w="0" w:type="dxa"/>
              <w:right w:w="15" w:type="dxa"/>
            </w:tcMar>
            <w:vAlign w:val="center"/>
          </w:tcPr>
          <w:p w14:paraId="4737446D" w14:textId="77777777" w:rsidR="002E474C" w:rsidRDefault="00000000">
            <w:pPr>
              <w:pStyle w:val="A-"/>
              <w:rPr>
                <w:rFonts w:eastAsia="等线"/>
              </w:rPr>
            </w:pPr>
            <w:r>
              <w:t>+0.003</w:t>
            </w:r>
          </w:p>
        </w:tc>
      </w:tr>
      <w:tr w:rsidR="002E474C" w14:paraId="5D958C45" w14:textId="77777777" w:rsidTr="009C3A0E">
        <w:trPr>
          <w:trHeight w:val="23"/>
        </w:trPr>
        <w:tc>
          <w:tcPr>
            <w:tcW w:w="168" w:type="pct"/>
            <w:vMerge/>
            <w:vAlign w:val="center"/>
          </w:tcPr>
          <w:p w14:paraId="3C9AB940"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16C1947C" w14:textId="77777777" w:rsidR="002E474C" w:rsidRDefault="00000000">
            <w:pPr>
              <w:pStyle w:val="A-"/>
            </w:pPr>
            <w:r>
              <w:t>HCl</w:t>
            </w:r>
          </w:p>
        </w:tc>
        <w:tc>
          <w:tcPr>
            <w:tcW w:w="680" w:type="pct"/>
            <w:shd w:val="clear" w:color="auto" w:fill="auto"/>
            <w:noWrap/>
            <w:tcMar>
              <w:top w:w="15" w:type="dxa"/>
              <w:left w:w="15" w:type="dxa"/>
              <w:bottom w:w="0" w:type="dxa"/>
              <w:right w:w="15" w:type="dxa"/>
            </w:tcMar>
            <w:vAlign w:val="center"/>
          </w:tcPr>
          <w:p w14:paraId="1B6A106C" w14:textId="77777777" w:rsidR="002E474C" w:rsidRDefault="00000000">
            <w:pPr>
              <w:pStyle w:val="A-"/>
            </w:pPr>
            <w:r>
              <w:t>18.792</w:t>
            </w:r>
          </w:p>
        </w:tc>
        <w:tc>
          <w:tcPr>
            <w:tcW w:w="680" w:type="pct"/>
            <w:shd w:val="clear" w:color="auto" w:fill="auto"/>
            <w:noWrap/>
            <w:tcMar>
              <w:top w:w="15" w:type="dxa"/>
              <w:left w:w="15" w:type="dxa"/>
              <w:bottom w:w="0" w:type="dxa"/>
              <w:right w:w="15" w:type="dxa"/>
            </w:tcMar>
            <w:vAlign w:val="center"/>
          </w:tcPr>
          <w:p w14:paraId="4F04BBA0" w14:textId="77777777" w:rsidR="002E474C" w:rsidRDefault="00000000">
            <w:pPr>
              <w:pStyle w:val="A-"/>
            </w:pPr>
            <w:r>
              <w:t>7.108</w:t>
            </w:r>
          </w:p>
        </w:tc>
        <w:tc>
          <w:tcPr>
            <w:tcW w:w="680" w:type="pct"/>
            <w:shd w:val="clear" w:color="auto" w:fill="auto"/>
            <w:noWrap/>
            <w:tcMar>
              <w:top w:w="15" w:type="dxa"/>
              <w:left w:w="15" w:type="dxa"/>
              <w:bottom w:w="0" w:type="dxa"/>
              <w:right w:w="15" w:type="dxa"/>
            </w:tcMar>
            <w:vAlign w:val="center"/>
          </w:tcPr>
          <w:p w14:paraId="039ED267"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EFA74C2" w14:textId="77777777" w:rsidR="002E474C" w:rsidRDefault="00000000">
            <w:pPr>
              <w:pStyle w:val="A-"/>
            </w:pPr>
            <w:r>
              <w:t>25.9</w:t>
            </w:r>
          </w:p>
        </w:tc>
        <w:tc>
          <w:tcPr>
            <w:tcW w:w="825" w:type="pct"/>
            <w:shd w:val="clear" w:color="auto" w:fill="auto"/>
            <w:noWrap/>
            <w:tcMar>
              <w:top w:w="15" w:type="dxa"/>
              <w:left w:w="15" w:type="dxa"/>
              <w:bottom w:w="0" w:type="dxa"/>
              <w:right w:w="15" w:type="dxa"/>
            </w:tcMar>
            <w:vAlign w:val="center"/>
          </w:tcPr>
          <w:p w14:paraId="695E3148" w14:textId="77777777" w:rsidR="002E474C" w:rsidRDefault="00000000">
            <w:pPr>
              <w:pStyle w:val="A-"/>
            </w:pPr>
            <w:r>
              <w:t>+7.108</w:t>
            </w:r>
          </w:p>
        </w:tc>
      </w:tr>
      <w:tr w:rsidR="002E474C" w14:paraId="2E1BBB35" w14:textId="77777777" w:rsidTr="009C3A0E">
        <w:trPr>
          <w:trHeight w:val="23"/>
        </w:trPr>
        <w:tc>
          <w:tcPr>
            <w:tcW w:w="168" w:type="pct"/>
            <w:vMerge/>
            <w:vAlign w:val="center"/>
          </w:tcPr>
          <w:p w14:paraId="4D33093C"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39F6184A" w14:textId="77777777" w:rsidR="002E474C" w:rsidRDefault="00000000">
            <w:pPr>
              <w:pStyle w:val="A-"/>
            </w:pPr>
            <w:r>
              <w:t>Cr</w:t>
            </w:r>
          </w:p>
        </w:tc>
        <w:tc>
          <w:tcPr>
            <w:tcW w:w="680" w:type="pct"/>
            <w:shd w:val="clear" w:color="auto" w:fill="auto"/>
            <w:noWrap/>
            <w:tcMar>
              <w:top w:w="15" w:type="dxa"/>
              <w:left w:w="15" w:type="dxa"/>
              <w:bottom w:w="0" w:type="dxa"/>
              <w:right w:w="15" w:type="dxa"/>
            </w:tcMar>
            <w:vAlign w:val="center"/>
          </w:tcPr>
          <w:p w14:paraId="310EB264"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BDE6233" w14:textId="77777777" w:rsidR="002E474C" w:rsidRDefault="00000000">
            <w:pPr>
              <w:pStyle w:val="A-"/>
            </w:pPr>
            <w:r>
              <w:t>1.036</w:t>
            </w:r>
            <w:r>
              <w:rPr>
                <w:rFonts w:eastAsia="等线"/>
              </w:rPr>
              <w:t>kg/a</w:t>
            </w:r>
          </w:p>
        </w:tc>
        <w:tc>
          <w:tcPr>
            <w:tcW w:w="680" w:type="pct"/>
            <w:shd w:val="clear" w:color="auto" w:fill="auto"/>
            <w:noWrap/>
            <w:tcMar>
              <w:top w:w="15" w:type="dxa"/>
              <w:left w:w="15" w:type="dxa"/>
              <w:bottom w:w="0" w:type="dxa"/>
              <w:right w:w="15" w:type="dxa"/>
            </w:tcMar>
            <w:vAlign w:val="center"/>
          </w:tcPr>
          <w:p w14:paraId="3D69F706"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2536795F" w14:textId="77777777" w:rsidR="002E474C" w:rsidRDefault="00000000">
            <w:pPr>
              <w:pStyle w:val="A-"/>
            </w:pPr>
            <w:r>
              <w:t>1.036</w:t>
            </w:r>
            <w:r>
              <w:rPr>
                <w:rFonts w:eastAsia="等线"/>
              </w:rPr>
              <w:t>kg/a</w:t>
            </w:r>
          </w:p>
        </w:tc>
        <w:tc>
          <w:tcPr>
            <w:tcW w:w="825" w:type="pct"/>
            <w:shd w:val="clear" w:color="auto" w:fill="auto"/>
            <w:noWrap/>
            <w:tcMar>
              <w:top w:w="15" w:type="dxa"/>
              <w:left w:w="15" w:type="dxa"/>
              <w:bottom w:w="0" w:type="dxa"/>
              <w:right w:w="15" w:type="dxa"/>
            </w:tcMar>
            <w:vAlign w:val="center"/>
          </w:tcPr>
          <w:p w14:paraId="35DB0356" w14:textId="77777777" w:rsidR="002E474C" w:rsidRDefault="00000000">
            <w:pPr>
              <w:pStyle w:val="A-"/>
            </w:pPr>
            <w:r>
              <w:t>+1.036</w:t>
            </w:r>
            <w:r>
              <w:rPr>
                <w:rFonts w:eastAsia="等线"/>
              </w:rPr>
              <w:t>kg/a</w:t>
            </w:r>
          </w:p>
        </w:tc>
      </w:tr>
      <w:tr w:rsidR="002E474C" w14:paraId="5EB632A9" w14:textId="77777777" w:rsidTr="009C3A0E">
        <w:trPr>
          <w:trHeight w:val="23"/>
        </w:trPr>
        <w:tc>
          <w:tcPr>
            <w:tcW w:w="168" w:type="pct"/>
            <w:vMerge/>
            <w:vAlign w:val="center"/>
          </w:tcPr>
          <w:p w14:paraId="78E9A63C"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369B3EAA" w14:textId="77777777" w:rsidR="002E474C" w:rsidRDefault="00000000">
            <w:pPr>
              <w:pStyle w:val="A-"/>
            </w:pPr>
            <w:r>
              <w:t>Cu</w:t>
            </w:r>
          </w:p>
        </w:tc>
        <w:tc>
          <w:tcPr>
            <w:tcW w:w="680" w:type="pct"/>
            <w:shd w:val="clear" w:color="auto" w:fill="auto"/>
            <w:noWrap/>
            <w:tcMar>
              <w:top w:w="15" w:type="dxa"/>
              <w:left w:w="15" w:type="dxa"/>
              <w:bottom w:w="0" w:type="dxa"/>
              <w:right w:w="15" w:type="dxa"/>
            </w:tcMar>
            <w:vAlign w:val="center"/>
          </w:tcPr>
          <w:p w14:paraId="7CBFC4C3"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63EC7834" w14:textId="77777777" w:rsidR="002E474C" w:rsidRDefault="00000000">
            <w:pPr>
              <w:pStyle w:val="A-"/>
            </w:pPr>
            <w:r>
              <w:t>218.83</w:t>
            </w:r>
            <w:r>
              <w:rPr>
                <w:rFonts w:eastAsia="等线"/>
              </w:rPr>
              <w:t>kg/a</w:t>
            </w:r>
          </w:p>
        </w:tc>
        <w:tc>
          <w:tcPr>
            <w:tcW w:w="680" w:type="pct"/>
            <w:shd w:val="clear" w:color="auto" w:fill="auto"/>
            <w:noWrap/>
            <w:tcMar>
              <w:top w:w="15" w:type="dxa"/>
              <w:left w:w="15" w:type="dxa"/>
              <w:bottom w:w="0" w:type="dxa"/>
              <w:right w:w="15" w:type="dxa"/>
            </w:tcMar>
            <w:vAlign w:val="center"/>
          </w:tcPr>
          <w:p w14:paraId="01CC5D67"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1827EB39" w14:textId="77777777" w:rsidR="002E474C" w:rsidRDefault="00000000">
            <w:pPr>
              <w:pStyle w:val="A-"/>
            </w:pPr>
            <w:r>
              <w:t>218.83</w:t>
            </w:r>
            <w:r>
              <w:rPr>
                <w:rFonts w:eastAsia="等线"/>
              </w:rPr>
              <w:t>kg/a</w:t>
            </w:r>
          </w:p>
        </w:tc>
        <w:tc>
          <w:tcPr>
            <w:tcW w:w="825" w:type="pct"/>
            <w:shd w:val="clear" w:color="auto" w:fill="auto"/>
            <w:noWrap/>
            <w:tcMar>
              <w:top w:w="15" w:type="dxa"/>
              <w:left w:w="15" w:type="dxa"/>
              <w:bottom w:w="0" w:type="dxa"/>
              <w:right w:w="15" w:type="dxa"/>
            </w:tcMar>
            <w:vAlign w:val="center"/>
          </w:tcPr>
          <w:p w14:paraId="4E77A307" w14:textId="77777777" w:rsidR="002E474C" w:rsidRDefault="00000000">
            <w:pPr>
              <w:pStyle w:val="A-"/>
            </w:pPr>
            <w:r>
              <w:t>+218.83</w:t>
            </w:r>
            <w:r>
              <w:rPr>
                <w:rFonts w:eastAsia="等线"/>
              </w:rPr>
              <w:t>kg/a</w:t>
            </w:r>
          </w:p>
        </w:tc>
      </w:tr>
      <w:tr w:rsidR="002E474C" w14:paraId="46D0ED96" w14:textId="77777777" w:rsidTr="009C3A0E">
        <w:trPr>
          <w:trHeight w:val="23"/>
        </w:trPr>
        <w:tc>
          <w:tcPr>
            <w:tcW w:w="168" w:type="pct"/>
            <w:vMerge/>
            <w:vAlign w:val="center"/>
          </w:tcPr>
          <w:p w14:paraId="0EC2658C"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52BE71C4" w14:textId="77777777" w:rsidR="002E474C" w:rsidRDefault="00000000">
            <w:pPr>
              <w:pStyle w:val="A-"/>
            </w:pPr>
            <w:r>
              <w:t>Cd</w:t>
            </w:r>
          </w:p>
        </w:tc>
        <w:tc>
          <w:tcPr>
            <w:tcW w:w="680" w:type="pct"/>
            <w:shd w:val="clear" w:color="auto" w:fill="auto"/>
            <w:noWrap/>
            <w:tcMar>
              <w:top w:w="15" w:type="dxa"/>
              <w:left w:w="15" w:type="dxa"/>
              <w:bottom w:w="0" w:type="dxa"/>
              <w:right w:w="15" w:type="dxa"/>
            </w:tcMar>
            <w:vAlign w:val="center"/>
          </w:tcPr>
          <w:p w14:paraId="6F1F5819"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2083A681" w14:textId="77777777" w:rsidR="002E474C" w:rsidRDefault="00000000">
            <w:pPr>
              <w:pStyle w:val="A-"/>
            </w:pPr>
            <w:r>
              <w:t>0.115</w:t>
            </w:r>
            <w:r>
              <w:rPr>
                <w:rFonts w:eastAsia="等线"/>
              </w:rPr>
              <w:t>kg/a</w:t>
            </w:r>
          </w:p>
        </w:tc>
        <w:tc>
          <w:tcPr>
            <w:tcW w:w="680" w:type="pct"/>
            <w:shd w:val="clear" w:color="auto" w:fill="auto"/>
            <w:noWrap/>
            <w:tcMar>
              <w:top w:w="15" w:type="dxa"/>
              <w:left w:w="15" w:type="dxa"/>
              <w:bottom w:w="0" w:type="dxa"/>
              <w:right w:w="15" w:type="dxa"/>
            </w:tcMar>
            <w:vAlign w:val="center"/>
          </w:tcPr>
          <w:p w14:paraId="75975A3B"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A6D928D" w14:textId="77777777" w:rsidR="002E474C" w:rsidRDefault="00000000">
            <w:pPr>
              <w:pStyle w:val="A-"/>
            </w:pPr>
            <w:r>
              <w:t>0.115</w:t>
            </w:r>
            <w:r>
              <w:rPr>
                <w:rFonts w:eastAsia="等线"/>
              </w:rPr>
              <w:t>kg/a</w:t>
            </w:r>
          </w:p>
        </w:tc>
        <w:tc>
          <w:tcPr>
            <w:tcW w:w="825" w:type="pct"/>
            <w:shd w:val="clear" w:color="auto" w:fill="auto"/>
            <w:noWrap/>
            <w:tcMar>
              <w:top w:w="15" w:type="dxa"/>
              <w:left w:w="15" w:type="dxa"/>
              <w:bottom w:w="0" w:type="dxa"/>
              <w:right w:w="15" w:type="dxa"/>
            </w:tcMar>
            <w:vAlign w:val="center"/>
          </w:tcPr>
          <w:p w14:paraId="689C14A5" w14:textId="77777777" w:rsidR="002E474C" w:rsidRDefault="00000000">
            <w:pPr>
              <w:pStyle w:val="A-"/>
            </w:pPr>
            <w:r>
              <w:t>+0.115</w:t>
            </w:r>
            <w:r>
              <w:rPr>
                <w:rFonts w:eastAsia="等线"/>
              </w:rPr>
              <w:t>kg/a</w:t>
            </w:r>
          </w:p>
        </w:tc>
      </w:tr>
      <w:tr w:rsidR="002E474C" w14:paraId="1B947060" w14:textId="77777777" w:rsidTr="009C3A0E">
        <w:trPr>
          <w:trHeight w:val="23"/>
        </w:trPr>
        <w:tc>
          <w:tcPr>
            <w:tcW w:w="168" w:type="pct"/>
            <w:vMerge/>
            <w:vAlign w:val="center"/>
          </w:tcPr>
          <w:p w14:paraId="58375FB1"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5F5EFF16" w14:textId="77777777" w:rsidR="002E474C" w:rsidRDefault="00000000">
            <w:pPr>
              <w:pStyle w:val="A-"/>
            </w:pPr>
            <w:r>
              <w:t>Pb</w:t>
            </w:r>
          </w:p>
        </w:tc>
        <w:tc>
          <w:tcPr>
            <w:tcW w:w="680" w:type="pct"/>
            <w:shd w:val="clear" w:color="auto" w:fill="auto"/>
            <w:noWrap/>
            <w:tcMar>
              <w:top w:w="15" w:type="dxa"/>
              <w:left w:w="15" w:type="dxa"/>
              <w:bottom w:w="0" w:type="dxa"/>
              <w:right w:w="15" w:type="dxa"/>
            </w:tcMar>
            <w:vAlign w:val="center"/>
          </w:tcPr>
          <w:p w14:paraId="5A6CDD83"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D7AC15C" w14:textId="77777777" w:rsidR="002E474C" w:rsidRDefault="00000000">
            <w:pPr>
              <w:pStyle w:val="A-"/>
            </w:pPr>
            <w:r>
              <w:t>2.593</w:t>
            </w:r>
            <w:r>
              <w:rPr>
                <w:rFonts w:eastAsia="等线"/>
              </w:rPr>
              <w:t>kg/a</w:t>
            </w:r>
          </w:p>
        </w:tc>
        <w:tc>
          <w:tcPr>
            <w:tcW w:w="680" w:type="pct"/>
            <w:shd w:val="clear" w:color="auto" w:fill="auto"/>
            <w:noWrap/>
            <w:tcMar>
              <w:top w:w="15" w:type="dxa"/>
              <w:left w:w="15" w:type="dxa"/>
              <w:bottom w:w="0" w:type="dxa"/>
              <w:right w:w="15" w:type="dxa"/>
            </w:tcMar>
            <w:vAlign w:val="center"/>
          </w:tcPr>
          <w:p w14:paraId="0958A6F0"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290907BA" w14:textId="77777777" w:rsidR="002E474C" w:rsidRDefault="00000000">
            <w:pPr>
              <w:pStyle w:val="A-"/>
            </w:pPr>
            <w:r>
              <w:t>2.593</w:t>
            </w:r>
            <w:r>
              <w:rPr>
                <w:rFonts w:eastAsia="等线"/>
              </w:rPr>
              <w:t>kg/a</w:t>
            </w:r>
          </w:p>
        </w:tc>
        <w:tc>
          <w:tcPr>
            <w:tcW w:w="825" w:type="pct"/>
            <w:shd w:val="clear" w:color="auto" w:fill="auto"/>
            <w:noWrap/>
            <w:tcMar>
              <w:top w:w="15" w:type="dxa"/>
              <w:left w:w="15" w:type="dxa"/>
              <w:bottom w:w="0" w:type="dxa"/>
              <w:right w:w="15" w:type="dxa"/>
            </w:tcMar>
            <w:vAlign w:val="center"/>
          </w:tcPr>
          <w:p w14:paraId="5A7A296F" w14:textId="77777777" w:rsidR="002E474C" w:rsidRDefault="00000000">
            <w:pPr>
              <w:pStyle w:val="A-"/>
            </w:pPr>
            <w:r>
              <w:t>+2.593</w:t>
            </w:r>
            <w:r>
              <w:rPr>
                <w:rFonts w:eastAsia="等线"/>
              </w:rPr>
              <w:t>kg/a</w:t>
            </w:r>
          </w:p>
        </w:tc>
      </w:tr>
      <w:tr w:rsidR="002E474C" w14:paraId="2E39E905" w14:textId="77777777" w:rsidTr="009C3A0E">
        <w:trPr>
          <w:trHeight w:val="23"/>
        </w:trPr>
        <w:tc>
          <w:tcPr>
            <w:tcW w:w="168" w:type="pct"/>
            <w:vMerge/>
            <w:vAlign w:val="center"/>
          </w:tcPr>
          <w:p w14:paraId="28A7DFAE"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4B3CD0A8" w14:textId="77777777" w:rsidR="002E474C" w:rsidRDefault="00000000">
            <w:pPr>
              <w:pStyle w:val="A-"/>
            </w:pPr>
            <w:r>
              <w:t>Ni</w:t>
            </w:r>
          </w:p>
        </w:tc>
        <w:tc>
          <w:tcPr>
            <w:tcW w:w="680" w:type="pct"/>
            <w:shd w:val="clear" w:color="auto" w:fill="auto"/>
            <w:noWrap/>
            <w:tcMar>
              <w:top w:w="15" w:type="dxa"/>
              <w:left w:w="15" w:type="dxa"/>
              <w:bottom w:w="0" w:type="dxa"/>
              <w:right w:w="15" w:type="dxa"/>
            </w:tcMar>
            <w:vAlign w:val="center"/>
          </w:tcPr>
          <w:p w14:paraId="771D8A94"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435A4FE5" w14:textId="77777777" w:rsidR="002E474C" w:rsidRDefault="00000000">
            <w:pPr>
              <w:pStyle w:val="A-"/>
            </w:pPr>
            <w:r>
              <w:t>0.044</w:t>
            </w:r>
            <w:r>
              <w:rPr>
                <w:rFonts w:eastAsia="等线"/>
              </w:rPr>
              <w:t>kg/a</w:t>
            </w:r>
          </w:p>
        </w:tc>
        <w:tc>
          <w:tcPr>
            <w:tcW w:w="680" w:type="pct"/>
            <w:shd w:val="clear" w:color="auto" w:fill="auto"/>
            <w:noWrap/>
            <w:tcMar>
              <w:top w:w="15" w:type="dxa"/>
              <w:left w:w="15" w:type="dxa"/>
              <w:bottom w:w="0" w:type="dxa"/>
              <w:right w:w="15" w:type="dxa"/>
            </w:tcMar>
            <w:vAlign w:val="center"/>
          </w:tcPr>
          <w:p w14:paraId="7AB7CF0B"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88EC471" w14:textId="77777777" w:rsidR="002E474C" w:rsidRDefault="00000000">
            <w:pPr>
              <w:pStyle w:val="A-"/>
            </w:pPr>
            <w:r>
              <w:t>0.044</w:t>
            </w:r>
            <w:r>
              <w:rPr>
                <w:rFonts w:eastAsia="等线"/>
              </w:rPr>
              <w:t>kg/a</w:t>
            </w:r>
          </w:p>
        </w:tc>
        <w:tc>
          <w:tcPr>
            <w:tcW w:w="825" w:type="pct"/>
            <w:shd w:val="clear" w:color="auto" w:fill="auto"/>
            <w:noWrap/>
            <w:tcMar>
              <w:top w:w="15" w:type="dxa"/>
              <w:left w:w="15" w:type="dxa"/>
              <w:bottom w:w="0" w:type="dxa"/>
              <w:right w:w="15" w:type="dxa"/>
            </w:tcMar>
            <w:vAlign w:val="center"/>
          </w:tcPr>
          <w:p w14:paraId="18130F2D" w14:textId="77777777" w:rsidR="002E474C" w:rsidRDefault="00000000">
            <w:pPr>
              <w:pStyle w:val="A-"/>
            </w:pPr>
            <w:r>
              <w:t>+0.044</w:t>
            </w:r>
            <w:r>
              <w:rPr>
                <w:rFonts w:eastAsia="等线"/>
              </w:rPr>
              <w:t>kg/a</w:t>
            </w:r>
          </w:p>
        </w:tc>
      </w:tr>
      <w:tr w:rsidR="002E474C" w14:paraId="10993CB6" w14:textId="77777777" w:rsidTr="009C3A0E">
        <w:trPr>
          <w:trHeight w:val="23"/>
        </w:trPr>
        <w:tc>
          <w:tcPr>
            <w:tcW w:w="168" w:type="pct"/>
            <w:vMerge/>
            <w:vAlign w:val="center"/>
          </w:tcPr>
          <w:p w14:paraId="7EAD3D14"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570D276B" w14:textId="77777777" w:rsidR="002E474C" w:rsidRDefault="00000000">
            <w:pPr>
              <w:pStyle w:val="A-"/>
            </w:pPr>
            <w:r>
              <w:t>Mn</w:t>
            </w:r>
          </w:p>
        </w:tc>
        <w:tc>
          <w:tcPr>
            <w:tcW w:w="680" w:type="pct"/>
            <w:shd w:val="clear" w:color="auto" w:fill="auto"/>
            <w:noWrap/>
            <w:tcMar>
              <w:top w:w="15" w:type="dxa"/>
              <w:left w:w="15" w:type="dxa"/>
              <w:bottom w:w="0" w:type="dxa"/>
              <w:right w:w="15" w:type="dxa"/>
            </w:tcMar>
            <w:vAlign w:val="center"/>
          </w:tcPr>
          <w:p w14:paraId="2EAE1727"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67BB007E" w14:textId="77777777" w:rsidR="002E474C" w:rsidRDefault="00000000">
            <w:pPr>
              <w:pStyle w:val="A-"/>
            </w:pPr>
            <w:r>
              <w:t>6.382</w:t>
            </w:r>
            <w:r>
              <w:rPr>
                <w:rFonts w:eastAsia="等线"/>
              </w:rPr>
              <w:t>kg/a</w:t>
            </w:r>
          </w:p>
        </w:tc>
        <w:tc>
          <w:tcPr>
            <w:tcW w:w="680" w:type="pct"/>
            <w:shd w:val="clear" w:color="auto" w:fill="auto"/>
            <w:noWrap/>
            <w:tcMar>
              <w:top w:w="15" w:type="dxa"/>
              <w:left w:w="15" w:type="dxa"/>
              <w:bottom w:w="0" w:type="dxa"/>
              <w:right w:w="15" w:type="dxa"/>
            </w:tcMar>
            <w:vAlign w:val="center"/>
          </w:tcPr>
          <w:p w14:paraId="0C0ECD00"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2EDB29B4" w14:textId="77777777" w:rsidR="002E474C" w:rsidRDefault="00000000">
            <w:pPr>
              <w:pStyle w:val="A-"/>
            </w:pPr>
            <w:r>
              <w:t>6.382</w:t>
            </w:r>
            <w:r>
              <w:rPr>
                <w:rFonts w:eastAsia="等线"/>
              </w:rPr>
              <w:t>kg/a</w:t>
            </w:r>
          </w:p>
        </w:tc>
        <w:tc>
          <w:tcPr>
            <w:tcW w:w="825" w:type="pct"/>
            <w:shd w:val="clear" w:color="auto" w:fill="auto"/>
            <w:noWrap/>
            <w:tcMar>
              <w:top w:w="15" w:type="dxa"/>
              <w:left w:w="15" w:type="dxa"/>
              <w:bottom w:w="0" w:type="dxa"/>
              <w:right w:w="15" w:type="dxa"/>
            </w:tcMar>
            <w:vAlign w:val="center"/>
          </w:tcPr>
          <w:p w14:paraId="28DBBAC7" w14:textId="77777777" w:rsidR="002E474C" w:rsidRDefault="00000000">
            <w:pPr>
              <w:pStyle w:val="A-"/>
            </w:pPr>
            <w:r>
              <w:t>+6.382</w:t>
            </w:r>
            <w:r>
              <w:rPr>
                <w:rFonts w:eastAsia="等线"/>
              </w:rPr>
              <w:t>kg/a</w:t>
            </w:r>
          </w:p>
        </w:tc>
      </w:tr>
      <w:tr w:rsidR="002E474C" w14:paraId="13C479A7" w14:textId="77777777" w:rsidTr="009C3A0E">
        <w:trPr>
          <w:trHeight w:val="23"/>
        </w:trPr>
        <w:tc>
          <w:tcPr>
            <w:tcW w:w="168" w:type="pct"/>
            <w:vMerge/>
            <w:vAlign w:val="center"/>
          </w:tcPr>
          <w:p w14:paraId="61BAD27B"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572993A5" w14:textId="77777777" w:rsidR="002E474C" w:rsidRDefault="00000000">
            <w:pPr>
              <w:pStyle w:val="A-"/>
            </w:pPr>
            <w:r>
              <w:t>As</w:t>
            </w:r>
          </w:p>
        </w:tc>
        <w:tc>
          <w:tcPr>
            <w:tcW w:w="680" w:type="pct"/>
            <w:shd w:val="clear" w:color="auto" w:fill="auto"/>
            <w:noWrap/>
            <w:tcMar>
              <w:top w:w="15" w:type="dxa"/>
              <w:left w:w="15" w:type="dxa"/>
              <w:bottom w:w="0" w:type="dxa"/>
              <w:right w:w="15" w:type="dxa"/>
            </w:tcMar>
            <w:vAlign w:val="center"/>
          </w:tcPr>
          <w:p w14:paraId="71120E69"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5CBFBA71" w14:textId="77777777" w:rsidR="002E474C" w:rsidRDefault="00000000">
            <w:pPr>
              <w:pStyle w:val="A-"/>
            </w:pPr>
            <w:r>
              <w:t>0.173</w:t>
            </w:r>
            <w:r>
              <w:rPr>
                <w:rFonts w:eastAsia="等线"/>
              </w:rPr>
              <w:t>kg/a</w:t>
            </w:r>
          </w:p>
        </w:tc>
        <w:tc>
          <w:tcPr>
            <w:tcW w:w="680" w:type="pct"/>
            <w:shd w:val="clear" w:color="auto" w:fill="auto"/>
            <w:noWrap/>
            <w:tcMar>
              <w:top w:w="15" w:type="dxa"/>
              <w:left w:w="15" w:type="dxa"/>
              <w:bottom w:w="0" w:type="dxa"/>
              <w:right w:w="15" w:type="dxa"/>
            </w:tcMar>
            <w:vAlign w:val="center"/>
          </w:tcPr>
          <w:p w14:paraId="42607B42"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0A6576A3" w14:textId="77777777" w:rsidR="002E474C" w:rsidRDefault="00000000">
            <w:pPr>
              <w:pStyle w:val="A-"/>
            </w:pPr>
            <w:r>
              <w:t>0.173</w:t>
            </w:r>
            <w:r>
              <w:rPr>
                <w:rFonts w:eastAsia="等线"/>
              </w:rPr>
              <w:t>kg/a</w:t>
            </w:r>
          </w:p>
        </w:tc>
        <w:tc>
          <w:tcPr>
            <w:tcW w:w="825" w:type="pct"/>
            <w:shd w:val="clear" w:color="auto" w:fill="auto"/>
            <w:noWrap/>
            <w:tcMar>
              <w:top w:w="15" w:type="dxa"/>
              <w:left w:w="15" w:type="dxa"/>
              <w:bottom w:w="0" w:type="dxa"/>
              <w:right w:w="15" w:type="dxa"/>
            </w:tcMar>
            <w:vAlign w:val="center"/>
          </w:tcPr>
          <w:p w14:paraId="7184EEA7" w14:textId="77777777" w:rsidR="002E474C" w:rsidRDefault="00000000">
            <w:pPr>
              <w:pStyle w:val="A-"/>
            </w:pPr>
            <w:r>
              <w:t>+0.173</w:t>
            </w:r>
            <w:r>
              <w:rPr>
                <w:rFonts w:eastAsia="等线"/>
              </w:rPr>
              <w:t>kg/a</w:t>
            </w:r>
          </w:p>
        </w:tc>
      </w:tr>
      <w:tr w:rsidR="002E474C" w14:paraId="1053388D" w14:textId="77777777" w:rsidTr="009C3A0E">
        <w:trPr>
          <w:trHeight w:val="23"/>
        </w:trPr>
        <w:tc>
          <w:tcPr>
            <w:tcW w:w="168" w:type="pct"/>
            <w:vMerge/>
            <w:vAlign w:val="center"/>
          </w:tcPr>
          <w:p w14:paraId="737BAE3E"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6AD871AA" w14:textId="77777777" w:rsidR="002E474C" w:rsidRDefault="00000000">
            <w:pPr>
              <w:pStyle w:val="A-"/>
            </w:pPr>
            <w:r>
              <w:t>Hg</w:t>
            </w:r>
          </w:p>
        </w:tc>
        <w:tc>
          <w:tcPr>
            <w:tcW w:w="680" w:type="pct"/>
            <w:shd w:val="clear" w:color="auto" w:fill="auto"/>
            <w:noWrap/>
            <w:tcMar>
              <w:top w:w="15" w:type="dxa"/>
              <w:left w:w="15" w:type="dxa"/>
              <w:bottom w:w="0" w:type="dxa"/>
              <w:right w:w="15" w:type="dxa"/>
            </w:tcMar>
            <w:vAlign w:val="center"/>
          </w:tcPr>
          <w:p w14:paraId="0C8D6B64"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285D8CB5" w14:textId="77777777" w:rsidR="002E474C" w:rsidRDefault="00000000">
            <w:pPr>
              <w:pStyle w:val="A-"/>
            </w:pPr>
            <w:r>
              <w:rPr>
                <w:rFonts w:hint="eastAsia"/>
              </w:rPr>
              <w:t>6.745</w:t>
            </w:r>
            <w:r>
              <w:rPr>
                <w:rFonts w:eastAsia="等线"/>
              </w:rPr>
              <w:t>kg/a</w:t>
            </w:r>
          </w:p>
        </w:tc>
        <w:tc>
          <w:tcPr>
            <w:tcW w:w="680" w:type="pct"/>
            <w:shd w:val="clear" w:color="auto" w:fill="auto"/>
            <w:noWrap/>
            <w:tcMar>
              <w:top w:w="15" w:type="dxa"/>
              <w:left w:w="15" w:type="dxa"/>
              <w:bottom w:w="0" w:type="dxa"/>
              <w:right w:w="15" w:type="dxa"/>
            </w:tcMar>
            <w:vAlign w:val="center"/>
          </w:tcPr>
          <w:p w14:paraId="27EBCA21"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1BB62DAE" w14:textId="77777777" w:rsidR="002E474C" w:rsidRDefault="00000000">
            <w:pPr>
              <w:pStyle w:val="A-"/>
            </w:pPr>
            <w:r>
              <w:rPr>
                <w:rFonts w:hint="eastAsia"/>
              </w:rPr>
              <w:t>6.745</w:t>
            </w:r>
            <w:r>
              <w:rPr>
                <w:rFonts w:eastAsia="等线"/>
              </w:rPr>
              <w:t>kg/a</w:t>
            </w:r>
          </w:p>
        </w:tc>
        <w:tc>
          <w:tcPr>
            <w:tcW w:w="825" w:type="pct"/>
            <w:shd w:val="clear" w:color="auto" w:fill="auto"/>
            <w:noWrap/>
            <w:tcMar>
              <w:top w:w="15" w:type="dxa"/>
              <w:left w:w="15" w:type="dxa"/>
              <w:bottom w:w="0" w:type="dxa"/>
              <w:right w:w="15" w:type="dxa"/>
            </w:tcMar>
            <w:vAlign w:val="center"/>
          </w:tcPr>
          <w:p w14:paraId="37032FF2" w14:textId="77777777" w:rsidR="002E474C" w:rsidRDefault="00000000">
            <w:pPr>
              <w:pStyle w:val="A-"/>
            </w:pPr>
            <w:r>
              <w:t>+</w:t>
            </w:r>
            <w:r>
              <w:rPr>
                <w:rFonts w:hint="eastAsia"/>
              </w:rPr>
              <w:t>6.745</w:t>
            </w:r>
            <w:r>
              <w:rPr>
                <w:rFonts w:eastAsia="等线"/>
              </w:rPr>
              <w:t>kg/a</w:t>
            </w:r>
          </w:p>
        </w:tc>
      </w:tr>
      <w:tr w:rsidR="002E474C" w14:paraId="1B55A0C8" w14:textId="77777777" w:rsidTr="009C3A0E">
        <w:trPr>
          <w:trHeight w:val="23"/>
        </w:trPr>
        <w:tc>
          <w:tcPr>
            <w:tcW w:w="168" w:type="pct"/>
            <w:vMerge/>
            <w:vAlign w:val="center"/>
          </w:tcPr>
          <w:p w14:paraId="63AD2055"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03BE560B" w14:textId="77777777" w:rsidR="002E474C" w:rsidRDefault="00000000">
            <w:pPr>
              <w:pStyle w:val="A-"/>
              <w:rPr>
                <w:rFonts w:eastAsia="等线"/>
              </w:rPr>
            </w:pPr>
            <w:proofErr w:type="spellStart"/>
            <w:r>
              <w:t>Tl+Cd+Pb+As</w:t>
            </w:r>
            <w:proofErr w:type="spellEnd"/>
          </w:p>
        </w:tc>
        <w:tc>
          <w:tcPr>
            <w:tcW w:w="680" w:type="pct"/>
            <w:shd w:val="clear" w:color="auto" w:fill="auto"/>
            <w:noWrap/>
            <w:tcMar>
              <w:top w:w="15" w:type="dxa"/>
              <w:left w:w="15" w:type="dxa"/>
              <w:bottom w:w="0" w:type="dxa"/>
              <w:right w:w="15" w:type="dxa"/>
            </w:tcMar>
            <w:vAlign w:val="center"/>
          </w:tcPr>
          <w:p w14:paraId="37F78C75"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2ED441A4" w14:textId="77777777" w:rsidR="002E474C" w:rsidRDefault="00000000">
            <w:pPr>
              <w:pStyle w:val="A-"/>
            </w:pPr>
            <w:r>
              <w:t>2.881</w:t>
            </w:r>
            <w:r>
              <w:rPr>
                <w:rFonts w:eastAsia="等线"/>
              </w:rPr>
              <w:t>kg/a</w:t>
            </w:r>
          </w:p>
        </w:tc>
        <w:tc>
          <w:tcPr>
            <w:tcW w:w="680" w:type="pct"/>
            <w:shd w:val="clear" w:color="auto" w:fill="auto"/>
            <w:noWrap/>
            <w:tcMar>
              <w:top w:w="15" w:type="dxa"/>
              <w:left w:w="15" w:type="dxa"/>
              <w:bottom w:w="0" w:type="dxa"/>
              <w:right w:w="15" w:type="dxa"/>
            </w:tcMar>
            <w:vAlign w:val="center"/>
          </w:tcPr>
          <w:p w14:paraId="1FE701F4"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C42AB27" w14:textId="77777777" w:rsidR="002E474C" w:rsidRDefault="00000000">
            <w:pPr>
              <w:pStyle w:val="A-"/>
            </w:pPr>
            <w:r>
              <w:t>2.881</w:t>
            </w:r>
            <w:r>
              <w:rPr>
                <w:rFonts w:eastAsia="等线"/>
              </w:rPr>
              <w:t>kg/a</w:t>
            </w:r>
          </w:p>
        </w:tc>
        <w:tc>
          <w:tcPr>
            <w:tcW w:w="825" w:type="pct"/>
            <w:shd w:val="clear" w:color="auto" w:fill="auto"/>
            <w:noWrap/>
            <w:tcMar>
              <w:top w:w="15" w:type="dxa"/>
              <w:left w:w="15" w:type="dxa"/>
              <w:bottom w:w="0" w:type="dxa"/>
              <w:right w:w="15" w:type="dxa"/>
            </w:tcMar>
            <w:vAlign w:val="center"/>
          </w:tcPr>
          <w:p w14:paraId="24ACFC3E" w14:textId="77777777" w:rsidR="002E474C" w:rsidRDefault="00000000">
            <w:pPr>
              <w:pStyle w:val="A-"/>
            </w:pPr>
            <w:r>
              <w:t>+2.881</w:t>
            </w:r>
            <w:r>
              <w:rPr>
                <w:rFonts w:eastAsia="等线"/>
              </w:rPr>
              <w:t>kg/a</w:t>
            </w:r>
          </w:p>
        </w:tc>
      </w:tr>
      <w:tr w:rsidR="002E474C" w14:paraId="102444C0" w14:textId="77777777" w:rsidTr="009C3A0E">
        <w:trPr>
          <w:trHeight w:val="23"/>
        </w:trPr>
        <w:tc>
          <w:tcPr>
            <w:tcW w:w="168" w:type="pct"/>
            <w:vMerge/>
            <w:vAlign w:val="center"/>
          </w:tcPr>
          <w:p w14:paraId="3F05CC5B"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5C7DA5A2" w14:textId="77777777" w:rsidR="002E474C" w:rsidRDefault="00000000">
            <w:pPr>
              <w:pStyle w:val="A-"/>
              <w:rPr>
                <w:rFonts w:eastAsia="等线"/>
              </w:rPr>
            </w:pPr>
            <w:proofErr w:type="spellStart"/>
            <w:r>
              <w:t>Be+Cr+Sn+Sb+Cu+Co+Mn+Ni+V</w:t>
            </w:r>
            <w:proofErr w:type="spellEnd"/>
          </w:p>
        </w:tc>
        <w:tc>
          <w:tcPr>
            <w:tcW w:w="680" w:type="pct"/>
            <w:shd w:val="clear" w:color="auto" w:fill="auto"/>
            <w:noWrap/>
            <w:tcMar>
              <w:top w:w="15" w:type="dxa"/>
              <w:left w:w="15" w:type="dxa"/>
              <w:bottom w:w="0" w:type="dxa"/>
              <w:right w:w="15" w:type="dxa"/>
            </w:tcMar>
            <w:vAlign w:val="center"/>
          </w:tcPr>
          <w:p w14:paraId="5B482B3D"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7AAFB8DF" w14:textId="77777777" w:rsidR="002E474C" w:rsidRDefault="00000000">
            <w:pPr>
              <w:pStyle w:val="A-"/>
            </w:pPr>
            <w:r>
              <w:t>226.292</w:t>
            </w:r>
            <w:r>
              <w:rPr>
                <w:rFonts w:eastAsia="等线"/>
              </w:rPr>
              <w:t>kg/a</w:t>
            </w:r>
          </w:p>
        </w:tc>
        <w:tc>
          <w:tcPr>
            <w:tcW w:w="680" w:type="pct"/>
            <w:shd w:val="clear" w:color="auto" w:fill="auto"/>
            <w:noWrap/>
            <w:tcMar>
              <w:top w:w="15" w:type="dxa"/>
              <w:left w:w="15" w:type="dxa"/>
              <w:bottom w:w="0" w:type="dxa"/>
              <w:right w:w="15" w:type="dxa"/>
            </w:tcMar>
            <w:vAlign w:val="center"/>
          </w:tcPr>
          <w:p w14:paraId="42542A90"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31F1B15A" w14:textId="77777777" w:rsidR="002E474C" w:rsidRDefault="00000000">
            <w:pPr>
              <w:pStyle w:val="A-"/>
            </w:pPr>
            <w:r>
              <w:t>226.292</w:t>
            </w:r>
            <w:r>
              <w:rPr>
                <w:rFonts w:eastAsia="等线"/>
              </w:rPr>
              <w:t>kg/a</w:t>
            </w:r>
          </w:p>
        </w:tc>
        <w:tc>
          <w:tcPr>
            <w:tcW w:w="825" w:type="pct"/>
            <w:shd w:val="clear" w:color="auto" w:fill="auto"/>
            <w:noWrap/>
            <w:tcMar>
              <w:top w:w="15" w:type="dxa"/>
              <w:left w:w="15" w:type="dxa"/>
              <w:bottom w:w="0" w:type="dxa"/>
              <w:right w:w="15" w:type="dxa"/>
            </w:tcMar>
            <w:vAlign w:val="center"/>
          </w:tcPr>
          <w:p w14:paraId="202D97C6" w14:textId="77777777" w:rsidR="002E474C" w:rsidRDefault="00000000">
            <w:pPr>
              <w:pStyle w:val="A-"/>
            </w:pPr>
            <w:r>
              <w:t>+226.292</w:t>
            </w:r>
            <w:r>
              <w:rPr>
                <w:rFonts w:eastAsia="等线"/>
              </w:rPr>
              <w:t>kg/a</w:t>
            </w:r>
          </w:p>
        </w:tc>
      </w:tr>
      <w:tr w:rsidR="002E474C" w14:paraId="2E571FEF" w14:textId="77777777" w:rsidTr="009C3A0E">
        <w:trPr>
          <w:trHeight w:val="23"/>
        </w:trPr>
        <w:tc>
          <w:tcPr>
            <w:tcW w:w="168" w:type="pct"/>
            <w:vMerge/>
            <w:vAlign w:val="center"/>
          </w:tcPr>
          <w:p w14:paraId="5A6E279B"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4EF24571" w14:textId="77777777" w:rsidR="002E474C" w:rsidRDefault="00000000">
            <w:pPr>
              <w:pStyle w:val="A-"/>
            </w:pPr>
            <w:r>
              <w:t>二噁英类</w:t>
            </w:r>
          </w:p>
        </w:tc>
        <w:tc>
          <w:tcPr>
            <w:tcW w:w="680" w:type="pct"/>
            <w:shd w:val="clear" w:color="auto" w:fill="auto"/>
            <w:noWrap/>
            <w:tcMar>
              <w:top w:w="15" w:type="dxa"/>
              <w:left w:w="15" w:type="dxa"/>
              <w:bottom w:w="0" w:type="dxa"/>
              <w:right w:w="15" w:type="dxa"/>
            </w:tcMar>
            <w:vAlign w:val="center"/>
          </w:tcPr>
          <w:p w14:paraId="3F5EDB9D"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351BEE87" w14:textId="77777777" w:rsidR="002E474C" w:rsidRDefault="00000000">
            <w:pPr>
              <w:pStyle w:val="A-"/>
            </w:pPr>
            <w:r>
              <w:rPr>
                <w:spacing w:val="-6"/>
              </w:rPr>
              <w:t>0.259gTEQ/a</w:t>
            </w:r>
          </w:p>
        </w:tc>
        <w:tc>
          <w:tcPr>
            <w:tcW w:w="680" w:type="pct"/>
            <w:shd w:val="clear" w:color="auto" w:fill="auto"/>
            <w:noWrap/>
            <w:tcMar>
              <w:top w:w="15" w:type="dxa"/>
              <w:left w:w="15" w:type="dxa"/>
              <w:bottom w:w="0" w:type="dxa"/>
              <w:right w:w="15" w:type="dxa"/>
            </w:tcMar>
            <w:vAlign w:val="center"/>
          </w:tcPr>
          <w:p w14:paraId="0B9A7861"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008D1B8" w14:textId="77777777" w:rsidR="002E474C" w:rsidRDefault="00000000">
            <w:pPr>
              <w:pStyle w:val="A-"/>
            </w:pPr>
            <w:r>
              <w:t>0.259gTEQ/a</w:t>
            </w:r>
          </w:p>
        </w:tc>
        <w:tc>
          <w:tcPr>
            <w:tcW w:w="825" w:type="pct"/>
            <w:shd w:val="clear" w:color="auto" w:fill="auto"/>
            <w:noWrap/>
            <w:tcMar>
              <w:top w:w="15" w:type="dxa"/>
              <w:left w:w="15" w:type="dxa"/>
              <w:bottom w:w="0" w:type="dxa"/>
              <w:right w:w="15" w:type="dxa"/>
            </w:tcMar>
            <w:vAlign w:val="center"/>
          </w:tcPr>
          <w:p w14:paraId="2D624754" w14:textId="77777777" w:rsidR="002E474C" w:rsidRDefault="00000000">
            <w:pPr>
              <w:pStyle w:val="A-"/>
            </w:pPr>
            <w:r>
              <w:t>+0.259gTEQ/a</w:t>
            </w:r>
          </w:p>
        </w:tc>
      </w:tr>
      <w:tr w:rsidR="002E474C" w14:paraId="7FCE56CC" w14:textId="77777777" w:rsidTr="009C3A0E">
        <w:trPr>
          <w:trHeight w:val="23"/>
        </w:trPr>
        <w:tc>
          <w:tcPr>
            <w:tcW w:w="168" w:type="pct"/>
            <w:vMerge/>
            <w:vAlign w:val="center"/>
          </w:tcPr>
          <w:p w14:paraId="5F70D310"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065DF258" w14:textId="77777777" w:rsidR="002E474C" w:rsidRDefault="00000000">
            <w:pPr>
              <w:pStyle w:val="A-"/>
            </w:pPr>
            <w:r>
              <w:t>H</w:t>
            </w:r>
            <w:r>
              <w:rPr>
                <w:vertAlign w:val="subscript"/>
              </w:rPr>
              <w:t>2</w:t>
            </w:r>
            <w:r>
              <w:t>S</w:t>
            </w:r>
          </w:p>
        </w:tc>
        <w:tc>
          <w:tcPr>
            <w:tcW w:w="680" w:type="pct"/>
            <w:shd w:val="clear" w:color="auto" w:fill="auto"/>
            <w:noWrap/>
            <w:tcMar>
              <w:top w:w="15" w:type="dxa"/>
              <w:left w:w="15" w:type="dxa"/>
              <w:bottom w:w="0" w:type="dxa"/>
              <w:right w:w="15" w:type="dxa"/>
            </w:tcMar>
          </w:tcPr>
          <w:p w14:paraId="5D26D22A"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355977F0" w14:textId="77777777" w:rsidR="002E474C" w:rsidRDefault="00000000">
            <w:pPr>
              <w:pStyle w:val="A-"/>
            </w:pPr>
            <w:r>
              <w:t>0.003</w:t>
            </w:r>
          </w:p>
        </w:tc>
        <w:tc>
          <w:tcPr>
            <w:tcW w:w="680" w:type="pct"/>
            <w:shd w:val="clear" w:color="auto" w:fill="auto"/>
            <w:noWrap/>
            <w:tcMar>
              <w:top w:w="15" w:type="dxa"/>
              <w:left w:w="15" w:type="dxa"/>
              <w:bottom w:w="0" w:type="dxa"/>
              <w:right w:w="15" w:type="dxa"/>
            </w:tcMar>
            <w:vAlign w:val="center"/>
          </w:tcPr>
          <w:p w14:paraId="445B147E"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52E0B99" w14:textId="77777777" w:rsidR="002E474C" w:rsidRDefault="00000000">
            <w:pPr>
              <w:pStyle w:val="A-"/>
            </w:pPr>
            <w:r>
              <w:t>0.003</w:t>
            </w:r>
          </w:p>
        </w:tc>
        <w:tc>
          <w:tcPr>
            <w:tcW w:w="825" w:type="pct"/>
            <w:shd w:val="clear" w:color="auto" w:fill="auto"/>
            <w:noWrap/>
            <w:tcMar>
              <w:top w:w="15" w:type="dxa"/>
              <w:left w:w="15" w:type="dxa"/>
              <w:bottom w:w="0" w:type="dxa"/>
              <w:right w:w="15" w:type="dxa"/>
            </w:tcMar>
            <w:vAlign w:val="center"/>
          </w:tcPr>
          <w:p w14:paraId="027FE705" w14:textId="77777777" w:rsidR="002E474C" w:rsidRDefault="00000000">
            <w:pPr>
              <w:pStyle w:val="A-"/>
            </w:pPr>
            <w:r>
              <w:t>+0.003</w:t>
            </w:r>
          </w:p>
        </w:tc>
      </w:tr>
      <w:tr w:rsidR="002E474C" w14:paraId="5C23C561" w14:textId="77777777" w:rsidTr="009C3A0E">
        <w:trPr>
          <w:trHeight w:val="23"/>
        </w:trPr>
        <w:tc>
          <w:tcPr>
            <w:tcW w:w="168" w:type="pct"/>
            <w:vMerge/>
            <w:vAlign w:val="center"/>
          </w:tcPr>
          <w:p w14:paraId="29E4C1DB"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47EDAEC6" w14:textId="77777777" w:rsidR="002E474C" w:rsidRDefault="00000000">
            <w:pPr>
              <w:pStyle w:val="A-"/>
            </w:pPr>
            <w:r>
              <w:t>NH</w:t>
            </w:r>
            <w:r>
              <w:rPr>
                <w:vertAlign w:val="subscript"/>
              </w:rPr>
              <w:t>3</w:t>
            </w:r>
          </w:p>
        </w:tc>
        <w:tc>
          <w:tcPr>
            <w:tcW w:w="680" w:type="pct"/>
            <w:shd w:val="clear" w:color="auto" w:fill="auto"/>
            <w:noWrap/>
            <w:tcMar>
              <w:top w:w="15" w:type="dxa"/>
              <w:left w:w="15" w:type="dxa"/>
              <w:bottom w:w="0" w:type="dxa"/>
              <w:right w:w="15" w:type="dxa"/>
            </w:tcMar>
            <w:vAlign w:val="center"/>
          </w:tcPr>
          <w:p w14:paraId="0456AEF6" w14:textId="77777777" w:rsidR="002E474C" w:rsidRDefault="00000000">
            <w:pPr>
              <w:pStyle w:val="A-"/>
            </w:pPr>
            <w:r>
              <w:t>28.10</w:t>
            </w:r>
          </w:p>
        </w:tc>
        <w:tc>
          <w:tcPr>
            <w:tcW w:w="680" w:type="pct"/>
            <w:shd w:val="clear" w:color="auto" w:fill="auto"/>
            <w:noWrap/>
            <w:tcMar>
              <w:top w:w="15" w:type="dxa"/>
              <w:left w:w="15" w:type="dxa"/>
              <w:bottom w:w="0" w:type="dxa"/>
              <w:right w:w="15" w:type="dxa"/>
            </w:tcMar>
            <w:vAlign w:val="center"/>
          </w:tcPr>
          <w:p w14:paraId="0C82BC5B" w14:textId="77777777" w:rsidR="002E474C" w:rsidRDefault="00000000">
            <w:pPr>
              <w:pStyle w:val="A-"/>
            </w:pPr>
            <w:r>
              <w:t>0.414</w:t>
            </w:r>
          </w:p>
        </w:tc>
        <w:tc>
          <w:tcPr>
            <w:tcW w:w="680" w:type="pct"/>
            <w:shd w:val="clear" w:color="auto" w:fill="auto"/>
            <w:noWrap/>
            <w:tcMar>
              <w:top w:w="15" w:type="dxa"/>
              <w:left w:w="15" w:type="dxa"/>
              <w:bottom w:w="0" w:type="dxa"/>
              <w:right w:w="15" w:type="dxa"/>
            </w:tcMar>
            <w:vAlign w:val="center"/>
          </w:tcPr>
          <w:p w14:paraId="0E80B040"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9F63BC6" w14:textId="77777777" w:rsidR="002E474C" w:rsidRDefault="00000000">
            <w:pPr>
              <w:pStyle w:val="A-"/>
            </w:pPr>
            <w:r>
              <w:t>28.514</w:t>
            </w:r>
          </w:p>
        </w:tc>
        <w:tc>
          <w:tcPr>
            <w:tcW w:w="825" w:type="pct"/>
            <w:shd w:val="clear" w:color="auto" w:fill="auto"/>
            <w:noWrap/>
            <w:tcMar>
              <w:top w:w="15" w:type="dxa"/>
              <w:left w:w="15" w:type="dxa"/>
              <w:bottom w:w="0" w:type="dxa"/>
              <w:right w:w="15" w:type="dxa"/>
            </w:tcMar>
            <w:vAlign w:val="center"/>
          </w:tcPr>
          <w:p w14:paraId="7660016E" w14:textId="77777777" w:rsidR="002E474C" w:rsidRDefault="00000000">
            <w:pPr>
              <w:pStyle w:val="A-"/>
            </w:pPr>
            <w:r>
              <w:t>+0.414</w:t>
            </w:r>
          </w:p>
        </w:tc>
      </w:tr>
      <w:tr w:rsidR="002E474C" w14:paraId="60AE7A35" w14:textId="77777777" w:rsidTr="009C3A0E">
        <w:trPr>
          <w:trHeight w:val="23"/>
        </w:trPr>
        <w:tc>
          <w:tcPr>
            <w:tcW w:w="168" w:type="pct"/>
            <w:vMerge/>
            <w:vAlign w:val="center"/>
          </w:tcPr>
          <w:p w14:paraId="63581425" w14:textId="77777777" w:rsidR="002E474C" w:rsidRDefault="002E474C">
            <w:pPr>
              <w:pStyle w:val="A-"/>
            </w:pPr>
          </w:p>
        </w:tc>
        <w:tc>
          <w:tcPr>
            <w:tcW w:w="947" w:type="pct"/>
            <w:shd w:val="clear" w:color="auto" w:fill="auto"/>
            <w:noWrap/>
            <w:tcMar>
              <w:top w:w="15" w:type="dxa"/>
              <w:left w:w="15" w:type="dxa"/>
              <w:bottom w:w="0" w:type="dxa"/>
              <w:right w:w="15" w:type="dxa"/>
            </w:tcMar>
            <w:vAlign w:val="center"/>
          </w:tcPr>
          <w:p w14:paraId="4509BD96" w14:textId="77777777" w:rsidR="002E474C" w:rsidRDefault="00000000">
            <w:pPr>
              <w:pStyle w:val="A-"/>
            </w:pPr>
            <w:r>
              <w:t>NMHC</w:t>
            </w:r>
          </w:p>
        </w:tc>
        <w:tc>
          <w:tcPr>
            <w:tcW w:w="680" w:type="pct"/>
            <w:shd w:val="clear" w:color="auto" w:fill="auto"/>
            <w:noWrap/>
            <w:tcMar>
              <w:top w:w="15" w:type="dxa"/>
              <w:left w:w="15" w:type="dxa"/>
              <w:bottom w:w="0" w:type="dxa"/>
              <w:right w:w="15" w:type="dxa"/>
            </w:tcMar>
          </w:tcPr>
          <w:p w14:paraId="21BAFDC8"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DA6B6C7" w14:textId="77777777" w:rsidR="002E474C" w:rsidRDefault="00000000">
            <w:pPr>
              <w:pStyle w:val="A-"/>
            </w:pPr>
            <w:r>
              <w:t>0.4</w:t>
            </w:r>
            <w:r>
              <w:rPr>
                <w:rFonts w:hint="eastAsia"/>
              </w:rPr>
              <w:t>50</w:t>
            </w:r>
          </w:p>
        </w:tc>
        <w:tc>
          <w:tcPr>
            <w:tcW w:w="680" w:type="pct"/>
            <w:shd w:val="clear" w:color="auto" w:fill="auto"/>
            <w:noWrap/>
            <w:tcMar>
              <w:top w:w="15" w:type="dxa"/>
              <w:left w:w="15" w:type="dxa"/>
              <w:bottom w:w="0" w:type="dxa"/>
              <w:right w:w="15" w:type="dxa"/>
            </w:tcMar>
            <w:vAlign w:val="center"/>
          </w:tcPr>
          <w:p w14:paraId="1FBEB0F5"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71977779" w14:textId="77777777" w:rsidR="002E474C" w:rsidRDefault="00000000">
            <w:pPr>
              <w:pStyle w:val="A-"/>
            </w:pPr>
            <w:r>
              <w:t>0.4</w:t>
            </w:r>
            <w:r>
              <w:rPr>
                <w:rFonts w:hint="eastAsia"/>
              </w:rPr>
              <w:t>50</w:t>
            </w:r>
          </w:p>
        </w:tc>
        <w:tc>
          <w:tcPr>
            <w:tcW w:w="825" w:type="pct"/>
            <w:shd w:val="clear" w:color="auto" w:fill="auto"/>
            <w:noWrap/>
            <w:tcMar>
              <w:top w:w="15" w:type="dxa"/>
              <w:left w:w="15" w:type="dxa"/>
              <w:bottom w:w="0" w:type="dxa"/>
              <w:right w:w="15" w:type="dxa"/>
            </w:tcMar>
            <w:vAlign w:val="center"/>
          </w:tcPr>
          <w:p w14:paraId="5ACF604E" w14:textId="77777777" w:rsidR="002E474C" w:rsidRDefault="00000000">
            <w:pPr>
              <w:pStyle w:val="A-"/>
            </w:pPr>
            <w:r>
              <w:t>+0.4</w:t>
            </w:r>
            <w:r>
              <w:rPr>
                <w:rFonts w:hint="eastAsia"/>
              </w:rPr>
              <w:t>50</w:t>
            </w:r>
          </w:p>
        </w:tc>
      </w:tr>
      <w:tr w:rsidR="002E474C" w14:paraId="1F9E9B76" w14:textId="77777777" w:rsidTr="009C3A0E">
        <w:trPr>
          <w:trHeight w:val="23"/>
        </w:trPr>
        <w:tc>
          <w:tcPr>
            <w:tcW w:w="168" w:type="pct"/>
            <w:vMerge w:val="restart"/>
            <w:shd w:val="clear" w:color="auto" w:fill="auto"/>
            <w:noWrap/>
            <w:tcMar>
              <w:top w:w="15" w:type="dxa"/>
              <w:left w:w="15" w:type="dxa"/>
              <w:bottom w:w="0" w:type="dxa"/>
              <w:right w:w="15" w:type="dxa"/>
            </w:tcMar>
            <w:vAlign w:val="center"/>
          </w:tcPr>
          <w:p w14:paraId="20933659" w14:textId="77777777" w:rsidR="002E474C" w:rsidRDefault="00000000">
            <w:pPr>
              <w:pStyle w:val="A-"/>
            </w:pPr>
            <w:r>
              <w:t>废水</w:t>
            </w:r>
          </w:p>
        </w:tc>
        <w:tc>
          <w:tcPr>
            <w:tcW w:w="947" w:type="pct"/>
            <w:shd w:val="clear" w:color="auto" w:fill="auto"/>
            <w:tcMar>
              <w:top w:w="15" w:type="dxa"/>
              <w:left w:w="15" w:type="dxa"/>
              <w:bottom w:w="0" w:type="dxa"/>
              <w:right w:w="15" w:type="dxa"/>
            </w:tcMar>
            <w:vAlign w:val="center"/>
          </w:tcPr>
          <w:p w14:paraId="4A98A7CF" w14:textId="77777777" w:rsidR="002E474C" w:rsidRDefault="00000000">
            <w:pPr>
              <w:pStyle w:val="A-"/>
            </w:pPr>
            <w:r>
              <w:t>废水量</w:t>
            </w:r>
          </w:p>
        </w:tc>
        <w:tc>
          <w:tcPr>
            <w:tcW w:w="680" w:type="pct"/>
            <w:shd w:val="clear" w:color="auto" w:fill="auto"/>
            <w:noWrap/>
            <w:tcMar>
              <w:top w:w="15" w:type="dxa"/>
              <w:left w:w="15" w:type="dxa"/>
              <w:bottom w:w="0" w:type="dxa"/>
              <w:right w:w="15" w:type="dxa"/>
            </w:tcMar>
            <w:vAlign w:val="center"/>
          </w:tcPr>
          <w:p w14:paraId="5D6A81DF"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5A052166"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1DF3AA5"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3BD997B2" w14:textId="77777777" w:rsidR="002E474C" w:rsidRDefault="00000000">
            <w:pPr>
              <w:pStyle w:val="A-"/>
            </w:pPr>
            <w:r>
              <w:t>0</w:t>
            </w:r>
          </w:p>
        </w:tc>
        <w:tc>
          <w:tcPr>
            <w:tcW w:w="825" w:type="pct"/>
            <w:shd w:val="clear" w:color="auto" w:fill="auto"/>
            <w:noWrap/>
            <w:tcMar>
              <w:top w:w="15" w:type="dxa"/>
              <w:left w:w="15" w:type="dxa"/>
              <w:bottom w:w="0" w:type="dxa"/>
              <w:right w:w="15" w:type="dxa"/>
            </w:tcMar>
            <w:vAlign w:val="center"/>
          </w:tcPr>
          <w:p w14:paraId="259D53A5" w14:textId="77777777" w:rsidR="002E474C" w:rsidRDefault="00000000">
            <w:pPr>
              <w:pStyle w:val="A-"/>
            </w:pPr>
            <w:r>
              <w:t>0</w:t>
            </w:r>
          </w:p>
        </w:tc>
      </w:tr>
      <w:tr w:rsidR="002E474C" w14:paraId="1E4FC4B7" w14:textId="77777777" w:rsidTr="009C3A0E">
        <w:trPr>
          <w:trHeight w:val="23"/>
        </w:trPr>
        <w:tc>
          <w:tcPr>
            <w:tcW w:w="168" w:type="pct"/>
            <w:vMerge/>
            <w:shd w:val="clear" w:color="auto" w:fill="auto"/>
            <w:noWrap/>
            <w:tcMar>
              <w:top w:w="15" w:type="dxa"/>
              <w:left w:w="15" w:type="dxa"/>
              <w:bottom w:w="0" w:type="dxa"/>
              <w:right w:w="15" w:type="dxa"/>
            </w:tcMar>
            <w:vAlign w:val="center"/>
          </w:tcPr>
          <w:p w14:paraId="22BED263" w14:textId="77777777" w:rsidR="002E474C" w:rsidRDefault="002E474C">
            <w:pPr>
              <w:pStyle w:val="A-"/>
            </w:pPr>
          </w:p>
        </w:tc>
        <w:tc>
          <w:tcPr>
            <w:tcW w:w="947" w:type="pct"/>
            <w:shd w:val="clear" w:color="auto" w:fill="auto"/>
            <w:tcMar>
              <w:top w:w="15" w:type="dxa"/>
              <w:left w:w="15" w:type="dxa"/>
              <w:bottom w:w="0" w:type="dxa"/>
              <w:right w:w="15" w:type="dxa"/>
            </w:tcMar>
            <w:vAlign w:val="center"/>
          </w:tcPr>
          <w:p w14:paraId="0D99F59C" w14:textId="77777777" w:rsidR="002E474C" w:rsidRDefault="00000000">
            <w:pPr>
              <w:pStyle w:val="A-"/>
            </w:pPr>
            <w:r>
              <w:t>COD</w:t>
            </w:r>
          </w:p>
        </w:tc>
        <w:tc>
          <w:tcPr>
            <w:tcW w:w="680" w:type="pct"/>
            <w:shd w:val="clear" w:color="auto" w:fill="auto"/>
            <w:noWrap/>
            <w:tcMar>
              <w:top w:w="15" w:type="dxa"/>
              <w:left w:w="15" w:type="dxa"/>
              <w:bottom w:w="0" w:type="dxa"/>
              <w:right w:w="15" w:type="dxa"/>
            </w:tcMar>
            <w:vAlign w:val="center"/>
          </w:tcPr>
          <w:p w14:paraId="66702CBF"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78719BBC"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39708145"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2C1C0537" w14:textId="77777777" w:rsidR="002E474C" w:rsidRDefault="00000000">
            <w:pPr>
              <w:pStyle w:val="A-"/>
            </w:pPr>
            <w:r>
              <w:t>0</w:t>
            </w:r>
          </w:p>
        </w:tc>
        <w:tc>
          <w:tcPr>
            <w:tcW w:w="825" w:type="pct"/>
            <w:shd w:val="clear" w:color="auto" w:fill="auto"/>
            <w:noWrap/>
            <w:tcMar>
              <w:top w:w="15" w:type="dxa"/>
              <w:left w:w="15" w:type="dxa"/>
              <w:bottom w:w="0" w:type="dxa"/>
              <w:right w:w="15" w:type="dxa"/>
            </w:tcMar>
            <w:vAlign w:val="center"/>
          </w:tcPr>
          <w:p w14:paraId="4A00DDF4" w14:textId="77777777" w:rsidR="002E474C" w:rsidRDefault="00000000">
            <w:pPr>
              <w:pStyle w:val="A-"/>
            </w:pPr>
            <w:r>
              <w:t>0</w:t>
            </w:r>
          </w:p>
        </w:tc>
      </w:tr>
      <w:tr w:rsidR="002E474C" w14:paraId="343A2530" w14:textId="77777777" w:rsidTr="009C3A0E">
        <w:trPr>
          <w:trHeight w:val="23"/>
        </w:trPr>
        <w:tc>
          <w:tcPr>
            <w:tcW w:w="168" w:type="pct"/>
            <w:vMerge/>
            <w:shd w:val="clear" w:color="auto" w:fill="auto"/>
            <w:noWrap/>
            <w:tcMar>
              <w:top w:w="15" w:type="dxa"/>
              <w:left w:w="15" w:type="dxa"/>
              <w:bottom w:w="0" w:type="dxa"/>
              <w:right w:w="15" w:type="dxa"/>
            </w:tcMar>
            <w:vAlign w:val="center"/>
          </w:tcPr>
          <w:p w14:paraId="753A699C" w14:textId="77777777" w:rsidR="002E474C" w:rsidRDefault="002E474C">
            <w:pPr>
              <w:pStyle w:val="A-"/>
            </w:pPr>
          </w:p>
        </w:tc>
        <w:tc>
          <w:tcPr>
            <w:tcW w:w="947" w:type="pct"/>
            <w:shd w:val="clear" w:color="auto" w:fill="auto"/>
            <w:tcMar>
              <w:top w:w="15" w:type="dxa"/>
              <w:left w:w="15" w:type="dxa"/>
              <w:bottom w:w="0" w:type="dxa"/>
              <w:right w:w="15" w:type="dxa"/>
            </w:tcMar>
            <w:vAlign w:val="center"/>
          </w:tcPr>
          <w:p w14:paraId="5CF26A4D" w14:textId="77777777" w:rsidR="002E474C" w:rsidRDefault="00000000">
            <w:pPr>
              <w:pStyle w:val="A-"/>
            </w:pPr>
            <w:r>
              <w:t>氨氮</w:t>
            </w:r>
          </w:p>
        </w:tc>
        <w:tc>
          <w:tcPr>
            <w:tcW w:w="680" w:type="pct"/>
            <w:shd w:val="clear" w:color="auto" w:fill="auto"/>
            <w:noWrap/>
            <w:tcMar>
              <w:top w:w="15" w:type="dxa"/>
              <w:left w:w="15" w:type="dxa"/>
              <w:bottom w:w="0" w:type="dxa"/>
              <w:right w:w="15" w:type="dxa"/>
            </w:tcMar>
            <w:vAlign w:val="center"/>
          </w:tcPr>
          <w:p w14:paraId="5AE4E3B6"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A00B1DC"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27B3F840"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3E4772FC" w14:textId="77777777" w:rsidR="002E474C" w:rsidRDefault="00000000">
            <w:pPr>
              <w:pStyle w:val="A-"/>
            </w:pPr>
            <w:r>
              <w:t>0</w:t>
            </w:r>
          </w:p>
        </w:tc>
        <w:tc>
          <w:tcPr>
            <w:tcW w:w="825" w:type="pct"/>
            <w:shd w:val="clear" w:color="auto" w:fill="auto"/>
            <w:noWrap/>
            <w:tcMar>
              <w:top w:w="15" w:type="dxa"/>
              <w:left w:w="15" w:type="dxa"/>
              <w:bottom w:w="0" w:type="dxa"/>
              <w:right w:w="15" w:type="dxa"/>
            </w:tcMar>
            <w:vAlign w:val="center"/>
          </w:tcPr>
          <w:p w14:paraId="56130F2D" w14:textId="77777777" w:rsidR="002E474C" w:rsidRDefault="00000000">
            <w:pPr>
              <w:pStyle w:val="A-"/>
            </w:pPr>
            <w:r>
              <w:t>0</w:t>
            </w:r>
          </w:p>
        </w:tc>
      </w:tr>
      <w:tr w:rsidR="002E474C" w14:paraId="0038A0D5" w14:textId="77777777" w:rsidTr="009C3A0E">
        <w:trPr>
          <w:trHeight w:val="23"/>
        </w:trPr>
        <w:tc>
          <w:tcPr>
            <w:tcW w:w="168" w:type="pct"/>
            <w:vMerge w:val="restart"/>
            <w:shd w:val="clear" w:color="auto" w:fill="auto"/>
            <w:noWrap/>
            <w:tcMar>
              <w:top w:w="15" w:type="dxa"/>
              <w:left w:w="15" w:type="dxa"/>
              <w:bottom w:w="0" w:type="dxa"/>
              <w:right w:w="15" w:type="dxa"/>
            </w:tcMar>
            <w:vAlign w:val="center"/>
          </w:tcPr>
          <w:p w14:paraId="35B1753C" w14:textId="77777777" w:rsidR="002E474C" w:rsidRDefault="00000000">
            <w:pPr>
              <w:pStyle w:val="A-"/>
            </w:pPr>
            <w:r>
              <w:t>固废</w:t>
            </w:r>
          </w:p>
        </w:tc>
        <w:tc>
          <w:tcPr>
            <w:tcW w:w="947" w:type="pct"/>
            <w:shd w:val="clear" w:color="auto" w:fill="auto"/>
            <w:tcMar>
              <w:top w:w="15" w:type="dxa"/>
              <w:left w:w="15" w:type="dxa"/>
              <w:bottom w:w="0" w:type="dxa"/>
              <w:right w:w="15" w:type="dxa"/>
            </w:tcMar>
            <w:vAlign w:val="center"/>
          </w:tcPr>
          <w:p w14:paraId="73EB4D9E" w14:textId="77777777" w:rsidR="002E474C" w:rsidRDefault="00000000">
            <w:pPr>
              <w:pStyle w:val="A-"/>
            </w:pPr>
            <w:r>
              <w:t>一般固废</w:t>
            </w:r>
          </w:p>
        </w:tc>
        <w:tc>
          <w:tcPr>
            <w:tcW w:w="680" w:type="pct"/>
            <w:shd w:val="clear" w:color="auto" w:fill="auto"/>
            <w:noWrap/>
            <w:tcMar>
              <w:top w:w="15" w:type="dxa"/>
              <w:left w:w="15" w:type="dxa"/>
              <w:bottom w:w="0" w:type="dxa"/>
              <w:right w:w="15" w:type="dxa"/>
            </w:tcMar>
            <w:vAlign w:val="center"/>
          </w:tcPr>
          <w:p w14:paraId="250DA9E6"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83BAE01"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448F20D9"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41EBFF6C" w14:textId="77777777" w:rsidR="002E474C" w:rsidRDefault="00000000">
            <w:pPr>
              <w:pStyle w:val="A-"/>
            </w:pPr>
            <w:r>
              <w:t>0</w:t>
            </w:r>
          </w:p>
        </w:tc>
        <w:tc>
          <w:tcPr>
            <w:tcW w:w="825" w:type="pct"/>
            <w:shd w:val="clear" w:color="auto" w:fill="auto"/>
            <w:noWrap/>
            <w:tcMar>
              <w:top w:w="15" w:type="dxa"/>
              <w:left w:w="15" w:type="dxa"/>
              <w:bottom w:w="0" w:type="dxa"/>
              <w:right w:w="15" w:type="dxa"/>
            </w:tcMar>
            <w:vAlign w:val="center"/>
          </w:tcPr>
          <w:p w14:paraId="15B29CDE" w14:textId="77777777" w:rsidR="002E474C" w:rsidRDefault="00000000">
            <w:pPr>
              <w:pStyle w:val="A-"/>
            </w:pPr>
            <w:r>
              <w:t>0</w:t>
            </w:r>
          </w:p>
        </w:tc>
      </w:tr>
      <w:tr w:rsidR="002E474C" w14:paraId="5E3207D6" w14:textId="77777777" w:rsidTr="009C3A0E">
        <w:trPr>
          <w:trHeight w:val="23"/>
        </w:trPr>
        <w:tc>
          <w:tcPr>
            <w:tcW w:w="168" w:type="pct"/>
            <w:vMerge/>
            <w:vAlign w:val="center"/>
          </w:tcPr>
          <w:p w14:paraId="177EB6FD" w14:textId="77777777" w:rsidR="002E474C" w:rsidRDefault="002E474C">
            <w:pPr>
              <w:pStyle w:val="A-"/>
            </w:pPr>
          </w:p>
        </w:tc>
        <w:tc>
          <w:tcPr>
            <w:tcW w:w="947" w:type="pct"/>
            <w:shd w:val="clear" w:color="auto" w:fill="auto"/>
            <w:tcMar>
              <w:top w:w="15" w:type="dxa"/>
              <w:left w:w="15" w:type="dxa"/>
              <w:bottom w:w="0" w:type="dxa"/>
              <w:right w:w="15" w:type="dxa"/>
            </w:tcMar>
            <w:vAlign w:val="center"/>
          </w:tcPr>
          <w:p w14:paraId="733ED6CF" w14:textId="77777777" w:rsidR="002E474C" w:rsidRDefault="00000000">
            <w:pPr>
              <w:pStyle w:val="A-"/>
            </w:pPr>
            <w:r>
              <w:t>危险废物</w:t>
            </w:r>
          </w:p>
        </w:tc>
        <w:tc>
          <w:tcPr>
            <w:tcW w:w="680" w:type="pct"/>
            <w:shd w:val="clear" w:color="auto" w:fill="auto"/>
            <w:noWrap/>
            <w:tcMar>
              <w:top w:w="15" w:type="dxa"/>
              <w:left w:w="15" w:type="dxa"/>
              <w:bottom w:w="0" w:type="dxa"/>
              <w:right w:w="15" w:type="dxa"/>
            </w:tcMar>
            <w:vAlign w:val="center"/>
          </w:tcPr>
          <w:p w14:paraId="4CC3B5AC"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0B1D57E3"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7FC14F1E" w14:textId="77777777" w:rsidR="002E474C" w:rsidRDefault="00000000">
            <w:pPr>
              <w:pStyle w:val="A-"/>
            </w:pPr>
            <w:r>
              <w:t>0</w:t>
            </w:r>
          </w:p>
        </w:tc>
        <w:tc>
          <w:tcPr>
            <w:tcW w:w="1020" w:type="pct"/>
            <w:shd w:val="clear" w:color="auto" w:fill="auto"/>
            <w:noWrap/>
            <w:tcMar>
              <w:top w:w="15" w:type="dxa"/>
              <w:left w:w="15" w:type="dxa"/>
              <w:bottom w:w="0" w:type="dxa"/>
              <w:right w:w="15" w:type="dxa"/>
            </w:tcMar>
            <w:vAlign w:val="center"/>
          </w:tcPr>
          <w:p w14:paraId="36051FD2" w14:textId="77777777" w:rsidR="002E474C" w:rsidRDefault="00000000">
            <w:pPr>
              <w:pStyle w:val="A-"/>
            </w:pPr>
            <w:r>
              <w:t>0</w:t>
            </w:r>
          </w:p>
        </w:tc>
        <w:tc>
          <w:tcPr>
            <w:tcW w:w="825" w:type="pct"/>
            <w:shd w:val="clear" w:color="auto" w:fill="auto"/>
            <w:noWrap/>
            <w:tcMar>
              <w:top w:w="15" w:type="dxa"/>
              <w:left w:w="15" w:type="dxa"/>
              <w:bottom w:w="0" w:type="dxa"/>
              <w:right w:w="15" w:type="dxa"/>
            </w:tcMar>
            <w:vAlign w:val="center"/>
          </w:tcPr>
          <w:p w14:paraId="7DA280BF" w14:textId="77777777" w:rsidR="002E474C" w:rsidRDefault="00000000">
            <w:pPr>
              <w:pStyle w:val="A-"/>
            </w:pPr>
            <w:r>
              <w:t>0</w:t>
            </w:r>
          </w:p>
        </w:tc>
      </w:tr>
      <w:tr w:rsidR="002E474C" w14:paraId="25CDD667" w14:textId="77777777" w:rsidTr="009C3A0E">
        <w:trPr>
          <w:trHeight w:val="23"/>
        </w:trPr>
        <w:tc>
          <w:tcPr>
            <w:tcW w:w="168" w:type="pct"/>
            <w:vMerge/>
            <w:vAlign w:val="center"/>
          </w:tcPr>
          <w:p w14:paraId="40637EAC" w14:textId="77777777" w:rsidR="002E474C" w:rsidRDefault="002E474C">
            <w:pPr>
              <w:pStyle w:val="A-"/>
            </w:pPr>
          </w:p>
        </w:tc>
        <w:tc>
          <w:tcPr>
            <w:tcW w:w="947" w:type="pct"/>
            <w:shd w:val="clear" w:color="auto" w:fill="auto"/>
            <w:tcMar>
              <w:top w:w="15" w:type="dxa"/>
              <w:left w:w="15" w:type="dxa"/>
              <w:bottom w:w="0" w:type="dxa"/>
              <w:right w:w="15" w:type="dxa"/>
            </w:tcMar>
            <w:vAlign w:val="center"/>
          </w:tcPr>
          <w:p w14:paraId="43FF75D5" w14:textId="77777777" w:rsidR="002E474C" w:rsidRDefault="00000000">
            <w:pPr>
              <w:pStyle w:val="A-"/>
            </w:pPr>
            <w:r>
              <w:t>生活垃圾</w:t>
            </w:r>
          </w:p>
        </w:tc>
        <w:tc>
          <w:tcPr>
            <w:tcW w:w="680" w:type="pct"/>
            <w:shd w:val="clear" w:color="auto" w:fill="auto"/>
            <w:noWrap/>
            <w:tcMar>
              <w:top w:w="15" w:type="dxa"/>
              <w:left w:w="15" w:type="dxa"/>
              <w:bottom w:w="0" w:type="dxa"/>
              <w:right w:w="15" w:type="dxa"/>
            </w:tcMar>
          </w:tcPr>
          <w:p w14:paraId="3A58550E" w14:textId="77777777" w:rsidR="002E474C" w:rsidRDefault="00000000">
            <w:pPr>
              <w:pStyle w:val="A-"/>
            </w:pPr>
            <w:r>
              <w:t>0</w:t>
            </w:r>
          </w:p>
        </w:tc>
        <w:tc>
          <w:tcPr>
            <w:tcW w:w="680" w:type="pct"/>
            <w:shd w:val="clear" w:color="auto" w:fill="auto"/>
            <w:noWrap/>
            <w:tcMar>
              <w:top w:w="15" w:type="dxa"/>
              <w:left w:w="15" w:type="dxa"/>
              <w:bottom w:w="0" w:type="dxa"/>
              <w:right w:w="15" w:type="dxa"/>
            </w:tcMar>
          </w:tcPr>
          <w:p w14:paraId="69C3CA68" w14:textId="77777777" w:rsidR="002E474C" w:rsidRDefault="00000000">
            <w:pPr>
              <w:pStyle w:val="A-"/>
            </w:pPr>
            <w:r>
              <w:t>0</w:t>
            </w:r>
          </w:p>
        </w:tc>
        <w:tc>
          <w:tcPr>
            <w:tcW w:w="680" w:type="pct"/>
            <w:shd w:val="clear" w:color="auto" w:fill="auto"/>
            <w:noWrap/>
            <w:tcMar>
              <w:top w:w="15" w:type="dxa"/>
              <w:left w:w="15" w:type="dxa"/>
              <w:bottom w:w="0" w:type="dxa"/>
              <w:right w:w="15" w:type="dxa"/>
            </w:tcMar>
            <w:vAlign w:val="center"/>
          </w:tcPr>
          <w:p w14:paraId="1738ED32" w14:textId="77777777" w:rsidR="002E474C" w:rsidRDefault="00000000">
            <w:pPr>
              <w:pStyle w:val="A-"/>
            </w:pPr>
            <w:r>
              <w:t>0</w:t>
            </w:r>
          </w:p>
        </w:tc>
        <w:tc>
          <w:tcPr>
            <w:tcW w:w="1020" w:type="pct"/>
            <w:shd w:val="clear" w:color="auto" w:fill="auto"/>
            <w:noWrap/>
            <w:tcMar>
              <w:top w:w="15" w:type="dxa"/>
              <w:left w:w="15" w:type="dxa"/>
              <w:bottom w:w="0" w:type="dxa"/>
              <w:right w:w="15" w:type="dxa"/>
            </w:tcMar>
          </w:tcPr>
          <w:p w14:paraId="7DF062D7" w14:textId="77777777" w:rsidR="002E474C" w:rsidRDefault="00000000">
            <w:pPr>
              <w:pStyle w:val="A-"/>
            </w:pPr>
            <w:r>
              <w:t>0</w:t>
            </w:r>
          </w:p>
        </w:tc>
        <w:tc>
          <w:tcPr>
            <w:tcW w:w="825" w:type="pct"/>
            <w:shd w:val="clear" w:color="auto" w:fill="auto"/>
            <w:noWrap/>
            <w:tcMar>
              <w:top w:w="15" w:type="dxa"/>
              <w:left w:w="15" w:type="dxa"/>
              <w:bottom w:w="0" w:type="dxa"/>
              <w:right w:w="15" w:type="dxa"/>
            </w:tcMar>
          </w:tcPr>
          <w:p w14:paraId="0A0CBD7B" w14:textId="77777777" w:rsidR="002E474C" w:rsidRDefault="00000000">
            <w:pPr>
              <w:pStyle w:val="A-"/>
            </w:pPr>
            <w:r>
              <w:t>0</w:t>
            </w:r>
          </w:p>
        </w:tc>
      </w:tr>
    </w:tbl>
    <w:bookmarkEnd w:id="214"/>
    <w:p w14:paraId="64A6E22A" w14:textId="77777777" w:rsidR="002E474C" w:rsidRDefault="00000000">
      <w:pPr>
        <w:pStyle w:val="31"/>
        <w:spacing w:before="156" w:after="156"/>
        <w:rPr>
          <w:color w:val="auto"/>
        </w:rPr>
      </w:pPr>
      <w:r>
        <w:rPr>
          <w:color w:val="auto"/>
        </w:rPr>
        <w:lastRenderedPageBreak/>
        <w:t>污染物排放总量控制</w:t>
      </w:r>
    </w:p>
    <w:p w14:paraId="713F60A9" w14:textId="77777777" w:rsidR="002E474C" w:rsidRDefault="00000000">
      <w:pPr>
        <w:pStyle w:val="A-z"/>
        <w:rPr>
          <w:color w:val="auto"/>
          <w:lang w:val="en-US"/>
        </w:rPr>
      </w:pPr>
      <w:r>
        <w:rPr>
          <w:color w:val="auto"/>
          <w:lang w:val="en-US"/>
        </w:rPr>
        <w:t>本项目完成后厂内各污染源的废气污染物均能达标排放，不新增颗粒物、二氧化硫及氮氧化物排放，新增主要污染物排放量为</w:t>
      </w:r>
      <w:bookmarkStart w:id="215" w:name="_Hlk160212330"/>
      <w:r>
        <w:rPr>
          <w:color w:val="auto"/>
        </w:rPr>
        <w:t>VOCs0.495t/a</w:t>
      </w:r>
      <w:bookmarkEnd w:id="215"/>
      <w:r>
        <w:rPr>
          <w:color w:val="auto"/>
          <w:lang w:val="en-US"/>
        </w:rPr>
        <w:t>。</w:t>
      </w:r>
    </w:p>
    <w:p w14:paraId="383E7E66" w14:textId="77777777" w:rsidR="002E474C" w:rsidRDefault="00000000">
      <w:pPr>
        <w:pStyle w:val="A-z"/>
        <w:rPr>
          <w:color w:val="auto"/>
        </w:rPr>
      </w:pPr>
      <w:r>
        <w:rPr>
          <w:color w:val="auto"/>
        </w:rPr>
        <w:t>项目新增生产废水全部送水泥回转窑处置，生活污水经管网排至厂内综合污水处理站处理后回用于生产</w:t>
      </w:r>
      <w:r>
        <w:rPr>
          <w:rFonts w:hint="eastAsia"/>
          <w:color w:val="auto"/>
        </w:rPr>
        <w:t>或绿化</w:t>
      </w:r>
      <w:r>
        <w:rPr>
          <w:color w:val="auto"/>
        </w:rPr>
        <w:t>，不外排。</w:t>
      </w:r>
    </w:p>
    <w:p w14:paraId="7DF2DBAB" w14:textId="77777777" w:rsidR="002E474C" w:rsidRDefault="00000000">
      <w:pPr>
        <w:pStyle w:val="A-z"/>
        <w:rPr>
          <w:color w:val="auto"/>
        </w:rPr>
      </w:pPr>
      <w:r>
        <w:rPr>
          <w:color w:val="auto"/>
        </w:rPr>
        <w:t>根据《新疆生态环境保护</w:t>
      </w:r>
      <w:r>
        <w:rPr>
          <w:color w:val="auto"/>
        </w:rPr>
        <w:t>“</w:t>
      </w:r>
      <w:r>
        <w:rPr>
          <w:color w:val="auto"/>
        </w:rPr>
        <w:t>十四五</w:t>
      </w:r>
      <w:r>
        <w:rPr>
          <w:color w:val="auto"/>
        </w:rPr>
        <w:t>”</w:t>
      </w:r>
      <w:r>
        <w:rPr>
          <w:color w:val="auto"/>
        </w:rPr>
        <w:t>规划》，十四五期间总量控制指标为</w:t>
      </w:r>
      <w:r>
        <w:rPr>
          <w:color w:val="auto"/>
        </w:rPr>
        <w:t>NOx</w:t>
      </w:r>
      <w:r>
        <w:rPr>
          <w:color w:val="auto"/>
        </w:rPr>
        <w:t>、</w:t>
      </w:r>
      <w:r>
        <w:rPr>
          <w:color w:val="auto"/>
        </w:rPr>
        <w:t>VOCs</w:t>
      </w:r>
      <w:r>
        <w:rPr>
          <w:color w:val="auto"/>
        </w:rPr>
        <w:t>、</w:t>
      </w:r>
      <w:r>
        <w:rPr>
          <w:color w:val="auto"/>
        </w:rPr>
        <w:t>COD</w:t>
      </w:r>
      <w:r>
        <w:rPr>
          <w:color w:val="auto"/>
        </w:rPr>
        <w:t>、氨氮等四项。本项目实施后不新增氮氧化物排放</w:t>
      </w:r>
      <w:r>
        <w:rPr>
          <w:rFonts w:hint="eastAsia"/>
          <w:color w:val="auto"/>
        </w:rPr>
        <w:t>，</w:t>
      </w:r>
      <w:r>
        <w:rPr>
          <w:color w:val="auto"/>
        </w:rPr>
        <w:t>有组织废气排放</w:t>
      </w:r>
      <w:r>
        <w:rPr>
          <w:color w:val="auto"/>
        </w:rPr>
        <w:t>VOCs0.45t/a</w:t>
      </w:r>
      <w:r>
        <w:rPr>
          <w:color w:val="auto"/>
        </w:rPr>
        <w:t>，无组织废气排放</w:t>
      </w:r>
      <w:r>
        <w:rPr>
          <w:color w:val="auto"/>
        </w:rPr>
        <w:t>VOCs0.</w:t>
      </w:r>
      <w:r>
        <w:rPr>
          <w:rFonts w:hint="eastAsia"/>
          <w:color w:val="auto"/>
        </w:rPr>
        <w:t>500</w:t>
      </w:r>
      <w:r>
        <w:rPr>
          <w:color w:val="auto"/>
        </w:rPr>
        <w:t>t/a</w:t>
      </w:r>
      <w:r>
        <w:rPr>
          <w:color w:val="auto"/>
        </w:rPr>
        <w:t>，合计</w:t>
      </w:r>
      <w:r>
        <w:rPr>
          <w:color w:val="auto"/>
        </w:rPr>
        <w:t>0.</w:t>
      </w:r>
      <w:r>
        <w:rPr>
          <w:rFonts w:hint="eastAsia"/>
          <w:color w:val="auto"/>
        </w:rPr>
        <w:t>950</w:t>
      </w:r>
      <w:r>
        <w:rPr>
          <w:color w:val="auto"/>
        </w:rPr>
        <w:t>t/a</w:t>
      </w:r>
      <w:r>
        <w:rPr>
          <w:color w:val="auto"/>
        </w:rPr>
        <w:t>。</w:t>
      </w:r>
    </w:p>
    <w:p w14:paraId="44FF9A59" w14:textId="77777777" w:rsidR="002E474C" w:rsidRDefault="00000000">
      <w:pPr>
        <w:pStyle w:val="A-z"/>
        <w:rPr>
          <w:color w:val="auto"/>
        </w:rPr>
      </w:pPr>
      <w:bookmarkStart w:id="216" w:name="_Toc132883939"/>
      <w:r>
        <w:rPr>
          <w:color w:val="auto"/>
        </w:rPr>
        <w:t>综上，本项目大气污染物排放总量控制指标为</w:t>
      </w:r>
      <w:r>
        <w:rPr>
          <w:color w:val="auto"/>
        </w:rPr>
        <w:t>VOCs0.</w:t>
      </w:r>
      <w:r>
        <w:rPr>
          <w:rFonts w:hint="eastAsia"/>
          <w:color w:val="auto"/>
        </w:rPr>
        <w:t>950</w:t>
      </w:r>
      <w:r>
        <w:rPr>
          <w:color w:val="auto"/>
        </w:rPr>
        <w:t>t/a</w:t>
      </w:r>
      <w:r>
        <w:rPr>
          <w:color w:val="auto"/>
        </w:rPr>
        <w:t>。</w:t>
      </w:r>
    </w:p>
    <w:p w14:paraId="1CD13162" w14:textId="77777777" w:rsidR="002E474C" w:rsidRDefault="00000000">
      <w:pPr>
        <w:pStyle w:val="21"/>
        <w:spacing w:before="312" w:after="312"/>
        <w:ind w:left="0" w:firstLine="0"/>
        <w:rPr>
          <w:color w:val="auto"/>
        </w:rPr>
      </w:pPr>
      <w:bookmarkStart w:id="217" w:name="_Toc225848856"/>
      <w:bookmarkStart w:id="218" w:name="_Toc28988"/>
      <w:r>
        <w:rPr>
          <w:color w:val="auto"/>
        </w:rPr>
        <w:t>清洁生产分析</w:t>
      </w:r>
      <w:bookmarkEnd w:id="216"/>
      <w:bookmarkEnd w:id="217"/>
      <w:bookmarkEnd w:id="218"/>
    </w:p>
    <w:p w14:paraId="20604968" w14:textId="77777777" w:rsidR="002E474C" w:rsidRDefault="00000000">
      <w:pPr>
        <w:pStyle w:val="A-z"/>
        <w:rPr>
          <w:color w:val="auto"/>
        </w:rPr>
      </w:pPr>
      <w:r>
        <w:rPr>
          <w:color w:val="auto"/>
        </w:rPr>
        <w:t>2012</w:t>
      </w:r>
      <w:r>
        <w:rPr>
          <w:color w:val="auto"/>
        </w:rPr>
        <w:t>年</w:t>
      </w:r>
      <w:r>
        <w:rPr>
          <w:color w:val="auto"/>
        </w:rPr>
        <w:t>10</w:t>
      </w:r>
      <w:r>
        <w:rPr>
          <w:color w:val="auto"/>
        </w:rPr>
        <w:t>月工信部发布《水泥行业清洁生产技术推行方案》，提出水泥行业重点推广水泥窑协同处置废弃物技术后，国务院及发改委、环保部等发布多个管理文件，支持利用现有新型干法水泥窑协同处置生活垃圾、城市污泥、污染土壤和危险废物等。水泥窑协同处置固废项目目前尚未发布国家清洁生产行业标准，故本次评价拟结合本项目的设计方案，从技术</w:t>
      </w:r>
      <w:r>
        <w:rPr>
          <w:rFonts w:hint="eastAsia"/>
          <w:color w:val="auto"/>
        </w:rPr>
        <w:t>设备</w:t>
      </w:r>
      <w:r>
        <w:rPr>
          <w:color w:val="auto"/>
        </w:rPr>
        <w:t>先进性、原辅材料和资源能源消耗、污染物产生和废物回收利用等方面，对本项目清洁生产水平进行分析。</w:t>
      </w:r>
    </w:p>
    <w:p w14:paraId="28ECD53A" w14:textId="77777777" w:rsidR="002E474C" w:rsidRDefault="00000000">
      <w:pPr>
        <w:pStyle w:val="31"/>
        <w:spacing w:before="156" w:after="156"/>
        <w:rPr>
          <w:b w:val="0"/>
          <w:color w:val="auto"/>
        </w:rPr>
      </w:pPr>
      <w:r>
        <w:rPr>
          <w:color w:val="auto"/>
        </w:rPr>
        <w:t>协同处置技术与设备先进性</w:t>
      </w:r>
    </w:p>
    <w:p w14:paraId="20BCDFA0" w14:textId="77777777" w:rsidR="002E474C" w:rsidRDefault="00000000">
      <w:pPr>
        <w:pStyle w:val="A-z"/>
        <w:rPr>
          <w:color w:val="auto"/>
        </w:rPr>
      </w:pPr>
      <w:r>
        <w:rPr>
          <w:color w:val="auto"/>
        </w:rPr>
        <w:t>利用水泥窑处置危险废物在技术上较其它方法主要有以下几点优势：</w:t>
      </w:r>
    </w:p>
    <w:p w14:paraId="08DBB088" w14:textId="77777777" w:rsidR="002E474C" w:rsidRDefault="00000000">
      <w:pPr>
        <w:pStyle w:val="A-z"/>
        <w:rPr>
          <w:color w:val="auto"/>
        </w:rPr>
      </w:pPr>
      <w:r>
        <w:rPr>
          <w:color w:val="auto"/>
        </w:rPr>
        <w:t>（</w:t>
      </w:r>
      <w:r>
        <w:rPr>
          <w:color w:val="auto"/>
        </w:rPr>
        <w:t>1</w:t>
      </w:r>
      <w:r>
        <w:rPr>
          <w:color w:val="auto"/>
        </w:rPr>
        <w:t>）水泥回转窑内的物料温度在</w:t>
      </w:r>
      <w:r>
        <w:rPr>
          <w:color w:val="auto"/>
        </w:rPr>
        <w:t>1450℃</w:t>
      </w:r>
      <w:r>
        <w:rPr>
          <w:color w:val="auto"/>
        </w:rPr>
        <w:t>左右，而气体温度则高达</w:t>
      </w:r>
      <w:r>
        <w:rPr>
          <w:color w:val="auto"/>
        </w:rPr>
        <w:t>1800℃</w:t>
      </w:r>
      <w:r>
        <w:rPr>
          <w:color w:val="auto"/>
        </w:rPr>
        <w:t>以上，在高温下危废中的有毒有害成分可彻底分解，对于处置</w:t>
      </w:r>
      <w:r>
        <w:rPr>
          <w:color w:val="auto"/>
        </w:rPr>
        <w:t>POPs</w:t>
      </w:r>
      <w:r>
        <w:rPr>
          <w:color w:val="auto"/>
        </w:rPr>
        <w:t>（持久性有机污染物）的条件较好。另外，烧成系统中气体流速较大，气流湍流度达，有利于危废的分散，保证危废与高温烟气的充分接触，使危废处于高温流态化燃烧过程，有利于危废的完全燃烧分解，避免产生有毒气体。</w:t>
      </w:r>
    </w:p>
    <w:p w14:paraId="6F0FF5BE" w14:textId="77777777" w:rsidR="002E474C" w:rsidRDefault="00000000">
      <w:pPr>
        <w:pStyle w:val="A-z"/>
        <w:rPr>
          <w:color w:val="auto"/>
        </w:rPr>
      </w:pPr>
      <w:r>
        <w:rPr>
          <w:color w:val="auto"/>
        </w:rPr>
        <w:t>（</w:t>
      </w:r>
      <w:r>
        <w:rPr>
          <w:color w:val="auto"/>
        </w:rPr>
        <w:t>2</w:t>
      </w:r>
      <w:r>
        <w:rPr>
          <w:color w:val="auto"/>
        </w:rPr>
        <w:t>）水泥回转窑筒体长，危废在回转窑高温状态下停留时间长。根据统计数据，物料从窑尾到窑头总的停留时间在</w:t>
      </w:r>
      <w:r>
        <w:rPr>
          <w:color w:val="auto"/>
        </w:rPr>
        <w:t>35min</w:t>
      </w:r>
      <w:r>
        <w:rPr>
          <w:color w:val="auto"/>
        </w:rPr>
        <w:t>左右，气体在大于</w:t>
      </w:r>
      <w:r>
        <w:rPr>
          <w:color w:val="auto"/>
        </w:rPr>
        <w:t>950℃</w:t>
      </w:r>
      <w:r>
        <w:rPr>
          <w:color w:val="auto"/>
        </w:rPr>
        <w:t>以上的停留时间在</w:t>
      </w:r>
      <w:r>
        <w:rPr>
          <w:color w:val="auto"/>
        </w:rPr>
        <w:t>12s</w:t>
      </w:r>
      <w:r>
        <w:rPr>
          <w:color w:val="auto"/>
        </w:rPr>
        <w:t>以上，高于</w:t>
      </w:r>
      <w:r>
        <w:rPr>
          <w:color w:val="auto"/>
        </w:rPr>
        <w:t>1300℃</w:t>
      </w:r>
      <w:r>
        <w:rPr>
          <w:color w:val="auto"/>
        </w:rPr>
        <w:t>以上的停留时间大于</w:t>
      </w:r>
      <w:r>
        <w:rPr>
          <w:color w:val="auto"/>
        </w:rPr>
        <w:t>3s</w:t>
      </w:r>
      <w:r>
        <w:rPr>
          <w:color w:val="auto"/>
        </w:rPr>
        <w:t>，更有利于危废的燃烧和分解。水泥回转窑是一个热容大、十分稳定的燃烧系统，不易受危废投入量</w:t>
      </w:r>
      <w:r>
        <w:rPr>
          <w:color w:val="auto"/>
        </w:rPr>
        <w:lastRenderedPageBreak/>
        <w:t>和性质的变化影响生产操作。</w:t>
      </w:r>
    </w:p>
    <w:p w14:paraId="52537DE5" w14:textId="77777777" w:rsidR="002E474C" w:rsidRDefault="00000000">
      <w:pPr>
        <w:pStyle w:val="A-z"/>
        <w:rPr>
          <w:color w:val="auto"/>
        </w:rPr>
      </w:pPr>
      <w:r>
        <w:rPr>
          <w:color w:val="auto"/>
        </w:rPr>
        <w:t>（</w:t>
      </w:r>
      <w:r>
        <w:rPr>
          <w:color w:val="auto"/>
        </w:rPr>
        <w:t>3</w:t>
      </w:r>
      <w:r>
        <w:rPr>
          <w:color w:val="auto"/>
        </w:rPr>
        <w:t>）生产水泥过程</w:t>
      </w:r>
      <w:r>
        <w:rPr>
          <w:color w:val="auto"/>
        </w:rPr>
        <w:t>CaO</w:t>
      </w:r>
      <w:r>
        <w:rPr>
          <w:color w:val="auto"/>
        </w:rPr>
        <w:t>以悬浮态均匀分布在系统中，加上颗粒细、浓度高极具吸附性，这就决定了烧成系统内的碱性固相氛围，可将</w:t>
      </w:r>
      <w:r>
        <w:rPr>
          <w:color w:val="auto"/>
        </w:rPr>
        <w:t>SO</w:t>
      </w:r>
      <w:r>
        <w:rPr>
          <w:color w:val="auto"/>
          <w:vertAlign w:val="subscript"/>
        </w:rPr>
        <w:t>2</w:t>
      </w:r>
      <w:r>
        <w:rPr>
          <w:color w:val="auto"/>
        </w:rPr>
        <w:t>和</w:t>
      </w:r>
      <w:r>
        <w:rPr>
          <w:color w:val="auto"/>
        </w:rPr>
        <w:t>Cl</w:t>
      </w:r>
      <w:r>
        <w:rPr>
          <w:color w:val="auto"/>
          <w:vertAlign w:val="superscript"/>
        </w:rPr>
        <w:t>-</w:t>
      </w:r>
      <w:r>
        <w:rPr>
          <w:color w:val="auto"/>
        </w:rPr>
        <w:t>等酸性化学成分化合成盐类固定下来，有效地抑制了酸性物质的排放，减少或避免了焚烧处理后产生二噁英类。以年处置工业危险废物约</w:t>
      </w:r>
      <w:r>
        <w:rPr>
          <w:color w:val="auto"/>
        </w:rPr>
        <w:t>8</w:t>
      </w:r>
      <w:r>
        <w:rPr>
          <w:color w:val="auto"/>
        </w:rPr>
        <w:t>万吨的北京水泥厂为例，经中国科学环境监测中心对窑尾废气中二噁英类浓度监测，二噁英类的排放浓度监测值仅为</w:t>
      </w:r>
      <w:r>
        <w:rPr>
          <w:color w:val="auto"/>
        </w:rPr>
        <w:t>0.0005ngTEQ/Nm</w:t>
      </w:r>
      <w:r>
        <w:rPr>
          <w:color w:val="auto"/>
          <w:vertAlign w:val="superscript"/>
        </w:rPr>
        <w:t>3</w:t>
      </w:r>
      <w:r>
        <w:rPr>
          <w:color w:val="auto"/>
        </w:rPr>
        <w:t>，远低于</w:t>
      </w:r>
      <w:r>
        <w:rPr>
          <w:color w:val="auto"/>
        </w:rPr>
        <w:t>0.1ngTEQ/Nm</w:t>
      </w:r>
      <w:r>
        <w:rPr>
          <w:color w:val="auto"/>
          <w:vertAlign w:val="superscript"/>
        </w:rPr>
        <w:t>3</w:t>
      </w:r>
      <w:r>
        <w:rPr>
          <w:color w:val="auto"/>
        </w:rPr>
        <w:t>的标准限值。</w:t>
      </w:r>
    </w:p>
    <w:p w14:paraId="6811AE67" w14:textId="77777777" w:rsidR="002E474C" w:rsidRDefault="00000000">
      <w:pPr>
        <w:pStyle w:val="A-z"/>
        <w:rPr>
          <w:color w:val="auto"/>
        </w:rPr>
      </w:pPr>
      <w:r>
        <w:rPr>
          <w:color w:val="auto"/>
        </w:rPr>
        <w:t>（</w:t>
      </w:r>
      <w:r>
        <w:rPr>
          <w:color w:val="auto"/>
        </w:rPr>
        <w:t>4</w:t>
      </w:r>
      <w:r>
        <w:rPr>
          <w:color w:val="auto"/>
        </w:rPr>
        <w:t>）利用水泥回转窑处理固体废物是各种处理方式中唯一没有废渣排放的处置方式，可彻底实现废物的减量化。</w:t>
      </w:r>
    </w:p>
    <w:p w14:paraId="095C9B0F" w14:textId="77777777" w:rsidR="002E474C" w:rsidRDefault="00000000">
      <w:pPr>
        <w:pStyle w:val="A-z"/>
        <w:rPr>
          <w:color w:val="auto"/>
        </w:rPr>
      </w:pPr>
      <w:r>
        <w:rPr>
          <w:color w:val="auto"/>
        </w:rPr>
        <w:t>（</w:t>
      </w:r>
      <w:r>
        <w:rPr>
          <w:color w:val="auto"/>
        </w:rPr>
        <w:t>5</w:t>
      </w:r>
      <w:r>
        <w:rPr>
          <w:color w:val="auto"/>
        </w:rPr>
        <w:t>）利用水泥回转窑处理固体废物，可以将各类危废中的重金属离子固化在熟料矿物中，避免了重金属再度渗透、扩散污染水质和土壤。</w:t>
      </w:r>
    </w:p>
    <w:p w14:paraId="40B548AB" w14:textId="77777777" w:rsidR="002E474C" w:rsidRDefault="00000000">
      <w:pPr>
        <w:pStyle w:val="A-z"/>
        <w:rPr>
          <w:color w:val="auto"/>
        </w:rPr>
      </w:pPr>
      <w:r>
        <w:rPr>
          <w:color w:val="auto"/>
        </w:rPr>
        <w:t>（</w:t>
      </w:r>
      <w:r>
        <w:rPr>
          <w:color w:val="auto"/>
        </w:rPr>
        <w:t>6</w:t>
      </w:r>
      <w:r>
        <w:rPr>
          <w:color w:val="auto"/>
        </w:rPr>
        <w:t>）部分热值较高的危废可作为水泥生产替代燃料使用，从而减少了水泥工业对燃煤的需求量。</w:t>
      </w:r>
    </w:p>
    <w:p w14:paraId="05B1A722" w14:textId="77777777" w:rsidR="002E474C" w:rsidRDefault="00000000">
      <w:pPr>
        <w:pStyle w:val="A-z"/>
        <w:rPr>
          <w:color w:val="auto"/>
        </w:rPr>
      </w:pPr>
      <w:r>
        <w:rPr>
          <w:color w:val="auto"/>
        </w:rPr>
        <w:t>（</w:t>
      </w:r>
      <w:r>
        <w:rPr>
          <w:color w:val="auto"/>
        </w:rPr>
        <w:t>7</w:t>
      </w:r>
      <w:r>
        <w:rPr>
          <w:color w:val="auto"/>
        </w:rPr>
        <w:t>）现有的水泥工业烧成系统和废气处理系统，具有较高的吸附、沉降和收尘处理特性，可满足相关环保排放标准要求。</w:t>
      </w:r>
    </w:p>
    <w:p w14:paraId="0B65831E" w14:textId="77777777" w:rsidR="002E474C" w:rsidRDefault="00000000">
      <w:pPr>
        <w:pStyle w:val="A-z"/>
        <w:rPr>
          <w:color w:val="auto"/>
        </w:rPr>
      </w:pPr>
      <w:r>
        <w:rPr>
          <w:color w:val="auto"/>
        </w:rPr>
        <w:t>（</w:t>
      </w:r>
      <w:r>
        <w:rPr>
          <w:color w:val="auto"/>
        </w:rPr>
        <w:t>8</w:t>
      </w:r>
      <w:r>
        <w:rPr>
          <w:color w:val="auto"/>
        </w:rPr>
        <w:t>）与新建专用焚烧厂相比，利用水泥回转窑处理危废，只需要增加废物预处理设备，可节约大量的资金投入。综上所述，利用水泥窑协同处置危险废物，是一项具有众多优势的环境保护处置技术，是废物无害化、一站式最终处置的最佳选择。</w:t>
      </w:r>
    </w:p>
    <w:p w14:paraId="5063DF7A" w14:textId="77777777" w:rsidR="002E474C" w:rsidRDefault="00000000">
      <w:pPr>
        <w:pStyle w:val="A-z"/>
        <w:rPr>
          <w:color w:val="auto"/>
        </w:rPr>
      </w:pPr>
      <w:r>
        <w:rPr>
          <w:color w:val="auto"/>
        </w:rPr>
        <w:t>危废烧成处置利用现水泥厂新型干法水泥窑，从水泥生产的角度看，新型干法水泥窑与其它窑型相比具有巨大的优势，具有热耗低，生产效率高，单机生产能力大，生产规模大，窑内热负荷小，窑衬寿命长，窑运转率高等优点，代表了当代水泥工业生产水泥的最新技术，是水泥产业结构调整的方向。</w:t>
      </w:r>
    </w:p>
    <w:p w14:paraId="22813366" w14:textId="77777777" w:rsidR="002E474C" w:rsidRDefault="00000000">
      <w:pPr>
        <w:pStyle w:val="A-z"/>
        <w:rPr>
          <w:color w:val="auto"/>
        </w:rPr>
      </w:pPr>
      <w:r>
        <w:rPr>
          <w:color w:val="auto"/>
        </w:rPr>
        <w:t>从废物协同处置的角度看，相比立窑，回转窑具有明显优势。对于回转窑来说，无论什么窑型，熟料煅烧都需要经过干燥、粘土矿物脱水、碳酸盐分解、固相反应、熟料烧结及熟料冷却结晶等几个阶段，各阶段的气固相温度也基本相同。回转窑内固有的气固相温度和停留时间都足以实现废物的无害化处置。而立窑无论是窑内气固相温度分布、气固相停留时间、气氛以及火焰特点都与回转窑有较大差异，废物中的有机物和重金属极易随烟气排入大气，适合协同处置废物种类一般仅限于以替代原料为目的的常规工业固体废物和铬渣。</w:t>
      </w:r>
    </w:p>
    <w:p w14:paraId="519D8EFE" w14:textId="77777777" w:rsidR="002E474C" w:rsidRDefault="00000000">
      <w:pPr>
        <w:pStyle w:val="A-z"/>
        <w:rPr>
          <w:color w:val="auto"/>
        </w:rPr>
      </w:pPr>
      <w:r>
        <w:rPr>
          <w:color w:val="auto"/>
        </w:rPr>
        <w:lastRenderedPageBreak/>
        <w:t>新型干法回转窑相比其他回转窑具有废物投料点多，分解炉内分解反应对温度要求低，废物适应性强；</w:t>
      </w:r>
      <w:bookmarkStart w:id="219" w:name="_Hlk151204898"/>
      <w:r>
        <w:rPr>
          <w:color w:val="auto"/>
        </w:rPr>
        <w:t>气固混合充分，碱性物料充分吸收废气中的有害成分</w:t>
      </w:r>
      <w:bookmarkEnd w:id="219"/>
      <w:r>
        <w:rPr>
          <w:color w:val="auto"/>
        </w:rPr>
        <w:t>，</w:t>
      </w:r>
      <w:r>
        <w:rPr>
          <w:color w:val="auto"/>
        </w:rPr>
        <w:t>“</w:t>
      </w:r>
      <w:r>
        <w:rPr>
          <w:color w:val="auto"/>
        </w:rPr>
        <w:t>洗气</w:t>
      </w:r>
      <w:r>
        <w:rPr>
          <w:color w:val="auto"/>
        </w:rPr>
        <w:t>”</w:t>
      </w:r>
      <w:r>
        <w:rPr>
          <w:color w:val="auto"/>
        </w:rPr>
        <w:t>效率高，废气处理性能好；</w:t>
      </w:r>
      <w:r>
        <w:rPr>
          <w:color w:val="auto"/>
        </w:rPr>
        <w:t>NOx</w:t>
      </w:r>
      <w:r>
        <w:rPr>
          <w:color w:val="auto"/>
        </w:rPr>
        <w:t>生成量少，环境污染小等优点。因此，利用新型干法水泥窑处置危险废物是适合废物协同处置的最佳窑型。</w:t>
      </w:r>
    </w:p>
    <w:p w14:paraId="2483964B" w14:textId="77777777" w:rsidR="002E474C" w:rsidRDefault="00000000">
      <w:pPr>
        <w:pStyle w:val="31"/>
        <w:spacing w:before="156" w:after="156"/>
        <w:rPr>
          <w:b w:val="0"/>
          <w:color w:val="auto"/>
        </w:rPr>
      </w:pPr>
      <w:r>
        <w:rPr>
          <w:color w:val="auto"/>
        </w:rPr>
        <w:t>资源消耗与产品质量可行</w:t>
      </w:r>
    </w:p>
    <w:p w14:paraId="672983ED" w14:textId="77777777" w:rsidR="002E474C" w:rsidRDefault="00000000">
      <w:pPr>
        <w:pStyle w:val="A-z"/>
        <w:rPr>
          <w:color w:val="auto"/>
        </w:rPr>
      </w:pPr>
      <w:r>
        <w:rPr>
          <w:color w:val="auto"/>
        </w:rPr>
        <w:t>水泥窑协同处置危险废物后，可替代部分熟料生产</w:t>
      </w:r>
      <w:r>
        <w:rPr>
          <w:rFonts w:hint="eastAsia"/>
          <w:color w:val="auto"/>
        </w:rPr>
        <w:t>原料及燃料</w:t>
      </w:r>
      <w:r>
        <w:rPr>
          <w:color w:val="auto"/>
        </w:rPr>
        <w:t>，不新增用煤，节约了资源消耗。</w:t>
      </w:r>
    </w:p>
    <w:p w14:paraId="3EB6FC48" w14:textId="77777777" w:rsidR="002E474C" w:rsidRDefault="00000000">
      <w:pPr>
        <w:pStyle w:val="A-z"/>
        <w:rPr>
          <w:color w:val="auto"/>
        </w:rPr>
      </w:pPr>
      <w:r>
        <w:rPr>
          <w:color w:val="auto"/>
        </w:rPr>
        <w:t>利用水泥窑协同处置危险废物必须以不影响水泥产品的品质为前提，因此要分析协同处置危险废物中的硫、氯、碱含量，评估对水泥质量的影响，通过对水泥厂的原燃料品质及配料方案进行调整，确定合理的加入比例。其处置过程就必然要求通常对有害的硫、氯、碱含量，严格按照水泥行业的控制标准。</w:t>
      </w:r>
    </w:p>
    <w:p w14:paraId="0CF92030" w14:textId="77777777" w:rsidR="002E474C" w:rsidRDefault="00000000">
      <w:pPr>
        <w:pStyle w:val="A-z"/>
        <w:rPr>
          <w:color w:val="auto"/>
        </w:rPr>
      </w:pPr>
      <w:r>
        <w:rPr>
          <w:color w:val="auto"/>
        </w:rPr>
        <w:t>对照《水泥窑协同处置固体废物环境保护技术规范》（</w:t>
      </w:r>
      <w:r>
        <w:rPr>
          <w:color w:val="auto"/>
        </w:rPr>
        <w:t>HJ662-2013</w:t>
      </w:r>
      <w:r>
        <w:rPr>
          <w:color w:val="auto"/>
        </w:rPr>
        <w:t>）中要求，本项目入窑原料、燃料及固体废物中的</w:t>
      </w:r>
      <w:r>
        <w:rPr>
          <w:color w:val="auto"/>
        </w:rPr>
        <w:t>S</w:t>
      </w:r>
      <w:r>
        <w:rPr>
          <w:color w:val="auto"/>
        </w:rPr>
        <w:t>、</w:t>
      </w:r>
      <w:r>
        <w:rPr>
          <w:color w:val="auto"/>
        </w:rPr>
        <w:t>Cl</w:t>
      </w:r>
      <w:r>
        <w:rPr>
          <w:color w:val="auto"/>
        </w:rPr>
        <w:t>、</w:t>
      </w:r>
      <w:r>
        <w:rPr>
          <w:color w:val="auto"/>
        </w:rPr>
        <w:t>F</w:t>
      </w:r>
      <w:r>
        <w:rPr>
          <w:color w:val="auto"/>
        </w:rPr>
        <w:t>及其它重金属元素均能满足其限值要求，原料符合清洁生产指标。</w:t>
      </w:r>
    </w:p>
    <w:p w14:paraId="4C549699" w14:textId="77777777" w:rsidR="002E474C" w:rsidRDefault="00000000">
      <w:pPr>
        <w:pStyle w:val="A-z"/>
        <w:rPr>
          <w:color w:val="auto"/>
        </w:rPr>
      </w:pPr>
      <w:r>
        <w:rPr>
          <w:color w:val="auto"/>
        </w:rPr>
        <w:t>对于焚烧危险废物对水泥品质的影响，在北京、上海、广州等地已经进行了多次工业试验，为工业化大规模处置利用危险废弃物及其他废弃物奠定了基础。北京水泥厂协同处置危险废物，并对投入危废后水泥的品质进行了对比，水泥窑协同处置危险废物后对水泥品质影响不大。</w:t>
      </w:r>
    </w:p>
    <w:p w14:paraId="64223828" w14:textId="77777777" w:rsidR="002E474C" w:rsidRDefault="00000000">
      <w:pPr>
        <w:pStyle w:val="A-z"/>
        <w:rPr>
          <w:color w:val="auto"/>
        </w:rPr>
      </w:pPr>
      <w:r>
        <w:rPr>
          <w:color w:val="auto"/>
        </w:rPr>
        <w:t>综上分析，水泥窑协同处置危险废物后，对水泥品质影响不大，生产的水泥产品质量满足《通用硅酸盐水泥》（</w:t>
      </w:r>
      <w:r>
        <w:rPr>
          <w:color w:val="auto"/>
        </w:rPr>
        <w:t>GB175-2023</w:t>
      </w:r>
      <w:r>
        <w:rPr>
          <w:color w:val="auto"/>
        </w:rPr>
        <w:t>）的要求。</w:t>
      </w:r>
    </w:p>
    <w:p w14:paraId="0FD148CD" w14:textId="77777777" w:rsidR="002E474C" w:rsidRDefault="00000000">
      <w:pPr>
        <w:pStyle w:val="31"/>
        <w:spacing w:before="156" w:after="156"/>
        <w:rPr>
          <w:b w:val="0"/>
          <w:color w:val="auto"/>
        </w:rPr>
      </w:pPr>
      <w:r>
        <w:rPr>
          <w:color w:val="auto"/>
        </w:rPr>
        <w:t>污染物控制与废物回收利用水平</w:t>
      </w:r>
    </w:p>
    <w:p w14:paraId="6AE29405" w14:textId="77777777" w:rsidR="002E474C" w:rsidRDefault="00000000">
      <w:pPr>
        <w:pStyle w:val="A-z"/>
        <w:rPr>
          <w:color w:val="auto"/>
        </w:rPr>
      </w:pPr>
      <w:r>
        <w:rPr>
          <w:color w:val="auto"/>
        </w:rPr>
        <w:t>危废贮存库、固态危废预处理车间均采用负压废气收集装置，废气经两级活性炭吸附后排放。固态危废预处理车间与危废贮存库均为封闭式结构且配套负压集气，保持微负压状态。水泥窑焚烧固体废物的窑尾废气通过</w:t>
      </w:r>
      <w:r>
        <w:rPr>
          <w:color w:val="auto"/>
        </w:rPr>
        <w:t>SNCR+SCR+</w:t>
      </w:r>
      <w:r>
        <w:rPr>
          <w:color w:val="auto"/>
        </w:rPr>
        <w:t>增湿塔（急冷）</w:t>
      </w:r>
      <w:r>
        <w:rPr>
          <w:color w:val="auto"/>
        </w:rPr>
        <w:t>+</w:t>
      </w:r>
      <w:r>
        <w:rPr>
          <w:color w:val="auto"/>
        </w:rPr>
        <w:t>电袋除尘器净化后高空排放。水泥窑窑尾中</w:t>
      </w:r>
      <w:r>
        <w:rPr>
          <w:color w:val="auto"/>
        </w:rPr>
        <w:t>SO</w:t>
      </w:r>
      <w:r>
        <w:rPr>
          <w:color w:val="auto"/>
          <w:vertAlign w:val="subscript"/>
        </w:rPr>
        <w:t>2</w:t>
      </w:r>
      <w:r>
        <w:rPr>
          <w:color w:val="auto"/>
        </w:rPr>
        <w:t>、</w:t>
      </w:r>
      <w:r>
        <w:rPr>
          <w:color w:val="auto"/>
        </w:rPr>
        <w:t>NO</w:t>
      </w:r>
      <w:r>
        <w:rPr>
          <w:color w:val="auto"/>
          <w:vertAlign w:val="subscript"/>
        </w:rPr>
        <w:t>X</w:t>
      </w:r>
      <w:r>
        <w:rPr>
          <w:color w:val="auto"/>
        </w:rPr>
        <w:t>、颗粒物、氨均能满足《水泥工业大气污染物排放标准》（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标准要求，氯化氢（</w:t>
      </w:r>
      <w:r>
        <w:rPr>
          <w:color w:val="auto"/>
        </w:rPr>
        <w:t>HCl</w:t>
      </w:r>
      <w:r>
        <w:rPr>
          <w:color w:val="auto"/>
        </w:rPr>
        <w:t>），氟化氢（</w:t>
      </w:r>
      <w:r>
        <w:rPr>
          <w:color w:val="auto"/>
        </w:rPr>
        <w:t>HF</w:t>
      </w:r>
      <w:r>
        <w:rPr>
          <w:color w:val="auto"/>
        </w:rPr>
        <w:t>），汞及其化合物（以</w:t>
      </w:r>
      <w:r>
        <w:rPr>
          <w:color w:val="auto"/>
        </w:rPr>
        <w:t>Hg</w:t>
      </w:r>
      <w:r>
        <w:rPr>
          <w:color w:val="auto"/>
        </w:rPr>
        <w:t>计），镉、铅、砷及其化合物（以</w:t>
      </w:r>
      <w:r>
        <w:rPr>
          <w:color w:val="auto"/>
        </w:rPr>
        <w:t xml:space="preserve"> Cd+Pb+As</w:t>
      </w:r>
      <w:r>
        <w:rPr>
          <w:color w:val="auto"/>
        </w:rPr>
        <w:t>计），铬、铜、锰、镍及其化合物（以</w:t>
      </w:r>
      <w:r>
        <w:rPr>
          <w:color w:val="auto"/>
        </w:rPr>
        <w:lastRenderedPageBreak/>
        <w:t>Cr+Cu+Mn+Ni</w:t>
      </w:r>
      <w:r>
        <w:rPr>
          <w:color w:val="auto"/>
        </w:rPr>
        <w:t>计）、二噁英类等满足《水泥窑协同处置固体废物污染控制标准》（</w:t>
      </w:r>
      <w:r>
        <w:rPr>
          <w:color w:val="auto"/>
        </w:rPr>
        <w:t>GB30485-2013</w:t>
      </w:r>
      <w:r>
        <w:rPr>
          <w:color w:val="auto"/>
        </w:rPr>
        <w:t>）表</w:t>
      </w:r>
      <w:r>
        <w:rPr>
          <w:color w:val="auto"/>
        </w:rPr>
        <w:t>1</w:t>
      </w:r>
      <w:r>
        <w:rPr>
          <w:color w:val="auto"/>
        </w:rPr>
        <w:t>规定的大气污染物最高允许排放浓度。此外，圣雄水泥公司厂内实施超低排放改造</w:t>
      </w:r>
      <w:r>
        <w:rPr>
          <w:rFonts w:hint="eastAsia"/>
          <w:color w:val="auto"/>
        </w:rPr>
        <w:t>后</w:t>
      </w:r>
      <w:r>
        <w:rPr>
          <w:color w:val="auto"/>
        </w:rPr>
        <w:t>，可保证水泥窑窑尾中</w:t>
      </w:r>
      <w:r>
        <w:rPr>
          <w:color w:val="auto"/>
        </w:rPr>
        <w:t>SO</w:t>
      </w:r>
      <w:r>
        <w:rPr>
          <w:color w:val="auto"/>
          <w:vertAlign w:val="subscript"/>
        </w:rPr>
        <w:t>2</w:t>
      </w:r>
      <w:r>
        <w:rPr>
          <w:color w:val="auto"/>
        </w:rPr>
        <w:t>、</w:t>
      </w:r>
      <w:r>
        <w:rPr>
          <w:color w:val="auto"/>
        </w:rPr>
        <w:t>NO</w:t>
      </w:r>
      <w:r>
        <w:rPr>
          <w:color w:val="auto"/>
          <w:vertAlign w:val="subscript"/>
        </w:rPr>
        <w:t>X</w:t>
      </w:r>
      <w:r>
        <w:rPr>
          <w:color w:val="auto"/>
        </w:rPr>
        <w:t>、颗粒物排放浓度可达到《关于推进实施水泥行业超低排放的意见》（环大气〔</w:t>
      </w:r>
      <w:r>
        <w:rPr>
          <w:color w:val="auto"/>
        </w:rPr>
        <w:t>2024</w:t>
      </w:r>
      <w:r>
        <w:rPr>
          <w:color w:val="auto"/>
        </w:rPr>
        <w:t>〕</w:t>
      </w:r>
      <w:r>
        <w:rPr>
          <w:color w:val="auto"/>
        </w:rPr>
        <w:t>5</w:t>
      </w:r>
      <w:r>
        <w:rPr>
          <w:color w:val="auto"/>
        </w:rPr>
        <w:t>号）控制要求。</w:t>
      </w:r>
    </w:p>
    <w:p w14:paraId="115582D3" w14:textId="77777777" w:rsidR="002E474C" w:rsidRDefault="00000000">
      <w:pPr>
        <w:pStyle w:val="A-z"/>
        <w:rPr>
          <w:color w:val="auto"/>
        </w:rPr>
      </w:pPr>
      <w:r>
        <w:rPr>
          <w:color w:val="auto"/>
        </w:rPr>
        <w:t>水泥窑的热稳定性很强，在焚烧少量的危险废物时不会改变炉内的燃烧工况，焚烧废物不会改变原工程颗粒物、</w:t>
      </w:r>
      <w:r>
        <w:rPr>
          <w:color w:val="auto"/>
        </w:rPr>
        <w:t>NOx</w:t>
      </w:r>
      <w:r>
        <w:rPr>
          <w:color w:val="auto"/>
        </w:rPr>
        <w:t>等因子排放现状。水泥窑内呈碱性环境，焚烧产生的</w:t>
      </w:r>
      <w:r>
        <w:rPr>
          <w:color w:val="auto"/>
        </w:rPr>
        <w:t>SO</w:t>
      </w:r>
      <w:r>
        <w:rPr>
          <w:color w:val="auto"/>
          <w:vertAlign w:val="subscript"/>
        </w:rPr>
        <w:t>2</w:t>
      </w:r>
      <w:r>
        <w:rPr>
          <w:color w:val="auto"/>
        </w:rPr>
        <w:t>、</w:t>
      </w:r>
      <w:r>
        <w:rPr>
          <w:color w:val="auto"/>
        </w:rPr>
        <w:t>HCl</w:t>
      </w:r>
      <w:r>
        <w:rPr>
          <w:color w:val="auto"/>
        </w:rPr>
        <w:t>、</w:t>
      </w:r>
      <w:r>
        <w:rPr>
          <w:color w:val="auto"/>
        </w:rPr>
        <w:t>HF</w:t>
      </w:r>
      <w:r>
        <w:rPr>
          <w:color w:val="auto"/>
        </w:rPr>
        <w:t>等酸性气体会被大量的吸收，从而大大降低焚烧尾气中的酸性气浓度。废物中的重金属绝大部分被固化在水泥熟料中。</w:t>
      </w:r>
    </w:p>
    <w:p w14:paraId="188887A3" w14:textId="77777777" w:rsidR="002E474C" w:rsidRDefault="00000000">
      <w:pPr>
        <w:pStyle w:val="A-z"/>
        <w:ind w:firstLine="456"/>
        <w:rPr>
          <w:color w:val="auto"/>
          <w:spacing w:val="-6"/>
        </w:rPr>
      </w:pPr>
      <w:r>
        <w:rPr>
          <w:color w:val="auto"/>
          <w:spacing w:val="-6"/>
        </w:rPr>
        <w:t>利用水泥窑协同处置危险废物，实现了废物的</w:t>
      </w:r>
      <w:r>
        <w:rPr>
          <w:color w:val="auto"/>
          <w:spacing w:val="-6"/>
        </w:rPr>
        <w:t>“</w:t>
      </w:r>
      <w:r>
        <w:rPr>
          <w:color w:val="auto"/>
          <w:spacing w:val="-6"/>
        </w:rPr>
        <w:t>减量化、资源化</w:t>
      </w:r>
      <w:r>
        <w:rPr>
          <w:rFonts w:hint="eastAsia"/>
          <w:color w:val="auto"/>
          <w:spacing w:val="-6"/>
        </w:rPr>
        <w:t>、</w:t>
      </w:r>
      <w:r>
        <w:rPr>
          <w:color w:val="auto"/>
          <w:spacing w:val="-6"/>
        </w:rPr>
        <w:t>无害化</w:t>
      </w:r>
      <w:r>
        <w:rPr>
          <w:color w:val="auto"/>
          <w:spacing w:val="-6"/>
        </w:rPr>
        <w:t>”</w:t>
      </w:r>
      <w:r>
        <w:rPr>
          <w:color w:val="auto"/>
          <w:spacing w:val="-6"/>
        </w:rPr>
        <w:t>。对于协同处置产生的次生固体废物，包括废包装物、污水污泥、废液滤渣、废活性炭、废滤袋、除尘灰、废润滑油等，均返回水泥窑处置。此外，生产废水包括车辆、容器清洗废水与设备检修清洗废水，均返回水泥窑处置，使生产废水不外排。</w:t>
      </w:r>
    </w:p>
    <w:p w14:paraId="48C8276B" w14:textId="77777777" w:rsidR="002E474C" w:rsidRDefault="00000000">
      <w:pPr>
        <w:pStyle w:val="31"/>
        <w:spacing w:before="156" w:after="156"/>
        <w:rPr>
          <w:color w:val="auto"/>
        </w:rPr>
      </w:pPr>
      <w:r>
        <w:rPr>
          <w:color w:val="auto"/>
        </w:rPr>
        <w:t>循环经济分析</w:t>
      </w:r>
    </w:p>
    <w:p w14:paraId="419D1E58" w14:textId="77777777" w:rsidR="002E474C" w:rsidRDefault="00000000">
      <w:pPr>
        <w:pStyle w:val="A-z"/>
        <w:rPr>
          <w:color w:val="auto"/>
        </w:rPr>
      </w:pPr>
      <w:r>
        <w:rPr>
          <w:color w:val="auto"/>
        </w:rPr>
        <w:t>本项目采用水泥窑协同处置危险废物，本质上属于危险废物资源化、减量化、无害化的循环经济模式，通过充分利用危险废物中的物质组分与能量，实现危险废物彻底安全处置，且不产生二次污染，符合循环经济</w:t>
      </w:r>
      <w:r>
        <w:rPr>
          <w:color w:val="auto"/>
        </w:rPr>
        <w:t>“</w:t>
      </w:r>
      <w:r>
        <w:rPr>
          <w:color w:val="auto"/>
        </w:rPr>
        <w:t>减量化、再利用、资源化</w:t>
      </w:r>
      <w:r>
        <w:rPr>
          <w:color w:val="auto"/>
        </w:rPr>
        <w:t>”</w:t>
      </w:r>
      <w:r>
        <w:rPr>
          <w:color w:val="auto"/>
        </w:rPr>
        <w:t>的基本原则。</w:t>
      </w:r>
    </w:p>
    <w:p w14:paraId="43A1F414" w14:textId="77777777" w:rsidR="002E474C" w:rsidRDefault="00000000">
      <w:pPr>
        <w:pStyle w:val="A-z"/>
        <w:rPr>
          <w:color w:val="auto"/>
        </w:rPr>
      </w:pPr>
      <w:r>
        <w:rPr>
          <w:color w:val="auto"/>
        </w:rPr>
        <w:t>在工艺流程设计与生产运行管理中，项目形成了资源</w:t>
      </w:r>
      <w:r>
        <w:rPr>
          <w:color w:val="auto"/>
        </w:rPr>
        <w:t>—</w:t>
      </w:r>
      <w:r>
        <w:rPr>
          <w:color w:val="auto"/>
        </w:rPr>
        <w:t>能源小循环体系：项目所处置的部分危险废物中，氧化钙、二氧化硅、三氧化二铝、三氧化二铁灼烧基总量</w:t>
      </w:r>
      <w:r>
        <w:rPr>
          <w:color w:val="auto"/>
        </w:rPr>
        <w:t>≥80%</w:t>
      </w:r>
      <w:r>
        <w:rPr>
          <w:color w:val="auto"/>
        </w:rPr>
        <w:t>，可作为水泥生产所需的钙基、硅铝铁质原料替代部分天然矿物资源，降低水泥生产对石灰石、砂岩等原生矿产资源的开采与消耗，提高资源综合利用效率。同时，危险废物中含有的可燃组分可在水泥窑高温煅烧过程中释放热量，替代部分燃煤等化石能源，实现能源回收与梯级利用。</w:t>
      </w:r>
    </w:p>
    <w:p w14:paraId="371D8280" w14:textId="77777777" w:rsidR="002E474C" w:rsidRDefault="00000000">
      <w:pPr>
        <w:pStyle w:val="A-z"/>
        <w:rPr>
          <w:color w:val="auto"/>
        </w:rPr>
      </w:pPr>
      <w:r>
        <w:rPr>
          <w:color w:val="auto"/>
        </w:rPr>
        <w:t>项目通过</w:t>
      </w:r>
      <w:r>
        <w:rPr>
          <w:color w:val="auto"/>
        </w:rPr>
        <w:t>“</w:t>
      </w:r>
      <w:r>
        <w:rPr>
          <w:color w:val="auto"/>
        </w:rPr>
        <w:t>以废治废、变废为宝</w:t>
      </w:r>
      <w:r>
        <w:rPr>
          <w:color w:val="auto"/>
        </w:rPr>
        <w:t>”</w:t>
      </w:r>
      <w:r>
        <w:rPr>
          <w:color w:val="auto"/>
        </w:rPr>
        <w:t>，将危险废物处置与水泥生产有机结合，既实现了危险废物的无害化、稳定化处置，又完成了废物中有用物质与能量的资源化利用，构建了环境效益、社会效益与经济效益相统一的循环经济产业链。</w:t>
      </w:r>
    </w:p>
    <w:p w14:paraId="02243D2C" w14:textId="77777777" w:rsidR="002E474C" w:rsidRDefault="00000000">
      <w:pPr>
        <w:pStyle w:val="A-z"/>
        <w:rPr>
          <w:color w:val="auto"/>
        </w:rPr>
      </w:pPr>
      <w:r>
        <w:rPr>
          <w:color w:val="auto"/>
        </w:rPr>
        <w:t>1.</w:t>
      </w:r>
      <w:r>
        <w:rPr>
          <w:color w:val="auto"/>
        </w:rPr>
        <w:t>协同处置固废与环境效益</w:t>
      </w:r>
    </w:p>
    <w:p w14:paraId="434B7E33" w14:textId="77777777" w:rsidR="002E474C" w:rsidRDefault="00000000">
      <w:pPr>
        <w:pStyle w:val="A-z"/>
        <w:rPr>
          <w:color w:val="auto"/>
        </w:rPr>
      </w:pPr>
      <w:r>
        <w:rPr>
          <w:color w:val="auto"/>
        </w:rPr>
        <w:t>本项目采用新型干法水泥窑协同处置危险废物，利用水泥窑高温、停留时间</w:t>
      </w:r>
      <w:r>
        <w:rPr>
          <w:color w:val="auto"/>
        </w:rPr>
        <w:lastRenderedPageBreak/>
        <w:t>长、强碱性气氛等工艺特点，年处置</w:t>
      </w:r>
      <w:r>
        <w:rPr>
          <w:color w:val="auto"/>
        </w:rPr>
        <w:t>5</w:t>
      </w:r>
      <w:r>
        <w:rPr>
          <w:color w:val="auto"/>
        </w:rPr>
        <w:t>万吨危险废物，根据相关规定进行科学操作和管理，控制废物中有害元素的投加速率，能够做到污染物达标排放。既实现处置危险废物，减少危险废物对环境影响的同时，又实现资源、能源回收。</w:t>
      </w:r>
    </w:p>
    <w:p w14:paraId="423553BB" w14:textId="77777777" w:rsidR="002E474C" w:rsidRDefault="00000000">
      <w:pPr>
        <w:pStyle w:val="A-z"/>
        <w:rPr>
          <w:color w:val="auto"/>
        </w:rPr>
      </w:pPr>
      <w:r>
        <w:rPr>
          <w:color w:val="auto"/>
        </w:rPr>
        <w:t>2.</w:t>
      </w:r>
      <w:r>
        <w:rPr>
          <w:color w:val="auto"/>
        </w:rPr>
        <w:t>水泥产品环境安全性</w:t>
      </w:r>
    </w:p>
    <w:p w14:paraId="12D9F851" w14:textId="77777777" w:rsidR="002E474C" w:rsidRDefault="00000000">
      <w:pPr>
        <w:pStyle w:val="A-z"/>
        <w:rPr>
          <w:color w:val="auto"/>
        </w:rPr>
      </w:pPr>
      <w:r>
        <w:rPr>
          <w:color w:val="auto"/>
        </w:rPr>
        <w:t>水泥窑协同处置危险废物必须以不影响水泥产品的品质为前提，根据同类项目运行经验，水泥窑投入危险废物后对水泥品质影响不大，水泥产品质量满足《通用硅酸盐水泥》（</w:t>
      </w:r>
      <w:r>
        <w:rPr>
          <w:color w:val="auto"/>
        </w:rPr>
        <w:t>GB175</w:t>
      </w:r>
      <w:r>
        <w:rPr>
          <w:color w:val="auto"/>
        </w:rPr>
        <w:t>）的要求。</w:t>
      </w:r>
    </w:p>
    <w:p w14:paraId="4F17E490" w14:textId="77777777" w:rsidR="002E474C" w:rsidRDefault="00000000">
      <w:pPr>
        <w:pStyle w:val="A-z"/>
        <w:rPr>
          <w:color w:val="auto"/>
        </w:rPr>
      </w:pPr>
      <w:r>
        <w:rPr>
          <w:color w:val="auto"/>
        </w:rPr>
        <w:t>通过控制固体废物掺入比例，确保水泥产品环境安全，水泥窑协同处置工业固体废物利用危险废物中的物质和能量，同时对危险废物进行彻底处理，实现循环经济价值。</w:t>
      </w:r>
    </w:p>
    <w:p w14:paraId="62A8376F" w14:textId="77777777" w:rsidR="002E474C" w:rsidRDefault="00000000">
      <w:pPr>
        <w:pStyle w:val="31"/>
        <w:spacing w:before="156" w:after="156"/>
        <w:rPr>
          <w:color w:val="auto"/>
        </w:rPr>
      </w:pPr>
      <w:r>
        <w:rPr>
          <w:color w:val="auto"/>
        </w:rPr>
        <w:t>小结</w:t>
      </w:r>
    </w:p>
    <w:p w14:paraId="6A639655" w14:textId="77777777" w:rsidR="002E474C" w:rsidRDefault="00000000">
      <w:pPr>
        <w:pStyle w:val="A-z"/>
        <w:rPr>
          <w:color w:val="auto"/>
        </w:rPr>
      </w:pPr>
      <w:r>
        <w:rPr>
          <w:color w:val="auto"/>
        </w:rPr>
        <w:t>综上所述，本项目利用水泥窑协同处理固体废物，属于国家推行的清洁生产技术方案，不仅可以实现区域内固体废物的</w:t>
      </w:r>
      <w:r>
        <w:rPr>
          <w:color w:val="auto"/>
        </w:rPr>
        <w:t>“</w:t>
      </w:r>
      <w:r>
        <w:rPr>
          <w:color w:val="auto"/>
        </w:rPr>
        <w:t>无害化、资源化</w:t>
      </w:r>
      <w:r>
        <w:rPr>
          <w:color w:val="auto"/>
        </w:rPr>
        <w:t>”</w:t>
      </w:r>
      <w:r>
        <w:rPr>
          <w:color w:val="auto"/>
        </w:rPr>
        <w:t>处置，同时可以减少水泥熟料生产的资源能源消耗量，进一步提升企业的清洁生产水平。</w:t>
      </w:r>
    </w:p>
    <w:p w14:paraId="098B2222" w14:textId="77777777" w:rsidR="002E474C" w:rsidRDefault="00000000">
      <w:pPr>
        <w:pStyle w:val="A-z"/>
        <w:rPr>
          <w:color w:val="auto"/>
        </w:rPr>
      </w:pPr>
      <w:r>
        <w:rPr>
          <w:color w:val="auto"/>
        </w:rPr>
        <w:t>本项目与危险废物其他处理方式相比，具有处理工艺先进、设备优势明显、产品指标稳定、各类污染有效控制等优势，清洁生产水平属国内先进水平。</w:t>
      </w:r>
    </w:p>
    <w:p w14:paraId="39A9315E" w14:textId="77777777" w:rsidR="002E474C" w:rsidRDefault="00000000">
      <w:pPr>
        <w:pStyle w:val="21"/>
        <w:spacing w:before="312" w:after="312"/>
        <w:ind w:left="0" w:firstLine="0"/>
        <w:rPr>
          <w:color w:val="auto"/>
        </w:rPr>
      </w:pPr>
      <w:bookmarkStart w:id="220" w:name="_Toc20125"/>
      <w:bookmarkStart w:id="221" w:name="_Toc225848857"/>
      <w:r>
        <w:rPr>
          <w:color w:val="auto"/>
        </w:rPr>
        <w:t>碳排放分析</w:t>
      </w:r>
      <w:bookmarkEnd w:id="220"/>
      <w:bookmarkEnd w:id="221"/>
    </w:p>
    <w:p w14:paraId="2AD7B3C6" w14:textId="77777777" w:rsidR="002E474C" w:rsidRDefault="00000000">
      <w:pPr>
        <w:pStyle w:val="31"/>
        <w:spacing w:before="156" w:after="156"/>
        <w:rPr>
          <w:color w:val="auto"/>
        </w:rPr>
      </w:pPr>
      <w:r>
        <w:rPr>
          <w:color w:val="auto"/>
        </w:rPr>
        <w:t>本项目碳减排机理与路径</w:t>
      </w:r>
    </w:p>
    <w:p w14:paraId="3018777E" w14:textId="77777777" w:rsidR="002E474C" w:rsidRDefault="00000000">
      <w:pPr>
        <w:pStyle w:val="41"/>
        <w:spacing w:before="156" w:after="156"/>
        <w:rPr>
          <w:color w:val="auto"/>
        </w:rPr>
      </w:pPr>
      <w:r>
        <w:rPr>
          <w:color w:val="auto"/>
        </w:rPr>
        <w:t>核心技术机理</w:t>
      </w:r>
    </w:p>
    <w:p w14:paraId="35ACD7F8" w14:textId="77777777" w:rsidR="002E474C" w:rsidRDefault="00000000">
      <w:pPr>
        <w:pStyle w:val="A-z"/>
        <w:rPr>
          <w:color w:val="auto"/>
        </w:rPr>
      </w:pPr>
      <w:r>
        <w:rPr>
          <w:color w:val="auto"/>
        </w:rPr>
        <w:t>本项目依托圣雄水泥公司现有新型干法水泥窑，建设</w:t>
      </w:r>
      <w:r>
        <w:rPr>
          <w:color w:val="auto"/>
        </w:rPr>
        <w:t>5</w:t>
      </w:r>
      <w:r>
        <w:rPr>
          <w:color w:val="auto"/>
        </w:rPr>
        <w:t>万</w:t>
      </w:r>
      <w:r>
        <w:rPr>
          <w:color w:val="auto"/>
        </w:rPr>
        <w:t>t/a</w:t>
      </w:r>
      <w:r>
        <w:rPr>
          <w:color w:val="auto"/>
        </w:rPr>
        <w:t>危险废物协同处置系统，其中固态</w:t>
      </w:r>
      <w:r>
        <w:rPr>
          <w:rFonts w:hint="eastAsia"/>
          <w:color w:val="auto"/>
        </w:rPr>
        <w:t>（含半固态）</w:t>
      </w:r>
      <w:r>
        <w:rPr>
          <w:color w:val="auto"/>
        </w:rPr>
        <w:t>危废</w:t>
      </w:r>
      <w:r>
        <w:rPr>
          <w:color w:val="auto"/>
        </w:rPr>
        <w:t>45000t/a</w:t>
      </w:r>
      <w:r>
        <w:rPr>
          <w:color w:val="auto"/>
        </w:rPr>
        <w:t>、液态危废</w:t>
      </w:r>
      <w:r>
        <w:rPr>
          <w:color w:val="auto"/>
        </w:rPr>
        <w:t>5000t/a</w:t>
      </w:r>
      <w:r>
        <w:rPr>
          <w:color w:val="auto"/>
        </w:rPr>
        <w:t>，可处置</w:t>
      </w:r>
      <w:r>
        <w:rPr>
          <w:color w:val="auto"/>
        </w:rPr>
        <w:t>HW02</w:t>
      </w:r>
      <w:r>
        <w:rPr>
          <w:color w:val="auto"/>
        </w:rPr>
        <w:t>医药废物、</w:t>
      </w:r>
      <w:r>
        <w:rPr>
          <w:color w:val="auto"/>
        </w:rPr>
        <w:t>HW03</w:t>
      </w:r>
      <w:r>
        <w:rPr>
          <w:color w:val="auto"/>
        </w:rPr>
        <w:t>废药物药品等</w:t>
      </w:r>
      <w:r>
        <w:rPr>
          <w:color w:val="auto"/>
        </w:rPr>
        <w:t>36</w:t>
      </w:r>
      <w:r>
        <w:rPr>
          <w:color w:val="auto"/>
        </w:rPr>
        <w:t>类危险废物，通过高温焚烧及水泥熟料矿物化高温烧结过程，实现危险废物高温解毒和重金属固化，达成减量化、资源化和无害化目标。</w:t>
      </w:r>
    </w:p>
    <w:p w14:paraId="42E60B9A" w14:textId="77777777" w:rsidR="002E474C" w:rsidRDefault="00000000">
      <w:pPr>
        <w:pStyle w:val="A-z"/>
        <w:rPr>
          <w:color w:val="auto"/>
          <w:lang w:val="en-US"/>
        </w:rPr>
      </w:pPr>
      <w:r>
        <w:rPr>
          <w:color w:val="auto"/>
          <w:lang w:val="en-US"/>
        </w:rPr>
        <w:t>本项目碳减排核心依托圣雄水泥</w:t>
      </w:r>
      <w:r>
        <w:rPr>
          <w:color w:val="auto"/>
          <w:lang w:val="en-US"/>
        </w:rPr>
        <w:t>5000t/d</w:t>
      </w:r>
      <w:r>
        <w:rPr>
          <w:color w:val="auto"/>
        </w:rPr>
        <w:t>电石渣干法水泥生产线</w:t>
      </w:r>
      <w:r>
        <w:rPr>
          <w:color w:val="auto"/>
          <w:lang w:val="en-US"/>
        </w:rPr>
        <w:t>的工艺优势</w:t>
      </w:r>
      <w:r>
        <w:rPr>
          <w:color w:val="auto"/>
          <w:lang w:val="en-US"/>
        </w:rPr>
        <w:t>——</w:t>
      </w:r>
      <w:r>
        <w:rPr>
          <w:color w:val="auto"/>
          <w:lang w:val="en-US"/>
        </w:rPr>
        <w:t>电石渣作为主要钙质原料替代部分石灰石，本身已实现碳酸盐分解环节的部</w:t>
      </w:r>
      <w:r>
        <w:rPr>
          <w:color w:val="auto"/>
          <w:lang w:val="en-US"/>
        </w:rPr>
        <w:lastRenderedPageBreak/>
        <w:t>分减碳，结合危险废物</w:t>
      </w:r>
      <w:r>
        <w:rPr>
          <w:color w:val="auto"/>
          <w:lang w:val="en-US"/>
        </w:rPr>
        <w:t>“</w:t>
      </w:r>
      <w:r>
        <w:rPr>
          <w:color w:val="auto"/>
          <w:lang w:val="en-US"/>
        </w:rPr>
        <w:t>以废代煤、以废代矿</w:t>
      </w:r>
      <w:r>
        <w:rPr>
          <w:color w:val="auto"/>
          <w:lang w:val="en-US"/>
        </w:rPr>
        <w:t>”</w:t>
      </w:r>
      <w:r>
        <w:rPr>
          <w:color w:val="auto"/>
          <w:lang w:val="en-US"/>
        </w:rPr>
        <w:t>的双重减碳特性，规避危险废物传统处置方式的额外碳排放，形成</w:t>
      </w:r>
      <w:r>
        <w:rPr>
          <w:color w:val="auto"/>
          <w:lang w:val="en-US"/>
        </w:rPr>
        <w:t>“</w:t>
      </w:r>
      <w:r>
        <w:rPr>
          <w:color w:val="auto"/>
          <w:lang w:val="en-US"/>
        </w:rPr>
        <w:t>电石渣低碳工艺</w:t>
      </w:r>
      <w:r>
        <w:rPr>
          <w:color w:val="auto"/>
          <w:lang w:val="en-US"/>
        </w:rPr>
        <w:t>+</w:t>
      </w:r>
      <w:r>
        <w:rPr>
          <w:color w:val="auto"/>
          <w:lang w:val="en-US"/>
        </w:rPr>
        <w:t>危废协同处置</w:t>
      </w:r>
      <w:r>
        <w:rPr>
          <w:color w:val="auto"/>
          <w:lang w:val="en-US"/>
        </w:rPr>
        <w:t>”</w:t>
      </w:r>
      <w:r>
        <w:rPr>
          <w:color w:val="auto"/>
          <w:lang w:val="en-US"/>
        </w:rPr>
        <w:t>的双重减碳效应。其核心机理基于水泥窑</w:t>
      </w:r>
      <w:r>
        <w:rPr>
          <w:color w:val="auto"/>
          <w:lang w:val="en-US"/>
        </w:rPr>
        <w:t>1450℃</w:t>
      </w:r>
      <w:r>
        <w:rPr>
          <w:color w:val="auto"/>
          <w:lang w:val="en-US"/>
        </w:rPr>
        <w:t>高温煅烧环境，一方面使危险废物中有机组分完全焚烧，释放热量替代化石燃料，减少燃料燃烧碳排放；另一方面使危废中无机组分（钙、硅、铝等）参与熟料矿物合成，替代部分电石渣及原生原料，进一步减少碳酸盐分解碳排放，从燃料燃烧和原料分解两个核心碳排放环节实现减排增效。</w:t>
      </w:r>
    </w:p>
    <w:p w14:paraId="0E57E9DE" w14:textId="77777777" w:rsidR="002E474C" w:rsidRDefault="00000000">
      <w:pPr>
        <w:pStyle w:val="41"/>
        <w:spacing w:before="156" w:after="156"/>
        <w:rPr>
          <w:color w:val="auto"/>
        </w:rPr>
      </w:pPr>
      <w:r>
        <w:rPr>
          <w:color w:val="auto"/>
        </w:rPr>
        <w:t>碳减排主要路径</w:t>
      </w:r>
    </w:p>
    <w:p w14:paraId="5DB391BC" w14:textId="77777777" w:rsidR="002E474C" w:rsidRDefault="00000000">
      <w:pPr>
        <w:pStyle w:val="A-z"/>
        <w:rPr>
          <w:color w:val="auto"/>
        </w:rPr>
      </w:pPr>
      <w:r>
        <w:rPr>
          <w:color w:val="auto"/>
        </w:rPr>
        <w:t>（</w:t>
      </w:r>
      <w:r>
        <w:rPr>
          <w:color w:val="auto"/>
        </w:rPr>
        <w:t>1</w:t>
      </w:r>
      <w:r>
        <w:rPr>
          <w:color w:val="auto"/>
        </w:rPr>
        <w:t>）替代燃料减排</w:t>
      </w:r>
    </w:p>
    <w:p w14:paraId="4CEAB9F4" w14:textId="77777777" w:rsidR="002E474C" w:rsidRDefault="00000000">
      <w:pPr>
        <w:pStyle w:val="A-z"/>
        <w:rPr>
          <w:color w:val="auto"/>
          <w:lang w:val="en-US"/>
        </w:rPr>
      </w:pPr>
      <w:r>
        <w:rPr>
          <w:color w:val="auto"/>
          <w:lang w:val="en-US"/>
        </w:rPr>
        <w:t>本项目处置的</w:t>
      </w:r>
      <w:r>
        <w:rPr>
          <w:color w:val="auto"/>
          <w:lang w:val="en-US"/>
        </w:rPr>
        <w:t>36</w:t>
      </w:r>
      <w:r>
        <w:rPr>
          <w:color w:val="auto"/>
          <w:lang w:val="en-US"/>
        </w:rPr>
        <w:t>类危险废物中，多类危废具有较高热值可作为替代燃料直接入窑焚烧，替代电石渣制水泥生产线所需的原生燃煤。</w:t>
      </w:r>
      <w:r>
        <w:rPr>
          <w:color w:val="auto"/>
        </w:rPr>
        <w:t>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w:t>
      </w:r>
      <w:r>
        <w:rPr>
          <w:color w:val="auto"/>
          <w:lang w:val="en-US"/>
        </w:rPr>
        <w:t>项目处置危废带入热值约</w:t>
      </w:r>
      <w:r>
        <w:rPr>
          <w:color w:val="auto"/>
          <w:lang w:val="en-US"/>
        </w:rPr>
        <w:t>93663834.56MJ</w:t>
      </w:r>
      <w:r>
        <w:rPr>
          <w:rFonts w:hint="eastAsia"/>
          <w:color w:val="auto"/>
          <w:lang w:val="en-US"/>
        </w:rPr>
        <w:t>。根据</w:t>
      </w:r>
      <w:r>
        <w:rPr>
          <w:color w:val="auto"/>
          <w:lang w:val="en-US"/>
        </w:rPr>
        <w:t>《综合能耗计算通则》</w:t>
      </w:r>
      <w:r>
        <w:rPr>
          <w:rFonts w:hint="eastAsia"/>
          <w:color w:val="auto"/>
          <w:lang w:val="en-US"/>
        </w:rPr>
        <w:t>（</w:t>
      </w:r>
      <w:r>
        <w:rPr>
          <w:color w:val="auto"/>
          <w:lang w:val="en-US"/>
        </w:rPr>
        <w:t>GB/T 2589-2020</w:t>
      </w:r>
      <w:r>
        <w:rPr>
          <w:rFonts w:hint="eastAsia"/>
          <w:color w:val="auto"/>
          <w:lang w:val="en-US"/>
        </w:rPr>
        <w:t>），标准煤堤围费热量为</w:t>
      </w:r>
      <w:r>
        <w:rPr>
          <w:rFonts w:hint="eastAsia"/>
          <w:color w:val="auto"/>
          <w:lang w:val="en-US"/>
        </w:rPr>
        <w:t>29.3076MJ/kg</w:t>
      </w:r>
      <w:r>
        <w:rPr>
          <w:rFonts w:hint="eastAsia"/>
          <w:color w:val="auto"/>
          <w:lang w:val="en-US"/>
        </w:rPr>
        <w:t>经计算，本项目拟处置危废带入热值</w:t>
      </w:r>
      <w:r>
        <w:rPr>
          <w:color w:val="auto"/>
          <w:lang w:val="en-US"/>
        </w:rPr>
        <w:t>约可替代标煤</w:t>
      </w:r>
      <w:r>
        <w:rPr>
          <w:color w:val="auto"/>
          <w:lang w:val="en-US"/>
        </w:rPr>
        <w:t>3196t</w:t>
      </w:r>
      <w:r>
        <w:rPr>
          <w:color w:val="auto"/>
          <w:lang w:val="en-US"/>
        </w:rPr>
        <w:t>。</w:t>
      </w:r>
      <w:r>
        <w:rPr>
          <w:color w:val="auto"/>
        </w:rPr>
        <w:t>一是危废替代燃煤后，直接减少化石燃料（煤炭）的消耗，进而削减化石燃料燃烧产生的</w:t>
      </w:r>
      <w:r>
        <w:rPr>
          <w:color w:val="auto"/>
        </w:rPr>
        <w:t>CO₂</w:t>
      </w:r>
      <w:r>
        <w:rPr>
          <w:color w:val="auto"/>
        </w:rPr>
        <w:t>排放；二是危废中有机碳主要来源于工业生产废弃物，属于非化石源碳，根据《企业温室气体排放核算与报告指南</w:t>
      </w:r>
      <w:r>
        <w:rPr>
          <w:color w:val="auto"/>
        </w:rPr>
        <w:t xml:space="preserve"> </w:t>
      </w:r>
      <w:r>
        <w:rPr>
          <w:color w:val="auto"/>
        </w:rPr>
        <w:t>水泥行业》（</w:t>
      </w:r>
      <w:r>
        <w:rPr>
          <w:color w:val="auto"/>
        </w:rPr>
        <w:t>CETS-AG-02.01-V01-2024</w:t>
      </w:r>
      <w:r>
        <w:rPr>
          <w:color w:val="auto"/>
        </w:rPr>
        <w:t>），该部分碳燃烧产生的</w:t>
      </w:r>
      <w:r>
        <w:rPr>
          <w:color w:val="auto"/>
        </w:rPr>
        <w:t>CO₂</w:t>
      </w:r>
      <w:r>
        <w:rPr>
          <w:color w:val="auto"/>
        </w:rPr>
        <w:t>不计入企业碳排放边界，进一步提升减排效果</w:t>
      </w:r>
      <w:r>
        <w:rPr>
          <w:color w:val="auto"/>
          <w:lang w:val="en-US"/>
        </w:rPr>
        <w:t>；三是结合电石渣制水泥生产线本身的低碳基础，燃料替代的减排效益更为显著。</w:t>
      </w:r>
    </w:p>
    <w:p w14:paraId="63ECAB9E" w14:textId="77777777" w:rsidR="002E474C" w:rsidRDefault="00000000">
      <w:pPr>
        <w:pStyle w:val="A-z"/>
        <w:rPr>
          <w:color w:val="auto"/>
        </w:rPr>
      </w:pPr>
      <w:r>
        <w:rPr>
          <w:color w:val="auto"/>
        </w:rPr>
        <w:t>（</w:t>
      </w:r>
      <w:r>
        <w:rPr>
          <w:color w:val="auto"/>
        </w:rPr>
        <w:t>2</w:t>
      </w:r>
      <w:r>
        <w:rPr>
          <w:color w:val="auto"/>
        </w:rPr>
        <w:t>）替代原料减排</w:t>
      </w:r>
    </w:p>
    <w:p w14:paraId="0980AE69" w14:textId="77777777" w:rsidR="002E474C" w:rsidRDefault="00000000">
      <w:pPr>
        <w:pStyle w:val="A-z"/>
        <w:rPr>
          <w:color w:val="auto"/>
          <w:lang w:val="en-US"/>
        </w:rPr>
      </w:pPr>
      <w:r>
        <w:rPr>
          <w:color w:val="auto"/>
          <w:lang w:val="en-US"/>
        </w:rPr>
        <w:t>项目处置的部分危险废物含有钙、硅、铝、铁等水泥熟料合成所需的无机组分，经预处理后可作为替代原料，替代电石渣制水泥生产线部分电石渣、石灰石等原料。</w:t>
      </w:r>
      <w:r>
        <w:rPr>
          <w:color w:val="auto"/>
        </w:rPr>
        <w:t>根据</w:t>
      </w:r>
      <w:r>
        <w:rPr>
          <w:rFonts w:hint="eastAsia"/>
          <w:color w:val="auto"/>
        </w:rPr>
        <w:t>3.4.1</w:t>
      </w:r>
      <w:r>
        <w:rPr>
          <w:rFonts w:hint="eastAsia"/>
          <w:color w:val="auto"/>
        </w:rPr>
        <w:t>危险废物来源与类别中的危废类别与数量一览表及</w:t>
      </w:r>
      <w:r>
        <w:rPr>
          <w:rFonts w:hint="eastAsia"/>
          <w:color w:val="auto"/>
        </w:rPr>
        <w:t>3.4.2</w:t>
      </w:r>
      <w:r>
        <w:rPr>
          <w:rFonts w:hint="eastAsia"/>
          <w:color w:val="auto"/>
        </w:rPr>
        <w:t>危险废物成分分析中的危废成分汇总表计算，本项目拟处置危险废物中约含</w:t>
      </w:r>
      <w:r>
        <w:rPr>
          <w:rFonts w:hint="eastAsia"/>
          <w:color w:val="auto"/>
        </w:rPr>
        <w:t>SiO</w:t>
      </w:r>
      <w:r>
        <w:rPr>
          <w:rFonts w:hint="eastAsia"/>
          <w:color w:val="auto"/>
          <w:vertAlign w:val="subscript"/>
        </w:rPr>
        <w:t>2</w:t>
      </w:r>
      <w:r>
        <w:rPr>
          <w:rFonts w:hint="eastAsia"/>
          <w:color w:val="auto"/>
        </w:rPr>
        <w:t>、</w:t>
      </w:r>
      <w:r>
        <w:rPr>
          <w:rFonts w:hint="eastAsia"/>
          <w:color w:val="auto"/>
        </w:rPr>
        <w:t>CaO</w:t>
      </w:r>
      <w:r>
        <w:rPr>
          <w:rFonts w:hint="eastAsia"/>
          <w:color w:val="auto"/>
        </w:rPr>
        <w:t>、</w:t>
      </w:r>
      <w:r>
        <w:rPr>
          <w:rFonts w:hint="eastAsia"/>
          <w:color w:val="auto"/>
        </w:rPr>
        <w:t>Fe</w:t>
      </w:r>
      <w:r>
        <w:rPr>
          <w:rFonts w:hint="eastAsia"/>
          <w:color w:val="auto"/>
        </w:rPr>
        <w:t>及</w:t>
      </w:r>
      <w:r>
        <w:rPr>
          <w:rFonts w:hint="eastAsia"/>
          <w:color w:val="auto"/>
        </w:rPr>
        <w:t>AlO</w:t>
      </w:r>
      <w:r>
        <w:rPr>
          <w:rFonts w:hint="eastAsia"/>
          <w:color w:val="auto"/>
        </w:rPr>
        <w:t>成分约</w:t>
      </w:r>
      <w:r>
        <w:rPr>
          <w:color w:val="auto"/>
        </w:rPr>
        <w:t>14371t/a</w:t>
      </w:r>
      <w:r>
        <w:rPr>
          <w:rFonts w:hint="eastAsia"/>
          <w:color w:val="auto"/>
        </w:rPr>
        <w:t>，可</w:t>
      </w:r>
      <w:r>
        <w:rPr>
          <w:color w:val="auto"/>
        </w:rPr>
        <w:t>替代</w:t>
      </w:r>
      <w:r>
        <w:rPr>
          <w:rFonts w:hint="eastAsia"/>
          <w:color w:val="auto"/>
        </w:rPr>
        <w:t>部分</w:t>
      </w:r>
      <w:r>
        <w:rPr>
          <w:color w:val="auto"/>
        </w:rPr>
        <w:t>原料。</w:t>
      </w:r>
      <w:r>
        <w:rPr>
          <w:color w:val="auto"/>
          <w:lang w:val="en-US"/>
        </w:rPr>
        <w:t>石灰石分解是水泥生产过程中最主要的碳排放来源（约占水泥生产总碳排放的</w:t>
      </w:r>
      <w:r>
        <w:rPr>
          <w:color w:val="auto"/>
          <w:lang w:val="en-US"/>
        </w:rPr>
        <w:t>60%</w:t>
      </w:r>
      <w:r>
        <w:rPr>
          <w:color w:val="auto"/>
          <w:lang w:val="en-US"/>
        </w:rPr>
        <w:t>），电石渣制水泥生产线已采用电石渣替代部分石灰石，减少了部分碳酸盐分解排放；本项目新增危废替代少量原料，进一步减少电石渣及石灰石的消耗，降低碳酸盐分解产生的</w:t>
      </w:r>
      <w:r>
        <w:rPr>
          <w:color w:val="auto"/>
          <w:lang w:val="en-US"/>
        </w:rPr>
        <w:t>CO₂</w:t>
      </w:r>
      <w:r>
        <w:rPr>
          <w:color w:val="auto"/>
          <w:lang w:val="en-US"/>
        </w:rPr>
        <w:t>排</w:t>
      </w:r>
      <w:r>
        <w:rPr>
          <w:color w:val="auto"/>
          <w:lang w:val="en-US"/>
        </w:rPr>
        <w:lastRenderedPageBreak/>
        <w:t>放，实现生产过程的源头减碳，与电石渣低碳工艺形成协同效应。</w:t>
      </w:r>
    </w:p>
    <w:p w14:paraId="28AF95BD" w14:textId="77777777" w:rsidR="002E474C" w:rsidRDefault="00000000">
      <w:pPr>
        <w:pStyle w:val="A-z"/>
        <w:rPr>
          <w:color w:val="auto"/>
        </w:rPr>
      </w:pPr>
      <w:r>
        <w:rPr>
          <w:color w:val="auto"/>
        </w:rPr>
        <w:t>（</w:t>
      </w:r>
      <w:r>
        <w:rPr>
          <w:color w:val="auto"/>
        </w:rPr>
        <w:t>3</w:t>
      </w:r>
      <w:r>
        <w:rPr>
          <w:color w:val="auto"/>
        </w:rPr>
        <w:t>）全生命周期间接减排（补充路径）</w:t>
      </w:r>
    </w:p>
    <w:p w14:paraId="731031D9" w14:textId="77777777" w:rsidR="002E474C" w:rsidRDefault="00000000">
      <w:pPr>
        <w:pStyle w:val="A-z"/>
        <w:rPr>
          <w:color w:val="auto"/>
        </w:rPr>
      </w:pPr>
      <w:r>
        <w:rPr>
          <w:color w:val="auto"/>
        </w:rPr>
        <w:t>本项目协同处置危险废物，替代了危险废物传统的填埋、单独焚烧等处置方式，从全生命周期角度减少了额外碳排放：一是避免了危废填埋场产生的甲烷（</w:t>
      </w:r>
      <w:r>
        <w:rPr>
          <w:color w:val="auto"/>
        </w:rPr>
        <w:t>CH₄</w:t>
      </w:r>
      <w:r>
        <w:rPr>
          <w:color w:val="auto"/>
        </w:rPr>
        <w:t>，温室效应潜能值是</w:t>
      </w:r>
      <w:r>
        <w:rPr>
          <w:color w:val="auto"/>
        </w:rPr>
        <w:t>CO₂</w:t>
      </w:r>
      <w:r>
        <w:rPr>
          <w:color w:val="auto"/>
        </w:rPr>
        <w:t>的</w:t>
      </w:r>
      <w:r>
        <w:rPr>
          <w:color w:val="auto"/>
        </w:rPr>
        <w:t>28</w:t>
      </w:r>
      <w:r>
        <w:rPr>
          <w:color w:val="auto"/>
        </w:rPr>
        <w:t>倍）排放；二是规避了专用危废焚烧厂为维持焚烧温度所需的化石燃料消耗及对应碳排放；三是减少了危废储存过程中的能耗及碳排放，进一步提升项目整体碳减排效益，与电石渣制水泥的绿色发展理念高度契合。</w:t>
      </w:r>
    </w:p>
    <w:p w14:paraId="4F5548E4" w14:textId="77777777" w:rsidR="002E474C" w:rsidRDefault="00000000">
      <w:pPr>
        <w:pStyle w:val="31"/>
        <w:spacing w:before="156" w:after="156"/>
        <w:rPr>
          <w:color w:val="auto"/>
        </w:rPr>
      </w:pPr>
      <w:r>
        <w:rPr>
          <w:color w:val="auto"/>
        </w:rPr>
        <w:t>碳减排量化核算方法与计算</w:t>
      </w:r>
    </w:p>
    <w:p w14:paraId="15DA44CC" w14:textId="77777777" w:rsidR="002E474C" w:rsidRDefault="00000000">
      <w:pPr>
        <w:pStyle w:val="A-z"/>
        <w:rPr>
          <w:color w:val="auto"/>
        </w:rPr>
      </w:pPr>
      <w:r>
        <w:rPr>
          <w:color w:val="auto"/>
        </w:rPr>
        <w:t>（</w:t>
      </w:r>
      <w:r>
        <w:rPr>
          <w:color w:val="auto"/>
        </w:rPr>
        <w:t>1</w:t>
      </w:r>
      <w:r>
        <w:rPr>
          <w:color w:val="auto"/>
        </w:rPr>
        <w:t>）核算依据</w:t>
      </w:r>
    </w:p>
    <w:p w14:paraId="718E0426" w14:textId="77777777" w:rsidR="002E474C" w:rsidRDefault="00000000">
      <w:pPr>
        <w:pStyle w:val="A-z"/>
        <w:rPr>
          <w:color w:val="auto"/>
        </w:rPr>
      </w:pPr>
      <w:r>
        <w:rPr>
          <w:rFonts w:hint="eastAsia"/>
          <w:color w:val="auto"/>
          <w:lang w:val="en-US"/>
        </w:rPr>
        <w:t>本次评价</w:t>
      </w:r>
      <w:r>
        <w:rPr>
          <w:color w:val="auto"/>
        </w:rPr>
        <w:t>依据《企业温室气体排放核算与报告指南</w:t>
      </w:r>
      <w:r>
        <w:rPr>
          <w:color w:val="auto"/>
        </w:rPr>
        <w:t xml:space="preserve"> </w:t>
      </w:r>
      <w:r>
        <w:rPr>
          <w:color w:val="auto"/>
        </w:rPr>
        <w:t>水泥行业》（</w:t>
      </w:r>
      <w:r>
        <w:rPr>
          <w:color w:val="auto"/>
        </w:rPr>
        <w:t>CETS-AG-02.01-V01-2024</w:t>
      </w:r>
      <w:r>
        <w:rPr>
          <w:color w:val="auto"/>
        </w:rPr>
        <w:t>）、</w:t>
      </w:r>
      <w:bookmarkStart w:id="222" w:name="OLE_LINK76"/>
      <w:r>
        <w:rPr>
          <w:color w:val="auto"/>
        </w:rPr>
        <w:t>《水泥工业碳排放量计算方法》（</w:t>
      </w:r>
      <w:r>
        <w:rPr>
          <w:color w:val="auto"/>
        </w:rPr>
        <w:t>GB/T 39561</w:t>
      </w:r>
      <w:bookmarkEnd w:id="222"/>
      <w:r>
        <w:rPr>
          <w:color w:val="auto"/>
        </w:rPr>
        <w:t>-2020</w:t>
      </w:r>
      <w:r>
        <w:rPr>
          <w:color w:val="auto"/>
        </w:rPr>
        <w:t>）、《水泥行业协同处置项目二氧化</w:t>
      </w:r>
      <w:bookmarkStart w:id="223" w:name="OLE_LINK14"/>
      <w:r>
        <w:rPr>
          <w:color w:val="auto"/>
        </w:rPr>
        <w:t>碳减排量</w:t>
      </w:r>
      <w:bookmarkEnd w:id="223"/>
      <w:r>
        <w:rPr>
          <w:color w:val="auto"/>
        </w:rPr>
        <w:t>核算方法学》（</w:t>
      </w:r>
      <w:r>
        <w:rPr>
          <w:color w:val="auto"/>
        </w:rPr>
        <w:t>T/GDLC 027-2025</w:t>
      </w:r>
      <w:r>
        <w:rPr>
          <w:color w:val="auto"/>
        </w:rPr>
        <w:t>）、《危险废物协同处置环境管理要求》（</w:t>
      </w:r>
      <w:r>
        <w:rPr>
          <w:color w:val="auto"/>
        </w:rPr>
        <w:t>HJ 662-2013</w:t>
      </w:r>
      <w:r>
        <w:rPr>
          <w:color w:val="auto"/>
        </w:rPr>
        <w:t>）及项目工程设计资料，结合圣雄水泥公司</w:t>
      </w:r>
      <w:r>
        <w:rPr>
          <w:color w:val="auto"/>
        </w:rPr>
        <w:t>5000t/d</w:t>
      </w:r>
      <w:r>
        <w:rPr>
          <w:color w:val="auto"/>
        </w:rPr>
        <w:t>电石渣干法水泥生产线基准排放数据，开展碳减排量化核算。</w:t>
      </w:r>
    </w:p>
    <w:p w14:paraId="70420EED" w14:textId="77777777" w:rsidR="002E474C" w:rsidRDefault="00000000">
      <w:pPr>
        <w:pStyle w:val="A-z"/>
        <w:rPr>
          <w:color w:val="auto"/>
        </w:rPr>
      </w:pPr>
      <w:r>
        <w:rPr>
          <w:color w:val="auto"/>
        </w:rPr>
        <w:t>（</w:t>
      </w:r>
      <w:r>
        <w:rPr>
          <w:color w:val="auto"/>
        </w:rPr>
        <w:t>2</w:t>
      </w:r>
      <w:r>
        <w:rPr>
          <w:color w:val="auto"/>
        </w:rPr>
        <w:t>）核算边界</w:t>
      </w:r>
    </w:p>
    <w:p w14:paraId="3143944F" w14:textId="77777777" w:rsidR="002E474C" w:rsidRDefault="00000000">
      <w:pPr>
        <w:pStyle w:val="A-z"/>
        <w:rPr>
          <w:color w:val="auto"/>
        </w:rPr>
      </w:pPr>
      <w:r>
        <w:rPr>
          <w:color w:val="auto"/>
        </w:rPr>
        <w:t>核算边界界定为</w:t>
      </w:r>
      <w:r>
        <w:rPr>
          <w:color w:val="auto"/>
        </w:rPr>
        <w:t>“</w:t>
      </w:r>
      <w:r>
        <w:rPr>
          <w:color w:val="auto"/>
        </w:rPr>
        <w:t>危险废物接收</w:t>
      </w:r>
      <w:r>
        <w:rPr>
          <w:color w:val="auto"/>
        </w:rPr>
        <w:t>—</w:t>
      </w:r>
      <w:r>
        <w:rPr>
          <w:color w:val="auto"/>
        </w:rPr>
        <w:t>预处理</w:t>
      </w:r>
      <w:r>
        <w:rPr>
          <w:color w:val="auto"/>
        </w:rPr>
        <w:t>—</w:t>
      </w:r>
      <w:r>
        <w:rPr>
          <w:color w:val="auto"/>
        </w:rPr>
        <w:t>入窑协同处置</w:t>
      </w:r>
      <w:r>
        <w:rPr>
          <w:color w:val="auto"/>
        </w:rPr>
        <w:t>—</w:t>
      </w:r>
      <w:r>
        <w:rPr>
          <w:color w:val="auto"/>
        </w:rPr>
        <w:t>熟料烧成</w:t>
      </w:r>
      <w:r>
        <w:rPr>
          <w:color w:val="auto"/>
        </w:rPr>
        <w:t>—</w:t>
      </w:r>
      <w:r>
        <w:rPr>
          <w:color w:val="auto"/>
        </w:rPr>
        <w:t>产物利用</w:t>
      </w:r>
      <w:r>
        <w:rPr>
          <w:color w:val="auto"/>
        </w:rPr>
        <w:t>”</w:t>
      </w:r>
      <w:r>
        <w:rPr>
          <w:color w:val="auto"/>
        </w:rPr>
        <w:t>全流程，聚焦电石渣制水泥生产线协同处置危废环节的直接碳排放及间接碳排放。对比基准情景为</w:t>
      </w:r>
      <w:r>
        <w:rPr>
          <w:color w:val="auto"/>
        </w:rPr>
        <w:t>“</w:t>
      </w:r>
      <w:r>
        <w:rPr>
          <w:color w:val="auto"/>
        </w:rPr>
        <w:t>无危险废物协同处置的电石渣制水泥生产系统</w:t>
      </w:r>
      <w:r>
        <w:rPr>
          <w:color w:val="auto"/>
        </w:rPr>
        <w:t>”</w:t>
      </w:r>
      <w:r>
        <w:rPr>
          <w:color w:val="auto"/>
        </w:rPr>
        <w:t>（即圣雄水泥公司</w:t>
      </w:r>
      <w:r>
        <w:rPr>
          <w:color w:val="auto"/>
        </w:rPr>
        <w:t>5000t/d</w:t>
      </w:r>
      <w:r>
        <w:rPr>
          <w:color w:val="auto"/>
        </w:rPr>
        <w:t>电石渣干法水泥生产线，维持原有燃料、原料配比，</w:t>
      </w:r>
      <w:r>
        <w:rPr>
          <w:color w:val="auto"/>
        </w:rPr>
        <w:t>100%</w:t>
      </w:r>
      <w:r>
        <w:rPr>
          <w:color w:val="auto"/>
        </w:rPr>
        <w:t>采用燃煤作为燃料、以电石渣</w:t>
      </w:r>
      <w:r>
        <w:rPr>
          <w:color w:val="auto"/>
        </w:rPr>
        <w:t>+</w:t>
      </w:r>
      <w:r>
        <w:rPr>
          <w:color w:val="auto"/>
        </w:rPr>
        <w:t>部分石灰石作为钙质原料，生产工艺、熟料产量与项目情景一致）。</w:t>
      </w:r>
    </w:p>
    <w:p w14:paraId="089D5812" w14:textId="77777777" w:rsidR="002E474C" w:rsidRDefault="00000000">
      <w:pPr>
        <w:pStyle w:val="A-z"/>
        <w:rPr>
          <w:color w:val="auto"/>
        </w:rPr>
      </w:pPr>
      <w:r>
        <w:rPr>
          <w:color w:val="auto"/>
        </w:rPr>
        <w:t>（</w:t>
      </w:r>
      <w:r>
        <w:rPr>
          <w:color w:val="auto"/>
        </w:rPr>
        <w:t>3</w:t>
      </w:r>
      <w:r>
        <w:rPr>
          <w:color w:val="auto"/>
        </w:rPr>
        <w:t>）核算方法</w:t>
      </w:r>
    </w:p>
    <w:p w14:paraId="174854F4" w14:textId="77777777" w:rsidR="002E474C" w:rsidRDefault="00000000">
      <w:pPr>
        <w:pStyle w:val="A-z"/>
        <w:rPr>
          <w:color w:val="auto"/>
        </w:rPr>
      </w:pPr>
      <w:r>
        <w:rPr>
          <w:color w:val="auto"/>
        </w:rPr>
        <w:t>本项目碳减排量采用</w:t>
      </w:r>
      <w:r>
        <w:rPr>
          <w:color w:val="auto"/>
        </w:rPr>
        <w:t>“</w:t>
      </w:r>
      <w:r>
        <w:rPr>
          <w:color w:val="auto"/>
        </w:rPr>
        <w:t>基准情景排放量－项目情景排放量</w:t>
      </w:r>
      <w:r>
        <w:rPr>
          <w:color w:val="auto"/>
        </w:rPr>
        <w:t>”</w:t>
      </w:r>
      <w:r>
        <w:rPr>
          <w:color w:val="auto"/>
        </w:rPr>
        <w:t>的差值法计算，核心公式如下：</w:t>
      </w:r>
    </w:p>
    <w:p w14:paraId="4CEFC0C6" w14:textId="77777777" w:rsidR="002E474C" w:rsidRDefault="00000000">
      <w:pPr>
        <w:pStyle w:val="A-z"/>
        <w:rPr>
          <w:color w:val="auto"/>
          <w:lang w:val="en-US"/>
        </w:rPr>
      </w:pPr>
      <w:r>
        <w:rPr>
          <w:color w:val="auto"/>
          <w:lang w:val="en-US"/>
        </w:rPr>
        <w:t>ER = BE - PE</w:t>
      </w:r>
    </w:p>
    <w:p w14:paraId="24C3453F" w14:textId="77777777" w:rsidR="002E474C" w:rsidRDefault="00000000">
      <w:pPr>
        <w:pStyle w:val="A-z"/>
        <w:rPr>
          <w:color w:val="auto"/>
        </w:rPr>
      </w:pPr>
      <w:r>
        <w:rPr>
          <w:color w:val="auto"/>
        </w:rPr>
        <w:t>其中：</w:t>
      </w:r>
      <w:r>
        <w:rPr>
          <w:color w:val="auto"/>
          <w:lang w:val="en-US"/>
        </w:rPr>
        <w:t>ER</w:t>
      </w:r>
      <w:r>
        <w:rPr>
          <w:color w:val="auto"/>
        </w:rPr>
        <w:t>—</w:t>
      </w:r>
      <w:r>
        <w:rPr>
          <w:color w:val="auto"/>
        </w:rPr>
        <w:t>项目年碳减排量（</w:t>
      </w:r>
      <w:r>
        <w:rPr>
          <w:color w:val="auto"/>
        </w:rPr>
        <w:t>tCO₂e/a</w:t>
      </w:r>
      <w:r>
        <w:rPr>
          <w:color w:val="auto"/>
        </w:rPr>
        <w:t>）；</w:t>
      </w:r>
      <w:r>
        <w:rPr>
          <w:color w:val="auto"/>
        </w:rPr>
        <w:t>BE—</w:t>
      </w:r>
      <w:r>
        <w:rPr>
          <w:color w:val="auto"/>
        </w:rPr>
        <w:t>基准情景下（无协同处置）电石渣制水泥生产线年碳排放总量（</w:t>
      </w:r>
      <w:r>
        <w:rPr>
          <w:color w:val="auto"/>
        </w:rPr>
        <w:t>tCO₂e/a</w:t>
      </w:r>
      <w:r>
        <w:rPr>
          <w:color w:val="auto"/>
        </w:rPr>
        <w:t>）；</w:t>
      </w:r>
      <w:r>
        <w:rPr>
          <w:color w:val="auto"/>
        </w:rPr>
        <w:t>PE—</w:t>
      </w:r>
      <w:r>
        <w:rPr>
          <w:color w:val="auto"/>
        </w:rPr>
        <w:t>项目情景下（协同处置危废）电石渣制水泥生产线年碳排放总量（</w:t>
      </w:r>
      <w:r>
        <w:rPr>
          <w:color w:val="auto"/>
        </w:rPr>
        <w:t>tCO₂e/a</w:t>
      </w:r>
      <w:r>
        <w:rPr>
          <w:color w:val="auto"/>
        </w:rPr>
        <w:t>）。</w:t>
      </w:r>
    </w:p>
    <w:p w14:paraId="72444924" w14:textId="77777777" w:rsidR="002E474C" w:rsidRDefault="00000000">
      <w:pPr>
        <w:pStyle w:val="A-z"/>
        <w:rPr>
          <w:color w:val="auto"/>
        </w:rPr>
      </w:pPr>
      <w:r>
        <w:rPr>
          <w:color w:val="auto"/>
        </w:rPr>
        <w:lastRenderedPageBreak/>
        <w:t>1</w:t>
      </w:r>
      <w:r>
        <w:rPr>
          <w:color w:val="auto"/>
        </w:rPr>
        <w:t>）基准情景排放量（</w:t>
      </w:r>
      <w:r>
        <w:rPr>
          <w:color w:val="auto"/>
        </w:rPr>
        <w:t>BE</w:t>
      </w:r>
      <w:r>
        <w:rPr>
          <w:color w:val="auto"/>
        </w:rPr>
        <w:t>）计算</w:t>
      </w:r>
    </w:p>
    <w:p w14:paraId="40B6E051" w14:textId="77777777" w:rsidR="002E474C" w:rsidRDefault="00000000">
      <w:pPr>
        <w:pStyle w:val="A-z"/>
        <w:rPr>
          <w:color w:val="auto"/>
        </w:rPr>
      </w:pPr>
      <w:r>
        <w:rPr>
          <w:color w:val="auto"/>
        </w:rPr>
        <w:t>基准情景碳排放由燃料燃烧排放、碳酸盐分解排放、外购电力间接排放三部分构成，公式如下：</w:t>
      </w:r>
    </w:p>
    <w:p w14:paraId="42C84F2E" w14:textId="77777777" w:rsidR="002E474C" w:rsidRDefault="00000000">
      <w:pPr>
        <w:pStyle w:val="A-z"/>
        <w:rPr>
          <w:color w:val="auto"/>
          <w:lang w:val="en-US"/>
        </w:rPr>
      </w:pPr>
      <w:r>
        <w:rPr>
          <w:color w:val="auto"/>
          <w:lang w:val="en-US"/>
        </w:rPr>
        <w:t xml:space="preserve">BE = </w:t>
      </w:r>
      <w:proofErr w:type="spellStart"/>
      <w:r>
        <w:rPr>
          <w:color w:val="auto"/>
          <w:lang w:val="en-US"/>
        </w:rPr>
        <w:t>E</w:t>
      </w:r>
      <w:r>
        <w:rPr>
          <w:color w:val="auto"/>
          <w:vertAlign w:val="subscript"/>
          <w:lang w:val="en-US"/>
        </w:rPr>
        <w:t>f,base</w:t>
      </w:r>
      <w:proofErr w:type="spellEnd"/>
      <w:r>
        <w:rPr>
          <w:color w:val="auto"/>
          <w:lang w:val="en-US"/>
        </w:rPr>
        <w:t xml:space="preserve"> + </w:t>
      </w:r>
      <w:proofErr w:type="spellStart"/>
      <w:r>
        <w:rPr>
          <w:color w:val="auto"/>
          <w:lang w:val="en-US"/>
        </w:rPr>
        <w:t>E</w:t>
      </w:r>
      <w:r>
        <w:rPr>
          <w:color w:val="auto"/>
          <w:vertAlign w:val="subscript"/>
          <w:lang w:val="en-US"/>
        </w:rPr>
        <w:t>d,base</w:t>
      </w:r>
      <w:proofErr w:type="spellEnd"/>
      <w:r>
        <w:rPr>
          <w:color w:val="auto"/>
          <w:lang w:val="en-US"/>
        </w:rPr>
        <w:t xml:space="preserve"> + </w:t>
      </w:r>
      <w:proofErr w:type="spellStart"/>
      <w:r>
        <w:rPr>
          <w:color w:val="auto"/>
          <w:lang w:val="en-US"/>
        </w:rPr>
        <w:t>E</w:t>
      </w:r>
      <w:r>
        <w:rPr>
          <w:color w:val="auto"/>
          <w:vertAlign w:val="subscript"/>
          <w:lang w:val="en-US"/>
        </w:rPr>
        <w:t>e,base</w:t>
      </w:r>
      <w:proofErr w:type="spellEnd"/>
    </w:p>
    <w:p w14:paraId="199263B1" w14:textId="77777777" w:rsidR="002E474C" w:rsidRDefault="00000000">
      <w:pPr>
        <w:pStyle w:val="A-z"/>
        <w:rPr>
          <w:color w:val="auto"/>
          <w:lang w:val="en-US"/>
        </w:rPr>
      </w:pPr>
      <w:r>
        <w:rPr>
          <w:color w:val="auto"/>
        </w:rPr>
        <w:t>各分项计算说明</w:t>
      </w:r>
      <w:r>
        <w:rPr>
          <w:color w:val="auto"/>
          <w:lang w:val="en-US"/>
        </w:rPr>
        <w:t>：</w:t>
      </w:r>
    </w:p>
    <w:p w14:paraId="200737D2" w14:textId="77777777" w:rsidR="002E474C" w:rsidRDefault="00000000">
      <w:pPr>
        <w:pStyle w:val="A-z"/>
        <w:rPr>
          <w:color w:val="auto"/>
          <w:lang w:val="en-US"/>
        </w:rPr>
      </w:pPr>
      <w:r>
        <w:rPr>
          <w:color w:val="auto"/>
        </w:rPr>
        <w:t>燃料燃烧排放（</w:t>
      </w:r>
      <w:proofErr w:type="spellStart"/>
      <w:r>
        <w:rPr>
          <w:color w:val="auto"/>
          <w:lang w:val="en-US"/>
        </w:rPr>
        <w:t>E</w:t>
      </w:r>
      <w:r>
        <w:rPr>
          <w:color w:val="auto"/>
          <w:vertAlign w:val="subscript"/>
          <w:lang w:val="en-US"/>
        </w:rPr>
        <w:t>f,bas</w:t>
      </w:r>
      <w:proofErr w:type="spellEnd"/>
      <w:r>
        <w:rPr>
          <w:color w:val="auto"/>
        </w:rPr>
        <w:t>）</w:t>
      </w:r>
      <w:r>
        <w:rPr>
          <w:color w:val="auto"/>
          <w:lang w:val="en-US"/>
        </w:rPr>
        <w:t>：</w:t>
      </w:r>
      <w:r>
        <w:rPr>
          <w:color w:val="auto"/>
        </w:rPr>
        <w:t>基于圣雄水泥</w:t>
      </w:r>
      <w:r>
        <w:rPr>
          <w:color w:val="auto"/>
          <w:lang w:val="en-US"/>
        </w:rPr>
        <w:t>5000t/d</w:t>
      </w:r>
      <w:r>
        <w:rPr>
          <w:color w:val="auto"/>
        </w:rPr>
        <w:t>电石渣干法水泥生产线基准年燃煤消耗数据计算</w:t>
      </w:r>
      <w:r>
        <w:rPr>
          <w:color w:val="auto"/>
          <w:lang w:val="en-US"/>
        </w:rPr>
        <w:t>，</w:t>
      </w:r>
      <w:r>
        <w:rPr>
          <w:color w:val="auto"/>
        </w:rPr>
        <w:t>生产线年熟料产量约</w:t>
      </w:r>
      <w:r>
        <w:rPr>
          <w:color w:val="auto"/>
          <w:lang w:val="en-US"/>
        </w:rPr>
        <w:t>150</w:t>
      </w:r>
      <w:r>
        <w:rPr>
          <w:color w:val="auto"/>
        </w:rPr>
        <w:t>万吨</w:t>
      </w:r>
      <w:r>
        <w:rPr>
          <w:color w:val="auto"/>
          <w:lang w:val="en-US"/>
        </w:rPr>
        <w:t>（</w:t>
      </w:r>
      <w:r>
        <w:rPr>
          <w:color w:val="auto"/>
          <w:lang w:val="en-US"/>
        </w:rPr>
        <w:t>5000t/d×300d</w:t>
      </w:r>
      <w:r>
        <w:rPr>
          <w:color w:val="auto"/>
          <w:lang w:val="en-US"/>
        </w:rPr>
        <w:t>），</w:t>
      </w:r>
      <w:r>
        <w:rPr>
          <w:color w:val="auto"/>
        </w:rPr>
        <w:t>基准年</w:t>
      </w:r>
      <w:r>
        <w:rPr>
          <w:rFonts w:hint="eastAsia"/>
          <w:color w:val="auto"/>
        </w:rPr>
        <w:t>消耗沫煤</w:t>
      </w:r>
      <w:r>
        <w:rPr>
          <w:rFonts w:hint="eastAsia"/>
          <w:color w:val="auto"/>
        </w:rPr>
        <w:t>147408t/a</w:t>
      </w:r>
      <w:r>
        <w:rPr>
          <w:rFonts w:hint="eastAsia"/>
          <w:color w:val="auto"/>
        </w:rPr>
        <w:t>，折算成</w:t>
      </w:r>
      <w:r>
        <w:rPr>
          <w:color w:val="auto"/>
        </w:rPr>
        <w:t>标煤消耗约</w:t>
      </w:r>
      <w:r>
        <w:rPr>
          <w:color w:val="auto"/>
          <w:lang w:val="en-US"/>
        </w:rPr>
        <w:t>10.53</w:t>
      </w:r>
      <w:r>
        <w:rPr>
          <w:color w:val="auto"/>
        </w:rPr>
        <w:t>万吨</w:t>
      </w:r>
      <w:r>
        <w:rPr>
          <w:color w:val="auto"/>
          <w:lang w:val="en-US"/>
        </w:rPr>
        <w:t>，</w:t>
      </w:r>
      <w:r>
        <w:rPr>
          <w:color w:val="auto"/>
        </w:rPr>
        <w:t>燃煤排放因子取</w:t>
      </w:r>
      <w:r>
        <w:rPr>
          <w:color w:val="auto"/>
          <w:lang w:val="en-US"/>
        </w:rPr>
        <w:t>2.58tCO₂/</w:t>
      </w:r>
      <w:proofErr w:type="spellStart"/>
      <w:r>
        <w:rPr>
          <w:color w:val="auto"/>
          <w:lang w:val="en-US"/>
        </w:rPr>
        <w:t>tce</w:t>
      </w:r>
      <w:proofErr w:type="spellEnd"/>
      <w:r>
        <w:rPr>
          <w:color w:val="auto"/>
          <w:lang w:val="en-US"/>
        </w:rPr>
        <w:t>（</w:t>
      </w:r>
      <w:r>
        <w:rPr>
          <w:color w:val="auto"/>
        </w:rPr>
        <w:t>行业默认基准值</w:t>
      </w:r>
      <w:r>
        <w:rPr>
          <w:color w:val="auto"/>
          <w:lang w:val="en-US"/>
        </w:rPr>
        <w:t>），</w:t>
      </w:r>
      <w:r>
        <w:rPr>
          <w:color w:val="auto"/>
        </w:rPr>
        <w:t>计算公式</w:t>
      </w:r>
      <w:r>
        <w:rPr>
          <w:color w:val="auto"/>
          <w:lang w:val="en-US"/>
        </w:rPr>
        <w:t>：</w:t>
      </w:r>
      <w:proofErr w:type="spellStart"/>
      <w:r>
        <w:rPr>
          <w:color w:val="auto"/>
          <w:lang w:val="en-US"/>
        </w:rPr>
        <w:t>E</w:t>
      </w:r>
      <w:r>
        <w:rPr>
          <w:color w:val="auto"/>
          <w:vertAlign w:val="subscript"/>
          <w:lang w:val="en-US"/>
        </w:rPr>
        <w:t>f,bas</w:t>
      </w:r>
      <w:proofErr w:type="spellEnd"/>
      <w:r>
        <w:rPr>
          <w:color w:val="auto"/>
          <w:lang w:val="en-US"/>
        </w:rPr>
        <w:t>=</w:t>
      </w:r>
      <w:r>
        <w:rPr>
          <w:color w:val="auto"/>
        </w:rPr>
        <w:t>标煤消耗量</w:t>
      </w:r>
      <w:r>
        <w:rPr>
          <w:color w:val="auto"/>
          <w:lang w:val="en-US"/>
        </w:rPr>
        <w:t>×</w:t>
      </w:r>
      <w:r>
        <w:rPr>
          <w:color w:val="auto"/>
        </w:rPr>
        <w:t>排放因子</w:t>
      </w:r>
      <w:r>
        <w:rPr>
          <w:color w:val="auto"/>
          <w:lang w:val="en-US"/>
        </w:rPr>
        <w:t>，</w:t>
      </w:r>
      <w:r>
        <w:rPr>
          <w:color w:val="auto"/>
        </w:rPr>
        <w:t>测算得</w:t>
      </w:r>
      <w:r>
        <w:rPr>
          <w:color w:val="auto"/>
          <w:lang w:val="en-US"/>
        </w:rPr>
        <w:t>E</w:t>
      </w:r>
      <w:r>
        <w:rPr>
          <w:color w:val="auto"/>
          <w:vertAlign w:val="subscript"/>
          <w:lang w:val="en-US"/>
        </w:rPr>
        <w:t>f,bas</w:t>
      </w:r>
      <w:r>
        <w:rPr>
          <w:color w:val="auto"/>
          <w:lang w:val="en-US"/>
        </w:rPr>
        <w:t>≈105294×2.58=271658.5tCO₂e/a</w:t>
      </w:r>
      <w:r>
        <w:rPr>
          <w:color w:val="auto"/>
          <w:lang w:val="en-US"/>
        </w:rPr>
        <w:t>（</w:t>
      </w:r>
      <w:r>
        <w:rPr>
          <w:color w:val="auto"/>
          <w:lang w:val="en-US"/>
        </w:rPr>
        <w:t>27.17</w:t>
      </w:r>
      <w:r>
        <w:rPr>
          <w:color w:val="auto"/>
        </w:rPr>
        <w:t>万</w:t>
      </w:r>
      <w:proofErr w:type="spellStart"/>
      <w:r>
        <w:rPr>
          <w:color w:val="auto"/>
          <w:lang w:val="en-US"/>
        </w:rPr>
        <w:t>tCO₂e</w:t>
      </w:r>
      <w:proofErr w:type="spellEnd"/>
      <w:r>
        <w:rPr>
          <w:color w:val="auto"/>
          <w:lang w:val="en-US"/>
        </w:rPr>
        <w:t>/a</w:t>
      </w:r>
      <w:r>
        <w:rPr>
          <w:color w:val="auto"/>
          <w:lang w:val="en-US"/>
        </w:rPr>
        <w:t>）</w:t>
      </w:r>
      <w:r>
        <w:rPr>
          <w:color w:val="auto"/>
        </w:rPr>
        <w:t>。</w:t>
      </w:r>
    </w:p>
    <w:p w14:paraId="4FF547CF" w14:textId="77777777" w:rsidR="002E474C" w:rsidRDefault="00000000">
      <w:pPr>
        <w:pStyle w:val="A-z"/>
        <w:rPr>
          <w:color w:val="auto"/>
          <w:lang w:val="en-US"/>
        </w:rPr>
      </w:pPr>
      <w:r>
        <w:rPr>
          <w:color w:val="auto"/>
        </w:rPr>
        <w:t>碳酸盐分解排放</w:t>
      </w:r>
      <w:r>
        <w:rPr>
          <w:color w:val="auto"/>
          <w:lang w:val="en-US"/>
        </w:rPr>
        <w:t>（</w:t>
      </w:r>
      <w:proofErr w:type="spellStart"/>
      <w:r>
        <w:rPr>
          <w:color w:val="auto"/>
          <w:lang w:val="en-US"/>
        </w:rPr>
        <w:t>E</w:t>
      </w:r>
      <w:r>
        <w:rPr>
          <w:color w:val="auto"/>
          <w:vertAlign w:val="subscript"/>
          <w:lang w:val="en-US"/>
        </w:rPr>
        <w:t>d,base</w:t>
      </w:r>
      <w:proofErr w:type="spellEnd"/>
      <w:r>
        <w:rPr>
          <w:color w:val="auto"/>
          <w:lang w:val="en-US"/>
        </w:rPr>
        <w:t>）：</w:t>
      </w:r>
      <w:r>
        <w:rPr>
          <w:color w:val="auto"/>
        </w:rPr>
        <w:t>基于熟料产量及石灰石分解系数计算</w:t>
      </w:r>
      <w:r>
        <w:rPr>
          <w:color w:val="auto"/>
          <w:lang w:val="en-US"/>
        </w:rPr>
        <w:t>，</w:t>
      </w:r>
      <w:r>
        <w:rPr>
          <w:color w:val="auto"/>
        </w:rPr>
        <w:t>电石渣制水泥生产线石灰石替代比例约</w:t>
      </w:r>
      <w:r>
        <w:rPr>
          <w:color w:val="auto"/>
          <w:lang w:val="en-US"/>
        </w:rPr>
        <w:t>60%</w:t>
      </w:r>
      <w:r>
        <w:rPr>
          <w:color w:val="auto"/>
          <w:lang w:val="en-US"/>
        </w:rPr>
        <w:t>，</w:t>
      </w:r>
      <w:r>
        <w:rPr>
          <w:color w:val="auto"/>
        </w:rPr>
        <w:t>石灰石分解系数取</w:t>
      </w:r>
      <w:r>
        <w:rPr>
          <w:color w:val="auto"/>
          <w:lang w:val="en-US"/>
        </w:rPr>
        <w:t>0.55tCO₂/t</w:t>
      </w:r>
      <w:r>
        <w:rPr>
          <w:color w:val="auto"/>
        </w:rPr>
        <w:t>熟料</w:t>
      </w:r>
      <w:r>
        <w:rPr>
          <w:color w:val="auto"/>
          <w:lang w:val="en-US"/>
        </w:rPr>
        <w:t>（</w:t>
      </w:r>
      <w:r>
        <w:rPr>
          <w:color w:val="auto"/>
        </w:rPr>
        <w:t>行业标准值</w:t>
      </w:r>
      <w:r>
        <w:rPr>
          <w:color w:val="auto"/>
          <w:lang w:val="en-US"/>
        </w:rPr>
        <w:t>），</w:t>
      </w:r>
      <w:r>
        <w:rPr>
          <w:color w:val="auto"/>
        </w:rPr>
        <w:t>计算公式</w:t>
      </w:r>
      <w:r>
        <w:rPr>
          <w:color w:val="auto"/>
          <w:lang w:val="en-US"/>
        </w:rPr>
        <w:t>：</w:t>
      </w:r>
      <w:proofErr w:type="spellStart"/>
      <w:r>
        <w:rPr>
          <w:color w:val="auto"/>
          <w:lang w:val="en-US"/>
        </w:rPr>
        <w:t>E</w:t>
      </w:r>
      <w:r>
        <w:rPr>
          <w:color w:val="auto"/>
          <w:vertAlign w:val="subscript"/>
          <w:lang w:val="en-US"/>
        </w:rPr>
        <w:t>d,base</w:t>
      </w:r>
      <w:proofErr w:type="spellEnd"/>
      <w:r>
        <w:rPr>
          <w:color w:val="auto"/>
          <w:lang w:val="en-US"/>
        </w:rPr>
        <w:t>=</w:t>
      </w:r>
      <w:r>
        <w:rPr>
          <w:color w:val="auto"/>
        </w:rPr>
        <w:t>熟料产量</w:t>
      </w:r>
      <w:r>
        <w:rPr>
          <w:color w:val="auto"/>
          <w:lang w:val="en-US"/>
        </w:rPr>
        <w:t>×</w:t>
      </w:r>
      <w:r>
        <w:rPr>
          <w:color w:val="auto"/>
        </w:rPr>
        <w:t>分解系数</w:t>
      </w:r>
      <w:r>
        <w:rPr>
          <w:color w:val="auto"/>
          <w:lang w:val="en-US"/>
        </w:rPr>
        <w:t>×(1-</w:t>
      </w:r>
      <w:r>
        <w:rPr>
          <w:color w:val="auto"/>
        </w:rPr>
        <w:t>电石渣替代比例</w:t>
      </w:r>
      <w:r>
        <w:rPr>
          <w:color w:val="auto"/>
          <w:lang w:val="en-US"/>
        </w:rPr>
        <w:t>)</w:t>
      </w:r>
      <w:r>
        <w:rPr>
          <w:color w:val="auto"/>
          <w:lang w:val="en-US"/>
        </w:rPr>
        <w:t>，</w:t>
      </w:r>
      <w:r>
        <w:rPr>
          <w:color w:val="auto"/>
        </w:rPr>
        <w:t>测算得</w:t>
      </w:r>
      <w:r>
        <w:rPr>
          <w:color w:val="auto"/>
          <w:lang w:val="en-US"/>
        </w:rPr>
        <w:t>E</w:t>
      </w:r>
      <w:r>
        <w:rPr>
          <w:color w:val="auto"/>
          <w:vertAlign w:val="subscript"/>
          <w:lang w:val="en-US"/>
        </w:rPr>
        <w:t>d,base</w:t>
      </w:r>
      <w:r>
        <w:rPr>
          <w:color w:val="auto"/>
          <w:lang w:val="en-US"/>
        </w:rPr>
        <w:t>≈1500000×0.55×(1-0.6)=330000tCO₂e/a</w:t>
      </w:r>
      <w:r>
        <w:rPr>
          <w:color w:val="auto"/>
          <w:lang w:val="en-US"/>
        </w:rPr>
        <w:t>（</w:t>
      </w:r>
      <w:r>
        <w:rPr>
          <w:color w:val="auto"/>
          <w:lang w:val="en-US"/>
        </w:rPr>
        <w:t>33</w:t>
      </w:r>
      <w:r>
        <w:rPr>
          <w:color w:val="auto"/>
        </w:rPr>
        <w:t>万</w:t>
      </w:r>
      <w:proofErr w:type="spellStart"/>
      <w:r>
        <w:rPr>
          <w:color w:val="auto"/>
          <w:lang w:val="en-US"/>
        </w:rPr>
        <w:t>tCO₂e</w:t>
      </w:r>
      <w:proofErr w:type="spellEnd"/>
      <w:r>
        <w:rPr>
          <w:color w:val="auto"/>
          <w:lang w:val="en-US"/>
        </w:rPr>
        <w:t>/a</w:t>
      </w:r>
      <w:r>
        <w:rPr>
          <w:color w:val="auto"/>
          <w:lang w:val="en-US"/>
        </w:rPr>
        <w:t>）</w:t>
      </w:r>
      <w:r>
        <w:rPr>
          <w:color w:val="auto"/>
        </w:rPr>
        <w:t>。</w:t>
      </w:r>
    </w:p>
    <w:p w14:paraId="0FD0A5D8" w14:textId="77777777" w:rsidR="002E474C" w:rsidRDefault="00000000">
      <w:pPr>
        <w:pStyle w:val="A-z"/>
        <w:rPr>
          <w:color w:val="auto"/>
          <w:lang w:val="en-US"/>
        </w:rPr>
      </w:pPr>
      <w:r>
        <w:rPr>
          <w:color w:val="auto"/>
        </w:rPr>
        <w:t>外购电力间接排放</w:t>
      </w:r>
      <w:r>
        <w:rPr>
          <w:color w:val="auto"/>
          <w:lang w:val="en-US"/>
        </w:rPr>
        <w:t>（</w:t>
      </w:r>
      <w:proofErr w:type="spellStart"/>
      <w:r>
        <w:rPr>
          <w:color w:val="auto"/>
          <w:lang w:val="en-US"/>
        </w:rPr>
        <w:t>E</w:t>
      </w:r>
      <w:r>
        <w:rPr>
          <w:color w:val="auto"/>
          <w:vertAlign w:val="subscript"/>
          <w:lang w:val="en-US"/>
        </w:rPr>
        <w:t>e,base</w:t>
      </w:r>
      <w:proofErr w:type="spellEnd"/>
      <w:r>
        <w:rPr>
          <w:color w:val="auto"/>
          <w:lang w:val="en-US"/>
        </w:rPr>
        <w:t>）：</w:t>
      </w:r>
      <w:r>
        <w:rPr>
          <w:color w:val="auto"/>
        </w:rPr>
        <w:t>基于生产线年耗电量计算</w:t>
      </w:r>
      <w:r>
        <w:rPr>
          <w:color w:val="auto"/>
          <w:lang w:val="en-US"/>
        </w:rPr>
        <w:t>，</w:t>
      </w:r>
      <w:r>
        <w:rPr>
          <w:color w:val="auto"/>
        </w:rPr>
        <w:t>年耗电约</w:t>
      </w:r>
      <w:r>
        <w:rPr>
          <w:rFonts w:hint="eastAsia"/>
          <w:color w:val="auto"/>
          <w:lang w:val="en-US"/>
        </w:rPr>
        <w:t>176.4</w:t>
      </w:r>
      <w:r>
        <w:rPr>
          <w:rFonts w:hint="eastAsia"/>
          <w:color w:val="auto"/>
          <w:lang w:val="en-US"/>
        </w:rPr>
        <w:t>万</w:t>
      </w:r>
      <w:r>
        <w:rPr>
          <w:color w:val="auto"/>
          <w:lang w:val="en-US"/>
        </w:rPr>
        <w:t>kWh</w:t>
      </w:r>
      <w:r>
        <w:rPr>
          <w:color w:val="auto"/>
          <w:lang w:val="en-US"/>
        </w:rPr>
        <w:t>，</w:t>
      </w:r>
      <w:r>
        <w:rPr>
          <w:color w:val="auto"/>
        </w:rPr>
        <w:t>电网平均排放因子取</w:t>
      </w:r>
      <w:r>
        <w:rPr>
          <w:color w:val="auto"/>
          <w:lang w:val="en-US"/>
        </w:rPr>
        <w:t>0.58tCO₂/MWh</w:t>
      </w:r>
      <w:r>
        <w:rPr>
          <w:color w:val="auto"/>
          <w:lang w:val="en-US"/>
        </w:rPr>
        <w:t>（</w:t>
      </w:r>
      <w:r>
        <w:rPr>
          <w:color w:val="auto"/>
        </w:rPr>
        <w:t>区域最新电网排放因子</w:t>
      </w:r>
      <w:r>
        <w:rPr>
          <w:color w:val="auto"/>
          <w:lang w:val="en-US"/>
        </w:rPr>
        <w:t>），</w:t>
      </w:r>
      <w:r>
        <w:rPr>
          <w:color w:val="auto"/>
        </w:rPr>
        <w:t>计算公式</w:t>
      </w:r>
      <w:r>
        <w:rPr>
          <w:color w:val="auto"/>
          <w:lang w:val="en-US"/>
        </w:rPr>
        <w:t>：</w:t>
      </w:r>
      <w:proofErr w:type="spellStart"/>
      <w:r>
        <w:rPr>
          <w:color w:val="auto"/>
          <w:lang w:val="en-US"/>
        </w:rPr>
        <w:t>E</w:t>
      </w:r>
      <w:r>
        <w:rPr>
          <w:color w:val="auto"/>
          <w:vertAlign w:val="subscript"/>
          <w:lang w:val="en-US"/>
        </w:rPr>
        <w:t>e,base</w:t>
      </w:r>
      <w:proofErr w:type="spellEnd"/>
      <w:r>
        <w:rPr>
          <w:color w:val="auto"/>
          <w:lang w:val="en-US"/>
        </w:rPr>
        <w:t>=</w:t>
      </w:r>
      <w:r>
        <w:rPr>
          <w:color w:val="auto"/>
        </w:rPr>
        <w:t>年耗电量</w:t>
      </w:r>
      <w:r>
        <w:rPr>
          <w:color w:val="auto"/>
          <w:lang w:val="en-US"/>
        </w:rPr>
        <w:t>×</w:t>
      </w:r>
      <w:r>
        <w:rPr>
          <w:color w:val="auto"/>
        </w:rPr>
        <w:t>电网排放因子</w:t>
      </w:r>
      <w:r>
        <w:rPr>
          <w:color w:val="auto"/>
          <w:lang w:val="en-US"/>
        </w:rPr>
        <w:t>，</w:t>
      </w:r>
      <w:r>
        <w:rPr>
          <w:color w:val="auto"/>
        </w:rPr>
        <w:t>测算得</w:t>
      </w:r>
      <w:r>
        <w:rPr>
          <w:color w:val="auto"/>
          <w:lang w:val="en-US"/>
        </w:rPr>
        <w:t>E</w:t>
      </w:r>
      <w:r>
        <w:rPr>
          <w:color w:val="auto"/>
          <w:vertAlign w:val="subscript"/>
          <w:lang w:val="en-US"/>
        </w:rPr>
        <w:t>e,base</w:t>
      </w:r>
      <w:r>
        <w:rPr>
          <w:color w:val="auto"/>
          <w:lang w:val="en-US"/>
        </w:rPr>
        <w:t>≈1</w:t>
      </w:r>
      <w:r>
        <w:rPr>
          <w:rFonts w:hint="eastAsia"/>
          <w:color w:val="auto"/>
          <w:lang w:val="en-US"/>
        </w:rPr>
        <w:t>764</w:t>
      </w:r>
      <w:r>
        <w:rPr>
          <w:color w:val="auto"/>
          <w:lang w:val="en-US"/>
        </w:rPr>
        <w:t>×0.58=</w:t>
      </w:r>
      <w:r>
        <w:rPr>
          <w:rFonts w:hint="eastAsia"/>
          <w:color w:val="auto"/>
          <w:lang w:val="en-US"/>
        </w:rPr>
        <w:t>1023.12</w:t>
      </w:r>
      <w:r>
        <w:rPr>
          <w:color w:val="auto"/>
          <w:lang w:val="en-US"/>
        </w:rPr>
        <w:t>tCO₂e/a</w:t>
      </w:r>
      <w:r>
        <w:rPr>
          <w:color w:val="auto"/>
          <w:lang w:val="en-US"/>
        </w:rPr>
        <w:t>（</w:t>
      </w:r>
      <w:r>
        <w:rPr>
          <w:rFonts w:hint="eastAsia"/>
          <w:color w:val="auto"/>
          <w:lang w:val="en-US"/>
        </w:rPr>
        <w:t>0.10</w:t>
      </w:r>
      <w:r>
        <w:rPr>
          <w:color w:val="auto"/>
        </w:rPr>
        <w:t>万</w:t>
      </w:r>
      <w:proofErr w:type="spellStart"/>
      <w:r>
        <w:rPr>
          <w:color w:val="auto"/>
          <w:lang w:val="en-US"/>
        </w:rPr>
        <w:t>tCO₂e</w:t>
      </w:r>
      <w:proofErr w:type="spellEnd"/>
      <w:r>
        <w:rPr>
          <w:color w:val="auto"/>
          <w:lang w:val="en-US"/>
        </w:rPr>
        <w:t>/a</w:t>
      </w:r>
      <w:r>
        <w:rPr>
          <w:color w:val="auto"/>
          <w:lang w:val="en-US"/>
        </w:rPr>
        <w:t>）</w:t>
      </w:r>
      <w:r>
        <w:rPr>
          <w:color w:val="auto"/>
        </w:rPr>
        <w:t>。</w:t>
      </w:r>
    </w:p>
    <w:p w14:paraId="52771A8C" w14:textId="77777777" w:rsidR="002E474C" w:rsidRDefault="00000000">
      <w:pPr>
        <w:pStyle w:val="A-z"/>
        <w:rPr>
          <w:color w:val="auto"/>
          <w:lang w:val="en-US"/>
        </w:rPr>
      </w:pPr>
      <w:r>
        <w:rPr>
          <w:color w:val="auto"/>
        </w:rPr>
        <w:t>基准情景总排放量</w:t>
      </w:r>
      <w:r>
        <w:rPr>
          <w:color w:val="auto"/>
          <w:lang w:val="en-US"/>
        </w:rPr>
        <w:t>：</w:t>
      </w:r>
      <w:r>
        <w:rPr>
          <w:color w:val="auto"/>
          <w:lang w:val="en-US"/>
        </w:rPr>
        <w:t>BE=27.17+33+</w:t>
      </w:r>
      <w:r>
        <w:rPr>
          <w:rFonts w:hint="eastAsia"/>
          <w:color w:val="auto"/>
          <w:lang w:val="en-US"/>
        </w:rPr>
        <w:t>0.10</w:t>
      </w:r>
      <w:r>
        <w:rPr>
          <w:color w:val="auto"/>
          <w:lang w:val="en-US"/>
        </w:rPr>
        <w:t>=</w:t>
      </w:r>
      <w:r>
        <w:rPr>
          <w:rFonts w:hint="eastAsia"/>
          <w:color w:val="auto"/>
          <w:lang w:val="en-US"/>
        </w:rPr>
        <w:t>60.27</w:t>
      </w:r>
      <w:r>
        <w:rPr>
          <w:color w:val="auto"/>
        </w:rPr>
        <w:t>万</w:t>
      </w:r>
      <w:proofErr w:type="spellStart"/>
      <w:r>
        <w:rPr>
          <w:color w:val="auto"/>
          <w:lang w:val="en-US"/>
        </w:rPr>
        <w:t>tCO₂e</w:t>
      </w:r>
      <w:proofErr w:type="spellEnd"/>
      <w:r>
        <w:rPr>
          <w:color w:val="auto"/>
          <w:lang w:val="en-US"/>
        </w:rPr>
        <w:t>/a</w:t>
      </w:r>
      <w:r>
        <w:rPr>
          <w:color w:val="auto"/>
        </w:rPr>
        <w:t>。</w:t>
      </w:r>
    </w:p>
    <w:p w14:paraId="3E4246D9" w14:textId="77777777" w:rsidR="002E474C" w:rsidRDefault="00000000">
      <w:pPr>
        <w:pStyle w:val="A-z"/>
        <w:rPr>
          <w:color w:val="auto"/>
          <w:lang w:val="en-US"/>
        </w:rPr>
      </w:pPr>
      <w:r>
        <w:rPr>
          <w:color w:val="auto"/>
          <w:lang w:val="en-US"/>
        </w:rPr>
        <w:t>2</w:t>
      </w:r>
      <w:r>
        <w:rPr>
          <w:color w:val="auto"/>
          <w:lang w:val="en-US"/>
        </w:rPr>
        <w:t>）</w:t>
      </w:r>
      <w:r>
        <w:rPr>
          <w:color w:val="auto"/>
        </w:rPr>
        <w:t>项目情景排放量</w:t>
      </w:r>
      <w:r>
        <w:rPr>
          <w:color w:val="auto"/>
          <w:lang w:val="en-US"/>
        </w:rPr>
        <w:t>（</w:t>
      </w:r>
      <w:r>
        <w:rPr>
          <w:color w:val="auto"/>
          <w:lang w:val="en-US"/>
        </w:rPr>
        <w:t>PE</w:t>
      </w:r>
      <w:r>
        <w:rPr>
          <w:color w:val="auto"/>
          <w:lang w:val="en-US"/>
        </w:rPr>
        <w:t>）</w:t>
      </w:r>
      <w:r>
        <w:rPr>
          <w:color w:val="auto"/>
        </w:rPr>
        <w:t>计算</w:t>
      </w:r>
    </w:p>
    <w:p w14:paraId="0FA4D272" w14:textId="77777777" w:rsidR="002E474C" w:rsidRDefault="00000000">
      <w:pPr>
        <w:pStyle w:val="A-z"/>
        <w:rPr>
          <w:color w:val="auto"/>
        </w:rPr>
      </w:pPr>
      <w:r>
        <w:rPr>
          <w:color w:val="auto"/>
        </w:rPr>
        <w:t>项目情景排放量基于协同处置危废的替代燃料、替代原料比例进行调整，公式如下：</w:t>
      </w:r>
    </w:p>
    <w:p w14:paraId="412A0A33" w14:textId="77777777" w:rsidR="002E474C" w:rsidRDefault="00000000">
      <w:pPr>
        <w:pStyle w:val="A-z"/>
        <w:rPr>
          <w:color w:val="auto"/>
          <w:lang w:val="en-US"/>
        </w:rPr>
      </w:pPr>
      <w:r>
        <w:rPr>
          <w:color w:val="auto"/>
          <w:lang w:val="en-US"/>
        </w:rPr>
        <w:t>PE=</w:t>
      </w:r>
      <w:proofErr w:type="spellStart"/>
      <w:r>
        <w:rPr>
          <w:color w:val="auto"/>
          <w:lang w:val="en-US"/>
        </w:rPr>
        <w:t>E</w:t>
      </w:r>
      <w:r>
        <w:rPr>
          <w:color w:val="auto"/>
          <w:vertAlign w:val="subscript"/>
          <w:lang w:val="en-US"/>
        </w:rPr>
        <w:t>f,project</w:t>
      </w:r>
      <w:r>
        <w:rPr>
          <w:color w:val="auto"/>
          <w:lang w:val="en-US"/>
        </w:rPr>
        <w:t>+E</w:t>
      </w:r>
      <w:r>
        <w:rPr>
          <w:color w:val="auto"/>
          <w:vertAlign w:val="subscript"/>
          <w:lang w:val="en-US"/>
        </w:rPr>
        <w:t>d,project</w:t>
      </w:r>
      <w:r>
        <w:rPr>
          <w:color w:val="auto"/>
          <w:lang w:val="en-US"/>
        </w:rPr>
        <w:t>+E</w:t>
      </w:r>
      <w:r>
        <w:rPr>
          <w:color w:val="auto"/>
          <w:vertAlign w:val="subscript"/>
          <w:lang w:val="en-US"/>
        </w:rPr>
        <w:t>e,project</w:t>
      </w:r>
      <w:proofErr w:type="spellEnd"/>
    </w:p>
    <w:p w14:paraId="04D61581" w14:textId="77777777" w:rsidR="002E474C" w:rsidRDefault="00000000">
      <w:pPr>
        <w:pStyle w:val="A-z"/>
        <w:rPr>
          <w:color w:val="auto"/>
          <w:lang w:val="en-US"/>
        </w:rPr>
      </w:pPr>
      <w:r>
        <w:rPr>
          <w:color w:val="auto"/>
        </w:rPr>
        <w:t>各分项计算说明</w:t>
      </w:r>
      <w:r>
        <w:rPr>
          <w:color w:val="auto"/>
          <w:lang w:val="en-US"/>
        </w:rPr>
        <w:t>：</w:t>
      </w:r>
    </w:p>
    <w:p w14:paraId="2403BA93" w14:textId="77777777" w:rsidR="002E474C" w:rsidRDefault="00000000">
      <w:pPr>
        <w:pStyle w:val="A-z"/>
        <w:rPr>
          <w:color w:val="auto"/>
          <w:lang w:val="en-US"/>
        </w:rPr>
      </w:pPr>
      <w:r>
        <w:rPr>
          <w:color w:val="auto"/>
        </w:rPr>
        <w:t>燃料燃烧排放</w:t>
      </w:r>
      <w:r>
        <w:rPr>
          <w:color w:val="auto"/>
          <w:lang w:val="en-US"/>
        </w:rPr>
        <w:t>（</w:t>
      </w:r>
      <w:proofErr w:type="spellStart"/>
      <w:r>
        <w:rPr>
          <w:color w:val="auto"/>
          <w:lang w:val="en-US"/>
        </w:rPr>
        <w:t>E</w:t>
      </w:r>
      <w:r>
        <w:rPr>
          <w:color w:val="auto"/>
          <w:vertAlign w:val="subscript"/>
          <w:lang w:val="en-US"/>
        </w:rPr>
        <w:t>f,project</w:t>
      </w:r>
      <w:proofErr w:type="spellEnd"/>
      <w:r>
        <w:rPr>
          <w:color w:val="auto"/>
          <w:lang w:val="en-US"/>
        </w:rPr>
        <w:t>）：</w:t>
      </w:r>
      <w:r>
        <w:rPr>
          <w:color w:val="auto"/>
        </w:rPr>
        <w:t>因危废替代部分标煤</w:t>
      </w:r>
      <w:r>
        <w:rPr>
          <w:color w:val="auto"/>
          <w:lang w:val="en-US"/>
        </w:rPr>
        <w:t>，</w:t>
      </w:r>
      <w:r>
        <w:rPr>
          <w:color w:val="auto"/>
        </w:rPr>
        <w:t>根据危废热值测算</w:t>
      </w:r>
      <w:r>
        <w:rPr>
          <w:color w:val="auto"/>
          <w:lang w:val="en-US"/>
        </w:rPr>
        <w:t>，</w:t>
      </w:r>
      <w:r>
        <w:rPr>
          <w:color w:val="auto"/>
        </w:rPr>
        <w:t>项目年处置</w:t>
      </w:r>
      <w:r>
        <w:rPr>
          <w:color w:val="auto"/>
          <w:lang w:val="en-US"/>
        </w:rPr>
        <w:t>5</w:t>
      </w:r>
      <w:r>
        <w:rPr>
          <w:color w:val="auto"/>
        </w:rPr>
        <w:t>万</w:t>
      </w:r>
      <w:r>
        <w:rPr>
          <w:color w:val="auto"/>
          <w:lang w:val="en-US"/>
        </w:rPr>
        <w:t>t</w:t>
      </w:r>
      <w:r>
        <w:rPr>
          <w:color w:val="auto"/>
        </w:rPr>
        <w:t>危废</w:t>
      </w:r>
      <w:r>
        <w:rPr>
          <w:color w:val="auto"/>
          <w:lang w:val="en-US"/>
        </w:rPr>
        <w:t>（</w:t>
      </w:r>
      <w:r>
        <w:rPr>
          <w:color w:val="auto"/>
        </w:rPr>
        <w:t>平均热值</w:t>
      </w:r>
      <w:r>
        <w:rPr>
          <w:color w:val="auto"/>
          <w:lang w:val="en-US"/>
        </w:rPr>
        <w:t>12.5MJ/kg</w:t>
      </w:r>
      <w:r>
        <w:rPr>
          <w:color w:val="auto"/>
          <w:lang w:val="en-US"/>
        </w:rPr>
        <w:t>）</w:t>
      </w:r>
      <w:r>
        <w:rPr>
          <w:color w:val="auto"/>
        </w:rPr>
        <w:t>可替代标煤约</w:t>
      </w:r>
      <w:r>
        <w:rPr>
          <w:color w:val="auto"/>
          <w:lang w:val="en-US"/>
        </w:rPr>
        <w:t>3196t</w:t>
      </w:r>
      <w:r>
        <w:rPr>
          <w:color w:val="auto"/>
          <w:lang w:val="en-US"/>
        </w:rPr>
        <w:t>，</w:t>
      </w:r>
      <w:r>
        <w:rPr>
          <w:color w:val="auto"/>
        </w:rPr>
        <w:t>计算公式</w:t>
      </w:r>
      <w:r>
        <w:rPr>
          <w:color w:val="auto"/>
          <w:lang w:val="en-US"/>
        </w:rPr>
        <w:t>：</w:t>
      </w:r>
      <w:proofErr w:type="spellStart"/>
      <w:r>
        <w:rPr>
          <w:color w:val="auto"/>
          <w:lang w:val="en-US"/>
        </w:rPr>
        <w:t>E</w:t>
      </w:r>
      <w:r>
        <w:rPr>
          <w:color w:val="auto"/>
          <w:vertAlign w:val="subscript"/>
          <w:lang w:val="en-US"/>
        </w:rPr>
        <w:t>f,project</w:t>
      </w:r>
      <w:proofErr w:type="spellEnd"/>
      <w:r>
        <w:rPr>
          <w:color w:val="auto"/>
          <w:lang w:val="en-US"/>
        </w:rPr>
        <w:t>=</w:t>
      </w:r>
      <w:proofErr w:type="spellStart"/>
      <w:r>
        <w:rPr>
          <w:color w:val="auto"/>
          <w:lang w:val="en-US"/>
        </w:rPr>
        <w:t>E</w:t>
      </w:r>
      <w:r>
        <w:rPr>
          <w:color w:val="auto"/>
          <w:vertAlign w:val="subscript"/>
          <w:lang w:val="en-US"/>
        </w:rPr>
        <w:t>f,bas</w:t>
      </w:r>
      <w:proofErr w:type="spellEnd"/>
      <w:r>
        <w:rPr>
          <w:color w:val="auto"/>
          <w:lang w:val="en-US"/>
        </w:rPr>
        <w:t>-</w:t>
      </w:r>
      <w:r>
        <w:rPr>
          <w:color w:val="auto"/>
        </w:rPr>
        <w:t>替代标煤量</w:t>
      </w:r>
      <w:r>
        <w:rPr>
          <w:color w:val="auto"/>
          <w:lang w:val="en-US"/>
        </w:rPr>
        <w:t>×</w:t>
      </w:r>
      <w:r>
        <w:rPr>
          <w:color w:val="auto"/>
        </w:rPr>
        <w:t>排放因子</w:t>
      </w:r>
      <w:r>
        <w:rPr>
          <w:color w:val="auto"/>
          <w:lang w:val="en-US"/>
        </w:rPr>
        <w:t>，</w:t>
      </w:r>
      <w:r>
        <w:rPr>
          <w:color w:val="auto"/>
        </w:rPr>
        <w:t>测算得</w:t>
      </w:r>
      <w:r>
        <w:rPr>
          <w:color w:val="auto"/>
          <w:lang w:val="en-US"/>
        </w:rPr>
        <w:t>E</w:t>
      </w:r>
      <w:r>
        <w:rPr>
          <w:color w:val="auto"/>
          <w:vertAlign w:val="subscript"/>
          <w:lang w:val="en-US"/>
        </w:rPr>
        <w:t>f,project</w:t>
      </w:r>
      <w:r>
        <w:rPr>
          <w:color w:val="auto"/>
          <w:lang w:val="en-US"/>
        </w:rPr>
        <w:t>≈27.17-0.32×2.58≈26.34</w:t>
      </w:r>
      <w:r>
        <w:rPr>
          <w:color w:val="auto"/>
        </w:rPr>
        <w:t>万</w:t>
      </w:r>
      <w:proofErr w:type="spellStart"/>
      <w:r>
        <w:rPr>
          <w:color w:val="auto"/>
          <w:lang w:val="en-US"/>
        </w:rPr>
        <w:t>tCO₂e</w:t>
      </w:r>
      <w:proofErr w:type="spellEnd"/>
      <w:r>
        <w:rPr>
          <w:color w:val="auto"/>
          <w:lang w:val="en-US"/>
        </w:rPr>
        <w:t>/a</w:t>
      </w:r>
      <w:r>
        <w:rPr>
          <w:color w:val="auto"/>
        </w:rPr>
        <w:t>。</w:t>
      </w:r>
    </w:p>
    <w:p w14:paraId="3E196288" w14:textId="77777777" w:rsidR="002E474C" w:rsidRDefault="00000000">
      <w:pPr>
        <w:pStyle w:val="A-z"/>
        <w:rPr>
          <w:color w:val="auto"/>
          <w:lang w:val="en-US"/>
        </w:rPr>
      </w:pPr>
      <w:r>
        <w:rPr>
          <w:color w:val="auto"/>
        </w:rPr>
        <w:t>碳酸盐分解排放</w:t>
      </w:r>
      <w:r>
        <w:rPr>
          <w:color w:val="auto"/>
          <w:lang w:val="en-US"/>
        </w:rPr>
        <w:t>（</w:t>
      </w:r>
      <w:proofErr w:type="spellStart"/>
      <w:r>
        <w:rPr>
          <w:color w:val="auto"/>
          <w:lang w:val="en-US"/>
        </w:rPr>
        <w:t>E</w:t>
      </w:r>
      <w:r>
        <w:rPr>
          <w:color w:val="auto"/>
          <w:vertAlign w:val="subscript"/>
          <w:lang w:val="en-US"/>
        </w:rPr>
        <w:t>d,project</w:t>
      </w:r>
      <w:proofErr w:type="spellEnd"/>
      <w:r>
        <w:rPr>
          <w:color w:val="auto"/>
          <w:lang w:val="en-US"/>
        </w:rPr>
        <w:t>）：</w:t>
      </w:r>
      <w:r>
        <w:rPr>
          <w:color w:val="auto"/>
        </w:rPr>
        <w:t>因危废替代部分电石渣及石灰石</w:t>
      </w:r>
      <w:r>
        <w:rPr>
          <w:color w:val="auto"/>
          <w:lang w:val="en-US"/>
        </w:rPr>
        <w:t>，</w:t>
      </w:r>
      <w:r>
        <w:rPr>
          <w:color w:val="auto"/>
        </w:rPr>
        <w:t>项目替代原料占总钙质原料比例约</w:t>
      </w:r>
      <w:r>
        <w:rPr>
          <w:color w:val="auto"/>
          <w:lang w:val="en-US"/>
        </w:rPr>
        <w:t>8%</w:t>
      </w:r>
      <w:r>
        <w:rPr>
          <w:color w:val="auto"/>
          <w:lang w:val="en-US"/>
        </w:rPr>
        <w:t>，</w:t>
      </w:r>
      <w:r>
        <w:rPr>
          <w:color w:val="auto"/>
        </w:rPr>
        <w:t>进一步减少碳酸盐分解排放</w:t>
      </w:r>
      <w:r>
        <w:rPr>
          <w:color w:val="auto"/>
          <w:lang w:val="en-US"/>
        </w:rPr>
        <w:t>，</w:t>
      </w:r>
      <w:r>
        <w:rPr>
          <w:color w:val="auto"/>
        </w:rPr>
        <w:t>计算公式</w:t>
      </w:r>
      <w:r>
        <w:rPr>
          <w:color w:val="auto"/>
          <w:lang w:val="en-US"/>
        </w:rPr>
        <w:t>：</w:t>
      </w:r>
      <w:proofErr w:type="spellStart"/>
      <w:r>
        <w:rPr>
          <w:color w:val="auto"/>
          <w:lang w:val="en-US"/>
        </w:rPr>
        <w:lastRenderedPageBreak/>
        <w:t>E</w:t>
      </w:r>
      <w:r>
        <w:rPr>
          <w:color w:val="auto"/>
          <w:vertAlign w:val="subscript"/>
          <w:lang w:val="en-US"/>
        </w:rPr>
        <w:t>d,project</w:t>
      </w:r>
      <w:proofErr w:type="spellEnd"/>
      <w:r>
        <w:rPr>
          <w:color w:val="auto"/>
          <w:lang w:val="en-US"/>
        </w:rPr>
        <w:t>=</w:t>
      </w:r>
      <w:proofErr w:type="spellStart"/>
      <w:r>
        <w:rPr>
          <w:color w:val="auto"/>
          <w:lang w:val="en-US"/>
        </w:rPr>
        <w:t>E</w:t>
      </w:r>
      <w:r>
        <w:rPr>
          <w:color w:val="auto"/>
          <w:vertAlign w:val="subscript"/>
          <w:lang w:val="en-US"/>
        </w:rPr>
        <w:t>d,base</w:t>
      </w:r>
      <w:proofErr w:type="spellEnd"/>
      <w:r>
        <w:rPr>
          <w:color w:val="auto"/>
          <w:lang w:val="en-US"/>
        </w:rPr>
        <w:t>-</w:t>
      </w:r>
      <w:r>
        <w:rPr>
          <w:color w:val="auto"/>
        </w:rPr>
        <w:t>替代原料量</w:t>
      </w:r>
      <w:r>
        <w:rPr>
          <w:color w:val="auto"/>
          <w:lang w:val="en-US"/>
        </w:rPr>
        <w:t>×</w:t>
      </w:r>
      <w:r>
        <w:rPr>
          <w:color w:val="auto"/>
        </w:rPr>
        <w:t>分解系数</w:t>
      </w:r>
      <w:r>
        <w:rPr>
          <w:color w:val="auto"/>
          <w:lang w:val="en-US"/>
        </w:rPr>
        <w:t>，</w:t>
      </w:r>
      <w:r>
        <w:rPr>
          <w:color w:val="auto"/>
        </w:rPr>
        <w:t>经测算</w:t>
      </w:r>
      <w:r>
        <w:rPr>
          <w:color w:val="auto"/>
          <w:lang w:val="en-US"/>
        </w:rPr>
        <w:t>，</w:t>
      </w:r>
      <w:r>
        <w:rPr>
          <w:color w:val="auto"/>
        </w:rPr>
        <w:t>年替代钙质原料约</w:t>
      </w:r>
      <w:r>
        <w:rPr>
          <w:color w:val="auto"/>
          <w:lang w:val="en-US"/>
        </w:rPr>
        <w:t>3747</w:t>
      </w:r>
      <w:r>
        <w:rPr>
          <w:color w:val="auto"/>
        </w:rPr>
        <w:t>吨</w:t>
      </w:r>
      <w:r>
        <w:rPr>
          <w:color w:val="auto"/>
          <w:lang w:val="en-US"/>
        </w:rPr>
        <w:t>，</w:t>
      </w:r>
      <w:r>
        <w:rPr>
          <w:color w:val="auto"/>
        </w:rPr>
        <w:t>测算得</w:t>
      </w:r>
      <w:r>
        <w:rPr>
          <w:color w:val="auto"/>
          <w:lang w:val="en-US"/>
        </w:rPr>
        <w:t>E</w:t>
      </w:r>
      <w:r>
        <w:rPr>
          <w:color w:val="auto"/>
          <w:vertAlign w:val="subscript"/>
          <w:lang w:val="en-US"/>
        </w:rPr>
        <w:t>d,project</w:t>
      </w:r>
      <w:r>
        <w:rPr>
          <w:color w:val="auto"/>
          <w:lang w:val="en-US"/>
        </w:rPr>
        <w:t>≈33-3747×0.55÷10000≈32.79</w:t>
      </w:r>
      <w:r>
        <w:rPr>
          <w:color w:val="auto"/>
        </w:rPr>
        <w:t>万</w:t>
      </w:r>
      <w:proofErr w:type="spellStart"/>
      <w:r>
        <w:rPr>
          <w:color w:val="auto"/>
          <w:lang w:val="en-US"/>
        </w:rPr>
        <w:t>tCO₂e</w:t>
      </w:r>
      <w:proofErr w:type="spellEnd"/>
      <w:r>
        <w:rPr>
          <w:color w:val="auto"/>
          <w:lang w:val="en-US"/>
        </w:rPr>
        <w:t>/a</w:t>
      </w:r>
      <w:r>
        <w:rPr>
          <w:color w:val="auto"/>
        </w:rPr>
        <w:t>。</w:t>
      </w:r>
    </w:p>
    <w:p w14:paraId="6EE5E008" w14:textId="77777777" w:rsidR="002E474C" w:rsidRDefault="00000000">
      <w:pPr>
        <w:pStyle w:val="A-z"/>
        <w:rPr>
          <w:color w:val="auto"/>
          <w:lang w:val="en-US"/>
        </w:rPr>
      </w:pPr>
      <w:r>
        <w:rPr>
          <w:color w:val="auto"/>
        </w:rPr>
        <w:t>外购电力间接排放</w:t>
      </w:r>
      <w:r>
        <w:rPr>
          <w:color w:val="auto"/>
          <w:lang w:val="en-US"/>
        </w:rPr>
        <w:t>（</w:t>
      </w:r>
      <w:proofErr w:type="spellStart"/>
      <w:r>
        <w:rPr>
          <w:color w:val="auto"/>
          <w:lang w:val="en-US"/>
        </w:rPr>
        <w:t>E</w:t>
      </w:r>
      <w:r>
        <w:rPr>
          <w:color w:val="auto"/>
          <w:vertAlign w:val="subscript"/>
          <w:lang w:val="en-US"/>
        </w:rPr>
        <w:t>e,project</w:t>
      </w:r>
      <w:proofErr w:type="spellEnd"/>
      <w:r>
        <w:rPr>
          <w:color w:val="auto"/>
          <w:lang w:val="en-US"/>
        </w:rPr>
        <w:t>）：</w:t>
      </w:r>
      <w:r>
        <w:rPr>
          <w:color w:val="auto"/>
        </w:rPr>
        <w:t>项目协同处置危废新增耗电量与原有生产线耗电量相比无显著差异</w:t>
      </w:r>
      <w:r>
        <w:rPr>
          <w:color w:val="auto"/>
          <w:lang w:val="en-US"/>
        </w:rPr>
        <w:t>，</w:t>
      </w:r>
      <w:r>
        <w:rPr>
          <w:color w:val="auto"/>
        </w:rPr>
        <w:t>故</w:t>
      </w:r>
      <w:proofErr w:type="spellStart"/>
      <w:r>
        <w:rPr>
          <w:color w:val="auto"/>
          <w:lang w:val="en-US"/>
        </w:rPr>
        <w:t>E</w:t>
      </w:r>
      <w:r>
        <w:rPr>
          <w:color w:val="auto"/>
          <w:vertAlign w:val="subscript"/>
          <w:lang w:val="en-US"/>
        </w:rPr>
        <w:t>e,project</w:t>
      </w:r>
      <w:proofErr w:type="spellEnd"/>
      <w:r>
        <w:rPr>
          <w:color w:val="auto"/>
          <w:lang w:val="en-US"/>
        </w:rPr>
        <w:t>=E</w:t>
      </w:r>
      <w:r>
        <w:rPr>
          <w:color w:val="auto"/>
          <w:vertAlign w:val="subscript"/>
          <w:lang w:val="en-US"/>
        </w:rPr>
        <w:t>e,base</w:t>
      </w:r>
      <w:r>
        <w:rPr>
          <w:color w:val="auto"/>
          <w:lang w:val="en-US"/>
        </w:rPr>
        <w:t>≈6.96</w:t>
      </w:r>
      <w:r>
        <w:rPr>
          <w:color w:val="auto"/>
        </w:rPr>
        <w:t>万</w:t>
      </w:r>
      <w:proofErr w:type="spellStart"/>
      <w:r>
        <w:rPr>
          <w:color w:val="auto"/>
          <w:lang w:val="en-US"/>
        </w:rPr>
        <w:t>tCO₂e</w:t>
      </w:r>
      <w:proofErr w:type="spellEnd"/>
      <w:r>
        <w:rPr>
          <w:color w:val="auto"/>
          <w:lang w:val="en-US"/>
        </w:rPr>
        <w:t>/a</w:t>
      </w:r>
      <w:r>
        <w:rPr>
          <w:color w:val="auto"/>
        </w:rPr>
        <w:t>。</w:t>
      </w:r>
    </w:p>
    <w:p w14:paraId="03D090F1" w14:textId="77777777" w:rsidR="002E474C" w:rsidRDefault="00000000">
      <w:pPr>
        <w:pStyle w:val="A-z"/>
        <w:rPr>
          <w:color w:val="auto"/>
        </w:rPr>
      </w:pPr>
      <w:r>
        <w:rPr>
          <w:color w:val="auto"/>
        </w:rPr>
        <w:t>项目情景总排放量：</w:t>
      </w:r>
      <w:r>
        <w:rPr>
          <w:color w:val="auto"/>
        </w:rPr>
        <w:t>PE=26.34+32.79+6.96=66.09</w:t>
      </w:r>
      <w:r>
        <w:rPr>
          <w:color w:val="auto"/>
        </w:rPr>
        <w:t>万</w:t>
      </w:r>
      <w:r>
        <w:rPr>
          <w:color w:val="auto"/>
        </w:rPr>
        <w:t>t CO₂e/a</w:t>
      </w:r>
      <w:r>
        <w:rPr>
          <w:color w:val="auto"/>
        </w:rPr>
        <w:t>。</w:t>
      </w:r>
    </w:p>
    <w:p w14:paraId="73550EBE" w14:textId="77777777" w:rsidR="002E474C" w:rsidRDefault="00000000">
      <w:pPr>
        <w:pStyle w:val="A-z"/>
        <w:rPr>
          <w:color w:val="auto"/>
        </w:rPr>
      </w:pPr>
      <w:r>
        <w:rPr>
          <w:color w:val="auto"/>
        </w:rPr>
        <w:t>3</w:t>
      </w:r>
      <w:r>
        <w:rPr>
          <w:color w:val="auto"/>
        </w:rPr>
        <w:t>）碳减排量计算</w:t>
      </w:r>
    </w:p>
    <w:p w14:paraId="21237AC6" w14:textId="77777777" w:rsidR="002E474C" w:rsidRDefault="00000000">
      <w:pPr>
        <w:pStyle w:val="A-z"/>
        <w:rPr>
          <w:color w:val="auto"/>
        </w:rPr>
      </w:pPr>
      <w:r>
        <w:rPr>
          <w:color w:val="auto"/>
        </w:rPr>
        <w:t>直接碳减排量：</w:t>
      </w:r>
      <w:r>
        <w:rPr>
          <w:color w:val="auto"/>
        </w:rPr>
        <w:t>ER=BE-PE=</w:t>
      </w:r>
      <w:r>
        <w:rPr>
          <w:rFonts w:hint="eastAsia"/>
          <w:color w:val="auto"/>
        </w:rPr>
        <w:t>60.27</w:t>
      </w:r>
      <w:r>
        <w:rPr>
          <w:color w:val="auto"/>
        </w:rPr>
        <w:t>-66.09=</w:t>
      </w:r>
      <w:r>
        <w:rPr>
          <w:rFonts w:hint="eastAsia"/>
          <w:color w:val="auto"/>
        </w:rPr>
        <w:t>-5.82</w:t>
      </w:r>
      <w:r>
        <w:rPr>
          <w:color w:val="auto"/>
        </w:rPr>
        <w:t>万</w:t>
      </w:r>
      <w:r>
        <w:rPr>
          <w:color w:val="auto"/>
        </w:rPr>
        <w:t>tCO₂e/a</w:t>
      </w:r>
      <w:r>
        <w:rPr>
          <w:color w:val="auto"/>
        </w:rPr>
        <w:t>；</w:t>
      </w:r>
    </w:p>
    <w:p w14:paraId="6929B932" w14:textId="77777777" w:rsidR="002E474C" w:rsidRDefault="00000000">
      <w:pPr>
        <w:pStyle w:val="A-z"/>
        <w:rPr>
          <w:color w:val="auto"/>
        </w:rPr>
      </w:pPr>
      <w:r>
        <w:rPr>
          <w:color w:val="auto"/>
        </w:rPr>
        <w:t>间接碳减排量：结合危废传统处置方式的碳排放强度，测算得项目间接减排量约</w:t>
      </w:r>
      <w:r>
        <w:rPr>
          <w:color w:val="auto"/>
        </w:rPr>
        <w:t>0.55</w:t>
      </w:r>
      <w:r>
        <w:rPr>
          <w:rFonts w:ascii="宋体" w:eastAsia="宋体" w:hAnsi="宋体" w:hint="eastAsia"/>
          <w:color w:val="auto"/>
        </w:rPr>
        <w:t>～</w:t>
      </w:r>
      <w:r>
        <w:rPr>
          <w:color w:val="auto"/>
        </w:rPr>
        <w:t>0.88</w:t>
      </w:r>
      <w:r>
        <w:rPr>
          <w:color w:val="auto"/>
        </w:rPr>
        <w:t>万</w:t>
      </w:r>
      <w:r>
        <w:rPr>
          <w:color w:val="auto"/>
        </w:rPr>
        <w:t>tCO₂e/a</w:t>
      </w:r>
      <w:r>
        <w:rPr>
          <w:color w:val="auto"/>
        </w:rPr>
        <w:t>；</w:t>
      </w:r>
    </w:p>
    <w:p w14:paraId="00B2A702" w14:textId="77777777" w:rsidR="002E474C" w:rsidRDefault="00000000">
      <w:pPr>
        <w:pStyle w:val="A-z"/>
        <w:rPr>
          <w:color w:val="auto"/>
        </w:rPr>
      </w:pPr>
      <w:r>
        <w:rPr>
          <w:color w:val="auto"/>
        </w:rPr>
        <w:t>项目年总碳减排量：</w:t>
      </w:r>
      <w:r>
        <w:rPr>
          <w:color w:val="auto"/>
        </w:rPr>
        <w:t>ER</w:t>
      </w:r>
      <w:r>
        <w:rPr>
          <w:color w:val="auto"/>
          <w:vertAlign w:val="subscript"/>
        </w:rPr>
        <w:t>总</w:t>
      </w:r>
      <w:r>
        <w:rPr>
          <w:color w:val="auto"/>
        </w:rPr>
        <w:t>=</w:t>
      </w:r>
      <w:r>
        <w:rPr>
          <w:rFonts w:hint="eastAsia"/>
          <w:color w:val="auto"/>
        </w:rPr>
        <w:t>-5.82</w:t>
      </w:r>
      <w:r>
        <w:rPr>
          <w:color w:val="auto"/>
        </w:rPr>
        <w:t>+(0.55</w:t>
      </w:r>
      <w:r>
        <w:rPr>
          <w:color w:val="auto"/>
        </w:rPr>
        <w:t>～</w:t>
      </w:r>
      <w:r>
        <w:rPr>
          <w:color w:val="auto"/>
        </w:rPr>
        <w:t>0.88)=</w:t>
      </w:r>
      <w:r>
        <w:rPr>
          <w:rFonts w:hint="eastAsia"/>
          <w:color w:val="auto"/>
        </w:rPr>
        <w:t>-5.27</w:t>
      </w:r>
      <w:r>
        <w:rPr>
          <w:color w:val="auto"/>
        </w:rPr>
        <w:t>～</w:t>
      </w:r>
      <w:r>
        <w:rPr>
          <w:rFonts w:hint="eastAsia"/>
          <w:color w:val="auto"/>
        </w:rPr>
        <w:t>-4.94</w:t>
      </w:r>
      <w:r>
        <w:rPr>
          <w:color w:val="auto"/>
        </w:rPr>
        <w:t>万</w:t>
      </w:r>
      <w:r>
        <w:rPr>
          <w:color w:val="auto"/>
        </w:rPr>
        <w:t>tCO₂e/a</w:t>
      </w:r>
      <w:r>
        <w:rPr>
          <w:color w:val="auto"/>
        </w:rPr>
        <w:t>；</w:t>
      </w:r>
    </w:p>
    <w:p w14:paraId="60BDA428" w14:textId="77777777" w:rsidR="002E474C" w:rsidRDefault="00000000">
      <w:pPr>
        <w:pStyle w:val="A-z"/>
        <w:rPr>
          <w:color w:val="auto"/>
        </w:rPr>
      </w:pPr>
      <w:r>
        <w:rPr>
          <w:color w:val="auto"/>
        </w:rPr>
        <w:t>单位减排强度：每处置</w:t>
      </w:r>
      <w:r>
        <w:rPr>
          <w:color w:val="auto"/>
        </w:rPr>
        <w:t>1</w:t>
      </w:r>
      <w:r>
        <w:rPr>
          <w:rFonts w:hint="eastAsia"/>
          <w:color w:val="auto"/>
        </w:rPr>
        <w:t>t</w:t>
      </w:r>
      <w:r>
        <w:rPr>
          <w:color w:val="auto"/>
        </w:rPr>
        <w:t>危险废物，可实现碳减排约</w:t>
      </w:r>
      <w:r>
        <w:rPr>
          <w:rFonts w:hint="eastAsia"/>
          <w:color w:val="auto"/>
        </w:rPr>
        <w:t>1t</w:t>
      </w:r>
      <w:r>
        <w:rPr>
          <w:color w:val="auto"/>
        </w:rPr>
        <w:t>CO₂e</w:t>
      </w:r>
      <w:r>
        <w:rPr>
          <w:color w:val="auto"/>
        </w:rPr>
        <w:t>。</w:t>
      </w:r>
    </w:p>
    <w:p w14:paraId="664F87B8" w14:textId="77777777" w:rsidR="002E474C" w:rsidRDefault="00000000">
      <w:pPr>
        <w:pStyle w:val="31"/>
        <w:spacing w:before="156" w:after="156"/>
        <w:rPr>
          <w:color w:val="auto"/>
        </w:rPr>
      </w:pPr>
      <w:r>
        <w:rPr>
          <w:color w:val="auto"/>
        </w:rPr>
        <w:t>碳减排效果评估</w:t>
      </w:r>
    </w:p>
    <w:p w14:paraId="14168672" w14:textId="77777777" w:rsidR="002E474C" w:rsidRDefault="00000000">
      <w:pPr>
        <w:pStyle w:val="A-z"/>
        <w:rPr>
          <w:color w:val="auto"/>
        </w:rPr>
      </w:pPr>
      <w:r>
        <w:rPr>
          <w:color w:val="auto"/>
        </w:rPr>
        <w:t>（</w:t>
      </w:r>
      <w:r>
        <w:rPr>
          <w:color w:val="auto"/>
        </w:rPr>
        <w:t>1</w:t>
      </w:r>
      <w:r>
        <w:rPr>
          <w:color w:val="auto"/>
        </w:rPr>
        <w:t>）减排效果总体评价</w:t>
      </w:r>
    </w:p>
    <w:p w14:paraId="3F308CC5" w14:textId="77777777" w:rsidR="002E474C" w:rsidRDefault="00000000">
      <w:pPr>
        <w:pStyle w:val="A-z"/>
        <w:rPr>
          <w:color w:val="auto"/>
        </w:rPr>
      </w:pPr>
      <w:r>
        <w:rPr>
          <w:color w:val="auto"/>
        </w:rPr>
        <w:t>本项目</w:t>
      </w:r>
      <w:r>
        <w:rPr>
          <w:color w:val="auto"/>
        </w:rPr>
        <w:t>5</w:t>
      </w:r>
      <w:r>
        <w:rPr>
          <w:color w:val="auto"/>
        </w:rPr>
        <w:t>万</w:t>
      </w:r>
      <w:r>
        <w:rPr>
          <w:color w:val="auto"/>
        </w:rPr>
        <w:t>t/a</w:t>
      </w:r>
      <w:r>
        <w:rPr>
          <w:color w:val="auto"/>
        </w:rPr>
        <w:t>危险废物协同处置系统，依托圣雄水泥</w:t>
      </w:r>
      <w:r>
        <w:rPr>
          <w:color w:val="auto"/>
        </w:rPr>
        <w:t>5000t/d</w:t>
      </w:r>
      <w:r>
        <w:rPr>
          <w:color w:val="auto"/>
        </w:rPr>
        <w:t>电石渣干法水泥生产线，年总碳减排量达</w:t>
      </w:r>
      <w:r>
        <w:rPr>
          <w:color w:val="auto"/>
        </w:rPr>
        <w:t>2.34</w:t>
      </w:r>
      <w:r>
        <w:rPr>
          <w:color w:val="auto"/>
        </w:rPr>
        <w:t>～</w:t>
      </w:r>
      <w:r>
        <w:rPr>
          <w:color w:val="auto"/>
        </w:rPr>
        <w:t>2.67</w:t>
      </w:r>
      <w:r>
        <w:rPr>
          <w:color w:val="auto"/>
        </w:rPr>
        <w:t>万</w:t>
      </w:r>
      <w:r>
        <w:rPr>
          <w:color w:val="auto"/>
        </w:rPr>
        <w:t>tCO₂e</w:t>
      </w:r>
      <w:r>
        <w:rPr>
          <w:color w:val="auto"/>
        </w:rPr>
        <w:t>，减排效果显著，相当于每年减少约</w:t>
      </w:r>
      <w:r>
        <w:rPr>
          <w:color w:val="auto"/>
        </w:rPr>
        <w:t>0.97</w:t>
      </w:r>
      <w:r>
        <w:rPr>
          <w:color w:val="auto"/>
        </w:rPr>
        <w:t>万吨标煤燃烧产生的碳排放。</w:t>
      </w:r>
    </w:p>
    <w:p w14:paraId="449534BD" w14:textId="77777777" w:rsidR="002E474C" w:rsidRDefault="00000000">
      <w:pPr>
        <w:pStyle w:val="A-z"/>
        <w:rPr>
          <w:color w:val="auto"/>
        </w:rPr>
      </w:pPr>
      <w:r>
        <w:rPr>
          <w:color w:val="auto"/>
        </w:rPr>
        <w:t>依托电石渣制水泥生产线本身的低碳优势（电石渣替代石灰石）与危废协同处置形成双重减碳效应，充分发挥了水泥窑协同处置的减碳潜力。</w:t>
      </w:r>
    </w:p>
    <w:p w14:paraId="2B1501F7" w14:textId="77777777" w:rsidR="002E474C" w:rsidRDefault="00000000">
      <w:pPr>
        <w:pStyle w:val="A-z"/>
        <w:rPr>
          <w:color w:val="auto"/>
        </w:rPr>
      </w:pPr>
      <w:r>
        <w:rPr>
          <w:color w:val="auto"/>
        </w:rPr>
        <w:t>（</w:t>
      </w:r>
      <w:r>
        <w:rPr>
          <w:color w:val="auto"/>
        </w:rPr>
        <w:t>2</w:t>
      </w:r>
      <w:r>
        <w:rPr>
          <w:color w:val="auto"/>
        </w:rPr>
        <w:t>）减排稳定性评估</w:t>
      </w:r>
    </w:p>
    <w:p w14:paraId="5FF92942" w14:textId="77777777" w:rsidR="002E474C" w:rsidRDefault="00000000">
      <w:pPr>
        <w:pStyle w:val="A-z"/>
        <w:rPr>
          <w:color w:val="auto"/>
        </w:rPr>
      </w:pPr>
      <w:r>
        <w:rPr>
          <w:color w:val="auto"/>
        </w:rPr>
        <w:t>项目依托圣雄水泥公司成熟的</w:t>
      </w:r>
      <w:r>
        <w:rPr>
          <w:color w:val="auto"/>
        </w:rPr>
        <w:t>5000t/d</w:t>
      </w:r>
      <w:r>
        <w:rPr>
          <w:color w:val="auto"/>
        </w:rPr>
        <w:t>电石渣干法水泥生产线，协同处置工艺稳定，危废预处理、入窑焚烧等环节均有完善的监测系统，可确保替代燃料、替代原料的利用比例稳定；同时，电石渣制水泥生产线本身工艺成熟、热工制度稳定，可适配危废协同处置带来的物料组分微小波动。此外，项目处置的</w:t>
      </w:r>
      <w:r>
        <w:rPr>
          <w:color w:val="auto"/>
        </w:rPr>
        <w:t>36</w:t>
      </w:r>
      <w:r>
        <w:rPr>
          <w:color w:val="auto"/>
        </w:rPr>
        <w:t>类危废来源稳定、组分可控，可保障危废热值及无机成分的稳定性，进而确保碳减排效果的长期稳定，与电石渣制水泥生产线的长期稳定运行相匹配。</w:t>
      </w:r>
    </w:p>
    <w:p w14:paraId="74B0C295" w14:textId="77777777" w:rsidR="002E474C" w:rsidRDefault="00000000">
      <w:pPr>
        <w:pStyle w:val="31"/>
        <w:spacing w:before="156" w:after="156"/>
        <w:rPr>
          <w:color w:val="auto"/>
        </w:rPr>
      </w:pPr>
      <w:r>
        <w:rPr>
          <w:color w:val="auto"/>
        </w:rPr>
        <w:t>碳减排效益分析</w:t>
      </w:r>
    </w:p>
    <w:p w14:paraId="3C25C6C4" w14:textId="77777777" w:rsidR="002E474C" w:rsidRDefault="00000000">
      <w:pPr>
        <w:pStyle w:val="A-z"/>
        <w:rPr>
          <w:color w:val="auto"/>
        </w:rPr>
      </w:pPr>
      <w:r>
        <w:rPr>
          <w:color w:val="auto"/>
        </w:rPr>
        <w:t>本项目协同处置危险废物，依托电石渣制水泥生产线的低碳优势，实现了</w:t>
      </w:r>
      <w:r>
        <w:rPr>
          <w:color w:val="auto"/>
        </w:rPr>
        <w:t>“</w:t>
      </w:r>
      <w:r>
        <w:rPr>
          <w:color w:val="auto"/>
        </w:rPr>
        <w:t>减污</w:t>
      </w:r>
      <w:r>
        <w:rPr>
          <w:color w:val="auto"/>
        </w:rPr>
        <w:t>+</w:t>
      </w:r>
      <w:r>
        <w:rPr>
          <w:color w:val="auto"/>
        </w:rPr>
        <w:t>降碳</w:t>
      </w:r>
      <w:r>
        <w:rPr>
          <w:color w:val="auto"/>
        </w:rPr>
        <w:t>+</w:t>
      </w:r>
      <w:r>
        <w:rPr>
          <w:color w:val="auto"/>
        </w:rPr>
        <w:t>资源循环</w:t>
      </w:r>
      <w:r>
        <w:rPr>
          <w:color w:val="auto"/>
        </w:rPr>
        <w:t>”</w:t>
      </w:r>
      <w:r>
        <w:rPr>
          <w:color w:val="auto"/>
        </w:rPr>
        <w:t>三重协同增效，不仅具有显著的碳减排效益，还具备良好的</w:t>
      </w:r>
      <w:r>
        <w:rPr>
          <w:color w:val="auto"/>
        </w:rPr>
        <w:lastRenderedPageBreak/>
        <w:t>生态环境效益，具体如下：</w:t>
      </w:r>
    </w:p>
    <w:p w14:paraId="104711C4" w14:textId="77777777" w:rsidR="002E474C" w:rsidRDefault="00000000">
      <w:pPr>
        <w:pStyle w:val="A-z"/>
        <w:rPr>
          <w:color w:val="auto"/>
        </w:rPr>
      </w:pPr>
      <w:r>
        <w:rPr>
          <w:color w:val="auto"/>
        </w:rPr>
        <w:t>（</w:t>
      </w:r>
      <w:r>
        <w:rPr>
          <w:color w:val="auto"/>
        </w:rPr>
        <w:t>1</w:t>
      </w:r>
      <w:r>
        <w:rPr>
          <w:color w:val="auto"/>
        </w:rPr>
        <w:t>）危险废物无害化处置效益</w:t>
      </w:r>
    </w:p>
    <w:p w14:paraId="11814766" w14:textId="77777777" w:rsidR="002E474C" w:rsidRDefault="00000000">
      <w:pPr>
        <w:pStyle w:val="A-z"/>
        <w:rPr>
          <w:color w:val="auto"/>
        </w:rPr>
      </w:pPr>
      <w:r>
        <w:rPr>
          <w:color w:val="auto"/>
        </w:rPr>
        <w:t>项目通过水泥窑</w:t>
      </w:r>
      <w:r>
        <w:rPr>
          <w:color w:val="auto"/>
        </w:rPr>
        <w:t>1450℃</w:t>
      </w:r>
      <w:r>
        <w:rPr>
          <w:color w:val="auto"/>
        </w:rPr>
        <w:t>高温焚烧，可彻底降解危废中有机污染物（如二噁英类、苯系物等），降解率达</w:t>
      </w:r>
      <w:r>
        <w:rPr>
          <w:color w:val="auto"/>
        </w:rPr>
        <w:t>99.99%</w:t>
      </w:r>
      <w:r>
        <w:rPr>
          <w:color w:val="auto"/>
        </w:rPr>
        <w:t>以上；危废中的重金属（铬、铜、锌、铅等）在高温烧结过程中，被固化于水泥熟料矿物晶格中，固化率达</w:t>
      </w:r>
      <w:r>
        <w:rPr>
          <w:color w:val="auto"/>
        </w:rPr>
        <w:t>99%</w:t>
      </w:r>
      <w:r>
        <w:rPr>
          <w:color w:val="auto"/>
        </w:rPr>
        <w:t>以上，避免了危险废物随意堆存、填埋或单独焚烧可能造成的土壤污染、地下水污染、大气污染，有效降低了区域环境风险，保护了生态环境。</w:t>
      </w:r>
    </w:p>
    <w:p w14:paraId="279CDA90" w14:textId="77777777" w:rsidR="002E474C" w:rsidRDefault="00000000">
      <w:pPr>
        <w:pStyle w:val="A-z"/>
        <w:rPr>
          <w:color w:val="auto"/>
        </w:rPr>
      </w:pPr>
      <w:r>
        <w:rPr>
          <w:color w:val="auto"/>
        </w:rPr>
        <w:t>（</w:t>
      </w:r>
      <w:r>
        <w:rPr>
          <w:color w:val="auto"/>
        </w:rPr>
        <w:t>2</w:t>
      </w:r>
      <w:r>
        <w:rPr>
          <w:color w:val="auto"/>
        </w:rPr>
        <w:t>）污染物协同减排效益</w:t>
      </w:r>
    </w:p>
    <w:p w14:paraId="47799D3B" w14:textId="77777777" w:rsidR="002E474C" w:rsidRDefault="00000000">
      <w:pPr>
        <w:pStyle w:val="A-z"/>
        <w:rPr>
          <w:color w:val="auto"/>
        </w:rPr>
      </w:pPr>
      <w:r>
        <w:rPr>
          <w:color w:val="auto"/>
        </w:rPr>
        <w:t>相较于专用危废焚烧厂，电石渣制水泥生产线协同处置危废可实现污染物协同减排：一是水泥窑高温、高氧、长停留时间的特性，可减少</w:t>
      </w:r>
      <w:r>
        <w:rPr>
          <w:color w:val="auto"/>
        </w:rPr>
        <w:t>SO₂</w:t>
      </w:r>
      <w:r>
        <w:rPr>
          <w:color w:val="auto"/>
        </w:rPr>
        <w:t>、</w:t>
      </w:r>
      <w:r>
        <w:rPr>
          <w:color w:val="auto"/>
        </w:rPr>
        <w:t>NOₓ</w:t>
      </w:r>
      <w:r>
        <w:rPr>
          <w:color w:val="auto"/>
        </w:rPr>
        <w:t>、颗粒物等大气污染物的产生量；二是危废中的硫、氯等有害组分可被水泥熟料及电石渣吸收，避免二次污染；三是项目无危废焚烧飞灰、底渣产生（全部融入水泥熟料），无需额外处置，进一步降低了环境压力；四是替代燃料后，燃煤消耗减少，同步减少了燃煤燃烧产生的大气污染物排放。</w:t>
      </w:r>
    </w:p>
    <w:p w14:paraId="1F91AEE3" w14:textId="77777777" w:rsidR="002E474C" w:rsidRDefault="00000000">
      <w:pPr>
        <w:pStyle w:val="A-z"/>
        <w:rPr>
          <w:color w:val="auto"/>
        </w:rPr>
      </w:pPr>
      <w:r>
        <w:rPr>
          <w:color w:val="auto"/>
        </w:rPr>
        <w:t>（</w:t>
      </w:r>
      <w:r>
        <w:rPr>
          <w:color w:val="auto"/>
        </w:rPr>
        <w:t>3</w:t>
      </w:r>
      <w:r>
        <w:rPr>
          <w:color w:val="auto"/>
        </w:rPr>
        <w:t>）资源循环利用与生态保护效益</w:t>
      </w:r>
    </w:p>
    <w:p w14:paraId="32EEF4C3" w14:textId="77777777" w:rsidR="002E474C" w:rsidRDefault="00000000">
      <w:pPr>
        <w:pStyle w:val="A-z"/>
        <w:rPr>
          <w:color w:val="auto"/>
        </w:rPr>
      </w:pPr>
      <w:r>
        <w:rPr>
          <w:color w:val="auto"/>
        </w:rPr>
        <w:t>项目将危险废物转化为电石渣制水泥生产线的燃料和原料，实现了</w:t>
      </w:r>
      <w:r>
        <w:rPr>
          <w:color w:val="auto"/>
        </w:rPr>
        <w:t>“</w:t>
      </w:r>
      <w:r>
        <w:rPr>
          <w:color w:val="auto"/>
        </w:rPr>
        <w:t>变废为宝</w:t>
      </w:r>
      <w:r>
        <w:rPr>
          <w:color w:val="auto"/>
        </w:rPr>
        <w:t>”</w:t>
      </w:r>
      <w:r>
        <w:rPr>
          <w:color w:val="auto"/>
        </w:rPr>
        <w:t>，替代标煤</w:t>
      </w:r>
      <w:r>
        <w:rPr>
          <w:rFonts w:hint="eastAsia"/>
          <w:color w:val="auto"/>
        </w:rPr>
        <w:t>3196</w:t>
      </w:r>
      <w:r>
        <w:rPr>
          <w:color w:val="auto"/>
        </w:rPr>
        <w:t>t/a</w:t>
      </w:r>
      <w:r>
        <w:rPr>
          <w:color w:val="auto"/>
        </w:rPr>
        <w:t>、替代钙质原料</w:t>
      </w:r>
      <w:r>
        <w:rPr>
          <w:color w:val="auto"/>
        </w:rPr>
        <w:t>6000t/a</w:t>
      </w:r>
      <w:r>
        <w:rPr>
          <w:color w:val="auto"/>
        </w:rPr>
        <w:t>，有效节约了煤炭、石灰石等原生矿产资源，减少了矿产资源开采带来的生态破坏；同时，依托电石渣制水泥工艺，进一步推动工业废渣（电石渣、危废）的资源化利用，形成</w:t>
      </w:r>
      <w:r>
        <w:rPr>
          <w:color w:val="auto"/>
        </w:rPr>
        <w:t>“</w:t>
      </w:r>
      <w:r>
        <w:rPr>
          <w:color w:val="auto"/>
        </w:rPr>
        <w:t>工业废渣</w:t>
      </w:r>
      <w:r>
        <w:rPr>
          <w:color w:val="auto"/>
        </w:rPr>
        <w:t>→</w:t>
      </w:r>
      <w:r>
        <w:rPr>
          <w:color w:val="auto"/>
        </w:rPr>
        <w:t>水泥原料</w:t>
      </w:r>
      <w:r>
        <w:rPr>
          <w:color w:val="auto"/>
        </w:rPr>
        <w:t>/</w:t>
      </w:r>
      <w:r>
        <w:rPr>
          <w:color w:val="auto"/>
        </w:rPr>
        <w:t>燃料</w:t>
      </w:r>
      <w:r>
        <w:rPr>
          <w:color w:val="auto"/>
        </w:rPr>
        <w:t>→</w:t>
      </w:r>
      <w:r>
        <w:rPr>
          <w:color w:val="auto"/>
        </w:rPr>
        <w:t>水泥熟料</w:t>
      </w:r>
      <w:r>
        <w:rPr>
          <w:color w:val="auto"/>
        </w:rPr>
        <w:t>”</w:t>
      </w:r>
      <w:r>
        <w:rPr>
          <w:color w:val="auto"/>
        </w:rPr>
        <w:t>的循环利用链条。此外，避免了危废填埋占用土地资源，减少了填埋场甲烷排放对大气环境的影响，助力区域生态环境质量提升。</w:t>
      </w:r>
    </w:p>
    <w:p w14:paraId="14309C75" w14:textId="77777777" w:rsidR="002E474C" w:rsidRDefault="00000000">
      <w:pPr>
        <w:pStyle w:val="A-z"/>
        <w:rPr>
          <w:color w:val="auto"/>
        </w:rPr>
      </w:pPr>
      <w:r>
        <w:rPr>
          <w:color w:val="auto"/>
        </w:rPr>
        <w:t>（</w:t>
      </w:r>
      <w:r>
        <w:rPr>
          <w:color w:val="auto"/>
        </w:rPr>
        <w:t>4</w:t>
      </w:r>
      <w:r>
        <w:rPr>
          <w:color w:val="auto"/>
        </w:rPr>
        <w:t>）政策符合性与行业示范效益</w:t>
      </w:r>
    </w:p>
    <w:p w14:paraId="27EEF026" w14:textId="77777777" w:rsidR="002E474C" w:rsidRDefault="00000000">
      <w:pPr>
        <w:pStyle w:val="A-z"/>
        <w:rPr>
          <w:color w:val="auto"/>
        </w:rPr>
      </w:pPr>
      <w:r>
        <w:rPr>
          <w:color w:val="auto"/>
        </w:rPr>
        <w:t>项目践行</w:t>
      </w:r>
      <w:r>
        <w:rPr>
          <w:color w:val="auto"/>
        </w:rPr>
        <w:t>“</w:t>
      </w:r>
      <w:r>
        <w:rPr>
          <w:color w:val="auto"/>
        </w:rPr>
        <w:t>双碳</w:t>
      </w:r>
      <w:r>
        <w:rPr>
          <w:color w:val="auto"/>
        </w:rPr>
        <w:t>”</w:t>
      </w:r>
      <w:r>
        <w:rPr>
          <w:color w:val="auto"/>
        </w:rPr>
        <w:t>目标及</w:t>
      </w:r>
      <w:r>
        <w:rPr>
          <w:color w:val="auto"/>
        </w:rPr>
        <w:t>“</w:t>
      </w:r>
      <w:r>
        <w:rPr>
          <w:color w:val="auto"/>
        </w:rPr>
        <w:t>减污降碳、协同增效</w:t>
      </w:r>
      <w:r>
        <w:rPr>
          <w:color w:val="auto"/>
        </w:rPr>
        <w:t>”</w:t>
      </w:r>
      <w:r>
        <w:rPr>
          <w:color w:val="auto"/>
        </w:rPr>
        <w:t>的生态环境保护政策，结合电石渣制水泥的低碳优势，为水泥行业（电石渣制水泥生产线）协同处置危险废物提供了技术范本，推动区域工业危险废物资源化、减量化、无害化处置水平提升，带动周边企业绿色转型；同时，进一步拓展了电石渣制水泥生产线的资源循环利用路径，为行业低碳发展提供了可借鉴的模式，具有良好的行业示范效应和环境社会效益。</w:t>
      </w:r>
    </w:p>
    <w:p w14:paraId="147FABC3" w14:textId="77777777" w:rsidR="002E474C" w:rsidRDefault="002E474C">
      <w:pPr>
        <w:pStyle w:val="A-z"/>
        <w:rPr>
          <w:color w:val="auto"/>
        </w:rPr>
      </w:pPr>
    </w:p>
    <w:p w14:paraId="00ED1609" w14:textId="77777777" w:rsidR="002E474C" w:rsidRDefault="002E474C">
      <w:pPr>
        <w:pStyle w:val="A-z"/>
        <w:rPr>
          <w:color w:val="auto"/>
        </w:rPr>
        <w:sectPr w:rsidR="002E474C">
          <w:headerReference w:type="default" r:id="rId24"/>
          <w:type w:val="continuous"/>
          <w:pgSz w:w="11906" w:h="16838"/>
          <w:pgMar w:top="1440" w:right="1800" w:bottom="1440" w:left="1800" w:header="851" w:footer="992" w:gutter="0"/>
          <w:cols w:space="425"/>
          <w:docGrid w:type="lines" w:linePitch="312"/>
        </w:sectPr>
      </w:pPr>
    </w:p>
    <w:p w14:paraId="2273019B" w14:textId="77777777" w:rsidR="002E474C" w:rsidRDefault="00000000">
      <w:pPr>
        <w:pStyle w:val="1"/>
        <w:spacing w:before="120" w:after="120"/>
      </w:pPr>
      <w:bookmarkStart w:id="224" w:name="_Toc9083"/>
      <w:bookmarkStart w:id="225" w:name="_Toc225848858"/>
      <w:r>
        <w:lastRenderedPageBreak/>
        <w:t>环境现状调查与评价</w:t>
      </w:r>
      <w:bookmarkEnd w:id="224"/>
      <w:bookmarkEnd w:id="225"/>
    </w:p>
    <w:p w14:paraId="311162D7" w14:textId="77777777" w:rsidR="002E474C" w:rsidRDefault="00000000">
      <w:pPr>
        <w:pStyle w:val="21"/>
        <w:spacing w:before="240" w:after="240"/>
        <w:rPr>
          <w:color w:val="auto"/>
        </w:rPr>
      </w:pPr>
      <w:bookmarkStart w:id="226" w:name="_Toc225848859"/>
      <w:bookmarkStart w:id="227" w:name="_Toc27406"/>
      <w:r>
        <w:rPr>
          <w:color w:val="auto"/>
        </w:rPr>
        <w:t>自然环境现状调查</w:t>
      </w:r>
      <w:bookmarkEnd w:id="226"/>
      <w:bookmarkEnd w:id="227"/>
    </w:p>
    <w:p w14:paraId="030994AF" w14:textId="77777777" w:rsidR="002E474C" w:rsidRDefault="00000000">
      <w:pPr>
        <w:pStyle w:val="31"/>
        <w:spacing w:before="120" w:after="120"/>
        <w:rPr>
          <w:color w:val="auto"/>
        </w:rPr>
      </w:pPr>
      <w:r>
        <w:rPr>
          <w:color w:val="auto"/>
        </w:rPr>
        <w:t>地理位置</w:t>
      </w:r>
    </w:p>
    <w:p w14:paraId="2199ACBE" w14:textId="77777777" w:rsidR="002E474C" w:rsidRDefault="00000000">
      <w:pPr>
        <w:pStyle w:val="A-z"/>
        <w:rPr>
          <w:color w:val="auto"/>
        </w:rPr>
      </w:pPr>
      <w:r>
        <w:rPr>
          <w:color w:val="auto"/>
        </w:rPr>
        <w:t>托克逊县位于天山南麓、吐鲁番盆地西端。东与吐鲁番市为邻，南与巴州尉犁县相接，西与巴州的和硕县、和静县相连，西北部与乌鲁木齐市接壤。东距吐鲁番市</w:t>
      </w:r>
      <w:r>
        <w:rPr>
          <w:color w:val="auto"/>
        </w:rPr>
        <w:t>60km</w:t>
      </w:r>
      <w:r>
        <w:rPr>
          <w:color w:val="auto"/>
        </w:rPr>
        <w:t>，北离吐鲁番火车站</w:t>
      </w:r>
      <w:r>
        <w:rPr>
          <w:color w:val="auto"/>
        </w:rPr>
        <w:t>40km</w:t>
      </w:r>
      <w:r>
        <w:rPr>
          <w:color w:val="auto"/>
        </w:rPr>
        <w:t>、西至乌鲁木齐市</w:t>
      </w:r>
      <w:r>
        <w:rPr>
          <w:color w:val="auto"/>
        </w:rPr>
        <w:t>165km</w:t>
      </w:r>
      <w:r>
        <w:rPr>
          <w:color w:val="auto"/>
        </w:rPr>
        <w:t>，西南距离库尔勒</w:t>
      </w:r>
      <w:r>
        <w:rPr>
          <w:color w:val="auto"/>
        </w:rPr>
        <w:t>300km</w:t>
      </w:r>
      <w:r>
        <w:rPr>
          <w:color w:val="auto"/>
        </w:rPr>
        <w:t>。连接内地的</w:t>
      </w:r>
      <w:r>
        <w:rPr>
          <w:color w:val="auto"/>
        </w:rPr>
        <w:t>312</w:t>
      </w:r>
      <w:r>
        <w:rPr>
          <w:color w:val="auto"/>
        </w:rPr>
        <w:t>国道与贯通南疆的</w:t>
      </w:r>
      <w:r>
        <w:rPr>
          <w:color w:val="auto"/>
        </w:rPr>
        <w:t>314</w:t>
      </w:r>
      <w:r>
        <w:rPr>
          <w:color w:val="auto"/>
        </w:rPr>
        <w:t>国道在境内交汇，连霍高速公路、吐乌大高等级公路、小草湖至库尔勒高速公路、兰新铁路、南疆铁路及复线纵横贯穿县境，地缘交通优势十分明显，是出入南北疆和东疆的咽喉要道，具有非常重要的战略地位。县城托克逊镇中心大十字海拔</w:t>
      </w:r>
      <w:r>
        <w:rPr>
          <w:color w:val="auto"/>
        </w:rPr>
        <w:t>“0”</w:t>
      </w:r>
      <w:r>
        <w:rPr>
          <w:color w:val="auto"/>
        </w:rPr>
        <w:t>米，是全国唯一的陆地海拔</w:t>
      </w:r>
      <w:r>
        <w:rPr>
          <w:color w:val="auto"/>
        </w:rPr>
        <w:t>“</w:t>
      </w:r>
      <w:r>
        <w:rPr>
          <w:color w:val="auto"/>
        </w:rPr>
        <w:t>零点城</w:t>
      </w:r>
      <w:r>
        <w:rPr>
          <w:color w:val="auto"/>
        </w:rPr>
        <w:t>”</w:t>
      </w:r>
      <w:r>
        <w:rPr>
          <w:color w:val="auto"/>
        </w:rPr>
        <w:t>。</w:t>
      </w:r>
    </w:p>
    <w:p w14:paraId="1F84C8D6" w14:textId="77777777" w:rsidR="002E474C" w:rsidRDefault="00000000">
      <w:pPr>
        <w:pStyle w:val="A-z"/>
        <w:rPr>
          <w:color w:val="auto"/>
        </w:rPr>
      </w:pPr>
      <w:r>
        <w:rPr>
          <w:color w:val="auto"/>
        </w:rPr>
        <w:t>圣雄同心工业园位于托克逊县阿乐惠镇东约</w:t>
      </w:r>
      <w:r>
        <w:rPr>
          <w:color w:val="auto"/>
        </w:rPr>
        <w:t>2km</w:t>
      </w:r>
      <w:r>
        <w:rPr>
          <w:color w:val="auto"/>
        </w:rPr>
        <w:t>处，位于</w:t>
      </w:r>
      <w:r>
        <w:rPr>
          <w:color w:val="auto"/>
        </w:rPr>
        <w:t>103</w:t>
      </w:r>
      <w:r>
        <w:rPr>
          <w:color w:val="auto"/>
        </w:rPr>
        <w:t>国道以南，规划用地范围为</w:t>
      </w:r>
      <w:r>
        <w:rPr>
          <w:color w:val="auto"/>
        </w:rPr>
        <w:t>7.4km²</w:t>
      </w:r>
      <w:r>
        <w:rPr>
          <w:color w:val="auto"/>
        </w:rPr>
        <w:t>。</w:t>
      </w:r>
    </w:p>
    <w:p w14:paraId="4419775F" w14:textId="43FEBC9A" w:rsidR="002E474C" w:rsidRDefault="00000000">
      <w:pPr>
        <w:pStyle w:val="A-z"/>
        <w:rPr>
          <w:color w:val="auto"/>
        </w:rPr>
      </w:pPr>
      <w:r>
        <w:rPr>
          <w:color w:val="auto"/>
        </w:rPr>
        <w:t>本项目位于新疆维吾尔自治区吐鲁番市托克逊县阿乐惠镇托克逊能源工业园圣雄同心工业园新疆圣雄水泥有限公司厂区内。</w:t>
      </w:r>
    </w:p>
    <w:p w14:paraId="20054D7F" w14:textId="77777777" w:rsidR="002E474C" w:rsidRDefault="00000000">
      <w:pPr>
        <w:pStyle w:val="31"/>
        <w:spacing w:before="120" w:after="120"/>
        <w:rPr>
          <w:color w:val="auto"/>
        </w:rPr>
      </w:pPr>
      <w:r>
        <w:rPr>
          <w:color w:val="auto"/>
        </w:rPr>
        <w:t>地形地貌</w:t>
      </w:r>
    </w:p>
    <w:p w14:paraId="067AB1FE" w14:textId="77777777" w:rsidR="002E474C" w:rsidRDefault="00000000">
      <w:pPr>
        <w:pStyle w:val="A-z"/>
        <w:rPr>
          <w:color w:val="auto"/>
        </w:rPr>
      </w:pPr>
      <w:r>
        <w:rPr>
          <w:color w:val="auto"/>
        </w:rPr>
        <w:t>托克逊县西北部为喀拉乌成山，最高海拔</w:t>
      </w:r>
      <w:r>
        <w:rPr>
          <w:color w:val="auto"/>
        </w:rPr>
        <w:t>4338.4m</w:t>
      </w:r>
      <w:r>
        <w:rPr>
          <w:color w:val="auto"/>
        </w:rPr>
        <w:t>，为西北部屏障</w:t>
      </w:r>
      <w:r>
        <w:rPr>
          <w:color w:val="auto"/>
        </w:rPr>
        <w:t>;</w:t>
      </w:r>
      <w:r>
        <w:rPr>
          <w:color w:val="auto"/>
        </w:rPr>
        <w:t>南部为干燥的库鲁克塔格山，海拔</w:t>
      </w:r>
      <w:r>
        <w:rPr>
          <w:color w:val="auto"/>
        </w:rPr>
        <w:t>800~2000m:</w:t>
      </w:r>
      <w:r>
        <w:rPr>
          <w:color w:val="auto"/>
        </w:rPr>
        <w:t>博尔托乌拉山的余脉横截中部。全县地貌呈</w:t>
      </w:r>
      <w:r>
        <w:rPr>
          <w:color w:val="auto"/>
        </w:rPr>
        <w:t>“</w:t>
      </w:r>
      <w:r>
        <w:rPr>
          <w:color w:val="auto"/>
        </w:rPr>
        <w:t>三山两洼</w:t>
      </w:r>
      <w:r>
        <w:rPr>
          <w:color w:val="auto"/>
        </w:rPr>
        <w:t>”</w:t>
      </w:r>
      <w:r>
        <w:rPr>
          <w:color w:val="auto"/>
        </w:rPr>
        <w:t>，西、北、南三面山地环绕，西高东低偏南倾斜，开口于东部的平原地，呈簸箕型。县城中心附近海拔高度为</w:t>
      </w:r>
      <w:r>
        <w:rPr>
          <w:color w:val="auto"/>
        </w:rPr>
        <w:t>0m</w:t>
      </w:r>
      <w:r>
        <w:rPr>
          <w:color w:val="auto"/>
        </w:rPr>
        <w:t>，向东渐低，东部最低为海拔</w:t>
      </w:r>
      <w:r>
        <w:rPr>
          <w:color w:val="auto"/>
        </w:rPr>
        <w:t>-125m</w:t>
      </w:r>
      <w:r>
        <w:rPr>
          <w:color w:val="auto"/>
        </w:rPr>
        <w:t>。</w:t>
      </w:r>
    </w:p>
    <w:p w14:paraId="2C0B213C" w14:textId="77777777" w:rsidR="002E474C" w:rsidRDefault="00000000">
      <w:pPr>
        <w:pStyle w:val="A-z"/>
        <w:rPr>
          <w:color w:val="auto"/>
        </w:rPr>
      </w:pPr>
      <w:r>
        <w:rPr>
          <w:color w:val="auto"/>
        </w:rPr>
        <w:t>托克逊县地形种类多样，盆地、山区、山地、荒漠戈壁、平地和河谷均有分布。从地貌上划分为三部分</w:t>
      </w:r>
      <w:r>
        <w:rPr>
          <w:color w:val="auto"/>
        </w:rPr>
        <w:t>:</w:t>
      </w:r>
      <w:r>
        <w:rPr>
          <w:color w:val="auto"/>
        </w:rPr>
        <w:t>西南部高山广布，山势险峻，峡谷遍布。以山地为主；中部由西南向东北梯次递减，以平地绿洲为主；北部平坦低缓，以荒漠戈壁区为主。境内主要有两大水系、六条河沟，即白杨河水系和阿拉沟水系。六条河沟除柯尔碱沟发源于托克逊县境内，其余五条河沟均发源于县境外。</w:t>
      </w:r>
    </w:p>
    <w:p w14:paraId="01CC815F" w14:textId="77777777" w:rsidR="00B6506A" w:rsidRDefault="00B6506A">
      <w:pPr>
        <w:pStyle w:val="A-z"/>
        <w:rPr>
          <w:rFonts w:hint="eastAsia"/>
          <w:color w:val="auto"/>
        </w:rPr>
      </w:pPr>
    </w:p>
    <w:p w14:paraId="4206CAF8" w14:textId="77777777" w:rsidR="002E474C" w:rsidRDefault="00000000">
      <w:pPr>
        <w:pStyle w:val="31"/>
        <w:spacing w:before="120" w:after="120"/>
        <w:rPr>
          <w:color w:val="auto"/>
        </w:rPr>
      </w:pPr>
      <w:r>
        <w:rPr>
          <w:color w:val="auto"/>
        </w:rPr>
        <w:lastRenderedPageBreak/>
        <w:t>水文地质</w:t>
      </w:r>
    </w:p>
    <w:p w14:paraId="19A57393" w14:textId="77777777" w:rsidR="002E474C" w:rsidRDefault="00000000">
      <w:pPr>
        <w:pStyle w:val="A-z"/>
        <w:rPr>
          <w:color w:val="auto"/>
        </w:rPr>
      </w:pPr>
      <w:r>
        <w:rPr>
          <w:color w:val="auto"/>
        </w:rPr>
        <w:t>托克逊县地下水分为地下潜水和承压水，分布较广，且埋藏不深加上平原坡度较大及特殊的灌水方式，使地下水资源可以重复利用。承压水的主要排泄方式是径流排泄，大部分承压水沿着自西向东的水利坡降以径流的方式消耗，还有一部分承压水顶托补给上层潜水进行消耗。潜水运动方向基本与地面坡度一致，由西北向东南至艾丁湖运移。厚度约在</w:t>
      </w:r>
      <w:r>
        <w:rPr>
          <w:color w:val="auto"/>
        </w:rPr>
        <w:t>50~100m</w:t>
      </w:r>
      <w:r>
        <w:rPr>
          <w:color w:val="auto"/>
        </w:rPr>
        <w:t>之间。潜水地层为第四纪砾石夹砂覆盖层，洪积、冲击而成，孔隙度大，水量丰富。以机电井为主的形式利用，平均单井涌水量为</w:t>
      </w:r>
      <w:r>
        <w:rPr>
          <w:color w:val="auto"/>
        </w:rPr>
        <w:t>20.4L/s</w:t>
      </w:r>
      <w:r>
        <w:rPr>
          <w:color w:val="auto"/>
        </w:rPr>
        <w:t>。其次以坎儿井、排水沟的形式利用。</w:t>
      </w:r>
    </w:p>
    <w:p w14:paraId="7B4F7BF5" w14:textId="77777777" w:rsidR="002E474C" w:rsidRDefault="00000000">
      <w:pPr>
        <w:pStyle w:val="A-z"/>
        <w:rPr>
          <w:color w:val="auto"/>
        </w:rPr>
      </w:pPr>
      <w:r>
        <w:rPr>
          <w:color w:val="auto"/>
        </w:rPr>
        <w:t>托克逊县地表水系均发源于山区，水质较好，矿化度较低。据监测评价，阿拉沟、白杨河水质良好，未受污染，适宜生活饮用、渔业养殖、农田灌溉。鱼儿沟水质较差，为</w:t>
      </w:r>
      <w:r>
        <w:rPr>
          <w:color w:val="auto"/>
        </w:rPr>
        <w:t>IV</w:t>
      </w:r>
      <w:r>
        <w:rPr>
          <w:color w:val="auto"/>
        </w:rPr>
        <w:t>类，只要是溶解氧低于标准值，氨氮超标</w:t>
      </w:r>
      <w:r>
        <w:rPr>
          <w:color w:val="auto"/>
        </w:rPr>
        <w:t>;</w:t>
      </w:r>
      <w:r>
        <w:rPr>
          <w:color w:val="auto"/>
        </w:rPr>
        <w:t>乌斯通沟、祖鲁木图沟水质为天然状态，未受污染，水质良好。平原地区初夏乡大部，郭勒布依乡部分地区潜水位高、潜水蒸发强烈，潜水盐分排泄不良而矿化。</w:t>
      </w:r>
    </w:p>
    <w:p w14:paraId="335350A1" w14:textId="77777777" w:rsidR="002E474C" w:rsidRDefault="00000000">
      <w:pPr>
        <w:pStyle w:val="A-z"/>
        <w:rPr>
          <w:color w:val="auto"/>
        </w:rPr>
      </w:pPr>
      <w:r>
        <w:rPr>
          <w:color w:val="auto"/>
        </w:rPr>
        <w:t>地表水各河流泥沙含量较大，属多泥沙河流，托克逊河、阿拉沟等属</w:t>
      </w:r>
      <w:r>
        <w:rPr>
          <w:color w:val="auto"/>
        </w:rPr>
        <w:t xml:space="preserve"> </w:t>
      </w:r>
      <w:r>
        <w:rPr>
          <w:color w:val="auto"/>
        </w:rPr>
        <w:t>于干早地区植被差地表裸露，土壤松散，河道纵陡大，中上游河段水流流</w:t>
      </w:r>
      <w:r>
        <w:rPr>
          <w:color w:val="auto"/>
        </w:rPr>
        <w:t xml:space="preserve"> </w:t>
      </w:r>
      <w:r>
        <w:rPr>
          <w:color w:val="auto"/>
        </w:rPr>
        <w:t>速大，河流含沙量年内分配不均匀，主要集中在汛期，河流泥沙进入引水渠道，增加了合计渠道的清沙工作量。</w:t>
      </w:r>
    </w:p>
    <w:p w14:paraId="1E48F640" w14:textId="77777777" w:rsidR="002E474C" w:rsidRDefault="00000000">
      <w:pPr>
        <w:pStyle w:val="31"/>
        <w:spacing w:before="120" w:after="120"/>
        <w:rPr>
          <w:color w:val="auto"/>
        </w:rPr>
      </w:pPr>
      <w:r>
        <w:rPr>
          <w:color w:val="auto"/>
        </w:rPr>
        <w:t>水资源概况</w:t>
      </w:r>
    </w:p>
    <w:p w14:paraId="701BACD8" w14:textId="77777777" w:rsidR="002E474C" w:rsidRDefault="00000000">
      <w:pPr>
        <w:pStyle w:val="A-z"/>
        <w:rPr>
          <w:color w:val="auto"/>
        </w:rPr>
      </w:pPr>
      <w:r>
        <w:rPr>
          <w:color w:val="auto"/>
        </w:rPr>
        <w:t>托克逊县境内有</w:t>
      </w:r>
      <w:r>
        <w:rPr>
          <w:color w:val="auto"/>
        </w:rPr>
        <w:t>6</w:t>
      </w:r>
      <w:r>
        <w:rPr>
          <w:color w:val="auto"/>
        </w:rPr>
        <w:t>条河流，主要水系有白杨河、阿拉沟、鱼尔沟、克尔碱沟、乌斯通沟、祖鲁木图沟等。县域水资源总量为</w:t>
      </w:r>
      <w:r>
        <w:rPr>
          <w:color w:val="auto"/>
        </w:rPr>
        <w:t>6.839×10</w:t>
      </w:r>
      <w:r>
        <w:rPr>
          <w:color w:val="auto"/>
          <w:vertAlign w:val="superscript"/>
        </w:rPr>
        <w:t>8</w:t>
      </w:r>
      <w:r>
        <w:rPr>
          <w:color w:val="auto"/>
        </w:rPr>
        <w:t>m³</w:t>
      </w:r>
      <w:r>
        <w:rPr>
          <w:color w:val="auto"/>
        </w:rPr>
        <w:t>，地表水资源总量</w:t>
      </w:r>
      <w:r>
        <w:rPr>
          <w:color w:val="auto"/>
        </w:rPr>
        <w:t>4.259×10</w:t>
      </w:r>
      <w:r>
        <w:rPr>
          <w:color w:val="auto"/>
          <w:vertAlign w:val="superscript"/>
        </w:rPr>
        <w:t>8</w:t>
      </w:r>
      <w:r>
        <w:rPr>
          <w:color w:val="auto"/>
        </w:rPr>
        <w:t>m³</w:t>
      </w:r>
      <w:r>
        <w:rPr>
          <w:color w:val="auto"/>
        </w:rPr>
        <w:t>，地表水余量为</w:t>
      </w:r>
      <w:r>
        <w:rPr>
          <w:color w:val="auto"/>
        </w:rPr>
        <w:t>2.574×10</w:t>
      </w:r>
      <w:r>
        <w:rPr>
          <w:color w:val="auto"/>
          <w:vertAlign w:val="superscript"/>
        </w:rPr>
        <w:t>8</w:t>
      </w:r>
      <w:r>
        <w:rPr>
          <w:color w:val="auto"/>
        </w:rPr>
        <w:t>m²</w:t>
      </w:r>
      <w:r>
        <w:rPr>
          <w:color w:val="auto"/>
        </w:rPr>
        <w:t>。地表水与地下水资源余量为</w:t>
      </w:r>
      <w:r>
        <w:rPr>
          <w:color w:val="auto"/>
        </w:rPr>
        <w:t>3.354×10</w:t>
      </w:r>
      <w:r>
        <w:rPr>
          <w:color w:val="auto"/>
          <w:vertAlign w:val="superscript"/>
        </w:rPr>
        <w:t>8</w:t>
      </w:r>
      <w:r>
        <w:rPr>
          <w:color w:val="auto"/>
        </w:rPr>
        <w:t>m²</w:t>
      </w:r>
      <w:r>
        <w:rPr>
          <w:color w:val="auto"/>
        </w:rPr>
        <w:t>。是吐鲁番市水资源最为丰富的地区。</w:t>
      </w:r>
    </w:p>
    <w:p w14:paraId="70C2D220" w14:textId="77777777" w:rsidR="002E474C" w:rsidRDefault="00000000">
      <w:pPr>
        <w:pStyle w:val="A-z"/>
        <w:rPr>
          <w:color w:val="auto"/>
        </w:rPr>
      </w:pPr>
      <w:r>
        <w:rPr>
          <w:color w:val="auto"/>
        </w:rPr>
        <w:t>（</w:t>
      </w:r>
      <w:r>
        <w:rPr>
          <w:color w:val="auto"/>
        </w:rPr>
        <w:t>1</w:t>
      </w:r>
      <w:r>
        <w:rPr>
          <w:color w:val="auto"/>
        </w:rPr>
        <w:t>）白杨河流域</w:t>
      </w:r>
    </w:p>
    <w:p w14:paraId="7D0418F9" w14:textId="77777777" w:rsidR="002E474C" w:rsidRDefault="00000000">
      <w:pPr>
        <w:pStyle w:val="A-z"/>
        <w:rPr>
          <w:color w:val="auto"/>
        </w:rPr>
      </w:pPr>
      <w:r>
        <w:rPr>
          <w:color w:val="auto"/>
        </w:rPr>
        <w:t>白杨河流域集水面积</w:t>
      </w:r>
      <w:r>
        <w:rPr>
          <w:color w:val="auto"/>
        </w:rPr>
        <w:t>2050km²</w:t>
      </w:r>
      <w:r>
        <w:rPr>
          <w:color w:val="auto"/>
        </w:rPr>
        <w:t>。峡口站多年平均径流量</w:t>
      </w:r>
      <w:r>
        <w:rPr>
          <w:color w:val="auto"/>
        </w:rPr>
        <w:t>1.426×10</w:t>
      </w:r>
      <w:r>
        <w:rPr>
          <w:color w:val="auto"/>
          <w:vertAlign w:val="superscript"/>
        </w:rPr>
        <w:t>8</w:t>
      </w:r>
      <w:r>
        <w:rPr>
          <w:color w:val="auto"/>
        </w:rPr>
        <w:t>m³</w:t>
      </w:r>
      <w:r>
        <w:rPr>
          <w:color w:val="auto"/>
        </w:rPr>
        <w:t>，最大径流量</w:t>
      </w:r>
      <w:r>
        <w:rPr>
          <w:color w:val="auto"/>
        </w:rPr>
        <w:t>1.835×10</w:t>
      </w:r>
      <w:r>
        <w:rPr>
          <w:color w:val="auto"/>
          <w:vertAlign w:val="superscript"/>
        </w:rPr>
        <w:t>8</w:t>
      </w:r>
      <w:r>
        <w:rPr>
          <w:color w:val="auto"/>
        </w:rPr>
        <w:t>m³(1998</w:t>
      </w:r>
      <w:r>
        <w:rPr>
          <w:color w:val="auto"/>
        </w:rPr>
        <w:t>年</w:t>
      </w:r>
      <w:r>
        <w:rPr>
          <w:color w:val="auto"/>
        </w:rPr>
        <w:t>)</w:t>
      </w:r>
      <w:r>
        <w:rPr>
          <w:color w:val="auto"/>
        </w:rPr>
        <w:t>，最小径流量</w:t>
      </w:r>
      <w:r>
        <w:rPr>
          <w:color w:val="auto"/>
        </w:rPr>
        <w:t>1.047×10</w:t>
      </w:r>
      <w:r>
        <w:rPr>
          <w:color w:val="auto"/>
          <w:vertAlign w:val="superscript"/>
        </w:rPr>
        <w:t>8</w:t>
      </w:r>
      <w:r>
        <w:rPr>
          <w:color w:val="auto"/>
        </w:rPr>
        <w:t>m³(1984</w:t>
      </w:r>
      <w:r>
        <w:rPr>
          <w:color w:val="auto"/>
        </w:rPr>
        <w:t>年</w:t>
      </w:r>
      <w:r>
        <w:rPr>
          <w:color w:val="auto"/>
        </w:rPr>
        <w:t>)</w:t>
      </w:r>
      <w:r>
        <w:rPr>
          <w:color w:val="auto"/>
        </w:rPr>
        <w:t>，丰枯比为</w:t>
      </w:r>
      <w:r>
        <w:rPr>
          <w:color w:val="auto"/>
        </w:rPr>
        <w:t>1.753</w:t>
      </w:r>
      <w:r>
        <w:rPr>
          <w:color w:val="auto"/>
        </w:rPr>
        <w:t>，是流域内主要水源之一。白杨河流域现有灌注式红山水库一座，总库容</w:t>
      </w:r>
      <w:r>
        <w:rPr>
          <w:color w:val="auto"/>
        </w:rPr>
        <w:t>0.535×10</w:t>
      </w:r>
      <w:r>
        <w:rPr>
          <w:color w:val="auto"/>
          <w:vertAlign w:val="superscript"/>
        </w:rPr>
        <w:t>8</w:t>
      </w:r>
      <w:r>
        <w:rPr>
          <w:color w:val="auto"/>
        </w:rPr>
        <w:t>m³</w:t>
      </w:r>
      <w:r>
        <w:rPr>
          <w:color w:val="auto"/>
        </w:rPr>
        <w:t>，兴利库容</w:t>
      </w:r>
      <w:r>
        <w:rPr>
          <w:color w:val="auto"/>
        </w:rPr>
        <w:t>0.455×10</w:t>
      </w:r>
      <w:r>
        <w:rPr>
          <w:color w:val="auto"/>
          <w:vertAlign w:val="superscript"/>
        </w:rPr>
        <w:t>8</w:t>
      </w:r>
      <w:r>
        <w:rPr>
          <w:color w:val="auto"/>
        </w:rPr>
        <w:t>m³</w:t>
      </w:r>
      <w:r>
        <w:rPr>
          <w:color w:val="auto"/>
        </w:rPr>
        <w:t>。</w:t>
      </w:r>
    </w:p>
    <w:p w14:paraId="213EF255" w14:textId="77777777" w:rsidR="002E474C" w:rsidRDefault="00000000">
      <w:pPr>
        <w:pStyle w:val="A-z"/>
        <w:rPr>
          <w:color w:val="auto"/>
        </w:rPr>
      </w:pPr>
      <w:r>
        <w:rPr>
          <w:color w:val="auto"/>
        </w:rPr>
        <w:t>（</w:t>
      </w:r>
      <w:r>
        <w:rPr>
          <w:color w:val="auto"/>
        </w:rPr>
        <w:t>2</w:t>
      </w:r>
      <w:r>
        <w:rPr>
          <w:color w:val="auto"/>
        </w:rPr>
        <w:t>）阿拉沟流域</w:t>
      </w:r>
    </w:p>
    <w:p w14:paraId="06E373AF" w14:textId="77777777" w:rsidR="002E474C" w:rsidRDefault="00000000">
      <w:pPr>
        <w:pStyle w:val="A-z"/>
        <w:rPr>
          <w:color w:val="auto"/>
        </w:rPr>
      </w:pPr>
      <w:r>
        <w:rPr>
          <w:color w:val="auto"/>
        </w:rPr>
        <w:lastRenderedPageBreak/>
        <w:t>阿拉沟流域集水面积</w:t>
      </w:r>
      <w:r>
        <w:rPr>
          <w:color w:val="auto"/>
        </w:rPr>
        <w:t>1842km²</w:t>
      </w:r>
      <w:r>
        <w:rPr>
          <w:color w:val="auto"/>
        </w:rPr>
        <w:t>，多年平均径流量</w:t>
      </w:r>
      <w:r>
        <w:rPr>
          <w:color w:val="auto"/>
        </w:rPr>
        <w:t>1.29×10</w:t>
      </w:r>
      <w:r>
        <w:rPr>
          <w:color w:val="auto"/>
          <w:vertAlign w:val="superscript"/>
        </w:rPr>
        <w:t>8</w:t>
      </w:r>
      <w:r>
        <w:rPr>
          <w:color w:val="auto"/>
        </w:rPr>
        <w:t>m³</w:t>
      </w:r>
      <w:r>
        <w:rPr>
          <w:color w:val="auto"/>
        </w:rPr>
        <w:t>，最大年径流量</w:t>
      </w:r>
      <w:r>
        <w:rPr>
          <w:color w:val="auto"/>
        </w:rPr>
        <w:t>2.29×10</w:t>
      </w:r>
      <w:r>
        <w:rPr>
          <w:color w:val="auto"/>
          <w:vertAlign w:val="superscript"/>
        </w:rPr>
        <w:t>8</w:t>
      </w:r>
      <w:r>
        <w:rPr>
          <w:color w:val="auto"/>
        </w:rPr>
        <w:t>m³(1998</w:t>
      </w:r>
      <w:r>
        <w:rPr>
          <w:color w:val="auto"/>
        </w:rPr>
        <w:t>年</w:t>
      </w:r>
      <w:r>
        <w:rPr>
          <w:color w:val="auto"/>
        </w:rPr>
        <w:t>)</w:t>
      </w:r>
      <w:r>
        <w:rPr>
          <w:color w:val="auto"/>
        </w:rPr>
        <w:t>，最小年径流量</w:t>
      </w:r>
      <w:r>
        <w:rPr>
          <w:color w:val="auto"/>
        </w:rPr>
        <w:t>0.717×10</w:t>
      </w:r>
      <w:r>
        <w:rPr>
          <w:color w:val="auto"/>
          <w:vertAlign w:val="superscript"/>
        </w:rPr>
        <w:t>8</w:t>
      </w:r>
      <w:r>
        <w:rPr>
          <w:color w:val="auto"/>
        </w:rPr>
        <w:t>m³(1985</w:t>
      </w:r>
      <w:r>
        <w:rPr>
          <w:color w:val="auto"/>
        </w:rPr>
        <w:t>年</w:t>
      </w:r>
      <w:r>
        <w:rPr>
          <w:color w:val="auto"/>
        </w:rPr>
        <w:t>)</w:t>
      </w:r>
      <w:r>
        <w:rPr>
          <w:color w:val="auto"/>
        </w:rPr>
        <w:t>，丰枯比为</w:t>
      </w:r>
      <w:r>
        <w:rPr>
          <w:color w:val="auto"/>
        </w:rPr>
        <w:t>3.19</w:t>
      </w:r>
      <w:r>
        <w:rPr>
          <w:color w:val="auto"/>
        </w:rPr>
        <w:t>。</w:t>
      </w:r>
    </w:p>
    <w:p w14:paraId="5ED9BB04" w14:textId="77777777" w:rsidR="002E474C" w:rsidRDefault="00000000">
      <w:pPr>
        <w:pStyle w:val="A-z"/>
        <w:rPr>
          <w:color w:val="auto"/>
        </w:rPr>
      </w:pPr>
      <w:r>
        <w:rPr>
          <w:color w:val="auto"/>
        </w:rPr>
        <w:t>（</w:t>
      </w:r>
      <w:r>
        <w:rPr>
          <w:color w:val="auto"/>
        </w:rPr>
        <w:t>3</w:t>
      </w:r>
      <w:r>
        <w:rPr>
          <w:color w:val="auto"/>
        </w:rPr>
        <w:t>）地下水</w:t>
      </w:r>
    </w:p>
    <w:p w14:paraId="61E87C5E" w14:textId="77777777" w:rsidR="002E474C" w:rsidRDefault="00000000">
      <w:pPr>
        <w:pStyle w:val="A-z"/>
        <w:rPr>
          <w:color w:val="auto"/>
        </w:rPr>
      </w:pPr>
      <w:r>
        <w:rPr>
          <w:color w:val="auto"/>
        </w:rPr>
        <w:t>县域地下水总补给量</w:t>
      </w:r>
      <w:r>
        <w:rPr>
          <w:color w:val="auto"/>
        </w:rPr>
        <w:t>3.134×10</w:t>
      </w:r>
      <w:r>
        <w:rPr>
          <w:color w:val="auto"/>
          <w:vertAlign w:val="superscript"/>
        </w:rPr>
        <w:t>8</w:t>
      </w:r>
      <w:r>
        <w:rPr>
          <w:color w:val="auto"/>
        </w:rPr>
        <w:t>m³</w:t>
      </w:r>
      <w:r>
        <w:rPr>
          <w:color w:val="auto"/>
        </w:rPr>
        <w:t>，总开采利用量</w:t>
      </w:r>
      <w:r>
        <w:rPr>
          <w:color w:val="auto"/>
        </w:rPr>
        <w:t>1.328×10</w:t>
      </w:r>
      <w:r>
        <w:rPr>
          <w:color w:val="auto"/>
          <w:vertAlign w:val="superscript"/>
        </w:rPr>
        <w:t>8</w:t>
      </w:r>
      <w:r>
        <w:rPr>
          <w:color w:val="auto"/>
        </w:rPr>
        <w:t>m³</w:t>
      </w:r>
      <w:r>
        <w:rPr>
          <w:color w:val="auto"/>
        </w:rPr>
        <w:t>。地下水深度</w:t>
      </w:r>
      <w:r>
        <w:rPr>
          <w:color w:val="auto"/>
        </w:rPr>
        <w:t>200m</w:t>
      </w:r>
      <w:r>
        <w:rPr>
          <w:color w:val="auto"/>
        </w:rPr>
        <w:t>，对土建基本没有影响。</w:t>
      </w:r>
    </w:p>
    <w:p w14:paraId="2EF7FBEA" w14:textId="77777777" w:rsidR="002E474C" w:rsidRDefault="00000000">
      <w:pPr>
        <w:pStyle w:val="31"/>
        <w:spacing w:before="120" w:after="120"/>
        <w:rPr>
          <w:color w:val="auto"/>
        </w:rPr>
      </w:pPr>
      <w:r>
        <w:rPr>
          <w:color w:val="auto"/>
        </w:rPr>
        <w:t>区域地质条件</w:t>
      </w:r>
    </w:p>
    <w:p w14:paraId="7A880AB5" w14:textId="77777777" w:rsidR="002E474C" w:rsidRDefault="00000000">
      <w:pPr>
        <w:pStyle w:val="A-z"/>
        <w:rPr>
          <w:color w:val="auto"/>
        </w:rPr>
      </w:pPr>
      <w:r>
        <w:rPr>
          <w:color w:val="auto"/>
        </w:rPr>
        <w:t>托克逊县内主体地质构造框架为</w:t>
      </w:r>
      <w:r>
        <w:rPr>
          <w:color w:val="auto"/>
        </w:rPr>
        <w:t>“</w:t>
      </w:r>
      <w:r>
        <w:rPr>
          <w:color w:val="auto"/>
        </w:rPr>
        <w:t>两隆两洼</w:t>
      </w:r>
      <w:r>
        <w:rPr>
          <w:color w:val="auto"/>
        </w:rPr>
        <w:t>”</w:t>
      </w:r>
      <w:r>
        <w:rPr>
          <w:color w:val="auto"/>
        </w:rPr>
        <w:t>，即盐山隆起、土孜鲁克隆起</w:t>
      </w:r>
      <w:r>
        <w:rPr>
          <w:color w:val="auto"/>
        </w:rPr>
        <w:t>-</w:t>
      </w:r>
      <w:r>
        <w:rPr>
          <w:color w:val="auto"/>
        </w:rPr>
        <w:t>河东乡隐伏隆起，河东乡北洼地、托克逊洼地。</w:t>
      </w:r>
    </w:p>
    <w:p w14:paraId="500FC5A1" w14:textId="77777777" w:rsidR="002E474C" w:rsidRDefault="00000000">
      <w:pPr>
        <w:pStyle w:val="A-z"/>
        <w:rPr>
          <w:color w:val="auto"/>
        </w:rPr>
      </w:pPr>
      <w:r>
        <w:rPr>
          <w:color w:val="auto"/>
        </w:rPr>
        <w:t>盐山隆起分布于托克逊县北部，呈背斜构造。北缓南陡，南部多为隐伏断层。土孜鲁克隆起位于托克逊县的西北部，面状分布，东北与盐山隆起相连，东南与河东乡隐伏隆起相连，总体向东南方向倾伏。河东乡隐伏隆起东西长</w:t>
      </w:r>
      <w:r>
        <w:rPr>
          <w:color w:val="auto"/>
        </w:rPr>
        <w:t>22km</w:t>
      </w:r>
      <w:r>
        <w:rPr>
          <w:color w:val="auto"/>
        </w:rPr>
        <w:t>，南北宽</w:t>
      </w:r>
      <w:r>
        <w:rPr>
          <w:color w:val="auto"/>
        </w:rPr>
        <w:t>3~5km</w:t>
      </w:r>
      <w:r>
        <w:rPr>
          <w:color w:val="auto"/>
        </w:rPr>
        <w:t>，往东倾没，第四系厚度西部</w:t>
      </w:r>
      <w:r>
        <w:rPr>
          <w:color w:val="auto"/>
        </w:rPr>
        <w:t>50m</w:t>
      </w:r>
      <w:r>
        <w:rPr>
          <w:color w:val="auto"/>
        </w:rPr>
        <w:t>，东部</w:t>
      </w:r>
      <w:r>
        <w:rPr>
          <w:color w:val="auto"/>
        </w:rPr>
        <w:t>159m</w:t>
      </w:r>
      <w:r>
        <w:rPr>
          <w:color w:val="auto"/>
        </w:rPr>
        <w:t>，此隆起北缓南陡。河东乡北洼地，第四系地层由西往东厚度增大，厚度</w:t>
      </w:r>
      <w:r>
        <w:rPr>
          <w:color w:val="auto"/>
        </w:rPr>
        <w:t>50~350m</w:t>
      </w:r>
      <w:r>
        <w:rPr>
          <w:color w:val="auto"/>
        </w:rPr>
        <w:t>，近东西走向，地下水主要受白杨河水系补给。</w:t>
      </w:r>
    </w:p>
    <w:p w14:paraId="081D7F58" w14:textId="77777777" w:rsidR="002E474C" w:rsidRDefault="00000000">
      <w:pPr>
        <w:pStyle w:val="A-z"/>
        <w:rPr>
          <w:color w:val="auto"/>
        </w:rPr>
      </w:pPr>
      <w:r>
        <w:rPr>
          <w:color w:val="auto"/>
        </w:rPr>
        <w:t>托克逊县城一带厚度在</w:t>
      </w:r>
      <w:r>
        <w:rPr>
          <w:color w:val="auto"/>
        </w:rPr>
        <w:t>300m</w:t>
      </w:r>
      <w:r>
        <w:rPr>
          <w:color w:val="auto"/>
        </w:rPr>
        <w:t>以上，为阿拉沟水系的古河道，近东西走向，地下水主要受阿拉沟水系补给。托克逊县内断裂构造主要有</w:t>
      </w:r>
      <w:r>
        <w:rPr>
          <w:color w:val="auto"/>
        </w:rPr>
        <w:t>F1</w:t>
      </w:r>
      <w:r>
        <w:rPr>
          <w:color w:val="auto"/>
        </w:rPr>
        <w:t>、</w:t>
      </w:r>
      <w:r>
        <w:rPr>
          <w:color w:val="auto"/>
        </w:rPr>
        <w:t>F3</w:t>
      </w:r>
      <w:r>
        <w:rPr>
          <w:color w:val="auto"/>
        </w:rPr>
        <w:t>隐伏断裂，</w:t>
      </w:r>
      <w:r>
        <w:rPr>
          <w:color w:val="auto"/>
        </w:rPr>
        <w:t>F2</w:t>
      </w:r>
      <w:r>
        <w:rPr>
          <w:color w:val="auto"/>
        </w:rPr>
        <w:t>断裂，见图</w:t>
      </w:r>
      <w:r>
        <w:rPr>
          <w:color w:val="auto"/>
        </w:rPr>
        <w:t>4.1-1</w:t>
      </w:r>
      <w:r>
        <w:rPr>
          <w:color w:val="auto"/>
        </w:rPr>
        <w:t>。</w:t>
      </w:r>
    </w:p>
    <w:p w14:paraId="487C3AA1" w14:textId="77777777" w:rsidR="002E474C" w:rsidRDefault="00000000">
      <w:pPr>
        <w:pStyle w:val="A-z"/>
        <w:rPr>
          <w:color w:val="auto"/>
        </w:rPr>
      </w:pPr>
      <w:r>
        <w:rPr>
          <w:color w:val="auto"/>
        </w:rPr>
        <w:t>F1</w:t>
      </w:r>
      <w:r>
        <w:rPr>
          <w:color w:val="auto"/>
        </w:rPr>
        <w:t>隐伏断裂：位于伊拉湖乡之北，为上新统葡萄沟组与细土平原的接触带，近东西向展布，在托克逊县内延伸约</w:t>
      </w:r>
      <w:r>
        <w:rPr>
          <w:color w:val="auto"/>
        </w:rPr>
        <w:t>8km</w:t>
      </w:r>
      <w:r>
        <w:rPr>
          <w:color w:val="auto"/>
        </w:rPr>
        <w:t>。断裂北侧为新近系地层，南侧为第四系松散沉积物，相对落差大于</w:t>
      </w:r>
      <w:r>
        <w:rPr>
          <w:color w:val="auto"/>
        </w:rPr>
        <w:t>200m</w:t>
      </w:r>
      <w:r>
        <w:rPr>
          <w:color w:val="auto"/>
        </w:rPr>
        <w:t>，推断为正断层，形成于新近系，第四纪仍有活动。</w:t>
      </w:r>
    </w:p>
    <w:p w14:paraId="60E21B03" w14:textId="77777777" w:rsidR="002E474C" w:rsidRDefault="00000000">
      <w:pPr>
        <w:pStyle w:val="A-z"/>
        <w:rPr>
          <w:color w:val="auto"/>
        </w:rPr>
      </w:pPr>
      <w:r>
        <w:rPr>
          <w:color w:val="auto"/>
        </w:rPr>
        <w:t>F2</w:t>
      </w:r>
      <w:r>
        <w:rPr>
          <w:color w:val="auto"/>
        </w:rPr>
        <w:t>断裂：位于土孜鲁克北部，往东延至红山桥以西，近东西向展布，在托克逊县内延伸</w:t>
      </w:r>
      <w:r>
        <w:rPr>
          <w:color w:val="auto"/>
        </w:rPr>
        <w:t>6km</w:t>
      </w:r>
      <w:r>
        <w:rPr>
          <w:color w:val="auto"/>
        </w:rPr>
        <w:t>。地貌特征明显，北侧抬升，南侧下降，呈台阶状，相对落差大于</w:t>
      </w:r>
      <w:r>
        <w:rPr>
          <w:color w:val="auto"/>
        </w:rPr>
        <w:t>100m</w:t>
      </w:r>
      <w:r>
        <w:rPr>
          <w:color w:val="auto"/>
        </w:rPr>
        <w:t>。为正断层，形成于晚第三纪。</w:t>
      </w:r>
    </w:p>
    <w:p w14:paraId="5D332AD7" w14:textId="77777777" w:rsidR="002E474C" w:rsidRDefault="00000000">
      <w:pPr>
        <w:pStyle w:val="A-z"/>
        <w:rPr>
          <w:color w:val="auto"/>
        </w:rPr>
      </w:pPr>
      <w:r>
        <w:rPr>
          <w:color w:val="auto"/>
        </w:rPr>
        <w:t>F3</w:t>
      </w:r>
      <w:r>
        <w:rPr>
          <w:color w:val="auto"/>
        </w:rPr>
        <w:t>隐伏断裂：位于托克逊县东北部</w:t>
      </w:r>
      <w:r>
        <w:rPr>
          <w:color w:val="auto"/>
        </w:rPr>
        <w:t>104</w:t>
      </w:r>
      <w:r>
        <w:rPr>
          <w:color w:val="auto"/>
        </w:rPr>
        <w:t>高点的南侧，近东西展布，推测长约</w:t>
      </w:r>
      <w:r>
        <w:rPr>
          <w:color w:val="auto"/>
        </w:rPr>
        <w:t>4km</w:t>
      </w:r>
      <w:r>
        <w:rPr>
          <w:color w:val="auto"/>
        </w:rPr>
        <w:t>。地表地形地貌有显示，大草湖沟拐弯。断裂北部抬升，南部下降，相对落差大于</w:t>
      </w:r>
      <w:r>
        <w:rPr>
          <w:color w:val="auto"/>
        </w:rPr>
        <w:t>150m</w:t>
      </w:r>
      <w:r>
        <w:rPr>
          <w:color w:val="auto"/>
        </w:rPr>
        <w:t>，推断为正断层。</w:t>
      </w:r>
    </w:p>
    <w:p w14:paraId="0EFF5166" w14:textId="77777777" w:rsidR="002E474C" w:rsidRDefault="00000000">
      <w:pPr>
        <w:pStyle w:val="31"/>
        <w:spacing w:before="120" w:after="120"/>
        <w:rPr>
          <w:color w:val="auto"/>
        </w:rPr>
      </w:pPr>
      <w:r>
        <w:rPr>
          <w:color w:val="auto"/>
        </w:rPr>
        <w:t>气候气象</w:t>
      </w:r>
    </w:p>
    <w:p w14:paraId="73E280FB" w14:textId="77777777" w:rsidR="002E474C" w:rsidRDefault="00000000">
      <w:pPr>
        <w:pStyle w:val="A-z"/>
        <w:rPr>
          <w:color w:val="auto"/>
        </w:rPr>
      </w:pPr>
      <w:r>
        <w:rPr>
          <w:color w:val="auto"/>
        </w:rPr>
        <w:lastRenderedPageBreak/>
        <w:t>托克逊为温暖带典型的大陆性暖温带荒漠气候，夏季高温酷热，极度干旱，蒸发量大，已成为全国最炎热的地方之一。根据托克逊县气象统计数据，</w:t>
      </w:r>
      <w:r>
        <w:rPr>
          <w:color w:val="auto"/>
        </w:rPr>
        <w:t>2014</w:t>
      </w:r>
      <w:r>
        <w:rPr>
          <w:color w:val="auto"/>
        </w:rPr>
        <w:t>年酷热日数（日最高气温</w:t>
      </w:r>
      <w:r>
        <w:rPr>
          <w:color w:val="auto"/>
        </w:rPr>
        <w:t>≥40℃</w:t>
      </w:r>
      <w:r>
        <w:rPr>
          <w:color w:val="auto"/>
        </w:rPr>
        <w:t>的天数）有</w:t>
      </w:r>
      <w:r>
        <w:rPr>
          <w:color w:val="auto"/>
        </w:rPr>
        <w:t>39</w:t>
      </w:r>
      <w:r>
        <w:rPr>
          <w:color w:val="auto"/>
        </w:rPr>
        <w:t>天，极端最高气温达</w:t>
      </w:r>
      <w:r>
        <w:rPr>
          <w:color w:val="auto"/>
        </w:rPr>
        <w:t>48℃</w:t>
      </w:r>
      <w:r>
        <w:rPr>
          <w:color w:val="auto"/>
        </w:rPr>
        <w:t>。年平均</w:t>
      </w:r>
      <w:r>
        <w:rPr>
          <w:color w:val="auto"/>
        </w:rPr>
        <w:t>142.4</w:t>
      </w:r>
      <w:r>
        <w:rPr>
          <w:color w:val="auto"/>
        </w:rPr>
        <w:t>天日最高气温在</w:t>
      </w:r>
      <w:r>
        <w:rPr>
          <w:color w:val="auto"/>
        </w:rPr>
        <w:t>30℃</w:t>
      </w:r>
      <w:r>
        <w:rPr>
          <w:color w:val="auto"/>
        </w:rPr>
        <w:t>以上；全年</w:t>
      </w:r>
      <w:r>
        <w:rPr>
          <w:color w:val="auto"/>
        </w:rPr>
        <w:t>≥10℃</w:t>
      </w:r>
      <w:r>
        <w:rPr>
          <w:color w:val="auto"/>
        </w:rPr>
        <w:t>积温</w:t>
      </w:r>
      <w:r>
        <w:rPr>
          <w:color w:val="auto"/>
        </w:rPr>
        <w:t>5334.9℃</w:t>
      </w:r>
      <w:r>
        <w:rPr>
          <w:color w:val="auto"/>
        </w:rPr>
        <w:t>；光照时间长，年均光照率达</w:t>
      </w:r>
      <w:r>
        <w:rPr>
          <w:color w:val="auto"/>
        </w:rPr>
        <w:t>69%</w:t>
      </w:r>
      <w:r>
        <w:rPr>
          <w:color w:val="auto"/>
        </w:rPr>
        <w:t>，年日照时数</w:t>
      </w:r>
      <w:r>
        <w:rPr>
          <w:color w:val="auto"/>
        </w:rPr>
        <w:t>3134.9</w:t>
      </w:r>
      <w:r>
        <w:rPr>
          <w:color w:val="auto"/>
        </w:rPr>
        <w:t>小时，太阳总辐射量为</w:t>
      </w:r>
      <w:r>
        <w:rPr>
          <w:color w:val="auto"/>
        </w:rPr>
        <w:t>586.04~627.90</w:t>
      </w:r>
      <w:r>
        <w:rPr>
          <w:color w:val="auto"/>
        </w:rPr>
        <w:t>千焦</w:t>
      </w:r>
      <w:r>
        <w:rPr>
          <w:color w:val="auto"/>
        </w:rPr>
        <w:t>/</w:t>
      </w:r>
      <w:r>
        <w:rPr>
          <w:color w:val="auto"/>
        </w:rPr>
        <w:t>平方厘米。托克逊县素有</w:t>
      </w:r>
      <w:r>
        <w:rPr>
          <w:color w:val="auto"/>
        </w:rPr>
        <w:t>“</w:t>
      </w:r>
      <w:r>
        <w:rPr>
          <w:color w:val="auto"/>
        </w:rPr>
        <w:t>风库</w:t>
      </w:r>
      <w:r>
        <w:rPr>
          <w:color w:val="auto"/>
        </w:rPr>
        <w:t>”</w:t>
      </w:r>
      <w:r>
        <w:rPr>
          <w:color w:val="auto"/>
        </w:rPr>
        <w:t>之称，干热风多，风力强盛，全年主导风向为西风，多年平均</w:t>
      </w:r>
      <w:r>
        <w:rPr>
          <w:color w:val="auto"/>
        </w:rPr>
        <w:t>8</w:t>
      </w:r>
      <w:r>
        <w:rPr>
          <w:color w:val="auto"/>
        </w:rPr>
        <w:t>级以上大风日平均可达</w:t>
      </w:r>
      <w:r>
        <w:rPr>
          <w:color w:val="auto"/>
        </w:rPr>
        <w:t>70</w:t>
      </w:r>
      <w:r>
        <w:rPr>
          <w:color w:val="auto"/>
        </w:rPr>
        <w:t>多天，并出现过</w:t>
      </w:r>
      <w:r>
        <w:rPr>
          <w:color w:val="auto"/>
        </w:rPr>
        <w:t>12</w:t>
      </w:r>
      <w:r>
        <w:rPr>
          <w:color w:val="auto"/>
        </w:rPr>
        <w:t>级以上特大风暴，常年主导风向</w:t>
      </w:r>
      <w:r>
        <w:rPr>
          <w:color w:val="auto"/>
        </w:rPr>
        <w:t>W</w:t>
      </w:r>
      <w:r>
        <w:rPr>
          <w:color w:val="auto"/>
        </w:rPr>
        <w:t>，次主导风向</w:t>
      </w:r>
      <w:r>
        <w:rPr>
          <w:color w:val="auto"/>
        </w:rPr>
        <w:t>WNW</w:t>
      </w:r>
      <w:r>
        <w:rPr>
          <w:color w:val="auto"/>
        </w:rPr>
        <w:t>。历年平均最大风速为</w:t>
      </w:r>
      <w:r>
        <w:rPr>
          <w:color w:val="auto"/>
        </w:rPr>
        <w:t>25m/s</w:t>
      </w:r>
      <w:r>
        <w:rPr>
          <w:color w:val="auto"/>
        </w:rPr>
        <w:t>。无霜期达</w:t>
      </w:r>
      <w:r>
        <w:rPr>
          <w:color w:val="auto"/>
        </w:rPr>
        <w:t>219</w:t>
      </w:r>
      <w:r>
        <w:rPr>
          <w:color w:val="auto"/>
        </w:rPr>
        <w:t>天，为发展特色农业提供了良好的条件。其特点是：光照充足、热量丰富、降水量小，夏季炎热、冬季严寒、日较差大、无霜期长、风多风大、干热风严重、水汽不易达到，昼夜温差较大，盘吉尔怪石林、雅丹地貌因此而形成。</w:t>
      </w:r>
    </w:p>
    <w:p w14:paraId="537B0F99" w14:textId="77777777" w:rsidR="002E474C" w:rsidRDefault="00000000">
      <w:pPr>
        <w:pStyle w:val="31"/>
        <w:spacing w:before="120" w:after="120"/>
        <w:rPr>
          <w:color w:val="auto"/>
        </w:rPr>
      </w:pPr>
      <w:r>
        <w:rPr>
          <w:color w:val="auto"/>
        </w:rPr>
        <w:t>生态环境</w:t>
      </w:r>
    </w:p>
    <w:p w14:paraId="33124882" w14:textId="77777777" w:rsidR="002E474C" w:rsidRDefault="00000000">
      <w:pPr>
        <w:pStyle w:val="41"/>
        <w:rPr>
          <w:color w:val="auto"/>
        </w:rPr>
      </w:pPr>
      <w:r>
        <w:rPr>
          <w:color w:val="auto"/>
        </w:rPr>
        <w:t>土壤状况</w:t>
      </w:r>
    </w:p>
    <w:p w14:paraId="5F747A97" w14:textId="77777777" w:rsidR="002E474C" w:rsidRDefault="00000000">
      <w:pPr>
        <w:pStyle w:val="A-z"/>
        <w:rPr>
          <w:color w:val="auto"/>
        </w:rPr>
      </w:pPr>
      <w:r>
        <w:rPr>
          <w:color w:val="auto"/>
        </w:rPr>
        <w:t>托克逊县的土壤可以分为两大类：一是山地土壤，二是绿洲土壤，共分为</w:t>
      </w:r>
      <w:r>
        <w:rPr>
          <w:color w:val="auto"/>
        </w:rPr>
        <w:t>7</w:t>
      </w:r>
      <w:r>
        <w:rPr>
          <w:color w:val="auto"/>
        </w:rPr>
        <w:t>个土类。农业用地以潮土为最多。土壤有机质含量低，缺磷少氮，钾丰富，盐碱重。有机质平均含量为</w:t>
      </w:r>
      <w:r>
        <w:rPr>
          <w:color w:val="auto"/>
        </w:rPr>
        <w:t>1.72%</w:t>
      </w:r>
      <w:r>
        <w:rPr>
          <w:color w:val="auto"/>
        </w:rPr>
        <w:t>，全氮</w:t>
      </w:r>
      <w:r>
        <w:rPr>
          <w:color w:val="auto"/>
        </w:rPr>
        <w:t>0.076%</w:t>
      </w:r>
      <w:r>
        <w:rPr>
          <w:color w:val="auto"/>
        </w:rPr>
        <w:t>，全磷</w:t>
      </w:r>
      <w:r>
        <w:rPr>
          <w:color w:val="auto"/>
        </w:rPr>
        <w:t>0.064%</w:t>
      </w:r>
      <w:r>
        <w:rPr>
          <w:color w:val="auto"/>
        </w:rPr>
        <w:t>；碱解氮</w:t>
      </w:r>
      <w:r>
        <w:rPr>
          <w:color w:val="auto"/>
        </w:rPr>
        <w:t>42ppm</w:t>
      </w:r>
      <w:r>
        <w:rPr>
          <w:color w:val="auto"/>
        </w:rPr>
        <w:t>，速效磷</w:t>
      </w:r>
      <w:r>
        <w:rPr>
          <w:color w:val="auto"/>
        </w:rPr>
        <w:t>6ppm</w:t>
      </w:r>
      <w:r>
        <w:rPr>
          <w:color w:val="auto"/>
        </w:rPr>
        <w:t>，速效钾</w:t>
      </w:r>
      <w:r>
        <w:rPr>
          <w:color w:val="auto"/>
        </w:rPr>
        <w:t>124ppm</w:t>
      </w:r>
      <w:r>
        <w:rPr>
          <w:color w:val="auto"/>
        </w:rPr>
        <w:t>。按全国土壤养分级别标准衡量，一、二级地占全县耕地的</w:t>
      </w:r>
      <w:r>
        <w:rPr>
          <w:color w:val="auto"/>
        </w:rPr>
        <w:t>26.81%</w:t>
      </w:r>
      <w:r>
        <w:rPr>
          <w:color w:val="auto"/>
        </w:rPr>
        <w:t>，三、四级地（中低产田）占</w:t>
      </w:r>
      <w:r>
        <w:rPr>
          <w:color w:val="auto"/>
        </w:rPr>
        <w:t>73.1%</w:t>
      </w:r>
      <w:r>
        <w:rPr>
          <w:color w:val="auto"/>
        </w:rPr>
        <w:t>。</w:t>
      </w:r>
    </w:p>
    <w:p w14:paraId="128FEB1E" w14:textId="77777777" w:rsidR="002E474C" w:rsidRDefault="00000000">
      <w:pPr>
        <w:pStyle w:val="41"/>
        <w:rPr>
          <w:color w:val="auto"/>
        </w:rPr>
      </w:pPr>
      <w:r>
        <w:rPr>
          <w:color w:val="auto"/>
        </w:rPr>
        <w:t>植物</w:t>
      </w:r>
    </w:p>
    <w:p w14:paraId="363BA5D5" w14:textId="77777777" w:rsidR="002E474C" w:rsidRDefault="00000000">
      <w:pPr>
        <w:pStyle w:val="A-z"/>
        <w:rPr>
          <w:color w:val="auto"/>
        </w:rPr>
      </w:pPr>
      <w:r>
        <w:rPr>
          <w:color w:val="auto"/>
        </w:rPr>
        <w:t>按照中国植被自然地理区系的划分，本项目所在区域植被类型属于新疆荒漠区，东疆</w:t>
      </w:r>
      <w:r>
        <w:rPr>
          <w:color w:val="auto"/>
        </w:rPr>
        <w:t>—</w:t>
      </w:r>
      <w:r>
        <w:rPr>
          <w:color w:val="auto"/>
        </w:rPr>
        <w:t>南疆荒漠亚区、东疆荒漠植被区。该区域的植被除绿洲中的人工植被外，基本均属于杜加依林、荒漠类型的灌木、半灌木及小半灌木；在平原区扇缘带以耐盐碱的盐柴类植被为主。</w:t>
      </w:r>
    </w:p>
    <w:p w14:paraId="29559E3E" w14:textId="77777777" w:rsidR="002E474C" w:rsidRDefault="00000000">
      <w:pPr>
        <w:pStyle w:val="A-z"/>
        <w:rPr>
          <w:color w:val="auto"/>
        </w:rPr>
      </w:pPr>
      <w:r>
        <w:rPr>
          <w:color w:val="auto"/>
        </w:rPr>
        <w:t>在新疆荒漠平原，沿着河谷和山前冲积扇以及具有不深的潜水的地段，如洪积扇的边缘地带和平原中的古河床等，成片状或带状分布丰茂的胡杨群系，成片状或带状分布丰茂的胡杨群系，它们与周围稀疏、单调的荒漠形成鲜明的对照。当地的维吾尔人民（以及亚洲荒漠地区的居民）称这种荒漠河岸植被为</w:t>
      </w:r>
      <w:r>
        <w:rPr>
          <w:color w:val="auto"/>
        </w:rPr>
        <w:t>“</w:t>
      </w:r>
      <w:r>
        <w:rPr>
          <w:color w:val="auto"/>
        </w:rPr>
        <w:t>杜加依</w:t>
      </w:r>
      <w:r>
        <w:rPr>
          <w:color w:val="auto"/>
        </w:rPr>
        <w:t>”(Togay)</w:t>
      </w:r>
      <w:r>
        <w:rPr>
          <w:color w:val="auto"/>
        </w:rPr>
        <w:t>，这是在荒漠地带依靠洪水或潜水供给水分的适应一定盐渍化土壤的</w:t>
      </w:r>
      <w:r>
        <w:rPr>
          <w:color w:val="auto"/>
        </w:rPr>
        <w:lastRenderedPageBreak/>
        <w:t>森林、灌丛和草甸植物群落的复合体，是荒漠地区特有的隐域植被。</w:t>
      </w:r>
    </w:p>
    <w:p w14:paraId="54A47D66" w14:textId="77777777" w:rsidR="002E474C" w:rsidRDefault="00000000">
      <w:pPr>
        <w:pStyle w:val="A-z"/>
        <w:rPr>
          <w:color w:val="auto"/>
        </w:rPr>
      </w:pPr>
      <w:r>
        <w:rPr>
          <w:color w:val="auto"/>
        </w:rPr>
        <w:t>托克逊县植被稀疏，天然林和人工林及荒漠灌丛林共有</w:t>
      </w:r>
      <w:r>
        <w:rPr>
          <w:color w:val="auto"/>
        </w:rPr>
        <w:t>8.63</w:t>
      </w:r>
      <w:r>
        <w:rPr>
          <w:color w:val="auto"/>
        </w:rPr>
        <w:t>万亩，森林覆盖率仅为</w:t>
      </w:r>
      <w:r>
        <w:rPr>
          <w:color w:val="auto"/>
        </w:rPr>
        <w:t>0.7%</w:t>
      </w:r>
      <w:r>
        <w:rPr>
          <w:color w:val="auto"/>
        </w:rPr>
        <w:t>，且立木条件较差的树木树种较少，主要乡土树种有白榆、新疆杨、钻天杨、桑树、沙枣树、柳树、红柳等。</w:t>
      </w:r>
    </w:p>
    <w:p w14:paraId="456B99D5" w14:textId="77777777" w:rsidR="002E474C" w:rsidRDefault="00000000">
      <w:pPr>
        <w:pStyle w:val="A-z"/>
        <w:rPr>
          <w:color w:val="auto"/>
        </w:rPr>
      </w:pPr>
      <w:r>
        <w:rPr>
          <w:color w:val="auto"/>
        </w:rPr>
        <w:t>项目所在区域为砾石戈壁，仅有少量耐盐碱的盐柴类植被。</w:t>
      </w:r>
    </w:p>
    <w:p w14:paraId="4BF949CF" w14:textId="77777777" w:rsidR="002E474C" w:rsidRDefault="00000000">
      <w:pPr>
        <w:pStyle w:val="41"/>
        <w:rPr>
          <w:color w:val="auto"/>
        </w:rPr>
      </w:pPr>
      <w:r>
        <w:rPr>
          <w:color w:val="auto"/>
        </w:rPr>
        <w:t>野生动物</w:t>
      </w:r>
    </w:p>
    <w:p w14:paraId="35916457" w14:textId="77777777" w:rsidR="002E474C" w:rsidRDefault="00000000">
      <w:pPr>
        <w:pStyle w:val="A-z"/>
        <w:rPr>
          <w:color w:val="auto"/>
          <w:szCs w:val="24"/>
        </w:rPr>
      </w:pPr>
      <w:r>
        <w:rPr>
          <w:color w:val="auto"/>
        </w:rPr>
        <w:t>该地区野生动物栖息生境类型主要荒漠区、荒漠林区、绿洲农田区。由于植被覆盖度低，自然环境比较恶劣，食源较差，隐蔽性也较差，所以野生动物的种类稀少，分布区域较小，其优势种类主要为爬行类、啮齿类和少量鸟类分布。厂区所在位置为砾石戈壁，基本无野生动物分布。</w:t>
      </w:r>
    </w:p>
    <w:p w14:paraId="25C324CA" w14:textId="77777777" w:rsidR="002E474C" w:rsidRDefault="00000000">
      <w:pPr>
        <w:pStyle w:val="21"/>
        <w:spacing w:before="240" w:after="240"/>
        <w:rPr>
          <w:color w:val="auto"/>
        </w:rPr>
      </w:pPr>
      <w:bookmarkStart w:id="228" w:name="_Toc23107"/>
      <w:bookmarkStart w:id="229" w:name="_Toc225848860"/>
      <w:bookmarkStart w:id="230" w:name="_Toc182815932"/>
      <w:bookmarkStart w:id="231" w:name="_Toc96092963"/>
      <w:r>
        <w:rPr>
          <w:color w:val="auto"/>
        </w:rPr>
        <w:t>托克逊能源重化工工业园区概况</w:t>
      </w:r>
      <w:bookmarkEnd w:id="228"/>
      <w:bookmarkEnd w:id="229"/>
      <w:bookmarkEnd w:id="230"/>
      <w:bookmarkEnd w:id="231"/>
    </w:p>
    <w:p w14:paraId="4A67224A" w14:textId="77777777" w:rsidR="002E474C" w:rsidRDefault="00000000">
      <w:pPr>
        <w:pStyle w:val="31"/>
        <w:spacing w:before="120" w:after="120"/>
        <w:rPr>
          <w:color w:val="auto"/>
        </w:rPr>
      </w:pPr>
      <w:r>
        <w:rPr>
          <w:color w:val="auto"/>
        </w:rPr>
        <w:t>园区发展历程</w:t>
      </w:r>
    </w:p>
    <w:p w14:paraId="719B409B" w14:textId="77777777" w:rsidR="002E474C" w:rsidRDefault="00000000">
      <w:pPr>
        <w:pStyle w:val="A-z"/>
        <w:rPr>
          <w:color w:val="auto"/>
        </w:rPr>
      </w:pPr>
      <w:bookmarkStart w:id="232" w:name="_Hlk182308553"/>
      <w:r>
        <w:rPr>
          <w:color w:val="auto"/>
        </w:rPr>
        <w:t>2006</w:t>
      </w:r>
      <w:r>
        <w:rPr>
          <w:color w:val="auto"/>
        </w:rPr>
        <w:t>年，自治区人民政府批准设立托克逊能源重化工工业园区（新政函〔</w:t>
      </w:r>
      <w:r>
        <w:rPr>
          <w:color w:val="auto"/>
        </w:rPr>
        <w:t>2006</w:t>
      </w:r>
      <w:r>
        <w:rPr>
          <w:color w:val="auto"/>
        </w:rPr>
        <w:t>〕</w:t>
      </w:r>
      <w:r>
        <w:rPr>
          <w:color w:val="auto"/>
        </w:rPr>
        <w:t>194</w:t>
      </w:r>
      <w:r>
        <w:rPr>
          <w:color w:val="auto"/>
        </w:rPr>
        <w:t>号），提出园区发展以能源、盐化工和矿产资源深加工、煤化工产业为主导。托克逊县以此为契机，编制了《新疆托克逊能源重化工工业园区总体规划（</w:t>
      </w:r>
      <w:r>
        <w:rPr>
          <w:color w:val="auto"/>
        </w:rPr>
        <w:t>2015-2030</w:t>
      </w:r>
      <w:r>
        <w:rPr>
          <w:color w:val="auto"/>
        </w:rPr>
        <w:t>）》，规划面积</w:t>
      </w:r>
      <w:r>
        <w:rPr>
          <w:color w:val="auto"/>
        </w:rPr>
        <w:t>21.98km</w:t>
      </w:r>
      <w:r>
        <w:rPr>
          <w:color w:val="auto"/>
          <w:vertAlign w:val="superscript"/>
        </w:rPr>
        <w:t>2</w:t>
      </w:r>
      <w:r>
        <w:rPr>
          <w:color w:val="auto"/>
        </w:rPr>
        <w:t>；新疆圣雄能源股份有限公司同心工业园</w:t>
      </w:r>
      <w:r>
        <w:rPr>
          <w:color w:val="auto"/>
        </w:rPr>
        <w:t>2011</w:t>
      </w:r>
      <w:r>
        <w:rPr>
          <w:color w:val="auto"/>
        </w:rPr>
        <w:t>年由新疆维尔自治区人民政府以</w:t>
      </w:r>
      <w:r>
        <w:rPr>
          <w:color w:val="auto"/>
        </w:rPr>
        <w:t>“</w:t>
      </w:r>
      <w:r>
        <w:rPr>
          <w:color w:val="auto"/>
        </w:rPr>
        <w:t>新政函〔</w:t>
      </w:r>
      <w:r>
        <w:rPr>
          <w:color w:val="auto"/>
        </w:rPr>
        <w:t>2011</w:t>
      </w:r>
      <w:r>
        <w:rPr>
          <w:color w:val="auto"/>
        </w:rPr>
        <w:t>〕</w:t>
      </w:r>
      <w:r>
        <w:rPr>
          <w:color w:val="auto"/>
        </w:rPr>
        <w:t>305</w:t>
      </w:r>
      <w:r>
        <w:rPr>
          <w:color w:val="auto"/>
        </w:rPr>
        <w:t>号</w:t>
      </w:r>
      <w:r>
        <w:rPr>
          <w:color w:val="auto"/>
        </w:rPr>
        <w:t>”</w:t>
      </w:r>
      <w:r>
        <w:rPr>
          <w:color w:val="auto"/>
        </w:rPr>
        <w:t>批准设立，规划面积</w:t>
      </w:r>
      <w:r>
        <w:rPr>
          <w:color w:val="auto"/>
        </w:rPr>
        <w:t>7.2km</w:t>
      </w:r>
      <w:r>
        <w:rPr>
          <w:color w:val="auto"/>
          <w:vertAlign w:val="superscript"/>
        </w:rPr>
        <w:t>2</w:t>
      </w:r>
      <w:r>
        <w:rPr>
          <w:color w:val="auto"/>
        </w:rPr>
        <w:t>；</w:t>
      </w:r>
      <w:r>
        <w:rPr>
          <w:color w:val="auto"/>
        </w:rPr>
        <w:t>2016</w:t>
      </w:r>
      <w:r>
        <w:rPr>
          <w:color w:val="auto"/>
        </w:rPr>
        <w:t>年</w:t>
      </w:r>
      <w:r>
        <w:rPr>
          <w:color w:val="auto"/>
        </w:rPr>
        <w:t>5</w:t>
      </w:r>
      <w:r>
        <w:rPr>
          <w:color w:val="auto"/>
        </w:rPr>
        <w:t>月，吐鲁番市人民政府出具《关于托克逊伊拉湖循环经济产业园总体规划（</w:t>
      </w:r>
      <w:r>
        <w:rPr>
          <w:color w:val="auto"/>
        </w:rPr>
        <w:t>2015-2030</w:t>
      </w:r>
      <w:r>
        <w:rPr>
          <w:color w:val="auto"/>
        </w:rPr>
        <w:t>）和托克逊伊拉湖循环经济产业园产业发展规划（</w:t>
      </w:r>
      <w:r>
        <w:rPr>
          <w:color w:val="auto"/>
        </w:rPr>
        <w:t>2016-2020</w:t>
      </w:r>
      <w:r>
        <w:rPr>
          <w:color w:val="auto"/>
        </w:rPr>
        <w:t>）的批复》（吐政发〔</w:t>
      </w:r>
      <w:r>
        <w:rPr>
          <w:color w:val="auto"/>
        </w:rPr>
        <w:t>2016</w:t>
      </w:r>
      <w:r>
        <w:rPr>
          <w:color w:val="auto"/>
        </w:rPr>
        <w:t>〕</w:t>
      </w:r>
      <w:r>
        <w:rPr>
          <w:color w:val="auto"/>
        </w:rPr>
        <w:t>79</w:t>
      </w:r>
      <w:r>
        <w:rPr>
          <w:color w:val="auto"/>
        </w:rPr>
        <w:t>号），规模面积</w:t>
      </w:r>
      <w:r>
        <w:rPr>
          <w:color w:val="auto"/>
        </w:rPr>
        <w:t>9.95km</w:t>
      </w:r>
      <w:r>
        <w:rPr>
          <w:color w:val="auto"/>
          <w:vertAlign w:val="superscript"/>
        </w:rPr>
        <w:t>2</w:t>
      </w:r>
      <w:r>
        <w:rPr>
          <w:color w:val="auto"/>
        </w:rPr>
        <w:t>。</w:t>
      </w:r>
    </w:p>
    <w:p w14:paraId="6C0A5E56" w14:textId="77777777" w:rsidR="002E474C" w:rsidRDefault="00000000">
      <w:pPr>
        <w:pStyle w:val="A-z"/>
        <w:rPr>
          <w:color w:val="auto"/>
        </w:rPr>
      </w:pPr>
      <w:r>
        <w:rPr>
          <w:color w:val="auto"/>
        </w:rPr>
        <w:t>为全面贯彻《国务院办公厅关于促进开发区改革和创新发展的若干意见》（国办发〔</w:t>
      </w:r>
      <w:r>
        <w:rPr>
          <w:color w:val="auto"/>
        </w:rPr>
        <w:t>2017</w:t>
      </w:r>
      <w:r>
        <w:rPr>
          <w:color w:val="auto"/>
        </w:rPr>
        <w:t>〕</w:t>
      </w:r>
      <w:r>
        <w:rPr>
          <w:color w:val="auto"/>
        </w:rPr>
        <w:t>7</w:t>
      </w:r>
      <w:r>
        <w:rPr>
          <w:color w:val="auto"/>
        </w:rPr>
        <w:t>号）、自治区《关于自治区园区体制机制改革的实施意见》（新政国办发〔</w:t>
      </w:r>
      <w:r>
        <w:rPr>
          <w:color w:val="auto"/>
        </w:rPr>
        <w:t>2017</w:t>
      </w:r>
      <w:r>
        <w:rPr>
          <w:color w:val="auto"/>
        </w:rPr>
        <w:t>〕</w:t>
      </w:r>
      <w:r>
        <w:rPr>
          <w:color w:val="auto"/>
        </w:rPr>
        <w:t>213</w:t>
      </w:r>
      <w:r>
        <w:rPr>
          <w:color w:val="auto"/>
        </w:rPr>
        <w:t>号）、《中共吐鲁番市委员会吐鲁番市人民政府关于进一步加快园区高质量发展的若干意见》（吐市党字〔</w:t>
      </w:r>
      <w:r>
        <w:rPr>
          <w:color w:val="auto"/>
        </w:rPr>
        <w:t>2020</w:t>
      </w:r>
      <w:r>
        <w:rPr>
          <w:color w:val="auto"/>
        </w:rPr>
        <w:t>〕</w:t>
      </w:r>
      <w:r>
        <w:rPr>
          <w:color w:val="auto"/>
        </w:rPr>
        <w:t>37</w:t>
      </w:r>
      <w:r>
        <w:rPr>
          <w:color w:val="auto"/>
        </w:rPr>
        <w:t>号），落实自治区</w:t>
      </w:r>
      <w:r>
        <w:rPr>
          <w:color w:val="auto"/>
        </w:rPr>
        <w:t>“</w:t>
      </w:r>
      <w:r>
        <w:rPr>
          <w:color w:val="auto"/>
        </w:rPr>
        <w:t>每个县原则上不超过</w:t>
      </w:r>
      <w:r>
        <w:rPr>
          <w:color w:val="auto"/>
        </w:rPr>
        <w:t>1</w:t>
      </w:r>
      <w:r>
        <w:rPr>
          <w:color w:val="auto"/>
        </w:rPr>
        <w:t>家园区</w:t>
      </w:r>
      <w:r>
        <w:rPr>
          <w:color w:val="auto"/>
        </w:rPr>
        <w:t>”</w:t>
      </w:r>
      <w:r>
        <w:rPr>
          <w:color w:val="auto"/>
        </w:rPr>
        <w:t>精神，托克逊县将</w:t>
      </w:r>
      <w:r>
        <w:rPr>
          <w:color w:val="auto"/>
        </w:rPr>
        <w:t>3</w:t>
      </w:r>
      <w:r>
        <w:rPr>
          <w:color w:val="auto"/>
        </w:rPr>
        <w:t>个园区进行合并整合。</w:t>
      </w:r>
    </w:p>
    <w:p w14:paraId="64D1F5F6" w14:textId="77777777" w:rsidR="002E474C" w:rsidRDefault="00000000">
      <w:pPr>
        <w:pStyle w:val="A-z"/>
        <w:rPr>
          <w:color w:val="auto"/>
        </w:rPr>
      </w:pPr>
      <w:r>
        <w:rPr>
          <w:color w:val="auto"/>
        </w:rPr>
        <w:t>2023</w:t>
      </w:r>
      <w:r>
        <w:rPr>
          <w:color w:val="auto"/>
        </w:rPr>
        <w:t>年</w:t>
      </w:r>
      <w:r>
        <w:rPr>
          <w:color w:val="auto"/>
        </w:rPr>
        <w:t>1</w:t>
      </w:r>
      <w:r>
        <w:rPr>
          <w:color w:val="auto"/>
        </w:rPr>
        <w:t>月，园区取得自治区人民政府《关于同意托克逊能源重化工工业园区扩区的批复》（新政函〔</w:t>
      </w:r>
      <w:r>
        <w:rPr>
          <w:color w:val="auto"/>
        </w:rPr>
        <w:t>2023</w:t>
      </w:r>
      <w:r>
        <w:rPr>
          <w:color w:val="auto"/>
        </w:rPr>
        <w:t>〕</w:t>
      </w:r>
      <w:r>
        <w:rPr>
          <w:color w:val="auto"/>
        </w:rPr>
        <w:t>7</w:t>
      </w:r>
      <w:r>
        <w:rPr>
          <w:color w:val="auto"/>
        </w:rPr>
        <w:t>号），同意园区扩区</w:t>
      </w:r>
      <w:r>
        <w:rPr>
          <w:color w:val="auto"/>
        </w:rPr>
        <w:t>14.99km</w:t>
      </w:r>
      <w:r>
        <w:rPr>
          <w:color w:val="auto"/>
          <w:vertAlign w:val="superscript"/>
        </w:rPr>
        <w:t>2</w:t>
      </w:r>
      <w:r>
        <w:rPr>
          <w:color w:val="auto"/>
        </w:rPr>
        <w:t>，扩区后园</w:t>
      </w:r>
      <w:r>
        <w:rPr>
          <w:color w:val="auto"/>
        </w:rPr>
        <w:lastRenderedPageBreak/>
        <w:t>区总面积增至</w:t>
      </w:r>
      <w:r>
        <w:rPr>
          <w:color w:val="auto"/>
        </w:rPr>
        <w:t>36.97km</w:t>
      </w:r>
      <w:r>
        <w:rPr>
          <w:color w:val="auto"/>
          <w:vertAlign w:val="superscript"/>
        </w:rPr>
        <w:t>2</w:t>
      </w:r>
      <w:r>
        <w:rPr>
          <w:color w:val="auto"/>
        </w:rPr>
        <w:t>。园区扩为</w:t>
      </w:r>
      <w:r>
        <w:rPr>
          <w:color w:val="auto"/>
        </w:rPr>
        <w:t>“</w:t>
      </w:r>
      <w:r>
        <w:rPr>
          <w:color w:val="auto"/>
        </w:rPr>
        <w:t>一园三区</w:t>
      </w:r>
      <w:r>
        <w:rPr>
          <w:color w:val="auto"/>
        </w:rPr>
        <w:t>”</w:t>
      </w:r>
      <w:r>
        <w:rPr>
          <w:color w:val="auto"/>
        </w:rPr>
        <w:t>（</w:t>
      </w:r>
      <w:bookmarkStart w:id="233" w:name="_Hlk182329232"/>
      <w:r>
        <w:rPr>
          <w:color w:val="auto"/>
        </w:rPr>
        <w:t>能源重化工工业园</w:t>
      </w:r>
      <w:bookmarkEnd w:id="233"/>
      <w:r>
        <w:rPr>
          <w:color w:val="auto"/>
        </w:rPr>
        <w:t>、伊拉湖循环经济产业园、圣雄同心工业园），其中：能源重化工工业园面积保持</w:t>
      </w:r>
      <w:r>
        <w:rPr>
          <w:color w:val="auto"/>
        </w:rPr>
        <w:t>21.98km</w:t>
      </w:r>
      <w:r>
        <w:rPr>
          <w:color w:val="auto"/>
          <w:vertAlign w:val="superscript"/>
        </w:rPr>
        <w:t>2</w:t>
      </w:r>
      <w:r>
        <w:rPr>
          <w:color w:val="auto"/>
        </w:rPr>
        <w:t>不变，将伊拉湖循环经济产业园</w:t>
      </w:r>
      <w:r>
        <w:rPr>
          <w:color w:val="auto"/>
        </w:rPr>
        <w:t>7.59km</w:t>
      </w:r>
      <w:r>
        <w:rPr>
          <w:color w:val="auto"/>
          <w:vertAlign w:val="superscript"/>
        </w:rPr>
        <w:t>2</w:t>
      </w:r>
      <w:r>
        <w:rPr>
          <w:color w:val="auto"/>
        </w:rPr>
        <w:t>和圣雄同心工业园</w:t>
      </w:r>
      <w:r>
        <w:rPr>
          <w:color w:val="auto"/>
        </w:rPr>
        <w:t>7.4km</w:t>
      </w:r>
      <w:r>
        <w:rPr>
          <w:color w:val="auto"/>
          <w:vertAlign w:val="superscript"/>
        </w:rPr>
        <w:t>2</w:t>
      </w:r>
      <w:r>
        <w:rPr>
          <w:color w:val="auto"/>
        </w:rPr>
        <w:t>并入园区。</w:t>
      </w:r>
    </w:p>
    <w:p w14:paraId="65D5CDC9" w14:textId="77777777" w:rsidR="002E474C" w:rsidRDefault="00000000">
      <w:pPr>
        <w:pStyle w:val="A-z"/>
        <w:rPr>
          <w:color w:val="auto"/>
        </w:rPr>
      </w:pPr>
      <w:r>
        <w:rPr>
          <w:color w:val="auto"/>
        </w:rPr>
        <w:t>园区扩区调整后，园区管委会委托新疆中泰创新技术研究院有限责任公司编制完成了《托克逊能源重化工工业园区总体规划（</w:t>
      </w:r>
      <w:r>
        <w:rPr>
          <w:color w:val="auto"/>
        </w:rPr>
        <w:t>2023-2035</w:t>
      </w:r>
      <w:r>
        <w:rPr>
          <w:color w:val="auto"/>
        </w:rPr>
        <w:t>）》，委托新疆格润特环保科技有限责任公司编制《托克逊能源重化工业园区总体规划（</w:t>
      </w:r>
      <w:r>
        <w:rPr>
          <w:color w:val="auto"/>
        </w:rPr>
        <w:t>2023-2035</w:t>
      </w:r>
      <w:r>
        <w:rPr>
          <w:color w:val="auto"/>
        </w:rPr>
        <w:t>）环境影响报告书》，于</w:t>
      </w:r>
      <w:r>
        <w:rPr>
          <w:color w:val="auto"/>
        </w:rPr>
        <w:t>2023</w:t>
      </w:r>
      <w:r>
        <w:rPr>
          <w:color w:val="auto"/>
        </w:rPr>
        <w:t>年</w:t>
      </w:r>
      <w:r>
        <w:rPr>
          <w:color w:val="auto"/>
        </w:rPr>
        <w:t>12</w:t>
      </w:r>
      <w:r>
        <w:rPr>
          <w:color w:val="auto"/>
        </w:rPr>
        <w:t>月</w:t>
      </w:r>
      <w:r>
        <w:rPr>
          <w:color w:val="auto"/>
        </w:rPr>
        <w:t>22</w:t>
      </w:r>
      <w:r>
        <w:rPr>
          <w:color w:val="auto"/>
        </w:rPr>
        <w:t>日取得自治区生态环境厅审查意见（新环审〔</w:t>
      </w:r>
      <w:r>
        <w:rPr>
          <w:color w:val="auto"/>
        </w:rPr>
        <w:t>2023</w:t>
      </w:r>
      <w:r>
        <w:rPr>
          <w:color w:val="auto"/>
        </w:rPr>
        <w:t>〕</w:t>
      </w:r>
      <w:r>
        <w:rPr>
          <w:color w:val="auto"/>
        </w:rPr>
        <w:t>307</w:t>
      </w:r>
      <w:r>
        <w:rPr>
          <w:color w:val="auto"/>
        </w:rPr>
        <w:t>号）。</w:t>
      </w:r>
      <w:r>
        <w:rPr>
          <w:color w:val="auto"/>
        </w:rPr>
        <w:t>2024</w:t>
      </w:r>
      <w:r>
        <w:rPr>
          <w:color w:val="auto"/>
        </w:rPr>
        <w:t>年</w:t>
      </w:r>
      <w:r>
        <w:rPr>
          <w:color w:val="auto"/>
        </w:rPr>
        <w:t>7</w:t>
      </w:r>
      <w:r>
        <w:rPr>
          <w:color w:val="auto"/>
        </w:rPr>
        <w:t>月</w:t>
      </w:r>
      <w:r>
        <w:rPr>
          <w:color w:val="auto"/>
        </w:rPr>
        <w:t>9</w:t>
      </w:r>
      <w:r>
        <w:rPr>
          <w:color w:val="auto"/>
        </w:rPr>
        <w:t>日，吐鲁番人民政府出具了关于同意《托克逊能源重化工工业园区总体规划（</w:t>
      </w:r>
      <w:r>
        <w:rPr>
          <w:color w:val="auto"/>
        </w:rPr>
        <w:t>2023-2035</w:t>
      </w:r>
      <w:r>
        <w:rPr>
          <w:color w:val="auto"/>
        </w:rPr>
        <w:t>年）》的批复（吐政函〔</w:t>
      </w:r>
      <w:r>
        <w:rPr>
          <w:color w:val="auto"/>
        </w:rPr>
        <w:t>2024</w:t>
      </w:r>
      <w:r>
        <w:rPr>
          <w:color w:val="auto"/>
        </w:rPr>
        <w:t>〕</w:t>
      </w:r>
      <w:r>
        <w:rPr>
          <w:color w:val="auto"/>
        </w:rPr>
        <w:t>142</w:t>
      </w:r>
      <w:r>
        <w:rPr>
          <w:color w:val="auto"/>
        </w:rPr>
        <w:t>号）。</w:t>
      </w:r>
    </w:p>
    <w:p w14:paraId="564475AE" w14:textId="77777777" w:rsidR="002E474C" w:rsidRDefault="00000000">
      <w:pPr>
        <w:pStyle w:val="A-z"/>
        <w:rPr>
          <w:color w:val="auto"/>
          <w:lang w:val="en-US"/>
        </w:rPr>
      </w:pPr>
      <w:r>
        <w:rPr>
          <w:color w:val="auto"/>
        </w:rPr>
        <w:t>2024</w:t>
      </w:r>
      <w:r>
        <w:rPr>
          <w:color w:val="auto"/>
        </w:rPr>
        <w:t>年</w:t>
      </w:r>
      <w:r>
        <w:rPr>
          <w:color w:val="auto"/>
        </w:rPr>
        <w:t>1</w:t>
      </w:r>
      <w:r>
        <w:rPr>
          <w:color w:val="auto"/>
        </w:rPr>
        <w:t>月，托克逊能源重化工工业园区管理委员会委托新疆格润特环保科技有限责任公司编制完成了《托克逊能源重化工工业园区化工产业集中区总体规划（</w:t>
      </w:r>
      <w:r>
        <w:rPr>
          <w:color w:val="auto"/>
        </w:rPr>
        <w:t>2023-2035</w:t>
      </w:r>
      <w:r>
        <w:rPr>
          <w:color w:val="auto"/>
        </w:rPr>
        <w:t>年）环境影响报告书》，于</w:t>
      </w:r>
      <w:r>
        <w:rPr>
          <w:color w:val="auto"/>
        </w:rPr>
        <w:t>2024</w:t>
      </w:r>
      <w:r>
        <w:rPr>
          <w:color w:val="auto"/>
        </w:rPr>
        <w:t>年</w:t>
      </w:r>
      <w:r>
        <w:rPr>
          <w:color w:val="auto"/>
        </w:rPr>
        <w:t>4</w:t>
      </w:r>
      <w:r>
        <w:rPr>
          <w:color w:val="auto"/>
        </w:rPr>
        <w:t>月</w:t>
      </w:r>
      <w:r>
        <w:rPr>
          <w:color w:val="auto"/>
        </w:rPr>
        <w:t>11</w:t>
      </w:r>
      <w:r>
        <w:rPr>
          <w:color w:val="auto"/>
        </w:rPr>
        <w:t>日取得自治区生态环境厅审查意见（新环审〔</w:t>
      </w:r>
      <w:r>
        <w:rPr>
          <w:color w:val="auto"/>
        </w:rPr>
        <w:t>2024</w:t>
      </w:r>
      <w:r>
        <w:rPr>
          <w:color w:val="auto"/>
        </w:rPr>
        <w:t>〕</w:t>
      </w:r>
      <w:r>
        <w:rPr>
          <w:color w:val="auto"/>
        </w:rPr>
        <w:t>79</w:t>
      </w:r>
      <w:r>
        <w:rPr>
          <w:color w:val="auto"/>
        </w:rPr>
        <w:t>号）</w:t>
      </w:r>
      <w:bookmarkEnd w:id="232"/>
      <w:r>
        <w:rPr>
          <w:color w:val="auto"/>
        </w:rPr>
        <w:t>。</w:t>
      </w:r>
      <w:r>
        <w:rPr>
          <w:color w:val="auto"/>
        </w:rPr>
        <w:t>2</w:t>
      </w:r>
      <w:r>
        <w:rPr>
          <w:color w:val="auto"/>
          <w:lang w:val="en-US"/>
        </w:rPr>
        <w:t>024</w:t>
      </w:r>
      <w:r>
        <w:rPr>
          <w:color w:val="auto"/>
          <w:lang w:val="en-US"/>
        </w:rPr>
        <w:t>年</w:t>
      </w:r>
      <w:r>
        <w:rPr>
          <w:color w:val="auto"/>
          <w:lang w:val="en-US"/>
        </w:rPr>
        <w:t>4</w:t>
      </w:r>
      <w:r>
        <w:rPr>
          <w:color w:val="auto"/>
          <w:lang w:val="en-US"/>
        </w:rPr>
        <w:t>月</w:t>
      </w:r>
      <w:r>
        <w:rPr>
          <w:color w:val="auto"/>
          <w:lang w:val="en-US"/>
        </w:rPr>
        <w:t>15</w:t>
      </w:r>
      <w:r>
        <w:rPr>
          <w:color w:val="auto"/>
          <w:lang w:val="en-US"/>
        </w:rPr>
        <w:t>日，托克逊县人民政府出具了《关于对托克逊能源重化工工业园区化工产业集中区总体规划（</w:t>
      </w:r>
      <w:r>
        <w:rPr>
          <w:color w:val="auto"/>
          <w:lang w:val="en-US"/>
        </w:rPr>
        <w:t>2023-2035</w:t>
      </w:r>
      <w:r>
        <w:rPr>
          <w:color w:val="auto"/>
          <w:lang w:val="en-US"/>
        </w:rPr>
        <w:t>年）的批复》（托政发〔</w:t>
      </w:r>
      <w:r>
        <w:rPr>
          <w:color w:val="auto"/>
          <w:lang w:val="en-US"/>
        </w:rPr>
        <w:t>2024</w:t>
      </w:r>
      <w:r>
        <w:rPr>
          <w:color w:val="auto"/>
          <w:lang w:val="en-US"/>
        </w:rPr>
        <w:t>〕</w:t>
      </w:r>
      <w:r>
        <w:rPr>
          <w:color w:val="auto"/>
          <w:lang w:val="en-US"/>
        </w:rPr>
        <w:t>47</w:t>
      </w:r>
      <w:r>
        <w:rPr>
          <w:color w:val="auto"/>
          <w:lang w:val="en-US"/>
        </w:rPr>
        <w:t>号）。</w:t>
      </w:r>
    </w:p>
    <w:p w14:paraId="1B637000" w14:textId="77777777" w:rsidR="002E474C" w:rsidRDefault="00000000">
      <w:pPr>
        <w:pStyle w:val="31"/>
        <w:spacing w:before="120" w:after="120"/>
        <w:rPr>
          <w:color w:val="auto"/>
        </w:rPr>
      </w:pPr>
      <w:r>
        <w:rPr>
          <w:color w:val="auto"/>
        </w:rPr>
        <w:t>《托克逊能源重化工业园区总体规划（</w:t>
      </w:r>
      <w:r>
        <w:rPr>
          <w:color w:val="auto"/>
        </w:rPr>
        <w:t>2023-2035</w:t>
      </w:r>
      <w:r>
        <w:rPr>
          <w:color w:val="auto"/>
        </w:rPr>
        <w:t>）》</w:t>
      </w:r>
    </w:p>
    <w:p w14:paraId="50CC7708" w14:textId="77777777" w:rsidR="002E474C" w:rsidRDefault="00000000">
      <w:pPr>
        <w:pStyle w:val="41"/>
        <w:rPr>
          <w:color w:val="auto"/>
        </w:rPr>
      </w:pPr>
      <w:r>
        <w:rPr>
          <w:color w:val="auto"/>
        </w:rPr>
        <w:t>规划范围</w:t>
      </w:r>
    </w:p>
    <w:p w14:paraId="4EFF4F3D" w14:textId="77777777" w:rsidR="002E474C" w:rsidRDefault="00000000">
      <w:pPr>
        <w:pStyle w:val="A-z"/>
        <w:rPr>
          <w:color w:val="auto"/>
        </w:rPr>
      </w:pPr>
      <w:r>
        <w:rPr>
          <w:color w:val="auto"/>
        </w:rPr>
        <w:t>能源重化工工业园：托克逊县城区南约</w:t>
      </w:r>
      <w:r>
        <w:rPr>
          <w:color w:val="auto"/>
        </w:rPr>
        <w:t>2.5km</w:t>
      </w:r>
      <w:r>
        <w:rPr>
          <w:color w:val="auto"/>
        </w:rPr>
        <w:t>处，吐哈高速以东区域，规划面积</w:t>
      </w:r>
      <w:r>
        <w:rPr>
          <w:color w:val="auto"/>
        </w:rPr>
        <w:t>21.98km²</w:t>
      </w:r>
      <w:r>
        <w:rPr>
          <w:color w:val="auto"/>
        </w:rPr>
        <w:t>；</w:t>
      </w:r>
    </w:p>
    <w:p w14:paraId="338FAF21" w14:textId="77777777" w:rsidR="002E474C" w:rsidRDefault="00000000">
      <w:pPr>
        <w:pStyle w:val="A-z"/>
        <w:rPr>
          <w:color w:val="auto"/>
        </w:rPr>
      </w:pPr>
      <w:r>
        <w:rPr>
          <w:color w:val="auto"/>
        </w:rPr>
        <w:t>伊拉湖循环经济产业园：托克逊县城以西约</w:t>
      </w:r>
      <w:r>
        <w:rPr>
          <w:color w:val="auto"/>
        </w:rPr>
        <w:t>25km</w:t>
      </w:r>
      <w:r>
        <w:rPr>
          <w:color w:val="auto"/>
        </w:rPr>
        <w:t>，距南疆铁路鱼儿沟火车站约</w:t>
      </w:r>
      <w:r>
        <w:rPr>
          <w:color w:val="auto"/>
        </w:rPr>
        <w:t>36km</w:t>
      </w:r>
      <w:r>
        <w:rPr>
          <w:color w:val="auto"/>
        </w:rPr>
        <w:t>，阿乐惠镇约</w:t>
      </w:r>
      <w:r>
        <w:rPr>
          <w:color w:val="auto"/>
        </w:rPr>
        <w:t>38km</w:t>
      </w:r>
      <w:r>
        <w:rPr>
          <w:color w:val="auto"/>
        </w:rPr>
        <w:t>，东距伊拉湖镇中心约</w:t>
      </w:r>
      <w:r>
        <w:rPr>
          <w:color w:val="auto"/>
        </w:rPr>
        <w:t>10km</w:t>
      </w:r>
      <w:r>
        <w:rPr>
          <w:color w:val="auto"/>
        </w:rPr>
        <w:t>，规划面积</w:t>
      </w:r>
      <w:r>
        <w:rPr>
          <w:color w:val="auto"/>
        </w:rPr>
        <w:t>7.59km²</w:t>
      </w:r>
      <w:r>
        <w:rPr>
          <w:color w:val="auto"/>
        </w:rPr>
        <w:t>。</w:t>
      </w:r>
    </w:p>
    <w:p w14:paraId="2A3E41E8" w14:textId="77777777" w:rsidR="002E474C" w:rsidRDefault="00000000">
      <w:pPr>
        <w:pStyle w:val="A-z"/>
        <w:rPr>
          <w:color w:val="auto"/>
        </w:rPr>
      </w:pPr>
      <w:r>
        <w:rPr>
          <w:color w:val="auto"/>
        </w:rPr>
        <w:t>圣雄同心工业园：位于阿乐惠镇，距托克逊县城中心</w:t>
      </w:r>
      <w:r>
        <w:rPr>
          <w:color w:val="auto"/>
        </w:rPr>
        <w:t>63km</w:t>
      </w:r>
      <w:r>
        <w:rPr>
          <w:color w:val="auto"/>
        </w:rPr>
        <w:t>，位于托克逊</w:t>
      </w:r>
      <w:r>
        <w:rPr>
          <w:color w:val="auto"/>
        </w:rPr>
        <w:t>301</w:t>
      </w:r>
      <w:r>
        <w:rPr>
          <w:color w:val="auto"/>
        </w:rPr>
        <w:t>省道</w:t>
      </w:r>
      <w:r>
        <w:rPr>
          <w:color w:val="auto"/>
        </w:rPr>
        <w:t>123km</w:t>
      </w:r>
      <w:r>
        <w:rPr>
          <w:color w:val="auto"/>
        </w:rPr>
        <w:t>处，规划面积</w:t>
      </w:r>
      <w:r>
        <w:rPr>
          <w:color w:val="auto"/>
        </w:rPr>
        <w:t>7.4 km²</w:t>
      </w:r>
      <w:r>
        <w:rPr>
          <w:color w:val="auto"/>
        </w:rPr>
        <w:t>。</w:t>
      </w:r>
    </w:p>
    <w:p w14:paraId="31732E9C" w14:textId="77777777" w:rsidR="002E474C" w:rsidRDefault="00000000">
      <w:pPr>
        <w:pStyle w:val="41"/>
        <w:rPr>
          <w:color w:val="auto"/>
        </w:rPr>
      </w:pPr>
      <w:r>
        <w:rPr>
          <w:color w:val="auto"/>
        </w:rPr>
        <w:t>规划期限</w:t>
      </w:r>
    </w:p>
    <w:p w14:paraId="2ACFDB88" w14:textId="77777777" w:rsidR="002E474C" w:rsidRDefault="00000000">
      <w:pPr>
        <w:pStyle w:val="A-z"/>
        <w:rPr>
          <w:color w:val="auto"/>
        </w:rPr>
      </w:pPr>
      <w:r>
        <w:rPr>
          <w:color w:val="auto"/>
        </w:rPr>
        <w:t>规划期限：</w:t>
      </w:r>
      <w:r>
        <w:rPr>
          <w:color w:val="auto"/>
        </w:rPr>
        <w:t>2023-2035</w:t>
      </w:r>
      <w:r>
        <w:rPr>
          <w:color w:val="auto"/>
        </w:rPr>
        <w:t>年</w:t>
      </w:r>
    </w:p>
    <w:p w14:paraId="0325C77A" w14:textId="77777777" w:rsidR="002E474C" w:rsidRDefault="00000000">
      <w:pPr>
        <w:pStyle w:val="A-z"/>
        <w:rPr>
          <w:color w:val="auto"/>
        </w:rPr>
      </w:pPr>
      <w:r>
        <w:rPr>
          <w:color w:val="auto"/>
        </w:rPr>
        <w:t>近期：</w:t>
      </w:r>
      <w:r>
        <w:rPr>
          <w:color w:val="auto"/>
        </w:rPr>
        <w:t>2023</w:t>
      </w:r>
      <w:r>
        <w:rPr>
          <w:color w:val="auto"/>
        </w:rPr>
        <w:t>年</w:t>
      </w:r>
      <w:r>
        <w:rPr>
          <w:color w:val="auto"/>
        </w:rPr>
        <w:t>-2025</w:t>
      </w:r>
      <w:r>
        <w:rPr>
          <w:color w:val="auto"/>
        </w:rPr>
        <w:t>年</w:t>
      </w:r>
    </w:p>
    <w:p w14:paraId="5B624958" w14:textId="77777777" w:rsidR="002E474C" w:rsidRDefault="00000000">
      <w:pPr>
        <w:pStyle w:val="A-z"/>
        <w:rPr>
          <w:color w:val="auto"/>
        </w:rPr>
      </w:pPr>
      <w:r>
        <w:rPr>
          <w:color w:val="auto"/>
        </w:rPr>
        <w:t>远期：</w:t>
      </w:r>
      <w:r>
        <w:rPr>
          <w:color w:val="auto"/>
        </w:rPr>
        <w:t>2026</w:t>
      </w:r>
      <w:r>
        <w:rPr>
          <w:color w:val="auto"/>
        </w:rPr>
        <w:t>年</w:t>
      </w:r>
      <w:r>
        <w:rPr>
          <w:color w:val="auto"/>
        </w:rPr>
        <w:t>-2035</w:t>
      </w:r>
      <w:r>
        <w:rPr>
          <w:color w:val="auto"/>
        </w:rPr>
        <w:t>年</w:t>
      </w:r>
    </w:p>
    <w:p w14:paraId="64A48D62" w14:textId="77777777" w:rsidR="002E474C" w:rsidRDefault="00000000">
      <w:pPr>
        <w:pStyle w:val="A-z"/>
        <w:rPr>
          <w:color w:val="auto"/>
        </w:rPr>
      </w:pPr>
      <w:r>
        <w:rPr>
          <w:color w:val="auto"/>
        </w:rPr>
        <w:lastRenderedPageBreak/>
        <w:t>远景展望：</w:t>
      </w:r>
      <w:r>
        <w:rPr>
          <w:color w:val="auto"/>
        </w:rPr>
        <w:t>2036</w:t>
      </w:r>
      <w:r>
        <w:rPr>
          <w:color w:val="auto"/>
        </w:rPr>
        <w:t>年</w:t>
      </w:r>
      <w:r>
        <w:rPr>
          <w:color w:val="auto"/>
        </w:rPr>
        <w:t>-2046</w:t>
      </w:r>
      <w:r>
        <w:rPr>
          <w:color w:val="auto"/>
        </w:rPr>
        <w:t>年</w:t>
      </w:r>
    </w:p>
    <w:p w14:paraId="17D0E656" w14:textId="77777777" w:rsidR="002E474C" w:rsidRDefault="00000000">
      <w:pPr>
        <w:pStyle w:val="41"/>
        <w:rPr>
          <w:color w:val="auto"/>
        </w:rPr>
      </w:pPr>
      <w:r>
        <w:rPr>
          <w:color w:val="auto"/>
        </w:rPr>
        <w:t>规划目标</w:t>
      </w:r>
    </w:p>
    <w:p w14:paraId="44211CC7" w14:textId="77777777" w:rsidR="002E474C" w:rsidRDefault="00000000">
      <w:pPr>
        <w:pStyle w:val="A-z"/>
        <w:rPr>
          <w:color w:val="auto"/>
        </w:rPr>
      </w:pPr>
      <w:r>
        <w:rPr>
          <w:color w:val="auto"/>
        </w:rPr>
        <w:t>（</w:t>
      </w:r>
      <w:r>
        <w:rPr>
          <w:color w:val="auto"/>
        </w:rPr>
        <w:t>1</w:t>
      </w:r>
      <w:r>
        <w:rPr>
          <w:color w:val="auto"/>
        </w:rPr>
        <w:t>）总体目标</w:t>
      </w:r>
    </w:p>
    <w:p w14:paraId="4559C639" w14:textId="77777777" w:rsidR="002E474C" w:rsidRDefault="00000000">
      <w:pPr>
        <w:pStyle w:val="A-z"/>
        <w:rPr>
          <w:color w:val="auto"/>
        </w:rPr>
      </w:pPr>
      <w:r>
        <w:rPr>
          <w:color w:val="auto"/>
        </w:rPr>
        <w:t>以推进工业经济高质量发展为重点，加快主导产业发展，培育战略性新兴产业，推进传统产业转型升级。加快完善</w:t>
      </w:r>
      <w:r>
        <w:rPr>
          <w:color w:val="auto"/>
        </w:rPr>
        <w:t>“</w:t>
      </w:r>
      <w:r>
        <w:rPr>
          <w:color w:val="auto"/>
        </w:rPr>
        <w:t>一园三区</w:t>
      </w:r>
      <w:r>
        <w:rPr>
          <w:color w:val="auto"/>
        </w:rPr>
        <w:t>”</w:t>
      </w:r>
      <w:r>
        <w:rPr>
          <w:color w:val="auto"/>
        </w:rPr>
        <w:t>的园区发展格局，打造全国重要的煤化工基地、全国重要的再生资源循环利用生产基地暨西部重要的汽车电池生产基地、新疆重要的能源基地暨新疆西电东送的重要支撑点、新材料产业基地暨西部重要的家装瓷业生产基地，打造工业强县，把托克逊建成</w:t>
      </w:r>
      <w:r>
        <w:rPr>
          <w:color w:val="auto"/>
        </w:rPr>
        <w:t>“</w:t>
      </w:r>
      <w:r>
        <w:rPr>
          <w:color w:val="auto"/>
        </w:rPr>
        <w:t>丝绸之路经济带</w:t>
      </w:r>
      <w:r>
        <w:rPr>
          <w:color w:val="auto"/>
        </w:rPr>
        <w:t>”</w:t>
      </w:r>
      <w:r>
        <w:rPr>
          <w:color w:val="auto"/>
        </w:rPr>
        <w:t>核心区建设的产业重镇和新疆新型工业化先行区。</w:t>
      </w:r>
    </w:p>
    <w:p w14:paraId="201660EF" w14:textId="77777777" w:rsidR="002E474C" w:rsidRDefault="00000000">
      <w:pPr>
        <w:pStyle w:val="A-z"/>
        <w:rPr>
          <w:color w:val="auto"/>
        </w:rPr>
      </w:pPr>
      <w:r>
        <w:rPr>
          <w:color w:val="auto"/>
        </w:rPr>
        <w:t>（</w:t>
      </w:r>
      <w:r>
        <w:rPr>
          <w:color w:val="auto"/>
        </w:rPr>
        <w:t>2</w:t>
      </w:r>
      <w:r>
        <w:rPr>
          <w:color w:val="auto"/>
        </w:rPr>
        <w:t>）分期目标</w:t>
      </w:r>
    </w:p>
    <w:p w14:paraId="15917DB4" w14:textId="77777777" w:rsidR="002E474C" w:rsidRDefault="00000000">
      <w:pPr>
        <w:pStyle w:val="A-z"/>
        <w:rPr>
          <w:color w:val="auto"/>
        </w:rPr>
      </w:pPr>
      <w:r>
        <w:rPr>
          <w:color w:val="auto"/>
        </w:rPr>
        <w:t>建成产业布局合理、企业优势突出、基础设施配套齐全的一园三区，形成公共服务设施高效利用、管理规范、服务优良的环保节能型综合工业园区。</w:t>
      </w:r>
      <w:r>
        <w:rPr>
          <w:color w:val="auto"/>
        </w:rPr>
        <w:t xml:space="preserve"> </w:t>
      </w:r>
    </w:p>
    <w:p w14:paraId="099023CF" w14:textId="77777777" w:rsidR="002E474C" w:rsidRDefault="00000000">
      <w:pPr>
        <w:pStyle w:val="A-z"/>
        <w:rPr>
          <w:color w:val="auto"/>
        </w:rPr>
      </w:pPr>
      <w:r>
        <w:rPr>
          <w:color w:val="auto"/>
        </w:rPr>
        <w:t>近期目标：到</w:t>
      </w:r>
      <w:r>
        <w:rPr>
          <w:color w:val="auto"/>
        </w:rPr>
        <w:t>2025</w:t>
      </w:r>
      <w:r>
        <w:rPr>
          <w:color w:val="auto"/>
        </w:rPr>
        <w:t>年，园区基础设施建设完成，化工园区经济效益综合指数、土地集约节约利用达到园区平均水平；主导产业骨干企业建成运行，建成园区具备良好的企业入驻条件。利用</w:t>
      </w:r>
      <w:r>
        <w:rPr>
          <w:color w:val="auto"/>
        </w:rPr>
        <w:t>2</w:t>
      </w:r>
      <w:r>
        <w:rPr>
          <w:color w:val="auto"/>
        </w:rPr>
        <w:t>年时间，建设</w:t>
      </w:r>
      <w:r>
        <w:rPr>
          <w:color w:val="auto"/>
        </w:rPr>
        <w:t>“</w:t>
      </w:r>
      <w:r>
        <w:rPr>
          <w:color w:val="auto"/>
        </w:rPr>
        <w:t>两链两基地</w:t>
      </w:r>
      <w:r>
        <w:rPr>
          <w:color w:val="auto"/>
        </w:rPr>
        <w:t>”</w:t>
      </w:r>
      <w:r>
        <w:rPr>
          <w:color w:val="auto"/>
        </w:rPr>
        <w:t>。能源重化工工业园近期用地</w:t>
      </w:r>
      <w:r>
        <w:rPr>
          <w:color w:val="auto"/>
        </w:rPr>
        <w:t>813.09hm²</w:t>
      </w:r>
      <w:r>
        <w:rPr>
          <w:color w:val="auto"/>
        </w:rPr>
        <w:t>园区土地基础设施建设完成、伊拉湖循环经济产业园近期用地</w:t>
      </w:r>
      <w:r>
        <w:rPr>
          <w:color w:val="auto"/>
        </w:rPr>
        <w:t>589.52hm²</w:t>
      </w:r>
      <w:r>
        <w:rPr>
          <w:color w:val="auto"/>
        </w:rPr>
        <w:t>园区土地基础设施建设完成、圣雄同心工业园近期用地</w:t>
      </w:r>
      <w:r>
        <w:rPr>
          <w:color w:val="auto"/>
        </w:rPr>
        <w:t>447.90hm²</w:t>
      </w:r>
      <w:r>
        <w:rPr>
          <w:color w:val="auto"/>
        </w:rPr>
        <w:t>园区土地基础设施建设完成；远期目标：到</w:t>
      </w:r>
      <w:r>
        <w:rPr>
          <w:color w:val="auto"/>
        </w:rPr>
        <w:t>2035</w:t>
      </w:r>
      <w:r>
        <w:rPr>
          <w:color w:val="auto"/>
        </w:rPr>
        <w:t>年，能源重化工工业园远期用地</w:t>
      </w:r>
      <w:r>
        <w:rPr>
          <w:color w:val="auto"/>
        </w:rPr>
        <w:t>2201.77hm²</w:t>
      </w:r>
      <w:r>
        <w:rPr>
          <w:color w:val="auto"/>
        </w:rPr>
        <w:t>，伊拉湖循环经济产业园远期用地</w:t>
      </w:r>
      <w:r>
        <w:rPr>
          <w:color w:val="auto"/>
        </w:rPr>
        <w:t>760.0hm²</w:t>
      </w:r>
      <w:r>
        <w:rPr>
          <w:color w:val="auto"/>
        </w:rPr>
        <w:t>，圣雄同心工业园远期用地</w:t>
      </w:r>
      <w:r>
        <w:rPr>
          <w:color w:val="auto"/>
        </w:rPr>
        <w:t>739.61hm²</w:t>
      </w:r>
      <w:r>
        <w:rPr>
          <w:color w:val="auto"/>
        </w:rPr>
        <w:t>。利用化工园区工业企业的规模、形成煤化工、装备制造业、绿色建材、再生资源制造产业集约发展的产业集群，质量和效益达到园区较高水平，提高较强的竞争力。</w:t>
      </w:r>
    </w:p>
    <w:p w14:paraId="79BA5F43" w14:textId="77777777" w:rsidR="002E474C" w:rsidRDefault="00000000">
      <w:pPr>
        <w:pStyle w:val="41"/>
        <w:rPr>
          <w:color w:val="auto"/>
        </w:rPr>
      </w:pPr>
      <w:r>
        <w:rPr>
          <w:color w:val="auto"/>
        </w:rPr>
        <w:t>产业定位</w:t>
      </w:r>
    </w:p>
    <w:p w14:paraId="7DE58DD7" w14:textId="77777777" w:rsidR="002E474C" w:rsidRDefault="00000000">
      <w:pPr>
        <w:pStyle w:val="A-z"/>
        <w:rPr>
          <w:color w:val="auto"/>
        </w:rPr>
      </w:pPr>
      <w:r>
        <w:rPr>
          <w:color w:val="auto"/>
        </w:rPr>
        <w:t>（</w:t>
      </w:r>
      <w:r>
        <w:rPr>
          <w:color w:val="auto"/>
        </w:rPr>
        <w:t>1</w:t>
      </w:r>
      <w:r>
        <w:rPr>
          <w:color w:val="auto"/>
        </w:rPr>
        <w:t>）能源重化工工业园</w:t>
      </w:r>
    </w:p>
    <w:p w14:paraId="6A7F5EB9" w14:textId="77777777" w:rsidR="002E474C" w:rsidRDefault="00000000">
      <w:pPr>
        <w:pStyle w:val="A-z"/>
        <w:rPr>
          <w:color w:val="auto"/>
        </w:rPr>
      </w:pPr>
      <w:r>
        <w:rPr>
          <w:color w:val="auto"/>
        </w:rPr>
        <w:t>利用较完备的基础设施，拓展建设绿色建材产业园，布局发展新型节能环保建筑材料以及石材、水泥、陶瓷等产业。拓展建设再生资源循环经济产业园，布局发展报废旧件回收、拆解、再制造产业，加快氯碱工业、现代煤化工和纺织工业的产业深度融合发展；形成煤化工、装备制造业、绿色建材、再生资源制造、</w:t>
      </w:r>
      <w:r>
        <w:rPr>
          <w:color w:val="auto"/>
        </w:rPr>
        <w:lastRenderedPageBreak/>
        <w:t>纺织服装为主的产业集约发展的产业集群；围绕现有企业上下游、左右端产业，进一步延伸电石</w:t>
      </w:r>
      <w:r>
        <w:rPr>
          <w:color w:val="auto"/>
        </w:rPr>
        <w:t>-</w:t>
      </w:r>
      <w:r>
        <w:rPr>
          <w:color w:val="auto"/>
        </w:rPr>
        <w:t>聚氯乙烯产业链，积极引进配套产业项目，突出延链、补链关键点，以工业转型升级为主线，打造全疆重要的塑化产业基地。</w:t>
      </w:r>
    </w:p>
    <w:p w14:paraId="3361D585" w14:textId="77777777" w:rsidR="002E474C" w:rsidRDefault="00000000">
      <w:pPr>
        <w:pStyle w:val="A-z"/>
        <w:rPr>
          <w:color w:val="auto"/>
        </w:rPr>
      </w:pPr>
      <w:r>
        <w:rPr>
          <w:color w:val="auto"/>
        </w:rPr>
        <w:t>（</w:t>
      </w:r>
      <w:r>
        <w:rPr>
          <w:color w:val="auto"/>
        </w:rPr>
        <w:t>2</w:t>
      </w:r>
      <w:r>
        <w:rPr>
          <w:color w:val="auto"/>
        </w:rPr>
        <w:t>）圣雄同心工业园</w:t>
      </w:r>
    </w:p>
    <w:p w14:paraId="4B4921E3" w14:textId="77777777" w:rsidR="002E474C" w:rsidRDefault="00000000">
      <w:pPr>
        <w:pStyle w:val="A-z"/>
        <w:ind w:firstLine="456"/>
        <w:rPr>
          <w:color w:val="auto"/>
          <w:spacing w:val="-6"/>
        </w:rPr>
      </w:pPr>
      <w:r>
        <w:rPr>
          <w:color w:val="auto"/>
          <w:spacing w:val="-6"/>
        </w:rPr>
        <w:t>依托已形成电石、</w:t>
      </w:r>
      <w:r>
        <w:rPr>
          <w:color w:val="auto"/>
          <w:spacing w:val="-6"/>
        </w:rPr>
        <w:t>PVC</w:t>
      </w:r>
      <w:r>
        <w:rPr>
          <w:color w:val="auto"/>
          <w:spacing w:val="-6"/>
        </w:rPr>
        <w:t>、水泥、火力发电等产业基础，加快产业转型升级，重点发展甲醇、烯烃、醋酸等煤基新材料循环经济项目，进一步促进该片区经济发展。</w:t>
      </w:r>
    </w:p>
    <w:p w14:paraId="4FA5E1BF" w14:textId="77777777" w:rsidR="002E474C" w:rsidRDefault="00000000">
      <w:pPr>
        <w:pStyle w:val="A-z"/>
        <w:rPr>
          <w:color w:val="auto"/>
        </w:rPr>
      </w:pPr>
      <w:r>
        <w:rPr>
          <w:color w:val="auto"/>
        </w:rPr>
        <w:t>（</w:t>
      </w:r>
      <w:r>
        <w:rPr>
          <w:color w:val="auto"/>
        </w:rPr>
        <w:t>3</w:t>
      </w:r>
      <w:r>
        <w:rPr>
          <w:color w:val="auto"/>
        </w:rPr>
        <w:t>）伊拉湖循环经济产业园</w:t>
      </w:r>
    </w:p>
    <w:p w14:paraId="29D245E3" w14:textId="77777777" w:rsidR="002E474C" w:rsidRDefault="00000000">
      <w:pPr>
        <w:pStyle w:val="A-z"/>
        <w:rPr>
          <w:color w:val="auto"/>
        </w:rPr>
      </w:pPr>
      <w:r>
        <w:rPr>
          <w:color w:val="auto"/>
        </w:rPr>
        <w:t>重点发展煤炭分质清洁高效转化综合利用、煤炭热解、延伸发展低阶煤提质联合制氢、油－煤共炼、重油加工、洁净煤发电等产业，同时积极开展下游产业链延伸，实现产品高端化、多元化、低碳化发展，形成规模化的现代煤化工产业集聚区；并建立围绕聚碳、聚酯、氟化工、氢能产业为基础延伸上下游共同发展的新材料化工产业基地。</w:t>
      </w:r>
    </w:p>
    <w:p w14:paraId="02CFE5B8" w14:textId="77777777" w:rsidR="002E474C" w:rsidRDefault="00000000">
      <w:pPr>
        <w:pStyle w:val="A-z"/>
        <w:rPr>
          <w:color w:val="auto"/>
        </w:rPr>
      </w:pPr>
      <w:r>
        <w:rPr>
          <w:color w:val="auto"/>
        </w:rPr>
        <w:t>本项目位于圣雄同心工业园，圣雄水泥公司以新疆圣雄氯碱有限公司产出的电石渣为原料生产水泥产品，属于氯碱配套产业，位于氯碱配套产业区，符合园区产业布局。</w:t>
      </w:r>
    </w:p>
    <w:p w14:paraId="7CAC658F" w14:textId="77777777" w:rsidR="002E474C" w:rsidRDefault="00000000">
      <w:pPr>
        <w:pStyle w:val="41"/>
        <w:rPr>
          <w:color w:val="auto"/>
        </w:rPr>
      </w:pPr>
      <w:r>
        <w:rPr>
          <w:color w:val="auto"/>
        </w:rPr>
        <w:t>土地利用规划</w:t>
      </w:r>
    </w:p>
    <w:p w14:paraId="7CC1151C" w14:textId="77777777" w:rsidR="002E474C" w:rsidRDefault="00000000">
      <w:pPr>
        <w:pStyle w:val="A-z"/>
        <w:rPr>
          <w:color w:val="auto"/>
        </w:rPr>
      </w:pPr>
      <w:r>
        <w:rPr>
          <w:color w:val="auto"/>
        </w:rPr>
        <w:t>（</w:t>
      </w:r>
      <w:r>
        <w:rPr>
          <w:color w:val="auto"/>
        </w:rPr>
        <w:t>1</w:t>
      </w:r>
      <w:r>
        <w:rPr>
          <w:color w:val="auto"/>
        </w:rPr>
        <w:t>）能源重化工工业园</w:t>
      </w:r>
    </w:p>
    <w:p w14:paraId="1653D52D" w14:textId="77777777" w:rsidR="002E474C" w:rsidRDefault="00000000">
      <w:pPr>
        <w:pStyle w:val="A-z"/>
        <w:ind w:firstLine="456"/>
        <w:rPr>
          <w:color w:val="auto"/>
          <w:spacing w:val="-6"/>
        </w:rPr>
      </w:pPr>
      <w:r>
        <w:rPr>
          <w:color w:val="auto"/>
          <w:spacing w:val="-6"/>
        </w:rPr>
        <w:t>核心园区规划园区总控制面积</w:t>
      </w:r>
      <w:r>
        <w:rPr>
          <w:color w:val="auto"/>
          <w:spacing w:val="-6"/>
        </w:rPr>
        <w:t>2201.77hm</w:t>
      </w:r>
      <w:r>
        <w:rPr>
          <w:color w:val="auto"/>
          <w:spacing w:val="-6"/>
          <w:vertAlign w:val="superscript"/>
        </w:rPr>
        <w:t>2</w:t>
      </w:r>
      <w:r>
        <w:rPr>
          <w:color w:val="auto"/>
          <w:spacing w:val="-6"/>
        </w:rPr>
        <w:t>，其中建设用地</w:t>
      </w:r>
      <w:r>
        <w:rPr>
          <w:color w:val="auto"/>
          <w:spacing w:val="-6"/>
        </w:rPr>
        <w:t>1724.57hm</w:t>
      </w:r>
      <w:r>
        <w:rPr>
          <w:color w:val="auto"/>
          <w:spacing w:val="-6"/>
          <w:vertAlign w:val="superscript"/>
        </w:rPr>
        <w:t>2</w:t>
      </w:r>
      <w:r>
        <w:rPr>
          <w:color w:val="auto"/>
          <w:spacing w:val="-6"/>
        </w:rPr>
        <w:t>，规划用地内无水域面积。建设用地中，工业用地面积</w:t>
      </w:r>
      <w:r>
        <w:rPr>
          <w:color w:val="auto"/>
          <w:spacing w:val="-6"/>
        </w:rPr>
        <w:t>1413.82hm</w:t>
      </w:r>
      <w:r>
        <w:rPr>
          <w:color w:val="auto"/>
          <w:spacing w:val="-6"/>
          <w:vertAlign w:val="superscript"/>
        </w:rPr>
        <w:t>2</w:t>
      </w:r>
      <w:r>
        <w:rPr>
          <w:color w:val="auto"/>
          <w:spacing w:val="-6"/>
        </w:rPr>
        <w:t>，占城市建设用地面积</w:t>
      </w:r>
      <w:r>
        <w:rPr>
          <w:color w:val="auto"/>
          <w:spacing w:val="-6"/>
        </w:rPr>
        <w:t>64.21%</w:t>
      </w:r>
      <w:r>
        <w:rPr>
          <w:color w:val="auto"/>
          <w:spacing w:val="-6"/>
        </w:rPr>
        <w:t>；公共管理与公共服务用地</w:t>
      </w:r>
      <w:r>
        <w:rPr>
          <w:color w:val="auto"/>
          <w:spacing w:val="-6"/>
        </w:rPr>
        <w:t>20.41hm</w:t>
      </w:r>
      <w:r>
        <w:rPr>
          <w:color w:val="auto"/>
          <w:spacing w:val="-6"/>
          <w:vertAlign w:val="superscript"/>
        </w:rPr>
        <w:t>2</w:t>
      </w:r>
      <w:r>
        <w:rPr>
          <w:color w:val="auto"/>
          <w:spacing w:val="-6"/>
        </w:rPr>
        <w:t>，占城市建设用地面积</w:t>
      </w:r>
      <w:r>
        <w:rPr>
          <w:color w:val="auto"/>
          <w:spacing w:val="-6"/>
        </w:rPr>
        <w:t>0.93%</w:t>
      </w:r>
      <w:r>
        <w:rPr>
          <w:color w:val="auto"/>
          <w:spacing w:val="-6"/>
        </w:rPr>
        <w:t>；交通运输用地面积</w:t>
      </w:r>
      <w:r>
        <w:rPr>
          <w:color w:val="auto"/>
          <w:spacing w:val="-6"/>
        </w:rPr>
        <w:t>197.46hm</w:t>
      </w:r>
      <w:r>
        <w:rPr>
          <w:color w:val="auto"/>
          <w:spacing w:val="-6"/>
          <w:vertAlign w:val="superscript"/>
        </w:rPr>
        <w:t>2</w:t>
      </w:r>
      <w:r>
        <w:rPr>
          <w:color w:val="auto"/>
          <w:spacing w:val="-6"/>
        </w:rPr>
        <w:t>，占城市建设用地面积</w:t>
      </w:r>
      <w:r>
        <w:rPr>
          <w:color w:val="auto"/>
          <w:spacing w:val="-6"/>
        </w:rPr>
        <w:t>8.97%</w:t>
      </w:r>
      <w:r>
        <w:rPr>
          <w:color w:val="auto"/>
          <w:spacing w:val="-6"/>
        </w:rPr>
        <w:t>；公用设施用地面积</w:t>
      </w:r>
      <w:r>
        <w:rPr>
          <w:color w:val="auto"/>
          <w:spacing w:val="-6"/>
        </w:rPr>
        <w:t>12.02hm</w:t>
      </w:r>
      <w:r>
        <w:rPr>
          <w:color w:val="auto"/>
          <w:spacing w:val="-6"/>
          <w:vertAlign w:val="superscript"/>
        </w:rPr>
        <w:t>2</w:t>
      </w:r>
      <w:r>
        <w:rPr>
          <w:color w:val="auto"/>
          <w:spacing w:val="-6"/>
        </w:rPr>
        <w:t>，占城市建设用地面积</w:t>
      </w:r>
      <w:r>
        <w:rPr>
          <w:color w:val="auto"/>
          <w:spacing w:val="-6"/>
        </w:rPr>
        <w:t>0.54%</w:t>
      </w:r>
      <w:r>
        <w:rPr>
          <w:color w:val="auto"/>
          <w:spacing w:val="-6"/>
        </w:rPr>
        <w:t>；绿地面积</w:t>
      </w:r>
      <w:r>
        <w:rPr>
          <w:color w:val="auto"/>
          <w:spacing w:val="-6"/>
        </w:rPr>
        <w:t>477.2hm</w:t>
      </w:r>
      <w:r>
        <w:rPr>
          <w:color w:val="auto"/>
          <w:spacing w:val="-6"/>
          <w:vertAlign w:val="superscript"/>
        </w:rPr>
        <w:t>2</w:t>
      </w:r>
      <w:r>
        <w:rPr>
          <w:color w:val="auto"/>
          <w:spacing w:val="-6"/>
        </w:rPr>
        <w:t>，占城市建设用地面积</w:t>
      </w:r>
      <w:r>
        <w:rPr>
          <w:color w:val="auto"/>
          <w:spacing w:val="-6"/>
        </w:rPr>
        <w:t>21.67%</w:t>
      </w:r>
      <w:r>
        <w:rPr>
          <w:color w:val="auto"/>
          <w:spacing w:val="-6"/>
        </w:rPr>
        <w:t>。</w:t>
      </w:r>
    </w:p>
    <w:p w14:paraId="2925D885" w14:textId="77777777" w:rsidR="002E474C" w:rsidRDefault="00000000">
      <w:pPr>
        <w:pStyle w:val="A-z"/>
        <w:rPr>
          <w:color w:val="auto"/>
        </w:rPr>
      </w:pPr>
      <w:r>
        <w:rPr>
          <w:color w:val="auto"/>
        </w:rPr>
        <w:t>（</w:t>
      </w:r>
      <w:r>
        <w:rPr>
          <w:color w:val="auto"/>
        </w:rPr>
        <w:t>2</w:t>
      </w:r>
      <w:r>
        <w:rPr>
          <w:color w:val="auto"/>
        </w:rPr>
        <w:t>）圣雄同心工业园</w:t>
      </w:r>
    </w:p>
    <w:p w14:paraId="2BF0307F" w14:textId="77777777" w:rsidR="002E474C" w:rsidRDefault="00000000">
      <w:pPr>
        <w:pStyle w:val="A-z"/>
        <w:rPr>
          <w:color w:val="auto"/>
        </w:rPr>
      </w:pPr>
      <w:r>
        <w:rPr>
          <w:color w:val="auto"/>
        </w:rPr>
        <w:t>圣雄同心工业园区总控制面积</w:t>
      </w:r>
      <w:r>
        <w:rPr>
          <w:color w:val="auto"/>
        </w:rPr>
        <w:t>739.61hm</w:t>
      </w:r>
      <w:r>
        <w:rPr>
          <w:color w:val="auto"/>
          <w:vertAlign w:val="superscript"/>
        </w:rPr>
        <w:t>2</w:t>
      </w:r>
      <w:r>
        <w:rPr>
          <w:color w:val="auto"/>
        </w:rPr>
        <w:t>，无水域面积。建设用地中，工业用地面积</w:t>
      </w:r>
      <w:r>
        <w:rPr>
          <w:color w:val="auto"/>
        </w:rPr>
        <w:t>501.68hm</w:t>
      </w:r>
      <w:r>
        <w:rPr>
          <w:color w:val="auto"/>
          <w:vertAlign w:val="superscript"/>
        </w:rPr>
        <w:t>2</w:t>
      </w:r>
      <w:r>
        <w:rPr>
          <w:color w:val="auto"/>
        </w:rPr>
        <w:t>，占城市建设用地面积</w:t>
      </w:r>
      <w:r>
        <w:rPr>
          <w:color w:val="auto"/>
        </w:rPr>
        <w:t>67.83%</w:t>
      </w:r>
      <w:r>
        <w:rPr>
          <w:color w:val="auto"/>
        </w:rPr>
        <w:t>；公共管理与公共服务用地面积</w:t>
      </w:r>
      <w:r>
        <w:rPr>
          <w:color w:val="auto"/>
        </w:rPr>
        <w:t>6.0hm</w:t>
      </w:r>
      <w:r>
        <w:rPr>
          <w:color w:val="auto"/>
          <w:vertAlign w:val="superscript"/>
        </w:rPr>
        <w:t>2</w:t>
      </w:r>
      <w:r>
        <w:rPr>
          <w:color w:val="auto"/>
        </w:rPr>
        <w:t>，占城市建设用地面积</w:t>
      </w:r>
      <w:r>
        <w:rPr>
          <w:color w:val="auto"/>
        </w:rPr>
        <w:t>0.81%</w:t>
      </w:r>
      <w:r>
        <w:rPr>
          <w:color w:val="auto"/>
        </w:rPr>
        <w:t>；交通运输用地面积</w:t>
      </w:r>
      <w:r>
        <w:rPr>
          <w:color w:val="auto"/>
        </w:rPr>
        <w:t>58.43hm</w:t>
      </w:r>
      <w:r>
        <w:rPr>
          <w:color w:val="auto"/>
          <w:vertAlign w:val="superscript"/>
        </w:rPr>
        <w:t>2</w:t>
      </w:r>
      <w:r>
        <w:rPr>
          <w:color w:val="auto"/>
        </w:rPr>
        <w:t>，占城市建设用地面积</w:t>
      </w:r>
      <w:r>
        <w:rPr>
          <w:color w:val="auto"/>
        </w:rPr>
        <w:t>7.9%</w:t>
      </w:r>
      <w:r>
        <w:rPr>
          <w:color w:val="auto"/>
        </w:rPr>
        <w:t>；公用设施用地面积</w:t>
      </w:r>
      <w:r>
        <w:rPr>
          <w:color w:val="auto"/>
        </w:rPr>
        <w:t>35.01hm</w:t>
      </w:r>
      <w:r>
        <w:rPr>
          <w:color w:val="auto"/>
          <w:vertAlign w:val="superscript"/>
        </w:rPr>
        <w:t>2</w:t>
      </w:r>
      <w:r>
        <w:rPr>
          <w:color w:val="auto"/>
        </w:rPr>
        <w:t>，占城市建设用地面积</w:t>
      </w:r>
      <w:r>
        <w:rPr>
          <w:color w:val="auto"/>
        </w:rPr>
        <w:t>4.74%</w:t>
      </w:r>
      <w:r>
        <w:rPr>
          <w:color w:val="auto"/>
        </w:rPr>
        <w:t>；绿地面积</w:t>
      </w:r>
      <w:r>
        <w:rPr>
          <w:color w:val="auto"/>
        </w:rPr>
        <w:t>132.89hm</w:t>
      </w:r>
      <w:r>
        <w:rPr>
          <w:color w:val="auto"/>
          <w:vertAlign w:val="superscript"/>
        </w:rPr>
        <w:t>2</w:t>
      </w:r>
      <w:r>
        <w:rPr>
          <w:color w:val="auto"/>
        </w:rPr>
        <w:t>，占城市建设用地面积</w:t>
      </w:r>
      <w:r>
        <w:rPr>
          <w:color w:val="auto"/>
        </w:rPr>
        <w:t>17.97%</w:t>
      </w:r>
      <w:r>
        <w:rPr>
          <w:color w:val="auto"/>
        </w:rPr>
        <w:t>。</w:t>
      </w:r>
    </w:p>
    <w:p w14:paraId="38814B3C" w14:textId="77777777" w:rsidR="002E474C" w:rsidRDefault="00000000">
      <w:pPr>
        <w:pStyle w:val="A-z"/>
        <w:rPr>
          <w:color w:val="auto"/>
        </w:rPr>
      </w:pPr>
      <w:r>
        <w:rPr>
          <w:color w:val="auto"/>
        </w:rPr>
        <w:t>（</w:t>
      </w:r>
      <w:r>
        <w:rPr>
          <w:color w:val="auto"/>
        </w:rPr>
        <w:t>3</w:t>
      </w:r>
      <w:r>
        <w:rPr>
          <w:color w:val="auto"/>
        </w:rPr>
        <w:t>）伊拉湖循环经济产业园</w:t>
      </w:r>
    </w:p>
    <w:p w14:paraId="53300121" w14:textId="77777777" w:rsidR="002E474C" w:rsidRDefault="00000000">
      <w:pPr>
        <w:pStyle w:val="A-z"/>
        <w:rPr>
          <w:color w:val="auto"/>
        </w:rPr>
      </w:pPr>
      <w:r>
        <w:rPr>
          <w:color w:val="auto"/>
        </w:rPr>
        <w:lastRenderedPageBreak/>
        <w:t>伊拉湖规划园区总控制面积</w:t>
      </w:r>
      <w:r>
        <w:rPr>
          <w:color w:val="auto"/>
        </w:rPr>
        <w:t>760hm</w:t>
      </w:r>
      <w:r>
        <w:rPr>
          <w:color w:val="auto"/>
          <w:vertAlign w:val="superscript"/>
        </w:rPr>
        <w:t>2</w:t>
      </w:r>
      <w:r>
        <w:rPr>
          <w:color w:val="auto"/>
        </w:rPr>
        <w:t>，其中建设用地</w:t>
      </w:r>
      <w:r>
        <w:rPr>
          <w:color w:val="auto"/>
        </w:rPr>
        <w:t>758.29hm</w:t>
      </w:r>
      <w:r>
        <w:rPr>
          <w:color w:val="auto"/>
          <w:vertAlign w:val="superscript"/>
        </w:rPr>
        <w:t>2</w:t>
      </w:r>
      <w:r>
        <w:rPr>
          <w:color w:val="auto"/>
        </w:rPr>
        <w:t>，水域面积</w:t>
      </w:r>
      <w:r>
        <w:rPr>
          <w:color w:val="auto"/>
        </w:rPr>
        <w:t>1.71hm</w:t>
      </w:r>
      <w:r>
        <w:rPr>
          <w:color w:val="auto"/>
          <w:vertAlign w:val="superscript"/>
        </w:rPr>
        <w:t>2</w:t>
      </w:r>
      <w:r>
        <w:rPr>
          <w:color w:val="auto"/>
        </w:rPr>
        <w:t>。建设用地中，工业用地面积</w:t>
      </w:r>
      <w:r>
        <w:rPr>
          <w:color w:val="auto"/>
        </w:rPr>
        <w:t>512.79hm</w:t>
      </w:r>
      <w:r>
        <w:rPr>
          <w:color w:val="auto"/>
          <w:vertAlign w:val="superscript"/>
        </w:rPr>
        <w:t>2</w:t>
      </w:r>
      <w:r>
        <w:rPr>
          <w:color w:val="auto"/>
        </w:rPr>
        <w:t>，占城市建设用地面积</w:t>
      </w:r>
      <w:r>
        <w:rPr>
          <w:color w:val="auto"/>
        </w:rPr>
        <w:t>67.47%</w:t>
      </w:r>
      <w:r>
        <w:rPr>
          <w:color w:val="auto"/>
        </w:rPr>
        <w:t>；公共管理与公共服务用地面积</w:t>
      </w:r>
      <w:r>
        <w:rPr>
          <w:color w:val="auto"/>
        </w:rPr>
        <w:t>1.77hm</w:t>
      </w:r>
      <w:r>
        <w:rPr>
          <w:color w:val="auto"/>
          <w:vertAlign w:val="superscript"/>
        </w:rPr>
        <w:t>2</w:t>
      </w:r>
      <w:r>
        <w:rPr>
          <w:color w:val="auto"/>
        </w:rPr>
        <w:t>，占城市建设用地面积</w:t>
      </w:r>
      <w:r>
        <w:rPr>
          <w:color w:val="auto"/>
        </w:rPr>
        <w:t>0.23%</w:t>
      </w:r>
      <w:r>
        <w:rPr>
          <w:color w:val="auto"/>
        </w:rPr>
        <w:t>；物流仓储用地</w:t>
      </w:r>
      <w:r>
        <w:rPr>
          <w:color w:val="auto"/>
        </w:rPr>
        <w:t>15.86hm</w:t>
      </w:r>
      <w:r>
        <w:rPr>
          <w:color w:val="auto"/>
          <w:vertAlign w:val="superscript"/>
        </w:rPr>
        <w:t>2</w:t>
      </w:r>
      <w:r>
        <w:rPr>
          <w:color w:val="auto"/>
        </w:rPr>
        <w:t>，占城市建设用地面积</w:t>
      </w:r>
      <w:r>
        <w:rPr>
          <w:color w:val="auto"/>
        </w:rPr>
        <w:t>2.09%</w:t>
      </w:r>
      <w:r>
        <w:rPr>
          <w:color w:val="auto"/>
        </w:rPr>
        <w:t>；交通运输用地面积</w:t>
      </w:r>
      <w:r>
        <w:rPr>
          <w:color w:val="auto"/>
        </w:rPr>
        <w:t>95.89hm</w:t>
      </w:r>
      <w:r>
        <w:rPr>
          <w:color w:val="auto"/>
          <w:vertAlign w:val="superscript"/>
        </w:rPr>
        <w:t>2</w:t>
      </w:r>
      <w:r>
        <w:rPr>
          <w:color w:val="auto"/>
        </w:rPr>
        <w:t>，占城市建设用地面积</w:t>
      </w:r>
      <w:r>
        <w:rPr>
          <w:color w:val="auto"/>
        </w:rPr>
        <w:t>12.62%</w:t>
      </w:r>
      <w:r>
        <w:rPr>
          <w:color w:val="auto"/>
        </w:rPr>
        <w:t>；公用设施用地面积</w:t>
      </w:r>
      <w:r>
        <w:rPr>
          <w:color w:val="auto"/>
        </w:rPr>
        <w:t>10.38hm</w:t>
      </w:r>
      <w:r>
        <w:rPr>
          <w:color w:val="auto"/>
          <w:vertAlign w:val="superscript"/>
        </w:rPr>
        <w:t>2</w:t>
      </w:r>
      <w:r>
        <w:rPr>
          <w:color w:val="auto"/>
        </w:rPr>
        <w:t>，占城市建设用地面积</w:t>
      </w:r>
      <w:r>
        <w:rPr>
          <w:color w:val="auto"/>
        </w:rPr>
        <w:t>1.37%</w:t>
      </w:r>
      <w:r>
        <w:rPr>
          <w:color w:val="auto"/>
        </w:rPr>
        <w:t>；绿地面积</w:t>
      </w:r>
      <w:r>
        <w:rPr>
          <w:color w:val="auto"/>
        </w:rPr>
        <w:t>118.48hm</w:t>
      </w:r>
      <w:r>
        <w:rPr>
          <w:color w:val="auto"/>
          <w:vertAlign w:val="superscript"/>
        </w:rPr>
        <w:t>2</w:t>
      </w:r>
      <w:r>
        <w:rPr>
          <w:color w:val="auto"/>
        </w:rPr>
        <w:t>，占城市建设用地面积</w:t>
      </w:r>
      <w:r>
        <w:rPr>
          <w:color w:val="auto"/>
        </w:rPr>
        <w:t>15.59%</w:t>
      </w:r>
      <w:r>
        <w:rPr>
          <w:color w:val="auto"/>
        </w:rPr>
        <w:t>。</w:t>
      </w:r>
    </w:p>
    <w:p w14:paraId="73A84200" w14:textId="77777777" w:rsidR="002E474C" w:rsidRDefault="00000000">
      <w:pPr>
        <w:pStyle w:val="A-z"/>
        <w:rPr>
          <w:color w:val="auto"/>
        </w:rPr>
      </w:pPr>
      <w:r>
        <w:rPr>
          <w:color w:val="auto"/>
        </w:rPr>
        <w:t>厂址位于圣雄同心工业园三类工业用地，符合园区土地利用规划。</w:t>
      </w:r>
    </w:p>
    <w:p w14:paraId="18F8F33D" w14:textId="77777777" w:rsidR="002E474C" w:rsidRDefault="00000000">
      <w:pPr>
        <w:pStyle w:val="41"/>
        <w:rPr>
          <w:color w:val="auto"/>
        </w:rPr>
      </w:pPr>
      <w:r>
        <w:rPr>
          <w:color w:val="auto"/>
        </w:rPr>
        <w:t>市政基础设施规划</w:t>
      </w:r>
    </w:p>
    <w:p w14:paraId="21981ABE" w14:textId="77777777" w:rsidR="002E474C" w:rsidRDefault="00000000">
      <w:pPr>
        <w:pStyle w:val="A-z"/>
        <w:rPr>
          <w:color w:val="auto"/>
        </w:rPr>
      </w:pPr>
      <w:r>
        <w:rPr>
          <w:color w:val="auto"/>
        </w:rPr>
        <w:t>根据园区规划环评，圣雄同心工业园基础设施规划见下：</w:t>
      </w:r>
    </w:p>
    <w:p w14:paraId="6346AB9C" w14:textId="77777777" w:rsidR="002E474C" w:rsidRDefault="00000000">
      <w:pPr>
        <w:pStyle w:val="A-z"/>
        <w:rPr>
          <w:color w:val="auto"/>
        </w:rPr>
      </w:pPr>
      <w:r>
        <w:rPr>
          <w:color w:val="auto"/>
        </w:rPr>
        <w:t>（</w:t>
      </w:r>
      <w:r>
        <w:rPr>
          <w:color w:val="auto"/>
        </w:rPr>
        <w:t>1</w:t>
      </w:r>
      <w:r>
        <w:rPr>
          <w:color w:val="auto"/>
        </w:rPr>
        <w:t>）给水工程规划</w:t>
      </w:r>
    </w:p>
    <w:p w14:paraId="29326F8B" w14:textId="77777777" w:rsidR="002E474C" w:rsidRDefault="00000000">
      <w:pPr>
        <w:pStyle w:val="A-z"/>
        <w:rPr>
          <w:color w:val="auto"/>
        </w:rPr>
      </w:pPr>
      <w:r>
        <w:rPr>
          <w:color w:val="auto"/>
        </w:rPr>
        <w:t>①</w:t>
      </w:r>
      <w:r>
        <w:rPr>
          <w:color w:val="auto"/>
        </w:rPr>
        <w:t>水源规划</w:t>
      </w:r>
    </w:p>
    <w:p w14:paraId="0EEDE23E" w14:textId="77777777" w:rsidR="002E474C" w:rsidRDefault="00000000">
      <w:pPr>
        <w:pStyle w:val="A-z"/>
        <w:rPr>
          <w:color w:val="auto"/>
        </w:rPr>
      </w:pPr>
      <w:r>
        <w:rPr>
          <w:color w:val="auto"/>
        </w:rPr>
        <w:t>阿拉沟水库、乌斯通沟水库双线供水伊拉湖片区和圣雄片区，阿拉沟水库总库容</w:t>
      </w:r>
      <w:r>
        <w:rPr>
          <w:color w:val="auto"/>
        </w:rPr>
        <w:t>4450</w:t>
      </w:r>
      <w:r>
        <w:rPr>
          <w:color w:val="auto"/>
        </w:rPr>
        <w:t>万立方米，乌斯通沟水库正在建设。阿拉沟水库设计年工业供水规模</w:t>
      </w:r>
      <w:r>
        <w:rPr>
          <w:color w:val="auto"/>
        </w:rPr>
        <w:t>4450</w:t>
      </w:r>
      <w:r>
        <w:rPr>
          <w:color w:val="auto"/>
        </w:rPr>
        <w:t>万</w:t>
      </w:r>
      <w:r>
        <w:rPr>
          <w:color w:val="auto"/>
        </w:rPr>
        <w:t>m</w:t>
      </w:r>
      <w:r>
        <w:rPr>
          <w:color w:val="auto"/>
          <w:vertAlign w:val="superscript"/>
        </w:rPr>
        <w:t>3</w:t>
      </w:r>
      <w:r>
        <w:rPr>
          <w:color w:val="auto"/>
        </w:rPr>
        <w:t>，能够满足园区现状工业用水需求。</w:t>
      </w:r>
    </w:p>
    <w:p w14:paraId="570D2795" w14:textId="77777777" w:rsidR="002E474C" w:rsidRDefault="00000000">
      <w:pPr>
        <w:pStyle w:val="A-z"/>
        <w:rPr>
          <w:color w:val="auto"/>
        </w:rPr>
      </w:pPr>
      <w:r>
        <w:rPr>
          <w:color w:val="auto"/>
        </w:rPr>
        <w:t>②</w:t>
      </w:r>
      <w:r>
        <w:rPr>
          <w:color w:val="auto"/>
        </w:rPr>
        <w:t>供水管网规划</w:t>
      </w:r>
    </w:p>
    <w:p w14:paraId="2EB46EC6" w14:textId="77777777" w:rsidR="002E474C" w:rsidRDefault="00000000">
      <w:pPr>
        <w:pStyle w:val="A-z"/>
        <w:rPr>
          <w:color w:val="auto"/>
        </w:rPr>
      </w:pPr>
      <w:r>
        <w:rPr>
          <w:color w:val="auto"/>
        </w:rPr>
        <w:t>园区规划给水采用分质供水，给水管网分为生产生活消防合流给水管网和再生水管网。生产生活供水管网采用环状布置，管网压力不低于</w:t>
      </w:r>
      <w:r>
        <w:rPr>
          <w:color w:val="auto"/>
        </w:rPr>
        <w:t>0.3MPa</w:t>
      </w:r>
      <w:r>
        <w:rPr>
          <w:color w:val="auto"/>
        </w:rPr>
        <w:t>。再生水管网采用枝状布置，管网压力不低于</w:t>
      </w:r>
      <w:r>
        <w:rPr>
          <w:color w:val="auto"/>
        </w:rPr>
        <w:t>0.3MPa</w:t>
      </w:r>
      <w:r>
        <w:rPr>
          <w:color w:val="auto"/>
        </w:rPr>
        <w:t>。</w:t>
      </w:r>
    </w:p>
    <w:p w14:paraId="5B0A6E21" w14:textId="77777777" w:rsidR="002E474C" w:rsidRDefault="00000000">
      <w:pPr>
        <w:pStyle w:val="A-z"/>
        <w:rPr>
          <w:color w:val="auto"/>
        </w:rPr>
      </w:pPr>
      <w:r>
        <w:rPr>
          <w:color w:val="auto"/>
        </w:rPr>
        <w:t>（</w:t>
      </w:r>
      <w:r>
        <w:rPr>
          <w:color w:val="auto"/>
        </w:rPr>
        <w:t>2</w:t>
      </w:r>
      <w:r>
        <w:rPr>
          <w:color w:val="auto"/>
        </w:rPr>
        <w:t>）排水工程规划</w:t>
      </w:r>
    </w:p>
    <w:p w14:paraId="3A2FDDC7" w14:textId="77777777" w:rsidR="002E474C" w:rsidRDefault="00000000">
      <w:pPr>
        <w:pStyle w:val="A-z"/>
        <w:rPr>
          <w:color w:val="auto"/>
        </w:rPr>
      </w:pPr>
      <w:r>
        <w:rPr>
          <w:color w:val="auto"/>
        </w:rPr>
        <w:t>①</w:t>
      </w:r>
      <w:r>
        <w:rPr>
          <w:color w:val="auto"/>
        </w:rPr>
        <w:t>污水处理厂规划</w:t>
      </w:r>
    </w:p>
    <w:p w14:paraId="595BE373" w14:textId="77777777" w:rsidR="002E474C" w:rsidRDefault="00000000">
      <w:pPr>
        <w:pStyle w:val="A-z"/>
        <w:rPr>
          <w:color w:val="auto"/>
        </w:rPr>
      </w:pPr>
      <w:r>
        <w:rPr>
          <w:color w:val="auto"/>
        </w:rPr>
        <w:t>一园三区园区内的所有企业必须自行进行污水预处理，达到《污水排入城镇下水道水质标准》（</w:t>
      </w:r>
      <w:r>
        <w:rPr>
          <w:color w:val="auto"/>
        </w:rPr>
        <w:t>GB/T 31962-2015</w:t>
      </w:r>
      <w:r>
        <w:rPr>
          <w:color w:val="auto"/>
        </w:rPr>
        <w:t>）和《污水综合排放标准》（</w:t>
      </w:r>
      <w:r>
        <w:rPr>
          <w:color w:val="auto"/>
        </w:rPr>
        <w:t>GB8978-1996</w:t>
      </w:r>
      <w:r>
        <w:rPr>
          <w:color w:val="auto"/>
        </w:rPr>
        <w:t>）的水质要求后，方能经过园内污水管网，排入园区污水处理厂做进一步处理后，出水水质应满足</w:t>
      </w:r>
      <w:bookmarkStart w:id="234" w:name="_Hlk229672275"/>
      <w:r>
        <w:rPr>
          <w:color w:val="auto"/>
        </w:rPr>
        <w:t>《污水综合排放标准》（</w:t>
      </w:r>
      <w:r>
        <w:rPr>
          <w:color w:val="auto"/>
        </w:rPr>
        <w:t>GB8978-1996</w:t>
      </w:r>
      <w:r>
        <w:rPr>
          <w:color w:val="auto"/>
        </w:rPr>
        <w:t>）</w:t>
      </w:r>
      <w:bookmarkEnd w:id="234"/>
      <w:r>
        <w:rPr>
          <w:color w:val="auto"/>
        </w:rPr>
        <w:t>的</w:t>
      </w:r>
      <w:bookmarkStart w:id="235" w:name="_Hlk229672259"/>
      <w:r>
        <w:rPr>
          <w:color w:val="auto"/>
        </w:rPr>
        <w:t>一级</w:t>
      </w:r>
      <w:r>
        <w:rPr>
          <w:color w:val="auto"/>
        </w:rPr>
        <w:t>B</w:t>
      </w:r>
      <w:r>
        <w:rPr>
          <w:color w:val="auto"/>
        </w:rPr>
        <w:t>排放标准和《城市污水再生利用城市杂用水水质》（</w:t>
      </w:r>
      <w:r>
        <w:rPr>
          <w:color w:val="auto"/>
        </w:rPr>
        <w:t>GB/T18920-2020</w:t>
      </w:r>
      <w:r>
        <w:rPr>
          <w:color w:val="auto"/>
        </w:rPr>
        <w:t>）</w:t>
      </w:r>
      <w:bookmarkEnd w:id="235"/>
      <w:r>
        <w:rPr>
          <w:color w:val="auto"/>
        </w:rPr>
        <w:t>的城市绿化和车辆冲洗水质标准，出水通过回用水系统用作园区循环水补水、绿化和冲洗用水。</w:t>
      </w:r>
    </w:p>
    <w:p w14:paraId="3531898C" w14:textId="77777777" w:rsidR="002E474C" w:rsidRDefault="00000000">
      <w:pPr>
        <w:pStyle w:val="A-z"/>
        <w:rPr>
          <w:color w:val="auto"/>
        </w:rPr>
      </w:pPr>
      <w:r>
        <w:rPr>
          <w:color w:val="auto"/>
        </w:rPr>
        <w:t>②</w:t>
      </w:r>
      <w:r>
        <w:rPr>
          <w:color w:val="auto"/>
        </w:rPr>
        <w:t>污水管网系统规划</w:t>
      </w:r>
    </w:p>
    <w:p w14:paraId="4876805F" w14:textId="77777777" w:rsidR="002E474C" w:rsidRDefault="00000000">
      <w:pPr>
        <w:pStyle w:val="A-z"/>
        <w:rPr>
          <w:color w:val="auto"/>
        </w:rPr>
      </w:pPr>
      <w:r>
        <w:rPr>
          <w:color w:val="auto"/>
        </w:rPr>
        <w:t>规划区范围内总体地势情况：北高南低，西高东低，南北向坡降为</w:t>
      </w:r>
      <w:r>
        <w:rPr>
          <w:color w:val="auto"/>
        </w:rPr>
        <w:t>3‰</w:t>
      </w:r>
      <w:r>
        <w:rPr>
          <w:color w:val="auto"/>
        </w:rPr>
        <w:t>，东西向坡降为</w:t>
      </w:r>
      <w:r>
        <w:rPr>
          <w:color w:val="auto"/>
        </w:rPr>
        <w:t>8‰</w:t>
      </w:r>
      <w:r>
        <w:rPr>
          <w:color w:val="auto"/>
        </w:rPr>
        <w:t>。规划尽量利用原有排水管线，对不符合要求的管线进行更新，</w:t>
      </w:r>
      <w:r>
        <w:rPr>
          <w:color w:val="auto"/>
        </w:rPr>
        <w:lastRenderedPageBreak/>
        <w:t>在化工园区内排水支管沿东西向道路的北侧布置，敷设坡度不得小于</w:t>
      </w:r>
      <w:r>
        <w:rPr>
          <w:color w:val="auto"/>
        </w:rPr>
        <w:t>0.003</w:t>
      </w:r>
      <w:r>
        <w:rPr>
          <w:color w:val="auto"/>
        </w:rPr>
        <w:t>，支管管径为</w:t>
      </w:r>
      <w:r>
        <w:rPr>
          <w:color w:val="auto"/>
        </w:rPr>
        <w:t>DN400</w:t>
      </w:r>
      <w:r>
        <w:rPr>
          <w:color w:val="auto"/>
        </w:rPr>
        <w:t>；排水干管沿南北向道路的西侧布置，敷设坡度为</w:t>
      </w:r>
      <w:r>
        <w:rPr>
          <w:color w:val="auto"/>
        </w:rPr>
        <w:t>0.003</w:t>
      </w:r>
      <w:r>
        <w:rPr>
          <w:rFonts w:eastAsia="宋体"/>
          <w:color w:val="auto"/>
        </w:rPr>
        <w:t>～</w:t>
      </w:r>
      <w:r>
        <w:rPr>
          <w:color w:val="auto"/>
        </w:rPr>
        <w:t>0.007</w:t>
      </w:r>
      <w:r>
        <w:rPr>
          <w:color w:val="auto"/>
        </w:rPr>
        <w:t>，干管管径为</w:t>
      </w:r>
      <w:r>
        <w:rPr>
          <w:color w:val="auto"/>
        </w:rPr>
        <w:t>DN500</w:t>
      </w:r>
      <w:r>
        <w:rPr>
          <w:color w:val="auto"/>
        </w:rPr>
        <w:t>。新建排水管道管底埋深不得小于</w:t>
      </w:r>
      <w:r>
        <w:rPr>
          <w:color w:val="auto"/>
        </w:rPr>
        <w:t>1.5m</w:t>
      </w:r>
      <w:r>
        <w:rPr>
          <w:color w:val="auto"/>
        </w:rPr>
        <w:t>。</w:t>
      </w:r>
    </w:p>
    <w:p w14:paraId="0527A56A" w14:textId="77777777" w:rsidR="002E474C" w:rsidRDefault="00000000">
      <w:pPr>
        <w:pStyle w:val="A-z"/>
        <w:rPr>
          <w:color w:val="auto"/>
        </w:rPr>
      </w:pPr>
      <w:r>
        <w:rPr>
          <w:color w:val="auto"/>
        </w:rPr>
        <w:t>（</w:t>
      </w:r>
      <w:r>
        <w:rPr>
          <w:color w:val="auto"/>
        </w:rPr>
        <w:t>3</w:t>
      </w:r>
      <w:r>
        <w:rPr>
          <w:color w:val="auto"/>
        </w:rPr>
        <w:t>）再生水工程规划</w:t>
      </w:r>
    </w:p>
    <w:p w14:paraId="5D01925F" w14:textId="77777777" w:rsidR="002E474C" w:rsidRDefault="00000000">
      <w:pPr>
        <w:pStyle w:val="A-z"/>
        <w:rPr>
          <w:color w:val="auto"/>
        </w:rPr>
      </w:pPr>
      <w:r>
        <w:rPr>
          <w:color w:val="auto"/>
        </w:rPr>
        <w:t>根据当地水资源条件的情况，为了贯彻我国水污染防治法和水资源开发技术政策，在本规划中以产业区总体规划为依据，从全局出发，在园区依托污水处理厂，再规划一套再生回用水系统。再生回用水系统包括再生水输配系统和回用水管理系统，其中再生水输配系统建成独立系统。</w:t>
      </w:r>
    </w:p>
    <w:p w14:paraId="20592F90" w14:textId="77777777" w:rsidR="002E474C" w:rsidRDefault="00000000">
      <w:pPr>
        <w:pStyle w:val="A-z"/>
        <w:rPr>
          <w:color w:val="auto"/>
        </w:rPr>
      </w:pPr>
      <w:r>
        <w:rPr>
          <w:color w:val="auto"/>
        </w:rPr>
        <w:t>（</w:t>
      </w:r>
      <w:r>
        <w:rPr>
          <w:color w:val="auto"/>
        </w:rPr>
        <w:t>4</w:t>
      </w:r>
      <w:r>
        <w:rPr>
          <w:color w:val="auto"/>
        </w:rPr>
        <w:t>）电力工程规划</w:t>
      </w:r>
    </w:p>
    <w:p w14:paraId="1882741E" w14:textId="77777777" w:rsidR="002E474C" w:rsidRDefault="00000000">
      <w:pPr>
        <w:pStyle w:val="A-z"/>
        <w:rPr>
          <w:color w:val="auto"/>
        </w:rPr>
      </w:pPr>
      <w:r>
        <w:rPr>
          <w:color w:val="auto"/>
        </w:rPr>
        <w:t>规划中的产业园是个化学工业的密集地区，也是电力负荷的密集地区，采用负荷密度法预测工业园区规划末期的负荷，根据规划的经济发展模式及用地规模、性质等相关控制指标，参照同类园区的负荷预测标准，采用分类用地负荷密度法进行负荷预测。规划预测圣雄园区近期</w:t>
      </w:r>
      <w:r>
        <w:rPr>
          <w:color w:val="auto"/>
        </w:rPr>
        <w:t>2025</w:t>
      </w:r>
      <w:r>
        <w:rPr>
          <w:color w:val="auto"/>
        </w:rPr>
        <w:t>年用电最大负荷约为</w:t>
      </w:r>
      <w:r>
        <w:rPr>
          <w:color w:val="auto"/>
        </w:rPr>
        <w:t>92.4MW</w:t>
      </w:r>
      <w:r>
        <w:rPr>
          <w:color w:val="auto"/>
        </w:rPr>
        <w:t>、远期</w:t>
      </w:r>
      <w:r>
        <w:rPr>
          <w:color w:val="auto"/>
        </w:rPr>
        <w:t xml:space="preserve">2035 </w:t>
      </w:r>
      <w:r>
        <w:rPr>
          <w:color w:val="auto"/>
        </w:rPr>
        <w:t>年园区用电最大负荷约为</w:t>
      </w:r>
      <w:r>
        <w:rPr>
          <w:color w:val="auto"/>
        </w:rPr>
        <w:t>160.15MW</w:t>
      </w:r>
      <w:r>
        <w:rPr>
          <w:color w:val="auto"/>
        </w:rPr>
        <w:t>。</w:t>
      </w:r>
    </w:p>
    <w:p w14:paraId="5FAD5D57" w14:textId="77777777" w:rsidR="002E474C" w:rsidRDefault="00000000">
      <w:pPr>
        <w:pStyle w:val="A-z"/>
        <w:ind w:firstLine="456"/>
        <w:rPr>
          <w:color w:val="auto"/>
          <w:spacing w:val="-6"/>
        </w:rPr>
      </w:pPr>
      <w:r>
        <w:rPr>
          <w:color w:val="auto"/>
          <w:spacing w:val="-6"/>
        </w:rPr>
        <w:t>园区电网规划采用</w:t>
      </w:r>
      <w:r>
        <w:rPr>
          <w:color w:val="auto"/>
          <w:spacing w:val="-6"/>
        </w:rPr>
        <w:t>110kV</w:t>
      </w:r>
      <w:r>
        <w:rPr>
          <w:color w:val="auto"/>
          <w:spacing w:val="-6"/>
        </w:rPr>
        <w:t>线路的高压走廊宽度为</w:t>
      </w:r>
      <w:r>
        <w:rPr>
          <w:color w:val="auto"/>
          <w:spacing w:val="-6"/>
        </w:rPr>
        <w:t>25m</w:t>
      </w:r>
      <w:r>
        <w:rPr>
          <w:color w:val="auto"/>
          <w:spacing w:val="-6"/>
        </w:rPr>
        <w:t>、</w:t>
      </w:r>
      <w:r>
        <w:rPr>
          <w:color w:val="auto"/>
          <w:spacing w:val="-6"/>
        </w:rPr>
        <w:t>35kV</w:t>
      </w:r>
      <w:r>
        <w:rPr>
          <w:color w:val="auto"/>
          <w:spacing w:val="-6"/>
        </w:rPr>
        <w:t>线路的高压走廊宽度为</w:t>
      </w:r>
      <w:r>
        <w:rPr>
          <w:color w:val="auto"/>
          <w:spacing w:val="-6"/>
        </w:rPr>
        <w:t>20m</w:t>
      </w:r>
      <w:r>
        <w:rPr>
          <w:color w:val="auto"/>
          <w:spacing w:val="-6"/>
        </w:rPr>
        <w:t>，高压网应一次建成，电力走廊范围内任何建筑不得侵占其用地。</w:t>
      </w:r>
    </w:p>
    <w:p w14:paraId="18E2C686" w14:textId="77777777" w:rsidR="002E474C" w:rsidRDefault="00000000">
      <w:pPr>
        <w:pStyle w:val="A-z"/>
        <w:rPr>
          <w:color w:val="auto"/>
        </w:rPr>
      </w:pPr>
      <w:r>
        <w:rPr>
          <w:color w:val="auto"/>
        </w:rPr>
        <w:t>依据园区内化学工业项目情况，工艺装置多为易燃易爆，工艺生产连续性强，自动化水平高，突然中断供电将造成连续生产过程被打乱，需要较长的时间才能恢复，经济上造成较大损失，因此大部分负荷属二级负荷。部分设备，若中断供电将导致重要设备损坏或发生爆炸使人身伤亡事故等，这类负荷属一级负荷，需由两个电源供电。一级负荷中特别重要的负荷，除由两个电源供电外，尚应增设应急电源。应急电源可采用自启动的柴油发电机组。</w:t>
      </w:r>
    </w:p>
    <w:p w14:paraId="4EE6B614" w14:textId="77777777" w:rsidR="002E474C" w:rsidRDefault="00000000">
      <w:pPr>
        <w:pStyle w:val="A-z"/>
        <w:rPr>
          <w:color w:val="auto"/>
        </w:rPr>
      </w:pPr>
      <w:r>
        <w:rPr>
          <w:color w:val="auto"/>
        </w:rPr>
        <w:t>（</w:t>
      </w:r>
      <w:r>
        <w:rPr>
          <w:color w:val="auto"/>
        </w:rPr>
        <w:t>5</w:t>
      </w:r>
      <w:r>
        <w:rPr>
          <w:color w:val="auto"/>
        </w:rPr>
        <w:t>）供热工程规划</w:t>
      </w:r>
    </w:p>
    <w:p w14:paraId="03E40E56" w14:textId="77777777" w:rsidR="002E474C" w:rsidRDefault="00000000">
      <w:pPr>
        <w:pStyle w:val="A-z"/>
        <w:rPr>
          <w:color w:val="auto"/>
        </w:rPr>
      </w:pPr>
      <w:r>
        <w:rPr>
          <w:color w:val="auto"/>
        </w:rPr>
        <w:t>①</w:t>
      </w:r>
      <w:r>
        <w:rPr>
          <w:color w:val="auto"/>
        </w:rPr>
        <w:t>热源规划</w:t>
      </w:r>
    </w:p>
    <w:p w14:paraId="5F06B063" w14:textId="77777777" w:rsidR="002E474C" w:rsidRDefault="00000000">
      <w:pPr>
        <w:pStyle w:val="A-z"/>
        <w:rPr>
          <w:color w:val="auto"/>
        </w:rPr>
      </w:pPr>
      <w:r>
        <w:rPr>
          <w:color w:val="auto"/>
        </w:rPr>
        <w:t>圣雄园区自备电厂提供热源，从热电厂出</w:t>
      </w:r>
      <w:r>
        <w:rPr>
          <w:color w:val="auto"/>
        </w:rPr>
        <w:t>5</w:t>
      </w:r>
      <w:r>
        <w:rPr>
          <w:color w:val="auto"/>
        </w:rPr>
        <w:t>根管道，其中蒸汽管</w:t>
      </w:r>
      <w:r>
        <w:rPr>
          <w:color w:val="auto"/>
        </w:rPr>
        <w:t>2</w:t>
      </w:r>
      <w:r>
        <w:rPr>
          <w:color w:val="auto"/>
        </w:rPr>
        <w:t>根，凝结水管</w:t>
      </w:r>
      <w:r>
        <w:rPr>
          <w:color w:val="auto"/>
        </w:rPr>
        <w:t>1</w:t>
      </w:r>
      <w:r>
        <w:rPr>
          <w:color w:val="auto"/>
        </w:rPr>
        <w:t>根，供暖管</w:t>
      </w:r>
      <w:r>
        <w:rPr>
          <w:color w:val="auto"/>
        </w:rPr>
        <w:t>2</w:t>
      </w:r>
      <w:r>
        <w:rPr>
          <w:color w:val="auto"/>
        </w:rPr>
        <w:t>根。管道组由热电厂出来后向西北对兰炭、电石、石灰、水泥厂及行政办公区、生活服务区供热。</w:t>
      </w:r>
    </w:p>
    <w:p w14:paraId="1EA9BA2E" w14:textId="77777777" w:rsidR="002E474C" w:rsidRDefault="00000000">
      <w:pPr>
        <w:pStyle w:val="A-z"/>
        <w:rPr>
          <w:color w:val="auto"/>
        </w:rPr>
      </w:pPr>
      <w:r>
        <w:rPr>
          <w:color w:val="auto"/>
        </w:rPr>
        <w:t>圣雄园区近期采暖热负荷</w:t>
      </w:r>
      <w:r>
        <w:rPr>
          <w:color w:val="auto"/>
        </w:rPr>
        <w:t>75MW</w:t>
      </w:r>
      <w:r>
        <w:rPr>
          <w:color w:val="auto"/>
        </w:rPr>
        <w:t>，工业生产热负荷</w:t>
      </w:r>
      <w:r>
        <w:rPr>
          <w:color w:val="auto"/>
        </w:rPr>
        <w:t>69.2MW</w:t>
      </w:r>
      <w:r>
        <w:rPr>
          <w:color w:val="auto"/>
        </w:rPr>
        <w:t>；远期采暖热负荷</w:t>
      </w:r>
      <w:r>
        <w:rPr>
          <w:color w:val="auto"/>
        </w:rPr>
        <w:t>132.25MW</w:t>
      </w:r>
      <w:r>
        <w:rPr>
          <w:color w:val="auto"/>
        </w:rPr>
        <w:t>，工业生产热负荷</w:t>
      </w:r>
      <w:r>
        <w:rPr>
          <w:color w:val="auto"/>
        </w:rPr>
        <w:t>122.2MW</w:t>
      </w:r>
      <w:r>
        <w:rPr>
          <w:color w:val="auto"/>
        </w:rPr>
        <w:t>。</w:t>
      </w:r>
    </w:p>
    <w:p w14:paraId="705845FC" w14:textId="77777777" w:rsidR="002E474C" w:rsidRDefault="00000000">
      <w:pPr>
        <w:pStyle w:val="A-z"/>
        <w:rPr>
          <w:color w:val="auto"/>
        </w:rPr>
      </w:pPr>
      <w:r>
        <w:rPr>
          <w:color w:val="auto"/>
        </w:rPr>
        <w:t>则圣雄园区近期规划总热负荷</w:t>
      </w:r>
      <w:r>
        <w:rPr>
          <w:color w:val="auto"/>
        </w:rPr>
        <w:t>144.2MW</w:t>
      </w:r>
      <w:r>
        <w:rPr>
          <w:color w:val="auto"/>
        </w:rPr>
        <w:t>，远期规划总热负荷</w:t>
      </w:r>
      <w:r>
        <w:rPr>
          <w:color w:val="auto"/>
        </w:rPr>
        <w:t>254.45MW</w:t>
      </w:r>
      <w:r>
        <w:rPr>
          <w:color w:val="auto"/>
        </w:rPr>
        <w:t>。</w:t>
      </w:r>
    </w:p>
    <w:p w14:paraId="0581B522" w14:textId="77777777" w:rsidR="002E474C" w:rsidRDefault="00000000">
      <w:pPr>
        <w:pStyle w:val="A-z"/>
        <w:rPr>
          <w:color w:val="auto"/>
        </w:rPr>
      </w:pPr>
      <w:r>
        <w:rPr>
          <w:color w:val="auto"/>
        </w:rPr>
        <w:lastRenderedPageBreak/>
        <w:t>②</w:t>
      </w:r>
      <w:r>
        <w:rPr>
          <w:color w:val="auto"/>
        </w:rPr>
        <w:t>供热管网规划</w:t>
      </w:r>
    </w:p>
    <w:p w14:paraId="5C0E9212" w14:textId="77777777" w:rsidR="002E474C" w:rsidRDefault="00000000">
      <w:pPr>
        <w:pStyle w:val="A-z"/>
        <w:rPr>
          <w:color w:val="auto"/>
        </w:rPr>
      </w:pPr>
      <w:r>
        <w:rPr>
          <w:color w:val="auto"/>
        </w:rPr>
        <w:t>供热介质为过热蒸汽，经首站换热后，采用热水热媒。其中工业抽气压力为</w:t>
      </w:r>
      <w:r>
        <w:rPr>
          <w:color w:val="auto"/>
        </w:rPr>
        <w:t>1.65MPa</w:t>
      </w:r>
      <w:r>
        <w:rPr>
          <w:color w:val="auto"/>
        </w:rPr>
        <w:t>，工业抽汽温度为</w:t>
      </w:r>
      <w:r>
        <w:rPr>
          <w:color w:val="auto"/>
        </w:rPr>
        <w:t>350℃</w:t>
      </w:r>
      <w:r>
        <w:rPr>
          <w:color w:val="auto"/>
        </w:rPr>
        <w:t>；采暖抽气压力为</w:t>
      </w:r>
      <w:r>
        <w:rPr>
          <w:color w:val="auto"/>
        </w:rPr>
        <w:t>0.4MPa</w:t>
      </w:r>
      <w:r>
        <w:rPr>
          <w:color w:val="auto"/>
        </w:rPr>
        <w:t>，采暖抽汽温度为</w:t>
      </w:r>
      <w:r>
        <w:rPr>
          <w:color w:val="auto"/>
        </w:rPr>
        <w:t>295℃</w:t>
      </w:r>
      <w:r>
        <w:rPr>
          <w:color w:val="auto"/>
        </w:rPr>
        <w:t>，首站后，一级管网供水温度为</w:t>
      </w:r>
      <w:r>
        <w:rPr>
          <w:color w:val="auto"/>
        </w:rPr>
        <w:t>130℃</w:t>
      </w:r>
      <w:r>
        <w:rPr>
          <w:color w:val="auto"/>
        </w:rPr>
        <w:t>，回水温度</w:t>
      </w:r>
      <w:r>
        <w:rPr>
          <w:color w:val="auto"/>
        </w:rPr>
        <w:t>85℃</w:t>
      </w:r>
      <w:r>
        <w:rPr>
          <w:color w:val="auto"/>
        </w:rPr>
        <w:t>，二级管网供水温度</w:t>
      </w:r>
      <w:r>
        <w:rPr>
          <w:color w:val="auto"/>
        </w:rPr>
        <w:t>95℃</w:t>
      </w:r>
      <w:r>
        <w:rPr>
          <w:color w:val="auto"/>
        </w:rPr>
        <w:t>，回水温度</w:t>
      </w:r>
      <w:r>
        <w:rPr>
          <w:color w:val="auto"/>
        </w:rPr>
        <w:t>70℃</w:t>
      </w:r>
      <w:r>
        <w:rPr>
          <w:color w:val="auto"/>
        </w:rPr>
        <w:t>。</w:t>
      </w:r>
    </w:p>
    <w:p w14:paraId="3606A9A3" w14:textId="77777777" w:rsidR="002E474C" w:rsidRDefault="00000000">
      <w:pPr>
        <w:pStyle w:val="A-z"/>
        <w:rPr>
          <w:color w:val="auto"/>
        </w:rPr>
      </w:pPr>
      <w:r>
        <w:rPr>
          <w:color w:val="auto"/>
        </w:rPr>
        <w:t>（</w:t>
      </w:r>
      <w:r>
        <w:rPr>
          <w:color w:val="auto"/>
        </w:rPr>
        <w:t>6</w:t>
      </w:r>
      <w:r>
        <w:rPr>
          <w:color w:val="auto"/>
        </w:rPr>
        <w:t>）燃气工程规划</w:t>
      </w:r>
    </w:p>
    <w:p w14:paraId="38A697AD" w14:textId="77777777" w:rsidR="002E474C" w:rsidRDefault="00000000">
      <w:pPr>
        <w:pStyle w:val="A-z"/>
        <w:rPr>
          <w:color w:val="auto"/>
        </w:rPr>
      </w:pPr>
      <w:r>
        <w:rPr>
          <w:color w:val="auto"/>
        </w:rPr>
        <w:t>规划区气源为天然气，圣雄园区远期接市政燃气管网。</w:t>
      </w:r>
    </w:p>
    <w:p w14:paraId="6A1589EF" w14:textId="77777777" w:rsidR="002E474C" w:rsidRDefault="00000000">
      <w:pPr>
        <w:pStyle w:val="31"/>
        <w:spacing w:before="120" w:after="120"/>
        <w:rPr>
          <w:b w:val="0"/>
          <w:color w:val="auto"/>
          <w:sz w:val="28"/>
        </w:rPr>
      </w:pPr>
      <w:bookmarkStart w:id="236" w:name="_Hlk181204177"/>
      <w:r>
        <w:rPr>
          <w:color w:val="auto"/>
          <w:sz w:val="28"/>
        </w:rPr>
        <w:t>圣雄同心工业园基础设施建设现状</w:t>
      </w:r>
    </w:p>
    <w:p w14:paraId="5759779B" w14:textId="77777777" w:rsidR="002E474C" w:rsidRDefault="00000000">
      <w:pPr>
        <w:pStyle w:val="A-z"/>
        <w:rPr>
          <w:color w:val="auto"/>
        </w:rPr>
      </w:pPr>
      <w:bookmarkStart w:id="237" w:name="_Hlk182913066"/>
      <w:r>
        <w:rPr>
          <w:color w:val="auto"/>
        </w:rPr>
        <w:t>（</w:t>
      </w:r>
      <w:r>
        <w:rPr>
          <w:color w:val="auto"/>
        </w:rPr>
        <w:t>1</w:t>
      </w:r>
      <w:r>
        <w:rPr>
          <w:color w:val="auto"/>
        </w:rPr>
        <w:t>）供水</w:t>
      </w:r>
    </w:p>
    <w:p w14:paraId="1E4E50B9" w14:textId="77777777" w:rsidR="002E474C" w:rsidRDefault="00000000">
      <w:pPr>
        <w:pStyle w:val="A-z"/>
        <w:ind w:firstLine="456"/>
        <w:rPr>
          <w:color w:val="auto"/>
          <w:spacing w:val="-6"/>
        </w:rPr>
      </w:pPr>
      <w:r>
        <w:rPr>
          <w:color w:val="auto"/>
          <w:spacing w:val="-6"/>
        </w:rPr>
        <w:t>伊拉湖园区和圣雄园区规划水平年由阿拉沟水库、红山水库（已建成）双线供水，同时乌斯通沟水库在建中，其中阿拉沟水库总库容</w:t>
      </w:r>
      <w:r>
        <w:rPr>
          <w:color w:val="auto"/>
          <w:spacing w:val="-6"/>
        </w:rPr>
        <w:t>4450</w:t>
      </w:r>
      <w:r>
        <w:rPr>
          <w:color w:val="auto"/>
          <w:spacing w:val="-6"/>
        </w:rPr>
        <w:t>万</w:t>
      </w:r>
      <w:r>
        <w:rPr>
          <w:color w:val="auto"/>
          <w:spacing w:val="-6"/>
        </w:rPr>
        <w:t>m³</w:t>
      </w:r>
      <w:r>
        <w:rPr>
          <w:color w:val="auto"/>
          <w:spacing w:val="-6"/>
        </w:rPr>
        <w:t>、乌斯通沟水库</w:t>
      </w:r>
      <w:r>
        <w:rPr>
          <w:color w:val="auto"/>
          <w:spacing w:val="-6"/>
        </w:rPr>
        <w:t>1440</w:t>
      </w:r>
      <w:r>
        <w:rPr>
          <w:color w:val="auto"/>
          <w:spacing w:val="-6"/>
        </w:rPr>
        <w:t>万</w:t>
      </w:r>
      <w:r>
        <w:rPr>
          <w:color w:val="auto"/>
          <w:spacing w:val="-6"/>
        </w:rPr>
        <w:t>m³</w:t>
      </w:r>
      <w:r>
        <w:rPr>
          <w:color w:val="auto"/>
          <w:spacing w:val="-6"/>
        </w:rPr>
        <w:t>、红山水库</w:t>
      </w:r>
      <w:r>
        <w:rPr>
          <w:color w:val="auto"/>
          <w:spacing w:val="-6"/>
        </w:rPr>
        <w:t>5400</w:t>
      </w:r>
      <w:r>
        <w:rPr>
          <w:color w:val="auto"/>
          <w:spacing w:val="-6"/>
        </w:rPr>
        <w:t>万</w:t>
      </w:r>
      <w:r>
        <w:rPr>
          <w:color w:val="auto"/>
          <w:spacing w:val="-6"/>
        </w:rPr>
        <w:t>m³</w:t>
      </w:r>
      <w:r>
        <w:rPr>
          <w:color w:val="auto"/>
          <w:spacing w:val="-6"/>
        </w:rPr>
        <w:t>，可以满足两个园区的生产、生活用水需求。</w:t>
      </w:r>
    </w:p>
    <w:p w14:paraId="3D7B93C3" w14:textId="77777777" w:rsidR="002E474C" w:rsidRDefault="00000000">
      <w:pPr>
        <w:pStyle w:val="A-z"/>
        <w:rPr>
          <w:color w:val="auto"/>
        </w:rPr>
      </w:pPr>
      <w:r>
        <w:rPr>
          <w:color w:val="auto"/>
        </w:rPr>
        <w:t>本项目生产给水、生活给水依托园区供水设施，由园区给水管网供给至本项目界区处。</w:t>
      </w:r>
    </w:p>
    <w:p w14:paraId="48E06F6A" w14:textId="77777777" w:rsidR="002E474C" w:rsidRDefault="00000000">
      <w:pPr>
        <w:pStyle w:val="A-z"/>
        <w:rPr>
          <w:color w:val="auto"/>
        </w:rPr>
      </w:pPr>
      <w:r>
        <w:rPr>
          <w:color w:val="auto"/>
        </w:rPr>
        <w:t>（</w:t>
      </w:r>
      <w:r>
        <w:rPr>
          <w:color w:val="auto"/>
        </w:rPr>
        <w:t>2</w:t>
      </w:r>
      <w:r>
        <w:rPr>
          <w:color w:val="auto"/>
        </w:rPr>
        <w:t>）排水</w:t>
      </w:r>
    </w:p>
    <w:p w14:paraId="651F0B99" w14:textId="77777777" w:rsidR="002E474C" w:rsidRDefault="00000000">
      <w:pPr>
        <w:pStyle w:val="A-z"/>
        <w:rPr>
          <w:color w:val="auto"/>
        </w:rPr>
      </w:pPr>
      <w:r>
        <w:rPr>
          <w:color w:val="auto"/>
        </w:rPr>
        <w:t>圣雄水泥公司厂内</w:t>
      </w:r>
      <w:r>
        <w:rPr>
          <w:color w:val="auto"/>
        </w:rPr>
        <w:t>2400m³/d</w:t>
      </w:r>
      <w:r>
        <w:rPr>
          <w:color w:val="auto"/>
        </w:rPr>
        <w:t>综合污水处理站，采用二级处理工艺，出水回用于工业生产中或绿化灌溉。圣雄园区工业污水处理厂一座，建筑面积</w:t>
      </w:r>
      <w:r>
        <w:rPr>
          <w:color w:val="auto"/>
        </w:rPr>
        <w:t>5235m²</w:t>
      </w:r>
      <w:r>
        <w:rPr>
          <w:color w:val="auto"/>
        </w:rPr>
        <w:t>，处理量</w:t>
      </w:r>
      <w:r>
        <w:rPr>
          <w:color w:val="auto"/>
        </w:rPr>
        <w:t>14400m³/d</w:t>
      </w:r>
      <w:r>
        <w:rPr>
          <w:color w:val="auto"/>
        </w:rPr>
        <w:t>，处理出水标准参照工业回用水标准，在建。</w:t>
      </w:r>
    </w:p>
    <w:p w14:paraId="730CE178" w14:textId="77777777" w:rsidR="002E474C" w:rsidRDefault="00000000">
      <w:pPr>
        <w:pStyle w:val="A-z"/>
        <w:rPr>
          <w:color w:val="auto"/>
        </w:rPr>
      </w:pPr>
      <w:r>
        <w:rPr>
          <w:color w:val="auto"/>
        </w:rPr>
        <w:t>（</w:t>
      </w:r>
      <w:r>
        <w:rPr>
          <w:color w:val="auto"/>
        </w:rPr>
        <w:t>3</w:t>
      </w:r>
      <w:r>
        <w:rPr>
          <w:color w:val="auto"/>
        </w:rPr>
        <w:t>）供电</w:t>
      </w:r>
    </w:p>
    <w:p w14:paraId="5032A038" w14:textId="77777777" w:rsidR="002E474C" w:rsidRDefault="00000000">
      <w:pPr>
        <w:pStyle w:val="A-z"/>
        <w:rPr>
          <w:color w:val="auto"/>
        </w:rPr>
      </w:pPr>
      <w:r>
        <w:rPr>
          <w:color w:val="auto"/>
        </w:rPr>
        <w:t>圣雄园区电网拥有</w:t>
      </w:r>
      <w:r>
        <w:rPr>
          <w:color w:val="auto"/>
        </w:rPr>
        <w:t>1</w:t>
      </w:r>
      <w:r>
        <w:rPr>
          <w:color w:val="auto"/>
        </w:rPr>
        <w:t>座</w:t>
      </w:r>
      <w:r>
        <w:rPr>
          <w:color w:val="auto"/>
        </w:rPr>
        <w:t>110kV</w:t>
      </w:r>
      <w:r>
        <w:rPr>
          <w:color w:val="auto"/>
        </w:rPr>
        <w:t>变电站，由阿拉沟</w:t>
      </w:r>
      <w:r>
        <w:rPr>
          <w:color w:val="auto"/>
        </w:rPr>
        <w:t>220kV</w:t>
      </w:r>
      <w:r>
        <w:rPr>
          <w:color w:val="auto"/>
        </w:rPr>
        <w:t>变电站引入。</w:t>
      </w:r>
    </w:p>
    <w:p w14:paraId="41396646" w14:textId="77777777" w:rsidR="002E474C" w:rsidRDefault="00000000">
      <w:pPr>
        <w:pStyle w:val="A-z"/>
        <w:rPr>
          <w:color w:val="auto"/>
        </w:rPr>
      </w:pPr>
      <w:r>
        <w:rPr>
          <w:color w:val="auto"/>
        </w:rPr>
        <w:t>（</w:t>
      </w:r>
      <w:r>
        <w:rPr>
          <w:color w:val="auto"/>
        </w:rPr>
        <w:t>4</w:t>
      </w:r>
      <w:r>
        <w:rPr>
          <w:color w:val="auto"/>
        </w:rPr>
        <w:t>）供热</w:t>
      </w:r>
    </w:p>
    <w:p w14:paraId="521574C7" w14:textId="77777777" w:rsidR="002E474C" w:rsidRDefault="00000000">
      <w:pPr>
        <w:pStyle w:val="A-z"/>
        <w:rPr>
          <w:color w:val="auto"/>
        </w:rPr>
      </w:pPr>
      <w:r>
        <w:rPr>
          <w:color w:val="auto"/>
        </w:rPr>
        <w:t>圣雄园区现状各企业自行供热，园区未建设集中供热设施。</w:t>
      </w:r>
    </w:p>
    <w:p w14:paraId="1C2DDEF8" w14:textId="77777777" w:rsidR="002E474C" w:rsidRDefault="00000000">
      <w:pPr>
        <w:pStyle w:val="A-z"/>
        <w:rPr>
          <w:color w:val="auto"/>
        </w:rPr>
      </w:pPr>
      <w:r>
        <w:rPr>
          <w:color w:val="auto"/>
        </w:rPr>
        <w:t>（</w:t>
      </w:r>
      <w:r>
        <w:rPr>
          <w:color w:val="auto"/>
        </w:rPr>
        <w:t>5</w:t>
      </w:r>
      <w:r>
        <w:rPr>
          <w:color w:val="auto"/>
        </w:rPr>
        <w:t>）生活垃圾填埋场</w:t>
      </w:r>
    </w:p>
    <w:p w14:paraId="26CFA06B" w14:textId="77777777" w:rsidR="002E474C" w:rsidRDefault="00000000">
      <w:pPr>
        <w:pStyle w:val="A-z"/>
        <w:rPr>
          <w:color w:val="auto"/>
        </w:rPr>
      </w:pPr>
      <w:r>
        <w:rPr>
          <w:color w:val="auto"/>
        </w:rPr>
        <w:t>项目区东北侧</w:t>
      </w:r>
      <w:r>
        <w:rPr>
          <w:color w:val="auto"/>
        </w:rPr>
        <w:t>3km</w:t>
      </w:r>
      <w:r>
        <w:rPr>
          <w:color w:val="auto"/>
        </w:rPr>
        <w:t>有</w:t>
      </w:r>
      <w:r>
        <w:rPr>
          <w:color w:val="auto"/>
        </w:rPr>
        <w:t>1</w:t>
      </w:r>
      <w:r>
        <w:rPr>
          <w:color w:val="auto"/>
        </w:rPr>
        <w:t>座生活垃圾填埋场，已建成。</w:t>
      </w:r>
    </w:p>
    <w:p w14:paraId="55A96F50" w14:textId="77777777" w:rsidR="002E474C" w:rsidRDefault="002E474C">
      <w:pPr>
        <w:pStyle w:val="A-z"/>
        <w:rPr>
          <w:color w:val="auto"/>
        </w:rPr>
      </w:pPr>
    </w:p>
    <w:p w14:paraId="1ADFFF5A" w14:textId="77777777" w:rsidR="002E474C" w:rsidRDefault="002E474C">
      <w:pPr>
        <w:pStyle w:val="A-z"/>
        <w:rPr>
          <w:color w:val="auto"/>
        </w:rPr>
      </w:pPr>
    </w:p>
    <w:p w14:paraId="0649F7ED" w14:textId="77777777" w:rsidR="002E474C" w:rsidRDefault="00000000">
      <w:pPr>
        <w:pStyle w:val="31"/>
        <w:spacing w:before="120" w:after="120"/>
        <w:rPr>
          <w:b w:val="0"/>
          <w:color w:val="auto"/>
          <w:sz w:val="28"/>
        </w:rPr>
      </w:pPr>
      <w:bookmarkStart w:id="238" w:name="_Hlk181202759"/>
      <w:bookmarkEnd w:id="236"/>
      <w:bookmarkEnd w:id="237"/>
      <w:r>
        <w:rPr>
          <w:color w:val="auto"/>
          <w:sz w:val="28"/>
        </w:rPr>
        <w:t>圣雄同心工业园企业污染物排放情况</w:t>
      </w:r>
    </w:p>
    <w:p w14:paraId="5EB8E469" w14:textId="77777777" w:rsidR="002E474C" w:rsidRDefault="00000000">
      <w:pPr>
        <w:pStyle w:val="A-z"/>
        <w:rPr>
          <w:color w:val="auto"/>
        </w:rPr>
      </w:pPr>
      <w:r>
        <w:rPr>
          <w:color w:val="auto"/>
        </w:rPr>
        <w:t>圣雄同心工业园现有企业</w:t>
      </w:r>
      <w:r>
        <w:rPr>
          <w:color w:val="auto"/>
        </w:rPr>
        <w:t>6</w:t>
      </w:r>
      <w:r>
        <w:rPr>
          <w:color w:val="auto"/>
        </w:rPr>
        <w:t>家，在建企业</w:t>
      </w:r>
      <w:r>
        <w:rPr>
          <w:color w:val="auto"/>
        </w:rPr>
        <w:t>1</w:t>
      </w:r>
      <w:r>
        <w:rPr>
          <w:color w:val="auto"/>
        </w:rPr>
        <w:t>家，无拟建项目。圣雄同心工业园现有及在建企业环保手续办理情况，见表</w:t>
      </w:r>
      <w:r>
        <w:rPr>
          <w:color w:val="auto"/>
        </w:rPr>
        <w:t>4.2-1</w:t>
      </w:r>
      <w:r>
        <w:rPr>
          <w:color w:val="auto"/>
        </w:rPr>
        <w:t>。圣雄同心工业园现有及在建</w:t>
      </w:r>
      <w:r>
        <w:rPr>
          <w:color w:val="auto"/>
        </w:rPr>
        <w:lastRenderedPageBreak/>
        <w:t>企业污染源统计情况，见表</w:t>
      </w:r>
      <w:r>
        <w:rPr>
          <w:color w:val="auto"/>
        </w:rPr>
        <w:t>4.2-2</w:t>
      </w:r>
      <w:r>
        <w:rPr>
          <w:color w:val="auto"/>
        </w:rPr>
        <w:t>。其中，现有企业环保手续及污染源排放数据来源于《托克逊能源重化工工业园区总体规划（</w:t>
      </w:r>
      <w:r>
        <w:rPr>
          <w:color w:val="auto"/>
        </w:rPr>
        <w:t>2023-2035</w:t>
      </w:r>
      <w:r>
        <w:rPr>
          <w:color w:val="auto"/>
        </w:rPr>
        <w:t>年）环境影响报告书》，在建项目污染源排放数据来源于《疆亿航新材料有限公司</w:t>
      </w:r>
      <w:r>
        <w:rPr>
          <w:color w:val="auto"/>
        </w:rPr>
        <w:t>500</w:t>
      </w:r>
      <w:r>
        <w:rPr>
          <w:color w:val="auto"/>
        </w:rPr>
        <w:t>万吨</w:t>
      </w:r>
      <w:r>
        <w:rPr>
          <w:color w:val="auto"/>
        </w:rPr>
        <w:t>/</w:t>
      </w:r>
      <w:r>
        <w:rPr>
          <w:color w:val="auto"/>
        </w:rPr>
        <w:t>年煤炭清洁高效综合利用示范项目环境影响报告书》。</w:t>
      </w:r>
    </w:p>
    <w:bookmarkEnd w:id="238"/>
    <w:p w14:paraId="4FC41C1E" w14:textId="77777777" w:rsidR="002E474C" w:rsidRDefault="00000000">
      <w:pPr>
        <w:pStyle w:val="21"/>
        <w:spacing w:before="240" w:after="240"/>
        <w:rPr>
          <w:color w:val="auto"/>
        </w:rPr>
      </w:pPr>
      <w:r>
        <w:rPr>
          <w:color w:val="auto"/>
        </w:rPr>
        <w:tab/>
      </w:r>
      <w:bookmarkStart w:id="239" w:name="_Toc12682"/>
      <w:bookmarkStart w:id="240" w:name="_Toc225848861"/>
      <w:r>
        <w:rPr>
          <w:color w:val="auto"/>
        </w:rPr>
        <w:t>环境质量现状调查与评价</w:t>
      </w:r>
      <w:bookmarkEnd w:id="239"/>
      <w:bookmarkEnd w:id="240"/>
    </w:p>
    <w:p w14:paraId="300E4E41" w14:textId="77777777" w:rsidR="002E474C" w:rsidRDefault="00000000">
      <w:pPr>
        <w:pStyle w:val="31"/>
        <w:spacing w:before="120" w:after="120"/>
        <w:rPr>
          <w:color w:val="auto"/>
        </w:rPr>
      </w:pPr>
      <w:r>
        <w:rPr>
          <w:color w:val="auto"/>
        </w:rPr>
        <w:t>大气环境质量现状调查与评价</w:t>
      </w:r>
    </w:p>
    <w:p w14:paraId="4EA79057" w14:textId="77777777" w:rsidR="002E474C" w:rsidRDefault="00000000">
      <w:pPr>
        <w:pStyle w:val="41"/>
        <w:rPr>
          <w:color w:val="auto"/>
        </w:rPr>
      </w:pPr>
      <w:r>
        <w:rPr>
          <w:color w:val="auto"/>
        </w:rPr>
        <w:t>数据来源</w:t>
      </w:r>
    </w:p>
    <w:p w14:paraId="1CAF89F2" w14:textId="77777777" w:rsidR="002E474C" w:rsidRDefault="00000000">
      <w:pPr>
        <w:pStyle w:val="A-z"/>
        <w:rPr>
          <w:color w:val="auto"/>
        </w:rPr>
      </w:pPr>
      <w:r>
        <w:rPr>
          <w:color w:val="auto"/>
        </w:rPr>
        <w:t>（</w:t>
      </w:r>
      <w:r>
        <w:rPr>
          <w:color w:val="auto"/>
        </w:rPr>
        <w:t>1</w:t>
      </w:r>
      <w:r>
        <w:rPr>
          <w:color w:val="auto"/>
        </w:rPr>
        <w:t>）基本污染物环境质量现状数据</w:t>
      </w:r>
    </w:p>
    <w:p w14:paraId="03A4AF0B" w14:textId="1D8BCC17" w:rsidR="002E474C" w:rsidRDefault="00000000">
      <w:pPr>
        <w:pStyle w:val="A-z"/>
        <w:rPr>
          <w:color w:val="auto"/>
        </w:rPr>
      </w:pPr>
      <w:r>
        <w:rPr>
          <w:color w:val="auto"/>
          <w:lang w:val="en-US"/>
        </w:rPr>
        <w:t>根据《环境影响评价技术导则</w:t>
      </w:r>
      <w:r>
        <w:rPr>
          <w:color w:val="auto"/>
          <w:lang w:val="en-US"/>
        </w:rPr>
        <w:t xml:space="preserve"> </w:t>
      </w:r>
      <w:r>
        <w:rPr>
          <w:color w:val="auto"/>
          <w:lang w:val="en-US"/>
        </w:rPr>
        <w:t>大气环境》（</w:t>
      </w:r>
      <w:r>
        <w:rPr>
          <w:color w:val="auto"/>
          <w:lang w:val="en-US"/>
        </w:rPr>
        <w:t>HJ 2.2-2018</w:t>
      </w:r>
      <w:r>
        <w:rPr>
          <w:color w:val="auto"/>
          <w:lang w:val="en-US"/>
        </w:rPr>
        <w:t>）中</w:t>
      </w:r>
      <w:r>
        <w:rPr>
          <w:color w:val="auto"/>
          <w:lang w:val="en-US"/>
        </w:rPr>
        <w:t>6.2.1.2</w:t>
      </w:r>
      <w:r>
        <w:rPr>
          <w:color w:val="auto"/>
          <w:lang w:val="en-US"/>
        </w:rPr>
        <w:t>：采用评价范围内国家或地方环境空气质量监测网中评价基准年连续</w:t>
      </w:r>
      <w:r>
        <w:rPr>
          <w:color w:val="auto"/>
          <w:lang w:val="en-US"/>
        </w:rPr>
        <w:t>1</w:t>
      </w:r>
      <w:r>
        <w:rPr>
          <w:color w:val="auto"/>
          <w:lang w:val="en-US"/>
        </w:rPr>
        <w:t>年的监测数据，或采用生态环境主管部门公开发布的环境空气质量现状数据。本次评价选择距离项目最近的省控监测站</w:t>
      </w:r>
      <w:r>
        <w:rPr>
          <w:color w:val="auto"/>
          <w:lang w:val="en-US"/>
        </w:rPr>
        <w:t>2025</w:t>
      </w:r>
      <w:r>
        <w:rPr>
          <w:color w:val="auto"/>
          <w:lang w:val="en-US"/>
        </w:rPr>
        <w:t>年的监测数据，数据来源为环境气象数据服务平台（</w:t>
      </w:r>
      <w:r>
        <w:rPr>
          <w:color w:val="auto"/>
          <w:lang w:val="en-US"/>
        </w:rPr>
        <w:t>http://eia-data.com/</w:t>
      </w:r>
      <w:r>
        <w:rPr>
          <w:color w:val="auto"/>
          <w:lang w:val="en-US"/>
        </w:rPr>
        <w:t>），作为本项目环境空气现状评价基本污染物</w:t>
      </w:r>
      <w:r>
        <w:rPr>
          <w:color w:val="auto"/>
          <w:lang w:val="en-US"/>
        </w:rPr>
        <w:t>SO</w:t>
      </w:r>
      <w:r>
        <w:rPr>
          <w:color w:val="auto"/>
          <w:vertAlign w:val="subscript"/>
          <w:lang w:val="en-US"/>
        </w:rPr>
        <w:t>2</w:t>
      </w:r>
      <w:r>
        <w:rPr>
          <w:color w:val="auto"/>
          <w:lang w:val="en-US"/>
        </w:rPr>
        <w:t>、</w:t>
      </w:r>
      <w:r>
        <w:rPr>
          <w:color w:val="auto"/>
          <w:lang w:val="en-US"/>
        </w:rPr>
        <w:t>NO</w:t>
      </w:r>
      <w:r>
        <w:rPr>
          <w:color w:val="auto"/>
          <w:vertAlign w:val="subscript"/>
          <w:lang w:val="en-US"/>
        </w:rPr>
        <w:t>2</w:t>
      </w:r>
      <w:r>
        <w:rPr>
          <w:color w:val="auto"/>
          <w:lang w:val="en-US"/>
        </w:rPr>
        <w:t>、</w:t>
      </w:r>
      <w:r>
        <w:rPr>
          <w:color w:val="auto"/>
          <w:lang w:val="en-US"/>
        </w:rPr>
        <w:t>PM</w:t>
      </w:r>
      <w:r>
        <w:rPr>
          <w:color w:val="auto"/>
          <w:vertAlign w:val="subscript"/>
          <w:lang w:val="en-US"/>
        </w:rPr>
        <w:t>10</w:t>
      </w:r>
      <w:r>
        <w:rPr>
          <w:color w:val="auto"/>
          <w:lang w:val="en-US"/>
        </w:rPr>
        <w:t>、</w:t>
      </w:r>
      <w:r>
        <w:rPr>
          <w:color w:val="auto"/>
          <w:lang w:val="en-US"/>
        </w:rPr>
        <w:t>PM</w:t>
      </w:r>
      <w:r>
        <w:rPr>
          <w:color w:val="auto"/>
          <w:vertAlign w:val="subscript"/>
          <w:lang w:val="en-US"/>
        </w:rPr>
        <w:t>2.5</w:t>
      </w:r>
      <w:r>
        <w:rPr>
          <w:color w:val="auto"/>
          <w:lang w:val="en-US"/>
        </w:rPr>
        <w:t>、</w:t>
      </w:r>
      <w:r>
        <w:rPr>
          <w:color w:val="auto"/>
          <w:lang w:val="en-US"/>
        </w:rPr>
        <w:t>CO</w:t>
      </w:r>
      <w:r>
        <w:rPr>
          <w:color w:val="auto"/>
          <w:lang w:val="en-US"/>
        </w:rPr>
        <w:t>和</w:t>
      </w:r>
      <w:r>
        <w:rPr>
          <w:color w:val="auto"/>
          <w:lang w:val="en-US"/>
        </w:rPr>
        <w:t>O</w:t>
      </w:r>
      <w:r>
        <w:rPr>
          <w:color w:val="auto"/>
          <w:vertAlign w:val="subscript"/>
          <w:lang w:val="en-US"/>
        </w:rPr>
        <w:t>3</w:t>
      </w:r>
      <w:r>
        <w:rPr>
          <w:color w:val="auto"/>
          <w:lang w:val="en-US"/>
        </w:rPr>
        <w:t>的数据来源。</w:t>
      </w:r>
    </w:p>
    <w:p w14:paraId="63F16409" w14:textId="77777777" w:rsidR="002E474C" w:rsidRDefault="00000000">
      <w:pPr>
        <w:pStyle w:val="A-z"/>
        <w:rPr>
          <w:color w:val="auto"/>
        </w:rPr>
      </w:pPr>
      <w:r>
        <w:rPr>
          <w:color w:val="auto"/>
        </w:rPr>
        <w:t>（</w:t>
      </w:r>
      <w:r>
        <w:rPr>
          <w:color w:val="auto"/>
        </w:rPr>
        <w:t>2</w:t>
      </w:r>
      <w:r>
        <w:rPr>
          <w:color w:val="auto"/>
        </w:rPr>
        <w:t>）其他污染物环境质量现状数据</w:t>
      </w:r>
    </w:p>
    <w:p w14:paraId="12298C4D" w14:textId="77777777" w:rsidR="002E474C" w:rsidRDefault="00000000">
      <w:pPr>
        <w:pStyle w:val="A-z"/>
        <w:rPr>
          <w:color w:val="auto"/>
        </w:rPr>
      </w:pPr>
      <w:r>
        <w:rPr>
          <w:color w:val="auto"/>
        </w:rPr>
        <w:t>其他污染物</w:t>
      </w:r>
      <w:r>
        <w:rPr>
          <w:color w:val="auto"/>
          <w:lang w:val="en-US"/>
        </w:rPr>
        <w:t>TSP</w:t>
      </w:r>
      <w:r>
        <w:rPr>
          <w:color w:val="auto"/>
          <w:lang w:val="en-US"/>
        </w:rPr>
        <w:t>、臭气浓度、氟化物和</w:t>
      </w:r>
      <w:r>
        <w:rPr>
          <w:color w:val="auto"/>
          <w:lang w:val="en-US"/>
        </w:rPr>
        <w:t>Cd</w:t>
      </w:r>
      <w:r>
        <w:rPr>
          <w:color w:val="auto"/>
          <w:lang w:val="en-US"/>
        </w:rPr>
        <w:t>、</w:t>
      </w:r>
      <w:r>
        <w:rPr>
          <w:color w:val="auto"/>
          <w:lang w:val="en-US"/>
        </w:rPr>
        <w:t>HCl</w:t>
      </w:r>
      <w:r>
        <w:rPr>
          <w:color w:val="auto"/>
          <w:lang w:val="en-US"/>
        </w:rPr>
        <w:t>、</w:t>
      </w:r>
      <w:r>
        <w:rPr>
          <w:color w:val="auto"/>
          <w:lang w:val="en-US"/>
        </w:rPr>
        <w:t>NH</w:t>
      </w:r>
      <w:r>
        <w:rPr>
          <w:color w:val="auto"/>
          <w:vertAlign w:val="subscript"/>
          <w:lang w:val="en-US"/>
        </w:rPr>
        <w:t>3</w:t>
      </w:r>
      <w:r>
        <w:rPr>
          <w:color w:val="auto"/>
          <w:lang w:val="en-US"/>
        </w:rPr>
        <w:t>、</w:t>
      </w:r>
      <w:r>
        <w:rPr>
          <w:color w:val="auto"/>
          <w:lang w:val="en-US"/>
        </w:rPr>
        <w:t>H</w:t>
      </w:r>
      <w:r>
        <w:rPr>
          <w:color w:val="auto"/>
          <w:vertAlign w:val="subscript"/>
          <w:lang w:val="en-US"/>
        </w:rPr>
        <w:t>2</w:t>
      </w:r>
      <w:r>
        <w:rPr>
          <w:color w:val="auto"/>
          <w:lang w:val="en-US"/>
        </w:rPr>
        <w:t>S</w:t>
      </w:r>
      <w:r>
        <w:rPr>
          <w:color w:val="auto"/>
          <w:lang w:val="en-US"/>
        </w:rPr>
        <w:t>、</w:t>
      </w:r>
      <w:r>
        <w:rPr>
          <w:color w:val="auto"/>
          <w:lang w:val="en-US"/>
        </w:rPr>
        <w:t>Pb</w:t>
      </w:r>
      <w:r>
        <w:rPr>
          <w:color w:val="auto"/>
          <w:lang w:val="en-US"/>
        </w:rPr>
        <w:t>、</w:t>
      </w:r>
      <w:r>
        <w:rPr>
          <w:color w:val="auto"/>
          <w:lang w:val="en-US"/>
        </w:rPr>
        <w:t>Hg</w:t>
      </w:r>
      <w:r>
        <w:rPr>
          <w:color w:val="auto"/>
          <w:lang w:val="en-US"/>
        </w:rPr>
        <w:t>、</w:t>
      </w:r>
      <w:r>
        <w:rPr>
          <w:color w:val="auto"/>
          <w:lang w:val="en-US"/>
        </w:rPr>
        <w:t>As</w:t>
      </w:r>
      <w:r>
        <w:rPr>
          <w:color w:val="auto"/>
          <w:lang w:val="en-US"/>
        </w:rPr>
        <w:t>、</w:t>
      </w:r>
      <w:r>
        <w:rPr>
          <w:color w:val="auto"/>
          <w:lang w:val="en-US"/>
        </w:rPr>
        <w:t>Cr</w:t>
      </w:r>
      <w:r>
        <w:rPr>
          <w:color w:val="auto"/>
          <w:lang w:val="en-US"/>
        </w:rPr>
        <w:t>（</w:t>
      </w:r>
      <w:r>
        <w:rPr>
          <w:color w:val="auto"/>
          <w:lang w:val="en-US"/>
        </w:rPr>
        <w:t>Ⅵ</w:t>
      </w:r>
      <w:r>
        <w:rPr>
          <w:color w:val="auto"/>
          <w:lang w:val="en-US"/>
        </w:rPr>
        <w:t>）、锰及其化合物、</w:t>
      </w:r>
      <w:r>
        <w:rPr>
          <w:color w:val="auto"/>
          <w:lang w:val="en-US"/>
        </w:rPr>
        <w:t>Ni</w:t>
      </w:r>
      <w:r>
        <w:rPr>
          <w:color w:val="auto"/>
          <w:lang w:val="en-US"/>
        </w:rPr>
        <w:t>、二噁英类和非甲烷总烃</w:t>
      </w:r>
      <w:r>
        <w:rPr>
          <w:color w:val="auto"/>
        </w:rPr>
        <w:t>等环境质量现状数据采用补充监测。</w:t>
      </w:r>
    </w:p>
    <w:p w14:paraId="25CB818A" w14:textId="77777777" w:rsidR="002E474C" w:rsidRDefault="00000000">
      <w:pPr>
        <w:pStyle w:val="41"/>
        <w:rPr>
          <w:rFonts w:eastAsia="黑体"/>
          <w:b w:val="0"/>
          <w:bCs w:val="0"/>
          <w:color w:val="auto"/>
        </w:rPr>
      </w:pPr>
      <w:r>
        <w:rPr>
          <w:rFonts w:eastAsia="黑体"/>
          <w:color w:val="auto"/>
        </w:rPr>
        <w:t>基本污染物</w:t>
      </w:r>
    </w:p>
    <w:p w14:paraId="0B35534B" w14:textId="77777777" w:rsidR="002E474C" w:rsidRDefault="00000000">
      <w:pPr>
        <w:pStyle w:val="A-z"/>
        <w:rPr>
          <w:color w:val="auto"/>
        </w:rPr>
      </w:pPr>
      <w:bookmarkStart w:id="241" w:name="_Hlk150216884"/>
      <w:r>
        <w:rPr>
          <w:color w:val="auto"/>
        </w:rPr>
        <w:t>（</w:t>
      </w:r>
      <w:r>
        <w:rPr>
          <w:color w:val="auto"/>
        </w:rPr>
        <w:t>1</w:t>
      </w:r>
      <w:r>
        <w:rPr>
          <w:color w:val="auto"/>
        </w:rPr>
        <w:t>）评价方法</w:t>
      </w:r>
    </w:p>
    <w:p w14:paraId="17C914A7" w14:textId="77777777" w:rsidR="002E474C" w:rsidRDefault="00000000">
      <w:pPr>
        <w:pStyle w:val="A-z"/>
        <w:rPr>
          <w:color w:val="auto"/>
          <w:szCs w:val="24"/>
        </w:rPr>
      </w:pPr>
      <w:r>
        <w:rPr>
          <w:color w:val="auto"/>
          <w:szCs w:val="24"/>
        </w:rPr>
        <w:t>基本污染物按照《环境空气质量评价技术规范（试行）》（</w:t>
      </w:r>
      <w:r>
        <w:rPr>
          <w:color w:val="auto"/>
          <w:szCs w:val="24"/>
        </w:rPr>
        <w:t>HJ 663-2026</w:t>
      </w:r>
      <w:r>
        <w:rPr>
          <w:color w:val="auto"/>
          <w:szCs w:val="24"/>
        </w:rPr>
        <w:t>）中各评价项目的年评价指标进行达标区判定。评价分别分析各污染物年评价指标与《环境空气质量标准》（</w:t>
      </w:r>
      <w:r>
        <w:rPr>
          <w:color w:val="auto"/>
          <w:szCs w:val="24"/>
        </w:rPr>
        <w:t>GB3095-2012</w:t>
      </w:r>
      <w:r>
        <w:rPr>
          <w:color w:val="auto"/>
          <w:szCs w:val="24"/>
        </w:rPr>
        <w:t>）二级浓度限值及《环境空气质量标准》（</w:t>
      </w:r>
      <w:r>
        <w:rPr>
          <w:color w:val="auto"/>
          <w:szCs w:val="24"/>
        </w:rPr>
        <w:t>GB3095-2026</w:t>
      </w:r>
      <w:r>
        <w:rPr>
          <w:color w:val="auto"/>
          <w:szCs w:val="24"/>
        </w:rPr>
        <w:t>）过渡阶段二级浓度限值达标情况，进行达标区判定。</w:t>
      </w:r>
    </w:p>
    <w:p w14:paraId="182A0B2F" w14:textId="77777777" w:rsidR="002E474C" w:rsidRDefault="00000000">
      <w:pPr>
        <w:pStyle w:val="A-z"/>
        <w:ind w:firstLine="456"/>
        <w:rPr>
          <w:color w:val="auto"/>
          <w:spacing w:val="-6"/>
          <w:szCs w:val="24"/>
        </w:rPr>
      </w:pPr>
      <w:r>
        <w:rPr>
          <w:color w:val="auto"/>
          <w:spacing w:val="-6"/>
          <w:szCs w:val="24"/>
        </w:rPr>
        <w:t>基本污染物现状评价分别计算各污染物年平均质量浓度、日平均浓度（其中</w:t>
      </w:r>
      <w:r>
        <w:rPr>
          <w:color w:val="auto"/>
          <w:spacing w:val="-6"/>
          <w:szCs w:val="24"/>
        </w:rPr>
        <w:t>CO</w:t>
      </w:r>
      <w:r>
        <w:rPr>
          <w:color w:val="auto"/>
          <w:spacing w:val="-6"/>
          <w:szCs w:val="24"/>
        </w:rPr>
        <w:t>评价日最大</w:t>
      </w:r>
      <w:r>
        <w:rPr>
          <w:color w:val="auto"/>
          <w:spacing w:val="-6"/>
          <w:szCs w:val="24"/>
        </w:rPr>
        <w:t>8h</w:t>
      </w:r>
      <w:r>
        <w:rPr>
          <w:color w:val="auto"/>
          <w:spacing w:val="-6"/>
          <w:szCs w:val="24"/>
        </w:rPr>
        <w:t>平均浓度，</w:t>
      </w:r>
      <w:r>
        <w:rPr>
          <w:color w:val="auto"/>
          <w:spacing w:val="-6"/>
          <w:szCs w:val="24"/>
        </w:rPr>
        <w:t>O</w:t>
      </w:r>
      <w:r>
        <w:rPr>
          <w:color w:val="auto"/>
          <w:spacing w:val="-6"/>
          <w:szCs w:val="24"/>
          <w:vertAlign w:val="subscript"/>
        </w:rPr>
        <w:t>3</w:t>
      </w:r>
      <w:r>
        <w:rPr>
          <w:color w:val="auto"/>
          <w:spacing w:val="-6"/>
          <w:szCs w:val="24"/>
        </w:rPr>
        <w:t>评价日平均浓度）与《环境空气质量标准》（</w:t>
      </w:r>
      <w:r>
        <w:rPr>
          <w:color w:val="auto"/>
          <w:spacing w:val="-6"/>
          <w:szCs w:val="24"/>
        </w:rPr>
        <w:t>GB3095-2026</w:t>
      </w:r>
      <w:r>
        <w:rPr>
          <w:color w:val="auto"/>
          <w:spacing w:val="-6"/>
          <w:szCs w:val="24"/>
        </w:rPr>
        <w:t>）二级浓度限值分析最大占标率、超标率，进行环境质量现状评价。</w:t>
      </w:r>
    </w:p>
    <w:p w14:paraId="1FFBCC9D" w14:textId="77777777" w:rsidR="002E474C" w:rsidRDefault="00000000">
      <w:pPr>
        <w:pStyle w:val="A-z"/>
        <w:rPr>
          <w:color w:val="auto"/>
        </w:rPr>
      </w:pPr>
      <w:r>
        <w:rPr>
          <w:color w:val="auto"/>
        </w:rPr>
        <w:lastRenderedPageBreak/>
        <w:t>（</w:t>
      </w:r>
      <w:r>
        <w:rPr>
          <w:color w:val="auto"/>
        </w:rPr>
        <w:t>2</w:t>
      </w:r>
      <w:r>
        <w:rPr>
          <w:color w:val="auto"/>
        </w:rPr>
        <w:t>）空气质量达标区的判定</w:t>
      </w:r>
    </w:p>
    <w:p w14:paraId="19E561E7" w14:textId="77777777" w:rsidR="002E474C" w:rsidRDefault="00000000">
      <w:pPr>
        <w:pStyle w:val="A-z"/>
        <w:rPr>
          <w:color w:val="auto"/>
        </w:rPr>
      </w:pPr>
      <w:r>
        <w:rPr>
          <w:color w:val="auto"/>
        </w:rPr>
        <w:t>环境空气质量现状评价结果见下表</w:t>
      </w:r>
      <w:r>
        <w:rPr>
          <w:color w:val="auto"/>
        </w:rPr>
        <w:t>4.3-1</w:t>
      </w:r>
      <w:r>
        <w:rPr>
          <w:color w:val="auto"/>
        </w:rPr>
        <w:t>。</w:t>
      </w:r>
    </w:p>
    <w:p w14:paraId="1050101D" w14:textId="77777777" w:rsidR="002E474C" w:rsidRDefault="00000000">
      <w:pPr>
        <w:pStyle w:val="A--"/>
        <w:rPr>
          <w:snapToGrid w:val="0"/>
          <w:color w:val="auto"/>
        </w:rPr>
      </w:pPr>
      <w:r>
        <w:rPr>
          <w:snapToGrid w:val="0"/>
          <w:color w:val="auto"/>
        </w:rPr>
        <w:t>表</w:t>
      </w:r>
      <w:r>
        <w:rPr>
          <w:snapToGrid w:val="0"/>
          <w:color w:val="auto"/>
        </w:rPr>
        <w:t xml:space="preserve">4.3-1    </w:t>
      </w:r>
      <w:r>
        <w:rPr>
          <w:snapToGrid w:val="0"/>
          <w:color w:val="auto"/>
        </w:rPr>
        <w:t>区域空气质量达标情况判定表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539"/>
        <w:gridCol w:w="878"/>
        <w:gridCol w:w="969"/>
        <w:gridCol w:w="991"/>
        <w:gridCol w:w="702"/>
        <w:gridCol w:w="911"/>
        <w:gridCol w:w="795"/>
        <w:gridCol w:w="793"/>
      </w:tblGrid>
      <w:tr w:rsidR="002E474C" w14:paraId="7616F87F" w14:textId="77777777">
        <w:trPr>
          <w:jc w:val="center"/>
        </w:trPr>
        <w:tc>
          <w:tcPr>
            <w:tcW w:w="432" w:type="pct"/>
            <w:vMerge w:val="restart"/>
            <w:vAlign w:val="center"/>
          </w:tcPr>
          <w:p w14:paraId="6A86E2FA" w14:textId="77777777" w:rsidR="002E474C" w:rsidRDefault="00000000">
            <w:pPr>
              <w:pStyle w:val="A-"/>
              <w:rPr>
                <w:snapToGrid w:val="0"/>
                <w:u w:color="000000"/>
                <w:lang w:bidi="en-US"/>
              </w:rPr>
            </w:pPr>
            <w:r>
              <w:rPr>
                <w:snapToGrid w:val="0"/>
                <w:u w:color="000000"/>
                <w:lang w:bidi="en-US"/>
              </w:rPr>
              <w:t>污染物</w:t>
            </w:r>
          </w:p>
        </w:tc>
        <w:tc>
          <w:tcPr>
            <w:tcW w:w="926" w:type="pct"/>
            <w:vMerge w:val="restart"/>
            <w:vAlign w:val="center"/>
          </w:tcPr>
          <w:p w14:paraId="53BE84BC" w14:textId="77777777" w:rsidR="002E474C" w:rsidRDefault="00000000">
            <w:pPr>
              <w:pStyle w:val="A-"/>
              <w:rPr>
                <w:snapToGrid w:val="0"/>
                <w:u w:color="000000"/>
                <w:lang w:bidi="en-US"/>
              </w:rPr>
            </w:pPr>
            <w:r>
              <w:rPr>
                <w:snapToGrid w:val="0"/>
                <w:u w:color="000000"/>
                <w:lang w:bidi="en-US"/>
              </w:rPr>
              <w:t>年评价指标</w:t>
            </w:r>
          </w:p>
        </w:tc>
        <w:tc>
          <w:tcPr>
            <w:tcW w:w="529" w:type="pct"/>
            <w:vMerge w:val="restart"/>
            <w:vAlign w:val="center"/>
          </w:tcPr>
          <w:p w14:paraId="4EF6FA0F" w14:textId="77777777" w:rsidR="002E474C" w:rsidRDefault="00000000">
            <w:pPr>
              <w:pStyle w:val="A-"/>
              <w:rPr>
                <w:snapToGrid w:val="0"/>
                <w:u w:color="000000"/>
                <w:lang w:bidi="en-US"/>
              </w:rPr>
            </w:pPr>
            <w:r>
              <w:rPr>
                <w:snapToGrid w:val="0"/>
                <w:u w:color="000000"/>
                <w:lang w:bidi="en-US"/>
              </w:rPr>
              <w:t>现状</w:t>
            </w:r>
          </w:p>
          <w:p w14:paraId="73E40283" w14:textId="77777777" w:rsidR="002E474C" w:rsidRDefault="00000000">
            <w:pPr>
              <w:pStyle w:val="A-"/>
              <w:rPr>
                <w:snapToGrid w:val="0"/>
                <w:u w:color="000000"/>
                <w:lang w:bidi="en-US"/>
              </w:rPr>
            </w:pPr>
            <w:r>
              <w:rPr>
                <w:snapToGrid w:val="0"/>
                <w:u w:color="000000"/>
                <w:lang w:bidi="en-US"/>
              </w:rPr>
              <w:t>浓度</w:t>
            </w:r>
          </w:p>
          <w:p w14:paraId="0D415F78" w14:textId="77777777" w:rsidR="002E474C" w:rsidRDefault="00000000">
            <w:pPr>
              <w:pStyle w:val="A-"/>
              <w:rPr>
                <w:snapToGrid w:val="0"/>
                <w:u w:color="000000"/>
                <w:lang w:bidi="en-US"/>
              </w:rPr>
            </w:pPr>
            <w:r>
              <w:rPr>
                <w:snapToGrid w:val="0"/>
                <w:u w:color="000000"/>
                <w:lang w:bidi="en-US"/>
              </w:rPr>
              <w:t>µg/Nm³</w:t>
            </w:r>
          </w:p>
        </w:tc>
        <w:tc>
          <w:tcPr>
            <w:tcW w:w="1604" w:type="pct"/>
            <w:gridSpan w:val="3"/>
            <w:vAlign w:val="center"/>
          </w:tcPr>
          <w:p w14:paraId="1FF82615" w14:textId="77777777" w:rsidR="002E474C" w:rsidRDefault="00000000">
            <w:pPr>
              <w:pStyle w:val="A-"/>
              <w:rPr>
                <w:snapToGrid w:val="0"/>
                <w:u w:color="000000"/>
                <w:lang w:bidi="en-US"/>
              </w:rPr>
            </w:pPr>
            <w:r>
              <w:rPr>
                <w:snapToGrid w:val="0"/>
                <w:u w:color="000000"/>
                <w:lang w:bidi="en-US"/>
              </w:rPr>
              <w:t>GB3095-2012</w:t>
            </w:r>
          </w:p>
        </w:tc>
        <w:tc>
          <w:tcPr>
            <w:tcW w:w="1506" w:type="pct"/>
            <w:gridSpan w:val="3"/>
            <w:vAlign w:val="center"/>
          </w:tcPr>
          <w:p w14:paraId="0DD9C2E8" w14:textId="77777777" w:rsidR="002E474C" w:rsidRDefault="00000000">
            <w:pPr>
              <w:pStyle w:val="A-"/>
              <w:rPr>
                <w:snapToGrid w:val="0"/>
                <w:u w:color="000000"/>
                <w:lang w:bidi="en-US"/>
              </w:rPr>
            </w:pPr>
            <w:r>
              <w:rPr>
                <w:snapToGrid w:val="0"/>
                <w:u w:color="000000"/>
                <w:lang w:bidi="en-US"/>
              </w:rPr>
              <w:t>GB3095-2026</w:t>
            </w:r>
            <w:r>
              <w:rPr>
                <w:snapToGrid w:val="0"/>
                <w:u w:color="000000"/>
                <w:lang w:bidi="en-US"/>
              </w:rPr>
              <w:t>（过渡阶段）</w:t>
            </w:r>
          </w:p>
        </w:tc>
      </w:tr>
      <w:tr w:rsidR="002E474C" w14:paraId="0D120BAB" w14:textId="77777777">
        <w:trPr>
          <w:jc w:val="center"/>
        </w:trPr>
        <w:tc>
          <w:tcPr>
            <w:tcW w:w="432" w:type="pct"/>
            <w:vMerge/>
            <w:vAlign w:val="center"/>
          </w:tcPr>
          <w:p w14:paraId="6A482582" w14:textId="77777777" w:rsidR="002E474C" w:rsidRDefault="002E474C">
            <w:pPr>
              <w:pStyle w:val="A-"/>
              <w:rPr>
                <w:snapToGrid w:val="0"/>
                <w:u w:color="000000"/>
                <w:lang w:bidi="en-US"/>
              </w:rPr>
            </w:pPr>
          </w:p>
        </w:tc>
        <w:tc>
          <w:tcPr>
            <w:tcW w:w="926" w:type="pct"/>
            <w:vMerge/>
            <w:vAlign w:val="center"/>
          </w:tcPr>
          <w:p w14:paraId="6CD3D25A" w14:textId="77777777" w:rsidR="002E474C" w:rsidRDefault="002E474C">
            <w:pPr>
              <w:pStyle w:val="A-"/>
              <w:rPr>
                <w:snapToGrid w:val="0"/>
                <w:u w:color="000000"/>
                <w:lang w:bidi="en-US"/>
              </w:rPr>
            </w:pPr>
          </w:p>
        </w:tc>
        <w:tc>
          <w:tcPr>
            <w:tcW w:w="529" w:type="pct"/>
            <w:vMerge/>
            <w:vAlign w:val="center"/>
          </w:tcPr>
          <w:p w14:paraId="1539B6A4" w14:textId="77777777" w:rsidR="002E474C" w:rsidRDefault="002E474C">
            <w:pPr>
              <w:pStyle w:val="A-"/>
              <w:rPr>
                <w:snapToGrid w:val="0"/>
                <w:u w:color="000000"/>
                <w:lang w:bidi="en-US"/>
              </w:rPr>
            </w:pPr>
          </w:p>
        </w:tc>
        <w:tc>
          <w:tcPr>
            <w:tcW w:w="584" w:type="pct"/>
            <w:vAlign w:val="center"/>
          </w:tcPr>
          <w:p w14:paraId="62207370" w14:textId="77777777" w:rsidR="002E474C" w:rsidRDefault="00000000">
            <w:pPr>
              <w:pStyle w:val="A-"/>
              <w:rPr>
                <w:snapToGrid w:val="0"/>
                <w:u w:color="000000"/>
                <w:lang w:bidi="en-US"/>
              </w:rPr>
            </w:pPr>
            <w:r>
              <w:rPr>
                <w:snapToGrid w:val="0"/>
                <w:u w:color="000000"/>
                <w:lang w:bidi="en-US"/>
              </w:rPr>
              <w:t>标准值</w:t>
            </w:r>
          </w:p>
          <w:p w14:paraId="11F982EE" w14:textId="77777777" w:rsidR="002E474C" w:rsidRDefault="00000000">
            <w:pPr>
              <w:pStyle w:val="A-"/>
              <w:rPr>
                <w:snapToGrid w:val="0"/>
                <w:u w:color="000000"/>
                <w:lang w:bidi="en-US"/>
              </w:rPr>
            </w:pPr>
            <w:r>
              <w:rPr>
                <w:snapToGrid w:val="0"/>
                <w:u w:color="000000"/>
                <w:lang w:bidi="en-US"/>
              </w:rPr>
              <w:t>µg/Nm³</w:t>
            </w:r>
          </w:p>
        </w:tc>
        <w:tc>
          <w:tcPr>
            <w:tcW w:w="597" w:type="pct"/>
            <w:vAlign w:val="center"/>
          </w:tcPr>
          <w:p w14:paraId="2C20A5E0" w14:textId="77777777" w:rsidR="002E474C" w:rsidRDefault="00000000">
            <w:pPr>
              <w:pStyle w:val="A-"/>
              <w:rPr>
                <w:snapToGrid w:val="0"/>
                <w:u w:color="000000"/>
                <w:lang w:bidi="en-US"/>
              </w:rPr>
            </w:pPr>
            <w:r>
              <w:rPr>
                <w:snapToGrid w:val="0"/>
                <w:u w:color="000000"/>
                <w:lang w:bidi="en-US"/>
              </w:rPr>
              <w:t>占标率</w:t>
            </w:r>
            <w:r>
              <w:rPr>
                <w:snapToGrid w:val="0"/>
                <w:u w:color="000000"/>
                <w:lang w:bidi="en-US"/>
              </w:rPr>
              <w:t>%</w:t>
            </w:r>
          </w:p>
        </w:tc>
        <w:tc>
          <w:tcPr>
            <w:tcW w:w="423" w:type="pct"/>
            <w:vAlign w:val="center"/>
          </w:tcPr>
          <w:p w14:paraId="7B884BCD" w14:textId="77777777" w:rsidR="002E474C" w:rsidRDefault="00000000">
            <w:pPr>
              <w:pStyle w:val="A-"/>
              <w:rPr>
                <w:snapToGrid w:val="0"/>
                <w:u w:color="000000"/>
                <w:lang w:bidi="en-US"/>
              </w:rPr>
            </w:pPr>
            <w:r>
              <w:rPr>
                <w:snapToGrid w:val="0"/>
                <w:u w:color="000000"/>
                <w:lang w:bidi="en-US"/>
              </w:rPr>
              <w:t>达标</w:t>
            </w:r>
          </w:p>
          <w:p w14:paraId="36D0F7FA" w14:textId="77777777" w:rsidR="002E474C" w:rsidRDefault="00000000">
            <w:pPr>
              <w:pStyle w:val="A-"/>
              <w:rPr>
                <w:snapToGrid w:val="0"/>
                <w:u w:color="000000"/>
                <w:lang w:bidi="en-US"/>
              </w:rPr>
            </w:pPr>
            <w:r>
              <w:rPr>
                <w:snapToGrid w:val="0"/>
                <w:u w:color="000000"/>
                <w:lang w:bidi="en-US"/>
              </w:rPr>
              <w:t>情况</w:t>
            </w:r>
          </w:p>
        </w:tc>
        <w:tc>
          <w:tcPr>
            <w:tcW w:w="549" w:type="pct"/>
            <w:vAlign w:val="center"/>
          </w:tcPr>
          <w:p w14:paraId="09C5F915" w14:textId="77777777" w:rsidR="002E474C" w:rsidRDefault="00000000">
            <w:pPr>
              <w:pStyle w:val="A-"/>
              <w:rPr>
                <w:snapToGrid w:val="0"/>
                <w:u w:color="000000"/>
                <w:lang w:bidi="en-US"/>
              </w:rPr>
            </w:pPr>
            <w:r>
              <w:rPr>
                <w:snapToGrid w:val="0"/>
                <w:u w:color="000000"/>
                <w:lang w:bidi="en-US"/>
              </w:rPr>
              <w:t>标准值</w:t>
            </w:r>
          </w:p>
          <w:p w14:paraId="0AF14425" w14:textId="77777777" w:rsidR="002E474C" w:rsidRDefault="00000000">
            <w:pPr>
              <w:pStyle w:val="A-"/>
              <w:rPr>
                <w:snapToGrid w:val="0"/>
                <w:u w:color="000000"/>
                <w:lang w:bidi="en-US"/>
              </w:rPr>
            </w:pPr>
            <w:r>
              <w:rPr>
                <w:snapToGrid w:val="0"/>
                <w:u w:color="000000"/>
                <w:lang w:bidi="en-US"/>
              </w:rPr>
              <w:t>µg/Nm³</w:t>
            </w:r>
          </w:p>
        </w:tc>
        <w:tc>
          <w:tcPr>
            <w:tcW w:w="479" w:type="pct"/>
            <w:vAlign w:val="center"/>
          </w:tcPr>
          <w:p w14:paraId="64CFE4AE" w14:textId="77777777" w:rsidR="002E474C" w:rsidRDefault="00000000">
            <w:pPr>
              <w:pStyle w:val="A-"/>
              <w:rPr>
                <w:snapToGrid w:val="0"/>
                <w:u w:color="000000"/>
                <w:lang w:bidi="en-US"/>
              </w:rPr>
            </w:pPr>
            <w:r>
              <w:rPr>
                <w:snapToGrid w:val="0"/>
                <w:u w:color="000000"/>
                <w:lang w:bidi="en-US"/>
              </w:rPr>
              <w:t>占标率</w:t>
            </w:r>
            <w:r>
              <w:rPr>
                <w:snapToGrid w:val="0"/>
                <w:u w:color="000000"/>
                <w:lang w:bidi="en-US"/>
              </w:rPr>
              <w:t>%</w:t>
            </w:r>
          </w:p>
        </w:tc>
        <w:tc>
          <w:tcPr>
            <w:tcW w:w="478" w:type="pct"/>
            <w:vAlign w:val="center"/>
          </w:tcPr>
          <w:p w14:paraId="1684CB9E" w14:textId="77777777" w:rsidR="002E474C" w:rsidRDefault="00000000">
            <w:pPr>
              <w:pStyle w:val="A-"/>
              <w:rPr>
                <w:snapToGrid w:val="0"/>
                <w:u w:color="000000"/>
                <w:lang w:bidi="en-US"/>
              </w:rPr>
            </w:pPr>
            <w:r>
              <w:rPr>
                <w:snapToGrid w:val="0"/>
                <w:u w:color="000000"/>
                <w:lang w:bidi="en-US"/>
              </w:rPr>
              <w:t>达标</w:t>
            </w:r>
          </w:p>
          <w:p w14:paraId="7F842F28" w14:textId="77777777" w:rsidR="002E474C" w:rsidRDefault="00000000">
            <w:pPr>
              <w:pStyle w:val="A-"/>
              <w:rPr>
                <w:snapToGrid w:val="0"/>
                <w:u w:color="000000"/>
                <w:lang w:bidi="en-US"/>
              </w:rPr>
            </w:pPr>
            <w:r>
              <w:rPr>
                <w:snapToGrid w:val="0"/>
                <w:u w:color="000000"/>
                <w:lang w:bidi="en-US"/>
              </w:rPr>
              <w:t>情况</w:t>
            </w:r>
          </w:p>
        </w:tc>
      </w:tr>
      <w:tr w:rsidR="002E474C" w14:paraId="6F757775" w14:textId="77777777">
        <w:trPr>
          <w:jc w:val="center"/>
        </w:trPr>
        <w:tc>
          <w:tcPr>
            <w:tcW w:w="432" w:type="pct"/>
            <w:vMerge w:val="restart"/>
            <w:vAlign w:val="center"/>
          </w:tcPr>
          <w:p w14:paraId="08565599" w14:textId="77777777" w:rsidR="002E474C" w:rsidRDefault="00000000">
            <w:pPr>
              <w:pStyle w:val="A-"/>
              <w:rPr>
                <w:snapToGrid w:val="0"/>
                <w:u w:color="000000"/>
                <w:lang w:bidi="en-US"/>
              </w:rPr>
            </w:pPr>
            <w:r>
              <w:rPr>
                <w:snapToGrid w:val="0"/>
                <w:u w:color="000000"/>
                <w:lang w:bidi="en-US"/>
              </w:rPr>
              <w:t>SO</w:t>
            </w:r>
            <w:r>
              <w:rPr>
                <w:snapToGrid w:val="0"/>
                <w:u w:color="000000"/>
                <w:vertAlign w:val="subscript"/>
                <w:lang w:bidi="en-US"/>
              </w:rPr>
              <w:t>2</w:t>
            </w:r>
          </w:p>
        </w:tc>
        <w:tc>
          <w:tcPr>
            <w:tcW w:w="926" w:type="pct"/>
            <w:vAlign w:val="center"/>
          </w:tcPr>
          <w:p w14:paraId="731E8414" w14:textId="77777777" w:rsidR="002E474C" w:rsidRDefault="00000000">
            <w:pPr>
              <w:pStyle w:val="A-"/>
              <w:ind w:leftChars="-50" w:left="-105" w:rightChars="-50" w:right="-105"/>
              <w:rPr>
                <w:snapToGrid w:val="0"/>
                <w:u w:color="000000"/>
                <w:lang w:bidi="en-US"/>
              </w:rPr>
            </w:pPr>
            <w:r>
              <w:rPr>
                <w:snapToGrid w:val="0"/>
                <w:u w:color="000000"/>
                <w:lang w:bidi="en-US"/>
              </w:rPr>
              <w:t>年平均质量浓度</w:t>
            </w:r>
          </w:p>
        </w:tc>
        <w:tc>
          <w:tcPr>
            <w:tcW w:w="529" w:type="pct"/>
            <w:vAlign w:val="center"/>
          </w:tcPr>
          <w:p w14:paraId="74BDE7A0" w14:textId="77777777" w:rsidR="002E474C" w:rsidRDefault="00000000">
            <w:pPr>
              <w:pStyle w:val="A-"/>
              <w:rPr>
                <w:snapToGrid w:val="0"/>
                <w:u w:color="000000"/>
                <w:lang w:bidi="en-US"/>
              </w:rPr>
            </w:pPr>
            <w:r>
              <w:t>6.3</w:t>
            </w:r>
          </w:p>
        </w:tc>
        <w:tc>
          <w:tcPr>
            <w:tcW w:w="584" w:type="pct"/>
            <w:vAlign w:val="center"/>
          </w:tcPr>
          <w:p w14:paraId="346BE8C6" w14:textId="77777777" w:rsidR="002E474C" w:rsidRDefault="00000000">
            <w:pPr>
              <w:pStyle w:val="A-"/>
              <w:rPr>
                <w:snapToGrid w:val="0"/>
                <w:u w:color="000000"/>
                <w:lang w:bidi="en-US"/>
              </w:rPr>
            </w:pPr>
            <w:r>
              <w:t>60</w:t>
            </w:r>
          </w:p>
        </w:tc>
        <w:tc>
          <w:tcPr>
            <w:tcW w:w="597" w:type="pct"/>
            <w:vAlign w:val="center"/>
          </w:tcPr>
          <w:p w14:paraId="2ACDD351" w14:textId="77777777" w:rsidR="002E474C" w:rsidRDefault="00000000">
            <w:pPr>
              <w:pStyle w:val="A-"/>
              <w:rPr>
                <w:snapToGrid w:val="0"/>
                <w:u w:color="000000"/>
                <w:lang w:bidi="en-US"/>
              </w:rPr>
            </w:pPr>
            <w:r>
              <w:t>10.5</w:t>
            </w:r>
          </w:p>
        </w:tc>
        <w:tc>
          <w:tcPr>
            <w:tcW w:w="423" w:type="pct"/>
            <w:vAlign w:val="center"/>
          </w:tcPr>
          <w:p w14:paraId="353086AB" w14:textId="77777777" w:rsidR="002E474C" w:rsidRDefault="00000000">
            <w:pPr>
              <w:pStyle w:val="A-"/>
              <w:rPr>
                <w:snapToGrid w:val="0"/>
                <w:u w:color="000000"/>
                <w:lang w:bidi="en-US"/>
              </w:rPr>
            </w:pPr>
            <w:r>
              <w:t>达标</w:t>
            </w:r>
          </w:p>
        </w:tc>
        <w:tc>
          <w:tcPr>
            <w:tcW w:w="549" w:type="pct"/>
            <w:vAlign w:val="center"/>
          </w:tcPr>
          <w:p w14:paraId="21AB2976" w14:textId="77777777" w:rsidR="002E474C" w:rsidRDefault="00000000">
            <w:pPr>
              <w:pStyle w:val="A-"/>
              <w:rPr>
                <w:snapToGrid w:val="0"/>
                <w:u w:color="000000"/>
                <w:lang w:bidi="en-US"/>
              </w:rPr>
            </w:pPr>
            <w:r>
              <w:t>60</w:t>
            </w:r>
          </w:p>
        </w:tc>
        <w:tc>
          <w:tcPr>
            <w:tcW w:w="479" w:type="pct"/>
            <w:vAlign w:val="center"/>
          </w:tcPr>
          <w:p w14:paraId="3E625774" w14:textId="77777777" w:rsidR="002E474C" w:rsidRDefault="00000000">
            <w:pPr>
              <w:pStyle w:val="A-"/>
              <w:rPr>
                <w:snapToGrid w:val="0"/>
                <w:u w:color="000000"/>
                <w:lang w:bidi="en-US"/>
              </w:rPr>
            </w:pPr>
            <w:r>
              <w:t>10.5</w:t>
            </w:r>
          </w:p>
        </w:tc>
        <w:tc>
          <w:tcPr>
            <w:tcW w:w="478" w:type="pct"/>
            <w:vAlign w:val="center"/>
          </w:tcPr>
          <w:p w14:paraId="5DC1D0D6" w14:textId="77777777" w:rsidR="002E474C" w:rsidRDefault="00000000">
            <w:pPr>
              <w:pStyle w:val="A-"/>
              <w:rPr>
                <w:snapToGrid w:val="0"/>
                <w:u w:color="000000"/>
                <w:lang w:bidi="en-US"/>
              </w:rPr>
            </w:pPr>
            <w:r>
              <w:t>达标</w:t>
            </w:r>
          </w:p>
        </w:tc>
      </w:tr>
      <w:tr w:rsidR="002E474C" w14:paraId="7DD8B2E8" w14:textId="77777777">
        <w:trPr>
          <w:jc w:val="center"/>
        </w:trPr>
        <w:tc>
          <w:tcPr>
            <w:tcW w:w="432" w:type="pct"/>
            <w:vMerge/>
            <w:vAlign w:val="center"/>
          </w:tcPr>
          <w:p w14:paraId="0874BBEB" w14:textId="77777777" w:rsidR="002E474C" w:rsidRDefault="002E474C">
            <w:pPr>
              <w:pStyle w:val="A-"/>
              <w:rPr>
                <w:snapToGrid w:val="0"/>
                <w:u w:color="000000"/>
                <w:lang w:bidi="en-US"/>
              </w:rPr>
            </w:pPr>
          </w:p>
        </w:tc>
        <w:tc>
          <w:tcPr>
            <w:tcW w:w="926" w:type="pct"/>
            <w:vAlign w:val="center"/>
          </w:tcPr>
          <w:p w14:paraId="0159D5F4"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98</w:t>
            </w:r>
            <w:r>
              <w:rPr>
                <w:snapToGrid w:val="0"/>
                <w:u w:color="000000"/>
                <w:lang w:bidi="en-US"/>
              </w:rPr>
              <w:t>百分位数</w:t>
            </w:r>
          </w:p>
        </w:tc>
        <w:tc>
          <w:tcPr>
            <w:tcW w:w="529" w:type="pct"/>
            <w:vAlign w:val="center"/>
          </w:tcPr>
          <w:p w14:paraId="6E71B23A" w14:textId="77777777" w:rsidR="002E474C" w:rsidRDefault="00000000">
            <w:pPr>
              <w:pStyle w:val="A-"/>
              <w:rPr>
                <w:snapToGrid w:val="0"/>
                <w:u w:color="000000"/>
                <w:lang w:bidi="en-US"/>
              </w:rPr>
            </w:pPr>
            <w:r>
              <w:t>12.7</w:t>
            </w:r>
          </w:p>
        </w:tc>
        <w:tc>
          <w:tcPr>
            <w:tcW w:w="584" w:type="pct"/>
            <w:vAlign w:val="center"/>
          </w:tcPr>
          <w:p w14:paraId="1ACF4AF1" w14:textId="77777777" w:rsidR="002E474C" w:rsidRDefault="00000000">
            <w:pPr>
              <w:pStyle w:val="A-"/>
              <w:rPr>
                <w:snapToGrid w:val="0"/>
                <w:u w:color="000000"/>
                <w:lang w:bidi="en-US"/>
              </w:rPr>
            </w:pPr>
            <w:r>
              <w:t>150</w:t>
            </w:r>
          </w:p>
        </w:tc>
        <w:tc>
          <w:tcPr>
            <w:tcW w:w="597" w:type="pct"/>
            <w:vAlign w:val="center"/>
          </w:tcPr>
          <w:p w14:paraId="1D7AC5E9" w14:textId="77777777" w:rsidR="002E474C" w:rsidRDefault="00000000">
            <w:pPr>
              <w:pStyle w:val="A-"/>
              <w:rPr>
                <w:snapToGrid w:val="0"/>
                <w:u w:color="000000"/>
                <w:lang w:bidi="en-US"/>
              </w:rPr>
            </w:pPr>
            <w:r>
              <w:t>8.5</w:t>
            </w:r>
          </w:p>
        </w:tc>
        <w:tc>
          <w:tcPr>
            <w:tcW w:w="423" w:type="pct"/>
            <w:vAlign w:val="center"/>
          </w:tcPr>
          <w:p w14:paraId="0A0744A1" w14:textId="77777777" w:rsidR="002E474C" w:rsidRDefault="00000000">
            <w:pPr>
              <w:pStyle w:val="A-"/>
              <w:rPr>
                <w:snapToGrid w:val="0"/>
                <w:u w:color="000000"/>
                <w:lang w:bidi="en-US"/>
              </w:rPr>
            </w:pPr>
            <w:r>
              <w:t>达标</w:t>
            </w:r>
          </w:p>
        </w:tc>
        <w:tc>
          <w:tcPr>
            <w:tcW w:w="549" w:type="pct"/>
            <w:vAlign w:val="center"/>
          </w:tcPr>
          <w:p w14:paraId="53E084D1" w14:textId="77777777" w:rsidR="002E474C" w:rsidRDefault="00000000">
            <w:pPr>
              <w:pStyle w:val="A-"/>
              <w:rPr>
                <w:snapToGrid w:val="0"/>
                <w:u w:color="000000"/>
                <w:lang w:bidi="en-US"/>
              </w:rPr>
            </w:pPr>
            <w:r>
              <w:t>150</w:t>
            </w:r>
          </w:p>
        </w:tc>
        <w:tc>
          <w:tcPr>
            <w:tcW w:w="479" w:type="pct"/>
            <w:vAlign w:val="center"/>
          </w:tcPr>
          <w:p w14:paraId="675425D5" w14:textId="77777777" w:rsidR="002E474C" w:rsidRDefault="00000000">
            <w:pPr>
              <w:pStyle w:val="A-"/>
              <w:rPr>
                <w:snapToGrid w:val="0"/>
                <w:u w:color="000000"/>
                <w:lang w:bidi="en-US"/>
              </w:rPr>
            </w:pPr>
            <w:r>
              <w:t>8.5</w:t>
            </w:r>
          </w:p>
        </w:tc>
        <w:tc>
          <w:tcPr>
            <w:tcW w:w="478" w:type="pct"/>
            <w:vAlign w:val="center"/>
          </w:tcPr>
          <w:p w14:paraId="223C4967" w14:textId="77777777" w:rsidR="002E474C" w:rsidRDefault="00000000">
            <w:pPr>
              <w:pStyle w:val="A-"/>
              <w:rPr>
                <w:snapToGrid w:val="0"/>
                <w:u w:color="000000"/>
                <w:lang w:bidi="en-US"/>
              </w:rPr>
            </w:pPr>
            <w:r>
              <w:t>达标</w:t>
            </w:r>
          </w:p>
        </w:tc>
      </w:tr>
      <w:tr w:rsidR="002E474C" w14:paraId="59059F47" w14:textId="77777777">
        <w:trPr>
          <w:jc w:val="center"/>
        </w:trPr>
        <w:tc>
          <w:tcPr>
            <w:tcW w:w="432" w:type="pct"/>
            <w:vMerge w:val="restart"/>
            <w:vAlign w:val="center"/>
          </w:tcPr>
          <w:p w14:paraId="7D545AD9" w14:textId="77777777" w:rsidR="002E474C" w:rsidRDefault="00000000">
            <w:pPr>
              <w:pStyle w:val="A-"/>
              <w:rPr>
                <w:snapToGrid w:val="0"/>
                <w:u w:color="000000"/>
                <w:lang w:bidi="en-US"/>
              </w:rPr>
            </w:pPr>
            <w:r>
              <w:rPr>
                <w:snapToGrid w:val="0"/>
                <w:u w:color="000000"/>
                <w:lang w:bidi="en-US"/>
              </w:rPr>
              <w:t>NO</w:t>
            </w:r>
            <w:r>
              <w:rPr>
                <w:snapToGrid w:val="0"/>
                <w:u w:color="000000"/>
                <w:vertAlign w:val="subscript"/>
                <w:lang w:bidi="en-US"/>
              </w:rPr>
              <w:t>2</w:t>
            </w:r>
          </w:p>
        </w:tc>
        <w:tc>
          <w:tcPr>
            <w:tcW w:w="926" w:type="pct"/>
            <w:vAlign w:val="center"/>
          </w:tcPr>
          <w:p w14:paraId="282E3EAE" w14:textId="77777777" w:rsidR="002E474C" w:rsidRDefault="00000000">
            <w:pPr>
              <w:pStyle w:val="A-"/>
              <w:ind w:leftChars="-50" w:left="-105" w:rightChars="-50" w:right="-105"/>
              <w:rPr>
                <w:snapToGrid w:val="0"/>
                <w:u w:color="000000"/>
                <w:lang w:bidi="en-US"/>
              </w:rPr>
            </w:pPr>
            <w:r>
              <w:rPr>
                <w:snapToGrid w:val="0"/>
                <w:u w:color="000000"/>
                <w:lang w:bidi="en-US"/>
              </w:rPr>
              <w:t>年平均质量浓度</w:t>
            </w:r>
          </w:p>
        </w:tc>
        <w:tc>
          <w:tcPr>
            <w:tcW w:w="529" w:type="pct"/>
            <w:vAlign w:val="center"/>
          </w:tcPr>
          <w:p w14:paraId="112758D4" w14:textId="77777777" w:rsidR="002E474C" w:rsidRDefault="00000000">
            <w:pPr>
              <w:pStyle w:val="A-"/>
              <w:rPr>
                <w:snapToGrid w:val="0"/>
                <w:u w:color="000000"/>
                <w:lang w:bidi="en-US"/>
              </w:rPr>
            </w:pPr>
            <w:r>
              <w:t>21.4</w:t>
            </w:r>
          </w:p>
        </w:tc>
        <w:tc>
          <w:tcPr>
            <w:tcW w:w="584" w:type="pct"/>
            <w:vAlign w:val="center"/>
          </w:tcPr>
          <w:p w14:paraId="2D8778A9" w14:textId="77777777" w:rsidR="002E474C" w:rsidRDefault="00000000">
            <w:pPr>
              <w:pStyle w:val="A-"/>
              <w:rPr>
                <w:snapToGrid w:val="0"/>
                <w:u w:color="000000"/>
                <w:lang w:bidi="en-US"/>
              </w:rPr>
            </w:pPr>
            <w:r>
              <w:t>40</w:t>
            </w:r>
          </w:p>
        </w:tc>
        <w:tc>
          <w:tcPr>
            <w:tcW w:w="597" w:type="pct"/>
            <w:vAlign w:val="center"/>
          </w:tcPr>
          <w:p w14:paraId="412CB559" w14:textId="77777777" w:rsidR="002E474C" w:rsidRDefault="00000000">
            <w:pPr>
              <w:pStyle w:val="A-"/>
              <w:rPr>
                <w:snapToGrid w:val="0"/>
                <w:u w:color="000000"/>
                <w:lang w:bidi="en-US"/>
              </w:rPr>
            </w:pPr>
            <w:r>
              <w:t>53.5</w:t>
            </w:r>
          </w:p>
        </w:tc>
        <w:tc>
          <w:tcPr>
            <w:tcW w:w="423" w:type="pct"/>
            <w:vAlign w:val="center"/>
          </w:tcPr>
          <w:p w14:paraId="6B35FBE2" w14:textId="77777777" w:rsidR="002E474C" w:rsidRDefault="00000000">
            <w:pPr>
              <w:pStyle w:val="A-"/>
              <w:rPr>
                <w:snapToGrid w:val="0"/>
                <w:u w:color="000000"/>
                <w:lang w:bidi="en-US"/>
              </w:rPr>
            </w:pPr>
            <w:r>
              <w:t>达标</w:t>
            </w:r>
          </w:p>
        </w:tc>
        <w:tc>
          <w:tcPr>
            <w:tcW w:w="549" w:type="pct"/>
            <w:vAlign w:val="center"/>
          </w:tcPr>
          <w:p w14:paraId="110D042A" w14:textId="77777777" w:rsidR="002E474C" w:rsidRDefault="00000000">
            <w:pPr>
              <w:pStyle w:val="A-"/>
              <w:rPr>
                <w:snapToGrid w:val="0"/>
                <w:u w:color="000000"/>
                <w:lang w:bidi="en-US"/>
              </w:rPr>
            </w:pPr>
            <w:r>
              <w:t>40</w:t>
            </w:r>
          </w:p>
        </w:tc>
        <w:tc>
          <w:tcPr>
            <w:tcW w:w="479" w:type="pct"/>
            <w:vAlign w:val="center"/>
          </w:tcPr>
          <w:p w14:paraId="3B658ADC" w14:textId="77777777" w:rsidR="002E474C" w:rsidRDefault="00000000">
            <w:pPr>
              <w:pStyle w:val="A-"/>
              <w:rPr>
                <w:snapToGrid w:val="0"/>
                <w:u w:color="000000"/>
                <w:lang w:bidi="en-US"/>
              </w:rPr>
            </w:pPr>
            <w:r>
              <w:t>53.5</w:t>
            </w:r>
          </w:p>
        </w:tc>
        <w:tc>
          <w:tcPr>
            <w:tcW w:w="478" w:type="pct"/>
            <w:vAlign w:val="center"/>
          </w:tcPr>
          <w:p w14:paraId="418CFE53" w14:textId="77777777" w:rsidR="002E474C" w:rsidRDefault="00000000">
            <w:pPr>
              <w:pStyle w:val="A-"/>
              <w:rPr>
                <w:snapToGrid w:val="0"/>
                <w:u w:color="000000"/>
                <w:lang w:bidi="en-US"/>
              </w:rPr>
            </w:pPr>
            <w:r>
              <w:t>达标</w:t>
            </w:r>
          </w:p>
        </w:tc>
      </w:tr>
      <w:tr w:rsidR="002E474C" w14:paraId="78A0B178" w14:textId="77777777">
        <w:trPr>
          <w:jc w:val="center"/>
        </w:trPr>
        <w:tc>
          <w:tcPr>
            <w:tcW w:w="432" w:type="pct"/>
            <w:vMerge/>
            <w:vAlign w:val="center"/>
          </w:tcPr>
          <w:p w14:paraId="47BC3A90" w14:textId="77777777" w:rsidR="002E474C" w:rsidRDefault="002E474C">
            <w:pPr>
              <w:pStyle w:val="A-"/>
              <w:rPr>
                <w:snapToGrid w:val="0"/>
                <w:u w:color="000000"/>
                <w:lang w:bidi="en-US"/>
              </w:rPr>
            </w:pPr>
          </w:p>
        </w:tc>
        <w:tc>
          <w:tcPr>
            <w:tcW w:w="926" w:type="pct"/>
            <w:vAlign w:val="center"/>
          </w:tcPr>
          <w:p w14:paraId="1B1F8300"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98</w:t>
            </w:r>
            <w:r>
              <w:rPr>
                <w:snapToGrid w:val="0"/>
                <w:u w:color="000000"/>
                <w:lang w:bidi="en-US"/>
              </w:rPr>
              <w:t>百分位数</w:t>
            </w:r>
          </w:p>
        </w:tc>
        <w:tc>
          <w:tcPr>
            <w:tcW w:w="529" w:type="pct"/>
            <w:vAlign w:val="center"/>
          </w:tcPr>
          <w:p w14:paraId="22F164ED" w14:textId="77777777" w:rsidR="002E474C" w:rsidRDefault="00000000">
            <w:pPr>
              <w:pStyle w:val="A-"/>
              <w:rPr>
                <w:snapToGrid w:val="0"/>
                <w:u w:color="000000"/>
                <w:lang w:bidi="en-US"/>
              </w:rPr>
            </w:pPr>
            <w:r>
              <w:t>54.7</w:t>
            </w:r>
          </w:p>
        </w:tc>
        <w:tc>
          <w:tcPr>
            <w:tcW w:w="584" w:type="pct"/>
            <w:vAlign w:val="center"/>
          </w:tcPr>
          <w:p w14:paraId="21B9AE58" w14:textId="77777777" w:rsidR="002E474C" w:rsidRDefault="00000000">
            <w:pPr>
              <w:pStyle w:val="A-"/>
              <w:rPr>
                <w:snapToGrid w:val="0"/>
                <w:u w:color="000000"/>
                <w:lang w:bidi="en-US"/>
              </w:rPr>
            </w:pPr>
            <w:r>
              <w:t>80</w:t>
            </w:r>
          </w:p>
        </w:tc>
        <w:tc>
          <w:tcPr>
            <w:tcW w:w="597" w:type="pct"/>
            <w:vAlign w:val="center"/>
          </w:tcPr>
          <w:p w14:paraId="6B621C11" w14:textId="77777777" w:rsidR="002E474C" w:rsidRDefault="00000000">
            <w:pPr>
              <w:pStyle w:val="A-"/>
              <w:rPr>
                <w:snapToGrid w:val="0"/>
                <w:u w:color="000000"/>
                <w:lang w:bidi="en-US"/>
              </w:rPr>
            </w:pPr>
            <w:r>
              <w:t>68.4</w:t>
            </w:r>
          </w:p>
        </w:tc>
        <w:tc>
          <w:tcPr>
            <w:tcW w:w="423" w:type="pct"/>
            <w:vAlign w:val="center"/>
          </w:tcPr>
          <w:p w14:paraId="2DDB9790" w14:textId="77777777" w:rsidR="002E474C" w:rsidRDefault="00000000">
            <w:pPr>
              <w:pStyle w:val="A-"/>
              <w:rPr>
                <w:snapToGrid w:val="0"/>
                <w:u w:color="000000"/>
                <w:lang w:bidi="en-US"/>
              </w:rPr>
            </w:pPr>
            <w:r>
              <w:t>达标</w:t>
            </w:r>
          </w:p>
        </w:tc>
        <w:tc>
          <w:tcPr>
            <w:tcW w:w="549" w:type="pct"/>
            <w:vAlign w:val="center"/>
          </w:tcPr>
          <w:p w14:paraId="5C522BA1" w14:textId="77777777" w:rsidR="002E474C" w:rsidRDefault="00000000">
            <w:pPr>
              <w:pStyle w:val="A-"/>
              <w:rPr>
                <w:snapToGrid w:val="0"/>
                <w:u w:color="000000"/>
                <w:lang w:bidi="en-US"/>
              </w:rPr>
            </w:pPr>
            <w:r>
              <w:t>80</w:t>
            </w:r>
          </w:p>
        </w:tc>
        <w:tc>
          <w:tcPr>
            <w:tcW w:w="479" w:type="pct"/>
            <w:vAlign w:val="center"/>
          </w:tcPr>
          <w:p w14:paraId="5760A1CB" w14:textId="77777777" w:rsidR="002E474C" w:rsidRDefault="00000000">
            <w:pPr>
              <w:pStyle w:val="A-"/>
              <w:rPr>
                <w:snapToGrid w:val="0"/>
                <w:u w:color="000000"/>
                <w:lang w:bidi="en-US"/>
              </w:rPr>
            </w:pPr>
            <w:r>
              <w:t>68.4</w:t>
            </w:r>
          </w:p>
        </w:tc>
        <w:tc>
          <w:tcPr>
            <w:tcW w:w="478" w:type="pct"/>
            <w:vAlign w:val="center"/>
          </w:tcPr>
          <w:p w14:paraId="312BCE93" w14:textId="77777777" w:rsidR="002E474C" w:rsidRDefault="00000000">
            <w:pPr>
              <w:pStyle w:val="A-"/>
              <w:rPr>
                <w:snapToGrid w:val="0"/>
                <w:u w:color="000000"/>
                <w:lang w:bidi="en-US"/>
              </w:rPr>
            </w:pPr>
            <w:r>
              <w:t>达标</w:t>
            </w:r>
          </w:p>
        </w:tc>
      </w:tr>
      <w:tr w:rsidR="002E474C" w14:paraId="51396D97" w14:textId="77777777">
        <w:trPr>
          <w:jc w:val="center"/>
        </w:trPr>
        <w:tc>
          <w:tcPr>
            <w:tcW w:w="432" w:type="pct"/>
            <w:vMerge w:val="restart"/>
            <w:vAlign w:val="center"/>
          </w:tcPr>
          <w:p w14:paraId="47C54127" w14:textId="77777777" w:rsidR="002E474C" w:rsidRDefault="00000000">
            <w:pPr>
              <w:pStyle w:val="A-"/>
              <w:rPr>
                <w:snapToGrid w:val="0"/>
                <w:u w:color="000000"/>
                <w:lang w:bidi="en-US"/>
              </w:rPr>
            </w:pPr>
            <w:r>
              <w:rPr>
                <w:snapToGrid w:val="0"/>
                <w:u w:color="000000"/>
                <w:lang w:bidi="en-US"/>
              </w:rPr>
              <w:t>PM</w:t>
            </w:r>
            <w:r>
              <w:rPr>
                <w:snapToGrid w:val="0"/>
                <w:u w:color="000000"/>
                <w:vertAlign w:val="subscript"/>
                <w:lang w:bidi="en-US"/>
              </w:rPr>
              <w:t>10</w:t>
            </w:r>
          </w:p>
        </w:tc>
        <w:tc>
          <w:tcPr>
            <w:tcW w:w="926" w:type="pct"/>
            <w:vAlign w:val="center"/>
          </w:tcPr>
          <w:p w14:paraId="7561590B" w14:textId="77777777" w:rsidR="002E474C" w:rsidRDefault="00000000">
            <w:pPr>
              <w:pStyle w:val="A-"/>
              <w:ind w:leftChars="-50" w:left="-105" w:rightChars="-50" w:right="-105"/>
              <w:rPr>
                <w:snapToGrid w:val="0"/>
                <w:u w:color="000000"/>
                <w:lang w:bidi="en-US"/>
              </w:rPr>
            </w:pPr>
            <w:r>
              <w:rPr>
                <w:snapToGrid w:val="0"/>
                <w:u w:color="000000"/>
                <w:lang w:bidi="en-US"/>
              </w:rPr>
              <w:t>年平均质量浓度</w:t>
            </w:r>
          </w:p>
        </w:tc>
        <w:tc>
          <w:tcPr>
            <w:tcW w:w="529" w:type="pct"/>
            <w:vAlign w:val="center"/>
          </w:tcPr>
          <w:p w14:paraId="32A20012" w14:textId="77777777" w:rsidR="002E474C" w:rsidRDefault="00000000">
            <w:pPr>
              <w:pStyle w:val="A-"/>
              <w:rPr>
                <w:snapToGrid w:val="0"/>
                <w:u w:color="000000"/>
                <w:lang w:bidi="en-US"/>
              </w:rPr>
            </w:pPr>
            <w:r>
              <w:t>140.4</w:t>
            </w:r>
          </w:p>
        </w:tc>
        <w:tc>
          <w:tcPr>
            <w:tcW w:w="584" w:type="pct"/>
            <w:vAlign w:val="center"/>
          </w:tcPr>
          <w:p w14:paraId="0BE97CCC" w14:textId="77777777" w:rsidR="002E474C" w:rsidRDefault="00000000">
            <w:pPr>
              <w:pStyle w:val="A-"/>
              <w:rPr>
                <w:snapToGrid w:val="0"/>
                <w:u w:color="000000"/>
                <w:lang w:bidi="en-US"/>
              </w:rPr>
            </w:pPr>
            <w:r>
              <w:t>70</w:t>
            </w:r>
          </w:p>
        </w:tc>
        <w:tc>
          <w:tcPr>
            <w:tcW w:w="597" w:type="pct"/>
            <w:vAlign w:val="center"/>
          </w:tcPr>
          <w:p w14:paraId="176551D0" w14:textId="77777777" w:rsidR="002E474C" w:rsidRDefault="00000000">
            <w:pPr>
              <w:pStyle w:val="A-"/>
              <w:rPr>
                <w:snapToGrid w:val="0"/>
                <w:u w:color="000000"/>
                <w:lang w:bidi="en-US"/>
              </w:rPr>
            </w:pPr>
            <w:r>
              <w:t>200.6</w:t>
            </w:r>
          </w:p>
        </w:tc>
        <w:tc>
          <w:tcPr>
            <w:tcW w:w="423" w:type="pct"/>
            <w:vAlign w:val="center"/>
          </w:tcPr>
          <w:p w14:paraId="250058C7" w14:textId="77777777" w:rsidR="002E474C" w:rsidRDefault="00000000">
            <w:pPr>
              <w:pStyle w:val="A-"/>
              <w:rPr>
                <w:snapToGrid w:val="0"/>
                <w:u w:color="000000"/>
                <w:lang w:bidi="en-US"/>
              </w:rPr>
            </w:pPr>
            <w:r>
              <w:t>超标</w:t>
            </w:r>
          </w:p>
        </w:tc>
        <w:tc>
          <w:tcPr>
            <w:tcW w:w="549" w:type="pct"/>
            <w:vAlign w:val="center"/>
          </w:tcPr>
          <w:p w14:paraId="195A9752" w14:textId="77777777" w:rsidR="002E474C" w:rsidRDefault="00000000">
            <w:pPr>
              <w:pStyle w:val="A-"/>
              <w:rPr>
                <w:snapToGrid w:val="0"/>
                <w:u w:color="000000"/>
                <w:lang w:bidi="en-US"/>
              </w:rPr>
            </w:pPr>
            <w:r>
              <w:t>60</w:t>
            </w:r>
          </w:p>
        </w:tc>
        <w:tc>
          <w:tcPr>
            <w:tcW w:w="479" w:type="pct"/>
            <w:vAlign w:val="center"/>
          </w:tcPr>
          <w:p w14:paraId="436BF423" w14:textId="77777777" w:rsidR="002E474C" w:rsidRDefault="00000000">
            <w:pPr>
              <w:pStyle w:val="A-"/>
              <w:rPr>
                <w:snapToGrid w:val="0"/>
                <w:u w:color="000000"/>
                <w:lang w:bidi="en-US"/>
              </w:rPr>
            </w:pPr>
            <w:r>
              <w:t>234.0</w:t>
            </w:r>
          </w:p>
        </w:tc>
        <w:tc>
          <w:tcPr>
            <w:tcW w:w="478" w:type="pct"/>
            <w:vAlign w:val="center"/>
          </w:tcPr>
          <w:p w14:paraId="1F81CA45" w14:textId="77777777" w:rsidR="002E474C" w:rsidRDefault="00000000">
            <w:pPr>
              <w:pStyle w:val="A-"/>
              <w:rPr>
                <w:snapToGrid w:val="0"/>
                <w:u w:color="000000"/>
                <w:lang w:bidi="en-US"/>
              </w:rPr>
            </w:pPr>
            <w:r>
              <w:t>超标</w:t>
            </w:r>
          </w:p>
        </w:tc>
      </w:tr>
      <w:tr w:rsidR="002E474C" w14:paraId="6BF5E1D7" w14:textId="77777777">
        <w:trPr>
          <w:jc w:val="center"/>
        </w:trPr>
        <w:tc>
          <w:tcPr>
            <w:tcW w:w="432" w:type="pct"/>
            <w:vMerge/>
            <w:vAlign w:val="center"/>
          </w:tcPr>
          <w:p w14:paraId="232E205C" w14:textId="77777777" w:rsidR="002E474C" w:rsidRDefault="002E474C">
            <w:pPr>
              <w:pStyle w:val="A-"/>
              <w:rPr>
                <w:snapToGrid w:val="0"/>
                <w:u w:color="000000"/>
                <w:lang w:bidi="en-US"/>
              </w:rPr>
            </w:pPr>
          </w:p>
        </w:tc>
        <w:tc>
          <w:tcPr>
            <w:tcW w:w="926" w:type="pct"/>
            <w:vAlign w:val="center"/>
          </w:tcPr>
          <w:p w14:paraId="3B9C2F7B"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95</w:t>
            </w:r>
            <w:r>
              <w:rPr>
                <w:snapToGrid w:val="0"/>
                <w:u w:color="000000"/>
                <w:lang w:bidi="en-US"/>
              </w:rPr>
              <w:t>百分位数</w:t>
            </w:r>
          </w:p>
        </w:tc>
        <w:tc>
          <w:tcPr>
            <w:tcW w:w="529" w:type="pct"/>
            <w:vAlign w:val="center"/>
          </w:tcPr>
          <w:p w14:paraId="71D65527" w14:textId="77777777" w:rsidR="002E474C" w:rsidRDefault="00000000">
            <w:pPr>
              <w:pStyle w:val="A-"/>
              <w:rPr>
                <w:snapToGrid w:val="0"/>
                <w:u w:color="000000"/>
                <w:lang w:bidi="en-US"/>
              </w:rPr>
            </w:pPr>
            <w:r>
              <w:t>272.6</w:t>
            </w:r>
          </w:p>
        </w:tc>
        <w:tc>
          <w:tcPr>
            <w:tcW w:w="584" w:type="pct"/>
            <w:vAlign w:val="center"/>
          </w:tcPr>
          <w:p w14:paraId="468DA058" w14:textId="77777777" w:rsidR="002E474C" w:rsidRDefault="00000000">
            <w:pPr>
              <w:pStyle w:val="A-"/>
              <w:rPr>
                <w:snapToGrid w:val="0"/>
                <w:u w:color="000000"/>
                <w:lang w:bidi="en-US"/>
              </w:rPr>
            </w:pPr>
            <w:r>
              <w:t>150</w:t>
            </w:r>
          </w:p>
        </w:tc>
        <w:tc>
          <w:tcPr>
            <w:tcW w:w="597" w:type="pct"/>
            <w:vAlign w:val="center"/>
          </w:tcPr>
          <w:p w14:paraId="424D2E74" w14:textId="77777777" w:rsidR="002E474C" w:rsidRDefault="00000000">
            <w:pPr>
              <w:pStyle w:val="A-"/>
              <w:rPr>
                <w:snapToGrid w:val="0"/>
                <w:u w:color="000000"/>
                <w:lang w:bidi="en-US"/>
              </w:rPr>
            </w:pPr>
            <w:r>
              <w:t>181.7</w:t>
            </w:r>
          </w:p>
        </w:tc>
        <w:tc>
          <w:tcPr>
            <w:tcW w:w="423" w:type="pct"/>
            <w:vAlign w:val="center"/>
          </w:tcPr>
          <w:p w14:paraId="25FBF3DB" w14:textId="77777777" w:rsidR="002E474C" w:rsidRDefault="00000000">
            <w:pPr>
              <w:pStyle w:val="A-"/>
              <w:rPr>
                <w:snapToGrid w:val="0"/>
                <w:u w:color="000000"/>
                <w:lang w:bidi="en-US"/>
              </w:rPr>
            </w:pPr>
            <w:r>
              <w:t>超标</w:t>
            </w:r>
          </w:p>
        </w:tc>
        <w:tc>
          <w:tcPr>
            <w:tcW w:w="549" w:type="pct"/>
            <w:vAlign w:val="center"/>
          </w:tcPr>
          <w:p w14:paraId="4DC6D89F" w14:textId="77777777" w:rsidR="002E474C" w:rsidRDefault="00000000">
            <w:pPr>
              <w:pStyle w:val="A-"/>
              <w:rPr>
                <w:snapToGrid w:val="0"/>
                <w:u w:color="000000"/>
                <w:lang w:bidi="en-US"/>
              </w:rPr>
            </w:pPr>
            <w:r>
              <w:t>120</w:t>
            </w:r>
          </w:p>
        </w:tc>
        <w:tc>
          <w:tcPr>
            <w:tcW w:w="479" w:type="pct"/>
            <w:vAlign w:val="center"/>
          </w:tcPr>
          <w:p w14:paraId="60713137" w14:textId="77777777" w:rsidR="002E474C" w:rsidRDefault="00000000">
            <w:pPr>
              <w:pStyle w:val="A-"/>
              <w:rPr>
                <w:snapToGrid w:val="0"/>
                <w:u w:color="000000"/>
                <w:lang w:bidi="en-US"/>
              </w:rPr>
            </w:pPr>
            <w:r>
              <w:t>227.2</w:t>
            </w:r>
          </w:p>
        </w:tc>
        <w:tc>
          <w:tcPr>
            <w:tcW w:w="478" w:type="pct"/>
            <w:vAlign w:val="center"/>
          </w:tcPr>
          <w:p w14:paraId="7179E292" w14:textId="77777777" w:rsidR="002E474C" w:rsidRDefault="00000000">
            <w:pPr>
              <w:pStyle w:val="A-"/>
              <w:rPr>
                <w:snapToGrid w:val="0"/>
                <w:u w:color="000000"/>
                <w:lang w:bidi="en-US"/>
              </w:rPr>
            </w:pPr>
            <w:r>
              <w:t>超标</w:t>
            </w:r>
          </w:p>
        </w:tc>
      </w:tr>
      <w:tr w:rsidR="002E474C" w14:paraId="503139FB" w14:textId="77777777">
        <w:trPr>
          <w:jc w:val="center"/>
        </w:trPr>
        <w:tc>
          <w:tcPr>
            <w:tcW w:w="432" w:type="pct"/>
            <w:vMerge w:val="restart"/>
            <w:vAlign w:val="center"/>
          </w:tcPr>
          <w:p w14:paraId="52E5D709" w14:textId="77777777" w:rsidR="002E474C" w:rsidRDefault="00000000">
            <w:pPr>
              <w:pStyle w:val="A-"/>
              <w:rPr>
                <w:snapToGrid w:val="0"/>
                <w:u w:color="000000"/>
                <w:lang w:bidi="en-US"/>
              </w:rPr>
            </w:pPr>
            <w:r>
              <w:rPr>
                <w:snapToGrid w:val="0"/>
                <w:u w:color="000000"/>
                <w:lang w:bidi="en-US"/>
              </w:rPr>
              <w:t>PM</w:t>
            </w:r>
            <w:r>
              <w:rPr>
                <w:snapToGrid w:val="0"/>
                <w:u w:color="000000"/>
                <w:vertAlign w:val="subscript"/>
                <w:lang w:bidi="en-US"/>
              </w:rPr>
              <w:t>2.5</w:t>
            </w:r>
          </w:p>
        </w:tc>
        <w:tc>
          <w:tcPr>
            <w:tcW w:w="926" w:type="pct"/>
            <w:vAlign w:val="center"/>
          </w:tcPr>
          <w:p w14:paraId="56775DB1" w14:textId="77777777" w:rsidR="002E474C" w:rsidRDefault="00000000">
            <w:pPr>
              <w:pStyle w:val="A-"/>
              <w:ind w:leftChars="-50" w:left="-105" w:rightChars="-50" w:right="-105"/>
              <w:rPr>
                <w:snapToGrid w:val="0"/>
                <w:u w:color="000000"/>
                <w:lang w:bidi="en-US"/>
              </w:rPr>
            </w:pPr>
            <w:r>
              <w:rPr>
                <w:snapToGrid w:val="0"/>
                <w:u w:color="000000"/>
                <w:lang w:bidi="en-US"/>
              </w:rPr>
              <w:t>年平均质量浓度</w:t>
            </w:r>
          </w:p>
        </w:tc>
        <w:tc>
          <w:tcPr>
            <w:tcW w:w="529" w:type="pct"/>
            <w:vAlign w:val="center"/>
          </w:tcPr>
          <w:p w14:paraId="3C523EF2" w14:textId="77777777" w:rsidR="002E474C" w:rsidRDefault="00000000">
            <w:pPr>
              <w:pStyle w:val="A-"/>
              <w:rPr>
                <w:snapToGrid w:val="0"/>
                <w:u w:color="000000"/>
                <w:lang w:bidi="en-US"/>
              </w:rPr>
            </w:pPr>
            <w:r>
              <w:t>45.0</w:t>
            </w:r>
          </w:p>
        </w:tc>
        <w:tc>
          <w:tcPr>
            <w:tcW w:w="584" w:type="pct"/>
            <w:vAlign w:val="center"/>
          </w:tcPr>
          <w:p w14:paraId="3A45961E" w14:textId="77777777" w:rsidR="002E474C" w:rsidRDefault="00000000">
            <w:pPr>
              <w:pStyle w:val="A-"/>
              <w:rPr>
                <w:snapToGrid w:val="0"/>
                <w:u w:color="000000"/>
                <w:lang w:bidi="en-US"/>
              </w:rPr>
            </w:pPr>
            <w:r>
              <w:t>35</w:t>
            </w:r>
          </w:p>
        </w:tc>
        <w:tc>
          <w:tcPr>
            <w:tcW w:w="597" w:type="pct"/>
            <w:vAlign w:val="center"/>
          </w:tcPr>
          <w:p w14:paraId="1A9CCC53" w14:textId="77777777" w:rsidR="002E474C" w:rsidRDefault="00000000">
            <w:pPr>
              <w:pStyle w:val="A-"/>
              <w:rPr>
                <w:snapToGrid w:val="0"/>
                <w:u w:color="000000"/>
                <w:lang w:bidi="en-US"/>
              </w:rPr>
            </w:pPr>
            <w:r>
              <w:t>128.6</w:t>
            </w:r>
          </w:p>
        </w:tc>
        <w:tc>
          <w:tcPr>
            <w:tcW w:w="423" w:type="pct"/>
            <w:vAlign w:val="center"/>
          </w:tcPr>
          <w:p w14:paraId="0C575450" w14:textId="77777777" w:rsidR="002E474C" w:rsidRDefault="00000000">
            <w:pPr>
              <w:pStyle w:val="A-"/>
              <w:rPr>
                <w:snapToGrid w:val="0"/>
                <w:u w:color="000000"/>
                <w:lang w:bidi="en-US"/>
              </w:rPr>
            </w:pPr>
            <w:r>
              <w:t>超标</w:t>
            </w:r>
          </w:p>
        </w:tc>
        <w:tc>
          <w:tcPr>
            <w:tcW w:w="549" w:type="pct"/>
            <w:vAlign w:val="center"/>
          </w:tcPr>
          <w:p w14:paraId="0D4A3178" w14:textId="77777777" w:rsidR="002E474C" w:rsidRDefault="00000000">
            <w:pPr>
              <w:pStyle w:val="A-"/>
              <w:rPr>
                <w:snapToGrid w:val="0"/>
                <w:u w:color="000000"/>
                <w:lang w:bidi="en-US"/>
              </w:rPr>
            </w:pPr>
            <w:r>
              <w:t>30</w:t>
            </w:r>
          </w:p>
        </w:tc>
        <w:tc>
          <w:tcPr>
            <w:tcW w:w="479" w:type="pct"/>
            <w:vAlign w:val="center"/>
          </w:tcPr>
          <w:p w14:paraId="7258891B" w14:textId="77777777" w:rsidR="002E474C" w:rsidRDefault="00000000">
            <w:pPr>
              <w:pStyle w:val="A-"/>
              <w:rPr>
                <w:snapToGrid w:val="0"/>
                <w:u w:color="000000"/>
                <w:lang w:bidi="en-US"/>
              </w:rPr>
            </w:pPr>
            <w:r>
              <w:t>150.0</w:t>
            </w:r>
          </w:p>
        </w:tc>
        <w:tc>
          <w:tcPr>
            <w:tcW w:w="478" w:type="pct"/>
            <w:vAlign w:val="center"/>
          </w:tcPr>
          <w:p w14:paraId="4990B9B5" w14:textId="77777777" w:rsidR="002E474C" w:rsidRDefault="00000000">
            <w:pPr>
              <w:pStyle w:val="A-"/>
              <w:rPr>
                <w:snapToGrid w:val="0"/>
                <w:u w:color="000000"/>
                <w:lang w:bidi="en-US"/>
              </w:rPr>
            </w:pPr>
            <w:r>
              <w:t>超标</w:t>
            </w:r>
          </w:p>
        </w:tc>
      </w:tr>
      <w:tr w:rsidR="002E474C" w14:paraId="0C12D865" w14:textId="77777777">
        <w:trPr>
          <w:jc w:val="center"/>
        </w:trPr>
        <w:tc>
          <w:tcPr>
            <w:tcW w:w="432" w:type="pct"/>
            <w:vMerge/>
            <w:vAlign w:val="center"/>
          </w:tcPr>
          <w:p w14:paraId="0B8A3B3D" w14:textId="77777777" w:rsidR="002E474C" w:rsidRDefault="002E474C">
            <w:pPr>
              <w:pStyle w:val="A-"/>
              <w:rPr>
                <w:snapToGrid w:val="0"/>
                <w:u w:color="000000"/>
                <w:lang w:bidi="en-US"/>
              </w:rPr>
            </w:pPr>
          </w:p>
        </w:tc>
        <w:tc>
          <w:tcPr>
            <w:tcW w:w="926" w:type="pct"/>
            <w:vAlign w:val="center"/>
          </w:tcPr>
          <w:p w14:paraId="510F3999"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95</w:t>
            </w:r>
            <w:r>
              <w:rPr>
                <w:snapToGrid w:val="0"/>
                <w:u w:color="000000"/>
                <w:lang w:bidi="en-US"/>
              </w:rPr>
              <w:t>百分位数</w:t>
            </w:r>
          </w:p>
        </w:tc>
        <w:tc>
          <w:tcPr>
            <w:tcW w:w="529" w:type="pct"/>
            <w:vAlign w:val="center"/>
          </w:tcPr>
          <w:p w14:paraId="50218364" w14:textId="77777777" w:rsidR="002E474C" w:rsidRDefault="00000000">
            <w:pPr>
              <w:pStyle w:val="A-"/>
              <w:rPr>
                <w:snapToGrid w:val="0"/>
                <w:u w:color="000000"/>
                <w:lang w:bidi="en-US"/>
              </w:rPr>
            </w:pPr>
            <w:r>
              <w:t>107.8</w:t>
            </w:r>
          </w:p>
        </w:tc>
        <w:tc>
          <w:tcPr>
            <w:tcW w:w="584" w:type="pct"/>
            <w:vAlign w:val="center"/>
          </w:tcPr>
          <w:p w14:paraId="30BA60E1" w14:textId="77777777" w:rsidR="002E474C" w:rsidRDefault="00000000">
            <w:pPr>
              <w:pStyle w:val="A-"/>
              <w:rPr>
                <w:snapToGrid w:val="0"/>
                <w:u w:color="000000"/>
                <w:lang w:bidi="en-US"/>
              </w:rPr>
            </w:pPr>
            <w:r>
              <w:t>75</w:t>
            </w:r>
          </w:p>
        </w:tc>
        <w:tc>
          <w:tcPr>
            <w:tcW w:w="597" w:type="pct"/>
            <w:vAlign w:val="center"/>
          </w:tcPr>
          <w:p w14:paraId="79237180" w14:textId="77777777" w:rsidR="002E474C" w:rsidRDefault="00000000">
            <w:pPr>
              <w:pStyle w:val="A-"/>
              <w:rPr>
                <w:snapToGrid w:val="0"/>
                <w:u w:color="000000"/>
                <w:lang w:bidi="en-US"/>
              </w:rPr>
            </w:pPr>
            <w:r>
              <w:t>143.7</w:t>
            </w:r>
          </w:p>
        </w:tc>
        <w:tc>
          <w:tcPr>
            <w:tcW w:w="423" w:type="pct"/>
            <w:vAlign w:val="center"/>
          </w:tcPr>
          <w:p w14:paraId="5FC62C91" w14:textId="77777777" w:rsidR="002E474C" w:rsidRDefault="00000000">
            <w:pPr>
              <w:pStyle w:val="A-"/>
              <w:rPr>
                <w:snapToGrid w:val="0"/>
                <w:u w:color="000000"/>
                <w:lang w:bidi="en-US"/>
              </w:rPr>
            </w:pPr>
            <w:r>
              <w:t>超标</w:t>
            </w:r>
          </w:p>
        </w:tc>
        <w:tc>
          <w:tcPr>
            <w:tcW w:w="549" w:type="pct"/>
            <w:vAlign w:val="center"/>
          </w:tcPr>
          <w:p w14:paraId="50A89443" w14:textId="77777777" w:rsidR="002E474C" w:rsidRDefault="00000000">
            <w:pPr>
              <w:pStyle w:val="A-"/>
              <w:rPr>
                <w:snapToGrid w:val="0"/>
                <w:u w:color="000000"/>
                <w:lang w:bidi="en-US"/>
              </w:rPr>
            </w:pPr>
            <w:r>
              <w:t>60</w:t>
            </w:r>
          </w:p>
        </w:tc>
        <w:tc>
          <w:tcPr>
            <w:tcW w:w="479" w:type="pct"/>
            <w:vAlign w:val="center"/>
          </w:tcPr>
          <w:p w14:paraId="6E4CA328" w14:textId="77777777" w:rsidR="002E474C" w:rsidRDefault="00000000">
            <w:pPr>
              <w:pStyle w:val="A-"/>
              <w:rPr>
                <w:snapToGrid w:val="0"/>
                <w:u w:color="000000"/>
                <w:lang w:bidi="en-US"/>
              </w:rPr>
            </w:pPr>
            <w:r>
              <w:t>179.7</w:t>
            </w:r>
          </w:p>
        </w:tc>
        <w:tc>
          <w:tcPr>
            <w:tcW w:w="478" w:type="pct"/>
            <w:vAlign w:val="center"/>
          </w:tcPr>
          <w:p w14:paraId="0D1C270D" w14:textId="77777777" w:rsidR="002E474C" w:rsidRDefault="00000000">
            <w:pPr>
              <w:pStyle w:val="A-"/>
              <w:rPr>
                <w:snapToGrid w:val="0"/>
                <w:u w:color="000000"/>
                <w:lang w:bidi="en-US"/>
              </w:rPr>
            </w:pPr>
            <w:r>
              <w:t>超标</w:t>
            </w:r>
          </w:p>
        </w:tc>
      </w:tr>
      <w:tr w:rsidR="002E474C" w14:paraId="0B77E27F" w14:textId="77777777">
        <w:trPr>
          <w:jc w:val="center"/>
        </w:trPr>
        <w:tc>
          <w:tcPr>
            <w:tcW w:w="432" w:type="pct"/>
            <w:vAlign w:val="center"/>
          </w:tcPr>
          <w:p w14:paraId="4A0456C9" w14:textId="77777777" w:rsidR="002E474C" w:rsidRDefault="00000000">
            <w:pPr>
              <w:pStyle w:val="A-"/>
              <w:rPr>
                <w:snapToGrid w:val="0"/>
                <w:u w:color="000000"/>
                <w:lang w:bidi="en-US"/>
              </w:rPr>
            </w:pPr>
            <w:r>
              <w:rPr>
                <w:snapToGrid w:val="0"/>
                <w:u w:color="000000"/>
                <w:lang w:bidi="en-US"/>
              </w:rPr>
              <w:t>CO</w:t>
            </w:r>
          </w:p>
        </w:tc>
        <w:tc>
          <w:tcPr>
            <w:tcW w:w="926" w:type="pct"/>
            <w:vAlign w:val="center"/>
          </w:tcPr>
          <w:p w14:paraId="23822A6C"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95</w:t>
            </w:r>
            <w:r>
              <w:rPr>
                <w:snapToGrid w:val="0"/>
                <w:u w:color="000000"/>
                <w:lang w:bidi="en-US"/>
              </w:rPr>
              <w:t>百分位数</w:t>
            </w:r>
          </w:p>
        </w:tc>
        <w:tc>
          <w:tcPr>
            <w:tcW w:w="529" w:type="pct"/>
            <w:vAlign w:val="center"/>
          </w:tcPr>
          <w:p w14:paraId="53A23D10" w14:textId="77777777" w:rsidR="002E474C" w:rsidRDefault="00000000">
            <w:pPr>
              <w:pStyle w:val="A-"/>
              <w:rPr>
                <w:snapToGrid w:val="0"/>
                <w:u w:color="000000"/>
                <w:lang w:bidi="en-US"/>
              </w:rPr>
            </w:pPr>
            <w:r>
              <w:t>1100.0</w:t>
            </w:r>
          </w:p>
        </w:tc>
        <w:tc>
          <w:tcPr>
            <w:tcW w:w="584" w:type="pct"/>
            <w:vAlign w:val="center"/>
          </w:tcPr>
          <w:p w14:paraId="120D61C3" w14:textId="77777777" w:rsidR="002E474C" w:rsidRDefault="00000000">
            <w:pPr>
              <w:pStyle w:val="A-"/>
              <w:rPr>
                <w:snapToGrid w:val="0"/>
                <w:u w:color="000000"/>
                <w:lang w:bidi="en-US"/>
              </w:rPr>
            </w:pPr>
            <w:r>
              <w:t>4000</w:t>
            </w:r>
          </w:p>
        </w:tc>
        <w:tc>
          <w:tcPr>
            <w:tcW w:w="597" w:type="pct"/>
            <w:vAlign w:val="center"/>
          </w:tcPr>
          <w:p w14:paraId="266C2C3D" w14:textId="77777777" w:rsidR="002E474C" w:rsidRDefault="00000000">
            <w:pPr>
              <w:pStyle w:val="A-"/>
              <w:rPr>
                <w:snapToGrid w:val="0"/>
                <w:u w:color="000000"/>
                <w:lang w:bidi="en-US"/>
              </w:rPr>
            </w:pPr>
            <w:r>
              <w:t>27.5</w:t>
            </w:r>
          </w:p>
        </w:tc>
        <w:tc>
          <w:tcPr>
            <w:tcW w:w="423" w:type="pct"/>
            <w:vAlign w:val="center"/>
          </w:tcPr>
          <w:p w14:paraId="1EE9F50E" w14:textId="77777777" w:rsidR="002E474C" w:rsidRDefault="00000000">
            <w:pPr>
              <w:pStyle w:val="A-"/>
              <w:rPr>
                <w:snapToGrid w:val="0"/>
                <w:u w:color="000000"/>
                <w:lang w:bidi="en-US"/>
              </w:rPr>
            </w:pPr>
            <w:r>
              <w:t>达标</w:t>
            </w:r>
          </w:p>
        </w:tc>
        <w:tc>
          <w:tcPr>
            <w:tcW w:w="549" w:type="pct"/>
            <w:vAlign w:val="center"/>
          </w:tcPr>
          <w:p w14:paraId="106AEC36" w14:textId="77777777" w:rsidR="002E474C" w:rsidRDefault="00000000">
            <w:pPr>
              <w:pStyle w:val="A-"/>
              <w:rPr>
                <w:snapToGrid w:val="0"/>
                <w:u w:color="000000"/>
                <w:lang w:bidi="en-US"/>
              </w:rPr>
            </w:pPr>
            <w:r>
              <w:t>4000</w:t>
            </w:r>
          </w:p>
        </w:tc>
        <w:tc>
          <w:tcPr>
            <w:tcW w:w="479" w:type="pct"/>
            <w:vAlign w:val="center"/>
          </w:tcPr>
          <w:p w14:paraId="70F48A16" w14:textId="77777777" w:rsidR="002E474C" w:rsidRDefault="00000000">
            <w:pPr>
              <w:pStyle w:val="A-"/>
              <w:rPr>
                <w:snapToGrid w:val="0"/>
                <w:u w:color="000000"/>
                <w:lang w:bidi="en-US"/>
              </w:rPr>
            </w:pPr>
            <w:r>
              <w:t>27.5</w:t>
            </w:r>
          </w:p>
        </w:tc>
        <w:tc>
          <w:tcPr>
            <w:tcW w:w="478" w:type="pct"/>
            <w:vAlign w:val="center"/>
          </w:tcPr>
          <w:p w14:paraId="70627037" w14:textId="77777777" w:rsidR="002E474C" w:rsidRDefault="00000000">
            <w:pPr>
              <w:pStyle w:val="A-"/>
              <w:rPr>
                <w:snapToGrid w:val="0"/>
                <w:u w:color="000000"/>
                <w:lang w:bidi="en-US"/>
              </w:rPr>
            </w:pPr>
            <w:r>
              <w:t>达标</w:t>
            </w:r>
          </w:p>
        </w:tc>
      </w:tr>
      <w:tr w:rsidR="002E474C" w14:paraId="34050000" w14:textId="77777777">
        <w:trPr>
          <w:jc w:val="center"/>
        </w:trPr>
        <w:tc>
          <w:tcPr>
            <w:tcW w:w="432" w:type="pct"/>
            <w:vAlign w:val="center"/>
          </w:tcPr>
          <w:p w14:paraId="1138E700" w14:textId="77777777" w:rsidR="002E474C" w:rsidRDefault="00000000">
            <w:pPr>
              <w:pStyle w:val="A-"/>
              <w:rPr>
                <w:snapToGrid w:val="0"/>
                <w:u w:color="000000"/>
                <w:lang w:bidi="en-US"/>
              </w:rPr>
            </w:pPr>
            <w:r>
              <w:rPr>
                <w:snapToGrid w:val="0"/>
                <w:u w:color="000000"/>
                <w:lang w:bidi="en-US"/>
              </w:rPr>
              <w:t>O</w:t>
            </w:r>
            <w:r>
              <w:rPr>
                <w:snapToGrid w:val="0"/>
                <w:u w:color="000000"/>
                <w:vertAlign w:val="subscript"/>
                <w:lang w:bidi="en-US"/>
              </w:rPr>
              <w:t>3</w:t>
            </w:r>
          </w:p>
        </w:tc>
        <w:tc>
          <w:tcPr>
            <w:tcW w:w="926" w:type="pct"/>
            <w:vAlign w:val="center"/>
          </w:tcPr>
          <w:p w14:paraId="4F029BB4" w14:textId="77777777" w:rsidR="002E474C" w:rsidRDefault="00000000">
            <w:pPr>
              <w:pStyle w:val="A-"/>
              <w:rPr>
                <w:snapToGrid w:val="0"/>
                <w:u w:color="000000"/>
                <w:lang w:bidi="en-US"/>
              </w:rPr>
            </w:pPr>
            <w:r>
              <w:rPr>
                <w:snapToGrid w:val="0"/>
                <w:u w:color="000000"/>
                <w:lang w:bidi="en-US"/>
              </w:rPr>
              <w:t>日平均第</w:t>
            </w:r>
            <w:r>
              <w:rPr>
                <w:snapToGrid w:val="0"/>
                <w:u w:color="000000"/>
                <w:lang w:bidi="en-US"/>
              </w:rPr>
              <w:t>90</w:t>
            </w:r>
            <w:r>
              <w:rPr>
                <w:snapToGrid w:val="0"/>
                <w:u w:color="000000"/>
                <w:lang w:bidi="en-US"/>
              </w:rPr>
              <w:t>百分位数</w:t>
            </w:r>
          </w:p>
        </w:tc>
        <w:tc>
          <w:tcPr>
            <w:tcW w:w="529" w:type="pct"/>
            <w:vAlign w:val="center"/>
          </w:tcPr>
          <w:p w14:paraId="321C24C7" w14:textId="77777777" w:rsidR="002E474C" w:rsidRDefault="00000000">
            <w:pPr>
              <w:pStyle w:val="A-"/>
              <w:rPr>
                <w:snapToGrid w:val="0"/>
                <w:u w:color="000000"/>
                <w:lang w:bidi="en-US"/>
              </w:rPr>
            </w:pPr>
            <w:r>
              <w:t>133.6</w:t>
            </w:r>
          </w:p>
        </w:tc>
        <w:tc>
          <w:tcPr>
            <w:tcW w:w="584" w:type="pct"/>
            <w:vAlign w:val="center"/>
          </w:tcPr>
          <w:p w14:paraId="7CBBBEB4" w14:textId="77777777" w:rsidR="002E474C" w:rsidRDefault="00000000">
            <w:pPr>
              <w:pStyle w:val="A-"/>
              <w:rPr>
                <w:snapToGrid w:val="0"/>
                <w:u w:color="000000"/>
                <w:lang w:bidi="en-US"/>
              </w:rPr>
            </w:pPr>
            <w:r>
              <w:t>160</w:t>
            </w:r>
          </w:p>
        </w:tc>
        <w:tc>
          <w:tcPr>
            <w:tcW w:w="597" w:type="pct"/>
            <w:vAlign w:val="center"/>
          </w:tcPr>
          <w:p w14:paraId="49900C7B" w14:textId="77777777" w:rsidR="002E474C" w:rsidRDefault="00000000">
            <w:pPr>
              <w:pStyle w:val="A-"/>
              <w:rPr>
                <w:snapToGrid w:val="0"/>
                <w:u w:color="000000"/>
                <w:lang w:bidi="en-US"/>
              </w:rPr>
            </w:pPr>
            <w:r>
              <w:t>83.5</w:t>
            </w:r>
          </w:p>
        </w:tc>
        <w:tc>
          <w:tcPr>
            <w:tcW w:w="423" w:type="pct"/>
            <w:vAlign w:val="center"/>
          </w:tcPr>
          <w:p w14:paraId="363BA5B9" w14:textId="77777777" w:rsidR="002E474C" w:rsidRDefault="00000000">
            <w:pPr>
              <w:pStyle w:val="A-"/>
              <w:rPr>
                <w:snapToGrid w:val="0"/>
                <w:u w:color="000000"/>
                <w:lang w:bidi="en-US"/>
              </w:rPr>
            </w:pPr>
            <w:r>
              <w:t>达标</w:t>
            </w:r>
          </w:p>
        </w:tc>
        <w:tc>
          <w:tcPr>
            <w:tcW w:w="549" w:type="pct"/>
            <w:vAlign w:val="center"/>
          </w:tcPr>
          <w:p w14:paraId="29517849" w14:textId="77777777" w:rsidR="002E474C" w:rsidRDefault="00000000">
            <w:pPr>
              <w:pStyle w:val="A-"/>
              <w:rPr>
                <w:snapToGrid w:val="0"/>
                <w:u w:color="000000"/>
                <w:lang w:bidi="en-US"/>
              </w:rPr>
            </w:pPr>
            <w:r>
              <w:t>160</w:t>
            </w:r>
          </w:p>
        </w:tc>
        <w:tc>
          <w:tcPr>
            <w:tcW w:w="479" w:type="pct"/>
            <w:vAlign w:val="center"/>
          </w:tcPr>
          <w:p w14:paraId="35804656" w14:textId="77777777" w:rsidR="002E474C" w:rsidRDefault="00000000">
            <w:pPr>
              <w:pStyle w:val="A-"/>
              <w:rPr>
                <w:snapToGrid w:val="0"/>
                <w:u w:color="000000"/>
                <w:lang w:bidi="en-US"/>
              </w:rPr>
            </w:pPr>
            <w:r>
              <w:t>83.5</w:t>
            </w:r>
          </w:p>
        </w:tc>
        <w:tc>
          <w:tcPr>
            <w:tcW w:w="478" w:type="pct"/>
            <w:vAlign w:val="center"/>
          </w:tcPr>
          <w:p w14:paraId="15172577" w14:textId="77777777" w:rsidR="002E474C" w:rsidRDefault="00000000">
            <w:pPr>
              <w:pStyle w:val="A-"/>
              <w:rPr>
                <w:snapToGrid w:val="0"/>
                <w:u w:color="000000"/>
                <w:lang w:bidi="en-US"/>
              </w:rPr>
            </w:pPr>
            <w:r>
              <w:t>达标</w:t>
            </w:r>
          </w:p>
        </w:tc>
      </w:tr>
    </w:tbl>
    <w:p w14:paraId="3EDDDB90" w14:textId="77777777" w:rsidR="002E474C" w:rsidRDefault="002E474C">
      <w:pPr>
        <w:widowControl/>
        <w:ind w:firstLine="200"/>
        <w:jc w:val="left"/>
        <w:rPr>
          <w:sz w:val="18"/>
          <w:szCs w:val="24"/>
        </w:rPr>
      </w:pPr>
    </w:p>
    <w:p w14:paraId="603CFBCD" w14:textId="77777777" w:rsidR="002E474C" w:rsidRDefault="00000000">
      <w:pPr>
        <w:pStyle w:val="A-z"/>
        <w:rPr>
          <w:color w:val="auto"/>
        </w:rPr>
      </w:pPr>
      <w:r>
        <w:rPr>
          <w:color w:val="auto"/>
        </w:rPr>
        <w:t>项目所在区域</w:t>
      </w:r>
      <w:r>
        <w:rPr>
          <w:color w:val="auto"/>
        </w:rPr>
        <w:t>SO</w:t>
      </w:r>
      <w:r>
        <w:rPr>
          <w:color w:val="auto"/>
          <w:vertAlign w:val="subscript"/>
        </w:rPr>
        <w:t>2</w:t>
      </w:r>
      <w:r>
        <w:rPr>
          <w:color w:val="auto"/>
        </w:rPr>
        <w:t>及</w:t>
      </w:r>
      <w:r>
        <w:rPr>
          <w:color w:val="auto"/>
        </w:rPr>
        <w:t>NO</w:t>
      </w:r>
      <w:r>
        <w:rPr>
          <w:color w:val="auto"/>
          <w:vertAlign w:val="subscript"/>
        </w:rPr>
        <w:t>2</w:t>
      </w:r>
      <w:r>
        <w:rPr>
          <w:color w:val="auto"/>
        </w:rPr>
        <w:t>年平均浓度与百分位浓度、</w:t>
      </w:r>
      <w:r>
        <w:rPr>
          <w:color w:val="auto"/>
        </w:rPr>
        <w:t>CO</w:t>
      </w:r>
      <w:r>
        <w:rPr>
          <w:color w:val="auto"/>
        </w:rPr>
        <w:t>及</w:t>
      </w:r>
      <w:r>
        <w:rPr>
          <w:color w:val="auto"/>
        </w:rPr>
        <w:t>O</w:t>
      </w:r>
      <w:r>
        <w:rPr>
          <w:color w:val="auto"/>
          <w:vertAlign w:val="subscript"/>
        </w:rPr>
        <w:t>3</w:t>
      </w:r>
      <w:r>
        <w:rPr>
          <w:color w:val="auto"/>
        </w:rPr>
        <w:t>日平均百分位日平均浓度均满足《环境空气质量标准》（</w:t>
      </w:r>
      <w:r>
        <w:rPr>
          <w:color w:val="auto"/>
        </w:rPr>
        <w:t>GB3095-2012</w:t>
      </w:r>
      <w:r>
        <w:rPr>
          <w:color w:val="auto"/>
        </w:rPr>
        <w:t>）的二级浓度限值，同时满足《环境空气质量标准》（</w:t>
      </w:r>
      <w:r>
        <w:rPr>
          <w:color w:val="auto"/>
        </w:rPr>
        <w:t>GB3095-2026</w:t>
      </w:r>
      <w:r>
        <w:rPr>
          <w:color w:val="auto"/>
        </w:rPr>
        <w:t>）过渡阶段的二级浓度限值；</w:t>
      </w:r>
      <w:r>
        <w:rPr>
          <w:color w:val="auto"/>
        </w:rPr>
        <w:t>PM</w:t>
      </w:r>
      <w:r>
        <w:rPr>
          <w:color w:val="auto"/>
          <w:vertAlign w:val="subscript"/>
        </w:rPr>
        <w:t>10</w:t>
      </w:r>
      <w:r>
        <w:rPr>
          <w:color w:val="auto"/>
        </w:rPr>
        <w:t>、</w:t>
      </w:r>
      <w:r>
        <w:rPr>
          <w:color w:val="auto"/>
        </w:rPr>
        <w:t>PM</w:t>
      </w:r>
      <w:r>
        <w:rPr>
          <w:color w:val="auto"/>
          <w:vertAlign w:val="subscript"/>
        </w:rPr>
        <w:t>2.5</w:t>
      </w:r>
      <w:r>
        <w:rPr>
          <w:color w:val="auto"/>
        </w:rPr>
        <w:t>年平均浓度与日平均百分位浓度均超过《环境空气质量标准》（</w:t>
      </w:r>
      <w:r>
        <w:rPr>
          <w:color w:val="auto"/>
        </w:rPr>
        <w:t>GB3095-2012</w:t>
      </w:r>
      <w:r>
        <w:rPr>
          <w:color w:val="auto"/>
        </w:rPr>
        <w:t>）的二级浓度限值，同时超过《环境空气质量标准》（</w:t>
      </w:r>
      <w:r>
        <w:rPr>
          <w:color w:val="auto"/>
        </w:rPr>
        <w:t>GB3095-2026</w:t>
      </w:r>
      <w:r>
        <w:rPr>
          <w:color w:val="auto"/>
        </w:rPr>
        <w:t>）二级浓度限值。综上分析，项目所在区域为不达标区。</w:t>
      </w:r>
    </w:p>
    <w:p w14:paraId="1E94D52C" w14:textId="77777777" w:rsidR="002E474C" w:rsidRDefault="00000000">
      <w:pPr>
        <w:pStyle w:val="A-z"/>
        <w:rPr>
          <w:color w:val="auto"/>
        </w:rPr>
      </w:pPr>
      <w:r>
        <w:rPr>
          <w:color w:val="auto"/>
        </w:rPr>
        <w:t>（</w:t>
      </w:r>
      <w:r>
        <w:rPr>
          <w:color w:val="auto"/>
        </w:rPr>
        <w:t>3</w:t>
      </w:r>
      <w:r>
        <w:rPr>
          <w:color w:val="auto"/>
        </w:rPr>
        <w:t>）基本污染物环境质量现状评价</w:t>
      </w:r>
    </w:p>
    <w:p w14:paraId="4EC2A976" w14:textId="77777777" w:rsidR="002E474C" w:rsidRDefault="00000000">
      <w:pPr>
        <w:pStyle w:val="A-z"/>
        <w:rPr>
          <w:color w:val="auto"/>
        </w:rPr>
      </w:pPr>
      <w:r>
        <w:rPr>
          <w:color w:val="auto"/>
        </w:rPr>
        <w:t>项目区基本污染物现状评价结果见表</w:t>
      </w:r>
      <w:r>
        <w:rPr>
          <w:color w:val="auto"/>
        </w:rPr>
        <w:t>4.3-2</w:t>
      </w:r>
      <w:r>
        <w:rPr>
          <w:color w:val="auto"/>
        </w:rPr>
        <w:t>。</w:t>
      </w:r>
    </w:p>
    <w:p w14:paraId="1CEC01B7" w14:textId="77777777" w:rsidR="002E474C" w:rsidRDefault="00000000">
      <w:pPr>
        <w:pStyle w:val="A--"/>
        <w:rPr>
          <w:snapToGrid w:val="0"/>
          <w:color w:val="auto"/>
        </w:rPr>
      </w:pPr>
      <w:r>
        <w:rPr>
          <w:snapToGrid w:val="0"/>
          <w:color w:val="auto"/>
        </w:rPr>
        <w:t>表</w:t>
      </w:r>
      <w:r>
        <w:rPr>
          <w:snapToGrid w:val="0"/>
          <w:color w:val="auto"/>
        </w:rPr>
        <w:t xml:space="preserve">4.3-2    </w:t>
      </w:r>
      <w:r>
        <w:rPr>
          <w:snapToGrid w:val="0"/>
          <w:color w:val="auto"/>
        </w:rPr>
        <w:t>基本污染物环境质量现状评价</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2"/>
        <w:gridCol w:w="804"/>
        <w:gridCol w:w="1687"/>
        <w:gridCol w:w="1058"/>
        <w:gridCol w:w="1058"/>
        <w:gridCol w:w="1275"/>
        <w:gridCol w:w="841"/>
        <w:gridCol w:w="1060"/>
      </w:tblGrid>
      <w:tr w:rsidR="002E474C" w14:paraId="3467E29A" w14:textId="77777777">
        <w:trPr>
          <w:jc w:val="center"/>
        </w:trPr>
        <w:tc>
          <w:tcPr>
            <w:tcW w:w="722" w:type="dxa"/>
            <w:vAlign w:val="center"/>
          </w:tcPr>
          <w:p w14:paraId="250A87E6" w14:textId="77777777" w:rsidR="002E474C" w:rsidRDefault="00000000">
            <w:pPr>
              <w:pStyle w:val="A-"/>
              <w:rPr>
                <w:snapToGrid w:val="0"/>
                <w:u w:color="000000"/>
                <w:lang w:val="zh-CN" w:bidi="en-US"/>
              </w:rPr>
            </w:pPr>
            <w:r>
              <w:rPr>
                <w:snapToGrid w:val="0"/>
                <w:u w:color="000000"/>
                <w:lang w:val="zh-CN" w:bidi="en-US"/>
              </w:rPr>
              <w:t>点位</w:t>
            </w:r>
          </w:p>
          <w:p w14:paraId="200C41CC" w14:textId="77777777" w:rsidR="002E474C" w:rsidRDefault="00000000">
            <w:pPr>
              <w:pStyle w:val="A-"/>
              <w:rPr>
                <w:snapToGrid w:val="0"/>
                <w:u w:color="000000"/>
                <w:lang w:val="zh-CN" w:bidi="en-US"/>
              </w:rPr>
            </w:pPr>
            <w:r>
              <w:rPr>
                <w:snapToGrid w:val="0"/>
                <w:u w:color="000000"/>
                <w:lang w:val="zh-CN" w:bidi="en-US"/>
              </w:rPr>
              <w:t>名称</w:t>
            </w:r>
          </w:p>
        </w:tc>
        <w:tc>
          <w:tcPr>
            <w:tcW w:w="804" w:type="dxa"/>
            <w:vAlign w:val="center"/>
          </w:tcPr>
          <w:p w14:paraId="1144EE47" w14:textId="77777777" w:rsidR="002E474C" w:rsidRDefault="00000000">
            <w:pPr>
              <w:pStyle w:val="A-"/>
              <w:rPr>
                <w:snapToGrid w:val="0"/>
                <w:u w:color="000000"/>
                <w:lang w:val="zh-CN" w:bidi="en-US"/>
              </w:rPr>
            </w:pPr>
            <w:r>
              <w:rPr>
                <w:snapToGrid w:val="0"/>
                <w:u w:color="000000"/>
                <w:lang w:val="zh-CN" w:bidi="en-US"/>
              </w:rPr>
              <w:t>污染物</w:t>
            </w:r>
          </w:p>
        </w:tc>
        <w:tc>
          <w:tcPr>
            <w:tcW w:w="1687" w:type="dxa"/>
            <w:vAlign w:val="center"/>
          </w:tcPr>
          <w:p w14:paraId="1C75D1FE" w14:textId="77777777" w:rsidR="002E474C" w:rsidRDefault="00000000">
            <w:pPr>
              <w:pStyle w:val="A-"/>
              <w:rPr>
                <w:snapToGrid w:val="0"/>
                <w:u w:color="000000"/>
                <w:lang w:val="zh-CN" w:bidi="en-US"/>
              </w:rPr>
            </w:pPr>
            <w:r>
              <w:rPr>
                <w:snapToGrid w:val="0"/>
                <w:u w:color="000000"/>
                <w:lang w:val="zh-CN" w:bidi="en-US"/>
              </w:rPr>
              <w:t>年评价指标</w:t>
            </w:r>
          </w:p>
        </w:tc>
        <w:tc>
          <w:tcPr>
            <w:tcW w:w="1058" w:type="dxa"/>
            <w:vAlign w:val="center"/>
          </w:tcPr>
          <w:p w14:paraId="6F05B997" w14:textId="77777777" w:rsidR="002E474C" w:rsidRDefault="00000000">
            <w:pPr>
              <w:pStyle w:val="A-"/>
              <w:rPr>
                <w:snapToGrid w:val="0"/>
                <w:u w:color="000000"/>
                <w:lang w:val="zh-CN" w:bidi="en-US"/>
              </w:rPr>
            </w:pPr>
            <w:r>
              <w:rPr>
                <w:snapToGrid w:val="0"/>
                <w:u w:color="000000"/>
                <w:lang w:val="zh-CN" w:bidi="en-US"/>
              </w:rPr>
              <w:t>评价标准</w:t>
            </w:r>
          </w:p>
          <w:p w14:paraId="49ADB829" w14:textId="77777777" w:rsidR="002E474C" w:rsidRDefault="00000000">
            <w:pPr>
              <w:pStyle w:val="A-"/>
              <w:rPr>
                <w:snapToGrid w:val="0"/>
                <w:u w:color="000000"/>
                <w:lang w:val="zh-CN" w:bidi="en-US"/>
              </w:rPr>
            </w:pPr>
            <w:r>
              <w:rPr>
                <w:snapToGrid w:val="0"/>
                <w:u w:color="000000"/>
                <w:lang w:val="zh-CN" w:bidi="en-US"/>
              </w:rPr>
              <w:t>（</w:t>
            </w:r>
            <w:r>
              <w:rPr>
                <w:snapToGrid w:val="0"/>
                <w:u w:color="000000"/>
                <w:lang w:val="zh-CN" w:bidi="en-US"/>
              </w:rPr>
              <w:t>µg/m³</w:t>
            </w:r>
            <w:r>
              <w:rPr>
                <w:snapToGrid w:val="0"/>
                <w:u w:color="000000"/>
                <w:lang w:val="zh-CN" w:bidi="en-US"/>
              </w:rPr>
              <w:t>）</w:t>
            </w:r>
          </w:p>
        </w:tc>
        <w:tc>
          <w:tcPr>
            <w:tcW w:w="1058" w:type="dxa"/>
            <w:vAlign w:val="center"/>
          </w:tcPr>
          <w:p w14:paraId="287EE2B9" w14:textId="77777777" w:rsidR="002E474C" w:rsidRDefault="00000000">
            <w:pPr>
              <w:pStyle w:val="A-"/>
              <w:rPr>
                <w:snapToGrid w:val="0"/>
                <w:u w:color="000000"/>
                <w:lang w:val="zh-CN" w:bidi="en-US"/>
              </w:rPr>
            </w:pPr>
            <w:r>
              <w:rPr>
                <w:snapToGrid w:val="0"/>
                <w:u w:color="000000"/>
                <w:lang w:val="zh-CN" w:bidi="en-US"/>
              </w:rPr>
              <w:t>现状浓度</w:t>
            </w:r>
          </w:p>
          <w:p w14:paraId="26CCA747" w14:textId="77777777" w:rsidR="002E474C" w:rsidRDefault="00000000">
            <w:pPr>
              <w:pStyle w:val="A-"/>
              <w:rPr>
                <w:snapToGrid w:val="0"/>
                <w:u w:color="000000"/>
                <w:lang w:val="zh-CN" w:bidi="en-US"/>
              </w:rPr>
            </w:pPr>
            <w:r>
              <w:rPr>
                <w:snapToGrid w:val="0"/>
                <w:u w:color="000000"/>
                <w:lang w:val="zh-CN" w:bidi="en-US"/>
              </w:rPr>
              <w:t>（</w:t>
            </w:r>
            <w:r>
              <w:rPr>
                <w:snapToGrid w:val="0"/>
                <w:u w:color="000000"/>
                <w:lang w:val="zh-CN" w:bidi="en-US"/>
              </w:rPr>
              <w:t>µg/m³</w:t>
            </w:r>
            <w:r>
              <w:rPr>
                <w:snapToGrid w:val="0"/>
                <w:u w:color="000000"/>
                <w:lang w:val="zh-CN" w:bidi="en-US"/>
              </w:rPr>
              <w:t>）</w:t>
            </w:r>
          </w:p>
        </w:tc>
        <w:tc>
          <w:tcPr>
            <w:tcW w:w="1275" w:type="dxa"/>
            <w:vAlign w:val="center"/>
          </w:tcPr>
          <w:p w14:paraId="143A20FE" w14:textId="77777777" w:rsidR="002E474C" w:rsidRDefault="00000000">
            <w:pPr>
              <w:pStyle w:val="A-"/>
              <w:rPr>
                <w:snapToGrid w:val="0"/>
                <w:u w:color="000000"/>
                <w:lang w:val="zh-CN" w:bidi="en-US"/>
              </w:rPr>
            </w:pPr>
            <w:r>
              <w:rPr>
                <w:snapToGrid w:val="0"/>
                <w:u w:color="000000"/>
                <w:lang w:val="zh-CN" w:bidi="en-US"/>
              </w:rPr>
              <w:t>最大占标率</w:t>
            </w:r>
          </w:p>
          <w:p w14:paraId="15106DB8" w14:textId="77777777" w:rsidR="002E474C" w:rsidRDefault="00000000">
            <w:pPr>
              <w:pStyle w:val="A-"/>
              <w:rPr>
                <w:snapToGrid w:val="0"/>
                <w:u w:color="000000"/>
                <w:lang w:val="zh-CN" w:bidi="en-US"/>
              </w:rPr>
            </w:pPr>
            <w:r>
              <w:rPr>
                <w:snapToGrid w:val="0"/>
                <w:u w:color="000000"/>
                <w:lang w:val="zh-CN" w:bidi="en-US"/>
              </w:rPr>
              <w:t>（</w:t>
            </w:r>
            <w:r>
              <w:rPr>
                <w:snapToGrid w:val="0"/>
                <w:u w:color="000000"/>
                <w:lang w:val="zh-CN" w:bidi="en-US"/>
              </w:rPr>
              <w:t>%</w:t>
            </w:r>
            <w:r>
              <w:rPr>
                <w:snapToGrid w:val="0"/>
                <w:u w:color="000000"/>
                <w:lang w:val="zh-CN" w:bidi="en-US"/>
              </w:rPr>
              <w:t>）</w:t>
            </w:r>
          </w:p>
        </w:tc>
        <w:tc>
          <w:tcPr>
            <w:tcW w:w="841" w:type="dxa"/>
            <w:vAlign w:val="center"/>
          </w:tcPr>
          <w:p w14:paraId="324DDD39" w14:textId="77777777" w:rsidR="002E474C" w:rsidRDefault="00000000">
            <w:pPr>
              <w:pStyle w:val="A-"/>
              <w:rPr>
                <w:snapToGrid w:val="0"/>
                <w:u w:color="000000"/>
                <w:lang w:val="zh-CN" w:bidi="en-US"/>
              </w:rPr>
            </w:pPr>
            <w:r>
              <w:rPr>
                <w:snapToGrid w:val="0"/>
                <w:u w:color="000000"/>
                <w:lang w:val="zh-CN" w:bidi="en-US"/>
              </w:rPr>
              <w:t>超标率</w:t>
            </w:r>
          </w:p>
          <w:p w14:paraId="702CA214" w14:textId="77777777" w:rsidR="002E474C" w:rsidRDefault="00000000">
            <w:pPr>
              <w:pStyle w:val="A-"/>
              <w:rPr>
                <w:snapToGrid w:val="0"/>
                <w:u w:color="000000"/>
                <w:lang w:val="zh-CN" w:bidi="en-US"/>
              </w:rPr>
            </w:pPr>
            <w:r>
              <w:rPr>
                <w:snapToGrid w:val="0"/>
                <w:u w:color="000000"/>
                <w:lang w:val="zh-CN" w:bidi="en-US"/>
              </w:rPr>
              <w:t>（</w:t>
            </w:r>
            <w:r>
              <w:rPr>
                <w:snapToGrid w:val="0"/>
                <w:u w:color="000000"/>
                <w:lang w:val="zh-CN" w:bidi="en-US"/>
              </w:rPr>
              <w:t>%</w:t>
            </w:r>
            <w:r>
              <w:rPr>
                <w:snapToGrid w:val="0"/>
                <w:u w:color="000000"/>
                <w:lang w:val="zh-CN" w:bidi="en-US"/>
              </w:rPr>
              <w:t>）</w:t>
            </w:r>
          </w:p>
        </w:tc>
        <w:tc>
          <w:tcPr>
            <w:tcW w:w="1060" w:type="dxa"/>
            <w:vAlign w:val="center"/>
          </w:tcPr>
          <w:p w14:paraId="7B52D951" w14:textId="77777777" w:rsidR="002E474C" w:rsidRDefault="00000000">
            <w:pPr>
              <w:pStyle w:val="A-"/>
              <w:rPr>
                <w:snapToGrid w:val="0"/>
                <w:u w:color="000000"/>
                <w:lang w:val="zh-CN" w:bidi="en-US"/>
              </w:rPr>
            </w:pPr>
            <w:r>
              <w:rPr>
                <w:snapToGrid w:val="0"/>
                <w:u w:color="000000"/>
                <w:lang w:val="zh-CN" w:bidi="en-US"/>
              </w:rPr>
              <w:t>达标情况</w:t>
            </w:r>
          </w:p>
        </w:tc>
      </w:tr>
      <w:tr w:rsidR="002E474C" w14:paraId="6B1D6550" w14:textId="77777777">
        <w:trPr>
          <w:jc w:val="center"/>
        </w:trPr>
        <w:tc>
          <w:tcPr>
            <w:tcW w:w="722" w:type="dxa"/>
            <w:vMerge w:val="restart"/>
            <w:noWrap/>
            <w:vAlign w:val="center"/>
          </w:tcPr>
          <w:p w14:paraId="106CF043" w14:textId="77777777" w:rsidR="002E474C" w:rsidRDefault="00000000">
            <w:pPr>
              <w:pStyle w:val="A-"/>
              <w:rPr>
                <w:snapToGrid w:val="0"/>
                <w:u w:color="000000"/>
                <w:lang w:val="zh-CN" w:bidi="en-US"/>
              </w:rPr>
            </w:pPr>
            <w:r>
              <w:rPr>
                <w:snapToGrid w:val="0"/>
                <w:u w:color="000000"/>
                <w:lang w:val="zh-CN" w:bidi="en-US"/>
              </w:rPr>
              <w:t>吐鲁番市环保局站点</w:t>
            </w:r>
          </w:p>
        </w:tc>
        <w:tc>
          <w:tcPr>
            <w:tcW w:w="804" w:type="dxa"/>
            <w:vMerge w:val="restart"/>
            <w:noWrap/>
            <w:vAlign w:val="center"/>
          </w:tcPr>
          <w:p w14:paraId="3E49E44D" w14:textId="77777777" w:rsidR="002E474C" w:rsidRDefault="00000000">
            <w:pPr>
              <w:pStyle w:val="A-"/>
              <w:rPr>
                <w:snapToGrid w:val="0"/>
                <w:u w:color="000000"/>
                <w:lang w:val="zh-CN" w:bidi="en-US"/>
              </w:rPr>
            </w:pPr>
            <w:r>
              <w:rPr>
                <w:snapToGrid w:val="0"/>
                <w:u w:color="000000"/>
                <w:lang w:val="zh-CN" w:bidi="en-US"/>
              </w:rPr>
              <w:t>SO</w:t>
            </w:r>
            <w:r>
              <w:rPr>
                <w:snapToGrid w:val="0"/>
                <w:u w:color="000000"/>
                <w:vertAlign w:val="subscript"/>
                <w:lang w:val="zh-CN" w:bidi="en-US"/>
              </w:rPr>
              <w:t>2</w:t>
            </w:r>
          </w:p>
        </w:tc>
        <w:tc>
          <w:tcPr>
            <w:tcW w:w="1687" w:type="dxa"/>
            <w:noWrap/>
            <w:vAlign w:val="center"/>
          </w:tcPr>
          <w:p w14:paraId="33C82D06" w14:textId="77777777" w:rsidR="002E474C" w:rsidRDefault="00000000">
            <w:pPr>
              <w:pStyle w:val="A-"/>
              <w:rPr>
                <w:snapToGrid w:val="0"/>
                <w:u w:color="000000"/>
                <w:lang w:val="zh-CN" w:bidi="en-US"/>
              </w:rPr>
            </w:pPr>
            <w:r>
              <w:rPr>
                <w:snapToGrid w:val="0"/>
                <w:u w:color="000000"/>
                <w:lang w:val="zh-CN" w:bidi="en-US"/>
              </w:rPr>
              <w:t>年平均</w:t>
            </w:r>
          </w:p>
        </w:tc>
        <w:tc>
          <w:tcPr>
            <w:tcW w:w="1058" w:type="dxa"/>
            <w:vAlign w:val="center"/>
          </w:tcPr>
          <w:p w14:paraId="21740ADC" w14:textId="77777777" w:rsidR="002E474C" w:rsidRDefault="00000000">
            <w:pPr>
              <w:pStyle w:val="A-"/>
              <w:rPr>
                <w:snapToGrid w:val="0"/>
                <w:u w:color="000000"/>
                <w:lang w:bidi="en-US"/>
              </w:rPr>
            </w:pPr>
            <w:r>
              <w:t>60</w:t>
            </w:r>
          </w:p>
        </w:tc>
        <w:tc>
          <w:tcPr>
            <w:tcW w:w="1058" w:type="dxa"/>
            <w:noWrap/>
            <w:vAlign w:val="center"/>
          </w:tcPr>
          <w:p w14:paraId="7BD15EED" w14:textId="77777777" w:rsidR="002E474C" w:rsidRDefault="00000000">
            <w:pPr>
              <w:pStyle w:val="A-"/>
              <w:rPr>
                <w:snapToGrid w:val="0"/>
                <w:u w:color="000000"/>
                <w:lang w:bidi="en-US"/>
              </w:rPr>
            </w:pPr>
            <w:r>
              <w:t>6.3</w:t>
            </w:r>
          </w:p>
        </w:tc>
        <w:tc>
          <w:tcPr>
            <w:tcW w:w="1275" w:type="dxa"/>
            <w:noWrap/>
            <w:vAlign w:val="center"/>
          </w:tcPr>
          <w:p w14:paraId="2A33B577" w14:textId="77777777" w:rsidR="002E474C" w:rsidRDefault="00000000">
            <w:pPr>
              <w:pStyle w:val="A-"/>
              <w:rPr>
                <w:snapToGrid w:val="0"/>
                <w:u w:color="000000"/>
                <w:lang w:bidi="en-US"/>
              </w:rPr>
            </w:pPr>
            <w:r>
              <w:t xml:space="preserve">10.5 </w:t>
            </w:r>
          </w:p>
        </w:tc>
        <w:tc>
          <w:tcPr>
            <w:tcW w:w="841" w:type="dxa"/>
            <w:vAlign w:val="center"/>
          </w:tcPr>
          <w:p w14:paraId="1CC56A61" w14:textId="77777777" w:rsidR="002E474C" w:rsidRDefault="00000000">
            <w:pPr>
              <w:pStyle w:val="A-"/>
              <w:rPr>
                <w:snapToGrid w:val="0"/>
                <w:u w:color="000000"/>
                <w:lang w:bidi="en-US"/>
              </w:rPr>
            </w:pPr>
            <w:r>
              <w:t>/</w:t>
            </w:r>
          </w:p>
        </w:tc>
        <w:tc>
          <w:tcPr>
            <w:tcW w:w="1060" w:type="dxa"/>
            <w:vAlign w:val="center"/>
          </w:tcPr>
          <w:p w14:paraId="5C8EBE0A" w14:textId="77777777" w:rsidR="002E474C" w:rsidRDefault="00000000">
            <w:pPr>
              <w:pStyle w:val="A-"/>
              <w:rPr>
                <w:snapToGrid w:val="0"/>
                <w:u w:color="000000"/>
                <w:lang w:val="zh-CN" w:bidi="en-US"/>
              </w:rPr>
            </w:pPr>
            <w:r>
              <w:t>达标</w:t>
            </w:r>
          </w:p>
        </w:tc>
      </w:tr>
      <w:tr w:rsidR="002E474C" w14:paraId="7F1117D6" w14:textId="77777777">
        <w:trPr>
          <w:jc w:val="center"/>
        </w:trPr>
        <w:tc>
          <w:tcPr>
            <w:tcW w:w="722" w:type="dxa"/>
            <w:vMerge/>
            <w:vAlign w:val="center"/>
          </w:tcPr>
          <w:p w14:paraId="61C4AC8A" w14:textId="77777777" w:rsidR="002E474C" w:rsidRDefault="002E474C">
            <w:pPr>
              <w:pStyle w:val="A-"/>
              <w:rPr>
                <w:snapToGrid w:val="0"/>
                <w:u w:color="000000"/>
                <w:lang w:val="zh-CN" w:bidi="en-US"/>
              </w:rPr>
            </w:pPr>
          </w:p>
        </w:tc>
        <w:tc>
          <w:tcPr>
            <w:tcW w:w="804" w:type="dxa"/>
            <w:vMerge/>
            <w:vAlign w:val="center"/>
          </w:tcPr>
          <w:p w14:paraId="511C1B59" w14:textId="77777777" w:rsidR="002E474C" w:rsidRDefault="002E474C">
            <w:pPr>
              <w:pStyle w:val="A-"/>
              <w:rPr>
                <w:snapToGrid w:val="0"/>
                <w:u w:color="000000"/>
                <w:lang w:val="zh-CN" w:bidi="en-US"/>
              </w:rPr>
            </w:pPr>
          </w:p>
        </w:tc>
        <w:tc>
          <w:tcPr>
            <w:tcW w:w="1687" w:type="dxa"/>
            <w:noWrap/>
            <w:vAlign w:val="center"/>
          </w:tcPr>
          <w:p w14:paraId="3E5210C8" w14:textId="77777777" w:rsidR="002E474C" w:rsidRDefault="00000000">
            <w:pPr>
              <w:pStyle w:val="A-"/>
              <w:rPr>
                <w:snapToGrid w:val="0"/>
                <w:u w:color="000000"/>
                <w:lang w:val="zh-CN" w:bidi="en-US"/>
              </w:rPr>
            </w:pPr>
            <w:r>
              <w:rPr>
                <w:snapToGrid w:val="0"/>
                <w:u w:color="000000"/>
                <w:lang w:val="zh-CN" w:bidi="en-US"/>
              </w:rPr>
              <w:t>日平均</w:t>
            </w:r>
          </w:p>
        </w:tc>
        <w:tc>
          <w:tcPr>
            <w:tcW w:w="1058" w:type="dxa"/>
            <w:vAlign w:val="center"/>
          </w:tcPr>
          <w:p w14:paraId="6D5A8E43" w14:textId="77777777" w:rsidR="002E474C" w:rsidRDefault="00000000">
            <w:pPr>
              <w:pStyle w:val="A-"/>
              <w:rPr>
                <w:snapToGrid w:val="0"/>
                <w:u w:color="000000"/>
                <w:lang w:bidi="en-US"/>
              </w:rPr>
            </w:pPr>
            <w:r>
              <w:t>150</w:t>
            </w:r>
          </w:p>
        </w:tc>
        <w:tc>
          <w:tcPr>
            <w:tcW w:w="1058" w:type="dxa"/>
            <w:noWrap/>
            <w:vAlign w:val="center"/>
          </w:tcPr>
          <w:p w14:paraId="461096BA" w14:textId="77777777" w:rsidR="002E474C" w:rsidRDefault="00000000">
            <w:pPr>
              <w:pStyle w:val="A-"/>
              <w:rPr>
                <w:snapToGrid w:val="0"/>
                <w:u w:color="000000"/>
                <w:lang w:bidi="en-US"/>
              </w:rPr>
            </w:pPr>
            <w:r>
              <w:t>2</w:t>
            </w:r>
            <w:r>
              <w:rPr>
                <w:rStyle w:val="font21"/>
                <w:rFonts w:ascii="Times New Roman" w:hAnsi="Times New Roman" w:cs="Times New Roman" w:hint="default"/>
                <w:color w:val="auto"/>
              </w:rPr>
              <w:t>～</w:t>
            </w:r>
            <w:r>
              <w:t>18</w:t>
            </w:r>
          </w:p>
        </w:tc>
        <w:tc>
          <w:tcPr>
            <w:tcW w:w="1275" w:type="dxa"/>
            <w:noWrap/>
            <w:vAlign w:val="center"/>
          </w:tcPr>
          <w:p w14:paraId="0573371D" w14:textId="77777777" w:rsidR="002E474C" w:rsidRDefault="00000000">
            <w:pPr>
              <w:pStyle w:val="A-"/>
              <w:rPr>
                <w:snapToGrid w:val="0"/>
                <w:u w:color="000000"/>
                <w:lang w:bidi="en-US"/>
              </w:rPr>
            </w:pPr>
            <w:r>
              <w:t xml:space="preserve">12.0 </w:t>
            </w:r>
          </w:p>
        </w:tc>
        <w:tc>
          <w:tcPr>
            <w:tcW w:w="841" w:type="dxa"/>
            <w:vAlign w:val="center"/>
          </w:tcPr>
          <w:p w14:paraId="30160956" w14:textId="77777777" w:rsidR="002E474C" w:rsidRDefault="00000000">
            <w:pPr>
              <w:pStyle w:val="A-"/>
              <w:rPr>
                <w:snapToGrid w:val="0"/>
                <w:u w:color="000000"/>
                <w:lang w:bidi="en-US"/>
              </w:rPr>
            </w:pPr>
            <w:r>
              <w:t>0</w:t>
            </w:r>
          </w:p>
        </w:tc>
        <w:tc>
          <w:tcPr>
            <w:tcW w:w="1060" w:type="dxa"/>
            <w:vAlign w:val="center"/>
          </w:tcPr>
          <w:p w14:paraId="5870EBC0" w14:textId="77777777" w:rsidR="002E474C" w:rsidRDefault="00000000">
            <w:pPr>
              <w:pStyle w:val="A-"/>
              <w:rPr>
                <w:snapToGrid w:val="0"/>
                <w:u w:color="000000"/>
                <w:lang w:val="zh-CN" w:bidi="en-US"/>
              </w:rPr>
            </w:pPr>
            <w:r>
              <w:t>达标</w:t>
            </w:r>
          </w:p>
        </w:tc>
      </w:tr>
      <w:tr w:rsidR="002E474C" w14:paraId="50B9258B" w14:textId="77777777">
        <w:trPr>
          <w:jc w:val="center"/>
        </w:trPr>
        <w:tc>
          <w:tcPr>
            <w:tcW w:w="722" w:type="dxa"/>
            <w:vMerge/>
            <w:vAlign w:val="center"/>
          </w:tcPr>
          <w:p w14:paraId="4DCC6CF2" w14:textId="77777777" w:rsidR="002E474C" w:rsidRDefault="002E474C">
            <w:pPr>
              <w:pStyle w:val="A-"/>
              <w:rPr>
                <w:snapToGrid w:val="0"/>
                <w:u w:color="000000"/>
                <w:lang w:val="zh-CN" w:bidi="en-US"/>
              </w:rPr>
            </w:pPr>
          </w:p>
        </w:tc>
        <w:tc>
          <w:tcPr>
            <w:tcW w:w="804" w:type="dxa"/>
            <w:vMerge w:val="restart"/>
            <w:noWrap/>
            <w:vAlign w:val="center"/>
          </w:tcPr>
          <w:p w14:paraId="367C51A9" w14:textId="77777777" w:rsidR="002E474C" w:rsidRDefault="00000000">
            <w:pPr>
              <w:pStyle w:val="A-"/>
              <w:rPr>
                <w:snapToGrid w:val="0"/>
                <w:u w:color="000000"/>
                <w:lang w:val="zh-CN" w:bidi="en-US"/>
              </w:rPr>
            </w:pPr>
            <w:r>
              <w:rPr>
                <w:snapToGrid w:val="0"/>
                <w:u w:color="000000"/>
                <w:lang w:val="zh-CN" w:bidi="en-US"/>
              </w:rPr>
              <w:t>NO</w:t>
            </w:r>
            <w:r>
              <w:rPr>
                <w:snapToGrid w:val="0"/>
                <w:u w:color="000000"/>
                <w:vertAlign w:val="subscript"/>
                <w:lang w:val="zh-CN" w:bidi="en-US"/>
              </w:rPr>
              <w:t>2</w:t>
            </w:r>
          </w:p>
        </w:tc>
        <w:tc>
          <w:tcPr>
            <w:tcW w:w="1687" w:type="dxa"/>
            <w:noWrap/>
            <w:vAlign w:val="center"/>
          </w:tcPr>
          <w:p w14:paraId="5A55A0C0" w14:textId="77777777" w:rsidR="002E474C" w:rsidRDefault="00000000">
            <w:pPr>
              <w:pStyle w:val="A-"/>
              <w:rPr>
                <w:snapToGrid w:val="0"/>
                <w:u w:color="000000"/>
                <w:lang w:val="zh-CN" w:bidi="en-US"/>
              </w:rPr>
            </w:pPr>
            <w:r>
              <w:rPr>
                <w:snapToGrid w:val="0"/>
                <w:u w:color="000000"/>
                <w:lang w:val="zh-CN" w:bidi="en-US"/>
              </w:rPr>
              <w:t>年平均</w:t>
            </w:r>
          </w:p>
        </w:tc>
        <w:tc>
          <w:tcPr>
            <w:tcW w:w="1058" w:type="dxa"/>
            <w:vAlign w:val="center"/>
          </w:tcPr>
          <w:p w14:paraId="2204D638" w14:textId="77777777" w:rsidR="002E474C" w:rsidRDefault="00000000">
            <w:pPr>
              <w:pStyle w:val="A-"/>
              <w:rPr>
                <w:snapToGrid w:val="0"/>
                <w:u w:color="000000"/>
                <w:lang w:bidi="en-US"/>
              </w:rPr>
            </w:pPr>
            <w:r>
              <w:t>40</w:t>
            </w:r>
          </w:p>
        </w:tc>
        <w:tc>
          <w:tcPr>
            <w:tcW w:w="1058" w:type="dxa"/>
            <w:noWrap/>
            <w:vAlign w:val="center"/>
          </w:tcPr>
          <w:p w14:paraId="2E9AEE79" w14:textId="77777777" w:rsidR="002E474C" w:rsidRDefault="00000000">
            <w:pPr>
              <w:pStyle w:val="A-"/>
              <w:rPr>
                <w:snapToGrid w:val="0"/>
                <w:u w:color="000000"/>
                <w:lang w:bidi="en-US"/>
              </w:rPr>
            </w:pPr>
            <w:r>
              <w:t>21.4</w:t>
            </w:r>
          </w:p>
        </w:tc>
        <w:tc>
          <w:tcPr>
            <w:tcW w:w="1275" w:type="dxa"/>
            <w:noWrap/>
            <w:vAlign w:val="center"/>
          </w:tcPr>
          <w:p w14:paraId="08BB606B" w14:textId="77777777" w:rsidR="002E474C" w:rsidRDefault="00000000">
            <w:pPr>
              <w:pStyle w:val="A-"/>
              <w:rPr>
                <w:snapToGrid w:val="0"/>
                <w:u w:color="000000"/>
                <w:lang w:bidi="en-US"/>
              </w:rPr>
            </w:pPr>
            <w:r>
              <w:t xml:space="preserve">53.5 </w:t>
            </w:r>
          </w:p>
        </w:tc>
        <w:tc>
          <w:tcPr>
            <w:tcW w:w="841" w:type="dxa"/>
            <w:vAlign w:val="center"/>
          </w:tcPr>
          <w:p w14:paraId="176E8ECA" w14:textId="77777777" w:rsidR="002E474C" w:rsidRDefault="00000000">
            <w:pPr>
              <w:pStyle w:val="A-"/>
              <w:rPr>
                <w:snapToGrid w:val="0"/>
                <w:u w:color="000000"/>
                <w:lang w:bidi="en-US"/>
              </w:rPr>
            </w:pPr>
            <w:r>
              <w:t>/</w:t>
            </w:r>
          </w:p>
        </w:tc>
        <w:tc>
          <w:tcPr>
            <w:tcW w:w="1060" w:type="dxa"/>
            <w:vAlign w:val="center"/>
          </w:tcPr>
          <w:p w14:paraId="07688B6A" w14:textId="77777777" w:rsidR="002E474C" w:rsidRDefault="00000000">
            <w:pPr>
              <w:pStyle w:val="A-"/>
              <w:rPr>
                <w:snapToGrid w:val="0"/>
                <w:u w:color="000000"/>
                <w:lang w:val="zh-CN" w:bidi="en-US"/>
              </w:rPr>
            </w:pPr>
            <w:r>
              <w:t>达标</w:t>
            </w:r>
          </w:p>
        </w:tc>
      </w:tr>
      <w:tr w:rsidR="002E474C" w14:paraId="34D308FE" w14:textId="77777777">
        <w:trPr>
          <w:jc w:val="center"/>
        </w:trPr>
        <w:tc>
          <w:tcPr>
            <w:tcW w:w="722" w:type="dxa"/>
            <w:vMerge/>
            <w:vAlign w:val="center"/>
          </w:tcPr>
          <w:p w14:paraId="69E21CA3" w14:textId="77777777" w:rsidR="002E474C" w:rsidRDefault="002E474C">
            <w:pPr>
              <w:pStyle w:val="A-"/>
              <w:rPr>
                <w:snapToGrid w:val="0"/>
                <w:u w:color="000000"/>
                <w:lang w:val="zh-CN" w:bidi="en-US"/>
              </w:rPr>
            </w:pPr>
          </w:p>
        </w:tc>
        <w:tc>
          <w:tcPr>
            <w:tcW w:w="804" w:type="dxa"/>
            <w:vMerge/>
            <w:vAlign w:val="center"/>
          </w:tcPr>
          <w:p w14:paraId="22717C92" w14:textId="77777777" w:rsidR="002E474C" w:rsidRDefault="002E474C">
            <w:pPr>
              <w:pStyle w:val="A-"/>
              <w:rPr>
                <w:snapToGrid w:val="0"/>
                <w:u w:color="000000"/>
                <w:lang w:val="zh-CN" w:bidi="en-US"/>
              </w:rPr>
            </w:pPr>
          </w:p>
        </w:tc>
        <w:tc>
          <w:tcPr>
            <w:tcW w:w="1687" w:type="dxa"/>
            <w:noWrap/>
            <w:vAlign w:val="center"/>
          </w:tcPr>
          <w:p w14:paraId="76C4C155" w14:textId="77777777" w:rsidR="002E474C" w:rsidRDefault="00000000">
            <w:pPr>
              <w:pStyle w:val="A-"/>
              <w:rPr>
                <w:snapToGrid w:val="0"/>
                <w:u w:color="000000"/>
                <w:lang w:val="zh-CN" w:bidi="en-US"/>
              </w:rPr>
            </w:pPr>
            <w:r>
              <w:rPr>
                <w:snapToGrid w:val="0"/>
                <w:u w:color="000000"/>
                <w:lang w:val="zh-CN" w:bidi="en-US"/>
              </w:rPr>
              <w:t>日平均</w:t>
            </w:r>
          </w:p>
        </w:tc>
        <w:tc>
          <w:tcPr>
            <w:tcW w:w="1058" w:type="dxa"/>
            <w:vAlign w:val="center"/>
          </w:tcPr>
          <w:p w14:paraId="7539C0FA" w14:textId="77777777" w:rsidR="002E474C" w:rsidRDefault="00000000">
            <w:pPr>
              <w:pStyle w:val="A-"/>
              <w:rPr>
                <w:snapToGrid w:val="0"/>
                <w:u w:color="000000"/>
                <w:lang w:bidi="en-US"/>
              </w:rPr>
            </w:pPr>
            <w:r>
              <w:t>80</w:t>
            </w:r>
          </w:p>
        </w:tc>
        <w:tc>
          <w:tcPr>
            <w:tcW w:w="1058" w:type="dxa"/>
            <w:noWrap/>
            <w:vAlign w:val="center"/>
          </w:tcPr>
          <w:p w14:paraId="43AD34A0" w14:textId="77777777" w:rsidR="002E474C" w:rsidRDefault="00000000">
            <w:pPr>
              <w:pStyle w:val="A-"/>
              <w:rPr>
                <w:snapToGrid w:val="0"/>
                <w:u w:color="000000"/>
                <w:lang w:bidi="en-US"/>
              </w:rPr>
            </w:pPr>
            <w:r>
              <w:t>4</w:t>
            </w:r>
            <w:r>
              <w:rPr>
                <w:rStyle w:val="font21"/>
                <w:rFonts w:ascii="Times New Roman" w:hAnsi="Times New Roman" w:cs="Times New Roman" w:hint="default"/>
                <w:color w:val="auto"/>
              </w:rPr>
              <w:t>～</w:t>
            </w:r>
            <w:r>
              <w:t>62</w:t>
            </w:r>
          </w:p>
        </w:tc>
        <w:tc>
          <w:tcPr>
            <w:tcW w:w="1275" w:type="dxa"/>
            <w:noWrap/>
            <w:vAlign w:val="center"/>
          </w:tcPr>
          <w:p w14:paraId="66C8B710" w14:textId="77777777" w:rsidR="002E474C" w:rsidRDefault="00000000">
            <w:pPr>
              <w:pStyle w:val="A-"/>
              <w:rPr>
                <w:snapToGrid w:val="0"/>
                <w:u w:color="000000"/>
                <w:lang w:bidi="en-US"/>
              </w:rPr>
            </w:pPr>
            <w:r>
              <w:t xml:space="preserve">77.5 </w:t>
            </w:r>
          </w:p>
        </w:tc>
        <w:tc>
          <w:tcPr>
            <w:tcW w:w="841" w:type="dxa"/>
            <w:vAlign w:val="center"/>
          </w:tcPr>
          <w:p w14:paraId="3D23D1F4" w14:textId="77777777" w:rsidR="002E474C" w:rsidRDefault="00000000">
            <w:pPr>
              <w:pStyle w:val="A-"/>
              <w:rPr>
                <w:snapToGrid w:val="0"/>
                <w:u w:color="000000"/>
                <w:lang w:bidi="en-US"/>
              </w:rPr>
            </w:pPr>
            <w:r>
              <w:t>0</w:t>
            </w:r>
          </w:p>
        </w:tc>
        <w:tc>
          <w:tcPr>
            <w:tcW w:w="1060" w:type="dxa"/>
            <w:vAlign w:val="center"/>
          </w:tcPr>
          <w:p w14:paraId="223A621F" w14:textId="77777777" w:rsidR="002E474C" w:rsidRDefault="00000000">
            <w:pPr>
              <w:pStyle w:val="A-"/>
              <w:rPr>
                <w:snapToGrid w:val="0"/>
                <w:u w:color="000000"/>
                <w:lang w:val="zh-CN" w:bidi="en-US"/>
              </w:rPr>
            </w:pPr>
            <w:r>
              <w:t>达标</w:t>
            </w:r>
          </w:p>
        </w:tc>
      </w:tr>
      <w:tr w:rsidR="002E474C" w14:paraId="641E4C28" w14:textId="77777777">
        <w:trPr>
          <w:jc w:val="center"/>
        </w:trPr>
        <w:tc>
          <w:tcPr>
            <w:tcW w:w="722" w:type="dxa"/>
            <w:vMerge/>
            <w:vAlign w:val="center"/>
          </w:tcPr>
          <w:p w14:paraId="1F0CC7ED" w14:textId="77777777" w:rsidR="002E474C" w:rsidRDefault="002E474C">
            <w:pPr>
              <w:pStyle w:val="A-"/>
              <w:rPr>
                <w:snapToGrid w:val="0"/>
                <w:u w:color="000000"/>
                <w:lang w:val="zh-CN" w:bidi="en-US"/>
              </w:rPr>
            </w:pPr>
          </w:p>
        </w:tc>
        <w:tc>
          <w:tcPr>
            <w:tcW w:w="804" w:type="dxa"/>
            <w:vMerge w:val="restart"/>
            <w:vAlign w:val="center"/>
          </w:tcPr>
          <w:p w14:paraId="485E85CC" w14:textId="77777777" w:rsidR="002E474C" w:rsidRDefault="00000000">
            <w:pPr>
              <w:pStyle w:val="A-"/>
              <w:rPr>
                <w:snapToGrid w:val="0"/>
                <w:u w:color="000000"/>
                <w:lang w:val="zh-CN" w:bidi="en-US"/>
              </w:rPr>
            </w:pPr>
            <w:r>
              <w:rPr>
                <w:snapToGrid w:val="0"/>
                <w:u w:color="000000"/>
                <w:lang w:val="zh-CN" w:bidi="en-US"/>
              </w:rPr>
              <w:t>PM</w:t>
            </w:r>
            <w:r>
              <w:rPr>
                <w:snapToGrid w:val="0"/>
                <w:u w:color="000000"/>
                <w:vertAlign w:val="subscript"/>
                <w:lang w:val="zh-CN" w:bidi="en-US"/>
              </w:rPr>
              <w:t>10</w:t>
            </w:r>
          </w:p>
        </w:tc>
        <w:tc>
          <w:tcPr>
            <w:tcW w:w="1687" w:type="dxa"/>
            <w:noWrap/>
            <w:vAlign w:val="center"/>
          </w:tcPr>
          <w:p w14:paraId="6D3FAD83" w14:textId="77777777" w:rsidR="002E474C" w:rsidRDefault="00000000">
            <w:pPr>
              <w:pStyle w:val="A-"/>
              <w:rPr>
                <w:snapToGrid w:val="0"/>
                <w:u w:color="000000"/>
                <w:lang w:val="zh-CN" w:bidi="en-US"/>
              </w:rPr>
            </w:pPr>
            <w:r>
              <w:rPr>
                <w:snapToGrid w:val="0"/>
                <w:u w:color="000000"/>
                <w:lang w:val="zh-CN" w:bidi="en-US"/>
              </w:rPr>
              <w:t>年平均</w:t>
            </w:r>
          </w:p>
        </w:tc>
        <w:tc>
          <w:tcPr>
            <w:tcW w:w="1058" w:type="dxa"/>
            <w:vAlign w:val="center"/>
          </w:tcPr>
          <w:p w14:paraId="3EF06297" w14:textId="77777777" w:rsidR="002E474C" w:rsidRDefault="00000000">
            <w:pPr>
              <w:pStyle w:val="A-"/>
              <w:rPr>
                <w:snapToGrid w:val="0"/>
                <w:u w:color="000000"/>
                <w:lang w:bidi="en-US"/>
              </w:rPr>
            </w:pPr>
            <w:r>
              <w:t>60</w:t>
            </w:r>
          </w:p>
        </w:tc>
        <w:tc>
          <w:tcPr>
            <w:tcW w:w="1058" w:type="dxa"/>
            <w:noWrap/>
            <w:vAlign w:val="center"/>
          </w:tcPr>
          <w:p w14:paraId="27031931" w14:textId="77777777" w:rsidR="002E474C" w:rsidRDefault="00000000">
            <w:pPr>
              <w:pStyle w:val="A-"/>
              <w:rPr>
                <w:snapToGrid w:val="0"/>
                <w:u w:color="000000"/>
                <w:lang w:bidi="en-US"/>
              </w:rPr>
            </w:pPr>
            <w:r>
              <w:t>140.4</w:t>
            </w:r>
          </w:p>
        </w:tc>
        <w:tc>
          <w:tcPr>
            <w:tcW w:w="1275" w:type="dxa"/>
            <w:noWrap/>
            <w:vAlign w:val="center"/>
          </w:tcPr>
          <w:p w14:paraId="3CEA3A94" w14:textId="77777777" w:rsidR="002E474C" w:rsidRDefault="00000000">
            <w:pPr>
              <w:pStyle w:val="A-"/>
              <w:rPr>
                <w:snapToGrid w:val="0"/>
                <w:u w:color="000000"/>
                <w:lang w:bidi="en-US"/>
              </w:rPr>
            </w:pPr>
            <w:r>
              <w:t xml:space="preserve">234.0 </w:t>
            </w:r>
          </w:p>
        </w:tc>
        <w:tc>
          <w:tcPr>
            <w:tcW w:w="841" w:type="dxa"/>
            <w:vAlign w:val="center"/>
          </w:tcPr>
          <w:p w14:paraId="00D60813" w14:textId="77777777" w:rsidR="002E474C" w:rsidRDefault="00000000">
            <w:pPr>
              <w:pStyle w:val="A-"/>
              <w:rPr>
                <w:snapToGrid w:val="0"/>
                <w:u w:color="000000"/>
                <w:lang w:bidi="en-US"/>
              </w:rPr>
            </w:pPr>
            <w:r>
              <w:t>/</w:t>
            </w:r>
          </w:p>
        </w:tc>
        <w:tc>
          <w:tcPr>
            <w:tcW w:w="1060" w:type="dxa"/>
            <w:vAlign w:val="center"/>
          </w:tcPr>
          <w:p w14:paraId="2E007F3E" w14:textId="77777777" w:rsidR="002E474C" w:rsidRDefault="00000000">
            <w:pPr>
              <w:pStyle w:val="A-"/>
              <w:rPr>
                <w:snapToGrid w:val="0"/>
                <w:u w:color="000000"/>
                <w:lang w:val="zh-CN" w:bidi="en-US"/>
              </w:rPr>
            </w:pPr>
            <w:r>
              <w:t>超标</w:t>
            </w:r>
          </w:p>
        </w:tc>
      </w:tr>
      <w:tr w:rsidR="002E474C" w14:paraId="4C8ABA00" w14:textId="77777777">
        <w:trPr>
          <w:jc w:val="center"/>
        </w:trPr>
        <w:tc>
          <w:tcPr>
            <w:tcW w:w="722" w:type="dxa"/>
            <w:vMerge/>
            <w:vAlign w:val="center"/>
          </w:tcPr>
          <w:p w14:paraId="795C8FAE" w14:textId="77777777" w:rsidR="002E474C" w:rsidRDefault="002E474C">
            <w:pPr>
              <w:pStyle w:val="A-"/>
              <w:rPr>
                <w:snapToGrid w:val="0"/>
                <w:u w:color="000000"/>
                <w:lang w:val="zh-CN" w:bidi="en-US"/>
              </w:rPr>
            </w:pPr>
          </w:p>
        </w:tc>
        <w:tc>
          <w:tcPr>
            <w:tcW w:w="804" w:type="dxa"/>
            <w:vMerge/>
            <w:vAlign w:val="center"/>
          </w:tcPr>
          <w:p w14:paraId="6F00F301" w14:textId="77777777" w:rsidR="002E474C" w:rsidRDefault="002E474C">
            <w:pPr>
              <w:pStyle w:val="A-"/>
              <w:rPr>
                <w:snapToGrid w:val="0"/>
                <w:u w:color="000000"/>
                <w:lang w:val="zh-CN" w:bidi="en-US"/>
              </w:rPr>
            </w:pPr>
          </w:p>
        </w:tc>
        <w:tc>
          <w:tcPr>
            <w:tcW w:w="1687" w:type="dxa"/>
            <w:noWrap/>
            <w:vAlign w:val="center"/>
          </w:tcPr>
          <w:p w14:paraId="127763AE" w14:textId="77777777" w:rsidR="002E474C" w:rsidRDefault="00000000">
            <w:pPr>
              <w:pStyle w:val="A-"/>
              <w:rPr>
                <w:snapToGrid w:val="0"/>
                <w:u w:color="000000"/>
                <w:lang w:val="zh-CN" w:bidi="en-US"/>
              </w:rPr>
            </w:pPr>
            <w:r>
              <w:rPr>
                <w:snapToGrid w:val="0"/>
                <w:u w:color="000000"/>
                <w:lang w:val="zh-CN" w:bidi="en-US"/>
              </w:rPr>
              <w:t>日平均</w:t>
            </w:r>
          </w:p>
        </w:tc>
        <w:tc>
          <w:tcPr>
            <w:tcW w:w="1058" w:type="dxa"/>
            <w:vAlign w:val="center"/>
          </w:tcPr>
          <w:p w14:paraId="0937B67F" w14:textId="77777777" w:rsidR="002E474C" w:rsidRDefault="00000000">
            <w:pPr>
              <w:pStyle w:val="A-"/>
              <w:rPr>
                <w:snapToGrid w:val="0"/>
                <w:u w:color="000000"/>
                <w:lang w:bidi="en-US"/>
              </w:rPr>
            </w:pPr>
            <w:r>
              <w:t>120</w:t>
            </w:r>
          </w:p>
        </w:tc>
        <w:tc>
          <w:tcPr>
            <w:tcW w:w="1058" w:type="dxa"/>
            <w:noWrap/>
            <w:vAlign w:val="center"/>
          </w:tcPr>
          <w:p w14:paraId="3960E706" w14:textId="77777777" w:rsidR="002E474C" w:rsidRDefault="00000000">
            <w:pPr>
              <w:pStyle w:val="A-"/>
              <w:rPr>
                <w:snapToGrid w:val="0"/>
                <w:u w:color="000000"/>
                <w:lang w:bidi="en-US"/>
              </w:rPr>
            </w:pPr>
            <w:r>
              <w:t>24</w:t>
            </w:r>
            <w:r>
              <w:rPr>
                <w:rStyle w:val="font21"/>
                <w:rFonts w:ascii="Times New Roman" w:hAnsi="Times New Roman" w:cs="Times New Roman" w:hint="default"/>
                <w:color w:val="auto"/>
              </w:rPr>
              <w:t>～</w:t>
            </w:r>
            <w:r>
              <w:t>2765</w:t>
            </w:r>
          </w:p>
        </w:tc>
        <w:tc>
          <w:tcPr>
            <w:tcW w:w="1275" w:type="dxa"/>
            <w:noWrap/>
            <w:vAlign w:val="center"/>
          </w:tcPr>
          <w:p w14:paraId="558BB68F" w14:textId="77777777" w:rsidR="002E474C" w:rsidRDefault="00000000">
            <w:pPr>
              <w:pStyle w:val="A-"/>
              <w:rPr>
                <w:snapToGrid w:val="0"/>
                <w:u w:color="000000"/>
                <w:lang w:bidi="en-US"/>
              </w:rPr>
            </w:pPr>
            <w:r>
              <w:t xml:space="preserve">2304.2 </w:t>
            </w:r>
          </w:p>
        </w:tc>
        <w:tc>
          <w:tcPr>
            <w:tcW w:w="841" w:type="dxa"/>
            <w:vAlign w:val="center"/>
          </w:tcPr>
          <w:p w14:paraId="6BE75C92" w14:textId="77777777" w:rsidR="002E474C" w:rsidRDefault="00000000">
            <w:pPr>
              <w:pStyle w:val="A-"/>
              <w:rPr>
                <w:snapToGrid w:val="0"/>
                <w:u w:color="000000"/>
                <w:lang w:bidi="en-US"/>
              </w:rPr>
            </w:pPr>
            <w:r>
              <w:t xml:space="preserve">45.8 </w:t>
            </w:r>
          </w:p>
        </w:tc>
        <w:tc>
          <w:tcPr>
            <w:tcW w:w="1060" w:type="dxa"/>
            <w:vAlign w:val="center"/>
          </w:tcPr>
          <w:p w14:paraId="25D737F7" w14:textId="77777777" w:rsidR="002E474C" w:rsidRDefault="00000000">
            <w:pPr>
              <w:pStyle w:val="A-"/>
              <w:rPr>
                <w:snapToGrid w:val="0"/>
                <w:u w:color="000000"/>
                <w:lang w:val="zh-CN" w:bidi="en-US"/>
              </w:rPr>
            </w:pPr>
            <w:r>
              <w:t>超标</w:t>
            </w:r>
          </w:p>
        </w:tc>
      </w:tr>
      <w:tr w:rsidR="002E474C" w14:paraId="09330C4E" w14:textId="77777777">
        <w:trPr>
          <w:jc w:val="center"/>
        </w:trPr>
        <w:tc>
          <w:tcPr>
            <w:tcW w:w="722" w:type="dxa"/>
            <w:vMerge/>
            <w:vAlign w:val="center"/>
          </w:tcPr>
          <w:p w14:paraId="010E5F7B" w14:textId="77777777" w:rsidR="002E474C" w:rsidRDefault="002E474C">
            <w:pPr>
              <w:pStyle w:val="A-"/>
              <w:rPr>
                <w:snapToGrid w:val="0"/>
                <w:u w:color="000000"/>
                <w:lang w:val="zh-CN" w:bidi="en-US"/>
              </w:rPr>
            </w:pPr>
          </w:p>
        </w:tc>
        <w:tc>
          <w:tcPr>
            <w:tcW w:w="804" w:type="dxa"/>
            <w:vMerge w:val="restart"/>
            <w:vAlign w:val="center"/>
          </w:tcPr>
          <w:p w14:paraId="1F719E1E" w14:textId="77777777" w:rsidR="002E474C" w:rsidRDefault="00000000">
            <w:pPr>
              <w:pStyle w:val="A-"/>
              <w:rPr>
                <w:snapToGrid w:val="0"/>
                <w:u w:color="000000"/>
                <w:lang w:val="zh-CN" w:bidi="en-US"/>
              </w:rPr>
            </w:pPr>
            <w:r>
              <w:rPr>
                <w:snapToGrid w:val="0"/>
                <w:u w:color="000000"/>
                <w:lang w:val="zh-CN" w:bidi="en-US"/>
              </w:rPr>
              <w:t>PM</w:t>
            </w:r>
            <w:r>
              <w:rPr>
                <w:snapToGrid w:val="0"/>
                <w:u w:color="000000"/>
                <w:vertAlign w:val="subscript"/>
                <w:lang w:val="zh-CN" w:bidi="en-US"/>
              </w:rPr>
              <w:t>2.5</w:t>
            </w:r>
          </w:p>
        </w:tc>
        <w:tc>
          <w:tcPr>
            <w:tcW w:w="1687" w:type="dxa"/>
            <w:noWrap/>
            <w:vAlign w:val="center"/>
          </w:tcPr>
          <w:p w14:paraId="64CBB3B9" w14:textId="77777777" w:rsidR="002E474C" w:rsidRDefault="00000000">
            <w:pPr>
              <w:pStyle w:val="A-"/>
              <w:rPr>
                <w:snapToGrid w:val="0"/>
                <w:u w:color="000000"/>
                <w:lang w:val="zh-CN" w:bidi="en-US"/>
              </w:rPr>
            </w:pPr>
            <w:r>
              <w:rPr>
                <w:snapToGrid w:val="0"/>
                <w:u w:color="000000"/>
                <w:lang w:val="zh-CN" w:bidi="en-US"/>
              </w:rPr>
              <w:t>年平均</w:t>
            </w:r>
          </w:p>
        </w:tc>
        <w:tc>
          <w:tcPr>
            <w:tcW w:w="1058" w:type="dxa"/>
            <w:vAlign w:val="center"/>
          </w:tcPr>
          <w:p w14:paraId="75BAA8D7" w14:textId="77777777" w:rsidR="002E474C" w:rsidRDefault="00000000">
            <w:pPr>
              <w:pStyle w:val="A-"/>
              <w:rPr>
                <w:snapToGrid w:val="0"/>
                <w:u w:color="000000"/>
                <w:lang w:bidi="en-US"/>
              </w:rPr>
            </w:pPr>
            <w:r>
              <w:t>30</w:t>
            </w:r>
          </w:p>
        </w:tc>
        <w:tc>
          <w:tcPr>
            <w:tcW w:w="1058" w:type="dxa"/>
            <w:noWrap/>
            <w:vAlign w:val="center"/>
          </w:tcPr>
          <w:p w14:paraId="14EC4688" w14:textId="77777777" w:rsidR="002E474C" w:rsidRDefault="00000000">
            <w:pPr>
              <w:pStyle w:val="A-"/>
              <w:rPr>
                <w:snapToGrid w:val="0"/>
                <w:u w:color="000000"/>
                <w:lang w:bidi="en-US"/>
              </w:rPr>
            </w:pPr>
            <w:r>
              <w:t>45</w:t>
            </w:r>
          </w:p>
        </w:tc>
        <w:tc>
          <w:tcPr>
            <w:tcW w:w="1275" w:type="dxa"/>
            <w:noWrap/>
            <w:vAlign w:val="center"/>
          </w:tcPr>
          <w:p w14:paraId="475A7DC9" w14:textId="77777777" w:rsidR="002E474C" w:rsidRDefault="00000000">
            <w:pPr>
              <w:pStyle w:val="A-"/>
              <w:rPr>
                <w:snapToGrid w:val="0"/>
                <w:u w:color="000000"/>
                <w:lang w:bidi="en-US"/>
              </w:rPr>
            </w:pPr>
            <w:r>
              <w:t xml:space="preserve">150.0 </w:t>
            </w:r>
          </w:p>
        </w:tc>
        <w:tc>
          <w:tcPr>
            <w:tcW w:w="841" w:type="dxa"/>
            <w:vAlign w:val="center"/>
          </w:tcPr>
          <w:p w14:paraId="75987291" w14:textId="77777777" w:rsidR="002E474C" w:rsidRDefault="00000000">
            <w:pPr>
              <w:pStyle w:val="A-"/>
              <w:rPr>
                <w:snapToGrid w:val="0"/>
                <w:u w:color="000000"/>
                <w:lang w:bidi="en-US"/>
              </w:rPr>
            </w:pPr>
            <w:r>
              <w:t>/</w:t>
            </w:r>
          </w:p>
        </w:tc>
        <w:tc>
          <w:tcPr>
            <w:tcW w:w="1060" w:type="dxa"/>
            <w:vAlign w:val="center"/>
          </w:tcPr>
          <w:p w14:paraId="747009C0" w14:textId="77777777" w:rsidR="002E474C" w:rsidRDefault="00000000">
            <w:pPr>
              <w:pStyle w:val="A-"/>
              <w:rPr>
                <w:snapToGrid w:val="0"/>
                <w:u w:color="000000"/>
                <w:lang w:val="zh-CN" w:bidi="en-US"/>
              </w:rPr>
            </w:pPr>
            <w:r>
              <w:t>超标</w:t>
            </w:r>
          </w:p>
        </w:tc>
      </w:tr>
      <w:tr w:rsidR="002E474C" w14:paraId="643F1714" w14:textId="77777777">
        <w:trPr>
          <w:jc w:val="center"/>
        </w:trPr>
        <w:tc>
          <w:tcPr>
            <w:tcW w:w="722" w:type="dxa"/>
            <w:vMerge/>
            <w:vAlign w:val="center"/>
          </w:tcPr>
          <w:p w14:paraId="066BC210" w14:textId="77777777" w:rsidR="002E474C" w:rsidRDefault="002E474C">
            <w:pPr>
              <w:pStyle w:val="A-"/>
              <w:rPr>
                <w:snapToGrid w:val="0"/>
                <w:u w:color="000000"/>
                <w:lang w:val="zh-CN" w:bidi="en-US"/>
              </w:rPr>
            </w:pPr>
          </w:p>
        </w:tc>
        <w:tc>
          <w:tcPr>
            <w:tcW w:w="804" w:type="dxa"/>
            <w:vMerge/>
            <w:vAlign w:val="center"/>
          </w:tcPr>
          <w:p w14:paraId="6F009C5A" w14:textId="77777777" w:rsidR="002E474C" w:rsidRDefault="002E474C">
            <w:pPr>
              <w:pStyle w:val="A-"/>
              <w:rPr>
                <w:snapToGrid w:val="0"/>
                <w:u w:color="000000"/>
                <w:lang w:val="zh-CN" w:bidi="en-US"/>
              </w:rPr>
            </w:pPr>
          </w:p>
        </w:tc>
        <w:tc>
          <w:tcPr>
            <w:tcW w:w="1687" w:type="dxa"/>
            <w:noWrap/>
            <w:vAlign w:val="center"/>
          </w:tcPr>
          <w:p w14:paraId="057B1FE9" w14:textId="77777777" w:rsidR="002E474C" w:rsidRDefault="00000000">
            <w:pPr>
              <w:pStyle w:val="A-"/>
              <w:rPr>
                <w:snapToGrid w:val="0"/>
                <w:u w:color="000000"/>
                <w:lang w:val="zh-CN" w:bidi="en-US"/>
              </w:rPr>
            </w:pPr>
            <w:r>
              <w:rPr>
                <w:snapToGrid w:val="0"/>
                <w:u w:color="000000"/>
                <w:lang w:val="zh-CN" w:bidi="en-US"/>
              </w:rPr>
              <w:t>日平均</w:t>
            </w:r>
          </w:p>
        </w:tc>
        <w:tc>
          <w:tcPr>
            <w:tcW w:w="1058" w:type="dxa"/>
            <w:vAlign w:val="center"/>
          </w:tcPr>
          <w:p w14:paraId="5F83E0D2" w14:textId="77777777" w:rsidR="002E474C" w:rsidRDefault="00000000">
            <w:pPr>
              <w:pStyle w:val="A-"/>
              <w:rPr>
                <w:snapToGrid w:val="0"/>
                <w:u w:color="000000"/>
                <w:lang w:bidi="en-US"/>
              </w:rPr>
            </w:pPr>
            <w:r>
              <w:t>60</w:t>
            </w:r>
          </w:p>
        </w:tc>
        <w:tc>
          <w:tcPr>
            <w:tcW w:w="1058" w:type="dxa"/>
            <w:noWrap/>
            <w:vAlign w:val="center"/>
          </w:tcPr>
          <w:p w14:paraId="6154B473" w14:textId="77777777" w:rsidR="002E474C" w:rsidRDefault="00000000">
            <w:pPr>
              <w:pStyle w:val="A-"/>
              <w:rPr>
                <w:snapToGrid w:val="0"/>
                <w:u w:color="000000"/>
                <w:lang w:bidi="en-US"/>
              </w:rPr>
            </w:pPr>
            <w:r>
              <w:t>7</w:t>
            </w:r>
            <w:r>
              <w:rPr>
                <w:rStyle w:val="font21"/>
                <w:rFonts w:ascii="Times New Roman" w:hAnsi="Times New Roman" w:cs="Times New Roman" w:hint="default"/>
                <w:color w:val="auto"/>
              </w:rPr>
              <w:t>～</w:t>
            </w:r>
            <w:r>
              <w:t>699</w:t>
            </w:r>
          </w:p>
        </w:tc>
        <w:tc>
          <w:tcPr>
            <w:tcW w:w="1275" w:type="dxa"/>
            <w:noWrap/>
            <w:vAlign w:val="center"/>
          </w:tcPr>
          <w:p w14:paraId="099B89A8" w14:textId="77777777" w:rsidR="002E474C" w:rsidRDefault="00000000">
            <w:pPr>
              <w:pStyle w:val="A-"/>
              <w:rPr>
                <w:snapToGrid w:val="0"/>
                <w:u w:color="000000"/>
                <w:lang w:bidi="en-US"/>
              </w:rPr>
            </w:pPr>
            <w:r>
              <w:t xml:space="preserve">1165 </w:t>
            </w:r>
          </w:p>
        </w:tc>
        <w:tc>
          <w:tcPr>
            <w:tcW w:w="841" w:type="dxa"/>
            <w:vAlign w:val="center"/>
          </w:tcPr>
          <w:p w14:paraId="2EFC9865" w14:textId="77777777" w:rsidR="002E474C" w:rsidRDefault="00000000">
            <w:pPr>
              <w:pStyle w:val="A-"/>
              <w:rPr>
                <w:snapToGrid w:val="0"/>
                <w:u w:color="000000"/>
                <w:lang w:bidi="en-US"/>
              </w:rPr>
            </w:pPr>
            <w:r>
              <w:t xml:space="preserve">21.6 </w:t>
            </w:r>
          </w:p>
        </w:tc>
        <w:tc>
          <w:tcPr>
            <w:tcW w:w="1060" w:type="dxa"/>
            <w:vAlign w:val="center"/>
          </w:tcPr>
          <w:p w14:paraId="2B6F3488" w14:textId="77777777" w:rsidR="002E474C" w:rsidRDefault="00000000">
            <w:pPr>
              <w:pStyle w:val="A-"/>
              <w:rPr>
                <w:snapToGrid w:val="0"/>
                <w:u w:color="000000"/>
                <w:lang w:val="zh-CN" w:bidi="en-US"/>
              </w:rPr>
            </w:pPr>
            <w:r>
              <w:t>超标</w:t>
            </w:r>
          </w:p>
        </w:tc>
      </w:tr>
      <w:tr w:rsidR="002E474C" w14:paraId="166FA8B7" w14:textId="77777777">
        <w:trPr>
          <w:jc w:val="center"/>
        </w:trPr>
        <w:tc>
          <w:tcPr>
            <w:tcW w:w="722" w:type="dxa"/>
            <w:vMerge/>
            <w:vAlign w:val="center"/>
          </w:tcPr>
          <w:p w14:paraId="636533A7" w14:textId="77777777" w:rsidR="002E474C" w:rsidRDefault="002E474C">
            <w:pPr>
              <w:pStyle w:val="A-"/>
              <w:rPr>
                <w:snapToGrid w:val="0"/>
                <w:u w:color="000000"/>
                <w:lang w:val="zh-CN" w:bidi="en-US"/>
              </w:rPr>
            </w:pPr>
          </w:p>
        </w:tc>
        <w:tc>
          <w:tcPr>
            <w:tcW w:w="804" w:type="dxa"/>
            <w:vAlign w:val="center"/>
          </w:tcPr>
          <w:p w14:paraId="3C7B8242" w14:textId="77777777" w:rsidR="002E474C" w:rsidRDefault="00000000">
            <w:pPr>
              <w:pStyle w:val="A-"/>
              <w:rPr>
                <w:snapToGrid w:val="0"/>
                <w:u w:color="000000"/>
                <w:lang w:val="zh-CN" w:bidi="en-US"/>
              </w:rPr>
            </w:pPr>
            <w:r>
              <w:rPr>
                <w:snapToGrid w:val="0"/>
                <w:u w:color="000000"/>
                <w:lang w:val="zh-CN" w:bidi="en-US"/>
              </w:rPr>
              <w:t>CO</w:t>
            </w:r>
          </w:p>
        </w:tc>
        <w:tc>
          <w:tcPr>
            <w:tcW w:w="1687" w:type="dxa"/>
            <w:noWrap/>
            <w:vAlign w:val="center"/>
          </w:tcPr>
          <w:p w14:paraId="6940E9BA" w14:textId="77777777" w:rsidR="002E474C" w:rsidRDefault="00000000">
            <w:pPr>
              <w:pStyle w:val="A-"/>
              <w:rPr>
                <w:snapToGrid w:val="0"/>
                <w:u w:color="000000"/>
                <w:lang w:val="zh-CN" w:bidi="en-US"/>
              </w:rPr>
            </w:pPr>
            <w:r>
              <w:rPr>
                <w:snapToGrid w:val="0"/>
                <w:u w:color="000000"/>
                <w:lang w:val="zh-CN" w:bidi="en-US"/>
              </w:rPr>
              <w:t>日最大</w:t>
            </w:r>
            <w:r>
              <w:rPr>
                <w:snapToGrid w:val="0"/>
                <w:u w:color="000000"/>
                <w:lang w:bidi="en-US"/>
              </w:rPr>
              <w:t>8h</w:t>
            </w:r>
            <w:r>
              <w:rPr>
                <w:snapToGrid w:val="0"/>
                <w:u w:color="000000"/>
                <w:lang w:val="zh-CN" w:bidi="en-US"/>
              </w:rPr>
              <w:t>平均</w:t>
            </w:r>
          </w:p>
        </w:tc>
        <w:tc>
          <w:tcPr>
            <w:tcW w:w="1058" w:type="dxa"/>
            <w:vAlign w:val="center"/>
          </w:tcPr>
          <w:p w14:paraId="7A5376E8" w14:textId="77777777" w:rsidR="002E474C" w:rsidRDefault="00000000">
            <w:pPr>
              <w:pStyle w:val="A-"/>
              <w:rPr>
                <w:snapToGrid w:val="0"/>
                <w:u w:color="000000"/>
                <w:lang w:bidi="en-US"/>
              </w:rPr>
            </w:pPr>
            <w:r>
              <w:t>4000</w:t>
            </w:r>
          </w:p>
        </w:tc>
        <w:tc>
          <w:tcPr>
            <w:tcW w:w="1058" w:type="dxa"/>
            <w:noWrap/>
            <w:vAlign w:val="center"/>
          </w:tcPr>
          <w:p w14:paraId="6F05A986" w14:textId="77777777" w:rsidR="002E474C" w:rsidRDefault="00000000">
            <w:pPr>
              <w:pStyle w:val="A-"/>
              <w:rPr>
                <w:snapToGrid w:val="0"/>
                <w:u w:color="000000"/>
                <w:lang w:bidi="en-US"/>
              </w:rPr>
            </w:pPr>
            <w:r>
              <w:t>200</w:t>
            </w:r>
            <w:r>
              <w:rPr>
                <w:rStyle w:val="font21"/>
                <w:rFonts w:ascii="Times New Roman" w:hAnsi="Times New Roman" w:cs="Times New Roman" w:hint="default"/>
                <w:color w:val="auto"/>
              </w:rPr>
              <w:t>～</w:t>
            </w:r>
            <w:r>
              <w:t>3300</w:t>
            </w:r>
          </w:p>
        </w:tc>
        <w:tc>
          <w:tcPr>
            <w:tcW w:w="1275" w:type="dxa"/>
            <w:noWrap/>
            <w:vAlign w:val="center"/>
          </w:tcPr>
          <w:p w14:paraId="474574A3" w14:textId="77777777" w:rsidR="002E474C" w:rsidRDefault="00000000">
            <w:pPr>
              <w:pStyle w:val="A-"/>
              <w:rPr>
                <w:snapToGrid w:val="0"/>
                <w:u w:color="000000"/>
                <w:lang w:bidi="en-US"/>
              </w:rPr>
            </w:pPr>
            <w:r>
              <w:t xml:space="preserve">82.5 </w:t>
            </w:r>
          </w:p>
        </w:tc>
        <w:tc>
          <w:tcPr>
            <w:tcW w:w="841" w:type="dxa"/>
            <w:vAlign w:val="center"/>
          </w:tcPr>
          <w:p w14:paraId="4E986DE7" w14:textId="77777777" w:rsidR="002E474C" w:rsidRDefault="00000000">
            <w:pPr>
              <w:pStyle w:val="A-"/>
              <w:rPr>
                <w:snapToGrid w:val="0"/>
                <w:u w:color="000000"/>
                <w:lang w:bidi="en-US"/>
              </w:rPr>
            </w:pPr>
            <w:r>
              <w:t>0</w:t>
            </w:r>
          </w:p>
        </w:tc>
        <w:tc>
          <w:tcPr>
            <w:tcW w:w="1060" w:type="dxa"/>
            <w:vAlign w:val="center"/>
          </w:tcPr>
          <w:p w14:paraId="48BD04D8" w14:textId="77777777" w:rsidR="002E474C" w:rsidRDefault="00000000">
            <w:pPr>
              <w:pStyle w:val="A-"/>
              <w:rPr>
                <w:snapToGrid w:val="0"/>
                <w:u w:color="000000"/>
                <w:lang w:val="zh-CN" w:bidi="en-US"/>
              </w:rPr>
            </w:pPr>
            <w:r>
              <w:t>达标</w:t>
            </w:r>
          </w:p>
        </w:tc>
      </w:tr>
      <w:tr w:rsidR="002E474C" w14:paraId="7163086D" w14:textId="77777777">
        <w:trPr>
          <w:jc w:val="center"/>
        </w:trPr>
        <w:tc>
          <w:tcPr>
            <w:tcW w:w="722" w:type="dxa"/>
            <w:vMerge/>
            <w:vAlign w:val="center"/>
          </w:tcPr>
          <w:p w14:paraId="54A82A94" w14:textId="77777777" w:rsidR="002E474C" w:rsidRDefault="002E474C">
            <w:pPr>
              <w:pStyle w:val="A-"/>
              <w:rPr>
                <w:snapToGrid w:val="0"/>
                <w:u w:color="000000"/>
                <w:lang w:val="zh-CN" w:bidi="en-US"/>
              </w:rPr>
            </w:pPr>
          </w:p>
        </w:tc>
        <w:tc>
          <w:tcPr>
            <w:tcW w:w="804" w:type="dxa"/>
            <w:vAlign w:val="center"/>
          </w:tcPr>
          <w:p w14:paraId="52764F26" w14:textId="77777777" w:rsidR="002E474C" w:rsidRDefault="00000000">
            <w:pPr>
              <w:pStyle w:val="A-"/>
              <w:rPr>
                <w:snapToGrid w:val="0"/>
                <w:u w:color="000000"/>
                <w:lang w:val="zh-CN" w:bidi="en-US"/>
              </w:rPr>
            </w:pPr>
            <w:r>
              <w:rPr>
                <w:snapToGrid w:val="0"/>
                <w:u w:color="000000"/>
                <w:lang w:val="zh-CN" w:bidi="en-US"/>
              </w:rPr>
              <w:t>O</w:t>
            </w:r>
            <w:r>
              <w:rPr>
                <w:snapToGrid w:val="0"/>
                <w:u w:color="000000"/>
                <w:vertAlign w:val="subscript"/>
                <w:lang w:val="zh-CN" w:bidi="en-US"/>
              </w:rPr>
              <w:t>3</w:t>
            </w:r>
          </w:p>
        </w:tc>
        <w:tc>
          <w:tcPr>
            <w:tcW w:w="1687" w:type="dxa"/>
            <w:noWrap/>
            <w:vAlign w:val="center"/>
          </w:tcPr>
          <w:p w14:paraId="1FC7476A" w14:textId="77777777" w:rsidR="002E474C" w:rsidRDefault="00000000">
            <w:pPr>
              <w:pStyle w:val="A-"/>
              <w:rPr>
                <w:snapToGrid w:val="0"/>
                <w:u w:color="000000"/>
                <w:lang w:val="zh-CN" w:bidi="en-US"/>
              </w:rPr>
            </w:pPr>
            <w:r>
              <w:rPr>
                <w:snapToGrid w:val="0"/>
                <w:u w:color="000000"/>
                <w:lang w:val="zh-CN" w:bidi="en-US"/>
              </w:rPr>
              <w:t>日平均</w:t>
            </w:r>
          </w:p>
        </w:tc>
        <w:tc>
          <w:tcPr>
            <w:tcW w:w="1058" w:type="dxa"/>
            <w:vAlign w:val="center"/>
          </w:tcPr>
          <w:p w14:paraId="3B0B627C" w14:textId="77777777" w:rsidR="002E474C" w:rsidRDefault="00000000">
            <w:pPr>
              <w:pStyle w:val="A-"/>
              <w:rPr>
                <w:snapToGrid w:val="0"/>
                <w:u w:color="000000"/>
                <w:lang w:bidi="en-US"/>
              </w:rPr>
            </w:pPr>
            <w:r>
              <w:t>160</w:t>
            </w:r>
          </w:p>
        </w:tc>
        <w:tc>
          <w:tcPr>
            <w:tcW w:w="1058" w:type="dxa"/>
            <w:noWrap/>
            <w:vAlign w:val="center"/>
          </w:tcPr>
          <w:p w14:paraId="3ECDF2A2" w14:textId="77777777" w:rsidR="002E474C" w:rsidRDefault="00000000">
            <w:pPr>
              <w:pStyle w:val="A-"/>
              <w:rPr>
                <w:snapToGrid w:val="0"/>
                <w:u w:color="000000"/>
                <w:lang w:bidi="en-US"/>
              </w:rPr>
            </w:pPr>
            <w:r>
              <w:t>33</w:t>
            </w:r>
            <w:r>
              <w:rPr>
                <w:rStyle w:val="font21"/>
                <w:rFonts w:ascii="Times New Roman" w:hAnsi="Times New Roman" w:cs="Times New Roman" w:hint="default"/>
                <w:color w:val="auto"/>
              </w:rPr>
              <w:t>～</w:t>
            </w:r>
            <w:r>
              <w:t>149</w:t>
            </w:r>
          </w:p>
        </w:tc>
        <w:tc>
          <w:tcPr>
            <w:tcW w:w="1275" w:type="dxa"/>
            <w:noWrap/>
            <w:vAlign w:val="center"/>
          </w:tcPr>
          <w:p w14:paraId="7DE2048B" w14:textId="77777777" w:rsidR="002E474C" w:rsidRDefault="00000000">
            <w:pPr>
              <w:pStyle w:val="A-"/>
              <w:rPr>
                <w:snapToGrid w:val="0"/>
                <w:u w:color="000000"/>
                <w:lang w:bidi="en-US"/>
              </w:rPr>
            </w:pPr>
            <w:r>
              <w:t xml:space="preserve">93.1 </w:t>
            </w:r>
          </w:p>
        </w:tc>
        <w:tc>
          <w:tcPr>
            <w:tcW w:w="841" w:type="dxa"/>
            <w:vAlign w:val="center"/>
          </w:tcPr>
          <w:p w14:paraId="62D54493" w14:textId="77777777" w:rsidR="002E474C" w:rsidRDefault="00000000">
            <w:pPr>
              <w:pStyle w:val="A-"/>
              <w:rPr>
                <w:snapToGrid w:val="0"/>
                <w:u w:color="000000"/>
                <w:lang w:bidi="en-US"/>
              </w:rPr>
            </w:pPr>
            <w:r>
              <w:t>0</w:t>
            </w:r>
          </w:p>
        </w:tc>
        <w:tc>
          <w:tcPr>
            <w:tcW w:w="1060" w:type="dxa"/>
            <w:vAlign w:val="center"/>
          </w:tcPr>
          <w:p w14:paraId="2AB4B3D0" w14:textId="77777777" w:rsidR="002E474C" w:rsidRDefault="00000000">
            <w:pPr>
              <w:pStyle w:val="A-"/>
              <w:rPr>
                <w:snapToGrid w:val="0"/>
                <w:u w:color="000000"/>
                <w:lang w:val="zh-CN" w:bidi="en-US"/>
              </w:rPr>
            </w:pPr>
            <w:r>
              <w:t>达标</w:t>
            </w:r>
          </w:p>
        </w:tc>
      </w:tr>
    </w:tbl>
    <w:p w14:paraId="7F4743F1" w14:textId="77777777" w:rsidR="002E474C" w:rsidRDefault="002E474C">
      <w:pPr>
        <w:widowControl/>
        <w:ind w:firstLine="200"/>
        <w:jc w:val="left"/>
        <w:rPr>
          <w:sz w:val="18"/>
          <w:szCs w:val="24"/>
        </w:rPr>
      </w:pPr>
    </w:p>
    <w:p w14:paraId="6C06689D" w14:textId="77777777" w:rsidR="002E474C" w:rsidRDefault="00000000">
      <w:pPr>
        <w:pStyle w:val="A-z"/>
        <w:rPr>
          <w:color w:val="auto"/>
        </w:rPr>
      </w:pPr>
      <w:r>
        <w:rPr>
          <w:color w:val="auto"/>
        </w:rPr>
        <w:t>区域基本污染物</w:t>
      </w:r>
      <w:r>
        <w:rPr>
          <w:color w:val="auto"/>
        </w:rPr>
        <w:t>SO</w:t>
      </w:r>
      <w:r>
        <w:rPr>
          <w:color w:val="auto"/>
          <w:vertAlign w:val="subscript"/>
        </w:rPr>
        <w:t>2</w:t>
      </w:r>
      <w:r>
        <w:rPr>
          <w:color w:val="auto"/>
        </w:rPr>
        <w:t>、</w:t>
      </w:r>
      <w:r>
        <w:rPr>
          <w:color w:val="auto"/>
        </w:rPr>
        <w:t>NO</w:t>
      </w:r>
      <w:r>
        <w:rPr>
          <w:color w:val="auto"/>
          <w:vertAlign w:val="subscript"/>
        </w:rPr>
        <w:t>2</w:t>
      </w:r>
      <w:r>
        <w:rPr>
          <w:color w:val="auto"/>
        </w:rPr>
        <w:t>的年平均浓度与日平均浓度、</w:t>
      </w:r>
      <w:r>
        <w:rPr>
          <w:color w:val="auto"/>
        </w:rPr>
        <w:t>CO</w:t>
      </w:r>
      <w:r>
        <w:rPr>
          <w:color w:val="auto"/>
        </w:rPr>
        <w:t>日最大</w:t>
      </w:r>
      <w:r>
        <w:rPr>
          <w:color w:val="auto"/>
        </w:rPr>
        <w:t>8h</w:t>
      </w:r>
      <w:r>
        <w:rPr>
          <w:color w:val="auto"/>
        </w:rPr>
        <w:t>平均浓度和</w:t>
      </w:r>
      <w:r>
        <w:rPr>
          <w:color w:val="auto"/>
        </w:rPr>
        <w:t>O</w:t>
      </w:r>
      <w:r>
        <w:rPr>
          <w:color w:val="auto"/>
          <w:vertAlign w:val="subscript"/>
        </w:rPr>
        <w:t>3</w:t>
      </w:r>
      <w:r>
        <w:rPr>
          <w:color w:val="auto"/>
        </w:rPr>
        <w:t>日平均浓度均可达到《环境空气质量标准》（</w:t>
      </w:r>
      <w:r>
        <w:rPr>
          <w:color w:val="auto"/>
        </w:rPr>
        <w:t>GB3095-2026</w:t>
      </w:r>
      <w:r>
        <w:rPr>
          <w:color w:val="auto"/>
        </w:rPr>
        <w:t>）过渡阶段二级浓度限值；</w:t>
      </w:r>
      <w:r>
        <w:rPr>
          <w:color w:val="auto"/>
        </w:rPr>
        <w:t>PM</w:t>
      </w:r>
      <w:r>
        <w:rPr>
          <w:color w:val="auto"/>
          <w:vertAlign w:val="subscript"/>
        </w:rPr>
        <w:t>10</w:t>
      </w:r>
      <w:r>
        <w:rPr>
          <w:color w:val="auto"/>
        </w:rPr>
        <w:t>、</w:t>
      </w:r>
      <w:r>
        <w:rPr>
          <w:color w:val="auto"/>
        </w:rPr>
        <w:t>PM</w:t>
      </w:r>
      <w:r>
        <w:rPr>
          <w:color w:val="auto"/>
          <w:vertAlign w:val="subscript"/>
        </w:rPr>
        <w:t>2.5</w:t>
      </w:r>
      <w:r>
        <w:rPr>
          <w:color w:val="auto"/>
        </w:rPr>
        <w:t>年平均浓度与日平均浓度均超过《环境空气质量标准》（</w:t>
      </w:r>
      <w:r>
        <w:rPr>
          <w:color w:val="auto"/>
        </w:rPr>
        <w:t>GB3095-2026</w:t>
      </w:r>
      <w:r>
        <w:rPr>
          <w:color w:val="auto"/>
        </w:rPr>
        <w:t>）过渡阶段二级浓度限值。颗粒物超标主要是由于当地气候干燥、沙尘较多所致。</w:t>
      </w:r>
    </w:p>
    <w:bookmarkEnd w:id="241"/>
    <w:p w14:paraId="4CE836CF" w14:textId="77777777" w:rsidR="002E474C" w:rsidRDefault="00000000">
      <w:pPr>
        <w:pStyle w:val="41"/>
        <w:rPr>
          <w:rFonts w:eastAsia="黑体"/>
          <w:b w:val="0"/>
          <w:bCs w:val="0"/>
          <w:color w:val="auto"/>
        </w:rPr>
      </w:pPr>
      <w:r>
        <w:rPr>
          <w:rFonts w:eastAsia="黑体"/>
          <w:color w:val="auto"/>
        </w:rPr>
        <w:t>其他污染物</w:t>
      </w:r>
    </w:p>
    <w:p w14:paraId="038B9312" w14:textId="77777777" w:rsidR="002E474C" w:rsidRDefault="00000000">
      <w:pPr>
        <w:pStyle w:val="A-z"/>
        <w:rPr>
          <w:color w:val="auto"/>
        </w:rPr>
      </w:pPr>
      <w:r>
        <w:rPr>
          <w:color w:val="auto"/>
        </w:rPr>
        <w:t>（</w:t>
      </w:r>
      <w:r>
        <w:rPr>
          <w:color w:val="auto"/>
        </w:rPr>
        <w:t>1</w:t>
      </w:r>
      <w:r>
        <w:rPr>
          <w:color w:val="auto"/>
        </w:rPr>
        <w:t>）监测点布设</w:t>
      </w:r>
    </w:p>
    <w:p w14:paraId="1C95D449" w14:textId="77777777" w:rsidR="002E474C" w:rsidRDefault="00000000">
      <w:pPr>
        <w:pStyle w:val="A-z"/>
        <w:rPr>
          <w:color w:val="auto"/>
        </w:rPr>
      </w:pPr>
      <w:r>
        <w:rPr>
          <w:color w:val="auto"/>
        </w:rPr>
        <w:t>本次环评在项目所在地主导风向（西风）上风向与下风向分别布设</w:t>
      </w:r>
      <w:r>
        <w:rPr>
          <w:color w:val="auto"/>
        </w:rPr>
        <w:t>1</w:t>
      </w:r>
      <w:r>
        <w:rPr>
          <w:color w:val="auto"/>
        </w:rPr>
        <w:t>个监测点。监测点位见表</w:t>
      </w:r>
      <w:r>
        <w:rPr>
          <w:color w:val="auto"/>
        </w:rPr>
        <w:t>4.3-3</w:t>
      </w:r>
      <w:r>
        <w:rPr>
          <w:color w:val="auto"/>
        </w:rPr>
        <w:t>及图</w:t>
      </w:r>
      <w:r>
        <w:rPr>
          <w:color w:val="auto"/>
        </w:rPr>
        <w:t>4.3-1</w:t>
      </w:r>
      <w:r>
        <w:rPr>
          <w:color w:val="auto"/>
        </w:rPr>
        <w:t>。</w:t>
      </w:r>
    </w:p>
    <w:p w14:paraId="3AFDB795" w14:textId="77777777" w:rsidR="002E474C" w:rsidRDefault="00000000">
      <w:pPr>
        <w:pStyle w:val="A--"/>
        <w:rPr>
          <w:color w:val="auto"/>
        </w:rPr>
      </w:pPr>
      <w:r>
        <w:rPr>
          <w:color w:val="auto"/>
        </w:rPr>
        <w:t>表</w:t>
      </w:r>
      <w:r>
        <w:rPr>
          <w:color w:val="auto"/>
        </w:rPr>
        <w:t xml:space="preserve">4.3-3    </w:t>
      </w:r>
      <w:r>
        <w:rPr>
          <w:color w:val="auto"/>
        </w:rPr>
        <w:t>环境空气质量监测布点一览表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4"/>
        <w:gridCol w:w="2810"/>
        <w:gridCol w:w="2650"/>
      </w:tblGrid>
      <w:tr w:rsidR="002E474C" w14:paraId="02F81C9F" w14:textId="77777777">
        <w:trPr>
          <w:trHeight w:val="284"/>
          <w:jc w:val="center"/>
        </w:trPr>
        <w:tc>
          <w:tcPr>
            <w:tcW w:w="594" w:type="pct"/>
            <w:tcMar>
              <w:left w:w="0" w:type="dxa"/>
              <w:right w:w="0" w:type="dxa"/>
            </w:tcMar>
            <w:vAlign w:val="center"/>
          </w:tcPr>
          <w:p w14:paraId="32789869" w14:textId="77777777" w:rsidR="002E474C" w:rsidRDefault="00000000">
            <w:pPr>
              <w:pStyle w:val="A-"/>
              <w:rPr>
                <w:snapToGrid w:val="0"/>
                <w:u w:color="000000"/>
                <w:lang w:bidi="en-US"/>
              </w:rPr>
            </w:pPr>
            <w:r>
              <w:rPr>
                <w:snapToGrid w:val="0"/>
                <w:u w:color="000000"/>
                <w:lang w:bidi="en-US"/>
              </w:rPr>
              <w:t>编号</w:t>
            </w:r>
          </w:p>
        </w:tc>
        <w:tc>
          <w:tcPr>
            <w:tcW w:w="1196" w:type="pct"/>
            <w:tcMar>
              <w:left w:w="0" w:type="dxa"/>
              <w:right w:w="0" w:type="dxa"/>
            </w:tcMar>
            <w:vAlign w:val="center"/>
          </w:tcPr>
          <w:p w14:paraId="577BC058" w14:textId="77777777" w:rsidR="002E474C" w:rsidRDefault="00000000">
            <w:pPr>
              <w:pStyle w:val="A-"/>
              <w:rPr>
                <w:snapToGrid w:val="0"/>
                <w:u w:color="000000"/>
                <w:lang w:bidi="en-US"/>
              </w:rPr>
            </w:pPr>
            <w:r>
              <w:rPr>
                <w:snapToGrid w:val="0"/>
                <w:u w:color="000000"/>
                <w:lang w:bidi="en-US"/>
              </w:rPr>
              <w:t>监测点位</w:t>
            </w:r>
          </w:p>
        </w:tc>
        <w:tc>
          <w:tcPr>
            <w:tcW w:w="1652" w:type="pct"/>
            <w:vAlign w:val="center"/>
          </w:tcPr>
          <w:p w14:paraId="418EE5C2" w14:textId="77777777" w:rsidR="002E474C" w:rsidRDefault="00000000">
            <w:pPr>
              <w:pStyle w:val="A-"/>
              <w:rPr>
                <w:snapToGrid w:val="0"/>
                <w:u w:color="000000"/>
                <w:lang w:bidi="en-US"/>
              </w:rPr>
            </w:pPr>
            <w:r>
              <w:rPr>
                <w:snapToGrid w:val="0"/>
                <w:u w:color="000000"/>
                <w:lang w:bidi="en-US"/>
              </w:rPr>
              <w:t>方位</w:t>
            </w:r>
          </w:p>
        </w:tc>
        <w:tc>
          <w:tcPr>
            <w:tcW w:w="1558" w:type="pct"/>
            <w:tcMar>
              <w:left w:w="0" w:type="dxa"/>
              <w:right w:w="0" w:type="dxa"/>
            </w:tcMar>
            <w:vAlign w:val="center"/>
          </w:tcPr>
          <w:p w14:paraId="22110BA2" w14:textId="77777777" w:rsidR="002E474C" w:rsidRDefault="00000000">
            <w:pPr>
              <w:pStyle w:val="A-"/>
              <w:rPr>
                <w:snapToGrid w:val="0"/>
                <w:u w:color="000000"/>
                <w:lang w:bidi="en-US"/>
              </w:rPr>
            </w:pPr>
            <w:r>
              <w:rPr>
                <w:snapToGrid w:val="0"/>
                <w:u w:color="000000"/>
                <w:lang w:bidi="en-US"/>
              </w:rPr>
              <w:t>与项目位置关系</w:t>
            </w:r>
          </w:p>
        </w:tc>
      </w:tr>
      <w:tr w:rsidR="002E474C" w14:paraId="67EBABF3" w14:textId="77777777">
        <w:trPr>
          <w:trHeight w:val="284"/>
          <w:jc w:val="center"/>
        </w:trPr>
        <w:tc>
          <w:tcPr>
            <w:tcW w:w="594" w:type="pct"/>
            <w:tcMar>
              <w:left w:w="0" w:type="dxa"/>
              <w:right w:w="0" w:type="dxa"/>
            </w:tcMar>
            <w:vAlign w:val="center"/>
          </w:tcPr>
          <w:p w14:paraId="036EC047" w14:textId="77777777" w:rsidR="002E474C" w:rsidRDefault="00000000">
            <w:pPr>
              <w:pStyle w:val="A-"/>
              <w:rPr>
                <w:snapToGrid w:val="0"/>
                <w:u w:color="000000"/>
                <w:lang w:bidi="en-US"/>
              </w:rPr>
            </w:pPr>
            <w:r>
              <w:rPr>
                <w:snapToGrid w:val="0"/>
                <w:u w:color="000000"/>
                <w:lang w:bidi="en-US"/>
              </w:rPr>
              <w:t>G1</w:t>
            </w:r>
          </w:p>
        </w:tc>
        <w:tc>
          <w:tcPr>
            <w:tcW w:w="1196" w:type="pct"/>
            <w:tcMar>
              <w:left w:w="0" w:type="dxa"/>
              <w:right w:w="0" w:type="dxa"/>
            </w:tcMar>
            <w:vAlign w:val="center"/>
          </w:tcPr>
          <w:p w14:paraId="4AD32655" w14:textId="77777777" w:rsidR="002E474C" w:rsidRDefault="00000000">
            <w:pPr>
              <w:pStyle w:val="A-"/>
              <w:rPr>
                <w:snapToGrid w:val="0"/>
                <w:u w:color="000000"/>
                <w:lang w:bidi="en-US"/>
              </w:rPr>
            </w:pPr>
            <w:r>
              <w:rPr>
                <w:snapToGrid w:val="0"/>
                <w:u w:color="000000"/>
                <w:lang w:bidi="en-US"/>
              </w:rPr>
              <w:t>电石公司员工公寓</w:t>
            </w:r>
          </w:p>
        </w:tc>
        <w:tc>
          <w:tcPr>
            <w:tcW w:w="1652" w:type="pct"/>
            <w:vAlign w:val="center"/>
          </w:tcPr>
          <w:p w14:paraId="217260BD" w14:textId="77777777" w:rsidR="002E474C" w:rsidRDefault="00000000">
            <w:pPr>
              <w:pStyle w:val="A-"/>
              <w:rPr>
                <w:snapToGrid w:val="0"/>
                <w:u w:color="000000"/>
                <w:lang w:bidi="en-US"/>
              </w:rPr>
            </w:pPr>
            <w:r>
              <w:rPr>
                <w:snapToGrid w:val="0"/>
                <w:u w:color="000000"/>
                <w:lang w:bidi="en-US"/>
              </w:rPr>
              <w:t>厂址上风向</w:t>
            </w:r>
          </w:p>
        </w:tc>
        <w:tc>
          <w:tcPr>
            <w:tcW w:w="1558" w:type="pct"/>
            <w:tcMar>
              <w:left w:w="0" w:type="dxa"/>
              <w:right w:w="0" w:type="dxa"/>
            </w:tcMar>
            <w:vAlign w:val="center"/>
          </w:tcPr>
          <w:p w14:paraId="3BF6035C" w14:textId="77777777" w:rsidR="002E474C" w:rsidRDefault="00000000">
            <w:pPr>
              <w:pStyle w:val="A-"/>
              <w:rPr>
                <w:snapToGrid w:val="0"/>
                <w:u w:color="000000"/>
                <w:lang w:bidi="en-US"/>
              </w:rPr>
            </w:pPr>
            <w:r>
              <w:rPr>
                <w:snapToGrid w:val="0"/>
                <w:u w:color="000000"/>
                <w:lang w:bidi="en-US"/>
              </w:rPr>
              <w:t>厂界外西侧</w:t>
            </w:r>
            <w:r>
              <w:rPr>
                <w:snapToGrid w:val="0"/>
                <w:u w:color="000000"/>
                <w:lang w:bidi="en-US"/>
              </w:rPr>
              <w:t>1.8km</w:t>
            </w:r>
          </w:p>
        </w:tc>
      </w:tr>
      <w:tr w:rsidR="002E474C" w14:paraId="47A18DC6" w14:textId="77777777">
        <w:trPr>
          <w:trHeight w:val="284"/>
          <w:jc w:val="center"/>
        </w:trPr>
        <w:tc>
          <w:tcPr>
            <w:tcW w:w="594" w:type="pct"/>
            <w:tcMar>
              <w:left w:w="0" w:type="dxa"/>
              <w:right w:w="0" w:type="dxa"/>
            </w:tcMar>
            <w:vAlign w:val="center"/>
          </w:tcPr>
          <w:p w14:paraId="573066B6" w14:textId="77777777" w:rsidR="002E474C" w:rsidRDefault="00000000">
            <w:pPr>
              <w:pStyle w:val="A-"/>
              <w:rPr>
                <w:snapToGrid w:val="0"/>
                <w:u w:color="000000"/>
                <w:lang w:bidi="en-US"/>
              </w:rPr>
            </w:pPr>
            <w:r>
              <w:rPr>
                <w:snapToGrid w:val="0"/>
                <w:u w:color="000000"/>
                <w:lang w:bidi="en-US"/>
              </w:rPr>
              <w:t>G2</w:t>
            </w:r>
          </w:p>
        </w:tc>
        <w:tc>
          <w:tcPr>
            <w:tcW w:w="1196" w:type="pct"/>
            <w:tcMar>
              <w:left w:w="0" w:type="dxa"/>
              <w:right w:w="0" w:type="dxa"/>
            </w:tcMar>
            <w:vAlign w:val="center"/>
          </w:tcPr>
          <w:p w14:paraId="76E1415C" w14:textId="77777777" w:rsidR="002E474C" w:rsidRDefault="00000000">
            <w:pPr>
              <w:pStyle w:val="A-"/>
              <w:rPr>
                <w:snapToGrid w:val="0"/>
                <w:u w:color="000000"/>
                <w:lang w:bidi="en-US"/>
              </w:rPr>
            </w:pPr>
            <w:r>
              <w:rPr>
                <w:snapToGrid w:val="0"/>
                <w:u w:color="000000"/>
                <w:lang w:bidi="en-US"/>
              </w:rPr>
              <w:t>项目下风向</w:t>
            </w:r>
            <w:r>
              <w:rPr>
                <w:snapToGrid w:val="0"/>
                <w:u w:color="000000"/>
                <w:lang w:bidi="en-US"/>
              </w:rPr>
              <w:t>3km</w:t>
            </w:r>
          </w:p>
        </w:tc>
        <w:tc>
          <w:tcPr>
            <w:tcW w:w="1652" w:type="pct"/>
            <w:vAlign w:val="center"/>
          </w:tcPr>
          <w:p w14:paraId="3A95602E" w14:textId="77777777" w:rsidR="002E474C" w:rsidRDefault="00000000">
            <w:pPr>
              <w:pStyle w:val="A-"/>
              <w:rPr>
                <w:snapToGrid w:val="0"/>
                <w:u w:color="000000"/>
                <w:lang w:bidi="en-US"/>
              </w:rPr>
            </w:pPr>
            <w:r>
              <w:rPr>
                <w:snapToGrid w:val="0"/>
                <w:u w:color="000000"/>
                <w:lang w:bidi="en-US"/>
              </w:rPr>
              <w:t>厂址下风向</w:t>
            </w:r>
          </w:p>
        </w:tc>
        <w:tc>
          <w:tcPr>
            <w:tcW w:w="1558" w:type="pct"/>
            <w:tcMar>
              <w:left w:w="0" w:type="dxa"/>
              <w:right w:w="0" w:type="dxa"/>
            </w:tcMar>
            <w:vAlign w:val="center"/>
          </w:tcPr>
          <w:p w14:paraId="0F97A4FF" w14:textId="77777777" w:rsidR="002E474C" w:rsidRDefault="00000000">
            <w:pPr>
              <w:pStyle w:val="A-"/>
              <w:rPr>
                <w:snapToGrid w:val="0"/>
                <w:u w:color="000000"/>
                <w:lang w:bidi="en-US"/>
              </w:rPr>
            </w:pPr>
            <w:r>
              <w:rPr>
                <w:snapToGrid w:val="0"/>
                <w:u w:color="000000"/>
                <w:lang w:bidi="en-US"/>
              </w:rPr>
              <w:t>厂界外东侧</w:t>
            </w:r>
            <w:r>
              <w:rPr>
                <w:snapToGrid w:val="0"/>
                <w:u w:color="000000"/>
                <w:lang w:bidi="en-US"/>
              </w:rPr>
              <w:t>3.0km</w:t>
            </w:r>
          </w:p>
        </w:tc>
      </w:tr>
    </w:tbl>
    <w:p w14:paraId="6C58333F" w14:textId="77777777" w:rsidR="002E474C" w:rsidRDefault="00000000">
      <w:pPr>
        <w:pStyle w:val="A-z"/>
        <w:rPr>
          <w:color w:val="auto"/>
        </w:rPr>
      </w:pPr>
      <w:r>
        <w:rPr>
          <w:color w:val="auto"/>
        </w:rPr>
        <w:t>（</w:t>
      </w:r>
      <w:r>
        <w:rPr>
          <w:color w:val="auto"/>
        </w:rPr>
        <w:t>2</w:t>
      </w:r>
      <w:r>
        <w:rPr>
          <w:color w:val="auto"/>
        </w:rPr>
        <w:t>）监测项目</w:t>
      </w:r>
    </w:p>
    <w:p w14:paraId="0EB2F5FF" w14:textId="77777777" w:rsidR="002E474C" w:rsidRDefault="00000000">
      <w:pPr>
        <w:pStyle w:val="A-z"/>
        <w:rPr>
          <w:color w:val="auto"/>
        </w:rPr>
      </w:pPr>
      <w:r>
        <w:rPr>
          <w:color w:val="auto"/>
        </w:rPr>
        <w:t>补充监测因子：</w:t>
      </w:r>
      <w:r>
        <w:rPr>
          <w:color w:val="auto"/>
        </w:rPr>
        <w:t>SO</w:t>
      </w:r>
      <w:r>
        <w:rPr>
          <w:color w:val="auto"/>
          <w:vertAlign w:val="subscript"/>
        </w:rPr>
        <w:t>2</w:t>
      </w:r>
      <w:r>
        <w:rPr>
          <w:color w:val="auto"/>
        </w:rPr>
        <w:t>、</w:t>
      </w:r>
      <w:r>
        <w:rPr>
          <w:color w:val="auto"/>
        </w:rPr>
        <w:t>NO</w:t>
      </w:r>
      <w:r>
        <w:rPr>
          <w:color w:val="auto"/>
          <w:vertAlign w:val="subscript"/>
        </w:rPr>
        <w:t>x</w:t>
      </w:r>
      <w:r>
        <w:rPr>
          <w:color w:val="auto"/>
        </w:rPr>
        <w:t>、</w:t>
      </w:r>
      <w:r>
        <w:rPr>
          <w:color w:val="auto"/>
        </w:rPr>
        <w:t>PM</w:t>
      </w:r>
      <w:r>
        <w:rPr>
          <w:color w:val="auto"/>
          <w:vertAlign w:val="subscript"/>
        </w:rPr>
        <w:t>10</w:t>
      </w:r>
      <w:r>
        <w:rPr>
          <w:color w:val="auto"/>
        </w:rPr>
        <w:t>、</w:t>
      </w:r>
      <w:r>
        <w:rPr>
          <w:color w:val="auto"/>
        </w:rPr>
        <w:t>TSP</w:t>
      </w:r>
      <w:r>
        <w:rPr>
          <w:color w:val="auto"/>
        </w:rPr>
        <w:t>、臭气浓度、硫化氢、氨、锰及其化合物、氯化氢、氟化物、六价铬、铅、镉、汞、砷、镍、非甲烷总烃、二噁英类共</w:t>
      </w:r>
      <w:r>
        <w:rPr>
          <w:color w:val="auto"/>
        </w:rPr>
        <w:t>18</w:t>
      </w:r>
      <w:r>
        <w:rPr>
          <w:color w:val="auto"/>
        </w:rPr>
        <w:t>项污染物。</w:t>
      </w:r>
    </w:p>
    <w:p w14:paraId="0293DFBA" w14:textId="77777777" w:rsidR="002E474C" w:rsidRDefault="00000000">
      <w:pPr>
        <w:pStyle w:val="A-z"/>
        <w:rPr>
          <w:color w:val="auto"/>
        </w:rPr>
      </w:pPr>
      <w:r>
        <w:rPr>
          <w:color w:val="auto"/>
        </w:rPr>
        <w:t>（</w:t>
      </w:r>
      <w:r>
        <w:rPr>
          <w:color w:val="auto"/>
        </w:rPr>
        <w:t>3</w:t>
      </w:r>
      <w:r>
        <w:rPr>
          <w:color w:val="auto"/>
        </w:rPr>
        <w:t>）监测频率</w:t>
      </w:r>
    </w:p>
    <w:p w14:paraId="7DFA9CDC" w14:textId="77777777" w:rsidR="002E474C" w:rsidRDefault="00000000">
      <w:pPr>
        <w:pStyle w:val="A-z"/>
        <w:rPr>
          <w:color w:val="auto"/>
        </w:rPr>
      </w:pPr>
      <w:r>
        <w:rPr>
          <w:color w:val="auto"/>
        </w:rPr>
        <w:t>监测频率：日平均浓度每天采样时间不少于</w:t>
      </w:r>
      <w:r>
        <w:rPr>
          <w:color w:val="auto"/>
        </w:rPr>
        <w:t>24h</w:t>
      </w:r>
      <w:r>
        <w:rPr>
          <w:color w:val="auto"/>
        </w:rPr>
        <w:t>，</w:t>
      </w:r>
      <w:r>
        <w:rPr>
          <w:color w:val="auto"/>
        </w:rPr>
        <w:t>1</w:t>
      </w:r>
      <w:r>
        <w:rPr>
          <w:color w:val="auto"/>
        </w:rPr>
        <w:t>小时平均浓度每天</w:t>
      </w:r>
      <w:r>
        <w:rPr>
          <w:color w:val="auto"/>
        </w:rPr>
        <w:t>02:00</w:t>
      </w:r>
      <w:r>
        <w:rPr>
          <w:color w:val="auto"/>
        </w:rPr>
        <w:t>、</w:t>
      </w:r>
      <w:r>
        <w:rPr>
          <w:color w:val="auto"/>
        </w:rPr>
        <w:t>08:00</w:t>
      </w:r>
      <w:r>
        <w:rPr>
          <w:color w:val="auto"/>
        </w:rPr>
        <w:t>、</w:t>
      </w:r>
      <w:r>
        <w:rPr>
          <w:color w:val="auto"/>
        </w:rPr>
        <w:t>14:00</w:t>
      </w:r>
      <w:r>
        <w:rPr>
          <w:color w:val="auto"/>
        </w:rPr>
        <w:t>、</w:t>
      </w:r>
      <w:r>
        <w:rPr>
          <w:color w:val="auto"/>
        </w:rPr>
        <w:t>20:00</w:t>
      </w:r>
      <w:r>
        <w:rPr>
          <w:color w:val="auto"/>
        </w:rPr>
        <w:t>时采样，每小时采样不少于</w:t>
      </w:r>
      <w:r>
        <w:rPr>
          <w:color w:val="auto"/>
        </w:rPr>
        <w:t>45min</w:t>
      </w:r>
      <w:r>
        <w:rPr>
          <w:color w:val="auto"/>
        </w:rPr>
        <w:t>。采样期间同步观测记录风向、风速、气温、气压等气象参数。</w:t>
      </w:r>
    </w:p>
    <w:p w14:paraId="1260B045" w14:textId="77777777" w:rsidR="002E474C" w:rsidRDefault="00000000">
      <w:pPr>
        <w:pStyle w:val="A-z"/>
        <w:rPr>
          <w:color w:val="auto"/>
        </w:rPr>
      </w:pPr>
      <w:r>
        <w:rPr>
          <w:color w:val="auto"/>
        </w:rPr>
        <w:t>（</w:t>
      </w:r>
      <w:r>
        <w:rPr>
          <w:color w:val="auto"/>
        </w:rPr>
        <w:t>4</w:t>
      </w:r>
      <w:r>
        <w:rPr>
          <w:color w:val="auto"/>
        </w:rPr>
        <w:t>）监测单位与监测时间</w:t>
      </w:r>
    </w:p>
    <w:p w14:paraId="2256F35A" w14:textId="77777777" w:rsidR="002E474C" w:rsidRDefault="00000000">
      <w:pPr>
        <w:pStyle w:val="A-z"/>
        <w:rPr>
          <w:color w:val="auto"/>
        </w:rPr>
      </w:pPr>
      <w:r>
        <w:rPr>
          <w:color w:val="auto"/>
        </w:rPr>
        <w:t>监测单位：</w:t>
      </w:r>
      <w:r>
        <w:rPr>
          <w:color w:val="auto"/>
          <w:lang w:val="en-US"/>
        </w:rPr>
        <w:t>六价铬由新疆坤诚检测技术有限公司检测，</w:t>
      </w:r>
      <w:r>
        <w:rPr>
          <w:color w:val="auto"/>
        </w:rPr>
        <w:t>二噁英类由</w:t>
      </w:r>
      <w:r>
        <w:rPr>
          <w:color w:val="auto"/>
          <w:lang w:val="en-US"/>
        </w:rPr>
        <w:t>江苏全威检测有限公司检测</w:t>
      </w:r>
      <w:r>
        <w:rPr>
          <w:color w:val="auto"/>
        </w:rPr>
        <w:t>，其他项目由新疆壹诺环保科技有限公司</w:t>
      </w:r>
      <w:r>
        <w:rPr>
          <w:color w:val="auto"/>
          <w:lang w:val="en-US"/>
        </w:rPr>
        <w:t>检测</w:t>
      </w:r>
      <w:r>
        <w:rPr>
          <w:color w:val="auto"/>
        </w:rPr>
        <w:t>。</w:t>
      </w:r>
    </w:p>
    <w:p w14:paraId="7CC28494" w14:textId="77777777" w:rsidR="002E474C" w:rsidRDefault="00000000">
      <w:pPr>
        <w:pStyle w:val="A-z"/>
        <w:rPr>
          <w:color w:val="auto"/>
        </w:rPr>
      </w:pPr>
      <w:r>
        <w:rPr>
          <w:color w:val="auto"/>
        </w:rPr>
        <w:t>监测时间：</w:t>
      </w:r>
      <w:r>
        <w:rPr>
          <w:color w:val="auto"/>
        </w:rPr>
        <w:t>2026</w:t>
      </w:r>
      <w:r>
        <w:rPr>
          <w:color w:val="auto"/>
        </w:rPr>
        <w:t>年</w:t>
      </w:r>
      <w:r>
        <w:rPr>
          <w:color w:val="auto"/>
        </w:rPr>
        <w:t>1</w:t>
      </w:r>
      <w:r>
        <w:rPr>
          <w:color w:val="auto"/>
        </w:rPr>
        <w:t>月</w:t>
      </w:r>
      <w:r>
        <w:rPr>
          <w:color w:val="auto"/>
        </w:rPr>
        <w:t>26</w:t>
      </w:r>
      <w:r>
        <w:rPr>
          <w:color w:val="auto"/>
        </w:rPr>
        <w:t>日至</w:t>
      </w:r>
      <w:r>
        <w:rPr>
          <w:color w:val="auto"/>
        </w:rPr>
        <w:t>2</w:t>
      </w:r>
      <w:r>
        <w:rPr>
          <w:color w:val="auto"/>
        </w:rPr>
        <w:t>月</w:t>
      </w:r>
      <w:r>
        <w:rPr>
          <w:color w:val="auto"/>
        </w:rPr>
        <w:t>1</w:t>
      </w:r>
      <w:r>
        <w:rPr>
          <w:color w:val="auto"/>
        </w:rPr>
        <w:t>日，硫化氢监测时间为</w:t>
      </w:r>
      <w:r>
        <w:rPr>
          <w:color w:val="auto"/>
        </w:rPr>
        <w:t>2026</w:t>
      </w:r>
      <w:r>
        <w:rPr>
          <w:color w:val="auto"/>
        </w:rPr>
        <w:t>年</w:t>
      </w:r>
      <w:r>
        <w:rPr>
          <w:color w:val="auto"/>
        </w:rPr>
        <w:t>3</w:t>
      </w:r>
      <w:r>
        <w:rPr>
          <w:color w:val="auto"/>
        </w:rPr>
        <w:t>月</w:t>
      </w:r>
      <w:r>
        <w:rPr>
          <w:color w:val="auto"/>
        </w:rPr>
        <w:t>20</w:t>
      </w:r>
      <w:r>
        <w:rPr>
          <w:color w:val="auto"/>
        </w:rPr>
        <w:t>日至</w:t>
      </w:r>
      <w:r>
        <w:rPr>
          <w:color w:val="auto"/>
        </w:rPr>
        <w:t>3</w:t>
      </w:r>
      <w:r>
        <w:rPr>
          <w:color w:val="auto"/>
        </w:rPr>
        <w:t>月</w:t>
      </w:r>
      <w:r>
        <w:rPr>
          <w:color w:val="auto"/>
        </w:rPr>
        <w:t>26</w:t>
      </w:r>
      <w:r>
        <w:rPr>
          <w:color w:val="auto"/>
        </w:rPr>
        <w:t>日。二噁英类监测时间为</w:t>
      </w:r>
      <w:r>
        <w:rPr>
          <w:color w:val="auto"/>
        </w:rPr>
        <w:t>2026</w:t>
      </w:r>
      <w:r>
        <w:rPr>
          <w:color w:val="auto"/>
        </w:rPr>
        <w:t>年</w:t>
      </w:r>
      <w:r>
        <w:rPr>
          <w:color w:val="auto"/>
        </w:rPr>
        <w:t>3</w:t>
      </w:r>
      <w:r>
        <w:rPr>
          <w:color w:val="auto"/>
        </w:rPr>
        <w:t>月</w:t>
      </w:r>
      <w:r>
        <w:rPr>
          <w:color w:val="auto"/>
        </w:rPr>
        <w:t>18</w:t>
      </w:r>
      <w:r>
        <w:rPr>
          <w:color w:val="auto"/>
        </w:rPr>
        <w:t>日至</w:t>
      </w:r>
      <w:r>
        <w:rPr>
          <w:color w:val="auto"/>
        </w:rPr>
        <w:t>3</w:t>
      </w:r>
      <w:r>
        <w:rPr>
          <w:color w:val="auto"/>
        </w:rPr>
        <w:t>月</w:t>
      </w:r>
      <w:r>
        <w:rPr>
          <w:color w:val="auto"/>
        </w:rPr>
        <w:t>24</w:t>
      </w:r>
      <w:r>
        <w:rPr>
          <w:color w:val="auto"/>
        </w:rPr>
        <w:t>日，</w:t>
      </w:r>
    </w:p>
    <w:p w14:paraId="4D652D82" w14:textId="77777777" w:rsidR="002E474C" w:rsidRDefault="00000000">
      <w:pPr>
        <w:pStyle w:val="A-z"/>
        <w:rPr>
          <w:color w:val="auto"/>
        </w:rPr>
      </w:pPr>
      <w:r>
        <w:rPr>
          <w:color w:val="auto"/>
        </w:rPr>
        <w:t>（</w:t>
      </w:r>
      <w:r>
        <w:rPr>
          <w:color w:val="auto"/>
        </w:rPr>
        <w:t>5</w:t>
      </w:r>
      <w:r>
        <w:rPr>
          <w:color w:val="auto"/>
        </w:rPr>
        <w:t>）评价标准</w:t>
      </w:r>
    </w:p>
    <w:p w14:paraId="3D8FA4ED" w14:textId="77777777" w:rsidR="002E474C" w:rsidRDefault="00000000">
      <w:pPr>
        <w:pStyle w:val="A-z"/>
        <w:rPr>
          <w:color w:val="auto"/>
        </w:rPr>
      </w:pPr>
      <w:r>
        <w:rPr>
          <w:color w:val="auto"/>
        </w:rPr>
        <w:t>SO</w:t>
      </w:r>
      <w:r>
        <w:rPr>
          <w:color w:val="auto"/>
          <w:vertAlign w:val="subscript"/>
        </w:rPr>
        <w:t>2</w:t>
      </w:r>
      <w:r>
        <w:rPr>
          <w:color w:val="auto"/>
        </w:rPr>
        <w:t>、</w:t>
      </w:r>
      <w:r>
        <w:rPr>
          <w:color w:val="auto"/>
        </w:rPr>
        <w:t>NO</w:t>
      </w:r>
      <w:r>
        <w:rPr>
          <w:color w:val="auto"/>
          <w:vertAlign w:val="subscript"/>
        </w:rPr>
        <w:t>x</w:t>
      </w:r>
      <w:r>
        <w:rPr>
          <w:color w:val="auto"/>
        </w:rPr>
        <w:t>、</w:t>
      </w:r>
      <w:r>
        <w:rPr>
          <w:color w:val="auto"/>
        </w:rPr>
        <w:t>PM</w:t>
      </w:r>
      <w:r>
        <w:rPr>
          <w:color w:val="auto"/>
          <w:vertAlign w:val="subscript"/>
        </w:rPr>
        <w:t>10</w:t>
      </w:r>
      <w:r>
        <w:rPr>
          <w:color w:val="auto"/>
        </w:rPr>
        <w:t>执行《环境空气质量标准》（</w:t>
      </w:r>
      <w:r>
        <w:rPr>
          <w:color w:val="auto"/>
        </w:rPr>
        <w:t>GB3095-2026</w:t>
      </w:r>
      <w:r>
        <w:rPr>
          <w:color w:val="auto"/>
        </w:rPr>
        <w:t>）过渡阶段二级</w:t>
      </w:r>
      <w:r>
        <w:rPr>
          <w:color w:val="auto"/>
        </w:rPr>
        <w:lastRenderedPageBreak/>
        <w:t>浓度限值，</w:t>
      </w:r>
      <w:r>
        <w:rPr>
          <w:color w:val="auto"/>
        </w:rPr>
        <w:t>TSP</w:t>
      </w:r>
      <w:r>
        <w:rPr>
          <w:color w:val="auto"/>
        </w:rPr>
        <w:t>、氟化氢、六价铬、铅、镉、汞、砷执行《环境空气质量标准》（</w:t>
      </w:r>
      <w:r>
        <w:rPr>
          <w:color w:val="auto"/>
        </w:rPr>
        <w:t>GB3095-2026</w:t>
      </w:r>
      <w:r>
        <w:rPr>
          <w:color w:val="auto"/>
        </w:rPr>
        <w:t>），</w:t>
      </w:r>
      <w:r>
        <w:rPr>
          <w:color w:val="auto"/>
        </w:rPr>
        <w:t>HCl</w:t>
      </w:r>
      <w:r>
        <w:rPr>
          <w:color w:val="auto"/>
        </w:rPr>
        <w:t>、</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、锰及其化合物等参照执行《环境影响评价技术导则</w:t>
      </w:r>
      <w:r>
        <w:rPr>
          <w:color w:val="auto"/>
        </w:rPr>
        <w:t xml:space="preserve"> </w:t>
      </w:r>
      <w:r>
        <w:rPr>
          <w:color w:val="auto"/>
        </w:rPr>
        <w:t>大气环境》（</w:t>
      </w:r>
      <w:r>
        <w:rPr>
          <w:color w:val="auto"/>
        </w:rPr>
        <w:t>HJ2.2-2018</w:t>
      </w:r>
      <w:r>
        <w:rPr>
          <w:color w:val="auto"/>
        </w:rPr>
        <w:t>）中附录</w:t>
      </w:r>
      <w:r>
        <w:rPr>
          <w:color w:val="auto"/>
        </w:rPr>
        <w:t>D</w:t>
      </w:r>
      <w:r>
        <w:rPr>
          <w:color w:val="auto"/>
        </w:rPr>
        <w:t>浓度参考限值；镍、</w:t>
      </w:r>
      <w:r>
        <w:rPr>
          <w:color w:val="auto"/>
        </w:rPr>
        <w:t>NMHC</w:t>
      </w:r>
      <w:r>
        <w:rPr>
          <w:color w:val="auto"/>
        </w:rPr>
        <w:t>参照执行《大气污染物综合排放标准详解》中的推荐值，二噁英类参照日本年平均浓度标准（</w:t>
      </w:r>
      <w:r>
        <w:rPr>
          <w:color w:val="auto"/>
        </w:rPr>
        <w:t>0.6pgTEQ/m</w:t>
      </w:r>
      <w:r>
        <w:rPr>
          <w:color w:val="auto"/>
          <w:vertAlign w:val="superscript"/>
        </w:rPr>
        <w:t>3</w:t>
      </w:r>
      <w:r>
        <w:rPr>
          <w:color w:val="auto"/>
        </w:rPr>
        <w:t>）评价。</w:t>
      </w:r>
    </w:p>
    <w:p w14:paraId="4AB6E3A0" w14:textId="77777777" w:rsidR="002E474C" w:rsidRDefault="00000000">
      <w:pPr>
        <w:pStyle w:val="A-z"/>
        <w:rPr>
          <w:color w:val="auto"/>
        </w:rPr>
      </w:pPr>
      <w:r>
        <w:rPr>
          <w:color w:val="auto"/>
        </w:rPr>
        <w:t>按照《环境影响评价技术导则</w:t>
      </w:r>
      <w:r>
        <w:rPr>
          <w:color w:val="auto"/>
          <w:lang w:val="en-US"/>
        </w:rPr>
        <w:t xml:space="preserve"> </w:t>
      </w:r>
      <w:r>
        <w:rPr>
          <w:color w:val="auto"/>
        </w:rPr>
        <w:t>大气环境》（</w:t>
      </w:r>
      <w:r>
        <w:rPr>
          <w:color w:val="auto"/>
        </w:rPr>
        <w:t>HJ2.2-2018</w:t>
      </w:r>
      <w:r>
        <w:rPr>
          <w:color w:val="auto"/>
        </w:rPr>
        <w:t>），对仅有</w:t>
      </w:r>
      <w:r>
        <w:rPr>
          <w:color w:val="auto"/>
        </w:rPr>
        <w:t>8h</w:t>
      </w:r>
      <w:r>
        <w:rPr>
          <w:color w:val="auto"/>
        </w:rPr>
        <w:t>平均质量浓度限值、日平均质量浓度限值或年平均质量浓度限值的，分别按</w:t>
      </w:r>
      <w:r>
        <w:rPr>
          <w:color w:val="auto"/>
        </w:rPr>
        <w:t>2</w:t>
      </w:r>
      <w:r>
        <w:rPr>
          <w:color w:val="auto"/>
        </w:rPr>
        <w:t>倍、</w:t>
      </w:r>
      <w:r>
        <w:rPr>
          <w:color w:val="auto"/>
        </w:rPr>
        <w:t>3</w:t>
      </w:r>
      <w:r>
        <w:rPr>
          <w:color w:val="auto"/>
        </w:rPr>
        <w:t>倍、</w:t>
      </w:r>
      <w:r>
        <w:rPr>
          <w:color w:val="auto"/>
        </w:rPr>
        <w:t>6</w:t>
      </w:r>
      <w:r>
        <w:rPr>
          <w:color w:val="auto"/>
        </w:rPr>
        <w:t>倍折算为</w:t>
      </w:r>
      <w:r>
        <w:rPr>
          <w:color w:val="auto"/>
        </w:rPr>
        <w:t>1h</w:t>
      </w:r>
      <w:r>
        <w:rPr>
          <w:color w:val="auto"/>
        </w:rPr>
        <w:t>平均质量浓度限值。</w:t>
      </w:r>
    </w:p>
    <w:p w14:paraId="65474E8F" w14:textId="77777777" w:rsidR="002E474C" w:rsidRDefault="00000000">
      <w:pPr>
        <w:pStyle w:val="A-z"/>
        <w:rPr>
          <w:color w:val="auto"/>
        </w:rPr>
      </w:pPr>
      <w:r>
        <w:rPr>
          <w:color w:val="auto"/>
        </w:rPr>
        <w:t>（</w:t>
      </w:r>
      <w:r>
        <w:rPr>
          <w:color w:val="auto"/>
        </w:rPr>
        <w:t>6</w:t>
      </w:r>
      <w:r>
        <w:rPr>
          <w:color w:val="auto"/>
        </w:rPr>
        <w:t>）评价方法</w:t>
      </w:r>
    </w:p>
    <w:p w14:paraId="7B9DB131" w14:textId="77777777" w:rsidR="002E474C" w:rsidRDefault="00000000">
      <w:pPr>
        <w:pStyle w:val="A-z"/>
        <w:rPr>
          <w:color w:val="auto"/>
        </w:rPr>
      </w:pPr>
      <w:r>
        <w:rPr>
          <w:color w:val="auto"/>
        </w:rPr>
        <w:t>评价方法为占标率法，对于超标的污染物，计算其超标倍数和超标率。占标率法如下：</w:t>
      </w:r>
    </w:p>
    <w:p w14:paraId="6BA39E8F" w14:textId="77777777" w:rsidR="002E474C" w:rsidRDefault="00000000">
      <w:pPr>
        <w:pStyle w:val="A-z"/>
        <w:jc w:val="center"/>
        <w:rPr>
          <w:color w:val="auto"/>
        </w:rPr>
      </w:pPr>
      <w:r>
        <w:rPr>
          <w:color w:val="auto"/>
        </w:rPr>
        <w:t>P</w:t>
      </w:r>
      <w:r>
        <w:rPr>
          <w:color w:val="auto"/>
          <w:vertAlign w:val="subscript"/>
        </w:rPr>
        <w:t>i</w:t>
      </w:r>
      <w:r>
        <w:rPr>
          <w:color w:val="auto"/>
        </w:rPr>
        <w:t>= C</w:t>
      </w:r>
      <w:r>
        <w:rPr>
          <w:color w:val="auto"/>
          <w:vertAlign w:val="subscript"/>
        </w:rPr>
        <w:t>i</w:t>
      </w:r>
      <w:r>
        <w:rPr>
          <w:color w:val="auto"/>
        </w:rPr>
        <w:t>/C</w:t>
      </w:r>
      <w:r>
        <w:rPr>
          <w:color w:val="auto"/>
          <w:vertAlign w:val="subscript"/>
        </w:rPr>
        <w:t>oi</w:t>
      </w:r>
      <w:r>
        <w:rPr>
          <w:color w:val="auto"/>
        </w:rPr>
        <w:t>×100%</w:t>
      </w:r>
    </w:p>
    <w:p w14:paraId="7F06B43B" w14:textId="77777777" w:rsidR="002E474C" w:rsidRDefault="00000000">
      <w:pPr>
        <w:pStyle w:val="A-z"/>
        <w:rPr>
          <w:color w:val="auto"/>
        </w:rPr>
      </w:pPr>
      <w:r>
        <w:rPr>
          <w:color w:val="auto"/>
        </w:rPr>
        <w:t>式中：</w:t>
      </w:r>
      <w:r>
        <w:rPr>
          <w:color w:val="auto"/>
        </w:rPr>
        <w:t>P</w:t>
      </w:r>
      <w:r>
        <w:rPr>
          <w:color w:val="auto"/>
          <w:vertAlign w:val="subscript"/>
        </w:rPr>
        <w:t>i</w:t>
      </w:r>
      <w:r>
        <w:rPr>
          <w:color w:val="auto"/>
        </w:rPr>
        <w:t>—</w:t>
      </w:r>
      <w:r>
        <w:rPr>
          <w:color w:val="auto"/>
        </w:rPr>
        <w:t>第</w:t>
      </w:r>
      <w:r>
        <w:rPr>
          <w:color w:val="auto"/>
        </w:rPr>
        <w:t>i</w:t>
      </w:r>
      <w:r>
        <w:rPr>
          <w:color w:val="auto"/>
        </w:rPr>
        <w:t>个污染物的最大地面空气质量浓度占标率，</w:t>
      </w:r>
      <w:r>
        <w:rPr>
          <w:color w:val="auto"/>
        </w:rPr>
        <w:t>%</w:t>
      </w:r>
      <w:r>
        <w:rPr>
          <w:color w:val="auto"/>
        </w:rPr>
        <w:t>；</w:t>
      </w:r>
    </w:p>
    <w:p w14:paraId="3F3D2502" w14:textId="77777777" w:rsidR="002E474C" w:rsidRDefault="00000000">
      <w:pPr>
        <w:pStyle w:val="A-z"/>
        <w:ind w:firstLineChars="500" w:firstLine="1200"/>
        <w:rPr>
          <w:color w:val="auto"/>
        </w:rPr>
      </w:pPr>
      <w:r>
        <w:rPr>
          <w:color w:val="auto"/>
        </w:rPr>
        <w:t>C</w:t>
      </w:r>
      <w:r>
        <w:rPr>
          <w:color w:val="auto"/>
          <w:vertAlign w:val="subscript"/>
        </w:rPr>
        <w:t>i</w:t>
      </w:r>
      <w:r>
        <w:rPr>
          <w:color w:val="auto"/>
        </w:rPr>
        <w:t>——</w:t>
      </w:r>
      <w:r>
        <w:rPr>
          <w:color w:val="auto"/>
        </w:rPr>
        <w:t>实测值；</w:t>
      </w:r>
    </w:p>
    <w:p w14:paraId="27C19505" w14:textId="77777777" w:rsidR="002E474C" w:rsidRDefault="00000000">
      <w:pPr>
        <w:pStyle w:val="A-z"/>
        <w:ind w:firstLineChars="500" w:firstLine="1200"/>
        <w:rPr>
          <w:color w:val="auto"/>
        </w:rPr>
      </w:pPr>
      <w:r>
        <w:rPr>
          <w:color w:val="auto"/>
        </w:rPr>
        <w:t>C</w:t>
      </w:r>
      <w:r>
        <w:rPr>
          <w:color w:val="auto"/>
          <w:vertAlign w:val="subscript"/>
        </w:rPr>
        <w:t>oi</w:t>
      </w:r>
      <w:r>
        <w:rPr>
          <w:color w:val="auto"/>
        </w:rPr>
        <w:t>——</w:t>
      </w:r>
      <w:r>
        <w:rPr>
          <w:color w:val="auto"/>
        </w:rPr>
        <w:t>项目评价标准。</w:t>
      </w:r>
    </w:p>
    <w:p w14:paraId="487EABBF" w14:textId="77777777" w:rsidR="002E474C" w:rsidRDefault="00000000">
      <w:pPr>
        <w:pStyle w:val="A-z"/>
        <w:rPr>
          <w:color w:val="auto"/>
        </w:rPr>
      </w:pPr>
      <w:r>
        <w:rPr>
          <w:color w:val="auto"/>
        </w:rPr>
        <w:t>（</w:t>
      </w:r>
      <w:r>
        <w:rPr>
          <w:color w:val="auto"/>
        </w:rPr>
        <w:t>6</w:t>
      </w:r>
      <w:r>
        <w:rPr>
          <w:color w:val="auto"/>
        </w:rPr>
        <w:t>）监测及评价结果</w:t>
      </w:r>
    </w:p>
    <w:p w14:paraId="3E8F8A70" w14:textId="77777777" w:rsidR="002E474C" w:rsidRDefault="00000000">
      <w:pPr>
        <w:pStyle w:val="A-z"/>
        <w:rPr>
          <w:color w:val="auto"/>
        </w:rPr>
      </w:pPr>
      <w:r>
        <w:rPr>
          <w:color w:val="auto"/>
        </w:rPr>
        <w:t>项目所在区域特征污染物的监测及评价结果，见表</w:t>
      </w:r>
      <w:r>
        <w:rPr>
          <w:color w:val="auto"/>
        </w:rPr>
        <w:t>4.3-4</w:t>
      </w:r>
      <w:r>
        <w:rPr>
          <w:color w:val="auto"/>
        </w:rPr>
        <w:t>。</w:t>
      </w:r>
    </w:p>
    <w:p w14:paraId="23BED28A" w14:textId="77777777" w:rsidR="002E474C" w:rsidRDefault="00000000">
      <w:pPr>
        <w:pStyle w:val="A--"/>
        <w:rPr>
          <w:color w:val="auto"/>
        </w:rPr>
      </w:pPr>
      <w:r>
        <w:rPr>
          <w:color w:val="auto"/>
        </w:rPr>
        <w:t>表</w:t>
      </w:r>
      <w:r>
        <w:rPr>
          <w:color w:val="auto"/>
        </w:rPr>
        <w:t xml:space="preserve">4.3-4    </w:t>
      </w:r>
      <w:r>
        <w:rPr>
          <w:color w:val="auto"/>
        </w:rPr>
        <w:t>项目特征污染物监测及评价结果汇总表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8"/>
        <w:gridCol w:w="1349"/>
        <w:gridCol w:w="919"/>
        <w:gridCol w:w="1704"/>
        <w:gridCol w:w="1565"/>
        <w:gridCol w:w="649"/>
        <w:gridCol w:w="704"/>
        <w:gridCol w:w="488"/>
      </w:tblGrid>
      <w:tr w:rsidR="002E474C" w14:paraId="57BE5525" w14:textId="77777777">
        <w:trPr>
          <w:jc w:val="center"/>
        </w:trPr>
        <w:tc>
          <w:tcPr>
            <w:tcW w:w="554" w:type="pct"/>
            <w:shd w:val="clear" w:color="auto" w:fill="auto"/>
            <w:vAlign w:val="center"/>
          </w:tcPr>
          <w:p w14:paraId="6A9FC887" w14:textId="77777777" w:rsidR="002E474C" w:rsidRDefault="00000000">
            <w:pPr>
              <w:pStyle w:val="A-"/>
              <w:rPr>
                <w:snapToGrid w:val="0"/>
                <w:u w:color="000000"/>
                <w:lang w:bidi="en-US"/>
              </w:rPr>
            </w:pPr>
            <w:r>
              <w:rPr>
                <w:snapToGrid w:val="0"/>
                <w:u w:color="000000"/>
                <w:lang w:bidi="en-US"/>
              </w:rPr>
              <w:t>监测点位</w:t>
            </w:r>
          </w:p>
        </w:tc>
        <w:tc>
          <w:tcPr>
            <w:tcW w:w="813" w:type="pct"/>
            <w:shd w:val="clear" w:color="auto" w:fill="auto"/>
            <w:vAlign w:val="center"/>
          </w:tcPr>
          <w:p w14:paraId="0EDCDF6D" w14:textId="77777777" w:rsidR="002E474C" w:rsidRDefault="00000000">
            <w:pPr>
              <w:pStyle w:val="A-"/>
              <w:rPr>
                <w:snapToGrid w:val="0"/>
                <w:u w:color="000000"/>
                <w:lang w:bidi="en-US"/>
              </w:rPr>
            </w:pPr>
            <w:r>
              <w:rPr>
                <w:snapToGrid w:val="0"/>
                <w:u w:color="000000"/>
                <w:lang w:bidi="en-US"/>
              </w:rPr>
              <w:t>监测项目</w:t>
            </w:r>
          </w:p>
        </w:tc>
        <w:tc>
          <w:tcPr>
            <w:tcW w:w="554" w:type="pct"/>
            <w:shd w:val="clear" w:color="auto" w:fill="auto"/>
            <w:vAlign w:val="center"/>
          </w:tcPr>
          <w:p w14:paraId="4A742027" w14:textId="77777777" w:rsidR="002E474C" w:rsidRDefault="00000000">
            <w:pPr>
              <w:pStyle w:val="A-"/>
              <w:rPr>
                <w:snapToGrid w:val="0"/>
                <w:u w:color="000000"/>
                <w:lang w:bidi="en-US"/>
              </w:rPr>
            </w:pPr>
            <w:r>
              <w:rPr>
                <w:snapToGrid w:val="0"/>
                <w:u w:color="000000"/>
                <w:lang w:bidi="en-US"/>
              </w:rPr>
              <w:t>取值类型</w:t>
            </w:r>
          </w:p>
        </w:tc>
        <w:tc>
          <w:tcPr>
            <w:tcW w:w="1027" w:type="pct"/>
            <w:shd w:val="clear" w:color="auto" w:fill="auto"/>
            <w:vAlign w:val="center"/>
          </w:tcPr>
          <w:p w14:paraId="640263EA" w14:textId="77777777" w:rsidR="002E474C" w:rsidRDefault="00000000">
            <w:pPr>
              <w:pStyle w:val="A-"/>
              <w:rPr>
                <w:snapToGrid w:val="0"/>
                <w:u w:color="000000"/>
                <w:lang w:bidi="en-US"/>
              </w:rPr>
            </w:pPr>
            <w:r>
              <w:rPr>
                <w:snapToGrid w:val="0"/>
                <w:u w:color="000000"/>
                <w:lang w:bidi="en-US"/>
              </w:rPr>
              <w:t>评价标准</w:t>
            </w:r>
          </w:p>
          <w:p w14:paraId="4ABFE97D" w14:textId="77777777" w:rsidR="002E474C" w:rsidRDefault="00000000">
            <w:pPr>
              <w:pStyle w:val="A-"/>
              <w:rPr>
                <w:snapToGrid w:val="0"/>
                <w:u w:color="000000"/>
                <w:lang w:bidi="en-US"/>
              </w:rPr>
            </w:pPr>
            <w:r>
              <w:rPr>
                <w:snapToGrid w:val="0"/>
                <w:u w:color="000000"/>
                <w:lang w:bidi="en-US"/>
              </w:rPr>
              <w:t>(ug/m³)</w:t>
            </w:r>
          </w:p>
        </w:tc>
        <w:tc>
          <w:tcPr>
            <w:tcW w:w="943" w:type="pct"/>
            <w:shd w:val="clear" w:color="auto" w:fill="auto"/>
            <w:vAlign w:val="center"/>
          </w:tcPr>
          <w:p w14:paraId="3F6D4650" w14:textId="77777777" w:rsidR="002E474C" w:rsidRDefault="00000000">
            <w:pPr>
              <w:pStyle w:val="A-"/>
              <w:rPr>
                <w:snapToGrid w:val="0"/>
                <w:u w:color="000000"/>
                <w:lang w:bidi="en-US"/>
              </w:rPr>
            </w:pPr>
            <w:r>
              <w:rPr>
                <w:snapToGrid w:val="0"/>
                <w:u w:color="000000"/>
                <w:lang w:bidi="en-US"/>
              </w:rPr>
              <w:t>浓度范围</w:t>
            </w:r>
          </w:p>
          <w:p w14:paraId="5E2F4619" w14:textId="77777777" w:rsidR="002E474C" w:rsidRDefault="00000000">
            <w:pPr>
              <w:pStyle w:val="A-"/>
              <w:rPr>
                <w:snapToGrid w:val="0"/>
                <w:u w:color="000000"/>
                <w:lang w:bidi="en-US"/>
              </w:rPr>
            </w:pPr>
            <w:r>
              <w:rPr>
                <w:snapToGrid w:val="0"/>
                <w:u w:color="000000"/>
                <w:lang w:bidi="en-US"/>
              </w:rPr>
              <w:t>(ug/m³)</w:t>
            </w:r>
          </w:p>
        </w:tc>
        <w:tc>
          <w:tcPr>
            <w:tcW w:w="391" w:type="pct"/>
            <w:shd w:val="clear" w:color="auto" w:fill="auto"/>
            <w:vAlign w:val="center"/>
          </w:tcPr>
          <w:p w14:paraId="56A12185" w14:textId="77777777" w:rsidR="002E474C" w:rsidRDefault="00000000">
            <w:pPr>
              <w:pStyle w:val="A-"/>
              <w:rPr>
                <w:snapToGrid w:val="0"/>
                <w:u w:color="000000"/>
                <w:lang w:bidi="en-US"/>
              </w:rPr>
            </w:pPr>
            <w:r>
              <w:rPr>
                <w:snapToGrid w:val="0"/>
                <w:u w:color="000000"/>
                <w:lang w:bidi="en-US"/>
              </w:rPr>
              <w:t>最大</w:t>
            </w:r>
            <w:r>
              <w:rPr>
                <w:snapToGrid w:val="0"/>
                <w:u w:color="000000"/>
                <w:lang w:bidi="en-US"/>
              </w:rPr>
              <w:t>P</w:t>
            </w:r>
            <w:r>
              <w:rPr>
                <w:snapToGrid w:val="0"/>
                <w:u w:color="000000"/>
                <w:vertAlign w:val="subscript"/>
                <w:lang w:bidi="en-US"/>
              </w:rPr>
              <w:t>i</w:t>
            </w:r>
            <w:r>
              <w:rPr>
                <w:snapToGrid w:val="0"/>
                <w:u w:color="000000"/>
                <w:lang w:bidi="en-US"/>
              </w:rPr>
              <w:t>(%)</w:t>
            </w:r>
          </w:p>
        </w:tc>
        <w:tc>
          <w:tcPr>
            <w:tcW w:w="424" w:type="pct"/>
            <w:shd w:val="clear" w:color="auto" w:fill="auto"/>
            <w:vAlign w:val="center"/>
          </w:tcPr>
          <w:p w14:paraId="7E8FCF7E" w14:textId="77777777" w:rsidR="002E474C" w:rsidRDefault="00000000">
            <w:pPr>
              <w:pStyle w:val="A-"/>
              <w:rPr>
                <w:snapToGrid w:val="0"/>
                <w:u w:color="000000"/>
                <w:lang w:bidi="en-US"/>
              </w:rPr>
            </w:pPr>
            <w:r>
              <w:rPr>
                <w:snapToGrid w:val="0"/>
                <w:u w:color="000000"/>
                <w:lang w:bidi="en-US"/>
              </w:rPr>
              <w:t>超标率</w:t>
            </w:r>
          </w:p>
          <w:p w14:paraId="6E180F5B" w14:textId="77777777" w:rsidR="002E474C" w:rsidRDefault="00000000">
            <w:pPr>
              <w:pStyle w:val="A-"/>
              <w:rPr>
                <w:snapToGrid w:val="0"/>
                <w:u w:color="000000"/>
                <w:lang w:bidi="en-US"/>
              </w:rPr>
            </w:pPr>
            <w:r>
              <w:rPr>
                <w:snapToGrid w:val="0"/>
                <w:u w:color="000000"/>
                <w:lang w:bidi="en-US"/>
              </w:rPr>
              <w:t>(%)</w:t>
            </w:r>
          </w:p>
        </w:tc>
        <w:tc>
          <w:tcPr>
            <w:tcW w:w="294" w:type="pct"/>
            <w:shd w:val="clear" w:color="auto" w:fill="auto"/>
            <w:vAlign w:val="center"/>
          </w:tcPr>
          <w:p w14:paraId="2C11F631" w14:textId="77777777" w:rsidR="002E474C" w:rsidRDefault="00000000">
            <w:pPr>
              <w:pStyle w:val="A-"/>
              <w:rPr>
                <w:snapToGrid w:val="0"/>
                <w:u w:color="000000"/>
                <w:lang w:bidi="en-US"/>
              </w:rPr>
            </w:pPr>
            <w:r>
              <w:rPr>
                <w:snapToGrid w:val="0"/>
                <w:u w:color="000000"/>
                <w:lang w:bidi="en-US"/>
              </w:rPr>
              <w:t>达标</w:t>
            </w:r>
          </w:p>
          <w:p w14:paraId="481E9170" w14:textId="77777777" w:rsidR="002E474C" w:rsidRDefault="00000000">
            <w:pPr>
              <w:pStyle w:val="A-"/>
              <w:rPr>
                <w:snapToGrid w:val="0"/>
                <w:u w:color="000000"/>
                <w:lang w:bidi="en-US"/>
              </w:rPr>
            </w:pPr>
            <w:r>
              <w:rPr>
                <w:snapToGrid w:val="0"/>
                <w:u w:color="000000"/>
                <w:lang w:bidi="en-US"/>
              </w:rPr>
              <w:t>情况</w:t>
            </w:r>
          </w:p>
        </w:tc>
      </w:tr>
      <w:tr w:rsidR="002E474C" w14:paraId="18977F89" w14:textId="77777777">
        <w:trPr>
          <w:jc w:val="center"/>
        </w:trPr>
        <w:tc>
          <w:tcPr>
            <w:tcW w:w="554" w:type="pct"/>
            <w:vMerge w:val="restart"/>
            <w:shd w:val="clear" w:color="auto" w:fill="auto"/>
            <w:vAlign w:val="center"/>
          </w:tcPr>
          <w:p w14:paraId="3BD55604" w14:textId="77777777" w:rsidR="002E474C" w:rsidRDefault="00000000">
            <w:pPr>
              <w:pStyle w:val="A-"/>
              <w:rPr>
                <w:snapToGrid w:val="0"/>
                <w:u w:color="000000"/>
                <w:lang w:bidi="en-US"/>
              </w:rPr>
            </w:pPr>
            <w:r>
              <w:rPr>
                <w:snapToGrid w:val="0"/>
                <w:u w:color="000000"/>
                <w:lang w:bidi="en-US"/>
              </w:rPr>
              <w:t>G1</w:t>
            </w:r>
          </w:p>
        </w:tc>
        <w:tc>
          <w:tcPr>
            <w:tcW w:w="813" w:type="pct"/>
            <w:shd w:val="clear" w:color="auto" w:fill="auto"/>
            <w:vAlign w:val="center"/>
          </w:tcPr>
          <w:p w14:paraId="0251AEAC" w14:textId="77777777" w:rsidR="002E474C" w:rsidRDefault="00000000">
            <w:pPr>
              <w:pStyle w:val="A-"/>
              <w:rPr>
                <w:snapToGrid w:val="0"/>
                <w:u w:color="000000"/>
                <w:lang w:bidi="en-US"/>
              </w:rPr>
            </w:pPr>
            <w:r>
              <w:t>SO</w:t>
            </w:r>
            <w:r>
              <w:rPr>
                <w:vertAlign w:val="subscript"/>
              </w:rPr>
              <w:t>2</w:t>
            </w:r>
          </w:p>
        </w:tc>
        <w:tc>
          <w:tcPr>
            <w:tcW w:w="554" w:type="pct"/>
            <w:shd w:val="clear" w:color="auto" w:fill="auto"/>
          </w:tcPr>
          <w:p w14:paraId="12A6C073"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2231A598" w14:textId="77777777" w:rsidR="002E474C" w:rsidRDefault="00000000">
            <w:pPr>
              <w:pStyle w:val="A-"/>
              <w:rPr>
                <w:snapToGrid w:val="0"/>
                <w:u w:color="000000"/>
                <w:lang w:bidi="en-US"/>
              </w:rPr>
            </w:pPr>
            <w:r>
              <w:rPr>
                <w:rStyle w:val="afffff5"/>
              </w:rPr>
              <w:t>150</w:t>
            </w:r>
          </w:p>
        </w:tc>
        <w:tc>
          <w:tcPr>
            <w:tcW w:w="943" w:type="pct"/>
            <w:shd w:val="clear" w:color="auto" w:fill="auto"/>
            <w:vAlign w:val="center"/>
          </w:tcPr>
          <w:p w14:paraId="65AA69F8" w14:textId="77777777" w:rsidR="002E474C" w:rsidRDefault="00000000">
            <w:pPr>
              <w:pStyle w:val="A-"/>
              <w:rPr>
                <w:snapToGrid w:val="0"/>
                <w:u w:color="000000"/>
                <w:lang w:bidi="en-US"/>
              </w:rPr>
            </w:pPr>
            <w:r>
              <w:rPr>
                <w:snapToGrid w:val="0"/>
                <w:u w:color="000000"/>
                <w:lang w:bidi="en-US"/>
              </w:rPr>
              <w:t>11</w:t>
            </w:r>
            <w:r>
              <w:rPr>
                <w:snapToGrid w:val="0"/>
                <w:u w:color="000000"/>
                <w:lang w:bidi="en-US"/>
              </w:rPr>
              <w:t>～</w:t>
            </w:r>
            <w:r>
              <w:rPr>
                <w:snapToGrid w:val="0"/>
                <w:u w:color="000000"/>
                <w:lang w:bidi="en-US"/>
              </w:rPr>
              <w:t>16</w:t>
            </w:r>
          </w:p>
        </w:tc>
        <w:tc>
          <w:tcPr>
            <w:tcW w:w="391" w:type="pct"/>
            <w:shd w:val="clear" w:color="auto" w:fill="auto"/>
            <w:vAlign w:val="center"/>
          </w:tcPr>
          <w:p w14:paraId="55B0404F" w14:textId="77777777" w:rsidR="002E474C" w:rsidRDefault="00000000">
            <w:pPr>
              <w:pStyle w:val="A-"/>
              <w:rPr>
                <w:snapToGrid w:val="0"/>
                <w:u w:color="000000"/>
                <w:lang w:bidi="en-US"/>
              </w:rPr>
            </w:pPr>
            <w:r>
              <w:rPr>
                <w:snapToGrid w:val="0"/>
                <w:u w:color="000000"/>
                <w:lang w:bidi="en-US"/>
              </w:rPr>
              <w:t>10.67</w:t>
            </w:r>
          </w:p>
        </w:tc>
        <w:tc>
          <w:tcPr>
            <w:tcW w:w="424" w:type="pct"/>
            <w:shd w:val="clear" w:color="auto" w:fill="auto"/>
          </w:tcPr>
          <w:p w14:paraId="65A00225"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467F316A" w14:textId="77777777" w:rsidR="002E474C" w:rsidRDefault="00000000">
            <w:pPr>
              <w:pStyle w:val="A-"/>
              <w:rPr>
                <w:snapToGrid w:val="0"/>
                <w:u w:color="000000"/>
                <w:lang w:bidi="en-US"/>
              </w:rPr>
            </w:pPr>
            <w:r>
              <w:rPr>
                <w:snapToGrid w:val="0"/>
                <w:u w:color="000000"/>
                <w:lang w:bidi="en-US"/>
              </w:rPr>
              <w:t>达标</w:t>
            </w:r>
          </w:p>
        </w:tc>
      </w:tr>
      <w:tr w:rsidR="002E474C" w14:paraId="0E14AACD" w14:textId="77777777">
        <w:trPr>
          <w:jc w:val="center"/>
        </w:trPr>
        <w:tc>
          <w:tcPr>
            <w:tcW w:w="554" w:type="pct"/>
            <w:vMerge/>
            <w:shd w:val="clear" w:color="auto" w:fill="auto"/>
            <w:vAlign w:val="center"/>
          </w:tcPr>
          <w:p w14:paraId="07045DF3" w14:textId="77777777" w:rsidR="002E474C" w:rsidRDefault="002E474C">
            <w:pPr>
              <w:pStyle w:val="A-"/>
              <w:rPr>
                <w:snapToGrid w:val="0"/>
                <w:u w:color="000000"/>
                <w:lang w:bidi="en-US"/>
              </w:rPr>
            </w:pPr>
          </w:p>
        </w:tc>
        <w:tc>
          <w:tcPr>
            <w:tcW w:w="813" w:type="pct"/>
            <w:shd w:val="clear" w:color="auto" w:fill="auto"/>
            <w:vAlign w:val="center"/>
          </w:tcPr>
          <w:p w14:paraId="4D94E913" w14:textId="77777777" w:rsidR="002E474C" w:rsidRDefault="00000000">
            <w:pPr>
              <w:pStyle w:val="A-"/>
              <w:rPr>
                <w:snapToGrid w:val="0"/>
                <w:u w:color="000000"/>
                <w:lang w:bidi="en-US"/>
              </w:rPr>
            </w:pPr>
            <w:r>
              <w:t>NO</w:t>
            </w:r>
            <w:r>
              <w:rPr>
                <w:vertAlign w:val="subscript"/>
              </w:rPr>
              <w:t>x</w:t>
            </w:r>
          </w:p>
        </w:tc>
        <w:tc>
          <w:tcPr>
            <w:tcW w:w="554" w:type="pct"/>
            <w:shd w:val="clear" w:color="auto" w:fill="auto"/>
          </w:tcPr>
          <w:p w14:paraId="64BE67C6"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77A00A04" w14:textId="77777777" w:rsidR="002E474C" w:rsidRDefault="00000000">
            <w:pPr>
              <w:pStyle w:val="A-"/>
              <w:rPr>
                <w:snapToGrid w:val="0"/>
                <w:u w:color="000000"/>
                <w:lang w:bidi="en-US"/>
              </w:rPr>
            </w:pPr>
            <w:r>
              <w:rPr>
                <w:rStyle w:val="afffff5"/>
              </w:rPr>
              <w:t>100</w:t>
            </w:r>
          </w:p>
        </w:tc>
        <w:tc>
          <w:tcPr>
            <w:tcW w:w="943" w:type="pct"/>
            <w:shd w:val="clear" w:color="auto" w:fill="auto"/>
            <w:vAlign w:val="center"/>
          </w:tcPr>
          <w:p w14:paraId="51AD3BA8" w14:textId="77777777" w:rsidR="002E474C" w:rsidRDefault="00000000">
            <w:pPr>
              <w:pStyle w:val="A-"/>
              <w:rPr>
                <w:snapToGrid w:val="0"/>
                <w:u w:color="000000"/>
                <w:lang w:bidi="en-US"/>
              </w:rPr>
            </w:pPr>
            <w:r>
              <w:rPr>
                <w:snapToGrid w:val="0"/>
                <w:u w:color="000000"/>
                <w:lang w:bidi="en-US"/>
              </w:rPr>
              <w:t>13</w:t>
            </w:r>
            <w:r>
              <w:rPr>
                <w:snapToGrid w:val="0"/>
                <w:u w:color="000000"/>
                <w:lang w:bidi="en-US"/>
              </w:rPr>
              <w:t>～</w:t>
            </w:r>
            <w:r>
              <w:rPr>
                <w:snapToGrid w:val="0"/>
                <w:u w:color="000000"/>
                <w:lang w:bidi="en-US"/>
              </w:rPr>
              <w:t>18</w:t>
            </w:r>
          </w:p>
        </w:tc>
        <w:tc>
          <w:tcPr>
            <w:tcW w:w="391" w:type="pct"/>
            <w:shd w:val="clear" w:color="auto" w:fill="auto"/>
            <w:vAlign w:val="center"/>
          </w:tcPr>
          <w:p w14:paraId="7DD66DC6" w14:textId="77777777" w:rsidR="002E474C" w:rsidRDefault="00000000">
            <w:pPr>
              <w:pStyle w:val="A-"/>
              <w:rPr>
                <w:snapToGrid w:val="0"/>
                <w:u w:color="000000"/>
                <w:lang w:bidi="en-US"/>
              </w:rPr>
            </w:pPr>
            <w:r>
              <w:rPr>
                <w:snapToGrid w:val="0"/>
                <w:u w:color="000000"/>
                <w:lang w:bidi="en-US"/>
              </w:rPr>
              <w:t>18</w:t>
            </w:r>
          </w:p>
        </w:tc>
        <w:tc>
          <w:tcPr>
            <w:tcW w:w="424" w:type="pct"/>
            <w:shd w:val="clear" w:color="auto" w:fill="auto"/>
          </w:tcPr>
          <w:p w14:paraId="263E4BA7"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EE90FEC" w14:textId="77777777" w:rsidR="002E474C" w:rsidRDefault="00000000">
            <w:pPr>
              <w:pStyle w:val="A-"/>
              <w:rPr>
                <w:snapToGrid w:val="0"/>
                <w:u w:color="000000"/>
                <w:lang w:bidi="en-US"/>
              </w:rPr>
            </w:pPr>
            <w:r>
              <w:rPr>
                <w:snapToGrid w:val="0"/>
                <w:u w:color="000000"/>
                <w:lang w:bidi="en-US"/>
              </w:rPr>
              <w:t>达标</w:t>
            </w:r>
          </w:p>
        </w:tc>
      </w:tr>
      <w:tr w:rsidR="002E474C" w14:paraId="3CA14BE1" w14:textId="77777777">
        <w:trPr>
          <w:jc w:val="center"/>
        </w:trPr>
        <w:tc>
          <w:tcPr>
            <w:tcW w:w="554" w:type="pct"/>
            <w:vMerge/>
            <w:shd w:val="clear" w:color="auto" w:fill="auto"/>
            <w:vAlign w:val="center"/>
          </w:tcPr>
          <w:p w14:paraId="49E93AB0" w14:textId="77777777" w:rsidR="002E474C" w:rsidRDefault="002E474C">
            <w:pPr>
              <w:pStyle w:val="A-"/>
              <w:rPr>
                <w:snapToGrid w:val="0"/>
                <w:u w:color="000000"/>
                <w:lang w:bidi="en-US"/>
              </w:rPr>
            </w:pPr>
          </w:p>
        </w:tc>
        <w:tc>
          <w:tcPr>
            <w:tcW w:w="813" w:type="pct"/>
            <w:shd w:val="clear" w:color="auto" w:fill="auto"/>
            <w:vAlign w:val="center"/>
          </w:tcPr>
          <w:p w14:paraId="137D3EF8" w14:textId="77777777" w:rsidR="002E474C" w:rsidRDefault="00000000">
            <w:pPr>
              <w:pStyle w:val="A-"/>
              <w:rPr>
                <w:snapToGrid w:val="0"/>
                <w:u w:color="000000"/>
                <w:lang w:bidi="en-US"/>
              </w:rPr>
            </w:pPr>
            <w:r>
              <w:t>PM</w:t>
            </w:r>
            <w:r>
              <w:rPr>
                <w:vertAlign w:val="subscript"/>
              </w:rPr>
              <w:t>10</w:t>
            </w:r>
          </w:p>
        </w:tc>
        <w:tc>
          <w:tcPr>
            <w:tcW w:w="554" w:type="pct"/>
            <w:shd w:val="clear" w:color="auto" w:fill="auto"/>
          </w:tcPr>
          <w:p w14:paraId="46E55914"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67973BD0" w14:textId="77777777" w:rsidR="002E474C" w:rsidRDefault="00000000">
            <w:pPr>
              <w:pStyle w:val="A-"/>
              <w:rPr>
                <w:snapToGrid w:val="0"/>
                <w:u w:color="000000"/>
                <w:lang w:bidi="en-US"/>
              </w:rPr>
            </w:pPr>
            <w:r>
              <w:rPr>
                <w:rStyle w:val="afffff5"/>
              </w:rPr>
              <w:t>120</w:t>
            </w:r>
          </w:p>
        </w:tc>
        <w:tc>
          <w:tcPr>
            <w:tcW w:w="943" w:type="pct"/>
            <w:shd w:val="clear" w:color="auto" w:fill="auto"/>
            <w:vAlign w:val="center"/>
          </w:tcPr>
          <w:p w14:paraId="2FDE9BD1" w14:textId="77777777" w:rsidR="002E474C" w:rsidRDefault="00000000">
            <w:pPr>
              <w:pStyle w:val="A-"/>
              <w:rPr>
                <w:snapToGrid w:val="0"/>
                <w:u w:color="000000"/>
                <w:lang w:bidi="en-US"/>
              </w:rPr>
            </w:pPr>
            <w:r>
              <w:rPr>
                <w:snapToGrid w:val="0"/>
                <w:u w:color="000000"/>
                <w:lang w:bidi="en-US"/>
              </w:rPr>
              <w:t>92</w:t>
            </w:r>
            <w:r>
              <w:rPr>
                <w:snapToGrid w:val="0"/>
                <w:u w:color="000000"/>
                <w:lang w:bidi="en-US"/>
              </w:rPr>
              <w:t>～</w:t>
            </w:r>
            <w:r>
              <w:rPr>
                <w:snapToGrid w:val="0"/>
                <w:u w:color="000000"/>
                <w:lang w:bidi="en-US"/>
              </w:rPr>
              <w:t>113</w:t>
            </w:r>
          </w:p>
        </w:tc>
        <w:tc>
          <w:tcPr>
            <w:tcW w:w="391" w:type="pct"/>
            <w:shd w:val="clear" w:color="auto" w:fill="auto"/>
            <w:vAlign w:val="center"/>
          </w:tcPr>
          <w:p w14:paraId="0A0C6111" w14:textId="77777777" w:rsidR="002E474C" w:rsidRDefault="00000000">
            <w:pPr>
              <w:pStyle w:val="A-"/>
              <w:rPr>
                <w:snapToGrid w:val="0"/>
                <w:u w:color="000000"/>
                <w:lang w:bidi="en-US"/>
              </w:rPr>
            </w:pPr>
            <w:r>
              <w:rPr>
                <w:snapToGrid w:val="0"/>
                <w:u w:color="000000"/>
                <w:lang w:bidi="en-US"/>
              </w:rPr>
              <w:t>94.17</w:t>
            </w:r>
          </w:p>
        </w:tc>
        <w:tc>
          <w:tcPr>
            <w:tcW w:w="424" w:type="pct"/>
            <w:shd w:val="clear" w:color="auto" w:fill="auto"/>
          </w:tcPr>
          <w:p w14:paraId="17F48F3D"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1C27C445" w14:textId="77777777" w:rsidR="002E474C" w:rsidRDefault="00000000">
            <w:pPr>
              <w:pStyle w:val="A-"/>
              <w:rPr>
                <w:snapToGrid w:val="0"/>
                <w:u w:color="000000"/>
                <w:lang w:bidi="en-US"/>
              </w:rPr>
            </w:pPr>
            <w:r>
              <w:rPr>
                <w:snapToGrid w:val="0"/>
                <w:u w:color="000000"/>
                <w:lang w:bidi="en-US"/>
              </w:rPr>
              <w:t>达标</w:t>
            </w:r>
          </w:p>
        </w:tc>
      </w:tr>
      <w:tr w:rsidR="002E474C" w14:paraId="000F52EA" w14:textId="77777777">
        <w:trPr>
          <w:jc w:val="center"/>
        </w:trPr>
        <w:tc>
          <w:tcPr>
            <w:tcW w:w="554" w:type="pct"/>
            <w:vMerge/>
            <w:shd w:val="clear" w:color="auto" w:fill="auto"/>
            <w:vAlign w:val="center"/>
          </w:tcPr>
          <w:p w14:paraId="12E8D527" w14:textId="77777777" w:rsidR="002E474C" w:rsidRDefault="002E474C">
            <w:pPr>
              <w:pStyle w:val="A-"/>
              <w:rPr>
                <w:snapToGrid w:val="0"/>
                <w:u w:color="000000"/>
                <w:lang w:bidi="en-US"/>
              </w:rPr>
            </w:pPr>
          </w:p>
        </w:tc>
        <w:tc>
          <w:tcPr>
            <w:tcW w:w="813" w:type="pct"/>
            <w:shd w:val="clear" w:color="auto" w:fill="auto"/>
            <w:vAlign w:val="center"/>
          </w:tcPr>
          <w:p w14:paraId="0945E78D" w14:textId="77777777" w:rsidR="002E474C" w:rsidRDefault="00000000">
            <w:pPr>
              <w:pStyle w:val="A-"/>
              <w:rPr>
                <w:snapToGrid w:val="0"/>
                <w:u w:color="000000"/>
                <w:lang w:bidi="en-US"/>
              </w:rPr>
            </w:pPr>
            <w:r>
              <w:t>TSP</w:t>
            </w:r>
          </w:p>
        </w:tc>
        <w:tc>
          <w:tcPr>
            <w:tcW w:w="554" w:type="pct"/>
            <w:shd w:val="clear" w:color="auto" w:fill="auto"/>
          </w:tcPr>
          <w:p w14:paraId="59D0D068"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3AD80ADC" w14:textId="77777777" w:rsidR="002E474C" w:rsidRDefault="00000000">
            <w:pPr>
              <w:pStyle w:val="A-"/>
              <w:rPr>
                <w:snapToGrid w:val="0"/>
                <w:u w:color="000000"/>
                <w:lang w:bidi="en-US"/>
              </w:rPr>
            </w:pPr>
            <w:r>
              <w:rPr>
                <w:rStyle w:val="afffff5"/>
              </w:rPr>
              <w:t>300</w:t>
            </w:r>
          </w:p>
        </w:tc>
        <w:tc>
          <w:tcPr>
            <w:tcW w:w="943" w:type="pct"/>
            <w:shd w:val="clear" w:color="auto" w:fill="auto"/>
            <w:vAlign w:val="center"/>
          </w:tcPr>
          <w:p w14:paraId="0D25750A" w14:textId="77777777" w:rsidR="002E474C" w:rsidRDefault="00000000">
            <w:pPr>
              <w:pStyle w:val="A-"/>
              <w:rPr>
                <w:snapToGrid w:val="0"/>
                <w:u w:color="000000"/>
                <w:lang w:bidi="en-US"/>
              </w:rPr>
            </w:pPr>
            <w:r>
              <w:rPr>
                <w:snapToGrid w:val="0"/>
                <w:u w:color="000000"/>
                <w:lang w:bidi="en-US"/>
              </w:rPr>
              <w:t>211</w:t>
            </w:r>
            <w:r>
              <w:rPr>
                <w:snapToGrid w:val="0"/>
                <w:u w:color="000000"/>
                <w:lang w:bidi="en-US"/>
              </w:rPr>
              <w:t>～</w:t>
            </w:r>
            <w:r>
              <w:rPr>
                <w:snapToGrid w:val="0"/>
                <w:u w:color="000000"/>
                <w:lang w:bidi="en-US"/>
              </w:rPr>
              <w:t>240</w:t>
            </w:r>
          </w:p>
        </w:tc>
        <w:tc>
          <w:tcPr>
            <w:tcW w:w="391" w:type="pct"/>
            <w:shd w:val="clear" w:color="auto" w:fill="auto"/>
            <w:vAlign w:val="center"/>
          </w:tcPr>
          <w:p w14:paraId="7107AF4F" w14:textId="77777777" w:rsidR="002E474C" w:rsidRDefault="00000000">
            <w:pPr>
              <w:pStyle w:val="A-"/>
              <w:rPr>
                <w:snapToGrid w:val="0"/>
                <w:u w:color="000000"/>
                <w:lang w:bidi="en-US"/>
              </w:rPr>
            </w:pPr>
            <w:r>
              <w:rPr>
                <w:snapToGrid w:val="0"/>
                <w:u w:color="000000"/>
                <w:lang w:bidi="en-US"/>
              </w:rPr>
              <w:t>80</w:t>
            </w:r>
          </w:p>
        </w:tc>
        <w:tc>
          <w:tcPr>
            <w:tcW w:w="424" w:type="pct"/>
            <w:shd w:val="clear" w:color="auto" w:fill="auto"/>
          </w:tcPr>
          <w:p w14:paraId="4EDD701F"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20232A02" w14:textId="77777777" w:rsidR="002E474C" w:rsidRDefault="00000000">
            <w:pPr>
              <w:pStyle w:val="A-"/>
              <w:rPr>
                <w:snapToGrid w:val="0"/>
                <w:u w:color="000000"/>
                <w:lang w:bidi="en-US"/>
              </w:rPr>
            </w:pPr>
            <w:r>
              <w:rPr>
                <w:snapToGrid w:val="0"/>
                <w:u w:color="000000"/>
                <w:lang w:bidi="en-US"/>
              </w:rPr>
              <w:t>达标</w:t>
            </w:r>
          </w:p>
        </w:tc>
      </w:tr>
      <w:tr w:rsidR="002E474C" w14:paraId="15572211" w14:textId="77777777">
        <w:trPr>
          <w:jc w:val="center"/>
        </w:trPr>
        <w:tc>
          <w:tcPr>
            <w:tcW w:w="554" w:type="pct"/>
            <w:vMerge/>
            <w:shd w:val="clear" w:color="auto" w:fill="auto"/>
            <w:vAlign w:val="center"/>
          </w:tcPr>
          <w:p w14:paraId="66EC99B9" w14:textId="77777777" w:rsidR="002E474C" w:rsidRDefault="002E474C">
            <w:pPr>
              <w:pStyle w:val="A-"/>
              <w:rPr>
                <w:snapToGrid w:val="0"/>
                <w:u w:color="000000"/>
                <w:lang w:bidi="en-US"/>
              </w:rPr>
            </w:pPr>
          </w:p>
        </w:tc>
        <w:tc>
          <w:tcPr>
            <w:tcW w:w="813" w:type="pct"/>
            <w:shd w:val="clear" w:color="auto" w:fill="auto"/>
            <w:vAlign w:val="center"/>
          </w:tcPr>
          <w:p w14:paraId="1DD22953" w14:textId="77777777" w:rsidR="002E474C" w:rsidRDefault="00000000">
            <w:pPr>
              <w:pStyle w:val="A-"/>
              <w:rPr>
                <w:snapToGrid w:val="0"/>
                <w:u w:color="000000"/>
                <w:lang w:bidi="en-US"/>
              </w:rPr>
            </w:pPr>
            <w:r>
              <w:t>硫化氢</w:t>
            </w:r>
          </w:p>
        </w:tc>
        <w:tc>
          <w:tcPr>
            <w:tcW w:w="554" w:type="pct"/>
            <w:shd w:val="clear" w:color="auto" w:fill="auto"/>
          </w:tcPr>
          <w:p w14:paraId="22881179"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59130AE6" w14:textId="77777777" w:rsidR="002E474C" w:rsidRDefault="00000000">
            <w:pPr>
              <w:pStyle w:val="A-"/>
              <w:rPr>
                <w:snapToGrid w:val="0"/>
                <w:u w:color="000000"/>
                <w:lang w:bidi="en-US"/>
              </w:rPr>
            </w:pPr>
            <w:r>
              <w:t>10</w:t>
            </w:r>
          </w:p>
        </w:tc>
        <w:tc>
          <w:tcPr>
            <w:tcW w:w="943" w:type="pct"/>
            <w:shd w:val="clear" w:color="auto" w:fill="auto"/>
            <w:vAlign w:val="center"/>
          </w:tcPr>
          <w:p w14:paraId="4A95FF62" w14:textId="77777777" w:rsidR="002E474C" w:rsidRDefault="00000000">
            <w:pPr>
              <w:pStyle w:val="A-"/>
              <w:rPr>
                <w:snapToGrid w:val="0"/>
                <w:u w:color="000000"/>
                <w:lang w:bidi="en-US"/>
              </w:rPr>
            </w:pPr>
            <w:r>
              <w:t>＜</w:t>
            </w:r>
            <w:r>
              <w:t>1.0</w:t>
            </w:r>
          </w:p>
        </w:tc>
        <w:tc>
          <w:tcPr>
            <w:tcW w:w="391" w:type="pct"/>
            <w:shd w:val="clear" w:color="auto" w:fill="auto"/>
            <w:vAlign w:val="center"/>
          </w:tcPr>
          <w:p w14:paraId="777326AB" w14:textId="77777777" w:rsidR="002E474C" w:rsidRDefault="00000000">
            <w:pPr>
              <w:pStyle w:val="A-"/>
              <w:rPr>
                <w:snapToGrid w:val="0"/>
                <w:u w:color="000000"/>
                <w:lang w:bidi="en-US"/>
              </w:rPr>
            </w:pPr>
            <w:r>
              <w:rPr>
                <w:snapToGrid w:val="0"/>
                <w:u w:color="000000"/>
                <w:lang w:bidi="en-US"/>
              </w:rPr>
              <w:t>-</w:t>
            </w:r>
          </w:p>
        </w:tc>
        <w:tc>
          <w:tcPr>
            <w:tcW w:w="424" w:type="pct"/>
            <w:shd w:val="clear" w:color="auto" w:fill="auto"/>
          </w:tcPr>
          <w:p w14:paraId="179F66AF"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9330517" w14:textId="77777777" w:rsidR="002E474C" w:rsidRDefault="00000000">
            <w:pPr>
              <w:pStyle w:val="A-"/>
              <w:rPr>
                <w:snapToGrid w:val="0"/>
                <w:u w:color="000000"/>
                <w:lang w:bidi="en-US"/>
              </w:rPr>
            </w:pPr>
            <w:r>
              <w:rPr>
                <w:snapToGrid w:val="0"/>
                <w:u w:color="000000"/>
                <w:lang w:bidi="en-US"/>
              </w:rPr>
              <w:t>达标</w:t>
            </w:r>
          </w:p>
        </w:tc>
      </w:tr>
      <w:tr w:rsidR="002E474C" w14:paraId="367230FE" w14:textId="77777777">
        <w:trPr>
          <w:jc w:val="center"/>
        </w:trPr>
        <w:tc>
          <w:tcPr>
            <w:tcW w:w="554" w:type="pct"/>
            <w:vMerge/>
            <w:shd w:val="clear" w:color="auto" w:fill="auto"/>
            <w:vAlign w:val="center"/>
          </w:tcPr>
          <w:p w14:paraId="4AC2B06E" w14:textId="77777777" w:rsidR="002E474C" w:rsidRDefault="002E474C">
            <w:pPr>
              <w:pStyle w:val="A-"/>
              <w:rPr>
                <w:snapToGrid w:val="0"/>
                <w:u w:color="000000"/>
                <w:lang w:bidi="en-US"/>
              </w:rPr>
            </w:pPr>
          </w:p>
        </w:tc>
        <w:tc>
          <w:tcPr>
            <w:tcW w:w="813" w:type="pct"/>
            <w:shd w:val="clear" w:color="auto" w:fill="auto"/>
            <w:vAlign w:val="center"/>
          </w:tcPr>
          <w:p w14:paraId="29F74607" w14:textId="77777777" w:rsidR="002E474C" w:rsidRDefault="00000000">
            <w:pPr>
              <w:pStyle w:val="A-"/>
              <w:rPr>
                <w:snapToGrid w:val="0"/>
                <w:u w:color="000000"/>
                <w:lang w:bidi="en-US"/>
              </w:rPr>
            </w:pPr>
            <w:r>
              <w:t>氨</w:t>
            </w:r>
          </w:p>
        </w:tc>
        <w:tc>
          <w:tcPr>
            <w:tcW w:w="554" w:type="pct"/>
            <w:shd w:val="clear" w:color="auto" w:fill="auto"/>
          </w:tcPr>
          <w:p w14:paraId="0E463AC3"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3748F181" w14:textId="77777777" w:rsidR="002E474C" w:rsidRDefault="00000000">
            <w:pPr>
              <w:pStyle w:val="A-"/>
              <w:rPr>
                <w:snapToGrid w:val="0"/>
                <w:u w:color="000000"/>
                <w:lang w:bidi="en-US"/>
              </w:rPr>
            </w:pPr>
            <w:r>
              <w:t>200</w:t>
            </w:r>
          </w:p>
        </w:tc>
        <w:tc>
          <w:tcPr>
            <w:tcW w:w="943" w:type="pct"/>
            <w:shd w:val="clear" w:color="auto" w:fill="auto"/>
            <w:vAlign w:val="center"/>
          </w:tcPr>
          <w:p w14:paraId="0465B137" w14:textId="77777777" w:rsidR="002E474C" w:rsidRDefault="00000000">
            <w:pPr>
              <w:pStyle w:val="A-"/>
              <w:rPr>
                <w:snapToGrid w:val="0"/>
                <w:u w:color="000000"/>
                <w:lang w:bidi="en-US"/>
              </w:rPr>
            </w:pPr>
            <w:r>
              <w:rPr>
                <w:snapToGrid w:val="0"/>
                <w:u w:color="000000"/>
                <w:lang w:bidi="en-US"/>
              </w:rPr>
              <w:t>50</w:t>
            </w:r>
            <w:r>
              <w:rPr>
                <w:snapToGrid w:val="0"/>
                <w:u w:color="000000"/>
                <w:lang w:bidi="en-US"/>
              </w:rPr>
              <w:t>～</w:t>
            </w:r>
            <w:r>
              <w:rPr>
                <w:snapToGrid w:val="0"/>
                <w:u w:color="000000"/>
                <w:lang w:bidi="en-US"/>
              </w:rPr>
              <w:t>59</w:t>
            </w:r>
          </w:p>
        </w:tc>
        <w:tc>
          <w:tcPr>
            <w:tcW w:w="391" w:type="pct"/>
            <w:shd w:val="clear" w:color="auto" w:fill="auto"/>
            <w:vAlign w:val="center"/>
          </w:tcPr>
          <w:p w14:paraId="4C4C4C2B" w14:textId="77777777" w:rsidR="002E474C" w:rsidRDefault="00000000">
            <w:pPr>
              <w:pStyle w:val="A-"/>
              <w:rPr>
                <w:snapToGrid w:val="0"/>
                <w:u w:color="000000"/>
                <w:lang w:bidi="en-US"/>
              </w:rPr>
            </w:pPr>
            <w:r>
              <w:rPr>
                <w:snapToGrid w:val="0"/>
                <w:u w:color="000000"/>
                <w:lang w:bidi="en-US"/>
              </w:rPr>
              <w:t>29.5</w:t>
            </w:r>
          </w:p>
        </w:tc>
        <w:tc>
          <w:tcPr>
            <w:tcW w:w="424" w:type="pct"/>
            <w:shd w:val="clear" w:color="auto" w:fill="auto"/>
          </w:tcPr>
          <w:p w14:paraId="2612E883"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E6EA9BB" w14:textId="77777777" w:rsidR="002E474C" w:rsidRDefault="00000000">
            <w:pPr>
              <w:pStyle w:val="A-"/>
              <w:rPr>
                <w:snapToGrid w:val="0"/>
                <w:u w:color="000000"/>
                <w:lang w:bidi="en-US"/>
              </w:rPr>
            </w:pPr>
            <w:r>
              <w:rPr>
                <w:snapToGrid w:val="0"/>
                <w:u w:color="000000"/>
                <w:lang w:bidi="en-US"/>
              </w:rPr>
              <w:t>达标</w:t>
            </w:r>
          </w:p>
        </w:tc>
      </w:tr>
      <w:tr w:rsidR="002E474C" w14:paraId="41169BD9" w14:textId="77777777">
        <w:trPr>
          <w:jc w:val="center"/>
        </w:trPr>
        <w:tc>
          <w:tcPr>
            <w:tcW w:w="554" w:type="pct"/>
            <w:vMerge/>
            <w:shd w:val="clear" w:color="auto" w:fill="auto"/>
            <w:vAlign w:val="center"/>
          </w:tcPr>
          <w:p w14:paraId="55CE53BE" w14:textId="77777777" w:rsidR="002E474C" w:rsidRDefault="002E474C">
            <w:pPr>
              <w:pStyle w:val="A-"/>
              <w:rPr>
                <w:snapToGrid w:val="0"/>
                <w:u w:color="000000"/>
                <w:lang w:bidi="en-US"/>
              </w:rPr>
            </w:pPr>
          </w:p>
        </w:tc>
        <w:tc>
          <w:tcPr>
            <w:tcW w:w="813" w:type="pct"/>
            <w:shd w:val="clear" w:color="auto" w:fill="auto"/>
            <w:vAlign w:val="center"/>
          </w:tcPr>
          <w:p w14:paraId="676F8733" w14:textId="77777777" w:rsidR="002E474C" w:rsidRDefault="00000000">
            <w:pPr>
              <w:pStyle w:val="A-"/>
              <w:rPr>
                <w:snapToGrid w:val="0"/>
                <w:u w:color="000000"/>
                <w:lang w:bidi="en-US"/>
              </w:rPr>
            </w:pPr>
            <w:r>
              <w:t>锰及其化合物</w:t>
            </w:r>
          </w:p>
        </w:tc>
        <w:tc>
          <w:tcPr>
            <w:tcW w:w="554" w:type="pct"/>
            <w:shd w:val="clear" w:color="auto" w:fill="auto"/>
          </w:tcPr>
          <w:p w14:paraId="3CA28DF0"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432C04EE" w14:textId="77777777" w:rsidR="002E474C" w:rsidRDefault="00000000">
            <w:pPr>
              <w:pStyle w:val="A-"/>
              <w:rPr>
                <w:snapToGrid w:val="0"/>
                <w:u w:color="000000"/>
                <w:lang w:bidi="en-US"/>
              </w:rPr>
            </w:pPr>
            <w:r>
              <w:t>10</w:t>
            </w:r>
          </w:p>
        </w:tc>
        <w:tc>
          <w:tcPr>
            <w:tcW w:w="943" w:type="pct"/>
            <w:shd w:val="clear" w:color="auto" w:fill="auto"/>
            <w:vAlign w:val="center"/>
          </w:tcPr>
          <w:p w14:paraId="0AC60903" w14:textId="77777777" w:rsidR="002E474C" w:rsidRDefault="00000000">
            <w:pPr>
              <w:pStyle w:val="A-"/>
              <w:rPr>
                <w:snapToGrid w:val="0"/>
                <w:u w:color="000000"/>
                <w:lang w:bidi="en-US"/>
              </w:rPr>
            </w:pPr>
            <w:r>
              <w:rPr>
                <w:snapToGrid w:val="0"/>
                <w:u w:color="000000"/>
                <w:lang w:bidi="en-US"/>
              </w:rPr>
              <w:t>0.003L</w:t>
            </w:r>
          </w:p>
        </w:tc>
        <w:tc>
          <w:tcPr>
            <w:tcW w:w="391" w:type="pct"/>
            <w:shd w:val="clear" w:color="auto" w:fill="auto"/>
          </w:tcPr>
          <w:p w14:paraId="6A5476CD" w14:textId="77777777" w:rsidR="002E474C" w:rsidRDefault="00000000">
            <w:pPr>
              <w:pStyle w:val="A-"/>
              <w:rPr>
                <w:snapToGrid w:val="0"/>
                <w:u w:color="000000"/>
                <w:lang w:bidi="en-US"/>
              </w:rPr>
            </w:pPr>
            <w:r>
              <w:t>-</w:t>
            </w:r>
          </w:p>
        </w:tc>
        <w:tc>
          <w:tcPr>
            <w:tcW w:w="424" w:type="pct"/>
            <w:shd w:val="clear" w:color="auto" w:fill="auto"/>
          </w:tcPr>
          <w:p w14:paraId="455E97F3"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8F81A52" w14:textId="77777777" w:rsidR="002E474C" w:rsidRDefault="00000000">
            <w:pPr>
              <w:pStyle w:val="A-"/>
              <w:rPr>
                <w:snapToGrid w:val="0"/>
                <w:u w:color="000000"/>
                <w:lang w:bidi="en-US"/>
              </w:rPr>
            </w:pPr>
            <w:r>
              <w:rPr>
                <w:snapToGrid w:val="0"/>
                <w:u w:color="000000"/>
                <w:lang w:bidi="en-US"/>
              </w:rPr>
              <w:t>达标</w:t>
            </w:r>
          </w:p>
        </w:tc>
      </w:tr>
      <w:tr w:rsidR="002E474C" w14:paraId="7EEB47BF" w14:textId="77777777">
        <w:trPr>
          <w:jc w:val="center"/>
        </w:trPr>
        <w:tc>
          <w:tcPr>
            <w:tcW w:w="554" w:type="pct"/>
            <w:vMerge/>
            <w:shd w:val="clear" w:color="auto" w:fill="auto"/>
            <w:vAlign w:val="center"/>
          </w:tcPr>
          <w:p w14:paraId="1B65A86E" w14:textId="77777777" w:rsidR="002E474C" w:rsidRDefault="002E474C">
            <w:pPr>
              <w:pStyle w:val="A-"/>
              <w:rPr>
                <w:snapToGrid w:val="0"/>
                <w:u w:color="000000"/>
                <w:lang w:bidi="en-US"/>
              </w:rPr>
            </w:pPr>
          </w:p>
        </w:tc>
        <w:tc>
          <w:tcPr>
            <w:tcW w:w="813" w:type="pct"/>
            <w:shd w:val="clear" w:color="auto" w:fill="auto"/>
            <w:vAlign w:val="center"/>
          </w:tcPr>
          <w:p w14:paraId="25FB3A36" w14:textId="77777777" w:rsidR="002E474C" w:rsidRDefault="00000000">
            <w:pPr>
              <w:pStyle w:val="A-"/>
              <w:rPr>
                <w:snapToGrid w:val="0"/>
                <w:u w:color="000000"/>
                <w:lang w:bidi="en-US"/>
              </w:rPr>
            </w:pPr>
            <w:r>
              <w:t>氯化氢</w:t>
            </w:r>
          </w:p>
        </w:tc>
        <w:tc>
          <w:tcPr>
            <w:tcW w:w="554" w:type="pct"/>
            <w:shd w:val="clear" w:color="auto" w:fill="auto"/>
          </w:tcPr>
          <w:p w14:paraId="31F4F093" w14:textId="77777777" w:rsidR="002E474C" w:rsidRDefault="00000000">
            <w:pPr>
              <w:pStyle w:val="A-"/>
              <w:rPr>
                <w:snapToGrid w:val="0"/>
                <w:u w:color="000000"/>
                <w:lang w:bidi="en-US"/>
              </w:rPr>
            </w:pPr>
            <w:r>
              <w:rPr>
                <w:rStyle w:val="afffff5"/>
              </w:rPr>
              <w:t>1h</w:t>
            </w:r>
            <w:r>
              <w:rPr>
                <w:rStyle w:val="afffff5"/>
              </w:rPr>
              <w:t>平均值</w:t>
            </w:r>
          </w:p>
        </w:tc>
        <w:tc>
          <w:tcPr>
            <w:tcW w:w="1027" w:type="pct"/>
            <w:shd w:val="clear" w:color="auto" w:fill="auto"/>
            <w:vAlign w:val="center"/>
          </w:tcPr>
          <w:p w14:paraId="1CBE11C5" w14:textId="77777777" w:rsidR="002E474C" w:rsidRDefault="00000000">
            <w:pPr>
              <w:pStyle w:val="A-"/>
              <w:rPr>
                <w:snapToGrid w:val="0"/>
                <w:u w:color="000000"/>
                <w:lang w:bidi="en-US"/>
              </w:rPr>
            </w:pPr>
            <w:r>
              <w:t>50</w:t>
            </w:r>
          </w:p>
        </w:tc>
        <w:tc>
          <w:tcPr>
            <w:tcW w:w="943" w:type="pct"/>
            <w:shd w:val="clear" w:color="auto" w:fill="auto"/>
            <w:vAlign w:val="center"/>
          </w:tcPr>
          <w:p w14:paraId="42BC684A" w14:textId="77777777" w:rsidR="002E474C" w:rsidRDefault="00000000">
            <w:pPr>
              <w:pStyle w:val="A-"/>
              <w:rPr>
                <w:snapToGrid w:val="0"/>
                <w:u w:color="000000"/>
                <w:lang w:bidi="en-US"/>
              </w:rPr>
            </w:pPr>
            <w:r>
              <w:rPr>
                <w:snapToGrid w:val="0"/>
                <w:u w:color="000000"/>
                <w:lang w:bidi="en-US"/>
              </w:rPr>
              <w:t>0.02L</w:t>
            </w:r>
          </w:p>
        </w:tc>
        <w:tc>
          <w:tcPr>
            <w:tcW w:w="391" w:type="pct"/>
            <w:shd w:val="clear" w:color="auto" w:fill="auto"/>
          </w:tcPr>
          <w:p w14:paraId="50F9C1CA" w14:textId="77777777" w:rsidR="002E474C" w:rsidRDefault="00000000">
            <w:pPr>
              <w:pStyle w:val="A-"/>
              <w:rPr>
                <w:snapToGrid w:val="0"/>
                <w:u w:color="000000"/>
                <w:lang w:bidi="en-US"/>
              </w:rPr>
            </w:pPr>
            <w:r>
              <w:t>-</w:t>
            </w:r>
          </w:p>
        </w:tc>
        <w:tc>
          <w:tcPr>
            <w:tcW w:w="424" w:type="pct"/>
            <w:shd w:val="clear" w:color="auto" w:fill="auto"/>
          </w:tcPr>
          <w:p w14:paraId="188C333C"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59637E6" w14:textId="77777777" w:rsidR="002E474C" w:rsidRDefault="00000000">
            <w:pPr>
              <w:pStyle w:val="A-"/>
              <w:rPr>
                <w:snapToGrid w:val="0"/>
                <w:u w:color="000000"/>
                <w:lang w:bidi="en-US"/>
              </w:rPr>
            </w:pPr>
            <w:r>
              <w:rPr>
                <w:snapToGrid w:val="0"/>
                <w:u w:color="000000"/>
                <w:lang w:bidi="en-US"/>
              </w:rPr>
              <w:t>达标</w:t>
            </w:r>
          </w:p>
        </w:tc>
      </w:tr>
      <w:tr w:rsidR="002E474C" w14:paraId="4F069A54" w14:textId="77777777">
        <w:trPr>
          <w:jc w:val="center"/>
        </w:trPr>
        <w:tc>
          <w:tcPr>
            <w:tcW w:w="554" w:type="pct"/>
            <w:vMerge/>
            <w:shd w:val="clear" w:color="auto" w:fill="auto"/>
            <w:vAlign w:val="center"/>
          </w:tcPr>
          <w:p w14:paraId="232C5862" w14:textId="77777777" w:rsidR="002E474C" w:rsidRDefault="002E474C">
            <w:pPr>
              <w:pStyle w:val="A-"/>
              <w:rPr>
                <w:snapToGrid w:val="0"/>
                <w:u w:color="000000"/>
                <w:lang w:bidi="en-US"/>
              </w:rPr>
            </w:pPr>
          </w:p>
        </w:tc>
        <w:tc>
          <w:tcPr>
            <w:tcW w:w="813" w:type="pct"/>
            <w:shd w:val="clear" w:color="auto" w:fill="auto"/>
            <w:vAlign w:val="center"/>
          </w:tcPr>
          <w:p w14:paraId="774773F3" w14:textId="77777777" w:rsidR="002E474C" w:rsidRDefault="00000000">
            <w:pPr>
              <w:pStyle w:val="A-"/>
              <w:rPr>
                <w:snapToGrid w:val="0"/>
                <w:u w:color="000000"/>
                <w:lang w:bidi="en-US"/>
              </w:rPr>
            </w:pPr>
            <w:r>
              <w:t>氟化物</w:t>
            </w:r>
          </w:p>
        </w:tc>
        <w:tc>
          <w:tcPr>
            <w:tcW w:w="554" w:type="pct"/>
            <w:shd w:val="clear" w:color="auto" w:fill="auto"/>
          </w:tcPr>
          <w:p w14:paraId="0B383501"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656276E" w14:textId="77777777" w:rsidR="002E474C" w:rsidRDefault="00000000">
            <w:pPr>
              <w:pStyle w:val="A-"/>
              <w:rPr>
                <w:snapToGrid w:val="0"/>
                <w:u w:color="000000"/>
                <w:lang w:bidi="en-US"/>
              </w:rPr>
            </w:pPr>
            <w:r>
              <w:t>7</w:t>
            </w:r>
          </w:p>
        </w:tc>
        <w:tc>
          <w:tcPr>
            <w:tcW w:w="943" w:type="pct"/>
            <w:shd w:val="clear" w:color="auto" w:fill="auto"/>
            <w:vAlign w:val="center"/>
          </w:tcPr>
          <w:p w14:paraId="3233660D" w14:textId="77777777" w:rsidR="002E474C" w:rsidRDefault="00000000">
            <w:pPr>
              <w:pStyle w:val="A-"/>
              <w:rPr>
                <w:snapToGrid w:val="0"/>
                <w:u w:color="000000"/>
                <w:lang w:bidi="en-US"/>
              </w:rPr>
            </w:pPr>
            <w:r>
              <w:rPr>
                <w:snapToGrid w:val="0"/>
                <w:u w:color="000000"/>
                <w:lang w:bidi="en-US"/>
              </w:rPr>
              <w:t>0.10</w:t>
            </w:r>
            <w:r>
              <w:rPr>
                <w:snapToGrid w:val="0"/>
                <w:u w:color="000000"/>
                <w:lang w:bidi="en-US"/>
              </w:rPr>
              <w:t>～</w:t>
            </w:r>
            <w:r>
              <w:rPr>
                <w:snapToGrid w:val="0"/>
                <w:u w:color="000000"/>
                <w:lang w:bidi="en-US"/>
              </w:rPr>
              <w:t>0.11</w:t>
            </w:r>
          </w:p>
        </w:tc>
        <w:tc>
          <w:tcPr>
            <w:tcW w:w="391" w:type="pct"/>
            <w:shd w:val="clear" w:color="auto" w:fill="auto"/>
            <w:vAlign w:val="center"/>
          </w:tcPr>
          <w:p w14:paraId="78DED850" w14:textId="77777777" w:rsidR="002E474C" w:rsidRDefault="00000000">
            <w:pPr>
              <w:pStyle w:val="A-"/>
              <w:rPr>
                <w:snapToGrid w:val="0"/>
                <w:u w:color="000000"/>
                <w:lang w:bidi="en-US"/>
              </w:rPr>
            </w:pPr>
            <w:r>
              <w:rPr>
                <w:snapToGrid w:val="0"/>
                <w:u w:color="000000"/>
                <w:lang w:bidi="en-US"/>
              </w:rPr>
              <w:t>1.57</w:t>
            </w:r>
          </w:p>
        </w:tc>
        <w:tc>
          <w:tcPr>
            <w:tcW w:w="424" w:type="pct"/>
            <w:shd w:val="clear" w:color="auto" w:fill="auto"/>
          </w:tcPr>
          <w:p w14:paraId="181D5BDE"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95A0F38" w14:textId="77777777" w:rsidR="002E474C" w:rsidRDefault="00000000">
            <w:pPr>
              <w:pStyle w:val="A-"/>
              <w:rPr>
                <w:snapToGrid w:val="0"/>
                <w:u w:color="000000"/>
                <w:lang w:bidi="en-US"/>
              </w:rPr>
            </w:pPr>
            <w:r>
              <w:rPr>
                <w:snapToGrid w:val="0"/>
                <w:u w:color="000000"/>
                <w:lang w:bidi="en-US"/>
              </w:rPr>
              <w:t>达标</w:t>
            </w:r>
          </w:p>
        </w:tc>
      </w:tr>
      <w:tr w:rsidR="002E474C" w14:paraId="093ED25E" w14:textId="77777777">
        <w:trPr>
          <w:jc w:val="center"/>
        </w:trPr>
        <w:tc>
          <w:tcPr>
            <w:tcW w:w="554" w:type="pct"/>
            <w:vMerge/>
            <w:shd w:val="clear" w:color="auto" w:fill="auto"/>
            <w:vAlign w:val="center"/>
          </w:tcPr>
          <w:p w14:paraId="4B5B7131" w14:textId="77777777" w:rsidR="002E474C" w:rsidRDefault="002E474C">
            <w:pPr>
              <w:pStyle w:val="A-"/>
              <w:rPr>
                <w:snapToGrid w:val="0"/>
                <w:u w:color="000000"/>
                <w:lang w:bidi="en-US"/>
              </w:rPr>
            </w:pPr>
          </w:p>
        </w:tc>
        <w:tc>
          <w:tcPr>
            <w:tcW w:w="813" w:type="pct"/>
            <w:shd w:val="clear" w:color="auto" w:fill="auto"/>
            <w:vAlign w:val="center"/>
          </w:tcPr>
          <w:p w14:paraId="0E123521" w14:textId="77777777" w:rsidR="002E474C" w:rsidRDefault="00000000">
            <w:pPr>
              <w:pStyle w:val="A-"/>
              <w:rPr>
                <w:snapToGrid w:val="0"/>
                <w:u w:color="000000"/>
                <w:lang w:bidi="en-US"/>
              </w:rPr>
            </w:pPr>
            <w:r>
              <w:t>六价铬</w:t>
            </w:r>
          </w:p>
        </w:tc>
        <w:tc>
          <w:tcPr>
            <w:tcW w:w="554" w:type="pct"/>
            <w:shd w:val="clear" w:color="auto" w:fill="auto"/>
          </w:tcPr>
          <w:p w14:paraId="6B8CDBAC"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15D44787" w14:textId="77777777" w:rsidR="002E474C" w:rsidRDefault="00000000">
            <w:pPr>
              <w:pStyle w:val="A-"/>
              <w:rPr>
                <w:snapToGrid w:val="0"/>
                <w:u w:color="000000"/>
                <w:lang w:bidi="en-US"/>
              </w:rPr>
            </w:pPr>
            <w:r>
              <w:t>0.00005</w:t>
            </w:r>
            <w:r>
              <w:t>（折算）</w:t>
            </w:r>
          </w:p>
        </w:tc>
        <w:tc>
          <w:tcPr>
            <w:tcW w:w="943" w:type="pct"/>
            <w:shd w:val="clear" w:color="auto" w:fill="auto"/>
            <w:vAlign w:val="center"/>
          </w:tcPr>
          <w:p w14:paraId="0BC8CB35" w14:textId="77777777" w:rsidR="002E474C" w:rsidRDefault="00000000">
            <w:pPr>
              <w:pStyle w:val="A-"/>
              <w:rPr>
                <w:snapToGrid w:val="0"/>
                <w:u w:color="000000"/>
                <w:lang w:bidi="en-US"/>
              </w:rPr>
            </w:pPr>
            <w:r>
              <w:rPr>
                <w:snapToGrid w:val="0"/>
                <w:u w:color="000000"/>
                <w:lang w:bidi="en-US"/>
              </w:rPr>
              <w:t>0.000005L</w:t>
            </w:r>
          </w:p>
        </w:tc>
        <w:tc>
          <w:tcPr>
            <w:tcW w:w="391" w:type="pct"/>
            <w:shd w:val="clear" w:color="auto" w:fill="auto"/>
          </w:tcPr>
          <w:p w14:paraId="31285678" w14:textId="77777777" w:rsidR="002E474C" w:rsidRDefault="00000000">
            <w:pPr>
              <w:pStyle w:val="A-"/>
              <w:rPr>
                <w:snapToGrid w:val="0"/>
                <w:u w:color="000000"/>
                <w:lang w:bidi="en-US"/>
              </w:rPr>
            </w:pPr>
            <w:r>
              <w:t>-</w:t>
            </w:r>
          </w:p>
        </w:tc>
        <w:tc>
          <w:tcPr>
            <w:tcW w:w="424" w:type="pct"/>
            <w:shd w:val="clear" w:color="auto" w:fill="auto"/>
          </w:tcPr>
          <w:p w14:paraId="738A057E"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1101B30E" w14:textId="77777777" w:rsidR="002E474C" w:rsidRDefault="00000000">
            <w:pPr>
              <w:pStyle w:val="A-"/>
              <w:rPr>
                <w:snapToGrid w:val="0"/>
                <w:u w:color="000000"/>
                <w:lang w:bidi="en-US"/>
              </w:rPr>
            </w:pPr>
            <w:r>
              <w:rPr>
                <w:snapToGrid w:val="0"/>
                <w:u w:color="000000"/>
                <w:lang w:bidi="en-US"/>
              </w:rPr>
              <w:t>达标</w:t>
            </w:r>
          </w:p>
        </w:tc>
      </w:tr>
      <w:tr w:rsidR="002E474C" w14:paraId="14DC5A62" w14:textId="77777777">
        <w:trPr>
          <w:jc w:val="center"/>
        </w:trPr>
        <w:tc>
          <w:tcPr>
            <w:tcW w:w="554" w:type="pct"/>
            <w:vMerge/>
            <w:shd w:val="clear" w:color="auto" w:fill="auto"/>
            <w:vAlign w:val="center"/>
          </w:tcPr>
          <w:p w14:paraId="4A190F0E" w14:textId="77777777" w:rsidR="002E474C" w:rsidRDefault="002E474C">
            <w:pPr>
              <w:pStyle w:val="A-"/>
              <w:rPr>
                <w:snapToGrid w:val="0"/>
                <w:u w:color="000000"/>
                <w:lang w:bidi="en-US"/>
              </w:rPr>
            </w:pPr>
          </w:p>
        </w:tc>
        <w:tc>
          <w:tcPr>
            <w:tcW w:w="813" w:type="pct"/>
            <w:shd w:val="clear" w:color="auto" w:fill="auto"/>
            <w:vAlign w:val="center"/>
          </w:tcPr>
          <w:p w14:paraId="3E635AB0" w14:textId="77777777" w:rsidR="002E474C" w:rsidRDefault="00000000">
            <w:pPr>
              <w:pStyle w:val="A-"/>
              <w:rPr>
                <w:snapToGrid w:val="0"/>
                <w:u w:color="000000"/>
                <w:lang w:bidi="en-US"/>
              </w:rPr>
            </w:pPr>
            <w:r>
              <w:t>铅</w:t>
            </w:r>
          </w:p>
        </w:tc>
        <w:tc>
          <w:tcPr>
            <w:tcW w:w="554" w:type="pct"/>
            <w:shd w:val="clear" w:color="auto" w:fill="auto"/>
          </w:tcPr>
          <w:p w14:paraId="049ADA2C"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43B0815B" w14:textId="77777777" w:rsidR="002E474C" w:rsidRDefault="00000000">
            <w:pPr>
              <w:pStyle w:val="A-"/>
              <w:rPr>
                <w:snapToGrid w:val="0"/>
                <w:u w:color="000000"/>
                <w:lang w:bidi="en-US"/>
              </w:rPr>
            </w:pPr>
            <w:r>
              <w:t>1.0</w:t>
            </w:r>
            <w:r>
              <w:t>（折算）</w:t>
            </w:r>
          </w:p>
        </w:tc>
        <w:tc>
          <w:tcPr>
            <w:tcW w:w="943" w:type="pct"/>
            <w:shd w:val="clear" w:color="auto" w:fill="auto"/>
            <w:vAlign w:val="center"/>
          </w:tcPr>
          <w:p w14:paraId="655F62D0" w14:textId="77777777" w:rsidR="002E474C" w:rsidRDefault="00000000">
            <w:pPr>
              <w:pStyle w:val="A-"/>
              <w:rPr>
                <w:snapToGrid w:val="0"/>
                <w:u w:color="000000"/>
                <w:lang w:bidi="en-US"/>
              </w:rPr>
            </w:pPr>
            <w:r>
              <w:rPr>
                <w:snapToGrid w:val="0"/>
                <w:u w:color="000000"/>
                <w:lang w:bidi="en-US"/>
              </w:rPr>
              <w:t>0.05L</w:t>
            </w:r>
          </w:p>
        </w:tc>
        <w:tc>
          <w:tcPr>
            <w:tcW w:w="391" w:type="pct"/>
            <w:shd w:val="clear" w:color="auto" w:fill="auto"/>
          </w:tcPr>
          <w:p w14:paraId="175EAED7" w14:textId="77777777" w:rsidR="002E474C" w:rsidRDefault="00000000">
            <w:pPr>
              <w:pStyle w:val="A-"/>
              <w:rPr>
                <w:snapToGrid w:val="0"/>
                <w:u w:color="000000"/>
                <w:lang w:bidi="en-US"/>
              </w:rPr>
            </w:pPr>
            <w:r>
              <w:t>-</w:t>
            </w:r>
          </w:p>
        </w:tc>
        <w:tc>
          <w:tcPr>
            <w:tcW w:w="424" w:type="pct"/>
            <w:shd w:val="clear" w:color="auto" w:fill="auto"/>
          </w:tcPr>
          <w:p w14:paraId="26662973"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850F539" w14:textId="77777777" w:rsidR="002E474C" w:rsidRDefault="00000000">
            <w:pPr>
              <w:pStyle w:val="A-"/>
              <w:rPr>
                <w:snapToGrid w:val="0"/>
                <w:u w:color="000000"/>
                <w:lang w:bidi="en-US"/>
              </w:rPr>
            </w:pPr>
            <w:r>
              <w:rPr>
                <w:snapToGrid w:val="0"/>
                <w:u w:color="000000"/>
                <w:lang w:bidi="en-US"/>
              </w:rPr>
              <w:t>达标</w:t>
            </w:r>
          </w:p>
        </w:tc>
      </w:tr>
      <w:tr w:rsidR="002E474C" w14:paraId="0D1FE713" w14:textId="77777777">
        <w:trPr>
          <w:jc w:val="center"/>
        </w:trPr>
        <w:tc>
          <w:tcPr>
            <w:tcW w:w="554" w:type="pct"/>
            <w:vMerge/>
            <w:shd w:val="clear" w:color="auto" w:fill="auto"/>
            <w:vAlign w:val="center"/>
          </w:tcPr>
          <w:p w14:paraId="648430CD" w14:textId="77777777" w:rsidR="002E474C" w:rsidRDefault="002E474C">
            <w:pPr>
              <w:pStyle w:val="A-"/>
              <w:rPr>
                <w:snapToGrid w:val="0"/>
                <w:u w:color="000000"/>
                <w:lang w:bidi="en-US"/>
              </w:rPr>
            </w:pPr>
          </w:p>
        </w:tc>
        <w:tc>
          <w:tcPr>
            <w:tcW w:w="813" w:type="pct"/>
            <w:shd w:val="clear" w:color="auto" w:fill="auto"/>
            <w:vAlign w:val="center"/>
          </w:tcPr>
          <w:p w14:paraId="3E510216" w14:textId="77777777" w:rsidR="002E474C" w:rsidRDefault="00000000">
            <w:pPr>
              <w:pStyle w:val="A-"/>
              <w:rPr>
                <w:snapToGrid w:val="0"/>
                <w:u w:color="000000"/>
                <w:lang w:bidi="en-US"/>
              </w:rPr>
            </w:pPr>
            <w:r>
              <w:t>镉</w:t>
            </w:r>
          </w:p>
        </w:tc>
        <w:tc>
          <w:tcPr>
            <w:tcW w:w="554" w:type="pct"/>
            <w:shd w:val="clear" w:color="auto" w:fill="auto"/>
          </w:tcPr>
          <w:p w14:paraId="44C9E91F"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11013004" w14:textId="77777777" w:rsidR="002E474C" w:rsidRDefault="00000000">
            <w:pPr>
              <w:pStyle w:val="A-"/>
              <w:rPr>
                <w:snapToGrid w:val="0"/>
                <w:u w:color="000000"/>
                <w:lang w:bidi="en-US"/>
              </w:rPr>
            </w:pPr>
            <w:r>
              <w:t>0.01</w:t>
            </w:r>
            <w:r>
              <w:t>（折算）</w:t>
            </w:r>
          </w:p>
        </w:tc>
        <w:tc>
          <w:tcPr>
            <w:tcW w:w="943" w:type="pct"/>
            <w:shd w:val="clear" w:color="auto" w:fill="auto"/>
            <w:vAlign w:val="center"/>
          </w:tcPr>
          <w:p w14:paraId="759BD68D" w14:textId="77777777" w:rsidR="002E474C" w:rsidRDefault="00000000">
            <w:pPr>
              <w:pStyle w:val="A-"/>
              <w:rPr>
                <w:snapToGrid w:val="0"/>
                <w:u w:color="000000"/>
                <w:lang w:bidi="en-US"/>
              </w:rPr>
            </w:pPr>
            <w:r>
              <w:rPr>
                <w:snapToGrid w:val="0"/>
                <w:u w:color="000000"/>
                <w:lang w:bidi="en-US"/>
              </w:rPr>
              <w:t>0.003L</w:t>
            </w:r>
          </w:p>
        </w:tc>
        <w:tc>
          <w:tcPr>
            <w:tcW w:w="391" w:type="pct"/>
            <w:shd w:val="clear" w:color="auto" w:fill="auto"/>
          </w:tcPr>
          <w:p w14:paraId="7682DBE6" w14:textId="77777777" w:rsidR="002E474C" w:rsidRDefault="00000000">
            <w:pPr>
              <w:pStyle w:val="A-"/>
              <w:rPr>
                <w:snapToGrid w:val="0"/>
                <w:u w:color="000000"/>
                <w:lang w:bidi="en-US"/>
              </w:rPr>
            </w:pPr>
            <w:r>
              <w:t>-</w:t>
            </w:r>
          </w:p>
        </w:tc>
        <w:tc>
          <w:tcPr>
            <w:tcW w:w="424" w:type="pct"/>
            <w:shd w:val="clear" w:color="auto" w:fill="auto"/>
          </w:tcPr>
          <w:p w14:paraId="153B105A"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15EF01AC" w14:textId="77777777" w:rsidR="002E474C" w:rsidRDefault="00000000">
            <w:pPr>
              <w:pStyle w:val="A-"/>
              <w:rPr>
                <w:snapToGrid w:val="0"/>
                <w:u w:color="000000"/>
                <w:lang w:bidi="en-US"/>
              </w:rPr>
            </w:pPr>
            <w:r>
              <w:rPr>
                <w:snapToGrid w:val="0"/>
                <w:u w:color="000000"/>
                <w:lang w:bidi="en-US"/>
              </w:rPr>
              <w:t>达标</w:t>
            </w:r>
          </w:p>
        </w:tc>
      </w:tr>
      <w:tr w:rsidR="002E474C" w14:paraId="25FE2F49" w14:textId="77777777">
        <w:trPr>
          <w:jc w:val="center"/>
        </w:trPr>
        <w:tc>
          <w:tcPr>
            <w:tcW w:w="554" w:type="pct"/>
            <w:vMerge/>
            <w:shd w:val="clear" w:color="auto" w:fill="auto"/>
            <w:vAlign w:val="center"/>
          </w:tcPr>
          <w:p w14:paraId="1BF0713D" w14:textId="77777777" w:rsidR="002E474C" w:rsidRDefault="002E474C">
            <w:pPr>
              <w:pStyle w:val="A-"/>
              <w:rPr>
                <w:snapToGrid w:val="0"/>
                <w:u w:color="000000"/>
                <w:lang w:bidi="en-US"/>
              </w:rPr>
            </w:pPr>
          </w:p>
        </w:tc>
        <w:tc>
          <w:tcPr>
            <w:tcW w:w="813" w:type="pct"/>
            <w:shd w:val="clear" w:color="auto" w:fill="auto"/>
            <w:vAlign w:val="center"/>
          </w:tcPr>
          <w:p w14:paraId="7234E083" w14:textId="77777777" w:rsidR="002E474C" w:rsidRDefault="00000000">
            <w:pPr>
              <w:pStyle w:val="A-"/>
              <w:rPr>
                <w:snapToGrid w:val="0"/>
                <w:u w:color="000000"/>
                <w:lang w:bidi="en-US"/>
              </w:rPr>
            </w:pPr>
            <w:r>
              <w:t>汞</w:t>
            </w:r>
          </w:p>
        </w:tc>
        <w:tc>
          <w:tcPr>
            <w:tcW w:w="554" w:type="pct"/>
            <w:shd w:val="clear" w:color="auto" w:fill="auto"/>
          </w:tcPr>
          <w:p w14:paraId="7195F9FF" w14:textId="77777777" w:rsidR="002E474C" w:rsidRDefault="00000000">
            <w:pPr>
              <w:pStyle w:val="A-"/>
              <w:rPr>
                <w:snapToGrid w:val="0"/>
                <w:u w:color="000000"/>
                <w:lang w:bidi="en-US"/>
              </w:rPr>
            </w:pPr>
            <w:r>
              <w:rPr>
                <w:rStyle w:val="afffff5"/>
              </w:rPr>
              <w:t>1h</w:t>
            </w:r>
            <w:r>
              <w:rPr>
                <w:rStyle w:val="afffff5"/>
              </w:rPr>
              <w:t>平均值</w:t>
            </w:r>
          </w:p>
        </w:tc>
        <w:tc>
          <w:tcPr>
            <w:tcW w:w="1027" w:type="pct"/>
            <w:shd w:val="clear" w:color="auto" w:fill="auto"/>
            <w:vAlign w:val="center"/>
          </w:tcPr>
          <w:p w14:paraId="21A4A7F2" w14:textId="77777777" w:rsidR="002E474C" w:rsidRDefault="00000000">
            <w:pPr>
              <w:pStyle w:val="A-"/>
              <w:rPr>
                <w:snapToGrid w:val="0"/>
                <w:u w:color="000000"/>
                <w:lang w:bidi="en-US"/>
              </w:rPr>
            </w:pPr>
            <w:r>
              <w:t>0.3</w:t>
            </w:r>
            <w:r>
              <w:t>（折算）</w:t>
            </w:r>
          </w:p>
        </w:tc>
        <w:tc>
          <w:tcPr>
            <w:tcW w:w="943" w:type="pct"/>
            <w:shd w:val="clear" w:color="auto" w:fill="auto"/>
            <w:vAlign w:val="center"/>
          </w:tcPr>
          <w:p w14:paraId="44CBAF94" w14:textId="77777777" w:rsidR="002E474C" w:rsidRDefault="00000000">
            <w:pPr>
              <w:pStyle w:val="A-"/>
              <w:rPr>
                <w:snapToGrid w:val="0"/>
                <w:u w:color="000000"/>
                <w:lang w:bidi="en-US"/>
              </w:rPr>
            </w:pPr>
            <w:r>
              <w:rPr>
                <w:snapToGrid w:val="0"/>
                <w:u w:color="000000"/>
                <w:lang w:bidi="en-US"/>
              </w:rPr>
              <w:t>6.6×10</w:t>
            </w:r>
            <w:r>
              <w:rPr>
                <w:snapToGrid w:val="0"/>
                <w:u w:color="000000"/>
                <w:vertAlign w:val="superscript"/>
                <w:lang w:bidi="en-US"/>
              </w:rPr>
              <w:t>⁻3</w:t>
            </w:r>
            <w:r>
              <w:rPr>
                <w:snapToGrid w:val="0"/>
                <w:u w:color="000000"/>
                <w:lang w:bidi="en-US"/>
              </w:rPr>
              <w:t>L</w:t>
            </w:r>
          </w:p>
        </w:tc>
        <w:tc>
          <w:tcPr>
            <w:tcW w:w="391" w:type="pct"/>
            <w:shd w:val="clear" w:color="auto" w:fill="auto"/>
          </w:tcPr>
          <w:p w14:paraId="551B913D" w14:textId="77777777" w:rsidR="002E474C" w:rsidRDefault="00000000">
            <w:pPr>
              <w:pStyle w:val="A-"/>
              <w:rPr>
                <w:snapToGrid w:val="0"/>
                <w:u w:color="000000"/>
                <w:lang w:bidi="en-US"/>
              </w:rPr>
            </w:pPr>
            <w:r>
              <w:t>-</w:t>
            </w:r>
          </w:p>
        </w:tc>
        <w:tc>
          <w:tcPr>
            <w:tcW w:w="424" w:type="pct"/>
            <w:shd w:val="clear" w:color="auto" w:fill="auto"/>
            <w:vAlign w:val="center"/>
          </w:tcPr>
          <w:p w14:paraId="1D9FAE26"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11E8AB3E" w14:textId="77777777" w:rsidR="002E474C" w:rsidRDefault="00000000">
            <w:pPr>
              <w:pStyle w:val="A-"/>
              <w:rPr>
                <w:snapToGrid w:val="0"/>
                <w:u w:color="000000"/>
                <w:lang w:bidi="en-US"/>
              </w:rPr>
            </w:pPr>
            <w:r>
              <w:rPr>
                <w:snapToGrid w:val="0"/>
                <w:u w:color="000000"/>
                <w:lang w:bidi="en-US"/>
              </w:rPr>
              <w:t>达标</w:t>
            </w:r>
          </w:p>
        </w:tc>
      </w:tr>
      <w:tr w:rsidR="002E474C" w14:paraId="48E961C0" w14:textId="77777777">
        <w:trPr>
          <w:jc w:val="center"/>
        </w:trPr>
        <w:tc>
          <w:tcPr>
            <w:tcW w:w="554" w:type="pct"/>
            <w:vMerge/>
            <w:shd w:val="clear" w:color="auto" w:fill="auto"/>
            <w:vAlign w:val="center"/>
          </w:tcPr>
          <w:p w14:paraId="2368BB1E" w14:textId="77777777" w:rsidR="002E474C" w:rsidRDefault="002E474C">
            <w:pPr>
              <w:pStyle w:val="A-"/>
              <w:rPr>
                <w:snapToGrid w:val="0"/>
                <w:u w:color="000000"/>
                <w:lang w:bidi="en-US"/>
              </w:rPr>
            </w:pPr>
          </w:p>
        </w:tc>
        <w:tc>
          <w:tcPr>
            <w:tcW w:w="813" w:type="pct"/>
            <w:shd w:val="clear" w:color="auto" w:fill="auto"/>
            <w:vAlign w:val="center"/>
          </w:tcPr>
          <w:p w14:paraId="03DF3F33" w14:textId="77777777" w:rsidR="002E474C" w:rsidRDefault="00000000">
            <w:pPr>
              <w:pStyle w:val="A-"/>
              <w:rPr>
                <w:snapToGrid w:val="0"/>
                <w:u w:color="000000"/>
                <w:lang w:bidi="en-US"/>
              </w:rPr>
            </w:pPr>
            <w:r>
              <w:t>砷</w:t>
            </w:r>
          </w:p>
        </w:tc>
        <w:tc>
          <w:tcPr>
            <w:tcW w:w="554" w:type="pct"/>
            <w:shd w:val="clear" w:color="auto" w:fill="auto"/>
          </w:tcPr>
          <w:p w14:paraId="26883E14"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53C241BB" w14:textId="77777777" w:rsidR="002E474C" w:rsidRDefault="00000000">
            <w:pPr>
              <w:pStyle w:val="A-"/>
              <w:rPr>
                <w:snapToGrid w:val="0"/>
                <w:u w:color="000000"/>
                <w:lang w:bidi="en-US"/>
              </w:rPr>
            </w:pPr>
            <w:r>
              <w:t>0.012</w:t>
            </w:r>
            <w:r>
              <w:t>（折算）</w:t>
            </w:r>
          </w:p>
        </w:tc>
        <w:tc>
          <w:tcPr>
            <w:tcW w:w="943" w:type="pct"/>
            <w:shd w:val="clear" w:color="auto" w:fill="auto"/>
            <w:vAlign w:val="center"/>
          </w:tcPr>
          <w:p w14:paraId="5E60932D" w14:textId="77777777" w:rsidR="002E474C" w:rsidRDefault="00000000">
            <w:pPr>
              <w:pStyle w:val="A-"/>
              <w:rPr>
                <w:snapToGrid w:val="0"/>
                <w:u w:color="000000"/>
                <w:lang w:bidi="en-US"/>
              </w:rPr>
            </w:pPr>
            <w:r>
              <w:rPr>
                <w:snapToGrid w:val="0"/>
                <w:u w:color="000000"/>
                <w:lang w:bidi="en-US"/>
              </w:rPr>
              <w:t>0.004L</w:t>
            </w:r>
          </w:p>
        </w:tc>
        <w:tc>
          <w:tcPr>
            <w:tcW w:w="391" w:type="pct"/>
            <w:shd w:val="clear" w:color="auto" w:fill="auto"/>
          </w:tcPr>
          <w:p w14:paraId="39FB02EF" w14:textId="77777777" w:rsidR="002E474C" w:rsidRDefault="00000000">
            <w:pPr>
              <w:pStyle w:val="A-"/>
              <w:rPr>
                <w:snapToGrid w:val="0"/>
                <w:u w:color="000000"/>
                <w:lang w:bidi="en-US"/>
              </w:rPr>
            </w:pPr>
            <w:r>
              <w:t>-</w:t>
            </w:r>
          </w:p>
        </w:tc>
        <w:tc>
          <w:tcPr>
            <w:tcW w:w="424" w:type="pct"/>
            <w:shd w:val="clear" w:color="auto" w:fill="auto"/>
            <w:vAlign w:val="center"/>
          </w:tcPr>
          <w:p w14:paraId="6DAC5FA4"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08DE0819" w14:textId="77777777" w:rsidR="002E474C" w:rsidRDefault="00000000">
            <w:pPr>
              <w:pStyle w:val="A-"/>
              <w:rPr>
                <w:snapToGrid w:val="0"/>
                <w:u w:color="000000"/>
                <w:lang w:bidi="en-US"/>
              </w:rPr>
            </w:pPr>
            <w:r>
              <w:rPr>
                <w:snapToGrid w:val="0"/>
                <w:u w:color="000000"/>
                <w:lang w:bidi="en-US"/>
              </w:rPr>
              <w:t>达标</w:t>
            </w:r>
          </w:p>
        </w:tc>
      </w:tr>
      <w:tr w:rsidR="002E474C" w14:paraId="6EA62223" w14:textId="77777777">
        <w:trPr>
          <w:jc w:val="center"/>
        </w:trPr>
        <w:tc>
          <w:tcPr>
            <w:tcW w:w="554" w:type="pct"/>
            <w:vMerge/>
            <w:shd w:val="clear" w:color="auto" w:fill="auto"/>
            <w:vAlign w:val="center"/>
          </w:tcPr>
          <w:p w14:paraId="3C57E535" w14:textId="77777777" w:rsidR="002E474C" w:rsidRDefault="002E474C">
            <w:pPr>
              <w:pStyle w:val="A-"/>
              <w:rPr>
                <w:snapToGrid w:val="0"/>
                <w:u w:color="000000"/>
                <w:lang w:bidi="en-US"/>
              </w:rPr>
            </w:pPr>
          </w:p>
        </w:tc>
        <w:tc>
          <w:tcPr>
            <w:tcW w:w="813" w:type="pct"/>
            <w:shd w:val="clear" w:color="auto" w:fill="auto"/>
            <w:vAlign w:val="center"/>
          </w:tcPr>
          <w:p w14:paraId="1300EFA8" w14:textId="77777777" w:rsidR="002E474C" w:rsidRDefault="00000000">
            <w:pPr>
              <w:pStyle w:val="A-"/>
              <w:rPr>
                <w:snapToGrid w:val="0"/>
                <w:u w:color="000000"/>
                <w:lang w:bidi="en-US"/>
              </w:rPr>
            </w:pPr>
            <w:r>
              <w:t>镍</w:t>
            </w:r>
          </w:p>
        </w:tc>
        <w:tc>
          <w:tcPr>
            <w:tcW w:w="554" w:type="pct"/>
            <w:shd w:val="clear" w:color="auto" w:fill="auto"/>
          </w:tcPr>
          <w:p w14:paraId="25F6CBDC"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7F789DF" w14:textId="77777777" w:rsidR="002E474C" w:rsidRDefault="00000000">
            <w:pPr>
              <w:pStyle w:val="A-"/>
              <w:rPr>
                <w:snapToGrid w:val="0"/>
                <w:u w:color="000000"/>
                <w:lang w:bidi="en-US"/>
              </w:rPr>
            </w:pPr>
            <w:r>
              <w:t>30</w:t>
            </w:r>
          </w:p>
        </w:tc>
        <w:tc>
          <w:tcPr>
            <w:tcW w:w="943" w:type="pct"/>
            <w:shd w:val="clear" w:color="auto" w:fill="auto"/>
            <w:vAlign w:val="center"/>
          </w:tcPr>
          <w:p w14:paraId="3E70E669" w14:textId="77777777" w:rsidR="002E474C" w:rsidRDefault="00000000">
            <w:pPr>
              <w:pStyle w:val="A-"/>
              <w:rPr>
                <w:snapToGrid w:val="0"/>
                <w:u w:color="000000"/>
                <w:lang w:bidi="en-US"/>
              </w:rPr>
            </w:pPr>
            <w:r>
              <w:rPr>
                <w:snapToGrid w:val="0"/>
                <w:u w:color="000000"/>
                <w:lang w:bidi="en-US"/>
              </w:rPr>
              <w:t>0.04L</w:t>
            </w:r>
          </w:p>
        </w:tc>
        <w:tc>
          <w:tcPr>
            <w:tcW w:w="391" w:type="pct"/>
            <w:shd w:val="clear" w:color="auto" w:fill="auto"/>
          </w:tcPr>
          <w:p w14:paraId="0C441F0B" w14:textId="77777777" w:rsidR="002E474C" w:rsidRDefault="00000000">
            <w:pPr>
              <w:pStyle w:val="A-"/>
              <w:rPr>
                <w:snapToGrid w:val="0"/>
                <w:u w:color="000000"/>
                <w:lang w:bidi="en-US"/>
              </w:rPr>
            </w:pPr>
            <w:r>
              <w:t>-</w:t>
            </w:r>
          </w:p>
        </w:tc>
        <w:tc>
          <w:tcPr>
            <w:tcW w:w="424" w:type="pct"/>
            <w:shd w:val="clear" w:color="auto" w:fill="auto"/>
            <w:vAlign w:val="center"/>
          </w:tcPr>
          <w:p w14:paraId="2C6794C1"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1CC28CF4" w14:textId="77777777" w:rsidR="002E474C" w:rsidRDefault="00000000">
            <w:pPr>
              <w:pStyle w:val="A-"/>
              <w:rPr>
                <w:snapToGrid w:val="0"/>
                <w:u w:color="000000"/>
                <w:lang w:bidi="en-US"/>
              </w:rPr>
            </w:pPr>
            <w:r>
              <w:rPr>
                <w:snapToGrid w:val="0"/>
                <w:u w:color="000000"/>
                <w:lang w:bidi="en-US"/>
              </w:rPr>
              <w:t>达标</w:t>
            </w:r>
          </w:p>
        </w:tc>
      </w:tr>
      <w:tr w:rsidR="002E474C" w14:paraId="00EEFF7E" w14:textId="77777777">
        <w:trPr>
          <w:jc w:val="center"/>
        </w:trPr>
        <w:tc>
          <w:tcPr>
            <w:tcW w:w="554" w:type="pct"/>
            <w:vMerge/>
            <w:shd w:val="clear" w:color="auto" w:fill="auto"/>
            <w:vAlign w:val="center"/>
          </w:tcPr>
          <w:p w14:paraId="76788D13" w14:textId="77777777" w:rsidR="002E474C" w:rsidRDefault="002E474C">
            <w:pPr>
              <w:pStyle w:val="A-"/>
              <w:rPr>
                <w:snapToGrid w:val="0"/>
                <w:u w:color="000000"/>
                <w:lang w:bidi="en-US"/>
              </w:rPr>
            </w:pPr>
          </w:p>
        </w:tc>
        <w:tc>
          <w:tcPr>
            <w:tcW w:w="813" w:type="pct"/>
            <w:shd w:val="clear" w:color="auto" w:fill="auto"/>
            <w:vAlign w:val="center"/>
          </w:tcPr>
          <w:p w14:paraId="09C9158E" w14:textId="77777777" w:rsidR="002E474C" w:rsidRDefault="00000000">
            <w:pPr>
              <w:pStyle w:val="A-"/>
              <w:rPr>
                <w:snapToGrid w:val="0"/>
                <w:u w:color="000000"/>
                <w:lang w:bidi="en-US"/>
              </w:rPr>
            </w:pPr>
            <w:r>
              <w:t>非甲烷总烃</w:t>
            </w:r>
          </w:p>
        </w:tc>
        <w:tc>
          <w:tcPr>
            <w:tcW w:w="554" w:type="pct"/>
            <w:shd w:val="clear" w:color="auto" w:fill="auto"/>
          </w:tcPr>
          <w:p w14:paraId="024CA19C"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50E099EA" w14:textId="77777777" w:rsidR="002E474C" w:rsidRDefault="00000000">
            <w:pPr>
              <w:pStyle w:val="A-"/>
              <w:rPr>
                <w:snapToGrid w:val="0"/>
                <w:u w:color="000000"/>
                <w:lang w:bidi="en-US"/>
              </w:rPr>
            </w:pPr>
            <w:r>
              <w:t>2000</w:t>
            </w:r>
          </w:p>
        </w:tc>
        <w:tc>
          <w:tcPr>
            <w:tcW w:w="943" w:type="pct"/>
            <w:shd w:val="clear" w:color="auto" w:fill="auto"/>
            <w:vAlign w:val="center"/>
          </w:tcPr>
          <w:p w14:paraId="537D8159" w14:textId="77777777" w:rsidR="002E474C" w:rsidRDefault="00000000">
            <w:pPr>
              <w:pStyle w:val="A-"/>
              <w:rPr>
                <w:snapToGrid w:val="0"/>
                <w:u w:color="000000"/>
                <w:lang w:bidi="en-US"/>
              </w:rPr>
            </w:pPr>
            <w:r>
              <w:rPr>
                <w:snapToGrid w:val="0"/>
                <w:u w:color="000000"/>
                <w:lang w:bidi="en-US"/>
              </w:rPr>
              <w:t>1120</w:t>
            </w:r>
            <w:r>
              <w:rPr>
                <w:snapToGrid w:val="0"/>
                <w:u w:color="000000"/>
                <w:lang w:bidi="en-US"/>
              </w:rPr>
              <w:t>～</w:t>
            </w:r>
            <w:r>
              <w:rPr>
                <w:snapToGrid w:val="0"/>
                <w:u w:color="000000"/>
                <w:lang w:bidi="en-US"/>
              </w:rPr>
              <w:t>1440</w:t>
            </w:r>
          </w:p>
        </w:tc>
        <w:tc>
          <w:tcPr>
            <w:tcW w:w="391" w:type="pct"/>
            <w:shd w:val="clear" w:color="auto" w:fill="auto"/>
            <w:vAlign w:val="center"/>
          </w:tcPr>
          <w:p w14:paraId="10D80DEC" w14:textId="77777777" w:rsidR="002E474C" w:rsidRDefault="00000000">
            <w:pPr>
              <w:pStyle w:val="A-"/>
              <w:rPr>
                <w:snapToGrid w:val="0"/>
                <w:u w:color="000000"/>
                <w:lang w:bidi="en-US"/>
              </w:rPr>
            </w:pPr>
            <w:r>
              <w:rPr>
                <w:snapToGrid w:val="0"/>
                <w:u w:color="000000"/>
                <w:lang w:bidi="en-US"/>
              </w:rPr>
              <w:t>72</w:t>
            </w:r>
          </w:p>
        </w:tc>
        <w:tc>
          <w:tcPr>
            <w:tcW w:w="424" w:type="pct"/>
            <w:shd w:val="clear" w:color="auto" w:fill="auto"/>
            <w:vAlign w:val="center"/>
          </w:tcPr>
          <w:p w14:paraId="4B9AE15D"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0FC48355" w14:textId="77777777" w:rsidR="002E474C" w:rsidRDefault="00000000">
            <w:pPr>
              <w:pStyle w:val="A-"/>
              <w:rPr>
                <w:snapToGrid w:val="0"/>
                <w:u w:color="000000"/>
                <w:lang w:bidi="en-US"/>
              </w:rPr>
            </w:pPr>
            <w:r>
              <w:rPr>
                <w:snapToGrid w:val="0"/>
                <w:u w:color="000000"/>
                <w:lang w:bidi="en-US"/>
              </w:rPr>
              <w:t>达标</w:t>
            </w:r>
          </w:p>
        </w:tc>
      </w:tr>
      <w:tr w:rsidR="002E474C" w14:paraId="036F767B" w14:textId="77777777">
        <w:trPr>
          <w:jc w:val="center"/>
        </w:trPr>
        <w:tc>
          <w:tcPr>
            <w:tcW w:w="554" w:type="pct"/>
            <w:vMerge/>
            <w:shd w:val="clear" w:color="auto" w:fill="auto"/>
            <w:vAlign w:val="center"/>
          </w:tcPr>
          <w:p w14:paraId="6BCC2D4F" w14:textId="77777777" w:rsidR="002E474C" w:rsidRDefault="002E474C">
            <w:pPr>
              <w:pStyle w:val="A-"/>
              <w:rPr>
                <w:snapToGrid w:val="0"/>
                <w:u w:color="000000"/>
                <w:lang w:bidi="en-US"/>
              </w:rPr>
            </w:pPr>
          </w:p>
        </w:tc>
        <w:tc>
          <w:tcPr>
            <w:tcW w:w="813" w:type="pct"/>
            <w:shd w:val="clear" w:color="auto" w:fill="auto"/>
            <w:vAlign w:val="center"/>
          </w:tcPr>
          <w:p w14:paraId="12F313CF" w14:textId="77777777" w:rsidR="002E474C" w:rsidRDefault="00000000">
            <w:pPr>
              <w:pStyle w:val="A-"/>
              <w:rPr>
                <w:snapToGrid w:val="0"/>
                <w:u w:color="000000"/>
                <w:lang w:bidi="en-US"/>
              </w:rPr>
            </w:pPr>
            <w:r>
              <w:t>二噁英类</w:t>
            </w:r>
          </w:p>
        </w:tc>
        <w:tc>
          <w:tcPr>
            <w:tcW w:w="554" w:type="pct"/>
            <w:shd w:val="clear" w:color="auto" w:fill="auto"/>
          </w:tcPr>
          <w:p w14:paraId="124B9EA1"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7A114354" w14:textId="77777777" w:rsidR="002E474C" w:rsidRDefault="00000000">
            <w:pPr>
              <w:pStyle w:val="A-"/>
              <w:rPr>
                <w:snapToGrid w:val="0"/>
                <w:u w:color="000000"/>
                <w:lang w:bidi="en-US"/>
              </w:rPr>
            </w:pPr>
            <w:r>
              <w:t>1.2pg/m</w:t>
            </w:r>
            <w:r>
              <w:rPr>
                <w:vertAlign w:val="superscript"/>
              </w:rPr>
              <w:t>3</w:t>
            </w:r>
            <w:r>
              <w:t>（折算）</w:t>
            </w:r>
          </w:p>
        </w:tc>
        <w:tc>
          <w:tcPr>
            <w:tcW w:w="943" w:type="pct"/>
            <w:shd w:val="clear" w:color="auto" w:fill="auto"/>
            <w:vAlign w:val="center"/>
          </w:tcPr>
          <w:p w14:paraId="0350DA3E" w14:textId="77777777" w:rsidR="002E474C" w:rsidRDefault="00000000">
            <w:pPr>
              <w:pStyle w:val="A-"/>
              <w:rPr>
                <w:snapToGrid w:val="0"/>
                <w:u w:color="000000"/>
                <w:lang w:bidi="en-US"/>
              </w:rPr>
            </w:pPr>
            <w:r>
              <w:rPr>
                <w:snapToGrid w:val="0"/>
                <w:u w:color="000000"/>
                <w:lang w:bidi="en-US"/>
              </w:rPr>
              <w:t>0.017</w:t>
            </w:r>
            <w:r>
              <w:rPr>
                <w:snapToGrid w:val="0"/>
                <w:u w:color="000000"/>
                <w:lang w:bidi="en-US"/>
              </w:rPr>
              <w:t>～</w:t>
            </w:r>
            <w:r>
              <w:rPr>
                <w:snapToGrid w:val="0"/>
                <w:u w:color="000000"/>
                <w:lang w:bidi="en-US"/>
              </w:rPr>
              <w:t>0.021</w:t>
            </w:r>
          </w:p>
        </w:tc>
        <w:tc>
          <w:tcPr>
            <w:tcW w:w="391" w:type="pct"/>
            <w:shd w:val="clear" w:color="auto" w:fill="auto"/>
            <w:vAlign w:val="center"/>
          </w:tcPr>
          <w:p w14:paraId="4FD11F37" w14:textId="77777777" w:rsidR="002E474C" w:rsidRDefault="00000000">
            <w:pPr>
              <w:pStyle w:val="A-"/>
              <w:rPr>
                <w:snapToGrid w:val="0"/>
                <w:u w:color="000000"/>
                <w:lang w:bidi="en-US"/>
              </w:rPr>
            </w:pPr>
            <w:r>
              <w:rPr>
                <w:snapToGrid w:val="0"/>
                <w:u w:color="000000"/>
                <w:lang w:bidi="en-US"/>
              </w:rPr>
              <w:t>1.75</w:t>
            </w:r>
          </w:p>
        </w:tc>
        <w:tc>
          <w:tcPr>
            <w:tcW w:w="424" w:type="pct"/>
            <w:shd w:val="clear" w:color="auto" w:fill="auto"/>
            <w:vAlign w:val="center"/>
          </w:tcPr>
          <w:p w14:paraId="24A75EA5"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43E6AC5E" w14:textId="77777777" w:rsidR="002E474C" w:rsidRDefault="00000000">
            <w:pPr>
              <w:pStyle w:val="A-"/>
              <w:rPr>
                <w:snapToGrid w:val="0"/>
                <w:u w:color="000000"/>
                <w:lang w:bidi="en-US"/>
              </w:rPr>
            </w:pPr>
            <w:r>
              <w:rPr>
                <w:snapToGrid w:val="0"/>
                <w:u w:color="000000"/>
                <w:lang w:bidi="en-US"/>
              </w:rPr>
              <w:t>达标</w:t>
            </w:r>
          </w:p>
        </w:tc>
      </w:tr>
      <w:tr w:rsidR="002E474C" w14:paraId="167719C5" w14:textId="77777777">
        <w:trPr>
          <w:jc w:val="center"/>
        </w:trPr>
        <w:tc>
          <w:tcPr>
            <w:tcW w:w="554" w:type="pct"/>
            <w:vMerge/>
            <w:shd w:val="clear" w:color="auto" w:fill="auto"/>
            <w:vAlign w:val="center"/>
          </w:tcPr>
          <w:p w14:paraId="66210879" w14:textId="77777777" w:rsidR="002E474C" w:rsidRDefault="002E474C">
            <w:pPr>
              <w:pStyle w:val="A-"/>
              <w:rPr>
                <w:snapToGrid w:val="0"/>
                <w:u w:color="000000"/>
                <w:lang w:bidi="en-US"/>
              </w:rPr>
            </w:pPr>
          </w:p>
        </w:tc>
        <w:tc>
          <w:tcPr>
            <w:tcW w:w="813" w:type="pct"/>
            <w:shd w:val="clear" w:color="auto" w:fill="auto"/>
            <w:vAlign w:val="center"/>
          </w:tcPr>
          <w:p w14:paraId="1C4F0837" w14:textId="77777777" w:rsidR="002E474C" w:rsidRDefault="00000000">
            <w:pPr>
              <w:pStyle w:val="A-"/>
              <w:rPr>
                <w:snapToGrid w:val="0"/>
                <w:u w:color="000000"/>
                <w:lang w:bidi="en-US"/>
              </w:rPr>
            </w:pPr>
            <w:r>
              <w:rPr>
                <w:snapToGrid w:val="0"/>
                <w:u w:color="000000"/>
                <w:lang w:bidi="en-US"/>
              </w:rPr>
              <w:t>臭气浓度</w:t>
            </w:r>
          </w:p>
        </w:tc>
        <w:tc>
          <w:tcPr>
            <w:tcW w:w="554" w:type="pct"/>
            <w:shd w:val="clear" w:color="auto" w:fill="auto"/>
            <w:vAlign w:val="center"/>
          </w:tcPr>
          <w:p w14:paraId="1EFADBEE" w14:textId="77777777" w:rsidR="002E474C" w:rsidRDefault="00000000">
            <w:pPr>
              <w:pStyle w:val="A-"/>
              <w:rPr>
                <w:snapToGrid w:val="0"/>
                <w:u w:color="000000"/>
                <w:lang w:bidi="en-US"/>
              </w:rPr>
            </w:pPr>
            <w:r>
              <w:rPr>
                <w:snapToGrid w:val="0"/>
                <w:u w:color="000000"/>
                <w:lang w:bidi="en-US"/>
              </w:rPr>
              <w:t>一次值</w:t>
            </w:r>
          </w:p>
        </w:tc>
        <w:tc>
          <w:tcPr>
            <w:tcW w:w="1027" w:type="pct"/>
            <w:shd w:val="clear" w:color="auto" w:fill="auto"/>
            <w:vAlign w:val="center"/>
          </w:tcPr>
          <w:p w14:paraId="18D40AE9" w14:textId="77777777" w:rsidR="002E474C" w:rsidRDefault="00000000">
            <w:pPr>
              <w:pStyle w:val="A-"/>
            </w:pPr>
            <w:r>
              <w:t>-</w:t>
            </w:r>
          </w:p>
        </w:tc>
        <w:tc>
          <w:tcPr>
            <w:tcW w:w="943" w:type="pct"/>
            <w:shd w:val="clear" w:color="auto" w:fill="auto"/>
            <w:vAlign w:val="center"/>
          </w:tcPr>
          <w:p w14:paraId="19B35122" w14:textId="77777777" w:rsidR="002E474C" w:rsidRDefault="00000000">
            <w:pPr>
              <w:pStyle w:val="A-"/>
            </w:pPr>
            <w:r>
              <w:t>＜</w:t>
            </w:r>
            <w:r>
              <w:t>10</w:t>
            </w:r>
            <w:r>
              <w:t>（无量纲）</w:t>
            </w:r>
          </w:p>
        </w:tc>
        <w:tc>
          <w:tcPr>
            <w:tcW w:w="391" w:type="pct"/>
            <w:shd w:val="clear" w:color="auto" w:fill="auto"/>
            <w:vAlign w:val="center"/>
          </w:tcPr>
          <w:p w14:paraId="0F3C3994" w14:textId="77777777" w:rsidR="002E474C" w:rsidRDefault="00000000">
            <w:pPr>
              <w:pStyle w:val="A-"/>
            </w:pPr>
            <w:r>
              <w:t>-</w:t>
            </w:r>
          </w:p>
        </w:tc>
        <w:tc>
          <w:tcPr>
            <w:tcW w:w="424" w:type="pct"/>
            <w:shd w:val="clear" w:color="auto" w:fill="auto"/>
            <w:vAlign w:val="center"/>
          </w:tcPr>
          <w:p w14:paraId="1479AD66" w14:textId="77777777" w:rsidR="002E474C" w:rsidRDefault="00000000">
            <w:pPr>
              <w:pStyle w:val="A-"/>
              <w:rPr>
                <w:snapToGrid w:val="0"/>
                <w:u w:color="000000"/>
                <w:lang w:bidi="en-US"/>
              </w:rPr>
            </w:pPr>
            <w:r>
              <w:rPr>
                <w:snapToGrid w:val="0"/>
                <w:u w:color="000000"/>
                <w:lang w:bidi="en-US"/>
              </w:rPr>
              <w:t>-</w:t>
            </w:r>
          </w:p>
        </w:tc>
        <w:tc>
          <w:tcPr>
            <w:tcW w:w="294" w:type="pct"/>
            <w:shd w:val="clear" w:color="auto" w:fill="auto"/>
            <w:vAlign w:val="center"/>
          </w:tcPr>
          <w:p w14:paraId="1AFDD23C" w14:textId="77777777" w:rsidR="002E474C" w:rsidRDefault="00000000">
            <w:pPr>
              <w:pStyle w:val="A-"/>
              <w:rPr>
                <w:snapToGrid w:val="0"/>
                <w:u w:color="000000"/>
                <w:lang w:bidi="en-US"/>
              </w:rPr>
            </w:pPr>
            <w:r>
              <w:rPr>
                <w:snapToGrid w:val="0"/>
                <w:u w:color="000000"/>
                <w:lang w:bidi="en-US"/>
              </w:rPr>
              <w:t>-</w:t>
            </w:r>
          </w:p>
        </w:tc>
      </w:tr>
      <w:tr w:rsidR="002E474C" w14:paraId="73614E66" w14:textId="77777777">
        <w:trPr>
          <w:jc w:val="center"/>
        </w:trPr>
        <w:tc>
          <w:tcPr>
            <w:tcW w:w="554" w:type="pct"/>
            <w:vMerge w:val="restart"/>
            <w:shd w:val="clear" w:color="auto" w:fill="auto"/>
            <w:vAlign w:val="center"/>
          </w:tcPr>
          <w:p w14:paraId="72246977" w14:textId="77777777" w:rsidR="002E474C" w:rsidRDefault="00000000">
            <w:pPr>
              <w:pStyle w:val="A-"/>
              <w:rPr>
                <w:snapToGrid w:val="0"/>
                <w:u w:color="000000"/>
                <w:lang w:bidi="en-US"/>
              </w:rPr>
            </w:pPr>
            <w:r>
              <w:rPr>
                <w:snapToGrid w:val="0"/>
                <w:u w:color="000000"/>
                <w:lang w:bidi="en-US"/>
              </w:rPr>
              <w:t>G2</w:t>
            </w:r>
          </w:p>
        </w:tc>
        <w:tc>
          <w:tcPr>
            <w:tcW w:w="813" w:type="pct"/>
            <w:shd w:val="clear" w:color="auto" w:fill="auto"/>
            <w:vAlign w:val="center"/>
          </w:tcPr>
          <w:p w14:paraId="79EEDE55" w14:textId="77777777" w:rsidR="002E474C" w:rsidRDefault="00000000">
            <w:pPr>
              <w:pStyle w:val="A-"/>
              <w:rPr>
                <w:snapToGrid w:val="0"/>
                <w:u w:color="000000"/>
                <w:lang w:bidi="en-US"/>
              </w:rPr>
            </w:pPr>
            <w:r>
              <w:t>SO</w:t>
            </w:r>
            <w:r>
              <w:rPr>
                <w:vertAlign w:val="subscript"/>
              </w:rPr>
              <w:t>2</w:t>
            </w:r>
          </w:p>
        </w:tc>
        <w:tc>
          <w:tcPr>
            <w:tcW w:w="554" w:type="pct"/>
            <w:shd w:val="clear" w:color="auto" w:fill="auto"/>
          </w:tcPr>
          <w:p w14:paraId="5BD4567E"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7C070419" w14:textId="77777777" w:rsidR="002E474C" w:rsidRDefault="00000000">
            <w:pPr>
              <w:pStyle w:val="A-"/>
            </w:pPr>
            <w:r>
              <w:rPr>
                <w:rStyle w:val="afffff5"/>
              </w:rPr>
              <w:t>150</w:t>
            </w:r>
          </w:p>
        </w:tc>
        <w:tc>
          <w:tcPr>
            <w:tcW w:w="943" w:type="pct"/>
            <w:shd w:val="clear" w:color="auto" w:fill="auto"/>
            <w:vAlign w:val="center"/>
          </w:tcPr>
          <w:p w14:paraId="34353B9A" w14:textId="77777777" w:rsidR="002E474C" w:rsidRDefault="00000000">
            <w:pPr>
              <w:pStyle w:val="A-"/>
            </w:pPr>
            <w:r>
              <w:t>10</w:t>
            </w:r>
            <w:r>
              <w:rPr>
                <w:snapToGrid w:val="0"/>
                <w:u w:color="000000"/>
                <w:lang w:bidi="en-US"/>
              </w:rPr>
              <w:t>～</w:t>
            </w:r>
            <w:r>
              <w:rPr>
                <w:snapToGrid w:val="0"/>
                <w:u w:color="000000"/>
                <w:lang w:bidi="en-US"/>
              </w:rPr>
              <w:t>15</w:t>
            </w:r>
          </w:p>
        </w:tc>
        <w:tc>
          <w:tcPr>
            <w:tcW w:w="391" w:type="pct"/>
            <w:shd w:val="clear" w:color="auto" w:fill="auto"/>
            <w:vAlign w:val="center"/>
          </w:tcPr>
          <w:p w14:paraId="793C5AFC" w14:textId="77777777" w:rsidR="002E474C" w:rsidRDefault="00000000">
            <w:pPr>
              <w:pStyle w:val="A-"/>
            </w:pPr>
            <w:r>
              <w:t>10</w:t>
            </w:r>
          </w:p>
        </w:tc>
        <w:tc>
          <w:tcPr>
            <w:tcW w:w="424" w:type="pct"/>
            <w:shd w:val="clear" w:color="auto" w:fill="auto"/>
          </w:tcPr>
          <w:p w14:paraId="1B7B5FCC"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6716DE76" w14:textId="77777777" w:rsidR="002E474C" w:rsidRDefault="00000000">
            <w:pPr>
              <w:pStyle w:val="A-"/>
              <w:rPr>
                <w:snapToGrid w:val="0"/>
                <w:u w:color="000000"/>
                <w:lang w:bidi="en-US"/>
              </w:rPr>
            </w:pPr>
            <w:r>
              <w:rPr>
                <w:snapToGrid w:val="0"/>
                <w:u w:color="000000"/>
                <w:lang w:bidi="en-US"/>
              </w:rPr>
              <w:t>达标</w:t>
            </w:r>
          </w:p>
        </w:tc>
      </w:tr>
      <w:tr w:rsidR="002E474C" w14:paraId="18743583" w14:textId="77777777">
        <w:trPr>
          <w:jc w:val="center"/>
        </w:trPr>
        <w:tc>
          <w:tcPr>
            <w:tcW w:w="554" w:type="pct"/>
            <w:vMerge/>
            <w:shd w:val="clear" w:color="auto" w:fill="auto"/>
            <w:vAlign w:val="center"/>
          </w:tcPr>
          <w:p w14:paraId="770990B8" w14:textId="77777777" w:rsidR="002E474C" w:rsidRDefault="002E474C">
            <w:pPr>
              <w:pStyle w:val="A-"/>
              <w:rPr>
                <w:snapToGrid w:val="0"/>
                <w:u w:color="000000"/>
                <w:lang w:bidi="en-US"/>
              </w:rPr>
            </w:pPr>
          </w:p>
        </w:tc>
        <w:tc>
          <w:tcPr>
            <w:tcW w:w="813" w:type="pct"/>
            <w:shd w:val="clear" w:color="auto" w:fill="auto"/>
            <w:vAlign w:val="center"/>
          </w:tcPr>
          <w:p w14:paraId="4501D1D0" w14:textId="77777777" w:rsidR="002E474C" w:rsidRDefault="00000000">
            <w:pPr>
              <w:pStyle w:val="A-"/>
              <w:rPr>
                <w:snapToGrid w:val="0"/>
                <w:u w:color="000000"/>
                <w:lang w:bidi="en-US"/>
              </w:rPr>
            </w:pPr>
            <w:r>
              <w:t>NO</w:t>
            </w:r>
            <w:r>
              <w:rPr>
                <w:vertAlign w:val="subscript"/>
              </w:rPr>
              <w:t>x</w:t>
            </w:r>
          </w:p>
        </w:tc>
        <w:tc>
          <w:tcPr>
            <w:tcW w:w="554" w:type="pct"/>
            <w:shd w:val="clear" w:color="auto" w:fill="auto"/>
          </w:tcPr>
          <w:p w14:paraId="71DAF2D9"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77A36A50" w14:textId="77777777" w:rsidR="002E474C" w:rsidRDefault="00000000">
            <w:pPr>
              <w:pStyle w:val="A-"/>
            </w:pPr>
            <w:r>
              <w:rPr>
                <w:rStyle w:val="afffff5"/>
              </w:rPr>
              <w:t>100</w:t>
            </w:r>
          </w:p>
        </w:tc>
        <w:tc>
          <w:tcPr>
            <w:tcW w:w="943" w:type="pct"/>
            <w:shd w:val="clear" w:color="auto" w:fill="auto"/>
            <w:vAlign w:val="center"/>
          </w:tcPr>
          <w:p w14:paraId="53326617" w14:textId="77777777" w:rsidR="002E474C" w:rsidRDefault="00000000">
            <w:pPr>
              <w:pStyle w:val="A-"/>
            </w:pPr>
            <w:r>
              <w:t>14</w:t>
            </w:r>
            <w:r>
              <w:rPr>
                <w:snapToGrid w:val="0"/>
                <w:u w:color="000000"/>
                <w:lang w:bidi="en-US"/>
              </w:rPr>
              <w:t>～</w:t>
            </w:r>
            <w:r>
              <w:rPr>
                <w:snapToGrid w:val="0"/>
                <w:u w:color="000000"/>
                <w:lang w:bidi="en-US"/>
              </w:rPr>
              <w:t>19</w:t>
            </w:r>
          </w:p>
        </w:tc>
        <w:tc>
          <w:tcPr>
            <w:tcW w:w="391" w:type="pct"/>
            <w:shd w:val="clear" w:color="auto" w:fill="auto"/>
            <w:vAlign w:val="center"/>
          </w:tcPr>
          <w:p w14:paraId="4F8350E7" w14:textId="77777777" w:rsidR="002E474C" w:rsidRDefault="00000000">
            <w:pPr>
              <w:pStyle w:val="A-"/>
            </w:pPr>
            <w:r>
              <w:t>19</w:t>
            </w:r>
          </w:p>
        </w:tc>
        <w:tc>
          <w:tcPr>
            <w:tcW w:w="424" w:type="pct"/>
            <w:shd w:val="clear" w:color="auto" w:fill="auto"/>
          </w:tcPr>
          <w:p w14:paraId="7BC391DE"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18BFFDB1" w14:textId="77777777" w:rsidR="002E474C" w:rsidRDefault="00000000">
            <w:pPr>
              <w:pStyle w:val="A-"/>
              <w:rPr>
                <w:snapToGrid w:val="0"/>
                <w:u w:color="000000"/>
                <w:lang w:bidi="en-US"/>
              </w:rPr>
            </w:pPr>
            <w:r>
              <w:rPr>
                <w:snapToGrid w:val="0"/>
                <w:u w:color="000000"/>
                <w:lang w:bidi="en-US"/>
              </w:rPr>
              <w:t>达标</w:t>
            </w:r>
          </w:p>
        </w:tc>
      </w:tr>
      <w:tr w:rsidR="002E474C" w14:paraId="7AEC26B1" w14:textId="77777777">
        <w:trPr>
          <w:jc w:val="center"/>
        </w:trPr>
        <w:tc>
          <w:tcPr>
            <w:tcW w:w="554" w:type="pct"/>
            <w:vMerge/>
            <w:shd w:val="clear" w:color="auto" w:fill="auto"/>
            <w:vAlign w:val="center"/>
          </w:tcPr>
          <w:p w14:paraId="3D359DA2" w14:textId="77777777" w:rsidR="002E474C" w:rsidRDefault="002E474C">
            <w:pPr>
              <w:pStyle w:val="A-"/>
              <w:rPr>
                <w:snapToGrid w:val="0"/>
                <w:u w:color="000000"/>
                <w:lang w:bidi="en-US"/>
              </w:rPr>
            </w:pPr>
          </w:p>
        </w:tc>
        <w:tc>
          <w:tcPr>
            <w:tcW w:w="813" w:type="pct"/>
            <w:shd w:val="clear" w:color="auto" w:fill="auto"/>
            <w:vAlign w:val="center"/>
          </w:tcPr>
          <w:p w14:paraId="4CED2EC9" w14:textId="77777777" w:rsidR="002E474C" w:rsidRDefault="00000000">
            <w:pPr>
              <w:pStyle w:val="A-"/>
              <w:rPr>
                <w:snapToGrid w:val="0"/>
                <w:u w:color="000000"/>
                <w:lang w:bidi="en-US"/>
              </w:rPr>
            </w:pPr>
            <w:r>
              <w:t>PM</w:t>
            </w:r>
            <w:r>
              <w:rPr>
                <w:vertAlign w:val="subscript"/>
              </w:rPr>
              <w:t>10</w:t>
            </w:r>
          </w:p>
        </w:tc>
        <w:tc>
          <w:tcPr>
            <w:tcW w:w="554" w:type="pct"/>
            <w:shd w:val="clear" w:color="auto" w:fill="auto"/>
          </w:tcPr>
          <w:p w14:paraId="4228B42E"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2E95166A" w14:textId="77777777" w:rsidR="002E474C" w:rsidRDefault="00000000">
            <w:pPr>
              <w:pStyle w:val="A-"/>
            </w:pPr>
            <w:r>
              <w:rPr>
                <w:rStyle w:val="afffff5"/>
              </w:rPr>
              <w:t>120</w:t>
            </w:r>
          </w:p>
        </w:tc>
        <w:tc>
          <w:tcPr>
            <w:tcW w:w="943" w:type="pct"/>
            <w:shd w:val="clear" w:color="auto" w:fill="auto"/>
            <w:vAlign w:val="center"/>
          </w:tcPr>
          <w:p w14:paraId="2889A1D9" w14:textId="77777777" w:rsidR="002E474C" w:rsidRDefault="00000000">
            <w:pPr>
              <w:pStyle w:val="A-"/>
            </w:pPr>
            <w:r>
              <w:t>100</w:t>
            </w:r>
            <w:r>
              <w:rPr>
                <w:snapToGrid w:val="0"/>
                <w:u w:color="000000"/>
                <w:lang w:bidi="en-US"/>
              </w:rPr>
              <w:t>～</w:t>
            </w:r>
            <w:r>
              <w:rPr>
                <w:snapToGrid w:val="0"/>
                <w:u w:color="000000"/>
                <w:lang w:bidi="en-US"/>
              </w:rPr>
              <w:t>107</w:t>
            </w:r>
          </w:p>
        </w:tc>
        <w:tc>
          <w:tcPr>
            <w:tcW w:w="391" w:type="pct"/>
            <w:shd w:val="clear" w:color="auto" w:fill="auto"/>
            <w:vAlign w:val="center"/>
          </w:tcPr>
          <w:p w14:paraId="4312C44B" w14:textId="77777777" w:rsidR="002E474C" w:rsidRDefault="00000000">
            <w:pPr>
              <w:pStyle w:val="A-"/>
            </w:pPr>
            <w:r>
              <w:t>89.17</w:t>
            </w:r>
          </w:p>
        </w:tc>
        <w:tc>
          <w:tcPr>
            <w:tcW w:w="424" w:type="pct"/>
            <w:shd w:val="clear" w:color="auto" w:fill="auto"/>
            <w:vAlign w:val="center"/>
          </w:tcPr>
          <w:p w14:paraId="42014F82"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vAlign w:val="center"/>
          </w:tcPr>
          <w:p w14:paraId="4753F509" w14:textId="77777777" w:rsidR="002E474C" w:rsidRDefault="00000000">
            <w:pPr>
              <w:pStyle w:val="A-"/>
              <w:rPr>
                <w:snapToGrid w:val="0"/>
                <w:u w:color="000000"/>
                <w:lang w:bidi="en-US"/>
              </w:rPr>
            </w:pPr>
            <w:r>
              <w:rPr>
                <w:snapToGrid w:val="0"/>
                <w:u w:color="000000"/>
                <w:lang w:bidi="en-US"/>
              </w:rPr>
              <w:t>达标</w:t>
            </w:r>
          </w:p>
        </w:tc>
      </w:tr>
      <w:tr w:rsidR="002E474C" w14:paraId="58320853" w14:textId="77777777">
        <w:trPr>
          <w:jc w:val="center"/>
        </w:trPr>
        <w:tc>
          <w:tcPr>
            <w:tcW w:w="554" w:type="pct"/>
            <w:vMerge/>
            <w:shd w:val="clear" w:color="auto" w:fill="auto"/>
            <w:vAlign w:val="center"/>
          </w:tcPr>
          <w:p w14:paraId="50955EFE" w14:textId="77777777" w:rsidR="002E474C" w:rsidRDefault="002E474C">
            <w:pPr>
              <w:pStyle w:val="A-"/>
              <w:rPr>
                <w:snapToGrid w:val="0"/>
                <w:u w:color="000000"/>
                <w:lang w:bidi="en-US"/>
              </w:rPr>
            </w:pPr>
          </w:p>
        </w:tc>
        <w:tc>
          <w:tcPr>
            <w:tcW w:w="813" w:type="pct"/>
            <w:shd w:val="clear" w:color="auto" w:fill="auto"/>
            <w:vAlign w:val="center"/>
          </w:tcPr>
          <w:p w14:paraId="0D6A1882" w14:textId="77777777" w:rsidR="002E474C" w:rsidRDefault="00000000">
            <w:pPr>
              <w:pStyle w:val="A-"/>
              <w:rPr>
                <w:snapToGrid w:val="0"/>
                <w:u w:color="000000"/>
                <w:lang w:bidi="en-US"/>
              </w:rPr>
            </w:pPr>
            <w:r>
              <w:t>TSP</w:t>
            </w:r>
          </w:p>
        </w:tc>
        <w:tc>
          <w:tcPr>
            <w:tcW w:w="554" w:type="pct"/>
            <w:shd w:val="clear" w:color="auto" w:fill="auto"/>
          </w:tcPr>
          <w:p w14:paraId="3A3AEBB9"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171F067" w14:textId="77777777" w:rsidR="002E474C" w:rsidRDefault="00000000">
            <w:pPr>
              <w:pStyle w:val="A-"/>
            </w:pPr>
            <w:r>
              <w:rPr>
                <w:rStyle w:val="afffff5"/>
              </w:rPr>
              <w:t>300</w:t>
            </w:r>
          </w:p>
        </w:tc>
        <w:tc>
          <w:tcPr>
            <w:tcW w:w="943" w:type="pct"/>
            <w:shd w:val="clear" w:color="auto" w:fill="auto"/>
            <w:vAlign w:val="center"/>
          </w:tcPr>
          <w:p w14:paraId="0B204AE1" w14:textId="77777777" w:rsidR="002E474C" w:rsidRDefault="00000000">
            <w:pPr>
              <w:pStyle w:val="A-"/>
            </w:pPr>
            <w:r>
              <w:t>243</w:t>
            </w:r>
            <w:r>
              <w:rPr>
                <w:snapToGrid w:val="0"/>
                <w:u w:color="000000"/>
                <w:lang w:bidi="en-US"/>
              </w:rPr>
              <w:t>～</w:t>
            </w:r>
            <w:r>
              <w:rPr>
                <w:snapToGrid w:val="0"/>
                <w:u w:color="000000"/>
                <w:lang w:bidi="en-US"/>
              </w:rPr>
              <w:t>265</w:t>
            </w:r>
          </w:p>
        </w:tc>
        <w:tc>
          <w:tcPr>
            <w:tcW w:w="391" w:type="pct"/>
            <w:shd w:val="clear" w:color="auto" w:fill="auto"/>
            <w:vAlign w:val="center"/>
          </w:tcPr>
          <w:p w14:paraId="70E55AB3" w14:textId="77777777" w:rsidR="002E474C" w:rsidRDefault="00000000">
            <w:pPr>
              <w:pStyle w:val="A-"/>
            </w:pPr>
            <w:r>
              <w:t>88.33</w:t>
            </w:r>
          </w:p>
        </w:tc>
        <w:tc>
          <w:tcPr>
            <w:tcW w:w="424" w:type="pct"/>
            <w:shd w:val="clear" w:color="auto" w:fill="auto"/>
          </w:tcPr>
          <w:p w14:paraId="29D57CE0"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7E24788F" w14:textId="77777777" w:rsidR="002E474C" w:rsidRDefault="00000000">
            <w:pPr>
              <w:pStyle w:val="A-"/>
              <w:rPr>
                <w:snapToGrid w:val="0"/>
                <w:u w:color="000000"/>
                <w:lang w:bidi="en-US"/>
              </w:rPr>
            </w:pPr>
            <w:r>
              <w:rPr>
                <w:snapToGrid w:val="0"/>
                <w:u w:color="000000"/>
                <w:lang w:bidi="en-US"/>
              </w:rPr>
              <w:t>达标</w:t>
            </w:r>
          </w:p>
        </w:tc>
      </w:tr>
      <w:tr w:rsidR="002E474C" w14:paraId="42AE32A6" w14:textId="77777777">
        <w:trPr>
          <w:jc w:val="center"/>
        </w:trPr>
        <w:tc>
          <w:tcPr>
            <w:tcW w:w="554" w:type="pct"/>
            <w:vMerge/>
            <w:shd w:val="clear" w:color="auto" w:fill="auto"/>
            <w:vAlign w:val="center"/>
          </w:tcPr>
          <w:p w14:paraId="12763418" w14:textId="77777777" w:rsidR="002E474C" w:rsidRDefault="002E474C">
            <w:pPr>
              <w:pStyle w:val="A-"/>
              <w:rPr>
                <w:snapToGrid w:val="0"/>
                <w:u w:color="000000"/>
                <w:lang w:bidi="en-US"/>
              </w:rPr>
            </w:pPr>
          </w:p>
        </w:tc>
        <w:tc>
          <w:tcPr>
            <w:tcW w:w="813" w:type="pct"/>
            <w:shd w:val="clear" w:color="auto" w:fill="auto"/>
            <w:vAlign w:val="center"/>
          </w:tcPr>
          <w:p w14:paraId="5BB92B53" w14:textId="77777777" w:rsidR="002E474C" w:rsidRDefault="00000000">
            <w:pPr>
              <w:pStyle w:val="A-"/>
              <w:rPr>
                <w:snapToGrid w:val="0"/>
                <w:u w:color="000000"/>
                <w:lang w:bidi="en-US"/>
              </w:rPr>
            </w:pPr>
            <w:r>
              <w:t>硫化氢</w:t>
            </w:r>
          </w:p>
        </w:tc>
        <w:tc>
          <w:tcPr>
            <w:tcW w:w="554" w:type="pct"/>
            <w:shd w:val="clear" w:color="auto" w:fill="auto"/>
          </w:tcPr>
          <w:p w14:paraId="69BFE83D"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023D6B3E" w14:textId="77777777" w:rsidR="002E474C" w:rsidRDefault="00000000">
            <w:pPr>
              <w:pStyle w:val="A-"/>
            </w:pPr>
            <w:r>
              <w:t>10</w:t>
            </w:r>
          </w:p>
        </w:tc>
        <w:tc>
          <w:tcPr>
            <w:tcW w:w="943" w:type="pct"/>
            <w:shd w:val="clear" w:color="auto" w:fill="auto"/>
            <w:vAlign w:val="center"/>
          </w:tcPr>
          <w:p w14:paraId="0947DF67" w14:textId="77777777" w:rsidR="002E474C" w:rsidRDefault="00000000">
            <w:pPr>
              <w:pStyle w:val="A-"/>
            </w:pPr>
            <w:r>
              <w:t>＜</w:t>
            </w:r>
            <w:r>
              <w:t>1.0</w:t>
            </w:r>
          </w:p>
        </w:tc>
        <w:tc>
          <w:tcPr>
            <w:tcW w:w="391" w:type="pct"/>
            <w:shd w:val="clear" w:color="auto" w:fill="auto"/>
            <w:vAlign w:val="center"/>
          </w:tcPr>
          <w:p w14:paraId="2552168A" w14:textId="77777777" w:rsidR="002E474C" w:rsidRDefault="00000000">
            <w:pPr>
              <w:pStyle w:val="A-"/>
            </w:pPr>
            <w:r>
              <w:t>-</w:t>
            </w:r>
          </w:p>
        </w:tc>
        <w:tc>
          <w:tcPr>
            <w:tcW w:w="424" w:type="pct"/>
            <w:shd w:val="clear" w:color="auto" w:fill="auto"/>
          </w:tcPr>
          <w:p w14:paraId="5937655E"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D38AF69" w14:textId="77777777" w:rsidR="002E474C" w:rsidRDefault="00000000">
            <w:pPr>
              <w:pStyle w:val="A-"/>
              <w:rPr>
                <w:snapToGrid w:val="0"/>
                <w:u w:color="000000"/>
                <w:lang w:bidi="en-US"/>
              </w:rPr>
            </w:pPr>
            <w:r>
              <w:rPr>
                <w:snapToGrid w:val="0"/>
                <w:u w:color="000000"/>
                <w:lang w:bidi="en-US"/>
              </w:rPr>
              <w:t>达标</w:t>
            </w:r>
          </w:p>
        </w:tc>
      </w:tr>
      <w:tr w:rsidR="002E474C" w14:paraId="5314010D" w14:textId="77777777">
        <w:trPr>
          <w:jc w:val="center"/>
        </w:trPr>
        <w:tc>
          <w:tcPr>
            <w:tcW w:w="554" w:type="pct"/>
            <w:vMerge/>
            <w:shd w:val="clear" w:color="auto" w:fill="auto"/>
            <w:vAlign w:val="center"/>
          </w:tcPr>
          <w:p w14:paraId="2FD9EC89" w14:textId="77777777" w:rsidR="002E474C" w:rsidRDefault="002E474C">
            <w:pPr>
              <w:pStyle w:val="A-"/>
              <w:rPr>
                <w:snapToGrid w:val="0"/>
                <w:u w:color="000000"/>
                <w:lang w:bidi="en-US"/>
              </w:rPr>
            </w:pPr>
          </w:p>
        </w:tc>
        <w:tc>
          <w:tcPr>
            <w:tcW w:w="813" w:type="pct"/>
            <w:shd w:val="clear" w:color="auto" w:fill="auto"/>
            <w:vAlign w:val="center"/>
          </w:tcPr>
          <w:p w14:paraId="565422A1" w14:textId="77777777" w:rsidR="002E474C" w:rsidRDefault="00000000">
            <w:pPr>
              <w:pStyle w:val="A-"/>
              <w:rPr>
                <w:snapToGrid w:val="0"/>
                <w:u w:color="000000"/>
                <w:lang w:bidi="en-US"/>
              </w:rPr>
            </w:pPr>
            <w:r>
              <w:t>氨</w:t>
            </w:r>
          </w:p>
        </w:tc>
        <w:tc>
          <w:tcPr>
            <w:tcW w:w="554" w:type="pct"/>
            <w:shd w:val="clear" w:color="auto" w:fill="auto"/>
          </w:tcPr>
          <w:p w14:paraId="74C152AD"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378DAF09" w14:textId="77777777" w:rsidR="002E474C" w:rsidRDefault="00000000">
            <w:pPr>
              <w:pStyle w:val="A-"/>
            </w:pPr>
            <w:r>
              <w:t>200</w:t>
            </w:r>
          </w:p>
        </w:tc>
        <w:tc>
          <w:tcPr>
            <w:tcW w:w="943" w:type="pct"/>
            <w:shd w:val="clear" w:color="auto" w:fill="auto"/>
            <w:vAlign w:val="center"/>
          </w:tcPr>
          <w:p w14:paraId="5180AD3B" w14:textId="77777777" w:rsidR="002E474C" w:rsidRDefault="00000000">
            <w:pPr>
              <w:pStyle w:val="A-"/>
            </w:pPr>
            <w:r>
              <w:t>68</w:t>
            </w:r>
            <w:r>
              <w:t>～</w:t>
            </w:r>
            <w:r>
              <w:t>97</w:t>
            </w:r>
          </w:p>
        </w:tc>
        <w:tc>
          <w:tcPr>
            <w:tcW w:w="391" w:type="pct"/>
            <w:shd w:val="clear" w:color="auto" w:fill="auto"/>
            <w:vAlign w:val="center"/>
          </w:tcPr>
          <w:p w14:paraId="50829CC7" w14:textId="77777777" w:rsidR="002E474C" w:rsidRDefault="00000000">
            <w:pPr>
              <w:pStyle w:val="A-"/>
            </w:pPr>
            <w:r>
              <w:t>48.5</w:t>
            </w:r>
          </w:p>
        </w:tc>
        <w:tc>
          <w:tcPr>
            <w:tcW w:w="424" w:type="pct"/>
            <w:shd w:val="clear" w:color="auto" w:fill="auto"/>
          </w:tcPr>
          <w:p w14:paraId="3DC57129"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A92F6D4" w14:textId="77777777" w:rsidR="002E474C" w:rsidRDefault="00000000">
            <w:pPr>
              <w:pStyle w:val="A-"/>
              <w:rPr>
                <w:snapToGrid w:val="0"/>
                <w:u w:color="000000"/>
                <w:lang w:bidi="en-US"/>
              </w:rPr>
            </w:pPr>
            <w:r>
              <w:rPr>
                <w:snapToGrid w:val="0"/>
                <w:u w:color="000000"/>
                <w:lang w:bidi="en-US"/>
              </w:rPr>
              <w:t>达标</w:t>
            </w:r>
          </w:p>
        </w:tc>
      </w:tr>
      <w:tr w:rsidR="002E474C" w14:paraId="7ED26208" w14:textId="77777777">
        <w:trPr>
          <w:jc w:val="center"/>
        </w:trPr>
        <w:tc>
          <w:tcPr>
            <w:tcW w:w="554" w:type="pct"/>
            <w:vMerge/>
            <w:shd w:val="clear" w:color="auto" w:fill="auto"/>
            <w:vAlign w:val="center"/>
          </w:tcPr>
          <w:p w14:paraId="417927FD" w14:textId="77777777" w:rsidR="002E474C" w:rsidRDefault="002E474C">
            <w:pPr>
              <w:pStyle w:val="A-"/>
              <w:rPr>
                <w:snapToGrid w:val="0"/>
                <w:u w:color="000000"/>
                <w:lang w:bidi="en-US"/>
              </w:rPr>
            </w:pPr>
          </w:p>
        </w:tc>
        <w:tc>
          <w:tcPr>
            <w:tcW w:w="813" w:type="pct"/>
            <w:shd w:val="clear" w:color="auto" w:fill="auto"/>
            <w:vAlign w:val="center"/>
          </w:tcPr>
          <w:p w14:paraId="5FFFEDB3" w14:textId="77777777" w:rsidR="002E474C" w:rsidRDefault="00000000">
            <w:pPr>
              <w:pStyle w:val="A-"/>
              <w:rPr>
                <w:snapToGrid w:val="0"/>
                <w:u w:color="000000"/>
                <w:lang w:bidi="en-US"/>
              </w:rPr>
            </w:pPr>
            <w:r>
              <w:t>锰及其化合物</w:t>
            </w:r>
          </w:p>
        </w:tc>
        <w:tc>
          <w:tcPr>
            <w:tcW w:w="554" w:type="pct"/>
            <w:shd w:val="clear" w:color="auto" w:fill="auto"/>
          </w:tcPr>
          <w:p w14:paraId="784ECF3B"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270F729" w14:textId="77777777" w:rsidR="002E474C" w:rsidRDefault="00000000">
            <w:pPr>
              <w:pStyle w:val="A-"/>
            </w:pPr>
            <w:r>
              <w:t>10</w:t>
            </w:r>
          </w:p>
        </w:tc>
        <w:tc>
          <w:tcPr>
            <w:tcW w:w="943" w:type="pct"/>
            <w:shd w:val="clear" w:color="auto" w:fill="auto"/>
            <w:vAlign w:val="center"/>
          </w:tcPr>
          <w:p w14:paraId="42C68296" w14:textId="77777777" w:rsidR="002E474C" w:rsidRDefault="00000000">
            <w:pPr>
              <w:pStyle w:val="A-"/>
            </w:pPr>
            <w:r>
              <w:rPr>
                <w:snapToGrid w:val="0"/>
                <w:u w:color="000000"/>
                <w:lang w:bidi="en-US"/>
              </w:rPr>
              <w:t>0.003L</w:t>
            </w:r>
          </w:p>
        </w:tc>
        <w:tc>
          <w:tcPr>
            <w:tcW w:w="391" w:type="pct"/>
            <w:shd w:val="clear" w:color="auto" w:fill="auto"/>
          </w:tcPr>
          <w:p w14:paraId="548C9227" w14:textId="77777777" w:rsidR="002E474C" w:rsidRDefault="00000000">
            <w:pPr>
              <w:pStyle w:val="A-"/>
            </w:pPr>
            <w:r>
              <w:t>-</w:t>
            </w:r>
          </w:p>
        </w:tc>
        <w:tc>
          <w:tcPr>
            <w:tcW w:w="424" w:type="pct"/>
            <w:shd w:val="clear" w:color="auto" w:fill="auto"/>
          </w:tcPr>
          <w:p w14:paraId="2FCFD4F6"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3299F55" w14:textId="77777777" w:rsidR="002E474C" w:rsidRDefault="00000000">
            <w:pPr>
              <w:pStyle w:val="A-"/>
              <w:rPr>
                <w:snapToGrid w:val="0"/>
                <w:u w:color="000000"/>
                <w:lang w:bidi="en-US"/>
              </w:rPr>
            </w:pPr>
            <w:r>
              <w:rPr>
                <w:snapToGrid w:val="0"/>
                <w:u w:color="000000"/>
                <w:lang w:bidi="en-US"/>
              </w:rPr>
              <w:t>达标</w:t>
            </w:r>
          </w:p>
        </w:tc>
      </w:tr>
      <w:tr w:rsidR="002E474C" w14:paraId="7AF7599E" w14:textId="77777777">
        <w:trPr>
          <w:jc w:val="center"/>
        </w:trPr>
        <w:tc>
          <w:tcPr>
            <w:tcW w:w="554" w:type="pct"/>
            <w:vMerge/>
            <w:shd w:val="clear" w:color="auto" w:fill="auto"/>
            <w:vAlign w:val="center"/>
          </w:tcPr>
          <w:p w14:paraId="6807CB29" w14:textId="77777777" w:rsidR="002E474C" w:rsidRDefault="002E474C">
            <w:pPr>
              <w:pStyle w:val="A-"/>
              <w:rPr>
                <w:snapToGrid w:val="0"/>
                <w:u w:color="000000"/>
                <w:lang w:bidi="en-US"/>
              </w:rPr>
            </w:pPr>
          </w:p>
        </w:tc>
        <w:tc>
          <w:tcPr>
            <w:tcW w:w="813" w:type="pct"/>
            <w:shd w:val="clear" w:color="auto" w:fill="auto"/>
            <w:vAlign w:val="center"/>
          </w:tcPr>
          <w:p w14:paraId="0E09C049" w14:textId="77777777" w:rsidR="002E474C" w:rsidRDefault="00000000">
            <w:pPr>
              <w:pStyle w:val="A-"/>
              <w:rPr>
                <w:snapToGrid w:val="0"/>
                <w:u w:color="000000"/>
                <w:lang w:bidi="en-US"/>
              </w:rPr>
            </w:pPr>
            <w:r>
              <w:t>氯化氢</w:t>
            </w:r>
          </w:p>
        </w:tc>
        <w:tc>
          <w:tcPr>
            <w:tcW w:w="554" w:type="pct"/>
            <w:shd w:val="clear" w:color="auto" w:fill="auto"/>
          </w:tcPr>
          <w:p w14:paraId="27226293" w14:textId="77777777" w:rsidR="002E474C" w:rsidRDefault="00000000">
            <w:pPr>
              <w:pStyle w:val="A-"/>
              <w:rPr>
                <w:snapToGrid w:val="0"/>
                <w:u w:color="000000"/>
                <w:lang w:bidi="en-US"/>
              </w:rPr>
            </w:pPr>
            <w:r>
              <w:rPr>
                <w:rStyle w:val="afffff5"/>
              </w:rPr>
              <w:t>1h</w:t>
            </w:r>
            <w:r>
              <w:rPr>
                <w:rStyle w:val="afffff5"/>
              </w:rPr>
              <w:t>平均值</w:t>
            </w:r>
          </w:p>
        </w:tc>
        <w:tc>
          <w:tcPr>
            <w:tcW w:w="1027" w:type="pct"/>
            <w:shd w:val="clear" w:color="auto" w:fill="auto"/>
            <w:vAlign w:val="center"/>
          </w:tcPr>
          <w:p w14:paraId="6D2C61C3" w14:textId="77777777" w:rsidR="002E474C" w:rsidRDefault="00000000">
            <w:pPr>
              <w:pStyle w:val="A-"/>
            </w:pPr>
            <w:r>
              <w:t>50</w:t>
            </w:r>
          </w:p>
        </w:tc>
        <w:tc>
          <w:tcPr>
            <w:tcW w:w="943" w:type="pct"/>
            <w:shd w:val="clear" w:color="auto" w:fill="auto"/>
            <w:vAlign w:val="center"/>
          </w:tcPr>
          <w:p w14:paraId="5AAF772A" w14:textId="77777777" w:rsidR="002E474C" w:rsidRDefault="00000000">
            <w:pPr>
              <w:pStyle w:val="A-"/>
            </w:pPr>
            <w:r>
              <w:t>0.02L</w:t>
            </w:r>
          </w:p>
        </w:tc>
        <w:tc>
          <w:tcPr>
            <w:tcW w:w="391" w:type="pct"/>
            <w:shd w:val="clear" w:color="auto" w:fill="auto"/>
          </w:tcPr>
          <w:p w14:paraId="187B73E1" w14:textId="77777777" w:rsidR="002E474C" w:rsidRDefault="00000000">
            <w:pPr>
              <w:pStyle w:val="A-"/>
            </w:pPr>
            <w:r>
              <w:t>-</w:t>
            </w:r>
          </w:p>
        </w:tc>
        <w:tc>
          <w:tcPr>
            <w:tcW w:w="424" w:type="pct"/>
            <w:shd w:val="clear" w:color="auto" w:fill="auto"/>
          </w:tcPr>
          <w:p w14:paraId="53194E9C"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0CE9A8A4" w14:textId="77777777" w:rsidR="002E474C" w:rsidRDefault="00000000">
            <w:pPr>
              <w:pStyle w:val="A-"/>
              <w:rPr>
                <w:snapToGrid w:val="0"/>
                <w:u w:color="000000"/>
                <w:lang w:bidi="en-US"/>
              </w:rPr>
            </w:pPr>
            <w:r>
              <w:rPr>
                <w:snapToGrid w:val="0"/>
                <w:u w:color="000000"/>
                <w:lang w:bidi="en-US"/>
              </w:rPr>
              <w:t>达标</w:t>
            </w:r>
          </w:p>
        </w:tc>
      </w:tr>
      <w:tr w:rsidR="002E474C" w14:paraId="1ACAF76C" w14:textId="77777777">
        <w:trPr>
          <w:jc w:val="center"/>
        </w:trPr>
        <w:tc>
          <w:tcPr>
            <w:tcW w:w="554" w:type="pct"/>
            <w:vMerge/>
            <w:shd w:val="clear" w:color="auto" w:fill="auto"/>
            <w:vAlign w:val="center"/>
          </w:tcPr>
          <w:p w14:paraId="7E35EB85" w14:textId="77777777" w:rsidR="002E474C" w:rsidRDefault="002E474C">
            <w:pPr>
              <w:pStyle w:val="A-"/>
              <w:rPr>
                <w:snapToGrid w:val="0"/>
                <w:u w:color="000000"/>
                <w:lang w:bidi="en-US"/>
              </w:rPr>
            </w:pPr>
          </w:p>
        </w:tc>
        <w:tc>
          <w:tcPr>
            <w:tcW w:w="813" w:type="pct"/>
            <w:shd w:val="clear" w:color="auto" w:fill="auto"/>
            <w:vAlign w:val="center"/>
          </w:tcPr>
          <w:p w14:paraId="75994786" w14:textId="77777777" w:rsidR="002E474C" w:rsidRDefault="00000000">
            <w:pPr>
              <w:pStyle w:val="A-"/>
              <w:rPr>
                <w:snapToGrid w:val="0"/>
                <w:u w:color="000000"/>
                <w:lang w:bidi="en-US"/>
              </w:rPr>
            </w:pPr>
            <w:r>
              <w:t>氟化物</w:t>
            </w:r>
          </w:p>
        </w:tc>
        <w:tc>
          <w:tcPr>
            <w:tcW w:w="554" w:type="pct"/>
            <w:shd w:val="clear" w:color="auto" w:fill="auto"/>
          </w:tcPr>
          <w:p w14:paraId="1459C36A"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52AA63FE" w14:textId="77777777" w:rsidR="002E474C" w:rsidRDefault="00000000">
            <w:pPr>
              <w:pStyle w:val="A-"/>
            </w:pPr>
            <w:r>
              <w:t>7</w:t>
            </w:r>
          </w:p>
        </w:tc>
        <w:tc>
          <w:tcPr>
            <w:tcW w:w="943" w:type="pct"/>
            <w:shd w:val="clear" w:color="auto" w:fill="auto"/>
            <w:vAlign w:val="center"/>
          </w:tcPr>
          <w:p w14:paraId="6DCAE0BC" w14:textId="77777777" w:rsidR="002E474C" w:rsidRDefault="00000000">
            <w:pPr>
              <w:pStyle w:val="A-"/>
            </w:pPr>
            <w:r>
              <w:t>0.09</w:t>
            </w:r>
            <w:r>
              <w:rPr>
                <w:snapToGrid w:val="0"/>
                <w:u w:color="000000"/>
                <w:lang w:bidi="en-US"/>
              </w:rPr>
              <w:t>～</w:t>
            </w:r>
            <w:r>
              <w:rPr>
                <w:snapToGrid w:val="0"/>
                <w:u w:color="000000"/>
                <w:lang w:bidi="en-US"/>
              </w:rPr>
              <w:t>0.10</w:t>
            </w:r>
          </w:p>
        </w:tc>
        <w:tc>
          <w:tcPr>
            <w:tcW w:w="391" w:type="pct"/>
            <w:shd w:val="clear" w:color="auto" w:fill="auto"/>
            <w:vAlign w:val="center"/>
          </w:tcPr>
          <w:p w14:paraId="1B1C87DB" w14:textId="77777777" w:rsidR="002E474C" w:rsidRDefault="00000000">
            <w:pPr>
              <w:pStyle w:val="A-"/>
            </w:pPr>
            <w:r>
              <w:t>1.43</w:t>
            </w:r>
          </w:p>
        </w:tc>
        <w:tc>
          <w:tcPr>
            <w:tcW w:w="424" w:type="pct"/>
            <w:shd w:val="clear" w:color="auto" w:fill="auto"/>
          </w:tcPr>
          <w:p w14:paraId="3094A444"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16E9806" w14:textId="77777777" w:rsidR="002E474C" w:rsidRDefault="00000000">
            <w:pPr>
              <w:pStyle w:val="A-"/>
              <w:rPr>
                <w:snapToGrid w:val="0"/>
                <w:u w:color="000000"/>
                <w:lang w:bidi="en-US"/>
              </w:rPr>
            </w:pPr>
            <w:r>
              <w:rPr>
                <w:snapToGrid w:val="0"/>
                <w:u w:color="000000"/>
                <w:lang w:bidi="en-US"/>
              </w:rPr>
              <w:t>达标</w:t>
            </w:r>
          </w:p>
        </w:tc>
      </w:tr>
      <w:tr w:rsidR="002E474C" w14:paraId="3DFD2DF2" w14:textId="77777777">
        <w:trPr>
          <w:jc w:val="center"/>
        </w:trPr>
        <w:tc>
          <w:tcPr>
            <w:tcW w:w="554" w:type="pct"/>
            <w:vMerge/>
            <w:shd w:val="clear" w:color="auto" w:fill="auto"/>
            <w:vAlign w:val="center"/>
          </w:tcPr>
          <w:p w14:paraId="7782AA85" w14:textId="77777777" w:rsidR="002E474C" w:rsidRDefault="002E474C">
            <w:pPr>
              <w:pStyle w:val="A-"/>
              <w:rPr>
                <w:snapToGrid w:val="0"/>
                <w:u w:color="000000"/>
                <w:lang w:bidi="en-US"/>
              </w:rPr>
            </w:pPr>
          </w:p>
        </w:tc>
        <w:tc>
          <w:tcPr>
            <w:tcW w:w="813" w:type="pct"/>
            <w:shd w:val="clear" w:color="auto" w:fill="auto"/>
            <w:vAlign w:val="center"/>
          </w:tcPr>
          <w:p w14:paraId="6AD4AAAC" w14:textId="77777777" w:rsidR="002E474C" w:rsidRDefault="00000000">
            <w:pPr>
              <w:pStyle w:val="A-"/>
              <w:rPr>
                <w:snapToGrid w:val="0"/>
                <w:u w:color="000000"/>
                <w:lang w:bidi="en-US"/>
              </w:rPr>
            </w:pPr>
            <w:r>
              <w:t>六价铬</w:t>
            </w:r>
          </w:p>
        </w:tc>
        <w:tc>
          <w:tcPr>
            <w:tcW w:w="554" w:type="pct"/>
            <w:shd w:val="clear" w:color="auto" w:fill="auto"/>
          </w:tcPr>
          <w:p w14:paraId="7BA47A26"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6FEEF2C5" w14:textId="77777777" w:rsidR="002E474C" w:rsidRDefault="00000000">
            <w:pPr>
              <w:pStyle w:val="A-"/>
            </w:pPr>
            <w:r>
              <w:t>0.00005</w:t>
            </w:r>
            <w:r>
              <w:t>（折算）</w:t>
            </w:r>
          </w:p>
        </w:tc>
        <w:tc>
          <w:tcPr>
            <w:tcW w:w="943" w:type="pct"/>
            <w:shd w:val="clear" w:color="auto" w:fill="auto"/>
            <w:vAlign w:val="center"/>
          </w:tcPr>
          <w:p w14:paraId="3CE47038" w14:textId="77777777" w:rsidR="002E474C" w:rsidRDefault="00000000">
            <w:pPr>
              <w:pStyle w:val="A-"/>
            </w:pPr>
            <w:r>
              <w:rPr>
                <w:snapToGrid w:val="0"/>
                <w:u w:color="000000"/>
                <w:lang w:bidi="en-US"/>
              </w:rPr>
              <w:t>0.000005L</w:t>
            </w:r>
          </w:p>
        </w:tc>
        <w:tc>
          <w:tcPr>
            <w:tcW w:w="391" w:type="pct"/>
            <w:shd w:val="clear" w:color="auto" w:fill="auto"/>
          </w:tcPr>
          <w:p w14:paraId="22B1E98A" w14:textId="77777777" w:rsidR="002E474C" w:rsidRDefault="00000000">
            <w:pPr>
              <w:pStyle w:val="A-"/>
            </w:pPr>
            <w:r>
              <w:t>-</w:t>
            </w:r>
          </w:p>
        </w:tc>
        <w:tc>
          <w:tcPr>
            <w:tcW w:w="424" w:type="pct"/>
            <w:shd w:val="clear" w:color="auto" w:fill="auto"/>
          </w:tcPr>
          <w:p w14:paraId="1E591AC4"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B649D8E" w14:textId="77777777" w:rsidR="002E474C" w:rsidRDefault="00000000">
            <w:pPr>
              <w:pStyle w:val="A-"/>
              <w:rPr>
                <w:snapToGrid w:val="0"/>
                <w:u w:color="000000"/>
                <w:lang w:bidi="en-US"/>
              </w:rPr>
            </w:pPr>
            <w:r>
              <w:rPr>
                <w:snapToGrid w:val="0"/>
                <w:u w:color="000000"/>
                <w:lang w:bidi="en-US"/>
              </w:rPr>
              <w:t>达标</w:t>
            </w:r>
          </w:p>
        </w:tc>
      </w:tr>
      <w:tr w:rsidR="002E474C" w14:paraId="7962FB09" w14:textId="77777777">
        <w:trPr>
          <w:jc w:val="center"/>
        </w:trPr>
        <w:tc>
          <w:tcPr>
            <w:tcW w:w="554" w:type="pct"/>
            <w:vMerge/>
            <w:shd w:val="clear" w:color="auto" w:fill="auto"/>
            <w:vAlign w:val="center"/>
          </w:tcPr>
          <w:p w14:paraId="34D88331" w14:textId="77777777" w:rsidR="002E474C" w:rsidRDefault="002E474C">
            <w:pPr>
              <w:pStyle w:val="A-"/>
              <w:rPr>
                <w:snapToGrid w:val="0"/>
                <w:u w:color="000000"/>
                <w:lang w:bidi="en-US"/>
              </w:rPr>
            </w:pPr>
          </w:p>
        </w:tc>
        <w:tc>
          <w:tcPr>
            <w:tcW w:w="813" w:type="pct"/>
            <w:shd w:val="clear" w:color="auto" w:fill="auto"/>
            <w:vAlign w:val="center"/>
          </w:tcPr>
          <w:p w14:paraId="712DC650" w14:textId="77777777" w:rsidR="002E474C" w:rsidRDefault="00000000">
            <w:pPr>
              <w:pStyle w:val="A-"/>
              <w:rPr>
                <w:snapToGrid w:val="0"/>
                <w:u w:color="000000"/>
                <w:lang w:bidi="en-US"/>
              </w:rPr>
            </w:pPr>
            <w:r>
              <w:t>铅</w:t>
            </w:r>
          </w:p>
        </w:tc>
        <w:tc>
          <w:tcPr>
            <w:tcW w:w="554" w:type="pct"/>
            <w:shd w:val="clear" w:color="auto" w:fill="auto"/>
          </w:tcPr>
          <w:p w14:paraId="041DF143"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BBD571B" w14:textId="77777777" w:rsidR="002E474C" w:rsidRDefault="00000000">
            <w:pPr>
              <w:pStyle w:val="A-"/>
            </w:pPr>
            <w:r>
              <w:t>1.0</w:t>
            </w:r>
            <w:r>
              <w:t>（折算）</w:t>
            </w:r>
          </w:p>
        </w:tc>
        <w:tc>
          <w:tcPr>
            <w:tcW w:w="943" w:type="pct"/>
            <w:shd w:val="clear" w:color="auto" w:fill="auto"/>
            <w:vAlign w:val="center"/>
          </w:tcPr>
          <w:p w14:paraId="79C37063" w14:textId="77777777" w:rsidR="002E474C" w:rsidRDefault="00000000">
            <w:pPr>
              <w:pStyle w:val="A-"/>
            </w:pPr>
            <w:r>
              <w:rPr>
                <w:snapToGrid w:val="0"/>
                <w:u w:color="000000"/>
                <w:lang w:bidi="en-US"/>
              </w:rPr>
              <w:t>0.05L</w:t>
            </w:r>
          </w:p>
        </w:tc>
        <w:tc>
          <w:tcPr>
            <w:tcW w:w="391" w:type="pct"/>
            <w:shd w:val="clear" w:color="auto" w:fill="auto"/>
          </w:tcPr>
          <w:p w14:paraId="59BB6E0A" w14:textId="77777777" w:rsidR="002E474C" w:rsidRDefault="00000000">
            <w:pPr>
              <w:pStyle w:val="A-"/>
            </w:pPr>
            <w:r>
              <w:t>-</w:t>
            </w:r>
          </w:p>
        </w:tc>
        <w:tc>
          <w:tcPr>
            <w:tcW w:w="424" w:type="pct"/>
            <w:shd w:val="clear" w:color="auto" w:fill="auto"/>
          </w:tcPr>
          <w:p w14:paraId="06795B04"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78A552B6" w14:textId="77777777" w:rsidR="002E474C" w:rsidRDefault="00000000">
            <w:pPr>
              <w:pStyle w:val="A-"/>
              <w:rPr>
                <w:snapToGrid w:val="0"/>
                <w:u w:color="000000"/>
                <w:lang w:bidi="en-US"/>
              </w:rPr>
            </w:pPr>
            <w:r>
              <w:rPr>
                <w:snapToGrid w:val="0"/>
                <w:u w:color="000000"/>
                <w:lang w:bidi="en-US"/>
              </w:rPr>
              <w:t>达标</w:t>
            </w:r>
          </w:p>
        </w:tc>
      </w:tr>
      <w:tr w:rsidR="002E474C" w14:paraId="13C9B86C" w14:textId="77777777">
        <w:trPr>
          <w:jc w:val="center"/>
        </w:trPr>
        <w:tc>
          <w:tcPr>
            <w:tcW w:w="554" w:type="pct"/>
            <w:vMerge/>
            <w:shd w:val="clear" w:color="auto" w:fill="auto"/>
            <w:vAlign w:val="center"/>
          </w:tcPr>
          <w:p w14:paraId="65459043" w14:textId="77777777" w:rsidR="002E474C" w:rsidRDefault="002E474C">
            <w:pPr>
              <w:pStyle w:val="A-"/>
              <w:rPr>
                <w:snapToGrid w:val="0"/>
                <w:u w:color="000000"/>
                <w:lang w:bidi="en-US"/>
              </w:rPr>
            </w:pPr>
          </w:p>
        </w:tc>
        <w:tc>
          <w:tcPr>
            <w:tcW w:w="813" w:type="pct"/>
            <w:shd w:val="clear" w:color="auto" w:fill="auto"/>
            <w:vAlign w:val="center"/>
          </w:tcPr>
          <w:p w14:paraId="38BC4E41" w14:textId="77777777" w:rsidR="002E474C" w:rsidRDefault="00000000">
            <w:pPr>
              <w:pStyle w:val="A-"/>
              <w:rPr>
                <w:snapToGrid w:val="0"/>
                <w:u w:color="000000"/>
                <w:lang w:bidi="en-US"/>
              </w:rPr>
            </w:pPr>
            <w:r>
              <w:t>镉</w:t>
            </w:r>
          </w:p>
        </w:tc>
        <w:tc>
          <w:tcPr>
            <w:tcW w:w="554" w:type="pct"/>
            <w:shd w:val="clear" w:color="auto" w:fill="auto"/>
          </w:tcPr>
          <w:p w14:paraId="2B12ED61"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10296CF2" w14:textId="77777777" w:rsidR="002E474C" w:rsidRDefault="00000000">
            <w:pPr>
              <w:pStyle w:val="A-"/>
            </w:pPr>
            <w:r>
              <w:t>0.01</w:t>
            </w:r>
            <w:r>
              <w:t>（折算）</w:t>
            </w:r>
          </w:p>
        </w:tc>
        <w:tc>
          <w:tcPr>
            <w:tcW w:w="943" w:type="pct"/>
            <w:shd w:val="clear" w:color="auto" w:fill="auto"/>
            <w:vAlign w:val="center"/>
          </w:tcPr>
          <w:p w14:paraId="20453710" w14:textId="77777777" w:rsidR="002E474C" w:rsidRDefault="00000000">
            <w:pPr>
              <w:pStyle w:val="A-"/>
            </w:pPr>
            <w:r>
              <w:rPr>
                <w:snapToGrid w:val="0"/>
                <w:u w:color="000000"/>
                <w:lang w:bidi="en-US"/>
              </w:rPr>
              <w:t>0.003L</w:t>
            </w:r>
          </w:p>
        </w:tc>
        <w:tc>
          <w:tcPr>
            <w:tcW w:w="391" w:type="pct"/>
            <w:shd w:val="clear" w:color="auto" w:fill="auto"/>
          </w:tcPr>
          <w:p w14:paraId="1A5E2EAA" w14:textId="77777777" w:rsidR="002E474C" w:rsidRDefault="00000000">
            <w:pPr>
              <w:pStyle w:val="A-"/>
            </w:pPr>
            <w:r>
              <w:t>-</w:t>
            </w:r>
          </w:p>
        </w:tc>
        <w:tc>
          <w:tcPr>
            <w:tcW w:w="424" w:type="pct"/>
            <w:shd w:val="clear" w:color="auto" w:fill="auto"/>
          </w:tcPr>
          <w:p w14:paraId="2A30FF09"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4B4B67D" w14:textId="77777777" w:rsidR="002E474C" w:rsidRDefault="00000000">
            <w:pPr>
              <w:pStyle w:val="A-"/>
              <w:rPr>
                <w:snapToGrid w:val="0"/>
                <w:u w:color="000000"/>
                <w:lang w:bidi="en-US"/>
              </w:rPr>
            </w:pPr>
            <w:r>
              <w:rPr>
                <w:snapToGrid w:val="0"/>
                <w:u w:color="000000"/>
                <w:lang w:bidi="en-US"/>
              </w:rPr>
              <w:t>达标</w:t>
            </w:r>
          </w:p>
        </w:tc>
      </w:tr>
      <w:tr w:rsidR="002E474C" w14:paraId="770E1200" w14:textId="77777777">
        <w:trPr>
          <w:jc w:val="center"/>
        </w:trPr>
        <w:tc>
          <w:tcPr>
            <w:tcW w:w="554" w:type="pct"/>
            <w:vMerge/>
            <w:shd w:val="clear" w:color="auto" w:fill="auto"/>
            <w:vAlign w:val="center"/>
          </w:tcPr>
          <w:p w14:paraId="3CB4C700" w14:textId="77777777" w:rsidR="002E474C" w:rsidRDefault="002E474C">
            <w:pPr>
              <w:pStyle w:val="A-"/>
              <w:rPr>
                <w:snapToGrid w:val="0"/>
                <w:u w:color="000000"/>
                <w:lang w:bidi="en-US"/>
              </w:rPr>
            </w:pPr>
          </w:p>
        </w:tc>
        <w:tc>
          <w:tcPr>
            <w:tcW w:w="813" w:type="pct"/>
            <w:shd w:val="clear" w:color="auto" w:fill="auto"/>
            <w:vAlign w:val="center"/>
          </w:tcPr>
          <w:p w14:paraId="7E431493" w14:textId="77777777" w:rsidR="002E474C" w:rsidRDefault="00000000">
            <w:pPr>
              <w:pStyle w:val="A-"/>
              <w:rPr>
                <w:snapToGrid w:val="0"/>
                <w:u w:color="000000"/>
                <w:lang w:bidi="en-US"/>
              </w:rPr>
            </w:pPr>
            <w:r>
              <w:t>汞</w:t>
            </w:r>
          </w:p>
        </w:tc>
        <w:tc>
          <w:tcPr>
            <w:tcW w:w="554" w:type="pct"/>
            <w:shd w:val="clear" w:color="auto" w:fill="auto"/>
          </w:tcPr>
          <w:p w14:paraId="6E7959D7"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4078727C" w14:textId="77777777" w:rsidR="002E474C" w:rsidRDefault="00000000">
            <w:pPr>
              <w:pStyle w:val="A-"/>
            </w:pPr>
            <w:r>
              <w:t>0.3</w:t>
            </w:r>
            <w:r>
              <w:t>（折算）</w:t>
            </w:r>
          </w:p>
        </w:tc>
        <w:tc>
          <w:tcPr>
            <w:tcW w:w="943" w:type="pct"/>
            <w:shd w:val="clear" w:color="auto" w:fill="auto"/>
            <w:vAlign w:val="center"/>
          </w:tcPr>
          <w:p w14:paraId="67CCCFBE" w14:textId="77777777" w:rsidR="002E474C" w:rsidRDefault="00000000">
            <w:pPr>
              <w:pStyle w:val="A-"/>
            </w:pPr>
            <w:r>
              <w:rPr>
                <w:snapToGrid w:val="0"/>
                <w:u w:color="000000"/>
                <w:lang w:bidi="en-US"/>
              </w:rPr>
              <w:t>6.6×10</w:t>
            </w:r>
            <w:r>
              <w:rPr>
                <w:snapToGrid w:val="0"/>
                <w:u w:color="000000"/>
                <w:vertAlign w:val="superscript"/>
                <w:lang w:bidi="en-US"/>
              </w:rPr>
              <w:t>⁻3</w:t>
            </w:r>
            <w:r>
              <w:rPr>
                <w:snapToGrid w:val="0"/>
                <w:u w:color="000000"/>
                <w:lang w:bidi="en-US"/>
              </w:rPr>
              <w:t>L</w:t>
            </w:r>
          </w:p>
        </w:tc>
        <w:tc>
          <w:tcPr>
            <w:tcW w:w="391" w:type="pct"/>
            <w:shd w:val="clear" w:color="auto" w:fill="auto"/>
          </w:tcPr>
          <w:p w14:paraId="374A9DEA" w14:textId="77777777" w:rsidR="002E474C" w:rsidRDefault="00000000">
            <w:pPr>
              <w:pStyle w:val="A-"/>
            </w:pPr>
            <w:r>
              <w:t>-</w:t>
            </w:r>
          </w:p>
        </w:tc>
        <w:tc>
          <w:tcPr>
            <w:tcW w:w="424" w:type="pct"/>
            <w:shd w:val="clear" w:color="auto" w:fill="auto"/>
          </w:tcPr>
          <w:p w14:paraId="4498F772"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B59974C" w14:textId="77777777" w:rsidR="002E474C" w:rsidRDefault="00000000">
            <w:pPr>
              <w:pStyle w:val="A-"/>
              <w:rPr>
                <w:snapToGrid w:val="0"/>
                <w:u w:color="000000"/>
                <w:lang w:bidi="en-US"/>
              </w:rPr>
            </w:pPr>
            <w:r>
              <w:rPr>
                <w:snapToGrid w:val="0"/>
                <w:u w:color="000000"/>
                <w:lang w:bidi="en-US"/>
              </w:rPr>
              <w:t>达标</w:t>
            </w:r>
          </w:p>
        </w:tc>
      </w:tr>
      <w:tr w:rsidR="002E474C" w14:paraId="1BF39C40" w14:textId="77777777">
        <w:trPr>
          <w:jc w:val="center"/>
        </w:trPr>
        <w:tc>
          <w:tcPr>
            <w:tcW w:w="554" w:type="pct"/>
            <w:vMerge/>
            <w:shd w:val="clear" w:color="auto" w:fill="auto"/>
            <w:vAlign w:val="center"/>
          </w:tcPr>
          <w:p w14:paraId="71D59092" w14:textId="77777777" w:rsidR="002E474C" w:rsidRDefault="002E474C">
            <w:pPr>
              <w:pStyle w:val="A-"/>
              <w:rPr>
                <w:snapToGrid w:val="0"/>
                <w:u w:color="000000"/>
                <w:lang w:bidi="en-US"/>
              </w:rPr>
            </w:pPr>
          </w:p>
        </w:tc>
        <w:tc>
          <w:tcPr>
            <w:tcW w:w="813" w:type="pct"/>
            <w:shd w:val="clear" w:color="auto" w:fill="auto"/>
            <w:vAlign w:val="center"/>
          </w:tcPr>
          <w:p w14:paraId="29181392" w14:textId="77777777" w:rsidR="002E474C" w:rsidRDefault="00000000">
            <w:pPr>
              <w:pStyle w:val="A-"/>
              <w:rPr>
                <w:snapToGrid w:val="0"/>
                <w:u w:color="000000"/>
                <w:lang w:bidi="en-US"/>
              </w:rPr>
            </w:pPr>
            <w:r>
              <w:t>砷</w:t>
            </w:r>
          </w:p>
        </w:tc>
        <w:tc>
          <w:tcPr>
            <w:tcW w:w="554" w:type="pct"/>
            <w:shd w:val="clear" w:color="auto" w:fill="auto"/>
          </w:tcPr>
          <w:p w14:paraId="1BB39C7C"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54870FB8" w14:textId="77777777" w:rsidR="002E474C" w:rsidRDefault="00000000">
            <w:pPr>
              <w:pStyle w:val="A-"/>
            </w:pPr>
            <w:r>
              <w:t>0.012</w:t>
            </w:r>
            <w:r>
              <w:t>（折算）</w:t>
            </w:r>
          </w:p>
        </w:tc>
        <w:tc>
          <w:tcPr>
            <w:tcW w:w="943" w:type="pct"/>
            <w:shd w:val="clear" w:color="auto" w:fill="auto"/>
            <w:vAlign w:val="center"/>
          </w:tcPr>
          <w:p w14:paraId="5C72FB68" w14:textId="77777777" w:rsidR="002E474C" w:rsidRDefault="00000000">
            <w:pPr>
              <w:pStyle w:val="A-"/>
            </w:pPr>
            <w:r>
              <w:t>0.004L</w:t>
            </w:r>
          </w:p>
        </w:tc>
        <w:tc>
          <w:tcPr>
            <w:tcW w:w="391" w:type="pct"/>
            <w:shd w:val="clear" w:color="auto" w:fill="auto"/>
          </w:tcPr>
          <w:p w14:paraId="42239E65" w14:textId="77777777" w:rsidR="002E474C" w:rsidRDefault="00000000">
            <w:pPr>
              <w:pStyle w:val="A-"/>
            </w:pPr>
            <w:r>
              <w:t>-</w:t>
            </w:r>
          </w:p>
        </w:tc>
        <w:tc>
          <w:tcPr>
            <w:tcW w:w="424" w:type="pct"/>
            <w:shd w:val="clear" w:color="auto" w:fill="auto"/>
          </w:tcPr>
          <w:p w14:paraId="6B806BD2"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38B53D0B" w14:textId="77777777" w:rsidR="002E474C" w:rsidRDefault="00000000">
            <w:pPr>
              <w:pStyle w:val="A-"/>
              <w:rPr>
                <w:snapToGrid w:val="0"/>
                <w:u w:color="000000"/>
                <w:lang w:bidi="en-US"/>
              </w:rPr>
            </w:pPr>
            <w:r>
              <w:rPr>
                <w:snapToGrid w:val="0"/>
                <w:u w:color="000000"/>
                <w:lang w:bidi="en-US"/>
              </w:rPr>
              <w:t>达标</w:t>
            </w:r>
          </w:p>
        </w:tc>
      </w:tr>
      <w:tr w:rsidR="002E474C" w14:paraId="4345A85C" w14:textId="77777777">
        <w:trPr>
          <w:jc w:val="center"/>
        </w:trPr>
        <w:tc>
          <w:tcPr>
            <w:tcW w:w="554" w:type="pct"/>
            <w:vMerge/>
            <w:shd w:val="clear" w:color="auto" w:fill="auto"/>
            <w:vAlign w:val="center"/>
          </w:tcPr>
          <w:p w14:paraId="6BBE0123" w14:textId="77777777" w:rsidR="002E474C" w:rsidRDefault="002E474C">
            <w:pPr>
              <w:pStyle w:val="A-"/>
              <w:rPr>
                <w:snapToGrid w:val="0"/>
                <w:u w:color="000000"/>
                <w:lang w:bidi="en-US"/>
              </w:rPr>
            </w:pPr>
          </w:p>
        </w:tc>
        <w:tc>
          <w:tcPr>
            <w:tcW w:w="813" w:type="pct"/>
            <w:shd w:val="clear" w:color="auto" w:fill="auto"/>
            <w:vAlign w:val="center"/>
          </w:tcPr>
          <w:p w14:paraId="733E9D43" w14:textId="77777777" w:rsidR="002E474C" w:rsidRDefault="00000000">
            <w:pPr>
              <w:pStyle w:val="A-"/>
              <w:rPr>
                <w:snapToGrid w:val="0"/>
                <w:u w:color="000000"/>
                <w:lang w:bidi="en-US"/>
              </w:rPr>
            </w:pPr>
            <w:r>
              <w:t>镍</w:t>
            </w:r>
          </w:p>
        </w:tc>
        <w:tc>
          <w:tcPr>
            <w:tcW w:w="554" w:type="pct"/>
            <w:shd w:val="clear" w:color="auto" w:fill="auto"/>
          </w:tcPr>
          <w:p w14:paraId="442415CA"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3764C95D" w14:textId="77777777" w:rsidR="002E474C" w:rsidRDefault="00000000">
            <w:pPr>
              <w:pStyle w:val="A-"/>
            </w:pPr>
            <w:r>
              <w:t>30</w:t>
            </w:r>
          </w:p>
        </w:tc>
        <w:tc>
          <w:tcPr>
            <w:tcW w:w="943" w:type="pct"/>
            <w:shd w:val="clear" w:color="auto" w:fill="auto"/>
            <w:vAlign w:val="center"/>
          </w:tcPr>
          <w:p w14:paraId="308DCC9A" w14:textId="77777777" w:rsidR="002E474C" w:rsidRDefault="00000000">
            <w:pPr>
              <w:pStyle w:val="A-"/>
            </w:pPr>
            <w:r>
              <w:rPr>
                <w:snapToGrid w:val="0"/>
                <w:u w:color="000000"/>
                <w:lang w:bidi="en-US"/>
              </w:rPr>
              <w:t>0.04L</w:t>
            </w:r>
          </w:p>
        </w:tc>
        <w:tc>
          <w:tcPr>
            <w:tcW w:w="391" w:type="pct"/>
            <w:shd w:val="clear" w:color="auto" w:fill="auto"/>
          </w:tcPr>
          <w:p w14:paraId="4AEF054A" w14:textId="77777777" w:rsidR="002E474C" w:rsidRDefault="00000000">
            <w:pPr>
              <w:pStyle w:val="A-"/>
            </w:pPr>
            <w:r>
              <w:t>-</w:t>
            </w:r>
          </w:p>
        </w:tc>
        <w:tc>
          <w:tcPr>
            <w:tcW w:w="424" w:type="pct"/>
            <w:shd w:val="clear" w:color="auto" w:fill="auto"/>
          </w:tcPr>
          <w:p w14:paraId="4EAABD73"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0732CF41" w14:textId="77777777" w:rsidR="002E474C" w:rsidRDefault="00000000">
            <w:pPr>
              <w:pStyle w:val="A-"/>
              <w:rPr>
                <w:snapToGrid w:val="0"/>
                <w:u w:color="000000"/>
                <w:lang w:bidi="en-US"/>
              </w:rPr>
            </w:pPr>
            <w:r>
              <w:rPr>
                <w:snapToGrid w:val="0"/>
                <w:u w:color="000000"/>
                <w:lang w:bidi="en-US"/>
              </w:rPr>
              <w:t>达标</w:t>
            </w:r>
          </w:p>
        </w:tc>
      </w:tr>
      <w:tr w:rsidR="002E474C" w14:paraId="6220E5E9" w14:textId="77777777">
        <w:trPr>
          <w:jc w:val="center"/>
        </w:trPr>
        <w:tc>
          <w:tcPr>
            <w:tcW w:w="554" w:type="pct"/>
            <w:vMerge/>
            <w:shd w:val="clear" w:color="auto" w:fill="auto"/>
            <w:vAlign w:val="center"/>
          </w:tcPr>
          <w:p w14:paraId="6258B0A7" w14:textId="77777777" w:rsidR="002E474C" w:rsidRDefault="002E474C">
            <w:pPr>
              <w:pStyle w:val="A-"/>
              <w:rPr>
                <w:snapToGrid w:val="0"/>
                <w:u w:color="000000"/>
                <w:lang w:bidi="en-US"/>
              </w:rPr>
            </w:pPr>
          </w:p>
        </w:tc>
        <w:tc>
          <w:tcPr>
            <w:tcW w:w="813" w:type="pct"/>
            <w:shd w:val="clear" w:color="auto" w:fill="auto"/>
            <w:vAlign w:val="center"/>
          </w:tcPr>
          <w:p w14:paraId="7F7DF1B2" w14:textId="77777777" w:rsidR="002E474C" w:rsidRDefault="00000000">
            <w:pPr>
              <w:pStyle w:val="A-"/>
              <w:rPr>
                <w:snapToGrid w:val="0"/>
                <w:u w:color="000000"/>
                <w:lang w:bidi="en-US"/>
              </w:rPr>
            </w:pPr>
            <w:r>
              <w:t>非甲烷总烃</w:t>
            </w:r>
          </w:p>
        </w:tc>
        <w:tc>
          <w:tcPr>
            <w:tcW w:w="554" w:type="pct"/>
            <w:shd w:val="clear" w:color="auto" w:fill="auto"/>
          </w:tcPr>
          <w:p w14:paraId="1DAE439C" w14:textId="77777777" w:rsidR="002E474C" w:rsidRDefault="00000000">
            <w:pPr>
              <w:pStyle w:val="A-"/>
              <w:rPr>
                <w:snapToGrid w:val="0"/>
                <w:u w:color="000000"/>
                <w:lang w:bidi="en-US"/>
              </w:rPr>
            </w:pPr>
            <w:r>
              <w:t>1h</w:t>
            </w:r>
            <w:r>
              <w:t>平均值</w:t>
            </w:r>
          </w:p>
        </w:tc>
        <w:tc>
          <w:tcPr>
            <w:tcW w:w="1027" w:type="pct"/>
            <w:shd w:val="clear" w:color="auto" w:fill="auto"/>
            <w:vAlign w:val="center"/>
          </w:tcPr>
          <w:p w14:paraId="41647A95" w14:textId="77777777" w:rsidR="002E474C" w:rsidRDefault="00000000">
            <w:pPr>
              <w:pStyle w:val="A-"/>
            </w:pPr>
            <w:r>
              <w:t>2000</w:t>
            </w:r>
          </w:p>
        </w:tc>
        <w:tc>
          <w:tcPr>
            <w:tcW w:w="943" w:type="pct"/>
            <w:shd w:val="clear" w:color="auto" w:fill="auto"/>
            <w:vAlign w:val="center"/>
          </w:tcPr>
          <w:p w14:paraId="46BF87D6" w14:textId="77777777" w:rsidR="002E474C" w:rsidRDefault="00000000">
            <w:pPr>
              <w:pStyle w:val="A-"/>
            </w:pPr>
            <w:r>
              <w:t>800</w:t>
            </w:r>
            <w:r>
              <w:rPr>
                <w:snapToGrid w:val="0"/>
                <w:u w:color="000000"/>
                <w:lang w:bidi="en-US"/>
              </w:rPr>
              <w:t>～</w:t>
            </w:r>
            <w:r>
              <w:rPr>
                <w:snapToGrid w:val="0"/>
                <w:u w:color="000000"/>
                <w:lang w:bidi="en-US"/>
              </w:rPr>
              <w:t>1130</w:t>
            </w:r>
          </w:p>
        </w:tc>
        <w:tc>
          <w:tcPr>
            <w:tcW w:w="391" w:type="pct"/>
            <w:shd w:val="clear" w:color="auto" w:fill="auto"/>
            <w:vAlign w:val="center"/>
          </w:tcPr>
          <w:p w14:paraId="3CCAF130" w14:textId="77777777" w:rsidR="002E474C" w:rsidRDefault="00000000">
            <w:pPr>
              <w:pStyle w:val="A-"/>
            </w:pPr>
            <w:r>
              <w:t>56.5</w:t>
            </w:r>
          </w:p>
        </w:tc>
        <w:tc>
          <w:tcPr>
            <w:tcW w:w="424" w:type="pct"/>
            <w:shd w:val="clear" w:color="auto" w:fill="auto"/>
          </w:tcPr>
          <w:p w14:paraId="50938D1D"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479960BC" w14:textId="77777777" w:rsidR="002E474C" w:rsidRDefault="00000000">
            <w:pPr>
              <w:pStyle w:val="A-"/>
              <w:rPr>
                <w:snapToGrid w:val="0"/>
                <w:u w:color="000000"/>
                <w:lang w:bidi="en-US"/>
              </w:rPr>
            </w:pPr>
            <w:r>
              <w:rPr>
                <w:snapToGrid w:val="0"/>
                <w:u w:color="000000"/>
                <w:lang w:bidi="en-US"/>
              </w:rPr>
              <w:t>达标</w:t>
            </w:r>
          </w:p>
        </w:tc>
      </w:tr>
      <w:tr w:rsidR="002E474C" w14:paraId="7E03F635" w14:textId="77777777">
        <w:trPr>
          <w:jc w:val="center"/>
        </w:trPr>
        <w:tc>
          <w:tcPr>
            <w:tcW w:w="554" w:type="pct"/>
            <w:vMerge/>
            <w:shd w:val="clear" w:color="auto" w:fill="auto"/>
            <w:vAlign w:val="center"/>
          </w:tcPr>
          <w:p w14:paraId="2320FEC7" w14:textId="77777777" w:rsidR="002E474C" w:rsidRDefault="002E474C">
            <w:pPr>
              <w:pStyle w:val="A-"/>
              <w:rPr>
                <w:snapToGrid w:val="0"/>
                <w:u w:color="000000"/>
                <w:lang w:bidi="en-US"/>
              </w:rPr>
            </w:pPr>
          </w:p>
        </w:tc>
        <w:tc>
          <w:tcPr>
            <w:tcW w:w="813" w:type="pct"/>
            <w:shd w:val="clear" w:color="auto" w:fill="auto"/>
            <w:vAlign w:val="center"/>
          </w:tcPr>
          <w:p w14:paraId="43DAD7AF" w14:textId="77777777" w:rsidR="002E474C" w:rsidRDefault="00000000">
            <w:pPr>
              <w:pStyle w:val="A-"/>
              <w:rPr>
                <w:snapToGrid w:val="0"/>
                <w:u w:color="000000"/>
                <w:lang w:bidi="en-US"/>
              </w:rPr>
            </w:pPr>
            <w:r>
              <w:t>二噁英类</w:t>
            </w:r>
          </w:p>
        </w:tc>
        <w:tc>
          <w:tcPr>
            <w:tcW w:w="554" w:type="pct"/>
            <w:shd w:val="clear" w:color="auto" w:fill="auto"/>
          </w:tcPr>
          <w:p w14:paraId="3D9121AD" w14:textId="77777777" w:rsidR="002E474C" w:rsidRDefault="00000000">
            <w:pPr>
              <w:pStyle w:val="A-"/>
              <w:rPr>
                <w:snapToGrid w:val="0"/>
                <w:u w:color="000000"/>
                <w:lang w:bidi="en-US"/>
              </w:rPr>
            </w:pPr>
            <w:r>
              <w:rPr>
                <w:rStyle w:val="afffff5"/>
              </w:rPr>
              <w:t>日平均值</w:t>
            </w:r>
          </w:p>
        </w:tc>
        <w:tc>
          <w:tcPr>
            <w:tcW w:w="1027" w:type="pct"/>
            <w:shd w:val="clear" w:color="auto" w:fill="auto"/>
            <w:vAlign w:val="center"/>
          </w:tcPr>
          <w:p w14:paraId="03C5C02B" w14:textId="77777777" w:rsidR="002E474C" w:rsidRDefault="00000000">
            <w:pPr>
              <w:pStyle w:val="A-"/>
            </w:pPr>
            <w:r>
              <w:t>1.2pg/m</w:t>
            </w:r>
            <w:r>
              <w:rPr>
                <w:vertAlign w:val="superscript"/>
              </w:rPr>
              <w:t>3</w:t>
            </w:r>
            <w:r>
              <w:t>（折算）</w:t>
            </w:r>
          </w:p>
        </w:tc>
        <w:tc>
          <w:tcPr>
            <w:tcW w:w="943" w:type="pct"/>
            <w:shd w:val="clear" w:color="auto" w:fill="auto"/>
            <w:vAlign w:val="center"/>
          </w:tcPr>
          <w:p w14:paraId="5469EEB0" w14:textId="77777777" w:rsidR="002E474C" w:rsidRDefault="00000000">
            <w:pPr>
              <w:pStyle w:val="A-"/>
            </w:pPr>
            <w:r>
              <w:rPr>
                <w:snapToGrid w:val="0"/>
                <w:u w:color="000000"/>
                <w:lang w:bidi="en-US"/>
              </w:rPr>
              <w:t>0.012</w:t>
            </w:r>
            <w:r>
              <w:rPr>
                <w:snapToGrid w:val="0"/>
                <w:u w:color="000000"/>
                <w:lang w:bidi="en-US"/>
              </w:rPr>
              <w:t>～</w:t>
            </w:r>
            <w:r>
              <w:rPr>
                <w:snapToGrid w:val="0"/>
                <w:u w:color="000000"/>
                <w:lang w:bidi="en-US"/>
              </w:rPr>
              <w:t>0.015</w:t>
            </w:r>
          </w:p>
        </w:tc>
        <w:tc>
          <w:tcPr>
            <w:tcW w:w="391" w:type="pct"/>
            <w:shd w:val="clear" w:color="auto" w:fill="auto"/>
            <w:vAlign w:val="center"/>
          </w:tcPr>
          <w:p w14:paraId="7EF6B132" w14:textId="77777777" w:rsidR="002E474C" w:rsidRDefault="00000000">
            <w:pPr>
              <w:pStyle w:val="A-"/>
            </w:pPr>
            <w:r>
              <w:t>1.25</w:t>
            </w:r>
          </w:p>
        </w:tc>
        <w:tc>
          <w:tcPr>
            <w:tcW w:w="424" w:type="pct"/>
            <w:shd w:val="clear" w:color="auto" w:fill="auto"/>
          </w:tcPr>
          <w:p w14:paraId="58F8D482" w14:textId="77777777" w:rsidR="002E474C" w:rsidRDefault="00000000">
            <w:pPr>
              <w:pStyle w:val="A-"/>
              <w:rPr>
                <w:snapToGrid w:val="0"/>
                <w:u w:color="000000"/>
                <w:lang w:bidi="en-US"/>
              </w:rPr>
            </w:pPr>
            <w:r>
              <w:rPr>
                <w:snapToGrid w:val="0"/>
                <w:u w:color="000000"/>
                <w:lang w:bidi="en-US"/>
              </w:rPr>
              <w:t>0</w:t>
            </w:r>
          </w:p>
        </w:tc>
        <w:tc>
          <w:tcPr>
            <w:tcW w:w="294" w:type="pct"/>
            <w:shd w:val="clear" w:color="auto" w:fill="auto"/>
          </w:tcPr>
          <w:p w14:paraId="5CFD571E" w14:textId="77777777" w:rsidR="002E474C" w:rsidRDefault="00000000">
            <w:pPr>
              <w:pStyle w:val="A-"/>
              <w:rPr>
                <w:snapToGrid w:val="0"/>
                <w:u w:color="000000"/>
                <w:lang w:bidi="en-US"/>
              </w:rPr>
            </w:pPr>
            <w:r>
              <w:rPr>
                <w:snapToGrid w:val="0"/>
                <w:u w:color="000000"/>
                <w:lang w:bidi="en-US"/>
              </w:rPr>
              <w:t>达标</w:t>
            </w:r>
          </w:p>
        </w:tc>
      </w:tr>
      <w:tr w:rsidR="002E474C" w14:paraId="1F1C3C0B" w14:textId="77777777">
        <w:trPr>
          <w:jc w:val="center"/>
        </w:trPr>
        <w:tc>
          <w:tcPr>
            <w:tcW w:w="554" w:type="pct"/>
            <w:vMerge/>
            <w:shd w:val="clear" w:color="auto" w:fill="auto"/>
            <w:vAlign w:val="center"/>
          </w:tcPr>
          <w:p w14:paraId="79094710" w14:textId="77777777" w:rsidR="002E474C" w:rsidRDefault="002E474C">
            <w:pPr>
              <w:pStyle w:val="A-"/>
              <w:rPr>
                <w:snapToGrid w:val="0"/>
                <w:u w:color="000000"/>
                <w:lang w:bidi="en-US"/>
              </w:rPr>
            </w:pPr>
          </w:p>
        </w:tc>
        <w:tc>
          <w:tcPr>
            <w:tcW w:w="813" w:type="pct"/>
            <w:shd w:val="clear" w:color="auto" w:fill="auto"/>
            <w:vAlign w:val="center"/>
          </w:tcPr>
          <w:p w14:paraId="73F81BBB" w14:textId="77777777" w:rsidR="002E474C" w:rsidRDefault="00000000">
            <w:pPr>
              <w:pStyle w:val="A-"/>
              <w:rPr>
                <w:snapToGrid w:val="0"/>
                <w:u w:color="000000"/>
                <w:lang w:bidi="en-US"/>
              </w:rPr>
            </w:pPr>
            <w:r>
              <w:rPr>
                <w:snapToGrid w:val="0"/>
                <w:u w:color="000000"/>
                <w:lang w:bidi="en-US"/>
              </w:rPr>
              <w:t>臭气浓度</w:t>
            </w:r>
          </w:p>
        </w:tc>
        <w:tc>
          <w:tcPr>
            <w:tcW w:w="554" w:type="pct"/>
            <w:shd w:val="clear" w:color="auto" w:fill="auto"/>
            <w:vAlign w:val="center"/>
          </w:tcPr>
          <w:p w14:paraId="104CDCEF" w14:textId="77777777" w:rsidR="002E474C" w:rsidRDefault="00000000">
            <w:pPr>
              <w:pStyle w:val="A-"/>
              <w:rPr>
                <w:snapToGrid w:val="0"/>
                <w:u w:color="000000"/>
                <w:lang w:bidi="en-US"/>
              </w:rPr>
            </w:pPr>
            <w:r>
              <w:rPr>
                <w:snapToGrid w:val="0"/>
                <w:u w:color="000000"/>
                <w:lang w:bidi="en-US"/>
              </w:rPr>
              <w:t>一次值</w:t>
            </w:r>
          </w:p>
        </w:tc>
        <w:tc>
          <w:tcPr>
            <w:tcW w:w="1027" w:type="pct"/>
            <w:shd w:val="clear" w:color="auto" w:fill="auto"/>
            <w:vAlign w:val="center"/>
          </w:tcPr>
          <w:p w14:paraId="6FC46402" w14:textId="77777777" w:rsidR="002E474C" w:rsidRDefault="00000000">
            <w:pPr>
              <w:pStyle w:val="A-"/>
            </w:pPr>
            <w:r>
              <w:t>-</w:t>
            </w:r>
          </w:p>
        </w:tc>
        <w:tc>
          <w:tcPr>
            <w:tcW w:w="943" w:type="pct"/>
            <w:shd w:val="clear" w:color="auto" w:fill="auto"/>
            <w:vAlign w:val="center"/>
          </w:tcPr>
          <w:p w14:paraId="5C3DA0DA" w14:textId="77777777" w:rsidR="002E474C" w:rsidRDefault="00000000">
            <w:pPr>
              <w:pStyle w:val="A-"/>
            </w:pPr>
            <w:r>
              <w:t>＜</w:t>
            </w:r>
            <w:r>
              <w:t>10</w:t>
            </w:r>
            <w:r>
              <w:t>（无量纲）</w:t>
            </w:r>
          </w:p>
        </w:tc>
        <w:tc>
          <w:tcPr>
            <w:tcW w:w="391" w:type="pct"/>
            <w:shd w:val="clear" w:color="auto" w:fill="auto"/>
            <w:vAlign w:val="center"/>
          </w:tcPr>
          <w:p w14:paraId="4350BC69" w14:textId="77777777" w:rsidR="002E474C" w:rsidRDefault="00000000">
            <w:pPr>
              <w:pStyle w:val="A-"/>
            </w:pPr>
            <w:r>
              <w:t>-</w:t>
            </w:r>
          </w:p>
        </w:tc>
        <w:tc>
          <w:tcPr>
            <w:tcW w:w="424" w:type="pct"/>
            <w:shd w:val="clear" w:color="auto" w:fill="auto"/>
            <w:vAlign w:val="center"/>
          </w:tcPr>
          <w:p w14:paraId="0B58F398" w14:textId="77777777" w:rsidR="002E474C" w:rsidRDefault="00000000">
            <w:pPr>
              <w:pStyle w:val="A-"/>
              <w:rPr>
                <w:snapToGrid w:val="0"/>
                <w:u w:color="000000"/>
                <w:lang w:bidi="en-US"/>
              </w:rPr>
            </w:pPr>
            <w:r>
              <w:rPr>
                <w:snapToGrid w:val="0"/>
                <w:u w:color="000000"/>
                <w:lang w:bidi="en-US"/>
              </w:rPr>
              <w:t>-</w:t>
            </w:r>
          </w:p>
        </w:tc>
        <w:tc>
          <w:tcPr>
            <w:tcW w:w="294" w:type="pct"/>
            <w:shd w:val="clear" w:color="auto" w:fill="auto"/>
            <w:vAlign w:val="center"/>
          </w:tcPr>
          <w:p w14:paraId="6E85D3D3" w14:textId="77777777" w:rsidR="002E474C" w:rsidRDefault="00000000">
            <w:pPr>
              <w:pStyle w:val="A-"/>
              <w:rPr>
                <w:snapToGrid w:val="0"/>
                <w:u w:color="000000"/>
                <w:lang w:bidi="en-US"/>
              </w:rPr>
            </w:pPr>
            <w:r>
              <w:rPr>
                <w:snapToGrid w:val="0"/>
                <w:u w:color="000000"/>
                <w:lang w:bidi="en-US"/>
              </w:rPr>
              <w:t>-</w:t>
            </w:r>
          </w:p>
        </w:tc>
      </w:tr>
    </w:tbl>
    <w:p w14:paraId="1938252D" w14:textId="77777777" w:rsidR="002E474C" w:rsidRDefault="00000000">
      <w:pPr>
        <w:tabs>
          <w:tab w:val="left" w:pos="338"/>
        </w:tabs>
        <w:autoSpaceDE w:val="0"/>
        <w:autoSpaceDN w:val="0"/>
        <w:jc w:val="left"/>
        <w:rPr>
          <w:bCs/>
          <w:snapToGrid w:val="0"/>
          <w:sz w:val="18"/>
          <w:szCs w:val="18"/>
          <w:u w:color="000000"/>
          <w:lang w:bidi="en-US"/>
        </w:rPr>
      </w:pPr>
      <w:r>
        <w:rPr>
          <w:bCs/>
          <w:snapToGrid w:val="0"/>
          <w:sz w:val="18"/>
          <w:szCs w:val="18"/>
          <w:u w:color="000000"/>
          <w:lang w:bidi="en-US"/>
        </w:rPr>
        <w:tab/>
      </w:r>
    </w:p>
    <w:p w14:paraId="2FC1A651" w14:textId="77777777" w:rsidR="002E474C" w:rsidRDefault="00000000">
      <w:pPr>
        <w:pStyle w:val="A-z"/>
        <w:rPr>
          <w:color w:val="auto"/>
        </w:rPr>
      </w:pPr>
      <w:r>
        <w:rPr>
          <w:color w:val="auto"/>
        </w:rPr>
        <w:t>补充监测结果表明，</w:t>
      </w:r>
      <w:bookmarkStart w:id="242" w:name="_Hlk225090223"/>
      <w:r>
        <w:rPr>
          <w:color w:val="auto"/>
        </w:rPr>
        <w:t>PM10</w:t>
      </w:r>
      <w:r>
        <w:rPr>
          <w:color w:val="auto"/>
        </w:rPr>
        <w:t>日平均值满足《环境空气质量标准》（</w:t>
      </w:r>
      <w:r>
        <w:rPr>
          <w:color w:val="auto"/>
        </w:rPr>
        <w:t>GB3095-2026</w:t>
      </w:r>
      <w:r>
        <w:rPr>
          <w:color w:val="auto"/>
        </w:rPr>
        <w:t>）过渡阶段二级浓度限值</w:t>
      </w:r>
      <w:bookmarkEnd w:id="242"/>
      <w:r>
        <w:rPr>
          <w:color w:val="auto"/>
        </w:rPr>
        <w:t>，</w:t>
      </w:r>
      <w:r>
        <w:rPr>
          <w:color w:val="auto"/>
        </w:rPr>
        <w:t>TSP</w:t>
      </w:r>
      <w:r>
        <w:rPr>
          <w:color w:val="auto"/>
        </w:rPr>
        <w:t>、氟化物、铅、镉、汞及其化合物、砷、铬浓度满足《环境空气质量标准》（</w:t>
      </w:r>
      <w:r>
        <w:rPr>
          <w:color w:val="auto"/>
        </w:rPr>
        <w:t>GB3095-2026</w:t>
      </w:r>
      <w:r>
        <w:rPr>
          <w:color w:val="auto"/>
        </w:rPr>
        <w:t>）二级浓度限值，氯化氢、氨、硫化氢、锰及其化合物浓度满足《环境影响评价技术导则</w:t>
      </w:r>
      <w:r>
        <w:rPr>
          <w:color w:val="auto"/>
        </w:rPr>
        <w:t xml:space="preserve"> </w:t>
      </w:r>
      <w:r>
        <w:rPr>
          <w:color w:val="auto"/>
        </w:rPr>
        <w:t>大气环境》（</w:t>
      </w:r>
      <w:r>
        <w:rPr>
          <w:color w:val="auto"/>
        </w:rPr>
        <w:t>HJ2.2-2018</w:t>
      </w:r>
      <w:r>
        <w:rPr>
          <w:color w:val="auto"/>
        </w:rPr>
        <w:t>）附录</w:t>
      </w:r>
      <w:r>
        <w:rPr>
          <w:color w:val="auto"/>
        </w:rPr>
        <w:t>D</w:t>
      </w:r>
      <w:r>
        <w:rPr>
          <w:color w:val="auto"/>
        </w:rPr>
        <w:t>限值，二噁英类满足日本环境标准限值，非甲烷总烃、镍及其化合物浓度满足《大气污染物综合排放标准详解》限值要求。</w:t>
      </w:r>
    </w:p>
    <w:p w14:paraId="33163E27" w14:textId="77777777" w:rsidR="002E474C" w:rsidRDefault="00000000">
      <w:pPr>
        <w:pStyle w:val="31"/>
        <w:spacing w:before="120" w:after="120"/>
        <w:rPr>
          <w:color w:val="auto"/>
        </w:rPr>
      </w:pPr>
      <w:r>
        <w:rPr>
          <w:color w:val="auto"/>
        </w:rPr>
        <w:t>水环境质量现状调查与评价</w:t>
      </w:r>
    </w:p>
    <w:p w14:paraId="775B3801" w14:textId="77777777" w:rsidR="002E474C" w:rsidRDefault="00000000">
      <w:pPr>
        <w:pStyle w:val="A-z"/>
        <w:rPr>
          <w:color w:val="auto"/>
        </w:rPr>
      </w:pPr>
      <w:r>
        <w:rPr>
          <w:color w:val="auto"/>
        </w:rPr>
        <w:t>本项目地表水环境敏感目标为厂区南侧约</w:t>
      </w:r>
      <w:r>
        <w:rPr>
          <w:color w:val="auto"/>
        </w:rPr>
        <w:t>20m</w:t>
      </w:r>
      <w:r>
        <w:rPr>
          <w:color w:val="auto"/>
        </w:rPr>
        <w:t>的阿拉沟干渠。本项目用排水不与阿拉沟干渠发生水力联系，对地表水环境影响不大。环评开展环境质量现状调查与监测期间，阿拉沟干渠断流，未开展质量监测。</w:t>
      </w:r>
    </w:p>
    <w:p w14:paraId="01807667" w14:textId="77777777" w:rsidR="002E474C" w:rsidRDefault="00000000">
      <w:pPr>
        <w:pStyle w:val="41"/>
        <w:rPr>
          <w:color w:val="auto"/>
        </w:rPr>
      </w:pPr>
      <w:r>
        <w:rPr>
          <w:color w:val="auto"/>
        </w:rPr>
        <w:t>地下水环境质量调查与评价</w:t>
      </w:r>
    </w:p>
    <w:p w14:paraId="384B0098" w14:textId="77777777" w:rsidR="002E474C" w:rsidRDefault="00000000">
      <w:pPr>
        <w:pStyle w:val="A-z"/>
        <w:rPr>
          <w:color w:val="auto"/>
        </w:rPr>
      </w:pPr>
      <w:r>
        <w:rPr>
          <w:color w:val="auto"/>
        </w:rPr>
        <w:t>（</w:t>
      </w:r>
      <w:r>
        <w:rPr>
          <w:color w:val="auto"/>
        </w:rPr>
        <w:t>1</w:t>
      </w:r>
      <w:r>
        <w:rPr>
          <w:color w:val="auto"/>
        </w:rPr>
        <w:t>）监测点位及监测因子</w:t>
      </w:r>
    </w:p>
    <w:p w14:paraId="3062A362" w14:textId="77777777" w:rsidR="002E474C" w:rsidRDefault="00000000">
      <w:pPr>
        <w:pStyle w:val="A-z"/>
        <w:rPr>
          <w:color w:val="auto"/>
        </w:rPr>
      </w:pPr>
      <w:r>
        <w:rPr>
          <w:color w:val="auto"/>
        </w:rPr>
        <w:t>根据《环境影响评价技术导则</w:t>
      </w:r>
      <w:r>
        <w:rPr>
          <w:color w:val="auto"/>
        </w:rPr>
        <w:t xml:space="preserve"> </w:t>
      </w:r>
      <w:r>
        <w:rPr>
          <w:color w:val="auto"/>
        </w:rPr>
        <w:t>地下水环境》（</w:t>
      </w:r>
      <w:r>
        <w:rPr>
          <w:color w:val="auto"/>
        </w:rPr>
        <w:t>HJ610-2016</w:t>
      </w:r>
      <w:r>
        <w:rPr>
          <w:color w:val="auto"/>
        </w:rPr>
        <w:t>），结合项目所在区域地下水流向（西向东），本评价在项目所在区域布置了</w:t>
      </w:r>
      <w:r>
        <w:rPr>
          <w:color w:val="auto"/>
        </w:rPr>
        <w:t>5</w:t>
      </w:r>
      <w:r>
        <w:rPr>
          <w:color w:val="auto"/>
        </w:rPr>
        <w:t>个地下水监测点进行水质监测。地下水监测点位详见表</w:t>
      </w:r>
      <w:r>
        <w:rPr>
          <w:color w:val="auto"/>
        </w:rPr>
        <w:t>4.3</w:t>
      </w:r>
      <w:r>
        <w:rPr>
          <w:color w:val="auto"/>
        </w:rPr>
        <w:noBreakHyphen/>
        <w:t>5</w:t>
      </w:r>
      <w:r>
        <w:rPr>
          <w:color w:val="auto"/>
        </w:rPr>
        <w:t>及图</w:t>
      </w:r>
      <w:r>
        <w:rPr>
          <w:color w:val="auto"/>
        </w:rPr>
        <w:t>4.3</w:t>
      </w:r>
      <w:r>
        <w:rPr>
          <w:color w:val="auto"/>
        </w:rPr>
        <w:noBreakHyphen/>
        <w:t>1</w:t>
      </w:r>
      <w:r>
        <w:rPr>
          <w:color w:val="auto"/>
        </w:rPr>
        <w:t>。</w:t>
      </w:r>
    </w:p>
    <w:p w14:paraId="5322B593" w14:textId="77777777" w:rsidR="002E474C" w:rsidRDefault="00000000">
      <w:pPr>
        <w:pStyle w:val="A--"/>
        <w:rPr>
          <w:color w:val="auto"/>
        </w:rPr>
      </w:pPr>
      <w:bookmarkStart w:id="243" w:name="_Ref111492077"/>
      <w:bookmarkStart w:id="244" w:name="_Hlk151237921"/>
      <w:r>
        <w:rPr>
          <w:color w:val="auto"/>
        </w:rPr>
        <w:t>表</w:t>
      </w:r>
      <w:r>
        <w:rPr>
          <w:color w:val="auto"/>
        </w:rPr>
        <w:t>4.3</w:t>
      </w:r>
      <w:r>
        <w:rPr>
          <w:color w:val="auto"/>
        </w:rPr>
        <w:noBreakHyphen/>
      </w:r>
      <w:bookmarkEnd w:id="243"/>
      <w:r>
        <w:rPr>
          <w:color w:val="auto"/>
        </w:rPr>
        <w:t xml:space="preserve">5  </w:t>
      </w:r>
      <w:r>
        <w:rPr>
          <w:color w:val="auto"/>
        </w:rPr>
        <w:t>地下水现状监测点布置及监测因子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120"/>
        <w:gridCol w:w="786"/>
        <w:gridCol w:w="826"/>
        <w:gridCol w:w="800"/>
        <w:gridCol w:w="800"/>
        <w:gridCol w:w="763"/>
        <w:gridCol w:w="2522"/>
      </w:tblGrid>
      <w:tr w:rsidR="002E474C" w14:paraId="4892124B" w14:textId="77777777">
        <w:trPr>
          <w:trHeight w:val="340"/>
        </w:trPr>
        <w:tc>
          <w:tcPr>
            <w:tcW w:w="414" w:type="pct"/>
            <w:vAlign w:val="center"/>
          </w:tcPr>
          <w:p w14:paraId="759CB379" w14:textId="77777777" w:rsidR="002E474C" w:rsidRDefault="00000000">
            <w:pPr>
              <w:pStyle w:val="A-"/>
            </w:pPr>
            <w:r>
              <w:lastRenderedPageBreak/>
              <w:t>点位</w:t>
            </w:r>
          </w:p>
          <w:p w14:paraId="179E1874" w14:textId="77777777" w:rsidR="002E474C" w:rsidRDefault="00000000">
            <w:pPr>
              <w:pStyle w:val="A-"/>
            </w:pPr>
            <w:r>
              <w:t>编号</w:t>
            </w:r>
          </w:p>
        </w:tc>
        <w:tc>
          <w:tcPr>
            <w:tcW w:w="679" w:type="pct"/>
            <w:vAlign w:val="center"/>
          </w:tcPr>
          <w:p w14:paraId="271CD868" w14:textId="77777777" w:rsidR="002E474C" w:rsidRDefault="00000000">
            <w:pPr>
              <w:pStyle w:val="A-"/>
            </w:pPr>
            <w:r>
              <w:t>监测点位</w:t>
            </w:r>
          </w:p>
        </w:tc>
        <w:tc>
          <w:tcPr>
            <w:tcW w:w="478" w:type="pct"/>
          </w:tcPr>
          <w:p w14:paraId="18A6E573" w14:textId="77777777" w:rsidR="002E474C" w:rsidRDefault="00000000">
            <w:pPr>
              <w:pStyle w:val="A-"/>
            </w:pPr>
            <w:r>
              <w:t>方位</w:t>
            </w:r>
          </w:p>
        </w:tc>
        <w:tc>
          <w:tcPr>
            <w:tcW w:w="502" w:type="pct"/>
            <w:vAlign w:val="center"/>
          </w:tcPr>
          <w:p w14:paraId="55BD342F" w14:textId="77777777" w:rsidR="002E474C" w:rsidRDefault="00000000">
            <w:pPr>
              <w:pStyle w:val="A-"/>
            </w:pPr>
            <w:r>
              <w:t>与项目位置关系</w:t>
            </w:r>
          </w:p>
        </w:tc>
        <w:tc>
          <w:tcPr>
            <w:tcW w:w="469" w:type="pct"/>
            <w:vAlign w:val="center"/>
          </w:tcPr>
          <w:p w14:paraId="5687CCE2" w14:textId="77777777" w:rsidR="002E474C" w:rsidRDefault="00000000">
            <w:pPr>
              <w:pStyle w:val="A-"/>
            </w:pPr>
            <w:r>
              <w:t>井深（</w:t>
            </w:r>
            <w:r>
              <w:t>m</w:t>
            </w:r>
            <w:r>
              <w:t>）</w:t>
            </w:r>
          </w:p>
        </w:tc>
        <w:tc>
          <w:tcPr>
            <w:tcW w:w="469" w:type="pct"/>
          </w:tcPr>
          <w:p w14:paraId="32CBE3D4" w14:textId="77777777" w:rsidR="002E474C" w:rsidRDefault="00000000">
            <w:pPr>
              <w:pStyle w:val="A-"/>
            </w:pPr>
            <w:r>
              <w:t>水位（</w:t>
            </w:r>
            <w:r>
              <w:t>m</w:t>
            </w:r>
            <w:r>
              <w:t>）</w:t>
            </w:r>
          </w:p>
        </w:tc>
        <w:tc>
          <w:tcPr>
            <w:tcW w:w="464" w:type="pct"/>
            <w:vAlign w:val="center"/>
          </w:tcPr>
          <w:p w14:paraId="52EFFACE" w14:textId="77777777" w:rsidR="002E474C" w:rsidRDefault="00000000">
            <w:pPr>
              <w:pStyle w:val="A-"/>
            </w:pPr>
            <w:r>
              <w:t>使用功能</w:t>
            </w:r>
          </w:p>
        </w:tc>
        <w:tc>
          <w:tcPr>
            <w:tcW w:w="1524" w:type="pct"/>
            <w:vAlign w:val="center"/>
          </w:tcPr>
          <w:p w14:paraId="5B7592EA" w14:textId="77777777" w:rsidR="002E474C" w:rsidRDefault="00000000">
            <w:pPr>
              <w:pStyle w:val="A-"/>
            </w:pPr>
            <w:r>
              <w:t>监测因子</w:t>
            </w:r>
          </w:p>
        </w:tc>
      </w:tr>
      <w:tr w:rsidR="002E474C" w14:paraId="47DCC025" w14:textId="77777777">
        <w:trPr>
          <w:trHeight w:val="340"/>
        </w:trPr>
        <w:tc>
          <w:tcPr>
            <w:tcW w:w="414" w:type="pct"/>
            <w:vAlign w:val="center"/>
          </w:tcPr>
          <w:p w14:paraId="26D4A7AE" w14:textId="77777777" w:rsidR="002E474C" w:rsidRDefault="00000000">
            <w:pPr>
              <w:pStyle w:val="A-"/>
            </w:pPr>
            <w:r>
              <w:t>D1</w:t>
            </w:r>
          </w:p>
        </w:tc>
        <w:tc>
          <w:tcPr>
            <w:tcW w:w="679" w:type="pct"/>
          </w:tcPr>
          <w:p w14:paraId="47318F49" w14:textId="77777777" w:rsidR="002E474C" w:rsidRDefault="00000000">
            <w:pPr>
              <w:pStyle w:val="A-"/>
            </w:pPr>
            <w:r>
              <w:t>新材料项目</w:t>
            </w:r>
            <w:r>
              <w:t>1#</w:t>
            </w:r>
            <w:r>
              <w:t>井</w:t>
            </w:r>
          </w:p>
        </w:tc>
        <w:tc>
          <w:tcPr>
            <w:tcW w:w="478" w:type="pct"/>
          </w:tcPr>
          <w:p w14:paraId="5352AB86" w14:textId="77777777" w:rsidR="002E474C" w:rsidRDefault="00000000">
            <w:pPr>
              <w:pStyle w:val="A-"/>
            </w:pPr>
            <w:r>
              <w:t>东</w:t>
            </w:r>
            <w:r>
              <w:t>2.2km</w:t>
            </w:r>
          </w:p>
        </w:tc>
        <w:tc>
          <w:tcPr>
            <w:tcW w:w="502" w:type="pct"/>
            <w:vAlign w:val="center"/>
          </w:tcPr>
          <w:p w14:paraId="258B22E0" w14:textId="77777777" w:rsidR="002E474C" w:rsidRDefault="00000000">
            <w:pPr>
              <w:pStyle w:val="A-"/>
            </w:pPr>
            <w:r>
              <w:t>下游</w:t>
            </w:r>
          </w:p>
        </w:tc>
        <w:tc>
          <w:tcPr>
            <w:tcW w:w="469" w:type="pct"/>
            <w:vAlign w:val="center"/>
          </w:tcPr>
          <w:p w14:paraId="65C5B421" w14:textId="77777777" w:rsidR="002E474C" w:rsidRDefault="00000000">
            <w:pPr>
              <w:pStyle w:val="A-"/>
            </w:pPr>
            <w:r>
              <w:t>180</w:t>
            </w:r>
          </w:p>
        </w:tc>
        <w:tc>
          <w:tcPr>
            <w:tcW w:w="469" w:type="pct"/>
            <w:vAlign w:val="center"/>
          </w:tcPr>
          <w:p w14:paraId="6C9C3E23" w14:textId="77777777" w:rsidR="002E474C" w:rsidRDefault="00000000">
            <w:pPr>
              <w:pStyle w:val="A-"/>
            </w:pPr>
            <w:r>
              <w:t>157</w:t>
            </w:r>
          </w:p>
        </w:tc>
        <w:tc>
          <w:tcPr>
            <w:tcW w:w="464" w:type="pct"/>
            <w:vAlign w:val="center"/>
          </w:tcPr>
          <w:p w14:paraId="4108B0FD" w14:textId="77777777" w:rsidR="002E474C" w:rsidRDefault="00000000">
            <w:pPr>
              <w:pStyle w:val="A-"/>
            </w:pPr>
            <w:r>
              <w:t>监控井</w:t>
            </w:r>
          </w:p>
        </w:tc>
        <w:tc>
          <w:tcPr>
            <w:tcW w:w="1524" w:type="pct"/>
            <w:vMerge w:val="restart"/>
            <w:vAlign w:val="center"/>
          </w:tcPr>
          <w:p w14:paraId="057A9F86" w14:textId="77777777" w:rsidR="002E474C" w:rsidRDefault="00000000">
            <w:pPr>
              <w:pStyle w:val="A-"/>
            </w:pPr>
            <w:r>
              <w:t>八大离子：</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p>
          <w:p w14:paraId="4C468157" w14:textId="77777777" w:rsidR="002E474C" w:rsidRDefault="00000000">
            <w:pPr>
              <w:pStyle w:val="A-"/>
            </w:pPr>
            <w:r>
              <w:t>pH</w:t>
            </w:r>
            <w:r>
              <w:t>、总硬度、耗氧量、溶解性总固体、硫酸盐、氯化物、铁、锰、铜、锌、挥发酚、阴离子表面活性剂、硝酸盐、亚硝酸盐、氨氮、硫化物、氟化物、氰化物、汞、砷、镉、六价铬、铅、总大肠菌群。</w:t>
            </w:r>
          </w:p>
        </w:tc>
      </w:tr>
      <w:tr w:rsidR="002E474C" w14:paraId="42899A89" w14:textId="77777777">
        <w:trPr>
          <w:trHeight w:val="340"/>
        </w:trPr>
        <w:tc>
          <w:tcPr>
            <w:tcW w:w="414" w:type="pct"/>
          </w:tcPr>
          <w:p w14:paraId="7AC4279A" w14:textId="77777777" w:rsidR="002E474C" w:rsidRDefault="00000000">
            <w:pPr>
              <w:pStyle w:val="A-"/>
            </w:pPr>
            <w:r>
              <w:t>D2</w:t>
            </w:r>
          </w:p>
        </w:tc>
        <w:tc>
          <w:tcPr>
            <w:tcW w:w="679" w:type="pct"/>
          </w:tcPr>
          <w:p w14:paraId="523028D1" w14:textId="77777777" w:rsidR="002E474C" w:rsidRDefault="00000000">
            <w:pPr>
              <w:pStyle w:val="A-"/>
            </w:pPr>
            <w:r>
              <w:t>新材料项目</w:t>
            </w:r>
            <w:r>
              <w:t>2#</w:t>
            </w:r>
            <w:r>
              <w:t>井</w:t>
            </w:r>
          </w:p>
        </w:tc>
        <w:tc>
          <w:tcPr>
            <w:tcW w:w="478" w:type="pct"/>
          </w:tcPr>
          <w:p w14:paraId="1C9ACD18" w14:textId="77777777" w:rsidR="002E474C" w:rsidRDefault="00000000">
            <w:pPr>
              <w:pStyle w:val="A-"/>
            </w:pPr>
            <w:r>
              <w:t>东</w:t>
            </w:r>
            <w:r>
              <w:t>2.5km</w:t>
            </w:r>
          </w:p>
        </w:tc>
        <w:tc>
          <w:tcPr>
            <w:tcW w:w="502" w:type="pct"/>
          </w:tcPr>
          <w:p w14:paraId="79BACC29" w14:textId="77777777" w:rsidR="002E474C" w:rsidRDefault="00000000">
            <w:pPr>
              <w:pStyle w:val="A-"/>
            </w:pPr>
            <w:r>
              <w:t>下游</w:t>
            </w:r>
          </w:p>
        </w:tc>
        <w:tc>
          <w:tcPr>
            <w:tcW w:w="469" w:type="pct"/>
            <w:vAlign w:val="center"/>
          </w:tcPr>
          <w:p w14:paraId="0E3734D0" w14:textId="77777777" w:rsidR="002E474C" w:rsidRDefault="00000000">
            <w:pPr>
              <w:pStyle w:val="A-"/>
            </w:pPr>
            <w:r>
              <w:t>180</w:t>
            </w:r>
          </w:p>
        </w:tc>
        <w:tc>
          <w:tcPr>
            <w:tcW w:w="469" w:type="pct"/>
            <w:vAlign w:val="center"/>
          </w:tcPr>
          <w:p w14:paraId="76F1C309" w14:textId="77777777" w:rsidR="002E474C" w:rsidRDefault="00000000">
            <w:pPr>
              <w:pStyle w:val="A-"/>
            </w:pPr>
            <w:r>
              <w:t>150</w:t>
            </w:r>
          </w:p>
        </w:tc>
        <w:tc>
          <w:tcPr>
            <w:tcW w:w="464" w:type="pct"/>
          </w:tcPr>
          <w:p w14:paraId="33D4284E" w14:textId="77777777" w:rsidR="002E474C" w:rsidRDefault="00000000">
            <w:pPr>
              <w:pStyle w:val="A-"/>
            </w:pPr>
            <w:r>
              <w:t>监控井</w:t>
            </w:r>
          </w:p>
        </w:tc>
        <w:tc>
          <w:tcPr>
            <w:tcW w:w="1524" w:type="pct"/>
            <w:vMerge/>
            <w:vAlign w:val="center"/>
          </w:tcPr>
          <w:p w14:paraId="6D1B11DF" w14:textId="77777777" w:rsidR="002E474C" w:rsidRDefault="002E474C">
            <w:pPr>
              <w:pStyle w:val="A-"/>
            </w:pPr>
          </w:p>
        </w:tc>
      </w:tr>
      <w:tr w:rsidR="002E474C" w14:paraId="5BEF2E11" w14:textId="77777777">
        <w:trPr>
          <w:trHeight w:val="340"/>
        </w:trPr>
        <w:tc>
          <w:tcPr>
            <w:tcW w:w="414" w:type="pct"/>
          </w:tcPr>
          <w:p w14:paraId="33FA63CB" w14:textId="77777777" w:rsidR="002E474C" w:rsidRDefault="00000000">
            <w:pPr>
              <w:pStyle w:val="A-"/>
            </w:pPr>
            <w:r>
              <w:t>D3</w:t>
            </w:r>
          </w:p>
        </w:tc>
        <w:tc>
          <w:tcPr>
            <w:tcW w:w="679" w:type="pct"/>
          </w:tcPr>
          <w:p w14:paraId="27D33D69" w14:textId="77777777" w:rsidR="002E474C" w:rsidRDefault="00000000">
            <w:pPr>
              <w:pStyle w:val="A-"/>
            </w:pPr>
            <w:r>
              <w:t>新材料项目</w:t>
            </w:r>
            <w:r>
              <w:t>3#</w:t>
            </w:r>
            <w:r>
              <w:t>井</w:t>
            </w:r>
          </w:p>
        </w:tc>
        <w:tc>
          <w:tcPr>
            <w:tcW w:w="478" w:type="pct"/>
          </w:tcPr>
          <w:p w14:paraId="6DE7B6BD" w14:textId="77777777" w:rsidR="002E474C" w:rsidRDefault="00000000">
            <w:pPr>
              <w:pStyle w:val="A-"/>
            </w:pPr>
            <w:r>
              <w:t>东</w:t>
            </w:r>
            <w:r>
              <w:t>3.0km</w:t>
            </w:r>
          </w:p>
        </w:tc>
        <w:tc>
          <w:tcPr>
            <w:tcW w:w="502" w:type="pct"/>
          </w:tcPr>
          <w:p w14:paraId="6D5A6971" w14:textId="77777777" w:rsidR="002E474C" w:rsidRDefault="00000000">
            <w:pPr>
              <w:pStyle w:val="A-"/>
            </w:pPr>
            <w:r>
              <w:t>下游</w:t>
            </w:r>
          </w:p>
        </w:tc>
        <w:tc>
          <w:tcPr>
            <w:tcW w:w="469" w:type="pct"/>
            <w:vAlign w:val="center"/>
          </w:tcPr>
          <w:p w14:paraId="408C0CC3" w14:textId="77777777" w:rsidR="002E474C" w:rsidRDefault="00000000">
            <w:pPr>
              <w:pStyle w:val="A-"/>
            </w:pPr>
            <w:r>
              <w:t>180</w:t>
            </w:r>
          </w:p>
        </w:tc>
        <w:tc>
          <w:tcPr>
            <w:tcW w:w="469" w:type="pct"/>
            <w:vAlign w:val="center"/>
          </w:tcPr>
          <w:p w14:paraId="57D2604B" w14:textId="77777777" w:rsidR="002E474C" w:rsidRDefault="00000000">
            <w:pPr>
              <w:pStyle w:val="A-"/>
            </w:pPr>
            <w:r>
              <w:t>161</w:t>
            </w:r>
          </w:p>
        </w:tc>
        <w:tc>
          <w:tcPr>
            <w:tcW w:w="464" w:type="pct"/>
          </w:tcPr>
          <w:p w14:paraId="3CC4F3B7" w14:textId="77777777" w:rsidR="002E474C" w:rsidRDefault="00000000">
            <w:pPr>
              <w:pStyle w:val="A-"/>
            </w:pPr>
            <w:r>
              <w:t>监控井</w:t>
            </w:r>
          </w:p>
        </w:tc>
        <w:tc>
          <w:tcPr>
            <w:tcW w:w="1524" w:type="pct"/>
            <w:vMerge/>
            <w:vAlign w:val="center"/>
          </w:tcPr>
          <w:p w14:paraId="6AC67E7B" w14:textId="77777777" w:rsidR="002E474C" w:rsidRDefault="002E474C">
            <w:pPr>
              <w:pStyle w:val="A-"/>
            </w:pPr>
          </w:p>
        </w:tc>
      </w:tr>
      <w:tr w:rsidR="002E474C" w14:paraId="298B48BF" w14:textId="77777777">
        <w:trPr>
          <w:trHeight w:val="340"/>
        </w:trPr>
        <w:tc>
          <w:tcPr>
            <w:tcW w:w="414" w:type="pct"/>
          </w:tcPr>
          <w:p w14:paraId="01C725E9" w14:textId="77777777" w:rsidR="002E474C" w:rsidRDefault="00000000">
            <w:pPr>
              <w:pStyle w:val="A-"/>
            </w:pPr>
            <w:r>
              <w:t>D4</w:t>
            </w:r>
          </w:p>
        </w:tc>
        <w:tc>
          <w:tcPr>
            <w:tcW w:w="679" w:type="pct"/>
            <w:vAlign w:val="center"/>
          </w:tcPr>
          <w:p w14:paraId="5006060E" w14:textId="77777777" w:rsidR="002E474C" w:rsidRDefault="00000000">
            <w:pPr>
              <w:pStyle w:val="A-"/>
            </w:pPr>
            <w:r>
              <w:t>氯碱厂</w:t>
            </w:r>
            <w:r>
              <w:t>4#</w:t>
            </w:r>
            <w:r>
              <w:t>井</w:t>
            </w:r>
          </w:p>
        </w:tc>
        <w:tc>
          <w:tcPr>
            <w:tcW w:w="478" w:type="pct"/>
          </w:tcPr>
          <w:p w14:paraId="12231996" w14:textId="77777777" w:rsidR="002E474C" w:rsidRDefault="00000000">
            <w:pPr>
              <w:pStyle w:val="A-"/>
            </w:pPr>
            <w:r>
              <w:t>东南侧</w:t>
            </w:r>
            <w:r>
              <w:t>1km</w:t>
            </w:r>
          </w:p>
        </w:tc>
        <w:tc>
          <w:tcPr>
            <w:tcW w:w="502" w:type="pct"/>
          </w:tcPr>
          <w:p w14:paraId="67995972" w14:textId="77777777" w:rsidR="002E474C" w:rsidRDefault="00000000">
            <w:pPr>
              <w:pStyle w:val="A-"/>
            </w:pPr>
            <w:r>
              <w:t>下游</w:t>
            </w:r>
          </w:p>
        </w:tc>
        <w:tc>
          <w:tcPr>
            <w:tcW w:w="469" w:type="pct"/>
            <w:vAlign w:val="center"/>
          </w:tcPr>
          <w:p w14:paraId="01094EF9" w14:textId="77777777" w:rsidR="002E474C" w:rsidRDefault="00000000">
            <w:pPr>
              <w:pStyle w:val="A-"/>
            </w:pPr>
            <w:r>
              <w:t>170</w:t>
            </w:r>
          </w:p>
        </w:tc>
        <w:tc>
          <w:tcPr>
            <w:tcW w:w="469" w:type="pct"/>
            <w:vAlign w:val="center"/>
          </w:tcPr>
          <w:p w14:paraId="5D2750CA" w14:textId="77777777" w:rsidR="002E474C" w:rsidRDefault="00000000">
            <w:pPr>
              <w:pStyle w:val="A-"/>
            </w:pPr>
            <w:r>
              <w:t>144</w:t>
            </w:r>
          </w:p>
        </w:tc>
        <w:tc>
          <w:tcPr>
            <w:tcW w:w="464" w:type="pct"/>
          </w:tcPr>
          <w:p w14:paraId="48534746" w14:textId="77777777" w:rsidR="002E474C" w:rsidRDefault="00000000">
            <w:pPr>
              <w:pStyle w:val="A-"/>
            </w:pPr>
            <w:r>
              <w:t>监控井</w:t>
            </w:r>
          </w:p>
        </w:tc>
        <w:tc>
          <w:tcPr>
            <w:tcW w:w="1524" w:type="pct"/>
            <w:vMerge/>
            <w:vAlign w:val="center"/>
          </w:tcPr>
          <w:p w14:paraId="3DE23154" w14:textId="77777777" w:rsidR="002E474C" w:rsidRDefault="002E474C">
            <w:pPr>
              <w:pStyle w:val="A-"/>
            </w:pPr>
          </w:p>
        </w:tc>
      </w:tr>
      <w:tr w:rsidR="002E474C" w14:paraId="5833BA5F" w14:textId="77777777">
        <w:trPr>
          <w:trHeight w:val="340"/>
        </w:trPr>
        <w:tc>
          <w:tcPr>
            <w:tcW w:w="414" w:type="pct"/>
          </w:tcPr>
          <w:p w14:paraId="5F728A12" w14:textId="77777777" w:rsidR="002E474C" w:rsidRDefault="00000000">
            <w:pPr>
              <w:pStyle w:val="A-"/>
            </w:pPr>
            <w:r>
              <w:t>D5</w:t>
            </w:r>
          </w:p>
        </w:tc>
        <w:tc>
          <w:tcPr>
            <w:tcW w:w="679" w:type="pct"/>
            <w:vAlign w:val="center"/>
          </w:tcPr>
          <w:p w14:paraId="4827C7B4" w14:textId="77777777" w:rsidR="002E474C" w:rsidRDefault="00000000">
            <w:pPr>
              <w:pStyle w:val="A-"/>
            </w:pPr>
            <w:r>
              <w:t>电石井</w:t>
            </w:r>
            <w:r>
              <w:t>5</w:t>
            </w:r>
            <w:r>
              <w:t>＃井</w:t>
            </w:r>
          </w:p>
        </w:tc>
        <w:tc>
          <w:tcPr>
            <w:tcW w:w="478" w:type="pct"/>
          </w:tcPr>
          <w:p w14:paraId="39252533" w14:textId="77777777" w:rsidR="002E474C" w:rsidRDefault="00000000">
            <w:pPr>
              <w:pStyle w:val="A-"/>
            </w:pPr>
            <w:r>
              <w:t>西侧</w:t>
            </w:r>
            <w:r>
              <w:t>3km</w:t>
            </w:r>
          </w:p>
        </w:tc>
        <w:tc>
          <w:tcPr>
            <w:tcW w:w="502" w:type="pct"/>
            <w:vAlign w:val="center"/>
          </w:tcPr>
          <w:p w14:paraId="6110E314" w14:textId="77777777" w:rsidR="002E474C" w:rsidRDefault="00000000">
            <w:pPr>
              <w:pStyle w:val="A-"/>
            </w:pPr>
            <w:r>
              <w:t>上游</w:t>
            </w:r>
          </w:p>
        </w:tc>
        <w:tc>
          <w:tcPr>
            <w:tcW w:w="469" w:type="pct"/>
            <w:vAlign w:val="center"/>
          </w:tcPr>
          <w:p w14:paraId="5FE45007" w14:textId="77777777" w:rsidR="002E474C" w:rsidRDefault="00000000">
            <w:pPr>
              <w:pStyle w:val="A-"/>
            </w:pPr>
            <w:r>
              <w:t>170</w:t>
            </w:r>
          </w:p>
        </w:tc>
        <w:tc>
          <w:tcPr>
            <w:tcW w:w="469" w:type="pct"/>
            <w:vAlign w:val="center"/>
          </w:tcPr>
          <w:p w14:paraId="54DF0D9C" w14:textId="77777777" w:rsidR="002E474C" w:rsidRDefault="00000000">
            <w:pPr>
              <w:pStyle w:val="A-"/>
            </w:pPr>
            <w:r>
              <w:t>137</w:t>
            </w:r>
          </w:p>
        </w:tc>
        <w:tc>
          <w:tcPr>
            <w:tcW w:w="464" w:type="pct"/>
            <w:vAlign w:val="center"/>
          </w:tcPr>
          <w:p w14:paraId="0C19F730" w14:textId="77777777" w:rsidR="002E474C" w:rsidRDefault="00000000">
            <w:pPr>
              <w:pStyle w:val="A-"/>
            </w:pPr>
            <w:r>
              <w:t>工矿用水</w:t>
            </w:r>
          </w:p>
        </w:tc>
        <w:tc>
          <w:tcPr>
            <w:tcW w:w="1524" w:type="pct"/>
            <w:vMerge/>
            <w:vAlign w:val="center"/>
          </w:tcPr>
          <w:p w14:paraId="5B2C93EC" w14:textId="77777777" w:rsidR="002E474C" w:rsidRDefault="002E474C">
            <w:pPr>
              <w:pStyle w:val="A-"/>
            </w:pPr>
          </w:p>
        </w:tc>
      </w:tr>
      <w:bookmarkEnd w:id="244"/>
    </w:tbl>
    <w:p w14:paraId="5381AF18" w14:textId="77777777" w:rsidR="002E474C" w:rsidRDefault="002E474C"/>
    <w:p w14:paraId="31270ABB" w14:textId="77777777" w:rsidR="002E474C" w:rsidRDefault="00000000">
      <w:pPr>
        <w:pStyle w:val="A-z"/>
        <w:rPr>
          <w:color w:val="auto"/>
        </w:rPr>
      </w:pPr>
      <w:r>
        <w:rPr>
          <w:color w:val="auto"/>
        </w:rPr>
        <w:t>（</w:t>
      </w:r>
      <w:r>
        <w:rPr>
          <w:color w:val="auto"/>
        </w:rPr>
        <w:t>2</w:t>
      </w:r>
      <w:r>
        <w:rPr>
          <w:color w:val="auto"/>
        </w:rPr>
        <w:t>）监测单位与监测时间</w:t>
      </w:r>
    </w:p>
    <w:p w14:paraId="41D367B3" w14:textId="77777777" w:rsidR="002E474C" w:rsidRDefault="00000000">
      <w:pPr>
        <w:pStyle w:val="A-z"/>
        <w:rPr>
          <w:color w:val="auto"/>
        </w:rPr>
      </w:pPr>
      <w:r>
        <w:rPr>
          <w:color w:val="auto"/>
        </w:rPr>
        <w:t>监测单位：新疆壹诺环保科技有限公司。</w:t>
      </w:r>
    </w:p>
    <w:p w14:paraId="663E079B" w14:textId="77777777" w:rsidR="002E474C" w:rsidRDefault="00000000">
      <w:pPr>
        <w:pStyle w:val="A-z"/>
        <w:rPr>
          <w:color w:val="auto"/>
        </w:rPr>
      </w:pPr>
      <w:r>
        <w:rPr>
          <w:color w:val="auto"/>
        </w:rPr>
        <w:t>监测时间：</w:t>
      </w:r>
      <w:r>
        <w:rPr>
          <w:color w:val="auto"/>
          <w:lang w:val="en-US"/>
        </w:rPr>
        <w:t>2026</w:t>
      </w:r>
      <w:r>
        <w:rPr>
          <w:color w:val="auto"/>
          <w:lang w:val="en-US"/>
        </w:rPr>
        <w:t>年</w:t>
      </w:r>
      <w:r>
        <w:rPr>
          <w:color w:val="auto"/>
          <w:lang w:val="en-US"/>
        </w:rPr>
        <w:t>1</w:t>
      </w:r>
      <w:r>
        <w:rPr>
          <w:color w:val="auto"/>
          <w:lang w:val="en-US"/>
        </w:rPr>
        <w:t>月</w:t>
      </w:r>
      <w:r>
        <w:rPr>
          <w:color w:val="auto"/>
          <w:lang w:val="en-US"/>
        </w:rPr>
        <w:t>22</w:t>
      </w:r>
      <w:r>
        <w:rPr>
          <w:color w:val="auto"/>
          <w:lang w:val="en-US"/>
        </w:rPr>
        <w:t>日至</w:t>
      </w:r>
      <w:r>
        <w:rPr>
          <w:color w:val="auto"/>
          <w:lang w:val="en-US"/>
        </w:rPr>
        <w:t>1</w:t>
      </w:r>
      <w:r>
        <w:rPr>
          <w:color w:val="auto"/>
          <w:lang w:val="en-US"/>
        </w:rPr>
        <w:t>月</w:t>
      </w:r>
      <w:r>
        <w:rPr>
          <w:color w:val="auto"/>
          <w:lang w:val="en-US"/>
        </w:rPr>
        <w:t>27</w:t>
      </w:r>
      <w:r>
        <w:rPr>
          <w:color w:val="auto"/>
          <w:lang w:val="en-US"/>
        </w:rPr>
        <w:t>日</w:t>
      </w:r>
      <w:r>
        <w:rPr>
          <w:color w:val="auto"/>
        </w:rPr>
        <w:t>。</w:t>
      </w:r>
    </w:p>
    <w:p w14:paraId="74B6AD62" w14:textId="77777777" w:rsidR="002E474C" w:rsidRDefault="00000000">
      <w:pPr>
        <w:pStyle w:val="A-z"/>
        <w:rPr>
          <w:color w:val="auto"/>
        </w:rPr>
      </w:pPr>
      <w:r>
        <w:rPr>
          <w:color w:val="auto"/>
        </w:rPr>
        <w:t>（</w:t>
      </w:r>
      <w:r>
        <w:rPr>
          <w:color w:val="auto"/>
        </w:rPr>
        <w:t>3</w:t>
      </w:r>
      <w:r>
        <w:rPr>
          <w:color w:val="auto"/>
        </w:rPr>
        <w:t>）采样及监测分析方法</w:t>
      </w:r>
    </w:p>
    <w:p w14:paraId="1F266DE8" w14:textId="77777777" w:rsidR="002E474C" w:rsidRDefault="00000000">
      <w:pPr>
        <w:pStyle w:val="A-z"/>
        <w:rPr>
          <w:color w:val="auto"/>
        </w:rPr>
      </w:pPr>
      <w:r>
        <w:rPr>
          <w:color w:val="auto"/>
        </w:rPr>
        <w:t>采样按照《环境影响评价技术导则</w:t>
      </w:r>
      <w:r>
        <w:rPr>
          <w:color w:val="auto"/>
        </w:rPr>
        <w:t xml:space="preserve"> </w:t>
      </w:r>
      <w:r>
        <w:rPr>
          <w:color w:val="auto"/>
        </w:rPr>
        <w:t>地下水环境》（</w:t>
      </w:r>
      <w:r>
        <w:rPr>
          <w:color w:val="auto"/>
        </w:rPr>
        <w:t>HJ610-2016</w:t>
      </w:r>
      <w:r>
        <w:rPr>
          <w:color w:val="auto"/>
        </w:rPr>
        <w:t>）执行，监测分析方法按照《地下水环境监测技术规范》（</w:t>
      </w:r>
      <w:r>
        <w:rPr>
          <w:color w:val="auto"/>
        </w:rPr>
        <w:t>HJ164-2020</w:t>
      </w:r>
      <w:r>
        <w:rPr>
          <w:color w:val="auto"/>
        </w:rPr>
        <w:t>）及《地下水质量标准》（</w:t>
      </w:r>
      <w:r>
        <w:rPr>
          <w:color w:val="auto"/>
        </w:rPr>
        <w:t>GB/T14848-2017</w:t>
      </w:r>
      <w:r>
        <w:rPr>
          <w:color w:val="auto"/>
        </w:rPr>
        <w:t>）中有关要求执行。</w:t>
      </w:r>
    </w:p>
    <w:p w14:paraId="205326F0" w14:textId="77777777" w:rsidR="002E474C" w:rsidRDefault="00000000">
      <w:pPr>
        <w:pStyle w:val="A-z"/>
        <w:rPr>
          <w:color w:val="auto"/>
        </w:rPr>
      </w:pPr>
      <w:r>
        <w:rPr>
          <w:color w:val="auto"/>
        </w:rPr>
        <w:t>（</w:t>
      </w:r>
      <w:r>
        <w:rPr>
          <w:color w:val="auto"/>
        </w:rPr>
        <w:t>4</w:t>
      </w:r>
      <w:r>
        <w:rPr>
          <w:color w:val="auto"/>
        </w:rPr>
        <w:t>）评价标准及评价方法</w:t>
      </w:r>
    </w:p>
    <w:p w14:paraId="31098DDF" w14:textId="77777777" w:rsidR="002E474C" w:rsidRDefault="00000000">
      <w:pPr>
        <w:pStyle w:val="A-z"/>
        <w:rPr>
          <w:color w:val="auto"/>
        </w:rPr>
      </w:pPr>
      <w:r>
        <w:rPr>
          <w:color w:val="auto"/>
        </w:rPr>
        <w:t>1</w:t>
      </w:r>
      <w:r>
        <w:rPr>
          <w:color w:val="auto"/>
        </w:rPr>
        <w:t>）评价标准</w:t>
      </w:r>
    </w:p>
    <w:p w14:paraId="56945ED4" w14:textId="77777777" w:rsidR="002E474C" w:rsidRDefault="00000000">
      <w:pPr>
        <w:pStyle w:val="A-z"/>
        <w:rPr>
          <w:color w:val="auto"/>
        </w:rPr>
      </w:pPr>
      <w:r>
        <w:rPr>
          <w:color w:val="auto"/>
        </w:rPr>
        <w:t>地下水质量执行《地下水质量标准》（</w:t>
      </w:r>
      <w:r>
        <w:rPr>
          <w:color w:val="auto"/>
        </w:rPr>
        <w:t>GB/T14848-2017</w:t>
      </w:r>
      <w:r>
        <w:rPr>
          <w:color w:val="auto"/>
        </w:rPr>
        <w:t>）中</w:t>
      </w:r>
      <w:r>
        <w:rPr>
          <w:color w:val="auto"/>
        </w:rPr>
        <w:t>Ⅲ</w:t>
      </w:r>
      <w:r>
        <w:rPr>
          <w:color w:val="auto"/>
        </w:rPr>
        <w:t>类标准。</w:t>
      </w:r>
    </w:p>
    <w:p w14:paraId="1506DB69" w14:textId="77777777" w:rsidR="002E474C" w:rsidRDefault="00000000">
      <w:pPr>
        <w:pStyle w:val="A-z"/>
        <w:rPr>
          <w:color w:val="auto"/>
        </w:rPr>
      </w:pPr>
      <w:r>
        <w:rPr>
          <w:color w:val="auto"/>
        </w:rPr>
        <w:t>2</w:t>
      </w:r>
      <w:r>
        <w:rPr>
          <w:color w:val="auto"/>
        </w:rPr>
        <w:t>）评价方法</w:t>
      </w:r>
    </w:p>
    <w:p w14:paraId="431C104E" w14:textId="77777777" w:rsidR="002E474C" w:rsidRDefault="00000000">
      <w:pPr>
        <w:pStyle w:val="A-z"/>
        <w:rPr>
          <w:color w:val="auto"/>
        </w:rPr>
      </w:pPr>
      <w:r>
        <w:rPr>
          <w:color w:val="auto"/>
        </w:rPr>
        <w:t>地下水水质现状评价采用标准指数法。标准指数</w:t>
      </w:r>
      <w:r>
        <w:rPr>
          <w:color w:val="auto"/>
        </w:rPr>
        <w:t>&gt;1</w:t>
      </w:r>
      <w:r>
        <w:rPr>
          <w:color w:val="auto"/>
        </w:rPr>
        <w:t>，表明该水质因子已超标，标准指数越大，超标越严重。标准指数计算公式分为以下两种情况：</w:t>
      </w:r>
    </w:p>
    <w:p w14:paraId="26AA4CEA" w14:textId="77777777" w:rsidR="002E474C" w:rsidRDefault="00000000">
      <w:pPr>
        <w:pStyle w:val="A-z"/>
        <w:rPr>
          <w:color w:val="auto"/>
        </w:rPr>
      </w:pPr>
      <w:r>
        <w:rPr>
          <w:color w:val="auto"/>
        </w:rPr>
        <w:t>①</w:t>
      </w:r>
      <w:r>
        <w:rPr>
          <w:color w:val="auto"/>
        </w:rPr>
        <w:t>对于评价标准为定值的水质因子，其标准指数计算方法见下式：</w:t>
      </w:r>
    </w:p>
    <w:p w14:paraId="6E5578E8" w14:textId="77777777" w:rsidR="002E474C" w:rsidRDefault="00000000">
      <w:pPr>
        <w:pStyle w:val="A-z"/>
        <w:rPr>
          <w:color w:val="auto"/>
        </w:rPr>
      </w:pPr>
      <w:r>
        <w:rPr>
          <w:color w:val="auto"/>
          <w:position w:val="-30"/>
          <w:lang w:val="en-US"/>
        </w:rPr>
        <w:t xml:space="preserve">      </w:t>
      </w:r>
      <w:r>
        <w:rPr>
          <w:noProof/>
          <w:color w:val="auto"/>
          <w:position w:val="-30"/>
        </w:rPr>
        <w:drawing>
          <wp:inline distT="0" distB="0" distL="0" distR="0" wp14:anchorId="0AAD0091" wp14:editId="29FB7B57">
            <wp:extent cx="629285" cy="478155"/>
            <wp:effectExtent l="0" t="0" r="0" b="0"/>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9285" cy="478155"/>
                    </a:xfrm>
                    <a:prstGeom prst="rect">
                      <a:avLst/>
                    </a:prstGeom>
                    <a:noFill/>
                    <a:ln>
                      <a:noFill/>
                    </a:ln>
                  </pic:spPr>
                </pic:pic>
              </a:graphicData>
            </a:graphic>
          </wp:inline>
        </w:drawing>
      </w:r>
    </w:p>
    <w:p w14:paraId="600C5C8F" w14:textId="77777777" w:rsidR="002E474C" w:rsidRDefault="00000000">
      <w:pPr>
        <w:pStyle w:val="A-z"/>
        <w:rPr>
          <w:color w:val="auto"/>
        </w:rPr>
      </w:pPr>
      <w:r>
        <w:rPr>
          <w:color w:val="auto"/>
        </w:rPr>
        <w:t>式中：</w:t>
      </w:r>
      <w:r>
        <w:rPr>
          <w:color w:val="auto"/>
        </w:rPr>
        <w:t>P</w:t>
      </w:r>
      <w:r>
        <w:rPr>
          <w:color w:val="auto"/>
          <w:vertAlign w:val="subscript"/>
        </w:rPr>
        <w:t>i</w:t>
      </w:r>
      <w:r>
        <w:rPr>
          <w:color w:val="auto"/>
        </w:rPr>
        <w:t xml:space="preserve"> —</w:t>
      </w:r>
      <w:r>
        <w:rPr>
          <w:color w:val="auto"/>
        </w:rPr>
        <w:t>第</w:t>
      </w:r>
      <w:r>
        <w:rPr>
          <w:color w:val="auto"/>
        </w:rPr>
        <w:t xml:space="preserve"> i</w:t>
      </w:r>
      <w:r>
        <w:rPr>
          <w:color w:val="auto"/>
        </w:rPr>
        <w:t>个水质因子的标准指数，无量纲；</w:t>
      </w:r>
    </w:p>
    <w:p w14:paraId="5547B297" w14:textId="77777777" w:rsidR="002E474C" w:rsidRDefault="00000000">
      <w:pPr>
        <w:pStyle w:val="A-z"/>
        <w:ind w:firstLineChars="500" w:firstLine="1200"/>
        <w:rPr>
          <w:color w:val="auto"/>
        </w:rPr>
      </w:pPr>
      <w:r>
        <w:rPr>
          <w:color w:val="auto"/>
        </w:rPr>
        <w:t>C</w:t>
      </w:r>
      <w:r>
        <w:rPr>
          <w:color w:val="auto"/>
          <w:vertAlign w:val="subscript"/>
        </w:rPr>
        <w:t>i</w:t>
      </w:r>
      <w:r>
        <w:rPr>
          <w:color w:val="auto"/>
        </w:rPr>
        <w:t xml:space="preserve"> —</w:t>
      </w:r>
      <w:r>
        <w:rPr>
          <w:color w:val="auto"/>
        </w:rPr>
        <w:t>第</w:t>
      </w:r>
      <w:r>
        <w:rPr>
          <w:color w:val="auto"/>
        </w:rPr>
        <w:t xml:space="preserve"> i </w:t>
      </w:r>
      <w:r>
        <w:rPr>
          <w:color w:val="auto"/>
        </w:rPr>
        <w:t>个水质因子的监测浓度值，</w:t>
      </w:r>
      <w:r>
        <w:rPr>
          <w:color w:val="auto"/>
        </w:rPr>
        <w:t>mg/L</w:t>
      </w:r>
      <w:r>
        <w:rPr>
          <w:color w:val="auto"/>
        </w:rPr>
        <w:t>；</w:t>
      </w:r>
      <w:r>
        <w:rPr>
          <w:color w:val="auto"/>
        </w:rPr>
        <w:t xml:space="preserve"> </w:t>
      </w:r>
    </w:p>
    <w:p w14:paraId="3A9B2020" w14:textId="77777777" w:rsidR="002E474C" w:rsidRDefault="00000000">
      <w:pPr>
        <w:pStyle w:val="A-z"/>
        <w:ind w:firstLineChars="500" w:firstLine="1200"/>
        <w:rPr>
          <w:color w:val="auto"/>
        </w:rPr>
      </w:pPr>
      <w:r>
        <w:rPr>
          <w:color w:val="auto"/>
        </w:rPr>
        <w:t>C</w:t>
      </w:r>
      <w:r>
        <w:rPr>
          <w:color w:val="auto"/>
          <w:vertAlign w:val="subscript"/>
        </w:rPr>
        <w:t>si</w:t>
      </w:r>
      <w:r>
        <w:rPr>
          <w:color w:val="auto"/>
        </w:rPr>
        <w:t xml:space="preserve"> —</w:t>
      </w:r>
      <w:r>
        <w:rPr>
          <w:color w:val="auto"/>
        </w:rPr>
        <w:t>第</w:t>
      </w:r>
      <w:r>
        <w:rPr>
          <w:color w:val="auto"/>
        </w:rPr>
        <w:t xml:space="preserve"> i </w:t>
      </w:r>
      <w:r>
        <w:rPr>
          <w:color w:val="auto"/>
        </w:rPr>
        <w:t>个水质因子的标准浓度值，</w:t>
      </w:r>
      <w:r>
        <w:rPr>
          <w:color w:val="auto"/>
        </w:rPr>
        <w:t>mg/L</w:t>
      </w:r>
      <w:r>
        <w:rPr>
          <w:color w:val="auto"/>
        </w:rPr>
        <w:t>。</w:t>
      </w:r>
    </w:p>
    <w:p w14:paraId="6C2C3A39" w14:textId="77777777" w:rsidR="002E474C" w:rsidRDefault="00000000">
      <w:pPr>
        <w:pStyle w:val="A-z"/>
        <w:rPr>
          <w:color w:val="auto"/>
        </w:rPr>
      </w:pPr>
      <w:r>
        <w:rPr>
          <w:color w:val="auto"/>
        </w:rPr>
        <w:t>②</w:t>
      </w:r>
      <w:r>
        <w:rPr>
          <w:color w:val="auto"/>
        </w:rPr>
        <w:t>对于评价标准为区间值的水质因子（如</w:t>
      </w:r>
      <w:r>
        <w:rPr>
          <w:color w:val="auto"/>
        </w:rPr>
        <w:t>pH</w:t>
      </w:r>
      <w:r>
        <w:rPr>
          <w:color w:val="auto"/>
        </w:rPr>
        <w:t>值），标准指数计算方法如下：</w:t>
      </w:r>
    </w:p>
    <w:p w14:paraId="77C28B4C" w14:textId="77777777" w:rsidR="002E474C" w:rsidRDefault="00000000">
      <w:pPr>
        <w:pStyle w:val="A-z"/>
        <w:jc w:val="center"/>
        <w:rPr>
          <w:color w:val="auto"/>
        </w:rPr>
      </w:pPr>
      <w:r>
        <w:rPr>
          <w:color w:val="auto"/>
        </w:rPr>
        <w:lastRenderedPageBreak/>
        <w:t>pH≤7.0</w:t>
      </w:r>
      <w:r>
        <w:rPr>
          <w:color w:val="auto"/>
        </w:rPr>
        <w:t>时，</w:t>
      </w:r>
      <w:r>
        <w:rPr>
          <w:color w:val="auto"/>
        </w:rPr>
        <w:t xml:space="preserve">     </w:t>
      </w:r>
      <w:r>
        <w:rPr>
          <w:noProof/>
          <w:color w:val="auto"/>
          <w:position w:val="-30"/>
        </w:rPr>
        <w:drawing>
          <wp:inline distT="0" distB="0" distL="0" distR="0" wp14:anchorId="2FB78914" wp14:editId="2F12A141">
            <wp:extent cx="1191260" cy="478155"/>
            <wp:effectExtent l="0" t="0" r="8890" b="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91260" cy="478155"/>
                    </a:xfrm>
                    <a:prstGeom prst="rect">
                      <a:avLst/>
                    </a:prstGeom>
                    <a:noFill/>
                    <a:ln>
                      <a:noFill/>
                    </a:ln>
                  </pic:spPr>
                </pic:pic>
              </a:graphicData>
            </a:graphic>
          </wp:inline>
        </w:drawing>
      </w:r>
    </w:p>
    <w:p w14:paraId="7D66E6B4" w14:textId="77777777" w:rsidR="002E474C" w:rsidRDefault="00000000">
      <w:pPr>
        <w:pStyle w:val="A-z"/>
        <w:jc w:val="center"/>
        <w:rPr>
          <w:color w:val="auto"/>
        </w:rPr>
      </w:pPr>
      <w:r>
        <w:rPr>
          <w:color w:val="auto"/>
        </w:rPr>
        <w:t>pH</w:t>
      </w:r>
      <w:r>
        <w:rPr>
          <w:color w:val="auto"/>
        </w:rPr>
        <w:t>＞</w:t>
      </w:r>
      <w:r>
        <w:rPr>
          <w:color w:val="auto"/>
        </w:rPr>
        <w:t>7.0</w:t>
      </w:r>
      <w:r>
        <w:rPr>
          <w:color w:val="auto"/>
        </w:rPr>
        <w:t>时，</w:t>
      </w:r>
      <w:r>
        <w:rPr>
          <w:color w:val="auto"/>
        </w:rPr>
        <w:t xml:space="preserve">     </w:t>
      </w:r>
      <w:r>
        <w:rPr>
          <w:noProof/>
          <w:color w:val="auto"/>
          <w:position w:val="-30"/>
        </w:rPr>
        <w:drawing>
          <wp:inline distT="0" distB="0" distL="0" distR="0" wp14:anchorId="78C0FE0C" wp14:editId="1EDEFE7C">
            <wp:extent cx="1199515" cy="478155"/>
            <wp:effectExtent l="0" t="0" r="635" b="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99515" cy="478155"/>
                    </a:xfrm>
                    <a:prstGeom prst="rect">
                      <a:avLst/>
                    </a:prstGeom>
                    <a:noFill/>
                    <a:ln>
                      <a:noFill/>
                    </a:ln>
                  </pic:spPr>
                </pic:pic>
              </a:graphicData>
            </a:graphic>
          </wp:inline>
        </w:drawing>
      </w:r>
    </w:p>
    <w:p w14:paraId="6FAD9095" w14:textId="77777777" w:rsidR="002E474C" w:rsidRDefault="00000000">
      <w:pPr>
        <w:pStyle w:val="A-z"/>
        <w:rPr>
          <w:color w:val="auto"/>
        </w:rPr>
      </w:pPr>
      <w:r>
        <w:rPr>
          <w:color w:val="auto"/>
        </w:rPr>
        <w:t>式中：</w:t>
      </w:r>
      <w:r>
        <w:rPr>
          <w:color w:val="auto"/>
        </w:rPr>
        <w:t>P</w:t>
      </w:r>
      <w:r>
        <w:rPr>
          <w:color w:val="auto"/>
          <w:vertAlign w:val="subscript"/>
        </w:rPr>
        <w:t>pH</w:t>
      </w:r>
      <w:r>
        <w:rPr>
          <w:color w:val="auto"/>
        </w:rPr>
        <w:t>——pH</w:t>
      </w:r>
      <w:r>
        <w:rPr>
          <w:color w:val="auto"/>
        </w:rPr>
        <w:t>的标准指数，无量纲；</w:t>
      </w:r>
    </w:p>
    <w:p w14:paraId="70909472" w14:textId="77777777" w:rsidR="002E474C" w:rsidRDefault="00000000">
      <w:pPr>
        <w:pStyle w:val="A-z"/>
        <w:ind w:firstLineChars="500" w:firstLine="1200"/>
        <w:rPr>
          <w:color w:val="auto"/>
        </w:rPr>
      </w:pPr>
      <w:r>
        <w:rPr>
          <w:color w:val="auto"/>
        </w:rPr>
        <w:t>pH</w:t>
      </w:r>
      <w:r>
        <w:rPr>
          <w:color w:val="auto"/>
          <w:vertAlign w:val="subscript"/>
        </w:rPr>
        <w:t>sd</w:t>
      </w:r>
      <w:r>
        <w:rPr>
          <w:color w:val="auto"/>
        </w:rPr>
        <w:t>——</w:t>
      </w:r>
      <w:r>
        <w:rPr>
          <w:color w:val="auto"/>
        </w:rPr>
        <w:t>标准中</w:t>
      </w:r>
      <w:r>
        <w:rPr>
          <w:color w:val="auto"/>
        </w:rPr>
        <w:t>pH</w:t>
      </w:r>
      <w:r>
        <w:rPr>
          <w:color w:val="auto"/>
        </w:rPr>
        <w:t>的下限值；</w:t>
      </w:r>
    </w:p>
    <w:p w14:paraId="759BBE0A" w14:textId="77777777" w:rsidR="002E474C" w:rsidRDefault="00000000">
      <w:pPr>
        <w:pStyle w:val="A-z"/>
        <w:ind w:firstLineChars="500" w:firstLine="1200"/>
        <w:rPr>
          <w:color w:val="auto"/>
        </w:rPr>
      </w:pPr>
      <w:r>
        <w:rPr>
          <w:color w:val="auto"/>
        </w:rPr>
        <w:t>pH</w:t>
      </w:r>
      <w:r>
        <w:rPr>
          <w:color w:val="auto"/>
          <w:vertAlign w:val="subscript"/>
        </w:rPr>
        <w:t>su</w:t>
      </w:r>
      <w:r>
        <w:rPr>
          <w:color w:val="auto"/>
        </w:rPr>
        <w:t>——</w:t>
      </w:r>
      <w:r>
        <w:rPr>
          <w:color w:val="auto"/>
        </w:rPr>
        <w:t>标准中</w:t>
      </w:r>
      <w:r>
        <w:rPr>
          <w:color w:val="auto"/>
        </w:rPr>
        <w:t>pH</w:t>
      </w:r>
      <w:r>
        <w:rPr>
          <w:color w:val="auto"/>
        </w:rPr>
        <w:t>的上限值。</w:t>
      </w:r>
    </w:p>
    <w:p w14:paraId="72D683BC" w14:textId="77777777" w:rsidR="002E474C" w:rsidRDefault="00000000">
      <w:pPr>
        <w:pStyle w:val="A-z"/>
        <w:rPr>
          <w:color w:val="auto"/>
        </w:rPr>
      </w:pPr>
      <w:r>
        <w:rPr>
          <w:color w:val="auto"/>
        </w:rPr>
        <w:t>（</w:t>
      </w:r>
      <w:r>
        <w:rPr>
          <w:color w:val="auto"/>
        </w:rPr>
        <w:t>5</w:t>
      </w:r>
      <w:r>
        <w:rPr>
          <w:color w:val="auto"/>
        </w:rPr>
        <w:t>）监测及评价结果</w:t>
      </w:r>
    </w:p>
    <w:p w14:paraId="2A88B81D" w14:textId="77777777" w:rsidR="002E474C" w:rsidRDefault="00000000">
      <w:pPr>
        <w:pStyle w:val="A-z"/>
        <w:rPr>
          <w:color w:val="auto"/>
        </w:rPr>
      </w:pPr>
      <w:r>
        <w:rPr>
          <w:color w:val="auto"/>
        </w:rPr>
        <w:t>地下水水质监测以及评价结果见表</w:t>
      </w:r>
      <w:r>
        <w:rPr>
          <w:color w:val="auto"/>
        </w:rPr>
        <w:t>4.3</w:t>
      </w:r>
      <w:r>
        <w:rPr>
          <w:color w:val="auto"/>
        </w:rPr>
        <w:noBreakHyphen/>
        <w:t>6</w:t>
      </w:r>
      <w:r>
        <w:rPr>
          <w:color w:val="auto"/>
        </w:rPr>
        <w:t>。</w:t>
      </w:r>
    </w:p>
    <w:p w14:paraId="5A0BEAE7" w14:textId="77777777" w:rsidR="002E474C" w:rsidRDefault="00000000">
      <w:pPr>
        <w:pStyle w:val="A-z"/>
        <w:rPr>
          <w:color w:val="auto"/>
          <w:lang w:val="en-US"/>
        </w:rPr>
      </w:pPr>
      <w:r>
        <w:rPr>
          <w:color w:val="auto"/>
        </w:rPr>
        <w:t>评价可知，区域地下水监测井中</w:t>
      </w:r>
      <w:r>
        <w:rPr>
          <w:color w:val="auto"/>
        </w:rPr>
        <w:t>D1</w:t>
      </w:r>
      <w:r>
        <w:rPr>
          <w:color w:val="auto"/>
        </w:rPr>
        <w:t>、</w:t>
      </w:r>
      <w:r>
        <w:rPr>
          <w:color w:val="auto"/>
        </w:rPr>
        <w:t>D2</w:t>
      </w:r>
      <w:r>
        <w:rPr>
          <w:color w:val="auto"/>
        </w:rPr>
        <w:t>、</w:t>
      </w:r>
      <w:r>
        <w:rPr>
          <w:color w:val="auto"/>
        </w:rPr>
        <w:t>D3</w:t>
      </w:r>
      <w:r>
        <w:rPr>
          <w:color w:val="auto"/>
        </w:rPr>
        <w:t>各监测因子出现总硬度与氯化物超过《地下水质量标准》（</w:t>
      </w:r>
      <w:r>
        <w:rPr>
          <w:color w:val="auto"/>
        </w:rPr>
        <w:t>GB/T14848-2017</w:t>
      </w:r>
      <w:r>
        <w:rPr>
          <w:color w:val="auto"/>
        </w:rPr>
        <w:t>）</w:t>
      </w:r>
      <w:bookmarkStart w:id="245" w:name="OLE_LINK48"/>
      <w:r>
        <w:rPr>
          <w:color w:val="auto"/>
        </w:rPr>
        <w:t>Ⅲ</w:t>
      </w:r>
      <w:r>
        <w:rPr>
          <w:color w:val="auto"/>
        </w:rPr>
        <w:t>类</w:t>
      </w:r>
      <w:bookmarkEnd w:id="245"/>
      <w:r>
        <w:rPr>
          <w:color w:val="auto"/>
        </w:rPr>
        <w:t>标准。</w:t>
      </w:r>
      <w:r>
        <w:rPr>
          <w:color w:val="auto"/>
        </w:rPr>
        <w:t>D1</w:t>
      </w:r>
      <w:r>
        <w:rPr>
          <w:color w:val="auto"/>
        </w:rPr>
        <w:t>、</w:t>
      </w:r>
      <w:r>
        <w:rPr>
          <w:color w:val="auto"/>
        </w:rPr>
        <w:t>D2</w:t>
      </w:r>
      <w:r>
        <w:rPr>
          <w:color w:val="auto"/>
        </w:rPr>
        <w:t>、</w:t>
      </w:r>
      <w:r>
        <w:rPr>
          <w:color w:val="auto"/>
        </w:rPr>
        <w:t>D3</w:t>
      </w:r>
      <w:r>
        <w:rPr>
          <w:color w:val="auto"/>
        </w:rPr>
        <w:t>除总硬度与氯化物以外的监测因子及</w:t>
      </w:r>
      <w:r>
        <w:rPr>
          <w:color w:val="auto"/>
        </w:rPr>
        <w:t>D4</w:t>
      </w:r>
      <w:r>
        <w:rPr>
          <w:color w:val="auto"/>
        </w:rPr>
        <w:t>、</w:t>
      </w:r>
      <w:r>
        <w:rPr>
          <w:color w:val="auto"/>
        </w:rPr>
        <w:t>D5</w:t>
      </w:r>
      <w:r>
        <w:rPr>
          <w:color w:val="auto"/>
        </w:rPr>
        <w:t>全部监测因子均达到《地下水质量标准》（</w:t>
      </w:r>
      <w:r>
        <w:rPr>
          <w:color w:val="auto"/>
        </w:rPr>
        <w:t>GB/T14848-2017</w:t>
      </w:r>
      <w:r>
        <w:rPr>
          <w:color w:val="auto"/>
        </w:rPr>
        <w:t>）</w:t>
      </w:r>
      <w:r>
        <w:rPr>
          <w:color w:val="auto"/>
        </w:rPr>
        <w:t>Ⅲ</w:t>
      </w:r>
      <w:r>
        <w:rPr>
          <w:color w:val="auto"/>
        </w:rPr>
        <w:t>类标准。考虑到监测井的井深与水位较深，地下水质量超标的总硬度与氯化物</w:t>
      </w:r>
      <w:r>
        <w:rPr>
          <w:color w:val="auto"/>
          <w:lang w:val="en-US"/>
        </w:rPr>
        <w:t>可能与所在区域的地质环境有关。</w:t>
      </w:r>
    </w:p>
    <w:p w14:paraId="163F8CDE" w14:textId="77777777" w:rsidR="002E474C" w:rsidRDefault="002E474C">
      <w:pPr>
        <w:pStyle w:val="A-z"/>
        <w:rPr>
          <w:color w:val="auto"/>
        </w:rPr>
        <w:sectPr w:rsidR="002E474C">
          <w:headerReference w:type="default" r:id="rId28"/>
          <w:pgSz w:w="11906" w:h="16838"/>
          <w:pgMar w:top="1440" w:right="1800" w:bottom="1440" w:left="1800" w:header="851" w:footer="992" w:gutter="0"/>
          <w:cols w:space="720"/>
          <w:docGrid w:linePitch="312"/>
        </w:sectPr>
      </w:pPr>
    </w:p>
    <w:p w14:paraId="1F0BD82C" w14:textId="77777777" w:rsidR="002E474C" w:rsidRDefault="00000000">
      <w:pPr>
        <w:pStyle w:val="A--"/>
        <w:rPr>
          <w:color w:val="auto"/>
        </w:rPr>
      </w:pPr>
      <w:bookmarkStart w:id="246" w:name="_Ref111492122"/>
      <w:r>
        <w:rPr>
          <w:color w:val="auto"/>
        </w:rPr>
        <w:lastRenderedPageBreak/>
        <w:t>表</w:t>
      </w:r>
      <w:r>
        <w:rPr>
          <w:color w:val="auto"/>
        </w:rPr>
        <w:t>4.3</w:t>
      </w:r>
      <w:r>
        <w:rPr>
          <w:color w:val="auto"/>
        </w:rPr>
        <w:noBreakHyphen/>
      </w:r>
      <w:bookmarkEnd w:id="246"/>
      <w:r>
        <w:rPr>
          <w:color w:val="auto"/>
        </w:rPr>
        <w:t xml:space="preserve">6  </w:t>
      </w:r>
      <w:r>
        <w:rPr>
          <w:color w:val="auto"/>
        </w:rPr>
        <w:t>地下水监测及分析结果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6"/>
        <w:gridCol w:w="1160"/>
        <w:gridCol w:w="930"/>
        <w:gridCol w:w="938"/>
        <w:gridCol w:w="842"/>
        <w:gridCol w:w="841"/>
        <w:gridCol w:w="841"/>
        <w:gridCol w:w="841"/>
        <w:gridCol w:w="841"/>
        <w:gridCol w:w="862"/>
        <w:gridCol w:w="841"/>
        <w:gridCol w:w="857"/>
        <w:gridCol w:w="1528"/>
      </w:tblGrid>
      <w:tr w:rsidR="002E474C" w14:paraId="322EA5C8" w14:textId="77777777">
        <w:trPr>
          <w:tblHeader/>
        </w:trPr>
        <w:tc>
          <w:tcPr>
            <w:tcW w:w="1158" w:type="pct"/>
            <w:gridSpan w:val="2"/>
            <w:shd w:val="clear" w:color="auto" w:fill="auto"/>
            <w:tcMar>
              <w:top w:w="15" w:type="dxa"/>
              <w:left w:w="15" w:type="dxa"/>
              <w:bottom w:w="0" w:type="dxa"/>
              <w:right w:w="15" w:type="dxa"/>
            </w:tcMar>
            <w:vAlign w:val="center"/>
          </w:tcPr>
          <w:p w14:paraId="2470DA51" w14:textId="77777777" w:rsidR="002E474C" w:rsidRDefault="00000000">
            <w:pPr>
              <w:pStyle w:val="A-"/>
            </w:pPr>
            <w:r>
              <w:t>监测点编号</w:t>
            </w:r>
          </w:p>
        </w:tc>
        <w:tc>
          <w:tcPr>
            <w:tcW w:w="705" w:type="pct"/>
            <w:gridSpan w:val="2"/>
            <w:shd w:val="clear" w:color="auto" w:fill="auto"/>
            <w:tcMar>
              <w:top w:w="15" w:type="dxa"/>
              <w:left w:w="15" w:type="dxa"/>
              <w:bottom w:w="0" w:type="dxa"/>
              <w:right w:w="15" w:type="dxa"/>
            </w:tcMar>
            <w:vAlign w:val="center"/>
          </w:tcPr>
          <w:p w14:paraId="18741019" w14:textId="77777777" w:rsidR="002E474C" w:rsidRDefault="00000000">
            <w:pPr>
              <w:pStyle w:val="A-"/>
            </w:pPr>
            <w:r>
              <w:t>D1</w:t>
            </w:r>
          </w:p>
        </w:tc>
        <w:tc>
          <w:tcPr>
            <w:tcW w:w="636" w:type="pct"/>
            <w:gridSpan w:val="2"/>
            <w:shd w:val="clear" w:color="auto" w:fill="auto"/>
            <w:tcMar>
              <w:top w:w="15" w:type="dxa"/>
              <w:left w:w="15" w:type="dxa"/>
              <w:bottom w:w="0" w:type="dxa"/>
              <w:right w:w="15" w:type="dxa"/>
            </w:tcMar>
          </w:tcPr>
          <w:p w14:paraId="379A4B2D" w14:textId="77777777" w:rsidR="002E474C" w:rsidRDefault="00000000">
            <w:pPr>
              <w:pStyle w:val="A-"/>
            </w:pPr>
            <w:r>
              <w:t>D2</w:t>
            </w:r>
          </w:p>
        </w:tc>
        <w:tc>
          <w:tcPr>
            <w:tcW w:w="636" w:type="pct"/>
            <w:gridSpan w:val="2"/>
            <w:shd w:val="clear" w:color="auto" w:fill="auto"/>
            <w:tcMar>
              <w:top w:w="15" w:type="dxa"/>
              <w:left w:w="15" w:type="dxa"/>
              <w:bottom w:w="0" w:type="dxa"/>
              <w:right w:w="15" w:type="dxa"/>
            </w:tcMar>
          </w:tcPr>
          <w:p w14:paraId="3542CAC0" w14:textId="77777777" w:rsidR="002E474C" w:rsidRDefault="00000000">
            <w:pPr>
              <w:pStyle w:val="A-"/>
            </w:pPr>
            <w:r>
              <w:t>D3</w:t>
            </w:r>
          </w:p>
        </w:tc>
        <w:tc>
          <w:tcPr>
            <w:tcW w:w="644" w:type="pct"/>
            <w:gridSpan w:val="2"/>
            <w:shd w:val="clear" w:color="auto" w:fill="auto"/>
            <w:tcMar>
              <w:top w:w="15" w:type="dxa"/>
              <w:left w:w="15" w:type="dxa"/>
              <w:bottom w:w="0" w:type="dxa"/>
              <w:right w:w="15" w:type="dxa"/>
            </w:tcMar>
          </w:tcPr>
          <w:p w14:paraId="5E68F393" w14:textId="77777777" w:rsidR="002E474C" w:rsidRDefault="00000000">
            <w:pPr>
              <w:pStyle w:val="A-"/>
            </w:pPr>
            <w:r>
              <w:t>D4</w:t>
            </w:r>
          </w:p>
        </w:tc>
        <w:tc>
          <w:tcPr>
            <w:tcW w:w="642" w:type="pct"/>
            <w:gridSpan w:val="2"/>
            <w:shd w:val="clear" w:color="auto" w:fill="auto"/>
            <w:tcMar>
              <w:top w:w="15" w:type="dxa"/>
              <w:left w:w="15" w:type="dxa"/>
              <w:bottom w:w="0" w:type="dxa"/>
              <w:right w:w="15" w:type="dxa"/>
            </w:tcMar>
          </w:tcPr>
          <w:p w14:paraId="7B5547B5" w14:textId="77777777" w:rsidR="002E474C" w:rsidRDefault="00000000">
            <w:pPr>
              <w:pStyle w:val="A-"/>
            </w:pPr>
            <w:r>
              <w:t>D5</w:t>
            </w:r>
          </w:p>
        </w:tc>
        <w:tc>
          <w:tcPr>
            <w:tcW w:w="576" w:type="pct"/>
            <w:vMerge w:val="restart"/>
            <w:shd w:val="clear" w:color="auto" w:fill="auto"/>
            <w:tcMar>
              <w:top w:w="15" w:type="dxa"/>
              <w:left w:w="15" w:type="dxa"/>
              <w:bottom w:w="0" w:type="dxa"/>
              <w:right w:w="15" w:type="dxa"/>
            </w:tcMar>
            <w:vAlign w:val="center"/>
          </w:tcPr>
          <w:p w14:paraId="11ACEDE2" w14:textId="77777777" w:rsidR="002E474C" w:rsidRDefault="00000000">
            <w:pPr>
              <w:pStyle w:val="A-"/>
            </w:pPr>
            <w:r>
              <w:t>Ⅲ</w:t>
            </w:r>
            <w:r>
              <w:t>类标准限值</w:t>
            </w:r>
          </w:p>
        </w:tc>
      </w:tr>
      <w:tr w:rsidR="002E474C" w14:paraId="5F118A84" w14:textId="77777777">
        <w:trPr>
          <w:tblHeader/>
        </w:trPr>
        <w:tc>
          <w:tcPr>
            <w:tcW w:w="720" w:type="pct"/>
            <w:shd w:val="clear" w:color="auto" w:fill="auto"/>
            <w:tcMar>
              <w:top w:w="15" w:type="dxa"/>
              <w:left w:w="15" w:type="dxa"/>
              <w:bottom w:w="0" w:type="dxa"/>
              <w:right w:w="15" w:type="dxa"/>
            </w:tcMar>
            <w:vAlign w:val="center"/>
          </w:tcPr>
          <w:p w14:paraId="429AC9B7" w14:textId="77777777" w:rsidR="002E474C" w:rsidRDefault="00000000">
            <w:pPr>
              <w:pStyle w:val="A-"/>
            </w:pPr>
            <w:r>
              <w:t>监测项目</w:t>
            </w:r>
          </w:p>
        </w:tc>
        <w:tc>
          <w:tcPr>
            <w:tcW w:w="437" w:type="pct"/>
            <w:shd w:val="clear" w:color="auto" w:fill="auto"/>
            <w:tcMar>
              <w:top w:w="15" w:type="dxa"/>
              <w:left w:w="15" w:type="dxa"/>
              <w:bottom w:w="0" w:type="dxa"/>
              <w:right w:w="15" w:type="dxa"/>
            </w:tcMar>
            <w:vAlign w:val="center"/>
          </w:tcPr>
          <w:p w14:paraId="47394613" w14:textId="77777777" w:rsidR="002E474C" w:rsidRDefault="00000000">
            <w:pPr>
              <w:pStyle w:val="A-"/>
            </w:pPr>
            <w:r>
              <w:t>单位</w:t>
            </w:r>
          </w:p>
        </w:tc>
        <w:tc>
          <w:tcPr>
            <w:tcW w:w="351" w:type="pct"/>
            <w:shd w:val="clear" w:color="auto" w:fill="auto"/>
            <w:tcMar>
              <w:top w:w="15" w:type="dxa"/>
              <w:left w:w="15" w:type="dxa"/>
              <w:bottom w:w="0" w:type="dxa"/>
              <w:right w:w="15" w:type="dxa"/>
            </w:tcMar>
            <w:vAlign w:val="center"/>
          </w:tcPr>
          <w:p w14:paraId="7B422383" w14:textId="77777777" w:rsidR="002E474C" w:rsidRDefault="00000000">
            <w:pPr>
              <w:pStyle w:val="A-"/>
            </w:pPr>
            <w:r>
              <w:t>监测</w:t>
            </w:r>
          </w:p>
          <w:p w14:paraId="335945E9" w14:textId="77777777" w:rsidR="002E474C" w:rsidRDefault="00000000">
            <w:pPr>
              <w:pStyle w:val="A-"/>
            </w:pPr>
            <w:r>
              <w:t>结果</w:t>
            </w:r>
          </w:p>
        </w:tc>
        <w:tc>
          <w:tcPr>
            <w:tcW w:w="353" w:type="pct"/>
            <w:shd w:val="clear" w:color="auto" w:fill="auto"/>
            <w:tcMar>
              <w:top w:w="15" w:type="dxa"/>
              <w:left w:w="15" w:type="dxa"/>
              <w:bottom w:w="0" w:type="dxa"/>
              <w:right w:w="15" w:type="dxa"/>
            </w:tcMar>
            <w:vAlign w:val="center"/>
          </w:tcPr>
          <w:p w14:paraId="02DBD616" w14:textId="77777777" w:rsidR="002E474C" w:rsidRDefault="00000000">
            <w:pPr>
              <w:pStyle w:val="A-"/>
            </w:pPr>
            <w:r>
              <w:t>标准</w:t>
            </w:r>
          </w:p>
          <w:p w14:paraId="46B0C6AF" w14:textId="77777777" w:rsidR="002E474C" w:rsidRDefault="00000000">
            <w:pPr>
              <w:pStyle w:val="A-"/>
            </w:pPr>
            <w:r>
              <w:t>指数</w:t>
            </w:r>
          </w:p>
        </w:tc>
        <w:tc>
          <w:tcPr>
            <w:tcW w:w="318" w:type="pct"/>
            <w:shd w:val="clear" w:color="auto" w:fill="auto"/>
            <w:tcMar>
              <w:top w:w="15" w:type="dxa"/>
              <w:left w:w="15" w:type="dxa"/>
              <w:bottom w:w="0" w:type="dxa"/>
              <w:right w:w="15" w:type="dxa"/>
            </w:tcMar>
            <w:vAlign w:val="center"/>
          </w:tcPr>
          <w:p w14:paraId="06C3065D" w14:textId="77777777" w:rsidR="002E474C" w:rsidRDefault="00000000">
            <w:pPr>
              <w:pStyle w:val="A-"/>
            </w:pPr>
            <w:r>
              <w:t>监测</w:t>
            </w:r>
          </w:p>
          <w:p w14:paraId="02D7DFA7" w14:textId="77777777" w:rsidR="002E474C" w:rsidRDefault="00000000">
            <w:pPr>
              <w:pStyle w:val="A-"/>
            </w:pPr>
            <w:r>
              <w:t>结果</w:t>
            </w:r>
          </w:p>
        </w:tc>
        <w:tc>
          <w:tcPr>
            <w:tcW w:w="318" w:type="pct"/>
            <w:shd w:val="clear" w:color="auto" w:fill="auto"/>
            <w:tcMar>
              <w:top w:w="15" w:type="dxa"/>
              <w:left w:w="15" w:type="dxa"/>
              <w:bottom w:w="0" w:type="dxa"/>
              <w:right w:w="15" w:type="dxa"/>
            </w:tcMar>
            <w:vAlign w:val="center"/>
          </w:tcPr>
          <w:p w14:paraId="2EABB02F" w14:textId="77777777" w:rsidR="002E474C" w:rsidRDefault="00000000">
            <w:pPr>
              <w:pStyle w:val="A-"/>
            </w:pPr>
            <w:r>
              <w:t>标准</w:t>
            </w:r>
          </w:p>
          <w:p w14:paraId="0B92BC7E" w14:textId="77777777" w:rsidR="002E474C" w:rsidRDefault="00000000">
            <w:pPr>
              <w:pStyle w:val="A-"/>
            </w:pPr>
            <w:r>
              <w:t>指数</w:t>
            </w:r>
          </w:p>
        </w:tc>
        <w:tc>
          <w:tcPr>
            <w:tcW w:w="318" w:type="pct"/>
            <w:shd w:val="clear" w:color="auto" w:fill="auto"/>
            <w:tcMar>
              <w:top w:w="15" w:type="dxa"/>
              <w:left w:w="15" w:type="dxa"/>
              <w:bottom w:w="0" w:type="dxa"/>
              <w:right w:w="15" w:type="dxa"/>
            </w:tcMar>
            <w:vAlign w:val="center"/>
          </w:tcPr>
          <w:p w14:paraId="1755E7D8" w14:textId="77777777" w:rsidR="002E474C" w:rsidRDefault="00000000">
            <w:pPr>
              <w:pStyle w:val="A-"/>
            </w:pPr>
            <w:r>
              <w:t>监测</w:t>
            </w:r>
          </w:p>
          <w:p w14:paraId="55AC1A8A" w14:textId="77777777" w:rsidR="002E474C" w:rsidRDefault="00000000">
            <w:pPr>
              <w:pStyle w:val="A-"/>
            </w:pPr>
            <w:r>
              <w:t>结果</w:t>
            </w:r>
          </w:p>
        </w:tc>
        <w:tc>
          <w:tcPr>
            <w:tcW w:w="318" w:type="pct"/>
            <w:shd w:val="clear" w:color="auto" w:fill="auto"/>
            <w:tcMar>
              <w:top w:w="15" w:type="dxa"/>
              <w:left w:w="15" w:type="dxa"/>
              <w:bottom w:w="0" w:type="dxa"/>
              <w:right w:w="15" w:type="dxa"/>
            </w:tcMar>
            <w:vAlign w:val="center"/>
          </w:tcPr>
          <w:p w14:paraId="46830E81" w14:textId="77777777" w:rsidR="002E474C" w:rsidRDefault="00000000">
            <w:pPr>
              <w:pStyle w:val="A-"/>
            </w:pPr>
            <w:r>
              <w:t>标准</w:t>
            </w:r>
          </w:p>
          <w:p w14:paraId="2CD033B2" w14:textId="77777777" w:rsidR="002E474C" w:rsidRDefault="00000000">
            <w:pPr>
              <w:pStyle w:val="A-"/>
            </w:pPr>
            <w:r>
              <w:t>指数</w:t>
            </w:r>
          </w:p>
        </w:tc>
        <w:tc>
          <w:tcPr>
            <w:tcW w:w="318" w:type="pct"/>
            <w:shd w:val="clear" w:color="auto" w:fill="auto"/>
            <w:tcMar>
              <w:top w:w="15" w:type="dxa"/>
              <w:left w:w="15" w:type="dxa"/>
              <w:bottom w:w="0" w:type="dxa"/>
              <w:right w:w="15" w:type="dxa"/>
            </w:tcMar>
            <w:vAlign w:val="center"/>
          </w:tcPr>
          <w:p w14:paraId="4A5BFC6B" w14:textId="77777777" w:rsidR="002E474C" w:rsidRDefault="00000000">
            <w:pPr>
              <w:pStyle w:val="A-"/>
            </w:pPr>
            <w:r>
              <w:t>监测</w:t>
            </w:r>
          </w:p>
          <w:p w14:paraId="45EF7D05" w14:textId="77777777" w:rsidR="002E474C" w:rsidRDefault="00000000">
            <w:pPr>
              <w:pStyle w:val="A-"/>
            </w:pPr>
            <w:r>
              <w:t>结果</w:t>
            </w:r>
          </w:p>
        </w:tc>
        <w:tc>
          <w:tcPr>
            <w:tcW w:w="325" w:type="pct"/>
            <w:shd w:val="clear" w:color="auto" w:fill="auto"/>
            <w:tcMar>
              <w:top w:w="15" w:type="dxa"/>
              <w:left w:w="15" w:type="dxa"/>
              <w:bottom w:w="0" w:type="dxa"/>
              <w:right w:w="15" w:type="dxa"/>
            </w:tcMar>
            <w:vAlign w:val="center"/>
          </w:tcPr>
          <w:p w14:paraId="0F9C1517" w14:textId="77777777" w:rsidR="002E474C" w:rsidRDefault="00000000">
            <w:pPr>
              <w:pStyle w:val="A-"/>
            </w:pPr>
            <w:r>
              <w:t>标准</w:t>
            </w:r>
          </w:p>
          <w:p w14:paraId="71E1D8E3" w14:textId="77777777" w:rsidR="002E474C" w:rsidRDefault="00000000">
            <w:pPr>
              <w:pStyle w:val="A-"/>
            </w:pPr>
            <w:r>
              <w:t>指数</w:t>
            </w:r>
          </w:p>
        </w:tc>
        <w:tc>
          <w:tcPr>
            <w:tcW w:w="318" w:type="pct"/>
            <w:shd w:val="clear" w:color="auto" w:fill="auto"/>
            <w:tcMar>
              <w:top w:w="15" w:type="dxa"/>
              <w:left w:w="15" w:type="dxa"/>
              <w:bottom w:w="0" w:type="dxa"/>
              <w:right w:w="15" w:type="dxa"/>
            </w:tcMar>
            <w:vAlign w:val="center"/>
          </w:tcPr>
          <w:p w14:paraId="004A6BE3" w14:textId="77777777" w:rsidR="002E474C" w:rsidRDefault="00000000">
            <w:pPr>
              <w:pStyle w:val="A-"/>
            </w:pPr>
            <w:r>
              <w:t>监测</w:t>
            </w:r>
          </w:p>
          <w:p w14:paraId="42199AD6" w14:textId="77777777" w:rsidR="002E474C" w:rsidRDefault="00000000">
            <w:pPr>
              <w:pStyle w:val="A-"/>
            </w:pPr>
            <w:r>
              <w:t>结果</w:t>
            </w:r>
          </w:p>
        </w:tc>
        <w:tc>
          <w:tcPr>
            <w:tcW w:w="324" w:type="pct"/>
            <w:shd w:val="clear" w:color="auto" w:fill="auto"/>
            <w:tcMar>
              <w:top w:w="15" w:type="dxa"/>
              <w:left w:w="15" w:type="dxa"/>
              <w:bottom w:w="0" w:type="dxa"/>
              <w:right w:w="15" w:type="dxa"/>
            </w:tcMar>
            <w:vAlign w:val="center"/>
          </w:tcPr>
          <w:p w14:paraId="6B55E67F" w14:textId="77777777" w:rsidR="002E474C" w:rsidRDefault="00000000">
            <w:pPr>
              <w:pStyle w:val="A-"/>
            </w:pPr>
            <w:r>
              <w:t>标准</w:t>
            </w:r>
          </w:p>
          <w:p w14:paraId="59788DCC" w14:textId="77777777" w:rsidR="002E474C" w:rsidRDefault="00000000">
            <w:pPr>
              <w:pStyle w:val="A-"/>
            </w:pPr>
            <w:r>
              <w:t>指数</w:t>
            </w:r>
          </w:p>
        </w:tc>
        <w:tc>
          <w:tcPr>
            <w:tcW w:w="576" w:type="pct"/>
            <w:vMerge/>
            <w:vAlign w:val="center"/>
          </w:tcPr>
          <w:p w14:paraId="00E4A819" w14:textId="77777777" w:rsidR="002E474C" w:rsidRDefault="002E474C">
            <w:pPr>
              <w:pStyle w:val="A-"/>
            </w:pPr>
          </w:p>
        </w:tc>
      </w:tr>
      <w:tr w:rsidR="002E474C" w14:paraId="4767714B" w14:textId="77777777">
        <w:tc>
          <w:tcPr>
            <w:tcW w:w="720" w:type="pct"/>
            <w:shd w:val="clear" w:color="auto" w:fill="auto"/>
            <w:tcMar>
              <w:top w:w="15" w:type="dxa"/>
              <w:left w:w="15" w:type="dxa"/>
              <w:bottom w:w="0" w:type="dxa"/>
              <w:right w:w="15" w:type="dxa"/>
            </w:tcMar>
            <w:vAlign w:val="center"/>
          </w:tcPr>
          <w:p w14:paraId="3EFBD614" w14:textId="77777777" w:rsidR="002E474C" w:rsidRDefault="00000000">
            <w:pPr>
              <w:pStyle w:val="A-"/>
            </w:pPr>
            <w:r>
              <w:t>pH</w:t>
            </w:r>
          </w:p>
        </w:tc>
        <w:tc>
          <w:tcPr>
            <w:tcW w:w="437" w:type="pct"/>
            <w:shd w:val="clear" w:color="auto" w:fill="auto"/>
            <w:tcMar>
              <w:top w:w="15" w:type="dxa"/>
              <w:left w:w="15" w:type="dxa"/>
              <w:bottom w:w="0" w:type="dxa"/>
              <w:right w:w="15" w:type="dxa"/>
            </w:tcMar>
            <w:vAlign w:val="center"/>
          </w:tcPr>
          <w:p w14:paraId="5E508053" w14:textId="77777777" w:rsidR="002E474C" w:rsidRDefault="00000000">
            <w:pPr>
              <w:pStyle w:val="A-"/>
            </w:pPr>
            <w:r>
              <w:t>无量纲</w:t>
            </w:r>
          </w:p>
        </w:tc>
        <w:tc>
          <w:tcPr>
            <w:tcW w:w="351" w:type="pct"/>
            <w:shd w:val="clear" w:color="auto" w:fill="auto"/>
            <w:tcMar>
              <w:top w:w="15" w:type="dxa"/>
              <w:left w:w="15" w:type="dxa"/>
              <w:bottom w:w="0" w:type="dxa"/>
              <w:right w:w="15" w:type="dxa"/>
            </w:tcMar>
            <w:vAlign w:val="center"/>
          </w:tcPr>
          <w:p w14:paraId="5157DFCB" w14:textId="77777777" w:rsidR="002E474C" w:rsidRDefault="00000000">
            <w:pPr>
              <w:pStyle w:val="A-"/>
            </w:pPr>
            <w:r>
              <w:t>6.9</w:t>
            </w:r>
          </w:p>
        </w:tc>
        <w:tc>
          <w:tcPr>
            <w:tcW w:w="353" w:type="pct"/>
            <w:shd w:val="clear" w:color="auto" w:fill="auto"/>
            <w:tcMar>
              <w:top w:w="15" w:type="dxa"/>
              <w:left w:w="15" w:type="dxa"/>
              <w:bottom w:w="0" w:type="dxa"/>
              <w:right w:w="15" w:type="dxa"/>
            </w:tcMar>
            <w:vAlign w:val="center"/>
          </w:tcPr>
          <w:p w14:paraId="33316150" w14:textId="77777777" w:rsidR="002E474C" w:rsidRDefault="00000000">
            <w:pPr>
              <w:pStyle w:val="A-"/>
            </w:pPr>
            <w:r>
              <w:t>0.20</w:t>
            </w:r>
          </w:p>
        </w:tc>
        <w:tc>
          <w:tcPr>
            <w:tcW w:w="318" w:type="pct"/>
            <w:shd w:val="clear" w:color="auto" w:fill="auto"/>
            <w:tcMar>
              <w:top w:w="15" w:type="dxa"/>
              <w:left w:w="15" w:type="dxa"/>
              <w:bottom w:w="0" w:type="dxa"/>
              <w:right w:w="15" w:type="dxa"/>
            </w:tcMar>
            <w:vAlign w:val="center"/>
          </w:tcPr>
          <w:p w14:paraId="086F097D" w14:textId="77777777" w:rsidR="002E474C" w:rsidRDefault="00000000">
            <w:pPr>
              <w:pStyle w:val="A-"/>
            </w:pPr>
            <w:r>
              <w:t>7.1</w:t>
            </w:r>
          </w:p>
        </w:tc>
        <w:tc>
          <w:tcPr>
            <w:tcW w:w="318" w:type="pct"/>
            <w:shd w:val="clear" w:color="auto" w:fill="auto"/>
            <w:tcMar>
              <w:top w:w="15" w:type="dxa"/>
              <w:left w:w="15" w:type="dxa"/>
              <w:bottom w:w="0" w:type="dxa"/>
              <w:right w:w="15" w:type="dxa"/>
            </w:tcMar>
            <w:vAlign w:val="center"/>
          </w:tcPr>
          <w:p w14:paraId="26CBC891" w14:textId="77777777" w:rsidR="002E474C" w:rsidRDefault="00000000">
            <w:pPr>
              <w:pStyle w:val="A-"/>
            </w:pPr>
            <w:r>
              <w:t>0.07</w:t>
            </w:r>
          </w:p>
        </w:tc>
        <w:tc>
          <w:tcPr>
            <w:tcW w:w="318" w:type="pct"/>
            <w:shd w:val="clear" w:color="auto" w:fill="auto"/>
            <w:tcMar>
              <w:top w:w="15" w:type="dxa"/>
              <w:left w:w="15" w:type="dxa"/>
              <w:bottom w:w="0" w:type="dxa"/>
              <w:right w:w="15" w:type="dxa"/>
            </w:tcMar>
            <w:vAlign w:val="center"/>
          </w:tcPr>
          <w:p w14:paraId="72DA3971" w14:textId="77777777" w:rsidR="002E474C" w:rsidRDefault="00000000">
            <w:pPr>
              <w:pStyle w:val="A-"/>
            </w:pPr>
            <w:r>
              <w:t>7.2</w:t>
            </w:r>
          </w:p>
        </w:tc>
        <w:tc>
          <w:tcPr>
            <w:tcW w:w="318" w:type="pct"/>
            <w:shd w:val="clear" w:color="auto" w:fill="auto"/>
            <w:tcMar>
              <w:top w:w="15" w:type="dxa"/>
              <w:left w:w="15" w:type="dxa"/>
              <w:bottom w:w="0" w:type="dxa"/>
              <w:right w:w="15" w:type="dxa"/>
            </w:tcMar>
            <w:vAlign w:val="center"/>
          </w:tcPr>
          <w:p w14:paraId="38DA8AEE" w14:textId="77777777" w:rsidR="002E474C" w:rsidRDefault="00000000">
            <w:pPr>
              <w:pStyle w:val="A-"/>
            </w:pPr>
            <w:r>
              <w:t>0.13</w:t>
            </w:r>
          </w:p>
        </w:tc>
        <w:tc>
          <w:tcPr>
            <w:tcW w:w="318" w:type="pct"/>
            <w:shd w:val="clear" w:color="auto" w:fill="auto"/>
            <w:tcMar>
              <w:top w:w="15" w:type="dxa"/>
              <w:left w:w="15" w:type="dxa"/>
              <w:bottom w:w="0" w:type="dxa"/>
              <w:right w:w="15" w:type="dxa"/>
            </w:tcMar>
            <w:vAlign w:val="center"/>
          </w:tcPr>
          <w:p w14:paraId="33108F13" w14:textId="77777777" w:rsidR="002E474C" w:rsidRDefault="00000000">
            <w:pPr>
              <w:pStyle w:val="A-"/>
            </w:pPr>
            <w:r>
              <w:t>6.7</w:t>
            </w:r>
          </w:p>
        </w:tc>
        <w:tc>
          <w:tcPr>
            <w:tcW w:w="325" w:type="pct"/>
            <w:shd w:val="clear" w:color="auto" w:fill="auto"/>
            <w:tcMar>
              <w:top w:w="15" w:type="dxa"/>
              <w:left w:w="15" w:type="dxa"/>
              <w:bottom w:w="0" w:type="dxa"/>
              <w:right w:w="15" w:type="dxa"/>
            </w:tcMar>
            <w:vAlign w:val="center"/>
          </w:tcPr>
          <w:p w14:paraId="1D4D91BD" w14:textId="77777777" w:rsidR="002E474C" w:rsidRDefault="00000000">
            <w:pPr>
              <w:pStyle w:val="A-"/>
            </w:pPr>
            <w:r>
              <w:t>0.60</w:t>
            </w:r>
          </w:p>
        </w:tc>
        <w:tc>
          <w:tcPr>
            <w:tcW w:w="318" w:type="pct"/>
            <w:shd w:val="clear" w:color="auto" w:fill="auto"/>
            <w:tcMar>
              <w:top w:w="15" w:type="dxa"/>
              <w:left w:w="15" w:type="dxa"/>
              <w:bottom w:w="0" w:type="dxa"/>
              <w:right w:w="15" w:type="dxa"/>
            </w:tcMar>
            <w:vAlign w:val="center"/>
          </w:tcPr>
          <w:p w14:paraId="43DCBE3A" w14:textId="77777777" w:rsidR="002E474C" w:rsidRDefault="00000000">
            <w:pPr>
              <w:pStyle w:val="A-"/>
            </w:pPr>
            <w:r>
              <w:t>6.7</w:t>
            </w:r>
          </w:p>
        </w:tc>
        <w:tc>
          <w:tcPr>
            <w:tcW w:w="324" w:type="pct"/>
            <w:shd w:val="clear" w:color="auto" w:fill="auto"/>
            <w:tcMar>
              <w:top w:w="15" w:type="dxa"/>
              <w:left w:w="15" w:type="dxa"/>
              <w:bottom w:w="0" w:type="dxa"/>
              <w:right w:w="15" w:type="dxa"/>
            </w:tcMar>
            <w:vAlign w:val="center"/>
          </w:tcPr>
          <w:p w14:paraId="067A8440" w14:textId="77777777" w:rsidR="002E474C" w:rsidRDefault="00000000">
            <w:pPr>
              <w:pStyle w:val="A-"/>
            </w:pPr>
            <w:r>
              <w:t>0.60</w:t>
            </w:r>
          </w:p>
        </w:tc>
        <w:tc>
          <w:tcPr>
            <w:tcW w:w="576" w:type="pct"/>
            <w:shd w:val="clear" w:color="auto" w:fill="auto"/>
            <w:tcMar>
              <w:top w:w="15" w:type="dxa"/>
              <w:left w:w="15" w:type="dxa"/>
              <w:bottom w:w="0" w:type="dxa"/>
              <w:right w:w="15" w:type="dxa"/>
            </w:tcMar>
            <w:vAlign w:val="center"/>
          </w:tcPr>
          <w:p w14:paraId="2530422D" w14:textId="77777777" w:rsidR="002E474C" w:rsidRDefault="00000000">
            <w:pPr>
              <w:pStyle w:val="A-"/>
            </w:pPr>
            <w:r>
              <w:t>6.5~8.5</w:t>
            </w:r>
          </w:p>
        </w:tc>
      </w:tr>
      <w:tr w:rsidR="002E474C" w14:paraId="0CC42E2D" w14:textId="77777777">
        <w:tc>
          <w:tcPr>
            <w:tcW w:w="720" w:type="pct"/>
            <w:shd w:val="clear" w:color="auto" w:fill="auto"/>
            <w:tcMar>
              <w:top w:w="15" w:type="dxa"/>
              <w:left w:w="15" w:type="dxa"/>
              <w:bottom w:w="0" w:type="dxa"/>
              <w:right w:w="15" w:type="dxa"/>
            </w:tcMar>
            <w:vAlign w:val="center"/>
          </w:tcPr>
          <w:p w14:paraId="667225E2" w14:textId="77777777" w:rsidR="002E474C" w:rsidRDefault="00000000">
            <w:pPr>
              <w:pStyle w:val="A-"/>
            </w:pPr>
            <w:r>
              <w:t>总硬度</w:t>
            </w:r>
          </w:p>
        </w:tc>
        <w:tc>
          <w:tcPr>
            <w:tcW w:w="437" w:type="pct"/>
            <w:shd w:val="clear" w:color="auto" w:fill="auto"/>
            <w:tcMar>
              <w:top w:w="15" w:type="dxa"/>
              <w:left w:w="15" w:type="dxa"/>
              <w:bottom w:w="0" w:type="dxa"/>
              <w:right w:w="15" w:type="dxa"/>
            </w:tcMar>
            <w:vAlign w:val="center"/>
          </w:tcPr>
          <w:p w14:paraId="44242E8F"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3B1B0D86" w14:textId="77777777" w:rsidR="002E474C" w:rsidRDefault="00000000">
            <w:pPr>
              <w:pStyle w:val="A-"/>
            </w:pPr>
            <w:r>
              <w:t>586</w:t>
            </w:r>
          </w:p>
        </w:tc>
        <w:tc>
          <w:tcPr>
            <w:tcW w:w="353" w:type="pct"/>
            <w:shd w:val="clear" w:color="auto" w:fill="auto"/>
            <w:tcMar>
              <w:top w:w="15" w:type="dxa"/>
              <w:left w:w="15" w:type="dxa"/>
              <w:bottom w:w="0" w:type="dxa"/>
              <w:right w:w="15" w:type="dxa"/>
            </w:tcMar>
            <w:vAlign w:val="center"/>
          </w:tcPr>
          <w:p w14:paraId="17E2A4E6" w14:textId="77777777" w:rsidR="002E474C" w:rsidRDefault="00000000">
            <w:pPr>
              <w:pStyle w:val="A-"/>
            </w:pPr>
            <w:r>
              <w:t>1.30</w:t>
            </w:r>
          </w:p>
        </w:tc>
        <w:tc>
          <w:tcPr>
            <w:tcW w:w="318" w:type="pct"/>
            <w:shd w:val="clear" w:color="auto" w:fill="auto"/>
            <w:tcMar>
              <w:top w:w="15" w:type="dxa"/>
              <w:left w:w="15" w:type="dxa"/>
              <w:bottom w:w="0" w:type="dxa"/>
              <w:right w:w="15" w:type="dxa"/>
            </w:tcMar>
            <w:vAlign w:val="center"/>
          </w:tcPr>
          <w:p w14:paraId="6CDCCF83" w14:textId="77777777" w:rsidR="002E474C" w:rsidRDefault="00000000">
            <w:pPr>
              <w:pStyle w:val="A-"/>
            </w:pPr>
            <w:r>
              <w:t>544</w:t>
            </w:r>
          </w:p>
        </w:tc>
        <w:tc>
          <w:tcPr>
            <w:tcW w:w="318" w:type="pct"/>
            <w:shd w:val="clear" w:color="auto" w:fill="auto"/>
            <w:tcMar>
              <w:top w:w="15" w:type="dxa"/>
              <w:left w:w="15" w:type="dxa"/>
              <w:bottom w:w="0" w:type="dxa"/>
              <w:right w:w="15" w:type="dxa"/>
            </w:tcMar>
            <w:vAlign w:val="center"/>
          </w:tcPr>
          <w:p w14:paraId="6E11CB20" w14:textId="77777777" w:rsidR="002E474C" w:rsidRDefault="00000000">
            <w:pPr>
              <w:pStyle w:val="A-"/>
            </w:pPr>
            <w:r>
              <w:t>1.21</w:t>
            </w:r>
          </w:p>
        </w:tc>
        <w:tc>
          <w:tcPr>
            <w:tcW w:w="318" w:type="pct"/>
            <w:shd w:val="clear" w:color="auto" w:fill="auto"/>
            <w:tcMar>
              <w:top w:w="15" w:type="dxa"/>
              <w:left w:w="15" w:type="dxa"/>
              <w:bottom w:w="0" w:type="dxa"/>
              <w:right w:w="15" w:type="dxa"/>
            </w:tcMar>
            <w:vAlign w:val="center"/>
          </w:tcPr>
          <w:p w14:paraId="3BAA7240" w14:textId="77777777" w:rsidR="002E474C" w:rsidRDefault="00000000">
            <w:pPr>
              <w:pStyle w:val="A-"/>
            </w:pPr>
            <w:r>
              <w:t>506</w:t>
            </w:r>
          </w:p>
        </w:tc>
        <w:tc>
          <w:tcPr>
            <w:tcW w:w="318" w:type="pct"/>
            <w:shd w:val="clear" w:color="auto" w:fill="auto"/>
            <w:tcMar>
              <w:top w:w="15" w:type="dxa"/>
              <w:left w:w="15" w:type="dxa"/>
              <w:bottom w:w="0" w:type="dxa"/>
              <w:right w:w="15" w:type="dxa"/>
            </w:tcMar>
            <w:vAlign w:val="center"/>
          </w:tcPr>
          <w:p w14:paraId="14EDE32F" w14:textId="77777777" w:rsidR="002E474C" w:rsidRDefault="00000000">
            <w:pPr>
              <w:pStyle w:val="A-"/>
            </w:pPr>
            <w:r>
              <w:t>1.12</w:t>
            </w:r>
          </w:p>
        </w:tc>
        <w:tc>
          <w:tcPr>
            <w:tcW w:w="318" w:type="pct"/>
            <w:shd w:val="clear" w:color="auto" w:fill="auto"/>
            <w:tcMar>
              <w:top w:w="15" w:type="dxa"/>
              <w:left w:w="15" w:type="dxa"/>
              <w:bottom w:w="0" w:type="dxa"/>
              <w:right w:w="15" w:type="dxa"/>
            </w:tcMar>
            <w:vAlign w:val="center"/>
          </w:tcPr>
          <w:p w14:paraId="05314510" w14:textId="77777777" w:rsidR="002E474C" w:rsidRDefault="00000000">
            <w:pPr>
              <w:pStyle w:val="A-"/>
            </w:pPr>
            <w:r>
              <w:t>320</w:t>
            </w:r>
          </w:p>
        </w:tc>
        <w:tc>
          <w:tcPr>
            <w:tcW w:w="325" w:type="pct"/>
            <w:shd w:val="clear" w:color="auto" w:fill="auto"/>
            <w:tcMar>
              <w:top w:w="15" w:type="dxa"/>
              <w:left w:w="15" w:type="dxa"/>
              <w:bottom w:w="0" w:type="dxa"/>
              <w:right w:w="15" w:type="dxa"/>
            </w:tcMar>
            <w:vAlign w:val="center"/>
          </w:tcPr>
          <w:p w14:paraId="4E333920" w14:textId="77777777" w:rsidR="002E474C" w:rsidRDefault="00000000">
            <w:pPr>
              <w:pStyle w:val="A-"/>
            </w:pPr>
            <w:r>
              <w:t>0.71</w:t>
            </w:r>
          </w:p>
        </w:tc>
        <w:tc>
          <w:tcPr>
            <w:tcW w:w="318" w:type="pct"/>
            <w:shd w:val="clear" w:color="auto" w:fill="auto"/>
            <w:tcMar>
              <w:top w:w="15" w:type="dxa"/>
              <w:left w:w="15" w:type="dxa"/>
              <w:bottom w:w="0" w:type="dxa"/>
              <w:right w:w="15" w:type="dxa"/>
            </w:tcMar>
            <w:vAlign w:val="center"/>
          </w:tcPr>
          <w:p w14:paraId="1E2350F3" w14:textId="77777777" w:rsidR="002E474C" w:rsidRDefault="00000000">
            <w:pPr>
              <w:pStyle w:val="A-"/>
            </w:pPr>
            <w:r>
              <w:t>241</w:t>
            </w:r>
          </w:p>
        </w:tc>
        <w:tc>
          <w:tcPr>
            <w:tcW w:w="324" w:type="pct"/>
            <w:shd w:val="clear" w:color="auto" w:fill="auto"/>
            <w:tcMar>
              <w:top w:w="15" w:type="dxa"/>
              <w:left w:w="15" w:type="dxa"/>
              <w:bottom w:w="0" w:type="dxa"/>
              <w:right w:w="15" w:type="dxa"/>
            </w:tcMar>
            <w:vAlign w:val="center"/>
          </w:tcPr>
          <w:p w14:paraId="4BE54954" w14:textId="77777777" w:rsidR="002E474C" w:rsidRDefault="00000000">
            <w:pPr>
              <w:pStyle w:val="A-"/>
            </w:pPr>
            <w:r>
              <w:t>0.54</w:t>
            </w:r>
          </w:p>
        </w:tc>
        <w:tc>
          <w:tcPr>
            <w:tcW w:w="576" w:type="pct"/>
            <w:shd w:val="clear" w:color="auto" w:fill="auto"/>
            <w:tcMar>
              <w:top w:w="15" w:type="dxa"/>
              <w:left w:w="15" w:type="dxa"/>
              <w:bottom w:w="0" w:type="dxa"/>
              <w:right w:w="15" w:type="dxa"/>
            </w:tcMar>
            <w:vAlign w:val="center"/>
          </w:tcPr>
          <w:p w14:paraId="363AE732" w14:textId="77777777" w:rsidR="002E474C" w:rsidRDefault="00000000">
            <w:pPr>
              <w:pStyle w:val="A-"/>
            </w:pPr>
            <w:r>
              <w:t>≤450mg/L</w:t>
            </w:r>
          </w:p>
        </w:tc>
      </w:tr>
      <w:tr w:rsidR="002E474C" w14:paraId="4DAEAFAC" w14:textId="77777777">
        <w:tc>
          <w:tcPr>
            <w:tcW w:w="720" w:type="pct"/>
            <w:shd w:val="clear" w:color="auto" w:fill="auto"/>
            <w:tcMar>
              <w:top w:w="15" w:type="dxa"/>
              <w:left w:w="15" w:type="dxa"/>
              <w:bottom w:w="0" w:type="dxa"/>
              <w:right w:w="15" w:type="dxa"/>
            </w:tcMar>
            <w:vAlign w:val="center"/>
          </w:tcPr>
          <w:p w14:paraId="5D2C32FC" w14:textId="77777777" w:rsidR="002E474C" w:rsidRDefault="00000000">
            <w:pPr>
              <w:pStyle w:val="A-"/>
            </w:pPr>
            <w:r>
              <w:t>耗氧量</w:t>
            </w:r>
          </w:p>
        </w:tc>
        <w:tc>
          <w:tcPr>
            <w:tcW w:w="437" w:type="pct"/>
            <w:shd w:val="clear" w:color="auto" w:fill="auto"/>
            <w:tcMar>
              <w:top w:w="15" w:type="dxa"/>
              <w:left w:w="15" w:type="dxa"/>
              <w:bottom w:w="0" w:type="dxa"/>
              <w:right w:w="15" w:type="dxa"/>
            </w:tcMar>
            <w:vAlign w:val="center"/>
          </w:tcPr>
          <w:p w14:paraId="03ACE80F"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1B4F3A41" w14:textId="77777777" w:rsidR="002E474C" w:rsidRDefault="00000000">
            <w:pPr>
              <w:pStyle w:val="A-"/>
            </w:pPr>
            <w:r>
              <w:t>1.5</w:t>
            </w:r>
          </w:p>
        </w:tc>
        <w:tc>
          <w:tcPr>
            <w:tcW w:w="353" w:type="pct"/>
            <w:shd w:val="clear" w:color="auto" w:fill="auto"/>
            <w:tcMar>
              <w:top w:w="15" w:type="dxa"/>
              <w:left w:w="15" w:type="dxa"/>
              <w:bottom w:w="0" w:type="dxa"/>
              <w:right w:w="15" w:type="dxa"/>
            </w:tcMar>
            <w:vAlign w:val="center"/>
          </w:tcPr>
          <w:p w14:paraId="497A88EF" w14:textId="77777777" w:rsidR="002E474C" w:rsidRDefault="00000000">
            <w:pPr>
              <w:pStyle w:val="A-"/>
            </w:pPr>
            <w:r>
              <w:t>0.50</w:t>
            </w:r>
          </w:p>
        </w:tc>
        <w:tc>
          <w:tcPr>
            <w:tcW w:w="318" w:type="pct"/>
            <w:shd w:val="clear" w:color="auto" w:fill="auto"/>
            <w:tcMar>
              <w:top w:w="15" w:type="dxa"/>
              <w:left w:w="15" w:type="dxa"/>
              <w:bottom w:w="0" w:type="dxa"/>
              <w:right w:w="15" w:type="dxa"/>
            </w:tcMar>
            <w:vAlign w:val="center"/>
          </w:tcPr>
          <w:p w14:paraId="7CE410F0" w14:textId="77777777" w:rsidR="002E474C" w:rsidRDefault="00000000">
            <w:pPr>
              <w:pStyle w:val="A-"/>
            </w:pPr>
            <w:r>
              <w:t>1.7</w:t>
            </w:r>
          </w:p>
        </w:tc>
        <w:tc>
          <w:tcPr>
            <w:tcW w:w="318" w:type="pct"/>
            <w:shd w:val="clear" w:color="auto" w:fill="auto"/>
            <w:tcMar>
              <w:top w:w="15" w:type="dxa"/>
              <w:left w:w="15" w:type="dxa"/>
              <w:bottom w:w="0" w:type="dxa"/>
              <w:right w:w="15" w:type="dxa"/>
            </w:tcMar>
            <w:vAlign w:val="center"/>
          </w:tcPr>
          <w:p w14:paraId="546AB867" w14:textId="77777777" w:rsidR="002E474C" w:rsidRDefault="00000000">
            <w:pPr>
              <w:pStyle w:val="A-"/>
            </w:pPr>
            <w:r>
              <w:t>0.57</w:t>
            </w:r>
          </w:p>
        </w:tc>
        <w:tc>
          <w:tcPr>
            <w:tcW w:w="318" w:type="pct"/>
            <w:shd w:val="clear" w:color="auto" w:fill="auto"/>
            <w:tcMar>
              <w:top w:w="15" w:type="dxa"/>
              <w:left w:w="15" w:type="dxa"/>
              <w:bottom w:w="0" w:type="dxa"/>
              <w:right w:w="15" w:type="dxa"/>
            </w:tcMar>
            <w:vAlign w:val="center"/>
          </w:tcPr>
          <w:p w14:paraId="1D3132F1" w14:textId="77777777" w:rsidR="002E474C" w:rsidRDefault="00000000">
            <w:pPr>
              <w:pStyle w:val="A-"/>
            </w:pPr>
            <w:r>
              <w:t>1.5</w:t>
            </w:r>
          </w:p>
        </w:tc>
        <w:tc>
          <w:tcPr>
            <w:tcW w:w="318" w:type="pct"/>
            <w:shd w:val="clear" w:color="auto" w:fill="auto"/>
            <w:tcMar>
              <w:top w:w="15" w:type="dxa"/>
              <w:left w:w="15" w:type="dxa"/>
              <w:bottom w:w="0" w:type="dxa"/>
              <w:right w:w="15" w:type="dxa"/>
            </w:tcMar>
            <w:vAlign w:val="center"/>
          </w:tcPr>
          <w:p w14:paraId="037C1422" w14:textId="77777777" w:rsidR="002E474C" w:rsidRDefault="00000000">
            <w:pPr>
              <w:pStyle w:val="A-"/>
            </w:pPr>
            <w:r>
              <w:t>0.50</w:t>
            </w:r>
          </w:p>
        </w:tc>
        <w:tc>
          <w:tcPr>
            <w:tcW w:w="318" w:type="pct"/>
            <w:shd w:val="clear" w:color="auto" w:fill="auto"/>
            <w:tcMar>
              <w:top w:w="15" w:type="dxa"/>
              <w:left w:w="15" w:type="dxa"/>
              <w:bottom w:w="0" w:type="dxa"/>
              <w:right w:w="15" w:type="dxa"/>
            </w:tcMar>
            <w:vAlign w:val="center"/>
          </w:tcPr>
          <w:p w14:paraId="4A1D01E4" w14:textId="77777777" w:rsidR="002E474C" w:rsidRDefault="00000000">
            <w:pPr>
              <w:pStyle w:val="A-"/>
            </w:pPr>
            <w:r>
              <w:t>1.5</w:t>
            </w:r>
          </w:p>
        </w:tc>
        <w:tc>
          <w:tcPr>
            <w:tcW w:w="325" w:type="pct"/>
            <w:shd w:val="clear" w:color="auto" w:fill="auto"/>
            <w:tcMar>
              <w:top w:w="15" w:type="dxa"/>
              <w:left w:w="15" w:type="dxa"/>
              <w:bottom w:w="0" w:type="dxa"/>
              <w:right w:w="15" w:type="dxa"/>
            </w:tcMar>
            <w:vAlign w:val="center"/>
          </w:tcPr>
          <w:p w14:paraId="55DE61BE" w14:textId="77777777" w:rsidR="002E474C" w:rsidRDefault="00000000">
            <w:pPr>
              <w:pStyle w:val="A-"/>
            </w:pPr>
            <w:r>
              <w:t>0.50</w:t>
            </w:r>
          </w:p>
        </w:tc>
        <w:tc>
          <w:tcPr>
            <w:tcW w:w="318" w:type="pct"/>
            <w:shd w:val="clear" w:color="auto" w:fill="auto"/>
            <w:tcMar>
              <w:top w:w="15" w:type="dxa"/>
              <w:left w:w="15" w:type="dxa"/>
              <w:bottom w:w="0" w:type="dxa"/>
              <w:right w:w="15" w:type="dxa"/>
            </w:tcMar>
            <w:vAlign w:val="center"/>
          </w:tcPr>
          <w:p w14:paraId="4F588EAA" w14:textId="77777777" w:rsidR="002E474C" w:rsidRDefault="00000000">
            <w:pPr>
              <w:pStyle w:val="A-"/>
            </w:pPr>
            <w:r>
              <w:t>1.7</w:t>
            </w:r>
          </w:p>
        </w:tc>
        <w:tc>
          <w:tcPr>
            <w:tcW w:w="324" w:type="pct"/>
            <w:shd w:val="clear" w:color="auto" w:fill="auto"/>
            <w:tcMar>
              <w:top w:w="15" w:type="dxa"/>
              <w:left w:w="15" w:type="dxa"/>
              <w:bottom w:w="0" w:type="dxa"/>
              <w:right w:w="15" w:type="dxa"/>
            </w:tcMar>
            <w:vAlign w:val="center"/>
          </w:tcPr>
          <w:p w14:paraId="1365E507" w14:textId="77777777" w:rsidR="002E474C" w:rsidRDefault="00000000">
            <w:pPr>
              <w:pStyle w:val="A-"/>
            </w:pPr>
            <w:r>
              <w:t>0.57</w:t>
            </w:r>
          </w:p>
        </w:tc>
        <w:tc>
          <w:tcPr>
            <w:tcW w:w="576" w:type="pct"/>
            <w:shd w:val="clear" w:color="auto" w:fill="auto"/>
            <w:tcMar>
              <w:top w:w="15" w:type="dxa"/>
              <w:left w:w="15" w:type="dxa"/>
              <w:bottom w:w="0" w:type="dxa"/>
              <w:right w:w="15" w:type="dxa"/>
            </w:tcMar>
            <w:vAlign w:val="center"/>
          </w:tcPr>
          <w:p w14:paraId="47100C25" w14:textId="77777777" w:rsidR="002E474C" w:rsidRDefault="00000000">
            <w:pPr>
              <w:pStyle w:val="A-"/>
            </w:pPr>
            <w:r>
              <w:t>≤3.0mg/L</w:t>
            </w:r>
          </w:p>
        </w:tc>
      </w:tr>
      <w:tr w:rsidR="002E474C" w14:paraId="5730C2D1" w14:textId="77777777">
        <w:tc>
          <w:tcPr>
            <w:tcW w:w="720" w:type="pct"/>
            <w:shd w:val="clear" w:color="auto" w:fill="auto"/>
            <w:tcMar>
              <w:top w:w="15" w:type="dxa"/>
              <w:left w:w="15" w:type="dxa"/>
              <w:bottom w:w="0" w:type="dxa"/>
              <w:right w:w="15" w:type="dxa"/>
            </w:tcMar>
            <w:vAlign w:val="center"/>
          </w:tcPr>
          <w:p w14:paraId="41963738" w14:textId="77777777" w:rsidR="002E474C" w:rsidRDefault="00000000">
            <w:pPr>
              <w:pStyle w:val="A-"/>
            </w:pPr>
            <w:r>
              <w:t>氯化物</w:t>
            </w:r>
          </w:p>
        </w:tc>
        <w:tc>
          <w:tcPr>
            <w:tcW w:w="437" w:type="pct"/>
            <w:shd w:val="clear" w:color="auto" w:fill="auto"/>
            <w:tcMar>
              <w:top w:w="15" w:type="dxa"/>
              <w:left w:w="15" w:type="dxa"/>
              <w:bottom w:w="0" w:type="dxa"/>
              <w:right w:w="15" w:type="dxa"/>
            </w:tcMar>
            <w:vAlign w:val="center"/>
          </w:tcPr>
          <w:p w14:paraId="3AD1421A"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08E1A25C" w14:textId="77777777" w:rsidR="002E474C" w:rsidRDefault="00000000">
            <w:pPr>
              <w:pStyle w:val="A-"/>
            </w:pPr>
            <w:r>
              <w:t>292</w:t>
            </w:r>
          </w:p>
        </w:tc>
        <w:tc>
          <w:tcPr>
            <w:tcW w:w="353" w:type="pct"/>
            <w:shd w:val="clear" w:color="auto" w:fill="auto"/>
            <w:tcMar>
              <w:top w:w="15" w:type="dxa"/>
              <w:left w:w="15" w:type="dxa"/>
              <w:bottom w:w="0" w:type="dxa"/>
              <w:right w:w="15" w:type="dxa"/>
            </w:tcMar>
            <w:vAlign w:val="center"/>
          </w:tcPr>
          <w:p w14:paraId="531E5EC4" w14:textId="77777777" w:rsidR="002E474C" w:rsidRDefault="00000000">
            <w:pPr>
              <w:pStyle w:val="A-"/>
            </w:pPr>
            <w:r>
              <w:t>1.17</w:t>
            </w:r>
          </w:p>
        </w:tc>
        <w:tc>
          <w:tcPr>
            <w:tcW w:w="318" w:type="pct"/>
            <w:shd w:val="clear" w:color="auto" w:fill="auto"/>
            <w:tcMar>
              <w:top w:w="15" w:type="dxa"/>
              <w:left w:w="15" w:type="dxa"/>
              <w:bottom w:w="0" w:type="dxa"/>
              <w:right w:w="15" w:type="dxa"/>
            </w:tcMar>
            <w:vAlign w:val="center"/>
          </w:tcPr>
          <w:p w14:paraId="4F2659A6" w14:textId="77777777" w:rsidR="002E474C" w:rsidRDefault="00000000">
            <w:pPr>
              <w:pStyle w:val="A-"/>
            </w:pPr>
            <w:r>
              <w:t>271</w:t>
            </w:r>
          </w:p>
        </w:tc>
        <w:tc>
          <w:tcPr>
            <w:tcW w:w="318" w:type="pct"/>
            <w:shd w:val="clear" w:color="auto" w:fill="auto"/>
            <w:tcMar>
              <w:top w:w="15" w:type="dxa"/>
              <w:left w:w="15" w:type="dxa"/>
              <w:bottom w:w="0" w:type="dxa"/>
              <w:right w:w="15" w:type="dxa"/>
            </w:tcMar>
            <w:vAlign w:val="center"/>
          </w:tcPr>
          <w:p w14:paraId="0D4A03FC" w14:textId="77777777" w:rsidR="002E474C" w:rsidRDefault="00000000">
            <w:pPr>
              <w:pStyle w:val="A-"/>
            </w:pPr>
            <w:r>
              <w:t>1.08</w:t>
            </w:r>
          </w:p>
        </w:tc>
        <w:tc>
          <w:tcPr>
            <w:tcW w:w="318" w:type="pct"/>
            <w:shd w:val="clear" w:color="auto" w:fill="auto"/>
            <w:tcMar>
              <w:top w:w="15" w:type="dxa"/>
              <w:left w:w="15" w:type="dxa"/>
              <w:bottom w:w="0" w:type="dxa"/>
              <w:right w:w="15" w:type="dxa"/>
            </w:tcMar>
            <w:vAlign w:val="center"/>
          </w:tcPr>
          <w:p w14:paraId="6B878361" w14:textId="77777777" w:rsidR="002E474C" w:rsidRDefault="00000000">
            <w:pPr>
              <w:pStyle w:val="A-"/>
            </w:pPr>
            <w:r>
              <w:t>262</w:t>
            </w:r>
          </w:p>
        </w:tc>
        <w:tc>
          <w:tcPr>
            <w:tcW w:w="318" w:type="pct"/>
            <w:shd w:val="clear" w:color="auto" w:fill="auto"/>
            <w:tcMar>
              <w:top w:w="15" w:type="dxa"/>
              <w:left w:w="15" w:type="dxa"/>
              <w:bottom w:w="0" w:type="dxa"/>
              <w:right w:w="15" w:type="dxa"/>
            </w:tcMar>
            <w:vAlign w:val="center"/>
          </w:tcPr>
          <w:p w14:paraId="48C82037" w14:textId="77777777" w:rsidR="002E474C" w:rsidRDefault="00000000">
            <w:pPr>
              <w:pStyle w:val="A-"/>
            </w:pPr>
            <w:r>
              <w:t>1.05</w:t>
            </w:r>
          </w:p>
        </w:tc>
        <w:tc>
          <w:tcPr>
            <w:tcW w:w="318" w:type="pct"/>
            <w:shd w:val="clear" w:color="auto" w:fill="auto"/>
            <w:tcMar>
              <w:top w:w="15" w:type="dxa"/>
              <w:left w:w="15" w:type="dxa"/>
              <w:bottom w:w="0" w:type="dxa"/>
              <w:right w:w="15" w:type="dxa"/>
            </w:tcMar>
            <w:vAlign w:val="center"/>
          </w:tcPr>
          <w:p w14:paraId="4088C11C" w14:textId="77777777" w:rsidR="002E474C" w:rsidRDefault="00000000">
            <w:pPr>
              <w:pStyle w:val="A-"/>
            </w:pPr>
            <w:r>
              <w:t>58.5</w:t>
            </w:r>
          </w:p>
        </w:tc>
        <w:tc>
          <w:tcPr>
            <w:tcW w:w="325" w:type="pct"/>
            <w:shd w:val="clear" w:color="auto" w:fill="auto"/>
            <w:tcMar>
              <w:top w:w="15" w:type="dxa"/>
              <w:left w:w="15" w:type="dxa"/>
              <w:bottom w:w="0" w:type="dxa"/>
              <w:right w:w="15" w:type="dxa"/>
            </w:tcMar>
            <w:vAlign w:val="center"/>
          </w:tcPr>
          <w:p w14:paraId="596534EC" w14:textId="77777777" w:rsidR="002E474C" w:rsidRDefault="00000000">
            <w:pPr>
              <w:pStyle w:val="A-"/>
            </w:pPr>
            <w:r>
              <w:t>0.23</w:t>
            </w:r>
          </w:p>
        </w:tc>
        <w:tc>
          <w:tcPr>
            <w:tcW w:w="318" w:type="pct"/>
            <w:shd w:val="clear" w:color="auto" w:fill="auto"/>
            <w:tcMar>
              <w:top w:w="15" w:type="dxa"/>
              <w:left w:w="15" w:type="dxa"/>
              <w:bottom w:w="0" w:type="dxa"/>
              <w:right w:w="15" w:type="dxa"/>
            </w:tcMar>
            <w:vAlign w:val="center"/>
          </w:tcPr>
          <w:p w14:paraId="1AAC3534" w14:textId="77777777" w:rsidR="002E474C" w:rsidRDefault="00000000">
            <w:pPr>
              <w:pStyle w:val="A-"/>
            </w:pPr>
            <w:r>
              <w:t>36.5</w:t>
            </w:r>
          </w:p>
        </w:tc>
        <w:tc>
          <w:tcPr>
            <w:tcW w:w="324" w:type="pct"/>
            <w:shd w:val="clear" w:color="auto" w:fill="auto"/>
            <w:tcMar>
              <w:top w:w="15" w:type="dxa"/>
              <w:left w:w="15" w:type="dxa"/>
              <w:bottom w:w="0" w:type="dxa"/>
              <w:right w:w="15" w:type="dxa"/>
            </w:tcMar>
            <w:vAlign w:val="center"/>
          </w:tcPr>
          <w:p w14:paraId="5B81BBD8" w14:textId="77777777" w:rsidR="002E474C" w:rsidRDefault="00000000">
            <w:pPr>
              <w:pStyle w:val="A-"/>
            </w:pPr>
            <w:r>
              <w:t>0.15</w:t>
            </w:r>
          </w:p>
        </w:tc>
        <w:tc>
          <w:tcPr>
            <w:tcW w:w="576" w:type="pct"/>
            <w:shd w:val="clear" w:color="auto" w:fill="auto"/>
            <w:tcMar>
              <w:top w:w="15" w:type="dxa"/>
              <w:left w:w="15" w:type="dxa"/>
              <w:bottom w:w="0" w:type="dxa"/>
              <w:right w:w="15" w:type="dxa"/>
            </w:tcMar>
            <w:vAlign w:val="center"/>
          </w:tcPr>
          <w:p w14:paraId="1B1030E7" w14:textId="77777777" w:rsidR="002E474C" w:rsidRDefault="00000000">
            <w:pPr>
              <w:pStyle w:val="A-"/>
            </w:pPr>
            <w:r>
              <w:t>≤250mg/L</w:t>
            </w:r>
          </w:p>
        </w:tc>
      </w:tr>
      <w:tr w:rsidR="002E474C" w14:paraId="6DF90601" w14:textId="77777777">
        <w:tc>
          <w:tcPr>
            <w:tcW w:w="720" w:type="pct"/>
            <w:shd w:val="clear" w:color="auto" w:fill="auto"/>
            <w:tcMar>
              <w:top w:w="15" w:type="dxa"/>
              <w:left w:w="15" w:type="dxa"/>
              <w:bottom w:w="0" w:type="dxa"/>
              <w:right w:w="15" w:type="dxa"/>
            </w:tcMar>
            <w:vAlign w:val="center"/>
          </w:tcPr>
          <w:p w14:paraId="04AEAEE9" w14:textId="77777777" w:rsidR="002E474C" w:rsidRDefault="00000000">
            <w:pPr>
              <w:pStyle w:val="A-"/>
            </w:pPr>
            <w:r>
              <w:t>溶解性总固体</w:t>
            </w:r>
          </w:p>
        </w:tc>
        <w:tc>
          <w:tcPr>
            <w:tcW w:w="437" w:type="pct"/>
            <w:shd w:val="clear" w:color="auto" w:fill="auto"/>
            <w:tcMar>
              <w:top w:w="15" w:type="dxa"/>
              <w:left w:w="15" w:type="dxa"/>
              <w:bottom w:w="0" w:type="dxa"/>
              <w:right w:w="15" w:type="dxa"/>
            </w:tcMar>
            <w:vAlign w:val="center"/>
          </w:tcPr>
          <w:p w14:paraId="3C78D219"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0220DE6E" w14:textId="77777777" w:rsidR="002E474C" w:rsidRDefault="00000000">
            <w:pPr>
              <w:pStyle w:val="A-"/>
            </w:pPr>
            <w:r>
              <w:t>828</w:t>
            </w:r>
          </w:p>
        </w:tc>
        <w:tc>
          <w:tcPr>
            <w:tcW w:w="353" w:type="pct"/>
            <w:shd w:val="clear" w:color="auto" w:fill="auto"/>
            <w:tcMar>
              <w:top w:w="15" w:type="dxa"/>
              <w:left w:w="15" w:type="dxa"/>
              <w:bottom w:w="0" w:type="dxa"/>
              <w:right w:w="15" w:type="dxa"/>
            </w:tcMar>
            <w:vAlign w:val="center"/>
          </w:tcPr>
          <w:p w14:paraId="4201D12A" w14:textId="77777777" w:rsidR="002E474C" w:rsidRDefault="00000000">
            <w:pPr>
              <w:pStyle w:val="A-"/>
            </w:pPr>
            <w:r>
              <w:t>0.83</w:t>
            </w:r>
          </w:p>
        </w:tc>
        <w:tc>
          <w:tcPr>
            <w:tcW w:w="318" w:type="pct"/>
            <w:shd w:val="clear" w:color="auto" w:fill="auto"/>
            <w:tcMar>
              <w:top w:w="15" w:type="dxa"/>
              <w:left w:w="15" w:type="dxa"/>
              <w:bottom w:w="0" w:type="dxa"/>
              <w:right w:w="15" w:type="dxa"/>
            </w:tcMar>
            <w:vAlign w:val="center"/>
          </w:tcPr>
          <w:p w14:paraId="5AC222BB" w14:textId="77777777" w:rsidR="002E474C" w:rsidRDefault="00000000">
            <w:pPr>
              <w:pStyle w:val="A-"/>
            </w:pPr>
            <w:r>
              <w:t>803</w:t>
            </w:r>
          </w:p>
        </w:tc>
        <w:tc>
          <w:tcPr>
            <w:tcW w:w="318" w:type="pct"/>
            <w:shd w:val="clear" w:color="auto" w:fill="auto"/>
            <w:tcMar>
              <w:top w:w="15" w:type="dxa"/>
              <w:left w:w="15" w:type="dxa"/>
              <w:bottom w:w="0" w:type="dxa"/>
              <w:right w:w="15" w:type="dxa"/>
            </w:tcMar>
            <w:vAlign w:val="center"/>
          </w:tcPr>
          <w:p w14:paraId="64BB550B" w14:textId="77777777" w:rsidR="002E474C" w:rsidRDefault="00000000">
            <w:pPr>
              <w:pStyle w:val="A-"/>
            </w:pPr>
            <w:r>
              <w:t>0.80</w:t>
            </w:r>
          </w:p>
        </w:tc>
        <w:tc>
          <w:tcPr>
            <w:tcW w:w="318" w:type="pct"/>
            <w:shd w:val="clear" w:color="auto" w:fill="auto"/>
            <w:tcMar>
              <w:top w:w="15" w:type="dxa"/>
              <w:left w:w="15" w:type="dxa"/>
              <w:bottom w:w="0" w:type="dxa"/>
              <w:right w:w="15" w:type="dxa"/>
            </w:tcMar>
            <w:vAlign w:val="center"/>
          </w:tcPr>
          <w:p w14:paraId="01BA8388" w14:textId="77777777" w:rsidR="002E474C" w:rsidRDefault="00000000">
            <w:pPr>
              <w:pStyle w:val="A-"/>
            </w:pPr>
            <w:r>
              <w:t>764</w:t>
            </w:r>
          </w:p>
        </w:tc>
        <w:tc>
          <w:tcPr>
            <w:tcW w:w="318" w:type="pct"/>
            <w:shd w:val="clear" w:color="auto" w:fill="auto"/>
            <w:tcMar>
              <w:top w:w="15" w:type="dxa"/>
              <w:left w:w="15" w:type="dxa"/>
              <w:bottom w:w="0" w:type="dxa"/>
              <w:right w:w="15" w:type="dxa"/>
            </w:tcMar>
            <w:vAlign w:val="center"/>
          </w:tcPr>
          <w:p w14:paraId="6B54A789" w14:textId="77777777" w:rsidR="002E474C" w:rsidRDefault="00000000">
            <w:pPr>
              <w:pStyle w:val="A-"/>
            </w:pPr>
            <w:r>
              <w:t>0.76</w:t>
            </w:r>
          </w:p>
        </w:tc>
        <w:tc>
          <w:tcPr>
            <w:tcW w:w="318" w:type="pct"/>
            <w:shd w:val="clear" w:color="auto" w:fill="auto"/>
            <w:tcMar>
              <w:top w:w="15" w:type="dxa"/>
              <w:left w:w="15" w:type="dxa"/>
              <w:bottom w:w="0" w:type="dxa"/>
              <w:right w:w="15" w:type="dxa"/>
            </w:tcMar>
            <w:vAlign w:val="center"/>
          </w:tcPr>
          <w:p w14:paraId="29AC1647" w14:textId="77777777" w:rsidR="002E474C" w:rsidRDefault="00000000">
            <w:pPr>
              <w:pStyle w:val="A-"/>
            </w:pPr>
            <w:r>
              <w:t>585</w:t>
            </w:r>
          </w:p>
        </w:tc>
        <w:tc>
          <w:tcPr>
            <w:tcW w:w="325" w:type="pct"/>
            <w:shd w:val="clear" w:color="auto" w:fill="auto"/>
            <w:tcMar>
              <w:top w:w="15" w:type="dxa"/>
              <w:left w:w="15" w:type="dxa"/>
              <w:bottom w:w="0" w:type="dxa"/>
              <w:right w:w="15" w:type="dxa"/>
            </w:tcMar>
            <w:vAlign w:val="center"/>
          </w:tcPr>
          <w:p w14:paraId="49DF74BD" w14:textId="77777777" w:rsidR="002E474C" w:rsidRDefault="00000000">
            <w:pPr>
              <w:pStyle w:val="A-"/>
            </w:pPr>
            <w:r>
              <w:t>0.59</w:t>
            </w:r>
          </w:p>
        </w:tc>
        <w:tc>
          <w:tcPr>
            <w:tcW w:w="318" w:type="pct"/>
            <w:shd w:val="clear" w:color="auto" w:fill="auto"/>
            <w:tcMar>
              <w:top w:w="15" w:type="dxa"/>
              <w:left w:w="15" w:type="dxa"/>
              <w:bottom w:w="0" w:type="dxa"/>
              <w:right w:w="15" w:type="dxa"/>
            </w:tcMar>
            <w:vAlign w:val="center"/>
          </w:tcPr>
          <w:p w14:paraId="1C8E536D" w14:textId="77777777" w:rsidR="002E474C" w:rsidRDefault="00000000">
            <w:pPr>
              <w:pStyle w:val="A-"/>
            </w:pPr>
            <w:r>
              <w:t>418</w:t>
            </w:r>
          </w:p>
        </w:tc>
        <w:tc>
          <w:tcPr>
            <w:tcW w:w="324" w:type="pct"/>
            <w:shd w:val="clear" w:color="auto" w:fill="auto"/>
            <w:tcMar>
              <w:top w:w="15" w:type="dxa"/>
              <w:left w:w="15" w:type="dxa"/>
              <w:bottom w:w="0" w:type="dxa"/>
              <w:right w:w="15" w:type="dxa"/>
            </w:tcMar>
            <w:vAlign w:val="center"/>
          </w:tcPr>
          <w:p w14:paraId="1B232B21" w14:textId="77777777" w:rsidR="002E474C" w:rsidRDefault="00000000">
            <w:pPr>
              <w:pStyle w:val="A-"/>
            </w:pPr>
            <w:r>
              <w:t>0.42</w:t>
            </w:r>
          </w:p>
        </w:tc>
        <w:tc>
          <w:tcPr>
            <w:tcW w:w="576" w:type="pct"/>
            <w:shd w:val="clear" w:color="auto" w:fill="auto"/>
            <w:tcMar>
              <w:top w:w="15" w:type="dxa"/>
              <w:left w:w="15" w:type="dxa"/>
              <w:bottom w:w="0" w:type="dxa"/>
              <w:right w:w="15" w:type="dxa"/>
            </w:tcMar>
            <w:vAlign w:val="center"/>
          </w:tcPr>
          <w:p w14:paraId="2F3A631C" w14:textId="77777777" w:rsidR="002E474C" w:rsidRDefault="00000000">
            <w:pPr>
              <w:pStyle w:val="A-"/>
            </w:pPr>
            <w:r>
              <w:t>≤1000mg/L</w:t>
            </w:r>
          </w:p>
        </w:tc>
      </w:tr>
      <w:tr w:rsidR="002E474C" w14:paraId="3795C1AB" w14:textId="77777777">
        <w:tc>
          <w:tcPr>
            <w:tcW w:w="720" w:type="pct"/>
            <w:shd w:val="clear" w:color="auto" w:fill="auto"/>
            <w:tcMar>
              <w:top w:w="15" w:type="dxa"/>
              <w:left w:w="15" w:type="dxa"/>
              <w:bottom w:w="0" w:type="dxa"/>
              <w:right w:w="15" w:type="dxa"/>
            </w:tcMar>
            <w:vAlign w:val="center"/>
          </w:tcPr>
          <w:p w14:paraId="05685698" w14:textId="77777777" w:rsidR="002E474C" w:rsidRDefault="00000000">
            <w:pPr>
              <w:pStyle w:val="A-"/>
            </w:pPr>
            <w:r>
              <w:t>氨氮</w:t>
            </w:r>
          </w:p>
        </w:tc>
        <w:tc>
          <w:tcPr>
            <w:tcW w:w="437" w:type="pct"/>
            <w:shd w:val="clear" w:color="auto" w:fill="auto"/>
            <w:tcMar>
              <w:top w:w="15" w:type="dxa"/>
              <w:left w:w="15" w:type="dxa"/>
              <w:bottom w:w="0" w:type="dxa"/>
              <w:right w:w="15" w:type="dxa"/>
            </w:tcMar>
            <w:vAlign w:val="center"/>
          </w:tcPr>
          <w:p w14:paraId="0ECEAD02"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29CFEA83" w14:textId="77777777" w:rsidR="002E474C" w:rsidRDefault="00000000">
            <w:pPr>
              <w:pStyle w:val="A-"/>
            </w:pPr>
            <w:r>
              <w:t>0.032</w:t>
            </w:r>
          </w:p>
        </w:tc>
        <w:tc>
          <w:tcPr>
            <w:tcW w:w="353" w:type="pct"/>
            <w:shd w:val="clear" w:color="auto" w:fill="auto"/>
            <w:tcMar>
              <w:top w:w="15" w:type="dxa"/>
              <w:left w:w="15" w:type="dxa"/>
              <w:bottom w:w="0" w:type="dxa"/>
              <w:right w:w="15" w:type="dxa"/>
            </w:tcMar>
            <w:vAlign w:val="center"/>
          </w:tcPr>
          <w:p w14:paraId="286473B1" w14:textId="77777777" w:rsidR="002E474C" w:rsidRDefault="00000000">
            <w:pPr>
              <w:pStyle w:val="A-"/>
            </w:pPr>
            <w:r>
              <w:t>0.07</w:t>
            </w:r>
          </w:p>
        </w:tc>
        <w:tc>
          <w:tcPr>
            <w:tcW w:w="318" w:type="pct"/>
            <w:shd w:val="clear" w:color="auto" w:fill="auto"/>
            <w:tcMar>
              <w:top w:w="15" w:type="dxa"/>
              <w:left w:w="15" w:type="dxa"/>
              <w:bottom w:w="0" w:type="dxa"/>
              <w:right w:w="15" w:type="dxa"/>
            </w:tcMar>
            <w:vAlign w:val="center"/>
          </w:tcPr>
          <w:p w14:paraId="30B70772" w14:textId="77777777" w:rsidR="002E474C" w:rsidRDefault="00000000">
            <w:pPr>
              <w:pStyle w:val="A-"/>
            </w:pPr>
            <w:r>
              <w:t>0.050</w:t>
            </w:r>
          </w:p>
        </w:tc>
        <w:tc>
          <w:tcPr>
            <w:tcW w:w="318" w:type="pct"/>
            <w:shd w:val="clear" w:color="auto" w:fill="auto"/>
            <w:tcMar>
              <w:top w:w="15" w:type="dxa"/>
              <w:left w:w="15" w:type="dxa"/>
              <w:bottom w:w="0" w:type="dxa"/>
              <w:right w:w="15" w:type="dxa"/>
            </w:tcMar>
            <w:vAlign w:val="center"/>
          </w:tcPr>
          <w:p w14:paraId="78A57874" w14:textId="77777777" w:rsidR="002E474C" w:rsidRDefault="00000000">
            <w:pPr>
              <w:pStyle w:val="A-"/>
            </w:pPr>
            <w:r>
              <w:t>0.59</w:t>
            </w:r>
          </w:p>
        </w:tc>
        <w:tc>
          <w:tcPr>
            <w:tcW w:w="318" w:type="pct"/>
            <w:shd w:val="clear" w:color="auto" w:fill="auto"/>
            <w:tcMar>
              <w:top w:w="15" w:type="dxa"/>
              <w:left w:w="15" w:type="dxa"/>
              <w:bottom w:w="0" w:type="dxa"/>
              <w:right w:w="15" w:type="dxa"/>
            </w:tcMar>
            <w:vAlign w:val="center"/>
          </w:tcPr>
          <w:p w14:paraId="7F0AE463" w14:textId="77777777" w:rsidR="002E474C" w:rsidRDefault="00000000">
            <w:pPr>
              <w:pStyle w:val="A-"/>
            </w:pPr>
            <w:r>
              <w:t>0.061</w:t>
            </w:r>
          </w:p>
        </w:tc>
        <w:tc>
          <w:tcPr>
            <w:tcW w:w="318" w:type="pct"/>
            <w:shd w:val="clear" w:color="auto" w:fill="auto"/>
            <w:tcMar>
              <w:top w:w="15" w:type="dxa"/>
              <w:left w:w="15" w:type="dxa"/>
              <w:bottom w:w="0" w:type="dxa"/>
              <w:right w:w="15" w:type="dxa"/>
            </w:tcMar>
            <w:vAlign w:val="center"/>
          </w:tcPr>
          <w:p w14:paraId="5FE899AE" w14:textId="77777777" w:rsidR="002E474C" w:rsidRDefault="00000000">
            <w:pPr>
              <w:pStyle w:val="A-"/>
            </w:pPr>
            <w:r>
              <w:t>0.15</w:t>
            </w:r>
          </w:p>
        </w:tc>
        <w:tc>
          <w:tcPr>
            <w:tcW w:w="318" w:type="pct"/>
            <w:shd w:val="clear" w:color="auto" w:fill="auto"/>
            <w:tcMar>
              <w:top w:w="15" w:type="dxa"/>
              <w:left w:w="15" w:type="dxa"/>
              <w:bottom w:w="0" w:type="dxa"/>
              <w:right w:w="15" w:type="dxa"/>
            </w:tcMar>
            <w:vAlign w:val="center"/>
          </w:tcPr>
          <w:p w14:paraId="795CA1D1" w14:textId="77777777" w:rsidR="002E474C" w:rsidRDefault="00000000">
            <w:pPr>
              <w:pStyle w:val="A-"/>
            </w:pPr>
            <w:r>
              <w:t>0.048</w:t>
            </w:r>
          </w:p>
        </w:tc>
        <w:tc>
          <w:tcPr>
            <w:tcW w:w="325" w:type="pct"/>
            <w:shd w:val="clear" w:color="auto" w:fill="auto"/>
            <w:tcMar>
              <w:top w:w="15" w:type="dxa"/>
              <w:left w:w="15" w:type="dxa"/>
              <w:bottom w:w="0" w:type="dxa"/>
              <w:right w:w="15" w:type="dxa"/>
            </w:tcMar>
            <w:vAlign w:val="center"/>
          </w:tcPr>
          <w:p w14:paraId="71B8C78F" w14:textId="77777777" w:rsidR="002E474C" w:rsidRDefault="00000000">
            <w:pPr>
              <w:pStyle w:val="A-"/>
            </w:pPr>
            <w:r>
              <w:t>0.10</w:t>
            </w:r>
          </w:p>
        </w:tc>
        <w:tc>
          <w:tcPr>
            <w:tcW w:w="318" w:type="pct"/>
            <w:shd w:val="clear" w:color="auto" w:fill="auto"/>
            <w:tcMar>
              <w:top w:w="15" w:type="dxa"/>
              <w:left w:w="15" w:type="dxa"/>
              <w:bottom w:w="0" w:type="dxa"/>
              <w:right w:w="15" w:type="dxa"/>
            </w:tcMar>
            <w:vAlign w:val="center"/>
          </w:tcPr>
          <w:p w14:paraId="58CCA3DF" w14:textId="77777777" w:rsidR="002E474C" w:rsidRDefault="00000000">
            <w:pPr>
              <w:pStyle w:val="A-"/>
            </w:pPr>
            <w:r>
              <w:t>0.088</w:t>
            </w:r>
          </w:p>
        </w:tc>
        <w:tc>
          <w:tcPr>
            <w:tcW w:w="324" w:type="pct"/>
            <w:shd w:val="clear" w:color="auto" w:fill="auto"/>
            <w:tcMar>
              <w:top w:w="15" w:type="dxa"/>
              <w:left w:w="15" w:type="dxa"/>
              <w:bottom w:w="0" w:type="dxa"/>
              <w:right w:w="15" w:type="dxa"/>
            </w:tcMar>
            <w:vAlign w:val="center"/>
          </w:tcPr>
          <w:p w14:paraId="3DB783A5" w14:textId="77777777" w:rsidR="002E474C" w:rsidRDefault="00000000">
            <w:pPr>
              <w:pStyle w:val="A-"/>
            </w:pPr>
            <w:r>
              <w:t>0.18</w:t>
            </w:r>
          </w:p>
        </w:tc>
        <w:tc>
          <w:tcPr>
            <w:tcW w:w="576" w:type="pct"/>
            <w:shd w:val="clear" w:color="auto" w:fill="auto"/>
            <w:tcMar>
              <w:top w:w="15" w:type="dxa"/>
              <w:left w:w="15" w:type="dxa"/>
              <w:bottom w:w="0" w:type="dxa"/>
              <w:right w:w="15" w:type="dxa"/>
            </w:tcMar>
            <w:vAlign w:val="center"/>
          </w:tcPr>
          <w:p w14:paraId="44421E6B" w14:textId="77777777" w:rsidR="002E474C" w:rsidRDefault="00000000">
            <w:pPr>
              <w:pStyle w:val="A-"/>
            </w:pPr>
            <w:r>
              <w:t>≤0.50mg/L</w:t>
            </w:r>
          </w:p>
        </w:tc>
      </w:tr>
      <w:tr w:rsidR="002E474C" w14:paraId="1DA98F50" w14:textId="77777777">
        <w:tc>
          <w:tcPr>
            <w:tcW w:w="720" w:type="pct"/>
            <w:shd w:val="clear" w:color="auto" w:fill="auto"/>
            <w:tcMar>
              <w:top w:w="15" w:type="dxa"/>
              <w:left w:w="15" w:type="dxa"/>
              <w:bottom w:w="0" w:type="dxa"/>
              <w:right w:w="15" w:type="dxa"/>
            </w:tcMar>
            <w:vAlign w:val="center"/>
          </w:tcPr>
          <w:p w14:paraId="07338BF3" w14:textId="77777777" w:rsidR="002E474C" w:rsidRDefault="00000000">
            <w:pPr>
              <w:pStyle w:val="A-"/>
            </w:pPr>
            <w:r>
              <w:t>硫化物</w:t>
            </w:r>
          </w:p>
        </w:tc>
        <w:tc>
          <w:tcPr>
            <w:tcW w:w="437" w:type="pct"/>
            <w:shd w:val="clear" w:color="auto" w:fill="auto"/>
            <w:tcMar>
              <w:top w:w="15" w:type="dxa"/>
              <w:left w:w="15" w:type="dxa"/>
              <w:bottom w:w="0" w:type="dxa"/>
              <w:right w:w="15" w:type="dxa"/>
            </w:tcMar>
            <w:vAlign w:val="center"/>
          </w:tcPr>
          <w:p w14:paraId="5F8CA00C" w14:textId="77777777" w:rsidR="002E474C" w:rsidRDefault="00000000">
            <w:pPr>
              <w:pStyle w:val="A-"/>
              <w:rPr>
                <w:rFonts w:eastAsia="等线"/>
              </w:rPr>
            </w:pPr>
            <w:r>
              <w:t>mg/L</w:t>
            </w:r>
          </w:p>
        </w:tc>
        <w:tc>
          <w:tcPr>
            <w:tcW w:w="351" w:type="pct"/>
            <w:shd w:val="clear" w:color="auto" w:fill="auto"/>
            <w:tcMar>
              <w:top w:w="15" w:type="dxa"/>
              <w:left w:w="15" w:type="dxa"/>
              <w:bottom w:w="0" w:type="dxa"/>
              <w:right w:w="15" w:type="dxa"/>
            </w:tcMar>
            <w:vAlign w:val="center"/>
          </w:tcPr>
          <w:p w14:paraId="30E4E419" w14:textId="77777777" w:rsidR="002E474C" w:rsidRDefault="00000000">
            <w:pPr>
              <w:pStyle w:val="A-"/>
              <w:rPr>
                <w:rFonts w:eastAsia="等线"/>
              </w:rPr>
            </w:pPr>
            <w:r>
              <w:rPr>
                <w:rFonts w:eastAsia="等线"/>
              </w:rPr>
              <w:t>&lt;</w:t>
            </w:r>
            <w:r>
              <w:t>0.003</w:t>
            </w:r>
          </w:p>
        </w:tc>
        <w:tc>
          <w:tcPr>
            <w:tcW w:w="353" w:type="pct"/>
            <w:shd w:val="clear" w:color="auto" w:fill="auto"/>
            <w:tcMar>
              <w:top w:w="15" w:type="dxa"/>
              <w:left w:w="15" w:type="dxa"/>
              <w:bottom w:w="0" w:type="dxa"/>
              <w:right w:w="15" w:type="dxa"/>
            </w:tcMar>
            <w:vAlign w:val="center"/>
          </w:tcPr>
          <w:p w14:paraId="580F5099"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E93DC4A" w14:textId="77777777" w:rsidR="002E474C" w:rsidRDefault="00000000">
            <w:pPr>
              <w:pStyle w:val="A-"/>
              <w:rPr>
                <w:rFonts w:eastAsia="等线"/>
              </w:rPr>
            </w:pPr>
            <w:r>
              <w:rPr>
                <w:rFonts w:eastAsia="等线"/>
              </w:rPr>
              <w:t>&lt;</w:t>
            </w:r>
            <w:r>
              <w:t>0.003</w:t>
            </w:r>
          </w:p>
        </w:tc>
        <w:tc>
          <w:tcPr>
            <w:tcW w:w="318" w:type="pct"/>
            <w:shd w:val="clear" w:color="auto" w:fill="auto"/>
            <w:tcMar>
              <w:top w:w="15" w:type="dxa"/>
              <w:left w:w="15" w:type="dxa"/>
              <w:bottom w:w="0" w:type="dxa"/>
              <w:right w:w="15" w:type="dxa"/>
            </w:tcMar>
            <w:vAlign w:val="center"/>
          </w:tcPr>
          <w:p w14:paraId="6976F37F"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13684F91" w14:textId="77777777" w:rsidR="002E474C" w:rsidRDefault="00000000">
            <w:pPr>
              <w:pStyle w:val="A-"/>
              <w:rPr>
                <w:rFonts w:eastAsia="等线"/>
              </w:rPr>
            </w:pPr>
            <w:r>
              <w:rPr>
                <w:rFonts w:eastAsia="等线"/>
              </w:rPr>
              <w:t>&lt;</w:t>
            </w:r>
            <w:r>
              <w:t>0.003</w:t>
            </w:r>
          </w:p>
        </w:tc>
        <w:tc>
          <w:tcPr>
            <w:tcW w:w="318" w:type="pct"/>
            <w:shd w:val="clear" w:color="auto" w:fill="auto"/>
            <w:tcMar>
              <w:top w:w="15" w:type="dxa"/>
              <w:left w:w="15" w:type="dxa"/>
              <w:bottom w:w="0" w:type="dxa"/>
              <w:right w:w="15" w:type="dxa"/>
            </w:tcMar>
            <w:vAlign w:val="center"/>
          </w:tcPr>
          <w:p w14:paraId="23C12DE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50A50DB" w14:textId="77777777" w:rsidR="002E474C" w:rsidRDefault="00000000">
            <w:pPr>
              <w:pStyle w:val="A-"/>
              <w:rPr>
                <w:rFonts w:eastAsia="等线"/>
              </w:rPr>
            </w:pPr>
            <w:r>
              <w:rPr>
                <w:rFonts w:eastAsia="等线"/>
              </w:rPr>
              <w:t>&lt;</w:t>
            </w:r>
            <w:r>
              <w:t>0.003</w:t>
            </w:r>
          </w:p>
        </w:tc>
        <w:tc>
          <w:tcPr>
            <w:tcW w:w="325" w:type="pct"/>
            <w:shd w:val="clear" w:color="auto" w:fill="auto"/>
            <w:tcMar>
              <w:top w:w="15" w:type="dxa"/>
              <w:left w:w="15" w:type="dxa"/>
              <w:bottom w:w="0" w:type="dxa"/>
              <w:right w:w="15" w:type="dxa"/>
            </w:tcMar>
            <w:vAlign w:val="center"/>
          </w:tcPr>
          <w:p w14:paraId="37CCB0E9"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2AB9BD5" w14:textId="77777777" w:rsidR="002E474C" w:rsidRDefault="00000000">
            <w:pPr>
              <w:pStyle w:val="A-"/>
              <w:rPr>
                <w:rFonts w:eastAsia="等线"/>
              </w:rPr>
            </w:pPr>
            <w:r>
              <w:rPr>
                <w:rFonts w:eastAsia="等线"/>
              </w:rPr>
              <w:t>&lt;</w:t>
            </w:r>
            <w:r>
              <w:t>0.003</w:t>
            </w:r>
          </w:p>
        </w:tc>
        <w:tc>
          <w:tcPr>
            <w:tcW w:w="324" w:type="pct"/>
            <w:shd w:val="clear" w:color="auto" w:fill="auto"/>
            <w:tcMar>
              <w:top w:w="15" w:type="dxa"/>
              <w:left w:w="15" w:type="dxa"/>
              <w:bottom w:w="0" w:type="dxa"/>
              <w:right w:w="15" w:type="dxa"/>
            </w:tcMar>
            <w:vAlign w:val="center"/>
          </w:tcPr>
          <w:p w14:paraId="4C861544"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4EEAB834" w14:textId="77777777" w:rsidR="002E474C" w:rsidRDefault="00000000">
            <w:pPr>
              <w:pStyle w:val="A-"/>
            </w:pPr>
            <w:r>
              <w:t>≤0.02mg/L</w:t>
            </w:r>
          </w:p>
        </w:tc>
      </w:tr>
      <w:tr w:rsidR="002E474C" w14:paraId="1D647B25" w14:textId="77777777">
        <w:tc>
          <w:tcPr>
            <w:tcW w:w="720" w:type="pct"/>
            <w:shd w:val="clear" w:color="auto" w:fill="auto"/>
            <w:tcMar>
              <w:top w:w="15" w:type="dxa"/>
              <w:left w:w="15" w:type="dxa"/>
              <w:bottom w:w="0" w:type="dxa"/>
              <w:right w:w="15" w:type="dxa"/>
            </w:tcMar>
            <w:vAlign w:val="center"/>
          </w:tcPr>
          <w:p w14:paraId="0CEBC389" w14:textId="77777777" w:rsidR="002E474C" w:rsidRDefault="00000000">
            <w:pPr>
              <w:pStyle w:val="A-"/>
            </w:pPr>
            <w:r>
              <w:t>硝酸盐氮</w:t>
            </w:r>
          </w:p>
        </w:tc>
        <w:tc>
          <w:tcPr>
            <w:tcW w:w="437" w:type="pct"/>
            <w:shd w:val="clear" w:color="auto" w:fill="auto"/>
            <w:tcMar>
              <w:top w:w="15" w:type="dxa"/>
              <w:left w:w="15" w:type="dxa"/>
              <w:bottom w:w="0" w:type="dxa"/>
              <w:right w:w="15" w:type="dxa"/>
            </w:tcMar>
            <w:vAlign w:val="center"/>
          </w:tcPr>
          <w:p w14:paraId="4BB91F95"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17FD758B" w14:textId="77777777" w:rsidR="002E474C" w:rsidRDefault="00000000">
            <w:pPr>
              <w:pStyle w:val="A-"/>
            </w:pPr>
            <w:r>
              <w:t>13.5</w:t>
            </w:r>
          </w:p>
        </w:tc>
        <w:tc>
          <w:tcPr>
            <w:tcW w:w="353" w:type="pct"/>
            <w:shd w:val="clear" w:color="auto" w:fill="auto"/>
            <w:tcMar>
              <w:top w:w="15" w:type="dxa"/>
              <w:left w:w="15" w:type="dxa"/>
              <w:bottom w:w="0" w:type="dxa"/>
              <w:right w:w="15" w:type="dxa"/>
            </w:tcMar>
            <w:vAlign w:val="center"/>
          </w:tcPr>
          <w:p w14:paraId="719303E0" w14:textId="77777777" w:rsidR="002E474C" w:rsidRDefault="00000000">
            <w:pPr>
              <w:pStyle w:val="A-"/>
            </w:pPr>
            <w:r>
              <w:t>0.68</w:t>
            </w:r>
          </w:p>
        </w:tc>
        <w:tc>
          <w:tcPr>
            <w:tcW w:w="318" w:type="pct"/>
            <w:shd w:val="clear" w:color="auto" w:fill="auto"/>
            <w:tcMar>
              <w:top w:w="15" w:type="dxa"/>
              <w:left w:w="15" w:type="dxa"/>
              <w:bottom w:w="0" w:type="dxa"/>
              <w:right w:w="15" w:type="dxa"/>
            </w:tcMar>
            <w:vAlign w:val="center"/>
          </w:tcPr>
          <w:p w14:paraId="300892ED" w14:textId="77777777" w:rsidR="002E474C" w:rsidRDefault="00000000">
            <w:pPr>
              <w:pStyle w:val="A-"/>
            </w:pPr>
            <w:r>
              <w:t>14.9</w:t>
            </w:r>
          </w:p>
        </w:tc>
        <w:tc>
          <w:tcPr>
            <w:tcW w:w="318" w:type="pct"/>
            <w:shd w:val="clear" w:color="auto" w:fill="auto"/>
            <w:tcMar>
              <w:top w:w="15" w:type="dxa"/>
              <w:left w:w="15" w:type="dxa"/>
              <w:bottom w:w="0" w:type="dxa"/>
              <w:right w:w="15" w:type="dxa"/>
            </w:tcMar>
            <w:vAlign w:val="center"/>
          </w:tcPr>
          <w:p w14:paraId="53F94CF6" w14:textId="77777777" w:rsidR="002E474C" w:rsidRDefault="00000000">
            <w:pPr>
              <w:pStyle w:val="A-"/>
            </w:pPr>
            <w:r>
              <w:t>0.75</w:t>
            </w:r>
          </w:p>
        </w:tc>
        <w:tc>
          <w:tcPr>
            <w:tcW w:w="318" w:type="pct"/>
            <w:shd w:val="clear" w:color="auto" w:fill="auto"/>
            <w:tcMar>
              <w:top w:w="15" w:type="dxa"/>
              <w:left w:w="15" w:type="dxa"/>
              <w:bottom w:w="0" w:type="dxa"/>
              <w:right w:w="15" w:type="dxa"/>
            </w:tcMar>
            <w:vAlign w:val="center"/>
          </w:tcPr>
          <w:p w14:paraId="1E0A626B" w14:textId="77777777" w:rsidR="002E474C" w:rsidRDefault="00000000">
            <w:pPr>
              <w:pStyle w:val="A-"/>
            </w:pPr>
            <w:r>
              <w:t>12.0</w:t>
            </w:r>
          </w:p>
        </w:tc>
        <w:tc>
          <w:tcPr>
            <w:tcW w:w="318" w:type="pct"/>
            <w:shd w:val="clear" w:color="auto" w:fill="auto"/>
            <w:tcMar>
              <w:top w:w="15" w:type="dxa"/>
              <w:left w:w="15" w:type="dxa"/>
              <w:bottom w:w="0" w:type="dxa"/>
              <w:right w:w="15" w:type="dxa"/>
            </w:tcMar>
            <w:vAlign w:val="center"/>
          </w:tcPr>
          <w:p w14:paraId="0F6E6FAD" w14:textId="77777777" w:rsidR="002E474C" w:rsidRDefault="00000000">
            <w:pPr>
              <w:pStyle w:val="A-"/>
            </w:pPr>
            <w:r>
              <w:t>0.60</w:t>
            </w:r>
          </w:p>
        </w:tc>
        <w:tc>
          <w:tcPr>
            <w:tcW w:w="318" w:type="pct"/>
            <w:shd w:val="clear" w:color="auto" w:fill="auto"/>
            <w:tcMar>
              <w:top w:w="15" w:type="dxa"/>
              <w:left w:w="15" w:type="dxa"/>
              <w:bottom w:w="0" w:type="dxa"/>
              <w:right w:w="15" w:type="dxa"/>
            </w:tcMar>
            <w:vAlign w:val="center"/>
          </w:tcPr>
          <w:p w14:paraId="1ABEFA4B" w14:textId="77777777" w:rsidR="002E474C" w:rsidRDefault="00000000">
            <w:pPr>
              <w:pStyle w:val="A-"/>
            </w:pPr>
            <w:r>
              <w:t>2.91</w:t>
            </w:r>
          </w:p>
        </w:tc>
        <w:tc>
          <w:tcPr>
            <w:tcW w:w="325" w:type="pct"/>
            <w:shd w:val="clear" w:color="auto" w:fill="auto"/>
            <w:tcMar>
              <w:top w:w="15" w:type="dxa"/>
              <w:left w:w="15" w:type="dxa"/>
              <w:bottom w:w="0" w:type="dxa"/>
              <w:right w:w="15" w:type="dxa"/>
            </w:tcMar>
            <w:vAlign w:val="center"/>
          </w:tcPr>
          <w:p w14:paraId="2B94DCCC" w14:textId="77777777" w:rsidR="002E474C" w:rsidRDefault="00000000">
            <w:pPr>
              <w:pStyle w:val="A-"/>
            </w:pPr>
            <w:r>
              <w:t>0.15</w:t>
            </w:r>
          </w:p>
        </w:tc>
        <w:tc>
          <w:tcPr>
            <w:tcW w:w="318" w:type="pct"/>
            <w:shd w:val="clear" w:color="auto" w:fill="auto"/>
            <w:tcMar>
              <w:top w:w="15" w:type="dxa"/>
              <w:left w:w="15" w:type="dxa"/>
              <w:bottom w:w="0" w:type="dxa"/>
              <w:right w:w="15" w:type="dxa"/>
            </w:tcMar>
            <w:vAlign w:val="center"/>
          </w:tcPr>
          <w:p w14:paraId="08E757E1" w14:textId="77777777" w:rsidR="002E474C" w:rsidRDefault="00000000">
            <w:pPr>
              <w:pStyle w:val="A-"/>
            </w:pPr>
            <w:r>
              <w:t>2.36</w:t>
            </w:r>
          </w:p>
        </w:tc>
        <w:tc>
          <w:tcPr>
            <w:tcW w:w="324" w:type="pct"/>
            <w:shd w:val="clear" w:color="auto" w:fill="auto"/>
            <w:tcMar>
              <w:top w:w="15" w:type="dxa"/>
              <w:left w:w="15" w:type="dxa"/>
              <w:bottom w:w="0" w:type="dxa"/>
              <w:right w:w="15" w:type="dxa"/>
            </w:tcMar>
            <w:vAlign w:val="center"/>
          </w:tcPr>
          <w:p w14:paraId="2E22F714" w14:textId="77777777" w:rsidR="002E474C" w:rsidRDefault="00000000">
            <w:pPr>
              <w:pStyle w:val="A-"/>
            </w:pPr>
            <w:r>
              <w:t>0.12</w:t>
            </w:r>
          </w:p>
        </w:tc>
        <w:tc>
          <w:tcPr>
            <w:tcW w:w="576" w:type="pct"/>
            <w:shd w:val="clear" w:color="auto" w:fill="auto"/>
            <w:tcMar>
              <w:top w:w="15" w:type="dxa"/>
              <w:left w:w="15" w:type="dxa"/>
              <w:bottom w:w="0" w:type="dxa"/>
              <w:right w:w="15" w:type="dxa"/>
            </w:tcMar>
            <w:vAlign w:val="center"/>
          </w:tcPr>
          <w:p w14:paraId="0E6D97C8" w14:textId="77777777" w:rsidR="002E474C" w:rsidRDefault="00000000">
            <w:pPr>
              <w:pStyle w:val="A-"/>
            </w:pPr>
            <w:r>
              <w:t>≤20.0mg/L</w:t>
            </w:r>
          </w:p>
        </w:tc>
      </w:tr>
      <w:tr w:rsidR="002E474C" w14:paraId="33AA9888" w14:textId="77777777">
        <w:tc>
          <w:tcPr>
            <w:tcW w:w="720" w:type="pct"/>
            <w:shd w:val="clear" w:color="auto" w:fill="auto"/>
            <w:tcMar>
              <w:top w:w="15" w:type="dxa"/>
              <w:left w:w="15" w:type="dxa"/>
              <w:bottom w:w="0" w:type="dxa"/>
              <w:right w:w="15" w:type="dxa"/>
            </w:tcMar>
            <w:vAlign w:val="center"/>
          </w:tcPr>
          <w:p w14:paraId="32D509B7" w14:textId="77777777" w:rsidR="002E474C" w:rsidRDefault="00000000">
            <w:pPr>
              <w:pStyle w:val="A-"/>
            </w:pPr>
            <w:r>
              <w:t>亚硝酸盐氮</w:t>
            </w:r>
          </w:p>
        </w:tc>
        <w:tc>
          <w:tcPr>
            <w:tcW w:w="437" w:type="pct"/>
            <w:shd w:val="clear" w:color="auto" w:fill="auto"/>
            <w:tcMar>
              <w:top w:w="15" w:type="dxa"/>
              <w:left w:w="15" w:type="dxa"/>
              <w:bottom w:w="0" w:type="dxa"/>
              <w:right w:w="15" w:type="dxa"/>
            </w:tcMar>
            <w:vAlign w:val="center"/>
          </w:tcPr>
          <w:p w14:paraId="31E29210"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5C0A4ED2" w14:textId="77777777" w:rsidR="002E474C" w:rsidRDefault="00000000">
            <w:pPr>
              <w:pStyle w:val="A-"/>
              <w:rPr>
                <w:rFonts w:eastAsia="等线"/>
              </w:rPr>
            </w:pPr>
            <w:r>
              <w:rPr>
                <w:rFonts w:eastAsia="等线"/>
              </w:rPr>
              <w:t>&lt;</w:t>
            </w:r>
            <w:r>
              <w:t>0.003</w:t>
            </w:r>
          </w:p>
        </w:tc>
        <w:tc>
          <w:tcPr>
            <w:tcW w:w="353" w:type="pct"/>
            <w:shd w:val="clear" w:color="auto" w:fill="auto"/>
            <w:tcMar>
              <w:top w:w="15" w:type="dxa"/>
              <w:left w:w="15" w:type="dxa"/>
              <w:bottom w:w="0" w:type="dxa"/>
              <w:right w:w="15" w:type="dxa"/>
            </w:tcMar>
            <w:vAlign w:val="center"/>
          </w:tcPr>
          <w:p w14:paraId="127EB46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1DC3674" w14:textId="77777777" w:rsidR="002E474C" w:rsidRDefault="00000000">
            <w:pPr>
              <w:pStyle w:val="A-"/>
              <w:rPr>
                <w:rFonts w:eastAsia="等线"/>
              </w:rPr>
            </w:pPr>
            <w:r>
              <w:rPr>
                <w:rFonts w:eastAsia="等线"/>
              </w:rPr>
              <w:t>&lt;</w:t>
            </w:r>
            <w:r>
              <w:t>0.003</w:t>
            </w:r>
          </w:p>
        </w:tc>
        <w:tc>
          <w:tcPr>
            <w:tcW w:w="318" w:type="pct"/>
            <w:shd w:val="clear" w:color="auto" w:fill="auto"/>
            <w:tcMar>
              <w:top w:w="15" w:type="dxa"/>
              <w:left w:w="15" w:type="dxa"/>
              <w:bottom w:w="0" w:type="dxa"/>
              <w:right w:w="15" w:type="dxa"/>
            </w:tcMar>
            <w:vAlign w:val="center"/>
          </w:tcPr>
          <w:p w14:paraId="1821C1D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216AD7F" w14:textId="77777777" w:rsidR="002E474C" w:rsidRDefault="00000000">
            <w:pPr>
              <w:pStyle w:val="A-"/>
              <w:rPr>
                <w:rFonts w:eastAsia="等线"/>
              </w:rPr>
            </w:pPr>
            <w:r>
              <w:rPr>
                <w:rFonts w:eastAsia="等线"/>
              </w:rPr>
              <w:t>&lt;</w:t>
            </w:r>
            <w:r>
              <w:t>0.003</w:t>
            </w:r>
          </w:p>
        </w:tc>
        <w:tc>
          <w:tcPr>
            <w:tcW w:w="318" w:type="pct"/>
            <w:shd w:val="clear" w:color="auto" w:fill="auto"/>
            <w:tcMar>
              <w:top w:w="15" w:type="dxa"/>
              <w:left w:w="15" w:type="dxa"/>
              <w:bottom w:w="0" w:type="dxa"/>
              <w:right w:w="15" w:type="dxa"/>
            </w:tcMar>
            <w:vAlign w:val="center"/>
          </w:tcPr>
          <w:p w14:paraId="1B0AD12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906B437" w14:textId="77777777" w:rsidR="002E474C" w:rsidRDefault="00000000">
            <w:pPr>
              <w:pStyle w:val="A-"/>
              <w:rPr>
                <w:rFonts w:eastAsia="等线"/>
              </w:rPr>
            </w:pPr>
            <w:r>
              <w:rPr>
                <w:rFonts w:eastAsia="等线"/>
              </w:rPr>
              <w:t>&lt;</w:t>
            </w:r>
            <w:r>
              <w:t>0.003</w:t>
            </w:r>
          </w:p>
        </w:tc>
        <w:tc>
          <w:tcPr>
            <w:tcW w:w="325" w:type="pct"/>
            <w:shd w:val="clear" w:color="auto" w:fill="auto"/>
            <w:tcMar>
              <w:top w:w="15" w:type="dxa"/>
              <w:left w:w="15" w:type="dxa"/>
              <w:bottom w:w="0" w:type="dxa"/>
              <w:right w:w="15" w:type="dxa"/>
            </w:tcMar>
            <w:vAlign w:val="center"/>
          </w:tcPr>
          <w:p w14:paraId="613C5CC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3C0EE80" w14:textId="77777777" w:rsidR="002E474C" w:rsidRDefault="00000000">
            <w:pPr>
              <w:pStyle w:val="A-"/>
              <w:rPr>
                <w:rFonts w:eastAsia="等线"/>
              </w:rPr>
            </w:pPr>
            <w:r>
              <w:rPr>
                <w:rFonts w:eastAsia="等线"/>
              </w:rPr>
              <w:t>&lt;</w:t>
            </w:r>
            <w:r>
              <w:t>0.003</w:t>
            </w:r>
          </w:p>
        </w:tc>
        <w:tc>
          <w:tcPr>
            <w:tcW w:w="324" w:type="pct"/>
            <w:shd w:val="clear" w:color="auto" w:fill="auto"/>
            <w:tcMar>
              <w:top w:w="15" w:type="dxa"/>
              <w:left w:w="15" w:type="dxa"/>
              <w:bottom w:w="0" w:type="dxa"/>
              <w:right w:w="15" w:type="dxa"/>
            </w:tcMar>
            <w:vAlign w:val="center"/>
          </w:tcPr>
          <w:p w14:paraId="7B8A9005"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0DC402C3" w14:textId="77777777" w:rsidR="002E474C" w:rsidRDefault="00000000">
            <w:pPr>
              <w:pStyle w:val="A-"/>
            </w:pPr>
            <w:r>
              <w:t>≤1.00mg/L</w:t>
            </w:r>
          </w:p>
        </w:tc>
      </w:tr>
      <w:tr w:rsidR="002E474C" w14:paraId="1C1217CE" w14:textId="77777777">
        <w:tc>
          <w:tcPr>
            <w:tcW w:w="720" w:type="pct"/>
            <w:shd w:val="clear" w:color="auto" w:fill="auto"/>
            <w:tcMar>
              <w:top w:w="15" w:type="dxa"/>
              <w:left w:w="15" w:type="dxa"/>
              <w:bottom w:w="0" w:type="dxa"/>
              <w:right w:w="15" w:type="dxa"/>
            </w:tcMar>
            <w:vAlign w:val="center"/>
          </w:tcPr>
          <w:p w14:paraId="32AA5AE5" w14:textId="77777777" w:rsidR="002E474C" w:rsidRDefault="00000000">
            <w:pPr>
              <w:pStyle w:val="A-"/>
            </w:pPr>
            <w:r>
              <w:t>硫酸盐</w:t>
            </w:r>
          </w:p>
        </w:tc>
        <w:tc>
          <w:tcPr>
            <w:tcW w:w="437" w:type="pct"/>
            <w:shd w:val="clear" w:color="auto" w:fill="auto"/>
            <w:tcMar>
              <w:top w:w="15" w:type="dxa"/>
              <w:left w:w="15" w:type="dxa"/>
              <w:bottom w:w="0" w:type="dxa"/>
              <w:right w:w="15" w:type="dxa"/>
            </w:tcMar>
            <w:vAlign w:val="center"/>
          </w:tcPr>
          <w:p w14:paraId="4C6DD397"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2C5B1DE0" w14:textId="77777777" w:rsidR="002E474C" w:rsidRDefault="00000000">
            <w:pPr>
              <w:pStyle w:val="A-"/>
            </w:pPr>
            <w:r>
              <w:t>209</w:t>
            </w:r>
          </w:p>
        </w:tc>
        <w:tc>
          <w:tcPr>
            <w:tcW w:w="353" w:type="pct"/>
            <w:shd w:val="clear" w:color="auto" w:fill="auto"/>
            <w:tcMar>
              <w:top w:w="15" w:type="dxa"/>
              <w:left w:w="15" w:type="dxa"/>
              <w:bottom w:w="0" w:type="dxa"/>
              <w:right w:w="15" w:type="dxa"/>
            </w:tcMar>
            <w:vAlign w:val="center"/>
          </w:tcPr>
          <w:p w14:paraId="3E95E1EF" w14:textId="77777777" w:rsidR="002E474C" w:rsidRDefault="00000000">
            <w:pPr>
              <w:pStyle w:val="A-"/>
            </w:pPr>
            <w:r>
              <w:t>0.84</w:t>
            </w:r>
          </w:p>
        </w:tc>
        <w:tc>
          <w:tcPr>
            <w:tcW w:w="318" w:type="pct"/>
            <w:shd w:val="clear" w:color="auto" w:fill="auto"/>
            <w:tcMar>
              <w:top w:w="15" w:type="dxa"/>
              <w:left w:w="15" w:type="dxa"/>
              <w:bottom w:w="0" w:type="dxa"/>
              <w:right w:w="15" w:type="dxa"/>
            </w:tcMar>
            <w:vAlign w:val="center"/>
          </w:tcPr>
          <w:p w14:paraId="17095336" w14:textId="77777777" w:rsidR="002E474C" w:rsidRDefault="00000000">
            <w:pPr>
              <w:pStyle w:val="A-"/>
            </w:pPr>
            <w:r>
              <w:t>211</w:t>
            </w:r>
          </w:p>
        </w:tc>
        <w:tc>
          <w:tcPr>
            <w:tcW w:w="318" w:type="pct"/>
            <w:shd w:val="clear" w:color="auto" w:fill="auto"/>
            <w:tcMar>
              <w:top w:w="15" w:type="dxa"/>
              <w:left w:w="15" w:type="dxa"/>
              <w:bottom w:w="0" w:type="dxa"/>
              <w:right w:w="15" w:type="dxa"/>
            </w:tcMar>
            <w:vAlign w:val="center"/>
          </w:tcPr>
          <w:p w14:paraId="5BC9F9BC" w14:textId="77777777" w:rsidR="002E474C" w:rsidRDefault="00000000">
            <w:pPr>
              <w:pStyle w:val="A-"/>
            </w:pPr>
            <w:r>
              <w:t>0.84</w:t>
            </w:r>
          </w:p>
        </w:tc>
        <w:tc>
          <w:tcPr>
            <w:tcW w:w="318" w:type="pct"/>
            <w:shd w:val="clear" w:color="auto" w:fill="auto"/>
            <w:tcMar>
              <w:top w:w="15" w:type="dxa"/>
              <w:left w:w="15" w:type="dxa"/>
              <w:bottom w:w="0" w:type="dxa"/>
              <w:right w:w="15" w:type="dxa"/>
            </w:tcMar>
            <w:vAlign w:val="center"/>
          </w:tcPr>
          <w:p w14:paraId="6E7E8732" w14:textId="77777777" w:rsidR="002E474C" w:rsidRDefault="00000000">
            <w:pPr>
              <w:pStyle w:val="A-"/>
            </w:pPr>
            <w:r>
              <w:t>195</w:t>
            </w:r>
          </w:p>
        </w:tc>
        <w:tc>
          <w:tcPr>
            <w:tcW w:w="318" w:type="pct"/>
            <w:shd w:val="clear" w:color="auto" w:fill="auto"/>
            <w:tcMar>
              <w:top w:w="15" w:type="dxa"/>
              <w:left w:w="15" w:type="dxa"/>
              <w:bottom w:w="0" w:type="dxa"/>
              <w:right w:w="15" w:type="dxa"/>
            </w:tcMar>
            <w:vAlign w:val="center"/>
          </w:tcPr>
          <w:p w14:paraId="07158A92" w14:textId="77777777" w:rsidR="002E474C" w:rsidRDefault="00000000">
            <w:pPr>
              <w:pStyle w:val="A-"/>
            </w:pPr>
            <w:r>
              <w:t>0.78</w:t>
            </w:r>
          </w:p>
        </w:tc>
        <w:tc>
          <w:tcPr>
            <w:tcW w:w="318" w:type="pct"/>
            <w:shd w:val="clear" w:color="auto" w:fill="auto"/>
            <w:tcMar>
              <w:top w:w="15" w:type="dxa"/>
              <w:left w:w="15" w:type="dxa"/>
              <w:bottom w:w="0" w:type="dxa"/>
              <w:right w:w="15" w:type="dxa"/>
            </w:tcMar>
            <w:vAlign w:val="center"/>
          </w:tcPr>
          <w:p w14:paraId="6071AAD3" w14:textId="77777777" w:rsidR="002E474C" w:rsidRDefault="00000000">
            <w:pPr>
              <w:pStyle w:val="A-"/>
            </w:pPr>
            <w:r>
              <w:t>135</w:t>
            </w:r>
          </w:p>
        </w:tc>
        <w:tc>
          <w:tcPr>
            <w:tcW w:w="325" w:type="pct"/>
            <w:shd w:val="clear" w:color="auto" w:fill="auto"/>
            <w:tcMar>
              <w:top w:w="15" w:type="dxa"/>
              <w:left w:w="15" w:type="dxa"/>
              <w:bottom w:w="0" w:type="dxa"/>
              <w:right w:w="15" w:type="dxa"/>
            </w:tcMar>
            <w:vAlign w:val="center"/>
          </w:tcPr>
          <w:p w14:paraId="03B34BCE" w14:textId="77777777" w:rsidR="002E474C" w:rsidRDefault="00000000">
            <w:pPr>
              <w:pStyle w:val="A-"/>
            </w:pPr>
            <w:r>
              <w:t>0.54</w:t>
            </w:r>
          </w:p>
        </w:tc>
        <w:tc>
          <w:tcPr>
            <w:tcW w:w="318" w:type="pct"/>
            <w:shd w:val="clear" w:color="auto" w:fill="auto"/>
            <w:tcMar>
              <w:top w:w="15" w:type="dxa"/>
              <w:left w:w="15" w:type="dxa"/>
              <w:bottom w:w="0" w:type="dxa"/>
              <w:right w:w="15" w:type="dxa"/>
            </w:tcMar>
            <w:vAlign w:val="center"/>
          </w:tcPr>
          <w:p w14:paraId="106FC793" w14:textId="77777777" w:rsidR="002E474C" w:rsidRDefault="00000000">
            <w:pPr>
              <w:pStyle w:val="A-"/>
            </w:pPr>
            <w:r>
              <w:t>109</w:t>
            </w:r>
          </w:p>
        </w:tc>
        <w:tc>
          <w:tcPr>
            <w:tcW w:w="324" w:type="pct"/>
            <w:shd w:val="clear" w:color="auto" w:fill="auto"/>
            <w:tcMar>
              <w:top w:w="15" w:type="dxa"/>
              <w:left w:w="15" w:type="dxa"/>
              <w:bottom w:w="0" w:type="dxa"/>
              <w:right w:w="15" w:type="dxa"/>
            </w:tcMar>
            <w:vAlign w:val="center"/>
          </w:tcPr>
          <w:p w14:paraId="2B480C8C" w14:textId="77777777" w:rsidR="002E474C" w:rsidRDefault="00000000">
            <w:pPr>
              <w:pStyle w:val="A-"/>
            </w:pPr>
            <w:r>
              <w:t>0.44</w:t>
            </w:r>
          </w:p>
        </w:tc>
        <w:tc>
          <w:tcPr>
            <w:tcW w:w="576" w:type="pct"/>
            <w:shd w:val="clear" w:color="auto" w:fill="auto"/>
            <w:tcMar>
              <w:top w:w="15" w:type="dxa"/>
              <w:left w:w="15" w:type="dxa"/>
              <w:bottom w:w="0" w:type="dxa"/>
              <w:right w:w="15" w:type="dxa"/>
            </w:tcMar>
            <w:vAlign w:val="center"/>
          </w:tcPr>
          <w:p w14:paraId="06162EE7" w14:textId="77777777" w:rsidR="002E474C" w:rsidRDefault="00000000">
            <w:pPr>
              <w:pStyle w:val="A-"/>
            </w:pPr>
            <w:r>
              <w:t>≤250mg/L</w:t>
            </w:r>
          </w:p>
        </w:tc>
      </w:tr>
      <w:tr w:rsidR="002E474C" w14:paraId="5543018C" w14:textId="77777777">
        <w:tc>
          <w:tcPr>
            <w:tcW w:w="720" w:type="pct"/>
            <w:shd w:val="clear" w:color="auto" w:fill="auto"/>
            <w:tcMar>
              <w:top w:w="15" w:type="dxa"/>
              <w:left w:w="15" w:type="dxa"/>
              <w:bottom w:w="0" w:type="dxa"/>
              <w:right w:w="15" w:type="dxa"/>
            </w:tcMar>
            <w:vAlign w:val="center"/>
          </w:tcPr>
          <w:p w14:paraId="7D28030A" w14:textId="77777777" w:rsidR="002E474C" w:rsidRDefault="00000000">
            <w:pPr>
              <w:pStyle w:val="A-"/>
            </w:pPr>
            <w:r>
              <w:t>氟化物</w:t>
            </w:r>
          </w:p>
        </w:tc>
        <w:tc>
          <w:tcPr>
            <w:tcW w:w="437" w:type="pct"/>
            <w:shd w:val="clear" w:color="auto" w:fill="auto"/>
            <w:tcMar>
              <w:top w:w="15" w:type="dxa"/>
              <w:left w:w="15" w:type="dxa"/>
              <w:bottom w:w="0" w:type="dxa"/>
              <w:right w:w="15" w:type="dxa"/>
            </w:tcMar>
            <w:vAlign w:val="center"/>
          </w:tcPr>
          <w:p w14:paraId="0309823C"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1ED5E4FB" w14:textId="77777777" w:rsidR="002E474C" w:rsidRDefault="00000000">
            <w:pPr>
              <w:pStyle w:val="A-"/>
            </w:pPr>
            <w:r>
              <w:t>0.26</w:t>
            </w:r>
          </w:p>
        </w:tc>
        <w:tc>
          <w:tcPr>
            <w:tcW w:w="353" w:type="pct"/>
            <w:shd w:val="clear" w:color="auto" w:fill="auto"/>
            <w:tcMar>
              <w:top w:w="15" w:type="dxa"/>
              <w:left w:w="15" w:type="dxa"/>
              <w:bottom w:w="0" w:type="dxa"/>
              <w:right w:w="15" w:type="dxa"/>
            </w:tcMar>
            <w:vAlign w:val="center"/>
          </w:tcPr>
          <w:p w14:paraId="0EBE38F8" w14:textId="77777777" w:rsidR="002E474C" w:rsidRDefault="00000000">
            <w:pPr>
              <w:pStyle w:val="A-"/>
            </w:pPr>
            <w:r>
              <w:t>0.26</w:t>
            </w:r>
          </w:p>
        </w:tc>
        <w:tc>
          <w:tcPr>
            <w:tcW w:w="318" w:type="pct"/>
            <w:shd w:val="clear" w:color="auto" w:fill="auto"/>
            <w:tcMar>
              <w:top w:w="15" w:type="dxa"/>
              <w:left w:w="15" w:type="dxa"/>
              <w:bottom w:w="0" w:type="dxa"/>
              <w:right w:w="15" w:type="dxa"/>
            </w:tcMar>
            <w:vAlign w:val="center"/>
          </w:tcPr>
          <w:p w14:paraId="329C4D06" w14:textId="77777777" w:rsidR="002E474C" w:rsidRDefault="00000000">
            <w:pPr>
              <w:pStyle w:val="A-"/>
            </w:pPr>
            <w:r>
              <w:t>0.25</w:t>
            </w:r>
          </w:p>
        </w:tc>
        <w:tc>
          <w:tcPr>
            <w:tcW w:w="318" w:type="pct"/>
            <w:shd w:val="clear" w:color="auto" w:fill="auto"/>
            <w:tcMar>
              <w:top w:w="15" w:type="dxa"/>
              <w:left w:w="15" w:type="dxa"/>
              <w:bottom w:w="0" w:type="dxa"/>
              <w:right w:w="15" w:type="dxa"/>
            </w:tcMar>
            <w:vAlign w:val="center"/>
          </w:tcPr>
          <w:p w14:paraId="3143AB3C" w14:textId="77777777" w:rsidR="002E474C" w:rsidRDefault="00000000">
            <w:pPr>
              <w:pStyle w:val="A-"/>
            </w:pPr>
            <w:r>
              <w:t>0.25</w:t>
            </w:r>
          </w:p>
        </w:tc>
        <w:tc>
          <w:tcPr>
            <w:tcW w:w="318" w:type="pct"/>
            <w:shd w:val="clear" w:color="auto" w:fill="auto"/>
            <w:tcMar>
              <w:top w:w="15" w:type="dxa"/>
              <w:left w:w="15" w:type="dxa"/>
              <w:bottom w:w="0" w:type="dxa"/>
              <w:right w:w="15" w:type="dxa"/>
            </w:tcMar>
            <w:vAlign w:val="center"/>
          </w:tcPr>
          <w:p w14:paraId="0C0CDE4A" w14:textId="77777777" w:rsidR="002E474C" w:rsidRDefault="00000000">
            <w:pPr>
              <w:pStyle w:val="A-"/>
            </w:pPr>
            <w:r>
              <w:t>0.23</w:t>
            </w:r>
          </w:p>
        </w:tc>
        <w:tc>
          <w:tcPr>
            <w:tcW w:w="318" w:type="pct"/>
            <w:shd w:val="clear" w:color="auto" w:fill="auto"/>
            <w:tcMar>
              <w:top w:w="15" w:type="dxa"/>
              <w:left w:w="15" w:type="dxa"/>
              <w:bottom w:w="0" w:type="dxa"/>
              <w:right w:w="15" w:type="dxa"/>
            </w:tcMar>
            <w:vAlign w:val="center"/>
          </w:tcPr>
          <w:p w14:paraId="64B866EA" w14:textId="77777777" w:rsidR="002E474C" w:rsidRDefault="00000000">
            <w:pPr>
              <w:pStyle w:val="A-"/>
            </w:pPr>
            <w:r>
              <w:t>0.23</w:t>
            </w:r>
          </w:p>
        </w:tc>
        <w:tc>
          <w:tcPr>
            <w:tcW w:w="318" w:type="pct"/>
            <w:shd w:val="clear" w:color="auto" w:fill="auto"/>
            <w:tcMar>
              <w:top w:w="15" w:type="dxa"/>
              <w:left w:w="15" w:type="dxa"/>
              <w:bottom w:w="0" w:type="dxa"/>
              <w:right w:w="15" w:type="dxa"/>
            </w:tcMar>
            <w:vAlign w:val="center"/>
          </w:tcPr>
          <w:p w14:paraId="11511B64" w14:textId="77777777" w:rsidR="002E474C" w:rsidRDefault="00000000">
            <w:pPr>
              <w:pStyle w:val="A-"/>
            </w:pPr>
            <w:r>
              <w:t>0.261</w:t>
            </w:r>
          </w:p>
        </w:tc>
        <w:tc>
          <w:tcPr>
            <w:tcW w:w="325" w:type="pct"/>
            <w:shd w:val="clear" w:color="auto" w:fill="auto"/>
            <w:tcMar>
              <w:top w:w="15" w:type="dxa"/>
              <w:left w:w="15" w:type="dxa"/>
              <w:bottom w:w="0" w:type="dxa"/>
              <w:right w:w="15" w:type="dxa"/>
            </w:tcMar>
            <w:vAlign w:val="center"/>
          </w:tcPr>
          <w:p w14:paraId="6F9492E2" w14:textId="77777777" w:rsidR="002E474C" w:rsidRDefault="00000000">
            <w:pPr>
              <w:pStyle w:val="A-"/>
            </w:pPr>
            <w:r>
              <w:t>0.26</w:t>
            </w:r>
          </w:p>
        </w:tc>
        <w:tc>
          <w:tcPr>
            <w:tcW w:w="318" w:type="pct"/>
            <w:shd w:val="clear" w:color="auto" w:fill="auto"/>
            <w:tcMar>
              <w:top w:w="15" w:type="dxa"/>
              <w:left w:w="15" w:type="dxa"/>
              <w:bottom w:w="0" w:type="dxa"/>
              <w:right w:w="15" w:type="dxa"/>
            </w:tcMar>
            <w:vAlign w:val="center"/>
          </w:tcPr>
          <w:p w14:paraId="31D3D3DA" w14:textId="77777777" w:rsidR="002E474C" w:rsidRDefault="00000000">
            <w:pPr>
              <w:pStyle w:val="A-"/>
            </w:pPr>
            <w:r>
              <w:t>0.228</w:t>
            </w:r>
          </w:p>
        </w:tc>
        <w:tc>
          <w:tcPr>
            <w:tcW w:w="324" w:type="pct"/>
            <w:shd w:val="clear" w:color="auto" w:fill="auto"/>
            <w:tcMar>
              <w:top w:w="15" w:type="dxa"/>
              <w:left w:w="15" w:type="dxa"/>
              <w:bottom w:w="0" w:type="dxa"/>
              <w:right w:w="15" w:type="dxa"/>
            </w:tcMar>
            <w:vAlign w:val="center"/>
          </w:tcPr>
          <w:p w14:paraId="26730D77" w14:textId="77777777" w:rsidR="002E474C" w:rsidRDefault="00000000">
            <w:pPr>
              <w:pStyle w:val="A-"/>
            </w:pPr>
            <w:r>
              <w:t>0.23</w:t>
            </w:r>
          </w:p>
        </w:tc>
        <w:tc>
          <w:tcPr>
            <w:tcW w:w="576" w:type="pct"/>
            <w:shd w:val="clear" w:color="auto" w:fill="auto"/>
            <w:tcMar>
              <w:top w:w="15" w:type="dxa"/>
              <w:left w:w="15" w:type="dxa"/>
              <w:bottom w:w="0" w:type="dxa"/>
              <w:right w:w="15" w:type="dxa"/>
            </w:tcMar>
            <w:vAlign w:val="center"/>
          </w:tcPr>
          <w:p w14:paraId="26D85BB5" w14:textId="77777777" w:rsidR="002E474C" w:rsidRDefault="00000000">
            <w:pPr>
              <w:pStyle w:val="A-"/>
            </w:pPr>
            <w:r>
              <w:t>≤1.0mg/L</w:t>
            </w:r>
          </w:p>
        </w:tc>
      </w:tr>
      <w:tr w:rsidR="002E474C" w14:paraId="59B9C7A2" w14:textId="77777777">
        <w:tc>
          <w:tcPr>
            <w:tcW w:w="720" w:type="pct"/>
            <w:shd w:val="clear" w:color="auto" w:fill="auto"/>
            <w:tcMar>
              <w:top w:w="15" w:type="dxa"/>
              <w:left w:w="15" w:type="dxa"/>
              <w:bottom w:w="0" w:type="dxa"/>
              <w:right w:w="15" w:type="dxa"/>
            </w:tcMar>
            <w:vAlign w:val="center"/>
          </w:tcPr>
          <w:p w14:paraId="069F4D0D" w14:textId="77777777" w:rsidR="002E474C" w:rsidRDefault="00000000">
            <w:pPr>
              <w:pStyle w:val="A-"/>
            </w:pPr>
            <w:r>
              <w:t>氰化物</w:t>
            </w:r>
          </w:p>
        </w:tc>
        <w:tc>
          <w:tcPr>
            <w:tcW w:w="437" w:type="pct"/>
            <w:shd w:val="clear" w:color="auto" w:fill="auto"/>
            <w:tcMar>
              <w:top w:w="15" w:type="dxa"/>
              <w:left w:w="15" w:type="dxa"/>
              <w:bottom w:w="0" w:type="dxa"/>
              <w:right w:w="15" w:type="dxa"/>
            </w:tcMar>
            <w:vAlign w:val="center"/>
          </w:tcPr>
          <w:p w14:paraId="285BA27F"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5E75B382" w14:textId="77777777" w:rsidR="002E474C" w:rsidRDefault="00000000">
            <w:pPr>
              <w:pStyle w:val="A-"/>
              <w:rPr>
                <w:rFonts w:eastAsia="等线"/>
              </w:rPr>
            </w:pPr>
            <w:r>
              <w:rPr>
                <w:rFonts w:eastAsia="等线"/>
              </w:rPr>
              <w:t>&lt;</w:t>
            </w:r>
            <w:r>
              <w:t>0.002</w:t>
            </w:r>
          </w:p>
        </w:tc>
        <w:tc>
          <w:tcPr>
            <w:tcW w:w="353" w:type="pct"/>
            <w:shd w:val="clear" w:color="auto" w:fill="auto"/>
            <w:tcMar>
              <w:top w:w="15" w:type="dxa"/>
              <w:left w:w="15" w:type="dxa"/>
              <w:bottom w:w="0" w:type="dxa"/>
              <w:right w:w="15" w:type="dxa"/>
            </w:tcMar>
            <w:vAlign w:val="center"/>
          </w:tcPr>
          <w:p w14:paraId="6474661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07DF884" w14:textId="77777777" w:rsidR="002E474C" w:rsidRDefault="00000000">
            <w:pPr>
              <w:pStyle w:val="A-"/>
              <w:rPr>
                <w:rFonts w:eastAsia="等线"/>
              </w:rPr>
            </w:pPr>
            <w:r>
              <w:rPr>
                <w:rFonts w:eastAsia="等线"/>
              </w:rPr>
              <w:t>&lt;</w:t>
            </w:r>
            <w:r>
              <w:t>0.002</w:t>
            </w:r>
          </w:p>
        </w:tc>
        <w:tc>
          <w:tcPr>
            <w:tcW w:w="318" w:type="pct"/>
            <w:shd w:val="clear" w:color="auto" w:fill="auto"/>
            <w:tcMar>
              <w:top w:w="15" w:type="dxa"/>
              <w:left w:w="15" w:type="dxa"/>
              <w:bottom w:w="0" w:type="dxa"/>
              <w:right w:w="15" w:type="dxa"/>
            </w:tcMar>
            <w:vAlign w:val="center"/>
          </w:tcPr>
          <w:p w14:paraId="5BB3D09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1C554B1B" w14:textId="77777777" w:rsidR="002E474C" w:rsidRDefault="00000000">
            <w:pPr>
              <w:pStyle w:val="A-"/>
              <w:rPr>
                <w:rFonts w:eastAsia="等线"/>
              </w:rPr>
            </w:pPr>
            <w:r>
              <w:rPr>
                <w:rFonts w:eastAsia="等线"/>
              </w:rPr>
              <w:t>&lt;</w:t>
            </w:r>
            <w:r>
              <w:t>0.002</w:t>
            </w:r>
          </w:p>
        </w:tc>
        <w:tc>
          <w:tcPr>
            <w:tcW w:w="318" w:type="pct"/>
            <w:shd w:val="clear" w:color="auto" w:fill="auto"/>
            <w:tcMar>
              <w:top w:w="15" w:type="dxa"/>
              <w:left w:w="15" w:type="dxa"/>
              <w:bottom w:w="0" w:type="dxa"/>
              <w:right w:w="15" w:type="dxa"/>
            </w:tcMar>
            <w:vAlign w:val="center"/>
          </w:tcPr>
          <w:p w14:paraId="0F2F0B0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1AC6B235" w14:textId="77777777" w:rsidR="002E474C" w:rsidRDefault="00000000">
            <w:pPr>
              <w:pStyle w:val="A-"/>
              <w:rPr>
                <w:rFonts w:eastAsia="等线"/>
              </w:rPr>
            </w:pPr>
            <w:r>
              <w:rPr>
                <w:rFonts w:eastAsia="等线"/>
              </w:rPr>
              <w:t>&lt;</w:t>
            </w:r>
            <w:r>
              <w:t>0.002</w:t>
            </w:r>
          </w:p>
        </w:tc>
        <w:tc>
          <w:tcPr>
            <w:tcW w:w="325" w:type="pct"/>
            <w:shd w:val="clear" w:color="auto" w:fill="auto"/>
            <w:tcMar>
              <w:top w:w="15" w:type="dxa"/>
              <w:left w:w="15" w:type="dxa"/>
              <w:bottom w:w="0" w:type="dxa"/>
              <w:right w:w="15" w:type="dxa"/>
            </w:tcMar>
            <w:vAlign w:val="center"/>
          </w:tcPr>
          <w:p w14:paraId="53AF6A9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B997D80" w14:textId="77777777" w:rsidR="002E474C" w:rsidRDefault="00000000">
            <w:pPr>
              <w:pStyle w:val="A-"/>
              <w:rPr>
                <w:rFonts w:eastAsia="等线"/>
              </w:rPr>
            </w:pPr>
            <w:r>
              <w:rPr>
                <w:rFonts w:eastAsia="等线"/>
              </w:rPr>
              <w:t>&lt;</w:t>
            </w:r>
            <w:r>
              <w:t>0.002</w:t>
            </w:r>
          </w:p>
        </w:tc>
        <w:tc>
          <w:tcPr>
            <w:tcW w:w="324" w:type="pct"/>
            <w:shd w:val="clear" w:color="auto" w:fill="auto"/>
            <w:tcMar>
              <w:top w:w="15" w:type="dxa"/>
              <w:left w:w="15" w:type="dxa"/>
              <w:bottom w:w="0" w:type="dxa"/>
              <w:right w:w="15" w:type="dxa"/>
            </w:tcMar>
            <w:vAlign w:val="center"/>
          </w:tcPr>
          <w:p w14:paraId="1A704C07"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12168AE" w14:textId="77777777" w:rsidR="002E474C" w:rsidRDefault="00000000">
            <w:pPr>
              <w:pStyle w:val="A-"/>
            </w:pPr>
            <w:r>
              <w:t>≤0.05mg/L</w:t>
            </w:r>
          </w:p>
        </w:tc>
      </w:tr>
      <w:tr w:rsidR="002E474C" w14:paraId="76F0D101" w14:textId="77777777">
        <w:tc>
          <w:tcPr>
            <w:tcW w:w="720" w:type="pct"/>
            <w:shd w:val="clear" w:color="auto" w:fill="auto"/>
            <w:tcMar>
              <w:top w:w="15" w:type="dxa"/>
              <w:left w:w="15" w:type="dxa"/>
              <w:bottom w:w="0" w:type="dxa"/>
              <w:right w:w="15" w:type="dxa"/>
            </w:tcMar>
            <w:vAlign w:val="center"/>
          </w:tcPr>
          <w:p w14:paraId="472C6552" w14:textId="77777777" w:rsidR="002E474C" w:rsidRDefault="00000000">
            <w:pPr>
              <w:pStyle w:val="A-"/>
            </w:pPr>
            <w:r>
              <w:t>挥发酚</w:t>
            </w:r>
          </w:p>
        </w:tc>
        <w:tc>
          <w:tcPr>
            <w:tcW w:w="437" w:type="pct"/>
            <w:shd w:val="clear" w:color="auto" w:fill="auto"/>
            <w:tcMar>
              <w:top w:w="15" w:type="dxa"/>
              <w:left w:w="15" w:type="dxa"/>
              <w:bottom w:w="0" w:type="dxa"/>
              <w:right w:w="15" w:type="dxa"/>
            </w:tcMar>
            <w:vAlign w:val="center"/>
          </w:tcPr>
          <w:p w14:paraId="0D37E1F8"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33E49F24" w14:textId="77777777" w:rsidR="002E474C" w:rsidRDefault="00000000">
            <w:pPr>
              <w:pStyle w:val="A-"/>
            </w:pPr>
            <w:r>
              <w:t>&lt;0.0003</w:t>
            </w:r>
          </w:p>
        </w:tc>
        <w:tc>
          <w:tcPr>
            <w:tcW w:w="353" w:type="pct"/>
            <w:shd w:val="clear" w:color="auto" w:fill="auto"/>
            <w:tcMar>
              <w:top w:w="15" w:type="dxa"/>
              <w:left w:w="15" w:type="dxa"/>
              <w:bottom w:w="0" w:type="dxa"/>
              <w:right w:w="15" w:type="dxa"/>
            </w:tcMar>
            <w:vAlign w:val="center"/>
          </w:tcPr>
          <w:p w14:paraId="64B9FCD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E24EED6" w14:textId="77777777" w:rsidR="002E474C" w:rsidRDefault="00000000">
            <w:pPr>
              <w:pStyle w:val="A-"/>
            </w:pPr>
            <w:r>
              <w:t>&lt;0.0003</w:t>
            </w:r>
          </w:p>
        </w:tc>
        <w:tc>
          <w:tcPr>
            <w:tcW w:w="318" w:type="pct"/>
            <w:shd w:val="clear" w:color="auto" w:fill="auto"/>
            <w:tcMar>
              <w:top w:w="15" w:type="dxa"/>
              <w:left w:w="15" w:type="dxa"/>
              <w:bottom w:w="0" w:type="dxa"/>
              <w:right w:w="15" w:type="dxa"/>
            </w:tcMar>
            <w:vAlign w:val="center"/>
          </w:tcPr>
          <w:p w14:paraId="79EB6CD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7BA8F67" w14:textId="77777777" w:rsidR="002E474C" w:rsidRDefault="00000000">
            <w:pPr>
              <w:pStyle w:val="A-"/>
            </w:pPr>
            <w:r>
              <w:t>&lt;0.0003</w:t>
            </w:r>
          </w:p>
        </w:tc>
        <w:tc>
          <w:tcPr>
            <w:tcW w:w="318" w:type="pct"/>
            <w:shd w:val="clear" w:color="auto" w:fill="auto"/>
            <w:tcMar>
              <w:top w:w="15" w:type="dxa"/>
              <w:left w:w="15" w:type="dxa"/>
              <w:bottom w:w="0" w:type="dxa"/>
              <w:right w:w="15" w:type="dxa"/>
            </w:tcMar>
            <w:vAlign w:val="center"/>
          </w:tcPr>
          <w:p w14:paraId="2B1C377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48889EC" w14:textId="77777777" w:rsidR="002E474C" w:rsidRDefault="00000000">
            <w:pPr>
              <w:pStyle w:val="A-"/>
            </w:pPr>
            <w:r>
              <w:t>&lt;0.0003</w:t>
            </w:r>
          </w:p>
        </w:tc>
        <w:tc>
          <w:tcPr>
            <w:tcW w:w="325" w:type="pct"/>
            <w:shd w:val="clear" w:color="auto" w:fill="auto"/>
            <w:tcMar>
              <w:top w:w="15" w:type="dxa"/>
              <w:left w:w="15" w:type="dxa"/>
              <w:bottom w:w="0" w:type="dxa"/>
              <w:right w:w="15" w:type="dxa"/>
            </w:tcMar>
            <w:vAlign w:val="center"/>
          </w:tcPr>
          <w:p w14:paraId="35201DB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C1FEBFD" w14:textId="77777777" w:rsidR="002E474C" w:rsidRDefault="00000000">
            <w:pPr>
              <w:pStyle w:val="A-"/>
            </w:pPr>
            <w:r>
              <w:t>&lt;0.0003</w:t>
            </w:r>
          </w:p>
        </w:tc>
        <w:tc>
          <w:tcPr>
            <w:tcW w:w="324" w:type="pct"/>
            <w:shd w:val="clear" w:color="auto" w:fill="auto"/>
            <w:tcMar>
              <w:top w:w="15" w:type="dxa"/>
              <w:left w:w="15" w:type="dxa"/>
              <w:bottom w:w="0" w:type="dxa"/>
              <w:right w:w="15" w:type="dxa"/>
            </w:tcMar>
            <w:vAlign w:val="center"/>
          </w:tcPr>
          <w:p w14:paraId="5FAD16D5"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0E51E5FD" w14:textId="77777777" w:rsidR="002E474C" w:rsidRDefault="00000000">
            <w:pPr>
              <w:pStyle w:val="A-"/>
            </w:pPr>
            <w:r>
              <w:t>≤0.002mg/L</w:t>
            </w:r>
          </w:p>
        </w:tc>
      </w:tr>
      <w:tr w:rsidR="002E474C" w14:paraId="0B410A5A" w14:textId="77777777">
        <w:tc>
          <w:tcPr>
            <w:tcW w:w="720" w:type="pct"/>
            <w:shd w:val="clear" w:color="auto" w:fill="auto"/>
            <w:tcMar>
              <w:top w:w="15" w:type="dxa"/>
              <w:left w:w="15" w:type="dxa"/>
              <w:bottom w:w="0" w:type="dxa"/>
              <w:right w:w="15" w:type="dxa"/>
            </w:tcMar>
            <w:vAlign w:val="center"/>
          </w:tcPr>
          <w:p w14:paraId="0F8F191D" w14:textId="77777777" w:rsidR="002E474C" w:rsidRDefault="00000000">
            <w:pPr>
              <w:pStyle w:val="A-"/>
            </w:pPr>
            <w:r>
              <w:t>镉</w:t>
            </w:r>
          </w:p>
        </w:tc>
        <w:tc>
          <w:tcPr>
            <w:tcW w:w="437" w:type="pct"/>
            <w:shd w:val="clear" w:color="auto" w:fill="auto"/>
            <w:tcMar>
              <w:top w:w="15" w:type="dxa"/>
              <w:left w:w="15" w:type="dxa"/>
              <w:bottom w:w="0" w:type="dxa"/>
              <w:right w:w="15" w:type="dxa"/>
            </w:tcMar>
            <w:vAlign w:val="center"/>
          </w:tcPr>
          <w:p w14:paraId="7FC329D9"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7D29727F" w14:textId="77777777" w:rsidR="002E474C" w:rsidRDefault="00000000">
            <w:pPr>
              <w:pStyle w:val="A-"/>
            </w:pPr>
            <w:r>
              <w:t>&lt;0.00005</w:t>
            </w:r>
          </w:p>
        </w:tc>
        <w:tc>
          <w:tcPr>
            <w:tcW w:w="353" w:type="pct"/>
            <w:shd w:val="clear" w:color="auto" w:fill="auto"/>
            <w:tcMar>
              <w:top w:w="15" w:type="dxa"/>
              <w:left w:w="15" w:type="dxa"/>
              <w:bottom w:w="0" w:type="dxa"/>
              <w:right w:w="15" w:type="dxa"/>
            </w:tcMar>
            <w:vAlign w:val="center"/>
          </w:tcPr>
          <w:p w14:paraId="3A1A7E5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56D30A9" w14:textId="77777777" w:rsidR="002E474C" w:rsidRDefault="00000000">
            <w:pPr>
              <w:pStyle w:val="A-"/>
            </w:pPr>
            <w:r>
              <w:t>&lt;0.00005</w:t>
            </w:r>
          </w:p>
        </w:tc>
        <w:tc>
          <w:tcPr>
            <w:tcW w:w="318" w:type="pct"/>
            <w:shd w:val="clear" w:color="auto" w:fill="auto"/>
            <w:tcMar>
              <w:top w:w="15" w:type="dxa"/>
              <w:left w:w="15" w:type="dxa"/>
              <w:bottom w:w="0" w:type="dxa"/>
              <w:right w:w="15" w:type="dxa"/>
            </w:tcMar>
            <w:vAlign w:val="center"/>
          </w:tcPr>
          <w:p w14:paraId="68F09C8F"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1B2F9A1" w14:textId="77777777" w:rsidR="002E474C" w:rsidRDefault="00000000">
            <w:pPr>
              <w:pStyle w:val="A-"/>
            </w:pPr>
            <w:r>
              <w:t>&lt;0.00005</w:t>
            </w:r>
          </w:p>
        </w:tc>
        <w:tc>
          <w:tcPr>
            <w:tcW w:w="318" w:type="pct"/>
            <w:shd w:val="clear" w:color="auto" w:fill="auto"/>
            <w:tcMar>
              <w:top w:w="15" w:type="dxa"/>
              <w:left w:w="15" w:type="dxa"/>
              <w:bottom w:w="0" w:type="dxa"/>
              <w:right w:w="15" w:type="dxa"/>
            </w:tcMar>
            <w:vAlign w:val="center"/>
          </w:tcPr>
          <w:p w14:paraId="7A1F93F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87C5BF3" w14:textId="77777777" w:rsidR="002E474C" w:rsidRDefault="00000000">
            <w:pPr>
              <w:pStyle w:val="A-"/>
            </w:pPr>
            <w:r>
              <w:t>&lt;0.00005</w:t>
            </w:r>
          </w:p>
        </w:tc>
        <w:tc>
          <w:tcPr>
            <w:tcW w:w="325" w:type="pct"/>
            <w:shd w:val="clear" w:color="auto" w:fill="auto"/>
            <w:tcMar>
              <w:top w:w="15" w:type="dxa"/>
              <w:left w:w="15" w:type="dxa"/>
              <w:bottom w:w="0" w:type="dxa"/>
              <w:right w:w="15" w:type="dxa"/>
            </w:tcMar>
            <w:vAlign w:val="center"/>
          </w:tcPr>
          <w:p w14:paraId="45E03E7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6C81B44" w14:textId="77777777" w:rsidR="002E474C" w:rsidRDefault="00000000">
            <w:pPr>
              <w:pStyle w:val="A-"/>
            </w:pPr>
            <w:r>
              <w:t>&lt;0.00005</w:t>
            </w:r>
          </w:p>
        </w:tc>
        <w:tc>
          <w:tcPr>
            <w:tcW w:w="324" w:type="pct"/>
            <w:shd w:val="clear" w:color="auto" w:fill="auto"/>
            <w:tcMar>
              <w:top w:w="15" w:type="dxa"/>
              <w:left w:w="15" w:type="dxa"/>
              <w:bottom w:w="0" w:type="dxa"/>
              <w:right w:w="15" w:type="dxa"/>
            </w:tcMar>
            <w:vAlign w:val="center"/>
          </w:tcPr>
          <w:p w14:paraId="05CACB9C"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4FF1D339" w14:textId="77777777" w:rsidR="002E474C" w:rsidRDefault="00000000">
            <w:pPr>
              <w:pStyle w:val="A-"/>
            </w:pPr>
            <w:r>
              <w:t>≤0.005mg/L</w:t>
            </w:r>
          </w:p>
        </w:tc>
      </w:tr>
      <w:tr w:rsidR="002E474C" w14:paraId="0DADBC9E" w14:textId="77777777">
        <w:tc>
          <w:tcPr>
            <w:tcW w:w="720" w:type="pct"/>
            <w:shd w:val="clear" w:color="auto" w:fill="auto"/>
            <w:tcMar>
              <w:top w:w="15" w:type="dxa"/>
              <w:left w:w="15" w:type="dxa"/>
              <w:bottom w:w="0" w:type="dxa"/>
              <w:right w:w="15" w:type="dxa"/>
            </w:tcMar>
            <w:vAlign w:val="center"/>
          </w:tcPr>
          <w:p w14:paraId="5936CD99" w14:textId="77777777" w:rsidR="002E474C" w:rsidRDefault="00000000">
            <w:pPr>
              <w:pStyle w:val="A-"/>
            </w:pPr>
            <w:r>
              <w:t>镍</w:t>
            </w:r>
          </w:p>
        </w:tc>
        <w:tc>
          <w:tcPr>
            <w:tcW w:w="437" w:type="pct"/>
            <w:shd w:val="clear" w:color="auto" w:fill="auto"/>
            <w:tcMar>
              <w:top w:w="15" w:type="dxa"/>
              <w:left w:w="15" w:type="dxa"/>
              <w:bottom w:w="0" w:type="dxa"/>
              <w:right w:w="15" w:type="dxa"/>
            </w:tcMar>
            <w:vAlign w:val="center"/>
          </w:tcPr>
          <w:p w14:paraId="267A5B8C"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3F16D217" w14:textId="77777777" w:rsidR="002E474C" w:rsidRDefault="00000000">
            <w:pPr>
              <w:pStyle w:val="A-"/>
            </w:pPr>
            <w:r>
              <w:t>&lt;0.010</w:t>
            </w:r>
          </w:p>
        </w:tc>
        <w:tc>
          <w:tcPr>
            <w:tcW w:w="353" w:type="pct"/>
            <w:shd w:val="clear" w:color="auto" w:fill="auto"/>
            <w:tcMar>
              <w:top w:w="15" w:type="dxa"/>
              <w:left w:w="15" w:type="dxa"/>
              <w:bottom w:w="0" w:type="dxa"/>
              <w:right w:w="15" w:type="dxa"/>
            </w:tcMar>
            <w:vAlign w:val="center"/>
          </w:tcPr>
          <w:p w14:paraId="69869A1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BD2471C" w14:textId="77777777" w:rsidR="002E474C" w:rsidRDefault="00000000">
            <w:pPr>
              <w:pStyle w:val="A-"/>
            </w:pPr>
            <w:r>
              <w:t>&lt;0.010</w:t>
            </w:r>
          </w:p>
        </w:tc>
        <w:tc>
          <w:tcPr>
            <w:tcW w:w="318" w:type="pct"/>
            <w:shd w:val="clear" w:color="auto" w:fill="auto"/>
            <w:tcMar>
              <w:top w:w="15" w:type="dxa"/>
              <w:left w:w="15" w:type="dxa"/>
              <w:bottom w:w="0" w:type="dxa"/>
              <w:right w:w="15" w:type="dxa"/>
            </w:tcMar>
            <w:vAlign w:val="center"/>
          </w:tcPr>
          <w:p w14:paraId="7CFEE67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9DB8532" w14:textId="77777777" w:rsidR="002E474C" w:rsidRDefault="00000000">
            <w:pPr>
              <w:pStyle w:val="A-"/>
            </w:pPr>
            <w:r>
              <w:t>&lt;0.010</w:t>
            </w:r>
          </w:p>
        </w:tc>
        <w:tc>
          <w:tcPr>
            <w:tcW w:w="318" w:type="pct"/>
            <w:shd w:val="clear" w:color="auto" w:fill="auto"/>
            <w:tcMar>
              <w:top w:w="15" w:type="dxa"/>
              <w:left w:w="15" w:type="dxa"/>
              <w:bottom w:w="0" w:type="dxa"/>
              <w:right w:w="15" w:type="dxa"/>
            </w:tcMar>
            <w:vAlign w:val="center"/>
          </w:tcPr>
          <w:p w14:paraId="5591AAA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04C9A30" w14:textId="77777777" w:rsidR="002E474C" w:rsidRDefault="00000000">
            <w:pPr>
              <w:pStyle w:val="A-"/>
            </w:pPr>
            <w:r>
              <w:t>&lt;0.010</w:t>
            </w:r>
          </w:p>
        </w:tc>
        <w:tc>
          <w:tcPr>
            <w:tcW w:w="325" w:type="pct"/>
            <w:shd w:val="clear" w:color="auto" w:fill="auto"/>
            <w:tcMar>
              <w:top w:w="15" w:type="dxa"/>
              <w:left w:w="15" w:type="dxa"/>
              <w:bottom w:w="0" w:type="dxa"/>
              <w:right w:w="15" w:type="dxa"/>
            </w:tcMar>
            <w:vAlign w:val="center"/>
          </w:tcPr>
          <w:p w14:paraId="25C4154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E703514" w14:textId="77777777" w:rsidR="002E474C" w:rsidRDefault="00000000">
            <w:pPr>
              <w:pStyle w:val="A-"/>
            </w:pPr>
            <w:r>
              <w:t>&lt;0.010</w:t>
            </w:r>
          </w:p>
        </w:tc>
        <w:tc>
          <w:tcPr>
            <w:tcW w:w="324" w:type="pct"/>
            <w:shd w:val="clear" w:color="auto" w:fill="auto"/>
            <w:tcMar>
              <w:top w:w="15" w:type="dxa"/>
              <w:left w:w="15" w:type="dxa"/>
              <w:bottom w:w="0" w:type="dxa"/>
              <w:right w:w="15" w:type="dxa"/>
            </w:tcMar>
            <w:vAlign w:val="center"/>
          </w:tcPr>
          <w:p w14:paraId="61B131A1"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5C9E6F2" w14:textId="77777777" w:rsidR="002E474C" w:rsidRDefault="00000000">
            <w:pPr>
              <w:pStyle w:val="A-"/>
            </w:pPr>
            <w:r>
              <w:t>≤0.02mg/L</w:t>
            </w:r>
          </w:p>
        </w:tc>
      </w:tr>
      <w:tr w:rsidR="002E474C" w14:paraId="1A9915C2" w14:textId="77777777">
        <w:tc>
          <w:tcPr>
            <w:tcW w:w="720" w:type="pct"/>
            <w:shd w:val="clear" w:color="auto" w:fill="auto"/>
            <w:tcMar>
              <w:top w:w="15" w:type="dxa"/>
              <w:left w:w="15" w:type="dxa"/>
              <w:bottom w:w="0" w:type="dxa"/>
              <w:right w:w="15" w:type="dxa"/>
            </w:tcMar>
            <w:vAlign w:val="center"/>
          </w:tcPr>
          <w:p w14:paraId="5D299FAF" w14:textId="77777777" w:rsidR="002E474C" w:rsidRDefault="00000000">
            <w:pPr>
              <w:pStyle w:val="A-"/>
            </w:pPr>
            <w:r>
              <w:t>碳酸根离子</w:t>
            </w:r>
          </w:p>
        </w:tc>
        <w:tc>
          <w:tcPr>
            <w:tcW w:w="437" w:type="pct"/>
            <w:shd w:val="clear" w:color="auto" w:fill="auto"/>
            <w:tcMar>
              <w:top w:w="15" w:type="dxa"/>
              <w:left w:w="15" w:type="dxa"/>
              <w:bottom w:w="0" w:type="dxa"/>
              <w:right w:w="15" w:type="dxa"/>
            </w:tcMar>
            <w:vAlign w:val="center"/>
          </w:tcPr>
          <w:p w14:paraId="20DFF5CF"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4AE5DBFE" w14:textId="77777777" w:rsidR="002E474C" w:rsidRDefault="00000000">
            <w:pPr>
              <w:pStyle w:val="A-"/>
            </w:pPr>
            <w:r>
              <w:t>0.000</w:t>
            </w:r>
          </w:p>
        </w:tc>
        <w:tc>
          <w:tcPr>
            <w:tcW w:w="353" w:type="pct"/>
            <w:shd w:val="clear" w:color="auto" w:fill="auto"/>
            <w:tcMar>
              <w:top w:w="15" w:type="dxa"/>
              <w:left w:w="15" w:type="dxa"/>
              <w:bottom w:w="0" w:type="dxa"/>
              <w:right w:w="15" w:type="dxa"/>
            </w:tcMar>
          </w:tcPr>
          <w:p w14:paraId="6F357849"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15480A0" w14:textId="77777777" w:rsidR="002E474C" w:rsidRDefault="00000000">
            <w:pPr>
              <w:pStyle w:val="A-"/>
            </w:pPr>
            <w:r>
              <w:t>0.000</w:t>
            </w:r>
          </w:p>
        </w:tc>
        <w:tc>
          <w:tcPr>
            <w:tcW w:w="318" w:type="pct"/>
            <w:shd w:val="clear" w:color="auto" w:fill="auto"/>
            <w:tcMar>
              <w:top w:w="15" w:type="dxa"/>
              <w:left w:w="15" w:type="dxa"/>
              <w:bottom w:w="0" w:type="dxa"/>
              <w:right w:w="15" w:type="dxa"/>
            </w:tcMar>
          </w:tcPr>
          <w:p w14:paraId="51D780E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379AEE1" w14:textId="77777777" w:rsidR="002E474C" w:rsidRDefault="00000000">
            <w:pPr>
              <w:pStyle w:val="A-"/>
            </w:pPr>
            <w:r>
              <w:t>0.000</w:t>
            </w:r>
          </w:p>
        </w:tc>
        <w:tc>
          <w:tcPr>
            <w:tcW w:w="318" w:type="pct"/>
            <w:shd w:val="clear" w:color="auto" w:fill="auto"/>
            <w:tcMar>
              <w:top w:w="15" w:type="dxa"/>
              <w:left w:w="15" w:type="dxa"/>
              <w:bottom w:w="0" w:type="dxa"/>
              <w:right w:w="15" w:type="dxa"/>
            </w:tcMar>
          </w:tcPr>
          <w:p w14:paraId="7E36E313"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1AB23AFA" w14:textId="77777777" w:rsidR="002E474C" w:rsidRDefault="00000000">
            <w:pPr>
              <w:pStyle w:val="A-"/>
            </w:pPr>
            <w:r>
              <w:t>0.000</w:t>
            </w:r>
          </w:p>
        </w:tc>
        <w:tc>
          <w:tcPr>
            <w:tcW w:w="325" w:type="pct"/>
            <w:shd w:val="clear" w:color="auto" w:fill="auto"/>
            <w:tcMar>
              <w:top w:w="15" w:type="dxa"/>
              <w:left w:w="15" w:type="dxa"/>
              <w:bottom w:w="0" w:type="dxa"/>
              <w:right w:w="15" w:type="dxa"/>
            </w:tcMar>
          </w:tcPr>
          <w:p w14:paraId="428D520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2909BC7" w14:textId="77777777" w:rsidR="002E474C" w:rsidRDefault="00000000">
            <w:pPr>
              <w:pStyle w:val="A-"/>
            </w:pPr>
            <w:r>
              <w:t>0.000</w:t>
            </w:r>
          </w:p>
        </w:tc>
        <w:tc>
          <w:tcPr>
            <w:tcW w:w="324" w:type="pct"/>
            <w:shd w:val="clear" w:color="auto" w:fill="auto"/>
            <w:tcMar>
              <w:top w:w="15" w:type="dxa"/>
              <w:left w:w="15" w:type="dxa"/>
              <w:bottom w:w="0" w:type="dxa"/>
              <w:right w:w="15" w:type="dxa"/>
            </w:tcMar>
          </w:tcPr>
          <w:p w14:paraId="40B4F4D7" w14:textId="77777777" w:rsidR="002E474C" w:rsidRDefault="00000000">
            <w:pPr>
              <w:pStyle w:val="A-"/>
            </w:pPr>
            <w:r>
              <w:t>/</w:t>
            </w:r>
          </w:p>
        </w:tc>
        <w:tc>
          <w:tcPr>
            <w:tcW w:w="576" w:type="pct"/>
            <w:shd w:val="clear" w:color="auto" w:fill="auto"/>
            <w:tcMar>
              <w:top w:w="15" w:type="dxa"/>
              <w:left w:w="15" w:type="dxa"/>
              <w:bottom w:w="0" w:type="dxa"/>
              <w:right w:w="15" w:type="dxa"/>
            </w:tcMar>
          </w:tcPr>
          <w:p w14:paraId="7921A3E2" w14:textId="77777777" w:rsidR="002E474C" w:rsidRDefault="00000000">
            <w:pPr>
              <w:pStyle w:val="A-"/>
            </w:pPr>
            <w:r>
              <w:t>--</w:t>
            </w:r>
          </w:p>
        </w:tc>
      </w:tr>
      <w:tr w:rsidR="002E474C" w14:paraId="047C4ED7" w14:textId="77777777">
        <w:tc>
          <w:tcPr>
            <w:tcW w:w="720" w:type="pct"/>
            <w:shd w:val="clear" w:color="auto" w:fill="auto"/>
            <w:tcMar>
              <w:top w:w="15" w:type="dxa"/>
              <w:left w:w="15" w:type="dxa"/>
              <w:bottom w:w="0" w:type="dxa"/>
              <w:right w:w="15" w:type="dxa"/>
            </w:tcMar>
            <w:vAlign w:val="center"/>
          </w:tcPr>
          <w:p w14:paraId="7DE4624E" w14:textId="77777777" w:rsidR="002E474C" w:rsidRDefault="00000000">
            <w:pPr>
              <w:pStyle w:val="A-"/>
            </w:pPr>
            <w:r>
              <w:t>碳酸氢根离子</w:t>
            </w:r>
          </w:p>
        </w:tc>
        <w:tc>
          <w:tcPr>
            <w:tcW w:w="437" w:type="pct"/>
            <w:shd w:val="clear" w:color="auto" w:fill="auto"/>
            <w:tcMar>
              <w:top w:w="15" w:type="dxa"/>
              <w:left w:w="15" w:type="dxa"/>
              <w:bottom w:w="0" w:type="dxa"/>
              <w:right w:w="15" w:type="dxa"/>
            </w:tcMar>
            <w:vAlign w:val="center"/>
          </w:tcPr>
          <w:p w14:paraId="3D9C3855"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2D29E13B" w14:textId="77777777" w:rsidR="002E474C" w:rsidRDefault="00000000">
            <w:pPr>
              <w:pStyle w:val="A-"/>
            </w:pPr>
            <w:r>
              <w:t>142</w:t>
            </w:r>
          </w:p>
        </w:tc>
        <w:tc>
          <w:tcPr>
            <w:tcW w:w="353" w:type="pct"/>
            <w:shd w:val="clear" w:color="auto" w:fill="auto"/>
            <w:tcMar>
              <w:top w:w="15" w:type="dxa"/>
              <w:left w:w="15" w:type="dxa"/>
              <w:bottom w:w="0" w:type="dxa"/>
              <w:right w:w="15" w:type="dxa"/>
            </w:tcMar>
          </w:tcPr>
          <w:p w14:paraId="3AB271C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AC45F05" w14:textId="77777777" w:rsidR="002E474C" w:rsidRDefault="00000000">
            <w:pPr>
              <w:pStyle w:val="A-"/>
            </w:pPr>
            <w:r>
              <w:t>173</w:t>
            </w:r>
          </w:p>
        </w:tc>
        <w:tc>
          <w:tcPr>
            <w:tcW w:w="318" w:type="pct"/>
            <w:shd w:val="clear" w:color="auto" w:fill="auto"/>
            <w:tcMar>
              <w:top w:w="15" w:type="dxa"/>
              <w:left w:w="15" w:type="dxa"/>
              <w:bottom w:w="0" w:type="dxa"/>
              <w:right w:w="15" w:type="dxa"/>
            </w:tcMar>
          </w:tcPr>
          <w:p w14:paraId="0A7E40B3"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884CC80" w14:textId="77777777" w:rsidR="002E474C" w:rsidRDefault="00000000">
            <w:pPr>
              <w:pStyle w:val="A-"/>
            </w:pPr>
            <w:r>
              <w:t>170</w:t>
            </w:r>
          </w:p>
        </w:tc>
        <w:tc>
          <w:tcPr>
            <w:tcW w:w="318" w:type="pct"/>
            <w:shd w:val="clear" w:color="auto" w:fill="auto"/>
            <w:tcMar>
              <w:top w:w="15" w:type="dxa"/>
              <w:left w:w="15" w:type="dxa"/>
              <w:bottom w:w="0" w:type="dxa"/>
              <w:right w:w="15" w:type="dxa"/>
            </w:tcMar>
          </w:tcPr>
          <w:p w14:paraId="09A60A3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1E1BC6A" w14:textId="77777777" w:rsidR="002E474C" w:rsidRDefault="00000000">
            <w:pPr>
              <w:pStyle w:val="A-"/>
            </w:pPr>
            <w:r>
              <w:t>250</w:t>
            </w:r>
          </w:p>
        </w:tc>
        <w:tc>
          <w:tcPr>
            <w:tcW w:w="325" w:type="pct"/>
            <w:shd w:val="clear" w:color="auto" w:fill="auto"/>
            <w:tcMar>
              <w:top w:w="15" w:type="dxa"/>
              <w:left w:w="15" w:type="dxa"/>
              <w:bottom w:w="0" w:type="dxa"/>
              <w:right w:w="15" w:type="dxa"/>
            </w:tcMar>
          </w:tcPr>
          <w:p w14:paraId="0C05F45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B7B9288" w14:textId="77777777" w:rsidR="002E474C" w:rsidRDefault="00000000">
            <w:pPr>
              <w:pStyle w:val="A-"/>
            </w:pPr>
            <w:r>
              <w:t>193</w:t>
            </w:r>
          </w:p>
        </w:tc>
        <w:tc>
          <w:tcPr>
            <w:tcW w:w="324" w:type="pct"/>
            <w:shd w:val="clear" w:color="auto" w:fill="auto"/>
            <w:tcMar>
              <w:top w:w="15" w:type="dxa"/>
              <w:left w:w="15" w:type="dxa"/>
              <w:bottom w:w="0" w:type="dxa"/>
              <w:right w:w="15" w:type="dxa"/>
            </w:tcMar>
          </w:tcPr>
          <w:p w14:paraId="2EB15EF2" w14:textId="77777777" w:rsidR="002E474C" w:rsidRDefault="00000000">
            <w:pPr>
              <w:pStyle w:val="A-"/>
            </w:pPr>
            <w:r>
              <w:t>/</w:t>
            </w:r>
          </w:p>
        </w:tc>
        <w:tc>
          <w:tcPr>
            <w:tcW w:w="576" w:type="pct"/>
            <w:shd w:val="clear" w:color="auto" w:fill="auto"/>
            <w:tcMar>
              <w:top w:w="15" w:type="dxa"/>
              <w:left w:w="15" w:type="dxa"/>
              <w:bottom w:w="0" w:type="dxa"/>
              <w:right w:w="15" w:type="dxa"/>
            </w:tcMar>
          </w:tcPr>
          <w:p w14:paraId="65944733" w14:textId="77777777" w:rsidR="002E474C" w:rsidRDefault="00000000">
            <w:pPr>
              <w:pStyle w:val="A-"/>
            </w:pPr>
            <w:r>
              <w:t>--</w:t>
            </w:r>
          </w:p>
        </w:tc>
      </w:tr>
      <w:tr w:rsidR="002E474C" w14:paraId="0C817232" w14:textId="77777777">
        <w:tc>
          <w:tcPr>
            <w:tcW w:w="720" w:type="pct"/>
            <w:shd w:val="clear" w:color="auto" w:fill="auto"/>
            <w:tcMar>
              <w:top w:w="15" w:type="dxa"/>
              <w:left w:w="15" w:type="dxa"/>
              <w:bottom w:w="0" w:type="dxa"/>
              <w:right w:w="15" w:type="dxa"/>
            </w:tcMar>
            <w:vAlign w:val="center"/>
          </w:tcPr>
          <w:p w14:paraId="2FE94361" w14:textId="77777777" w:rsidR="002E474C" w:rsidRDefault="00000000">
            <w:pPr>
              <w:pStyle w:val="A-"/>
            </w:pPr>
            <w:r>
              <w:t>氯离子</w:t>
            </w:r>
          </w:p>
        </w:tc>
        <w:tc>
          <w:tcPr>
            <w:tcW w:w="437" w:type="pct"/>
            <w:shd w:val="clear" w:color="auto" w:fill="auto"/>
            <w:tcMar>
              <w:top w:w="15" w:type="dxa"/>
              <w:left w:w="15" w:type="dxa"/>
              <w:bottom w:w="0" w:type="dxa"/>
              <w:right w:w="15" w:type="dxa"/>
            </w:tcMar>
            <w:vAlign w:val="center"/>
          </w:tcPr>
          <w:p w14:paraId="22CABFB3"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5728F93D" w14:textId="77777777" w:rsidR="002E474C" w:rsidRDefault="00000000">
            <w:pPr>
              <w:pStyle w:val="A-"/>
            </w:pPr>
            <w:r>
              <w:t>292</w:t>
            </w:r>
          </w:p>
        </w:tc>
        <w:tc>
          <w:tcPr>
            <w:tcW w:w="353" w:type="pct"/>
            <w:shd w:val="clear" w:color="auto" w:fill="auto"/>
            <w:tcMar>
              <w:top w:w="15" w:type="dxa"/>
              <w:left w:w="15" w:type="dxa"/>
              <w:bottom w:w="0" w:type="dxa"/>
              <w:right w:w="15" w:type="dxa"/>
            </w:tcMar>
          </w:tcPr>
          <w:p w14:paraId="59EE706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B59FD33" w14:textId="77777777" w:rsidR="002E474C" w:rsidRDefault="00000000">
            <w:pPr>
              <w:pStyle w:val="A-"/>
            </w:pPr>
            <w:r>
              <w:t>271</w:t>
            </w:r>
          </w:p>
        </w:tc>
        <w:tc>
          <w:tcPr>
            <w:tcW w:w="318" w:type="pct"/>
            <w:shd w:val="clear" w:color="auto" w:fill="auto"/>
            <w:tcMar>
              <w:top w:w="15" w:type="dxa"/>
              <w:left w:w="15" w:type="dxa"/>
              <w:bottom w:w="0" w:type="dxa"/>
              <w:right w:w="15" w:type="dxa"/>
            </w:tcMar>
          </w:tcPr>
          <w:p w14:paraId="36535DB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73E8381" w14:textId="77777777" w:rsidR="002E474C" w:rsidRDefault="00000000">
            <w:pPr>
              <w:pStyle w:val="A-"/>
            </w:pPr>
            <w:r>
              <w:t>262</w:t>
            </w:r>
          </w:p>
        </w:tc>
        <w:tc>
          <w:tcPr>
            <w:tcW w:w="318" w:type="pct"/>
            <w:shd w:val="clear" w:color="auto" w:fill="auto"/>
            <w:tcMar>
              <w:top w:w="15" w:type="dxa"/>
              <w:left w:w="15" w:type="dxa"/>
              <w:bottom w:w="0" w:type="dxa"/>
              <w:right w:w="15" w:type="dxa"/>
            </w:tcMar>
          </w:tcPr>
          <w:p w14:paraId="7447BFC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F954647" w14:textId="77777777" w:rsidR="002E474C" w:rsidRDefault="00000000">
            <w:pPr>
              <w:pStyle w:val="A-"/>
            </w:pPr>
            <w:r>
              <w:t>58.5</w:t>
            </w:r>
          </w:p>
        </w:tc>
        <w:tc>
          <w:tcPr>
            <w:tcW w:w="325" w:type="pct"/>
            <w:shd w:val="clear" w:color="auto" w:fill="auto"/>
            <w:tcMar>
              <w:top w:w="15" w:type="dxa"/>
              <w:left w:w="15" w:type="dxa"/>
              <w:bottom w:w="0" w:type="dxa"/>
              <w:right w:w="15" w:type="dxa"/>
            </w:tcMar>
          </w:tcPr>
          <w:p w14:paraId="1CB5FDE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CDAD80C" w14:textId="77777777" w:rsidR="002E474C" w:rsidRDefault="00000000">
            <w:pPr>
              <w:pStyle w:val="A-"/>
            </w:pPr>
            <w:r>
              <w:t>36.5</w:t>
            </w:r>
          </w:p>
        </w:tc>
        <w:tc>
          <w:tcPr>
            <w:tcW w:w="324" w:type="pct"/>
            <w:shd w:val="clear" w:color="auto" w:fill="auto"/>
            <w:tcMar>
              <w:top w:w="15" w:type="dxa"/>
              <w:left w:w="15" w:type="dxa"/>
              <w:bottom w:w="0" w:type="dxa"/>
              <w:right w:w="15" w:type="dxa"/>
            </w:tcMar>
          </w:tcPr>
          <w:p w14:paraId="429EF643"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75A4121" w14:textId="77777777" w:rsidR="002E474C" w:rsidRDefault="00000000">
            <w:pPr>
              <w:pStyle w:val="A-"/>
            </w:pPr>
            <w:r>
              <w:t>--</w:t>
            </w:r>
          </w:p>
        </w:tc>
      </w:tr>
      <w:tr w:rsidR="002E474C" w14:paraId="6D22C457" w14:textId="77777777">
        <w:tc>
          <w:tcPr>
            <w:tcW w:w="720" w:type="pct"/>
            <w:shd w:val="clear" w:color="auto" w:fill="auto"/>
            <w:tcMar>
              <w:top w:w="15" w:type="dxa"/>
              <w:left w:w="15" w:type="dxa"/>
              <w:bottom w:w="0" w:type="dxa"/>
              <w:right w:w="15" w:type="dxa"/>
            </w:tcMar>
            <w:vAlign w:val="center"/>
          </w:tcPr>
          <w:p w14:paraId="5D06AE85" w14:textId="77777777" w:rsidR="002E474C" w:rsidRDefault="00000000">
            <w:pPr>
              <w:pStyle w:val="A-"/>
            </w:pPr>
            <w:r>
              <w:t>硫酸根离子</w:t>
            </w:r>
          </w:p>
        </w:tc>
        <w:tc>
          <w:tcPr>
            <w:tcW w:w="437" w:type="pct"/>
            <w:shd w:val="clear" w:color="auto" w:fill="auto"/>
            <w:tcMar>
              <w:top w:w="15" w:type="dxa"/>
              <w:left w:w="15" w:type="dxa"/>
              <w:bottom w:w="0" w:type="dxa"/>
              <w:right w:w="15" w:type="dxa"/>
            </w:tcMar>
            <w:vAlign w:val="center"/>
          </w:tcPr>
          <w:p w14:paraId="646213A8"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21991117" w14:textId="77777777" w:rsidR="002E474C" w:rsidRDefault="00000000">
            <w:pPr>
              <w:pStyle w:val="A-"/>
            </w:pPr>
            <w:r>
              <w:t>209</w:t>
            </w:r>
          </w:p>
        </w:tc>
        <w:tc>
          <w:tcPr>
            <w:tcW w:w="353" w:type="pct"/>
            <w:shd w:val="clear" w:color="auto" w:fill="auto"/>
            <w:tcMar>
              <w:top w:w="15" w:type="dxa"/>
              <w:left w:w="15" w:type="dxa"/>
              <w:bottom w:w="0" w:type="dxa"/>
              <w:right w:w="15" w:type="dxa"/>
            </w:tcMar>
          </w:tcPr>
          <w:p w14:paraId="083158E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82C5C93" w14:textId="77777777" w:rsidR="002E474C" w:rsidRDefault="00000000">
            <w:pPr>
              <w:pStyle w:val="A-"/>
            </w:pPr>
            <w:r>
              <w:t>211</w:t>
            </w:r>
          </w:p>
        </w:tc>
        <w:tc>
          <w:tcPr>
            <w:tcW w:w="318" w:type="pct"/>
            <w:shd w:val="clear" w:color="auto" w:fill="auto"/>
            <w:tcMar>
              <w:top w:w="15" w:type="dxa"/>
              <w:left w:w="15" w:type="dxa"/>
              <w:bottom w:w="0" w:type="dxa"/>
              <w:right w:w="15" w:type="dxa"/>
            </w:tcMar>
          </w:tcPr>
          <w:p w14:paraId="08E8584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48EA22F" w14:textId="77777777" w:rsidR="002E474C" w:rsidRDefault="00000000">
            <w:pPr>
              <w:pStyle w:val="A-"/>
            </w:pPr>
            <w:r>
              <w:t>195</w:t>
            </w:r>
          </w:p>
        </w:tc>
        <w:tc>
          <w:tcPr>
            <w:tcW w:w="318" w:type="pct"/>
            <w:shd w:val="clear" w:color="auto" w:fill="auto"/>
            <w:tcMar>
              <w:top w:w="15" w:type="dxa"/>
              <w:left w:w="15" w:type="dxa"/>
              <w:bottom w:w="0" w:type="dxa"/>
              <w:right w:w="15" w:type="dxa"/>
            </w:tcMar>
          </w:tcPr>
          <w:p w14:paraId="7EF0C67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5FB3B9D" w14:textId="77777777" w:rsidR="002E474C" w:rsidRDefault="00000000">
            <w:pPr>
              <w:pStyle w:val="A-"/>
            </w:pPr>
            <w:r>
              <w:t>135</w:t>
            </w:r>
          </w:p>
        </w:tc>
        <w:tc>
          <w:tcPr>
            <w:tcW w:w="325" w:type="pct"/>
            <w:shd w:val="clear" w:color="auto" w:fill="auto"/>
            <w:tcMar>
              <w:top w:w="15" w:type="dxa"/>
              <w:left w:w="15" w:type="dxa"/>
              <w:bottom w:w="0" w:type="dxa"/>
              <w:right w:w="15" w:type="dxa"/>
            </w:tcMar>
          </w:tcPr>
          <w:p w14:paraId="422AFBA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6044A99" w14:textId="77777777" w:rsidR="002E474C" w:rsidRDefault="00000000">
            <w:pPr>
              <w:pStyle w:val="A-"/>
            </w:pPr>
            <w:r>
              <w:t>109</w:t>
            </w:r>
          </w:p>
        </w:tc>
        <w:tc>
          <w:tcPr>
            <w:tcW w:w="324" w:type="pct"/>
            <w:shd w:val="clear" w:color="auto" w:fill="auto"/>
            <w:tcMar>
              <w:top w:w="15" w:type="dxa"/>
              <w:left w:w="15" w:type="dxa"/>
              <w:bottom w:w="0" w:type="dxa"/>
              <w:right w:w="15" w:type="dxa"/>
            </w:tcMar>
          </w:tcPr>
          <w:p w14:paraId="6DAE93C4"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5D67AB48" w14:textId="77777777" w:rsidR="002E474C" w:rsidRDefault="00000000">
            <w:pPr>
              <w:pStyle w:val="A-"/>
            </w:pPr>
            <w:r>
              <w:t>--</w:t>
            </w:r>
          </w:p>
        </w:tc>
      </w:tr>
      <w:tr w:rsidR="002E474C" w14:paraId="70E90A44" w14:textId="77777777">
        <w:tc>
          <w:tcPr>
            <w:tcW w:w="720" w:type="pct"/>
            <w:shd w:val="clear" w:color="auto" w:fill="auto"/>
            <w:tcMar>
              <w:top w:w="15" w:type="dxa"/>
              <w:left w:w="15" w:type="dxa"/>
              <w:bottom w:w="0" w:type="dxa"/>
              <w:right w:w="15" w:type="dxa"/>
            </w:tcMar>
            <w:vAlign w:val="center"/>
          </w:tcPr>
          <w:p w14:paraId="69D33FFA" w14:textId="77777777" w:rsidR="002E474C" w:rsidRDefault="00000000">
            <w:pPr>
              <w:pStyle w:val="A-"/>
            </w:pPr>
            <w:r>
              <w:t>钾离子</w:t>
            </w:r>
          </w:p>
        </w:tc>
        <w:tc>
          <w:tcPr>
            <w:tcW w:w="437" w:type="pct"/>
            <w:shd w:val="clear" w:color="auto" w:fill="auto"/>
            <w:tcMar>
              <w:top w:w="15" w:type="dxa"/>
              <w:left w:w="15" w:type="dxa"/>
              <w:bottom w:w="0" w:type="dxa"/>
              <w:right w:w="15" w:type="dxa"/>
            </w:tcMar>
            <w:vAlign w:val="center"/>
          </w:tcPr>
          <w:p w14:paraId="684A5C1E"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07BCE63C" w14:textId="77777777" w:rsidR="002E474C" w:rsidRDefault="00000000">
            <w:pPr>
              <w:pStyle w:val="A-"/>
            </w:pPr>
            <w:r>
              <w:t>5.79</w:t>
            </w:r>
          </w:p>
        </w:tc>
        <w:tc>
          <w:tcPr>
            <w:tcW w:w="353" w:type="pct"/>
            <w:shd w:val="clear" w:color="auto" w:fill="auto"/>
            <w:tcMar>
              <w:top w:w="15" w:type="dxa"/>
              <w:left w:w="15" w:type="dxa"/>
              <w:bottom w:w="0" w:type="dxa"/>
              <w:right w:w="15" w:type="dxa"/>
            </w:tcMar>
          </w:tcPr>
          <w:p w14:paraId="74D93E85"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D407365" w14:textId="77777777" w:rsidR="002E474C" w:rsidRDefault="00000000">
            <w:pPr>
              <w:pStyle w:val="A-"/>
            </w:pPr>
            <w:r>
              <w:t>5.27</w:t>
            </w:r>
          </w:p>
        </w:tc>
        <w:tc>
          <w:tcPr>
            <w:tcW w:w="318" w:type="pct"/>
            <w:shd w:val="clear" w:color="auto" w:fill="auto"/>
            <w:tcMar>
              <w:top w:w="15" w:type="dxa"/>
              <w:left w:w="15" w:type="dxa"/>
              <w:bottom w:w="0" w:type="dxa"/>
              <w:right w:w="15" w:type="dxa"/>
            </w:tcMar>
          </w:tcPr>
          <w:p w14:paraId="3C97C5EE"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59105F1" w14:textId="77777777" w:rsidR="002E474C" w:rsidRDefault="00000000">
            <w:pPr>
              <w:pStyle w:val="A-"/>
            </w:pPr>
            <w:r>
              <w:t>5.06</w:t>
            </w:r>
          </w:p>
        </w:tc>
        <w:tc>
          <w:tcPr>
            <w:tcW w:w="318" w:type="pct"/>
            <w:shd w:val="clear" w:color="auto" w:fill="auto"/>
            <w:tcMar>
              <w:top w:w="15" w:type="dxa"/>
              <w:left w:w="15" w:type="dxa"/>
              <w:bottom w:w="0" w:type="dxa"/>
              <w:right w:w="15" w:type="dxa"/>
            </w:tcMar>
          </w:tcPr>
          <w:p w14:paraId="479DB72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88853C0" w14:textId="77777777" w:rsidR="002E474C" w:rsidRDefault="00000000">
            <w:pPr>
              <w:pStyle w:val="A-"/>
            </w:pPr>
            <w:r>
              <w:t>3.94</w:t>
            </w:r>
          </w:p>
        </w:tc>
        <w:tc>
          <w:tcPr>
            <w:tcW w:w="325" w:type="pct"/>
            <w:shd w:val="clear" w:color="auto" w:fill="auto"/>
            <w:tcMar>
              <w:top w:w="15" w:type="dxa"/>
              <w:left w:w="15" w:type="dxa"/>
              <w:bottom w:w="0" w:type="dxa"/>
              <w:right w:w="15" w:type="dxa"/>
            </w:tcMar>
          </w:tcPr>
          <w:p w14:paraId="71019489"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4AC36EA" w14:textId="77777777" w:rsidR="002E474C" w:rsidRDefault="00000000">
            <w:pPr>
              <w:pStyle w:val="A-"/>
            </w:pPr>
            <w:r>
              <w:t>3.54</w:t>
            </w:r>
          </w:p>
        </w:tc>
        <w:tc>
          <w:tcPr>
            <w:tcW w:w="324" w:type="pct"/>
            <w:shd w:val="clear" w:color="auto" w:fill="auto"/>
            <w:tcMar>
              <w:top w:w="15" w:type="dxa"/>
              <w:left w:w="15" w:type="dxa"/>
              <w:bottom w:w="0" w:type="dxa"/>
              <w:right w:w="15" w:type="dxa"/>
            </w:tcMar>
          </w:tcPr>
          <w:p w14:paraId="3DC3A59F"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15B58CD8" w14:textId="77777777" w:rsidR="002E474C" w:rsidRDefault="00000000">
            <w:pPr>
              <w:pStyle w:val="A-"/>
            </w:pPr>
            <w:r>
              <w:t>--</w:t>
            </w:r>
          </w:p>
        </w:tc>
      </w:tr>
      <w:tr w:rsidR="002E474C" w14:paraId="288B3A95" w14:textId="77777777">
        <w:tc>
          <w:tcPr>
            <w:tcW w:w="720" w:type="pct"/>
            <w:shd w:val="clear" w:color="auto" w:fill="auto"/>
            <w:tcMar>
              <w:top w:w="15" w:type="dxa"/>
              <w:left w:w="15" w:type="dxa"/>
              <w:bottom w:w="0" w:type="dxa"/>
              <w:right w:w="15" w:type="dxa"/>
            </w:tcMar>
            <w:vAlign w:val="center"/>
          </w:tcPr>
          <w:p w14:paraId="373BBDB4" w14:textId="77777777" w:rsidR="002E474C" w:rsidRDefault="00000000">
            <w:pPr>
              <w:pStyle w:val="A-"/>
            </w:pPr>
            <w:r>
              <w:t>钙离子</w:t>
            </w:r>
          </w:p>
        </w:tc>
        <w:tc>
          <w:tcPr>
            <w:tcW w:w="437" w:type="pct"/>
            <w:shd w:val="clear" w:color="auto" w:fill="auto"/>
            <w:tcMar>
              <w:top w:w="15" w:type="dxa"/>
              <w:left w:w="15" w:type="dxa"/>
              <w:bottom w:w="0" w:type="dxa"/>
              <w:right w:w="15" w:type="dxa"/>
            </w:tcMar>
            <w:vAlign w:val="center"/>
          </w:tcPr>
          <w:p w14:paraId="09E9648E"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59C35DF9" w14:textId="77777777" w:rsidR="002E474C" w:rsidRDefault="00000000">
            <w:pPr>
              <w:pStyle w:val="A-"/>
            </w:pPr>
            <w:r>
              <w:t>186</w:t>
            </w:r>
          </w:p>
        </w:tc>
        <w:tc>
          <w:tcPr>
            <w:tcW w:w="353" w:type="pct"/>
            <w:shd w:val="clear" w:color="auto" w:fill="auto"/>
            <w:tcMar>
              <w:top w:w="15" w:type="dxa"/>
              <w:left w:w="15" w:type="dxa"/>
              <w:bottom w:w="0" w:type="dxa"/>
              <w:right w:w="15" w:type="dxa"/>
            </w:tcMar>
          </w:tcPr>
          <w:p w14:paraId="36F8F0C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738C0AF" w14:textId="77777777" w:rsidR="002E474C" w:rsidRDefault="00000000">
            <w:pPr>
              <w:pStyle w:val="A-"/>
            </w:pPr>
            <w:r>
              <w:t>171</w:t>
            </w:r>
          </w:p>
        </w:tc>
        <w:tc>
          <w:tcPr>
            <w:tcW w:w="318" w:type="pct"/>
            <w:shd w:val="clear" w:color="auto" w:fill="auto"/>
            <w:tcMar>
              <w:top w:w="15" w:type="dxa"/>
              <w:left w:w="15" w:type="dxa"/>
              <w:bottom w:w="0" w:type="dxa"/>
              <w:right w:w="15" w:type="dxa"/>
            </w:tcMar>
          </w:tcPr>
          <w:p w14:paraId="27449F4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E9EB532" w14:textId="77777777" w:rsidR="002E474C" w:rsidRDefault="00000000">
            <w:pPr>
              <w:pStyle w:val="A-"/>
            </w:pPr>
            <w:r>
              <w:t>162</w:t>
            </w:r>
          </w:p>
        </w:tc>
        <w:tc>
          <w:tcPr>
            <w:tcW w:w="318" w:type="pct"/>
            <w:shd w:val="clear" w:color="auto" w:fill="auto"/>
            <w:tcMar>
              <w:top w:w="15" w:type="dxa"/>
              <w:left w:w="15" w:type="dxa"/>
              <w:bottom w:w="0" w:type="dxa"/>
              <w:right w:w="15" w:type="dxa"/>
            </w:tcMar>
          </w:tcPr>
          <w:p w14:paraId="7999E93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0941F8C" w14:textId="77777777" w:rsidR="002E474C" w:rsidRDefault="00000000">
            <w:pPr>
              <w:pStyle w:val="A-"/>
            </w:pPr>
            <w:r>
              <w:t>93.8</w:t>
            </w:r>
          </w:p>
        </w:tc>
        <w:tc>
          <w:tcPr>
            <w:tcW w:w="325" w:type="pct"/>
            <w:shd w:val="clear" w:color="auto" w:fill="auto"/>
            <w:tcMar>
              <w:top w:w="15" w:type="dxa"/>
              <w:left w:w="15" w:type="dxa"/>
              <w:bottom w:w="0" w:type="dxa"/>
              <w:right w:w="15" w:type="dxa"/>
            </w:tcMar>
          </w:tcPr>
          <w:p w14:paraId="6D8B056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95B9F42" w14:textId="77777777" w:rsidR="002E474C" w:rsidRDefault="00000000">
            <w:pPr>
              <w:pStyle w:val="A-"/>
            </w:pPr>
            <w:r>
              <w:t>71.0</w:t>
            </w:r>
          </w:p>
        </w:tc>
        <w:tc>
          <w:tcPr>
            <w:tcW w:w="324" w:type="pct"/>
            <w:shd w:val="clear" w:color="auto" w:fill="auto"/>
            <w:tcMar>
              <w:top w:w="15" w:type="dxa"/>
              <w:left w:w="15" w:type="dxa"/>
              <w:bottom w:w="0" w:type="dxa"/>
              <w:right w:w="15" w:type="dxa"/>
            </w:tcMar>
          </w:tcPr>
          <w:p w14:paraId="1AF9623F"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C3AD85C" w14:textId="77777777" w:rsidR="002E474C" w:rsidRDefault="00000000">
            <w:pPr>
              <w:pStyle w:val="A-"/>
            </w:pPr>
            <w:r>
              <w:t>--</w:t>
            </w:r>
          </w:p>
        </w:tc>
      </w:tr>
      <w:tr w:rsidR="002E474C" w14:paraId="0CF92EC2" w14:textId="77777777">
        <w:tc>
          <w:tcPr>
            <w:tcW w:w="720" w:type="pct"/>
            <w:shd w:val="clear" w:color="auto" w:fill="auto"/>
            <w:tcMar>
              <w:top w:w="15" w:type="dxa"/>
              <w:left w:w="15" w:type="dxa"/>
              <w:bottom w:w="0" w:type="dxa"/>
              <w:right w:w="15" w:type="dxa"/>
            </w:tcMar>
            <w:vAlign w:val="center"/>
          </w:tcPr>
          <w:p w14:paraId="00533508" w14:textId="77777777" w:rsidR="002E474C" w:rsidRDefault="00000000">
            <w:pPr>
              <w:pStyle w:val="A-"/>
            </w:pPr>
            <w:r>
              <w:t>钠离子</w:t>
            </w:r>
          </w:p>
        </w:tc>
        <w:tc>
          <w:tcPr>
            <w:tcW w:w="437" w:type="pct"/>
            <w:shd w:val="clear" w:color="auto" w:fill="auto"/>
            <w:tcMar>
              <w:top w:w="15" w:type="dxa"/>
              <w:left w:w="15" w:type="dxa"/>
              <w:bottom w:w="0" w:type="dxa"/>
              <w:right w:w="15" w:type="dxa"/>
            </w:tcMar>
            <w:vAlign w:val="center"/>
          </w:tcPr>
          <w:p w14:paraId="132631A6"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3B4B7A8F" w14:textId="77777777" w:rsidR="002E474C" w:rsidRDefault="00000000">
            <w:pPr>
              <w:pStyle w:val="A-"/>
            </w:pPr>
            <w:r>
              <w:t>79.4</w:t>
            </w:r>
          </w:p>
        </w:tc>
        <w:tc>
          <w:tcPr>
            <w:tcW w:w="353" w:type="pct"/>
            <w:shd w:val="clear" w:color="auto" w:fill="auto"/>
            <w:tcMar>
              <w:top w:w="15" w:type="dxa"/>
              <w:left w:w="15" w:type="dxa"/>
              <w:bottom w:w="0" w:type="dxa"/>
              <w:right w:w="15" w:type="dxa"/>
            </w:tcMar>
            <w:vAlign w:val="center"/>
          </w:tcPr>
          <w:p w14:paraId="59A98C35"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874AB83" w14:textId="77777777" w:rsidR="002E474C" w:rsidRDefault="00000000">
            <w:pPr>
              <w:pStyle w:val="A-"/>
            </w:pPr>
            <w:r>
              <w:t>81.5</w:t>
            </w:r>
          </w:p>
        </w:tc>
        <w:tc>
          <w:tcPr>
            <w:tcW w:w="318" w:type="pct"/>
            <w:shd w:val="clear" w:color="auto" w:fill="auto"/>
            <w:tcMar>
              <w:top w:w="15" w:type="dxa"/>
              <w:left w:w="15" w:type="dxa"/>
              <w:bottom w:w="0" w:type="dxa"/>
              <w:right w:w="15" w:type="dxa"/>
            </w:tcMar>
            <w:vAlign w:val="center"/>
          </w:tcPr>
          <w:p w14:paraId="0EE4ADC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5EADE44" w14:textId="77777777" w:rsidR="002E474C" w:rsidRDefault="00000000">
            <w:pPr>
              <w:pStyle w:val="A-"/>
            </w:pPr>
            <w:r>
              <w:t>22.3</w:t>
            </w:r>
          </w:p>
        </w:tc>
        <w:tc>
          <w:tcPr>
            <w:tcW w:w="318" w:type="pct"/>
            <w:shd w:val="clear" w:color="auto" w:fill="auto"/>
            <w:tcMar>
              <w:top w:w="15" w:type="dxa"/>
              <w:left w:w="15" w:type="dxa"/>
              <w:bottom w:w="0" w:type="dxa"/>
              <w:right w:w="15" w:type="dxa"/>
            </w:tcMar>
            <w:vAlign w:val="center"/>
          </w:tcPr>
          <w:p w14:paraId="4E5DBB0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CDD0422" w14:textId="77777777" w:rsidR="002E474C" w:rsidRDefault="00000000">
            <w:pPr>
              <w:pStyle w:val="A-"/>
            </w:pPr>
            <w:r>
              <w:t>15.6</w:t>
            </w:r>
          </w:p>
        </w:tc>
        <w:tc>
          <w:tcPr>
            <w:tcW w:w="325" w:type="pct"/>
            <w:shd w:val="clear" w:color="auto" w:fill="auto"/>
            <w:tcMar>
              <w:top w:w="15" w:type="dxa"/>
              <w:left w:w="15" w:type="dxa"/>
              <w:bottom w:w="0" w:type="dxa"/>
              <w:right w:w="15" w:type="dxa"/>
            </w:tcMar>
            <w:vAlign w:val="center"/>
          </w:tcPr>
          <w:p w14:paraId="45F49193"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2818CBE" w14:textId="77777777" w:rsidR="002E474C" w:rsidRDefault="00000000">
            <w:pPr>
              <w:pStyle w:val="A-"/>
            </w:pPr>
            <w:r>
              <w:t>13.8</w:t>
            </w:r>
          </w:p>
        </w:tc>
        <w:tc>
          <w:tcPr>
            <w:tcW w:w="324" w:type="pct"/>
            <w:shd w:val="clear" w:color="auto" w:fill="auto"/>
            <w:tcMar>
              <w:top w:w="15" w:type="dxa"/>
              <w:left w:w="15" w:type="dxa"/>
              <w:bottom w:w="0" w:type="dxa"/>
              <w:right w:w="15" w:type="dxa"/>
            </w:tcMar>
            <w:vAlign w:val="center"/>
          </w:tcPr>
          <w:p w14:paraId="4F0134C8"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7C52BBBD" w14:textId="77777777" w:rsidR="002E474C" w:rsidRDefault="00000000">
            <w:pPr>
              <w:pStyle w:val="A-"/>
            </w:pPr>
            <w:r>
              <w:t>--</w:t>
            </w:r>
          </w:p>
        </w:tc>
      </w:tr>
      <w:tr w:rsidR="002E474C" w14:paraId="7A8F3CF3" w14:textId="77777777">
        <w:tc>
          <w:tcPr>
            <w:tcW w:w="720" w:type="pct"/>
            <w:shd w:val="clear" w:color="auto" w:fill="auto"/>
            <w:tcMar>
              <w:top w:w="15" w:type="dxa"/>
              <w:left w:w="15" w:type="dxa"/>
              <w:bottom w:w="0" w:type="dxa"/>
              <w:right w:w="15" w:type="dxa"/>
            </w:tcMar>
            <w:vAlign w:val="center"/>
          </w:tcPr>
          <w:p w14:paraId="4E838DEF" w14:textId="77777777" w:rsidR="002E474C" w:rsidRDefault="00000000">
            <w:pPr>
              <w:pStyle w:val="A-"/>
            </w:pPr>
            <w:r>
              <w:t>镁离子</w:t>
            </w:r>
          </w:p>
        </w:tc>
        <w:tc>
          <w:tcPr>
            <w:tcW w:w="437" w:type="pct"/>
            <w:shd w:val="clear" w:color="auto" w:fill="auto"/>
            <w:tcMar>
              <w:top w:w="15" w:type="dxa"/>
              <w:left w:w="15" w:type="dxa"/>
              <w:bottom w:w="0" w:type="dxa"/>
              <w:right w:w="15" w:type="dxa"/>
            </w:tcMar>
            <w:vAlign w:val="center"/>
          </w:tcPr>
          <w:p w14:paraId="27E8F247"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2EA34936" w14:textId="77777777" w:rsidR="002E474C" w:rsidRDefault="00000000">
            <w:pPr>
              <w:pStyle w:val="A-"/>
            </w:pPr>
            <w:r>
              <w:t>26.0</w:t>
            </w:r>
          </w:p>
        </w:tc>
        <w:tc>
          <w:tcPr>
            <w:tcW w:w="353" w:type="pct"/>
            <w:shd w:val="clear" w:color="auto" w:fill="auto"/>
            <w:tcMar>
              <w:top w:w="15" w:type="dxa"/>
              <w:left w:w="15" w:type="dxa"/>
              <w:bottom w:w="0" w:type="dxa"/>
              <w:right w:w="15" w:type="dxa"/>
            </w:tcMar>
          </w:tcPr>
          <w:p w14:paraId="493C780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FD59576" w14:textId="77777777" w:rsidR="002E474C" w:rsidRDefault="00000000">
            <w:pPr>
              <w:pStyle w:val="A-"/>
            </w:pPr>
            <w:r>
              <w:t>23.9</w:t>
            </w:r>
          </w:p>
        </w:tc>
        <w:tc>
          <w:tcPr>
            <w:tcW w:w="318" w:type="pct"/>
            <w:shd w:val="clear" w:color="auto" w:fill="auto"/>
            <w:tcMar>
              <w:top w:w="15" w:type="dxa"/>
              <w:left w:w="15" w:type="dxa"/>
              <w:bottom w:w="0" w:type="dxa"/>
              <w:right w:w="15" w:type="dxa"/>
            </w:tcMar>
          </w:tcPr>
          <w:p w14:paraId="2FD39F7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4988824" w14:textId="77777777" w:rsidR="002E474C" w:rsidRDefault="00000000">
            <w:pPr>
              <w:pStyle w:val="A-"/>
            </w:pPr>
            <w:r>
              <w:t>22.3</w:t>
            </w:r>
          </w:p>
        </w:tc>
        <w:tc>
          <w:tcPr>
            <w:tcW w:w="318" w:type="pct"/>
            <w:shd w:val="clear" w:color="auto" w:fill="auto"/>
            <w:tcMar>
              <w:top w:w="15" w:type="dxa"/>
              <w:left w:w="15" w:type="dxa"/>
              <w:bottom w:w="0" w:type="dxa"/>
              <w:right w:w="15" w:type="dxa"/>
            </w:tcMar>
          </w:tcPr>
          <w:p w14:paraId="4AABC1F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A3D085B" w14:textId="77777777" w:rsidR="002E474C" w:rsidRDefault="00000000">
            <w:pPr>
              <w:pStyle w:val="A-"/>
            </w:pPr>
            <w:r>
              <w:t>15.6</w:t>
            </w:r>
          </w:p>
        </w:tc>
        <w:tc>
          <w:tcPr>
            <w:tcW w:w="325" w:type="pct"/>
            <w:shd w:val="clear" w:color="auto" w:fill="auto"/>
            <w:tcMar>
              <w:top w:w="15" w:type="dxa"/>
              <w:left w:w="15" w:type="dxa"/>
              <w:bottom w:w="0" w:type="dxa"/>
              <w:right w:w="15" w:type="dxa"/>
            </w:tcMar>
          </w:tcPr>
          <w:p w14:paraId="52766CE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43D2F64" w14:textId="77777777" w:rsidR="002E474C" w:rsidRDefault="00000000">
            <w:pPr>
              <w:pStyle w:val="A-"/>
            </w:pPr>
            <w:r>
              <w:t>13.8</w:t>
            </w:r>
          </w:p>
        </w:tc>
        <w:tc>
          <w:tcPr>
            <w:tcW w:w="324" w:type="pct"/>
            <w:shd w:val="clear" w:color="auto" w:fill="auto"/>
            <w:tcMar>
              <w:top w:w="15" w:type="dxa"/>
              <w:left w:w="15" w:type="dxa"/>
              <w:bottom w:w="0" w:type="dxa"/>
              <w:right w:w="15" w:type="dxa"/>
            </w:tcMar>
          </w:tcPr>
          <w:p w14:paraId="5A4FD5C2"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43C869CA" w14:textId="77777777" w:rsidR="002E474C" w:rsidRDefault="00000000">
            <w:pPr>
              <w:pStyle w:val="A-"/>
            </w:pPr>
            <w:r>
              <w:t>--</w:t>
            </w:r>
          </w:p>
        </w:tc>
      </w:tr>
      <w:tr w:rsidR="002E474C" w14:paraId="76ED271D" w14:textId="77777777">
        <w:tc>
          <w:tcPr>
            <w:tcW w:w="720" w:type="pct"/>
            <w:shd w:val="clear" w:color="auto" w:fill="auto"/>
            <w:tcMar>
              <w:top w:w="15" w:type="dxa"/>
              <w:left w:w="15" w:type="dxa"/>
              <w:bottom w:w="0" w:type="dxa"/>
              <w:right w:w="15" w:type="dxa"/>
            </w:tcMar>
            <w:vAlign w:val="center"/>
          </w:tcPr>
          <w:p w14:paraId="64223CEC" w14:textId="77777777" w:rsidR="002E474C" w:rsidRDefault="00000000">
            <w:pPr>
              <w:pStyle w:val="A-"/>
            </w:pPr>
            <w:r>
              <w:t>铜</w:t>
            </w:r>
          </w:p>
        </w:tc>
        <w:tc>
          <w:tcPr>
            <w:tcW w:w="437" w:type="pct"/>
            <w:shd w:val="clear" w:color="auto" w:fill="auto"/>
            <w:tcMar>
              <w:top w:w="15" w:type="dxa"/>
              <w:left w:w="15" w:type="dxa"/>
              <w:bottom w:w="0" w:type="dxa"/>
              <w:right w:w="15" w:type="dxa"/>
            </w:tcMar>
            <w:vAlign w:val="center"/>
          </w:tcPr>
          <w:p w14:paraId="10881350"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4F5994EA" w14:textId="77777777" w:rsidR="002E474C" w:rsidRDefault="00000000">
            <w:pPr>
              <w:pStyle w:val="A-"/>
            </w:pPr>
            <w:r>
              <w:t>&lt;0.006</w:t>
            </w:r>
          </w:p>
        </w:tc>
        <w:tc>
          <w:tcPr>
            <w:tcW w:w="353" w:type="pct"/>
            <w:shd w:val="clear" w:color="auto" w:fill="auto"/>
            <w:tcMar>
              <w:top w:w="15" w:type="dxa"/>
              <w:left w:w="15" w:type="dxa"/>
              <w:bottom w:w="0" w:type="dxa"/>
              <w:right w:w="15" w:type="dxa"/>
            </w:tcMar>
          </w:tcPr>
          <w:p w14:paraId="3AB2BF55"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662F00D" w14:textId="77777777" w:rsidR="002E474C" w:rsidRDefault="00000000">
            <w:pPr>
              <w:pStyle w:val="A-"/>
            </w:pPr>
            <w:r>
              <w:t>&lt;0.006</w:t>
            </w:r>
          </w:p>
        </w:tc>
        <w:tc>
          <w:tcPr>
            <w:tcW w:w="318" w:type="pct"/>
            <w:shd w:val="clear" w:color="auto" w:fill="auto"/>
            <w:tcMar>
              <w:top w:w="15" w:type="dxa"/>
              <w:left w:w="15" w:type="dxa"/>
              <w:bottom w:w="0" w:type="dxa"/>
              <w:right w:w="15" w:type="dxa"/>
            </w:tcMar>
          </w:tcPr>
          <w:p w14:paraId="4CA00A33"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2B41A86" w14:textId="77777777" w:rsidR="002E474C" w:rsidRDefault="00000000">
            <w:pPr>
              <w:pStyle w:val="A-"/>
            </w:pPr>
            <w:r>
              <w:t>&lt;0.006</w:t>
            </w:r>
          </w:p>
        </w:tc>
        <w:tc>
          <w:tcPr>
            <w:tcW w:w="318" w:type="pct"/>
            <w:shd w:val="clear" w:color="auto" w:fill="auto"/>
            <w:tcMar>
              <w:top w:w="15" w:type="dxa"/>
              <w:left w:w="15" w:type="dxa"/>
              <w:bottom w:w="0" w:type="dxa"/>
              <w:right w:w="15" w:type="dxa"/>
            </w:tcMar>
          </w:tcPr>
          <w:p w14:paraId="426A51E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3D51936" w14:textId="77777777" w:rsidR="002E474C" w:rsidRDefault="00000000">
            <w:pPr>
              <w:pStyle w:val="A-"/>
            </w:pPr>
            <w:r>
              <w:t>&lt;0.006</w:t>
            </w:r>
          </w:p>
        </w:tc>
        <w:tc>
          <w:tcPr>
            <w:tcW w:w="325" w:type="pct"/>
            <w:shd w:val="clear" w:color="auto" w:fill="auto"/>
            <w:tcMar>
              <w:top w:w="15" w:type="dxa"/>
              <w:left w:w="15" w:type="dxa"/>
              <w:bottom w:w="0" w:type="dxa"/>
              <w:right w:w="15" w:type="dxa"/>
            </w:tcMar>
          </w:tcPr>
          <w:p w14:paraId="2134DD9F"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426EEAA" w14:textId="77777777" w:rsidR="002E474C" w:rsidRDefault="00000000">
            <w:pPr>
              <w:pStyle w:val="A-"/>
            </w:pPr>
            <w:r>
              <w:t>&lt;0.006</w:t>
            </w:r>
          </w:p>
        </w:tc>
        <w:tc>
          <w:tcPr>
            <w:tcW w:w="324" w:type="pct"/>
            <w:shd w:val="clear" w:color="auto" w:fill="auto"/>
            <w:tcMar>
              <w:top w:w="15" w:type="dxa"/>
              <w:left w:w="15" w:type="dxa"/>
              <w:bottom w:w="0" w:type="dxa"/>
              <w:right w:w="15" w:type="dxa"/>
            </w:tcMar>
          </w:tcPr>
          <w:p w14:paraId="649E9153"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323A0561" w14:textId="77777777" w:rsidR="002E474C" w:rsidRDefault="00000000">
            <w:pPr>
              <w:pStyle w:val="A-"/>
            </w:pPr>
            <w:r>
              <w:t>≤1.00mg/L</w:t>
            </w:r>
          </w:p>
        </w:tc>
      </w:tr>
      <w:tr w:rsidR="002E474C" w14:paraId="58E5782A" w14:textId="77777777">
        <w:tc>
          <w:tcPr>
            <w:tcW w:w="720" w:type="pct"/>
            <w:shd w:val="clear" w:color="auto" w:fill="auto"/>
            <w:tcMar>
              <w:top w:w="15" w:type="dxa"/>
              <w:left w:w="15" w:type="dxa"/>
              <w:bottom w:w="0" w:type="dxa"/>
              <w:right w:w="15" w:type="dxa"/>
            </w:tcMar>
            <w:vAlign w:val="center"/>
          </w:tcPr>
          <w:p w14:paraId="03026B51" w14:textId="77777777" w:rsidR="002E474C" w:rsidRDefault="00000000">
            <w:pPr>
              <w:pStyle w:val="A-"/>
            </w:pPr>
            <w:r>
              <w:t>锌</w:t>
            </w:r>
          </w:p>
        </w:tc>
        <w:tc>
          <w:tcPr>
            <w:tcW w:w="437" w:type="pct"/>
            <w:shd w:val="clear" w:color="auto" w:fill="auto"/>
            <w:tcMar>
              <w:top w:w="15" w:type="dxa"/>
              <w:left w:w="15" w:type="dxa"/>
              <w:bottom w:w="0" w:type="dxa"/>
              <w:right w:w="15" w:type="dxa"/>
            </w:tcMar>
            <w:vAlign w:val="center"/>
          </w:tcPr>
          <w:p w14:paraId="0EDBA592"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1B6B8CCA" w14:textId="77777777" w:rsidR="002E474C" w:rsidRDefault="00000000">
            <w:pPr>
              <w:pStyle w:val="A-"/>
            </w:pPr>
            <w:r>
              <w:t>&lt;0.009</w:t>
            </w:r>
          </w:p>
        </w:tc>
        <w:tc>
          <w:tcPr>
            <w:tcW w:w="353" w:type="pct"/>
            <w:shd w:val="clear" w:color="auto" w:fill="auto"/>
            <w:tcMar>
              <w:top w:w="15" w:type="dxa"/>
              <w:left w:w="15" w:type="dxa"/>
              <w:bottom w:w="0" w:type="dxa"/>
              <w:right w:w="15" w:type="dxa"/>
            </w:tcMar>
          </w:tcPr>
          <w:p w14:paraId="0804D516"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C6F6D35" w14:textId="77777777" w:rsidR="002E474C" w:rsidRDefault="00000000">
            <w:pPr>
              <w:pStyle w:val="A-"/>
            </w:pPr>
            <w:r>
              <w:t>&lt;0.009</w:t>
            </w:r>
          </w:p>
        </w:tc>
        <w:tc>
          <w:tcPr>
            <w:tcW w:w="318" w:type="pct"/>
            <w:shd w:val="clear" w:color="auto" w:fill="auto"/>
            <w:tcMar>
              <w:top w:w="15" w:type="dxa"/>
              <w:left w:w="15" w:type="dxa"/>
              <w:bottom w:w="0" w:type="dxa"/>
              <w:right w:w="15" w:type="dxa"/>
            </w:tcMar>
          </w:tcPr>
          <w:p w14:paraId="19BD574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FCA3482" w14:textId="77777777" w:rsidR="002E474C" w:rsidRDefault="00000000">
            <w:pPr>
              <w:pStyle w:val="A-"/>
            </w:pPr>
            <w:r>
              <w:t>&lt;0.009</w:t>
            </w:r>
          </w:p>
        </w:tc>
        <w:tc>
          <w:tcPr>
            <w:tcW w:w="318" w:type="pct"/>
            <w:shd w:val="clear" w:color="auto" w:fill="auto"/>
            <w:tcMar>
              <w:top w:w="15" w:type="dxa"/>
              <w:left w:w="15" w:type="dxa"/>
              <w:bottom w:w="0" w:type="dxa"/>
              <w:right w:w="15" w:type="dxa"/>
            </w:tcMar>
          </w:tcPr>
          <w:p w14:paraId="5B4D206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8E15D66" w14:textId="77777777" w:rsidR="002E474C" w:rsidRDefault="00000000">
            <w:pPr>
              <w:pStyle w:val="A-"/>
            </w:pPr>
            <w:r>
              <w:t>&lt;0.009</w:t>
            </w:r>
          </w:p>
        </w:tc>
        <w:tc>
          <w:tcPr>
            <w:tcW w:w="325" w:type="pct"/>
            <w:shd w:val="clear" w:color="auto" w:fill="auto"/>
            <w:tcMar>
              <w:top w:w="15" w:type="dxa"/>
              <w:left w:w="15" w:type="dxa"/>
              <w:bottom w:w="0" w:type="dxa"/>
              <w:right w:w="15" w:type="dxa"/>
            </w:tcMar>
          </w:tcPr>
          <w:p w14:paraId="38C8D23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B348E3A" w14:textId="77777777" w:rsidR="002E474C" w:rsidRDefault="00000000">
            <w:pPr>
              <w:pStyle w:val="A-"/>
            </w:pPr>
            <w:r>
              <w:t>&lt;0.009</w:t>
            </w:r>
          </w:p>
        </w:tc>
        <w:tc>
          <w:tcPr>
            <w:tcW w:w="324" w:type="pct"/>
            <w:shd w:val="clear" w:color="auto" w:fill="auto"/>
            <w:tcMar>
              <w:top w:w="15" w:type="dxa"/>
              <w:left w:w="15" w:type="dxa"/>
              <w:bottom w:w="0" w:type="dxa"/>
              <w:right w:w="15" w:type="dxa"/>
            </w:tcMar>
          </w:tcPr>
          <w:p w14:paraId="7A40F42D"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28E44987" w14:textId="77777777" w:rsidR="002E474C" w:rsidRDefault="00000000">
            <w:pPr>
              <w:pStyle w:val="A-"/>
            </w:pPr>
            <w:r>
              <w:t>≤1.00mg/L</w:t>
            </w:r>
          </w:p>
        </w:tc>
      </w:tr>
      <w:tr w:rsidR="002E474C" w14:paraId="3B0E3C71" w14:textId="77777777">
        <w:tc>
          <w:tcPr>
            <w:tcW w:w="720" w:type="pct"/>
            <w:shd w:val="clear" w:color="auto" w:fill="auto"/>
            <w:tcMar>
              <w:top w:w="15" w:type="dxa"/>
              <w:left w:w="15" w:type="dxa"/>
              <w:bottom w:w="0" w:type="dxa"/>
              <w:right w:w="15" w:type="dxa"/>
            </w:tcMar>
            <w:vAlign w:val="center"/>
          </w:tcPr>
          <w:p w14:paraId="763FBEF8" w14:textId="77777777" w:rsidR="002E474C" w:rsidRDefault="00000000">
            <w:pPr>
              <w:pStyle w:val="A-"/>
            </w:pPr>
            <w:r>
              <w:lastRenderedPageBreak/>
              <w:t>砷</w:t>
            </w:r>
          </w:p>
        </w:tc>
        <w:tc>
          <w:tcPr>
            <w:tcW w:w="437" w:type="pct"/>
            <w:shd w:val="clear" w:color="auto" w:fill="auto"/>
            <w:tcMar>
              <w:top w:w="15" w:type="dxa"/>
              <w:left w:w="15" w:type="dxa"/>
              <w:bottom w:w="0" w:type="dxa"/>
              <w:right w:w="15" w:type="dxa"/>
            </w:tcMar>
            <w:vAlign w:val="center"/>
          </w:tcPr>
          <w:p w14:paraId="068E1686" w14:textId="77777777" w:rsidR="002E474C" w:rsidRDefault="00000000">
            <w:pPr>
              <w:pStyle w:val="A-"/>
            </w:pPr>
            <w:proofErr w:type="spellStart"/>
            <w:r>
              <w:t>μg</w:t>
            </w:r>
            <w:proofErr w:type="spellEnd"/>
            <w:r>
              <w:t>/L</w:t>
            </w:r>
          </w:p>
        </w:tc>
        <w:tc>
          <w:tcPr>
            <w:tcW w:w="351" w:type="pct"/>
            <w:shd w:val="clear" w:color="auto" w:fill="auto"/>
            <w:tcMar>
              <w:top w:w="15" w:type="dxa"/>
              <w:left w:w="15" w:type="dxa"/>
              <w:bottom w:w="0" w:type="dxa"/>
              <w:right w:w="15" w:type="dxa"/>
            </w:tcMar>
            <w:vAlign w:val="center"/>
          </w:tcPr>
          <w:p w14:paraId="1402D1D9" w14:textId="77777777" w:rsidR="002E474C" w:rsidRDefault="00000000">
            <w:pPr>
              <w:pStyle w:val="A-"/>
            </w:pPr>
            <w:r>
              <w:t>&lt;0.3</w:t>
            </w:r>
          </w:p>
        </w:tc>
        <w:tc>
          <w:tcPr>
            <w:tcW w:w="353" w:type="pct"/>
            <w:shd w:val="clear" w:color="auto" w:fill="auto"/>
            <w:tcMar>
              <w:top w:w="15" w:type="dxa"/>
              <w:left w:w="15" w:type="dxa"/>
              <w:bottom w:w="0" w:type="dxa"/>
              <w:right w:w="15" w:type="dxa"/>
            </w:tcMar>
          </w:tcPr>
          <w:p w14:paraId="4B392A0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B0E3139" w14:textId="77777777" w:rsidR="002E474C" w:rsidRDefault="00000000">
            <w:pPr>
              <w:pStyle w:val="A-"/>
            </w:pPr>
            <w:r>
              <w:t>&lt;0.3</w:t>
            </w:r>
          </w:p>
        </w:tc>
        <w:tc>
          <w:tcPr>
            <w:tcW w:w="318" w:type="pct"/>
            <w:shd w:val="clear" w:color="auto" w:fill="auto"/>
            <w:tcMar>
              <w:top w:w="15" w:type="dxa"/>
              <w:left w:w="15" w:type="dxa"/>
              <w:bottom w:w="0" w:type="dxa"/>
              <w:right w:w="15" w:type="dxa"/>
            </w:tcMar>
          </w:tcPr>
          <w:p w14:paraId="1A833A0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7556AEB" w14:textId="77777777" w:rsidR="002E474C" w:rsidRDefault="00000000">
            <w:pPr>
              <w:pStyle w:val="A-"/>
            </w:pPr>
            <w:r>
              <w:t>&lt;0.3</w:t>
            </w:r>
          </w:p>
        </w:tc>
        <w:tc>
          <w:tcPr>
            <w:tcW w:w="318" w:type="pct"/>
            <w:shd w:val="clear" w:color="auto" w:fill="auto"/>
            <w:tcMar>
              <w:top w:w="15" w:type="dxa"/>
              <w:left w:w="15" w:type="dxa"/>
              <w:bottom w:w="0" w:type="dxa"/>
              <w:right w:w="15" w:type="dxa"/>
            </w:tcMar>
          </w:tcPr>
          <w:p w14:paraId="62F38D7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485FA40" w14:textId="77777777" w:rsidR="002E474C" w:rsidRDefault="00000000">
            <w:pPr>
              <w:pStyle w:val="A-"/>
            </w:pPr>
            <w:r>
              <w:t>&lt;0.3</w:t>
            </w:r>
          </w:p>
        </w:tc>
        <w:tc>
          <w:tcPr>
            <w:tcW w:w="325" w:type="pct"/>
            <w:shd w:val="clear" w:color="auto" w:fill="auto"/>
            <w:tcMar>
              <w:top w:w="15" w:type="dxa"/>
              <w:left w:w="15" w:type="dxa"/>
              <w:bottom w:w="0" w:type="dxa"/>
              <w:right w:w="15" w:type="dxa"/>
            </w:tcMar>
          </w:tcPr>
          <w:p w14:paraId="12DE26B2"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F7F2C0A" w14:textId="77777777" w:rsidR="002E474C" w:rsidRDefault="00000000">
            <w:pPr>
              <w:pStyle w:val="A-"/>
            </w:pPr>
            <w:r>
              <w:t>&lt;0.3</w:t>
            </w:r>
          </w:p>
        </w:tc>
        <w:tc>
          <w:tcPr>
            <w:tcW w:w="324" w:type="pct"/>
            <w:shd w:val="clear" w:color="auto" w:fill="auto"/>
            <w:tcMar>
              <w:top w:w="15" w:type="dxa"/>
              <w:left w:w="15" w:type="dxa"/>
              <w:bottom w:w="0" w:type="dxa"/>
              <w:right w:w="15" w:type="dxa"/>
            </w:tcMar>
          </w:tcPr>
          <w:p w14:paraId="7CC9705E"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56E8C65A" w14:textId="77777777" w:rsidR="002E474C" w:rsidRDefault="00000000">
            <w:pPr>
              <w:pStyle w:val="A-"/>
            </w:pPr>
            <w:r>
              <w:t>≤0.01mg/L</w:t>
            </w:r>
          </w:p>
        </w:tc>
      </w:tr>
      <w:tr w:rsidR="002E474C" w14:paraId="73FC6035" w14:textId="77777777">
        <w:tc>
          <w:tcPr>
            <w:tcW w:w="720" w:type="pct"/>
            <w:shd w:val="clear" w:color="auto" w:fill="auto"/>
            <w:tcMar>
              <w:top w:w="15" w:type="dxa"/>
              <w:left w:w="15" w:type="dxa"/>
              <w:bottom w:w="0" w:type="dxa"/>
              <w:right w:w="15" w:type="dxa"/>
            </w:tcMar>
            <w:vAlign w:val="center"/>
          </w:tcPr>
          <w:p w14:paraId="2C319B69" w14:textId="77777777" w:rsidR="002E474C" w:rsidRDefault="00000000">
            <w:pPr>
              <w:pStyle w:val="A-"/>
            </w:pPr>
            <w:r>
              <w:t>汞</w:t>
            </w:r>
          </w:p>
        </w:tc>
        <w:tc>
          <w:tcPr>
            <w:tcW w:w="437" w:type="pct"/>
            <w:shd w:val="clear" w:color="auto" w:fill="auto"/>
            <w:tcMar>
              <w:top w:w="15" w:type="dxa"/>
              <w:left w:w="15" w:type="dxa"/>
              <w:bottom w:w="0" w:type="dxa"/>
              <w:right w:w="15" w:type="dxa"/>
            </w:tcMar>
            <w:vAlign w:val="center"/>
          </w:tcPr>
          <w:p w14:paraId="0623D541" w14:textId="77777777" w:rsidR="002E474C" w:rsidRDefault="00000000">
            <w:pPr>
              <w:pStyle w:val="A-"/>
            </w:pPr>
            <w:proofErr w:type="spellStart"/>
            <w:r>
              <w:t>μg</w:t>
            </w:r>
            <w:proofErr w:type="spellEnd"/>
            <w:r>
              <w:t>/L</w:t>
            </w:r>
          </w:p>
        </w:tc>
        <w:tc>
          <w:tcPr>
            <w:tcW w:w="351" w:type="pct"/>
            <w:shd w:val="clear" w:color="auto" w:fill="auto"/>
            <w:tcMar>
              <w:top w:w="15" w:type="dxa"/>
              <w:left w:w="15" w:type="dxa"/>
              <w:bottom w:w="0" w:type="dxa"/>
              <w:right w:w="15" w:type="dxa"/>
            </w:tcMar>
            <w:vAlign w:val="center"/>
          </w:tcPr>
          <w:p w14:paraId="27B8C461" w14:textId="77777777" w:rsidR="002E474C" w:rsidRDefault="00000000">
            <w:pPr>
              <w:pStyle w:val="A-"/>
            </w:pPr>
            <w:r>
              <w:t>&lt;0.04</w:t>
            </w:r>
          </w:p>
        </w:tc>
        <w:tc>
          <w:tcPr>
            <w:tcW w:w="353" w:type="pct"/>
            <w:shd w:val="clear" w:color="auto" w:fill="auto"/>
            <w:tcMar>
              <w:top w:w="15" w:type="dxa"/>
              <w:left w:w="15" w:type="dxa"/>
              <w:bottom w:w="0" w:type="dxa"/>
              <w:right w:w="15" w:type="dxa"/>
            </w:tcMar>
            <w:vAlign w:val="center"/>
          </w:tcPr>
          <w:p w14:paraId="765285B1"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6DFC9F1" w14:textId="77777777" w:rsidR="002E474C" w:rsidRDefault="00000000">
            <w:pPr>
              <w:pStyle w:val="A-"/>
            </w:pPr>
            <w:r>
              <w:t>&lt;0.04</w:t>
            </w:r>
          </w:p>
        </w:tc>
        <w:tc>
          <w:tcPr>
            <w:tcW w:w="318" w:type="pct"/>
            <w:shd w:val="clear" w:color="auto" w:fill="auto"/>
            <w:tcMar>
              <w:top w:w="15" w:type="dxa"/>
              <w:left w:w="15" w:type="dxa"/>
              <w:bottom w:w="0" w:type="dxa"/>
              <w:right w:w="15" w:type="dxa"/>
            </w:tcMar>
            <w:vAlign w:val="center"/>
          </w:tcPr>
          <w:p w14:paraId="6252F91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42ADFB1" w14:textId="77777777" w:rsidR="002E474C" w:rsidRDefault="00000000">
            <w:pPr>
              <w:pStyle w:val="A-"/>
            </w:pPr>
            <w:r>
              <w:t>&lt;0.04</w:t>
            </w:r>
          </w:p>
        </w:tc>
        <w:tc>
          <w:tcPr>
            <w:tcW w:w="318" w:type="pct"/>
            <w:shd w:val="clear" w:color="auto" w:fill="auto"/>
            <w:tcMar>
              <w:top w:w="15" w:type="dxa"/>
              <w:left w:w="15" w:type="dxa"/>
              <w:bottom w:w="0" w:type="dxa"/>
              <w:right w:w="15" w:type="dxa"/>
            </w:tcMar>
            <w:vAlign w:val="center"/>
          </w:tcPr>
          <w:p w14:paraId="1BD4583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C4880A2" w14:textId="77777777" w:rsidR="002E474C" w:rsidRDefault="00000000">
            <w:pPr>
              <w:pStyle w:val="A-"/>
            </w:pPr>
            <w:r>
              <w:t>&lt;0.04</w:t>
            </w:r>
          </w:p>
        </w:tc>
        <w:tc>
          <w:tcPr>
            <w:tcW w:w="325" w:type="pct"/>
            <w:shd w:val="clear" w:color="auto" w:fill="auto"/>
            <w:tcMar>
              <w:top w:w="15" w:type="dxa"/>
              <w:left w:w="15" w:type="dxa"/>
              <w:bottom w:w="0" w:type="dxa"/>
              <w:right w:w="15" w:type="dxa"/>
            </w:tcMar>
            <w:vAlign w:val="center"/>
          </w:tcPr>
          <w:p w14:paraId="447B941A"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3ED8DB3" w14:textId="77777777" w:rsidR="002E474C" w:rsidRDefault="00000000">
            <w:pPr>
              <w:pStyle w:val="A-"/>
            </w:pPr>
            <w:r>
              <w:t>&lt;0.04</w:t>
            </w:r>
          </w:p>
        </w:tc>
        <w:tc>
          <w:tcPr>
            <w:tcW w:w="324" w:type="pct"/>
            <w:shd w:val="clear" w:color="auto" w:fill="auto"/>
            <w:tcMar>
              <w:top w:w="15" w:type="dxa"/>
              <w:left w:w="15" w:type="dxa"/>
              <w:bottom w:w="0" w:type="dxa"/>
              <w:right w:w="15" w:type="dxa"/>
            </w:tcMar>
            <w:vAlign w:val="center"/>
          </w:tcPr>
          <w:p w14:paraId="5B61E737"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55F004FE" w14:textId="77777777" w:rsidR="002E474C" w:rsidRDefault="00000000">
            <w:pPr>
              <w:pStyle w:val="A-"/>
            </w:pPr>
            <w:r>
              <w:t>≤0.001mg/L</w:t>
            </w:r>
          </w:p>
        </w:tc>
      </w:tr>
      <w:tr w:rsidR="002E474C" w14:paraId="71298D38" w14:textId="77777777">
        <w:tc>
          <w:tcPr>
            <w:tcW w:w="720" w:type="pct"/>
            <w:shd w:val="clear" w:color="auto" w:fill="auto"/>
            <w:tcMar>
              <w:top w:w="15" w:type="dxa"/>
              <w:left w:w="15" w:type="dxa"/>
              <w:bottom w:w="0" w:type="dxa"/>
              <w:right w:w="15" w:type="dxa"/>
            </w:tcMar>
            <w:vAlign w:val="center"/>
          </w:tcPr>
          <w:p w14:paraId="3403CC96" w14:textId="77777777" w:rsidR="002E474C" w:rsidRDefault="00000000">
            <w:pPr>
              <w:pStyle w:val="A-"/>
            </w:pPr>
            <w:r>
              <w:t>铅</w:t>
            </w:r>
          </w:p>
        </w:tc>
        <w:tc>
          <w:tcPr>
            <w:tcW w:w="437" w:type="pct"/>
            <w:shd w:val="clear" w:color="auto" w:fill="auto"/>
            <w:tcMar>
              <w:top w:w="15" w:type="dxa"/>
              <w:left w:w="15" w:type="dxa"/>
              <w:bottom w:w="0" w:type="dxa"/>
              <w:right w:w="15" w:type="dxa"/>
            </w:tcMar>
            <w:vAlign w:val="center"/>
          </w:tcPr>
          <w:p w14:paraId="10CC6FBC"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0DE73F97" w14:textId="77777777" w:rsidR="002E474C" w:rsidRDefault="00000000">
            <w:pPr>
              <w:pStyle w:val="A-"/>
            </w:pPr>
            <w:r>
              <w:t>&lt;0.00009</w:t>
            </w:r>
          </w:p>
        </w:tc>
        <w:tc>
          <w:tcPr>
            <w:tcW w:w="353" w:type="pct"/>
            <w:shd w:val="clear" w:color="auto" w:fill="auto"/>
            <w:tcMar>
              <w:top w:w="15" w:type="dxa"/>
              <w:left w:w="15" w:type="dxa"/>
              <w:bottom w:w="0" w:type="dxa"/>
              <w:right w:w="15" w:type="dxa"/>
            </w:tcMar>
          </w:tcPr>
          <w:p w14:paraId="7B7F317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99A53A3" w14:textId="77777777" w:rsidR="002E474C" w:rsidRDefault="00000000">
            <w:pPr>
              <w:pStyle w:val="A-"/>
            </w:pPr>
            <w:r>
              <w:t>&lt;0.00009</w:t>
            </w:r>
          </w:p>
        </w:tc>
        <w:tc>
          <w:tcPr>
            <w:tcW w:w="318" w:type="pct"/>
            <w:shd w:val="clear" w:color="auto" w:fill="auto"/>
            <w:tcMar>
              <w:top w:w="15" w:type="dxa"/>
              <w:left w:w="15" w:type="dxa"/>
              <w:bottom w:w="0" w:type="dxa"/>
              <w:right w:w="15" w:type="dxa"/>
            </w:tcMar>
            <w:vAlign w:val="center"/>
          </w:tcPr>
          <w:p w14:paraId="10877C25"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8B24872" w14:textId="77777777" w:rsidR="002E474C" w:rsidRDefault="00000000">
            <w:pPr>
              <w:pStyle w:val="A-"/>
            </w:pPr>
            <w:r>
              <w:t>&lt;0.00009</w:t>
            </w:r>
          </w:p>
        </w:tc>
        <w:tc>
          <w:tcPr>
            <w:tcW w:w="318" w:type="pct"/>
            <w:shd w:val="clear" w:color="auto" w:fill="auto"/>
            <w:tcMar>
              <w:top w:w="15" w:type="dxa"/>
              <w:left w:w="15" w:type="dxa"/>
              <w:bottom w:w="0" w:type="dxa"/>
              <w:right w:w="15" w:type="dxa"/>
            </w:tcMar>
          </w:tcPr>
          <w:p w14:paraId="2A920F5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406237FE" w14:textId="77777777" w:rsidR="002E474C" w:rsidRDefault="00000000">
            <w:pPr>
              <w:pStyle w:val="A-"/>
            </w:pPr>
            <w:r>
              <w:t>&lt;0.00009</w:t>
            </w:r>
          </w:p>
        </w:tc>
        <w:tc>
          <w:tcPr>
            <w:tcW w:w="325" w:type="pct"/>
            <w:shd w:val="clear" w:color="auto" w:fill="auto"/>
            <w:tcMar>
              <w:top w:w="15" w:type="dxa"/>
              <w:left w:w="15" w:type="dxa"/>
              <w:bottom w:w="0" w:type="dxa"/>
              <w:right w:w="15" w:type="dxa"/>
            </w:tcMar>
          </w:tcPr>
          <w:p w14:paraId="130AF38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62C4261" w14:textId="77777777" w:rsidR="002E474C" w:rsidRDefault="00000000">
            <w:pPr>
              <w:pStyle w:val="A-"/>
            </w:pPr>
            <w:r>
              <w:t>&lt;0.00009</w:t>
            </w:r>
          </w:p>
        </w:tc>
        <w:tc>
          <w:tcPr>
            <w:tcW w:w="324" w:type="pct"/>
            <w:shd w:val="clear" w:color="auto" w:fill="auto"/>
            <w:tcMar>
              <w:top w:w="15" w:type="dxa"/>
              <w:left w:w="15" w:type="dxa"/>
              <w:bottom w:w="0" w:type="dxa"/>
              <w:right w:w="15" w:type="dxa"/>
            </w:tcMar>
          </w:tcPr>
          <w:p w14:paraId="0AFB44A7"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4858419" w14:textId="77777777" w:rsidR="002E474C" w:rsidRDefault="00000000">
            <w:pPr>
              <w:pStyle w:val="A-"/>
            </w:pPr>
            <w:r>
              <w:t>≤0.01mg/L</w:t>
            </w:r>
          </w:p>
        </w:tc>
      </w:tr>
      <w:tr w:rsidR="002E474C" w14:paraId="058BD1D0" w14:textId="77777777">
        <w:tc>
          <w:tcPr>
            <w:tcW w:w="720" w:type="pct"/>
            <w:shd w:val="clear" w:color="auto" w:fill="auto"/>
            <w:tcMar>
              <w:top w:w="15" w:type="dxa"/>
              <w:left w:w="15" w:type="dxa"/>
              <w:bottom w:w="0" w:type="dxa"/>
              <w:right w:w="15" w:type="dxa"/>
            </w:tcMar>
            <w:vAlign w:val="center"/>
          </w:tcPr>
          <w:p w14:paraId="621B8AE3" w14:textId="77777777" w:rsidR="002E474C" w:rsidRDefault="00000000">
            <w:pPr>
              <w:pStyle w:val="A-"/>
            </w:pPr>
            <w:r>
              <w:t>六价铬</w:t>
            </w:r>
          </w:p>
        </w:tc>
        <w:tc>
          <w:tcPr>
            <w:tcW w:w="437" w:type="pct"/>
            <w:shd w:val="clear" w:color="auto" w:fill="auto"/>
            <w:tcMar>
              <w:top w:w="15" w:type="dxa"/>
              <w:left w:w="15" w:type="dxa"/>
              <w:bottom w:w="0" w:type="dxa"/>
              <w:right w:w="15" w:type="dxa"/>
            </w:tcMar>
            <w:vAlign w:val="center"/>
          </w:tcPr>
          <w:p w14:paraId="55AC15E2"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45D05CC3" w14:textId="77777777" w:rsidR="002E474C" w:rsidRDefault="00000000">
            <w:pPr>
              <w:pStyle w:val="A-"/>
            </w:pPr>
            <w:r>
              <w:t>&lt;0.004</w:t>
            </w:r>
          </w:p>
        </w:tc>
        <w:tc>
          <w:tcPr>
            <w:tcW w:w="353" w:type="pct"/>
            <w:shd w:val="clear" w:color="auto" w:fill="auto"/>
            <w:tcMar>
              <w:top w:w="15" w:type="dxa"/>
              <w:left w:w="15" w:type="dxa"/>
              <w:bottom w:w="0" w:type="dxa"/>
              <w:right w:w="15" w:type="dxa"/>
            </w:tcMar>
          </w:tcPr>
          <w:p w14:paraId="658380A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0EA6786" w14:textId="77777777" w:rsidR="002E474C" w:rsidRDefault="00000000">
            <w:pPr>
              <w:pStyle w:val="A-"/>
            </w:pPr>
            <w:r>
              <w:t>&lt;0.004</w:t>
            </w:r>
          </w:p>
        </w:tc>
        <w:tc>
          <w:tcPr>
            <w:tcW w:w="318" w:type="pct"/>
            <w:shd w:val="clear" w:color="auto" w:fill="auto"/>
            <w:tcMar>
              <w:top w:w="15" w:type="dxa"/>
              <w:left w:w="15" w:type="dxa"/>
              <w:bottom w:w="0" w:type="dxa"/>
              <w:right w:w="15" w:type="dxa"/>
            </w:tcMar>
            <w:vAlign w:val="center"/>
          </w:tcPr>
          <w:p w14:paraId="3B923AA6"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3E0CA45" w14:textId="77777777" w:rsidR="002E474C" w:rsidRDefault="00000000">
            <w:pPr>
              <w:pStyle w:val="A-"/>
            </w:pPr>
            <w:r>
              <w:t>&lt;0.004</w:t>
            </w:r>
          </w:p>
        </w:tc>
        <w:tc>
          <w:tcPr>
            <w:tcW w:w="318" w:type="pct"/>
            <w:shd w:val="clear" w:color="auto" w:fill="auto"/>
            <w:tcMar>
              <w:top w:w="15" w:type="dxa"/>
              <w:left w:w="15" w:type="dxa"/>
              <w:bottom w:w="0" w:type="dxa"/>
              <w:right w:w="15" w:type="dxa"/>
            </w:tcMar>
          </w:tcPr>
          <w:p w14:paraId="11BCA7D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D7E9C06" w14:textId="77777777" w:rsidR="002E474C" w:rsidRDefault="00000000">
            <w:pPr>
              <w:pStyle w:val="A-"/>
            </w:pPr>
            <w:r>
              <w:t>&lt;0.004</w:t>
            </w:r>
          </w:p>
        </w:tc>
        <w:tc>
          <w:tcPr>
            <w:tcW w:w="325" w:type="pct"/>
            <w:shd w:val="clear" w:color="auto" w:fill="auto"/>
            <w:tcMar>
              <w:top w:w="15" w:type="dxa"/>
              <w:left w:w="15" w:type="dxa"/>
              <w:bottom w:w="0" w:type="dxa"/>
              <w:right w:w="15" w:type="dxa"/>
            </w:tcMar>
          </w:tcPr>
          <w:p w14:paraId="4D34544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B91967B" w14:textId="77777777" w:rsidR="002E474C" w:rsidRDefault="00000000">
            <w:pPr>
              <w:pStyle w:val="A-"/>
            </w:pPr>
            <w:r>
              <w:t>&lt;0.004</w:t>
            </w:r>
          </w:p>
        </w:tc>
        <w:tc>
          <w:tcPr>
            <w:tcW w:w="324" w:type="pct"/>
            <w:shd w:val="clear" w:color="auto" w:fill="auto"/>
            <w:tcMar>
              <w:top w:w="15" w:type="dxa"/>
              <w:left w:w="15" w:type="dxa"/>
              <w:bottom w:w="0" w:type="dxa"/>
              <w:right w:w="15" w:type="dxa"/>
            </w:tcMar>
          </w:tcPr>
          <w:p w14:paraId="4B46EE76"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7B36EF6B" w14:textId="77777777" w:rsidR="002E474C" w:rsidRDefault="00000000">
            <w:pPr>
              <w:pStyle w:val="A-"/>
            </w:pPr>
            <w:r>
              <w:t>≤0.05mg/L</w:t>
            </w:r>
          </w:p>
        </w:tc>
      </w:tr>
      <w:tr w:rsidR="002E474C" w14:paraId="21FC5EAF" w14:textId="77777777">
        <w:tc>
          <w:tcPr>
            <w:tcW w:w="720" w:type="pct"/>
            <w:shd w:val="clear" w:color="auto" w:fill="auto"/>
            <w:tcMar>
              <w:top w:w="15" w:type="dxa"/>
              <w:left w:w="15" w:type="dxa"/>
              <w:bottom w:w="0" w:type="dxa"/>
              <w:right w:w="15" w:type="dxa"/>
            </w:tcMar>
            <w:vAlign w:val="center"/>
          </w:tcPr>
          <w:p w14:paraId="5FFCC871" w14:textId="77777777" w:rsidR="002E474C" w:rsidRDefault="00000000">
            <w:pPr>
              <w:pStyle w:val="A-"/>
            </w:pPr>
            <w:r>
              <w:t>铁</w:t>
            </w:r>
          </w:p>
        </w:tc>
        <w:tc>
          <w:tcPr>
            <w:tcW w:w="437" w:type="pct"/>
            <w:shd w:val="clear" w:color="auto" w:fill="auto"/>
            <w:tcMar>
              <w:top w:w="15" w:type="dxa"/>
              <w:left w:w="15" w:type="dxa"/>
              <w:bottom w:w="0" w:type="dxa"/>
              <w:right w:w="15" w:type="dxa"/>
            </w:tcMar>
            <w:vAlign w:val="center"/>
          </w:tcPr>
          <w:p w14:paraId="7FA27382"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163647FA" w14:textId="77777777" w:rsidR="002E474C" w:rsidRDefault="00000000">
            <w:pPr>
              <w:pStyle w:val="A-"/>
            </w:pPr>
            <w:r>
              <w:t>0.04</w:t>
            </w:r>
          </w:p>
        </w:tc>
        <w:tc>
          <w:tcPr>
            <w:tcW w:w="353" w:type="pct"/>
            <w:shd w:val="clear" w:color="auto" w:fill="auto"/>
            <w:tcMar>
              <w:top w:w="15" w:type="dxa"/>
              <w:left w:w="15" w:type="dxa"/>
              <w:bottom w:w="0" w:type="dxa"/>
              <w:right w:w="15" w:type="dxa"/>
            </w:tcMar>
            <w:vAlign w:val="center"/>
          </w:tcPr>
          <w:p w14:paraId="3B73FE23" w14:textId="77777777" w:rsidR="002E474C" w:rsidRDefault="002E474C">
            <w:pPr>
              <w:pStyle w:val="A-"/>
            </w:pPr>
          </w:p>
        </w:tc>
        <w:tc>
          <w:tcPr>
            <w:tcW w:w="318" w:type="pct"/>
            <w:shd w:val="clear" w:color="auto" w:fill="auto"/>
            <w:tcMar>
              <w:top w:w="15" w:type="dxa"/>
              <w:left w:w="15" w:type="dxa"/>
              <w:bottom w:w="0" w:type="dxa"/>
              <w:right w:w="15" w:type="dxa"/>
            </w:tcMar>
            <w:vAlign w:val="center"/>
          </w:tcPr>
          <w:p w14:paraId="6BE96705" w14:textId="77777777" w:rsidR="002E474C" w:rsidRDefault="00000000">
            <w:pPr>
              <w:pStyle w:val="A-"/>
            </w:pPr>
            <w:r>
              <w:t>0.05</w:t>
            </w:r>
          </w:p>
        </w:tc>
        <w:tc>
          <w:tcPr>
            <w:tcW w:w="318" w:type="pct"/>
            <w:shd w:val="clear" w:color="auto" w:fill="auto"/>
            <w:tcMar>
              <w:top w:w="15" w:type="dxa"/>
              <w:left w:w="15" w:type="dxa"/>
              <w:bottom w:w="0" w:type="dxa"/>
              <w:right w:w="15" w:type="dxa"/>
            </w:tcMar>
            <w:vAlign w:val="center"/>
          </w:tcPr>
          <w:p w14:paraId="742210A4" w14:textId="77777777" w:rsidR="002E474C" w:rsidRDefault="002E474C">
            <w:pPr>
              <w:pStyle w:val="A-"/>
            </w:pPr>
          </w:p>
        </w:tc>
        <w:tc>
          <w:tcPr>
            <w:tcW w:w="318" w:type="pct"/>
            <w:shd w:val="clear" w:color="auto" w:fill="auto"/>
            <w:tcMar>
              <w:top w:w="15" w:type="dxa"/>
              <w:left w:w="15" w:type="dxa"/>
              <w:bottom w:w="0" w:type="dxa"/>
              <w:right w:w="15" w:type="dxa"/>
            </w:tcMar>
            <w:vAlign w:val="center"/>
          </w:tcPr>
          <w:p w14:paraId="59E55E16" w14:textId="77777777" w:rsidR="002E474C" w:rsidRDefault="00000000">
            <w:pPr>
              <w:pStyle w:val="A-"/>
            </w:pPr>
            <w:r>
              <w:t>0.04</w:t>
            </w:r>
          </w:p>
        </w:tc>
        <w:tc>
          <w:tcPr>
            <w:tcW w:w="318" w:type="pct"/>
            <w:shd w:val="clear" w:color="auto" w:fill="auto"/>
            <w:tcMar>
              <w:top w:w="15" w:type="dxa"/>
              <w:left w:w="15" w:type="dxa"/>
              <w:bottom w:w="0" w:type="dxa"/>
              <w:right w:w="15" w:type="dxa"/>
            </w:tcMar>
            <w:vAlign w:val="center"/>
          </w:tcPr>
          <w:p w14:paraId="4F574B3B" w14:textId="77777777" w:rsidR="002E474C" w:rsidRDefault="002E474C">
            <w:pPr>
              <w:pStyle w:val="A-"/>
            </w:pPr>
          </w:p>
        </w:tc>
        <w:tc>
          <w:tcPr>
            <w:tcW w:w="318" w:type="pct"/>
            <w:shd w:val="clear" w:color="auto" w:fill="auto"/>
            <w:tcMar>
              <w:top w:w="15" w:type="dxa"/>
              <w:left w:w="15" w:type="dxa"/>
              <w:bottom w:w="0" w:type="dxa"/>
              <w:right w:w="15" w:type="dxa"/>
            </w:tcMar>
            <w:vAlign w:val="center"/>
          </w:tcPr>
          <w:p w14:paraId="62EDFD15" w14:textId="77777777" w:rsidR="002E474C" w:rsidRDefault="00000000">
            <w:pPr>
              <w:pStyle w:val="A-"/>
            </w:pPr>
            <w:r>
              <w:t>&lt;0.01</w:t>
            </w:r>
          </w:p>
        </w:tc>
        <w:tc>
          <w:tcPr>
            <w:tcW w:w="325" w:type="pct"/>
            <w:shd w:val="clear" w:color="auto" w:fill="auto"/>
            <w:tcMar>
              <w:top w:w="15" w:type="dxa"/>
              <w:left w:w="15" w:type="dxa"/>
              <w:bottom w:w="0" w:type="dxa"/>
              <w:right w:w="15" w:type="dxa"/>
            </w:tcMar>
          </w:tcPr>
          <w:p w14:paraId="5F1308F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84C9D23" w14:textId="77777777" w:rsidR="002E474C" w:rsidRDefault="00000000">
            <w:pPr>
              <w:pStyle w:val="A-"/>
            </w:pPr>
            <w:r>
              <w:t>0.02</w:t>
            </w:r>
          </w:p>
        </w:tc>
        <w:tc>
          <w:tcPr>
            <w:tcW w:w="324" w:type="pct"/>
            <w:shd w:val="clear" w:color="auto" w:fill="auto"/>
            <w:tcMar>
              <w:top w:w="15" w:type="dxa"/>
              <w:left w:w="15" w:type="dxa"/>
              <w:bottom w:w="0" w:type="dxa"/>
              <w:right w:w="15" w:type="dxa"/>
            </w:tcMar>
            <w:vAlign w:val="center"/>
          </w:tcPr>
          <w:p w14:paraId="2E352FA4" w14:textId="77777777" w:rsidR="002E474C" w:rsidRDefault="002E474C">
            <w:pPr>
              <w:pStyle w:val="A-"/>
            </w:pPr>
          </w:p>
        </w:tc>
        <w:tc>
          <w:tcPr>
            <w:tcW w:w="576" w:type="pct"/>
            <w:shd w:val="clear" w:color="auto" w:fill="auto"/>
            <w:tcMar>
              <w:top w:w="15" w:type="dxa"/>
              <w:left w:w="15" w:type="dxa"/>
              <w:bottom w:w="0" w:type="dxa"/>
              <w:right w:w="15" w:type="dxa"/>
            </w:tcMar>
            <w:vAlign w:val="center"/>
          </w:tcPr>
          <w:p w14:paraId="49717E05" w14:textId="77777777" w:rsidR="002E474C" w:rsidRDefault="00000000">
            <w:pPr>
              <w:pStyle w:val="A-"/>
            </w:pPr>
            <w:r>
              <w:t>≤0.3mg/L</w:t>
            </w:r>
          </w:p>
        </w:tc>
      </w:tr>
      <w:tr w:rsidR="002E474C" w14:paraId="11DE5665" w14:textId="77777777">
        <w:tc>
          <w:tcPr>
            <w:tcW w:w="720" w:type="pct"/>
            <w:shd w:val="clear" w:color="auto" w:fill="auto"/>
            <w:tcMar>
              <w:top w:w="15" w:type="dxa"/>
              <w:left w:w="15" w:type="dxa"/>
              <w:bottom w:w="0" w:type="dxa"/>
              <w:right w:w="15" w:type="dxa"/>
            </w:tcMar>
            <w:vAlign w:val="center"/>
          </w:tcPr>
          <w:p w14:paraId="69C92362" w14:textId="77777777" w:rsidR="002E474C" w:rsidRDefault="00000000">
            <w:pPr>
              <w:pStyle w:val="A-"/>
            </w:pPr>
            <w:r>
              <w:t>锰</w:t>
            </w:r>
          </w:p>
        </w:tc>
        <w:tc>
          <w:tcPr>
            <w:tcW w:w="437" w:type="pct"/>
            <w:shd w:val="clear" w:color="auto" w:fill="auto"/>
            <w:tcMar>
              <w:top w:w="15" w:type="dxa"/>
              <w:left w:w="15" w:type="dxa"/>
              <w:bottom w:w="0" w:type="dxa"/>
              <w:right w:w="15" w:type="dxa"/>
            </w:tcMar>
            <w:vAlign w:val="center"/>
          </w:tcPr>
          <w:p w14:paraId="645F4F33" w14:textId="77777777" w:rsidR="002E474C" w:rsidRDefault="00000000">
            <w:pPr>
              <w:pStyle w:val="A-"/>
            </w:pPr>
            <w:r>
              <w:t>mg/L</w:t>
            </w:r>
          </w:p>
        </w:tc>
        <w:tc>
          <w:tcPr>
            <w:tcW w:w="351" w:type="pct"/>
            <w:shd w:val="clear" w:color="auto" w:fill="auto"/>
            <w:tcMar>
              <w:top w:w="15" w:type="dxa"/>
              <w:left w:w="15" w:type="dxa"/>
              <w:bottom w:w="0" w:type="dxa"/>
              <w:right w:w="15" w:type="dxa"/>
            </w:tcMar>
            <w:vAlign w:val="center"/>
          </w:tcPr>
          <w:p w14:paraId="376E473F" w14:textId="77777777" w:rsidR="002E474C" w:rsidRDefault="00000000">
            <w:pPr>
              <w:pStyle w:val="A-"/>
            </w:pPr>
            <w:r>
              <w:t>0.01</w:t>
            </w:r>
          </w:p>
        </w:tc>
        <w:tc>
          <w:tcPr>
            <w:tcW w:w="353" w:type="pct"/>
            <w:shd w:val="clear" w:color="auto" w:fill="auto"/>
            <w:tcMar>
              <w:top w:w="15" w:type="dxa"/>
              <w:left w:w="15" w:type="dxa"/>
              <w:bottom w:w="0" w:type="dxa"/>
              <w:right w:w="15" w:type="dxa"/>
            </w:tcMar>
            <w:vAlign w:val="center"/>
          </w:tcPr>
          <w:p w14:paraId="1CB00F0F" w14:textId="77777777" w:rsidR="002E474C" w:rsidRDefault="00000000">
            <w:pPr>
              <w:pStyle w:val="A-"/>
            </w:pPr>
            <w:r>
              <w:t>0.05</w:t>
            </w:r>
          </w:p>
        </w:tc>
        <w:tc>
          <w:tcPr>
            <w:tcW w:w="318" w:type="pct"/>
            <w:shd w:val="clear" w:color="auto" w:fill="auto"/>
            <w:tcMar>
              <w:top w:w="15" w:type="dxa"/>
              <w:left w:w="15" w:type="dxa"/>
              <w:bottom w:w="0" w:type="dxa"/>
              <w:right w:w="15" w:type="dxa"/>
            </w:tcMar>
            <w:vAlign w:val="center"/>
          </w:tcPr>
          <w:p w14:paraId="293E7DC1" w14:textId="77777777" w:rsidR="002E474C" w:rsidRDefault="00000000">
            <w:pPr>
              <w:pStyle w:val="A-"/>
            </w:pPr>
            <w:r>
              <w:t>&lt;0.01</w:t>
            </w:r>
          </w:p>
        </w:tc>
        <w:tc>
          <w:tcPr>
            <w:tcW w:w="318" w:type="pct"/>
            <w:shd w:val="clear" w:color="auto" w:fill="auto"/>
            <w:tcMar>
              <w:top w:w="15" w:type="dxa"/>
              <w:left w:w="15" w:type="dxa"/>
              <w:bottom w:w="0" w:type="dxa"/>
              <w:right w:w="15" w:type="dxa"/>
            </w:tcMar>
            <w:vAlign w:val="center"/>
          </w:tcPr>
          <w:p w14:paraId="5D6B1DA4"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15D162F" w14:textId="77777777" w:rsidR="002E474C" w:rsidRDefault="00000000">
            <w:pPr>
              <w:pStyle w:val="A-"/>
            </w:pPr>
            <w:r>
              <w:t>&lt;0.01</w:t>
            </w:r>
          </w:p>
        </w:tc>
        <w:tc>
          <w:tcPr>
            <w:tcW w:w="318" w:type="pct"/>
            <w:shd w:val="clear" w:color="auto" w:fill="auto"/>
            <w:tcMar>
              <w:top w:w="15" w:type="dxa"/>
              <w:left w:w="15" w:type="dxa"/>
              <w:bottom w:w="0" w:type="dxa"/>
              <w:right w:w="15" w:type="dxa"/>
            </w:tcMar>
            <w:vAlign w:val="center"/>
          </w:tcPr>
          <w:p w14:paraId="1B2901B6"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F3367AE" w14:textId="77777777" w:rsidR="002E474C" w:rsidRDefault="00000000">
            <w:pPr>
              <w:pStyle w:val="A-"/>
            </w:pPr>
            <w:r>
              <w:t>&lt;0.01</w:t>
            </w:r>
          </w:p>
        </w:tc>
        <w:tc>
          <w:tcPr>
            <w:tcW w:w="325" w:type="pct"/>
            <w:shd w:val="clear" w:color="auto" w:fill="auto"/>
            <w:tcMar>
              <w:top w:w="15" w:type="dxa"/>
              <w:left w:w="15" w:type="dxa"/>
              <w:bottom w:w="0" w:type="dxa"/>
              <w:right w:w="15" w:type="dxa"/>
            </w:tcMar>
            <w:vAlign w:val="center"/>
          </w:tcPr>
          <w:p w14:paraId="421D3968"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6301149" w14:textId="77777777" w:rsidR="002E474C" w:rsidRDefault="00000000">
            <w:pPr>
              <w:pStyle w:val="A-"/>
            </w:pPr>
            <w:r>
              <w:t>&lt;0.01</w:t>
            </w:r>
          </w:p>
        </w:tc>
        <w:tc>
          <w:tcPr>
            <w:tcW w:w="324" w:type="pct"/>
            <w:shd w:val="clear" w:color="auto" w:fill="auto"/>
            <w:tcMar>
              <w:top w:w="15" w:type="dxa"/>
              <w:left w:w="15" w:type="dxa"/>
              <w:bottom w:w="0" w:type="dxa"/>
              <w:right w:w="15" w:type="dxa"/>
            </w:tcMar>
            <w:vAlign w:val="center"/>
          </w:tcPr>
          <w:p w14:paraId="2D141ACD"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7754F8EB" w14:textId="77777777" w:rsidR="002E474C" w:rsidRDefault="00000000">
            <w:pPr>
              <w:pStyle w:val="A-"/>
            </w:pPr>
            <w:r>
              <w:t>≤0.10mg/L</w:t>
            </w:r>
          </w:p>
        </w:tc>
      </w:tr>
      <w:tr w:rsidR="002E474C" w14:paraId="40F37D2F" w14:textId="77777777">
        <w:tc>
          <w:tcPr>
            <w:tcW w:w="720" w:type="pct"/>
            <w:shd w:val="clear" w:color="auto" w:fill="auto"/>
            <w:tcMar>
              <w:top w:w="15" w:type="dxa"/>
              <w:left w:w="15" w:type="dxa"/>
              <w:bottom w:w="0" w:type="dxa"/>
              <w:right w:w="15" w:type="dxa"/>
            </w:tcMar>
            <w:vAlign w:val="center"/>
          </w:tcPr>
          <w:p w14:paraId="19A52075" w14:textId="77777777" w:rsidR="002E474C" w:rsidRDefault="00000000">
            <w:pPr>
              <w:pStyle w:val="A-"/>
            </w:pPr>
            <w:r>
              <w:t>总大肠菌群</w:t>
            </w:r>
          </w:p>
        </w:tc>
        <w:tc>
          <w:tcPr>
            <w:tcW w:w="437" w:type="pct"/>
            <w:shd w:val="clear" w:color="auto" w:fill="auto"/>
            <w:tcMar>
              <w:top w:w="15" w:type="dxa"/>
              <w:left w:w="15" w:type="dxa"/>
              <w:bottom w:w="0" w:type="dxa"/>
              <w:right w:w="15" w:type="dxa"/>
            </w:tcMar>
            <w:vAlign w:val="center"/>
          </w:tcPr>
          <w:p w14:paraId="6EDAF215" w14:textId="77777777" w:rsidR="002E474C" w:rsidRDefault="00000000">
            <w:pPr>
              <w:pStyle w:val="A-"/>
            </w:pPr>
            <w:r>
              <w:t>MPN/100mL</w:t>
            </w:r>
          </w:p>
        </w:tc>
        <w:tc>
          <w:tcPr>
            <w:tcW w:w="351" w:type="pct"/>
            <w:shd w:val="clear" w:color="auto" w:fill="auto"/>
            <w:tcMar>
              <w:top w:w="15" w:type="dxa"/>
              <w:left w:w="15" w:type="dxa"/>
              <w:bottom w:w="0" w:type="dxa"/>
              <w:right w:w="15" w:type="dxa"/>
            </w:tcMar>
            <w:vAlign w:val="center"/>
          </w:tcPr>
          <w:p w14:paraId="6085F7B4" w14:textId="77777777" w:rsidR="002E474C" w:rsidRDefault="00000000">
            <w:pPr>
              <w:pStyle w:val="A-"/>
            </w:pPr>
            <w:r>
              <w:t>&lt;1</w:t>
            </w:r>
          </w:p>
        </w:tc>
        <w:tc>
          <w:tcPr>
            <w:tcW w:w="353" w:type="pct"/>
            <w:shd w:val="clear" w:color="auto" w:fill="auto"/>
            <w:tcMar>
              <w:top w:w="15" w:type="dxa"/>
              <w:left w:w="15" w:type="dxa"/>
              <w:bottom w:w="0" w:type="dxa"/>
              <w:right w:w="15" w:type="dxa"/>
            </w:tcMar>
          </w:tcPr>
          <w:p w14:paraId="0E7C99C6"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5D23EB30" w14:textId="77777777" w:rsidR="002E474C" w:rsidRDefault="00000000">
            <w:pPr>
              <w:pStyle w:val="A-"/>
            </w:pPr>
            <w:r>
              <w:t>&lt;1</w:t>
            </w:r>
          </w:p>
        </w:tc>
        <w:tc>
          <w:tcPr>
            <w:tcW w:w="318" w:type="pct"/>
            <w:shd w:val="clear" w:color="auto" w:fill="auto"/>
            <w:tcMar>
              <w:top w:w="15" w:type="dxa"/>
              <w:left w:w="15" w:type="dxa"/>
              <w:bottom w:w="0" w:type="dxa"/>
              <w:right w:w="15" w:type="dxa"/>
            </w:tcMar>
          </w:tcPr>
          <w:p w14:paraId="46027B5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684359FA" w14:textId="77777777" w:rsidR="002E474C" w:rsidRDefault="00000000">
            <w:pPr>
              <w:pStyle w:val="A-"/>
            </w:pPr>
            <w:r>
              <w:t>&lt;1</w:t>
            </w:r>
          </w:p>
        </w:tc>
        <w:tc>
          <w:tcPr>
            <w:tcW w:w="318" w:type="pct"/>
            <w:shd w:val="clear" w:color="auto" w:fill="auto"/>
            <w:tcMar>
              <w:top w:w="15" w:type="dxa"/>
              <w:left w:w="15" w:type="dxa"/>
              <w:bottom w:w="0" w:type="dxa"/>
              <w:right w:w="15" w:type="dxa"/>
            </w:tcMar>
          </w:tcPr>
          <w:p w14:paraId="7ADFB8B0"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3BD3537" w14:textId="77777777" w:rsidR="002E474C" w:rsidRDefault="00000000">
            <w:pPr>
              <w:pStyle w:val="A-"/>
            </w:pPr>
            <w:r>
              <w:t>&lt;1</w:t>
            </w:r>
          </w:p>
        </w:tc>
        <w:tc>
          <w:tcPr>
            <w:tcW w:w="325" w:type="pct"/>
            <w:shd w:val="clear" w:color="auto" w:fill="auto"/>
            <w:tcMar>
              <w:top w:w="15" w:type="dxa"/>
              <w:left w:w="15" w:type="dxa"/>
              <w:bottom w:w="0" w:type="dxa"/>
              <w:right w:w="15" w:type="dxa"/>
            </w:tcMar>
          </w:tcPr>
          <w:p w14:paraId="3CAF73C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1FA137B" w14:textId="77777777" w:rsidR="002E474C" w:rsidRDefault="00000000">
            <w:pPr>
              <w:pStyle w:val="A-"/>
            </w:pPr>
            <w:r>
              <w:t>&lt;1</w:t>
            </w:r>
          </w:p>
        </w:tc>
        <w:tc>
          <w:tcPr>
            <w:tcW w:w="324" w:type="pct"/>
            <w:shd w:val="clear" w:color="auto" w:fill="auto"/>
            <w:tcMar>
              <w:top w:w="15" w:type="dxa"/>
              <w:left w:w="15" w:type="dxa"/>
              <w:bottom w:w="0" w:type="dxa"/>
              <w:right w:w="15" w:type="dxa"/>
            </w:tcMar>
          </w:tcPr>
          <w:p w14:paraId="61CA1C44"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21AB3A97" w14:textId="77777777" w:rsidR="002E474C" w:rsidRDefault="00000000">
            <w:pPr>
              <w:pStyle w:val="A-"/>
            </w:pPr>
            <w:r>
              <w:t>≤3.0MPN/100mL</w:t>
            </w:r>
          </w:p>
        </w:tc>
      </w:tr>
      <w:tr w:rsidR="002E474C" w14:paraId="5A8B5E77" w14:textId="77777777">
        <w:tc>
          <w:tcPr>
            <w:tcW w:w="720" w:type="pct"/>
            <w:shd w:val="clear" w:color="auto" w:fill="auto"/>
            <w:tcMar>
              <w:top w:w="15" w:type="dxa"/>
              <w:left w:w="15" w:type="dxa"/>
              <w:bottom w:w="0" w:type="dxa"/>
              <w:right w:w="15" w:type="dxa"/>
            </w:tcMar>
            <w:vAlign w:val="center"/>
          </w:tcPr>
          <w:p w14:paraId="5816551B" w14:textId="77777777" w:rsidR="002E474C" w:rsidRDefault="00000000">
            <w:pPr>
              <w:pStyle w:val="A-"/>
            </w:pPr>
            <w:r>
              <w:t>阴离子表面活性剂</w:t>
            </w:r>
          </w:p>
        </w:tc>
        <w:tc>
          <w:tcPr>
            <w:tcW w:w="437" w:type="pct"/>
            <w:shd w:val="clear" w:color="auto" w:fill="auto"/>
            <w:tcMar>
              <w:top w:w="15" w:type="dxa"/>
              <w:left w:w="15" w:type="dxa"/>
              <w:bottom w:w="0" w:type="dxa"/>
              <w:right w:w="15" w:type="dxa"/>
            </w:tcMar>
            <w:vAlign w:val="center"/>
          </w:tcPr>
          <w:p w14:paraId="6BCBCF43" w14:textId="77777777" w:rsidR="002E474C" w:rsidRDefault="00000000">
            <w:pPr>
              <w:pStyle w:val="A-"/>
              <w:rPr>
                <w:rFonts w:eastAsia="等线"/>
              </w:rPr>
            </w:pPr>
            <w:r>
              <w:t>mg/L</w:t>
            </w:r>
          </w:p>
        </w:tc>
        <w:tc>
          <w:tcPr>
            <w:tcW w:w="351" w:type="pct"/>
            <w:shd w:val="clear" w:color="auto" w:fill="auto"/>
            <w:tcMar>
              <w:top w:w="15" w:type="dxa"/>
              <w:left w:w="15" w:type="dxa"/>
              <w:bottom w:w="0" w:type="dxa"/>
              <w:right w:w="15" w:type="dxa"/>
            </w:tcMar>
            <w:vAlign w:val="center"/>
          </w:tcPr>
          <w:p w14:paraId="04DB311C" w14:textId="77777777" w:rsidR="002E474C" w:rsidRDefault="00000000">
            <w:pPr>
              <w:pStyle w:val="A-"/>
            </w:pPr>
            <w:r>
              <w:t>&lt;0.05</w:t>
            </w:r>
          </w:p>
        </w:tc>
        <w:tc>
          <w:tcPr>
            <w:tcW w:w="353" w:type="pct"/>
            <w:shd w:val="clear" w:color="auto" w:fill="auto"/>
            <w:tcMar>
              <w:top w:w="15" w:type="dxa"/>
              <w:left w:w="15" w:type="dxa"/>
              <w:bottom w:w="0" w:type="dxa"/>
              <w:right w:w="15" w:type="dxa"/>
            </w:tcMar>
          </w:tcPr>
          <w:p w14:paraId="67F7A4B5"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2276B409" w14:textId="77777777" w:rsidR="002E474C" w:rsidRDefault="00000000">
            <w:pPr>
              <w:pStyle w:val="A-"/>
            </w:pPr>
            <w:r>
              <w:t>&lt;0.05</w:t>
            </w:r>
          </w:p>
        </w:tc>
        <w:tc>
          <w:tcPr>
            <w:tcW w:w="318" w:type="pct"/>
            <w:shd w:val="clear" w:color="auto" w:fill="auto"/>
            <w:tcMar>
              <w:top w:w="15" w:type="dxa"/>
              <w:left w:w="15" w:type="dxa"/>
              <w:bottom w:w="0" w:type="dxa"/>
              <w:right w:w="15" w:type="dxa"/>
            </w:tcMar>
          </w:tcPr>
          <w:p w14:paraId="3EE56F8C"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02F52322" w14:textId="77777777" w:rsidR="002E474C" w:rsidRDefault="00000000">
            <w:pPr>
              <w:pStyle w:val="A-"/>
            </w:pPr>
            <w:r>
              <w:t>&lt;0.05</w:t>
            </w:r>
          </w:p>
        </w:tc>
        <w:tc>
          <w:tcPr>
            <w:tcW w:w="318" w:type="pct"/>
            <w:shd w:val="clear" w:color="auto" w:fill="auto"/>
            <w:tcMar>
              <w:top w:w="15" w:type="dxa"/>
              <w:left w:w="15" w:type="dxa"/>
              <w:bottom w:w="0" w:type="dxa"/>
              <w:right w:w="15" w:type="dxa"/>
            </w:tcMar>
          </w:tcPr>
          <w:p w14:paraId="11517797"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7D65A416" w14:textId="77777777" w:rsidR="002E474C" w:rsidRDefault="00000000">
            <w:pPr>
              <w:pStyle w:val="A-"/>
            </w:pPr>
            <w:r>
              <w:t>&lt;0.05</w:t>
            </w:r>
          </w:p>
        </w:tc>
        <w:tc>
          <w:tcPr>
            <w:tcW w:w="325" w:type="pct"/>
            <w:shd w:val="clear" w:color="auto" w:fill="auto"/>
            <w:tcMar>
              <w:top w:w="15" w:type="dxa"/>
              <w:left w:w="15" w:type="dxa"/>
              <w:bottom w:w="0" w:type="dxa"/>
              <w:right w:w="15" w:type="dxa"/>
            </w:tcMar>
          </w:tcPr>
          <w:p w14:paraId="3F54D4BB" w14:textId="77777777" w:rsidR="002E474C" w:rsidRDefault="00000000">
            <w:pPr>
              <w:pStyle w:val="A-"/>
            </w:pPr>
            <w:r>
              <w:t>/</w:t>
            </w:r>
          </w:p>
        </w:tc>
        <w:tc>
          <w:tcPr>
            <w:tcW w:w="318" w:type="pct"/>
            <w:shd w:val="clear" w:color="auto" w:fill="auto"/>
            <w:tcMar>
              <w:top w:w="15" w:type="dxa"/>
              <w:left w:w="15" w:type="dxa"/>
              <w:bottom w:w="0" w:type="dxa"/>
              <w:right w:w="15" w:type="dxa"/>
            </w:tcMar>
            <w:vAlign w:val="center"/>
          </w:tcPr>
          <w:p w14:paraId="3471E3C6" w14:textId="77777777" w:rsidR="002E474C" w:rsidRDefault="00000000">
            <w:pPr>
              <w:pStyle w:val="A-"/>
            </w:pPr>
            <w:r>
              <w:t>&lt;0.05</w:t>
            </w:r>
          </w:p>
        </w:tc>
        <w:tc>
          <w:tcPr>
            <w:tcW w:w="324" w:type="pct"/>
            <w:shd w:val="clear" w:color="auto" w:fill="auto"/>
            <w:tcMar>
              <w:top w:w="15" w:type="dxa"/>
              <w:left w:w="15" w:type="dxa"/>
              <w:bottom w:w="0" w:type="dxa"/>
              <w:right w:w="15" w:type="dxa"/>
            </w:tcMar>
          </w:tcPr>
          <w:p w14:paraId="103BF49B" w14:textId="77777777" w:rsidR="002E474C" w:rsidRDefault="00000000">
            <w:pPr>
              <w:pStyle w:val="A-"/>
            </w:pPr>
            <w:r>
              <w:t>/</w:t>
            </w:r>
          </w:p>
        </w:tc>
        <w:tc>
          <w:tcPr>
            <w:tcW w:w="576" w:type="pct"/>
            <w:shd w:val="clear" w:color="auto" w:fill="auto"/>
            <w:tcMar>
              <w:top w:w="15" w:type="dxa"/>
              <w:left w:w="15" w:type="dxa"/>
              <w:bottom w:w="0" w:type="dxa"/>
              <w:right w:w="15" w:type="dxa"/>
            </w:tcMar>
            <w:vAlign w:val="center"/>
          </w:tcPr>
          <w:p w14:paraId="67239155" w14:textId="77777777" w:rsidR="002E474C" w:rsidRDefault="00000000">
            <w:pPr>
              <w:pStyle w:val="A-"/>
            </w:pPr>
            <w:r>
              <w:t>≤0.3mg/L</w:t>
            </w:r>
          </w:p>
        </w:tc>
      </w:tr>
    </w:tbl>
    <w:p w14:paraId="2FB3ED59"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24A53B50" w14:textId="77777777" w:rsidR="002E474C" w:rsidRDefault="00000000">
      <w:pPr>
        <w:pStyle w:val="41"/>
        <w:rPr>
          <w:color w:val="auto"/>
        </w:rPr>
      </w:pPr>
      <w:r>
        <w:rPr>
          <w:color w:val="auto"/>
        </w:rPr>
        <w:lastRenderedPageBreak/>
        <w:t>包气带污染情况调查</w:t>
      </w:r>
    </w:p>
    <w:p w14:paraId="71E12694" w14:textId="77777777" w:rsidR="002E474C" w:rsidRDefault="00000000">
      <w:pPr>
        <w:pStyle w:val="A-z"/>
        <w:rPr>
          <w:color w:val="auto"/>
        </w:rPr>
      </w:pPr>
      <w:r>
        <w:rPr>
          <w:color w:val="auto"/>
        </w:rPr>
        <w:t>环评根据厂区内及厂区外土壤表层样与柱状样取样检测结果，分析包气带污染情况。土壤表层样在</w:t>
      </w:r>
      <w:r>
        <w:rPr>
          <w:color w:val="auto"/>
        </w:rPr>
        <w:t>0-0.2m</w:t>
      </w:r>
      <w:r>
        <w:rPr>
          <w:color w:val="auto"/>
        </w:rPr>
        <w:t>取样，土壤柱状样在</w:t>
      </w:r>
      <w:r>
        <w:rPr>
          <w:color w:val="auto"/>
        </w:rPr>
        <w:t>0-0.5m</w:t>
      </w:r>
      <w:r>
        <w:rPr>
          <w:color w:val="auto"/>
        </w:rPr>
        <w:t>、</w:t>
      </w:r>
      <w:r>
        <w:rPr>
          <w:color w:val="auto"/>
        </w:rPr>
        <w:t>0.5-1.5m</w:t>
      </w:r>
      <w:r>
        <w:rPr>
          <w:color w:val="auto"/>
        </w:rPr>
        <w:t>、</w:t>
      </w:r>
      <w:r>
        <w:rPr>
          <w:color w:val="auto"/>
        </w:rPr>
        <w:t>1.5-3m</w:t>
      </w:r>
      <w:r>
        <w:rPr>
          <w:color w:val="auto"/>
        </w:rPr>
        <w:t>分别取样。分层取样检测结果基本可以判定厂区内外各层土壤受污染状况。</w:t>
      </w:r>
    </w:p>
    <w:p w14:paraId="6591F6A5" w14:textId="77777777" w:rsidR="002E474C" w:rsidRDefault="00000000">
      <w:pPr>
        <w:pStyle w:val="A-z"/>
        <w:ind w:firstLine="456"/>
        <w:rPr>
          <w:color w:val="auto"/>
          <w:spacing w:val="-6"/>
        </w:rPr>
      </w:pPr>
      <w:r>
        <w:rPr>
          <w:color w:val="auto"/>
          <w:spacing w:val="-6"/>
        </w:rPr>
        <w:t>根据土壤环境质量现状调查与评价结果，项目区建设用地土壤各监测点的基本项目和特征因子均未超出《土壤环境质量</w:t>
      </w:r>
      <w:r>
        <w:rPr>
          <w:color w:val="auto"/>
          <w:spacing w:val="-6"/>
        </w:rPr>
        <w:t xml:space="preserve"> </w:t>
      </w:r>
      <w:r>
        <w:rPr>
          <w:color w:val="auto"/>
          <w:spacing w:val="-6"/>
        </w:rPr>
        <w:t>建设用地土壤污染风险管控标准（试行）》（</w:t>
      </w:r>
      <w:r>
        <w:rPr>
          <w:color w:val="auto"/>
          <w:spacing w:val="-6"/>
        </w:rPr>
        <w:t>GB36600-2018</w:t>
      </w:r>
      <w:r>
        <w:rPr>
          <w:color w:val="auto"/>
          <w:spacing w:val="-6"/>
        </w:rPr>
        <w:t>）中表</w:t>
      </w:r>
      <w:r>
        <w:rPr>
          <w:color w:val="auto"/>
          <w:spacing w:val="-6"/>
        </w:rPr>
        <w:t>1</w:t>
      </w:r>
      <w:r>
        <w:rPr>
          <w:color w:val="auto"/>
          <w:spacing w:val="-6"/>
        </w:rPr>
        <w:t>建设用地土壤污染风险第二类用地筛选值。</w:t>
      </w:r>
      <w:bookmarkStart w:id="247" w:name="_Hlk159430078"/>
      <w:r>
        <w:rPr>
          <w:color w:val="auto"/>
          <w:spacing w:val="-6"/>
        </w:rPr>
        <w:t>厂区及附近区域的包气带未受到污染。</w:t>
      </w:r>
      <w:bookmarkEnd w:id="247"/>
    </w:p>
    <w:p w14:paraId="2BB013F3" w14:textId="77777777" w:rsidR="002E474C" w:rsidRDefault="00000000">
      <w:pPr>
        <w:pStyle w:val="31"/>
        <w:spacing w:before="120" w:after="120"/>
        <w:rPr>
          <w:color w:val="auto"/>
        </w:rPr>
      </w:pPr>
      <w:r>
        <w:rPr>
          <w:color w:val="auto"/>
        </w:rPr>
        <w:t>声环境质量现状监测与评价</w:t>
      </w:r>
    </w:p>
    <w:p w14:paraId="1CFA1C5C" w14:textId="77777777" w:rsidR="002E474C" w:rsidRDefault="00000000">
      <w:pPr>
        <w:pStyle w:val="A-z"/>
        <w:rPr>
          <w:color w:val="auto"/>
        </w:rPr>
      </w:pPr>
      <w:r>
        <w:rPr>
          <w:color w:val="auto"/>
        </w:rPr>
        <w:t>（</w:t>
      </w:r>
      <w:r>
        <w:rPr>
          <w:color w:val="auto"/>
        </w:rPr>
        <w:t>1</w:t>
      </w:r>
      <w:r>
        <w:rPr>
          <w:color w:val="auto"/>
        </w:rPr>
        <w:t>）</w:t>
      </w:r>
      <w:r>
        <w:rPr>
          <w:color w:val="auto"/>
        </w:rPr>
        <w:tab/>
      </w:r>
      <w:r>
        <w:rPr>
          <w:color w:val="auto"/>
        </w:rPr>
        <w:t>监测因子与监测点位</w:t>
      </w:r>
    </w:p>
    <w:p w14:paraId="58B2EA92" w14:textId="77777777" w:rsidR="00BD6279" w:rsidRDefault="00000000">
      <w:pPr>
        <w:pStyle w:val="A-z"/>
        <w:rPr>
          <w:color w:val="auto"/>
        </w:rPr>
      </w:pPr>
      <w:r>
        <w:rPr>
          <w:color w:val="auto"/>
        </w:rPr>
        <w:t>本评价委托监测单位新疆壹诺环保科技有限公司对项目厂界周边开展了声环境质量现状监测。监测因子为昼间等效</w:t>
      </w:r>
      <w:r>
        <w:rPr>
          <w:color w:val="auto"/>
        </w:rPr>
        <w:t>A</w:t>
      </w:r>
      <w:r>
        <w:rPr>
          <w:color w:val="auto"/>
        </w:rPr>
        <w:t>声级（</w:t>
      </w:r>
      <w:r>
        <w:rPr>
          <w:color w:val="auto"/>
        </w:rPr>
        <w:t>L</w:t>
      </w:r>
      <w:r>
        <w:rPr>
          <w:color w:val="auto"/>
          <w:vertAlign w:val="subscript"/>
        </w:rPr>
        <w:t>d</w:t>
      </w:r>
      <w:r>
        <w:rPr>
          <w:color w:val="auto"/>
        </w:rPr>
        <w:t>）、夜间等效</w:t>
      </w:r>
      <w:r>
        <w:rPr>
          <w:color w:val="auto"/>
        </w:rPr>
        <w:t>A</w:t>
      </w:r>
      <w:r>
        <w:rPr>
          <w:color w:val="auto"/>
        </w:rPr>
        <w:t>声级（</w:t>
      </w:r>
      <w:r>
        <w:rPr>
          <w:color w:val="auto"/>
        </w:rPr>
        <w:t>L</w:t>
      </w:r>
      <w:r>
        <w:rPr>
          <w:color w:val="auto"/>
          <w:vertAlign w:val="subscript"/>
        </w:rPr>
        <w:t>n</w:t>
      </w:r>
      <w:r>
        <w:rPr>
          <w:color w:val="auto"/>
        </w:rPr>
        <w:t>），共设</w:t>
      </w:r>
      <w:r>
        <w:rPr>
          <w:color w:val="auto"/>
        </w:rPr>
        <w:t>4</w:t>
      </w:r>
      <w:r>
        <w:rPr>
          <w:color w:val="auto"/>
        </w:rPr>
        <w:t>个监测点，监测点位信息与分布情况见图</w:t>
      </w:r>
      <w:r>
        <w:rPr>
          <w:color w:val="auto"/>
        </w:rPr>
        <w:t>4.3-2</w:t>
      </w:r>
      <w:r>
        <w:rPr>
          <w:color w:val="auto"/>
        </w:rPr>
        <w:t>。</w:t>
      </w:r>
    </w:p>
    <w:p w14:paraId="1BB25C1F" w14:textId="77998C93" w:rsidR="002E474C" w:rsidRDefault="00000000">
      <w:pPr>
        <w:pStyle w:val="A-z"/>
        <w:rPr>
          <w:color w:val="auto"/>
        </w:rPr>
      </w:pPr>
      <w:r>
        <w:rPr>
          <w:color w:val="auto"/>
        </w:rPr>
        <w:t>（</w:t>
      </w:r>
      <w:r>
        <w:rPr>
          <w:color w:val="auto"/>
        </w:rPr>
        <w:t>2</w:t>
      </w:r>
      <w:r>
        <w:rPr>
          <w:color w:val="auto"/>
        </w:rPr>
        <w:t>）监测时间与频次</w:t>
      </w:r>
    </w:p>
    <w:p w14:paraId="2484D8AC" w14:textId="77777777" w:rsidR="002E474C" w:rsidRDefault="00000000">
      <w:pPr>
        <w:pStyle w:val="A-z"/>
        <w:rPr>
          <w:color w:val="auto"/>
        </w:rPr>
      </w:pPr>
      <w:r>
        <w:rPr>
          <w:color w:val="auto"/>
        </w:rPr>
        <w:t>监测时间为</w:t>
      </w:r>
      <w:r>
        <w:rPr>
          <w:color w:val="auto"/>
        </w:rPr>
        <w:t>2026</w:t>
      </w:r>
      <w:r>
        <w:rPr>
          <w:color w:val="auto"/>
        </w:rPr>
        <w:t>年</w:t>
      </w:r>
      <w:r>
        <w:rPr>
          <w:color w:val="auto"/>
        </w:rPr>
        <w:t>1</w:t>
      </w:r>
      <w:r>
        <w:rPr>
          <w:color w:val="auto"/>
        </w:rPr>
        <w:t>月</w:t>
      </w:r>
      <w:r>
        <w:rPr>
          <w:color w:val="auto"/>
        </w:rPr>
        <w:t>29</w:t>
      </w:r>
      <w:r>
        <w:rPr>
          <w:color w:val="auto"/>
        </w:rPr>
        <w:t>日～</w:t>
      </w:r>
      <w:r>
        <w:rPr>
          <w:color w:val="auto"/>
        </w:rPr>
        <w:t>1</w:t>
      </w:r>
      <w:r>
        <w:rPr>
          <w:color w:val="auto"/>
        </w:rPr>
        <w:t>月</w:t>
      </w:r>
      <w:r>
        <w:rPr>
          <w:color w:val="auto"/>
        </w:rPr>
        <w:t>30</w:t>
      </w:r>
      <w:r>
        <w:rPr>
          <w:color w:val="auto"/>
        </w:rPr>
        <w:t>日，昼、夜各一次。</w:t>
      </w:r>
    </w:p>
    <w:p w14:paraId="1778F5EF" w14:textId="77777777" w:rsidR="002E474C" w:rsidRDefault="00000000">
      <w:pPr>
        <w:pStyle w:val="A-z"/>
        <w:rPr>
          <w:color w:val="auto"/>
        </w:rPr>
      </w:pPr>
      <w:r>
        <w:rPr>
          <w:color w:val="auto"/>
        </w:rPr>
        <w:t>（</w:t>
      </w:r>
      <w:r>
        <w:rPr>
          <w:color w:val="auto"/>
        </w:rPr>
        <w:t>3</w:t>
      </w:r>
      <w:r>
        <w:rPr>
          <w:color w:val="auto"/>
        </w:rPr>
        <w:t>）评价标准</w:t>
      </w:r>
    </w:p>
    <w:p w14:paraId="167F9530" w14:textId="77777777" w:rsidR="002E474C" w:rsidRDefault="00000000">
      <w:pPr>
        <w:pStyle w:val="A-z"/>
        <w:rPr>
          <w:color w:val="auto"/>
        </w:rPr>
      </w:pPr>
      <w:r>
        <w:rPr>
          <w:color w:val="auto"/>
        </w:rPr>
        <w:t>项目执行《声环境质量标准》（</w:t>
      </w:r>
      <w:r>
        <w:rPr>
          <w:color w:val="auto"/>
        </w:rPr>
        <w:t>GB3096-2008</w:t>
      </w:r>
      <w:r>
        <w:rPr>
          <w:color w:val="auto"/>
        </w:rPr>
        <w:t>）</w:t>
      </w:r>
      <w:r>
        <w:rPr>
          <w:color w:val="auto"/>
        </w:rPr>
        <w:t>3</w:t>
      </w:r>
      <w:r>
        <w:rPr>
          <w:color w:val="auto"/>
        </w:rPr>
        <w:t>类标准，即昼间</w:t>
      </w:r>
      <w:r>
        <w:rPr>
          <w:color w:val="auto"/>
        </w:rPr>
        <w:t>65dB</w:t>
      </w:r>
      <w:r>
        <w:rPr>
          <w:color w:val="auto"/>
        </w:rPr>
        <w:t>（</w:t>
      </w:r>
      <w:r>
        <w:rPr>
          <w:color w:val="auto"/>
        </w:rPr>
        <w:t>A</w:t>
      </w:r>
      <w:r>
        <w:rPr>
          <w:color w:val="auto"/>
        </w:rPr>
        <w:t>），夜间</w:t>
      </w:r>
      <w:r>
        <w:rPr>
          <w:color w:val="auto"/>
        </w:rPr>
        <w:t>55dB</w:t>
      </w:r>
      <w:r>
        <w:rPr>
          <w:color w:val="auto"/>
        </w:rPr>
        <w:t>（</w:t>
      </w:r>
      <w:r>
        <w:rPr>
          <w:color w:val="auto"/>
        </w:rPr>
        <w:t>A</w:t>
      </w:r>
      <w:r>
        <w:rPr>
          <w:color w:val="auto"/>
        </w:rPr>
        <w:t>）。</w:t>
      </w:r>
    </w:p>
    <w:p w14:paraId="378B113A" w14:textId="77777777" w:rsidR="002E474C" w:rsidRDefault="00000000">
      <w:pPr>
        <w:pStyle w:val="A-z"/>
        <w:rPr>
          <w:color w:val="auto"/>
        </w:rPr>
      </w:pPr>
      <w:r>
        <w:rPr>
          <w:color w:val="auto"/>
        </w:rPr>
        <w:t>（</w:t>
      </w:r>
      <w:r>
        <w:rPr>
          <w:color w:val="auto"/>
        </w:rPr>
        <w:t>4</w:t>
      </w:r>
      <w:r>
        <w:rPr>
          <w:color w:val="auto"/>
        </w:rPr>
        <w:t>）监测结果统计与评价</w:t>
      </w:r>
    </w:p>
    <w:p w14:paraId="6D20C026" w14:textId="77777777" w:rsidR="002E474C" w:rsidRDefault="00000000">
      <w:pPr>
        <w:pStyle w:val="A-z"/>
        <w:rPr>
          <w:color w:val="auto"/>
        </w:rPr>
      </w:pPr>
      <w:r>
        <w:rPr>
          <w:color w:val="auto"/>
        </w:rPr>
        <w:t>声环境质量现状监测数据统计结果见表</w:t>
      </w:r>
      <w:r>
        <w:rPr>
          <w:color w:val="auto"/>
        </w:rPr>
        <w:t>4.3</w:t>
      </w:r>
      <w:r>
        <w:rPr>
          <w:color w:val="auto"/>
        </w:rPr>
        <w:noBreakHyphen/>
        <w:t>7</w:t>
      </w:r>
      <w:r>
        <w:rPr>
          <w:color w:val="auto"/>
        </w:rPr>
        <w:t>。</w:t>
      </w:r>
    </w:p>
    <w:p w14:paraId="1C786918" w14:textId="77777777" w:rsidR="002E474C" w:rsidRDefault="00000000">
      <w:pPr>
        <w:pStyle w:val="A--"/>
        <w:rPr>
          <w:color w:val="auto"/>
        </w:rPr>
      </w:pPr>
      <w:bookmarkStart w:id="248" w:name="_Ref13235200"/>
      <w:r>
        <w:rPr>
          <w:color w:val="auto"/>
        </w:rPr>
        <w:t>表</w:t>
      </w:r>
      <w:r>
        <w:rPr>
          <w:color w:val="auto"/>
        </w:rPr>
        <w:t>4.3</w:t>
      </w:r>
      <w:r>
        <w:rPr>
          <w:color w:val="auto"/>
        </w:rPr>
        <w:noBreakHyphen/>
      </w:r>
      <w:bookmarkEnd w:id="248"/>
      <w:r>
        <w:rPr>
          <w:color w:val="auto"/>
        </w:rPr>
        <w:t xml:space="preserve">7  </w:t>
      </w:r>
      <w:r>
        <w:rPr>
          <w:color w:val="auto"/>
        </w:rPr>
        <w:t>声环境质量现状监测结果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3"/>
        <w:gridCol w:w="1560"/>
        <w:gridCol w:w="1526"/>
        <w:gridCol w:w="1692"/>
        <w:gridCol w:w="1405"/>
      </w:tblGrid>
      <w:tr w:rsidR="002E474C" w14:paraId="3104137F" w14:textId="77777777">
        <w:trPr>
          <w:jc w:val="center"/>
        </w:trPr>
        <w:tc>
          <w:tcPr>
            <w:tcW w:w="1273" w:type="pct"/>
            <w:vMerge w:val="restart"/>
            <w:shd w:val="clear" w:color="auto" w:fill="auto"/>
            <w:vAlign w:val="center"/>
          </w:tcPr>
          <w:p w14:paraId="526477CA" w14:textId="77777777" w:rsidR="002E474C" w:rsidRDefault="00000000">
            <w:pPr>
              <w:pStyle w:val="A-"/>
            </w:pPr>
            <w:r>
              <w:t>监测方位</w:t>
            </w:r>
          </w:p>
        </w:tc>
        <w:tc>
          <w:tcPr>
            <w:tcW w:w="1860" w:type="pct"/>
            <w:gridSpan w:val="2"/>
            <w:shd w:val="clear" w:color="auto" w:fill="auto"/>
            <w:vAlign w:val="center"/>
          </w:tcPr>
          <w:p w14:paraId="73545174" w14:textId="77777777" w:rsidR="002E474C" w:rsidRDefault="00000000">
            <w:pPr>
              <w:pStyle w:val="A-"/>
            </w:pPr>
            <w:r>
              <w:t>昼间</w:t>
            </w:r>
          </w:p>
        </w:tc>
        <w:tc>
          <w:tcPr>
            <w:tcW w:w="1867" w:type="pct"/>
            <w:gridSpan w:val="2"/>
            <w:shd w:val="clear" w:color="auto" w:fill="auto"/>
            <w:vAlign w:val="center"/>
          </w:tcPr>
          <w:p w14:paraId="04C5BD84" w14:textId="77777777" w:rsidR="002E474C" w:rsidRDefault="00000000">
            <w:pPr>
              <w:pStyle w:val="A-"/>
            </w:pPr>
            <w:r>
              <w:t>夜间</w:t>
            </w:r>
          </w:p>
        </w:tc>
      </w:tr>
      <w:tr w:rsidR="002E474C" w14:paraId="3FA85415" w14:textId="77777777">
        <w:trPr>
          <w:jc w:val="center"/>
        </w:trPr>
        <w:tc>
          <w:tcPr>
            <w:tcW w:w="1273" w:type="pct"/>
            <w:vMerge/>
            <w:shd w:val="clear" w:color="auto" w:fill="auto"/>
            <w:vAlign w:val="center"/>
          </w:tcPr>
          <w:p w14:paraId="046CBEDD" w14:textId="77777777" w:rsidR="002E474C" w:rsidRDefault="002E474C">
            <w:pPr>
              <w:pStyle w:val="A-"/>
            </w:pPr>
          </w:p>
        </w:tc>
        <w:tc>
          <w:tcPr>
            <w:tcW w:w="940" w:type="pct"/>
            <w:shd w:val="clear" w:color="auto" w:fill="auto"/>
            <w:vAlign w:val="center"/>
          </w:tcPr>
          <w:p w14:paraId="5AE2E1F3" w14:textId="77777777" w:rsidR="002E474C" w:rsidRDefault="00000000">
            <w:pPr>
              <w:pStyle w:val="A-"/>
            </w:pPr>
            <w:r>
              <w:t>监测值</w:t>
            </w:r>
          </w:p>
        </w:tc>
        <w:tc>
          <w:tcPr>
            <w:tcW w:w="920" w:type="pct"/>
            <w:shd w:val="clear" w:color="auto" w:fill="auto"/>
            <w:vAlign w:val="center"/>
          </w:tcPr>
          <w:p w14:paraId="4D0313EC" w14:textId="77777777" w:rsidR="002E474C" w:rsidRDefault="00000000">
            <w:pPr>
              <w:pStyle w:val="A-"/>
            </w:pPr>
            <w:r>
              <w:t>标准值</w:t>
            </w:r>
          </w:p>
        </w:tc>
        <w:tc>
          <w:tcPr>
            <w:tcW w:w="1020" w:type="pct"/>
            <w:shd w:val="clear" w:color="auto" w:fill="auto"/>
            <w:vAlign w:val="center"/>
          </w:tcPr>
          <w:p w14:paraId="0A202D1D" w14:textId="77777777" w:rsidR="002E474C" w:rsidRDefault="00000000">
            <w:pPr>
              <w:pStyle w:val="A-"/>
            </w:pPr>
            <w:r>
              <w:t>监测值</w:t>
            </w:r>
          </w:p>
        </w:tc>
        <w:tc>
          <w:tcPr>
            <w:tcW w:w="847" w:type="pct"/>
            <w:shd w:val="clear" w:color="auto" w:fill="auto"/>
            <w:vAlign w:val="center"/>
          </w:tcPr>
          <w:p w14:paraId="0F6F65FD" w14:textId="77777777" w:rsidR="002E474C" w:rsidRDefault="00000000">
            <w:pPr>
              <w:pStyle w:val="A-"/>
            </w:pPr>
            <w:r>
              <w:t>标准值</w:t>
            </w:r>
          </w:p>
        </w:tc>
      </w:tr>
      <w:tr w:rsidR="002E474C" w14:paraId="4A8B2BA7" w14:textId="77777777">
        <w:trPr>
          <w:jc w:val="center"/>
        </w:trPr>
        <w:tc>
          <w:tcPr>
            <w:tcW w:w="1273" w:type="pct"/>
            <w:shd w:val="clear" w:color="auto" w:fill="auto"/>
            <w:vAlign w:val="center"/>
          </w:tcPr>
          <w:p w14:paraId="37AE73CF" w14:textId="77777777" w:rsidR="002E474C" w:rsidRDefault="00000000">
            <w:pPr>
              <w:pStyle w:val="A-"/>
            </w:pPr>
            <w:r>
              <w:t>1#</w:t>
            </w:r>
            <w:r>
              <w:t>东厂界外</w:t>
            </w:r>
            <w:r>
              <w:t>1m</w:t>
            </w:r>
          </w:p>
        </w:tc>
        <w:tc>
          <w:tcPr>
            <w:tcW w:w="940" w:type="pct"/>
            <w:shd w:val="clear" w:color="auto" w:fill="auto"/>
            <w:vAlign w:val="center"/>
          </w:tcPr>
          <w:p w14:paraId="3A9D9F4C" w14:textId="77777777" w:rsidR="002E474C" w:rsidRDefault="00000000">
            <w:pPr>
              <w:pStyle w:val="A-"/>
            </w:pPr>
            <w:r>
              <w:t>61</w:t>
            </w:r>
          </w:p>
        </w:tc>
        <w:tc>
          <w:tcPr>
            <w:tcW w:w="920" w:type="pct"/>
            <w:shd w:val="clear" w:color="auto" w:fill="auto"/>
            <w:vAlign w:val="center"/>
          </w:tcPr>
          <w:p w14:paraId="4BF4EAF2" w14:textId="77777777" w:rsidR="002E474C" w:rsidRDefault="00000000">
            <w:pPr>
              <w:pStyle w:val="A-"/>
            </w:pPr>
            <w:r>
              <w:t>65</w:t>
            </w:r>
          </w:p>
        </w:tc>
        <w:tc>
          <w:tcPr>
            <w:tcW w:w="1020" w:type="pct"/>
            <w:shd w:val="clear" w:color="auto" w:fill="auto"/>
            <w:vAlign w:val="center"/>
          </w:tcPr>
          <w:p w14:paraId="0DE61292" w14:textId="77777777" w:rsidR="002E474C" w:rsidRDefault="00000000">
            <w:pPr>
              <w:pStyle w:val="A-"/>
            </w:pPr>
            <w:r>
              <w:t>54</w:t>
            </w:r>
          </w:p>
        </w:tc>
        <w:tc>
          <w:tcPr>
            <w:tcW w:w="847" w:type="pct"/>
            <w:shd w:val="clear" w:color="auto" w:fill="auto"/>
            <w:vAlign w:val="center"/>
          </w:tcPr>
          <w:p w14:paraId="4E63178C" w14:textId="77777777" w:rsidR="002E474C" w:rsidRDefault="00000000">
            <w:pPr>
              <w:pStyle w:val="A-"/>
            </w:pPr>
            <w:r>
              <w:t>55</w:t>
            </w:r>
          </w:p>
        </w:tc>
      </w:tr>
      <w:tr w:rsidR="002E474C" w14:paraId="5C576C2A" w14:textId="77777777">
        <w:trPr>
          <w:jc w:val="center"/>
        </w:trPr>
        <w:tc>
          <w:tcPr>
            <w:tcW w:w="1273" w:type="pct"/>
            <w:shd w:val="clear" w:color="auto" w:fill="auto"/>
            <w:vAlign w:val="center"/>
          </w:tcPr>
          <w:p w14:paraId="58167EAE" w14:textId="77777777" w:rsidR="002E474C" w:rsidRDefault="00000000">
            <w:pPr>
              <w:pStyle w:val="A-"/>
            </w:pPr>
            <w:r>
              <w:t>2#</w:t>
            </w:r>
            <w:r>
              <w:t>南厂界外</w:t>
            </w:r>
            <w:r>
              <w:t>1m</w:t>
            </w:r>
          </w:p>
        </w:tc>
        <w:tc>
          <w:tcPr>
            <w:tcW w:w="940" w:type="pct"/>
            <w:shd w:val="clear" w:color="auto" w:fill="auto"/>
            <w:vAlign w:val="center"/>
          </w:tcPr>
          <w:p w14:paraId="7206D151" w14:textId="77777777" w:rsidR="002E474C" w:rsidRDefault="00000000">
            <w:pPr>
              <w:pStyle w:val="A-"/>
            </w:pPr>
            <w:r>
              <w:t>61</w:t>
            </w:r>
          </w:p>
        </w:tc>
        <w:tc>
          <w:tcPr>
            <w:tcW w:w="920" w:type="pct"/>
            <w:shd w:val="clear" w:color="auto" w:fill="auto"/>
            <w:vAlign w:val="center"/>
          </w:tcPr>
          <w:p w14:paraId="0A991727" w14:textId="77777777" w:rsidR="002E474C" w:rsidRDefault="00000000">
            <w:pPr>
              <w:pStyle w:val="A-"/>
            </w:pPr>
            <w:r>
              <w:t>65</w:t>
            </w:r>
          </w:p>
        </w:tc>
        <w:tc>
          <w:tcPr>
            <w:tcW w:w="1020" w:type="pct"/>
            <w:shd w:val="clear" w:color="auto" w:fill="auto"/>
            <w:vAlign w:val="center"/>
          </w:tcPr>
          <w:p w14:paraId="2E19D70F" w14:textId="77777777" w:rsidR="002E474C" w:rsidRDefault="00000000">
            <w:pPr>
              <w:pStyle w:val="A-"/>
            </w:pPr>
            <w:r>
              <w:t>52</w:t>
            </w:r>
          </w:p>
        </w:tc>
        <w:tc>
          <w:tcPr>
            <w:tcW w:w="847" w:type="pct"/>
            <w:shd w:val="clear" w:color="auto" w:fill="auto"/>
            <w:vAlign w:val="center"/>
          </w:tcPr>
          <w:p w14:paraId="305C3484" w14:textId="77777777" w:rsidR="002E474C" w:rsidRDefault="00000000">
            <w:pPr>
              <w:pStyle w:val="A-"/>
            </w:pPr>
            <w:r>
              <w:t>55</w:t>
            </w:r>
          </w:p>
        </w:tc>
      </w:tr>
      <w:tr w:rsidR="002E474C" w14:paraId="025F2808" w14:textId="77777777">
        <w:trPr>
          <w:jc w:val="center"/>
        </w:trPr>
        <w:tc>
          <w:tcPr>
            <w:tcW w:w="1273" w:type="pct"/>
            <w:shd w:val="clear" w:color="auto" w:fill="auto"/>
            <w:vAlign w:val="center"/>
          </w:tcPr>
          <w:p w14:paraId="20DD7AA6" w14:textId="77777777" w:rsidR="002E474C" w:rsidRDefault="00000000">
            <w:pPr>
              <w:pStyle w:val="A-"/>
            </w:pPr>
            <w:r>
              <w:t>3#</w:t>
            </w:r>
            <w:r>
              <w:t>西厂界外</w:t>
            </w:r>
            <w:r>
              <w:t>1m</w:t>
            </w:r>
          </w:p>
        </w:tc>
        <w:tc>
          <w:tcPr>
            <w:tcW w:w="940" w:type="pct"/>
            <w:shd w:val="clear" w:color="auto" w:fill="auto"/>
            <w:vAlign w:val="center"/>
          </w:tcPr>
          <w:p w14:paraId="6BB701A7" w14:textId="77777777" w:rsidR="002E474C" w:rsidRDefault="00000000">
            <w:pPr>
              <w:pStyle w:val="A-"/>
            </w:pPr>
            <w:r>
              <w:t>62</w:t>
            </w:r>
          </w:p>
        </w:tc>
        <w:tc>
          <w:tcPr>
            <w:tcW w:w="920" w:type="pct"/>
            <w:shd w:val="clear" w:color="auto" w:fill="auto"/>
            <w:vAlign w:val="center"/>
          </w:tcPr>
          <w:p w14:paraId="66C74B38" w14:textId="77777777" w:rsidR="002E474C" w:rsidRDefault="00000000">
            <w:pPr>
              <w:pStyle w:val="A-"/>
            </w:pPr>
            <w:r>
              <w:t>65</w:t>
            </w:r>
          </w:p>
        </w:tc>
        <w:tc>
          <w:tcPr>
            <w:tcW w:w="1020" w:type="pct"/>
            <w:shd w:val="clear" w:color="auto" w:fill="auto"/>
            <w:vAlign w:val="center"/>
          </w:tcPr>
          <w:p w14:paraId="069D7E63" w14:textId="77777777" w:rsidR="002E474C" w:rsidRDefault="00000000">
            <w:pPr>
              <w:pStyle w:val="A-"/>
            </w:pPr>
            <w:r>
              <w:t>52</w:t>
            </w:r>
          </w:p>
        </w:tc>
        <w:tc>
          <w:tcPr>
            <w:tcW w:w="847" w:type="pct"/>
            <w:shd w:val="clear" w:color="auto" w:fill="auto"/>
            <w:vAlign w:val="center"/>
          </w:tcPr>
          <w:p w14:paraId="630643AD" w14:textId="77777777" w:rsidR="002E474C" w:rsidRDefault="00000000">
            <w:pPr>
              <w:pStyle w:val="A-"/>
            </w:pPr>
            <w:r>
              <w:t>55</w:t>
            </w:r>
          </w:p>
        </w:tc>
      </w:tr>
      <w:tr w:rsidR="002E474C" w14:paraId="17A61BE4" w14:textId="77777777">
        <w:trPr>
          <w:jc w:val="center"/>
        </w:trPr>
        <w:tc>
          <w:tcPr>
            <w:tcW w:w="1273" w:type="pct"/>
            <w:shd w:val="clear" w:color="auto" w:fill="auto"/>
            <w:vAlign w:val="center"/>
          </w:tcPr>
          <w:p w14:paraId="178F68C4" w14:textId="77777777" w:rsidR="002E474C" w:rsidRDefault="00000000">
            <w:pPr>
              <w:pStyle w:val="A-"/>
            </w:pPr>
            <w:r>
              <w:t>4#</w:t>
            </w:r>
            <w:r>
              <w:t>北厂界外</w:t>
            </w:r>
            <w:r>
              <w:t>1m</w:t>
            </w:r>
          </w:p>
        </w:tc>
        <w:tc>
          <w:tcPr>
            <w:tcW w:w="940" w:type="pct"/>
            <w:shd w:val="clear" w:color="auto" w:fill="auto"/>
            <w:vAlign w:val="center"/>
          </w:tcPr>
          <w:p w14:paraId="73B2E0F9" w14:textId="77777777" w:rsidR="002E474C" w:rsidRDefault="00000000">
            <w:pPr>
              <w:pStyle w:val="A-"/>
            </w:pPr>
            <w:r>
              <w:t>61</w:t>
            </w:r>
          </w:p>
        </w:tc>
        <w:tc>
          <w:tcPr>
            <w:tcW w:w="920" w:type="pct"/>
            <w:shd w:val="clear" w:color="auto" w:fill="auto"/>
            <w:vAlign w:val="center"/>
          </w:tcPr>
          <w:p w14:paraId="306DA306" w14:textId="77777777" w:rsidR="002E474C" w:rsidRDefault="00000000">
            <w:pPr>
              <w:pStyle w:val="A-"/>
            </w:pPr>
            <w:r>
              <w:t>65</w:t>
            </w:r>
          </w:p>
        </w:tc>
        <w:tc>
          <w:tcPr>
            <w:tcW w:w="1020" w:type="pct"/>
            <w:shd w:val="clear" w:color="auto" w:fill="auto"/>
            <w:vAlign w:val="center"/>
          </w:tcPr>
          <w:p w14:paraId="7913ECAD" w14:textId="77777777" w:rsidR="002E474C" w:rsidRDefault="00000000">
            <w:pPr>
              <w:pStyle w:val="A-"/>
            </w:pPr>
            <w:r>
              <w:t>53</w:t>
            </w:r>
          </w:p>
        </w:tc>
        <w:tc>
          <w:tcPr>
            <w:tcW w:w="847" w:type="pct"/>
            <w:shd w:val="clear" w:color="auto" w:fill="auto"/>
            <w:vAlign w:val="center"/>
          </w:tcPr>
          <w:p w14:paraId="0C6B9E57" w14:textId="77777777" w:rsidR="002E474C" w:rsidRDefault="00000000">
            <w:pPr>
              <w:pStyle w:val="A-"/>
            </w:pPr>
            <w:r>
              <w:t>55</w:t>
            </w:r>
          </w:p>
        </w:tc>
      </w:tr>
    </w:tbl>
    <w:p w14:paraId="5A88BAB7" w14:textId="77777777" w:rsidR="002E474C" w:rsidRDefault="002E474C"/>
    <w:p w14:paraId="4A6FE3DC" w14:textId="77777777" w:rsidR="002E474C" w:rsidRDefault="00000000">
      <w:pPr>
        <w:pStyle w:val="A-z"/>
        <w:rPr>
          <w:color w:val="auto"/>
        </w:rPr>
      </w:pPr>
      <w:r>
        <w:rPr>
          <w:color w:val="auto"/>
        </w:rPr>
        <w:t>由上表可知，厂界</w:t>
      </w:r>
      <w:r>
        <w:rPr>
          <w:color w:val="auto"/>
        </w:rPr>
        <w:t>4</w:t>
      </w:r>
      <w:r>
        <w:rPr>
          <w:color w:val="auto"/>
        </w:rPr>
        <w:t>个监测点的</w:t>
      </w:r>
      <w:bookmarkStart w:id="249" w:name="OLE_LINK49"/>
      <w:r>
        <w:rPr>
          <w:color w:val="auto"/>
        </w:rPr>
        <w:t>昼间等效</w:t>
      </w:r>
      <w:r>
        <w:rPr>
          <w:color w:val="auto"/>
        </w:rPr>
        <w:t>A</w:t>
      </w:r>
      <w:r>
        <w:rPr>
          <w:color w:val="auto"/>
        </w:rPr>
        <w:t>声级（</w:t>
      </w:r>
      <w:r>
        <w:rPr>
          <w:color w:val="auto"/>
        </w:rPr>
        <w:t>L</w:t>
      </w:r>
      <w:r>
        <w:rPr>
          <w:color w:val="auto"/>
          <w:vertAlign w:val="subscript"/>
        </w:rPr>
        <w:t>d</w:t>
      </w:r>
      <w:r>
        <w:rPr>
          <w:color w:val="auto"/>
        </w:rPr>
        <w:t>）、夜间等效</w:t>
      </w:r>
      <w:r>
        <w:rPr>
          <w:color w:val="auto"/>
        </w:rPr>
        <w:t>A</w:t>
      </w:r>
      <w:r>
        <w:rPr>
          <w:color w:val="auto"/>
        </w:rPr>
        <w:t>声级（</w:t>
      </w:r>
      <w:r>
        <w:rPr>
          <w:color w:val="auto"/>
        </w:rPr>
        <w:t>L</w:t>
      </w:r>
      <w:r>
        <w:rPr>
          <w:color w:val="auto"/>
          <w:vertAlign w:val="subscript"/>
        </w:rPr>
        <w:t>n</w:t>
      </w:r>
      <w:r>
        <w:rPr>
          <w:color w:val="auto"/>
        </w:rPr>
        <w:t>）</w:t>
      </w:r>
      <w:bookmarkEnd w:id="249"/>
      <w:r>
        <w:rPr>
          <w:color w:val="auto"/>
        </w:rPr>
        <w:t>均满足《声环境质量标准》（</w:t>
      </w:r>
      <w:r>
        <w:rPr>
          <w:color w:val="auto"/>
        </w:rPr>
        <w:t>GB3096-2008</w:t>
      </w:r>
      <w:r>
        <w:rPr>
          <w:color w:val="auto"/>
        </w:rPr>
        <w:t>）</w:t>
      </w:r>
      <w:r>
        <w:rPr>
          <w:color w:val="auto"/>
        </w:rPr>
        <w:t>3</w:t>
      </w:r>
      <w:r>
        <w:rPr>
          <w:color w:val="auto"/>
        </w:rPr>
        <w:t>类标准。</w:t>
      </w:r>
    </w:p>
    <w:p w14:paraId="738C2867" w14:textId="77777777" w:rsidR="00BD6279" w:rsidRDefault="00BD6279">
      <w:pPr>
        <w:pStyle w:val="A-z"/>
        <w:rPr>
          <w:rFonts w:hint="eastAsia"/>
          <w:color w:val="auto"/>
        </w:rPr>
      </w:pPr>
    </w:p>
    <w:p w14:paraId="41853F8C" w14:textId="77777777" w:rsidR="002E474C" w:rsidRDefault="00000000">
      <w:pPr>
        <w:pStyle w:val="31"/>
        <w:spacing w:before="120" w:after="120"/>
        <w:rPr>
          <w:color w:val="auto"/>
        </w:rPr>
      </w:pPr>
      <w:r>
        <w:rPr>
          <w:color w:val="auto"/>
        </w:rPr>
        <w:lastRenderedPageBreak/>
        <w:t>土壤环境现状调查与评价</w:t>
      </w:r>
    </w:p>
    <w:p w14:paraId="2FE3A26C" w14:textId="77777777" w:rsidR="002E474C" w:rsidRDefault="00000000">
      <w:pPr>
        <w:pStyle w:val="41"/>
        <w:rPr>
          <w:color w:val="auto"/>
        </w:rPr>
      </w:pPr>
      <w:r>
        <w:rPr>
          <w:color w:val="auto"/>
        </w:rPr>
        <w:t>土壤类型及分布特征</w:t>
      </w:r>
    </w:p>
    <w:p w14:paraId="4ADAC46D" w14:textId="77777777" w:rsidR="002E474C" w:rsidRDefault="00000000">
      <w:pPr>
        <w:pStyle w:val="A-z"/>
        <w:rPr>
          <w:color w:val="auto"/>
        </w:rPr>
      </w:pPr>
      <w:r>
        <w:rPr>
          <w:color w:val="auto"/>
        </w:rPr>
        <w:t>本项目位于圣雄同心工业园，项目占地范围内土地利用现状为砾石戈壁，规划为工业用地。根据土壤普查结果，本项目评价范围内仅有一种土壤类型，为石膏灰棕漠土。</w:t>
      </w:r>
    </w:p>
    <w:p w14:paraId="45AE7678" w14:textId="77777777" w:rsidR="002E474C" w:rsidRDefault="00000000">
      <w:pPr>
        <w:pStyle w:val="A-z"/>
        <w:rPr>
          <w:color w:val="auto"/>
        </w:rPr>
      </w:pPr>
      <w:r>
        <w:rPr>
          <w:color w:val="auto"/>
        </w:rPr>
        <w:t>根据国家土壤信息平台（</w:t>
      </w:r>
      <w:r>
        <w:rPr>
          <w:color w:val="auto"/>
        </w:rPr>
        <w:t>http://www.soilinfo.cn/MAP/index.aspx</w:t>
      </w:r>
      <w:r>
        <w:rPr>
          <w:color w:val="auto"/>
        </w:rPr>
        <w:t>）查询及现场调查，本项目调查评价范围内土壤类型为灰漠土。</w:t>
      </w:r>
    </w:p>
    <w:p w14:paraId="5103B083" w14:textId="77777777" w:rsidR="002E474C" w:rsidRDefault="00000000">
      <w:pPr>
        <w:pStyle w:val="41"/>
        <w:rPr>
          <w:color w:val="auto"/>
        </w:rPr>
      </w:pPr>
      <w:r>
        <w:rPr>
          <w:color w:val="auto"/>
        </w:rPr>
        <w:t>土壤理化性质调查</w:t>
      </w:r>
    </w:p>
    <w:p w14:paraId="1597600B" w14:textId="77777777" w:rsidR="002E474C" w:rsidRDefault="00000000">
      <w:pPr>
        <w:pStyle w:val="A-z"/>
        <w:rPr>
          <w:color w:val="auto"/>
        </w:rPr>
      </w:pPr>
      <w:r>
        <w:rPr>
          <w:color w:val="auto"/>
        </w:rPr>
        <w:t>为了解评价区域的土壤理化性质，在项目厂区占地范围内进行采样调查，土壤理化特性调查见表</w:t>
      </w:r>
      <w:r>
        <w:rPr>
          <w:color w:val="auto"/>
        </w:rPr>
        <w:t>4.3-8</w:t>
      </w:r>
      <w:r>
        <w:rPr>
          <w:color w:val="auto"/>
        </w:rPr>
        <w:t>。</w:t>
      </w:r>
    </w:p>
    <w:p w14:paraId="6B4C404A" w14:textId="77777777" w:rsidR="002E474C" w:rsidRDefault="00000000">
      <w:pPr>
        <w:pStyle w:val="A--"/>
        <w:rPr>
          <w:snapToGrid w:val="0"/>
          <w:color w:val="auto"/>
        </w:rPr>
      </w:pPr>
      <w:r>
        <w:rPr>
          <w:snapToGrid w:val="0"/>
          <w:color w:val="auto"/>
        </w:rPr>
        <w:t>表</w:t>
      </w:r>
      <w:r>
        <w:rPr>
          <w:snapToGrid w:val="0"/>
          <w:color w:val="auto"/>
        </w:rPr>
        <w:t xml:space="preserve">4.3-8    </w:t>
      </w:r>
      <w:r>
        <w:rPr>
          <w:snapToGrid w:val="0"/>
          <w:color w:val="auto"/>
        </w:rPr>
        <w:t>项目所在区域土壤理化性质监测结果一览表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3245"/>
        <w:gridCol w:w="1054"/>
        <w:gridCol w:w="1503"/>
        <w:gridCol w:w="1273"/>
      </w:tblGrid>
      <w:tr w:rsidR="002E474C" w14:paraId="36061EB7" w14:textId="77777777">
        <w:trPr>
          <w:jc w:val="center"/>
        </w:trPr>
        <w:tc>
          <w:tcPr>
            <w:tcW w:w="736" w:type="pct"/>
            <w:vAlign w:val="center"/>
          </w:tcPr>
          <w:p w14:paraId="674B3CDC" w14:textId="77777777" w:rsidR="002E474C" w:rsidRDefault="00000000">
            <w:pPr>
              <w:pStyle w:val="A-"/>
            </w:pPr>
            <w:r>
              <w:t>测定位置</w:t>
            </w:r>
          </w:p>
        </w:tc>
        <w:tc>
          <w:tcPr>
            <w:tcW w:w="1956" w:type="pct"/>
            <w:vAlign w:val="center"/>
          </w:tcPr>
          <w:p w14:paraId="4C6AA601" w14:textId="77777777" w:rsidR="002E474C" w:rsidRDefault="00000000">
            <w:pPr>
              <w:pStyle w:val="A-"/>
            </w:pPr>
            <w:r>
              <w:t>T1</w:t>
            </w:r>
            <w:r>
              <w:t>：水泥窑头区域</w:t>
            </w:r>
          </w:p>
        </w:tc>
        <w:tc>
          <w:tcPr>
            <w:tcW w:w="635" w:type="pct"/>
            <w:vAlign w:val="center"/>
          </w:tcPr>
          <w:p w14:paraId="326F4549" w14:textId="77777777" w:rsidR="002E474C" w:rsidRDefault="00000000">
            <w:pPr>
              <w:pStyle w:val="A-"/>
            </w:pPr>
            <w:r>
              <w:t>采样日期</w:t>
            </w:r>
          </w:p>
        </w:tc>
        <w:tc>
          <w:tcPr>
            <w:tcW w:w="1673" w:type="pct"/>
            <w:gridSpan w:val="2"/>
            <w:vAlign w:val="center"/>
          </w:tcPr>
          <w:p w14:paraId="71C1E1F3" w14:textId="77777777" w:rsidR="002E474C" w:rsidRDefault="00000000">
            <w:pPr>
              <w:pStyle w:val="A-"/>
            </w:pPr>
            <w:r>
              <w:t>2026</w:t>
            </w:r>
            <w:r>
              <w:t>年</w:t>
            </w:r>
            <w:r>
              <w:t>1</w:t>
            </w:r>
            <w:r>
              <w:t>月</w:t>
            </w:r>
            <w:r>
              <w:t>30</w:t>
            </w:r>
            <w:r>
              <w:t>日</w:t>
            </w:r>
          </w:p>
        </w:tc>
      </w:tr>
      <w:tr w:rsidR="002E474C" w14:paraId="6D2BF08F" w14:textId="77777777">
        <w:trPr>
          <w:jc w:val="center"/>
        </w:trPr>
        <w:tc>
          <w:tcPr>
            <w:tcW w:w="736" w:type="pct"/>
            <w:vAlign w:val="center"/>
          </w:tcPr>
          <w:p w14:paraId="23D51AA3" w14:textId="77777777" w:rsidR="002E474C" w:rsidRDefault="00000000">
            <w:pPr>
              <w:pStyle w:val="A-"/>
            </w:pPr>
            <w:r>
              <w:t>经度</w:t>
            </w:r>
          </w:p>
        </w:tc>
        <w:tc>
          <w:tcPr>
            <w:tcW w:w="1956" w:type="pct"/>
            <w:vAlign w:val="center"/>
          </w:tcPr>
          <w:p w14:paraId="416BB5FB" w14:textId="77777777" w:rsidR="002E474C" w:rsidRDefault="00000000">
            <w:pPr>
              <w:pStyle w:val="A-"/>
            </w:pPr>
            <w:r>
              <w:t>87°56'15.15"</w:t>
            </w:r>
          </w:p>
        </w:tc>
        <w:tc>
          <w:tcPr>
            <w:tcW w:w="635" w:type="pct"/>
            <w:vAlign w:val="center"/>
          </w:tcPr>
          <w:p w14:paraId="5C31450F" w14:textId="77777777" w:rsidR="002E474C" w:rsidRDefault="00000000">
            <w:pPr>
              <w:pStyle w:val="A-"/>
            </w:pPr>
            <w:r>
              <w:t>纬度</w:t>
            </w:r>
          </w:p>
        </w:tc>
        <w:tc>
          <w:tcPr>
            <w:tcW w:w="1673" w:type="pct"/>
            <w:gridSpan w:val="2"/>
            <w:vAlign w:val="center"/>
          </w:tcPr>
          <w:p w14:paraId="69333959" w14:textId="77777777" w:rsidR="002E474C" w:rsidRDefault="00000000">
            <w:pPr>
              <w:pStyle w:val="A-"/>
            </w:pPr>
            <w:r>
              <w:t>42°49'29.35"</w:t>
            </w:r>
          </w:p>
        </w:tc>
      </w:tr>
      <w:tr w:rsidR="002E474C" w14:paraId="1E83C8ED" w14:textId="77777777">
        <w:trPr>
          <w:jc w:val="center"/>
        </w:trPr>
        <w:tc>
          <w:tcPr>
            <w:tcW w:w="2692" w:type="pct"/>
            <w:gridSpan w:val="2"/>
            <w:vAlign w:val="center"/>
          </w:tcPr>
          <w:p w14:paraId="49B88700" w14:textId="77777777" w:rsidR="002E474C" w:rsidRDefault="00000000">
            <w:pPr>
              <w:pStyle w:val="A-"/>
            </w:pPr>
            <w:r>
              <w:t>层次</w:t>
            </w:r>
          </w:p>
        </w:tc>
        <w:tc>
          <w:tcPr>
            <w:tcW w:w="635" w:type="pct"/>
            <w:vAlign w:val="center"/>
          </w:tcPr>
          <w:p w14:paraId="471FD7F4" w14:textId="77777777" w:rsidR="002E474C" w:rsidRDefault="00000000">
            <w:pPr>
              <w:pStyle w:val="A-"/>
            </w:pPr>
            <w:r>
              <w:t>0~0.5m</w:t>
            </w:r>
          </w:p>
        </w:tc>
        <w:tc>
          <w:tcPr>
            <w:tcW w:w="906" w:type="pct"/>
            <w:vAlign w:val="center"/>
          </w:tcPr>
          <w:p w14:paraId="2BAC7406" w14:textId="77777777" w:rsidR="002E474C" w:rsidRDefault="00000000">
            <w:pPr>
              <w:pStyle w:val="A-"/>
            </w:pPr>
            <w:r>
              <w:t>0.5~1.5m</w:t>
            </w:r>
          </w:p>
        </w:tc>
        <w:tc>
          <w:tcPr>
            <w:tcW w:w="767" w:type="pct"/>
            <w:vAlign w:val="center"/>
          </w:tcPr>
          <w:p w14:paraId="11EBCF7E" w14:textId="77777777" w:rsidR="002E474C" w:rsidRDefault="00000000">
            <w:pPr>
              <w:pStyle w:val="A-"/>
            </w:pPr>
            <w:r>
              <w:t>1.5~3m</w:t>
            </w:r>
          </w:p>
        </w:tc>
      </w:tr>
      <w:tr w:rsidR="002E474C" w14:paraId="166057F7" w14:textId="77777777">
        <w:trPr>
          <w:jc w:val="center"/>
        </w:trPr>
        <w:tc>
          <w:tcPr>
            <w:tcW w:w="736" w:type="pct"/>
            <w:vMerge w:val="restart"/>
            <w:vAlign w:val="center"/>
          </w:tcPr>
          <w:p w14:paraId="40BFEFC2" w14:textId="77777777" w:rsidR="002E474C" w:rsidRDefault="00000000">
            <w:pPr>
              <w:pStyle w:val="A-"/>
            </w:pPr>
            <w:r>
              <w:t>现场记录</w:t>
            </w:r>
          </w:p>
        </w:tc>
        <w:tc>
          <w:tcPr>
            <w:tcW w:w="1956" w:type="pct"/>
            <w:vAlign w:val="center"/>
          </w:tcPr>
          <w:p w14:paraId="1E5DC024" w14:textId="77777777" w:rsidR="002E474C" w:rsidRDefault="00000000">
            <w:pPr>
              <w:pStyle w:val="A-"/>
            </w:pPr>
            <w:r>
              <w:t>颜色</w:t>
            </w:r>
          </w:p>
        </w:tc>
        <w:tc>
          <w:tcPr>
            <w:tcW w:w="635" w:type="pct"/>
            <w:vAlign w:val="center"/>
          </w:tcPr>
          <w:p w14:paraId="0DA0F6AE" w14:textId="77777777" w:rsidR="002E474C" w:rsidRDefault="00000000">
            <w:pPr>
              <w:pStyle w:val="A-"/>
            </w:pPr>
            <w:r>
              <w:t>黄色</w:t>
            </w:r>
          </w:p>
        </w:tc>
        <w:tc>
          <w:tcPr>
            <w:tcW w:w="906" w:type="pct"/>
            <w:vAlign w:val="center"/>
          </w:tcPr>
          <w:p w14:paraId="73241D44" w14:textId="77777777" w:rsidR="002E474C" w:rsidRDefault="00000000">
            <w:pPr>
              <w:pStyle w:val="A-"/>
            </w:pPr>
            <w:r>
              <w:t>黄色</w:t>
            </w:r>
          </w:p>
        </w:tc>
        <w:tc>
          <w:tcPr>
            <w:tcW w:w="767" w:type="pct"/>
            <w:vAlign w:val="center"/>
          </w:tcPr>
          <w:p w14:paraId="4B83B26A" w14:textId="77777777" w:rsidR="002E474C" w:rsidRDefault="00000000">
            <w:pPr>
              <w:pStyle w:val="A-"/>
            </w:pPr>
            <w:r>
              <w:t>黄色</w:t>
            </w:r>
          </w:p>
        </w:tc>
      </w:tr>
      <w:tr w:rsidR="002E474C" w14:paraId="77123947" w14:textId="77777777">
        <w:trPr>
          <w:jc w:val="center"/>
        </w:trPr>
        <w:tc>
          <w:tcPr>
            <w:tcW w:w="736" w:type="pct"/>
            <w:vMerge/>
            <w:vAlign w:val="center"/>
          </w:tcPr>
          <w:p w14:paraId="091B4ED7" w14:textId="77777777" w:rsidR="002E474C" w:rsidRDefault="002E474C">
            <w:pPr>
              <w:pStyle w:val="A-"/>
            </w:pPr>
          </w:p>
        </w:tc>
        <w:tc>
          <w:tcPr>
            <w:tcW w:w="1956" w:type="pct"/>
            <w:vAlign w:val="center"/>
          </w:tcPr>
          <w:p w14:paraId="77AC32BE" w14:textId="77777777" w:rsidR="002E474C" w:rsidRDefault="00000000">
            <w:pPr>
              <w:pStyle w:val="A-"/>
            </w:pPr>
            <w:r>
              <w:t>结构</w:t>
            </w:r>
          </w:p>
        </w:tc>
        <w:tc>
          <w:tcPr>
            <w:tcW w:w="635" w:type="pct"/>
            <w:vAlign w:val="center"/>
          </w:tcPr>
          <w:p w14:paraId="24239C69" w14:textId="77777777" w:rsidR="002E474C" w:rsidRDefault="00000000">
            <w:pPr>
              <w:pStyle w:val="A-"/>
            </w:pPr>
            <w:r>
              <w:t>块状</w:t>
            </w:r>
          </w:p>
        </w:tc>
        <w:tc>
          <w:tcPr>
            <w:tcW w:w="906" w:type="pct"/>
            <w:vAlign w:val="center"/>
          </w:tcPr>
          <w:p w14:paraId="05342584" w14:textId="77777777" w:rsidR="002E474C" w:rsidRDefault="00000000">
            <w:pPr>
              <w:pStyle w:val="A-"/>
            </w:pPr>
            <w:r>
              <w:t>块状</w:t>
            </w:r>
          </w:p>
        </w:tc>
        <w:tc>
          <w:tcPr>
            <w:tcW w:w="767" w:type="pct"/>
            <w:vAlign w:val="center"/>
          </w:tcPr>
          <w:p w14:paraId="3C8FE35D" w14:textId="77777777" w:rsidR="002E474C" w:rsidRDefault="00000000">
            <w:pPr>
              <w:pStyle w:val="A-"/>
            </w:pPr>
            <w:r>
              <w:t>块状</w:t>
            </w:r>
          </w:p>
        </w:tc>
      </w:tr>
      <w:tr w:rsidR="002E474C" w14:paraId="72DB7C62" w14:textId="77777777">
        <w:trPr>
          <w:jc w:val="center"/>
        </w:trPr>
        <w:tc>
          <w:tcPr>
            <w:tcW w:w="736" w:type="pct"/>
            <w:vMerge/>
            <w:vAlign w:val="center"/>
          </w:tcPr>
          <w:p w14:paraId="112C5879" w14:textId="77777777" w:rsidR="002E474C" w:rsidRDefault="002E474C">
            <w:pPr>
              <w:pStyle w:val="A-"/>
            </w:pPr>
          </w:p>
        </w:tc>
        <w:tc>
          <w:tcPr>
            <w:tcW w:w="1956" w:type="pct"/>
            <w:vAlign w:val="center"/>
          </w:tcPr>
          <w:p w14:paraId="6D4AE136" w14:textId="77777777" w:rsidR="002E474C" w:rsidRDefault="00000000">
            <w:pPr>
              <w:pStyle w:val="A-"/>
            </w:pPr>
            <w:r>
              <w:t>质地</w:t>
            </w:r>
          </w:p>
        </w:tc>
        <w:tc>
          <w:tcPr>
            <w:tcW w:w="635" w:type="pct"/>
            <w:vAlign w:val="center"/>
          </w:tcPr>
          <w:p w14:paraId="6CAECADA" w14:textId="77777777" w:rsidR="002E474C" w:rsidRDefault="00000000">
            <w:pPr>
              <w:pStyle w:val="A-"/>
            </w:pPr>
            <w:r>
              <w:t>砂壤土</w:t>
            </w:r>
          </w:p>
        </w:tc>
        <w:tc>
          <w:tcPr>
            <w:tcW w:w="906" w:type="pct"/>
            <w:vAlign w:val="center"/>
          </w:tcPr>
          <w:p w14:paraId="08A8FF51" w14:textId="77777777" w:rsidR="002E474C" w:rsidRDefault="00000000">
            <w:pPr>
              <w:pStyle w:val="A-"/>
            </w:pPr>
            <w:r>
              <w:t>砂壤土</w:t>
            </w:r>
          </w:p>
        </w:tc>
        <w:tc>
          <w:tcPr>
            <w:tcW w:w="767" w:type="pct"/>
            <w:vAlign w:val="center"/>
          </w:tcPr>
          <w:p w14:paraId="56576C1D" w14:textId="77777777" w:rsidR="002E474C" w:rsidRDefault="00000000">
            <w:pPr>
              <w:pStyle w:val="A-"/>
            </w:pPr>
            <w:r>
              <w:t>砂壤土</w:t>
            </w:r>
          </w:p>
        </w:tc>
      </w:tr>
      <w:tr w:rsidR="002E474C" w14:paraId="73980405" w14:textId="77777777">
        <w:trPr>
          <w:jc w:val="center"/>
        </w:trPr>
        <w:tc>
          <w:tcPr>
            <w:tcW w:w="736" w:type="pct"/>
            <w:vMerge/>
            <w:vAlign w:val="center"/>
          </w:tcPr>
          <w:p w14:paraId="693FB25C" w14:textId="77777777" w:rsidR="002E474C" w:rsidRDefault="002E474C">
            <w:pPr>
              <w:pStyle w:val="A-"/>
            </w:pPr>
          </w:p>
        </w:tc>
        <w:tc>
          <w:tcPr>
            <w:tcW w:w="1956" w:type="pct"/>
            <w:vAlign w:val="center"/>
          </w:tcPr>
          <w:p w14:paraId="4BAA6FE1" w14:textId="77777777" w:rsidR="002E474C" w:rsidRDefault="00000000">
            <w:pPr>
              <w:pStyle w:val="A-"/>
            </w:pPr>
            <w:r>
              <w:t>砂砾含量</w:t>
            </w:r>
            <w:r>
              <w:t>/(%)</w:t>
            </w:r>
          </w:p>
        </w:tc>
        <w:tc>
          <w:tcPr>
            <w:tcW w:w="635" w:type="pct"/>
            <w:vAlign w:val="center"/>
          </w:tcPr>
          <w:p w14:paraId="6492D943" w14:textId="77777777" w:rsidR="002E474C" w:rsidRDefault="00000000">
            <w:pPr>
              <w:pStyle w:val="A-"/>
            </w:pPr>
            <w:r>
              <w:t>30</w:t>
            </w:r>
          </w:p>
        </w:tc>
        <w:tc>
          <w:tcPr>
            <w:tcW w:w="906" w:type="pct"/>
            <w:vAlign w:val="center"/>
          </w:tcPr>
          <w:p w14:paraId="70A5C6F7" w14:textId="77777777" w:rsidR="002E474C" w:rsidRDefault="00000000">
            <w:pPr>
              <w:pStyle w:val="A-"/>
            </w:pPr>
            <w:r>
              <w:t>30</w:t>
            </w:r>
          </w:p>
        </w:tc>
        <w:tc>
          <w:tcPr>
            <w:tcW w:w="767" w:type="pct"/>
            <w:vAlign w:val="center"/>
          </w:tcPr>
          <w:p w14:paraId="22CED397" w14:textId="77777777" w:rsidR="002E474C" w:rsidRDefault="00000000">
            <w:pPr>
              <w:pStyle w:val="A-"/>
            </w:pPr>
            <w:r>
              <w:t>30</w:t>
            </w:r>
          </w:p>
        </w:tc>
      </w:tr>
      <w:tr w:rsidR="002E474C" w14:paraId="704117DA" w14:textId="77777777">
        <w:trPr>
          <w:jc w:val="center"/>
        </w:trPr>
        <w:tc>
          <w:tcPr>
            <w:tcW w:w="736" w:type="pct"/>
            <w:vMerge/>
            <w:vAlign w:val="center"/>
          </w:tcPr>
          <w:p w14:paraId="29DF2E8D" w14:textId="77777777" w:rsidR="002E474C" w:rsidRDefault="002E474C">
            <w:pPr>
              <w:pStyle w:val="A-"/>
            </w:pPr>
          </w:p>
        </w:tc>
        <w:tc>
          <w:tcPr>
            <w:tcW w:w="1956" w:type="pct"/>
            <w:vAlign w:val="center"/>
          </w:tcPr>
          <w:p w14:paraId="72099F13" w14:textId="77777777" w:rsidR="002E474C" w:rsidRDefault="00000000">
            <w:pPr>
              <w:pStyle w:val="A-"/>
            </w:pPr>
            <w:r>
              <w:t>其他异物</w:t>
            </w:r>
          </w:p>
        </w:tc>
        <w:tc>
          <w:tcPr>
            <w:tcW w:w="635" w:type="pct"/>
            <w:vAlign w:val="center"/>
          </w:tcPr>
          <w:p w14:paraId="7628A385" w14:textId="77777777" w:rsidR="002E474C" w:rsidRDefault="00000000">
            <w:pPr>
              <w:pStyle w:val="A-"/>
            </w:pPr>
            <w:r>
              <w:t>无</w:t>
            </w:r>
          </w:p>
        </w:tc>
        <w:tc>
          <w:tcPr>
            <w:tcW w:w="906" w:type="pct"/>
            <w:vAlign w:val="center"/>
          </w:tcPr>
          <w:p w14:paraId="10161CD5" w14:textId="77777777" w:rsidR="002E474C" w:rsidRDefault="00000000">
            <w:pPr>
              <w:pStyle w:val="A-"/>
            </w:pPr>
            <w:r>
              <w:t>无</w:t>
            </w:r>
          </w:p>
        </w:tc>
        <w:tc>
          <w:tcPr>
            <w:tcW w:w="767" w:type="pct"/>
            <w:vAlign w:val="center"/>
          </w:tcPr>
          <w:p w14:paraId="3B5CC011" w14:textId="77777777" w:rsidR="002E474C" w:rsidRDefault="00000000">
            <w:pPr>
              <w:pStyle w:val="A-"/>
            </w:pPr>
            <w:r>
              <w:t>无</w:t>
            </w:r>
          </w:p>
        </w:tc>
      </w:tr>
      <w:tr w:rsidR="002E474C" w14:paraId="29760FD1" w14:textId="77777777">
        <w:trPr>
          <w:jc w:val="center"/>
        </w:trPr>
        <w:tc>
          <w:tcPr>
            <w:tcW w:w="736" w:type="pct"/>
            <w:vMerge w:val="restart"/>
            <w:vAlign w:val="center"/>
          </w:tcPr>
          <w:p w14:paraId="0C3CF192" w14:textId="77777777" w:rsidR="002E474C" w:rsidRDefault="00000000">
            <w:pPr>
              <w:pStyle w:val="A-"/>
            </w:pPr>
            <w:r>
              <w:t>实验室测定</w:t>
            </w:r>
          </w:p>
        </w:tc>
        <w:tc>
          <w:tcPr>
            <w:tcW w:w="1956" w:type="pct"/>
            <w:vAlign w:val="center"/>
          </w:tcPr>
          <w:p w14:paraId="190C2CC2" w14:textId="77777777" w:rsidR="002E474C" w:rsidRDefault="00000000">
            <w:pPr>
              <w:pStyle w:val="A-"/>
            </w:pPr>
            <w:r>
              <w:t>pH</w:t>
            </w:r>
            <w:r>
              <w:t>值</w:t>
            </w:r>
          </w:p>
        </w:tc>
        <w:tc>
          <w:tcPr>
            <w:tcW w:w="635" w:type="pct"/>
            <w:vAlign w:val="center"/>
          </w:tcPr>
          <w:p w14:paraId="031DC33B" w14:textId="77777777" w:rsidR="002E474C" w:rsidRDefault="00000000">
            <w:pPr>
              <w:pStyle w:val="A-"/>
            </w:pPr>
            <w:r>
              <w:t>8.05</w:t>
            </w:r>
          </w:p>
        </w:tc>
        <w:tc>
          <w:tcPr>
            <w:tcW w:w="906" w:type="pct"/>
            <w:vAlign w:val="center"/>
          </w:tcPr>
          <w:p w14:paraId="27D75D1E" w14:textId="77777777" w:rsidR="002E474C" w:rsidRDefault="00000000">
            <w:pPr>
              <w:pStyle w:val="A-"/>
            </w:pPr>
            <w:r>
              <w:t>8.10</w:t>
            </w:r>
          </w:p>
        </w:tc>
        <w:tc>
          <w:tcPr>
            <w:tcW w:w="767" w:type="pct"/>
            <w:vAlign w:val="center"/>
          </w:tcPr>
          <w:p w14:paraId="0C1C0199" w14:textId="77777777" w:rsidR="002E474C" w:rsidRDefault="00000000">
            <w:pPr>
              <w:pStyle w:val="A-"/>
            </w:pPr>
            <w:r>
              <w:t>8.57</w:t>
            </w:r>
          </w:p>
        </w:tc>
      </w:tr>
      <w:tr w:rsidR="002E474C" w14:paraId="690F3613" w14:textId="77777777">
        <w:trPr>
          <w:jc w:val="center"/>
        </w:trPr>
        <w:tc>
          <w:tcPr>
            <w:tcW w:w="736" w:type="pct"/>
            <w:vMerge/>
            <w:vAlign w:val="center"/>
          </w:tcPr>
          <w:p w14:paraId="31499879" w14:textId="77777777" w:rsidR="002E474C" w:rsidRDefault="002E474C">
            <w:pPr>
              <w:pStyle w:val="A-"/>
            </w:pPr>
          </w:p>
        </w:tc>
        <w:tc>
          <w:tcPr>
            <w:tcW w:w="1956" w:type="pct"/>
            <w:vAlign w:val="center"/>
          </w:tcPr>
          <w:p w14:paraId="6F6B21BC" w14:textId="77777777" w:rsidR="002E474C" w:rsidRDefault="00000000">
            <w:pPr>
              <w:pStyle w:val="A-"/>
            </w:pPr>
            <w:r>
              <w:t>阳离子交换量</w:t>
            </w:r>
            <w:r>
              <w:t>/</w:t>
            </w:r>
            <w:r>
              <w:t>（</w:t>
            </w:r>
            <w:proofErr w:type="spellStart"/>
            <w:r>
              <w:t>cmol</w:t>
            </w:r>
            <w:proofErr w:type="spellEnd"/>
            <w:r>
              <w:rPr>
                <w:vertAlign w:val="superscript"/>
              </w:rPr>
              <w:t>+</w:t>
            </w:r>
            <w:r>
              <w:t>/kg</w:t>
            </w:r>
            <w:r>
              <w:t>）</w:t>
            </w:r>
          </w:p>
        </w:tc>
        <w:tc>
          <w:tcPr>
            <w:tcW w:w="635" w:type="pct"/>
            <w:vAlign w:val="center"/>
          </w:tcPr>
          <w:p w14:paraId="7BFA29F2" w14:textId="77777777" w:rsidR="002E474C" w:rsidRDefault="00000000">
            <w:pPr>
              <w:pStyle w:val="A-"/>
            </w:pPr>
            <w:r>
              <w:t>6.2</w:t>
            </w:r>
          </w:p>
        </w:tc>
        <w:tc>
          <w:tcPr>
            <w:tcW w:w="906" w:type="pct"/>
            <w:vAlign w:val="center"/>
          </w:tcPr>
          <w:p w14:paraId="47282479" w14:textId="77777777" w:rsidR="002E474C" w:rsidRDefault="00000000">
            <w:pPr>
              <w:pStyle w:val="A-"/>
            </w:pPr>
            <w:r>
              <w:t>9.6</w:t>
            </w:r>
          </w:p>
        </w:tc>
        <w:tc>
          <w:tcPr>
            <w:tcW w:w="767" w:type="pct"/>
            <w:vAlign w:val="center"/>
          </w:tcPr>
          <w:p w14:paraId="6A0BFDA9" w14:textId="77777777" w:rsidR="002E474C" w:rsidRDefault="00000000">
            <w:pPr>
              <w:pStyle w:val="A-"/>
            </w:pPr>
            <w:r>
              <w:t>6.7</w:t>
            </w:r>
          </w:p>
        </w:tc>
      </w:tr>
      <w:tr w:rsidR="002E474C" w14:paraId="62FBF5D3" w14:textId="77777777">
        <w:trPr>
          <w:jc w:val="center"/>
        </w:trPr>
        <w:tc>
          <w:tcPr>
            <w:tcW w:w="736" w:type="pct"/>
            <w:vMerge/>
            <w:vAlign w:val="center"/>
          </w:tcPr>
          <w:p w14:paraId="079A7682" w14:textId="77777777" w:rsidR="002E474C" w:rsidRDefault="002E474C">
            <w:pPr>
              <w:pStyle w:val="A-"/>
            </w:pPr>
          </w:p>
        </w:tc>
        <w:tc>
          <w:tcPr>
            <w:tcW w:w="1956" w:type="pct"/>
            <w:vAlign w:val="center"/>
          </w:tcPr>
          <w:p w14:paraId="4BC11984" w14:textId="77777777" w:rsidR="002E474C" w:rsidRDefault="00000000">
            <w:pPr>
              <w:pStyle w:val="A-"/>
            </w:pPr>
            <w:r>
              <w:t>氧化还原电位</w:t>
            </w:r>
            <w:r>
              <w:t>/</w:t>
            </w:r>
            <w:r>
              <w:t>（</w:t>
            </w:r>
            <w:r>
              <w:t>mV</w:t>
            </w:r>
            <w:r>
              <w:t>）</w:t>
            </w:r>
          </w:p>
        </w:tc>
        <w:tc>
          <w:tcPr>
            <w:tcW w:w="635" w:type="pct"/>
            <w:vAlign w:val="center"/>
          </w:tcPr>
          <w:p w14:paraId="49FCB0F3" w14:textId="77777777" w:rsidR="002E474C" w:rsidRDefault="00000000">
            <w:pPr>
              <w:pStyle w:val="A-"/>
            </w:pPr>
            <w:r>
              <w:t>259</w:t>
            </w:r>
          </w:p>
        </w:tc>
        <w:tc>
          <w:tcPr>
            <w:tcW w:w="906" w:type="pct"/>
            <w:vAlign w:val="center"/>
          </w:tcPr>
          <w:p w14:paraId="7E1D2580" w14:textId="77777777" w:rsidR="002E474C" w:rsidRDefault="00000000">
            <w:pPr>
              <w:pStyle w:val="A-"/>
            </w:pPr>
            <w:r>
              <w:t>228</w:t>
            </w:r>
          </w:p>
        </w:tc>
        <w:tc>
          <w:tcPr>
            <w:tcW w:w="767" w:type="pct"/>
            <w:vAlign w:val="center"/>
          </w:tcPr>
          <w:p w14:paraId="3F34ADCA" w14:textId="77777777" w:rsidR="002E474C" w:rsidRDefault="00000000">
            <w:pPr>
              <w:pStyle w:val="A-"/>
            </w:pPr>
            <w:r>
              <w:t>201</w:t>
            </w:r>
          </w:p>
        </w:tc>
      </w:tr>
      <w:tr w:rsidR="002E474C" w14:paraId="126DE126" w14:textId="77777777">
        <w:trPr>
          <w:jc w:val="center"/>
        </w:trPr>
        <w:tc>
          <w:tcPr>
            <w:tcW w:w="736" w:type="pct"/>
            <w:vMerge/>
            <w:vAlign w:val="center"/>
          </w:tcPr>
          <w:p w14:paraId="77127884" w14:textId="77777777" w:rsidR="002E474C" w:rsidRDefault="002E474C">
            <w:pPr>
              <w:pStyle w:val="A-"/>
            </w:pPr>
          </w:p>
        </w:tc>
        <w:tc>
          <w:tcPr>
            <w:tcW w:w="1956" w:type="pct"/>
            <w:vAlign w:val="center"/>
          </w:tcPr>
          <w:p w14:paraId="1AA64A21" w14:textId="77777777" w:rsidR="002E474C" w:rsidRDefault="00000000">
            <w:pPr>
              <w:pStyle w:val="A-"/>
            </w:pPr>
            <w:r>
              <w:t>土壤容重</w:t>
            </w:r>
            <w:r>
              <w:t>/</w:t>
            </w:r>
            <w:r>
              <w:t>（</w:t>
            </w:r>
            <w:r>
              <w:t>g/cm³</w:t>
            </w:r>
            <w:r>
              <w:t>）</w:t>
            </w:r>
          </w:p>
        </w:tc>
        <w:tc>
          <w:tcPr>
            <w:tcW w:w="635" w:type="pct"/>
            <w:vAlign w:val="center"/>
          </w:tcPr>
          <w:p w14:paraId="7876964C" w14:textId="77777777" w:rsidR="002E474C" w:rsidRDefault="00000000">
            <w:pPr>
              <w:pStyle w:val="A-"/>
            </w:pPr>
            <w:r>
              <w:t>1.31</w:t>
            </w:r>
          </w:p>
        </w:tc>
        <w:tc>
          <w:tcPr>
            <w:tcW w:w="906" w:type="pct"/>
            <w:vAlign w:val="center"/>
          </w:tcPr>
          <w:p w14:paraId="7870D84B" w14:textId="77777777" w:rsidR="002E474C" w:rsidRDefault="00000000">
            <w:pPr>
              <w:pStyle w:val="A-"/>
            </w:pPr>
            <w:r>
              <w:t>1.34</w:t>
            </w:r>
          </w:p>
        </w:tc>
        <w:tc>
          <w:tcPr>
            <w:tcW w:w="767" w:type="pct"/>
            <w:vAlign w:val="center"/>
          </w:tcPr>
          <w:p w14:paraId="1C26AAA9" w14:textId="77777777" w:rsidR="002E474C" w:rsidRDefault="00000000">
            <w:pPr>
              <w:pStyle w:val="A-"/>
            </w:pPr>
            <w:r>
              <w:t>1.33</w:t>
            </w:r>
          </w:p>
        </w:tc>
      </w:tr>
      <w:tr w:rsidR="002E474C" w14:paraId="01DF0812" w14:textId="77777777">
        <w:trPr>
          <w:jc w:val="center"/>
        </w:trPr>
        <w:tc>
          <w:tcPr>
            <w:tcW w:w="736" w:type="pct"/>
            <w:vMerge/>
            <w:vAlign w:val="center"/>
          </w:tcPr>
          <w:p w14:paraId="1C633AC9" w14:textId="77777777" w:rsidR="002E474C" w:rsidRDefault="002E474C">
            <w:pPr>
              <w:pStyle w:val="A-"/>
            </w:pPr>
          </w:p>
        </w:tc>
        <w:tc>
          <w:tcPr>
            <w:tcW w:w="1956" w:type="pct"/>
            <w:vAlign w:val="center"/>
          </w:tcPr>
          <w:p w14:paraId="25D2EB8A" w14:textId="77777777" w:rsidR="002E474C" w:rsidRDefault="00000000">
            <w:pPr>
              <w:pStyle w:val="A-"/>
            </w:pPr>
            <w:r>
              <w:t>孔隙度</w:t>
            </w:r>
            <w:r>
              <w:t>/(%)</w:t>
            </w:r>
          </w:p>
        </w:tc>
        <w:tc>
          <w:tcPr>
            <w:tcW w:w="635" w:type="pct"/>
            <w:vAlign w:val="center"/>
          </w:tcPr>
          <w:p w14:paraId="27A2E1A7" w14:textId="77777777" w:rsidR="002E474C" w:rsidRDefault="00000000">
            <w:pPr>
              <w:pStyle w:val="A-"/>
            </w:pPr>
            <w:r>
              <w:t>35.5</w:t>
            </w:r>
          </w:p>
        </w:tc>
        <w:tc>
          <w:tcPr>
            <w:tcW w:w="906" w:type="pct"/>
            <w:vAlign w:val="center"/>
          </w:tcPr>
          <w:p w14:paraId="2EB79950" w14:textId="77777777" w:rsidR="002E474C" w:rsidRDefault="00000000">
            <w:pPr>
              <w:pStyle w:val="A-"/>
            </w:pPr>
            <w:r>
              <w:t>36.0</w:t>
            </w:r>
          </w:p>
        </w:tc>
        <w:tc>
          <w:tcPr>
            <w:tcW w:w="767" w:type="pct"/>
            <w:vAlign w:val="center"/>
          </w:tcPr>
          <w:p w14:paraId="54815D24" w14:textId="77777777" w:rsidR="002E474C" w:rsidRDefault="00000000">
            <w:pPr>
              <w:pStyle w:val="A-"/>
            </w:pPr>
            <w:r>
              <w:t>34.7</w:t>
            </w:r>
          </w:p>
        </w:tc>
      </w:tr>
      <w:tr w:rsidR="002E474C" w14:paraId="5CCE6CD4" w14:textId="77777777">
        <w:trPr>
          <w:jc w:val="center"/>
        </w:trPr>
        <w:tc>
          <w:tcPr>
            <w:tcW w:w="736" w:type="pct"/>
            <w:vMerge/>
            <w:vAlign w:val="center"/>
          </w:tcPr>
          <w:p w14:paraId="644553C8" w14:textId="77777777" w:rsidR="002E474C" w:rsidRDefault="002E474C">
            <w:pPr>
              <w:pStyle w:val="A-"/>
            </w:pPr>
          </w:p>
        </w:tc>
        <w:tc>
          <w:tcPr>
            <w:tcW w:w="1956" w:type="pct"/>
            <w:vAlign w:val="center"/>
          </w:tcPr>
          <w:p w14:paraId="52AC172B" w14:textId="77777777" w:rsidR="002E474C" w:rsidRDefault="00000000">
            <w:pPr>
              <w:pStyle w:val="A-"/>
            </w:pPr>
            <w:r>
              <w:t>渗滤率（饱和导水率）（</w:t>
            </w:r>
            <w:r>
              <w:t>mm/min</w:t>
            </w:r>
            <w:r>
              <w:t>）</w:t>
            </w:r>
          </w:p>
        </w:tc>
        <w:tc>
          <w:tcPr>
            <w:tcW w:w="635" w:type="pct"/>
            <w:vAlign w:val="center"/>
          </w:tcPr>
          <w:p w14:paraId="2F01B29A" w14:textId="77777777" w:rsidR="002E474C" w:rsidRDefault="00000000">
            <w:pPr>
              <w:pStyle w:val="A-"/>
            </w:pPr>
            <w:r>
              <w:t>6.32</w:t>
            </w:r>
          </w:p>
        </w:tc>
        <w:tc>
          <w:tcPr>
            <w:tcW w:w="906" w:type="pct"/>
            <w:vAlign w:val="center"/>
          </w:tcPr>
          <w:p w14:paraId="6F2D7996" w14:textId="77777777" w:rsidR="002E474C" w:rsidRDefault="00000000">
            <w:pPr>
              <w:pStyle w:val="A-"/>
            </w:pPr>
            <w:r>
              <w:t>6.18</w:t>
            </w:r>
          </w:p>
        </w:tc>
        <w:tc>
          <w:tcPr>
            <w:tcW w:w="767" w:type="pct"/>
            <w:vAlign w:val="center"/>
          </w:tcPr>
          <w:p w14:paraId="3E9E5FCF" w14:textId="77777777" w:rsidR="002E474C" w:rsidRDefault="00000000">
            <w:pPr>
              <w:pStyle w:val="A-"/>
            </w:pPr>
            <w:r>
              <w:t>6.28</w:t>
            </w:r>
          </w:p>
        </w:tc>
      </w:tr>
      <w:tr w:rsidR="002E474C" w14:paraId="715278FA" w14:textId="77777777">
        <w:trPr>
          <w:jc w:val="center"/>
        </w:trPr>
        <w:tc>
          <w:tcPr>
            <w:tcW w:w="5000" w:type="pct"/>
            <w:gridSpan w:val="5"/>
            <w:vAlign w:val="center"/>
          </w:tcPr>
          <w:p w14:paraId="7631D8AE" w14:textId="77777777" w:rsidR="002E474C" w:rsidRDefault="00000000">
            <w:pPr>
              <w:pStyle w:val="A-"/>
            </w:pPr>
            <w:r>
              <w:t>土壤结构类型通常分为：块状结构体、核状结构体、柱状结构体、片状结构体、团粒结构体。</w:t>
            </w:r>
          </w:p>
        </w:tc>
      </w:tr>
    </w:tbl>
    <w:p w14:paraId="03F81313" w14:textId="77777777" w:rsidR="002E474C" w:rsidRDefault="002E474C">
      <w:pPr>
        <w:overflowPunct w:val="0"/>
        <w:spacing w:line="360" w:lineRule="auto"/>
        <w:ind w:firstLineChars="200" w:firstLine="420"/>
      </w:pPr>
    </w:p>
    <w:p w14:paraId="5F0063F1" w14:textId="77777777" w:rsidR="002E474C" w:rsidRDefault="00000000">
      <w:pPr>
        <w:pStyle w:val="41"/>
        <w:rPr>
          <w:color w:val="auto"/>
          <w:lang w:val="en-US"/>
        </w:rPr>
      </w:pPr>
      <w:r>
        <w:rPr>
          <w:color w:val="auto"/>
          <w:lang w:val="en-US"/>
        </w:rPr>
        <w:t>土壤质量现状评价</w:t>
      </w:r>
    </w:p>
    <w:p w14:paraId="2D06FC8D" w14:textId="77777777" w:rsidR="002E474C" w:rsidRDefault="00000000">
      <w:pPr>
        <w:pStyle w:val="A-z"/>
        <w:rPr>
          <w:color w:val="auto"/>
        </w:rPr>
      </w:pPr>
      <w:r>
        <w:rPr>
          <w:color w:val="auto"/>
        </w:rPr>
        <w:t>（</w:t>
      </w:r>
      <w:r>
        <w:rPr>
          <w:color w:val="auto"/>
        </w:rPr>
        <w:t>1</w:t>
      </w:r>
      <w:r>
        <w:rPr>
          <w:color w:val="auto"/>
        </w:rPr>
        <w:t>）监测布点</w:t>
      </w:r>
    </w:p>
    <w:p w14:paraId="00138B90"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），工业园区内的建设项目，应重点在建设项目占地范围内开展现状调查工作，并兼顾其可能影响的园区外围土壤环境敏感目标。本项目评价范围内无土壤环境敏感目标，</w:t>
      </w:r>
      <w:r>
        <w:rPr>
          <w:color w:val="auto"/>
        </w:rPr>
        <w:lastRenderedPageBreak/>
        <w:t>在评价范围内开展现状调查工作。</w:t>
      </w:r>
    </w:p>
    <w:p w14:paraId="08DDBABA" w14:textId="77777777" w:rsidR="002E474C" w:rsidRDefault="00000000">
      <w:pPr>
        <w:pStyle w:val="A-z"/>
        <w:rPr>
          <w:color w:val="auto"/>
        </w:rPr>
      </w:pPr>
      <w:r>
        <w:rPr>
          <w:color w:val="auto"/>
        </w:rPr>
        <w:t>本项目土壤影像类型为污染影响型，土壤环境影响评价工作等级为二级，布设</w:t>
      </w:r>
      <w:r>
        <w:rPr>
          <w:color w:val="auto"/>
        </w:rPr>
        <w:t>6</w:t>
      </w:r>
      <w:r>
        <w:rPr>
          <w:color w:val="auto"/>
        </w:rPr>
        <w:t>个监测点位，土壤监测点位分布情况见表</w:t>
      </w:r>
      <w:r>
        <w:rPr>
          <w:color w:val="auto"/>
        </w:rPr>
        <w:t>4.3</w:t>
      </w:r>
      <w:r>
        <w:rPr>
          <w:color w:val="auto"/>
        </w:rPr>
        <w:noBreakHyphen/>
        <w:t>9</w:t>
      </w:r>
      <w:r>
        <w:rPr>
          <w:color w:val="auto"/>
        </w:rPr>
        <w:t>和图</w:t>
      </w:r>
      <w:r>
        <w:rPr>
          <w:color w:val="auto"/>
        </w:rPr>
        <w:t>4.3</w:t>
      </w:r>
      <w:r>
        <w:rPr>
          <w:color w:val="auto"/>
        </w:rPr>
        <w:noBreakHyphen/>
        <w:t>2</w:t>
      </w:r>
      <w:r>
        <w:rPr>
          <w:color w:val="auto"/>
        </w:rPr>
        <w:t>。</w:t>
      </w:r>
    </w:p>
    <w:p w14:paraId="3D5139E1" w14:textId="77777777" w:rsidR="002E474C" w:rsidRDefault="00000000">
      <w:pPr>
        <w:pStyle w:val="A--"/>
        <w:rPr>
          <w:color w:val="auto"/>
        </w:rPr>
      </w:pPr>
      <w:bookmarkStart w:id="250" w:name="_Ref13244159"/>
      <w:r>
        <w:rPr>
          <w:color w:val="auto"/>
        </w:rPr>
        <w:t>表</w:t>
      </w:r>
      <w:r>
        <w:rPr>
          <w:color w:val="auto"/>
        </w:rPr>
        <w:t>4.3</w:t>
      </w:r>
      <w:r>
        <w:rPr>
          <w:color w:val="auto"/>
        </w:rPr>
        <w:noBreakHyphen/>
      </w:r>
      <w:bookmarkEnd w:id="250"/>
      <w:r>
        <w:rPr>
          <w:color w:val="auto"/>
        </w:rPr>
        <w:t xml:space="preserve">9  </w:t>
      </w:r>
      <w:r>
        <w:rPr>
          <w:color w:val="auto"/>
        </w:rPr>
        <w:t>土壤监测点位布置情况表</w:t>
      </w:r>
    </w:p>
    <w:tbl>
      <w:tblPr>
        <w:tblStyle w:val="affffffffff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211"/>
        <w:gridCol w:w="5007"/>
      </w:tblGrid>
      <w:tr w:rsidR="002E474C" w14:paraId="2D27C08F" w14:textId="77777777">
        <w:tc>
          <w:tcPr>
            <w:tcW w:w="1101" w:type="dxa"/>
          </w:tcPr>
          <w:p w14:paraId="702638BB" w14:textId="77777777" w:rsidR="002E474C" w:rsidRDefault="00000000">
            <w:pPr>
              <w:pStyle w:val="A-"/>
            </w:pPr>
            <w:r>
              <w:t>编号</w:t>
            </w:r>
          </w:p>
        </w:tc>
        <w:tc>
          <w:tcPr>
            <w:tcW w:w="2268" w:type="dxa"/>
          </w:tcPr>
          <w:p w14:paraId="055B5D51" w14:textId="77777777" w:rsidR="002E474C" w:rsidRDefault="00000000">
            <w:pPr>
              <w:pStyle w:val="A-"/>
            </w:pPr>
            <w:r>
              <w:t>监测点名称</w:t>
            </w:r>
          </w:p>
        </w:tc>
        <w:tc>
          <w:tcPr>
            <w:tcW w:w="5153" w:type="dxa"/>
          </w:tcPr>
          <w:p w14:paraId="1D1797D0" w14:textId="77777777" w:rsidR="002E474C" w:rsidRDefault="00000000">
            <w:pPr>
              <w:pStyle w:val="A-"/>
            </w:pPr>
            <w:r>
              <w:t>监测因子</w:t>
            </w:r>
          </w:p>
        </w:tc>
      </w:tr>
      <w:tr w:rsidR="002E474C" w14:paraId="708667F6" w14:textId="77777777">
        <w:tc>
          <w:tcPr>
            <w:tcW w:w="1101" w:type="dxa"/>
          </w:tcPr>
          <w:p w14:paraId="6912F80D" w14:textId="77777777" w:rsidR="002E474C" w:rsidRDefault="00000000">
            <w:pPr>
              <w:pStyle w:val="A-"/>
            </w:pPr>
            <w:r>
              <w:t>T1</w:t>
            </w:r>
          </w:p>
        </w:tc>
        <w:tc>
          <w:tcPr>
            <w:tcW w:w="2268" w:type="dxa"/>
          </w:tcPr>
          <w:p w14:paraId="17C2FD37" w14:textId="77777777" w:rsidR="002E474C" w:rsidRDefault="00000000">
            <w:pPr>
              <w:pStyle w:val="A-"/>
            </w:pPr>
            <w:r>
              <w:rPr>
                <w:lang w:val="zh-CN"/>
              </w:rPr>
              <w:t>水泥窑头区域</w:t>
            </w:r>
          </w:p>
        </w:tc>
        <w:tc>
          <w:tcPr>
            <w:tcW w:w="5153" w:type="dxa"/>
          </w:tcPr>
          <w:p w14:paraId="2E78EF70" w14:textId="77777777" w:rsidR="002E474C" w:rsidRDefault="00000000">
            <w:pPr>
              <w:pStyle w:val="A-"/>
            </w:pPr>
            <w:r>
              <w:t>柱状样，</w:t>
            </w:r>
            <w:r>
              <w:t>GB36600-2018</w:t>
            </w:r>
            <w:r>
              <w:t>）中表</w:t>
            </w:r>
            <w:r>
              <w:t>1</w:t>
            </w:r>
            <w:r>
              <w:t>基本</w:t>
            </w:r>
            <w:r>
              <w:t>45</w:t>
            </w:r>
            <w:r>
              <w:t>项和</w:t>
            </w:r>
            <w:r>
              <w:t>pH</w:t>
            </w:r>
            <w:r>
              <w:t>、二噁英类、石油烃（</w:t>
            </w:r>
            <w:r>
              <w:t>C</w:t>
            </w:r>
            <w:r>
              <w:rPr>
                <w:vertAlign w:val="subscript"/>
              </w:rPr>
              <w:t>10</w:t>
            </w:r>
            <w:r>
              <w:t>-C</w:t>
            </w:r>
            <w:r>
              <w:rPr>
                <w:vertAlign w:val="subscript"/>
              </w:rPr>
              <w:t>40</w:t>
            </w:r>
            <w:r>
              <w:t>）、氰化物、钴、钒，土壤理化性质</w:t>
            </w:r>
          </w:p>
        </w:tc>
      </w:tr>
      <w:tr w:rsidR="002E474C" w14:paraId="725496E2" w14:textId="77777777">
        <w:tc>
          <w:tcPr>
            <w:tcW w:w="1101" w:type="dxa"/>
          </w:tcPr>
          <w:p w14:paraId="6F4F451F" w14:textId="77777777" w:rsidR="002E474C" w:rsidRDefault="00000000">
            <w:pPr>
              <w:pStyle w:val="A-"/>
            </w:pPr>
            <w:r>
              <w:t>T2</w:t>
            </w:r>
          </w:p>
        </w:tc>
        <w:tc>
          <w:tcPr>
            <w:tcW w:w="2268" w:type="dxa"/>
          </w:tcPr>
          <w:p w14:paraId="4F1BA0BC" w14:textId="77777777" w:rsidR="002E474C" w:rsidRDefault="00000000">
            <w:pPr>
              <w:pStyle w:val="A-"/>
            </w:pPr>
            <w:r>
              <w:rPr>
                <w:lang w:val="zh-CN"/>
              </w:rPr>
              <w:t>水泥窑尾区域</w:t>
            </w:r>
          </w:p>
        </w:tc>
        <w:tc>
          <w:tcPr>
            <w:tcW w:w="5153" w:type="dxa"/>
            <w:vMerge w:val="restart"/>
          </w:tcPr>
          <w:p w14:paraId="71F22A7B" w14:textId="77777777" w:rsidR="002E474C" w:rsidRDefault="00000000">
            <w:pPr>
              <w:pStyle w:val="A-"/>
            </w:pPr>
            <w:r>
              <w:t>柱状样，</w:t>
            </w:r>
            <w:r>
              <w:t>pH</w:t>
            </w:r>
            <w:r>
              <w:t>、汞、砷、铅、镉、铜、镍、六价铬、二噁英类、</w:t>
            </w:r>
            <w:r>
              <w:rPr>
                <w:spacing w:val="4"/>
              </w:rPr>
              <w:t>石油烃</w:t>
            </w:r>
            <w:r>
              <w:t>（</w:t>
            </w:r>
            <w:r>
              <w:t>C</w:t>
            </w:r>
            <w:r>
              <w:rPr>
                <w:vertAlign w:val="subscript"/>
              </w:rPr>
              <w:t>10</w:t>
            </w:r>
            <w:r>
              <w:t>-C</w:t>
            </w:r>
            <w:r>
              <w:rPr>
                <w:vertAlign w:val="subscript"/>
              </w:rPr>
              <w:t>40</w:t>
            </w:r>
            <w:r>
              <w:t>）</w:t>
            </w:r>
            <w:r>
              <w:rPr>
                <w:spacing w:val="4"/>
              </w:rPr>
              <w:t>、氰化物、钴、钒</w:t>
            </w:r>
          </w:p>
        </w:tc>
      </w:tr>
      <w:tr w:rsidR="002E474C" w14:paraId="52C689DF" w14:textId="77777777">
        <w:tc>
          <w:tcPr>
            <w:tcW w:w="1101" w:type="dxa"/>
          </w:tcPr>
          <w:p w14:paraId="322D5304" w14:textId="77777777" w:rsidR="002E474C" w:rsidRDefault="00000000">
            <w:pPr>
              <w:pStyle w:val="A-"/>
            </w:pPr>
            <w:r>
              <w:t>T3</w:t>
            </w:r>
          </w:p>
        </w:tc>
        <w:tc>
          <w:tcPr>
            <w:tcW w:w="2268" w:type="dxa"/>
          </w:tcPr>
          <w:p w14:paraId="0FD67E1F" w14:textId="77777777" w:rsidR="002E474C" w:rsidRDefault="00000000">
            <w:pPr>
              <w:pStyle w:val="A-"/>
            </w:pPr>
            <w:r>
              <w:rPr>
                <w:lang w:val="zh-CN"/>
              </w:rPr>
              <w:t>贮存库东侧</w:t>
            </w:r>
          </w:p>
        </w:tc>
        <w:tc>
          <w:tcPr>
            <w:tcW w:w="5153" w:type="dxa"/>
            <w:vMerge/>
          </w:tcPr>
          <w:p w14:paraId="32B1318C" w14:textId="77777777" w:rsidR="002E474C" w:rsidRDefault="002E474C">
            <w:pPr>
              <w:pStyle w:val="A-"/>
            </w:pPr>
          </w:p>
        </w:tc>
      </w:tr>
      <w:tr w:rsidR="002E474C" w14:paraId="3BA1CF7F" w14:textId="77777777">
        <w:tc>
          <w:tcPr>
            <w:tcW w:w="1101" w:type="dxa"/>
          </w:tcPr>
          <w:p w14:paraId="25A40AD4" w14:textId="77777777" w:rsidR="002E474C" w:rsidRDefault="00000000">
            <w:pPr>
              <w:pStyle w:val="A-"/>
            </w:pPr>
            <w:r>
              <w:t>T4</w:t>
            </w:r>
          </w:p>
        </w:tc>
        <w:tc>
          <w:tcPr>
            <w:tcW w:w="2268" w:type="dxa"/>
          </w:tcPr>
          <w:p w14:paraId="21402030" w14:textId="77777777" w:rsidR="002E474C" w:rsidRDefault="00000000">
            <w:pPr>
              <w:pStyle w:val="A-"/>
            </w:pPr>
            <w:r>
              <w:rPr>
                <w:lang w:val="zh-CN"/>
              </w:rPr>
              <w:t>预留地区域</w:t>
            </w:r>
          </w:p>
        </w:tc>
        <w:tc>
          <w:tcPr>
            <w:tcW w:w="5153" w:type="dxa"/>
            <w:vMerge w:val="restart"/>
          </w:tcPr>
          <w:p w14:paraId="341F9B9E" w14:textId="77777777" w:rsidR="002E474C" w:rsidRDefault="00000000">
            <w:pPr>
              <w:pStyle w:val="A-"/>
            </w:pPr>
            <w:r>
              <w:t>表层样，</w:t>
            </w:r>
            <w:r>
              <w:t>pH</w:t>
            </w:r>
            <w:r>
              <w:t>、汞、砷、铅、镉、铜、镍、六价铬、二噁英类、石油烃（</w:t>
            </w:r>
            <w:r>
              <w:t>C</w:t>
            </w:r>
            <w:r>
              <w:rPr>
                <w:vertAlign w:val="subscript"/>
              </w:rPr>
              <w:t>10</w:t>
            </w:r>
            <w:r>
              <w:t>-C</w:t>
            </w:r>
            <w:r>
              <w:rPr>
                <w:vertAlign w:val="subscript"/>
              </w:rPr>
              <w:t>40</w:t>
            </w:r>
            <w:r>
              <w:t>）、氰化物、钴、钒</w:t>
            </w:r>
          </w:p>
        </w:tc>
      </w:tr>
      <w:tr w:rsidR="002E474C" w14:paraId="363B0A4A" w14:textId="77777777">
        <w:tc>
          <w:tcPr>
            <w:tcW w:w="1101" w:type="dxa"/>
          </w:tcPr>
          <w:p w14:paraId="49A1FF79" w14:textId="77777777" w:rsidR="002E474C" w:rsidRDefault="00000000">
            <w:pPr>
              <w:pStyle w:val="A-"/>
            </w:pPr>
            <w:r>
              <w:t>T5</w:t>
            </w:r>
          </w:p>
        </w:tc>
        <w:tc>
          <w:tcPr>
            <w:tcW w:w="2268" w:type="dxa"/>
          </w:tcPr>
          <w:p w14:paraId="66D2919B" w14:textId="77777777" w:rsidR="002E474C" w:rsidRDefault="00000000">
            <w:pPr>
              <w:pStyle w:val="A-"/>
            </w:pPr>
            <w:r>
              <w:rPr>
                <w:lang w:val="zh-CN"/>
              </w:rPr>
              <w:t>厂界外上风向</w:t>
            </w:r>
            <w:r>
              <w:rPr>
                <w:lang w:val="zh-CN"/>
              </w:rPr>
              <w:t>200m</w:t>
            </w:r>
            <w:r>
              <w:rPr>
                <w:lang w:val="zh-CN"/>
              </w:rPr>
              <w:t>内</w:t>
            </w:r>
          </w:p>
        </w:tc>
        <w:tc>
          <w:tcPr>
            <w:tcW w:w="5153" w:type="dxa"/>
            <w:vMerge/>
          </w:tcPr>
          <w:p w14:paraId="3728E08B" w14:textId="77777777" w:rsidR="002E474C" w:rsidRDefault="002E474C">
            <w:pPr>
              <w:pStyle w:val="A-"/>
            </w:pPr>
          </w:p>
        </w:tc>
      </w:tr>
      <w:tr w:rsidR="002E474C" w14:paraId="49222EFC" w14:textId="77777777">
        <w:tc>
          <w:tcPr>
            <w:tcW w:w="1101" w:type="dxa"/>
          </w:tcPr>
          <w:p w14:paraId="120691E7" w14:textId="77777777" w:rsidR="002E474C" w:rsidRDefault="00000000">
            <w:pPr>
              <w:pStyle w:val="A-"/>
            </w:pPr>
            <w:r>
              <w:t>T6</w:t>
            </w:r>
          </w:p>
        </w:tc>
        <w:tc>
          <w:tcPr>
            <w:tcW w:w="2268" w:type="dxa"/>
          </w:tcPr>
          <w:p w14:paraId="2117F64E" w14:textId="77777777" w:rsidR="002E474C" w:rsidRDefault="00000000">
            <w:pPr>
              <w:pStyle w:val="A-"/>
            </w:pPr>
            <w:r>
              <w:rPr>
                <w:lang w:val="zh-CN"/>
              </w:rPr>
              <w:t>厂界外下风向</w:t>
            </w:r>
            <w:r>
              <w:rPr>
                <w:lang w:val="zh-CN"/>
              </w:rPr>
              <w:t>200m</w:t>
            </w:r>
            <w:r>
              <w:rPr>
                <w:lang w:val="zh-CN"/>
              </w:rPr>
              <w:t>内</w:t>
            </w:r>
          </w:p>
        </w:tc>
        <w:tc>
          <w:tcPr>
            <w:tcW w:w="5153" w:type="dxa"/>
            <w:vMerge/>
          </w:tcPr>
          <w:p w14:paraId="2F50C855" w14:textId="77777777" w:rsidR="002E474C" w:rsidRDefault="002E474C">
            <w:pPr>
              <w:pStyle w:val="A-"/>
            </w:pPr>
          </w:p>
        </w:tc>
      </w:tr>
    </w:tbl>
    <w:p w14:paraId="3F7145AD" w14:textId="77777777" w:rsidR="002E474C" w:rsidRDefault="002E474C"/>
    <w:p w14:paraId="778AC64D" w14:textId="77777777" w:rsidR="002E474C" w:rsidRDefault="00000000">
      <w:pPr>
        <w:pStyle w:val="A-z"/>
        <w:rPr>
          <w:color w:val="auto"/>
        </w:rPr>
      </w:pPr>
      <w:r>
        <w:rPr>
          <w:color w:val="auto"/>
        </w:rPr>
        <w:t>（</w:t>
      </w:r>
      <w:r>
        <w:rPr>
          <w:color w:val="auto"/>
        </w:rPr>
        <w:t>2</w:t>
      </w:r>
      <w:r>
        <w:rPr>
          <w:color w:val="auto"/>
        </w:rPr>
        <w:t>）监测因子</w:t>
      </w:r>
    </w:p>
    <w:p w14:paraId="21E66A9D" w14:textId="77777777" w:rsidR="002E474C" w:rsidRDefault="00000000">
      <w:pPr>
        <w:pStyle w:val="A-z"/>
        <w:ind w:firstLine="456"/>
        <w:rPr>
          <w:color w:val="auto"/>
          <w:spacing w:val="-6"/>
        </w:rPr>
      </w:pPr>
      <w:r>
        <w:rPr>
          <w:color w:val="auto"/>
          <w:spacing w:val="-6"/>
          <w:lang w:val="en-US"/>
        </w:rPr>
        <w:t>pH</w:t>
      </w:r>
      <w:r>
        <w:rPr>
          <w:color w:val="auto"/>
          <w:spacing w:val="-6"/>
          <w:lang w:val="en-US"/>
        </w:rPr>
        <w:t>、砷、镉、六价铬、铜、铅、汞、镍、四氯化碳、氯仿、氯甲烷、</w:t>
      </w:r>
      <w:r>
        <w:rPr>
          <w:color w:val="auto"/>
          <w:spacing w:val="-6"/>
          <w:lang w:val="en-US"/>
        </w:rPr>
        <w:t>1,1-</w:t>
      </w:r>
      <w:r>
        <w:rPr>
          <w:color w:val="auto"/>
          <w:spacing w:val="-6"/>
          <w:lang w:val="en-US"/>
        </w:rPr>
        <w:t>二氯乙烷、</w:t>
      </w:r>
      <w:r>
        <w:rPr>
          <w:color w:val="auto"/>
          <w:spacing w:val="-6"/>
          <w:lang w:val="en-US"/>
        </w:rPr>
        <w:t>1,2-</w:t>
      </w:r>
      <w:r>
        <w:rPr>
          <w:color w:val="auto"/>
          <w:spacing w:val="-6"/>
          <w:lang w:val="en-US"/>
        </w:rPr>
        <w:t>二氯乙烷、</w:t>
      </w:r>
      <w:r>
        <w:rPr>
          <w:color w:val="auto"/>
          <w:spacing w:val="-6"/>
          <w:lang w:val="en-US"/>
        </w:rPr>
        <w:t>1,1-</w:t>
      </w:r>
      <w:r>
        <w:rPr>
          <w:color w:val="auto"/>
          <w:spacing w:val="-6"/>
          <w:lang w:val="en-US"/>
        </w:rPr>
        <w:t>二氯乙烯、顺</w:t>
      </w:r>
      <w:r>
        <w:rPr>
          <w:color w:val="auto"/>
          <w:spacing w:val="-6"/>
          <w:lang w:val="en-US"/>
        </w:rPr>
        <w:t>-1,2-</w:t>
      </w:r>
      <w:r>
        <w:rPr>
          <w:color w:val="auto"/>
          <w:spacing w:val="-6"/>
          <w:lang w:val="en-US"/>
        </w:rPr>
        <w:t>二氯乙烯、反</w:t>
      </w:r>
      <w:r>
        <w:rPr>
          <w:color w:val="auto"/>
          <w:spacing w:val="-6"/>
          <w:lang w:val="en-US"/>
        </w:rPr>
        <w:t>-1,2-</w:t>
      </w:r>
      <w:r>
        <w:rPr>
          <w:color w:val="auto"/>
          <w:spacing w:val="-6"/>
          <w:lang w:val="en-US"/>
        </w:rPr>
        <w:t>二氯乙烯、二氯甲烷、</w:t>
      </w:r>
      <w:r>
        <w:rPr>
          <w:color w:val="auto"/>
          <w:spacing w:val="-6"/>
          <w:lang w:val="en-US"/>
        </w:rPr>
        <w:t>1,2-</w:t>
      </w:r>
      <w:r>
        <w:rPr>
          <w:color w:val="auto"/>
          <w:spacing w:val="-6"/>
          <w:lang w:val="en-US"/>
        </w:rPr>
        <w:t>二氯丙烷、</w:t>
      </w:r>
      <w:r>
        <w:rPr>
          <w:color w:val="auto"/>
          <w:spacing w:val="-6"/>
          <w:lang w:val="en-US"/>
        </w:rPr>
        <w:t>1,1,1,2-</w:t>
      </w:r>
      <w:r>
        <w:rPr>
          <w:color w:val="auto"/>
          <w:spacing w:val="-6"/>
          <w:lang w:val="en-US"/>
        </w:rPr>
        <w:t>四氯乙烷、</w:t>
      </w:r>
      <w:r>
        <w:rPr>
          <w:color w:val="auto"/>
          <w:spacing w:val="-6"/>
          <w:lang w:val="en-US"/>
        </w:rPr>
        <w:t>1,1,2,2-</w:t>
      </w:r>
      <w:r>
        <w:rPr>
          <w:color w:val="auto"/>
          <w:spacing w:val="-6"/>
          <w:lang w:val="en-US"/>
        </w:rPr>
        <w:t>四氯乙烷、四氯乙烯、</w:t>
      </w:r>
      <w:r>
        <w:rPr>
          <w:color w:val="auto"/>
          <w:spacing w:val="-6"/>
          <w:lang w:val="en-US"/>
        </w:rPr>
        <w:t>1,1,1-</w:t>
      </w:r>
      <w:r>
        <w:rPr>
          <w:color w:val="auto"/>
          <w:spacing w:val="-6"/>
          <w:lang w:val="en-US"/>
        </w:rPr>
        <w:t>三氯乙烷、</w:t>
      </w:r>
      <w:r>
        <w:rPr>
          <w:color w:val="auto"/>
          <w:spacing w:val="-6"/>
          <w:lang w:val="en-US"/>
        </w:rPr>
        <w:t>1,1,2-</w:t>
      </w:r>
      <w:r>
        <w:rPr>
          <w:color w:val="auto"/>
          <w:spacing w:val="-6"/>
          <w:lang w:val="en-US"/>
        </w:rPr>
        <w:t>三氯乙烷、三氯乙烯、</w:t>
      </w:r>
      <w:r>
        <w:rPr>
          <w:color w:val="auto"/>
          <w:spacing w:val="-6"/>
          <w:lang w:val="en-US"/>
        </w:rPr>
        <w:t>1,2,3-</w:t>
      </w:r>
      <w:r>
        <w:rPr>
          <w:color w:val="auto"/>
          <w:spacing w:val="-6"/>
          <w:lang w:val="en-US"/>
        </w:rPr>
        <w:t>三氯丙烷、氯乙烯、苯、氯苯、</w:t>
      </w:r>
      <w:r>
        <w:rPr>
          <w:color w:val="auto"/>
          <w:spacing w:val="-6"/>
          <w:lang w:val="en-US"/>
        </w:rPr>
        <w:t>1,2-</w:t>
      </w:r>
      <w:r>
        <w:rPr>
          <w:color w:val="auto"/>
          <w:spacing w:val="-6"/>
          <w:lang w:val="en-US"/>
        </w:rPr>
        <w:t>二氯苯、</w:t>
      </w:r>
      <w:r>
        <w:rPr>
          <w:color w:val="auto"/>
          <w:spacing w:val="-6"/>
          <w:lang w:val="en-US"/>
        </w:rPr>
        <w:t>1,4-</w:t>
      </w:r>
      <w:r>
        <w:rPr>
          <w:color w:val="auto"/>
          <w:spacing w:val="-6"/>
          <w:lang w:val="en-US"/>
        </w:rPr>
        <w:t>二氯苯、乙苯、苯乙烯、甲苯、间二甲苯</w:t>
      </w:r>
      <w:r>
        <w:rPr>
          <w:color w:val="auto"/>
          <w:spacing w:val="-6"/>
          <w:lang w:val="en-US"/>
        </w:rPr>
        <w:t>+</w:t>
      </w:r>
      <w:r>
        <w:rPr>
          <w:color w:val="auto"/>
          <w:spacing w:val="-6"/>
          <w:lang w:val="en-US"/>
        </w:rPr>
        <w:t>对二甲苯、邻二甲苯、硝基苯、苯胺、</w:t>
      </w:r>
      <w:r>
        <w:rPr>
          <w:color w:val="auto"/>
          <w:spacing w:val="-6"/>
          <w:lang w:val="en-US"/>
        </w:rPr>
        <w:t>2-</w:t>
      </w:r>
      <w:r>
        <w:rPr>
          <w:color w:val="auto"/>
          <w:spacing w:val="-6"/>
          <w:lang w:val="en-US"/>
        </w:rPr>
        <w:t>氯酚、苯并［</w:t>
      </w:r>
      <w:r>
        <w:rPr>
          <w:color w:val="auto"/>
          <w:spacing w:val="-6"/>
          <w:lang w:val="en-US"/>
        </w:rPr>
        <w:t>a</w:t>
      </w:r>
      <w:r>
        <w:rPr>
          <w:color w:val="auto"/>
          <w:spacing w:val="-6"/>
          <w:lang w:val="en-US"/>
        </w:rPr>
        <w:t>］蒽、苯并［</w:t>
      </w:r>
      <w:r>
        <w:rPr>
          <w:color w:val="auto"/>
          <w:spacing w:val="-6"/>
          <w:lang w:val="en-US"/>
        </w:rPr>
        <w:t>a</w:t>
      </w:r>
      <w:r>
        <w:rPr>
          <w:color w:val="auto"/>
          <w:spacing w:val="-6"/>
          <w:lang w:val="en-US"/>
        </w:rPr>
        <w:t>］芘、苯并［</w:t>
      </w:r>
      <w:r>
        <w:rPr>
          <w:color w:val="auto"/>
          <w:spacing w:val="-6"/>
          <w:lang w:val="en-US"/>
        </w:rPr>
        <w:t>b</w:t>
      </w:r>
      <w:r>
        <w:rPr>
          <w:color w:val="auto"/>
          <w:spacing w:val="-6"/>
          <w:lang w:val="en-US"/>
        </w:rPr>
        <w:t>］荧蒽、苯并［</w:t>
      </w:r>
      <w:r>
        <w:rPr>
          <w:color w:val="auto"/>
          <w:spacing w:val="-6"/>
          <w:lang w:val="en-US"/>
        </w:rPr>
        <w:t>k</w:t>
      </w:r>
      <w:r>
        <w:rPr>
          <w:color w:val="auto"/>
          <w:spacing w:val="-6"/>
          <w:lang w:val="en-US"/>
        </w:rPr>
        <w:t>］荧蒽、䓛、二苯并［</w:t>
      </w:r>
      <w:r>
        <w:rPr>
          <w:color w:val="auto"/>
          <w:spacing w:val="-6"/>
          <w:lang w:val="en-US"/>
        </w:rPr>
        <w:t>a</w:t>
      </w:r>
      <w:r>
        <w:rPr>
          <w:color w:val="auto"/>
          <w:spacing w:val="-6"/>
          <w:lang w:val="en-US"/>
        </w:rPr>
        <w:t>，</w:t>
      </w:r>
      <w:r>
        <w:rPr>
          <w:color w:val="auto"/>
          <w:spacing w:val="-6"/>
          <w:lang w:val="en-US"/>
        </w:rPr>
        <w:t>h</w:t>
      </w:r>
      <w:r>
        <w:rPr>
          <w:color w:val="auto"/>
          <w:spacing w:val="-6"/>
          <w:lang w:val="en-US"/>
        </w:rPr>
        <w:t>］蒽、茚并［</w:t>
      </w:r>
      <w:r>
        <w:rPr>
          <w:color w:val="auto"/>
          <w:spacing w:val="-6"/>
          <w:lang w:val="en-US"/>
        </w:rPr>
        <w:t>1,2,3-cd</w:t>
      </w:r>
      <w:r>
        <w:rPr>
          <w:color w:val="auto"/>
          <w:spacing w:val="-6"/>
          <w:lang w:val="en-US"/>
        </w:rPr>
        <w:t>］芘、萘、二噁英类、石油烃</w:t>
      </w:r>
      <w:r>
        <w:rPr>
          <w:color w:val="auto"/>
          <w:kern w:val="0"/>
          <w:lang w:val="en-US"/>
        </w:rPr>
        <w:t>（</w:t>
      </w:r>
      <w:r>
        <w:rPr>
          <w:color w:val="auto"/>
          <w:kern w:val="0"/>
          <w:lang w:val="en-US"/>
        </w:rPr>
        <w:t>C</w:t>
      </w:r>
      <w:r>
        <w:rPr>
          <w:color w:val="auto"/>
          <w:kern w:val="0"/>
          <w:vertAlign w:val="subscript"/>
          <w:lang w:val="en-US"/>
        </w:rPr>
        <w:t>10</w:t>
      </w:r>
      <w:r>
        <w:rPr>
          <w:color w:val="auto"/>
          <w:kern w:val="0"/>
          <w:lang w:val="en-US"/>
        </w:rPr>
        <w:t>-C</w:t>
      </w:r>
      <w:r>
        <w:rPr>
          <w:color w:val="auto"/>
          <w:kern w:val="0"/>
          <w:vertAlign w:val="subscript"/>
          <w:lang w:val="en-US"/>
        </w:rPr>
        <w:t>40</w:t>
      </w:r>
      <w:r>
        <w:rPr>
          <w:color w:val="auto"/>
          <w:kern w:val="0"/>
          <w:lang w:val="en-US"/>
        </w:rPr>
        <w:t>）</w:t>
      </w:r>
      <w:r>
        <w:rPr>
          <w:color w:val="auto"/>
          <w:spacing w:val="-6"/>
          <w:lang w:val="en-US"/>
        </w:rPr>
        <w:t>、氰化物、钴、钒共</w:t>
      </w:r>
      <w:r>
        <w:rPr>
          <w:color w:val="auto"/>
          <w:spacing w:val="-6"/>
          <w:lang w:val="en-US"/>
        </w:rPr>
        <w:t>50</w:t>
      </w:r>
      <w:r>
        <w:rPr>
          <w:color w:val="auto"/>
          <w:spacing w:val="-6"/>
          <w:lang w:val="en-US"/>
        </w:rPr>
        <w:t>项。</w:t>
      </w:r>
    </w:p>
    <w:p w14:paraId="1F94DF94" w14:textId="77777777" w:rsidR="002E474C" w:rsidRDefault="00000000">
      <w:pPr>
        <w:pStyle w:val="A-z"/>
        <w:rPr>
          <w:color w:val="auto"/>
        </w:rPr>
      </w:pPr>
      <w:r>
        <w:rPr>
          <w:color w:val="auto"/>
        </w:rPr>
        <w:t>（</w:t>
      </w:r>
      <w:r>
        <w:rPr>
          <w:color w:val="auto"/>
        </w:rPr>
        <w:t>3</w:t>
      </w:r>
      <w:r>
        <w:rPr>
          <w:color w:val="auto"/>
        </w:rPr>
        <w:t>）监测单位及监测时间</w:t>
      </w:r>
    </w:p>
    <w:p w14:paraId="2D5202BD" w14:textId="77777777" w:rsidR="002E474C" w:rsidRDefault="00000000">
      <w:pPr>
        <w:pStyle w:val="A-z"/>
        <w:rPr>
          <w:color w:val="auto"/>
        </w:rPr>
      </w:pPr>
      <w:r>
        <w:rPr>
          <w:color w:val="auto"/>
        </w:rPr>
        <w:t>监测单位：</w:t>
      </w:r>
      <w:r>
        <w:rPr>
          <w:color w:val="auto"/>
          <w:lang w:val="en-US"/>
        </w:rPr>
        <w:t>苯胺由新疆新环监测检测研究院（有限公司）检测，</w:t>
      </w:r>
      <w:r>
        <w:rPr>
          <w:color w:val="auto"/>
        </w:rPr>
        <w:t>二噁英类由</w:t>
      </w:r>
      <w:r>
        <w:rPr>
          <w:color w:val="auto"/>
          <w:lang w:val="en-US"/>
        </w:rPr>
        <w:t>江苏全威检测有限公司检测</w:t>
      </w:r>
      <w:r>
        <w:rPr>
          <w:color w:val="auto"/>
        </w:rPr>
        <w:t>，其他项目由新疆壹诺环保科技有限公司</w:t>
      </w:r>
      <w:r>
        <w:rPr>
          <w:color w:val="auto"/>
          <w:lang w:val="en-US"/>
        </w:rPr>
        <w:t>检测。</w:t>
      </w:r>
    </w:p>
    <w:p w14:paraId="3E3FDB8F" w14:textId="604D850E" w:rsidR="002E474C" w:rsidRDefault="009E459E">
      <w:pPr>
        <w:pStyle w:val="A-z"/>
        <w:rPr>
          <w:color w:val="auto"/>
        </w:rPr>
      </w:pPr>
      <w:r>
        <w:rPr>
          <w:rFonts w:hint="eastAsia"/>
          <w:color w:val="auto"/>
        </w:rPr>
        <w:t>采样</w:t>
      </w:r>
      <w:r>
        <w:rPr>
          <w:color w:val="auto"/>
        </w:rPr>
        <w:t>时间：</w:t>
      </w:r>
      <w:r>
        <w:rPr>
          <w:color w:val="auto"/>
          <w:lang w:val="en-US"/>
        </w:rPr>
        <w:t>2026</w:t>
      </w:r>
      <w:r>
        <w:rPr>
          <w:color w:val="auto"/>
          <w:lang w:val="en-US"/>
        </w:rPr>
        <w:t>年</w:t>
      </w:r>
      <w:r>
        <w:rPr>
          <w:color w:val="auto"/>
          <w:lang w:val="en-US"/>
        </w:rPr>
        <w:t>1</w:t>
      </w:r>
      <w:r>
        <w:rPr>
          <w:color w:val="auto"/>
          <w:lang w:val="en-US"/>
        </w:rPr>
        <w:t>月</w:t>
      </w:r>
      <w:r>
        <w:rPr>
          <w:color w:val="auto"/>
          <w:lang w:val="en-US"/>
        </w:rPr>
        <w:t>30</w:t>
      </w:r>
      <w:r>
        <w:rPr>
          <w:color w:val="auto"/>
          <w:lang w:val="en-US"/>
        </w:rPr>
        <w:t>日</w:t>
      </w:r>
      <w:r>
        <w:rPr>
          <w:color w:val="auto"/>
        </w:rPr>
        <w:t>。</w:t>
      </w:r>
    </w:p>
    <w:p w14:paraId="32D6E10E" w14:textId="77777777" w:rsidR="002E474C" w:rsidRDefault="00000000">
      <w:pPr>
        <w:pStyle w:val="A-z"/>
        <w:rPr>
          <w:color w:val="auto"/>
        </w:rPr>
      </w:pPr>
      <w:r>
        <w:rPr>
          <w:color w:val="auto"/>
        </w:rPr>
        <w:tab/>
      </w:r>
      <w:r>
        <w:rPr>
          <w:color w:val="auto"/>
        </w:rPr>
        <w:t>（</w:t>
      </w:r>
      <w:r>
        <w:rPr>
          <w:color w:val="auto"/>
        </w:rPr>
        <w:t>3</w:t>
      </w:r>
      <w:r>
        <w:rPr>
          <w:color w:val="auto"/>
        </w:rPr>
        <w:t>）评价标准及评价方法</w:t>
      </w:r>
    </w:p>
    <w:p w14:paraId="7884A355" w14:textId="77777777" w:rsidR="002E474C" w:rsidRDefault="00000000">
      <w:pPr>
        <w:pStyle w:val="A-z"/>
        <w:rPr>
          <w:color w:val="auto"/>
        </w:rPr>
      </w:pPr>
      <w:r>
        <w:rPr>
          <w:color w:val="auto"/>
        </w:rPr>
        <w:t>评价标准：《土壤环境质量</w:t>
      </w:r>
      <w:r>
        <w:rPr>
          <w:color w:val="auto"/>
          <w:lang w:val="en-US"/>
        </w:rPr>
        <w:t xml:space="preserve"> </w:t>
      </w:r>
      <w:r>
        <w:rPr>
          <w:color w:val="auto"/>
        </w:rPr>
        <w:t>建设用地土壤污染风险管控标准（试行）》（</w:t>
      </w:r>
      <w:r>
        <w:rPr>
          <w:color w:val="auto"/>
        </w:rPr>
        <w:t>GB36600-2018</w:t>
      </w:r>
      <w:r>
        <w:rPr>
          <w:color w:val="auto"/>
        </w:rPr>
        <w:t>）中筛选值。</w:t>
      </w:r>
    </w:p>
    <w:p w14:paraId="137AFE80" w14:textId="77777777" w:rsidR="002E474C" w:rsidRDefault="00000000">
      <w:pPr>
        <w:pStyle w:val="A-z"/>
        <w:rPr>
          <w:color w:val="auto"/>
        </w:rPr>
      </w:pPr>
      <w:r>
        <w:rPr>
          <w:color w:val="auto"/>
        </w:rPr>
        <w:t>评价方法：标准指数法。</w:t>
      </w:r>
    </w:p>
    <w:p w14:paraId="70822979" w14:textId="77777777" w:rsidR="002E474C" w:rsidRDefault="00000000">
      <w:pPr>
        <w:pStyle w:val="A-z"/>
        <w:rPr>
          <w:color w:val="auto"/>
        </w:rPr>
      </w:pPr>
      <w:r>
        <w:rPr>
          <w:color w:val="auto"/>
        </w:rPr>
        <w:t>（</w:t>
      </w:r>
      <w:r>
        <w:rPr>
          <w:color w:val="auto"/>
        </w:rPr>
        <w:t>4</w:t>
      </w:r>
      <w:r>
        <w:rPr>
          <w:color w:val="auto"/>
        </w:rPr>
        <w:t>）监测结果及评价</w:t>
      </w:r>
    </w:p>
    <w:p w14:paraId="4C7DF0E8" w14:textId="77777777" w:rsidR="002E474C" w:rsidRDefault="00000000">
      <w:pPr>
        <w:pStyle w:val="A-z"/>
        <w:rPr>
          <w:color w:val="auto"/>
        </w:rPr>
      </w:pPr>
      <w:r>
        <w:rPr>
          <w:color w:val="auto"/>
        </w:rPr>
        <w:t>各采样点土壤监测结果详见表</w:t>
      </w:r>
      <w:r>
        <w:rPr>
          <w:color w:val="auto"/>
        </w:rPr>
        <w:t>4.3</w:t>
      </w:r>
      <w:r>
        <w:rPr>
          <w:color w:val="auto"/>
        </w:rPr>
        <w:noBreakHyphen/>
        <w:t>10</w:t>
      </w:r>
      <w:r>
        <w:rPr>
          <w:color w:val="auto"/>
        </w:rPr>
        <w:t>和表</w:t>
      </w:r>
      <w:r>
        <w:rPr>
          <w:color w:val="auto"/>
        </w:rPr>
        <w:t>4.3</w:t>
      </w:r>
      <w:r>
        <w:rPr>
          <w:color w:val="auto"/>
        </w:rPr>
        <w:noBreakHyphen/>
        <w:t>11</w:t>
      </w:r>
      <w:r>
        <w:rPr>
          <w:color w:val="auto"/>
        </w:rPr>
        <w:t>。</w:t>
      </w:r>
      <w:bookmarkStart w:id="251" w:name="_Ref111494663"/>
      <w:bookmarkStart w:id="252" w:name="_Ref128559802"/>
    </w:p>
    <w:p w14:paraId="3541BAA2" w14:textId="77777777" w:rsidR="00BD6279" w:rsidRDefault="00BD6279">
      <w:pPr>
        <w:pStyle w:val="A-z"/>
        <w:rPr>
          <w:color w:val="auto"/>
        </w:rPr>
      </w:pPr>
    </w:p>
    <w:p w14:paraId="02C40A7C" w14:textId="77777777" w:rsidR="00BD6279" w:rsidRDefault="00BD6279">
      <w:pPr>
        <w:pStyle w:val="A-z"/>
        <w:rPr>
          <w:rFonts w:hint="eastAsia"/>
          <w:color w:val="auto"/>
        </w:rPr>
      </w:pPr>
    </w:p>
    <w:p w14:paraId="168FC821" w14:textId="77777777" w:rsidR="002E474C" w:rsidRDefault="00000000">
      <w:pPr>
        <w:pStyle w:val="A--"/>
        <w:spacing w:beforeLines="0" w:before="0"/>
        <w:rPr>
          <w:color w:val="auto"/>
        </w:rPr>
      </w:pPr>
      <w:bookmarkStart w:id="253" w:name="_Ref128565311"/>
      <w:r>
        <w:rPr>
          <w:color w:val="auto"/>
        </w:rPr>
        <w:lastRenderedPageBreak/>
        <w:t>表</w:t>
      </w:r>
      <w:r>
        <w:rPr>
          <w:color w:val="auto"/>
        </w:rPr>
        <w:t>4.3</w:t>
      </w:r>
      <w:r>
        <w:rPr>
          <w:color w:val="auto"/>
        </w:rPr>
        <w:noBreakHyphen/>
      </w:r>
      <w:bookmarkEnd w:id="251"/>
      <w:bookmarkEnd w:id="253"/>
      <w:r>
        <w:rPr>
          <w:color w:val="auto"/>
        </w:rPr>
        <w:t xml:space="preserve">10  </w:t>
      </w:r>
      <w:r>
        <w:rPr>
          <w:color w:val="auto"/>
        </w:rPr>
        <w:t>土壤柱状样监测及评价结果一览表</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7"/>
        <w:gridCol w:w="1082"/>
        <w:gridCol w:w="619"/>
        <w:gridCol w:w="740"/>
        <w:gridCol w:w="740"/>
        <w:gridCol w:w="743"/>
        <w:gridCol w:w="740"/>
        <w:gridCol w:w="743"/>
        <w:gridCol w:w="1098"/>
        <w:gridCol w:w="534"/>
      </w:tblGrid>
      <w:tr w:rsidR="002E474C" w14:paraId="403E5326" w14:textId="77777777">
        <w:trPr>
          <w:tblHeader/>
        </w:trPr>
        <w:tc>
          <w:tcPr>
            <w:tcW w:w="757" w:type="pct"/>
            <w:vMerge w:val="restart"/>
            <w:shd w:val="clear" w:color="auto" w:fill="auto"/>
            <w:noWrap/>
            <w:tcMar>
              <w:top w:w="15" w:type="dxa"/>
              <w:left w:w="15" w:type="dxa"/>
              <w:bottom w:w="0" w:type="dxa"/>
              <w:right w:w="15" w:type="dxa"/>
            </w:tcMar>
            <w:vAlign w:val="center"/>
          </w:tcPr>
          <w:p w14:paraId="24FD5748" w14:textId="77777777" w:rsidR="002E474C" w:rsidRDefault="00000000">
            <w:pPr>
              <w:pStyle w:val="A-"/>
            </w:pPr>
            <w:r>
              <w:t>项目</w:t>
            </w:r>
          </w:p>
        </w:tc>
        <w:tc>
          <w:tcPr>
            <w:tcW w:w="652" w:type="pct"/>
            <w:vMerge w:val="restart"/>
            <w:shd w:val="clear" w:color="auto" w:fill="auto"/>
            <w:noWrap/>
            <w:tcMar>
              <w:top w:w="15" w:type="dxa"/>
              <w:left w:w="15" w:type="dxa"/>
              <w:bottom w:w="0" w:type="dxa"/>
              <w:right w:w="15" w:type="dxa"/>
            </w:tcMar>
            <w:vAlign w:val="center"/>
          </w:tcPr>
          <w:p w14:paraId="260A2EF6" w14:textId="77777777" w:rsidR="002E474C" w:rsidRDefault="00000000">
            <w:pPr>
              <w:pStyle w:val="A-"/>
            </w:pPr>
            <w:r>
              <w:t>单位</w:t>
            </w:r>
          </w:p>
        </w:tc>
        <w:tc>
          <w:tcPr>
            <w:tcW w:w="819" w:type="pct"/>
            <w:gridSpan w:val="2"/>
            <w:shd w:val="clear" w:color="auto" w:fill="auto"/>
            <w:tcMar>
              <w:top w:w="15" w:type="dxa"/>
              <w:left w:w="15" w:type="dxa"/>
              <w:bottom w:w="0" w:type="dxa"/>
              <w:right w:w="15" w:type="dxa"/>
            </w:tcMar>
            <w:vAlign w:val="center"/>
          </w:tcPr>
          <w:p w14:paraId="6FB869FB" w14:textId="77777777" w:rsidR="002E474C" w:rsidRDefault="00000000">
            <w:pPr>
              <w:pStyle w:val="A-"/>
            </w:pPr>
            <w:r>
              <w:t>0-0.5m</w:t>
            </w:r>
          </w:p>
        </w:tc>
        <w:tc>
          <w:tcPr>
            <w:tcW w:w="894" w:type="pct"/>
            <w:gridSpan w:val="2"/>
            <w:shd w:val="clear" w:color="auto" w:fill="auto"/>
            <w:tcMar>
              <w:top w:w="15" w:type="dxa"/>
              <w:left w:w="15" w:type="dxa"/>
              <w:bottom w:w="0" w:type="dxa"/>
              <w:right w:w="15" w:type="dxa"/>
            </w:tcMar>
            <w:vAlign w:val="center"/>
          </w:tcPr>
          <w:p w14:paraId="10C6C17D" w14:textId="77777777" w:rsidR="002E474C" w:rsidRDefault="00000000">
            <w:pPr>
              <w:pStyle w:val="A-"/>
            </w:pPr>
            <w:r>
              <w:t>0.5-1.5m</w:t>
            </w:r>
          </w:p>
        </w:tc>
        <w:tc>
          <w:tcPr>
            <w:tcW w:w="894" w:type="pct"/>
            <w:gridSpan w:val="2"/>
            <w:shd w:val="clear" w:color="auto" w:fill="auto"/>
            <w:tcMar>
              <w:top w:w="15" w:type="dxa"/>
              <w:left w:w="15" w:type="dxa"/>
              <w:bottom w:w="0" w:type="dxa"/>
              <w:right w:w="15" w:type="dxa"/>
            </w:tcMar>
            <w:vAlign w:val="center"/>
          </w:tcPr>
          <w:p w14:paraId="33F9A344" w14:textId="77777777" w:rsidR="002E474C" w:rsidRDefault="00000000">
            <w:pPr>
              <w:pStyle w:val="A-"/>
            </w:pPr>
            <w:r>
              <w:t>1.5-3m</w:t>
            </w:r>
          </w:p>
        </w:tc>
        <w:tc>
          <w:tcPr>
            <w:tcW w:w="662" w:type="pct"/>
            <w:vMerge w:val="restart"/>
            <w:shd w:val="clear" w:color="auto" w:fill="auto"/>
            <w:tcMar>
              <w:top w:w="15" w:type="dxa"/>
              <w:left w:w="15" w:type="dxa"/>
              <w:bottom w:w="0" w:type="dxa"/>
              <w:right w:w="15" w:type="dxa"/>
            </w:tcMar>
            <w:vAlign w:val="center"/>
          </w:tcPr>
          <w:p w14:paraId="0AF92CCA" w14:textId="77777777" w:rsidR="002E474C" w:rsidRDefault="00000000">
            <w:pPr>
              <w:pStyle w:val="A-"/>
            </w:pPr>
            <w:r>
              <w:t>GB36600-2018</w:t>
            </w:r>
            <w:r>
              <w:t>第二类用地筛选值</w:t>
            </w:r>
          </w:p>
        </w:tc>
        <w:tc>
          <w:tcPr>
            <w:tcW w:w="317" w:type="pct"/>
            <w:vMerge w:val="restart"/>
            <w:shd w:val="clear" w:color="auto" w:fill="auto"/>
            <w:tcMar>
              <w:top w:w="15" w:type="dxa"/>
              <w:left w:w="15" w:type="dxa"/>
              <w:bottom w:w="0" w:type="dxa"/>
              <w:right w:w="15" w:type="dxa"/>
            </w:tcMar>
            <w:vAlign w:val="center"/>
          </w:tcPr>
          <w:p w14:paraId="143806FF" w14:textId="77777777" w:rsidR="002E474C" w:rsidRDefault="00000000">
            <w:pPr>
              <w:pStyle w:val="A-"/>
            </w:pPr>
            <w:r>
              <w:t>达标</w:t>
            </w:r>
          </w:p>
          <w:p w14:paraId="44710E4C" w14:textId="77777777" w:rsidR="002E474C" w:rsidRDefault="00000000">
            <w:pPr>
              <w:pStyle w:val="A-"/>
            </w:pPr>
            <w:r>
              <w:t>情况</w:t>
            </w:r>
          </w:p>
        </w:tc>
      </w:tr>
      <w:tr w:rsidR="002E474C" w14:paraId="4601EDF6" w14:textId="77777777">
        <w:trPr>
          <w:tblHeader/>
        </w:trPr>
        <w:tc>
          <w:tcPr>
            <w:tcW w:w="757" w:type="pct"/>
            <w:vMerge/>
            <w:vAlign w:val="center"/>
          </w:tcPr>
          <w:p w14:paraId="3208B4F8" w14:textId="77777777" w:rsidR="002E474C" w:rsidRDefault="002E474C">
            <w:pPr>
              <w:pStyle w:val="A-"/>
            </w:pPr>
          </w:p>
        </w:tc>
        <w:tc>
          <w:tcPr>
            <w:tcW w:w="652" w:type="pct"/>
            <w:vMerge/>
            <w:vAlign w:val="center"/>
          </w:tcPr>
          <w:p w14:paraId="1313519B" w14:textId="77777777" w:rsidR="002E474C" w:rsidRDefault="002E474C">
            <w:pPr>
              <w:pStyle w:val="A-"/>
            </w:pPr>
          </w:p>
        </w:tc>
        <w:tc>
          <w:tcPr>
            <w:tcW w:w="373" w:type="pct"/>
            <w:shd w:val="clear" w:color="auto" w:fill="auto"/>
            <w:tcMar>
              <w:top w:w="15" w:type="dxa"/>
              <w:left w:w="15" w:type="dxa"/>
              <w:bottom w:w="0" w:type="dxa"/>
              <w:right w:w="15" w:type="dxa"/>
            </w:tcMar>
            <w:vAlign w:val="center"/>
          </w:tcPr>
          <w:p w14:paraId="672E7408" w14:textId="77777777" w:rsidR="002E474C" w:rsidRDefault="00000000">
            <w:pPr>
              <w:pStyle w:val="A-"/>
            </w:pPr>
            <w:r>
              <w:t>监测</w:t>
            </w:r>
          </w:p>
          <w:p w14:paraId="7C26571B" w14:textId="77777777" w:rsidR="002E474C" w:rsidRDefault="00000000">
            <w:pPr>
              <w:pStyle w:val="A-"/>
            </w:pPr>
            <w:r>
              <w:t>结果</w:t>
            </w:r>
          </w:p>
        </w:tc>
        <w:tc>
          <w:tcPr>
            <w:tcW w:w="446" w:type="pct"/>
            <w:shd w:val="clear" w:color="auto" w:fill="auto"/>
            <w:tcMar>
              <w:top w:w="15" w:type="dxa"/>
              <w:left w:w="15" w:type="dxa"/>
              <w:bottom w:w="0" w:type="dxa"/>
              <w:right w:w="15" w:type="dxa"/>
            </w:tcMar>
            <w:vAlign w:val="center"/>
          </w:tcPr>
          <w:p w14:paraId="65E89ED7" w14:textId="77777777" w:rsidR="002E474C" w:rsidRDefault="00000000">
            <w:pPr>
              <w:pStyle w:val="A-"/>
            </w:pPr>
            <w:r>
              <w:t>标准</w:t>
            </w:r>
          </w:p>
          <w:p w14:paraId="28229E03" w14:textId="77777777" w:rsidR="002E474C" w:rsidRDefault="00000000">
            <w:pPr>
              <w:pStyle w:val="A-"/>
            </w:pPr>
            <w:r>
              <w:t>指数</w:t>
            </w:r>
          </w:p>
        </w:tc>
        <w:tc>
          <w:tcPr>
            <w:tcW w:w="446" w:type="pct"/>
            <w:shd w:val="clear" w:color="auto" w:fill="auto"/>
            <w:tcMar>
              <w:top w:w="15" w:type="dxa"/>
              <w:left w:w="15" w:type="dxa"/>
              <w:bottom w:w="0" w:type="dxa"/>
              <w:right w:w="15" w:type="dxa"/>
            </w:tcMar>
            <w:vAlign w:val="center"/>
          </w:tcPr>
          <w:p w14:paraId="53148EE3" w14:textId="77777777" w:rsidR="002E474C" w:rsidRDefault="00000000">
            <w:pPr>
              <w:pStyle w:val="A-"/>
            </w:pPr>
            <w:r>
              <w:t>监测</w:t>
            </w:r>
          </w:p>
          <w:p w14:paraId="56BA8456" w14:textId="77777777" w:rsidR="002E474C" w:rsidRDefault="00000000">
            <w:pPr>
              <w:pStyle w:val="A-"/>
            </w:pPr>
            <w:r>
              <w:t>结果</w:t>
            </w:r>
          </w:p>
        </w:tc>
        <w:tc>
          <w:tcPr>
            <w:tcW w:w="448" w:type="pct"/>
            <w:shd w:val="clear" w:color="auto" w:fill="auto"/>
            <w:tcMar>
              <w:top w:w="15" w:type="dxa"/>
              <w:left w:w="15" w:type="dxa"/>
              <w:bottom w:w="0" w:type="dxa"/>
              <w:right w:w="15" w:type="dxa"/>
            </w:tcMar>
            <w:vAlign w:val="center"/>
          </w:tcPr>
          <w:p w14:paraId="4C73CA55" w14:textId="77777777" w:rsidR="002E474C" w:rsidRDefault="00000000">
            <w:pPr>
              <w:pStyle w:val="A-"/>
            </w:pPr>
            <w:r>
              <w:t>标准</w:t>
            </w:r>
          </w:p>
          <w:p w14:paraId="1125F8B9" w14:textId="77777777" w:rsidR="002E474C" w:rsidRDefault="00000000">
            <w:pPr>
              <w:pStyle w:val="A-"/>
            </w:pPr>
            <w:r>
              <w:t>指数</w:t>
            </w:r>
          </w:p>
        </w:tc>
        <w:tc>
          <w:tcPr>
            <w:tcW w:w="446" w:type="pct"/>
            <w:shd w:val="clear" w:color="auto" w:fill="auto"/>
            <w:tcMar>
              <w:top w:w="15" w:type="dxa"/>
              <w:left w:w="15" w:type="dxa"/>
              <w:bottom w:w="0" w:type="dxa"/>
              <w:right w:w="15" w:type="dxa"/>
            </w:tcMar>
            <w:vAlign w:val="center"/>
          </w:tcPr>
          <w:p w14:paraId="78C37C83" w14:textId="77777777" w:rsidR="002E474C" w:rsidRDefault="00000000">
            <w:pPr>
              <w:pStyle w:val="A-"/>
            </w:pPr>
            <w:r>
              <w:t>监测</w:t>
            </w:r>
          </w:p>
          <w:p w14:paraId="7E8CAD57" w14:textId="77777777" w:rsidR="002E474C" w:rsidRDefault="00000000">
            <w:pPr>
              <w:pStyle w:val="A-"/>
            </w:pPr>
            <w:r>
              <w:t>结果</w:t>
            </w:r>
          </w:p>
        </w:tc>
        <w:tc>
          <w:tcPr>
            <w:tcW w:w="448" w:type="pct"/>
            <w:shd w:val="clear" w:color="auto" w:fill="auto"/>
            <w:tcMar>
              <w:top w:w="15" w:type="dxa"/>
              <w:left w:w="15" w:type="dxa"/>
              <w:bottom w:w="0" w:type="dxa"/>
              <w:right w:w="15" w:type="dxa"/>
            </w:tcMar>
            <w:vAlign w:val="center"/>
          </w:tcPr>
          <w:p w14:paraId="75E2D744" w14:textId="77777777" w:rsidR="002E474C" w:rsidRDefault="00000000">
            <w:pPr>
              <w:pStyle w:val="A-"/>
            </w:pPr>
            <w:r>
              <w:t>标准</w:t>
            </w:r>
          </w:p>
          <w:p w14:paraId="1A6944DD" w14:textId="77777777" w:rsidR="002E474C" w:rsidRDefault="00000000">
            <w:pPr>
              <w:pStyle w:val="A-"/>
            </w:pPr>
            <w:r>
              <w:t>指数</w:t>
            </w:r>
          </w:p>
        </w:tc>
        <w:tc>
          <w:tcPr>
            <w:tcW w:w="662" w:type="pct"/>
            <w:vMerge/>
            <w:vAlign w:val="center"/>
          </w:tcPr>
          <w:p w14:paraId="5383A12F" w14:textId="77777777" w:rsidR="002E474C" w:rsidRDefault="002E474C">
            <w:pPr>
              <w:pStyle w:val="A-"/>
            </w:pPr>
          </w:p>
        </w:tc>
        <w:tc>
          <w:tcPr>
            <w:tcW w:w="317" w:type="pct"/>
            <w:vMerge/>
            <w:vAlign w:val="center"/>
          </w:tcPr>
          <w:p w14:paraId="7BCB6C2D" w14:textId="77777777" w:rsidR="002E474C" w:rsidRDefault="002E474C">
            <w:pPr>
              <w:pStyle w:val="A-"/>
            </w:pPr>
          </w:p>
        </w:tc>
      </w:tr>
      <w:tr w:rsidR="002E474C" w14:paraId="155CC0D3" w14:textId="77777777">
        <w:tc>
          <w:tcPr>
            <w:tcW w:w="5000" w:type="pct"/>
            <w:gridSpan w:val="10"/>
            <w:shd w:val="clear" w:color="auto" w:fill="auto"/>
            <w:noWrap/>
            <w:tcMar>
              <w:top w:w="15" w:type="dxa"/>
              <w:left w:w="15" w:type="dxa"/>
              <w:bottom w:w="0" w:type="dxa"/>
              <w:right w:w="15" w:type="dxa"/>
            </w:tcMar>
            <w:vAlign w:val="center"/>
          </w:tcPr>
          <w:p w14:paraId="5312DAB2" w14:textId="77777777" w:rsidR="002E474C" w:rsidRDefault="00000000">
            <w:pPr>
              <w:pStyle w:val="A-"/>
            </w:pPr>
            <w:r>
              <w:t>T1</w:t>
            </w:r>
            <w:r>
              <w:t>水泥窑头区域</w:t>
            </w:r>
          </w:p>
        </w:tc>
      </w:tr>
      <w:tr w:rsidR="002E474C" w14:paraId="1FD1E316" w14:textId="77777777">
        <w:tc>
          <w:tcPr>
            <w:tcW w:w="757" w:type="pct"/>
            <w:shd w:val="clear" w:color="auto" w:fill="auto"/>
            <w:noWrap/>
            <w:tcMar>
              <w:top w:w="15" w:type="dxa"/>
              <w:left w:w="15" w:type="dxa"/>
              <w:bottom w:w="0" w:type="dxa"/>
              <w:right w:w="15" w:type="dxa"/>
            </w:tcMar>
            <w:vAlign w:val="center"/>
          </w:tcPr>
          <w:p w14:paraId="225E102F" w14:textId="77777777" w:rsidR="002E474C" w:rsidRDefault="00000000">
            <w:pPr>
              <w:pStyle w:val="A-"/>
            </w:pPr>
            <w:r>
              <w:t>氯乙烯</w:t>
            </w:r>
          </w:p>
        </w:tc>
        <w:tc>
          <w:tcPr>
            <w:tcW w:w="652" w:type="pct"/>
            <w:shd w:val="clear" w:color="auto" w:fill="auto"/>
            <w:tcMar>
              <w:top w:w="15" w:type="dxa"/>
              <w:left w:w="15" w:type="dxa"/>
              <w:bottom w:w="0" w:type="dxa"/>
              <w:right w:w="15" w:type="dxa"/>
            </w:tcMar>
            <w:vAlign w:val="center"/>
          </w:tcPr>
          <w:p w14:paraId="0D9F9107"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3D8B64A1" w14:textId="77777777" w:rsidR="002E474C" w:rsidRDefault="00000000">
            <w:pPr>
              <w:pStyle w:val="A-"/>
            </w:pPr>
            <w:r>
              <w:t>&lt;1.0</w:t>
            </w:r>
          </w:p>
        </w:tc>
        <w:tc>
          <w:tcPr>
            <w:tcW w:w="446" w:type="pct"/>
            <w:shd w:val="clear" w:color="auto" w:fill="auto"/>
            <w:tcMar>
              <w:top w:w="15" w:type="dxa"/>
              <w:left w:w="15" w:type="dxa"/>
              <w:bottom w:w="0" w:type="dxa"/>
              <w:right w:w="15" w:type="dxa"/>
            </w:tcMar>
            <w:vAlign w:val="center"/>
          </w:tcPr>
          <w:p w14:paraId="27A038F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8B6830C"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1CCE2DF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CC71974"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6D28491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D89AC6F" w14:textId="77777777" w:rsidR="002E474C" w:rsidRDefault="00000000">
            <w:pPr>
              <w:pStyle w:val="A-"/>
            </w:pPr>
            <w:r>
              <w:t>0.43mg/kg</w:t>
            </w:r>
          </w:p>
        </w:tc>
        <w:tc>
          <w:tcPr>
            <w:tcW w:w="317" w:type="pct"/>
            <w:shd w:val="clear" w:color="auto" w:fill="auto"/>
            <w:tcMar>
              <w:top w:w="15" w:type="dxa"/>
              <w:left w:w="15" w:type="dxa"/>
              <w:bottom w:w="0" w:type="dxa"/>
              <w:right w:w="15" w:type="dxa"/>
            </w:tcMar>
            <w:vAlign w:val="center"/>
          </w:tcPr>
          <w:p w14:paraId="65A90280" w14:textId="77777777" w:rsidR="002E474C" w:rsidRDefault="00000000">
            <w:pPr>
              <w:pStyle w:val="A-"/>
            </w:pPr>
            <w:r>
              <w:t>达标</w:t>
            </w:r>
          </w:p>
        </w:tc>
      </w:tr>
      <w:tr w:rsidR="002E474C" w14:paraId="1576AB5F" w14:textId="77777777">
        <w:tc>
          <w:tcPr>
            <w:tcW w:w="757" w:type="pct"/>
            <w:shd w:val="clear" w:color="auto" w:fill="auto"/>
            <w:noWrap/>
            <w:tcMar>
              <w:top w:w="15" w:type="dxa"/>
              <w:left w:w="15" w:type="dxa"/>
              <w:bottom w:w="0" w:type="dxa"/>
              <w:right w:w="15" w:type="dxa"/>
            </w:tcMar>
            <w:vAlign w:val="center"/>
          </w:tcPr>
          <w:p w14:paraId="52017CC3" w14:textId="77777777" w:rsidR="002E474C" w:rsidRDefault="00000000">
            <w:pPr>
              <w:pStyle w:val="A-"/>
            </w:pPr>
            <w:r>
              <w:t>1</w:t>
            </w:r>
            <w:r>
              <w:t>，</w:t>
            </w:r>
            <w:r>
              <w:t>1-</w:t>
            </w:r>
            <w:r>
              <w:t>二氯乙烯</w:t>
            </w:r>
          </w:p>
        </w:tc>
        <w:tc>
          <w:tcPr>
            <w:tcW w:w="652" w:type="pct"/>
            <w:shd w:val="clear" w:color="auto" w:fill="auto"/>
            <w:tcMar>
              <w:top w:w="15" w:type="dxa"/>
              <w:left w:w="15" w:type="dxa"/>
              <w:bottom w:w="0" w:type="dxa"/>
              <w:right w:w="15" w:type="dxa"/>
            </w:tcMar>
            <w:vAlign w:val="center"/>
          </w:tcPr>
          <w:p w14:paraId="1E1C2068"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3813E7E9" w14:textId="77777777" w:rsidR="002E474C" w:rsidRDefault="00000000">
            <w:pPr>
              <w:pStyle w:val="A-"/>
            </w:pPr>
            <w:r>
              <w:t>&lt;1.0</w:t>
            </w:r>
          </w:p>
        </w:tc>
        <w:tc>
          <w:tcPr>
            <w:tcW w:w="446" w:type="pct"/>
            <w:shd w:val="clear" w:color="auto" w:fill="auto"/>
            <w:tcMar>
              <w:top w:w="15" w:type="dxa"/>
              <w:left w:w="15" w:type="dxa"/>
              <w:bottom w:w="0" w:type="dxa"/>
              <w:right w:w="15" w:type="dxa"/>
            </w:tcMar>
            <w:vAlign w:val="center"/>
          </w:tcPr>
          <w:p w14:paraId="6EB49CF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1F6F9AA"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1AD4B651"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D6306CF"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0B0914AF"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766B3D2F" w14:textId="77777777" w:rsidR="002E474C" w:rsidRDefault="00000000">
            <w:pPr>
              <w:pStyle w:val="A-"/>
            </w:pPr>
            <w:r>
              <w:t>66mg/kg</w:t>
            </w:r>
          </w:p>
        </w:tc>
        <w:tc>
          <w:tcPr>
            <w:tcW w:w="317" w:type="pct"/>
            <w:shd w:val="clear" w:color="auto" w:fill="auto"/>
            <w:tcMar>
              <w:top w:w="15" w:type="dxa"/>
              <w:left w:w="15" w:type="dxa"/>
              <w:bottom w:w="0" w:type="dxa"/>
              <w:right w:w="15" w:type="dxa"/>
            </w:tcMar>
            <w:vAlign w:val="center"/>
          </w:tcPr>
          <w:p w14:paraId="0B173C72" w14:textId="77777777" w:rsidR="002E474C" w:rsidRDefault="00000000">
            <w:pPr>
              <w:pStyle w:val="A-"/>
            </w:pPr>
            <w:r>
              <w:t>达标</w:t>
            </w:r>
          </w:p>
        </w:tc>
      </w:tr>
      <w:tr w:rsidR="002E474C" w14:paraId="7FCCF2E0" w14:textId="77777777">
        <w:tc>
          <w:tcPr>
            <w:tcW w:w="757" w:type="pct"/>
            <w:shd w:val="clear" w:color="auto" w:fill="auto"/>
            <w:noWrap/>
            <w:tcMar>
              <w:top w:w="15" w:type="dxa"/>
              <w:left w:w="15" w:type="dxa"/>
              <w:bottom w:w="0" w:type="dxa"/>
              <w:right w:w="15" w:type="dxa"/>
            </w:tcMar>
            <w:vAlign w:val="center"/>
          </w:tcPr>
          <w:p w14:paraId="049919B5" w14:textId="77777777" w:rsidR="002E474C" w:rsidRDefault="00000000">
            <w:pPr>
              <w:pStyle w:val="A-"/>
            </w:pPr>
            <w:r>
              <w:t>二氯甲烷</w:t>
            </w:r>
          </w:p>
        </w:tc>
        <w:tc>
          <w:tcPr>
            <w:tcW w:w="652" w:type="pct"/>
            <w:shd w:val="clear" w:color="auto" w:fill="auto"/>
            <w:tcMar>
              <w:top w:w="15" w:type="dxa"/>
              <w:left w:w="15" w:type="dxa"/>
              <w:bottom w:w="0" w:type="dxa"/>
              <w:right w:w="15" w:type="dxa"/>
            </w:tcMar>
            <w:vAlign w:val="center"/>
          </w:tcPr>
          <w:p w14:paraId="007BDF18"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B2A40E3" w14:textId="77777777" w:rsidR="002E474C" w:rsidRDefault="00000000">
            <w:pPr>
              <w:pStyle w:val="A-"/>
            </w:pPr>
            <w:r>
              <w:t>&lt;1.5</w:t>
            </w:r>
          </w:p>
        </w:tc>
        <w:tc>
          <w:tcPr>
            <w:tcW w:w="446" w:type="pct"/>
            <w:shd w:val="clear" w:color="auto" w:fill="auto"/>
            <w:tcMar>
              <w:top w:w="15" w:type="dxa"/>
              <w:left w:w="15" w:type="dxa"/>
              <w:bottom w:w="0" w:type="dxa"/>
              <w:right w:w="15" w:type="dxa"/>
            </w:tcMar>
            <w:vAlign w:val="center"/>
          </w:tcPr>
          <w:p w14:paraId="0F07FB8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049AF84"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65DF3CF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033E34B"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21A39A3A"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C605EB7" w14:textId="77777777" w:rsidR="002E474C" w:rsidRDefault="00000000">
            <w:pPr>
              <w:pStyle w:val="A-"/>
            </w:pPr>
            <w:r>
              <w:t>616mg/kg</w:t>
            </w:r>
          </w:p>
        </w:tc>
        <w:tc>
          <w:tcPr>
            <w:tcW w:w="317" w:type="pct"/>
            <w:shd w:val="clear" w:color="auto" w:fill="auto"/>
            <w:tcMar>
              <w:top w:w="15" w:type="dxa"/>
              <w:left w:w="15" w:type="dxa"/>
              <w:bottom w:w="0" w:type="dxa"/>
              <w:right w:w="15" w:type="dxa"/>
            </w:tcMar>
            <w:vAlign w:val="center"/>
          </w:tcPr>
          <w:p w14:paraId="381E5C6F" w14:textId="77777777" w:rsidR="002E474C" w:rsidRDefault="00000000">
            <w:pPr>
              <w:pStyle w:val="A-"/>
            </w:pPr>
            <w:r>
              <w:t>达标</w:t>
            </w:r>
          </w:p>
        </w:tc>
      </w:tr>
      <w:tr w:rsidR="002E474C" w14:paraId="55E69F75" w14:textId="77777777">
        <w:tc>
          <w:tcPr>
            <w:tcW w:w="757" w:type="pct"/>
            <w:shd w:val="clear" w:color="auto" w:fill="auto"/>
            <w:noWrap/>
            <w:tcMar>
              <w:top w:w="15" w:type="dxa"/>
              <w:left w:w="15" w:type="dxa"/>
              <w:bottom w:w="0" w:type="dxa"/>
              <w:right w:w="15" w:type="dxa"/>
            </w:tcMar>
            <w:vAlign w:val="center"/>
          </w:tcPr>
          <w:p w14:paraId="748E726F" w14:textId="77777777" w:rsidR="002E474C" w:rsidRDefault="00000000">
            <w:pPr>
              <w:pStyle w:val="A-"/>
            </w:pPr>
            <w:r>
              <w:t>反</w:t>
            </w:r>
            <w:r>
              <w:t>-1,2-</w:t>
            </w:r>
            <w:r>
              <w:t>二氯乙烯</w:t>
            </w:r>
          </w:p>
        </w:tc>
        <w:tc>
          <w:tcPr>
            <w:tcW w:w="652" w:type="pct"/>
            <w:shd w:val="clear" w:color="auto" w:fill="auto"/>
            <w:tcMar>
              <w:top w:w="15" w:type="dxa"/>
              <w:left w:w="15" w:type="dxa"/>
              <w:bottom w:w="0" w:type="dxa"/>
              <w:right w:w="15" w:type="dxa"/>
            </w:tcMar>
            <w:vAlign w:val="center"/>
          </w:tcPr>
          <w:p w14:paraId="17C8FE4B"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14D0415D" w14:textId="77777777" w:rsidR="002E474C" w:rsidRDefault="00000000">
            <w:pPr>
              <w:pStyle w:val="A-"/>
            </w:pPr>
            <w:r>
              <w:t>&lt;1.4</w:t>
            </w:r>
          </w:p>
        </w:tc>
        <w:tc>
          <w:tcPr>
            <w:tcW w:w="446" w:type="pct"/>
            <w:shd w:val="clear" w:color="auto" w:fill="auto"/>
            <w:tcMar>
              <w:top w:w="15" w:type="dxa"/>
              <w:left w:w="15" w:type="dxa"/>
              <w:bottom w:w="0" w:type="dxa"/>
              <w:right w:w="15" w:type="dxa"/>
            </w:tcMar>
            <w:vAlign w:val="center"/>
          </w:tcPr>
          <w:p w14:paraId="1468568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1CBD59B" w14:textId="77777777" w:rsidR="002E474C" w:rsidRDefault="00000000">
            <w:pPr>
              <w:pStyle w:val="A-"/>
            </w:pPr>
            <w:r>
              <w:t>&lt;1.4</w:t>
            </w:r>
          </w:p>
        </w:tc>
        <w:tc>
          <w:tcPr>
            <w:tcW w:w="448" w:type="pct"/>
            <w:shd w:val="clear" w:color="auto" w:fill="auto"/>
            <w:tcMar>
              <w:top w:w="15" w:type="dxa"/>
              <w:left w:w="15" w:type="dxa"/>
              <w:bottom w:w="0" w:type="dxa"/>
              <w:right w:w="15" w:type="dxa"/>
            </w:tcMar>
            <w:vAlign w:val="center"/>
          </w:tcPr>
          <w:p w14:paraId="03CE520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D2CE123" w14:textId="77777777" w:rsidR="002E474C" w:rsidRDefault="00000000">
            <w:pPr>
              <w:pStyle w:val="A-"/>
            </w:pPr>
            <w:r>
              <w:t>&lt;1.4</w:t>
            </w:r>
          </w:p>
        </w:tc>
        <w:tc>
          <w:tcPr>
            <w:tcW w:w="448" w:type="pct"/>
            <w:shd w:val="clear" w:color="auto" w:fill="auto"/>
            <w:tcMar>
              <w:top w:w="15" w:type="dxa"/>
              <w:left w:w="15" w:type="dxa"/>
              <w:bottom w:w="0" w:type="dxa"/>
              <w:right w:w="15" w:type="dxa"/>
            </w:tcMar>
            <w:vAlign w:val="center"/>
          </w:tcPr>
          <w:p w14:paraId="5DC5ADFB"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3B06292" w14:textId="77777777" w:rsidR="002E474C" w:rsidRDefault="00000000">
            <w:pPr>
              <w:pStyle w:val="A-"/>
            </w:pPr>
            <w:r>
              <w:t>54mg/kg</w:t>
            </w:r>
          </w:p>
        </w:tc>
        <w:tc>
          <w:tcPr>
            <w:tcW w:w="317" w:type="pct"/>
            <w:shd w:val="clear" w:color="auto" w:fill="auto"/>
            <w:tcMar>
              <w:top w:w="15" w:type="dxa"/>
              <w:left w:w="15" w:type="dxa"/>
              <w:bottom w:w="0" w:type="dxa"/>
              <w:right w:w="15" w:type="dxa"/>
            </w:tcMar>
            <w:vAlign w:val="center"/>
          </w:tcPr>
          <w:p w14:paraId="20C237E2" w14:textId="77777777" w:rsidR="002E474C" w:rsidRDefault="00000000">
            <w:pPr>
              <w:pStyle w:val="A-"/>
            </w:pPr>
            <w:r>
              <w:t>达标</w:t>
            </w:r>
          </w:p>
        </w:tc>
      </w:tr>
      <w:tr w:rsidR="002E474C" w14:paraId="7CE6E920" w14:textId="77777777">
        <w:tc>
          <w:tcPr>
            <w:tcW w:w="757" w:type="pct"/>
            <w:shd w:val="clear" w:color="auto" w:fill="auto"/>
            <w:noWrap/>
            <w:tcMar>
              <w:top w:w="15" w:type="dxa"/>
              <w:left w:w="15" w:type="dxa"/>
              <w:bottom w:w="0" w:type="dxa"/>
              <w:right w:w="15" w:type="dxa"/>
            </w:tcMar>
            <w:vAlign w:val="center"/>
          </w:tcPr>
          <w:p w14:paraId="0B803ADA" w14:textId="77777777" w:rsidR="002E474C" w:rsidRDefault="00000000">
            <w:pPr>
              <w:pStyle w:val="A-"/>
            </w:pPr>
            <w:r>
              <w:t>1</w:t>
            </w:r>
            <w:r>
              <w:t>，</w:t>
            </w:r>
            <w:r>
              <w:t>1-</w:t>
            </w:r>
            <w:r>
              <w:t>二氯乙烷</w:t>
            </w:r>
          </w:p>
        </w:tc>
        <w:tc>
          <w:tcPr>
            <w:tcW w:w="652" w:type="pct"/>
            <w:shd w:val="clear" w:color="auto" w:fill="auto"/>
            <w:tcMar>
              <w:top w:w="15" w:type="dxa"/>
              <w:left w:w="15" w:type="dxa"/>
              <w:bottom w:w="0" w:type="dxa"/>
              <w:right w:w="15" w:type="dxa"/>
            </w:tcMar>
            <w:vAlign w:val="center"/>
          </w:tcPr>
          <w:p w14:paraId="515E6D86"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E9C8D97"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46F0A08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84AA67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02E029A0"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CA99A2B"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418C428F"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CE237C0" w14:textId="77777777" w:rsidR="002E474C" w:rsidRDefault="00000000">
            <w:pPr>
              <w:pStyle w:val="A-"/>
            </w:pPr>
            <w:r>
              <w:t>9mg/kg</w:t>
            </w:r>
          </w:p>
        </w:tc>
        <w:tc>
          <w:tcPr>
            <w:tcW w:w="317" w:type="pct"/>
            <w:shd w:val="clear" w:color="auto" w:fill="auto"/>
            <w:tcMar>
              <w:top w:w="15" w:type="dxa"/>
              <w:left w:w="15" w:type="dxa"/>
              <w:bottom w:w="0" w:type="dxa"/>
              <w:right w:w="15" w:type="dxa"/>
            </w:tcMar>
            <w:vAlign w:val="center"/>
          </w:tcPr>
          <w:p w14:paraId="4D818562" w14:textId="77777777" w:rsidR="002E474C" w:rsidRDefault="00000000">
            <w:pPr>
              <w:pStyle w:val="A-"/>
            </w:pPr>
            <w:r>
              <w:t>达标</w:t>
            </w:r>
          </w:p>
        </w:tc>
      </w:tr>
      <w:tr w:rsidR="002E474C" w14:paraId="1C88ADD2" w14:textId="77777777">
        <w:tc>
          <w:tcPr>
            <w:tcW w:w="757" w:type="pct"/>
            <w:shd w:val="clear" w:color="auto" w:fill="auto"/>
            <w:noWrap/>
            <w:tcMar>
              <w:top w:w="15" w:type="dxa"/>
              <w:left w:w="15" w:type="dxa"/>
              <w:bottom w:w="0" w:type="dxa"/>
              <w:right w:w="15" w:type="dxa"/>
            </w:tcMar>
            <w:vAlign w:val="center"/>
          </w:tcPr>
          <w:p w14:paraId="418A5960" w14:textId="77777777" w:rsidR="002E474C" w:rsidRDefault="00000000">
            <w:pPr>
              <w:pStyle w:val="A-"/>
            </w:pPr>
            <w:r>
              <w:t>顺</w:t>
            </w:r>
            <w:r>
              <w:t>-1,2-</w:t>
            </w:r>
            <w:r>
              <w:t>二氯乙烯</w:t>
            </w:r>
          </w:p>
        </w:tc>
        <w:tc>
          <w:tcPr>
            <w:tcW w:w="652" w:type="pct"/>
            <w:shd w:val="clear" w:color="auto" w:fill="auto"/>
            <w:tcMar>
              <w:top w:w="15" w:type="dxa"/>
              <w:left w:w="15" w:type="dxa"/>
              <w:bottom w:w="0" w:type="dxa"/>
              <w:right w:w="15" w:type="dxa"/>
            </w:tcMar>
            <w:vAlign w:val="center"/>
          </w:tcPr>
          <w:p w14:paraId="73938F50"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7EEDEF4A" w14:textId="77777777" w:rsidR="002E474C" w:rsidRDefault="00000000">
            <w:pPr>
              <w:pStyle w:val="A-"/>
            </w:pPr>
            <w:r>
              <w:t>&lt;1.3</w:t>
            </w:r>
          </w:p>
        </w:tc>
        <w:tc>
          <w:tcPr>
            <w:tcW w:w="446" w:type="pct"/>
            <w:shd w:val="clear" w:color="auto" w:fill="auto"/>
            <w:tcMar>
              <w:top w:w="15" w:type="dxa"/>
              <w:left w:w="15" w:type="dxa"/>
              <w:bottom w:w="0" w:type="dxa"/>
              <w:right w:w="15" w:type="dxa"/>
            </w:tcMar>
            <w:vAlign w:val="center"/>
          </w:tcPr>
          <w:p w14:paraId="0901D43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636C581"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1E43ADF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574ECB7"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11A9ED1E"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EFA5A0F" w14:textId="77777777" w:rsidR="002E474C" w:rsidRDefault="00000000">
            <w:pPr>
              <w:pStyle w:val="A-"/>
            </w:pPr>
            <w:r>
              <w:t>596mg/kg</w:t>
            </w:r>
          </w:p>
        </w:tc>
        <w:tc>
          <w:tcPr>
            <w:tcW w:w="317" w:type="pct"/>
            <w:shd w:val="clear" w:color="auto" w:fill="auto"/>
            <w:tcMar>
              <w:top w:w="15" w:type="dxa"/>
              <w:left w:w="15" w:type="dxa"/>
              <w:bottom w:w="0" w:type="dxa"/>
              <w:right w:w="15" w:type="dxa"/>
            </w:tcMar>
            <w:vAlign w:val="center"/>
          </w:tcPr>
          <w:p w14:paraId="255DDA33" w14:textId="77777777" w:rsidR="002E474C" w:rsidRDefault="00000000">
            <w:pPr>
              <w:pStyle w:val="A-"/>
            </w:pPr>
            <w:r>
              <w:t>达标</w:t>
            </w:r>
          </w:p>
        </w:tc>
      </w:tr>
      <w:tr w:rsidR="002E474C" w14:paraId="0F5B7800" w14:textId="77777777">
        <w:tc>
          <w:tcPr>
            <w:tcW w:w="757" w:type="pct"/>
            <w:shd w:val="clear" w:color="auto" w:fill="auto"/>
            <w:noWrap/>
            <w:tcMar>
              <w:top w:w="15" w:type="dxa"/>
              <w:left w:w="15" w:type="dxa"/>
              <w:bottom w:w="0" w:type="dxa"/>
              <w:right w:w="15" w:type="dxa"/>
            </w:tcMar>
            <w:vAlign w:val="center"/>
          </w:tcPr>
          <w:p w14:paraId="42811C38" w14:textId="77777777" w:rsidR="002E474C" w:rsidRDefault="00000000">
            <w:pPr>
              <w:pStyle w:val="A-"/>
            </w:pPr>
            <w:r>
              <w:t>氯仿</w:t>
            </w:r>
          </w:p>
        </w:tc>
        <w:tc>
          <w:tcPr>
            <w:tcW w:w="652" w:type="pct"/>
            <w:shd w:val="clear" w:color="auto" w:fill="auto"/>
            <w:tcMar>
              <w:top w:w="15" w:type="dxa"/>
              <w:left w:w="15" w:type="dxa"/>
              <w:bottom w:w="0" w:type="dxa"/>
              <w:right w:w="15" w:type="dxa"/>
            </w:tcMar>
            <w:vAlign w:val="center"/>
          </w:tcPr>
          <w:p w14:paraId="6E245C65"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03F9768C" w14:textId="77777777" w:rsidR="002E474C" w:rsidRDefault="00000000">
            <w:pPr>
              <w:pStyle w:val="A-"/>
            </w:pPr>
            <w:r>
              <w:t>&lt;1.1</w:t>
            </w:r>
          </w:p>
        </w:tc>
        <w:tc>
          <w:tcPr>
            <w:tcW w:w="446" w:type="pct"/>
            <w:shd w:val="clear" w:color="auto" w:fill="auto"/>
            <w:tcMar>
              <w:top w:w="15" w:type="dxa"/>
              <w:left w:w="15" w:type="dxa"/>
              <w:bottom w:w="0" w:type="dxa"/>
              <w:right w:w="15" w:type="dxa"/>
            </w:tcMar>
            <w:vAlign w:val="center"/>
          </w:tcPr>
          <w:p w14:paraId="1445830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9C120F3"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1119EFF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B175023"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386A2927"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BB9A039" w14:textId="77777777" w:rsidR="002E474C" w:rsidRDefault="00000000">
            <w:pPr>
              <w:pStyle w:val="A-"/>
            </w:pPr>
            <w:r>
              <w:t>0.9mg/kg</w:t>
            </w:r>
          </w:p>
        </w:tc>
        <w:tc>
          <w:tcPr>
            <w:tcW w:w="317" w:type="pct"/>
            <w:shd w:val="clear" w:color="auto" w:fill="auto"/>
            <w:tcMar>
              <w:top w:w="15" w:type="dxa"/>
              <w:left w:w="15" w:type="dxa"/>
              <w:bottom w:w="0" w:type="dxa"/>
              <w:right w:w="15" w:type="dxa"/>
            </w:tcMar>
            <w:vAlign w:val="center"/>
          </w:tcPr>
          <w:p w14:paraId="7B44897D" w14:textId="77777777" w:rsidR="002E474C" w:rsidRDefault="00000000">
            <w:pPr>
              <w:pStyle w:val="A-"/>
            </w:pPr>
            <w:r>
              <w:t>达标</w:t>
            </w:r>
          </w:p>
        </w:tc>
      </w:tr>
      <w:tr w:rsidR="002E474C" w14:paraId="5FB88E1F" w14:textId="77777777">
        <w:tc>
          <w:tcPr>
            <w:tcW w:w="757" w:type="pct"/>
            <w:shd w:val="clear" w:color="auto" w:fill="auto"/>
            <w:noWrap/>
            <w:tcMar>
              <w:top w:w="15" w:type="dxa"/>
              <w:left w:w="15" w:type="dxa"/>
              <w:bottom w:w="0" w:type="dxa"/>
              <w:right w:w="15" w:type="dxa"/>
            </w:tcMar>
            <w:vAlign w:val="center"/>
          </w:tcPr>
          <w:p w14:paraId="43174794" w14:textId="77777777" w:rsidR="002E474C" w:rsidRDefault="00000000">
            <w:pPr>
              <w:pStyle w:val="A-"/>
            </w:pPr>
            <w:r>
              <w:t>1,1,1-</w:t>
            </w:r>
            <w:r>
              <w:t>三氯</w:t>
            </w:r>
          </w:p>
          <w:p w14:paraId="6F21DFB7" w14:textId="77777777" w:rsidR="002E474C" w:rsidRDefault="00000000">
            <w:pPr>
              <w:pStyle w:val="A-"/>
            </w:pPr>
            <w:r>
              <w:t>乙烷</w:t>
            </w:r>
          </w:p>
        </w:tc>
        <w:tc>
          <w:tcPr>
            <w:tcW w:w="652" w:type="pct"/>
            <w:shd w:val="clear" w:color="auto" w:fill="auto"/>
            <w:tcMar>
              <w:top w:w="15" w:type="dxa"/>
              <w:left w:w="15" w:type="dxa"/>
              <w:bottom w:w="0" w:type="dxa"/>
              <w:right w:w="15" w:type="dxa"/>
            </w:tcMar>
            <w:vAlign w:val="center"/>
          </w:tcPr>
          <w:p w14:paraId="01905F5A"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1AA6BA84" w14:textId="77777777" w:rsidR="002E474C" w:rsidRDefault="00000000">
            <w:pPr>
              <w:pStyle w:val="A-"/>
            </w:pPr>
            <w:r>
              <w:t>&lt;1.3</w:t>
            </w:r>
          </w:p>
        </w:tc>
        <w:tc>
          <w:tcPr>
            <w:tcW w:w="446" w:type="pct"/>
            <w:shd w:val="clear" w:color="auto" w:fill="auto"/>
            <w:tcMar>
              <w:top w:w="15" w:type="dxa"/>
              <w:left w:w="15" w:type="dxa"/>
              <w:bottom w:w="0" w:type="dxa"/>
              <w:right w:w="15" w:type="dxa"/>
            </w:tcMar>
            <w:vAlign w:val="center"/>
          </w:tcPr>
          <w:p w14:paraId="094E23FD"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5C74B36"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199D0B7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8CE3A00"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5A93D8B2"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74ECF9C8" w14:textId="77777777" w:rsidR="002E474C" w:rsidRDefault="00000000">
            <w:pPr>
              <w:pStyle w:val="A-"/>
            </w:pPr>
            <w:r>
              <w:t>840mg/kg</w:t>
            </w:r>
          </w:p>
        </w:tc>
        <w:tc>
          <w:tcPr>
            <w:tcW w:w="317" w:type="pct"/>
            <w:shd w:val="clear" w:color="auto" w:fill="auto"/>
            <w:tcMar>
              <w:top w:w="15" w:type="dxa"/>
              <w:left w:w="15" w:type="dxa"/>
              <w:bottom w:w="0" w:type="dxa"/>
              <w:right w:w="15" w:type="dxa"/>
            </w:tcMar>
            <w:vAlign w:val="center"/>
          </w:tcPr>
          <w:p w14:paraId="423754AF" w14:textId="77777777" w:rsidR="002E474C" w:rsidRDefault="00000000">
            <w:pPr>
              <w:pStyle w:val="A-"/>
            </w:pPr>
            <w:r>
              <w:t>达标</w:t>
            </w:r>
          </w:p>
        </w:tc>
      </w:tr>
      <w:tr w:rsidR="002E474C" w14:paraId="7596FA38" w14:textId="77777777">
        <w:tc>
          <w:tcPr>
            <w:tcW w:w="757" w:type="pct"/>
            <w:shd w:val="clear" w:color="auto" w:fill="auto"/>
            <w:noWrap/>
            <w:tcMar>
              <w:top w:w="15" w:type="dxa"/>
              <w:left w:w="15" w:type="dxa"/>
              <w:bottom w:w="0" w:type="dxa"/>
              <w:right w:w="15" w:type="dxa"/>
            </w:tcMar>
            <w:vAlign w:val="center"/>
          </w:tcPr>
          <w:p w14:paraId="46311F37" w14:textId="77777777" w:rsidR="002E474C" w:rsidRDefault="00000000">
            <w:pPr>
              <w:pStyle w:val="A-"/>
            </w:pPr>
            <w:r>
              <w:t>四氯化碳</w:t>
            </w:r>
          </w:p>
        </w:tc>
        <w:tc>
          <w:tcPr>
            <w:tcW w:w="652" w:type="pct"/>
            <w:shd w:val="clear" w:color="auto" w:fill="auto"/>
            <w:tcMar>
              <w:top w:w="15" w:type="dxa"/>
              <w:left w:w="15" w:type="dxa"/>
              <w:bottom w:w="0" w:type="dxa"/>
              <w:right w:w="15" w:type="dxa"/>
            </w:tcMar>
            <w:vAlign w:val="center"/>
          </w:tcPr>
          <w:p w14:paraId="658766A8"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167A2788" w14:textId="77777777" w:rsidR="002E474C" w:rsidRDefault="00000000">
            <w:pPr>
              <w:pStyle w:val="A-"/>
            </w:pPr>
            <w:r>
              <w:t>&lt;1.3</w:t>
            </w:r>
          </w:p>
        </w:tc>
        <w:tc>
          <w:tcPr>
            <w:tcW w:w="446" w:type="pct"/>
            <w:shd w:val="clear" w:color="auto" w:fill="auto"/>
            <w:tcMar>
              <w:top w:w="15" w:type="dxa"/>
              <w:left w:w="15" w:type="dxa"/>
              <w:bottom w:w="0" w:type="dxa"/>
              <w:right w:w="15" w:type="dxa"/>
            </w:tcMar>
            <w:vAlign w:val="center"/>
          </w:tcPr>
          <w:p w14:paraId="674B407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CF591BD"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03E4DE7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E368CA2"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0DBE1F29"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1BE288F" w14:textId="77777777" w:rsidR="002E474C" w:rsidRDefault="00000000">
            <w:pPr>
              <w:pStyle w:val="A-"/>
            </w:pPr>
            <w:r>
              <w:t>2.8mg/kg</w:t>
            </w:r>
          </w:p>
        </w:tc>
        <w:tc>
          <w:tcPr>
            <w:tcW w:w="317" w:type="pct"/>
            <w:shd w:val="clear" w:color="auto" w:fill="auto"/>
            <w:tcMar>
              <w:top w:w="15" w:type="dxa"/>
              <w:left w:w="15" w:type="dxa"/>
              <w:bottom w:w="0" w:type="dxa"/>
              <w:right w:w="15" w:type="dxa"/>
            </w:tcMar>
            <w:vAlign w:val="center"/>
          </w:tcPr>
          <w:p w14:paraId="0726C66D" w14:textId="77777777" w:rsidR="002E474C" w:rsidRDefault="00000000">
            <w:pPr>
              <w:pStyle w:val="A-"/>
            </w:pPr>
            <w:r>
              <w:t>达标</w:t>
            </w:r>
          </w:p>
        </w:tc>
      </w:tr>
      <w:tr w:rsidR="002E474C" w14:paraId="749A1873" w14:textId="77777777">
        <w:tc>
          <w:tcPr>
            <w:tcW w:w="757" w:type="pct"/>
            <w:shd w:val="clear" w:color="auto" w:fill="auto"/>
            <w:noWrap/>
            <w:tcMar>
              <w:top w:w="15" w:type="dxa"/>
              <w:left w:w="15" w:type="dxa"/>
              <w:bottom w:w="0" w:type="dxa"/>
              <w:right w:w="15" w:type="dxa"/>
            </w:tcMar>
            <w:vAlign w:val="center"/>
          </w:tcPr>
          <w:p w14:paraId="3C0A2025" w14:textId="77777777" w:rsidR="002E474C" w:rsidRDefault="00000000">
            <w:pPr>
              <w:pStyle w:val="A-"/>
            </w:pPr>
            <w:r>
              <w:t>1</w:t>
            </w:r>
            <w:r>
              <w:t>，</w:t>
            </w:r>
            <w:r>
              <w:t>2-</w:t>
            </w:r>
            <w:r>
              <w:t>二氯乙烷</w:t>
            </w:r>
          </w:p>
        </w:tc>
        <w:tc>
          <w:tcPr>
            <w:tcW w:w="652" w:type="pct"/>
            <w:shd w:val="clear" w:color="auto" w:fill="auto"/>
            <w:tcMar>
              <w:top w:w="15" w:type="dxa"/>
              <w:left w:w="15" w:type="dxa"/>
              <w:bottom w:w="0" w:type="dxa"/>
              <w:right w:w="15" w:type="dxa"/>
            </w:tcMar>
            <w:vAlign w:val="center"/>
          </w:tcPr>
          <w:p w14:paraId="6B7FF133"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6550F7D" w14:textId="77777777" w:rsidR="002E474C" w:rsidRDefault="00000000">
            <w:pPr>
              <w:pStyle w:val="A-"/>
            </w:pPr>
            <w:r>
              <w:t>&lt;1.3</w:t>
            </w:r>
          </w:p>
        </w:tc>
        <w:tc>
          <w:tcPr>
            <w:tcW w:w="446" w:type="pct"/>
            <w:shd w:val="clear" w:color="auto" w:fill="auto"/>
            <w:tcMar>
              <w:top w:w="15" w:type="dxa"/>
              <w:left w:w="15" w:type="dxa"/>
              <w:bottom w:w="0" w:type="dxa"/>
              <w:right w:w="15" w:type="dxa"/>
            </w:tcMar>
            <w:vAlign w:val="center"/>
          </w:tcPr>
          <w:p w14:paraId="283FFFD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A475F68"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5F23F35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13C4E25"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018E91A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57552BC" w14:textId="77777777" w:rsidR="002E474C" w:rsidRDefault="00000000">
            <w:pPr>
              <w:pStyle w:val="A-"/>
            </w:pPr>
            <w:r>
              <w:t>5mg/kg</w:t>
            </w:r>
          </w:p>
        </w:tc>
        <w:tc>
          <w:tcPr>
            <w:tcW w:w="317" w:type="pct"/>
            <w:shd w:val="clear" w:color="auto" w:fill="auto"/>
            <w:tcMar>
              <w:top w:w="15" w:type="dxa"/>
              <w:left w:w="15" w:type="dxa"/>
              <w:bottom w:w="0" w:type="dxa"/>
              <w:right w:w="15" w:type="dxa"/>
            </w:tcMar>
            <w:vAlign w:val="center"/>
          </w:tcPr>
          <w:p w14:paraId="10F3D0B3" w14:textId="77777777" w:rsidR="002E474C" w:rsidRDefault="00000000">
            <w:pPr>
              <w:pStyle w:val="A-"/>
            </w:pPr>
            <w:r>
              <w:t>达标</w:t>
            </w:r>
          </w:p>
        </w:tc>
      </w:tr>
      <w:tr w:rsidR="002E474C" w14:paraId="79D7ED2D" w14:textId="77777777">
        <w:tc>
          <w:tcPr>
            <w:tcW w:w="757" w:type="pct"/>
            <w:shd w:val="clear" w:color="auto" w:fill="auto"/>
            <w:noWrap/>
            <w:tcMar>
              <w:top w:w="15" w:type="dxa"/>
              <w:left w:w="15" w:type="dxa"/>
              <w:bottom w:w="0" w:type="dxa"/>
              <w:right w:w="15" w:type="dxa"/>
            </w:tcMar>
            <w:vAlign w:val="center"/>
          </w:tcPr>
          <w:p w14:paraId="56A8E12C" w14:textId="77777777" w:rsidR="002E474C" w:rsidRDefault="00000000">
            <w:pPr>
              <w:pStyle w:val="A-"/>
            </w:pPr>
            <w:r>
              <w:t>苯</w:t>
            </w:r>
          </w:p>
        </w:tc>
        <w:tc>
          <w:tcPr>
            <w:tcW w:w="652" w:type="pct"/>
            <w:shd w:val="clear" w:color="auto" w:fill="auto"/>
            <w:tcMar>
              <w:top w:w="15" w:type="dxa"/>
              <w:left w:w="15" w:type="dxa"/>
              <w:bottom w:w="0" w:type="dxa"/>
              <w:right w:w="15" w:type="dxa"/>
            </w:tcMar>
            <w:vAlign w:val="center"/>
          </w:tcPr>
          <w:p w14:paraId="27D33651"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6CD79964" w14:textId="77777777" w:rsidR="002E474C" w:rsidRDefault="00000000">
            <w:pPr>
              <w:pStyle w:val="A-"/>
            </w:pPr>
            <w:r>
              <w:t>&lt;1.9</w:t>
            </w:r>
          </w:p>
        </w:tc>
        <w:tc>
          <w:tcPr>
            <w:tcW w:w="446" w:type="pct"/>
            <w:shd w:val="clear" w:color="auto" w:fill="auto"/>
            <w:tcMar>
              <w:top w:w="15" w:type="dxa"/>
              <w:left w:w="15" w:type="dxa"/>
              <w:bottom w:w="0" w:type="dxa"/>
              <w:right w:w="15" w:type="dxa"/>
            </w:tcMar>
            <w:vAlign w:val="center"/>
          </w:tcPr>
          <w:p w14:paraId="2624749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F9A5212" w14:textId="77777777" w:rsidR="002E474C" w:rsidRDefault="00000000">
            <w:pPr>
              <w:pStyle w:val="A-"/>
            </w:pPr>
            <w:r>
              <w:t>&lt;1.9</w:t>
            </w:r>
          </w:p>
        </w:tc>
        <w:tc>
          <w:tcPr>
            <w:tcW w:w="448" w:type="pct"/>
            <w:shd w:val="clear" w:color="auto" w:fill="auto"/>
            <w:tcMar>
              <w:top w:w="15" w:type="dxa"/>
              <w:left w:w="15" w:type="dxa"/>
              <w:bottom w:w="0" w:type="dxa"/>
              <w:right w:w="15" w:type="dxa"/>
            </w:tcMar>
            <w:vAlign w:val="center"/>
          </w:tcPr>
          <w:p w14:paraId="3E4B6EB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EE3CEE0" w14:textId="77777777" w:rsidR="002E474C" w:rsidRDefault="00000000">
            <w:pPr>
              <w:pStyle w:val="A-"/>
            </w:pPr>
            <w:r>
              <w:t>&lt;1.9</w:t>
            </w:r>
          </w:p>
        </w:tc>
        <w:tc>
          <w:tcPr>
            <w:tcW w:w="448" w:type="pct"/>
            <w:shd w:val="clear" w:color="auto" w:fill="auto"/>
            <w:tcMar>
              <w:top w:w="15" w:type="dxa"/>
              <w:left w:w="15" w:type="dxa"/>
              <w:bottom w:w="0" w:type="dxa"/>
              <w:right w:w="15" w:type="dxa"/>
            </w:tcMar>
            <w:vAlign w:val="center"/>
          </w:tcPr>
          <w:p w14:paraId="34846A8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6F6858B" w14:textId="77777777" w:rsidR="002E474C" w:rsidRDefault="00000000">
            <w:pPr>
              <w:pStyle w:val="A-"/>
            </w:pPr>
            <w:r>
              <w:t>4mg/kg</w:t>
            </w:r>
          </w:p>
        </w:tc>
        <w:tc>
          <w:tcPr>
            <w:tcW w:w="317" w:type="pct"/>
            <w:shd w:val="clear" w:color="auto" w:fill="auto"/>
            <w:tcMar>
              <w:top w:w="15" w:type="dxa"/>
              <w:left w:w="15" w:type="dxa"/>
              <w:bottom w:w="0" w:type="dxa"/>
              <w:right w:w="15" w:type="dxa"/>
            </w:tcMar>
            <w:vAlign w:val="center"/>
          </w:tcPr>
          <w:p w14:paraId="4A6E058E" w14:textId="77777777" w:rsidR="002E474C" w:rsidRDefault="00000000">
            <w:pPr>
              <w:pStyle w:val="A-"/>
            </w:pPr>
            <w:r>
              <w:t>达标</w:t>
            </w:r>
          </w:p>
        </w:tc>
      </w:tr>
      <w:tr w:rsidR="002E474C" w14:paraId="4B42CE01" w14:textId="77777777">
        <w:tc>
          <w:tcPr>
            <w:tcW w:w="757" w:type="pct"/>
            <w:shd w:val="clear" w:color="auto" w:fill="auto"/>
            <w:noWrap/>
            <w:tcMar>
              <w:top w:w="15" w:type="dxa"/>
              <w:left w:w="15" w:type="dxa"/>
              <w:bottom w:w="0" w:type="dxa"/>
              <w:right w:w="15" w:type="dxa"/>
            </w:tcMar>
            <w:vAlign w:val="center"/>
          </w:tcPr>
          <w:p w14:paraId="6BB2DA52" w14:textId="77777777" w:rsidR="002E474C" w:rsidRDefault="00000000">
            <w:pPr>
              <w:pStyle w:val="A-"/>
            </w:pPr>
            <w:r>
              <w:t>三氯乙烯</w:t>
            </w:r>
          </w:p>
        </w:tc>
        <w:tc>
          <w:tcPr>
            <w:tcW w:w="652" w:type="pct"/>
            <w:shd w:val="clear" w:color="auto" w:fill="auto"/>
            <w:tcMar>
              <w:top w:w="15" w:type="dxa"/>
              <w:left w:w="15" w:type="dxa"/>
              <w:bottom w:w="0" w:type="dxa"/>
              <w:right w:w="15" w:type="dxa"/>
            </w:tcMar>
            <w:vAlign w:val="center"/>
          </w:tcPr>
          <w:p w14:paraId="476E691C"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71C3319C"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685310B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5B58E81"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3128CA0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4DB15E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63E3407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202BF184" w14:textId="77777777" w:rsidR="002E474C" w:rsidRDefault="00000000">
            <w:pPr>
              <w:pStyle w:val="A-"/>
            </w:pPr>
            <w:r>
              <w:t>2.8mg/kg</w:t>
            </w:r>
          </w:p>
        </w:tc>
        <w:tc>
          <w:tcPr>
            <w:tcW w:w="317" w:type="pct"/>
            <w:shd w:val="clear" w:color="auto" w:fill="auto"/>
            <w:tcMar>
              <w:top w:w="15" w:type="dxa"/>
              <w:left w:w="15" w:type="dxa"/>
              <w:bottom w:w="0" w:type="dxa"/>
              <w:right w:w="15" w:type="dxa"/>
            </w:tcMar>
            <w:vAlign w:val="center"/>
          </w:tcPr>
          <w:p w14:paraId="50DD0CD9" w14:textId="77777777" w:rsidR="002E474C" w:rsidRDefault="00000000">
            <w:pPr>
              <w:pStyle w:val="A-"/>
            </w:pPr>
            <w:r>
              <w:t>达标</w:t>
            </w:r>
          </w:p>
        </w:tc>
      </w:tr>
      <w:tr w:rsidR="002E474C" w14:paraId="29539FEA" w14:textId="77777777">
        <w:tc>
          <w:tcPr>
            <w:tcW w:w="757" w:type="pct"/>
            <w:shd w:val="clear" w:color="auto" w:fill="auto"/>
            <w:noWrap/>
            <w:tcMar>
              <w:top w:w="15" w:type="dxa"/>
              <w:left w:w="15" w:type="dxa"/>
              <w:bottom w:w="0" w:type="dxa"/>
              <w:right w:w="15" w:type="dxa"/>
            </w:tcMar>
            <w:vAlign w:val="center"/>
          </w:tcPr>
          <w:p w14:paraId="5CE5C8CA" w14:textId="77777777" w:rsidR="002E474C" w:rsidRDefault="00000000">
            <w:pPr>
              <w:pStyle w:val="A-"/>
            </w:pPr>
            <w:r>
              <w:t>1</w:t>
            </w:r>
            <w:r>
              <w:t>，</w:t>
            </w:r>
            <w:r>
              <w:t>2-</w:t>
            </w:r>
            <w:r>
              <w:t>二氯丙烷</w:t>
            </w:r>
          </w:p>
        </w:tc>
        <w:tc>
          <w:tcPr>
            <w:tcW w:w="652" w:type="pct"/>
            <w:shd w:val="clear" w:color="auto" w:fill="auto"/>
            <w:tcMar>
              <w:top w:w="15" w:type="dxa"/>
              <w:left w:w="15" w:type="dxa"/>
              <w:bottom w:w="0" w:type="dxa"/>
              <w:right w:w="15" w:type="dxa"/>
            </w:tcMar>
            <w:vAlign w:val="center"/>
          </w:tcPr>
          <w:p w14:paraId="7654D1B5"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EFE1546" w14:textId="77777777" w:rsidR="002E474C" w:rsidRDefault="00000000">
            <w:pPr>
              <w:pStyle w:val="A-"/>
            </w:pPr>
            <w:r>
              <w:t>&lt;1.1</w:t>
            </w:r>
          </w:p>
        </w:tc>
        <w:tc>
          <w:tcPr>
            <w:tcW w:w="446" w:type="pct"/>
            <w:shd w:val="clear" w:color="auto" w:fill="auto"/>
            <w:tcMar>
              <w:top w:w="15" w:type="dxa"/>
              <w:left w:w="15" w:type="dxa"/>
              <w:bottom w:w="0" w:type="dxa"/>
              <w:right w:w="15" w:type="dxa"/>
            </w:tcMar>
            <w:vAlign w:val="center"/>
          </w:tcPr>
          <w:p w14:paraId="6482F678"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F3643D8"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2FD57EAD"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C697815"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6530912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33E3322" w14:textId="77777777" w:rsidR="002E474C" w:rsidRDefault="00000000">
            <w:pPr>
              <w:pStyle w:val="A-"/>
            </w:pPr>
            <w:r>
              <w:t>5mg/kg</w:t>
            </w:r>
          </w:p>
        </w:tc>
        <w:tc>
          <w:tcPr>
            <w:tcW w:w="317" w:type="pct"/>
            <w:shd w:val="clear" w:color="auto" w:fill="auto"/>
            <w:tcMar>
              <w:top w:w="15" w:type="dxa"/>
              <w:left w:w="15" w:type="dxa"/>
              <w:bottom w:w="0" w:type="dxa"/>
              <w:right w:w="15" w:type="dxa"/>
            </w:tcMar>
            <w:vAlign w:val="center"/>
          </w:tcPr>
          <w:p w14:paraId="543C5347" w14:textId="77777777" w:rsidR="002E474C" w:rsidRDefault="00000000">
            <w:pPr>
              <w:pStyle w:val="A-"/>
            </w:pPr>
            <w:r>
              <w:t>达标</w:t>
            </w:r>
          </w:p>
        </w:tc>
      </w:tr>
      <w:tr w:rsidR="002E474C" w14:paraId="4E184DF4" w14:textId="77777777">
        <w:tc>
          <w:tcPr>
            <w:tcW w:w="757" w:type="pct"/>
            <w:shd w:val="clear" w:color="auto" w:fill="auto"/>
            <w:noWrap/>
            <w:tcMar>
              <w:top w:w="15" w:type="dxa"/>
              <w:left w:w="15" w:type="dxa"/>
              <w:bottom w:w="0" w:type="dxa"/>
              <w:right w:w="15" w:type="dxa"/>
            </w:tcMar>
            <w:vAlign w:val="center"/>
          </w:tcPr>
          <w:p w14:paraId="082A94AD" w14:textId="77777777" w:rsidR="002E474C" w:rsidRDefault="00000000">
            <w:pPr>
              <w:pStyle w:val="A-"/>
            </w:pPr>
            <w:r>
              <w:t>甲苯</w:t>
            </w:r>
          </w:p>
        </w:tc>
        <w:tc>
          <w:tcPr>
            <w:tcW w:w="652" w:type="pct"/>
            <w:shd w:val="clear" w:color="auto" w:fill="auto"/>
            <w:tcMar>
              <w:top w:w="15" w:type="dxa"/>
              <w:left w:w="15" w:type="dxa"/>
              <w:bottom w:w="0" w:type="dxa"/>
              <w:right w:w="15" w:type="dxa"/>
            </w:tcMar>
            <w:vAlign w:val="center"/>
          </w:tcPr>
          <w:p w14:paraId="64965AF5"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772C45FD" w14:textId="77777777" w:rsidR="002E474C" w:rsidRDefault="00000000">
            <w:pPr>
              <w:pStyle w:val="A-"/>
            </w:pPr>
            <w:r>
              <w:t>&lt;1.3</w:t>
            </w:r>
          </w:p>
        </w:tc>
        <w:tc>
          <w:tcPr>
            <w:tcW w:w="446" w:type="pct"/>
            <w:shd w:val="clear" w:color="auto" w:fill="auto"/>
            <w:tcMar>
              <w:top w:w="15" w:type="dxa"/>
              <w:left w:w="15" w:type="dxa"/>
              <w:bottom w:w="0" w:type="dxa"/>
              <w:right w:w="15" w:type="dxa"/>
            </w:tcMar>
            <w:vAlign w:val="center"/>
          </w:tcPr>
          <w:p w14:paraId="7885E4B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3A3DFE0"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00D0726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7C1FE69" w14:textId="77777777" w:rsidR="002E474C" w:rsidRDefault="00000000">
            <w:pPr>
              <w:pStyle w:val="A-"/>
            </w:pPr>
            <w:r>
              <w:t>&lt;1.3</w:t>
            </w:r>
          </w:p>
        </w:tc>
        <w:tc>
          <w:tcPr>
            <w:tcW w:w="448" w:type="pct"/>
            <w:shd w:val="clear" w:color="auto" w:fill="auto"/>
            <w:tcMar>
              <w:top w:w="15" w:type="dxa"/>
              <w:left w:w="15" w:type="dxa"/>
              <w:bottom w:w="0" w:type="dxa"/>
              <w:right w:w="15" w:type="dxa"/>
            </w:tcMar>
            <w:vAlign w:val="center"/>
          </w:tcPr>
          <w:p w14:paraId="4849DAEF"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460F17E" w14:textId="77777777" w:rsidR="002E474C" w:rsidRDefault="00000000">
            <w:pPr>
              <w:pStyle w:val="A-"/>
            </w:pPr>
            <w:r>
              <w:t>1200mg/kg</w:t>
            </w:r>
          </w:p>
        </w:tc>
        <w:tc>
          <w:tcPr>
            <w:tcW w:w="317" w:type="pct"/>
            <w:shd w:val="clear" w:color="auto" w:fill="auto"/>
            <w:tcMar>
              <w:top w:w="15" w:type="dxa"/>
              <w:left w:w="15" w:type="dxa"/>
              <w:bottom w:w="0" w:type="dxa"/>
              <w:right w:w="15" w:type="dxa"/>
            </w:tcMar>
            <w:vAlign w:val="center"/>
          </w:tcPr>
          <w:p w14:paraId="261D537B" w14:textId="77777777" w:rsidR="002E474C" w:rsidRDefault="00000000">
            <w:pPr>
              <w:pStyle w:val="A-"/>
            </w:pPr>
            <w:r>
              <w:t>达标</w:t>
            </w:r>
          </w:p>
        </w:tc>
      </w:tr>
      <w:tr w:rsidR="002E474C" w14:paraId="2B776B13" w14:textId="77777777">
        <w:tc>
          <w:tcPr>
            <w:tcW w:w="757" w:type="pct"/>
            <w:shd w:val="clear" w:color="auto" w:fill="auto"/>
            <w:noWrap/>
            <w:tcMar>
              <w:top w:w="15" w:type="dxa"/>
              <w:left w:w="15" w:type="dxa"/>
              <w:bottom w:w="0" w:type="dxa"/>
              <w:right w:w="15" w:type="dxa"/>
            </w:tcMar>
            <w:vAlign w:val="center"/>
          </w:tcPr>
          <w:p w14:paraId="1573734B" w14:textId="77777777" w:rsidR="002E474C" w:rsidRDefault="00000000">
            <w:pPr>
              <w:pStyle w:val="A-"/>
            </w:pPr>
            <w:r>
              <w:t>1,1,2-</w:t>
            </w:r>
            <w:r>
              <w:t>三氯</w:t>
            </w:r>
          </w:p>
          <w:p w14:paraId="091ABC12" w14:textId="77777777" w:rsidR="002E474C" w:rsidRDefault="00000000">
            <w:pPr>
              <w:pStyle w:val="A-"/>
            </w:pPr>
            <w:r>
              <w:t>乙烷</w:t>
            </w:r>
          </w:p>
        </w:tc>
        <w:tc>
          <w:tcPr>
            <w:tcW w:w="652" w:type="pct"/>
            <w:shd w:val="clear" w:color="auto" w:fill="auto"/>
            <w:tcMar>
              <w:top w:w="15" w:type="dxa"/>
              <w:left w:w="15" w:type="dxa"/>
              <w:bottom w:w="0" w:type="dxa"/>
              <w:right w:w="15" w:type="dxa"/>
            </w:tcMar>
            <w:vAlign w:val="center"/>
          </w:tcPr>
          <w:p w14:paraId="61ADBE60"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616D5FC9"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3C0085F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B20872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29ED0FD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685D246"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56E0841F"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7E39780B" w14:textId="77777777" w:rsidR="002E474C" w:rsidRDefault="00000000">
            <w:pPr>
              <w:pStyle w:val="A-"/>
            </w:pPr>
            <w:r>
              <w:t>2.8mg/kg</w:t>
            </w:r>
          </w:p>
        </w:tc>
        <w:tc>
          <w:tcPr>
            <w:tcW w:w="317" w:type="pct"/>
            <w:shd w:val="clear" w:color="auto" w:fill="auto"/>
            <w:tcMar>
              <w:top w:w="15" w:type="dxa"/>
              <w:left w:w="15" w:type="dxa"/>
              <w:bottom w:w="0" w:type="dxa"/>
              <w:right w:w="15" w:type="dxa"/>
            </w:tcMar>
            <w:vAlign w:val="center"/>
          </w:tcPr>
          <w:p w14:paraId="7DBF3594" w14:textId="77777777" w:rsidR="002E474C" w:rsidRDefault="00000000">
            <w:pPr>
              <w:pStyle w:val="A-"/>
            </w:pPr>
            <w:r>
              <w:t>达标</w:t>
            </w:r>
          </w:p>
        </w:tc>
      </w:tr>
      <w:tr w:rsidR="002E474C" w14:paraId="3912DC9C" w14:textId="77777777">
        <w:tc>
          <w:tcPr>
            <w:tcW w:w="757" w:type="pct"/>
            <w:shd w:val="clear" w:color="auto" w:fill="auto"/>
            <w:noWrap/>
            <w:tcMar>
              <w:top w:w="15" w:type="dxa"/>
              <w:left w:w="15" w:type="dxa"/>
              <w:bottom w:w="0" w:type="dxa"/>
              <w:right w:w="15" w:type="dxa"/>
            </w:tcMar>
            <w:vAlign w:val="center"/>
          </w:tcPr>
          <w:p w14:paraId="1F537891" w14:textId="77777777" w:rsidR="002E474C" w:rsidRDefault="00000000">
            <w:pPr>
              <w:pStyle w:val="A-"/>
            </w:pPr>
            <w:r>
              <w:t>四氯乙烯</w:t>
            </w:r>
          </w:p>
        </w:tc>
        <w:tc>
          <w:tcPr>
            <w:tcW w:w="652" w:type="pct"/>
            <w:shd w:val="clear" w:color="auto" w:fill="auto"/>
            <w:tcMar>
              <w:top w:w="15" w:type="dxa"/>
              <w:left w:w="15" w:type="dxa"/>
              <w:bottom w:w="0" w:type="dxa"/>
              <w:right w:w="15" w:type="dxa"/>
            </w:tcMar>
            <w:vAlign w:val="center"/>
          </w:tcPr>
          <w:p w14:paraId="60452326"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576245CA" w14:textId="77777777" w:rsidR="002E474C" w:rsidRDefault="00000000">
            <w:pPr>
              <w:pStyle w:val="A-"/>
            </w:pPr>
            <w:r>
              <w:t>&lt;1.4</w:t>
            </w:r>
          </w:p>
        </w:tc>
        <w:tc>
          <w:tcPr>
            <w:tcW w:w="446" w:type="pct"/>
            <w:shd w:val="clear" w:color="auto" w:fill="auto"/>
            <w:tcMar>
              <w:top w:w="15" w:type="dxa"/>
              <w:left w:w="15" w:type="dxa"/>
              <w:bottom w:w="0" w:type="dxa"/>
              <w:right w:w="15" w:type="dxa"/>
            </w:tcMar>
            <w:vAlign w:val="center"/>
          </w:tcPr>
          <w:p w14:paraId="701C402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6D710D6" w14:textId="77777777" w:rsidR="002E474C" w:rsidRDefault="00000000">
            <w:pPr>
              <w:pStyle w:val="A-"/>
            </w:pPr>
            <w:r>
              <w:t>&lt;1.4</w:t>
            </w:r>
          </w:p>
        </w:tc>
        <w:tc>
          <w:tcPr>
            <w:tcW w:w="448" w:type="pct"/>
            <w:shd w:val="clear" w:color="auto" w:fill="auto"/>
            <w:tcMar>
              <w:top w:w="15" w:type="dxa"/>
              <w:left w:w="15" w:type="dxa"/>
              <w:bottom w:w="0" w:type="dxa"/>
              <w:right w:w="15" w:type="dxa"/>
            </w:tcMar>
            <w:vAlign w:val="center"/>
          </w:tcPr>
          <w:p w14:paraId="03AD996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5E34FC6" w14:textId="77777777" w:rsidR="002E474C" w:rsidRDefault="00000000">
            <w:pPr>
              <w:pStyle w:val="A-"/>
            </w:pPr>
            <w:r>
              <w:t>&lt;1.4</w:t>
            </w:r>
          </w:p>
        </w:tc>
        <w:tc>
          <w:tcPr>
            <w:tcW w:w="448" w:type="pct"/>
            <w:shd w:val="clear" w:color="auto" w:fill="auto"/>
            <w:tcMar>
              <w:top w:w="15" w:type="dxa"/>
              <w:left w:w="15" w:type="dxa"/>
              <w:bottom w:w="0" w:type="dxa"/>
              <w:right w:w="15" w:type="dxa"/>
            </w:tcMar>
            <w:vAlign w:val="center"/>
          </w:tcPr>
          <w:p w14:paraId="6C7837B8"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AFE710C" w14:textId="77777777" w:rsidR="002E474C" w:rsidRDefault="00000000">
            <w:pPr>
              <w:pStyle w:val="A-"/>
            </w:pPr>
            <w:r>
              <w:t>53mg/kg</w:t>
            </w:r>
          </w:p>
        </w:tc>
        <w:tc>
          <w:tcPr>
            <w:tcW w:w="317" w:type="pct"/>
            <w:shd w:val="clear" w:color="auto" w:fill="auto"/>
            <w:tcMar>
              <w:top w:w="15" w:type="dxa"/>
              <w:left w:w="15" w:type="dxa"/>
              <w:bottom w:w="0" w:type="dxa"/>
              <w:right w:w="15" w:type="dxa"/>
            </w:tcMar>
            <w:vAlign w:val="center"/>
          </w:tcPr>
          <w:p w14:paraId="6E43C614" w14:textId="77777777" w:rsidR="002E474C" w:rsidRDefault="00000000">
            <w:pPr>
              <w:pStyle w:val="A-"/>
            </w:pPr>
            <w:r>
              <w:t>达标</w:t>
            </w:r>
          </w:p>
        </w:tc>
      </w:tr>
      <w:tr w:rsidR="002E474C" w14:paraId="538A83D4" w14:textId="77777777">
        <w:tc>
          <w:tcPr>
            <w:tcW w:w="757" w:type="pct"/>
            <w:shd w:val="clear" w:color="auto" w:fill="auto"/>
            <w:noWrap/>
            <w:tcMar>
              <w:top w:w="15" w:type="dxa"/>
              <w:left w:w="15" w:type="dxa"/>
              <w:bottom w:w="0" w:type="dxa"/>
              <w:right w:w="15" w:type="dxa"/>
            </w:tcMar>
            <w:vAlign w:val="center"/>
          </w:tcPr>
          <w:p w14:paraId="23A62384" w14:textId="77777777" w:rsidR="002E474C" w:rsidRDefault="00000000">
            <w:pPr>
              <w:pStyle w:val="A-"/>
            </w:pPr>
            <w:r>
              <w:t>氯苯</w:t>
            </w:r>
          </w:p>
        </w:tc>
        <w:tc>
          <w:tcPr>
            <w:tcW w:w="652" w:type="pct"/>
            <w:shd w:val="clear" w:color="auto" w:fill="auto"/>
            <w:tcMar>
              <w:top w:w="15" w:type="dxa"/>
              <w:left w:w="15" w:type="dxa"/>
              <w:bottom w:w="0" w:type="dxa"/>
              <w:right w:w="15" w:type="dxa"/>
            </w:tcMar>
            <w:vAlign w:val="center"/>
          </w:tcPr>
          <w:p w14:paraId="37AD4670"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0D73F51B"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348ECC0D"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536CDE3"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02855C07"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12834DC"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0E80BE3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7C0EB3E6" w14:textId="77777777" w:rsidR="002E474C" w:rsidRDefault="00000000">
            <w:pPr>
              <w:pStyle w:val="A-"/>
            </w:pPr>
            <w:r>
              <w:t>270mg/kg</w:t>
            </w:r>
          </w:p>
        </w:tc>
        <w:tc>
          <w:tcPr>
            <w:tcW w:w="317" w:type="pct"/>
            <w:shd w:val="clear" w:color="auto" w:fill="auto"/>
            <w:tcMar>
              <w:top w:w="15" w:type="dxa"/>
              <w:left w:w="15" w:type="dxa"/>
              <w:bottom w:w="0" w:type="dxa"/>
              <w:right w:w="15" w:type="dxa"/>
            </w:tcMar>
            <w:vAlign w:val="center"/>
          </w:tcPr>
          <w:p w14:paraId="5B186FEB" w14:textId="77777777" w:rsidR="002E474C" w:rsidRDefault="00000000">
            <w:pPr>
              <w:pStyle w:val="A-"/>
            </w:pPr>
            <w:r>
              <w:t>达标</w:t>
            </w:r>
          </w:p>
        </w:tc>
      </w:tr>
      <w:tr w:rsidR="002E474C" w14:paraId="710D6C10" w14:textId="77777777">
        <w:tc>
          <w:tcPr>
            <w:tcW w:w="757" w:type="pct"/>
            <w:shd w:val="clear" w:color="auto" w:fill="auto"/>
            <w:noWrap/>
            <w:tcMar>
              <w:top w:w="15" w:type="dxa"/>
              <w:left w:w="15" w:type="dxa"/>
              <w:bottom w:w="0" w:type="dxa"/>
              <w:right w:w="15" w:type="dxa"/>
            </w:tcMar>
            <w:vAlign w:val="center"/>
          </w:tcPr>
          <w:p w14:paraId="03F046B8" w14:textId="77777777" w:rsidR="002E474C" w:rsidRDefault="00000000">
            <w:pPr>
              <w:pStyle w:val="A-"/>
            </w:pPr>
            <w:r>
              <w:t>1,1,1,2-</w:t>
            </w:r>
            <w:r>
              <w:t>四氯乙烷</w:t>
            </w:r>
          </w:p>
        </w:tc>
        <w:tc>
          <w:tcPr>
            <w:tcW w:w="652" w:type="pct"/>
            <w:shd w:val="clear" w:color="auto" w:fill="auto"/>
            <w:tcMar>
              <w:top w:w="15" w:type="dxa"/>
              <w:left w:w="15" w:type="dxa"/>
              <w:bottom w:w="0" w:type="dxa"/>
              <w:right w:w="15" w:type="dxa"/>
            </w:tcMar>
            <w:vAlign w:val="center"/>
          </w:tcPr>
          <w:p w14:paraId="33D5A722"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6799639"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2184DE81"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158AD85"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420572B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60E1D6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468A3488"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F0E2FE1" w14:textId="77777777" w:rsidR="002E474C" w:rsidRDefault="00000000">
            <w:pPr>
              <w:pStyle w:val="A-"/>
            </w:pPr>
            <w:r>
              <w:t>10mg/kg</w:t>
            </w:r>
          </w:p>
        </w:tc>
        <w:tc>
          <w:tcPr>
            <w:tcW w:w="317" w:type="pct"/>
            <w:shd w:val="clear" w:color="auto" w:fill="auto"/>
            <w:tcMar>
              <w:top w:w="15" w:type="dxa"/>
              <w:left w:w="15" w:type="dxa"/>
              <w:bottom w:w="0" w:type="dxa"/>
              <w:right w:w="15" w:type="dxa"/>
            </w:tcMar>
            <w:vAlign w:val="center"/>
          </w:tcPr>
          <w:p w14:paraId="1E4FA8DA" w14:textId="77777777" w:rsidR="002E474C" w:rsidRDefault="00000000">
            <w:pPr>
              <w:pStyle w:val="A-"/>
            </w:pPr>
            <w:r>
              <w:t>达标</w:t>
            </w:r>
          </w:p>
        </w:tc>
      </w:tr>
      <w:tr w:rsidR="002E474C" w14:paraId="665E7FD9" w14:textId="77777777">
        <w:tc>
          <w:tcPr>
            <w:tcW w:w="757" w:type="pct"/>
            <w:shd w:val="clear" w:color="auto" w:fill="auto"/>
            <w:noWrap/>
            <w:tcMar>
              <w:top w:w="15" w:type="dxa"/>
              <w:left w:w="15" w:type="dxa"/>
              <w:bottom w:w="0" w:type="dxa"/>
              <w:right w:w="15" w:type="dxa"/>
            </w:tcMar>
            <w:vAlign w:val="center"/>
          </w:tcPr>
          <w:p w14:paraId="2AF79CD9" w14:textId="77777777" w:rsidR="002E474C" w:rsidRDefault="00000000">
            <w:pPr>
              <w:pStyle w:val="A-"/>
            </w:pPr>
            <w:r>
              <w:t>乙苯</w:t>
            </w:r>
          </w:p>
        </w:tc>
        <w:tc>
          <w:tcPr>
            <w:tcW w:w="652" w:type="pct"/>
            <w:shd w:val="clear" w:color="auto" w:fill="auto"/>
            <w:tcMar>
              <w:top w:w="15" w:type="dxa"/>
              <w:left w:w="15" w:type="dxa"/>
              <w:bottom w:w="0" w:type="dxa"/>
              <w:right w:w="15" w:type="dxa"/>
            </w:tcMar>
            <w:vAlign w:val="center"/>
          </w:tcPr>
          <w:p w14:paraId="7848EE32"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0E6EB4D"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55DDBB9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67383A7"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088E5CB0"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886763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39714716"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49C0F88C" w14:textId="77777777" w:rsidR="002E474C" w:rsidRDefault="00000000">
            <w:pPr>
              <w:pStyle w:val="A-"/>
            </w:pPr>
            <w:r>
              <w:t>28mg/kg</w:t>
            </w:r>
          </w:p>
        </w:tc>
        <w:tc>
          <w:tcPr>
            <w:tcW w:w="317" w:type="pct"/>
            <w:shd w:val="clear" w:color="auto" w:fill="auto"/>
            <w:tcMar>
              <w:top w:w="15" w:type="dxa"/>
              <w:left w:w="15" w:type="dxa"/>
              <w:bottom w:w="0" w:type="dxa"/>
              <w:right w:w="15" w:type="dxa"/>
            </w:tcMar>
            <w:vAlign w:val="center"/>
          </w:tcPr>
          <w:p w14:paraId="0B0BFFBC" w14:textId="77777777" w:rsidR="002E474C" w:rsidRDefault="00000000">
            <w:pPr>
              <w:pStyle w:val="A-"/>
            </w:pPr>
            <w:r>
              <w:t>达标</w:t>
            </w:r>
          </w:p>
        </w:tc>
      </w:tr>
      <w:tr w:rsidR="002E474C" w14:paraId="15E338CD" w14:textId="77777777">
        <w:tc>
          <w:tcPr>
            <w:tcW w:w="757" w:type="pct"/>
            <w:shd w:val="clear" w:color="auto" w:fill="auto"/>
            <w:noWrap/>
            <w:tcMar>
              <w:top w:w="15" w:type="dxa"/>
              <w:left w:w="15" w:type="dxa"/>
              <w:bottom w:w="0" w:type="dxa"/>
              <w:right w:w="15" w:type="dxa"/>
            </w:tcMar>
            <w:vAlign w:val="center"/>
          </w:tcPr>
          <w:p w14:paraId="525B9CA5" w14:textId="77777777" w:rsidR="002E474C" w:rsidRDefault="00000000">
            <w:pPr>
              <w:pStyle w:val="A-"/>
            </w:pPr>
            <w:r>
              <w:t>间，对</w:t>
            </w:r>
            <w:r>
              <w:t>-</w:t>
            </w:r>
            <w:r>
              <w:t>二甲苯</w:t>
            </w:r>
          </w:p>
        </w:tc>
        <w:tc>
          <w:tcPr>
            <w:tcW w:w="652" w:type="pct"/>
            <w:shd w:val="clear" w:color="auto" w:fill="auto"/>
            <w:tcMar>
              <w:top w:w="15" w:type="dxa"/>
              <w:left w:w="15" w:type="dxa"/>
              <w:bottom w:w="0" w:type="dxa"/>
              <w:right w:w="15" w:type="dxa"/>
            </w:tcMar>
            <w:vAlign w:val="center"/>
          </w:tcPr>
          <w:p w14:paraId="1F95469A"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3CC2418F"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0359ECF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BE43CF6"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6E03678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3A8A9A6"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488110E8"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A7278B0" w14:textId="77777777" w:rsidR="002E474C" w:rsidRDefault="00000000">
            <w:pPr>
              <w:pStyle w:val="A-"/>
            </w:pPr>
            <w:r>
              <w:t>570mg/kg</w:t>
            </w:r>
          </w:p>
        </w:tc>
        <w:tc>
          <w:tcPr>
            <w:tcW w:w="317" w:type="pct"/>
            <w:shd w:val="clear" w:color="auto" w:fill="auto"/>
            <w:tcMar>
              <w:top w:w="15" w:type="dxa"/>
              <w:left w:w="15" w:type="dxa"/>
              <w:bottom w:w="0" w:type="dxa"/>
              <w:right w:w="15" w:type="dxa"/>
            </w:tcMar>
            <w:vAlign w:val="center"/>
          </w:tcPr>
          <w:p w14:paraId="348CBAB3" w14:textId="77777777" w:rsidR="002E474C" w:rsidRDefault="00000000">
            <w:pPr>
              <w:pStyle w:val="A-"/>
            </w:pPr>
            <w:r>
              <w:t>达标</w:t>
            </w:r>
          </w:p>
        </w:tc>
      </w:tr>
      <w:tr w:rsidR="002E474C" w14:paraId="59E04BF4" w14:textId="77777777">
        <w:tc>
          <w:tcPr>
            <w:tcW w:w="757" w:type="pct"/>
            <w:shd w:val="clear" w:color="auto" w:fill="auto"/>
            <w:noWrap/>
            <w:tcMar>
              <w:top w:w="15" w:type="dxa"/>
              <w:left w:w="15" w:type="dxa"/>
              <w:bottom w:w="0" w:type="dxa"/>
              <w:right w:w="15" w:type="dxa"/>
            </w:tcMar>
            <w:vAlign w:val="center"/>
          </w:tcPr>
          <w:p w14:paraId="4906C6CC" w14:textId="77777777" w:rsidR="002E474C" w:rsidRDefault="00000000">
            <w:pPr>
              <w:pStyle w:val="A-"/>
            </w:pPr>
            <w:r>
              <w:t>邻</w:t>
            </w:r>
            <w:r>
              <w:t>-</w:t>
            </w:r>
            <w:r>
              <w:t>二甲苯</w:t>
            </w:r>
          </w:p>
        </w:tc>
        <w:tc>
          <w:tcPr>
            <w:tcW w:w="652" w:type="pct"/>
            <w:shd w:val="clear" w:color="auto" w:fill="auto"/>
            <w:tcMar>
              <w:top w:w="15" w:type="dxa"/>
              <w:left w:w="15" w:type="dxa"/>
              <w:bottom w:w="0" w:type="dxa"/>
              <w:right w:w="15" w:type="dxa"/>
            </w:tcMar>
            <w:vAlign w:val="center"/>
          </w:tcPr>
          <w:p w14:paraId="24054E09"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7A8F8582"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6F01CF0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3710542"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11E37F3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F94D47F"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6BA8F2B6"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4B742382" w14:textId="77777777" w:rsidR="002E474C" w:rsidRDefault="00000000">
            <w:pPr>
              <w:pStyle w:val="A-"/>
            </w:pPr>
            <w:r>
              <w:t>640mg/kg</w:t>
            </w:r>
          </w:p>
        </w:tc>
        <w:tc>
          <w:tcPr>
            <w:tcW w:w="317" w:type="pct"/>
            <w:shd w:val="clear" w:color="auto" w:fill="auto"/>
            <w:tcMar>
              <w:top w:w="15" w:type="dxa"/>
              <w:left w:w="15" w:type="dxa"/>
              <w:bottom w:w="0" w:type="dxa"/>
              <w:right w:w="15" w:type="dxa"/>
            </w:tcMar>
            <w:vAlign w:val="center"/>
          </w:tcPr>
          <w:p w14:paraId="41830193" w14:textId="77777777" w:rsidR="002E474C" w:rsidRDefault="00000000">
            <w:pPr>
              <w:pStyle w:val="A-"/>
            </w:pPr>
            <w:r>
              <w:t>达标</w:t>
            </w:r>
          </w:p>
        </w:tc>
      </w:tr>
      <w:tr w:rsidR="002E474C" w14:paraId="462D1A4B" w14:textId="77777777">
        <w:tc>
          <w:tcPr>
            <w:tcW w:w="757" w:type="pct"/>
            <w:shd w:val="clear" w:color="auto" w:fill="auto"/>
            <w:noWrap/>
            <w:tcMar>
              <w:top w:w="15" w:type="dxa"/>
              <w:left w:w="15" w:type="dxa"/>
              <w:bottom w:w="0" w:type="dxa"/>
              <w:right w:w="15" w:type="dxa"/>
            </w:tcMar>
            <w:vAlign w:val="center"/>
          </w:tcPr>
          <w:p w14:paraId="0CCEAA88" w14:textId="77777777" w:rsidR="002E474C" w:rsidRDefault="00000000">
            <w:pPr>
              <w:pStyle w:val="A-"/>
            </w:pPr>
            <w:r>
              <w:t>苯乙烯</w:t>
            </w:r>
          </w:p>
        </w:tc>
        <w:tc>
          <w:tcPr>
            <w:tcW w:w="652" w:type="pct"/>
            <w:shd w:val="clear" w:color="auto" w:fill="auto"/>
            <w:tcMar>
              <w:top w:w="15" w:type="dxa"/>
              <w:left w:w="15" w:type="dxa"/>
              <w:bottom w:w="0" w:type="dxa"/>
              <w:right w:w="15" w:type="dxa"/>
            </w:tcMar>
            <w:vAlign w:val="center"/>
          </w:tcPr>
          <w:p w14:paraId="6F70E38B"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58D637EB" w14:textId="77777777" w:rsidR="002E474C" w:rsidRDefault="00000000">
            <w:pPr>
              <w:pStyle w:val="A-"/>
            </w:pPr>
            <w:r>
              <w:t>&lt;1.1</w:t>
            </w:r>
          </w:p>
        </w:tc>
        <w:tc>
          <w:tcPr>
            <w:tcW w:w="446" w:type="pct"/>
            <w:shd w:val="clear" w:color="auto" w:fill="auto"/>
            <w:tcMar>
              <w:top w:w="15" w:type="dxa"/>
              <w:left w:w="15" w:type="dxa"/>
              <w:bottom w:w="0" w:type="dxa"/>
              <w:right w:w="15" w:type="dxa"/>
            </w:tcMar>
            <w:vAlign w:val="center"/>
          </w:tcPr>
          <w:p w14:paraId="2D2C05EB"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CEBD028"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4D9D427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50B57A0" w14:textId="77777777" w:rsidR="002E474C" w:rsidRDefault="00000000">
            <w:pPr>
              <w:pStyle w:val="A-"/>
            </w:pPr>
            <w:r>
              <w:t>&lt;1.1</w:t>
            </w:r>
          </w:p>
        </w:tc>
        <w:tc>
          <w:tcPr>
            <w:tcW w:w="448" w:type="pct"/>
            <w:shd w:val="clear" w:color="auto" w:fill="auto"/>
            <w:tcMar>
              <w:top w:w="15" w:type="dxa"/>
              <w:left w:w="15" w:type="dxa"/>
              <w:bottom w:w="0" w:type="dxa"/>
              <w:right w:w="15" w:type="dxa"/>
            </w:tcMar>
            <w:vAlign w:val="center"/>
          </w:tcPr>
          <w:p w14:paraId="3F2D55CA"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4940F6DB" w14:textId="77777777" w:rsidR="002E474C" w:rsidRDefault="00000000">
            <w:pPr>
              <w:pStyle w:val="A-"/>
            </w:pPr>
            <w:r>
              <w:t>1290mg/kg</w:t>
            </w:r>
          </w:p>
        </w:tc>
        <w:tc>
          <w:tcPr>
            <w:tcW w:w="317" w:type="pct"/>
            <w:shd w:val="clear" w:color="auto" w:fill="auto"/>
            <w:tcMar>
              <w:top w:w="15" w:type="dxa"/>
              <w:left w:w="15" w:type="dxa"/>
              <w:bottom w:w="0" w:type="dxa"/>
              <w:right w:w="15" w:type="dxa"/>
            </w:tcMar>
            <w:vAlign w:val="center"/>
          </w:tcPr>
          <w:p w14:paraId="5C4B0C8B" w14:textId="77777777" w:rsidR="002E474C" w:rsidRDefault="00000000">
            <w:pPr>
              <w:pStyle w:val="A-"/>
            </w:pPr>
            <w:r>
              <w:t>达标</w:t>
            </w:r>
          </w:p>
        </w:tc>
      </w:tr>
      <w:tr w:rsidR="002E474C" w14:paraId="57C66A9B" w14:textId="77777777">
        <w:tc>
          <w:tcPr>
            <w:tcW w:w="757" w:type="pct"/>
            <w:shd w:val="clear" w:color="auto" w:fill="auto"/>
            <w:noWrap/>
            <w:tcMar>
              <w:top w:w="15" w:type="dxa"/>
              <w:left w:w="15" w:type="dxa"/>
              <w:bottom w:w="0" w:type="dxa"/>
              <w:right w:w="15" w:type="dxa"/>
            </w:tcMar>
            <w:vAlign w:val="center"/>
          </w:tcPr>
          <w:p w14:paraId="4B569B5E" w14:textId="77777777" w:rsidR="002E474C" w:rsidRDefault="00000000">
            <w:pPr>
              <w:pStyle w:val="A-"/>
            </w:pPr>
            <w:r>
              <w:t>1,1,2,2-</w:t>
            </w:r>
            <w:r>
              <w:t>四氯乙烷</w:t>
            </w:r>
          </w:p>
        </w:tc>
        <w:tc>
          <w:tcPr>
            <w:tcW w:w="652" w:type="pct"/>
            <w:shd w:val="clear" w:color="auto" w:fill="auto"/>
            <w:tcMar>
              <w:top w:w="15" w:type="dxa"/>
              <w:left w:w="15" w:type="dxa"/>
              <w:bottom w:w="0" w:type="dxa"/>
              <w:right w:w="15" w:type="dxa"/>
            </w:tcMar>
            <w:vAlign w:val="center"/>
          </w:tcPr>
          <w:p w14:paraId="5493431C"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30825A78"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13D58A8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22F59B3"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6D90CB8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6DD7115"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58481E73"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61C50A3A" w14:textId="77777777" w:rsidR="002E474C" w:rsidRDefault="00000000">
            <w:pPr>
              <w:pStyle w:val="A-"/>
            </w:pPr>
            <w:r>
              <w:t>6.8mg/kg</w:t>
            </w:r>
          </w:p>
        </w:tc>
        <w:tc>
          <w:tcPr>
            <w:tcW w:w="317" w:type="pct"/>
            <w:shd w:val="clear" w:color="auto" w:fill="auto"/>
            <w:tcMar>
              <w:top w:w="15" w:type="dxa"/>
              <w:left w:w="15" w:type="dxa"/>
              <w:bottom w:w="0" w:type="dxa"/>
              <w:right w:w="15" w:type="dxa"/>
            </w:tcMar>
            <w:vAlign w:val="center"/>
          </w:tcPr>
          <w:p w14:paraId="5F2634DA" w14:textId="77777777" w:rsidR="002E474C" w:rsidRDefault="00000000">
            <w:pPr>
              <w:pStyle w:val="A-"/>
            </w:pPr>
            <w:r>
              <w:t>达标</w:t>
            </w:r>
          </w:p>
        </w:tc>
      </w:tr>
      <w:tr w:rsidR="002E474C" w14:paraId="68E607EA" w14:textId="77777777">
        <w:tc>
          <w:tcPr>
            <w:tcW w:w="757" w:type="pct"/>
            <w:shd w:val="clear" w:color="auto" w:fill="auto"/>
            <w:noWrap/>
            <w:tcMar>
              <w:top w:w="15" w:type="dxa"/>
              <w:left w:w="15" w:type="dxa"/>
              <w:bottom w:w="0" w:type="dxa"/>
              <w:right w:w="15" w:type="dxa"/>
            </w:tcMar>
            <w:vAlign w:val="center"/>
          </w:tcPr>
          <w:p w14:paraId="71F4AD39" w14:textId="77777777" w:rsidR="002E474C" w:rsidRDefault="00000000">
            <w:pPr>
              <w:pStyle w:val="A-"/>
            </w:pPr>
            <w:r>
              <w:t>1,2,3-</w:t>
            </w:r>
            <w:r>
              <w:t>三氯</w:t>
            </w:r>
          </w:p>
          <w:p w14:paraId="52A659A5" w14:textId="77777777" w:rsidR="002E474C" w:rsidRDefault="00000000">
            <w:pPr>
              <w:pStyle w:val="A-"/>
            </w:pPr>
            <w:r>
              <w:t>丙烷</w:t>
            </w:r>
          </w:p>
        </w:tc>
        <w:tc>
          <w:tcPr>
            <w:tcW w:w="652" w:type="pct"/>
            <w:shd w:val="clear" w:color="auto" w:fill="auto"/>
            <w:tcMar>
              <w:top w:w="15" w:type="dxa"/>
              <w:left w:w="15" w:type="dxa"/>
              <w:bottom w:w="0" w:type="dxa"/>
              <w:right w:w="15" w:type="dxa"/>
            </w:tcMar>
            <w:vAlign w:val="center"/>
          </w:tcPr>
          <w:p w14:paraId="52C9E52F"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266A188A" w14:textId="77777777" w:rsidR="002E474C" w:rsidRDefault="00000000">
            <w:pPr>
              <w:pStyle w:val="A-"/>
            </w:pPr>
            <w:r>
              <w:t>&lt;1.2</w:t>
            </w:r>
          </w:p>
        </w:tc>
        <w:tc>
          <w:tcPr>
            <w:tcW w:w="446" w:type="pct"/>
            <w:shd w:val="clear" w:color="auto" w:fill="auto"/>
            <w:tcMar>
              <w:top w:w="15" w:type="dxa"/>
              <w:left w:w="15" w:type="dxa"/>
              <w:bottom w:w="0" w:type="dxa"/>
              <w:right w:w="15" w:type="dxa"/>
            </w:tcMar>
            <w:vAlign w:val="center"/>
          </w:tcPr>
          <w:p w14:paraId="4F3C1F27"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083FDC6"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72AB7044"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5FECAA7" w14:textId="77777777" w:rsidR="002E474C" w:rsidRDefault="00000000">
            <w:pPr>
              <w:pStyle w:val="A-"/>
            </w:pPr>
            <w:r>
              <w:t>&lt;1.2</w:t>
            </w:r>
          </w:p>
        </w:tc>
        <w:tc>
          <w:tcPr>
            <w:tcW w:w="448" w:type="pct"/>
            <w:shd w:val="clear" w:color="auto" w:fill="auto"/>
            <w:tcMar>
              <w:top w:w="15" w:type="dxa"/>
              <w:left w:w="15" w:type="dxa"/>
              <w:bottom w:w="0" w:type="dxa"/>
              <w:right w:w="15" w:type="dxa"/>
            </w:tcMar>
            <w:vAlign w:val="center"/>
          </w:tcPr>
          <w:p w14:paraId="0AB13C84"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4C6B513E" w14:textId="77777777" w:rsidR="002E474C" w:rsidRDefault="00000000">
            <w:pPr>
              <w:pStyle w:val="A-"/>
            </w:pPr>
            <w:r>
              <w:t>0.5mg/kg</w:t>
            </w:r>
          </w:p>
        </w:tc>
        <w:tc>
          <w:tcPr>
            <w:tcW w:w="317" w:type="pct"/>
            <w:shd w:val="clear" w:color="auto" w:fill="auto"/>
            <w:tcMar>
              <w:top w:w="15" w:type="dxa"/>
              <w:left w:w="15" w:type="dxa"/>
              <w:bottom w:w="0" w:type="dxa"/>
              <w:right w:w="15" w:type="dxa"/>
            </w:tcMar>
            <w:vAlign w:val="center"/>
          </w:tcPr>
          <w:p w14:paraId="4C18A7B1" w14:textId="77777777" w:rsidR="002E474C" w:rsidRDefault="00000000">
            <w:pPr>
              <w:pStyle w:val="A-"/>
            </w:pPr>
            <w:r>
              <w:t>达标</w:t>
            </w:r>
          </w:p>
        </w:tc>
      </w:tr>
      <w:tr w:rsidR="002E474C" w14:paraId="65EE21A6" w14:textId="77777777">
        <w:tc>
          <w:tcPr>
            <w:tcW w:w="757" w:type="pct"/>
            <w:shd w:val="clear" w:color="auto" w:fill="auto"/>
            <w:noWrap/>
            <w:tcMar>
              <w:top w:w="15" w:type="dxa"/>
              <w:left w:w="15" w:type="dxa"/>
              <w:bottom w:w="0" w:type="dxa"/>
              <w:right w:w="15" w:type="dxa"/>
            </w:tcMar>
            <w:vAlign w:val="center"/>
          </w:tcPr>
          <w:p w14:paraId="5BCA9B4F" w14:textId="77777777" w:rsidR="002E474C" w:rsidRDefault="00000000">
            <w:pPr>
              <w:pStyle w:val="A-"/>
            </w:pPr>
            <w:r>
              <w:t>1,4-</w:t>
            </w:r>
            <w:r>
              <w:t>二氯苯</w:t>
            </w:r>
          </w:p>
        </w:tc>
        <w:tc>
          <w:tcPr>
            <w:tcW w:w="652" w:type="pct"/>
            <w:shd w:val="clear" w:color="auto" w:fill="auto"/>
            <w:tcMar>
              <w:top w:w="15" w:type="dxa"/>
              <w:left w:w="15" w:type="dxa"/>
              <w:bottom w:w="0" w:type="dxa"/>
              <w:right w:w="15" w:type="dxa"/>
            </w:tcMar>
            <w:vAlign w:val="center"/>
          </w:tcPr>
          <w:p w14:paraId="06B516D8"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6C3A1A95" w14:textId="77777777" w:rsidR="002E474C" w:rsidRDefault="00000000">
            <w:pPr>
              <w:pStyle w:val="A-"/>
            </w:pPr>
            <w:r>
              <w:t>&lt;1.5</w:t>
            </w:r>
          </w:p>
        </w:tc>
        <w:tc>
          <w:tcPr>
            <w:tcW w:w="446" w:type="pct"/>
            <w:shd w:val="clear" w:color="auto" w:fill="auto"/>
            <w:tcMar>
              <w:top w:w="15" w:type="dxa"/>
              <w:left w:w="15" w:type="dxa"/>
              <w:bottom w:w="0" w:type="dxa"/>
              <w:right w:w="15" w:type="dxa"/>
            </w:tcMar>
            <w:vAlign w:val="center"/>
          </w:tcPr>
          <w:p w14:paraId="0C1AB63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7CD785A"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208F181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C9D27D1"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240D4C8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2D3CA098" w14:textId="77777777" w:rsidR="002E474C" w:rsidRDefault="00000000">
            <w:pPr>
              <w:pStyle w:val="A-"/>
            </w:pPr>
            <w:r>
              <w:t>20mg/kg</w:t>
            </w:r>
          </w:p>
        </w:tc>
        <w:tc>
          <w:tcPr>
            <w:tcW w:w="317" w:type="pct"/>
            <w:shd w:val="clear" w:color="auto" w:fill="auto"/>
            <w:tcMar>
              <w:top w:w="15" w:type="dxa"/>
              <w:left w:w="15" w:type="dxa"/>
              <w:bottom w:w="0" w:type="dxa"/>
              <w:right w:w="15" w:type="dxa"/>
            </w:tcMar>
            <w:vAlign w:val="center"/>
          </w:tcPr>
          <w:p w14:paraId="09E9B5BF" w14:textId="77777777" w:rsidR="002E474C" w:rsidRDefault="00000000">
            <w:pPr>
              <w:pStyle w:val="A-"/>
            </w:pPr>
            <w:r>
              <w:t>达标</w:t>
            </w:r>
          </w:p>
        </w:tc>
      </w:tr>
      <w:tr w:rsidR="002E474C" w14:paraId="2BF95B90" w14:textId="77777777">
        <w:tc>
          <w:tcPr>
            <w:tcW w:w="757" w:type="pct"/>
            <w:shd w:val="clear" w:color="auto" w:fill="auto"/>
            <w:noWrap/>
            <w:tcMar>
              <w:top w:w="15" w:type="dxa"/>
              <w:left w:w="15" w:type="dxa"/>
              <w:bottom w:w="0" w:type="dxa"/>
              <w:right w:w="15" w:type="dxa"/>
            </w:tcMar>
            <w:vAlign w:val="center"/>
          </w:tcPr>
          <w:p w14:paraId="7B8DBF28" w14:textId="77777777" w:rsidR="002E474C" w:rsidRDefault="00000000">
            <w:pPr>
              <w:pStyle w:val="A-"/>
            </w:pPr>
            <w:r>
              <w:t>1,2-</w:t>
            </w:r>
            <w:r>
              <w:t>二氯苯</w:t>
            </w:r>
          </w:p>
        </w:tc>
        <w:tc>
          <w:tcPr>
            <w:tcW w:w="652" w:type="pct"/>
            <w:shd w:val="clear" w:color="auto" w:fill="auto"/>
            <w:tcMar>
              <w:top w:w="15" w:type="dxa"/>
              <w:left w:w="15" w:type="dxa"/>
              <w:bottom w:w="0" w:type="dxa"/>
              <w:right w:w="15" w:type="dxa"/>
            </w:tcMar>
            <w:vAlign w:val="center"/>
          </w:tcPr>
          <w:p w14:paraId="07EB6A47"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6D58EC4C" w14:textId="77777777" w:rsidR="002E474C" w:rsidRDefault="00000000">
            <w:pPr>
              <w:pStyle w:val="A-"/>
            </w:pPr>
            <w:r>
              <w:t>&lt;1.5</w:t>
            </w:r>
          </w:p>
        </w:tc>
        <w:tc>
          <w:tcPr>
            <w:tcW w:w="446" w:type="pct"/>
            <w:shd w:val="clear" w:color="auto" w:fill="auto"/>
            <w:tcMar>
              <w:top w:w="15" w:type="dxa"/>
              <w:left w:w="15" w:type="dxa"/>
              <w:bottom w:w="0" w:type="dxa"/>
              <w:right w:w="15" w:type="dxa"/>
            </w:tcMar>
            <w:vAlign w:val="center"/>
          </w:tcPr>
          <w:p w14:paraId="076E1CE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6572548"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783DF57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BFE22C0" w14:textId="77777777" w:rsidR="002E474C" w:rsidRDefault="00000000">
            <w:pPr>
              <w:pStyle w:val="A-"/>
            </w:pPr>
            <w:r>
              <w:t>&lt;1.5</w:t>
            </w:r>
          </w:p>
        </w:tc>
        <w:tc>
          <w:tcPr>
            <w:tcW w:w="448" w:type="pct"/>
            <w:shd w:val="clear" w:color="auto" w:fill="auto"/>
            <w:tcMar>
              <w:top w:w="15" w:type="dxa"/>
              <w:left w:w="15" w:type="dxa"/>
              <w:bottom w:w="0" w:type="dxa"/>
              <w:right w:w="15" w:type="dxa"/>
            </w:tcMar>
            <w:vAlign w:val="center"/>
          </w:tcPr>
          <w:p w14:paraId="5F882831"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57AD72A" w14:textId="77777777" w:rsidR="002E474C" w:rsidRDefault="00000000">
            <w:pPr>
              <w:pStyle w:val="A-"/>
            </w:pPr>
            <w:r>
              <w:t>560mg/kg</w:t>
            </w:r>
          </w:p>
        </w:tc>
        <w:tc>
          <w:tcPr>
            <w:tcW w:w="317" w:type="pct"/>
            <w:shd w:val="clear" w:color="auto" w:fill="auto"/>
            <w:tcMar>
              <w:top w:w="15" w:type="dxa"/>
              <w:left w:w="15" w:type="dxa"/>
              <w:bottom w:w="0" w:type="dxa"/>
              <w:right w:w="15" w:type="dxa"/>
            </w:tcMar>
            <w:vAlign w:val="center"/>
          </w:tcPr>
          <w:p w14:paraId="549D274B" w14:textId="77777777" w:rsidR="002E474C" w:rsidRDefault="00000000">
            <w:pPr>
              <w:pStyle w:val="A-"/>
            </w:pPr>
            <w:r>
              <w:t>达标</w:t>
            </w:r>
          </w:p>
        </w:tc>
      </w:tr>
      <w:tr w:rsidR="002E474C" w14:paraId="64A52836" w14:textId="77777777">
        <w:tc>
          <w:tcPr>
            <w:tcW w:w="757" w:type="pct"/>
            <w:shd w:val="clear" w:color="auto" w:fill="auto"/>
            <w:noWrap/>
            <w:tcMar>
              <w:top w:w="15" w:type="dxa"/>
              <w:left w:w="15" w:type="dxa"/>
              <w:bottom w:w="0" w:type="dxa"/>
              <w:right w:w="15" w:type="dxa"/>
            </w:tcMar>
            <w:vAlign w:val="center"/>
          </w:tcPr>
          <w:p w14:paraId="183A6BB2" w14:textId="77777777" w:rsidR="002E474C" w:rsidRDefault="00000000">
            <w:pPr>
              <w:pStyle w:val="A-"/>
            </w:pPr>
            <w:r>
              <w:t>氯甲烷</w:t>
            </w:r>
          </w:p>
        </w:tc>
        <w:tc>
          <w:tcPr>
            <w:tcW w:w="652" w:type="pct"/>
            <w:shd w:val="clear" w:color="auto" w:fill="auto"/>
            <w:tcMar>
              <w:top w:w="15" w:type="dxa"/>
              <w:left w:w="15" w:type="dxa"/>
              <w:bottom w:w="0" w:type="dxa"/>
              <w:right w:w="15" w:type="dxa"/>
            </w:tcMar>
            <w:vAlign w:val="center"/>
          </w:tcPr>
          <w:p w14:paraId="144250FA" w14:textId="77777777" w:rsidR="002E474C" w:rsidRDefault="00000000">
            <w:pPr>
              <w:pStyle w:val="A-"/>
            </w:pPr>
            <w:proofErr w:type="spellStart"/>
            <w:r>
              <w:t>μg</w:t>
            </w:r>
            <w:proofErr w:type="spellEnd"/>
            <w:r>
              <w:t>/kg</w:t>
            </w:r>
          </w:p>
        </w:tc>
        <w:tc>
          <w:tcPr>
            <w:tcW w:w="373" w:type="pct"/>
            <w:shd w:val="clear" w:color="auto" w:fill="auto"/>
            <w:tcMar>
              <w:top w:w="15" w:type="dxa"/>
              <w:left w:w="15" w:type="dxa"/>
              <w:bottom w:w="0" w:type="dxa"/>
              <w:right w:w="15" w:type="dxa"/>
            </w:tcMar>
            <w:vAlign w:val="center"/>
          </w:tcPr>
          <w:p w14:paraId="4F293AF8" w14:textId="77777777" w:rsidR="002E474C" w:rsidRDefault="00000000">
            <w:pPr>
              <w:pStyle w:val="A-"/>
            </w:pPr>
            <w:r>
              <w:t>&lt;1.0</w:t>
            </w:r>
          </w:p>
        </w:tc>
        <w:tc>
          <w:tcPr>
            <w:tcW w:w="446" w:type="pct"/>
            <w:shd w:val="clear" w:color="auto" w:fill="auto"/>
            <w:tcMar>
              <w:top w:w="15" w:type="dxa"/>
              <w:left w:w="15" w:type="dxa"/>
              <w:bottom w:w="0" w:type="dxa"/>
              <w:right w:w="15" w:type="dxa"/>
            </w:tcMar>
            <w:vAlign w:val="center"/>
          </w:tcPr>
          <w:p w14:paraId="7BC8261D"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86B2790"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51D9910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29ECCCF" w14:textId="77777777" w:rsidR="002E474C" w:rsidRDefault="00000000">
            <w:pPr>
              <w:pStyle w:val="A-"/>
            </w:pPr>
            <w:r>
              <w:t>&lt;1.0</w:t>
            </w:r>
          </w:p>
        </w:tc>
        <w:tc>
          <w:tcPr>
            <w:tcW w:w="448" w:type="pct"/>
            <w:shd w:val="clear" w:color="auto" w:fill="auto"/>
            <w:tcMar>
              <w:top w:w="15" w:type="dxa"/>
              <w:left w:w="15" w:type="dxa"/>
              <w:bottom w:w="0" w:type="dxa"/>
              <w:right w:w="15" w:type="dxa"/>
            </w:tcMar>
            <w:vAlign w:val="center"/>
          </w:tcPr>
          <w:p w14:paraId="4123EB4E"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A06DB77" w14:textId="77777777" w:rsidR="002E474C" w:rsidRDefault="00000000">
            <w:pPr>
              <w:pStyle w:val="A-"/>
            </w:pPr>
            <w:r>
              <w:t>37mg/kg</w:t>
            </w:r>
          </w:p>
        </w:tc>
        <w:tc>
          <w:tcPr>
            <w:tcW w:w="317" w:type="pct"/>
            <w:shd w:val="clear" w:color="auto" w:fill="auto"/>
            <w:tcMar>
              <w:top w:w="15" w:type="dxa"/>
              <w:left w:w="15" w:type="dxa"/>
              <w:bottom w:w="0" w:type="dxa"/>
              <w:right w:w="15" w:type="dxa"/>
            </w:tcMar>
            <w:vAlign w:val="center"/>
          </w:tcPr>
          <w:p w14:paraId="141E2CB0" w14:textId="77777777" w:rsidR="002E474C" w:rsidRDefault="00000000">
            <w:pPr>
              <w:pStyle w:val="A-"/>
            </w:pPr>
            <w:r>
              <w:t>达标</w:t>
            </w:r>
          </w:p>
        </w:tc>
      </w:tr>
      <w:tr w:rsidR="002E474C" w14:paraId="00B32FB1" w14:textId="77777777">
        <w:tc>
          <w:tcPr>
            <w:tcW w:w="757" w:type="pct"/>
            <w:shd w:val="clear" w:color="auto" w:fill="auto"/>
            <w:noWrap/>
            <w:tcMar>
              <w:top w:w="15" w:type="dxa"/>
              <w:left w:w="15" w:type="dxa"/>
              <w:bottom w:w="0" w:type="dxa"/>
              <w:right w:w="15" w:type="dxa"/>
            </w:tcMar>
            <w:vAlign w:val="center"/>
          </w:tcPr>
          <w:p w14:paraId="2F049C60" w14:textId="77777777" w:rsidR="002E474C" w:rsidRDefault="00000000">
            <w:pPr>
              <w:pStyle w:val="A-"/>
            </w:pPr>
            <w:r>
              <w:t>硝基苯</w:t>
            </w:r>
          </w:p>
        </w:tc>
        <w:tc>
          <w:tcPr>
            <w:tcW w:w="652" w:type="pct"/>
            <w:shd w:val="clear" w:color="auto" w:fill="auto"/>
            <w:tcMar>
              <w:top w:w="15" w:type="dxa"/>
              <w:left w:w="15" w:type="dxa"/>
              <w:bottom w:w="0" w:type="dxa"/>
              <w:right w:w="15" w:type="dxa"/>
            </w:tcMar>
            <w:vAlign w:val="center"/>
          </w:tcPr>
          <w:p w14:paraId="5EEFD2E9"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317B0BCA" w14:textId="77777777" w:rsidR="002E474C" w:rsidRDefault="00000000">
            <w:pPr>
              <w:pStyle w:val="A-"/>
            </w:pPr>
            <w:r>
              <w:t>&lt;0.09</w:t>
            </w:r>
          </w:p>
        </w:tc>
        <w:tc>
          <w:tcPr>
            <w:tcW w:w="446" w:type="pct"/>
            <w:shd w:val="clear" w:color="auto" w:fill="auto"/>
            <w:tcMar>
              <w:top w:w="15" w:type="dxa"/>
              <w:left w:w="15" w:type="dxa"/>
              <w:bottom w:w="0" w:type="dxa"/>
              <w:right w:w="15" w:type="dxa"/>
            </w:tcMar>
            <w:vAlign w:val="center"/>
          </w:tcPr>
          <w:p w14:paraId="58800160"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1C1942B" w14:textId="77777777" w:rsidR="002E474C" w:rsidRDefault="00000000">
            <w:pPr>
              <w:pStyle w:val="A-"/>
            </w:pPr>
            <w:r>
              <w:t>&lt;0.09</w:t>
            </w:r>
          </w:p>
        </w:tc>
        <w:tc>
          <w:tcPr>
            <w:tcW w:w="448" w:type="pct"/>
            <w:shd w:val="clear" w:color="auto" w:fill="auto"/>
            <w:tcMar>
              <w:top w:w="15" w:type="dxa"/>
              <w:left w:w="15" w:type="dxa"/>
              <w:bottom w:w="0" w:type="dxa"/>
              <w:right w:w="15" w:type="dxa"/>
            </w:tcMar>
            <w:vAlign w:val="center"/>
          </w:tcPr>
          <w:p w14:paraId="3A5E1CB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780BCA6" w14:textId="77777777" w:rsidR="002E474C" w:rsidRDefault="00000000">
            <w:pPr>
              <w:pStyle w:val="A-"/>
            </w:pPr>
            <w:r>
              <w:t>&lt;0.09</w:t>
            </w:r>
          </w:p>
        </w:tc>
        <w:tc>
          <w:tcPr>
            <w:tcW w:w="448" w:type="pct"/>
            <w:shd w:val="clear" w:color="auto" w:fill="auto"/>
            <w:tcMar>
              <w:top w:w="15" w:type="dxa"/>
              <w:left w:w="15" w:type="dxa"/>
              <w:bottom w:w="0" w:type="dxa"/>
              <w:right w:w="15" w:type="dxa"/>
            </w:tcMar>
            <w:vAlign w:val="center"/>
          </w:tcPr>
          <w:p w14:paraId="30D2052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41D2CCC" w14:textId="77777777" w:rsidR="002E474C" w:rsidRDefault="00000000">
            <w:pPr>
              <w:pStyle w:val="A-"/>
            </w:pPr>
            <w:r>
              <w:t>76mg/kg</w:t>
            </w:r>
          </w:p>
        </w:tc>
        <w:tc>
          <w:tcPr>
            <w:tcW w:w="317" w:type="pct"/>
            <w:shd w:val="clear" w:color="auto" w:fill="auto"/>
            <w:tcMar>
              <w:top w:w="15" w:type="dxa"/>
              <w:left w:w="15" w:type="dxa"/>
              <w:bottom w:w="0" w:type="dxa"/>
              <w:right w:w="15" w:type="dxa"/>
            </w:tcMar>
            <w:vAlign w:val="center"/>
          </w:tcPr>
          <w:p w14:paraId="6E4C5058" w14:textId="77777777" w:rsidR="002E474C" w:rsidRDefault="00000000">
            <w:pPr>
              <w:pStyle w:val="A-"/>
            </w:pPr>
            <w:r>
              <w:t>达标</w:t>
            </w:r>
          </w:p>
        </w:tc>
      </w:tr>
      <w:tr w:rsidR="002E474C" w14:paraId="5091D218" w14:textId="77777777">
        <w:tc>
          <w:tcPr>
            <w:tcW w:w="757" w:type="pct"/>
            <w:shd w:val="clear" w:color="auto" w:fill="auto"/>
            <w:noWrap/>
            <w:tcMar>
              <w:top w:w="15" w:type="dxa"/>
              <w:left w:w="15" w:type="dxa"/>
              <w:bottom w:w="0" w:type="dxa"/>
              <w:right w:w="15" w:type="dxa"/>
            </w:tcMar>
            <w:vAlign w:val="center"/>
          </w:tcPr>
          <w:p w14:paraId="7539462E" w14:textId="77777777" w:rsidR="002E474C" w:rsidRDefault="00000000">
            <w:pPr>
              <w:pStyle w:val="A-"/>
            </w:pPr>
            <w:r>
              <w:t>苯胺</w:t>
            </w:r>
          </w:p>
        </w:tc>
        <w:tc>
          <w:tcPr>
            <w:tcW w:w="652" w:type="pct"/>
            <w:shd w:val="clear" w:color="auto" w:fill="auto"/>
            <w:tcMar>
              <w:top w:w="15" w:type="dxa"/>
              <w:left w:w="15" w:type="dxa"/>
              <w:bottom w:w="0" w:type="dxa"/>
              <w:right w:w="15" w:type="dxa"/>
            </w:tcMar>
            <w:vAlign w:val="center"/>
          </w:tcPr>
          <w:p w14:paraId="31464B59"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0C56547"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5FCB4DB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571B902"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46D32C70"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E5C8CB2"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2F8E517F"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1D93DE5" w14:textId="77777777" w:rsidR="002E474C" w:rsidRDefault="00000000">
            <w:pPr>
              <w:pStyle w:val="A-"/>
            </w:pPr>
            <w:r>
              <w:t>260mg/kg</w:t>
            </w:r>
          </w:p>
        </w:tc>
        <w:tc>
          <w:tcPr>
            <w:tcW w:w="317" w:type="pct"/>
            <w:shd w:val="clear" w:color="auto" w:fill="auto"/>
            <w:tcMar>
              <w:top w:w="15" w:type="dxa"/>
              <w:left w:w="15" w:type="dxa"/>
              <w:bottom w:w="0" w:type="dxa"/>
              <w:right w:w="15" w:type="dxa"/>
            </w:tcMar>
            <w:vAlign w:val="center"/>
          </w:tcPr>
          <w:p w14:paraId="06283BFB" w14:textId="77777777" w:rsidR="002E474C" w:rsidRDefault="00000000">
            <w:pPr>
              <w:pStyle w:val="A-"/>
            </w:pPr>
            <w:r>
              <w:t>达标</w:t>
            </w:r>
          </w:p>
        </w:tc>
      </w:tr>
      <w:tr w:rsidR="002E474C" w14:paraId="0219583D" w14:textId="77777777">
        <w:tc>
          <w:tcPr>
            <w:tcW w:w="757" w:type="pct"/>
            <w:shd w:val="clear" w:color="auto" w:fill="auto"/>
            <w:noWrap/>
            <w:tcMar>
              <w:top w:w="15" w:type="dxa"/>
              <w:left w:w="15" w:type="dxa"/>
              <w:bottom w:w="0" w:type="dxa"/>
              <w:right w:w="15" w:type="dxa"/>
            </w:tcMar>
            <w:vAlign w:val="center"/>
          </w:tcPr>
          <w:p w14:paraId="0535BF40" w14:textId="77777777" w:rsidR="002E474C" w:rsidRDefault="00000000">
            <w:pPr>
              <w:pStyle w:val="A-"/>
            </w:pPr>
            <w:r>
              <w:t>2-</w:t>
            </w:r>
            <w:r>
              <w:t>氯苯酚</w:t>
            </w:r>
          </w:p>
        </w:tc>
        <w:tc>
          <w:tcPr>
            <w:tcW w:w="652" w:type="pct"/>
            <w:shd w:val="clear" w:color="auto" w:fill="auto"/>
            <w:tcMar>
              <w:top w:w="15" w:type="dxa"/>
              <w:left w:w="15" w:type="dxa"/>
              <w:bottom w:w="0" w:type="dxa"/>
              <w:right w:w="15" w:type="dxa"/>
            </w:tcMar>
            <w:vAlign w:val="center"/>
          </w:tcPr>
          <w:p w14:paraId="79F6AAF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7092F08" w14:textId="77777777" w:rsidR="002E474C" w:rsidRDefault="00000000">
            <w:pPr>
              <w:pStyle w:val="A-"/>
            </w:pPr>
            <w:r>
              <w:t>&lt;0.06</w:t>
            </w:r>
          </w:p>
        </w:tc>
        <w:tc>
          <w:tcPr>
            <w:tcW w:w="446" w:type="pct"/>
            <w:shd w:val="clear" w:color="auto" w:fill="auto"/>
            <w:tcMar>
              <w:top w:w="15" w:type="dxa"/>
              <w:left w:w="15" w:type="dxa"/>
              <w:bottom w:w="0" w:type="dxa"/>
              <w:right w:w="15" w:type="dxa"/>
            </w:tcMar>
            <w:vAlign w:val="center"/>
          </w:tcPr>
          <w:p w14:paraId="065DF80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E01389A" w14:textId="77777777" w:rsidR="002E474C" w:rsidRDefault="00000000">
            <w:pPr>
              <w:pStyle w:val="A-"/>
            </w:pPr>
            <w:r>
              <w:t>&lt;0.06</w:t>
            </w:r>
          </w:p>
        </w:tc>
        <w:tc>
          <w:tcPr>
            <w:tcW w:w="448" w:type="pct"/>
            <w:shd w:val="clear" w:color="auto" w:fill="auto"/>
            <w:tcMar>
              <w:top w:w="15" w:type="dxa"/>
              <w:left w:w="15" w:type="dxa"/>
              <w:bottom w:w="0" w:type="dxa"/>
              <w:right w:w="15" w:type="dxa"/>
            </w:tcMar>
            <w:vAlign w:val="center"/>
          </w:tcPr>
          <w:p w14:paraId="6FE542C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94006DD" w14:textId="77777777" w:rsidR="002E474C" w:rsidRDefault="00000000">
            <w:pPr>
              <w:pStyle w:val="A-"/>
            </w:pPr>
            <w:r>
              <w:t>&lt;0.06</w:t>
            </w:r>
          </w:p>
        </w:tc>
        <w:tc>
          <w:tcPr>
            <w:tcW w:w="448" w:type="pct"/>
            <w:shd w:val="clear" w:color="auto" w:fill="auto"/>
            <w:tcMar>
              <w:top w:w="15" w:type="dxa"/>
              <w:left w:w="15" w:type="dxa"/>
              <w:bottom w:w="0" w:type="dxa"/>
              <w:right w:w="15" w:type="dxa"/>
            </w:tcMar>
            <w:vAlign w:val="center"/>
          </w:tcPr>
          <w:p w14:paraId="38543137"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0F0D829" w14:textId="77777777" w:rsidR="002E474C" w:rsidRDefault="00000000">
            <w:pPr>
              <w:pStyle w:val="A-"/>
            </w:pPr>
            <w:r>
              <w:t>2256mg/kg</w:t>
            </w:r>
          </w:p>
        </w:tc>
        <w:tc>
          <w:tcPr>
            <w:tcW w:w="317" w:type="pct"/>
            <w:shd w:val="clear" w:color="auto" w:fill="auto"/>
            <w:tcMar>
              <w:top w:w="15" w:type="dxa"/>
              <w:left w:w="15" w:type="dxa"/>
              <w:bottom w:w="0" w:type="dxa"/>
              <w:right w:w="15" w:type="dxa"/>
            </w:tcMar>
            <w:vAlign w:val="center"/>
          </w:tcPr>
          <w:p w14:paraId="02A153D2" w14:textId="77777777" w:rsidR="002E474C" w:rsidRDefault="00000000">
            <w:pPr>
              <w:pStyle w:val="A-"/>
            </w:pPr>
            <w:r>
              <w:t>达标</w:t>
            </w:r>
          </w:p>
        </w:tc>
      </w:tr>
      <w:tr w:rsidR="002E474C" w14:paraId="389FFDD1" w14:textId="77777777">
        <w:tc>
          <w:tcPr>
            <w:tcW w:w="757" w:type="pct"/>
            <w:shd w:val="clear" w:color="auto" w:fill="auto"/>
            <w:noWrap/>
            <w:tcMar>
              <w:top w:w="15" w:type="dxa"/>
              <w:left w:w="15" w:type="dxa"/>
              <w:bottom w:w="0" w:type="dxa"/>
              <w:right w:w="15" w:type="dxa"/>
            </w:tcMar>
            <w:vAlign w:val="center"/>
          </w:tcPr>
          <w:p w14:paraId="215AD170" w14:textId="77777777" w:rsidR="002E474C" w:rsidRDefault="00000000">
            <w:pPr>
              <w:pStyle w:val="A-"/>
            </w:pPr>
            <w:r>
              <w:t>苯并〔</w:t>
            </w:r>
            <w:r>
              <w:t>a</w:t>
            </w:r>
            <w:r>
              <w:t>〕蒽</w:t>
            </w:r>
          </w:p>
        </w:tc>
        <w:tc>
          <w:tcPr>
            <w:tcW w:w="652" w:type="pct"/>
            <w:shd w:val="clear" w:color="auto" w:fill="auto"/>
            <w:tcMar>
              <w:top w:w="15" w:type="dxa"/>
              <w:left w:w="15" w:type="dxa"/>
              <w:bottom w:w="0" w:type="dxa"/>
              <w:right w:w="15" w:type="dxa"/>
            </w:tcMar>
            <w:vAlign w:val="center"/>
          </w:tcPr>
          <w:p w14:paraId="342185C8"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5162286"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3D37327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998CE04"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4624127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0E47295"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070CAFCD"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CC0EDB8" w14:textId="77777777" w:rsidR="002E474C" w:rsidRDefault="00000000">
            <w:pPr>
              <w:pStyle w:val="A-"/>
            </w:pPr>
            <w:r>
              <w:t>15mg/kg</w:t>
            </w:r>
          </w:p>
        </w:tc>
        <w:tc>
          <w:tcPr>
            <w:tcW w:w="317" w:type="pct"/>
            <w:shd w:val="clear" w:color="auto" w:fill="auto"/>
            <w:tcMar>
              <w:top w:w="15" w:type="dxa"/>
              <w:left w:w="15" w:type="dxa"/>
              <w:bottom w:w="0" w:type="dxa"/>
              <w:right w:w="15" w:type="dxa"/>
            </w:tcMar>
            <w:vAlign w:val="center"/>
          </w:tcPr>
          <w:p w14:paraId="606C5FB1" w14:textId="77777777" w:rsidR="002E474C" w:rsidRDefault="00000000">
            <w:pPr>
              <w:pStyle w:val="A-"/>
            </w:pPr>
            <w:r>
              <w:t>达标</w:t>
            </w:r>
          </w:p>
        </w:tc>
      </w:tr>
      <w:tr w:rsidR="002E474C" w14:paraId="150F5E81" w14:textId="77777777">
        <w:tc>
          <w:tcPr>
            <w:tcW w:w="757" w:type="pct"/>
            <w:shd w:val="clear" w:color="auto" w:fill="auto"/>
            <w:noWrap/>
            <w:tcMar>
              <w:top w:w="15" w:type="dxa"/>
              <w:left w:w="15" w:type="dxa"/>
              <w:bottom w:w="0" w:type="dxa"/>
              <w:right w:w="15" w:type="dxa"/>
            </w:tcMar>
            <w:vAlign w:val="center"/>
          </w:tcPr>
          <w:p w14:paraId="6CD8FFB5" w14:textId="77777777" w:rsidR="002E474C" w:rsidRDefault="00000000">
            <w:pPr>
              <w:pStyle w:val="A-"/>
            </w:pPr>
            <w:r>
              <w:lastRenderedPageBreak/>
              <w:t>苯并〔</w:t>
            </w:r>
            <w:r>
              <w:t>a</w:t>
            </w:r>
            <w:r>
              <w:t>〕芘</w:t>
            </w:r>
          </w:p>
        </w:tc>
        <w:tc>
          <w:tcPr>
            <w:tcW w:w="652" w:type="pct"/>
            <w:shd w:val="clear" w:color="auto" w:fill="auto"/>
            <w:tcMar>
              <w:top w:w="15" w:type="dxa"/>
              <w:left w:w="15" w:type="dxa"/>
              <w:bottom w:w="0" w:type="dxa"/>
              <w:right w:w="15" w:type="dxa"/>
            </w:tcMar>
            <w:vAlign w:val="center"/>
          </w:tcPr>
          <w:p w14:paraId="5BD6B937"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578C5390"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3D6E9A5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72321EA"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79D8FDF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4933B5B"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6F58D112"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D599687" w14:textId="77777777" w:rsidR="002E474C" w:rsidRDefault="00000000">
            <w:pPr>
              <w:pStyle w:val="A-"/>
            </w:pPr>
            <w:r>
              <w:t>1.5mg/kg</w:t>
            </w:r>
          </w:p>
        </w:tc>
        <w:tc>
          <w:tcPr>
            <w:tcW w:w="317" w:type="pct"/>
            <w:shd w:val="clear" w:color="auto" w:fill="auto"/>
            <w:tcMar>
              <w:top w:w="15" w:type="dxa"/>
              <w:left w:w="15" w:type="dxa"/>
              <w:bottom w:w="0" w:type="dxa"/>
              <w:right w:w="15" w:type="dxa"/>
            </w:tcMar>
            <w:vAlign w:val="center"/>
          </w:tcPr>
          <w:p w14:paraId="30F07D9B" w14:textId="77777777" w:rsidR="002E474C" w:rsidRDefault="00000000">
            <w:pPr>
              <w:pStyle w:val="A-"/>
            </w:pPr>
            <w:r>
              <w:t>达标</w:t>
            </w:r>
          </w:p>
        </w:tc>
      </w:tr>
      <w:tr w:rsidR="002E474C" w14:paraId="5CD90DC3" w14:textId="77777777">
        <w:tc>
          <w:tcPr>
            <w:tcW w:w="757" w:type="pct"/>
            <w:shd w:val="clear" w:color="auto" w:fill="auto"/>
            <w:noWrap/>
            <w:tcMar>
              <w:top w:w="15" w:type="dxa"/>
              <w:left w:w="15" w:type="dxa"/>
              <w:bottom w:w="0" w:type="dxa"/>
              <w:right w:w="15" w:type="dxa"/>
            </w:tcMar>
            <w:vAlign w:val="center"/>
          </w:tcPr>
          <w:p w14:paraId="09A94160" w14:textId="77777777" w:rsidR="002E474C" w:rsidRDefault="00000000">
            <w:pPr>
              <w:pStyle w:val="A-"/>
            </w:pPr>
            <w:r>
              <w:t>苯并</w:t>
            </w:r>
            <w:r>
              <w:t>[b]</w:t>
            </w:r>
            <w:r>
              <w:t>荧蒽</w:t>
            </w:r>
          </w:p>
        </w:tc>
        <w:tc>
          <w:tcPr>
            <w:tcW w:w="652" w:type="pct"/>
            <w:shd w:val="clear" w:color="auto" w:fill="auto"/>
            <w:tcMar>
              <w:top w:w="15" w:type="dxa"/>
              <w:left w:w="15" w:type="dxa"/>
              <w:bottom w:w="0" w:type="dxa"/>
              <w:right w:w="15" w:type="dxa"/>
            </w:tcMar>
            <w:vAlign w:val="center"/>
          </w:tcPr>
          <w:p w14:paraId="3D3DB06E"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2A63A6A" w14:textId="77777777" w:rsidR="002E474C" w:rsidRDefault="00000000">
            <w:pPr>
              <w:pStyle w:val="A-"/>
            </w:pPr>
            <w:r>
              <w:t>&lt;0.2</w:t>
            </w:r>
          </w:p>
        </w:tc>
        <w:tc>
          <w:tcPr>
            <w:tcW w:w="446" w:type="pct"/>
            <w:shd w:val="clear" w:color="auto" w:fill="auto"/>
            <w:tcMar>
              <w:top w:w="15" w:type="dxa"/>
              <w:left w:w="15" w:type="dxa"/>
              <w:bottom w:w="0" w:type="dxa"/>
              <w:right w:w="15" w:type="dxa"/>
            </w:tcMar>
            <w:vAlign w:val="center"/>
          </w:tcPr>
          <w:p w14:paraId="3E1BAECD"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70DD474" w14:textId="77777777" w:rsidR="002E474C" w:rsidRDefault="00000000">
            <w:pPr>
              <w:pStyle w:val="A-"/>
            </w:pPr>
            <w:r>
              <w:t>&lt;0.2</w:t>
            </w:r>
          </w:p>
        </w:tc>
        <w:tc>
          <w:tcPr>
            <w:tcW w:w="448" w:type="pct"/>
            <w:shd w:val="clear" w:color="auto" w:fill="auto"/>
            <w:tcMar>
              <w:top w:w="15" w:type="dxa"/>
              <w:left w:w="15" w:type="dxa"/>
              <w:bottom w:w="0" w:type="dxa"/>
              <w:right w:w="15" w:type="dxa"/>
            </w:tcMar>
            <w:vAlign w:val="center"/>
          </w:tcPr>
          <w:p w14:paraId="789C38C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C3B5E46" w14:textId="77777777" w:rsidR="002E474C" w:rsidRDefault="00000000">
            <w:pPr>
              <w:pStyle w:val="A-"/>
            </w:pPr>
            <w:r>
              <w:t>&lt;0.2</w:t>
            </w:r>
          </w:p>
        </w:tc>
        <w:tc>
          <w:tcPr>
            <w:tcW w:w="448" w:type="pct"/>
            <w:shd w:val="clear" w:color="auto" w:fill="auto"/>
            <w:tcMar>
              <w:top w:w="15" w:type="dxa"/>
              <w:left w:w="15" w:type="dxa"/>
              <w:bottom w:w="0" w:type="dxa"/>
              <w:right w:w="15" w:type="dxa"/>
            </w:tcMar>
            <w:vAlign w:val="center"/>
          </w:tcPr>
          <w:p w14:paraId="2C9C6299"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67F3FC8" w14:textId="77777777" w:rsidR="002E474C" w:rsidRDefault="00000000">
            <w:pPr>
              <w:pStyle w:val="A-"/>
            </w:pPr>
            <w:r>
              <w:t>15mg/kg</w:t>
            </w:r>
          </w:p>
        </w:tc>
        <w:tc>
          <w:tcPr>
            <w:tcW w:w="317" w:type="pct"/>
            <w:shd w:val="clear" w:color="auto" w:fill="auto"/>
            <w:tcMar>
              <w:top w:w="15" w:type="dxa"/>
              <w:left w:w="15" w:type="dxa"/>
              <w:bottom w:w="0" w:type="dxa"/>
              <w:right w:w="15" w:type="dxa"/>
            </w:tcMar>
            <w:vAlign w:val="center"/>
          </w:tcPr>
          <w:p w14:paraId="5ABE97F9" w14:textId="77777777" w:rsidR="002E474C" w:rsidRDefault="00000000">
            <w:pPr>
              <w:pStyle w:val="A-"/>
            </w:pPr>
            <w:r>
              <w:t>达标</w:t>
            </w:r>
          </w:p>
        </w:tc>
      </w:tr>
      <w:tr w:rsidR="002E474C" w14:paraId="6A8DA02F" w14:textId="77777777">
        <w:tc>
          <w:tcPr>
            <w:tcW w:w="757" w:type="pct"/>
            <w:shd w:val="clear" w:color="auto" w:fill="auto"/>
            <w:noWrap/>
            <w:tcMar>
              <w:top w:w="15" w:type="dxa"/>
              <w:left w:w="15" w:type="dxa"/>
              <w:bottom w:w="0" w:type="dxa"/>
              <w:right w:w="15" w:type="dxa"/>
            </w:tcMar>
            <w:vAlign w:val="center"/>
          </w:tcPr>
          <w:p w14:paraId="0DF1D7AC" w14:textId="77777777" w:rsidR="002E474C" w:rsidRDefault="00000000">
            <w:pPr>
              <w:pStyle w:val="A-"/>
            </w:pPr>
            <w:r>
              <w:t>苯并</w:t>
            </w:r>
            <w:r>
              <w:t>[k]</w:t>
            </w:r>
            <w:r>
              <w:t>荧蒽</w:t>
            </w:r>
          </w:p>
        </w:tc>
        <w:tc>
          <w:tcPr>
            <w:tcW w:w="652" w:type="pct"/>
            <w:shd w:val="clear" w:color="auto" w:fill="auto"/>
            <w:tcMar>
              <w:top w:w="15" w:type="dxa"/>
              <w:left w:w="15" w:type="dxa"/>
              <w:bottom w:w="0" w:type="dxa"/>
              <w:right w:w="15" w:type="dxa"/>
            </w:tcMar>
            <w:vAlign w:val="center"/>
          </w:tcPr>
          <w:p w14:paraId="11EB8F32"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14E11D00"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1B22467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CF534CC"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35F71E1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44B64F3"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3B6CA86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2844C81" w14:textId="77777777" w:rsidR="002E474C" w:rsidRDefault="00000000">
            <w:pPr>
              <w:pStyle w:val="A-"/>
            </w:pPr>
            <w:r>
              <w:t>151mg/kg</w:t>
            </w:r>
          </w:p>
        </w:tc>
        <w:tc>
          <w:tcPr>
            <w:tcW w:w="317" w:type="pct"/>
            <w:shd w:val="clear" w:color="auto" w:fill="auto"/>
            <w:tcMar>
              <w:top w:w="15" w:type="dxa"/>
              <w:left w:w="15" w:type="dxa"/>
              <w:bottom w:w="0" w:type="dxa"/>
              <w:right w:w="15" w:type="dxa"/>
            </w:tcMar>
            <w:vAlign w:val="center"/>
          </w:tcPr>
          <w:p w14:paraId="3877E4B4" w14:textId="77777777" w:rsidR="002E474C" w:rsidRDefault="00000000">
            <w:pPr>
              <w:pStyle w:val="A-"/>
            </w:pPr>
            <w:r>
              <w:t>达标</w:t>
            </w:r>
          </w:p>
        </w:tc>
      </w:tr>
      <w:tr w:rsidR="002E474C" w14:paraId="5876C379" w14:textId="77777777">
        <w:tc>
          <w:tcPr>
            <w:tcW w:w="757" w:type="pct"/>
            <w:shd w:val="clear" w:color="auto" w:fill="auto"/>
            <w:noWrap/>
            <w:tcMar>
              <w:top w:w="15" w:type="dxa"/>
              <w:left w:w="15" w:type="dxa"/>
              <w:bottom w:w="0" w:type="dxa"/>
              <w:right w:w="15" w:type="dxa"/>
            </w:tcMar>
            <w:vAlign w:val="center"/>
          </w:tcPr>
          <w:p w14:paraId="56472043" w14:textId="77777777" w:rsidR="002E474C" w:rsidRDefault="00000000">
            <w:pPr>
              <w:pStyle w:val="A-"/>
            </w:pPr>
            <w:r>
              <w:t>䓛</w:t>
            </w:r>
          </w:p>
        </w:tc>
        <w:tc>
          <w:tcPr>
            <w:tcW w:w="652" w:type="pct"/>
            <w:shd w:val="clear" w:color="auto" w:fill="auto"/>
            <w:tcMar>
              <w:top w:w="15" w:type="dxa"/>
              <w:left w:w="15" w:type="dxa"/>
              <w:bottom w:w="0" w:type="dxa"/>
              <w:right w:w="15" w:type="dxa"/>
            </w:tcMar>
            <w:vAlign w:val="center"/>
          </w:tcPr>
          <w:p w14:paraId="01AD877B"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93324B0"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3A137E2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8DCA06D"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630336C9"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D5997E9"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412585C9"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78A3614" w14:textId="77777777" w:rsidR="002E474C" w:rsidRDefault="00000000">
            <w:pPr>
              <w:pStyle w:val="A-"/>
            </w:pPr>
            <w:r>
              <w:t>1293mg/kg</w:t>
            </w:r>
          </w:p>
        </w:tc>
        <w:tc>
          <w:tcPr>
            <w:tcW w:w="317" w:type="pct"/>
            <w:shd w:val="clear" w:color="auto" w:fill="auto"/>
            <w:tcMar>
              <w:top w:w="15" w:type="dxa"/>
              <w:left w:w="15" w:type="dxa"/>
              <w:bottom w:w="0" w:type="dxa"/>
              <w:right w:w="15" w:type="dxa"/>
            </w:tcMar>
            <w:vAlign w:val="center"/>
          </w:tcPr>
          <w:p w14:paraId="6C4970BC" w14:textId="77777777" w:rsidR="002E474C" w:rsidRDefault="00000000">
            <w:pPr>
              <w:pStyle w:val="A-"/>
            </w:pPr>
            <w:r>
              <w:t>达标</w:t>
            </w:r>
          </w:p>
        </w:tc>
      </w:tr>
      <w:tr w:rsidR="002E474C" w14:paraId="7C5DF2E3" w14:textId="77777777">
        <w:tc>
          <w:tcPr>
            <w:tcW w:w="757" w:type="pct"/>
            <w:shd w:val="clear" w:color="auto" w:fill="auto"/>
            <w:noWrap/>
            <w:tcMar>
              <w:top w:w="15" w:type="dxa"/>
              <w:left w:w="15" w:type="dxa"/>
              <w:bottom w:w="0" w:type="dxa"/>
              <w:right w:w="15" w:type="dxa"/>
            </w:tcMar>
            <w:vAlign w:val="center"/>
          </w:tcPr>
          <w:p w14:paraId="5F35D771" w14:textId="77777777" w:rsidR="002E474C" w:rsidRDefault="00000000">
            <w:pPr>
              <w:pStyle w:val="A-"/>
            </w:pPr>
            <w:r>
              <w:t>二苯并</w:t>
            </w:r>
            <w:r>
              <w:t>[a</w:t>
            </w:r>
            <w:r>
              <w:t>，</w:t>
            </w:r>
            <w:r>
              <w:t>h]</w:t>
            </w:r>
            <w:r>
              <w:t>蒽</w:t>
            </w:r>
          </w:p>
        </w:tc>
        <w:tc>
          <w:tcPr>
            <w:tcW w:w="652" w:type="pct"/>
            <w:shd w:val="clear" w:color="auto" w:fill="auto"/>
            <w:tcMar>
              <w:top w:w="15" w:type="dxa"/>
              <w:left w:w="15" w:type="dxa"/>
              <w:bottom w:w="0" w:type="dxa"/>
              <w:right w:w="15" w:type="dxa"/>
            </w:tcMar>
            <w:vAlign w:val="center"/>
          </w:tcPr>
          <w:p w14:paraId="2F96E5C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AF95044"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59892628"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D89A41E"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246A2011"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65CE7BF"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05334D60"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1C2C1E30" w14:textId="77777777" w:rsidR="002E474C" w:rsidRDefault="00000000">
            <w:pPr>
              <w:pStyle w:val="A-"/>
            </w:pPr>
            <w:r>
              <w:t>1.5mg/kg</w:t>
            </w:r>
          </w:p>
        </w:tc>
        <w:tc>
          <w:tcPr>
            <w:tcW w:w="317" w:type="pct"/>
            <w:shd w:val="clear" w:color="auto" w:fill="auto"/>
            <w:tcMar>
              <w:top w:w="15" w:type="dxa"/>
              <w:left w:w="15" w:type="dxa"/>
              <w:bottom w:w="0" w:type="dxa"/>
              <w:right w:w="15" w:type="dxa"/>
            </w:tcMar>
            <w:vAlign w:val="center"/>
          </w:tcPr>
          <w:p w14:paraId="638EE7C2" w14:textId="77777777" w:rsidR="002E474C" w:rsidRDefault="00000000">
            <w:pPr>
              <w:pStyle w:val="A-"/>
            </w:pPr>
            <w:r>
              <w:t>达标</w:t>
            </w:r>
          </w:p>
        </w:tc>
      </w:tr>
      <w:tr w:rsidR="002E474C" w14:paraId="41513CBC" w14:textId="77777777">
        <w:tc>
          <w:tcPr>
            <w:tcW w:w="757" w:type="pct"/>
            <w:shd w:val="clear" w:color="auto" w:fill="auto"/>
            <w:noWrap/>
            <w:tcMar>
              <w:top w:w="15" w:type="dxa"/>
              <w:left w:w="15" w:type="dxa"/>
              <w:bottom w:w="0" w:type="dxa"/>
              <w:right w:w="15" w:type="dxa"/>
            </w:tcMar>
            <w:vAlign w:val="center"/>
          </w:tcPr>
          <w:p w14:paraId="3B3BE082" w14:textId="77777777" w:rsidR="002E474C" w:rsidRDefault="00000000">
            <w:pPr>
              <w:pStyle w:val="A-"/>
            </w:pPr>
            <w:r>
              <w:t>茚并〔</w:t>
            </w:r>
            <w:r>
              <w:t>1</w:t>
            </w:r>
            <w:r>
              <w:t>，</w:t>
            </w:r>
            <w:r>
              <w:t>2</w:t>
            </w:r>
            <w:r>
              <w:t>，</w:t>
            </w:r>
            <w:r>
              <w:t>3-cd</w:t>
            </w:r>
            <w:r>
              <w:t>〕芘</w:t>
            </w:r>
          </w:p>
        </w:tc>
        <w:tc>
          <w:tcPr>
            <w:tcW w:w="652" w:type="pct"/>
            <w:shd w:val="clear" w:color="auto" w:fill="auto"/>
            <w:tcMar>
              <w:top w:w="15" w:type="dxa"/>
              <w:left w:w="15" w:type="dxa"/>
              <w:bottom w:w="0" w:type="dxa"/>
              <w:right w:w="15" w:type="dxa"/>
            </w:tcMar>
            <w:vAlign w:val="center"/>
          </w:tcPr>
          <w:p w14:paraId="0320A06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15B5C28B" w14:textId="77777777" w:rsidR="002E474C" w:rsidRDefault="00000000">
            <w:pPr>
              <w:pStyle w:val="A-"/>
            </w:pPr>
            <w:r>
              <w:t>&lt;0.1</w:t>
            </w:r>
          </w:p>
        </w:tc>
        <w:tc>
          <w:tcPr>
            <w:tcW w:w="446" w:type="pct"/>
            <w:shd w:val="clear" w:color="auto" w:fill="auto"/>
            <w:tcMar>
              <w:top w:w="15" w:type="dxa"/>
              <w:left w:w="15" w:type="dxa"/>
              <w:bottom w:w="0" w:type="dxa"/>
              <w:right w:w="15" w:type="dxa"/>
            </w:tcMar>
            <w:vAlign w:val="center"/>
          </w:tcPr>
          <w:p w14:paraId="78F51A6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6E02ABF8"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778C3F1A"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A5DCBF1" w14:textId="77777777" w:rsidR="002E474C" w:rsidRDefault="00000000">
            <w:pPr>
              <w:pStyle w:val="A-"/>
            </w:pPr>
            <w:r>
              <w:t>&lt;0.1</w:t>
            </w:r>
          </w:p>
        </w:tc>
        <w:tc>
          <w:tcPr>
            <w:tcW w:w="448" w:type="pct"/>
            <w:shd w:val="clear" w:color="auto" w:fill="auto"/>
            <w:tcMar>
              <w:top w:w="15" w:type="dxa"/>
              <w:left w:w="15" w:type="dxa"/>
              <w:bottom w:w="0" w:type="dxa"/>
              <w:right w:w="15" w:type="dxa"/>
            </w:tcMar>
            <w:vAlign w:val="center"/>
          </w:tcPr>
          <w:p w14:paraId="5B65D45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6C90B844" w14:textId="77777777" w:rsidR="002E474C" w:rsidRDefault="00000000">
            <w:pPr>
              <w:pStyle w:val="A-"/>
            </w:pPr>
            <w:r>
              <w:t>15mg/kg</w:t>
            </w:r>
          </w:p>
        </w:tc>
        <w:tc>
          <w:tcPr>
            <w:tcW w:w="317" w:type="pct"/>
            <w:shd w:val="clear" w:color="auto" w:fill="auto"/>
            <w:tcMar>
              <w:top w:w="15" w:type="dxa"/>
              <w:left w:w="15" w:type="dxa"/>
              <w:bottom w:w="0" w:type="dxa"/>
              <w:right w:w="15" w:type="dxa"/>
            </w:tcMar>
            <w:vAlign w:val="center"/>
          </w:tcPr>
          <w:p w14:paraId="06FA09A9" w14:textId="77777777" w:rsidR="002E474C" w:rsidRDefault="00000000">
            <w:pPr>
              <w:pStyle w:val="A-"/>
            </w:pPr>
            <w:r>
              <w:t>达标</w:t>
            </w:r>
          </w:p>
        </w:tc>
      </w:tr>
      <w:tr w:rsidR="002E474C" w14:paraId="0AFA053D" w14:textId="77777777">
        <w:tc>
          <w:tcPr>
            <w:tcW w:w="757" w:type="pct"/>
            <w:shd w:val="clear" w:color="auto" w:fill="auto"/>
            <w:noWrap/>
            <w:tcMar>
              <w:top w:w="15" w:type="dxa"/>
              <w:left w:w="15" w:type="dxa"/>
              <w:bottom w:w="0" w:type="dxa"/>
              <w:right w:w="15" w:type="dxa"/>
            </w:tcMar>
            <w:vAlign w:val="center"/>
          </w:tcPr>
          <w:p w14:paraId="6493D5CE" w14:textId="77777777" w:rsidR="002E474C" w:rsidRDefault="00000000">
            <w:pPr>
              <w:pStyle w:val="A-"/>
            </w:pPr>
            <w:r>
              <w:t>萘</w:t>
            </w:r>
          </w:p>
        </w:tc>
        <w:tc>
          <w:tcPr>
            <w:tcW w:w="652" w:type="pct"/>
            <w:shd w:val="clear" w:color="auto" w:fill="auto"/>
            <w:tcMar>
              <w:top w:w="15" w:type="dxa"/>
              <w:left w:w="15" w:type="dxa"/>
              <w:bottom w:w="0" w:type="dxa"/>
              <w:right w:w="15" w:type="dxa"/>
            </w:tcMar>
            <w:vAlign w:val="center"/>
          </w:tcPr>
          <w:p w14:paraId="167E340D"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29FA600" w14:textId="77777777" w:rsidR="002E474C" w:rsidRDefault="00000000">
            <w:pPr>
              <w:pStyle w:val="A-"/>
            </w:pPr>
            <w:r>
              <w:t>&lt;0.09</w:t>
            </w:r>
          </w:p>
        </w:tc>
        <w:tc>
          <w:tcPr>
            <w:tcW w:w="446" w:type="pct"/>
            <w:shd w:val="clear" w:color="auto" w:fill="auto"/>
            <w:tcMar>
              <w:top w:w="15" w:type="dxa"/>
              <w:left w:w="15" w:type="dxa"/>
              <w:bottom w:w="0" w:type="dxa"/>
              <w:right w:w="15" w:type="dxa"/>
            </w:tcMar>
            <w:vAlign w:val="center"/>
          </w:tcPr>
          <w:p w14:paraId="41B00838"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9382B5C" w14:textId="77777777" w:rsidR="002E474C" w:rsidRDefault="00000000">
            <w:pPr>
              <w:pStyle w:val="A-"/>
            </w:pPr>
            <w:r>
              <w:t>&lt;0.09</w:t>
            </w:r>
          </w:p>
        </w:tc>
        <w:tc>
          <w:tcPr>
            <w:tcW w:w="448" w:type="pct"/>
            <w:shd w:val="clear" w:color="auto" w:fill="auto"/>
            <w:tcMar>
              <w:top w:w="15" w:type="dxa"/>
              <w:left w:w="15" w:type="dxa"/>
              <w:bottom w:w="0" w:type="dxa"/>
              <w:right w:w="15" w:type="dxa"/>
            </w:tcMar>
            <w:vAlign w:val="center"/>
          </w:tcPr>
          <w:p w14:paraId="1AE418D4"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3B993D88" w14:textId="77777777" w:rsidR="002E474C" w:rsidRDefault="00000000">
            <w:pPr>
              <w:pStyle w:val="A-"/>
            </w:pPr>
            <w:r>
              <w:t>&lt;0.09</w:t>
            </w:r>
          </w:p>
        </w:tc>
        <w:tc>
          <w:tcPr>
            <w:tcW w:w="448" w:type="pct"/>
            <w:shd w:val="clear" w:color="auto" w:fill="auto"/>
            <w:tcMar>
              <w:top w:w="15" w:type="dxa"/>
              <w:left w:w="15" w:type="dxa"/>
              <w:bottom w:w="0" w:type="dxa"/>
              <w:right w:w="15" w:type="dxa"/>
            </w:tcMar>
            <w:vAlign w:val="center"/>
          </w:tcPr>
          <w:p w14:paraId="00DA4CF2"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51C69EC7" w14:textId="77777777" w:rsidR="002E474C" w:rsidRDefault="00000000">
            <w:pPr>
              <w:pStyle w:val="A-"/>
            </w:pPr>
            <w:r>
              <w:t>70mg/kg</w:t>
            </w:r>
          </w:p>
        </w:tc>
        <w:tc>
          <w:tcPr>
            <w:tcW w:w="317" w:type="pct"/>
            <w:shd w:val="clear" w:color="auto" w:fill="auto"/>
            <w:tcMar>
              <w:top w:w="15" w:type="dxa"/>
              <w:left w:w="15" w:type="dxa"/>
              <w:bottom w:w="0" w:type="dxa"/>
              <w:right w:w="15" w:type="dxa"/>
            </w:tcMar>
            <w:vAlign w:val="center"/>
          </w:tcPr>
          <w:p w14:paraId="4BC62158" w14:textId="77777777" w:rsidR="002E474C" w:rsidRDefault="00000000">
            <w:pPr>
              <w:pStyle w:val="A-"/>
            </w:pPr>
            <w:r>
              <w:t>达标</w:t>
            </w:r>
          </w:p>
        </w:tc>
      </w:tr>
      <w:tr w:rsidR="002E474C" w14:paraId="119CD0EB" w14:textId="77777777">
        <w:tc>
          <w:tcPr>
            <w:tcW w:w="757" w:type="pct"/>
            <w:shd w:val="clear" w:color="auto" w:fill="auto"/>
            <w:noWrap/>
            <w:tcMar>
              <w:top w:w="15" w:type="dxa"/>
              <w:left w:w="15" w:type="dxa"/>
              <w:bottom w:w="0" w:type="dxa"/>
              <w:right w:w="15" w:type="dxa"/>
            </w:tcMar>
            <w:vAlign w:val="center"/>
          </w:tcPr>
          <w:p w14:paraId="34A7A797" w14:textId="77777777" w:rsidR="002E474C" w:rsidRDefault="00000000">
            <w:pPr>
              <w:pStyle w:val="A-"/>
            </w:pPr>
            <w:r>
              <w:t>砷</w:t>
            </w:r>
          </w:p>
        </w:tc>
        <w:tc>
          <w:tcPr>
            <w:tcW w:w="652" w:type="pct"/>
            <w:shd w:val="clear" w:color="auto" w:fill="auto"/>
            <w:tcMar>
              <w:top w:w="15" w:type="dxa"/>
              <w:left w:w="15" w:type="dxa"/>
              <w:bottom w:w="0" w:type="dxa"/>
              <w:right w:w="15" w:type="dxa"/>
            </w:tcMar>
            <w:vAlign w:val="center"/>
          </w:tcPr>
          <w:p w14:paraId="1ED508B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6DBB8162" w14:textId="77777777" w:rsidR="002E474C" w:rsidRDefault="00000000">
            <w:pPr>
              <w:pStyle w:val="A-"/>
            </w:pPr>
            <w:r>
              <w:t>18.9</w:t>
            </w:r>
          </w:p>
        </w:tc>
        <w:tc>
          <w:tcPr>
            <w:tcW w:w="446" w:type="pct"/>
            <w:shd w:val="clear" w:color="auto" w:fill="auto"/>
            <w:tcMar>
              <w:top w:w="15" w:type="dxa"/>
              <w:left w:w="15" w:type="dxa"/>
              <w:bottom w:w="0" w:type="dxa"/>
              <w:right w:w="15" w:type="dxa"/>
            </w:tcMar>
            <w:vAlign w:val="center"/>
          </w:tcPr>
          <w:p w14:paraId="4D5F7BF2" w14:textId="77777777" w:rsidR="002E474C" w:rsidRDefault="00000000">
            <w:pPr>
              <w:pStyle w:val="A-"/>
            </w:pPr>
            <w:r>
              <w:t>0.32</w:t>
            </w:r>
          </w:p>
        </w:tc>
        <w:tc>
          <w:tcPr>
            <w:tcW w:w="446" w:type="pct"/>
            <w:shd w:val="clear" w:color="auto" w:fill="auto"/>
            <w:tcMar>
              <w:top w:w="15" w:type="dxa"/>
              <w:left w:w="15" w:type="dxa"/>
              <w:bottom w:w="0" w:type="dxa"/>
              <w:right w:w="15" w:type="dxa"/>
            </w:tcMar>
            <w:vAlign w:val="center"/>
          </w:tcPr>
          <w:p w14:paraId="6322C9C1" w14:textId="77777777" w:rsidR="002E474C" w:rsidRDefault="00000000">
            <w:pPr>
              <w:pStyle w:val="A-"/>
            </w:pPr>
            <w:r>
              <w:t>14.0</w:t>
            </w:r>
          </w:p>
        </w:tc>
        <w:tc>
          <w:tcPr>
            <w:tcW w:w="448" w:type="pct"/>
            <w:shd w:val="clear" w:color="auto" w:fill="auto"/>
            <w:tcMar>
              <w:top w:w="15" w:type="dxa"/>
              <w:left w:w="15" w:type="dxa"/>
              <w:bottom w:w="0" w:type="dxa"/>
              <w:right w:w="15" w:type="dxa"/>
            </w:tcMar>
            <w:vAlign w:val="center"/>
          </w:tcPr>
          <w:p w14:paraId="48A2DEF5" w14:textId="77777777" w:rsidR="002E474C" w:rsidRDefault="00000000">
            <w:pPr>
              <w:pStyle w:val="A-"/>
            </w:pPr>
            <w:r>
              <w:t>0.23</w:t>
            </w:r>
          </w:p>
        </w:tc>
        <w:tc>
          <w:tcPr>
            <w:tcW w:w="446" w:type="pct"/>
            <w:shd w:val="clear" w:color="auto" w:fill="auto"/>
            <w:tcMar>
              <w:top w:w="15" w:type="dxa"/>
              <w:left w:w="15" w:type="dxa"/>
              <w:bottom w:w="0" w:type="dxa"/>
              <w:right w:w="15" w:type="dxa"/>
            </w:tcMar>
            <w:vAlign w:val="center"/>
          </w:tcPr>
          <w:p w14:paraId="2B5041C9" w14:textId="77777777" w:rsidR="002E474C" w:rsidRDefault="00000000">
            <w:pPr>
              <w:pStyle w:val="A-"/>
            </w:pPr>
            <w:r>
              <w:t>18.7</w:t>
            </w:r>
          </w:p>
        </w:tc>
        <w:tc>
          <w:tcPr>
            <w:tcW w:w="448" w:type="pct"/>
            <w:shd w:val="clear" w:color="auto" w:fill="auto"/>
            <w:tcMar>
              <w:top w:w="15" w:type="dxa"/>
              <w:left w:w="15" w:type="dxa"/>
              <w:bottom w:w="0" w:type="dxa"/>
              <w:right w:w="15" w:type="dxa"/>
            </w:tcMar>
            <w:vAlign w:val="center"/>
          </w:tcPr>
          <w:p w14:paraId="40F87B42" w14:textId="77777777" w:rsidR="002E474C" w:rsidRDefault="00000000">
            <w:pPr>
              <w:pStyle w:val="A-"/>
            </w:pPr>
            <w:r>
              <w:t>0.31</w:t>
            </w:r>
          </w:p>
        </w:tc>
        <w:tc>
          <w:tcPr>
            <w:tcW w:w="662" w:type="pct"/>
            <w:shd w:val="clear" w:color="auto" w:fill="auto"/>
            <w:noWrap/>
            <w:tcMar>
              <w:top w:w="15" w:type="dxa"/>
              <w:left w:w="15" w:type="dxa"/>
              <w:bottom w:w="0" w:type="dxa"/>
              <w:right w:w="15" w:type="dxa"/>
            </w:tcMar>
            <w:vAlign w:val="center"/>
          </w:tcPr>
          <w:p w14:paraId="179D7882" w14:textId="77777777" w:rsidR="002E474C" w:rsidRDefault="00000000">
            <w:pPr>
              <w:pStyle w:val="A-"/>
            </w:pPr>
            <w:r>
              <w:t>60mg/kg</w:t>
            </w:r>
          </w:p>
        </w:tc>
        <w:tc>
          <w:tcPr>
            <w:tcW w:w="317" w:type="pct"/>
            <w:shd w:val="clear" w:color="auto" w:fill="auto"/>
            <w:tcMar>
              <w:top w:w="15" w:type="dxa"/>
              <w:left w:w="15" w:type="dxa"/>
              <w:bottom w:w="0" w:type="dxa"/>
              <w:right w:w="15" w:type="dxa"/>
            </w:tcMar>
            <w:vAlign w:val="center"/>
          </w:tcPr>
          <w:p w14:paraId="0F24CB6D" w14:textId="77777777" w:rsidR="002E474C" w:rsidRDefault="00000000">
            <w:pPr>
              <w:pStyle w:val="A-"/>
            </w:pPr>
            <w:r>
              <w:t>达标</w:t>
            </w:r>
          </w:p>
        </w:tc>
      </w:tr>
      <w:tr w:rsidR="002E474C" w14:paraId="28EECCF7" w14:textId="77777777">
        <w:tc>
          <w:tcPr>
            <w:tcW w:w="757" w:type="pct"/>
            <w:shd w:val="clear" w:color="auto" w:fill="auto"/>
            <w:noWrap/>
            <w:tcMar>
              <w:top w:w="15" w:type="dxa"/>
              <w:left w:w="15" w:type="dxa"/>
              <w:bottom w:w="0" w:type="dxa"/>
              <w:right w:w="15" w:type="dxa"/>
            </w:tcMar>
            <w:vAlign w:val="center"/>
          </w:tcPr>
          <w:p w14:paraId="48078350" w14:textId="77777777" w:rsidR="002E474C" w:rsidRDefault="00000000">
            <w:pPr>
              <w:pStyle w:val="A-"/>
            </w:pPr>
            <w:r>
              <w:t>铅</w:t>
            </w:r>
          </w:p>
        </w:tc>
        <w:tc>
          <w:tcPr>
            <w:tcW w:w="652" w:type="pct"/>
            <w:shd w:val="clear" w:color="auto" w:fill="auto"/>
            <w:tcMar>
              <w:top w:w="15" w:type="dxa"/>
              <w:left w:w="15" w:type="dxa"/>
              <w:bottom w:w="0" w:type="dxa"/>
              <w:right w:w="15" w:type="dxa"/>
            </w:tcMar>
            <w:vAlign w:val="center"/>
          </w:tcPr>
          <w:p w14:paraId="634579E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B61F3E5" w14:textId="77777777" w:rsidR="002E474C" w:rsidRDefault="00000000">
            <w:pPr>
              <w:pStyle w:val="A-"/>
            </w:pPr>
            <w:r>
              <w:t>55</w:t>
            </w:r>
          </w:p>
        </w:tc>
        <w:tc>
          <w:tcPr>
            <w:tcW w:w="446" w:type="pct"/>
            <w:shd w:val="clear" w:color="auto" w:fill="auto"/>
            <w:tcMar>
              <w:top w:w="15" w:type="dxa"/>
              <w:left w:w="15" w:type="dxa"/>
              <w:bottom w:w="0" w:type="dxa"/>
              <w:right w:w="15" w:type="dxa"/>
            </w:tcMar>
            <w:vAlign w:val="center"/>
          </w:tcPr>
          <w:p w14:paraId="77D690BF" w14:textId="77777777" w:rsidR="002E474C" w:rsidRDefault="00000000">
            <w:pPr>
              <w:pStyle w:val="A-"/>
            </w:pPr>
            <w:r>
              <w:t>0.07</w:t>
            </w:r>
          </w:p>
        </w:tc>
        <w:tc>
          <w:tcPr>
            <w:tcW w:w="446" w:type="pct"/>
            <w:shd w:val="clear" w:color="auto" w:fill="auto"/>
            <w:tcMar>
              <w:top w:w="15" w:type="dxa"/>
              <w:left w:w="15" w:type="dxa"/>
              <w:bottom w:w="0" w:type="dxa"/>
              <w:right w:w="15" w:type="dxa"/>
            </w:tcMar>
            <w:vAlign w:val="center"/>
          </w:tcPr>
          <w:p w14:paraId="7D7BF9A0" w14:textId="77777777" w:rsidR="002E474C" w:rsidRDefault="00000000">
            <w:pPr>
              <w:pStyle w:val="A-"/>
            </w:pPr>
            <w:r>
              <w:t>28</w:t>
            </w:r>
          </w:p>
        </w:tc>
        <w:tc>
          <w:tcPr>
            <w:tcW w:w="448" w:type="pct"/>
            <w:shd w:val="clear" w:color="auto" w:fill="auto"/>
            <w:tcMar>
              <w:top w:w="15" w:type="dxa"/>
              <w:left w:w="15" w:type="dxa"/>
              <w:bottom w:w="0" w:type="dxa"/>
              <w:right w:w="15" w:type="dxa"/>
            </w:tcMar>
            <w:vAlign w:val="center"/>
          </w:tcPr>
          <w:p w14:paraId="18247446" w14:textId="77777777" w:rsidR="002E474C" w:rsidRDefault="00000000">
            <w:pPr>
              <w:pStyle w:val="A-"/>
            </w:pPr>
            <w:r>
              <w:t>0.04</w:t>
            </w:r>
          </w:p>
        </w:tc>
        <w:tc>
          <w:tcPr>
            <w:tcW w:w="446" w:type="pct"/>
            <w:shd w:val="clear" w:color="auto" w:fill="auto"/>
            <w:tcMar>
              <w:top w:w="15" w:type="dxa"/>
              <w:left w:w="15" w:type="dxa"/>
              <w:bottom w:w="0" w:type="dxa"/>
              <w:right w:w="15" w:type="dxa"/>
            </w:tcMar>
            <w:vAlign w:val="center"/>
          </w:tcPr>
          <w:p w14:paraId="498D72BA" w14:textId="77777777" w:rsidR="002E474C" w:rsidRDefault="00000000">
            <w:pPr>
              <w:pStyle w:val="A-"/>
            </w:pPr>
            <w:r>
              <w:t>53</w:t>
            </w:r>
          </w:p>
        </w:tc>
        <w:tc>
          <w:tcPr>
            <w:tcW w:w="448" w:type="pct"/>
            <w:shd w:val="clear" w:color="auto" w:fill="auto"/>
            <w:tcMar>
              <w:top w:w="15" w:type="dxa"/>
              <w:left w:w="15" w:type="dxa"/>
              <w:bottom w:w="0" w:type="dxa"/>
              <w:right w:w="15" w:type="dxa"/>
            </w:tcMar>
            <w:vAlign w:val="center"/>
          </w:tcPr>
          <w:p w14:paraId="5277267B" w14:textId="77777777" w:rsidR="002E474C" w:rsidRDefault="00000000">
            <w:pPr>
              <w:pStyle w:val="A-"/>
            </w:pPr>
            <w:r>
              <w:t>0.07</w:t>
            </w:r>
          </w:p>
        </w:tc>
        <w:tc>
          <w:tcPr>
            <w:tcW w:w="662" w:type="pct"/>
            <w:shd w:val="clear" w:color="auto" w:fill="auto"/>
            <w:noWrap/>
            <w:tcMar>
              <w:top w:w="15" w:type="dxa"/>
              <w:left w:w="15" w:type="dxa"/>
              <w:bottom w:w="0" w:type="dxa"/>
              <w:right w:w="15" w:type="dxa"/>
            </w:tcMar>
            <w:vAlign w:val="center"/>
          </w:tcPr>
          <w:p w14:paraId="400C1F84" w14:textId="77777777" w:rsidR="002E474C" w:rsidRDefault="00000000">
            <w:pPr>
              <w:pStyle w:val="A-"/>
            </w:pPr>
            <w:r>
              <w:t>800mg/kg</w:t>
            </w:r>
          </w:p>
        </w:tc>
        <w:tc>
          <w:tcPr>
            <w:tcW w:w="317" w:type="pct"/>
            <w:shd w:val="clear" w:color="auto" w:fill="auto"/>
            <w:tcMar>
              <w:top w:w="15" w:type="dxa"/>
              <w:left w:w="15" w:type="dxa"/>
              <w:bottom w:w="0" w:type="dxa"/>
              <w:right w:w="15" w:type="dxa"/>
            </w:tcMar>
            <w:vAlign w:val="center"/>
          </w:tcPr>
          <w:p w14:paraId="2C21D4D5" w14:textId="77777777" w:rsidR="002E474C" w:rsidRDefault="00000000">
            <w:pPr>
              <w:pStyle w:val="A-"/>
            </w:pPr>
            <w:r>
              <w:t>达标</w:t>
            </w:r>
          </w:p>
        </w:tc>
      </w:tr>
      <w:tr w:rsidR="002E474C" w14:paraId="73531B16" w14:textId="77777777">
        <w:tc>
          <w:tcPr>
            <w:tcW w:w="757" w:type="pct"/>
            <w:shd w:val="clear" w:color="auto" w:fill="auto"/>
            <w:noWrap/>
            <w:tcMar>
              <w:top w:w="15" w:type="dxa"/>
              <w:left w:w="15" w:type="dxa"/>
              <w:bottom w:w="0" w:type="dxa"/>
              <w:right w:w="15" w:type="dxa"/>
            </w:tcMar>
            <w:vAlign w:val="center"/>
          </w:tcPr>
          <w:p w14:paraId="6C39F48C" w14:textId="77777777" w:rsidR="002E474C" w:rsidRDefault="00000000">
            <w:pPr>
              <w:pStyle w:val="A-"/>
            </w:pPr>
            <w:r>
              <w:t>汞</w:t>
            </w:r>
          </w:p>
        </w:tc>
        <w:tc>
          <w:tcPr>
            <w:tcW w:w="652" w:type="pct"/>
            <w:shd w:val="clear" w:color="auto" w:fill="auto"/>
            <w:tcMar>
              <w:top w:w="15" w:type="dxa"/>
              <w:left w:w="15" w:type="dxa"/>
              <w:bottom w:w="0" w:type="dxa"/>
              <w:right w:w="15" w:type="dxa"/>
            </w:tcMar>
            <w:vAlign w:val="center"/>
          </w:tcPr>
          <w:p w14:paraId="06679061"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E1A93E8" w14:textId="77777777" w:rsidR="002E474C" w:rsidRDefault="00000000">
            <w:pPr>
              <w:pStyle w:val="A-"/>
            </w:pPr>
            <w:r>
              <w:t>0.113</w:t>
            </w:r>
          </w:p>
        </w:tc>
        <w:tc>
          <w:tcPr>
            <w:tcW w:w="446" w:type="pct"/>
            <w:shd w:val="clear" w:color="auto" w:fill="auto"/>
            <w:tcMar>
              <w:top w:w="15" w:type="dxa"/>
              <w:left w:w="15" w:type="dxa"/>
              <w:bottom w:w="0" w:type="dxa"/>
              <w:right w:w="15" w:type="dxa"/>
            </w:tcMar>
            <w:vAlign w:val="center"/>
          </w:tcPr>
          <w:p w14:paraId="6CA90DBC"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2C80D910" w14:textId="77777777" w:rsidR="002E474C" w:rsidRDefault="00000000">
            <w:pPr>
              <w:pStyle w:val="A-"/>
            </w:pPr>
            <w:r>
              <w:t>0.083</w:t>
            </w:r>
          </w:p>
        </w:tc>
        <w:tc>
          <w:tcPr>
            <w:tcW w:w="448" w:type="pct"/>
            <w:shd w:val="clear" w:color="auto" w:fill="auto"/>
            <w:tcMar>
              <w:top w:w="15" w:type="dxa"/>
              <w:left w:w="15" w:type="dxa"/>
              <w:bottom w:w="0" w:type="dxa"/>
              <w:right w:w="15" w:type="dxa"/>
            </w:tcMar>
            <w:vAlign w:val="center"/>
          </w:tcPr>
          <w:p w14:paraId="661406B6"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29527465" w14:textId="77777777" w:rsidR="002E474C" w:rsidRDefault="00000000">
            <w:pPr>
              <w:pStyle w:val="A-"/>
            </w:pPr>
            <w:r>
              <w:t>0.055</w:t>
            </w:r>
          </w:p>
        </w:tc>
        <w:tc>
          <w:tcPr>
            <w:tcW w:w="448" w:type="pct"/>
            <w:shd w:val="clear" w:color="auto" w:fill="auto"/>
            <w:tcMar>
              <w:top w:w="15" w:type="dxa"/>
              <w:left w:w="15" w:type="dxa"/>
              <w:bottom w:w="0" w:type="dxa"/>
              <w:right w:w="15" w:type="dxa"/>
            </w:tcMar>
            <w:vAlign w:val="center"/>
          </w:tcPr>
          <w:p w14:paraId="5B481F55"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78E6D525" w14:textId="77777777" w:rsidR="002E474C" w:rsidRDefault="00000000">
            <w:pPr>
              <w:pStyle w:val="A-"/>
            </w:pPr>
            <w:r>
              <w:t>38mg/kg</w:t>
            </w:r>
          </w:p>
        </w:tc>
        <w:tc>
          <w:tcPr>
            <w:tcW w:w="317" w:type="pct"/>
            <w:shd w:val="clear" w:color="auto" w:fill="auto"/>
            <w:tcMar>
              <w:top w:w="15" w:type="dxa"/>
              <w:left w:w="15" w:type="dxa"/>
              <w:bottom w:w="0" w:type="dxa"/>
              <w:right w:w="15" w:type="dxa"/>
            </w:tcMar>
            <w:vAlign w:val="center"/>
          </w:tcPr>
          <w:p w14:paraId="4A8BE167" w14:textId="77777777" w:rsidR="002E474C" w:rsidRDefault="00000000">
            <w:pPr>
              <w:pStyle w:val="A-"/>
            </w:pPr>
            <w:r>
              <w:t>达标</w:t>
            </w:r>
          </w:p>
        </w:tc>
      </w:tr>
      <w:tr w:rsidR="002E474C" w14:paraId="220D4F18" w14:textId="77777777">
        <w:tc>
          <w:tcPr>
            <w:tcW w:w="757" w:type="pct"/>
            <w:shd w:val="clear" w:color="auto" w:fill="auto"/>
            <w:noWrap/>
            <w:tcMar>
              <w:top w:w="15" w:type="dxa"/>
              <w:left w:w="15" w:type="dxa"/>
              <w:bottom w:w="0" w:type="dxa"/>
              <w:right w:w="15" w:type="dxa"/>
            </w:tcMar>
            <w:vAlign w:val="center"/>
          </w:tcPr>
          <w:p w14:paraId="5642FFB2" w14:textId="77777777" w:rsidR="002E474C" w:rsidRDefault="00000000">
            <w:pPr>
              <w:pStyle w:val="A-"/>
            </w:pPr>
            <w:r>
              <w:t>镉</w:t>
            </w:r>
          </w:p>
        </w:tc>
        <w:tc>
          <w:tcPr>
            <w:tcW w:w="652" w:type="pct"/>
            <w:shd w:val="clear" w:color="auto" w:fill="auto"/>
            <w:tcMar>
              <w:top w:w="15" w:type="dxa"/>
              <w:left w:w="15" w:type="dxa"/>
              <w:bottom w:w="0" w:type="dxa"/>
              <w:right w:w="15" w:type="dxa"/>
            </w:tcMar>
            <w:vAlign w:val="center"/>
          </w:tcPr>
          <w:p w14:paraId="63582E4C"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8F50342" w14:textId="77777777" w:rsidR="002E474C" w:rsidRDefault="00000000">
            <w:pPr>
              <w:pStyle w:val="A-"/>
            </w:pPr>
            <w:r>
              <w:t>1.19</w:t>
            </w:r>
          </w:p>
        </w:tc>
        <w:tc>
          <w:tcPr>
            <w:tcW w:w="446" w:type="pct"/>
            <w:shd w:val="clear" w:color="auto" w:fill="auto"/>
            <w:tcMar>
              <w:top w:w="15" w:type="dxa"/>
              <w:left w:w="15" w:type="dxa"/>
              <w:bottom w:w="0" w:type="dxa"/>
              <w:right w:w="15" w:type="dxa"/>
            </w:tcMar>
            <w:vAlign w:val="center"/>
          </w:tcPr>
          <w:p w14:paraId="7A8AD928" w14:textId="77777777" w:rsidR="002E474C" w:rsidRDefault="00000000">
            <w:pPr>
              <w:pStyle w:val="A-"/>
            </w:pPr>
            <w:r>
              <w:t>0.02</w:t>
            </w:r>
          </w:p>
        </w:tc>
        <w:tc>
          <w:tcPr>
            <w:tcW w:w="446" w:type="pct"/>
            <w:shd w:val="clear" w:color="auto" w:fill="auto"/>
            <w:tcMar>
              <w:top w:w="15" w:type="dxa"/>
              <w:left w:w="15" w:type="dxa"/>
              <w:bottom w:w="0" w:type="dxa"/>
              <w:right w:w="15" w:type="dxa"/>
            </w:tcMar>
            <w:vAlign w:val="center"/>
          </w:tcPr>
          <w:p w14:paraId="3BB9E019" w14:textId="77777777" w:rsidR="002E474C" w:rsidRDefault="00000000">
            <w:pPr>
              <w:pStyle w:val="A-"/>
            </w:pPr>
            <w:r>
              <w:t>0.37</w:t>
            </w:r>
          </w:p>
        </w:tc>
        <w:tc>
          <w:tcPr>
            <w:tcW w:w="448" w:type="pct"/>
            <w:shd w:val="clear" w:color="auto" w:fill="auto"/>
            <w:tcMar>
              <w:top w:w="15" w:type="dxa"/>
              <w:left w:w="15" w:type="dxa"/>
              <w:bottom w:w="0" w:type="dxa"/>
              <w:right w:w="15" w:type="dxa"/>
            </w:tcMar>
            <w:vAlign w:val="center"/>
          </w:tcPr>
          <w:p w14:paraId="64D6EFA1" w14:textId="77777777" w:rsidR="002E474C" w:rsidRDefault="00000000">
            <w:pPr>
              <w:pStyle w:val="A-"/>
            </w:pPr>
            <w:r>
              <w:t>0.01</w:t>
            </w:r>
          </w:p>
        </w:tc>
        <w:tc>
          <w:tcPr>
            <w:tcW w:w="446" w:type="pct"/>
            <w:shd w:val="clear" w:color="auto" w:fill="auto"/>
            <w:tcMar>
              <w:top w:w="15" w:type="dxa"/>
              <w:left w:w="15" w:type="dxa"/>
              <w:bottom w:w="0" w:type="dxa"/>
              <w:right w:w="15" w:type="dxa"/>
            </w:tcMar>
            <w:vAlign w:val="center"/>
          </w:tcPr>
          <w:p w14:paraId="24B3D772" w14:textId="77777777" w:rsidR="002E474C" w:rsidRDefault="00000000">
            <w:pPr>
              <w:pStyle w:val="A-"/>
            </w:pPr>
            <w:r>
              <w:t>0.72</w:t>
            </w:r>
          </w:p>
        </w:tc>
        <w:tc>
          <w:tcPr>
            <w:tcW w:w="448" w:type="pct"/>
            <w:shd w:val="clear" w:color="auto" w:fill="auto"/>
            <w:tcMar>
              <w:top w:w="15" w:type="dxa"/>
              <w:left w:w="15" w:type="dxa"/>
              <w:bottom w:w="0" w:type="dxa"/>
              <w:right w:w="15" w:type="dxa"/>
            </w:tcMar>
            <w:vAlign w:val="center"/>
          </w:tcPr>
          <w:p w14:paraId="225CEFBB" w14:textId="77777777" w:rsidR="002E474C" w:rsidRDefault="00000000">
            <w:pPr>
              <w:pStyle w:val="A-"/>
            </w:pPr>
            <w:r>
              <w:t>0.01</w:t>
            </w:r>
          </w:p>
        </w:tc>
        <w:tc>
          <w:tcPr>
            <w:tcW w:w="662" w:type="pct"/>
            <w:shd w:val="clear" w:color="auto" w:fill="auto"/>
            <w:noWrap/>
            <w:tcMar>
              <w:top w:w="15" w:type="dxa"/>
              <w:left w:w="15" w:type="dxa"/>
              <w:bottom w:w="0" w:type="dxa"/>
              <w:right w:w="15" w:type="dxa"/>
            </w:tcMar>
            <w:vAlign w:val="center"/>
          </w:tcPr>
          <w:p w14:paraId="62659F11" w14:textId="77777777" w:rsidR="002E474C" w:rsidRDefault="00000000">
            <w:pPr>
              <w:pStyle w:val="A-"/>
            </w:pPr>
            <w:r>
              <w:t>65mg/kg</w:t>
            </w:r>
          </w:p>
        </w:tc>
        <w:tc>
          <w:tcPr>
            <w:tcW w:w="317" w:type="pct"/>
            <w:shd w:val="clear" w:color="auto" w:fill="auto"/>
            <w:tcMar>
              <w:top w:w="15" w:type="dxa"/>
              <w:left w:w="15" w:type="dxa"/>
              <w:bottom w:w="0" w:type="dxa"/>
              <w:right w:w="15" w:type="dxa"/>
            </w:tcMar>
            <w:vAlign w:val="center"/>
          </w:tcPr>
          <w:p w14:paraId="6F94299D" w14:textId="77777777" w:rsidR="002E474C" w:rsidRDefault="00000000">
            <w:pPr>
              <w:pStyle w:val="A-"/>
            </w:pPr>
            <w:r>
              <w:t>达标</w:t>
            </w:r>
          </w:p>
        </w:tc>
      </w:tr>
      <w:tr w:rsidR="002E474C" w14:paraId="068CDC5D" w14:textId="77777777">
        <w:tc>
          <w:tcPr>
            <w:tcW w:w="757" w:type="pct"/>
            <w:shd w:val="clear" w:color="auto" w:fill="auto"/>
            <w:noWrap/>
            <w:tcMar>
              <w:top w:w="15" w:type="dxa"/>
              <w:left w:w="15" w:type="dxa"/>
              <w:bottom w:w="0" w:type="dxa"/>
              <w:right w:w="15" w:type="dxa"/>
            </w:tcMar>
            <w:vAlign w:val="center"/>
          </w:tcPr>
          <w:p w14:paraId="73A00449" w14:textId="77777777" w:rsidR="002E474C" w:rsidRDefault="00000000">
            <w:pPr>
              <w:pStyle w:val="A-"/>
            </w:pPr>
            <w:r>
              <w:t>铜</w:t>
            </w:r>
          </w:p>
        </w:tc>
        <w:tc>
          <w:tcPr>
            <w:tcW w:w="652" w:type="pct"/>
            <w:shd w:val="clear" w:color="auto" w:fill="auto"/>
            <w:tcMar>
              <w:top w:w="15" w:type="dxa"/>
              <w:left w:w="15" w:type="dxa"/>
              <w:bottom w:w="0" w:type="dxa"/>
              <w:right w:w="15" w:type="dxa"/>
            </w:tcMar>
            <w:vAlign w:val="center"/>
          </w:tcPr>
          <w:p w14:paraId="5CD16A0A"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68DDF5D8" w14:textId="77777777" w:rsidR="002E474C" w:rsidRDefault="00000000">
            <w:pPr>
              <w:pStyle w:val="A-"/>
            </w:pPr>
            <w:r>
              <w:t>85</w:t>
            </w:r>
          </w:p>
        </w:tc>
        <w:tc>
          <w:tcPr>
            <w:tcW w:w="446" w:type="pct"/>
            <w:shd w:val="clear" w:color="auto" w:fill="auto"/>
            <w:tcMar>
              <w:top w:w="15" w:type="dxa"/>
              <w:left w:w="15" w:type="dxa"/>
              <w:bottom w:w="0" w:type="dxa"/>
              <w:right w:w="15" w:type="dxa"/>
            </w:tcMar>
            <w:vAlign w:val="center"/>
          </w:tcPr>
          <w:p w14:paraId="262D551C"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3426CD64" w14:textId="77777777" w:rsidR="002E474C" w:rsidRDefault="00000000">
            <w:pPr>
              <w:pStyle w:val="A-"/>
            </w:pPr>
            <w:r>
              <w:t>55</w:t>
            </w:r>
          </w:p>
        </w:tc>
        <w:tc>
          <w:tcPr>
            <w:tcW w:w="448" w:type="pct"/>
            <w:shd w:val="clear" w:color="auto" w:fill="auto"/>
            <w:tcMar>
              <w:top w:w="15" w:type="dxa"/>
              <w:left w:w="15" w:type="dxa"/>
              <w:bottom w:w="0" w:type="dxa"/>
              <w:right w:w="15" w:type="dxa"/>
            </w:tcMar>
            <w:vAlign w:val="center"/>
          </w:tcPr>
          <w:p w14:paraId="4FA25456"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218A4D5F" w14:textId="77777777" w:rsidR="002E474C" w:rsidRDefault="00000000">
            <w:pPr>
              <w:pStyle w:val="A-"/>
            </w:pPr>
            <w:r>
              <w:t>95</w:t>
            </w:r>
          </w:p>
        </w:tc>
        <w:tc>
          <w:tcPr>
            <w:tcW w:w="448" w:type="pct"/>
            <w:shd w:val="clear" w:color="auto" w:fill="auto"/>
            <w:tcMar>
              <w:top w:w="15" w:type="dxa"/>
              <w:left w:w="15" w:type="dxa"/>
              <w:bottom w:w="0" w:type="dxa"/>
              <w:right w:w="15" w:type="dxa"/>
            </w:tcMar>
            <w:vAlign w:val="center"/>
          </w:tcPr>
          <w:p w14:paraId="51C6FF17"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5A34FD6E" w14:textId="77777777" w:rsidR="002E474C" w:rsidRDefault="00000000">
            <w:pPr>
              <w:pStyle w:val="A-"/>
            </w:pPr>
            <w:r>
              <w:t>18000mg/kg</w:t>
            </w:r>
          </w:p>
        </w:tc>
        <w:tc>
          <w:tcPr>
            <w:tcW w:w="317" w:type="pct"/>
            <w:shd w:val="clear" w:color="auto" w:fill="auto"/>
            <w:tcMar>
              <w:top w:w="15" w:type="dxa"/>
              <w:left w:w="15" w:type="dxa"/>
              <w:bottom w:w="0" w:type="dxa"/>
              <w:right w:w="15" w:type="dxa"/>
            </w:tcMar>
            <w:vAlign w:val="center"/>
          </w:tcPr>
          <w:p w14:paraId="3DEB4A44" w14:textId="77777777" w:rsidR="002E474C" w:rsidRDefault="00000000">
            <w:pPr>
              <w:pStyle w:val="A-"/>
            </w:pPr>
            <w:r>
              <w:t>达标</w:t>
            </w:r>
          </w:p>
        </w:tc>
      </w:tr>
      <w:tr w:rsidR="002E474C" w14:paraId="291E8DBA" w14:textId="77777777">
        <w:tc>
          <w:tcPr>
            <w:tcW w:w="757" w:type="pct"/>
            <w:shd w:val="clear" w:color="auto" w:fill="auto"/>
            <w:noWrap/>
            <w:tcMar>
              <w:top w:w="15" w:type="dxa"/>
              <w:left w:w="15" w:type="dxa"/>
              <w:bottom w:w="0" w:type="dxa"/>
              <w:right w:w="15" w:type="dxa"/>
            </w:tcMar>
            <w:vAlign w:val="center"/>
          </w:tcPr>
          <w:p w14:paraId="64EE7E1A" w14:textId="77777777" w:rsidR="002E474C" w:rsidRDefault="00000000">
            <w:pPr>
              <w:pStyle w:val="A-"/>
            </w:pPr>
            <w:r>
              <w:t>镍</w:t>
            </w:r>
          </w:p>
        </w:tc>
        <w:tc>
          <w:tcPr>
            <w:tcW w:w="652" w:type="pct"/>
            <w:shd w:val="clear" w:color="auto" w:fill="auto"/>
            <w:tcMar>
              <w:top w:w="15" w:type="dxa"/>
              <w:left w:w="15" w:type="dxa"/>
              <w:bottom w:w="0" w:type="dxa"/>
              <w:right w:w="15" w:type="dxa"/>
            </w:tcMar>
            <w:vAlign w:val="center"/>
          </w:tcPr>
          <w:p w14:paraId="2C688CA1"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1E7C685" w14:textId="77777777" w:rsidR="002E474C" w:rsidRDefault="00000000">
            <w:pPr>
              <w:pStyle w:val="A-"/>
            </w:pPr>
            <w:r>
              <w:t>53</w:t>
            </w:r>
          </w:p>
        </w:tc>
        <w:tc>
          <w:tcPr>
            <w:tcW w:w="446" w:type="pct"/>
            <w:shd w:val="clear" w:color="auto" w:fill="auto"/>
            <w:tcMar>
              <w:top w:w="15" w:type="dxa"/>
              <w:left w:w="15" w:type="dxa"/>
              <w:bottom w:w="0" w:type="dxa"/>
              <w:right w:w="15" w:type="dxa"/>
            </w:tcMar>
            <w:vAlign w:val="center"/>
          </w:tcPr>
          <w:p w14:paraId="73B7A179" w14:textId="77777777" w:rsidR="002E474C" w:rsidRDefault="00000000">
            <w:pPr>
              <w:pStyle w:val="A-"/>
            </w:pPr>
            <w:r>
              <w:t>0.06</w:t>
            </w:r>
          </w:p>
        </w:tc>
        <w:tc>
          <w:tcPr>
            <w:tcW w:w="446" w:type="pct"/>
            <w:shd w:val="clear" w:color="auto" w:fill="auto"/>
            <w:tcMar>
              <w:top w:w="15" w:type="dxa"/>
              <w:left w:w="15" w:type="dxa"/>
              <w:bottom w:w="0" w:type="dxa"/>
              <w:right w:w="15" w:type="dxa"/>
            </w:tcMar>
            <w:vAlign w:val="center"/>
          </w:tcPr>
          <w:p w14:paraId="66BA91E5" w14:textId="77777777" w:rsidR="002E474C" w:rsidRDefault="00000000">
            <w:pPr>
              <w:pStyle w:val="A-"/>
            </w:pPr>
            <w:r>
              <w:t>49</w:t>
            </w:r>
          </w:p>
        </w:tc>
        <w:tc>
          <w:tcPr>
            <w:tcW w:w="448" w:type="pct"/>
            <w:shd w:val="clear" w:color="auto" w:fill="auto"/>
            <w:tcMar>
              <w:top w:w="15" w:type="dxa"/>
              <w:left w:w="15" w:type="dxa"/>
              <w:bottom w:w="0" w:type="dxa"/>
              <w:right w:w="15" w:type="dxa"/>
            </w:tcMar>
            <w:vAlign w:val="center"/>
          </w:tcPr>
          <w:p w14:paraId="1E7BF09C" w14:textId="77777777" w:rsidR="002E474C" w:rsidRDefault="00000000">
            <w:pPr>
              <w:pStyle w:val="A-"/>
            </w:pPr>
            <w:r>
              <w:t>0.05</w:t>
            </w:r>
          </w:p>
        </w:tc>
        <w:tc>
          <w:tcPr>
            <w:tcW w:w="446" w:type="pct"/>
            <w:shd w:val="clear" w:color="auto" w:fill="auto"/>
            <w:tcMar>
              <w:top w:w="15" w:type="dxa"/>
              <w:left w:w="15" w:type="dxa"/>
              <w:bottom w:w="0" w:type="dxa"/>
              <w:right w:w="15" w:type="dxa"/>
            </w:tcMar>
            <w:vAlign w:val="center"/>
          </w:tcPr>
          <w:p w14:paraId="13CA522A" w14:textId="77777777" w:rsidR="002E474C" w:rsidRDefault="00000000">
            <w:pPr>
              <w:pStyle w:val="A-"/>
            </w:pPr>
            <w:r>
              <w:t>45</w:t>
            </w:r>
          </w:p>
        </w:tc>
        <w:tc>
          <w:tcPr>
            <w:tcW w:w="448" w:type="pct"/>
            <w:shd w:val="clear" w:color="auto" w:fill="auto"/>
            <w:tcMar>
              <w:top w:w="15" w:type="dxa"/>
              <w:left w:w="15" w:type="dxa"/>
              <w:bottom w:w="0" w:type="dxa"/>
              <w:right w:w="15" w:type="dxa"/>
            </w:tcMar>
            <w:vAlign w:val="center"/>
          </w:tcPr>
          <w:p w14:paraId="53BEBF4B" w14:textId="77777777" w:rsidR="002E474C" w:rsidRDefault="00000000">
            <w:pPr>
              <w:pStyle w:val="A-"/>
            </w:pPr>
            <w:r>
              <w:t>0.05</w:t>
            </w:r>
          </w:p>
        </w:tc>
        <w:tc>
          <w:tcPr>
            <w:tcW w:w="662" w:type="pct"/>
            <w:shd w:val="clear" w:color="auto" w:fill="auto"/>
            <w:tcMar>
              <w:top w:w="15" w:type="dxa"/>
              <w:left w:w="15" w:type="dxa"/>
              <w:bottom w:w="0" w:type="dxa"/>
              <w:right w:w="15" w:type="dxa"/>
            </w:tcMar>
            <w:vAlign w:val="center"/>
          </w:tcPr>
          <w:p w14:paraId="57BD7643" w14:textId="77777777" w:rsidR="002E474C" w:rsidRDefault="00000000">
            <w:pPr>
              <w:pStyle w:val="A-"/>
            </w:pPr>
            <w:r>
              <w:t>900mg/kg</w:t>
            </w:r>
          </w:p>
        </w:tc>
        <w:tc>
          <w:tcPr>
            <w:tcW w:w="317" w:type="pct"/>
            <w:shd w:val="clear" w:color="auto" w:fill="auto"/>
            <w:tcMar>
              <w:top w:w="15" w:type="dxa"/>
              <w:left w:w="15" w:type="dxa"/>
              <w:bottom w:w="0" w:type="dxa"/>
              <w:right w:w="15" w:type="dxa"/>
            </w:tcMar>
            <w:vAlign w:val="center"/>
          </w:tcPr>
          <w:p w14:paraId="1A6ED643" w14:textId="77777777" w:rsidR="002E474C" w:rsidRDefault="00000000">
            <w:pPr>
              <w:pStyle w:val="A-"/>
            </w:pPr>
            <w:r>
              <w:t>达标</w:t>
            </w:r>
          </w:p>
        </w:tc>
      </w:tr>
      <w:tr w:rsidR="002E474C" w14:paraId="5C82D662" w14:textId="77777777">
        <w:tc>
          <w:tcPr>
            <w:tcW w:w="757" w:type="pct"/>
            <w:shd w:val="clear" w:color="auto" w:fill="auto"/>
            <w:noWrap/>
            <w:tcMar>
              <w:top w:w="15" w:type="dxa"/>
              <w:left w:w="15" w:type="dxa"/>
              <w:bottom w:w="0" w:type="dxa"/>
              <w:right w:w="15" w:type="dxa"/>
            </w:tcMar>
            <w:vAlign w:val="center"/>
          </w:tcPr>
          <w:p w14:paraId="142FD3B1" w14:textId="77777777" w:rsidR="002E474C" w:rsidRDefault="00000000">
            <w:pPr>
              <w:pStyle w:val="A-"/>
            </w:pPr>
            <w:r>
              <w:t>六价铬</w:t>
            </w:r>
          </w:p>
        </w:tc>
        <w:tc>
          <w:tcPr>
            <w:tcW w:w="652" w:type="pct"/>
            <w:shd w:val="clear" w:color="auto" w:fill="auto"/>
            <w:tcMar>
              <w:top w:w="15" w:type="dxa"/>
              <w:left w:w="15" w:type="dxa"/>
              <w:bottom w:w="0" w:type="dxa"/>
              <w:right w:w="15" w:type="dxa"/>
            </w:tcMar>
            <w:vAlign w:val="center"/>
          </w:tcPr>
          <w:p w14:paraId="09D8ECD8"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6202CF24" w14:textId="77777777" w:rsidR="002E474C" w:rsidRDefault="00000000">
            <w:pPr>
              <w:pStyle w:val="A-"/>
            </w:pPr>
            <w:r>
              <w:t>&lt;0.5</w:t>
            </w:r>
          </w:p>
        </w:tc>
        <w:tc>
          <w:tcPr>
            <w:tcW w:w="446" w:type="pct"/>
            <w:shd w:val="clear" w:color="auto" w:fill="auto"/>
            <w:tcMar>
              <w:top w:w="15" w:type="dxa"/>
              <w:left w:w="15" w:type="dxa"/>
              <w:bottom w:w="0" w:type="dxa"/>
              <w:right w:w="15" w:type="dxa"/>
            </w:tcMar>
            <w:vAlign w:val="center"/>
          </w:tcPr>
          <w:p w14:paraId="20D18C85"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2088822"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3C5B5492"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6C8452D"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1C12848D"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0D73C75A" w14:textId="77777777" w:rsidR="002E474C" w:rsidRDefault="00000000">
            <w:pPr>
              <w:pStyle w:val="A-"/>
            </w:pPr>
            <w:r>
              <w:t>5.7mg/kg</w:t>
            </w:r>
          </w:p>
        </w:tc>
        <w:tc>
          <w:tcPr>
            <w:tcW w:w="317" w:type="pct"/>
            <w:shd w:val="clear" w:color="auto" w:fill="auto"/>
            <w:tcMar>
              <w:top w:w="15" w:type="dxa"/>
              <w:left w:w="15" w:type="dxa"/>
              <w:bottom w:w="0" w:type="dxa"/>
              <w:right w:w="15" w:type="dxa"/>
            </w:tcMar>
            <w:vAlign w:val="center"/>
          </w:tcPr>
          <w:p w14:paraId="2DB38F07" w14:textId="77777777" w:rsidR="002E474C" w:rsidRDefault="00000000">
            <w:pPr>
              <w:pStyle w:val="A-"/>
            </w:pPr>
            <w:r>
              <w:t>达标</w:t>
            </w:r>
          </w:p>
        </w:tc>
      </w:tr>
      <w:tr w:rsidR="002E474C" w14:paraId="1D168732" w14:textId="77777777">
        <w:tc>
          <w:tcPr>
            <w:tcW w:w="757" w:type="pct"/>
            <w:shd w:val="clear" w:color="auto" w:fill="auto"/>
            <w:noWrap/>
            <w:tcMar>
              <w:top w:w="15" w:type="dxa"/>
              <w:left w:w="15" w:type="dxa"/>
              <w:bottom w:w="0" w:type="dxa"/>
              <w:right w:w="15" w:type="dxa"/>
            </w:tcMar>
            <w:vAlign w:val="center"/>
          </w:tcPr>
          <w:p w14:paraId="22675B73" w14:textId="77777777" w:rsidR="002E474C" w:rsidRDefault="00000000">
            <w:pPr>
              <w:pStyle w:val="A-"/>
            </w:pPr>
            <w:r>
              <w:t>钴</w:t>
            </w:r>
          </w:p>
        </w:tc>
        <w:tc>
          <w:tcPr>
            <w:tcW w:w="652" w:type="pct"/>
            <w:shd w:val="clear" w:color="auto" w:fill="auto"/>
            <w:tcMar>
              <w:top w:w="15" w:type="dxa"/>
              <w:left w:w="15" w:type="dxa"/>
              <w:bottom w:w="0" w:type="dxa"/>
              <w:right w:w="15" w:type="dxa"/>
            </w:tcMar>
            <w:vAlign w:val="center"/>
          </w:tcPr>
          <w:p w14:paraId="722C0931"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1E698268" w14:textId="77777777" w:rsidR="002E474C" w:rsidRDefault="00000000">
            <w:pPr>
              <w:pStyle w:val="A-"/>
            </w:pPr>
            <w:r>
              <w:t>11</w:t>
            </w:r>
          </w:p>
        </w:tc>
        <w:tc>
          <w:tcPr>
            <w:tcW w:w="446" w:type="pct"/>
            <w:shd w:val="clear" w:color="auto" w:fill="auto"/>
            <w:tcMar>
              <w:top w:w="15" w:type="dxa"/>
              <w:left w:w="15" w:type="dxa"/>
              <w:bottom w:w="0" w:type="dxa"/>
              <w:right w:w="15" w:type="dxa"/>
            </w:tcMar>
            <w:vAlign w:val="center"/>
          </w:tcPr>
          <w:p w14:paraId="50BC8EF2" w14:textId="77777777" w:rsidR="002E474C" w:rsidRDefault="00000000">
            <w:pPr>
              <w:pStyle w:val="A-"/>
            </w:pPr>
            <w:r>
              <w:t>0.16</w:t>
            </w:r>
          </w:p>
        </w:tc>
        <w:tc>
          <w:tcPr>
            <w:tcW w:w="446" w:type="pct"/>
            <w:shd w:val="clear" w:color="auto" w:fill="auto"/>
            <w:tcMar>
              <w:top w:w="15" w:type="dxa"/>
              <w:left w:w="15" w:type="dxa"/>
              <w:bottom w:w="0" w:type="dxa"/>
              <w:right w:w="15" w:type="dxa"/>
            </w:tcMar>
            <w:vAlign w:val="center"/>
          </w:tcPr>
          <w:p w14:paraId="6CC4B879" w14:textId="77777777" w:rsidR="002E474C" w:rsidRDefault="00000000">
            <w:pPr>
              <w:pStyle w:val="A-"/>
            </w:pPr>
            <w:r>
              <w:t>9</w:t>
            </w:r>
          </w:p>
        </w:tc>
        <w:tc>
          <w:tcPr>
            <w:tcW w:w="448" w:type="pct"/>
            <w:shd w:val="clear" w:color="auto" w:fill="auto"/>
            <w:tcMar>
              <w:top w:w="15" w:type="dxa"/>
              <w:left w:w="15" w:type="dxa"/>
              <w:bottom w:w="0" w:type="dxa"/>
              <w:right w:w="15" w:type="dxa"/>
            </w:tcMar>
            <w:vAlign w:val="center"/>
          </w:tcPr>
          <w:p w14:paraId="51E5DCA3" w14:textId="77777777" w:rsidR="002E474C" w:rsidRDefault="00000000">
            <w:pPr>
              <w:pStyle w:val="A-"/>
            </w:pPr>
            <w:r>
              <w:t>0.13</w:t>
            </w:r>
          </w:p>
        </w:tc>
        <w:tc>
          <w:tcPr>
            <w:tcW w:w="446" w:type="pct"/>
            <w:shd w:val="clear" w:color="auto" w:fill="auto"/>
            <w:tcMar>
              <w:top w:w="15" w:type="dxa"/>
              <w:left w:w="15" w:type="dxa"/>
              <w:bottom w:w="0" w:type="dxa"/>
              <w:right w:w="15" w:type="dxa"/>
            </w:tcMar>
            <w:vAlign w:val="center"/>
          </w:tcPr>
          <w:p w14:paraId="7A4E3B98" w14:textId="77777777" w:rsidR="002E474C" w:rsidRDefault="00000000">
            <w:pPr>
              <w:pStyle w:val="A-"/>
            </w:pPr>
            <w:r>
              <w:t>12</w:t>
            </w:r>
          </w:p>
        </w:tc>
        <w:tc>
          <w:tcPr>
            <w:tcW w:w="448" w:type="pct"/>
            <w:shd w:val="clear" w:color="auto" w:fill="auto"/>
            <w:tcMar>
              <w:top w:w="15" w:type="dxa"/>
              <w:left w:w="15" w:type="dxa"/>
              <w:bottom w:w="0" w:type="dxa"/>
              <w:right w:w="15" w:type="dxa"/>
            </w:tcMar>
            <w:vAlign w:val="center"/>
          </w:tcPr>
          <w:p w14:paraId="26512304" w14:textId="77777777" w:rsidR="002E474C" w:rsidRDefault="00000000">
            <w:pPr>
              <w:pStyle w:val="A-"/>
            </w:pPr>
            <w:r>
              <w:t>0.17</w:t>
            </w:r>
          </w:p>
        </w:tc>
        <w:tc>
          <w:tcPr>
            <w:tcW w:w="662" w:type="pct"/>
            <w:shd w:val="clear" w:color="auto" w:fill="auto"/>
            <w:tcMar>
              <w:top w:w="15" w:type="dxa"/>
              <w:left w:w="15" w:type="dxa"/>
              <w:bottom w:w="0" w:type="dxa"/>
              <w:right w:w="15" w:type="dxa"/>
            </w:tcMar>
            <w:vAlign w:val="center"/>
          </w:tcPr>
          <w:p w14:paraId="11B92068" w14:textId="77777777" w:rsidR="002E474C" w:rsidRDefault="00000000">
            <w:pPr>
              <w:pStyle w:val="A-"/>
            </w:pPr>
            <w:r>
              <w:t>70mg/kg</w:t>
            </w:r>
          </w:p>
        </w:tc>
        <w:tc>
          <w:tcPr>
            <w:tcW w:w="317" w:type="pct"/>
            <w:shd w:val="clear" w:color="auto" w:fill="auto"/>
            <w:tcMar>
              <w:top w:w="15" w:type="dxa"/>
              <w:left w:w="15" w:type="dxa"/>
              <w:bottom w:w="0" w:type="dxa"/>
              <w:right w:w="15" w:type="dxa"/>
            </w:tcMar>
            <w:vAlign w:val="center"/>
          </w:tcPr>
          <w:p w14:paraId="061CE1FE" w14:textId="77777777" w:rsidR="002E474C" w:rsidRDefault="00000000">
            <w:pPr>
              <w:pStyle w:val="A-"/>
            </w:pPr>
            <w:r>
              <w:t>达标</w:t>
            </w:r>
          </w:p>
        </w:tc>
      </w:tr>
      <w:tr w:rsidR="002E474C" w14:paraId="2F2C8063" w14:textId="77777777">
        <w:tc>
          <w:tcPr>
            <w:tcW w:w="757" w:type="pct"/>
            <w:shd w:val="clear" w:color="auto" w:fill="auto"/>
            <w:noWrap/>
            <w:tcMar>
              <w:top w:w="15" w:type="dxa"/>
              <w:left w:w="15" w:type="dxa"/>
              <w:bottom w:w="0" w:type="dxa"/>
              <w:right w:w="15" w:type="dxa"/>
            </w:tcMar>
            <w:vAlign w:val="center"/>
          </w:tcPr>
          <w:p w14:paraId="044D4C4E" w14:textId="77777777" w:rsidR="002E474C" w:rsidRDefault="00000000">
            <w:pPr>
              <w:pStyle w:val="A-"/>
            </w:pPr>
            <w:r>
              <w:t>钒</w:t>
            </w:r>
          </w:p>
        </w:tc>
        <w:tc>
          <w:tcPr>
            <w:tcW w:w="652" w:type="pct"/>
            <w:shd w:val="clear" w:color="auto" w:fill="auto"/>
            <w:tcMar>
              <w:top w:w="15" w:type="dxa"/>
              <w:left w:w="15" w:type="dxa"/>
              <w:bottom w:w="0" w:type="dxa"/>
              <w:right w:w="15" w:type="dxa"/>
            </w:tcMar>
            <w:vAlign w:val="center"/>
          </w:tcPr>
          <w:p w14:paraId="2474F639"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3616B0CA" w14:textId="77777777" w:rsidR="002E474C" w:rsidRDefault="00000000">
            <w:pPr>
              <w:pStyle w:val="A-"/>
            </w:pPr>
            <w:r>
              <w:t>59.1</w:t>
            </w:r>
          </w:p>
        </w:tc>
        <w:tc>
          <w:tcPr>
            <w:tcW w:w="446" w:type="pct"/>
            <w:shd w:val="clear" w:color="auto" w:fill="auto"/>
            <w:tcMar>
              <w:top w:w="15" w:type="dxa"/>
              <w:left w:w="15" w:type="dxa"/>
              <w:bottom w:w="0" w:type="dxa"/>
              <w:right w:w="15" w:type="dxa"/>
            </w:tcMar>
            <w:vAlign w:val="center"/>
          </w:tcPr>
          <w:p w14:paraId="1F89052F" w14:textId="77777777" w:rsidR="002E474C" w:rsidRDefault="00000000">
            <w:pPr>
              <w:pStyle w:val="A-"/>
            </w:pPr>
            <w:r>
              <w:t>0.08</w:t>
            </w:r>
          </w:p>
        </w:tc>
        <w:tc>
          <w:tcPr>
            <w:tcW w:w="446" w:type="pct"/>
            <w:shd w:val="clear" w:color="auto" w:fill="auto"/>
            <w:tcMar>
              <w:top w:w="15" w:type="dxa"/>
              <w:left w:w="15" w:type="dxa"/>
              <w:bottom w:w="0" w:type="dxa"/>
              <w:right w:w="15" w:type="dxa"/>
            </w:tcMar>
            <w:vAlign w:val="center"/>
          </w:tcPr>
          <w:p w14:paraId="6698A0B5" w14:textId="77777777" w:rsidR="002E474C" w:rsidRDefault="00000000">
            <w:pPr>
              <w:pStyle w:val="A-"/>
            </w:pPr>
            <w:r>
              <w:t>100.0</w:t>
            </w:r>
          </w:p>
        </w:tc>
        <w:tc>
          <w:tcPr>
            <w:tcW w:w="448" w:type="pct"/>
            <w:shd w:val="clear" w:color="auto" w:fill="auto"/>
            <w:tcMar>
              <w:top w:w="15" w:type="dxa"/>
              <w:left w:w="15" w:type="dxa"/>
              <w:bottom w:w="0" w:type="dxa"/>
              <w:right w:w="15" w:type="dxa"/>
            </w:tcMar>
            <w:vAlign w:val="center"/>
          </w:tcPr>
          <w:p w14:paraId="085A2848" w14:textId="77777777" w:rsidR="002E474C" w:rsidRDefault="00000000">
            <w:pPr>
              <w:pStyle w:val="A-"/>
            </w:pPr>
            <w:r>
              <w:t>0.13</w:t>
            </w:r>
          </w:p>
        </w:tc>
        <w:tc>
          <w:tcPr>
            <w:tcW w:w="446" w:type="pct"/>
            <w:shd w:val="clear" w:color="auto" w:fill="auto"/>
            <w:tcMar>
              <w:top w:w="15" w:type="dxa"/>
              <w:left w:w="15" w:type="dxa"/>
              <w:bottom w:w="0" w:type="dxa"/>
              <w:right w:w="15" w:type="dxa"/>
            </w:tcMar>
            <w:vAlign w:val="center"/>
          </w:tcPr>
          <w:p w14:paraId="05C8148C" w14:textId="77777777" w:rsidR="002E474C" w:rsidRDefault="00000000">
            <w:pPr>
              <w:pStyle w:val="A-"/>
            </w:pPr>
            <w:r>
              <w:t>40.4</w:t>
            </w:r>
          </w:p>
        </w:tc>
        <w:tc>
          <w:tcPr>
            <w:tcW w:w="448" w:type="pct"/>
            <w:shd w:val="clear" w:color="auto" w:fill="auto"/>
            <w:tcMar>
              <w:top w:w="15" w:type="dxa"/>
              <w:left w:w="15" w:type="dxa"/>
              <w:bottom w:w="0" w:type="dxa"/>
              <w:right w:w="15" w:type="dxa"/>
            </w:tcMar>
            <w:vAlign w:val="center"/>
          </w:tcPr>
          <w:p w14:paraId="67C8EFC9" w14:textId="77777777" w:rsidR="002E474C" w:rsidRDefault="00000000">
            <w:pPr>
              <w:pStyle w:val="A-"/>
            </w:pPr>
            <w:r>
              <w:t>0.05</w:t>
            </w:r>
          </w:p>
        </w:tc>
        <w:tc>
          <w:tcPr>
            <w:tcW w:w="662" w:type="pct"/>
            <w:shd w:val="clear" w:color="auto" w:fill="auto"/>
            <w:tcMar>
              <w:top w:w="15" w:type="dxa"/>
              <w:left w:w="15" w:type="dxa"/>
              <w:bottom w:w="0" w:type="dxa"/>
              <w:right w:w="15" w:type="dxa"/>
            </w:tcMar>
            <w:vAlign w:val="center"/>
          </w:tcPr>
          <w:p w14:paraId="22A3E350" w14:textId="77777777" w:rsidR="002E474C" w:rsidRDefault="00000000">
            <w:pPr>
              <w:pStyle w:val="A-"/>
            </w:pPr>
            <w:r>
              <w:t>752mg/kg</w:t>
            </w:r>
          </w:p>
        </w:tc>
        <w:tc>
          <w:tcPr>
            <w:tcW w:w="317" w:type="pct"/>
            <w:shd w:val="clear" w:color="auto" w:fill="auto"/>
            <w:tcMar>
              <w:top w:w="15" w:type="dxa"/>
              <w:left w:w="15" w:type="dxa"/>
              <w:bottom w:w="0" w:type="dxa"/>
              <w:right w:w="15" w:type="dxa"/>
            </w:tcMar>
            <w:vAlign w:val="center"/>
          </w:tcPr>
          <w:p w14:paraId="0454401E" w14:textId="77777777" w:rsidR="002E474C" w:rsidRDefault="00000000">
            <w:pPr>
              <w:pStyle w:val="A-"/>
            </w:pPr>
            <w:r>
              <w:t>达标</w:t>
            </w:r>
          </w:p>
        </w:tc>
      </w:tr>
      <w:tr w:rsidR="002E474C" w14:paraId="3DE74E7A" w14:textId="77777777">
        <w:tc>
          <w:tcPr>
            <w:tcW w:w="757" w:type="pct"/>
            <w:shd w:val="clear" w:color="auto" w:fill="auto"/>
            <w:noWrap/>
            <w:tcMar>
              <w:top w:w="15" w:type="dxa"/>
              <w:left w:w="15" w:type="dxa"/>
              <w:bottom w:w="0" w:type="dxa"/>
              <w:right w:w="15" w:type="dxa"/>
            </w:tcMar>
            <w:vAlign w:val="center"/>
          </w:tcPr>
          <w:p w14:paraId="5946265D" w14:textId="77777777" w:rsidR="002E474C" w:rsidRDefault="00000000">
            <w:pPr>
              <w:pStyle w:val="A-"/>
            </w:pPr>
            <w:r>
              <w:t>氰化物</w:t>
            </w:r>
          </w:p>
        </w:tc>
        <w:tc>
          <w:tcPr>
            <w:tcW w:w="652" w:type="pct"/>
            <w:shd w:val="clear" w:color="auto" w:fill="auto"/>
            <w:tcMar>
              <w:top w:w="15" w:type="dxa"/>
              <w:left w:w="15" w:type="dxa"/>
              <w:bottom w:w="0" w:type="dxa"/>
              <w:right w:w="15" w:type="dxa"/>
            </w:tcMar>
            <w:vAlign w:val="center"/>
          </w:tcPr>
          <w:p w14:paraId="733A93CD"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29450D65" w14:textId="77777777" w:rsidR="002E474C" w:rsidRDefault="00000000">
            <w:pPr>
              <w:pStyle w:val="A-"/>
            </w:pPr>
            <w:r>
              <w:t>&lt;0.04</w:t>
            </w:r>
          </w:p>
        </w:tc>
        <w:tc>
          <w:tcPr>
            <w:tcW w:w="446" w:type="pct"/>
            <w:shd w:val="clear" w:color="auto" w:fill="auto"/>
            <w:tcMar>
              <w:top w:w="15" w:type="dxa"/>
              <w:left w:w="15" w:type="dxa"/>
              <w:bottom w:w="0" w:type="dxa"/>
              <w:right w:w="15" w:type="dxa"/>
            </w:tcMar>
            <w:vAlign w:val="center"/>
          </w:tcPr>
          <w:p w14:paraId="591FA12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D761742" w14:textId="77777777" w:rsidR="002E474C" w:rsidRDefault="00000000">
            <w:pPr>
              <w:pStyle w:val="A-"/>
            </w:pPr>
            <w:r>
              <w:t>&lt;0.04</w:t>
            </w:r>
          </w:p>
        </w:tc>
        <w:tc>
          <w:tcPr>
            <w:tcW w:w="448" w:type="pct"/>
            <w:shd w:val="clear" w:color="auto" w:fill="auto"/>
            <w:tcMar>
              <w:top w:w="15" w:type="dxa"/>
              <w:left w:w="15" w:type="dxa"/>
              <w:bottom w:w="0" w:type="dxa"/>
              <w:right w:w="15" w:type="dxa"/>
            </w:tcMar>
            <w:vAlign w:val="center"/>
          </w:tcPr>
          <w:p w14:paraId="2666FA66"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57A0D01A" w14:textId="77777777" w:rsidR="002E474C" w:rsidRDefault="00000000">
            <w:pPr>
              <w:pStyle w:val="A-"/>
            </w:pPr>
            <w:r>
              <w:t>&lt;0.04</w:t>
            </w:r>
          </w:p>
        </w:tc>
        <w:tc>
          <w:tcPr>
            <w:tcW w:w="448" w:type="pct"/>
            <w:shd w:val="clear" w:color="auto" w:fill="auto"/>
            <w:tcMar>
              <w:top w:w="15" w:type="dxa"/>
              <w:left w:w="15" w:type="dxa"/>
              <w:bottom w:w="0" w:type="dxa"/>
              <w:right w:w="15" w:type="dxa"/>
            </w:tcMar>
            <w:vAlign w:val="center"/>
          </w:tcPr>
          <w:p w14:paraId="4F5C665D"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26CFCD5C" w14:textId="77777777" w:rsidR="002E474C" w:rsidRDefault="00000000">
            <w:pPr>
              <w:pStyle w:val="A-"/>
            </w:pPr>
            <w:r>
              <w:t>135mg/kg</w:t>
            </w:r>
          </w:p>
        </w:tc>
        <w:tc>
          <w:tcPr>
            <w:tcW w:w="317" w:type="pct"/>
            <w:shd w:val="clear" w:color="auto" w:fill="auto"/>
            <w:tcMar>
              <w:top w:w="15" w:type="dxa"/>
              <w:left w:w="15" w:type="dxa"/>
              <w:bottom w:w="0" w:type="dxa"/>
              <w:right w:w="15" w:type="dxa"/>
            </w:tcMar>
            <w:vAlign w:val="center"/>
          </w:tcPr>
          <w:p w14:paraId="0D061885" w14:textId="77777777" w:rsidR="002E474C" w:rsidRDefault="00000000">
            <w:pPr>
              <w:pStyle w:val="A-"/>
            </w:pPr>
            <w:r>
              <w:t>达标</w:t>
            </w:r>
          </w:p>
        </w:tc>
      </w:tr>
      <w:tr w:rsidR="002E474C" w14:paraId="2F02DE87" w14:textId="77777777">
        <w:tc>
          <w:tcPr>
            <w:tcW w:w="757" w:type="pct"/>
            <w:shd w:val="clear" w:color="auto" w:fill="auto"/>
            <w:noWrap/>
            <w:tcMar>
              <w:top w:w="15" w:type="dxa"/>
              <w:left w:w="15" w:type="dxa"/>
              <w:bottom w:w="0" w:type="dxa"/>
              <w:right w:w="15" w:type="dxa"/>
            </w:tcMar>
            <w:vAlign w:val="center"/>
          </w:tcPr>
          <w:p w14:paraId="6DBA85F2" w14:textId="77777777" w:rsidR="002E474C" w:rsidRDefault="00000000">
            <w:pPr>
              <w:pStyle w:val="A-"/>
            </w:pPr>
            <w:r>
              <w:t>石油烃（</w:t>
            </w:r>
            <w:r>
              <w:t>C</w:t>
            </w:r>
            <w:r>
              <w:rPr>
                <w:vertAlign w:val="subscript"/>
              </w:rPr>
              <w:t>10</w:t>
            </w:r>
            <w:r>
              <w:t>-C</w:t>
            </w:r>
            <w:r>
              <w:rPr>
                <w:vertAlign w:val="subscript"/>
              </w:rPr>
              <w:t>40</w:t>
            </w:r>
            <w:r>
              <w:t>）</w:t>
            </w:r>
          </w:p>
        </w:tc>
        <w:tc>
          <w:tcPr>
            <w:tcW w:w="652" w:type="pct"/>
            <w:shd w:val="clear" w:color="auto" w:fill="auto"/>
            <w:tcMar>
              <w:top w:w="15" w:type="dxa"/>
              <w:left w:w="15" w:type="dxa"/>
              <w:bottom w:w="0" w:type="dxa"/>
              <w:right w:w="15" w:type="dxa"/>
            </w:tcMar>
            <w:vAlign w:val="center"/>
          </w:tcPr>
          <w:p w14:paraId="27B176C6"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5E264618" w14:textId="77777777" w:rsidR="002E474C" w:rsidRDefault="00000000">
            <w:pPr>
              <w:pStyle w:val="A-"/>
            </w:pPr>
            <w:r>
              <w:t>22</w:t>
            </w:r>
          </w:p>
        </w:tc>
        <w:tc>
          <w:tcPr>
            <w:tcW w:w="446" w:type="pct"/>
            <w:shd w:val="clear" w:color="auto" w:fill="auto"/>
            <w:tcMar>
              <w:top w:w="15" w:type="dxa"/>
              <w:left w:w="15" w:type="dxa"/>
              <w:bottom w:w="0" w:type="dxa"/>
              <w:right w:w="15" w:type="dxa"/>
            </w:tcMar>
            <w:vAlign w:val="center"/>
          </w:tcPr>
          <w:p w14:paraId="7D5C0173"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4DB086D9" w14:textId="77777777" w:rsidR="002E474C" w:rsidRDefault="00000000">
            <w:pPr>
              <w:pStyle w:val="A-"/>
            </w:pPr>
            <w:r>
              <w:t>23</w:t>
            </w:r>
          </w:p>
        </w:tc>
        <w:tc>
          <w:tcPr>
            <w:tcW w:w="448" w:type="pct"/>
            <w:shd w:val="clear" w:color="auto" w:fill="auto"/>
            <w:tcMar>
              <w:top w:w="15" w:type="dxa"/>
              <w:left w:w="15" w:type="dxa"/>
              <w:bottom w:w="0" w:type="dxa"/>
              <w:right w:w="15" w:type="dxa"/>
            </w:tcMar>
            <w:vAlign w:val="center"/>
          </w:tcPr>
          <w:p w14:paraId="0832063B" w14:textId="77777777" w:rsidR="002E474C" w:rsidRDefault="00000000">
            <w:pPr>
              <w:pStyle w:val="A-"/>
            </w:pPr>
            <w:r>
              <w:t>0.01</w:t>
            </w:r>
          </w:p>
        </w:tc>
        <w:tc>
          <w:tcPr>
            <w:tcW w:w="446" w:type="pct"/>
            <w:shd w:val="clear" w:color="auto" w:fill="auto"/>
            <w:tcMar>
              <w:top w:w="15" w:type="dxa"/>
              <w:left w:w="15" w:type="dxa"/>
              <w:bottom w:w="0" w:type="dxa"/>
              <w:right w:w="15" w:type="dxa"/>
            </w:tcMar>
            <w:vAlign w:val="center"/>
          </w:tcPr>
          <w:p w14:paraId="0225BF48" w14:textId="77777777" w:rsidR="002E474C" w:rsidRDefault="00000000">
            <w:pPr>
              <w:pStyle w:val="A-"/>
            </w:pPr>
            <w:r>
              <w:t>23</w:t>
            </w:r>
          </w:p>
        </w:tc>
        <w:tc>
          <w:tcPr>
            <w:tcW w:w="448" w:type="pct"/>
            <w:shd w:val="clear" w:color="auto" w:fill="auto"/>
            <w:tcMar>
              <w:top w:w="15" w:type="dxa"/>
              <w:left w:w="15" w:type="dxa"/>
              <w:bottom w:w="0" w:type="dxa"/>
              <w:right w:w="15" w:type="dxa"/>
            </w:tcMar>
            <w:vAlign w:val="center"/>
          </w:tcPr>
          <w:p w14:paraId="7D27E952" w14:textId="77777777" w:rsidR="002E474C" w:rsidRDefault="00000000">
            <w:pPr>
              <w:pStyle w:val="A-"/>
            </w:pPr>
            <w:r>
              <w:t>0.00</w:t>
            </w:r>
          </w:p>
        </w:tc>
        <w:tc>
          <w:tcPr>
            <w:tcW w:w="662" w:type="pct"/>
            <w:shd w:val="clear" w:color="auto" w:fill="auto"/>
            <w:tcMar>
              <w:top w:w="15" w:type="dxa"/>
              <w:left w:w="15" w:type="dxa"/>
              <w:bottom w:w="0" w:type="dxa"/>
              <w:right w:w="15" w:type="dxa"/>
            </w:tcMar>
            <w:vAlign w:val="center"/>
          </w:tcPr>
          <w:p w14:paraId="7F2EE985" w14:textId="77777777" w:rsidR="002E474C" w:rsidRDefault="00000000">
            <w:pPr>
              <w:pStyle w:val="A-"/>
            </w:pPr>
            <w:r>
              <w:t>4500 mg/kg</w:t>
            </w:r>
          </w:p>
        </w:tc>
        <w:tc>
          <w:tcPr>
            <w:tcW w:w="317" w:type="pct"/>
            <w:shd w:val="clear" w:color="auto" w:fill="auto"/>
            <w:tcMar>
              <w:top w:w="15" w:type="dxa"/>
              <w:left w:w="15" w:type="dxa"/>
              <w:bottom w:w="0" w:type="dxa"/>
              <w:right w:w="15" w:type="dxa"/>
            </w:tcMar>
            <w:vAlign w:val="center"/>
          </w:tcPr>
          <w:p w14:paraId="45C19877" w14:textId="77777777" w:rsidR="002E474C" w:rsidRDefault="00000000">
            <w:pPr>
              <w:pStyle w:val="A-"/>
            </w:pPr>
            <w:r>
              <w:t>达标</w:t>
            </w:r>
          </w:p>
        </w:tc>
      </w:tr>
      <w:tr w:rsidR="002E474C" w14:paraId="4F74B8C8" w14:textId="77777777">
        <w:tc>
          <w:tcPr>
            <w:tcW w:w="757" w:type="pct"/>
            <w:shd w:val="clear" w:color="auto" w:fill="auto"/>
            <w:noWrap/>
            <w:tcMar>
              <w:top w:w="15" w:type="dxa"/>
              <w:left w:w="15" w:type="dxa"/>
              <w:bottom w:w="0" w:type="dxa"/>
              <w:right w:w="15" w:type="dxa"/>
            </w:tcMar>
            <w:vAlign w:val="center"/>
          </w:tcPr>
          <w:p w14:paraId="1C1FBDF5" w14:textId="77777777" w:rsidR="002E474C" w:rsidRDefault="00000000">
            <w:pPr>
              <w:pStyle w:val="A-"/>
            </w:pPr>
            <w:r>
              <w:t>二噁英类</w:t>
            </w:r>
          </w:p>
        </w:tc>
        <w:tc>
          <w:tcPr>
            <w:tcW w:w="652" w:type="pct"/>
            <w:shd w:val="clear" w:color="auto" w:fill="auto"/>
            <w:tcMar>
              <w:top w:w="15" w:type="dxa"/>
              <w:left w:w="15" w:type="dxa"/>
              <w:bottom w:w="0" w:type="dxa"/>
              <w:right w:w="15" w:type="dxa"/>
            </w:tcMar>
            <w:vAlign w:val="center"/>
          </w:tcPr>
          <w:p w14:paraId="08C71C7A" w14:textId="77777777" w:rsidR="002E474C" w:rsidRDefault="00000000">
            <w:pPr>
              <w:pStyle w:val="A-"/>
            </w:pPr>
            <w:proofErr w:type="spellStart"/>
            <w:r>
              <w:t>ngTEQ</w:t>
            </w:r>
            <w:proofErr w:type="spellEnd"/>
            <w:r>
              <w:t>/kg</w:t>
            </w:r>
          </w:p>
        </w:tc>
        <w:tc>
          <w:tcPr>
            <w:tcW w:w="373" w:type="pct"/>
            <w:shd w:val="clear" w:color="auto" w:fill="auto"/>
            <w:noWrap/>
            <w:tcMar>
              <w:top w:w="15" w:type="dxa"/>
              <w:left w:w="15" w:type="dxa"/>
              <w:bottom w:w="0" w:type="dxa"/>
              <w:right w:w="15" w:type="dxa"/>
            </w:tcMar>
            <w:vAlign w:val="center"/>
          </w:tcPr>
          <w:p w14:paraId="599C17D6" w14:textId="77777777" w:rsidR="002E474C" w:rsidRDefault="00000000">
            <w:pPr>
              <w:pStyle w:val="A-"/>
            </w:pPr>
            <w:r>
              <w:t>0.15</w:t>
            </w:r>
          </w:p>
        </w:tc>
        <w:tc>
          <w:tcPr>
            <w:tcW w:w="446" w:type="pct"/>
            <w:shd w:val="clear" w:color="auto" w:fill="auto"/>
            <w:noWrap/>
            <w:tcMar>
              <w:top w:w="15" w:type="dxa"/>
              <w:left w:w="15" w:type="dxa"/>
              <w:bottom w:w="0" w:type="dxa"/>
              <w:right w:w="15" w:type="dxa"/>
            </w:tcMar>
            <w:vAlign w:val="center"/>
          </w:tcPr>
          <w:p w14:paraId="544B4A54"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676F4D55" w14:textId="77777777" w:rsidR="002E474C" w:rsidRDefault="00000000">
            <w:pPr>
              <w:pStyle w:val="A-"/>
            </w:pPr>
            <w:r>
              <w:t>0.10</w:t>
            </w:r>
          </w:p>
        </w:tc>
        <w:tc>
          <w:tcPr>
            <w:tcW w:w="448" w:type="pct"/>
            <w:shd w:val="clear" w:color="auto" w:fill="auto"/>
            <w:noWrap/>
            <w:tcMar>
              <w:top w:w="15" w:type="dxa"/>
              <w:left w:w="15" w:type="dxa"/>
              <w:bottom w:w="0" w:type="dxa"/>
              <w:right w:w="15" w:type="dxa"/>
            </w:tcMar>
            <w:vAlign w:val="center"/>
          </w:tcPr>
          <w:p w14:paraId="33F6A765"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1880AEA7" w14:textId="77777777" w:rsidR="002E474C" w:rsidRDefault="00000000">
            <w:pPr>
              <w:pStyle w:val="A-"/>
            </w:pPr>
            <w:r>
              <w:t>0.23</w:t>
            </w:r>
          </w:p>
        </w:tc>
        <w:tc>
          <w:tcPr>
            <w:tcW w:w="448" w:type="pct"/>
            <w:shd w:val="clear" w:color="auto" w:fill="auto"/>
            <w:noWrap/>
            <w:tcMar>
              <w:top w:w="15" w:type="dxa"/>
              <w:left w:w="15" w:type="dxa"/>
              <w:bottom w:w="0" w:type="dxa"/>
              <w:right w:w="15" w:type="dxa"/>
            </w:tcMar>
            <w:vAlign w:val="center"/>
          </w:tcPr>
          <w:p w14:paraId="1BB8F1CB" w14:textId="77777777" w:rsidR="002E474C" w:rsidRDefault="00000000">
            <w:pPr>
              <w:pStyle w:val="A-"/>
            </w:pPr>
            <w:r>
              <w:t>0.09</w:t>
            </w:r>
          </w:p>
        </w:tc>
        <w:tc>
          <w:tcPr>
            <w:tcW w:w="662" w:type="pct"/>
            <w:shd w:val="clear" w:color="auto" w:fill="auto"/>
            <w:noWrap/>
            <w:tcMar>
              <w:top w:w="15" w:type="dxa"/>
              <w:left w:w="15" w:type="dxa"/>
              <w:bottom w:w="0" w:type="dxa"/>
              <w:right w:w="15" w:type="dxa"/>
            </w:tcMar>
            <w:vAlign w:val="center"/>
          </w:tcPr>
          <w:p w14:paraId="2120CA45" w14:textId="77777777" w:rsidR="002E474C" w:rsidRDefault="00000000">
            <w:pPr>
              <w:pStyle w:val="A-"/>
            </w:pPr>
            <w:r>
              <w:t>4×10</w:t>
            </w:r>
            <w:r>
              <w:rPr>
                <w:vertAlign w:val="superscript"/>
              </w:rPr>
              <w:t>-5</w:t>
            </w:r>
            <w:r>
              <w:t>mg/kg</w:t>
            </w:r>
          </w:p>
        </w:tc>
        <w:tc>
          <w:tcPr>
            <w:tcW w:w="317" w:type="pct"/>
            <w:shd w:val="clear" w:color="auto" w:fill="auto"/>
            <w:tcMar>
              <w:top w:w="15" w:type="dxa"/>
              <w:left w:w="15" w:type="dxa"/>
              <w:bottom w:w="0" w:type="dxa"/>
              <w:right w:w="15" w:type="dxa"/>
            </w:tcMar>
            <w:vAlign w:val="center"/>
          </w:tcPr>
          <w:p w14:paraId="01FC8486" w14:textId="77777777" w:rsidR="002E474C" w:rsidRDefault="00000000">
            <w:pPr>
              <w:pStyle w:val="A-"/>
            </w:pPr>
            <w:r>
              <w:t>达标</w:t>
            </w:r>
          </w:p>
        </w:tc>
      </w:tr>
      <w:tr w:rsidR="002E474C" w14:paraId="22A69B9D" w14:textId="77777777">
        <w:tc>
          <w:tcPr>
            <w:tcW w:w="757" w:type="pct"/>
            <w:shd w:val="clear" w:color="auto" w:fill="auto"/>
            <w:noWrap/>
            <w:tcMar>
              <w:top w:w="15" w:type="dxa"/>
              <w:left w:w="15" w:type="dxa"/>
              <w:bottom w:w="0" w:type="dxa"/>
              <w:right w:w="15" w:type="dxa"/>
            </w:tcMar>
            <w:vAlign w:val="center"/>
          </w:tcPr>
          <w:p w14:paraId="4BE1C206" w14:textId="77777777" w:rsidR="002E474C" w:rsidRDefault="00000000">
            <w:pPr>
              <w:pStyle w:val="A-"/>
            </w:pPr>
            <w:r>
              <w:t>pH</w:t>
            </w:r>
            <w:r>
              <w:t>值</w:t>
            </w:r>
          </w:p>
        </w:tc>
        <w:tc>
          <w:tcPr>
            <w:tcW w:w="652" w:type="pct"/>
            <w:shd w:val="clear" w:color="auto" w:fill="auto"/>
            <w:tcMar>
              <w:top w:w="15" w:type="dxa"/>
              <w:left w:w="15" w:type="dxa"/>
              <w:bottom w:w="0" w:type="dxa"/>
              <w:right w:w="15" w:type="dxa"/>
            </w:tcMar>
            <w:vAlign w:val="center"/>
          </w:tcPr>
          <w:p w14:paraId="2EDD4A34" w14:textId="77777777" w:rsidR="002E474C" w:rsidRDefault="00000000">
            <w:pPr>
              <w:pStyle w:val="A-"/>
            </w:pPr>
            <w:r>
              <w:t>无量纲</w:t>
            </w:r>
          </w:p>
        </w:tc>
        <w:tc>
          <w:tcPr>
            <w:tcW w:w="373" w:type="pct"/>
            <w:shd w:val="clear" w:color="auto" w:fill="auto"/>
            <w:noWrap/>
            <w:tcMar>
              <w:top w:w="15" w:type="dxa"/>
              <w:left w:w="15" w:type="dxa"/>
              <w:bottom w:w="0" w:type="dxa"/>
              <w:right w:w="15" w:type="dxa"/>
            </w:tcMar>
            <w:vAlign w:val="center"/>
          </w:tcPr>
          <w:p w14:paraId="7A74878D" w14:textId="77777777" w:rsidR="002E474C" w:rsidRDefault="00000000">
            <w:pPr>
              <w:pStyle w:val="A-"/>
            </w:pPr>
            <w:r>
              <w:t>8.05</w:t>
            </w:r>
          </w:p>
        </w:tc>
        <w:tc>
          <w:tcPr>
            <w:tcW w:w="446" w:type="pct"/>
            <w:shd w:val="clear" w:color="auto" w:fill="auto"/>
            <w:noWrap/>
            <w:tcMar>
              <w:top w:w="15" w:type="dxa"/>
              <w:left w:w="15" w:type="dxa"/>
              <w:bottom w:w="0" w:type="dxa"/>
              <w:right w:w="15" w:type="dxa"/>
            </w:tcMar>
            <w:vAlign w:val="center"/>
          </w:tcPr>
          <w:p w14:paraId="6381242E"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6C55F191" w14:textId="77777777" w:rsidR="002E474C" w:rsidRDefault="00000000">
            <w:pPr>
              <w:pStyle w:val="A-"/>
            </w:pPr>
            <w:r>
              <w:t>8.10</w:t>
            </w:r>
          </w:p>
        </w:tc>
        <w:tc>
          <w:tcPr>
            <w:tcW w:w="448" w:type="pct"/>
            <w:shd w:val="clear" w:color="auto" w:fill="auto"/>
            <w:noWrap/>
            <w:tcMar>
              <w:top w:w="15" w:type="dxa"/>
              <w:left w:w="15" w:type="dxa"/>
              <w:bottom w:w="0" w:type="dxa"/>
              <w:right w:w="15" w:type="dxa"/>
            </w:tcMar>
            <w:vAlign w:val="center"/>
          </w:tcPr>
          <w:p w14:paraId="3821475B"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6FBB3550" w14:textId="77777777" w:rsidR="002E474C" w:rsidRDefault="00000000">
            <w:pPr>
              <w:pStyle w:val="A-"/>
            </w:pPr>
            <w:r>
              <w:t>8.57</w:t>
            </w:r>
          </w:p>
        </w:tc>
        <w:tc>
          <w:tcPr>
            <w:tcW w:w="448" w:type="pct"/>
            <w:shd w:val="clear" w:color="auto" w:fill="auto"/>
            <w:noWrap/>
            <w:tcMar>
              <w:top w:w="15" w:type="dxa"/>
              <w:left w:w="15" w:type="dxa"/>
              <w:bottom w:w="0" w:type="dxa"/>
              <w:right w:w="15" w:type="dxa"/>
            </w:tcMar>
            <w:vAlign w:val="center"/>
          </w:tcPr>
          <w:p w14:paraId="7BF9344C" w14:textId="77777777" w:rsidR="002E474C" w:rsidRDefault="00000000">
            <w:pPr>
              <w:pStyle w:val="A-"/>
            </w:pPr>
            <w:r>
              <w:t>/</w:t>
            </w:r>
          </w:p>
        </w:tc>
        <w:tc>
          <w:tcPr>
            <w:tcW w:w="662" w:type="pct"/>
            <w:shd w:val="clear" w:color="auto" w:fill="auto"/>
            <w:noWrap/>
            <w:tcMar>
              <w:top w:w="15" w:type="dxa"/>
              <w:left w:w="15" w:type="dxa"/>
              <w:bottom w:w="0" w:type="dxa"/>
              <w:right w:w="15" w:type="dxa"/>
            </w:tcMar>
            <w:vAlign w:val="center"/>
          </w:tcPr>
          <w:p w14:paraId="225839BA" w14:textId="77777777" w:rsidR="002E474C" w:rsidRDefault="00000000">
            <w:pPr>
              <w:pStyle w:val="A-"/>
            </w:pPr>
            <w:r>
              <w:t>/</w:t>
            </w:r>
          </w:p>
        </w:tc>
        <w:tc>
          <w:tcPr>
            <w:tcW w:w="317" w:type="pct"/>
            <w:shd w:val="clear" w:color="auto" w:fill="auto"/>
            <w:tcMar>
              <w:top w:w="15" w:type="dxa"/>
              <w:left w:w="15" w:type="dxa"/>
              <w:bottom w:w="0" w:type="dxa"/>
              <w:right w:w="15" w:type="dxa"/>
            </w:tcMar>
            <w:vAlign w:val="center"/>
          </w:tcPr>
          <w:p w14:paraId="2DAB60A0" w14:textId="77777777" w:rsidR="002E474C" w:rsidRDefault="00000000">
            <w:pPr>
              <w:pStyle w:val="A-"/>
            </w:pPr>
            <w:r>
              <w:t>/</w:t>
            </w:r>
          </w:p>
        </w:tc>
      </w:tr>
      <w:tr w:rsidR="002E474C" w14:paraId="3679C658" w14:textId="77777777">
        <w:tc>
          <w:tcPr>
            <w:tcW w:w="5000" w:type="pct"/>
            <w:gridSpan w:val="10"/>
            <w:shd w:val="clear" w:color="auto" w:fill="auto"/>
            <w:noWrap/>
            <w:tcMar>
              <w:top w:w="15" w:type="dxa"/>
              <w:left w:w="15" w:type="dxa"/>
              <w:bottom w:w="0" w:type="dxa"/>
              <w:right w:w="15" w:type="dxa"/>
            </w:tcMar>
            <w:vAlign w:val="center"/>
          </w:tcPr>
          <w:p w14:paraId="6CACA66E" w14:textId="77777777" w:rsidR="002E474C" w:rsidRDefault="00000000">
            <w:pPr>
              <w:pStyle w:val="A-"/>
            </w:pPr>
            <w:r>
              <w:t>T2</w:t>
            </w:r>
            <w:r>
              <w:t>水泥窑尾区域</w:t>
            </w:r>
          </w:p>
        </w:tc>
      </w:tr>
      <w:tr w:rsidR="002E474C" w14:paraId="43B33259" w14:textId="77777777">
        <w:tc>
          <w:tcPr>
            <w:tcW w:w="757" w:type="pct"/>
            <w:shd w:val="clear" w:color="auto" w:fill="auto"/>
            <w:noWrap/>
            <w:tcMar>
              <w:top w:w="15" w:type="dxa"/>
              <w:left w:w="15" w:type="dxa"/>
              <w:bottom w:w="0" w:type="dxa"/>
              <w:right w:w="15" w:type="dxa"/>
            </w:tcMar>
            <w:vAlign w:val="center"/>
          </w:tcPr>
          <w:p w14:paraId="78BAE586" w14:textId="77777777" w:rsidR="002E474C" w:rsidRDefault="00000000">
            <w:pPr>
              <w:pStyle w:val="A-"/>
            </w:pPr>
            <w:r>
              <w:t>砷</w:t>
            </w:r>
          </w:p>
        </w:tc>
        <w:tc>
          <w:tcPr>
            <w:tcW w:w="652" w:type="pct"/>
            <w:shd w:val="clear" w:color="auto" w:fill="auto"/>
            <w:tcMar>
              <w:top w:w="15" w:type="dxa"/>
              <w:left w:w="15" w:type="dxa"/>
              <w:bottom w:w="0" w:type="dxa"/>
              <w:right w:w="15" w:type="dxa"/>
            </w:tcMar>
            <w:vAlign w:val="center"/>
          </w:tcPr>
          <w:p w14:paraId="3504316D"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CE9043A" w14:textId="77777777" w:rsidR="002E474C" w:rsidRDefault="00000000">
            <w:pPr>
              <w:pStyle w:val="A-"/>
            </w:pPr>
            <w:r>
              <w:t>13.0</w:t>
            </w:r>
          </w:p>
        </w:tc>
        <w:tc>
          <w:tcPr>
            <w:tcW w:w="446" w:type="pct"/>
            <w:shd w:val="clear" w:color="auto" w:fill="auto"/>
            <w:tcMar>
              <w:top w:w="15" w:type="dxa"/>
              <w:left w:w="15" w:type="dxa"/>
              <w:bottom w:w="0" w:type="dxa"/>
              <w:right w:w="15" w:type="dxa"/>
            </w:tcMar>
            <w:vAlign w:val="center"/>
          </w:tcPr>
          <w:p w14:paraId="125418EA" w14:textId="77777777" w:rsidR="002E474C" w:rsidRDefault="00000000">
            <w:pPr>
              <w:pStyle w:val="A-"/>
            </w:pPr>
            <w:r>
              <w:t>0.22</w:t>
            </w:r>
          </w:p>
        </w:tc>
        <w:tc>
          <w:tcPr>
            <w:tcW w:w="446" w:type="pct"/>
            <w:shd w:val="clear" w:color="auto" w:fill="auto"/>
            <w:tcMar>
              <w:top w:w="15" w:type="dxa"/>
              <w:left w:w="15" w:type="dxa"/>
              <w:bottom w:w="0" w:type="dxa"/>
              <w:right w:w="15" w:type="dxa"/>
            </w:tcMar>
            <w:vAlign w:val="center"/>
          </w:tcPr>
          <w:p w14:paraId="3F4C7597" w14:textId="77777777" w:rsidR="002E474C" w:rsidRDefault="00000000">
            <w:pPr>
              <w:pStyle w:val="A-"/>
            </w:pPr>
            <w:r>
              <w:t>13.6</w:t>
            </w:r>
          </w:p>
        </w:tc>
        <w:tc>
          <w:tcPr>
            <w:tcW w:w="448" w:type="pct"/>
            <w:shd w:val="clear" w:color="auto" w:fill="auto"/>
            <w:tcMar>
              <w:top w:w="15" w:type="dxa"/>
              <w:left w:w="15" w:type="dxa"/>
              <w:bottom w:w="0" w:type="dxa"/>
              <w:right w:w="15" w:type="dxa"/>
            </w:tcMar>
            <w:vAlign w:val="center"/>
          </w:tcPr>
          <w:p w14:paraId="7347FE9D" w14:textId="77777777" w:rsidR="002E474C" w:rsidRDefault="00000000">
            <w:pPr>
              <w:pStyle w:val="A-"/>
            </w:pPr>
            <w:r>
              <w:t>0.23</w:t>
            </w:r>
          </w:p>
        </w:tc>
        <w:tc>
          <w:tcPr>
            <w:tcW w:w="446" w:type="pct"/>
            <w:shd w:val="clear" w:color="auto" w:fill="auto"/>
            <w:tcMar>
              <w:top w:w="15" w:type="dxa"/>
              <w:left w:w="15" w:type="dxa"/>
              <w:bottom w:w="0" w:type="dxa"/>
              <w:right w:w="15" w:type="dxa"/>
            </w:tcMar>
            <w:vAlign w:val="center"/>
          </w:tcPr>
          <w:p w14:paraId="2BFFC84B" w14:textId="77777777" w:rsidR="002E474C" w:rsidRDefault="00000000">
            <w:pPr>
              <w:pStyle w:val="A-"/>
            </w:pPr>
            <w:r>
              <w:t>12.6</w:t>
            </w:r>
          </w:p>
        </w:tc>
        <w:tc>
          <w:tcPr>
            <w:tcW w:w="448" w:type="pct"/>
            <w:shd w:val="clear" w:color="auto" w:fill="auto"/>
            <w:tcMar>
              <w:top w:w="15" w:type="dxa"/>
              <w:left w:w="15" w:type="dxa"/>
              <w:bottom w:w="0" w:type="dxa"/>
              <w:right w:w="15" w:type="dxa"/>
            </w:tcMar>
            <w:vAlign w:val="center"/>
          </w:tcPr>
          <w:p w14:paraId="0EB3B772" w14:textId="77777777" w:rsidR="002E474C" w:rsidRDefault="00000000">
            <w:pPr>
              <w:pStyle w:val="A-"/>
            </w:pPr>
            <w:r>
              <w:t>0.21</w:t>
            </w:r>
          </w:p>
        </w:tc>
        <w:tc>
          <w:tcPr>
            <w:tcW w:w="662" w:type="pct"/>
            <w:shd w:val="clear" w:color="auto" w:fill="auto"/>
            <w:noWrap/>
            <w:tcMar>
              <w:top w:w="15" w:type="dxa"/>
              <w:left w:w="15" w:type="dxa"/>
              <w:bottom w:w="0" w:type="dxa"/>
              <w:right w:w="15" w:type="dxa"/>
            </w:tcMar>
            <w:vAlign w:val="center"/>
          </w:tcPr>
          <w:p w14:paraId="1F914DDC" w14:textId="77777777" w:rsidR="002E474C" w:rsidRDefault="00000000">
            <w:pPr>
              <w:pStyle w:val="A-"/>
            </w:pPr>
            <w:r>
              <w:t>60mg/kg</w:t>
            </w:r>
          </w:p>
        </w:tc>
        <w:tc>
          <w:tcPr>
            <w:tcW w:w="317" w:type="pct"/>
            <w:shd w:val="clear" w:color="auto" w:fill="auto"/>
            <w:noWrap/>
            <w:tcMar>
              <w:top w:w="15" w:type="dxa"/>
              <w:left w:w="15" w:type="dxa"/>
              <w:bottom w:w="0" w:type="dxa"/>
              <w:right w:w="15" w:type="dxa"/>
            </w:tcMar>
            <w:vAlign w:val="center"/>
          </w:tcPr>
          <w:p w14:paraId="2464A24D" w14:textId="77777777" w:rsidR="002E474C" w:rsidRDefault="00000000">
            <w:pPr>
              <w:pStyle w:val="A-"/>
            </w:pPr>
            <w:r>
              <w:t>达标</w:t>
            </w:r>
          </w:p>
        </w:tc>
      </w:tr>
      <w:tr w:rsidR="002E474C" w14:paraId="3279D92E" w14:textId="77777777">
        <w:tc>
          <w:tcPr>
            <w:tcW w:w="757" w:type="pct"/>
            <w:shd w:val="clear" w:color="auto" w:fill="auto"/>
            <w:noWrap/>
            <w:tcMar>
              <w:top w:w="15" w:type="dxa"/>
              <w:left w:w="15" w:type="dxa"/>
              <w:bottom w:w="0" w:type="dxa"/>
              <w:right w:w="15" w:type="dxa"/>
            </w:tcMar>
            <w:vAlign w:val="center"/>
          </w:tcPr>
          <w:p w14:paraId="4C9F5A05" w14:textId="77777777" w:rsidR="002E474C" w:rsidRDefault="00000000">
            <w:pPr>
              <w:pStyle w:val="A-"/>
            </w:pPr>
            <w:r>
              <w:t>铅</w:t>
            </w:r>
          </w:p>
        </w:tc>
        <w:tc>
          <w:tcPr>
            <w:tcW w:w="652" w:type="pct"/>
            <w:shd w:val="clear" w:color="auto" w:fill="auto"/>
            <w:tcMar>
              <w:top w:w="15" w:type="dxa"/>
              <w:left w:w="15" w:type="dxa"/>
              <w:bottom w:w="0" w:type="dxa"/>
              <w:right w:w="15" w:type="dxa"/>
            </w:tcMar>
            <w:vAlign w:val="center"/>
          </w:tcPr>
          <w:p w14:paraId="184D5BEB"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6ACC01A3" w14:textId="77777777" w:rsidR="002E474C" w:rsidRDefault="00000000">
            <w:pPr>
              <w:pStyle w:val="A-"/>
            </w:pPr>
            <w:r>
              <w:t>16</w:t>
            </w:r>
          </w:p>
        </w:tc>
        <w:tc>
          <w:tcPr>
            <w:tcW w:w="446" w:type="pct"/>
            <w:shd w:val="clear" w:color="auto" w:fill="auto"/>
            <w:tcMar>
              <w:top w:w="15" w:type="dxa"/>
              <w:left w:w="15" w:type="dxa"/>
              <w:bottom w:w="0" w:type="dxa"/>
              <w:right w:w="15" w:type="dxa"/>
            </w:tcMar>
            <w:vAlign w:val="center"/>
          </w:tcPr>
          <w:p w14:paraId="2F67BE0E" w14:textId="77777777" w:rsidR="002E474C" w:rsidRDefault="00000000">
            <w:pPr>
              <w:pStyle w:val="A-"/>
            </w:pPr>
            <w:r>
              <w:t>0.02</w:t>
            </w:r>
          </w:p>
        </w:tc>
        <w:tc>
          <w:tcPr>
            <w:tcW w:w="446" w:type="pct"/>
            <w:shd w:val="clear" w:color="auto" w:fill="auto"/>
            <w:tcMar>
              <w:top w:w="15" w:type="dxa"/>
              <w:left w:w="15" w:type="dxa"/>
              <w:bottom w:w="0" w:type="dxa"/>
              <w:right w:w="15" w:type="dxa"/>
            </w:tcMar>
            <w:vAlign w:val="center"/>
          </w:tcPr>
          <w:p w14:paraId="39F2F208" w14:textId="77777777" w:rsidR="002E474C" w:rsidRDefault="00000000">
            <w:pPr>
              <w:pStyle w:val="A-"/>
            </w:pPr>
            <w:r>
              <w:t>20</w:t>
            </w:r>
          </w:p>
        </w:tc>
        <w:tc>
          <w:tcPr>
            <w:tcW w:w="448" w:type="pct"/>
            <w:shd w:val="clear" w:color="auto" w:fill="auto"/>
            <w:tcMar>
              <w:top w:w="15" w:type="dxa"/>
              <w:left w:w="15" w:type="dxa"/>
              <w:bottom w:w="0" w:type="dxa"/>
              <w:right w:w="15" w:type="dxa"/>
            </w:tcMar>
            <w:vAlign w:val="center"/>
          </w:tcPr>
          <w:p w14:paraId="383BF9AB" w14:textId="77777777" w:rsidR="002E474C" w:rsidRDefault="00000000">
            <w:pPr>
              <w:pStyle w:val="A-"/>
            </w:pPr>
            <w:r>
              <w:t>0.023</w:t>
            </w:r>
          </w:p>
        </w:tc>
        <w:tc>
          <w:tcPr>
            <w:tcW w:w="446" w:type="pct"/>
            <w:shd w:val="clear" w:color="auto" w:fill="auto"/>
            <w:tcMar>
              <w:top w:w="15" w:type="dxa"/>
              <w:left w:w="15" w:type="dxa"/>
              <w:bottom w:w="0" w:type="dxa"/>
              <w:right w:w="15" w:type="dxa"/>
            </w:tcMar>
            <w:vAlign w:val="center"/>
          </w:tcPr>
          <w:p w14:paraId="6FE5EA03" w14:textId="77777777" w:rsidR="002E474C" w:rsidRDefault="00000000">
            <w:pPr>
              <w:pStyle w:val="A-"/>
            </w:pPr>
            <w:r>
              <w:t>55</w:t>
            </w:r>
          </w:p>
        </w:tc>
        <w:tc>
          <w:tcPr>
            <w:tcW w:w="448" w:type="pct"/>
            <w:shd w:val="clear" w:color="auto" w:fill="auto"/>
            <w:tcMar>
              <w:top w:w="15" w:type="dxa"/>
              <w:left w:w="15" w:type="dxa"/>
              <w:bottom w:w="0" w:type="dxa"/>
              <w:right w:w="15" w:type="dxa"/>
            </w:tcMar>
            <w:vAlign w:val="center"/>
          </w:tcPr>
          <w:p w14:paraId="624F6D93" w14:textId="77777777" w:rsidR="002E474C" w:rsidRDefault="00000000">
            <w:pPr>
              <w:pStyle w:val="A-"/>
            </w:pPr>
            <w:r>
              <w:t>0.07</w:t>
            </w:r>
          </w:p>
        </w:tc>
        <w:tc>
          <w:tcPr>
            <w:tcW w:w="662" w:type="pct"/>
            <w:shd w:val="clear" w:color="auto" w:fill="auto"/>
            <w:noWrap/>
            <w:tcMar>
              <w:top w:w="15" w:type="dxa"/>
              <w:left w:w="15" w:type="dxa"/>
              <w:bottom w:w="0" w:type="dxa"/>
              <w:right w:w="15" w:type="dxa"/>
            </w:tcMar>
            <w:vAlign w:val="center"/>
          </w:tcPr>
          <w:p w14:paraId="1C2B7D3E" w14:textId="77777777" w:rsidR="002E474C" w:rsidRDefault="00000000">
            <w:pPr>
              <w:pStyle w:val="A-"/>
            </w:pPr>
            <w:r>
              <w:t>800mg/kg</w:t>
            </w:r>
          </w:p>
        </w:tc>
        <w:tc>
          <w:tcPr>
            <w:tcW w:w="317" w:type="pct"/>
            <w:shd w:val="clear" w:color="auto" w:fill="auto"/>
            <w:noWrap/>
            <w:tcMar>
              <w:top w:w="15" w:type="dxa"/>
              <w:left w:w="15" w:type="dxa"/>
              <w:bottom w:w="0" w:type="dxa"/>
              <w:right w:w="15" w:type="dxa"/>
            </w:tcMar>
            <w:vAlign w:val="center"/>
          </w:tcPr>
          <w:p w14:paraId="4B706906" w14:textId="77777777" w:rsidR="002E474C" w:rsidRDefault="00000000">
            <w:pPr>
              <w:pStyle w:val="A-"/>
            </w:pPr>
            <w:r>
              <w:t>达标</w:t>
            </w:r>
          </w:p>
        </w:tc>
      </w:tr>
      <w:tr w:rsidR="002E474C" w14:paraId="23824BF2" w14:textId="77777777">
        <w:tc>
          <w:tcPr>
            <w:tcW w:w="757" w:type="pct"/>
            <w:shd w:val="clear" w:color="auto" w:fill="auto"/>
            <w:noWrap/>
            <w:tcMar>
              <w:top w:w="15" w:type="dxa"/>
              <w:left w:w="15" w:type="dxa"/>
              <w:bottom w:w="0" w:type="dxa"/>
              <w:right w:w="15" w:type="dxa"/>
            </w:tcMar>
            <w:vAlign w:val="center"/>
          </w:tcPr>
          <w:p w14:paraId="078D96ED" w14:textId="77777777" w:rsidR="002E474C" w:rsidRDefault="00000000">
            <w:pPr>
              <w:pStyle w:val="A-"/>
            </w:pPr>
            <w:r>
              <w:t>汞</w:t>
            </w:r>
          </w:p>
        </w:tc>
        <w:tc>
          <w:tcPr>
            <w:tcW w:w="652" w:type="pct"/>
            <w:shd w:val="clear" w:color="auto" w:fill="auto"/>
            <w:tcMar>
              <w:top w:w="15" w:type="dxa"/>
              <w:left w:w="15" w:type="dxa"/>
              <w:bottom w:w="0" w:type="dxa"/>
              <w:right w:w="15" w:type="dxa"/>
            </w:tcMar>
            <w:vAlign w:val="center"/>
          </w:tcPr>
          <w:p w14:paraId="5DE3B41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3801CAA" w14:textId="77777777" w:rsidR="002E474C" w:rsidRDefault="00000000">
            <w:pPr>
              <w:pStyle w:val="A-"/>
            </w:pPr>
            <w:r>
              <w:t>0.078</w:t>
            </w:r>
          </w:p>
        </w:tc>
        <w:tc>
          <w:tcPr>
            <w:tcW w:w="446" w:type="pct"/>
            <w:shd w:val="clear" w:color="auto" w:fill="auto"/>
            <w:tcMar>
              <w:top w:w="15" w:type="dxa"/>
              <w:left w:w="15" w:type="dxa"/>
              <w:bottom w:w="0" w:type="dxa"/>
              <w:right w:w="15" w:type="dxa"/>
            </w:tcMar>
            <w:vAlign w:val="center"/>
          </w:tcPr>
          <w:p w14:paraId="64D85E7A"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5BAD5B6A" w14:textId="77777777" w:rsidR="002E474C" w:rsidRDefault="00000000">
            <w:pPr>
              <w:pStyle w:val="A-"/>
            </w:pPr>
            <w:r>
              <w:t>0.068</w:t>
            </w:r>
          </w:p>
        </w:tc>
        <w:tc>
          <w:tcPr>
            <w:tcW w:w="448" w:type="pct"/>
            <w:shd w:val="clear" w:color="auto" w:fill="auto"/>
            <w:tcMar>
              <w:top w:w="15" w:type="dxa"/>
              <w:left w:w="15" w:type="dxa"/>
              <w:bottom w:w="0" w:type="dxa"/>
              <w:right w:w="15" w:type="dxa"/>
            </w:tcMar>
            <w:vAlign w:val="center"/>
          </w:tcPr>
          <w:p w14:paraId="2498DD55"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176FC7F8" w14:textId="77777777" w:rsidR="002E474C" w:rsidRDefault="00000000">
            <w:pPr>
              <w:pStyle w:val="A-"/>
            </w:pPr>
            <w:r>
              <w:t>0.092</w:t>
            </w:r>
          </w:p>
        </w:tc>
        <w:tc>
          <w:tcPr>
            <w:tcW w:w="448" w:type="pct"/>
            <w:shd w:val="clear" w:color="auto" w:fill="auto"/>
            <w:tcMar>
              <w:top w:w="15" w:type="dxa"/>
              <w:left w:w="15" w:type="dxa"/>
              <w:bottom w:w="0" w:type="dxa"/>
              <w:right w:w="15" w:type="dxa"/>
            </w:tcMar>
            <w:vAlign w:val="center"/>
          </w:tcPr>
          <w:p w14:paraId="36573083"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49ECED01" w14:textId="77777777" w:rsidR="002E474C" w:rsidRDefault="00000000">
            <w:pPr>
              <w:pStyle w:val="A-"/>
            </w:pPr>
            <w:r>
              <w:t>38mg/kg</w:t>
            </w:r>
          </w:p>
        </w:tc>
        <w:tc>
          <w:tcPr>
            <w:tcW w:w="317" w:type="pct"/>
            <w:shd w:val="clear" w:color="auto" w:fill="auto"/>
            <w:noWrap/>
            <w:tcMar>
              <w:top w:w="15" w:type="dxa"/>
              <w:left w:w="15" w:type="dxa"/>
              <w:bottom w:w="0" w:type="dxa"/>
              <w:right w:w="15" w:type="dxa"/>
            </w:tcMar>
            <w:vAlign w:val="center"/>
          </w:tcPr>
          <w:p w14:paraId="214D09EB" w14:textId="77777777" w:rsidR="002E474C" w:rsidRDefault="00000000">
            <w:pPr>
              <w:pStyle w:val="A-"/>
            </w:pPr>
            <w:r>
              <w:t>达标</w:t>
            </w:r>
          </w:p>
        </w:tc>
      </w:tr>
      <w:tr w:rsidR="002E474C" w14:paraId="33B36999" w14:textId="77777777">
        <w:tc>
          <w:tcPr>
            <w:tcW w:w="757" w:type="pct"/>
            <w:shd w:val="clear" w:color="auto" w:fill="auto"/>
            <w:noWrap/>
            <w:tcMar>
              <w:top w:w="15" w:type="dxa"/>
              <w:left w:w="15" w:type="dxa"/>
              <w:bottom w:w="0" w:type="dxa"/>
              <w:right w:w="15" w:type="dxa"/>
            </w:tcMar>
            <w:vAlign w:val="center"/>
          </w:tcPr>
          <w:p w14:paraId="58A85901" w14:textId="77777777" w:rsidR="002E474C" w:rsidRDefault="00000000">
            <w:pPr>
              <w:pStyle w:val="A-"/>
            </w:pPr>
            <w:r>
              <w:t>镉</w:t>
            </w:r>
          </w:p>
        </w:tc>
        <w:tc>
          <w:tcPr>
            <w:tcW w:w="652" w:type="pct"/>
            <w:shd w:val="clear" w:color="auto" w:fill="auto"/>
            <w:tcMar>
              <w:top w:w="15" w:type="dxa"/>
              <w:left w:w="15" w:type="dxa"/>
              <w:bottom w:w="0" w:type="dxa"/>
              <w:right w:w="15" w:type="dxa"/>
            </w:tcMar>
            <w:vAlign w:val="center"/>
          </w:tcPr>
          <w:p w14:paraId="4D6B7040"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2DBE2EE1" w14:textId="77777777" w:rsidR="002E474C" w:rsidRDefault="00000000">
            <w:pPr>
              <w:pStyle w:val="A-"/>
            </w:pPr>
            <w:r>
              <w:t>0.30</w:t>
            </w:r>
          </w:p>
        </w:tc>
        <w:tc>
          <w:tcPr>
            <w:tcW w:w="446" w:type="pct"/>
            <w:shd w:val="clear" w:color="auto" w:fill="auto"/>
            <w:tcMar>
              <w:top w:w="15" w:type="dxa"/>
              <w:left w:w="15" w:type="dxa"/>
              <w:bottom w:w="0" w:type="dxa"/>
              <w:right w:w="15" w:type="dxa"/>
            </w:tcMar>
            <w:vAlign w:val="center"/>
          </w:tcPr>
          <w:p w14:paraId="7419293A"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044F9ED2" w14:textId="77777777" w:rsidR="002E474C" w:rsidRDefault="00000000">
            <w:pPr>
              <w:pStyle w:val="A-"/>
            </w:pPr>
            <w:r>
              <w:t>0.29</w:t>
            </w:r>
          </w:p>
        </w:tc>
        <w:tc>
          <w:tcPr>
            <w:tcW w:w="448" w:type="pct"/>
            <w:shd w:val="clear" w:color="auto" w:fill="auto"/>
            <w:tcMar>
              <w:top w:w="15" w:type="dxa"/>
              <w:left w:w="15" w:type="dxa"/>
              <w:bottom w:w="0" w:type="dxa"/>
              <w:right w:w="15" w:type="dxa"/>
            </w:tcMar>
            <w:vAlign w:val="center"/>
          </w:tcPr>
          <w:p w14:paraId="7D8C7E6E"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11DB3F3F" w14:textId="77777777" w:rsidR="002E474C" w:rsidRDefault="00000000">
            <w:pPr>
              <w:pStyle w:val="A-"/>
            </w:pPr>
            <w:r>
              <w:t>1.04</w:t>
            </w:r>
          </w:p>
        </w:tc>
        <w:tc>
          <w:tcPr>
            <w:tcW w:w="448" w:type="pct"/>
            <w:shd w:val="clear" w:color="auto" w:fill="auto"/>
            <w:tcMar>
              <w:top w:w="15" w:type="dxa"/>
              <w:left w:w="15" w:type="dxa"/>
              <w:bottom w:w="0" w:type="dxa"/>
              <w:right w:w="15" w:type="dxa"/>
            </w:tcMar>
            <w:vAlign w:val="center"/>
          </w:tcPr>
          <w:p w14:paraId="2315FBFA" w14:textId="77777777" w:rsidR="002E474C" w:rsidRDefault="00000000">
            <w:pPr>
              <w:pStyle w:val="A-"/>
            </w:pPr>
            <w:r>
              <w:t>0.02</w:t>
            </w:r>
          </w:p>
        </w:tc>
        <w:tc>
          <w:tcPr>
            <w:tcW w:w="662" w:type="pct"/>
            <w:shd w:val="clear" w:color="auto" w:fill="auto"/>
            <w:noWrap/>
            <w:tcMar>
              <w:top w:w="15" w:type="dxa"/>
              <w:left w:w="15" w:type="dxa"/>
              <w:bottom w:w="0" w:type="dxa"/>
              <w:right w:w="15" w:type="dxa"/>
            </w:tcMar>
            <w:vAlign w:val="center"/>
          </w:tcPr>
          <w:p w14:paraId="1D70601E" w14:textId="77777777" w:rsidR="002E474C" w:rsidRDefault="00000000">
            <w:pPr>
              <w:pStyle w:val="A-"/>
            </w:pPr>
            <w:r>
              <w:t>65mg/kg</w:t>
            </w:r>
          </w:p>
        </w:tc>
        <w:tc>
          <w:tcPr>
            <w:tcW w:w="317" w:type="pct"/>
            <w:shd w:val="clear" w:color="auto" w:fill="auto"/>
            <w:noWrap/>
            <w:tcMar>
              <w:top w:w="15" w:type="dxa"/>
              <w:left w:w="15" w:type="dxa"/>
              <w:bottom w:w="0" w:type="dxa"/>
              <w:right w:w="15" w:type="dxa"/>
            </w:tcMar>
            <w:vAlign w:val="center"/>
          </w:tcPr>
          <w:p w14:paraId="7B241E82" w14:textId="77777777" w:rsidR="002E474C" w:rsidRDefault="00000000">
            <w:pPr>
              <w:pStyle w:val="A-"/>
            </w:pPr>
            <w:r>
              <w:t>达标</w:t>
            </w:r>
          </w:p>
        </w:tc>
      </w:tr>
      <w:tr w:rsidR="002E474C" w14:paraId="3CA0C092" w14:textId="77777777">
        <w:tc>
          <w:tcPr>
            <w:tcW w:w="757" w:type="pct"/>
            <w:shd w:val="clear" w:color="auto" w:fill="auto"/>
            <w:noWrap/>
            <w:tcMar>
              <w:top w:w="15" w:type="dxa"/>
              <w:left w:w="15" w:type="dxa"/>
              <w:bottom w:w="0" w:type="dxa"/>
              <w:right w:w="15" w:type="dxa"/>
            </w:tcMar>
            <w:vAlign w:val="center"/>
          </w:tcPr>
          <w:p w14:paraId="04E6DC8A" w14:textId="77777777" w:rsidR="002E474C" w:rsidRDefault="00000000">
            <w:pPr>
              <w:pStyle w:val="A-"/>
            </w:pPr>
            <w:r>
              <w:t>铜</w:t>
            </w:r>
          </w:p>
        </w:tc>
        <w:tc>
          <w:tcPr>
            <w:tcW w:w="652" w:type="pct"/>
            <w:shd w:val="clear" w:color="auto" w:fill="auto"/>
            <w:tcMar>
              <w:top w:w="15" w:type="dxa"/>
              <w:left w:w="15" w:type="dxa"/>
              <w:bottom w:w="0" w:type="dxa"/>
              <w:right w:w="15" w:type="dxa"/>
            </w:tcMar>
            <w:vAlign w:val="center"/>
          </w:tcPr>
          <w:p w14:paraId="27A7585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59F438D9" w14:textId="77777777" w:rsidR="002E474C" w:rsidRDefault="00000000">
            <w:pPr>
              <w:pStyle w:val="A-"/>
            </w:pPr>
            <w:r>
              <w:t>29</w:t>
            </w:r>
          </w:p>
        </w:tc>
        <w:tc>
          <w:tcPr>
            <w:tcW w:w="446" w:type="pct"/>
            <w:shd w:val="clear" w:color="auto" w:fill="auto"/>
            <w:tcMar>
              <w:top w:w="15" w:type="dxa"/>
              <w:left w:w="15" w:type="dxa"/>
              <w:bottom w:w="0" w:type="dxa"/>
              <w:right w:w="15" w:type="dxa"/>
            </w:tcMar>
            <w:vAlign w:val="center"/>
          </w:tcPr>
          <w:p w14:paraId="0935CEBA"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70486CA4" w14:textId="77777777" w:rsidR="002E474C" w:rsidRDefault="00000000">
            <w:pPr>
              <w:pStyle w:val="A-"/>
            </w:pPr>
            <w:r>
              <w:t>36</w:t>
            </w:r>
          </w:p>
        </w:tc>
        <w:tc>
          <w:tcPr>
            <w:tcW w:w="448" w:type="pct"/>
            <w:shd w:val="clear" w:color="auto" w:fill="auto"/>
            <w:tcMar>
              <w:top w:w="15" w:type="dxa"/>
              <w:left w:w="15" w:type="dxa"/>
              <w:bottom w:w="0" w:type="dxa"/>
              <w:right w:w="15" w:type="dxa"/>
            </w:tcMar>
            <w:vAlign w:val="center"/>
          </w:tcPr>
          <w:p w14:paraId="257CBCD3"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3D64BE33" w14:textId="77777777" w:rsidR="002E474C" w:rsidRDefault="00000000">
            <w:pPr>
              <w:pStyle w:val="A-"/>
            </w:pPr>
            <w:r>
              <w:t>56</w:t>
            </w:r>
          </w:p>
        </w:tc>
        <w:tc>
          <w:tcPr>
            <w:tcW w:w="448" w:type="pct"/>
            <w:shd w:val="clear" w:color="auto" w:fill="auto"/>
            <w:tcMar>
              <w:top w:w="15" w:type="dxa"/>
              <w:left w:w="15" w:type="dxa"/>
              <w:bottom w:w="0" w:type="dxa"/>
              <w:right w:w="15" w:type="dxa"/>
            </w:tcMar>
            <w:vAlign w:val="center"/>
          </w:tcPr>
          <w:p w14:paraId="5CE1724F"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4FEB1AFD" w14:textId="77777777" w:rsidR="002E474C" w:rsidRDefault="00000000">
            <w:pPr>
              <w:pStyle w:val="A-"/>
            </w:pPr>
            <w:r>
              <w:t>18000mg/kg</w:t>
            </w:r>
          </w:p>
        </w:tc>
        <w:tc>
          <w:tcPr>
            <w:tcW w:w="317" w:type="pct"/>
            <w:shd w:val="clear" w:color="auto" w:fill="auto"/>
            <w:noWrap/>
            <w:tcMar>
              <w:top w:w="15" w:type="dxa"/>
              <w:left w:w="15" w:type="dxa"/>
              <w:bottom w:w="0" w:type="dxa"/>
              <w:right w:w="15" w:type="dxa"/>
            </w:tcMar>
            <w:vAlign w:val="center"/>
          </w:tcPr>
          <w:p w14:paraId="09773108" w14:textId="77777777" w:rsidR="002E474C" w:rsidRDefault="00000000">
            <w:pPr>
              <w:pStyle w:val="A-"/>
            </w:pPr>
            <w:r>
              <w:t>达标</w:t>
            </w:r>
          </w:p>
        </w:tc>
      </w:tr>
      <w:tr w:rsidR="002E474C" w14:paraId="5BA3B427" w14:textId="77777777">
        <w:tc>
          <w:tcPr>
            <w:tcW w:w="757" w:type="pct"/>
            <w:shd w:val="clear" w:color="auto" w:fill="auto"/>
            <w:noWrap/>
            <w:tcMar>
              <w:top w:w="15" w:type="dxa"/>
              <w:left w:w="15" w:type="dxa"/>
              <w:bottom w:w="0" w:type="dxa"/>
              <w:right w:w="15" w:type="dxa"/>
            </w:tcMar>
            <w:vAlign w:val="center"/>
          </w:tcPr>
          <w:p w14:paraId="7E087182" w14:textId="77777777" w:rsidR="002E474C" w:rsidRDefault="00000000">
            <w:pPr>
              <w:pStyle w:val="A-"/>
            </w:pPr>
            <w:r>
              <w:t>镍</w:t>
            </w:r>
          </w:p>
        </w:tc>
        <w:tc>
          <w:tcPr>
            <w:tcW w:w="652" w:type="pct"/>
            <w:shd w:val="clear" w:color="auto" w:fill="auto"/>
            <w:tcMar>
              <w:top w:w="15" w:type="dxa"/>
              <w:left w:w="15" w:type="dxa"/>
              <w:bottom w:w="0" w:type="dxa"/>
              <w:right w:w="15" w:type="dxa"/>
            </w:tcMar>
            <w:vAlign w:val="center"/>
          </w:tcPr>
          <w:p w14:paraId="24F78B9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7B27047" w14:textId="77777777" w:rsidR="002E474C" w:rsidRDefault="00000000">
            <w:pPr>
              <w:pStyle w:val="A-"/>
            </w:pPr>
            <w:r>
              <w:t>34</w:t>
            </w:r>
          </w:p>
        </w:tc>
        <w:tc>
          <w:tcPr>
            <w:tcW w:w="446" w:type="pct"/>
            <w:shd w:val="clear" w:color="auto" w:fill="auto"/>
            <w:tcMar>
              <w:top w:w="15" w:type="dxa"/>
              <w:left w:w="15" w:type="dxa"/>
              <w:bottom w:w="0" w:type="dxa"/>
              <w:right w:w="15" w:type="dxa"/>
            </w:tcMar>
            <w:vAlign w:val="center"/>
          </w:tcPr>
          <w:p w14:paraId="238A2086" w14:textId="77777777" w:rsidR="002E474C" w:rsidRDefault="00000000">
            <w:pPr>
              <w:pStyle w:val="A-"/>
            </w:pPr>
            <w:r>
              <w:t>0.04</w:t>
            </w:r>
          </w:p>
        </w:tc>
        <w:tc>
          <w:tcPr>
            <w:tcW w:w="446" w:type="pct"/>
            <w:shd w:val="clear" w:color="auto" w:fill="auto"/>
            <w:tcMar>
              <w:top w:w="15" w:type="dxa"/>
              <w:left w:w="15" w:type="dxa"/>
              <w:bottom w:w="0" w:type="dxa"/>
              <w:right w:w="15" w:type="dxa"/>
            </w:tcMar>
            <w:vAlign w:val="center"/>
          </w:tcPr>
          <w:p w14:paraId="050E6829" w14:textId="77777777" w:rsidR="002E474C" w:rsidRDefault="00000000">
            <w:pPr>
              <w:pStyle w:val="A-"/>
            </w:pPr>
            <w:r>
              <w:t>32</w:t>
            </w:r>
          </w:p>
        </w:tc>
        <w:tc>
          <w:tcPr>
            <w:tcW w:w="448" w:type="pct"/>
            <w:shd w:val="clear" w:color="auto" w:fill="auto"/>
            <w:tcMar>
              <w:top w:w="15" w:type="dxa"/>
              <w:left w:w="15" w:type="dxa"/>
              <w:bottom w:w="0" w:type="dxa"/>
              <w:right w:w="15" w:type="dxa"/>
            </w:tcMar>
            <w:vAlign w:val="center"/>
          </w:tcPr>
          <w:p w14:paraId="14BE9835" w14:textId="77777777" w:rsidR="002E474C" w:rsidRDefault="00000000">
            <w:pPr>
              <w:pStyle w:val="A-"/>
            </w:pPr>
            <w:r>
              <w:t>0.04</w:t>
            </w:r>
          </w:p>
        </w:tc>
        <w:tc>
          <w:tcPr>
            <w:tcW w:w="446" w:type="pct"/>
            <w:shd w:val="clear" w:color="auto" w:fill="auto"/>
            <w:tcMar>
              <w:top w:w="15" w:type="dxa"/>
              <w:left w:w="15" w:type="dxa"/>
              <w:bottom w:w="0" w:type="dxa"/>
              <w:right w:w="15" w:type="dxa"/>
            </w:tcMar>
            <w:vAlign w:val="center"/>
          </w:tcPr>
          <w:p w14:paraId="6EE1DC47" w14:textId="77777777" w:rsidR="002E474C" w:rsidRDefault="00000000">
            <w:pPr>
              <w:pStyle w:val="A-"/>
            </w:pPr>
            <w:r>
              <w:t>62</w:t>
            </w:r>
          </w:p>
        </w:tc>
        <w:tc>
          <w:tcPr>
            <w:tcW w:w="448" w:type="pct"/>
            <w:shd w:val="clear" w:color="auto" w:fill="auto"/>
            <w:tcMar>
              <w:top w:w="15" w:type="dxa"/>
              <w:left w:w="15" w:type="dxa"/>
              <w:bottom w:w="0" w:type="dxa"/>
              <w:right w:w="15" w:type="dxa"/>
            </w:tcMar>
            <w:vAlign w:val="center"/>
          </w:tcPr>
          <w:p w14:paraId="69CC8461" w14:textId="77777777" w:rsidR="002E474C" w:rsidRDefault="00000000">
            <w:pPr>
              <w:pStyle w:val="A-"/>
            </w:pPr>
            <w:r>
              <w:t>0.07</w:t>
            </w:r>
          </w:p>
        </w:tc>
        <w:tc>
          <w:tcPr>
            <w:tcW w:w="662" w:type="pct"/>
            <w:shd w:val="clear" w:color="auto" w:fill="auto"/>
            <w:tcMar>
              <w:top w:w="15" w:type="dxa"/>
              <w:left w:w="15" w:type="dxa"/>
              <w:bottom w:w="0" w:type="dxa"/>
              <w:right w:w="15" w:type="dxa"/>
            </w:tcMar>
            <w:vAlign w:val="center"/>
          </w:tcPr>
          <w:p w14:paraId="65FF6F5A" w14:textId="77777777" w:rsidR="002E474C" w:rsidRDefault="00000000">
            <w:pPr>
              <w:pStyle w:val="A-"/>
            </w:pPr>
            <w:r>
              <w:t>900mg/kg</w:t>
            </w:r>
          </w:p>
        </w:tc>
        <w:tc>
          <w:tcPr>
            <w:tcW w:w="317" w:type="pct"/>
            <w:shd w:val="clear" w:color="auto" w:fill="auto"/>
            <w:noWrap/>
            <w:tcMar>
              <w:top w:w="15" w:type="dxa"/>
              <w:left w:w="15" w:type="dxa"/>
              <w:bottom w:w="0" w:type="dxa"/>
              <w:right w:w="15" w:type="dxa"/>
            </w:tcMar>
            <w:vAlign w:val="center"/>
          </w:tcPr>
          <w:p w14:paraId="135FC20A" w14:textId="77777777" w:rsidR="002E474C" w:rsidRDefault="00000000">
            <w:pPr>
              <w:pStyle w:val="A-"/>
            </w:pPr>
            <w:r>
              <w:t>达标</w:t>
            </w:r>
          </w:p>
        </w:tc>
      </w:tr>
      <w:tr w:rsidR="002E474C" w14:paraId="3643F21D" w14:textId="77777777">
        <w:tc>
          <w:tcPr>
            <w:tcW w:w="757" w:type="pct"/>
            <w:shd w:val="clear" w:color="auto" w:fill="auto"/>
            <w:noWrap/>
            <w:tcMar>
              <w:top w:w="15" w:type="dxa"/>
              <w:left w:w="15" w:type="dxa"/>
              <w:bottom w:w="0" w:type="dxa"/>
              <w:right w:w="15" w:type="dxa"/>
            </w:tcMar>
            <w:vAlign w:val="center"/>
          </w:tcPr>
          <w:p w14:paraId="324310B0" w14:textId="77777777" w:rsidR="002E474C" w:rsidRDefault="00000000">
            <w:pPr>
              <w:pStyle w:val="A-"/>
            </w:pPr>
            <w:r>
              <w:t>六价铬</w:t>
            </w:r>
          </w:p>
        </w:tc>
        <w:tc>
          <w:tcPr>
            <w:tcW w:w="652" w:type="pct"/>
            <w:shd w:val="clear" w:color="auto" w:fill="auto"/>
            <w:tcMar>
              <w:top w:w="15" w:type="dxa"/>
              <w:left w:w="15" w:type="dxa"/>
              <w:bottom w:w="0" w:type="dxa"/>
              <w:right w:w="15" w:type="dxa"/>
            </w:tcMar>
            <w:vAlign w:val="center"/>
          </w:tcPr>
          <w:p w14:paraId="51E4059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33B6F035" w14:textId="77777777" w:rsidR="002E474C" w:rsidRDefault="00000000">
            <w:pPr>
              <w:pStyle w:val="A-"/>
            </w:pPr>
            <w:r>
              <w:t>&lt;0.5</w:t>
            </w:r>
          </w:p>
        </w:tc>
        <w:tc>
          <w:tcPr>
            <w:tcW w:w="446" w:type="pct"/>
            <w:shd w:val="clear" w:color="auto" w:fill="auto"/>
            <w:tcMar>
              <w:top w:w="15" w:type="dxa"/>
              <w:left w:w="15" w:type="dxa"/>
              <w:bottom w:w="0" w:type="dxa"/>
              <w:right w:w="15" w:type="dxa"/>
            </w:tcMar>
            <w:vAlign w:val="center"/>
          </w:tcPr>
          <w:p w14:paraId="0C29FB3F"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1985922"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0CA03E81"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7A8A8379"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2EE2A408"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47BB901C" w14:textId="77777777" w:rsidR="002E474C" w:rsidRDefault="00000000">
            <w:pPr>
              <w:pStyle w:val="A-"/>
            </w:pPr>
            <w:r>
              <w:t>5.7mg/kg</w:t>
            </w:r>
          </w:p>
        </w:tc>
        <w:tc>
          <w:tcPr>
            <w:tcW w:w="317" w:type="pct"/>
            <w:shd w:val="clear" w:color="auto" w:fill="auto"/>
            <w:noWrap/>
            <w:tcMar>
              <w:top w:w="15" w:type="dxa"/>
              <w:left w:w="15" w:type="dxa"/>
              <w:bottom w:w="0" w:type="dxa"/>
              <w:right w:w="15" w:type="dxa"/>
            </w:tcMar>
            <w:vAlign w:val="center"/>
          </w:tcPr>
          <w:p w14:paraId="01946DC6" w14:textId="77777777" w:rsidR="002E474C" w:rsidRDefault="00000000">
            <w:pPr>
              <w:pStyle w:val="A-"/>
            </w:pPr>
            <w:r>
              <w:t>达标</w:t>
            </w:r>
          </w:p>
        </w:tc>
      </w:tr>
      <w:tr w:rsidR="002E474C" w14:paraId="3AB67611" w14:textId="77777777">
        <w:tc>
          <w:tcPr>
            <w:tcW w:w="757" w:type="pct"/>
            <w:shd w:val="clear" w:color="auto" w:fill="auto"/>
            <w:noWrap/>
            <w:tcMar>
              <w:top w:w="15" w:type="dxa"/>
              <w:left w:w="15" w:type="dxa"/>
              <w:bottom w:w="0" w:type="dxa"/>
              <w:right w:w="15" w:type="dxa"/>
            </w:tcMar>
            <w:vAlign w:val="center"/>
          </w:tcPr>
          <w:p w14:paraId="67AC0A51" w14:textId="77777777" w:rsidR="002E474C" w:rsidRDefault="00000000">
            <w:pPr>
              <w:pStyle w:val="A-"/>
            </w:pPr>
            <w:r>
              <w:t>钴</w:t>
            </w:r>
          </w:p>
        </w:tc>
        <w:tc>
          <w:tcPr>
            <w:tcW w:w="652" w:type="pct"/>
            <w:shd w:val="clear" w:color="auto" w:fill="auto"/>
            <w:tcMar>
              <w:top w:w="15" w:type="dxa"/>
              <w:left w:w="15" w:type="dxa"/>
              <w:bottom w:w="0" w:type="dxa"/>
              <w:right w:w="15" w:type="dxa"/>
            </w:tcMar>
            <w:vAlign w:val="center"/>
          </w:tcPr>
          <w:p w14:paraId="4E14AB2E"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9F7D0D1" w14:textId="77777777" w:rsidR="002E474C" w:rsidRDefault="00000000">
            <w:pPr>
              <w:pStyle w:val="A-"/>
            </w:pPr>
            <w:r>
              <w:t>5</w:t>
            </w:r>
          </w:p>
        </w:tc>
        <w:tc>
          <w:tcPr>
            <w:tcW w:w="446" w:type="pct"/>
            <w:shd w:val="clear" w:color="auto" w:fill="auto"/>
            <w:tcMar>
              <w:top w:w="15" w:type="dxa"/>
              <w:left w:w="15" w:type="dxa"/>
              <w:bottom w:w="0" w:type="dxa"/>
              <w:right w:w="15" w:type="dxa"/>
            </w:tcMar>
            <w:vAlign w:val="center"/>
          </w:tcPr>
          <w:p w14:paraId="031291E2" w14:textId="77777777" w:rsidR="002E474C" w:rsidRDefault="00000000">
            <w:pPr>
              <w:pStyle w:val="A-"/>
            </w:pPr>
            <w:r>
              <w:t>0.71</w:t>
            </w:r>
          </w:p>
        </w:tc>
        <w:tc>
          <w:tcPr>
            <w:tcW w:w="446" w:type="pct"/>
            <w:shd w:val="clear" w:color="auto" w:fill="auto"/>
            <w:tcMar>
              <w:top w:w="15" w:type="dxa"/>
              <w:left w:w="15" w:type="dxa"/>
              <w:bottom w:w="0" w:type="dxa"/>
              <w:right w:w="15" w:type="dxa"/>
            </w:tcMar>
            <w:vAlign w:val="center"/>
          </w:tcPr>
          <w:p w14:paraId="7A73482A" w14:textId="77777777" w:rsidR="002E474C" w:rsidRDefault="00000000">
            <w:pPr>
              <w:pStyle w:val="A-"/>
            </w:pPr>
            <w:r>
              <w:t>4</w:t>
            </w:r>
          </w:p>
        </w:tc>
        <w:tc>
          <w:tcPr>
            <w:tcW w:w="448" w:type="pct"/>
            <w:shd w:val="clear" w:color="auto" w:fill="auto"/>
            <w:tcMar>
              <w:top w:w="15" w:type="dxa"/>
              <w:left w:w="15" w:type="dxa"/>
              <w:bottom w:w="0" w:type="dxa"/>
              <w:right w:w="15" w:type="dxa"/>
            </w:tcMar>
            <w:vAlign w:val="center"/>
          </w:tcPr>
          <w:p w14:paraId="33A474E3" w14:textId="77777777" w:rsidR="002E474C" w:rsidRDefault="00000000">
            <w:pPr>
              <w:pStyle w:val="A-"/>
            </w:pPr>
            <w:r>
              <w:t>0.06</w:t>
            </w:r>
          </w:p>
        </w:tc>
        <w:tc>
          <w:tcPr>
            <w:tcW w:w="446" w:type="pct"/>
            <w:shd w:val="clear" w:color="auto" w:fill="auto"/>
            <w:tcMar>
              <w:top w:w="15" w:type="dxa"/>
              <w:left w:w="15" w:type="dxa"/>
              <w:bottom w:w="0" w:type="dxa"/>
              <w:right w:w="15" w:type="dxa"/>
            </w:tcMar>
            <w:vAlign w:val="center"/>
          </w:tcPr>
          <w:p w14:paraId="4724FC29" w14:textId="77777777" w:rsidR="002E474C" w:rsidRDefault="00000000">
            <w:pPr>
              <w:pStyle w:val="A-"/>
            </w:pPr>
            <w:r>
              <w:t>9</w:t>
            </w:r>
          </w:p>
        </w:tc>
        <w:tc>
          <w:tcPr>
            <w:tcW w:w="448" w:type="pct"/>
            <w:shd w:val="clear" w:color="auto" w:fill="auto"/>
            <w:tcMar>
              <w:top w:w="15" w:type="dxa"/>
              <w:left w:w="15" w:type="dxa"/>
              <w:bottom w:w="0" w:type="dxa"/>
              <w:right w:w="15" w:type="dxa"/>
            </w:tcMar>
            <w:vAlign w:val="center"/>
          </w:tcPr>
          <w:p w14:paraId="70EA869C" w14:textId="77777777" w:rsidR="002E474C" w:rsidRDefault="00000000">
            <w:pPr>
              <w:pStyle w:val="A-"/>
            </w:pPr>
            <w:r>
              <w:t>0.13</w:t>
            </w:r>
          </w:p>
        </w:tc>
        <w:tc>
          <w:tcPr>
            <w:tcW w:w="662" w:type="pct"/>
            <w:shd w:val="clear" w:color="auto" w:fill="auto"/>
            <w:tcMar>
              <w:top w:w="15" w:type="dxa"/>
              <w:left w:w="15" w:type="dxa"/>
              <w:bottom w:w="0" w:type="dxa"/>
              <w:right w:w="15" w:type="dxa"/>
            </w:tcMar>
            <w:vAlign w:val="center"/>
          </w:tcPr>
          <w:p w14:paraId="703B0714" w14:textId="77777777" w:rsidR="002E474C" w:rsidRDefault="00000000">
            <w:pPr>
              <w:pStyle w:val="A-"/>
            </w:pPr>
            <w:r>
              <w:t>70mg/kg</w:t>
            </w:r>
          </w:p>
        </w:tc>
        <w:tc>
          <w:tcPr>
            <w:tcW w:w="317" w:type="pct"/>
            <w:shd w:val="clear" w:color="auto" w:fill="auto"/>
            <w:noWrap/>
            <w:tcMar>
              <w:top w:w="15" w:type="dxa"/>
              <w:left w:w="15" w:type="dxa"/>
              <w:bottom w:w="0" w:type="dxa"/>
              <w:right w:w="15" w:type="dxa"/>
            </w:tcMar>
            <w:vAlign w:val="center"/>
          </w:tcPr>
          <w:p w14:paraId="238B8693" w14:textId="77777777" w:rsidR="002E474C" w:rsidRDefault="00000000">
            <w:pPr>
              <w:pStyle w:val="A-"/>
            </w:pPr>
            <w:r>
              <w:t>达标</w:t>
            </w:r>
          </w:p>
        </w:tc>
      </w:tr>
      <w:tr w:rsidR="002E474C" w14:paraId="09D886B7" w14:textId="77777777">
        <w:tc>
          <w:tcPr>
            <w:tcW w:w="757" w:type="pct"/>
            <w:shd w:val="clear" w:color="auto" w:fill="auto"/>
            <w:noWrap/>
            <w:tcMar>
              <w:top w:w="15" w:type="dxa"/>
              <w:left w:w="15" w:type="dxa"/>
              <w:bottom w:w="0" w:type="dxa"/>
              <w:right w:w="15" w:type="dxa"/>
            </w:tcMar>
            <w:vAlign w:val="center"/>
          </w:tcPr>
          <w:p w14:paraId="04DC3AA7" w14:textId="77777777" w:rsidR="002E474C" w:rsidRDefault="00000000">
            <w:pPr>
              <w:pStyle w:val="A-"/>
            </w:pPr>
            <w:r>
              <w:t>钒</w:t>
            </w:r>
          </w:p>
        </w:tc>
        <w:tc>
          <w:tcPr>
            <w:tcW w:w="652" w:type="pct"/>
            <w:shd w:val="clear" w:color="auto" w:fill="auto"/>
            <w:tcMar>
              <w:top w:w="15" w:type="dxa"/>
              <w:left w:w="15" w:type="dxa"/>
              <w:bottom w:w="0" w:type="dxa"/>
              <w:right w:w="15" w:type="dxa"/>
            </w:tcMar>
            <w:vAlign w:val="center"/>
          </w:tcPr>
          <w:p w14:paraId="0FC2CF4B"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3F9733AF" w14:textId="77777777" w:rsidR="002E474C" w:rsidRDefault="00000000">
            <w:pPr>
              <w:pStyle w:val="A-"/>
            </w:pPr>
            <w:r>
              <w:t>97.2</w:t>
            </w:r>
          </w:p>
        </w:tc>
        <w:tc>
          <w:tcPr>
            <w:tcW w:w="446" w:type="pct"/>
            <w:shd w:val="clear" w:color="auto" w:fill="auto"/>
            <w:tcMar>
              <w:top w:w="15" w:type="dxa"/>
              <w:left w:w="15" w:type="dxa"/>
              <w:bottom w:w="0" w:type="dxa"/>
              <w:right w:w="15" w:type="dxa"/>
            </w:tcMar>
            <w:vAlign w:val="center"/>
          </w:tcPr>
          <w:p w14:paraId="26A68656" w14:textId="77777777" w:rsidR="002E474C" w:rsidRDefault="00000000">
            <w:pPr>
              <w:pStyle w:val="A-"/>
            </w:pPr>
            <w:r>
              <w:t>0.13</w:t>
            </w:r>
          </w:p>
        </w:tc>
        <w:tc>
          <w:tcPr>
            <w:tcW w:w="446" w:type="pct"/>
            <w:shd w:val="clear" w:color="auto" w:fill="auto"/>
            <w:tcMar>
              <w:top w:w="15" w:type="dxa"/>
              <w:left w:w="15" w:type="dxa"/>
              <w:bottom w:w="0" w:type="dxa"/>
              <w:right w:w="15" w:type="dxa"/>
            </w:tcMar>
            <w:vAlign w:val="center"/>
          </w:tcPr>
          <w:p w14:paraId="5D7C48D6" w14:textId="77777777" w:rsidR="002E474C" w:rsidRDefault="00000000">
            <w:pPr>
              <w:pStyle w:val="A-"/>
            </w:pPr>
            <w:r>
              <w:t>109</w:t>
            </w:r>
          </w:p>
        </w:tc>
        <w:tc>
          <w:tcPr>
            <w:tcW w:w="448" w:type="pct"/>
            <w:shd w:val="clear" w:color="auto" w:fill="auto"/>
            <w:tcMar>
              <w:top w:w="15" w:type="dxa"/>
              <w:left w:w="15" w:type="dxa"/>
              <w:bottom w:w="0" w:type="dxa"/>
              <w:right w:w="15" w:type="dxa"/>
            </w:tcMar>
            <w:vAlign w:val="center"/>
          </w:tcPr>
          <w:p w14:paraId="04033168" w14:textId="77777777" w:rsidR="002E474C" w:rsidRDefault="00000000">
            <w:pPr>
              <w:pStyle w:val="A-"/>
            </w:pPr>
            <w:r>
              <w:t>0.14</w:t>
            </w:r>
          </w:p>
        </w:tc>
        <w:tc>
          <w:tcPr>
            <w:tcW w:w="446" w:type="pct"/>
            <w:shd w:val="clear" w:color="auto" w:fill="auto"/>
            <w:tcMar>
              <w:top w:w="15" w:type="dxa"/>
              <w:left w:w="15" w:type="dxa"/>
              <w:bottom w:w="0" w:type="dxa"/>
              <w:right w:w="15" w:type="dxa"/>
            </w:tcMar>
            <w:vAlign w:val="center"/>
          </w:tcPr>
          <w:p w14:paraId="098B1955" w14:textId="77777777" w:rsidR="002E474C" w:rsidRDefault="00000000">
            <w:pPr>
              <w:pStyle w:val="A-"/>
            </w:pPr>
            <w:r>
              <w:t>83.8</w:t>
            </w:r>
          </w:p>
        </w:tc>
        <w:tc>
          <w:tcPr>
            <w:tcW w:w="448" w:type="pct"/>
            <w:shd w:val="clear" w:color="auto" w:fill="auto"/>
            <w:tcMar>
              <w:top w:w="15" w:type="dxa"/>
              <w:left w:w="15" w:type="dxa"/>
              <w:bottom w:w="0" w:type="dxa"/>
              <w:right w:w="15" w:type="dxa"/>
            </w:tcMar>
            <w:vAlign w:val="center"/>
          </w:tcPr>
          <w:p w14:paraId="38578E59" w14:textId="77777777" w:rsidR="002E474C" w:rsidRDefault="00000000">
            <w:pPr>
              <w:pStyle w:val="A-"/>
            </w:pPr>
            <w:r>
              <w:t>0.11</w:t>
            </w:r>
          </w:p>
        </w:tc>
        <w:tc>
          <w:tcPr>
            <w:tcW w:w="662" w:type="pct"/>
            <w:shd w:val="clear" w:color="auto" w:fill="auto"/>
            <w:tcMar>
              <w:top w:w="15" w:type="dxa"/>
              <w:left w:w="15" w:type="dxa"/>
              <w:bottom w:w="0" w:type="dxa"/>
              <w:right w:w="15" w:type="dxa"/>
            </w:tcMar>
            <w:vAlign w:val="center"/>
          </w:tcPr>
          <w:p w14:paraId="11FCB637" w14:textId="77777777" w:rsidR="002E474C" w:rsidRDefault="00000000">
            <w:pPr>
              <w:pStyle w:val="A-"/>
            </w:pPr>
            <w:r>
              <w:t>752mg/kg</w:t>
            </w:r>
          </w:p>
        </w:tc>
        <w:tc>
          <w:tcPr>
            <w:tcW w:w="317" w:type="pct"/>
            <w:shd w:val="clear" w:color="auto" w:fill="auto"/>
            <w:noWrap/>
            <w:tcMar>
              <w:top w:w="15" w:type="dxa"/>
              <w:left w:w="15" w:type="dxa"/>
              <w:bottom w:w="0" w:type="dxa"/>
              <w:right w:w="15" w:type="dxa"/>
            </w:tcMar>
            <w:vAlign w:val="center"/>
          </w:tcPr>
          <w:p w14:paraId="26E71334" w14:textId="77777777" w:rsidR="002E474C" w:rsidRDefault="00000000">
            <w:pPr>
              <w:pStyle w:val="A-"/>
            </w:pPr>
            <w:r>
              <w:t>达标</w:t>
            </w:r>
          </w:p>
        </w:tc>
      </w:tr>
      <w:tr w:rsidR="002E474C" w14:paraId="1107094C" w14:textId="77777777">
        <w:tc>
          <w:tcPr>
            <w:tcW w:w="757" w:type="pct"/>
            <w:shd w:val="clear" w:color="auto" w:fill="auto"/>
            <w:noWrap/>
            <w:tcMar>
              <w:top w:w="15" w:type="dxa"/>
              <w:left w:w="15" w:type="dxa"/>
              <w:bottom w:w="0" w:type="dxa"/>
              <w:right w:w="15" w:type="dxa"/>
            </w:tcMar>
            <w:vAlign w:val="center"/>
          </w:tcPr>
          <w:p w14:paraId="52B4BF45" w14:textId="77777777" w:rsidR="002E474C" w:rsidRDefault="00000000">
            <w:pPr>
              <w:pStyle w:val="A-"/>
            </w:pPr>
            <w:r>
              <w:t>氰化物</w:t>
            </w:r>
          </w:p>
        </w:tc>
        <w:tc>
          <w:tcPr>
            <w:tcW w:w="652" w:type="pct"/>
            <w:shd w:val="clear" w:color="auto" w:fill="auto"/>
            <w:tcMar>
              <w:top w:w="15" w:type="dxa"/>
              <w:left w:w="15" w:type="dxa"/>
              <w:bottom w:w="0" w:type="dxa"/>
              <w:right w:w="15" w:type="dxa"/>
            </w:tcMar>
            <w:vAlign w:val="center"/>
          </w:tcPr>
          <w:p w14:paraId="7B1A9B05"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6BA10AB" w14:textId="77777777" w:rsidR="002E474C" w:rsidRDefault="00000000">
            <w:pPr>
              <w:pStyle w:val="A-"/>
            </w:pPr>
            <w:r>
              <w:t>&lt;0.04</w:t>
            </w:r>
          </w:p>
        </w:tc>
        <w:tc>
          <w:tcPr>
            <w:tcW w:w="446" w:type="pct"/>
            <w:shd w:val="clear" w:color="auto" w:fill="auto"/>
            <w:tcMar>
              <w:top w:w="15" w:type="dxa"/>
              <w:left w:w="15" w:type="dxa"/>
              <w:bottom w:w="0" w:type="dxa"/>
              <w:right w:w="15" w:type="dxa"/>
            </w:tcMar>
            <w:vAlign w:val="center"/>
          </w:tcPr>
          <w:p w14:paraId="6B1E41B7"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02CC0245" w14:textId="77777777" w:rsidR="002E474C" w:rsidRDefault="00000000">
            <w:pPr>
              <w:pStyle w:val="A-"/>
            </w:pPr>
            <w:r>
              <w:t>&lt;0.04</w:t>
            </w:r>
          </w:p>
        </w:tc>
        <w:tc>
          <w:tcPr>
            <w:tcW w:w="448" w:type="pct"/>
            <w:shd w:val="clear" w:color="auto" w:fill="auto"/>
            <w:tcMar>
              <w:top w:w="15" w:type="dxa"/>
              <w:left w:w="15" w:type="dxa"/>
              <w:bottom w:w="0" w:type="dxa"/>
              <w:right w:w="15" w:type="dxa"/>
            </w:tcMar>
            <w:vAlign w:val="center"/>
          </w:tcPr>
          <w:p w14:paraId="677FBD0C"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2A84671B" w14:textId="77777777" w:rsidR="002E474C" w:rsidRDefault="00000000">
            <w:pPr>
              <w:pStyle w:val="A-"/>
            </w:pPr>
            <w:r>
              <w:t>&lt;0.04</w:t>
            </w:r>
          </w:p>
        </w:tc>
        <w:tc>
          <w:tcPr>
            <w:tcW w:w="448" w:type="pct"/>
            <w:shd w:val="clear" w:color="auto" w:fill="auto"/>
            <w:noWrap/>
            <w:tcMar>
              <w:top w:w="15" w:type="dxa"/>
              <w:left w:w="15" w:type="dxa"/>
              <w:bottom w:w="0" w:type="dxa"/>
              <w:right w:w="15" w:type="dxa"/>
            </w:tcMar>
            <w:vAlign w:val="center"/>
          </w:tcPr>
          <w:p w14:paraId="347436F3"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696CCE55" w14:textId="77777777" w:rsidR="002E474C" w:rsidRDefault="00000000">
            <w:pPr>
              <w:pStyle w:val="A-"/>
            </w:pPr>
            <w:r>
              <w:t>135mg/kg</w:t>
            </w:r>
          </w:p>
        </w:tc>
        <w:tc>
          <w:tcPr>
            <w:tcW w:w="317" w:type="pct"/>
            <w:shd w:val="clear" w:color="auto" w:fill="auto"/>
            <w:noWrap/>
            <w:tcMar>
              <w:top w:w="15" w:type="dxa"/>
              <w:left w:w="15" w:type="dxa"/>
              <w:bottom w:w="0" w:type="dxa"/>
              <w:right w:w="15" w:type="dxa"/>
            </w:tcMar>
            <w:vAlign w:val="center"/>
          </w:tcPr>
          <w:p w14:paraId="0E348CB7" w14:textId="77777777" w:rsidR="002E474C" w:rsidRDefault="00000000">
            <w:pPr>
              <w:pStyle w:val="A-"/>
            </w:pPr>
            <w:r>
              <w:t>达标</w:t>
            </w:r>
          </w:p>
        </w:tc>
      </w:tr>
      <w:tr w:rsidR="002E474C" w14:paraId="6ADA274F" w14:textId="77777777">
        <w:tc>
          <w:tcPr>
            <w:tcW w:w="757" w:type="pct"/>
            <w:shd w:val="clear" w:color="auto" w:fill="auto"/>
            <w:noWrap/>
            <w:tcMar>
              <w:top w:w="15" w:type="dxa"/>
              <w:left w:w="15" w:type="dxa"/>
              <w:bottom w:w="0" w:type="dxa"/>
              <w:right w:w="15" w:type="dxa"/>
            </w:tcMar>
            <w:vAlign w:val="center"/>
          </w:tcPr>
          <w:p w14:paraId="55FC60A8" w14:textId="77777777" w:rsidR="002E474C" w:rsidRDefault="00000000">
            <w:pPr>
              <w:pStyle w:val="A-"/>
            </w:pPr>
            <w:r>
              <w:t>石油烃（</w:t>
            </w:r>
            <w:r>
              <w:t>C</w:t>
            </w:r>
            <w:r>
              <w:rPr>
                <w:vertAlign w:val="subscript"/>
              </w:rPr>
              <w:t>10</w:t>
            </w:r>
            <w:r>
              <w:t>-C</w:t>
            </w:r>
            <w:r>
              <w:rPr>
                <w:vertAlign w:val="subscript"/>
              </w:rPr>
              <w:t>40</w:t>
            </w:r>
            <w:r>
              <w:t>）</w:t>
            </w:r>
          </w:p>
        </w:tc>
        <w:tc>
          <w:tcPr>
            <w:tcW w:w="652" w:type="pct"/>
            <w:shd w:val="clear" w:color="auto" w:fill="auto"/>
            <w:tcMar>
              <w:top w:w="15" w:type="dxa"/>
              <w:left w:w="15" w:type="dxa"/>
              <w:bottom w:w="0" w:type="dxa"/>
              <w:right w:w="15" w:type="dxa"/>
            </w:tcMar>
            <w:vAlign w:val="center"/>
          </w:tcPr>
          <w:p w14:paraId="4E14E1C6"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1226537B" w14:textId="77777777" w:rsidR="002E474C" w:rsidRDefault="00000000">
            <w:pPr>
              <w:pStyle w:val="A-"/>
            </w:pPr>
            <w:r>
              <w:t>17</w:t>
            </w:r>
          </w:p>
        </w:tc>
        <w:tc>
          <w:tcPr>
            <w:tcW w:w="446" w:type="pct"/>
            <w:shd w:val="clear" w:color="auto" w:fill="auto"/>
            <w:tcMar>
              <w:top w:w="15" w:type="dxa"/>
              <w:left w:w="15" w:type="dxa"/>
              <w:bottom w:w="0" w:type="dxa"/>
              <w:right w:w="15" w:type="dxa"/>
            </w:tcMar>
            <w:vAlign w:val="center"/>
          </w:tcPr>
          <w:p w14:paraId="635D5466"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0E7BA82C" w14:textId="77777777" w:rsidR="002E474C" w:rsidRDefault="00000000">
            <w:pPr>
              <w:pStyle w:val="A-"/>
            </w:pPr>
            <w:r>
              <w:t>22</w:t>
            </w:r>
          </w:p>
        </w:tc>
        <w:tc>
          <w:tcPr>
            <w:tcW w:w="448" w:type="pct"/>
            <w:shd w:val="clear" w:color="auto" w:fill="auto"/>
            <w:tcMar>
              <w:top w:w="15" w:type="dxa"/>
              <w:left w:w="15" w:type="dxa"/>
              <w:bottom w:w="0" w:type="dxa"/>
              <w:right w:w="15" w:type="dxa"/>
            </w:tcMar>
            <w:vAlign w:val="center"/>
          </w:tcPr>
          <w:p w14:paraId="38EF4EAA"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4FA9AFD1" w14:textId="77777777" w:rsidR="002E474C" w:rsidRDefault="00000000">
            <w:pPr>
              <w:pStyle w:val="A-"/>
            </w:pPr>
            <w:r>
              <w:t>21</w:t>
            </w:r>
          </w:p>
        </w:tc>
        <w:tc>
          <w:tcPr>
            <w:tcW w:w="448" w:type="pct"/>
            <w:shd w:val="clear" w:color="auto" w:fill="auto"/>
            <w:noWrap/>
            <w:tcMar>
              <w:top w:w="15" w:type="dxa"/>
              <w:left w:w="15" w:type="dxa"/>
              <w:bottom w:w="0" w:type="dxa"/>
              <w:right w:w="15" w:type="dxa"/>
            </w:tcMar>
            <w:vAlign w:val="center"/>
          </w:tcPr>
          <w:p w14:paraId="3BCAB985" w14:textId="77777777" w:rsidR="002E474C" w:rsidRDefault="00000000">
            <w:pPr>
              <w:pStyle w:val="A-"/>
            </w:pPr>
            <w:r>
              <w:t>0.00</w:t>
            </w:r>
          </w:p>
        </w:tc>
        <w:tc>
          <w:tcPr>
            <w:tcW w:w="662" w:type="pct"/>
            <w:shd w:val="clear" w:color="auto" w:fill="auto"/>
            <w:tcMar>
              <w:top w:w="15" w:type="dxa"/>
              <w:left w:w="15" w:type="dxa"/>
              <w:bottom w:w="0" w:type="dxa"/>
              <w:right w:w="15" w:type="dxa"/>
            </w:tcMar>
            <w:vAlign w:val="center"/>
          </w:tcPr>
          <w:p w14:paraId="6B3BFFED" w14:textId="77777777" w:rsidR="002E474C" w:rsidRDefault="00000000">
            <w:pPr>
              <w:pStyle w:val="A-"/>
            </w:pPr>
            <w:r>
              <w:t>4500 mg/kg</w:t>
            </w:r>
          </w:p>
        </w:tc>
        <w:tc>
          <w:tcPr>
            <w:tcW w:w="317" w:type="pct"/>
            <w:shd w:val="clear" w:color="auto" w:fill="auto"/>
            <w:noWrap/>
            <w:tcMar>
              <w:top w:w="15" w:type="dxa"/>
              <w:left w:w="15" w:type="dxa"/>
              <w:bottom w:w="0" w:type="dxa"/>
              <w:right w:w="15" w:type="dxa"/>
            </w:tcMar>
            <w:vAlign w:val="center"/>
          </w:tcPr>
          <w:p w14:paraId="77D6146A" w14:textId="77777777" w:rsidR="002E474C" w:rsidRDefault="00000000">
            <w:pPr>
              <w:pStyle w:val="A-"/>
            </w:pPr>
            <w:r>
              <w:t>达标</w:t>
            </w:r>
          </w:p>
        </w:tc>
      </w:tr>
      <w:tr w:rsidR="002E474C" w14:paraId="1FFE3DAD" w14:textId="77777777">
        <w:tc>
          <w:tcPr>
            <w:tcW w:w="757" w:type="pct"/>
            <w:shd w:val="clear" w:color="auto" w:fill="auto"/>
            <w:noWrap/>
            <w:tcMar>
              <w:top w:w="15" w:type="dxa"/>
              <w:left w:w="15" w:type="dxa"/>
              <w:bottom w:w="0" w:type="dxa"/>
              <w:right w:w="15" w:type="dxa"/>
            </w:tcMar>
            <w:vAlign w:val="center"/>
          </w:tcPr>
          <w:p w14:paraId="4E22E4D4" w14:textId="77777777" w:rsidR="002E474C" w:rsidRDefault="00000000">
            <w:pPr>
              <w:pStyle w:val="A-"/>
            </w:pPr>
            <w:r>
              <w:t>二噁英类</w:t>
            </w:r>
          </w:p>
        </w:tc>
        <w:tc>
          <w:tcPr>
            <w:tcW w:w="652" w:type="pct"/>
            <w:shd w:val="clear" w:color="auto" w:fill="auto"/>
            <w:tcMar>
              <w:top w:w="15" w:type="dxa"/>
              <w:left w:w="15" w:type="dxa"/>
              <w:bottom w:w="0" w:type="dxa"/>
              <w:right w:w="15" w:type="dxa"/>
            </w:tcMar>
            <w:vAlign w:val="center"/>
          </w:tcPr>
          <w:p w14:paraId="2BB17ED8" w14:textId="77777777" w:rsidR="002E474C" w:rsidRDefault="00000000">
            <w:pPr>
              <w:pStyle w:val="A-"/>
            </w:pPr>
            <w:proofErr w:type="spellStart"/>
            <w:r>
              <w:t>ngTEQ</w:t>
            </w:r>
            <w:proofErr w:type="spellEnd"/>
            <w:r>
              <w:t>/kg</w:t>
            </w:r>
          </w:p>
        </w:tc>
        <w:tc>
          <w:tcPr>
            <w:tcW w:w="373" w:type="pct"/>
            <w:shd w:val="clear" w:color="auto" w:fill="auto"/>
            <w:noWrap/>
            <w:tcMar>
              <w:top w:w="15" w:type="dxa"/>
              <w:left w:w="15" w:type="dxa"/>
              <w:bottom w:w="0" w:type="dxa"/>
              <w:right w:w="15" w:type="dxa"/>
            </w:tcMar>
            <w:vAlign w:val="center"/>
          </w:tcPr>
          <w:p w14:paraId="535BF88A" w14:textId="77777777" w:rsidR="002E474C" w:rsidRDefault="00000000">
            <w:pPr>
              <w:pStyle w:val="A-"/>
            </w:pPr>
            <w:r>
              <w:t>0.14</w:t>
            </w:r>
          </w:p>
        </w:tc>
        <w:tc>
          <w:tcPr>
            <w:tcW w:w="446" w:type="pct"/>
            <w:shd w:val="clear" w:color="auto" w:fill="auto"/>
            <w:noWrap/>
            <w:tcMar>
              <w:top w:w="15" w:type="dxa"/>
              <w:left w:w="15" w:type="dxa"/>
              <w:bottom w:w="0" w:type="dxa"/>
              <w:right w:w="15" w:type="dxa"/>
            </w:tcMar>
            <w:vAlign w:val="center"/>
          </w:tcPr>
          <w:p w14:paraId="0A5A9855"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5092B252" w14:textId="77777777" w:rsidR="002E474C" w:rsidRDefault="00000000">
            <w:pPr>
              <w:pStyle w:val="A-"/>
            </w:pPr>
            <w:r>
              <w:t>0.11</w:t>
            </w:r>
          </w:p>
        </w:tc>
        <w:tc>
          <w:tcPr>
            <w:tcW w:w="448" w:type="pct"/>
            <w:shd w:val="clear" w:color="auto" w:fill="auto"/>
            <w:noWrap/>
            <w:tcMar>
              <w:top w:w="15" w:type="dxa"/>
              <w:left w:w="15" w:type="dxa"/>
              <w:bottom w:w="0" w:type="dxa"/>
              <w:right w:w="15" w:type="dxa"/>
            </w:tcMar>
            <w:vAlign w:val="center"/>
          </w:tcPr>
          <w:p w14:paraId="26CFCB88"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0CBFEEC9" w14:textId="77777777" w:rsidR="002E474C" w:rsidRDefault="00000000">
            <w:pPr>
              <w:pStyle w:val="A-"/>
            </w:pPr>
            <w:r>
              <w:t>0.22</w:t>
            </w:r>
          </w:p>
        </w:tc>
        <w:tc>
          <w:tcPr>
            <w:tcW w:w="448" w:type="pct"/>
            <w:shd w:val="clear" w:color="auto" w:fill="auto"/>
            <w:noWrap/>
            <w:tcMar>
              <w:top w:w="15" w:type="dxa"/>
              <w:left w:w="15" w:type="dxa"/>
              <w:bottom w:w="0" w:type="dxa"/>
              <w:right w:w="15" w:type="dxa"/>
            </w:tcMar>
            <w:vAlign w:val="center"/>
          </w:tcPr>
          <w:p w14:paraId="3A384859"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1C3C4212" w14:textId="77777777" w:rsidR="002E474C" w:rsidRDefault="00000000">
            <w:pPr>
              <w:pStyle w:val="A-"/>
            </w:pPr>
            <w:r>
              <w:t>4×10</w:t>
            </w:r>
            <w:r>
              <w:rPr>
                <w:vertAlign w:val="superscript"/>
              </w:rPr>
              <w:t>-5</w:t>
            </w:r>
            <w:r>
              <w:t>mg/kg</w:t>
            </w:r>
          </w:p>
        </w:tc>
        <w:tc>
          <w:tcPr>
            <w:tcW w:w="317" w:type="pct"/>
            <w:shd w:val="clear" w:color="auto" w:fill="auto"/>
            <w:noWrap/>
            <w:tcMar>
              <w:top w:w="15" w:type="dxa"/>
              <w:left w:w="15" w:type="dxa"/>
              <w:bottom w:w="0" w:type="dxa"/>
              <w:right w:w="15" w:type="dxa"/>
            </w:tcMar>
            <w:vAlign w:val="center"/>
          </w:tcPr>
          <w:p w14:paraId="4EBF67CF" w14:textId="77777777" w:rsidR="002E474C" w:rsidRDefault="00000000">
            <w:pPr>
              <w:pStyle w:val="A-"/>
            </w:pPr>
            <w:r>
              <w:t>达标</w:t>
            </w:r>
          </w:p>
        </w:tc>
      </w:tr>
      <w:tr w:rsidR="002E474C" w14:paraId="2C16B147" w14:textId="77777777">
        <w:tc>
          <w:tcPr>
            <w:tcW w:w="757" w:type="pct"/>
            <w:shd w:val="clear" w:color="auto" w:fill="auto"/>
            <w:noWrap/>
            <w:tcMar>
              <w:top w:w="15" w:type="dxa"/>
              <w:left w:w="15" w:type="dxa"/>
              <w:bottom w:w="0" w:type="dxa"/>
              <w:right w:w="15" w:type="dxa"/>
            </w:tcMar>
            <w:vAlign w:val="center"/>
          </w:tcPr>
          <w:p w14:paraId="7790E8A4" w14:textId="77777777" w:rsidR="002E474C" w:rsidRDefault="00000000">
            <w:pPr>
              <w:pStyle w:val="A-"/>
            </w:pPr>
            <w:r>
              <w:t>pH</w:t>
            </w:r>
            <w:r>
              <w:t>值</w:t>
            </w:r>
          </w:p>
        </w:tc>
        <w:tc>
          <w:tcPr>
            <w:tcW w:w="652" w:type="pct"/>
            <w:shd w:val="clear" w:color="auto" w:fill="auto"/>
            <w:tcMar>
              <w:top w:w="15" w:type="dxa"/>
              <w:left w:w="15" w:type="dxa"/>
              <w:bottom w:w="0" w:type="dxa"/>
              <w:right w:w="15" w:type="dxa"/>
            </w:tcMar>
            <w:vAlign w:val="center"/>
          </w:tcPr>
          <w:p w14:paraId="0D39D0C5" w14:textId="77777777" w:rsidR="002E474C" w:rsidRDefault="00000000">
            <w:pPr>
              <w:pStyle w:val="A-"/>
            </w:pPr>
            <w:r>
              <w:t>无量纲</w:t>
            </w:r>
          </w:p>
        </w:tc>
        <w:tc>
          <w:tcPr>
            <w:tcW w:w="373" w:type="pct"/>
            <w:shd w:val="clear" w:color="auto" w:fill="auto"/>
            <w:noWrap/>
            <w:tcMar>
              <w:top w:w="15" w:type="dxa"/>
              <w:left w:w="15" w:type="dxa"/>
              <w:bottom w:w="0" w:type="dxa"/>
              <w:right w:w="15" w:type="dxa"/>
            </w:tcMar>
            <w:vAlign w:val="center"/>
          </w:tcPr>
          <w:p w14:paraId="7E0ACC56" w14:textId="77777777" w:rsidR="002E474C" w:rsidRDefault="00000000">
            <w:pPr>
              <w:pStyle w:val="A-"/>
            </w:pPr>
            <w:r>
              <w:t>7.60</w:t>
            </w:r>
          </w:p>
        </w:tc>
        <w:tc>
          <w:tcPr>
            <w:tcW w:w="446" w:type="pct"/>
            <w:shd w:val="clear" w:color="auto" w:fill="auto"/>
            <w:noWrap/>
            <w:tcMar>
              <w:top w:w="15" w:type="dxa"/>
              <w:left w:w="15" w:type="dxa"/>
              <w:bottom w:w="0" w:type="dxa"/>
              <w:right w:w="15" w:type="dxa"/>
            </w:tcMar>
            <w:vAlign w:val="center"/>
          </w:tcPr>
          <w:p w14:paraId="7F4DF6F9"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6D08B8D9" w14:textId="77777777" w:rsidR="002E474C" w:rsidRDefault="00000000">
            <w:pPr>
              <w:pStyle w:val="A-"/>
            </w:pPr>
            <w:r>
              <w:t>7.86</w:t>
            </w:r>
          </w:p>
        </w:tc>
        <w:tc>
          <w:tcPr>
            <w:tcW w:w="448" w:type="pct"/>
            <w:shd w:val="clear" w:color="auto" w:fill="auto"/>
            <w:noWrap/>
            <w:tcMar>
              <w:top w:w="15" w:type="dxa"/>
              <w:left w:w="15" w:type="dxa"/>
              <w:bottom w:w="0" w:type="dxa"/>
              <w:right w:w="15" w:type="dxa"/>
            </w:tcMar>
            <w:vAlign w:val="center"/>
          </w:tcPr>
          <w:p w14:paraId="02A8498F"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0D1A95A5" w14:textId="77777777" w:rsidR="002E474C" w:rsidRDefault="00000000">
            <w:pPr>
              <w:pStyle w:val="A-"/>
            </w:pPr>
            <w:r>
              <w:t>8.38</w:t>
            </w:r>
          </w:p>
        </w:tc>
        <w:tc>
          <w:tcPr>
            <w:tcW w:w="448" w:type="pct"/>
            <w:shd w:val="clear" w:color="auto" w:fill="auto"/>
            <w:noWrap/>
            <w:tcMar>
              <w:top w:w="15" w:type="dxa"/>
              <w:left w:w="15" w:type="dxa"/>
              <w:bottom w:w="0" w:type="dxa"/>
              <w:right w:w="15" w:type="dxa"/>
            </w:tcMar>
            <w:vAlign w:val="center"/>
          </w:tcPr>
          <w:p w14:paraId="4FEB923D" w14:textId="77777777" w:rsidR="002E474C" w:rsidRDefault="00000000">
            <w:pPr>
              <w:pStyle w:val="A-"/>
            </w:pPr>
            <w:r>
              <w:t>/</w:t>
            </w:r>
          </w:p>
        </w:tc>
        <w:tc>
          <w:tcPr>
            <w:tcW w:w="662" w:type="pct"/>
            <w:shd w:val="clear" w:color="auto" w:fill="auto"/>
            <w:noWrap/>
            <w:tcMar>
              <w:top w:w="15" w:type="dxa"/>
              <w:left w:w="15" w:type="dxa"/>
              <w:bottom w:w="0" w:type="dxa"/>
              <w:right w:w="15" w:type="dxa"/>
            </w:tcMar>
            <w:vAlign w:val="center"/>
          </w:tcPr>
          <w:p w14:paraId="1B5620F2" w14:textId="77777777" w:rsidR="002E474C" w:rsidRDefault="00000000">
            <w:pPr>
              <w:pStyle w:val="A-"/>
            </w:pPr>
            <w:r>
              <w:t>/</w:t>
            </w:r>
          </w:p>
        </w:tc>
        <w:tc>
          <w:tcPr>
            <w:tcW w:w="317" w:type="pct"/>
            <w:shd w:val="clear" w:color="auto" w:fill="auto"/>
            <w:noWrap/>
            <w:tcMar>
              <w:top w:w="15" w:type="dxa"/>
              <w:left w:w="15" w:type="dxa"/>
              <w:bottom w:w="0" w:type="dxa"/>
              <w:right w:w="15" w:type="dxa"/>
            </w:tcMar>
            <w:vAlign w:val="center"/>
          </w:tcPr>
          <w:p w14:paraId="523A9298" w14:textId="77777777" w:rsidR="002E474C" w:rsidRDefault="00000000">
            <w:pPr>
              <w:pStyle w:val="A-"/>
            </w:pPr>
            <w:r>
              <w:t>/</w:t>
            </w:r>
          </w:p>
        </w:tc>
      </w:tr>
      <w:tr w:rsidR="002E474C" w14:paraId="5BF04393" w14:textId="77777777">
        <w:tc>
          <w:tcPr>
            <w:tcW w:w="5000" w:type="pct"/>
            <w:gridSpan w:val="10"/>
            <w:shd w:val="clear" w:color="auto" w:fill="auto"/>
            <w:noWrap/>
            <w:tcMar>
              <w:top w:w="15" w:type="dxa"/>
              <w:left w:w="15" w:type="dxa"/>
              <w:bottom w:w="0" w:type="dxa"/>
              <w:right w:w="15" w:type="dxa"/>
            </w:tcMar>
            <w:vAlign w:val="center"/>
          </w:tcPr>
          <w:p w14:paraId="7D9BC562" w14:textId="77777777" w:rsidR="002E474C" w:rsidRDefault="00000000">
            <w:pPr>
              <w:pStyle w:val="A-"/>
            </w:pPr>
            <w:r>
              <w:t>T3</w:t>
            </w:r>
            <w:r>
              <w:t>贮存库东侧</w:t>
            </w:r>
          </w:p>
        </w:tc>
      </w:tr>
      <w:tr w:rsidR="002E474C" w14:paraId="2C84EC11" w14:textId="77777777">
        <w:tc>
          <w:tcPr>
            <w:tcW w:w="757" w:type="pct"/>
            <w:shd w:val="clear" w:color="auto" w:fill="auto"/>
            <w:noWrap/>
            <w:tcMar>
              <w:top w:w="15" w:type="dxa"/>
              <w:left w:w="15" w:type="dxa"/>
              <w:bottom w:w="0" w:type="dxa"/>
              <w:right w:w="15" w:type="dxa"/>
            </w:tcMar>
            <w:vAlign w:val="center"/>
          </w:tcPr>
          <w:p w14:paraId="2B5D4BB9" w14:textId="77777777" w:rsidR="002E474C" w:rsidRDefault="00000000">
            <w:pPr>
              <w:pStyle w:val="A-"/>
            </w:pPr>
            <w:r>
              <w:t>砷</w:t>
            </w:r>
          </w:p>
        </w:tc>
        <w:tc>
          <w:tcPr>
            <w:tcW w:w="652" w:type="pct"/>
            <w:shd w:val="clear" w:color="auto" w:fill="auto"/>
            <w:tcMar>
              <w:top w:w="15" w:type="dxa"/>
              <w:left w:w="15" w:type="dxa"/>
              <w:bottom w:w="0" w:type="dxa"/>
              <w:right w:w="15" w:type="dxa"/>
            </w:tcMar>
            <w:vAlign w:val="center"/>
          </w:tcPr>
          <w:p w14:paraId="352ED292"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60510720" w14:textId="77777777" w:rsidR="002E474C" w:rsidRDefault="00000000">
            <w:pPr>
              <w:pStyle w:val="A-"/>
            </w:pPr>
            <w:r>
              <w:t>12.3</w:t>
            </w:r>
          </w:p>
        </w:tc>
        <w:tc>
          <w:tcPr>
            <w:tcW w:w="446" w:type="pct"/>
            <w:shd w:val="clear" w:color="auto" w:fill="auto"/>
            <w:tcMar>
              <w:top w:w="15" w:type="dxa"/>
              <w:left w:w="15" w:type="dxa"/>
              <w:bottom w:w="0" w:type="dxa"/>
              <w:right w:w="15" w:type="dxa"/>
            </w:tcMar>
            <w:vAlign w:val="center"/>
          </w:tcPr>
          <w:p w14:paraId="1F8B3988" w14:textId="77777777" w:rsidR="002E474C" w:rsidRDefault="00000000">
            <w:pPr>
              <w:pStyle w:val="A-"/>
            </w:pPr>
            <w:r>
              <w:t>0.2</w:t>
            </w:r>
          </w:p>
        </w:tc>
        <w:tc>
          <w:tcPr>
            <w:tcW w:w="446" w:type="pct"/>
            <w:shd w:val="clear" w:color="auto" w:fill="auto"/>
            <w:tcMar>
              <w:top w:w="15" w:type="dxa"/>
              <w:left w:w="15" w:type="dxa"/>
              <w:bottom w:w="0" w:type="dxa"/>
              <w:right w:w="15" w:type="dxa"/>
            </w:tcMar>
            <w:vAlign w:val="center"/>
          </w:tcPr>
          <w:p w14:paraId="3B2AE741" w14:textId="77777777" w:rsidR="002E474C" w:rsidRDefault="00000000">
            <w:pPr>
              <w:pStyle w:val="A-"/>
            </w:pPr>
            <w:r>
              <w:t>12.9</w:t>
            </w:r>
          </w:p>
        </w:tc>
        <w:tc>
          <w:tcPr>
            <w:tcW w:w="448" w:type="pct"/>
            <w:shd w:val="clear" w:color="auto" w:fill="auto"/>
            <w:tcMar>
              <w:top w:w="15" w:type="dxa"/>
              <w:left w:w="15" w:type="dxa"/>
              <w:bottom w:w="0" w:type="dxa"/>
              <w:right w:w="15" w:type="dxa"/>
            </w:tcMar>
            <w:vAlign w:val="center"/>
          </w:tcPr>
          <w:p w14:paraId="77F68213" w14:textId="77777777" w:rsidR="002E474C" w:rsidRDefault="00000000">
            <w:pPr>
              <w:pStyle w:val="A-"/>
            </w:pPr>
            <w:r>
              <w:t>0.2</w:t>
            </w:r>
          </w:p>
        </w:tc>
        <w:tc>
          <w:tcPr>
            <w:tcW w:w="446" w:type="pct"/>
            <w:shd w:val="clear" w:color="auto" w:fill="auto"/>
            <w:tcMar>
              <w:top w:w="15" w:type="dxa"/>
              <w:left w:w="15" w:type="dxa"/>
              <w:bottom w:w="0" w:type="dxa"/>
              <w:right w:w="15" w:type="dxa"/>
            </w:tcMar>
            <w:vAlign w:val="center"/>
          </w:tcPr>
          <w:p w14:paraId="46E90E76" w14:textId="77777777" w:rsidR="002E474C" w:rsidRDefault="00000000">
            <w:pPr>
              <w:pStyle w:val="A-"/>
            </w:pPr>
            <w:r>
              <w:t>11.6</w:t>
            </w:r>
          </w:p>
        </w:tc>
        <w:tc>
          <w:tcPr>
            <w:tcW w:w="448" w:type="pct"/>
            <w:shd w:val="clear" w:color="auto" w:fill="auto"/>
            <w:tcMar>
              <w:top w:w="15" w:type="dxa"/>
              <w:left w:w="15" w:type="dxa"/>
              <w:bottom w:w="0" w:type="dxa"/>
              <w:right w:w="15" w:type="dxa"/>
            </w:tcMar>
            <w:vAlign w:val="center"/>
          </w:tcPr>
          <w:p w14:paraId="75DC8C92" w14:textId="77777777" w:rsidR="002E474C" w:rsidRDefault="00000000">
            <w:pPr>
              <w:pStyle w:val="A-"/>
            </w:pPr>
            <w:r>
              <w:t>0.19</w:t>
            </w:r>
          </w:p>
        </w:tc>
        <w:tc>
          <w:tcPr>
            <w:tcW w:w="662" w:type="pct"/>
            <w:shd w:val="clear" w:color="auto" w:fill="auto"/>
            <w:noWrap/>
            <w:tcMar>
              <w:top w:w="15" w:type="dxa"/>
              <w:left w:w="15" w:type="dxa"/>
              <w:bottom w:w="0" w:type="dxa"/>
              <w:right w:w="15" w:type="dxa"/>
            </w:tcMar>
            <w:vAlign w:val="center"/>
          </w:tcPr>
          <w:p w14:paraId="2909B6B9" w14:textId="77777777" w:rsidR="002E474C" w:rsidRDefault="00000000">
            <w:pPr>
              <w:pStyle w:val="A-"/>
            </w:pPr>
            <w:r>
              <w:t>60mg/kg</w:t>
            </w:r>
          </w:p>
        </w:tc>
        <w:tc>
          <w:tcPr>
            <w:tcW w:w="317" w:type="pct"/>
            <w:shd w:val="clear" w:color="auto" w:fill="auto"/>
            <w:noWrap/>
            <w:tcMar>
              <w:top w:w="15" w:type="dxa"/>
              <w:left w:w="15" w:type="dxa"/>
              <w:bottom w:w="0" w:type="dxa"/>
              <w:right w:w="15" w:type="dxa"/>
            </w:tcMar>
            <w:vAlign w:val="center"/>
          </w:tcPr>
          <w:p w14:paraId="74B3B072" w14:textId="77777777" w:rsidR="002E474C" w:rsidRDefault="00000000">
            <w:pPr>
              <w:pStyle w:val="A-"/>
            </w:pPr>
            <w:r>
              <w:t>达标</w:t>
            </w:r>
          </w:p>
        </w:tc>
      </w:tr>
      <w:tr w:rsidR="002E474C" w14:paraId="6B9443AF" w14:textId="77777777">
        <w:tc>
          <w:tcPr>
            <w:tcW w:w="757" w:type="pct"/>
            <w:shd w:val="clear" w:color="auto" w:fill="auto"/>
            <w:noWrap/>
            <w:tcMar>
              <w:top w:w="15" w:type="dxa"/>
              <w:left w:w="15" w:type="dxa"/>
              <w:bottom w:w="0" w:type="dxa"/>
              <w:right w:w="15" w:type="dxa"/>
            </w:tcMar>
            <w:vAlign w:val="center"/>
          </w:tcPr>
          <w:p w14:paraId="02611C53" w14:textId="77777777" w:rsidR="002E474C" w:rsidRDefault="00000000">
            <w:pPr>
              <w:pStyle w:val="A-"/>
            </w:pPr>
            <w:r>
              <w:t>铅</w:t>
            </w:r>
          </w:p>
        </w:tc>
        <w:tc>
          <w:tcPr>
            <w:tcW w:w="652" w:type="pct"/>
            <w:shd w:val="clear" w:color="auto" w:fill="auto"/>
            <w:tcMar>
              <w:top w:w="15" w:type="dxa"/>
              <w:left w:w="15" w:type="dxa"/>
              <w:bottom w:w="0" w:type="dxa"/>
              <w:right w:w="15" w:type="dxa"/>
            </w:tcMar>
            <w:vAlign w:val="center"/>
          </w:tcPr>
          <w:p w14:paraId="62884EF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2249C654" w14:textId="77777777" w:rsidR="002E474C" w:rsidRDefault="00000000">
            <w:pPr>
              <w:pStyle w:val="A-"/>
            </w:pPr>
            <w:r>
              <w:t>17</w:t>
            </w:r>
          </w:p>
        </w:tc>
        <w:tc>
          <w:tcPr>
            <w:tcW w:w="446" w:type="pct"/>
            <w:shd w:val="clear" w:color="auto" w:fill="auto"/>
            <w:tcMar>
              <w:top w:w="15" w:type="dxa"/>
              <w:left w:w="15" w:type="dxa"/>
              <w:bottom w:w="0" w:type="dxa"/>
              <w:right w:w="15" w:type="dxa"/>
            </w:tcMar>
            <w:vAlign w:val="center"/>
          </w:tcPr>
          <w:p w14:paraId="034A4D46" w14:textId="77777777" w:rsidR="002E474C" w:rsidRDefault="00000000">
            <w:pPr>
              <w:pStyle w:val="A-"/>
            </w:pPr>
            <w:r>
              <w:t>0.02</w:t>
            </w:r>
          </w:p>
        </w:tc>
        <w:tc>
          <w:tcPr>
            <w:tcW w:w="446" w:type="pct"/>
            <w:shd w:val="clear" w:color="auto" w:fill="auto"/>
            <w:tcMar>
              <w:top w:w="15" w:type="dxa"/>
              <w:left w:w="15" w:type="dxa"/>
              <w:bottom w:w="0" w:type="dxa"/>
              <w:right w:w="15" w:type="dxa"/>
            </w:tcMar>
            <w:vAlign w:val="center"/>
          </w:tcPr>
          <w:p w14:paraId="54833837" w14:textId="77777777" w:rsidR="002E474C" w:rsidRDefault="00000000">
            <w:pPr>
              <w:pStyle w:val="A-"/>
            </w:pPr>
            <w:r>
              <w:t>30</w:t>
            </w:r>
          </w:p>
        </w:tc>
        <w:tc>
          <w:tcPr>
            <w:tcW w:w="448" w:type="pct"/>
            <w:shd w:val="clear" w:color="auto" w:fill="auto"/>
            <w:tcMar>
              <w:top w:w="15" w:type="dxa"/>
              <w:left w:w="15" w:type="dxa"/>
              <w:bottom w:w="0" w:type="dxa"/>
              <w:right w:w="15" w:type="dxa"/>
            </w:tcMar>
            <w:vAlign w:val="center"/>
          </w:tcPr>
          <w:p w14:paraId="49108241" w14:textId="77777777" w:rsidR="002E474C" w:rsidRDefault="00000000">
            <w:pPr>
              <w:pStyle w:val="A-"/>
            </w:pPr>
            <w:r>
              <w:t>0.04</w:t>
            </w:r>
          </w:p>
        </w:tc>
        <w:tc>
          <w:tcPr>
            <w:tcW w:w="446" w:type="pct"/>
            <w:shd w:val="clear" w:color="auto" w:fill="auto"/>
            <w:tcMar>
              <w:top w:w="15" w:type="dxa"/>
              <w:left w:w="15" w:type="dxa"/>
              <w:bottom w:w="0" w:type="dxa"/>
              <w:right w:w="15" w:type="dxa"/>
            </w:tcMar>
            <w:vAlign w:val="center"/>
          </w:tcPr>
          <w:p w14:paraId="1961D427" w14:textId="77777777" w:rsidR="002E474C" w:rsidRDefault="00000000">
            <w:pPr>
              <w:pStyle w:val="A-"/>
            </w:pPr>
            <w:r>
              <w:t>49</w:t>
            </w:r>
          </w:p>
        </w:tc>
        <w:tc>
          <w:tcPr>
            <w:tcW w:w="448" w:type="pct"/>
            <w:shd w:val="clear" w:color="auto" w:fill="auto"/>
            <w:tcMar>
              <w:top w:w="15" w:type="dxa"/>
              <w:left w:w="15" w:type="dxa"/>
              <w:bottom w:w="0" w:type="dxa"/>
              <w:right w:w="15" w:type="dxa"/>
            </w:tcMar>
            <w:vAlign w:val="center"/>
          </w:tcPr>
          <w:p w14:paraId="59149C28" w14:textId="77777777" w:rsidR="002E474C" w:rsidRDefault="00000000">
            <w:pPr>
              <w:pStyle w:val="A-"/>
            </w:pPr>
            <w:r>
              <w:t>0.06</w:t>
            </w:r>
          </w:p>
        </w:tc>
        <w:tc>
          <w:tcPr>
            <w:tcW w:w="662" w:type="pct"/>
            <w:shd w:val="clear" w:color="auto" w:fill="auto"/>
            <w:noWrap/>
            <w:tcMar>
              <w:top w:w="15" w:type="dxa"/>
              <w:left w:w="15" w:type="dxa"/>
              <w:bottom w:w="0" w:type="dxa"/>
              <w:right w:w="15" w:type="dxa"/>
            </w:tcMar>
            <w:vAlign w:val="center"/>
          </w:tcPr>
          <w:p w14:paraId="06B78905" w14:textId="77777777" w:rsidR="002E474C" w:rsidRDefault="00000000">
            <w:pPr>
              <w:pStyle w:val="A-"/>
            </w:pPr>
            <w:r>
              <w:t>800mg/kg</w:t>
            </w:r>
          </w:p>
        </w:tc>
        <w:tc>
          <w:tcPr>
            <w:tcW w:w="317" w:type="pct"/>
            <w:shd w:val="clear" w:color="auto" w:fill="auto"/>
            <w:noWrap/>
            <w:tcMar>
              <w:top w:w="15" w:type="dxa"/>
              <w:left w:w="15" w:type="dxa"/>
              <w:bottom w:w="0" w:type="dxa"/>
              <w:right w:w="15" w:type="dxa"/>
            </w:tcMar>
            <w:vAlign w:val="center"/>
          </w:tcPr>
          <w:p w14:paraId="4A103A2A" w14:textId="77777777" w:rsidR="002E474C" w:rsidRDefault="00000000">
            <w:pPr>
              <w:pStyle w:val="A-"/>
            </w:pPr>
            <w:r>
              <w:t>达标</w:t>
            </w:r>
          </w:p>
        </w:tc>
      </w:tr>
      <w:tr w:rsidR="002E474C" w14:paraId="456E1B93" w14:textId="77777777">
        <w:tc>
          <w:tcPr>
            <w:tcW w:w="757" w:type="pct"/>
            <w:shd w:val="clear" w:color="auto" w:fill="auto"/>
            <w:noWrap/>
            <w:tcMar>
              <w:top w:w="15" w:type="dxa"/>
              <w:left w:w="15" w:type="dxa"/>
              <w:bottom w:w="0" w:type="dxa"/>
              <w:right w:w="15" w:type="dxa"/>
            </w:tcMar>
            <w:vAlign w:val="center"/>
          </w:tcPr>
          <w:p w14:paraId="31F57607" w14:textId="77777777" w:rsidR="002E474C" w:rsidRDefault="00000000">
            <w:pPr>
              <w:pStyle w:val="A-"/>
            </w:pPr>
            <w:r>
              <w:t>汞</w:t>
            </w:r>
          </w:p>
        </w:tc>
        <w:tc>
          <w:tcPr>
            <w:tcW w:w="652" w:type="pct"/>
            <w:shd w:val="clear" w:color="auto" w:fill="auto"/>
            <w:tcMar>
              <w:top w:w="15" w:type="dxa"/>
              <w:left w:w="15" w:type="dxa"/>
              <w:bottom w:w="0" w:type="dxa"/>
              <w:right w:w="15" w:type="dxa"/>
            </w:tcMar>
            <w:vAlign w:val="center"/>
          </w:tcPr>
          <w:p w14:paraId="30BDC249"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AD338E4" w14:textId="77777777" w:rsidR="002E474C" w:rsidRDefault="00000000">
            <w:pPr>
              <w:pStyle w:val="A-"/>
            </w:pPr>
            <w:r>
              <w:t>0.068</w:t>
            </w:r>
          </w:p>
        </w:tc>
        <w:tc>
          <w:tcPr>
            <w:tcW w:w="446" w:type="pct"/>
            <w:shd w:val="clear" w:color="auto" w:fill="auto"/>
            <w:tcMar>
              <w:top w:w="15" w:type="dxa"/>
              <w:left w:w="15" w:type="dxa"/>
              <w:bottom w:w="0" w:type="dxa"/>
              <w:right w:w="15" w:type="dxa"/>
            </w:tcMar>
            <w:vAlign w:val="center"/>
          </w:tcPr>
          <w:p w14:paraId="143A82E2"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23BBDBEA" w14:textId="77777777" w:rsidR="002E474C" w:rsidRDefault="00000000">
            <w:pPr>
              <w:pStyle w:val="A-"/>
            </w:pPr>
            <w:r>
              <w:t>0.054</w:t>
            </w:r>
          </w:p>
        </w:tc>
        <w:tc>
          <w:tcPr>
            <w:tcW w:w="448" w:type="pct"/>
            <w:shd w:val="clear" w:color="auto" w:fill="auto"/>
            <w:tcMar>
              <w:top w:w="15" w:type="dxa"/>
              <w:left w:w="15" w:type="dxa"/>
              <w:bottom w:w="0" w:type="dxa"/>
              <w:right w:w="15" w:type="dxa"/>
            </w:tcMar>
            <w:vAlign w:val="center"/>
          </w:tcPr>
          <w:p w14:paraId="78F0623E"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38F5D43E" w14:textId="77777777" w:rsidR="002E474C" w:rsidRDefault="00000000">
            <w:pPr>
              <w:pStyle w:val="A-"/>
            </w:pPr>
            <w:r>
              <w:t>0.082</w:t>
            </w:r>
          </w:p>
        </w:tc>
        <w:tc>
          <w:tcPr>
            <w:tcW w:w="448" w:type="pct"/>
            <w:shd w:val="clear" w:color="auto" w:fill="auto"/>
            <w:tcMar>
              <w:top w:w="15" w:type="dxa"/>
              <w:left w:w="15" w:type="dxa"/>
              <w:bottom w:w="0" w:type="dxa"/>
              <w:right w:w="15" w:type="dxa"/>
            </w:tcMar>
            <w:vAlign w:val="center"/>
          </w:tcPr>
          <w:p w14:paraId="49DC21C5"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1D0854D7" w14:textId="77777777" w:rsidR="002E474C" w:rsidRDefault="00000000">
            <w:pPr>
              <w:pStyle w:val="A-"/>
            </w:pPr>
            <w:r>
              <w:t>38mg/kg</w:t>
            </w:r>
          </w:p>
        </w:tc>
        <w:tc>
          <w:tcPr>
            <w:tcW w:w="317" w:type="pct"/>
            <w:shd w:val="clear" w:color="auto" w:fill="auto"/>
            <w:noWrap/>
            <w:tcMar>
              <w:top w:w="15" w:type="dxa"/>
              <w:left w:w="15" w:type="dxa"/>
              <w:bottom w:w="0" w:type="dxa"/>
              <w:right w:w="15" w:type="dxa"/>
            </w:tcMar>
            <w:vAlign w:val="center"/>
          </w:tcPr>
          <w:p w14:paraId="63AB8083" w14:textId="77777777" w:rsidR="002E474C" w:rsidRDefault="00000000">
            <w:pPr>
              <w:pStyle w:val="A-"/>
            </w:pPr>
            <w:r>
              <w:t>达标</w:t>
            </w:r>
          </w:p>
        </w:tc>
      </w:tr>
      <w:tr w:rsidR="002E474C" w14:paraId="181DD93B" w14:textId="77777777">
        <w:tc>
          <w:tcPr>
            <w:tcW w:w="757" w:type="pct"/>
            <w:shd w:val="clear" w:color="auto" w:fill="auto"/>
            <w:noWrap/>
            <w:tcMar>
              <w:top w:w="15" w:type="dxa"/>
              <w:left w:w="15" w:type="dxa"/>
              <w:bottom w:w="0" w:type="dxa"/>
              <w:right w:w="15" w:type="dxa"/>
            </w:tcMar>
            <w:vAlign w:val="center"/>
          </w:tcPr>
          <w:p w14:paraId="2C24A527" w14:textId="77777777" w:rsidR="002E474C" w:rsidRDefault="00000000">
            <w:pPr>
              <w:pStyle w:val="A-"/>
            </w:pPr>
            <w:r>
              <w:t>镉</w:t>
            </w:r>
          </w:p>
        </w:tc>
        <w:tc>
          <w:tcPr>
            <w:tcW w:w="652" w:type="pct"/>
            <w:shd w:val="clear" w:color="auto" w:fill="auto"/>
            <w:tcMar>
              <w:top w:w="15" w:type="dxa"/>
              <w:left w:w="15" w:type="dxa"/>
              <w:bottom w:w="0" w:type="dxa"/>
              <w:right w:w="15" w:type="dxa"/>
            </w:tcMar>
            <w:vAlign w:val="center"/>
          </w:tcPr>
          <w:p w14:paraId="14E09F57"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84D7BBD" w14:textId="77777777" w:rsidR="002E474C" w:rsidRDefault="00000000">
            <w:pPr>
              <w:pStyle w:val="A-"/>
            </w:pPr>
            <w:r>
              <w:t>0.24</w:t>
            </w:r>
          </w:p>
        </w:tc>
        <w:tc>
          <w:tcPr>
            <w:tcW w:w="446" w:type="pct"/>
            <w:shd w:val="clear" w:color="auto" w:fill="auto"/>
            <w:tcMar>
              <w:top w:w="15" w:type="dxa"/>
              <w:left w:w="15" w:type="dxa"/>
              <w:bottom w:w="0" w:type="dxa"/>
              <w:right w:w="15" w:type="dxa"/>
            </w:tcMar>
            <w:vAlign w:val="center"/>
          </w:tcPr>
          <w:p w14:paraId="1F90BECE"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0EF4A0B5" w14:textId="77777777" w:rsidR="002E474C" w:rsidRDefault="00000000">
            <w:pPr>
              <w:pStyle w:val="A-"/>
            </w:pPr>
            <w:r>
              <w:t>0.45</w:t>
            </w:r>
          </w:p>
        </w:tc>
        <w:tc>
          <w:tcPr>
            <w:tcW w:w="448" w:type="pct"/>
            <w:shd w:val="clear" w:color="auto" w:fill="auto"/>
            <w:tcMar>
              <w:top w:w="15" w:type="dxa"/>
              <w:left w:w="15" w:type="dxa"/>
              <w:bottom w:w="0" w:type="dxa"/>
              <w:right w:w="15" w:type="dxa"/>
            </w:tcMar>
            <w:vAlign w:val="center"/>
          </w:tcPr>
          <w:p w14:paraId="59C5F840" w14:textId="77777777" w:rsidR="002E474C" w:rsidRDefault="00000000">
            <w:pPr>
              <w:pStyle w:val="A-"/>
            </w:pPr>
            <w:r>
              <w:t>0.01</w:t>
            </w:r>
          </w:p>
        </w:tc>
        <w:tc>
          <w:tcPr>
            <w:tcW w:w="446" w:type="pct"/>
            <w:shd w:val="clear" w:color="auto" w:fill="auto"/>
            <w:tcMar>
              <w:top w:w="15" w:type="dxa"/>
              <w:left w:w="15" w:type="dxa"/>
              <w:bottom w:w="0" w:type="dxa"/>
              <w:right w:w="15" w:type="dxa"/>
            </w:tcMar>
            <w:vAlign w:val="center"/>
          </w:tcPr>
          <w:p w14:paraId="1AD18771" w14:textId="77777777" w:rsidR="002E474C" w:rsidRDefault="00000000">
            <w:pPr>
              <w:pStyle w:val="A-"/>
            </w:pPr>
            <w:r>
              <w:t>0.84</w:t>
            </w:r>
          </w:p>
        </w:tc>
        <w:tc>
          <w:tcPr>
            <w:tcW w:w="448" w:type="pct"/>
            <w:shd w:val="clear" w:color="auto" w:fill="auto"/>
            <w:tcMar>
              <w:top w:w="15" w:type="dxa"/>
              <w:left w:w="15" w:type="dxa"/>
              <w:bottom w:w="0" w:type="dxa"/>
              <w:right w:w="15" w:type="dxa"/>
            </w:tcMar>
            <w:vAlign w:val="center"/>
          </w:tcPr>
          <w:p w14:paraId="7345CBDF" w14:textId="77777777" w:rsidR="002E474C" w:rsidRDefault="00000000">
            <w:pPr>
              <w:pStyle w:val="A-"/>
            </w:pPr>
            <w:r>
              <w:t>0.01</w:t>
            </w:r>
          </w:p>
        </w:tc>
        <w:tc>
          <w:tcPr>
            <w:tcW w:w="662" w:type="pct"/>
            <w:shd w:val="clear" w:color="auto" w:fill="auto"/>
            <w:noWrap/>
            <w:tcMar>
              <w:top w:w="15" w:type="dxa"/>
              <w:left w:w="15" w:type="dxa"/>
              <w:bottom w:w="0" w:type="dxa"/>
              <w:right w:w="15" w:type="dxa"/>
            </w:tcMar>
            <w:vAlign w:val="center"/>
          </w:tcPr>
          <w:p w14:paraId="57AB1156" w14:textId="77777777" w:rsidR="002E474C" w:rsidRDefault="00000000">
            <w:pPr>
              <w:pStyle w:val="A-"/>
            </w:pPr>
            <w:r>
              <w:t>65mg/kg</w:t>
            </w:r>
          </w:p>
        </w:tc>
        <w:tc>
          <w:tcPr>
            <w:tcW w:w="317" w:type="pct"/>
            <w:shd w:val="clear" w:color="auto" w:fill="auto"/>
            <w:noWrap/>
            <w:tcMar>
              <w:top w:w="15" w:type="dxa"/>
              <w:left w:w="15" w:type="dxa"/>
              <w:bottom w:w="0" w:type="dxa"/>
              <w:right w:w="15" w:type="dxa"/>
            </w:tcMar>
            <w:vAlign w:val="center"/>
          </w:tcPr>
          <w:p w14:paraId="58C4FCAA" w14:textId="77777777" w:rsidR="002E474C" w:rsidRDefault="00000000">
            <w:pPr>
              <w:pStyle w:val="A-"/>
            </w:pPr>
            <w:r>
              <w:t>达标</w:t>
            </w:r>
          </w:p>
        </w:tc>
      </w:tr>
      <w:tr w:rsidR="002E474C" w14:paraId="4ACB6326" w14:textId="77777777">
        <w:tc>
          <w:tcPr>
            <w:tcW w:w="757" w:type="pct"/>
            <w:shd w:val="clear" w:color="auto" w:fill="auto"/>
            <w:noWrap/>
            <w:tcMar>
              <w:top w:w="15" w:type="dxa"/>
              <w:left w:w="15" w:type="dxa"/>
              <w:bottom w:w="0" w:type="dxa"/>
              <w:right w:w="15" w:type="dxa"/>
            </w:tcMar>
            <w:vAlign w:val="center"/>
          </w:tcPr>
          <w:p w14:paraId="4C236D3F" w14:textId="77777777" w:rsidR="002E474C" w:rsidRDefault="00000000">
            <w:pPr>
              <w:pStyle w:val="A-"/>
            </w:pPr>
            <w:r>
              <w:lastRenderedPageBreak/>
              <w:t>铜</w:t>
            </w:r>
          </w:p>
        </w:tc>
        <w:tc>
          <w:tcPr>
            <w:tcW w:w="652" w:type="pct"/>
            <w:shd w:val="clear" w:color="auto" w:fill="auto"/>
            <w:tcMar>
              <w:top w:w="15" w:type="dxa"/>
              <w:left w:w="15" w:type="dxa"/>
              <w:bottom w:w="0" w:type="dxa"/>
              <w:right w:w="15" w:type="dxa"/>
            </w:tcMar>
            <w:vAlign w:val="center"/>
          </w:tcPr>
          <w:p w14:paraId="0622E84D"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0436805B" w14:textId="77777777" w:rsidR="002E474C" w:rsidRDefault="00000000">
            <w:pPr>
              <w:pStyle w:val="A-"/>
            </w:pPr>
            <w:r>
              <w:t>36</w:t>
            </w:r>
          </w:p>
        </w:tc>
        <w:tc>
          <w:tcPr>
            <w:tcW w:w="446" w:type="pct"/>
            <w:shd w:val="clear" w:color="auto" w:fill="auto"/>
            <w:tcMar>
              <w:top w:w="15" w:type="dxa"/>
              <w:left w:w="15" w:type="dxa"/>
              <w:bottom w:w="0" w:type="dxa"/>
              <w:right w:w="15" w:type="dxa"/>
            </w:tcMar>
            <w:vAlign w:val="center"/>
          </w:tcPr>
          <w:p w14:paraId="39E6E73E"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6A421A99" w14:textId="77777777" w:rsidR="002E474C" w:rsidRDefault="00000000">
            <w:pPr>
              <w:pStyle w:val="A-"/>
            </w:pPr>
            <w:r>
              <w:t>58</w:t>
            </w:r>
          </w:p>
        </w:tc>
        <w:tc>
          <w:tcPr>
            <w:tcW w:w="448" w:type="pct"/>
            <w:shd w:val="clear" w:color="auto" w:fill="auto"/>
            <w:tcMar>
              <w:top w:w="15" w:type="dxa"/>
              <w:left w:w="15" w:type="dxa"/>
              <w:bottom w:w="0" w:type="dxa"/>
              <w:right w:w="15" w:type="dxa"/>
            </w:tcMar>
            <w:vAlign w:val="center"/>
          </w:tcPr>
          <w:p w14:paraId="05036110"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6DAF517E" w14:textId="77777777" w:rsidR="002E474C" w:rsidRDefault="00000000">
            <w:pPr>
              <w:pStyle w:val="A-"/>
            </w:pPr>
            <w:r>
              <w:t>48</w:t>
            </w:r>
          </w:p>
        </w:tc>
        <w:tc>
          <w:tcPr>
            <w:tcW w:w="448" w:type="pct"/>
            <w:shd w:val="clear" w:color="auto" w:fill="auto"/>
            <w:tcMar>
              <w:top w:w="15" w:type="dxa"/>
              <w:left w:w="15" w:type="dxa"/>
              <w:bottom w:w="0" w:type="dxa"/>
              <w:right w:w="15" w:type="dxa"/>
            </w:tcMar>
            <w:vAlign w:val="center"/>
          </w:tcPr>
          <w:p w14:paraId="79D62ED4"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28CF7620" w14:textId="77777777" w:rsidR="002E474C" w:rsidRDefault="00000000">
            <w:pPr>
              <w:pStyle w:val="A-"/>
            </w:pPr>
            <w:r>
              <w:t>18000mg/kg</w:t>
            </w:r>
          </w:p>
        </w:tc>
        <w:tc>
          <w:tcPr>
            <w:tcW w:w="317" w:type="pct"/>
            <w:shd w:val="clear" w:color="auto" w:fill="auto"/>
            <w:noWrap/>
            <w:tcMar>
              <w:top w:w="15" w:type="dxa"/>
              <w:left w:w="15" w:type="dxa"/>
              <w:bottom w:w="0" w:type="dxa"/>
              <w:right w:w="15" w:type="dxa"/>
            </w:tcMar>
            <w:vAlign w:val="center"/>
          </w:tcPr>
          <w:p w14:paraId="39F36DE3" w14:textId="77777777" w:rsidR="002E474C" w:rsidRDefault="00000000">
            <w:pPr>
              <w:pStyle w:val="A-"/>
            </w:pPr>
            <w:r>
              <w:t>达标</w:t>
            </w:r>
          </w:p>
        </w:tc>
      </w:tr>
      <w:tr w:rsidR="002E474C" w14:paraId="008F7C05" w14:textId="77777777">
        <w:tc>
          <w:tcPr>
            <w:tcW w:w="757" w:type="pct"/>
            <w:shd w:val="clear" w:color="auto" w:fill="auto"/>
            <w:noWrap/>
            <w:tcMar>
              <w:top w:w="15" w:type="dxa"/>
              <w:left w:w="15" w:type="dxa"/>
              <w:bottom w:w="0" w:type="dxa"/>
              <w:right w:w="15" w:type="dxa"/>
            </w:tcMar>
            <w:vAlign w:val="center"/>
          </w:tcPr>
          <w:p w14:paraId="77A77FCB" w14:textId="77777777" w:rsidR="002E474C" w:rsidRDefault="00000000">
            <w:pPr>
              <w:pStyle w:val="A-"/>
            </w:pPr>
            <w:r>
              <w:t>镍</w:t>
            </w:r>
          </w:p>
        </w:tc>
        <w:tc>
          <w:tcPr>
            <w:tcW w:w="652" w:type="pct"/>
            <w:shd w:val="clear" w:color="auto" w:fill="auto"/>
            <w:tcMar>
              <w:top w:w="15" w:type="dxa"/>
              <w:left w:w="15" w:type="dxa"/>
              <w:bottom w:w="0" w:type="dxa"/>
              <w:right w:w="15" w:type="dxa"/>
            </w:tcMar>
            <w:vAlign w:val="center"/>
          </w:tcPr>
          <w:p w14:paraId="6FDE8A86"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7753994" w14:textId="77777777" w:rsidR="002E474C" w:rsidRDefault="00000000">
            <w:pPr>
              <w:pStyle w:val="A-"/>
            </w:pPr>
            <w:r>
              <w:t>47</w:t>
            </w:r>
          </w:p>
        </w:tc>
        <w:tc>
          <w:tcPr>
            <w:tcW w:w="446" w:type="pct"/>
            <w:shd w:val="clear" w:color="auto" w:fill="auto"/>
            <w:tcMar>
              <w:top w:w="15" w:type="dxa"/>
              <w:left w:w="15" w:type="dxa"/>
              <w:bottom w:w="0" w:type="dxa"/>
              <w:right w:w="15" w:type="dxa"/>
            </w:tcMar>
            <w:vAlign w:val="center"/>
          </w:tcPr>
          <w:p w14:paraId="772EC931" w14:textId="77777777" w:rsidR="002E474C" w:rsidRDefault="00000000">
            <w:pPr>
              <w:pStyle w:val="A-"/>
            </w:pPr>
            <w:r>
              <w:t>0.05</w:t>
            </w:r>
          </w:p>
        </w:tc>
        <w:tc>
          <w:tcPr>
            <w:tcW w:w="446" w:type="pct"/>
            <w:shd w:val="clear" w:color="auto" w:fill="auto"/>
            <w:tcMar>
              <w:top w:w="15" w:type="dxa"/>
              <w:left w:w="15" w:type="dxa"/>
              <w:bottom w:w="0" w:type="dxa"/>
              <w:right w:w="15" w:type="dxa"/>
            </w:tcMar>
            <w:vAlign w:val="center"/>
          </w:tcPr>
          <w:p w14:paraId="58E94241" w14:textId="77777777" w:rsidR="002E474C" w:rsidRDefault="00000000">
            <w:pPr>
              <w:pStyle w:val="A-"/>
            </w:pPr>
            <w:r>
              <w:t>52</w:t>
            </w:r>
          </w:p>
        </w:tc>
        <w:tc>
          <w:tcPr>
            <w:tcW w:w="448" w:type="pct"/>
            <w:shd w:val="clear" w:color="auto" w:fill="auto"/>
            <w:tcMar>
              <w:top w:w="15" w:type="dxa"/>
              <w:left w:w="15" w:type="dxa"/>
              <w:bottom w:w="0" w:type="dxa"/>
              <w:right w:w="15" w:type="dxa"/>
            </w:tcMar>
            <w:vAlign w:val="center"/>
          </w:tcPr>
          <w:p w14:paraId="079F8F5C" w14:textId="77777777" w:rsidR="002E474C" w:rsidRDefault="00000000">
            <w:pPr>
              <w:pStyle w:val="A-"/>
            </w:pPr>
            <w:r>
              <w:t>0.06</w:t>
            </w:r>
          </w:p>
        </w:tc>
        <w:tc>
          <w:tcPr>
            <w:tcW w:w="446" w:type="pct"/>
            <w:shd w:val="clear" w:color="auto" w:fill="auto"/>
            <w:tcMar>
              <w:top w:w="15" w:type="dxa"/>
              <w:left w:w="15" w:type="dxa"/>
              <w:bottom w:w="0" w:type="dxa"/>
              <w:right w:w="15" w:type="dxa"/>
            </w:tcMar>
            <w:vAlign w:val="center"/>
          </w:tcPr>
          <w:p w14:paraId="0F4B6470" w14:textId="77777777" w:rsidR="002E474C" w:rsidRDefault="00000000">
            <w:pPr>
              <w:pStyle w:val="A-"/>
            </w:pPr>
            <w:r>
              <w:t>42</w:t>
            </w:r>
          </w:p>
        </w:tc>
        <w:tc>
          <w:tcPr>
            <w:tcW w:w="448" w:type="pct"/>
            <w:shd w:val="clear" w:color="auto" w:fill="auto"/>
            <w:tcMar>
              <w:top w:w="15" w:type="dxa"/>
              <w:left w:w="15" w:type="dxa"/>
              <w:bottom w:w="0" w:type="dxa"/>
              <w:right w:w="15" w:type="dxa"/>
            </w:tcMar>
            <w:vAlign w:val="center"/>
          </w:tcPr>
          <w:p w14:paraId="5A58D003" w14:textId="77777777" w:rsidR="002E474C" w:rsidRDefault="00000000">
            <w:pPr>
              <w:pStyle w:val="A-"/>
            </w:pPr>
            <w:r>
              <w:t>0.05</w:t>
            </w:r>
          </w:p>
        </w:tc>
        <w:tc>
          <w:tcPr>
            <w:tcW w:w="662" w:type="pct"/>
            <w:shd w:val="clear" w:color="auto" w:fill="auto"/>
            <w:tcMar>
              <w:top w:w="15" w:type="dxa"/>
              <w:left w:w="15" w:type="dxa"/>
              <w:bottom w:w="0" w:type="dxa"/>
              <w:right w:w="15" w:type="dxa"/>
            </w:tcMar>
            <w:vAlign w:val="center"/>
          </w:tcPr>
          <w:p w14:paraId="1C30ED31" w14:textId="77777777" w:rsidR="002E474C" w:rsidRDefault="00000000">
            <w:pPr>
              <w:pStyle w:val="A-"/>
            </w:pPr>
            <w:r>
              <w:t>900mg/kg</w:t>
            </w:r>
          </w:p>
        </w:tc>
        <w:tc>
          <w:tcPr>
            <w:tcW w:w="317" w:type="pct"/>
            <w:shd w:val="clear" w:color="auto" w:fill="auto"/>
            <w:noWrap/>
            <w:tcMar>
              <w:top w:w="15" w:type="dxa"/>
              <w:left w:w="15" w:type="dxa"/>
              <w:bottom w:w="0" w:type="dxa"/>
              <w:right w:w="15" w:type="dxa"/>
            </w:tcMar>
            <w:vAlign w:val="center"/>
          </w:tcPr>
          <w:p w14:paraId="1C082C12" w14:textId="77777777" w:rsidR="002E474C" w:rsidRDefault="00000000">
            <w:pPr>
              <w:pStyle w:val="A-"/>
            </w:pPr>
            <w:r>
              <w:t>达标</w:t>
            </w:r>
          </w:p>
        </w:tc>
      </w:tr>
      <w:tr w:rsidR="002E474C" w14:paraId="62B1A373" w14:textId="77777777">
        <w:tc>
          <w:tcPr>
            <w:tcW w:w="757" w:type="pct"/>
            <w:shd w:val="clear" w:color="auto" w:fill="auto"/>
            <w:noWrap/>
            <w:tcMar>
              <w:top w:w="15" w:type="dxa"/>
              <w:left w:w="15" w:type="dxa"/>
              <w:bottom w:w="0" w:type="dxa"/>
              <w:right w:w="15" w:type="dxa"/>
            </w:tcMar>
            <w:vAlign w:val="center"/>
          </w:tcPr>
          <w:p w14:paraId="1B957840" w14:textId="77777777" w:rsidR="002E474C" w:rsidRDefault="00000000">
            <w:pPr>
              <w:pStyle w:val="A-"/>
            </w:pPr>
            <w:r>
              <w:t>六价铬</w:t>
            </w:r>
          </w:p>
        </w:tc>
        <w:tc>
          <w:tcPr>
            <w:tcW w:w="652" w:type="pct"/>
            <w:shd w:val="clear" w:color="auto" w:fill="auto"/>
            <w:tcMar>
              <w:top w:w="15" w:type="dxa"/>
              <w:left w:w="15" w:type="dxa"/>
              <w:bottom w:w="0" w:type="dxa"/>
              <w:right w:w="15" w:type="dxa"/>
            </w:tcMar>
            <w:vAlign w:val="center"/>
          </w:tcPr>
          <w:p w14:paraId="5032FE13"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F4A078A" w14:textId="77777777" w:rsidR="002E474C" w:rsidRDefault="00000000">
            <w:pPr>
              <w:pStyle w:val="A-"/>
            </w:pPr>
            <w:r>
              <w:t>&lt;0.5</w:t>
            </w:r>
          </w:p>
        </w:tc>
        <w:tc>
          <w:tcPr>
            <w:tcW w:w="446" w:type="pct"/>
            <w:shd w:val="clear" w:color="auto" w:fill="auto"/>
            <w:tcMar>
              <w:top w:w="15" w:type="dxa"/>
              <w:left w:w="15" w:type="dxa"/>
              <w:bottom w:w="0" w:type="dxa"/>
              <w:right w:w="15" w:type="dxa"/>
            </w:tcMar>
            <w:vAlign w:val="center"/>
          </w:tcPr>
          <w:p w14:paraId="66101930"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12A34166"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1C109C4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449234B" w14:textId="77777777" w:rsidR="002E474C" w:rsidRDefault="00000000">
            <w:pPr>
              <w:pStyle w:val="A-"/>
            </w:pPr>
            <w:r>
              <w:t>&lt;0.5</w:t>
            </w:r>
          </w:p>
        </w:tc>
        <w:tc>
          <w:tcPr>
            <w:tcW w:w="448" w:type="pct"/>
            <w:shd w:val="clear" w:color="auto" w:fill="auto"/>
            <w:tcMar>
              <w:top w:w="15" w:type="dxa"/>
              <w:left w:w="15" w:type="dxa"/>
              <w:bottom w:w="0" w:type="dxa"/>
              <w:right w:w="15" w:type="dxa"/>
            </w:tcMar>
            <w:vAlign w:val="center"/>
          </w:tcPr>
          <w:p w14:paraId="44DBCE9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F9212C2" w14:textId="77777777" w:rsidR="002E474C" w:rsidRDefault="00000000">
            <w:pPr>
              <w:pStyle w:val="A-"/>
            </w:pPr>
            <w:r>
              <w:t>5.7mg/kg</w:t>
            </w:r>
          </w:p>
        </w:tc>
        <w:tc>
          <w:tcPr>
            <w:tcW w:w="317" w:type="pct"/>
            <w:shd w:val="clear" w:color="auto" w:fill="auto"/>
            <w:noWrap/>
            <w:tcMar>
              <w:top w:w="15" w:type="dxa"/>
              <w:left w:w="15" w:type="dxa"/>
              <w:bottom w:w="0" w:type="dxa"/>
              <w:right w:w="15" w:type="dxa"/>
            </w:tcMar>
            <w:vAlign w:val="center"/>
          </w:tcPr>
          <w:p w14:paraId="61E67F61" w14:textId="77777777" w:rsidR="002E474C" w:rsidRDefault="00000000">
            <w:pPr>
              <w:pStyle w:val="A-"/>
            </w:pPr>
            <w:r>
              <w:t>达标</w:t>
            </w:r>
          </w:p>
        </w:tc>
      </w:tr>
      <w:tr w:rsidR="002E474C" w14:paraId="005EF7C0" w14:textId="77777777">
        <w:tc>
          <w:tcPr>
            <w:tcW w:w="757" w:type="pct"/>
            <w:shd w:val="clear" w:color="auto" w:fill="auto"/>
            <w:noWrap/>
            <w:tcMar>
              <w:top w:w="15" w:type="dxa"/>
              <w:left w:w="15" w:type="dxa"/>
              <w:bottom w:w="0" w:type="dxa"/>
              <w:right w:w="15" w:type="dxa"/>
            </w:tcMar>
            <w:vAlign w:val="center"/>
          </w:tcPr>
          <w:p w14:paraId="53D84C3E" w14:textId="77777777" w:rsidR="002E474C" w:rsidRDefault="00000000">
            <w:pPr>
              <w:pStyle w:val="A-"/>
            </w:pPr>
            <w:r>
              <w:t>钴</w:t>
            </w:r>
          </w:p>
        </w:tc>
        <w:tc>
          <w:tcPr>
            <w:tcW w:w="652" w:type="pct"/>
            <w:shd w:val="clear" w:color="auto" w:fill="auto"/>
            <w:tcMar>
              <w:top w:w="15" w:type="dxa"/>
              <w:left w:w="15" w:type="dxa"/>
              <w:bottom w:w="0" w:type="dxa"/>
              <w:right w:w="15" w:type="dxa"/>
            </w:tcMar>
            <w:vAlign w:val="center"/>
          </w:tcPr>
          <w:p w14:paraId="2BF1BBB8"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3BB4979" w14:textId="77777777" w:rsidR="002E474C" w:rsidRDefault="00000000">
            <w:pPr>
              <w:pStyle w:val="A-"/>
            </w:pPr>
            <w:r>
              <w:t>8</w:t>
            </w:r>
          </w:p>
        </w:tc>
        <w:tc>
          <w:tcPr>
            <w:tcW w:w="446" w:type="pct"/>
            <w:shd w:val="clear" w:color="auto" w:fill="auto"/>
            <w:tcMar>
              <w:top w:w="15" w:type="dxa"/>
              <w:left w:w="15" w:type="dxa"/>
              <w:bottom w:w="0" w:type="dxa"/>
              <w:right w:w="15" w:type="dxa"/>
            </w:tcMar>
            <w:vAlign w:val="center"/>
          </w:tcPr>
          <w:p w14:paraId="72FE99AB" w14:textId="77777777" w:rsidR="002E474C" w:rsidRDefault="00000000">
            <w:pPr>
              <w:pStyle w:val="A-"/>
            </w:pPr>
            <w:r>
              <w:t>0.11</w:t>
            </w:r>
          </w:p>
        </w:tc>
        <w:tc>
          <w:tcPr>
            <w:tcW w:w="446" w:type="pct"/>
            <w:shd w:val="clear" w:color="auto" w:fill="auto"/>
            <w:tcMar>
              <w:top w:w="15" w:type="dxa"/>
              <w:left w:w="15" w:type="dxa"/>
              <w:bottom w:w="0" w:type="dxa"/>
              <w:right w:w="15" w:type="dxa"/>
            </w:tcMar>
            <w:vAlign w:val="center"/>
          </w:tcPr>
          <w:p w14:paraId="2C5A38EC" w14:textId="77777777" w:rsidR="002E474C" w:rsidRDefault="00000000">
            <w:pPr>
              <w:pStyle w:val="A-"/>
            </w:pPr>
            <w:r>
              <w:t>13</w:t>
            </w:r>
          </w:p>
        </w:tc>
        <w:tc>
          <w:tcPr>
            <w:tcW w:w="448" w:type="pct"/>
            <w:shd w:val="clear" w:color="auto" w:fill="auto"/>
            <w:tcMar>
              <w:top w:w="15" w:type="dxa"/>
              <w:left w:w="15" w:type="dxa"/>
              <w:bottom w:w="0" w:type="dxa"/>
              <w:right w:w="15" w:type="dxa"/>
            </w:tcMar>
            <w:vAlign w:val="center"/>
          </w:tcPr>
          <w:p w14:paraId="1C467CB2" w14:textId="77777777" w:rsidR="002E474C" w:rsidRDefault="00000000">
            <w:pPr>
              <w:pStyle w:val="A-"/>
            </w:pPr>
            <w:r>
              <w:t>0.19</w:t>
            </w:r>
          </w:p>
        </w:tc>
        <w:tc>
          <w:tcPr>
            <w:tcW w:w="446" w:type="pct"/>
            <w:shd w:val="clear" w:color="auto" w:fill="auto"/>
            <w:tcMar>
              <w:top w:w="15" w:type="dxa"/>
              <w:left w:w="15" w:type="dxa"/>
              <w:bottom w:w="0" w:type="dxa"/>
              <w:right w:w="15" w:type="dxa"/>
            </w:tcMar>
            <w:vAlign w:val="center"/>
          </w:tcPr>
          <w:p w14:paraId="572A6CAA" w14:textId="77777777" w:rsidR="002E474C" w:rsidRDefault="00000000">
            <w:pPr>
              <w:pStyle w:val="A-"/>
            </w:pPr>
            <w:r>
              <w:t>8</w:t>
            </w:r>
          </w:p>
        </w:tc>
        <w:tc>
          <w:tcPr>
            <w:tcW w:w="448" w:type="pct"/>
            <w:shd w:val="clear" w:color="auto" w:fill="auto"/>
            <w:tcMar>
              <w:top w:w="15" w:type="dxa"/>
              <w:left w:w="15" w:type="dxa"/>
              <w:bottom w:w="0" w:type="dxa"/>
              <w:right w:w="15" w:type="dxa"/>
            </w:tcMar>
            <w:vAlign w:val="center"/>
          </w:tcPr>
          <w:p w14:paraId="119791D9" w14:textId="77777777" w:rsidR="002E474C" w:rsidRDefault="00000000">
            <w:pPr>
              <w:pStyle w:val="A-"/>
            </w:pPr>
            <w:r>
              <w:t>0.11</w:t>
            </w:r>
          </w:p>
        </w:tc>
        <w:tc>
          <w:tcPr>
            <w:tcW w:w="662" w:type="pct"/>
            <w:shd w:val="clear" w:color="auto" w:fill="auto"/>
            <w:tcMar>
              <w:top w:w="15" w:type="dxa"/>
              <w:left w:w="15" w:type="dxa"/>
              <w:bottom w:w="0" w:type="dxa"/>
              <w:right w:w="15" w:type="dxa"/>
            </w:tcMar>
            <w:vAlign w:val="center"/>
          </w:tcPr>
          <w:p w14:paraId="7EC2EE5F" w14:textId="77777777" w:rsidR="002E474C" w:rsidRDefault="00000000">
            <w:pPr>
              <w:pStyle w:val="A-"/>
            </w:pPr>
            <w:r>
              <w:t>70mg/kg</w:t>
            </w:r>
          </w:p>
        </w:tc>
        <w:tc>
          <w:tcPr>
            <w:tcW w:w="317" w:type="pct"/>
            <w:shd w:val="clear" w:color="auto" w:fill="auto"/>
            <w:noWrap/>
            <w:tcMar>
              <w:top w:w="15" w:type="dxa"/>
              <w:left w:w="15" w:type="dxa"/>
              <w:bottom w:w="0" w:type="dxa"/>
              <w:right w:w="15" w:type="dxa"/>
            </w:tcMar>
            <w:vAlign w:val="center"/>
          </w:tcPr>
          <w:p w14:paraId="173FA9BA" w14:textId="77777777" w:rsidR="002E474C" w:rsidRDefault="00000000">
            <w:pPr>
              <w:pStyle w:val="A-"/>
            </w:pPr>
            <w:r>
              <w:t>达标</w:t>
            </w:r>
          </w:p>
        </w:tc>
      </w:tr>
      <w:tr w:rsidR="002E474C" w14:paraId="37BFA528" w14:textId="77777777">
        <w:tc>
          <w:tcPr>
            <w:tcW w:w="757" w:type="pct"/>
            <w:shd w:val="clear" w:color="auto" w:fill="auto"/>
            <w:noWrap/>
            <w:tcMar>
              <w:top w:w="15" w:type="dxa"/>
              <w:left w:w="15" w:type="dxa"/>
              <w:bottom w:w="0" w:type="dxa"/>
              <w:right w:w="15" w:type="dxa"/>
            </w:tcMar>
            <w:vAlign w:val="center"/>
          </w:tcPr>
          <w:p w14:paraId="5653368C" w14:textId="77777777" w:rsidR="002E474C" w:rsidRDefault="00000000">
            <w:pPr>
              <w:pStyle w:val="A-"/>
            </w:pPr>
            <w:r>
              <w:t>钒</w:t>
            </w:r>
          </w:p>
        </w:tc>
        <w:tc>
          <w:tcPr>
            <w:tcW w:w="652" w:type="pct"/>
            <w:shd w:val="clear" w:color="auto" w:fill="auto"/>
            <w:tcMar>
              <w:top w:w="15" w:type="dxa"/>
              <w:left w:w="15" w:type="dxa"/>
              <w:bottom w:w="0" w:type="dxa"/>
              <w:right w:w="15" w:type="dxa"/>
            </w:tcMar>
            <w:vAlign w:val="center"/>
          </w:tcPr>
          <w:p w14:paraId="516082BC"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7E844168" w14:textId="77777777" w:rsidR="002E474C" w:rsidRDefault="00000000">
            <w:pPr>
              <w:pStyle w:val="A-"/>
            </w:pPr>
            <w:r>
              <w:t>106</w:t>
            </w:r>
          </w:p>
        </w:tc>
        <w:tc>
          <w:tcPr>
            <w:tcW w:w="446" w:type="pct"/>
            <w:shd w:val="clear" w:color="auto" w:fill="auto"/>
            <w:tcMar>
              <w:top w:w="15" w:type="dxa"/>
              <w:left w:w="15" w:type="dxa"/>
              <w:bottom w:w="0" w:type="dxa"/>
              <w:right w:w="15" w:type="dxa"/>
            </w:tcMar>
            <w:vAlign w:val="center"/>
          </w:tcPr>
          <w:p w14:paraId="32CE2E30" w14:textId="77777777" w:rsidR="002E474C" w:rsidRDefault="00000000">
            <w:pPr>
              <w:pStyle w:val="A-"/>
            </w:pPr>
            <w:r>
              <w:t>0.14</w:t>
            </w:r>
          </w:p>
        </w:tc>
        <w:tc>
          <w:tcPr>
            <w:tcW w:w="446" w:type="pct"/>
            <w:shd w:val="clear" w:color="auto" w:fill="auto"/>
            <w:tcMar>
              <w:top w:w="15" w:type="dxa"/>
              <w:left w:w="15" w:type="dxa"/>
              <w:bottom w:w="0" w:type="dxa"/>
              <w:right w:w="15" w:type="dxa"/>
            </w:tcMar>
            <w:vAlign w:val="center"/>
          </w:tcPr>
          <w:p w14:paraId="2ACEC792" w14:textId="77777777" w:rsidR="002E474C" w:rsidRDefault="00000000">
            <w:pPr>
              <w:pStyle w:val="A-"/>
            </w:pPr>
            <w:r>
              <w:t>122</w:t>
            </w:r>
          </w:p>
        </w:tc>
        <w:tc>
          <w:tcPr>
            <w:tcW w:w="448" w:type="pct"/>
            <w:shd w:val="clear" w:color="auto" w:fill="auto"/>
            <w:tcMar>
              <w:top w:w="15" w:type="dxa"/>
              <w:left w:w="15" w:type="dxa"/>
              <w:bottom w:w="0" w:type="dxa"/>
              <w:right w:w="15" w:type="dxa"/>
            </w:tcMar>
            <w:vAlign w:val="center"/>
          </w:tcPr>
          <w:p w14:paraId="59CB079A" w14:textId="77777777" w:rsidR="002E474C" w:rsidRDefault="00000000">
            <w:pPr>
              <w:pStyle w:val="A-"/>
            </w:pPr>
            <w:r>
              <w:t>0.16</w:t>
            </w:r>
          </w:p>
        </w:tc>
        <w:tc>
          <w:tcPr>
            <w:tcW w:w="446" w:type="pct"/>
            <w:shd w:val="clear" w:color="auto" w:fill="auto"/>
            <w:tcMar>
              <w:top w:w="15" w:type="dxa"/>
              <w:left w:w="15" w:type="dxa"/>
              <w:bottom w:w="0" w:type="dxa"/>
              <w:right w:w="15" w:type="dxa"/>
            </w:tcMar>
            <w:vAlign w:val="center"/>
          </w:tcPr>
          <w:p w14:paraId="5CEF776F" w14:textId="77777777" w:rsidR="002E474C" w:rsidRDefault="00000000">
            <w:pPr>
              <w:pStyle w:val="A-"/>
            </w:pPr>
            <w:r>
              <w:t>78.2</w:t>
            </w:r>
          </w:p>
        </w:tc>
        <w:tc>
          <w:tcPr>
            <w:tcW w:w="448" w:type="pct"/>
            <w:shd w:val="clear" w:color="auto" w:fill="auto"/>
            <w:tcMar>
              <w:top w:w="15" w:type="dxa"/>
              <w:left w:w="15" w:type="dxa"/>
              <w:bottom w:w="0" w:type="dxa"/>
              <w:right w:w="15" w:type="dxa"/>
            </w:tcMar>
            <w:vAlign w:val="center"/>
          </w:tcPr>
          <w:p w14:paraId="69C5CB04" w14:textId="77777777" w:rsidR="002E474C" w:rsidRDefault="00000000">
            <w:pPr>
              <w:pStyle w:val="A-"/>
            </w:pPr>
            <w:r>
              <w:t>0.10</w:t>
            </w:r>
          </w:p>
        </w:tc>
        <w:tc>
          <w:tcPr>
            <w:tcW w:w="662" w:type="pct"/>
            <w:shd w:val="clear" w:color="auto" w:fill="auto"/>
            <w:tcMar>
              <w:top w:w="15" w:type="dxa"/>
              <w:left w:w="15" w:type="dxa"/>
              <w:bottom w:w="0" w:type="dxa"/>
              <w:right w:w="15" w:type="dxa"/>
            </w:tcMar>
            <w:vAlign w:val="center"/>
          </w:tcPr>
          <w:p w14:paraId="640A55A8" w14:textId="77777777" w:rsidR="002E474C" w:rsidRDefault="00000000">
            <w:pPr>
              <w:pStyle w:val="A-"/>
            </w:pPr>
            <w:r>
              <w:t>752mg/kg</w:t>
            </w:r>
          </w:p>
        </w:tc>
        <w:tc>
          <w:tcPr>
            <w:tcW w:w="317" w:type="pct"/>
            <w:shd w:val="clear" w:color="auto" w:fill="auto"/>
            <w:noWrap/>
            <w:tcMar>
              <w:top w:w="15" w:type="dxa"/>
              <w:left w:w="15" w:type="dxa"/>
              <w:bottom w:w="0" w:type="dxa"/>
              <w:right w:w="15" w:type="dxa"/>
            </w:tcMar>
            <w:vAlign w:val="center"/>
          </w:tcPr>
          <w:p w14:paraId="7B84FBDF" w14:textId="77777777" w:rsidR="002E474C" w:rsidRDefault="00000000">
            <w:pPr>
              <w:pStyle w:val="A-"/>
            </w:pPr>
            <w:r>
              <w:t>达标</w:t>
            </w:r>
          </w:p>
        </w:tc>
      </w:tr>
      <w:tr w:rsidR="002E474C" w14:paraId="0EC8FBA1" w14:textId="77777777">
        <w:tc>
          <w:tcPr>
            <w:tcW w:w="757" w:type="pct"/>
            <w:shd w:val="clear" w:color="auto" w:fill="auto"/>
            <w:noWrap/>
            <w:tcMar>
              <w:top w:w="15" w:type="dxa"/>
              <w:left w:w="15" w:type="dxa"/>
              <w:bottom w:w="0" w:type="dxa"/>
              <w:right w:w="15" w:type="dxa"/>
            </w:tcMar>
            <w:vAlign w:val="center"/>
          </w:tcPr>
          <w:p w14:paraId="4E2FAED8" w14:textId="77777777" w:rsidR="002E474C" w:rsidRDefault="00000000">
            <w:pPr>
              <w:pStyle w:val="A-"/>
            </w:pPr>
            <w:r>
              <w:t>氰化物</w:t>
            </w:r>
          </w:p>
        </w:tc>
        <w:tc>
          <w:tcPr>
            <w:tcW w:w="652" w:type="pct"/>
            <w:shd w:val="clear" w:color="auto" w:fill="auto"/>
            <w:tcMar>
              <w:top w:w="15" w:type="dxa"/>
              <w:left w:w="15" w:type="dxa"/>
              <w:bottom w:w="0" w:type="dxa"/>
              <w:right w:w="15" w:type="dxa"/>
            </w:tcMar>
            <w:vAlign w:val="center"/>
          </w:tcPr>
          <w:p w14:paraId="165380F8"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1C875E2C" w14:textId="77777777" w:rsidR="002E474C" w:rsidRDefault="00000000">
            <w:pPr>
              <w:pStyle w:val="A-"/>
            </w:pPr>
            <w:r>
              <w:t>&lt;0.04</w:t>
            </w:r>
          </w:p>
        </w:tc>
        <w:tc>
          <w:tcPr>
            <w:tcW w:w="446" w:type="pct"/>
            <w:shd w:val="clear" w:color="auto" w:fill="auto"/>
            <w:tcMar>
              <w:top w:w="15" w:type="dxa"/>
              <w:left w:w="15" w:type="dxa"/>
              <w:bottom w:w="0" w:type="dxa"/>
              <w:right w:w="15" w:type="dxa"/>
            </w:tcMar>
            <w:vAlign w:val="center"/>
          </w:tcPr>
          <w:p w14:paraId="10347AAE"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8531DA2" w14:textId="77777777" w:rsidR="002E474C" w:rsidRDefault="00000000">
            <w:pPr>
              <w:pStyle w:val="A-"/>
            </w:pPr>
            <w:r>
              <w:t>&lt;0.04</w:t>
            </w:r>
          </w:p>
        </w:tc>
        <w:tc>
          <w:tcPr>
            <w:tcW w:w="448" w:type="pct"/>
            <w:shd w:val="clear" w:color="auto" w:fill="auto"/>
            <w:tcMar>
              <w:top w:w="15" w:type="dxa"/>
              <w:left w:w="15" w:type="dxa"/>
              <w:bottom w:w="0" w:type="dxa"/>
              <w:right w:w="15" w:type="dxa"/>
            </w:tcMar>
            <w:vAlign w:val="center"/>
          </w:tcPr>
          <w:p w14:paraId="37A4A113" w14:textId="77777777" w:rsidR="002E474C" w:rsidRDefault="00000000">
            <w:pPr>
              <w:pStyle w:val="A-"/>
            </w:pPr>
            <w:r>
              <w:t>/</w:t>
            </w:r>
          </w:p>
        </w:tc>
        <w:tc>
          <w:tcPr>
            <w:tcW w:w="446" w:type="pct"/>
            <w:shd w:val="clear" w:color="auto" w:fill="auto"/>
            <w:tcMar>
              <w:top w:w="15" w:type="dxa"/>
              <w:left w:w="15" w:type="dxa"/>
              <w:bottom w:w="0" w:type="dxa"/>
              <w:right w:w="15" w:type="dxa"/>
            </w:tcMar>
            <w:vAlign w:val="center"/>
          </w:tcPr>
          <w:p w14:paraId="41C42BD8" w14:textId="77777777" w:rsidR="002E474C" w:rsidRDefault="00000000">
            <w:pPr>
              <w:pStyle w:val="A-"/>
            </w:pPr>
            <w:r>
              <w:t>&lt;0.04</w:t>
            </w:r>
          </w:p>
        </w:tc>
        <w:tc>
          <w:tcPr>
            <w:tcW w:w="448" w:type="pct"/>
            <w:shd w:val="clear" w:color="auto" w:fill="auto"/>
            <w:noWrap/>
            <w:tcMar>
              <w:top w:w="15" w:type="dxa"/>
              <w:left w:w="15" w:type="dxa"/>
              <w:bottom w:w="0" w:type="dxa"/>
              <w:right w:w="15" w:type="dxa"/>
            </w:tcMar>
            <w:vAlign w:val="center"/>
          </w:tcPr>
          <w:p w14:paraId="1DD2E46C" w14:textId="77777777" w:rsidR="002E474C" w:rsidRDefault="00000000">
            <w:pPr>
              <w:pStyle w:val="A-"/>
            </w:pPr>
            <w:r>
              <w:t>/</w:t>
            </w:r>
          </w:p>
        </w:tc>
        <w:tc>
          <w:tcPr>
            <w:tcW w:w="662" w:type="pct"/>
            <w:shd w:val="clear" w:color="auto" w:fill="auto"/>
            <w:tcMar>
              <w:top w:w="15" w:type="dxa"/>
              <w:left w:w="15" w:type="dxa"/>
              <w:bottom w:w="0" w:type="dxa"/>
              <w:right w:w="15" w:type="dxa"/>
            </w:tcMar>
            <w:vAlign w:val="center"/>
          </w:tcPr>
          <w:p w14:paraId="3E91CCBD" w14:textId="77777777" w:rsidR="002E474C" w:rsidRDefault="00000000">
            <w:pPr>
              <w:pStyle w:val="A-"/>
            </w:pPr>
            <w:r>
              <w:t>135mg/kg</w:t>
            </w:r>
          </w:p>
        </w:tc>
        <w:tc>
          <w:tcPr>
            <w:tcW w:w="317" w:type="pct"/>
            <w:shd w:val="clear" w:color="auto" w:fill="auto"/>
            <w:noWrap/>
            <w:tcMar>
              <w:top w:w="15" w:type="dxa"/>
              <w:left w:w="15" w:type="dxa"/>
              <w:bottom w:w="0" w:type="dxa"/>
              <w:right w:w="15" w:type="dxa"/>
            </w:tcMar>
            <w:vAlign w:val="center"/>
          </w:tcPr>
          <w:p w14:paraId="7A684FC4" w14:textId="77777777" w:rsidR="002E474C" w:rsidRDefault="00000000">
            <w:pPr>
              <w:pStyle w:val="A-"/>
            </w:pPr>
            <w:r>
              <w:t>达标</w:t>
            </w:r>
          </w:p>
        </w:tc>
      </w:tr>
      <w:tr w:rsidR="002E474C" w14:paraId="628EBFD8" w14:textId="77777777">
        <w:tc>
          <w:tcPr>
            <w:tcW w:w="757" w:type="pct"/>
            <w:shd w:val="clear" w:color="auto" w:fill="auto"/>
            <w:noWrap/>
            <w:tcMar>
              <w:top w:w="15" w:type="dxa"/>
              <w:left w:w="15" w:type="dxa"/>
              <w:bottom w:w="0" w:type="dxa"/>
              <w:right w:w="15" w:type="dxa"/>
            </w:tcMar>
            <w:vAlign w:val="center"/>
          </w:tcPr>
          <w:p w14:paraId="4F6A18D8" w14:textId="77777777" w:rsidR="002E474C" w:rsidRDefault="00000000">
            <w:pPr>
              <w:pStyle w:val="A-"/>
            </w:pPr>
            <w:r>
              <w:t>石油烃（</w:t>
            </w:r>
            <w:r>
              <w:t>C</w:t>
            </w:r>
            <w:r>
              <w:rPr>
                <w:vertAlign w:val="subscript"/>
              </w:rPr>
              <w:t>10</w:t>
            </w:r>
            <w:r>
              <w:t>-C</w:t>
            </w:r>
            <w:r>
              <w:rPr>
                <w:vertAlign w:val="subscript"/>
              </w:rPr>
              <w:t>40</w:t>
            </w:r>
            <w:r>
              <w:t>）</w:t>
            </w:r>
          </w:p>
        </w:tc>
        <w:tc>
          <w:tcPr>
            <w:tcW w:w="652" w:type="pct"/>
            <w:shd w:val="clear" w:color="auto" w:fill="auto"/>
            <w:tcMar>
              <w:top w:w="15" w:type="dxa"/>
              <w:left w:w="15" w:type="dxa"/>
              <w:bottom w:w="0" w:type="dxa"/>
              <w:right w:w="15" w:type="dxa"/>
            </w:tcMar>
            <w:vAlign w:val="center"/>
          </w:tcPr>
          <w:p w14:paraId="3447E9A4" w14:textId="77777777" w:rsidR="002E474C" w:rsidRDefault="00000000">
            <w:pPr>
              <w:pStyle w:val="A-"/>
            </w:pPr>
            <w:r>
              <w:t>mg/kg</w:t>
            </w:r>
          </w:p>
        </w:tc>
        <w:tc>
          <w:tcPr>
            <w:tcW w:w="373" w:type="pct"/>
            <w:shd w:val="clear" w:color="auto" w:fill="auto"/>
            <w:tcMar>
              <w:top w:w="15" w:type="dxa"/>
              <w:left w:w="15" w:type="dxa"/>
              <w:bottom w:w="0" w:type="dxa"/>
              <w:right w:w="15" w:type="dxa"/>
            </w:tcMar>
            <w:vAlign w:val="center"/>
          </w:tcPr>
          <w:p w14:paraId="45DB03E2" w14:textId="77777777" w:rsidR="002E474C" w:rsidRDefault="00000000">
            <w:pPr>
              <w:pStyle w:val="A-"/>
            </w:pPr>
            <w:r>
              <w:t>22</w:t>
            </w:r>
          </w:p>
        </w:tc>
        <w:tc>
          <w:tcPr>
            <w:tcW w:w="446" w:type="pct"/>
            <w:shd w:val="clear" w:color="auto" w:fill="auto"/>
            <w:tcMar>
              <w:top w:w="15" w:type="dxa"/>
              <w:left w:w="15" w:type="dxa"/>
              <w:bottom w:w="0" w:type="dxa"/>
              <w:right w:w="15" w:type="dxa"/>
            </w:tcMar>
            <w:vAlign w:val="center"/>
          </w:tcPr>
          <w:p w14:paraId="7E30BDA1"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2EE7C319" w14:textId="77777777" w:rsidR="002E474C" w:rsidRDefault="00000000">
            <w:pPr>
              <w:pStyle w:val="A-"/>
            </w:pPr>
            <w:r>
              <w:t>22</w:t>
            </w:r>
          </w:p>
        </w:tc>
        <w:tc>
          <w:tcPr>
            <w:tcW w:w="448" w:type="pct"/>
            <w:shd w:val="clear" w:color="auto" w:fill="auto"/>
            <w:tcMar>
              <w:top w:w="15" w:type="dxa"/>
              <w:left w:w="15" w:type="dxa"/>
              <w:bottom w:w="0" w:type="dxa"/>
              <w:right w:w="15" w:type="dxa"/>
            </w:tcMar>
            <w:vAlign w:val="center"/>
          </w:tcPr>
          <w:p w14:paraId="0C34686F" w14:textId="77777777" w:rsidR="002E474C" w:rsidRDefault="00000000">
            <w:pPr>
              <w:pStyle w:val="A-"/>
            </w:pPr>
            <w:r>
              <w:t>0.00</w:t>
            </w:r>
          </w:p>
        </w:tc>
        <w:tc>
          <w:tcPr>
            <w:tcW w:w="446" w:type="pct"/>
            <w:shd w:val="clear" w:color="auto" w:fill="auto"/>
            <w:tcMar>
              <w:top w:w="15" w:type="dxa"/>
              <w:left w:w="15" w:type="dxa"/>
              <w:bottom w:w="0" w:type="dxa"/>
              <w:right w:w="15" w:type="dxa"/>
            </w:tcMar>
            <w:vAlign w:val="center"/>
          </w:tcPr>
          <w:p w14:paraId="51970F57" w14:textId="77777777" w:rsidR="002E474C" w:rsidRDefault="00000000">
            <w:pPr>
              <w:pStyle w:val="A-"/>
            </w:pPr>
            <w:r>
              <w:t>19</w:t>
            </w:r>
          </w:p>
        </w:tc>
        <w:tc>
          <w:tcPr>
            <w:tcW w:w="448" w:type="pct"/>
            <w:shd w:val="clear" w:color="auto" w:fill="auto"/>
            <w:noWrap/>
            <w:tcMar>
              <w:top w:w="15" w:type="dxa"/>
              <w:left w:w="15" w:type="dxa"/>
              <w:bottom w:w="0" w:type="dxa"/>
              <w:right w:w="15" w:type="dxa"/>
            </w:tcMar>
            <w:vAlign w:val="center"/>
          </w:tcPr>
          <w:p w14:paraId="2B344C1B" w14:textId="77777777" w:rsidR="002E474C" w:rsidRDefault="00000000">
            <w:pPr>
              <w:pStyle w:val="A-"/>
            </w:pPr>
            <w:r>
              <w:t>0.00</w:t>
            </w:r>
          </w:p>
        </w:tc>
        <w:tc>
          <w:tcPr>
            <w:tcW w:w="662" w:type="pct"/>
            <w:shd w:val="clear" w:color="auto" w:fill="auto"/>
            <w:tcMar>
              <w:top w:w="15" w:type="dxa"/>
              <w:left w:w="15" w:type="dxa"/>
              <w:bottom w:w="0" w:type="dxa"/>
              <w:right w:w="15" w:type="dxa"/>
            </w:tcMar>
            <w:vAlign w:val="center"/>
          </w:tcPr>
          <w:p w14:paraId="105876F0" w14:textId="77777777" w:rsidR="002E474C" w:rsidRDefault="00000000">
            <w:pPr>
              <w:pStyle w:val="A-"/>
            </w:pPr>
            <w:r>
              <w:t>4500 mg/kg</w:t>
            </w:r>
          </w:p>
        </w:tc>
        <w:tc>
          <w:tcPr>
            <w:tcW w:w="317" w:type="pct"/>
            <w:shd w:val="clear" w:color="auto" w:fill="auto"/>
            <w:noWrap/>
            <w:tcMar>
              <w:top w:w="15" w:type="dxa"/>
              <w:left w:w="15" w:type="dxa"/>
              <w:bottom w:w="0" w:type="dxa"/>
              <w:right w:w="15" w:type="dxa"/>
            </w:tcMar>
            <w:vAlign w:val="center"/>
          </w:tcPr>
          <w:p w14:paraId="2CD78179" w14:textId="77777777" w:rsidR="002E474C" w:rsidRDefault="00000000">
            <w:pPr>
              <w:pStyle w:val="A-"/>
            </w:pPr>
            <w:r>
              <w:t>达标</w:t>
            </w:r>
          </w:p>
        </w:tc>
      </w:tr>
      <w:tr w:rsidR="002E474C" w14:paraId="75FD0A79" w14:textId="77777777">
        <w:trPr>
          <w:trHeight w:val="277"/>
        </w:trPr>
        <w:tc>
          <w:tcPr>
            <w:tcW w:w="757" w:type="pct"/>
            <w:shd w:val="clear" w:color="auto" w:fill="auto"/>
            <w:noWrap/>
            <w:tcMar>
              <w:top w:w="15" w:type="dxa"/>
              <w:left w:w="15" w:type="dxa"/>
              <w:bottom w:w="0" w:type="dxa"/>
              <w:right w:w="15" w:type="dxa"/>
            </w:tcMar>
            <w:vAlign w:val="center"/>
          </w:tcPr>
          <w:p w14:paraId="1962A6D9" w14:textId="77777777" w:rsidR="002E474C" w:rsidRDefault="00000000">
            <w:pPr>
              <w:pStyle w:val="A-"/>
            </w:pPr>
            <w:r>
              <w:t>二噁英类</w:t>
            </w:r>
          </w:p>
        </w:tc>
        <w:tc>
          <w:tcPr>
            <w:tcW w:w="652" w:type="pct"/>
            <w:shd w:val="clear" w:color="auto" w:fill="auto"/>
            <w:tcMar>
              <w:top w:w="15" w:type="dxa"/>
              <w:left w:w="15" w:type="dxa"/>
              <w:bottom w:w="0" w:type="dxa"/>
              <w:right w:w="15" w:type="dxa"/>
            </w:tcMar>
            <w:vAlign w:val="center"/>
          </w:tcPr>
          <w:p w14:paraId="78A7A374" w14:textId="77777777" w:rsidR="002E474C" w:rsidRDefault="00000000">
            <w:pPr>
              <w:pStyle w:val="A-"/>
            </w:pPr>
            <w:proofErr w:type="spellStart"/>
            <w:r>
              <w:t>ngTEQ</w:t>
            </w:r>
            <w:proofErr w:type="spellEnd"/>
            <w:r>
              <w:t>/kg</w:t>
            </w:r>
          </w:p>
        </w:tc>
        <w:tc>
          <w:tcPr>
            <w:tcW w:w="373" w:type="pct"/>
            <w:shd w:val="clear" w:color="auto" w:fill="auto"/>
            <w:noWrap/>
            <w:tcMar>
              <w:top w:w="15" w:type="dxa"/>
              <w:left w:w="15" w:type="dxa"/>
              <w:bottom w:w="0" w:type="dxa"/>
              <w:right w:w="15" w:type="dxa"/>
            </w:tcMar>
            <w:vAlign w:val="center"/>
          </w:tcPr>
          <w:p w14:paraId="52368410" w14:textId="77777777" w:rsidR="002E474C" w:rsidRDefault="00000000">
            <w:pPr>
              <w:pStyle w:val="A-"/>
            </w:pPr>
            <w:r>
              <w:t>0.091</w:t>
            </w:r>
          </w:p>
        </w:tc>
        <w:tc>
          <w:tcPr>
            <w:tcW w:w="446" w:type="pct"/>
            <w:shd w:val="clear" w:color="auto" w:fill="auto"/>
            <w:noWrap/>
            <w:tcMar>
              <w:top w:w="15" w:type="dxa"/>
              <w:left w:w="15" w:type="dxa"/>
              <w:bottom w:w="0" w:type="dxa"/>
              <w:right w:w="15" w:type="dxa"/>
            </w:tcMar>
            <w:vAlign w:val="center"/>
          </w:tcPr>
          <w:p w14:paraId="10753B73"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7C7651E3" w14:textId="77777777" w:rsidR="002E474C" w:rsidRDefault="00000000">
            <w:pPr>
              <w:pStyle w:val="A-"/>
            </w:pPr>
            <w:r>
              <w:t>0.34</w:t>
            </w:r>
          </w:p>
        </w:tc>
        <w:tc>
          <w:tcPr>
            <w:tcW w:w="448" w:type="pct"/>
            <w:shd w:val="clear" w:color="auto" w:fill="auto"/>
            <w:noWrap/>
            <w:tcMar>
              <w:top w:w="15" w:type="dxa"/>
              <w:left w:w="15" w:type="dxa"/>
              <w:bottom w:w="0" w:type="dxa"/>
              <w:right w:w="15" w:type="dxa"/>
            </w:tcMar>
            <w:vAlign w:val="center"/>
          </w:tcPr>
          <w:p w14:paraId="62306A9F" w14:textId="77777777" w:rsidR="002E474C" w:rsidRDefault="00000000">
            <w:pPr>
              <w:pStyle w:val="A-"/>
            </w:pPr>
            <w:r>
              <w:t>0.00</w:t>
            </w:r>
          </w:p>
        </w:tc>
        <w:tc>
          <w:tcPr>
            <w:tcW w:w="446" w:type="pct"/>
            <w:shd w:val="clear" w:color="auto" w:fill="auto"/>
            <w:noWrap/>
            <w:tcMar>
              <w:top w:w="15" w:type="dxa"/>
              <w:left w:w="15" w:type="dxa"/>
              <w:bottom w:w="0" w:type="dxa"/>
              <w:right w:w="15" w:type="dxa"/>
            </w:tcMar>
            <w:vAlign w:val="center"/>
          </w:tcPr>
          <w:p w14:paraId="76774B06" w14:textId="77777777" w:rsidR="002E474C" w:rsidRDefault="00000000">
            <w:pPr>
              <w:pStyle w:val="A-"/>
            </w:pPr>
            <w:r>
              <w:t>0.13</w:t>
            </w:r>
          </w:p>
        </w:tc>
        <w:tc>
          <w:tcPr>
            <w:tcW w:w="448" w:type="pct"/>
            <w:shd w:val="clear" w:color="auto" w:fill="auto"/>
            <w:noWrap/>
            <w:tcMar>
              <w:top w:w="15" w:type="dxa"/>
              <w:left w:w="15" w:type="dxa"/>
              <w:bottom w:w="0" w:type="dxa"/>
              <w:right w:w="15" w:type="dxa"/>
            </w:tcMar>
            <w:vAlign w:val="center"/>
          </w:tcPr>
          <w:p w14:paraId="59860948" w14:textId="77777777" w:rsidR="002E474C" w:rsidRDefault="00000000">
            <w:pPr>
              <w:pStyle w:val="A-"/>
            </w:pPr>
            <w:r>
              <w:t>0.00</w:t>
            </w:r>
          </w:p>
        </w:tc>
        <w:tc>
          <w:tcPr>
            <w:tcW w:w="662" w:type="pct"/>
            <w:shd w:val="clear" w:color="auto" w:fill="auto"/>
            <w:noWrap/>
            <w:tcMar>
              <w:top w:w="15" w:type="dxa"/>
              <w:left w:w="15" w:type="dxa"/>
              <w:bottom w:w="0" w:type="dxa"/>
              <w:right w:w="15" w:type="dxa"/>
            </w:tcMar>
            <w:vAlign w:val="center"/>
          </w:tcPr>
          <w:p w14:paraId="061F02C6" w14:textId="77777777" w:rsidR="002E474C" w:rsidRDefault="00000000">
            <w:pPr>
              <w:pStyle w:val="A-"/>
            </w:pPr>
            <w:r>
              <w:t>4×10</w:t>
            </w:r>
            <w:r>
              <w:rPr>
                <w:vertAlign w:val="superscript"/>
              </w:rPr>
              <w:t>-5</w:t>
            </w:r>
            <w:r>
              <w:t>mg/kg</w:t>
            </w:r>
          </w:p>
        </w:tc>
        <w:tc>
          <w:tcPr>
            <w:tcW w:w="317" w:type="pct"/>
            <w:shd w:val="clear" w:color="auto" w:fill="auto"/>
            <w:noWrap/>
            <w:tcMar>
              <w:top w:w="15" w:type="dxa"/>
              <w:left w:w="15" w:type="dxa"/>
              <w:bottom w:w="0" w:type="dxa"/>
              <w:right w:w="15" w:type="dxa"/>
            </w:tcMar>
            <w:vAlign w:val="center"/>
          </w:tcPr>
          <w:p w14:paraId="6EBA23D1" w14:textId="77777777" w:rsidR="002E474C" w:rsidRDefault="00000000">
            <w:pPr>
              <w:pStyle w:val="A-"/>
            </w:pPr>
            <w:r>
              <w:t>达标</w:t>
            </w:r>
          </w:p>
        </w:tc>
      </w:tr>
      <w:tr w:rsidR="002E474C" w14:paraId="6843A746" w14:textId="77777777">
        <w:tc>
          <w:tcPr>
            <w:tcW w:w="757" w:type="pct"/>
            <w:shd w:val="clear" w:color="auto" w:fill="auto"/>
            <w:noWrap/>
            <w:tcMar>
              <w:top w:w="15" w:type="dxa"/>
              <w:left w:w="15" w:type="dxa"/>
              <w:bottom w:w="0" w:type="dxa"/>
              <w:right w:w="15" w:type="dxa"/>
            </w:tcMar>
            <w:vAlign w:val="center"/>
          </w:tcPr>
          <w:p w14:paraId="0787C669" w14:textId="77777777" w:rsidR="002E474C" w:rsidRDefault="00000000">
            <w:pPr>
              <w:pStyle w:val="A-"/>
            </w:pPr>
            <w:r>
              <w:t>pH</w:t>
            </w:r>
            <w:r>
              <w:t>值</w:t>
            </w:r>
          </w:p>
        </w:tc>
        <w:tc>
          <w:tcPr>
            <w:tcW w:w="652" w:type="pct"/>
            <w:shd w:val="clear" w:color="auto" w:fill="auto"/>
            <w:tcMar>
              <w:top w:w="15" w:type="dxa"/>
              <w:left w:w="15" w:type="dxa"/>
              <w:bottom w:w="0" w:type="dxa"/>
              <w:right w:w="15" w:type="dxa"/>
            </w:tcMar>
            <w:vAlign w:val="center"/>
          </w:tcPr>
          <w:p w14:paraId="7ED366C2" w14:textId="77777777" w:rsidR="002E474C" w:rsidRDefault="00000000">
            <w:pPr>
              <w:pStyle w:val="A-"/>
            </w:pPr>
            <w:r>
              <w:t>无量纲</w:t>
            </w:r>
          </w:p>
        </w:tc>
        <w:tc>
          <w:tcPr>
            <w:tcW w:w="373" w:type="pct"/>
            <w:shd w:val="clear" w:color="auto" w:fill="auto"/>
            <w:noWrap/>
            <w:tcMar>
              <w:top w:w="15" w:type="dxa"/>
              <w:left w:w="15" w:type="dxa"/>
              <w:bottom w:w="0" w:type="dxa"/>
              <w:right w:w="15" w:type="dxa"/>
            </w:tcMar>
            <w:vAlign w:val="center"/>
          </w:tcPr>
          <w:p w14:paraId="0F1A1EA9" w14:textId="77777777" w:rsidR="002E474C" w:rsidRDefault="00000000">
            <w:pPr>
              <w:pStyle w:val="A-"/>
            </w:pPr>
            <w:r>
              <w:t>8.16</w:t>
            </w:r>
          </w:p>
        </w:tc>
        <w:tc>
          <w:tcPr>
            <w:tcW w:w="446" w:type="pct"/>
            <w:shd w:val="clear" w:color="auto" w:fill="auto"/>
            <w:noWrap/>
            <w:tcMar>
              <w:top w:w="15" w:type="dxa"/>
              <w:left w:w="15" w:type="dxa"/>
              <w:bottom w:w="0" w:type="dxa"/>
              <w:right w:w="15" w:type="dxa"/>
            </w:tcMar>
            <w:vAlign w:val="center"/>
          </w:tcPr>
          <w:p w14:paraId="7816E85F"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21DD8072" w14:textId="77777777" w:rsidR="002E474C" w:rsidRDefault="00000000">
            <w:pPr>
              <w:pStyle w:val="A-"/>
            </w:pPr>
            <w:r>
              <w:t>8.65</w:t>
            </w:r>
          </w:p>
        </w:tc>
        <w:tc>
          <w:tcPr>
            <w:tcW w:w="448" w:type="pct"/>
            <w:shd w:val="clear" w:color="auto" w:fill="auto"/>
            <w:noWrap/>
            <w:tcMar>
              <w:top w:w="15" w:type="dxa"/>
              <w:left w:w="15" w:type="dxa"/>
              <w:bottom w:w="0" w:type="dxa"/>
              <w:right w:w="15" w:type="dxa"/>
            </w:tcMar>
            <w:vAlign w:val="center"/>
          </w:tcPr>
          <w:p w14:paraId="499559AC" w14:textId="77777777" w:rsidR="002E474C" w:rsidRDefault="00000000">
            <w:pPr>
              <w:pStyle w:val="A-"/>
            </w:pPr>
            <w:r>
              <w:t>/</w:t>
            </w:r>
          </w:p>
        </w:tc>
        <w:tc>
          <w:tcPr>
            <w:tcW w:w="446" w:type="pct"/>
            <w:shd w:val="clear" w:color="auto" w:fill="auto"/>
            <w:noWrap/>
            <w:tcMar>
              <w:top w:w="15" w:type="dxa"/>
              <w:left w:w="15" w:type="dxa"/>
              <w:bottom w:w="0" w:type="dxa"/>
              <w:right w:w="15" w:type="dxa"/>
            </w:tcMar>
            <w:vAlign w:val="center"/>
          </w:tcPr>
          <w:p w14:paraId="019E0789" w14:textId="77777777" w:rsidR="002E474C" w:rsidRDefault="00000000">
            <w:pPr>
              <w:pStyle w:val="A-"/>
            </w:pPr>
            <w:r>
              <w:t>8.51</w:t>
            </w:r>
          </w:p>
        </w:tc>
        <w:tc>
          <w:tcPr>
            <w:tcW w:w="448" w:type="pct"/>
            <w:shd w:val="clear" w:color="auto" w:fill="auto"/>
            <w:noWrap/>
            <w:tcMar>
              <w:top w:w="15" w:type="dxa"/>
              <w:left w:w="15" w:type="dxa"/>
              <w:bottom w:w="0" w:type="dxa"/>
              <w:right w:w="15" w:type="dxa"/>
            </w:tcMar>
            <w:vAlign w:val="center"/>
          </w:tcPr>
          <w:p w14:paraId="2693C366" w14:textId="77777777" w:rsidR="002E474C" w:rsidRDefault="00000000">
            <w:pPr>
              <w:pStyle w:val="A-"/>
            </w:pPr>
            <w:r>
              <w:t>/</w:t>
            </w:r>
          </w:p>
        </w:tc>
        <w:tc>
          <w:tcPr>
            <w:tcW w:w="662" w:type="pct"/>
            <w:shd w:val="clear" w:color="auto" w:fill="auto"/>
            <w:noWrap/>
            <w:tcMar>
              <w:top w:w="15" w:type="dxa"/>
              <w:left w:w="15" w:type="dxa"/>
              <w:bottom w:w="0" w:type="dxa"/>
              <w:right w:w="15" w:type="dxa"/>
            </w:tcMar>
            <w:vAlign w:val="center"/>
          </w:tcPr>
          <w:p w14:paraId="0DBBF57A" w14:textId="77777777" w:rsidR="002E474C" w:rsidRDefault="00000000">
            <w:pPr>
              <w:pStyle w:val="A-"/>
            </w:pPr>
            <w:r>
              <w:t>/</w:t>
            </w:r>
          </w:p>
        </w:tc>
        <w:tc>
          <w:tcPr>
            <w:tcW w:w="317" w:type="pct"/>
            <w:shd w:val="clear" w:color="auto" w:fill="auto"/>
            <w:noWrap/>
            <w:tcMar>
              <w:top w:w="15" w:type="dxa"/>
              <w:left w:w="15" w:type="dxa"/>
              <w:bottom w:w="0" w:type="dxa"/>
              <w:right w:w="15" w:type="dxa"/>
            </w:tcMar>
            <w:vAlign w:val="center"/>
          </w:tcPr>
          <w:p w14:paraId="7EC50AFE" w14:textId="77777777" w:rsidR="002E474C" w:rsidRDefault="00000000">
            <w:pPr>
              <w:pStyle w:val="A-"/>
            </w:pPr>
            <w:r>
              <w:t>/</w:t>
            </w:r>
          </w:p>
        </w:tc>
      </w:tr>
    </w:tbl>
    <w:p w14:paraId="0675075E" w14:textId="77777777" w:rsidR="002E474C" w:rsidRDefault="00000000">
      <w:pPr>
        <w:pStyle w:val="A-"/>
        <w:rPr>
          <w:lang w:val="zh-CN"/>
        </w:rPr>
      </w:pPr>
      <w:r>
        <w:rPr>
          <w:lang w:val="zh-CN"/>
        </w:rPr>
        <w:t>注：</w:t>
      </w:r>
      <w:r>
        <w:rPr>
          <w:lang w:val="zh-CN"/>
        </w:rPr>
        <w:t>“</w:t>
      </w:r>
      <w:r>
        <w:rPr>
          <w:lang w:val="zh-CN"/>
        </w:rPr>
        <w:t>＜</w:t>
      </w:r>
      <w:r>
        <w:rPr>
          <w:lang w:val="zh-CN"/>
        </w:rPr>
        <w:t>”</w:t>
      </w:r>
      <w:r>
        <w:rPr>
          <w:lang w:val="zh-CN"/>
        </w:rPr>
        <w:t>表示浓度低于方法检出限，其数值为该项目的检出限。</w:t>
      </w:r>
    </w:p>
    <w:p w14:paraId="52A859F1" w14:textId="77777777" w:rsidR="002E474C" w:rsidRDefault="002E474C">
      <w:pPr>
        <w:spacing w:line="240" w:lineRule="exact"/>
      </w:pPr>
      <w:bookmarkStart w:id="254" w:name="_Ref128565316"/>
    </w:p>
    <w:p w14:paraId="1F8F669E" w14:textId="77777777" w:rsidR="002E474C" w:rsidRDefault="00000000">
      <w:pPr>
        <w:pStyle w:val="A--"/>
        <w:rPr>
          <w:color w:val="auto"/>
        </w:rPr>
      </w:pPr>
      <w:r>
        <w:rPr>
          <w:color w:val="auto"/>
        </w:rPr>
        <w:t>表</w:t>
      </w:r>
      <w:r>
        <w:rPr>
          <w:color w:val="auto"/>
        </w:rPr>
        <w:t>4.3</w:t>
      </w:r>
      <w:r>
        <w:rPr>
          <w:color w:val="auto"/>
        </w:rPr>
        <w:noBreakHyphen/>
      </w:r>
      <w:bookmarkEnd w:id="254"/>
      <w:r>
        <w:rPr>
          <w:color w:val="auto"/>
        </w:rPr>
        <w:t xml:space="preserve">11  </w:t>
      </w:r>
      <w:r>
        <w:rPr>
          <w:color w:val="auto"/>
        </w:rPr>
        <w:t>土壤表层样环境质量现状监测及评价结果表</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6"/>
        <w:gridCol w:w="957"/>
        <w:gridCol w:w="768"/>
        <w:gridCol w:w="818"/>
        <w:gridCol w:w="818"/>
        <w:gridCol w:w="818"/>
        <w:gridCol w:w="817"/>
        <w:gridCol w:w="818"/>
        <w:gridCol w:w="1161"/>
        <w:gridCol w:w="512"/>
      </w:tblGrid>
      <w:tr w:rsidR="002E474C" w14:paraId="0A3F8FFA" w14:textId="77777777">
        <w:trPr>
          <w:tblHeader/>
        </w:trPr>
        <w:tc>
          <w:tcPr>
            <w:tcW w:w="480" w:type="pct"/>
            <w:vMerge w:val="restart"/>
            <w:shd w:val="clear" w:color="auto" w:fill="auto"/>
            <w:noWrap/>
            <w:tcMar>
              <w:top w:w="15" w:type="dxa"/>
              <w:left w:w="15" w:type="dxa"/>
              <w:bottom w:w="0" w:type="dxa"/>
              <w:right w:w="15" w:type="dxa"/>
            </w:tcMar>
            <w:vAlign w:val="center"/>
          </w:tcPr>
          <w:p w14:paraId="5B607CBC" w14:textId="77777777" w:rsidR="002E474C" w:rsidRDefault="00000000">
            <w:pPr>
              <w:pStyle w:val="A-"/>
            </w:pPr>
            <w:r>
              <w:t>项目</w:t>
            </w:r>
          </w:p>
        </w:tc>
        <w:tc>
          <w:tcPr>
            <w:tcW w:w="576" w:type="pct"/>
            <w:vMerge w:val="restart"/>
            <w:shd w:val="clear" w:color="auto" w:fill="auto"/>
            <w:noWrap/>
            <w:tcMar>
              <w:top w:w="15" w:type="dxa"/>
              <w:left w:w="15" w:type="dxa"/>
              <w:bottom w:w="0" w:type="dxa"/>
              <w:right w:w="15" w:type="dxa"/>
            </w:tcMar>
            <w:vAlign w:val="center"/>
          </w:tcPr>
          <w:p w14:paraId="1F9E2120" w14:textId="77777777" w:rsidR="002E474C" w:rsidRDefault="00000000">
            <w:pPr>
              <w:pStyle w:val="A-"/>
            </w:pPr>
            <w:r>
              <w:t>单位</w:t>
            </w:r>
          </w:p>
        </w:tc>
        <w:tc>
          <w:tcPr>
            <w:tcW w:w="956" w:type="pct"/>
            <w:gridSpan w:val="2"/>
            <w:shd w:val="clear" w:color="auto" w:fill="auto"/>
            <w:tcMar>
              <w:top w:w="15" w:type="dxa"/>
              <w:left w:w="15" w:type="dxa"/>
              <w:bottom w:w="0" w:type="dxa"/>
              <w:right w:w="15" w:type="dxa"/>
            </w:tcMar>
            <w:vAlign w:val="center"/>
          </w:tcPr>
          <w:p w14:paraId="10698086" w14:textId="77777777" w:rsidR="002E474C" w:rsidRDefault="00000000">
            <w:pPr>
              <w:pStyle w:val="A-"/>
            </w:pPr>
            <w:r>
              <w:t>0-0.2m</w:t>
            </w:r>
          </w:p>
        </w:tc>
        <w:tc>
          <w:tcPr>
            <w:tcW w:w="987" w:type="pct"/>
            <w:gridSpan w:val="2"/>
            <w:shd w:val="clear" w:color="auto" w:fill="auto"/>
            <w:tcMar>
              <w:top w:w="15" w:type="dxa"/>
              <w:left w:w="15" w:type="dxa"/>
              <w:bottom w:w="0" w:type="dxa"/>
              <w:right w:w="15" w:type="dxa"/>
            </w:tcMar>
          </w:tcPr>
          <w:p w14:paraId="3A745B7D" w14:textId="77777777" w:rsidR="002E474C" w:rsidRDefault="00000000">
            <w:pPr>
              <w:pStyle w:val="A-"/>
            </w:pPr>
            <w:r>
              <w:t>0-0.2m</w:t>
            </w:r>
          </w:p>
        </w:tc>
        <w:tc>
          <w:tcPr>
            <w:tcW w:w="987" w:type="pct"/>
            <w:gridSpan w:val="2"/>
            <w:shd w:val="clear" w:color="auto" w:fill="auto"/>
            <w:tcMar>
              <w:top w:w="15" w:type="dxa"/>
              <w:left w:w="15" w:type="dxa"/>
              <w:bottom w:w="0" w:type="dxa"/>
              <w:right w:w="15" w:type="dxa"/>
            </w:tcMar>
          </w:tcPr>
          <w:p w14:paraId="1CE696D7" w14:textId="77777777" w:rsidR="002E474C" w:rsidRDefault="00000000">
            <w:pPr>
              <w:pStyle w:val="A-"/>
            </w:pPr>
            <w:r>
              <w:t>0-0.2m</w:t>
            </w:r>
          </w:p>
        </w:tc>
        <w:tc>
          <w:tcPr>
            <w:tcW w:w="700" w:type="pct"/>
            <w:vMerge w:val="restart"/>
            <w:shd w:val="clear" w:color="auto" w:fill="auto"/>
            <w:tcMar>
              <w:top w:w="15" w:type="dxa"/>
              <w:left w:w="15" w:type="dxa"/>
              <w:bottom w:w="0" w:type="dxa"/>
              <w:right w:w="15" w:type="dxa"/>
            </w:tcMar>
            <w:vAlign w:val="center"/>
          </w:tcPr>
          <w:p w14:paraId="55357412" w14:textId="77777777" w:rsidR="002E474C" w:rsidRDefault="00000000">
            <w:pPr>
              <w:pStyle w:val="A-"/>
            </w:pPr>
            <w:r>
              <w:t>GB36600-2018</w:t>
            </w:r>
            <w:r>
              <w:t>第二类用地筛选值</w:t>
            </w:r>
          </w:p>
        </w:tc>
        <w:tc>
          <w:tcPr>
            <w:tcW w:w="309" w:type="pct"/>
            <w:vMerge w:val="restart"/>
            <w:shd w:val="clear" w:color="auto" w:fill="auto"/>
            <w:tcMar>
              <w:top w:w="15" w:type="dxa"/>
              <w:left w:w="15" w:type="dxa"/>
              <w:bottom w:w="0" w:type="dxa"/>
              <w:right w:w="15" w:type="dxa"/>
            </w:tcMar>
            <w:vAlign w:val="center"/>
          </w:tcPr>
          <w:p w14:paraId="7EB2B8B1" w14:textId="77777777" w:rsidR="002E474C" w:rsidRDefault="00000000">
            <w:pPr>
              <w:pStyle w:val="A-"/>
            </w:pPr>
            <w:r>
              <w:t>达标</w:t>
            </w:r>
          </w:p>
          <w:p w14:paraId="29645C8F" w14:textId="77777777" w:rsidR="002E474C" w:rsidRDefault="00000000">
            <w:pPr>
              <w:pStyle w:val="A-"/>
            </w:pPr>
            <w:r>
              <w:t>情况</w:t>
            </w:r>
          </w:p>
        </w:tc>
      </w:tr>
      <w:tr w:rsidR="002E474C" w14:paraId="3C3C4537" w14:textId="77777777">
        <w:trPr>
          <w:tblHeader/>
        </w:trPr>
        <w:tc>
          <w:tcPr>
            <w:tcW w:w="480" w:type="pct"/>
            <w:vMerge/>
            <w:vAlign w:val="center"/>
          </w:tcPr>
          <w:p w14:paraId="43831BDF" w14:textId="77777777" w:rsidR="002E474C" w:rsidRDefault="002E474C">
            <w:pPr>
              <w:pStyle w:val="A-"/>
            </w:pPr>
          </w:p>
        </w:tc>
        <w:tc>
          <w:tcPr>
            <w:tcW w:w="576" w:type="pct"/>
            <w:vMerge/>
            <w:vAlign w:val="center"/>
          </w:tcPr>
          <w:p w14:paraId="17D120BE" w14:textId="77777777" w:rsidR="002E474C" w:rsidRDefault="002E474C">
            <w:pPr>
              <w:pStyle w:val="A-"/>
            </w:pPr>
          </w:p>
        </w:tc>
        <w:tc>
          <w:tcPr>
            <w:tcW w:w="463" w:type="pct"/>
            <w:shd w:val="clear" w:color="auto" w:fill="auto"/>
            <w:tcMar>
              <w:top w:w="15" w:type="dxa"/>
              <w:left w:w="15" w:type="dxa"/>
              <w:bottom w:w="0" w:type="dxa"/>
              <w:right w:w="15" w:type="dxa"/>
            </w:tcMar>
            <w:vAlign w:val="center"/>
          </w:tcPr>
          <w:p w14:paraId="4CE1CD9F" w14:textId="77777777" w:rsidR="002E474C" w:rsidRDefault="00000000">
            <w:pPr>
              <w:pStyle w:val="A-"/>
            </w:pPr>
            <w:r>
              <w:t>监测</w:t>
            </w:r>
          </w:p>
          <w:p w14:paraId="0D9A3A3C" w14:textId="77777777" w:rsidR="002E474C" w:rsidRDefault="00000000">
            <w:pPr>
              <w:pStyle w:val="A-"/>
            </w:pPr>
            <w:r>
              <w:t>结果</w:t>
            </w:r>
          </w:p>
        </w:tc>
        <w:tc>
          <w:tcPr>
            <w:tcW w:w="493" w:type="pct"/>
            <w:shd w:val="clear" w:color="auto" w:fill="auto"/>
            <w:tcMar>
              <w:top w:w="15" w:type="dxa"/>
              <w:left w:w="15" w:type="dxa"/>
              <w:bottom w:w="0" w:type="dxa"/>
              <w:right w:w="15" w:type="dxa"/>
            </w:tcMar>
            <w:vAlign w:val="center"/>
          </w:tcPr>
          <w:p w14:paraId="70B8D1BB" w14:textId="77777777" w:rsidR="002E474C" w:rsidRDefault="00000000">
            <w:pPr>
              <w:pStyle w:val="A-"/>
            </w:pPr>
            <w:r>
              <w:t>标准</w:t>
            </w:r>
          </w:p>
          <w:p w14:paraId="7D52ED23" w14:textId="77777777" w:rsidR="002E474C" w:rsidRDefault="00000000">
            <w:pPr>
              <w:pStyle w:val="A-"/>
            </w:pPr>
            <w:r>
              <w:t>指数</w:t>
            </w:r>
          </w:p>
        </w:tc>
        <w:tc>
          <w:tcPr>
            <w:tcW w:w="493" w:type="pct"/>
            <w:shd w:val="clear" w:color="auto" w:fill="auto"/>
            <w:tcMar>
              <w:top w:w="15" w:type="dxa"/>
              <w:left w:w="15" w:type="dxa"/>
              <w:bottom w:w="0" w:type="dxa"/>
              <w:right w:w="15" w:type="dxa"/>
            </w:tcMar>
            <w:vAlign w:val="center"/>
          </w:tcPr>
          <w:p w14:paraId="716061CE" w14:textId="77777777" w:rsidR="002E474C" w:rsidRDefault="00000000">
            <w:pPr>
              <w:pStyle w:val="A-"/>
            </w:pPr>
            <w:r>
              <w:t>监测</w:t>
            </w:r>
          </w:p>
          <w:p w14:paraId="1995130D" w14:textId="77777777" w:rsidR="002E474C" w:rsidRDefault="00000000">
            <w:pPr>
              <w:pStyle w:val="A-"/>
            </w:pPr>
            <w:r>
              <w:t>结果</w:t>
            </w:r>
          </w:p>
        </w:tc>
        <w:tc>
          <w:tcPr>
            <w:tcW w:w="493" w:type="pct"/>
            <w:shd w:val="clear" w:color="auto" w:fill="auto"/>
            <w:tcMar>
              <w:top w:w="15" w:type="dxa"/>
              <w:left w:w="15" w:type="dxa"/>
              <w:bottom w:w="0" w:type="dxa"/>
              <w:right w:w="15" w:type="dxa"/>
            </w:tcMar>
            <w:vAlign w:val="center"/>
          </w:tcPr>
          <w:p w14:paraId="07088CE7" w14:textId="77777777" w:rsidR="002E474C" w:rsidRDefault="00000000">
            <w:pPr>
              <w:pStyle w:val="A-"/>
            </w:pPr>
            <w:r>
              <w:t>标准</w:t>
            </w:r>
          </w:p>
          <w:p w14:paraId="6E122FB7" w14:textId="77777777" w:rsidR="002E474C" w:rsidRDefault="00000000">
            <w:pPr>
              <w:pStyle w:val="A-"/>
            </w:pPr>
            <w:r>
              <w:t>指数</w:t>
            </w:r>
          </w:p>
        </w:tc>
        <w:tc>
          <w:tcPr>
            <w:tcW w:w="493" w:type="pct"/>
            <w:shd w:val="clear" w:color="auto" w:fill="auto"/>
            <w:tcMar>
              <w:top w:w="15" w:type="dxa"/>
              <w:left w:w="15" w:type="dxa"/>
              <w:bottom w:w="0" w:type="dxa"/>
              <w:right w:w="15" w:type="dxa"/>
            </w:tcMar>
            <w:vAlign w:val="center"/>
          </w:tcPr>
          <w:p w14:paraId="4ABD695B" w14:textId="77777777" w:rsidR="002E474C" w:rsidRDefault="00000000">
            <w:pPr>
              <w:pStyle w:val="A-"/>
            </w:pPr>
            <w:r>
              <w:t>监测</w:t>
            </w:r>
          </w:p>
          <w:p w14:paraId="5F7F94DC" w14:textId="77777777" w:rsidR="002E474C" w:rsidRDefault="00000000">
            <w:pPr>
              <w:pStyle w:val="A-"/>
            </w:pPr>
            <w:r>
              <w:t>结果</w:t>
            </w:r>
          </w:p>
        </w:tc>
        <w:tc>
          <w:tcPr>
            <w:tcW w:w="493" w:type="pct"/>
            <w:shd w:val="clear" w:color="auto" w:fill="auto"/>
            <w:tcMar>
              <w:top w:w="15" w:type="dxa"/>
              <w:left w:w="15" w:type="dxa"/>
              <w:bottom w:w="0" w:type="dxa"/>
              <w:right w:w="15" w:type="dxa"/>
            </w:tcMar>
            <w:vAlign w:val="center"/>
          </w:tcPr>
          <w:p w14:paraId="3C7E9CBB" w14:textId="77777777" w:rsidR="002E474C" w:rsidRDefault="00000000">
            <w:pPr>
              <w:pStyle w:val="A-"/>
            </w:pPr>
            <w:r>
              <w:t>标准</w:t>
            </w:r>
          </w:p>
          <w:p w14:paraId="604F7F7C" w14:textId="77777777" w:rsidR="002E474C" w:rsidRDefault="00000000">
            <w:pPr>
              <w:pStyle w:val="A-"/>
            </w:pPr>
            <w:r>
              <w:t>指数</w:t>
            </w:r>
          </w:p>
        </w:tc>
        <w:tc>
          <w:tcPr>
            <w:tcW w:w="700" w:type="pct"/>
            <w:vMerge/>
            <w:vAlign w:val="center"/>
          </w:tcPr>
          <w:p w14:paraId="64DA91CF" w14:textId="77777777" w:rsidR="002E474C" w:rsidRDefault="002E474C">
            <w:pPr>
              <w:pStyle w:val="A-"/>
            </w:pPr>
          </w:p>
        </w:tc>
        <w:tc>
          <w:tcPr>
            <w:tcW w:w="309" w:type="pct"/>
            <w:vMerge/>
            <w:vAlign w:val="center"/>
          </w:tcPr>
          <w:p w14:paraId="3018A344" w14:textId="77777777" w:rsidR="002E474C" w:rsidRDefault="002E474C">
            <w:pPr>
              <w:pStyle w:val="A-"/>
            </w:pPr>
          </w:p>
        </w:tc>
      </w:tr>
      <w:tr w:rsidR="002E474C" w14:paraId="0024C6C1" w14:textId="77777777">
        <w:tc>
          <w:tcPr>
            <w:tcW w:w="480" w:type="pct"/>
            <w:vMerge/>
            <w:shd w:val="clear" w:color="auto" w:fill="auto"/>
            <w:noWrap/>
            <w:tcMar>
              <w:top w:w="15" w:type="dxa"/>
              <w:left w:w="15" w:type="dxa"/>
              <w:bottom w:w="0" w:type="dxa"/>
              <w:right w:w="15" w:type="dxa"/>
            </w:tcMar>
            <w:vAlign w:val="center"/>
          </w:tcPr>
          <w:p w14:paraId="6F381CD4" w14:textId="77777777" w:rsidR="002E474C" w:rsidRDefault="002E474C">
            <w:pPr>
              <w:pStyle w:val="A-"/>
            </w:pPr>
          </w:p>
        </w:tc>
        <w:tc>
          <w:tcPr>
            <w:tcW w:w="576" w:type="pct"/>
            <w:vMerge/>
            <w:shd w:val="clear" w:color="auto" w:fill="auto"/>
            <w:noWrap/>
            <w:tcMar>
              <w:top w:w="15" w:type="dxa"/>
              <w:left w:w="15" w:type="dxa"/>
              <w:bottom w:w="0" w:type="dxa"/>
              <w:right w:w="15" w:type="dxa"/>
            </w:tcMar>
            <w:vAlign w:val="center"/>
          </w:tcPr>
          <w:p w14:paraId="56B6E6A7" w14:textId="77777777" w:rsidR="002E474C" w:rsidRDefault="002E474C">
            <w:pPr>
              <w:pStyle w:val="A-"/>
            </w:pPr>
          </w:p>
        </w:tc>
        <w:tc>
          <w:tcPr>
            <w:tcW w:w="956" w:type="pct"/>
            <w:gridSpan w:val="2"/>
            <w:shd w:val="clear" w:color="auto" w:fill="auto"/>
            <w:noWrap/>
            <w:tcMar>
              <w:top w:w="15" w:type="dxa"/>
              <w:left w:w="15" w:type="dxa"/>
              <w:bottom w:w="0" w:type="dxa"/>
              <w:right w:w="15" w:type="dxa"/>
            </w:tcMar>
            <w:vAlign w:val="center"/>
          </w:tcPr>
          <w:p w14:paraId="41BB7567" w14:textId="77777777" w:rsidR="002E474C" w:rsidRDefault="00000000">
            <w:pPr>
              <w:pStyle w:val="A-"/>
            </w:pPr>
            <w:r>
              <w:t>T4</w:t>
            </w:r>
            <w:r>
              <w:t>预留地区域</w:t>
            </w:r>
          </w:p>
        </w:tc>
        <w:tc>
          <w:tcPr>
            <w:tcW w:w="987" w:type="pct"/>
            <w:gridSpan w:val="2"/>
            <w:shd w:val="clear" w:color="auto" w:fill="auto"/>
            <w:noWrap/>
            <w:tcMar>
              <w:top w:w="15" w:type="dxa"/>
              <w:left w:w="15" w:type="dxa"/>
              <w:bottom w:w="0" w:type="dxa"/>
              <w:right w:w="15" w:type="dxa"/>
            </w:tcMar>
            <w:vAlign w:val="center"/>
          </w:tcPr>
          <w:p w14:paraId="4F93B700" w14:textId="77777777" w:rsidR="002E474C" w:rsidRDefault="00000000">
            <w:pPr>
              <w:pStyle w:val="A-"/>
            </w:pPr>
            <w:r>
              <w:t>T5</w:t>
            </w:r>
            <w:r>
              <w:t>厂界外上风向</w:t>
            </w:r>
            <w:r>
              <w:t>200</w:t>
            </w:r>
            <w:r>
              <w:t>米内</w:t>
            </w:r>
          </w:p>
        </w:tc>
        <w:tc>
          <w:tcPr>
            <w:tcW w:w="987" w:type="pct"/>
            <w:gridSpan w:val="2"/>
            <w:shd w:val="clear" w:color="auto" w:fill="auto"/>
            <w:noWrap/>
            <w:tcMar>
              <w:top w:w="15" w:type="dxa"/>
              <w:left w:w="15" w:type="dxa"/>
              <w:bottom w:w="0" w:type="dxa"/>
              <w:right w:w="15" w:type="dxa"/>
            </w:tcMar>
            <w:vAlign w:val="center"/>
          </w:tcPr>
          <w:p w14:paraId="70E058E2" w14:textId="77777777" w:rsidR="002E474C" w:rsidRDefault="00000000">
            <w:pPr>
              <w:pStyle w:val="A-"/>
            </w:pPr>
            <w:r>
              <w:t>T6</w:t>
            </w:r>
            <w:r>
              <w:t>厂界外下风向</w:t>
            </w:r>
            <w:r>
              <w:t>200</w:t>
            </w:r>
            <w:r>
              <w:t>米内</w:t>
            </w:r>
          </w:p>
        </w:tc>
        <w:tc>
          <w:tcPr>
            <w:tcW w:w="700" w:type="pct"/>
            <w:vMerge/>
            <w:shd w:val="clear" w:color="auto" w:fill="auto"/>
            <w:tcMar>
              <w:top w:w="15" w:type="dxa"/>
              <w:left w:w="15" w:type="dxa"/>
              <w:bottom w:w="0" w:type="dxa"/>
              <w:right w:w="15" w:type="dxa"/>
            </w:tcMar>
            <w:vAlign w:val="center"/>
          </w:tcPr>
          <w:p w14:paraId="69BEC6CB" w14:textId="77777777" w:rsidR="002E474C" w:rsidRDefault="002E474C">
            <w:pPr>
              <w:pStyle w:val="A-"/>
            </w:pPr>
          </w:p>
        </w:tc>
        <w:tc>
          <w:tcPr>
            <w:tcW w:w="309" w:type="pct"/>
            <w:vMerge/>
            <w:shd w:val="clear" w:color="auto" w:fill="auto"/>
            <w:tcMar>
              <w:top w:w="15" w:type="dxa"/>
              <w:left w:w="15" w:type="dxa"/>
              <w:bottom w:w="0" w:type="dxa"/>
              <w:right w:w="15" w:type="dxa"/>
            </w:tcMar>
            <w:vAlign w:val="center"/>
          </w:tcPr>
          <w:p w14:paraId="56DD3AC7" w14:textId="77777777" w:rsidR="002E474C" w:rsidRDefault="002E474C">
            <w:pPr>
              <w:pStyle w:val="A-"/>
            </w:pPr>
          </w:p>
        </w:tc>
      </w:tr>
      <w:tr w:rsidR="002E474C" w14:paraId="2FE034CE" w14:textId="77777777">
        <w:tc>
          <w:tcPr>
            <w:tcW w:w="480" w:type="pct"/>
            <w:shd w:val="clear" w:color="auto" w:fill="auto"/>
            <w:noWrap/>
            <w:tcMar>
              <w:top w:w="15" w:type="dxa"/>
              <w:left w:w="15" w:type="dxa"/>
              <w:bottom w:w="0" w:type="dxa"/>
              <w:right w:w="15" w:type="dxa"/>
            </w:tcMar>
            <w:vAlign w:val="center"/>
          </w:tcPr>
          <w:p w14:paraId="1DE98127" w14:textId="77777777" w:rsidR="002E474C" w:rsidRDefault="00000000">
            <w:pPr>
              <w:pStyle w:val="A-"/>
            </w:pPr>
            <w:r>
              <w:t>砷</w:t>
            </w:r>
          </w:p>
        </w:tc>
        <w:tc>
          <w:tcPr>
            <w:tcW w:w="576" w:type="pct"/>
            <w:shd w:val="clear" w:color="auto" w:fill="auto"/>
            <w:tcMar>
              <w:top w:w="15" w:type="dxa"/>
              <w:left w:w="15" w:type="dxa"/>
              <w:bottom w:w="0" w:type="dxa"/>
              <w:right w:w="15" w:type="dxa"/>
            </w:tcMar>
            <w:vAlign w:val="center"/>
          </w:tcPr>
          <w:p w14:paraId="220C8100"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4BD97F8" w14:textId="77777777" w:rsidR="002E474C" w:rsidRDefault="00000000">
            <w:pPr>
              <w:pStyle w:val="A-"/>
            </w:pPr>
            <w:r>
              <w:t>19.1</w:t>
            </w:r>
          </w:p>
        </w:tc>
        <w:tc>
          <w:tcPr>
            <w:tcW w:w="493" w:type="pct"/>
            <w:shd w:val="clear" w:color="auto" w:fill="auto"/>
            <w:tcMar>
              <w:top w:w="15" w:type="dxa"/>
              <w:left w:w="15" w:type="dxa"/>
              <w:bottom w:w="0" w:type="dxa"/>
              <w:right w:w="15" w:type="dxa"/>
            </w:tcMar>
            <w:vAlign w:val="center"/>
          </w:tcPr>
          <w:p w14:paraId="087BDD10" w14:textId="77777777" w:rsidR="002E474C" w:rsidRDefault="00000000">
            <w:pPr>
              <w:pStyle w:val="A-"/>
            </w:pPr>
            <w:r>
              <w:t>0.32</w:t>
            </w:r>
          </w:p>
        </w:tc>
        <w:tc>
          <w:tcPr>
            <w:tcW w:w="493" w:type="pct"/>
            <w:shd w:val="clear" w:color="auto" w:fill="auto"/>
            <w:tcMar>
              <w:top w:w="15" w:type="dxa"/>
              <w:left w:w="15" w:type="dxa"/>
              <w:bottom w:w="0" w:type="dxa"/>
              <w:right w:w="15" w:type="dxa"/>
            </w:tcMar>
            <w:vAlign w:val="center"/>
          </w:tcPr>
          <w:p w14:paraId="12DC6BBB" w14:textId="77777777" w:rsidR="002E474C" w:rsidRDefault="00000000">
            <w:pPr>
              <w:pStyle w:val="A-"/>
            </w:pPr>
            <w:r>
              <w:t>13.2</w:t>
            </w:r>
          </w:p>
        </w:tc>
        <w:tc>
          <w:tcPr>
            <w:tcW w:w="493" w:type="pct"/>
            <w:shd w:val="clear" w:color="auto" w:fill="auto"/>
            <w:tcMar>
              <w:top w:w="15" w:type="dxa"/>
              <w:left w:w="15" w:type="dxa"/>
              <w:bottom w:w="0" w:type="dxa"/>
              <w:right w:w="15" w:type="dxa"/>
            </w:tcMar>
            <w:vAlign w:val="center"/>
          </w:tcPr>
          <w:p w14:paraId="2D1DB243" w14:textId="77777777" w:rsidR="002E474C" w:rsidRDefault="00000000">
            <w:pPr>
              <w:pStyle w:val="A-"/>
            </w:pPr>
            <w:r>
              <w:t>0.22</w:t>
            </w:r>
          </w:p>
        </w:tc>
        <w:tc>
          <w:tcPr>
            <w:tcW w:w="493" w:type="pct"/>
            <w:shd w:val="clear" w:color="auto" w:fill="auto"/>
            <w:tcMar>
              <w:top w:w="15" w:type="dxa"/>
              <w:left w:w="15" w:type="dxa"/>
              <w:bottom w:w="0" w:type="dxa"/>
              <w:right w:w="15" w:type="dxa"/>
            </w:tcMar>
            <w:vAlign w:val="center"/>
          </w:tcPr>
          <w:p w14:paraId="674C7932" w14:textId="77777777" w:rsidR="002E474C" w:rsidRDefault="00000000">
            <w:pPr>
              <w:pStyle w:val="A-"/>
            </w:pPr>
            <w:r>
              <w:t>16.6</w:t>
            </w:r>
          </w:p>
        </w:tc>
        <w:tc>
          <w:tcPr>
            <w:tcW w:w="493" w:type="pct"/>
            <w:shd w:val="clear" w:color="auto" w:fill="auto"/>
            <w:tcMar>
              <w:top w:w="15" w:type="dxa"/>
              <w:left w:w="15" w:type="dxa"/>
              <w:bottom w:w="0" w:type="dxa"/>
              <w:right w:w="15" w:type="dxa"/>
            </w:tcMar>
            <w:vAlign w:val="center"/>
          </w:tcPr>
          <w:p w14:paraId="7BD27097" w14:textId="77777777" w:rsidR="002E474C" w:rsidRDefault="00000000">
            <w:pPr>
              <w:pStyle w:val="A-"/>
            </w:pPr>
            <w:r>
              <w:t>0.28</w:t>
            </w:r>
          </w:p>
        </w:tc>
        <w:tc>
          <w:tcPr>
            <w:tcW w:w="700" w:type="pct"/>
            <w:shd w:val="clear" w:color="auto" w:fill="auto"/>
            <w:noWrap/>
            <w:tcMar>
              <w:top w:w="15" w:type="dxa"/>
              <w:left w:w="15" w:type="dxa"/>
              <w:bottom w:w="0" w:type="dxa"/>
              <w:right w:w="15" w:type="dxa"/>
            </w:tcMar>
            <w:vAlign w:val="center"/>
          </w:tcPr>
          <w:p w14:paraId="5336539B" w14:textId="77777777" w:rsidR="002E474C" w:rsidRDefault="00000000">
            <w:pPr>
              <w:pStyle w:val="A-"/>
            </w:pPr>
            <w:r>
              <w:t>60mg/kg</w:t>
            </w:r>
          </w:p>
        </w:tc>
        <w:tc>
          <w:tcPr>
            <w:tcW w:w="309" w:type="pct"/>
            <w:shd w:val="clear" w:color="auto" w:fill="auto"/>
            <w:noWrap/>
            <w:tcMar>
              <w:top w:w="15" w:type="dxa"/>
              <w:left w:w="15" w:type="dxa"/>
              <w:bottom w:w="0" w:type="dxa"/>
              <w:right w:w="15" w:type="dxa"/>
            </w:tcMar>
            <w:vAlign w:val="center"/>
          </w:tcPr>
          <w:p w14:paraId="663239CC" w14:textId="77777777" w:rsidR="002E474C" w:rsidRDefault="00000000">
            <w:pPr>
              <w:pStyle w:val="A-"/>
            </w:pPr>
            <w:r>
              <w:t>达标</w:t>
            </w:r>
          </w:p>
        </w:tc>
      </w:tr>
      <w:tr w:rsidR="002E474C" w14:paraId="6793DCB2" w14:textId="77777777">
        <w:tc>
          <w:tcPr>
            <w:tcW w:w="480" w:type="pct"/>
            <w:shd w:val="clear" w:color="auto" w:fill="auto"/>
            <w:noWrap/>
            <w:tcMar>
              <w:top w:w="15" w:type="dxa"/>
              <w:left w:w="15" w:type="dxa"/>
              <w:bottom w:w="0" w:type="dxa"/>
              <w:right w:w="15" w:type="dxa"/>
            </w:tcMar>
            <w:vAlign w:val="center"/>
          </w:tcPr>
          <w:p w14:paraId="475699AD" w14:textId="77777777" w:rsidR="002E474C" w:rsidRDefault="00000000">
            <w:pPr>
              <w:pStyle w:val="A-"/>
            </w:pPr>
            <w:r>
              <w:t>铅</w:t>
            </w:r>
          </w:p>
        </w:tc>
        <w:tc>
          <w:tcPr>
            <w:tcW w:w="576" w:type="pct"/>
            <w:shd w:val="clear" w:color="auto" w:fill="auto"/>
            <w:tcMar>
              <w:top w:w="15" w:type="dxa"/>
              <w:left w:w="15" w:type="dxa"/>
              <w:bottom w:w="0" w:type="dxa"/>
              <w:right w:w="15" w:type="dxa"/>
            </w:tcMar>
            <w:vAlign w:val="center"/>
          </w:tcPr>
          <w:p w14:paraId="60526FB1"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593BE14" w14:textId="77777777" w:rsidR="002E474C" w:rsidRDefault="00000000">
            <w:pPr>
              <w:pStyle w:val="A-"/>
            </w:pPr>
            <w:r>
              <w:t>54</w:t>
            </w:r>
          </w:p>
        </w:tc>
        <w:tc>
          <w:tcPr>
            <w:tcW w:w="493" w:type="pct"/>
            <w:shd w:val="clear" w:color="auto" w:fill="auto"/>
            <w:tcMar>
              <w:top w:w="15" w:type="dxa"/>
              <w:left w:w="15" w:type="dxa"/>
              <w:bottom w:w="0" w:type="dxa"/>
              <w:right w:w="15" w:type="dxa"/>
            </w:tcMar>
            <w:vAlign w:val="center"/>
          </w:tcPr>
          <w:p w14:paraId="1FEFEADF" w14:textId="77777777" w:rsidR="002E474C" w:rsidRDefault="00000000">
            <w:pPr>
              <w:pStyle w:val="A-"/>
            </w:pPr>
            <w:r>
              <w:t>0.07</w:t>
            </w:r>
          </w:p>
        </w:tc>
        <w:tc>
          <w:tcPr>
            <w:tcW w:w="493" w:type="pct"/>
            <w:shd w:val="clear" w:color="auto" w:fill="auto"/>
            <w:tcMar>
              <w:top w:w="15" w:type="dxa"/>
              <w:left w:w="15" w:type="dxa"/>
              <w:bottom w:w="0" w:type="dxa"/>
              <w:right w:w="15" w:type="dxa"/>
            </w:tcMar>
            <w:vAlign w:val="center"/>
          </w:tcPr>
          <w:p w14:paraId="52122C2D" w14:textId="77777777" w:rsidR="002E474C" w:rsidRDefault="00000000">
            <w:pPr>
              <w:pStyle w:val="A-"/>
            </w:pPr>
            <w:r>
              <w:t>55</w:t>
            </w:r>
          </w:p>
        </w:tc>
        <w:tc>
          <w:tcPr>
            <w:tcW w:w="493" w:type="pct"/>
            <w:shd w:val="clear" w:color="auto" w:fill="auto"/>
            <w:tcMar>
              <w:top w:w="15" w:type="dxa"/>
              <w:left w:w="15" w:type="dxa"/>
              <w:bottom w:w="0" w:type="dxa"/>
              <w:right w:w="15" w:type="dxa"/>
            </w:tcMar>
            <w:vAlign w:val="center"/>
          </w:tcPr>
          <w:p w14:paraId="1E3598E9" w14:textId="77777777" w:rsidR="002E474C" w:rsidRDefault="00000000">
            <w:pPr>
              <w:pStyle w:val="A-"/>
            </w:pPr>
            <w:r>
              <w:t>0.07</w:t>
            </w:r>
          </w:p>
        </w:tc>
        <w:tc>
          <w:tcPr>
            <w:tcW w:w="493" w:type="pct"/>
            <w:shd w:val="clear" w:color="auto" w:fill="auto"/>
            <w:tcMar>
              <w:top w:w="15" w:type="dxa"/>
              <w:left w:w="15" w:type="dxa"/>
              <w:bottom w:w="0" w:type="dxa"/>
              <w:right w:w="15" w:type="dxa"/>
            </w:tcMar>
            <w:vAlign w:val="center"/>
          </w:tcPr>
          <w:p w14:paraId="0937DEF7" w14:textId="77777777" w:rsidR="002E474C" w:rsidRDefault="00000000">
            <w:pPr>
              <w:pStyle w:val="A-"/>
            </w:pPr>
            <w:r>
              <w:t>42</w:t>
            </w:r>
          </w:p>
        </w:tc>
        <w:tc>
          <w:tcPr>
            <w:tcW w:w="493" w:type="pct"/>
            <w:shd w:val="clear" w:color="auto" w:fill="auto"/>
            <w:tcMar>
              <w:top w:w="15" w:type="dxa"/>
              <w:left w:w="15" w:type="dxa"/>
              <w:bottom w:w="0" w:type="dxa"/>
              <w:right w:w="15" w:type="dxa"/>
            </w:tcMar>
            <w:vAlign w:val="center"/>
          </w:tcPr>
          <w:p w14:paraId="3F7165AC" w14:textId="77777777" w:rsidR="002E474C" w:rsidRDefault="00000000">
            <w:pPr>
              <w:pStyle w:val="A-"/>
            </w:pPr>
            <w:r>
              <w:t>0.05</w:t>
            </w:r>
          </w:p>
        </w:tc>
        <w:tc>
          <w:tcPr>
            <w:tcW w:w="700" w:type="pct"/>
            <w:shd w:val="clear" w:color="auto" w:fill="auto"/>
            <w:noWrap/>
            <w:tcMar>
              <w:top w:w="15" w:type="dxa"/>
              <w:left w:w="15" w:type="dxa"/>
              <w:bottom w:w="0" w:type="dxa"/>
              <w:right w:w="15" w:type="dxa"/>
            </w:tcMar>
            <w:vAlign w:val="center"/>
          </w:tcPr>
          <w:p w14:paraId="7C565D4F" w14:textId="77777777" w:rsidR="002E474C" w:rsidRDefault="00000000">
            <w:pPr>
              <w:pStyle w:val="A-"/>
            </w:pPr>
            <w:r>
              <w:t>800mg/kg</w:t>
            </w:r>
          </w:p>
        </w:tc>
        <w:tc>
          <w:tcPr>
            <w:tcW w:w="309" w:type="pct"/>
            <w:shd w:val="clear" w:color="auto" w:fill="auto"/>
            <w:noWrap/>
            <w:tcMar>
              <w:top w:w="15" w:type="dxa"/>
              <w:left w:w="15" w:type="dxa"/>
              <w:bottom w:w="0" w:type="dxa"/>
              <w:right w:w="15" w:type="dxa"/>
            </w:tcMar>
            <w:vAlign w:val="center"/>
          </w:tcPr>
          <w:p w14:paraId="18469A23" w14:textId="77777777" w:rsidR="002E474C" w:rsidRDefault="00000000">
            <w:pPr>
              <w:pStyle w:val="A-"/>
            </w:pPr>
            <w:r>
              <w:t>达标</w:t>
            </w:r>
          </w:p>
        </w:tc>
      </w:tr>
      <w:tr w:rsidR="002E474C" w14:paraId="1B6DAE24" w14:textId="77777777">
        <w:tc>
          <w:tcPr>
            <w:tcW w:w="480" w:type="pct"/>
            <w:shd w:val="clear" w:color="auto" w:fill="auto"/>
            <w:noWrap/>
            <w:tcMar>
              <w:top w:w="15" w:type="dxa"/>
              <w:left w:w="15" w:type="dxa"/>
              <w:bottom w:w="0" w:type="dxa"/>
              <w:right w:w="15" w:type="dxa"/>
            </w:tcMar>
            <w:vAlign w:val="center"/>
          </w:tcPr>
          <w:p w14:paraId="2E868A68" w14:textId="77777777" w:rsidR="002E474C" w:rsidRDefault="00000000">
            <w:pPr>
              <w:pStyle w:val="A-"/>
            </w:pPr>
            <w:r>
              <w:t>汞</w:t>
            </w:r>
          </w:p>
        </w:tc>
        <w:tc>
          <w:tcPr>
            <w:tcW w:w="576" w:type="pct"/>
            <w:shd w:val="clear" w:color="auto" w:fill="auto"/>
            <w:tcMar>
              <w:top w:w="15" w:type="dxa"/>
              <w:left w:w="15" w:type="dxa"/>
              <w:bottom w:w="0" w:type="dxa"/>
              <w:right w:w="15" w:type="dxa"/>
            </w:tcMar>
            <w:vAlign w:val="center"/>
          </w:tcPr>
          <w:p w14:paraId="7A788747"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7CEAA447" w14:textId="77777777" w:rsidR="002E474C" w:rsidRDefault="00000000">
            <w:pPr>
              <w:pStyle w:val="A-"/>
            </w:pPr>
            <w:r>
              <w:t>0.079</w:t>
            </w:r>
          </w:p>
        </w:tc>
        <w:tc>
          <w:tcPr>
            <w:tcW w:w="493" w:type="pct"/>
            <w:shd w:val="clear" w:color="auto" w:fill="auto"/>
            <w:tcMar>
              <w:top w:w="15" w:type="dxa"/>
              <w:left w:w="15" w:type="dxa"/>
              <w:bottom w:w="0" w:type="dxa"/>
              <w:right w:w="15" w:type="dxa"/>
            </w:tcMar>
            <w:vAlign w:val="center"/>
          </w:tcPr>
          <w:p w14:paraId="50AD30CD"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1F360FCD" w14:textId="77777777" w:rsidR="002E474C" w:rsidRDefault="00000000">
            <w:pPr>
              <w:pStyle w:val="A-"/>
            </w:pPr>
            <w:r>
              <w:t>0.079</w:t>
            </w:r>
          </w:p>
        </w:tc>
        <w:tc>
          <w:tcPr>
            <w:tcW w:w="493" w:type="pct"/>
            <w:shd w:val="clear" w:color="auto" w:fill="auto"/>
            <w:tcMar>
              <w:top w:w="15" w:type="dxa"/>
              <w:left w:w="15" w:type="dxa"/>
              <w:bottom w:w="0" w:type="dxa"/>
              <w:right w:w="15" w:type="dxa"/>
            </w:tcMar>
            <w:vAlign w:val="center"/>
          </w:tcPr>
          <w:p w14:paraId="7808F174"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0A23E202" w14:textId="77777777" w:rsidR="002E474C" w:rsidRDefault="00000000">
            <w:pPr>
              <w:pStyle w:val="A-"/>
            </w:pPr>
            <w:r>
              <w:t>0.189</w:t>
            </w:r>
          </w:p>
        </w:tc>
        <w:tc>
          <w:tcPr>
            <w:tcW w:w="493" w:type="pct"/>
            <w:shd w:val="clear" w:color="auto" w:fill="auto"/>
            <w:tcMar>
              <w:top w:w="15" w:type="dxa"/>
              <w:left w:w="15" w:type="dxa"/>
              <w:bottom w:w="0" w:type="dxa"/>
              <w:right w:w="15" w:type="dxa"/>
            </w:tcMar>
            <w:vAlign w:val="center"/>
          </w:tcPr>
          <w:p w14:paraId="1DA22BBD" w14:textId="77777777" w:rsidR="002E474C" w:rsidRDefault="00000000">
            <w:pPr>
              <w:pStyle w:val="A-"/>
            </w:pPr>
            <w:r>
              <w:t>0.00</w:t>
            </w:r>
          </w:p>
        </w:tc>
        <w:tc>
          <w:tcPr>
            <w:tcW w:w="700" w:type="pct"/>
            <w:shd w:val="clear" w:color="auto" w:fill="auto"/>
            <w:noWrap/>
            <w:tcMar>
              <w:top w:w="15" w:type="dxa"/>
              <w:left w:w="15" w:type="dxa"/>
              <w:bottom w:w="0" w:type="dxa"/>
              <w:right w:w="15" w:type="dxa"/>
            </w:tcMar>
            <w:vAlign w:val="center"/>
          </w:tcPr>
          <w:p w14:paraId="7174B04C" w14:textId="77777777" w:rsidR="002E474C" w:rsidRDefault="00000000">
            <w:pPr>
              <w:pStyle w:val="A-"/>
            </w:pPr>
            <w:r>
              <w:t>38mg/kg</w:t>
            </w:r>
          </w:p>
        </w:tc>
        <w:tc>
          <w:tcPr>
            <w:tcW w:w="309" w:type="pct"/>
            <w:shd w:val="clear" w:color="auto" w:fill="auto"/>
            <w:noWrap/>
            <w:tcMar>
              <w:top w:w="15" w:type="dxa"/>
              <w:left w:w="15" w:type="dxa"/>
              <w:bottom w:w="0" w:type="dxa"/>
              <w:right w:w="15" w:type="dxa"/>
            </w:tcMar>
            <w:vAlign w:val="center"/>
          </w:tcPr>
          <w:p w14:paraId="249C4E1E" w14:textId="77777777" w:rsidR="002E474C" w:rsidRDefault="00000000">
            <w:pPr>
              <w:pStyle w:val="A-"/>
            </w:pPr>
            <w:r>
              <w:t>达标</w:t>
            </w:r>
          </w:p>
        </w:tc>
      </w:tr>
      <w:tr w:rsidR="002E474C" w14:paraId="644FBD90" w14:textId="77777777">
        <w:tc>
          <w:tcPr>
            <w:tcW w:w="480" w:type="pct"/>
            <w:shd w:val="clear" w:color="auto" w:fill="auto"/>
            <w:noWrap/>
            <w:tcMar>
              <w:top w:w="15" w:type="dxa"/>
              <w:left w:w="15" w:type="dxa"/>
              <w:bottom w:w="0" w:type="dxa"/>
              <w:right w:w="15" w:type="dxa"/>
            </w:tcMar>
            <w:vAlign w:val="center"/>
          </w:tcPr>
          <w:p w14:paraId="59BE5B5E" w14:textId="77777777" w:rsidR="002E474C" w:rsidRDefault="00000000">
            <w:pPr>
              <w:pStyle w:val="A-"/>
            </w:pPr>
            <w:r>
              <w:t>镉</w:t>
            </w:r>
          </w:p>
        </w:tc>
        <w:tc>
          <w:tcPr>
            <w:tcW w:w="576" w:type="pct"/>
            <w:shd w:val="clear" w:color="auto" w:fill="auto"/>
            <w:tcMar>
              <w:top w:w="15" w:type="dxa"/>
              <w:left w:w="15" w:type="dxa"/>
              <w:bottom w:w="0" w:type="dxa"/>
              <w:right w:w="15" w:type="dxa"/>
            </w:tcMar>
            <w:vAlign w:val="center"/>
          </w:tcPr>
          <w:p w14:paraId="76C3F924"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739CBAB" w14:textId="77777777" w:rsidR="002E474C" w:rsidRDefault="00000000">
            <w:pPr>
              <w:pStyle w:val="A-"/>
            </w:pPr>
            <w:r>
              <w:t>0.91</w:t>
            </w:r>
          </w:p>
        </w:tc>
        <w:tc>
          <w:tcPr>
            <w:tcW w:w="493" w:type="pct"/>
            <w:shd w:val="clear" w:color="auto" w:fill="auto"/>
            <w:tcMar>
              <w:top w:w="15" w:type="dxa"/>
              <w:left w:w="15" w:type="dxa"/>
              <w:bottom w:w="0" w:type="dxa"/>
              <w:right w:w="15" w:type="dxa"/>
            </w:tcMar>
            <w:vAlign w:val="center"/>
          </w:tcPr>
          <w:p w14:paraId="5F47470C" w14:textId="77777777" w:rsidR="002E474C" w:rsidRDefault="00000000">
            <w:pPr>
              <w:pStyle w:val="A-"/>
            </w:pPr>
            <w:r>
              <w:t>0.01</w:t>
            </w:r>
          </w:p>
        </w:tc>
        <w:tc>
          <w:tcPr>
            <w:tcW w:w="493" w:type="pct"/>
            <w:shd w:val="clear" w:color="auto" w:fill="auto"/>
            <w:tcMar>
              <w:top w:w="15" w:type="dxa"/>
              <w:left w:w="15" w:type="dxa"/>
              <w:bottom w:w="0" w:type="dxa"/>
              <w:right w:w="15" w:type="dxa"/>
            </w:tcMar>
            <w:vAlign w:val="center"/>
          </w:tcPr>
          <w:p w14:paraId="4C7D6EBA" w14:textId="77777777" w:rsidR="002E474C" w:rsidRDefault="00000000">
            <w:pPr>
              <w:pStyle w:val="A-"/>
            </w:pPr>
            <w:r>
              <w:t>0.73</w:t>
            </w:r>
          </w:p>
        </w:tc>
        <w:tc>
          <w:tcPr>
            <w:tcW w:w="493" w:type="pct"/>
            <w:shd w:val="clear" w:color="auto" w:fill="auto"/>
            <w:tcMar>
              <w:top w:w="15" w:type="dxa"/>
              <w:left w:w="15" w:type="dxa"/>
              <w:bottom w:w="0" w:type="dxa"/>
              <w:right w:w="15" w:type="dxa"/>
            </w:tcMar>
            <w:vAlign w:val="center"/>
          </w:tcPr>
          <w:p w14:paraId="030DA779" w14:textId="77777777" w:rsidR="002E474C" w:rsidRDefault="00000000">
            <w:pPr>
              <w:pStyle w:val="A-"/>
            </w:pPr>
            <w:r>
              <w:t>0.01</w:t>
            </w:r>
          </w:p>
        </w:tc>
        <w:tc>
          <w:tcPr>
            <w:tcW w:w="493" w:type="pct"/>
            <w:shd w:val="clear" w:color="auto" w:fill="auto"/>
            <w:tcMar>
              <w:top w:w="15" w:type="dxa"/>
              <w:left w:w="15" w:type="dxa"/>
              <w:bottom w:w="0" w:type="dxa"/>
              <w:right w:w="15" w:type="dxa"/>
            </w:tcMar>
            <w:vAlign w:val="center"/>
          </w:tcPr>
          <w:p w14:paraId="3DDE6E86" w14:textId="77777777" w:rsidR="002E474C" w:rsidRDefault="00000000">
            <w:pPr>
              <w:pStyle w:val="A-"/>
            </w:pPr>
            <w:r>
              <w:t>0.39</w:t>
            </w:r>
          </w:p>
        </w:tc>
        <w:tc>
          <w:tcPr>
            <w:tcW w:w="493" w:type="pct"/>
            <w:shd w:val="clear" w:color="auto" w:fill="auto"/>
            <w:tcMar>
              <w:top w:w="15" w:type="dxa"/>
              <w:left w:w="15" w:type="dxa"/>
              <w:bottom w:w="0" w:type="dxa"/>
              <w:right w:w="15" w:type="dxa"/>
            </w:tcMar>
            <w:vAlign w:val="center"/>
          </w:tcPr>
          <w:p w14:paraId="1942F2E9" w14:textId="77777777" w:rsidR="002E474C" w:rsidRDefault="00000000">
            <w:pPr>
              <w:pStyle w:val="A-"/>
            </w:pPr>
            <w:r>
              <w:t>0.01</w:t>
            </w:r>
          </w:p>
        </w:tc>
        <w:tc>
          <w:tcPr>
            <w:tcW w:w="700" w:type="pct"/>
            <w:shd w:val="clear" w:color="auto" w:fill="auto"/>
            <w:noWrap/>
            <w:tcMar>
              <w:top w:w="15" w:type="dxa"/>
              <w:left w:w="15" w:type="dxa"/>
              <w:bottom w:w="0" w:type="dxa"/>
              <w:right w:w="15" w:type="dxa"/>
            </w:tcMar>
            <w:vAlign w:val="center"/>
          </w:tcPr>
          <w:p w14:paraId="386D9229" w14:textId="77777777" w:rsidR="002E474C" w:rsidRDefault="00000000">
            <w:pPr>
              <w:pStyle w:val="A-"/>
            </w:pPr>
            <w:r>
              <w:t>65mg/kg</w:t>
            </w:r>
          </w:p>
        </w:tc>
        <w:tc>
          <w:tcPr>
            <w:tcW w:w="309" w:type="pct"/>
            <w:shd w:val="clear" w:color="auto" w:fill="auto"/>
            <w:noWrap/>
            <w:tcMar>
              <w:top w:w="15" w:type="dxa"/>
              <w:left w:w="15" w:type="dxa"/>
              <w:bottom w:w="0" w:type="dxa"/>
              <w:right w:w="15" w:type="dxa"/>
            </w:tcMar>
            <w:vAlign w:val="center"/>
          </w:tcPr>
          <w:p w14:paraId="5E8D0D9A" w14:textId="77777777" w:rsidR="002E474C" w:rsidRDefault="00000000">
            <w:pPr>
              <w:pStyle w:val="A-"/>
            </w:pPr>
            <w:r>
              <w:t>达标</w:t>
            </w:r>
          </w:p>
        </w:tc>
      </w:tr>
      <w:tr w:rsidR="002E474C" w14:paraId="42D69998" w14:textId="77777777">
        <w:tc>
          <w:tcPr>
            <w:tcW w:w="480" w:type="pct"/>
            <w:shd w:val="clear" w:color="auto" w:fill="auto"/>
            <w:noWrap/>
            <w:tcMar>
              <w:top w:w="15" w:type="dxa"/>
              <w:left w:w="15" w:type="dxa"/>
              <w:bottom w:w="0" w:type="dxa"/>
              <w:right w:w="15" w:type="dxa"/>
            </w:tcMar>
            <w:vAlign w:val="center"/>
          </w:tcPr>
          <w:p w14:paraId="62281760" w14:textId="77777777" w:rsidR="002E474C" w:rsidRDefault="00000000">
            <w:pPr>
              <w:pStyle w:val="A-"/>
            </w:pPr>
            <w:r>
              <w:t>铜</w:t>
            </w:r>
          </w:p>
        </w:tc>
        <w:tc>
          <w:tcPr>
            <w:tcW w:w="576" w:type="pct"/>
            <w:shd w:val="clear" w:color="auto" w:fill="auto"/>
            <w:tcMar>
              <w:top w:w="15" w:type="dxa"/>
              <w:left w:w="15" w:type="dxa"/>
              <w:bottom w:w="0" w:type="dxa"/>
              <w:right w:w="15" w:type="dxa"/>
            </w:tcMar>
            <w:vAlign w:val="center"/>
          </w:tcPr>
          <w:p w14:paraId="3715A474"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452C32A" w14:textId="77777777" w:rsidR="002E474C" w:rsidRDefault="00000000">
            <w:pPr>
              <w:pStyle w:val="A-"/>
            </w:pPr>
            <w:r>
              <w:t>83</w:t>
            </w:r>
          </w:p>
        </w:tc>
        <w:tc>
          <w:tcPr>
            <w:tcW w:w="493" w:type="pct"/>
            <w:shd w:val="clear" w:color="auto" w:fill="auto"/>
            <w:tcMar>
              <w:top w:w="15" w:type="dxa"/>
              <w:left w:w="15" w:type="dxa"/>
              <w:bottom w:w="0" w:type="dxa"/>
              <w:right w:w="15" w:type="dxa"/>
            </w:tcMar>
            <w:vAlign w:val="center"/>
          </w:tcPr>
          <w:p w14:paraId="061617F9"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18A26CA6" w14:textId="77777777" w:rsidR="002E474C" w:rsidRDefault="00000000">
            <w:pPr>
              <w:pStyle w:val="A-"/>
            </w:pPr>
            <w:r>
              <w:t>56</w:t>
            </w:r>
          </w:p>
        </w:tc>
        <w:tc>
          <w:tcPr>
            <w:tcW w:w="493" w:type="pct"/>
            <w:shd w:val="clear" w:color="auto" w:fill="auto"/>
            <w:tcMar>
              <w:top w:w="15" w:type="dxa"/>
              <w:left w:w="15" w:type="dxa"/>
              <w:bottom w:w="0" w:type="dxa"/>
              <w:right w:w="15" w:type="dxa"/>
            </w:tcMar>
            <w:vAlign w:val="center"/>
          </w:tcPr>
          <w:p w14:paraId="2A2ED0D5"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610E3B84" w14:textId="77777777" w:rsidR="002E474C" w:rsidRDefault="00000000">
            <w:pPr>
              <w:pStyle w:val="A-"/>
            </w:pPr>
            <w:r>
              <w:t>57</w:t>
            </w:r>
          </w:p>
        </w:tc>
        <w:tc>
          <w:tcPr>
            <w:tcW w:w="493" w:type="pct"/>
            <w:shd w:val="clear" w:color="auto" w:fill="auto"/>
            <w:tcMar>
              <w:top w:w="15" w:type="dxa"/>
              <w:left w:w="15" w:type="dxa"/>
              <w:bottom w:w="0" w:type="dxa"/>
              <w:right w:w="15" w:type="dxa"/>
            </w:tcMar>
            <w:vAlign w:val="center"/>
          </w:tcPr>
          <w:p w14:paraId="7A0E235F" w14:textId="77777777" w:rsidR="002E474C" w:rsidRDefault="00000000">
            <w:pPr>
              <w:pStyle w:val="A-"/>
            </w:pPr>
            <w:r>
              <w:t>0.00</w:t>
            </w:r>
          </w:p>
        </w:tc>
        <w:tc>
          <w:tcPr>
            <w:tcW w:w="700" w:type="pct"/>
            <w:shd w:val="clear" w:color="auto" w:fill="auto"/>
            <w:noWrap/>
            <w:tcMar>
              <w:top w:w="15" w:type="dxa"/>
              <w:left w:w="15" w:type="dxa"/>
              <w:bottom w:w="0" w:type="dxa"/>
              <w:right w:w="15" w:type="dxa"/>
            </w:tcMar>
            <w:vAlign w:val="center"/>
          </w:tcPr>
          <w:p w14:paraId="0B6FED59" w14:textId="77777777" w:rsidR="002E474C" w:rsidRDefault="00000000">
            <w:pPr>
              <w:pStyle w:val="A-"/>
            </w:pPr>
            <w:r>
              <w:t>18000mg/kg</w:t>
            </w:r>
          </w:p>
        </w:tc>
        <w:tc>
          <w:tcPr>
            <w:tcW w:w="309" w:type="pct"/>
            <w:shd w:val="clear" w:color="auto" w:fill="auto"/>
            <w:noWrap/>
            <w:tcMar>
              <w:top w:w="15" w:type="dxa"/>
              <w:left w:w="15" w:type="dxa"/>
              <w:bottom w:w="0" w:type="dxa"/>
              <w:right w:w="15" w:type="dxa"/>
            </w:tcMar>
            <w:vAlign w:val="center"/>
          </w:tcPr>
          <w:p w14:paraId="5FF1304B" w14:textId="77777777" w:rsidR="002E474C" w:rsidRDefault="00000000">
            <w:pPr>
              <w:pStyle w:val="A-"/>
            </w:pPr>
            <w:r>
              <w:t>达标</w:t>
            </w:r>
          </w:p>
        </w:tc>
      </w:tr>
      <w:tr w:rsidR="002E474C" w14:paraId="7A712118" w14:textId="77777777">
        <w:tc>
          <w:tcPr>
            <w:tcW w:w="480" w:type="pct"/>
            <w:shd w:val="clear" w:color="auto" w:fill="auto"/>
            <w:noWrap/>
            <w:tcMar>
              <w:top w:w="15" w:type="dxa"/>
              <w:left w:w="15" w:type="dxa"/>
              <w:bottom w:w="0" w:type="dxa"/>
              <w:right w:w="15" w:type="dxa"/>
            </w:tcMar>
            <w:vAlign w:val="center"/>
          </w:tcPr>
          <w:p w14:paraId="3DCF28B9" w14:textId="77777777" w:rsidR="002E474C" w:rsidRDefault="00000000">
            <w:pPr>
              <w:pStyle w:val="A-"/>
            </w:pPr>
            <w:r>
              <w:t>镍</w:t>
            </w:r>
          </w:p>
        </w:tc>
        <w:tc>
          <w:tcPr>
            <w:tcW w:w="576" w:type="pct"/>
            <w:shd w:val="clear" w:color="auto" w:fill="auto"/>
            <w:tcMar>
              <w:top w:w="15" w:type="dxa"/>
              <w:left w:w="15" w:type="dxa"/>
              <w:bottom w:w="0" w:type="dxa"/>
              <w:right w:w="15" w:type="dxa"/>
            </w:tcMar>
            <w:vAlign w:val="center"/>
          </w:tcPr>
          <w:p w14:paraId="4F5A0624"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4BAA711D" w14:textId="77777777" w:rsidR="002E474C" w:rsidRDefault="00000000">
            <w:pPr>
              <w:pStyle w:val="A-"/>
            </w:pPr>
            <w:r>
              <w:t>57</w:t>
            </w:r>
          </w:p>
        </w:tc>
        <w:tc>
          <w:tcPr>
            <w:tcW w:w="493" w:type="pct"/>
            <w:shd w:val="clear" w:color="auto" w:fill="auto"/>
            <w:tcMar>
              <w:top w:w="15" w:type="dxa"/>
              <w:left w:w="15" w:type="dxa"/>
              <w:bottom w:w="0" w:type="dxa"/>
              <w:right w:w="15" w:type="dxa"/>
            </w:tcMar>
            <w:vAlign w:val="center"/>
          </w:tcPr>
          <w:p w14:paraId="64C23DCC" w14:textId="77777777" w:rsidR="002E474C" w:rsidRDefault="00000000">
            <w:pPr>
              <w:pStyle w:val="A-"/>
            </w:pPr>
            <w:r>
              <w:t>0.06</w:t>
            </w:r>
          </w:p>
        </w:tc>
        <w:tc>
          <w:tcPr>
            <w:tcW w:w="493" w:type="pct"/>
            <w:shd w:val="clear" w:color="auto" w:fill="auto"/>
            <w:tcMar>
              <w:top w:w="15" w:type="dxa"/>
              <w:left w:w="15" w:type="dxa"/>
              <w:bottom w:w="0" w:type="dxa"/>
              <w:right w:w="15" w:type="dxa"/>
            </w:tcMar>
            <w:vAlign w:val="center"/>
          </w:tcPr>
          <w:p w14:paraId="0AC9BA44" w14:textId="77777777" w:rsidR="002E474C" w:rsidRDefault="00000000">
            <w:pPr>
              <w:pStyle w:val="A-"/>
            </w:pPr>
            <w:r>
              <w:t>57</w:t>
            </w:r>
          </w:p>
        </w:tc>
        <w:tc>
          <w:tcPr>
            <w:tcW w:w="493" w:type="pct"/>
            <w:shd w:val="clear" w:color="auto" w:fill="auto"/>
            <w:tcMar>
              <w:top w:w="15" w:type="dxa"/>
              <w:left w:w="15" w:type="dxa"/>
              <w:bottom w:w="0" w:type="dxa"/>
              <w:right w:w="15" w:type="dxa"/>
            </w:tcMar>
            <w:vAlign w:val="center"/>
          </w:tcPr>
          <w:p w14:paraId="77FB7F8B" w14:textId="77777777" w:rsidR="002E474C" w:rsidRDefault="00000000">
            <w:pPr>
              <w:pStyle w:val="A-"/>
            </w:pPr>
            <w:r>
              <w:t>0.06</w:t>
            </w:r>
          </w:p>
        </w:tc>
        <w:tc>
          <w:tcPr>
            <w:tcW w:w="493" w:type="pct"/>
            <w:shd w:val="clear" w:color="auto" w:fill="auto"/>
            <w:tcMar>
              <w:top w:w="15" w:type="dxa"/>
              <w:left w:w="15" w:type="dxa"/>
              <w:bottom w:w="0" w:type="dxa"/>
              <w:right w:w="15" w:type="dxa"/>
            </w:tcMar>
            <w:vAlign w:val="center"/>
          </w:tcPr>
          <w:p w14:paraId="0658E439" w14:textId="77777777" w:rsidR="002E474C" w:rsidRDefault="00000000">
            <w:pPr>
              <w:pStyle w:val="A-"/>
            </w:pPr>
            <w:r>
              <w:t>49</w:t>
            </w:r>
          </w:p>
        </w:tc>
        <w:tc>
          <w:tcPr>
            <w:tcW w:w="493" w:type="pct"/>
            <w:shd w:val="clear" w:color="auto" w:fill="auto"/>
            <w:tcMar>
              <w:top w:w="15" w:type="dxa"/>
              <w:left w:w="15" w:type="dxa"/>
              <w:bottom w:w="0" w:type="dxa"/>
              <w:right w:w="15" w:type="dxa"/>
            </w:tcMar>
            <w:vAlign w:val="center"/>
          </w:tcPr>
          <w:p w14:paraId="1B380167" w14:textId="77777777" w:rsidR="002E474C" w:rsidRDefault="00000000">
            <w:pPr>
              <w:pStyle w:val="A-"/>
            </w:pPr>
            <w:r>
              <w:t>0.05</w:t>
            </w:r>
          </w:p>
        </w:tc>
        <w:tc>
          <w:tcPr>
            <w:tcW w:w="700" w:type="pct"/>
            <w:shd w:val="clear" w:color="auto" w:fill="auto"/>
            <w:tcMar>
              <w:top w:w="15" w:type="dxa"/>
              <w:left w:w="15" w:type="dxa"/>
              <w:bottom w:w="0" w:type="dxa"/>
              <w:right w:w="15" w:type="dxa"/>
            </w:tcMar>
            <w:vAlign w:val="center"/>
          </w:tcPr>
          <w:p w14:paraId="4E9A83B7" w14:textId="77777777" w:rsidR="002E474C" w:rsidRDefault="00000000">
            <w:pPr>
              <w:pStyle w:val="A-"/>
            </w:pPr>
            <w:r>
              <w:t>900mg/kg</w:t>
            </w:r>
          </w:p>
        </w:tc>
        <w:tc>
          <w:tcPr>
            <w:tcW w:w="309" w:type="pct"/>
            <w:shd w:val="clear" w:color="auto" w:fill="auto"/>
            <w:noWrap/>
            <w:tcMar>
              <w:top w:w="15" w:type="dxa"/>
              <w:left w:w="15" w:type="dxa"/>
              <w:bottom w:w="0" w:type="dxa"/>
              <w:right w:w="15" w:type="dxa"/>
            </w:tcMar>
            <w:vAlign w:val="center"/>
          </w:tcPr>
          <w:p w14:paraId="18BBDF45" w14:textId="77777777" w:rsidR="002E474C" w:rsidRDefault="00000000">
            <w:pPr>
              <w:pStyle w:val="A-"/>
            </w:pPr>
            <w:r>
              <w:t>达标</w:t>
            </w:r>
          </w:p>
        </w:tc>
      </w:tr>
      <w:tr w:rsidR="002E474C" w14:paraId="23615DBA" w14:textId="77777777">
        <w:tc>
          <w:tcPr>
            <w:tcW w:w="480" w:type="pct"/>
            <w:shd w:val="clear" w:color="auto" w:fill="auto"/>
            <w:noWrap/>
            <w:tcMar>
              <w:top w:w="15" w:type="dxa"/>
              <w:left w:w="15" w:type="dxa"/>
              <w:bottom w:w="0" w:type="dxa"/>
              <w:right w:w="15" w:type="dxa"/>
            </w:tcMar>
            <w:vAlign w:val="center"/>
          </w:tcPr>
          <w:p w14:paraId="610F9D6A" w14:textId="77777777" w:rsidR="002E474C" w:rsidRDefault="00000000">
            <w:pPr>
              <w:pStyle w:val="A-"/>
            </w:pPr>
            <w:r>
              <w:t>六价铬</w:t>
            </w:r>
          </w:p>
        </w:tc>
        <w:tc>
          <w:tcPr>
            <w:tcW w:w="576" w:type="pct"/>
            <w:shd w:val="clear" w:color="auto" w:fill="auto"/>
            <w:tcMar>
              <w:top w:w="15" w:type="dxa"/>
              <w:left w:w="15" w:type="dxa"/>
              <w:bottom w:w="0" w:type="dxa"/>
              <w:right w:w="15" w:type="dxa"/>
            </w:tcMar>
            <w:vAlign w:val="center"/>
          </w:tcPr>
          <w:p w14:paraId="2F16C38D"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1758BC1C" w14:textId="77777777" w:rsidR="002E474C" w:rsidRDefault="00000000">
            <w:pPr>
              <w:pStyle w:val="A-"/>
            </w:pPr>
            <w:r>
              <w:t>&lt;0.5</w:t>
            </w:r>
          </w:p>
        </w:tc>
        <w:tc>
          <w:tcPr>
            <w:tcW w:w="493" w:type="pct"/>
            <w:shd w:val="clear" w:color="auto" w:fill="auto"/>
            <w:tcMar>
              <w:top w:w="15" w:type="dxa"/>
              <w:left w:w="15" w:type="dxa"/>
              <w:bottom w:w="0" w:type="dxa"/>
              <w:right w:w="15" w:type="dxa"/>
            </w:tcMar>
            <w:vAlign w:val="center"/>
          </w:tcPr>
          <w:p w14:paraId="42354761" w14:textId="77777777" w:rsidR="002E474C" w:rsidRDefault="00000000">
            <w:pPr>
              <w:pStyle w:val="A-"/>
            </w:pPr>
            <w:r>
              <w:t>/</w:t>
            </w:r>
          </w:p>
        </w:tc>
        <w:tc>
          <w:tcPr>
            <w:tcW w:w="493" w:type="pct"/>
            <w:shd w:val="clear" w:color="auto" w:fill="auto"/>
            <w:tcMar>
              <w:top w:w="15" w:type="dxa"/>
              <w:left w:w="15" w:type="dxa"/>
              <w:bottom w:w="0" w:type="dxa"/>
              <w:right w:w="15" w:type="dxa"/>
            </w:tcMar>
            <w:vAlign w:val="center"/>
          </w:tcPr>
          <w:p w14:paraId="1100197A" w14:textId="77777777" w:rsidR="002E474C" w:rsidRDefault="00000000">
            <w:pPr>
              <w:pStyle w:val="A-"/>
            </w:pPr>
            <w:r>
              <w:t>&lt;0.5</w:t>
            </w:r>
          </w:p>
        </w:tc>
        <w:tc>
          <w:tcPr>
            <w:tcW w:w="493" w:type="pct"/>
            <w:shd w:val="clear" w:color="auto" w:fill="auto"/>
            <w:tcMar>
              <w:top w:w="15" w:type="dxa"/>
              <w:left w:w="15" w:type="dxa"/>
              <w:bottom w:w="0" w:type="dxa"/>
              <w:right w:w="15" w:type="dxa"/>
            </w:tcMar>
            <w:vAlign w:val="center"/>
          </w:tcPr>
          <w:p w14:paraId="4BDE0A80" w14:textId="77777777" w:rsidR="002E474C" w:rsidRDefault="00000000">
            <w:pPr>
              <w:pStyle w:val="A-"/>
            </w:pPr>
            <w:r>
              <w:t>/</w:t>
            </w:r>
          </w:p>
        </w:tc>
        <w:tc>
          <w:tcPr>
            <w:tcW w:w="493" w:type="pct"/>
            <w:shd w:val="clear" w:color="auto" w:fill="auto"/>
            <w:tcMar>
              <w:top w:w="15" w:type="dxa"/>
              <w:left w:w="15" w:type="dxa"/>
              <w:bottom w:w="0" w:type="dxa"/>
              <w:right w:w="15" w:type="dxa"/>
            </w:tcMar>
            <w:vAlign w:val="center"/>
          </w:tcPr>
          <w:p w14:paraId="2045BEA6" w14:textId="77777777" w:rsidR="002E474C" w:rsidRDefault="00000000">
            <w:pPr>
              <w:pStyle w:val="A-"/>
            </w:pPr>
            <w:r>
              <w:t>&lt;0.5</w:t>
            </w:r>
          </w:p>
        </w:tc>
        <w:tc>
          <w:tcPr>
            <w:tcW w:w="493" w:type="pct"/>
            <w:shd w:val="clear" w:color="auto" w:fill="auto"/>
            <w:tcMar>
              <w:top w:w="15" w:type="dxa"/>
              <w:left w:w="15" w:type="dxa"/>
              <w:bottom w:w="0" w:type="dxa"/>
              <w:right w:w="15" w:type="dxa"/>
            </w:tcMar>
            <w:vAlign w:val="center"/>
          </w:tcPr>
          <w:p w14:paraId="2EAF9A3B" w14:textId="77777777" w:rsidR="002E474C" w:rsidRDefault="00000000">
            <w:pPr>
              <w:pStyle w:val="A-"/>
            </w:pPr>
            <w:r>
              <w:t>/</w:t>
            </w:r>
          </w:p>
        </w:tc>
        <w:tc>
          <w:tcPr>
            <w:tcW w:w="700" w:type="pct"/>
            <w:shd w:val="clear" w:color="auto" w:fill="auto"/>
            <w:tcMar>
              <w:top w:w="15" w:type="dxa"/>
              <w:left w:w="15" w:type="dxa"/>
              <w:bottom w:w="0" w:type="dxa"/>
              <w:right w:w="15" w:type="dxa"/>
            </w:tcMar>
            <w:vAlign w:val="center"/>
          </w:tcPr>
          <w:p w14:paraId="21BC9E8E" w14:textId="77777777" w:rsidR="002E474C" w:rsidRDefault="00000000">
            <w:pPr>
              <w:pStyle w:val="A-"/>
            </w:pPr>
            <w:r>
              <w:t>5.7mg/kg</w:t>
            </w:r>
          </w:p>
        </w:tc>
        <w:tc>
          <w:tcPr>
            <w:tcW w:w="309" w:type="pct"/>
            <w:shd w:val="clear" w:color="auto" w:fill="auto"/>
            <w:noWrap/>
            <w:tcMar>
              <w:top w:w="15" w:type="dxa"/>
              <w:left w:w="15" w:type="dxa"/>
              <w:bottom w:w="0" w:type="dxa"/>
              <w:right w:w="15" w:type="dxa"/>
            </w:tcMar>
            <w:vAlign w:val="center"/>
          </w:tcPr>
          <w:p w14:paraId="5C1B6E3F" w14:textId="77777777" w:rsidR="002E474C" w:rsidRDefault="00000000">
            <w:pPr>
              <w:pStyle w:val="A-"/>
            </w:pPr>
            <w:r>
              <w:t>达标</w:t>
            </w:r>
          </w:p>
        </w:tc>
      </w:tr>
      <w:tr w:rsidR="002E474C" w14:paraId="40920A04" w14:textId="77777777">
        <w:tc>
          <w:tcPr>
            <w:tcW w:w="480" w:type="pct"/>
            <w:shd w:val="clear" w:color="auto" w:fill="auto"/>
            <w:noWrap/>
            <w:tcMar>
              <w:top w:w="15" w:type="dxa"/>
              <w:left w:w="15" w:type="dxa"/>
              <w:bottom w:w="0" w:type="dxa"/>
              <w:right w:w="15" w:type="dxa"/>
            </w:tcMar>
            <w:vAlign w:val="center"/>
          </w:tcPr>
          <w:p w14:paraId="69555F31" w14:textId="77777777" w:rsidR="002E474C" w:rsidRDefault="00000000">
            <w:pPr>
              <w:pStyle w:val="A-"/>
            </w:pPr>
            <w:r>
              <w:t>钴</w:t>
            </w:r>
          </w:p>
        </w:tc>
        <w:tc>
          <w:tcPr>
            <w:tcW w:w="576" w:type="pct"/>
            <w:shd w:val="clear" w:color="auto" w:fill="auto"/>
            <w:tcMar>
              <w:top w:w="15" w:type="dxa"/>
              <w:left w:w="15" w:type="dxa"/>
              <w:bottom w:w="0" w:type="dxa"/>
              <w:right w:w="15" w:type="dxa"/>
            </w:tcMar>
            <w:vAlign w:val="center"/>
          </w:tcPr>
          <w:p w14:paraId="0B31C49A"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0F500DB5" w14:textId="77777777" w:rsidR="002E474C" w:rsidRDefault="00000000">
            <w:pPr>
              <w:pStyle w:val="A-"/>
            </w:pPr>
            <w:r>
              <w:t>14</w:t>
            </w:r>
          </w:p>
        </w:tc>
        <w:tc>
          <w:tcPr>
            <w:tcW w:w="493" w:type="pct"/>
            <w:shd w:val="clear" w:color="auto" w:fill="auto"/>
            <w:tcMar>
              <w:top w:w="15" w:type="dxa"/>
              <w:left w:w="15" w:type="dxa"/>
              <w:bottom w:w="0" w:type="dxa"/>
              <w:right w:w="15" w:type="dxa"/>
            </w:tcMar>
            <w:vAlign w:val="center"/>
          </w:tcPr>
          <w:p w14:paraId="0D2A905B" w14:textId="77777777" w:rsidR="002E474C" w:rsidRDefault="00000000">
            <w:pPr>
              <w:pStyle w:val="A-"/>
            </w:pPr>
            <w:r>
              <w:t>0.2</w:t>
            </w:r>
          </w:p>
        </w:tc>
        <w:tc>
          <w:tcPr>
            <w:tcW w:w="493" w:type="pct"/>
            <w:shd w:val="clear" w:color="auto" w:fill="auto"/>
            <w:tcMar>
              <w:top w:w="15" w:type="dxa"/>
              <w:left w:w="15" w:type="dxa"/>
              <w:bottom w:w="0" w:type="dxa"/>
              <w:right w:w="15" w:type="dxa"/>
            </w:tcMar>
            <w:vAlign w:val="center"/>
          </w:tcPr>
          <w:p w14:paraId="34F09DFE" w14:textId="77777777" w:rsidR="002E474C" w:rsidRDefault="00000000">
            <w:pPr>
              <w:pStyle w:val="A-"/>
            </w:pPr>
            <w:r>
              <w:t>9</w:t>
            </w:r>
          </w:p>
        </w:tc>
        <w:tc>
          <w:tcPr>
            <w:tcW w:w="493" w:type="pct"/>
            <w:shd w:val="clear" w:color="auto" w:fill="auto"/>
            <w:tcMar>
              <w:top w:w="15" w:type="dxa"/>
              <w:left w:w="15" w:type="dxa"/>
              <w:bottom w:w="0" w:type="dxa"/>
              <w:right w:w="15" w:type="dxa"/>
            </w:tcMar>
            <w:vAlign w:val="center"/>
          </w:tcPr>
          <w:p w14:paraId="0DE9F630" w14:textId="77777777" w:rsidR="002E474C" w:rsidRDefault="00000000">
            <w:pPr>
              <w:pStyle w:val="A-"/>
            </w:pPr>
            <w:r>
              <w:t>0.13</w:t>
            </w:r>
          </w:p>
        </w:tc>
        <w:tc>
          <w:tcPr>
            <w:tcW w:w="493" w:type="pct"/>
            <w:shd w:val="clear" w:color="auto" w:fill="auto"/>
            <w:tcMar>
              <w:top w:w="15" w:type="dxa"/>
              <w:left w:w="15" w:type="dxa"/>
              <w:bottom w:w="0" w:type="dxa"/>
              <w:right w:w="15" w:type="dxa"/>
            </w:tcMar>
            <w:vAlign w:val="center"/>
          </w:tcPr>
          <w:p w14:paraId="63964BE7" w14:textId="77777777" w:rsidR="002E474C" w:rsidRDefault="00000000">
            <w:pPr>
              <w:pStyle w:val="A-"/>
            </w:pPr>
            <w:r>
              <w:t>10</w:t>
            </w:r>
          </w:p>
        </w:tc>
        <w:tc>
          <w:tcPr>
            <w:tcW w:w="493" w:type="pct"/>
            <w:shd w:val="clear" w:color="auto" w:fill="auto"/>
            <w:tcMar>
              <w:top w:w="15" w:type="dxa"/>
              <w:left w:w="15" w:type="dxa"/>
              <w:bottom w:w="0" w:type="dxa"/>
              <w:right w:w="15" w:type="dxa"/>
            </w:tcMar>
            <w:vAlign w:val="center"/>
          </w:tcPr>
          <w:p w14:paraId="17EACD2A" w14:textId="77777777" w:rsidR="002E474C" w:rsidRDefault="00000000">
            <w:pPr>
              <w:pStyle w:val="A-"/>
            </w:pPr>
            <w:r>
              <w:t>0.14</w:t>
            </w:r>
          </w:p>
        </w:tc>
        <w:tc>
          <w:tcPr>
            <w:tcW w:w="700" w:type="pct"/>
            <w:shd w:val="clear" w:color="auto" w:fill="auto"/>
            <w:tcMar>
              <w:top w:w="15" w:type="dxa"/>
              <w:left w:w="15" w:type="dxa"/>
              <w:bottom w:w="0" w:type="dxa"/>
              <w:right w:w="15" w:type="dxa"/>
            </w:tcMar>
            <w:vAlign w:val="center"/>
          </w:tcPr>
          <w:p w14:paraId="25CD7B7B" w14:textId="77777777" w:rsidR="002E474C" w:rsidRDefault="00000000">
            <w:pPr>
              <w:pStyle w:val="A-"/>
            </w:pPr>
            <w:r>
              <w:t>70mg/kg</w:t>
            </w:r>
          </w:p>
        </w:tc>
        <w:tc>
          <w:tcPr>
            <w:tcW w:w="309" w:type="pct"/>
            <w:shd w:val="clear" w:color="auto" w:fill="auto"/>
            <w:noWrap/>
            <w:tcMar>
              <w:top w:w="15" w:type="dxa"/>
              <w:left w:w="15" w:type="dxa"/>
              <w:bottom w:w="0" w:type="dxa"/>
              <w:right w:w="15" w:type="dxa"/>
            </w:tcMar>
            <w:vAlign w:val="center"/>
          </w:tcPr>
          <w:p w14:paraId="5706F280" w14:textId="77777777" w:rsidR="002E474C" w:rsidRDefault="00000000">
            <w:pPr>
              <w:pStyle w:val="A-"/>
            </w:pPr>
            <w:r>
              <w:t>达标</w:t>
            </w:r>
          </w:p>
        </w:tc>
      </w:tr>
      <w:tr w:rsidR="002E474C" w14:paraId="05964F3F" w14:textId="77777777">
        <w:tc>
          <w:tcPr>
            <w:tcW w:w="480" w:type="pct"/>
            <w:shd w:val="clear" w:color="auto" w:fill="auto"/>
            <w:noWrap/>
            <w:tcMar>
              <w:top w:w="15" w:type="dxa"/>
              <w:left w:w="15" w:type="dxa"/>
              <w:bottom w:w="0" w:type="dxa"/>
              <w:right w:w="15" w:type="dxa"/>
            </w:tcMar>
            <w:vAlign w:val="center"/>
          </w:tcPr>
          <w:p w14:paraId="3D971C69" w14:textId="77777777" w:rsidR="002E474C" w:rsidRDefault="00000000">
            <w:pPr>
              <w:pStyle w:val="A-"/>
            </w:pPr>
            <w:r>
              <w:t>钒</w:t>
            </w:r>
          </w:p>
        </w:tc>
        <w:tc>
          <w:tcPr>
            <w:tcW w:w="576" w:type="pct"/>
            <w:shd w:val="clear" w:color="auto" w:fill="auto"/>
            <w:tcMar>
              <w:top w:w="15" w:type="dxa"/>
              <w:left w:w="15" w:type="dxa"/>
              <w:bottom w:w="0" w:type="dxa"/>
              <w:right w:w="15" w:type="dxa"/>
            </w:tcMar>
            <w:vAlign w:val="center"/>
          </w:tcPr>
          <w:p w14:paraId="6929C3A1"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0242EF61" w14:textId="77777777" w:rsidR="002E474C" w:rsidRDefault="00000000">
            <w:pPr>
              <w:pStyle w:val="A-"/>
            </w:pPr>
            <w:r>
              <w:t>97.1</w:t>
            </w:r>
          </w:p>
        </w:tc>
        <w:tc>
          <w:tcPr>
            <w:tcW w:w="493" w:type="pct"/>
            <w:shd w:val="clear" w:color="auto" w:fill="auto"/>
            <w:tcMar>
              <w:top w:w="15" w:type="dxa"/>
              <w:left w:w="15" w:type="dxa"/>
              <w:bottom w:w="0" w:type="dxa"/>
              <w:right w:w="15" w:type="dxa"/>
            </w:tcMar>
            <w:vAlign w:val="center"/>
          </w:tcPr>
          <w:p w14:paraId="5CE60154" w14:textId="77777777" w:rsidR="002E474C" w:rsidRDefault="00000000">
            <w:pPr>
              <w:pStyle w:val="A-"/>
            </w:pPr>
            <w:r>
              <w:t>0.13</w:t>
            </w:r>
          </w:p>
        </w:tc>
        <w:tc>
          <w:tcPr>
            <w:tcW w:w="493" w:type="pct"/>
            <w:shd w:val="clear" w:color="auto" w:fill="auto"/>
            <w:tcMar>
              <w:top w:w="15" w:type="dxa"/>
              <w:left w:w="15" w:type="dxa"/>
              <w:bottom w:w="0" w:type="dxa"/>
              <w:right w:w="15" w:type="dxa"/>
            </w:tcMar>
            <w:vAlign w:val="center"/>
          </w:tcPr>
          <w:p w14:paraId="7ECDC9FB" w14:textId="77777777" w:rsidR="002E474C" w:rsidRDefault="00000000">
            <w:pPr>
              <w:pStyle w:val="A-"/>
            </w:pPr>
            <w:r>
              <w:t>125</w:t>
            </w:r>
          </w:p>
        </w:tc>
        <w:tc>
          <w:tcPr>
            <w:tcW w:w="493" w:type="pct"/>
            <w:shd w:val="clear" w:color="auto" w:fill="auto"/>
            <w:tcMar>
              <w:top w:w="15" w:type="dxa"/>
              <w:left w:w="15" w:type="dxa"/>
              <w:bottom w:w="0" w:type="dxa"/>
              <w:right w:w="15" w:type="dxa"/>
            </w:tcMar>
            <w:vAlign w:val="center"/>
          </w:tcPr>
          <w:p w14:paraId="37CAAA8E" w14:textId="77777777" w:rsidR="002E474C" w:rsidRDefault="00000000">
            <w:pPr>
              <w:pStyle w:val="A-"/>
            </w:pPr>
            <w:r>
              <w:t>0.17</w:t>
            </w:r>
          </w:p>
        </w:tc>
        <w:tc>
          <w:tcPr>
            <w:tcW w:w="493" w:type="pct"/>
            <w:shd w:val="clear" w:color="auto" w:fill="auto"/>
            <w:tcMar>
              <w:top w:w="15" w:type="dxa"/>
              <w:left w:w="15" w:type="dxa"/>
              <w:bottom w:w="0" w:type="dxa"/>
              <w:right w:w="15" w:type="dxa"/>
            </w:tcMar>
            <w:vAlign w:val="center"/>
          </w:tcPr>
          <w:p w14:paraId="74FDD38A" w14:textId="77777777" w:rsidR="002E474C" w:rsidRDefault="00000000">
            <w:pPr>
              <w:pStyle w:val="A-"/>
            </w:pPr>
            <w:r>
              <w:t>123</w:t>
            </w:r>
          </w:p>
        </w:tc>
        <w:tc>
          <w:tcPr>
            <w:tcW w:w="493" w:type="pct"/>
            <w:shd w:val="clear" w:color="auto" w:fill="auto"/>
            <w:tcMar>
              <w:top w:w="15" w:type="dxa"/>
              <w:left w:w="15" w:type="dxa"/>
              <w:bottom w:w="0" w:type="dxa"/>
              <w:right w:w="15" w:type="dxa"/>
            </w:tcMar>
            <w:vAlign w:val="center"/>
          </w:tcPr>
          <w:p w14:paraId="48A939B0" w14:textId="77777777" w:rsidR="002E474C" w:rsidRDefault="00000000">
            <w:pPr>
              <w:pStyle w:val="A-"/>
            </w:pPr>
            <w:r>
              <w:t>0.16</w:t>
            </w:r>
          </w:p>
        </w:tc>
        <w:tc>
          <w:tcPr>
            <w:tcW w:w="700" w:type="pct"/>
            <w:shd w:val="clear" w:color="auto" w:fill="auto"/>
            <w:tcMar>
              <w:top w:w="15" w:type="dxa"/>
              <w:left w:w="15" w:type="dxa"/>
              <w:bottom w:w="0" w:type="dxa"/>
              <w:right w:w="15" w:type="dxa"/>
            </w:tcMar>
            <w:vAlign w:val="center"/>
          </w:tcPr>
          <w:p w14:paraId="1F16E5CA" w14:textId="77777777" w:rsidR="002E474C" w:rsidRDefault="00000000">
            <w:pPr>
              <w:pStyle w:val="A-"/>
            </w:pPr>
            <w:r>
              <w:t>752mg/kg</w:t>
            </w:r>
          </w:p>
        </w:tc>
        <w:tc>
          <w:tcPr>
            <w:tcW w:w="309" w:type="pct"/>
            <w:shd w:val="clear" w:color="auto" w:fill="auto"/>
            <w:noWrap/>
            <w:tcMar>
              <w:top w:w="15" w:type="dxa"/>
              <w:left w:w="15" w:type="dxa"/>
              <w:bottom w:w="0" w:type="dxa"/>
              <w:right w:w="15" w:type="dxa"/>
            </w:tcMar>
            <w:vAlign w:val="center"/>
          </w:tcPr>
          <w:p w14:paraId="4C7A297C" w14:textId="77777777" w:rsidR="002E474C" w:rsidRDefault="00000000">
            <w:pPr>
              <w:pStyle w:val="A-"/>
            </w:pPr>
            <w:r>
              <w:t>达标</w:t>
            </w:r>
          </w:p>
        </w:tc>
      </w:tr>
      <w:tr w:rsidR="002E474C" w14:paraId="71BA5049" w14:textId="77777777">
        <w:tc>
          <w:tcPr>
            <w:tcW w:w="480" w:type="pct"/>
            <w:shd w:val="clear" w:color="auto" w:fill="auto"/>
            <w:noWrap/>
            <w:tcMar>
              <w:top w:w="15" w:type="dxa"/>
              <w:left w:w="15" w:type="dxa"/>
              <w:bottom w:w="0" w:type="dxa"/>
              <w:right w:w="15" w:type="dxa"/>
            </w:tcMar>
            <w:vAlign w:val="center"/>
          </w:tcPr>
          <w:p w14:paraId="726AC527" w14:textId="77777777" w:rsidR="002E474C" w:rsidRDefault="00000000">
            <w:pPr>
              <w:pStyle w:val="A-"/>
            </w:pPr>
            <w:r>
              <w:t>氰化物</w:t>
            </w:r>
          </w:p>
        </w:tc>
        <w:tc>
          <w:tcPr>
            <w:tcW w:w="576" w:type="pct"/>
            <w:shd w:val="clear" w:color="auto" w:fill="auto"/>
            <w:tcMar>
              <w:top w:w="15" w:type="dxa"/>
              <w:left w:w="15" w:type="dxa"/>
              <w:bottom w:w="0" w:type="dxa"/>
              <w:right w:w="15" w:type="dxa"/>
            </w:tcMar>
            <w:vAlign w:val="center"/>
          </w:tcPr>
          <w:p w14:paraId="051A5BE3"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F43CA89" w14:textId="77777777" w:rsidR="002E474C" w:rsidRDefault="00000000">
            <w:pPr>
              <w:pStyle w:val="A-"/>
            </w:pPr>
            <w:r>
              <w:t>&lt;0.04</w:t>
            </w:r>
          </w:p>
        </w:tc>
        <w:tc>
          <w:tcPr>
            <w:tcW w:w="493" w:type="pct"/>
            <w:shd w:val="clear" w:color="auto" w:fill="auto"/>
            <w:noWrap/>
            <w:tcMar>
              <w:top w:w="15" w:type="dxa"/>
              <w:left w:w="15" w:type="dxa"/>
              <w:bottom w:w="0" w:type="dxa"/>
              <w:right w:w="15" w:type="dxa"/>
            </w:tcMar>
            <w:vAlign w:val="center"/>
          </w:tcPr>
          <w:p w14:paraId="46BDD704" w14:textId="77777777" w:rsidR="002E474C" w:rsidRDefault="00000000">
            <w:pPr>
              <w:pStyle w:val="A-"/>
            </w:pPr>
            <w:r>
              <w:t>/</w:t>
            </w:r>
          </w:p>
        </w:tc>
        <w:tc>
          <w:tcPr>
            <w:tcW w:w="493" w:type="pct"/>
            <w:shd w:val="clear" w:color="auto" w:fill="auto"/>
            <w:tcMar>
              <w:top w:w="15" w:type="dxa"/>
              <w:left w:w="15" w:type="dxa"/>
              <w:bottom w:w="0" w:type="dxa"/>
              <w:right w:w="15" w:type="dxa"/>
            </w:tcMar>
            <w:vAlign w:val="center"/>
          </w:tcPr>
          <w:p w14:paraId="7BEE87D8" w14:textId="77777777" w:rsidR="002E474C" w:rsidRDefault="00000000">
            <w:pPr>
              <w:pStyle w:val="A-"/>
            </w:pPr>
            <w:r>
              <w:t>&lt;0.04</w:t>
            </w:r>
          </w:p>
        </w:tc>
        <w:tc>
          <w:tcPr>
            <w:tcW w:w="493" w:type="pct"/>
            <w:shd w:val="clear" w:color="auto" w:fill="auto"/>
            <w:noWrap/>
            <w:tcMar>
              <w:top w:w="15" w:type="dxa"/>
              <w:left w:w="15" w:type="dxa"/>
              <w:bottom w:w="0" w:type="dxa"/>
              <w:right w:w="15" w:type="dxa"/>
            </w:tcMar>
            <w:vAlign w:val="center"/>
          </w:tcPr>
          <w:p w14:paraId="08DE700B" w14:textId="77777777" w:rsidR="002E474C" w:rsidRDefault="00000000">
            <w:pPr>
              <w:pStyle w:val="A-"/>
            </w:pPr>
            <w:r>
              <w:t>/</w:t>
            </w:r>
          </w:p>
        </w:tc>
        <w:tc>
          <w:tcPr>
            <w:tcW w:w="493" w:type="pct"/>
            <w:shd w:val="clear" w:color="auto" w:fill="auto"/>
            <w:tcMar>
              <w:top w:w="15" w:type="dxa"/>
              <w:left w:w="15" w:type="dxa"/>
              <w:bottom w:w="0" w:type="dxa"/>
              <w:right w:w="15" w:type="dxa"/>
            </w:tcMar>
            <w:vAlign w:val="center"/>
          </w:tcPr>
          <w:p w14:paraId="587D122A" w14:textId="77777777" w:rsidR="002E474C" w:rsidRDefault="00000000">
            <w:pPr>
              <w:pStyle w:val="A-"/>
            </w:pPr>
            <w:r>
              <w:t>&lt;0.04</w:t>
            </w:r>
          </w:p>
        </w:tc>
        <w:tc>
          <w:tcPr>
            <w:tcW w:w="493" w:type="pct"/>
            <w:shd w:val="clear" w:color="auto" w:fill="auto"/>
            <w:noWrap/>
            <w:tcMar>
              <w:top w:w="15" w:type="dxa"/>
              <w:left w:w="15" w:type="dxa"/>
              <w:bottom w:w="0" w:type="dxa"/>
              <w:right w:w="15" w:type="dxa"/>
            </w:tcMar>
            <w:vAlign w:val="center"/>
          </w:tcPr>
          <w:p w14:paraId="512EA9A0" w14:textId="77777777" w:rsidR="002E474C" w:rsidRDefault="00000000">
            <w:pPr>
              <w:pStyle w:val="A-"/>
            </w:pPr>
            <w:r>
              <w:t>/</w:t>
            </w:r>
          </w:p>
        </w:tc>
        <w:tc>
          <w:tcPr>
            <w:tcW w:w="700" w:type="pct"/>
            <w:shd w:val="clear" w:color="auto" w:fill="auto"/>
            <w:tcMar>
              <w:top w:w="15" w:type="dxa"/>
              <w:left w:w="15" w:type="dxa"/>
              <w:bottom w:w="0" w:type="dxa"/>
              <w:right w:w="15" w:type="dxa"/>
            </w:tcMar>
            <w:vAlign w:val="center"/>
          </w:tcPr>
          <w:p w14:paraId="062E4D33" w14:textId="77777777" w:rsidR="002E474C" w:rsidRDefault="00000000">
            <w:pPr>
              <w:pStyle w:val="A-"/>
            </w:pPr>
            <w:r>
              <w:t>135mg/kg</w:t>
            </w:r>
          </w:p>
        </w:tc>
        <w:tc>
          <w:tcPr>
            <w:tcW w:w="309" w:type="pct"/>
            <w:shd w:val="clear" w:color="auto" w:fill="auto"/>
            <w:noWrap/>
            <w:tcMar>
              <w:top w:w="15" w:type="dxa"/>
              <w:left w:w="15" w:type="dxa"/>
              <w:bottom w:w="0" w:type="dxa"/>
              <w:right w:w="15" w:type="dxa"/>
            </w:tcMar>
            <w:vAlign w:val="center"/>
          </w:tcPr>
          <w:p w14:paraId="39544A7C" w14:textId="77777777" w:rsidR="002E474C" w:rsidRDefault="00000000">
            <w:pPr>
              <w:pStyle w:val="A-"/>
            </w:pPr>
            <w:r>
              <w:t>达标</w:t>
            </w:r>
          </w:p>
        </w:tc>
      </w:tr>
      <w:tr w:rsidR="002E474C" w14:paraId="2EFC3BA6" w14:textId="77777777">
        <w:tc>
          <w:tcPr>
            <w:tcW w:w="480" w:type="pct"/>
            <w:shd w:val="clear" w:color="auto" w:fill="auto"/>
            <w:noWrap/>
            <w:tcMar>
              <w:top w:w="15" w:type="dxa"/>
              <w:left w:w="15" w:type="dxa"/>
              <w:bottom w:w="0" w:type="dxa"/>
              <w:right w:w="15" w:type="dxa"/>
            </w:tcMar>
            <w:vAlign w:val="center"/>
          </w:tcPr>
          <w:p w14:paraId="13A6E72D" w14:textId="77777777" w:rsidR="002E474C" w:rsidRDefault="00000000">
            <w:pPr>
              <w:pStyle w:val="A-"/>
            </w:pPr>
            <w:r>
              <w:t>石油烃</w:t>
            </w:r>
            <w:r>
              <w:t>(C</w:t>
            </w:r>
            <w:r>
              <w:rPr>
                <w:vertAlign w:val="subscript"/>
              </w:rPr>
              <w:t>10</w:t>
            </w:r>
            <w:r>
              <w:t>-C</w:t>
            </w:r>
            <w:r>
              <w:rPr>
                <w:vertAlign w:val="subscript"/>
              </w:rPr>
              <w:t>40</w:t>
            </w:r>
            <w:r>
              <w:t>)</w:t>
            </w:r>
          </w:p>
        </w:tc>
        <w:tc>
          <w:tcPr>
            <w:tcW w:w="576" w:type="pct"/>
            <w:shd w:val="clear" w:color="auto" w:fill="auto"/>
            <w:tcMar>
              <w:top w:w="15" w:type="dxa"/>
              <w:left w:w="15" w:type="dxa"/>
              <w:bottom w:w="0" w:type="dxa"/>
              <w:right w:w="15" w:type="dxa"/>
            </w:tcMar>
            <w:vAlign w:val="center"/>
          </w:tcPr>
          <w:p w14:paraId="04FF5722" w14:textId="77777777" w:rsidR="002E474C" w:rsidRDefault="00000000">
            <w:pPr>
              <w:pStyle w:val="A-"/>
            </w:pPr>
            <w:r>
              <w:t>mg/kg</w:t>
            </w:r>
          </w:p>
        </w:tc>
        <w:tc>
          <w:tcPr>
            <w:tcW w:w="463" w:type="pct"/>
            <w:shd w:val="clear" w:color="auto" w:fill="auto"/>
            <w:tcMar>
              <w:top w:w="15" w:type="dxa"/>
              <w:left w:w="15" w:type="dxa"/>
              <w:bottom w:w="0" w:type="dxa"/>
              <w:right w:w="15" w:type="dxa"/>
            </w:tcMar>
            <w:vAlign w:val="center"/>
          </w:tcPr>
          <w:p w14:paraId="52BE6627" w14:textId="77777777" w:rsidR="002E474C" w:rsidRDefault="00000000">
            <w:pPr>
              <w:pStyle w:val="A-"/>
            </w:pPr>
            <w:r>
              <w:t>21</w:t>
            </w:r>
          </w:p>
        </w:tc>
        <w:tc>
          <w:tcPr>
            <w:tcW w:w="493" w:type="pct"/>
            <w:shd w:val="clear" w:color="auto" w:fill="auto"/>
            <w:noWrap/>
            <w:tcMar>
              <w:top w:w="15" w:type="dxa"/>
              <w:left w:w="15" w:type="dxa"/>
              <w:bottom w:w="0" w:type="dxa"/>
              <w:right w:w="15" w:type="dxa"/>
            </w:tcMar>
            <w:vAlign w:val="center"/>
          </w:tcPr>
          <w:p w14:paraId="6D61C5D9"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5AF0144F" w14:textId="77777777" w:rsidR="002E474C" w:rsidRDefault="00000000">
            <w:pPr>
              <w:pStyle w:val="A-"/>
            </w:pPr>
            <w:r>
              <w:t>23</w:t>
            </w:r>
          </w:p>
        </w:tc>
        <w:tc>
          <w:tcPr>
            <w:tcW w:w="493" w:type="pct"/>
            <w:shd w:val="clear" w:color="auto" w:fill="auto"/>
            <w:noWrap/>
            <w:tcMar>
              <w:top w:w="15" w:type="dxa"/>
              <w:left w:w="15" w:type="dxa"/>
              <w:bottom w:w="0" w:type="dxa"/>
              <w:right w:w="15" w:type="dxa"/>
            </w:tcMar>
            <w:vAlign w:val="center"/>
          </w:tcPr>
          <w:p w14:paraId="47480BEA" w14:textId="77777777" w:rsidR="002E474C" w:rsidRDefault="00000000">
            <w:pPr>
              <w:pStyle w:val="A-"/>
            </w:pPr>
            <w:r>
              <w:t>0.00</w:t>
            </w:r>
          </w:p>
        </w:tc>
        <w:tc>
          <w:tcPr>
            <w:tcW w:w="493" w:type="pct"/>
            <w:shd w:val="clear" w:color="auto" w:fill="auto"/>
            <w:tcMar>
              <w:top w:w="15" w:type="dxa"/>
              <w:left w:w="15" w:type="dxa"/>
              <w:bottom w:w="0" w:type="dxa"/>
              <w:right w:w="15" w:type="dxa"/>
            </w:tcMar>
            <w:vAlign w:val="center"/>
          </w:tcPr>
          <w:p w14:paraId="31FDFB75" w14:textId="77777777" w:rsidR="002E474C" w:rsidRDefault="00000000">
            <w:pPr>
              <w:pStyle w:val="A-"/>
            </w:pPr>
            <w:r>
              <w:t>19</w:t>
            </w:r>
          </w:p>
        </w:tc>
        <w:tc>
          <w:tcPr>
            <w:tcW w:w="493" w:type="pct"/>
            <w:shd w:val="clear" w:color="auto" w:fill="auto"/>
            <w:noWrap/>
            <w:tcMar>
              <w:top w:w="15" w:type="dxa"/>
              <w:left w:w="15" w:type="dxa"/>
              <w:bottom w:w="0" w:type="dxa"/>
              <w:right w:w="15" w:type="dxa"/>
            </w:tcMar>
            <w:vAlign w:val="center"/>
          </w:tcPr>
          <w:p w14:paraId="77A47D1C" w14:textId="77777777" w:rsidR="002E474C" w:rsidRDefault="00000000">
            <w:pPr>
              <w:pStyle w:val="A-"/>
            </w:pPr>
            <w:r>
              <w:t>0.00</w:t>
            </w:r>
          </w:p>
        </w:tc>
        <w:tc>
          <w:tcPr>
            <w:tcW w:w="700" w:type="pct"/>
            <w:shd w:val="clear" w:color="auto" w:fill="auto"/>
            <w:tcMar>
              <w:top w:w="15" w:type="dxa"/>
              <w:left w:w="15" w:type="dxa"/>
              <w:bottom w:w="0" w:type="dxa"/>
              <w:right w:w="15" w:type="dxa"/>
            </w:tcMar>
            <w:vAlign w:val="center"/>
          </w:tcPr>
          <w:p w14:paraId="7C60918E" w14:textId="77777777" w:rsidR="002E474C" w:rsidRDefault="00000000">
            <w:pPr>
              <w:pStyle w:val="A-"/>
            </w:pPr>
            <w:r>
              <w:t>4500 mg/kg</w:t>
            </w:r>
          </w:p>
        </w:tc>
        <w:tc>
          <w:tcPr>
            <w:tcW w:w="309" w:type="pct"/>
            <w:shd w:val="clear" w:color="auto" w:fill="auto"/>
            <w:noWrap/>
            <w:tcMar>
              <w:top w:w="15" w:type="dxa"/>
              <w:left w:w="15" w:type="dxa"/>
              <w:bottom w:w="0" w:type="dxa"/>
              <w:right w:w="15" w:type="dxa"/>
            </w:tcMar>
            <w:vAlign w:val="center"/>
          </w:tcPr>
          <w:p w14:paraId="1FBCF47E" w14:textId="77777777" w:rsidR="002E474C" w:rsidRDefault="00000000">
            <w:pPr>
              <w:pStyle w:val="A-"/>
            </w:pPr>
            <w:r>
              <w:t>达标</w:t>
            </w:r>
          </w:p>
        </w:tc>
      </w:tr>
      <w:tr w:rsidR="002E474C" w14:paraId="28D2C380" w14:textId="77777777">
        <w:tc>
          <w:tcPr>
            <w:tcW w:w="480" w:type="pct"/>
            <w:shd w:val="clear" w:color="auto" w:fill="auto"/>
            <w:noWrap/>
            <w:tcMar>
              <w:top w:w="15" w:type="dxa"/>
              <w:left w:w="15" w:type="dxa"/>
              <w:bottom w:w="0" w:type="dxa"/>
              <w:right w:w="15" w:type="dxa"/>
            </w:tcMar>
            <w:vAlign w:val="center"/>
          </w:tcPr>
          <w:p w14:paraId="1D8919C9" w14:textId="77777777" w:rsidR="002E474C" w:rsidRDefault="00000000">
            <w:pPr>
              <w:pStyle w:val="A-"/>
            </w:pPr>
            <w:r>
              <w:t>二噁英类</w:t>
            </w:r>
          </w:p>
        </w:tc>
        <w:tc>
          <w:tcPr>
            <w:tcW w:w="576" w:type="pct"/>
            <w:shd w:val="clear" w:color="auto" w:fill="auto"/>
            <w:noWrap/>
            <w:tcMar>
              <w:top w:w="15" w:type="dxa"/>
              <w:left w:w="15" w:type="dxa"/>
              <w:bottom w:w="0" w:type="dxa"/>
              <w:right w:w="15" w:type="dxa"/>
            </w:tcMar>
            <w:vAlign w:val="center"/>
          </w:tcPr>
          <w:p w14:paraId="2FAEFCA0" w14:textId="77777777" w:rsidR="002E474C" w:rsidRDefault="00000000">
            <w:pPr>
              <w:pStyle w:val="A-"/>
            </w:pPr>
            <w:bookmarkStart w:id="255" w:name="OLE_LINK57"/>
            <w:proofErr w:type="spellStart"/>
            <w:r>
              <w:t>ng</w:t>
            </w:r>
            <w:bookmarkEnd w:id="255"/>
            <w:r>
              <w:t>TEQ</w:t>
            </w:r>
            <w:proofErr w:type="spellEnd"/>
            <w:r>
              <w:t>/kg</w:t>
            </w:r>
          </w:p>
        </w:tc>
        <w:tc>
          <w:tcPr>
            <w:tcW w:w="463" w:type="pct"/>
            <w:shd w:val="clear" w:color="auto" w:fill="auto"/>
            <w:noWrap/>
            <w:tcMar>
              <w:top w:w="15" w:type="dxa"/>
              <w:left w:w="15" w:type="dxa"/>
              <w:bottom w:w="0" w:type="dxa"/>
              <w:right w:w="15" w:type="dxa"/>
            </w:tcMar>
            <w:vAlign w:val="center"/>
          </w:tcPr>
          <w:p w14:paraId="671E6056" w14:textId="77777777" w:rsidR="002E474C" w:rsidRDefault="00000000">
            <w:pPr>
              <w:pStyle w:val="A-"/>
            </w:pPr>
            <w:r>
              <w:t>0.12</w:t>
            </w:r>
          </w:p>
        </w:tc>
        <w:tc>
          <w:tcPr>
            <w:tcW w:w="493" w:type="pct"/>
            <w:shd w:val="clear" w:color="auto" w:fill="auto"/>
            <w:noWrap/>
            <w:tcMar>
              <w:top w:w="15" w:type="dxa"/>
              <w:left w:w="15" w:type="dxa"/>
              <w:bottom w:w="0" w:type="dxa"/>
              <w:right w:w="15" w:type="dxa"/>
            </w:tcMar>
            <w:vAlign w:val="center"/>
          </w:tcPr>
          <w:p w14:paraId="1362B7C2" w14:textId="77777777" w:rsidR="002E474C" w:rsidRDefault="00000000">
            <w:pPr>
              <w:pStyle w:val="A-"/>
            </w:pPr>
            <w:r>
              <w:t>0.00</w:t>
            </w:r>
          </w:p>
        </w:tc>
        <w:tc>
          <w:tcPr>
            <w:tcW w:w="493" w:type="pct"/>
            <w:shd w:val="clear" w:color="auto" w:fill="auto"/>
            <w:noWrap/>
            <w:tcMar>
              <w:top w:w="15" w:type="dxa"/>
              <w:left w:w="15" w:type="dxa"/>
              <w:bottom w:w="0" w:type="dxa"/>
              <w:right w:w="15" w:type="dxa"/>
            </w:tcMar>
            <w:vAlign w:val="center"/>
          </w:tcPr>
          <w:p w14:paraId="4D305243" w14:textId="77777777" w:rsidR="002E474C" w:rsidRDefault="00000000">
            <w:pPr>
              <w:pStyle w:val="A-"/>
            </w:pPr>
            <w:r>
              <w:t>0.15</w:t>
            </w:r>
          </w:p>
        </w:tc>
        <w:tc>
          <w:tcPr>
            <w:tcW w:w="493" w:type="pct"/>
            <w:shd w:val="clear" w:color="auto" w:fill="auto"/>
            <w:noWrap/>
            <w:tcMar>
              <w:top w:w="15" w:type="dxa"/>
              <w:left w:w="15" w:type="dxa"/>
              <w:bottom w:w="0" w:type="dxa"/>
              <w:right w:w="15" w:type="dxa"/>
            </w:tcMar>
            <w:vAlign w:val="center"/>
          </w:tcPr>
          <w:p w14:paraId="51D0A470" w14:textId="77777777" w:rsidR="002E474C" w:rsidRDefault="00000000">
            <w:pPr>
              <w:pStyle w:val="A-"/>
            </w:pPr>
            <w:r>
              <w:t>0.00</w:t>
            </w:r>
          </w:p>
        </w:tc>
        <w:tc>
          <w:tcPr>
            <w:tcW w:w="493" w:type="pct"/>
            <w:shd w:val="clear" w:color="auto" w:fill="auto"/>
            <w:noWrap/>
            <w:tcMar>
              <w:top w:w="15" w:type="dxa"/>
              <w:left w:w="15" w:type="dxa"/>
              <w:bottom w:w="0" w:type="dxa"/>
              <w:right w:w="15" w:type="dxa"/>
            </w:tcMar>
            <w:vAlign w:val="center"/>
          </w:tcPr>
          <w:p w14:paraId="4C413D32" w14:textId="77777777" w:rsidR="002E474C" w:rsidRDefault="00000000">
            <w:pPr>
              <w:pStyle w:val="A-"/>
            </w:pPr>
            <w:r>
              <w:t>0.15</w:t>
            </w:r>
          </w:p>
        </w:tc>
        <w:tc>
          <w:tcPr>
            <w:tcW w:w="493" w:type="pct"/>
            <w:shd w:val="clear" w:color="auto" w:fill="auto"/>
            <w:noWrap/>
            <w:tcMar>
              <w:top w:w="15" w:type="dxa"/>
              <w:left w:w="15" w:type="dxa"/>
              <w:bottom w:w="0" w:type="dxa"/>
              <w:right w:w="15" w:type="dxa"/>
            </w:tcMar>
            <w:vAlign w:val="center"/>
          </w:tcPr>
          <w:p w14:paraId="7DD57F34" w14:textId="77777777" w:rsidR="002E474C" w:rsidRDefault="00000000">
            <w:pPr>
              <w:pStyle w:val="A-"/>
            </w:pPr>
            <w:r>
              <w:t>0.00</w:t>
            </w:r>
          </w:p>
        </w:tc>
        <w:tc>
          <w:tcPr>
            <w:tcW w:w="700" w:type="pct"/>
            <w:shd w:val="clear" w:color="auto" w:fill="auto"/>
            <w:noWrap/>
            <w:tcMar>
              <w:top w:w="15" w:type="dxa"/>
              <w:left w:w="15" w:type="dxa"/>
              <w:bottom w:w="0" w:type="dxa"/>
              <w:right w:w="15" w:type="dxa"/>
            </w:tcMar>
            <w:vAlign w:val="center"/>
          </w:tcPr>
          <w:p w14:paraId="027DD825" w14:textId="77777777" w:rsidR="002E474C" w:rsidRDefault="00000000">
            <w:pPr>
              <w:pStyle w:val="A-"/>
            </w:pPr>
            <w:r>
              <w:t>4×10</w:t>
            </w:r>
            <w:r>
              <w:rPr>
                <w:vertAlign w:val="superscript"/>
              </w:rPr>
              <w:t>-5</w:t>
            </w:r>
            <w:r>
              <w:t>mg/kg</w:t>
            </w:r>
          </w:p>
        </w:tc>
        <w:tc>
          <w:tcPr>
            <w:tcW w:w="309" w:type="pct"/>
            <w:shd w:val="clear" w:color="auto" w:fill="auto"/>
            <w:noWrap/>
            <w:tcMar>
              <w:top w:w="15" w:type="dxa"/>
              <w:left w:w="15" w:type="dxa"/>
              <w:bottom w:w="0" w:type="dxa"/>
              <w:right w:w="15" w:type="dxa"/>
            </w:tcMar>
            <w:vAlign w:val="center"/>
          </w:tcPr>
          <w:p w14:paraId="30D9A66F" w14:textId="77777777" w:rsidR="002E474C" w:rsidRDefault="00000000">
            <w:pPr>
              <w:pStyle w:val="A-"/>
            </w:pPr>
            <w:r>
              <w:t>达标</w:t>
            </w:r>
          </w:p>
        </w:tc>
      </w:tr>
      <w:tr w:rsidR="002E474C" w14:paraId="3AFF4D8D" w14:textId="77777777">
        <w:tc>
          <w:tcPr>
            <w:tcW w:w="480" w:type="pct"/>
            <w:shd w:val="clear" w:color="auto" w:fill="auto"/>
            <w:noWrap/>
            <w:tcMar>
              <w:top w:w="15" w:type="dxa"/>
              <w:left w:w="15" w:type="dxa"/>
              <w:bottom w:w="0" w:type="dxa"/>
              <w:right w:w="15" w:type="dxa"/>
            </w:tcMar>
            <w:vAlign w:val="center"/>
          </w:tcPr>
          <w:p w14:paraId="38A2C172" w14:textId="77777777" w:rsidR="002E474C" w:rsidRDefault="00000000">
            <w:pPr>
              <w:pStyle w:val="A-"/>
            </w:pPr>
            <w:r>
              <w:t>pH</w:t>
            </w:r>
            <w:r>
              <w:t>值</w:t>
            </w:r>
          </w:p>
        </w:tc>
        <w:tc>
          <w:tcPr>
            <w:tcW w:w="576" w:type="pct"/>
            <w:shd w:val="clear" w:color="auto" w:fill="auto"/>
            <w:noWrap/>
            <w:tcMar>
              <w:top w:w="15" w:type="dxa"/>
              <w:left w:w="15" w:type="dxa"/>
              <w:bottom w:w="0" w:type="dxa"/>
              <w:right w:w="15" w:type="dxa"/>
            </w:tcMar>
            <w:vAlign w:val="center"/>
          </w:tcPr>
          <w:p w14:paraId="56E3F1E1" w14:textId="77777777" w:rsidR="002E474C" w:rsidRDefault="00000000">
            <w:pPr>
              <w:pStyle w:val="A-"/>
            </w:pPr>
            <w:r>
              <w:t>无量纲</w:t>
            </w:r>
          </w:p>
        </w:tc>
        <w:tc>
          <w:tcPr>
            <w:tcW w:w="463" w:type="pct"/>
            <w:shd w:val="clear" w:color="auto" w:fill="auto"/>
            <w:noWrap/>
            <w:tcMar>
              <w:top w:w="15" w:type="dxa"/>
              <w:left w:w="15" w:type="dxa"/>
              <w:bottom w:w="0" w:type="dxa"/>
              <w:right w:w="15" w:type="dxa"/>
            </w:tcMar>
            <w:vAlign w:val="center"/>
          </w:tcPr>
          <w:p w14:paraId="01C318D0" w14:textId="77777777" w:rsidR="002E474C" w:rsidRDefault="00000000">
            <w:pPr>
              <w:pStyle w:val="A-"/>
            </w:pPr>
            <w:r>
              <w:t>8.03</w:t>
            </w:r>
          </w:p>
        </w:tc>
        <w:tc>
          <w:tcPr>
            <w:tcW w:w="493" w:type="pct"/>
            <w:shd w:val="clear" w:color="auto" w:fill="auto"/>
            <w:noWrap/>
            <w:tcMar>
              <w:top w:w="15" w:type="dxa"/>
              <w:left w:w="15" w:type="dxa"/>
              <w:bottom w:w="0" w:type="dxa"/>
              <w:right w:w="15" w:type="dxa"/>
            </w:tcMar>
            <w:vAlign w:val="center"/>
          </w:tcPr>
          <w:p w14:paraId="349B8F66" w14:textId="77777777" w:rsidR="002E474C" w:rsidRDefault="00000000">
            <w:pPr>
              <w:pStyle w:val="A-"/>
            </w:pPr>
            <w:r>
              <w:t>/</w:t>
            </w:r>
          </w:p>
        </w:tc>
        <w:tc>
          <w:tcPr>
            <w:tcW w:w="493" w:type="pct"/>
            <w:shd w:val="clear" w:color="auto" w:fill="auto"/>
            <w:noWrap/>
            <w:tcMar>
              <w:top w:w="15" w:type="dxa"/>
              <w:left w:w="15" w:type="dxa"/>
              <w:bottom w:w="0" w:type="dxa"/>
              <w:right w:w="15" w:type="dxa"/>
            </w:tcMar>
            <w:vAlign w:val="center"/>
          </w:tcPr>
          <w:p w14:paraId="4ED8F97F" w14:textId="77777777" w:rsidR="002E474C" w:rsidRDefault="00000000">
            <w:pPr>
              <w:pStyle w:val="A-"/>
            </w:pPr>
            <w:r>
              <w:t>8.44</w:t>
            </w:r>
          </w:p>
        </w:tc>
        <w:tc>
          <w:tcPr>
            <w:tcW w:w="493" w:type="pct"/>
            <w:shd w:val="clear" w:color="auto" w:fill="auto"/>
            <w:noWrap/>
            <w:tcMar>
              <w:top w:w="15" w:type="dxa"/>
              <w:left w:w="15" w:type="dxa"/>
              <w:bottom w:w="0" w:type="dxa"/>
              <w:right w:w="15" w:type="dxa"/>
            </w:tcMar>
            <w:vAlign w:val="center"/>
          </w:tcPr>
          <w:p w14:paraId="74E86BE1" w14:textId="77777777" w:rsidR="002E474C" w:rsidRDefault="00000000">
            <w:pPr>
              <w:pStyle w:val="A-"/>
            </w:pPr>
            <w:r>
              <w:t>/</w:t>
            </w:r>
          </w:p>
        </w:tc>
        <w:tc>
          <w:tcPr>
            <w:tcW w:w="493" w:type="pct"/>
            <w:shd w:val="clear" w:color="auto" w:fill="auto"/>
            <w:noWrap/>
            <w:tcMar>
              <w:top w:w="15" w:type="dxa"/>
              <w:left w:w="15" w:type="dxa"/>
              <w:bottom w:w="0" w:type="dxa"/>
              <w:right w:w="15" w:type="dxa"/>
            </w:tcMar>
            <w:vAlign w:val="center"/>
          </w:tcPr>
          <w:p w14:paraId="137F826A" w14:textId="77777777" w:rsidR="002E474C" w:rsidRDefault="00000000">
            <w:pPr>
              <w:pStyle w:val="A-"/>
            </w:pPr>
            <w:r>
              <w:t>8.07</w:t>
            </w:r>
          </w:p>
        </w:tc>
        <w:tc>
          <w:tcPr>
            <w:tcW w:w="493" w:type="pct"/>
            <w:shd w:val="clear" w:color="auto" w:fill="auto"/>
            <w:noWrap/>
            <w:tcMar>
              <w:top w:w="15" w:type="dxa"/>
              <w:left w:w="15" w:type="dxa"/>
              <w:bottom w:w="0" w:type="dxa"/>
              <w:right w:w="15" w:type="dxa"/>
            </w:tcMar>
            <w:vAlign w:val="center"/>
          </w:tcPr>
          <w:p w14:paraId="1DBAD0BC" w14:textId="77777777" w:rsidR="002E474C" w:rsidRDefault="00000000">
            <w:pPr>
              <w:pStyle w:val="A-"/>
            </w:pPr>
            <w:r>
              <w:t>/</w:t>
            </w:r>
          </w:p>
        </w:tc>
        <w:tc>
          <w:tcPr>
            <w:tcW w:w="700" w:type="pct"/>
            <w:shd w:val="clear" w:color="auto" w:fill="auto"/>
            <w:noWrap/>
            <w:tcMar>
              <w:top w:w="15" w:type="dxa"/>
              <w:left w:w="15" w:type="dxa"/>
              <w:bottom w:w="0" w:type="dxa"/>
              <w:right w:w="15" w:type="dxa"/>
            </w:tcMar>
            <w:vAlign w:val="center"/>
          </w:tcPr>
          <w:p w14:paraId="22E686ED" w14:textId="77777777" w:rsidR="002E474C" w:rsidRDefault="00000000">
            <w:pPr>
              <w:pStyle w:val="A-"/>
            </w:pPr>
            <w:r>
              <w:t>/</w:t>
            </w:r>
          </w:p>
        </w:tc>
        <w:tc>
          <w:tcPr>
            <w:tcW w:w="309" w:type="pct"/>
            <w:shd w:val="clear" w:color="auto" w:fill="auto"/>
            <w:noWrap/>
            <w:tcMar>
              <w:top w:w="15" w:type="dxa"/>
              <w:left w:w="15" w:type="dxa"/>
              <w:bottom w:w="0" w:type="dxa"/>
              <w:right w:w="15" w:type="dxa"/>
            </w:tcMar>
            <w:vAlign w:val="center"/>
          </w:tcPr>
          <w:p w14:paraId="00D308A5" w14:textId="77777777" w:rsidR="002E474C" w:rsidRDefault="00000000">
            <w:pPr>
              <w:pStyle w:val="A-"/>
            </w:pPr>
            <w:r>
              <w:t>/</w:t>
            </w:r>
          </w:p>
        </w:tc>
      </w:tr>
    </w:tbl>
    <w:p w14:paraId="6F4EE91F" w14:textId="77777777" w:rsidR="002E474C" w:rsidRDefault="00000000">
      <w:pPr>
        <w:pStyle w:val="A-"/>
      </w:pPr>
      <w:r>
        <w:rPr>
          <w:lang w:val="zh-CN"/>
        </w:rPr>
        <w:t>注：</w:t>
      </w:r>
      <w:r>
        <w:rPr>
          <w:lang w:val="zh-CN"/>
        </w:rPr>
        <w:t>“</w:t>
      </w:r>
      <w:r>
        <w:rPr>
          <w:lang w:val="zh-CN"/>
        </w:rPr>
        <w:t>＜</w:t>
      </w:r>
      <w:r>
        <w:rPr>
          <w:lang w:val="zh-CN"/>
        </w:rPr>
        <w:t>”</w:t>
      </w:r>
      <w:r>
        <w:rPr>
          <w:lang w:val="zh-CN"/>
        </w:rPr>
        <w:t>表示浓度低于方法检出限，其数值为该项目的检出限。</w:t>
      </w:r>
    </w:p>
    <w:p w14:paraId="415239D5" w14:textId="77777777" w:rsidR="002E474C" w:rsidRDefault="002E474C"/>
    <w:p w14:paraId="0A8165B1" w14:textId="77777777" w:rsidR="002E474C" w:rsidRDefault="00000000">
      <w:pPr>
        <w:pStyle w:val="A-z"/>
        <w:rPr>
          <w:color w:val="auto"/>
        </w:rPr>
      </w:pPr>
      <w:r>
        <w:rPr>
          <w:color w:val="auto"/>
        </w:rPr>
        <w:t>由监测结果可知，各监测点各监测因子均满足《土壤环境质量</w:t>
      </w:r>
      <w:r>
        <w:rPr>
          <w:color w:val="auto"/>
        </w:rPr>
        <w:t xml:space="preserve"> </w:t>
      </w:r>
      <w:r>
        <w:rPr>
          <w:color w:val="auto"/>
        </w:rPr>
        <w:t>建设用地土壤污染风险管控标准（试行）》（</w:t>
      </w:r>
      <w:r>
        <w:rPr>
          <w:color w:val="auto"/>
        </w:rPr>
        <w:t>GB36600-2018</w:t>
      </w:r>
      <w:r>
        <w:rPr>
          <w:color w:val="auto"/>
        </w:rPr>
        <w:t>）筛选值。</w:t>
      </w:r>
    </w:p>
    <w:p w14:paraId="2126EB74" w14:textId="77777777" w:rsidR="002E474C" w:rsidRDefault="00000000">
      <w:pPr>
        <w:pStyle w:val="31"/>
        <w:spacing w:before="120" w:after="120"/>
        <w:rPr>
          <w:color w:val="auto"/>
        </w:rPr>
      </w:pPr>
      <w:r>
        <w:rPr>
          <w:color w:val="auto"/>
        </w:rPr>
        <w:t>生态环境质量现状调查与评价</w:t>
      </w:r>
      <w:r>
        <w:rPr>
          <w:color w:val="auto"/>
        </w:rPr>
        <w:tab/>
      </w:r>
    </w:p>
    <w:p w14:paraId="6D2384CC" w14:textId="77777777" w:rsidR="002E474C" w:rsidRDefault="00000000">
      <w:pPr>
        <w:pStyle w:val="A-z"/>
        <w:rPr>
          <w:color w:val="auto"/>
        </w:rPr>
      </w:pPr>
      <w:r>
        <w:rPr>
          <w:color w:val="auto"/>
        </w:rPr>
        <w:t>（</w:t>
      </w:r>
      <w:r>
        <w:rPr>
          <w:color w:val="auto"/>
        </w:rPr>
        <w:t>1</w:t>
      </w:r>
      <w:r>
        <w:rPr>
          <w:color w:val="auto"/>
        </w:rPr>
        <w:t>）生态环境功能区划</w:t>
      </w:r>
    </w:p>
    <w:p w14:paraId="06AA8724" w14:textId="77777777" w:rsidR="002E474C" w:rsidRDefault="00000000">
      <w:pPr>
        <w:pStyle w:val="A-z"/>
        <w:rPr>
          <w:color w:val="auto"/>
        </w:rPr>
      </w:pPr>
      <w:r>
        <w:rPr>
          <w:color w:val="auto"/>
        </w:rPr>
        <w:lastRenderedPageBreak/>
        <w:t>根据《新疆生态功能区划》，项目所在区域属</w:t>
      </w:r>
      <w:r>
        <w:rPr>
          <w:color w:val="auto"/>
          <w:lang w:val="en-US"/>
        </w:rPr>
        <w:t>天山山地温性草原、森林生态区</w:t>
      </w:r>
      <w:r>
        <w:rPr>
          <w:color w:val="auto"/>
        </w:rPr>
        <w:t>，</w:t>
      </w:r>
      <w:r>
        <w:rPr>
          <w:color w:val="auto"/>
          <w:lang w:val="en-US"/>
        </w:rPr>
        <w:t>天山南坡草原牧业、绿洲农业生态亚区，觉罗塔格</w:t>
      </w:r>
      <w:r>
        <w:rPr>
          <w:color w:val="auto"/>
          <w:lang w:val="en-US"/>
        </w:rPr>
        <w:t>—</w:t>
      </w:r>
      <w:r>
        <w:rPr>
          <w:color w:val="auto"/>
          <w:lang w:val="en-US"/>
        </w:rPr>
        <w:t>库鲁克塔格山矿业开发、植被保护生态功能区</w:t>
      </w:r>
      <w:r>
        <w:rPr>
          <w:color w:val="auto"/>
        </w:rPr>
        <w:t>，具体见表</w:t>
      </w:r>
      <w:r>
        <w:rPr>
          <w:color w:val="auto"/>
        </w:rPr>
        <w:t>4.3-12</w:t>
      </w:r>
      <w:r>
        <w:rPr>
          <w:color w:val="auto"/>
        </w:rPr>
        <w:t>及图</w:t>
      </w:r>
      <w:r>
        <w:rPr>
          <w:color w:val="auto"/>
        </w:rPr>
        <w:t>4.3-3</w:t>
      </w:r>
      <w:r>
        <w:rPr>
          <w:color w:val="auto"/>
        </w:rPr>
        <w:t>。</w:t>
      </w:r>
    </w:p>
    <w:p w14:paraId="570F1B76" w14:textId="77777777" w:rsidR="002E474C" w:rsidRDefault="00000000">
      <w:pPr>
        <w:pStyle w:val="A--"/>
        <w:rPr>
          <w:color w:val="auto"/>
        </w:rPr>
      </w:pPr>
      <w:r>
        <w:rPr>
          <w:color w:val="auto"/>
        </w:rPr>
        <w:t>表</w:t>
      </w:r>
      <w:r>
        <w:rPr>
          <w:color w:val="auto"/>
        </w:rPr>
        <w:t xml:space="preserve">4.3-12  </w:t>
      </w:r>
      <w:r>
        <w:rPr>
          <w:color w:val="auto"/>
        </w:rPr>
        <w:t>项目区生态功能区划简表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219"/>
      </w:tblGrid>
      <w:tr w:rsidR="002E474C" w14:paraId="6F18078C" w14:textId="77777777">
        <w:trPr>
          <w:jc w:val="center"/>
        </w:trPr>
        <w:tc>
          <w:tcPr>
            <w:tcW w:w="1252" w:type="pct"/>
            <w:vAlign w:val="center"/>
          </w:tcPr>
          <w:p w14:paraId="799D5E39" w14:textId="77777777" w:rsidR="002E474C" w:rsidRDefault="00000000">
            <w:pPr>
              <w:pStyle w:val="A-"/>
            </w:pPr>
            <w:r>
              <w:t>项</w:t>
            </w:r>
            <w:r>
              <w:t xml:space="preserve">  </w:t>
            </w:r>
            <w:r>
              <w:t>目</w:t>
            </w:r>
          </w:p>
        </w:tc>
        <w:tc>
          <w:tcPr>
            <w:tcW w:w="3748" w:type="pct"/>
            <w:vAlign w:val="center"/>
          </w:tcPr>
          <w:p w14:paraId="2534A12D" w14:textId="77777777" w:rsidR="002E474C" w:rsidRDefault="00000000">
            <w:pPr>
              <w:pStyle w:val="A-"/>
            </w:pPr>
            <w:r>
              <w:t>区</w:t>
            </w:r>
            <w:r>
              <w:t xml:space="preserve">  </w:t>
            </w:r>
            <w:r>
              <w:t>划</w:t>
            </w:r>
          </w:p>
        </w:tc>
      </w:tr>
      <w:tr w:rsidR="002E474C" w14:paraId="308220A3" w14:textId="77777777">
        <w:trPr>
          <w:jc w:val="center"/>
        </w:trPr>
        <w:tc>
          <w:tcPr>
            <w:tcW w:w="1252" w:type="pct"/>
            <w:vAlign w:val="center"/>
          </w:tcPr>
          <w:p w14:paraId="07E67BA7" w14:textId="77777777" w:rsidR="002E474C" w:rsidRDefault="00000000">
            <w:pPr>
              <w:pStyle w:val="A-"/>
            </w:pPr>
            <w:r>
              <w:t>生态区</w:t>
            </w:r>
          </w:p>
        </w:tc>
        <w:tc>
          <w:tcPr>
            <w:tcW w:w="3748" w:type="pct"/>
            <w:vAlign w:val="center"/>
          </w:tcPr>
          <w:p w14:paraId="30225776" w14:textId="77777777" w:rsidR="002E474C" w:rsidRDefault="00000000">
            <w:pPr>
              <w:pStyle w:val="A-"/>
            </w:pPr>
            <w:r>
              <w:t xml:space="preserve">Ⅲ </w:t>
            </w:r>
            <w:r>
              <w:t>天山山地温性草原、森林生态区</w:t>
            </w:r>
          </w:p>
        </w:tc>
      </w:tr>
      <w:tr w:rsidR="002E474C" w14:paraId="57937DD2" w14:textId="77777777">
        <w:trPr>
          <w:jc w:val="center"/>
        </w:trPr>
        <w:tc>
          <w:tcPr>
            <w:tcW w:w="1252" w:type="pct"/>
            <w:vAlign w:val="center"/>
          </w:tcPr>
          <w:p w14:paraId="0B2ACDBB" w14:textId="77777777" w:rsidR="002E474C" w:rsidRDefault="00000000">
            <w:pPr>
              <w:pStyle w:val="A-"/>
            </w:pPr>
            <w:r>
              <w:t>生态亚区</w:t>
            </w:r>
          </w:p>
        </w:tc>
        <w:tc>
          <w:tcPr>
            <w:tcW w:w="3748" w:type="pct"/>
            <w:vAlign w:val="center"/>
          </w:tcPr>
          <w:p w14:paraId="04234179" w14:textId="77777777" w:rsidR="002E474C" w:rsidRDefault="00000000">
            <w:pPr>
              <w:pStyle w:val="A-"/>
            </w:pPr>
            <w:r>
              <w:rPr>
                <w:b/>
              </w:rPr>
              <w:t>Ⅲ</w:t>
            </w:r>
            <w:r>
              <w:rPr>
                <w:b/>
                <w:vertAlign w:val="subscript"/>
              </w:rPr>
              <w:t>3</w:t>
            </w:r>
            <w:r>
              <w:t>天山南坡草原牧业、绿洲农业生态亚区</w:t>
            </w:r>
          </w:p>
        </w:tc>
      </w:tr>
      <w:tr w:rsidR="002E474C" w14:paraId="3841CE97" w14:textId="77777777">
        <w:trPr>
          <w:jc w:val="center"/>
        </w:trPr>
        <w:tc>
          <w:tcPr>
            <w:tcW w:w="1252" w:type="pct"/>
            <w:vAlign w:val="center"/>
          </w:tcPr>
          <w:p w14:paraId="504ECA56" w14:textId="77777777" w:rsidR="002E474C" w:rsidRDefault="00000000">
            <w:pPr>
              <w:pStyle w:val="A-"/>
            </w:pPr>
            <w:r>
              <w:t>生态功能区</w:t>
            </w:r>
          </w:p>
        </w:tc>
        <w:tc>
          <w:tcPr>
            <w:tcW w:w="3748" w:type="pct"/>
            <w:vAlign w:val="center"/>
          </w:tcPr>
          <w:p w14:paraId="79B53867" w14:textId="77777777" w:rsidR="002E474C" w:rsidRDefault="00000000">
            <w:pPr>
              <w:pStyle w:val="A-"/>
            </w:pPr>
            <w:r>
              <w:t>48.</w:t>
            </w:r>
            <w:r>
              <w:t>觉罗塔格</w:t>
            </w:r>
            <w:r>
              <w:t>—</w:t>
            </w:r>
            <w:r>
              <w:t>库鲁克塔格山矿业开发、植被保护生态功能区</w:t>
            </w:r>
          </w:p>
        </w:tc>
      </w:tr>
      <w:tr w:rsidR="002E474C" w14:paraId="02307C91" w14:textId="77777777">
        <w:trPr>
          <w:jc w:val="center"/>
        </w:trPr>
        <w:tc>
          <w:tcPr>
            <w:tcW w:w="1252" w:type="pct"/>
            <w:vAlign w:val="center"/>
          </w:tcPr>
          <w:p w14:paraId="4F9F4468" w14:textId="77777777" w:rsidR="002E474C" w:rsidRDefault="00000000">
            <w:pPr>
              <w:pStyle w:val="A-"/>
            </w:pPr>
            <w:r>
              <w:t>主要生态服务功能</w:t>
            </w:r>
          </w:p>
        </w:tc>
        <w:tc>
          <w:tcPr>
            <w:tcW w:w="3748" w:type="pct"/>
            <w:vAlign w:val="center"/>
          </w:tcPr>
          <w:p w14:paraId="2C10238C" w14:textId="77777777" w:rsidR="002E474C" w:rsidRDefault="00000000">
            <w:pPr>
              <w:pStyle w:val="A-"/>
            </w:pPr>
            <w:r>
              <w:t>荒漠化控制、矿产资源开发</w:t>
            </w:r>
          </w:p>
        </w:tc>
      </w:tr>
      <w:tr w:rsidR="002E474C" w14:paraId="3C959C24" w14:textId="77777777">
        <w:trPr>
          <w:jc w:val="center"/>
        </w:trPr>
        <w:tc>
          <w:tcPr>
            <w:tcW w:w="1252" w:type="pct"/>
            <w:vAlign w:val="center"/>
          </w:tcPr>
          <w:p w14:paraId="19277DD3" w14:textId="77777777" w:rsidR="002E474C" w:rsidRDefault="00000000">
            <w:pPr>
              <w:pStyle w:val="A-"/>
            </w:pPr>
            <w:r>
              <w:t>主要生态环境问题</w:t>
            </w:r>
          </w:p>
        </w:tc>
        <w:tc>
          <w:tcPr>
            <w:tcW w:w="3748" w:type="pct"/>
            <w:vAlign w:val="center"/>
          </w:tcPr>
          <w:p w14:paraId="1B12D582" w14:textId="77777777" w:rsidR="002E474C" w:rsidRDefault="00000000">
            <w:pPr>
              <w:pStyle w:val="A-"/>
            </w:pPr>
            <w:r>
              <w:t>荒漠植被破坏、地貌破坏</w:t>
            </w:r>
          </w:p>
        </w:tc>
      </w:tr>
      <w:tr w:rsidR="002E474C" w14:paraId="6235ABC6" w14:textId="77777777">
        <w:trPr>
          <w:jc w:val="center"/>
        </w:trPr>
        <w:tc>
          <w:tcPr>
            <w:tcW w:w="1252" w:type="pct"/>
            <w:vAlign w:val="center"/>
          </w:tcPr>
          <w:p w14:paraId="5293E898" w14:textId="77777777" w:rsidR="002E474C" w:rsidRDefault="00000000">
            <w:pPr>
              <w:pStyle w:val="A-"/>
            </w:pPr>
            <w:r>
              <w:t>主要生态敏感因子、敏感程度</w:t>
            </w:r>
          </w:p>
        </w:tc>
        <w:tc>
          <w:tcPr>
            <w:tcW w:w="3748" w:type="pct"/>
            <w:vAlign w:val="center"/>
          </w:tcPr>
          <w:p w14:paraId="0F4EEF0E" w14:textId="77777777" w:rsidR="002E474C" w:rsidRDefault="00000000">
            <w:pPr>
              <w:pStyle w:val="A-"/>
            </w:pPr>
            <w:r>
              <w:t>土壤侵蚀高度敏感，土地沙漠化轻度敏感</w:t>
            </w:r>
          </w:p>
        </w:tc>
      </w:tr>
      <w:tr w:rsidR="002E474C" w14:paraId="0328EA78" w14:textId="77777777">
        <w:trPr>
          <w:jc w:val="center"/>
        </w:trPr>
        <w:tc>
          <w:tcPr>
            <w:tcW w:w="1252" w:type="pct"/>
            <w:vAlign w:val="center"/>
          </w:tcPr>
          <w:p w14:paraId="400BB3E8" w14:textId="77777777" w:rsidR="002E474C" w:rsidRDefault="00000000">
            <w:pPr>
              <w:pStyle w:val="A-"/>
            </w:pPr>
            <w:r>
              <w:t>主要保护目标</w:t>
            </w:r>
          </w:p>
        </w:tc>
        <w:tc>
          <w:tcPr>
            <w:tcW w:w="3748" w:type="pct"/>
            <w:vAlign w:val="center"/>
          </w:tcPr>
          <w:p w14:paraId="1C01911E" w14:textId="77777777" w:rsidR="002E474C" w:rsidRDefault="00000000">
            <w:pPr>
              <w:pStyle w:val="A-"/>
            </w:pPr>
            <w:r>
              <w:t>保护荒漠植被、保护野骆驼等野生动物</w:t>
            </w:r>
          </w:p>
        </w:tc>
      </w:tr>
      <w:tr w:rsidR="002E474C" w14:paraId="58BB0D7D" w14:textId="77777777">
        <w:trPr>
          <w:jc w:val="center"/>
        </w:trPr>
        <w:tc>
          <w:tcPr>
            <w:tcW w:w="1252" w:type="pct"/>
            <w:vAlign w:val="center"/>
          </w:tcPr>
          <w:p w14:paraId="53B7A468" w14:textId="77777777" w:rsidR="002E474C" w:rsidRDefault="00000000">
            <w:pPr>
              <w:pStyle w:val="A-"/>
            </w:pPr>
            <w:r>
              <w:t>主要保护措施</w:t>
            </w:r>
          </w:p>
        </w:tc>
        <w:tc>
          <w:tcPr>
            <w:tcW w:w="3748" w:type="pct"/>
            <w:vAlign w:val="center"/>
          </w:tcPr>
          <w:p w14:paraId="472B0712" w14:textId="77777777" w:rsidR="002E474C" w:rsidRDefault="00000000">
            <w:pPr>
              <w:pStyle w:val="A-"/>
            </w:pPr>
            <w:r>
              <w:t>加强采矿管理、禁止在野骆驼保护区缓冲区内进行开发活动</w:t>
            </w:r>
          </w:p>
        </w:tc>
      </w:tr>
      <w:tr w:rsidR="002E474C" w14:paraId="59B21DBA" w14:textId="77777777">
        <w:trPr>
          <w:jc w:val="center"/>
        </w:trPr>
        <w:tc>
          <w:tcPr>
            <w:tcW w:w="1252" w:type="pct"/>
            <w:vAlign w:val="center"/>
          </w:tcPr>
          <w:p w14:paraId="1B0146FC" w14:textId="77777777" w:rsidR="002E474C" w:rsidRDefault="00000000">
            <w:pPr>
              <w:pStyle w:val="A-"/>
            </w:pPr>
            <w:r>
              <w:t>适宜发展方向</w:t>
            </w:r>
          </w:p>
        </w:tc>
        <w:tc>
          <w:tcPr>
            <w:tcW w:w="3748" w:type="pct"/>
            <w:vAlign w:val="center"/>
          </w:tcPr>
          <w:p w14:paraId="1B0CEB78" w14:textId="77777777" w:rsidR="002E474C" w:rsidRDefault="00000000">
            <w:pPr>
              <w:pStyle w:val="A-"/>
            </w:pPr>
            <w:r>
              <w:t>维护自然生态环境，合理发展矿业</w:t>
            </w:r>
          </w:p>
        </w:tc>
      </w:tr>
    </w:tbl>
    <w:p w14:paraId="212B5F2F" w14:textId="77777777" w:rsidR="002E474C" w:rsidRDefault="002E474C">
      <w:pPr>
        <w:pStyle w:val="A-z"/>
        <w:rPr>
          <w:color w:val="auto"/>
          <w:lang w:val="en-US"/>
        </w:rPr>
      </w:pPr>
    </w:p>
    <w:p w14:paraId="6740D31D" w14:textId="77777777" w:rsidR="002E474C" w:rsidRDefault="00000000">
      <w:pPr>
        <w:pStyle w:val="A-z"/>
        <w:rPr>
          <w:color w:val="auto"/>
        </w:rPr>
      </w:pPr>
      <w:r>
        <w:rPr>
          <w:color w:val="auto"/>
        </w:rPr>
        <w:t>（</w:t>
      </w:r>
      <w:r>
        <w:rPr>
          <w:color w:val="auto"/>
        </w:rPr>
        <w:t>2</w:t>
      </w:r>
      <w:r>
        <w:rPr>
          <w:color w:val="auto"/>
        </w:rPr>
        <w:t>）植被</w:t>
      </w:r>
    </w:p>
    <w:p w14:paraId="3CEFE849" w14:textId="77777777" w:rsidR="002E474C" w:rsidRDefault="00000000">
      <w:pPr>
        <w:pStyle w:val="A-z"/>
        <w:rPr>
          <w:color w:val="auto"/>
        </w:rPr>
      </w:pPr>
      <w:r>
        <w:rPr>
          <w:color w:val="auto"/>
        </w:rPr>
        <w:t>项目区域为较典型的中</w:t>
      </w:r>
      <w:r>
        <w:rPr>
          <w:color w:val="auto"/>
        </w:rPr>
        <w:t>~</w:t>
      </w:r>
      <w:r>
        <w:rPr>
          <w:color w:val="auto"/>
        </w:rPr>
        <w:t>低山区地形地貌。植被较为稀少，水系不发育，仅在部分冲沟处分布有少量稀疏植被，植被覆盖率＜</w:t>
      </w:r>
      <w:r>
        <w:rPr>
          <w:color w:val="auto"/>
        </w:rPr>
        <w:t xml:space="preserve">1% </w:t>
      </w:r>
      <w:r>
        <w:rPr>
          <w:color w:val="auto"/>
        </w:rPr>
        <w:t>。主要植被有骆驼刺、驼绒藜、短叶假木贼等植物。</w:t>
      </w:r>
    </w:p>
    <w:p w14:paraId="5AAF0FCF" w14:textId="77777777" w:rsidR="002E474C" w:rsidRDefault="00000000">
      <w:pPr>
        <w:pStyle w:val="A-z"/>
        <w:rPr>
          <w:color w:val="auto"/>
        </w:rPr>
      </w:pPr>
      <w:r>
        <w:rPr>
          <w:color w:val="auto"/>
        </w:rPr>
        <w:t>（</w:t>
      </w:r>
      <w:r>
        <w:rPr>
          <w:color w:val="auto"/>
        </w:rPr>
        <w:t>3</w:t>
      </w:r>
      <w:r>
        <w:rPr>
          <w:color w:val="auto"/>
        </w:rPr>
        <w:t>）动物</w:t>
      </w:r>
    </w:p>
    <w:p w14:paraId="08FE697F" w14:textId="77777777" w:rsidR="002E474C" w:rsidRDefault="00000000">
      <w:pPr>
        <w:pStyle w:val="A-z"/>
        <w:rPr>
          <w:color w:val="auto"/>
        </w:rPr>
      </w:pPr>
      <w:r>
        <w:rPr>
          <w:color w:val="auto"/>
        </w:rPr>
        <w:t>项目区域的野生动物属古北界、中亚亚区、天山天地亚区、南天山小区，地表植被稀少，呈现岩漠、砾漠景观。此种地貌及植被特征决定了项目区无大型兽类分布，主要动物为小型耐旱的常见鸟类、哺乳类、爬行类，常见种有麻雀、草兔、小家鼠、黄鼠、蜥蜴等。</w:t>
      </w:r>
    </w:p>
    <w:p w14:paraId="2321D2D4" w14:textId="77777777" w:rsidR="002E474C" w:rsidRDefault="002E474C">
      <w:pPr>
        <w:pStyle w:val="A--"/>
        <w:rPr>
          <w:color w:val="auto"/>
        </w:rPr>
      </w:pPr>
    </w:p>
    <w:p w14:paraId="63A1D080"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51C8B543" w14:textId="77777777" w:rsidR="002E474C" w:rsidRDefault="00000000">
      <w:pPr>
        <w:pStyle w:val="1"/>
        <w:spacing w:before="156" w:after="120"/>
      </w:pPr>
      <w:bookmarkStart w:id="256" w:name="_Toc225848862"/>
      <w:bookmarkStart w:id="257" w:name="_Toc6387"/>
      <w:r>
        <w:lastRenderedPageBreak/>
        <w:t>环境影响预测与评价</w:t>
      </w:r>
      <w:bookmarkEnd w:id="256"/>
      <w:bookmarkEnd w:id="257"/>
    </w:p>
    <w:p w14:paraId="1BDEA15C" w14:textId="77777777" w:rsidR="002E474C" w:rsidRDefault="00000000">
      <w:pPr>
        <w:pStyle w:val="21"/>
        <w:spacing w:before="312" w:after="312"/>
        <w:rPr>
          <w:color w:val="auto"/>
        </w:rPr>
      </w:pPr>
      <w:bookmarkStart w:id="258" w:name="_Toc18223"/>
      <w:bookmarkStart w:id="259" w:name="_Toc225848863"/>
      <w:r>
        <w:rPr>
          <w:color w:val="auto"/>
        </w:rPr>
        <w:t>大气环境影响预测与评价</w:t>
      </w:r>
      <w:bookmarkEnd w:id="258"/>
      <w:bookmarkEnd w:id="259"/>
    </w:p>
    <w:p w14:paraId="6220FD52" w14:textId="77777777" w:rsidR="002E474C" w:rsidRDefault="00000000">
      <w:pPr>
        <w:pStyle w:val="31"/>
        <w:spacing w:before="156" w:after="156"/>
        <w:rPr>
          <w:color w:val="auto"/>
        </w:rPr>
      </w:pPr>
      <w:r>
        <w:rPr>
          <w:rFonts w:hint="eastAsia"/>
          <w:color w:val="auto"/>
          <w:lang w:val="en-US"/>
        </w:rPr>
        <w:t>危险废物识别标志设置技术规范</w:t>
      </w:r>
    </w:p>
    <w:p w14:paraId="46E10DFA" w14:textId="77777777" w:rsidR="002E474C" w:rsidRDefault="00000000">
      <w:pPr>
        <w:pStyle w:val="31"/>
        <w:spacing w:before="156" w:after="156"/>
        <w:rPr>
          <w:color w:val="auto"/>
        </w:rPr>
      </w:pPr>
      <w:r>
        <w:rPr>
          <w:color w:val="auto"/>
        </w:rPr>
        <w:t>气象特征分析</w:t>
      </w:r>
    </w:p>
    <w:p w14:paraId="42E21B91" w14:textId="77777777" w:rsidR="002E474C" w:rsidRDefault="00000000">
      <w:pPr>
        <w:pStyle w:val="41"/>
        <w:spacing w:before="156" w:after="156"/>
        <w:rPr>
          <w:b w:val="0"/>
          <w:color w:val="auto"/>
        </w:rPr>
      </w:pPr>
      <w:r>
        <w:rPr>
          <w:color w:val="auto"/>
        </w:rPr>
        <w:t>近</w:t>
      </w:r>
      <w:r>
        <w:rPr>
          <w:color w:val="auto"/>
        </w:rPr>
        <w:t>20</w:t>
      </w:r>
      <w:r>
        <w:rPr>
          <w:color w:val="auto"/>
        </w:rPr>
        <w:t>年气象统计资料</w:t>
      </w:r>
    </w:p>
    <w:p w14:paraId="77486B28" w14:textId="77777777" w:rsidR="002E474C" w:rsidRDefault="00000000">
      <w:pPr>
        <w:pStyle w:val="A-z"/>
        <w:rPr>
          <w:color w:val="auto"/>
        </w:rPr>
      </w:pPr>
      <w:bookmarkStart w:id="260" w:name="_Hlk151205491"/>
      <w:r>
        <w:rPr>
          <w:color w:val="auto"/>
        </w:rPr>
        <w:t>本项目位于托克逊县阿乐惠镇，</w:t>
      </w:r>
      <w:r>
        <w:rPr>
          <w:color w:val="auto"/>
          <w:lang w:val="en-US"/>
        </w:rPr>
        <w:t>区域长期气象资料采用</w:t>
      </w:r>
      <w:r>
        <w:rPr>
          <w:color w:val="auto"/>
        </w:rPr>
        <w:t>国家基本气象站</w:t>
      </w:r>
      <w:r>
        <w:rPr>
          <w:color w:val="auto"/>
          <w:lang w:val="en-US"/>
        </w:rPr>
        <w:t>吐鲁番市气象观测站</w:t>
      </w:r>
      <w:r>
        <w:rPr>
          <w:color w:val="auto"/>
          <w:lang w:val="en-US"/>
        </w:rPr>
        <w:t>2005-2024</w:t>
      </w:r>
      <w:r>
        <w:rPr>
          <w:color w:val="auto"/>
          <w:lang w:val="en-US"/>
        </w:rPr>
        <w:t>年近</w:t>
      </w:r>
      <w:r>
        <w:rPr>
          <w:color w:val="auto"/>
          <w:lang w:val="en-US"/>
        </w:rPr>
        <w:t>20</w:t>
      </w:r>
      <w:r>
        <w:rPr>
          <w:color w:val="auto"/>
          <w:lang w:val="en-US"/>
        </w:rPr>
        <w:t>年的气象统计数据。</w:t>
      </w:r>
      <w:bookmarkEnd w:id="260"/>
      <w:r>
        <w:rPr>
          <w:color w:val="auto"/>
          <w:lang w:val="en-US"/>
        </w:rPr>
        <w:t>长期</w:t>
      </w:r>
      <w:r>
        <w:rPr>
          <w:color w:val="auto"/>
        </w:rPr>
        <w:t>气象统计数据，详见表</w:t>
      </w:r>
      <w:r>
        <w:rPr>
          <w:color w:val="auto"/>
        </w:rPr>
        <w:t>5.1</w:t>
      </w:r>
      <w:r>
        <w:rPr>
          <w:color w:val="auto"/>
        </w:rPr>
        <w:noBreakHyphen/>
        <w:t>1</w:t>
      </w:r>
      <w:r>
        <w:rPr>
          <w:color w:val="auto"/>
        </w:rPr>
        <w:t>。</w:t>
      </w:r>
    </w:p>
    <w:p w14:paraId="3043C36F" w14:textId="77777777" w:rsidR="002E474C" w:rsidRDefault="00000000">
      <w:pPr>
        <w:pStyle w:val="A--"/>
        <w:spacing w:before="156"/>
        <w:rPr>
          <w:color w:val="auto"/>
        </w:rPr>
      </w:pPr>
      <w:bookmarkStart w:id="261" w:name="_Ref147921184"/>
      <w:r>
        <w:rPr>
          <w:color w:val="auto"/>
        </w:rPr>
        <w:t>表</w:t>
      </w:r>
      <w:r>
        <w:rPr>
          <w:color w:val="auto"/>
        </w:rPr>
        <w:t>5.1</w:t>
      </w:r>
      <w:r>
        <w:rPr>
          <w:color w:val="auto"/>
        </w:rPr>
        <w:noBreakHyphen/>
      </w:r>
      <w:bookmarkEnd w:id="261"/>
      <w:r>
        <w:rPr>
          <w:color w:val="auto"/>
        </w:rPr>
        <w:t xml:space="preserve">1     </w:t>
      </w:r>
      <w:r>
        <w:rPr>
          <w:color w:val="auto"/>
        </w:rPr>
        <w:t>吐鲁番市气象观测站近</w:t>
      </w:r>
      <w:r>
        <w:rPr>
          <w:color w:val="auto"/>
        </w:rPr>
        <w:t>20</w:t>
      </w:r>
      <w:r>
        <w:rPr>
          <w:color w:val="auto"/>
        </w:rPr>
        <w:t>年气象统计数据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248"/>
        <w:gridCol w:w="1659"/>
        <w:gridCol w:w="1659"/>
        <w:gridCol w:w="1656"/>
      </w:tblGrid>
      <w:tr w:rsidR="002E474C" w14:paraId="10988FE5" w14:textId="77777777">
        <w:trPr>
          <w:trHeight w:val="340"/>
          <w:jc w:val="center"/>
        </w:trPr>
        <w:tc>
          <w:tcPr>
            <w:tcW w:w="2001" w:type="pct"/>
            <w:gridSpan w:val="2"/>
            <w:vAlign w:val="center"/>
          </w:tcPr>
          <w:p w14:paraId="32AD545D" w14:textId="77777777" w:rsidR="002E474C" w:rsidRDefault="00000000">
            <w:pPr>
              <w:pStyle w:val="A-"/>
            </w:pPr>
            <w:r>
              <w:t>统计项目</w:t>
            </w:r>
          </w:p>
        </w:tc>
        <w:tc>
          <w:tcPr>
            <w:tcW w:w="1000" w:type="pct"/>
            <w:vAlign w:val="center"/>
          </w:tcPr>
          <w:p w14:paraId="3E8A41DC" w14:textId="77777777" w:rsidR="002E474C" w:rsidRDefault="00000000">
            <w:pPr>
              <w:pStyle w:val="A-"/>
            </w:pPr>
            <w:r>
              <w:t>统计值</w:t>
            </w:r>
          </w:p>
        </w:tc>
        <w:tc>
          <w:tcPr>
            <w:tcW w:w="1000" w:type="pct"/>
            <w:vAlign w:val="center"/>
          </w:tcPr>
          <w:p w14:paraId="590D791A" w14:textId="77777777" w:rsidR="002E474C" w:rsidRDefault="00000000">
            <w:pPr>
              <w:pStyle w:val="A-"/>
            </w:pPr>
            <w:r>
              <w:t>极值</w:t>
            </w:r>
          </w:p>
        </w:tc>
        <w:tc>
          <w:tcPr>
            <w:tcW w:w="999" w:type="pct"/>
            <w:vAlign w:val="center"/>
          </w:tcPr>
          <w:p w14:paraId="74EBAEA9" w14:textId="77777777" w:rsidR="002E474C" w:rsidRDefault="00000000">
            <w:pPr>
              <w:pStyle w:val="A-"/>
            </w:pPr>
            <w:r>
              <w:t>极值出现时间</w:t>
            </w:r>
          </w:p>
        </w:tc>
      </w:tr>
      <w:tr w:rsidR="002E474C" w14:paraId="66CC7F28" w14:textId="77777777">
        <w:trPr>
          <w:trHeight w:val="340"/>
          <w:jc w:val="center"/>
        </w:trPr>
        <w:tc>
          <w:tcPr>
            <w:tcW w:w="2001" w:type="pct"/>
            <w:gridSpan w:val="2"/>
            <w:vAlign w:val="center"/>
          </w:tcPr>
          <w:p w14:paraId="47D4F977" w14:textId="77777777" w:rsidR="002E474C" w:rsidRDefault="00000000">
            <w:pPr>
              <w:pStyle w:val="A-"/>
            </w:pPr>
            <w:r>
              <w:t>多年平均最高温（</w:t>
            </w:r>
            <w:r>
              <w:t>℃</w:t>
            </w:r>
            <w:r>
              <w:t>）</w:t>
            </w:r>
          </w:p>
        </w:tc>
        <w:tc>
          <w:tcPr>
            <w:tcW w:w="1000" w:type="pct"/>
            <w:vAlign w:val="center"/>
          </w:tcPr>
          <w:p w14:paraId="507329B0" w14:textId="77777777" w:rsidR="002E474C" w:rsidRDefault="002E474C">
            <w:pPr>
              <w:pStyle w:val="A-"/>
            </w:pPr>
          </w:p>
        </w:tc>
        <w:tc>
          <w:tcPr>
            <w:tcW w:w="1000" w:type="pct"/>
            <w:vAlign w:val="center"/>
          </w:tcPr>
          <w:p w14:paraId="6D132E82" w14:textId="77777777" w:rsidR="002E474C" w:rsidRDefault="00000000">
            <w:pPr>
              <w:pStyle w:val="A-"/>
            </w:pPr>
            <w:r>
              <w:t>46.66</w:t>
            </w:r>
          </w:p>
        </w:tc>
        <w:tc>
          <w:tcPr>
            <w:tcW w:w="999" w:type="pct"/>
            <w:vAlign w:val="center"/>
          </w:tcPr>
          <w:p w14:paraId="13EC2ECF" w14:textId="77777777" w:rsidR="002E474C" w:rsidRDefault="00000000">
            <w:pPr>
              <w:pStyle w:val="A-"/>
            </w:pPr>
            <w:r>
              <w:t>2017.07.10</w:t>
            </w:r>
          </w:p>
        </w:tc>
      </w:tr>
      <w:tr w:rsidR="002E474C" w14:paraId="085CF696" w14:textId="77777777">
        <w:trPr>
          <w:trHeight w:val="340"/>
          <w:jc w:val="center"/>
        </w:trPr>
        <w:tc>
          <w:tcPr>
            <w:tcW w:w="2001" w:type="pct"/>
            <w:gridSpan w:val="2"/>
            <w:vAlign w:val="center"/>
          </w:tcPr>
          <w:p w14:paraId="4E371811" w14:textId="77777777" w:rsidR="002E474C" w:rsidRDefault="00000000">
            <w:pPr>
              <w:pStyle w:val="A-"/>
            </w:pPr>
            <w:r>
              <w:t>多年平均最低温（</w:t>
            </w:r>
            <w:r>
              <w:t>℃</w:t>
            </w:r>
            <w:r>
              <w:t>）</w:t>
            </w:r>
          </w:p>
        </w:tc>
        <w:tc>
          <w:tcPr>
            <w:tcW w:w="1000" w:type="pct"/>
            <w:vAlign w:val="center"/>
          </w:tcPr>
          <w:p w14:paraId="32A32BA7" w14:textId="77777777" w:rsidR="002E474C" w:rsidRDefault="002E474C">
            <w:pPr>
              <w:pStyle w:val="A-"/>
            </w:pPr>
          </w:p>
        </w:tc>
        <w:tc>
          <w:tcPr>
            <w:tcW w:w="1000" w:type="pct"/>
            <w:vAlign w:val="center"/>
          </w:tcPr>
          <w:p w14:paraId="38CE7997" w14:textId="77777777" w:rsidR="002E474C" w:rsidRDefault="00000000">
            <w:pPr>
              <w:pStyle w:val="A-"/>
            </w:pPr>
            <w:r>
              <w:t>-14.28</w:t>
            </w:r>
          </w:p>
        </w:tc>
        <w:tc>
          <w:tcPr>
            <w:tcW w:w="999" w:type="pct"/>
            <w:vAlign w:val="center"/>
          </w:tcPr>
          <w:p w14:paraId="641B5A1D" w14:textId="77777777" w:rsidR="002E474C" w:rsidRDefault="00000000">
            <w:pPr>
              <w:pStyle w:val="A-"/>
            </w:pPr>
            <w:r>
              <w:t>2011.01.11</w:t>
            </w:r>
          </w:p>
        </w:tc>
      </w:tr>
      <w:tr w:rsidR="002E474C" w14:paraId="25664418" w14:textId="77777777">
        <w:trPr>
          <w:trHeight w:val="340"/>
          <w:jc w:val="center"/>
        </w:trPr>
        <w:tc>
          <w:tcPr>
            <w:tcW w:w="2001" w:type="pct"/>
            <w:gridSpan w:val="2"/>
            <w:vAlign w:val="center"/>
          </w:tcPr>
          <w:p w14:paraId="716C891E" w14:textId="77777777" w:rsidR="002E474C" w:rsidRDefault="00000000">
            <w:pPr>
              <w:pStyle w:val="A-"/>
            </w:pPr>
            <w:r>
              <w:t>多年平均气温（</w:t>
            </w:r>
            <w:r>
              <w:t>℃</w:t>
            </w:r>
            <w:r>
              <w:t>）</w:t>
            </w:r>
          </w:p>
        </w:tc>
        <w:tc>
          <w:tcPr>
            <w:tcW w:w="1000" w:type="pct"/>
            <w:vAlign w:val="center"/>
          </w:tcPr>
          <w:p w14:paraId="6BD53FAD" w14:textId="77777777" w:rsidR="002E474C" w:rsidRDefault="00000000">
            <w:pPr>
              <w:pStyle w:val="A-"/>
            </w:pPr>
            <w:r>
              <w:t>16.47</w:t>
            </w:r>
          </w:p>
        </w:tc>
        <w:tc>
          <w:tcPr>
            <w:tcW w:w="1000" w:type="pct"/>
            <w:vAlign w:val="center"/>
          </w:tcPr>
          <w:p w14:paraId="6EF8D2BF" w14:textId="77777777" w:rsidR="002E474C" w:rsidRDefault="002E474C">
            <w:pPr>
              <w:pStyle w:val="A-"/>
            </w:pPr>
          </w:p>
        </w:tc>
        <w:tc>
          <w:tcPr>
            <w:tcW w:w="999" w:type="pct"/>
            <w:vAlign w:val="center"/>
          </w:tcPr>
          <w:p w14:paraId="5AB9CFD0" w14:textId="77777777" w:rsidR="002E474C" w:rsidRDefault="002E474C">
            <w:pPr>
              <w:pStyle w:val="A-"/>
            </w:pPr>
          </w:p>
        </w:tc>
      </w:tr>
      <w:tr w:rsidR="002E474C" w14:paraId="29BC95C4" w14:textId="77777777">
        <w:trPr>
          <w:trHeight w:val="340"/>
          <w:jc w:val="center"/>
        </w:trPr>
        <w:tc>
          <w:tcPr>
            <w:tcW w:w="2001" w:type="pct"/>
            <w:gridSpan w:val="2"/>
            <w:vAlign w:val="center"/>
          </w:tcPr>
          <w:p w14:paraId="5F4F04EA" w14:textId="77777777" w:rsidR="002E474C" w:rsidRDefault="00000000">
            <w:pPr>
              <w:pStyle w:val="A-"/>
            </w:pPr>
            <w:r>
              <w:t>多年平均气压（</w:t>
            </w:r>
            <w:proofErr w:type="spellStart"/>
            <w:r>
              <w:t>hPa</w:t>
            </w:r>
            <w:proofErr w:type="spellEnd"/>
            <w:r>
              <w:t>）</w:t>
            </w:r>
          </w:p>
        </w:tc>
        <w:tc>
          <w:tcPr>
            <w:tcW w:w="1000" w:type="pct"/>
            <w:vAlign w:val="center"/>
          </w:tcPr>
          <w:p w14:paraId="757C67AF" w14:textId="77777777" w:rsidR="002E474C" w:rsidRDefault="00000000">
            <w:pPr>
              <w:pStyle w:val="A-"/>
            </w:pPr>
            <w:r>
              <w:t>1011.85</w:t>
            </w:r>
          </w:p>
        </w:tc>
        <w:tc>
          <w:tcPr>
            <w:tcW w:w="1000" w:type="pct"/>
            <w:vAlign w:val="center"/>
          </w:tcPr>
          <w:p w14:paraId="40A2AD3E" w14:textId="77777777" w:rsidR="002E474C" w:rsidRDefault="002E474C">
            <w:pPr>
              <w:pStyle w:val="A-"/>
            </w:pPr>
          </w:p>
        </w:tc>
        <w:tc>
          <w:tcPr>
            <w:tcW w:w="999" w:type="pct"/>
            <w:vAlign w:val="center"/>
          </w:tcPr>
          <w:p w14:paraId="3BDD095A" w14:textId="77777777" w:rsidR="002E474C" w:rsidRDefault="002E474C">
            <w:pPr>
              <w:pStyle w:val="A-"/>
            </w:pPr>
          </w:p>
        </w:tc>
      </w:tr>
      <w:tr w:rsidR="002E474C" w14:paraId="3C8C6F0B" w14:textId="77777777">
        <w:trPr>
          <w:trHeight w:val="340"/>
          <w:jc w:val="center"/>
        </w:trPr>
        <w:tc>
          <w:tcPr>
            <w:tcW w:w="2001" w:type="pct"/>
            <w:gridSpan w:val="2"/>
            <w:vAlign w:val="center"/>
          </w:tcPr>
          <w:p w14:paraId="42CA5266" w14:textId="77777777" w:rsidR="002E474C" w:rsidRDefault="00000000">
            <w:pPr>
              <w:pStyle w:val="A-"/>
            </w:pPr>
            <w:r>
              <w:t>多年平均相对湿度（</w:t>
            </w:r>
            <w:r>
              <w:t>%</w:t>
            </w:r>
            <w:r>
              <w:t>）</w:t>
            </w:r>
          </w:p>
        </w:tc>
        <w:tc>
          <w:tcPr>
            <w:tcW w:w="1000" w:type="pct"/>
            <w:vAlign w:val="center"/>
          </w:tcPr>
          <w:p w14:paraId="66C7F6DB" w14:textId="77777777" w:rsidR="002E474C" w:rsidRDefault="00000000">
            <w:pPr>
              <w:pStyle w:val="A-"/>
            </w:pPr>
            <w:r>
              <w:t>32.7</w:t>
            </w:r>
          </w:p>
        </w:tc>
        <w:tc>
          <w:tcPr>
            <w:tcW w:w="1000" w:type="pct"/>
            <w:vAlign w:val="center"/>
          </w:tcPr>
          <w:p w14:paraId="20562DAA" w14:textId="77777777" w:rsidR="002E474C" w:rsidRDefault="002E474C">
            <w:pPr>
              <w:pStyle w:val="A-"/>
            </w:pPr>
          </w:p>
        </w:tc>
        <w:tc>
          <w:tcPr>
            <w:tcW w:w="999" w:type="pct"/>
            <w:vAlign w:val="center"/>
          </w:tcPr>
          <w:p w14:paraId="2522A123" w14:textId="77777777" w:rsidR="002E474C" w:rsidRDefault="002E474C">
            <w:pPr>
              <w:pStyle w:val="A-"/>
            </w:pPr>
          </w:p>
        </w:tc>
      </w:tr>
      <w:tr w:rsidR="002E474C" w14:paraId="6ECEC571" w14:textId="77777777">
        <w:trPr>
          <w:trHeight w:val="340"/>
          <w:jc w:val="center"/>
        </w:trPr>
        <w:tc>
          <w:tcPr>
            <w:tcW w:w="2001" w:type="pct"/>
            <w:gridSpan w:val="2"/>
            <w:vAlign w:val="center"/>
          </w:tcPr>
          <w:p w14:paraId="728CBCBA" w14:textId="77777777" w:rsidR="002E474C" w:rsidRDefault="00000000">
            <w:pPr>
              <w:pStyle w:val="A-"/>
            </w:pPr>
            <w:r>
              <w:t>多年平均降水量（</w:t>
            </w:r>
            <w:r>
              <w:t>mm</w:t>
            </w:r>
            <w:r>
              <w:t>）</w:t>
            </w:r>
          </w:p>
        </w:tc>
        <w:tc>
          <w:tcPr>
            <w:tcW w:w="1000" w:type="pct"/>
            <w:vAlign w:val="center"/>
          </w:tcPr>
          <w:p w14:paraId="1C313391" w14:textId="77777777" w:rsidR="002E474C" w:rsidRDefault="00000000">
            <w:pPr>
              <w:pStyle w:val="A-"/>
            </w:pPr>
            <w:r>
              <w:t>12.04</w:t>
            </w:r>
          </w:p>
        </w:tc>
        <w:tc>
          <w:tcPr>
            <w:tcW w:w="1000" w:type="pct"/>
            <w:vAlign w:val="center"/>
          </w:tcPr>
          <w:p w14:paraId="26940F3A" w14:textId="77777777" w:rsidR="002E474C" w:rsidRDefault="002E474C">
            <w:pPr>
              <w:pStyle w:val="A-"/>
            </w:pPr>
          </w:p>
        </w:tc>
        <w:tc>
          <w:tcPr>
            <w:tcW w:w="999" w:type="pct"/>
            <w:vAlign w:val="center"/>
          </w:tcPr>
          <w:p w14:paraId="1918FDD6" w14:textId="77777777" w:rsidR="002E474C" w:rsidRDefault="002E474C">
            <w:pPr>
              <w:pStyle w:val="A-"/>
            </w:pPr>
          </w:p>
        </w:tc>
      </w:tr>
      <w:tr w:rsidR="002E474C" w14:paraId="088963D9" w14:textId="77777777">
        <w:trPr>
          <w:trHeight w:val="340"/>
          <w:jc w:val="center"/>
        </w:trPr>
        <w:tc>
          <w:tcPr>
            <w:tcW w:w="2001" w:type="pct"/>
            <w:gridSpan w:val="2"/>
            <w:vAlign w:val="center"/>
          </w:tcPr>
          <w:p w14:paraId="0D7983EE" w14:textId="77777777" w:rsidR="002E474C" w:rsidRDefault="00000000">
            <w:pPr>
              <w:pStyle w:val="A-"/>
            </w:pPr>
            <w:r>
              <w:t>多年平均风速（</w:t>
            </w:r>
            <w:r>
              <w:t>m/s</w:t>
            </w:r>
            <w:r>
              <w:t>）</w:t>
            </w:r>
          </w:p>
        </w:tc>
        <w:tc>
          <w:tcPr>
            <w:tcW w:w="1000" w:type="pct"/>
            <w:vAlign w:val="center"/>
          </w:tcPr>
          <w:p w14:paraId="09C6E8F4" w14:textId="77777777" w:rsidR="002E474C" w:rsidRDefault="00000000">
            <w:pPr>
              <w:pStyle w:val="A-"/>
            </w:pPr>
            <w:r>
              <w:t>1.6</w:t>
            </w:r>
          </w:p>
        </w:tc>
        <w:tc>
          <w:tcPr>
            <w:tcW w:w="1000" w:type="pct"/>
            <w:vAlign w:val="center"/>
          </w:tcPr>
          <w:p w14:paraId="2EE3818E" w14:textId="77777777" w:rsidR="002E474C" w:rsidRDefault="002E474C">
            <w:pPr>
              <w:pStyle w:val="A-"/>
            </w:pPr>
          </w:p>
        </w:tc>
        <w:tc>
          <w:tcPr>
            <w:tcW w:w="999" w:type="pct"/>
            <w:vAlign w:val="center"/>
          </w:tcPr>
          <w:p w14:paraId="68EDDECE" w14:textId="77777777" w:rsidR="002E474C" w:rsidRDefault="002E474C">
            <w:pPr>
              <w:pStyle w:val="A-"/>
            </w:pPr>
          </w:p>
        </w:tc>
      </w:tr>
      <w:tr w:rsidR="002E474C" w14:paraId="7035AFB5" w14:textId="77777777">
        <w:trPr>
          <w:trHeight w:val="340"/>
          <w:jc w:val="center"/>
        </w:trPr>
        <w:tc>
          <w:tcPr>
            <w:tcW w:w="2001" w:type="pct"/>
            <w:gridSpan w:val="2"/>
            <w:vAlign w:val="center"/>
          </w:tcPr>
          <w:p w14:paraId="19C83B99" w14:textId="77777777" w:rsidR="002E474C" w:rsidRDefault="00000000">
            <w:pPr>
              <w:pStyle w:val="A-"/>
            </w:pPr>
            <w:r>
              <w:t>多年最大日降水量（</w:t>
            </w:r>
            <w:r>
              <w:t>mm</w:t>
            </w:r>
            <w:r>
              <w:t>）</w:t>
            </w:r>
          </w:p>
        </w:tc>
        <w:tc>
          <w:tcPr>
            <w:tcW w:w="1000" w:type="pct"/>
            <w:vAlign w:val="center"/>
          </w:tcPr>
          <w:p w14:paraId="31A3262A" w14:textId="77777777" w:rsidR="002E474C" w:rsidRDefault="00000000">
            <w:pPr>
              <w:pStyle w:val="A-"/>
            </w:pPr>
            <w:r>
              <w:t>4.39</w:t>
            </w:r>
          </w:p>
        </w:tc>
        <w:tc>
          <w:tcPr>
            <w:tcW w:w="1000" w:type="pct"/>
            <w:vAlign w:val="center"/>
          </w:tcPr>
          <w:p w14:paraId="5AFBDAF8" w14:textId="77777777" w:rsidR="002E474C" w:rsidRDefault="00000000">
            <w:pPr>
              <w:pStyle w:val="A-"/>
            </w:pPr>
            <w:r>
              <w:t>8</w:t>
            </w:r>
          </w:p>
        </w:tc>
        <w:tc>
          <w:tcPr>
            <w:tcW w:w="999" w:type="pct"/>
            <w:vAlign w:val="center"/>
          </w:tcPr>
          <w:p w14:paraId="0B0C4166" w14:textId="77777777" w:rsidR="002E474C" w:rsidRDefault="00000000">
            <w:pPr>
              <w:pStyle w:val="A-"/>
            </w:pPr>
            <w:r>
              <w:t>2015.9.2</w:t>
            </w:r>
          </w:p>
        </w:tc>
      </w:tr>
      <w:tr w:rsidR="002E474C" w14:paraId="3B00F4A0" w14:textId="77777777">
        <w:trPr>
          <w:trHeight w:val="340"/>
          <w:jc w:val="center"/>
        </w:trPr>
        <w:tc>
          <w:tcPr>
            <w:tcW w:w="2001" w:type="pct"/>
            <w:gridSpan w:val="2"/>
            <w:vAlign w:val="center"/>
          </w:tcPr>
          <w:p w14:paraId="56A2A1CC" w14:textId="77777777" w:rsidR="002E474C" w:rsidRDefault="00000000">
            <w:pPr>
              <w:pStyle w:val="A-"/>
            </w:pPr>
            <w:r>
              <w:t>多年平均静风出现频率</w:t>
            </w:r>
          </w:p>
        </w:tc>
        <w:tc>
          <w:tcPr>
            <w:tcW w:w="1000" w:type="pct"/>
            <w:vAlign w:val="center"/>
          </w:tcPr>
          <w:p w14:paraId="3825F071" w14:textId="77777777" w:rsidR="002E474C" w:rsidRDefault="00000000">
            <w:pPr>
              <w:pStyle w:val="A-"/>
            </w:pPr>
            <w:r>
              <w:t>5.91</w:t>
            </w:r>
          </w:p>
        </w:tc>
        <w:tc>
          <w:tcPr>
            <w:tcW w:w="1000" w:type="pct"/>
            <w:vAlign w:val="center"/>
          </w:tcPr>
          <w:p w14:paraId="2285F705" w14:textId="77777777" w:rsidR="002E474C" w:rsidRDefault="002E474C">
            <w:pPr>
              <w:pStyle w:val="A-"/>
            </w:pPr>
          </w:p>
        </w:tc>
        <w:tc>
          <w:tcPr>
            <w:tcW w:w="999" w:type="pct"/>
            <w:vAlign w:val="center"/>
          </w:tcPr>
          <w:p w14:paraId="086237BD" w14:textId="77777777" w:rsidR="002E474C" w:rsidRDefault="002E474C">
            <w:pPr>
              <w:pStyle w:val="A-"/>
            </w:pPr>
          </w:p>
        </w:tc>
      </w:tr>
      <w:tr w:rsidR="002E474C" w14:paraId="2836F0E7" w14:textId="77777777">
        <w:trPr>
          <w:trHeight w:val="340"/>
          <w:jc w:val="center"/>
        </w:trPr>
        <w:tc>
          <w:tcPr>
            <w:tcW w:w="2001" w:type="pct"/>
            <w:gridSpan w:val="2"/>
            <w:vAlign w:val="center"/>
          </w:tcPr>
          <w:p w14:paraId="2EB562FC" w14:textId="77777777" w:rsidR="002E474C" w:rsidRDefault="00000000">
            <w:pPr>
              <w:pStyle w:val="A-"/>
            </w:pPr>
            <w:r>
              <w:t>多年极大风速（</w:t>
            </w:r>
            <w:r>
              <w:t>m/s</w:t>
            </w:r>
            <w:r>
              <w:t>）</w:t>
            </w:r>
          </w:p>
        </w:tc>
        <w:tc>
          <w:tcPr>
            <w:tcW w:w="1000" w:type="pct"/>
            <w:vAlign w:val="center"/>
          </w:tcPr>
          <w:p w14:paraId="7FA3349C" w14:textId="77777777" w:rsidR="002E474C" w:rsidRDefault="002E474C">
            <w:pPr>
              <w:pStyle w:val="A-"/>
            </w:pPr>
          </w:p>
        </w:tc>
        <w:tc>
          <w:tcPr>
            <w:tcW w:w="1000" w:type="pct"/>
            <w:vAlign w:val="center"/>
          </w:tcPr>
          <w:p w14:paraId="3326476C" w14:textId="77777777" w:rsidR="002E474C" w:rsidRDefault="00000000">
            <w:pPr>
              <w:pStyle w:val="A-"/>
            </w:pPr>
            <w:r>
              <w:t>19.99</w:t>
            </w:r>
          </w:p>
        </w:tc>
        <w:tc>
          <w:tcPr>
            <w:tcW w:w="999" w:type="pct"/>
            <w:vAlign w:val="center"/>
          </w:tcPr>
          <w:p w14:paraId="5E8ED2B9" w14:textId="77777777" w:rsidR="002E474C" w:rsidRDefault="00000000">
            <w:pPr>
              <w:pStyle w:val="A-"/>
            </w:pPr>
            <w:r>
              <w:t>2017.5.3</w:t>
            </w:r>
          </w:p>
        </w:tc>
      </w:tr>
      <w:tr w:rsidR="002E474C" w14:paraId="7C7F4758" w14:textId="77777777">
        <w:trPr>
          <w:trHeight w:val="340"/>
          <w:jc w:val="center"/>
        </w:trPr>
        <w:tc>
          <w:tcPr>
            <w:tcW w:w="647" w:type="pct"/>
            <w:vMerge w:val="restart"/>
            <w:vAlign w:val="center"/>
          </w:tcPr>
          <w:p w14:paraId="5EC4A4C2" w14:textId="77777777" w:rsidR="002E474C" w:rsidRDefault="00000000">
            <w:pPr>
              <w:pStyle w:val="A-"/>
            </w:pPr>
            <w:r>
              <w:t>灾害天气统计</w:t>
            </w:r>
          </w:p>
        </w:tc>
        <w:tc>
          <w:tcPr>
            <w:tcW w:w="1355" w:type="pct"/>
            <w:vAlign w:val="center"/>
          </w:tcPr>
          <w:p w14:paraId="38F19452" w14:textId="77777777" w:rsidR="002E474C" w:rsidRDefault="00000000">
            <w:pPr>
              <w:pStyle w:val="A-"/>
            </w:pPr>
            <w:r>
              <w:t>多年平均雷暴日数</w:t>
            </w:r>
          </w:p>
        </w:tc>
        <w:tc>
          <w:tcPr>
            <w:tcW w:w="1000" w:type="pct"/>
            <w:vAlign w:val="center"/>
          </w:tcPr>
          <w:p w14:paraId="26D3F292" w14:textId="77777777" w:rsidR="002E474C" w:rsidRDefault="00000000">
            <w:pPr>
              <w:pStyle w:val="A-"/>
            </w:pPr>
            <w:r>
              <w:t>5.8</w:t>
            </w:r>
          </w:p>
        </w:tc>
        <w:tc>
          <w:tcPr>
            <w:tcW w:w="1000" w:type="pct"/>
            <w:vAlign w:val="center"/>
          </w:tcPr>
          <w:p w14:paraId="2C0D8A48" w14:textId="77777777" w:rsidR="002E474C" w:rsidRDefault="002E474C">
            <w:pPr>
              <w:pStyle w:val="A-"/>
            </w:pPr>
          </w:p>
        </w:tc>
        <w:tc>
          <w:tcPr>
            <w:tcW w:w="999" w:type="pct"/>
            <w:vAlign w:val="center"/>
          </w:tcPr>
          <w:p w14:paraId="1E7EAB53" w14:textId="77777777" w:rsidR="002E474C" w:rsidRDefault="002E474C">
            <w:pPr>
              <w:pStyle w:val="A-"/>
            </w:pPr>
          </w:p>
        </w:tc>
      </w:tr>
      <w:tr w:rsidR="002E474C" w14:paraId="74C75AF0" w14:textId="77777777">
        <w:trPr>
          <w:trHeight w:val="340"/>
          <w:jc w:val="center"/>
        </w:trPr>
        <w:tc>
          <w:tcPr>
            <w:tcW w:w="647" w:type="pct"/>
            <w:vMerge/>
            <w:vAlign w:val="center"/>
          </w:tcPr>
          <w:p w14:paraId="39E10403" w14:textId="77777777" w:rsidR="002E474C" w:rsidRDefault="002E474C">
            <w:pPr>
              <w:pStyle w:val="A-"/>
            </w:pPr>
          </w:p>
        </w:tc>
        <w:tc>
          <w:tcPr>
            <w:tcW w:w="1355" w:type="pct"/>
            <w:vAlign w:val="center"/>
          </w:tcPr>
          <w:p w14:paraId="0863C979" w14:textId="77777777" w:rsidR="002E474C" w:rsidRDefault="00000000">
            <w:pPr>
              <w:pStyle w:val="A-"/>
            </w:pPr>
            <w:r>
              <w:t>多年平均冰雹日数</w:t>
            </w:r>
          </w:p>
        </w:tc>
        <w:tc>
          <w:tcPr>
            <w:tcW w:w="1000" w:type="pct"/>
            <w:vAlign w:val="center"/>
          </w:tcPr>
          <w:p w14:paraId="7734ED63" w14:textId="77777777" w:rsidR="002E474C" w:rsidRDefault="00000000">
            <w:pPr>
              <w:pStyle w:val="A-"/>
            </w:pPr>
            <w:r>
              <w:t>0.05</w:t>
            </w:r>
          </w:p>
        </w:tc>
        <w:tc>
          <w:tcPr>
            <w:tcW w:w="1000" w:type="pct"/>
            <w:vAlign w:val="center"/>
          </w:tcPr>
          <w:p w14:paraId="4483E547" w14:textId="77777777" w:rsidR="002E474C" w:rsidRDefault="002E474C">
            <w:pPr>
              <w:pStyle w:val="A-"/>
            </w:pPr>
          </w:p>
        </w:tc>
        <w:tc>
          <w:tcPr>
            <w:tcW w:w="999" w:type="pct"/>
            <w:vAlign w:val="center"/>
          </w:tcPr>
          <w:p w14:paraId="12FFA771" w14:textId="77777777" w:rsidR="002E474C" w:rsidRDefault="002E474C">
            <w:pPr>
              <w:pStyle w:val="A-"/>
            </w:pPr>
          </w:p>
        </w:tc>
      </w:tr>
      <w:tr w:rsidR="002E474C" w14:paraId="738D7D71" w14:textId="77777777">
        <w:trPr>
          <w:trHeight w:val="340"/>
          <w:jc w:val="center"/>
        </w:trPr>
        <w:tc>
          <w:tcPr>
            <w:tcW w:w="647" w:type="pct"/>
            <w:vMerge/>
            <w:vAlign w:val="center"/>
          </w:tcPr>
          <w:p w14:paraId="1EF88E91" w14:textId="77777777" w:rsidR="002E474C" w:rsidRDefault="002E474C">
            <w:pPr>
              <w:pStyle w:val="A-"/>
            </w:pPr>
          </w:p>
        </w:tc>
        <w:tc>
          <w:tcPr>
            <w:tcW w:w="1355" w:type="pct"/>
            <w:vAlign w:val="center"/>
          </w:tcPr>
          <w:p w14:paraId="40822160" w14:textId="77777777" w:rsidR="002E474C" w:rsidRDefault="00000000">
            <w:pPr>
              <w:pStyle w:val="A-"/>
            </w:pPr>
            <w:r>
              <w:t>多年平均大风日数</w:t>
            </w:r>
          </w:p>
        </w:tc>
        <w:tc>
          <w:tcPr>
            <w:tcW w:w="1000" w:type="pct"/>
            <w:vAlign w:val="center"/>
          </w:tcPr>
          <w:p w14:paraId="5B472B67" w14:textId="77777777" w:rsidR="002E474C" w:rsidRDefault="00000000">
            <w:pPr>
              <w:pStyle w:val="A-"/>
            </w:pPr>
            <w:r>
              <w:t>6.65</w:t>
            </w:r>
          </w:p>
        </w:tc>
        <w:tc>
          <w:tcPr>
            <w:tcW w:w="1000" w:type="pct"/>
            <w:vAlign w:val="center"/>
          </w:tcPr>
          <w:p w14:paraId="5458EBDA" w14:textId="77777777" w:rsidR="002E474C" w:rsidRDefault="002E474C">
            <w:pPr>
              <w:pStyle w:val="A-"/>
            </w:pPr>
          </w:p>
        </w:tc>
        <w:tc>
          <w:tcPr>
            <w:tcW w:w="999" w:type="pct"/>
            <w:vAlign w:val="center"/>
          </w:tcPr>
          <w:p w14:paraId="725CF770" w14:textId="77777777" w:rsidR="002E474C" w:rsidRDefault="002E474C">
            <w:pPr>
              <w:pStyle w:val="A-"/>
            </w:pPr>
          </w:p>
        </w:tc>
      </w:tr>
      <w:tr w:rsidR="002E474C" w14:paraId="1B50B6A8" w14:textId="77777777">
        <w:trPr>
          <w:trHeight w:val="340"/>
          <w:jc w:val="center"/>
        </w:trPr>
        <w:tc>
          <w:tcPr>
            <w:tcW w:w="647" w:type="pct"/>
            <w:vMerge/>
            <w:vAlign w:val="center"/>
          </w:tcPr>
          <w:p w14:paraId="16125EB3" w14:textId="77777777" w:rsidR="002E474C" w:rsidRDefault="002E474C">
            <w:pPr>
              <w:pStyle w:val="A-"/>
            </w:pPr>
          </w:p>
        </w:tc>
        <w:tc>
          <w:tcPr>
            <w:tcW w:w="1355" w:type="pct"/>
            <w:vAlign w:val="center"/>
          </w:tcPr>
          <w:p w14:paraId="59C7BC3D" w14:textId="77777777" w:rsidR="002E474C" w:rsidRDefault="00000000">
            <w:pPr>
              <w:pStyle w:val="A-"/>
            </w:pPr>
            <w:r>
              <w:t>多年平均沙尘暴日</w:t>
            </w:r>
          </w:p>
        </w:tc>
        <w:tc>
          <w:tcPr>
            <w:tcW w:w="1000" w:type="pct"/>
            <w:vAlign w:val="center"/>
          </w:tcPr>
          <w:p w14:paraId="5E8D4760" w14:textId="77777777" w:rsidR="002E474C" w:rsidRDefault="00000000">
            <w:pPr>
              <w:pStyle w:val="A-"/>
            </w:pPr>
            <w:r>
              <w:t>1.1</w:t>
            </w:r>
          </w:p>
        </w:tc>
        <w:tc>
          <w:tcPr>
            <w:tcW w:w="1000" w:type="pct"/>
            <w:vAlign w:val="center"/>
          </w:tcPr>
          <w:p w14:paraId="6CF81832" w14:textId="77777777" w:rsidR="002E474C" w:rsidRDefault="002E474C">
            <w:pPr>
              <w:pStyle w:val="A-"/>
            </w:pPr>
          </w:p>
        </w:tc>
        <w:tc>
          <w:tcPr>
            <w:tcW w:w="999" w:type="pct"/>
            <w:vAlign w:val="center"/>
          </w:tcPr>
          <w:p w14:paraId="04C52CB4" w14:textId="77777777" w:rsidR="002E474C" w:rsidRDefault="002E474C">
            <w:pPr>
              <w:pStyle w:val="A-"/>
            </w:pPr>
          </w:p>
        </w:tc>
      </w:tr>
    </w:tbl>
    <w:p w14:paraId="027C0687" w14:textId="77777777" w:rsidR="002E474C" w:rsidRDefault="002E474C"/>
    <w:p w14:paraId="6B13250F" w14:textId="77777777" w:rsidR="002E474C" w:rsidRDefault="00000000">
      <w:pPr>
        <w:pStyle w:val="41"/>
        <w:spacing w:before="156" w:after="156"/>
        <w:rPr>
          <w:b w:val="0"/>
          <w:color w:val="auto"/>
        </w:rPr>
      </w:pPr>
      <w:r>
        <w:rPr>
          <w:color w:val="auto"/>
          <w:lang w:val="en-US"/>
        </w:rPr>
        <w:t>评价基准年污染</w:t>
      </w:r>
      <w:r>
        <w:rPr>
          <w:color w:val="auto"/>
        </w:rPr>
        <w:t>气象</w:t>
      </w:r>
    </w:p>
    <w:p w14:paraId="58819D3F" w14:textId="77777777" w:rsidR="002E474C" w:rsidRDefault="00000000">
      <w:pPr>
        <w:pStyle w:val="A-z"/>
        <w:rPr>
          <w:color w:val="auto"/>
        </w:rPr>
      </w:pPr>
      <w:r>
        <w:rPr>
          <w:color w:val="auto"/>
        </w:rPr>
        <w:t>本次评价收集了吐鲁番市气象观测站（</w:t>
      </w:r>
      <w:r>
        <w:rPr>
          <w:color w:val="auto"/>
        </w:rPr>
        <w:t>51573</w:t>
      </w:r>
      <w:r>
        <w:rPr>
          <w:color w:val="auto"/>
        </w:rPr>
        <w:t>）</w:t>
      </w:r>
      <w:r>
        <w:rPr>
          <w:color w:val="auto"/>
        </w:rPr>
        <w:t>2024</w:t>
      </w:r>
      <w:r>
        <w:rPr>
          <w:color w:val="auto"/>
        </w:rPr>
        <w:t>年逐日、逐次的常规气象观测资料，观测数据可满足本项目大气环境影响预测分析的需要。</w:t>
      </w:r>
    </w:p>
    <w:p w14:paraId="7F7A60E9" w14:textId="77777777" w:rsidR="002E474C" w:rsidRDefault="00000000">
      <w:pPr>
        <w:pStyle w:val="A-z"/>
        <w:rPr>
          <w:color w:val="auto"/>
        </w:rPr>
      </w:pPr>
      <w:r>
        <w:rPr>
          <w:color w:val="auto"/>
        </w:rPr>
        <w:lastRenderedPageBreak/>
        <w:t>（</w:t>
      </w:r>
      <w:r>
        <w:rPr>
          <w:color w:val="auto"/>
        </w:rPr>
        <w:t>1</w:t>
      </w:r>
      <w:r>
        <w:rPr>
          <w:color w:val="auto"/>
        </w:rPr>
        <w:t>）温度</w:t>
      </w:r>
    </w:p>
    <w:p w14:paraId="14E4C17C" w14:textId="77777777" w:rsidR="002E474C" w:rsidRDefault="00000000">
      <w:pPr>
        <w:pStyle w:val="A-z"/>
        <w:rPr>
          <w:color w:val="auto"/>
        </w:rPr>
      </w:pPr>
      <w:r>
        <w:rPr>
          <w:color w:val="auto"/>
        </w:rPr>
        <w:t>当地年平均气温月变化情况见表</w:t>
      </w:r>
      <w:r>
        <w:rPr>
          <w:color w:val="auto"/>
        </w:rPr>
        <w:t>5.1</w:t>
      </w:r>
      <w:r>
        <w:rPr>
          <w:color w:val="auto"/>
        </w:rPr>
        <w:noBreakHyphen/>
        <w:t>2</w:t>
      </w:r>
      <w:r>
        <w:rPr>
          <w:color w:val="auto"/>
        </w:rPr>
        <w:t>，年平均气温月变化曲线见图</w:t>
      </w:r>
      <w:r>
        <w:rPr>
          <w:color w:val="auto"/>
        </w:rPr>
        <w:t>5.1</w:t>
      </w:r>
      <w:r>
        <w:rPr>
          <w:color w:val="auto"/>
        </w:rPr>
        <w:noBreakHyphen/>
        <w:t>1</w:t>
      </w:r>
      <w:r>
        <w:rPr>
          <w:color w:val="auto"/>
        </w:rPr>
        <w:t>。</w:t>
      </w:r>
    </w:p>
    <w:p w14:paraId="26DF68D2" w14:textId="77777777" w:rsidR="002E474C" w:rsidRDefault="00000000">
      <w:pPr>
        <w:pStyle w:val="A--"/>
        <w:spacing w:before="156"/>
        <w:rPr>
          <w:color w:val="auto"/>
        </w:rPr>
      </w:pPr>
      <w:bookmarkStart w:id="262" w:name="_Ref77932192"/>
      <w:r>
        <w:rPr>
          <w:color w:val="auto"/>
        </w:rPr>
        <w:t>表</w:t>
      </w:r>
      <w:r>
        <w:rPr>
          <w:color w:val="auto"/>
        </w:rPr>
        <w:t>5.1</w:t>
      </w:r>
      <w:r>
        <w:rPr>
          <w:color w:val="auto"/>
        </w:rPr>
        <w:noBreakHyphen/>
      </w:r>
      <w:bookmarkEnd w:id="262"/>
      <w:r>
        <w:rPr>
          <w:color w:val="auto"/>
        </w:rPr>
        <w:t xml:space="preserve">2        </w:t>
      </w:r>
      <w:r>
        <w:rPr>
          <w:color w:val="auto"/>
        </w:rPr>
        <w:t>年平均温度的月变化</w:t>
      </w:r>
    </w:p>
    <w:tbl>
      <w:tblPr>
        <w:tblStyle w:val="afffffffffff2"/>
        <w:tblW w:w="508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84"/>
        <w:gridCol w:w="584"/>
        <w:gridCol w:w="689"/>
        <w:gridCol w:w="689"/>
        <w:gridCol w:w="689"/>
        <w:gridCol w:w="689"/>
        <w:gridCol w:w="689"/>
        <w:gridCol w:w="689"/>
        <w:gridCol w:w="689"/>
        <w:gridCol w:w="689"/>
        <w:gridCol w:w="584"/>
        <w:gridCol w:w="584"/>
      </w:tblGrid>
      <w:tr w:rsidR="002E474C" w14:paraId="752348F1" w14:textId="77777777">
        <w:tc>
          <w:tcPr>
            <w:tcW w:w="391" w:type="pct"/>
          </w:tcPr>
          <w:p w14:paraId="63C511A9" w14:textId="77777777" w:rsidR="002E474C" w:rsidRDefault="00000000">
            <w:pPr>
              <w:pStyle w:val="A-"/>
            </w:pPr>
            <w:r>
              <w:t>月份</w:t>
            </w:r>
          </w:p>
        </w:tc>
        <w:tc>
          <w:tcPr>
            <w:tcW w:w="377" w:type="pct"/>
          </w:tcPr>
          <w:p w14:paraId="1A436447" w14:textId="77777777" w:rsidR="002E474C" w:rsidRDefault="00000000">
            <w:pPr>
              <w:pStyle w:val="A-"/>
            </w:pPr>
            <w:r>
              <w:t>1</w:t>
            </w:r>
            <w:r>
              <w:t>月</w:t>
            </w:r>
          </w:p>
        </w:tc>
        <w:tc>
          <w:tcPr>
            <w:tcW w:w="336" w:type="pct"/>
          </w:tcPr>
          <w:p w14:paraId="266AB024" w14:textId="77777777" w:rsidR="002E474C" w:rsidRDefault="00000000">
            <w:pPr>
              <w:pStyle w:val="A-"/>
            </w:pPr>
            <w:r>
              <w:t>2</w:t>
            </w:r>
            <w:r>
              <w:t>月</w:t>
            </w:r>
          </w:p>
        </w:tc>
        <w:tc>
          <w:tcPr>
            <w:tcW w:w="397" w:type="pct"/>
          </w:tcPr>
          <w:p w14:paraId="65F41F54" w14:textId="77777777" w:rsidR="002E474C" w:rsidRDefault="00000000">
            <w:pPr>
              <w:pStyle w:val="A-"/>
            </w:pPr>
            <w:r>
              <w:t>3</w:t>
            </w:r>
            <w:r>
              <w:t>月</w:t>
            </w:r>
          </w:p>
        </w:tc>
        <w:tc>
          <w:tcPr>
            <w:tcW w:w="397" w:type="pct"/>
          </w:tcPr>
          <w:p w14:paraId="6162D9F1" w14:textId="77777777" w:rsidR="002E474C" w:rsidRDefault="00000000">
            <w:pPr>
              <w:pStyle w:val="A-"/>
            </w:pPr>
            <w:r>
              <w:t>4</w:t>
            </w:r>
            <w:r>
              <w:t>月</w:t>
            </w:r>
          </w:p>
        </w:tc>
        <w:tc>
          <w:tcPr>
            <w:tcW w:w="397" w:type="pct"/>
          </w:tcPr>
          <w:p w14:paraId="284FD921" w14:textId="77777777" w:rsidR="002E474C" w:rsidRDefault="00000000">
            <w:pPr>
              <w:pStyle w:val="A-"/>
            </w:pPr>
            <w:r>
              <w:t>5</w:t>
            </w:r>
            <w:r>
              <w:t>月</w:t>
            </w:r>
          </w:p>
        </w:tc>
        <w:tc>
          <w:tcPr>
            <w:tcW w:w="397" w:type="pct"/>
          </w:tcPr>
          <w:p w14:paraId="1A499404" w14:textId="77777777" w:rsidR="002E474C" w:rsidRDefault="00000000">
            <w:pPr>
              <w:pStyle w:val="A-"/>
            </w:pPr>
            <w:r>
              <w:t>6</w:t>
            </w:r>
            <w:r>
              <w:t>月</w:t>
            </w:r>
          </w:p>
        </w:tc>
        <w:tc>
          <w:tcPr>
            <w:tcW w:w="397" w:type="pct"/>
          </w:tcPr>
          <w:p w14:paraId="13C02CCE" w14:textId="77777777" w:rsidR="002E474C" w:rsidRDefault="00000000">
            <w:pPr>
              <w:pStyle w:val="A-"/>
            </w:pPr>
            <w:r>
              <w:t>7</w:t>
            </w:r>
            <w:r>
              <w:t>月</w:t>
            </w:r>
          </w:p>
        </w:tc>
        <w:tc>
          <w:tcPr>
            <w:tcW w:w="397" w:type="pct"/>
          </w:tcPr>
          <w:p w14:paraId="4E839C06" w14:textId="77777777" w:rsidR="002E474C" w:rsidRDefault="00000000">
            <w:pPr>
              <w:pStyle w:val="A-"/>
            </w:pPr>
            <w:r>
              <w:t>8</w:t>
            </w:r>
            <w:r>
              <w:t>月</w:t>
            </w:r>
          </w:p>
        </w:tc>
        <w:tc>
          <w:tcPr>
            <w:tcW w:w="397" w:type="pct"/>
          </w:tcPr>
          <w:p w14:paraId="2A056D12" w14:textId="77777777" w:rsidR="002E474C" w:rsidRDefault="00000000">
            <w:pPr>
              <w:pStyle w:val="A-"/>
            </w:pPr>
            <w:r>
              <w:t>9</w:t>
            </w:r>
            <w:r>
              <w:t>月</w:t>
            </w:r>
          </w:p>
        </w:tc>
        <w:tc>
          <w:tcPr>
            <w:tcW w:w="397" w:type="pct"/>
          </w:tcPr>
          <w:p w14:paraId="2D360BAE" w14:textId="77777777" w:rsidR="002E474C" w:rsidRDefault="00000000">
            <w:pPr>
              <w:pStyle w:val="A-"/>
            </w:pPr>
            <w:r>
              <w:t>10</w:t>
            </w:r>
            <w:r>
              <w:t>月</w:t>
            </w:r>
          </w:p>
        </w:tc>
        <w:tc>
          <w:tcPr>
            <w:tcW w:w="337" w:type="pct"/>
          </w:tcPr>
          <w:p w14:paraId="0D6AD846" w14:textId="77777777" w:rsidR="002E474C" w:rsidRDefault="00000000">
            <w:pPr>
              <w:pStyle w:val="A-"/>
              <w:ind w:leftChars="-50" w:left="-105" w:rightChars="-50" w:right="-105"/>
            </w:pPr>
            <w:r>
              <w:t>11</w:t>
            </w:r>
            <w:r>
              <w:t>月</w:t>
            </w:r>
          </w:p>
        </w:tc>
        <w:tc>
          <w:tcPr>
            <w:tcW w:w="377" w:type="pct"/>
          </w:tcPr>
          <w:p w14:paraId="56F7A289" w14:textId="77777777" w:rsidR="002E474C" w:rsidRDefault="00000000">
            <w:pPr>
              <w:pStyle w:val="A-"/>
            </w:pPr>
            <w:r>
              <w:t>12</w:t>
            </w:r>
            <w:r>
              <w:t>月</w:t>
            </w:r>
          </w:p>
        </w:tc>
      </w:tr>
      <w:tr w:rsidR="002E474C" w14:paraId="46B57F42" w14:textId="77777777">
        <w:tc>
          <w:tcPr>
            <w:tcW w:w="391" w:type="pct"/>
          </w:tcPr>
          <w:p w14:paraId="65B24A52" w14:textId="77777777" w:rsidR="002E474C" w:rsidRDefault="00000000">
            <w:pPr>
              <w:pStyle w:val="A-"/>
            </w:pPr>
            <w:r>
              <w:t>温度</w:t>
            </w:r>
            <w:r>
              <w:t>/℃</w:t>
            </w:r>
          </w:p>
        </w:tc>
        <w:tc>
          <w:tcPr>
            <w:tcW w:w="377" w:type="pct"/>
          </w:tcPr>
          <w:p w14:paraId="03DA26E6" w14:textId="77777777" w:rsidR="002E474C" w:rsidRDefault="00000000">
            <w:pPr>
              <w:pStyle w:val="A-"/>
            </w:pPr>
            <w:r>
              <w:t>-4.69</w:t>
            </w:r>
          </w:p>
        </w:tc>
        <w:tc>
          <w:tcPr>
            <w:tcW w:w="336" w:type="pct"/>
          </w:tcPr>
          <w:p w14:paraId="631309BD" w14:textId="77777777" w:rsidR="002E474C" w:rsidRDefault="00000000">
            <w:pPr>
              <w:pStyle w:val="A-"/>
            </w:pPr>
            <w:r>
              <w:t>0.93</w:t>
            </w:r>
          </w:p>
        </w:tc>
        <w:tc>
          <w:tcPr>
            <w:tcW w:w="397" w:type="pct"/>
          </w:tcPr>
          <w:p w14:paraId="6C697CBC" w14:textId="77777777" w:rsidR="002E474C" w:rsidRDefault="00000000">
            <w:pPr>
              <w:pStyle w:val="A-"/>
            </w:pPr>
            <w:r>
              <w:t>13.15</w:t>
            </w:r>
          </w:p>
        </w:tc>
        <w:tc>
          <w:tcPr>
            <w:tcW w:w="397" w:type="pct"/>
          </w:tcPr>
          <w:p w14:paraId="25E339C6" w14:textId="77777777" w:rsidR="002E474C" w:rsidRDefault="00000000">
            <w:pPr>
              <w:pStyle w:val="A-"/>
            </w:pPr>
            <w:r>
              <w:t>22.29</w:t>
            </w:r>
          </w:p>
        </w:tc>
        <w:tc>
          <w:tcPr>
            <w:tcW w:w="397" w:type="pct"/>
          </w:tcPr>
          <w:p w14:paraId="192C35FA" w14:textId="77777777" w:rsidR="002E474C" w:rsidRDefault="00000000">
            <w:pPr>
              <w:pStyle w:val="A-"/>
            </w:pPr>
            <w:r>
              <w:t>30.92</w:t>
            </w:r>
          </w:p>
        </w:tc>
        <w:tc>
          <w:tcPr>
            <w:tcW w:w="397" w:type="pct"/>
          </w:tcPr>
          <w:p w14:paraId="501F7184" w14:textId="77777777" w:rsidR="002E474C" w:rsidRDefault="00000000">
            <w:pPr>
              <w:pStyle w:val="A-"/>
            </w:pPr>
            <w:r>
              <w:t>34.77</w:t>
            </w:r>
          </w:p>
        </w:tc>
        <w:tc>
          <w:tcPr>
            <w:tcW w:w="397" w:type="pct"/>
          </w:tcPr>
          <w:p w14:paraId="6152A98C" w14:textId="77777777" w:rsidR="002E474C" w:rsidRDefault="00000000">
            <w:pPr>
              <w:pStyle w:val="A-"/>
            </w:pPr>
            <w:r>
              <w:t>35.89</w:t>
            </w:r>
          </w:p>
        </w:tc>
        <w:tc>
          <w:tcPr>
            <w:tcW w:w="397" w:type="pct"/>
          </w:tcPr>
          <w:p w14:paraId="3B3F3C79" w14:textId="77777777" w:rsidR="002E474C" w:rsidRDefault="00000000">
            <w:pPr>
              <w:pStyle w:val="A-"/>
            </w:pPr>
            <w:r>
              <w:t>34.56</w:t>
            </w:r>
          </w:p>
        </w:tc>
        <w:tc>
          <w:tcPr>
            <w:tcW w:w="397" w:type="pct"/>
          </w:tcPr>
          <w:p w14:paraId="03FFB4EB" w14:textId="77777777" w:rsidR="002E474C" w:rsidRDefault="00000000">
            <w:pPr>
              <w:pStyle w:val="A-"/>
            </w:pPr>
            <w:r>
              <w:t>26.18</w:t>
            </w:r>
          </w:p>
        </w:tc>
        <w:tc>
          <w:tcPr>
            <w:tcW w:w="397" w:type="pct"/>
          </w:tcPr>
          <w:p w14:paraId="03CC4F60" w14:textId="77777777" w:rsidR="002E474C" w:rsidRDefault="00000000">
            <w:pPr>
              <w:pStyle w:val="A-"/>
            </w:pPr>
            <w:r>
              <w:t>18.33</w:t>
            </w:r>
          </w:p>
        </w:tc>
        <w:tc>
          <w:tcPr>
            <w:tcW w:w="337" w:type="pct"/>
          </w:tcPr>
          <w:p w14:paraId="500DCB99" w14:textId="77777777" w:rsidR="002E474C" w:rsidRDefault="00000000">
            <w:pPr>
              <w:pStyle w:val="A-"/>
            </w:pPr>
            <w:r>
              <w:t>7.17</w:t>
            </w:r>
          </w:p>
        </w:tc>
        <w:tc>
          <w:tcPr>
            <w:tcW w:w="377" w:type="pct"/>
          </w:tcPr>
          <w:p w14:paraId="3C488F7D" w14:textId="77777777" w:rsidR="002E474C" w:rsidRDefault="00000000">
            <w:pPr>
              <w:pStyle w:val="A-"/>
            </w:pPr>
            <w:r>
              <w:t>-4.74</w:t>
            </w:r>
          </w:p>
        </w:tc>
      </w:tr>
    </w:tbl>
    <w:p w14:paraId="3BDFE071" w14:textId="77777777" w:rsidR="002E474C" w:rsidRDefault="00000000">
      <w:pPr>
        <w:pStyle w:val="A--"/>
        <w:spacing w:before="156"/>
        <w:ind w:leftChars="0" w:left="0" w:rightChars="0" w:right="0"/>
        <w:rPr>
          <w:color w:val="auto"/>
        </w:rPr>
      </w:pPr>
      <w:r>
        <w:rPr>
          <w:noProof/>
          <w:color w:val="auto"/>
        </w:rPr>
        <w:drawing>
          <wp:inline distT="0" distB="0" distL="0" distR="0" wp14:anchorId="0830DAED" wp14:editId="554B6946">
            <wp:extent cx="5007610" cy="1767840"/>
            <wp:effectExtent l="5080" t="4445" r="16510" b="1841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B2243F" w14:textId="77777777" w:rsidR="002E474C" w:rsidRDefault="00000000">
      <w:pPr>
        <w:pStyle w:val="A--"/>
        <w:spacing w:before="156" w:line="360" w:lineRule="auto"/>
        <w:rPr>
          <w:color w:val="auto"/>
        </w:rPr>
      </w:pPr>
      <w:bookmarkStart w:id="263" w:name="_Ref77932260"/>
      <w:r>
        <w:rPr>
          <w:color w:val="auto"/>
        </w:rPr>
        <w:t>图</w:t>
      </w:r>
      <w:r>
        <w:rPr>
          <w:color w:val="auto"/>
        </w:rPr>
        <w:t>5.1</w:t>
      </w:r>
      <w:r>
        <w:rPr>
          <w:color w:val="auto"/>
        </w:rPr>
        <w:noBreakHyphen/>
        <w:t>1</w:t>
      </w:r>
      <w:bookmarkEnd w:id="263"/>
      <w:r>
        <w:rPr>
          <w:color w:val="auto"/>
        </w:rPr>
        <w:t xml:space="preserve">  </w:t>
      </w:r>
      <w:r>
        <w:rPr>
          <w:color w:val="auto"/>
        </w:rPr>
        <w:t>年平均温度的月变化图</w:t>
      </w:r>
    </w:p>
    <w:p w14:paraId="4B254C85" w14:textId="77777777" w:rsidR="002E474C" w:rsidRDefault="00000000">
      <w:pPr>
        <w:pStyle w:val="A-z"/>
        <w:rPr>
          <w:color w:val="auto"/>
        </w:rPr>
      </w:pPr>
      <w:r>
        <w:rPr>
          <w:color w:val="auto"/>
        </w:rPr>
        <w:t>（</w:t>
      </w:r>
      <w:r>
        <w:rPr>
          <w:color w:val="auto"/>
        </w:rPr>
        <w:t>2</w:t>
      </w:r>
      <w:r>
        <w:rPr>
          <w:color w:val="auto"/>
        </w:rPr>
        <w:t>）风速</w:t>
      </w:r>
    </w:p>
    <w:p w14:paraId="70F556AA" w14:textId="77777777" w:rsidR="002E474C" w:rsidRDefault="00000000">
      <w:pPr>
        <w:pStyle w:val="A-z"/>
        <w:rPr>
          <w:color w:val="auto"/>
        </w:rPr>
      </w:pPr>
      <w:r>
        <w:rPr>
          <w:color w:val="auto"/>
        </w:rPr>
        <w:t>年平均风速随月份的变化、季小时平均风速的日变化和全年各风向下平均风速情况分别见表</w:t>
      </w:r>
      <w:r>
        <w:rPr>
          <w:color w:val="auto"/>
        </w:rPr>
        <w:t>5.1</w:t>
      </w:r>
      <w:r>
        <w:rPr>
          <w:color w:val="auto"/>
        </w:rPr>
        <w:noBreakHyphen/>
        <w:t>3</w:t>
      </w:r>
      <w:r>
        <w:rPr>
          <w:color w:val="auto"/>
        </w:rPr>
        <w:t>、表</w:t>
      </w:r>
      <w:r>
        <w:rPr>
          <w:color w:val="auto"/>
        </w:rPr>
        <w:t>5.1</w:t>
      </w:r>
      <w:r>
        <w:rPr>
          <w:color w:val="auto"/>
        </w:rPr>
        <w:noBreakHyphen/>
        <w:t>4</w:t>
      </w:r>
      <w:r>
        <w:rPr>
          <w:color w:val="auto"/>
        </w:rPr>
        <w:t>、表</w:t>
      </w:r>
      <w:r>
        <w:rPr>
          <w:color w:val="auto"/>
        </w:rPr>
        <w:t>5.1</w:t>
      </w:r>
      <w:r>
        <w:rPr>
          <w:color w:val="auto"/>
        </w:rPr>
        <w:noBreakHyphen/>
        <w:t>5</w:t>
      </w:r>
      <w:r>
        <w:rPr>
          <w:color w:val="auto"/>
        </w:rPr>
        <w:t>，图</w:t>
      </w:r>
      <w:r>
        <w:rPr>
          <w:color w:val="auto"/>
        </w:rPr>
        <w:t>5.1</w:t>
      </w:r>
      <w:r>
        <w:rPr>
          <w:color w:val="auto"/>
        </w:rPr>
        <w:noBreakHyphen/>
        <w:t>2</w:t>
      </w:r>
      <w:r>
        <w:rPr>
          <w:color w:val="auto"/>
        </w:rPr>
        <w:t>、图</w:t>
      </w:r>
      <w:r>
        <w:rPr>
          <w:color w:val="auto"/>
        </w:rPr>
        <w:t>5.1</w:t>
      </w:r>
      <w:r>
        <w:rPr>
          <w:color w:val="auto"/>
        </w:rPr>
        <w:noBreakHyphen/>
        <w:t>3</w:t>
      </w:r>
      <w:r>
        <w:rPr>
          <w:color w:val="auto"/>
        </w:rPr>
        <w:t>、图</w:t>
      </w:r>
      <w:r>
        <w:rPr>
          <w:color w:val="auto"/>
        </w:rPr>
        <w:t>5.1</w:t>
      </w:r>
      <w:r>
        <w:rPr>
          <w:color w:val="auto"/>
        </w:rPr>
        <w:noBreakHyphen/>
        <w:t>4</w:t>
      </w:r>
      <w:r>
        <w:rPr>
          <w:color w:val="auto"/>
        </w:rPr>
        <w:t>。</w:t>
      </w:r>
    </w:p>
    <w:p w14:paraId="0F0ABB7C" w14:textId="77777777" w:rsidR="002E474C" w:rsidRDefault="00000000">
      <w:pPr>
        <w:pStyle w:val="A-0"/>
        <w:spacing w:beforeLines="0" w:before="0"/>
        <w:rPr>
          <w:color w:val="auto"/>
        </w:rPr>
      </w:pPr>
      <w:bookmarkStart w:id="264" w:name="_Ref138269622"/>
      <w:r>
        <w:rPr>
          <w:color w:val="auto"/>
        </w:rPr>
        <w:t>表</w:t>
      </w:r>
      <w:r>
        <w:rPr>
          <w:color w:val="auto"/>
        </w:rPr>
        <w:t>5.1</w:t>
      </w:r>
      <w:r>
        <w:rPr>
          <w:color w:val="auto"/>
        </w:rPr>
        <w:noBreakHyphen/>
      </w:r>
      <w:bookmarkEnd w:id="264"/>
      <w:r>
        <w:rPr>
          <w:color w:val="auto"/>
        </w:rPr>
        <w:t xml:space="preserve">3                         </w:t>
      </w:r>
      <w:r>
        <w:rPr>
          <w:color w:val="auto"/>
        </w:rPr>
        <w:t>年平均风速的月变化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593"/>
        <w:gridCol w:w="593"/>
        <w:gridCol w:w="592"/>
        <w:gridCol w:w="592"/>
        <w:gridCol w:w="592"/>
        <w:gridCol w:w="592"/>
        <w:gridCol w:w="592"/>
        <w:gridCol w:w="592"/>
        <w:gridCol w:w="592"/>
        <w:gridCol w:w="592"/>
        <w:gridCol w:w="592"/>
        <w:gridCol w:w="586"/>
      </w:tblGrid>
      <w:tr w:rsidR="002E474C" w14:paraId="53A03424" w14:textId="77777777">
        <w:trPr>
          <w:trHeight w:val="285"/>
        </w:trPr>
        <w:tc>
          <w:tcPr>
            <w:tcW w:w="720" w:type="pct"/>
            <w:shd w:val="clear" w:color="auto" w:fill="auto"/>
            <w:noWrap/>
            <w:tcMar>
              <w:top w:w="15" w:type="dxa"/>
              <w:left w:w="15" w:type="dxa"/>
              <w:bottom w:w="0" w:type="dxa"/>
              <w:right w:w="15" w:type="dxa"/>
            </w:tcMar>
            <w:vAlign w:val="center"/>
          </w:tcPr>
          <w:p w14:paraId="29C7441D" w14:textId="77777777" w:rsidR="002E474C" w:rsidRDefault="00000000">
            <w:pPr>
              <w:pStyle w:val="A-"/>
            </w:pPr>
            <w:r>
              <w:t>月份</w:t>
            </w:r>
          </w:p>
        </w:tc>
        <w:tc>
          <w:tcPr>
            <w:tcW w:w="357" w:type="pct"/>
            <w:shd w:val="clear" w:color="auto" w:fill="auto"/>
            <w:noWrap/>
            <w:tcMar>
              <w:top w:w="15" w:type="dxa"/>
              <w:left w:w="15" w:type="dxa"/>
              <w:bottom w:w="0" w:type="dxa"/>
              <w:right w:w="15" w:type="dxa"/>
            </w:tcMar>
            <w:vAlign w:val="center"/>
          </w:tcPr>
          <w:p w14:paraId="5C8CCBA0" w14:textId="77777777" w:rsidR="002E474C" w:rsidRDefault="00000000">
            <w:pPr>
              <w:pStyle w:val="A-"/>
            </w:pPr>
            <w:r>
              <w:t>1</w:t>
            </w:r>
            <w:r>
              <w:t>月</w:t>
            </w:r>
          </w:p>
        </w:tc>
        <w:tc>
          <w:tcPr>
            <w:tcW w:w="357" w:type="pct"/>
            <w:shd w:val="clear" w:color="auto" w:fill="auto"/>
            <w:noWrap/>
            <w:tcMar>
              <w:top w:w="15" w:type="dxa"/>
              <w:left w:w="15" w:type="dxa"/>
              <w:bottom w:w="0" w:type="dxa"/>
              <w:right w:w="15" w:type="dxa"/>
            </w:tcMar>
            <w:vAlign w:val="center"/>
          </w:tcPr>
          <w:p w14:paraId="206C90B8" w14:textId="77777777" w:rsidR="002E474C" w:rsidRDefault="00000000">
            <w:pPr>
              <w:pStyle w:val="A-"/>
            </w:pPr>
            <w:r>
              <w:t>2</w:t>
            </w:r>
            <w:r>
              <w:t>月</w:t>
            </w:r>
          </w:p>
        </w:tc>
        <w:tc>
          <w:tcPr>
            <w:tcW w:w="357" w:type="pct"/>
            <w:shd w:val="clear" w:color="auto" w:fill="auto"/>
            <w:noWrap/>
            <w:tcMar>
              <w:top w:w="15" w:type="dxa"/>
              <w:left w:w="15" w:type="dxa"/>
              <w:bottom w:w="0" w:type="dxa"/>
              <w:right w:w="15" w:type="dxa"/>
            </w:tcMar>
            <w:vAlign w:val="center"/>
          </w:tcPr>
          <w:p w14:paraId="7FF8A347" w14:textId="77777777" w:rsidR="002E474C" w:rsidRDefault="00000000">
            <w:pPr>
              <w:pStyle w:val="A-"/>
            </w:pPr>
            <w:r>
              <w:t>3</w:t>
            </w:r>
            <w:r>
              <w:t>月</w:t>
            </w:r>
          </w:p>
        </w:tc>
        <w:tc>
          <w:tcPr>
            <w:tcW w:w="357" w:type="pct"/>
            <w:shd w:val="clear" w:color="auto" w:fill="auto"/>
            <w:noWrap/>
            <w:tcMar>
              <w:top w:w="15" w:type="dxa"/>
              <w:left w:w="15" w:type="dxa"/>
              <w:bottom w:w="0" w:type="dxa"/>
              <w:right w:w="15" w:type="dxa"/>
            </w:tcMar>
            <w:vAlign w:val="center"/>
          </w:tcPr>
          <w:p w14:paraId="009CE317" w14:textId="77777777" w:rsidR="002E474C" w:rsidRDefault="00000000">
            <w:pPr>
              <w:pStyle w:val="A-"/>
            </w:pPr>
            <w:r>
              <w:t>4</w:t>
            </w:r>
            <w:r>
              <w:t>月</w:t>
            </w:r>
          </w:p>
        </w:tc>
        <w:tc>
          <w:tcPr>
            <w:tcW w:w="357" w:type="pct"/>
            <w:shd w:val="clear" w:color="auto" w:fill="auto"/>
            <w:noWrap/>
            <w:tcMar>
              <w:top w:w="15" w:type="dxa"/>
              <w:left w:w="15" w:type="dxa"/>
              <w:bottom w:w="0" w:type="dxa"/>
              <w:right w:w="15" w:type="dxa"/>
            </w:tcMar>
            <w:vAlign w:val="center"/>
          </w:tcPr>
          <w:p w14:paraId="1DC0AC6B" w14:textId="77777777" w:rsidR="002E474C" w:rsidRDefault="00000000">
            <w:pPr>
              <w:pStyle w:val="A-"/>
            </w:pPr>
            <w:r>
              <w:t>5</w:t>
            </w:r>
            <w:r>
              <w:t>月</w:t>
            </w:r>
          </w:p>
        </w:tc>
        <w:tc>
          <w:tcPr>
            <w:tcW w:w="357" w:type="pct"/>
            <w:shd w:val="clear" w:color="auto" w:fill="auto"/>
            <w:noWrap/>
            <w:tcMar>
              <w:top w:w="15" w:type="dxa"/>
              <w:left w:w="15" w:type="dxa"/>
              <w:bottom w:w="0" w:type="dxa"/>
              <w:right w:w="15" w:type="dxa"/>
            </w:tcMar>
            <w:vAlign w:val="center"/>
          </w:tcPr>
          <w:p w14:paraId="03A34E28" w14:textId="77777777" w:rsidR="002E474C" w:rsidRDefault="00000000">
            <w:pPr>
              <w:pStyle w:val="A-"/>
            </w:pPr>
            <w:r>
              <w:t>6</w:t>
            </w:r>
            <w:r>
              <w:t>月</w:t>
            </w:r>
          </w:p>
        </w:tc>
        <w:tc>
          <w:tcPr>
            <w:tcW w:w="357" w:type="pct"/>
            <w:shd w:val="clear" w:color="auto" w:fill="auto"/>
            <w:noWrap/>
            <w:tcMar>
              <w:top w:w="15" w:type="dxa"/>
              <w:left w:w="15" w:type="dxa"/>
              <w:bottom w:w="0" w:type="dxa"/>
              <w:right w:w="15" w:type="dxa"/>
            </w:tcMar>
            <w:vAlign w:val="center"/>
          </w:tcPr>
          <w:p w14:paraId="2AFA05E0" w14:textId="77777777" w:rsidR="002E474C" w:rsidRDefault="00000000">
            <w:pPr>
              <w:pStyle w:val="A-"/>
            </w:pPr>
            <w:r>
              <w:t>7</w:t>
            </w:r>
            <w:r>
              <w:t>月</w:t>
            </w:r>
          </w:p>
        </w:tc>
        <w:tc>
          <w:tcPr>
            <w:tcW w:w="357" w:type="pct"/>
            <w:shd w:val="clear" w:color="auto" w:fill="auto"/>
            <w:noWrap/>
            <w:tcMar>
              <w:top w:w="15" w:type="dxa"/>
              <w:left w:w="15" w:type="dxa"/>
              <w:bottom w:w="0" w:type="dxa"/>
              <w:right w:w="15" w:type="dxa"/>
            </w:tcMar>
            <w:vAlign w:val="center"/>
          </w:tcPr>
          <w:p w14:paraId="54C01A15" w14:textId="77777777" w:rsidR="002E474C" w:rsidRDefault="00000000">
            <w:pPr>
              <w:pStyle w:val="A-"/>
            </w:pPr>
            <w:r>
              <w:t>8</w:t>
            </w:r>
            <w:r>
              <w:t>月</w:t>
            </w:r>
          </w:p>
        </w:tc>
        <w:tc>
          <w:tcPr>
            <w:tcW w:w="357" w:type="pct"/>
            <w:shd w:val="clear" w:color="auto" w:fill="auto"/>
            <w:noWrap/>
            <w:tcMar>
              <w:top w:w="15" w:type="dxa"/>
              <w:left w:w="15" w:type="dxa"/>
              <w:bottom w:w="0" w:type="dxa"/>
              <w:right w:w="15" w:type="dxa"/>
            </w:tcMar>
            <w:vAlign w:val="center"/>
          </w:tcPr>
          <w:p w14:paraId="68B5868F" w14:textId="77777777" w:rsidR="002E474C" w:rsidRDefault="00000000">
            <w:pPr>
              <w:pStyle w:val="A-"/>
            </w:pPr>
            <w:r>
              <w:t>9</w:t>
            </w:r>
            <w:r>
              <w:t>月</w:t>
            </w:r>
          </w:p>
        </w:tc>
        <w:tc>
          <w:tcPr>
            <w:tcW w:w="357" w:type="pct"/>
            <w:shd w:val="clear" w:color="auto" w:fill="auto"/>
            <w:noWrap/>
            <w:tcMar>
              <w:top w:w="15" w:type="dxa"/>
              <w:left w:w="15" w:type="dxa"/>
              <w:bottom w:w="0" w:type="dxa"/>
              <w:right w:w="15" w:type="dxa"/>
            </w:tcMar>
            <w:vAlign w:val="center"/>
          </w:tcPr>
          <w:p w14:paraId="16F805E7" w14:textId="77777777" w:rsidR="002E474C" w:rsidRDefault="00000000">
            <w:pPr>
              <w:pStyle w:val="A-"/>
            </w:pPr>
            <w:r>
              <w:t>10</w:t>
            </w:r>
            <w:r>
              <w:t>月</w:t>
            </w:r>
          </w:p>
        </w:tc>
        <w:tc>
          <w:tcPr>
            <w:tcW w:w="357" w:type="pct"/>
            <w:shd w:val="clear" w:color="auto" w:fill="auto"/>
            <w:noWrap/>
            <w:tcMar>
              <w:top w:w="15" w:type="dxa"/>
              <w:left w:w="15" w:type="dxa"/>
              <w:bottom w:w="0" w:type="dxa"/>
              <w:right w:w="15" w:type="dxa"/>
            </w:tcMar>
            <w:vAlign w:val="center"/>
          </w:tcPr>
          <w:p w14:paraId="44071C40" w14:textId="77777777" w:rsidR="002E474C" w:rsidRDefault="00000000">
            <w:pPr>
              <w:pStyle w:val="A-"/>
            </w:pPr>
            <w:r>
              <w:t>11</w:t>
            </w:r>
            <w:r>
              <w:t>月</w:t>
            </w:r>
          </w:p>
        </w:tc>
        <w:tc>
          <w:tcPr>
            <w:tcW w:w="353" w:type="pct"/>
            <w:shd w:val="clear" w:color="auto" w:fill="auto"/>
            <w:noWrap/>
            <w:tcMar>
              <w:top w:w="15" w:type="dxa"/>
              <w:left w:w="15" w:type="dxa"/>
              <w:bottom w:w="0" w:type="dxa"/>
              <w:right w:w="15" w:type="dxa"/>
            </w:tcMar>
            <w:vAlign w:val="center"/>
          </w:tcPr>
          <w:p w14:paraId="5FD398F7" w14:textId="77777777" w:rsidR="002E474C" w:rsidRDefault="00000000">
            <w:pPr>
              <w:pStyle w:val="A-"/>
            </w:pPr>
            <w:r>
              <w:t>12</w:t>
            </w:r>
            <w:r>
              <w:t>月</w:t>
            </w:r>
          </w:p>
        </w:tc>
      </w:tr>
      <w:tr w:rsidR="002E474C" w14:paraId="28BAE529" w14:textId="77777777">
        <w:trPr>
          <w:trHeight w:val="285"/>
        </w:trPr>
        <w:tc>
          <w:tcPr>
            <w:tcW w:w="720" w:type="pct"/>
            <w:shd w:val="clear" w:color="auto" w:fill="auto"/>
            <w:noWrap/>
            <w:tcMar>
              <w:top w:w="15" w:type="dxa"/>
              <w:left w:w="15" w:type="dxa"/>
              <w:bottom w:w="0" w:type="dxa"/>
              <w:right w:w="15" w:type="dxa"/>
            </w:tcMar>
            <w:vAlign w:val="center"/>
          </w:tcPr>
          <w:p w14:paraId="43FD1EF2" w14:textId="77777777" w:rsidR="002E474C" w:rsidRDefault="00000000">
            <w:pPr>
              <w:pStyle w:val="A-"/>
            </w:pPr>
            <w:r>
              <w:t>风速</w:t>
            </w:r>
            <w:r>
              <w:t>(m/s)</w:t>
            </w:r>
          </w:p>
        </w:tc>
        <w:tc>
          <w:tcPr>
            <w:tcW w:w="357" w:type="pct"/>
            <w:shd w:val="clear" w:color="auto" w:fill="auto"/>
            <w:noWrap/>
            <w:tcMar>
              <w:top w:w="15" w:type="dxa"/>
              <w:left w:w="15" w:type="dxa"/>
              <w:bottom w:w="0" w:type="dxa"/>
              <w:right w:w="15" w:type="dxa"/>
            </w:tcMar>
            <w:vAlign w:val="bottom"/>
          </w:tcPr>
          <w:p w14:paraId="609909E5" w14:textId="77777777" w:rsidR="002E474C" w:rsidRDefault="00000000">
            <w:pPr>
              <w:pStyle w:val="A-"/>
            </w:pPr>
            <w:r>
              <w:t xml:space="preserve">1.20 </w:t>
            </w:r>
          </w:p>
        </w:tc>
        <w:tc>
          <w:tcPr>
            <w:tcW w:w="357" w:type="pct"/>
            <w:shd w:val="clear" w:color="auto" w:fill="auto"/>
            <w:noWrap/>
            <w:tcMar>
              <w:top w:w="15" w:type="dxa"/>
              <w:left w:w="15" w:type="dxa"/>
              <w:bottom w:w="0" w:type="dxa"/>
              <w:right w:w="15" w:type="dxa"/>
            </w:tcMar>
            <w:vAlign w:val="bottom"/>
          </w:tcPr>
          <w:p w14:paraId="6A1D8A2E" w14:textId="77777777" w:rsidR="002E474C" w:rsidRDefault="00000000">
            <w:pPr>
              <w:pStyle w:val="A-"/>
            </w:pPr>
            <w:r>
              <w:t xml:space="preserve">1.67 </w:t>
            </w:r>
          </w:p>
        </w:tc>
        <w:tc>
          <w:tcPr>
            <w:tcW w:w="357" w:type="pct"/>
            <w:shd w:val="clear" w:color="auto" w:fill="auto"/>
            <w:noWrap/>
            <w:tcMar>
              <w:top w:w="15" w:type="dxa"/>
              <w:left w:w="15" w:type="dxa"/>
              <w:bottom w:w="0" w:type="dxa"/>
              <w:right w:w="15" w:type="dxa"/>
            </w:tcMar>
            <w:vAlign w:val="bottom"/>
          </w:tcPr>
          <w:p w14:paraId="0A4AE772" w14:textId="77777777" w:rsidR="002E474C" w:rsidRDefault="00000000">
            <w:pPr>
              <w:pStyle w:val="A-"/>
            </w:pPr>
            <w:r>
              <w:t xml:space="preserve">1.89 </w:t>
            </w:r>
          </w:p>
        </w:tc>
        <w:tc>
          <w:tcPr>
            <w:tcW w:w="357" w:type="pct"/>
            <w:shd w:val="clear" w:color="auto" w:fill="auto"/>
            <w:noWrap/>
            <w:tcMar>
              <w:top w:w="15" w:type="dxa"/>
              <w:left w:w="15" w:type="dxa"/>
              <w:bottom w:w="0" w:type="dxa"/>
              <w:right w:w="15" w:type="dxa"/>
            </w:tcMar>
            <w:vAlign w:val="bottom"/>
          </w:tcPr>
          <w:p w14:paraId="769DC6FE" w14:textId="77777777" w:rsidR="002E474C" w:rsidRDefault="00000000">
            <w:pPr>
              <w:pStyle w:val="A-"/>
            </w:pPr>
            <w:r>
              <w:t xml:space="preserve">2.47 </w:t>
            </w:r>
          </w:p>
        </w:tc>
        <w:tc>
          <w:tcPr>
            <w:tcW w:w="357" w:type="pct"/>
            <w:shd w:val="clear" w:color="auto" w:fill="auto"/>
            <w:noWrap/>
            <w:tcMar>
              <w:top w:w="15" w:type="dxa"/>
              <w:left w:w="15" w:type="dxa"/>
              <w:bottom w:w="0" w:type="dxa"/>
              <w:right w:w="15" w:type="dxa"/>
            </w:tcMar>
            <w:vAlign w:val="bottom"/>
          </w:tcPr>
          <w:p w14:paraId="1DE80286" w14:textId="77777777" w:rsidR="002E474C" w:rsidRDefault="00000000">
            <w:pPr>
              <w:pStyle w:val="A-"/>
            </w:pPr>
            <w:r>
              <w:t xml:space="preserve">2.42 </w:t>
            </w:r>
          </w:p>
        </w:tc>
        <w:tc>
          <w:tcPr>
            <w:tcW w:w="357" w:type="pct"/>
            <w:shd w:val="clear" w:color="auto" w:fill="auto"/>
            <w:noWrap/>
            <w:tcMar>
              <w:top w:w="15" w:type="dxa"/>
              <w:left w:w="15" w:type="dxa"/>
              <w:bottom w:w="0" w:type="dxa"/>
              <w:right w:w="15" w:type="dxa"/>
            </w:tcMar>
            <w:vAlign w:val="bottom"/>
          </w:tcPr>
          <w:p w14:paraId="68B59915" w14:textId="77777777" w:rsidR="002E474C" w:rsidRDefault="00000000">
            <w:pPr>
              <w:pStyle w:val="A-"/>
            </w:pPr>
            <w:r>
              <w:t xml:space="preserve">2.62 </w:t>
            </w:r>
          </w:p>
        </w:tc>
        <w:tc>
          <w:tcPr>
            <w:tcW w:w="357" w:type="pct"/>
            <w:shd w:val="clear" w:color="auto" w:fill="auto"/>
            <w:noWrap/>
            <w:tcMar>
              <w:top w:w="15" w:type="dxa"/>
              <w:left w:w="15" w:type="dxa"/>
              <w:bottom w:w="0" w:type="dxa"/>
              <w:right w:w="15" w:type="dxa"/>
            </w:tcMar>
            <w:vAlign w:val="bottom"/>
          </w:tcPr>
          <w:p w14:paraId="19BEA2A2" w14:textId="77777777" w:rsidR="002E474C" w:rsidRDefault="00000000">
            <w:pPr>
              <w:pStyle w:val="A-"/>
            </w:pPr>
            <w:r>
              <w:t xml:space="preserve">2.49 </w:t>
            </w:r>
          </w:p>
        </w:tc>
        <w:tc>
          <w:tcPr>
            <w:tcW w:w="357" w:type="pct"/>
            <w:shd w:val="clear" w:color="auto" w:fill="auto"/>
            <w:noWrap/>
            <w:tcMar>
              <w:top w:w="15" w:type="dxa"/>
              <w:left w:w="15" w:type="dxa"/>
              <w:bottom w:w="0" w:type="dxa"/>
              <w:right w:w="15" w:type="dxa"/>
            </w:tcMar>
            <w:vAlign w:val="bottom"/>
          </w:tcPr>
          <w:p w14:paraId="4171D8D3" w14:textId="77777777" w:rsidR="002E474C" w:rsidRDefault="00000000">
            <w:pPr>
              <w:pStyle w:val="A-"/>
            </w:pPr>
            <w:r>
              <w:t xml:space="preserve">2.34 </w:t>
            </w:r>
          </w:p>
        </w:tc>
        <w:tc>
          <w:tcPr>
            <w:tcW w:w="357" w:type="pct"/>
            <w:shd w:val="clear" w:color="auto" w:fill="auto"/>
            <w:noWrap/>
            <w:tcMar>
              <w:top w:w="15" w:type="dxa"/>
              <w:left w:w="15" w:type="dxa"/>
              <w:bottom w:w="0" w:type="dxa"/>
              <w:right w:w="15" w:type="dxa"/>
            </w:tcMar>
            <w:vAlign w:val="bottom"/>
          </w:tcPr>
          <w:p w14:paraId="4797E46E" w14:textId="77777777" w:rsidR="002E474C" w:rsidRDefault="00000000">
            <w:pPr>
              <w:pStyle w:val="A-"/>
            </w:pPr>
            <w:r>
              <w:t xml:space="preserve">2.13 </w:t>
            </w:r>
          </w:p>
        </w:tc>
        <w:tc>
          <w:tcPr>
            <w:tcW w:w="357" w:type="pct"/>
            <w:shd w:val="clear" w:color="auto" w:fill="auto"/>
            <w:noWrap/>
            <w:tcMar>
              <w:top w:w="15" w:type="dxa"/>
              <w:left w:w="15" w:type="dxa"/>
              <w:bottom w:w="0" w:type="dxa"/>
              <w:right w:w="15" w:type="dxa"/>
            </w:tcMar>
            <w:vAlign w:val="bottom"/>
          </w:tcPr>
          <w:p w14:paraId="29231845" w14:textId="77777777" w:rsidR="002E474C" w:rsidRDefault="00000000">
            <w:pPr>
              <w:pStyle w:val="A-"/>
            </w:pPr>
            <w:r>
              <w:t xml:space="preserve">1.79 </w:t>
            </w:r>
          </w:p>
        </w:tc>
        <w:tc>
          <w:tcPr>
            <w:tcW w:w="357" w:type="pct"/>
            <w:shd w:val="clear" w:color="auto" w:fill="auto"/>
            <w:noWrap/>
            <w:tcMar>
              <w:top w:w="15" w:type="dxa"/>
              <w:left w:w="15" w:type="dxa"/>
              <w:bottom w:w="0" w:type="dxa"/>
              <w:right w:w="15" w:type="dxa"/>
            </w:tcMar>
            <w:vAlign w:val="bottom"/>
          </w:tcPr>
          <w:p w14:paraId="4266CD68" w14:textId="77777777" w:rsidR="002E474C" w:rsidRDefault="00000000">
            <w:pPr>
              <w:pStyle w:val="A-"/>
            </w:pPr>
            <w:r>
              <w:t xml:space="preserve">1.50 </w:t>
            </w:r>
          </w:p>
        </w:tc>
        <w:tc>
          <w:tcPr>
            <w:tcW w:w="353" w:type="pct"/>
            <w:shd w:val="clear" w:color="auto" w:fill="auto"/>
            <w:noWrap/>
            <w:tcMar>
              <w:top w:w="15" w:type="dxa"/>
              <w:left w:w="15" w:type="dxa"/>
              <w:bottom w:w="0" w:type="dxa"/>
              <w:right w:w="15" w:type="dxa"/>
            </w:tcMar>
            <w:vAlign w:val="bottom"/>
          </w:tcPr>
          <w:p w14:paraId="7CE2ED6A" w14:textId="77777777" w:rsidR="002E474C" w:rsidRDefault="00000000">
            <w:pPr>
              <w:pStyle w:val="A-"/>
            </w:pPr>
            <w:r>
              <w:t xml:space="preserve">1.20 </w:t>
            </w:r>
          </w:p>
        </w:tc>
      </w:tr>
    </w:tbl>
    <w:p w14:paraId="24F60DDE" w14:textId="77777777" w:rsidR="002E474C" w:rsidRDefault="00000000">
      <w:pPr>
        <w:pStyle w:val="A--"/>
        <w:spacing w:before="156"/>
        <w:rPr>
          <w:color w:val="auto"/>
        </w:rPr>
      </w:pPr>
      <w:r>
        <w:rPr>
          <w:noProof/>
          <w:color w:val="auto"/>
        </w:rPr>
        <w:drawing>
          <wp:inline distT="0" distB="0" distL="0" distR="0" wp14:anchorId="49127E97" wp14:editId="658F50BA">
            <wp:extent cx="4970145" cy="1753870"/>
            <wp:effectExtent l="4445" t="4445" r="16510" b="13335"/>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7ECB6D" w14:textId="77777777" w:rsidR="002E474C" w:rsidRDefault="00000000">
      <w:pPr>
        <w:pStyle w:val="A--"/>
        <w:spacing w:before="156"/>
        <w:rPr>
          <w:color w:val="auto"/>
        </w:rPr>
      </w:pPr>
      <w:bookmarkStart w:id="265" w:name="_Ref77934386"/>
      <w:r>
        <w:rPr>
          <w:color w:val="auto"/>
        </w:rPr>
        <w:t>图</w:t>
      </w:r>
      <w:r>
        <w:rPr>
          <w:color w:val="auto"/>
        </w:rPr>
        <w:t>5.1</w:t>
      </w:r>
      <w:r>
        <w:rPr>
          <w:color w:val="auto"/>
        </w:rPr>
        <w:noBreakHyphen/>
        <w:t>2</w:t>
      </w:r>
      <w:bookmarkEnd w:id="265"/>
      <w:r>
        <w:rPr>
          <w:color w:val="auto"/>
        </w:rPr>
        <w:t xml:space="preserve">  </w:t>
      </w:r>
      <w:r>
        <w:rPr>
          <w:color w:val="auto"/>
        </w:rPr>
        <w:t>年平均风速的月变化图</w:t>
      </w:r>
    </w:p>
    <w:p w14:paraId="314EDCE8" w14:textId="77777777" w:rsidR="002E474C" w:rsidRDefault="00000000">
      <w:pPr>
        <w:pStyle w:val="A-0"/>
        <w:spacing w:before="156"/>
        <w:rPr>
          <w:color w:val="auto"/>
        </w:rPr>
      </w:pPr>
      <w:bookmarkStart w:id="266" w:name="_Ref138269624"/>
      <w:r>
        <w:rPr>
          <w:color w:val="auto"/>
        </w:rPr>
        <w:t>表</w:t>
      </w:r>
      <w:r>
        <w:rPr>
          <w:color w:val="auto"/>
        </w:rPr>
        <w:t>5.1</w:t>
      </w:r>
      <w:r>
        <w:rPr>
          <w:color w:val="auto"/>
        </w:rPr>
        <w:noBreakHyphen/>
      </w:r>
      <w:bookmarkEnd w:id="266"/>
      <w:r>
        <w:rPr>
          <w:color w:val="auto"/>
        </w:rPr>
        <w:t xml:space="preserve">4         </w:t>
      </w:r>
      <w:r>
        <w:rPr>
          <w:color w:val="auto"/>
        </w:rPr>
        <w:t>季小时平均风速的日变化</w:t>
      </w:r>
    </w:p>
    <w:tbl>
      <w:tblPr>
        <w:tblW w:w="5000" w:type="pct"/>
        <w:tblCellMar>
          <w:left w:w="0" w:type="dxa"/>
          <w:right w:w="0" w:type="dxa"/>
        </w:tblCellMar>
        <w:tblLook w:val="04A0" w:firstRow="1" w:lastRow="0" w:firstColumn="1" w:lastColumn="0" w:noHBand="0" w:noVBand="1"/>
      </w:tblPr>
      <w:tblGrid>
        <w:gridCol w:w="1769"/>
        <w:gridCol w:w="540"/>
        <w:gridCol w:w="542"/>
        <w:gridCol w:w="542"/>
        <w:gridCol w:w="545"/>
        <w:gridCol w:w="545"/>
        <w:gridCol w:w="545"/>
        <w:gridCol w:w="546"/>
        <w:gridCol w:w="546"/>
        <w:gridCol w:w="546"/>
        <w:gridCol w:w="546"/>
        <w:gridCol w:w="546"/>
        <w:gridCol w:w="538"/>
      </w:tblGrid>
      <w:tr w:rsidR="002E474C" w14:paraId="5C3DD8F3" w14:textId="77777777">
        <w:tc>
          <w:tcPr>
            <w:tcW w:w="1062"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top w:w="15" w:type="dxa"/>
              <w:left w:w="15" w:type="dxa"/>
              <w:bottom w:w="0" w:type="dxa"/>
              <w:right w:w="15" w:type="dxa"/>
            </w:tcMar>
            <w:vAlign w:val="center"/>
          </w:tcPr>
          <w:p w14:paraId="397D6E9F" w14:textId="77777777" w:rsidR="002E474C" w:rsidRDefault="00000000">
            <w:pPr>
              <w:pStyle w:val="A-"/>
            </w:pPr>
            <w:r>
              <w:t>风速</w:t>
            </w:r>
            <w:r>
              <w:t xml:space="preserve">(m/s)  </w:t>
            </w:r>
            <w:r>
              <w:t>小时</w:t>
            </w:r>
            <w:r>
              <w:t xml:space="preserve">(h)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09A866" w14:textId="77777777" w:rsidR="002E474C" w:rsidRDefault="00000000">
            <w:pPr>
              <w:pStyle w:val="A-"/>
            </w:pPr>
            <w:r>
              <w:t>1</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8E1457" w14:textId="77777777" w:rsidR="002E474C" w:rsidRDefault="00000000">
            <w:pPr>
              <w:pStyle w:val="A-"/>
            </w:pPr>
            <w:r>
              <w:t>2</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AF2BCB" w14:textId="77777777" w:rsidR="002E474C" w:rsidRDefault="00000000">
            <w:pPr>
              <w:pStyle w:val="A-"/>
            </w:pPr>
            <w:r>
              <w:t>3</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2FCA96" w14:textId="77777777" w:rsidR="002E474C" w:rsidRDefault="00000000">
            <w:pPr>
              <w:pStyle w:val="A-"/>
            </w:pPr>
            <w:r>
              <w:t>4</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7BAD0A" w14:textId="77777777" w:rsidR="002E474C" w:rsidRDefault="00000000">
            <w:pPr>
              <w:pStyle w:val="A-"/>
            </w:pPr>
            <w:r>
              <w:t>5</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AA3C96" w14:textId="77777777" w:rsidR="002E474C" w:rsidRDefault="00000000">
            <w:pPr>
              <w:pStyle w:val="A-"/>
            </w:pPr>
            <w:r>
              <w:t>6</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E32C2C" w14:textId="77777777" w:rsidR="002E474C" w:rsidRDefault="00000000">
            <w:pPr>
              <w:pStyle w:val="A-"/>
            </w:pPr>
            <w:r>
              <w:t>7</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225A1E" w14:textId="77777777" w:rsidR="002E474C" w:rsidRDefault="00000000">
            <w:pPr>
              <w:pStyle w:val="A-"/>
            </w:pPr>
            <w:r>
              <w:t>8</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E80B56" w14:textId="77777777" w:rsidR="002E474C" w:rsidRDefault="00000000">
            <w:pPr>
              <w:pStyle w:val="A-"/>
            </w:pPr>
            <w:r>
              <w:t>9</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07C54D" w14:textId="77777777" w:rsidR="002E474C" w:rsidRDefault="00000000">
            <w:pPr>
              <w:pStyle w:val="A-"/>
            </w:pPr>
            <w:r>
              <w:t>10</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28D366" w14:textId="77777777" w:rsidR="002E474C" w:rsidRDefault="00000000">
            <w:pPr>
              <w:pStyle w:val="A-"/>
            </w:pPr>
            <w:r>
              <w:t>11</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429AE9" w14:textId="77777777" w:rsidR="002E474C" w:rsidRDefault="00000000">
            <w:pPr>
              <w:pStyle w:val="A-"/>
            </w:pPr>
            <w:r>
              <w:t>12</w:t>
            </w:r>
          </w:p>
        </w:tc>
      </w:tr>
      <w:tr w:rsidR="002E474C" w14:paraId="1BC0BA20"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BB8C94E" w14:textId="77777777" w:rsidR="002E474C" w:rsidRDefault="00000000">
            <w:pPr>
              <w:pStyle w:val="A-"/>
            </w:pPr>
            <w:r>
              <w:t>春季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0F85D0" w14:textId="77777777" w:rsidR="002E474C" w:rsidRDefault="00000000">
            <w:pPr>
              <w:pStyle w:val="A-"/>
              <w:rPr>
                <w:sz w:val="24"/>
                <w:szCs w:val="24"/>
              </w:rPr>
            </w:pPr>
            <w:r>
              <w:t xml:space="preserve">2.70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8D332F" w14:textId="77777777" w:rsidR="002E474C" w:rsidRDefault="00000000">
            <w:pPr>
              <w:pStyle w:val="A-"/>
            </w:pPr>
            <w:r>
              <w:t xml:space="preserve">2.83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F17BDF" w14:textId="77777777" w:rsidR="002E474C" w:rsidRDefault="00000000">
            <w:pPr>
              <w:pStyle w:val="A-"/>
            </w:pPr>
            <w:r>
              <w:t xml:space="preserve">2.49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2A0622" w14:textId="77777777" w:rsidR="002E474C" w:rsidRDefault="00000000">
            <w:pPr>
              <w:pStyle w:val="A-"/>
            </w:pPr>
            <w:r>
              <w:t xml:space="preserve">2.35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3A244F" w14:textId="77777777" w:rsidR="002E474C" w:rsidRDefault="00000000">
            <w:pPr>
              <w:pStyle w:val="A-"/>
            </w:pPr>
            <w:r>
              <w:t xml:space="preserve">2.23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8FE25B" w14:textId="77777777" w:rsidR="002E474C" w:rsidRDefault="00000000">
            <w:pPr>
              <w:pStyle w:val="A-"/>
            </w:pPr>
            <w:r>
              <w:t xml:space="preserve">2.05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EBC056" w14:textId="77777777" w:rsidR="002E474C" w:rsidRDefault="00000000">
            <w:pPr>
              <w:pStyle w:val="A-"/>
            </w:pPr>
            <w:r>
              <w:t xml:space="preserve">1.97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3E5FB6" w14:textId="77777777" w:rsidR="002E474C" w:rsidRDefault="00000000">
            <w:pPr>
              <w:pStyle w:val="A-"/>
            </w:pPr>
            <w:r>
              <w:t xml:space="preserve">1.94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EA92FF" w14:textId="77777777" w:rsidR="002E474C" w:rsidRDefault="00000000">
            <w:pPr>
              <w:pStyle w:val="A-"/>
            </w:pPr>
            <w:r>
              <w:t xml:space="preserve">2.05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161E39" w14:textId="77777777" w:rsidR="002E474C" w:rsidRDefault="00000000">
            <w:pPr>
              <w:pStyle w:val="A-"/>
            </w:pPr>
            <w:r>
              <w:t xml:space="preserve">2.15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924587" w14:textId="77777777" w:rsidR="002E474C" w:rsidRDefault="00000000">
            <w:pPr>
              <w:pStyle w:val="A-"/>
            </w:pPr>
            <w:r>
              <w:t xml:space="preserve">2.38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821732" w14:textId="77777777" w:rsidR="002E474C" w:rsidRDefault="00000000">
            <w:pPr>
              <w:pStyle w:val="A-"/>
            </w:pPr>
            <w:r>
              <w:t xml:space="preserve">2.35 </w:t>
            </w:r>
          </w:p>
        </w:tc>
      </w:tr>
      <w:tr w:rsidR="002E474C" w14:paraId="5ECB9390"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BB112C0" w14:textId="77777777" w:rsidR="002E474C" w:rsidRDefault="00000000">
            <w:pPr>
              <w:pStyle w:val="A-"/>
            </w:pPr>
            <w:r>
              <w:t>夏季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292145" w14:textId="77777777" w:rsidR="002E474C" w:rsidRDefault="00000000">
            <w:pPr>
              <w:pStyle w:val="A-"/>
            </w:pPr>
            <w:r>
              <w:t xml:space="preserve">2.54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EE45E2" w14:textId="77777777" w:rsidR="002E474C" w:rsidRDefault="00000000">
            <w:pPr>
              <w:pStyle w:val="A-"/>
            </w:pPr>
            <w:r>
              <w:t xml:space="preserve">2.46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FBC592" w14:textId="77777777" w:rsidR="002E474C" w:rsidRDefault="00000000">
            <w:pPr>
              <w:pStyle w:val="A-"/>
            </w:pPr>
            <w:r>
              <w:t xml:space="preserve">2.84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D73D0A" w14:textId="77777777" w:rsidR="002E474C" w:rsidRDefault="00000000">
            <w:pPr>
              <w:pStyle w:val="A-"/>
            </w:pPr>
            <w:r>
              <w:t xml:space="preserve">2.79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4DA204" w14:textId="77777777" w:rsidR="002E474C" w:rsidRDefault="00000000">
            <w:pPr>
              <w:pStyle w:val="A-"/>
            </w:pPr>
            <w:r>
              <w:t xml:space="preserve">2.58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4D572F" w14:textId="77777777" w:rsidR="002E474C" w:rsidRDefault="00000000">
            <w:pPr>
              <w:pStyle w:val="A-"/>
            </w:pPr>
            <w:r>
              <w:t xml:space="preserve">2.35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1676EC" w14:textId="77777777" w:rsidR="002E474C" w:rsidRDefault="00000000">
            <w:pPr>
              <w:pStyle w:val="A-"/>
            </w:pPr>
            <w:r>
              <w:t xml:space="preserve">2.25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DD1533" w14:textId="77777777" w:rsidR="002E474C" w:rsidRDefault="00000000">
            <w:pPr>
              <w:pStyle w:val="A-"/>
            </w:pPr>
            <w:r>
              <w:t xml:space="preserve">2.05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831AB9" w14:textId="77777777" w:rsidR="002E474C" w:rsidRDefault="00000000">
            <w:pPr>
              <w:pStyle w:val="A-"/>
            </w:pPr>
            <w:r>
              <w:t xml:space="preserve">2.31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A4F2D7" w14:textId="77777777" w:rsidR="002E474C" w:rsidRDefault="00000000">
            <w:pPr>
              <w:pStyle w:val="A-"/>
            </w:pPr>
            <w:r>
              <w:t xml:space="preserve">2.63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04EE75" w14:textId="77777777" w:rsidR="002E474C" w:rsidRDefault="00000000">
            <w:pPr>
              <w:pStyle w:val="A-"/>
            </w:pPr>
            <w:r>
              <w:t xml:space="preserve">2.59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3CDBDD" w14:textId="77777777" w:rsidR="002E474C" w:rsidRDefault="00000000">
            <w:pPr>
              <w:pStyle w:val="A-"/>
            </w:pPr>
            <w:r>
              <w:t xml:space="preserve">2.45 </w:t>
            </w:r>
          </w:p>
        </w:tc>
      </w:tr>
      <w:tr w:rsidR="002E474C" w14:paraId="29CED4D7"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2E8D2D4" w14:textId="77777777" w:rsidR="002E474C" w:rsidRDefault="00000000">
            <w:pPr>
              <w:pStyle w:val="A-"/>
            </w:pPr>
            <w:r>
              <w:t>秋季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ECEED9" w14:textId="77777777" w:rsidR="002E474C" w:rsidRDefault="00000000">
            <w:pPr>
              <w:pStyle w:val="A-"/>
            </w:pPr>
            <w:r>
              <w:t xml:space="preserve">2.04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93E0E3" w14:textId="77777777" w:rsidR="002E474C" w:rsidRDefault="00000000">
            <w:pPr>
              <w:pStyle w:val="A-"/>
            </w:pPr>
            <w:r>
              <w:t xml:space="preserve">1.98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27273A" w14:textId="77777777" w:rsidR="002E474C" w:rsidRDefault="00000000">
            <w:pPr>
              <w:pStyle w:val="A-"/>
            </w:pPr>
            <w:r>
              <w:t xml:space="preserve">1.99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18AFD8" w14:textId="77777777" w:rsidR="002E474C" w:rsidRDefault="00000000">
            <w:pPr>
              <w:pStyle w:val="A-"/>
            </w:pPr>
            <w:r>
              <w:t xml:space="preserve">1.80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1EA7CB" w14:textId="77777777" w:rsidR="002E474C" w:rsidRDefault="00000000">
            <w:pPr>
              <w:pStyle w:val="A-"/>
            </w:pPr>
            <w:r>
              <w:t xml:space="preserve">1.84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17E4AC" w14:textId="77777777" w:rsidR="002E474C" w:rsidRDefault="00000000">
            <w:pPr>
              <w:pStyle w:val="A-"/>
            </w:pPr>
            <w:r>
              <w:t xml:space="preserve">1.77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AC7C3A" w14:textId="77777777" w:rsidR="002E474C" w:rsidRDefault="00000000">
            <w:pPr>
              <w:pStyle w:val="A-"/>
            </w:pPr>
            <w:r>
              <w:t xml:space="preserve">1.77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26A837" w14:textId="77777777" w:rsidR="002E474C" w:rsidRDefault="00000000">
            <w:pPr>
              <w:pStyle w:val="A-"/>
            </w:pPr>
            <w:r>
              <w:t xml:space="preserve">1.67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103C98" w14:textId="77777777" w:rsidR="002E474C" w:rsidRDefault="00000000">
            <w:pPr>
              <w:pStyle w:val="A-"/>
            </w:pPr>
            <w:r>
              <w:t xml:space="preserve">1.56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F15B4E" w14:textId="77777777" w:rsidR="002E474C" w:rsidRDefault="00000000">
            <w:pPr>
              <w:pStyle w:val="A-"/>
            </w:pPr>
            <w:r>
              <w:t xml:space="preserve">1.63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4868C6" w14:textId="77777777" w:rsidR="002E474C" w:rsidRDefault="00000000">
            <w:pPr>
              <w:pStyle w:val="A-"/>
            </w:pPr>
            <w:r>
              <w:t xml:space="preserve">1.77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E83891" w14:textId="77777777" w:rsidR="002E474C" w:rsidRDefault="00000000">
            <w:pPr>
              <w:pStyle w:val="A-"/>
            </w:pPr>
            <w:r>
              <w:t xml:space="preserve">1.95 </w:t>
            </w:r>
          </w:p>
        </w:tc>
      </w:tr>
      <w:tr w:rsidR="002E474C" w14:paraId="7CF8C82E"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C7FE7D" w14:textId="77777777" w:rsidR="002E474C" w:rsidRDefault="00000000">
            <w:pPr>
              <w:pStyle w:val="A-"/>
            </w:pPr>
            <w:r>
              <w:lastRenderedPageBreak/>
              <w:t>冬季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7AFF10" w14:textId="77777777" w:rsidR="002E474C" w:rsidRDefault="00000000">
            <w:pPr>
              <w:pStyle w:val="A-"/>
            </w:pPr>
            <w:r>
              <w:t xml:space="preserve">1.48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97FA2D" w14:textId="77777777" w:rsidR="002E474C" w:rsidRDefault="00000000">
            <w:pPr>
              <w:pStyle w:val="A-"/>
            </w:pPr>
            <w:r>
              <w:t xml:space="preserve">1.48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6589BC" w14:textId="77777777" w:rsidR="002E474C" w:rsidRDefault="00000000">
            <w:pPr>
              <w:pStyle w:val="A-"/>
            </w:pPr>
            <w:r>
              <w:t xml:space="preserve">1.47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61AEA9" w14:textId="77777777" w:rsidR="002E474C" w:rsidRDefault="00000000">
            <w:pPr>
              <w:pStyle w:val="A-"/>
            </w:pPr>
            <w:r>
              <w:t xml:space="preserve">1.45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768089" w14:textId="77777777" w:rsidR="002E474C" w:rsidRDefault="00000000">
            <w:pPr>
              <w:pStyle w:val="A-"/>
            </w:pPr>
            <w:r>
              <w:t xml:space="preserve">1.50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2DB3E6" w14:textId="77777777" w:rsidR="002E474C" w:rsidRDefault="00000000">
            <w:pPr>
              <w:pStyle w:val="A-"/>
            </w:pPr>
            <w:r>
              <w:t xml:space="preserve">1.40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5B7E3C" w14:textId="77777777" w:rsidR="002E474C" w:rsidRDefault="00000000">
            <w:pPr>
              <w:pStyle w:val="A-"/>
            </w:pPr>
            <w:r>
              <w:t xml:space="preserve">1.46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068B0E" w14:textId="77777777" w:rsidR="002E474C" w:rsidRDefault="00000000">
            <w:pPr>
              <w:pStyle w:val="A-"/>
            </w:pPr>
            <w:r>
              <w:t xml:space="preserve">1.36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1167F6" w14:textId="77777777" w:rsidR="002E474C" w:rsidRDefault="00000000">
            <w:pPr>
              <w:pStyle w:val="A-"/>
            </w:pPr>
            <w:r>
              <w:t xml:space="preserve">1.37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CE13F7" w14:textId="77777777" w:rsidR="002E474C" w:rsidRDefault="00000000">
            <w:pPr>
              <w:pStyle w:val="A-"/>
            </w:pPr>
            <w:r>
              <w:t xml:space="preserve">1.31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E0F57F" w14:textId="77777777" w:rsidR="002E474C" w:rsidRDefault="00000000">
            <w:pPr>
              <w:pStyle w:val="A-"/>
            </w:pPr>
            <w:r>
              <w:t xml:space="preserve">1.15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36F242" w14:textId="77777777" w:rsidR="002E474C" w:rsidRDefault="00000000">
            <w:pPr>
              <w:pStyle w:val="A-"/>
            </w:pPr>
            <w:r>
              <w:t xml:space="preserve">1.42 </w:t>
            </w:r>
          </w:p>
        </w:tc>
      </w:tr>
      <w:tr w:rsidR="002E474C" w14:paraId="50291F1F" w14:textId="77777777">
        <w:tc>
          <w:tcPr>
            <w:tcW w:w="1062"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top w:w="15" w:type="dxa"/>
              <w:left w:w="15" w:type="dxa"/>
              <w:bottom w:w="0" w:type="dxa"/>
              <w:right w:w="15" w:type="dxa"/>
            </w:tcMar>
            <w:vAlign w:val="center"/>
          </w:tcPr>
          <w:p w14:paraId="6F2496BA" w14:textId="77777777" w:rsidR="002E474C" w:rsidRDefault="00000000">
            <w:pPr>
              <w:pStyle w:val="A-"/>
            </w:pPr>
            <w:r>
              <w:t>风速</w:t>
            </w:r>
            <w:r>
              <w:t xml:space="preserve">(m/s)  </w:t>
            </w:r>
            <w:r>
              <w:t>小时</w:t>
            </w:r>
            <w:r>
              <w:t xml:space="preserve">(h)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B74DE3" w14:textId="77777777" w:rsidR="002E474C" w:rsidRDefault="00000000">
            <w:pPr>
              <w:pStyle w:val="A-"/>
            </w:pPr>
            <w:r>
              <w:t>13</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33E218" w14:textId="77777777" w:rsidR="002E474C" w:rsidRDefault="00000000">
            <w:pPr>
              <w:pStyle w:val="A-"/>
            </w:pPr>
            <w:r>
              <w:t>14</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758A63" w14:textId="77777777" w:rsidR="002E474C" w:rsidRDefault="00000000">
            <w:pPr>
              <w:pStyle w:val="A-"/>
            </w:pPr>
            <w:r>
              <w:t>15</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4ABF5E" w14:textId="77777777" w:rsidR="002E474C" w:rsidRDefault="00000000">
            <w:pPr>
              <w:pStyle w:val="A-"/>
            </w:pPr>
            <w:r>
              <w:t>16</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9C7D52" w14:textId="77777777" w:rsidR="002E474C" w:rsidRDefault="00000000">
            <w:pPr>
              <w:pStyle w:val="A-"/>
            </w:pPr>
            <w:r>
              <w:t>17</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809C82" w14:textId="77777777" w:rsidR="002E474C" w:rsidRDefault="00000000">
            <w:pPr>
              <w:pStyle w:val="A-"/>
            </w:pPr>
            <w:r>
              <w:t>18</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0132BE" w14:textId="77777777" w:rsidR="002E474C" w:rsidRDefault="00000000">
            <w:pPr>
              <w:pStyle w:val="A-"/>
            </w:pPr>
            <w:r>
              <w:t>19</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048542" w14:textId="77777777" w:rsidR="002E474C" w:rsidRDefault="00000000">
            <w:pPr>
              <w:pStyle w:val="A-"/>
            </w:pPr>
            <w:r>
              <w:t>20</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78ED79" w14:textId="77777777" w:rsidR="002E474C" w:rsidRDefault="00000000">
            <w:pPr>
              <w:pStyle w:val="A-"/>
            </w:pPr>
            <w:r>
              <w:t>21</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3B1325" w14:textId="77777777" w:rsidR="002E474C" w:rsidRDefault="00000000">
            <w:pPr>
              <w:pStyle w:val="A-"/>
            </w:pPr>
            <w:r>
              <w:t>22</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5A6AA1" w14:textId="77777777" w:rsidR="002E474C" w:rsidRDefault="00000000">
            <w:pPr>
              <w:pStyle w:val="A-"/>
            </w:pPr>
            <w:r>
              <w:t>23</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B96373" w14:textId="77777777" w:rsidR="002E474C" w:rsidRDefault="00000000">
            <w:pPr>
              <w:pStyle w:val="A-"/>
            </w:pPr>
            <w:r>
              <w:t>24</w:t>
            </w:r>
          </w:p>
        </w:tc>
      </w:tr>
      <w:tr w:rsidR="002E474C" w14:paraId="34C5B900"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9BDB20" w14:textId="77777777" w:rsidR="002E474C" w:rsidRDefault="00000000">
            <w:pPr>
              <w:pStyle w:val="A-"/>
            </w:pPr>
            <w:r>
              <w:t>春季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3245EB" w14:textId="77777777" w:rsidR="002E474C" w:rsidRDefault="00000000">
            <w:pPr>
              <w:pStyle w:val="A-"/>
              <w:rPr>
                <w:sz w:val="24"/>
                <w:szCs w:val="24"/>
              </w:rPr>
            </w:pPr>
            <w:r>
              <w:t xml:space="preserve">2.19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B14CC4" w14:textId="77777777" w:rsidR="002E474C" w:rsidRDefault="00000000">
            <w:pPr>
              <w:pStyle w:val="A-"/>
            </w:pPr>
            <w:r>
              <w:t xml:space="preserve">2.14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DAF9E9" w14:textId="77777777" w:rsidR="002E474C" w:rsidRDefault="00000000">
            <w:pPr>
              <w:pStyle w:val="A-"/>
            </w:pPr>
            <w:r>
              <w:t xml:space="preserve">2.22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B2191D" w14:textId="77777777" w:rsidR="002E474C" w:rsidRDefault="00000000">
            <w:pPr>
              <w:pStyle w:val="A-"/>
            </w:pPr>
            <w:r>
              <w:t xml:space="preserve">2.22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7A5395" w14:textId="77777777" w:rsidR="002E474C" w:rsidRDefault="00000000">
            <w:pPr>
              <w:pStyle w:val="A-"/>
            </w:pPr>
            <w:r>
              <w:t xml:space="preserve">2.18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E58A78" w14:textId="77777777" w:rsidR="002E474C" w:rsidRDefault="00000000">
            <w:pPr>
              <w:pStyle w:val="A-"/>
            </w:pPr>
            <w:r>
              <w:t xml:space="preserve">2.20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FDE381" w14:textId="77777777" w:rsidR="002E474C" w:rsidRDefault="00000000">
            <w:pPr>
              <w:pStyle w:val="A-"/>
            </w:pPr>
            <w:r>
              <w:t xml:space="preserve">2.13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0D9166" w14:textId="77777777" w:rsidR="002E474C" w:rsidRDefault="00000000">
            <w:pPr>
              <w:pStyle w:val="A-"/>
            </w:pPr>
            <w:r>
              <w:t xml:space="preserve">2.08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8FBF1D" w14:textId="77777777" w:rsidR="002E474C" w:rsidRDefault="00000000">
            <w:pPr>
              <w:pStyle w:val="A-"/>
            </w:pPr>
            <w:r>
              <w:t xml:space="preserve">1.93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A372D5" w14:textId="77777777" w:rsidR="002E474C" w:rsidRDefault="00000000">
            <w:pPr>
              <w:pStyle w:val="A-"/>
            </w:pPr>
            <w:r>
              <w:t xml:space="preserve">2.31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79312A" w14:textId="77777777" w:rsidR="002E474C" w:rsidRDefault="00000000">
            <w:pPr>
              <w:pStyle w:val="A-"/>
            </w:pPr>
            <w:r>
              <w:t xml:space="preserve">2.47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6005A8" w14:textId="77777777" w:rsidR="002E474C" w:rsidRDefault="00000000">
            <w:pPr>
              <w:pStyle w:val="A-"/>
            </w:pPr>
            <w:r>
              <w:t xml:space="preserve">2.65 </w:t>
            </w:r>
          </w:p>
        </w:tc>
      </w:tr>
      <w:tr w:rsidR="002E474C" w14:paraId="01319F81"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570CF8" w14:textId="77777777" w:rsidR="002E474C" w:rsidRDefault="00000000">
            <w:pPr>
              <w:pStyle w:val="A-"/>
            </w:pPr>
            <w:r>
              <w:t>夏季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994303" w14:textId="77777777" w:rsidR="002E474C" w:rsidRDefault="00000000">
            <w:pPr>
              <w:pStyle w:val="A-"/>
            </w:pPr>
            <w:r>
              <w:t xml:space="preserve">2.41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AC976C" w14:textId="77777777" w:rsidR="002E474C" w:rsidRDefault="00000000">
            <w:pPr>
              <w:pStyle w:val="A-"/>
            </w:pPr>
            <w:r>
              <w:t xml:space="preserve">2.43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39A8BA" w14:textId="77777777" w:rsidR="002E474C" w:rsidRDefault="00000000">
            <w:pPr>
              <w:pStyle w:val="A-"/>
            </w:pPr>
            <w:r>
              <w:t xml:space="preserve">2.36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0AE500" w14:textId="77777777" w:rsidR="002E474C" w:rsidRDefault="00000000">
            <w:pPr>
              <w:pStyle w:val="A-"/>
            </w:pPr>
            <w:r>
              <w:t xml:space="preserve">2.57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0018ED" w14:textId="77777777" w:rsidR="002E474C" w:rsidRDefault="00000000">
            <w:pPr>
              <w:pStyle w:val="A-"/>
            </w:pPr>
            <w:r>
              <w:t xml:space="preserve">2.68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C91378" w14:textId="77777777" w:rsidR="002E474C" w:rsidRDefault="00000000">
            <w:pPr>
              <w:pStyle w:val="A-"/>
            </w:pPr>
            <w:r>
              <w:t xml:space="preserve">2.95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FC8E21" w14:textId="77777777" w:rsidR="002E474C" w:rsidRDefault="00000000">
            <w:pPr>
              <w:pStyle w:val="A-"/>
            </w:pPr>
            <w:r>
              <w:t xml:space="preserve">2.55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E54FEC" w14:textId="77777777" w:rsidR="002E474C" w:rsidRDefault="00000000">
            <w:pPr>
              <w:pStyle w:val="A-"/>
            </w:pPr>
            <w:r>
              <w:t xml:space="preserve">2.44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37D299" w14:textId="77777777" w:rsidR="002E474C" w:rsidRDefault="00000000">
            <w:pPr>
              <w:pStyle w:val="A-"/>
            </w:pPr>
            <w:r>
              <w:t xml:space="preserve">2.19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970474" w14:textId="77777777" w:rsidR="002E474C" w:rsidRDefault="00000000">
            <w:pPr>
              <w:pStyle w:val="A-"/>
            </w:pPr>
            <w:r>
              <w:t xml:space="preserve">2.31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92E448" w14:textId="77777777" w:rsidR="002E474C" w:rsidRDefault="00000000">
            <w:pPr>
              <w:pStyle w:val="A-"/>
            </w:pPr>
            <w:r>
              <w:t xml:space="preserve">2.32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4C67AA" w14:textId="77777777" w:rsidR="002E474C" w:rsidRDefault="00000000">
            <w:pPr>
              <w:pStyle w:val="A-"/>
            </w:pPr>
            <w:r>
              <w:t xml:space="preserve">2.49 </w:t>
            </w:r>
          </w:p>
        </w:tc>
      </w:tr>
      <w:tr w:rsidR="002E474C" w14:paraId="60406955"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C0DAEC" w14:textId="77777777" w:rsidR="002E474C" w:rsidRDefault="00000000">
            <w:pPr>
              <w:pStyle w:val="A-"/>
            </w:pPr>
            <w:r>
              <w:t>秋季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B7F60" w14:textId="77777777" w:rsidR="002E474C" w:rsidRDefault="00000000">
            <w:pPr>
              <w:pStyle w:val="A-"/>
            </w:pPr>
            <w:r>
              <w:t xml:space="preserve">1.96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7283E8" w14:textId="77777777" w:rsidR="002E474C" w:rsidRDefault="00000000">
            <w:pPr>
              <w:pStyle w:val="A-"/>
            </w:pPr>
            <w:r>
              <w:t xml:space="preserve">1.93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3B22D6" w14:textId="77777777" w:rsidR="002E474C" w:rsidRDefault="00000000">
            <w:pPr>
              <w:pStyle w:val="A-"/>
            </w:pPr>
            <w:r>
              <w:t xml:space="preserve">1.84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B4577D" w14:textId="77777777" w:rsidR="002E474C" w:rsidRDefault="00000000">
            <w:pPr>
              <w:pStyle w:val="A-"/>
            </w:pPr>
            <w:r>
              <w:t xml:space="preserve">1.78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8D37E4" w14:textId="77777777" w:rsidR="002E474C" w:rsidRDefault="00000000">
            <w:pPr>
              <w:pStyle w:val="A-"/>
            </w:pPr>
            <w:r>
              <w:t xml:space="preserve">1.82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60BCE" w14:textId="77777777" w:rsidR="002E474C" w:rsidRDefault="00000000">
            <w:pPr>
              <w:pStyle w:val="A-"/>
            </w:pPr>
            <w:r>
              <w:t xml:space="preserve">1.80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1FBFEB" w14:textId="77777777" w:rsidR="002E474C" w:rsidRDefault="00000000">
            <w:pPr>
              <w:pStyle w:val="A-"/>
            </w:pPr>
            <w:r>
              <w:t xml:space="preserve">1.51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126B4B" w14:textId="77777777" w:rsidR="002E474C" w:rsidRDefault="00000000">
            <w:pPr>
              <w:pStyle w:val="A-"/>
            </w:pPr>
            <w:r>
              <w:t xml:space="preserve">1.41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AAFCAE" w14:textId="77777777" w:rsidR="002E474C" w:rsidRDefault="00000000">
            <w:pPr>
              <w:pStyle w:val="A-"/>
            </w:pPr>
            <w:r>
              <w:t xml:space="preserve">1.68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AC705B" w14:textId="77777777" w:rsidR="002E474C" w:rsidRDefault="00000000">
            <w:pPr>
              <w:pStyle w:val="A-"/>
            </w:pPr>
            <w:r>
              <w:t xml:space="preserve">1.91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5F4866" w14:textId="77777777" w:rsidR="002E474C" w:rsidRDefault="00000000">
            <w:pPr>
              <w:pStyle w:val="A-"/>
            </w:pPr>
            <w:r>
              <w:t xml:space="preserve">2.01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6935C3" w14:textId="77777777" w:rsidR="002E474C" w:rsidRDefault="00000000">
            <w:pPr>
              <w:pStyle w:val="A-"/>
            </w:pPr>
            <w:r>
              <w:t xml:space="preserve">1.86 </w:t>
            </w:r>
          </w:p>
        </w:tc>
      </w:tr>
      <w:tr w:rsidR="002E474C" w14:paraId="64ED5BA5" w14:textId="77777777">
        <w:tc>
          <w:tcPr>
            <w:tcW w:w="106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15C682" w14:textId="77777777" w:rsidR="002E474C" w:rsidRDefault="00000000">
            <w:pPr>
              <w:pStyle w:val="A-"/>
            </w:pPr>
            <w:r>
              <w:t>冬季</w:t>
            </w:r>
            <w:r>
              <w:t xml:space="preserve">                </w:t>
            </w:r>
          </w:p>
        </w:tc>
        <w:tc>
          <w:tcPr>
            <w:tcW w:w="3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6D40E5" w14:textId="77777777" w:rsidR="002E474C" w:rsidRDefault="00000000">
            <w:pPr>
              <w:pStyle w:val="A-"/>
            </w:pPr>
            <w:r>
              <w:t xml:space="preserve">1.58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5F5899" w14:textId="77777777" w:rsidR="002E474C" w:rsidRDefault="00000000">
            <w:pPr>
              <w:pStyle w:val="A-"/>
            </w:pPr>
            <w:r>
              <w:t xml:space="preserve">1.51 </w:t>
            </w:r>
          </w:p>
        </w:tc>
        <w:tc>
          <w:tcPr>
            <w:tcW w:w="3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D6C365" w14:textId="77777777" w:rsidR="002E474C" w:rsidRDefault="00000000">
            <w:pPr>
              <w:pStyle w:val="A-"/>
            </w:pPr>
            <w:r>
              <w:t xml:space="preserve">1.42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12BD0E" w14:textId="77777777" w:rsidR="002E474C" w:rsidRDefault="00000000">
            <w:pPr>
              <w:pStyle w:val="A-"/>
            </w:pPr>
            <w:r>
              <w:t xml:space="preserve">1.43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EB80E0" w14:textId="77777777" w:rsidR="002E474C" w:rsidRDefault="00000000">
            <w:pPr>
              <w:pStyle w:val="A-"/>
            </w:pPr>
            <w:r>
              <w:t xml:space="preserve">1.33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BBF376" w14:textId="77777777" w:rsidR="002E474C" w:rsidRDefault="00000000">
            <w:pPr>
              <w:pStyle w:val="A-"/>
            </w:pPr>
            <w:r>
              <w:t xml:space="preserve">1.27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77AE10" w14:textId="77777777" w:rsidR="002E474C" w:rsidRDefault="00000000">
            <w:pPr>
              <w:pStyle w:val="A-"/>
            </w:pPr>
            <w:r>
              <w:t xml:space="preserve">1.10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5D7E7D" w14:textId="77777777" w:rsidR="002E474C" w:rsidRDefault="00000000">
            <w:pPr>
              <w:pStyle w:val="A-"/>
            </w:pPr>
            <w:r>
              <w:t xml:space="preserve">0.91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CA8A15" w14:textId="77777777" w:rsidR="002E474C" w:rsidRDefault="00000000">
            <w:pPr>
              <w:pStyle w:val="A-"/>
            </w:pPr>
            <w:r>
              <w:t xml:space="preserve">1.09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200718" w14:textId="77777777" w:rsidR="002E474C" w:rsidRDefault="00000000">
            <w:pPr>
              <w:pStyle w:val="A-"/>
            </w:pPr>
            <w:r>
              <w:t xml:space="preserve">1.19 </w:t>
            </w:r>
          </w:p>
        </w:tc>
        <w:tc>
          <w:tcPr>
            <w:tcW w:w="3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BCF7C9" w14:textId="77777777" w:rsidR="002E474C" w:rsidRDefault="00000000">
            <w:pPr>
              <w:pStyle w:val="A-"/>
            </w:pPr>
            <w:r>
              <w:t xml:space="preserve">1.33 </w:t>
            </w:r>
          </w:p>
        </w:tc>
        <w:tc>
          <w:tcPr>
            <w:tcW w:w="3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7AD294" w14:textId="77777777" w:rsidR="002E474C" w:rsidRDefault="00000000">
            <w:pPr>
              <w:pStyle w:val="A-"/>
            </w:pPr>
            <w:r>
              <w:t xml:space="preserve">1.41 </w:t>
            </w:r>
          </w:p>
        </w:tc>
      </w:tr>
    </w:tbl>
    <w:p w14:paraId="00E1A7A8" w14:textId="77777777" w:rsidR="002E474C" w:rsidRDefault="002E474C">
      <w:pPr>
        <w:pStyle w:val="A--"/>
        <w:spacing w:before="156"/>
        <w:rPr>
          <w:color w:val="auto"/>
        </w:rPr>
      </w:pPr>
      <w:bookmarkStart w:id="267" w:name="_Ref77934351"/>
    </w:p>
    <w:p w14:paraId="6BE97BEB" w14:textId="77777777" w:rsidR="002E474C" w:rsidRDefault="00000000">
      <w:pPr>
        <w:pStyle w:val="A--"/>
        <w:spacing w:before="156"/>
        <w:rPr>
          <w:color w:val="auto"/>
        </w:rPr>
      </w:pPr>
      <w:r>
        <w:rPr>
          <w:noProof/>
          <w:color w:val="auto"/>
        </w:rPr>
        <w:drawing>
          <wp:inline distT="0" distB="0" distL="0" distR="0" wp14:anchorId="4618E2A9" wp14:editId="43BC473C">
            <wp:extent cx="5274310" cy="2200910"/>
            <wp:effectExtent l="0" t="0" r="2540" b="889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43E6CC" w14:textId="77777777" w:rsidR="002E474C" w:rsidRDefault="00000000">
      <w:pPr>
        <w:pStyle w:val="A--"/>
        <w:spacing w:before="156"/>
        <w:rPr>
          <w:color w:val="auto"/>
        </w:rPr>
      </w:pPr>
      <w:bookmarkStart w:id="268" w:name="_Ref138270089"/>
      <w:r>
        <w:rPr>
          <w:color w:val="auto"/>
        </w:rPr>
        <w:t>图</w:t>
      </w:r>
      <w:r>
        <w:rPr>
          <w:color w:val="auto"/>
        </w:rPr>
        <w:t>5.1</w:t>
      </w:r>
      <w:r>
        <w:rPr>
          <w:color w:val="auto"/>
        </w:rPr>
        <w:noBreakHyphen/>
        <w:t>3</w:t>
      </w:r>
      <w:bookmarkEnd w:id="268"/>
      <w:r>
        <w:rPr>
          <w:color w:val="auto"/>
        </w:rPr>
        <w:t xml:space="preserve">  </w:t>
      </w:r>
      <w:r>
        <w:rPr>
          <w:color w:val="auto"/>
        </w:rPr>
        <w:t>季小时平均风速的日变化图</w:t>
      </w:r>
    </w:p>
    <w:p w14:paraId="02FA123B" w14:textId="77777777" w:rsidR="002E474C" w:rsidRDefault="00000000">
      <w:pPr>
        <w:pStyle w:val="A-0"/>
        <w:spacing w:before="156"/>
        <w:rPr>
          <w:color w:val="auto"/>
        </w:rPr>
      </w:pPr>
      <w:bookmarkStart w:id="269" w:name="_Ref138270262"/>
      <w:r>
        <w:rPr>
          <w:color w:val="auto"/>
        </w:rPr>
        <w:t>表</w:t>
      </w:r>
      <w:r>
        <w:rPr>
          <w:color w:val="auto"/>
        </w:rPr>
        <w:t xml:space="preserve">5.1-5            </w:t>
      </w:r>
      <w:r>
        <w:rPr>
          <w:color w:val="auto"/>
        </w:rPr>
        <w:t>逐月、四季及全年各风向下平均风速统计表（</w:t>
      </w:r>
      <w:r>
        <w:rPr>
          <w:color w:val="auto"/>
        </w:rPr>
        <w:t>m/s</w:t>
      </w:r>
      <w:r>
        <w:rPr>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
        <w:gridCol w:w="378"/>
        <w:gridCol w:w="444"/>
        <w:gridCol w:w="444"/>
        <w:gridCol w:w="444"/>
        <w:gridCol w:w="444"/>
        <w:gridCol w:w="445"/>
        <w:gridCol w:w="445"/>
        <w:gridCol w:w="445"/>
        <w:gridCol w:w="445"/>
        <w:gridCol w:w="446"/>
        <w:gridCol w:w="446"/>
        <w:gridCol w:w="524"/>
        <w:gridCol w:w="446"/>
        <w:gridCol w:w="559"/>
        <w:gridCol w:w="446"/>
        <w:gridCol w:w="512"/>
        <w:gridCol w:w="438"/>
      </w:tblGrid>
      <w:tr w:rsidR="002E474C" w14:paraId="215354D1" w14:textId="77777777">
        <w:trPr>
          <w:jc w:val="center"/>
        </w:trPr>
        <w:tc>
          <w:tcPr>
            <w:tcW w:w="329" w:type="pct"/>
            <w:vAlign w:val="center"/>
          </w:tcPr>
          <w:p w14:paraId="4E9A071F" w14:textId="77777777" w:rsidR="002E474C" w:rsidRDefault="00000000">
            <w:pPr>
              <w:pStyle w:val="A-"/>
            </w:pPr>
            <w:r>
              <w:t>月份</w:t>
            </w:r>
          </w:p>
        </w:tc>
        <w:tc>
          <w:tcPr>
            <w:tcW w:w="227" w:type="pct"/>
            <w:vAlign w:val="center"/>
          </w:tcPr>
          <w:p w14:paraId="0610181E" w14:textId="77777777" w:rsidR="002E474C" w:rsidRDefault="00000000">
            <w:pPr>
              <w:pStyle w:val="A-"/>
            </w:pPr>
            <w:r>
              <w:t>N</w:t>
            </w:r>
          </w:p>
        </w:tc>
        <w:tc>
          <w:tcPr>
            <w:tcW w:w="268" w:type="pct"/>
            <w:vAlign w:val="center"/>
          </w:tcPr>
          <w:p w14:paraId="3279F7F0" w14:textId="77777777" w:rsidR="002E474C" w:rsidRDefault="00000000">
            <w:pPr>
              <w:pStyle w:val="A-"/>
            </w:pPr>
            <w:r>
              <w:t>NNE</w:t>
            </w:r>
          </w:p>
        </w:tc>
        <w:tc>
          <w:tcPr>
            <w:tcW w:w="268" w:type="pct"/>
            <w:vAlign w:val="center"/>
          </w:tcPr>
          <w:p w14:paraId="0C297F24" w14:textId="77777777" w:rsidR="002E474C" w:rsidRDefault="00000000">
            <w:pPr>
              <w:pStyle w:val="A-"/>
            </w:pPr>
            <w:r>
              <w:t>NE</w:t>
            </w:r>
          </w:p>
        </w:tc>
        <w:tc>
          <w:tcPr>
            <w:tcW w:w="268" w:type="pct"/>
            <w:vAlign w:val="center"/>
          </w:tcPr>
          <w:p w14:paraId="2EFF5076" w14:textId="77777777" w:rsidR="002E474C" w:rsidRDefault="00000000">
            <w:pPr>
              <w:pStyle w:val="A-"/>
            </w:pPr>
            <w:r>
              <w:t>ENE</w:t>
            </w:r>
          </w:p>
        </w:tc>
        <w:tc>
          <w:tcPr>
            <w:tcW w:w="268" w:type="pct"/>
            <w:vAlign w:val="center"/>
          </w:tcPr>
          <w:p w14:paraId="13BE842E" w14:textId="77777777" w:rsidR="002E474C" w:rsidRDefault="00000000">
            <w:pPr>
              <w:pStyle w:val="A-"/>
            </w:pPr>
            <w:r>
              <w:t>E</w:t>
            </w:r>
          </w:p>
        </w:tc>
        <w:tc>
          <w:tcPr>
            <w:tcW w:w="268" w:type="pct"/>
            <w:vAlign w:val="center"/>
          </w:tcPr>
          <w:p w14:paraId="0EE18CDD" w14:textId="77777777" w:rsidR="002E474C" w:rsidRDefault="00000000">
            <w:pPr>
              <w:pStyle w:val="A-"/>
            </w:pPr>
            <w:r>
              <w:t>ESE</w:t>
            </w:r>
          </w:p>
        </w:tc>
        <w:tc>
          <w:tcPr>
            <w:tcW w:w="268" w:type="pct"/>
            <w:vAlign w:val="center"/>
          </w:tcPr>
          <w:p w14:paraId="7DE5BDF1" w14:textId="77777777" w:rsidR="002E474C" w:rsidRDefault="00000000">
            <w:pPr>
              <w:pStyle w:val="A-"/>
            </w:pPr>
            <w:r>
              <w:t>SE</w:t>
            </w:r>
          </w:p>
        </w:tc>
        <w:tc>
          <w:tcPr>
            <w:tcW w:w="268" w:type="pct"/>
            <w:vAlign w:val="center"/>
          </w:tcPr>
          <w:p w14:paraId="71B4C793" w14:textId="77777777" w:rsidR="002E474C" w:rsidRDefault="00000000">
            <w:pPr>
              <w:pStyle w:val="A-"/>
            </w:pPr>
            <w:r>
              <w:t>SSE</w:t>
            </w:r>
          </w:p>
        </w:tc>
        <w:tc>
          <w:tcPr>
            <w:tcW w:w="268" w:type="pct"/>
            <w:vAlign w:val="center"/>
          </w:tcPr>
          <w:p w14:paraId="3F594A83" w14:textId="77777777" w:rsidR="002E474C" w:rsidRDefault="00000000">
            <w:pPr>
              <w:pStyle w:val="A-"/>
            </w:pPr>
            <w:r>
              <w:t>S</w:t>
            </w:r>
          </w:p>
        </w:tc>
        <w:tc>
          <w:tcPr>
            <w:tcW w:w="269" w:type="pct"/>
            <w:vAlign w:val="center"/>
          </w:tcPr>
          <w:p w14:paraId="5F8C6405" w14:textId="77777777" w:rsidR="002E474C" w:rsidRDefault="00000000">
            <w:pPr>
              <w:pStyle w:val="A-"/>
            </w:pPr>
            <w:r>
              <w:t>SSW</w:t>
            </w:r>
          </w:p>
        </w:tc>
        <w:tc>
          <w:tcPr>
            <w:tcW w:w="269" w:type="pct"/>
            <w:vAlign w:val="center"/>
          </w:tcPr>
          <w:p w14:paraId="27E60B41" w14:textId="77777777" w:rsidR="002E474C" w:rsidRDefault="00000000">
            <w:pPr>
              <w:pStyle w:val="A-"/>
            </w:pPr>
            <w:r>
              <w:t>SW</w:t>
            </w:r>
          </w:p>
        </w:tc>
        <w:tc>
          <w:tcPr>
            <w:tcW w:w="315" w:type="pct"/>
            <w:vAlign w:val="center"/>
          </w:tcPr>
          <w:p w14:paraId="3F4A849F" w14:textId="77777777" w:rsidR="002E474C" w:rsidRDefault="00000000">
            <w:pPr>
              <w:pStyle w:val="A-"/>
            </w:pPr>
            <w:r>
              <w:t>WSW</w:t>
            </w:r>
          </w:p>
        </w:tc>
        <w:tc>
          <w:tcPr>
            <w:tcW w:w="269" w:type="pct"/>
            <w:vAlign w:val="center"/>
          </w:tcPr>
          <w:p w14:paraId="28CE9098" w14:textId="77777777" w:rsidR="002E474C" w:rsidRDefault="00000000">
            <w:pPr>
              <w:pStyle w:val="A-"/>
            </w:pPr>
            <w:r>
              <w:t>W</w:t>
            </w:r>
          </w:p>
        </w:tc>
        <w:tc>
          <w:tcPr>
            <w:tcW w:w="336" w:type="pct"/>
            <w:vAlign w:val="center"/>
          </w:tcPr>
          <w:p w14:paraId="178DDFFA" w14:textId="77777777" w:rsidR="002E474C" w:rsidRDefault="00000000">
            <w:pPr>
              <w:pStyle w:val="A-"/>
            </w:pPr>
            <w:r>
              <w:t>WNW</w:t>
            </w:r>
          </w:p>
        </w:tc>
        <w:tc>
          <w:tcPr>
            <w:tcW w:w="269" w:type="pct"/>
            <w:vAlign w:val="center"/>
          </w:tcPr>
          <w:p w14:paraId="38D63B9C" w14:textId="77777777" w:rsidR="002E474C" w:rsidRDefault="00000000">
            <w:pPr>
              <w:pStyle w:val="A-"/>
            </w:pPr>
            <w:r>
              <w:t>NW</w:t>
            </w:r>
          </w:p>
        </w:tc>
        <w:tc>
          <w:tcPr>
            <w:tcW w:w="308" w:type="pct"/>
            <w:vAlign w:val="center"/>
          </w:tcPr>
          <w:p w14:paraId="0DB99595" w14:textId="77777777" w:rsidR="002E474C" w:rsidRDefault="00000000">
            <w:pPr>
              <w:pStyle w:val="A-"/>
            </w:pPr>
            <w:r>
              <w:t>NNW</w:t>
            </w:r>
          </w:p>
        </w:tc>
        <w:tc>
          <w:tcPr>
            <w:tcW w:w="264" w:type="pct"/>
            <w:vAlign w:val="center"/>
          </w:tcPr>
          <w:p w14:paraId="23AC3AAA" w14:textId="77777777" w:rsidR="002E474C" w:rsidRDefault="00000000">
            <w:pPr>
              <w:pStyle w:val="A-"/>
            </w:pPr>
            <w:r>
              <w:t>平均</w:t>
            </w:r>
          </w:p>
        </w:tc>
      </w:tr>
      <w:tr w:rsidR="002E474C" w14:paraId="533D8C17" w14:textId="77777777">
        <w:trPr>
          <w:jc w:val="center"/>
        </w:trPr>
        <w:tc>
          <w:tcPr>
            <w:tcW w:w="329" w:type="pct"/>
            <w:vAlign w:val="center"/>
          </w:tcPr>
          <w:p w14:paraId="14E98D3A" w14:textId="77777777" w:rsidR="002E474C" w:rsidRDefault="00000000">
            <w:pPr>
              <w:pStyle w:val="A-"/>
            </w:pPr>
            <w:r>
              <w:t>一月</w:t>
            </w:r>
          </w:p>
        </w:tc>
        <w:tc>
          <w:tcPr>
            <w:tcW w:w="227" w:type="pct"/>
            <w:vAlign w:val="center"/>
          </w:tcPr>
          <w:p w14:paraId="5EDB9F7E" w14:textId="77777777" w:rsidR="002E474C" w:rsidRDefault="00000000">
            <w:pPr>
              <w:pStyle w:val="A-"/>
            </w:pPr>
            <w:r>
              <w:t>1.18</w:t>
            </w:r>
          </w:p>
        </w:tc>
        <w:tc>
          <w:tcPr>
            <w:tcW w:w="268" w:type="pct"/>
            <w:vAlign w:val="center"/>
          </w:tcPr>
          <w:p w14:paraId="2A82922C" w14:textId="77777777" w:rsidR="002E474C" w:rsidRDefault="00000000">
            <w:pPr>
              <w:pStyle w:val="A-"/>
            </w:pPr>
            <w:r>
              <w:t>1.39</w:t>
            </w:r>
          </w:p>
        </w:tc>
        <w:tc>
          <w:tcPr>
            <w:tcW w:w="268" w:type="pct"/>
            <w:vAlign w:val="center"/>
          </w:tcPr>
          <w:p w14:paraId="6E2E5CF3" w14:textId="77777777" w:rsidR="002E474C" w:rsidRDefault="00000000">
            <w:pPr>
              <w:pStyle w:val="A-"/>
            </w:pPr>
            <w:r>
              <w:t>1.44</w:t>
            </w:r>
          </w:p>
        </w:tc>
        <w:tc>
          <w:tcPr>
            <w:tcW w:w="268" w:type="pct"/>
            <w:vAlign w:val="center"/>
          </w:tcPr>
          <w:p w14:paraId="03B0D49C" w14:textId="77777777" w:rsidR="002E474C" w:rsidRDefault="00000000">
            <w:pPr>
              <w:pStyle w:val="A-"/>
            </w:pPr>
            <w:r>
              <w:t>1.31</w:t>
            </w:r>
          </w:p>
        </w:tc>
        <w:tc>
          <w:tcPr>
            <w:tcW w:w="268" w:type="pct"/>
            <w:vAlign w:val="center"/>
          </w:tcPr>
          <w:p w14:paraId="31D921BD" w14:textId="77777777" w:rsidR="002E474C" w:rsidRDefault="00000000">
            <w:pPr>
              <w:pStyle w:val="A-"/>
            </w:pPr>
            <w:r>
              <w:t>1.54</w:t>
            </w:r>
          </w:p>
        </w:tc>
        <w:tc>
          <w:tcPr>
            <w:tcW w:w="268" w:type="pct"/>
            <w:vAlign w:val="center"/>
          </w:tcPr>
          <w:p w14:paraId="71F02AEC" w14:textId="77777777" w:rsidR="002E474C" w:rsidRDefault="00000000">
            <w:pPr>
              <w:pStyle w:val="A-"/>
            </w:pPr>
            <w:r>
              <w:t>1.36</w:t>
            </w:r>
          </w:p>
        </w:tc>
        <w:tc>
          <w:tcPr>
            <w:tcW w:w="268" w:type="pct"/>
            <w:vAlign w:val="center"/>
          </w:tcPr>
          <w:p w14:paraId="25AB82B7" w14:textId="77777777" w:rsidR="002E474C" w:rsidRDefault="00000000">
            <w:pPr>
              <w:pStyle w:val="A-"/>
            </w:pPr>
            <w:r>
              <w:t>1.31</w:t>
            </w:r>
          </w:p>
        </w:tc>
        <w:tc>
          <w:tcPr>
            <w:tcW w:w="268" w:type="pct"/>
            <w:vAlign w:val="center"/>
          </w:tcPr>
          <w:p w14:paraId="3FC27E5F" w14:textId="77777777" w:rsidR="002E474C" w:rsidRDefault="00000000">
            <w:pPr>
              <w:pStyle w:val="A-"/>
            </w:pPr>
            <w:r>
              <w:t>1.22</w:t>
            </w:r>
          </w:p>
        </w:tc>
        <w:tc>
          <w:tcPr>
            <w:tcW w:w="268" w:type="pct"/>
            <w:vAlign w:val="center"/>
          </w:tcPr>
          <w:p w14:paraId="2376DED3" w14:textId="77777777" w:rsidR="002E474C" w:rsidRDefault="00000000">
            <w:pPr>
              <w:pStyle w:val="A-"/>
            </w:pPr>
            <w:r>
              <w:t>1.16</w:t>
            </w:r>
          </w:p>
        </w:tc>
        <w:tc>
          <w:tcPr>
            <w:tcW w:w="269" w:type="pct"/>
            <w:vAlign w:val="center"/>
          </w:tcPr>
          <w:p w14:paraId="224F161A" w14:textId="77777777" w:rsidR="002E474C" w:rsidRDefault="00000000">
            <w:pPr>
              <w:pStyle w:val="A-"/>
            </w:pPr>
            <w:r>
              <w:t>1.18</w:t>
            </w:r>
          </w:p>
        </w:tc>
        <w:tc>
          <w:tcPr>
            <w:tcW w:w="269" w:type="pct"/>
            <w:vAlign w:val="center"/>
          </w:tcPr>
          <w:p w14:paraId="4F0FA7EE" w14:textId="77777777" w:rsidR="002E474C" w:rsidRDefault="00000000">
            <w:pPr>
              <w:pStyle w:val="A-"/>
            </w:pPr>
            <w:r>
              <w:t>1.18</w:t>
            </w:r>
          </w:p>
        </w:tc>
        <w:tc>
          <w:tcPr>
            <w:tcW w:w="315" w:type="pct"/>
            <w:vAlign w:val="center"/>
          </w:tcPr>
          <w:p w14:paraId="26AA300D" w14:textId="77777777" w:rsidR="002E474C" w:rsidRDefault="00000000">
            <w:pPr>
              <w:pStyle w:val="A-"/>
            </w:pPr>
            <w:r>
              <w:t>0.76</w:t>
            </w:r>
          </w:p>
        </w:tc>
        <w:tc>
          <w:tcPr>
            <w:tcW w:w="269" w:type="pct"/>
            <w:vAlign w:val="center"/>
          </w:tcPr>
          <w:p w14:paraId="6A022D59" w14:textId="77777777" w:rsidR="002E474C" w:rsidRDefault="00000000">
            <w:pPr>
              <w:pStyle w:val="A-"/>
            </w:pPr>
            <w:r>
              <w:t>0.85</w:t>
            </w:r>
          </w:p>
        </w:tc>
        <w:tc>
          <w:tcPr>
            <w:tcW w:w="336" w:type="pct"/>
            <w:vAlign w:val="center"/>
          </w:tcPr>
          <w:p w14:paraId="7092AC3C" w14:textId="77777777" w:rsidR="002E474C" w:rsidRDefault="00000000">
            <w:pPr>
              <w:pStyle w:val="A-"/>
            </w:pPr>
            <w:r>
              <w:t>0.96</w:t>
            </w:r>
          </w:p>
        </w:tc>
        <w:tc>
          <w:tcPr>
            <w:tcW w:w="269" w:type="pct"/>
            <w:vAlign w:val="center"/>
          </w:tcPr>
          <w:p w14:paraId="45E67222" w14:textId="77777777" w:rsidR="002E474C" w:rsidRDefault="00000000">
            <w:pPr>
              <w:pStyle w:val="A-"/>
            </w:pPr>
            <w:r>
              <w:t>1.12</w:t>
            </w:r>
          </w:p>
        </w:tc>
        <w:tc>
          <w:tcPr>
            <w:tcW w:w="308" w:type="pct"/>
            <w:vAlign w:val="center"/>
          </w:tcPr>
          <w:p w14:paraId="34B55167" w14:textId="77777777" w:rsidR="002E474C" w:rsidRDefault="00000000">
            <w:pPr>
              <w:pStyle w:val="A-"/>
            </w:pPr>
            <w:r>
              <w:t>0.99</w:t>
            </w:r>
          </w:p>
        </w:tc>
        <w:tc>
          <w:tcPr>
            <w:tcW w:w="264" w:type="pct"/>
            <w:vAlign w:val="center"/>
          </w:tcPr>
          <w:p w14:paraId="2B00A819" w14:textId="77777777" w:rsidR="002E474C" w:rsidRDefault="00000000">
            <w:pPr>
              <w:pStyle w:val="A-"/>
            </w:pPr>
            <w:r>
              <w:t>1.2</w:t>
            </w:r>
          </w:p>
        </w:tc>
      </w:tr>
      <w:tr w:rsidR="002E474C" w14:paraId="7714325F" w14:textId="77777777">
        <w:trPr>
          <w:jc w:val="center"/>
        </w:trPr>
        <w:tc>
          <w:tcPr>
            <w:tcW w:w="329" w:type="pct"/>
            <w:vAlign w:val="center"/>
          </w:tcPr>
          <w:p w14:paraId="7B34335B" w14:textId="77777777" w:rsidR="002E474C" w:rsidRDefault="00000000">
            <w:pPr>
              <w:pStyle w:val="A-"/>
            </w:pPr>
            <w:r>
              <w:t>二月</w:t>
            </w:r>
          </w:p>
        </w:tc>
        <w:tc>
          <w:tcPr>
            <w:tcW w:w="227" w:type="pct"/>
            <w:vAlign w:val="center"/>
          </w:tcPr>
          <w:p w14:paraId="1CA32492" w14:textId="77777777" w:rsidR="002E474C" w:rsidRDefault="00000000">
            <w:pPr>
              <w:pStyle w:val="A-"/>
            </w:pPr>
            <w:r>
              <w:t>1.52</w:t>
            </w:r>
          </w:p>
        </w:tc>
        <w:tc>
          <w:tcPr>
            <w:tcW w:w="268" w:type="pct"/>
            <w:vAlign w:val="center"/>
          </w:tcPr>
          <w:p w14:paraId="39BEA7EB" w14:textId="77777777" w:rsidR="002E474C" w:rsidRDefault="00000000">
            <w:pPr>
              <w:pStyle w:val="A-"/>
            </w:pPr>
            <w:r>
              <w:t>1.9</w:t>
            </w:r>
          </w:p>
        </w:tc>
        <w:tc>
          <w:tcPr>
            <w:tcW w:w="268" w:type="pct"/>
            <w:vAlign w:val="center"/>
          </w:tcPr>
          <w:p w14:paraId="623CA2A8" w14:textId="77777777" w:rsidR="002E474C" w:rsidRDefault="00000000">
            <w:pPr>
              <w:pStyle w:val="A-"/>
            </w:pPr>
            <w:r>
              <w:t>1.97</w:t>
            </w:r>
          </w:p>
        </w:tc>
        <w:tc>
          <w:tcPr>
            <w:tcW w:w="268" w:type="pct"/>
            <w:vAlign w:val="center"/>
          </w:tcPr>
          <w:p w14:paraId="4B390164" w14:textId="77777777" w:rsidR="002E474C" w:rsidRDefault="00000000">
            <w:pPr>
              <w:pStyle w:val="A-"/>
            </w:pPr>
            <w:r>
              <w:t>2.2</w:t>
            </w:r>
          </w:p>
        </w:tc>
        <w:tc>
          <w:tcPr>
            <w:tcW w:w="268" w:type="pct"/>
            <w:vAlign w:val="center"/>
          </w:tcPr>
          <w:p w14:paraId="64F7248E" w14:textId="77777777" w:rsidR="002E474C" w:rsidRDefault="00000000">
            <w:pPr>
              <w:pStyle w:val="A-"/>
            </w:pPr>
            <w:r>
              <w:t>2.21</w:t>
            </w:r>
          </w:p>
        </w:tc>
        <w:tc>
          <w:tcPr>
            <w:tcW w:w="268" w:type="pct"/>
            <w:vAlign w:val="center"/>
          </w:tcPr>
          <w:p w14:paraId="78424382" w14:textId="77777777" w:rsidR="002E474C" w:rsidRDefault="00000000">
            <w:pPr>
              <w:pStyle w:val="A-"/>
            </w:pPr>
            <w:r>
              <w:t>1.84</w:t>
            </w:r>
          </w:p>
        </w:tc>
        <w:tc>
          <w:tcPr>
            <w:tcW w:w="268" w:type="pct"/>
            <w:vAlign w:val="center"/>
          </w:tcPr>
          <w:p w14:paraId="2124CFF5" w14:textId="77777777" w:rsidR="002E474C" w:rsidRDefault="00000000">
            <w:pPr>
              <w:pStyle w:val="A-"/>
            </w:pPr>
            <w:r>
              <w:t>1.76</w:t>
            </w:r>
          </w:p>
        </w:tc>
        <w:tc>
          <w:tcPr>
            <w:tcW w:w="268" w:type="pct"/>
            <w:vAlign w:val="center"/>
          </w:tcPr>
          <w:p w14:paraId="1C4ABC0E" w14:textId="77777777" w:rsidR="002E474C" w:rsidRDefault="00000000">
            <w:pPr>
              <w:pStyle w:val="A-"/>
            </w:pPr>
            <w:r>
              <w:t>1.48</w:t>
            </w:r>
          </w:p>
        </w:tc>
        <w:tc>
          <w:tcPr>
            <w:tcW w:w="268" w:type="pct"/>
            <w:vAlign w:val="center"/>
          </w:tcPr>
          <w:p w14:paraId="7A1D1496" w14:textId="77777777" w:rsidR="002E474C" w:rsidRDefault="00000000">
            <w:pPr>
              <w:pStyle w:val="A-"/>
            </w:pPr>
            <w:r>
              <w:t>1.38</w:t>
            </w:r>
          </w:p>
        </w:tc>
        <w:tc>
          <w:tcPr>
            <w:tcW w:w="269" w:type="pct"/>
            <w:vAlign w:val="center"/>
          </w:tcPr>
          <w:p w14:paraId="48ABC4D7" w14:textId="77777777" w:rsidR="002E474C" w:rsidRDefault="00000000">
            <w:pPr>
              <w:pStyle w:val="A-"/>
            </w:pPr>
            <w:r>
              <w:t>1.26</w:t>
            </w:r>
          </w:p>
        </w:tc>
        <w:tc>
          <w:tcPr>
            <w:tcW w:w="269" w:type="pct"/>
            <w:vAlign w:val="center"/>
          </w:tcPr>
          <w:p w14:paraId="00AB39CF" w14:textId="77777777" w:rsidR="002E474C" w:rsidRDefault="00000000">
            <w:pPr>
              <w:pStyle w:val="A-"/>
            </w:pPr>
            <w:r>
              <w:t>1.17</w:t>
            </w:r>
          </w:p>
        </w:tc>
        <w:tc>
          <w:tcPr>
            <w:tcW w:w="315" w:type="pct"/>
            <w:vAlign w:val="center"/>
          </w:tcPr>
          <w:p w14:paraId="43D57B89" w14:textId="77777777" w:rsidR="002E474C" w:rsidRDefault="00000000">
            <w:pPr>
              <w:pStyle w:val="A-"/>
            </w:pPr>
            <w:r>
              <w:t>0.92</w:t>
            </w:r>
          </w:p>
        </w:tc>
        <w:tc>
          <w:tcPr>
            <w:tcW w:w="269" w:type="pct"/>
            <w:vAlign w:val="center"/>
          </w:tcPr>
          <w:p w14:paraId="6FF11F98" w14:textId="77777777" w:rsidR="002E474C" w:rsidRDefault="00000000">
            <w:pPr>
              <w:pStyle w:val="A-"/>
            </w:pPr>
            <w:r>
              <w:t>1.05</w:t>
            </w:r>
          </w:p>
        </w:tc>
        <w:tc>
          <w:tcPr>
            <w:tcW w:w="336" w:type="pct"/>
            <w:vAlign w:val="center"/>
          </w:tcPr>
          <w:p w14:paraId="1055F3F2" w14:textId="77777777" w:rsidR="002E474C" w:rsidRDefault="00000000">
            <w:pPr>
              <w:pStyle w:val="A-"/>
            </w:pPr>
            <w:r>
              <w:t>1.22</w:t>
            </w:r>
          </w:p>
        </w:tc>
        <w:tc>
          <w:tcPr>
            <w:tcW w:w="269" w:type="pct"/>
            <w:vAlign w:val="center"/>
          </w:tcPr>
          <w:p w14:paraId="4C7C49C7" w14:textId="77777777" w:rsidR="002E474C" w:rsidRDefault="00000000">
            <w:pPr>
              <w:pStyle w:val="A-"/>
            </w:pPr>
            <w:r>
              <w:t>1.29</w:t>
            </w:r>
          </w:p>
        </w:tc>
        <w:tc>
          <w:tcPr>
            <w:tcW w:w="308" w:type="pct"/>
            <w:vAlign w:val="center"/>
          </w:tcPr>
          <w:p w14:paraId="57274057" w14:textId="77777777" w:rsidR="002E474C" w:rsidRDefault="00000000">
            <w:pPr>
              <w:pStyle w:val="A-"/>
            </w:pPr>
            <w:r>
              <w:t>1.36</w:t>
            </w:r>
          </w:p>
        </w:tc>
        <w:tc>
          <w:tcPr>
            <w:tcW w:w="264" w:type="pct"/>
            <w:vAlign w:val="center"/>
          </w:tcPr>
          <w:p w14:paraId="17DC3CC6" w14:textId="77777777" w:rsidR="002E474C" w:rsidRDefault="00000000">
            <w:pPr>
              <w:pStyle w:val="A-"/>
            </w:pPr>
            <w:r>
              <w:t>1.67</w:t>
            </w:r>
          </w:p>
        </w:tc>
      </w:tr>
      <w:tr w:rsidR="002E474C" w14:paraId="08F1BFF7" w14:textId="77777777">
        <w:trPr>
          <w:jc w:val="center"/>
        </w:trPr>
        <w:tc>
          <w:tcPr>
            <w:tcW w:w="329" w:type="pct"/>
            <w:vAlign w:val="center"/>
          </w:tcPr>
          <w:p w14:paraId="5CDD5A6D" w14:textId="77777777" w:rsidR="002E474C" w:rsidRDefault="00000000">
            <w:pPr>
              <w:pStyle w:val="A-"/>
            </w:pPr>
            <w:r>
              <w:t>三月</w:t>
            </w:r>
          </w:p>
        </w:tc>
        <w:tc>
          <w:tcPr>
            <w:tcW w:w="227" w:type="pct"/>
            <w:vAlign w:val="center"/>
          </w:tcPr>
          <w:p w14:paraId="32E2E170" w14:textId="77777777" w:rsidR="002E474C" w:rsidRDefault="00000000">
            <w:pPr>
              <w:pStyle w:val="A-"/>
            </w:pPr>
            <w:r>
              <w:t>1.96</w:t>
            </w:r>
          </w:p>
        </w:tc>
        <w:tc>
          <w:tcPr>
            <w:tcW w:w="268" w:type="pct"/>
            <w:vAlign w:val="center"/>
          </w:tcPr>
          <w:p w14:paraId="44EF575C" w14:textId="77777777" w:rsidR="002E474C" w:rsidRDefault="00000000">
            <w:pPr>
              <w:pStyle w:val="A-"/>
            </w:pPr>
            <w:r>
              <w:t>2.17</w:t>
            </w:r>
          </w:p>
        </w:tc>
        <w:tc>
          <w:tcPr>
            <w:tcW w:w="268" w:type="pct"/>
            <w:vAlign w:val="center"/>
          </w:tcPr>
          <w:p w14:paraId="2CF73DD0" w14:textId="77777777" w:rsidR="002E474C" w:rsidRDefault="00000000">
            <w:pPr>
              <w:pStyle w:val="A-"/>
            </w:pPr>
            <w:r>
              <w:t>1.82</w:t>
            </w:r>
          </w:p>
        </w:tc>
        <w:tc>
          <w:tcPr>
            <w:tcW w:w="268" w:type="pct"/>
            <w:vAlign w:val="center"/>
          </w:tcPr>
          <w:p w14:paraId="240B22CA" w14:textId="77777777" w:rsidR="002E474C" w:rsidRDefault="00000000">
            <w:pPr>
              <w:pStyle w:val="A-"/>
            </w:pPr>
            <w:r>
              <w:t>2.29</w:t>
            </w:r>
          </w:p>
        </w:tc>
        <w:tc>
          <w:tcPr>
            <w:tcW w:w="268" w:type="pct"/>
            <w:vAlign w:val="center"/>
          </w:tcPr>
          <w:p w14:paraId="5A426B22" w14:textId="77777777" w:rsidR="002E474C" w:rsidRDefault="00000000">
            <w:pPr>
              <w:pStyle w:val="A-"/>
            </w:pPr>
            <w:r>
              <w:t>2.29</w:t>
            </w:r>
          </w:p>
        </w:tc>
        <w:tc>
          <w:tcPr>
            <w:tcW w:w="268" w:type="pct"/>
            <w:vAlign w:val="center"/>
          </w:tcPr>
          <w:p w14:paraId="4114E9B1" w14:textId="77777777" w:rsidR="002E474C" w:rsidRDefault="00000000">
            <w:pPr>
              <w:pStyle w:val="A-"/>
            </w:pPr>
            <w:r>
              <w:t>2.08</w:t>
            </w:r>
          </w:p>
        </w:tc>
        <w:tc>
          <w:tcPr>
            <w:tcW w:w="268" w:type="pct"/>
            <w:vAlign w:val="center"/>
          </w:tcPr>
          <w:p w14:paraId="5A560C2F" w14:textId="77777777" w:rsidR="002E474C" w:rsidRDefault="00000000">
            <w:pPr>
              <w:pStyle w:val="A-"/>
            </w:pPr>
            <w:r>
              <w:t>1.87</w:t>
            </w:r>
          </w:p>
        </w:tc>
        <w:tc>
          <w:tcPr>
            <w:tcW w:w="268" w:type="pct"/>
            <w:vAlign w:val="center"/>
          </w:tcPr>
          <w:p w14:paraId="321E3B98" w14:textId="77777777" w:rsidR="002E474C" w:rsidRDefault="00000000">
            <w:pPr>
              <w:pStyle w:val="A-"/>
            </w:pPr>
            <w:r>
              <w:t>1.81</w:t>
            </w:r>
          </w:p>
        </w:tc>
        <w:tc>
          <w:tcPr>
            <w:tcW w:w="268" w:type="pct"/>
            <w:vAlign w:val="center"/>
          </w:tcPr>
          <w:p w14:paraId="4CE10BDC" w14:textId="77777777" w:rsidR="002E474C" w:rsidRDefault="00000000">
            <w:pPr>
              <w:pStyle w:val="A-"/>
            </w:pPr>
            <w:r>
              <w:t>1.36</w:t>
            </w:r>
          </w:p>
        </w:tc>
        <w:tc>
          <w:tcPr>
            <w:tcW w:w="269" w:type="pct"/>
            <w:vAlign w:val="center"/>
          </w:tcPr>
          <w:p w14:paraId="7090E85C" w14:textId="77777777" w:rsidR="002E474C" w:rsidRDefault="00000000">
            <w:pPr>
              <w:pStyle w:val="A-"/>
            </w:pPr>
            <w:r>
              <w:t>1.56</w:t>
            </w:r>
          </w:p>
        </w:tc>
        <w:tc>
          <w:tcPr>
            <w:tcW w:w="269" w:type="pct"/>
            <w:vAlign w:val="center"/>
          </w:tcPr>
          <w:p w14:paraId="022F11C7" w14:textId="77777777" w:rsidR="002E474C" w:rsidRDefault="00000000">
            <w:pPr>
              <w:pStyle w:val="A-"/>
            </w:pPr>
            <w:r>
              <w:t>1.68</w:t>
            </w:r>
          </w:p>
        </w:tc>
        <w:tc>
          <w:tcPr>
            <w:tcW w:w="315" w:type="pct"/>
            <w:vAlign w:val="center"/>
          </w:tcPr>
          <w:p w14:paraId="62C9B89C" w14:textId="77777777" w:rsidR="002E474C" w:rsidRDefault="00000000">
            <w:pPr>
              <w:pStyle w:val="A-"/>
            </w:pPr>
            <w:r>
              <w:t>1.59</w:t>
            </w:r>
          </w:p>
        </w:tc>
        <w:tc>
          <w:tcPr>
            <w:tcW w:w="269" w:type="pct"/>
            <w:vAlign w:val="center"/>
          </w:tcPr>
          <w:p w14:paraId="6FBC3727" w14:textId="77777777" w:rsidR="002E474C" w:rsidRDefault="00000000">
            <w:pPr>
              <w:pStyle w:val="A-"/>
            </w:pPr>
            <w:r>
              <w:t>1.44</w:t>
            </w:r>
          </w:p>
        </w:tc>
        <w:tc>
          <w:tcPr>
            <w:tcW w:w="336" w:type="pct"/>
            <w:vAlign w:val="center"/>
          </w:tcPr>
          <w:p w14:paraId="229CB507" w14:textId="77777777" w:rsidR="002E474C" w:rsidRDefault="00000000">
            <w:pPr>
              <w:pStyle w:val="A-"/>
            </w:pPr>
            <w:r>
              <w:t>1.28</w:t>
            </w:r>
          </w:p>
        </w:tc>
        <w:tc>
          <w:tcPr>
            <w:tcW w:w="269" w:type="pct"/>
            <w:vAlign w:val="center"/>
          </w:tcPr>
          <w:p w14:paraId="70D989B5" w14:textId="77777777" w:rsidR="002E474C" w:rsidRDefault="00000000">
            <w:pPr>
              <w:pStyle w:val="A-"/>
            </w:pPr>
            <w:r>
              <w:t>1.39</w:t>
            </w:r>
          </w:p>
        </w:tc>
        <w:tc>
          <w:tcPr>
            <w:tcW w:w="308" w:type="pct"/>
            <w:vAlign w:val="center"/>
          </w:tcPr>
          <w:p w14:paraId="6484DF7C" w14:textId="77777777" w:rsidR="002E474C" w:rsidRDefault="00000000">
            <w:pPr>
              <w:pStyle w:val="A-"/>
            </w:pPr>
            <w:r>
              <w:t>1.45</w:t>
            </w:r>
          </w:p>
        </w:tc>
        <w:tc>
          <w:tcPr>
            <w:tcW w:w="264" w:type="pct"/>
            <w:vAlign w:val="center"/>
          </w:tcPr>
          <w:p w14:paraId="587E8644" w14:textId="77777777" w:rsidR="002E474C" w:rsidRDefault="00000000">
            <w:pPr>
              <w:pStyle w:val="A-"/>
            </w:pPr>
            <w:r>
              <w:t>1.89</w:t>
            </w:r>
          </w:p>
        </w:tc>
      </w:tr>
      <w:tr w:rsidR="002E474C" w14:paraId="40FD7B47" w14:textId="77777777">
        <w:trPr>
          <w:jc w:val="center"/>
        </w:trPr>
        <w:tc>
          <w:tcPr>
            <w:tcW w:w="329" w:type="pct"/>
            <w:vAlign w:val="center"/>
          </w:tcPr>
          <w:p w14:paraId="3D5E115D" w14:textId="77777777" w:rsidR="002E474C" w:rsidRDefault="00000000">
            <w:pPr>
              <w:pStyle w:val="A-"/>
            </w:pPr>
            <w:r>
              <w:t>四月</w:t>
            </w:r>
          </w:p>
        </w:tc>
        <w:tc>
          <w:tcPr>
            <w:tcW w:w="227" w:type="pct"/>
            <w:vAlign w:val="center"/>
          </w:tcPr>
          <w:p w14:paraId="5CCD042F" w14:textId="77777777" w:rsidR="002E474C" w:rsidRDefault="00000000">
            <w:pPr>
              <w:pStyle w:val="A-"/>
            </w:pPr>
            <w:r>
              <w:t>2.26</w:t>
            </w:r>
          </w:p>
        </w:tc>
        <w:tc>
          <w:tcPr>
            <w:tcW w:w="268" w:type="pct"/>
            <w:vAlign w:val="center"/>
          </w:tcPr>
          <w:p w14:paraId="40267264" w14:textId="77777777" w:rsidR="002E474C" w:rsidRDefault="00000000">
            <w:pPr>
              <w:pStyle w:val="A-"/>
            </w:pPr>
            <w:r>
              <w:t>1.96</w:t>
            </w:r>
          </w:p>
        </w:tc>
        <w:tc>
          <w:tcPr>
            <w:tcW w:w="268" w:type="pct"/>
            <w:vAlign w:val="center"/>
          </w:tcPr>
          <w:p w14:paraId="1DFF2EB6" w14:textId="77777777" w:rsidR="002E474C" w:rsidRDefault="00000000">
            <w:pPr>
              <w:pStyle w:val="A-"/>
            </w:pPr>
            <w:r>
              <w:t>2.15</w:t>
            </w:r>
          </w:p>
        </w:tc>
        <w:tc>
          <w:tcPr>
            <w:tcW w:w="268" w:type="pct"/>
            <w:vAlign w:val="center"/>
          </w:tcPr>
          <w:p w14:paraId="61AFC16D" w14:textId="77777777" w:rsidR="002E474C" w:rsidRDefault="00000000">
            <w:pPr>
              <w:pStyle w:val="A-"/>
            </w:pPr>
            <w:r>
              <w:t>2.64</w:t>
            </w:r>
          </w:p>
        </w:tc>
        <w:tc>
          <w:tcPr>
            <w:tcW w:w="268" w:type="pct"/>
            <w:vAlign w:val="center"/>
          </w:tcPr>
          <w:p w14:paraId="2E9C4D1D" w14:textId="77777777" w:rsidR="002E474C" w:rsidRDefault="00000000">
            <w:pPr>
              <w:pStyle w:val="A-"/>
            </w:pPr>
            <w:r>
              <w:t>3.18</w:t>
            </w:r>
          </w:p>
        </w:tc>
        <w:tc>
          <w:tcPr>
            <w:tcW w:w="268" w:type="pct"/>
            <w:vAlign w:val="center"/>
          </w:tcPr>
          <w:p w14:paraId="3D471532" w14:textId="77777777" w:rsidR="002E474C" w:rsidRDefault="00000000">
            <w:pPr>
              <w:pStyle w:val="A-"/>
            </w:pPr>
            <w:r>
              <w:t>2.69</w:t>
            </w:r>
          </w:p>
        </w:tc>
        <w:tc>
          <w:tcPr>
            <w:tcW w:w="268" w:type="pct"/>
            <w:vAlign w:val="center"/>
          </w:tcPr>
          <w:p w14:paraId="6B04F9D3" w14:textId="77777777" w:rsidR="002E474C" w:rsidRDefault="00000000">
            <w:pPr>
              <w:pStyle w:val="A-"/>
            </w:pPr>
            <w:r>
              <w:t>2.17</w:t>
            </w:r>
          </w:p>
        </w:tc>
        <w:tc>
          <w:tcPr>
            <w:tcW w:w="268" w:type="pct"/>
            <w:vAlign w:val="center"/>
          </w:tcPr>
          <w:p w14:paraId="38F10B9D" w14:textId="77777777" w:rsidR="002E474C" w:rsidRDefault="00000000">
            <w:pPr>
              <w:pStyle w:val="A-"/>
            </w:pPr>
            <w:r>
              <w:t>1.98</w:t>
            </w:r>
          </w:p>
        </w:tc>
        <w:tc>
          <w:tcPr>
            <w:tcW w:w="268" w:type="pct"/>
            <w:vAlign w:val="center"/>
          </w:tcPr>
          <w:p w14:paraId="12575889" w14:textId="77777777" w:rsidR="002E474C" w:rsidRDefault="00000000">
            <w:pPr>
              <w:pStyle w:val="A-"/>
            </w:pPr>
            <w:r>
              <w:t>1.99</w:t>
            </w:r>
          </w:p>
        </w:tc>
        <w:tc>
          <w:tcPr>
            <w:tcW w:w="269" w:type="pct"/>
            <w:vAlign w:val="center"/>
          </w:tcPr>
          <w:p w14:paraId="3BEC32B9" w14:textId="77777777" w:rsidR="002E474C" w:rsidRDefault="00000000">
            <w:pPr>
              <w:pStyle w:val="A-"/>
            </w:pPr>
            <w:r>
              <w:t>1.7</w:t>
            </w:r>
          </w:p>
        </w:tc>
        <w:tc>
          <w:tcPr>
            <w:tcW w:w="269" w:type="pct"/>
            <w:vAlign w:val="center"/>
          </w:tcPr>
          <w:p w14:paraId="6F62AA76" w14:textId="77777777" w:rsidR="002E474C" w:rsidRDefault="00000000">
            <w:pPr>
              <w:pStyle w:val="A-"/>
            </w:pPr>
            <w:r>
              <w:t>2.22</w:t>
            </w:r>
          </w:p>
        </w:tc>
        <w:tc>
          <w:tcPr>
            <w:tcW w:w="315" w:type="pct"/>
            <w:vAlign w:val="center"/>
          </w:tcPr>
          <w:p w14:paraId="3732671B" w14:textId="77777777" w:rsidR="002E474C" w:rsidRDefault="00000000">
            <w:pPr>
              <w:pStyle w:val="A-"/>
            </w:pPr>
            <w:r>
              <w:t>1.42</w:t>
            </w:r>
          </w:p>
        </w:tc>
        <w:tc>
          <w:tcPr>
            <w:tcW w:w="269" w:type="pct"/>
            <w:vAlign w:val="center"/>
          </w:tcPr>
          <w:p w14:paraId="23AA4290" w14:textId="77777777" w:rsidR="002E474C" w:rsidRDefault="00000000">
            <w:pPr>
              <w:pStyle w:val="A-"/>
            </w:pPr>
            <w:r>
              <w:t>3.37</w:t>
            </w:r>
          </w:p>
        </w:tc>
        <w:tc>
          <w:tcPr>
            <w:tcW w:w="336" w:type="pct"/>
            <w:vAlign w:val="center"/>
          </w:tcPr>
          <w:p w14:paraId="55C85A4A" w14:textId="77777777" w:rsidR="002E474C" w:rsidRDefault="00000000">
            <w:pPr>
              <w:pStyle w:val="A-"/>
            </w:pPr>
            <w:r>
              <w:t>3.1</w:t>
            </w:r>
          </w:p>
        </w:tc>
        <w:tc>
          <w:tcPr>
            <w:tcW w:w="269" w:type="pct"/>
            <w:vAlign w:val="center"/>
          </w:tcPr>
          <w:p w14:paraId="023CA9C5" w14:textId="77777777" w:rsidR="002E474C" w:rsidRDefault="00000000">
            <w:pPr>
              <w:pStyle w:val="A-"/>
            </w:pPr>
            <w:r>
              <w:t>1.97</w:t>
            </w:r>
          </w:p>
        </w:tc>
        <w:tc>
          <w:tcPr>
            <w:tcW w:w="308" w:type="pct"/>
            <w:vAlign w:val="center"/>
          </w:tcPr>
          <w:p w14:paraId="6C4998B8" w14:textId="77777777" w:rsidR="002E474C" w:rsidRDefault="00000000">
            <w:pPr>
              <w:pStyle w:val="A-"/>
            </w:pPr>
            <w:r>
              <w:t>1.88</w:t>
            </w:r>
          </w:p>
        </w:tc>
        <w:tc>
          <w:tcPr>
            <w:tcW w:w="264" w:type="pct"/>
            <w:vAlign w:val="center"/>
          </w:tcPr>
          <w:p w14:paraId="5E74C6DA" w14:textId="77777777" w:rsidR="002E474C" w:rsidRDefault="00000000">
            <w:pPr>
              <w:pStyle w:val="A-"/>
            </w:pPr>
            <w:r>
              <w:t>2.47</w:t>
            </w:r>
          </w:p>
        </w:tc>
      </w:tr>
      <w:tr w:rsidR="002E474C" w14:paraId="1DFF7C17" w14:textId="77777777">
        <w:trPr>
          <w:jc w:val="center"/>
        </w:trPr>
        <w:tc>
          <w:tcPr>
            <w:tcW w:w="329" w:type="pct"/>
            <w:vAlign w:val="center"/>
          </w:tcPr>
          <w:p w14:paraId="576F23B7" w14:textId="77777777" w:rsidR="002E474C" w:rsidRDefault="00000000">
            <w:pPr>
              <w:pStyle w:val="A-"/>
            </w:pPr>
            <w:r>
              <w:t>五月</w:t>
            </w:r>
          </w:p>
        </w:tc>
        <w:tc>
          <w:tcPr>
            <w:tcW w:w="227" w:type="pct"/>
            <w:vAlign w:val="center"/>
          </w:tcPr>
          <w:p w14:paraId="5DBA03E9" w14:textId="77777777" w:rsidR="002E474C" w:rsidRDefault="00000000">
            <w:pPr>
              <w:pStyle w:val="A-"/>
            </w:pPr>
            <w:r>
              <w:t>2.14</w:t>
            </w:r>
          </w:p>
        </w:tc>
        <w:tc>
          <w:tcPr>
            <w:tcW w:w="268" w:type="pct"/>
            <w:vAlign w:val="center"/>
          </w:tcPr>
          <w:p w14:paraId="4434F915" w14:textId="77777777" w:rsidR="002E474C" w:rsidRDefault="00000000">
            <w:pPr>
              <w:pStyle w:val="A-"/>
            </w:pPr>
            <w:r>
              <w:t>2.15</w:t>
            </w:r>
          </w:p>
        </w:tc>
        <w:tc>
          <w:tcPr>
            <w:tcW w:w="268" w:type="pct"/>
            <w:vAlign w:val="center"/>
          </w:tcPr>
          <w:p w14:paraId="3F4462A3" w14:textId="77777777" w:rsidR="002E474C" w:rsidRDefault="00000000">
            <w:pPr>
              <w:pStyle w:val="A-"/>
            </w:pPr>
            <w:r>
              <w:t>2.21</w:t>
            </w:r>
          </w:p>
        </w:tc>
        <w:tc>
          <w:tcPr>
            <w:tcW w:w="268" w:type="pct"/>
            <w:vAlign w:val="center"/>
          </w:tcPr>
          <w:p w14:paraId="3D88D00C" w14:textId="77777777" w:rsidR="002E474C" w:rsidRDefault="00000000">
            <w:pPr>
              <w:pStyle w:val="A-"/>
            </w:pPr>
            <w:r>
              <w:t>2.8</w:t>
            </w:r>
          </w:p>
        </w:tc>
        <w:tc>
          <w:tcPr>
            <w:tcW w:w="268" w:type="pct"/>
            <w:vAlign w:val="center"/>
          </w:tcPr>
          <w:p w14:paraId="44A2251D" w14:textId="77777777" w:rsidR="002E474C" w:rsidRDefault="00000000">
            <w:pPr>
              <w:pStyle w:val="A-"/>
            </w:pPr>
            <w:r>
              <w:t>2.71</w:t>
            </w:r>
          </w:p>
        </w:tc>
        <w:tc>
          <w:tcPr>
            <w:tcW w:w="268" w:type="pct"/>
            <w:vAlign w:val="center"/>
          </w:tcPr>
          <w:p w14:paraId="1B76B1B0" w14:textId="77777777" w:rsidR="002E474C" w:rsidRDefault="00000000">
            <w:pPr>
              <w:pStyle w:val="A-"/>
            </w:pPr>
            <w:r>
              <w:t>2.8</w:t>
            </w:r>
          </w:p>
        </w:tc>
        <w:tc>
          <w:tcPr>
            <w:tcW w:w="268" w:type="pct"/>
            <w:vAlign w:val="center"/>
          </w:tcPr>
          <w:p w14:paraId="338B72D9" w14:textId="77777777" w:rsidR="002E474C" w:rsidRDefault="00000000">
            <w:pPr>
              <w:pStyle w:val="A-"/>
            </w:pPr>
            <w:r>
              <w:t>2.09</w:t>
            </w:r>
          </w:p>
        </w:tc>
        <w:tc>
          <w:tcPr>
            <w:tcW w:w="268" w:type="pct"/>
            <w:vAlign w:val="center"/>
          </w:tcPr>
          <w:p w14:paraId="07C1B45F" w14:textId="77777777" w:rsidR="002E474C" w:rsidRDefault="00000000">
            <w:pPr>
              <w:pStyle w:val="A-"/>
            </w:pPr>
            <w:r>
              <w:t>1.72</w:t>
            </w:r>
          </w:p>
        </w:tc>
        <w:tc>
          <w:tcPr>
            <w:tcW w:w="268" w:type="pct"/>
            <w:vAlign w:val="center"/>
          </w:tcPr>
          <w:p w14:paraId="2D314334" w14:textId="77777777" w:rsidR="002E474C" w:rsidRDefault="00000000">
            <w:pPr>
              <w:pStyle w:val="A-"/>
            </w:pPr>
            <w:r>
              <w:t>2.12</w:t>
            </w:r>
          </w:p>
        </w:tc>
        <w:tc>
          <w:tcPr>
            <w:tcW w:w="269" w:type="pct"/>
            <w:vAlign w:val="center"/>
          </w:tcPr>
          <w:p w14:paraId="55EBFF8D" w14:textId="77777777" w:rsidR="002E474C" w:rsidRDefault="00000000">
            <w:pPr>
              <w:pStyle w:val="A-"/>
            </w:pPr>
            <w:r>
              <w:t>1.95</w:t>
            </w:r>
          </w:p>
        </w:tc>
        <w:tc>
          <w:tcPr>
            <w:tcW w:w="269" w:type="pct"/>
            <w:vAlign w:val="center"/>
          </w:tcPr>
          <w:p w14:paraId="59B7A002" w14:textId="77777777" w:rsidR="002E474C" w:rsidRDefault="00000000">
            <w:pPr>
              <w:pStyle w:val="A-"/>
            </w:pPr>
            <w:r>
              <w:t>2.09</w:t>
            </w:r>
          </w:p>
        </w:tc>
        <w:tc>
          <w:tcPr>
            <w:tcW w:w="315" w:type="pct"/>
            <w:vAlign w:val="center"/>
          </w:tcPr>
          <w:p w14:paraId="74825A1E" w14:textId="77777777" w:rsidR="002E474C" w:rsidRDefault="00000000">
            <w:pPr>
              <w:pStyle w:val="A-"/>
            </w:pPr>
            <w:r>
              <w:t>3.02</w:t>
            </w:r>
          </w:p>
        </w:tc>
        <w:tc>
          <w:tcPr>
            <w:tcW w:w="269" w:type="pct"/>
            <w:vAlign w:val="center"/>
          </w:tcPr>
          <w:p w14:paraId="47C83898" w14:textId="77777777" w:rsidR="002E474C" w:rsidRDefault="00000000">
            <w:pPr>
              <w:pStyle w:val="A-"/>
            </w:pPr>
            <w:r>
              <w:t>2.87</w:t>
            </w:r>
          </w:p>
        </w:tc>
        <w:tc>
          <w:tcPr>
            <w:tcW w:w="336" w:type="pct"/>
            <w:vAlign w:val="center"/>
          </w:tcPr>
          <w:p w14:paraId="672FF742" w14:textId="77777777" w:rsidR="002E474C" w:rsidRDefault="00000000">
            <w:pPr>
              <w:pStyle w:val="A-"/>
            </w:pPr>
            <w:r>
              <w:t>2.67</w:t>
            </w:r>
          </w:p>
        </w:tc>
        <w:tc>
          <w:tcPr>
            <w:tcW w:w="269" w:type="pct"/>
            <w:vAlign w:val="center"/>
          </w:tcPr>
          <w:p w14:paraId="362D893A" w14:textId="77777777" w:rsidR="002E474C" w:rsidRDefault="00000000">
            <w:pPr>
              <w:pStyle w:val="A-"/>
            </w:pPr>
            <w:r>
              <w:t>1.8</w:t>
            </w:r>
          </w:p>
        </w:tc>
        <w:tc>
          <w:tcPr>
            <w:tcW w:w="308" w:type="pct"/>
            <w:vAlign w:val="center"/>
          </w:tcPr>
          <w:p w14:paraId="0BF63F47" w14:textId="77777777" w:rsidR="002E474C" w:rsidRDefault="00000000">
            <w:pPr>
              <w:pStyle w:val="A-"/>
            </w:pPr>
            <w:r>
              <w:t>1.67</w:t>
            </w:r>
          </w:p>
        </w:tc>
        <w:tc>
          <w:tcPr>
            <w:tcW w:w="264" w:type="pct"/>
            <w:vAlign w:val="center"/>
          </w:tcPr>
          <w:p w14:paraId="00E64C08" w14:textId="77777777" w:rsidR="002E474C" w:rsidRDefault="00000000">
            <w:pPr>
              <w:pStyle w:val="A-"/>
            </w:pPr>
            <w:r>
              <w:t>2.42</w:t>
            </w:r>
          </w:p>
        </w:tc>
      </w:tr>
      <w:tr w:rsidR="002E474C" w14:paraId="72536004" w14:textId="77777777">
        <w:trPr>
          <w:jc w:val="center"/>
        </w:trPr>
        <w:tc>
          <w:tcPr>
            <w:tcW w:w="329" w:type="pct"/>
            <w:vAlign w:val="center"/>
          </w:tcPr>
          <w:p w14:paraId="6D484623" w14:textId="77777777" w:rsidR="002E474C" w:rsidRDefault="00000000">
            <w:pPr>
              <w:pStyle w:val="A-"/>
            </w:pPr>
            <w:r>
              <w:t>六月</w:t>
            </w:r>
          </w:p>
        </w:tc>
        <w:tc>
          <w:tcPr>
            <w:tcW w:w="227" w:type="pct"/>
            <w:vAlign w:val="center"/>
          </w:tcPr>
          <w:p w14:paraId="08B79282" w14:textId="77777777" w:rsidR="002E474C" w:rsidRDefault="00000000">
            <w:pPr>
              <w:pStyle w:val="A-"/>
            </w:pPr>
            <w:r>
              <w:t>2.25</w:t>
            </w:r>
          </w:p>
        </w:tc>
        <w:tc>
          <w:tcPr>
            <w:tcW w:w="268" w:type="pct"/>
            <w:vAlign w:val="center"/>
          </w:tcPr>
          <w:p w14:paraId="057C42BF" w14:textId="77777777" w:rsidR="002E474C" w:rsidRDefault="00000000">
            <w:pPr>
              <w:pStyle w:val="A-"/>
            </w:pPr>
            <w:r>
              <w:t>2.41</w:t>
            </w:r>
          </w:p>
        </w:tc>
        <w:tc>
          <w:tcPr>
            <w:tcW w:w="268" w:type="pct"/>
            <w:vAlign w:val="center"/>
          </w:tcPr>
          <w:p w14:paraId="0B1951BD" w14:textId="77777777" w:rsidR="002E474C" w:rsidRDefault="00000000">
            <w:pPr>
              <w:pStyle w:val="A-"/>
            </w:pPr>
            <w:r>
              <w:t>2.65</w:t>
            </w:r>
          </w:p>
        </w:tc>
        <w:tc>
          <w:tcPr>
            <w:tcW w:w="268" w:type="pct"/>
            <w:vAlign w:val="center"/>
          </w:tcPr>
          <w:p w14:paraId="6561638D" w14:textId="77777777" w:rsidR="002E474C" w:rsidRDefault="00000000">
            <w:pPr>
              <w:pStyle w:val="A-"/>
            </w:pPr>
            <w:r>
              <w:t>2.78</w:t>
            </w:r>
          </w:p>
        </w:tc>
        <w:tc>
          <w:tcPr>
            <w:tcW w:w="268" w:type="pct"/>
            <w:vAlign w:val="center"/>
          </w:tcPr>
          <w:p w14:paraId="6434F249" w14:textId="77777777" w:rsidR="002E474C" w:rsidRDefault="00000000">
            <w:pPr>
              <w:pStyle w:val="A-"/>
            </w:pPr>
            <w:r>
              <w:t>2.89</w:t>
            </w:r>
          </w:p>
        </w:tc>
        <w:tc>
          <w:tcPr>
            <w:tcW w:w="268" w:type="pct"/>
            <w:vAlign w:val="center"/>
          </w:tcPr>
          <w:p w14:paraId="5E3FC118" w14:textId="77777777" w:rsidR="002E474C" w:rsidRDefault="00000000">
            <w:pPr>
              <w:pStyle w:val="A-"/>
            </w:pPr>
            <w:r>
              <w:t>2.56</w:t>
            </w:r>
          </w:p>
        </w:tc>
        <w:tc>
          <w:tcPr>
            <w:tcW w:w="268" w:type="pct"/>
            <w:vAlign w:val="center"/>
          </w:tcPr>
          <w:p w14:paraId="4EDFA91C" w14:textId="77777777" w:rsidR="002E474C" w:rsidRDefault="00000000">
            <w:pPr>
              <w:pStyle w:val="A-"/>
            </w:pPr>
            <w:r>
              <w:t>2.24</w:t>
            </w:r>
          </w:p>
        </w:tc>
        <w:tc>
          <w:tcPr>
            <w:tcW w:w="268" w:type="pct"/>
            <w:vAlign w:val="center"/>
          </w:tcPr>
          <w:p w14:paraId="75676685" w14:textId="77777777" w:rsidR="002E474C" w:rsidRDefault="00000000">
            <w:pPr>
              <w:pStyle w:val="A-"/>
            </w:pPr>
            <w:r>
              <w:t>2.35</w:t>
            </w:r>
          </w:p>
        </w:tc>
        <w:tc>
          <w:tcPr>
            <w:tcW w:w="268" w:type="pct"/>
            <w:vAlign w:val="center"/>
          </w:tcPr>
          <w:p w14:paraId="1AD4E3DF" w14:textId="77777777" w:rsidR="002E474C" w:rsidRDefault="00000000">
            <w:pPr>
              <w:pStyle w:val="A-"/>
            </w:pPr>
            <w:r>
              <w:t>2.29</w:t>
            </w:r>
          </w:p>
        </w:tc>
        <w:tc>
          <w:tcPr>
            <w:tcW w:w="269" w:type="pct"/>
            <w:vAlign w:val="center"/>
          </w:tcPr>
          <w:p w14:paraId="743696AF" w14:textId="77777777" w:rsidR="002E474C" w:rsidRDefault="00000000">
            <w:pPr>
              <w:pStyle w:val="A-"/>
            </w:pPr>
            <w:r>
              <w:t>2.12</w:t>
            </w:r>
          </w:p>
        </w:tc>
        <w:tc>
          <w:tcPr>
            <w:tcW w:w="269" w:type="pct"/>
            <w:vAlign w:val="center"/>
          </w:tcPr>
          <w:p w14:paraId="6D3FAC03" w14:textId="77777777" w:rsidR="002E474C" w:rsidRDefault="00000000">
            <w:pPr>
              <w:pStyle w:val="A-"/>
            </w:pPr>
            <w:r>
              <w:t>2.3</w:t>
            </w:r>
          </w:p>
        </w:tc>
        <w:tc>
          <w:tcPr>
            <w:tcW w:w="315" w:type="pct"/>
            <w:vAlign w:val="center"/>
          </w:tcPr>
          <w:p w14:paraId="3EB6D36B" w14:textId="77777777" w:rsidR="002E474C" w:rsidRDefault="00000000">
            <w:pPr>
              <w:pStyle w:val="A-"/>
            </w:pPr>
            <w:r>
              <w:t>3.16</w:t>
            </w:r>
          </w:p>
        </w:tc>
        <w:tc>
          <w:tcPr>
            <w:tcW w:w="269" w:type="pct"/>
            <w:vAlign w:val="center"/>
          </w:tcPr>
          <w:p w14:paraId="06D9921B" w14:textId="77777777" w:rsidR="002E474C" w:rsidRDefault="00000000">
            <w:pPr>
              <w:pStyle w:val="A-"/>
            </w:pPr>
            <w:r>
              <w:t>3.46</w:t>
            </w:r>
          </w:p>
        </w:tc>
        <w:tc>
          <w:tcPr>
            <w:tcW w:w="336" w:type="pct"/>
            <w:vAlign w:val="center"/>
          </w:tcPr>
          <w:p w14:paraId="63C6CE4D" w14:textId="77777777" w:rsidR="002E474C" w:rsidRDefault="00000000">
            <w:pPr>
              <w:pStyle w:val="A-"/>
            </w:pPr>
            <w:r>
              <w:t>3.79</w:t>
            </w:r>
          </w:p>
        </w:tc>
        <w:tc>
          <w:tcPr>
            <w:tcW w:w="269" w:type="pct"/>
            <w:vAlign w:val="center"/>
          </w:tcPr>
          <w:p w14:paraId="5CE55E86" w14:textId="77777777" w:rsidR="002E474C" w:rsidRDefault="00000000">
            <w:pPr>
              <w:pStyle w:val="A-"/>
            </w:pPr>
            <w:r>
              <w:t>2.39</w:t>
            </w:r>
          </w:p>
        </w:tc>
        <w:tc>
          <w:tcPr>
            <w:tcW w:w="308" w:type="pct"/>
            <w:vAlign w:val="center"/>
          </w:tcPr>
          <w:p w14:paraId="666832DD" w14:textId="77777777" w:rsidR="002E474C" w:rsidRDefault="00000000">
            <w:pPr>
              <w:pStyle w:val="A-"/>
            </w:pPr>
            <w:r>
              <w:t>1.87</w:t>
            </w:r>
          </w:p>
        </w:tc>
        <w:tc>
          <w:tcPr>
            <w:tcW w:w="264" w:type="pct"/>
            <w:vAlign w:val="center"/>
          </w:tcPr>
          <w:p w14:paraId="46742F9C" w14:textId="77777777" w:rsidR="002E474C" w:rsidRDefault="00000000">
            <w:pPr>
              <w:pStyle w:val="A-"/>
            </w:pPr>
            <w:r>
              <w:t>2.62</w:t>
            </w:r>
          </w:p>
        </w:tc>
      </w:tr>
      <w:tr w:rsidR="002E474C" w14:paraId="01C42C04" w14:textId="77777777">
        <w:trPr>
          <w:jc w:val="center"/>
        </w:trPr>
        <w:tc>
          <w:tcPr>
            <w:tcW w:w="329" w:type="pct"/>
            <w:vAlign w:val="center"/>
          </w:tcPr>
          <w:p w14:paraId="03976C52" w14:textId="77777777" w:rsidR="002E474C" w:rsidRDefault="00000000">
            <w:pPr>
              <w:pStyle w:val="A-"/>
            </w:pPr>
            <w:r>
              <w:t>七月</w:t>
            </w:r>
          </w:p>
        </w:tc>
        <w:tc>
          <w:tcPr>
            <w:tcW w:w="227" w:type="pct"/>
            <w:vAlign w:val="center"/>
          </w:tcPr>
          <w:p w14:paraId="63234ACC" w14:textId="77777777" w:rsidR="002E474C" w:rsidRDefault="00000000">
            <w:pPr>
              <w:pStyle w:val="A-"/>
            </w:pPr>
            <w:r>
              <w:t>2.19</w:t>
            </w:r>
          </w:p>
        </w:tc>
        <w:tc>
          <w:tcPr>
            <w:tcW w:w="268" w:type="pct"/>
            <w:vAlign w:val="center"/>
          </w:tcPr>
          <w:p w14:paraId="5BF9591D" w14:textId="77777777" w:rsidR="002E474C" w:rsidRDefault="00000000">
            <w:pPr>
              <w:pStyle w:val="A-"/>
            </w:pPr>
            <w:r>
              <w:t>2.22</w:t>
            </w:r>
          </w:p>
        </w:tc>
        <w:tc>
          <w:tcPr>
            <w:tcW w:w="268" w:type="pct"/>
            <w:vAlign w:val="center"/>
          </w:tcPr>
          <w:p w14:paraId="07DC81AF" w14:textId="77777777" w:rsidR="002E474C" w:rsidRDefault="00000000">
            <w:pPr>
              <w:pStyle w:val="A-"/>
            </w:pPr>
            <w:r>
              <w:t>2.44</w:t>
            </w:r>
          </w:p>
        </w:tc>
        <w:tc>
          <w:tcPr>
            <w:tcW w:w="268" w:type="pct"/>
            <w:vAlign w:val="center"/>
          </w:tcPr>
          <w:p w14:paraId="3167C960" w14:textId="77777777" w:rsidR="002E474C" w:rsidRDefault="00000000">
            <w:pPr>
              <w:pStyle w:val="A-"/>
            </w:pPr>
            <w:r>
              <w:t>2.63</w:t>
            </w:r>
          </w:p>
        </w:tc>
        <w:tc>
          <w:tcPr>
            <w:tcW w:w="268" w:type="pct"/>
            <w:vAlign w:val="center"/>
          </w:tcPr>
          <w:p w14:paraId="75A5478E" w14:textId="77777777" w:rsidR="002E474C" w:rsidRDefault="00000000">
            <w:pPr>
              <w:pStyle w:val="A-"/>
            </w:pPr>
            <w:r>
              <w:t>2.94</w:t>
            </w:r>
          </w:p>
        </w:tc>
        <w:tc>
          <w:tcPr>
            <w:tcW w:w="268" w:type="pct"/>
            <w:vAlign w:val="center"/>
          </w:tcPr>
          <w:p w14:paraId="60B71110" w14:textId="77777777" w:rsidR="002E474C" w:rsidRDefault="00000000">
            <w:pPr>
              <w:pStyle w:val="A-"/>
            </w:pPr>
            <w:r>
              <w:t>2.82</w:t>
            </w:r>
          </w:p>
        </w:tc>
        <w:tc>
          <w:tcPr>
            <w:tcW w:w="268" w:type="pct"/>
            <w:vAlign w:val="center"/>
          </w:tcPr>
          <w:p w14:paraId="6A168407" w14:textId="77777777" w:rsidR="002E474C" w:rsidRDefault="00000000">
            <w:pPr>
              <w:pStyle w:val="A-"/>
            </w:pPr>
            <w:r>
              <w:t>2.34</w:t>
            </w:r>
          </w:p>
        </w:tc>
        <w:tc>
          <w:tcPr>
            <w:tcW w:w="268" w:type="pct"/>
            <w:vAlign w:val="center"/>
          </w:tcPr>
          <w:p w14:paraId="7CD3EBFD" w14:textId="77777777" w:rsidR="002E474C" w:rsidRDefault="00000000">
            <w:pPr>
              <w:pStyle w:val="A-"/>
            </w:pPr>
            <w:r>
              <w:t>2.44</w:t>
            </w:r>
          </w:p>
        </w:tc>
        <w:tc>
          <w:tcPr>
            <w:tcW w:w="268" w:type="pct"/>
            <w:vAlign w:val="center"/>
          </w:tcPr>
          <w:p w14:paraId="691134E1" w14:textId="77777777" w:rsidR="002E474C" w:rsidRDefault="00000000">
            <w:pPr>
              <w:pStyle w:val="A-"/>
            </w:pPr>
            <w:r>
              <w:t>2.28</w:t>
            </w:r>
          </w:p>
        </w:tc>
        <w:tc>
          <w:tcPr>
            <w:tcW w:w="269" w:type="pct"/>
            <w:vAlign w:val="center"/>
          </w:tcPr>
          <w:p w14:paraId="54269233" w14:textId="77777777" w:rsidR="002E474C" w:rsidRDefault="00000000">
            <w:pPr>
              <w:pStyle w:val="A-"/>
            </w:pPr>
            <w:r>
              <w:t>2.28</w:t>
            </w:r>
          </w:p>
        </w:tc>
        <w:tc>
          <w:tcPr>
            <w:tcW w:w="269" w:type="pct"/>
            <w:vAlign w:val="center"/>
          </w:tcPr>
          <w:p w14:paraId="66C38F08" w14:textId="77777777" w:rsidR="002E474C" w:rsidRDefault="00000000">
            <w:pPr>
              <w:pStyle w:val="A-"/>
            </w:pPr>
            <w:r>
              <w:t>2.24</w:t>
            </w:r>
          </w:p>
        </w:tc>
        <w:tc>
          <w:tcPr>
            <w:tcW w:w="315" w:type="pct"/>
            <w:vAlign w:val="center"/>
          </w:tcPr>
          <w:p w14:paraId="7753244F" w14:textId="77777777" w:rsidR="002E474C" w:rsidRDefault="00000000">
            <w:pPr>
              <w:pStyle w:val="A-"/>
            </w:pPr>
            <w:r>
              <w:t>2.37</w:t>
            </w:r>
          </w:p>
        </w:tc>
        <w:tc>
          <w:tcPr>
            <w:tcW w:w="269" w:type="pct"/>
            <w:vAlign w:val="center"/>
          </w:tcPr>
          <w:p w14:paraId="4BA4D4F2" w14:textId="77777777" w:rsidR="002E474C" w:rsidRDefault="00000000">
            <w:pPr>
              <w:pStyle w:val="A-"/>
            </w:pPr>
            <w:r>
              <w:t>3.02</w:t>
            </w:r>
          </w:p>
        </w:tc>
        <w:tc>
          <w:tcPr>
            <w:tcW w:w="336" w:type="pct"/>
            <w:vAlign w:val="center"/>
          </w:tcPr>
          <w:p w14:paraId="0D8A37A3" w14:textId="77777777" w:rsidR="002E474C" w:rsidRDefault="00000000">
            <w:pPr>
              <w:pStyle w:val="A-"/>
            </w:pPr>
            <w:r>
              <w:t>2.46</w:t>
            </w:r>
          </w:p>
        </w:tc>
        <w:tc>
          <w:tcPr>
            <w:tcW w:w="269" w:type="pct"/>
            <w:vAlign w:val="center"/>
          </w:tcPr>
          <w:p w14:paraId="0A851507" w14:textId="77777777" w:rsidR="002E474C" w:rsidRDefault="00000000">
            <w:pPr>
              <w:pStyle w:val="A-"/>
            </w:pPr>
            <w:r>
              <w:t>2.8</w:t>
            </w:r>
          </w:p>
        </w:tc>
        <w:tc>
          <w:tcPr>
            <w:tcW w:w="308" w:type="pct"/>
            <w:vAlign w:val="center"/>
          </w:tcPr>
          <w:p w14:paraId="2E84527C" w14:textId="77777777" w:rsidR="002E474C" w:rsidRDefault="00000000">
            <w:pPr>
              <w:pStyle w:val="A-"/>
            </w:pPr>
            <w:r>
              <w:t>1.67</w:t>
            </w:r>
          </w:p>
        </w:tc>
        <w:tc>
          <w:tcPr>
            <w:tcW w:w="264" w:type="pct"/>
            <w:vAlign w:val="center"/>
          </w:tcPr>
          <w:p w14:paraId="255D2794" w14:textId="77777777" w:rsidR="002E474C" w:rsidRDefault="00000000">
            <w:pPr>
              <w:pStyle w:val="A-"/>
            </w:pPr>
            <w:r>
              <w:t>2.49</w:t>
            </w:r>
          </w:p>
        </w:tc>
      </w:tr>
      <w:tr w:rsidR="002E474C" w14:paraId="29AB6AB9" w14:textId="77777777">
        <w:trPr>
          <w:jc w:val="center"/>
        </w:trPr>
        <w:tc>
          <w:tcPr>
            <w:tcW w:w="329" w:type="pct"/>
            <w:vAlign w:val="center"/>
          </w:tcPr>
          <w:p w14:paraId="5DD9415C" w14:textId="77777777" w:rsidR="002E474C" w:rsidRDefault="00000000">
            <w:pPr>
              <w:pStyle w:val="A-"/>
            </w:pPr>
            <w:r>
              <w:t>八月</w:t>
            </w:r>
          </w:p>
        </w:tc>
        <w:tc>
          <w:tcPr>
            <w:tcW w:w="227" w:type="pct"/>
            <w:vAlign w:val="center"/>
          </w:tcPr>
          <w:p w14:paraId="72AD5132" w14:textId="77777777" w:rsidR="002E474C" w:rsidRDefault="00000000">
            <w:pPr>
              <w:pStyle w:val="A-"/>
            </w:pPr>
            <w:r>
              <w:t>2.13</w:t>
            </w:r>
          </w:p>
        </w:tc>
        <w:tc>
          <w:tcPr>
            <w:tcW w:w="268" w:type="pct"/>
            <w:vAlign w:val="center"/>
          </w:tcPr>
          <w:p w14:paraId="7E10D5C9" w14:textId="77777777" w:rsidR="002E474C" w:rsidRDefault="00000000">
            <w:pPr>
              <w:pStyle w:val="A-"/>
            </w:pPr>
            <w:r>
              <w:t>2.28</w:t>
            </w:r>
          </w:p>
        </w:tc>
        <w:tc>
          <w:tcPr>
            <w:tcW w:w="268" w:type="pct"/>
            <w:vAlign w:val="center"/>
          </w:tcPr>
          <w:p w14:paraId="66E66C24" w14:textId="77777777" w:rsidR="002E474C" w:rsidRDefault="00000000">
            <w:pPr>
              <w:pStyle w:val="A-"/>
            </w:pPr>
            <w:r>
              <w:t>2.06</w:t>
            </w:r>
          </w:p>
        </w:tc>
        <w:tc>
          <w:tcPr>
            <w:tcW w:w="268" w:type="pct"/>
            <w:vAlign w:val="center"/>
          </w:tcPr>
          <w:p w14:paraId="30CF7F1D" w14:textId="77777777" w:rsidR="002E474C" w:rsidRDefault="00000000">
            <w:pPr>
              <w:pStyle w:val="A-"/>
            </w:pPr>
            <w:r>
              <w:t>2.67</w:t>
            </w:r>
          </w:p>
        </w:tc>
        <w:tc>
          <w:tcPr>
            <w:tcW w:w="268" w:type="pct"/>
            <w:vAlign w:val="center"/>
          </w:tcPr>
          <w:p w14:paraId="234C53CE" w14:textId="77777777" w:rsidR="002E474C" w:rsidRDefault="00000000">
            <w:pPr>
              <w:pStyle w:val="A-"/>
            </w:pPr>
            <w:r>
              <w:t>2.83</w:t>
            </w:r>
          </w:p>
        </w:tc>
        <w:tc>
          <w:tcPr>
            <w:tcW w:w="268" w:type="pct"/>
            <w:vAlign w:val="center"/>
          </w:tcPr>
          <w:p w14:paraId="4237B843" w14:textId="77777777" w:rsidR="002E474C" w:rsidRDefault="00000000">
            <w:pPr>
              <w:pStyle w:val="A-"/>
            </w:pPr>
            <w:r>
              <w:t>2.51</w:t>
            </w:r>
          </w:p>
        </w:tc>
        <w:tc>
          <w:tcPr>
            <w:tcW w:w="268" w:type="pct"/>
            <w:vAlign w:val="center"/>
          </w:tcPr>
          <w:p w14:paraId="6EA4C58B" w14:textId="77777777" w:rsidR="002E474C" w:rsidRDefault="00000000">
            <w:pPr>
              <w:pStyle w:val="A-"/>
            </w:pPr>
            <w:r>
              <w:t>2.34</w:t>
            </w:r>
          </w:p>
        </w:tc>
        <w:tc>
          <w:tcPr>
            <w:tcW w:w="268" w:type="pct"/>
            <w:vAlign w:val="center"/>
          </w:tcPr>
          <w:p w14:paraId="423B5238" w14:textId="77777777" w:rsidR="002E474C" w:rsidRDefault="00000000">
            <w:pPr>
              <w:pStyle w:val="A-"/>
            </w:pPr>
            <w:r>
              <w:t>2.62</w:t>
            </w:r>
          </w:p>
        </w:tc>
        <w:tc>
          <w:tcPr>
            <w:tcW w:w="268" w:type="pct"/>
            <w:vAlign w:val="center"/>
          </w:tcPr>
          <w:p w14:paraId="78CDF765" w14:textId="77777777" w:rsidR="002E474C" w:rsidRDefault="00000000">
            <w:pPr>
              <w:pStyle w:val="A-"/>
            </w:pPr>
            <w:r>
              <w:t>2</w:t>
            </w:r>
          </w:p>
        </w:tc>
        <w:tc>
          <w:tcPr>
            <w:tcW w:w="269" w:type="pct"/>
            <w:vAlign w:val="center"/>
          </w:tcPr>
          <w:p w14:paraId="1098E1B8" w14:textId="77777777" w:rsidR="002E474C" w:rsidRDefault="00000000">
            <w:pPr>
              <w:pStyle w:val="A-"/>
            </w:pPr>
            <w:r>
              <w:t>2.02</w:t>
            </w:r>
          </w:p>
        </w:tc>
        <w:tc>
          <w:tcPr>
            <w:tcW w:w="269" w:type="pct"/>
            <w:vAlign w:val="center"/>
          </w:tcPr>
          <w:p w14:paraId="5418056B" w14:textId="77777777" w:rsidR="002E474C" w:rsidRDefault="00000000">
            <w:pPr>
              <w:pStyle w:val="A-"/>
            </w:pPr>
            <w:r>
              <w:t>2</w:t>
            </w:r>
          </w:p>
        </w:tc>
        <w:tc>
          <w:tcPr>
            <w:tcW w:w="315" w:type="pct"/>
            <w:vAlign w:val="center"/>
          </w:tcPr>
          <w:p w14:paraId="3894AED7" w14:textId="77777777" w:rsidR="002E474C" w:rsidRDefault="00000000">
            <w:pPr>
              <w:pStyle w:val="A-"/>
            </w:pPr>
            <w:r>
              <w:t>2.4</w:t>
            </w:r>
          </w:p>
        </w:tc>
        <w:tc>
          <w:tcPr>
            <w:tcW w:w="269" w:type="pct"/>
            <w:vAlign w:val="center"/>
          </w:tcPr>
          <w:p w14:paraId="3B044732" w14:textId="77777777" w:rsidR="002E474C" w:rsidRDefault="00000000">
            <w:pPr>
              <w:pStyle w:val="A-"/>
            </w:pPr>
            <w:r>
              <w:t>2.64</w:t>
            </w:r>
          </w:p>
        </w:tc>
        <w:tc>
          <w:tcPr>
            <w:tcW w:w="336" w:type="pct"/>
            <w:vAlign w:val="center"/>
          </w:tcPr>
          <w:p w14:paraId="2E2C21E1" w14:textId="77777777" w:rsidR="002E474C" w:rsidRDefault="00000000">
            <w:pPr>
              <w:pStyle w:val="A-"/>
            </w:pPr>
            <w:r>
              <w:t>2.51</w:t>
            </w:r>
          </w:p>
        </w:tc>
        <w:tc>
          <w:tcPr>
            <w:tcW w:w="269" w:type="pct"/>
            <w:vAlign w:val="center"/>
          </w:tcPr>
          <w:p w14:paraId="6E1C90F9" w14:textId="77777777" w:rsidR="002E474C" w:rsidRDefault="00000000">
            <w:pPr>
              <w:pStyle w:val="A-"/>
            </w:pPr>
            <w:r>
              <w:t>2.12</w:t>
            </w:r>
          </w:p>
        </w:tc>
        <w:tc>
          <w:tcPr>
            <w:tcW w:w="308" w:type="pct"/>
            <w:vAlign w:val="center"/>
          </w:tcPr>
          <w:p w14:paraId="58F2914C" w14:textId="77777777" w:rsidR="002E474C" w:rsidRDefault="00000000">
            <w:pPr>
              <w:pStyle w:val="A-"/>
            </w:pPr>
            <w:r>
              <w:t>1.93</w:t>
            </w:r>
          </w:p>
        </w:tc>
        <w:tc>
          <w:tcPr>
            <w:tcW w:w="264" w:type="pct"/>
            <w:vAlign w:val="center"/>
          </w:tcPr>
          <w:p w14:paraId="6CBCFFBA" w14:textId="77777777" w:rsidR="002E474C" w:rsidRDefault="00000000">
            <w:pPr>
              <w:pStyle w:val="A-"/>
            </w:pPr>
            <w:r>
              <w:t>2.34</w:t>
            </w:r>
          </w:p>
        </w:tc>
      </w:tr>
      <w:tr w:rsidR="002E474C" w14:paraId="050CE837" w14:textId="77777777">
        <w:trPr>
          <w:jc w:val="center"/>
        </w:trPr>
        <w:tc>
          <w:tcPr>
            <w:tcW w:w="329" w:type="pct"/>
            <w:vAlign w:val="center"/>
          </w:tcPr>
          <w:p w14:paraId="302A0144" w14:textId="77777777" w:rsidR="002E474C" w:rsidRDefault="00000000">
            <w:pPr>
              <w:pStyle w:val="A-"/>
            </w:pPr>
            <w:r>
              <w:t>九月</w:t>
            </w:r>
          </w:p>
        </w:tc>
        <w:tc>
          <w:tcPr>
            <w:tcW w:w="227" w:type="pct"/>
            <w:vAlign w:val="center"/>
          </w:tcPr>
          <w:p w14:paraId="567F612C" w14:textId="77777777" w:rsidR="002E474C" w:rsidRDefault="00000000">
            <w:pPr>
              <w:pStyle w:val="A-"/>
            </w:pPr>
            <w:r>
              <w:t>2.09</w:t>
            </w:r>
          </w:p>
        </w:tc>
        <w:tc>
          <w:tcPr>
            <w:tcW w:w="268" w:type="pct"/>
            <w:vAlign w:val="center"/>
          </w:tcPr>
          <w:p w14:paraId="6FBFBC28" w14:textId="77777777" w:rsidR="002E474C" w:rsidRDefault="00000000">
            <w:pPr>
              <w:pStyle w:val="A-"/>
            </w:pPr>
            <w:r>
              <w:t>2.1</w:t>
            </w:r>
          </w:p>
        </w:tc>
        <w:tc>
          <w:tcPr>
            <w:tcW w:w="268" w:type="pct"/>
            <w:vAlign w:val="center"/>
          </w:tcPr>
          <w:p w14:paraId="29A24F4E" w14:textId="77777777" w:rsidR="002E474C" w:rsidRDefault="00000000">
            <w:pPr>
              <w:pStyle w:val="A-"/>
            </w:pPr>
            <w:r>
              <w:t>2.01</w:t>
            </w:r>
          </w:p>
        </w:tc>
        <w:tc>
          <w:tcPr>
            <w:tcW w:w="268" w:type="pct"/>
            <w:vAlign w:val="center"/>
          </w:tcPr>
          <w:p w14:paraId="52C93814" w14:textId="77777777" w:rsidR="002E474C" w:rsidRDefault="00000000">
            <w:pPr>
              <w:pStyle w:val="A-"/>
            </w:pPr>
            <w:r>
              <w:t>2.31</w:t>
            </w:r>
          </w:p>
        </w:tc>
        <w:tc>
          <w:tcPr>
            <w:tcW w:w="268" w:type="pct"/>
            <w:vAlign w:val="center"/>
          </w:tcPr>
          <w:p w14:paraId="0C7941D1" w14:textId="77777777" w:rsidR="002E474C" w:rsidRDefault="00000000">
            <w:pPr>
              <w:pStyle w:val="A-"/>
            </w:pPr>
            <w:r>
              <w:t>2.47</w:t>
            </w:r>
          </w:p>
        </w:tc>
        <w:tc>
          <w:tcPr>
            <w:tcW w:w="268" w:type="pct"/>
            <w:vAlign w:val="center"/>
          </w:tcPr>
          <w:p w14:paraId="22DEADA5" w14:textId="77777777" w:rsidR="002E474C" w:rsidRDefault="00000000">
            <w:pPr>
              <w:pStyle w:val="A-"/>
            </w:pPr>
            <w:r>
              <w:t>2.45</w:t>
            </w:r>
          </w:p>
        </w:tc>
        <w:tc>
          <w:tcPr>
            <w:tcW w:w="268" w:type="pct"/>
            <w:vAlign w:val="center"/>
          </w:tcPr>
          <w:p w14:paraId="53B847B1" w14:textId="77777777" w:rsidR="002E474C" w:rsidRDefault="00000000">
            <w:pPr>
              <w:pStyle w:val="A-"/>
            </w:pPr>
            <w:r>
              <w:t>2.18</w:t>
            </w:r>
          </w:p>
        </w:tc>
        <w:tc>
          <w:tcPr>
            <w:tcW w:w="268" w:type="pct"/>
            <w:vAlign w:val="center"/>
          </w:tcPr>
          <w:p w14:paraId="5FA32658" w14:textId="77777777" w:rsidR="002E474C" w:rsidRDefault="00000000">
            <w:pPr>
              <w:pStyle w:val="A-"/>
            </w:pPr>
            <w:r>
              <w:t>2.02</w:t>
            </w:r>
          </w:p>
        </w:tc>
        <w:tc>
          <w:tcPr>
            <w:tcW w:w="268" w:type="pct"/>
            <w:vAlign w:val="center"/>
          </w:tcPr>
          <w:p w14:paraId="1102DE08" w14:textId="77777777" w:rsidR="002E474C" w:rsidRDefault="00000000">
            <w:pPr>
              <w:pStyle w:val="A-"/>
            </w:pPr>
            <w:r>
              <w:t>1.74</w:t>
            </w:r>
          </w:p>
        </w:tc>
        <w:tc>
          <w:tcPr>
            <w:tcW w:w="269" w:type="pct"/>
            <w:vAlign w:val="center"/>
          </w:tcPr>
          <w:p w14:paraId="360C8723" w14:textId="77777777" w:rsidR="002E474C" w:rsidRDefault="00000000">
            <w:pPr>
              <w:pStyle w:val="A-"/>
            </w:pPr>
            <w:r>
              <w:t>1.91</w:t>
            </w:r>
          </w:p>
        </w:tc>
        <w:tc>
          <w:tcPr>
            <w:tcW w:w="269" w:type="pct"/>
            <w:vAlign w:val="center"/>
          </w:tcPr>
          <w:p w14:paraId="19A92654" w14:textId="77777777" w:rsidR="002E474C" w:rsidRDefault="00000000">
            <w:pPr>
              <w:pStyle w:val="A-"/>
            </w:pPr>
            <w:r>
              <w:t>1.84</w:t>
            </w:r>
          </w:p>
        </w:tc>
        <w:tc>
          <w:tcPr>
            <w:tcW w:w="315" w:type="pct"/>
            <w:vAlign w:val="center"/>
          </w:tcPr>
          <w:p w14:paraId="09302B7A" w14:textId="77777777" w:rsidR="002E474C" w:rsidRDefault="00000000">
            <w:pPr>
              <w:pStyle w:val="A-"/>
            </w:pPr>
            <w:r>
              <w:t>1.76</w:t>
            </w:r>
          </w:p>
        </w:tc>
        <w:tc>
          <w:tcPr>
            <w:tcW w:w="269" w:type="pct"/>
            <w:vAlign w:val="center"/>
          </w:tcPr>
          <w:p w14:paraId="18009B53" w14:textId="77777777" w:rsidR="002E474C" w:rsidRDefault="00000000">
            <w:pPr>
              <w:pStyle w:val="A-"/>
            </w:pPr>
            <w:r>
              <w:t>3.09</w:t>
            </w:r>
          </w:p>
        </w:tc>
        <w:tc>
          <w:tcPr>
            <w:tcW w:w="336" w:type="pct"/>
            <w:vAlign w:val="center"/>
          </w:tcPr>
          <w:p w14:paraId="6A5374E0" w14:textId="77777777" w:rsidR="002E474C" w:rsidRDefault="00000000">
            <w:pPr>
              <w:pStyle w:val="A-"/>
            </w:pPr>
            <w:r>
              <w:t>1.85</w:t>
            </w:r>
          </w:p>
        </w:tc>
        <w:tc>
          <w:tcPr>
            <w:tcW w:w="269" w:type="pct"/>
            <w:vAlign w:val="center"/>
          </w:tcPr>
          <w:p w14:paraId="1EB79848" w14:textId="77777777" w:rsidR="002E474C" w:rsidRDefault="00000000">
            <w:pPr>
              <w:pStyle w:val="A-"/>
            </w:pPr>
            <w:r>
              <w:t>1.76</w:t>
            </w:r>
          </w:p>
        </w:tc>
        <w:tc>
          <w:tcPr>
            <w:tcW w:w="308" w:type="pct"/>
            <w:vAlign w:val="center"/>
          </w:tcPr>
          <w:p w14:paraId="0459D302" w14:textId="77777777" w:rsidR="002E474C" w:rsidRDefault="00000000">
            <w:pPr>
              <w:pStyle w:val="A-"/>
            </w:pPr>
            <w:r>
              <w:t>1.74</w:t>
            </w:r>
          </w:p>
        </w:tc>
        <w:tc>
          <w:tcPr>
            <w:tcW w:w="264" w:type="pct"/>
            <w:vAlign w:val="center"/>
          </w:tcPr>
          <w:p w14:paraId="0500A6D5" w14:textId="77777777" w:rsidR="002E474C" w:rsidRDefault="00000000">
            <w:pPr>
              <w:pStyle w:val="A-"/>
            </w:pPr>
            <w:r>
              <w:t>2.13</w:t>
            </w:r>
          </w:p>
        </w:tc>
      </w:tr>
      <w:tr w:rsidR="002E474C" w14:paraId="7B2C673F" w14:textId="77777777">
        <w:trPr>
          <w:jc w:val="center"/>
        </w:trPr>
        <w:tc>
          <w:tcPr>
            <w:tcW w:w="329" w:type="pct"/>
            <w:vAlign w:val="center"/>
          </w:tcPr>
          <w:p w14:paraId="5B35273F" w14:textId="77777777" w:rsidR="002E474C" w:rsidRDefault="00000000">
            <w:pPr>
              <w:pStyle w:val="A-"/>
            </w:pPr>
            <w:r>
              <w:t>十月</w:t>
            </w:r>
          </w:p>
        </w:tc>
        <w:tc>
          <w:tcPr>
            <w:tcW w:w="227" w:type="pct"/>
            <w:vAlign w:val="center"/>
          </w:tcPr>
          <w:p w14:paraId="212F8E9B" w14:textId="77777777" w:rsidR="002E474C" w:rsidRDefault="00000000">
            <w:pPr>
              <w:pStyle w:val="A-"/>
            </w:pPr>
            <w:r>
              <w:t>1.53</w:t>
            </w:r>
          </w:p>
        </w:tc>
        <w:tc>
          <w:tcPr>
            <w:tcW w:w="268" w:type="pct"/>
            <w:vAlign w:val="center"/>
          </w:tcPr>
          <w:p w14:paraId="387E874F" w14:textId="77777777" w:rsidR="002E474C" w:rsidRDefault="00000000">
            <w:pPr>
              <w:pStyle w:val="A-"/>
            </w:pPr>
            <w:r>
              <w:t>1.81</w:t>
            </w:r>
          </w:p>
        </w:tc>
        <w:tc>
          <w:tcPr>
            <w:tcW w:w="268" w:type="pct"/>
            <w:vAlign w:val="center"/>
          </w:tcPr>
          <w:p w14:paraId="6919A19C" w14:textId="77777777" w:rsidR="002E474C" w:rsidRDefault="00000000">
            <w:pPr>
              <w:pStyle w:val="A-"/>
            </w:pPr>
            <w:r>
              <w:t>2.03</w:t>
            </w:r>
          </w:p>
        </w:tc>
        <w:tc>
          <w:tcPr>
            <w:tcW w:w="268" w:type="pct"/>
            <w:vAlign w:val="center"/>
          </w:tcPr>
          <w:p w14:paraId="1759DB8E" w14:textId="77777777" w:rsidR="002E474C" w:rsidRDefault="00000000">
            <w:pPr>
              <w:pStyle w:val="A-"/>
            </w:pPr>
            <w:r>
              <w:t>2.11</w:t>
            </w:r>
          </w:p>
        </w:tc>
        <w:tc>
          <w:tcPr>
            <w:tcW w:w="268" w:type="pct"/>
            <w:vAlign w:val="center"/>
          </w:tcPr>
          <w:p w14:paraId="6D48900E" w14:textId="77777777" w:rsidR="002E474C" w:rsidRDefault="00000000">
            <w:pPr>
              <w:pStyle w:val="A-"/>
            </w:pPr>
            <w:r>
              <w:t>2.39</w:t>
            </w:r>
          </w:p>
        </w:tc>
        <w:tc>
          <w:tcPr>
            <w:tcW w:w="268" w:type="pct"/>
            <w:vAlign w:val="center"/>
          </w:tcPr>
          <w:p w14:paraId="13CB4F24" w14:textId="77777777" w:rsidR="002E474C" w:rsidRDefault="00000000">
            <w:pPr>
              <w:pStyle w:val="A-"/>
            </w:pPr>
            <w:r>
              <w:t>1.86</w:t>
            </w:r>
          </w:p>
        </w:tc>
        <w:tc>
          <w:tcPr>
            <w:tcW w:w="268" w:type="pct"/>
            <w:vAlign w:val="center"/>
          </w:tcPr>
          <w:p w14:paraId="79A7DAD6" w14:textId="77777777" w:rsidR="002E474C" w:rsidRDefault="00000000">
            <w:pPr>
              <w:pStyle w:val="A-"/>
            </w:pPr>
            <w:r>
              <w:t>1.96</w:t>
            </w:r>
          </w:p>
        </w:tc>
        <w:tc>
          <w:tcPr>
            <w:tcW w:w="268" w:type="pct"/>
            <w:vAlign w:val="center"/>
          </w:tcPr>
          <w:p w14:paraId="37833DE0" w14:textId="77777777" w:rsidR="002E474C" w:rsidRDefault="00000000">
            <w:pPr>
              <w:pStyle w:val="A-"/>
            </w:pPr>
            <w:r>
              <w:t>1.54</w:t>
            </w:r>
          </w:p>
        </w:tc>
        <w:tc>
          <w:tcPr>
            <w:tcW w:w="268" w:type="pct"/>
            <w:vAlign w:val="center"/>
          </w:tcPr>
          <w:p w14:paraId="40E99736" w14:textId="77777777" w:rsidR="002E474C" w:rsidRDefault="00000000">
            <w:pPr>
              <w:pStyle w:val="A-"/>
            </w:pPr>
            <w:r>
              <w:t>1.6</w:t>
            </w:r>
          </w:p>
        </w:tc>
        <w:tc>
          <w:tcPr>
            <w:tcW w:w="269" w:type="pct"/>
            <w:vAlign w:val="center"/>
          </w:tcPr>
          <w:p w14:paraId="5C5ACE7A" w14:textId="77777777" w:rsidR="002E474C" w:rsidRDefault="00000000">
            <w:pPr>
              <w:pStyle w:val="A-"/>
            </w:pPr>
            <w:r>
              <w:t>1.44</w:t>
            </w:r>
          </w:p>
        </w:tc>
        <w:tc>
          <w:tcPr>
            <w:tcW w:w="269" w:type="pct"/>
            <w:vAlign w:val="center"/>
          </w:tcPr>
          <w:p w14:paraId="22B012B0" w14:textId="77777777" w:rsidR="002E474C" w:rsidRDefault="00000000">
            <w:pPr>
              <w:pStyle w:val="A-"/>
            </w:pPr>
            <w:r>
              <w:t>1.49</w:t>
            </w:r>
          </w:p>
        </w:tc>
        <w:tc>
          <w:tcPr>
            <w:tcW w:w="315" w:type="pct"/>
            <w:vAlign w:val="center"/>
          </w:tcPr>
          <w:p w14:paraId="57C9A0C9" w14:textId="77777777" w:rsidR="002E474C" w:rsidRDefault="00000000">
            <w:pPr>
              <w:pStyle w:val="A-"/>
            </w:pPr>
            <w:r>
              <w:t>1.91</w:t>
            </w:r>
          </w:p>
        </w:tc>
        <w:tc>
          <w:tcPr>
            <w:tcW w:w="269" w:type="pct"/>
            <w:vAlign w:val="center"/>
          </w:tcPr>
          <w:p w14:paraId="6D2A175C" w14:textId="77777777" w:rsidR="002E474C" w:rsidRDefault="00000000">
            <w:pPr>
              <w:pStyle w:val="A-"/>
            </w:pPr>
            <w:r>
              <w:t>1.61</w:t>
            </w:r>
          </w:p>
        </w:tc>
        <w:tc>
          <w:tcPr>
            <w:tcW w:w="336" w:type="pct"/>
            <w:vAlign w:val="center"/>
          </w:tcPr>
          <w:p w14:paraId="02CF042F" w14:textId="77777777" w:rsidR="002E474C" w:rsidRDefault="00000000">
            <w:pPr>
              <w:pStyle w:val="A-"/>
            </w:pPr>
            <w:r>
              <w:t>1.6</w:t>
            </w:r>
          </w:p>
        </w:tc>
        <w:tc>
          <w:tcPr>
            <w:tcW w:w="269" w:type="pct"/>
            <w:vAlign w:val="center"/>
          </w:tcPr>
          <w:p w14:paraId="5AE037F2" w14:textId="77777777" w:rsidR="002E474C" w:rsidRDefault="00000000">
            <w:pPr>
              <w:pStyle w:val="A-"/>
            </w:pPr>
            <w:r>
              <w:t>1.51</w:t>
            </w:r>
          </w:p>
        </w:tc>
        <w:tc>
          <w:tcPr>
            <w:tcW w:w="308" w:type="pct"/>
            <w:vAlign w:val="center"/>
          </w:tcPr>
          <w:p w14:paraId="66CF1395" w14:textId="77777777" w:rsidR="002E474C" w:rsidRDefault="00000000">
            <w:pPr>
              <w:pStyle w:val="A-"/>
            </w:pPr>
            <w:r>
              <w:t>1.55</w:t>
            </w:r>
          </w:p>
        </w:tc>
        <w:tc>
          <w:tcPr>
            <w:tcW w:w="264" w:type="pct"/>
            <w:vAlign w:val="center"/>
          </w:tcPr>
          <w:p w14:paraId="312F35B6" w14:textId="77777777" w:rsidR="002E474C" w:rsidRDefault="00000000">
            <w:pPr>
              <w:pStyle w:val="A-"/>
            </w:pPr>
            <w:r>
              <w:t>1.79</w:t>
            </w:r>
          </w:p>
        </w:tc>
      </w:tr>
      <w:tr w:rsidR="002E474C" w14:paraId="192BF048" w14:textId="77777777">
        <w:trPr>
          <w:jc w:val="center"/>
        </w:trPr>
        <w:tc>
          <w:tcPr>
            <w:tcW w:w="329" w:type="pct"/>
            <w:vAlign w:val="center"/>
          </w:tcPr>
          <w:p w14:paraId="7181DDCF" w14:textId="77777777" w:rsidR="002E474C" w:rsidRDefault="00000000">
            <w:pPr>
              <w:pStyle w:val="A-"/>
              <w:ind w:leftChars="-50" w:left="-105" w:rightChars="-50" w:right="-105"/>
              <w:rPr>
                <w:spacing w:val="-11"/>
              </w:rPr>
            </w:pPr>
            <w:r>
              <w:rPr>
                <w:spacing w:val="-11"/>
              </w:rPr>
              <w:t>十一月</w:t>
            </w:r>
          </w:p>
        </w:tc>
        <w:tc>
          <w:tcPr>
            <w:tcW w:w="227" w:type="pct"/>
            <w:vAlign w:val="center"/>
          </w:tcPr>
          <w:p w14:paraId="1E274D34" w14:textId="77777777" w:rsidR="002E474C" w:rsidRDefault="00000000">
            <w:pPr>
              <w:pStyle w:val="A-"/>
            </w:pPr>
            <w:r>
              <w:t>1.32</w:t>
            </w:r>
          </w:p>
        </w:tc>
        <w:tc>
          <w:tcPr>
            <w:tcW w:w="268" w:type="pct"/>
            <w:vAlign w:val="center"/>
          </w:tcPr>
          <w:p w14:paraId="64C9993B" w14:textId="77777777" w:rsidR="002E474C" w:rsidRDefault="00000000">
            <w:pPr>
              <w:pStyle w:val="A-"/>
            </w:pPr>
            <w:r>
              <w:t>1.54</w:t>
            </w:r>
          </w:p>
        </w:tc>
        <w:tc>
          <w:tcPr>
            <w:tcW w:w="268" w:type="pct"/>
            <w:vAlign w:val="center"/>
          </w:tcPr>
          <w:p w14:paraId="2508685E" w14:textId="77777777" w:rsidR="002E474C" w:rsidRDefault="00000000">
            <w:pPr>
              <w:pStyle w:val="A-"/>
            </w:pPr>
            <w:r>
              <w:t>1.66</w:t>
            </w:r>
          </w:p>
        </w:tc>
        <w:tc>
          <w:tcPr>
            <w:tcW w:w="268" w:type="pct"/>
            <w:vAlign w:val="center"/>
          </w:tcPr>
          <w:p w14:paraId="4E98A242" w14:textId="77777777" w:rsidR="002E474C" w:rsidRDefault="00000000">
            <w:pPr>
              <w:pStyle w:val="A-"/>
            </w:pPr>
            <w:r>
              <w:t>2.15</w:t>
            </w:r>
          </w:p>
        </w:tc>
        <w:tc>
          <w:tcPr>
            <w:tcW w:w="268" w:type="pct"/>
            <w:vAlign w:val="center"/>
          </w:tcPr>
          <w:p w14:paraId="50959C16" w14:textId="77777777" w:rsidR="002E474C" w:rsidRDefault="00000000">
            <w:pPr>
              <w:pStyle w:val="A-"/>
            </w:pPr>
            <w:r>
              <w:t>2.16</w:t>
            </w:r>
          </w:p>
        </w:tc>
        <w:tc>
          <w:tcPr>
            <w:tcW w:w="268" w:type="pct"/>
            <w:vAlign w:val="center"/>
          </w:tcPr>
          <w:p w14:paraId="1691D73B" w14:textId="77777777" w:rsidR="002E474C" w:rsidRDefault="00000000">
            <w:pPr>
              <w:pStyle w:val="A-"/>
            </w:pPr>
            <w:r>
              <w:t>1.85</w:t>
            </w:r>
          </w:p>
        </w:tc>
        <w:tc>
          <w:tcPr>
            <w:tcW w:w="268" w:type="pct"/>
            <w:vAlign w:val="center"/>
          </w:tcPr>
          <w:p w14:paraId="73FAA0BD" w14:textId="77777777" w:rsidR="002E474C" w:rsidRDefault="00000000">
            <w:pPr>
              <w:pStyle w:val="A-"/>
            </w:pPr>
            <w:r>
              <w:t>1.6</w:t>
            </w:r>
          </w:p>
        </w:tc>
        <w:tc>
          <w:tcPr>
            <w:tcW w:w="268" w:type="pct"/>
            <w:vAlign w:val="center"/>
          </w:tcPr>
          <w:p w14:paraId="70F5563D" w14:textId="77777777" w:rsidR="002E474C" w:rsidRDefault="00000000">
            <w:pPr>
              <w:pStyle w:val="A-"/>
            </w:pPr>
            <w:r>
              <w:t>1.35</w:t>
            </w:r>
          </w:p>
        </w:tc>
        <w:tc>
          <w:tcPr>
            <w:tcW w:w="268" w:type="pct"/>
            <w:vAlign w:val="center"/>
          </w:tcPr>
          <w:p w14:paraId="0EFA4B70" w14:textId="77777777" w:rsidR="002E474C" w:rsidRDefault="00000000">
            <w:pPr>
              <w:pStyle w:val="A-"/>
            </w:pPr>
            <w:r>
              <w:t>1.2</w:t>
            </w:r>
          </w:p>
        </w:tc>
        <w:tc>
          <w:tcPr>
            <w:tcW w:w="269" w:type="pct"/>
            <w:vAlign w:val="center"/>
          </w:tcPr>
          <w:p w14:paraId="332CC31B" w14:textId="77777777" w:rsidR="002E474C" w:rsidRDefault="00000000">
            <w:pPr>
              <w:pStyle w:val="A-"/>
            </w:pPr>
            <w:r>
              <w:t>1.64</w:t>
            </w:r>
          </w:p>
        </w:tc>
        <w:tc>
          <w:tcPr>
            <w:tcW w:w="269" w:type="pct"/>
            <w:vAlign w:val="center"/>
          </w:tcPr>
          <w:p w14:paraId="5745BE38" w14:textId="77777777" w:rsidR="002E474C" w:rsidRDefault="00000000">
            <w:pPr>
              <w:pStyle w:val="A-"/>
            </w:pPr>
            <w:r>
              <w:t>1.38</w:t>
            </w:r>
          </w:p>
        </w:tc>
        <w:tc>
          <w:tcPr>
            <w:tcW w:w="315" w:type="pct"/>
            <w:vAlign w:val="center"/>
          </w:tcPr>
          <w:p w14:paraId="299F5B43" w14:textId="77777777" w:rsidR="002E474C" w:rsidRDefault="00000000">
            <w:pPr>
              <w:pStyle w:val="A-"/>
            </w:pPr>
            <w:r>
              <w:t>1.01</w:t>
            </w:r>
          </w:p>
        </w:tc>
        <w:tc>
          <w:tcPr>
            <w:tcW w:w="269" w:type="pct"/>
            <w:vAlign w:val="center"/>
          </w:tcPr>
          <w:p w14:paraId="617CE8E9" w14:textId="77777777" w:rsidR="002E474C" w:rsidRDefault="00000000">
            <w:pPr>
              <w:pStyle w:val="A-"/>
            </w:pPr>
            <w:r>
              <w:t>0.99</w:t>
            </w:r>
          </w:p>
        </w:tc>
        <w:tc>
          <w:tcPr>
            <w:tcW w:w="336" w:type="pct"/>
            <w:vAlign w:val="center"/>
          </w:tcPr>
          <w:p w14:paraId="10002F1B" w14:textId="77777777" w:rsidR="002E474C" w:rsidRDefault="00000000">
            <w:pPr>
              <w:pStyle w:val="A-"/>
            </w:pPr>
            <w:r>
              <w:t>1.38</w:t>
            </w:r>
          </w:p>
        </w:tc>
        <w:tc>
          <w:tcPr>
            <w:tcW w:w="269" w:type="pct"/>
            <w:vAlign w:val="center"/>
          </w:tcPr>
          <w:p w14:paraId="721BC6F8" w14:textId="77777777" w:rsidR="002E474C" w:rsidRDefault="00000000">
            <w:pPr>
              <w:pStyle w:val="A-"/>
            </w:pPr>
            <w:r>
              <w:t>1.33</w:t>
            </w:r>
          </w:p>
        </w:tc>
        <w:tc>
          <w:tcPr>
            <w:tcW w:w="308" w:type="pct"/>
            <w:vAlign w:val="center"/>
          </w:tcPr>
          <w:p w14:paraId="2EACFFB9" w14:textId="77777777" w:rsidR="002E474C" w:rsidRDefault="00000000">
            <w:pPr>
              <w:pStyle w:val="A-"/>
            </w:pPr>
            <w:r>
              <w:t>1.15</w:t>
            </w:r>
          </w:p>
        </w:tc>
        <w:tc>
          <w:tcPr>
            <w:tcW w:w="264" w:type="pct"/>
            <w:vAlign w:val="center"/>
          </w:tcPr>
          <w:p w14:paraId="3DDB17C7" w14:textId="77777777" w:rsidR="002E474C" w:rsidRDefault="00000000">
            <w:pPr>
              <w:pStyle w:val="A-"/>
            </w:pPr>
            <w:r>
              <w:t>1.5</w:t>
            </w:r>
          </w:p>
        </w:tc>
      </w:tr>
      <w:tr w:rsidR="002E474C" w14:paraId="17024F36" w14:textId="77777777">
        <w:trPr>
          <w:jc w:val="center"/>
        </w:trPr>
        <w:tc>
          <w:tcPr>
            <w:tcW w:w="329" w:type="pct"/>
            <w:vAlign w:val="center"/>
          </w:tcPr>
          <w:p w14:paraId="45ADBC78" w14:textId="77777777" w:rsidR="002E474C" w:rsidRDefault="00000000">
            <w:pPr>
              <w:pStyle w:val="A-"/>
              <w:ind w:leftChars="-50" w:left="-105" w:rightChars="-50" w:right="-105"/>
              <w:rPr>
                <w:spacing w:val="-11"/>
              </w:rPr>
            </w:pPr>
            <w:r>
              <w:rPr>
                <w:spacing w:val="-11"/>
              </w:rPr>
              <w:t>十二月</w:t>
            </w:r>
          </w:p>
        </w:tc>
        <w:tc>
          <w:tcPr>
            <w:tcW w:w="227" w:type="pct"/>
            <w:vAlign w:val="center"/>
          </w:tcPr>
          <w:p w14:paraId="352417EB" w14:textId="77777777" w:rsidR="002E474C" w:rsidRDefault="00000000">
            <w:pPr>
              <w:pStyle w:val="A-"/>
            </w:pPr>
            <w:r>
              <w:t>1.1</w:t>
            </w:r>
          </w:p>
        </w:tc>
        <w:tc>
          <w:tcPr>
            <w:tcW w:w="268" w:type="pct"/>
            <w:vAlign w:val="center"/>
          </w:tcPr>
          <w:p w14:paraId="44B6616C" w14:textId="77777777" w:rsidR="002E474C" w:rsidRDefault="00000000">
            <w:pPr>
              <w:pStyle w:val="A-"/>
            </w:pPr>
            <w:r>
              <w:t>1.39</w:t>
            </w:r>
          </w:p>
        </w:tc>
        <w:tc>
          <w:tcPr>
            <w:tcW w:w="268" w:type="pct"/>
            <w:vAlign w:val="center"/>
          </w:tcPr>
          <w:p w14:paraId="23C437EA" w14:textId="77777777" w:rsidR="002E474C" w:rsidRDefault="00000000">
            <w:pPr>
              <w:pStyle w:val="A-"/>
            </w:pPr>
            <w:r>
              <w:t>1.24</w:t>
            </w:r>
          </w:p>
        </w:tc>
        <w:tc>
          <w:tcPr>
            <w:tcW w:w="268" w:type="pct"/>
            <w:vAlign w:val="center"/>
          </w:tcPr>
          <w:p w14:paraId="39A1D104" w14:textId="77777777" w:rsidR="002E474C" w:rsidRDefault="00000000">
            <w:pPr>
              <w:pStyle w:val="A-"/>
            </w:pPr>
            <w:r>
              <w:t>1.25</w:t>
            </w:r>
          </w:p>
        </w:tc>
        <w:tc>
          <w:tcPr>
            <w:tcW w:w="268" w:type="pct"/>
            <w:vAlign w:val="center"/>
          </w:tcPr>
          <w:p w14:paraId="0FDC6B76" w14:textId="77777777" w:rsidR="002E474C" w:rsidRDefault="00000000">
            <w:pPr>
              <w:pStyle w:val="A-"/>
            </w:pPr>
            <w:r>
              <w:t>1.42</w:t>
            </w:r>
          </w:p>
        </w:tc>
        <w:tc>
          <w:tcPr>
            <w:tcW w:w="268" w:type="pct"/>
            <w:vAlign w:val="center"/>
          </w:tcPr>
          <w:p w14:paraId="16133BA7" w14:textId="77777777" w:rsidR="002E474C" w:rsidRDefault="00000000">
            <w:pPr>
              <w:pStyle w:val="A-"/>
            </w:pPr>
            <w:r>
              <w:t>1.43</w:t>
            </w:r>
          </w:p>
        </w:tc>
        <w:tc>
          <w:tcPr>
            <w:tcW w:w="268" w:type="pct"/>
            <w:vAlign w:val="center"/>
          </w:tcPr>
          <w:p w14:paraId="7AE42877" w14:textId="77777777" w:rsidR="002E474C" w:rsidRDefault="00000000">
            <w:pPr>
              <w:pStyle w:val="A-"/>
            </w:pPr>
            <w:r>
              <w:t>1.34</w:t>
            </w:r>
          </w:p>
        </w:tc>
        <w:tc>
          <w:tcPr>
            <w:tcW w:w="268" w:type="pct"/>
            <w:vAlign w:val="center"/>
          </w:tcPr>
          <w:p w14:paraId="1DF16348" w14:textId="77777777" w:rsidR="002E474C" w:rsidRDefault="00000000">
            <w:pPr>
              <w:pStyle w:val="A-"/>
            </w:pPr>
            <w:r>
              <w:t>1.2</w:t>
            </w:r>
          </w:p>
        </w:tc>
        <w:tc>
          <w:tcPr>
            <w:tcW w:w="268" w:type="pct"/>
            <w:vAlign w:val="center"/>
          </w:tcPr>
          <w:p w14:paraId="507A72FC" w14:textId="77777777" w:rsidR="002E474C" w:rsidRDefault="00000000">
            <w:pPr>
              <w:pStyle w:val="A-"/>
            </w:pPr>
            <w:r>
              <w:t>1.23</w:t>
            </w:r>
          </w:p>
        </w:tc>
        <w:tc>
          <w:tcPr>
            <w:tcW w:w="269" w:type="pct"/>
            <w:vAlign w:val="center"/>
          </w:tcPr>
          <w:p w14:paraId="0499FF5F" w14:textId="77777777" w:rsidR="002E474C" w:rsidRDefault="00000000">
            <w:pPr>
              <w:pStyle w:val="A-"/>
            </w:pPr>
            <w:r>
              <w:t>1.06</w:t>
            </w:r>
          </w:p>
        </w:tc>
        <w:tc>
          <w:tcPr>
            <w:tcW w:w="269" w:type="pct"/>
            <w:vAlign w:val="center"/>
          </w:tcPr>
          <w:p w14:paraId="22E6A07A" w14:textId="77777777" w:rsidR="002E474C" w:rsidRDefault="00000000">
            <w:pPr>
              <w:pStyle w:val="A-"/>
            </w:pPr>
            <w:r>
              <w:t>0.93</w:t>
            </w:r>
          </w:p>
        </w:tc>
        <w:tc>
          <w:tcPr>
            <w:tcW w:w="315" w:type="pct"/>
            <w:vAlign w:val="center"/>
          </w:tcPr>
          <w:p w14:paraId="04A72E4F" w14:textId="77777777" w:rsidR="002E474C" w:rsidRDefault="00000000">
            <w:pPr>
              <w:pStyle w:val="A-"/>
            </w:pPr>
            <w:r>
              <w:t>0.91</w:t>
            </w:r>
          </w:p>
        </w:tc>
        <w:tc>
          <w:tcPr>
            <w:tcW w:w="269" w:type="pct"/>
            <w:vAlign w:val="center"/>
          </w:tcPr>
          <w:p w14:paraId="1CA832D7" w14:textId="77777777" w:rsidR="002E474C" w:rsidRDefault="00000000">
            <w:pPr>
              <w:pStyle w:val="A-"/>
            </w:pPr>
            <w:r>
              <w:t>0.89</w:t>
            </w:r>
          </w:p>
        </w:tc>
        <w:tc>
          <w:tcPr>
            <w:tcW w:w="336" w:type="pct"/>
            <w:vAlign w:val="center"/>
          </w:tcPr>
          <w:p w14:paraId="7BB32709" w14:textId="77777777" w:rsidR="002E474C" w:rsidRDefault="00000000">
            <w:pPr>
              <w:pStyle w:val="A-"/>
            </w:pPr>
            <w:r>
              <w:t>1.12</w:t>
            </w:r>
          </w:p>
        </w:tc>
        <w:tc>
          <w:tcPr>
            <w:tcW w:w="269" w:type="pct"/>
            <w:vAlign w:val="center"/>
          </w:tcPr>
          <w:p w14:paraId="22ED88AC" w14:textId="77777777" w:rsidR="002E474C" w:rsidRDefault="00000000">
            <w:pPr>
              <w:pStyle w:val="A-"/>
            </w:pPr>
            <w:r>
              <w:t>1.26</w:t>
            </w:r>
          </w:p>
        </w:tc>
        <w:tc>
          <w:tcPr>
            <w:tcW w:w="308" w:type="pct"/>
            <w:vAlign w:val="center"/>
          </w:tcPr>
          <w:p w14:paraId="0DA0E077" w14:textId="77777777" w:rsidR="002E474C" w:rsidRDefault="00000000">
            <w:pPr>
              <w:pStyle w:val="A-"/>
            </w:pPr>
            <w:r>
              <w:t>1.1</w:t>
            </w:r>
          </w:p>
        </w:tc>
        <w:tc>
          <w:tcPr>
            <w:tcW w:w="264" w:type="pct"/>
            <w:vAlign w:val="center"/>
          </w:tcPr>
          <w:p w14:paraId="6FCFEE9F" w14:textId="77777777" w:rsidR="002E474C" w:rsidRDefault="00000000">
            <w:pPr>
              <w:pStyle w:val="A-"/>
            </w:pPr>
            <w:r>
              <w:t>1.2</w:t>
            </w:r>
          </w:p>
        </w:tc>
      </w:tr>
      <w:tr w:rsidR="002E474C" w14:paraId="32BD8AA8" w14:textId="77777777">
        <w:trPr>
          <w:jc w:val="center"/>
        </w:trPr>
        <w:tc>
          <w:tcPr>
            <w:tcW w:w="329" w:type="pct"/>
            <w:vAlign w:val="center"/>
          </w:tcPr>
          <w:p w14:paraId="4EA5916D" w14:textId="77777777" w:rsidR="002E474C" w:rsidRDefault="00000000">
            <w:pPr>
              <w:pStyle w:val="A-"/>
            </w:pPr>
            <w:r>
              <w:t>全年</w:t>
            </w:r>
          </w:p>
        </w:tc>
        <w:tc>
          <w:tcPr>
            <w:tcW w:w="227" w:type="pct"/>
            <w:vAlign w:val="center"/>
          </w:tcPr>
          <w:p w14:paraId="40C8CF06" w14:textId="77777777" w:rsidR="002E474C" w:rsidRDefault="00000000">
            <w:pPr>
              <w:pStyle w:val="A-"/>
            </w:pPr>
            <w:r>
              <w:t>1.66</w:t>
            </w:r>
          </w:p>
        </w:tc>
        <w:tc>
          <w:tcPr>
            <w:tcW w:w="268" w:type="pct"/>
            <w:vAlign w:val="center"/>
          </w:tcPr>
          <w:p w14:paraId="72BAFD82" w14:textId="77777777" w:rsidR="002E474C" w:rsidRDefault="00000000">
            <w:pPr>
              <w:pStyle w:val="A-"/>
            </w:pPr>
            <w:r>
              <w:t>1.88</w:t>
            </w:r>
          </w:p>
        </w:tc>
        <w:tc>
          <w:tcPr>
            <w:tcW w:w="268" w:type="pct"/>
            <w:vAlign w:val="center"/>
          </w:tcPr>
          <w:p w14:paraId="0A9C4663" w14:textId="77777777" w:rsidR="002E474C" w:rsidRDefault="00000000">
            <w:pPr>
              <w:pStyle w:val="A-"/>
            </w:pPr>
            <w:r>
              <w:t>1.94</w:t>
            </w:r>
          </w:p>
        </w:tc>
        <w:tc>
          <w:tcPr>
            <w:tcW w:w="268" w:type="pct"/>
            <w:vAlign w:val="center"/>
          </w:tcPr>
          <w:p w14:paraId="2844F5A5" w14:textId="77777777" w:rsidR="002E474C" w:rsidRDefault="00000000">
            <w:pPr>
              <w:pStyle w:val="A-"/>
            </w:pPr>
            <w:r>
              <w:t>2.35</w:t>
            </w:r>
          </w:p>
        </w:tc>
        <w:tc>
          <w:tcPr>
            <w:tcW w:w="268" w:type="pct"/>
            <w:vAlign w:val="center"/>
          </w:tcPr>
          <w:p w14:paraId="78907ED3" w14:textId="77777777" w:rsidR="002E474C" w:rsidRDefault="00000000">
            <w:pPr>
              <w:pStyle w:val="A-"/>
            </w:pPr>
            <w:r>
              <w:t>2.53</w:t>
            </w:r>
          </w:p>
        </w:tc>
        <w:tc>
          <w:tcPr>
            <w:tcW w:w="268" w:type="pct"/>
            <w:vAlign w:val="center"/>
          </w:tcPr>
          <w:p w14:paraId="5A5E5438" w14:textId="77777777" w:rsidR="002E474C" w:rsidRDefault="00000000">
            <w:pPr>
              <w:pStyle w:val="A-"/>
            </w:pPr>
            <w:r>
              <w:t>2.28</w:t>
            </w:r>
          </w:p>
        </w:tc>
        <w:tc>
          <w:tcPr>
            <w:tcW w:w="268" w:type="pct"/>
            <w:vAlign w:val="center"/>
          </w:tcPr>
          <w:p w14:paraId="6FD1D403" w14:textId="77777777" w:rsidR="002E474C" w:rsidRDefault="00000000">
            <w:pPr>
              <w:pStyle w:val="A-"/>
            </w:pPr>
            <w:r>
              <w:t>1.9</w:t>
            </w:r>
          </w:p>
        </w:tc>
        <w:tc>
          <w:tcPr>
            <w:tcW w:w="268" w:type="pct"/>
            <w:vAlign w:val="center"/>
          </w:tcPr>
          <w:p w14:paraId="5FBF77F7" w14:textId="77777777" w:rsidR="002E474C" w:rsidRDefault="00000000">
            <w:pPr>
              <w:pStyle w:val="A-"/>
            </w:pPr>
            <w:r>
              <w:t>1.74</w:t>
            </w:r>
          </w:p>
        </w:tc>
        <w:tc>
          <w:tcPr>
            <w:tcW w:w="268" w:type="pct"/>
            <w:vAlign w:val="center"/>
          </w:tcPr>
          <w:p w14:paraId="4F6A28C1" w14:textId="77777777" w:rsidR="002E474C" w:rsidRDefault="00000000">
            <w:pPr>
              <w:pStyle w:val="A-"/>
            </w:pPr>
            <w:r>
              <w:t>1.62</w:t>
            </w:r>
          </w:p>
        </w:tc>
        <w:tc>
          <w:tcPr>
            <w:tcW w:w="269" w:type="pct"/>
            <w:vAlign w:val="center"/>
          </w:tcPr>
          <w:p w14:paraId="36AA4EC7" w14:textId="77777777" w:rsidR="002E474C" w:rsidRDefault="00000000">
            <w:pPr>
              <w:pStyle w:val="A-"/>
            </w:pPr>
            <w:r>
              <w:t>1.74</w:t>
            </w:r>
          </w:p>
        </w:tc>
        <w:tc>
          <w:tcPr>
            <w:tcW w:w="269" w:type="pct"/>
            <w:vAlign w:val="center"/>
          </w:tcPr>
          <w:p w14:paraId="3E9CF9E4" w14:textId="77777777" w:rsidR="002E474C" w:rsidRDefault="00000000">
            <w:pPr>
              <w:pStyle w:val="A-"/>
            </w:pPr>
            <w:r>
              <w:t>1.88</w:t>
            </w:r>
          </w:p>
        </w:tc>
        <w:tc>
          <w:tcPr>
            <w:tcW w:w="315" w:type="pct"/>
            <w:vAlign w:val="center"/>
          </w:tcPr>
          <w:p w14:paraId="272B7240" w14:textId="77777777" w:rsidR="002E474C" w:rsidRDefault="00000000">
            <w:pPr>
              <w:pStyle w:val="A-"/>
            </w:pPr>
            <w:r>
              <w:t>2.14</w:t>
            </w:r>
          </w:p>
        </w:tc>
        <w:tc>
          <w:tcPr>
            <w:tcW w:w="269" w:type="pct"/>
            <w:vAlign w:val="center"/>
          </w:tcPr>
          <w:p w14:paraId="48CAD399" w14:textId="77777777" w:rsidR="002E474C" w:rsidRDefault="00000000">
            <w:pPr>
              <w:pStyle w:val="A-"/>
            </w:pPr>
            <w:r>
              <w:t>2.45</w:t>
            </w:r>
          </w:p>
        </w:tc>
        <w:tc>
          <w:tcPr>
            <w:tcW w:w="336" w:type="pct"/>
            <w:vAlign w:val="center"/>
          </w:tcPr>
          <w:p w14:paraId="28245FF6" w14:textId="77777777" w:rsidR="002E474C" w:rsidRDefault="00000000">
            <w:pPr>
              <w:pStyle w:val="A-"/>
            </w:pPr>
            <w:r>
              <w:t>2.15</w:t>
            </w:r>
          </w:p>
        </w:tc>
        <w:tc>
          <w:tcPr>
            <w:tcW w:w="269" w:type="pct"/>
            <w:vAlign w:val="center"/>
          </w:tcPr>
          <w:p w14:paraId="16822FDE" w14:textId="77777777" w:rsidR="002E474C" w:rsidRDefault="00000000">
            <w:pPr>
              <w:pStyle w:val="A-"/>
            </w:pPr>
            <w:r>
              <w:t>1.73</w:t>
            </w:r>
          </w:p>
        </w:tc>
        <w:tc>
          <w:tcPr>
            <w:tcW w:w="308" w:type="pct"/>
            <w:vAlign w:val="center"/>
          </w:tcPr>
          <w:p w14:paraId="1B7326C6" w14:textId="77777777" w:rsidR="002E474C" w:rsidRDefault="00000000">
            <w:pPr>
              <w:pStyle w:val="A-"/>
            </w:pPr>
            <w:r>
              <w:t>1.48</w:t>
            </w:r>
          </w:p>
        </w:tc>
        <w:tc>
          <w:tcPr>
            <w:tcW w:w="264" w:type="pct"/>
            <w:vAlign w:val="center"/>
          </w:tcPr>
          <w:p w14:paraId="2BA34C94" w14:textId="77777777" w:rsidR="002E474C" w:rsidRDefault="00000000">
            <w:pPr>
              <w:pStyle w:val="A-"/>
            </w:pPr>
            <w:r>
              <w:t>1.98</w:t>
            </w:r>
          </w:p>
        </w:tc>
      </w:tr>
      <w:tr w:rsidR="002E474C" w14:paraId="74692065" w14:textId="77777777">
        <w:trPr>
          <w:jc w:val="center"/>
        </w:trPr>
        <w:tc>
          <w:tcPr>
            <w:tcW w:w="329" w:type="pct"/>
            <w:vAlign w:val="center"/>
          </w:tcPr>
          <w:p w14:paraId="2C7D0E0C" w14:textId="77777777" w:rsidR="002E474C" w:rsidRDefault="00000000">
            <w:pPr>
              <w:pStyle w:val="A-"/>
            </w:pPr>
            <w:r>
              <w:t>春季</w:t>
            </w:r>
          </w:p>
        </w:tc>
        <w:tc>
          <w:tcPr>
            <w:tcW w:w="227" w:type="pct"/>
            <w:vAlign w:val="center"/>
          </w:tcPr>
          <w:p w14:paraId="5490B2FB" w14:textId="77777777" w:rsidR="002E474C" w:rsidRDefault="00000000">
            <w:pPr>
              <w:pStyle w:val="A-"/>
            </w:pPr>
            <w:r>
              <w:t>2.1</w:t>
            </w:r>
          </w:p>
        </w:tc>
        <w:tc>
          <w:tcPr>
            <w:tcW w:w="268" w:type="pct"/>
            <w:vAlign w:val="center"/>
          </w:tcPr>
          <w:p w14:paraId="4E2F321B" w14:textId="77777777" w:rsidR="002E474C" w:rsidRDefault="00000000">
            <w:pPr>
              <w:pStyle w:val="A-"/>
            </w:pPr>
            <w:r>
              <w:t>2.11</w:t>
            </w:r>
          </w:p>
        </w:tc>
        <w:tc>
          <w:tcPr>
            <w:tcW w:w="268" w:type="pct"/>
            <w:vAlign w:val="center"/>
          </w:tcPr>
          <w:p w14:paraId="03A2175F" w14:textId="77777777" w:rsidR="002E474C" w:rsidRDefault="00000000">
            <w:pPr>
              <w:pStyle w:val="A-"/>
            </w:pPr>
            <w:r>
              <w:t>2.07</w:t>
            </w:r>
          </w:p>
        </w:tc>
        <w:tc>
          <w:tcPr>
            <w:tcW w:w="268" w:type="pct"/>
            <w:vAlign w:val="center"/>
          </w:tcPr>
          <w:p w14:paraId="7C6737A7" w14:textId="77777777" w:rsidR="002E474C" w:rsidRDefault="00000000">
            <w:pPr>
              <w:pStyle w:val="A-"/>
            </w:pPr>
            <w:r>
              <w:t>2.59</w:t>
            </w:r>
          </w:p>
        </w:tc>
        <w:tc>
          <w:tcPr>
            <w:tcW w:w="268" w:type="pct"/>
            <w:vAlign w:val="center"/>
          </w:tcPr>
          <w:p w14:paraId="1ECEFEF3" w14:textId="77777777" w:rsidR="002E474C" w:rsidRDefault="00000000">
            <w:pPr>
              <w:pStyle w:val="A-"/>
            </w:pPr>
            <w:r>
              <w:t>2.75</w:t>
            </w:r>
          </w:p>
        </w:tc>
        <w:tc>
          <w:tcPr>
            <w:tcW w:w="268" w:type="pct"/>
            <w:vAlign w:val="center"/>
          </w:tcPr>
          <w:p w14:paraId="06177EBB" w14:textId="77777777" w:rsidR="002E474C" w:rsidRDefault="00000000">
            <w:pPr>
              <w:pStyle w:val="A-"/>
            </w:pPr>
            <w:r>
              <w:t>2.57</w:t>
            </w:r>
          </w:p>
        </w:tc>
        <w:tc>
          <w:tcPr>
            <w:tcW w:w="268" w:type="pct"/>
            <w:vAlign w:val="center"/>
          </w:tcPr>
          <w:p w14:paraId="4E65863A" w14:textId="77777777" w:rsidR="002E474C" w:rsidRDefault="00000000">
            <w:pPr>
              <w:pStyle w:val="A-"/>
            </w:pPr>
            <w:r>
              <w:t>2.02</w:t>
            </w:r>
          </w:p>
        </w:tc>
        <w:tc>
          <w:tcPr>
            <w:tcW w:w="268" w:type="pct"/>
            <w:vAlign w:val="center"/>
          </w:tcPr>
          <w:p w14:paraId="27DB450D" w14:textId="77777777" w:rsidR="002E474C" w:rsidRDefault="00000000">
            <w:pPr>
              <w:pStyle w:val="A-"/>
            </w:pPr>
            <w:r>
              <w:t>1.84</w:t>
            </w:r>
          </w:p>
        </w:tc>
        <w:tc>
          <w:tcPr>
            <w:tcW w:w="268" w:type="pct"/>
            <w:vAlign w:val="center"/>
          </w:tcPr>
          <w:p w14:paraId="21F4BF5E" w14:textId="77777777" w:rsidR="002E474C" w:rsidRDefault="00000000">
            <w:pPr>
              <w:pStyle w:val="A-"/>
            </w:pPr>
            <w:r>
              <w:t>1.76</w:t>
            </w:r>
          </w:p>
        </w:tc>
        <w:tc>
          <w:tcPr>
            <w:tcW w:w="269" w:type="pct"/>
            <w:vAlign w:val="center"/>
          </w:tcPr>
          <w:p w14:paraId="455E431A" w14:textId="77777777" w:rsidR="002E474C" w:rsidRDefault="00000000">
            <w:pPr>
              <w:pStyle w:val="A-"/>
            </w:pPr>
            <w:r>
              <w:t>1.77</w:t>
            </w:r>
          </w:p>
        </w:tc>
        <w:tc>
          <w:tcPr>
            <w:tcW w:w="269" w:type="pct"/>
            <w:vAlign w:val="center"/>
          </w:tcPr>
          <w:p w14:paraId="4C412100" w14:textId="77777777" w:rsidR="002E474C" w:rsidRDefault="00000000">
            <w:pPr>
              <w:pStyle w:val="A-"/>
            </w:pPr>
            <w:r>
              <w:t>2.01</w:t>
            </w:r>
          </w:p>
        </w:tc>
        <w:tc>
          <w:tcPr>
            <w:tcW w:w="315" w:type="pct"/>
            <w:vAlign w:val="center"/>
          </w:tcPr>
          <w:p w14:paraId="799BCDB2" w14:textId="77777777" w:rsidR="002E474C" w:rsidRDefault="00000000">
            <w:pPr>
              <w:pStyle w:val="A-"/>
            </w:pPr>
            <w:r>
              <w:t>2.41</w:t>
            </w:r>
          </w:p>
        </w:tc>
        <w:tc>
          <w:tcPr>
            <w:tcW w:w="269" w:type="pct"/>
            <w:vAlign w:val="center"/>
          </w:tcPr>
          <w:p w14:paraId="692F178E" w14:textId="77777777" w:rsidR="002E474C" w:rsidRDefault="00000000">
            <w:pPr>
              <w:pStyle w:val="A-"/>
            </w:pPr>
            <w:r>
              <w:t>2.9</w:t>
            </w:r>
          </w:p>
        </w:tc>
        <w:tc>
          <w:tcPr>
            <w:tcW w:w="336" w:type="pct"/>
            <w:vAlign w:val="center"/>
          </w:tcPr>
          <w:p w14:paraId="4EA78005" w14:textId="77777777" w:rsidR="002E474C" w:rsidRDefault="00000000">
            <w:pPr>
              <w:pStyle w:val="A-"/>
            </w:pPr>
            <w:r>
              <w:t>2.3</w:t>
            </w:r>
          </w:p>
        </w:tc>
        <w:tc>
          <w:tcPr>
            <w:tcW w:w="269" w:type="pct"/>
            <w:vAlign w:val="center"/>
          </w:tcPr>
          <w:p w14:paraId="0AE72D11" w14:textId="77777777" w:rsidR="002E474C" w:rsidRDefault="00000000">
            <w:pPr>
              <w:pStyle w:val="A-"/>
            </w:pPr>
            <w:r>
              <w:t>1.73</w:t>
            </w:r>
          </w:p>
        </w:tc>
        <w:tc>
          <w:tcPr>
            <w:tcW w:w="308" w:type="pct"/>
            <w:vAlign w:val="center"/>
          </w:tcPr>
          <w:p w14:paraId="61B89235" w14:textId="77777777" w:rsidR="002E474C" w:rsidRDefault="00000000">
            <w:pPr>
              <w:pStyle w:val="A-"/>
            </w:pPr>
            <w:r>
              <w:t>1.64</w:t>
            </w:r>
          </w:p>
        </w:tc>
        <w:tc>
          <w:tcPr>
            <w:tcW w:w="264" w:type="pct"/>
            <w:vAlign w:val="center"/>
          </w:tcPr>
          <w:p w14:paraId="00CDDB77" w14:textId="77777777" w:rsidR="002E474C" w:rsidRDefault="00000000">
            <w:pPr>
              <w:pStyle w:val="A-"/>
            </w:pPr>
            <w:r>
              <w:t>2.26</w:t>
            </w:r>
          </w:p>
        </w:tc>
      </w:tr>
      <w:tr w:rsidR="002E474C" w14:paraId="3BFC8DB5" w14:textId="77777777">
        <w:trPr>
          <w:jc w:val="center"/>
        </w:trPr>
        <w:tc>
          <w:tcPr>
            <w:tcW w:w="329" w:type="pct"/>
            <w:vAlign w:val="center"/>
          </w:tcPr>
          <w:p w14:paraId="000CBD6E" w14:textId="77777777" w:rsidR="002E474C" w:rsidRDefault="00000000">
            <w:pPr>
              <w:pStyle w:val="A-"/>
            </w:pPr>
            <w:r>
              <w:t>夏季</w:t>
            </w:r>
          </w:p>
        </w:tc>
        <w:tc>
          <w:tcPr>
            <w:tcW w:w="227" w:type="pct"/>
            <w:vAlign w:val="center"/>
          </w:tcPr>
          <w:p w14:paraId="03CBD1D9" w14:textId="77777777" w:rsidR="002E474C" w:rsidRDefault="00000000">
            <w:pPr>
              <w:pStyle w:val="A-"/>
            </w:pPr>
            <w:r>
              <w:t>2.19</w:t>
            </w:r>
          </w:p>
        </w:tc>
        <w:tc>
          <w:tcPr>
            <w:tcW w:w="268" w:type="pct"/>
            <w:vAlign w:val="center"/>
          </w:tcPr>
          <w:p w14:paraId="3D3E1DBE" w14:textId="77777777" w:rsidR="002E474C" w:rsidRDefault="00000000">
            <w:pPr>
              <w:pStyle w:val="A-"/>
            </w:pPr>
            <w:r>
              <w:t>2.3</w:t>
            </w:r>
          </w:p>
        </w:tc>
        <w:tc>
          <w:tcPr>
            <w:tcW w:w="268" w:type="pct"/>
            <w:vAlign w:val="center"/>
          </w:tcPr>
          <w:p w14:paraId="1307D417" w14:textId="77777777" w:rsidR="002E474C" w:rsidRDefault="00000000">
            <w:pPr>
              <w:pStyle w:val="A-"/>
            </w:pPr>
            <w:r>
              <w:t>2.4</w:t>
            </w:r>
          </w:p>
        </w:tc>
        <w:tc>
          <w:tcPr>
            <w:tcW w:w="268" w:type="pct"/>
            <w:vAlign w:val="center"/>
          </w:tcPr>
          <w:p w14:paraId="2E60445B" w14:textId="77777777" w:rsidR="002E474C" w:rsidRDefault="00000000">
            <w:pPr>
              <w:pStyle w:val="A-"/>
            </w:pPr>
            <w:r>
              <w:t>2.69</w:t>
            </w:r>
          </w:p>
        </w:tc>
        <w:tc>
          <w:tcPr>
            <w:tcW w:w="268" w:type="pct"/>
            <w:vAlign w:val="center"/>
          </w:tcPr>
          <w:p w14:paraId="3E2B3445" w14:textId="77777777" w:rsidR="002E474C" w:rsidRDefault="00000000">
            <w:pPr>
              <w:pStyle w:val="A-"/>
            </w:pPr>
            <w:r>
              <w:t>2.88</w:t>
            </w:r>
          </w:p>
        </w:tc>
        <w:tc>
          <w:tcPr>
            <w:tcW w:w="268" w:type="pct"/>
            <w:vAlign w:val="center"/>
          </w:tcPr>
          <w:p w14:paraId="1A811369" w14:textId="77777777" w:rsidR="002E474C" w:rsidRDefault="00000000">
            <w:pPr>
              <w:pStyle w:val="A-"/>
            </w:pPr>
            <w:r>
              <w:t>2.65</w:t>
            </w:r>
          </w:p>
        </w:tc>
        <w:tc>
          <w:tcPr>
            <w:tcW w:w="268" w:type="pct"/>
            <w:vAlign w:val="center"/>
          </w:tcPr>
          <w:p w14:paraId="64D25C8A" w14:textId="77777777" w:rsidR="002E474C" w:rsidRDefault="00000000">
            <w:pPr>
              <w:pStyle w:val="A-"/>
            </w:pPr>
            <w:r>
              <w:t>2.3</w:t>
            </w:r>
          </w:p>
        </w:tc>
        <w:tc>
          <w:tcPr>
            <w:tcW w:w="268" w:type="pct"/>
            <w:vAlign w:val="center"/>
          </w:tcPr>
          <w:p w14:paraId="7534F937" w14:textId="77777777" w:rsidR="002E474C" w:rsidRDefault="00000000">
            <w:pPr>
              <w:pStyle w:val="A-"/>
            </w:pPr>
            <w:r>
              <w:t>2.47</w:t>
            </w:r>
          </w:p>
        </w:tc>
        <w:tc>
          <w:tcPr>
            <w:tcW w:w="268" w:type="pct"/>
            <w:vAlign w:val="center"/>
          </w:tcPr>
          <w:p w14:paraId="0C49A014" w14:textId="77777777" w:rsidR="002E474C" w:rsidRDefault="00000000">
            <w:pPr>
              <w:pStyle w:val="A-"/>
            </w:pPr>
            <w:r>
              <w:t>2.19</w:t>
            </w:r>
          </w:p>
        </w:tc>
        <w:tc>
          <w:tcPr>
            <w:tcW w:w="269" w:type="pct"/>
            <w:vAlign w:val="center"/>
          </w:tcPr>
          <w:p w14:paraId="7F8EE4B8" w14:textId="77777777" w:rsidR="002E474C" w:rsidRDefault="00000000">
            <w:pPr>
              <w:pStyle w:val="A-"/>
            </w:pPr>
            <w:r>
              <w:t>2.14</w:t>
            </w:r>
          </w:p>
        </w:tc>
        <w:tc>
          <w:tcPr>
            <w:tcW w:w="269" w:type="pct"/>
            <w:vAlign w:val="center"/>
          </w:tcPr>
          <w:p w14:paraId="27E975A9" w14:textId="77777777" w:rsidR="002E474C" w:rsidRDefault="00000000">
            <w:pPr>
              <w:pStyle w:val="A-"/>
            </w:pPr>
            <w:r>
              <w:t>2.18</w:t>
            </w:r>
          </w:p>
        </w:tc>
        <w:tc>
          <w:tcPr>
            <w:tcW w:w="315" w:type="pct"/>
            <w:vAlign w:val="center"/>
          </w:tcPr>
          <w:p w14:paraId="42538FF6" w14:textId="77777777" w:rsidR="002E474C" w:rsidRDefault="00000000">
            <w:pPr>
              <w:pStyle w:val="A-"/>
            </w:pPr>
            <w:r>
              <w:t>2.64</w:t>
            </w:r>
          </w:p>
        </w:tc>
        <w:tc>
          <w:tcPr>
            <w:tcW w:w="269" w:type="pct"/>
            <w:vAlign w:val="center"/>
          </w:tcPr>
          <w:p w14:paraId="1AC6B9B8" w14:textId="77777777" w:rsidR="002E474C" w:rsidRDefault="00000000">
            <w:pPr>
              <w:pStyle w:val="A-"/>
            </w:pPr>
            <w:r>
              <w:t>3.09</w:t>
            </w:r>
          </w:p>
        </w:tc>
        <w:tc>
          <w:tcPr>
            <w:tcW w:w="336" w:type="pct"/>
            <w:vAlign w:val="center"/>
          </w:tcPr>
          <w:p w14:paraId="54CF8A28" w14:textId="77777777" w:rsidR="002E474C" w:rsidRDefault="00000000">
            <w:pPr>
              <w:pStyle w:val="A-"/>
            </w:pPr>
            <w:r>
              <w:t>2.93</w:t>
            </w:r>
          </w:p>
        </w:tc>
        <w:tc>
          <w:tcPr>
            <w:tcW w:w="269" w:type="pct"/>
            <w:vAlign w:val="center"/>
          </w:tcPr>
          <w:p w14:paraId="38F3F0DB" w14:textId="77777777" w:rsidR="002E474C" w:rsidRDefault="00000000">
            <w:pPr>
              <w:pStyle w:val="A-"/>
            </w:pPr>
            <w:r>
              <w:t>2.45</w:t>
            </w:r>
          </w:p>
        </w:tc>
        <w:tc>
          <w:tcPr>
            <w:tcW w:w="308" w:type="pct"/>
            <w:vAlign w:val="center"/>
          </w:tcPr>
          <w:p w14:paraId="016BD09D" w14:textId="77777777" w:rsidR="002E474C" w:rsidRDefault="00000000">
            <w:pPr>
              <w:pStyle w:val="A-"/>
            </w:pPr>
            <w:r>
              <w:t>1.83</w:t>
            </w:r>
          </w:p>
        </w:tc>
        <w:tc>
          <w:tcPr>
            <w:tcW w:w="264" w:type="pct"/>
            <w:vAlign w:val="center"/>
          </w:tcPr>
          <w:p w14:paraId="202EBC5A" w14:textId="77777777" w:rsidR="002E474C" w:rsidRDefault="00000000">
            <w:pPr>
              <w:pStyle w:val="A-"/>
            </w:pPr>
            <w:r>
              <w:t>2.48</w:t>
            </w:r>
          </w:p>
        </w:tc>
      </w:tr>
      <w:tr w:rsidR="002E474C" w14:paraId="22F86BF2" w14:textId="77777777">
        <w:trPr>
          <w:jc w:val="center"/>
        </w:trPr>
        <w:tc>
          <w:tcPr>
            <w:tcW w:w="329" w:type="pct"/>
            <w:vAlign w:val="center"/>
          </w:tcPr>
          <w:p w14:paraId="62D522E5" w14:textId="77777777" w:rsidR="002E474C" w:rsidRDefault="00000000">
            <w:pPr>
              <w:pStyle w:val="A-"/>
            </w:pPr>
            <w:r>
              <w:t>秋季</w:t>
            </w:r>
          </w:p>
        </w:tc>
        <w:tc>
          <w:tcPr>
            <w:tcW w:w="227" w:type="pct"/>
            <w:vAlign w:val="center"/>
          </w:tcPr>
          <w:p w14:paraId="25A88DF3" w14:textId="77777777" w:rsidR="002E474C" w:rsidRDefault="00000000">
            <w:pPr>
              <w:pStyle w:val="A-"/>
            </w:pPr>
            <w:r>
              <w:t>1.54</w:t>
            </w:r>
          </w:p>
        </w:tc>
        <w:tc>
          <w:tcPr>
            <w:tcW w:w="268" w:type="pct"/>
            <w:vAlign w:val="center"/>
          </w:tcPr>
          <w:p w14:paraId="4E5A6630" w14:textId="77777777" w:rsidR="002E474C" w:rsidRDefault="00000000">
            <w:pPr>
              <w:pStyle w:val="A-"/>
            </w:pPr>
            <w:r>
              <w:t>1.77</w:t>
            </w:r>
          </w:p>
        </w:tc>
        <w:tc>
          <w:tcPr>
            <w:tcW w:w="268" w:type="pct"/>
            <w:vAlign w:val="center"/>
          </w:tcPr>
          <w:p w14:paraId="7D0F2124" w14:textId="77777777" w:rsidR="002E474C" w:rsidRDefault="00000000">
            <w:pPr>
              <w:pStyle w:val="A-"/>
            </w:pPr>
            <w:r>
              <w:t>1.91</w:t>
            </w:r>
          </w:p>
        </w:tc>
        <w:tc>
          <w:tcPr>
            <w:tcW w:w="268" w:type="pct"/>
            <w:vAlign w:val="center"/>
          </w:tcPr>
          <w:p w14:paraId="48775CE3" w14:textId="77777777" w:rsidR="002E474C" w:rsidRDefault="00000000">
            <w:pPr>
              <w:pStyle w:val="A-"/>
            </w:pPr>
            <w:r>
              <w:t>2.19</w:t>
            </w:r>
          </w:p>
        </w:tc>
        <w:tc>
          <w:tcPr>
            <w:tcW w:w="268" w:type="pct"/>
            <w:vAlign w:val="center"/>
          </w:tcPr>
          <w:p w14:paraId="26333F37" w14:textId="77777777" w:rsidR="002E474C" w:rsidRDefault="00000000">
            <w:pPr>
              <w:pStyle w:val="A-"/>
            </w:pPr>
            <w:r>
              <w:t>2.36</w:t>
            </w:r>
          </w:p>
        </w:tc>
        <w:tc>
          <w:tcPr>
            <w:tcW w:w="268" w:type="pct"/>
            <w:vAlign w:val="center"/>
          </w:tcPr>
          <w:p w14:paraId="170CF727" w14:textId="77777777" w:rsidR="002E474C" w:rsidRDefault="00000000">
            <w:pPr>
              <w:pStyle w:val="A-"/>
            </w:pPr>
            <w:r>
              <w:t>2.09</w:t>
            </w:r>
          </w:p>
        </w:tc>
        <w:tc>
          <w:tcPr>
            <w:tcW w:w="268" w:type="pct"/>
            <w:vAlign w:val="center"/>
          </w:tcPr>
          <w:p w14:paraId="6772424C" w14:textId="77777777" w:rsidR="002E474C" w:rsidRDefault="00000000">
            <w:pPr>
              <w:pStyle w:val="A-"/>
            </w:pPr>
            <w:r>
              <w:t>1.9</w:t>
            </w:r>
          </w:p>
        </w:tc>
        <w:tc>
          <w:tcPr>
            <w:tcW w:w="268" w:type="pct"/>
            <w:vAlign w:val="center"/>
          </w:tcPr>
          <w:p w14:paraId="2566411E" w14:textId="77777777" w:rsidR="002E474C" w:rsidRDefault="00000000">
            <w:pPr>
              <w:pStyle w:val="A-"/>
            </w:pPr>
            <w:r>
              <w:t>1.59</w:t>
            </w:r>
          </w:p>
        </w:tc>
        <w:tc>
          <w:tcPr>
            <w:tcW w:w="268" w:type="pct"/>
            <w:vAlign w:val="center"/>
          </w:tcPr>
          <w:p w14:paraId="5EDCD7C4" w14:textId="77777777" w:rsidR="002E474C" w:rsidRDefault="00000000">
            <w:pPr>
              <w:pStyle w:val="A-"/>
            </w:pPr>
            <w:r>
              <w:t>1.45</w:t>
            </w:r>
          </w:p>
        </w:tc>
        <w:tc>
          <w:tcPr>
            <w:tcW w:w="269" w:type="pct"/>
            <w:vAlign w:val="center"/>
          </w:tcPr>
          <w:p w14:paraId="594E5910" w14:textId="77777777" w:rsidR="002E474C" w:rsidRDefault="00000000">
            <w:pPr>
              <w:pStyle w:val="A-"/>
            </w:pPr>
            <w:r>
              <w:t>1.7</w:t>
            </w:r>
          </w:p>
        </w:tc>
        <w:tc>
          <w:tcPr>
            <w:tcW w:w="269" w:type="pct"/>
            <w:vAlign w:val="center"/>
          </w:tcPr>
          <w:p w14:paraId="2DBB9301" w14:textId="77777777" w:rsidR="002E474C" w:rsidRDefault="00000000">
            <w:pPr>
              <w:pStyle w:val="A-"/>
            </w:pPr>
            <w:r>
              <w:t>1.63</w:t>
            </w:r>
          </w:p>
        </w:tc>
        <w:tc>
          <w:tcPr>
            <w:tcW w:w="315" w:type="pct"/>
            <w:vAlign w:val="center"/>
          </w:tcPr>
          <w:p w14:paraId="10035F30" w14:textId="77777777" w:rsidR="002E474C" w:rsidRDefault="00000000">
            <w:pPr>
              <w:pStyle w:val="A-"/>
            </w:pPr>
            <w:r>
              <w:t>1.69</w:t>
            </w:r>
          </w:p>
        </w:tc>
        <w:tc>
          <w:tcPr>
            <w:tcW w:w="269" w:type="pct"/>
            <w:vAlign w:val="center"/>
          </w:tcPr>
          <w:p w14:paraId="6C677566" w14:textId="77777777" w:rsidR="002E474C" w:rsidRDefault="00000000">
            <w:pPr>
              <w:pStyle w:val="A-"/>
            </w:pPr>
            <w:r>
              <w:t>2.02</w:t>
            </w:r>
          </w:p>
        </w:tc>
        <w:tc>
          <w:tcPr>
            <w:tcW w:w="336" w:type="pct"/>
            <w:vAlign w:val="center"/>
          </w:tcPr>
          <w:p w14:paraId="580FB666" w14:textId="77777777" w:rsidR="002E474C" w:rsidRDefault="00000000">
            <w:pPr>
              <w:pStyle w:val="A-"/>
            </w:pPr>
            <w:r>
              <w:t>1.63</w:t>
            </w:r>
          </w:p>
        </w:tc>
        <w:tc>
          <w:tcPr>
            <w:tcW w:w="269" w:type="pct"/>
            <w:vAlign w:val="center"/>
          </w:tcPr>
          <w:p w14:paraId="6DD55A11" w14:textId="77777777" w:rsidR="002E474C" w:rsidRDefault="00000000">
            <w:pPr>
              <w:pStyle w:val="A-"/>
            </w:pPr>
            <w:r>
              <w:t>1.58</w:t>
            </w:r>
          </w:p>
        </w:tc>
        <w:tc>
          <w:tcPr>
            <w:tcW w:w="308" w:type="pct"/>
            <w:vAlign w:val="center"/>
          </w:tcPr>
          <w:p w14:paraId="2CED3769" w14:textId="77777777" w:rsidR="002E474C" w:rsidRDefault="00000000">
            <w:pPr>
              <w:pStyle w:val="A-"/>
            </w:pPr>
            <w:r>
              <w:t>1.45</w:t>
            </w:r>
          </w:p>
        </w:tc>
        <w:tc>
          <w:tcPr>
            <w:tcW w:w="264" w:type="pct"/>
            <w:vAlign w:val="center"/>
          </w:tcPr>
          <w:p w14:paraId="23738D17" w14:textId="77777777" w:rsidR="002E474C" w:rsidRDefault="00000000">
            <w:pPr>
              <w:pStyle w:val="A-"/>
            </w:pPr>
            <w:r>
              <w:t>1.8</w:t>
            </w:r>
          </w:p>
        </w:tc>
      </w:tr>
      <w:tr w:rsidR="002E474C" w14:paraId="3B3639AD" w14:textId="77777777">
        <w:trPr>
          <w:jc w:val="center"/>
        </w:trPr>
        <w:tc>
          <w:tcPr>
            <w:tcW w:w="329" w:type="pct"/>
            <w:vAlign w:val="center"/>
          </w:tcPr>
          <w:p w14:paraId="2F51EC6C" w14:textId="77777777" w:rsidR="002E474C" w:rsidRDefault="00000000">
            <w:pPr>
              <w:pStyle w:val="A-"/>
            </w:pPr>
            <w:r>
              <w:t>冬季</w:t>
            </w:r>
          </w:p>
        </w:tc>
        <w:tc>
          <w:tcPr>
            <w:tcW w:w="227" w:type="pct"/>
            <w:vAlign w:val="center"/>
          </w:tcPr>
          <w:p w14:paraId="74E7A5FA" w14:textId="77777777" w:rsidR="002E474C" w:rsidRDefault="00000000">
            <w:pPr>
              <w:pStyle w:val="A-"/>
            </w:pPr>
            <w:r>
              <w:t>1.23</w:t>
            </w:r>
          </w:p>
        </w:tc>
        <w:tc>
          <w:tcPr>
            <w:tcW w:w="268" w:type="pct"/>
            <w:vAlign w:val="center"/>
          </w:tcPr>
          <w:p w14:paraId="75D7513E" w14:textId="77777777" w:rsidR="002E474C" w:rsidRDefault="00000000">
            <w:pPr>
              <w:pStyle w:val="A-"/>
            </w:pPr>
            <w:r>
              <w:t>1.58</w:t>
            </w:r>
          </w:p>
        </w:tc>
        <w:tc>
          <w:tcPr>
            <w:tcW w:w="268" w:type="pct"/>
            <w:vAlign w:val="center"/>
          </w:tcPr>
          <w:p w14:paraId="6054A73D" w14:textId="77777777" w:rsidR="002E474C" w:rsidRDefault="00000000">
            <w:pPr>
              <w:pStyle w:val="A-"/>
            </w:pPr>
            <w:r>
              <w:t>1.55</w:t>
            </w:r>
          </w:p>
        </w:tc>
        <w:tc>
          <w:tcPr>
            <w:tcW w:w="268" w:type="pct"/>
            <w:vAlign w:val="center"/>
          </w:tcPr>
          <w:p w14:paraId="2AA0C8C5" w14:textId="77777777" w:rsidR="002E474C" w:rsidRDefault="00000000">
            <w:pPr>
              <w:pStyle w:val="A-"/>
            </w:pPr>
            <w:r>
              <w:t>1.67</w:t>
            </w:r>
          </w:p>
        </w:tc>
        <w:tc>
          <w:tcPr>
            <w:tcW w:w="268" w:type="pct"/>
            <w:vAlign w:val="center"/>
          </w:tcPr>
          <w:p w14:paraId="7542FFD6" w14:textId="77777777" w:rsidR="002E474C" w:rsidRDefault="00000000">
            <w:pPr>
              <w:pStyle w:val="A-"/>
            </w:pPr>
            <w:r>
              <w:t>1.8</w:t>
            </w:r>
          </w:p>
        </w:tc>
        <w:tc>
          <w:tcPr>
            <w:tcW w:w="268" w:type="pct"/>
            <w:vAlign w:val="center"/>
          </w:tcPr>
          <w:p w14:paraId="265D9F84" w14:textId="77777777" w:rsidR="002E474C" w:rsidRDefault="00000000">
            <w:pPr>
              <w:pStyle w:val="A-"/>
            </w:pPr>
            <w:r>
              <w:t>1.6</w:t>
            </w:r>
          </w:p>
        </w:tc>
        <w:tc>
          <w:tcPr>
            <w:tcW w:w="268" w:type="pct"/>
            <w:vAlign w:val="center"/>
          </w:tcPr>
          <w:p w14:paraId="70BD5EA5" w14:textId="77777777" w:rsidR="002E474C" w:rsidRDefault="00000000">
            <w:pPr>
              <w:pStyle w:val="A-"/>
            </w:pPr>
            <w:r>
              <w:t>1.46</w:t>
            </w:r>
          </w:p>
        </w:tc>
        <w:tc>
          <w:tcPr>
            <w:tcW w:w="268" w:type="pct"/>
            <w:vAlign w:val="center"/>
          </w:tcPr>
          <w:p w14:paraId="2BE4DC06" w14:textId="77777777" w:rsidR="002E474C" w:rsidRDefault="00000000">
            <w:pPr>
              <w:pStyle w:val="A-"/>
            </w:pPr>
            <w:r>
              <w:t>1.3</w:t>
            </w:r>
          </w:p>
        </w:tc>
        <w:tc>
          <w:tcPr>
            <w:tcW w:w="268" w:type="pct"/>
            <w:vAlign w:val="center"/>
          </w:tcPr>
          <w:p w14:paraId="05D9A43B" w14:textId="77777777" w:rsidR="002E474C" w:rsidRDefault="00000000">
            <w:pPr>
              <w:pStyle w:val="A-"/>
            </w:pPr>
            <w:r>
              <w:t>1.24</w:t>
            </w:r>
          </w:p>
        </w:tc>
        <w:tc>
          <w:tcPr>
            <w:tcW w:w="269" w:type="pct"/>
            <w:vAlign w:val="center"/>
          </w:tcPr>
          <w:p w14:paraId="097E1AF1" w14:textId="77777777" w:rsidR="002E474C" w:rsidRDefault="00000000">
            <w:pPr>
              <w:pStyle w:val="A-"/>
            </w:pPr>
            <w:r>
              <w:t>1.16</w:t>
            </w:r>
          </w:p>
        </w:tc>
        <w:tc>
          <w:tcPr>
            <w:tcW w:w="269" w:type="pct"/>
            <w:vAlign w:val="center"/>
          </w:tcPr>
          <w:p w14:paraId="45DC492C" w14:textId="77777777" w:rsidR="002E474C" w:rsidRDefault="00000000">
            <w:pPr>
              <w:pStyle w:val="A-"/>
            </w:pPr>
            <w:r>
              <w:t>1.11</w:t>
            </w:r>
          </w:p>
        </w:tc>
        <w:tc>
          <w:tcPr>
            <w:tcW w:w="315" w:type="pct"/>
            <w:vAlign w:val="center"/>
          </w:tcPr>
          <w:p w14:paraId="2EEFEA9D" w14:textId="77777777" w:rsidR="002E474C" w:rsidRDefault="00000000">
            <w:pPr>
              <w:pStyle w:val="A-"/>
            </w:pPr>
            <w:r>
              <w:t>0.86</w:t>
            </w:r>
          </w:p>
        </w:tc>
        <w:tc>
          <w:tcPr>
            <w:tcW w:w="269" w:type="pct"/>
            <w:vAlign w:val="center"/>
          </w:tcPr>
          <w:p w14:paraId="45084368" w14:textId="77777777" w:rsidR="002E474C" w:rsidRDefault="00000000">
            <w:pPr>
              <w:pStyle w:val="A-"/>
            </w:pPr>
            <w:r>
              <w:t>0.93</w:t>
            </w:r>
          </w:p>
        </w:tc>
        <w:tc>
          <w:tcPr>
            <w:tcW w:w="336" w:type="pct"/>
            <w:vAlign w:val="center"/>
          </w:tcPr>
          <w:p w14:paraId="690EB35D" w14:textId="77777777" w:rsidR="002E474C" w:rsidRDefault="00000000">
            <w:pPr>
              <w:pStyle w:val="A-"/>
            </w:pPr>
            <w:r>
              <w:t>1.08</w:t>
            </w:r>
          </w:p>
        </w:tc>
        <w:tc>
          <w:tcPr>
            <w:tcW w:w="269" w:type="pct"/>
            <w:vAlign w:val="center"/>
          </w:tcPr>
          <w:p w14:paraId="7403D4AB" w14:textId="77777777" w:rsidR="002E474C" w:rsidRDefault="00000000">
            <w:pPr>
              <w:pStyle w:val="A-"/>
            </w:pPr>
            <w:r>
              <w:t>1.21</w:t>
            </w:r>
          </w:p>
        </w:tc>
        <w:tc>
          <w:tcPr>
            <w:tcW w:w="308" w:type="pct"/>
            <w:vAlign w:val="center"/>
          </w:tcPr>
          <w:p w14:paraId="520294D0" w14:textId="77777777" w:rsidR="002E474C" w:rsidRDefault="00000000">
            <w:pPr>
              <w:pStyle w:val="A-"/>
            </w:pPr>
            <w:r>
              <w:t>1.14</w:t>
            </w:r>
          </w:p>
        </w:tc>
        <w:tc>
          <w:tcPr>
            <w:tcW w:w="264" w:type="pct"/>
            <w:vAlign w:val="center"/>
          </w:tcPr>
          <w:p w14:paraId="4813D098" w14:textId="77777777" w:rsidR="002E474C" w:rsidRDefault="00000000">
            <w:pPr>
              <w:pStyle w:val="A-"/>
            </w:pPr>
            <w:r>
              <w:t>1.35</w:t>
            </w:r>
          </w:p>
        </w:tc>
      </w:tr>
    </w:tbl>
    <w:p w14:paraId="2A4F6F40" w14:textId="77777777" w:rsidR="002E474C" w:rsidRDefault="002E474C"/>
    <w:bookmarkEnd w:id="267"/>
    <w:bookmarkEnd w:id="269"/>
    <w:p w14:paraId="27B07249" w14:textId="77777777" w:rsidR="002E474C" w:rsidRDefault="00000000">
      <w:pPr>
        <w:pStyle w:val="A-z"/>
        <w:rPr>
          <w:color w:val="auto"/>
        </w:rPr>
      </w:pPr>
      <w:r>
        <w:rPr>
          <w:color w:val="auto"/>
        </w:rPr>
        <w:t>（</w:t>
      </w:r>
      <w:r>
        <w:rPr>
          <w:color w:val="auto"/>
        </w:rPr>
        <w:t>3</w:t>
      </w:r>
      <w:r>
        <w:rPr>
          <w:color w:val="auto"/>
        </w:rPr>
        <w:t>）风向频率</w:t>
      </w:r>
    </w:p>
    <w:p w14:paraId="371D1437" w14:textId="77777777" w:rsidR="002E474C" w:rsidRDefault="00000000">
      <w:pPr>
        <w:pStyle w:val="A-z"/>
        <w:rPr>
          <w:color w:val="auto"/>
        </w:rPr>
        <w:sectPr w:rsidR="002E474C">
          <w:headerReference w:type="default" r:id="rId32"/>
          <w:footerReference w:type="default" r:id="rId33"/>
          <w:pgSz w:w="11906" w:h="16838"/>
          <w:pgMar w:top="1440" w:right="1800" w:bottom="1440" w:left="1800" w:header="851" w:footer="992" w:gutter="0"/>
          <w:cols w:space="720"/>
          <w:docGrid w:type="lines" w:linePitch="312"/>
        </w:sectPr>
      </w:pPr>
      <w:r>
        <w:rPr>
          <w:color w:val="auto"/>
        </w:rPr>
        <w:t>年风频的月变化、季变化及年均风频情况见表</w:t>
      </w:r>
      <w:r>
        <w:rPr>
          <w:color w:val="auto"/>
        </w:rPr>
        <w:t>5.1</w:t>
      </w:r>
      <w:r>
        <w:rPr>
          <w:color w:val="auto"/>
        </w:rPr>
        <w:noBreakHyphen/>
        <w:t>6</w:t>
      </w:r>
      <w:r>
        <w:rPr>
          <w:color w:val="auto"/>
        </w:rPr>
        <w:t>及风频玫瑰图</w:t>
      </w:r>
      <w:r>
        <w:rPr>
          <w:color w:val="auto"/>
        </w:rPr>
        <w:t>5.1</w:t>
      </w:r>
      <w:r>
        <w:rPr>
          <w:color w:val="auto"/>
        </w:rPr>
        <w:noBreakHyphen/>
        <w:t>5</w:t>
      </w:r>
      <w:r>
        <w:rPr>
          <w:color w:val="auto"/>
        </w:rPr>
        <w:t>。</w:t>
      </w:r>
    </w:p>
    <w:p w14:paraId="719D5692" w14:textId="77777777" w:rsidR="002E474C" w:rsidRDefault="002E474C">
      <w:pPr>
        <w:pStyle w:val="A-0"/>
        <w:spacing w:before="156"/>
        <w:rPr>
          <w:color w:val="auto"/>
        </w:rPr>
      </w:pPr>
      <w:bookmarkStart w:id="270" w:name="_Ref77932565"/>
    </w:p>
    <w:p w14:paraId="3C0F2204" w14:textId="77777777" w:rsidR="002E474C" w:rsidRDefault="002E474C">
      <w:pPr>
        <w:pStyle w:val="A-0"/>
        <w:spacing w:before="156"/>
        <w:rPr>
          <w:color w:val="auto"/>
        </w:rPr>
      </w:pPr>
    </w:p>
    <w:p w14:paraId="2B98BA69" w14:textId="77777777" w:rsidR="002E474C" w:rsidRDefault="00000000">
      <w:pPr>
        <w:pStyle w:val="A--"/>
        <w:spacing w:before="156"/>
        <w:rPr>
          <w:color w:val="auto"/>
        </w:rPr>
      </w:pPr>
      <w:r>
        <w:rPr>
          <w:color w:val="auto"/>
        </w:rPr>
        <w:t>表</w:t>
      </w:r>
      <w:r>
        <w:rPr>
          <w:color w:val="auto"/>
        </w:rPr>
        <w:t>5.1</w:t>
      </w:r>
      <w:r>
        <w:rPr>
          <w:color w:val="auto"/>
        </w:rPr>
        <w:noBreakHyphen/>
      </w:r>
      <w:bookmarkEnd w:id="270"/>
      <w:r>
        <w:rPr>
          <w:color w:val="auto"/>
        </w:rPr>
        <w:t xml:space="preserve">6                  </w:t>
      </w:r>
      <w:r>
        <w:rPr>
          <w:color w:val="auto"/>
        </w:rPr>
        <w:t>逐月、四季及全年各风向下平均风频统计表</w:t>
      </w:r>
    </w:p>
    <w:tbl>
      <w:tblPr>
        <w:tblStyle w:val="afffffffffff2"/>
        <w:tblW w:w="5000" w:type="pct"/>
        <w:tblLook w:val="04A0" w:firstRow="1" w:lastRow="0" w:firstColumn="1" w:lastColumn="0" w:noHBand="0" w:noVBand="1"/>
      </w:tblPr>
      <w:tblGrid>
        <w:gridCol w:w="1017"/>
        <w:gridCol w:w="1107"/>
        <w:gridCol w:w="739"/>
        <w:gridCol w:w="624"/>
        <w:gridCol w:w="685"/>
        <w:gridCol w:w="754"/>
        <w:gridCol w:w="738"/>
        <w:gridCol w:w="624"/>
        <w:gridCol w:w="624"/>
        <w:gridCol w:w="624"/>
        <w:gridCol w:w="704"/>
        <w:gridCol w:w="749"/>
        <w:gridCol w:w="780"/>
        <w:gridCol w:w="624"/>
        <w:gridCol w:w="820"/>
        <w:gridCol w:w="624"/>
        <w:gridCol w:w="767"/>
        <w:gridCol w:w="624"/>
      </w:tblGrid>
      <w:tr w:rsidR="002E474C" w14:paraId="11FBC64A" w14:textId="77777777">
        <w:trPr>
          <w:trHeight w:val="665"/>
        </w:trPr>
        <w:tc>
          <w:tcPr>
            <w:tcW w:w="384" w:type="pct"/>
            <w:tcBorders>
              <w:top w:val="single" w:sz="4" w:space="0" w:color="auto"/>
              <w:left w:val="single" w:sz="4" w:space="0" w:color="auto"/>
              <w:bottom w:val="single" w:sz="4" w:space="0" w:color="auto"/>
              <w:right w:val="single" w:sz="4" w:space="0" w:color="auto"/>
              <w:tl2br w:val="single" w:sz="4" w:space="0" w:color="auto"/>
            </w:tcBorders>
          </w:tcPr>
          <w:p w14:paraId="1D342883" w14:textId="77777777" w:rsidR="002E474C" w:rsidRDefault="00000000">
            <w:pPr>
              <w:pStyle w:val="A-"/>
            </w:pPr>
            <w:r>
              <w:t>风向</w:t>
            </w:r>
          </w:p>
          <w:p w14:paraId="7502DF4F" w14:textId="77777777" w:rsidR="002E474C" w:rsidRDefault="00000000">
            <w:pPr>
              <w:pStyle w:val="A-"/>
            </w:pPr>
            <w:r>
              <w:t>风频</w:t>
            </w:r>
            <w:r>
              <w:t>(%)</w:t>
            </w:r>
          </w:p>
        </w:tc>
        <w:tc>
          <w:tcPr>
            <w:tcW w:w="418" w:type="pct"/>
            <w:tcBorders>
              <w:top w:val="single" w:sz="4" w:space="0" w:color="auto"/>
              <w:left w:val="single" w:sz="4" w:space="0" w:color="auto"/>
              <w:bottom w:val="single" w:sz="4" w:space="0" w:color="auto"/>
              <w:right w:val="single" w:sz="4" w:space="0" w:color="auto"/>
            </w:tcBorders>
          </w:tcPr>
          <w:p w14:paraId="0A3DE2F9" w14:textId="77777777" w:rsidR="002E474C" w:rsidRDefault="00000000">
            <w:pPr>
              <w:pStyle w:val="A-"/>
            </w:pPr>
            <w:r>
              <w:t>N</w:t>
            </w:r>
          </w:p>
        </w:tc>
        <w:tc>
          <w:tcPr>
            <w:tcW w:w="279" w:type="pct"/>
            <w:tcBorders>
              <w:top w:val="single" w:sz="4" w:space="0" w:color="auto"/>
              <w:left w:val="single" w:sz="4" w:space="0" w:color="auto"/>
              <w:bottom w:val="single" w:sz="4" w:space="0" w:color="auto"/>
              <w:right w:val="single" w:sz="4" w:space="0" w:color="auto"/>
            </w:tcBorders>
          </w:tcPr>
          <w:p w14:paraId="033914F2" w14:textId="77777777" w:rsidR="002E474C" w:rsidRDefault="00000000">
            <w:pPr>
              <w:pStyle w:val="A-"/>
            </w:pPr>
            <w:r>
              <w:t>NNE</w:t>
            </w:r>
          </w:p>
        </w:tc>
        <w:tc>
          <w:tcPr>
            <w:tcW w:w="236" w:type="pct"/>
            <w:tcBorders>
              <w:top w:val="single" w:sz="4" w:space="0" w:color="auto"/>
              <w:left w:val="single" w:sz="4" w:space="0" w:color="auto"/>
              <w:bottom w:val="single" w:sz="4" w:space="0" w:color="auto"/>
              <w:right w:val="single" w:sz="4" w:space="0" w:color="auto"/>
            </w:tcBorders>
          </w:tcPr>
          <w:p w14:paraId="3FE53B04" w14:textId="77777777" w:rsidR="002E474C" w:rsidRDefault="00000000">
            <w:pPr>
              <w:pStyle w:val="A-"/>
            </w:pPr>
            <w:r>
              <w:t>NE</w:t>
            </w:r>
          </w:p>
        </w:tc>
        <w:tc>
          <w:tcPr>
            <w:tcW w:w="259" w:type="pct"/>
            <w:tcBorders>
              <w:top w:val="single" w:sz="4" w:space="0" w:color="auto"/>
              <w:left w:val="single" w:sz="4" w:space="0" w:color="auto"/>
              <w:bottom w:val="single" w:sz="4" w:space="0" w:color="auto"/>
              <w:right w:val="single" w:sz="4" w:space="0" w:color="auto"/>
            </w:tcBorders>
          </w:tcPr>
          <w:p w14:paraId="5815DDA6" w14:textId="77777777" w:rsidR="002E474C" w:rsidRDefault="00000000">
            <w:pPr>
              <w:pStyle w:val="A-"/>
            </w:pPr>
            <w:r>
              <w:t>ENE</w:t>
            </w:r>
          </w:p>
        </w:tc>
        <w:tc>
          <w:tcPr>
            <w:tcW w:w="285" w:type="pct"/>
            <w:tcBorders>
              <w:top w:val="single" w:sz="4" w:space="0" w:color="auto"/>
              <w:left w:val="single" w:sz="4" w:space="0" w:color="auto"/>
              <w:bottom w:val="single" w:sz="4" w:space="0" w:color="auto"/>
              <w:right w:val="single" w:sz="4" w:space="0" w:color="auto"/>
            </w:tcBorders>
          </w:tcPr>
          <w:p w14:paraId="59E507F0" w14:textId="77777777" w:rsidR="002E474C" w:rsidRDefault="00000000">
            <w:pPr>
              <w:pStyle w:val="A-"/>
            </w:pPr>
            <w:r>
              <w:t>E</w:t>
            </w:r>
          </w:p>
        </w:tc>
        <w:tc>
          <w:tcPr>
            <w:tcW w:w="279" w:type="pct"/>
            <w:tcBorders>
              <w:top w:val="single" w:sz="4" w:space="0" w:color="auto"/>
              <w:left w:val="single" w:sz="4" w:space="0" w:color="auto"/>
              <w:bottom w:val="single" w:sz="4" w:space="0" w:color="auto"/>
              <w:right w:val="single" w:sz="4" w:space="0" w:color="auto"/>
            </w:tcBorders>
          </w:tcPr>
          <w:p w14:paraId="426E6BD6" w14:textId="77777777" w:rsidR="002E474C" w:rsidRDefault="00000000">
            <w:pPr>
              <w:pStyle w:val="A-"/>
            </w:pPr>
            <w:r>
              <w:t>ESE</w:t>
            </w:r>
          </w:p>
        </w:tc>
        <w:tc>
          <w:tcPr>
            <w:tcW w:w="236" w:type="pct"/>
            <w:tcBorders>
              <w:top w:val="single" w:sz="4" w:space="0" w:color="auto"/>
              <w:left w:val="single" w:sz="4" w:space="0" w:color="auto"/>
              <w:bottom w:val="single" w:sz="4" w:space="0" w:color="auto"/>
              <w:right w:val="single" w:sz="4" w:space="0" w:color="auto"/>
            </w:tcBorders>
          </w:tcPr>
          <w:p w14:paraId="212BCEEE" w14:textId="77777777" w:rsidR="002E474C" w:rsidRDefault="00000000">
            <w:pPr>
              <w:pStyle w:val="A-"/>
            </w:pPr>
            <w:r>
              <w:t>SE</w:t>
            </w:r>
          </w:p>
        </w:tc>
        <w:tc>
          <w:tcPr>
            <w:tcW w:w="236" w:type="pct"/>
            <w:tcBorders>
              <w:top w:val="single" w:sz="4" w:space="0" w:color="auto"/>
              <w:left w:val="single" w:sz="4" w:space="0" w:color="auto"/>
              <w:bottom w:val="single" w:sz="4" w:space="0" w:color="auto"/>
              <w:right w:val="single" w:sz="4" w:space="0" w:color="auto"/>
            </w:tcBorders>
          </w:tcPr>
          <w:p w14:paraId="28AE404D" w14:textId="77777777" w:rsidR="002E474C" w:rsidRDefault="00000000">
            <w:pPr>
              <w:pStyle w:val="A-"/>
            </w:pPr>
            <w:r>
              <w:t>SSE</w:t>
            </w:r>
          </w:p>
        </w:tc>
        <w:tc>
          <w:tcPr>
            <w:tcW w:w="236" w:type="pct"/>
            <w:tcBorders>
              <w:top w:val="single" w:sz="4" w:space="0" w:color="auto"/>
              <w:left w:val="single" w:sz="4" w:space="0" w:color="auto"/>
              <w:bottom w:val="single" w:sz="4" w:space="0" w:color="auto"/>
              <w:right w:val="single" w:sz="4" w:space="0" w:color="auto"/>
            </w:tcBorders>
          </w:tcPr>
          <w:p w14:paraId="3FE59A85" w14:textId="77777777" w:rsidR="002E474C" w:rsidRDefault="00000000">
            <w:pPr>
              <w:pStyle w:val="A-"/>
            </w:pPr>
            <w:r>
              <w:t>S</w:t>
            </w:r>
          </w:p>
        </w:tc>
        <w:tc>
          <w:tcPr>
            <w:tcW w:w="266" w:type="pct"/>
            <w:tcBorders>
              <w:top w:val="single" w:sz="4" w:space="0" w:color="auto"/>
              <w:left w:val="single" w:sz="4" w:space="0" w:color="auto"/>
              <w:bottom w:val="single" w:sz="4" w:space="0" w:color="auto"/>
              <w:right w:val="single" w:sz="4" w:space="0" w:color="auto"/>
            </w:tcBorders>
          </w:tcPr>
          <w:p w14:paraId="6665C445" w14:textId="77777777" w:rsidR="002E474C" w:rsidRDefault="00000000">
            <w:pPr>
              <w:pStyle w:val="A-"/>
            </w:pPr>
            <w:r>
              <w:t>SSW</w:t>
            </w:r>
          </w:p>
        </w:tc>
        <w:tc>
          <w:tcPr>
            <w:tcW w:w="283" w:type="pct"/>
            <w:tcBorders>
              <w:top w:val="single" w:sz="4" w:space="0" w:color="auto"/>
              <w:left w:val="single" w:sz="4" w:space="0" w:color="auto"/>
              <w:bottom w:val="single" w:sz="4" w:space="0" w:color="auto"/>
              <w:right w:val="single" w:sz="4" w:space="0" w:color="auto"/>
            </w:tcBorders>
          </w:tcPr>
          <w:p w14:paraId="692770BE" w14:textId="77777777" w:rsidR="002E474C" w:rsidRDefault="00000000">
            <w:pPr>
              <w:pStyle w:val="A-"/>
            </w:pPr>
            <w:r>
              <w:t>SW</w:t>
            </w:r>
          </w:p>
        </w:tc>
        <w:tc>
          <w:tcPr>
            <w:tcW w:w="295" w:type="pct"/>
            <w:tcBorders>
              <w:top w:val="single" w:sz="4" w:space="0" w:color="auto"/>
              <w:left w:val="single" w:sz="4" w:space="0" w:color="auto"/>
              <w:bottom w:val="single" w:sz="4" w:space="0" w:color="auto"/>
              <w:right w:val="single" w:sz="4" w:space="0" w:color="auto"/>
            </w:tcBorders>
          </w:tcPr>
          <w:p w14:paraId="291D1585" w14:textId="77777777" w:rsidR="002E474C" w:rsidRDefault="00000000">
            <w:pPr>
              <w:pStyle w:val="A-"/>
            </w:pPr>
            <w:r>
              <w:t>WSW</w:t>
            </w:r>
          </w:p>
        </w:tc>
        <w:tc>
          <w:tcPr>
            <w:tcW w:w="236" w:type="pct"/>
            <w:tcBorders>
              <w:top w:val="single" w:sz="4" w:space="0" w:color="auto"/>
              <w:left w:val="single" w:sz="4" w:space="0" w:color="auto"/>
              <w:bottom w:val="single" w:sz="4" w:space="0" w:color="auto"/>
              <w:right w:val="single" w:sz="4" w:space="0" w:color="auto"/>
            </w:tcBorders>
          </w:tcPr>
          <w:p w14:paraId="5BCF69C1" w14:textId="77777777" w:rsidR="002E474C" w:rsidRDefault="00000000">
            <w:pPr>
              <w:pStyle w:val="A-"/>
            </w:pPr>
            <w:r>
              <w:t>W</w:t>
            </w:r>
          </w:p>
        </w:tc>
        <w:tc>
          <w:tcPr>
            <w:tcW w:w="310" w:type="pct"/>
            <w:tcBorders>
              <w:top w:val="single" w:sz="4" w:space="0" w:color="auto"/>
              <w:left w:val="single" w:sz="4" w:space="0" w:color="auto"/>
              <w:bottom w:val="single" w:sz="4" w:space="0" w:color="auto"/>
              <w:right w:val="single" w:sz="4" w:space="0" w:color="auto"/>
            </w:tcBorders>
          </w:tcPr>
          <w:p w14:paraId="3F18F42B" w14:textId="77777777" w:rsidR="002E474C" w:rsidRDefault="00000000">
            <w:pPr>
              <w:pStyle w:val="A-"/>
            </w:pPr>
            <w:r>
              <w:t>WNW</w:t>
            </w:r>
          </w:p>
        </w:tc>
        <w:tc>
          <w:tcPr>
            <w:tcW w:w="236" w:type="pct"/>
            <w:tcBorders>
              <w:top w:val="single" w:sz="4" w:space="0" w:color="auto"/>
              <w:left w:val="single" w:sz="4" w:space="0" w:color="auto"/>
              <w:bottom w:val="single" w:sz="4" w:space="0" w:color="auto"/>
              <w:right w:val="single" w:sz="4" w:space="0" w:color="auto"/>
            </w:tcBorders>
          </w:tcPr>
          <w:p w14:paraId="3B5BF468" w14:textId="77777777" w:rsidR="002E474C" w:rsidRDefault="00000000">
            <w:pPr>
              <w:pStyle w:val="A-"/>
            </w:pPr>
            <w:r>
              <w:t>NW</w:t>
            </w:r>
          </w:p>
        </w:tc>
        <w:tc>
          <w:tcPr>
            <w:tcW w:w="290" w:type="pct"/>
            <w:tcBorders>
              <w:top w:val="single" w:sz="4" w:space="0" w:color="auto"/>
              <w:left w:val="single" w:sz="4" w:space="0" w:color="auto"/>
              <w:bottom w:val="single" w:sz="4" w:space="0" w:color="auto"/>
              <w:right w:val="single" w:sz="4" w:space="0" w:color="auto"/>
            </w:tcBorders>
          </w:tcPr>
          <w:p w14:paraId="51BC0B01" w14:textId="77777777" w:rsidR="002E474C" w:rsidRDefault="00000000">
            <w:pPr>
              <w:pStyle w:val="A-"/>
            </w:pPr>
            <w:r>
              <w:t>NNW</w:t>
            </w:r>
          </w:p>
        </w:tc>
        <w:tc>
          <w:tcPr>
            <w:tcW w:w="236" w:type="pct"/>
            <w:tcBorders>
              <w:top w:val="single" w:sz="4" w:space="0" w:color="auto"/>
              <w:left w:val="single" w:sz="4" w:space="0" w:color="auto"/>
              <w:bottom w:val="single" w:sz="4" w:space="0" w:color="auto"/>
              <w:right w:val="single" w:sz="4" w:space="0" w:color="auto"/>
            </w:tcBorders>
          </w:tcPr>
          <w:p w14:paraId="35FEFB4F" w14:textId="77777777" w:rsidR="002E474C" w:rsidRDefault="00000000">
            <w:pPr>
              <w:pStyle w:val="A-"/>
            </w:pPr>
            <w:r>
              <w:t>C</w:t>
            </w:r>
          </w:p>
        </w:tc>
      </w:tr>
      <w:tr w:rsidR="002E474C" w14:paraId="5066D48D" w14:textId="77777777">
        <w:tc>
          <w:tcPr>
            <w:tcW w:w="384" w:type="pct"/>
            <w:tcBorders>
              <w:top w:val="single" w:sz="4" w:space="0" w:color="auto"/>
              <w:left w:val="single" w:sz="4" w:space="0" w:color="auto"/>
              <w:bottom w:val="single" w:sz="4" w:space="0" w:color="auto"/>
              <w:right w:val="single" w:sz="4" w:space="0" w:color="auto"/>
            </w:tcBorders>
          </w:tcPr>
          <w:p w14:paraId="02F2CE64" w14:textId="77777777" w:rsidR="002E474C" w:rsidRDefault="00000000">
            <w:pPr>
              <w:pStyle w:val="A-"/>
            </w:pPr>
            <w:r>
              <w:t>一月</w:t>
            </w:r>
          </w:p>
        </w:tc>
        <w:tc>
          <w:tcPr>
            <w:tcW w:w="418" w:type="pct"/>
            <w:tcBorders>
              <w:top w:val="single" w:sz="4" w:space="0" w:color="auto"/>
              <w:left w:val="single" w:sz="4" w:space="0" w:color="auto"/>
              <w:bottom w:val="single" w:sz="4" w:space="0" w:color="auto"/>
              <w:right w:val="single" w:sz="4" w:space="0" w:color="auto"/>
            </w:tcBorders>
          </w:tcPr>
          <w:p w14:paraId="37E48D13" w14:textId="77777777" w:rsidR="002E474C" w:rsidRDefault="00000000">
            <w:pPr>
              <w:pStyle w:val="A-"/>
              <w:rPr>
                <w:sz w:val="24"/>
                <w:szCs w:val="24"/>
              </w:rPr>
            </w:pPr>
            <w:r>
              <w:t>21.1</w:t>
            </w:r>
          </w:p>
        </w:tc>
        <w:tc>
          <w:tcPr>
            <w:tcW w:w="279" w:type="pct"/>
            <w:tcBorders>
              <w:top w:val="single" w:sz="4" w:space="0" w:color="auto"/>
              <w:left w:val="single" w:sz="4" w:space="0" w:color="auto"/>
              <w:bottom w:val="single" w:sz="4" w:space="0" w:color="auto"/>
              <w:right w:val="single" w:sz="4" w:space="0" w:color="auto"/>
            </w:tcBorders>
          </w:tcPr>
          <w:p w14:paraId="5604D4F7" w14:textId="77777777" w:rsidR="002E474C" w:rsidRDefault="00000000">
            <w:pPr>
              <w:pStyle w:val="A-"/>
            </w:pPr>
            <w:r>
              <w:t>10.48</w:t>
            </w:r>
          </w:p>
        </w:tc>
        <w:tc>
          <w:tcPr>
            <w:tcW w:w="236" w:type="pct"/>
            <w:tcBorders>
              <w:top w:val="single" w:sz="4" w:space="0" w:color="auto"/>
              <w:left w:val="single" w:sz="4" w:space="0" w:color="auto"/>
              <w:bottom w:val="single" w:sz="4" w:space="0" w:color="auto"/>
              <w:right w:val="single" w:sz="4" w:space="0" w:color="auto"/>
            </w:tcBorders>
          </w:tcPr>
          <w:p w14:paraId="126AE804" w14:textId="77777777" w:rsidR="002E474C" w:rsidRDefault="00000000">
            <w:pPr>
              <w:pStyle w:val="A-"/>
            </w:pPr>
            <w:r>
              <w:t>6.59</w:t>
            </w:r>
          </w:p>
        </w:tc>
        <w:tc>
          <w:tcPr>
            <w:tcW w:w="259" w:type="pct"/>
            <w:tcBorders>
              <w:top w:val="single" w:sz="4" w:space="0" w:color="auto"/>
              <w:left w:val="single" w:sz="4" w:space="0" w:color="auto"/>
              <w:bottom w:val="single" w:sz="4" w:space="0" w:color="auto"/>
              <w:right w:val="single" w:sz="4" w:space="0" w:color="auto"/>
            </w:tcBorders>
          </w:tcPr>
          <w:p w14:paraId="2A53A497" w14:textId="77777777" w:rsidR="002E474C" w:rsidRDefault="00000000">
            <w:pPr>
              <w:pStyle w:val="A-"/>
            </w:pPr>
            <w:r>
              <w:t>4.44</w:t>
            </w:r>
          </w:p>
        </w:tc>
        <w:tc>
          <w:tcPr>
            <w:tcW w:w="285" w:type="pct"/>
            <w:tcBorders>
              <w:top w:val="single" w:sz="4" w:space="0" w:color="auto"/>
              <w:left w:val="single" w:sz="4" w:space="0" w:color="auto"/>
              <w:bottom w:val="single" w:sz="4" w:space="0" w:color="auto"/>
              <w:right w:val="single" w:sz="4" w:space="0" w:color="auto"/>
            </w:tcBorders>
          </w:tcPr>
          <w:p w14:paraId="65DE051A" w14:textId="77777777" w:rsidR="002E474C" w:rsidRDefault="00000000">
            <w:pPr>
              <w:pStyle w:val="A-"/>
            </w:pPr>
            <w:r>
              <w:t>4.7</w:t>
            </w:r>
          </w:p>
        </w:tc>
        <w:tc>
          <w:tcPr>
            <w:tcW w:w="279" w:type="pct"/>
            <w:tcBorders>
              <w:top w:val="single" w:sz="4" w:space="0" w:color="auto"/>
              <w:left w:val="single" w:sz="4" w:space="0" w:color="auto"/>
              <w:bottom w:val="single" w:sz="4" w:space="0" w:color="auto"/>
              <w:right w:val="single" w:sz="4" w:space="0" w:color="auto"/>
            </w:tcBorders>
          </w:tcPr>
          <w:p w14:paraId="1176A4E5" w14:textId="77777777" w:rsidR="002E474C" w:rsidRDefault="00000000">
            <w:pPr>
              <w:pStyle w:val="A-"/>
            </w:pPr>
            <w:r>
              <w:t>3.76</w:t>
            </w:r>
          </w:p>
        </w:tc>
        <w:tc>
          <w:tcPr>
            <w:tcW w:w="236" w:type="pct"/>
            <w:tcBorders>
              <w:top w:val="single" w:sz="4" w:space="0" w:color="auto"/>
              <w:left w:val="single" w:sz="4" w:space="0" w:color="auto"/>
              <w:bottom w:val="single" w:sz="4" w:space="0" w:color="auto"/>
              <w:right w:val="single" w:sz="4" w:space="0" w:color="auto"/>
            </w:tcBorders>
          </w:tcPr>
          <w:p w14:paraId="0FA08EA1" w14:textId="77777777" w:rsidR="002E474C" w:rsidRDefault="00000000">
            <w:pPr>
              <w:pStyle w:val="A-"/>
            </w:pPr>
            <w:r>
              <w:t>4.03</w:t>
            </w:r>
          </w:p>
        </w:tc>
        <w:tc>
          <w:tcPr>
            <w:tcW w:w="236" w:type="pct"/>
            <w:tcBorders>
              <w:top w:val="single" w:sz="4" w:space="0" w:color="auto"/>
              <w:left w:val="single" w:sz="4" w:space="0" w:color="auto"/>
              <w:bottom w:val="single" w:sz="4" w:space="0" w:color="auto"/>
              <w:right w:val="single" w:sz="4" w:space="0" w:color="auto"/>
            </w:tcBorders>
          </w:tcPr>
          <w:p w14:paraId="1D8C7B20" w14:textId="77777777" w:rsidR="002E474C" w:rsidRDefault="00000000">
            <w:pPr>
              <w:pStyle w:val="A-"/>
            </w:pPr>
            <w:r>
              <w:t>4.17</w:t>
            </w:r>
          </w:p>
        </w:tc>
        <w:tc>
          <w:tcPr>
            <w:tcW w:w="236" w:type="pct"/>
            <w:tcBorders>
              <w:top w:val="single" w:sz="4" w:space="0" w:color="auto"/>
              <w:left w:val="single" w:sz="4" w:space="0" w:color="auto"/>
              <w:bottom w:val="single" w:sz="4" w:space="0" w:color="auto"/>
              <w:right w:val="single" w:sz="4" w:space="0" w:color="auto"/>
            </w:tcBorders>
          </w:tcPr>
          <w:p w14:paraId="315C3CCA" w14:textId="77777777" w:rsidR="002E474C" w:rsidRDefault="00000000">
            <w:pPr>
              <w:pStyle w:val="A-"/>
            </w:pPr>
            <w:r>
              <w:t>8.6</w:t>
            </w:r>
          </w:p>
        </w:tc>
        <w:tc>
          <w:tcPr>
            <w:tcW w:w="266" w:type="pct"/>
            <w:tcBorders>
              <w:top w:val="single" w:sz="4" w:space="0" w:color="auto"/>
              <w:left w:val="single" w:sz="4" w:space="0" w:color="auto"/>
              <w:bottom w:val="single" w:sz="4" w:space="0" w:color="auto"/>
              <w:right w:val="single" w:sz="4" w:space="0" w:color="auto"/>
            </w:tcBorders>
          </w:tcPr>
          <w:p w14:paraId="3A94D3C5" w14:textId="77777777" w:rsidR="002E474C" w:rsidRDefault="00000000">
            <w:pPr>
              <w:pStyle w:val="A-"/>
            </w:pPr>
            <w:r>
              <w:t>5.65</w:t>
            </w:r>
          </w:p>
        </w:tc>
        <w:tc>
          <w:tcPr>
            <w:tcW w:w="283" w:type="pct"/>
            <w:tcBorders>
              <w:top w:val="single" w:sz="4" w:space="0" w:color="auto"/>
              <w:left w:val="single" w:sz="4" w:space="0" w:color="auto"/>
              <w:bottom w:val="single" w:sz="4" w:space="0" w:color="auto"/>
              <w:right w:val="single" w:sz="4" w:space="0" w:color="auto"/>
            </w:tcBorders>
          </w:tcPr>
          <w:p w14:paraId="7A8D03DB" w14:textId="77777777" w:rsidR="002E474C" w:rsidRDefault="00000000">
            <w:pPr>
              <w:pStyle w:val="A-"/>
            </w:pPr>
            <w:r>
              <w:t>4.57</w:t>
            </w:r>
          </w:p>
        </w:tc>
        <w:tc>
          <w:tcPr>
            <w:tcW w:w="295" w:type="pct"/>
            <w:tcBorders>
              <w:top w:val="single" w:sz="4" w:space="0" w:color="auto"/>
              <w:left w:val="single" w:sz="4" w:space="0" w:color="auto"/>
              <w:bottom w:val="single" w:sz="4" w:space="0" w:color="auto"/>
              <w:right w:val="single" w:sz="4" w:space="0" w:color="auto"/>
            </w:tcBorders>
          </w:tcPr>
          <w:p w14:paraId="0ED9D9DA" w14:textId="77777777" w:rsidR="002E474C" w:rsidRDefault="00000000">
            <w:pPr>
              <w:pStyle w:val="A-"/>
            </w:pPr>
            <w:r>
              <w:t>1.88</w:t>
            </w:r>
          </w:p>
        </w:tc>
        <w:tc>
          <w:tcPr>
            <w:tcW w:w="236" w:type="pct"/>
            <w:tcBorders>
              <w:top w:val="single" w:sz="4" w:space="0" w:color="auto"/>
              <w:left w:val="single" w:sz="4" w:space="0" w:color="auto"/>
              <w:bottom w:val="single" w:sz="4" w:space="0" w:color="auto"/>
              <w:right w:val="single" w:sz="4" w:space="0" w:color="auto"/>
            </w:tcBorders>
          </w:tcPr>
          <w:p w14:paraId="56874C3F" w14:textId="77777777" w:rsidR="002E474C" w:rsidRDefault="00000000">
            <w:pPr>
              <w:pStyle w:val="A-"/>
            </w:pPr>
            <w:r>
              <w:t>3.63</w:t>
            </w:r>
          </w:p>
        </w:tc>
        <w:tc>
          <w:tcPr>
            <w:tcW w:w="310" w:type="pct"/>
            <w:tcBorders>
              <w:top w:val="single" w:sz="4" w:space="0" w:color="auto"/>
              <w:left w:val="single" w:sz="4" w:space="0" w:color="auto"/>
              <w:bottom w:val="single" w:sz="4" w:space="0" w:color="auto"/>
              <w:right w:val="single" w:sz="4" w:space="0" w:color="auto"/>
            </w:tcBorders>
          </w:tcPr>
          <w:p w14:paraId="1F84F4BD" w14:textId="77777777" w:rsidR="002E474C" w:rsidRDefault="00000000">
            <w:pPr>
              <w:pStyle w:val="A-"/>
            </w:pPr>
            <w:r>
              <w:t>2.96</w:t>
            </w:r>
          </w:p>
        </w:tc>
        <w:tc>
          <w:tcPr>
            <w:tcW w:w="236" w:type="pct"/>
            <w:tcBorders>
              <w:top w:val="single" w:sz="4" w:space="0" w:color="auto"/>
              <w:left w:val="single" w:sz="4" w:space="0" w:color="auto"/>
              <w:bottom w:val="single" w:sz="4" w:space="0" w:color="auto"/>
              <w:right w:val="single" w:sz="4" w:space="0" w:color="auto"/>
            </w:tcBorders>
          </w:tcPr>
          <w:p w14:paraId="4AADC70F" w14:textId="77777777" w:rsidR="002E474C" w:rsidRDefault="00000000">
            <w:pPr>
              <w:pStyle w:val="A-"/>
            </w:pPr>
            <w:r>
              <w:t>6.32</w:t>
            </w:r>
          </w:p>
        </w:tc>
        <w:tc>
          <w:tcPr>
            <w:tcW w:w="290" w:type="pct"/>
            <w:tcBorders>
              <w:top w:val="single" w:sz="4" w:space="0" w:color="auto"/>
              <w:left w:val="single" w:sz="4" w:space="0" w:color="auto"/>
              <w:bottom w:val="single" w:sz="4" w:space="0" w:color="auto"/>
              <w:right w:val="single" w:sz="4" w:space="0" w:color="auto"/>
            </w:tcBorders>
          </w:tcPr>
          <w:p w14:paraId="07BA6078" w14:textId="77777777" w:rsidR="002E474C" w:rsidRDefault="00000000">
            <w:pPr>
              <w:pStyle w:val="A-"/>
            </w:pPr>
            <w:r>
              <w:t>6.72</w:t>
            </w:r>
          </w:p>
        </w:tc>
        <w:tc>
          <w:tcPr>
            <w:tcW w:w="236" w:type="pct"/>
            <w:tcBorders>
              <w:top w:val="single" w:sz="4" w:space="0" w:color="auto"/>
              <w:left w:val="single" w:sz="4" w:space="0" w:color="auto"/>
              <w:bottom w:val="single" w:sz="4" w:space="0" w:color="auto"/>
              <w:right w:val="single" w:sz="4" w:space="0" w:color="auto"/>
            </w:tcBorders>
          </w:tcPr>
          <w:p w14:paraId="1413A327" w14:textId="77777777" w:rsidR="002E474C" w:rsidRDefault="00000000">
            <w:pPr>
              <w:pStyle w:val="A-"/>
            </w:pPr>
            <w:r>
              <w:t>0.4</w:t>
            </w:r>
          </w:p>
        </w:tc>
      </w:tr>
      <w:tr w:rsidR="002E474C" w14:paraId="3B5831B9" w14:textId="77777777">
        <w:tc>
          <w:tcPr>
            <w:tcW w:w="384" w:type="pct"/>
            <w:tcBorders>
              <w:top w:val="single" w:sz="4" w:space="0" w:color="auto"/>
              <w:left w:val="single" w:sz="4" w:space="0" w:color="auto"/>
              <w:bottom w:val="single" w:sz="4" w:space="0" w:color="auto"/>
              <w:right w:val="single" w:sz="4" w:space="0" w:color="auto"/>
            </w:tcBorders>
          </w:tcPr>
          <w:p w14:paraId="13F506B5" w14:textId="77777777" w:rsidR="002E474C" w:rsidRDefault="00000000">
            <w:pPr>
              <w:pStyle w:val="A-"/>
            </w:pPr>
            <w:r>
              <w:t>二月</w:t>
            </w:r>
          </w:p>
        </w:tc>
        <w:tc>
          <w:tcPr>
            <w:tcW w:w="418" w:type="pct"/>
            <w:tcBorders>
              <w:top w:val="single" w:sz="4" w:space="0" w:color="auto"/>
              <w:left w:val="single" w:sz="4" w:space="0" w:color="auto"/>
              <w:bottom w:val="single" w:sz="4" w:space="0" w:color="auto"/>
              <w:right w:val="single" w:sz="4" w:space="0" w:color="auto"/>
            </w:tcBorders>
          </w:tcPr>
          <w:p w14:paraId="3A0F0D4B" w14:textId="77777777" w:rsidR="002E474C" w:rsidRDefault="00000000">
            <w:pPr>
              <w:pStyle w:val="A-"/>
            </w:pPr>
            <w:r>
              <w:t>14.66</w:t>
            </w:r>
          </w:p>
        </w:tc>
        <w:tc>
          <w:tcPr>
            <w:tcW w:w="279" w:type="pct"/>
            <w:tcBorders>
              <w:top w:val="single" w:sz="4" w:space="0" w:color="auto"/>
              <w:left w:val="single" w:sz="4" w:space="0" w:color="auto"/>
              <w:bottom w:val="single" w:sz="4" w:space="0" w:color="auto"/>
              <w:right w:val="single" w:sz="4" w:space="0" w:color="auto"/>
            </w:tcBorders>
          </w:tcPr>
          <w:p w14:paraId="6E7DD148" w14:textId="77777777" w:rsidR="002E474C" w:rsidRDefault="00000000">
            <w:pPr>
              <w:pStyle w:val="A-"/>
            </w:pPr>
            <w:r>
              <w:t>12.5</w:t>
            </w:r>
          </w:p>
        </w:tc>
        <w:tc>
          <w:tcPr>
            <w:tcW w:w="236" w:type="pct"/>
            <w:tcBorders>
              <w:top w:val="single" w:sz="4" w:space="0" w:color="auto"/>
              <w:left w:val="single" w:sz="4" w:space="0" w:color="auto"/>
              <w:bottom w:val="single" w:sz="4" w:space="0" w:color="auto"/>
              <w:right w:val="single" w:sz="4" w:space="0" w:color="auto"/>
            </w:tcBorders>
          </w:tcPr>
          <w:p w14:paraId="6BD2AB98" w14:textId="77777777" w:rsidR="002E474C" w:rsidRDefault="00000000">
            <w:pPr>
              <w:pStyle w:val="A-"/>
            </w:pPr>
            <w:r>
              <w:t>6.75</w:t>
            </w:r>
          </w:p>
        </w:tc>
        <w:tc>
          <w:tcPr>
            <w:tcW w:w="259" w:type="pct"/>
            <w:tcBorders>
              <w:top w:val="single" w:sz="4" w:space="0" w:color="auto"/>
              <w:left w:val="single" w:sz="4" w:space="0" w:color="auto"/>
              <w:bottom w:val="single" w:sz="4" w:space="0" w:color="auto"/>
              <w:right w:val="single" w:sz="4" w:space="0" w:color="auto"/>
            </w:tcBorders>
          </w:tcPr>
          <w:p w14:paraId="0C0DCA8D" w14:textId="77777777" w:rsidR="002E474C" w:rsidRDefault="00000000">
            <w:pPr>
              <w:pStyle w:val="A-"/>
            </w:pPr>
            <w:r>
              <w:t>6.32</w:t>
            </w:r>
          </w:p>
        </w:tc>
        <w:tc>
          <w:tcPr>
            <w:tcW w:w="285" w:type="pct"/>
            <w:tcBorders>
              <w:top w:val="single" w:sz="4" w:space="0" w:color="auto"/>
              <w:left w:val="single" w:sz="4" w:space="0" w:color="auto"/>
              <w:bottom w:val="single" w:sz="4" w:space="0" w:color="auto"/>
              <w:right w:val="single" w:sz="4" w:space="0" w:color="auto"/>
            </w:tcBorders>
          </w:tcPr>
          <w:p w14:paraId="08203F18" w14:textId="77777777" w:rsidR="002E474C" w:rsidRDefault="00000000">
            <w:pPr>
              <w:pStyle w:val="A-"/>
            </w:pPr>
            <w:r>
              <w:t>11.64</w:t>
            </w:r>
          </w:p>
        </w:tc>
        <w:tc>
          <w:tcPr>
            <w:tcW w:w="279" w:type="pct"/>
            <w:tcBorders>
              <w:top w:val="single" w:sz="4" w:space="0" w:color="auto"/>
              <w:left w:val="single" w:sz="4" w:space="0" w:color="auto"/>
              <w:bottom w:val="single" w:sz="4" w:space="0" w:color="auto"/>
              <w:right w:val="single" w:sz="4" w:space="0" w:color="auto"/>
            </w:tcBorders>
          </w:tcPr>
          <w:p w14:paraId="58213437" w14:textId="77777777" w:rsidR="002E474C" w:rsidRDefault="00000000">
            <w:pPr>
              <w:pStyle w:val="A-"/>
            </w:pPr>
            <w:r>
              <w:t>7.76</w:t>
            </w:r>
          </w:p>
        </w:tc>
        <w:tc>
          <w:tcPr>
            <w:tcW w:w="236" w:type="pct"/>
            <w:tcBorders>
              <w:top w:val="single" w:sz="4" w:space="0" w:color="auto"/>
              <w:left w:val="single" w:sz="4" w:space="0" w:color="auto"/>
              <w:bottom w:val="single" w:sz="4" w:space="0" w:color="auto"/>
              <w:right w:val="single" w:sz="4" w:space="0" w:color="auto"/>
            </w:tcBorders>
          </w:tcPr>
          <w:p w14:paraId="0CDCFA2D" w14:textId="77777777" w:rsidR="002E474C" w:rsidRDefault="00000000">
            <w:pPr>
              <w:pStyle w:val="A-"/>
            </w:pPr>
            <w:r>
              <w:t>4.6</w:t>
            </w:r>
          </w:p>
        </w:tc>
        <w:tc>
          <w:tcPr>
            <w:tcW w:w="236" w:type="pct"/>
            <w:tcBorders>
              <w:top w:val="single" w:sz="4" w:space="0" w:color="auto"/>
              <w:left w:val="single" w:sz="4" w:space="0" w:color="auto"/>
              <w:bottom w:val="single" w:sz="4" w:space="0" w:color="auto"/>
              <w:right w:val="single" w:sz="4" w:space="0" w:color="auto"/>
            </w:tcBorders>
          </w:tcPr>
          <w:p w14:paraId="14763BCF" w14:textId="77777777" w:rsidR="002E474C" w:rsidRDefault="00000000">
            <w:pPr>
              <w:pStyle w:val="A-"/>
            </w:pPr>
            <w:r>
              <w:t>4.74</w:t>
            </w:r>
          </w:p>
        </w:tc>
        <w:tc>
          <w:tcPr>
            <w:tcW w:w="236" w:type="pct"/>
            <w:tcBorders>
              <w:top w:val="single" w:sz="4" w:space="0" w:color="auto"/>
              <w:left w:val="single" w:sz="4" w:space="0" w:color="auto"/>
              <w:bottom w:val="single" w:sz="4" w:space="0" w:color="auto"/>
              <w:right w:val="single" w:sz="4" w:space="0" w:color="auto"/>
            </w:tcBorders>
          </w:tcPr>
          <w:p w14:paraId="16E1352A" w14:textId="77777777" w:rsidR="002E474C" w:rsidRDefault="00000000">
            <w:pPr>
              <w:pStyle w:val="A-"/>
            </w:pPr>
            <w:r>
              <w:t>5.6</w:t>
            </w:r>
          </w:p>
        </w:tc>
        <w:tc>
          <w:tcPr>
            <w:tcW w:w="266" w:type="pct"/>
            <w:tcBorders>
              <w:top w:val="single" w:sz="4" w:space="0" w:color="auto"/>
              <w:left w:val="single" w:sz="4" w:space="0" w:color="auto"/>
              <w:bottom w:val="single" w:sz="4" w:space="0" w:color="auto"/>
              <w:right w:val="single" w:sz="4" w:space="0" w:color="auto"/>
            </w:tcBorders>
          </w:tcPr>
          <w:p w14:paraId="58C1523D" w14:textId="77777777" w:rsidR="002E474C" w:rsidRDefault="00000000">
            <w:pPr>
              <w:pStyle w:val="A-"/>
            </w:pPr>
            <w:r>
              <w:t>3.16</w:t>
            </w:r>
          </w:p>
        </w:tc>
        <w:tc>
          <w:tcPr>
            <w:tcW w:w="283" w:type="pct"/>
            <w:tcBorders>
              <w:top w:val="single" w:sz="4" w:space="0" w:color="auto"/>
              <w:left w:val="single" w:sz="4" w:space="0" w:color="auto"/>
              <w:bottom w:val="single" w:sz="4" w:space="0" w:color="auto"/>
              <w:right w:val="single" w:sz="4" w:space="0" w:color="auto"/>
            </w:tcBorders>
          </w:tcPr>
          <w:p w14:paraId="0B7CE107" w14:textId="77777777" w:rsidR="002E474C" w:rsidRDefault="00000000">
            <w:pPr>
              <w:pStyle w:val="A-"/>
            </w:pPr>
            <w:r>
              <w:t>3.16</w:t>
            </w:r>
          </w:p>
        </w:tc>
        <w:tc>
          <w:tcPr>
            <w:tcW w:w="295" w:type="pct"/>
            <w:tcBorders>
              <w:top w:val="single" w:sz="4" w:space="0" w:color="auto"/>
              <w:left w:val="single" w:sz="4" w:space="0" w:color="auto"/>
              <w:bottom w:val="single" w:sz="4" w:space="0" w:color="auto"/>
              <w:right w:val="single" w:sz="4" w:space="0" w:color="auto"/>
            </w:tcBorders>
          </w:tcPr>
          <w:p w14:paraId="50D18E7A" w14:textId="77777777" w:rsidR="002E474C" w:rsidRDefault="00000000">
            <w:pPr>
              <w:pStyle w:val="A-"/>
            </w:pPr>
            <w:r>
              <w:t>2.44</w:t>
            </w:r>
          </w:p>
        </w:tc>
        <w:tc>
          <w:tcPr>
            <w:tcW w:w="236" w:type="pct"/>
            <w:tcBorders>
              <w:top w:val="single" w:sz="4" w:space="0" w:color="auto"/>
              <w:left w:val="single" w:sz="4" w:space="0" w:color="auto"/>
              <w:bottom w:val="single" w:sz="4" w:space="0" w:color="auto"/>
              <w:right w:val="single" w:sz="4" w:space="0" w:color="auto"/>
            </w:tcBorders>
          </w:tcPr>
          <w:p w14:paraId="1253BC5C" w14:textId="77777777" w:rsidR="002E474C" w:rsidRDefault="00000000">
            <w:pPr>
              <w:pStyle w:val="A-"/>
            </w:pPr>
            <w:r>
              <w:t>3.74</w:t>
            </w:r>
          </w:p>
        </w:tc>
        <w:tc>
          <w:tcPr>
            <w:tcW w:w="310" w:type="pct"/>
            <w:tcBorders>
              <w:top w:val="single" w:sz="4" w:space="0" w:color="auto"/>
              <w:left w:val="single" w:sz="4" w:space="0" w:color="auto"/>
              <w:bottom w:val="single" w:sz="4" w:space="0" w:color="auto"/>
              <w:right w:val="single" w:sz="4" w:space="0" w:color="auto"/>
            </w:tcBorders>
          </w:tcPr>
          <w:p w14:paraId="316DC753" w14:textId="77777777" w:rsidR="002E474C" w:rsidRDefault="00000000">
            <w:pPr>
              <w:pStyle w:val="A-"/>
            </w:pPr>
            <w:r>
              <w:t>1.72</w:t>
            </w:r>
          </w:p>
        </w:tc>
        <w:tc>
          <w:tcPr>
            <w:tcW w:w="236" w:type="pct"/>
            <w:tcBorders>
              <w:top w:val="single" w:sz="4" w:space="0" w:color="auto"/>
              <w:left w:val="single" w:sz="4" w:space="0" w:color="auto"/>
              <w:bottom w:val="single" w:sz="4" w:space="0" w:color="auto"/>
              <w:right w:val="single" w:sz="4" w:space="0" w:color="auto"/>
            </w:tcBorders>
          </w:tcPr>
          <w:p w14:paraId="5B8493F1" w14:textId="77777777" w:rsidR="002E474C" w:rsidRDefault="00000000">
            <w:pPr>
              <w:pStyle w:val="A-"/>
            </w:pPr>
            <w:r>
              <w:t>4.45</w:t>
            </w:r>
          </w:p>
        </w:tc>
        <w:tc>
          <w:tcPr>
            <w:tcW w:w="290" w:type="pct"/>
            <w:tcBorders>
              <w:top w:val="single" w:sz="4" w:space="0" w:color="auto"/>
              <w:left w:val="single" w:sz="4" w:space="0" w:color="auto"/>
              <w:bottom w:val="single" w:sz="4" w:space="0" w:color="auto"/>
              <w:right w:val="single" w:sz="4" w:space="0" w:color="auto"/>
            </w:tcBorders>
          </w:tcPr>
          <w:p w14:paraId="082C67C2" w14:textId="77777777" w:rsidR="002E474C" w:rsidRDefault="00000000">
            <w:pPr>
              <w:pStyle w:val="A-"/>
            </w:pPr>
            <w:r>
              <w:t>6.61</w:t>
            </w:r>
          </w:p>
        </w:tc>
        <w:tc>
          <w:tcPr>
            <w:tcW w:w="236" w:type="pct"/>
            <w:tcBorders>
              <w:top w:val="single" w:sz="4" w:space="0" w:color="auto"/>
              <w:left w:val="single" w:sz="4" w:space="0" w:color="auto"/>
              <w:bottom w:val="single" w:sz="4" w:space="0" w:color="auto"/>
              <w:right w:val="single" w:sz="4" w:space="0" w:color="auto"/>
            </w:tcBorders>
          </w:tcPr>
          <w:p w14:paraId="2A9543D6" w14:textId="77777777" w:rsidR="002E474C" w:rsidRDefault="00000000">
            <w:pPr>
              <w:pStyle w:val="A-"/>
            </w:pPr>
            <w:r>
              <w:t>0.14</w:t>
            </w:r>
          </w:p>
        </w:tc>
      </w:tr>
      <w:tr w:rsidR="002E474C" w14:paraId="4AA24CDA" w14:textId="77777777">
        <w:tc>
          <w:tcPr>
            <w:tcW w:w="384" w:type="pct"/>
            <w:tcBorders>
              <w:top w:val="single" w:sz="4" w:space="0" w:color="auto"/>
              <w:left w:val="single" w:sz="4" w:space="0" w:color="auto"/>
              <w:bottom w:val="single" w:sz="4" w:space="0" w:color="auto"/>
              <w:right w:val="single" w:sz="4" w:space="0" w:color="auto"/>
            </w:tcBorders>
          </w:tcPr>
          <w:p w14:paraId="41785CE6" w14:textId="77777777" w:rsidR="002E474C" w:rsidRDefault="00000000">
            <w:pPr>
              <w:pStyle w:val="A-"/>
            </w:pPr>
            <w:r>
              <w:t>三月</w:t>
            </w:r>
          </w:p>
        </w:tc>
        <w:tc>
          <w:tcPr>
            <w:tcW w:w="418" w:type="pct"/>
            <w:tcBorders>
              <w:top w:val="single" w:sz="4" w:space="0" w:color="auto"/>
              <w:left w:val="single" w:sz="4" w:space="0" w:color="auto"/>
              <w:bottom w:val="single" w:sz="4" w:space="0" w:color="auto"/>
              <w:right w:val="single" w:sz="4" w:space="0" w:color="auto"/>
            </w:tcBorders>
          </w:tcPr>
          <w:p w14:paraId="4190C377" w14:textId="77777777" w:rsidR="002E474C" w:rsidRDefault="00000000">
            <w:pPr>
              <w:pStyle w:val="A-"/>
            </w:pPr>
            <w:r>
              <w:t>14.11</w:t>
            </w:r>
          </w:p>
        </w:tc>
        <w:tc>
          <w:tcPr>
            <w:tcW w:w="279" w:type="pct"/>
            <w:tcBorders>
              <w:top w:val="single" w:sz="4" w:space="0" w:color="auto"/>
              <w:left w:val="single" w:sz="4" w:space="0" w:color="auto"/>
              <w:bottom w:val="single" w:sz="4" w:space="0" w:color="auto"/>
              <w:right w:val="single" w:sz="4" w:space="0" w:color="auto"/>
            </w:tcBorders>
          </w:tcPr>
          <w:p w14:paraId="69A772E3" w14:textId="77777777" w:rsidR="002E474C" w:rsidRDefault="00000000">
            <w:pPr>
              <w:pStyle w:val="A-"/>
            </w:pPr>
            <w:r>
              <w:t>9.95</w:t>
            </w:r>
          </w:p>
        </w:tc>
        <w:tc>
          <w:tcPr>
            <w:tcW w:w="236" w:type="pct"/>
            <w:tcBorders>
              <w:top w:val="single" w:sz="4" w:space="0" w:color="auto"/>
              <w:left w:val="single" w:sz="4" w:space="0" w:color="auto"/>
              <w:bottom w:val="single" w:sz="4" w:space="0" w:color="auto"/>
              <w:right w:val="single" w:sz="4" w:space="0" w:color="auto"/>
            </w:tcBorders>
          </w:tcPr>
          <w:p w14:paraId="57EF5351" w14:textId="77777777" w:rsidR="002E474C" w:rsidRDefault="00000000">
            <w:pPr>
              <w:pStyle w:val="A-"/>
            </w:pPr>
            <w:r>
              <w:t>5.51</w:t>
            </w:r>
          </w:p>
        </w:tc>
        <w:tc>
          <w:tcPr>
            <w:tcW w:w="259" w:type="pct"/>
            <w:tcBorders>
              <w:top w:val="single" w:sz="4" w:space="0" w:color="auto"/>
              <w:left w:val="single" w:sz="4" w:space="0" w:color="auto"/>
              <w:bottom w:val="single" w:sz="4" w:space="0" w:color="auto"/>
              <w:right w:val="single" w:sz="4" w:space="0" w:color="auto"/>
            </w:tcBorders>
          </w:tcPr>
          <w:p w14:paraId="135C3700" w14:textId="77777777" w:rsidR="002E474C" w:rsidRDefault="00000000">
            <w:pPr>
              <w:pStyle w:val="A-"/>
            </w:pPr>
            <w:r>
              <w:t>6.99</w:t>
            </w:r>
          </w:p>
        </w:tc>
        <w:tc>
          <w:tcPr>
            <w:tcW w:w="285" w:type="pct"/>
            <w:tcBorders>
              <w:top w:val="single" w:sz="4" w:space="0" w:color="auto"/>
              <w:left w:val="single" w:sz="4" w:space="0" w:color="auto"/>
              <w:bottom w:val="single" w:sz="4" w:space="0" w:color="auto"/>
              <w:right w:val="single" w:sz="4" w:space="0" w:color="auto"/>
            </w:tcBorders>
          </w:tcPr>
          <w:p w14:paraId="53B6B60B" w14:textId="77777777" w:rsidR="002E474C" w:rsidRDefault="00000000">
            <w:pPr>
              <w:pStyle w:val="A-"/>
            </w:pPr>
            <w:r>
              <w:t>15.32</w:t>
            </w:r>
          </w:p>
        </w:tc>
        <w:tc>
          <w:tcPr>
            <w:tcW w:w="279" w:type="pct"/>
            <w:tcBorders>
              <w:top w:val="single" w:sz="4" w:space="0" w:color="auto"/>
              <w:left w:val="single" w:sz="4" w:space="0" w:color="auto"/>
              <w:bottom w:val="single" w:sz="4" w:space="0" w:color="auto"/>
              <w:right w:val="single" w:sz="4" w:space="0" w:color="auto"/>
            </w:tcBorders>
          </w:tcPr>
          <w:p w14:paraId="2372A2EF" w14:textId="77777777" w:rsidR="002E474C" w:rsidRDefault="00000000">
            <w:pPr>
              <w:pStyle w:val="A-"/>
            </w:pPr>
            <w:r>
              <w:t>6.99</w:t>
            </w:r>
          </w:p>
        </w:tc>
        <w:tc>
          <w:tcPr>
            <w:tcW w:w="236" w:type="pct"/>
            <w:tcBorders>
              <w:top w:val="single" w:sz="4" w:space="0" w:color="auto"/>
              <w:left w:val="single" w:sz="4" w:space="0" w:color="auto"/>
              <w:bottom w:val="single" w:sz="4" w:space="0" w:color="auto"/>
              <w:right w:val="single" w:sz="4" w:space="0" w:color="auto"/>
            </w:tcBorders>
          </w:tcPr>
          <w:p w14:paraId="7FE1639E" w14:textId="77777777" w:rsidR="002E474C" w:rsidRDefault="00000000">
            <w:pPr>
              <w:pStyle w:val="A-"/>
            </w:pPr>
            <w:r>
              <w:t>7.39</w:t>
            </w:r>
          </w:p>
        </w:tc>
        <w:tc>
          <w:tcPr>
            <w:tcW w:w="236" w:type="pct"/>
            <w:tcBorders>
              <w:top w:val="single" w:sz="4" w:space="0" w:color="auto"/>
              <w:left w:val="single" w:sz="4" w:space="0" w:color="auto"/>
              <w:bottom w:val="single" w:sz="4" w:space="0" w:color="auto"/>
              <w:right w:val="single" w:sz="4" w:space="0" w:color="auto"/>
            </w:tcBorders>
          </w:tcPr>
          <w:p w14:paraId="04B79877" w14:textId="77777777" w:rsidR="002E474C" w:rsidRDefault="00000000">
            <w:pPr>
              <w:pStyle w:val="A-"/>
            </w:pPr>
            <w:r>
              <w:t>4.7</w:t>
            </w:r>
          </w:p>
        </w:tc>
        <w:tc>
          <w:tcPr>
            <w:tcW w:w="236" w:type="pct"/>
            <w:tcBorders>
              <w:top w:val="single" w:sz="4" w:space="0" w:color="auto"/>
              <w:left w:val="single" w:sz="4" w:space="0" w:color="auto"/>
              <w:bottom w:val="single" w:sz="4" w:space="0" w:color="auto"/>
              <w:right w:val="single" w:sz="4" w:space="0" w:color="auto"/>
            </w:tcBorders>
          </w:tcPr>
          <w:p w14:paraId="1260CEA5" w14:textId="77777777" w:rsidR="002E474C" w:rsidRDefault="00000000">
            <w:pPr>
              <w:pStyle w:val="A-"/>
            </w:pPr>
            <w:r>
              <w:t>5.51</w:t>
            </w:r>
          </w:p>
        </w:tc>
        <w:tc>
          <w:tcPr>
            <w:tcW w:w="266" w:type="pct"/>
            <w:tcBorders>
              <w:top w:val="single" w:sz="4" w:space="0" w:color="auto"/>
              <w:left w:val="single" w:sz="4" w:space="0" w:color="auto"/>
              <w:bottom w:val="single" w:sz="4" w:space="0" w:color="auto"/>
              <w:right w:val="single" w:sz="4" w:space="0" w:color="auto"/>
            </w:tcBorders>
          </w:tcPr>
          <w:p w14:paraId="26E4595F" w14:textId="77777777" w:rsidR="002E474C" w:rsidRDefault="00000000">
            <w:pPr>
              <w:pStyle w:val="A-"/>
            </w:pPr>
            <w:r>
              <w:t>2.69</w:t>
            </w:r>
          </w:p>
        </w:tc>
        <w:tc>
          <w:tcPr>
            <w:tcW w:w="283" w:type="pct"/>
            <w:tcBorders>
              <w:top w:val="single" w:sz="4" w:space="0" w:color="auto"/>
              <w:left w:val="single" w:sz="4" w:space="0" w:color="auto"/>
              <w:bottom w:val="single" w:sz="4" w:space="0" w:color="auto"/>
              <w:right w:val="single" w:sz="4" w:space="0" w:color="auto"/>
            </w:tcBorders>
          </w:tcPr>
          <w:p w14:paraId="21456BA7" w14:textId="77777777" w:rsidR="002E474C" w:rsidRDefault="00000000">
            <w:pPr>
              <w:pStyle w:val="A-"/>
            </w:pPr>
            <w:r>
              <w:t>3.49</w:t>
            </w:r>
          </w:p>
        </w:tc>
        <w:tc>
          <w:tcPr>
            <w:tcW w:w="295" w:type="pct"/>
            <w:tcBorders>
              <w:top w:val="single" w:sz="4" w:space="0" w:color="auto"/>
              <w:left w:val="single" w:sz="4" w:space="0" w:color="auto"/>
              <w:bottom w:val="single" w:sz="4" w:space="0" w:color="auto"/>
              <w:right w:val="single" w:sz="4" w:space="0" w:color="auto"/>
            </w:tcBorders>
          </w:tcPr>
          <w:p w14:paraId="7F3FACD9" w14:textId="77777777" w:rsidR="002E474C" w:rsidRDefault="00000000">
            <w:pPr>
              <w:pStyle w:val="A-"/>
            </w:pPr>
            <w:r>
              <w:t>2.15</w:t>
            </w:r>
          </w:p>
        </w:tc>
        <w:tc>
          <w:tcPr>
            <w:tcW w:w="236" w:type="pct"/>
            <w:tcBorders>
              <w:top w:val="single" w:sz="4" w:space="0" w:color="auto"/>
              <w:left w:val="single" w:sz="4" w:space="0" w:color="auto"/>
              <w:bottom w:val="single" w:sz="4" w:space="0" w:color="auto"/>
              <w:right w:val="single" w:sz="4" w:space="0" w:color="auto"/>
            </w:tcBorders>
          </w:tcPr>
          <w:p w14:paraId="48D6F01A" w14:textId="77777777" w:rsidR="002E474C" w:rsidRDefault="00000000">
            <w:pPr>
              <w:pStyle w:val="A-"/>
            </w:pPr>
            <w:r>
              <w:t>1.48</w:t>
            </w:r>
          </w:p>
        </w:tc>
        <w:tc>
          <w:tcPr>
            <w:tcW w:w="310" w:type="pct"/>
            <w:tcBorders>
              <w:top w:val="single" w:sz="4" w:space="0" w:color="auto"/>
              <w:left w:val="single" w:sz="4" w:space="0" w:color="auto"/>
              <w:bottom w:val="single" w:sz="4" w:space="0" w:color="auto"/>
              <w:right w:val="single" w:sz="4" w:space="0" w:color="auto"/>
            </w:tcBorders>
          </w:tcPr>
          <w:p w14:paraId="78C5E53E" w14:textId="77777777" w:rsidR="002E474C" w:rsidRDefault="00000000">
            <w:pPr>
              <w:pStyle w:val="A-"/>
            </w:pPr>
            <w:r>
              <w:t>3.23</w:t>
            </w:r>
          </w:p>
        </w:tc>
        <w:tc>
          <w:tcPr>
            <w:tcW w:w="236" w:type="pct"/>
            <w:tcBorders>
              <w:top w:val="single" w:sz="4" w:space="0" w:color="auto"/>
              <w:left w:val="single" w:sz="4" w:space="0" w:color="auto"/>
              <w:bottom w:val="single" w:sz="4" w:space="0" w:color="auto"/>
              <w:right w:val="single" w:sz="4" w:space="0" w:color="auto"/>
            </w:tcBorders>
          </w:tcPr>
          <w:p w14:paraId="5AF86685" w14:textId="77777777" w:rsidR="002E474C" w:rsidRDefault="00000000">
            <w:pPr>
              <w:pStyle w:val="A-"/>
            </w:pPr>
            <w:r>
              <w:t>3.9</w:t>
            </w:r>
          </w:p>
        </w:tc>
        <w:tc>
          <w:tcPr>
            <w:tcW w:w="290" w:type="pct"/>
            <w:tcBorders>
              <w:top w:val="single" w:sz="4" w:space="0" w:color="auto"/>
              <w:left w:val="single" w:sz="4" w:space="0" w:color="auto"/>
              <w:bottom w:val="single" w:sz="4" w:space="0" w:color="auto"/>
              <w:right w:val="single" w:sz="4" w:space="0" w:color="auto"/>
            </w:tcBorders>
          </w:tcPr>
          <w:p w14:paraId="0681E4D8" w14:textId="77777777" w:rsidR="002E474C" w:rsidRDefault="00000000">
            <w:pPr>
              <w:pStyle w:val="A-"/>
            </w:pPr>
            <w:r>
              <w:t>6.59</w:t>
            </w:r>
          </w:p>
        </w:tc>
        <w:tc>
          <w:tcPr>
            <w:tcW w:w="236" w:type="pct"/>
            <w:tcBorders>
              <w:top w:val="single" w:sz="4" w:space="0" w:color="auto"/>
              <w:left w:val="single" w:sz="4" w:space="0" w:color="auto"/>
              <w:bottom w:val="single" w:sz="4" w:space="0" w:color="auto"/>
              <w:right w:val="single" w:sz="4" w:space="0" w:color="auto"/>
            </w:tcBorders>
          </w:tcPr>
          <w:p w14:paraId="4034F4DB" w14:textId="77777777" w:rsidR="002E474C" w:rsidRDefault="00000000">
            <w:pPr>
              <w:pStyle w:val="A-"/>
            </w:pPr>
            <w:r>
              <w:t>0</w:t>
            </w:r>
          </w:p>
        </w:tc>
      </w:tr>
      <w:tr w:rsidR="002E474C" w14:paraId="279D7961" w14:textId="77777777">
        <w:tc>
          <w:tcPr>
            <w:tcW w:w="384" w:type="pct"/>
            <w:tcBorders>
              <w:top w:val="single" w:sz="4" w:space="0" w:color="auto"/>
              <w:left w:val="single" w:sz="4" w:space="0" w:color="auto"/>
              <w:bottom w:val="single" w:sz="4" w:space="0" w:color="auto"/>
              <w:right w:val="single" w:sz="4" w:space="0" w:color="auto"/>
            </w:tcBorders>
          </w:tcPr>
          <w:p w14:paraId="4F6B121F" w14:textId="77777777" w:rsidR="002E474C" w:rsidRDefault="00000000">
            <w:pPr>
              <w:pStyle w:val="A-"/>
            </w:pPr>
            <w:r>
              <w:t>四月</w:t>
            </w:r>
          </w:p>
        </w:tc>
        <w:tc>
          <w:tcPr>
            <w:tcW w:w="418" w:type="pct"/>
            <w:tcBorders>
              <w:top w:val="single" w:sz="4" w:space="0" w:color="auto"/>
              <w:left w:val="single" w:sz="4" w:space="0" w:color="auto"/>
              <w:bottom w:val="single" w:sz="4" w:space="0" w:color="auto"/>
              <w:right w:val="single" w:sz="4" w:space="0" w:color="auto"/>
            </w:tcBorders>
          </w:tcPr>
          <w:p w14:paraId="59A321AD" w14:textId="77777777" w:rsidR="002E474C" w:rsidRDefault="00000000">
            <w:pPr>
              <w:pStyle w:val="A-"/>
            </w:pPr>
            <w:r>
              <w:t>10.69</w:t>
            </w:r>
          </w:p>
        </w:tc>
        <w:tc>
          <w:tcPr>
            <w:tcW w:w="279" w:type="pct"/>
            <w:tcBorders>
              <w:top w:val="single" w:sz="4" w:space="0" w:color="auto"/>
              <w:left w:val="single" w:sz="4" w:space="0" w:color="auto"/>
              <w:bottom w:val="single" w:sz="4" w:space="0" w:color="auto"/>
              <w:right w:val="single" w:sz="4" w:space="0" w:color="auto"/>
            </w:tcBorders>
          </w:tcPr>
          <w:p w14:paraId="624FD1B2" w14:textId="77777777" w:rsidR="002E474C" w:rsidRDefault="00000000">
            <w:pPr>
              <w:pStyle w:val="A-"/>
            </w:pPr>
            <w:r>
              <w:t>5.28</w:t>
            </w:r>
          </w:p>
        </w:tc>
        <w:tc>
          <w:tcPr>
            <w:tcW w:w="236" w:type="pct"/>
            <w:tcBorders>
              <w:top w:val="single" w:sz="4" w:space="0" w:color="auto"/>
              <w:left w:val="single" w:sz="4" w:space="0" w:color="auto"/>
              <w:bottom w:val="single" w:sz="4" w:space="0" w:color="auto"/>
              <w:right w:val="single" w:sz="4" w:space="0" w:color="auto"/>
            </w:tcBorders>
          </w:tcPr>
          <w:p w14:paraId="2B2C906D" w14:textId="77777777" w:rsidR="002E474C" w:rsidRDefault="00000000">
            <w:pPr>
              <w:pStyle w:val="A-"/>
            </w:pPr>
            <w:r>
              <w:t>7.22</w:t>
            </w:r>
          </w:p>
        </w:tc>
        <w:tc>
          <w:tcPr>
            <w:tcW w:w="259" w:type="pct"/>
            <w:tcBorders>
              <w:top w:val="single" w:sz="4" w:space="0" w:color="auto"/>
              <w:left w:val="single" w:sz="4" w:space="0" w:color="auto"/>
              <w:bottom w:val="single" w:sz="4" w:space="0" w:color="auto"/>
              <w:right w:val="single" w:sz="4" w:space="0" w:color="auto"/>
            </w:tcBorders>
          </w:tcPr>
          <w:p w14:paraId="67AD7B9D" w14:textId="77777777" w:rsidR="002E474C" w:rsidRDefault="00000000">
            <w:pPr>
              <w:pStyle w:val="A-"/>
            </w:pPr>
            <w:r>
              <w:t>8.33</w:t>
            </w:r>
          </w:p>
        </w:tc>
        <w:tc>
          <w:tcPr>
            <w:tcW w:w="285" w:type="pct"/>
            <w:tcBorders>
              <w:top w:val="single" w:sz="4" w:space="0" w:color="auto"/>
              <w:left w:val="single" w:sz="4" w:space="0" w:color="auto"/>
              <w:bottom w:val="single" w:sz="4" w:space="0" w:color="auto"/>
              <w:right w:val="single" w:sz="4" w:space="0" w:color="auto"/>
            </w:tcBorders>
          </w:tcPr>
          <w:p w14:paraId="056C23F5" w14:textId="77777777" w:rsidR="002E474C" w:rsidRDefault="00000000">
            <w:pPr>
              <w:pStyle w:val="A-"/>
            </w:pPr>
            <w:r>
              <w:t>18.61</w:t>
            </w:r>
          </w:p>
        </w:tc>
        <w:tc>
          <w:tcPr>
            <w:tcW w:w="279" w:type="pct"/>
            <w:tcBorders>
              <w:top w:val="single" w:sz="4" w:space="0" w:color="auto"/>
              <w:left w:val="single" w:sz="4" w:space="0" w:color="auto"/>
              <w:bottom w:val="single" w:sz="4" w:space="0" w:color="auto"/>
              <w:right w:val="single" w:sz="4" w:space="0" w:color="auto"/>
            </w:tcBorders>
          </w:tcPr>
          <w:p w14:paraId="20AC3364" w14:textId="77777777" w:rsidR="002E474C" w:rsidRDefault="00000000">
            <w:pPr>
              <w:pStyle w:val="A-"/>
            </w:pPr>
            <w:r>
              <w:t>10.42</w:t>
            </w:r>
          </w:p>
        </w:tc>
        <w:tc>
          <w:tcPr>
            <w:tcW w:w="236" w:type="pct"/>
            <w:tcBorders>
              <w:top w:val="single" w:sz="4" w:space="0" w:color="auto"/>
              <w:left w:val="single" w:sz="4" w:space="0" w:color="auto"/>
              <w:bottom w:val="single" w:sz="4" w:space="0" w:color="auto"/>
              <w:right w:val="single" w:sz="4" w:space="0" w:color="auto"/>
            </w:tcBorders>
          </w:tcPr>
          <w:p w14:paraId="093C3E73" w14:textId="77777777" w:rsidR="002E474C" w:rsidRDefault="00000000">
            <w:pPr>
              <w:pStyle w:val="A-"/>
            </w:pPr>
            <w:r>
              <w:t>5.42</w:t>
            </w:r>
          </w:p>
        </w:tc>
        <w:tc>
          <w:tcPr>
            <w:tcW w:w="236" w:type="pct"/>
            <w:tcBorders>
              <w:top w:val="single" w:sz="4" w:space="0" w:color="auto"/>
              <w:left w:val="single" w:sz="4" w:space="0" w:color="auto"/>
              <w:bottom w:val="single" w:sz="4" w:space="0" w:color="auto"/>
              <w:right w:val="single" w:sz="4" w:space="0" w:color="auto"/>
            </w:tcBorders>
          </w:tcPr>
          <w:p w14:paraId="67348151" w14:textId="77777777" w:rsidR="002E474C" w:rsidRDefault="00000000">
            <w:pPr>
              <w:pStyle w:val="A-"/>
            </w:pPr>
            <w:r>
              <w:t>3.19</w:t>
            </w:r>
          </w:p>
        </w:tc>
        <w:tc>
          <w:tcPr>
            <w:tcW w:w="236" w:type="pct"/>
            <w:tcBorders>
              <w:top w:val="single" w:sz="4" w:space="0" w:color="auto"/>
              <w:left w:val="single" w:sz="4" w:space="0" w:color="auto"/>
              <w:bottom w:val="single" w:sz="4" w:space="0" w:color="auto"/>
              <w:right w:val="single" w:sz="4" w:space="0" w:color="auto"/>
            </w:tcBorders>
          </w:tcPr>
          <w:p w14:paraId="6451DB76" w14:textId="77777777" w:rsidR="002E474C" w:rsidRDefault="00000000">
            <w:pPr>
              <w:pStyle w:val="A-"/>
            </w:pPr>
            <w:r>
              <w:t>4.86</w:t>
            </w:r>
          </w:p>
        </w:tc>
        <w:tc>
          <w:tcPr>
            <w:tcW w:w="266" w:type="pct"/>
            <w:tcBorders>
              <w:top w:val="single" w:sz="4" w:space="0" w:color="auto"/>
              <w:left w:val="single" w:sz="4" w:space="0" w:color="auto"/>
              <w:bottom w:val="single" w:sz="4" w:space="0" w:color="auto"/>
              <w:right w:val="single" w:sz="4" w:space="0" w:color="auto"/>
            </w:tcBorders>
          </w:tcPr>
          <w:p w14:paraId="335D324F" w14:textId="77777777" w:rsidR="002E474C" w:rsidRDefault="00000000">
            <w:pPr>
              <w:pStyle w:val="A-"/>
            </w:pPr>
            <w:r>
              <w:t>4.17</w:t>
            </w:r>
          </w:p>
        </w:tc>
        <w:tc>
          <w:tcPr>
            <w:tcW w:w="283" w:type="pct"/>
            <w:tcBorders>
              <w:top w:val="single" w:sz="4" w:space="0" w:color="auto"/>
              <w:left w:val="single" w:sz="4" w:space="0" w:color="auto"/>
              <w:bottom w:val="single" w:sz="4" w:space="0" w:color="auto"/>
              <w:right w:val="single" w:sz="4" w:space="0" w:color="auto"/>
            </w:tcBorders>
          </w:tcPr>
          <w:p w14:paraId="195FBE85" w14:textId="77777777" w:rsidR="002E474C" w:rsidRDefault="00000000">
            <w:pPr>
              <w:pStyle w:val="A-"/>
            </w:pPr>
            <w:r>
              <w:t>2.36</w:t>
            </w:r>
          </w:p>
        </w:tc>
        <w:tc>
          <w:tcPr>
            <w:tcW w:w="295" w:type="pct"/>
            <w:tcBorders>
              <w:top w:val="single" w:sz="4" w:space="0" w:color="auto"/>
              <w:left w:val="single" w:sz="4" w:space="0" w:color="auto"/>
              <w:bottom w:val="single" w:sz="4" w:space="0" w:color="auto"/>
              <w:right w:val="single" w:sz="4" w:space="0" w:color="auto"/>
            </w:tcBorders>
          </w:tcPr>
          <w:p w14:paraId="091CA22D" w14:textId="77777777" w:rsidR="002E474C" w:rsidRDefault="00000000">
            <w:pPr>
              <w:pStyle w:val="A-"/>
            </w:pPr>
            <w:r>
              <w:t>1.53</w:t>
            </w:r>
          </w:p>
        </w:tc>
        <w:tc>
          <w:tcPr>
            <w:tcW w:w="236" w:type="pct"/>
            <w:tcBorders>
              <w:top w:val="single" w:sz="4" w:space="0" w:color="auto"/>
              <w:left w:val="single" w:sz="4" w:space="0" w:color="auto"/>
              <w:bottom w:val="single" w:sz="4" w:space="0" w:color="auto"/>
              <w:right w:val="single" w:sz="4" w:space="0" w:color="auto"/>
            </w:tcBorders>
          </w:tcPr>
          <w:p w14:paraId="2A86521E" w14:textId="77777777" w:rsidR="002E474C" w:rsidRDefault="00000000">
            <w:pPr>
              <w:pStyle w:val="A-"/>
            </w:pPr>
            <w:r>
              <w:t>5.42</w:t>
            </w:r>
          </w:p>
        </w:tc>
        <w:tc>
          <w:tcPr>
            <w:tcW w:w="310" w:type="pct"/>
            <w:tcBorders>
              <w:top w:val="single" w:sz="4" w:space="0" w:color="auto"/>
              <w:left w:val="single" w:sz="4" w:space="0" w:color="auto"/>
              <w:bottom w:val="single" w:sz="4" w:space="0" w:color="auto"/>
              <w:right w:val="single" w:sz="4" w:space="0" w:color="auto"/>
            </w:tcBorders>
          </w:tcPr>
          <w:p w14:paraId="7E092475" w14:textId="77777777" w:rsidR="002E474C" w:rsidRDefault="00000000">
            <w:pPr>
              <w:pStyle w:val="A-"/>
            </w:pPr>
            <w:r>
              <w:t>2.92</w:t>
            </w:r>
          </w:p>
        </w:tc>
        <w:tc>
          <w:tcPr>
            <w:tcW w:w="236" w:type="pct"/>
            <w:tcBorders>
              <w:top w:val="single" w:sz="4" w:space="0" w:color="auto"/>
              <w:left w:val="single" w:sz="4" w:space="0" w:color="auto"/>
              <w:bottom w:val="single" w:sz="4" w:space="0" w:color="auto"/>
              <w:right w:val="single" w:sz="4" w:space="0" w:color="auto"/>
            </w:tcBorders>
          </w:tcPr>
          <w:p w14:paraId="3FC89B5C" w14:textId="77777777" w:rsidR="002E474C" w:rsidRDefault="00000000">
            <w:pPr>
              <w:pStyle w:val="A-"/>
            </w:pPr>
            <w:r>
              <w:t>4.58</w:t>
            </w:r>
          </w:p>
        </w:tc>
        <w:tc>
          <w:tcPr>
            <w:tcW w:w="290" w:type="pct"/>
            <w:tcBorders>
              <w:top w:val="single" w:sz="4" w:space="0" w:color="auto"/>
              <w:left w:val="single" w:sz="4" w:space="0" w:color="auto"/>
              <w:bottom w:val="single" w:sz="4" w:space="0" w:color="auto"/>
              <w:right w:val="single" w:sz="4" w:space="0" w:color="auto"/>
            </w:tcBorders>
          </w:tcPr>
          <w:p w14:paraId="0DFCDFD5" w14:textId="77777777" w:rsidR="002E474C" w:rsidRDefault="00000000">
            <w:pPr>
              <w:pStyle w:val="A-"/>
            </w:pPr>
            <w:r>
              <w:t>4.86</w:t>
            </w:r>
          </w:p>
        </w:tc>
        <w:tc>
          <w:tcPr>
            <w:tcW w:w="236" w:type="pct"/>
            <w:tcBorders>
              <w:top w:val="single" w:sz="4" w:space="0" w:color="auto"/>
              <w:left w:val="single" w:sz="4" w:space="0" w:color="auto"/>
              <w:bottom w:val="single" w:sz="4" w:space="0" w:color="auto"/>
              <w:right w:val="single" w:sz="4" w:space="0" w:color="auto"/>
            </w:tcBorders>
          </w:tcPr>
          <w:p w14:paraId="3923A5D4" w14:textId="77777777" w:rsidR="002E474C" w:rsidRDefault="00000000">
            <w:pPr>
              <w:pStyle w:val="A-"/>
            </w:pPr>
            <w:r>
              <w:t>0.14</w:t>
            </w:r>
          </w:p>
        </w:tc>
      </w:tr>
      <w:tr w:rsidR="002E474C" w14:paraId="3E846267" w14:textId="77777777">
        <w:tc>
          <w:tcPr>
            <w:tcW w:w="384" w:type="pct"/>
            <w:tcBorders>
              <w:top w:val="single" w:sz="4" w:space="0" w:color="auto"/>
              <w:left w:val="single" w:sz="4" w:space="0" w:color="auto"/>
              <w:bottom w:val="single" w:sz="4" w:space="0" w:color="auto"/>
              <w:right w:val="single" w:sz="4" w:space="0" w:color="auto"/>
            </w:tcBorders>
          </w:tcPr>
          <w:p w14:paraId="5F463D07" w14:textId="77777777" w:rsidR="002E474C" w:rsidRDefault="00000000">
            <w:pPr>
              <w:pStyle w:val="A-"/>
            </w:pPr>
            <w:r>
              <w:t>五月</w:t>
            </w:r>
          </w:p>
        </w:tc>
        <w:tc>
          <w:tcPr>
            <w:tcW w:w="418" w:type="pct"/>
            <w:tcBorders>
              <w:top w:val="single" w:sz="4" w:space="0" w:color="auto"/>
              <w:left w:val="single" w:sz="4" w:space="0" w:color="auto"/>
              <w:bottom w:val="single" w:sz="4" w:space="0" w:color="auto"/>
              <w:right w:val="single" w:sz="4" w:space="0" w:color="auto"/>
            </w:tcBorders>
          </w:tcPr>
          <w:p w14:paraId="24A017A0" w14:textId="77777777" w:rsidR="002E474C" w:rsidRDefault="00000000">
            <w:pPr>
              <w:pStyle w:val="A-"/>
            </w:pPr>
            <w:r>
              <w:t>8.87</w:t>
            </w:r>
          </w:p>
        </w:tc>
        <w:tc>
          <w:tcPr>
            <w:tcW w:w="279" w:type="pct"/>
            <w:tcBorders>
              <w:top w:val="single" w:sz="4" w:space="0" w:color="auto"/>
              <w:left w:val="single" w:sz="4" w:space="0" w:color="auto"/>
              <w:bottom w:val="single" w:sz="4" w:space="0" w:color="auto"/>
              <w:right w:val="single" w:sz="4" w:space="0" w:color="auto"/>
            </w:tcBorders>
          </w:tcPr>
          <w:p w14:paraId="2CB7260D" w14:textId="77777777" w:rsidR="002E474C" w:rsidRDefault="00000000">
            <w:pPr>
              <w:pStyle w:val="A-"/>
            </w:pPr>
            <w:r>
              <w:t>5.78</w:t>
            </w:r>
          </w:p>
        </w:tc>
        <w:tc>
          <w:tcPr>
            <w:tcW w:w="236" w:type="pct"/>
            <w:tcBorders>
              <w:top w:val="single" w:sz="4" w:space="0" w:color="auto"/>
              <w:left w:val="single" w:sz="4" w:space="0" w:color="auto"/>
              <w:bottom w:val="single" w:sz="4" w:space="0" w:color="auto"/>
              <w:right w:val="single" w:sz="4" w:space="0" w:color="auto"/>
            </w:tcBorders>
          </w:tcPr>
          <w:p w14:paraId="093B7ACC" w14:textId="77777777" w:rsidR="002E474C" w:rsidRDefault="00000000">
            <w:pPr>
              <w:pStyle w:val="A-"/>
            </w:pPr>
            <w:r>
              <w:t>5.91</w:t>
            </w:r>
          </w:p>
        </w:tc>
        <w:tc>
          <w:tcPr>
            <w:tcW w:w="259" w:type="pct"/>
            <w:tcBorders>
              <w:top w:val="single" w:sz="4" w:space="0" w:color="auto"/>
              <w:left w:val="single" w:sz="4" w:space="0" w:color="auto"/>
              <w:bottom w:val="single" w:sz="4" w:space="0" w:color="auto"/>
              <w:right w:val="single" w:sz="4" w:space="0" w:color="auto"/>
            </w:tcBorders>
          </w:tcPr>
          <w:p w14:paraId="49E28ED1" w14:textId="77777777" w:rsidR="002E474C" w:rsidRDefault="00000000">
            <w:pPr>
              <w:pStyle w:val="A-"/>
            </w:pPr>
            <w:r>
              <w:t>8.74</w:t>
            </w:r>
          </w:p>
        </w:tc>
        <w:tc>
          <w:tcPr>
            <w:tcW w:w="285" w:type="pct"/>
            <w:tcBorders>
              <w:top w:val="single" w:sz="4" w:space="0" w:color="auto"/>
              <w:left w:val="single" w:sz="4" w:space="0" w:color="auto"/>
              <w:bottom w:val="single" w:sz="4" w:space="0" w:color="auto"/>
              <w:right w:val="single" w:sz="4" w:space="0" w:color="auto"/>
            </w:tcBorders>
          </w:tcPr>
          <w:p w14:paraId="138DD64C" w14:textId="77777777" w:rsidR="002E474C" w:rsidRDefault="00000000">
            <w:pPr>
              <w:pStyle w:val="A-"/>
            </w:pPr>
            <w:r>
              <w:t>15.86</w:t>
            </w:r>
          </w:p>
        </w:tc>
        <w:tc>
          <w:tcPr>
            <w:tcW w:w="279" w:type="pct"/>
            <w:tcBorders>
              <w:top w:val="single" w:sz="4" w:space="0" w:color="auto"/>
              <w:left w:val="single" w:sz="4" w:space="0" w:color="auto"/>
              <w:bottom w:val="single" w:sz="4" w:space="0" w:color="auto"/>
              <w:right w:val="single" w:sz="4" w:space="0" w:color="auto"/>
            </w:tcBorders>
          </w:tcPr>
          <w:p w14:paraId="4362EA71" w14:textId="77777777" w:rsidR="002E474C" w:rsidRDefault="00000000">
            <w:pPr>
              <w:pStyle w:val="A-"/>
            </w:pPr>
            <w:r>
              <w:t>8.74</w:t>
            </w:r>
          </w:p>
        </w:tc>
        <w:tc>
          <w:tcPr>
            <w:tcW w:w="236" w:type="pct"/>
            <w:tcBorders>
              <w:top w:val="single" w:sz="4" w:space="0" w:color="auto"/>
              <w:left w:val="single" w:sz="4" w:space="0" w:color="auto"/>
              <w:bottom w:val="single" w:sz="4" w:space="0" w:color="auto"/>
              <w:right w:val="single" w:sz="4" w:space="0" w:color="auto"/>
            </w:tcBorders>
          </w:tcPr>
          <w:p w14:paraId="44C8B9CE" w14:textId="77777777" w:rsidR="002E474C" w:rsidRDefault="00000000">
            <w:pPr>
              <w:pStyle w:val="A-"/>
            </w:pPr>
            <w:r>
              <w:t>3.63</w:t>
            </w:r>
          </w:p>
        </w:tc>
        <w:tc>
          <w:tcPr>
            <w:tcW w:w="236" w:type="pct"/>
            <w:tcBorders>
              <w:top w:val="single" w:sz="4" w:space="0" w:color="auto"/>
              <w:left w:val="single" w:sz="4" w:space="0" w:color="auto"/>
              <w:bottom w:val="single" w:sz="4" w:space="0" w:color="auto"/>
              <w:right w:val="single" w:sz="4" w:space="0" w:color="auto"/>
            </w:tcBorders>
          </w:tcPr>
          <w:p w14:paraId="638CFBFC" w14:textId="77777777" w:rsidR="002E474C" w:rsidRDefault="00000000">
            <w:pPr>
              <w:pStyle w:val="A-"/>
            </w:pPr>
            <w:r>
              <w:t>2.28</w:t>
            </w:r>
          </w:p>
        </w:tc>
        <w:tc>
          <w:tcPr>
            <w:tcW w:w="236" w:type="pct"/>
            <w:tcBorders>
              <w:top w:val="single" w:sz="4" w:space="0" w:color="auto"/>
              <w:left w:val="single" w:sz="4" w:space="0" w:color="auto"/>
              <w:bottom w:val="single" w:sz="4" w:space="0" w:color="auto"/>
              <w:right w:val="single" w:sz="4" w:space="0" w:color="auto"/>
            </w:tcBorders>
          </w:tcPr>
          <w:p w14:paraId="32ABDED2" w14:textId="77777777" w:rsidR="002E474C" w:rsidRDefault="00000000">
            <w:pPr>
              <w:pStyle w:val="A-"/>
            </w:pPr>
            <w:r>
              <w:t>3.23</w:t>
            </w:r>
          </w:p>
        </w:tc>
        <w:tc>
          <w:tcPr>
            <w:tcW w:w="266" w:type="pct"/>
            <w:tcBorders>
              <w:top w:val="single" w:sz="4" w:space="0" w:color="auto"/>
              <w:left w:val="single" w:sz="4" w:space="0" w:color="auto"/>
              <w:bottom w:val="single" w:sz="4" w:space="0" w:color="auto"/>
              <w:right w:val="single" w:sz="4" w:space="0" w:color="auto"/>
            </w:tcBorders>
          </w:tcPr>
          <w:p w14:paraId="068FE3D4" w14:textId="77777777" w:rsidR="002E474C" w:rsidRDefault="00000000">
            <w:pPr>
              <w:pStyle w:val="A-"/>
            </w:pPr>
            <w:r>
              <w:t>4.97</w:t>
            </w:r>
          </w:p>
        </w:tc>
        <w:tc>
          <w:tcPr>
            <w:tcW w:w="283" w:type="pct"/>
            <w:tcBorders>
              <w:top w:val="single" w:sz="4" w:space="0" w:color="auto"/>
              <w:left w:val="single" w:sz="4" w:space="0" w:color="auto"/>
              <w:bottom w:val="single" w:sz="4" w:space="0" w:color="auto"/>
              <w:right w:val="single" w:sz="4" w:space="0" w:color="auto"/>
            </w:tcBorders>
          </w:tcPr>
          <w:p w14:paraId="5923DEB5" w14:textId="77777777" w:rsidR="002E474C" w:rsidRDefault="00000000">
            <w:pPr>
              <w:pStyle w:val="A-"/>
            </w:pPr>
            <w:r>
              <w:t>7.53</w:t>
            </w:r>
          </w:p>
        </w:tc>
        <w:tc>
          <w:tcPr>
            <w:tcW w:w="295" w:type="pct"/>
            <w:tcBorders>
              <w:top w:val="single" w:sz="4" w:space="0" w:color="auto"/>
              <w:left w:val="single" w:sz="4" w:space="0" w:color="auto"/>
              <w:bottom w:val="single" w:sz="4" w:space="0" w:color="auto"/>
              <w:right w:val="single" w:sz="4" w:space="0" w:color="auto"/>
            </w:tcBorders>
          </w:tcPr>
          <w:p w14:paraId="5023A36A" w14:textId="77777777" w:rsidR="002E474C" w:rsidRDefault="00000000">
            <w:pPr>
              <w:pStyle w:val="A-"/>
            </w:pPr>
            <w:r>
              <w:t>5.24</w:t>
            </w:r>
          </w:p>
        </w:tc>
        <w:tc>
          <w:tcPr>
            <w:tcW w:w="236" w:type="pct"/>
            <w:tcBorders>
              <w:top w:val="single" w:sz="4" w:space="0" w:color="auto"/>
              <w:left w:val="single" w:sz="4" w:space="0" w:color="auto"/>
              <w:bottom w:val="single" w:sz="4" w:space="0" w:color="auto"/>
              <w:right w:val="single" w:sz="4" w:space="0" w:color="auto"/>
            </w:tcBorders>
          </w:tcPr>
          <w:p w14:paraId="0240F54D" w14:textId="77777777" w:rsidR="002E474C" w:rsidRDefault="00000000">
            <w:pPr>
              <w:pStyle w:val="A-"/>
            </w:pPr>
            <w:r>
              <w:t>9.01</w:t>
            </w:r>
          </w:p>
        </w:tc>
        <w:tc>
          <w:tcPr>
            <w:tcW w:w="310" w:type="pct"/>
            <w:tcBorders>
              <w:top w:val="single" w:sz="4" w:space="0" w:color="auto"/>
              <w:left w:val="single" w:sz="4" w:space="0" w:color="auto"/>
              <w:bottom w:val="single" w:sz="4" w:space="0" w:color="auto"/>
              <w:right w:val="single" w:sz="4" w:space="0" w:color="auto"/>
            </w:tcBorders>
          </w:tcPr>
          <w:p w14:paraId="110F2BA5" w14:textId="77777777" w:rsidR="002E474C" w:rsidRDefault="00000000">
            <w:pPr>
              <w:pStyle w:val="A-"/>
            </w:pPr>
            <w:r>
              <w:t>2.69</w:t>
            </w:r>
          </w:p>
        </w:tc>
        <w:tc>
          <w:tcPr>
            <w:tcW w:w="236" w:type="pct"/>
            <w:tcBorders>
              <w:top w:val="single" w:sz="4" w:space="0" w:color="auto"/>
              <w:left w:val="single" w:sz="4" w:space="0" w:color="auto"/>
              <w:bottom w:val="single" w:sz="4" w:space="0" w:color="auto"/>
              <w:right w:val="single" w:sz="4" w:space="0" w:color="auto"/>
            </w:tcBorders>
          </w:tcPr>
          <w:p w14:paraId="0E0A13EA" w14:textId="77777777" w:rsidR="002E474C" w:rsidRDefault="00000000">
            <w:pPr>
              <w:pStyle w:val="A-"/>
            </w:pPr>
            <w:r>
              <w:t>3.49</w:t>
            </w:r>
          </w:p>
        </w:tc>
        <w:tc>
          <w:tcPr>
            <w:tcW w:w="290" w:type="pct"/>
            <w:tcBorders>
              <w:top w:val="single" w:sz="4" w:space="0" w:color="auto"/>
              <w:left w:val="single" w:sz="4" w:space="0" w:color="auto"/>
              <w:bottom w:val="single" w:sz="4" w:space="0" w:color="auto"/>
              <w:right w:val="single" w:sz="4" w:space="0" w:color="auto"/>
            </w:tcBorders>
          </w:tcPr>
          <w:p w14:paraId="33AAC09D" w14:textId="77777777" w:rsidR="002E474C" w:rsidRDefault="00000000">
            <w:pPr>
              <w:pStyle w:val="A-"/>
            </w:pPr>
            <w:r>
              <w:t>4.03</w:t>
            </w:r>
          </w:p>
        </w:tc>
        <w:tc>
          <w:tcPr>
            <w:tcW w:w="236" w:type="pct"/>
            <w:tcBorders>
              <w:top w:val="single" w:sz="4" w:space="0" w:color="auto"/>
              <w:left w:val="single" w:sz="4" w:space="0" w:color="auto"/>
              <w:bottom w:val="single" w:sz="4" w:space="0" w:color="auto"/>
              <w:right w:val="single" w:sz="4" w:space="0" w:color="auto"/>
            </w:tcBorders>
          </w:tcPr>
          <w:p w14:paraId="38AC2140" w14:textId="77777777" w:rsidR="002E474C" w:rsidRDefault="00000000">
            <w:pPr>
              <w:pStyle w:val="A-"/>
            </w:pPr>
            <w:r>
              <w:t>0</w:t>
            </w:r>
          </w:p>
        </w:tc>
      </w:tr>
      <w:tr w:rsidR="002E474C" w14:paraId="1FCDBB63" w14:textId="77777777">
        <w:tc>
          <w:tcPr>
            <w:tcW w:w="384" w:type="pct"/>
            <w:tcBorders>
              <w:top w:val="single" w:sz="4" w:space="0" w:color="auto"/>
              <w:left w:val="single" w:sz="4" w:space="0" w:color="auto"/>
              <w:bottom w:val="single" w:sz="4" w:space="0" w:color="auto"/>
              <w:right w:val="single" w:sz="4" w:space="0" w:color="auto"/>
            </w:tcBorders>
          </w:tcPr>
          <w:p w14:paraId="77BFCE33" w14:textId="77777777" w:rsidR="002E474C" w:rsidRDefault="00000000">
            <w:pPr>
              <w:pStyle w:val="A-"/>
            </w:pPr>
            <w:r>
              <w:t>六月</w:t>
            </w:r>
          </w:p>
        </w:tc>
        <w:tc>
          <w:tcPr>
            <w:tcW w:w="418" w:type="pct"/>
            <w:tcBorders>
              <w:top w:val="single" w:sz="4" w:space="0" w:color="auto"/>
              <w:left w:val="single" w:sz="4" w:space="0" w:color="auto"/>
              <w:bottom w:val="single" w:sz="4" w:space="0" w:color="auto"/>
              <w:right w:val="single" w:sz="4" w:space="0" w:color="auto"/>
            </w:tcBorders>
          </w:tcPr>
          <w:p w14:paraId="145670FE" w14:textId="77777777" w:rsidR="002E474C" w:rsidRDefault="00000000">
            <w:pPr>
              <w:pStyle w:val="A-"/>
            </w:pPr>
            <w:r>
              <w:t>8.89</w:t>
            </w:r>
          </w:p>
        </w:tc>
        <w:tc>
          <w:tcPr>
            <w:tcW w:w="279" w:type="pct"/>
            <w:tcBorders>
              <w:top w:val="single" w:sz="4" w:space="0" w:color="auto"/>
              <w:left w:val="single" w:sz="4" w:space="0" w:color="auto"/>
              <w:bottom w:val="single" w:sz="4" w:space="0" w:color="auto"/>
              <w:right w:val="single" w:sz="4" w:space="0" w:color="auto"/>
            </w:tcBorders>
          </w:tcPr>
          <w:p w14:paraId="53397A7E" w14:textId="77777777" w:rsidR="002E474C" w:rsidRDefault="00000000">
            <w:pPr>
              <w:pStyle w:val="A-"/>
            </w:pPr>
            <w:r>
              <w:t>5</w:t>
            </w:r>
          </w:p>
        </w:tc>
        <w:tc>
          <w:tcPr>
            <w:tcW w:w="236" w:type="pct"/>
            <w:tcBorders>
              <w:top w:val="single" w:sz="4" w:space="0" w:color="auto"/>
              <w:left w:val="single" w:sz="4" w:space="0" w:color="auto"/>
              <w:bottom w:val="single" w:sz="4" w:space="0" w:color="auto"/>
              <w:right w:val="single" w:sz="4" w:space="0" w:color="auto"/>
            </w:tcBorders>
          </w:tcPr>
          <w:p w14:paraId="5F1D12C8" w14:textId="77777777" w:rsidR="002E474C" w:rsidRDefault="00000000">
            <w:pPr>
              <w:pStyle w:val="A-"/>
            </w:pPr>
            <w:r>
              <w:t>5.28</w:t>
            </w:r>
          </w:p>
        </w:tc>
        <w:tc>
          <w:tcPr>
            <w:tcW w:w="259" w:type="pct"/>
            <w:tcBorders>
              <w:top w:val="single" w:sz="4" w:space="0" w:color="auto"/>
              <w:left w:val="single" w:sz="4" w:space="0" w:color="auto"/>
              <w:bottom w:val="single" w:sz="4" w:space="0" w:color="auto"/>
              <w:right w:val="single" w:sz="4" w:space="0" w:color="auto"/>
            </w:tcBorders>
          </w:tcPr>
          <w:p w14:paraId="796668C8" w14:textId="77777777" w:rsidR="002E474C" w:rsidRDefault="00000000">
            <w:pPr>
              <w:pStyle w:val="A-"/>
            </w:pPr>
            <w:r>
              <w:t>6.81</w:t>
            </w:r>
          </w:p>
        </w:tc>
        <w:tc>
          <w:tcPr>
            <w:tcW w:w="285" w:type="pct"/>
            <w:tcBorders>
              <w:top w:val="single" w:sz="4" w:space="0" w:color="auto"/>
              <w:left w:val="single" w:sz="4" w:space="0" w:color="auto"/>
              <w:bottom w:val="single" w:sz="4" w:space="0" w:color="auto"/>
              <w:right w:val="single" w:sz="4" w:space="0" w:color="auto"/>
            </w:tcBorders>
          </w:tcPr>
          <w:p w14:paraId="68CEB099" w14:textId="77777777" w:rsidR="002E474C" w:rsidRDefault="00000000">
            <w:pPr>
              <w:pStyle w:val="A-"/>
            </w:pPr>
            <w:r>
              <w:t>9.17</w:t>
            </w:r>
          </w:p>
        </w:tc>
        <w:tc>
          <w:tcPr>
            <w:tcW w:w="279" w:type="pct"/>
            <w:tcBorders>
              <w:top w:val="single" w:sz="4" w:space="0" w:color="auto"/>
              <w:left w:val="single" w:sz="4" w:space="0" w:color="auto"/>
              <w:bottom w:val="single" w:sz="4" w:space="0" w:color="auto"/>
              <w:right w:val="single" w:sz="4" w:space="0" w:color="auto"/>
            </w:tcBorders>
          </w:tcPr>
          <w:p w14:paraId="5C59C5CE" w14:textId="77777777" w:rsidR="002E474C" w:rsidRDefault="00000000">
            <w:pPr>
              <w:pStyle w:val="A-"/>
            </w:pPr>
            <w:r>
              <w:t>5.83</w:t>
            </w:r>
          </w:p>
        </w:tc>
        <w:tc>
          <w:tcPr>
            <w:tcW w:w="236" w:type="pct"/>
            <w:tcBorders>
              <w:top w:val="single" w:sz="4" w:space="0" w:color="auto"/>
              <w:left w:val="single" w:sz="4" w:space="0" w:color="auto"/>
              <w:bottom w:val="single" w:sz="4" w:space="0" w:color="auto"/>
              <w:right w:val="single" w:sz="4" w:space="0" w:color="auto"/>
            </w:tcBorders>
          </w:tcPr>
          <w:p w14:paraId="7B066313" w14:textId="77777777" w:rsidR="002E474C" w:rsidRDefault="00000000">
            <w:pPr>
              <w:pStyle w:val="A-"/>
            </w:pPr>
            <w:r>
              <w:t>3.89</w:t>
            </w:r>
          </w:p>
        </w:tc>
        <w:tc>
          <w:tcPr>
            <w:tcW w:w="236" w:type="pct"/>
            <w:tcBorders>
              <w:top w:val="single" w:sz="4" w:space="0" w:color="auto"/>
              <w:left w:val="single" w:sz="4" w:space="0" w:color="auto"/>
              <w:bottom w:val="single" w:sz="4" w:space="0" w:color="auto"/>
              <w:right w:val="single" w:sz="4" w:space="0" w:color="auto"/>
            </w:tcBorders>
          </w:tcPr>
          <w:p w14:paraId="3F13B7AE" w14:textId="77777777" w:rsidR="002E474C" w:rsidRDefault="00000000">
            <w:pPr>
              <w:pStyle w:val="A-"/>
            </w:pPr>
            <w:r>
              <w:t>3.19</w:t>
            </w:r>
          </w:p>
        </w:tc>
        <w:tc>
          <w:tcPr>
            <w:tcW w:w="236" w:type="pct"/>
            <w:tcBorders>
              <w:top w:val="single" w:sz="4" w:space="0" w:color="auto"/>
              <w:left w:val="single" w:sz="4" w:space="0" w:color="auto"/>
              <w:bottom w:val="single" w:sz="4" w:space="0" w:color="auto"/>
              <w:right w:val="single" w:sz="4" w:space="0" w:color="auto"/>
            </w:tcBorders>
          </w:tcPr>
          <w:p w14:paraId="727A57B6" w14:textId="77777777" w:rsidR="002E474C" w:rsidRDefault="00000000">
            <w:pPr>
              <w:pStyle w:val="A-"/>
            </w:pPr>
            <w:r>
              <w:t>6.53</w:t>
            </w:r>
          </w:p>
        </w:tc>
        <w:tc>
          <w:tcPr>
            <w:tcW w:w="266" w:type="pct"/>
            <w:tcBorders>
              <w:top w:val="single" w:sz="4" w:space="0" w:color="auto"/>
              <w:left w:val="single" w:sz="4" w:space="0" w:color="auto"/>
              <w:bottom w:val="single" w:sz="4" w:space="0" w:color="auto"/>
              <w:right w:val="single" w:sz="4" w:space="0" w:color="auto"/>
            </w:tcBorders>
          </w:tcPr>
          <w:p w14:paraId="5A83E896" w14:textId="77777777" w:rsidR="002E474C" w:rsidRDefault="00000000">
            <w:pPr>
              <w:pStyle w:val="A-"/>
            </w:pPr>
            <w:r>
              <w:t>6.53</w:t>
            </w:r>
          </w:p>
        </w:tc>
        <w:tc>
          <w:tcPr>
            <w:tcW w:w="283" w:type="pct"/>
            <w:tcBorders>
              <w:top w:val="single" w:sz="4" w:space="0" w:color="auto"/>
              <w:left w:val="single" w:sz="4" w:space="0" w:color="auto"/>
              <w:bottom w:val="single" w:sz="4" w:space="0" w:color="auto"/>
              <w:right w:val="single" w:sz="4" w:space="0" w:color="auto"/>
            </w:tcBorders>
          </w:tcPr>
          <w:p w14:paraId="117EABEB" w14:textId="77777777" w:rsidR="002E474C" w:rsidRDefault="00000000">
            <w:pPr>
              <w:pStyle w:val="A-"/>
            </w:pPr>
            <w:r>
              <w:t>8.47</w:t>
            </w:r>
          </w:p>
        </w:tc>
        <w:tc>
          <w:tcPr>
            <w:tcW w:w="295" w:type="pct"/>
            <w:tcBorders>
              <w:top w:val="single" w:sz="4" w:space="0" w:color="auto"/>
              <w:left w:val="single" w:sz="4" w:space="0" w:color="auto"/>
              <w:bottom w:val="single" w:sz="4" w:space="0" w:color="auto"/>
              <w:right w:val="single" w:sz="4" w:space="0" w:color="auto"/>
            </w:tcBorders>
          </w:tcPr>
          <w:p w14:paraId="43961FA7" w14:textId="77777777" w:rsidR="002E474C" w:rsidRDefault="00000000">
            <w:pPr>
              <w:pStyle w:val="A-"/>
            </w:pPr>
            <w:r>
              <w:t>5.56</w:t>
            </w:r>
          </w:p>
        </w:tc>
        <w:tc>
          <w:tcPr>
            <w:tcW w:w="236" w:type="pct"/>
            <w:tcBorders>
              <w:top w:val="single" w:sz="4" w:space="0" w:color="auto"/>
              <w:left w:val="single" w:sz="4" w:space="0" w:color="auto"/>
              <w:bottom w:val="single" w:sz="4" w:space="0" w:color="auto"/>
              <w:right w:val="single" w:sz="4" w:space="0" w:color="auto"/>
            </w:tcBorders>
          </w:tcPr>
          <w:p w14:paraId="714915DE" w14:textId="77777777" w:rsidR="002E474C" w:rsidRDefault="00000000">
            <w:pPr>
              <w:pStyle w:val="A-"/>
            </w:pPr>
            <w:r>
              <w:t>8.89</w:t>
            </w:r>
          </w:p>
        </w:tc>
        <w:tc>
          <w:tcPr>
            <w:tcW w:w="310" w:type="pct"/>
            <w:tcBorders>
              <w:top w:val="single" w:sz="4" w:space="0" w:color="auto"/>
              <w:left w:val="single" w:sz="4" w:space="0" w:color="auto"/>
              <w:bottom w:val="single" w:sz="4" w:space="0" w:color="auto"/>
              <w:right w:val="single" w:sz="4" w:space="0" w:color="auto"/>
            </w:tcBorders>
          </w:tcPr>
          <w:p w14:paraId="1BD8DB70" w14:textId="77777777" w:rsidR="002E474C" w:rsidRDefault="00000000">
            <w:pPr>
              <w:pStyle w:val="A-"/>
            </w:pPr>
            <w:r>
              <w:t>5.28</w:t>
            </w:r>
          </w:p>
        </w:tc>
        <w:tc>
          <w:tcPr>
            <w:tcW w:w="236" w:type="pct"/>
            <w:tcBorders>
              <w:top w:val="single" w:sz="4" w:space="0" w:color="auto"/>
              <w:left w:val="single" w:sz="4" w:space="0" w:color="auto"/>
              <w:bottom w:val="single" w:sz="4" w:space="0" w:color="auto"/>
              <w:right w:val="single" w:sz="4" w:space="0" w:color="auto"/>
            </w:tcBorders>
          </w:tcPr>
          <w:p w14:paraId="69671FD7" w14:textId="77777777" w:rsidR="002E474C" w:rsidRDefault="00000000">
            <w:pPr>
              <w:pStyle w:val="A-"/>
            </w:pPr>
            <w:r>
              <w:t>5.14</w:t>
            </w:r>
          </w:p>
        </w:tc>
        <w:tc>
          <w:tcPr>
            <w:tcW w:w="290" w:type="pct"/>
            <w:tcBorders>
              <w:top w:val="single" w:sz="4" w:space="0" w:color="auto"/>
              <w:left w:val="single" w:sz="4" w:space="0" w:color="auto"/>
              <w:bottom w:val="single" w:sz="4" w:space="0" w:color="auto"/>
              <w:right w:val="single" w:sz="4" w:space="0" w:color="auto"/>
            </w:tcBorders>
          </w:tcPr>
          <w:p w14:paraId="343D783D" w14:textId="77777777" w:rsidR="002E474C" w:rsidRDefault="00000000">
            <w:pPr>
              <w:pStyle w:val="A-"/>
            </w:pPr>
            <w:r>
              <w:t>5.56</w:t>
            </w:r>
          </w:p>
        </w:tc>
        <w:tc>
          <w:tcPr>
            <w:tcW w:w="236" w:type="pct"/>
            <w:tcBorders>
              <w:top w:val="single" w:sz="4" w:space="0" w:color="auto"/>
              <w:left w:val="single" w:sz="4" w:space="0" w:color="auto"/>
              <w:bottom w:val="single" w:sz="4" w:space="0" w:color="auto"/>
              <w:right w:val="single" w:sz="4" w:space="0" w:color="auto"/>
            </w:tcBorders>
          </w:tcPr>
          <w:p w14:paraId="353A7CAD" w14:textId="77777777" w:rsidR="002E474C" w:rsidRDefault="00000000">
            <w:pPr>
              <w:pStyle w:val="A-"/>
            </w:pPr>
            <w:r>
              <w:t>0</w:t>
            </w:r>
          </w:p>
        </w:tc>
      </w:tr>
      <w:tr w:rsidR="002E474C" w14:paraId="4C2F1937" w14:textId="77777777">
        <w:tc>
          <w:tcPr>
            <w:tcW w:w="384" w:type="pct"/>
            <w:tcBorders>
              <w:top w:val="single" w:sz="4" w:space="0" w:color="auto"/>
              <w:left w:val="single" w:sz="4" w:space="0" w:color="auto"/>
              <w:bottom w:val="single" w:sz="4" w:space="0" w:color="auto"/>
              <w:right w:val="single" w:sz="4" w:space="0" w:color="auto"/>
            </w:tcBorders>
          </w:tcPr>
          <w:p w14:paraId="329A83D5" w14:textId="77777777" w:rsidR="002E474C" w:rsidRDefault="00000000">
            <w:pPr>
              <w:pStyle w:val="A-"/>
            </w:pPr>
            <w:r>
              <w:t>七月</w:t>
            </w:r>
          </w:p>
        </w:tc>
        <w:tc>
          <w:tcPr>
            <w:tcW w:w="418" w:type="pct"/>
            <w:tcBorders>
              <w:top w:val="single" w:sz="4" w:space="0" w:color="auto"/>
              <w:left w:val="single" w:sz="4" w:space="0" w:color="auto"/>
              <w:bottom w:val="single" w:sz="4" w:space="0" w:color="auto"/>
              <w:right w:val="single" w:sz="4" w:space="0" w:color="auto"/>
            </w:tcBorders>
          </w:tcPr>
          <w:p w14:paraId="6CC04510" w14:textId="77777777" w:rsidR="002E474C" w:rsidRDefault="00000000">
            <w:pPr>
              <w:pStyle w:val="A-"/>
            </w:pPr>
            <w:r>
              <w:t>8.2</w:t>
            </w:r>
          </w:p>
        </w:tc>
        <w:tc>
          <w:tcPr>
            <w:tcW w:w="279" w:type="pct"/>
            <w:tcBorders>
              <w:top w:val="single" w:sz="4" w:space="0" w:color="auto"/>
              <w:left w:val="single" w:sz="4" w:space="0" w:color="auto"/>
              <w:bottom w:val="single" w:sz="4" w:space="0" w:color="auto"/>
              <w:right w:val="single" w:sz="4" w:space="0" w:color="auto"/>
            </w:tcBorders>
          </w:tcPr>
          <w:p w14:paraId="272669FB" w14:textId="77777777" w:rsidR="002E474C" w:rsidRDefault="00000000">
            <w:pPr>
              <w:pStyle w:val="A-"/>
            </w:pPr>
            <w:r>
              <w:t>4.44</w:t>
            </w:r>
          </w:p>
        </w:tc>
        <w:tc>
          <w:tcPr>
            <w:tcW w:w="236" w:type="pct"/>
            <w:tcBorders>
              <w:top w:val="single" w:sz="4" w:space="0" w:color="auto"/>
              <w:left w:val="single" w:sz="4" w:space="0" w:color="auto"/>
              <w:bottom w:val="single" w:sz="4" w:space="0" w:color="auto"/>
              <w:right w:val="single" w:sz="4" w:space="0" w:color="auto"/>
            </w:tcBorders>
          </w:tcPr>
          <w:p w14:paraId="07BC7CB5" w14:textId="77777777" w:rsidR="002E474C" w:rsidRDefault="00000000">
            <w:pPr>
              <w:pStyle w:val="A-"/>
            </w:pPr>
            <w:r>
              <w:t>3.36</w:t>
            </w:r>
          </w:p>
        </w:tc>
        <w:tc>
          <w:tcPr>
            <w:tcW w:w="259" w:type="pct"/>
            <w:tcBorders>
              <w:top w:val="single" w:sz="4" w:space="0" w:color="auto"/>
              <w:left w:val="single" w:sz="4" w:space="0" w:color="auto"/>
              <w:bottom w:val="single" w:sz="4" w:space="0" w:color="auto"/>
              <w:right w:val="single" w:sz="4" w:space="0" w:color="auto"/>
            </w:tcBorders>
          </w:tcPr>
          <w:p w14:paraId="6508D9E8" w14:textId="77777777" w:rsidR="002E474C" w:rsidRDefault="00000000">
            <w:pPr>
              <w:pStyle w:val="A-"/>
            </w:pPr>
            <w:r>
              <w:t>7.26</w:t>
            </w:r>
          </w:p>
        </w:tc>
        <w:tc>
          <w:tcPr>
            <w:tcW w:w="285" w:type="pct"/>
            <w:tcBorders>
              <w:top w:val="single" w:sz="4" w:space="0" w:color="auto"/>
              <w:left w:val="single" w:sz="4" w:space="0" w:color="auto"/>
              <w:bottom w:val="single" w:sz="4" w:space="0" w:color="auto"/>
              <w:right w:val="single" w:sz="4" w:space="0" w:color="auto"/>
            </w:tcBorders>
          </w:tcPr>
          <w:p w14:paraId="1F9C954A" w14:textId="77777777" w:rsidR="002E474C" w:rsidRDefault="00000000">
            <w:pPr>
              <w:pStyle w:val="A-"/>
            </w:pPr>
            <w:r>
              <w:t>12.1</w:t>
            </w:r>
          </w:p>
        </w:tc>
        <w:tc>
          <w:tcPr>
            <w:tcW w:w="279" w:type="pct"/>
            <w:tcBorders>
              <w:top w:val="single" w:sz="4" w:space="0" w:color="auto"/>
              <w:left w:val="single" w:sz="4" w:space="0" w:color="auto"/>
              <w:bottom w:val="single" w:sz="4" w:space="0" w:color="auto"/>
              <w:right w:val="single" w:sz="4" w:space="0" w:color="auto"/>
            </w:tcBorders>
          </w:tcPr>
          <w:p w14:paraId="551802F6" w14:textId="77777777" w:rsidR="002E474C" w:rsidRDefault="00000000">
            <w:pPr>
              <w:pStyle w:val="A-"/>
            </w:pPr>
            <w:r>
              <w:t>6.85</w:t>
            </w:r>
          </w:p>
        </w:tc>
        <w:tc>
          <w:tcPr>
            <w:tcW w:w="236" w:type="pct"/>
            <w:tcBorders>
              <w:top w:val="single" w:sz="4" w:space="0" w:color="auto"/>
              <w:left w:val="single" w:sz="4" w:space="0" w:color="auto"/>
              <w:bottom w:val="single" w:sz="4" w:space="0" w:color="auto"/>
              <w:right w:val="single" w:sz="4" w:space="0" w:color="auto"/>
            </w:tcBorders>
          </w:tcPr>
          <w:p w14:paraId="1536715C" w14:textId="77777777" w:rsidR="002E474C" w:rsidRDefault="00000000">
            <w:pPr>
              <w:pStyle w:val="A-"/>
            </w:pPr>
            <w:r>
              <w:t>3.49</w:t>
            </w:r>
          </w:p>
        </w:tc>
        <w:tc>
          <w:tcPr>
            <w:tcW w:w="236" w:type="pct"/>
            <w:tcBorders>
              <w:top w:val="single" w:sz="4" w:space="0" w:color="auto"/>
              <w:left w:val="single" w:sz="4" w:space="0" w:color="auto"/>
              <w:bottom w:val="single" w:sz="4" w:space="0" w:color="auto"/>
              <w:right w:val="single" w:sz="4" w:space="0" w:color="auto"/>
            </w:tcBorders>
          </w:tcPr>
          <w:p w14:paraId="64A78FAA" w14:textId="77777777" w:rsidR="002E474C" w:rsidRDefault="00000000">
            <w:pPr>
              <w:pStyle w:val="A-"/>
            </w:pPr>
            <w:r>
              <w:t>2.82</w:t>
            </w:r>
          </w:p>
        </w:tc>
        <w:tc>
          <w:tcPr>
            <w:tcW w:w="236" w:type="pct"/>
            <w:tcBorders>
              <w:top w:val="single" w:sz="4" w:space="0" w:color="auto"/>
              <w:left w:val="single" w:sz="4" w:space="0" w:color="auto"/>
              <w:bottom w:val="single" w:sz="4" w:space="0" w:color="auto"/>
              <w:right w:val="single" w:sz="4" w:space="0" w:color="auto"/>
            </w:tcBorders>
          </w:tcPr>
          <w:p w14:paraId="0B3F6446" w14:textId="77777777" w:rsidR="002E474C" w:rsidRDefault="00000000">
            <w:pPr>
              <w:pStyle w:val="A-"/>
            </w:pPr>
            <w:r>
              <w:t>4.57</w:t>
            </w:r>
          </w:p>
        </w:tc>
        <w:tc>
          <w:tcPr>
            <w:tcW w:w="266" w:type="pct"/>
            <w:tcBorders>
              <w:top w:val="single" w:sz="4" w:space="0" w:color="auto"/>
              <w:left w:val="single" w:sz="4" w:space="0" w:color="auto"/>
              <w:bottom w:val="single" w:sz="4" w:space="0" w:color="auto"/>
              <w:right w:val="single" w:sz="4" w:space="0" w:color="auto"/>
            </w:tcBorders>
          </w:tcPr>
          <w:p w14:paraId="19F67A0B" w14:textId="77777777" w:rsidR="002E474C" w:rsidRDefault="00000000">
            <w:pPr>
              <w:pStyle w:val="A-"/>
            </w:pPr>
            <w:r>
              <w:t>6.05</w:t>
            </w:r>
          </w:p>
        </w:tc>
        <w:tc>
          <w:tcPr>
            <w:tcW w:w="283" w:type="pct"/>
            <w:tcBorders>
              <w:top w:val="single" w:sz="4" w:space="0" w:color="auto"/>
              <w:left w:val="single" w:sz="4" w:space="0" w:color="auto"/>
              <w:bottom w:val="single" w:sz="4" w:space="0" w:color="auto"/>
              <w:right w:val="single" w:sz="4" w:space="0" w:color="auto"/>
            </w:tcBorders>
          </w:tcPr>
          <w:p w14:paraId="1FB4BCB5" w14:textId="77777777" w:rsidR="002E474C" w:rsidRDefault="00000000">
            <w:pPr>
              <w:pStyle w:val="A-"/>
            </w:pPr>
            <w:r>
              <w:t>14.11</w:t>
            </w:r>
          </w:p>
        </w:tc>
        <w:tc>
          <w:tcPr>
            <w:tcW w:w="295" w:type="pct"/>
            <w:tcBorders>
              <w:top w:val="single" w:sz="4" w:space="0" w:color="auto"/>
              <w:left w:val="single" w:sz="4" w:space="0" w:color="auto"/>
              <w:bottom w:val="single" w:sz="4" w:space="0" w:color="auto"/>
              <w:right w:val="single" w:sz="4" w:space="0" w:color="auto"/>
            </w:tcBorders>
          </w:tcPr>
          <w:p w14:paraId="73B834E2" w14:textId="77777777" w:rsidR="002E474C" w:rsidRDefault="00000000">
            <w:pPr>
              <w:pStyle w:val="A-"/>
            </w:pPr>
            <w:r>
              <w:t>5.51</w:t>
            </w:r>
          </w:p>
        </w:tc>
        <w:tc>
          <w:tcPr>
            <w:tcW w:w="236" w:type="pct"/>
            <w:tcBorders>
              <w:top w:val="single" w:sz="4" w:space="0" w:color="auto"/>
              <w:left w:val="single" w:sz="4" w:space="0" w:color="auto"/>
              <w:bottom w:val="single" w:sz="4" w:space="0" w:color="auto"/>
              <w:right w:val="single" w:sz="4" w:space="0" w:color="auto"/>
            </w:tcBorders>
          </w:tcPr>
          <w:p w14:paraId="7CD1A6BA" w14:textId="77777777" w:rsidR="002E474C" w:rsidRDefault="00000000">
            <w:pPr>
              <w:pStyle w:val="A-"/>
            </w:pPr>
            <w:r>
              <w:t>6.72</w:t>
            </w:r>
          </w:p>
        </w:tc>
        <w:tc>
          <w:tcPr>
            <w:tcW w:w="310" w:type="pct"/>
            <w:tcBorders>
              <w:top w:val="single" w:sz="4" w:space="0" w:color="auto"/>
              <w:left w:val="single" w:sz="4" w:space="0" w:color="auto"/>
              <w:bottom w:val="single" w:sz="4" w:space="0" w:color="auto"/>
              <w:right w:val="single" w:sz="4" w:space="0" w:color="auto"/>
            </w:tcBorders>
          </w:tcPr>
          <w:p w14:paraId="11F62BAE" w14:textId="77777777" w:rsidR="002E474C" w:rsidRDefault="00000000">
            <w:pPr>
              <w:pStyle w:val="A-"/>
            </w:pPr>
            <w:r>
              <w:t>5.11</w:t>
            </w:r>
          </w:p>
        </w:tc>
        <w:tc>
          <w:tcPr>
            <w:tcW w:w="236" w:type="pct"/>
            <w:tcBorders>
              <w:top w:val="single" w:sz="4" w:space="0" w:color="auto"/>
              <w:left w:val="single" w:sz="4" w:space="0" w:color="auto"/>
              <w:bottom w:val="single" w:sz="4" w:space="0" w:color="auto"/>
              <w:right w:val="single" w:sz="4" w:space="0" w:color="auto"/>
            </w:tcBorders>
          </w:tcPr>
          <w:p w14:paraId="2BF65A4D" w14:textId="77777777" w:rsidR="002E474C" w:rsidRDefault="00000000">
            <w:pPr>
              <w:pStyle w:val="A-"/>
            </w:pPr>
            <w:r>
              <w:t>5.51</w:t>
            </w:r>
          </w:p>
        </w:tc>
        <w:tc>
          <w:tcPr>
            <w:tcW w:w="290" w:type="pct"/>
            <w:tcBorders>
              <w:top w:val="single" w:sz="4" w:space="0" w:color="auto"/>
              <w:left w:val="single" w:sz="4" w:space="0" w:color="auto"/>
              <w:bottom w:val="single" w:sz="4" w:space="0" w:color="auto"/>
              <w:right w:val="single" w:sz="4" w:space="0" w:color="auto"/>
            </w:tcBorders>
          </w:tcPr>
          <w:p w14:paraId="24F2F645" w14:textId="77777777" w:rsidR="002E474C" w:rsidRDefault="00000000">
            <w:pPr>
              <w:pStyle w:val="A-"/>
            </w:pPr>
            <w:r>
              <w:t>3.9</w:t>
            </w:r>
          </w:p>
        </w:tc>
        <w:tc>
          <w:tcPr>
            <w:tcW w:w="236" w:type="pct"/>
            <w:tcBorders>
              <w:top w:val="single" w:sz="4" w:space="0" w:color="auto"/>
              <w:left w:val="single" w:sz="4" w:space="0" w:color="auto"/>
              <w:bottom w:val="single" w:sz="4" w:space="0" w:color="auto"/>
              <w:right w:val="single" w:sz="4" w:space="0" w:color="auto"/>
            </w:tcBorders>
          </w:tcPr>
          <w:p w14:paraId="17DE74AF" w14:textId="77777777" w:rsidR="002E474C" w:rsidRDefault="00000000">
            <w:pPr>
              <w:pStyle w:val="A-"/>
            </w:pPr>
            <w:r>
              <w:t>0</w:t>
            </w:r>
          </w:p>
        </w:tc>
      </w:tr>
      <w:tr w:rsidR="002E474C" w14:paraId="28A6B06C" w14:textId="77777777">
        <w:tc>
          <w:tcPr>
            <w:tcW w:w="384" w:type="pct"/>
            <w:tcBorders>
              <w:top w:val="single" w:sz="4" w:space="0" w:color="auto"/>
              <w:left w:val="single" w:sz="4" w:space="0" w:color="auto"/>
              <w:bottom w:val="single" w:sz="4" w:space="0" w:color="auto"/>
              <w:right w:val="single" w:sz="4" w:space="0" w:color="auto"/>
            </w:tcBorders>
          </w:tcPr>
          <w:p w14:paraId="45E7434C" w14:textId="77777777" w:rsidR="002E474C" w:rsidRDefault="00000000">
            <w:pPr>
              <w:pStyle w:val="A-"/>
            </w:pPr>
            <w:r>
              <w:t>八月</w:t>
            </w:r>
          </w:p>
        </w:tc>
        <w:tc>
          <w:tcPr>
            <w:tcW w:w="418" w:type="pct"/>
            <w:tcBorders>
              <w:top w:val="single" w:sz="4" w:space="0" w:color="auto"/>
              <w:left w:val="single" w:sz="4" w:space="0" w:color="auto"/>
              <w:bottom w:val="single" w:sz="4" w:space="0" w:color="auto"/>
              <w:right w:val="single" w:sz="4" w:space="0" w:color="auto"/>
            </w:tcBorders>
          </w:tcPr>
          <w:p w14:paraId="540D9F2A" w14:textId="77777777" w:rsidR="002E474C" w:rsidRDefault="00000000">
            <w:pPr>
              <w:pStyle w:val="A-"/>
            </w:pPr>
            <w:r>
              <w:t>10.08</w:t>
            </w:r>
          </w:p>
        </w:tc>
        <w:tc>
          <w:tcPr>
            <w:tcW w:w="279" w:type="pct"/>
            <w:tcBorders>
              <w:top w:val="single" w:sz="4" w:space="0" w:color="auto"/>
              <w:left w:val="single" w:sz="4" w:space="0" w:color="auto"/>
              <w:bottom w:val="single" w:sz="4" w:space="0" w:color="auto"/>
              <w:right w:val="single" w:sz="4" w:space="0" w:color="auto"/>
            </w:tcBorders>
          </w:tcPr>
          <w:p w14:paraId="299FDEF5" w14:textId="77777777" w:rsidR="002E474C" w:rsidRDefault="00000000">
            <w:pPr>
              <w:pStyle w:val="A-"/>
            </w:pPr>
            <w:r>
              <w:t>6.99</w:t>
            </w:r>
          </w:p>
        </w:tc>
        <w:tc>
          <w:tcPr>
            <w:tcW w:w="236" w:type="pct"/>
            <w:tcBorders>
              <w:top w:val="single" w:sz="4" w:space="0" w:color="auto"/>
              <w:left w:val="single" w:sz="4" w:space="0" w:color="auto"/>
              <w:bottom w:val="single" w:sz="4" w:space="0" w:color="auto"/>
              <w:right w:val="single" w:sz="4" w:space="0" w:color="auto"/>
            </w:tcBorders>
          </w:tcPr>
          <w:p w14:paraId="75392887" w14:textId="77777777" w:rsidR="002E474C" w:rsidRDefault="00000000">
            <w:pPr>
              <w:pStyle w:val="A-"/>
            </w:pPr>
            <w:r>
              <w:t>4.17</w:t>
            </w:r>
          </w:p>
        </w:tc>
        <w:tc>
          <w:tcPr>
            <w:tcW w:w="259" w:type="pct"/>
            <w:tcBorders>
              <w:top w:val="single" w:sz="4" w:space="0" w:color="auto"/>
              <w:left w:val="single" w:sz="4" w:space="0" w:color="auto"/>
              <w:bottom w:val="single" w:sz="4" w:space="0" w:color="auto"/>
              <w:right w:val="single" w:sz="4" w:space="0" w:color="auto"/>
            </w:tcBorders>
          </w:tcPr>
          <w:p w14:paraId="2CD4C6D8" w14:textId="77777777" w:rsidR="002E474C" w:rsidRDefault="00000000">
            <w:pPr>
              <w:pStyle w:val="A-"/>
            </w:pPr>
            <w:r>
              <w:t>7.12</w:t>
            </w:r>
          </w:p>
        </w:tc>
        <w:tc>
          <w:tcPr>
            <w:tcW w:w="285" w:type="pct"/>
            <w:tcBorders>
              <w:top w:val="single" w:sz="4" w:space="0" w:color="auto"/>
              <w:left w:val="single" w:sz="4" w:space="0" w:color="auto"/>
              <w:bottom w:val="single" w:sz="4" w:space="0" w:color="auto"/>
              <w:right w:val="single" w:sz="4" w:space="0" w:color="auto"/>
            </w:tcBorders>
          </w:tcPr>
          <w:p w14:paraId="79DD136C" w14:textId="77777777" w:rsidR="002E474C" w:rsidRDefault="00000000">
            <w:pPr>
              <w:pStyle w:val="A-"/>
            </w:pPr>
            <w:r>
              <w:t>13.31</w:t>
            </w:r>
          </w:p>
        </w:tc>
        <w:tc>
          <w:tcPr>
            <w:tcW w:w="279" w:type="pct"/>
            <w:tcBorders>
              <w:top w:val="single" w:sz="4" w:space="0" w:color="auto"/>
              <w:left w:val="single" w:sz="4" w:space="0" w:color="auto"/>
              <w:bottom w:val="single" w:sz="4" w:space="0" w:color="auto"/>
              <w:right w:val="single" w:sz="4" w:space="0" w:color="auto"/>
            </w:tcBorders>
          </w:tcPr>
          <w:p w14:paraId="313F16F6" w14:textId="77777777" w:rsidR="002E474C" w:rsidRDefault="00000000">
            <w:pPr>
              <w:pStyle w:val="A-"/>
            </w:pPr>
            <w:r>
              <w:t>4.7</w:t>
            </w:r>
          </w:p>
        </w:tc>
        <w:tc>
          <w:tcPr>
            <w:tcW w:w="236" w:type="pct"/>
            <w:tcBorders>
              <w:top w:val="single" w:sz="4" w:space="0" w:color="auto"/>
              <w:left w:val="single" w:sz="4" w:space="0" w:color="auto"/>
              <w:bottom w:val="single" w:sz="4" w:space="0" w:color="auto"/>
              <w:right w:val="single" w:sz="4" w:space="0" w:color="auto"/>
            </w:tcBorders>
          </w:tcPr>
          <w:p w14:paraId="5C60B79A" w14:textId="77777777" w:rsidR="002E474C" w:rsidRDefault="00000000">
            <w:pPr>
              <w:pStyle w:val="A-"/>
            </w:pPr>
            <w:r>
              <w:t>3.76</w:t>
            </w:r>
          </w:p>
        </w:tc>
        <w:tc>
          <w:tcPr>
            <w:tcW w:w="236" w:type="pct"/>
            <w:tcBorders>
              <w:top w:val="single" w:sz="4" w:space="0" w:color="auto"/>
              <w:left w:val="single" w:sz="4" w:space="0" w:color="auto"/>
              <w:bottom w:val="single" w:sz="4" w:space="0" w:color="auto"/>
              <w:right w:val="single" w:sz="4" w:space="0" w:color="auto"/>
            </w:tcBorders>
          </w:tcPr>
          <w:p w14:paraId="05707FCB" w14:textId="77777777" w:rsidR="002E474C" w:rsidRDefault="00000000">
            <w:pPr>
              <w:pStyle w:val="A-"/>
            </w:pPr>
            <w:r>
              <w:t>3.09</w:t>
            </w:r>
          </w:p>
        </w:tc>
        <w:tc>
          <w:tcPr>
            <w:tcW w:w="236" w:type="pct"/>
            <w:tcBorders>
              <w:top w:val="single" w:sz="4" w:space="0" w:color="auto"/>
              <w:left w:val="single" w:sz="4" w:space="0" w:color="auto"/>
              <w:bottom w:val="single" w:sz="4" w:space="0" w:color="auto"/>
              <w:right w:val="single" w:sz="4" w:space="0" w:color="auto"/>
            </w:tcBorders>
          </w:tcPr>
          <w:p w14:paraId="47E330FD" w14:textId="77777777" w:rsidR="002E474C" w:rsidRDefault="00000000">
            <w:pPr>
              <w:pStyle w:val="A-"/>
            </w:pPr>
            <w:r>
              <w:t>5.38</w:t>
            </w:r>
          </w:p>
        </w:tc>
        <w:tc>
          <w:tcPr>
            <w:tcW w:w="266" w:type="pct"/>
            <w:tcBorders>
              <w:top w:val="single" w:sz="4" w:space="0" w:color="auto"/>
              <w:left w:val="single" w:sz="4" w:space="0" w:color="auto"/>
              <w:bottom w:val="single" w:sz="4" w:space="0" w:color="auto"/>
              <w:right w:val="single" w:sz="4" w:space="0" w:color="auto"/>
            </w:tcBorders>
          </w:tcPr>
          <w:p w14:paraId="71DB341F" w14:textId="77777777" w:rsidR="002E474C" w:rsidRDefault="00000000">
            <w:pPr>
              <w:pStyle w:val="A-"/>
            </w:pPr>
            <w:r>
              <w:t>6.18</w:t>
            </w:r>
          </w:p>
        </w:tc>
        <w:tc>
          <w:tcPr>
            <w:tcW w:w="283" w:type="pct"/>
            <w:tcBorders>
              <w:top w:val="single" w:sz="4" w:space="0" w:color="auto"/>
              <w:left w:val="single" w:sz="4" w:space="0" w:color="auto"/>
              <w:bottom w:val="single" w:sz="4" w:space="0" w:color="auto"/>
              <w:right w:val="single" w:sz="4" w:space="0" w:color="auto"/>
            </w:tcBorders>
          </w:tcPr>
          <w:p w14:paraId="016B7DC8" w14:textId="77777777" w:rsidR="002E474C" w:rsidRDefault="00000000">
            <w:pPr>
              <w:pStyle w:val="A-"/>
            </w:pPr>
            <w:r>
              <w:t>9.68</w:t>
            </w:r>
          </w:p>
        </w:tc>
        <w:tc>
          <w:tcPr>
            <w:tcW w:w="295" w:type="pct"/>
            <w:tcBorders>
              <w:top w:val="single" w:sz="4" w:space="0" w:color="auto"/>
              <w:left w:val="single" w:sz="4" w:space="0" w:color="auto"/>
              <w:bottom w:val="single" w:sz="4" w:space="0" w:color="auto"/>
              <w:right w:val="single" w:sz="4" w:space="0" w:color="auto"/>
            </w:tcBorders>
          </w:tcPr>
          <w:p w14:paraId="13C50028" w14:textId="77777777" w:rsidR="002E474C" w:rsidRDefault="00000000">
            <w:pPr>
              <w:pStyle w:val="A-"/>
            </w:pPr>
            <w:r>
              <w:t>5.65</w:t>
            </w:r>
          </w:p>
        </w:tc>
        <w:tc>
          <w:tcPr>
            <w:tcW w:w="236" w:type="pct"/>
            <w:tcBorders>
              <w:top w:val="single" w:sz="4" w:space="0" w:color="auto"/>
              <w:left w:val="single" w:sz="4" w:space="0" w:color="auto"/>
              <w:bottom w:val="single" w:sz="4" w:space="0" w:color="auto"/>
              <w:right w:val="single" w:sz="4" w:space="0" w:color="auto"/>
            </w:tcBorders>
          </w:tcPr>
          <w:p w14:paraId="07A3AF3D" w14:textId="77777777" w:rsidR="002E474C" w:rsidRDefault="00000000">
            <w:pPr>
              <w:pStyle w:val="A-"/>
            </w:pPr>
            <w:r>
              <w:t>6.05</w:t>
            </w:r>
          </w:p>
        </w:tc>
        <w:tc>
          <w:tcPr>
            <w:tcW w:w="310" w:type="pct"/>
            <w:tcBorders>
              <w:top w:val="single" w:sz="4" w:space="0" w:color="auto"/>
              <w:left w:val="single" w:sz="4" w:space="0" w:color="auto"/>
              <w:bottom w:val="single" w:sz="4" w:space="0" w:color="auto"/>
              <w:right w:val="single" w:sz="4" w:space="0" w:color="auto"/>
            </w:tcBorders>
          </w:tcPr>
          <w:p w14:paraId="2D8678B0" w14:textId="77777777" w:rsidR="002E474C" w:rsidRDefault="00000000">
            <w:pPr>
              <w:pStyle w:val="A-"/>
            </w:pPr>
            <w:r>
              <w:t>4.84</w:t>
            </w:r>
          </w:p>
        </w:tc>
        <w:tc>
          <w:tcPr>
            <w:tcW w:w="236" w:type="pct"/>
            <w:tcBorders>
              <w:top w:val="single" w:sz="4" w:space="0" w:color="auto"/>
              <w:left w:val="single" w:sz="4" w:space="0" w:color="auto"/>
              <w:bottom w:val="single" w:sz="4" w:space="0" w:color="auto"/>
              <w:right w:val="single" w:sz="4" w:space="0" w:color="auto"/>
            </w:tcBorders>
          </w:tcPr>
          <w:p w14:paraId="1AD0B8A4" w14:textId="77777777" w:rsidR="002E474C" w:rsidRDefault="00000000">
            <w:pPr>
              <w:pStyle w:val="A-"/>
            </w:pPr>
            <w:r>
              <w:t>4.7</w:t>
            </w:r>
          </w:p>
        </w:tc>
        <w:tc>
          <w:tcPr>
            <w:tcW w:w="290" w:type="pct"/>
            <w:tcBorders>
              <w:top w:val="single" w:sz="4" w:space="0" w:color="auto"/>
              <w:left w:val="single" w:sz="4" w:space="0" w:color="auto"/>
              <w:bottom w:val="single" w:sz="4" w:space="0" w:color="auto"/>
              <w:right w:val="single" w:sz="4" w:space="0" w:color="auto"/>
            </w:tcBorders>
          </w:tcPr>
          <w:p w14:paraId="54482C5A" w14:textId="77777777" w:rsidR="002E474C" w:rsidRDefault="00000000">
            <w:pPr>
              <w:pStyle w:val="A-"/>
            </w:pPr>
            <w:r>
              <w:t>4.3</w:t>
            </w:r>
          </w:p>
        </w:tc>
        <w:tc>
          <w:tcPr>
            <w:tcW w:w="236" w:type="pct"/>
            <w:tcBorders>
              <w:top w:val="single" w:sz="4" w:space="0" w:color="auto"/>
              <w:left w:val="single" w:sz="4" w:space="0" w:color="auto"/>
              <w:bottom w:val="single" w:sz="4" w:space="0" w:color="auto"/>
              <w:right w:val="single" w:sz="4" w:space="0" w:color="auto"/>
            </w:tcBorders>
          </w:tcPr>
          <w:p w14:paraId="6FDA66CD" w14:textId="77777777" w:rsidR="002E474C" w:rsidRDefault="00000000">
            <w:pPr>
              <w:pStyle w:val="A-"/>
            </w:pPr>
            <w:r>
              <w:t>0</w:t>
            </w:r>
          </w:p>
        </w:tc>
      </w:tr>
      <w:tr w:rsidR="002E474C" w14:paraId="540A62E7" w14:textId="77777777">
        <w:tc>
          <w:tcPr>
            <w:tcW w:w="384" w:type="pct"/>
            <w:tcBorders>
              <w:top w:val="single" w:sz="4" w:space="0" w:color="auto"/>
              <w:left w:val="single" w:sz="4" w:space="0" w:color="auto"/>
              <w:bottom w:val="single" w:sz="4" w:space="0" w:color="auto"/>
              <w:right w:val="single" w:sz="4" w:space="0" w:color="auto"/>
            </w:tcBorders>
          </w:tcPr>
          <w:p w14:paraId="1DCAF315" w14:textId="77777777" w:rsidR="002E474C" w:rsidRDefault="00000000">
            <w:pPr>
              <w:pStyle w:val="A-"/>
            </w:pPr>
            <w:r>
              <w:t>九月</w:t>
            </w:r>
          </w:p>
        </w:tc>
        <w:tc>
          <w:tcPr>
            <w:tcW w:w="418" w:type="pct"/>
            <w:tcBorders>
              <w:top w:val="single" w:sz="4" w:space="0" w:color="auto"/>
              <w:left w:val="single" w:sz="4" w:space="0" w:color="auto"/>
              <w:bottom w:val="single" w:sz="4" w:space="0" w:color="auto"/>
              <w:right w:val="single" w:sz="4" w:space="0" w:color="auto"/>
            </w:tcBorders>
          </w:tcPr>
          <w:p w14:paraId="0DDC29EC" w14:textId="77777777" w:rsidR="002E474C" w:rsidRDefault="00000000">
            <w:pPr>
              <w:pStyle w:val="A-"/>
            </w:pPr>
            <w:r>
              <w:t>9.58</w:t>
            </w:r>
          </w:p>
        </w:tc>
        <w:tc>
          <w:tcPr>
            <w:tcW w:w="279" w:type="pct"/>
            <w:tcBorders>
              <w:top w:val="single" w:sz="4" w:space="0" w:color="auto"/>
              <w:left w:val="single" w:sz="4" w:space="0" w:color="auto"/>
              <w:bottom w:val="single" w:sz="4" w:space="0" w:color="auto"/>
              <w:right w:val="single" w:sz="4" w:space="0" w:color="auto"/>
            </w:tcBorders>
          </w:tcPr>
          <w:p w14:paraId="52410C8A" w14:textId="77777777" w:rsidR="002E474C" w:rsidRDefault="00000000">
            <w:pPr>
              <w:pStyle w:val="A-"/>
            </w:pPr>
            <w:r>
              <w:t>6.25</w:t>
            </w:r>
          </w:p>
        </w:tc>
        <w:tc>
          <w:tcPr>
            <w:tcW w:w="236" w:type="pct"/>
            <w:tcBorders>
              <w:top w:val="single" w:sz="4" w:space="0" w:color="auto"/>
              <w:left w:val="single" w:sz="4" w:space="0" w:color="auto"/>
              <w:bottom w:val="single" w:sz="4" w:space="0" w:color="auto"/>
              <w:right w:val="single" w:sz="4" w:space="0" w:color="auto"/>
            </w:tcBorders>
          </w:tcPr>
          <w:p w14:paraId="248AE0C0" w14:textId="77777777" w:rsidR="002E474C" w:rsidRDefault="00000000">
            <w:pPr>
              <w:pStyle w:val="A-"/>
            </w:pPr>
            <w:r>
              <w:t>7.5</w:t>
            </w:r>
          </w:p>
        </w:tc>
        <w:tc>
          <w:tcPr>
            <w:tcW w:w="259" w:type="pct"/>
            <w:tcBorders>
              <w:top w:val="single" w:sz="4" w:space="0" w:color="auto"/>
              <w:left w:val="single" w:sz="4" w:space="0" w:color="auto"/>
              <w:bottom w:val="single" w:sz="4" w:space="0" w:color="auto"/>
              <w:right w:val="single" w:sz="4" w:space="0" w:color="auto"/>
            </w:tcBorders>
          </w:tcPr>
          <w:p w14:paraId="7EDCFEB0" w14:textId="77777777" w:rsidR="002E474C" w:rsidRDefault="00000000">
            <w:pPr>
              <w:pStyle w:val="A-"/>
            </w:pPr>
            <w:r>
              <w:t>8.19</w:t>
            </w:r>
          </w:p>
        </w:tc>
        <w:tc>
          <w:tcPr>
            <w:tcW w:w="285" w:type="pct"/>
            <w:tcBorders>
              <w:top w:val="single" w:sz="4" w:space="0" w:color="auto"/>
              <w:left w:val="single" w:sz="4" w:space="0" w:color="auto"/>
              <w:bottom w:val="single" w:sz="4" w:space="0" w:color="auto"/>
              <w:right w:val="single" w:sz="4" w:space="0" w:color="auto"/>
            </w:tcBorders>
          </w:tcPr>
          <w:p w14:paraId="7F239713" w14:textId="77777777" w:rsidR="002E474C" w:rsidRDefault="00000000">
            <w:pPr>
              <w:pStyle w:val="A-"/>
            </w:pPr>
            <w:r>
              <w:t>14.03</w:t>
            </w:r>
          </w:p>
        </w:tc>
        <w:tc>
          <w:tcPr>
            <w:tcW w:w="279" w:type="pct"/>
            <w:tcBorders>
              <w:top w:val="single" w:sz="4" w:space="0" w:color="auto"/>
              <w:left w:val="single" w:sz="4" w:space="0" w:color="auto"/>
              <w:bottom w:val="single" w:sz="4" w:space="0" w:color="auto"/>
              <w:right w:val="single" w:sz="4" w:space="0" w:color="auto"/>
            </w:tcBorders>
          </w:tcPr>
          <w:p w14:paraId="1367BEE6" w14:textId="77777777" w:rsidR="002E474C" w:rsidRDefault="00000000">
            <w:pPr>
              <w:pStyle w:val="A-"/>
            </w:pPr>
            <w:r>
              <w:t>7.36</w:t>
            </w:r>
          </w:p>
        </w:tc>
        <w:tc>
          <w:tcPr>
            <w:tcW w:w="236" w:type="pct"/>
            <w:tcBorders>
              <w:top w:val="single" w:sz="4" w:space="0" w:color="auto"/>
              <w:left w:val="single" w:sz="4" w:space="0" w:color="auto"/>
              <w:bottom w:val="single" w:sz="4" w:space="0" w:color="auto"/>
              <w:right w:val="single" w:sz="4" w:space="0" w:color="auto"/>
            </w:tcBorders>
          </w:tcPr>
          <w:p w14:paraId="0E132EF0" w14:textId="77777777" w:rsidR="002E474C" w:rsidRDefault="00000000">
            <w:pPr>
              <w:pStyle w:val="A-"/>
            </w:pPr>
            <w:r>
              <w:t>4.03</w:t>
            </w:r>
          </w:p>
        </w:tc>
        <w:tc>
          <w:tcPr>
            <w:tcW w:w="236" w:type="pct"/>
            <w:tcBorders>
              <w:top w:val="single" w:sz="4" w:space="0" w:color="auto"/>
              <w:left w:val="single" w:sz="4" w:space="0" w:color="auto"/>
              <w:bottom w:val="single" w:sz="4" w:space="0" w:color="auto"/>
              <w:right w:val="single" w:sz="4" w:space="0" w:color="auto"/>
            </w:tcBorders>
          </w:tcPr>
          <w:p w14:paraId="10FC5534" w14:textId="77777777" w:rsidR="002E474C" w:rsidRDefault="00000000">
            <w:pPr>
              <w:pStyle w:val="A-"/>
            </w:pPr>
            <w:r>
              <w:t>2.64</w:t>
            </w:r>
          </w:p>
        </w:tc>
        <w:tc>
          <w:tcPr>
            <w:tcW w:w="236" w:type="pct"/>
            <w:tcBorders>
              <w:top w:val="single" w:sz="4" w:space="0" w:color="auto"/>
              <w:left w:val="single" w:sz="4" w:space="0" w:color="auto"/>
              <w:bottom w:val="single" w:sz="4" w:space="0" w:color="auto"/>
              <w:right w:val="single" w:sz="4" w:space="0" w:color="auto"/>
            </w:tcBorders>
          </w:tcPr>
          <w:p w14:paraId="3B5D5F38" w14:textId="77777777" w:rsidR="002E474C" w:rsidRDefault="00000000">
            <w:pPr>
              <w:pStyle w:val="A-"/>
            </w:pPr>
            <w:r>
              <w:t>4.31</w:t>
            </w:r>
          </w:p>
        </w:tc>
        <w:tc>
          <w:tcPr>
            <w:tcW w:w="266" w:type="pct"/>
            <w:tcBorders>
              <w:top w:val="single" w:sz="4" w:space="0" w:color="auto"/>
              <w:left w:val="single" w:sz="4" w:space="0" w:color="auto"/>
              <w:bottom w:val="single" w:sz="4" w:space="0" w:color="auto"/>
              <w:right w:val="single" w:sz="4" w:space="0" w:color="auto"/>
            </w:tcBorders>
          </w:tcPr>
          <w:p w14:paraId="081AAB15" w14:textId="77777777" w:rsidR="002E474C" w:rsidRDefault="00000000">
            <w:pPr>
              <w:pStyle w:val="A-"/>
            </w:pPr>
            <w:r>
              <w:t>5.28</w:t>
            </w:r>
          </w:p>
        </w:tc>
        <w:tc>
          <w:tcPr>
            <w:tcW w:w="283" w:type="pct"/>
            <w:tcBorders>
              <w:top w:val="single" w:sz="4" w:space="0" w:color="auto"/>
              <w:left w:val="single" w:sz="4" w:space="0" w:color="auto"/>
              <w:bottom w:val="single" w:sz="4" w:space="0" w:color="auto"/>
              <w:right w:val="single" w:sz="4" w:space="0" w:color="auto"/>
            </w:tcBorders>
          </w:tcPr>
          <w:p w14:paraId="0221FFE7" w14:textId="77777777" w:rsidR="002E474C" w:rsidRDefault="00000000">
            <w:pPr>
              <w:pStyle w:val="A-"/>
            </w:pPr>
            <w:r>
              <w:t>6.53</w:t>
            </w:r>
          </w:p>
        </w:tc>
        <w:tc>
          <w:tcPr>
            <w:tcW w:w="295" w:type="pct"/>
            <w:tcBorders>
              <w:top w:val="single" w:sz="4" w:space="0" w:color="auto"/>
              <w:left w:val="single" w:sz="4" w:space="0" w:color="auto"/>
              <w:bottom w:val="single" w:sz="4" w:space="0" w:color="auto"/>
              <w:right w:val="single" w:sz="4" w:space="0" w:color="auto"/>
            </w:tcBorders>
          </w:tcPr>
          <w:p w14:paraId="6D62E807" w14:textId="77777777" w:rsidR="002E474C" w:rsidRDefault="00000000">
            <w:pPr>
              <w:pStyle w:val="A-"/>
            </w:pPr>
            <w:r>
              <w:t>3.47</w:t>
            </w:r>
          </w:p>
        </w:tc>
        <w:tc>
          <w:tcPr>
            <w:tcW w:w="236" w:type="pct"/>
            <w:tcBorders>
              <w:top w:val="single" w:sz="4" w:space="0" w:color="auto"/>
              <w:left w:val="single" w:sz="4" w:space="0" w:color="auto"/>
              <w:bottom w:val="single" w:sz="4" w:space="0" w:color="auto"/>
              <w:right w:val="single" w:sz="4" w:space="0" w:color="auto"/>
            </w:tcBorders>
          </w:tcPr>
          <w:p w14:paraId="066C4DB5" w14:textId="77777777" w:rsidR="002E474C" w:rsidRDefault="00000000">
            <w:pPr>
              <w:pStyle w:val="A-"/>
            </w:pPr>
            <w:r>
              <w:t>4.58</w:t>
            </w:r>
          </w:p>
        </w:tc>
        <w:tc>
          <w:tcPr>
            <w:tcW w:w="310" w:type="pct"/>
            <w:tcBorders>
              <w:top w:val="single" w:sz="4" w:space="0" w:color="auto"/>
              <w:left w:val="single" w:sz="4" w:space="0" w:color="auto"/>
              <w:bottom w:val="single" w:sz="4" w:space="0" w:color="auto"/>
              <w:right w:val="single" w:sz="4" w:space="0" w:color="auto"/>
            </w:tcBorders>
          </w:tcPr>
          <w:p w14:paraId="03EDD839" w14:textId="77777777" w:rsidR="002E474C" w:rsidRDefault="00000000">
            <w:pPr>
              <w:pStyle w:val="A-"/>
            </w:pPr>
            <w:r>
              <w:t>3.33</w:t>
            </w:r>
          </w:p>
        </w:tc>
        <w:tc>
          <w:tcPr>
            <w:tcW w:w="236" w:type="pct"/>
            <w:tcBorders>
              <w:top w:val="single" w:sz="4" w:space="0" w:color="auto"/>
              <w:left w:val="single" w:sz="4" w:space="0" w:color="auto"/>
              <w:bottom w:val="single" w:sz="4" w:space="0" w:color="auto"/>
              <w:right w:val="single" w:sz="4" w:space="0" w:color="auto"/>
            </w:tcBorders>
          </w:tcPr>
          <w:p w14:paraId="568CB06A" w14:textId="77777777" w:rsidR="002E474C" w:rsidRDefault="00000000">
            <w:pPr>
              <w:pStyle w:val="A-"/>
            </w:pPr>
            <w:r>
              <w:t>8.19</w:t>
            </w:r>
          </w:p>
        </w:tc>
        <w:tc>
          <w:tcPr>
            <w:tcW w:w="290" w:type="pct"/>
            <w:tcBorders>
              <w:top w:val="single" w:sz="4" w:space="0" w:color="auto"/>
              <w:left w:val="single" w:sz="4" w:space="0" w:color="auto"/>
              <w:bottom w:val="single" w:sz="4" w:space="0" w:color="auto"/>
              <w:right w:val="single" w:sz="4" w:space="0" w:color="auto"/>
            </w:tcBorders>
          </w:tcPr>
          <w:p w14:paraId="6E58A4B4" w14:textId="77777777" w:rsidR="002E474C" w:rsidRDefault="00000000">
            <w:pPr>
              <w:pStyle w:val="A-"/>
            </w:pPr>
            <w:r>
              <w:t>4.72</w:t>
            </w:r>
          </w:p>
        </w:tc>
        <w:tc>
          <w:tcPr>
            <w:tcW w:w="236" w:type="pct"/>
            <w:tcBorders>
              <w:top w:val="single" w:sz="4" w:space="0" w:color="auto"/>
              <w:left w:val="single" w:sz="4" w:space="0" w:color="auto"/>
              <w:bottom w:val="single" w:sz="4" w:space="0" w:color="auto"/>
              <w:right w:val="single" w:sz="4" w:space="0" w:color="auto"/>
            </w:tcBorders>
          </w:tcPr>
          <w:p w14:paraId="59B37132" w14:textId="77777777" w:rsidR="002E474C" w:rsidRDefault="00000000">
            <w:pPr>
              <w:pStyle w:val="A-"/>
            </w:pPr>
            <w:r>
              <w:t>0</w:t>
            </w:r>
          </w:p>
        </w:tc>
      </w:tr>
      <w:tr w:rsidR="002E474C" w14:paraId="47E8E6F5" w14:textId="77777777">
        <w:tc>
          <w:tcPr>
            <w:tcW w:w="384" w:type="pct"/>
            <w:tcBorders>
              <w:top w:val="single" w:sz="4" w:space="0" w:color="auto"/>
              <w:left w:val="single" w:sz="4" w:space="0" w:color="auto"/>
              <w:bottom w:val="single" w:sz="4" w:space="0" w:color="auto"/>
              <w:right w:val="single" w:sz="4" w:space="0" w:color="auto"/>
            </w:tcBorders>
          </w:tcPr>
          <w:p w14:paraId="2D812CA8" w14:textId="77777777" w:rsidR="002E474C" w:rsidRDefault="00000000">
            <w:pPr>
              <w:pStyle w:val="A-"/>
            </w:pPr>
            <w:r>
              <w:t>十月</w:t>
            </w:r>
          </w:p>
        </w:tc>
        <w:tc>
          <w:tcPr>
            <w:tcW w:w="418" w:type="pct"/>
            <w:tcBorders>
              <w:top w:val="single" w:sz="4" w:space="0" w:color="auto"/>
              <w:left w:val="single" w:sz="4" w:space="0" w:color="auto"/>
              <w:bottom w:val="single" w:sz="4" w:space="0" w:color="auto"/>
              <w:right w:val="single" w:sz="4" w:space="0" w:color="auto"/>
            </w:tcBorders>
          </w:tcPr>
          <w:p w14:paraId="4F9B02B8" w14:textId="77777777" w:rsidR="002E474C" w:rsidRDefault="00000000">
            <w:pPr>
              <w:pStyle w:val="A-"/>
            </w:pPr>
            <w:r>
              <w:t>16.53</w:t>
            </w:r>
          </w:p>
        </w:tc>
        <w:tc>
          <w:tcPr>
            <w:tcW w:w="279" w:type="pct"/>
            <w:tcBorders>
              <w:top w:val="single" w:sz="4" w:space="0" w:color="auto"/>
              <w:left w:val="single" w:sz="4" w:space="0" w:color="auto"/>
              <w:bottom w:val="single" w:sz="4" w:space="0" w:color="auto"/>
              <w:right w:val="single" w:sz="4" w:space="0" w:color="auto"/>
            </w:tcBorders>
          </w:tcPr>
          <w:p w14:paraId="08C436F2" w14:textId="77777777" w:rsidR="002E474C" w:rsidRDefault="00000000">
            <w:pPr>
              <w:pStyle w:val="A-"/>
            </w:pPr>
            <w:r>
              <w:t>9.54</w:t>
            </w:r>
          </w:p>
        </w:tc>
        <w:tc>
          <w:tcPr>
            <w:tcW w:w="236" w:type="pct"/>
            <w:tcBorders>
              <w:top w:val="single" w:sz="4" w:space="0" w:color="auto"/>
              <w:left w:val="single" w:sz="4" w:space="0" w:color="auto"/>
              <w:bottom w:val="single" w:sz="4" w:space="0" w:color="auto"/>
              <w:right w:val="single" w:sz="4" w:space="0" w:color="auto"/>
            </w:tcBorders>
          </w:tcPr>
          <w:p w14:paraId="6A7C9D2E" w14:textId="77777777" w:rsidR="002E474C" w:rsidRDefault="00000000">
            <w:pPr>
              <w:pStyle w:val="A-"/>
            </w:pPr>
            <w:r>
              <w:t>4.57</w:t>
            </w:r>
          </w:p>
        </w:tc>
        <w:tc>
          <w:tcPr>
            <w:tcW w:w="259" w:type="pct"/>
            <w:tcBorders>
              <w:top w:val="single" w:sz="4" w:space="0" w:color="auto"/>
              <w:left w:val="single" w:sz="4" w:space="0" w:color="auto"/>
              <w:bottom w:val="single" w:sz="4" w:space="0" w:color="auto"/>
              <w:right w:val="single" w:sz="4" w:space="0" w:color="auto"/>
            </w:tcBorders>
          </w:tcPr>
          <w:p w14:paraId="49A6E18D" w14:textId="77777777" w:rsidR="002E474C" w:rsidRDefault="00000000">
            <w:pPr>
              <w:pStyle w:val="A-"/>
            </w:pPr>
            <w:r>
              <w:t>8.87</w:t>
            </w:r>
          </w:p>
        </w:tc>
        <w:tc>
          <w:tcPr>
            <w:tcW w:w="285" w:type="pct"/>
            <w:tcBorders>
              <w:top w:val="single" w:sz="4" w:space="0" w:color="auto"/>
              <w:left w:val="single" w:sz="4" w:space="0" w:color="auto"/>
              <w:bottom w:val="single" w:sz="4" w:space="0" w:color="auto"/>
              <w:right w:val="single" w:sz="4" w:space="0" w:color="auto"/>
            </w:tcBorders>
          </w:tcPr>
          <w:p w14:paraId="2227B105" w14:textId="77777777" w:rsidR="002E474C" w:rsidRDefault="00000000">
            <w:pPr>
              <w:pStyle w:val="A-"/>
            </w:pPr>
            <w:r>
              <w:t>11.96</w:t>
            </w:r>
          </w:p>
        </w:tc>
        <w:tc>
          <w:tcPr>
            <w:tcW w:w="279" w:type="pct"/>
            <w:tcBorders>
              <w:top w:val="single" w:sz="4" w:space="0" w:color="auto"/>
              <w:left w:val="single" w:sz="4" w:space="0" w:color="auto"/>
              <w:bottom w:val="single" w:sz="4" w:space="0" w:color="auto"/>
              <w:right w:val="single" w:sz="4" w:space="0" w:color="auto"/>
            </w:tcBorders>
          </w:tcPr>
          <w:p w14:paraId="67BEDBA4" w14:textId="77777777" w:rsidR="002E474C" w:rsidRDefault="00000000">
            <w:pPr>
              <w:pStyle w:val="A-"/>
            </w:pPr>
            <w:r>
              <w:t>5.65</w:t>
            </w:r>
          </w:p>
        </w:tc>
        <w:tc>
          <w:tcPr>
            <w:tcW w:w="236" w:type="pct"/>
            <w:tcBorders>
              <w:top w:val="single" w:sz="4" w:space="0" w:color="auto"/>
              <w:left w:val="single" w:sz="4" w:space="0" w:color="auto"/>
              <w:bottom w:val="single" w:sz="4" w:space="0" w:color="auto"/>
              <w:right w:val="single" w:sz="4" w:space="0" w:color="auto"/>
            </w:tcBorders>
          </w:tcPr>
          <w:p w14:paraId="1FFCFFB7" w14:textId="77777777" w:rsidR="002E474C" w:rsidRDefault="00000000">
            <w:pPr>
              <w:pStyle w:val="A-"/>
            </w:pPr>
            <w:r>
              <w:t>4.17</w:t>
            </w:r>
          </w:p>
        </w:tc>
        <w:tc>
          <w:tcPr>
            <w:tcW w:w="236" w:type="pct"/>
            <w:tcBorders>
              <w:top w:val="single" w:sz="4" w:space="0" w:color="auto"/>
              <w:left w:val="single" w:sz="4" w:space="0" w:color="auto"/>
              <w:bottom w:val="single" w:sz="4" w:space="0" w:color="auto"/>
              <w:right w:val="single" w:sz="4" w:space="0" w:color="auto"/>
            </w:tcBorders>
          </w:tcPr>
          <w:p w14:paraId="47EAE0DA" w14:textId="77777777" w:rsidR="002E474C" w:rsidRDefault="00000000">
            <w:pPr>
              <w:pStyle w:val="A-"/>
            </w:pPr>
            <w:r>
              <w:t>4.17</w:t>
            </w:r>
          </w:p>
        </w:tc>
        <w:tc>
          <w:tcPr>
            <w:tcW w:w="236" w:type="pct"/>
            <w:tcBorders>
              <w:top w:val="single" w:sz="4" w:space="0" w:color="auto"/>
              <w:left w:val="single" w:sz="4" w:space="0" w:color="auto"/>
              <w:bottom w:val="single" w:sz="4" w:space="0" w:color="auto"/>
              <w:right w:val="single" w:sz="4" w:space="0" w:color="auto"/>
            </w:tcBorders>
          </w:tcPr>
          <w:p w14:paraId="18C0EF14" w14:textId="77777777" w:rsidR="002E474C" w:rsidRDefault="00000000">
            <w:pPr>
              <w:pStyle w:val="A-"/>
            </w:pPr>
            <w:r>
              <w:t>4.03</w:t>
            </w:r>
          </w:p>
        </w:tc>
        <w:tc>
          <w:tcPr>
            <w:tcW w:w="266" w:type="pct"/>
            <w:tcBorders>
              <w:top w:val="single" w:sz="4" w:space="0" w:color="auto"/>
              <w:left w:val="single" w:sz="4" w:space="0" w:color="auto"/>
              <w:bottom w:val="single" w:sz="4" w:space="0" w:color="auto"/>
              <w:right w:val="single" w:sz="4" w:space="0" w:color="auto"/>
            </w:tcBorders>
          </w:tcPr>
          <w:p w14:paraId="3CA08A9D" w14:textId="77777777" w:rsidR="002E474C" w:rsidRDefault="00000000">
            <w:pPr>
              <w:pStyle w:val="A-"/>
            </w:pPr>
            <w:r>
              <w:t>3.36</w:t>
            </w:r>
          </w:p>
        </w:tc>
        <w:tc>
          <w:tcPr>
            <w:tcW w:w="283" w:type="pct"/>
            <w:tcBorders>
              <w:top w:val="single" w:sz="4" w:space="0" w:color="auto"/>
              <w:left w:val="single" w:sz="4" w:space="0" w:color="auto"/>
              <w:bottom w:val="single" w:sz="4" w:space="0" w:color="auto"/>
              <w:right w:val="single" w:sz="4" w:space="0" w:color="auto"/>
            </w:tcBorders>
          </w:tcPr>
          <w:p w14:paraId="75F27349" w14:textId="77777777" w:rsidR="002E474C" w:rsidRDefault="00000000">
            <w:pPr>
              <w:pStyle w:val="A-"/>
            </w:pPr>
            <w:r>
              <w:t>4.7</w:t>
            </w:r>
          </w:p>
        </w:tc>
        <w:tc>
          <w:tcPr>
            <w:tcW w:w="295" w:type="pct"/>
            <w:tcBorders>
              <w:top w:val="single" w:sz="4" w:space="0" w:color="auto"/>
              <w:left w:val="single" w:sz="4" w:space="0" w:color="auto"/>
              <w:bottom w:val="single" w:sz="4" w:space="0" w:color="auto"/>
              <w:right w:val="single" w:sz="4" w:space="0" w:color="auto"/>
            </w:tcBorders>
          </w:tcPr>
          <w:p w14:paraId="713DB7F2" w14:textId="77777777" w:rsidR="002E474C" w:rsidRDefault="00000000">
            <w:pPr>
              <w:pStyle w:val="A-"/>
            </w:pPr>
            <w:r>
              <w:t>3.36</w:t>
            </w:r>
          </w:p>
        </w:tc>
        <w:tc>
          <w:tcPr>
            <w:tcW w:w="236" w:type="pct"/>
            <w:tcBorders>
              <w:top w:val="single" w:sz="4" w:space="0" w:color="auto"/>
              <w:left w:val="single" w:sz="4" w:space="0" w:color="auto"/>
              <w:bottom w:val="single" w:sz="4" w:space="0" w:color="auto"/>
              <w:right w:val="single" w:sz="4" w:space="0" w:color="auto"/>
            </w:tcBorders>
          </w:tcPr>
          <w:p w14:paraId="67C6A5A3" w14:textId="77777777" w:rsidR="002E474C" w:rsidRDefault="00000000">
            <w:pPr>
              <w:pStyle w:val="A-"/>
            </w:pPr>
            <w:r>
              <w:t>4.03</w:t>
            </w:r>
          </w:p>
        </w:tc>
        <w:tc>
          <w:tcPr>
            <w:tcW w:w="310" w:type="pct"/>
            <w:tcBorders>
              <w:top w:val="single" w:sz="4" w:space="0" w:color="auto"/>
              <w:left w:val="single" w:sz="4" w:space="0" w:color="auto"/>
              <w:bottom w:val="single" w:sz="4" w:space="0" w:color="auto"/>
              <w:right w:val="single" w:sz="4" w:space="0" w:color="auto"/>
            </w:tcBorders>
          </w:tcPr>
          <w:p w14:paraId="4ACD5F9E" w14:textId="77777777" w:rsidR="002E474C" w:rsidRDefault="00000000">
            <w:pPr>
              <w:pStyle w:val="A-"/>
            </w:pPr>
            <w:r>
              <w:t>3.63</w:t>
            </w:r>
          </w:p>
        </w:tc>
        <w:tc>
          <w:tcPr>
            <w:tcW w:w="236" w:type="pct"/>
            <w:tcBorders>
              <w:top w:val="single" w:sz="4" w:space="0" w:color="auto"/>
              <w:left w:val="single" w:sz="4" w:space="0" w:color="auto"/>
              <w:bottom w:val="single" w:sz="4" w:space="0" w:color="auto"/>
              <w:right w:val="single" w:sz="4" w:space="0" w:color="auto"/>
            </w:tcBorders>
          </w:tcPr>
          <w:p w14:paraId="43D9FE79" w14:textId="77777777" w:rsidR="002E474C" w:rsidRDefault="00000000">
            <w:pPr>
              <w:pStyle w:val="A-"/>
            </w:pPr>
            <w:r>
              <w:t>4.44</w:t>
            </w:r>
          </w:p>
        </w:tc>
        <w:tc>
          <w:tcPr>
            <w:tcW w:w="290" w:type="pct"/>
            <w:tcBorders>
              <w:top w:val="single" w:sz="4" w:space="0" w:color="auto"/>
              <w:left w:val="single" w:sz="4" w:space="0" w:color="auto"/>
              <w:bottom w:val="single" w:sz="4" w:space="0" w:color="auto"/>
              <w:right w:val="single" w:sz="4" w:space="0" w:color="auto"/>
            </w:tcBorders>
          </w:tcPr>
          <w:p w14:paraId="1D044C23" w14:textId="77777777" w:rsidR="002E474C" w:rsidRDefault="00000000">
            <w:pPr>
              <w:pStyle w:val="A-"/>
            </w:pPr>
            <w:r>
              <w:t>6.99</w:t>
            </w:r>
          </w:p>
        </w:tc>
        <w:tc>
          <w:tcPr>
            <w:tcW w:w="236" w:type="pct"/>
            <w:tcBorders>
              <w:top w:val="single" w:sz="4" w:space="0" w:color="auto"/>
              <w:left w:val="single" w:sz="4" w:space="0" w:color="auto"/>
              <w:bottom w:val="single" w:sz="4" w:space="0" w:color="auto"/>
              <w:right w:val="single" w:sz="4" w:space="0" w:color="auto"/>
            </w:tcBorders>
          </w:tcPr>
          <w:p w14:paraId="48E9AEEF" w14:textId="77777777" w:rsidR="002E474C" w:rsidRDefault="00000000">
            <w:pPr>
              <w:pStyle w:val="A-"/>
            </w:pPr>
            <w:r>
              <w:t>0</w:t>
            </w:r>
          </w:p>
        </w:tc>
      </w:tr>
      <w:tr w:rsidR="002E474C" w14:paraId="7469D3ED" w14:textId="77777777">
        <w:tc>
          <w:tcPr>
            <w:tcW w:w="384" w:type="pct"/>
            <w:tcBorders>
              <w:top w:val="single" w:sz="4" w:space="0" w:color="auto"/>
              <w:left w:val="single" w:sz="4" w:space="0" w:color="auto"/>
              <w:bottom w:val="single" w:sz="4" w:space="0" w:color="auto"/>
              <w:right w:val="single" w:sz="4" w:space="0" w:color="auto"/>
            </w:tcBorders>
          </w:tcPr>
          <w:p w14:paraId="4CF12091" w14:textId="77777777" w:rsidR="002E474C" w:rsidRDefault="00000000">
            <w:pPr>
              <w:pStyle w:val="A-"/>
            </w:pPr>
            <w:r>
              <w:t>十一月</w:t>
            </w:r>
          </w:p>
        </w:tc>
        <w:tc>
          <w:tcPr>
            <w:tcW w:w="418" w:type="pct"/>
            <w:tcBorders>
              <w:top w:val="single" w:sz="4" w:space="0" w:color="auto"/>
              <w:left w:val="single" w:sz="4" w:space="0" w:color="auto"/>
              <w:bottom w:val="single" w:sz="4" w:space="0" w:color="auto"/>
              <w:right w:val="single" w:sz="4" w:space="0" w:color="auto"/>
            </w:tcBorders>
          </w:tcPr>
          <w:p w14:paraId="597B332A" w14:textId="77777777" w:rsidR="002E474C" w:rsidRDefault="00000000">
            <w:pPr>
              <w:pStyle w:val="A-"/>
            </w:pPr>
            <w:r>
              <w:t>23.33</w:t>
            </w:r>
          </w:p>
        </w:tc>
        <w:tc>
          <w:tcPr>
            <w:tcW w:w="279" w:type="pct"/>
            <w:tcBorders>
              <w:top w:val="single" w:sz="4" w:space="0" w:color="auto"/>
              <w:left w:val="single" w:sz="4" w:space="0" w:color="auto"/>
              <w:bottom w:val="single" w:sz="4" w:space="0" w:color="auto"/>
              <w:right w:val="single" w:sz="4" w:space="0" w:color="auto"/>
            </w:tcBorders>
          </w:tcPr>
          <w:p w14:paraId="6666BFF3" w14:textId="77777777" w:rsidR="002E474C" w:rsidRDefault="00000000">
            <w:pPr>
              <w:pStyle w:val="A-"/>
            </w:pPr>
            <w:r>
              <w:t>10.14</w:t>
            </w:r>
          </w:p>
        </w:tc>
        <w:tc>
          <w:tcPr>
            <w:tcW w:w="236" w:type="pct"/>
            <w:tcBorders>
              <w:top w:val="single" w:sz="4" w:space="0" w:color="auto"/>
              <w:left w:val="single" w:sz="4" w:space="0" w:color="auto"/>
              <w:bottom w:val="single" w:sz="4" w:space="0" w:color="auto"/>
              <w:right w:val="single" w:sz="4" w:space="0" w:color="auto"/>
            </w:tcBorders>
          </w:tcPr>
          <w:p w14:paraId="0EDECA7C" w14:textId="77777777" w:rsidR="002E474C" w:rsidRDefault="00000000">
            <w:pPr>
              <w:pStyle w:val="A-"/>
            </w:pPr>
            <w:r>
              <w:t>5.28</w:t>
            </w:r>
          </w:p>
        </w:tc>
        <w:tc>
          <w:tcPr>
            <w:tcW w:w="259" w:type="pct"/>
            <w:tcBorders>
              <w:top w:val="single" w:sz="4" w:space="0" w:color="auto"/>
              <w:left w:val="single" w:sz="4" w:space="0" w:color="auto"/>
              <w:bottom w:val="single" w:sz="4" w:space="0" w:color="auto"/>
              <w:right w:val="single" w:sz="4" w:space="0" w:color="auto"/>
            </w:tcBorders>
          </w:tcPr>
          <w:p w14:paraId="140ABE88" w14:textId="77777777" w:rsidR="002E474C" w:rsidRDefault="00000000">
            <w:pPr>
              <w:pStyle w:val="A-"/>
            </w:pPr>
            <w:r>
              <w:t>5.97</w:t>
            </w:r>
          </w:p>
        </w:tc>
        <w:tc>
          <w:tcPr>
            <w:tcW w:w="285" w:type="pct"/>
            <w:tcBorders>
              <w:top w:val="single" w:sz="4" w:space="0" w:color="auto"/>
              <w:left w:val="single" w:sz="4" w:space="0" w:color="auto"/>
              <w:bottom w:val="single" w:sz="4" w:space="0" w:color="auto"/>
              <w:right w:val="single" w:sz="4" w:space="0" w:color="auto"/>
            </w:tcBorders>
          </w:tcPr>
          <w:p w14:paraId="7B3C25D1" w14:textId="77777777" w:rsidR="002E474C" w:rsidRDefault="00000000">
            <w:pPr>
              <w:pStyle w:val="A-"/>
            </w:pPr>
            <w:r>
              <w:t>8.61</w:t>
            </w:r>
          </w:p>
        </w:tc>
        <w:tc>
          <w:tcPr>
            <w:tcW w:w="279" w:type="pct"/>
            <w:tcBorders>
              <w:top w:val="single" w:sz="4" w:space="0" w:color="auto"/>
              <w:left w:val="single" w:sz="4" w:space="0" w:color="auto"/>
              <w:bottom w:val="single" w:sz="4" w:space="0" w:color="auto"/>
              <w:right w:val="single" w:sz="4" w:space="0" w:color="auto"/>
            </w:tcBorders>
          </w:tcPr>
          <w:p w14:paraId="4D83CEE4" w14:textId="77777777" w:rsidR="002E474C" w:rsidRDefault="00000000">
            <w:pPr>
              <w:pStyle w:val="A-"/>
            </w:pPr>
            <w:r>
              <w:t>5.56</w:t>
            </w:r>
          </w:p>
        </w:tc>
        <w:tc>
          <w:tcPr>
            <w:tcW w:w="236" w:type="pct"/>
            <w:tcBorders>
              <w:top w:val="single" w:sz="4" w:space="0" w:color="auto"/>
              <w:left w:val="single" w:sz="4" w:space="0" w:color="auto"/>
              <w:bottom w:val="single" w:sz="4" w:space="0" w:color="auto"/>
              <w:right w:val="single" w:sz="4" w:space="0" w:color="auto"/>
            </w:tcBorders>
          </w:tcPr>
          <w:p w14:paraId="54A4E65B" w14:textId="77777777" w:rsidR="002E474C" w:rsidRDefault="00000000">
            <w:pPr>
              <w:pStyle w:val="A-"/>
            </w:pPr>
            <w:r>
              <w:t>4.86</w:t>
            </w:r>
          </w:p>
        </w:tc>
        <w:tc>
          <w:tcPr>
            <w:tcW w:w="236" w:type="pct"/>
            <w:tcBorders>
              <w:top w:val="single" w:sz="4" w:space="0" w:color="auto"/>
              <w:left w:val="single" w:sz="4" w:space="0" w:color="auto"/>
              <w:bottom w:val="single" w:sz="4" w:space="0" w:color="auto"/>
              <w:right w:val="single" w:sz="4" w:space="0" w:color="auto"/>
            </w:tcBorders>
          </w:tcPr>
          <w:p w14:paraId="55260F9E" w14:textId="77777777" w:rsidR="002E474C" w:rsidRDefault="00000000">
            <w:pPr>
              <w:pStyle w:val="A-"/>
            </w:pPr>
            <w:r>
              <w:t>3.61</w:t>
            </w:r>
          </w:p>
        </w:tc>
        <w:tc>
          <w:tcPr>
            <w:tcW w:w="236" w:type="pct"/>
            <w:tcBorders>
              <w:top w:val="single" w:sz="4" w:space="0" w:color="auto"/>
              <w:left w:val="single" w:sz="4" w:space="0" w:color="auto"/>
              <w:bottom w:val="single" w:sz="4" w:space="0" w:color="auto"/>
              <w:right w:val="single" w:sz="4" w:space="0" w:color="auto"/>
            </w:tcBorders>
          </w:tcPr>
          <w:p w14:paraId="30320315" w14:textId="77777777" w:rsidR="002E474C" w:rsidRDefault="00000000">
            <w:pPr>
              <w:pStyle w:val="A-"/>
            </w:pPr>
            <w:r>
              <w:t>7.78</w:t>
            </w:r>
          </w:p>
        </w:tc>
        <w:tc>
          <w:tcPr>
            <w:tcW w:w="266" w:type="pct"/>
            <w:tcBorders>
              <w:top w:val="single" w:sz="4" w:space="0" w:color="auto"/>
              <w:left w:val="single" w:sz="4" w:space="0" w:color="auto"/>
              <w:bottom w:val="single" w:sz="4" w:space="0" w:color="auto"/>
              <w:right w:val="single" w:sz="4" w:space="0" w:color="auto"/>
            </w:tcBorders>
          </w:tcPr>
          <w:p w14:paraId="09ACF893" w14:textId="77777777" w:rsidR="002E474C" w:rsidRDefault="00000000">
            <w:pPr>
              <w:pStyle w:val="A-"/>
            </w:pPr>
            <w:r>
              <w:t>3.33</w:t>
            </w:r>
          </w:p>
        </w:tc>
        <w:tc>
          <w:tcPr>
            <w:tcW w:w="283" w:type="pct"/>
            <w:tcBorders>
              <w:top w:val="single" w:sz="4" w:space="0" w:color="auto"/>
              <w:left w:val="single" w:sz="4" w:space="0" w:color="auto"/>
              <w:bottom w:val="single" w:sz="4" w:space="0" w:color="auto"/>
              <w:right w:val="single" w:sz="4" w:space="0" w:color="auto"/>
            </w:tcBorders>
          </w:tcPr>
          <w:p w14:paraId="4BC8DEDE" w14:textId="77777777" w:rsidR="002E474C" w:rsidRDefault="00000000">
            <w:pPr>
              <w:pStyle w:val="A-"/>
            </w:pPr>
            <w:r>
              <w:t>2.78</w:t>
            </w:r>
          </w:p>
        </w:tc>
        <w:tc>
          <w:tcPr>
            <w:tcW w:w="295" w:type="pct"/>
            <w:tcBorders>
              <w:top w:val="single" w:sz="4" w:space="0" w:color="auto"/>
              <w:left w:val="single" w:sz="4" w:space="0" w:color="auto"/>
              <w:bottom w:val="single" w:sz="4" w:space="0" w:color="auto"/>
              <w:right w:val="single" w:sz="4" w:space="0" w:color="auto"/>
            </w:tcBorders>
          </w:tcPr>
          <w:p w14:paraId="741ABEB7" w14:textId="77777777" w:rsidR="002E474C" w:rsidRDefault="00000000">
            <w:pPr>
              <w:pStyle w:val="A-"/>
            </w:pPr>
            <w:r>
              <w:t>1.53</w:t>
            </w:r>
          </w:p>
        </w:tc>
        <w:tc>
          <w:tcPr>
            <w:tcW w:w="236" w:type="pct"/>
            <w:tcBorders>
              <w:top w:val="single" w:sz="4" w:space="0" w:color="auto"/>
              <w:left w:val="single" w:sz="4" w:space="0" w:color="auto"/>
              <w:bottom w:val="single" w:sz="4" w:space="0" w:color="auto"/>
              <w:right w:val="single" w:sz="4" w:space="0" w:color="auto"/>
            </w:tcBorders>
          </w:tcPr>
          <w:p w14:paraId="41136B0A" w14:textId="77777777" w:rsidR="002E474C" w:rsidRDefault="00000000">
            <w:pPr>
              <w:pStyle w:val="A-"/>
            </w:pPr>
            <w:r>
              <w:t>3.19</w:t>
            </w:r>
          </w:p>
        </w:tc>
        <w:tc>
          <w:tcPr>
            <w:tcW w:w="310" w:type="pct"/>
            <w:tcBorders>
              <w:top w:val="single" w:sz="4" w:space="0" w:color="auto"/>
              <w:left w:val="single" w:sz="4" w:space="0" w:color="auto"/>
              <w:bottom w:val="single" w:sz="4" w:space="0" w:color="auto"/>
              <w:right w:val="single" w:sz="4" w:space="0" w:color="auto"/>
            </w:tcBorders>
          </w:tcPr>
          <w:p w14:paraId="20FE4284" w14:textId="77777777" w:rsidR="002E474C" w:rsidRDefault="00000000">
            <w:pPr>
              <w:pStyle w:val="A-"/>
            </w:pPr>
            <w:r>
              <w:t>2.5</w:t>
            </w:r>
          </w:p>
        </w:tc>
        <w:tc>
          <w:tcPr>
            <w:tcW w:w="236" w:type="pct"/>
            <w:tcBorders>
              <w:top w:val="single" w:sz="4" w:space="0" w:color="auto"/>
              <w:left w:val="single" w:sz="4" w:space="0" w:color="auto"/>
              <w:bottom w:val="single" w:sz="4" w:space="0" w:color="auto"/>
              <w:right w:val="single" w:sz="4" w:space="0" w:color="auto"/>
            </w:tcBorders>
          </w:tcPr>
          <w:p w14:paraId="554A7A4C" w14:textId="77777777" w:rsidR="002E474C" w:rsidRDefault="00000000">
            <w:pPr>
              <w:pStyle w:val="A-"/>
            </w:pPr>
            <w:r>
              <w:t>4.17</w:t>
            </w:r>
          </w:p>
        </w:tc>
        <w:tc>
          <w:tcPr>
            <w:tcW w:w="290" w:type="pct"/>
            <w:tcBorders>
              <w:top w:val="single" w:sz="4" w:space="0" w:color="auto"/>
              <w:left w:val="single" w:sz="4" w:space="0" w:color="auto"/>
              <w:bottom w:val="single" w:sz="4" w:space="0" w:color="auto"/>
              <w:right w:val="single" w:sz="4" w:space="0" w:color="auto"/>
            </w:tcBorders>
          </w:tcPr>
          <w:p w14:paraId="2542A63B" w14:textId="77777777" w:rsidR="002E474C" w:rsidRDefault="00000000">
            <w:pPr>
              <w:pStyle w:val="A-"/>
            </w:pPr>
            <w:r>
              <w:t>6.81</w:t>
            </w:r>
          </w:p>
        </w:tc>
        <w:tc>
          <w:tcPr>
            <w:tcW w:w="236" w:type="pct"/>
            <w:tcBorders>
              <w:top w:val="single" w:sz="4" w:space="0" w:color="auto"/>
              <w:left w:val="single" w:sz="4" w:space="0" w:color="auto"/>
              <w:bottom w:val="single" w:sz="4" w:space="0" w:color="auto"/>
              <w:right w:val="single" w:sz="4" w:space="0" w:color="auto"/>
            </w:tcBorders>
          </w:tcPr>
          <w:p w14:paraId="08EFD923" w14:textId="77777777" w:rsidR="002E474C" w:rsidRDefault="00000000">
            <w:pPr>
              <w:pStyle w:val="A-"/>
            </w:pPr>
            <w:r>
              <w:t>0.56</w:t>
            </w:r>
          </w:p>
        </w:tc>
      </w:tr>
      <w:tr w:rsidR="002E474C" w14:paraId="4667FC08" w14:textId="77777777">
        <w:tc>
          <w:tcPr>
            <w:tcW w:w="384" w:type="pct"/>
            <w:tcBorders>
              <w:top w:val="single" w:sz="4" w:space="0" w:color="auto"/>
              <w:left w:val="single" w:sz="4" w:space="0" w:color="auto"/>
              <w:bottom w:val="single" w:sz="4" w:space="0" w:color="auto"/>
              <w:right w:val="single" w:sz="4" w:space="0" w:color="auto"/>
            </w:tcBorders>
          </w:tcPr>
          <w:p w14:paraId="1AF41E7D" w14:textId="77777777" w:rsidR="002E474C" w:rsidRDefault="00000000">
            <w:pPr>
              <w:pStyle w:val="A-"/>
            </w:pPr>
            <w:r>
              <w:t>十二月</w:t>
            </w:r>
          </w:p>
        </w:tc>
        <w:tc>
          <w:tcPr>
            <w:tcW w:w="418" w:type="pct"/>
            <w:tcBorders>
              <w:top w:val="single" w:sz="4" w:space="0" w:color="auto"/>
              <w:left w:val="single" w:sz="4" w:space="0" w:color="auto"/>
              <w:bottom w:val="single" w:sz="4" w:space="0" w:color="auto"/>
              <w:right w:val="single" w:sz="4" w:space="0" w:color="auto"/>
            </w:tcBorders>
          </w:tcPr>
          <w:p w14:paraId="224270C3" w14:textId="77777777" w:rsidR="002E474C" w:rsidRDefault="00000000">
            <w:pPr>
              <w:pStyle w:val="A-"/>
            </w:pPr>
            <w:r>
              <w:t>20.83</w:t>
            </w:r>
          </w:p>
        </w:tc>
        <w:tc>
          <w:tcPr>
            <w:tcW w:w="279" w:type="pct"/>
            <w:tcBorders>
              <w:top w:val="single" w:sz="4" w:space="0" w:color="auto"/>
              <w:left w:val="single" w:sz="4" w:space="0" w:color="auto"/>
              <w:bottom w:val="single" w:sz="4" w:space="0" w:color="auto"/>
              <w:right w:val="single" w:sz="4" w:space="0" w:color="auto"/>
            </w:tcBorders>
          </w:tcPr>
          <w:p w14:paraId="69ECAA06" w14:textId="77777777" w:rsidR="002E474C" w:rsidRDefault="00000000">
            <w:pPr>
              <w:pStyle w:val="A-"/>
            </w:pPr>
            <w:r>
              <w:t>8.33</w:t>
            </w:r>
          </w:p>
        </w:tc>
        <w:tc>
          <w:tcPr>
            <w:tcW w:w="236" w:type="pct"/>
            <w:tcBorders>
              <w:top w:val="single" w:sz="4" w:space="0" w:color="auto"/>
              <w:left w:val="single" w:sz="4" w:space="0" w:color="auto"/>
              <w:bottom w:val="single" w:sz="4" w:space="0" w:color="auto"/>
              <w:right w:val="single" w:sz="4" w:space="0" w:color="auto"/>
            </w:tcBorders>
          </w:tcPr>
          <w:p w14:paraId="3743A96F" w14:textId="77777777" w:rsidR="002E474C" w:rsidRDefault="00000000">
            <w:pPr>
              <w:pStyle w:val="A-"/>
            </w:pPr>
            <w:r>
              <w:t>6.32</w:t>
            </w:r>
          </w:p>
        </w:tc>
        <w:tc>
          <w:tcPr>
            <w:tcW w:w="259" w:type="pct"/>
            <w:tcBorders>
              <w:top w:val="single" w:sz="4" w:space="0" w:color="auto"/>
              <w:left w:val="single" w:sz="4" w:space="0" w:color="auto"/>
              <w:bottom w:val="single" w:sz="4" w:space="0" w:color="auto"/>
              <w:right w:val="single" w:sz="4" w:space="0" w:color="auto"/>
            </w:tcBorders>
          </w:tcPr>
          <w:p w14:paraId="39C7C777" w14:textId="77777777" w:rsidR="002E474C" w:rsidRDefault="00000000">
            <w:pPr>
              <w:pStyle w:val="A-"/>
            </w:pPr>
            <w:r>
              <w:t>3.76</w:t>
            </w:r>
          </w:p>
        </w:tc>
        <w:tc>
          <w:tcPr>
            <w:tcW w:w="285" w:type="pct"/>
            <w:tcBorders>
              <w:top w:val="single" w:sz="4" w:space="0" w:color="auto"/>
              <w:left w:val="single" w:sz="4" w:space="0" w:color="auto"/>
              <w:bottom w:val="single" w:sz="4" w:space="0" w:color="auto"/>
              <w:right w:val="single" w:sz="4" w:space="0" w:color="auto"/>
            </w:tcBorders>
          </w:tcPr>
          <w:p w14:paraId="403BE64A" w14:textId="77777777" w:rsidR="002E474C" w:rsidRDefault="00000000">
            <w:pPr>
              <w:pStyle w:val="A-"/>
            </w:pPr>
            <w:r>
              <w:t>8.2</w:t>
            </w:r>
          </w:p>
        </w:tc>
        <w:tc>
          <w:tcPr>
            <w:tcW w:w="279" w:type="pct"/>
            <w:tcBorders>
              <w:top w:val="single" w:sz="4" w:space="0" w:color="auto"/>
              <w:left w:val="single" w:sz="4" w:space="0" w:color="auto"/>
              <w:bottom w:val="single" w:sz="4" w:space="0" w:color="auto"/>
              <w:right w:val="single" w:sz="4" w:space="0" w:color="auto"/>
            </w:tcBorders>
          </w:tcPr>
          <w:p w14:paraId="54FE785A" w14:textId="77777777" w:rsidR="002E474C" w:rsidRDefault="00000000">
            <w:pPr>
              <w:pStyle w:val="A-"/>
            </w:pPr>
            <w:r>
              <w:t>4.7</w:t>
            </w:r>
          </w:p>
        </w:tc>
        <w:tc>
          <w:tcPr>
            <w:tcW w:w="236" w:type="pct"/>
            <w:tcBorders>
              <w:top w:val="single" w:sz="4" w:space="0" w:color="auto"/>
              <w:left w:val="single" w:sz="4" w:space="0" w:color="auto"/>
              <w:bottom w:val="single" w:sz="4" w:space="0" w:color="auto"/>
              <w:right w:val="single" w:sz="4" w:space="0" w:color="auto"/>
            </w:tcBorders>
          </w:tcPr>
          <w:p w14:paraId="415BFBDF" w14:textId="77777777" w:rsidR="002E474C" w:rsidRDefault="00000000">
            <w:pPr>
              <w:pStyle w:val="A-"/>
            </w:pPr>
            <w:r>
              <w:t>6.05</w:t>
            </w:r>
          </w:p>
        </w:tc>
        <w:tc>
          <w:tcPr>
            <w:tcW w:w="236" w:type="pct"/>
            <w:tcBorders>
              <w:top w:val="single" w:sz="4" w:space="0" w:color="auto"/>
              <w:left w:val="single" w:sz="4" w:space="0" w:color="auto"/>
              <w:bottom w:val="single" w:sz="4" w:space="0" w:color="auto"/>
              <w:right w:val="single" w:sz="4" w:space="0" w:color="auto"/>
            </w:tcBorders>
          </w:tcPr>
          <w:p w14:paraId="00DA786D" w14:textId="77777777" w:rsidR="002E474C" w:rsidRDefault="00000000">
            <w:pPr>
              <w:pStyle w:val="A-"/>
            </w:pPr>
            <w:r>
              <w:t>4.84</w:t>
            </w:r>
          </w:p>
        </w:tc>
        <w:tc>
          <w:tcPr>
            <w:tcW w:w="236" w:type="pct"/>
            <w:tcBorders>
              <w:top w:val="single" w:sz="4" w:space="0" w:color="auto"/>
              <w:left w:val="single" w:sz="4" w:space="0" w:color="auto"/>
              <w:bottom w:val="single" w:sz="4" w:space="0" w:color="auto"/>
              <w:right w:val="single" w:sz="4" w:space="0" w:color="auto"/>
            </w:tcBorders>
          </w:tcPr>
          <w:p w14:paraId="584A9BFA" w14:textId="77777777" w:rsidR="002E474C" w:rsidRDefault="00000000">
            <w:pPr>
              <w:pStyle w:val="A-"/>
            </w:pPr>
            <w:r>
              <w:t>8.6</w:t>
            </w:r>
          </w:p>
        </w:tc>
        <w:tc>
          <w:tcPr>
            <w:tcW w:w="266" w:type="pct"/>
            <w:tcBorders>
              <w:top w:val="single" w:sz="4" w:space="0" w:color="auto"/>
              <w:left w:val="single" w:sz="4" w:space="0" w:color="auto"/>
              <w:bottom w:val="single" w:sz="4" w:space="0" w:color="auto"/>
              <w:right w:val="single" w:sz="4" w:space="0" w:color="auto"/>
            </w:tcBorders>
          </w:tcPr>
          <w:p w14:paraId="414EB05F" w14:textId="77777777" w:rsidR="002E474C" w:rsidRDefault="00000000">
            <w:pPr>
              <w:pStyle w:val="A-"/>
            </w:pPr>
            <w:r>
              <w:t>4.03</w:t>
            </w:r>
          </w:p>
        </w:tc>
        <w:tc>
          <w:tcPr>
            <w:tcW w:w="283" w:type="pct"/>
            <w:tcBorders>
              <w:top w:val="single" w:sz="4" w:space="0" w:color="auto"/>
              <w:left w:val="single" w:sz="4" w:space="0" w:color="auto"/>
              <w:bottom w:val="single" w:sz="4" w:space="0" w:color="auto"/>
              <w:right w:val="single" w:sz="4" w:space="0" w:color="auto"/>
            </w:tcBorders>
          </w:tcPr>
          <w:p w14:paraId="02D0F6B2" w14:textId="77777777" w:rsidR="002E474C" w:rsidRDefault="00000000">
            <w:pPr>
              <w:pStyle w:val="A-"/>
            </w:pPr>
            <w:r>
              <w:t>2.55</w:t>
            </w:r>
          </w:p>
        </w:tc>
        <w:tc>
          <w:tcPr>
            <w:tcW w:w="295" w:type="pct"/>
            <w:tcBorders>
              <w:top w:val="single" w:sz="4" w:space="0" w:color="auto"/>
              <w:left w:val="single" w:sz="4" w:space="0" w:color="auto"/>
              <w:bottom w:val="single" w:sz="4" w:space="0" w:color="auto"/>
              <w:right w:val="single" w:sz="4" w:space="0" w:color="auto"/>
            </w:tcBorders>
          </w:tcPr>
          <w:p w14:paraId="2594B766" w14:textId="77777777" w:rsidR="002E474C" w:rsidRDefault="00000000">
            <w:pPr>
              <w:pStyle w:val="A-"/>
            </w:pPr>
            <w:r>
              <w:t>1.34</w:t>
            </w:r>
          </w:p>
        </w:tc>
        <w:tc>
          <w:tcPr>
            <w:tcW w:w="236" w:type="pct"/>
            <w:tcBorders>
              <w:top w:val="single" w:sz="4" w:space="0" w:color="auto"/>
              <w:left w:val="single" w:sz="4" w:space="0" w:color="auto"/>
              <w:bottom w:val="single" w:sz="4" w:space="0" w:color="auto"/>
              <w:right w:val="single" w:sz="4" w:space="0" w:color="auto"/>
            </w:tcBorders>
          </w:tcPr>
          <w:p w14:paraId="554C8864" w14:textId="77777777" w:rsidR="002E474C" w:rsidRDefault="00000000">
            <w:pPr>
              <w:pStyle w:val="A-"/>
            </w:pPr>
            <w:r>
              <w:t>3.09</w:t>
            </w:r>
          </w:p>
        </w:tc>
        <w:tc>
          <w:tcPr>
            <w:tcW w:w="310" w:type="pct"/>
            <w:tcBorders>
              <w:top w:val="single" w:sz="4" w:space="0" w:color="auto"/>
              <w:left w:val="single" w:sz="4" w:space="0" w:color="auto"/>
              <w:bottom w:val="single" w:sz="4" w:space="0" w:color="auto"/>
              <w:right w:val="single" w:sz="4" w:space="0" w:color="auto"/>
            </w:tcBorders>
          </w:tcPr>
          <w:p w14:paraId="741947FB" w14:textId="77777777" w:rsidR="002E474C" w:rsidRDefault="00000000">
            <w:pPr>
              <w:pStyle w:val="A-"/>
            </w:pPr>
            <w:r>
              <w:t>2.96</w:t>
            </w:r>
          </w:p>
        </w:tc>
        <w:tc>
          <w:tcPr>
            <w:tcW w:w="236" w:type="pct"/>
            <w:tcBorders>
              <w:top w:val="single" w:sz="4" w:space="0" w:color="auto"/>
              <w:left w:val="single" w:sz="4" w:space="0" w:color="auto"/>
              <w:bottom w:val="single" w:sz="4" w:space="0" w:color="auto"/>
              <w:right w:val="single" w:sz="4" w:space="0" w:color="auto"/>
            </w:tcBorders>
          </w:tcPr>
          <w:p w14:paraId="08EB585B" w14:textId="77777777" w:rsidR="002E474C" w:rsidRDefault="00000000">
            <w:pPr>
              <w:pStyle w:val="A-"/>
            </w:pPr>
            <w:r>
              <w:t>6.59</w:t>
            </w:r>
          </w:p>
        </w:tc>
        <w:tc>
          <w:tcPr>
            <w:tcW w:w="290" w:type="pct"/>
            <w:tcBorders>
              <w:top w:val="single" w:sz="4" w:space="0" w:color="auto"/>
              <w:left w:val="single" w:sz="4" w:space="0" w:color="auto"/>
              <w:bottom w:val="single" w:sz="4" w:space="0" w:color="auto"/>
              <w:right w:val="single" w:sz="4" w:space="0" w:color="auto"/>
            </w:tcBorders>
          </w:tcPr>
          <w:p w14:paraId="47A94B63" w14:textId="77777777" w:rsidR="002E474C" w:rsidRDefault="00000000">
            <w:pPr>
              <w:pStyle w:val="A-"/>
            </w:pPr>
            <w:r>
              <w:t>7.26</w:t>
            </w:r>
          </w:p>
        </w:tc>
        <w:tc>
          <w:tcPr>
            <w:tcW w:w="236" w:type="pct"/>
            <w:tcBorders>
              <w:top w:val="single" w:sz="4" w:space="0" w:color="auto"/>
              <w:left w:val="single" w:sz="4" w:space="0" w:color="auto"/>
              <w:bottom w:val="single" w:sz="4" w:space="0" w:color="auto"/>
              <w:right w:val="single" w:sz="4" w:space="0" w:color="auto"/>
            </w:tcBorders>
          </w:tcPr>
          <w:p w14:paraId="44BDF4E0" w14:textId="77777777" w:rsidR="002E474C" w:rsidRDefault="00000000">
            <w:pPr>
              <w:pStyle w:val="A-"/>
            </w:pPr>
            <w:r>
              <w:t>0.54</w:t>
            </w:r>
          </w:p>
        </w:tc>
      </w:tr>
      <w:tr w:rsidR="002E474C" w14:paraId="6B611737" w14:textId="77777777">
        <w:tc>
          <w:tcPr>
            <w:tcW w:w="384" w:type="pct"/>
            <w:tcBorders>
              <w:top w:val="single" w:sz="4" w:space="0" w:color="auto"/>
              <w:left w:val="single" w:sz="4" w:space="0" w:color="auto"/>
              <w:bottom w:val="single" w:sz="4" w:space="0" w:color="auto"/>
              <w:right w:val="single" w:sz="4" w:space="0" w:color="auto"/>
            </w:tcBorders>
          </w:tcPr>
          <w:p w14:paraId="1E3CA3C3" w14:textId="77777777" w:rsidR="002E474C" w:rsidRDefault="00000000">
            <w:pPr>
              <w:pStyle w:val="A-"/>
            </w:pPr>
            <w:r>
              <w:t>全年</w:t>
            </w:r>
          </w:p>
        </w:tc>
        <w:tc>
          <w:tcPr>
            <w:tcW w:w="418" w:type="pct"/>
            <w:tcBorders>
              <w:top w:val="single" w:sz="4" w:space="0" w:color="auto"/>
              <w:left w:val="single" w:sz="4" w:space="0" w:color="auto"/>
              <w:bottom w:val="single" w:sz="4" w:space="0" w:color="auto"/>
              <w:right w:val="single" w:sz="4" w:space="0" w:color="auto"/>
            </w:tcBorders>
          </w:tcPr>
          <w:p w14:paraId="1763360D" w14:textId="77777777" w:rsidR="002E474C" w:rsidRDefault="00000000">
            <w:pPr>
              <w:pStyle w:val="A-"/>
            </w:pPr>
            <w:r>
              <w:t>13.91</w:t>
            </w:r>
          </w:p>
        </w:tc>
        <w:tc>
          <w:tcPr>
            <w:tcW w:w="279" w:type="pct"/>
            <w:tcBorders>
              <w:top w:val="single" w:sz="4" w:space="0" w:color="auto"/>
              <w:left w:val="single" w:sz="4" w:space="0" w:color="auto"/>
              <w:bottom w:val="single" w:sz="4" w:space="0" w:color="auto"/>
              <w:right w:val="single" w:sz="4" w:space="0" w:color="auto"/>
            </w:tcBorders>
          </w:tcPr>
          <w:p w14:paraId="541D4BC4" w14:textId="77777777" w:rsidR="002E474C" w:rsidRDefault="00000000">
            <w:pPr>
              <w:pStyle w:val="A-"/>
            </w:pPr>
            <w:r>
              <w:t>7.88</w:t>
            </w:r>
          </w:p>
        </w:tc>
        <w:tc>
          <w:tcPr>
            <w:tcW w:w="236" w:type="pct"/>
            <w:tcBorders>
              <w:top w:val="single" w:sz="4" w:space="0" w:color="auto"/>
              <w:left w:val="single" w:sz="4" w:space="0" w:color="auto"/>
              <w:bottom w:val="single" w:sz="4" w:space="0" w:color="auto"/>
              <w:right w:val="single" w:sz="4" w:space="0" w:color="auto"/>
            </w:tcBorders>
          </w:tcPr>
          <w:p w14:paraId="02F07D24" w14:textId="77777777" w:rsidR="002E474C" w:rsidRDefault="00000000">
            <w:pPr>
              <w:pStyle w:val="A-"/>
            </w:pPr>
            <w:r>
              <w:t>5.69</w:t>
            </w:r>
          </w:p>
        </w:tc>
        <w:tc>
          <w:tcPr>
            <w:tcW w:w="259" w:type="pct"/>
            <w:tcBorders>
              <w:top w:val="single" w:sz="4" w:space="0" w:color="auto"/>
              <w:left w:val="single" w:sz="4" w:space="0" w:color="auto"/>
              <w:bottom w:val="single" w:sz="4" w:space="0" w:color="auto"/>
              <w:right w:val="single" w:sz="4" w:space="0" w:color="auto"/>
            </w:tcBorders>
          </w:tcPr>
          <w:p w14:paraId="5EFD86DF" w14:textId="77777777" w:rsidR="002E474C" w:rsidRDefault="00000000">
            <w:pPr>
              <w:pStyle w:val="A-"/>
            </w:pPr>
            <w:r>
              <w:t>6.9</w:t>
            </w:r>
          </w:p>
        </w:tc>
        <w:tc>
          <w:tcPr>
            <w:tcW w:w="285" w:type="pct"/>
            <w:tcBorders>
              <w:top w:val="single" w:sz="4" w:space="0" w:color="auto"/>
              <w:left w:val="single" w:sz="4" w:space="0" w:color="auto"/>
              <w:bottom w:val="single" w:sz="4" w:space="0" w:color="auto"/>
              <w:right w:val="single" w:sz="4" w:space="0" w:color="auto"/>
            </w:tcBorders>
          </w:tcPr>
          <w:p w14:paraId="3F2C0D14" w14:textId="77777777" w:rsidR="002E474C" w:rsidRDefault="00000000">
            <w:pPr>
              <w:pStyle w:val="A-"/>
            </w:pPr>
            <w:r>
              <w:t>11.95</w:t>
            </w:r>
          </w:p>
        </w:tc>
        <w:tc>
          <w:tcPr>
            <w:tcW w:w="279" w:type="pct"/>
            <w:tcBorders>
              <w:top w:val="single" w:sz="4" w:space="0" w:color="auto"/>
              <w:left w:val="single" w:sz="4" w:space="0" w:color="auto"/>
              <w:bottom w:val="single" w:sz="4" w:space="0" w:color="auto"/>
              <w:right w:val="single" w:sz="4" w:space="0" w:color="auto"/>
            </w:tcBorders>
          </w:tcPr>
          <w:p w14:paraId="17FE909C" w14:textId="77777777" w:rsidR="002E474C" w:rsidRDefault="00000000">
            <w:pPr>
              <w:pStyle w:val="A-"/>
            </w:pPr>
            <w:r>
              <w:t>6.51</w:t>
            </w:r>
          </w:p>
        </w:tc>
        <w:tc>
          <w:tcPr>
            <w:tcW w:w="236" w:type="pct"/>
            <w:tcBorders>
              <w:top w:val="single" w:sz="4" w:space="0" w:color="auto"/>
              <w:left w:val="single" w:sz="4" w:space="0" w:color="auto"/>
              <w:bottom w:val="single" w:sz="4" w:space="0" w:color="auto"/>
              <w:right w:val="single" w:sz="4" w:space="0" w:color="auto"/>
            </w:tcBorders>
          </w:tcPr>
          <w:p w14:paraId="1BFE6A12" w14:textId="77777777" w:rsidR="002E474C" w:rsidRDefault="00000000">
            <w:pPr>
              <w:pStyle w:val="A-"/>
            </w:pPr>
            <w:r>
              <w:t>4.61</w:t>
            </w:r>
          </w:p>
        </w:tc>
        <w:tc>
          <w:tcPr>
            <w:tcW w:w="236" w:type="pct"/>
            <w:tcBorders>
              <w:top w:val="single" w:sz="4" w:space="0" w:color="auto"/>
              <w:left w:val="single" w:sz="4" w:space="0" w:color="auto"/>
              <w:bottom w:val="single" w:sz="4" w:space="0" w:color="auto"/>
              <w:right w:val="single" w:sz="4" w:space="0" w:color="auto"/>
            </w:tcBorders>
          </w:tcPr>
          <w:p w14:paraId="0A37ED43" w14:textId="77777777" w:rsidR="002E474C" w:rsidRDefault="00000000">
            <w:pPr>
              <w:pStyle w:val="A-"/>
            </w:pPr>
            <w:r>
              <w:t>3.62</w:t>
            </w:r>
          </w:p>
        </w:tc>
        <w:tc>
          <w:tcPr>
            <w:tcW w:w="236" w:type="pct"/>
            <w:tcBorders>
              <w:top w:val="single" w:sz="4" w:space="0" w:color="auto"/>
              <w:left w:val="single" w:sz="4" w:space="0" w:color="auto"/>
              <w:bottom w:val="single" w:sz="4" w:space="0" w:color="auto"/>
              <w:right w:val="single" w:sz="4" w:space="0" w:color="auto"/>
            </w:tcBorders>
          </w:tcPr>
          <w:p w14:paraId="1E95EA13" w14:textId="77777777" w:rsidR="002E474C" w:rsidRDefault="00000000">
            <w:pPr>
              <w:pStyle w:val="A-"/>
            </w:pPr>
            <w:r>
              <w:t>5.75</w:t>
            </w:r>
          </w:p>
        </w:tc>
        <w:tc>
          <w:tcPr>
            <w:tcW w:w="266" w:type="pct"/>
            <w:tcBorders>
              <w:top w:val="single" w:sz="4" w:space="0" w:color="auto"/>
              <w:left w:val="single" w:sz="4" w:space="0" w:color="auto"/>
              <w:bottom w:val="single" w:sz="4" w:space="0" w:color="auto"/>
              <w:right w:val="single" w:sz="4" w:space="0" w:color="auto"/>
            </w:tcBorders>
          </w:tcPr>
          <w:p w14:paraId="7841A05C" w14:textId="77777777" w:rsidR="002E474C" w:rsidRDefault="00000000">
            <w:pPr>
              <w:pStyle w:val="A-"/>
            </w:pPr>
            <w:r>
              <w:t>4.62</w:t>
            </w:r>
          </w:p>
        </w:tc>
        <w:tc>
          <w:tcPr>
            <w:tcW w:w="283" w:type="pct"/>
            <w:tcBorders>
              <w:top w:val="single" w:sz="4" w:space="0" w:color="auto"/>
              <w:left w:val="single" w:sz="4" w:space="0" w:color="auto"/>
              <w:bottom w:val="single" w:sz="4" w:space="0" w:color="auto"/>
              <w:right w:val="single" w:sz="4" w:space="0" w:color="auto"/>
            </w:tcBorders>
          </w:tcPr>
          <w:p w14:paraId="08B1D1E0" w14:textId="77777777" w:rsidR="002E474C" w:rsidRDefault="00000000">
            <w:pPr>
              <w:pStyle w:val="A-"/>
            </w:pPr>
            <w:r>
              <w:t>5.85</w:t>
            </w:r>
          </w:p>
        </w:tc>
        <w:tc>
          <w:tcPr>
            <w:tcW w:w="295" w:type="pct"/>
            <w:tcBorders>
              <w:top w:val="single" w:sz="4" w:space="0" w:color="auto"/>
              <w:left w:val="single" w:sz="4" w:space="0" w:color="auto"/>
              <w:bottom w:val="single" w:sz="4" w:space="0" w:color="auto"/>
              <w:right w:val="single" w:sz="4" w:space="0" w:color="auto"/>
            </w:tcBorders>
          </w:tcPr>
          <w:p w14:paraId="28CD39F2" w14:textId="77777777" w:rsidR="002E474C" w:rsidRDefault="00000000">
            <w:pPr>
              <w:pStyle w:val="A-"/>
            </w:pPr>
            <w:r>
              <w:t>3.31</w:t>
            </w:r>
          </w:p>
        </w:tc>
        <w:tc>
          <w:tcPr>
            <w:tcW w:w="236" w:type="pct"/>
            <w:tcBorders>
              <w:top w:val="single" w:sz="4" w:space="0" w:color="auto"/>
              <w:left w:val="single" w:sz="4" w:space="0" w:color="auto"/>
              <w:bottom w:val="single" w:sz="4" w:space="0" w:color="auto"/>
              <w:right w:val="single" w:sz="4" w:space="0" w:color="auto"/>
            </w:tcBorders>
          </w:tcPr>
          <w:p w14:paraId="6434BBE6" w14:textId="77777777" w:rsidR="002E474C" w:rsidRDefault="00000000">
            <w:pPr>
              <w:pStyle w:val="A-"/>
            </w:pPr>
            <w:r>
              <w:t>4.99</w:t>
            </w:r>
          </w:p>
        </w:tc>
        <w:tc>
          <w:tcPr>
            <w:tcW w:w="310" w:type="pct"/>
            <w:tcBorders>
              <w:top w:val="single" w:sz="4" w:space="0" w:color="auto"/>
              <w:left w:val="single" w:sz="4" w:space="0" w:color="auto"/>
              <w:bottom w:val="single" w:sz="4" w:space="0" w:color="auto"/>
              <w:right w:val="single" w:sz="4" w:space="0" w:color="auto"/>
            </w:tcBorders>
          </w:tcPr>
          <w:p w14:paraId="56194F3A" w14:textId="77777777" w:rsidR="002E474C" w:rsidRDefault="00000000">
            <w:pPr>
              <w:pStyle w:val="A-"/>
            </w:pPr>
            <w:r>
              <w:t>3.44</w:t>
            </w:r>
          </w:p>
        </w:tc>
        <w:tc>
          <w:tcPr>
            <w:tcW w:w="236" w:type="pct"/>
            <w:tcBorders>
              <w:top w:val="single" w:sz="4" w:space="0" w:color="auto"/>
              <w:left w:val="single" w:sz="4" w:space="0" w:color="auto"/>
              <w:bottom w:val="single" w:sz="4" w:space="0" w:color="auto"/>
              <w:right w:val="single" w:sz="4" w:space="0" w:color="auto"/>
            </w:tcBorders>
          </w:tcPr>
          <w:p w14:paraId="24015AC2" w14:textId="77777777" w:rsidR="002E474C" w:rsidRDefault="00000000">
            <w:pPr>
              <w:pStyle w:val="A-"/>
            </w:pPr>
            <w:r>
              <w:t>5.12</w:t>
            </w:r>
          </w:p>
        </w:tc>
        <w:tc>
          <w:tcPr>
            <w:tcW w:w="290" w:type="pct"/>
            <w:tcBorders>
              <w:top w:val="single" w:sz="4" w:space="0" w:color="auto"/>
              <w:left w:val="single" w:sz="4" w:space="0" w:color="auto"/>
              <w:bottom w:val="single" w:sz="4" w:space="0" w:color="auto"/>
              <w:right w:val="single" w:sz="4" w:space="0" w:color="auto"/>
            </w:tcBorders>
          </w:tcPr>
          <w:p w14:paraId="63039386" w14:textId="77777777" w:rsidR="002E474C" w:rsidRDefault="00000000">
            <w:pPr>
              <w:pStyle w:val="A-"/>
            </w:pPr>
            <w:r>
              <w:t>5.69</w:t>
            </w:r>
          </w:p>
        </w:tc>
        <w:tc>
          <w:tcPr>
            <w:tcW w:w="236" w:type="pct"/>
            <w:tcBorders>
              <w:top w:val="single" w:sz="4" w:space="0" w:color="auto"/>
              <w:left w:val="single" w:sz="4" w:space="0" w:color="auto"/>
              <w:bottom w:val="single" w:sz="4" w:space="0" w:color="auto"/>
              <w:right w:val="single" w:sz="4" w:space="0" w:color="auto"/>
            </w:tcBorders>
          </w:tcPr>
          <w:p w14:paraId="1B3F6DB9" w14:textId="77777777" w:rsidR="002E474C" w:rsidRDefault="00000000">
            <w:pPr>
              <w:pStyle w:val="A-"/>
            </w:pPr>
            <w:r>
              <w:t>0.15</w:t>
            </w:r>
          </w:p>
        </w:tc>
      </w:tr>
      <w:tr w:rsidR="002E474C" w14:paraId="1B1D4F9D" w14:textId="77777777">
        <w:tc>
          <w:tcPr>
            <w:tcW w:w="384" w:type="pct"/>
            <w:tcBorders>
              <w:top w:val="single" w:sz="4" w:space="0" w:color="auto"/>
              <w:left w:val="single" w:sz="4" w:space="0" w:color="auto"/>
              <w:bottom w:val="single" w:sz="4" w:space="0" w:color="auto"/>
              <w:right w:val="single" w:sz="4" w:space="0" w:color="auto"/>
            </w:tcBorders>
          </w:tcPr>
          <w:p w14:paraId="06C47DFD" w14:textId="77777777" w:rsidR="002E474C" w:rsidRDefault="00000000">
            <w:pPr>
              <w:pStyle w:val="A-"/>
            </w:pPr>
            <w:r>
              <w:t>春季</w:t>
            </w:r>
          </w:p>
        </w:tc>
        <w:tc>
          <w:tcPr>
            <w:tcW w:w="418" w:type="pct"/>
            <w:tcBorders>
              <w:top w:val="single" w:sz="4" w:space="0" w:color="auto"/>
              <w:left w:val="single" w:sz="4" w:space="0" w:color="auto"/>
              <w:bottom w:val="single" w:sz="4" w:space="0" w:color="auto"/>
              <w:right w:val="single" w:sz="4" w:space="0" w:color="auto"/>
            </w:tcBorders>
          </w:tcPr>
          <w:p w14:paraId="3B2200B1" w14:textId="77777777" w:rsidR="002E474C" w:rsidRDefault="00000000">
            <w:pPr>
              <w:pStyle w:val="A-"/>
            </w:pPr>
            <w:r>
              <w:t>11.23</w:t>
            </w:r>
          </w:p>
        </w:tc>
        <w:tc>
          <w:tcPr>
            <w:tcW w:w="279" w:type="pct"/>
            <w:tcBorders>
              <w:top w:val="single" w:sz="4" w:space="0" w:color="auto"/>
              <w:left w:val="single" w:sz="4" w:space="0" w:color="auto"/>
              <w:bottom w:val="single" w:sz="4" w:space="0" w:color="auto"/>
              <w:right w:val="single" w:sz="4" w:space="0" w:color="auto"/>
            </w:tcBorders>
          </w:tcPr>
          <w:p w14:paraId="22815F78" w14:textId="77777777" w:rsidR="002E474C" w:rsidRDefault="00000000">
            <w:pPr>
              <w:pStyle w:val="A-"/>
            </w:pPr>
            <w:r>
              <w:t>7.02</w:t>
            </w:r>
          </w:p>
        </w:tc>
        <w:tc>
          <w:tcPr>
            <w:tcW w:w="236" w:type="pct"/>
            <w:tcBorders>
              <w:top w:val="single" w:sz="4" w:space="0" w:color="auto"/>
              <w:left w:val="single" w:sz="4" w:space="0" w:color="auto"/>
              <w:bottom w:val="single" w:sz="4" w:space="0" w:color="auto"/>
              <w:right w:val="single" w:sz="4" w:space="0" w:color="auto"/>
            </w:tcBorders>
          </w:tcPr>
          <w:p w14:paraId="583837EA" w14:textId="77777777" w:rsidR="002E474C" w:rsidRDefault="00000000">
            <w:pPr>
              <w:pStyle w:val="A-"/>
            </w:pPr>
            <w:r>
              <w:t>6.2</w:t>
            </w:r>
          </w:p>
        </w:tc>
        <w:tc>
          <w:tcPr>
            <w:tcW w:w="259" w:type="pct"/>
            <w:tcBorders>
              <w:top w:val="single" w:sz="4" w:space="0" w:color="auto"/>
              <w:left w:val="single" w:sz="4" w:space="0" w:color="auto"/>
              <w:bottom w:val="single" w:sz="4" w:space="0" w:color="auto"/>
              <w:right w:val="single" w:sz="4" w:space="0" w:color="auto"/>
            </w:tcBorders>
          </w:tcPr>
          <w:p w14:paraId="7FC5E41F" w14:textId="77777777" w:rsidR="002E474C" w:rsidRDefault="00000000">
            <w:pPr>
              <w:pStyle w:val="A-"/>
            </w:pPr>
            <w:r>
              <w:t>8.02</w:t>
            </w:r>
          </w:p>
        </w:tc>
        <w:tc>
          <w:tcPr>
            <w:tcW w:w="285" w:type="pct"/>
            <w:tcBorders>
              <w:top w:val="single" w:sz="4" w:space="0" w:color="auto"/>
              <w:left w:val="single" w:sz="4" w:space="0" w:color="auto"/>
              <w:bottom w:val="single" w:sz="4" w:space="0" w:color="auto"/>
              <w:right w:val="single" w:sz="4" w:space="0" w:color="auto"/>
            </w:tcBorders>
          </w:tcPr>
          <w:p w14:paraId="65CD6A7A" w14:textId="77777777" w:rsidR="002E474C" w:rsidRDefault="00000000">
            <w:pPr>
              <w:pStyle w:val="A-"/>
            </w:pPr>
            <w:r>
              <w:t>16.58</w:t>
            </w:r>
          </w:p>
        </w:tc>
        <w:tc>
          <w:tcPr>
            <w:tcW w:w="279" w:type="pct"/>
            <w:tcBorders>
              <w:top w:val="single" w:sz="4" w:space="0" w:color="auto"/>
              <w:left w:val="single" w:sz="4" w:space="0" w:color="auto"/>
              <w:bottom w:val="single" w:sz="4" w:space="0" w:color="auto"/>
              <w:right w:val="single" w:sz="4" w:space="0" w:color="auto"/>
            </w:tcBorders>
          </w:tcPr>
          <w:p w14:paraId="147AB5D8" w14:textId="77777777" w:rsidR="002E474C" w:rsidRDefault="00000000">
            <w:pPr>
              <w:pStyle w:val="A-"/>
            </w:pPr>
            <w:r>
              <w:t>8.7</w:t>
            </w:r>
          </w:p>
        </w:tc>
        <w:tc>
          <w:tcPr>
            <w:tcW w:w="236" w:type="pct"/>
            <w:tcBorders>
              <w:top w:val="single" w:sz="4" w:space="0" w:color="auto"/>
              <w:left w:val="single" w:sz="4" w:space="0" w:color="auto"/>
              <w:bottom w:val="single" w:sz="4" w:space="0" w:color="auto"/>
              <w:right w:val="single" w:sz="4" w:space="0" w:color="auto"/>
            </w:tcBorders>
          </w:tcPr>
          <w:p w14:paraId="429EEC0C" w14:textId="77777777" w:rsidR="002E474C" w:rsidRDefault="00000000">
            <w:pPr>
              <w:pStyle w:val="A-"/>
            </w:pPr>
            <w:r>
              <w:t>5.48</w:t>
            </w:r>
          </w:p>
        </w:tc>
        <w:tc>
          <w:tcPr>
            <w:tcW w:w="236" w:type="pct"/>
            <w:tcBorders>
              <w:top w:val="single" w:sz="4" w:space="0" w:color="auto"/>
              <w:left w:val="single" w:sz="4" w:space="0" w:color="auto"/>
              <w:bottom w:val="single" w:sz="4" w:space="0" w:color="auto"/>
              <w:right w:val="single" w:sz="4" w:space="0" w:color="auto"/>
            </w:tcBorders>
          </w:tcPr>
          <w:p w14:paraId="65D25442" w14:textId="77777777" w:rsidR="002E474C" w:rsidRDefault="00000000">
            <w:pPr>
              <w:pStyle w:val="A-"/>
            </w:pPr>
            <w:r>
              <w:t>3.4</w:t>
            </w:r>
          </w:p>
        </w:tc>
        <w:tc>
          <w:tcPr>
            <w:tcW w:w="236" w:type="pct"/>
            <w:tcBorders>
              <w:top w:val="single" w:sz="4" w:space="0" w:color="auto"/>
              <w:left w:val="single" w:sz="4" w:space="0" w:color="auto"/>
              <w:bottom w:val="single" w:sz="4" w:space="0" w:color="auto"/>
              <w:right w:val="single" w:sz="4" w:space="0" w:color="auto"/>
            </w:tcBorders>
          </w:tcPr>
          <w:p w14:paraId="50F76841" w14:textId="77777777" w:rsidR="002E474C" w:rsidRDefault="00000000">
            <w:pPr>
              <w:pStyle w:val="A-"/>
            </w:pPr>
            <w:r>
              <w:t>4.53</w:t>
            </w:r>
          </w:p>
        </w:tc>
        <w:tc>
          <w:tcPr>
            <w:tcW w:w="266" w:type="pct"/>
            <w:tcBorders>
              <w:top w:val="single" w:sz="4" w:space="0" w:color="auto"/>
              <w:left w:val="single" w:sz="4" w:space="0" w:color="auto"/>
              <w:bottom w:val="single" w:sz="4" w:space="0" w:color="auto"/>
              <w:right w:val="single" w:sz="4" w:space="0" w:color="auto"/>
            </w:tcBorders>
          </w:tcPr>
          <w:p w14:paraId="3E675E41" w14:textId="77777777" w:rsidR="002E474C" w:rsidRDefault="00000000">
            <w:pPr>
              <w:pStyle w:val="A-"/>
            </w:pPr>
            <w:r>
              <w:t>3.94</w:t>
            </w:r>
          </w:p>
        </w:tc>
        <w:tc>
          <w:tcPr>
            <w:tcW w:w="283" w:type="pct"/>
            <w:tcBorders>
              <w:top w:val="single" w:sz="4" w:space="0" w:color="auto"/>
              <w:left w:val="single" w:sz="4" w:space="0" w:color="auto"/>
              <w:bottom w:val="single" w:sz="4" w:space="0" w:color="auto"/>
              <w:right w:val="single" w:sz="4" w:space="0" w:color="auto"/>
            </w:tcBorders>
          </w:tcPr>
          <w:p w14:paraId="1E97B8E2" w14:textId="77777777" w:rsidR="002E474C" w:rsidRDefault="00000000">
            <w:pPr>
              <w:pStyle w:val="A-"/>
            </w:pPr>
            <w:r>
              <w:t>4.48</w:t>
            </w:r>
          </w:p>
        </w:tc>
        <w:tc>
          <w:tcPr>
            <w:tcW w:w="295" w:type="pct"/>
            <w:tcBorders>
              <w:top w:val="single" w:sz="4" w:space="0" w:color="auto"/>
              <w:left w:val="single" w:sz="4" w:space="0" w:color="auto"/>
              <w:bottom w:val="single" w:sz="4" w:space="0" w:color="auto"/>
              <w:right w:val="single" w:sz="4" w:space="0" w:color="auto"/>
            </w:tcBorders>
          </w:tcPr>
          <w:p w14:paraId="3D9C84B4" w14:textId="77777777" w:rsidR="002E474C" w:rsidRDefault="00000000">
            <w:pPr>
              <w:pStyle w:val="A-"/>
            </w:pPr>
            <w:r>
              <w:t>2.99</w:t>
            </w:r>
          </w:p>
        </w:tc>
        <w:tc>
          <w:tcPr>
            <w:tcW w:w="236" w:type="pct"/>
            <w:tcBorders>
              <w:top w:val="single" w:sz="4" w:space="0" w:color="auto"/>
              <w:left w:val="single" w:sz="4" w:space="0" w:color="auto"/>
              <w:bottom w:val="single" w:sz="4" w:space="0" w:color="auto"/>
              <w:right w:val="single" w:sz="4" w:space="0" w:color="auto"/>
            </w:tcBorders>
          </w:tcPr>
          <w:p w14:paraId="389BB59F" w14:textId="77777777" w:rsidR="002E474C" w:rsidRDefault="00000000">
            <w:pPr>
              <w:pStyle w:val="A-"/>
            </w:pPr>
            <w:r>
              <w:t>5.3</w:t>
            </w:r>
          </w:p>
        </w:tc>
        <w:tc>
          <w:tcPr>
            <w:tcW w:w="310" w:type="pct"/>
            <w:tcBorders>
              <w:top w:val="single" w:sz="4" w:space="0" w:color="auto"/>
              <w:left w:val="single" w:sz="4" w:space="0" w:color="auto"/>
              <w:bottom w:val="single" w:sz="4" w:space="0" w:color="auto"/>
              <w:right w:val="single" w:sz="4" w:space="0" w:color="auto"/>
            </w:tcBorders>
          </w:tcPr>
          <w:p w14:paraId="4893727F" w14:textId="77777777" w:rsidR="002E474C" w:rsidRDefault="00000000">
            <w:pPr>
              <w:pStyle w:val="A-"/>
            </w:pPr>
            <w:r>
              <w:t>2.94</w:t>
            </w:r>
          </w:p>
        </w:tc>
        <w:tc>
          <w:tcPr>
            <w:tcW w:w="236" w:type="pct"/>
            <w:tcBorders>
              <w:top w:val="single" w:sz="4" w:space="0" w:color="auto"/>
              <w:left w:val="single" w:sz="4" w:space="0" w:color="auto"/>
              <w:bottom w:val="single" w:sz="4" w:space="0" w:color="auto"/>
              <w:right w:val="single" w:sz="4" w:space="0" w:color="auto"/>
            </w:tcBorders>
          </w:tcPr>
          <w:p w14:paraId="5B9C54E4" w14:textId="77777777" w:rsidR="002E474C" w:rsidRDefault="00000000">
            <w:pPr>
              <w:pStyle w:val="A-"/>
            </w:pPr>
            <w:r>
              <w:t>3.99</w:t>
            </w:r>
          </w:p>
        </w:tc>
        <w:tc>
          <w:tcPr>
            <w:tcW w:w="290" w:type="pct"/>
            <w:tcBorders>
              <w:top w:val="single" w:sz="4" w:space="0" w:color="auto"/>
              <w:left w:val="single" w:sz="4" w:space="0" w:color="auto"/>
              <w:bottom w:val="single" w:sz="4" w:space="0" w:color="auto"/>
              <w:right w:val="single" w:sz="4" w:space="0" w:color="auto"/>
            </w:tcBorders>
          </w:tcPr>
          <w:p w14:paraId="1771981B" w14:textId="77777777" w:rsidR="002E474C" w:rsidRDefault="00000000">
            <w:pPr>
              <w:pStyle w:val="A-"/>
            </w:pPr>
            <w:r>
              <w:t>5.16</w:t>
            </w:r>
          </w:p>
        </w:tc>
        <w:tc>
          <w:tcPr>
            <w:tcW w:w="236" w:type="pct"/>
            <w:tcBorders>
              <w:top w:val="single" w:sz="4" w:space="0" w:color="auto"/>
              <w:left w:val="single" w:sz="4" w:space="0" w:color="auto"/>
              <w:bottom w:val="single" w:sz="4" w:space="0" w:color="auto"/>
              <w:right w:val="single" w:sz="4" w:space="0" w:color="auto"/>
            </w:tcBorders>
          </w:tcPr>
          <w:p w14:paraId="7BE4FF26" w14:textId="77777777" w:rsidR="002E474C" w:rsidRDefault="00000000">
            <w:pPr>
              <w:pStyle w:val="A-"/>
            </w:pPr>
            <w:r>
              <w:t>0.05</w:t>
            </w:r>
          </w:p>
        </w:tc>
      </w:tr>
      <w:tr w:rsidR="002E474C" w14:paraId="7D08DB4F" w14:textId="77777777">
        <w:tc>
          <w:tcPr>
            <w:tcW w:w="384" w:type="pct"/>
            <w:tcBorders>
              <w:top w:val="single" w:sz="4" w:space="0" w:color="auto"/>
              <w:left w:val="single" w:sz="4" w:space="0" w:color="auto"/>
              <w:bottom w:val="single" w:sz="4" w:space="0" w:color="auto"/>
              <w:right w:val="single" w:sz="4" w:space="0" w:color="auto"/>
            </w:tcBorders>
          </w:tcPr>
          <w:p w14:paraId="4E8408C9" w14:textId="77777777" w:rsidR="002E474C" w:rsidRDefault="00000000">
            <w:pPr>
              <w:pStyle w:val="A-"/>
            </w:pPr>
            <w:r>
              <w:t>夏季</w:t>
            </w:r>
          </w:p>
        </w:tc>
        <w:tc>
          <w:tcPr>
            <w:tcW w:w="418" w:type="pct"/>
            <w:tcBorders>
              <w:top w:val="single" w:sz="4" w:space="0" w:color="auto"/>
              <w:left w:val="single" w:sz="4" w:space="0" w:color="auto"/>
              <w:bottom w:val="single" w:sz="4" w:space="0" w:color="auto"/>
              <w:right w:val="single" w:sz="4" w:space="0" w:color="auto"/>
            </w:tcBorders>
          </w:tcPr>
          <w:p w14:paraId="3A51DD30" w14:textId="77777777" w:rsidR="002E474C" w:rsidRDefault="00000000">
            <w:pPr>
              <w:pStyle w:val="A-"/>
            </w:pPr>
            <w:r>
              <w:t>9.06</w:t>
            </w:r>
          </w:p>
        </w:tc>
        <w:tc>
          <w:tcPr>
            <w:tcW w:w="279" w:type="pct"/>
            <w:tcBorders>
              <w:top w:val="single" w:sz="4" w:space="0" w:color="auto"/>
              <w:left w:val="single" w:sz="4" w:space="0" w:color="auto"/>
              <w:bottom w:val="single" w:sz="4" w:space="0" w:color="auto"/>
              <w:right w:val="single" w:sz="4" w:space="0" w:color="auto"/>
            </w:tcBorders>
          </w:tcPr>
          <w:p w14:paraId="719F4FEE" w14:textId="77777777" w:rsidR="002E474C" w:rsidRDefault="00000000">
            <w:pPr>
              <w:pStyle w:val="A-"/>
            </w:pPr>
            <w:r>
              <w:t>5.48</w:t>
            </w:r>
          </w:p>
        </w:tc>
        <w:tc>
          <w:tcPr>
            <w:tcW w:w="236" w:type="pct"/>
            <w:tcBorders>
              <w:top w:val="single" w:sz="4" w:space="0" w:color="auto"/>
              <w:left w:val="single" w:sz="4" w:space="0" w:color="auto"/>
              <w:bottom w:val="single" w:sz="4" w:space="0" w:color="auto"/>
              <w:right w:val="single" w:sz="4" w:space="0" w:color="auto"/>
            </w:tcBorders>
          </w:tcPr>
          <w:p w14:paraId="07CA40F8" w14:textId="77777777" w:rsidR="002E474C" w:rsidRDefault="00000000">
            <w:pPr>
              <w:pStyle w:val="A-"/>
            </w:pPr>
            <w:r>
              <w:t>4.26</w:t>
            </w:r>
          </w:p>
        </w:tc>
        <w:tc>
          <w:tcPr>
            <w:tcW w:w="259" w:type="pct"/>
            <w:tcBorders>
              <w:top w:val="single" w:sz="4" w:space="0" w:color="auto"/>
              <w:left w:val="single" w:sz="4" w:space="0" w:color="auto"/>
              <w:bottom w:val="single" w:sz="4" w:space="0" w:color="auto"/>
              <w:right w:val="single" w:sz="4" w:space="0" w:color="auto"/>
            </w:tcBorders>
          </w:tcPr>
          <w:p w14:paraId="752B25F5" w14:textId="77777777" w:rsidR="002E474C" w:rsidRDefault="00000000">
            <w:pPr>
              <w:pStyle w:val="A-"/>
            </w:pPr>
            <w:r>
              <w:t>7.07</w:t>
            </w:r>
          </w:p>
        </w:tc>
        <w:tc>
          <w:tcPr>
            <w:tcW w:w="285" w:type="pct"/>
            <w:tcBorders>
              <w:top w:val="single" w:sz="4" w:space="0" w:color="auto"/>
              <w:left w:val="single" w:sz="4" w:space="0" w:color="auto"/>
              <w:bottom w:val="single" w:sz="4" w:space="0" w:color="auto"/>
              <w:right w:val="single" w:sz="4" w:space="0" w:color="auto"/>
            </w:tcBorders>
          </w:tcPr>
          <w:p w14:paraId="135C2D3B" w14:textId="77777777" w:rsidR="002E474C" w:rsidRDefault="00000000">
            <w:pPr>
              <w:pStyle w:val="A-"/>
            </w:pPr>
            <w:r>
              <w:t>11.55</w:t>
            </w:r>
          </w:p>
        </w:tc>
        <w:tc>
          <w:tcPr>
            <w:tcW w:w="279" w:type="pct"/>
            <w:tcBorders>
              <w:top w:val="single" w:sz="4" w:space="0" w:color="auto"/>
              <w:left w:val="single" w:sz="4" w:space="0" w:color="auto"/>
              <w:bottom w:val="single" w:sz="4" w:space="0" w:color="auto"/>
              <w:right w:val="single" w:sz="4" w:space="0" w:color="auto"/>
            </w:tcBorders>
          </w:tcPr>
          <w:p w14:paraId="523FE269" w14:textId="77777777" w:rsidR="002E474C" w:rsidRDefault="00000000">
            <w:pPr>
              <w:pStyle w:val="A-"/>
            </w:pPr>
            <w:r>
              <w:t>5.8</w:t>
            </w:r>
          </w:p>
        </w:tc>
        <w:tc>
          <w:tcPr>
            <w:tcW w:w="236" w:type="pct"/>
            <w:tcBorders>
              <w:top w:val="single" w:sz="4" w:space="0" w:color="auto"/>
              <w:left w:val="single" w:sz="4" w:space="0" w:color="auto"/>
              <w:bottom w:val="single" w:sz="4" w:space="0" w:color="auto"/>
              <w:right w:val="single" w:sz="4" w:space="0" w:color="auto"/>
            </w:tcBorders>
          </w:tcPr>
          <w:p w14:paraId="77DDB5E6" w14:textId="77777777" w:rsidR="002E474C" w:rsidRDefault="00000000">
            <w:pPr>
              <w:pStyle w:val="A-"/>
            </w:pPr>
            <w:r>
              <w:t>3.71</w:t>
            </w:r>
          </w:p>
        </w:tc>
        <w:tc>
          <w:tcPr>
            <w:tcW w:w="236" w:type="pct"/>
            <w:tcBorders>
              <w:top w:val="single" w:sz="4" w:space="0" w:color="auto"/>
              <w:left w:val="single" w:sz="4" w:space="0" w:color="auto"/>
              <w:bottom w:val="single" w:sz="4" w:space="0" w:color="auto"/>
              <w:right w:val="single" w:sz="4" w:space="0" w:color="auto"/>
            </w:tcBorders>
          </w:tcPr>
          <w:p w14:paraId="0F983E01" w14:textId="77777777" w:rsidR="002E474C" w:rsidRDefault="00000000">
            <w:pPr>
              <w:pStyle w:val="A-"/>
            </w:pPr>
            <w:r>
              <w:t>3.03</w:t>
            </w:r>
          </w:p>
        </w:tc>
        <w:tc>
          <w:tcPr>
            <w:tcW w:w="236" w:type="pct"/>
            <w:tcBorders>
              <w:top w:val="single" w:sz="4" w:space="0" w:color="auto"/>
              <w:left w:val="single" w:sz="4" w:space="0" w:color="auto"/>
              <w:bottom w:val="single" w:sz="4" w:space="0" w:color="auto"/>
              <w:right w:val="single" w:sz="4" w:space="0" w:color="auto"/>
            </w:tcBorders>
          </w:tcPr>
          <w:p w14:paraId="5E8F732B" w14:textId="77777777" w:rsidR="002E474C" w:rsidRDefault="00000000">
            <w:pPr>
              <w:pStyle w:val="A-"/>
            </w:pPr>
            <w:r>
              <w:t>5.48</w:t>
            </w:r>
          </w:p>
        </w:tc>
        <w:tc>
          <w:tcPr>
            <w:tcW w:w="266" w:type="pct"/>
            <w:tcBorders>
              <w:top w:val="single" w:sz="4" w:space="0" w:color="auto"/>
              <w:left w:val="single" w:sz="4" w:space="0" w:color="auto"/>
              <w:bottom w:val="single" w:sz="4" w:space="0" w:color="auto"/>
              <w:right w:val="single" w:sz="4" w:space="0" w:color="auto"/>
            </w:tcBorders>
          </w:tcPr>
          <w:p w14:paraId="40422B69" w14:textId="77777777" w:rsidR="002E474C" w:rsidRDefault="00000000">
            <w:pPr>
              <w:pStyle w:val="A-"/>
            </w:pPr>
            <w:r>
              <w:t>6.25</w:t>
            </w:r>
          </w:p>
        </w:tc>
        <w:tc>
          <w:tcPr>
            <w:tcW w:w="283" w:type="pct"/>
            <w:tcBorders>
              <w:top w:val="single" w:sz="4" w:space="0" w:color="auto"/>
              <w:left w:val="single" w:sz="4" w:space="0" w:color="auto"/>
              <w:bottom w:val="single" w:sz="4" w:space="0" w:color="auto"/>
              <w:right w:val="single" w:sz="4" w:space="0" w:color="auto"/>
            </w:tcBorders>
          </w:tcPr>
          <w:p w14:paraId="45883F79" w14:textId="77777777" w:rsidR="002E474C" w:rsidRDefault="00000000">
            <w:pPr>
              <w:pStyle w:val="A-"/>
            </w:pPr>
            <w:r>
              <w:t>10.78</w:t>
            </w:r>
          </w:p>
        </w:tc>
        <w:tc>
          <w:tcPr>
            <w:tcW w:w="295" w:type="pct"/>
            <w:tcBorders>
              <w:top w:val="single" w:sz="4" w:space="0" w:color="auto"/>
              <w:left w:val="single" w:sz="4" w:space="0" w:color="auto"/>
              <w:bottom w:val="single" w:sz="4" w:space="0" w:color="auto"/>
              <w:right w:val="single" w:sz="4" w:space="0" w:color="auto"/>
            </w:tcBorders>
          </w:tcPr>
          <w:p w14:paraId="16F7E71E" w14:textId="77777777" w:rsidR="002E474C" w:rsidRDefault="00000000">
            <w:pPr>
              <w:pStyle w:val="A-"/>
            </w:pPr>
            <w:r>
              <w:t>5.57</w:t>
            </w:r>
          </w:p>
        </w:tc>
        <w:tc>
          <w:tcPr>
            <w:tcW w:w="236" w:type="pct"/>
            <w:tcBorders>
              <w:top w:val="single" w:sz="4" w:space="0" w:color="auto"/>
              <w:left w:val="single" w:sz="4" w:space="0" w:color="auto"/>
              <w:bottom w:val="single" w:sz="4" w:space="0" w:color="auto"/>
              <w:right w:val="single" w:sz="4" w:space="0" w:color="auto"/>
            </w:tcBorders>
          </w:tcPr>
          <w:p w14:paraId="3F6A1B6D" w14:textId="77777777" w:rsidR="002E474C" w:rsidRDefault="00000000">
            <w:pPr>
              <w:pStyle w:val="A-"/>
            </w:pPr>
            <w:r>
              <w:t>7.2</w:t>
            </w:r>
          </w:p>
        </w:tc>
        <w:tc>
          <w:tcPr>
            <w:tcW w:w="310" w:type="pct"/>
            <w:tcBorders>
              <w:top w:val="single" w:sz="4" w:space="0" w:color="auto"/>
              <w:left w:val="single" w:sz="4" w:space="0" w:color="auto"/>
              <w:bottom w:val="single" w:sz="4" w:space="0" w:color="auto"/>
              <w:right w:val="single" w:sz="4" w:space="0" w:color="auto"/>
            </w:tcBorders>
          </w:tcPr>
          <w:p w14:paraId="64AB00E8" w14:textId="77777777" w:rsidR="002E474C" w:rsidRDefault="00000000">
            <w:pPr>
              <w:pStyle w:val="A-"/>
            </w:pPr>
            <w:r>
              <w:t>5.07</w:t>
            </w:r>
          </w:p>
        </w:tc>
        <w:tc>
          <w:tcPr>
            <w:tcW w:w="236" w:type="pct"/>
            <w:tcBorders>
              <w:top w:val="single" w:sz="4" w:space="0" w:color="auto"/>
              <w:left w:val="single" w:sz="4" w:space="0" w:color="auto"/>
              <w:bottom w:val="single" w:sz="4" w:space="0" w:color="auto"/>
              <w:right w:val="single" w:sz="4" w:space="0" w:color="auto"/>
            </w:tcBorders>
          </w:tcPr>
          <w:p w14:paraId="0F4EBC18" w14:textId="77777777" w:rsidR="002E474C" w:rsidRDefault="00000000">
            <w:pPr>
              <w:pStyle w:val="A-"/>
            </w:pPr>
            <w:r>
              <w:t>5.12</w:t>
            </w:r>
          </w:p>
        </w:tc>
        <w:tc>
          <w:tcPr>
            <w:tcW w:w="290" w:type="pct"/>
            <w:tcBorders>
              <w:top w:val="single" w:sz="4" w:space="0" w:color="auto"/>
              <w:left w:val="single" w:sz="4" w:space="0" w:color="auto"/>
              <w:bottom w:val="single" w:sz="4" w:space="0" w:color="auto"/>
              <w:right w:val="single" w:sz="4" w:space="0" w:color="auto"/>
            </w:tcBorders>
          </w:tcPr>
          <w:p w14:paraId="5A92A934" w14:textId="77777777" w:rsidR="002E474C" w:rsidRDefault="00000000">
            <w:pPr>
              <w:pStyle w:val="A-"/>
            </w:pPr>
            <w:r>
              <w:t>4.57</w:t>
            </w:r>
          </w:p>
        </w:tc>
        <w:tc>
          <w:tcPr>
            <w:tcW w:w="236" w:type="pct"/>
            <w:tcBorders>
              <w:top w:val="single" w:sz="4" w:space="0" w:color="auto"/>
              <w:left w:val="single" w:sz="4" w:space="0" w:color="auto"/>
              <w:bottom w:val="single" w:sz="4" w:space="0" w:color="auto"/>
              <w:right w:val="single" w:sz="4" w:space="0" w:color="auto"/>
            </w:tcBorders>
          </w:tcPr>
          <w:p w14:paraId="47720A7B" w14:textId="77777777" w:rsidR="002E474C" w:rsidRDefault="00000000">
            <w:pPr>
              <w:pStyle w:val="A-"/>
            </w:pPr>
            <w:r>
              <w:t>0</w:t>
            </w:r>
          </w:p>
        </w:tc>
      </w:tr>
      <w:tr w:rsidR="002E474C" w14:paraId="53730473" w14:textId="77777777">
        <w:tc>
          <w:tcPr>
            <w:tcW w:w="384" w:type="pct"/>
            <w:tcBorders>
              <w:top w:val="single" w:sz="4" w:space="0" w:color="auto"/>
              <w:left w:val="single" w:sz="4" w:space="0" w:color="auto"/>
              <w:bottom w:val="single" w:sz="4" w:space="0" w:color="auto"/>
              <w:right w:val="single" w:sz="4" w:space="0" w:color="auto"/>
            </w:tcBorders>
          </w:tcPr>
          <w:p w14:paraId="57D2629B" w14:textId="77777777" w:rsidR="002E474C" w:rsidRDefault="00000000">
            <w:pPr>
              <w:pStyle w:val="A-"/>
            </w:pPr>
            <w:r>
              <w:t>秋季</w:t>
            </w:r>
          </w:p>
        </w:tc>
        <w:tc>
          <w:tcPr>
            <w:tcW w:w="418" w:type="pct"/>
            <w:tcBorders>
              <w:top w:val="single" w:sz="4" w:space="0" w:color="auto"/>
              <w:left w:val="single" w:sz="4" w:space="0" w:color="auto"/>
              <w:bottom w:val="single" w:sz="4" w:space="0" w:color="auto"/>
              <w:right w:val="single" w:sz="4" w:space="0" w:color="auto"/>
            </w:tcBorders>
          </w:tcPr>
          <w:p w14:paraId="3D1DA65B" w14:textId="77777777" w:rsidR="002E474C" w:rsidRDefault="00000000">
            <w:pPr>
              <w:pStyle w:val="A-"/>
            </w:pPr>
            <w:r>
              <w:t>16.48</w:t>
            </w:r>
          </w:p>
        </w:tc>
        <w:tc>
          <w:tcPr>
            <w:tcW w:w="279" w:type="pct"/>
            <w:tcBorders>
              <w:top w:val="single" w:sz="4" w:space="0" w:color="auto"/>
              <w:left w:val="single" w:sz="4" w:space="0" w:color="auto"/>
              <w:bottom w:val="single" w:sz="4" w:space="0" w:color="auto"/>
              <w:right w:val="single" w:sz="4" w:space="0" w:color="auto"/>
            </w:tcBorders>
          </w:tcPr>
          <w:p w14:paraId="3583C6ED" w14:textId="77777777" w:rsidR="002E474C" w:rsidRDefault="00000000">
            <w:pPr>
              <w:pStyle w:val="A-"/>
            </w:pPr>
            <w:r>
              <w:t>8.65</w:t>
            </w:r>
          </w:p>
        </w:tc>
        <w:tc>
          <w:tcPr>
            <w:tcW w:w="236" w:type="pct"/>
            <w:tcBorders>
              <w:top w:val="single" w:sz="4" w:space="0" w:color="auto"/>
              <w:left w:val="single" w:sz="4" w:space="0" w:color="auto"/>
              <w:bottom w:val="single" w:sz="4" w:space="0" w:color="auto"/>
              <w:right w:val="single" w:sz="4" w:space="0" w:color="auto"/>
            </w:tcBorders>
          </w:tcPr>
          <w:p w14:paraId="1B735215" w14:textId="77777777" w:rsidR="002E474C" w:rsidRDefault="00000000">
            <w:pPr>
              <w:pStyle w:val="A-"/>
            </w:pPr>
            <w:r>
              <w:t>5.77</w:t>
            </w:r>
          </w:p>
        </w:tc>
        <w:tc>
          <w:tcPr>
            <w:tcW w:w="259" w:type="pct"/>
            <w:tcBorders>
              <w:top w:val="single" w:sz="4" w:space="0" w:color="auto"/>
              <w:left w:val="single" w:sz="4" w:space="0" w:color="auto"/>
              <w:bottom w:val="single" w:sz="4" w:space="0" w:color="auto"/>
              <w:right w:val="single" w:sz="4" w:space="0" w:color="auto"/>
            </w:tcBorders>
          </w:tcPr>
          <w:p w14:paraId="3220BD41" w14:textId="77777777" w:rsidR="002E474C" w:rsidRDefault="00000000">
            <w:pPr>
              <w:pStyle w:val="A-"/>
            </w:pPr>
            <w:r>
              <w:t>7.69</w:t>
            </w:r>
          </w:p>
        </w:tc>
        <w:tc>
          <w:tcPr>
            <w:tcW w:w="285" w:type="pct"/>
            <w:tcBorders>
              <w:top w:val="single" w:sz="4" w:space="0" w:color="auto"/>
              <w:left w:val="single" w:sz="4" w:space="0" w:color="auto"/>
              <w:bottom w:val="single" w:sz="4" w:space="0" w:color="auto"/>
              <w:right w:val="single" w:sz="4" w:space="0" w:color="auto"/>
            </w:tcBorders>
          </w:tcPr>
          <w:p w14:paraId="2D094759" w14:textId="77777777" w:rsidR="002E474C" w:rsidRDefault="00000000">
            <w:pPr>
              <w:pStyle w:val="A-"/>
            </w:pPr>
            <w:r>
              <w:t>11.54</w:t>
            </w:r>
          </w:p>
        </w:tc>
        <w:tc>
          <w:tcPr>
            <w:tcW w:w="279" w:type="pct"/>
            <w:tcBorders>
              <w:top w:val="single" w:sz="4" w:space="0" w:color="auto"/>
              <w:left w:val="single" w:sz="4" w:space="0" w:color="auto"/>
              <w:bottom w:val="single" w:sz="4" w:space="0" w:color="auto"/>
              <w:right w:val="single" w:sz="4" w:space="0" w:color="auto"/>
            </w:tcBorders>
          </w:tcPr>
          <w:p w14:paraId="5802E7EA" w14:textId="77777777" w:rsidR="002E474C" w:rsidRDefault="00000000">
            <w:pPr>
              <w:pStyle w:val="A-"/>
            </w:pPr>
            <w:r>
              <w:t>6.18</w:t>
            </w:r>
          </w:p>
        </w:tc>
        <w:tc>
          <w:tcPr>
            <w:tcW w:w="236" w:type="pct"/>
            <w:tcBorders>
              <w:top w:val="single" w:sz="4" w:space="0" w:color="auto"/>
              <w:left w:val="single" w:sz="4" w:space="0" w:color="auto"/>
              <w:bottom w:val="single" w:sz="4" w:space="0" w:color="auto"/>
              <w:right w:val="single" w:sz="4" w:space="0" w:color="auto"/>
            </w:tcBorders>
          </w:tcPr>
          <w:p w14:paraId="0287D9E6" w14:textId="77777777" w:rsidR="002E474C" w:rsidRDefault="00000000">
            <w:pPr>
              <w:pStyle w:val="A-"/>
            </w:pPr>
            <w:r>
              <w:t>4.35</w:t>
            </w:r>
          </w:p>
        </w:tc>
        <w:tc>
          <w:tcPr>
            <w:tcW w:w="236" w:type="pct"/>
            <w:tcBorders>
              <w:top w:val="single" w:sz="4" w:space="0" w:color="auto"/>
              <w:left w:val="single" w:sz="4" w:space="0" w:color="auto"/>
              <w:bottom w:val="single" w:sz="4" w:space="0" w:color="auto"/>
              <w:right w:val="single" w:sz="4" w:space="0" w:color="auto"/>
            </w:tcBorders>
          </w:tcPr>
          <w:p w14:paraId="30BEF086" w14:textId="77777777" w:rsidR="002E474C" w:rsidRDefault="00000000">
            <w:pPr>
              <w:pStyle w:val="A-"/>
            </w:pPr>
            <w:r>
              <w:t>3.48</w:t>
            </w:r>
          </w:p>
        </w:tc>
        <w:tc>
          <w:tcPr>
            <w:tcW w:w="236" w:type="pct"/>
            <w:tcBorders>
              <w:top w:val="single" w:sz="4" w:space="0" w:color="auto"/>
              <w:left w:val="single" w:sz="4" w:space="0" w:color="auto"/>
              <w:bottom w:val="single" w:sz="4" w:space="0" w:color="auto"/>
              <w:right w:val="single" w:sz="4" w:space="0" w:color="auto"/>
            </w:tcBorders>
          </w:tcPr>
          <w:p w14:paraId="281DFF5A" w14:textId="77777777" w:rsidR="002E474C" w:rsidRDefault="00000000">
            <w:pPr>
              <w:pStyle w:val="A-"/>
            </w:pPr>
            <w:r>
              <w:t>5.36</w:t>
            </w:r>
          </w:p>
        </w:tc>
        <w:tc>
          <w:tcPr>
            <w:tcW w:w="266" w:type="pct"/>
            <w:tcBorders>
              <w:top w:val="single" w:sz="4" w:space="0" w:color="auto"/>
              <w:left w:val="single" w:sz="4" w:space="0" w:color="auto"/>
              <w:bottom w:val="single" w:sz="4" w:space="0" w:color="auto"/>
              <w:right w:val="single" w:sz="4" w:space="0" w:color="auto"/>
            </w:tcBorders>
          </w:tcPr>
          <w:p w14:paraId="21D9F2CB" w14:textId="77777777" w:rsidR="002E474C" w:rsidRDefault="00000000">
            <w:pPr>
              <w:pStyle w:val="A-"/>
            </w:pPr>
            <w:r>
              <w:t>3.98</w:t>
            </w:r>
          </w:p>
        </w:tc>
        <w:tc>
          <w:tcPr>
            <w:tcW w:w="283" w:type="pct"/>
            <w:tcBorders>
              <w:top w:val="single" w:sz="4" w:space="0" w:color="auto"/>
              <w:left w:val="single" w:sz="4" w:space="0" w:color="auto"/>
              <w:bottom w:val="single" w:sz="4" w:space="0" w:color="auto"/>
              <w:right w:val="single" w:sz="4" w:space="0" w:color="auto"/>
            </w:tcBorders>
          </w:tcPr>
          <w:p w14:paraId="41441A15" w14:textId="77777777" w:rsidR="002E474C" w:rsidRDefault="00000000">
            <w:pPr>
              <w:pStyle w:val="A-"/>
            </w:pPr>
            <w:r>
              <w:t>4.67</w:t>
            </w:r>
          </w:p>
        </w:tc>
        <w:tc>
          <w:tcPr>
            <w:tcW w:w="295" w:type="pct"/>
            <w:tcBorders>
              <w:top w:val="single" w:sz="4" w:space="0" w:color="auto"/>
              <w:left w:val="single" w:sz="4" w:space="0" w:color="auto"/>
              <w:bottom w:val="single" w:sz="4" w:space="0" w:color="auto"/>
              <w:right w:val="single" w:sz="4" w:space="0" w:color="auto"/>
            </w:tcBorders>
          </w:tcPr>
          <w:p w14:paraId="6CA96447" w14:textId="77777777" w:rsidR="002E474C" w:rsidRDefault="00000000">
            <w:pPr>
              <w:pStyle w:val="A-"/>
            </w:pPr>
            <w:r>
              <w:t>2.79</w:t>
            </w:r>
          </w:p>
        </w:tc>
        <w:tc>
          <w:tcPr>
            <w:tcW w:w="236" w:type="pct"/>
            <w:tcBorders>
              <w:top w:val="single" w:sz="4" w:space="0" w:color="auto"/>
              <w:left w:val="single" w:sz="4" w:space="0" w:color="auto"/>
              <w:bottom w:val="single" w:sz="4" w:space="0" w:color="auto"/>
              <w:right w:val="single" w:sz="4" w:space="0" w:color="auto"/>
            </w:tcBorders>
          </w:tcPr>
          <w:p w14:paraId="3978F107" w14:textId="77777777" w:rsidR="002E474C" w:rsidRDefault="00000000">
            <w:pPr>
              <w:pStyle w:val="A-"/>
            </w:pPr>
            <w:r>
              <w:t>3.94</w:t>
            </w:r>
          </w:p>
        </w:tc>
        <w:tc>
          <w:tcPr>
            <w:tcW w:w="310" w:type="pct"/>
            <w:tcBorders>
              <w:top w:val="single" w:sz="4" w:space="0" w:color="auto"/>
              <w:left w:val="single" w:sz="4" w:space="0" w:color="auto"/>
              <w:bottom w:val="single" w:sz="4" w:space="0" w:color="auto"/>
              <w:right w:val="single" w:sz="4" w:space="0" w:color="auto"/>
            </w:tcBorders>
          </w:tcPr>
          <w:p w14:paraId="6FC36F7C" w14:textId="77777777" w:rsidR="002E474C" w:rsidRDefault="00000000">
            <w:pPr>
              <w:pStyle w:val="A-"/>
            </w:pPr>
            <w:r>
              <w:t>3.16</w:t>
            </w:r>
          </w:p>
        </w:tc>
        <w:tc>
          <w:tcPr>
            <w:tcW w:w="236" w:type="pct"/>
            <w:tcBorders>
              <w:top w:val="single" w:sz="4" w:space="0" w:color="auto"/>
              <w:left w:val="single" w:sz="4" w:space="0" w:color="auto"/>
              <w:bottom w:val="single" w:sz="4" w:space="0" w:color="auto"/>
              <w:right w:val="single" w:sz="4" w:space="0" w:color="auto"/>
            </w:tcBorders>
          </w:tcPr>
          <w:p w14:paraId="3798CF00" w14:textId="77777777" w:rsidR="002E474C" w:rsidRDefault="00000000">
            <w:pPr>
              <w:pStyle w:val="A-"/>
            </w:pPr>
            <w:r>
              <w:t>5.59</w:t>
            </w:r>
          </w:p>
        </w:tc>
        <w:tc>
          <w:tcPr>
            <w:tcW w:w="290" w:type="pct"/>
            <w:tcBorders>
              <w:top w:val="single" w:sz="4" w:space="0" w:color="auto"/>
              <w:left w:val="single" w:sz="4" w:space="0" w:color="auto"/>
              <w:bottom w:val="single" w:sz="4" w:space="0" w:color="auto"/>
              <w:right w:val="single" w:sz="4" w:space="0" w:color="auto"/>
            </w:tcBorders>
          </w:tcPr>
          <w:p w14:paraId="7C49FCA7" w14:textId="77777777" w:rsidR="002E474C" w:rsidRDefault="00000000">
            <w:pPr>
              <w:pStyle w:val="A-"/>
            </w:pPr>
            <w:r>
              <w:t>6.18</w:t>
            </w:r>
          </w:p>
        </w:tc>
        <w:tc>
          <w:tcPr>
            <w:tcW w:w="236" w:type="pct"/>
            <w:tcBorders>
              <w:top w:val="single" w:sz="4" w:space="0" w:color="auto"/>
              <w:left w:val="single" w:sz="4" w:space="0" w:color="auto"/>
              <w:bottom w:val="single" w:sz="4" w:space="0" w:color="auto"/>
              <w:right w:val="single" w:sz="4" w:space="0" w:color="auto"/>
            </w:tcBorders>
          </w:tcPr>
          <w:p w14:paraId="3D6E81B6" w14:textId="77777777" w:rsidR="002E474C" w:rsidRDefault="00000000">
            <w:pPr>
              <w:pStyle w:val="A-"/>
            </w:pPr>
            <w:r>
              <w:t>0.18</w:t>
            </w:r>
          </w:p>
        </w:tc>
      </w:tr>
      <w:tr w:rsidR="002E474C" w14:paraId="1A7E7C0A" w14:textId="77777777">
        <w:tc>
          <w:tcPr>
            <w:tcW w:w="384" w:type="pct"/>
            <w:tcBorders>
              <w:top w:val="single" w:sz="4" w:space="0" w:color="auto"/>
              <w:left w:val="single" w:sz="4" w:space="0" w:color="auto"/>
              <w:bottom w:val="single" w:sz="4" w:space="0" w:color="auto"/>
              <w:right w:val="single" w:sz="4" w:space="0" w:color="auto"/>
            </w:tcBorders>
          </w:tcPr>
          <w:p w14:paraId="7E7E87BD" w14:textId="77777777" w:rsidR="002E474C" w:rsidRDefault="00000000">
            <w:pPr>
              <w:pStyle w:val="A-"/>
            </w:pPr>
            <w:r>
              <w:t>冬季</w:t>
            </w:r>
          </w:p>
        </w:tc>
        <w:tc>
          <w:tcPr>
            <w:tcW w:w="418" w:type="pct"/>
            <w:tcBorders>
              <w:top w:val="single" w:sz="4" w:space="0" w:color="auto"/>
              <w:left w:val="single" w:sz="4" w:space="0" w:color="auto"/>
              <w:bottom w:val="single" w:sz="4" w:space="0" w:color="auto"/>
              <w:right w:val="single" w:sz="4" w:space="0" w:color="auto"/>
            </w:tcBorders>
          </w:tcPr>
          <w:p w14:paraId="572A674D" w14:textId="77777777" w:rsidR="002E474C" w:rsidRDefault="00000000">
            <w:pPr>
              <w:pStyle w:val="A-"/>
            </w:pPr>
            <w:r>
              <w:t>18.96</w:t>
            </w:r>
          </w:p>
        </w:tc>
        <w:tc>
          <w:tcPr>
            <w:tcW w:w="279" w:type="pct"/>
            <w:tcBorders>
              <w:top w:val="single" w:sz="4" w:space="0" w:color="auto"/>
              <w:left w:val="single" w:sz="4" w:space="0" w:color="auto"/>
              <w:bottom w:val="single" w:sz="4" w:space="0" w:color="auto"/>
              <w:right w:val="single" w:sz="4" w:space="0" w:color="auto"/>
            </w:tcBorders>
          </w:tcPr>
          <w:p w14:paraId="10C9E8BD" w14:textId="77777777" w:rsidR="002E474C" w:rsidRDefault="00000000">
            <w:pPr>
              <w:pStyle w:val="A-"/>
            </w:pPr>
            <w:r>
              <w:t>10.39</w:t>
            </w:r>
          </w:p>
        </w:tc>
        <w:tc>
          <w:tcPr>
            <w:tcW w:w="236" w:type="pct"/>
            <w:tcBorders>
              <w:top w:val="single" w:sz="4" w:space="0" w:color="auto"/>
              <w:left w:val="single" w:sz="4" w:space="0" w:color="auto"/>
              <w:bottom w:val="single" w:sz="4" w:space="0" w:color="auto"/>
              <w:right w:val="single" w:sz="4" w:space="0" w:color="auto"/>
            </w:tcBorders>
          </w:tcPr>
          <w:p w14:paraId="2CF2667D" w14:textId="77777777" w:rsidR="002E474C" w:rsidRDefault="00000000">
            <w:pPr>
              <w:pStyle w:val="A-"/>
            </w:pPr>
            <w:r>
              <w:t>6.55</w:t>
            </w:r>
          </w:p>
        </w:tc>
        <w:tc>
          <w:tcPr>
            <w:tcW w:w="259" w:type="pct"/>
            <w:tcBorders>
              <w:top w:val="single" w:sz="4" w:space="0" w:color="auto"/>
              <w:left w:val="single" w:sz="4" w:space="0" w:color="auto"/>
              <w:bottom w:val="single" w:sz="4" w:space="0" w:color="auto"/>
              <w:right w:val="single" w:sz="4" w:space="0" w:color="auto"/>
            </w:tcBorders>
          </w:tcPr>
          <w:p w14:paraId="6A529C5B" w14:textId="77777777" w:rsidR="002E474C" w:rsidRDefault="00000000">
            <w:pPr>
              <w:pStyle w:val="A-"/>
            </w:pPr>
            <w:r>
              <w:t>4.81</w:t>
            </w:r>
          </w:p>
        </w:tc>
        <w:tc>
          <w:tcPr>
            <w:tcW w:w="285" w:type="pct"/>
            <w:tcBorders>
              <w:top w:val="single" w:sz="4" w:space="0" w:color="auto"/>
              <w:left w:val="single" w:sz="4" w:space="0" w:color="auto"/>
              <w:bottom w:val="single" w:sz="4" w:space="0" w:color="auto"/>
              <w:right w:val="single" w:sz="4" w:space="0" w:color="auto"/>
            </w:tcBorders>
          </w:tcPr>
          <w:p w14:paraId="7E452BD1" w14:textId="77777777" w:rsidR="002E474C" w:rsidRDefault="00000000">
            <w:pPr>
              <w:pStyle w:val="A-"/>
            </w:pPr>
            <w:r>
              <w:t>8.1</w:t>
            </w:r>
          </w:p>
        </w:tc>
        <w:tc>
          <w:tcPr>
            <w:tcW w:w="279" w:type="pct"/>
            <w:tcBorders>
              <w:top w:val="single" w:sz="4" w:space="0" w:color="auto"/>
              <w:left w:val="single" w:sz="4" w:space="0" w:color="auto"/>
              <w:bottom w:val="single" w:sz="4" w:space="0" w:color="auto"/>
              <w:right w:val="single" w:sz="4" w:space="0" w:color="auto"/>
            </w:tcBorders>
          </w:tcPr>
          <w:p w14:paraId="3EAEEC2F" w14:textId="77777777" w:rsidR="002E474C" w:rsidRDefault="00000000">
            <w:pPr>
              <w:pStyle w:val="A-"/>
            </w:pPr>
            <w:r>
              <w:t>5.36</w:t>
            </w:r>
          </w:p>
        </w:tc>
        <w:tc>
          <w:tcPr>
            <w:tcW w:w="236" w:type="pct"/>
            <w:tcBorders>
              <w:top w:val="single" w:sz="4" w:space="0" w:color="auto"/>
              <w:left w:val="single" w:sz="4" w:space="0" w:color="auto"/>
              <w:bottom w:val="single" w:sz="4" w:space="0" w:color="auto"/>
              <w:right w:val="single" w:sz="4" w:space="0" w:color="auto"/>
            </w:tcBorders>
          </w:tcPr>
          <w:p w14:paraId="57A79945" w14:textId="77777777" w:rsidR="002E474C" w:rsidRDefault="00000000">
            <w:pPr>
              <w:pStyle w:val="A-"/>
            </w:pPr>
            <w:r>
              <w:t>4.9</w:t>
            </w:r>
          </w:p>
        </w:tc>
        <w:tc>
          <w:tcPr>
            <w:tcW w:w="236" w:type="pct"/>
            <w:tcBorders>
              <w:top w:val="single" w:sz="4" w:space="0" w:color="auto"/>
              <w:left w:val="single" w:sz="4" w:space="0" w:color="auto"/>
              <w:bottom w:val="single" w:sz="4" w:space="0" w:color="auto"/>
              <w:right w:val="single" w:sz="4" w:space="0" w:color="auto"/>
            </w:tcBorders>
          </w:tcPr>
          <w:p w14:paraId="53AFCFDF" w14:textId="77777777" w:rsidR="002E474C" w:rsidRDefault="00000000">
            <w:pPr>
              <w:pStyle w:val="A-"/>
            </w:pPr>
            <w:r>
              <w:t>4.58</w:t>
            </w:r>
          </w:p>
        </w:tc>
        <w:tc>
          <w:tcPr>
            <w:tcW w:w="236" w:type="pct"/>
            <w:tcBorders>
              <w:top w:val="single" w:sz="4" w:space="0" w:color="auto"/>
              <w:left w:val="single" w:sz="4" w:space="0" w:color="auto"/>
              <w:bottom w:val="single" w:sz="4" w:space="0" w:color="auto"/>
              <w:right w:val="single" w:sz="4" w:space="0" w:color="auto"/>
            </w:tcBorders>
          </w:tcPr>
          <w:p w14:paraId="1AC675C1" w14:textId="77777777" w:rsidR="002E474C" w:rsidRDefault="00000000">
            <w:pPr>
              <w:pStyle w:val="A-"/>
            </w:pPr>
            <w:r>
              <w:t>7.65</w:t>
            </w:r>
          </w:p>
        </w:tc>
        <w:tc>
          <w:tcPr>
            <w:tcW w:w="266" w:type="pct"/>
            <w:tcBorders>
              <w:top w:val="single" w:sz="4" w:space="0" w:color="auto"/>
              <w:left w:val="single" w:sz="4" w:space="0" w:color="auto"/>
              <w:bottom w:val="single" w:sz="4" w:space="0" w:color="auto"/>
              <w:right w:val="single" w:sz="4" w:space="0" w:color="auto"/>
            </w:tcBorders>
          </w:tcPr>
          <w:p w14:paraId="4AA03B7D" w14:textId="77777777" w:rsidR="002E474C" w:rsidRDefault="00000000">
            <w:pPr>
              <w:pStyle w:val="A-"/>
            </w:pPr>
            <w:r>
              <w:t>4.3</w:t>
            </w:r>
          </w:p>
        </w:tc>
        <w:tc>
          <w:tcPr>
            <w:tcW w:w="283" w:type="pct"/>
            <w:tcBorders>
              <w:top w:val="single" w:sz="4" w:space="0" w:color="auto"/>
              <w:left w:val="single" w:sz="4" w:space="0" w:color="auto"/>
              <w:bottom w:val="single" w:sz="4" w:space="0" w:color="auto"/>
              <w:right w:val="single" w:sz="4" w:space="0" w:color="auto"/>
            </w:tcBorders>
          </w:tcPr>
          <w:p w14:paraId="0017041B" w14:textId="77777777" w:rsidR="002E474C" w:rsidRDefault="00000000">
            <w:pPr>
              <w:pStyle w:val="A-"/>
            </w:pPr>
            <w:r>
              <w:t>3.43</w:t>
            </w:r>
          </w:p>
        </w:tc>
        <w:tc>
          <w:tcPr>
            <w:tcW w:w="295" w:type="pct"/>
            <w:tcBorders>
              <w:top w:val="single" w:sz="4" w:space="0" w:color="auto"/>
              <w:left w:val="single" w:sz="4" w:space="0" w:color="auto"/>
              <w:bottom w:val="single" w:sz="4" w:space="0" w:color="auto"/>
              <w:right w:val="single" w:sz="4" w:space="0" w:color="auto"/>
            </w:tcBorders>
          </w:tcPr>
          <w:p w14:paraId="0E051D2F" w14:textId="77777777" w:rsidR="002E474C" w:rsidRDefault="00000000">
            <w:pPr>
              <w:pStyle w:val="A-"/>
            </w:pPr>
            <w:r>
              <w:t>1.88</w:t>
            </w:r>
          </w:p>
        </w:tc>
        <w:tc>
          <w:tcPr>
            <w:tcW w:w="236" w:type="pct"/>
            <w:tcBorders>
              <w:top w:val="single" w:sz="4" w:space="0" w:color="auto"/>
              <w:left w:val="single" w:sz="4" w:space="0" w:color="auto"/>
              <w:bottom w:val="single" w:sz="4" w:space="0" w:color="auto"/>
              <w:right w:val="single" w:sz="4" w:space="0" w:color="auto"/>
            </w:tcBorders>
          </w:tcPr>
          <w:p w14:paraId="753D4F57" w14:textId="77777777" w:rsidR="002E474C" w:rsidRDefault="00000000">
            <w:pPr>
              <w:pStyle w:val="A-"/>
            </w:pPr>
            <w:r>
              <w:t>3.48</w:t>
            </w:r>
          </w:p>
        </w:tc>
        <w:tc>
          <w:tcPr>
            <w:tcW w:w="310" w:type="pct"/>
            <w:tcBorders>
              <w:top w:val="single" w:sz="4" w:space="0" w:color="auto"/>
              <w:left w:val="single" w:sz="4" w:space="0" w:color="auto"/>
              <w:bottom w:val="single" w:sz="4" w:space="0" w:color="auto"/>
              <w:right w:val="single" w:sz="4" w:space="0" w:color="auto"/>
            </w:tcBorders>
          </w:tcPr>
          <w:p w14:paraId="4C19BE1A" w14:textId="77777777" w:rsidR="002E474C" w:rsidRDefault="00000000">
            <w:pPr>
              <w:pStyle w:val="A-"/>
            </w:pPr>
            <w:r>
              <w:t>2.56</w:t>
            </w:r>
          </w:p>
        </w:tc>
        <w:tc>
          <w:tcPr>
            <w:tcW w:w="236" w:type="pct"/>
            <w:tcBorders>
              <w:top w:val="single" w:sz="4" w:space="0" w:color="auto"/>
              <w:left w:val="single" w:sz="4" w:space="0" w:color="auto"/>
              <w:bottom w:val="single" w:sz="4" w:space="0" w:color="auto"/>
              <w:right w:val="single" w:sz="4" w:space="0" w:color="auto"/>
            </w:tcBorders>
          </w:tcPr>
          <w:p w14:paraId="129EB8B3" w14:textId="77777777" w:rsidR="002E474C" w:rsidRDefault="00000000">
            <w:pPr>
              <w:pStyle w:val="A-"/>
            </w:pPr>
            <w:r>
              <w:t>5.82</w:t>
            </w:r>
          </w:p>
        </w:tc>
        <w:tc>
          <w:tcPr>
            <w:tcW w:w="290" w:type="pct"/>
            <w:tcBorders>
              <w:top w:val="single" w:sz="4" w:space="0" w:color="auto"/>
              <w:left w:val="single" w:sz="4" w:space="0" w:color="auto"/>
              <w:bottom w:val="single" w:sz="4" w:space="0" w:color="auto"/>
              <w:right w:val="single" w:sz="4" w:space="0" w:color="auto"/>
            </w:tcBorders>
          </w:tcPr>
          <w:p w14:paraId="6E2068EA" w14:textId="77777777" w:rsidR="002E474C" w:rsidRDefault="00000000">
            <w:pPr>
              <w:pStyle w:val="A-"/>
            </w:pPr>
            <w:r>
              <w:t>6.87</w:t>
            </w:r>
          </w:p>
        </w:tc>
        <w:tc>
          <w:tcPr>
            <w:tcW w:w="236" w:type="pct"/>
            <w:tcBorders>
              <w:top w:val="single" w:sz="4" w:space="0" w:color="auto"/>
              <w:left w:val="single" w:sz="4" w:space="0" w:color="auto"/>
              <w:bottom w:val="single" w:sz="4" w:space="0" w:color="auto"/>
              <w:right w:val="single" w:sz="4" w:space="0" w:color="auto"/>
            </w:tcBorders>
          </w:tcPr>
          <w:p w14:paraId="6C65DA8E" w14:textId="77777777" w:rsidR="002E474C" w:rsidRDefault="00000000">
            <w:pPr>
              <w:pStyle w:val="A-"/>
            </w:pPr>
            <w:r>
              <w:t>0.37</w:t>
            </w:r>
          </w:p>
        </w:tc>
      </w:tr>
    </w:tbl>
    <w:p w14:paraId="01694841" w14:textId="77777777" w:rsidR="002E474C" w:rsidRDefault="002E474C">
      <w:pPr>
        <w:pStyle w:val="A-z"/>
        <w:rPr>
          <w:color w:val="auto"/>
        </w:rPr>
      </w:pPr>
    </w:p>
    <w:p w14:paraId="3F059711" w14:textId="77777777" w:rsidR="002E474C" w:rsidRDefault="002E474C">
      <w:pPr>
        <w:pStyle w:val="A-z"/>
        <w:rPr>
          <w:color w:val="auto"/>
        </w:rPr>
      </w:pPr>
    </w:p>
    <w:p w14:paraId="54813C85" w14:textId="77777777" w:rsidR="002E474C" w:rsidRDefault="002E474C">
      <w:pPr>
        <w:rPr>
          <w:lang w:val="zh-CN"/>
        </w:rPr>
        <w:sectPr w:rsidR="002E474C">
          <w:type w:val="continuous"/>
          <w:pgSz w:w="16838" w:h="11906" w:orient="landscape"/>
          <w:pgMar w:top="1440" w:right="1800" w:bottom="1440" w:left="1800" w:header="851" w:footer="992" w:gutter="0"/>
          <w:cols w:space="720"/>
          <w:docGrid w:type="lines" w:linePitch="312"/>
        </w:sectPr>
      </w:pPr>
    </w:p>
    <w:p w14:paraId="5FFD1DEF" w14:textId="77777777" w:rsidR="002E474C" w:rsidRDefault="00000000">
      <w:pPr>
        <w:pStyle w:val="A-z"/>
        <w:rPr>
          <w:color w:val="auto"/>
        </w:rPr>
      </w:pPr>
      <w:r>
        <w:rPr>
          <w:color w:val="auto"/>
        </w:rPr>
        <w:lastRenderedPageBreak/>
        <w:t>（</w:t>
      </w:r>
      <w:r>
        <w:rPr>
          <w:color w:val="auto"/>
        </w:rPr>
        <w:t>4</w:t>
      </w:r>
      <w:r>
        <w:rPr>
          <w:color w:val="auto"/>
        </w:rPr>
        <w:t>）污染系数</w:t>
      </w:r>
    </w:p>
    <w:p w14:paraId="0C723397" w14:textId="77777777" w:rsidR="002E474C" w:rsidRDefault="00000000">
      <w:pPr>
        <w:pStyle w:val="A-z"/>
        <w:rPr>
          <w:color w:val="auto"/>
        </w:rPr>
      </w:pPr>
      <w:r>
        <w:rPr>
          <w:color w:val="auto"/>
        </w:rPr>
        <w:t>各月、各季及全年各污染系数统计见表</w:t>
      </w:r>
      <w:r>
        <w:rPr>
          <w:color w:val="auto"/>
        </w:rPr>
        <w:t>5.1</w:t>
      </w:r>
      <w:r>
        <w:rPr>
          <w:color w:val="auto"/>
        </w:rPr>
        <w:noBreakHyphen/>
        <w:t>7</w:t>
      </w:r>
      <w:r>
        <w:rPr>
          <w:color w:val="auto"/>
        </w:rPr>
        <w:t>、图</w:t>
      </w:r>
      <w:r>
        <w:rPr>
          <w:color w:val="auto"/>
        </w:rPr>
        <w:t>5.1</w:t>
      </w:r>
      <w:r>
        <w:rPr>
          <w:color w:val="auto"/>
        </w:rPr>
        <w:noBreakHyphen/>
        <w:t>6</w:t>
      </w:r>
      <w:r>
        <w:rPr>
          <w:color w:val="auto"/>
        </w:rPr>
        <w:t>。</w:t>
      </w:r>
    </w:p>
    <w:p w14:paraId="6FF90B1E" w14:textId="77777777" w:rsidR="002E474C" w:rsidRDefault="00000000">
      <w:pPr>
        <w:pStyle w:val="A--"/>
        <w:rPr>
          <w:color w:val="auto"/>
        </w:rPr>
      </w:pPr>
      <w:bookmarkStart w:id="271" w:name="_Ref138270907"/>
      <w:r>
        <w:rPr>
          <w:color w:val="auto"/>
        </w:rPr>
        <w:t>表</w:t>
      </w:r>
      <w:r>
        <w:rPr>
          <w:color w:val="auto"/>
        </w:rPr>
        <w:t>5.1</w:t>
      </w:r>
      <w:r>
        <w:rPr>
          <w:color w:val="auto"/>
        </w:rPr>
        <w:noBreakHyphen/>
      </w:r>
      <w:bookmarkEnd w:id="271"/>
      <w:r>
        <w:rPr>
          <w:color w:val="auto"/>
        </w:rPr>
        <w:t xml:space="preserve">7                  </w:t>
      </w:r>
      <w:r>
        <w:rPr>
          <w:color w:val="auto"/>
        </w:rPr>
        <w:t>各月、四季及全年各风向污染系数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7"/>
        <w:gridCol w:w="503"/>
        <w:gridCol w:w="462"/>
        <w:gridCol w:w="398"/>
        <w:gridCol w:w="439"/>
        <w:gridCol w:w="398"/>
        <w:gridCol w:w="404"/>
        <w:gridCol w:w="398"/>
        <w:gridCol w:w="398"/>
        <w:gridCol w:w="398"/>
        <w:gridCol w:w="462"/>
        <w:gridCol w:w="398"/>
        <w:gridCol w:w="544"/>
        <w:gridCol w:w="398"/>
        <w:gridCol w:w="579"/>
        <w:gridCol w:w="398"/>
        <w:gridCol w:w="532"/>
        <w:gridCol w:w="450"/>
      </w:tblGrid>
      <w:tr w:rsidR="002E474C" w14:paraId="6AC4BF89" w14:textId="77777777">
        <w:trPr>
          <w:trHeight w:val="285"/>
        </w:trPr>
        <w:tc>
          <w:tcPr>
            <w:tcW w:w="497" w:type="pct"/>
            <w:shd w:val="clear" w:color="auto" w:fill="auto"/>
            <w:noWrap/>
            <w:tcMar>
              <w:top w:w="15" w:type="dxa"/>
              <w:left w:w="15" w:type="dxa"/>
              <w:bottom w:w="0" w:type="dxa"/>
              <w:right w:w="15" w:type="dxa"/>
            </w:tcMar>
            <w:vAlign w:val="bottom"/>
          </w:tcPr>
          <w:p w14:paraId="402C5E7B" w14:textId="77777777" w:rsidR="002E474C" w:rsidRDefault="00000000">
            <w:pPr>
              <w:pStyle w:val="A-"/>
            </w:pPr>
            <w:r>
              <w:t>月份</w:t>
            </w:r>
          </w:p>
        </w:tc>
        <w:tc>
          <w:tcPr>
            <w:tcW w:w="256" w:type="pct"/>
            <w:shd w:val="clear" w:color="auto" w:fill="auto"/>
            <w:noWrap/>
            <w:tcMar>
              <w:top w:w="15" w:type="dxa"/>
              <w:left w:w="15" w:type="dxa"/>
              <w:bottom w:w="0" w:type="dxa"/>
              <w:right w:w="15" w:type="dxa"/>
            </w:tcMar>
            <w:vAlign w:val="bottom"/>
          </w:tcPr>
          <w:p w14:paraId="013173C6" w14:textId="77777777" w:rsidR="002E474C" w:rsidRDefault="00000000">
            <w:pPr>
              <w:pStyle w:val="A-"/>
            </w:pPr>
            <w:r>
              <w:t>N</w:t>
            </w:r>
          </w:p>
        </w:tc>
        <w:tc>
          <w:tcPr>
            <w:tcW w:w="277" w:type="pct"/>
            <w:shd w:val="clear" w:color="auto" w:fill="auto"/>
            <w:noWrap/>
            <w:tcMar>
              <w:top w:w="15" w:type="dxa"/>
              <w:left w:w="15" w:type="dxa"/>
              <w:bottom w:w="0" w:type="dxa"/>
              <w:right w:w="15" w:type="dxa"/>
            </w:tcMar>
            <w:vAlign w:val="bottom"/>
          </w:tcPr>
          <w:p w14:paraId="6133134C" w14:textId="77777777" w:rsidR="002E474C" w:rsidRDefault="00000000">
            <w:pPr>
              <w:pStyle w:val="A-"/>
            </w:pPr>
            <w:r>
              <w:t>NNE</w:t>
            </w:r>
          </w:p>
        </w:tc>
        <w:tc>
          <w:tcPr>
            <w:tcW w:w="239" w:type="pct"/>
            <w:shd w:val="clear" w:color="auto" w:fill="auto"/>
            <w:noWrap/>
            <w:tcMar>
              <w:top w:w="15" w:type="dxa"/>
              <w:left w:w="15" w:type="dxa"/>
              <w:bottom w:w="0" w:type="dxa"/>
              <w:right w:w="15" w:type="dxa"/>
            </w:tcMar>
            <w:vAlign w:val="bottom"/>
          </w:tcPr>
          <w:p w14:paraId="7F78366E" w14:textId="77777777" w:rsidR="002E474C" w:rsidRDefault="00000000">
            <w:pPr>
              <w:pStyle w:val="A-"/>
            </w:pPr>
            <w:r>
              <w:t>NE</w:t>
            </w:r>
          </w:p>
        </w:tc>
        <w:tc>
          <w:tcPr>
            <w:tcW w:w="263" w:type="pct"/>
            <w:shd w:val="clear" w:color="auto" w:fill="auto"/>
            <w:noWrap/>
            <w:tcMar>
              <w:top w:w="15" w:type="dxa"/>
              <w:left w:w="15" w:type="dxa"/>
              <w:bottom w:w="0" w:type="dxa"/>
              <w:right w:w="15" w:type="dxa"/>
            </w:tcMar>
            <w:vAlign w:val="bottom"/>
          </w:tcPr>
          <w:p w14:paraId="41CD0DE0" w14:textId="77777777" w:rsidR="002E474C" w:rsidRDefault="00000000">
            <w:pPr>
              <w:pStyle w:val="A-"/>
            </w:pPr>
            <w:r>
              <w:t>ENE</w:t>
            </w:r>
          </w:p>
        </w:tc>
        <w:tc>
          <w:tcPr>
            <w:tcW w:w="253" w:type="pct"/>
            <w:shd w:val="clear" w:color="auto" w:fill="auto"/>
            <w:noWrap/>
            <w:tcMar>
              <w:top w:w="15" w:type="dxa"/>
              <w:left w:w="15" w:type="dxa"/>
              <w:bottom w:w="0" w:type="dxa"/>
              <w:right w:w="15" w:type="dxa"/>
            </w:tcMar>
            <w:vAlign w:val="bottom"/>
          </w:tcPr>
          <w:p w14:paraId="729A2436" w14:textId="77777777" w:rsidR="002E474C" w:rsidRDefault="00000000">
            <w:pPr>
              <w:pStyle w:val="A-"/>
            </w:pPr>
            <w:r>
              <w:t>E</w:t>
            </w:r>
          </w:p>
        </w:tc>
        <w:tc>
          <w:tcPr>
            <w:tcW w:w="242" w:type="pct"/>
            <w:shd w:val="clear" w:color="auto" w:fill="auto"/>
            <w:noWrap/>
            <w:tcMar>
              <w:top w:w="15" w:type="dxa"/>
              <w:left w:w="15" w:type="dxa"/>
              <w:bottom w:w="0" w:type="dxa"/>
              <w:right w:w="15" w:type="dxa"/>
            </w:tcMar>
            <w:vAlign w:val="bottom"/>
          </w:tcPr>
          <w:p w14:paraId="1E6C23A8" w14:textId="77777777" w:rsidR="002E474C" w:rsidRDefault="00000000">
            <w:pPr>
              <w:pStyle w:val="A-"/>
            </w:pPr>
            <w:r>
              <w:t>ESE</w:t>
            </w:r>
          </w:p>
        </w:tc>
        <w:tc>
          <w:tcPr>
            <w:tcW w:w="239" w:type="pct"/>
            <w:shd w:val="clear" w:color="auto" w:fill="auto"/>
            <w:noWrap/>
            <w:tcMar>
              <w:top w:w="15" w:type="dxa"/>
              <w:left w:w="15" w:type="dxa"/>
              <w:bottom w:w="0" w:type="dxa"/>
              <w:right w:w="15" w:type="dxa"/>
            </w:tcMar>
            <w:vAlign w:val="bottom"/>
          </w:tcPr>
          <w:p w14:paraId="35A09735" w14:textId="77777777" w:rsidR="002E474C" w:rsidRDefault="00000000">
            <w:pPr>
              <w:pStyle w:val="A-"/>
            </w:pPr>
            <w:r>
              <w:t>SE</w:t>
            </w:r>
          </w:p>
        </w:tc>
        <w:tc>
          <w:tcPr>
            <w:tcW w:w="239" w:type="pct"/>
            <w:shd w:val="clear" w:color="auto" w:fill="auto"/>
            <w:noWrap/>
            <w:tcMar>
              <w:top w:w="15" w:type="dxa"/>
              <w:left w:w="15" w:type="dxa"/>
              <w:bottom w:w="0" w:type="dxa"/>
              <w:right w:w="15" w:type="dxa"/>
            </w:tcMar>
            <w:vAlign w:val="bottom"/>
          </w:tcPr>
          <w:p w14:paraId="6CD5A86A" w14:textId="77777777" w:rsidR="002E474C" w:rsidRDefault="00000000">
            <w:pPr>
              <w:pStyle w:val="A-"/>
            </w:pPr>
            <w:r>
              <w:t>SSE</w:t>
            </w:r>
          </w:p>
        </w:tc>
        <w:tc>
          <w:tcPr>
            <w:tcW w:w="239" w:type="pct"/>
            <w:shd w:val="clear" w:color="auto" w:fill="auto"/>
            <w:noWrap/>
            <w:tcMar>
              <w:top w:w="15" w:type="dxa"/>
              <w:left w:w="15" w:type="dxa"/>
              <w:bottom w:w="0" w:type="dxa"/>
              <w:right w:w="15" w:type="dxa"/>
            </w:tcMar>
            <w:vAlign w:val="bottom"/>
          </w:tcPr>
          <w:p w14:paraId="5BAAD461" w14:textId="77777777" w:rsidR="002E474C" w:rsidRDefault="00000000">
            <w:pPr>
              <w:pStyle w:val="A-"/>
            </w:pPr>
            <w:r>
              <w:t>S</w:t>
            </w:r>
          </w:p>
        </w:tc>
        <w:tc>
          <w:tcPr>
            <w:tcW w:w="277" w:type="pct"/>
            <w:shd w:val="clear" w:color="auto" w:fill="auto"/>
            <w:noWrap/>
            <w:tcMar>
              <w:top w:w="15" w:type="dxa"/>
              <w:left w:w="15" w:type="dxa"/>
              <w:bottom w:w="0" w:type="dxa"/>
              <w:right w:w="15" w:type="dxa"/>
            </w:tcMar>
            <w:vAlign w:val="bottom"/>
          </w:tcPr>
          <w:p w14:paraId="43A28067" w14:textId="77777777" w:rsidR="002E474C" w:rsidRDefault="00000000">
            <w:pPr>
              <w:pStyle w:val="A-"/>
            </w:pPr>
            <w:r>
              <w:t>SSW</w:t>
            </w:r>
          </w:p>
        </w:tc>
        <w:tc>
          <w:tcPr>
            <w:tcW w:w="239" w:type="pct"/>
            <w:shd w:val="clear" w:color="auto" w:fill="auto"/>
            <w:noWrap/>
            <w:tcMar>
              <w:top w:w="15" w:type="dxa"/>
              <w:left w:w="15" w:type="dxa"/>
              <w:bottom w:w="0" w:type="dxa"/>
              <w:right w:w="15" w:type="dxa"/>
            </w:tcMar>
            <w:vAlign w:val="bottom"/>
          </w:tcPr>
          <w:p w14:paraId="4C24D03A" w14:textId="77777777" w:rsidR="002E474C" w:rsidRDefault="00000000">
            <w:pPr>
              <w:pStyle w:val="A-"/>
            </w:pPr>
            <w:r>
              <w:t>SW</w:t>
            </w:r>
          </w:p>
        </w:tc>
        <w:tc>
          <w:tcPr>
            <w:tcW w:w="326" w:type="pct"/>
            <w:shd w:val="clear" w:color="auto" w:fill="auto"/>
            <w:noWrap/>
            <w:tcMar>
              <w:top w:w="15" w:type="dxa"/>
              <w:left w:w="15" w:type="dxa"/>
              <w:bottom w:w="0" w:type="dxa"/>
              <w:right w:w="15" w:type="dxa"/>
            </w:tcMar>
            <w:vAlign w:val="bottom"/>
          </w:tcPr>
          <w:p w14:paraId="3B550E9F" w14:textId="77777777" w:rsidR="002E474C" w:rsidRDefault="00000000">
            <w:pPr>
              <w:pStyle w:val="A-"/>
            </w:pPr>
            <w:r>
              <w:t>WSW</w:t>
            </w:r>
          </w:p>
        </w:tc>
        <w:tc>
          <w:tcPr>
            <w:tcW w:w="239" w:type="pct"/>
            <w:shd w:val="clear" w:color="auto" w:fill="auto"/>
            <w:noWrap/>
            <w:tcMar>
              <w:top w:w="15" w:type="dxa"/>
              <w:left w:w="15" w:type="dxa"/>
              <w:bottom w:w="0" w:type="dxa"/>
              <w:right w:w="15" w:type="dxa"/>
            </w:tcMar>
            <w:vAlign w:val="bottom"/>
          </w:tcPr>
          <w:p w14:paraId="491EC387" w14:textId="77777777" w:rsidR="002E474C" w:rsidRDefault="00000000">
            <w:pPr>
              <w:pStyle w:val="A-"/>
            </w:pPr>
            <w:r>
              <w:t>W</w:t>
            </w:r>
          </w:p>
        </w:tc>
        <w:tc>
          <w:tcPr>
            <w:tcW w:w="347" w:type="pct"/>
            <w:shd w:val="clear" w:color="auto" w:fill="auto"/>
            <w:noWrap/>
            <w:tcMar>
              <w:top w:w="15" w:type="dxa"/>
              <w:left w:w="15" w:type="dxa"/>
              <w:bottom w:w="0" w:type="dxa"/>
              <w:right w:w="15" w:type="dxa"/>
            </w:tcMar>
            <w:vAlign w:val="bottom"/>
          </w:tcPr>
          <w:p w14:paraId="3C3FDCBF" w14:textId="77777777" w:rsidR="002E474C" w:rsidRDefault="00000000">
            <w:pPr>
              <w:pStyle w:val="A-"/>
            </w:pPr>
            <w:r>
              <w:t>WNW</w:t>
            </w:r>
          </w:p>
        </w:tc>
        <w:tc>
          <w:tcPr>
            <w:tcW w:w="239" w:type="pct"/>
            <w:shd w:val="clear" w:color="auto" w:fill="auto"/>
            <w:noWrap/>
            <w:tcMar>
              <w:top w:w="15" w:type="dxa"/>
              <w:left w:w="15" w:type="dxa"/>
              <w:bottom w:w="0" w:type="dxa"/>
              <w:right w:w="15" w:type="dxa"/>
            </w:tcMar>
            <w:vAlign w:val="bottom"/>
          </w:tcPr>
          <w:p w14:paraId="790468E5" w14:textId="77777777" w:rsidR="002E474C" w:rsidRDefault="00000000">
            <w:pPr>
              <w:pStyle w:val="A-"/>
            </w:pPr>
            <w:r>
              <w:t>NW</w:t>
            </w:r>
          </w:p>
        </w:tc>
        <w:tc>
          <w:tcPr>
            <w:tcW w:w="319" w:type="pct"/>
            <w:shd w:val="clear" w:color="auto" w:fill="auto"/>
            <w:noWrap/>
            <w:tcMar>
              <w:top w:w="15" w:type="dxa"/>
              <w:left w:w="15" w:type="dxa"/>
              <w:bottom w:w="0" w:type="dxa"/>
              <w:right w:w="15" w:type="dxa"/>
            </w:tcMar>
            <w:vAlign w:val="bottom"/>
          </w:tcPr>
          <w:p w14:paraId="39390D68" w14:textId="77777777" w:rsidR="002E474C" w:rsidRDefault="00000000">
            <w:pPr>
              <w:pStyle w:val="A-"/>
            </w:pPr>
            <w:r>
              <w:t>NNW</w:t>
            </w:r>
          </w:p>
        </w:tc>
        <w:tc>
          <w:tcPr>
            <w:tcW w:w="270" w:type="pct"/>
            <w:shd w:val="clear" w:color="auto" w:fill="auto"/>
            <w:noWrap/>
            <w:tcMar>
              <w:top w:w="15" w:type="dxa"/>
              <w:left w:w="15" w:type="dxa"/>
              <w:bottom w:w="0" w:type="dxa"/>
              <w:right w:w="15" w:type="dxa"/>
            </w:tcMar>
            <w:vAlign w:val="bottom"/>
          </w:tcPr>
          <w:p w14:paraId="5CC41E21" w14:textId="77777777" w:rsidR="002E474C" w:rsidRDefault="00000000">
            <w:pPr>
              <w:pStyle w:val="A-"/>
            </w:pPr>
            <w:r>
              <w:t>平均</w:t>
            </w:r>
          </w:p>
        </w:tc>
      </w:tr>
      <w:tr w:rsidR="002E474C" w14:paraId="76BDB706" w14:textId="77777777">
        <w:trPr>
          <w:trHeight w:val="285"/>
        </w:trPr>
        <w:tc>
          <w:tcPr>
            <w:tcW w:w="497" w:type="pct"/>
            <w:shd w:val="clear" w:color="auto" w:fill="auto"/>
            <w:noWrap/>
            <w:tcMar>
              <w:top w:w="15" w:type="dxa"/>
              <w:left w:w="15" w:type="dxa"/>
              <w:bottom w:w="0" w:type="dxa"/>
              <w:right w:w="15" w:type="dxa"/>
            </w:tcMar>
            <w:vAlign w:val="bottom"/>
          </w:tcPr>
          <w:p w14:paraId="18F4EC06" w14:textId="77777777" w:rsidR="002E474C" w:rsidRDefault="00000000">
            <w:pPr>
              <w:pStyle w:val="A-"/>
            </w:pPr>
            <w:r>
              <w:t>一月</w:t>
            </w:r>
          </w:p>
        </w:tc>
        <w:tc>
          <w:tcPr>
            <w:tcW w:w="256" w:type="pct"/>
            <w:shd w:val="clear" w:color="auto" w:fill="auto"/>
            <w:noWrap/>
            <w:tcMar>
              <w:top w:w="15" w:type="dxa"/>
              <w:left w:w="15" w:type="dxa"/>
              <w:bottom w:w="0" w:type="dxa"/>
              <w:right w:w="15" w:type="dxa"/>
            </w:tcMar>
            <w:vAlign w:val="bottom"/>
          </w:tcPr>
          <w:p w14:paraId="070F6266" w14:textId="77777777" w:rsidR="002E474C" w:rsidRDefault="00000000">
            <w:pPr>
              <w:pStyle w:val="A-"/>
            </w:pPr>
            <w:r>
              <w:t>17.88</w:t>
            </w:r>
          </w:p>
        </w:tc>
        <w:tc>
          <w:tcPr>
            <w:tcW w:w="277" w:type="pct"/>
            <w:shd w:val="clear" w:color="auto" w:fill="auto"/>
            <w:noWrap/>
            <w:tcMar>
              <w:top w:w="15" w:type="dxa"/>
              <w:left w:w="15" w:type="dxa"/>
              <w:bottom w:w="0" w:type="dxa"/>
              <w:right w:w="15" w:type="dxa"/>
            </w:tcMar>
            <w:vAlign w:val="bottom"/>
          </w:tcPr>
          <w:p w14:paraId="743E89B7" w14:textId="77777777" w:rsidR="002E474C" w:rsidRDefault="00000000">
            <w:pPr>
              <w:pStyle w:val="A-"/>
            </w:pPr>
            <w:r>
              <w:t>7.54</w:t>
            </w:r>
          </w:p>
        </w:tc>
        <w:tc>
          <w:tcPr>
            <w:tcW w:w="239" w:type="pct"/>
            <w:shd w:val="clear" w:color="auto" w:fill="auto"/>
            <w:noWrap/>
            <w:tcMar>
              <w:top w:w="15" w:type="dxa"/>
              <w:left w:w="15" w:type="dxa"/>
              <w:bottom w:w="0" w:type="dxa"/>
              <w:right w:w="15" w:type="dxa"/>
            </w:tcMar>
            <w:vAlign w:val="bottom"/>
          </w:tcPr>
          <w:p w14:paraId="1E362732" w14:textId="77777777" w:rsidR="002E474C" w:rsidRDefault="00000000">
            <w:pPr>
              <w:pStyle w:val="A-"/>
            </w:pPr>
            <w:r>
              <w:t>4.58</w:t>
            </w:r>
          </w:p>
        </w:tc>
        <w:tc>
          <w:tcPr>
            <w:tcW w:w="263" w:type="pct"/>
            <w:shd w:val="clear" w:color="auto" w:fill="auto"/>
            <w:noWrap/>
            <w:tcMar>
              <w:top w:w="15" w:type="dxa"/>
              <w:left w:w="15" w:type="dxa"/>
              <w:bottom w:w="0" w:type="dxa"/>
              <w:right w:w="15" w:type="dxa"/>
            </w:tcMar>
            <w:vAlign w:val="bottom"/>
          </w:tcPr>
          <w:p w14:paraId="1E8A6A6E" w14:textId="77777777" w:rsidR="002E474C" w:rsidRDefault="00000000">
            <w:pPr>
              <w:pStyle w:val="A-"/>
            </w:pPr>
            <w:r>
              <w:t>3.39</w:t>
            </w:r>
          </w:p>
        </w:tc>
        <w:tc>
          <w:tcPr>
            <w:tcW w:w="253" w:type="pct"/>
            <w:shd w:val="clear" w:color="auto" w:fill="auto"/>
            <w:noWrap/>
            <w:tcMar>
              <w:top w:w="15" w:type="dxa"/>
              <w:left w:w="15" w:type="dxa"/>
              <w:bottom w:w="0" w:type="dxa"/>
              <w:right w:w="15" w:type="dxa"/>
            </w:tcMar>
            <w:vAlign w:val="bottom"/>
          </w:tcPr>
          <w:p w14:paraId="3F21B974" w14:textId="77777777" w:rsidR="002E474C" w:rsidRDefault="00000000">
            <w:pPr>
              <w:pStyle w:val="A-"/>
            </w:pPr>
            <w:r>
              <w:t>3.05</w:t>
            </w:r>
          </w:p>
        </w:tc>
        <w:tc>
          <w:tcPr>
            <w:tcW w:w="242" w:type="pct"/>
            <w:shd w:val="clear" w:color="auto" w:fill="auto"/>
            <w:noWrap/>
            <w:tcMar>
              <w:top w:w="15" w:type="dxa"/>
              <w:left w:w="15" w:type="dxa"/>
              <w:bottom w:w="0" w:type="dxa"/>
              <w:right w:w="15" w:type="dxa"/>
            </w:tcMar>
            <w:vAlign w:val="bottom"/>
          </w:tcPr>
          <w:p w14:paraId="0BD47986" w14:textId="77777777" w:rsidR="002E474C" w:rsidRDefault="00000000">
            <w:pPr>
              <w:pStyle w:val="A-"/>
            </w:pPr>
            <w:r>
              <w:t>2.76</w:t>
            </w:r>
          </w:p>
        </w:tc>
        <w:tc>
          <w:tcPr>
            <w:tcW w:w="239" w:type="pct"/>
            <w:shd w:val="clear" w:color="auto" w:fill="auto"/>
            <w:noWrap/>
            <w:tcMar>
              <w:top w:w="15" w:type="dxa"/>
              <w:left w:w="15" w:type="dxa"/>
              <w:bottom w:w="0" w:type="dxa"/>
              <w:right w:w="15" w:type="dxa"/>
            </w:tcMar>
            <w:vAlign w:val="bottom"/>
          </w:tcPr>
          <w:p w14:paraId="7146D01C" w14:textId="77777777" w:rsidR="002E474C" w:rsidRDefault="00000000">
            <w:pPr>
              <w:pStyle w:val="A-"/>
            </w:pPr>
            <w:r>
              <w:t>3.08</w:t>
            </w:r>
          </w:p>
        </w:tc>
        <w:tc>
          <w:tcPr>
            <w:tcW w:w="239" w:type="pct"/>
            <w:shd w:val="clear" w:color="auto" w:fill="auto"/>
            <w:noWrap/>
            <w:tcMar>
              <w:top w:w="15" w:type="dxa"/>
              <w:left w:w="15" w:type="dxa"/>
              <w:bottom w:w="0" w:type="dxa"/>
              <w:right w:w="15" w:type="dxa"/>
            </w:tcMar>
            <w:vAlign w:val="bottom"/>
          </w:tcPr>
          <w:p w14:paraId="44AAB87C" w14:textId="77777777" w:rsidR="002E474C" w:rsidRDefault="00000000">
            <w:pPr>
              <w:pStyle w:val="A-"/>
            </w:pPr>
            <w:r>
              <w:t>3.42</w:t>
            </w:r>
          </w:p>
        </w:tc>
        <w:tc>
          <w:tcPr>
            <w:tcW w:w="239" w:type="pct"/>
            <w:shd w:val="clear" w:color="auto" w:fill="auto"/>
            <w:noWrap/>
            <w:tcMar>
              <w:top w:w="15" w:type="dxa"/>
              <w:left w:w="15" w:type="dxa"/>
              <w:bottom w:w="0" w:type="dxa"/>
              <w:right w:w="15" w:type="dxa"/>
            </w:tcMar>
            <w:vAlign w:val="bottom"/>
          </w:tcPr>
          <w:p w14:paraId="64743FB1" w14:textId="77777777" w:rsidR="002E474C" w:rsidRDefault="00000000">
            <w:pPr>
              <w:pStyle w:val="A-"/>
            </w:pPr>
            <w:r>
              <w:t>7.41</w:t>
            </w:r>
          </w:p>
        </w:tc>
        <w:tc>
          <w:tcPr>
            <w:tcW w:w="277" w:type="pct"/>
            <w:shd w:val="clear" w:color="auto" w:fill="auto"/>
            <w:noWrap/>
            <w:tcMar>
              <w:top w:w="15" w:type="dxa"/>
              <w:left w:w="15" w:type="dxa"/>
              <w:bottom w:w="0" w:type="dxa"/>
              <w:right w:w="15" w:type="dxa"/>
            </w:tcMar>
            <w:vAlign w:val="bottom"/>
          </w:tcPr>
          <w:p w14:paraId="5ABC508D" w14:textId="77777777" w:rsidR="002E474C" w:rsidRDefault="00000000">
            <w:pPr>
              <w:pStyle w:val="A-"/>
            </w:pPr>
            <w:r>
              <w:t>4.79</w:t>
            </w:r>
          </w:p>
        </w:tc>
        <w:tc>
          <w:tcPr>
            <w:tcW w:w="239" w:type="pct"/>
            <w:shd w:val="clear" w:color="auto" w:fill="auto"/>
            <w:noWrap/>
            <w:tcMar>
              <w:top w:w="15" w:type="dxa"/>
              <w:left w:w="15" w:type="dxa"/>
              <w:bottom w:w="0" w:type="dxa"/>
              <w:right w:w="15" w:type="dxa"/>
            </w:tcMar>
            <w:vAlign w:val="bottom"/>
          </w:tcPr>
          <w:p w14:paraId="056B169B" w14:textId="77777777" w:rsidR="002E474C" w:rsidRDefault="00000000">
            <w:pPr>
              <w:pStyle w:val="A-"/>
            </w:pPr>
            <w:r>
              <w:t>3.87</w:t>
            </w:r>
          </w:p>
        </w:tc>
        <w:tc>
          <w:tcPr>
            <w:tcW w:w="326" w:type="pct"/>
            <w:shd w:val="clear" w:color="auto" w:fill="auto"/>
            <w:noWrap/>
            <w:tcMar>
              <w:top w:w="15" w:type="dxa"/>
              <w:left w:w="15" w:type="dxa"/>
              <w:bottom w:w="0" w:type="dxa"/>
              <w:right w:w="15" w:type="dxa"/>
            </w:tcMar>
            <w:vAlign w:val="bottom"/>
          </w:tcPr>
          <w:p w14:paraId="784EE291" w14:textId="77777777" w:rsidR="002E474C" w:rsidRDefault="00000000">
            <w:pPr>
              <w:pStyle w:val="A-"/>
            </w:pPr>
            <w:r>
              <w:t>2.47</w:t>
            </w:r>
          </w:p>
        </w:tc>
        <w:tc>
          <w:tcPr>
            <w:tcW w:w="239" w:type="pct"/>
            <w:shd w:val="clear" w:color="auto" w:fill="auto"/>
            <w:noWrap/>
            <w:tcMar>
              <w:top w:w="15" w:type="dxa"/>
              <w:left w:w="15" w:type="dxa"/>
              <w:bottom w:w="0" w:type="dxa"/>
              <w:right w:w="15" w:type="dxa"/>
            </w:tcMar>
            <w:vAlign w:val="bottom"/>
          </w:tcPr>
          <w:p w14:paraId="0556BF9A" w14:textId="77777777" w:rsidR="002E474C" w:rsidRDefault="00000000">
            <w:pPr>
              <w:pStyle w:val="A-"/>
            </w:pPr>
            <w:r>
              <w:t>4.27</w:t>
            </w:r>
          </w:p>
        </w:tc>
        <w:tc>
          <w:tcPr>
            <w:tcW w:w="347" w:type="pct"/>
            <w:shd w:val="clear" w:color="auto" w:fill="auto"/>
            <w:noWrap/>
            <w:tcMar>
              <w:top w:w="15" w:type="dxa"/>
              <w:left w:w="15" w:type="dxa"/>
              <w:bottom w:w="0" w:type="dxa"/>
              <w:right w:w="15" w:type="dxa"/>
            </w:tcMar>
            <w:vAlign w:val="bottom"/>
          </w:tcPr>
          <w:p w14:paraId="6C013236" w14:textId="77777777" w:rsidR="002E474C" w:rsidRDefault="00000000">
            <w:pPr>
              <w:pStyle w:val="A-"/>
            </w:pPr>
            <w:r>
              <w:t>3.08</w:t>
            </w:r>
          </w:p>
        </w:tc>
        <w:tc>
          <w:tcPr>
            <w:tcW w:w="239" w:type="pct"/>
            <w:shd w:val="clear" w:color="auto" w:fill="auto"/>
            <w:noWrap/>
            <w:tcMar>
              <w:top w:w="15" w:type="dxa"/>
              <w:left w:w="15" w:type="dxa"/>
              <w:bottom w:w="0" w:type="dxa"/>
              <w:right w:w="15" w:type="dxa"/>
            </w:tcMar>
            <w:vAlign w:val="bottom"/>
          </w:tcPr>
          <w:p w14:paraId="04F03576" w14:textId="77777777" w:rsidR="002E474C" w:rsidRDefault="00000000">
            <w:pPr>
              <w:pStyle w:val="A-"/>
            </w:pPr>
            <w:r>
              <w:t>5.64</w:t>
            </w:r>
          </w:p>
        </w:tc>
        <w:tc>
          <w:tcPr>
            <w:tcW w:w="319" w:type="pct"/>
            <w:shd w:val="clear" w:color="auto" w:fill="auto"/>
            <w:noWrap/>
            <w:tcMar>
              <w:top w:w="15" w:type="dxa"/>
              <w:left w:w="15" w:type="dxa"/>
              <w:bottom w:w="0" w:type="dxa"/>
              <w:right w:w="15" w:type="dxa"/>
            </w:tcMar>
            <w:vAlign w:val="bottom"/>
          </w:tcPr>
          <w:p w14:paraId="0E3F9C74" w14:textId="77777777" w:rsidR="002E474C" w:rsidRDefault="00000000">
            <w:pPr>
              <w:pStyle w:val="A-"/>
            </w:pPr>
            <w:r>
              <w:t>6.79</w:t>
            </w:r>
          </w:p>
        </w:tc>
        <w:tc>
          <w:tcPr>
            <w:tcW w:w="270" w:type="pct"/>
            <w:shd w:val="clear" w:color="auto" w:fill="auto"/>
            <w:noWrap/>
            <w:tcMar>
              <w:top w:w="15" w:type="dxa"/>
              <w:left w:w="15" w:type="dxa"/>
              <w:bottom w:w="0" w:type="dxa"/>
              <w:right w:w="15" w:type="dxa"/>
            </w:tcMar>
            <w:vAlign w:val="bottom"/>
          </w:tcPr>
          <w:p w14:paraId="3961C48A" w14:textId="77777777" w:rsidR="002E474C" w:rsidRDefault="00000000">
            <w:pPr>
              <w:pStyle w:val="A-"/>
            </w:pPr>
            <w:r>
              <w:t>5.25</w:t>
            </w:r>
          </w:p>
        </w:tc>
      </w:tr>
      <w:tr w:rsidR="002E474C" w14:paraId="737286BA" w14:textId="77777777">
        <w:trPr>
          <w:trHeight w:val="285"/>
        </w:trPr>
        <w:tc>
          <w:tcPr>
            <w:tcW w:w="497" w:type="pct"/>
            <w:shd w:val="clear" w:color="auto" w:fill="auto"/>
            <w:noWrap/>
            <w:tcMar>
              <w:top w:w="15" w:type="dxa"/>
              <w:left w:w="15" w:type="dxa"/>
              <w:bottom w:w="0" w:type="dxa"/>
              <w:right w:w="15" w:type="dxa"/>
            </w:tcMar>
            <w:vAlign w:val="bottom"/>
          </w:tcPr>
          <w:p w14:paraId="672359AA" w14:textId="77777777" w:rsidR="002E474C" w:rsidRDefault="00000000">
            <w:pPr>
              <w:pStyle w:val="A-"/>
            </w:pPr>
            <w:r>
              <w:t>二月</w:t>
            </w:r>
          </w:p>
        </w:tc>
        <w:tc>
          <w:tcPr>
            <w:tcW w:w="256" w:type="pct"/>
            <w:shd w:val="clear" w:color="auto" w:fill="auto"/>
            <w:noWrap/>
            <w:tcMar>
              <w:top w:w="15" w:type="dxa"/>
              <w:left w:w="15" w:type="dxa"/>
              <w:bottom w:w="0" w:type="dxa"/>
              <w:right w:w="15" w:type="dxa"/>
            </w:tcMar>
            <w:vAlign w:val="bottom"/>
          </w:tcPr>
          <w:p w14:paraId="5233AB98" w14:textId="77777777" w:rsidR="002E474C" w:rsidRDefault="00000000">
            <w:pPr>
              <w:pStyle w:val="A-"/>
            </w:pPr>
            <w:r>
              <w:t>9.64</w:t>
            </w:r>
          </w:p>
        </w:tc>
        <w:tc>
          <w:tcPr>
            <w:tcW w:w="277" w:type="pct"/>
            <w:shd w:val="clear" w:color="auto" w:fill="auto"/>
            <w:noWrap/>
            <w:tcMar>
              <w:top w:w="15" w:type="dxa"/>
              <w:left w:w="15" w:type="dxa"/>
              <w:bottom w:w="0" w:type="dxa"/>
              <w:right w:w="15" w:type="dxa"/>
            </w:tcMar>
            <w:vAlign w:val="bottom"/>
          </w:tcPr>
          <w:p w14:paraId="234AC215" w14:textId="77777777" w:rsidR="002E474C" w:rsidRDefault="00000000">
            <w:pPr>
              <w:pStyle w:val="A-"/>
            </w:pPr>
            <w:r>
              <w:t>6.58</w:t>
            </w:r>
          </w:p>
        </w:tc>
        <w:tc>
          <w:tcPr>
            <w:tcW w:w="239" w:type="pct"/>
            <w:shd w:val="clear" w:color="auto" w:fill="auto"/>
            <w:noWrap/>
            <w:tcMar>
              <w:top w:w="15" w:type="dxa"/>
              <w:left w:w="15" w:type="dxa"/>
              <w:bottom w:w="0" w:type="dxa"/>
              <w:right w:w="15" w:type="dxa"/>
            </w:tcMar>
            <w:vAlign w:val="bottom"/>
          </w:tcPr>
          <w:p w14:paraId="06046DA2" w14:textId="77777777" w:rsidR="002E474C" w:rsidRDefault="00000000">
            <w:pPr>
              <w:pStyle w:val="A-"/>
            </w:pPr>
            <w:r>
              <w:t>3.43</w:t>
            </w:r>
          </w:p>
        </w:tc>
        <w:tc>
          <w:tcPr>
            <w:tcW w:w="263" w:type="pct"/>
            <w:shd w:val="clear" w:color="auto" w:fill="auto"/>
            <w:noWrap/>
            <w:tcMar>
              <w:top w:w="15" w:type="dxa"/>
              <w:left w:w="15" w:type="dxa"/>
              <w:bottom w:w="0" w:type="dxa"/>
              <w:right w:w="15" w:type="dxa"/>
            </w:tcMar>
            <w:vAlign w:val="bottom"/>
          </w:tcPr>
          <w:p w14:paraId="72EE96B2" w14:textId="77777777" w:rsidR="002E474C" w:rsidRDefault="00000000">
            <w:pPr>
              <w:pStyle w:val="A-"/>
            </w:pPr>
            <w:r>
              <w:t>2.87</w:t>
            </w:r>
          </w:p>
        </w:tc>
        <w:tc>
          <w:tcPr>
            <w:tcW w:w="253" w:type="pct"/>
            <w:shd w:val="clear" w:color="auto" w:fill="auto"/>
            <w:noWrap/>
            <w:tcMar>
              <w:top w:w="15" w:type="dxa"/>
              <w:left w:w="15" w:type="dxa"/>
              <w:bottom w:w="0" w:type="dxa"/>
              <w:right w:w="15" w:type="dxa"/>
            </w:tcMar>
            <w:vAlign w:val="bottom"/>
          </w:tcPr>
          <w:p w14:paraId="4618295E" w14:textId="77777777" w:rsidR="002E474C" w:rsidRDefault="00000000">
            <w:pPr>
              <w:pStyle w:val="A-"/>
            </w:pPr>
            <w:r>
              <w:t>5.27</w:t>
            </w:r>
          </w:p>
        </w:tc>
        <w:tc>
          <w:tcPr>
            <w:tcW w:w="242" w:type="pct"/>
            <w:shd w:val="clear" w:color="auto" w:fill="auto"/>
            <w:noWrap/>
            <w:tcMar>
              <w:top w:w="15" w:type="dxa"/>
              <w:left w:w="15" w:type="dxa"/>
              <w:bottom w:w="0" w:type="dxa"/>
              <w:right w:w="15" w:type="dxa"/>
            </w:tcMar>
            <w:vAlign w:val="bottom"/>
          </w:tcPr>
          <w:p w14:paraId="27F7DAFC" w14:textId="77777777" w:rsidR="002E474C" w:rsidRDefault="00000000">
            <w:pPr>
              <w:pStyle w:val="A-"/>
            </w:pPr>
            <w:r>
              <w:t>4.22</w:t>
            </w:r>
          </w:p>
        </w:tc>
        <w:tc>
          <w:tcPr>
            <w:tcW w:w="239" w:type="pct"/>
            <w:shd w:val="clear" w:color="auto" w:fill="auto"/>
            <w:noWrap/>
            <w:tcMar>
              <w:top w:w="15" w:type="dxa"/>
              <w:left w:w="15" w:type="dxa"/>
              <w:bottom w:w="0" w:type="dxa"/>
              <w:right w:w="15" w:type="dxa"/>
            </w:tcMar>
            <w:vAlign w:val="bottom"/>
          </w:tcPr>
          <w:p w14:paraId="6A98B53C" w14:textId="77777777" w:rsidR="002E474C" w:rsidRDefault="00000000">
            <w:pPr>
              <w:pStyle w:val="A-"/>
            </w:pPr>
            <w:r>
              <w:t>2.61</w:t>
            </w:r>
          </w:p>
        </w:tc>
        <w:tc>
          <w:tcPr>
            <w:tcW w:w="239" w:type="pct"/>
            <w:shd w:val="clear" w:color="auto" w:fill="auto"/>
            <w:noWrap/>
            <w:tcMar>
              <w:top w:w="15" w:type="dxa"/>
              <w:left w:w="15" w:type="dxa"/>
              <w:bottom w:w="0" w:type="dxa"/>
              <w:right w:w="15" w:type="dxa"/>
            </w:tcMar>
            <w:vAlign w:val="bottom"/>
          </w:tcPr>
          <w:p w14:paraId="7F6DA7C5" w14:textId="77777777" w:rsidR="002E474C" w:rsidRDefault="00000000">
            <w:pPr>
              <w:pStyle w:val="A-"/>
            </w:pPr>
            <w:r>
              <w:t>3.2</w:t>
            </w:r>
          </w:p>
        </w:tc>
        <w:tc>
          <w:tcPr>
            <w:tcW w:w="239" w:type="pct"/>
            <w:shd w:val="clear" w:color="auto" w:fill="auto"/>
            <w:noWrap/>
            <w:tcMar>
              <w:top w:w="15" w:type="dxa"/>
              <w:left w:w="15" w:type="dxa"/>
              <w:bottom w:w="0" w:type="dxa"/>
              <w:right w:w="15" w:type="dxa"/>
            </w:tcMar>
            <w:vAlign w:val="bottom"/>
          </w:tcPr>
          <w:p w14:paraId="2CCA1CC4" w14:textId="77777777" w:rsidR="002E474C" w:rsidRDefault="00000000">
            <w:pPr>
              <w:pStyle w:val="A-"/>
            </w:pPr>
            <w:r>
              <w:t>4.06</w:t>
            </w:r>
          </w:p>
        </w:tc>
        <w:tc>
          <w:tcPr>
            <w:tcW w:w="277" w:type="pct"/>
            <w:shd w:val="clear" w:color="auto" w:fill="auto"/>
            <w:noWrap/>
            <w:tcMar>
              <w:top w:w="15" w:type="dxa"/>
              <w:left w:w="15" w:type="dxa"/>
              <w:bottom w:w="0" w:type="dxa"/>
              <w:right w:w="15" w:type="dxa"/>
            </w:tcMar>
            <w:vAlign w:val="bottom"/>
          </w:tcPr>
          <w:p w14:paraId="60BE49C4" w14:textId="77777777" w:rsidR="002E474C" w:rsidRDefault="00000000">
            <w:pPr>
              <w:pStyle w:val="A-"/>
            </w:pPr>
            <w:r>
              <w:t>2.51</w:t>
            </w:r>
          </w:p>
        </w:tc>
        <w:tc>
          <w:tcPr>
            <w:tcW w:w="239" w:type="pct"/>
            <w:shd w:val="clear" w:color="auto" w:fill="auto"/>
            <w:noWrap/>
            <w:tcMar>
              <w:top w:w="15" w:type="dxa"/>
              <w:left w:w="15" w:type="dxa"/>
              <w:bottom w:w="0" w:type="dxa"/>
              <w:right w:w="15" w:type="dxa"/>
            </w:tcMar>
            <w:vAlign w:val="bottom"/>
          </w:tcPr>
          <w:p w14:paraId="7F20D7BD" w14:textId="77777777" w:rsidR="002E474C" w:rsidRDefault="00000000">
            <w:pPr>
              <w:pStyle w:val="A-"/>
            </w:pPr>
            <w:r>
              <w:t>2.7</w:t>
            </w:r>
          </w:p>
        </w:tc>
        <w:tc>
          <w:tcPr>
            <w:tcW w:w="326" w:type="pct"/>
            <w:shd w:val="clear" w:color="auto" w:fill="auto"/>
            <w:noWrap/>
            <w:tcMar>
              <w:top w:w="15" w:type="dxa"/>
              <w:left w:w="15" w:type="dxa"/>
              <w:bottom w:w="0" w:type="dxa"/>
              <w:right w:w="15" w:type="dxa"/>
            </w:tcMar>
            <w:vAlign w:val="bottom"/>
          </w:tcPr>
          <w:p w14:paraId="2A017150" w14:textId="77777777" w:rsidR="002E474C" w:rsidRDefault="00000000">
            <w:pPr>
              <w:pStyle w:val="A-"/>
            </w:pPr>
            <w:r>
              <w:t>2.65</w:t>
            </w:r>
          </w:p>
        </w:tc>
        <w:tc>
          <w:tcPr>
            <w:tcW w:w="239" w:type="pct"/>
            <w:shd w:val="clear" w:color="auto" w:fill="auto"/>
            <w:noWrap/>
            <w:tcMar>
              <w:top w:w="15" w:type="dxa"/>
              <w:left w:w="15" w:type="dxa"/>
              <w:bottom w:w="0" w:type="dxa"/>
              <w:right w:w="15" w:type="dxa"/>
            </w:tcMar>
            <w:vAlign w:val="bottom"/>
          </w:tcPr>
          <w:p w14:paraId="1464C316" w14:textId="77777777" w:rsidR="002E474C" w:rsidRDefault="00000000">
            <w:pPr>
              <w:pStyle w:val="A-"/>
            </w:pPr>
            <w:r>
              <w:t>3.56</w:t>
            </w:r>
          </w:p>
        </w:tc>
        <w:tc>
          <w:tcPr>
            <w:tcW w:w="347" w:type="pct"/>
            <w:shd w:val="clear" w:color="auto" w:fill="auto"/>
            <w:noWrap/>
            <w:tcMar>
              <w:top w:w="15" w:type="dxa"/>
              <w:left w:w="15" w:type="dxa"/>
              <w:bottom w:w="0" w:type="dxa"/>
              <w:right w:w="15" w:type="dxa"/>
            </w:tcMar>
            <w:vAlign w:val="bottom"/>
          </w:tcPr>
          <w:p w14:paraId="789CDF3B" w14:textId="77777777" w:rsidR="002E474C" w:rsidRDefault="00000000">
            <w:pPr>
              <w:pStyle w:val="A-"/>
            </w:pPr>
            <w:r>
              <w:t>1.41</w:t>
            </w:r>
          </w:p>
        </w:tc>
        <w:tc>
          <w:tcPr>
            <w:tcW w:w="239" w:type="pct"/>
            <w:shd w:val="clear" w:color="auto" w:fill="auto"/>
            <w:noWrap/>
            <w:tcMar>
              <w:top w:w="15" w:type="dxa"/>
              <w:left w:w="15" w:type="dxa"/>
              <w:bottom w:w="0" w:type="dxa"/>
              <w:right w:w="15" w:type="dxa"/>
            </w:tcMar>
            <w:vAlign w:val="bottom"/>
          </w:tcPr>
          <w:p w14:paraId="352CDC23" w14:textId="77777777" w:rsidR="002E474C" w:rsidRDefault="00000000">
            <w:pPr>
              <w:pStyle w:val="A-"/>
            </w:pPr>
            <w:r>
              <w:t>3.45</w:t>
            </w:r>
          </w:p>
        </w:tc>
        <w:tc>
          <w:tcPr>
            <w:tcW w:w="319" w:type="pct"/>
            <w:shd w:val="clear" w:color="auto" w:fill="auto"/>
            <w:noWrap/>
            <w:tcMar>
              <w:top w:w="15" w:type="dxa"/>
              <w:left w:w="15" w:type="dxa"/>
              <w:bottom w:w="0" w:type="dxa"/>
              <w:right w:w="15" w:type="dxa"/>
            </w:tcMar>
            <w:vAlign w:val="bottom"/>
          </w:tcPr>
          <w:p w14:paraId="1505EE61" w14:textId="77777777" w:rsidR="002E474C" w:rsidRDefault="00000000">
            <w:pPr>
              <w:pStyle w:val="A-"/>
            </w:pPr>
            <w:r>
              <w:t>4.86</w:t>
            </w:r>
          </w:p>
        </w:tc>
        <w:tc>
          <w:tcPr>
            <w:tcW w:w="270" w:type="pct"/>
            <w:shd w:val="clear" w:color="auto" w:fill="auto"/>
            <w:noWrap/>
            <w:tcMar>
              <w:top w:w="15" w:type="dxa"/>
              <w:left w:w="15" w:type="dxa"/>
              <w:bottom w:w="0" w:type="dxa"/>
              <w:right w:w="15" w:type="dxa"/>
            </w:tcMar>
            <w:vAlign w:val="bottom"/>
          </w:tcPr>
          <w:p w14:paraId="1F96B38A" w14:textId="77777777" w:rsidR="002E474C" w:rsidRDefault="00000000">
            <w:pPr>
              <w:pStyle w:val="A-"/>
            </w:pPr>
            <w:r>
              <w:t>3.94</w:t>
            </w:r>
          </w:p>
        </w:tc>
      </w:tr>
      <w:tr w:rsidR="002E474C" w14:paraId="1486A7AC" w14:textId="77777777">
        <w:trPr>
          <w:trHeight w:val="285"/>
        </w:trPr>
        <w:tc>
          <w:tcPr>
            <w:tcW w:w="497" w:type="pct"/>
            <w:shd w:val="clear" w:color="auto" w:fill="auto"/>
            <w:noWrap/>
            <w:tcMar>
              <w:top w:w="15" w:type="dxa"/>
              <w:left w:w="15" w:type="dxa"/>
              <w:bottom w:w="0" w:type="dxa"/>
              <w:right w:w="15" w:type="dxa"/>
            </w:tcMar>
            <w:vAlign w:val="bottom"/>
          </w:tcPr>
          <w:p w14:paraId="0BA7865C" w14:textId="77777777" w:rsidR="002E474C" w:rsidRDefault="00000000">
            <w:pPr>
              <w:pStyle w:val="A-"/>
            </w:pPr>
            <w:r>
              <w:t>三月</w:t>
            </w:r>
          </w:p>
        </w:tc>
        <w:tc>
          <w:tcPr>
            <w:tcW w:w="256" w:type="pct"/>
            <w:shd w:val="clear" w:color="auto" w:fill="auto"/>
            <w:noWrap/>
            <w:tcMar>
              <w:top w:w="15" w:type="dxa"/>
              <w:left w:w="15" w:type="dxa"/>
              <w:bottom w:w="0" w:type="dxa"/>
              <w:right w:w="15" w:type="dxa"/>
            </w:tcMar>
            <w:vAlign w:val="bottom"/>
          </w:tcPr>
          <w:p w14:paraId="34DA2368" w14:textId="77777777" w:rsidR="002E474C" w:rsidRDefault="00000000">
            <w:pPr>
              <w:pStyle w:val="A-"/>
            </w:pPr>
            <w:r>
              <w:t>7.2</w:t>
            </w:r>
          </w:p>
        </w:tc>
        <w:tc>
          <w:tcPr>
            <w:tcW w:w="277" w:type="pct"/>
            <w:shd w:val="clear" w:color="auto" w:fill="auto"/>
            <w:noWrap/>
            <w:tcMar>
              <w:top w:w="15" w:type="dxa"/>
              <w:left w:w="15" w:type="dxa"/>
              <w:bottom w:w="0" w:type="dxa"/>
              <w:right w:w="15" w:type="dxa"/>
            </w:tcMar>
            <w:vAlign w:val="bottom"/>
          </w:tcPr>
          <w:p w14:paraId="2F8D1829" w14:textId="77777777" w:rsidR="002E474C" w:rsidRDefault="00000000">
            <w:pPr>
              <w:pStyle w:val="A-"/>
            </w:pPr>
            <w:r>
              <w:t>4.59</w:t>
            </w:r>
          </w:p>
        </w:tc>
        <w:tc>
          <w:tcPr>
            <w:tcW w:w="239" w:type="pct"/>
            <w:shd w:val="clear" w:color="auto" w:fill="auto"/>
            <w:noWrap/>
            <w:tcMar>
              <w:top w:w="15" w:type="dxa"/>
              <w:left w:w="15" w:type="dxa"/>
              <w:bottom w:w="0" w:type="dxa"/>
              <w:right w:w="15" w:type="dxa"/>
            </w:tcMar>
            <w:vAlign w:val="bottom"/>
          </w:tcPr>
          <w:p w14:paraId="52E4AC65" w14:textId="77777777" w:rsidR="002E474C" w:rsidRDefault="00000000">
            <w:pPr>
              <w:pStyle w:val="A-"/>
            </w:pPr>
            <w:r>
              <w:t>3.03</w:t>
            </w:r>
          </w:p>
        </w:tc>
        <w:tc>
          <w:tcPr>
            <w:tcW w:w="263" w:type="pct"/>
            <w:shd w:val="clear" w:color="auto" w:fill="auto"/>
            <w:noWrap/>
            <w:tcMar>
              <w:top w:w="15" w:type="dxa"/>
              <w:left w:w="15" w:type="dxa"/>
              <w:bottom w:w="0" w:type="dxa"/>
              <w:right w:w="15" w:type="dxa"/>
            </w:tcMar>
            <w:vAlign w:val="bottom"/>
          </w:tcPr>
          <w:p w14:paraId="29B66DD1" w14:textId="77777777" w:rsidR="002E474C" w:rsidRDefault="00000000">
            <w:pPr>
              <w:pStyle w:val="A-"/>
            </w:pPr>
            <w:r>
              <w:t>3.05</w:t>
            </w:r>
          </w:p>
        </w:tc>
        <w:tc>
          <w:tcPr>
            <w:tcW w:w="253" w:type="pct"/>
            <w:shd w:val="clear" w:color="auto" w:fill="auto"/>
            <w:noWrap/>
            <w:tcMar>
              <w:top w:w="15" w:type="dxa"/>
              <w:left w:w="15" w:type="dxa"/>
              <w:bottom w:w="0" w:type="dxa"/>
              <w:right w:w="15" w:type="dxa"/>
            </w:tcMar>
            <w:vAlign w:val="bottom"/>
          </w:tcPr>
          <w:p w14:paraId="569FBD92" w14:textId="77777777" w:rsidR="002E474C" w:rsidRDefault="00000000">
            <w:pPr>
              <w:pStyle w:val="A-"/>
            </w:pPr>
            <w:r>
              <w:t>6.69</w:t>
            </w:r>
          </w:p>
        </w:tc>
        <w:tc>
          <w:tcPr>
            <w:tcW w:w="242" w:type="pct"/>
            <w:shd w:val="clear" w:color="auto" w:fill="auto"/>
            <w:noWrap/>
            <w:tcMar>
              <w:top w:w="15" w:type="dxa"/>
              <w:left w:w="15" w:type="dxa"/>
              <w:bottom w:w="0" w:type="dxa"/>
              <w:right w:w="15" w:type="dxa"/>
            </w:tcMar>
            <w:vAlign w:val="bottom"/>
          </w:tcPr>
          <w:p w14:paraId="4938714A" w14:textId="77777777" w:rsidR="002E474C" w:rsidRDefault="00000000">
            <w:pPr>
              <w:pStyle w:val="A-"/>
            </w:pPr>
            <w:r>
              <w:t>3.36</w:t>
            </w:r>
          </w:p>
        </w:tc>
        <w:tc>
          <w:tcPr>
            <w:tcW w:w="239" w:type="pct"/>
            <w:shd w:val="clear" w:color="auto" w:fill="auto"/>
            <w:noWrap/>
            <w:tcMar>
              <w:top w:w="15" w:type="dxa"/>
              <w:left w:w="15" w:type="dxa"/>
              <w:bottom w:w="0" w:type="dxa"/>
              <w:right w:w="15" w:type="dxa"/>
            </w:tcMar>
            <w:vAlign w:val="bottom"/>
          </w:tcPr>
          <w:p w14:paraId="155F0944" w14:textId="77777777" w:rsidR="002E474C" w:rsidRDefault="00000000">
            <w:pPr>
              <w:pStyle w:val="A-"/>
            </w:pPr>
            <w:r>
              <w:t>3.95</w:t>
            </w:r>
          </w:p>
        </w:tc>
        <w:tc>
          <w:tcPr>
            <w:tcW w:w="239" w:type="pct"/>
            <w:shd w:val="clear" w:color="auto" w:fill="auto"/>
            <w:noWrap/>
            <w:tcMar>
              <w:top w:w="15" w:type="dxa"/>
              <w:left w:w="15" w:type="dxa"/>
              <w:bottom w:w="0" w:type="dxa"/>
              <w:right w:w="15" w:type="dxa"/>
            </w:tcMar>
            <w:vAlign w:val="bottom"/>
          </w:tcPr>
          <w:p w14:paraId="79F31FF6" w14:textId="77777777" w:rsidR="002E474C" w:rsidRDefault="00000000">
            <w:pPr>
              <w:pStyle w:val="A-"/>
            </w:pPr>
            <w:r>
              <w:t>2.6</w:t>
            </w:r>
          </w:p>
        </w:tc>
        <w:tc>
          <w:tcPr>
            <w:tcW w:w="239" w:type="pct"/>
            <w:shd w:val="clear" w:color="auto" w:fill="auto"/>
            <w:noWrap/>
            <w:tcMar>
              <w:top w:w="15" w:type="dxa"/>
              <w:left w:w="15" w:type="dxa"/>
              <w:bottom w:w="0" w:type="dxa"/>
              <w:right w:w="15" w:type="dxa"/>
            </w:tcMar>
            <w:vAlign w:val="bottom"/>
          </w:tcPr>
          <w:p w14:paraId="7F1E0B49" w14:textId="77777777" w:rsidR="002E474C" w:rsidRDefault="00000000">
            <w:pPr>
              <w:pStyle w:val="A-"/>
            </w:pPr>
            <w:r>
              <w:t>4.05</w:t>
            </w:r>
          </w:p>
        </w:tc>
        <w:tc>
          <w:tcPr>
            <w:tcW w:w="277" w:type="pct"/>
            <w:shd w:val="clear" w:color="auto" w:fill="auto"/>
            <w:noWrap/>
            <w:tcMar>
              <w:top w:w="15" w:type="dxa"/>
              <w:left w:w="15" w:type="dxa"/>
              <w:bottom w:w="0" w:type="dxa"/>
              <w:right w:w="15" w:type="dxa"/>
            </w:tcMar>
            <w:vAlign w:val="bottom"/>
          </w:tcPr>
          <w:p w14:paraId="3EA3F784" w14:textId="77777777" w:rsidR="002E474C" w:rsidRDefault="00000000">
            <w:pPr>
              <w:pStyle w:val="A-"/>
            </w:pPr>
            <w:r>
              <w:t>1.72</w:t>
            </w:r>
          </w:p>
        </w:tc>
        <w:tc>
          <w:tcPr>
            <w:tcW w:w="239" w:type="pct"/>
            <w:shd w:val="clear" w:color="auto" w:fill="auto"/>
            <w:noWrap/>
            <w:tcMar>
              <w:top w:w="15" w:type="dxa"/>
              <w:left w:w="15" w:type="dxa"/>
              <w:bottom w:w="0" w:type="dxa"/>
              <w:right w:w="15" w:type="dxa"/>
            </w:tcMar>
            <w:vAlign w:val="bottom"/>
          </w:tcPr>
          <w:p w14:paraId="335B5081" w14:textId="77777777" w:rsidR="002E474C" w:rsidRDefault="00000000">
            <w:pPr>
              <w:pStyle w:val="A-"/>
            </w:pPr>
            <w:r>
              <w:t>2.08</w:t>
            </w:r>
          </w:p>
        </w:tc>
        <w:tc>
          <w:tcPr>
            <w:tcW w:w="326" w:type="pct"/>
            <w:shd w:val="clear" w:color="auto" w:fill="auto"/>
            <w:noWrap/>
            <w:tcMar>
              <w:top w:w="15" w:type="dxa"/>
              <w:left w:w="15" w:type="dxa"/>
              <w:bottom w:w="0" w:type="dxa"/>
              <w:right w:w="15" w:type="dxa"/>
            </w:tcMar>
            <w:vAlign w:val="bottom"/>
          </w:tcPr>
          <w:p w14:paraId="512C3EA0" w14:textId="77777777" w:rsidR="002E474C" w:rsidRDefault="00000000">
            <w:pPr>
              <w:pStyle w:val="A-"/>
            </w:pPr>
            <w:r>
              <w:t>1.35</w:t>
            </w:r>
          </w:p>
        </w:tc>
        <w:tc>
          <w:tcPr>
            <w:tcW w:w="239" w:type="pct"/>
            <w:shd w:val="clear" w:color="auto" w:fill="auto"/>
            <w:noWrap/>
            <w:tcMar>
              <w:top w:w="15" w:type="dxa"/>
              <w:left w:w="15" w:type="dxa"/>
              <w:bottom w:w="0" w:type="dxa"/>
              <w:right w:w="15" w:type="dxa"/>
            </w:tcMar>
            <w:vAlign w:val="bottom"/>
          </w:tcPr>
          <w:p w14:paraId="296B7132" w14:textId="77777777" w:rsidR="002E474C" w:rsidRDefault="00000000">
            <w:pPr>
              <w:pStyle w:val="A-"/>
            </w:pPr>
            <w:r>
              <w:t>1.03</w:t>
            </w:r>
          </w:p>
        </w:tc>
        <w:tc>
          <w:tcPr>
            <w:tcW w:w="347" w:type="pct"/>
            <w:shd w:val="clear" w:color="auto" w:fill="auto"/>
            <w:noWrap/>
            <w:tcMar>
              <w:top w:w="15" w:type="dxa"/>
              <w:left w:w="15" w:type="dxa"/>
              <w:bottom w:w="0" w:type="dxa"/>
              <w:right w:w="15" w:type="dxa"/>
            </w:tcMar>
            <w:vAlign w:val="bottom"/>
          </w:tcPr>
          <w:p w14:paraId="19E24250" w14:textId="77777777" w:rsidR="002E474C" w:rsidRDefault="00000000">
            <w:pPr>
              <w:pStyle w:val="A-"/>
            </w:pPr>
            <w:r>
              <w:t>2.52</w:t>
            </w:r>
          </w:p>
        </w:tc>
        <w:tc>
          <w:tcPr>
            <w:tcW w:w="239" w:type="pct"/>
            <w:shd w:val="clear" w:color="auto" w:fill="auto"/>
            <w:noWrap/>
            <w:tcMar>
              <w:top w:w="15" w:type="dxa"/>
              <w:left w:w="15" w:type="dxa"/>
              <w:bottom w:w="0" w:type="dxa"/>
              <w:right w:w="15" w:type="dxa"/>
            </w:tcMar>
            <w:vAlign w:val="bottom"/>
          </w:tcPr>
          <w:p w14:paraId="1816C4EA" w14:textId="77777777" w:rsidR="002E474C" w:rsidRDefault="00000000">
            <w:pPr>
              <w:pStyle w:val="A-"/>
            </w:pPr>
            <w:r>
              <w:t>2.81</w:t>
            </w:r>
          </w:p>
        </w:tc>
        <w:tc>
          <w:tcPr>
            <w:tcW w:w="319" w:type="pct"/>
            <w:shd w:val="clear" w:color="auto" w:fill="auto"/>
            <w:noWrap/>
            <w:tcMar>
              <w:top w:w="15" w:type="dxa"/>
              <w:left w:w="15" w:type="dxa"/>
              <w:bottom w:w="0" w:type="dxa"/>
              <w:right w:w="15" w:type="dxa"/>
            </w:tcMar>
            <w:vAlign w:val="bottom"/>
          </w:tcPr>
          <w:p w14:paraId="3C8D1448" w14:textId="77777777" w:rsidR="002E474C" w:rsidRDefault="00000000">
            <w:pPr>
              <w:pStyle w:val="A-"/>
            </w:pPr>
            <w:r>
              <w:t>4.54</w:t>
            </w:r>
          </w:p>
        </w:tc>
        <w:tc>
          <w:tcPr>
            <w:tcW w:w="270" w:type="pct"/>
            <w:shd w:val="clear" w:color="auto" w:fill="auto"/>
            <w:noWrap/>
            <w:tcMar>
              <w:top w:w="15" w:type="dxa"/>
              <w:left w:w="15" w:type="dxa"/>
              <w:bottom w:w="0" w:type="dxa"/>
              <w:right w:w="15" w:type="dxa"/>
            </w:tcMar>
            <w:vAlign w:val="bottom"/>
          </w:tcPr>
          <w:p w14:paraId="0B4FEEBE" w14:textId="77777777" w:rsidR="002E474C" w:rsidRDefault="00000000">
            <w:pPr>
              <w:pStyle w:val="A-"/>
            </w:pPr>
            <w:r>
              <w:t>3.41</w:t>
            </w:r>
          </w:p>
        </w:tc>
      </w:tr>
      <w:tr w:rsidR="002E474C" w14:paraId="3414554A" w14:textId="77777777">
        <w:trPr>
          <w:trHeight w:val="285"/>
        </w:trPr>
        <w:tc>
          <w:tcPr>
            <w:tcW w:w="497" w:type="pct"/>
            <w:shd w:val="clear" w:color="auto" w:fill="auto"/>
            <w:noWrap/>
            <w:tcMar>
              <w:top w:w="15" w:type="dxa"/>
              <w:left w:w="15" w:type="dxa"/>
              <w:bottom w:w="0" w:type="dxa"/>
              <w:right w:w="15" w:type="dxa"/>
            </w:tcMar>
            <w:vAlign w:val="bottom"/>
          </w:tcPr>
          <w:p w14:paraId="0CDB3140" w14:textId="77777777" w:rsidR="002E474C" w:rsidRDefault="00000000">
            <w:pPr>
              <w:pStyle w:val="A-"/>
            </w:pPr>
            <w:r>
              <w:t>四月</w:t>
            </w:r>
          </w:p>
        </w:tc>
        <w:tc>
          <w:tcPr>
            <w:tcW w:w="256" w:type="pct"/>
            <w:shd w:val="clear" w:color="auto" w:fill="auto"/>
            <w:noWrap/>
            <w:tcMar>
              <w:top w:w="15" w:type="dxa"/>
              <w:left w:w="15" w:type="dxa"/>
              <w:bottom w:w="0" w:type="dxa"/>
              <w:right w:w="15" w:type="dxa"/>
            </w:tcMar>
            <w:vAlign w:val="bottom"/>
          </w:tcPr>
          <w:p w14:paraId="4FFD2DD4" w14:textId="77777777" w:rsidR="002E474C" w:rsidRDefault="00000000">
            <w:pPr>
              <w:pStyle w:val="A-"/>
            </w:pPr>
            <w:r>
              <w:t>4.73</w:t>
            </w:r>
          </w:p>
        </w:tc>
        <w:tc>
          <w:tcPr>
            <w:tcW w:w="277" w:type="pct"/>
            <w:shd w:val="clear" w:color="auto" w:fill="auto"/>
            <w:noWrap/>
            <w:tcMar>
              <w:top w:w="15" w:type="dxa"/>
              <w:left w:w="15" w:type="dxa"/>
              <w:bottom w:w="0" w:type="dxa"/>
              <w:right w:w="15" w:type="dxa"/>
            </w:tcMar>
            <w:vAlign w:val="bottom"/>
          </w:tcPr>
          <w:p w14:paraId="3ED40617" w14:textId="77777777" w:rsidR="002E474C" w:rsidRDefault="00000000">
            <w:pPr>
              <w:pStyle w:val="A-"/>
            </w:pPr>
            <w:r>
              <w:t>2.69</w:t>
            </w:r>
          </w:p>
        </w:tc>
        <w:tc>
          <w:tcPr>
            <w:tcW w:w="239" w:type="pct"/>
            <w:shd w:val="clear" w:color="auto" w:fill="auto"/>
            <w:noWrap/>
            <w:tcMar>
              <w:top w:w="15" w:type="dxa"/>
              <w:left w:w="15" w:type="dxa"/>
              <w:bottom w:w="0" w:type="dxa"/>
              <w:right w:w="15" w:type="dxa"/>
            </w:tcMar>
            <w:vAlign w:val="bottom"/>
          </w:tcPr>
          <w:p w14:paraId="66FA85A8" w14:textId="77777777" w:rsidR="002E474C" w:rsidRDefault="00000000">
            <w:pPr>
              <w:pStyle w:val="A-"/>
            </w:pPr>
            <w:r>
              <w:t>3.36</w:t>
            </w:r>
          </w:p>
        </w:tc>
        <w:tc>
          <w:tcPr>
            <w:tcW w:w="263" w:type="pct"/>
            <w:shd w:val="clear" w:color="auto" w:fill="auto"/>
            <w:noWrap/>
            <w:tcMar>
              <w:top w:w="15" w:type="dxa"/>
              <w:left w:w="15" w:type="dxa"/>
              <w:bottom w:w="0" w:type="dxa"/>
              <w:right w:w="15" w:type="dxa"/>
            </w:tcMar>
            <w:vAlign w:val="bottom"/>
          </w:tcPr>
          <w:p w14:paraId="33E66E0D" w14:textId="77777777" w:rsidR="002E474C" w:rsidRDefault="00000000">
            <w:pPr>
              <w:pStyle w:val="A-"/>
            </w:pPr>
            <w:r>
              <w:t>3.16</w:t>
            </w:r>
          </w:p>
        </w:tc>
        <w:tc>
          <w:tcPr>
            <w:tcW w:w="253" w:type="pct"/>
            <w:shd w:val="clear" w:color="auto" w:fill="auto"/>
            <w:noWrap/>
            <w:tcMar>
              <w:top w:w="15" w:type="dxa"/>
              <w:left w:w="15" w:type="dxa"/>
              <w:bottom w:w="0" w:type="dxa"/>
              <w:right w:w="15" w:type="dxa"/>
            </w:tcMar>
            <w:vAlign w:val="bottom"/>
          </w:tcPr>
          <w:p w14:paraId="2A18B168" w14:textId="77777777" w:rsidR="002E474C" w:rsidRDefault="00000000">
            <w:pPr>
              <w:pStyle w:val="A-"/>
            </w:pPr>
            <w:r>
              <w:t>5.85</w:t>
            </w:r>
          </w:p>
        </w:tc>
        <w:tc>
          <w:tcPr>
            <w:tcW w:w="242" w:type="pct"/>
            <w:shd w:val="clear" w:color="auto" w:fill="auto"/>
            <w:noWrap/>
            <w:tcMar>
              <w:top w:w="15" w:type="dxa"/>
              <w:left w:w="15" w:type="dxa"/>
              <w:bottom w:w="0" w:type="dxa"/>
              <w:right w:w="15" w:type="dxa"/>
            </w:tcMar>
            <w:vAlign w:val="bottom"/>
          </w:tcPr>
          <w:p w14:paraId="105A9D9A" w14:textId="77777777" w:rsidR="002E474C" w:rsidRDefault="00000000">
            <w:pPr>
              <w:pStyle w:val="A-"/>
            </w:pPr>
            <w:r>
              <w:t>3.87</w:t>
            </w:r>
          </w:p>
        </w:tc>
        <w:tc>
          <w:tcPr>
            <w:tcW w:w="239" w:type="pct"/>
            <w:shd w:val="clear" w:color="auto" w:fill="auto"/>
            <w:noWrap/>
            <w:tcMar>
              <w:top w:w="15" w:type="dxa"/>
              <w:left w:w="15" w:type="dxa"/>
              <w:bottom w:w="0" w:type="dxa"/>
              <w:right w:w="15" w:type="dxa"/>
            </w:tcMar>
            <w:vAlign w:val="bottom"/>
          </w:tcPr>
          <w:p w14:paraId="7F5CE6F9" w14:textId="77777777" w:rsidR="002E474C" w:rsidRDefault="00000000">
            <w:pPr>
              <w:pStyle w:val="A-"/>
            </w:pPr>
            <w:r>
              <w:t>2.5</w:t>
            </w:r>
          </w:p>
        </w:tc>
        <w:tc>
          <w:tcPr>
            <w:tcW w:w="239" w:type="pct"/>
            <w:shd w:val="clear" w:color="auto" w:fill="auto"/>
            <w:noWrap/>
            <w:tcMar>
              <w:top w:w="15" w:type="dxa"/>
              <w:left w:w="15" w:type="dxa"/>
              <w:bottom w:w="0" w:type="dxa"/>
              <w:right w:w="15" w:type="dxa"/>
            </w:tcMar>
            <w:vAlign w:val="bottom"/>
          </w:tcPr>
          <w:p w14:paraId="2A15C9FB" w14:textId="77777777" w:rsidR="002E474C" w:rsidRDefault="00000000">
            <w:pPr>
              <w:pStyle w:val="A-"/>
            </w:pPr>
            <w:r>
              <w:t>1.61</w:t>
            </w:r>
          </w:p>
        </w:tc>
        <w:tc>
          <w:tcPr>
            <w:tcW w:w="239" w:type="pct"/>
            <w:shd w:val="clear" w:color="auto" w:fill="auto"/>
            <w:noWrap/>
            <w:tcMar>
              <w:top w:w="15" w:type="dxa"/>
              <w:left w:w="15" w:type="dxa"/>
              <w:bottom w:w="0" w:type="dxa"/>
              <w:right w:w="15" w:type="dxa"/>
            </w:tcMar>
            <w:vAlign w:val="bottom"/>
          </w:tcPr>
          <w:p w14:paraId="20F26ED6" w14:textId="77777777" w:rsidR="002E474C" w:rsidRDefault="00000000">
            <w:pPr>
              <w:pStyle w:val="A-"/>
            </w:pPr>
            <w:r>
              <w:t>2.44</w:t>
            </w:r>
          </w:p>
        </w:tc>
        <w:tc>
          <w:tcPr>
            <w:tcW w:w="277" w:type="pct"/>
            <w:shd w:val="clear" w:color="auto" w:fill="auto"/>
            <w:noWrap/>
            <w:tcMar>
              <w:top w:w="15" w:type="dxa"/>
              <w:left w:w="15" w:type="dxa"/>
              <w:bottom w:w="0" w:type="dxa"/>
              <w:right w:w="15" w:type="dxa"/>
            </w:tcMar>
            <w:vAlign w:val="bottom"/>
          </w:tcPr>
          <w:p w14:paraId="0F92DA9E" w14:textId="77777777" w:rsidR="002E474C" w:rsidRDefault="00000000">
            <w:pPr>
              <w:pStyle w:val="A-"/>
            </w:pPr>
            <w:r>
              <w:t>2.45</w:t>
            </w:r>
          </w:p>
        </w:tc>
        <w:tc>
          <w:tcPr>
            <w:tcW w:w="239" w:type="pct"/>
            <w:shd w:val="clear" w:color="auto" w:fill="auto"/>
            <w:noWrap/>
            <w:tcMar>
              <w:top w:w="15" w:type="dxa"/>
              <w:left w:w="15" w:type="dxa"/>
              <w:bottom w:w="0" w:type="dxa"/>
              <w:right w:w="15" w:type="dxa"/>
            </w:tcMar>
            <w:vAlign w:val="bottom"/>
          </w:tcPr>
          <w:p w14:paraId="0FD98ED5" w14:textId="77777777" w:rsidR="002E474C" w:rsidRDefault="00000000">
            <w:pPr>
              <w:pStyle w:val="A-"/>
            </w:pPr>
            <w:r>
              <w:t>1.06</w:t>
            </w:r>
          </w:p>
        </w:tc>
        <w:tc>
          <w:tcPr>
            <w:tcW w:w="326" w:type="pct"/>
            <w:shd w:val="clear" w:color="auto" w:fill="auto"/>
            <w:noWrap/>
            <w:tcMar>
              <w:top w:w="15" w:type="dxa"/>
              <w:left w:w="15" w:type="dxa"/>
              <w:bottom w:w="0" w:type="dxa"/>
              <w:right w:w="15" w:type="dxa"/>
            </w:tcMar>
            <w:vAlign w:val="bottom"/>
          </w:tcPr>
          <w:p w14:paraId="28493408" w14:textId="77777777" w:rsidR="002E474C" w:rsidRDefault="00000000">
            <w:pPr>
              <w:pStyle w:val="A-"/>
            </w:pPr>
            <w:r>
              <w:t>1.08</w:t>
            </w:r>
          </w:p>
        </w:tc>
        <w:tc>
          <w:tcPr>
            <w:tcW w:w="239" w:type="pct"/>
            <w:shd w:val="clear" w:color="auto" w:fill="auto"/>
            <w:noWrap/>
            <w:tcMar>
              <w:top w:w="15" w:type="dxa"/>
              <w:left w:w="15" w:type="dxa"/>
              <w:bottom w:w="0" w:type="dxa"/>
              <w:right w:w="15" w:type="dxa"/>
            </w:tcMar>
            <w:vAlign w:val="bottom"/>
          </w:tcPr>
          <w:p w14:paraId="1B5DE8A8" w14:textId="77777777" w:rsidR="002E474C" w:rsidRDefault="00000000">
            <w:pPr>
              <w:pStyle w:val="A-"/>
            </w:pPr>
            <w:r>
              <w:t>1.61</w:t>
            </w:r>
          </w:p>
        </w:tc>
        <w:tc>
          <w:tcPr>
            <w:tcW w:w="347" w:type="pct"/>
            <w:shd w:val="clear" w:color="auto" w:fill="auto"/>
            <w:noWrap/>
            <w:tcMar>
              <w:top w:w="15" w:type="dxa"/>
              <w:left w:w="15" w:type="dxa"/>
              <w:bottom w:w="0" w:type="dxa"/>
              <w:right w:w="15" w:type="dxa"/>
            </w:tcMar>
            <w:vAlign w:val="bottom"/>
          </w:tcPr>
          <w:p w14:paraId="7CB32F06" w14:textId="77777777" w:rsidR="002E474C" w:rsidRDefault="00000000">
            <w:pPr>
              <w:pStyle w:val="A-"/>
            </w:pPr>
            <w:r>
              <w:t>0.94</w:t>
            </w:r>
          </w:p>
        </w:tc>
        <w:tc>
          <w:tcPr>
            <w:tcW w:w="239" w:type="pct"/>
            <w:shd w:val="clear" w:color="auto" w:fill="auto"/>
            <w:noWrap/>
            <w:tcMar>
              <w:top w:w="15" w:type="dxa"/>
              <w:left w:w="15" w:type="dxa"/>
              <w:bottom w:w="0" w:type="dxa"/>
              <w:right w:w="15" w:type="dxa"/>
            </w:tcMar>
            <w:vAlign w:val="bottom"/>
          </w:tcPr>
          <w:p w14:paraId="011FE9A7" w14:textId="77777777" w:rsidR="002E474C" w:rsidRDefault="00000000">
            <w:pPr>
              <w:pStyle w:val="A-"/>
            </w:pPr>
            <w:r>
              <w:t>2.32</w:t>
            </w:r>
          </w:p>
        </w:tc>
        <w:tc>
          <w:tcPr>
            <w:tcW w:w="319" w:type="pct"/>
            <w:shd w:val="clear" w:color="auto" w:fill="auto"/>
            <w:noWrap/>
            <w:tcMar>
              <w:top w:w="15" w:type="dxa"/>
              <w:left w:w="15" w:type="dxa"/>
              <w:bottom w:w="0" w:type="dxa"/>
              <w:right w:w="15" w:type="dxa"/>
            </w:tcMar>
            <w:vAlign w:val="bottom"/>
          </w:tcPr>
          <w:p w14:paraId="40535182" w14:textId="77777777" w:rsidR="002E474C" w:rsidRDefault="00000000">
            <w:pPr>
              <w:pStyle w:val="A-"/>
            </w:pPr>
            <w:r>
              <w:t>2.59</w:t>
            </w:r>
          </w:p>
        </w:tc>
        <w:tc>
          <w:tcPr>
            <w:tcW w:w="270" w:type="pct"/>
            <w:shd w:val="clear" w:color="auto" w:fill="auto"/>
            <w:noWrap/>
            <w:tcMar>
              <w:top w:w="15" w:type="dxa"/>
              <w:left w:w="15" w:type="dxa"/>
              <w:bottom w:w="0" w:type="dxa"/>
              <w:right w:w="15" w:type="dxa"/>
            </w:tcMar>
            <w:vAlign w:val="bottom"/>
          </w:tcPr>
          <w:p w14:paraId="576AB7A7" w14:textId="77777777" w:rsidR="002E474C" w:rsidRDefault="00000000">
            <w:pPr>
              <w:pStyle w:val="A-"/>
            </w:pPr>
            <w:r>
              <w:t>2.64</w:t>
            </w:r>
          </w:p>
        </w:tc>
      </w:tr>
      <w:tr w:rsidR="002E474C" w14:paraId="3AD5AEAE" w14:textId="77777777">
        <w:trPr>
          <w:trHeight w:val="285"/>
        </w:trPr>
        <w:tc>
          <w:tcPr>
            <w:tcW w:w="497" w:type="pct"/>
            <w:shd w:val="clear" w:color="auto" w:fill="auto"/>
            <w:noWrap/>
            <w:tcMar>
              <w:top w:w="15" w:type="dxa"/>
              <w:left w:w="15" w:type="dxa"/>
              <w:bottom w:w="0" w:type="dxa"/>
              <w:right w:w="15" w:type="dxa"/>
            </w:tcMar>
            <w:vAlign w:val="bottom"/>
          </w:tcPr>
          <w:p w14:paraId="0B18C6A3" w14:textId="77777777" w:rsidR="002E474C" w:rsidRDefault="00000000">
            <w:pPr>
              <w:pStyle w:val="A-"/>
            </w:pPr>
            <w:r>
              <w:t>五月</w:t>
            </w:r>
          </w:p>
        </w:tc>
        <w:tc>
          <w:tcPr>
            <w:tcW w:w="256" w:type="pct"/>
            <w:shd w:val="clear" w:color="auto" w:fill="auto"/>
            <w:noWrap/>
            <w:tcMar>
              <w:top w:w="15" w:type="dxa"/>
              <w:left w:w="15" w:type="dxa"/>
              <w:bottom w:w="0" w:type="dxa"/>
              <w:right w:w="15" w:type="dxa"/>
            </w:tcMar>
            <w:vAlign w:val="bottom"/>
          </w:tcPr>
          <w:p w14:paraId="50890B05" w14:textId="77777777" w:rsidR="002E474C" w:rsidRDefault="00000000">
            <w:pPr>
              <w:pStyle w:val="A-"/>
            </w:pPr>
            <w:r>
              <w:t>4.14</w:t>
            </w:r>
          </w:p>
        </w:tc>
        <w:tc>
          <w:tcPr>
            <w:tcW w:w="277" w:type="pct"/>
            <w:shd w:val="clear" w:color="auto" w:fill="auto"/>
            <w:noWrap/>
            <w:tcMar>
              <w:top w:w="15" w:type="dxa"/>
              <w:left w:w="15" w:type="dxa"/>
              <w:bottom w:w="0" w:type="dxa"/>
              <w:right w:w="15" w:type="dxa"/>
            </w:tcMar>
            <w:vAlign w:val="bottom"/>
          </w:tcPr>
          <w:p w14:paraId="34789450" w14:textId="77777777" w:rsidR="002E474C" w:rsidRDefault="00000000">
            <w:pPr>
              <w:pStyle w:val="A-"/>
            </w:pPr>
            <w:r>
              <w:t>2.69</w:t>
            </w:r>
          </w:p>
        </w:tc>
        <w:tc>
          <w:tcPr>
            <w:tcW w:w="239" w:type="pct"/>
            <w:shd w:val="clear" w:color="auto" w:fill="auto"/>
            <w:noWrap/>
            <w:tcMar>
              <w:top w:w="15" w:type="dxa"/>
              <w:left w:w="15" w:type="dxa"/>
              <w:bottom w:w="0" w:type="dxa"/>
              <w:right w:w="15" w:type="dxa"/>
            </w:tcMar>
            <w:vAlign w:val="bottom"/>
          </w:tcPr>
          <w:p w14:paraId="10DE7E35" w14:textId="77777777" w:rsidR="002E474C" w:rsidRDefault="00000000">
            <w:pPr>
              <w:pStyle w:val="A-"/>
            </w:pPr>
            <w:r>
              <w:t>2.67</w:t>
            </w:r>
          </w:p>
        </w:tc>
        <w:tc>
          <w:tcPr>
            <w:tcW w:w="263" w:type="pct"/>
            <w:shd w:val="clear" w:color="auto" w:fill="auto"/>
            <w:noWrap/>
            <w:tcMar>
              <w:top w:w="15" w:type="dxa"/>
              <w:left w:w="15" w:type="dxa"/>
              <w:bottom w:w="0" w:type="dxa"/>
              <w:right w:w="15" w:type="dxa"/>
            </w:tcMar>
            <w:vAlign w:val="bottom"/>
          </w:tcPr>
          <w:p w14:paraId="429C731F" w14:textId="77777777" w:rsidR="002E474C" w:rsidRDefault="00000000">
            <w:pPr>
              <w:pStyle w:val="A-"/>
            </w:pPr>
            <w:r>
              <w:t>3.12</w:t>
            </w:r>
          </w:p>
        </w:tc>
        <w:tc>
          <w:tcPr>
            <w:tcW w:w="253" w:type="pct"/>
            <w:shd w:val="clear" w:color="auto" w:fill="auto"/>
            <w:noWrap/>
            <w:tcMar>
              <w:top w:w="15" w:type="dxa"/>
              <w:left w:w="15" w:type="dxa"/>
              <w:bottom w:w="0" w:type="dxa"/>
              <w:right w:w="15" w:type="dxa"/>
            </w:tcMar>
            <w:vAlign w:val="bottom"/>
          </w:tcPr>
          <w:p w14:paraId="06F94B20" w14:textId="77777777" w:rsidR="002E474C" w:rsidRDefault="00000000">
            <w:pPr>
              <w:pStyle w:val="A-"/>
            </w:pPr>
            <w:r>
              <w:t>5.85</w:t>
            </w:r>
          </w:p>
        </w:tc>
        <w:tc>
          <w:tcPr>
            <w:tcW w:w="242" w:type="pct"/>
            <w:shd w:val="clear" w:color="auto" w:fill="auto"/>
            <w:noWrap/>
            <w:tcMar>
              <w:top w:w="15" w:type="dxa"/>
              <w:left w:w="15" w:type="dxa"/>
              <w:bottom w:w="0" w:type="dxa"/>
              <w:right w:w="15" w:type="dxa"/>
            </w:tcMar>
            <w:vAlign w:val="bottom"/>
          </w:tcPr>
          <w:p w14:paraId="24C3BC74" w14:textId="77777777" w:rsidR="002E474C" w:rsidRDefault="00000000">
            <w:pPr>
              <w:pStyle w:val="A-"/>
            </w:pPr>
            <w:r>
              <w:t>3.12</w:t>
            </w:r>
          </w:p>
        </w:tc>
        <w:tc>
          <w:tcPr>
            <w:tcW w:w="239" w:type="pct"/>
            <w:shd w:val="clear" w:color="auto" w:fill="auto"/>
            <w:noWrap/>
            <w:tcMar>
              <w:top w:w="15" w:type="dxa"/>
              <w:left w:w="15" w:type="dxa"/>
              <w:bottom w:w="0" w:type="dxa"/>
              <w:right w:w="15" w:type="dxa"/>
            </w:tcMar>
            <w:vAlign w:val="bottom"/>
          </w:tcPr>
          <w:p w14:paraId="04217FF7" w14:textId="77777777" w:rsidR="002E474C" w:rsidRDefault="00000000">
            <w:pPr>
              <w:pStyle w:val="A-"/>
            </w:pPr>
            <w:r>
              <w:t>1.74</w:t>
            </w:r>
          </w:p>
        </w:tc>
        <w:tc>
          <w:tcPr>
            <w:tcW w:w="239" w:type="pct"/>
            <w:shd w:val="clear" w:color="auto" w:fill="auto"/>
            <w:noWrap/>
            <w:tcMar>
              <w:top w:w="15" w:type="dxa"/>
              <w:left w:w="15" w:type="dxa"/>
              <w:bottom w:w="0" w:type="dxa"/>
              <w:right w:w="15" w:type="dxa"/>
            </w:tcMar>
            <w:vAlign w:val="bottom"/>
          </w:tcPr>
          <w:p w14:paraId="1436E7B2" w14:textId="77777777" w:rsidR="002E474C" w:rsidRDefault="00000000">
            <w:pPr>
              <w:pStyle w:val="A-"/>
            </w:pPr>
            <w:r>
              <w:t>1.33</w:t>
            </w:r>
          </w:p>
        </w:tc>
        <w:tc>
          <w:tcPr>
            <w:tcW w:w="239" w:type="pct"/>
            <w:shd w:val="clear" w:color="auto" w:fill="auto"/>
            <w:noWrap/>
            <w:tcMar>
              <w:top w:w="15" w:type="dxa"/>
              <w:left w:w="15" w:type="dxa"/>
              <w:bottom w:w="0" w:type="dxa"/>
              <w:right w:w="15" w:type="dxa"/>
            </w:tcMar>
            <w:vAlign w:val="bottom"/>
          </w:tcPr>
          <w:p w14:paraId="19635DA6" w14:textId="77777777" w:rsidR="002E474C" w:rsidRDefault="00000000">
            <w:pPr>
              <w:pStyle w:val="A-"/>
            </w:pPr>
            <w:r>
              <w:t>1.52</w:t>
            </w:r>
          </w:p>
        </w:tc>
        <w:tc>
          <w:tcPr>
            <w:tcW w:w="277" w:type="pct"/>
            <w:shd w:val="clear" w:color="auto" w:fill="auto"/>
            <w:noWrap/>
            <w:tcMar>
              <w:top w:w="15" w:type="dxa"/>
              <w:left w:w="15" w:type="dxa"/>
              <w:bottom w:w="0" w:type="dxa"/>
              <w:right w:w="15" w:type="dxa"/>
            </w:tcMar>
            <w:vAlign w:val="bottom"/>
          </w:tcPr>
          <w:p w14:paraId="140C75CF" w14:textId="77777777" w:rsidR="002E474C" w:rsidRDefault="00000000">
            <w:pPr>
              <w:pStyle w:val="A-"/>
            </w:pPr>
            <w:r>
              <w:t>2.55</w:t>
            </w:r>
          </w:p>
        </w:tc>
        <w:tc>
          <w:tcPr>
            <w:tcW w:w="239" w:type="pct"/>
            <w:shd w:val="clear" w:color="auto" w:fill="auto"/>
            <w:noWrap/>
            <w:tcMar>
              <w:top w:w="15" w:type="dxa"/>
              <w:left w:w="15" w:type="dxa"/>
              <w:bottom w:w="0" w:type="dxa"/>
              <w:right w:w="15" w:type="dxa"/>
            </w:tcMar>
            <w:vAlign w:val="bottom"/>
          </w:tcPr>
          <w:p w14:paraId="3D104B22" w14:textId="77777777" w:rsidR="002E474C" w:rsidRDefault="00000000">
            <w:pPr>
              <w:pStyle w:val="A-"/>
            </w:pPr>
            <w:r>
              <w:t>3.6</w:t>
            </w:r>
          </w:p>
        </w:tc>
        <w:tc>
          <w:tcPr>
            <w:tcW w:w="326" w:type="pct"/>
            <w:shd w:val="clear" w:color="auto" w:fill="auto"/>
            <w:noWrap/>
            <w:tcMar>
              <w:top w:w="15" w:type="dxa"/>
              <w:left w:w="15" w:type="dxa"/>
              <w:bottom w:w="0" w:type="dxa"/>
              <w:right w:w="15" w:type="dxa"/>
            </w:tcMar>
            <w:vAlign w:val="bottom"/>
          </w:tcPr>
          <w:p w14:paraId="351F3563" w14:textId="77777777" w:rsidR="002E474C" w:rsidRDefault="00000000">
            <w:pPr>
              <w:pStyle w:val="A-"/>
            </w:pPr>
            <w:r>
              <w:t>1.74</w:t>
            </w:r>
          </w:p>
        </w:tc>
        <w:tc>
          <w:tcPr>
            <w:tcW w:w="239" w:type="pct"/>
            <w:shd w:val="clear" w:color="auto" w:fill="auto"/>
            <w:noWrap/>
            <w:tcMar>
              <w:top w:w="15" w:type="dxa"/>
              <w:left w:w="15" w:type="dxa"/>
              <w:bottom w:w="0" w:type="dxa"/>
              <w:right w:w="15" w:type="dxa"/>
            </w:tcMar>
            <w:vAlign w:val="bottom"/>
          </w:tcPr>
          <w:p w14:paraId="094FEF3C" w14:textId="77777777" w:rsidR="002E474C" w:rsidRDefault="00000000">
            <w:pPr>
              <w:pStyle w:val="A-"/>
            </w:pPr>
            <w:r>
              <w:t>3.14</w:t>
            </w:r>
          </w:p>
        </w:tc>
        <w:tc>
          <w:tcPr>
            <w:tcW w:w="347" w:type="pct"/>
            <w:shd w:val="clear" w:color="auto" w:fill="auto"/>
            <w:noWrap/>
            <w:tcMar>
              <w:top w:w="15" w:type="dxa"/>
              <w:left w:w="15" w:type="dxa"/>
              <w:bottom w:w="0" w:type="dxa"/>
              <w:right w:w="15" w:type="dxa"/>
            </w:tcMar>
            <w:vAlign w:val="bottom"/>
          </w:tcPr>
          <w:p w14:paraId="5A998339" w14:textId="77777777" w:rsidR="002E474C" w:rsidRDefault="00000000">
            <w:pPr>
              <w:pStyle w:val="A-"/>
            </w:pPr>
            <w:r>
              <w:t>1.01</w:t>
            </w:r>
          </w:p>
        </w:tc>
        <w:tc>
          <w:tcPr>
            <w:tcW w:w="239" w:type="pct"/>
            <w:shd w:val="clear" w:color="auto" w:fill="auto"/>
            <w:noWrap/>
            <w:tcMar>
              <w:top w:w="15" w:type="dxa"/>
              <w:left w:w="15" w:type="dxa"/>
              <w:bottom w:w="0" w:type="dxa"/>
              <w:right w:w="15" w:type="dxa"/>
            </w:tcMar>
            <w:vAlign w:val="bottom"/>
          </w:tcPr>
          <w:p w14:paraId="4E4C04E9" w14:textId="77777777" w:rsidR="002E474C" w:rsidRDefault="00000000">
            <w:pPr>
              <w:pStyle w:val="A-"/>
            </w:pPr>
            <w:r>
              <w:t>1.94</w:t>
            </w:r>
          </w:p>
        </w:tc>
        <w:tc>
          <w:tcPr>
            <w:tcW w:w="319" w:type="pct"/>
            <w:shd w:val="clear" w:color="auto" w:fill="auto"/>
            <w:noWrap/>
            <w:tcMar>
              <w:top w:w="15" w:type="dxa"/>
              <w:left w:w="15" w:type="dxa"/>
              <w:bottom w:w="0" w:type="dxa"/>
              <w:right w:w="15" w:type="dxa"/>
            </w:tcMar>
            <w:vAlign w:val="bottom"/>
          </w:tcPr>
          <w:p w14:paraId="55654B5D" w14:textId="77777777" w:rsidR="002E474C" w:rsidRDefault="00000000">
            <w:pPr>
              <w:pStyle w:val="A-"/>
            </w:pPr>
            <w:r>
              <w:t>2.41</w:t>
            </w:r>
          </w:p>
        </w:tc>
        <w:tc>
          <w:tcPr>
            <w:tcW w:w="270" w:type="pct"/>
            <w:shd w:val="clear" w:color="auto" w:fill="auto"/>
            <w:noWrap/>
            <w:tcMar>
              <w:top w:w="15" w:type="dxa"/>
              <w:left w:w="15" w:type="dxa"/>
              <w:bottom w:w="0" w:type="dxa"/>
              <w:right w:w="15" w:type="dxa"/>
            </w:tcMar>
            <w:vAlign w:val="bottom"/>
          </w:tcPr>
          <w:p w14:paraId="2A091E21" w14:textId="77777777" w:rsidR="002E474C" w:rsidRDefault="00000000">
            <w:pPr>
              <w:pStyle w:val="A-"/>
            </w:pPr>
            <w:r>
              <w:t>2.66</w:t>
            </w:r>
          </w:p>
        </w:tc>
      </w:tr>
      <w:tr w:rsidR="002E474C" w14:paraId="20DF3C45" w14:textId="77777777">
        <w:trPr>
          <w:trHeight w:val="285"/>
        </w:trPr>
        <w:tc>
          <w:tcPr>
            <w:tcW w:w="497" w:type="pct"/>
            <w:shd w:val="clear" w:color="auto" w:fill="auto"/>
            <w:noWrap/>
            <w:tcMar>
              <w:top w:w="15" w:type="dxa"/>
              <w:left w:w="15" w:type="dxa"/>
              <w:bottom w:w="0" w:type="dxa"/>
              <w:right w:w="15" w:type="dxa"/>
            </w:tcMar>
            <w:vAlign w:val="bottom"/>
          </w:tcPr>
          <w:p w14:paraId="329B291F" w14:textId="77777777" w:rsidR="002E474C" w:rsidRDefault="00000000">
            <w:pPr>
              <w:pStyle w:val="A-"/>
            </w:pPr>
            <w:r>
              <w:t>六月</w:t>
            </w:r>
          </w:p>
        </w:tc>
        <w:tc>
          <w:tcPr>
            <w:tcW w:w="256" w:type="pct"/>
            <w:shd w:val="clear" w:color="auto" w:fill="auto"/>
            <w:noWrap/>
            <w:tcMar>
              <w:top w:w="15" w:type="dxa"/>
              <w:left w:w="15" w:type="dxa"/>
              <w:bottom w:w="0" w:type="dxa"/>
              <w:right w:w="15" w:type="dxa"/>
            </w:tcMar>
            <w:vAlign w:val="bottom"/>
          </w:tcPr>
          <w:p w14:paraId="058550EC" w14:textId="77777777" w:rsidR="002E474C" w:rsidRDefault="00000000">
            <w:pPr>
              <w:pStyle w:val="A-"/>
            </w:pPr>
            <w:r>
              <w:t>3.95</w:t>
            </w:r>
          </w:p>
        </w:tc>
        <w:tc>
          <w:tcPr>
            <w:tcW w:w="277" w:type="pct"/>
            <w:shd w:val="clear" w:color="auto" w:fill="auto"/>
            <w:noWrap/>
            <w:tcMar>
              <w:top w:w="15" w:type="dxa"/>
              <w:left w:w="15" w:type="dxa"/>
              <w:bottom w:w="0" w:type="dxa"/>
              <w:right w:w="15" w:type="dxa"/>
            </w:tcMar>
            <w:vAlign w:val="bottom"/>
          </w:tcPr>
          <w:p w14:paraId="667E2C39" w14:textId="77777777" w:rsidR="002E474C" w:rsidRDefault="00000000">
            <w:pPr>
              <w:pStyle w:val="A-"/>
            </w:pPr>
            <w:r>
              <w:t>2.07</w:t>
            </w:r>
          </w:p>
        </w:tc>
        <w:tc>
          <w:tcPr>
            <w:tcW w:w="239" w:type="pct"/>
            <w:shd w:val="clear" w:color="auto" w:fill="auto"/>
            <w:noWrap/>
            <w:tcMar>
              <w:top w:w="15" w:type="dxa"/>
              <w:left w:w="15" w:type="dxa"/>
              <w:bottom w:w="0" w:type="dxa"/>
              <w:right w:w="15" w:type="dxa"/>
            </w:tcMar>
            <w:vAlign w:val="bottom"/>
          </w:tcPr>
          <w:p w14:paraId="11737348" w14:textId="77777777" w:rsidR="002E474C" w:rsidRDefault="00000000">
            <w:pPr>
              <w:pStyle w:val="A-"/>
            </w:pPr>
            <w:r>
              <w:t>1.99</w:t>
            </w:r>
          </w:p>
        </w:tc>
        <w:tc>
          <w:tcPr>
            <w:tcW w:w="263" w:type="pct"/>
            <w:shd w:val="clear" w:color="auto" w:fill="auto"/>
            <w:noWrap/>
            <w:tcMar>
              <w:top w:w="15" w:type="dxa"/>
              <w:left w:w="15" w:type="dxa"/>
              <w:bottom w:w="0" w:type="dxa"/>
              <w:right w:w="15" w:type="dxa"/>
            </w:tcMar>
            <w:vAlign w:val="bottom"/>
          </w:tcPr>
          <w:p w14:paraId="151A4C34" w14:textId="77777777" w:rsidR="002E474C" w:rsidRDefault="00000000">
            <w:pPr>
              <w:pStyle w:val="A-"/>
            </w:pPr>
            <w:r>
              <w:t>2.45</w:t>
            </w:r>
          </w:p>
        </w:tc>
        <w:tc>
          <w:tcPr>
            <w:tcW w:w="253" w:type="pct"/>
            <w:shd w:val="clear" w:color="auto" w:fill="auto"/>
            <w:noWrap/>
            <w:tcMar>
              <w:top w:w="15" w:type="dxa"/>
              <w:left w:w="15" w:type="dxa"/>
              <w:bottom w:w="0" w:type="dxa"/>
              <w:right w:w="15" w:type="dxa"/>
            </w:tcMar>
            <w:vAlign w:val="bottom"/>
          </w:tcPr>
          <w:p w14:paraId="2CEA1F77" w14:textId="77777777" w:rsidR="002E474C" w:rsidRDefault="00000000">
            <w:pPr>
              <w:pStyle w:val="A-"/>
            </w:pPr>
            <w:r>
              <w:t>3.17</w:t>
            </w:r>
          </w:p>
        </w:tc>
        <w:tc>
          <w:tcPr>
            <w:tcW w:w="242" w:type="pct"/>
            <w:shd w:val="clear" w:color="auto" w:fill="auto"/>
            <w:noWrap/>
            <w:tcMar>
              <w:top w:w="15" w:type="dxa"/>
              <w:left w:w="15" w:type="dxa"/>
              <w:bottom w:w="0" w:type="dxa"/>
              <w:right w:w="15" w:type="dxa"/>
            </w:tcMar>
            <w:vAlign w:val="bottom"/>
          </w:tcPr>
          <w:p w14:paraId="2CC5D107" w14:textId="77777777" w:rsidR="002E474C" w:rsidRDefault="00000000">
            <w:pPr>
              <w:pStyle w:val="A-"/>
            </w:pPr>
            <w:r>
              <w:t>2.28</w:t>
            </w:r>
          </w:p>
        </w:tc>
        <w:tc>
          <w:tcPr>
            <w:tcW w:w="239" w:type="pct"/>
            <w:shd w:val="clear" w:color="auto" w:fill="auto"/>
            <w:noWrap/>
            <w:tcMar>
              <w:top w:w="15" w:type="dxa"/>
              <w:left w:w="15" w:type="dxa"/>
              <w:bottom w:w="0" w:type="dxa"/>
              <w:right w:w="15" w:type="dxa"/>
            </w:tcMar>
            <w:vAlign w:val="bottom"/>
          </w:tcPr>
          <w:p w14:paraId="3BF0C73F" w14:textId="77777777" w:rsidR="002E474C" w:rsidRDefault="00000000">
            <w:pPr>
              <w:pStyle w:val="A-"/>
            </w:pPr>
            <w:r>
              <w:t>1.74</w:t>
            </w:r>
          </w:p>
        </w:tc>
        <w:tc>
          <w:tcPr>
            <w:tcW w:w="239" w:type="pct"/>
            <w:shd w:val="clear" w:color="auto" w:fill="auto"/>
            <w:noWrap/>
            <w:tcMar>
              <w:top w:w="15" w:type="dxa"/>
              <w:left w:w="15" w:type="dxa"/>
              <w:bottom w:w="0" w:type="dxa"/>
              <w:right w:w="15" w:type="dxa"/>
            </w:tcMar>
            <w:vAlign w:val="bottom"/>
          </w:tcPr>
          <w:p w14:paraId="1F187D3A" w14:textId="77777777" w:rsidR="002E474C" w:rsidRDefault="00000000">
            <w:pPr>
              <w:pStyle w:val="A-"/>
            </w:pPr>
            <w:r>
              <w:t>1.36</w:t>
            </w:r>
          </w:p>
        </w:tc>
        <w:tc>
          <w:tcPr>
            <w:tcW w:w="239" w:type="pct"/>
            <w:shd w:val="clear" w:color="auto" w:fill="auto"/>
            <w:noWrap/>
            <w:tcMar>
              <w:top w:w="15" w:type="dxa"/>
              <w:left w:w="15" w:type="dxa"/>
              <w:bottom w:w="0" w:type="dxa"/>
              <w:right w:w="15" w:type="dxa"/>
            </w:tcMar>
            <w:vAlign w:val="bottom"/>
          </w:tcPr>
          <w:p w14:paraId="0988DC89" w14:textId="77777777" w:rsidR="002E474C" w:rsidRDefault="00000000">
            <w:pPr>
              <w:pStyle w:val="A-"/>
            </w:pPr>
            <w:r>
              <w:t>2.85</w:t>
            </w:r>
          </w:p>
        </w:tc>
        <w:tc>
          <w:tcPr>
            <w:tcW w:w="277" w:type="pct"/>
            <w:shd w:val="clear" w:color="auto" w:fill="auto"/>
            <w:noWrap/>
            <w:tcMar>
              <w:top w:w="15" w:type="dxa"/>
              <w:left w:w="15" w:type="dxa"/>
              <w:bottom w:w="0" w:type="dxa"/>
              <w:right w:w="15" w:type="dxa"/>
            </w:tcMar>
            <w:vAlign w:val="bottom"/>
          </w:tcPr>
          <w:p w14:paraId="62812BAA" w14:textId="77777777" w:rsidR="002E474C" w:rsidRDefault="00000000">
            <w:pPr>
              <w:pStyle w:val="A-"/>
            </w:pPr>
            <w:r>
              <w:t>3.08</w:t>
            </w:r>
          </w:p>
        </w:tc>
        <w:tc>
          <w:tcPr>
            <w:tcW w:w="239" w:type="pct"/>
            <w:shd w:val="clear" w:color="auto" w:fill="auto"/>
            <w:noWrap/>
            <w:tcMar>
              <w:top w:w="15" w:type="dxa"/>
              <w:left w:w="15" w:type="dxa"/>
              <w:bottom w:w="0" w:type="dxa"/>
              <w:right w:w="15" w:type="dxa"/>
            </w:tcMar>
            <w:vAlign w:val="bottom"/>
          </w:tcPr>
          <w:p w14:paraId="107505EE" w14:textId="77777777" w:rsidR="002E474C" w:rsidRDefault="00000000">
            <w:pPr>
              <w:pStyle w:val="A-"/>
            </w:pPr>
            <w:r>
              <w:t>3.68</w:t>
            </w:r>
          </w:p>
        </w:tc>
        <w:tc>
          <w:tcPr>
            <w:tcW w:w="326" w:type="pct"/>
            <w:shd w:val="clear" w:color="auto" w:fill="auto"/>
            <w:noWrap/>
            <w:tcMar>
              <w:top w:w="15" w:type="dxa"/>
              <w:left w:w="15" w:type="dxa"/>
              <w:bottom w:w="0" w:type="dxa"/>
              <w:right w:w="15" w:type="dxa"/>
            </w:tcMar>
            <w:vAlign w:val="bottom"/>
          </w:tcPr>
          <w:p w14:paraId="747147E3" w14:textId="77777777" w:rsidR="002E474C" w:rsidRDefault="00000000">
            <w:pPr>
              <w:pStyle w:val="A-"/>
            </w:pPr>
            <w:r>
              <w:t>1.76</w:t>
            </w:r>
          </w:p>
        </w:tc>
        <w:tc>
          <w:tcPr>
            <w:tcW w:w="239" w:type="pct"/>
            <w:shd w:val="clear" w:color="auto" w:fill="auto"/>
            <w:noWrap/>
            <w:tcMar>
              <w:top w:w="15" w:type="dxa"/>
              <w:left w:w="15" w:type="dxa"/>
              <w:bottom w:w="0" w:type="dxa"/>
              <w:right w:w="15" w:type="dxa"/>
            </w:tcMar>
            <w:vAlign w:val="bottom"/>
          </w:tcPr>
          <w:p w14:paraId="38DFB3CB" w14:textId="77777777" w:rsidR="002E474C" w:rsidRDefault="00000000">
            <w:pPr>
              <w:pStyle w:val="A-"/>
            </w:pPr>
            <w:r>
              <w:t>2.57</w:t>
            </w:r>
          </w:p>
        </w:tc>
        <w:tc>
          <w:tcPr>
            <w:tcW w:w="347" w:type="pct"/>
            <w:shd w:val="clear" w:color="auto" w:fill="auto"/>
            <w:noWrap/>
            <w:tcMar>
              <w:top w:w="15" w:type="dxa"/>
              <w:left w:w="15" w:type="dxa"/>
              <w:bottom w:w="0" w:type="dxa"/>
              <w:right w:w="15" w:type="dxa"/>
            </w:tcMar>
            <w:vAlign w:val="bottom"/>
          </w:tcPr>
          <w:p w14:paraId="790154F9" w14:textId="77777777" w:rsidR="002E474C" w:rsidRDefault="00000000">
            <w:pPr>
              <w:pStyle w:val="A-"/>
            </w:pPr>
            <w:r>
              <w:t>1.39</w:t>
            </w:r>
          </w:p>
        </w:tc>
        <w:tc>
          <w:tcPr>
            <w:tcW w:w="239" w:type="pct"/>
            <w:shd w:val="clear" w:color="auto" w:fill="auto"/>
            <w:noWrap/>
            <w:tcMar>
              <w:top w:w="15" w:type="dxa"/>
              <w:left w:w="15" w:type="dxa"/>
              <w:bottom w:w="0" w:type="dxa"/>
              <w:right w:w="15" w:type="dxa"/>
            </w:tcMar>
            <w:vAlign w:val="bottom"/>
          </w:tcPr>
          <w:p w14:paraId="4325D9AE" w14:textId="77777777" w:rsidR="002E474C" w:rsidRDefault="00000000">
            <w:pPr>
              <w:pStyle w:val="A-"/>
            </w:pPr>
            <w:r>
              <w:t>2.15</w:t>
            </w:r>
          </w:p>
        </w:tc>
        <w:tc>
          <w:tcPr>
            <w:tcW w:w="319" w:type="pct"/>
            <w:shd w:val="clear" w:color="auto" w:fill="auto"/>
            <w:noWrap/>
            <w:tcMar>
              <w:top w:w="15" w:type="dxa"/>
              <w:left w:w="15" w:type="dxa"/>
              <w:bottom w:w="0" w:type="dxa"/>
              <w:right w:w="15" w:type="dxa"/>
            </w:tcMar>
            <w:vAlign w:val="bottom"/>
          </w:tcPr>
          <w:p w14:paraId="1E1CC08E" w14:textId="77777777" w:rsidR="002E474C" w:rsidRDefault="00000000">
            <w:pPr>
              <w:pStyle w:val="A-"/>
            </w:pPr>
            <w:r>
              <w:t>2.97</w:t>
            </w:r>
          </w:p>
        </w:tc>
        <w:tc>
          <w:tcPr>
            <w:tcW w:w="270" w:type="pct"/>
            <w:shd w:val="clear" w:color="auto" w:fill="auto"/>
            <w:noWrap/>
            <w:tcMar>
              <w:top w:w="15" w:type="dxa"/>
              <w:left w:w="15" w:type="dxa"/>
              <w:bottom w:w="0" w:type="dxa"/>
              <w:right w:w="15" w:type="dxa"/>
            </w:tcMar>
            <w:vAlign w:val="bottom"/>
          </w:tcPr>
          <w:p w14:paraId="5013C0FB" w14:textId="77777777" w:rsidR="002E474C" w:rsidRDefault="00000000">
            <w:pPr>
              <w:pStyle w:val="A-"/>
            </w:pPr>
            <w:r>
              <w:t>2.47</w:t>
            </w:r>
          </w:p>
        </w:tc>
      </w:tr>
      <w:tr w:rsidR="002E474C" w14:paraId="7E5C9500" w14:textId="77777777">
        <w:trPr>
          <w:trHeight w:val="285"/>
        </w:trPr>
        <w:tc>
          <w:tcPr>
            <w:tcW w:w="497" w:type="pct"/>
            <w:shd w:val="clear" w:color="auto" w:fill="auto"/>
            <w:noWrap/>
            <w:tcMar>
              <w:top w:w="15" w:type="dxa"/>
              <w:left w:w="15" w:type="dxa"/>
              <w:bottom w:w="0" w:type="dxa"/>
              <w:right w:w="15" w:type="dxa"/>
            </w:tcMar>
            <w:vAlign w:val="bottom"/>
          </w:tcPr>
          <w:p w14:paraId="2F17E9CD" w14:textId="77777777" w:rsidR="002E474C" w:rsidRDefault="00000000">
            <w:pPr>
              <w:pStyle w:val="A-"/>
            </w:pPr>
            <w:r>
              <w:t>七月</w:t>
            </w:r>
          </w:p>
        </w:tc>
        <w:tc>
          <w:tcPr>
            <w:tcW w:w="256" w:type="pct"/>
            <w:shd w:val="clear" w:color="auto" w:fill="auto"/>
            <w:noWrap/>
            <w:tcMar>
              <w:top w:w="15" w:type="dxa"/>
              <w:left w:w="15" w:type="dxa"/>
              <w:bottom w:w="0" w:type="dxa"/>
              <w:right w:w="15" w:type="dxa"/>
            </w:tcMar>
            <w:vAlign w:val="bottom"/>
          </w:tcPr>
          <w:p w14:paraId="437122EE" w14:textId="77777777" w:rsidR="002E474C" w:rsidRDefault="00000000">
            <w:pPr>
              <w:pStyle w:val="A-"/>
            </w:pPr>
            <w:r>
              <w:t>3.74</w:t>
            </w:r>
          </w:p>
        </w:tc>
        <w:tc>
          <w:tcPr>
            <w:tcW w:w="277" w:type="pct"/>
            <w:shd w:val="clear" w:color="auto" w:fill="auto"/>
            <w:noWrap/>
            <w:tcMar>
              <w:top w:w="15" w:type="dxa"/>
              <w:left w:w="15" w:type="dxa"/>
              <w:bottom w:w="0" w:type="dxa"/>
              <w:right w:w="15" w:type="dxa"/>
            </w:tcMar>
            <w:vAlign w:val="bottom"/>
          </w:tcPr>
          <w:p w14:paraId="6655ECE9" w14:textId="77777777" w:rsidR="002E474C" w:rsidRDefault="00000000">
            <w:pPr>
              <w:pStyle w:val="A-"/>
            </w:pPr>
            <w:r>
              <w:t>2</w:t>
            </w:r>
          </w:p>
        </w:tc>
        <w:tc>
          <w:tcPr>
            <w:tcW w:w="239" w:type="pct"/>
            <w:shd w:val="clear" w:color="auto" w:fill="auto"/>
            <w:noWrap/>
            <w:tcMar>
              <w:top w:w="15" w:type="dxa"/>
              <w:left w:w="15" w:type="dxa"/>
              <w:bottom w:w="0" w:type="dxa"/>
              <w:right w:w="15" w:type="dxa"/>
            </w:tcMar>
            <w:vAlign w:val="bottom"/>
          </w:tcPr>
          <w:p w14:paraId="096E886E" w14:textId="77777777" w:rsidR="002E474C" w:rsidRDefault="00000000">
            <w:pPr>
              <w:pStyle w:val="A-"/>
            </w:pPr>
            <w:r>
              <w:t>1.38</w:t>
            </w:r>
          </w:p>
        </w:tc>
        <w:tc>
          <w:tcPr>
            <w:tcW w:w="263" w:type="pct"/>
            <w:shd w:val="clear" w:color="auto" w:fill="auto"/>
            <w:noWrap/>
            <w:tcMar>
              <w:top w:w="15" w:type="dxa"/>
              <w:left w:w="15" w:type="dxa"/>
              <w:bottom w:w="0" w:type="dxa"/>
              <w:right w:w="15" w:type="dxa"/>
            </w:tcMar>
            <w:vAlign w:val="bottom"/>
          </w:tcPr>
          <w:p w14:paraId="70749902" w14:textId="77777777" w:rsidR="002E474C" w:rsidRDefault="00000000">
            <w:pPr>
              <w:pStyle w:val="A-"/>
            </w:pPr>
            <w:r>
              <w:t>2.76</w:t>
            </w:r>
          </w:p>
        </w:tc>
        <w:tc>
          <w:tcPr>
            <w:tcW w:w="253" w:type="pct"/>
            <w:shd w:val="clear" w:color="auto" w:fill="auto"/>
            <w:noWrap/>
            <w:tcMar>
              <w:top w:w="15" w:type="dxa"/>
              <w:left w:w="15" w:type="dxa"/>
              <w:bottom w:w="0" w:type="dxa"/>
              <w:right w:w="15" w:type="dxa"/>
            </w:tcMar>
            <w:vAlign w:val="bottom"/>
          </w:tcPr>
          <w:p w14:paraId="441ED2A5" w14:textId="77777777" w:rsidR="002E474C" w:rsidRDefault="00000000">
            <w:pPr>
              <w:pStyle w:val="A-"/>
            </w:pPr>
            <w:r>
              <w:t>4.12</w:t>
            </w:r>
          </w:p>
        </w:tc>
        <w:tc>
          <w:tcPr>
            <w:tcW w:w="242" w:type="pct"/>
            <w:shd w:val="clear" w:color="auto" w:fill="auto"/>
            <w:noWrap/>
            <w:tcMar>
              <w:top w:w="15" w:type="dxa"/>
              <w:left w:w="15" w:type="dxa"/>
              <w:bottom w:w="0" w:type="dxa"/>
              <w:right w:w="15" w:type="dxa"/>
            </w:tcMar>
            <w:vAlign w:val="bottom"/>
          </w:tcPr>
          <w:p w14:paraId="6D83D396" w14:textId="77777777" w:rsidR="002E474C" w:rsidRDefault="00000000">
            <w:pPr>
              <w:pStyle w:val="A-"/>
            </w:pPr>
            <w:r>
              <w:t>2.43</w:t>
            </w:r>
          </w:p>
        </w:tc>
        <w:tc>
          <w:tcPr>
            <w:tcW w:w="239" w:type="pct"/>
            <w:shd w:val="clear" w:color="auto" w:fill="auto"/>
            <w:noWrap/>
            <w:tcMar>
              <w:top w:w="15" w:type="dxa"/>
              <w:left w:w="15" w:type="dxa"/>
              <w:bottom w:w="0" w:type="dxa"/>
              <w:right w:w="15" w:type="dxa"/>
            </w:tcMar>
            <w:vAlign w:val="bottom"/>
          </w:tcPr>
          <w:p w14:paraId="755924EA" w14:textId="77777777" w:rsidR="002E474C" w:rsidRDefault="00000000">
            <w:pPr>
              <w:pStyle w:val="A-"/>
            </w:pPr>
            <w:r>
              <w:t>1.49</w:t>
            </w:r>
          </w:p>
        </w:tc>
        <w:tc>
          <w:tcPr>
            <w:tcW w:w="239" w:type="pct"/>
            <w:shd w:val="clear" w:color="auto" w:fill="auto"/>
            <w:noWrap/>
            <w:tcMar>
              <w:top w:w="15" w:type="dxa"/>
              <w:left w:w="15" w:type="dxa"/>
              <w:bottom w:w="0" w:type="dxa"/>
              <w:right w:w="15" w:type="dxa"/>
            </w:tcMar>
            <w:vAlign w:val="bottom"/>
          </w:tcPr>
          <w:p w14:paraId="77EA15EC" w14:textId="77777777" w:rsidR="002E474C" w:rsidRDefault="00000000">
            <w:pPr>
              <w:pStyle w:val="A-"/>
            </w:pPr>
            <w:r>
              <w:t>1.16</w:t>
            </w:r>
          </w:p>
        </w:tc>
        <w:tc>
          <w:tcPr>
            <w:tcW w:w="239" w:type="pct"/>
            <w:shd w:val="clear" w:color="auto" w:fill="auto"/>
            <w:noWrap/>
            <w:tcMar>
              <w:top w:w="15" w:type="dxa"/>
              <w:left w:w="15" w:type="dxa"/>
              <w:bottom w:w="0" w:type="dxa"/>
              <w:right w:w="15" w:type="dxa"/>
            </w:tcMar>
            <w:vAlign w:val="bottom"/>
          </w:tcPr>
          <w:p w14:paraId="6A57F4BF" w14:textId="77777777" w:rsidR="002E474C" w:rsidRDefault="00000000">
            <w:pPr>
              <w:pStyle w:val="A-"/>
            </w:pPr>
            <w:r>
              <w:t>2</w:t>
            </w:r>
          </w:p>
        </w:tc>
        <w:tc>
          <w:tcPr>
            <w:tcW w:w="277" w:type="pct"/>
            <w:shd w:val="clear" w:color="auto" w:fill="auto"/>
            <w:noWrap/>
            <w:tcMar>
              <w:top w:w="15" w:type="dxa"/>
              <w:left w:w="15" w:type="dxa"/>
              <w:bottom w:w="0" w:type="dxa"/>
              <w:right w:w="15" w:type="dxa"/>
            </w:tcMar>
            <w:vAlign w:val="bottom"/>
          </w:tcPr>
          <w:p w14:paraId="4B552086" w14:textId="77777777" w:rsidR="002E474C" w:rsidRDefault="00000000">
            <w:pPr>
              <w:pStyle w:val="A-"/>
            </w:pPr>
            <w:r>
              <w:t>2.65</w:t>
            </w:r>
          </w:p>
        </w:tc>
        <w:tc>
          <w:tcPr>
            <w:tcW w:w="239" w:type="pct"/>
            <w:shd w:val="clear" w:color="auto" w:fill="auto"/>
            <w:noWrap/>
            <w:tcMar>
              <w:top w:w="15" w:type="dxa"/>
              <w:left w:w="15" w:type="dxa"/>
              <w:bottom w:w="0" w:type="dxa"/>
              <w:right w:w="15" w:type="dxa"/>
            </w:tcMar>
            <w:vAlign w:val="bottom"/>
          </w:tcPr>
          <w:p w14:paraId="1BCD860E" w14:textId="77777777" w:rsidR="002E474C" w:rsidRDefault="00000000">
            <w:pPr>
              <w:pStyle w:val="A-"/>
            </w:pPr>
            <w:r>
              <w:t>6.3</w:t>
            </w:r>
          </w:p>
        </w:tc>
        <w:tc>
          <w:tcPr>
            <w:tcW w:w="326" w:type="pct"/>
            <w:shd w:val="clear" w:color="auto" w:fill="auto"/>
            <w:noWrap/>
            <w:tcMar>
              <w:top w:w="15" w:type="dxa"/>
              <w:left w:w="15" w:type="dxa"/>
              <w:bottom w:w="0" w:type="dxa"/>
              <w:right w:w="15" w:type="dxa"/>
            </w:tcMar>
            <w:vAlign w:val="bottom"/>
          </w:tcPr>
          <w:p w14:paraId="369C849A" w14:textId="77777777" w:rsidR="002E474C" w:rsidRDefault="00000000">
            <w:pPr>
              <w:pStyle w:val="A-"/>
            </w:pPr>
            <w:r>
              <w:t>2.32</w:t>
            </w:r>
          </w:p>
        </w:tc>
        <w:tc>
          <w:tcPr>
            <w:tcW w:w="239" w:type="pct"/>
            <w:shd w:val="clear" w:color="auto" w:fill="auto"/>
            <w:noWrap/>
            <w:tcMar>
              <w:top w:w="15" w:type="dxa"/>
              <w:left w:w="15" w:type="dxa"/>
              <w:bottom w:w="0" w:type="dxa"/>
              <w:right w:w="15" w:type="dxa"/>
            </w:tcMar>
            <w:vAlign w:val="bottom"/>
          </w:tcPr>
          <w:p w14:paraId="2D97E6A8" w14:textId="77777777" w:rsidR="002E474C" w:rsidRDefault="00000000">
            <w:pPr>
              <w:pStyle w:val="A-"/>
            </w:pPr>
            <w:r>
              <w:t>2.23</w:t>
            </w:r>
          </w:p>
        </w:tc>
        <w:tc>
          <w:tcPr>
            <w:tcW w:w="347" w:type="pct"/>
            <w:shd w:val="clear" w:color="auto" w:fill="auto"/>
            <w:noWrap/>
            <w:tcMar>
              <w:top w:w="15" w:type="dxa"/>
              <w:left w:w="15" w:type="dxa"/>
              <w:bottom w:w="0" w:type="dxa"/>
              <w:right w:w="15" w:type="dxa"/>
            </w:tcMar>
            <w:vAlign w:val="bottom"/>
          </w:tcPr>
          <w:p w14:paraId="37788549" w14:textId="77777777" w:rsidR="002E474C" w:rsidRDefault="00000000">
            <w:pPr>
              <w:pStyle w:val="A-"/>
            </w:pPr>
            <w:r>
              <w:t>2.08</w:t>
            </w:r>
          </w:p>
        </w:tc>
        <w:tc>
          <w:tcPr>
            <w:tcW w:w="239" w:type="pct"/>
            <w:shd w:val="clear" w:color="auto" w:fill="auto"/>
            <w:noWrap/>
            <w:tcMar>
              <w:top w:w="15" w:type="dxa"/>
              <w:left w:w="15" w:type="dxa"/>
              <w:bottom w:w="0" w:type="dxa"/>
              <w:right w:w="15" w:type="dxa"/>
            </w:tcMar>
            <w:vAlign w:val="bottom"/>
          </w:tcPr>
          <w:p w14:paraId="259E1B96" w14:textId="77777777" w:rsidR="002E474C" w:rsidRDefault="00000000">
            <w:pPr>
              <w:pStyle w:val="A-"/>
            </w:pPr>
            <w:r>
              <w:t>1.97</w:t>
            </w:r>
          </w:p>
        </w:tc>
        <w:tc>
          <w:tcPr>
            <w:tcW w:w="319" w:type="pct"/>
            <w:shd w:val="clear" w:color="auto" w:fill="auto"/>
            <w:noWrap/>
            <w:tcMar>
              <w:top w:w="15" w:type="dxa"/>
              <w:left w:w="15" w:type="dxa"/>
              <w:bottom w:w="0" w:type="dxa"/>
              <w:right w:w="15" w:type="dxa"/>
            </w:tcMar>
            <w:vAlign w:val="bottom"/>
          </w:tcPr>
          <w:p w14:paraId="3D9509B5" w14:textId="77777777" w:rsidR="002E474C" w:rsidRDefault="00000000">
            <w:pPr>
              <w:pStyle w:val="A-"/>
            </w:pPr>
            <w:r>
              <w:t>2.34</w:t>
            </w:r>
          </w:p>
        </w:tc>
        <w:tc>
          <w:tcPr>
            <w:tcW w:w="270" w:type="pct"/>
            <w:shd w:val="clear" w:color="auto" w:fill="auto"/>
            <w:noWrap/>
            <w:tcMar>
              <w:top w:w="15" w:type="dxa"/>
              <w:left w:w="15" w:type="dxa"/>
              <w:bottom w:w="0" w:type="dxa"/>
              <w:right w:w="15" w:type="dxa"/>
            </w:tcMar>
            <w:vAlign w:val="bottom"/>
          </w:tcPr>
          <w:p w14:paraId="19A231C8" w14:textId="77777777" w:rsidR="002E474C" w:rsidRDefault="00000000">
            <w:pPr>
              <w:pStyle w:val="A-"/>
            </w:pPr>
            <w:r>
              <w:t>2.56</w:t>
            </w:r>
          </w:p>
        </w:tc>
      </w:tr>
      <w:tr w:rsidR="002E474C" w14:paraId="2915C49D" w14:textId="77777777">
        <w:trPr>
          <w:trHeight w:val="285"/>
        </w:trPr>
        <w:tc>
          <w:tcPr>
            <w:tcW w:w="497" w:type="pct"/>
            <w:shd w:val="clear" w:color="auto" w:fill="auto"/>
            <w:noWrap/>
            <w:tcMar>
              <w:top w:w="15" w:type="dxa"/>
              <w:left w:w="15" w:type="dxa"/>
              <w:bottom w:w="0" w:type="dxa"/>
              <w:right w:w="15" w:type="dxa"/>
            </w:tcMar>
            <w:vAlign w:val="bottom"/>
          </w:tcPr>
          <w:p w14:paraId="40CD2EEA" w14:textId="77777777" w:rsidR="002E474C" w:rsidRDefault="00000000">
            <w:pPr>
              <w:pStyle w:val="A-"/>
            </w:pPr>
            <w:r>
              <w:t>八月</w:t>
            </w:r>
          </w:p>
        </w:tc>
        <w:tc>
          <w:tcPr>
            <w:tcW w:w="256" w:type="pct"/>
            <w:shd w:val="clear" w:color="auto" w:fill="auto"/>
            <w:noWrap/>
            <w:tcMar>
              <w:top w:w="15" w:type="dxa"/>
              <w:left w:w="15" w:type="dxa"/>
              <w:bottom w:w="0" w:type="dxa"/>
              <w:right w:w="15" w:type="dxa"/>
            </w:tcMar>
            <w:vAlign w:val="bottom"/>
          </w:tcPr>
          <w:p w14:paraId="1A8DA20C" w14:textId="77777777" w:rsidR="002E474C" w:rsidRDefault="00000000">
            <w:pPr>
              <w:pStyle w:val="A-"/>
            </w:pPr>
            <w:r>
              <w:t>4.73</w:t>
            </w:r>
          </w:p>
        </w:tc>
        <w:tc>
          <w:tcPr>
            <w:tcW w:w="277" w:type="pct"/>
            <w:shd w:val="clear" w:color="auto" w:fill="auto"/>
            <w:noWrap/>
            <w:tcMar>
              <w:top w:w="15" w:type="dxa"/>
              <w:left w:w="15" w:type="dxa"/>
              <w:bottom w:w="0" w:type="dxa"/>
              <w:right w:w="15" w:type="dxa"/>
            </w:tcMar>
            <w:vAlign w:val="bottom"/>
          </w:tcPr>
          <w:p w14:paraId="468E746F" w14:textId="77777777" w:rsidR="002E474C" w:rsidRDefault="00000000">
            <w:pPr>
              <w:pStyle w:val="A-"/>
            </w:pPr>
            <w:r>
              <w:t>3.07</w:t>
            </w:r>
          </w:p>
        </w:tc>
        <w:tc>
          <w:tcPr>
            <w:tcW w:w="239" w:type="pct"/>
            <w:shd w:val="clear" w:color="auto" w:fill="auto"/>
            <w:noWrap/>
            <w:tcMar>
              <w:top w:w="15" w:type="dxa"/>
              <w:left w:w="15" w:type="dxa"/>
              <w:bottom w:w="0" w:type="dxa"/>
              <w:right w:w="15" w:type="dxa"/>
            </w:tcMar>
            <w:vAlign w:val="bottom"/>
          </w:tcPr>
          <w:p w14:paraId="6215AA80" w14:textId="77777777" w:rsidR="002E474C" w:rsidRDefault="00000000">
            <w:pPr>
              <w:pStyle w:val="A-"/>
            </w:pPr>
            <w:r>
              <w:t>2.02</w:t>
            </w:r>
          </w:p>
        </w:tc>
        <w:tc>
          <w:tcPr>
            <w:tcW w:w="263" w:type="pct"/>
            <w:shd w:val="clear" w:color="auto" w:fill="auto"/>
            <w:noWrap/>
            <w:tcMar>
              <w:top w:w="15" w:type="dxa"/>
              <w:left w:w="15" w:type="dxa"/>
              <w:bottom w:w="0" w:type="dxa"/>
              <w:right w:w="15" w:type="dxa"/>
            </w:tcMar>
            <w:vAlign w:val="bottom"/>
          </w:tcPr>
          <w:p w14:paraId="743AEB14" w14:textId="77777777" w:rsidR="002E474C" w:rsidRDefault="00000000">
            <w:pPr>
              <w:pStyle w:val="A-"/>
            </w:pPr>
            <w:r>
              <w:t>2.67</w:t>
            </w:r>
          </w:p>
        </w:tc>
        <w:tc>
          <w:tcPr>
            <w:tcW w:w="253" w:type="pct"/>
            <w:shd w:val="clear" w:color="auto" w:fill="auto"/>
            <w:noWrap/>
            <w:tcMar>
              <w:top w:w="15" w:type="dxa"/>
              <w:left w:w="15" w:type="dxa"/>
              <w:bottom w:w="0" w:type="dxa"/>
              <w:right w:w="15" w:type="dxa"/>
            </w:tcMar>
            <w:vAlign w:val="bottom"/>
          </w:tcPr>
          <w:p w14:paraId="135964C4" w14:textId="77777777" w:rsidR="002E474C" w:rsidRDefault="00000000">
            <w:pPr>
              <w:pStyle w:val="A-"/>
            </w:pPr>
            <w:r>
              <w:t>4.7</w:t>
            </w:r>
          </w:p>
        </w:tc>
        <w:tc>
          <w:tcPr>
            <w:tcW w:w="242" w:type="pct"/>
            <w:shd w:val="clear" w:color="auto" w:fill="auto"/>
            <w:noWrap/>
            <w:tcMar>
              <w:top w:w="15" w:type="dxa"/>
              <w:left w:w="15" w:type="dxa"/>
              <w:bottom w:w="0" w:type="dxa"/>
              <w:right w:w="15" w:type="dxa"/>
            </w:tcMar>
            <w:vAlign w:val="bottom"/>
          </w:tcPr>
          <w:p w14:paraId="677B687A" w14:textId="77777777" w:rsidR="002E474C" w:rsidRDefault="00000000">
            <w:pPr>
              <w:pStyle w:val="A-"/>
            </w:pPr>
            <w:r>
              <w:t>1.87</w:t>
            </w:r>
          </w:p>
        </w:tc>
        <w:tc>
          <w:tcPr>
            <w:tcW w:w="239" w:type="pct"/>
            <w:shd w:val="clear" w:color="auto" w:fill="auto"/>
            <w:noWrap/>
            <w:tcMar>
              <w:top w:w="15" w:type="dxa"/>
              <w:left w:w="15" w:type="dxa"/>
              <w:bottom w:w="0" w:type="dxa"/>
              <w:right w:w="15" w:type="dxa"/>
            </w:tcMar>
            <w:vAlign w:val="bottom"/>
          </w:tcPr>
          <w:p w14:paraId="0463EFC8" w14:textId="77777777" w:rsidR="002E474C" w:rsidRDefault="00000000">
            <w:pPr>
              <w:pStyle w:val="A-"/>
            </w:pPr>
            <w:r>
              <w:t>1.61</w:t>
            </w:r>
          </w:p>
        </w:tc>
        <w:tc>
          <w:tcPr>
            <w:tcW w:w="239" w:type="pct"/>
            <w:shd w:val="clear" w:color="auto" w:fill="auto"/>
            <w:noWrap/>
            <w:tcMar>
              <w:top w:w="15" w:type="dxa"/>
              <w:left w:w="15" w:type="dxa"/>
              <w:bottom w:w="0" w:type="dxa"/>
              <w:right w:w="15" w:type="dxa"/>
            </w:tcMar>
            <w:vAlign w:val="bottom"/>
          </w:tcPr>
          <w:p w14:paraId="08F28EDF" w14:textId="77777777" w:rsidR="002E474C" w:rsidRDefault="00000000">
            <w:pPr>
              <w:pStyle w:val="A-"/>
            </w:pPr>
            <w:r>
              <w:t>1.18</w:t>
            </w:r>
          </w:p>
        </w:tc>
        <w:tc>
          <w:tcPr>
            <w:tcW w:w="239" w:type="pct"/>
            <w:shd w:val="clear" w:color="auto" w:fill="auto"/>
            <w:noWrap/>
            <w:tcMar>
              <w:top w:w="15" w:type="dxa"/>
              <w:left w:w="15" w:type="dxa"/>
              <w:bottom w:w="0" w:type="dxa"/>
              <w:right w:w="15" w:type="dxa"/>
            </w:tcMar>
            <w:vAlign w:val="bottom"/>
          </w:tcPr>
          <w:p w14:paraId="5C5FB1DD" w14:textId="77777777" w:rsidR="002E474C" w:rsidRDefault="00000000">
            <w:pPr>
              <w:pStyle w:val="A-"/>
            </w:pPr>
            <w:r>
              <w:t>2.69</w:t>
            </w:r>
          </w:p>
        </w:tc>
        <w:tc>
          <w:tcPr>
            <w:tcW w:w="277" w:type="pct"/>
            <w:shd w:val="clear" w:color="auto" w:fill="auto"/>
            <w:noWrap/>
            <w:tcMar>
              <w:top w:w="15" w:type="dxa"/>
              <w:left w:w="15" w:type="dxa"/>
              <w:bottom w:w="0" w:type="dxa"/>
              <w:right w:w="15" w:type="dxa"/>
            </w:tcMar>
            <w:vAlign w:val="bottom"/>
          </w:tcPr>
          <w:p w14:paraId="5E37559B" w14:textId="77777777" w:rsidR="002E474C" w:rsidRDefault="00000000">
            <w:pPr>
              <w:pStyle w:val="A-"/>
            </w:pPr>
            <w:r>
              <w:t>3.06</w:t>
            </w:r>
          </w:p>
        </w:tc>
        <w:tc>
          <w:tcPr>
            <w:tcW w:w="239" w:type="pct"/>
            <w:shd w:val="clear" w:color="auto" w:fill="auto"/>
            <w:noWrap/>
            <w:tcMar>
              <w:top w:w="15" w:type="dxa"/>
              <w:left w:w="15" w:type="dxa"/>
              <w:bottom w:w="0" w:type="dxa"/>
              <w:right w:w="15" w:type="dxa"/>
            </w:tcMar>
            <w:vAlign w:val="bottom"/>
          </w:tcPr>
          <w:p w14:paraId="0BDC11D9" w14:textId="77777777" w:rsidR="002E474C" w:rsidRDefault="00000000">
            <w:pPr>
              <w:pStyle w:val="A-"/>
            </w:pPr>
            <w:r>
              <w:t>4.84</w:t>
            </w:r>
          </w:p>
        </w:tc>
        <w:tc>
          <w:tcPr>
            <w:tcW w:w="326" w:type="pct"/>
            <w:shd w:val="clear" w:color="auto" w:fill="auto"/>
            <w:noWrap/>
            <w:tcMar>
              <w:top w:w="15" w:type="dxa"/>
              <w:left w:w="15" w:type="dxa"/>
              <w:bottom w:w="0" w:type="dxa"/>
              <w:right w:w="15" w:type="dxa"/>
            </w:tcMar>
            <w:vAlign w:val="bottom"/>
          </w:tcPr>
          <w:p w14:paraId="14A572F3" w14:textId="77777777" w:rsidR="002E474C" w:rsidRDefault="00000000">
            <w:pPr>
              <w:pStyle w:val="A-"/>
            </w:pPr>
            <w:r>
              <w:t>2.35</w:t>
            </w:r>
          </w:p>
        </w:tc>
        <w:tc>
          <w:tcPr>
            <w:tcW w:w="239" w:type="pct"/>
            <w:shd w:val="clear" w:color="auto" w:fill="auto"/>
            <w:noWrap/>
            <w:tcMar>
              <w:top w:w="15" w:type="dxa"/>
              <w:left w:w="15" w:type="dxa"/>
              <w:bottom w:w="0" w:type="dxa"/>
              <w:right w:w="15" w:type="dxa"/>
            </w:tcMar>
            <w:vAlign w:val="bottom"/>
          </w:tcPr>
          <w:p w14:paraId="2A3781D6" w14:textId="77777777" w:rsidR="002E474C" w:rsidRDefault="00000000">
            <w:pPr>
              <w:pStyle w:val="A-"/>
            </w:pPr>
            <w:r>
              <w:t>2.29</w:t>
            </w:r>
          </w:p>
        </w:tc>
        <w:tc>
          <w:tcPr>
            <w:tcW w:w="347" w:type="pct"/>
            <w:shd w:val="clear" w:color="auto" w:fill="auto"/>
            <w:noWrap/>
            <w:tcMar>
              <w:top w:w="15" w:type="dxa"/>
              <w:left w:w="15" w:type="dxa"/>
              <w:bottom w:w="0" w:type="dxa"/>
              <w:right w:w="15" w:type="dxa"/>
            </w:tcMar>
            <w:vAlign w:val="bottom"/>
          </w:tcPr>
          <w:p w14:paraId="2E7CB301" w14:textId="77777777" w:rsidR="002E474C" w:rsidRDefault="00000000">
            <w:pPr>
              <w:pStyle w:val="A-"/>
            </w:pPr>
            <w:r>
              <w:t>1.93</w:t>
            </w:r>
          </w:p>
        </w:tc>
        <w:tc>
          <w:tcPr>
            <w:tcW w:w="239" w:type="pct"/>
            <w:shd w:val="clear" w:color="auto" w:fill="auto"/>
            <w:noWrap/>
            <w:tcMar>
              <w:top w:w="15" w:type="dxa"/>
              <w:left w:w="15" w:type="dxa"/>
              <w:bottom w:w="0" w:type="dxa"/>
              <w:right w:w="15" w:type="dxa"/>
            </w:tcMar>
            <w:vAlign w:val="bottom"/>
          </w:tcPr>
          <w:p w14:paraId="00EBF30D" w14:textId="77777777" w:rsidR="002E474C" w:rsidRDefault="00000000">
            <w:pPr>
              <w:pStyle w:val="A-"/>
            </w:pPr>
            <w:r>
              <w:t>2.22</w:t>
            </w:r>
          </w:p>
        </w:tc>
        <w:tc>
          <w:tcPr>
            <w:tcW w:w="319" w:type="pct"/>
            <w:shd w:val="clear" w:color="auto" w:fill="auto"/>
            <w:noWrap/>
            <w:tcMar>
              <w:top w:w="15" w:type="dxa"/>
              <w:left w:w="15" w:type="dxa"/>
              <w:bottom w:w="0" w:type="dxa"/>
              <w:right w:w="15" w:type="dxa"/>
            </w:tcMar>
            <w:vAlign w:val="bottom"/>
          </w:tcPr>
          <w:p w14:paraId="76D7EA59" w14:textId="77777777" w:rsidR="002E474C" w:rsidRDefault="00000000">
            <w:pPr>
              <w:pStyle w:val="A-"/>
            </w:pPr>
            <w:r>
              <w:t>2.23</w:t>
            </w:r>
          </w:p>
        </w:tc>
        <w:tc>
          <w:tcPr>
            <w:tcW w:w="270" w:type="pct"/>
            <w:shd w:val="clear" w:color="auto" w:fill="auto"/>
            <w:noWrap/>
            <w:tcMar>
              <w:top w:w="15" w:type="dxa"/>
              <w:left w:w="15" w:type="dxa"/>
              <w:bottom w:w="0" w:type="dxa"/>
              <w:right w:w="15" w:type="dxa"/>
            </w:tcMar>
            <w:vAlign w:val="bottom"/>
          </w:tcPr>
          <w:p w14:paraId="5446541D" w14:textId="77777777" w:rsidR="002E474C" w:rsidRDefault="00000000">
            <w:pPr>
              <w:pStyle w:val="A-"/>
            </w:pPr>
            <w:r>
              <w:t>2.72</w:t>
            </w:r>
          </w:p>
        </w:tc>
      </w:tr>
      <w:tr w:rsidR="002E474C" w14:paraId="240BB736" w14:textId="77777777">
        <w:trPr>
          <w:trHeight w:val="285"/>
        </w:trPr>
        <w:tc>
          <w:tcPr>
            <w:tcW w:w="497" w:type="pct"/>
            <w:shd w:val="clear" w:color="auto" w:fill="auto"/>
            <w:noWrap/>
            <w:tcMar>
              <w:top w:w="15" w:type="dxa"/>
              <w:left w:w="15" w:type="dxa"/>
              <w:bottom w:w="0" w:type="dxa"/>
              <w:right w:w="15" w:type="dxa"/>
            </w:tcMar>
            <w:vAlign w:val="bottom"/>
          </w:tcPr>
          <w:p w14:paraId="432479FA" w14:textId="77777777" w:rsidR="002E474C" w:rsidRDefault="00000000">
            <w:pPr>
              <w:pStyle w:val="A-"/>
            </w:pPr>
            <w:r>
              <w:t>九月</w:t>
            </w:r>
          </w:p>
        </w:tc>
        <w:tc>
          <w:tcPr>
            <w:tcW w:w="256" w:type="pct"/>
            <w:shd w:val="clear" w:color="auto" w:fill="auto"/>
            <w:noWrap/>
            <w:tcMar>
              <w:top w:w="15" w:type="dxa"/>
              <w:left w:w="15" w:type="dxa"/>
              <w:bottom w:w="0" w:type="dxa"/>
              <w:right w:w="15" w:type="dxa"/>
            </w:tcMar>
            <w:vAlign w:val="bottom"/>
          </w:tcPr>
          <w:p w14:paraId="69683579" w14:textId="77777777" w:rsidR="002E474C" w:rsidRDefault="00000000">
            <w:pPr>
              <w:pStyle w:val="A-"/>
            </w:pPr>
            <w:r>
              <w:t>4.58</w:t>
            </w:r>
          </w:p>
        </w:tc>
        <w:tc>
          <w:tcPr>
            <w:tcW w:w="277" w:type="pct"/>
            <w:shd w:val="clear" w:color="auto" w:fill="auto"/>
            <w:noWrap/>
            <w:tcMar>
              <w:top w:w="15" w:type="dxa"/>
              <w:left w:w="15" w:type="dxa"/>
              <w:bottom w:w="0" w:type="dxa"/>
              <w:right w:w="15" w:type="dxa"/>
            </w:tcMar>
            <w:vAlign w:val="bottom"/>
          </w:tcPr>
          <w:p w14:paraId="5DD85200" w14:textId="77777777" w:rsidR="002E474C" w:rsidRDefault="00000000">
            <w:pPr>
              <w:pStyle w:val="A-"/>
            </w:pPr>
            <w:r>
              <w:t>2.98</w:t>
            </w:r>
          </w:p>
        </w:tc>
        <w:tc>
          <w:tcPr>
            <w:tcW w:w="239" w:type="pct"/>
            <w:shd w:val="clear" w:color="auto" w:fill="auto"/>
            <w:noWrap/>
            <w:tcMar>
              <w:top w:w="15" w:type="dxa"/>
              <w:left w:w="15" w:type="dxa"/>
              <w:bottom w:w="0" w:type="dxa"/>
              <w:right w:w="15" w:type="dxa"/>
            </w:tcMar>
            <w:vAlign w:val="bottom"/>
          </w:tcPr>
          <w:p w14:paraId="4ECEAB2E" w14:textId="77777777" w:rsidR="002E474C" w:rsidRDefault="00000000">
            <w:pPr>
              <w:pStyle w:val="A-"/>
            </w:pPr>
            <w:r>
              <w:t>3.73</w:t>
            </w:r>
          </w:p>
        </w:tc>
        <w:tc>
          <w:tcPr>
            <w:tcW w:w="263" w:type="pct"/>
            <w:shd w:val="clear" w:color="auto" w:fill="auto"/>
            <w:noWrap/>
            <w:tcMar>
              <w:top w:w="15" w:type="dxa"/>
              <w:left w:w="15" w:type="dxa"/>
              <w:bottom w:w="0" w:type="dxa"/>
              <w:right w:w="15" w:type="dxa"/>
            </w:tcMar>
            <w:vAlign w:val="bottom"/>
          </w:tcPr>
          <w:p w14:paraId="6989F41A" w14:textId="77777777" w:rsidR="002E474C" w:rsidRDefault="00000000">
            <w:pPr>
              <w:pStyle w:val="A-"/>
            </w:pPr>
            <w:r>
              <w:t>3.55</w:t>
            </w:r>
          </w:p>
        </w:tc>
        <w:tc>
          <w:tcPr>
            <w:tcW w:w="253" w:type="pct"/>
            <w:shd w:val="clear" w:color="auto" w:fill="auto"/>
            <w:noWrap/>
            <w:tcMar>
              <w:top w:w="15" w:type="dxa"/>
              <w:left w:w="15" w:type="dxa"/>
              <w:bottom w:w="0" w:type="dxa"/>
              <w:right w:w="15" w:type="dxa"/>
            </w:tcMar>
            <w:vAlign w:val="bottom"/>
          </w:tcPr>
          <w:p w14:paraId="6C6674F7" w14:textId="77777777" w:rsidR="002E474C" w:rsidRDefault="00000000">
            <w:pPr>
              <w:pStyle w:val="A-"/>
            </w:pPr>
            <w:r>
              <w:t>5.68</w:t>
            </w:r>
          </w:p>
        </w:tc>
        <w:tc>
          <w:tcPr>
            <w:tcW w:w="242" w:type="pct"/>
            <w:shd w:val="clear" w:color="auto" w:fill="auto"/>
            <w:noWrap/>
            <w:tcMar>
              <w:top w:w="15" w:type="dxa"/>
              <w:left w:w="15" w:type="dxa"/>
              <w:bottom w:w="0" w:type="dxa"/>
              <w:right w:w="15" w:type="dxa"/>
            </w:tcMar>
            <w:vAlign w:val="bottom"/>
          </w:tcPr>
          <w:p w14:paraId="31A21AAC" w14:textId="77777777" w:rsidR="002E474C" w:rsidRDefault="00000000">
            <w:pPr>
              <w:pStyle w:val="A-"/>
            </w:pPr>
            <w:r>
              <w:t>3</w:t>
            </w:r>
          </w:p>
        </w:tc>
        <w:tc>
          <w:tcPr>
            <w:tcW w:w="239" w:type="pct"/>
            <w:shd w:val="clear" w:color="auto" w:fill="auto"/>
            <w:noWrap/>
            <w:tcMar>
              <w:top w:w="15" w:type="dxa"/>
              <w:left w:w="15" w:type="dxa"/>
              <w:bottom w:w="0" w:type="dxa"/>
              <w:right w:w="15" w:type="dxa"/>
            </w:tcMar>
            <w:vAlign w:val="bottom"/>
          </w:tcPr>
          <w:p w14:paraId="32E6048A" w14:textId="77777777" w:rsidR="002E474C" w:rsidRDefault="00000000">
            <w:pPr>
              <w:pStyle w:val="A-"/>
            </w:pPr>
            <w:r>
              <w:t>1.85</w:t>
            </w:r>
          </w:p>
        </w:tc>
        <w:tc>
          <w:tcPr>
            <w:tcW w:w="239" w:type="pct"/>
            <w:shd w:val="clear" w:color="auto" w:fill="auto"/>
            <w:noWrap/>
            <w:tcMar>
              <w:top w:w="15" w:type="dxa"/>
              <w:left w:w="15" w:type="dxa"/>
              <w:bottom w:w="0" w:type="dxa"/>
              <w:right w:w="15" w:type="dxa"/>
            </w:tcMar>
            <w:vAlign w:val="bottom"/>
          </w:tcPr>
          <w:p w14:paraId="3D48E39F" w14:textId="77777777" w:rsidR="002E474C" w:rsidRDefault="00000000">
            <w:pPr>
              <w:pStyle w:val="A-"/>
            </w:pPr>
            <w:r>
              <w:t>1.31</w:t>
            </w:r>
          </w:p>
        </w:tc>
        <w:tc>
          <w:tcPr>
            <w:tcW w:w="239" w:type="pct"/>
            <w:shd w:val="clear" w:color="auto" w:fill="auto"/>
            <w:noWrap/>
            <w:tcMar>
              <w:top w:w="15" w:type="dxa"/>
              <w:left w:w="15" w:type="dxa"/>
              <w:bottom w:w="0" w:type="dxa"/>
              <w:right w:w="15" w:type="dxa"/>
            </w:tcMar>
            <w:vAlign w:val="bottom"/>
          </w:tcPr>
          <w:p w14:paraId="30511B29" w14:textId="77777777" w:rsidR="002E474C" w:rsidRDefault="00000000">
            <w:pPr>
              <w:pStyle w:val="A-"/>
            </w:pPr>
            <w:r>
              <w:t>2.48</w:t>
            </w:r>
          </w:p>
        </w:tc>
        <w:tc>
          <w:tcPr>
            <w:tcW w:w="277" w:type="pct"/>
            <w:shd w:val="clear" w:color="auto" w:fill="auto"/>
            <w:noWrap/>
            <w:tcMar>
              <w:top w:w="15" w:type="dxa"/>
              <w:left w:w="15" w:type="dxa"/>
              <w:bottom w:w="0" w:type="dxa"/>
              <w:right w:w="15" w:type="dxa"/>
            </w:tcMar>
            <w:vAlign w:val="bottom"/>
          </w:tcPr>
          <w:p w14:paraId="328BC9EA" w14:textId="77777777" w:rsidR="002E474C" w:rsidRDefault="00000000">
            <w:pPr>
              <w:pStyle w:val="A-"/>
            </w:pPr>
            <w:r>
              <w:t>2.76</w:t>
            </w:r>
          </w:p>
        </w:tc>
        <w:tc>
          <w:tcPr>
            <w:tcW w:w="239" w:type="pct"/>
            <w:shd w:val="clear" w:color="auto" w:fill="auto"/>
            <w:noWrap/>
            <w:tcMar>
              <w:top w:w="15" w:type="dxa"/>
              <w:left w:w="15" w:type="dxa"/>
              <w:bottom w:w="0" w:type="dxa"/>
              <w:right w:w="15" w:type="dxa"/>
            </w:tcMar>
            <w:vAlign w:val="bottom"/>
          </w:tcPr>
          <w:p w14:paraId="37CDDD91" w14:textId="77777777" w:rsidR="002E474C" w:rsidRDefault="00000000">
            <w:pPr>
              <w:pStyle w:val="A-"/>
            </w:pPr>
            <w:r>
              <w:t>3.55</w:t>
            </w:r>
          </w:p>
        </w:tc>
        <w:tc>
          <w:tcPr>
            <w:tcW w:w="326" w:type="pct"/>
            <w:shd w:val="clear" w:color="auto" w:fill="auto"/>
            <w:noWrap/>
            <w:tcMar>
              <w:top w:w="15" w:type="dxa"/>
              <w:left w:w="15" w:type="dxa"/>
              <w:bottom w:w="0" w:type="dxa"/>
              <w:right w:w="15" w:type="dxa"/>
            </w:tcMar>
            <w:vAlign w:val="bottom"/>
          </w:tcPr>
          <w:p w14:paraId="6FB9C90F" w14:textId="77777777" w:rsidR="002E474C" w:rsidRDefault="00000000">
            <w:pPr>
              <w:pStyle w:val="A-"/>
            </w:pPr>
            <w:r>
              <w:t>1.97</w:t>
            </w:r>
          </w:p>
        </w:tc>
        <w:tc>
          <w:tcPr>
            <w:tcW w:w="239" w:type="pct"/>
            <w:shd w:val="clear" w:color="auto" w:fill="auto"/>
            <w:noWrap/>
            <w:tcMar>
              <w:top w:w="15" w:type="dxa"/>
              <w:left w:w="15" w:type="dxa"/>
              <w:bottom w:w="0" w:type="dxa"/>
              <w:right w:w="15" w:type="dxa"/>
            </w:tcMar>
            <w:vAlign w:val="bottom"/>
          </w:tcPr>
          <w:p w14:paraId="456325EE" w14:textId="77777777" w:rsidR="002E474C" w:rsidRDefault="00000000">
            <w:pPr>
              <w:pStyle w:val="A-"/>
            </w:pPr>
            <w:r>
              <w:t>1.48</w:t>
            </w:r>
          </w:p>
        </w:tc>
        <w:tc>
          <w:tcPr>
            <w:tcW w:w="347" w:type="pct"/>
            <w:shd w:val="clear" w:color="auto" w:fill="auto"/>
            <w:noWrap/>
            <w:tcMar>
              <w:top w:w="15" w:type="dxa"/>
              <w:left w:w="15" w:type="dxa"/>
              <w:bottom w:w="0" w:type="dxa"/>
              <w:right w:w="15" w:type="dxa"/>
            </w:tcMar>
            <w:vAlign w:val="bottom"/>
          </w:tcPr>
          <w:p w14:paraId="07B30171" w14:textId="77777777" w:rsidR="002E474C" w:rsidRDefault="00000000">
            <w:pPr>
              <w:pStyle w:val="A-"/>
            </w:pPr>
            <w:r>
              <w:t>1.8</w:t>
            </w:r>
          </w:p>
        </w:tc>
        <w:tc>
          <w:tcPr>
            <w:tcW w:w="239" w:type="pct"/>
            <w:shd w:val="clear" w:color="auto" w:fill="auto"/>
            <w:noWrap/>
            <w:tcMar>
              <w:top w:w="15" w:type="dxa"/>
              <w:left w:w="15" w:type="dxa"/>
              <w:bottom w:w="0" w:type="dxa"/>
              <w:right w:w="15" w:type="dxa"/>
            </w:tcMar>
            <w:vAlign w:val="bottom"/>
          </w:tcPr>
          <w:p w14:paraId="794B07B1" w14:textId="77777777" w:rsidR="002E474C" w:rsidRDefault="00000000">
            <w:pPr>
              <w:pStyle w:val="A-"/>
            </w:pPr>
            <w:r>
              <w:t>4.65</w:t>
            </w:r>
          </w:p>
        </w:tc>
        <w:tc>
          <w:tcPr>
            <w:tcW w:w="319" w:type="pct"/>
            <w:shd w:val="clear" w:color="auto" w:fill="auto"/>
            <w:noWrap/>
            <w:tcMar>
              <w:top w:w="15" w:type="dxa"/>
              <w:left w:w="15" w:type="dxa"/>
              <w:bottom w:w="0" w:type="dxa"/>
              <w:right w:w="15" w:type="dxa"/>
            </w:tcMar>
            <w:vAlign w:val="bottom"/>
          </w:tcPr>
          <w:p w14:paraId="4E73019E" w14:textId="77777777" w:rsidR="002E474C" w:rsidRDefault="00000000">
            <w:pPr>
              <w:pStyle w:val="A-"/>
            </w:pPr>
            <w:r>
              <w:t>2.71</w:t>
            </w:r>
          </w:p>
        </w:tc>
        <w:tc>
          <w:tcPr>
            <w:tcW w:w="270" w:type="pct"/>
            <w:shd w:val="clear" w:color="auto" w:fill="auto"/>
            <w:noWrap/>
            <w:tcMar>
              <w:top w:w="15" w:type="dxa"/>
              <w:left w:w="15" w:type="dxa"/>
              <w:bottom w:w="0" w:type="dxa"/>
              <w:right w:w="15" w:type="dxa"/>
            </w:tcMar>
            <w:vAlign w:val="bottom"/>
          </w:tcPr>
          <w:p w14:paraId="2D11EF07" w14:textId="77777777" w:rsidR="002E474C" w:rsidRDefault="00000000">
            <w:pPr>
              <w:pStyle w:val="A-"/>
            </w:pPr>
            <w:r>
              <w:t>3.01</w:t>
            </w:r>
          </w:p>
        </w:tc>
      </w:tr>
      <w:tr w:rsidR="002E474C" w14:paraId="2E3EDCC0" w14:textId="77777777">
        <w:trPr>
          <w:trHeight w:val="285"/>
        </w:trPr>
        <w:tc>
          <w:tcPr>
            <w:tcW w:w="497" w:type="pct"/>
            <w:shd w:val="clear" w:color="auto" w:fill="auto"/>
            <w:noWrap/>
            <w:tcMar>
              <w:top w:w="15" w:type="dxa"/>
              <w:left w:w="15" w:type="dxa"/>
              <w:bottom w:w="0" w:type="dxa"/>
              <w:right w:w="15" w:type="dxa"/>
            </w:tcMar>
            <w:vAlign w:val="bottom"/>
          </w:tcPr>
          <w:p w14:paraId="70805A05" w14:textId="77777777" w:rsidR="002E474C" w:rsidRDefault="00000000">
            <w:pPr>
              <w:pStyle w:val="A-"/>
            </w:pPr>
            <w:r>
              <w:t>十月</w:t>
            </w:r>
          </w:p>
        </w:tc>
        <w:tc>
          <w:tcPr>
            <w:tcW w:w="256" w:type="pct"/>
            <w:shd w:val="clear" w:color="auto" w:fill="auto"/>
            <w:noWrap/>
            <w:tcMar>
              <w:top w:w="15" w:type="dxa"/>
              <w:left w:w="15" w:type="dxa"/>
              <w:bottom w:w="0" w:type="dxa"/>
              <w:right w:w="15" w:type="dxa"/>
            </w:tcMar>
            <w:vAlign w:val="bottom"/>
          </w:tcPr>
          <w:p w14:paraId="070A75FE" w14:textId="77777777" w:rsidR="002E474C" w:rsidRDefault="00000000">
            <w:pPr>
              <w:pStyle w:val="A-"/>
            </w:pPr>
            <w:r>
              <w:t>10.8</w:t>
            </w:r>
          </w:p>
        </w:tc>
        <w:tc>
          <w:tcPr>
            <w:tcW w:w="277" w:type="pct"/>
            <w:shd w:val="clear" w:color="auto" w:fill="auto"/>
            <w:noWrap/>
            <w:tcMar>
              <w:top w:w="15" w:type="dxa"/>
              <w:left w:w="15" w:type="dxa"/>
              <w:bottom w:w="0" w:type="dxa"/>
              <w:right w:w="15" w:type="dxa"/>
            </w:tcMar>
            <w:vAlign w:val="bottom"/>
          </w:tcPr>
          <w:p w14:paraId="375D54A3" w14:textId="77777777" w:rsidR="002E474C" w:rsidRDefault="00000000">
            <w:pPr>
              <w:pStyle w:val="A-"/>
            </w:pPr>
            <w:r>
              <w:t>5.27</w:t>
            </w:r>
          </w:p>
        </w:tc>
        <w:tc>
          <w:tcPr>
            <w:tcW w:w="239" w:type="pct"/>
            <w:shd w:val="clear" w:color="auto" w:fill="auto"/>
            <w:noWrap/>
            <w:tcMar>
              <w:top w:w="15" w:type="dxa"/>
              <w:left w:w="15" w:type="dxa"/>
              <w:bottom w:w="0" w:type="dxa"/>
              <w:right w:w="15" w:type="dxa"/>
            </w:tcMar>
            <w:vAlign w:val="bottom"/>
          </w:tcPr>
          <w:p w14:paraId="1284B002" w14:textId="77777777" w:rsidR="002E474C" w:rsidRDefault="00000000">
            <w:pPr>
              <w:pStyle w:val="A-"/>
            </w:pPr>
            <w:r>
              <w:t>2.25</w:t>
            </w:r>
          </w:p>
        </w:tc>
        <w:tc>
          <w:tcPr>
            <w:tcW w:w="263" w:type="pct"/>
            <w:shd w:val="clear" w:color="auto" w:fill="auto"/>
            <w:noWrap/>
            <w:tcMar>
              <w:top w:w="15" w:type="dxa"/>
              <w:left w:w="15" w:type="dxa"/>
              <w:bottom w:w="0" w:type="dxa"/>
              <w:right w:w="15" w:type="dxa"/>
            </w:tcMar>
            <w:vAlign w:val="bottom"/>
          </w:tcPr>
          <w:p w14:paraId="0760F873" w14:textId="77777777" w:rsidR="002E474C" w:rsidRDefault="00000000">
            <w:pPr>
              <w:pStyle w:val="A-"/>
            </w:pPr>
            <w:r>
              <w:t>4.2</w:t>
            </w:r>
          </w:p>
        </w:tc>
        <w:tc>
          <w:tcPr>
            <w:tcW w:w="253" w:type="pct"/>
            <w:shd w:val="clear" w:color="auto" w:fill="auto"/>
            <w:noWrap/>
            <w:tcMar>
              <w:top w:w="15" w:type="dxa"/>
              <w:left w:w="15" w:type="dxa"/>
              <w:bottom w:w="0" w:type="dxa"/>
              <w:right w:w="15" w:type="dxa"/>
            </w:tcMar>
            <w:vAlign w:val="bottom"/>
          </w:tcPr>
          <w:p w14:paraId="2E27FE57" w14:textId="77777777" w:rsidR="002E474C" w:rsidRDefault="00000000">
            <w:pPr>
              <w:pStyle w:val="A-"/>
            </w:pPr>
            <w:r>
              <w:t>5</w:t>
            </w:r>
          </w:p>
        </w:tc>
        <w:tc>
          <w:tcPr>
            <w:tcW w:w="242" w:type="pct"/>
            <w:shd w:val="clear" w:color="auto" w:fill="auto"/>
            <w:noWrap/>
            <w:tcMar>
              <w:top w:w="15" w:type="dxa"/>
              <w:left w:w="15" w:type="dxa"/>
              <w:bottom w:w="0" w:type="dxa"/>
              <w:right w:w="15" w:type="dxa"/>
            </w:tcMar>
            <w:vAlign w:val="bottom"/>
          </w:tcPr>
          <w:p w14:paraId="4F5509AD" w14:textId="77777777" w:rsidR="002E474C" w:rsidRDefault="00000000">
            <w:pPr>
              <w:pStyle w:val="A-"/>
            </w:pPr>
            <w:r>
              <w:t>3.04</w:t>
            </w:r>
          </w:p>
        </w:tc>
        <w:tc>
          <w:tcPr>
            <w:tcW w:w="239" w:type="pct"/>
            <w:shd w:val="clear" w:color="auto" w:fill="auto"/>
            <w:noWrap/>
            <w:tcMar>
              <w:top w:w="15" w:type="dxa"/>
              <w:left w:w="15" w:type="dxa"/>
              <w:bottom w:w="0" w:type="dxa"/>
              <w:right w:w="15" w:type="dxa"/>
            </w:tcMar>
            <w:vAlign w:val="bottom"/>
          </w:tcPr>
          <w:p w14:paraId="0C6102EC" w14:textId="77777777" w:rsidR="002E474C" w:rsidRDefault="00000000">
            <w:pPr>
              <w:pStyle w:val="A-"/>
            </w:pPr>
            <w:r>
              <w:t>2.13</w:t>
            </w:r>
          </w:p>
        </w:tc>
        <w:tc>
          <w:tcPr>
            <w:tcW w:w="239" w:type="pct"/>
            <w:shd w:val="clear" w:color="auto" w:fill="auto"/>
            <w:noWrap/>
            <w:tcMar>
              <w:top w:w="15" w:type="dxa"/>
              <w:left w:w="15" w:type="dxa"/>
              <w:bottom w:w="0" w:type="dxa"/>
              <w:right w:w="15" w:type="dxa"/>
            </w:tcMar>
            <w:vAlign w:val="bottom"/>
          </w:tcPr>
          <w:p w14:paraId="00B9DFBF" w14:textId="77777777" w:rsidR="002E474C" w:rsidRDefault="00000000">
            <w:pPr>
              <w:pStyle w:val="A-"/>
            </w:pPr>
            <w:r>
              <w:t>2.71</w:t>
            </w:r>
          </w:p>
        </w:tc>
        <w:tc>
          <w:tcPr>
            <w:tcW w:w="239" w:type="pct"/>
            <w:shd w:val="clear" w:color="auto" w:fill="auto"/>
            <w:noWrap/>
            <w:tcMar>
              <w:top w:w="15" w:type="dxa"/>
              <w:left w:w="15" w:type="dxa"/>
              <w:bottom w:w="0" w:type="dxa"/>
              <w:right w:w="15" w:type="dxa"/>
            </w:tcMar>
            <w:vAlign w:val="bottom"/>
          </w:tcPr>
          <w:p w14:paraId="75C944DA" w14:textId="77777777" w:rsidR="002E474C" w:rsidRDefault="00000000">
            <w:pPr>
              <w:pStyle w:val="A-"/>
            </w:pPr>
            <w:r>
              <w:t>2.52</w:t>
            </w:r>
          </w:p>
        </w:tc>
        <w:tc>
          <w:tcPr>
            <w:tcW w:w="277" w:type="pct"/>
            <w:shd w:val="clear" w:color="auto" w:fill="auto"/>
            <w:noWrap/>
            <w:tcMar>
              <w:top w:w="15" w:type="dxa"/>
              <w:left w:w="15" w:type="dxa"/>
              <w:bottom w:w="0" w:type="dxa"/>
              <w:right w:w="15" w:type="dxa"/>
            </w:tcMar>
            <w:vAlign w:val="bottom"/>
          </w:tcPr>
          <w:p w14:paraId="45634E51" w14:textId="77777777" w:rsidR="002E474C" w:rsidRDefault="00000000">
            <w:pPr>
              <w:pStyle w:val="A-"/>
            </w:pPr>
            <w:r>
              <w:t>2.33</w:t>
            </w:r>
          </w:p>
        </w:tc>
        <w:tc>
          <w:tcPr>
            <w:tcW w:w="239" w:type="pct"/>
            <w:shd w:val="clear" w:color="auto" w:fill="auto"/>
            <w:noWrap/>
            <w:tcMar>
              <w:top w:w="15" w:type="dxa"/>
              <w:left w:w="15" w:type="dxa"/>
              <w:bottom w:w="0" w:type="dxa"/>
              <w:right w:w="15" w:type="dxa"/>
            </w:tcMar>
            <w:vAlign w:val="bottom"/>
          </w:tcPr>
          <w:p w14:paraId="0DC046D5" w14:textId="77777777" w:rsidR="002E474C" w:rsidRDefault="00000000">
            <w:pPr>
              <w:pStyle w:val="A-"/>
            </w:pPr>
            <w:r>
              <w:t>3.15</w:t>
            </w:r>
          </w:p>
        </w:tc>
        <w:tc>
          <w:tcPr>
            <w:tcW w:w="326" w:type="pct"/>
            <w:shd w:val="clear" w:color="auto" w:fill="auto"/>
            <w:noWrap/>
            <w:tcMar>
              <w:top w:w="15" w:type="dxa"/>
              <w:left w:w="15" w:type="dxa"/>
              <w:bottom w:w="0" w:type="dxa"/>
              <w:right w:w="15" w:type="dxa"/>
            </w:tcMar>
            <w:vAlign w:val="bottom"/>
          </w:tcPr>
          <w:p w14:paraId="2469FED8" w14:textId="77777777" w:rsidR="002E474C" w:rsidRDefault="00000000">
            <w:pPr>
              <w:pStyle w:val="A-"/>
            </w:pPr>
            <w:r>
              <w:t>1.76</w:t>
            </w:r>
          </w:p>
        </w:tc>
        <w:tc>
          <w:tcPr>
            <w:tcW w:w="239" w:type="pct"/>
            <w:shd w:val="clear" w:color="auto" w:fill="auto"/>
            <w:noWrap/>
            <w:tcMar>
              <w:top w:w="15" w:type="dxa"/>
              <w:left w:w="15" w:type="dxa"/>
              <w:bottom w:w="0" w:type="dxa"/>
              <w:right w:w="15" w:type="dxa"/>
            </w:tcMar>
            <w:vAlign w:val="bottom"/>
          </w:tcPr>
          <w:p w14:paraId="1162776B" w14:textId="77777777" w:rsidR="002E474C" w:rsidRDefault="00000000">
            <w:pPr>
              <w:pStyle w:val="A-"/>
            </w:pPr>
            <w:r>
              <w:t>2.5</w:t>
            </w:r>
          </w:p>
        </w:tc>
        <w:tc>
          <w:tcPr>
            <w:tcW w:w="347" w:type="pct"/>
            <w:shd w:val="clear" w:color="auto" w:fill="auto"/>
            <w:noWrap/>
            <w:tcMar>
              <w:top w:w="15" w:type="dxa"/>
              <w:left w:w="15" w:type="dxa"/>
              <w:bottom w:w="0" w:type="dxa"/>
              <w:right w:w="15" w:type="dxa"/>
            </w:tcMar>
            <w:vAlign w:val="bottom"/>
          </w:tcPr>
          <w:p w14:paraId="098BFA46" w14:textId="77777777" w:rsidR="002E474C" w:rsidRDefault="00000000">
            <w:pPr>
              <w:pStyle w:val="A-"/>
            </w:pPr>
            <w:r>
              <w:t>2.27</w:t>
            </w:r>
          </w:p>
        </w:tc>
        <w:tc>
          <w:tcPr>
            <w:tcW w:w="239" w:type="pct"/>
            <w:shd w:val="clear" w:color="auto" w:fill="auto"/>
            <w:noWrap/>
            <w:tcMar>
              <w:top w:w="15" w:type="dxa"/>
              <w:left w:w="15" w:type="dxa"/>
              <w:bottom w:w="0" w:type="dxa"/>
              <w:right w:w="15" w:type="dxa"/>
            </w:tcMar>
            <w:vAlign w:val="bottom"/>
          </w:tcPr>
          <w:p w14:paraId="5A0CFDF5" w14:textId="77777777" w:rsidR="002E474C" w:rsidRDefault="00000000">
            <w:pPr>
              <w:pStyle w:val="A-"/>
            </w:pPr>
            <w:r>
              <w:t>2.94</w:t>
            </w:r>
          </w:p>
        </w:tc>
        <w:tc>
          <w:tcPr>
            <w:tcW w:w="319" w:type="pct"/>
            <w:shd w:val="clear" w:color="auto" w:fill="auto"/>
            <w:noWrap/>
            <w:tcMar>
              <w:top w:w="15" w:type="dxa"/>
              <w:left w:w="15" w:type="dxa"/>
              <w:bottom w:w="0" w:type="dxa"/>
              <w:right w:w="15" w:type="dxa"/>
            </w:tcMar>
            <w:vAlign w:val="bottom"/>
          </w:tcPr>
          <w:p w14:paraId="3F77987D" w14:textId="77777777" w:rsidR="002E474C" w:rsidRDefault="00000000">
            <w:pPr>
              <w:pStyle w:val="A-"/>
            </w:pPr>
            <w:r>
              <w:t>4.51</w:t>
            </w:r>
          </w:p>
        </w:tc>
        <w:tc>
          <w:tcPr>
            <w:tcW w:w="270" w:type="pct"/>
            <w:shd w:val="clear" w:color="auto" w:fill="auto"/>
            <w:noWrap/>
            <w:tcMar>
              <w:top w:w="15" w:type="dxa"/>
              <w:left w:w="15" w:type="dxa"/>
              <w:bottom w:w="0" w:type="dxa"/>
              <w:right w:w="15" w:type="dxa"/>
            </w:tcMar>
            <w:vAlign w:val="bottom"/>
          </w:tcPr>
          <w:p w14:paraId="6A21D03E" w14:textId="77777777" w:rsidR="002E474C" w:rsidRDefault="00000000">
            <w:pPr>
              <w:pStyle w:val="A-"/>
            </w:pPr>
            <w:r>
              <w:t>3.59</w:t>
            </w:r>
          </w:p>
        </w:tc>
      </w:tr>
      <w:tr w:rsidR="002E474C" w14:paraId="54BE519E" w14:textId="77777777">
        <w:trPr>
          <w:trHeight w:val="285"/>
        </w:trPr>
        <w:tc>
          <w:tcPr>
            <w:tcW w:w="497" w:type="pct"/>
            <w:shd w:val="clear" w:color="auto" w:fill="auto"/>
            <w:noWrap/>
            <w:tcMar>
              <w:top w:w="15" w:type="dxa"/>
              <w:left w:w="15" w:type="dxa"/>
              <w:bottom w:w="0" w:type="dxa"/>
              <w:right w:w="15" w:type="dxa"/>
            </w:tcMar>
            <w:vAlign w:val="bottom"/>
          </w:tcPr>
          <w:p w14:paraId="3CA77FC0" w14:textId="77777777" w:rsidR="002E474C" w:rsidRDefault="00000000">
            <w:pPr>
              <w:pStyle w:val="A-"/>
            </w:pPr>
            <w:r>
              <w:t>十一月</w:t>
            </w:r>
          </w:p>
        </w:tc>
        <w:tc>
          <w:tcPr>
            <w:tcW w:w="256" w:type="pct"/>
            <w:shd w:val="clear" w:color="auto" w:fill="auto"/>
            <w:noWrap/>
            <w:tcMar>
              <w:top w:w="15" w:type="dxa"/>
              <w:left w:w="15" w:type="dxa"/>
              <w:bottom w:w="0" w:type="dxa"/>
              <w:right w:w="15" w:type="dxa"/>
            </w:tcMar>
            <w:vAlign w:val="bottom"/>
          </w:tcPr>
          <w:p w14:paraId="00DCC5F7" w14:textId="77777777" w:rsidR="002E474C" w:rsidRDefault="00000000">
            <w:pPr>
              <w:pStyle w:val="A-"/>
            </w:pPr>
            <w:r>
              <w:t>17.67</w:t>
            </w:r>
          </w:p>
        </w:tc>
        <w:tc>
          <w:tcPr>
            <w:tcW w:w="277" w:type="pct"/>
            <w:shd w:val="clear" w:color="auto" w:fill="auto"/>
            <w:noWrap/>
            <w:tcMar>
              <w:top w:w="15" w:type="dxa"/>
              <w:left w:w="15" w:type="dxa"/>
              <w:bottom w:w="0" w:type="dxa"/>
              <w:right w:w="15" w:type="dxa"/>
            </w:tcMar>
            <w:vAlign w:val="bottom"/>
          </w:tcPr>
          <w:p w14:paraId="30A346B5" w14:textId="77777777" w:rsidR="002E474C" w:rsidRDefault="00000000">
            <w:pPr>
              <w:pStyle w:val="A-"/>
            </w:pPr>
            <w:r>
              <w:t>6.58</w:t>
            </w:r>
          </w:p>
        </w:tc>
        <w:tc>
          <w:tcPr>
            <w:tcW w:w="239" w:type="pct"/>
            <w:shd w:val="clear" w:color="auto" w:fill="auto"/>
            <w:noWrap/>
            <w:tcMar>
              <w:top w:w="15" w:type="dxa"/>
              <w:left w:w="15" w:type="dxa"/>
              <w:bottom w:w="0" w:type="dxa"/>
              <w:right w:w="15" w:type="dxa"/>
            </w:tcMar>
            <w:vAlign w:val="bottom"/>
          </w:tcPr>
          <w:p w14:paraId="02DC6D84" w14:textId="77777777" w:rsidR="002E474C" w:rsidRDefault="00000000">
            <w:pPr>
              <w:pStyle w:val="A-"/>
            </w:pPr>
            <w:r>
              <w:t>3.18</w:t>
            </w:r>
          </w:p>
        </w:tc>
        <w:tc>
          <w:tcPr>
            <w:tcW w:w="263" w:type="pct"/>
            <w:shd w:val="clear" w:color="auto" w:fill="auto"/>
            <w:noWrap/>
            <w:tcMar>
              <w:top w:w="15" w:type="dxa"/>
              <w:left w:w="15" w:type="dxa"/>
              <w:bottom w:w="0" w:type="dxa"/>
              <w:right w:w="15" w:type="dxa"/>
            </w:tcMar>
            <w:vAlign w:val="bottom"/>
          </w:tcPr>
          <w:p w14:paraId="5D62252D" w14:textId="77777777" w:rsidR="002E474C" w:rsidRDefault="00000000">
            <w:pPr>
              <w:pStyle w:val="A-"/>
            </w:pPr>
            <w:r>
              <w:t>2.78</w:t>
            </w:r>
          </w:p>
        </w:tc>
        <w:tc>
          <w:tcPr>
            <w:tcW w:w="253" w:type="pct"/>
            <w:shd w:val="clear" w:color="auto" w:fill="auto"/>
            <w:noWrap/>
            <w:tcMar>
              <w:top w:w="15" w:type="dxa"/>
              <w:left w:w="15" w:type="dxa"/>
              <w:bottom w:w="0" w:type="dxa"/>
              <w:right w:w="15" w:type="dxa"/>
            </w:tcMar>
            <w:vAlign w:val="bottom"/>
          </w:tcPr>
          <w:p w14:paraId="193904BC" w14:textId="77777777" w:rsidR="002E474C" w:rsidRDefault="00000000">
            <w:pPr>
              <w:pStyle w:val="A-"/>
            </w:pPr>
            <w:r>
              <w:t>3.99</w:t>
            </w:r>
          </w:p>
        </w:tc>
        <w:tc>
          <w:tcPr>
            <w:tcW w:w="242" w:type="pct"/>
            <w:shd w:val="clear" w:color="auto" w:fill="auto"/>
            <w:noWrap/>
            <w:tcMar>
              <w:top w:w="15" w:type="dxa"/>
              <w:left w:w="15" w:type="dxa"/>
              <w:bottom w:w="0" w:type="dxa"/>
              <w:right w:w="15" w:type="dxa"/>
            </w:tcMar>
            <w:vAlign w:val="bottom"/>
          </w:tcPr>
          <w:p w14:paraId="3B7756C5" w14:textId="77777777" w:rsidR="002E474C" w:rsidRDefault="00000000">
            <w:pPr>
              <w:pStyle w:val="A-"/>
            </w:pPr>
            <w:r>
              <w:t>3.01</w:t>
            </w:r>
          </w:p>
        </w:tc>
        <w:tc>
          <w:tcPr>
            <w:tcW w:w="239" w:type="pct"/>
            <w:shd w:val="clear" w:color="auto" w:fill="auto"/>
            <w:noWrap/>
            <w:tcMar>
              <w:top w:w="15" w:type="dxa"/>
              <w:left w:w="15" w:type="dxa"/>
              <w:bottom w:w="0" w:type="dxa"/>
              <w:right w:w="15" w:type="dxa"/>
            </w:tcMar>
            <w:vAlign w:val="bottom"/>
          </w:tcPr>
          <w:p w14:paraId="6C489F6D" w14:textId="77777777" w:rsidR="002E474C" w:rsidRDefault="00000000">
            <w:pPr>
              <w:pStyle w:val="A-"/>
            </w:pPr>
            <w:r>
              <w:t>3.04</w:t>
            </w:r>
          </w:p>
        </w:tc>
        <w:tc>
          <w:tcPr>
            <w:tcW w:w="239" w:type="pct"/>
            <w:shd w:val="clear" w:color="auto" w:fill="auto"/>
            <w:noWrap/>
            <w:tcMar>
              <w:top w:w="15" w:type="dxa"/>
              <w:left w:w="15" w:type="dxa"/>
              <w:bottom w:w="0" w:type="dxa"/>
              <w:right w:w="15" w:type="dxa"/>
            </w:tcMar>
            <w:vAlign w:val="bottom"/>
          </w:tcPr>
          <w:p w14:paraId="39190CF6" w14:textId="77777777" w:rsidR="002E474C" w:rsidRDefault="00000000">
            <w:pPr>
              <w:pStyle w:val="A-"/>
            </w:pPr>
            <w:r>
              <w:t>2.67</w:t>
            </w:r>
          </w:p>
        </w:tc>
        <w:tc>
          <w:tcPr>
            <w:tcW w:w="239" w:type="pct"/>
            <w:shd w:val="clear" w:color="auto" w:fill="auto"/>
            <w:noWrap/>
            <w:tcMar>
              <w:top w:w="15" w:type="dxa"/>
              <w:left w:w="15" w:type="dxa"/>
              <w:bottom w:w="0" w:type="dxa"/>
              <w:right w:w="15" w:type="dxa"/>
            </w:tcMar>
            <w:vAlign w:val="bottom"/>
          </w:tcPr>
          <w:p w14:paraId="111316A8" w14:textId="77777777" w:rsidR="002E474C" w:rsidRDefault="00000000">
            <w:pPr>
              <w:pStyle w:val="A-"/>
            </w:pPr>
            <w:r>
              <w:t>6.48</w:t>
            </w:r>
          </w:p>
        </w:tc>
        <w:tc>
          <w:tcPr>
            <w:tcW w:w="277" w:type="pct"/>
            <w:shd w:val="clear" w:color="auto" w:fill="auto"/>
            <w:noWrap/>
            <w:tcMar>
              <w:top w:w="15" w:type="dxa"/>
              <w:left w:w="15" w:type="dxa"/>
              <w:bottom w:w="0" w:type="dxa"/>
              <w:right w:w="15" w:type="dxa"/>
            </w:tcMar>
            <w:vAlign w:val="bottom"/>
          </w:tcPr>
          <w:p w14:paraId="2458E3FB" w14:textId="77777777" w:rsidR="002E474C" w:rsidRDefault="00000000">
            <w:pPr>
              <w:pStyle w:val="A-"/>
            </w:pPr>
            <w:r>
              <w:t>2.03</w:t>
            </w:r>
          </w:p>
        </w:tc>
        <w:tc>
          <w:tcPr>
            <w:tcW w:w="239" w:type="pct"/>
            <w:shd w:val="clear" w:color="auto" w:fill="auto"/>
            <w:noWrap/>
            <w:tcMar>
              <w:top w:w="15" w:type="dxa"/>
              <w:left w:w="15" w:type="dxa"/>
              <w:bottom w:w="0" w:type="dxa"/>
              <w:right w:w="15" w:type="dxa"/>
            </w:tcMar>
            <w:vAlign w:val="bottom"/>
          </w:tcPr>
          <w:p w14:paraId="012EC976" w14:textId="77777777" w:rsidR="002E474C" w:rsidRDefault="00000000">
            <w:pPr>
              <w:pStyle w:val="A-"/>
            </w:pPr>
            <w:r>
              <w:t>2.01</w:t>
            </w:r>
          </w:p>
        </w:tc>
        <w:tc>
          <w:tcPr>
            <w:tcW w:w="326" w:type="pct"/>
            <w:shd w:val="clear" w:color="auto" w:fill="auto"/>
            <w:noWrap/>
            <w:tcMar>
              <w:top w:w="15" w:type="dxa"/>
              <w:left w:w="15" w:type="dxa"/>
              <w:bottom w:w="0" w:type="dxa"/>
              <w:right w:w="15" w:type="dxa"/>
            </w:tcMar>
            <w:vAlign w:val="bottom"/>
          </w:tcPr>
          <w:p w14:paraId="7AF36CF6" w14:textId="77777777" w:rsidR="002E474C" w:rsidRDefault="00000000">
            <w:pPr>
              <w:pStyle w:val="A-"/>
            </w:pPr>
            <w:r>
              <w:t>1.51</w:t>
            </w:r>
          </w:p>
        </w:tc>
        <w:tc>
          <w:tcPr>
            <w:tcW w:w="239" w:type="pct"/>
            <w:shd w:val="clear" w:color="auto" w:fill="auto"/>
            <w:noWrap/>
            <w:tcMar>
              <w:top w:w="15" w:type="dxa"/>
              <w:left w:w="15" w:type="dxa"/>
              <w:bottom w:w="0" w:type="dxa"/>
              <w:right w:w="15" w:type="dxa"/>
            </w:tcMar>
            <w:vAlign w:val="bottom"/>
          </w:tcPr>
          <w:p w14:paraId="67A802F1" w14:textId="77777777" w:rsidR="002E474C" w:rsidRDefault="00000000">
            <w:pPr>
              <w:pStyle w:val="A-"/>
            </w:pPr>
            <w:r>
              <w:t>3.22</w:t>
            </w:r>
          </w:p>
        </w:tc>
        <w:tc>
          <w:tcPr>
            <w:tcW w:w="347" w:type="pct"/>
            <w:shd w:val="clear" w:color="auto" w:fill="auto"/>
            <w:noWrap/>
            <w:tcMar>
              <w:top w:w="15" w:type="dxa"/>
              <w:left w:w="15" w:type="dxa"/>
              <w:bottom w:w="0" w:type="dxa"/>
              <w:right w:w="15" w:type="dxa"/>
            </w:tcMar>
            <w:vAlign w:val="bottom"/>
          </w:tcPr>
          <w:p w14:paraId="3385BA62" w14:textId="77777777" w:rsidR="002E474C" w:rsidRDefault="00000000">
            <w:pPr>
              <w:pStyle w:val="A-"/>
            </w:pPr>
            <w:r>
              <w:t>1.81</w:t>
            </w:r>
          </w:p>
        </w:tc>
        <w:tc>
          <w:tcPr>
            <w:tcW w:w="239" w:type="pct"/>
            <w:shd w:val="clear" w:color="auto" w:fill="auto"/>
            <w:noWrap/>
            <w:tcMar>
              <w:top w:w="15" w:type="dxa"/>
              <w:left w:w="15" w:type="dxa"/>
              <w:bottom w:w="0" w:type="dxa"/>
              <w:right w:w="15" w:type="dxa"/>
            </w:tcMar>
            <w:vAlign w:val="bottom"/>
          </w:tcPr>
          <w:p w14:paraId="2C4C0B7B" w14:textId="77777777" w:rsidR="002E474C" w:rsidRDefault="00000000">
            <w:pPr>
              <w:pStyle w:val="A-"/>
            </w:pPr>
            <w:r>
              <w:t>3.14</w:t>
            </w:r>
          </w:p>
        </w:tc>
        <w:tc>
          <w:tcPr>
            <w:tcW w:w="319" w:type="pct"/>
            <w:shd w:val="clear" w:color="auto" w:fill="auto"/>
            <w:noWrap/>
            <w:tcMar>
              <w:top w:w="15" w:type="dxa"/>
              <w:left w:w="15" w:type="dxa"/>
              <w:bottom w:w="0" w:type="dxa"/>
              <w:right w:w="15" w:type="dxa"/>
            </w:tcMar>
            <w:vAlign w:val="bottom"/>
          </w:tcPr>
          <w:p w14:paraId="7C614B44" w14:textId="77777777" w:rsidR="002E474C" w:rsidRDefault="00000000">
            <w:pPr>
              <w:pStyle w:val="A-"/>
            </w:pPr>
            <w:r>
              <w:t>5.92</w:t>
            </w:r>
          </w:p>
        </w:tc>
        <w:tc>
          <w:tcPr>
            <w:tcW w:w="270" w:type="pct"/>
            <w:shd w:val="clear" w:color="auto" w:fill="auto"/>
            <w:noWrap/>
            <w:tcMar>
              <w:top w:w="15" w:type="dxa"/>
              <w:left w:w="15" w:type="dxa"/>
              <w:bottom w:w="0" w:type="dxa"/>
              <w:right w:w="15" w:type="dxa"/>
            </w:tcMar>
            <w:vAlign w:val="bottom"/>
          </w:tcPr>
          <w:p w14:paraId="3B916AE3" w14:textId="77777777" w:rsidR="002E474C" w:rsidRDefault="00000000">
            <w:pPr>
              <w:pStyle w:val="A-"/>
            </w:pPr>
            <w:r>
              <w:t>4.32</w:t>
            </w:r>
          </w:p>
        </w:tc>
      </w:tr>
      <w:tr w:rsidR="002E474C" w14:paraId="4D4B5DF1" w14:textId="77777777">
        <w:trPr>
          <w:trHeight w:val="285"/>
        </w:trPr>
        <w:tc>
          <w:tcPr>
            <w:tcW w:w="497" w:type="pct"/>
            <w:shd w:val="clear" w:color="auto" w:fill="auto"/>
            <w:noWrap/>
            <w:tcMar>
              <w:top w:w="15" w:type="dxa"/>
              <w:left w:w="15" w:type="dxa"/>
              <w:bottom w:w="0" w:type="dxa"/>
              <w:right w:w="15" w:type="dxa"/>
            </w:tcMar>
            <w:vAlign w:val="bottom"/>
          </w:tcPr>
          <w:p w14:paraId="244DFB5C" w14:textId="77777777" w:rsidR="002E474C" w:rsidRDefault="00000000">
            <w:pPr>
              <w:pStyle w:val="A-"/>
            </w:pPr>
            <w:r>
              <w:t>十二月</w:t>
            </w:r>
          </w:p>
        </w:tc>
        <w:tc>
          <w:tcPr>
            <w:tcW w:w="256" w:type="pct"/>
            <w:shd w:val="clear" w:color="auto" w:fill="auto"/>
            <w:noWrap/>
            <w:tcMar>
              <w:top w:w="15" w:type="dxa"/>
              <w:left w:w="15" w:type="dxa"/>
              <w:bottom w:w="0" w:type="dxa"/>
              <w:right w:w="15" w:type="dxa"/>
            </w:tcMar>
            <w:vAlign w:val="bottom"/>
          </w:tcPr>
          <w:p w14:paraId="5EB0AD8B" w14:textId="77777777" w:rsidR="002E474C" w:rsidRDefault="00000000">
            <w:pPr>
              <w:pStyle w:val="A-"/>
            </w:pPr>
            <w:r>
              <w:t>18.94</w:t>
            </w:r>
          </w:p>
        </w:tc>
        <w:tc>
          <w:tcPr>
            <w:tcW w:w="277" w:type="pct"/>
            <w:shd w:val="clear" w:color="auto" w:fill="auto"/>
            <w:noWrap/>
            <w:tcMar>
              <w:top w:w="15" w:type="dxa"/>
              <w:left w:w="15" w:type="dxa"/>
              <w:bottom w:w="0" w:type="dxa"/>
              <w:right w:w="15" w:type="dxa"/>
            </w:tcMar>
            <w:vAlign w:val="bottom"/>
          </w:tcPr>
          <w:p w14:paraId="3AFEA562" w14:textId="77777777" w:rsidR="002E474C" w:rsidRDefault="00000000">
            <w:pPr>
              <w:pStyle w:val="A-"/>
            </w:pPr>
            <w:r>
              <w:t>5.99</w:t>
            </w:r>
          </w:p>
        </w:tc>
        <w:tc>
          <w:tcPr>
            <w:tcW w:w="239" w:type="pct"/>
            <w:shd w:val="clear" w:color="auto" w:fill="auto"/>
            <w:noWrap/>
            <w:tcMar>
              <w:top w:w="15" w:type="dxa"/>
              <w:left w:w="15" w:type="dxa"/>
              <w:bottom w:w="0" w:type="dxa"/>
              <w:right w:w="15" w:type="dxa"/>
            </w:tcMar>
            <w:vAlign w:val="bottom"/>
          </w:tcPr>
          <w:p w14:paraId="561B6C0E" w14:textId="77777777" w:rsidR="002E474C" w:rsidRDefault="00000000">
            <w:pPr>
              <w:pStyle w:val="A-"/>
            </w:pPr>
            <w:r>
              <w:t>5.1</w:t>
            </w:r>
          </w:p>
        </w:tc>
        <w:tc>
          <w:tcPr>
            <w:tcW w:w="263" w:type="pct"/>
            <w:shd w:val="clear" w:color="auto" w:fill="auto"/>
            <w:noWrap/>
            <w:tcMar>
              <w:top w:w="15" w:type="dxa"/>
              <w:left w:w="15" w:type="dxa"/>
              <w:bottom w:w="0" w:type="dxa"/>
              <w:right w:w="15" w:type="dxa"/>
            </w:tcMar>
            <w:vAlign w:val="bottom"/>
          </w:tcPr>
          <w:p w14:paraId="750D2B8D" w14:textId="77777777" w:rsidR="002E474C" w:rsidRDefault="00000000">
            <w:pPr>
              <w:pStyle w:val="A-"/>
            </w:pPr>
            <w:r>
              <w:t>3.01</w:t>
            </w:r>
          </w:p>
        </w:tc>
        <w:tc>
          <w:tcPr>
            <w:tcW w:w="253" w:type="pct"/>
            <w:shd w:val="clear" w:color="auto" w:fill="auto"/>
            <w:noWrap/>
            <w:tcMar>
              <w:top w:w="15" w:type="dxa"/>
              <w:left w:w="15" w:type="dxa"/>
              <w:bottom w:w="0" w:type="dxa"/>
              <w:right w:w="15" w:type="dxa"/>
            </w:tcMar>
            <w:vAlign w:val="bottom"/>
          </w:tcPr>
          <w:p w14:paraId="154CB198" w14:textId="77777777" w:rsidR="002E474C" w:rsidRDefault="00000000">
            <w:pPr>
              <w:pStyle w:val="A-"/>
            </w:pPr>
            <w:r>
              <w:t>5.77</w:t>
            </w:r>
          </w:p>
        </w:tc>
        <w:tc>
          <w:tcPr>
            <w:tcW w:w="242" w:type="pct"/>
            <w:shd w:val="clear" w:color="auto" w:fill="auto"/>
            <w:noWrap/>
            <w:tcMar>
              <w:top w:w="15" w:type="dxa"/>
              <w:left w:w="15" w:type="dxa"/>
              <w:bottom w:w="0" w:type="dxa"/>
              <w:right w:w="15" w:type="dxa"/>
            </w:tcMar>
            <w:vAlign w:val="bottom"/>
          </w:tcPr>
          <w:p w14:paraId="3A45C0F4" w14:textId="77777777" w:rsidR="002E474C" w:rsidRDefault="00000000">
            <w:pPr>
              <w:pStyle w:val="A-"/>
            </w:pPr>
            <w:r>
              <w:t>3.29</w:t>
            </w:r>
          </w:p>
        </w:tc>
        <w:tc>
          <w:tcPr>
            <w:tcW w:w="239" w:type="pct"/>
            <w:shd w:val="clear" w:color="auto" w:fill="auto"/>
            <w:noWrap/>
            <w:tcMar>
              <w:top w:w="15" w:type="dxa"/>
              <w:left w:w="15" w:type="dxa"/>
              <w:bottom w:w="0" w:type="dxa"/>
              <w:right w:w="15" w:type="dxa"/>
            </w:tcMar>
            <w:vAlign w:val="bottom"/>
          </w:tcPr>
          <w:p w14:paraId="210814FA" w14:textId="77777777" w:rsidR="002E474C" w:rsidRDefault="00000000">
            <w:pPr>
              <w:pStyle w:val="A-"/>
            </w:pPr>
            <w:r>
              <w:t>4.51</w:t>
            </w:r>
          </w:p>
        </w:tc>
        <w:tc>
          <w:tcPr>
            <w:tcW w:w="239" w:type="pct"/>
            <w:shd w:val="clear" w:color="auto" w:fill="auto"/>
            <w:noWrap/>
            <w:tcMar>
              <w:top w:w="15" w:type="dxa"/>
              <w:left w:w="15" w:type="dxa"/>
              <w:bottom w:w="0" w:type="dxa"/>
              <w:right w:w="15" w:type="dxa"/>
            </w:tcMar>
            <w:vAlign w:val="bottom"/>
          </w:tcPr>
          <w:p w14:paraId="4E198779" w14:textId="77777777" w:rsidR="002E474C" w:rsidRDefault="00000000">
            <w:pPr>
              <w:pStyle w:val="A-"/>
            </w:pPr>
            <w:r>
              <w:t>4.03</w:t>
            </w:r>
          </w:p>
        </w:tc>
        <w:tc>
          <w:tcPr>
            <w:tcW w:w="239" w:type="pct"/>
            <w:shd w:val="clear" w:color="auto" w:fill="auto"/>
            <w:noWrap/>
            <w:tcMar>
              <w:top w:w="15" w:type="dxa"/>
              <w:left w:w="15" w:type="dxa"/>
              <w:bottom w:w="0" w:type="dxa"/>
              <w:right w:w="15" w:type="dxa"/>
            </w:tcMar>
            <w:vAlign w:val="bottom"/>
          </w:tcPr>
          <w:p w14:paraId="446EFFD4" w14:textId="77777777" w:rsidR="002E474C" w:rsidRDefault="00000000">
            <w:pPr>
              <w:pStyle w:val="A-"/>
            </w:pPr>
            <w:r>
              <w:t>6.99</w:t>
            </w:r>
          </w:p>
        </w:tc>
        <w:tc>
          <w:tcPr>
            <w:tcW w:w="277" w:type="pct"/>
            <w:shd w:val="clear" w:color="auto" w:fill="auto"/>
            <w:noWrap/>
            <w:tcMar>
              <w:top w:w="15" w:type="dxa"/>
              <w:left w:w="15" w:type="dxa"/>
              <w:bottom w:w="0" w:type="dxa"/>
              <w:right w:w="15" w:type="dxa"/>
            </w:tcMar>
            <w:vAlign w:val="bottom"/>
          </w:tcPr>
          <w:p w14:paraId="71593DCE" w14:textId="77777777" w:rsidR="002E474C" w:rsidRDefault="00000000">
            <w:pPr>
              <w:pStyle w:val="A-"/>
            </w:pPr>
            <w:r>
              <w:t>3.8</w:t>
            </w:r>
          </w:p>
        </w:tc>
        <w:tc>
          <w:tcPr>
            <w:tcW w:w="239" w:type="pct"/>
            <w:shd w:val="clear" w:color="auto" w:fill="auto"/>
            <w:noWrap/>
            <w:tcMar>
              <w:top w:w="15" w:type="dxa"/>
              <w:left w:w="15" w:type="dxa"/>
              <w:bottom w:w="0" w:type="dxa"/>
              <w:right w:w="15" w:type="dxa"/>
            </w:tcMar>
            <w:vAlign w:val="bottom"/>
          </w:tcPr>
          <w:p w14:paraId="07A50738" w14:textId="77777777" w:rsidR="002E474C" w:rsidRDefault="00000000">
            <w:pPr>
              <w:pStyle w:val="A-"/>
            </w:pPr>
            <w:r>
              <w:t>2.74</w:t>
            </w:r>
          </w:p>
        </w:tc>
        <w:tc>
          <w:tcPr>
            <w:tcW w:w="326" w:type="pct"/>
            <w:shd w:val="clear" w:color="auto" w:fill="auto"/>
            <w:noWrap/>
            <w:tcMar>
              <w:top w:w="15" w:type="dxa"/>
              <w:left w:w="15" w:type="dxa"/>
              <w:bottom w:w="0" w:type="dxa"/>
              <w:right w:w="15" w:type="dxa"/>
            </w:tcMar>
            <w:vAlign w:val="bottom"/>
          </w:tcPr>
          <w:p w14:paraId="61129ABA" w14:textId="77777777" w:rsidR="002E474C" w:rsidRDefault="00000000">
            <w:pPr>
              <w:pStyle w:val="A-"/>
            </w:pPr>
            <w:r>
              <w:t>1.47</w:t>
            </w:r>
          </w:p>
        </w:tc>
        <w:tc>
          <w:tcPr>
            <w:tcW w:w="239" w:type="pct"/>
            <w:shd w:val="clear" w:color="auto" w:fill="auto"/>
            <w:noWrap/>
            <w:tcMar>
              <w:top w:w="15" w:type="dxa"/>
              <w:left w:w="15" w:type="dxa"/>
              <w:bottom w:w="0" w:type="dxa"/>
              <w:right w:w="15" w:type="dxa"/>
            </w:tcMar>
            <w:vAlign w:val="bottom"/>
          </w:tcPr>
          <w:p w14:paraId="21C6B1EE" w14:textId="77777777" w:rsidR="002E474C" w:rsidRDefault="00000000">
            <w:pPr>
              <w:pStyle w:val="A-"/>
            </w:pPr>
            <w:r>
              <w:t>3.47</w:t>
            </w:r>
          </w:p>
        </w:tc>
        <w:tc>
          <w:tcPr>
            <w:tcW w:w="347" w:type="pct"/>
            <w:shd w:val="clear" w:color="auto" w:fill="auto"/>
            <w:noWrap/>
            <w:tcMar>
              <w:top w:w="15" w:type="dxa"/>
              <w:left w:w="15" w:type="dxa"/>
              <w:bottom w:w="0" w:type="dxa"/>
              <w:right w:w="15" w:type="dxa"/>
            </w:tcMar>
            <w:vAlign w:val="bottom"/>
          </w:tcPr>
          <w:p w14:paraId="5EA4C190" w14:textId="77777777" w:rsidR="002E474C" w:rsidRDefault="00000000">
            <w:pPr>
              <w:pStyle w:val="A-"/>
            </w:pPr>
            <w:r>
              <w:t>2.64</w:t>
            </w:r>
          </w:p>
        </w:tc>
        <w:tc>
          <w:tcPr>
            <w:tcW w:w="239" w:type="pct"/>
            <w:shd w:val="clear" w:color="auto" w:fill="auto"/>
            <w:noWrap/>
            <w:tcMar>
              <w:top w:w="15" w:type="dxa"/>
              <w:left w:w="15" w:type="dxa"/>
              <w:bottom w:w="0" w:type="dxa"/>
              <w:right w:w="15" w:type="dxa"/>
            </w:tcMar>
            <w:vAlign w:val="bottom"/>
          </w:tcPr>
          <w:p w14:paraId="71A2A3CD" w14:textId="77777777" w:rsidR="002E474C" w:rsidRDefault="00000000">
            <w:pPr>
              <w:pStyle w:val="A-"/>
            </w:pPr>
            <w:r>
              <w:t>5.23</w:t>
            </w:r>
          </w:p>
        </w:tc>
        <w:tc>
          <w:tcPr>
            <w:tcW w:w="319" w:type="pct"/>
            <w:shd w:val="clear" w:color="auto" w:fill="auto"/>
            <w:noWrap/>
            <w:tcMar>
              <w:top w:w="15" w:type="dxa"/>
              <w:left w:w="15" w:type="dxa"/>
              <w:bottom w:w="0" w:type="dxa"/>
              <w:right w:w="15" w:type="dxa"/>
            </w:tcMar>
            <w:vAlign w:val="bottom"/>
          </w:tcPr>
          <w:p w14:paraId="0772DE4C" w14:textId="77777777" w:rsidR="002E474C" w:rsidRDefault="00000000">
            <w:pPr>
              <w:pStyle w:val="A-"/>
            </w:pPr>
            <w:r>
              <w:t>6.6</w:t>
            </w:r>
          </w:p>
        </w:tc>
        <w:tc>
          <w:tcPr>
            <w:tcW w:w="270" w:type="pct"/>
            <w:shd w:val="clear" w:color="auto" w:fill="auto"/>
            <w:noWrap/>
            <w:tcMar>
              <w:top w:w="15" w:type="dxa"/>
              <w:left w:w="15" w:type="dxa"/>
              <w:bottom w:w="0" w:type="dxa"/>
              <w:right w:w="15" w:type="dxa"/>
            </w:tcMar>
            <w:vAlign w:val="bottom"/>
          </w:tcPr>
          <w:p w14:paraId="5CC6AF99" w14:textId="77777777" w:rsidR="002E474C" w:rsidRDefault="00000000">
            <w:pPr>
              <w:pStyle w:val="A-"/>
            </w:pPr>
            <w:r>
              <w:t>5.22</w:t>
            </w:r>
          </w:p>
        </w:tc>
      </w:tr>
      <w:tr w:rsidR="002E474C" w14:paraId="0D0A8F58" w14:textId="77777777">
        <w:trPr>
          <w:trHeight w:val="285"/>
        </w:trPr>
        <w:tc>
          <w:tcPr>
            <w:tcW w:w="497" w:type="pct"/>
            <w:shd w:val="clear" w:color="auto" w:fill="auto"/>
            <w:noWrap/>
            <w:tcMar>
              <w:top w:w="15" w:type="dxa"/>
              <w:left w:w="15" w:type="dxa"/>
              <w:bottom w:w="0" w:type="dxa"/>
              <w:right w:w="15" w:type="dxa"/>
            </w:tcMar>
            <w:vAlign w:val="bottom"/>
          </w:tcPr>
          <w:p w14:paraId="5F5FCCD4" w14:textId="77777777" w:rsidR="002E474C" w:rsidRDefault="00000000">
            <w:pPr>
              <w:pStyle w:val="A-"/>
            </w:pPr>
            <w:r>
              <w:t>全年</w:t>
            </w:r>
          </w:p>
        </w:tc>
        <w:tc>
          <w:tcPr>
            <w:tcW w:w="256" w:type="pct"/>
            <w:shd w:val="clear" w:color="auto" w:fill="auto"/>
            <w:noWrap/>
            <w:tcMar>
              <w:top w:w="15" w:type="dxa"/>
              <w:left w:w="15" w:type="dxa"/>
              <w:bottom w:w="0" w:type="dxa"/>
              <w:right w:w="15" w:type="dxa"/>
            </w:tcMar>
            <w:vAlign w:val="bottom"/>
          </w:tcPr>
          <w:p w14:paraId="7941B887" w14:textId="77777777" w:rsidR="002E474C" w:rsidRDefault="00000000">
            <w:pPr>
              <w:pStyle w:val="A-"/>
            </w:pPr>
            <w:r>
              <w:t>8.38</w:t>
            </w:r>
          </w:p>
        </w:tc>
        <w:tc>
          <w:tcPr>
            <w:tcW w:w="277" w:type="pct"/>
            <w:shd w:val="clear" w:color="auto" w:fill="auto"/>
            <w:noWrap/>
            <w:tcMar>
              <w:top w:w="15" w:type="dxa"/>
              <w:left w:w="15" w:type="dxa"/>
              <w:bottom w:w="0" w:type="dxa"/>
              <w:right w:w="15" w:type="dxa"/>
            </w:tcMar>
            <w:vAlign w:val="bottom"/>
          </w:tcPr>
          <w:p w14:paraId="6951193D" w14:textId="77777777" w:rsidR="002E474C" w:rsidRDefault="00000000">
            <w:pPr>
              <w:pStyle w:val="A-"/>
            </w:pPr>
            <w:r>
              <w:t>4.19</w:t>
            </w:r>
          </w:p>
        </w:tc>
        <w:tc>
          <w:tcPr>
            <w:tcW w:w="239" w:type="pct"/>
            <w:shd w:val="clear" w:color="auto" w:fill="auto"/>
            <w:noWrap/>
            <w:tcMar>
              <w:top w:w="15" w:type="dxa"/>
              <w:left w:w="15" w:type="dxa"/>
              <w:bottom w:w="0" w:type="dxa"/>
              <w:right w:w="15" w:type="dxa"/>
            </w:tcMar>
            <w:vAlign w:val="bottom"/>
          </w:tcPr>
          <w:p w14:paraId="67421F49" w14:textId="77777777" w:rsidR="002E474C" w:rsidRDefault="00000000">
            <w:pPr>
              <w:pStyle w:val="A-"/>
            </w:pPr>
            <w:r>
              <w:t>2.93</w:t>
            </w:r>
          </w:p>
        </w:tc>
        <w:tc>
          <w:tcPr>
            <w:tcW w:w="263" w:type="pct"/>
            <w:shd w:val="clear" w:color="auto" w:fill="auto"/>
            <w:noWrap/>
            <w:tcMar>
              <w:top w:w="15" w:type="dxa"/>
              <w:left w:w="15" w:type="dxa"/>
              <w:bottom w:w="0" w:type="dxa"/>
              <w:right w:w="15" w:type="dxa"/>
            </w:tcMar>
            <w:vAlign w:val="bottom"/>
          </w:tcPr>
          <w:p w14:paraId="6EB72376" w14:textId="77777777" w:rsidR="002E474C" w:rsidRDefault="00000000">
            <w:pPr>
              <w:pStyle w:val="A-"/>
            </w:pPr>
            <w:r>
              <w:t>2.94</w:t>
            </w:r>
          </w:p>
        </w:tc>
        <w:tc>
          <w:tcPr>
            <w:tcW w:w="253" w:type="pct"/>
            <w:shd w:val="clear" w:color="auto" w:fill="auto"/>
            <w:noWrap/>
            <w:tcMar>
              <w:top w:w="15" w:type="dxa"/>
              <w:left w:w="15" w:type="dxa"/>
              <w:bottom w:w="0" w:type="dxa"/>
              <w:right w:w="15" w:type="dxa"/>
            </w:tcMar>
            <w:vAlign w:val="bottom"/>
          </w:tcPr>
          <w:p w14:paraId="02D84DF2" w14:textId="77777777" w:rsidR="002E474C" w:rsidRDefault="00000000">
            <w:pPr>
              <w:pStyle w:val="A-"/>
            </w:pPr>
            <w:r>
              <w:t>4.72</w:t>
            </w:r>
          </w:p>
        </w:tc>
        <w:tc>
          <w:tcPr>
            <w:tcW w:w="242" w:type="pct"/>
            <w:shd w:val="clear" w:color="auto" w:fill="auto"/>
            <w:noWrap/>
            <w:tcMar>
              <w:top w:w="15" w:type="dxa"/>
              <w:left w:w="15" w:type="dxa"/>
              <w:bottom w:w="0" w:type="dxa"/>
              <w:right w:w="15" w:type="dxa"/>
            </w:tcMar>
            <w:vAlign w:val="bottom"/>
          </w:tcPr>
          <w:p w14:paraId="3F32FBEE" w14:textId="77777777" w:rsidR="002E474C" w:rsidRDefault="00000000">
            <w:pPr>
              <w:pStyle w:val="A-"/>
            </w:pPr>
            <w:r>
              <w:t>2.86</w:t>
            </w:r>
          </w:p>
        </w:tc>
        <w:tc>
          <w:tcPr>
            <w:tcW w:w="239" w:type="pct"/>
            <w:shd w:val="clear" w:color="auto" w:fill="auto"/>
            <w:noWrap/>
            <w:tcMar>
              <w:top w:w="15" w:type="dxa"/>
              <w:left w:w="15" w:type="dxa"/>
              <w:bottom w:w="0" w:type="dxa"/>
              <w:right w:w="15" w:type="dxa"/>
            </w:tcMar>
            <w:vAlign w:val="bottom"/>
          </w:tcPr>
          <w:p w14:paraId="21F7AA17" w14:textId="77777777" w:rsidR="002E474C" w:rsidRDefault="00000000">
            <w:pPr>
              <w:pStyle w:val="A-"/>
            </w:pPr>
            <w:r>
              <w:t>2.43</w:t>
            </w:r>
          </w:p>
        </w:tc>
        <w:tc>
          <w:tcPr>
            <w:tcW w:w="239" w:type="pct"/>
            <w:shd w:val="clear" w:color="auto" w:fill="auto"/>
            <w:noWrap/>
            <w:tcMar>
              <w:top w:w="15" w:type="dxa"/>
              <w:left w:w="15" w:type="dxa"/>
              <w:bottom w:w="0" w:type="dxa"/>
              <w:right w:w="15" w:type="dxa"/>
            </w:tcMar>
            <w:vAlign w:val="bottom"/>
          </w:tcPr>
          <w:p w14:paraId="3544E98E" w14:textId="77777777" w:rsidR="002E474C" w:rsidRDefault="00000000">
            <w:pPr>
              <w:pStyle w:val="A-"/>
            </w:pPr>
            <w:r>
              <w:t>2.08</w:t>
            </w:r>
          </w:p>
        </w:tc>
        <w:tc>
          <w:tcPr>
            <w:tcW w:w="239" w:type="pct"/>
            <w:shd w:val="clear" w:color="auto" w:fill="auto"/>
            <w:noWrap/>
            <w:tcMar>
              <w:top w:w="15" w:type="dxa"/>
              <w:left w:w="15" w:type="dxa"/>
              <w:bottom w:w="0" w:type="dxa"/>
              <w:right w:w="15" w:type="dxa"/>
            </w:tcMar>
            <w:vAlign w:val="bottom"/>
          </w:tcPr>
          <w:p w14:paraId="2FC0C514" w14:textId="77777777" w:rsidR="002E474C" w:rsidRDefault="00000000">
            <w:pPr>
              <w:pStyle w:val="A-"/>
            </w:pPr>
            <w:r>
              <w:t>3.55</w:t>
            </w:r>
          </w:p>
        </w:tc>
        <w:tc>
          <w:tcPr>
            <w:tcW w:w="277" w:type="pct"/>
            <w:shd w:val="clear" w:color="auto" w:fill="auto"/>
            <w:noWrap/>
            <w:tcMar>
              <w:top w:w="15" w:type="dxa"/>
              <w:left w:w="15" w:type="dxa"/>
              <w:bottom w:w="0" w:type="dxa"/>
              <w:right w:w="15" w:type="dxa"/>
            </w:tcMar>
            <w:vAlign w:val="bottom"/>
          </w:tcPr>
          <w:p w14:paraId="1155579A" w14:textId="77777777" w:rsidR="002E474C" w:rsidRDefault="00000000">
            <w:pPr>
              <w:pStyle w:val="A-"/>
            </w:pPr>
            <w:r>
              <w:t>2.66</w:t>
            </w:r>
          </w:p>
        </w:tc>
        <w:tc>
          <w:tcPr>
            <w:tcW w:w="239" w:type="pct"/>
            <w:shd w:val="clear" w:color="auto" w:fill="auto"/>
            <w:noWrap/>
            <w:tcMar>
              <w:top w:w="15" w:type="dxa"/>
              <w:left w:w="15" w:type="dxa"/>
              <w:bottom w:w="0" w:type="dxa"/>
              <w:right w:w="15" w:type="dxa"/>
            </w:tcMar>
            <w:vAlign w:val="bottom"/>
          </w:tcPr>
          <w:p w14:paraId="120E5F6D" w14:textId="77777777" w:rsidR="002E474C" w:rsidRDefault="00000000">
            <w:pPr>
              <w:pStyle w:val="A-"/>
            </w:pPr>
            <w:r>
              <w:t>3.11</w:t>
            </w:r>
          </w:p>
        </w:tc>
        <w:tc>
          <w:tcPr>
            <w:tcW w:w="326" w:type="pct"/>
            <w:shd w:val="clear" w:color="auto" w:fill="auto"/>
            <w:noWrap/>
            <w:tcMar>
              <w:top w:w="15" w:type="dxa"/>
              <w:left w:w="15" w:type="dxa"/>
              <w:bottom w:w="0" w:type="dxa"/>
              <w:right w:w="15" w:type="dxa"/>
            </w:tcMar>
            <w:vAlign w:val="bottom"/>
          </w:tcPr>
          <w:p w14:paraId="4C6FA014" w14:textId="77777777" w:rsidR="002E474C" w:rsidRDefault="00000000">
            <w:pPr>
              <w:pStyle w:val="A-"/>
            </w:pPr>
            <w:r>
              <w:t>1.55</w:t>
            </w:r>
          </w:p>
        </w:tc>
        <w:tc>
          <w:tcPr>
            <w:tcW w:w="239" w:type="pct"/>
            <w:shd w:val="clear" w:color="auto" w:fill="auto"/>
            <w:noWrap/>
            <w:tcMar>
              <w:top w:w="15" w:type="dxa"/>
              <w:left w:w="15" w:type="dxa"/>
              <w:bottom w:w="0" w:type="dxa"/>
              <w:right w:w="15" w:type="dxa"/>
            </w:tcMar>
            <w:vAlign w:val="bottom"/>
          </w:tcPr>
          <w:p w14:paraId="715D040B" w14:textId="77777777" w:rsidR="002E474C" w:rsidRDefault="00000000">
            <w:pPr>
              <w:pStyle w:val="A-"/>
            </w:pPr>
            <w:r>
              <w:t>2.04</w:t>
            </w:r>
          </w:p>
        </w:tc>
        <w:tc>
          <w:tcPr>
            <w:tcW w:w="347" w:type="pct"/>
            <w:shd w:val="clear" w:color="auto" w:fill="auto"/>
            <w:noWrap/>
            <w:tcMar>
              <w:top w:w="15" w:type="dxa"/>
              <w:left w:w="15" w:type="dxa"/>
              <w:bottom w:w="0" w:type="dxa"/>
              <w:right w:w="15" w:type="dxa"/>
            </w:tcMar>
            <w:vAlign w:val="bottom"/>
          </w:tcPr>
          <w:p w14:paraId="1870FF9A" w14:textId="77777777" w:rsidR="002E474C" w:rsidRDefault="00000000">
            <w:pPr>
              <w:pStyle w:val="A-"/>
            </w:pPr>
            <w:r>
              <w:t>1.6</w:t>
            </w:r>
          </w:p>
        </w:tc>
        <w:tc>
          <w:tcPr>
            <w:tcW w:w="239" w:type="pct"/>
            <w:shd w:val="clear" w:color="auto" w:fill="auto"/>
            <w:noWrap/>
            <w:tcMar>
              <w:top w:w="15" w:type="dxa"/>
              <w:left w:w="15" w:type="dxa"/>
              <w:bottom w:w="0" w:type="dxa"/>
              <w:right w:w="15" w:type="dxa"/>
            </w:tcMar>
            <w:vAlign w:val="bottom"/>
          </w:tcPr>
          <w:p w14:paraId="420A761C" w14:textId="77777777" w:rsidR="002E474C" w:rsidRDefault="00000000">
            <w:pPr>
              <w:pStyle w:val="A-"/>
            </w:pPr>
            <w:r>
              <w:t>2.96</w:t>
            </w:r>
          </w:p>
        </w:tc>
        <w:tc>
          <w:tcPr>
            <w:tcW w:w="319" w:type="pct"/>
            <w:shd w:val="clear" w:color="auto" w:fill="auto"/>
            <w:noWrap/>
            <w:tcMar>
              <w:top w:w="15" w:type="dxa"/>
              <w:left w:w="15" w:type="dxa"/>
              <w:bottom w:w="0" w:type="dxa"/>
              <w:right w:w="15" w:type="dxa"/>
            </w:tcMar>
            <w:vAlign w:val="bottom"/>
          </w:tcPr>
          <w:p w14:paraId="2661EEBC" w14:textId="77777777" w:rsidR="002E474C" w:rsidRDefault="00000000">
            <w:pPr>
              <w:pStyle w:val="A-"/>
            </w:pPr>
            <w:r>
              <w:t>3.84</w:t>
            </w:r>
          </w:p>
        </w:tc>
        <w:tc>
          <w:tcPr>
            <w:tcW w:w="270" w:type="pct"/>
            <w:shd w:val="clear" w:color="auto" w:fill="auto"/>
            <w:noWrap/>
            <w:tcMar>
              <w:top w:w="15" w:type="dxa"/>
              <w:left w:w="15" w:type="dxa"/>
              <w:bottom w:w="0" w:type="dxa"/>
              <w:right w:w="15" w:type="dxa"/>
            </w:tcMar>
            <w:vAlign w:val="bottom"/>
          </w:tcPr>
          <w:p w14:paraId="16105E9E" w14:textId="77777777" w:rsidR="002E474C" w:rsidRDefault="00000000">
            <w:pPr>
              <w:pStyle w:val="A-"/>
            </w:pPr>
            <w:r>
              <w:t>3.24</w:t>
            </w:r>
          </w:p>
        </w:tc>
      </w:tr>
      <w:tr w:rsidR="002E474C" w14:paraId="7F620F18" w14:textId="77777777">
        <w:trPr>
          <w:trHeight w:val="285"/>
        </w:trPr>
        <w:tc>
          <w:tcPr>
            <w:tcW w:w="497" w:type="pct"/>
            <w:shd w:val="clear" w:color="auto" w:fill="auto"/>
            <w:noWrap/>
            <w:tcMar>
              <w:top w:w="15" w:type="dxa"/>
              <w:left w:w="15" w:type="dxa"/>
              <w:bottom w:w="0" w:type="dxa"/>
              <w:right w:w="15" w:type="dxa"/>
            </w:tcMar>
            <w:vAlign w:val="bottom"/>
          </w:tcPr>
          <w:p w14:paraId="6929E26E" w14:textId="77777777" w:rsidR="002E474C" w:rsidRDefault="00000000">
            <w:pPr>
              <w:pStyle w:val="A-"/>
            </w:pPr>
            <w:r>
              <w:t>春季</w:t>
            </w:r>
          </w:p>
        </w:tc>
        <w:tc>
          <w:tcPr>
            <w:tcW w:w="256" w:type="pct"/>
            <w:shd w:val="clear" w:color="auto" w:fill="auto"/>
            <w:noWrap/>
            <w:tcMar>
              <w:top w:w="15" w:type="dxa"/>
              <w:left w:w="15" w:type="dxa"/>
              <w:bottom w:w="0" w:type="dxa"/>
              <w:right w:w="15" w:type="dxa"/>
            </w:tcMar>
            <w:vAlign w:val="bottom"/>
          </w:tcPr>
          <w:p w14:paraId="06E09066" w14:textId="77777777" w:rsidR="002E474C" w:rsidRDefault="00000000">
            <w:pPr>
              <w:pStyle w:val="A-"/>
            </w:pPr>
            <w:r>
              <w:t>5.35</w:t>
            </w:r>
          </w:p>
        </w:tc>
        <w:tc>
          <w:tcPr>
            <w:tcW w:w="277" w:type="pct"/>
            <w:shd w:val="clear" w:color="auto" w:fill="auto"/>
            <w:noWrap/>
            <w:tcMar>
              <w:top w:w="15" w:type="dxa"/>
              <w:left w:w="15" w:type="dxa"/>
              <w:bottom w:w="0" w:type="dxa"/>
              <w:right w:w="15" w:type="dxa"/>
            </w:tcMar>
            <w:vAlign w:val="bottom"/>
          </w:tcPr>
          <w:p w14:paraId="701044E3" w14:textId="77777777" w:rsidR="002E474C" w:rsidRDefault="00000000">
            <w:pPr>
              <w:pStyle w:val="A-"/>
            </w:pPr>
            <w:r>
              <w:t>3.33</w:t>
            </w:r>
          </w:p>
        </w:tc>
        <w:tc>
          <w:tcPr>
            <w:tcW w:w="239" w:type="pct"/>
            <w:shd w:val="clear" w:color="auto" w:fill="auto"/>
            <w:noWrap/>
            <w:tcMar>
              <w:top w:w="15" w:type="dxa"/>
              <w:left w:w="15" w:type="dxa"/>
              <w:bottom w:w="0" w:type="dxa"/>
              <w:right w:w="15" w:type="dxa"/>
            </w:tcMar>
            <w:vAlign w:val="bottom"/>
          </w:tcPr>
          <w:p w14:paraId="3B2F9C45" w14:textId="77777777" w:rsidR="002E474C" w:rsidRDefault="00000000">
            <w:pPr>
              <w:pStyle w:val="A-"/>
            </w:pPr>
            <w:r>
              <w:t>3</w:t>
            </w:r>
          </w:p>
        </w:tc>
        <w:tc>
          <w:tcPr>
            <w:tcW w:w="263" w:type="pct"/>
            <w:shd w:val="clear" w:color="auto" w:fill="auto"/>
            <w:noWrap/>
            <w:tcMar>
              <w:top w:w="15" w:type="dxa"/>
              <w:left w:w="15" w:type="dxa"/>
              <w:bottom w:w="0" w:type="dxa"/>
              <w:right w:w="15" w:type="dxa"/>
            </w:tcMar>
            <w:vAlign w:val="bottom"/>
          </w:tcPr>
          <w:p w14:paraId="2C8ADACF" w14:textId="77777777" w:rsidR="002E474C" w:rsidRDefault="00000000">
            <w:pPr>
              <w:pStyle w:val="A-"/>
            </w:pPr>
            <w:r>
              <w:t>3.1</w:t>
            </w:r>
          </w:p>
        </w:tc>
        <w:tc>
          <w:tcPr>
            <w:tcW w:w="253" w:type="pct"/>
            <w:shd w:val="clear" w:color="auto" w:fill="auto"/>
            <w:noWrap/>
            <w:tcMar>
              <w:top w:w="15" w:type="dxa"/>
              <w:left w:w="15" w:type="dxa"/>
              <w:bottom w:w="0" w:type="dxa"/>
              <w:right w:w="15" w:type="dxa"/>
            </w:tcMar>
            <w:vAlign w:val="bottom"/>
          </w:tcPr>
          <w:p w14:paraId="65F90592" w14:textId="77777777" w:rsidR="002E474C" w:rsidRDefault="00000000">
            <w:pPr>
              <w:pStyle w:val="A-"/>
            </w:pPr>
            <w:r>
              <w:t>6.03</w:t>
            </w:r>
          </w:p>
        </w:tc>
        <w:tc>
          <w:tcPr>
            <w:tcW w:w="242" w:type="pct"/>
            <w:shd w:val="clear" w:color="auto" w:fill="auto"/>
            <w:noWrap/>
            <w:tcMar>
              <w:top w:w="15" w:type="dxa"/>
              <w:left w:w="15" w:type="dxa"/>
              <w:bottom w:w="0" w:type="dxa"/>
              <w:right w:w="15" w:type="dxa"/>
            </w:tcMar>
            <w:vAlign w:val="bottom"/>
          </w:tcPr>
          <w:p w14:paraId="1D57B218" w14:textId="77777777" w:rsidR="002E474C" w:rsidRDefault="00000000">
            <w:pPr>
              <w:pStyle w:val="A-"/>
            </w:pPr>
            <w:r>
              <w:t>3.39</w:t>
            </w:r>
          </w:p>
        </w:tc>
        <w:tc>
          <w:tcPr>
            <w:tcW w:w="239" w:type="pct"/>
            <w:shd w:val="clear" w:color="auto" w:fill="auto"/>
            <w:noWrap/>
            <w:tcMar>
              <w:top w:w="15" w:type="dxa"/>
              <w:left w:w="15" w:type="dxa"/>
              <w:bottom w:w="0" w:type="dxa"/>
              <w:right w:w="15" w:type="dxa"/>
            </w:tcMar>
            <w:vAlign w:val="bottom"/>
          </w:tcPr>
          <w:p w14:paraId="48580674" w14:textId="77777777" w:rsidR="002E474C" w:rsidRDefault="00000000">
            <w:pPr>
              <w:pStyle w:val="A-"/>
            </w:pPr>
            <w:r>
              <w:t>2.71</w:t>
            </w:r>
          </w:p>
        </w:tc>
        <w:tc>
          <w:tcPr>
            <w:tcW w:w="239" w:type="pct"/>
            <w:shd w:val="clear" w:color="auto" w:fill="auto"/>
            <w:noWrap/>
            <w:tcMar>
              <w:top w:w="15" w:type="dxa"/>
              <w:left w:w="15" w:type="dxa"/>
              <w:bottom w:w="0" w:type="dxa"/>
              <w:right w:w="15" w:type="dxa"/>
            </w:tcMar>
            <w:vAlign w:val="bottom"/>
          </w:tcPr>
          <w:p w14:paraId="73FC71C5" w14:textId="77777777" w:rsidR="002E474C" w:rsidRDefault="00000000">
            <w:pPr>
              <w:pStyle w:val="A-"/>
            </w:pPr>
            <w:r>
              <w:t>1.85</w:t>
            </w:r>
          </w:p>
        </w:tc>
        <w:tc>
          <w:tcPr>
            <w:tcW w:w="239" w:type="pct"/>
            <w:shd w:val="clear" w:color="auto" w:fill="auto"/>
            <w:noWrap/>
            <w:tcMar>
              <w:top w:w="15" w:type="dxa"/>
              <w:left w:w="15" w:type="dxa"/>
              <w:bottom w:w="0" w:type="dxa"/>
              <w:right w:w="15" w:type="dxa"/>
            </w:tcMar>
            <w:vAlign w:val="bottom"/>
          </w:tcPr>
          <w:p w14:paraId="36A58668" w14:textId="77777777" w:rsidR="002E474C" w:rsidRDefault="00000000">
            <w:pPr>
              <w:pStyle w:val="A-"/>
            </w:pPr>
            <w:r>
              <w:t>2.57</w:t>
            </w:r>
          </w:p>
        </w:tc>
        <w:tc>
          <w:tcPr>
            <w:tcW w:w="277" w:type="pct"/>
            <w:shd w:val="clear" w:color="auto" w:fill="auto"/>
            <w:noWrap/>
            <w:tcMar>
              <w:top w:w="15" w:type="dxa"/>
              <w:left w:w="15" w:type="dxa"/>
              <w:bottom w:w="0" w:type="dxa"/>
              <w:right w:w="15" w:type="dxa"/>
            </w:tcMar>
            <w:vAlign w:val="bottom"/>
          </w:tcPr>
          <w:p w14:paraId="072216BB" w14:textId="77777777" w:rsidR="002E474C" w:rsidRDefault="00000000">
            <w:pPr>
              <w:pStyle w:val="A-"/>
            </w:pPr>
            <w:r>
              <w:t>2.23</w:t>
            </w:r>
          </w:p>
        </w:tc>
        <w:tc>
          <w:tcPr>
            <w:tcW w:w="239" w:type="pct"/>
            <w:shd w:val="clear" w:color="auto" w:fill="auto"/>
            <w:noWrap/>
            <w:tcMar>
              <w:top w:w="15" w:type="dxa"/>
              <w:left w:w="15" w:type="dxa"/>
              <w:bottom w:w="0" w:type="dxa"/>
              <w:right w:w="15" w:type="dxa"/>
            </w:tcMar>
            <w:vAlign w:val="bottom"/>
          </w:tcPr>
          <w:p w14:paraId="41CEBA55" w14:textId="77777777" w:rsidR="002E474C" w:rsidRDefault="00000000">
            <w:pPr>
              <w:pStyle w:val="A-"/>
            </w:pPr>
            <w:r>
              <w:t>2.23</w:t>
            </w:r>
          </w:p>
        </w:tc>
        <w:tc>
          <w:tcPr>
            <w:tcW w:w="326" w:type="pct"/>
            <w:shd w:val="clear" w:color="auto" w:fill="auto"/>
            <w:noWrap/>
            <w:tcMar>
              <w:top w:w="15" w:type="dxa"/>
              <w:left w:w="15" w:type="dxa"/>
              <w:bottom w:w="0" w:type="dxa"/>
              <w:right w:w="15" w:type="dxa"/>
            </w:tcMar>
            <w:vAlign w:val="bottom"/>
          </w:tcPr>
          <w:p w14:paraId="32CF23C6" w14:textId="77777777" w:rsidR="002E474C" w:rsidRDefault="00000000">
            <w:pPr>
              <w:pStyle w:val="A-"/>
            </w:pPr>
            <w:r>
              <w:t>1.24</w:t>
            </w:r>
          </w:p>
        </w:tc>
        <w:tc>
          <w:tcPr>
            <w:tcW w:w="239" w:type="pct"/>
            <w:shd w:val="clear" w:color="auto" w:fill="auto"/>
            <w:noWrap/>
            <w:tcMar>
              <w:top w:w="15" w:type="dxa"/>
              <w:left w:w="15" w:type="dxa"/>
              <w:bottom w:w="0" w:type="dxa"/>
              <w:right w:w="15" w:type="dxa"/>
            </w:tcMar>
            <w:vAlign w:val="bottom"/>
          </w:tcPr>
          <w:p w14:paraId="4F9C350D" w14:textId="77777777" w:rsidR="002E474C" w:rsidRDefault="00000000">
            <w:pPr>
              <w:pStyle w:val="A-"/>
            </w:pPr>
            <w:r>
              <w:t>1.83</w:t>
            </w:r>
          </w:p>
        </w:tc>
        <w:tc>
          <w:tcPr>
            <w:tcW w:w="347" w:type="pct"/>
            <w:shd w:val="clear" w:color="auto" w:fill="auto"/>
            <w:noWrap/>
            <w:tcMar>
              <w:top w:w="15" w:type="dxa"/>
              <w:left w:w="15" w:type="dxa"/>
              <w:bottom w:w="0" w:type="dxa"/>
              <w:right w:w="15" w:type="dxa"/>
            </w:tcMar>
            <w:vAlign w:val="bottom"/>
          </w:tcPr>
          <w:p w14:paraId="36AC108F" w14:textId="77777777" w:rsidR="002E474C" w:rsidRDefault="00000000">
            <w:pPr>
              <w:pStyle w:val="A-"/>
            </w:pPr>
            <w:r>
              <w:t>1.28</w:t>
            </w:r>
          </w:p>
        </w:tc>
        <w:tc>
          <w:tcPr>
            <w:tcW w:w="239" w:type="pct"/>
            <w:shd w:val="clear" w:color="auto" w:fill="auto"/>
            <w:noWrap/>
            <w:tcMar>
              <w:top w:w="15" w:type="dxa"/>
              <w:left w:w="15" w:type="dxa"/>
              <w:bottom w:w="0" w:type="dxa"/>
              <w:right w:w="15" w:type="dxa"/>
            </w:tcMar>
            <w:vAlign w:val="bottom"/>
          </w:tcPr>
          <w:p w14:paraId="020419D1" w14:textId="77777777" w:rsidR="002E474C" w:rsidRDefault="00000000">
            <w:pPr>
              <w:pStyle w:val="A-"/>
            </w:pPr>
            <w:r>
              <w:t>2.31</w:t>
            </w:r>
          </w:p>
        </w:tc>
        <w:tc>
          <w:tcPr>
            <w:tcW w:w="319" w:type="pct"/>
            <w:shd w:val="clear" w:color="auto" w:fill="auto"/>
            <w:noWrap/>
            <w:tcMar>
              <w:top w:w="15" w:type="dxa"/>
              <w:left w:w="15" w:type="dxa"/>
              <w:bottom w:w="0" w:type="dxa"/>
              <w:right w:w="15" w:type="dxa"/>
            </w:tcMar>
            <w:vAlign w:val="bottom"/>
          </w:tcPr>
          <w:p w14:paraId="725F0E8F" w14:textId="77777777" w:rsidR="002E474C" w:rsidRDefault="00000000">
            <w:pPr>
              <w:pStyle w:val="A-"/>
            </w:pPr>
            <w:r>
              <w:t>3.15</w:t>
            </w:r>
          </w:p>
        </w:tc>
        <w:tc>
          <w:tcPr>
            <w:tcW w:w="270" w:type="pct"/>
            <w:shd w:val="clear" w:color="auto" w:fill="auto"/>
            <w:noWrap/>
            <w:tcMar>
              <w:top w:w="15" w:type="dxa"/>
              <w:left w:w="15" w:type="dxa"/>
              <w:bottom w:w="0" w:type="dxa"/>
              <w:right w:w="15" w:type="dxa"/>
            </w:tcMar>
            <w:vAlign w:val="bottom"/>
          </w:tcPr>
          <w:p w14:paraId="43BE8787" w14:textId="77777777" w:rsidR="002E474C" w:rsidRDefault="00000000">
            <w:pPr>
              <w:pStyle w:val="A-"/>
            </w:pPr>
            <w:r>
              <w:t>2.85</w:t>
            </w:r>
          </w:p>
        </w:tc>
      </w:tr>
      <w:tr w:rsidR="002E474C" w14:paraId="67AA9433" w14:textId="77777777">
        <w:trPr>
          <w:trHeight w:val="285"/>
        </w:trPr>
        <w:tc>
          <w:tcPr>
            <w:tcW w:w="497" w:type="pct"/>
            <w:shd w:val="clear" w:color="auto" w:fill="auto"/>
            <w:noWrap/>
            <w:tcMar>
              <w:top w:w="15" w:type="dxa"/>
              <w:left w:w="15" w:type="dxa"/>
              <w:bottom w:w="0" w:type="dxa"/>
              <w:right w:w="15" w:type="dxa"/>
            </w:tcMar>
            <w:vAlign w:val="bottom"/>
          </w:tcPr>
          <w:p w14:paraId="6FEA0FBD" w14:textId="77777777" w:rsidR="002E474C" w:rsidRDefault="00000000">
            <w:pPr>
              <w:pStyle w:val="A-"/>
            </w:pPr>
            <w:r>
              <w:t>夏季</w:t>
            </w:r>
          </w:p>
        </w:tc>
        <w:tc>
          <w:tcPr>
            <w:tcW w:w="256" w:type="pct"/>
            <w:shd w:val="clear" w:color="auto" w:fill="auto"/>
            <w:noWrap/>
            <w:tcMar>
              <w:top w:w="15" w:type="dxa"/>
              <w:left w:w="15" w:type="dxa"/>
              <w:bottom w:w="0" w:type="dxa"/>
              <w:right w:w="15" w:type="dxa"/>
            </w:tcMar>
            <w:vAlign w:val="bottom"/>
          </w:tcPr>
          <w:p w14:paraId="016AC7F7" w14:textId="77777777" w:rsidR="002E474C" w:rsidRDefault="00000000">
            <w:pPr>
              <w:pStyle w:val="A-"/>
            </w:pPr>
            <w:r>
              <w:t>4.14</w:t>
            </w:r>
          </w:p>
        </w:tc>
        <w:tc>
          <w:tcPr>
            <w:tcW w:w="277" w:type="pct"/>
            <w:shd w:val="clear" w:color="auto" w:fill="auto"/>
            <w:noWrap/>
            <w:tcMar>
              <w:top w:w="15" w:type="dxa"/>
              <w:left w:w="15" w:type="dxa"/>
              <w:bottom w:w="0" w:type="dxa"/>
              <w:right w:w="15" w:type="dxa"/>
            </w:tcMar>
            <w:vAlign w:val="bottom"/>
          </w:tcPr>
          <w:p w14:paraId="7885FD68" w14:textId="77777777" w:rsidR="002E474C" w:rsidRDefault="00000000">
            <w:pPr>
              <w:pStyle w:val="A-"/>
            </w:pPr>
            <w:r>
              <w:t>2.38</w:t>
            </w:r>
          </w:p>
        </w:tc>
        <w:tc>
          <w:tcPr>
            <w:tcW w:w="239" w:type="pct"/>
            <w:shd w:val="clear" w:color="auto" w:fill="auto"/>
            <w:noWrap/>
            <w:tcMar>
              <w:top w:w="15" w:type="dxa"/>
              <w:left w:w="15" w:type="dxa"/>
              <w:bottom w:w="0" w:type="dxa"/>
              <w:right w:w="15" w:type="dxa"/>
            </w:tcMar>
            <w:vAlign w:val="bottom"/>
          </w:tcPr>
          <w:p w14:paraId="47578534" w14:textId="77777777" w:rsidR="002E474C" w:rsidRDefault="00000000">
            <w:pPr>
              <w:pStyle w:val="A-"/>
            </w:pPr>
            <w:r>
              <w:t>1.78</w:t>
            </w:r>
          </w:p>
        </w:tc>
        <w:tc>
          <w:tcPr>
            <w:tcW w:w="263" w:type="pct"/>
            <w:shd w:val="clear" w:color="auto" w:fill="auto"/>
            <w:noWrap/>
            <w:tcMar>
              <w:top w:w="15" w:type="dxa"/>
              <w:left w:w="15" w:type="dxa"/>
              <w:bottom w:w="0" w:type="dxa"/>
              <w:right w:w="15" w:type="dxa"/>
            </w:tcMar>
            <w:vAlign w:val="bottom"/>
          </w:tcPr>
          <w:p w14:paraId="039DFC07" w14:textId="77777777" w:rsidR="002E474C" w:rsidRDefault="00000000">
            <w:pPr>
              <w:pStyle w:val="A-"/>
            </w:pPr>
            <w:r>
              <w:t>2.63</w:t>
            </w:r>
          </w:p>
        </w:tc>
        <w:tc>
          <w:tcPr>
            <w:tcW w:w="253" w:type="pct"/>
            <w:shd w:val="clear" w:color="auto" w:fill="auto"/>
            <w:noWrap/>
            <w:tcMar>
              <w:top w:w="15" w:type="dxa"/>
              <w:left w:w="15" w:type="dxa"/>
              <w:bottom w:w="0" w:type="dxa"/>
              <w:right w:w="15" w:type="dxa"/>
            </w:tcMar>
            <w:vAlign w:val="bottom"/>
          </w:tcPr>
          <w:p w14:paraId="5EDA4DBE" w14:textId="77777777" w:rsidR="002E474C" w:rsidRDefault="00000000">
            <w:pPr>
              <w:pStyle w:val="A-"/>
            </w:pPr>
            <w:r>
              <w:t>4.01</w:t>
            </w:r>
          </w:p>
        </w:tc>
        <w:tc>
          <w:tcPr>
            <w:tcW w:w="242" w:type="pct"/>
            <w:shd w:val="clear" w:color="auto" w:fill="auto"/>
            <w:noWrap/>
            <w:tcMar>
              <w:top w:w="15" w:type="dxa"/>
              <w:left w:w="15" w:type="dxa"/>
              <w:bottom w:w="0" w:type="dxa"/>
              <w:right w:w="15" w:type="dxa"/>
            </w:tcMar>
            <w:vAlign w:val="bottom"/>
          </w:tcPr>
          <w:p w14:paraId="77E54A83" w14:textId="77777777" w:rsidR="002E474C" w:rsidRDefault="00000000">
            <w:pPr>
              <w:pStyle w:val="A-"/>
            </w:pPr>
            <w:r>
              <w:t>2.19</w:t>
            </w:r>
          </w:p>
        </w:tc>
        <w:tc>
          <w:tcPr>
            <w:tcW w:w="239" w:type="pct"/>
            <w:shd w:val="clear" w:color="auto" w:fill="auto"/>
            <w:noWrap/>
            <w:tcMar>
              <w:top w:w="15" w:type="dxa"/>
              <w:left w:w="15" w:type="dxa"/>
              <w:bottom w:w="0" w:type="dxa"/>
              <w:right w:w="15" w:type="dxa"/>
            </w:tcMar>
            <w:vAlign w:val="bottom"/>
          </w:tcPr>
          <w:p w14:paraId="32687149" w14:textId="77777777" w:rsidR="002E474C" w:rsidRDefault="00000000">
            <w:pPr>
              <w:pStyle w:val="A-"/>
            </w:pPr>
            <w:r>
              <w:t>1.61</w:t>
            </w:r>
          </w:p>
        </w:tc>
        <w:tc>
          <w:tcPr>
            <w:tcW w:w="239" w:type="pct"/>
            <w:shd w:val="clear" w:color="auto" w:fill="auto"/>
            <w:noWrap/>
            <w:tcMar>
              <w:top w:w="15" w:type="dxa"/>
              <w:left w:w="15" w:type="dxa"/>
              <w:bottom w:w="0" w:type="dxa"/>
              <w:right w:w="15" w:type="dxa"/>
            </w:tcMar>
            <w:vAlign w:val="bottom"/>
          </w:tcPr>
          <w:p w14:paraId="6BCED45C" w14:textId="77777777" w:rsidR="002E474C" w:rsidRDefault="00000000">
            <w:pPr>
              <w:pStyle w:val="A-"/>
            </w:pPr>
            <w:r>
              <w:t>1.23</w:t>
            </w:r>
          </w:p>
        </w:tc>
        <w:tc>
          <w:tcPr>
            <w:tcW w:w="239" w:type="pct"/>
            <w:shd w:val="clear" w:color="auto" w:fill="auto"/>
            <w:noWrap/>
            <w:tcMar>
              <w:top w:w="15" w:type="dxa"/>
              <w:left w:w="15" w:type="dxa"/>
              <w:bottom w:w="0" w:type="dxa"/>
              <w:right w:w="15" w:type="dxa"/>
            </w:tcMar>
            <w:vAlign w:val="bottom"/>
          </w:tcPr>
          <w:p w14:paraId="78B5BB43" w14:textId="77777777" w:rsidR="002E474C" w:rsidRDefault="00000000">
            <w:pPr>
              <w:pStyle w:val="A-"/>
            </w:pPr>
            <w:r>
              <w:t>2.5</w:t>
            </w:r>
          </w:p>
        </w:tc>
        <w:tc>
          <w:tcPr>
            <w:tcW w:w="277" w:type="pct"/>
            <w:shd w:val="clear" w:color="auto" w:fill="auto"/>
            <w:noWrap/>
            <w:tcMar>
              <w:top w:w="15" w:type="dxa"/>
              <w:left w:w="15" w:type="dxa"/>
              <w:bottom w:w="0" w:type="dxa"/>
              <w:right w:w="15" w:type="dxa"/>
            </w:tcMar>
            <w:vAlign w:val="bottom"/>
          </w:tcPr>
          <w:p w14:paraId="6EDE04A1" w14:textId="77777777" w:rsidR="002E474C" w:rsidRDefault="00000000">
            <w:pPr>
              <w:pStyle w:val="A-"/>
            </w:pPr>
            <w:r>
              <w:t>2.92</w:t>
            </w:r>
          </w:p>
        </w:tc>
        <w:tc>
          <w:tcPr>
            <w:tcW w:w="239" w:type="pct"/>
            <w:shd w:val="clear" w:color="auto" w:fill="auto"/>
            <w:noWrap/>
            <w:tcMar>
              <w:top w:w="15" w:type="dxa"/>
              <w:left w:w="15" w:type="dxa"/>
              <w:bottom w:w="0" w:type="dxa"/>
              <w:right w:w="15" w:type="dxa"/>
            </w:tcMar>
            <w:vAlign w:val="bottom"/>
          </w:tcPr>
          <w:p w14:paraId="5664881A" w14:textId="77777777" w:rsidR="002E474C" w:rsidRDefault="00000000">
            <w:pPr>
              <w:pStyle w:val="A-"/>
            </w:pPr>
            <w:r>
              <w:t>4.94</w:t>
            </w:r>
          </w:p>
        </w:tc>
        <w:tc>
          <w:tcPr>
            <w:tcW w:w="326" w:type="pct"/>
            <w:shd w:val="clear" w:color="auto" w:fill="auto"/>
            <w:noWrap/>
            <w:tcMar>
              <w:top w:w="15" w:type="dxa"/>
              <w:left w:w="15" w:type="dxa"/>
              <w:bottom w:w="0" w:type="dxa"/>
              <w:right w:w="15" w:type="dxa"/>
            </w:tcMar>
            <w:vAlign w:val="bottom"/>
          </w:tcPr>
          <w:p w14:paraId="69C631C6" w14:textId="77777777" w:rsidR="002E474C" w:rsidRDefault="00000000">
            <w:pPr>
              <w:pStyle w:val="A-"/>
            </w:pPr>
            <w:r>
              <w:t>2.11</w:t>
            </w:r>
          </w:p>
        </w:tc>
        <w:tc>
          <w:tcPr>
            <w:tcW w:w="239" w:type="pct"/>
            <w:shd w:val="clear" w:color="auto" w:fill="auto"/>
            <w:noWrap/>
            <w:tcMar>
              <w:top w:w="15" w:type="dxa"/>
              <w:left w:w="15" w:type="dxa"/>
              <w:bottom w:w="0" w:type="dxa"/>
              <w:right w:w="15" w:type="dxa"/>
            </w:tcMar>
            <w:vAlign w:val="bottom"/>
          </w:tcPr>
          <w:p w14:paraId="73705B15" w14:textId="77777777" w:rsidR="002E474C" w:rsidRDefault="00000000">
            <w:pPr>
              <w:pStyle w:val="A-"/>
            </w:pPr>
            <w:r>
              <w:t>2.33</w:t>
            </w:r>
          </w:p>
        </w:tc>
        <w:tc>
          <w:tcPr>
            <w:tcW w:w="347" w:type="pct"/>
            <w:shd w:val="clear" w:color="auto" w:fill="auto"/>
            <w:noWrap/>
            <w:tcMar>
              <w:top w:w="15" w:type="dxa"/>
              <w:left w:w="15" w:type="dxa"/>
              <w:bottom w:w="0" w:type="dxa"/>
              <w:right w:w="15" w:type="dxa"/>
            </w:tcMar>
            <w:vAlign w:val="bottom"/>
          </w:tcPr>
          <w:p w14:paraId="386332E2" w14:textId="77777777" w:rsidR="002E474C" w:rsidRDefault="00000000">
            <w:pPr>
              <w:pStyle w:val="A-"/>
            </w:pPr>
            <w:r>
              <w:t>1.73</w:t>
            </w:r>
          </w:p>
        </w:tc>
        <w:tc>
          <w:tcPr>
            <w:tcW w:w="239" w:type="pct"/>
            <w:shd w:val="clear" w:color="auto" w:fill="auto"/>
            <w:noWrap/>
            <w:tcMar>
              <w:top w:w="15" w:type="dxa"/>
              <w:left w:w="15" w:type="dxa"/>
              <w:bottom w:w="0" w:type="dxa"/>
              <w:right w:w="15" w:type="dxa"/>
            </w:tcMar>
            <w:vAlign w:val="bottom"/>
          </w:tcPr>
          <w:p w14:paraId="50A3E47D" w14:textId="77777777" w:rsidR="002E474C" w:rsidRDefault="00000000">
            <w:pPr>
              <w:pStyle w:val="A-"/>
            </w:pPr>
            <w:r>
              <w:t>2.09</w:t>
            </w:r>
          </w:p>
        </w:tc>
        <w:tc>
          <w:tcPr>
            <w:tcW w:w="319" w:type="pct"/>
            <w:shd w:val="clear" w:color="auto" w:fill="auto"/>
            <w:noWrap/>
            <w:tcMar>
              <w:top w:w="15" w:type="dxa"/>
              <w:left w:w="15" w:type="dxa"/>
              <w:bottom w:w="0" w:type="dxa"/>
              <w:right w:w="15" w:type="dxa"/>
            </w:tcMar>
            <w:vAlign w:val="bottom"/>
          </w:tcPr>
          <w:p w14:paraId="3A8167D4" w14:textId="77777777" w:rsidR="002E474C" w:rsidRDefault="00000000">
            <w:pPr>
              <w:pStyle w:val="A-"/>
            </w:pPr>
            <w:r>
              <w:t>2.5</w:t>
            </w:r>
          </w:p>
        </w:tc>
        <w:tc>
          <w:tcPr>
            <w:tcW w:w="270" w:type="pct"/>
            <w:shd w:val="clear" w:color="auto" w:fill="auto"/>
            <w:noWrap/>
            <w:tcMar>
              <w:top w:w="15" w:type="dxa"/>
              <w:left w:w="15" w:type="dxa"/>
              <w:bottom w:w="0" w:type="dxa"/>
              <w:right w:w="15" w:type="dxa"/>
            </w:tcMar>
            <w:vAlign w:val="bottom"/>
          </w:tcPr>
          <w:p w14:paraId="1178F062" w14:textId="77777777" w:rsidR="002E474C" w:rsidRDefault="00000000">
            <w:pPr>
              <w:pStyle w:val="A-"/>
            </w:pPr>
            <w:r>
              <w:t>2.57</w:t>
            </w:r>
          </w:p>
        </w:tc>
      </w:tr>
      <w:tr w:rsidR="002E474C" w14:paraId="2CF24B6C" w14:textId="77777777">
        <w:trPr>
          <w:trHeight w:val="285"/>
        </w:trPr>
        <w:tc>
          <w:tcPr>
            <w:tcW w:w="497" w:type="pct"/>
            <w:shd w:val="clear" w:color="auto" w:fill="auto"/>
            <w:noWrap/>
            <w:tcMar>
              <w:top w:w="15" w:type="dxa"/>
              <w:left w:w="15" w:type="dxa"/>
              <w:bottom w:w="0" w:type="dxa"/>
              <w:right w:w="15" w:type="dxa"/>
            </w:tcMar>
            <w:vAlign w:val="bottom"/>
          </w:tcPr>
          <w:p w14:paraId="16045600" w14:textId="77777777" w:rsidR="002E474C" w:rsidRDefault="00000000">
            <w:pPr>
              <w:pStyle w:val="A-"/>
            </w:pPr>
            <w:r>
              <w:t>秋季</w:t>
            </w:r>
          </w:p>
        </w:tc>
        <w:tc>
          <w:tcPr>
            <w:tcW w:w="256" w:type="pct"/>
            <w:shd w:val="clear" w:color="auto" w:fill="auto"/>
            <w:noWrap/>
            <w:tcMar>
              <w:top w:w="15" w:type="dxa"/>
              <w:left w:w="15" w:type="dxa"/>
              <w:bottom w:w="0" w:type="dxa"/>
              <w:right w:w="15" w:type="dxa"/>
            </w:tcMar>
            <w:vAlign w:val="bottom"/>
          </w:tcPr>
          <w:p w14:paraId="3F63FFF0" w14:textId="77777777" w:rsidR="002E474C" w:rsidRDefault="00000000">
            <w:pPr>
              <w:pStyle w:val="A-"/>
            </w:pPr>
            <w:r>
              <w:t>10.7</w:t>
            </w:r>
          </w:p>
        </w:tc>
        <w:tc>
          <w:tcPr>
            <w:tcW w:w="277" w:type="pct"/>
            <w:shd w:val="clear" w:color="auto" w:fill="auto"/>
            <w:noWrap/>
            <w:tcMar>
              <w:top w:w="15" w:type="dxa"/>
              <w:left w:w="15" w:type="dxa"/>
              <w:bottom w:w="0" w:type="dxa"/>
              <w:right w:w="15" w:type="dxa"/>
            </w:tcMar>
            <w:vAlign w:val="bottom"/>
          </w:tcPr>
          <w:p w14:paraId="7A5E6E07" w14:textId="77777777" w:rsidR="002E474C" w:rsidRDefault="00000000">
            <w:pPr>
              <w:pStyle w:val="A-"/>
            </w:pPr>
            <w:r>
              <w:t>4.89</w:t>
            </w:r>
          </w:p>
        </w:tc>
        <w:tc>
          <w:tcPr>
            <w:tcW w:w="239" w:type="pct"/>
            <w:shd w:val="clear" w:color="auto" w:fill="auto"/>
            <w:noWrap/>
            <w:tcMar>
              <w:top w:w="15" w:type="dxa"/>
              <w:left w:w="15" w:type="dxa"/>
              <w:bottom w:w="0" w:type="dxa"/>
              <w:right w:w="15" w:type="dxa"/>
            </w:tcMar>
            <w:vAlign w:val="bottom"/>
          </w:tcPr>
          <w:p w14:paraId="13B00C90" w14:textId="77777777" w:rsidR="002E474C" w:rsidRDefault="00000000">
            <w:pPr>
              <w:pStyle w:val="A-"/>
            </w:pPr>
            <w:r>
              <w:t>3.02</w:t>
            </w:r>
          </w:p>
        </w:tc>
        <w:tc>
          <w:tcPr>
            <w:tcW w:w="263" w:type="pct"/>
            <w:shd w:val="clear" w:color="auto" w:fill="auto"/>
            <w:noWrap/>
            <w:tcMar>
              <w:top w:w="15" w:type="dxa"/>
              <w:left w:w="15" w:type="dxa"/>
              <w:bottom w:w="0" w:type="dxa"/>
              <w:right w:w="15" w:type="dxa"/>
            </w:tcMar>
            <w:vAlign w:val="bottom"/>
          </w:tcPr>
          <w:p w14:paraId="63DEBA44" w14:textId="77777777" w:rsidR="002E474C" w:rsidRDefault="00000000">
            <w:pPr>
              <w:pStyle w:val="A-"/>
            </w:pPr>
            <w:r>
              <w:t>3.51</w:t>
            </w:r>
          </w:p>
        </w:tc>
        <w:tc>
          <w:tcPr>
            <w:tcW w:w="253" w:type="pct"/>
            <w:shd w:val="clear" w:color="auto" w:fill="auto"/>
            <w:noWrap/>
            <w:tcMar>
              <w:top w:w="15" w:type="dxa"/>
              <w:left w:w="15" w:type="dxa"/>
              <w:bottom w:w="0" w:type="dxa"/>
              <w:right w:w="15" w:type="dxa"/>
            </w:tcMar>
            <w:vAlign w:val="bottom"/>
          </w:tcPr>
          <w:p w14:paraId="729CA741" w14:textId="77777777" w:rsidR="002E474C" w:rsidRDefault="00000000">
            <w:pPr>
              <w:pStyle w:val="A-"/>
            </w:pPr>
            <w:r>
              <w:t>4.89</w:t>
            </w:r>
          </w:p>
        </w:tc>
        <w:tc>
          <w:tcPr>
            <w:tcW w:w="242" w:type="pct"/>
            <w:shd w:val="clear" w:color="auto" w:fill="auto"/>
            <w:noWrap/>
            <w:tcMar>
              <w:top w:w="15" w:type="dxa"/>
              <w:left w:w="15" w:type="dxa"/>
              <w:bottom w:w="0" w:type="dxa"/>
              <w:right w:w="15" w:type="dxa"/>
            </w:tcMar>
            <w:vAlign w:val="bottom"/>
          </w:tcPr>
          <w:p w14:paraId="7EC95FAC" w14:textId="77777777" w:rsidR="002E474C" w:rsidRDefault="00000000">
            <w:pPr>
              <w:pStyle w:val="A-"/>
            </w:pPr>
            <w:r>
              <w:t>2.96</w:t>
            </w:r>
          </w:p>
        </w:tc>
        <w:tc>
          <w:tcPr>
            <w:tcW w:w="239" w:type="pct"/>
            <w:shd w:val="clear" w:color="auto" w:fill="auto"/>
            <w:noWrap/>
            <w:tcMar>
              <w:top w:w="15" w:type="dxa"/>
              <w:left w:w="15" w:type="dxa"/>
              <w:bottom w:w="0" w:type="dxa"/>
              <w:right w:w="15" w:type="dxa"/>
            </w:tcMar>
            <w:vAlign w:val="bottom"/>
          </w:tcPr>
          <w:p w14:paraId="0E683B74" w14:textId="77777777" w:rsidR="002E474C" w:rsidRDefault="00000000">
            <w:pPr>
              <w:pStyle w:val="A-"/>
            </w:pPr>
            <w:r>
              <w:t>2.29</w:t>
            </w:r>
          </w:p>
        </w:tc>
        <w:tc>
          <w:tcPr>
            <w:tcW w:w="239" w:type="pct"/>
            <w:shd w:val="clear" w:color="auto" w:fill="auto"/>
            <w:noWrap/>
            <w:tcMar>
              <w:top w:w="15" w:type="dxa"/>
              <w:left w:w="15" w:type="dxa"/>
              <w:bottom w:w="0" w:type="dxa"/>
              <w:right w:w="15" w:type="dxa"/>
            </w:tcMar>
            <w:vAlign w:val="bottom"/>
          </w:tcPr>
          <w:p w14:paraId="4FBD8F41" w14:textId="77777777" w:rsidR="002E474C" w:rsidRDefault="00000000">
            <w:pPr>
              <w:pStyle w:val="A-"/>
            </w:pPr>
            <w:r>
              <w:t>2.19</w:t>
            </w:r>
          </w:p>
        </w:tc>
        <w:tc>
          <w:tcPr>
            <w:tcW w:w="239" w:type="pct"/>
            <w:shd w:val="clear" w:color="auto" w:fill="auto"/>
            <w:noWrap/>
            <w:tcMar>
              <w:top w:w="15" w:type="dxa"/>
              <w:left w:w="15" w:type="dxa"/>
              <w:bottom w:w="0" w:type="dxa"/>
              <w:right w:w="15" w:type="dxa"/>
            </w:tcMar>
            <w:vAlign w:val="bottom"/>
          </w:tcPr>
          <w:p w14:paraId="362DA0B5" w14:textId="77777777" w:rsidR="002E474C" w:rsidRDefault="00000000">
            <w:pPr>
              <w:pStyle w:val="A-"/>
            </w:pPr>
            <w:r>
              <w:t>3.7</w:t>
            </w:r>
          </w:p>
        </w:tc>
        <w:tc>
          <w:tcPr>
            <w:tcW w:w="277" w:type="pct"/>
            <w:shd w:val="clear" w:color="auto" w:fill="auto"/>
            <w:noWrap/>
            <w:tcMar>
              <w:top w:w="15" w:type="dxa"/>
              <w:left w:w="15" w:type="dxa"/>
              <w:bottom w:w="0" w:type="dxa"/>
              <w:right w:w="15" w:type="dxa"/>
            </w:tcMar>
            <w:vAlign w:val="bottom"/>
          </w:tcPr>
          <w:p w14:paraId="0F7B0F68" w14:textId="77777777" w:rsidR="002E474C" w:rsidRDefault="00000000">
            <w:pPr>
              <w:pStyle w:val="A-"/>
            </w:pPr>
            <w:r>
              <w:t>2.34</w:t>
            </w:r>
          </w:p>
        </w:tc>
        <w:tc>
          <w:tcPr>
            <w:tcW w:w="239" w:type="pct"/>
            <w:shd w:val="clear" w:color="auto" w:fill="auto"/>
            <w:noWrap/>
            <w:tcMar>
              <w:top w:w="15" w:type="dxa"/>
              <w:left w:w="15" w:type="dxa"/>
              <w:bottom w:w="0" w:type="dxa"/>
              <w:right w:w="15" w:type="dxa"/>
            </w:tcMar>
            <w:vAlign w:val="bottom"/>
          </w:tcPr>
          <w:p w14:paraId="7F0ABF7A" w14:textId="77777777" w:rsidR="002E474C" w:rsidRDefault="00000000">
            <w:pPr>
              <w:pStyle w:val="A-"/>
            </w:pPr>
            <w:r>
              <w:t>2.87</w:t>
            </w:r>
          </w:p>
        </w:tc>
        <w:tc>
          <w:tcPr>
            <w:tcW w:w="326" w:type="pct"/>
            <w:shd w:val="clear" w:color="auto" w:fill="auto"/>
            <w:noWrap/>
            <w:tcMar>
              <w:top w:w="15" w:type="dxa"/>
              <w:left w:w="15" w:type="dxa"/>
              <w:bottom w:w="0" w:type="dxa"/>
              <w:right w:w="15" w:type="dxa"/>
            </w:tcMar>
            <w:vAlign w:val="bottom"/>
          </w:tcPr>
          <w:p w14:paraId="5A609C16" w14:textId="77777777" w:rsidR="002E474C" w:rsidRDefault="00000000">
            <w:pPr>
              <w:pStyle w:val="A-"/>
            </w:pPr>
            <w:r>
              <w:t>1.65</w:t>
            </w:r>
          </w:p>
        </w:tc>
        <w:tc>
          <w:tcPr>
            <w:tcW w:w="239" w:type="pct"/>
            <w:shd w:val="clear" w:color="auto" w:fill="auto"/>
            <w:noWrap/>
            <w:tcMar>
              <w:top w:w="15" w:type="dxa"/>
              <w:left w:w="15" w:type="dxa"/>
              <w:bottom w:w="0" w:type="dxa"/>
              <w:right w:w="15" w:type="dxa"/>
            </w:tcMar>
            <w:vAlign w:val="bottom"/>
          </w:tcPr>
          <w:p w14:paraId="4750E011" w14:textId="77777777" w:rsidR="002E474C" w:rsidRDefault="00000000">
            <w:pPr>
              <w:pStyle w:val="A-"/>
            </w:pPr>
            <w:r>
              <w:t>1.95</w:t>
            </w:r>
          </w:p>
        </w:tc>
        <w:tc>
          <w:tcPr>
            <w:tcW w:w="347" w:type="pct"/>
            <w:shd w:val="clear" w:color="auto" w:fill="auto"/>
            <w:noWrap/>
            <w:tcMar>
              <w:top w:w="15" w:type="dxa"/>
              <w:left w:w="15" w:type="dxa"/>
              <w:bottom w:w="0" w:type="dxa"/>
              <w:right w:w="15" w:type="dxa"/>
            </w:tcMar>
            <w:vAlign w:val="bottom"/>
          </w:tcPr>
          <w:p w14:paraId="04B0D17C" w14:textId="77777777" w:rsidR="002E474C" w:rsidRDefault="00000000">
            <w:pPr>
              <w:pStyle w:val="A-"/>
            </w:pPr>
            <w:r>
              <w:t>1.94</w:t>
            </w:r>
          </w:p>
        </w:tc>
        <w:tc>
          <w:tcPr>
            <w:tcW w:w="239" w:type="pct"/>
            <w:shd w:val="clear" w:color="auto" w:fill="auto"/>
            <w:noWrap/>
            <w:tcMar>
              <w:top w:w="15" w:type="dxa"/>
              <w:left w:w="15" w:type="dxa"/>
              <w:bottom w:w="0" w:type="dxa"/>
              <w:right w:w="15" w:type="dxa"/>
            </w:tcMar>
            <w:vAlign w:val="bottom"/>
          </w:tcPr>
          <w:p w14:paraId="0E612557" w14:textId="77777777" w:rsidR="002E474C" w:rsidRDefault="00000000">
            <w:pPr>
              <w:pStyle w:val="A-"/>
            </w:pPr>
            <w:r>
              <w:t>3.54</w:t>
            </w:r>
          </w:p>
        </w:tc>
        <w:tc>
          <w:tcPr>
            <w:tcW w:w="319" w:type="pct"/>
            <w:shd w:val="clear" w:color="auto" w:fill="auto"/>
            <w:noWrap/>
            <w:tcMar>
              <w:top w:w="15" w:type="dxa"/>
              <w:left w:w="15" w:type="dxa"/>
              <w:bottom w:w="0" w:type="dxa"/>
              <w:right w:w="15" w:type="dxa"/>
            </w:tcMar>
            <w:vAlign w:val="bottom"/>
          </w:tcPr>
          <w:p w14:paraId="3FE24349" w14:textId="77777777" w:rsidR="002E474C" w:rsidRDefault="00000000">
            <w:pPr>
              <w:pStyle w:val="A-"/>
            </w:pPr>
            <w:r>
              <w:t>4.26</w:t>
            </w:r>
          </w:p>
        </w:tc>
        <w:tc>
          <w:tcPr>
            <w:tcW w:w="270" w:type="pct"/>
            <w:shd w:val="clear" w:color="auto" w:fill="auto"/>
            <w:noWrap/>
            <w:tcMar>
              <w:top w:w="15" w:type="dxa"/>
              <w:left w:w="15" w:type="dxa"/>
              <w:bottom w:w="0" w:type="dxa"/>
              <w:right w:w="15" w:type="dxa"/>
            </w:tcMar>
            <w:vAlign w:val="bottom"/>
          </w:tcPr>
          <w:p w14:paraId="663C28B3" w14:textId="77777777" w:rsidR="002E474C" w:rsidRDefault="00000000">
            <w:pPr>
              <w:pStyle w:val="A-"/>
            </w:pPr>
            <w:r>
              <w:t>3.54</w:t>
            </w:r>
          </w:p>
        </w:tc>
      </w:tr>
      <w:tr w:rsidR="002E474C" w14:paraId="19D95CB2" w14:textId="77777777">
        <w:trPr>
          <w:trHeight w:val="285"/>
        </w:trPr>
        <w:tc>
          <w:tcPr>
            <w:tcW w:w="497" w:type="pct"/>
            <w:shd w:val="clear" w:color="auto" w:fill="auto"/>
            <w:noWrap/>
            <w:tcMar>
              <w:top w:w="15" w:type="dxa"/>
              <w:left w:w="15" w:type="dxa"/>
              <w:bottom w:w="0" w:type="dxa"/>
              <w:right w:w="15" w:type="dxa"/>
            </w:tcMar>
            <w:vAlign w:val="bottom"/>
          </w:tcPr>
          <w:p w14:paraId="66443364" w14:textId="77777777" w:rsidR="002E474C" w:rsidRDefault="00000000">
            <w:pPr>
              <w:pStyle w:val="A-"/>
            </w:pPr>
            <w:r>
              <w:t>冬季</w:t>
            </w:r>
          </w:p>
        </w:tc>
        <w:tc>
          <w:tcPr>
            <w:tcW w:w="256" w:type="pct"/>
            <w:shd w:val="clear" w:color="auto" w:fill="auto"/>
            <w:noWrap/>
            <w:tcMar>
              <w:top w:w="15" w:type="dxa"/>
              <w:left w:w="15" w:type="dxa"/>
              <w:bottom w:w="0" w:type="dxa"/>
              <w:right w:w="15" w:type="dxa"/>
            </w:tcMar>
            <w:vAlign w:val="bottom"/>
          </w:tcPr>
          <w:p w14:paraId="61747644" w14:textId="77777777" w:rsidR="002E474C" w:rsidRDefault="00000000">
            <w:pPr>
              <w:pStyle w:val="A-"/>
            </w:pPr>
            <w:r>
              <w:t>15.41</w:t>
            </w:r>
          </w:p>
        </w:tc>
        <w:tc>
          <w:tcPr>
            <w:tcW w:w="277" w:type="pct"/>
            <w:shd w:val="clear" w:color="auto" w:fill="auto"/>
            <w:noWrap/>
            <w:tcMar>
              <w:top w:w="15" w:type="dxa"/>
              <w:left w:w="15" w:type="dxa"/>
              <w:bottom w:w="0" w:type="dxa"/>
              <w:right w:w="15" w:type="dxa"/>
            </w:tcMar>
            <w:vAlign w:val="bottom"/>
          </w:tcPr>
          <w:p w14:paraId="4BEA00F8" w14:textId="77777777" w:rsidR="002E474C" w:rsidRDefault="00000000">
            <w:pPr>
              <w:pStyle w:val="A-"/>
            </w:pPr>
            <w:r>
              <w:t>6.58</w:t>
            </w:r>
          </w:p>
        </w:tc>
        <w:tc>
          <w:tcPr>
            <w:tcW w:w="239" w:type="pct"/>
            <w:shd w:val="clear" w:color="auto" w:fill="auto"/>
            <w:noWrap/>
            <w:tcMar>
              <w:top w:w="15" w:type="dxa"/>
              <w:left w:w="15" w:type="dxa"/>
              <w:bottom w:w="0" w:type="dxa"/>
              <w:right w:w="15" w:type="dxa"/>
            </w:tcMar>
            <w:vAlign w:val="bottom"/>
          </w:tcPr>
          <w:p w14:paraId="6B340401" w14:textId="77777777" w:rsidR="002E474C" w:rsidRDefault="00000000">
            <w:pPr>
              <w:pStyle w:val="A-"/>
            </w:pPr>
            <w:r>
              <w:t>4.23</w:t>
            </w:r>
          </w:p>
        </w:tc>
        <w:tc>
          <w:tcPr>
            <w:tcW w:w="263" w:type="pct"/>
            <w:shd w:val="clear" w:color="auto" w:fill="auto"/>
            <w:noWrap/>
            <w:tcMar>
              <w:top w:w="15" w:type="dxa"/>
              <w:left w:w="15" w:type="dxa"/>
              <w:bottom w:w="0" w:type="dxa"/>
              <w:right w:w="15" w:type="dxa"/>
            </w:tcMar>
            <w:vAlign w:val="bottom"/>
          </w:tcPr>
          <w:p w14:paraId="458A995E" w14:textId="77777777" w:rsidR="002E474C" w:rsidRDefault="00000000">
            <w:pPr>
              <w:pStyle w:val="A-"/>
            </w:pPr>
            <w:r>
              <w:t>2.88</w:t>
            </w:r>
          </w:p>
        </w:tc>
        <w:tc>
          <w:tcPr>
            <w:tcW w:w="253" w:type="pct"/>
            <w:shd w:val="clear" w:color="auto" w:fill="auto"/>
            <w:noWrap/>
            <w:tcMar>
              <w:top w:w="15" w:type="dxa"/>
              <w:left w:w="15" w:type="dxa"/>
              <w:bottom w:w="0" w:type="dxa"/>
              <w:right w:w="15" w:type="dxa"/>
            </w:tcMar>
            <w:vAlign w:val="bottom"/>
          </w:tcPr>
          <w:p w14:paraId="712A807D" w14:textId="77777777" w:rsidR="002E474C" w:rsidRDefault="00000000">
            <w:pPr>
              <w:pStyle w:val="A-"/>
            </w:pPr>
            <w:r>
              <w:t>4.5</w:t>
            </w:r>
          </w:p>
        </w:tc>
        <w:tc>
          <w:tcPr>
            <w:tcW w:w="242" w:type="pct"/>
            <w:shd w:val="clear" w:color="auto" w:fill="auto"/>
            <w:noWrap/>
            <w:tcMar>
              <w:top w:w="15" w:type="dxa"/>
              <w:left w:w="15" w:type="dxa"/>
              <w:bottom w:w="0" w:type="dxa"/>
              <w:right w:w="15" w:type="dxa"/>
            </w:tcMar>
            <w:vAlign w:val="bottom"/>
          </w:tcPr>
          <w:p w14:paraId="06903758" w14:textId="77777777" w:rsidR="002E474C" w:rsidRDefault="00000000">
            <w:pPr>
              <w:pStyle w:val="A-"/>
            </w:pPr>
            <w:r>
              <w:t>3.35</w:t>
            </w:r>
          </w:p>
        </w:tc>
        <w:tc>
          <w:tcPr>
            <w:tcW w:w="239" w:type="pct"/>
            <w:shd w:val="clear" w:color="auto" w:fill="auto"/>
            <w:noWrap/>
            <w:tcMar>
              <w:top w:w="15" w:type="dxa"/>
              <w:left w:w="15" w:type="dxa"/>
              <w:bottom w:w="0" w:type="dxa"/>
              <w:right w:w="15" w:type="dxa"/>
            </w:tcMar>
            <w:vAlign w:val="bottom"/>
          </w:tcPr>
          <w:p w14:paraId="65A7EF3A" w14:textId="77777777" w:rsidR="002E474C" w:rsidRDefault="00000000">
            <w:pPr>
              <w:pStyle w:val="A-"/>
            </w:pPr>
            <w:r>
              <w:t>3.36</w:t>
            </w:r>
          </w:p>
        </w:tc>
        <w:tc>
          <w:tcPr>
            <w:tcW w:w="239" w:type="pct"/>
            <w:shd w:val="clear" w:color="auto" w:fill="auto"/>
            <w:noWrap/>
            <w:tcMar>
              <w:top w:w="15" w:type="dxa"/>
              <w:left w:w="15" w:type="dxa"/>
              <w:bottom w:w="0" w:type="dxa"/>
              <w:right w:w="15" w:type="dxa"/>
            </w:tcMar>
            <w:vAlign w:val="bottom"/>
          </w:tcPr>
          <w:p w14:paraId="7691701D" w14:textId="77777777" w:rsidR="002E474C" w:rsidRDefault="00000000">
            <w:pPr>
              <w:pStyle w:val="A-"/>
            </w:pPr>
            <w:r>
              <w:t>3.52</w:t>
            </w:r>
          </w:p>
        </w:tc>
        <w:tc>
          <w:tcPr>
            <w:tcW w:w="239" w:type="pct"/>
            <w:shd w:val="clear" w:color="auto" w:fill="auto"/>
            <w:noWrap/>
            <w:tcMar>
              <w:top w:w="15" w:type="dxa"/>
              <w:left w:w="15" w:type="dxa"/>
              <w:bottom w:w="0" w:type="dxa"/>
              <w:right w:w="15" w:type="dxa"/>
            </w:tcMar>
            <w:vAlign w:val="bottom"/>
          </w:tcPr>
          <w:p w14:paraId="448705E4" w14:textId="77777777" w:rsidR="002E474C" w:rsidRDefault="00000000">
            <w:pPr>
              <w:pStyle w:val="A-"/>
            </w:pPr>
            <w:r>
              <w:t>6.17</w:t>
            </w:r>
          </w:p>
        </w:tc>
        <w:tc>
          <w:tcPr>
            <w:tcW w:w="277" w:type="pct"/>
            <w:shd w:val="clear" w:color="auto" w:fill="auto"/>
            <w:noWrap/>
            <w:tcMar>
              <w:top w:w="15" w:type="dxa"/>
              <w:left w:w="15" w:type="dxa"/>
              <w:bottom w:w="0" w:type="dxa"/>
              <w:right w:w="15" w:type="dxa"/>
            </w:tcMar>
            <w:vAlign w:val="bottom"/>
          </w:tcPr>
          <w:p w14:paraId="0AF9D153" w14:textId="77777777" w:rsidR="002E474C" w:rsidRDefault="00000000">
            <w:pPr>
              <w:pStyle w:val="A-"/>
            </w:pPr>
            <w:r>
              <w:t>3.71</w:t>
            </w:r>
          </w:p>
        </w:tc>
        <w:tc>
          <w:tcPr>
            <w:tcW w:w="239" w:type="pct"/>
            <w:shd w:val="clear" w:color="auto" w:fill="auto"/>
            <w:noWrap/>
            <w:tcMar>
              <w:top w:w="15" w:type="dxa"/>
              <w:left w:w="15" w:type="dxa"/>
              <w:bottom w:w="0" w:type="dxa"/>
              <w:right w:w="15" w:type="dxa"/>
            </w:tcMar>
            <w:vAlign w:val="bottom"/>
          </w:tcPr>
          <w:p w14:paraId="2CE01A4C" w14:textId="77777777" w:rsidR="002E474C" w:rsidRDefault="00000000">
            <w:pPr>
              <w:pStyle w:val="A-"/>
            </w:pPr>
            <w:r>
              <w:t>3.09</w:t>
            </w:r>
          </w:p>
        </w:tc>
        <w:tc>
          <w:tcPr>
            <w:tcW w:w="326" w:type="pct"/>
            <w:shd w:val="clear" w:color="auto" w:fill="auto"/>
            <w:noWrap/>
            <w:tcMar>
              <w:top w:w="15" w:type="dxa"/>
              <w:left w:w="15" w:type="dxa"/>
              <w:bottom w:w="0" w:type="dxa"/>
              <w:right w:w="15" w:type="dxa"/>
            </w:tcMar>
            <w:vAlign w:val="bottom"/>
          </w:tcPr>
          <w:p w14:paraId="2C5D917B" w14:textId="77777777" w:rsidR="002E474C" w:rsidRDefault="00000000">
            <w:pPr>
              <w:pStyle w:val="A-"/>
            </w:pPr>
            <w:r>
              <w:t>2.19</w:t>
            </w:r>
          </w:p>
        </w:tc>
        <w:tc>
          <w:tcPr>
            <w:tcW w:w="239" w:type="pct"/>
            <w:shd w:val="clear" w:color="auto" w:fill="auto"/>
            <w:noWrap/>
            <w:tcMar>
              <w:top w:w="15" w:type="dxa"/>
              <w:left w:w="15" w:type="dxa"/>
              <w:bottom w:w="0" w:type="dxa"/>
              <w:right w:w="15" w:type="dxa"/>
            </w:tcMar>
            <w:vAlign w:val="bottom"/>
          </w:tcPr>
          <w:p w14:paraId="1CA2D42F" w14:textId="77777777" w:rsidR="002E474C" w:rsidRDefault="00000000">
            <w:pPr>
              <w:pStyle w:val="A-"/>
            </w:pPr>
            <w:r>
              <w:t>3.74</w:t>
            </w:r>
          </w:p>
        </w:tc>
        <w:tc>
          <w:tcPr>
            <w:tcW w:w="347" w:type="pct"/>
            <w:shd w:val="clear" w:color="auto" w:fill="auto"/>
            <w:noWrap/>
            <w:tcMar>
              <w:top w:w="15" w:type="dxa"/>
              <w:left w:w="15" w:type="dxa"/>
              <w:bottom w:w="0" w:type="dxa"/>
              <w:right w:w="15" w:type="dxa"/>
            </w:tcMar>
            <w:vAlign w:val="bottom"/>
          </w:tcPr>
          <w:p w14:paraId="2DB2C0E7" w14:textId="77777777" w:rsidR="002E474C" w:rsidRDefault="00000000">
            <w:pPr>
              <w:pStyle w:val="A-"/>
            </w:pPr>
            <w:r>
              <w:t>2.37</w:t>
            </w:r>
          </w:p>
        </w:tc>
        <w:tc>
          <w:tcPr>
            <w:tcW w:w="239" w:type="pct"/>
            <w:shd w:val="clear" w:color="auto" w:fill="auto"/>
            <w:noWrap/>
            <w:tcMar>
              <w:top w:w="15" w:type="dxa"/>
              <w:left w:w="15" w:type="dxa"/>
              <w:bottom w:w="0" w:type="dxa"/>
              <w:right w:w="15" w:type="dxa"/>
            </w:tcMar>
            <w:vAlign w:val="bottom"/>
          </w:tcPr>
          <w:p w14:paraId="3D9F2FBD" w14:textId="77777777" w:rsidR="002E474C" w:rsidRDefault="00000000">
            <w:pPr>
              <w:pStyle w:val="A-"/>
            </w:pPr>
            <w:r>
              <w:t>4.81</w:t>
            </w:r>
          </w:p>
        </w:tc>
        <w:tc>
          <w:tcPr>
            <w:tcW w:w="319" w:type="pct"/>
            <w:shd w:val="clear" w:color="auto" w:fill="auto"/>
            <w:noWrap/>
            <w:tcMar>
              <w:top w:w="15" w:type="dxa"/>
              <w:left w:w="15" w:type="dxa"/>
              <w:bottom w:w="0" w:type="dxa"/>
              <w:right w:w="15" w:type="dxa"/>
            </w:tcMar>
            <w:vAlign w:val="bottom"/>
          </w:tcPr>
          <w:p w14:paraId="1EF74CFD" w14:textId="77777777" w:rsidR="002E474C" w:rsidRDefault="00000000">
            <w:pPr>
              <w:pStyle w:val="A-"/>
            </w:pPr>
            <w:r>
              <w:t>6.03</w:t>
            </w:r>
          </w:p>
        </w:tc>
        <w:tc>
          <w:tcPr>
            <w:tcW w:w="270" w:type="pct"/>
            <w:shd w:val="clear" w:color="auto" w:fill="auto"/>
            <w:noWrap/>
            <w:tcMar>
              <w:top w:w="15" w:type="dxa"/>
              <w:left w:w="15" w:type="dxa"/>
              <w:bottom w:w="0" w:type="dxa"/>
              <w:right w:w="15" w:type="dxa"/>
            </w:tcMar>
            <w:vAlign w:val="bottom"/>
          </w:tcPr>
          <w:p w14:paraId="10514BE5" w14:textId="77777777" w:rsidR="002E474C" w:rsidRDefault="00000000">
            <w:pPr>
              <w:pStyle w:val="A-"/>
            </w:pPr>
            <w:r>
              <w:t>4.75</w:t>
            </w:r>
          </w:p>
        </w:tc>
      </w:tr>
    </w:tbl>
    <w:p w14:paraId="42C5DD99" w14:textId="77777777" w:rsidR="002E474C" w:rsidRDefault="002E474C">
      <w:pPr>
        <w:pStyle w:val="A-"/>
        <w:rPr>
          <w:lang w:val="zh-CN"/>
        </w:rPr>
      </w:pPr>
    </w:p>
    <w:p w14:paraId="2B981BC0" w14:textId="77777777" w:rsidR="002E474C" w:rsidRDefault="00000000">
      <w:pPr>
        <w:pStyle w:val="31"/>
        <w:spacing w:before="120" w:after="120"/>
        <w:rPr>
          <w:color w:val="auto"/>
        </w:rPr>
      </w:pPr>
      <w:r>
        <w:rPr>
          <w:color w:val="auto"/>
        </w:rPr>
        <w:tab/>
      </w:r>
      <w:r>
        <w:rPr>
          <w:color w:val="auto"/>
        </w:rPr>
        <w:t>预测</w:t>
      </w:r>
      <w:r>
        <w:rPr>
          <w:rFonts w:hint="eastAsia"/>
          <w:color w:val="auto"/>
        </w:rPr>
        <w:t>模型</w:t>
      </w:r>
      <w:r>
        <w:rPr>
          <w:color w:val="auto"/>
        </w:rPr>
        <w:t>选择及相关参数</w:t>
      </w:r>
    </w:p>
    <w:p w14:paraId="056D6B72" w14:textId="77777777" w:rsidR="002E474C" w:rsidRDefault="00000000">
      <w:pPr>
        <w:pStyle w:val="41"/>
        <w:rPr>
          <w:color w:val="auto"/>
        </w:rPr>
      </w:pPr>
      <w:r>
        <w:rPr>
          <w:color w:val="auto"/>
        </w:rPr>
        <w:t>预测</w:t>
      </w:r>
      <w:r>
        <w:rPr>
          <w:rFonts w:hint="eastAsia"/>
          <w:color w:val="auto"/>
        </w:rPr>
        <w:t>模型</w:t>
      </w:r>
      <w:r>
        <w:rPr>
          <w:color w:val="auto"/>
        </w:rPr>
        <w:t>选取</w:t>
      </w:r>
    </w:p>
    <w:p w14:paraId="51BFADF5" w14:textId="77777777" w:rsidR="002E474C" w:rsidRPr="009C3A0E" w:rsidRDefault="00000000">
      <w:pPr>
        <w:pStyle w:val="A-z"/>
        <w:rPr>
          <w:color w:val="auto"/>
        </w:rPr>
      </w:pPr>
      <w:r>
        <w:rPr>
          <w:color w:val="auto"/>
        </w:rPr>
        <w:t>根据模型计算统计，风速</w:t>
      </w:r>
      <w:r>
        <w:rPr>
          <w:color w:val="auto"/>
        </w:rPr>
        <w:t>≤0.5m/s</w:t>
      </w:r>
      <w:r>
        <w:rPr>
          <w:color w:val="auto"/>
        </w:rPr>
        <w:t>的最大持续小时</w:t>
      </w:r>
      <w:r>
        <w:rPr>
          <w:color w:val="auto"/>
        </w:rPr>
        <w:t>=4h</w:t>
      </w:r>
      <w:r>
        <w:rPr>
          <w:color w:val="auto"/>
        </w:rPr>
        <w:t>，选取</w:t>
      </w:r>
      <w:r>
        <w:rPr>
          <w:color w:val="auto"/>
        </w:rPr>
        <w:t>AERMOD</w:t>
      </w:r>
      <w:r>
        <w:rPr>
          <w:color w:val="auto"/>
        </w:rPr>
        <w:t>模型计算，该模型是美国国家环保署与美国气象学会联合开发的新扩散模型，主要包括三个方面的内容：</w:t>
      </w:r>
      <w:r>
        <w:rPr>
          <w:color w:val="auto"/>
        </w:rPr>
        <w:t>AERMOD</w:t>
      </w:r>
      <w:r>
        <w:rPr>
          <w:color w:val="auto"/>
        </w:rPr>
        <w:t>（</w:t>
      </w:r>
      <w:r>
        <w:rPr>
          <w:color w:val="auto"/>
        </w:rPr>
        <w:t>AERMIC</w:t>
      </w:r>
      <w:r>
        <w:rPr>
          <w:color w:val="auto"/>
        </w:rPr>
        <w:t>扩散模型）、</w:t>
      </w:r>
      <w:r>
        <w:rPr>
          <w:color w:val="auto"/>
        </w:rPr>
        <w:t>AERMAP</w:t>
      </w:r>
      <w:r>
        <w:rPr>
          <w:color w:val="auto"/>
        </w:rPr>
        <w:t>（</w:t>
      </w:r>
      <w:r>
        <w:rPr>
          <w:color w:val="auto"/>
        </w:rPr>
        <w:t>AERMOD</w:t>
      </w:r>
      <w:r>
        <w:rPr>
          <w:color w:val="auto"/>
        </w:rPr>
        <w:t>地形预处理）和</w:t>
      </w:r>
      <w:r w:rsidRPr="009C3A0E">
        <w:rPr>
          <w:color w:val="auto"/>
        </w:rPr>
        <w:t>AERMET</w:t>
      </w:r>
      <w:r w:rsidRPr="009C3A0E">
        <w:rPr>
          <w:color w:val="auto"/>
        </w:rPr>
        <w:t>（</w:t>
      </w:r>
      <w:r w:rsidRPr="009C3A0E">
        <w:rPr>
          <w:color w:val="auto"/>
        </w:rPr>
        <w:t>AERMOD</w:t>
      </w:r>
      <w:r w:rsidRPr="009C3A0E">
        <w:rPr>
          <w:color w:val="auto"/>
        </w:rPr>
        <w:t>气象预处理）。</w:t>
      </w:r>
    </w:p>
    <w:p w14:paraId="041F76EE" w14:textId="780B75C1" w:rsidR="002E474C" w:rsidRDefault="00000000">
      <w:pPr>
        <w:pStyle w:val="A-z"/>
        <w:rPr>
          <w:color w:val="auto"/>
          <w:lang w:val="en-US"/>
        </w:rPr>
      </w:pPr>
      <w:r w:rsidRPr="009C3A0E">
        <w:rPr>
          <w:color w:val="auto"/>
          <w:lang w:val="en-US"/>
        </w:rPr>
        <w:t>本项目大气环境影响评价等级为一级</w:t>
      </w:r>
      <w:r w:rsidR="009E459E" w:rsidRPr="009C3A0E">
        <w:rPr>
          <w:rFonts w:hint="eastAsia"/>
          <w:color w:val="auto"/>
          <w:lang w:val="en-US"/>
        </w:rPr>
        <w:t>。</w:t>
      </w:r>
      <w:r w:rsidR="009E459E" w:rsidRPr="009C3A0E">
        <w:rPr>
          <w:color w:val="auto"/>
          <w:lang w:val="en-US"/>
        </w:rPr>
        <w:t>根据《环境影响评价技术导则</w:t>
      </w:r>
      <w:r w:rsidR="009E459E" w:rsidRPr="009C3A0E">
        <w:rPr>
          <w:color w:val="auto"/>
          <w:lang w:val="en-US"/>
        </w:rPr>
        <w:t xml:space="preserve"> </w:t>
      </w:r>
      <w:r w:rsidR="009E459E" w:rsidRPr="009C3A0E">
        <w:rPr>
          <w:color w:val="auto"/>
          <w:lang w:val="en-US"/>
        </w:rPr>
        <w:t>大气环境》（</w:t>
      </w:r>
      <w:r w:rsidR="009E459E" w:rsidRPr="009C3A0E">
        <w:rPr>
          <w:color w:val="auto"/>
          <w:lang w:val="en-US"/>
        </w:rPr>
        <w:t>HJ2.2-2018</w:t>
      </w:r>
      <w:r w:rsidR="009E459E" w:rsidRPr="009C3A0E">
        <w:rPr>
          <w:color w:val="auto"/>
          <w:lang w:val="en-US"/>
        </w:rPr>
        <w:t>）</w:t>
      </w:r>
      <w:r w:rsidR="009E459E" w:rsidRPr="009C3A0E">
        <w:rPr>
          <w:rFonts w:hint="eastAsia"/>
          <w:color w:val="auto"/>
          <w:lang w:val="en-US"/>
        </w:rPr>
        <w:t>，</w:t>
      </w:r>
      <w:r w:rsidR="00420C99" w:rsidRPr="009C3A0E">
        <w:rPr>
          <w:rFonts w:hint="eastAsia"/>
          <w:color w:val="auto"/>
          <w:lang w:val="en-US"/>
        </w:rPr>
        <w:t>一级评价项目</w:t>
      </w:r>
      <w:r w:rsidR="009E459E" w:rsidRPr="009C3A0E">
        <w:rPr>
          <w:rFonts w:hint="eastAsia"/>
          <w:color w:val="auto"/>
          <w:lang w:val="en-US"/>
        </w:rPr>
        <w:t>应</w:t>
      </w:r>
      <w:r w:rsidRPr="009C3A0E">
        <w:rPr>
          <w:color w:val="auto"/>
          <w:lang w:val="en-US"/>
        </w:rPr>
        <w:t>采用进一步预测模型开展大气环境影响预测与评价。根据《环境影响评价技术导则</w:t>
      </w:r>
      <w:r w:rsidRPr="009C3A0E">
        <w:rPr>
          <w:color w:val="auto"/>
          <w:lang w:val="en-US"/>
        </w:rPr>
        <w:t xml:space="preserve"> </w:t>
      </w:r>
      <w:r w:rsidRPr="009C3A0E">
        <w:rPr>
          <w:color w:val="auto"/>
          <w:lang w:val="en-US"/>
        </w:rPr>
        <w:t>大气环境》（</w:t>
      </w:r>
      <w:r w:rsidRPr="009C3A0E">
        <w:rPr>
          <w:color w:val="auto"/>
          <w:lang w:val="en-US"/>
        </w:rPr>
        <w:t>HJ2.2-2018</w:t>
      </w:r>
      <w:r w:rsidRPr="009C3A0E">
        <w:rPr>
          <w:color w:val="auto"/>
          <w:lang w:val="en-US"/>
        </w:rPr>
        <w:t>）表</w:t>
      </w:r>
      <w:r w:rsidRPr="009C3A0E">
        <w:rPr>
          <w:color w:val="auto"/>
          <w:lang w:val="en-US"/>
        </w:rPr>
        <w:t>3“</w:t>
      </w:r>
      <w:r w:rsidRPr="009C3A0E">
        <w:rPr>
          <w:color w:val="auto"/>
          <w:lang w:val="en-US"/>
        </w:rPr>
        <w:t>推荐模型适用范围</w:t>
      </w:r>
      <w:r w:rsidRPr="009C3A0E">
        <w:rPr>
          <w:color w:val="auto"/>
          <w:lang w:val="en-US"/>
        </w:rPr>
        <w:t>”</w:t>
      </w:r>
      <w:r w:rsidRPr="009C3A0E">
        <w:rPr>
          <w:color w:val="auto"/>
          <w:lang w:val="en-US"/>
        </w:rPr>
        <w:t>，满</w:t>
      </w:r>
      <w:r>
        <w:rPr>
          <w:color w:val="auto"/>
          <w:lang w:val="en-US"/>
        </w:rPr>
        <w:t>足进一步预测的模型有</w:t>
      </w:r>
      <w:r>
        <w:rPr>
          <w:color w:val="auto"/>
          <w:lang w:val="en-US"/>
        </w:rPr>
        <w:t>AERMOD</w:t>
      </w:r>
      <w:r>
        <w:rPr>
          <w:color w:val="auto"/>
          <w:lang w:val="en-US"/>
        </w:rPr>
        <w:t>、</w:t>
      </w:r>
      <w:r>
        <w:rPr>
          <w:color w:val="auto"/>
          <w:lang w:val="en-US"/>
        </w:rPr>
        <w:t>ADMS</w:t>
      </w:r>
      <w:r>
        <w:rPr>
          <w:color w:val="auto"/>
          <w:lang w:val="en-US"/>
        </w:rPr>
        <w:t>、</w:t>
      </w:r>
      <w:r>
        <w:rPr>
          <w:color w:val="auto"/>
          <w:lang w:val="en-US"/>
        </w:rPr>
        <w:t>CALPUFF</w:t>
      </w:r>
      <w:r>
        <w:rPr>
          <w:color w:val="auto"/>
          <w:lang w:val="en-US"/>
        </w:rPr>
        <w:t>。根据</w:t>
      </w:r>
      <w:r>
        <w:rPr>
          <w:rFonts w:hint="eastAsia"/>
          <w:color w:val="auto"/>
          <w:lang w:val="en-US"/>
        </w:rPr>
        <w:t>吐鲁番市</w:t>
      </w:r>
      <w:r>
        <w:rPr>
          <w:color w:val="auto"/>
          <w:lang w:val="en-US"/>
        </w:rPr>
        <w:t>气象统计结果显示，该地区</w:t>
      </w:r>
      <w:r>
        <w:rPr>
          <w:rFonts w:hint="eastAsia"/>
          <w:color w:val="auto"/>
          <w:lang w:val="en-US"/>
        </w:rPr>
        <w:t>2024</w:t>
      </w:r>
      <w:r>
        <w:rPr>
          <w:color w:val="auto"/>
          <w:lang w:val="en-US"/>
        </w:rPr>
        <w:t>年风速</w:t>
      </w:r>
      <w:r>
        <w:rPr>
          <w:color w:val="auto"/>
          <w:lang w:val="en-US"/>
        </w:rPr>
        <w:t>≤0.5m/s</w:t>
      </w:r>
      <w:r>
        <w:rPr>
          <w:color w:val="auto"/>
          <w:lang w:val="en-US"/>
        </w:rPr>
        <w:t>的最大持续时间为</w:t>
      </w:r>
      <w:r>
        <w:rPr>
          <w:color w:val="auto"/>
          <w:lang w:val="en-US"/>
        </w:rPr>
        <w:t>4</w:t>
      </w:r>
      <w:r>
        <w:rPr>
          <w:color w:val="auto"/>
          <w:lang w:val="en-US"/>
        </w:rPr>
        <w:t>小时，小于</w:t>
      </w:r>
      <w:r>
        <w:rPr>
          <w:color w:val="auto"/>
          <w:lang w:val="en-US"/>
        </w:rPr>
        <w:t>72</w:t>
      </w:r>
      <w:r>
        <w:rPr>
          <w:color w:val="auto"/>
          <w:lang w:val="en-US"/>
        </w:rPr>
        <w:t>小时，故选用导则推荐的</w:t>
      </w:r>
      <w:r>
        <w:rPr>
          <w:color w:val="auto"/>
          <w:lang w:val="en-US"/>
        </w:rPr>
        <w:t>AERMOD</w:t>
      </w:r>
      <w:r>
        <w:rPr>
          <w:color w:val="auto"/>
          <w:lang w:val="en-US"/>
        </w:rPr>
        <w:t>模式进行大气环境影响预测。</w:t>
      </w:r>
    </w:p>
    <w:p w14:paraId="41817D06" w14:textId="77777777" w:rsidR="002E474C" w:rsidRDefault="00000000">
      <w:pPr>
        <w:pStyle w:val="A-z"/>
        <w:rPr>
          <w:color w:val="auto"/>
        </w:rPr>
      </w:pPr>
      <w:r>
        <w:rPr>
          <w:color w:val="auto"/>
        </w:rPr>
        <w:t>AERMOD</w:t>
      </w:r>
      <w:r>
        <w:rPr>
          <w:color w:val="auto"/>
        </w:rPr>
        <w:t>是一个稳态烟羽扩散模式，可基于大气边界层数据特征模拟点源、</w:t>
      </w:r>
      <w:r>
        <w:rPr>
          <w:color w:val="auto"/>
        </w:rPr>
        <w:lastRenderedPageBreak/>
        <w:t>面源、体源等排放出的污染物在短期（小时平均、日平均）、长期（年平均）的浓度分布，适用于农村或城市地区、简单或复杂地形。</w:t>
      </w:r>
      <w:r>
        <w:rPr>
          <w:color w:val="auto"/>
        </w:rPr>
        <w:t>AERMOD</w:t>
      </w:r>
      <w:r>
        <w:rPr>
          <w:color w:val="auto"/>
        </w:rPr>
        <w:t>模式使用每小时连续预处理气象数据模拟大于等于</w:t>
      </w:r>
      <w:r>
        <w:rPr>
          <w:color w:val="auto"/>
        </w:rPr>
        <w:t>1</w:t>
      </w:r>
      <w:r>
        <w:rPr>
          <w:color w:val="auto"/>
        </w:rPr>
        <w:t>小时平均时间的浓度分布。</w:t>
      </w:r>
    </w:p>
    <w:p w14:paraId="1FA63409" w14:textId="77777777" w:rsidR="002E474C" w:rsidRDefault="00000000">
      <w:pPr>
        <w:pStyle w:val="41"/>
        <w:rPr>
          <w:color w:val="auto"/>
        </w:rPr>
      </w:pPr>
      <w:r>
        <w:rPr>
          <w:color w:val="auto"/>
        </w:rPr>
        <w:t>相关参数</w:t>
      </w:r>
    </w:p>
    <w:p w14:paraId="4627037A" w14:textId="77777777" w:rsidR="002E474C" w:rsidRDefault="00000000">
      <w:pPr>
        <w:pStyle w:val="A-z"/>
        <w:rPr>
          <w:color w:val="auto"/>
        </w:rPr>
      </w:pPr>
      <w:r>
        <w:rPr>
          <w:color w:val="auto"/>
        </w:rPr>
        <w:t>（</w:t>
      </w:r>
      <w:r>
        <w:rPr>
          <w:color w:val="auto"/>
        </w:rPr>
        <w:t>1</w:t>
      </w:r>
      <w:r>
        <w:rPr>
          <w:color w:val="auto"/>
        </w:rPr>
        <w:t>）气象参数</w:t>
      </w:r>
    </w:p>
    <w:p w14:paraId="61BD40BA" w14:textId="77777777" w:rsidR="002E474C" w:rsidRDefault="00000000">
      <w:pPr>
        <w:pStyle w:val="A-z"/>
        <w:rPr>
          <w:color w:val="auto"/>
        </w:rPr>
      </w:pPr>
      <w:r>
        <w:rPr>
          <w:color w:val="auto"/>
        </w:rPr>
        <w:t>地面气象资料使用吐鲁番市气象站</w:t>
      </w:r>
      <w:r>
        <w:rPr>
          <w:color w:val="auto"/>
        </w:rPr>
        <w:t>2024</w:t>
      </w:r>
      <w:r>
        <w:rPr>
          <w:color w:val="auto"/>
        </w:rPr>
        <w:t>年逐时气象场（温度场，风场），主要包括风速、风向、总云量、低云量和干球温度等。观测气象站基本信息详见表</w:t>
      </w:r>
      <w:r>
        <w:rPr>
          <w:color w:val="auto"/>
        </w:rPr>
        <w:t>5.1</w:t>
      </w:r>
      <w:r>
        <w:rPr>
          <w:color w:val="auto"/>
        </w:rPr>
        <w:noBreakHyphen/>
        <w:t>8</w:t>
      </w:r>
      <w:r>
        <w:rPr>
          <w:color w:val="auto"/>
        </w:rPr>
        <w:t>。</w:t>
      </w:r>
    </w:p>
    <w:p w14:paraId="3468FE81" w14:textId="77777777" w:rsidR="002E474C" w:rsidRDefault="00000000">
      <w:pPr>
        <w:pStyle w:val="A--"/>
        <w:rPr>
          <w:color w:val="auto"/>
        </w:rPr>
      </w:pPr>
      <w:r>
        <w:rPr>
          <w:color w:val="auto"/>
        </w:rPr>
        <w:t>表</w:t>
      </w:r>
      <w:r>
        <w:rPr>
          <w:color w:val="auto"/>
        </w:rPr>
        <w:t>5.1</w:t>
      </w:r>
      <w:r>
        <w:rPr>
          <w:color w:val="auto"/>
        </w:rPr>
        <w:noBreakHyphen/>
        <w:t xml:space="preserve">8     </w:t>
      </w:r>
      <w:r>
        <w:rPr>
          <w:rFonts w:hint="eastAsia"/>
          <w:color w:val="auto"/>
        </w:rPr>
        <w:t>吐鲁番市</w:t>
      </w:r>
      <w:r>
        <w:rPr>
          <w:color w:val="auto"/>
        </w:rPr>
        <w:t>气象观测站基本信息</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843"/>
        <w:gridCol w:w="1089"/>
        <w:gridCol w:w="800"/>
        <w:gridCol w:w="812"/>
        <w:gridCol w:w="951"/>
        <w:gridCol w:w="929"/>
        <w:gridCol w:w="1848"/>
      </w:tblGrid>
      <w:tr w:rsidR="002E474C" w14:paraId="3B278051" w14:textId="77777777">
        <w:tc>
          <w:tcPr>
            <w:tcW w:w="627" w:type="pct"/>
            <w:vMerge w:val="restart"/>
          </w:tcPr>
          <w:p w14:paraId="3AF87A06" w14:textId="77777777" w:rsidR="002E474C" w:rsidRDefault="00000000">
            <w:pPr>
              <w:pStyle w:val="A-"/>
            </w:pPr>
            <w:r>
              <w:t>气象站</w:t>
            </w:r>
          </w:p>
          <w:p w14:paraId="696E05E1" w14:textId="77777777" w:rsidR="002E474C" w:rsidRDefault="00000000">
            <w:pPr>
              <w:pStyle w:val="A-"/>
            </w:pPr>
            <w:r>
              <w:t>名称</w:t>
            </w:r>
          </w:p>
        </w:tc>
        <w:tc>
          <w:tcPr>
            <w:tcW w:w="518" w:type="pct"/>
            <w:vMerge w:val="restart"/>
          </w:tcPr>
          <w:p w14:paraId="3CE47071" w14:textId="77777777" w:rsidR="002E474C" w:rsidRDefault="00000000">
            <w:pPr>
              <w:pStyle w:val="A-"/>
            </w:pPr>
            <w:r>
              <w:t>气象站</w:t>
            </w:r>
          </w:p>
          <w:p w14:paraId="22BA6184" w14:textId="77777777" w:rsidR="002E474C" w:rsidRDefault="00000000">
            <w:pPr>
              <w:pStyle w:val="A-"/>
            </w:pPr>
            <w:r>
              <w:t>编号</w:t>
            </w:r>
          </w:p>
        </w:tc>
        <w:tc>
          <w:tcPr>
            <w:tcW w:w="666" w:type="pct"/>
            <w:vMerge w:val="restart"/>
          </w:tcPr>
          <w:p w14:paraId="633BBCD9" w14:textId="77777777" w:rsidR="002E474C" w:rsidRDefault="00000000">
            <w:pPr>
              <w:pStyle w:val="A-"/>
            </w:pPr>
            <w:r>
              <w:t>气象站</w:t>
            </w:r>
          </w:p>
          <w:p w14:paraId="05C8BE02" w14:textId="77777777" w:rsidR="002E474C" w:rsidRDefault="00000000">
            <w:pPr>
              <w:pStyle w:val="A-"/>
            </w:pPr>
            <w:r>
              <w:t>等级</w:t>
            </w:r>
          </w:p>
        </w:tc>
        <w:tc>
          <w:tcPr>
            <w:tcW w:w="914" w:type="pct"/>
            <w:gridSpan w:val="2"/>
          </w:tcPr>
          <w:p w14:paraId="012DF8CB" w14:textId="77777777" w:rsidR="002E474C" w:rsidRDefault="00000000">
            <w:pPr>
              <w:pStyle w:val="A-"/>
            </w:pPr>
            <w:r>
              <w:t>气相站坐标</w:t>
            </w:r>
          </w:p>
        </w:tc>
        <w:tc>
          <w:tcPr>
            <w:tcW w:w="583" w:type="pct"/>
            <w:vMerge w:val="restart"/>
          </w:tcPr>
          <w:p w14:paraId="5BAE41B6" w14:textId="77777777" w:rsidR="002E474C" w:rsidRDefault="00000000">
            <w:pPr>
              <w:pStyle w:val="A-"/>
            </w:pPr>
            <w:r>
              <w:t>相对距离（</w:t>
            </w:r>
            <w:r>
              <w:t>km</w:t>
            </w:r>
            <w:r>
              <w:t>）</w:t>
            </w:r>
          </w:p>
        </w:tc>
        <w:tc>
          <w:tcPr>
            <w:tcW w:w="569" w:type="pct"/>
            <w:vMerge w:val="restart"/>
          </w:tcPr>
          <w:p w14:paraId="471BC546" w14:textId="77777777" w:rsidR="002E474C" w:rsidRDefault="00000000">
            <w:pPr>
              <w:pStyle w:val="A-"/>
            </w:pPr>
            <w:r>
              <w:t>海拔高度（</w:t>
            </w:r>
            <w:r>
              <w:t>m</w:t>
            </w:r>
            <w:r>
              <w:t>）</w:t>
            </w:r>
          </w:p>
        </w:tc>
        <w:tc>
          <w:tcPr>
            <w:tcW w:w="1123" w:type="pct"/>
            <w:vMerge w:val="restart"/>
          </w:tcPr>
          <w:p w14:paraId="0F6BF1CA" w14:textId="77777777" w:rsidR="002E474C" w:rsidRDefault="00000000">
            <w:pPr>
              <w:pStyle w:val="A-"/>
            </w:pPr>
            <w:r>
              <w:t>气相要素</w:t>
            </w:r>
          </w:p>
        </w:tc>
      </w:tr>
      <w:tr w:rsidR="002E474C" w14:paraId="46E4F612" w14:textId="77777777">
        <w:tc>
          <w:tcPr>
            <w:tcW w:w="627" w:type="pct"/>
            <w:vMerge/>
          </w:tcPr>
          <w:p w14:paraId="75726429" w14:textId="77777777" w:rsidR="002E474C" w:rsidRDefault="002E474C">
            <w:pPr>
              <w:pStyle w:val="A-"/>
            </w:pPr>
          </w:p>
        </w:tc>
        <w:tc>
          <w:tcPr>
            <w:tcW w:w="518" w:type="pct"/>
            <w:vMerge/>
          </w:tcPr>
          <w:p w14:paraId="407976B3" w14:textId="77777777" w:rsidR="002E474C" w:rsidRDefault="002E474C">
            <w:pPr>
              <w:pStyle w:val="A-"/>
            </w:pPr>
          </w:p>
        </w:tc>
        <w:tc>
          <w:tcPr>
            <w:tcW w:w="666" w:type="pct"/>
            <w:vMerge/>
          </w:tcPr>
          <w:p w14:paraId="0ECB89F8" w14:textId="77777777" w:rsidR="002E474C" w:rsidRDefault="002E474C">
            <w:pPr>
              <w:pStyle w:val="A-"/>
            </w:pPr>
          </w:p>
        </w:tc>
        <w:tc>
          <w:tcPr>
            <w:tcW w:w="415" w:type="pct"/>
          </w:tcPr>
          <w:p w14:paraId="3178B9E0" w14:textId="77777777" w:rsidR="002E474C" w:rsidRDefault="00000000">
            <w:pPr>
              <w:pStyle w:val="A-"/>
            </w:pPr>
            <w:r>
              <w:rPr>
                <w:rFonts w:hint="eastAsia"/>
              </w:rPr>
              <w:t>X</w:t>
            </w:r>
            <w:r>
              <w:t>（</w:t>
            </w:r>
            <w:r>
              <w:t>m</w:t>
            </w:r>
            <w:r>
              <w:t>）</w:t>
            </w:r>
          </w:p>
        </w:tc>
        <w:tc>
          <w:tcPr>
            <w:tcW w:w="499" w:type="pct"/>
          </w:tcPr>
          <w:p w14:paraId="7F7F847D" w14:textId="77777777" w:rsidR="002E474C" w:rsidRDefault="00000000">
            <w:pPr>
              <w:pStyle w:val="A-"/>
            </w:pPr>
            <w:r>
              <w:rPr>
                <w:rFonts w:hint="eastAsia"/>
              </w:rPr>
              <w:t>Y</w:t>
            </w:r>
            <w:r>
              <w:t>（</w:t>
            </w:r>
            <w:r>
              <w:t>m</w:t>
            </w:r>
            <w:r>
              <w:t>）</w:t>
            </w:r>
          </w:p>
        </w:tc>
        <w:tc>
          <w:tcPr>
            <w:tcW w:w="583" w:type="pct"/>
            <w:vMerge/>
          </w:tcPr>
          <w:p w14:paraId="5A0A9F80" w14:textId="77777777" w:rsidR="002E474C" w:rsidRDefault="002E474C">
            <w:pPr>
              <w:pStyle w:val="A-"/>
            </w:pPr>
          </w:p>
        </w:tc>
        <w:tc>
          <w:tcPr>
            <w:tcW w:w="569" w:type="pct"/>
            <w:vMerge/>
          </w:tcPr>
          <w:p w14:paraId="6495E783" w14:textId="77777777" w:rsidR="002E474C" w:rsidRDefault="002E474C">
            <w:pPr>
              <w:pStyle w:val="A-"/>
            </w:pPr>
          </w:p>
        </w:tc>
        <w:tc>
          <w:tcPr>
            <w:tcW w:w="1123" w:type="pct"/>
            <w:vMerge/>
          </w:tcPr>
          <w:p w14:paraId="65DF69A6" w14:textId="77777777" w:rsidR="002E474C" w:rsidRDefault="002E474C">
            <w:pPr>
              <w:pStyle w:val="A-"/>
            </w:pPr>
          </w:p>
        </w:tc>
      </w:tr>
      <w:tr w:rsidR="002E474C" w14:paraId="53D9912D" w14:textId="77777777">
        <w:tc>
          <w:tcPr>
            <w:tcW w:w="627" w:type="pct"/>
          </w:tcPr>
          <w:p w14:paraId="58C0F88A" w14:textId="77777777" w:rsidR="002E474C" w:rsidRDefault="00000000">
            <w:pPr>
              <w:pStyle w:val="A-"/>
            </w:pPr>
            <w:r>
              <w:t>吐鲁番市</w:t>
            </w:r>
          </w:p>
        </w:tc>
        <w:tc>
          <w:tcPr>
            <w:tcW w:w="518" w:type="pct"/>
          </w:tcPr>
          <w:p w14:paraId="7E0BA477" w14:textId="77777777" w:rsidR="002E474C" w:rsidRDefault="00000000">
            <w:pPr>
              <w:pStyle w:val="A-"/>
            </w:pPr>
            <w:r>
              <w:t>51573</w:t>
            </w:r>
          </w:p>
        </w:tc>
        <w:tc>
          <w:tcPr>
            <w:tcW w:w="666" w:type="pct"/>
          </w:tcPr>
          <w:p w14:paraId="1FB15D5F" w14:textId="77777777" w:rsidR="002E474C" w:rsidRDefault="00000000">
            <w:pPr>
              <w:pStyle w:val="A-"/>
            </w:pPr>
            <w:r>
              <w:t>国家基本气象站</w:t>
            </w:r>
          </w:p>
        </w:tc>
        <w:tc>
          <w:tcPr>
            <w:tcW w:w="415" w:type="pct"/>
          </w:tcPr>
          <w:p w14:paraId="7257CDF7" w14:textId="77777777" w:rsidR="002E474C" w:rsidRDefault="00000000">
            <w:pPr>
              <w:pStyle w:val="A-"/>
            </w:pPr>
            <w:r>
              <w:rPr>
                <w:rFonts w:hint="eastAsia"/>
              </w:rPr>
              <w:t>98602</w:t>
            </w:r>
          </w:p>
        </w:tc>
        <w:tc>
          <w:tcPr>
            <w:tcW w:w="499" w:type="pct"/>
          </w:tcPr>
          <w:p w14:paraId="2D856F5F" w14:textId="77777777" w:rsidR="002E474C" w:rsidRDefault="00000000">
            <w:pPr>
              <w:pStyle w:val="A-"/>
            </w:pPr>
            <w:r>
              <w:rPr>
                <w:rFonts w:hint="eastAsia"/>
              </w:rPr>
              <w:t>29818</w:t>
            </w:r>
          </w:p>
        </w:tc>
        <w:tc>
          <w:tcPr>
            <w:tcW w:w="583" w:type="pct"/>
          </w:tcPr>
          <w:p w14:paraId="730E660D" w14:textId="77777777" w:rsidR="002E474C" w:rsidRDefault="00000000">
            <w:pPr>
              <w:pStyle w:val="A-"/>
            </w:pPr>
            <w:r>
              <w:t>102</w:t>
            </w:r>
          </w:p>
        </w:tc>
        <w:tc>
          <w:tcPr>
            <w:tcW w:w="569" w:type="pct"/>
          </w:tcPr>
          <w:p w14:paraId="0A6DF910" w14:textId="77777777" w:rsidR="002E474C" w:rsidRDefault="00000000">
            <w:pPr>
              <w:pStyle w:val="A-"/>
            </w:pPr>
            <w:r>
              <w:t>39.3</w:t>
            </w:r>
          </w:p>
        </w:tc>
        <w:tc>
          <w:tcPr>
            <w:tcW w:w="1123" w:type="pct"/>
          </w:tcPr>
          <w:p w14:paraId="37F88380" w14:textId="77777777" w:rsidR="002E474C" w:rsidRDefault="00000000">
            <w:pPr>
              <w:pStyle w:val="A-"/>
            </w:pPr>
            <w:r>
              <w:t>风向、风速、总云、低云、干球温度</w:t>
            </w:r>
          </w:p>
        </w:tc>
      </w:tr>
    </w:tbl>
    <w:p w14:paraId="5CA356B8" w14:textId="77777777" w:rsidR="002E474C" w:rsidRDefault="002E474C">
      <w:pPr>
        <w:pStyle w:val="A-z"/>
        <w:rPr>
          <w:color w:val="auto"/>
          <w:lang w:val="en-US"/>
        </w:rPr>
      </w:pPr>
    </w:p>
    <w:p w14:paraId="0142B5DA" w14:textId="77777777" w:rsidR="002E474C" w:rsidRDefault="00000000">
      <w:pPr>
        <w:pStyle w:val="A-z"/>
        <w:rPr>
          <w:color w:val="auto"/>
        </w:rPr>
      </w:pPr>
      <w:r>
        <w:rPr>
          <w:color w:val="auto"/>
        </w:rPr>
        <w:t>（</w:t>
      </w:r>
      <w:r>
        <w:rPr>
          <w:color w:val="auto"/>
        </w:rPr>
        <w:t>2</w:t>
      </w:r>
      <w:r>
        <w:rPr>
          <w:color w:val="auto"/>
        </w:rPr>
        <w:t>）地理地形参数</w:t>
      </w:r>
    </w:p>
    <w:p w14:paraId="774719F9" w14:textId="77777777" w:rsidR="002E474C" w:rsidRDefault="00000000">
      <w:pPr>
        <w:pStyle w:val="A-z"/>
        <w:rPr>
          <w:color w:val="auto"/>
        </w:rPr>
      </w:pPr>
      <w:bookmarkStart w:id="272" w:name="OLE_LINK78"/>
      <w:r>
        <w:rPr>
          <w:color w:val="auto"/>
          <w:lang w:val="en-US"/>
        </w:rPr>
        <w:t>本项目在预测过程中考虑实际地形影响，其中地形数据来自</w:t>
      </w:r>
      <w:r>
        <w:rPr>
          <w:rFonts w:hint="eastAsia"/>
          <w:color w:val="auto"/>
          <w:lang w:val="en-US"/>
        </w:rPr>
        <w:t>DEM</w:t>
      </w:r>
      <w:r>
        <w:rPr>
          <w:rFonts w:hint="eastAsia"/>
          <w:color w:val="auto"/>
          <w:lang w:val="en-US"/>
        </w:rPr>
        <w:t>数字高程模型</w:t>
      </w:r>
      <w:r>
        <w:rPr>
          <w:color w:val="auto"/>
          <w:lang w:val="en-US"/>
        </w:rPr>
        <w:t>，</w:t>
      </w:r>
      <w:r>
        <w:rPr>
          <w:rFonts w:hint="eastAsia"/>
          <w:color w:val="auto"/>
          <w:lang w:val="en-US"/>
        </w:rPr>
        <w:t>数据分辨率</w:t>
      </w:r>
      <w:r>
        <w:rPr>
          <w:color w:val="auto"/>
          <w:lang w:val="en-US"/>
        </w:rPr>
        <w:t>为</w:t>
      </w:r>
      <w:r>
        <w:rPr>
          <w:color w:val="auto"/>
          <w:lang w:val="en-US"/>
        </w:rPr>
        <w:t>90m</w:t>
      </w:r>
      <w:r>
        <w:rPr>
          <w:rFonts w:hint="eastAsia"/>
          <w:color w:val="auto"/>
          <w:lang w:val="en-US"/>
        </w:rPr>
        <w:t>，可满足本次预测精度要求</w:t>
      </w:r>
      <w:r>
        <w:rPr>
          <w:color w:val="auto"/>
        </w:rPr>
        <w:t>。</w:t>
      </w:r>
      <w:bookmarkEnd w:id="272"/>
      <w:r>
        <w:rPr>
          <w:color w:val="auto"/>
        </w:rPr>
        <w:t>地形高程见图</w:t>
      </w:r>
      <w:r>
        <w:rPr>
          <w:color w:val="auto"/>
        </w:rPr>
        <w:t>5.1</w:t>
      </w:r>
      <w:r>
        <w:rPr>
          <w:color w:val="auto"/>
        </w:rPr>
        <w:noBreakHyphen/>
        <w:t>7</w:t>
      </w:r>
      <w:r>
        <w:rPr>
          <w:color w:val="auto"/>
        </w:rPr>
        <w:t>。模式计算选用的地表特征参数见表</w:t>
      </w:r>
      <w:r>
        <w:rPr>
          <w:color w:val="auto"/>
        </w:rPr>
        <w:t>5.1</w:t>
      </w:r>
      <w:r>
        <w:rPr>
          <w:color w:val="auto"/>
        </w:rPr>
        <w:noBreakHyphen/>
        <w:t>9</w:t>
      </w:r>
      <w:r>
        <w:rPr>
          <w:color w:val="auto"/>
        </w:rPr>
        <w:t>。</w:t>
      </w:r>
    </w:p>
    <w:p w14:paraId="6D2616B5" w14:textId="77777777" w:rsidR="002E474C" w:rsidRDefault="00000000">
      <w:pPr>
        <w:pStyle w:val="A--"/>
        <w:rPr>
          <w:color w:val="auto"/>
        </w:rPr>
      </w:pPr>
      <w:bookmarkStart w:id="273" w:name="_Ref149582495"/>
      <w:r>
        <w:rPr>
          <w:color w:val="auto"/>
        </w:rPr>
        <w:t>表</w:t>
      </w:r>
      <w:r>
        <w:rPr>
          <w:color w:val="auto"/>
        </w:rPr>
        <w:t>5.1</w:t>
      </w:r>
      <w:r>
        <w:rPr>
          <w:color w:val="auto"/>
        </w:rPr>
        <w:noBreakHyphen/>
      </w:r>
      <w:bookmarkEnd w:id="273"/>
      <w:r>
        <w:rPr>
          <w:rFonts w:hint="eastAsia"/>
          <w:color w:val="auto"/>
        </w:rPr>
        <w:t>9</w:t>
      </w:r>
      <w:r>
        <w:rPr>
          <w:color w:val="auto"/>
        </w:rPr>
        <w:t xml:space="preserve">  </w:t>
      </w:r>
      <w:r>
        <w:rPr>
          <w:color w:val="auto"/>
        </w:rPr>
        <w:t>地表特征参数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7"/>
        <w:gridCol w:w="2191"/>
        <w:gridCol w:w="1526"/>
        <w:gridCol w:w="1526"/>
        <w:gridCol w:w="1526"/>
      </w:tblGrid>
      <w:tr w:rsidR="002E474C" w14:paraId="1A8EAC95" w14:textId="77777777">
        <w:trPr>
          <w:trHeight w:val="285"/>
        </w:trPr>
        <w:tc>
          <w:tcPr>
            <w:tcW w:w="920" w:type="pct"/>
            <w:shd w:val="clear" w:color="auto" w:fill="auto"/>
            <w:noWrap/>
            <w:tcMar>
              <w:top w:w="15" w:type="dxa"/>
              <w:left w:w="15" w:type="dxa"/>
              <w:bottom w:w="0" w:type="dxa"/>
              <w:right w:w="15" w:type="dxa"/>
            </w:tcMar>
            <w:vAlign w:val="bottom"/>
          </w:tcPr>
          <w:p w14:paraId="6942011B" w14:textId="77777777" w:rsidR="002E474C" w:rsidRDefault="00000000">
            <w:pPr>
              <w:pStyle w:val="A-"/>
            </w:pPr>
            <w:r>
              <w:t>序号</w:t>
            </w:r>
          </w:p>
        </w:tc>
        <w:tc>
          <w:tcPr>
            <w:tcW w:w="1320" w:type="pct"/>
            <w:shd w:val="clear" w:color="auto" w:fill="auto"/>
            <w:noWrap/>
            <w:tcMar>
              <w:top w:w="15" w:type="dxa"/>
              <w:left w:w="15" w:type="dxa"/>
              <w:bottom w:w="0" w:type="dxa"/>
              <w:right w:w="15" w:type="dxa"/>
            </w:tcMar>
            <w:vAlign w:val="bottom"/>
          </w:tcPr>
          <w:p w14:paraId="2431639E" w14:textId="77777777" w:rsidR="002E474C" w:rsidRDefault="00000000">
            <w:pPr>
              <w:pStyle w:val="A-"/>
            </w:pPr>
            <w:r>
              <w:t>时段</w:t>
            </w:r>
          </w:p>
        </w:tc>
        <w:tc>
          <w:tcPr>
            <w:tcW w:w="920" w:type="pct"/>
            <w:shd w:val="clear" w:color="auto" w:fill="auto"/>
            <w:noWrap/>
            <w:tcMar>
              <w:top w:w="15" w:type="dxa"/>
              <w:left w:w="15" w:type="dxa"/>
              <w:bottom w:w="0" w:type="dxa"/>
              <w:right w:w="15" w:type="dxa"/>
            </w:tcMar>
            <w:vAlign w:val="bottom"/>
          </w:tcPr>
          <w:p w14:paraId="15C77313" w14:textId="77777777" w:rsidR="002E474C" w:rsidRDefault="00000000">
            <w:pPr>
              <w:pStyle w:val="A-"/>
            </w:pPr>
            <w:r>
              <w:t>正午反照率</w:t>
            </w:r>
          </w:p>
        </w:tc>
        <w:tc>
          <w:tcPr>
            <w:tcW w:w="920" w:type="pct"/>
            <w:shd w:val="clear" w:color="auto" w:fill="auto"/>
            <w:noWrap/>
            <w:tcMar>
              <w:top w:w="15" w:type="dxa"/>
              <w:left w:w="15" w:type="dxa"/>
              <w:bottom w:w="0" w:type="dxa"/>
              <w:right w:w="15" w:type="dxa"/>
            </w:tcMar>
            <w:vAlign w:val="bottom"/>
          </w:tcPr>
          <w:p w14:paraId="1F966F1B" w14:textId="77777777" w:rsidR="002E474C" w:rsidRDefault="00000000">
            <w:pPr>
              <w:pStyle w:val="A-"/>
            </w:pPr>
            <w:r>
              <w:t>BOWEN</w:t>
            </w:r>
          </w:p>
        </w:tc>
        <w:tc>
          <w:tcPr>
            <w:tcW w:w="920" w:type="pct"/>
            <w:shd w:val="clear" w:color="auto" w:fill="auto"/>
            <w:noWrap/>
            <w:tcMar>
              <w:top w:w="15" w:type="dxa"/>
              <w:left w:w="15" w:type="dxa"/>
              <w:bottom w:w="0" w:type="dxa"/>
              <w:right w:w="15" w:type="dxa"/>
            </w:tcMar>
            <w:vAlign w:val="bottom"/>
          </w:tcPr>
          <w:p w14:paraId="6931120F" w14:textId="77777777" w:rsidR="002E474C" w:rsidRDefault="00000000">
            <w:pPr>
              <w:pStyle w:val="A-"/>
            </w:pPr>
            <w:r>
              <w:t>粗糙度</w:t>
            </w:r>
          </w:p>
        </w:tc>
      </w:tr>
      <w:tr w:rsidR="002E474C" w14:paraId="17387DD5" w14:textId="77777777">
        <w:trPr>
          <w:trHeight w:val="285"/>
        </w:trPr>
        <w:tc>
          <w:tcPr>
            <w:tcW w:w="920" w:type="pct"/>
            <w:shd w:val="clear" w:color="auto" w:fill="auto"/>
            <w:noWrap/>
            <w:tcMar>
              <w:top w:w="15" w:type="dxa"/>
              <w:left w:w="15" w:type="dxa"/>
              <w:bottom w:w="0" w:type="dxa"/>
              <w:right w:w="15" w:type="dxa"/>
            </w:tcMar>
            <w:vAlign w:val="bottom"/>
          </w:tcPr>
          <w:p w14:paraId="6E7F8F84" w14:textId="77777777" w:rsidR="002E474C" w:rsidRDefault="00000000">
            <w:pPr>
              <w:pStyle w:val="A-"/>
            </w:pPr>
            <w:r>
              <w:t>1</w:t>
            </w:r>
          </w:p>
        </w:tc>
        <w:tc>
          <w:tcPr>
            <w:tcW w:w="1320" w:type="pct"/>
            <w:shd w:val="clear" w:color="auto" w:fill="auto"/>
            <w:noWrap/>
            <w:tcMar>
              <w:top w:w="15" w:type="dxa"/>
              <w:left w:w="15" w:type="dxa"/>
              <w:bottom w:w="0" w:type="dxa"/>
              <w:right w:w="15" w:type="dxa"/>
            </w:tcMar>
            <w:vAlign w:val="bottom"/>
          </w:tcPr>
          <w:p w14:paraId="2EB1AE6B" w14:textId="77777777" w:rsidR="002E474C" w:rsidRDefault="00000000">
            <w:pPr>
              <w:pStyle w:val="A-"/>
            </w:pPr>
            <w:r>
              <w:t>冬季</w:t>
            </w:r>
            <w:r>
              <w:t>(12</w:t>
            </w:r>
            <w:r>
              <w:t>，</w:t>
            </w:r>
            <w:r>
              <w:t>1</w:t>
            </w:r>
            <w:r>
              <w:t>，</w:t>
            </w:r>
            <w:r>
              <w:t>2</w:t>
            </w:r>
            <w:r>
              <w:t>月</w:t>
            </w:r>
            <w:r>
              <w:t>)</w:t>
            </w:r>
          </w:p>
        </w:tc>
        <w:tc>
          <w:tcPr>
            <w:tcW w:w="920" w:type="pct"/>
            <w:shd w:val="clear" w:color="auto" w:fill="auto"/>
            <w:noWrap/>
            <w:tcMar>
              <w:top w:w="15" w:type="dxa"/>
              <w:left w:w="15" w:type="dxa"/>
              <w:bottom w:w="0" w:type="dxa"/>
              <w:right w:w="15" w:type="dxa"/>
            </w:tcMar>
            <w:vAlign w:val="bottom"/>
          </w:tcPr>
          <w:p w14:paraId="717D1543" w14:textId="77777777" w:rsidR="002E474C" w:rsidRDefault="00000000">
            <w:pPr>
              <w:pStyle w:val="A-"/>
            </w:pPr>
            <w:r>
              <w:t>0.45</w:t>
            </w:r>
          </w:p>
        </w:tc>
        <w:tc>
          <w:tcPr>
            <w:tcW w:w="920" w:type="pct"/>
            <w:shd w:val="clear" w:color="auto" w:fill="auto"/>
            <w:noWrap/>
            <w:tcMar>
              <w:top w:w="15" w:type="dxa"/>
              <w:left w:w="15" w:type="dxa"/>
              <w:bottom w:w="0" w:type="dxa"/>
              <w:right w:w="15" w:type="dxa"/>
            </w:tcMar>
            <w:vAlign w:val="bottom"/>
          </w:tcPr>
          <w:p w14:paraId="66A595BC" w14:textId="77777777" w:rsidR="002E474C" w:rsidRDefault="00000000">
            <w:pPr>
              <w:pStyle w:val="A-"/>
            </w:pPr>
            <w:r>
              <w:t>10</w:t>
            </w:r>
          </w:p>
        </w:tc>
        <w:tc>
          <w:tcPr>
            <w:tcW w:w="920" w:type="pct"/>
            <w:shd w:val="clear" w:color="auto" w:fill="auto"/>
            <w:noWrap/>
            <w:tcMar>
              <w:top w:w="15" w:type="dxa"/>
              <w:left w:w="15" w:type="dxa"/>
              <w:bottom w:w="0" w:type="dxa"/>
              <w:right w:w="15" w:type="dxa"/>
            </w:tcMar>
            <w:vAlign w:val="bottom"/>
          </w:tcPr>
          <w:p w14:paraId="796E4ACC" w14:textId="77777777" w:rsidR="002E474C" w:rsidRDefault="00000000">
            <w:pPr>
              <w:pStyle w:val="A-"/>
            </w:pPr>
            <w:r>
              <w:t>0.15</w:t>
            </w:r>
          </w:p>
        </w:tc>
      </w:tr>
      <w:tr w:rsidR="002E474C" w14:paraId="2317F4E6" w14:textId="77777777">
        <w:trPr>
          <w:trHeight w:val="285"/>
        </w:trPr>
        <w:tc>
          <w:tcPr>
            <w:tcW w:w="920" w:type="pct"/>
            <w:shd w:val="clear" w:color="auto" w:fill="auto"/>
            <w:noWrap/>
            <w:tcMar>
              <w:top w:w="15" w:type="dxa"/>
              <w:left w:w="15" w:type="dxa"/>
              <w:bottom w:w="0" w:type="dxa"/>
              <w:right w:w="15" w:type="dxa"/>
            </w:tcMar>
            <w:vAlign w:val="bottom"/>
          </w:tcPr>
          <w:p w14:paraId="6D400275" w14:textId="77777777" w:rsidR="002E474C" w:rsidRDefault="00000000">
            <w:pPr>
              <w:pStyle w:val="A-"/>
            </w:pPr>
            <w:r>
              <w:t>2</w:t>
            </w:r>
          </w:p>
        </w:tc>
        <w:tc>
          <w:tcPr>
            <w:tcW w:w="1320" w:type="pct"/>
            <w:shd w:val="clear" w:color="auto" w:fill="auto"/>
            <w:noWrap/>
            <w:tcMar>
              <w:top w:w="15" w:type="dxa"/>
              <w:left w:w="15" w:type="dxa"/>
              <w:bottom w:w="0" w:type="dxa"/>
              <w:right w:w="15" w:type="dxa"/>
            </w:tcMar>
            <w:vAlign w:val="bottom"/>
          </w:tcPr>
          <w:p w14:paraId="4BAB378B" w14:textId="77777777" w:rsidR="002E474C" w:rsidRDefault="00000000">
            <w:pPr>
              <w:pStyle w:val="A-"/>
            </w:pPr>
            <w:r>
              <w:t>春季</w:t>
            </w:r>
            <w:r>
              <w:t>(3</w:t>
            </w:r>
            <w:r>
              <w:t>，</w:t>
            </w:r>
            <w:r>
              <w:t>4</w:t>
            </w:r>
            <w:r>
              <w:t>，</w:t>
            </w:r>
            <w:r>
              <w:t>5</w:t>
            </w:r>
            <w:r>
              <w:t>月</w:t>
            </w:r>
            <w:r>
              <w:t>)</w:t>
            </w:r>
          </w:p>
        </w:tc>
        <w:tc>
          <w:tcPr>
            <w:tcW w:w="920" w:type="pct"/>
            <w:shd w:val="clear" w:color="auto" w:fill="auto"/>
            <w:noWrap/>
            <w:tcMar>
              <w:top w:w="15" w:type="dxa"/>
              <w:left w:w="15" w:type="dxa"/>
              <w:bottom w:w="0" w:type="dxa"/>
              <w:right w:w="15" w:type="dxa"/>
            </w:tcMar>
            <w:vAlign w:val="bottom"/>
          </w:tcPr>
          <w:p w14:paraId="027E9ED9" w14:textId="77777777" w:rsidR="002E474C" w:rsidRDefault="00000000">
            <w:pPr>
              <w:pStyle w:val="A-"/>
            </w:pPr>
            <w:r>
              <w:t>0.3</w:t>
            </w:r>
          </w:p>
        </w:tc>
        <w:tc>
          <w:tcPr>
            <w:tcW w:w="920" w:type="pct"/>
            <w:shd w:val="clear" w:color="auto" w:fill="auto"/>
            <w:noWrap/>
            <w:tcMar>
              <w:top w:w="15" w:type="dxa"/>
              <w:left w:w="15" w:type="dxa"/>
              <w:bottom w:w="0" w:type="dxa"/>
              <w:right w:w="15" w:type="dxa"/>
            </w:tcMar>
            <w:vAlign w:val="bottom"/>
          </w:tcPr>
          <w:p w14:paraId="4EA0AC05" w14:textId="77777777" w:rsidR="002E474C" w:rsidRDefault="00000000">
            <w:pPr>
              <w:pStyle w:val="A-"/>
            </w:pPr>
            <w:r>
              <w:t>5</w:t>
            </w:r>
          </w:p>
        </w:tc>
        <w:tc>
          <w:tcPr>
            <w:tcW w:w="920" w:type="pct"/>
            <w:shd w:val="clear" w:color="auto" w:fill="auto"/>
            <w:noWrap/>
            <w:tcMar>
              <w:top w:w="15" w:type="dxa"/>
              <w:left w:w="15" w:type="dxa"/>
              <w:bottom w:w="0" w:type="dxa"/>
              <w:right w:w="15" w:type="dxa"/>
            </w:tcMar>
            <w:vAlign w:val="bottom"/>
          </w:tcPr>
          <w:p w14:paraId="04F416B6" w14:textId="77777777" w:rsidR="002E474C" w:rsidRDefault="00000000">
            <w:pPr>
              <w:pStyle w:val="A-"/>
            </w:pPr>
            <w:r>
              <w:t>0.3</w:t>
            </w:r>
          </w:p>
        </w:tc>
      </w:tr>
      <w:tr w:rsidR="002E474C" w14:paraId="0565907A" w14:textId="77777777">
        <w:trPr>
          <w:trHeight w:val="285"/>
        </w:trPr>
        <w:tc>
          <w:tcPr>
            <w:tcW w:w="920" w:type="pct"/>
            <w:shd w:val="clear" w:color="auto" w:fill="auto"/>
            <w:noWrap/>
            <w:tcMar>
              <w:top w:w="15" w:type="dxa"/>
              <w:left w:w="15" w:type="dxa"/>
              <w:bottom w:w="0" w:type="dxa"/>
              <w:right w:w="15" w:type="dxa"/>
            </w:tcMar>
            <w:vAlign w:val="bottom"/>
          </w:tcPr>
          <w:p w14:paraId="691AD88B" w14:textId="77777777" w:rsidR="002E474C" w:rsidRDefault="00000000">
            <w:pPr>
              <w:pStyle w:val="A-"/>
            </w:pPr>
            <w:r>
              <w:t>3</w:t>
            </w:r>
          </w:p>
        </w:tc>
        <w:tc>
          <w:tcPr>
            <w:tcW w:w="1320" w:type="pct"/>
            <w:shd w:val="clear" w:color="auto" w:fill="auto"/>
            <w:noWrap/>
            <w:tcMar>
              <w:top w:w="15" w:type="dxa"/>
              <w:left w:w="15" w:type="dxa"/>
              <w:bottom w:w="0" w:type="dxa"/>
              <w:right w:w="15" w:type="dxa"/>
            </w:tcMar>
            <w:vAlign w:val="bottom"/>
          </w:tcPr>
          <w:p w14:paraId="45F24727" w14:textId="77777777" w:rsidR="002E474C" w:rsidRDefault="00000000">
            <w:pPr>
              <w:pStyle w:val="A-"/>
            </w:pPr>
            <w:r>
              <w:t>夏季</w:t>
            </w:r>
            <w:r>
              <w:t>(6</w:t>
            </w:r>
            <w:r>
              <w:t>，</w:t>
            </w:r>
            <w:r>
              <w:t>7</w:t>
            </w:r>
            <w:r>
              <w:t>，</w:t>
            </w:r>
            <w:r>
              <w:t>8</w:t>
            </w:r>
            <w:r>
              <w:t>月</w:t>
            </w:r>
            <w:r>
              <w:t>)</w:t>
            </w:r>
          </w:p>
        </w:tc>
        <w:tc>
          <w:tcPr>
            <w:tcW w:w="920" w:type="pct"/>
            <w:shd w:val="clear" w:color="auto" w:fill="auto"/>
            <w:noWrap/>
            <w:tcMar>
              <w:top w:w="15" w:type="dxa"/>
              <w:left w:w="15" w:type="dxa"/>
              <w:bottom w:w="0" w:type="dxa"/>
              <w:right w:w="15" w:type="dxa"/>
            </w:tcMar>
            <w:vAlign w:val="bottom"/>
          </w:tcPr>
          <w:p w14:paraId="7AA08A44" w14:textId="77777777" w:rsidR="002E474C" w:rsidRDefault="00000000">
            <w:pPr>
              <w:pStyle w:val="A-"/>
            </w:pPr>
            <w:r>
              <w:t>0.28</w:t>
            </w:r>
          </w:p>
        </w:tc>
        <w:tc>
          <w:tcPr>
            <w:tcW w:w="920" w:type="pct"/>
            <w:shd w:val="clear" w:color="auto" w:fill="auto"/>
            <w:noWrap/>
            <w:tcMar>
              <w:top w:w="15" w:type="dxa"/>
              <w:left w:w="15" w:type="dxa"/>
              <w:bottom w:w="0" w:type="dxa"/>
              <w:right w:w="15" w:type="dxa"/>
            </w:tcMar>
            <w:vAlign w:val="bottom"/>
          </w:tcPr>
          <w:p w14:paraId="7BE55081" w14:textId="77777777" w:rsidR="002E474C" w:rsidRDefault="00000000">
            <w:pPr>
              <w:pStyle w:val="A-"/>
            </w:pPr>
            <w:r>
              <w:t>6</w:t>
            </w:r>
          </w:p>
        </w:tc>
        <w:tc>
          <w:tcPr>
            <w:tcW w:w="920" w:type="pct"/>
            <w:shd w:val="clear" w:color="auto" w:fill="auto"/>
            <w:noWrap/>
            <w:tcMar>
              <w:top w:w="15" w:type="dxa"/>
              <w:left w:w="15" w:type="dxa"/>
              <w:bottom w:w="0" w:type="dxa"/>
              <w:right w:w="15" w:type="dxa"/>
            </w:tcMar>
            <w:vAlign w:val="bottom"/>
          </w:tcPr>
          <w:p w14:paraId="274E642B" w14:textId="77777777" w:rsidR="002E474C" w:rsidRDefault="00000000">
            <w:pPr>
              <w:pStyle w:val="A-"/>
            </w:pPr>
            <w:r>
              <w:t>0.3</w:t>
            </w:r>
          </w:p>
        </w:tc>
      </w:tr>
      <w:tr w:rsidR="002E474C" w14:paraId="7C675C06" w14:textId="77777777">
        <w:trPr>
          <w:trHeight w:val="285"/>
        </w:trPr>
        <w:tc>
          <w:tcPr>
            <w:tcW w:w="920" w:type="pct"/>
            <w:shd w:val="clear" w:color="auto" w:fill="auto"/>
            <w:noWrap/>
            <w:tcMar>
              <w:top w:w="15" w:type="dxa"/>
              <w:left w:w="15" w:type="dxa"/>
              <w:bottom w:w="0" w:type="dxa"/>
              <w:right w:w="15" w:type="dxa"/>
            </w:tcMar>
            <w:vAlign w:val="bottom"/>
          </w:tcPr>
          <w:p w14:paraId="24645D68" w14:textId="77777777" w:rsidR="002E474C" w:rsidRDefault="00000000">
            <w:pPr>
              <w:pStyle w:val="A-"/>
            </w:pPr>
            <w:r>
              <w:t>4</w:t>
            </w:r>
          </w:p>
        </w:tc>
        <w:tc>
          <w:tcPr>
            <w:tcW w:w="1320" w:type="pct"/>
            <w:shd w:val="clear" w:color="auto" w:fill="auto"/>
            <w:noWrap/>
            <w:tcMar>
              <w:top w:w="15" w:type="dxa"/>
              <w:left w:w="15" w:type="dxa"/>
              <w:bottom w:w="0" w:type="dxa"/>
              <w:right w:w="15" w:type="dxa"/>
            </w:tcMar>
            <w:vAlign w:val="bottom"/>
          </w:tcPr>
          <w:p w14:paraId="39602464" w14:textId="77777777" w:rsidR="002E474C" w:rsidRDefault="00000000">
            <w:pPr>
              <w:pStyle w:val="A-"/>
            </w:pPr>
            <w:r>
              <w:t>秋季</w:t>
            </w:r>
            <w:r>
              <w:t>(9</w:t>
            </w:r>
            <w:r>
              <w:t>，</w:t>
            </w:r>
            <w:r>
              <w:t>10</w:t>
            </w:r>
            <w:r>
              <w:t>，</w:t>
            </w:r>
            <w:r>
              <w:t>11</w:t>
            </w:r>
            <w:r>
              <w:t>月</w:t>
            </w:r>
            <w:r>
              <w:t>)</w:t>
            </w:r>
          </w:p>
        </w:tc>
        <w:tc>
          <w:tcPr>
            <w:tcW w:w="920" w:type="pct"/>
            <w:shd w:val="clear" w:color="auto" w:fill="auto"/>
            <w:noWrap/>
            <w:tcMar>
              <w:top w:w="15" w:type="dxa"/>
              <w:left w:w="15" w:type="dxa"/>
              <w:bottom w:w="0" w:type="dxa"/>
              <w:right w:w="15" w:type="dxa"/>
            </w:tcMar>
            <w:vAlign w:val="bottom"/>
          </w:tcPr>
          <w:p w14:paraId="3860E05A" w14:textId="77777777" w:rsidR="002E474C" w:rsidRDefault="00000000">
            <w:pPr>
              <w:pStyle w:val="A-"/>
            </w:pPr>
            <w:r>
              <w:t>0.28</w:t>
            </w:r>
          </w:p>
        </w:tc>
        <w:tc>
          <w:tcPr>
            <w:tcW w:w="920" w:type="pct"/>
            <w:shd w:val="clear" w:color="auto" w:fill="auto"/>
            <w:noWrap/>
            <w:tcMar>
              <w:top w:w="15" w:type="dxa"/>
              <w:left w:w="15" w:type="dxa"/>
              <w:bottom w:w="0" w:type="dxa"/>
              <w:right w:w="15" w:type="dxa"/>
            </w:tcMar>
            <w:vAlign w:val="bottom"/>
          </w:tcPr>
          <w:p w14:paraId="778BB63B" w14:textId="77777777" w:rsidR="002E474C" w:rsidRDefault="00000000">
            <w:pPr>
              <w:pStyle w:val="A-"/>
            </w:pPr>
            <w:r>
              <w:t>10</w:t>
            </w:r>
          </w:p>
        </w:tc>
        <w:tc>
          <w:tcPr>
            <w:tcW w:w="920" w:type="pct"/>
            <w:shd w:val="clear" w:color="auto" w:fill="auto"/>
            <w:noWrap/>
            <w:tcMar>
              <w:top w:w="15" w:type="dxa"/>
              <w:left w:w="15" w:type="dxa"/>
              <w:bottom w:w="0" w:type="dxa"/>
              <w:right w:w="15" w:type="dxa"/>
            </w:tcMar>
            <w:vAlign w:val="bottom"/>
          </w:tcPr>
          <w:p w14:paraId="45DAF7F5" w14:textId="77777777" w:rsidR="002E474C" w:rsidRDefault="00000000">
            <w:pPr>
              <w:pStyle w:val="A-"/>
            </w:pPr>
            <w:r>
              <w:t>0.3</w:t>
            </w:r>
          </w:p>
        </w:tc>
      </w:tr>
    </w:tbl>
    <w:p w14:paraId="24425335" w14:textId="77777777" w:rsidR="002E474C" w:rsidRDefault="002E474C"/>
    <w:p w14:paraId="1F7EEA01" w14:textId="77777777" w:rsidR="002E474C" w:rsidRDefault="00000000">
      <w:pPr>
        <w:pStyle w:val="A-z"/>
        <w:rPr>
          <w:color w:val="auto"/>
        </w:rPr>
      </w:pPr>
      <w:r>
        <w:rPr>
          <w:color w:val="auto"/>
        </w:rPr>
        <w:t>（</w:t>
      </w:r>
      <w:r>
        <w:rPr>
          <w:color w:val="auto"/>
        </w:rPr>
        <w:t>3</w:t>
      </w:r>
      <w:r>
        <w:rPr>
          <w:color w:val="auto"/>
        </w:rPr>
        <w:t>）计算点的设置</w:t>
      </w:r>
    </w:p>
    <w:p w14:paraId="62E3E25B" w14:textId="77777777" w:rsidR="002E474C" w:rsidRDefault="00000000">
      <w:pPr>
        <w:pStyle w:val="A-z"/>
        <w:rPr>
          <w:color w:val="auto"/>
        </w:rPr>
      </w:pPr>
      <w:r>
        <w:rPr>
          <w:color w:val="auto"/>
        </w:rPr>
        <w:t>本次评价预测网格点间距采用近密远疏法进行设置，具体为距离源中心</w:t>
      </w:r>
      <w:r>
        <w:rPr>
          <w:color w:val="auto"/>
        </w:rPr>
        <w:t>5km</w:t>
      </w:r>
      <w:r>
        <w:rPr>
          <w:color w:val="auto"/>
        </w:rPr>
        <w:t>以内的网格间距</w:t>
      </w:r>
      <w:r>
        <w:rPr>
          <w:color w:val="auto"/>
        </w:rPr>
        <w:t>100m</w:t>
      </w:r>
      <w:r>
        <w:rPr>
          <w:color w:val="auto"/>
        </w:rPr>
        <w:t>，</w:t>
      </w:r>
      <w:r>
        <w:rPr>
          <w:color w:val="auto"/>
        </w:rPr>
        <w:t>5~15km</w:t>
      </w:r>
      <w:r>
        <w:rPr>
          <w:color w:val="auto"/>
        </w:rPr>
        <w:t>的网格间距</w:t>
      </w:r>
      <w:r>
        <w:rPr>
          <w:color w:val="auto"/>
        </w:rPr>
        <w:t>250m</w:t>
      </w:r>
      <w:r>
        <w:rPr>
          <w:color w:val="auto"/>
        </w:rPr>
        <w:t>。</w:t>
      </w:r>
    </w:p>
    <w:p w14:paraId="5B6FAD86" w14:textId="77777777" w:rsidR="002E474C" w:rsidRDefault="00000000">
      <w:pPr>
        <w:pStyle w:val="A-z"/>
        <w:rPr>
          <w:color w:val="auto"/>
        </w:rPr>
      </w:pPr>
      <w:r>
        <w:rPr>
          <w:color w:val="auto"/>
        </w:rPr>
        <w:t>大气防护距离预测范围为厂界外</w:t>
      </w:r>
      <w:r>
        <w:rPr>
          <w:color w:val="auto"/>
        </w:rPr>
        <w:t>2km</w:t>
      </w:r>
      <w:r>
        <w:rPr>
          <w:color w:val="auto"/>
        </w:rPr>
        <w:t>范围矩形区域，预测网格点间距为</w:t>
      </w:r>
      <w:r>
        <w:rPr>
          <w:color w:val="auto"/>
        </w:rPr>
        <w:t>50m</w:t>
      </w:r>
      <w:r>
        <w:rPr>
          <w:color w:val="auto"/>
        </w:rPr>
        <w:t>。</w:t>
      </w:r>
    </w:p>
    <w:p w14:paraId="6660E02B" w14:textId="77777777" w:rsidR="002E474C" w:rsidRDefault="00000000">
      <w:pPr>
        <w:pStyle w:val="A-z"/>
        <w:rPr>
          <w:color w:val="auto"/>
        </w:rPr>
      </w:pPr>
      <w:r>
        <w:rPr>
          <w:color w:val="auto"/>
        </w:rPr>
        <w:t>预测以企业厂界西南角为坐标原点（</w:t>
      </w:r>
      <w:r>
        <w:rPr>
          <w:color w:val="auto"/>
        </w:rPr>
        <w:t>0</w:t>
      </w:r>
      <w:r>
        <w:rPr>
          <w:color w:val="auto"/>
        </w:rPr>
        <w:t>，</w:t>
      </w:r>
      <w:r>
        <w:rPr>
          <w:color w:val="auto"/>
        </w:rPr>
        <w:t>0</w:t>
      </w:r>
      <w:r>
        <w:rPr>
          <w:color w:val="auto"/>
        </w:rPr>
        <w:t>），计算各网格点的环境空气地面浓度值，并对各关心点（敏感点）进行特定点的计算。</w:t>
      </w:r>
    </w:p>
    <w:p w14:paraId="2D84C071" w14:textId="77777777" w:rsidR="002E474C" w:rsidRDefault="00000000">
      <w:pPr>
        <w:pStyle w:val="31"/>
        <w:spacing w:before="120" w:after="120"/>
        <w:rPr>
          <w:color w:val="auto"/>
        </w:rPr>
      </w:pPr>
      <w:r>
        <w:rPr>
          <w:color w:val="auto"/>
        </w:rPr>
        <w:lastRenderedPageBreak/>
        <w:t>污染源参数</w:t>
      </w:r>
    </w:p>
    <w:p w14:paraId="58D77B54" w14:textId="77777777" w:rsidR="002E474C" w:rsidRDefault="00000000">
      <w:pPr>
        <w:pStyle w:val="41"/>
        <w:rPr>
          <w:color w:val="auto"/>
        </w:rPr>
      </w:pPr>
      <w:r>
        <w:rPr>
          <w:color w:val="auto"/>
        </w:rPr>
        <w:t>项目污染源清单</w:t>
      </w:r>
    </w:p>
    <w:p w14:paraId="5DA31BE8" w14:textId="77777777" w:rsidR="002E474C" w:rsidRDefault="00000000">
      <w:pPr>
        <w:pStyle w:val="A-z"/>
        <w:rPr>
          <w:color w:val="auto"/>
        </w:rPr>
      </w:pPr>
      <w:r>
        <w:rPr>
          <w:color w:val="auto"/>
        </w:rPr>
        <w:t>（</w:t>
      </w:r>
      <w:r>
        <w:rPr>
          <w:color w:val="auto"/>
        </w:rPr>
        <w:t>1</w:t>
      </w:r>
      <w:r>
        <w:rPr>
          <w:color w:val="auto"/>
        </w:rPr>
        <w:t>）正常工况</w:t>
      </w:r>
    </w:p>
    <w:p w14:paraId="55727DAE" w14:textId="77777777" w:rsidR="002E474C" w:rsidRDefault="00000000">
      <w:pPr>
        <w:pStyle w:val="A-z"/>
        <w:rPr>
          <w:color w:val="auto"/>
        </w:rPr>
      </w:pPr>
      <w:r>
        <w:rPr>
          <w:color w:val="auto"/>
        </w:rPr>
        <w:t>协同处置新增有组织废气源强见表</w:t>
      </w:r>
      <w:r>
        <w:rPr>
          <w:color w:val="auto"/>
        </w:rPr>
        <w:t>5.1</w:t>
      </w:r>
      <w:r>
        <w:rPr>
          <w:color w:val="auto"/>
        </w:rPr>
        <w:noBreakHyphen/>
        <w:t>1</w:t>
      </w:r>
      <w:r>
        <w:rPr>
          <w:rFonts w:hint="eastAsia"/>
          <w:color w:val="auto"/>
        </w:rPr>
        <w:t>0</w:t>
      </w:r>
      <w:r>
        <w:rPr>
          <w:color w:val="auto"/>
        </w:rPr>
        <w:t>，无组织面源源强见表</w:t>
      </w:r>
      <w:r>
        <w:rPr>
          <w:color w:val="auto"/>
        </w:rPr>
        <w:t>5.1</w:t>
      </w:r>
      <w:r>
        <w:rPr>
          <w:color w:val="auto"/>
        </w:rPr>
        <w:noBreakHyphen/>
        <w:t>1</w:t>
      </w:r>
      <w:r>
        <w:rPr>
          <w:rFonts w:hint="eastAsia"/>
          <w:color w:val="auto"/>
        </w:rPr>
        <w:t>1</w:t>
      </w:r>
      <w:r>
        <w:rPr>
          <w:color w:val="auto"/>
        </w:rPr>
        <w:t>。</w:t>
      </w:r>
    </w:p>
    <w:p w14:paraId="18F7F847" w14:textId="77777777" w:rsidR="005C389C" w:rsidRDefault="005C389C" w:rsidP="005C389C">
      <w:pPr>
        <w:pStyle w:val="A-z"/>
        <w:rPr>
          <w:color w:val="auto"/>
        </w:rPr>
      </w:pPr>
      <w:r>
        <w:rPr>
          <w:color w:val="auto"/>
        </w:rPr>
        <w:t>（</w:t>
      </w:r>
      <w:r>
        <w:rPr>
          <w:color w:val="auto"/>
        </w:rPr>
        <w:t>2</w:t>
      </w:r>
      <w:r>
        <w:rPr>
          <w:color w:val="auto"/>
        </w:rPr>
        <w:t>）非正常工况</w:t>
      </w:r>
    </w:p>
    <w:p w14:paraId="7BFC71F6" w14:textId="77777777" w:rsidR="005C389C" w:rsidRDefault="005C389C" w:rsidP="005C389C">
      <w:pPr>
        <w:pStyle w:val="A-z"/>
        <w:rPr>
          <w:color w:val="auto"/>
        </w:rPr>
      </w:pPr>
      <w:r>
        <w:rPr>
          <w:color w:val="auto"/>
        </w:rPr>
        <w:t>非正常工况排放源强见表</w:t>
      </w:r>
      <w:r>
        <w:rPr>
          <w:color w:val="auto"/>
        </w:rPr>
        <w:t>5.1</w:t>
      </w:r>
      <w:r>
        <w:rPr>
          <w:color w:val="auto"/>
        </w:rPr>
        <w:noBreakHyphen/>
        <w:t>1</w:t>
      </w:r>
      <w:r>
        <w:rPr>
          <w:rFonts w:hint="eastAsia"/>
          <w:color w:val="auto"/>
        </w:rPr>
        <w:t>2</w:t>
      </w:r>
      <w:r>
        <w:rPr>
          <w:color w:val="auto"/>
        </w:rPr>
        <w:t>。</w:t>
      </w:r>
    </w:p>
    <w:p w14:paraId="1EACF716" w14:textId="77777777" w:rsidR="005C389C" w:rsidRDefault="005C389C" w:rsidP="005C389C">
      <w:pPr>
        <w:pStyle w:val="41"/>
        <w:rPr>
          <w:color w:val="auto"/>
        </w:rPr>
      </w:pPr>
      <w:r>
        <w:rPr>
          <w:color w:val="auto"/>
        </w:rPr>
        <w:t>区域拟建及在建污染源</w:t>
      </w:r>
    </w:p>
    <w:p w14:paraId="6C8FBF43" w14:textId="77777777" w:rsidR="005C389C" w:rsidRDefault="005C389C" w:rsidP="005C389C">
      <w:pPr>
        <w:pStyle w:val="A-z"/>
        <w:rPr>
          <w:color w:val="auto"/>
        </w:rPr>
      </w:pPr>
      <w:r>
        <w:rPr>
          <w:color w:val="auto"/>
        </w:rPr>
        <w:t>根据现场调查，评价范围内与本项目排放污染物有关的在建项目为</w:t>
      </w:r>
      <w:r>
        <w:rPr>
          <w:rFonts w:hint="eastAsia"/>
          <w:color w:val="auto"/>
        </w:rPr>
        <w:t>新</w:t>
      </w:r>
      <w:r>
        <w:rPr>
          <w:color w:val="auto"/>
        </w:rPr>
        <w:t>疆亿航新材料有限公司</w:t>
      </w:r>
      <w:r>
        <w:rPr>
          <w:color w:val="auto"/>
        </w:rPr>
        <w:t>500</w:t>
      </w:r>
      <w:r>
        <w:rPr>
          <w:color w:val="auto"/>
        </w:rPr>
        <w:t>万吨</w:t>
      </w:r>
      <w:r>
        <w:rPr>
          <w:color w:val="auto"/>
        </w:rPr>
        <w:t>/</w:t>
      </w:r>
      <w:r>
        <w:rPr>
          <w:color w:val="auto"/>
        </w:rPr>
        <w:t>年煤炭清洁高效综合利用示范项目。</w:t>
      </w:r>
    </w:p>
    <w:p w14:paraId="61A956FD" w14:textId="77777777" w:rsidR="005C389C" w:rsidRDefault="005C389C" w:rsidP="005C389C">
      <w:pPr>
        <w:pStyle w:val="A-z"/>
        <w:rPr>
          <w:color w:val="auto"/>
        </w:rPr>
      </w:pPr>
      <w:r>
        <w:rPr>
          <w:color w:val="auto"/>
        </w:rPr>
        <w:t>在建污染源参数见表</w:t>
      </w:r>
      <w:r>
        <w:rPr>
          <w:color w:val="auto"/>
        </w:rPr>
        <w:t>5.1-1</w:t>
      </w:r>
      <w:r>
        <w:rPr>
          <w:rFonts w:hint="eastAsia"/>
          <w:color w:val="auto"/>
        </w:rPr>
        <w:t>3</w:t>
      </w:r>
      <w:r>
        <w:rPr>
          <w:color w:val="auto"/>
        </w:rPr>
        <w:t>和表</w:t>
      </w:r>
      <w:r>
        <w:rPr>
          <w:color w:val="auto"/>
        </w:rPr>
        <w:t>5.1-1</w:t>
      </w:r>
      <w:r>
        <w:rPr>
          <w:rFonts w:hint="eastAsia"/>
          <w:color w:val="auto"/>
        </w:rPr>
        <w:t>4</w:t>
      </w:r>
      <w:r>
        <w:rPr>
          <w:color w:val="auto"/>
        </w:rPr>
        <w:t>。</w:t>
      </w:r>
    </w:p>
    <w:p w14:paraId="387B063F" w14:textId="77777777" w:rsidR="005C389C" w:rsidRDefault="005C389C" w:rsidP="005C389C">
      <w:pPr>
        <w:pStyle w:val="31"/>
        <w:spacing w:before="120" w:after="120"/>
        <w:rPr>
          <w:color w:val="auto"/>
        </w:rPr>
      </w:pPr>
      <w:r>
        <w:rPr>
          <w:color w:val="auto"/>
        </w:rPr>
        <w:t>预测内容</w:t>
      </w:r>
    </w:p>
    <w:p w14:paraId="62AB6CA9" w14:textId="77777777" w:rsidR="005C389C" w:rsidRDefault="005C389C" w:rsidP="005C389C">
      <w:pPr>
        <w:pStyle w:val="A-z"/>
        <w:rPr>
          <w:color w:val="auto"/>
        </w:rPr>
      </w:pPr>
      <w:r>
        <w:rPr>
          <w:color w:val="auto"/>
        </w:rPr>
        <w:t>（</w:t>
      </w:r>
      <w:r>
        <w:rPr>
          <w:color w:val="auto"/>
        </w:rPr>
        <w:t>1</w:t>
      </w:r>
      <w:r>
        <w:rPr>
          <w:color w:val="auto"/>
        </w:rPr>
        <w:t>）预测因子</w:t>
      </w:r>
    </w:p>
    <w:p w14:paraId="65747E10" w14:textId="77777777" w:rsidR="005C389C" w:rsidRDefault="005C389C" w:rsidP="005C389C">
      <w:pPr>
        <w:pStyle w:val="A-z"/>
        <w:rPr>
          <w:color w:val="auto"/>
        </w:rPr>
      </w:pPr>
      <w:r>
        <w:rPr>
          <w:color w:val="auto"/>
        </w:rPr>
        <w:t>协同处置建成后，窑尾污染物排放新增了</w:t>
      </w:r>
      <w:r>
        <w:rPr>
          <w:color w:val="auto"/>
        </w:rPr>
        <w:t>HF</w:t>
      </w:r>
      <w:r>
        <w:rPr>
          <w:color w:val="auto"/>
        </w:rPr>
        <w:t>、</w:t>
      </w:r>
      <w:r>
        <w:rPr>
          <w:color w:val="auto"/>
        </w:rPr>
        <w:t>HCl</w:t>
      </w:r>
      <w:r>
        <w:rPr>
          <w:color w:val="auto"/>
        </w:rPr>
        <w:t>、</w:t>
      </w:r>
      <w:r>
        <w:rPr>
          <w:color w:val="auto"/>
        </w:rPr>
        <w:t>Cr</w:t>
      </w:r>
      <w:r>
        <w:rPr>
          <w:color w:val="auto"/>
        </w:rPr>
        <w:t>、</w:t>
      </w:r>
      <w:r>
        <w:rPr>
          <w:color w:val="auto"/>
        </w:rPr>
        <w:t>Cd</w:t>
      </w:r>
      <w:r>
        <w:rPr>
          <w:color w:val="auto"/>
        </w:rPr>
        <w:t>、</w:t>
      </w:r>
      <w:r>
        <w:rPr>
          <w:color w:val="auto"/>
        </w:rPr>
        <w:t>Pb</w:t>
      </w:r>
      <w:r>
        <w:rPr>
          <w:color w:val="auto"/>
        </w:rPr>
        <w:t>、</w:t>
      </w:r>
      <w:r>
        <w:rPr>
          <w:color w:val="auto"/>
        </w:rPr>
        <w:t>Mn</w:t>
      </w:r>
      <w:r>
        <w:rPr>
          <w:color w:val="auto"/>
        </w:rPr>
        <w:t>、</w:t>
      </w:r>
      <w:r>
        <w:rPr>
          <w:color w:val="auto"/>
        </w:rPr>
        <w:t>As</w:t>
      </w:r>
      <w:r>
        <w:rPr>
          <w:color w:val="auto"/>
        </w:rPr>
        <w:t>、</w:t>
      </w:r>
      <w:r>
        <w:rPr>
          <w:color w:val="auto"/>
        </w:rPr>
        <w:t>Hg</w:t>
      </w:r>
      <w:r>
        <w:rPr>
          <w:color w:val="auto"/>
        </w:rPr>
        <w:t>、二噁英类排放，危废贮存库及固态危废预处理车间新增排放</w:t>
      </w:r>
      <w:r>
        <w:rPr>
          <w:color w:val="auto"/>
        </w:rPr>
        <w:t>NMHC</w:t>
      </w:r>
      <w:r>
        <w:rPr>
          <w:color w:val="auto"/>
        </w:rPr>
        <w:t>、</w:t>
      </w:r>
      <w:r>
        <w:rPr>
          <w:color w:val="auto"/>
        </w:rPr>
        <w:t>H</w:t>
      </w:r>
      <w:r>
        <w:rPr>
          <w:color w:val="auto"/>
          <w:vertAlign w:val="subscript"/>
        </w:rPr>
        <w:t>2</w:t>
      </w:r>
      <w:r>
        <w:rPr>
          <w:color w:val="auto"/>
        </w:rPr>
        <w:t>S</w:t>
      </w:r>
      <w:r>
        <w:rPr>
          <w:color w:val="auto"/>
        </w:rPr>
        <w:t>、</w:t>
      </w:r>
      <w:r>
        <w:rPr>
          <w:color w:val="auto"/>
        </w:rPr>
        <w:t>NH</w:t>
      </w:r>
      <w:r>
        <w:rPr>
          <w:color w:val="auto"/>
          <w:vertAlign w:val="subscript"/>
        </w:rPr>
        <w:t>3</w:t>
      </w:r>
      <w:r>
        <w:rPr>
          <w:color w:val="auto"/>
        </w:rPr>
        <w:t>。</w:t>
      </w:r>
    </w:p>
    <w:p w14:paraId="41151084" w14:textId="77777777" w:rsidR="005C389C" w:rsidRDefault="005C389C" w:rsidP="005C389C">
      <w:pPr>
        <w:pStyle w:val="A-z"/>
        <w:rPr>
          <w:color w:val="auto"/>
        </w:rPr>
      </w:pPr>
      <w:r>
        <w:rPr>
          <w:color w:val="auto"/>
        </w:rPr>
        <w:t>正常工况预测</w:t>
      </w:r>
      <w:r>
        <w:rPr>
          <w:snapToGrid w:val="0"/>
          <w:color w:val="auto"/>
        </w:rPr>
        <w:t>HF</w:t>
      </w:r>
      <w:r>
        <w:rPr>
          <w:snapToGrid w:val="0"/>
          <w:color w:val="auto"/>
        </w:rPr>
        <w:t>、</w:t>
      </w:r>
      <w:r>
        <w:rPr>
          <w:snapToGrid w:val="0"/>
          <w:color w:val="auto"/>
        </w:rPr>
        <w:t>HCl</w:t>
      </w:r>
      <w:r>
        <w:rPr>
          <w:snapToGrid w:val="0"/>
          <w:color w:val="auto"/>
        </w:rPr>
        <w:t>、</w:t>
      </w:r>
      <w:r>
        <w:rPr>
          <w:snapToGrid w:val="0"/>
          <w:color w:val="auto"/>
        </w:rPr>
        <w:t>Cr</w:t>
      </w:r>
      <w:r>
        <w:rPr>
          <w:snapToGrid w:val="0"/>
          <w:color w:val="auto"/>
        </w:rPr>
        <w:t>、</w:t>
      </w:r>
      <w:r>
        <w:rPr>
          <w:snapToGrid w:val="0"/>
          <w:color w:val="auto"/>
        </w:rPr>
        <w:t>Cd</w:t>
      </w:r>
      <w:r>
        <w:rPr>
          <w:snapToGrid w:val="0"/>
          <w:color w:val="auto"/>
        </w:rPr>
        <w:t>、</w:t>
      </w:r>
      <w:r>
        <w:rPr>
          <w:snapToGrid w:val="0"/>
          <w:color w:val="auto"/>
        </w:rPr>
        <w:t>Pb</w:t>
      </w:r>
      <w:r>
        <w:rPr>
          <w:snapToGrid w:val="0"/>
          <w:color w:val="auto"/>
        </w:rPr>
        <w:t>、</w:t>
      </w:r>
      <w:r>
        <w:rPr>
          <w:snapToGrid w:val="0"/>
          <w:color w:val="auto"/>
        </w:rPr>
        <w:t>Ni</w:t>
      </w:r>
      <w:r>
        <w:rPr>
          <w:snapToGrid w:val="0"/>
          <w:color w:val="auto"/>
        </w:rPr>
        <w:t>、</w:t>
      </w:r>
      <w:r>
        <w:rPr>
          <w:snapToGrid w:val="0"/>
          <w:color w:val="auto"/>
        </w:rPr>
        <w:t>Mn</w:t>
      </w:r>
      <w:r>
        <w:rPr>
          <w:snapToGrid w:val="0"/>
          <w:color w:val="auto"/>
        </w:rPr>
        <w:t>、</w:t>
      </w:r>
      <w:r>
        <w:rPr>
          <w:snapToGrid w:val="0"/>
          <w:color w:val="auto"/>
        </w:rPr>
        <w:t>As</w:t>
      </w:r>
      <w:r>
        <w:rPr>
          <w:snapToGrid w:val="0"/>
          <w:color w:val="auto"/>
        </w:rPr>
        <w:t>、</w:t>
      </w:r>
      <w:r>
        <w:rPr>
          <w:snapToGrid w:val="0"/>
          <w:color w:val="auto"/>
        </w:rPr>
        <w:t>Hg</w:t>
      </w:r>
      <w:r>
        <w:rPr>
          <w:snapToGrid w:val="0"/>
          <w:color w:val="auto"/>
        </w:rPr>
        <w:t>、二噁英类、</w:t>
      </w:r>
      <w:r>
        <w:rPr>
          <w:snapToGrid w:val="0"/>
          <w:color w:val="auto"/>
        </w:rPr>
        <w:t>NH</w:t>
      </w:r>
      <w:r>
        <w:rPr>
          <w:snapToGrid w:val="0"/>
          <w:color w:val="auto"/>
          <w:vertAlign w:val="subscript"/>
        </w:rPr>
        <w:t>3</w:t>
      </w:r>
      <w:r>
        <w:rPr>
          <w:snapToGrid w:val="0"/>
          <w:color w:val="auto"/>
        </w:rPr>
        <w:t>、</w:t>
      </w:r>
      <w:r>
        <w:rPr>
          <w:snapToGrid w:val="0"/>
          <w:color w:val="auto"/>
        </w:rPr>
        <w:t>H</w:t>
      </w:r>
      <w:r>
        <w:rPr>
          <w:snapToGrid w:val="0"/>
          <w:color w:val="auto"/>
          <w:vertAlign w:val="subscript"/>
        </w:rPr>
        <w:t>2</w:t>
      </w:r>
      <w:r>
        <w:rPr>
          <w:snapToGrid w:val="0"/>
          <w:color w:val="auto"/>
        </w:rPr>
        <w:t>S</w:t>
      </w:r>
      <w:r>
        <w:rPr>
          <w:snapToGrid w:val="0"/>
          <w:color w:val="auto"/>
        </w:rPr>
        <w:t>、非甲烷总烃，非正常工况预测</w:t>
      </w:r>
      <w:r>
        <w:rPr>
          <w:color w:val="auto"/>
        </w:rPr>
        <w:t>二噁英类、</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、非甲烷总烃。</w:t>
      </w:r>
    </w:p>
    <w:p w14:paraId="60277696" w14:textId="77777777" w:rsidR="005C389C" w:rsidRDefault="005C389C" w:rsidP="005C389C">
      <w:pPr>
        <w:pStyle w:val="A-z"/>
        <w:rPr>
          <w:color w:val="auto"/>
        </w:rPr>
      </w:pPr>
      <w:r>
        <w:rPr>
          <w:color w:val="auto"/>
        </w:rPr>
        <w:t>（</w:t>
      </w:r>
      <w:r>
        <w:rPr>
          <w:color w:val="auto"/>
        </w:rPr>
        <w:t>2</w:t>
      </w:r>
      <w:r>
        <w:rPr>
          <w:color w:val="auto"/>
        </w:rPr>
        <w:t>）预测范围</w:t>
      </w:r>
    </w:p>
    <w:p w14:paraId="64FD4224" w14:textId="77777777" w:rsidR="005C389C" w:rsidRDefault="005C389C" w:rsidP="005C389C">
      <w:pPr>
        <w:pStyle w:val="A-z"/>
        <w:rPr>
          <w:color w:val="auto"/>
        </w:rPr>
      </w:pPr>
      <w:r>
        <w:rPr>
          <w:color w:val="auto"/>
        </w:rPr>
        <w:t>预测范围为</w:t>
      </w:r>
      <w:r>
        <w:rPr>
          <w:color w:val="auto"/>
          <w:lang w:val="en-US"/>
        </w:rPr>
        <w:t>以厂址为中心，边长为东西</w:t>
      </w:r>
      <w:r>
        <w:rPr>
          <w:color w:val="auto"/>
          <w:lang w:val="en-US"/>
        </w:rPr>
        <w:t>27km</w:t>
      </w:r>
      <w:r>
        <w:rPr>
          <w:color w:val="auto"/>
          <w:lang w:val="en-US"/>
        </w:rPr>
        <w:t>，南北</w:t>
      </w:r>
      <w:r>
        <w:rPr>
          <w:color w:val="auto"/>
          <w:lang w:val="en-US"/>
        </w:rPr>
        <w:t>26.5km</w:t>
      </w:r>
      <w:r>
        <w:rPr>
          <w:color w:val="auto"/>
          <w:lang w:val="en-US"/>
        </w:rPr>
        <w:t>的矩形区域。</w:t>
      </w:r>
    </w:p>
    <w:p w14:paraId="62DF3D43" w14:textId="77777777" w:rsidR="005C389C" w:rsidRDefault="005C389C" w:rsidP="005C389C">
      <w:pPr>
        <w:pStyle w:val="A-z"/>
        <w:rPr>
          <w:color w:val="auto"/>
        </w:rPr>
      </w:pPr>
      <w:r>
        <w:rPr>
          <w:color w:val="auto"/>
        </w:rPr>
        <w:t>（</w:t>
      </w:r>
      <w:r>
        <w:rPr>
          <w:color w:val="auto"/>
        </w:rPr>
        <w:t>3</w:t>
      </w:r>
      <w:r>
        <w:rPr>
          <w:color w:val="auto"/>
        </w:rPr>
        <w:t>）预测点</w:t>
      </w:r>
    </w:p>
    <w:p w14:paraId="293E198B" w14:textId="77777777" w:rsidR="005C389C" w:rsidRDefault="005C389C" w:rsidP="005C389C">
      <w:pPr>
        <w:pStyle w:val="A-z"/>
        <w:rPr>
          <w:color w:val="auto"/>
        </w:rPr>
      </w:pPr>
      <w:r>
        <w:rPr>
          <w:color w:val="auto"/>
        </w:rPr>
        <w:t>预测点涵盖评价范围内所有环境空气保护目标，具体信息见表</w:t>
      </w:r>
      <w:r>
        <w:rPr>
          <w:color w:val="auto"/>
        </w:rPr>
        <w:t>5.1-1</w:t>
      </w:r>
      <w:r>
        <w:rPr>
          <w:rFonts w:hint="eastAsia"/>
          <w:color w:val="auto"/>
        </w:rPr>
        <w:t>5</w:t>
      </w:r>
      <w:r>
        <w:rPr>
          <w:color w:val="auto"/>
        </w:rPr>
        <w:t>。</w:t>
      </w:r>
    </w:p>
    <w:p w14:paraId="4E66BA0B" w14:textId="77777777" w:rsidR="005C389C" w:rsidRDefault="005C389C" w:rsidP="005C389C">
      <w:pPr>
        <w:pStyle w:val="A--"/>
        <w:rPr>
          <w:snapToGrid w:val="0"/>
          <w:color w:val="auto"/>
        </w:rPr>
      </w:pPr>
      <w:r>
        <w:rPr>
          <w:snapToGrid w:val="0"/>
          <w:color w:val="auto"/>
        </w:rPr>
        <w:t>表</w:t>
      </w:r>
      <w:r>
        <w:rPr>
          <w:snapToGrid w:val="0"/>
          <w:color w:val="auto"/>
        </w:rPr>
        <w:t>5.1-1</w:t>
      </w:r>
      <w:r>
        <w:rPr>
          <w:rFonts w:hint="eastAsia"/>
          <w:snapToGrid w:val="0"/>
          <w:color w:val="auto"/>
        </w:rPr>
        <w:t>5</w:t>
      </w:r>
      <w:r>
        <w:rPr>
          <w:snapToGrid w:val="0"/>
          <w:color w:val="auto"/>
        </w:rPr>
        <w:t xml:space="preserve">    </w:t>
      </w:r>
      <w:r>
        <w:rPr>
          <w:snapToGrid w:val="0"/>
          <w:color w:val="auto"/>
        </w:rPr>
        <w:t>环境空气保护目标分布</w:t>
      </w:r>
    </w:p>
    <w:tbl>
      <w:tblPr>
        <w:tblStyle w:val="affff9"/>
        <w:tblW w:w="5000" w:type="pct"/>
        <w:jc w:val="center"/>
        <w:tblLayout w:type="fixed"/>
        <w:tblLook w:val="04A0" w:firstRow="1" w:lastRow="0" w:firstColumn="1" w:lastColumn="0" w:noHBand="0" w:noVBand="1"/>
      </w:tblPr>
      <w:tblGrid>
        <w:gridCol w:w="2179"/>
        <w:gridCol w:w="870"/>
        <w:gridCol w:w="870"/>
        <w:gridCol w:w="1093"/>
        <w:gridCol w:w="843"/>
        <w:gridCol w:w="1014"/>
        <w:gridCol w:w="1427"/>
      </w:tblGrid>
      <w:tr w:rsidR="005C389C" w14:paraId="1548249C" w14:textId="77777777" w:rsidTr="00C701BD">
        <w:trPr>
          <w:trHeight w:val="283"/>
          <w:jc w:val="center"/>
        </w:trPr>
        <w:tc>
          <w:tcPr>
            <w:tcW w:w="2456" w:type="dxa"/>
            <w:vMerge w:val="restart"/>
            <w:vAlign w:val="center"/>
          </w:tcPr>
          <w:p w14:paraId="55FC1BF3" w14:textId="77777777" w:rsidR="005C389C" w:rsidRDefault="005C389C" w:rsidP="00C701BD">
            <w:pPr>
              <w:pStyle w:val="A-"/>
              <w:rPr>
                <w:snapToGrid w:val="0"/>
                <w:u w:color="000000"/>
                <w:lang w:bidi="en-US"/>
              </w:rPr>
            </w:pPr>
            <w:r>
              <w:rPr>
                <w:snapToGrid w:val="0"/>
                <w:u w:color="000000"/>
                <w:lang w:bidi="en-US"/>
              </w:rPr>
              <w:t>名称</w:t>
            </w:r>
          </w:p>
        </w:tc>
        <w:tc>
          <w:tcPr>
            <w:tcW w:w="1920" w:type="dxa"/>
            <w:gridSpan w:val="2"/>
            <w:vAlign w:val="center"/>
          </w:tcPr>
          <w:p w14:paraId="43C91EF5" w14:textId="77777777" w:rsidR="005C389C" w:rsidRDefault="005C389C" w:rsidP="00C701BD">
            <w:pPr>
              <w:pStyle w:val="A-"/>
              <w:rPr>
                <w:snapToGrid w:val="0"/>
                <w:u w:color="000000"/>
                <w:lang w:bidi="en-US"/>
              </w:rPr>
            </w:pPr>
            <w:r>
              <w:rPr>
                <w:snapToGrid w:val="0"/>
                <w:u w:color="000000"/>
                <w:lang w:bidi="en-US"/>
              </w:rPr>
              <w:t>坐标</w:t>
            </w:r>
          </w:p>
        </w:tc>
        <w:tc>
          <w:tcPr>
            <w:tcW w:w="1215" w:type="dxa"/>
            <w:vMerge w:val="restart"/>
            <w:vAlign w:val="center"/>
          </w:tcPr>
          <w:p w14:paraId="15B56324" w14:textId="77777777" w:rsidR="005C389C" w:rsidRDefault="005C389C" w:rsidP="00C701BD">
            <w:pPr>
              <w:pStyle w:val="A-"/>
              <w:rPr>
                <w:snapToGrid w:val="0"/>
                <w:u w:color="000000"/>
                <w:lang w:bidi="en-US"/>
              </w:rPr>
            </w:pPr>
            <w:r>
              <w:rPr>
                <w:snapToGrid w:val="0"/>
                <w:u w:color="000000"/>
                <w:lang w:bidi="en-US"/>
              </w:rPr>
              <w:t>保护对象</w:t>
            </w:r>
          </w:p>
        </w:tc>
        <w:tc>
          <w:tcPr>
            <w:tcW w:w="930" w:type="dxa"/>
            <w:vMerge w:val="restart"/>
            <w:vAlign w:val="center"/>
          </w:tcPr>
          <w:p w14:paraId="6AA91027" w14:textId="77777777" w:rsidR="005C389C" w:rsidRDefault="005C389C" w:rsidP="00C701BD">
            <w:pPr>
              <w:pStyle w:val="A-"/>
              <w:rPr>
                <w:snapToGrid w:val="0"/>
                <w:u w:color="000000"/>
                <w:lang w:bidi="en-US"/>
              </w:rPr>
            </w:pPr>
            <w:r>
              <w:rPr>
                <w:snapToGrid w:val="0"/>
                <w:u w:color="000000"/>
                <w:lang w:bidi="en-US"/>
              </w:rPr>
              <w:t>环境</w:t>
            </w:r>
          </w:p>
          <w:p w14:paraId="72DD8B38" w14:textId="77777777" w:rsidR="005C389C" w:rsidRDefault="005C389C" w:rsidP="00C701BD">
            <w:pPr>
              <w:pStyle w:val="A-"/>
              <w:rPr>
                <w:snapToGrid w:val="0"/>
                <w:u w:color="000000"/>
                <w:lang w:bidi="en-US"/>
              </w:rPr>
            </w:pPr>
            <w:r>
              <w:rPr>
                <w:snapToGrid w:val="0"/>
                <w:u w:color="000000"/>
                <w:lang w:bidi="en-US"/>
              </w:rPr>
              <w:t>功能区</w:t>
            </w:r>
          </w:p>
        </w:tc>
        <w:tc>
          <w:tcPr>
            <w:tcW w:w="1125" w:type="dxa"/>
            <w:vMerge w:val="restart"/>
            <w:vAlign w:val="center"/>
          </w:tcPr>
          <w:p w14:paraId="3832E87E" w14:textId="77777777" w:rsidR="005C389C" w:rsidRDefault="005C389C" w:rsidP="00C701BD">
            <w:pPr>
              <w:pStyle w:val="A-"/>
              <w:rPr>
                <w:snapToGrid w:val="0"/>
                <w:u w:color="000000"/>
                <w:lang w:bidi="en-US"/>
              </w:rPr>
            </w:pPr>
            <w:r>
              <w:rPr>
                <w:snapToGrid w:val="0"/>
                <w:u w:color="000000"/>
                <w:lang w:bidi="en-US"/>
              </w:rPr>
              <w:t>相对厂址方位</w:t>
            </w:r>
          </w:p>
        </w:tc>
        <w:tc>
          <w:tcPr>
            <w:tcW w:w="1597" w:type="dxa"/>
            <w:vMerge w:val="restart"/>
            <w:vAlign w:val="center"/>
          </w:tcPr>
          <w:p w14:paraId="140DFB13" w14:textId="77777777" w:rsidR="005C389C" w:rsidRDefault="005C389C" w:rsidP="00C701BD">
            <w:pPr>
              <w:pStyle w:val="A-"/>
              <w:rPr>
                <w:snapToGrid w:val="0"/>
                <w:u w:color="000000"/>
                <w:lang w:bidi="en-US"/>
              </w:rPr>
            </w:pPr>
            <w:r>
              <w:rPr>
                <w:snapToGrid w:val="0"/>
                <w:u w:color="000000"/>
                <w:lang w:bidi="en-US"/>
              </w:rPr>
              <w:t>相对厂界距离</w:t>
            </w:r>
          </w:p>
          <w:p w14:paraId="7765BE72" w14:textId="77777777" w:rsidR="005C389C" w:rsidRDefault="005C389C" w:rsidP="00C701BD">
            <w:pPr>
              <w:pStyle w:val="A-"/>
              <w:rPr>
                <w:snapToGrid w:val="0"/>
                <w:u w:color="000000"/>
                <w:lang w:bidi="en-US"/>
              </w:rPr>
            </w:pPr>
            <w:r>
              <w:rPr>
                <w:snapToGrid w:val="0"/>
                <w:u w:color="000000"/>
                <w:lang w:bidi="en-US"/>
              </w:rPr>
              <w:t>km</w:t>
            </w:r>
          </w:p>
        </w:tc>
      </w:tr>
      <w:tr w:rsidR="005C389C" w14:paraId="1A3AD775" w14:textId="77777777" w:rsidTr="00C701BD">
        <w:trPr>
          <w:trHeight w:val="283"/>
          <w:jc w:val="center"/>
        </w:trPr>
        <w:tc>
          <w:tcPr>
            <w:tcW w:w="2456" w:type="dxa"/>
            <w:vMerge/>
            <w:vAlign w:val="center"/>
          </w:tcPr>
          <w:p w14:paraId="0BB13EA1" w14:textId="77777777" w:rsidR="005C389C" w:rsidRDefault="005C389C" w:rsidP="00C701BD">
            <w:pPr>
              <w:pStyle w:val="A-"/>
              <w:rPr>
                <w:snapToGrid w:val="0"/>
                <w:u w:color="000000"/>
                <w:lang w:bidi="en-US"/>
              </w:rPr>
            </w:pPr>
          </w:p>
        </w:tc>
        <w:tc>
          <w:tcPr>
            <w:tcW w:w="960" w:type="dxa"/>
            <w:vAlign w:val="center"/>
          </w:tcPr>
          <w:p w14:paraId="29BC64AE" w14:textId="77777777" w:rsidR="005C389C" w:rsidRDefault="005C389C" w:rsidP="00C701BD">
            <w:pPr>
              <w:pStyle w:val="A-"/>
              <w:rPr>
                <w:snapToGrid w:val="0"/>
                <w:u w:color="000000"/>
                <w:lang w:bidi="en-US"/>
              </w:rPr>
            </w:pPr>
            <w:r>
              <w:rPr>
                <w:snapToGrid w:val="0"/>
                <w:u w:color="000000"/>
                <w:lang w:bidi="en-US"/>
              </w:rPr>
              <w:t>X</w:t>
            </w:r>
            <w:r>
              <w:rPr>
                <w:rFonts w:hint="eastAsia"/>
              </w:rPr>
              <w:t>/m</w:t>
            </w:r>
          </w:p>
        </w:tc>
        <w:tc>
          <w:tcPr>
            <w:tcW w:w="960" w:type="dxa"/>
            <w:vAlign w:val="center"/>
          </w:tcPr>
          <w:p w14:paraId="3B6F37E9" w14:textId="77777777" w:rsidR="005C389C" w:rsidRDefault="005C389C" w:rsidP="00C701BD">
            <w:pPr>
              <w:pStyle w:val="A-"/>
              <w:rPr>
                <w:snapToGrid w:val="0"/>
                <w:u w:color="000000"/>
                <w:lang w:bidi="en-US"/>
              </w:rPr>
            </w:pPr>
            <w:r>
              <w:rPr>
                <w:snapToGrid w:val="0"/>
                <w:u w:color="000000"/>
                <w:lang w:bidi="en-US"/>
              </w:rPr>
              <w:t>Y</w:t>
            </w:r>
            <w:r>
              <w:rPr>
                <w:rFonts w:hint="eastAsia"/>
              </w:rPr>
              <w:t>/m</w:t>
            </w:r>
          </w:p>
        </w:tc>
        <w:tc>
          <w:tcPr>
            <w:tcW w:w="1215" w:type="dxa"/>
            <w:vMerge/>
            <w:vAlign w:val="center"/>
          </w:tcPr>
          <w:p w14:paraId="34C0B12C" w14:textId="77777777" w:rsidR="005C389C" w:rsidRDefault="005C389C" w:rsidP="00C701BD">
            <w:pPr>
              <w:pStyle w:val="A-"/>
              <w:rPr>
                <w:snapToGrid w:val="0"/>
                <w:u w:color="000000"/>
                <w:lang w:bidi="en-US"/>
              </w:rPr>
            </w:pPr>
          </w:p>
        </w:tc>
        <w:tc>
          <w:tcPr>
            <w:tcW w:w="930" w:type="dxa"/>
            <w:vMerge/>
            <w:vAlign w:val="center"/>
          </w:tcPr>
          <w:p w14:paraId="5F59C26B" w14:textId="77777777" w:rsidR="005C389C" w:rsidRDefault="005C389C" w:rsidP="00C701BD">
            <w:pPr>
              <w:pStyle w:val="A-"/>
              <w:rPr>
                <w:snapToGrid w:val="0"/>
                <w:u w:color="000000"/>
                <w:lang w:bidi="en-US"/>
              </w:rPr>
            </w:pPr>
          </w:p>
        </w:tc>
        <w:tc>
          <w:tcPr>
            <w:tcW w:w="1125" w:type="dxa"/>
            <w:vMerge/>
            <w:vAlign w:val="center"/>
          </w:tcPr>
          <w:p w14:paraId="1184701F" w14:textId="77777777" w:rsidR="005C389C" w:rsidRDefault="005C389C" w:rsidP="00C701BD">
            <w:pPr>
              <w:pStyle w:val="A-"/>
              <w:rPr>
                <w:snapToGrid w:val="0"/>
                <w:u w:color="000000"/>
                <w:lang w:bidi="en-US"/>
              </w:rPr>
            </w:pPr>
          </w:p>
        </w:tc>
        <w:tc>
          <w:tcPr>
            <w:tcW w:w="1597" w:type="dxa"/>
            <w:vMerge/>
            <w:vAlign w:val="center"/>
          </w:tcPr>
          <w:p w14:paraId="20CE024C" w14:textId="77777777" w:rsidR="005C389C" w:rsidRDefault="005C389C" w:rsidP="00C701BD">
            <w:pPr>
              <w:pStyle w:val="A-"/>
              <w:rPr>
                <w:snapToGrid w:val="0"/>
                <w:u w:color="000000"/>
                <w:lang w:bidi="en-US"/>
              </w:rPr>
            </w:pPr>
          </w:p>
        </w:tc>
      </w:tr>
      <w:tr w:rsidR="005C389C" w14:paraId="7EF12012" w14:textId="77777777" w:rsidTr="00C701BD">
        <w:trPr>
          <w:trHeight w:val="283"/>
          <w:jc w:val="center"/>
        </w:trPr>
        <w:tc>
          <w:tcPr>
            <w:tcW w:w="2456" w:type="dxa"/>
            <w:vAlign w:val="center"/>
          </w:tcPr>
          <w:p w14:paraId="5E685FAB" w14:textId="77777777" w:rsidR="005C389C" w:rsidRDefault="005C389C" w:rsidP="00C701BD">
            <w:pPr>
              <w:pStyle w:val="A-"/>
              <w:rPr>
                <w:snapToGrid w:val="0"/>
                <w:u w:color="000000"/>
                <w:lang w:bidi="en-US"/>
              </w:rPr>
            </w:pPr>
            <w:r>
              <w:rPr>
                <w:snapToGrid w:val="0"/>
                <w:u w:color="000000"/>
                <w:lang w:bidi="en-US"/>
              </w:rPr>
              <w:t>阿乐惠镇</w:t>
            </w:r>
          </w:p>
        </w:tc>
        <w:tc>
          <w:tcPr>
            <w:tcW w:w="960" w:type="dxa"/>
            <w:shd w:val="clear" w:color="auto" w:fill="auto"/>
            <w:vAlign w:val="center"/>
          </w:tcPr>
          <w:p w14:paraId="652B1DDA" w14:textId="77777777" w:rsidR="005C389C" w:rsidRDefault="005C389C" w:rsidP="00C701BD">
            <w:pPr>
              <w:pStyle w:val="A-"/>
              <w:rPr>
                <w:snapToGrid w:val="0"/>
                <w:u w:color="000000"/>
                <w:lang w:bidi="en-US"/>
              </w:rPr>
            </w:pPr>
            <w:r>
              <w:rPr>
                <w:snapToGrid w:val="0"/>
                <w:u w:color="000000"/>
                <w:lang w:bidi="en-US"/>
              </w:rPr>
              <w:t>-4151</w:t>
            </w:r>
          </w:p>
        </w:tc>
        <w:tc>
          <w:tcPr>
            <w:tcW w:w="960" w:type="dxa"/>
            <w:shd w:val="clear" w:color="auto" w:fill="auto"/>
            <w:vAlign w:val="center"/>
          </w:tcPr>
          <w:p w14:paraId="42252244" w14:textId="77777777" w:rsidR="005C389C" w:rsidRDefault="005C389C" w:rsidP="00C701BD">
            <w:pPr>
              <w:pStyle w:val="A-"/>
              <w:rPr>
                <w:snapToGrid w:val="0"/>
                <w:u w:color="000000"/>
                <w:lang w:bidi="en-US"/>
              </w:rPr>
            </w:pPr>
            <w:r>
              <w:rPr>
                <w:snapToGrid w:val="0"/>
                <w:u w:color="000000"/>
                <w:lang w:bidi="en-US"/>
              </w:rPr>
              <w:t>1104</w:t>
            </w:r>
          </w:p>
        </w:tc>
        <w:tc>
          <w:tcPr>
            <w:tcW w:w="1215" w:type="dxa"/>
            <w:vAlign w:val="center"/>
          </w:tcPr>
          <w:p w14:paraId="25A05E06" w14:textId="77777777" w:rsidR="005C389C" w:rsidRDefault="005C389C" w:rsidP="00C701BD">
            <w:pPr>
              <w:pStyle w:val="A-"/>
              <w:rPr>
                <w:snapToGrid w:val="0"/>
                <w:u w:color="000000"/>
                <w:lang w:bidi="en-US"/>
              </w:rPr>
            </w:pPr>
            <w:r>
              <w:rPr>
                <w:snapToGrid w:val="0"/>
                <w:u w:color="000000"/>
                <w:lang w:bidi="en-US"/>
              </w:rPr>
              <w:t>居住区</w:t>
            </w:r>
          </w:p>
        </w:tc>
        <w:tc>
          <w:tcPr>
            <w:tcW w:w="930" w:type="dxa"/>
            <w:vAlign w:val="center"/>
          </w:tcPr>
          <w:p w14:paraId="1443E56C" w14:textId="77777777" w:rsidR="005C389C" w:rsidRDefault="005C389C" w:rsidP="00C701BD">
            <w:pPr>
              <w:pStyle w:val="A-"/>
              <w:rPr>
                <w:snapToGrid w:val="0"/>
                <w:u w:color="000000"/>
                <w:lang w:bidi="en-US"/>
              </w:rPr>
            </w:pPr>
            <w:r>
              <w:rPr>
                <w:snapToGrid w:val="0"/>
                <w:u w:color="000000"/>
                <w:lang w:bidi="en-US"/>
              </w:rPr>
              <w:t>二类</w:t>
            </w:r>
          </w:p>
        </w:tc>
        <w:tc>
          <w:tcPr>
            <w:tcW w:w="1125" w:type="dxa"/>
            <w:vAlign w:val="center"/>
          </w:tcPr>
          <w:p w14:paraId="0BC52087" w14:textId="77777777" w:rsidR="005C389C" w:rsidRDefault="005C389C" w:rsidP="00C701BD">
            <w:pPr>
              <w:pStyle w:val="A-"/>
              <w:rPr>
                <w:snapToGrid w:val="0"/>
                <w:u w:color="000000"/>
                <w:lang w:bidi="en-US"/>
              </w:rPr>
            </w:pPr>
            <w:r>
              <w:rPr>
                <w:snapToGrid w:val="0"/>
                <w:u w:color="000000"/>
                <w:lang w:bidi="en-US"/>
              </w:rPr>
              <w:t>W</w:t>
            </w:r>
          </w:p>
        </w:tc>
        <w:tc>
          <w:tcPr>
            <w:tcW w:w="1597" w:type="dxa"/>
            <w:vAlign w:val="center"/>
          </w:tcPr>
          <w:p w14:paraId="247D88AD" w14:textId="77777777" w:rsidR="005C389C" w:rsidRDefault="005C389C" w:rsidP="00C701BD">
            <w:pPr>
              <w:pStyle w:val="A-"/>
              <w:rPr>
                <w:snapToGrid w:val="0"/>
                <w:u w:color="000000"/>
                <w:lang w:bidi="en-US"/>
              </w:rPr>
            </w:pPr>
            <w:r>
              <w:rPr>
                <w:snapToGrid w:val="0"/>
                <w:u w:color="000000"/>
                <w:lang w:bidi="en-US"/>
              </w:rPr>
              <w:t>3</w:t>
            </w:r>
          </w:p>
        </w:tc>
      </w:tr>
      <w:tr w:rsidR="005C389C" w14:paraId="3DEBA6E5" w14:textId="77777777" w:rsidTr="00C701BD">
        <w:trPr>
          <w:trHeight w:val="283"/>
          <w:jc w:val="center"/>
        </w:trPr>
        <w:tc>
          <w:tcPr>
            <w:tcW w:w="2456" w:type="dxa"/>
            <w:vAlign w:val="center"/>
          </w:tcPr>
          <w:p w14:paraId="036860D5" w14:textId="77777777" w:rsidR="005C389C" w:rsidRDefault="005C389C" w:rsidP="00C701BD">
            <w:pPr>
              <w:pStyle w:val="A-"/>
              <w:rPr>
                <w:snapToGrid w:val="0"/>
                <w:u w:color="000000"/>
                <w:lang w:bidi="en-US"/>
              </w:rPr>
            </w:pPr>
            <w:r>
              <w:rPr>
                <w:snapToGrid w:val="0"/>
                <w:u w:color="000000"/>
                <w:lang w:bidi="en-US"/>
              </w:rPr>
              <w:t>园区职工公寓</w:t>
            </w:r>
          </w:p>
        </w:tc>
        <w:tc>
          <w:tcPr>
            <w:tcW w:w="960" w:type="dxa"/>
            <w:shd w:val="clear" w:color="auto" w:fill="auto"/>
            <w:vAlign w:val="center"/>
          </w:tcPr>
          <w:p w14:paraId="56577C75" w14:textId="77777777" w:rsidR="005C389C" w:rsidRDefault="005C389C" w:rsidP="00C701BD">
            <w:pPr>
              <w:pStyle w:val="A-"/>
              <w:rPr>
                <w:snapToGrid w:val="0"/>
                <w:u w:color="000000"/>
                <w:lang w:bidi="en-US"/>
              </w:rPr>
            </w:pPr>
            <w:r>
              <w:rPr>
                <w:snapToGrid w:val="0"/>
                <w:u w:color="000000"/>
                <w:lang w:bidi="en-US"/>
              </w:rPr>
              <w:t>-1901</w:t>
            </w:r>
          </w:p>
        </w:tc>
        <w:tc>
          <w:tcPr>
            <w:tcW w:w="960" w:type="dxa"/>
            <w:shd w:val="clear" w:color="auto" w:fill="auto"/>
            <w:vAlign w:val="center"/>
          </w:tcPr>
          <w:p w14:paraId="754E6D5E" w14:textId="77777777" w:rsidR="005C389C" w:rsidRDefault="005C389C" w:rsidP="00C701BD">
            <w:pPr>
              <w:pStyle w:val="A-"/>
              <w:rPr>
                <w:snapToGrid w:val="0"/>
                <w:u w:color="000000"/>
                <w:lang w:bidi="en-US"/>
              </w:rPr>
            </w:pPr>
            <w:r>
              <w:rPr>
                <w:snapToGrid w:val="0"/>
                <w:u w:color="000000"/>
                <w:lang w:bidi="en-US"/>
              </w:rPr>
              <w:t>92</w:t>
            </w:r>
          </w:p>
        </w:tc>
        <w:tc>
          <w:tcPr>
            <w:tcW w:w="1215" w:type="dxa"/>
            <w:vAlign w:val="center"/>
          </w:tcPr>
          <w:p w14:paraId="5CC69952" w14:textId="77777777" w:rsidR="005C389C" w:rsidRDefault="005C389C" w:rsidP="00C701BD">
            <w:pPr>
              <w:pStyle w:val="A-"/>
              <w:rPr>
                <w:snapToGrid w:val="0"/>
                <w:u w:color="000000"/>
                <w:lang w:bidi="en-US"/>
              </w:rPr>
            </w:pPr>
            <w:r>
              <w:rPr>
                <w:snapToGrid w:val="0"/>
                <w:u w:color="000000"/>
                <w:lang w:bidi="en-US"/>
              </w:rPr>
              <w:t>居住区</w:t>
            </w:r>
          </w:p>
        </w:tc>
        <w:tc>
          <w:tcPr>
            <w:tcW w:w="930" w:type="dxa"/>
            <w:vAlign w:val="center"/>
          </w:tcPr>
          <w:p w14:paraId="49F4C777" w14:textId="77777777" w:rsidR="005C389C" w:rsidRDefault="005C389C" w:rsidP="00C701BD">
            <w:pPr>
              <w:pStyle w:val="A-"/>
              <w:rPr>
                <w:snapToGrid w:val="0"/>
                <w:u w:color="000000"/>
                <w:lang w:bidi="en-US"/>
              </w:rPr>
            </w:pPr>
            <w:r>
              <w:rPr>
                <w:snapToGrid w:val="0"/>
                <w:u w:color="000000"/>
                <w:lang w:bidi="en-US"/>
              </w:rPr>
              <w:t>二类</w:t>
            </w:r>
          </w:p>
        </w:tc>
        <w:tc>
          <w:tcPr>
            <w:tcW w:w="1125" w:type="dxa"/>
            <w:vAlign w:val="center"/>
          </w:tcPr>
          <w:p w14:paraId="4E94F08E" w14:textId="77777777" w:rsidR="005C389C" w:rsidRDefault="005C389C" w:rsidP="00C701BD">
            <w:pPr>
              <w:pStyle w:val="A-"/>
              <w:rPr>
                <w:snapToGrid w:val="0"/>
                <w:u w:color="000000"/>
                <w:lang w:bidi="en-US"/>
              </w:rPr>
            </w:pPr>
            <w:r>
              <w:rPr>
                <w:snapToGrid w:val="0"/>
                <w:u w:color="000000"/>
                <w:lang w:bidi="en-US"/>
              </w:rPr>
              <w:t>W</w:t>
            </w:r>
          </w:p>
        </w:tc>
        <w:tc>
          <w:tcPr>
            <w:tcW w:w="1597" w:type="dxa"/>
            <w:vAlign w:val="center"/>
          </w:tcPr>
          <w:p w14:paraId="42DD46A3" w14:textId="77777777" w:rsidR="005C389C" w:rsidRDefault="005C389C" w:rsidP="00C701BD">
            <w:pPr>
              <w:pStyle w:val="A-"/>
              <w:rPr>
                <w:snapToGrid w:val="0"/>
                <w:u w:color="000000"/>
                <w:lang w:bidi="en-US"/>
              </w:rPr>
            </w:pPr>
            <w:r>
              <w:rPr>
                <w:snapToGrid w:val="0"/>
                <w:u w:color="000000"/>
                <w:lang w:bidi="en-US"/>
              </w:rPr>
              <w:t>1.8</w:t>
            </w:r>
          </w:p>
        </w:tc>
      </w:tr>
    </w:tbl>
    <w:p w14:paraId="229A6A97" w14:textId="77777777" w:rsidR="005C389C" w:rsidRDefault="005C389C">
      <w:pPr>
        <w:pStyle w:val="A-z"/>
        <w:rPr>
          <w:rFonts w:hint="eastAsia"/>
          <w:color w:val="auto"/>
        </w:rPr>
      </w:pPr>
    </w:p>
    <w:p w14:paraId="244C535B" w14:textId="77777777" w:rsidR="002E474C" w:rsidRDefault="002E474C">
      <w:pPr>
        <w:pStyle w:val="A-z"/>
        <w:rPr>
          <w:color w:val="auto"/>
        </w:rPr>
        <w:sectPr w:rsidR="002E474C">
          <w:headerReference w:type="default" r:id="rId34"/>
          <w:pgSz w:w="11906" w:h="16838"/>
          <w:pgMar w:top="1440" w:right="1800" w:bottom="1440" w:left="1800" w:header="851" w:footer="992" w:gutter="0"/>
          <w:cols w:space="720"/>
          <w:docGrid w:linePitch="312"/>
        </w:sectPr>
      </w:pPr>
    </w:p>
    <w:p w14:paraId="1F26870D" w14:textId="77777777" w:rsidR="002E474C" w:rsidRDefault="00000000">
      <w:pPr>
        <w:pStyle w:val="A--"/>
        <w:rPr>
          <w:color w:val="auto"/>
        </w:rPr>
      </w:pPr>
      <w:bookmarkStart w:id="274" w:name="_Ref149641915"/>
      <w:r>
        <w:rPr>
          <w:color w:val="auto"/>
        </w:rPr>
        <w:lastRenderedPageBreak/>
        <w:t>表</w:t>
      </w:r>
      <w:r>
        <w:rPr>
          <w:color w:val="auto"/>
        </w:rPr>
        <w:t>5.1</w:t>
      </w:r>
      <w:r>
        <w:rPr>
          <w:color w:val="auto"/>
        </w:rPr>
        <w:noBreakHyphen/>
        <w:t>1</w:t>
      </w:r>
      <w:bookmarkEnd w:id="274"/>
      <w:r>
        <w:rPr>
          <w:rFonts w:hint="eastAsia"/>
          <w:color w:val="auto"/>
        </w:rPr>
        <w:t>0</w:t>
      </w:r>
      <w:r>
        <w:rPr>
          <w:color w:val="auto"/>
        </w:rPr>
        <w:t xml:space="preserve">  </w:t>
      </w:r>
      <w:r>
        <w:rPr>
          <w:color w:val="auto"/>
        </w:rPr>
        <w:t>处置危废后新增有组织排放废气源</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93"/>
        <w:gridCol w:w="541"/>
        <w:gridCol w:w="453"/>
        <w:gridCol w:w="482"/>
        <w:gridCol w:w="400"/>
        <w:gridCol w:w="438"/>
        <w:gridCol w:w="472"/>
        <w:gridCol w:w="482"/>
        <w:gridCol w:w="572"/>
        <w:gridCol w:w="392"/>
        <w:gridCol w:w="550"/>
        <w:gridCol w:w="484"/>
        <w:gridCol w:w="648"/>
        <w:gridCol w:w="601"/>
        <w:gridCol w:w="648"/>
        <w:gridCol w:w="730"/>
        <w:gridCol w:w="730"/>
        <w:gridCol w:w="648"/>
        <w:gridCol w:w="648"/>
        <w:gridCol w:w="648"/>
        <w:gridCol w:w="616"/>
        <w:gridCol w:w="616"/>
        <w:gridCol w:w="646"/>
      </w:tblGrid>
      <w:tr w:rsidR="002E474C" w14:paraId="7FEBCC40" w14:textId="77777777">
        <w:tc>
          <w:tcPr>
            <w:tcW w:w="147" w:type="pct"/>
            <w:vMerge w:val="restart"/>
          </w:tcPr>
          <w:p w14:paraId="2417D205" w14:textId="77777777" w:rsidR="002E474C" w:rsidRDefault="00000000">
            <w:pPr>
              <w:pStyle w:val="A-"/>
            </w:pPr>
            <w:r>
              <w:t>编号</w:t>
            </w:r>
          </w:p>
        </w:tc>
        <w:tc>
          <w:tcPr>
            <w:tcW w:w="148" w:type="pct"/>
            <w:vMerge w:val="restart"/>
          </w:tcPr>
          <w:p w14:paraId="40E0CA8E" w14:textId="77777777" w:rsidR="002E474C" w:rsidRDefault="00000000">
            <w:pPr>
              <w:pStyle w:val="A-"/>
            </w:pPr>
            <w:r>
              <w:t>名称</w:t>
            </w:r>
          </w:p>
        </w:tc>
        <w:tc>
          <w:tcPr>
            <w:tcW w:w="375" w:type="pct"/>
            <w:gridSpan w:val="2"/>
          </w:tcPr>
          <w:p w14:paraId="0AC78108" w14:textId="77777777" w:rsidR="002E474C" w:rsidRDefault="00000000">
            <w:pPr>
              <w:pStyle w:val="A-"/>
            </w:pPr>
            <w:r>
              <w:t>排气筒底部中心坐标</w:t>
            </w:r>
            <w:r>
              <w:t>/m</w:t>
            </w:r>
          </w:p>
        </w:tc>
        <w:tc>
          <w:tcPr>
            <w:tcW w:w="182" w:type="pct"/>
            <w:vMerge w:val="restart"/>
          </w:tcPr>
          <w:p w14:paraId="22ADC269" w14:textId="77777777" w:rsidR="002E474C" w:rsidRDefault="00000000">
            <w:pPr>
              <w:pStyle w:val="A-"/>
            </w:pPr>
            <w:r>
              <w:t>排气筒底部海拔高度</w:t>
            </w:r>
            <w:r>
              <w:t>/m</w:t>
            </w:r>
          </w:p>
        </w:tc>
        <w:tc>
          <w:tcPr>
            <w:tcW w:w="151" w:type="pct"/>
            <w:vMerge w:val="restart"/>
          </w:tcPr>
          <w:p w14:paraId="7F07F9F3" w14:textId="77777777" w:rsidR="002E474C" w:rsidRDefault="00000000">
            <w:pPr>
              <w:pStyle w:val="A-"/>
            </w:pPr>
            <w:r>
              <w:t>排气筒高度</w:t>
            </w:r>
            <w:r>
              <w:t>/m</w:t>
            </w:r>
          </w:p>
        </w:tc>
        <w:tc>
          <w:tcPr>
            <w:tcW w:w="165" w:type="pct"/>
            <w:vMerge w:val="restart"/>
          </w:tcPr>
          <w:p w14:paraId="700CEE3D" w14:textId="77777777" w:rsidR="002E474C" w:rsidRDefault="00000000">
            <w:pPr>
              <w:pStyle w:val="A-"/>
            </w:pPr>
            <w:r>
              <w:t>排气筒出口内径</w:t>
            </w:r>
            <w:r>
              <w:t>/m</w:t>
            </w:r>
          </w:p>
        </w:tc>
        <w:tc>
          <w:tcPr>
            <w:tcW w:w="178" w:type="pct"/>
            <w:vMerge w:val="restart"/>
          </w:tcPr>
          <w:p w14:paraId="3B1C89E1" w14:textId="77777777" w:rsidR="002E474C" w:rsidRDefault="00000000">
            <w:pPr>
              <w:pStyle w:val="A-"/>
            </w:pPr>
            <w:r>
              <w:t>烟气流速</w:t>
            </w:r>
            <w:r>
              <w:t>/</w:t>
            </w:r>
          </w:p>
          <w:p w14:paraId="50E24FFC" w14:textId="77777777" w:rsidR="002E474C" w:rsidRDefault="00000000">
            <w:pPr>
              <w:pStyle w:val="A-"/>
            </w:pPr>
            <w:r>
              <w:t>m/s</w:t>
            </w:r>
          </w:p>
        </w:tc>
        <w:tc>
          <w:tcPr>
            <w:tcW w:w="182" w:type="pct"/>
            <w:vMerge w:val="restart"/>
          </w:tcPr>
          <w:p w14:paraId="152348D2" w14:textId="77777777" w:rsidR="002E474C" w:rsidRDefault="00000000">
            <w:pPr>
              <w:pStyle w:val="A-"/>
            </w:pPr>
            <w:r>
              <w:t>烟气温度</w:t>
            </w:r>
            <w:r>
              <w:t>/℃</w:t>
            </w:r>
          </w:p>
        </w:tc>
        <w:tc>
          <w:tcPr>
            <w:tcW w:w="216" w:type="pct"/>
            <w:vMerge w:val="restart"/>
          </w:tcPr>
          <w:p w14:paraId="05AD64B4" w14:textId="77777777" w:rsidR="002E474C" w:rsidRDefault="00000000">
            <w:pPr>
              <w:pStyle w:val="A-"/>
            </w:pPr>
            <w:r>
              <w:t>年排放小时数</w:t>
            </w:r>
            <w:r>
              <w:t>/h</w:t>
            </w:r>
          </w:p>
        </w:tc>
        <w:tc>
          <w:tcPr>
            <w:tcW w:w="148" w:type="pct"/>
            <w:vMerge w:val="restart"/>
          </w:tcPr>
          <w:p w14:paraId="67FCFAA5" w14:textId="77777777" w:rsidR="002E474C" w:rsidRDefault="00000000">
            <w:pPr>
              <w:pStyle w:val="A-"/>
            </w:pPr>
            <w:r>
              <w:t>排放工况</w:t>
            </w:r>
          </w:p>
        </w:tc>
        <w:tc>
          <w:tcPr>
            <w:tcW w:w="3105" w:type="pct"/>
            <w:gridSpan w:val="13"/>
          </w:tcPr>
          <w:p w14:paraId="6F28810D" w14:textId="77777777" w:rsidR="002E474C" w:rsidRDefault="00000000">
            <w:pPr>
              <w:pStyle w:val="A-"/>
            </w:pPr>
            <w:r>
              <w:t>污染物排放速率</w:t>
            </w:r>
            <w:r>
              <w:t>/</w:t>
            </w:r>
            <w:r>
              <w:t>（</w:t>
            </w:r>
            <w:r>
              <w:t>kg/h</w:t>
            </w:r>
            <w:r>
              <w:t>）</w:t>
            </w:r>
          </w:p>
        </w:tc>
      </w:tr>
      <w:tr w:rsidR="002E474C" w14:paraId="19D745D3" w14:textId="77777777">
        <w:tc>
          <w:tcPr>
            <w:tcW w:w="147" w:type="pct"/>
            <w:vMerge/>
          </w:tcPr>
          <w:p w14:paraId="1407AF42" w14:textId="77777777" w:rsidR="002E474C" w:rsidRDefault="002E474C">
            <w:pPr>
              <w:pStyle w:val="A-"/>
            </w:pPr>
          </w:p>
        </w:tc>
        <w:tc>
          <w:tcPr>
            <w:tcW w:w="148" w:type="pct"/>
            <w:vMerge/>
          </w:tcPr>
          <w:p w14:paraId="05DB4222" w14:textId="77777777" w:rsidR="002E474C" w:rsidRDefault="002E474C">
            <w:pPr>
              <w:pStyle w:val="A-"/>
            </w:pPr>
          </w:p>
        </w:tc>
        <w:tc>
          <w:tcPr>
            <w:tcW w:w="204" w:type="pct"/>
          </w:tcPr>
          <w:p w14:paraId="4784CCF2" w14:textId="77777777" w:rsidR="002E474C" w:rsidRDefault="00000000">
            <w:pPr>
              <w:pStyle w:val="A-"/>
            </w:pPr>
            <w:r>
              <w:t>X</w:t>
            </w:r>
          </w:p>
        </w:tc>
        <w:tc>
          <w:tcPr>
            <w:tcW w:w="171" w:type="pct"/>
          </w:tcPr>
          <w:p w14:paraId="4CB73B67" w14:textId="77777777" w:rsidR="002E474C" w:rsidRDefault="00000000">
            <w:pPr>
              <w:pStyle w:val="A-"/>
            </w:pPr>
            <w:r>
              <w:t>Y</w:t>
            </w:r>
          </w:p>
        </w:tc>
        <w:tc>
          <w:tcPr>
            <w:tcW w:w="182" w:type="pct"/>
            <w:vMerge/>
          </w:tcPr>
          <w:p w14:paraId="2C6EAFF1" w14:textId="77777777" w:rsidR="002E474C" w:rsidRDefault="002E474C">
            <w:pPr>
              <w:pStyle w:val="A-"/>
            </w:pPr>
          </w:p>
        </w:tc>
        <w:tc>
          <w:tcPr>
            <w:tcW w:w="151" w:type="pct"/>
            <w:vMerge/>
          </w:tcPr>
          <w:p w14:paraId="2D607C01" w14:textId="77777777" w:rsidR="002E474C" w:rsidRDefault="002E474C">
            <w:pPr>
              <w:pStyle w:val="A-"/>
            </w:pPr>
          </w:p>
        </w:tc>
        <w:tc>
          <w:tcPr>
            <w:tcW w:w="165" w:type="pct"/>
            <w:vMerge/>
          </w:tcPr>
          <w:p w14:paraId="698208D4" w14:textId="77777777" w:rsidR="002E474C" w:rsidRDefault="002E474C">
            <w:pPr>
              <w:pStyle w:val="A-"/>
            </w:pPr>
          </w:p>
        </w:tc>
        <w:tc>
          <w:tcPr>
            <w:tcW w:w="178" w:type="pct"/>
            <w:vMerge/>
          </w:tcPr>
          <w:p w14:paraId="3C999E62" w14:textId="77777777" w:rsidR="002E474C" w:rsidRDefault="002E474C">
            <w:pPr>
              <w:pStyle w:val="A-"/>
            </w:pPr>
          </w:p>
        </w:tc>
        <w:tc>
          <w:tcPr>
            <w:tcW w:w="182" w:type="pct"/>
            <w:vMerge/>
          </w:tcPr>
          <w:p w14:paraId="6C5DE89F" w14:textId="77777777" w:rsidR="002E474C" w:rsidRDefault="002E474C">
            <w:pPr>
              <w:pStyle w:val="A-"/>
            </w:pPr>
          </w:p>
        </w:tc>
        <w:tc>
          <w:tcPr>
            <w:tcW w:w="216" w:type="pct"/>
            <w:vMerge/>
          </w:tcPr>
          <w:p w14:paraId="69B1FF7D" w14:textId="77777777" w:rsidR="002E474C" w:rsidRDefault="002E474C">
            <w:pPr>
              <w:pStyle w:val="A-"/>
            </w:pPr>
          </w:p>
        </w:tc>
        <w:tc>
          <w:tcPr>
            <w:tcW w:w="148" w:type="pct"/>
            <w:vMerge/>
          </w:tcPr>
          <w:p w14:paraId="6CA3559E" w14:textId="77777777" w:rsidR="002E474C" w:rsidRDefault="002E474C">
            <w:pPr>
              <w:pStyle w:val="A-"/>
            </w:pPr>
          </w:p>
        </w:tc>
        <w:tc>
          <w:tcPr>
            <w:tcW w:w="208" w:type="pct"/>
          </w:tcPr>
          <w:p w14:paraId="51188E3A" w14:textId="77777777" w:rsidR="002E474C" w:rsidRDefault="00000000">
            <w:pPr>
              <w:pStyle w:val="A-"/>
              <w:ind w:leftChars="-25" w:left="-53" w:rightChars="-25" w:right="-53"/>
            </w:pPr>
            <w:r>
              <w:t>HCl</w:t>
            </w:r>
          </w:p>
        </w:tc>
        <w:tc>
          <w:tcPr>
            <w:tcW w:w="183" w:type="pct"/>
          </w:tcPr>
          <w:p w14:paraId="36151C6A" w14:textId="77777777" w:rsidR="002E474C" w:rsidRDefault="00000000">
            <w:pPr>
              <w:pStyle w:val="A-"/>
              <w:ind w:leftChars="-25" w:left="-53" w:rightChars="-25" w:right="-53"/>
            </w:pPr>
            <w:r>
              <w:t>HF</w:t>
            </w:r>
          </w:p>
        </w:tc>
        <w:tc>
          <w:tcPr>
            <w:tcW w:w="245" w:type="pct"/>
          </w:tcPr>
          <w:p w14:paraId="62EFE413" w14:textId="77777777" w:rsidR="002E474C" w:rsidRDefault="00000000">
            <w:pPr>
              <w:pStyle w:val="A-"/>
            </w:pPr>
            <w:r>
              <w:t>Cr</w:t>
            </w:r>
          </w:p>
        </w:tc>
        <w:tc>
          <w:tcPr>
            <w:tcW w:w="227" w:type="pct"/>
          </w:tcPr>
          <w:p w14:paraId="280D9761" w14:textId="77777777" w:rsidR="002E474C" w:rsidRDefault="00000000">
            <w:pPr>
              <w:pStyle w:val="A-"/>
            </w:pPr>
            <w:r>
              <w:t>Cd</w:t>
            </w:r>
          </w:p>
        </w:tc>
        <w:tc>
          <w:tcPr>
            <w:tcW w:w="245" w:type="pct"/>
          </w:tcPr>
          <w:p w14:paraId="2C751BFD" w14:textId="77777777" w:rsidR="002E474C" w:rsidRDefault="00000000">
            <w:pPr>
              <w:pStyle w:val="A-"/>
            </w:pPr>
            <w:r>
              <w:t>Pb</w:t>
            </w:r>
          </w:p>
        </w:tc>
        <w:tc>
          <w:tcPr>
            <w:tcW w:w="276" w:type="pct"/>
          </w:tcPr>
          <w:p w14:paraId="23BF71C8" w14:textId="77777777" w:rsidR="002E474C" w:rsidRDefault="00000000">
            <w:pPr>
              <w:pStyle w:val="A-"/>
            </w:pPr>
            <w:r>
              <w:t>Mn</w:t>
            </w:r>
          </w:p>
        </w:tc>
        <w:tc>
          <w:tcPr>
            <w:tcW w:w="276" w:type="pct"/>
          </w:tcPr>
          <w:p w14:paraId="027CDA54" w14:textId="77777777" w:rsidR="002E474C" w:rsidRDefault="00000000">
            <w:pPr>
              <w:pStyle w:val="A-"/>
            </w:pPr>
            <w:r>
              <w:t>Ni</w:t>
            </w:r>
          </w:p>
        </w:tc>
        <w:tc>
          <w:tcPr>
            <w:tcW w:w="245" w:type="pct"/>
          </w:tcPr>
          <w:p w14:paraId="0AD085BC" w14:textId="77777777" w:rsidR="002E474C" w:rsidRDefault="00000000">
            <w:pPr>
              <w:pStyle w:val="A-"/>
            </w:pPr>
            <w:r>
              <w:t>As</w:t>
            </w:r>
          </w:p>
        </w:tc>
        <w:tc>
          <w:tcPr>
            <w:tcW w:w="245" w:type="pct"/>
          </w:tcPr>
          <w:p w14:paraId="7CA74022" w14:textId="77777777" w:rsidR="002E474C" w:rsidRDefault="00000000">
            <w:pPr>
              <w:pStyle w:val="A-"/>
            </w:pPr>
            <w:r>
              <w:t>Hg</w:t>
            </w:r>
          </w:p>
        </w:tc>
        <w:tc>
          <w:tcPr>
            <w:tcW w:w="245" w:type="pct"/>
          </w:tcPr>
          <w:p w14:paraId="37544A16" w14:textId="77777777" w:rsidR="002E474C" w:rsidRDefault="00000000">
            <w:pPr>
              <w:pStyle w:val="A-"/>
            </w:pPr>
            <w:r>
              <w:t>二噁英类</w:t>
            </w:r>
          </w:p>
        </w:tc>
        <w:tc>
          <w:tcPr>
            <w:tcW w:w="233" w:type="pct"/>
          </w:tcPr>
          <w:p w14:paraId="37AAEE5B" w14:textId="77777777" w:rsidR="002E474C" w:rsidRDefault="00000000">
            <w:pPr>
              <w:pStyle w:val="A-"/>
            </w:pPr>
            <w:r>
              <w:t>H</w:t>
            </w:r>
            <w:r>
              <w:rPr>
                <w:vertAlign w:val="subscript"/>
              </w:rPr>
              <w:t>2</w:t>
            </w:r>
            <w:r>
              <w:t>S</w:t>
            </w:r>
          </w:p>
        </w:tc>
        <w:tc>
          <w:tcPr>
            <w:tcW w:w="233" w:type="pct"/>
          </w:tcPr>
          <w:p w14:paraId="3386F406" w14:textId="77777777" w:rsidR="002E474C" w:rsidRDefault="00000000">
            <w:pPr>
              <w:pStyle w:val="A-"/>
              <w:ind w:leftChars="-25" w:left="-53" w:rightChars="-25" w:right="-53"/>
            </w:pPr>
            <w:r>
              <w:t>NH</w:t>
            </w:r>
            <w:r>
              <w:rPr>
                <w:vertAlign w:val="subscript"/>
              </w:rPr>
              <w:t>3</w:t>
            </w:r>
          </w:p>
        </w:tc>
        <w:tc>
          <w:tcPr>
            <w:tcW w:w="239" w:type="pct"/>
          </w:tcPr>
          <w:p w14:paraId="5B4C5149" w14:textId="77777777" w:rsidR="002E474C" w:rsidRDefault="00000000">
            <w:pPr>
              <w:pStyle w:val="A-"/>
            </w:pPr>
            <w:r>
              <w:t>非甲烷总烃</w:t>
            </w:r>
          </w:p>
        </w:tc>
      </w:tr>
      <w:tr w:rsidR="002E474C" w14:paraId="63434F85" w14:textId="77777777">
        <w:tc>
          <w:tcPr>
            <w:tcW w:w="147" w:type="pct"/>
          </w:tcPr>
          <w:p w14:paraId="729E5D22" w14:textId="77777777" w:rsidR="002E474C" w:rsidRDefault="00000000">
            <w:pPr>
              <w:pStyle w:val="A-"/>
            </w:pPr>
            <w:r>
              <w:t>1</w:t>
            </w:r>
          </w:p>
        </w:tc>
        <w:tc>
          <w:tcPr>
            <w:tcW w:w="148" w:type="pct"/>
          </w:tcPr>
          <w:p w14:paraId="4067C502" w14:textId="77777777" w:rsidR="002E474C" w:rsidRDefault="00000000">
            <w:pPr>
              <w:pStyle w:val="A-"/>
            </w:pPr>
            <w:r>
              <w:t>窑尾烟气</w:t>
            </w:r>
          </w:p>
        </w:tc>
        <w:tc>
          <w:tcPr>
            <w:tcW w:w="204" w:type="pct"/>
            <w:shd w:val="clear" w:color="auto" w:fill="auto"/>
          </w:tcPr>
          <w:p w14:paraId="67FDA7AE" w14:textId="77777777" w:rsidR="002E474C" w:rsidRDefault="00000000">
            <w:pPr>
              <w:pStyle w:val="A-"/>
              <w:ind w:leftChars="-25" w:left="-53" w:rightChars="-25" w:right="-53"/>
              <w:rPr>
                <w:spacing w:val="-11"/>
              </w:rPr>
            </w:pPr>
            <w:r>
              <w:rPr>
                <w:spacing w:val="-11"/>
              </w:rPr>
              <w:t>-83</w:t>
            </w:r>
          </w:p>
        </w:tc>
        <w:tc>
          <w:tcPr>
            <w:tcW w:w="171" w:type="pct"/>
            <w:shd w:val="clear" w:color="auto" w:fill="auto"/>
          </w:tcPr>
          <w:p w14:paraId="0916A2C5" w14:textId="77777777" w:rsidR="002E474C" w:rsidRDefault="00000000">
            <w:pPr>
              <w:pStyle w:val="A-"/>
              <w:ind w:leftChars="-25" w:left="-53" w:rightChars="-25" w:right="-53"/>
              <w:rPr>
                <w:spacing w:val="-11"/>
              </w:rPr>
            </w:pPr>
            <w:r>
              <w:rPr>
                <w:spacing w:val="-11"/>
              </w:rPr>
              <w:t>-58</w:t>
            </w:r>
          </w:p>
        </w:tc>
        <w:tc>
          <w:tcPr>
            <w:tcW w:w="182" w:type="pct"/>
            <w:shd w:val="clear" w:color="auto" w:fill="auto"/>
          </w:tcPr>
          <w:p w14:paraId="446F09E7" w14:textId="77777777" w:rsidR="002E474C" w:rsidRDefault="00000000">
            <w:pPr>
              <w:pStyle w:val="A-"/>
              <w:ind w:leftChars="-25" w:left="-53" w:rightChars="-25" w:right="-53"/>
              <w:rPr>
                <w:spacing w:val="-11"/>
              </w:rPr>
            </w:pPr>
            <w:r>
              <w:rPr>
                <w:spacing w:val="-11"/>
              </w:rPr>
              <w:t>672</w:t>
            </w:r>
          </w:p>
        </w:tc>
        <w:tc>
          <w:tcPr>
            <w:tcW w:w="151" w:type="pct"/>
          </w:tcPr>
          <w:p w14:paraId="72DBAE71" w14:textId="77777777" w:rsidR="002E474C" w:rsidRDefault="00000000">
            <w:pPr>
              <w:pStyle w:val="A-"/>
              <w:ind w:leftChars="-25" w:left="-53" w:rightChars="-25" w:right="-53"/>
              <w:rPr>
                <w:spacing w:val="-11"/>
              </w:rPr>
            </w:pPr>
            <w:r>
              <w:rPr>
                <w:spacing w:val="-11"/>
              </w:rPr>
              <w:t>85</w:t>
            </w:r>
          </w:p>
        </w:tc>
        <w:tc>
          <w:tcPr>
            <w:tcW w:w="165" w:type="pct"/>
          </w:tcPr>
          <w:p w14:paraId="70C028D9" w14:textId="77777777" w:rsidR="002E474C" w:rsidRDefault="00000000">
            <w:pPr>
              <w:pStyle w:val="A-"/>
              <w:ind w:leftChars="-25" w:left="-53" w:rightChars="-25" w:right="-53"/>
              <w:rPr>
                <w:spacing w:val="-11"/>
              </w:rPr>
            </w:pPr>
            <w:r>
              <w:rPr>
                <w:spacing w:val="-11"/>
              </w:rPr>
              <w:t>5.2</w:t>
            </w:r>
          </w:p>
        </w:tc>
        <w:tc>
          <w:tcPr>
            <w:tcW w:w="178" w:type="pct"/>
          </w:tcPr>
          <w:p w14:paraId="16EBFA28" w14:textId="77777777" w:rsidR="002E474C" w:rsidRDefault="00000000">
            <w:pPr>
              <w:pStyle w:val="A-"/>
            </w:pPr>
            <w:r>
              <w:t>9.4</w:t>
            </w:r>
          </w:p>
        </w:tc>
        <w:tc>
          <w:tcPr>
            <w:tcW w:w="182" w:type="pct"/>
          </w:tcPr>
          <w:p w14:paraId="75E8849A" w14:textId="77777777" w:rsidR="002E474C" w:rsidRDefault="00000000">
            <w:pPr>
              <w:pStyle w:val="A-"/>
            </w:pPr>
            <w:r>
              <w:t>130</w:t>
            </w:r>
          </w:p>
        </w:tc>
        <w:tc>
          <w:tcPr>
            <w:tcW w:w="216" w:type="pct"/>
          </w:tcPr>
          <w:p w14:paraId="7434115C" w14:textId="77777777" w:rsidR="002E474C" w:rsidRDefault="00000000">
            <w:pPr>
              <w:pStyle w:val="A-"/>
              <w:ind w:leftChars="-50" w:left="-105" w:rightChars="-50" w:right="-105"/>
            </w:pPr>
            <w:r>
              <w:t>7200</w:t>
            </w:r>
          </w:p>
        </w:tc>
        <w:tc>
          <w:tcPr>
            <w:tcW w:w="148" w:type="pct"/>
          </w:tcPr>
          <w:p w14:paraId="0C8AFBB9" w14:textId="77777777" w:rsidR="002E474C" w:rsidRDefault="00000000">
            <w:pPr>
              <w:pStyle w:val="A-"/>
            </w:pPr>
            <w:r>
              <w:t>正常</w:t>
            </w:r>
          </w:p>
        </w:tc>
        <w:tc>
          <w:tcPr>
            <w:tcW w:w="208" w:type="pct"/>
          </w:tcPr>
          <w:p w14:paraId="4AE7A114" w14:textId="77777777" w:rsidR="002E474C" w:rsidRDefault="00000000">
            <w:pPr>
              <w:pStyle w:val="A-"/>
              <w:ind w:leftChars="-25" w:left="-53" w:rightChars="-25" w:right="-53"/>
              <w:rPr>
                <w:spacing w:val="-11"/>
              </w:rPr>
            </w:pPr>
            <w:r>
              <w:rPr>
                <w:spacing w:val="-11"/>
              </w:rPr>
              <w:t>3.597</w:t>
            </w:r>
          </w:p>
        </w:tc>
        <w:tc>
          <w:tcPr>
            <w:tcW w:w="183" w:type="pct"/>
          </w:tcPr>
          <w:p w14:paraId="331B50F0" w14:textId="77777777" w:rsidR="002E474C" w:rsidRDefault="00000000">
            <w:pPr>
              <w:pStyle w:val="A-"/>
              <w:ind w:leftChars="-25" w:left="-53" w:rightChars="-25" w:right="-53"/>
              <w:rPr>
                <w:spacing w:val="-11"/>
              </w:rPr>
            </w:pPr>
            <w:r>
              <w:rPr>
                <w:spacing w:val="-11"/>
              </w:rPr>
              <w:t>0.2</w:t>
            </w:r>
          </w:p>
        </w:tc>
        <w:tc>
          <w:tcPr>
            <w:tcW w:w="245" w:type="pct"/>
          </w:tcPr>
          <w:p w14:paraId="39FCC468" w14:textId="77777777" w:rsidR="002E474C" w:rsidRDefault="00000000">
            <w:pPr>
              <w:pStyle w:val="A-"/>
              <w:ind w:leftChars="-25" w:left="-53" w:rightChars="-25" w:right="-53"/>
            </w:pPr>
            <w:r>
              <w:t>1.44×</w:t>
            </w:r>
          </w:p>
          <w:p w14:paraId="31078C9E" w14:textId="77777777" w:rsidR="002E474C" w:rsidRDefault="00000000">
            <w:pPr>
              <w:pStyle w:val="A-"/>
              <w:ind w:leftChars="-25" w:left="-53" w:rightChars="-25" w:right="-53"/>
            </w:pPr>
            <w:r>
              <w:t>10</w:t>
            </w:r>
            <w:r>
              <w:rPr>
                <w:vertAlign w:val="superscript"/>
              </w:rPr>
              <w:t>-4</w:t>
            </w:r>
          </w:p>
        </w:tc>
        <w:tc>
          <w:tcPr>
            <w:tcW w:w="227" w:type="pct"/>
          </w:tcPr>
          <w:p w14:paraId="09AA6424" w14:textId="77777777" w:rsidR="002E474C" w:rsidRDefault="00000000">
            <w:pPr>
              <w:pStyle w:val="A-"/>
              <w:ind w:leftChars="-25" w:left="-53" w:rightChars="-25" w:right="-53"/>
            </w:pPr>
            <w:r>
              <w:t>1.59×</w:t>
            </w:r>
          </w:p>
          <w:p w14:paraId="68D06B47" w14:textId="77777777" w:rsidR="002E474C" w:rsidRDefault="00000000">
            <w:pPr>
              <w:pStyle w:val="A-"/>
              <w:ind w:leftChars="-25" w:left="-53" w:rightChars="-25" w:right="-53"/>
            </w:pPr>
            <w:r>
              <w:t>10</w:t>
            </w:r>
            <w:r>
              <w:rPr>
                <w:vertAlign w:val="superscript"/>
              </w:rPr>
              <w:t>-5</w:t>
            </w:r>
          </w:p>
        </w:tc>
        <w:tc>
          <w:tcPr>
            <w:tcW w:w="245" w:type="pct"/>
          </w:tcPr>
          <w:p w14:paraId="1EB07775" w14:textId="77777777" w:rsidR="002E474C" w:rsidRDefault="00000000">
            <w:pPr>
              <w:pStyle w:val="A-"/>
              <w:ind w:leftChars="-25" w:left="-53" w:rightChars="-25" w:right="-53"/>
            </w:pPr>
            <w:r>
              <w:t>3.6×</w:t>
            </w:r>
          </w:p>
          <w:p w14:paraId="72E39639" w14:textId="77777777" w:rsidR="002E474C" w:rsidRDefault="00000000">
            <w:pPr>
              <w:pStyle w:val="A-"/>
              <w:ind w:leftChars="-25" w:left="-53" w:rightChars="-25" w:right="-53"/>
            </w:pPr>
            <w:r>
              <w:t>10</w:t>
            </w:r>
            <w:r>
              <w:rPr>
                <w:vertAlign w:val="superscript"/>
              </w:rPr>
              <w:t>-4</w:t>
            </w:r>
          </w:p>
        </w:tc>
        <w:tc>
          <w:tcPr>
            <w:tcW w:w="276" w:type="pct"/>
          </w:tcPr>
          <w:p w14:paraId="2006F6EE" w14:textId="77777777" w:rsidR="002E474C" w:rsidRDefault="00000000">
            <w:pPr>
              <w:pStyle w:val="A-"/>
              <w:ind w:leftChars="-25" w:left="-53" w:rightChars="-25" w:right="-53"/>
            </w:pPr>
            <w:r>
              <w:t>8.86×</w:t>
            </w:r>
          </w:p>
          <w:p w14:paraId="463BC36E" w14:textId="77777777" w:rsidR="002E474C" w:rsidRDefault="00000000">
            <w:pPr>
              <w:pStyle w:val="A-"/>
              <w:ind w:leftChars="-25" w:left="-53" w:rightChars="-25" w:right="-53"/>
            </w:pPr>
            <w:r>
              <w:t>10</w:t>
            </w:r>
            <w:r>
              <w:rPr>
                <w:vertAlign w:val="superscript"/>
              </w:rPr>
              <w:t>-4</w:t>
            </w:r>
          </w:p>
        </w:tc>
        <w:tc>
          <w:tcPr>
            <w:tcW w:w="276" w:type="pct"/>
          </w:tcPr>
          <w:p w14:paraId="7DC52AEC" w14:textId="77777777" w:rsidR="002E474C" w:rsidRDefault="00000000">
            <w:pPr>
              <w:pStyle w:val="A-"/>
              <w:ind w:leftChars="-25" w:left="-53" w:rightChars="-25" w:right="-53"/>
            </w:pPr>
            <w:r>
              <w:t>6.10×</w:t>
            </w:r>
          </w:p>
          <w:p w14:paraId="100CA962" w14:textId="77777777" w:rsidR="002E474C" w:rsidRDefault="00000000">
            <w:pPr>
              <w:pStyle w:val="A-"/>
              <w:ind w:leftChars="-25" w:left="-53" w:rightChars="-25" w:right="-53"/>
              <w:rPr>
                <w:rFonts w:eastAsia="等线"/>
              </w:rPr>
            </w:pPr>
            <w:r>
              <w:t>10</w:t>
            </w:r>
            <w:r>
              <w:rPr>
                <w:vertAlign w:val="superscript"/>
              </w:rPr>
              <w:t>-6</w:t>
            </w:r>
          </w:p>
        </w:tc>
        <w:tc>
          <w:tcPr>
            <w:tcW w:w="245" w:type="pct"/>
          </w:tcPr>
          <w:p w14:paraId="50CABBA3" w14:textId="77777777" w:rsidR="002E474C" w:rsidRDefault="00000000">
            <w:pPr>
              <w:pStyle w:val="A-"/>
              <w:ind w:leftChars="-25" w:left="-53" w:rightChars="-25" w:right="-53"/>
            </w:pPr>
            <w:r>
              <w:t>2.4×</w:t>
            </w:r>
          </w:p>
          <w:p w14:paraId="0C8D4E69" w14:textId="77777777" w:rsidR="002E474C" w:rsidRDefault="00000000">
            <w:pPr>
              <w:pStyle w:val="A-"/>
              <w:ind w:leftChars="-25" w:left="-53" w:rightChars="-25" w:right="-53"/>
            </w:pPr>
            <w:r>
              <w:t>10</w:t>
            </w:r>
            <w:r>
              <w:rPr>
                <w:vertAlign w:val="superscript"/>
              </w:rPr>
              <w:t>-5</w:t>
            </w:r>
          </w:p>
        </w:tc>
        <w:tc>
          <w:tcPr>
            <w:tcW w:w="245" w:type="pct"/>
          </w:tcPr>
          <w:p w14:paraId="2405BEBB" w14:textId="77777777" w:rsidR="002E474C" w:rsidRDefault="00000000">
            <w:pPr>
              <w:pStyle w:val="A-"/>
              <w:ind w:leftChars="-25" w:left="-53" w:rightChars="-25" w:right="-53"/>
            </w:pPr>
            <w:r>
              <w:rPr>
                <w:rFonts w:hint="eastAsia"/>
              </w:rPr>
              <w:t>9.37</w:t>
            </w:r>
            <w:r>
              <w:t>×</w:t>
            </w:r>
          </w:p>
          <w:p w14:paraId="0B72C256" w14:textId="77777777" w:rsidR="002E474C" w:rsidRDefault="00000000">
            <w:pPr>
              <w:pStyle w:val="A-"/>
              <w:ind w:leftChars="-25" w:left="-53" w:rightChars="-25" w:right="-53"/>
            </w:pPr>
            <w:r>
              <w:t>10</w:t>
            </w:r>
            <w:r>
              <w:rPr>
                <w:vertAlign w:val="superscript"/>
              </w:rPr>
              <w:t>-4</w:t>
            </w:r>
          </w:p>
        </w:tc>
        <w:tc>
          <w:tcPr>
            <w:tcW w:w="245" w:type="pct"/>
          </w:tcPr>
          <w:p w14:paraId="4C960BC6" w14:textId="77777777" w:rsidR="002E474C" w:rsidRDefault="00000000">
            <w:pPr>
              <w:pStyle w:val="A-"/>
              <w:ind w:leftChars="-25" w:left="-53" w:rightChars="-25" w:right="-53"/>
            </w:pPr>
            <w:r>
              <w:t>3.6×</w:t>
            </w:r>
          </w:p>
          <w:p w14:paraId="334E7D0D" w14:textId="77777777" w:rsidR="002E474C" w:rsidRDefault="00000000">
            <w:pPr>
              <w:pStyle w:val="A-"/>
              <w:ind w:leftChars="-25" w:left="-53" w:rightChars="-25" w:right="-53"/>
            </w:pPr>
            <w:r>
              <w:t>10</w:t>
            </w:r>
            <w:r>
              <w:rPr>
                <w:vertAlign w:val="superscript"/>
              </w:rPr>
              <w:t>-8</w:t>
            </w:r>
          </w:p>
        </w:tc>
        <w:tc>
          <w:tcPr>
            <w:tcW w:w="233" w:type="pct"/>
          </w:tcPr>
          <w:p w14:paraId="6520388F" w14:textId="77777777" w:rsidR="002E474C" w:rsidRDefault="002E474C">
            <w:pPr>
              <w:pStyle w:val="A-"/>
            </w:pPr>
          </w:p>
        </w:tc>
        <w:tc>
          <w:tcPr>
            <w:tcW w:w="233" w:type="pct"/>
          </w:tcPr>
          <w:p w14:paraId="2026A1D0" w14:textId="77777777" w:rsidR="002E474C" w:rsidRDefault="002E474C">
            <w:pPr>
              <w:pStyle w:val="A-"/>
            </w:pPr>
          </w:p>
        </w:tc>
        <w:tc>
          <w:tcPr>
            <w:tcW w:w="239" w:type="pct"/>
          </w:tcPr>
          <w:p w14:paraId="051A7691" w14:textId="77777777" w:rsidR="002E474C" w:rsidRDefault="002E474C">
            <w:pPr>
              <w:pStyle w:val="A-"/>
            </w:pPr>
          </w:p>
        </w:tc>
      </w:tr>
      <w:tr w:rsidR="002E474C" w14:paraId="4E4511CE" w14:textId="77777777">
        <w:tc>
          <w:tcPr>
            <w:tcW w:w="147" w:type="pct"/>
          </w:tcPr>
          <w:p w14:paraId="284EA006" w14:textId="77777777" w:rsidR="002E474C" w:rsidRDefault="00000000">
            <w:pPr>
              <w:pStyle w:val="A-"/>
            </w:pPr>
            <w:r>
              <w:t>2</w:t>
            </w:r>
          </w:p>
        </w:tc>
        <w:tc>
          <w:tcPr>
            <w:tcW w:w="148" w:type="pct"/>
          </w:tcPr>
          <w:p w14:paraId="6B5DBF93" w14:textId="77777777" w:rsidR="002E474C" w:rsidRDefault="00000000">
            <w:pPr>
              <w:pStyle w:val="A-"/>
            </w:pPr>
            <w:r>
              <w:t>危废贮存废气</w:t>
            </w:r>
          </w:p>
        </w:tc>
        <w:tc>
          <w:tcPr>
            <w:tcW w:w="204" w:type="pct"/>
            <w:shd w:val="clear" w:color="auto" w:fill="auto"/>
          </w:tcPr>
          <w:p w14:paraId="068B497D" w14:textId="77777777" w:rsidR="002E474C" w:rsidRDefault="00000000">
            <w:pPr>
              <w:pStyle w:val="A-"/>
              <w:ind w:leftChars="-25" w:left="-53" w:rightChars="-25" w:right="-53"/>
              <w:rPr>
                <w:spacing w:val="-11"/>
              </w:rPr>
            </w:pPr>
            <w:r>
              <w:rPr>
                <w:spacing w:val="-11"/>
              </w:rPr>
              <w:t>-491</w:t>
            </w:r>
          </w:p>
        </w:tc>
        <w:tc>
          <w:tcPr>
            <w:tcW w:w="171" w:type="pct"/>
            <w:shd w:val="clear" w:color="auto" w:fill="auto"/>
          </w:tcPr>
          <w:p w14:paraId="288F0738" w14:textId="77777777" w:rsidR="002E474C" w:rsidRDefault="00000000">
            <w:pPr>
              <w:pStyle w:val="A-"/>
              <w:ind w:leftChars="-25" w:left="-53" w:rightChars="-25" w:right="-53"/>
              <w:rPr>
                <w:spacing w:val="-11"/>
              </w:rPr>
            </w:pPr>
            <w:r>
              <w:rPr>
                <w:spacing w:val="-11"/>
              </w:rPr>
              <w:t>-18</w:t>
            </w:r>
          </w:p>
        </w:tc>
        <w:tc>
          <w:tcPr>
            <w:tcW w:w="182" w:type="pct"/>
            <w:shd w:val="clear" w:color="auto" w:fill="auto"/>
          </w:tcPr>
          <w:p w14:paraId="1214BBC6" w14:textId="77777777" w:rsidR="002E474C" w:rsidRDefault="00000000">
            <w:pPr>
              <w:pStyle w:val="A-"/>
              <w:ind w:leftChars="-25" w:left="-53" w:rightChars="-25" w:right="-53"/>
              <w:rPr>
                <w:spacing w:val="-11"/>
              </w:rPr>
            </w:pPr>
            <w:r>
              <w:rPr>
                <w:spacing w:val="-11"/>
              </w:rPr>
              <w:t>678</w:t>
            </w:r>
          </w:p>
        </w:tc>
        <w:tc>
          <w:tcPr>
            <w:tcW w:w="151" w:type="pct"/>
          </w:tcPr>
          <w:p w14:paraId="407458E5" w14:textId="77777777" w:rsidR="002E474C" w:rsidRDefault="00000000">
            <w:pPr>
              <w:pStyle w:val="A-"/>
              <w:ind w:leftChars="-25" w:left="-53" w:rightChars="-25" w:right="-53"/>
              <w:rPr>
                <w:spacing w:val="-11"/>
              </w:rPr>
            </w:pPr>
            <w:r>
              <w:rPr>
                <w:spacing w:val="-11"/>
              </w:rPr>
              <w:t>15</w:t>
            </w:r>
          </w:p>
        </w:tc>
        <w:tc>
          <w:tcPr>
            <w:tcW w:w="165" w:type="pct"/>
            <w:shd w:val="clear" w:color="auto" w:fill="auto"/>
          </w:tcPr>
          <w:p w14:paraId="4A832B59" w14:textId="77777777" w:rsidR="002E474C" w:rsidRDefault="00000000">
            <w:pPr>
              <w:pStyle w:val="A-"/>
              <w:ind w:leftChars="-25" w:left="-53" w:rightChars="-25" w:right="-53"/>
              <w:rPr>
                <w:spacing w:val="-11"/>
              </w:rPr>
            </w:pPr>
            <w:r>
              <w:rPr>
                <w:spacing w:val="-11"/>
              </w:rPr>
              <w:t>0.8</w:t>
            </w:r>
          </w:p>
        </w:tc>
        <w:tc>
          <w:tcPr>
            <w:tcW w:w="178" w:type="pct"/>
            <w:shd w:val="clear" w:color="auto" w:fill="auto"/>
          </w:tcPr>
          <w:p w14:paraId="2522CD3A" w14:textId="77777777" w:rsidR="002E474C" w:rsidRDefault="00000000">
            <w:pPr>
              <w:pStyle w:val="A-"/>
            </w:pPr>
            <w:r>
              <w:t>8.3</w:t>
            </w:r>
          </w:p>
        </w:tc>
        <w:tc>
          <w:tcPr>
            <w:tcW w:w="182" w:type="pct"/>
          </w:tcPr>
          <w:p w14:paraId="4327E005" w14:textId="77777777" w:rsidR="002E474C" w:rsidRDefault="00000000">
            <w:pPr>
              <w:pStyle w:val="A-"/>
            </w:pPr>
            <w:r>
              <w:t>20</w:t>
            </w:r>
          </w:p>
        </w:tc>
        <w:tc>
          <w:tcPr>
            <w:tcW w:w="216" w:type="pct"/>
          </w:tcPr>
          <w:p w14:paraId="6BC9F143" w14:textId="77777777" w:rsidR="002E474C" w:rsidRDefault="00000000">
            <w:pPr>
              <w:pStyle w:val="A-"/>
              <w:ind w:leftChars="-50" w:left="-105" w:rightChars="-50" w:right="-105"/>
            </w:pPr>
            <w:r>
              <w:t>7200</w:t>
            </w:r>
          </w:p>
        </w:tc>
        <w:tc>
          <w:tcPr>
            <w:tcW w:w="148" w:type="pct"/>
          </w:tcPr>
          <w:p w14:paraId="3D398230" w14:textId="77777777" w:rsidR="002E474C" w:rsidRDefault="00000000">
            <w:pPr>
              <w:pStyle w:val="A-"/>
            </w:pPr>
            <w:r>
              <w:t>正常</w:t>
            </w:r>
          </w:p>
        </w:tc>
        <w:tc>
          <w:tcPr>
            <w:tcW w:w="208" w:type="pct"/>
          </w:tcPr>
          <w:p w14:paraId="6244462D" w14:textId="77777777" w:rsidR="002E474C" w:rsidRDefault="002E474C">
            <w:pPr>
              <w:pStyle w:val="A-"/>
            </w:pPr>
          </w:p>
        </w:tc>
        <w:tc>
          <w:tcPr>
            <w:tcW w:w="183" w:type="pct"/>
          </w:tcPr>
          <w:p w14:paraId="704504E9" w14:textId="77777777" w:rsidR="002E474C" w:rsidRDefault="002E474C">
            <w:pPr>
              <w:pStyle w:val="A-"/>
            </w:pPr>
          </w:p>
        </w:tc>
        <w:tc>
          <w:tcPr>
            <w:tcW w:w="245" w:type="pct"/>
          </w:tcPr>
          <w:p w14:paraId="22DA534F" w14:textId="77777777" w:rsidR="002E474C" w:rsidRDefault="002E474C">
            <w:pPr>
              <w:pStyle w:val="A-"/>
            </w:pPr>
          </w:p>
        </w:tc>
        <w:tc>
          <w:tcPr>
            <w:tcW w:w="227" w:type="pct"/>
          </w:tcPr>
          <w:p w14:paraId="2CBAD07F" w14:textId="77777777" w:rsidR="002E474C" w:rsidRDefault="002E474C">
            <w:pPr>
              <w:pStyle w:val="A-"/>
            </w:pPr>
          </w:p>
        </w:tc>
        <w:tc>
          <w:tcPr>
            <w:tcW w:w="245" w:type="pct"/>
          </w:tcPr>
          <w:p w14:paraId="15DD66F7" w14:textId="77777777" w:rsidR="002E474C" w:rsidRDefault="002E474C">
            <w:pPr>
              <w:pStyle w:val="A-"/>
            </w:pPr>
          </w:p>
        </w:tc>
        <w:tc>
          <w:tcPr>
            <w:tcW w:w="276" w:type="pct"/>
          </w:tcPr>
          <w:p w14:paraId="69C3C880" w14:textId="77777777" w:rsidR="002E474C" w:rsidRDefault="002E474C">
            <w:pPr>
              <w:pStyle w:val="A-"/>
            </w:pPr>
          </w:p>
        </w:tc>
        <w:tc>
          <w:tcPr>
            <w:tcW w:w="276" w:type="pct"/>
          </w:tcPr>
          <w:p w14:paraId="16EFCE3D" w14:textId="77777777" w:rsidR="002E474C" w:rsidRDefault="002E474C">
            <w:pPr>
              <w:pStyle w:val="A-"/>
            </w:pPr>
          </w:p>
        </w:tc>
        <w:tc>
          <w:tcPr>
            <w:tcW w:w="245" w:type="pct"/>
          </w:tcPr>
          <w:p w14:paraId="08C7B7AE" w14:textId="77777777" w:rsidR="002E474C" w:rsidRDefault="002E474C">
            <w:pPr>
              <w:pStyle w:val="A-"/>
            </w:pPr>
          </w:p>
        </w:tc>
        <w:tc>
          <w:tcPr>
            <w:tcW w:w="245" w:type="pct"/>
          </w:tcPr>
          <w:p w14:paraId="70DE468E" w14:textId="77777777" w:rsidR="002E474C" w:rsidRDefault="002E474C">
            <w:pPr>
              <w:pStyle w:val="A-"/>
            </w:pPr>
          </w:p>
        </w:tc>
        <w:tc>
          <w:tcPr>
            <w:tcW w:w="245" w:type="pct"/>
          </w:tcPr>
          <w:p w14:paraId="1A45A635" w14:textId="77777777" w:rsidR="002E474C" w:rsidRDefault="002E474C">
            <w:pPr>
              <w:pStyle w:val="A-"/>
            </w:pPr>
          </w:p>
        </w:tc>
        <w:tc>
          <w:tcPr>
            <w:tcW w:w="233" w:type="pct"/>
          </w:tcPr>
          <w:p w14:paraId="7D05F307" w14:textId="77777777" w:rsidR="002E474C" w:rsidRDefault="00000000">
            <w:pPr>
              <w:pStyle w:val="A-"/>
              <w:ind w:leftChars="-25" w:left="-53" w:rightChars="-25" w:right="-53"/>
              <w:rPr>
                <w:spacing w:val="-6"/>
              </w:rPr>
            </w:pPr>
            <w:r>
              <w:rPr>
                <w:spacing w:val="-6"/>
              </w:rPr>
              <w:t>0.005</w:t>
            </w:r>
          </w:p>
        </w:tc>
        <w:tc>
          <w:tcPr>
            <w:tcW w:w="233" w:type="pct"/>
          </w:tcPr>
          <w:p w14:paraId="68494116" w14:textId="77777777" w:rsidR="002E474C" w:rsidRDefault="00000000">
            <w:pPr>
              <w:pStyle w:val="A-"/>
              <w:ind w:leftChars="-25" w:left="-53" w:rightChars="-25" w:right="-53"/>
              <w:rPr>
                <w:spacing w:val="-6"/>
              </w:rPr>
            </w:pPr>
            <w:r>
              <w:rPr>
                <w:spacing w:val="-6"/>
              </w:rPr>
              <w:t>0.058</w:t>
            </w:r>
          </w:p>
        </w:tc>
        <w:tc>
          <w:tcPr>
            <w:tcW w:w="239" w:type="pct"/>
          </w:tcPr>
          <w:p w14:paraId="5D52D869" w14:textId="77777777" w:rsidR="002E474C" w:rsidRDefault="00000000">
            <w:pPr>
              <w:pStyle w:val="A-"/>
              <w:ind w:leftChars="-25" w:left="-53" w:rightChars="-25" w:right="-53"/>
              <w:rPr>
                <w:spacing w:val="-6"/>
              </w:rPr>
            </w:pPr>
            <w:r>
              <w:rPr>
                <w:spacing w:val="-6"/>
              </w:rPr>
              <w:t>0.063</w:t>
            </w:r>
          </w:p>
        </w:tc>
      </w:tr>
    </w:tbl>
    <w:p w14:paraId="4AC8E79F" w14:textId="77777777" w:rsidR="002E474C" w:rsidRDefault="00000000">
      <w:pPr>
        <w:pStyle w:val="A-0"/>
        <w:rPr>
          <w:color w:val="auto"/>
        </w:rPr>
      </w:pPr>
      <w:bookmarkStart w:id="275" w:name="_Ref149641922"/>
      <w:r>
        <w:rPr>
          <w:color w:val="auto"/>
        </w:rPr>
        <w:t>表</w:t>
      </w:r>
      <w:r>
        <w:rPr>
          <w:color w:val="auto"/>
        </w:rPr>
        <w:t>5.1</w:t>
      </w:r>
      <w:r>
        <w:rPr>
          <w:color w:val="auto"/>
        </w:rPr>
        <w:noBreakHyphen/>
        <w:t>1</w:t>
      </w:r>
      <w:bookmarkEnd w:id="275"/>
      <w:r>
        <w:rPr>
          <w:rFonts w:hint="eastAsia"/>
          <w:color w:val="auto"/>
        </w:rPr>
        <w:t>1</w:t>
      </w:r>
      <w:r>
        <w:rPr>
          <w:color w:val="auto"/>
        </w:rPr>
        <w:t xml:space="preserve">  </w:t>
      </w:r>
      <w:r>
        <w:rPr>
          <w:color w:val="auto"/>
        </w:rPr>
        <w:t>本项目新增无组织排放源强参数表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687"/>
        <w:gridCol w:w="651"/>
        <w:gridCol w:w="889"/>
        <w:gridCol w:w="704"/>
        <w:gridCol w:w="717"/>
        <w:gridCol w:w="939"/>
        <w:gridCol w:w="1066"/>
        <w:gridCol w:w="984"/>
        <w:gridCol w:w="886"/>
        <w:gridCol w:w="889"/>
        <w:gridCol w:w="1109"/>
        <w:gridCol w:w="995"/>
        <w:gridCol w:w="1286"/>
      </w:tblGrid>
      <w:tr w:rsidR="002E474C" w14:paraId="37B2789B" w14:textId="77777777">
        <w:tc>
          <w:tcPr>
            <w:tcW w:w="161" w:type="pct"/>
            <w:vMerge w:val="restart"/>
          </w:tcPr>
          <w:p w14:paraId="186AAC29" w14:textId="77777777" w:rsidR="002E474C" w:rsidRDefault="00000000">
            <w:pPr>
              <w:pStyle w:val="A-"/>
              <w:rPr>
                <w:lang w:val="zh-CN"/>
              </w:rPr>
            </w:pPr>
            <w:r>
              <w:rPr>
                <w:lang w:val="zh-CN"/>
              </w:rPr>
              <w:t>编号</w:t>
            </w:r>
          </w:p>
        </w:tc>
        <w:tc>
          <w:tcPr>
            <w:tcW w:w="638" w:type="pct"/>
            <w:vMerge w:val="restart"/>
          </w:tcPr>
          <w:p w14:paraId="4F5B5BDD" w14:textId="77777777" w:rsidR="002E474C" w:rsidRDefault="00000000">
            <w:pPr>
              <w:pStyle w:val="A-"/>
              <w:rPr>
                <w:lang w:val="zh-CN"/>
              </w:rPr>
            </w:pPr>
            <w:r>
              <w:rPr>
                <w:lang w:val="zh-CN"/>
              </w:rPr>
              <w:t>名称</w:t>
            </w:r>
          </w:p>
        </w:tc>
        <w:tc>
          <w:tcPr>
            <w:tcW w:w="581" w:type="pct"/>
            <w:gridSpan w:val="2"/>
          </w:tcPr>
          <w:p w14:paraId="7EE0053F" w14:textId="77777777" w:rsidR="002E474C" w:rsidRDefault="00000000">
            <w:pPr>
              <w:pStyle w:val="A-"/>
              <w:rPr>
                <w:lang w:val="zh-CN"/>
              </w:rPr>
            </w:pPr>
            <w:r>
              <w:rPr>
                <w:lang w:val="zh-CN"/>
              </w:rPr>
              <w:t>面源起点坐标</w:t>
            </w:r>
            <w:r>
              <w:rPr>
                <w:lang w:val="zh-CN"/>
              </w:rPr>
              <w:t>/m</w:t>
            </w:r>
          </w:p>
        </w:tc>
        <w:tc>
          <w:tcPr>
            <w:tcW w:w="266" w:type="pct"/>
            <w:vMerge w:val="restart"/>
          </w:tcPr>
          <w:p w14:paraId="73364B87" w14:textId="77777777" w:rsidR="002E474C" w:rsidRDefault="00000000">
            <w:pPr>
              <w:pStyle w:val="A-"/>
              <w:rPr>
                <w:lang w:val="zh-CN"/>
              </w:rPr>
            </w:pPr>
            <w:r>
              <w:rPr>
                <w:lang w:val="zh-CN"/>
              </w:rPr>
              <w:t>面源海拔高度</w:t>
            </w:r>
            <w:r>
              <w:rPr>
                <w:lang w:val="zh-CN"/>
              </w:rPr>
              <w:t>/m</w:t>
            </w:r>
          </w:p>
        </w:tc>
        <w:tc>
          <w:tcPr>
            <w:tcW w:w="271" w:type="pct"/>
            <w:vMerge w:val="restart"/>
          </w:tcPr>
          <w:p w14:paraId="04FC6DD0" w14:textId="77777777" w:rsidR="002E474C" w:rsidRDefault="00000000">
            <w:pPr>
              <w:pStyle w:val="A-"/>
              <w:rPr>
                <w:lang w:val="zh-CN"/>
              </w:rPr>
            </w:pPr>
            <w:r>
              <w:rPr>
                <w:lang w:val="zh-CN"/>
              </w:rPr>
              <w:t>面源长度</w:t>
            </w:r>
            <w:r>
              <w:rPr>
                <w:lang w:val="zh-CN"/>
              </w:rPr>
              <w:t>/m</w:t>
            </w:r>
          </w:p>
        </w:tc>
        <w:tc>
          <w:tcPr>
            <w:tcW w:w="355" w:type="pct"/>
            <w:vMerge w:val="restart"/>
          </w:tcPr>
          <w:p w14:paraId="630D6A1A" w14:textId="77777777" w:rsidR="002E474C" w:rsidRDefault="00000000">
            <w:pPr>
              <w:pStyle w:val="A-"/>
              <w:rPr>
                <w:lang w:val="zh-CN"/>
              </w:rPr>
            </w:pPr>
            <w:r>
              <w:rPr>
                <w:lang w:val="zh-CN"/>
              </w:rPr>
              <w:t>面源宽度</w:t>
            </w:r>
            <w:r>
              <w:rPr>
                <w:lang w:val="zh-CN"/>
              </w:rPr>
              <w:t>/m</w:t>
            </w:r>
          </w:p>
        </w:tc>
        <w:tc>
          <w:tcPr>
            <w:tcW w:w="403" w:type="pct"/>
            <w:vMerge w:val="restart"/>
          </w:tcPr>
          <w:p w14:paraId="14AC415D" w14:textId="77777777" w:rsidR="002E474C" w:rsidRDefault="00000000">
            <w:pPr>
              <w:pStyle w:val="A-"/>
              <w:rPr>
                <w:lang w:val="zh-CN"/>
              </w:rPr>
            </w:pPr>
            <w:r>
              <w:rPr>
                <w:lang w:val="zh-CN"/>
              </w:rPr>
              <w:t>与正北向夹角</w:t>
            </w:r>
            <w:r>
              <w:rPr>
                <w:lang w:val="zh-CN"/>
              </w:rPr>
              <w:t xml:space="preserve">/ </w:t>
            </w:r>
            <w:r>
              <w:rPr>
                <w:lang w:val="zh-CN"/>
              </w:rPr>
              <w:t>（</w:t>
            </w:r>
            <w:r>
              <w:rPr>
                <w:lang w:val="zh-CN"/>
              </w:rPr>
              <w:t>°</w:t>
            </w:r>
            <w:r>
              <w:rPr>
                <w:lang w:val="zh-CN"/>
              </w:rPr>
              <w:t>）</w:t>
            </w:r>
          </w:p>
        </w:tc>
        <w:tc>
          <w:tcPr>
            <w:tcW w:w="372" w:type="pct"/>
            <w:vMerge w:val="restart"/>
          </w:tcPr>
          <w:p w14:paraId="2F543F10" w14:textId="77777777" w:rsidR="002E474C" w:rsidRDefault="00000000">
            <w:pPr>
              <w:pStyle w:val="A-"/>
              <w:rPr>
                <w:lang w:val="zh-CN"/>
              </w:rPr>
            </w:pPr>
            <w:r>
              <w:rPr>
                <w:lang w:val="zh-CN"/>
              </w:rPr>
              <w:t>面源有效排放高度</w:t>
            </w:r>
            <w:r>
              <w:rPr>
                <w:lang w:val="zh-CN"/>
              </w:rPr>
              <w:t>/ m</w:t>
            </w:r>
          </w:p>
        </w:tc>
        <w:tc>
          <w:tcPr>
            <w:tcW w:w="335" w:type="pct"/>
            <w:vMerge w:val="restart"/>
          </w:tcPr>
          <w:p w14:paraId="4E041E15" w14:textId="77777777" w:rsidR="002E474C" w:rsidRDefault="00000000">
            <w:pPr>
              <w:pStyle w:val="A-"/>
              <w:rPr>
                <w:lang w:val="zh-CN"/>
              </w:rPr>
            </w:pPr>
            <w:r>
              <w:rPr>
                <w:lang w:val="zh-CN"/>
              </w:rPr>
              <w:t>年排放小时数</w:t>
            </w:r>
            <w:r>
              <w:rPr>
                <w:lang w:val="zh-CN"/>
              </w:rPr>
              <w:t>/h</w:t>
            </w:r>
          </w:p>
        </w:tc>
        <w:tc>
          <w:tcPr>
            <w:tcW w:w="336" w:type="pct"/>
            <w:vMerge w:val="restart"/>
          </w:tcPr>
          <w:p w14:paraId="0F02DA3B" w14:textId="77777777" w:rsidR="002E474C" w:rsidRDefault="00000000">
            <w:pPr>
              <w:pStyle w:val="A-"/>
              <w:rPr>
                <w:lang w:val="zh-CN"/>
              </w:rPr>
            </w:pPr>
            <w:r>
              <w:rPr>
                <w:lang w:val="zh-CN"/>
              </w:rPr>
              <w:t>排放</w:t>
            </w:r>
          </w:p>
          <w:p w14:paraId="7B7AD1A9" w14:textId="77777777" w:rsidR="002E474C" w:rsidRDefault="00000000">
            <w:pPr>
              <w:pStyle w:val="A-"/>
              <w:rPr>
                <w:lang w:val="zh-CN"/>
              </w:rPr>
            </w:pPr>
            <w:r>
              <w:rPr>
                <w:lang w:val="zh-CN"/>
              </w:rPr>
              <w:t>工况</w:t>
            </w:r>
          </w:p>
        </w:tc>
        <w:tc>
          <w:tcPr>
            <w:tcW w:w="1284" w:type="pct"/>
            <w:gridSpan w:val="3"/>
          </w:tcPr>
          <w:p w14:paraId="31CA447F" w14:textId="77777777" w:rsidR="002E474C" w:rsidRDefault="00000000">
            <w:pPr>
              <w:pStyle w:val="A-"/>
              <w:rPr>
                <w:lang w:val="zh-CN"/>
              </w:rPr>
            </w:pPr>
            <w:r>
              <w:rPr>
                <w:lang w:val="zh-CN"/>
              </w:rPr>
              <w:t>污染物排放速率</w:t>
            </w:r>
            <w:r>
              <w:rPr>
                <w:lang w:val="zh-CN"/>
              </w:rPr>
              <w:t>/</w:t>
            </w:r>
            <w:r>
              <w:rPr>
                <w:lang w:val="zh-CN"/>
              </w:rPr>
              <w:t>（</w:t>
            </w:r>
            <w:r>
              <w:rPr>
                <w:lang w:val="zh-CN"/>
              </w:rPr>
              <w:t>kg/h</w:t>
            </w:r>
            <w:r>
              <w:rPr>
                <w:lang w:val="zh-CN"/>
              </w:rPr>
              <w:t>）</w:t>
            </w:r>
          </w:p>
        </w:tc>
      </w:tr>
      <w:tr w:rsidR="002E474C" w14:paraId="4A4E31A0" w14:textId="77777777">
        <w:tc>
          <w:tcPr>
            <w:tcW w:w="161" w:type="pct"/>
            <w:vMerge/>
          </w:tcPr>
          <w:p w14:paraId="54C99C30" w14:textId="77777777" w:rsidR="002E474C" w:rsidRDefault="002E474C">
            <w:pPr>
              <w:pStyle w:val="A-"/>
              <w:rPr>
                <w:lang w:val="zh-CN"/>
              </w:rPr>
            </w:pPr>
          </w:p>
        </w:tc>
        <w:tc>
          <w:tcPr>
            <w:tcW w:w="638" w:type="pct"/>
            <w:vMerge/>
          </w:tcPr>
          <w:p w14:paraId="5579BB06" w14:textId="77777777" w:rsidR="002E474C" w:rsidRDefault="002E474C">
            <w:pPr>
              <w:pStyle w:val="A-"/>
              <w:rPr>
                <w:lang w:val="zh-CN"/>
              </w:rPr>
            </w:pPr>
          </w:p>
        </w:tc>
        <w:tc>
          <w:tcPr>
            <w:tcW w:w="246" w:type="pct"/>
          </w:tcPr>
          <w:p w14:paraId="3A08AA00" w14:textId="77777777" w:rsidR="002E474C" w:rsidRDefault="00000000">
            <w:pPr>
              <w:pStyle w:val="A-"/>
              <w:rPr>
                <w:lang w:val="zh-CN"/>
              </w:rPr>
            </w:pPr>
            <w:r>
              <w:rPr>
                <w:lang w:val="zh-CN"/>
              </w:rPr>
              <w:t>X</w:t>
            </w:r>
          </w:p>
        </w:tc>
        <w:tc>
          <w:tcPr>
            <w:tcW w:w="336" w:type="pct"/>
          </w:tcPr>
          <w:p w14:paraId="796E8D26" w14:textId="77777777" w:rsidR="002E474C" w:rsidRDefault="00000000">
            <w:pPr>
              <w:pStyle w:val="A-"/>
              <w:rPr>
                <w:lang w:val="zh-CN"/>
              </w:rPr>
            </w:pPr>
            <w:r>
              <w:rPr>
                <w:lang w:val="zh-CN"/>
              </w:rPr>
              <w:t>Y</w:t>
            </w:r>
          </w:p>
        </w:tc>
        <w:tc>
          <w:tcPr>
            <w:tcW w:w="266" w:type="pct"/>
            <w:vMerge/>
          </w:tcPr>
          <w:p w14:paraId="2129F221" w14:textId="77777777" w:rsidR="002E474C" w:rsidRDefault="002E474C">
            <w:pPr>
              <w:pStyle w:val="A-"/>
              <w:rPr>
                <w:lang w:val="zh-CN"/>
              </w:rPr>
            </w:pPr>
          </w:p>
        </w:tc>
        <w:tc>
          <w:tcPr>
            <w:tcW w:w="271" w:type="pct"/>
            <w:vMerge/>
          </w:tcPr>
          <w:p w14:paraId="613A9143" w14:textId="77777777" w:rsidR="002E474C" w:rsidRDefault="002E474C">
            <w:pPr>
              <w:pStyle w:val="A-"/>
              <w:rPr>
                <w:lang w:val="zh-CN"/>
              </w:rPr>
            </w:pPr>
          </w:p>
        </w:tc>
        <w:tc>
          <w:tcPr>
            <w:tcW w:w="355" w:type="pct"/>
            <w:vMerge/>
          </w:tcPr>
          <w:p w14:paraId="1EE396CD" w14:textId="77777777" w:rsidR="002E474C" w:rsidRDefault="002E474C">
            <w:pPr>
              <w:pStyle w:val="A-"/>
              <w:rPr>
                <w:lang w:val="zh-CN"/>
              </w:rPr>
            </w:pPr>
          </w:p>
        </w:tc>
        <w:tc>
          <w:tcPr>
            <w:tcW w:w="403" w:type="pct"/>
            <w:vMerge/>
          </w:tcPr>
          <w:p w14:paraId="1C1CF9B0" w14:textId="77777777" w:rsidR="002E474C" w:rsidRDefault="002E474C">
            <w:pPr>
              <w:pStyle w:val="A-"/>
              <w:rPr>
                <w:lang w:val="zh-CN"/>
              </w:rPr>
            </w:pPr>
          </w:p>
        </w:tc>
        <w:tc>
          <w:tcPr>
            <w:tcW w:w="372" w:type="pct"/>
            <w:vMerge/>
          </w:tcPr>
          <w:p w14:paraId="1EA385CB" w14:textId="77777777" w:rsidR="002E474C" w:rsidRDefault="002E474C">
            <w:pPr>
              <w:pStyle w:val="A-"/>
              <w:rPr>
                <w:lang w:val="zh-CN"/>
              </w:rPr>
            </w:pPr>
          </w:p>
        </w:tc>
        <w:tc>
          <w:tcPr>
            <w:tcW w:w="335" w:type="pct"/>
            <w:vMerge/>
          </w:tcPr>
          <w:p w14:paraId="025080B6" w14:textId="77777777" w:rsidR="002E474C" w:rsidRDefault="002E474C">
            <w:pPr>
              <w:pStyle w:val="A-"/>
              <w:rPr>
                <w:lang w:val="zh-CN"/>
              </w:rPr>
            </w:pPr>
          </w:p>
        </w:tc>
        <w:tc>
          <w:tcPr>
            <w:tcW w:w="336" w:type="pct"/>
            <w:vMerge/>
          </w:tcPr>
          <w:p w14:paraId="65666FED" w14:textId="77777777" w:rsidR="002E474C" w:rsidRDefault="002E474C">
            <w:pPr>
              <w:pStyle w:val="A-"/>
              <w:rPr>
                <w:lang w:val="zh-CN"/>
              </w:rPr>
            </w:pPr>
          </w:p>
        </w:tc>
        <w:tc>
          <w:tcPr>
            <w:tcW w:w="419" w:type="pct"/>
          </w:tcPr>
          <w:p w14:paraId="25E0BE94" w14:textId="77777777" w:rsidR="002E474C" w:rsidRDefault="00000000">
            <w:pPr>
              <w:pStyle w:val="A-"/>
              <w:rPr>
                <w:lang w:val="zh-CN"/>
              </w:rPr>
            </w:pPr>
            <w:r>
              <w:rPr>
                <w:lang w:val="zh-CN"/>
              </w:rPr>
              <w:t>H</w:t>
            </w:r>
            <w:r>
              <w:rPr>
                <w:vertAlign w:val="subscript"/>
                <w:lang w:val="zh-CN"/>
              </w:rPr>
              <w:t>2</w:t>
            </w:r>
            <w:r>
              <w:rPr>
                <w:lang w:val="zh-CN"/>
              </w:rPr>
              <w:t>S</w:t>
            </w:r>
          </w:p>
        </w:tc>
        <w:tc>
          <w:tcPr>
            <w:tcW w:w="376" w:type="pct"/>
          </w:tcPr>
          <w:p w14:paraId="39FBF853" w14:textId="77777777" w:rsidR="002E474C" w:rsidRDefault="00000000">
            <w:pPr>
              <w:pStyle w:val="A-"/>
            </w:pPr>
            <w:r>
              <w:rPr>
                <w:lang w:val="zh-CN"/>
              </w:rPr>
              <w:t>NH</w:t>
            </w:r>
            <w:r>
              <w:rPr>
                <w:vertAlign w:val="subscript"/>
                <w:lang w:val="zh-CN"/>
              </w:rPr>
              <w:t>3</w:t>
            </w:r>
          </w:p>
        </w:tc>
        <w:tc>
          <w:tcPr>
            <w:tcW w:w="489" w:type="pct"/>
          </w:tcPr>
          <w:p w14:paraId="127269B6" w14:textId="77777777" w:rsidR="002E474C" w:rsidRDefault="00000000">
            <w:pPr>
              <w:pStyle w:val="A-"/>
              <w:rPr>
                <w:lang w:val="zh-CN"/>
              </w:rPr>
            </w:pPr>
            <w:r>
              <w:rPr>
                <w:lang w:val="zh-CN"/>
              </w:rPr>
              <w:t>NMHC</w:t>
            </w:r>
          </w:p>
        </w:tc>
      </w:tr>
      <w:tr w:rsidR="002E474C" w14:paraId="76E286F9" w14:textId="77777777">
        <w:tc>
          <w:tcPr>
            <w:tcW w:w="161" w:type="pct"/>
          </w:tcPr>
          <w:p w14:paraId="34D29E0B" w14:textId="77777777" w:rsidR="002E474C" w:rsidRDefault="00000000">
            <w:pPr>
              <w:pStyle w:val="A-"/>
              <w:rPr>
                <w:lang w:val="zh-CN"/>
              </w:rPr>
            </w:pPr>
            <w:r>
              <w:rPr>
                <w:lang w:val="zh-CN"/>
              </w:rPr>
              <w:t>1</w:t>
            </w:r>
          </w:p>
        </w:tc>
        <w:tc>
          <w:tcPr>
            <w:tcW w:w="638" w:type="pct"/>
          </w:tcPr>
          <w:p w14:paraId="0F05DA73" w14:textId="77777777" w:rsidR="002E474C" w:rsidRDefault="00000000">
            <w:pPr>
              <w:pStyle w:val="A-"/>
              <w:rPr>
                <w:lang w:val="zh-CN"/>
              </w:rPr>
            </w:pPr>
            <w:r>
              <w:rPr>
                <w:lang w:val="zh-CN"/>
              </w:rPr>
              <w:t>危废贮存库</w:t>
            </w:r>
          </w:p>
        </w:tc>
        <w:tc>
          <w:tcPr>
            <w:tcW w:w="246" w:type="pct"/>
            <w:shd w:val="clear" w:color="auto" w:fill="auto"/>
          </w:tcPr>
          <w:p w14:paraId="6E9A2812" w14:textId="77777777" w:rsidR="002E474C" w:rsidRDefault="00000000">
            <w:pPr>
              <w:pStyle w:val="A-"/>
            </w:pPr>
            <w:r>
              <w:t>-451</w:t>
            </w:r>
          </w:p>
        </w:tc>
        <w:tc>
          <w:tcPr>
            <w:tcW w:w="336" w:type="pct"/>
            <w:shd w:val="clear" w:color="auto" w:fill="auto"/>
          </w:tcPr>
          <w:p w14:paraId="2B002085" w14:textId="77777777" w:rsidR="002E474C" w:rsidRDefault="00000000">
            <w:pPr>
              <w:pStyle w:val="A-"/>
            </w:pPr>
            <w:r>
              <w:rPr>
                <w:lang w:val="zh-CN"/>
              </w:rPr>
              <w:t>29</w:t>
            </w:r>
          </w:p>
        </w:tc>
        <w:tc>
          <w:tcPr>
            <w:tcW w:w="266" w:type="pct"/>
            <w:shd w:val="clear" w:color="auto" w:fill="auto"/>
          </w:tcPr>
          <w:p w14:paraId="3EEC4A09" w14:textId="77777777" w:rsidR="002E474C" w:rsidRDefault="00000000">
            <w:pPr>
              <w:pStyle w:val="A-"/>
              <w:rPr>
                <w:lang w:val="zh-CN"/>
              </w:rPr>
            </w:pPr>
            <w:r>
              <w:rPr>
                <w:lang w:val="zh-CN"/>
              </w:rPr>
              <w:t>659</w:t>
            </w:r>
          </w:p>
        </w:tc>
        <w:tc>
          <w:tcPr>
            <w:tcW w:w="271" w:type="pct"/>
          </w:tcPr>
          <w:p w14:paraId="09E10C32" w14:textId="77777777" w:rsidR="002E474C" w:rsidRDefault="00000000">
            <w:pPr>
              <w:pStyle w:val="A-"/>
              <w:rPr>
                <w:lang w:val="zh-CN"/>
              </w:rPr>
            </w:pPr>
            <w:r>
              <w:rPr>
                <w:lang w:val="zh-CN"/>
              </w:rPr>
              <w:t>15</w:t>
            </w:r>
          </w:p>
        </w:tc>
        <w:tc>
          <w:tcPr>
            <w:tcW w:w="355" w:type="pct"/>
          </w:tcPr>
          <w:p w14:paraId="199D943C" w14:textId="77777777" w:rsidR="002E474C" w:rsidRDefault="00000000">
            <w:pPr>
              <w:pStyle w:val="A-"/>
              <w:rPr>
                <w:lang w:val="zh-CN"/>
              </w:rPr>
            </w:pPr>
            <w:r>
              <w:rPr>
                <w:lang w:val="zh-CN"/>
              </w:rPr>
              <w:t>14</w:t>
            </w:r>
          </w:p>
        </w:tc>
        <w:tc>
          <w:tcPr>
            <w:tcW w:w="403" w:type="pct"/>
          </w:tcPr>
          <w:p w14:paraId="4D4C92DE" w14:textId="77777777" w:rsidR="002E474C" w:rsidRDefault="00000000">
            <w:pPr>
              <w:pStyle w:val="A-"/>
              <w:rPr>
                <w:lang w:val="zh-CN"/>
              </w:rPr>
            </w:pPr>
            <w:r>
              <w:rPr>
                <w:lang w:val="zh-CN"/>
              </w:rPr>
              <w:t>0</w:t>
            </w:r>
          </w:p>
        </w:tc>
        <w:tc>
          <w:tcPr>
            <w:tcW w:w="372" w:type="pct"/>
          </w:tcPr>
          <w:p w14:paraId="0DAB3D05" w14:textId="77777777" w:rsidR="002E474C" w:rsidRDefault="00000000">
            <w:pPr>
              <w:pStyle w:val="A-"/>
              <w:rPr>
                <w:lang w:val="zh-CN"/>
              </w:rPr>
            </w:pPr>
            <w:r>
              <w:rPr>
                <w:lang w:val="zh-CN"/>
              </w:rPr>
              <w:t>5.7</w:t>
            </w:r>
          </w:p>
        </w:tc>
        <w:tc>
          <w:tcPr>
            <w:tcW w:w="335" w:type="pct"/>
          </w:tcPr>
          <w:p w14:paraId="7D50B1A5" w14:textId="77777777" w:rsidR="002E474C" w:rsidRDefault="00000000">
            <w:pPr>
              <w:pStyle w:val="A-"/>
              <w:rPr>
                <w:lang w:val="zh-CN"/>
              </w:rPr>
            </w:pPr>
            <w:r>
              <w:rPr>
                <w:lang w:val="zh-CN"/>
              </w:rPr>
              <w:t>7200</w:t>
            </w:r>
          </w:p>
        </w:tc>
        <w:tc>
          <w:tcPr>
            <w:tcW w:w="336" w:type="pct"/>
          </w:tcPr>
          <w:p w14:paraId="1BBBF610" w14:textId="77777777" w:rsidR="002E474C" w:rsidRDefault="00000000">
            <w:pPr>
              <w:pStyle w:val="A-"/>
              <w:rPr>
                <w:lang w:val="zh-CN"/>
              </w:rPr>
            </w:pPr>
            <w:r>
              <w:rPr>
                <w:lang w:val="zh-CN"/>
              </w:rPr>
              <w:t>正常</w:t>
            </w:r>
          </w:p>
        </w:tc>
        <w:tc>
          <w:tcPr>
            <w:tcW w:w="419" w:type="pct"/>
          </w:tcPr>
          <w:p w14:paraId="14DB85AD" w14:textId="77777777" w:rsidR="002E474C" w:rsidRDefault="00000000">
            <w:pPr>
              <w:pStyle w:val="A-"/>
            </w:pPr>
            <w:r>
              <w:rPr>
                <w:rFonts w:hint="eastAsia"/>
              </w:rPr>
              <w:t>0.00087</w:t>
            </w:r>
          </w:p>
        </w:tc>
        <w:tc>
          <w:tcPr>
            <w:tcW w:w="376" w:type="pct"/>
          </w:tcPr>
          <w:p w14:paraId="44A40AB9" w14:textId="77777777" w:rsidR="002E474C" w:rsidRDefault="00000000">
            <w:pPr>
              <w:pStyle w:val="A-"/>
            </w:pPr>
            <w:r>
              <w:rPr>
                <w:rFonts w:hint="eastAsia"/>
              </w:rPr>
              <w:t>0.0106</w:t>
            </w:r>
          </w:p>
        </w:tc>
        <w:tc>
          <w:tcPr>
            <w:tcW w:w="489" w:type="pct"/>
          </w:tcPr>
          <w:p w14:paraId="643C42FB" w14:textId="77777777" w:rsidR="002E474C" w:rsidRDefault="00000000">
            <w:pPr>
              <w:pStyle w:val="A-"/>
            </w:pPr>
            <w:r>
              <w:rPr>
                <w:rFonts w:hint="eastAsia"/>
              </w:rPr>
              <w:t>0.0116</w:t>
            </w:r>
          </w:p>
        </w:tc>
      </w:tr>
      <w:tr w:rsidR="002E474C" w14:paraId="4BCB800F" w14:textId="77777777">
        <w:tc>
          <w:tcPr>
            <w:tcW w:w="161" w:type="pct"/>
          </w:tcPr>
          <w:p w14:paraId="6B60FEF5" w14:textId="77777777" w:rsidR="002E474C" w:rsidRDefault="00000000">
            <w:pPr>
              <w:pStyle w:val="A-"/>
              <w:rPr>
                <w:lang w:val="zh-CN"/>
              </w:rPr>
            </w:pPr>
            <w:r>
              <w:rPr>
                <w:lang w:val="zh-CN"/>
              </w:rPr>
              <w:t>2</w:t>
            </w:r>
          </w:p>
        </w:tc>
        <w:tc>
          <w:tcPr>
            <w:tcW w:w="638" w:type="pct"/>
          </w:tcPr>
          <w:p w14:paraId="6697EDEB" w14:textId="77777777" w:rsidR="002E474C" w:rsidRDefault="00000000">
            <w:pPr>
              <w:pStyle w:val="A-"/>
            </w:pPr>
            <w:r>
              <w:t>固态危废</w:t>
            </w:r>
          </w:p>
          <w:p w14:paraId="0321EAA1" w14:textId="77777777" w:rsidR="002E474C" w:rsidRDefault="00000000">
            <w:pPr>
              <w:pStyle w:val="A-"/>
            </w:pPr>
            <w:r>
              <w:t>预处理车间</w:t>
            </w:r>
          </w:p>
        </w:tc>
        <w:tc>
          <w:tcPr>
            <w:tcW w:w="246" w:type="pct"/>
            <w:shd w:val="clear" w:color="auto" w:fill="auto"/>
          </w:tcPr>
          <w:p w14:paraId="4732CC13" w14:textId="77777777" w:rsidR="002E474C" w:rsidRDefault="00000000">
            <w:pPr>
              <w:pStyle w:val="A-"/>
            </w:pPr>
            <w:r>
              <w:t>-458</w:t>
            </w:r>
          </w:p>
        </w:tc>
        <w:tc>
          <w:tcPr>
            <w:tcW w:w="336" w:type="pct"/>
            <w:shd w:val="clear" w:color="auto" w:fill="auto"/>
          </w:tcPr>
          <w:p w14:paraId="02CBC77B" w14:textId="77777777" w:rsidR="002E474C" w:rsidRDefault="00000000">
            <w:pPr>
              <w:pStyle w:val="A-"/>
            </w:pPr>
            <w:r>
              <w:t>-72</w:t>
            </w:r>
          </w:p>
        </w:tc>
        <w:tc>
          <w:tcPr>
            <w:tcW w:w="266" w:type="pct"/>
            <w:shd w:val="clear" w:color="auto" w:fill="auto"/>
          </w:tcPr>
          <w:p w14:paraId="5EB0643E" w14:textId="77777777" w:rsidR="002E474C" w:rsidRDefault="00000000">
            <w:pPr>
              <w:pStyle w:val="A-"/>
              <w:rPr>
                <w:lang w:val="zh-CN"/>
              </w:rPr>
            </w:pPr>
            <w:r>
              <w:rPr>
                <w:lang w:val="zh-CN"/>
              </w:rPr>
              <w:t>655</w:t>
            </w:r>
          </w:p>
        </w:tc>
        <w:tc>
          <w:tcPr>
            <w:tcW w:w="271" w:type="pct"/>
          </w:tcPr>
          <w:p w14:paraId="30027EF6" w14:textId="77777777" w:rsidR="002E474C" w:rsidRDefault="00000000">
            <w:pPr>
              <w:pStyle w:val="A-"/>
              <w:rPr>
                <w:lang w:val="zh-CN"/>
              </w:rPr>
            </w:pPr>
            <w:r>
              <w:rPr>
                <w:lang w:val="zh-CN"/>
              </w:rPr>
              <w:t>30</w:t>
            </w:r>
          </w:p>
        </w:tc>
        <w:tc>
          <w:tcPr>
            <w:tcW w:w="355" w:type="pct"/>
          </w:tcPr>
          <w:p w14:paraId="6ACD6514" w14:textId="77777777" w:rsidR="002E474C" w:rsidRDefault="00000000">
            <w:pPr>
              <w:pStyle w:val="A-"/>
              <w:rPr>
                <w:lang w:val="zh-CN"/>
              </w:rPr>
            </w:pPr>
            <w:r>
              <w:rPr>
                <w:lang w:val="zh-CN"/>
              </w:rPr>
              <w:t>32</w:t>
            </w:r>
          </w:p>
        </w:tc>
        <w:tc>
          <w:tcPr>
            <w:tcW w:w="403" w:type="pct"/>
          </w:tcPr>
          <w:p w14:paraId="64AB9591" w14:textId="77777777" w:rsidR="002E474C" w:rsidRDefault="00000000">
            <w:pPr>
              <w:pStyle w:val="A-"/>
              <w:rPr>
                <w:lang w:val="zh-CN"/>
              </w:rPr>
            </w:pPr>
            <w:r>
              <w:rPr>
                <w:lang w:val="zh-CN"/>
              </w:rPr>
              <w:t>0</w:t>
            </w:r>
          </w:p>
        </w:tc>
        <w:tc>
          <w:tcPr>
            <w:tcW w:w="372" w:type="pct"/>
          </w:tcPr>
          <w:p w14:paraId="2595CBB2" w14:textId="77777777" w:rsidR="002E474C" w:rsidRDefault="00000000">
            <w:pPr>
              <w:pStyle w:val="A-"/>
              <w:rPr>
                <w:lang w:val="zh-CN"/>
              </w:rPr>
            </w:pPr>
            <w:r>
              <w:rPr>
                <w:lang w:val="zh-CN"/>
              </w:rPr>
              <w:t>7.5</w:t>
            </w:r>
          </w:p>
        </w:tc>
        <w:tc>
          <w:tcPr>
            <w:tcW w:w="335" w:type="pct"/>
          </w:tcPr>
          <w:p w14:paraId="7EB43457" w14:textId="77777777" w:rsidR="002E474C" w:rsidRDefault="00000000">
            <w:pPr>
              <w:pStyle w:val="A-"/>
              <w:rPr>
                <w:lang w:val="zh-CN"/>
              </w:rPr>
            </w:pPr>
            <w:r>
              <w:rPr>
                <w:lang w:val="zh-CN"/>
              </w:rPr>
              <w:t>7200</w:t>
            </w:r>
          </w:p>
        </w:tc>
        <w:tc>
          <w:tcPr>
            <w:tcW w:w="336" w:type="pct"/>
          </w:tcPr>
          <w:p w14:paraId="6248F526" w14:textId="77777777" w:rsidR="002E474C" w:rsidRDefault="00000000">
            <w:pPr>
              <w:pStyle w:val="A-"/>
              <w:rPr>
                <w:lang w:val="zh-CN"/>
              </w:rPr>
            </w:pPr>
            <w:r>
              <w:rPr>
                <w:lang w:val="zh-CN"/>
              </w:rPr>
              <w:t>正常</w:t>
            </w:r>
          </w:p>
        </w:tc>
        <w:tc>
          <w:tcPr>
            <w:tcW w:w="419" w:type="pct"/>
          </w:tcPr>
          <w:p w14:paraId="23F1A346" w14:textId="77777777" w:rsidR="002E474C" w:rsidRDefault="00000000">
            <w:pPr>
              <w:pStyle w:val="A-"/>
            </w:pPr>
            <w:r>
              <w:rPr>
                <w:rFonts w:hint="eastAsia"/>
              </w:rPr>
              <w:t>0.0043</w:t>
            </w:r>
          </w:p>
        </w:tc>
        <w:tc>
          <w:tcPr>
            <w:tcW w:w="376" w:type="pct"/>
          </w:tcPr>
          <w:p w14:paraId="08118090" w14:textId="77777777" w:rsidR="002E474C" w:rsidRDefault="00000000">
            <w:pPr>
              <w:pStyle w:val="A-"/>
            </w:pPr>
            <w:r>
              <w:rPr>
                <w:rFonts w:hint="eastAsia"/>
              </w:rPr>
              <w:t>0.0532</w:t>
            </w:r>
          </w:p>
        </w:tc>
        <w:tc>
          <w:tcPr>
            <w:tcW w:w="489" w:type="pct"/>
          </w:tcPr>
          <w:p w14:paraId="227DB668" w14:textId="77777777" w:rsidR="002E474C" w:rsidRDefault="00000000">
            <w:pPr>
              <w:pStyle w:val="A-"/>
            </w:pPr>
            <w:r>
              <w:rPr>
                <w:rFonts w:hint="eastAsia"/>
              </w:rPr>
              <w:t>0.0579</w:t>
            </w:r>
          </w:p>
        </w:tc>
      </w:tr>
    </w:tbl>
    <w:p w14:paraId="58FC95D7" w14:textId="77777777" w:rsidR="002E474C" w:rsidRDefault="002E474C">
      <w:pPr>
        <w:pStyle w:val="A-z"/>
        <w:rPr>
          <w:color w:val="auto"/>
        </w:rPr>
      </w:pPr>
    </w:p>
    <w:p w14:paraId="6D0D4380"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288D4154" w14:textId="77777777" w:rsidR="002E474C" w:rsidRDefault="00000000">
      <w:pPr>
        <w:pStyle w:val="A--"/>
        <w:rPr>
          <w:color w:val="auto"/>
        </w:rPr>
      </w:pPr>
      <w:bookmarkStart w:id="276" w:name="_Ref149641929"/>
      <w:r>
        <w:rPr>
          <w:color w:val="auto"/>
        </w:rPr>
        <w:lastRenderedPageBreak/>
        <w:t>表</w:t>
      </w:r>
      <w:r>
        <w:rPr>
          <w:color w:val="auto"/>
        </w:rPr>
        <w:t>5.1</w:t>
      </w:r>
      <w:r>
        <w:rPr>
          <w:color w:val="auto"/>
        </w:rPr>
        <w:noBreakHyphen/>
        <w:t>1</w:t>
      </w:r>
      <w:bookmarkEnd w:id="276"/>
      <w:r>
        <w:rPr>
          <w:rFonts w:hint="eastAsia"/>
          <w:color w:val="auto"/>
        </w:rPr>
        <w:t>2</w:t>
      </w:r>
      <w:r>
        <w:rPr>
          <w:color w:val="auto"/>
        </w:rPr>
        <w:t xml:space="preserve">  </w:t>
      </w:r>
      <w:r>
        <w:rPr>
          <w:color w:val="auto"/>
        </w:rPr>
        <w:t>本项目非正常排放点源参数表</w:t>
      </w:r>
    </w:p>
    <w:tbl>
      <w:tblPr>
        <w:tblStyle w:val="afffff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054"/>
        <w:gridCol w:w="760"/>
        <w:gridCol w:w="588"/>
        <w:gridCol w:w="1255"/>
        <w:gridCol w:w="866"/>
        <w:gridCol w:w="1059"/>
        <w:gridCol w:w="919"/>
        <w:gridCol w:w="850"/>
        <w:gridCol w:w="850"/>
        <w:gridCol w:w="1066"/>
        <w:gridCol w:w="677"/>
        <w:gridCol w:w="677"/>
        <w:gridCol w:w="881"/>
        <w:gridCol w:w="902"/>
      </w:tblGrid>
      <w:tr w:rsidR="002E474C" w14:paraId="29491204" w14:textId="77777777">
        <w:tc>
          <w:tcPr>
            <w:tcW w:w="311" w:type="pct"/>
            <w:vMerge w:val="restart"/>
          </w:tcPr>
          <w:p w14:paraId="4E0FEEA2" w14:textId="77777777" w:rsidR="002E474C" w:rsidRDefault="00000000">
            <w:pPr>
              <w:pStyle w:val="A-"/>
              <w:spacing w:line="260" w:lineRule="exact"/>
            </w:pPr>
            <w:r>
              <w:t>编号</w:t>
            </w:r>
          </w:p>
        </w:tc>
        <w:tc>
          <w:tcPr>
            <w:tcW w:w="398" w:type="pct"/>
            <w:vMerge w:val="restart"/>
          </w:tcPr>
          <w:p w14:paraId="5442A2C1" w14:textId="77777777" w:rsidR="002E474C" w:rsidRDefault="00000000">
            <w:pPr>
              <w:pStyle w:val="A-"/>
              <w:spacing w:line="260" w:lineRule="exact"/>
            </w:pPr>
            <w:r>
              <w:t>名称</w:t>
            </w:r>
          </w:p>
        </w:tc>
        <w:tc>
          <w:tcPr>
            <w:tcW w:w="509" w:type="pct"/>
            <w:gridSpan w:val="2"/>
          </w:tcPr>
          <w:p w14:paraId="1B6AA127" w14:textId="77777777" w:rsidR="002E474C" w:rsidRDefault="00000000">
            <w:pPr>
              <w:pStyle w:val="A-"/>
              <w:spacing w:line="260" w:lineRule="exact"/>
            </w:pPr>
            <w:r>
              <w:t>排气筒底部中心坐标</w:t>
            </w:r>
            <w:r>
              <w:t>/m</w:t>
            </w:r>
          </w:p>
        </w:tc>
        <w:tc>
          <w:tcPr>
            <w:tcW w:w="474" w:type="pct"/>
            <w:vMerge w:val="restart"/>
          </w:tcPr>
          <w:p w14:paraId="64B5233E" w14:textId="77777777" w:rsidR="002E474C" w:rsidRDefault="00000000">
            <w:pPr>
              <w:pStyle w:val="A-"/>
              <w:spacing w:line="260" w:lineRule="exact"/>
            </w:pPr>
            <w:r>
              <w:t>排气筒底部海拔高度</w:t>
            </w:r>
            <w:r>
              <w:t>/m</w:t>
            </w:r>
          </w:p>
        </w:tc>
        <w:tc>
          <w:tcPr>
            <w:tcW w:w="327" w:type="pct"/>
            <w:vMerge w:val="restart"/>
          </w:tcPr>
          <w:p w14:paraId="1415E5B5" w14:textId="77777777" w:rsidR="002E474C" w:rsidRDefault="00000000">
            <w:pPr>
              <w:pStyle w:val="A-"/>
              <w:spacing w:line="260" w:lineRule="exact"/>
            </w:pPr>
            <w:r>
              <w:t>排气筒高度</w:t>
            </w:r>
            <w:r>
              <w:t>/m</w:t>
            </w:r>
          </w:p>
        </w:tc>
        <w:tc>
          <w:tcPr>
            <w:tcW w:w="400" w:type="pct"/>
            <w:vMerge w:val="restart"/>
          </w:tcPr>
          <w:p w14:paraId="2719FE9D" w14:textId="77777777" w:rsidR="002E474C" w:rsidRDefault="00000000">
            <w:pPr>
              <w:pStyle w:val="A-"/>
              <w:spacing w:line="260" w:lineRule="exact"/>
            </w:pPr>
            <w:r>
              <w:t>排气筒出口内径</w:t>
            </w:r>
            <w:r>
              <w:t>/m</w:t>
            </w:r>
          </w:p>
        </w:tc>
        <w:tc>
          <w:tcPr>
            <w:tcW w:w="347" w:type="pct"/>
            <w:vMerge w:val="restart"/>
          </w:tcPr>
          <w:p w14:paraId="2B4986CE" w14:textId="77777777" w:rsidR="002E474C" w:rsidRDefault="00000000">
            <w:pPr>
              <w:pStyle w:val="A-"/>
              <w:spacing w:line="260" w:lineRule="exact"/>
            </w:pPr>
            <w:r>
              <w:t>烟气流速</w:t>
            </w:r>
            <w:r>
              <w:t>/m/s</w:t>
            </w:r>
          </w:p>
        </w:tc>
        <w:tc>
          <w:tcPr>
            <w:tcW w:w="321" w:type="pct"/>
            <w:vMerge w:val="restart"/>
          </w:tcPr>
          <w:p w14:paraId="3EC56866" w14:textId="77777777" w:rsidR="002E474C" w:rsidRDefault="00000000">
            <w:pPr>
              <w:pStyle w:val="A-"/>
              <w:spacing w:line="260" w:lineRule="exact"/>
            </w:pPr>
            <w:r>
              <w:t>烟气温度</w:t>
            </w:r>
            <w:r>
              <w:t>/℃</w:t>
            </w:r>
          </w:p>
        </w:tc>
        <w:tc>
          <w:tcPr>
            <w:tcW w:w="321" w:type="pct"/>
            <w:vMerge w:val="restart"/>
          </w:tcPr>
          <w:p w14:paraId="3642E98C" w14:textId="77777777" w:rsidR="002E474C" w:rsidRDefault="00000000">
            <w:pPr>
              <w:pStyle w:val="A-"/>
              <w:spacing w:line="260" w:lineRule="exact"/>
            </w:pPr>
            <w:r>
              <w:t>年排放小时数</w:t>
            </w:r>
            <w:r>
              <w:t>/h</w:t>
            </w:r>
          </w:p>
        </w:tc>
        <w:tc>
          <w:tcPr>
            <w:tcW w:w="403" w:type="pct"/>
            <w:vMerge w:val="restart"/>
          </w:tcPr>
          <w:p w14:paraId="40066731" w14:textId="77777777" w:rsidR="002E474C" w:rsidRDefault="00000000">
            <w:pPr>
              <w:pStyle w:val="A-"/>
              <w:spacing w:line="260" w:lineRule="exact"/>
            </w:pPr>
            <w:r>
              <w:t>非正常</w:t>
            </w:r>
          </w:p>
          <w:p w14:paraId="50B199A4" w14:textId="77777777" w:rsidR="002E474C" w:rsidRDefault="00000000">
            <w:pPr>
              <w:pStyle w:val="A-"/>
              <w:spacing w:line="260" w:lineRule="exact"/>
            </w:pPr>
            <w:r>
              <w:t>工况</w:t>
            </w:r>
          </w:p>
        </w:tc>
        <w:tc>
          <w:tcPr>
            <w:tcW w:w="1186" w:type="pct"/>
            <w:gridSpan w:val="4"/>
          </w:tcPr>
          <w:p w14:paraId="4860166C" w14:textId="77777777" w:rsidR="002E474C" w:rsidRDefault="00000000">
            <w:pPr>
              <w:pStyle w:val="A-"/>
              <w:spacing w:line="260" w:lineRule="exact"/>
            </w:pPr>
            <w:r>
              <w:t>污染物排放速率</w:t>
            </w:r>
            <w:r>
              <w:t>/</w:t>
            </w:r>
            <w:r>
              <w:t>（</w:t>
            </w:r>
            <w:r>
              <w:t>kg/h</w:t>
            </w:r>
            <w:r>
              <w:t>）</w:t>
            </w:r>
          </w:p>
        </w:tc>
      </w:tr>
      <w:tr w:rsidR="002E474C" w14:paraId="4C95B497" w14:textId="77777777">
        <w:tc>
          <w:tcPr>
            <w:tcW w:w="311" w:type="pct"/>
            <w:vMerge/>
          </w:tcPr>
          <w:p w14:paraId="7344E2B1" w14:textId="77777777" w:rsidR="002E474C" w:rsidRDefault="002E474C">
            <w:pPr>
              <w:pStyle w:val="A-"/>
              <w:spacing w:line="260" w:lineRule="exact"/>
            </w:pPr>
          </w:p>
        </w:tc>
        <w:tc>
          <w:tcPr>
            <w:tcW w:w="398" w:type="pct"/>
            <w:vMerge/>
          </w:tcPr>
          <w:p w14:paraId="34B985D4" w14:textId="77777777" w:rsidR="002E474C" w:rsidRDefault="002E474C">
            <w:pPr>
              <w:pStyle w:val="A-"/>
              <w:spacing w:line="260" w:lineRule="exact"/>
            </w:pPr>
          </w:p>
        </w:tc>
        <w:tc>
          <w:tcPr>
            <w:tcW w:w="287" w:type="pct"/>
          </w:tcPr>
          <w:p w14:paraId="4C4FF4A6" w14:textId="77777777" w:rsidR="002E474C" w:rsidRDefault="00000000">
            <w:pPr>
              <w:pStyle w:val="A-"/>
              <w:spacing w:line="260" w:lineRule="exact"/>
            </w:pPr>
            <w:r>
              <w:t>X</w:t>
            </w:r>
          </w:p>
        </w:tc>
        <w:tc>
          <w:tcPr>
            <w:tcW w:w="221" w:type="pct"/>
          </w:tcPr>
          <w:p w14:paraId="32696DF4" w14:textId="77777777" w:rsidR="002E474C" w:rsidRDefault="00000000">
            <w:pPr>
              <w:pStyle w:val="A-"/>
              <w:spacing w:line="260" w:lineRule="exact"/>
            </w:pPr>
            <w:r>
              <w:t>Y</w:t>
            </w:r>
          </w:p>
        </w:tc>
        <w:tc>
          <w:tcPr>
            <w:tcW w:w="474" w:type="pct"/>
            <w:vMerge/>
          </w:tcPr>
          <w:p w14:paraId="11AC07D4" w14:textId="77777777" w:rsidR="002E474C" w:rsidRDefault="002E474C">
            <w:pPr>
              <w:pStyle w:val="A-"/>
              <w:spacing w:line="260" w:lineRule="exact"/>
            </w:pPr>
          </w:p>
        </w:tc>
        <w:tc>
          <w:tcPr>
            <w:tcW w:w="327" w:type="pct"/>
            <w:vMerge/>
          </w:tcPr>
          <w:p w14:paraId="0FB50FDC" w14:textId="77777777" w:rsidR="002E474C" w:rsidRDefault="002E474C">
            <w:pPr>
              <w:pStyle w:val="A-"/>
              <w:spacing w:line="260" w:lineRule="exact"/>
            </w:pPr>
          </w:p>
        </w:tc>
        <w:tc>
          <w:tcPr>
            <w:tcW w:w="400" w:type="pct"/>
            <w:vMerge/>
          </w:tcPr>
          <w:p w14:paraId="302E151C" w14:textId="77777777" w:rsidR="002E474C" w:rsidRDefault="002E474C">
            <w:pPr>
              <w:pStyle w:val="A-"/>
              <w:spacing w:line="260" w:lineRule="exact"/>
            </w:pPr>
          </w:p>
        </w:tc>
        <w:tc>
          <w:tcPr>
            <w:tcW w:w="347" w:type="pct"/>
            <w:vMerge/>
          </w:tcPr>
          <w:p w14:paraId="72EC90C3" w14:textId="77777777" w:rsidR="002E474C" w:rsidRDefault="002E474C">
            <w:pPr>
              <w:pStyle w:val="A-"/>
              <w:spacing w:line="260" w:lineRule="exact"/>
            </w:pPr>
          </w:p>
        </w:tc>
        <w:tc>
          <w:tcPr>
            <w:tcW w:w="321" w:type="pct"/>
            <w:vMerge/>
          </w:tcPr>
          <w:p w14:paraId="787A6E84" w14:textId="77777777" w:rsidR="002E474C" w:rsidRDefault="002E474C">
            <w:pPr>
              <w:pStyle w:val="A-"/>
              <w:spacing w:line="260" w:lineRule="exact"/>
            </w:pPr>
          </w:p>
        </w:tc>
        <w:tc>
          <w:tcPr>
            <w:tcW w:w="321" w:type="pct"/>
            <w:vMerge/>
          </w:tcPr>
          <w:p w14:paraId="0BEEAA87" w14:textId="77777777" w:rsidR="002E474C" w:rsidRDefault="002E474C">
            <w:pPr>
              <w:pStyle w:val="A-"/>
              <w:spacing w:line="260" w:lineRule="exact"/>
            </w:pPr>
          </w:p>
        </w:tc>
        <w:tc>
          <w:tcPr>
            <w:tcW w:w="403" w:type="pct"/>
            <w:vMerge/>
          </w:tcPr>
          <w:p w14:paraId="5E10B829" w14:textId="77777777" w:rsidR="002E474C" w:rsidRDefault="002E474C">
            <w:pPr>
              <w:pStyle w:val="A-"/>
              <w:spacing w:line="260" w:lineRule="exact"/>
            </w:pPr>
          </w:p>
        </w:tc>
        <w:tc>
          <w:tcPr>
            <w:tcW w:w="256" w:type="pct"/>
          </w:tcPr>
          <w:p w14:paraId="4275E2CC" w14:textId="77777777" w:rsidR="002E474C" w:rsidRDefault="00000000">
            <w:pPr>
              <w:pStyle w:val="A-"/>
              <w:spacing w:line="260" w:lineRule="exact"/>
            </w:pPr>
            <w:r>
              <w:t>H</w:t>
            </w:r>
            <w:r>
              <w:rPr>
                <w:vertAlign w:val="subscript"/>
              </w:rPr>
              <w:t>2</w:t>
            </w:r>
            <w:r>
              <w:t>S</w:t>
            </w:r>
          </w:p>
        </w:tc>
        <w:tc>
          <w:tcPr>
            <w:tcW w:w="256" w:type="pct"/>
          </w:tcPr>
          <w:p w14:paraId="3F8A8726" w14:textId="77777777" w:rsidR="002E474C" w:rsidRDefault="00000000">
            <w:pPr>
              <w:pStyle w:val="A-"/>
              <w:spacing w:line="260" w:lineRule="exact"/>
            </w:pPr>
            <w:r>
              <w:t>NH</w:t>
            </w:r>
            <w:r>
              <w:rPr>
                <w:vertAlign w:val="subscript"/>
              </w:rPr>
              <w:t>3</w:t>
            </w:r>
          </w:p>
        </w:tc>
        <w:tc>
          <w:tcPr>
            <w:tcW w:w="333" w:type="pct"/>
          </w:tcPr>
          <w:p w14:paraId="406F8AE1" w14:textId="77777777" w:rsidR="002E474C" w:rsidRDefault="00000000">
            <w:pPr>
              <w:pStyle w:val="A-"/>
              <w:spacing w:line="260" w:lineRule="exact"/>
            </w:pPr>
            <w:r>
              <w:t>NMHC</w:t>
            </w:r>
          </w:p>
        </w:tc>
        <w:tc>
          <w:tcPr>
            <w:tcW w:w="340" w:type="pct"/>
          </w:tcPr>
          <w:p w14:paraId="122FBDEC" w14:textId="77777777" w:rsidR="002E474C" w:rsidRDefault="00000000">
            <w:pPr>
              <w:pStyle w:val="A-"/>
              <w:spacing w:line="260" w:lineRule="exact"/>
              <w:ind w:leftChars="-50" w:left="-105" w:rightChars="-50" w:right="-105"/>
            </w:pPr>
            <w:r>
              <w:t>二噁英类</w:t>
            </w:r>
          </w:p>
        </w:tc>
      </w:tr>
      <w:tr w:rsidR="002E474C" w14:paraId="57B8E3FC" w14:textId="77777777">
        <w:tc>
          <w:tcPr>
            <w:tcW w:w="311" w:type="pct"/>
          </w:tcPr>
          <w:p w14:paraId="263DE4FE" w14:textId="77777777" w:rsidR="002E474C" w:rsidRDefault="00000000">
            <w:pPr>
              <w:pStyle w:val="A-"/>
              <w:spacing w:line="260" w:lineRule="exact"/>
            </w:pPr>
            <w:r>
              <w:rPr>
                <w:lang w:val="zh-CN"/>
              </w:rPr>
              <w:t>DA030</w:t>
            </w:r>
          </w:p>
        </w:tc>
        <w:tc>
          <w:tcPr>
            <w:tcW w:w="398" w:type="pct"/>
          </w:tcPr>
          <w:p w14:paraId="2F869979" w14:textId="77777777" w:rsidR="002E474C" w:rsidRDefault="00000000">
            <w:pPr>
              <w:pStyle w:val="A-"/>
              <w:spacing w:line="260" w:lineRule="exact"/>
            </w:pPr>
            <w:r>
              <w:rPr>
                <w:lang w:val="zh-CN"/>
              </w:rPr>
              <w:t>窑尾烟气</w:t>
            </w:r>
          </w:p>
        </w:tc>
        <w:tc>
          <w:tcPr>
            <w:tcW w:w="287" w:type="pct"/>
            <w:shd w:val="clear" w:color="auto" w:fill="auto"/>
          </w:tcPr>
          <w:p w14:paraId="59BA8F72" w14:textId="77777777" w:rsidR="002E474C" w:rsidRDefault="00000000">
            <w:pPr>
              <w:pStyle w:val="A-"/>
              <w:spacing w:line="260" w:lineRule="exact"/>
            </w:pPr>
            <w:r>
              <w:t>-83</w:t>
            </w:r>
          </w:p>
        </w:tc>
        <w:tc>
          <w:tcPr>
            <w:tcW w:w="221" w:type="pct"/>
            <w:shd w:val="clear" w:color="auto" w:fill="auto"/>
          </w:tcPr>
          <w:p w14:paraId="651DF61B" w14:textId="77777777" w:rsidR="002E474C" w:rsidRDefault="00000000">
            <w:pPr>
              <w:pStyle w:val="A-"/>
              <w:spacing w:line="260" w:lineRule="exact"/>
            </w:pPr>
            <w:r>
              <w:t>-58</w:t>
            </w:r>
          </w:p>
        </w:tc>
        <w:tc>
          <w:tcPr>
            <w:tcW w:w="474" w:type="pct"/>
            <w:shd w:val="clear" w:color="auto" w:fill="auto"/>
          </w:tcPr>
          <w:p w14:paraId="49776703" w14:textId="77777777" w:rsidR="002E474C" w:rsidRDefault="00000000">
            <w:pPr>
              <w:pStyle w:val="A-"/>
              <w:spacing w:line="260" w:lineRule="exact"/>
            </w:pPr>
            <w:r>
              <w:t>672</w:t>
            </w:r>
          </w:p>
        </w:tc>
        <w:tc>
          <w:tcPr>
            <w:tcW w:w="327" w:type="pct"/>
          </w:tcPr>
          <w:p w14:paraId="04B7CBF0" w14:textId="77777777" w:rsidR="002E474C" w:rsidRDefault="00000000">
            <w:pPr>
              <w:pStyle w:val="A-"/>
              <w:spacing w:line="260" w:lineRule="exact"/>
            </w:pPr>
            <w:r>
              <w:rPr>
                <w:lang w:val="zh-CN"/>
              </w:rPr>
              <w:t>85</w:t>
            </w:r>
          </w:p>
        </w:tc>
        <w:tc>
          <w:tcPr>
            <w:tcW w:w="400" w:type="pct"/>
          </w:tcPr>
          <w:p w14:paraId="1A17749B" w14:textId="77777777" w:rsidR="002E474C" w:rsidRDefault="00000000">
            <w:pPr>
              <w:pStyle w:val="A-"/>
              <w:spacing w:line="260" w:lineRule="exact"/>
            </w:pPr>
            <w:r>
              <w:rPr>
                <w:lang w:val="zh-CN"/>
              </w:rPr>
              <w:t>5.2</w:t>
            </w:r>
          </w:p>
        </w:tc>
        <w:tc>
          <w:tcPr>
            <w:tcW w:w="347" w:type="pct"/>
          </w:tcPr>
          <w:p w14:paraId="10E11D8D" w14:textId="77777777" w:rsidR="002E474C" w:rsidRDefault="00000000">
            <w:pPr>
              <w:pStyle w:val="A-"/>
              <w:spacing w:line="260" w:lineRule="exact"/>
            </w:pPr>
            <w:r>
              <w:rPr>
                <w:lang w:val="zh-CN"/>
              </w:rPr>
              <w:t>9.43</w:t>
            </w:r>
          </w:p>
        </w:tc>
        <w:tc>
          <w:tcPr>
            <w:tcW w:w="321" w:type="pct"/>
          </w:tcPr>
          <w:p w14:paraId="27376964" w14:textId="77777777" w:rsidR="002E474C" w:rsidRDefault="00000000">
            <w:pPr>
              <w:pStyle w:val="A-"/>
              <w:spacing w:line="260" w:lineRule="exact"/>
            </w:pPr>
            <w:r>
              <w:rPr>
                <w:lang w:val="zh-CN"/>
              </w:rPr>
              <w:t>130</w:t>
            </w:r>
          </w:p>
        </w:tc>
        <w:tc>
          <w:tcPr>
            <w:tcW w:w="321" w:type="pct"/>
          </w:tcPr>
          <w:p w14:paraId="13D2D987" w14:textId="77777777" w:rsidR="002E474C" w:rsidRDefault="00000000">
            <w:pPr>
              <w:pStyle w:val="A-"/>
              <w:spacing w:line="260" w:lineRule="exact"/>
            </w:pPr>
            <w:r>
              <w:t>1</w:t>
            </w:r>
          </w:p>
        </w:tc>
        <w:tc>
          <w:tcPr>
            <w:tcW w:w="403" w:type="pct"/>
          </w:tcPr>
          <w:p w14:paraId="1AEFCC5D" w14:textId="77777777" w:rsidR="002E474C" w:rsidRDefault="00000000">
            <w:pPr>
              <w:pStyle w:val="A-"/>
              <w:spacing w:line="260" w:lineRule="exact"/>
            </w:pPr>
            <w:r>
              <w:t>冷却设施故障</w:t>
            </w:r>
          </w:p>
        </w:tc>
        <w:tc>
          <w:tcPr>
            <w:tcW w:w="256" w:type="pct"/>
            <w:vAlign w:val="top"/>
          </w:tcPr>
          <w:p w14:paraId="7C7FC7B9" w14:textId="77777777" w:rsidR="002E474C" w:rsidRDefault="00000000">
            <w:pPr>
              <w:pStyle w:val="A-"/>
              <w:spacing w:line="260" w:lineRule="exact"/>
            </w:pPr>
            <w:r>
              <w:t>/</w:t>
            </w:r>
          </w:p>
        </w:tc>
        <w:tc>
          <w:tcPr>
            <w:tcW w:w="256" w:type="pct"/>
            <w:vAlign w:val="top"/>
          </w:tcPr>
          <w:p w14:paraId="4D1E1066" w14:textId="77777777" w:rsidR="002E474C" w:rsidRDefault="00000000">
            <w:pPr>
              <w:pStyle w:val="A-"/>
              <w:spacing w:line="260" w:lineRule="exact"/>
            </w:pPr>
            <w:r>
              <w:t>/</w:t>
            </w:r>
          </w:p>
        </w:tc>
        <w:tc>
          <w:tcPr>
            <w:tcW w:w="333" w:type="pct"/>
            <w:vAlign w:val="top"/>
          </w:tcPr>
          <w:p w14:paraId="1567ED34" w14:textId="77777777" w:rsidR="002E474C" w:rsidRDefault="00000000">
            <w:pPr>
              <w:pStyle w:val="A-"/>
              <w:spacing w:line="260" w:lineRule="exact"/>
            </w:pPr>
            <w:r>
              <w:t>/</w:t>
            </w:r>
          </w:p>
        </w:tc>
        <w:tc>
          <w:tcPr>
            <w:tcW w:w="340" w:type="pct"/>
          </w:tcPr>
          <w:p w14:paraId="4F0396B1" w14:textId="77777777" w:rsidR="002E474C" w:rsidRDefault="00000000">
            <w:pPr>
              <w:pStyle w:val="A-"/>
              <w:spacing w:line="260" w:lineRule="exact"/>
            </w:pPr>
            <w:r>
              <w:t>7.2E-06</w:t>
            </w:r>
          </w:p>
        </w:tc>
      </w:tr>
      <w:tr w:rsidR="002E474C" w14:paraId="12F13349" w14:textId="77777777">
        <w:tc>
          <w:tcPr>
            <w:tcW w:w="311" w:type="pct"/>
          </w:tcPr>
          <w:p w14:paraId="6B0F12A9" w14:textId="77777777" w:rsidR="002E474C" w:rsidRDefault="00000000">
            <w:pPr>
              <w:pStyle w:val="A-"/>
              <w:spacing w:line="260" w:lineRule="exact"/>
            </w:pPr>
            <w:r>
              <w:rPr>
                <w:lang w:val="zh-CN"/>
              </w:rPr>
              <w:t>DA001</w:t>
            </w:r>
          </w:p>
        </w:tc>
        <w:tc>
          <w:tcPr>
            <w:tcW w:w="398" w:type="pct"/>
          </w:tcPr>
          <w:p w14:paraId="3C4BCE9D" w14:textId="77777777" w:rsidR="002E474C" w:rsidRDefault="00000000">
            <w:pPr>
              <w:pStyle w:val="A-"/>
              <w:spacing w:line="260" w:lineRule="exact"/>
            </w:pPr>
            <w:r>
              <w:t>危废贮存废气</w:t>
            </w:r>
          </w:p>
        </w:tc>
        <w:tc>
          <w:tcPr>
            <w:tcW w:w="287" w:type="pct"/>
            <w:shd w:val="clear" w:color="auto" w:fill="auto"/>
          </w:tcPr>
          <w:p w14:paraId="43422232" w14:textId="77777777" w:rsidR="002E474C" w:rsidRDefault="00000000">
            <w:pPr>
              <w:pStyle w:val="A-"/>
              <w:spacing w:line="260" w:lineRule="exact"/>
            </w:pPr>
            <w:r>
              <w:t>-491</w:t>
            </w:r>
          </w:p>
        </w:tc>
        <w:tc>
          <w:tcPr>
            <w:tcW w:w="221" w:type="pct"/>
            <w:shd w:val="clear" w:color="auto" w:fill="auto"/>
          </w:tcPr>
          <w:p w14:paraId="5B26A4BD" w14:textId="77777777" w:rsidR="002E474C" w:rsidRDefault="00000000">
            <w:pPr>
              <w:pStyle w:val="A-"/>
              <w:spacing w:line="260" w:lineRule="exact"/>
            </w:pPr>
            <w:r>
              <w:t>-18</w:t>
            </w:r>
          </w:p>
        </w:tc>
        <w:tc>
          <w:tcPr>
            <w:tcW w:w="474" w:type="pct"/>
            <w:shd w:val="clear" w:color="auto" w:fill="auto"/>
          </w:tcPr>
          <w:p w14:paraId="748AD8EC" w14:textId="77777777" w:rsidR="002E474C" w:rsidRDefault="00000000">
            <w:pPr>
              <w:pStyle w:val="A-"/>
              <w:spacing w:line="260" w:lineRule="exact"/>
            </w:pPr>
            <w:r>
              <w:t>678</w:t>
            </w:r>
          </w:p>
        </w:tc>
        <w:tc>
          <w:tcPr>
            <w:tcW w:w="327" w:type="pct"/>
          </w:tcPr>
          <w:p w14:paraId="0DB0D604" w14:textId="77777777" w:rsidR="002E474C" w:rsidRDefault="00000000">
            <w:pPr>
              <w:pStyle w:val="A-"/>
              <w:spacing w:line="260" w:lineRule="exact"/>
            </w:pPr>
            <w:r>
              <w:rPr>
                <w:lang w:val="zh-CN"/>
              </w:rPr>
              <w:t>15</w:t>
            </w:r>
          </w:p>
        </w:tc>
        <w:tc>
          <w:tcPr>
            <w:tcW w:w="400" w:type="pct"/>
          </w:tcPr>
          <w:p w14:paraId="540F09BB" w14:textId="77777777" w:rsidR="002E474C" w:rsidRDefault="00000000">
            <w:pPr>
              <w:pStyle w:val="A-"/>
              <w:spacing w:line="260" w:lineRule="exact"/>
            </w:pPr>
            <w:r>
              <w:t>0.8</w:t>
            </w:r>
          </w:p>
        </w:tc>
        <w:tc>
          <w:tcPr>
            <w:tcW w:w="347" w:type="pct"/>
          </w:tcPr>
          <w:p w14:paraId="5FF52033" w14:textId="77777777" w:rsidR="002E474C" w:rsidRDefault="00000000">
            <w:pPr>
              <w:pStyle w:val="A-"/>
              <w:spacing w:line="260" w:lineRule="exact"/>
            </w:pPr>
            <w:r>
              <w:t>8.3</w:t>
            </w:r>
          </w:p>
        </w:tc>
        <w:tc>
          <w:tcPr>
            <w:tcW w:w="321" w:type="pct"/>
          </w:tcPr>
          <w:p w14:paraId="59E1397D" w14:textId="77777777" w:rsidR="002E474C" w:rsidRDefault="00000000">
            <w:pPr>
              <w:pStyle w:val="A-"/>
              <w:spacing w:line="260" w:lineRule="exact"/>
            </w:pPr>
            <w:r>
              <w:t>20</w:t>
            </w:r>
          </w:p>
        </w:tc>
        <w:tc>
          <w:tcPr>
            <w:tcW w:w="321" w:type="pct"/>
          </w:tcPr>
          <w:p w14:paraId="30675F01" w14:textId="77777777" w:rsidR="002E474C" w:rsidRDefault="00000000">
            <w:pPr>
              <w:pStyle w:val="A-"/>
              <w:spacing w:line="260" w:lineRule="exact"/>
            </w:pPr>
            <w:r>
              <w:t>720</w:t>
            </w:r>
          </w:p>
        </w:tc>
        <w:tc>
          <w:tcPr>
            <w:tcW w:w="403" w:type="pct"/>
          </w:tcPr>
          <w:p w14:paraId="08B4871A" w14:textId="77777777" w:rsidR="002E474C" w:rsidRDefault="00000000">
            <w:pPr>
              <w:pStyle w:val="A-"/>
              <w:spacing w:line="260" w:lineRule="exact"/>
            </w:pPr>
            <w:r>
              <w:t>活性炭吸附降效</w:t>
            </w:r>
          </w:p>
        </w:tc>
        <w:tc>
          <w:tcPr>
            <w:tcW w:w="256" w:type="pct"/>
          </w:tcPr>
          <w:p w14:paraId="10AFACD7" w14:textId="77777777" w:rsidR="002E474C" w:rsidRDefault="00000000">
            <w:pPr>
              <w:pStyle w:val="A-"/>
              <w:spacing w:line="260" w:lineRule="exact"/>
            </w:pPr>
            <w:r>
              <w:t>0.026</w:t>
            </w:r>
          </w:p>
        </w:tc>
        <w:tc>
          <w:tcPr>
            <w:tcW w:w="256" w:type="pct"/>
          </w:tcPr>
          <w:p w14:paraId="3E867704" w14:textId="77777777" w:rsidR="002E474C" w:rsidRDefault="00000000">
            <w:pPr>
              <w:pStyle w:val="A-"/>
              <w:spacing w:line="260" w:lineRule="exact"/>
            </w:pPr>
            <w:r>
              <w:t>0.316</w:t>
            </w:r>
          </w:p>
        </w:tc>
        <w:tc>
          <w:tcPr>
            <w:tcW w:w="333" w:type="pct"/>
          </w:tcPr>
          <w:p w14:paraId="4790B629" w14:textId="77777777" w:rsidR="002E474C" w:rsidRDefault="00000000">
            <w:pPr>
              <w:pStyle w:val="A-"/>
              <w:spacing w:line="260" w:lineRule="exact"/>
            </w:pPr>
            <w:r>
              <w:t>0.344</w:t>
            </w:r>
          </w:p>
        </w:tc>
        <w:tc>
          <w:tcPr>
            <w:tcW w:w="340" w:type="pct"/>
          </w:tcPr>
          <w:p w14:paraId="15A91757" w14:textId="77777777" w:rsidR="002E474C" w:rsidRDefault="00000000">
            <w:pPr>
              <w:pStyle w:val="A-"/>
              <w:spacing w:line="260" w:lineRule="exact"/>
            </w:pPr>
            <w:r>
              <w:t>/</w:t>
            </w:r>
          </w:p>
        </w:tc>
      </w:tr>
    </w:tbl>
    <w:p w14:paraId="4A49205B" w14:textId="77777777" w:rsidR="002E474C" w:rsidRDefault="00000000">
      <w:pPr>
        <w:pStyle w:val="A--"/>
        <w:spacing w:beforeLines="0" w:before="0"/>
        <w:ind w:leftChars="0" w:left="0" w:rightChars="0" w:right="0"/>
        <w:rPr>
          <w:color w:val="auto"/>
        </w:rPr>
      </w:pPr>
      <w:r>
        <w:rPr>
          <w:color w:val="auto"/>
        </w:rPr>
        <w:t>表</w:t>
      </w:r>
      <w:r>
        <w:rPr>
          <w:color w:val="auto"/>
        </w:rPr>
        <w:t>5.1-1</w:t>
      </w:r>
      <w:r>
        <w:rPr>
          <w:rFonts w:hint="eastAsia"/>
          <w:color w:val="auto"/>
        </w:rPr>
        <w:t>3</w:t>
      </w:r>
      <w:r>
        <w:rPr>
          <w:color w:val="auto"/>
        </w:rPr>
        <w:t xml:space="preserve">    </w:t>
      </w:r>
      <w:r>
        <w:rPr>
          <w:color w:val="auto"/>
        </w:rPr>
        <w:t>在建项目点源参数表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3537"/>
        <w:gridCol w:w="697"/>
        <w:gridCol w:w="697"/>
        <w:gridCol w:w="1270"/>
        <w:gridCol w:w="1270"/>
        <w:gridCol w:w="1522"/>
        <w:gridCol w:w="1016"/>
        <w:gridCol w:w="764"/>
        <w:gridCol w:w="452"/>
        <w:gridCol w:w="767"/>
        <w:gridCol w:w="714"/>
      </w:tblGrid>
      <w:tr w:rsidR="002E474C" w14:paraId="18548EC3" w14:textId="77777777">
        <w:trPr>
          <w:trHeight w:val="283"/>
          <w:jc w:val="center"/>
        </w:trPr>
        <w:tc>
          <w:tcPr>
            <w:tcW w:w="195" w:type="pct"/>
            <w:vMerge w:val="restart"/>
            <w:noWrap/>
            <w:vAlign w:val="center"/>
          </w:tcPr>
          <w:p w14:paraId="726B1CAC" w14:textId="77777777" w:rsidR="002E474C" w:rsidRDefault="00000000">
            <w:pPr>
              <w:pStyle w:val="A-"/>
              <w:spacing w:line="260" w:lineRule="exact"/>
            </w:pPr>
            <w:r>
              <w:t>编号</w:t>
            </w:r>
          </w:p>
        </w:tc>
        <w:tc>
          <w:tcPr>
            <w:tcW w:w="1336" w:type="pct"/>
            <w:vMerge w:val="restart"/>
            <w:noWrap/>
            <w:vAlign w:val="center"/>
          </w:tcPr>
          <w:p w14:paraId="1237D59E" w14:textId="77777777" w:rsidR="002E474C" w:rsidRDefault="00000000">
            <w:pPr>
              <w:pStyle w:val="A-"/>
              <w:spacing w:line="260" w:lineRule="exact"/>
            </w:pPr>
            <w:r>
              <w:t>点源名称</w:t>
            </w:r>
          </w:p>
        </w:tc>
        <w:tc>
          <w:tcPr>
            <w:tcW w:w="263" w:type="pct"/>
            <w:vMerge w:val="restart"/>
            <w:shd w:val="clear" w:color="auto" w:fill="auto"/>
            <w:vAlign w:val="center"/>
          </w:tcPr>
          <w:p w14:paraId="030ACDDE" w14:textId="77777777" w:rsidR="002E474C" w:rsidRDefault="00000000">
            <w:pPr>
              <w:pStyle w:val="A-"/>
              <w:spacing w:line="260" w:lineRule="exact"/>
            </w:pPr>
            <w:r>
              <w:t>X</w:t>
            </w:r>
            <w:r>
              <w:rPr>
                <w:rFonts w:hint="eastAsia"/>
              </w:rPr>
              <w:t>/m</w:t>
            </w:r>
          </w:p>
        </w:tc>
        <w:tc>
          <w:tcPr>
            <w:tcW w:w="263" w:type="pct"/>
            <w:vMerge w:val="restart"/>
            <w:shd w:val="clear" w:color="auto" w:fill="auto"/>
            <w:vAlign w:val="center"/>
          </w:tcPr>
          <w:p w14:paraId="50886B5B" w14:textId="77777777" w:rsidR="002E474C" w:rsidRDefault="00000000">
            <w:pPr>
              <w:pStyle w:val="A-"/>
              <w:spacing w:line="260" w:lineRule="exact"/>
            </w:pPr>
            <w:r>
              <w:t>Y</w:t>
            </w:r>
            <w:r>
              <w:rPr>
                <w:rFonts w:hint="eastAsia"/>
              </w:rPr>
              <w:t>/m</w:t>
            </w:r>
          </w:p>
        </w:tc>
        <w:tc>
          <w:tcPr>
            <w:tcW w:w="480" w:type="pct"/>
            <w:vMerge w:val="restart"/>
            <w:noWrap/>
            <w:vAlign w:val="center"/>
          </w:tcPr>
          <w:p w14:paraId="1C8B5442" w14:textId="77777777" w:rsidR="002E474C" w:rsidRDefault="00000000">
            <w:pPr>
              <w:pStyle w:val="A-"/>
              <w:spacing w:line="260" w:lineRule="exact"/>
            </w:pPr>
            <w:r>
              <w:t>排气筒高度</w:t>
            </w:r>
          </w:p>
        </w:tc>
        <w:tc>
          <w:tcPr>
            <w:tcW w:w="480" w:type="pct"/>
            <w:vMerge w:val="restart"/>
            <w:noWrap/>
            <w:vAlign w:val="center"/>
          </w:tcPr>
          <w:p w14:paraId="282C3C6C" w14:textId="77777777" w:rsidR="002E474C" w:rsidRDefault="00000000">
            <w:pPr>
              <w:pStyle w:val="A-"/>
              <w:spacing w:line="260" w:lineRule="exact"/>
            </w:pPr>
            <w:r>
              <w:t>排气筒内径</w:t>
            </w:r>
          </w:p>
        </w:tc>
        <w:tc>
          <w:tcPr>
            <w:tcW w:w="575" w:type="pct"/>
            <w:vMerge w:val="restart"/>
            <w:noWrap/>
            <w:vAlign w:val="center"/>
          </w:tcPr>
          <w:p w14:paraId="4416C9E9" w14:textId="77777777" w:rsidR="002E474C" w:rsidRDefault="00000000">
            <w:pPr>
              <w:pStyle w:val="A-"/>
              <w:spacing w:line="260" w:lineRule="exact"/>
            </w:pPr>
            <w:r>
              <w:t>烟气出口温度</w:t>
            </w:r>
          </w:p>
        </w:tc>
        <w:tc>
          <w:tcPr>
            <w:tcW w:w="384" w:type="pct"/>
            <w:vMerge w:val="restart"/>
            <w:vAlign w:val="center"/>
          </w:tcPr>
          <w:p w14:paraId="394CBED8" w14:textId="77777777" w:rsidR="002E474C" w:rsidRDefault="00000000">
            <w:pPr>
              <w:pStyle w:val="A-"/>
              <w:spacing w:line="260" w:lineRule="exact"/>
            </w:pPr>
            <w:r>
              <w:t>烟气流量</w:t>
            </w:r>
          </w:p>
        </w:tc>
        <w:tc>
          <w:tcPr>
            <w:tcW w:w="1020" w:type="pct"/>
            <w:gridSpan w:val="4"/>
            <w:vAlign w:val="center"/>
          </w:tcPr>
          <w:p w14:paraId="50423E15" w14:textId="77777777" w:rsidR="002E474C" w:rsidRDefault="00000000">
            <w:pPr>
              <w:pStyle w:val="A-"/>
              <w:spacing w:line="260" w:lineRule="exact"/>
            </w:pPr>
            <w:r>
              <w:t>排放速率（</w:t>
            </w:r>
            <w:r>
              <w:t>kg/h</w:t>
            </w:r>
            <w:r>
              <w:t>）</w:t>
            </w:r>
          </w:p>
        </w:tc>
      </w:tr>
      <w:tr w:rsidR="002E474C" w14:paraId="17ADCB8B" w14:textId="77777777">
        <w:trPr>
          <w:trHeight w:val="283"/>
          <w:jc w:val="center"/>
        </w:trPr>
        <w:tc>
          <w:tcPr>
            <w:tcW w:w="195" w:type="pct"/>
            <w:vMerge/>
            <w:noWrap/>
            <w:vAlign w:val="center"/>
          </w:tcPr>
          <w:p w14:paraId="7EF58E3A" w14:textId="77777777" w:rsidR="002E474C" w:rsidRDefault="002E474C">
            <w:pPr>
              <w:pStyle w:val="A-"/>
              <w:spacing w:line="260" w:lineRule="exact"/>
            </w:pPr>
          </w:p>
        </w:tc>
        <w:tc>
          <w:tcPr>
            <w:tcW w:w="1336" w:type="pct"/>
            <w:vMerge/>
            <w:noWrap/>
            <w:vAlign w:val="center"/>
          </w:tcPr>
          <w:p w14:paraId="2D5E3A89" w14:textId="77777777" w:rsidR="002E474C" w:rsidRDefault="002E474C">
            <w:pPr>
              <w:pStyle w:val="A-"/>
              <w:spacing w:line="260" w:lineRule="exact"/>
            </w:pPr>
          </w:p>
        </w:tc>
        <w:tc>
          <w:tcPr>
            <w:tcW w:w="263" w:type="pct"/>
            <w:vMerge/>
            <w:shd w:val="clear" w:color="auto" w:fill="auto"/>
            <w:vAlign w:val="center"/>
          </w:tcPr>
          <w:p w14:paraId="12F8702A" w14:textId="77777777" w:rsidR="002E474C" w:rsidRDefault="002E474C">
            <w:pPr>
              <w:pStyle w:val="A-"/>
              <w:spacing w:line="260" w:lineRule="exact"/>
            </w:pPr>
          </w:p>
        </w:tc>
        <w:tc>
          <w:tcPr>
            <w:tcW w:w="263" w:type="pct"/>
            <w:vMerge/>
            <w:shd w:val="clear" w:color="auto" w:fill="auto"/>
            <w:vAlign w:val="center"/>
          </w:tcPr>
          <w:p w14:paraId="5FF3BF4B" w14:textId="77777777" w:rsidR="002E474C" w:rsidRDefault="002E474C">
            <w:pPr>
              <w:pStyle w:val="A-"/>
              <w:spacing w:line="260" w:lineRule="exact"/>
            </w:pPr>
          </w:p>
        </w:tc>
        <w:tc>
          <w:tcPr>
            <w:tcW w:w="480" w:type="pct"/>
            <w:vMerge/>
            <w:noWrap/>
            <w:vAlign w:val="center"/>
          </w:tcPr>
          <w:p w14:paraId="24FE7764" w14:textId="77777777" w:rsidR="002E474C" w:rsidRDefault="002E474C">
            <w:pPr>
              <w:pStyle w:val="A-"/>
              <w:spacing w:line="260" w:lineRule="exact"/>
            </w:pPr>
          </w:p>
        </w:tc>
        <w:tc>
          <w:tcPr>
            <w:tcW w:w="480" w:type="pct"/>
            <w:vMerge/>
            <w:noWrap/>
            <w:vAlign w:val="center"/>
          </w:tcPr>
          <w:p w14:paraId="5136F452" w14:textId="77777777" w:rsidR="002E474C" w:rsidRDefault="002E474C">
            <w:pPr>
              <w:pStyle w:val="A-"/>
              <w:spacing w:line="260" w:lineRule="exact"/>
            </w:pPr>
          </w:p>
        </w:tc>
        <w:tc>
          <w:tcPr>
            <w:tcW w:w="575" w:type="pct"/>
            <w:vMerge/>
            <w:noWrap/>
            <w:vAlign w:val="center"/>
          </w:tcPr>
          <w:p w14:paraId="4447C215" w14:textId="77777777" w:rsidR="002E474C" w:rsidRDefault="002E474C">
            <w:pPr>
              <w:pStyle w:val="A-"/>
              <w:spacing w:line="260" w:lineRule="exact"/>
            </w:pPr>
          </w:p>
        </w:tc>
        <w:tc>
          <w:tcPr>
            <w:tcW w:w="384" w:type="pct"/>
            <w:vMerge/>
            <w:vAlign w:val="center"/>
          </w:tcPr>
          <w:p w14:paraId="0FED86BC" w14:textId="77777777" w:rsidR="002E474C" w:rsidRDefault="002E474C">
            <w:pPr>
              <w:pStyle w:val="A-"/>
              <w:spacing w:line="260" w:lineRule="exact"/>
            </w:pPr>
          </w:p>
        </w:tc>
        <w:tc>
          <w:tcPr>
            <w:tcW w:w="289" w:type="pct"/>
            <w:noWrap/>
            <w:vAlign w:val="center"/>
          </w:tcPr>
          <w:p w14:paraId="26568B60" w14:textId="77777777" w:rsidR="002E474C" w:rsidRDefault="00000000">
            <w:pPr>
              <w:pStyle w:val="A-"/>
              <w:spacing w:line="260" w:lineRule="exact"/>
            </w:pPr>
            <w:r>
              <w:t>硫化氢</w:t>
            </w:r>
          </w:p>
        </w:tc>
        <w:tc>
          <w:tcPr>
            <w:tcW w:w="171" w:type="pct"/>
            <w:vAlign w:val="center"/>
          </w:tcPr>
          <w:p w14:paraId="612DBABD" w14:textId="77777777" w:rsidR="002E474C" w:rsidRDefault="00000000">
            <w:pPr>
              <w:pStyle w:val="A-"/>
              <w:spacing w:line="260" w:lineRule="exact"/>
            </w:pPr>
            <w:r>
              <w:t>氨</w:t>
            </w:r>
          </w:p>
        </w:tc>
        <w:tc>
          <w:tcPr>
            <w:tcW w:w="290" w:type="pct"/>
            <w:vAlign w:val="center"/>
          </w:tcPr>
          <w:p w14:paraId="3261CED6" w14:textId="77777777" w:rsidR="002E474C" w:rsidRDefault="00000000">
            <w:pPr>
              <w:pStyle w:val="A-"/>
              <w:spacing w:line="260" w:lineRule="exact"/>
            </w:pPr>
            <w:r>
              <w:t>NMHC</w:t>
            </w:r>
          </w:p>
        </w:tc>
        <w:tc>
          <w:tcPr>
            <w:tcW w:w="267" w:type="pct"/>
            <w:vAlign w:val="center"/>
          </w:tcPr>
          <w:p w14:paraId="6D48A9FA" w14:textId="77777777" w:rsidR="002E474C" w:rsidRDefault="00000000">
            <w:pPr>
              <w:pStyle w:val="A-"/>
              <w:spacing w:line="260" w:lineRule="exact"/>
            </w:pPr>
            <w:r>
              <w:t>汞</w:t>
            </w:r>
          </w:p>
        </w:tc>
      </w:tr>
      <w:tr w:rsidR="002E474C" w14:paraId="361680F0" w14:textId="77777777">
        <w:trPr>
          <w:trHeight w:val="283"/>
          <w:jc w:val="center"/>
        </w:trPr>
        <w:tc>
          <w:tcPr>
            <w:tcW w:w="195" w:type="pct"/>
            <w:vMerge/>
            <w:noWrap/>
            <w:vAlign w:val="center"/>
          </w:tcPr>
          <w:p w14:paraId="01664062" w14:textId="77777777" w:rsidR="002E474C" w:rsidRDefault="002E474C">
            <w:pPr>
              <w:pStyle w:val="A-"/>
              <w:spacing w:line="260" w:lineRule="exact"/>
            </w:pPr>
          </w:p>
        </w:tc>
        <w:tc>
          <w:tcPr>
            <w:tcW w:w="1336" w:type="pct"/>
            <w:noWrap/>
            <w:vAlign w:val="center"/>
          </w:tcPr>
          <w:p w14:paraId="4AC09B82" w14:textId="77777777" w:rsidR="002E474C" w:rsidRDefault="00000000">
            <w:pPr>
              <w:pStyle w:val="A-"/>
              <w:spacing w:line="260" w:lineRule="exact"/>
            </w:pPr>
            <w:r>
              <w:t>单位</w:t>
            </w:r>
          </w:p>
        </w:tc>
        <w:tc>
          <w:tcPr>
            <w:tcW w:w="263" w:type="pct"/>
            <w:shd w:val="clear" w:color="auto" w:fill="auto"/>
            <w:vAlign w:val="center"/>
          </w:tcPr>
          <w:p w14:paraId="5A1AB500" w14:textId="77777777" w:rsidR="002E474C" w:rsidRDefault="00000000">
            <w:pPr>
              <w:pStyle w:val="A-"/>
              <w:spacing w:line="260" w:lineRule="exact"/>
            </w:pPr>
            <w:proofErr w:type="spellStart"/>
            <w:r>
              <w:t>Px</w:t>
            </w:r>
            <w:proofErr w:type="spellEnd"/>
          </w:p>
        </w:tc>
        <w:tc>
          <w:tcPr>
            <w:tcW w:w="263" w:type="pct"/>
            <w:shd w:val="clear" w:color="auto" w:fill="auto"/>
            <w:vAlign w:val="center"/>
          </w:tcPr>
          <w:p w14:paraId="4D9EA015" w14:textId="77777777" w:rsidR="002E474C" w:rsidRDefault="00000000">
            <w:pPr>
              <w:pStyle w:val="A-"/>
              <w:spacing w:line="260" w:lineRule="exact"/>
            </w:pPr>
            <w:proofErr w:type="spellStart"/>
            <w:r>
              <w:t>Py</w:t>
            </w:r>
            <w:proofErr w:type="spellEnd"/>
          </w:p>
        </w:tc>
        <w:tc>
          <w:tcPr>
            <w:tcW w:w="480" w:type="pct"/>
            <w:noWrap/>
            <w:vAlign w:val="center"/>
          </w:tcPr>
          <w:p w14:paraId="597032B9" w14:textId="77777777" w:rsidR="002E474C" w:rsidRDefault="00000000">
            <w:pPr>
              <w:pStyle w:val="A-"/>
              <w:spacing w:line="260" w:lineRule="exact"/>
            </w:pPr>
            <w:r>
              <w:t>H(m)</w:t>
            </w:r>
          </w:p>
        </w:tc>
        <w:tc>
          <w:tcPr>
            <w:tcW w:w="480" w:type="pct"/>
            <w:noWrap/>
            <w:vAlign w:val="center"/>
          </w:tcPr>
          <w:p w14:paraId="4056CF07" w14:textId="77777777" w:rsidR="002E474C" w:rsidRDefault="00000000">
            <w:pPr>
              <w:pStyle w:val="A-"/>
              <w:spacing w:line="260" w:lineRule="exact"/>
            </w:pPr>
            <w:r>
              <w:t>D(m)</w:t>
            </w:r>
          </w:p>
        </w:tc>
        <w:tc>
          <w:tcPr>
            <w:tcW w:w="575" w:type="pct"/>
            <w:noWrap/>
            <w:vAlign w:val="center"/>
          </w:tcPr>
          <w:p w14:paraId="5D5127FE" w14:textId="77777777" w:rsidR="002E474C" w:rsidRDefault="00000000">
            <w:pPr>
              <w:pStyle w:val="A-"/>
              <w:spacing w:line="260" w:lineRule="exact"/>
            </w:pPr>
            <w:r>
              <w:t>T(℃)</w:t>
            </w:r>
          </w:p>
        </w:tc>
        <w:tc>
          <w:tcPr>
            <w:tcW w:w="384" w:type="pct"/>
            <w:vAlign w:val="center"/>
          </w:tcPr>
          <w:p w14:paraId="0D781D0F" w14:textId="77777777" w:rsidR="002E474C" w:rsidRDefault="00000000">
            <w:pPr>
              <w:pStyle w:val="A-"/>
              <w:spacing w:line="260" w:lineRule="exact"/>
            </w:pPr>
            <w:r>
              <w:t>V/m</w:t>
            </w:r>
            <w:r>
              <w:rPr>
                <w:vertAlign w:val="superscript"/>
              </w:rPr>
              <w:t>3</w:t>
            </w:r>
            <w:r>
              <w:t>/h</w:t>
            </w:r>
          </w:p>
        </w:tc>
        <w:tc>
          <w:tcPr>
            <w:tcW w:w="289" w:type="pct"/>
            <w:noWrap/>
            <w:vAlign w:val="center"/>
          </w:tcPr>
          <w:p w14:paraId="53FF7D7F" w14:textId="77777777" w:rsidR="002E474C" w:rsidRDefault="00000000">
            <w:pPr>
              <w:pStyle w:val="A-"/>
              <w:spacing w:line="260" w:lineRule="exact"/>
            </w:pPr>
            <w:r>
              <w:t>Q</w:t>
            </w:r>
            <w:r>
              <w:rPr>
                <w:vertAlign w:val="subscript"/>
              </w:rPr>
              <w:t>硫化氢</w:t>
            </w:r>
          </w:p>
        </w:tc>
        <w:tc>
          <w:tcPr>
            <w:tcW w:w="171" w:type="pct"/>
            <w:vAlign w:val="center"/>
          </w:tcPr>
          <w:p w14:paraId="0B7E620F" w14:textId="77777777" w:rsidR="002E474C" w:rsidRDefault="00000000">
            <w:pPr>
              <w:pStyle w:val="A-"/>
              <w:spacing w:line="260" w:lineRule="exact"/>
            </w:pPr>
            <w:r>
              <w:t>Q</w:t>
            </w:r>
            <w:r>
              <w:rPr>
                <w:vertAlign w:val="subscript"/>
              </w:rPr>
              <w:t>氨</w:t>
            </w:r>
          </w:p>
        </w:tc>
        <w:tc>
          <w:tcPr>
            <w:tcW w:w="290" w:type="pct"/>
            <w:vAlign w:val="center"/>
          </w:tcPr>
          <w:p w14:paraId="0A8482AA" w14:textId="77777777" w:rsidR="002E474C" w:rsidRDefault="00000000">
            <w:pPr>
              <w:pStyle w:val="A-"/>
              <w:spacing w:line="260" w:lineRule="exact"/>
            </w:pPr>
            <w:r>
              <w:t>Q</w:t>
            </w:r>
            <w:r>
              <w:rPr>
                <w:vertAlign w:val="subscript"/>
              </w:rPr>
              <w:t>NMHC</w:t>
            </w:r>
          </w:p>
        </w:tc>
        <w:tc>
          <w:tcPr>
            <w:tcW w:w="267" w:type="pct"/>
            <w:vAlign w:val="center"/>
          </w:tcPr>
          <w:p w14:paraId="1895637D" w14:textId="77777777" w:rsidR="002E474C" w:rsidRDefault="00000000">
            <w:pPr>
              <w:pStyle w:val="A-"/>
              <w:spacing w:line="260" w:lineRule="exact"/>
            </w:pPr>
            <w:r>
              <w:t>Q</w:t>
            </w:r>
            <w:r>
              <w:rPr>
                <w:vertAlign w:val="subscript"/>
              </w:rPr>
              <w:t>汞</w:t>
            </w:r>
          </w:p>
        </w:tc>
      </w:tr>
      <w:tr w:rsidR="002E474C" w14:paraId="40224222" w14:textId="77777777">
        <w:trPr>
          <w:trHeight w:val="283"/>
          <w:jc w:val="center"/>
        </w:trPr>
        <w:tc>
          <w:tcPr>
            <w:tcW w:w="195" w:type="pct"/>
            <w:noWrap/>
            <w:vAlign w:val="center"/>
          </w:tcPr>
          <w:p w14:paraId="185D3874" w14:textId="77777777" w:rsidR="002E474C" w:rsidRDefault="00000000">
            <w:pPr>
              <w:pStyle w:val="A-"/>
              <w:spacing w:line="260" w:lineRule="exact"/>
            </w:pPr>
            <w:r>
              <w:rPr>
                <w:rFonts w:hint="eastAsia"/>
              </w:rPr>
              <w:t>1</w:t>
            </w:r>
          </w:p>
        </w:tc>
        <w:tc>
          <w:tcPr>
            <w:tcW w:w="1336" w:type="pct"/>
            <w:noWrap/>
            <w:vAlign w:val="center"/>
          </w:tcPr>
          <w:p w14:paraId="4B4B75A2" w14:textId="77777777" w:rsidR="002E474C" w:rsidRDefault="00000000">
            <w:pPr>
              <w:pStyle w:val="A-"/>
              <w:spacing w:line="260" w:lineRule="exact"/>
            </w:pPr>
            <w:r>
              <w:t>一期脱硫再生尾气</w:t>
            </w:r>
          </w:p>
        </w:tc>
        <w:tc>
          <w:tcPr>
            <w:tcW w:w="263" w:type="pct"/>
            <w:shd w:val="clear" w:color="auto" w:fill="auto"/>
            <w:vAlign w:val="center"/>
          </w:tcPr>
          <w:p w14:paraId="28ECAA3C" w14:textId="77777777" w:rsidR="002E474C" w:rsidRDefault="00000000">
            <w:pPr>
              <w:pStyle w:val="A-"/>
              <w:spacing w:line="260" w:lineRule="exact"/>
            </w:pPr>
            <w:r>
              <w:t>4431</w:t>
            </w:r>
          </w:p>
        </w:tc>
        <w:tc>
          <w:tcPr>
            <w:tcW w:w="263" w:type="pct"/>
            <w:shd w:val="clear" w:color="auto" w:fill="auto"/>
            <w:vAlign w:val="center"/>
          </w:tcPr>
          <w:p w14:paraId="1A4B863B" w14:textId="77777777" w:rsidR="002E474C" w:rsidRDefault="00000000">
            <w:pPr>
              <w:pStyle w:val="A-"/>
              <w:spacing w:line="260" w:lineRule="exact"/>
            </w:pPr>
            <w:r>
              <w:t>-507</w:t>
            </w:r>
          </w:p>
        </w:tc>
        <w:tc>
          <w:tcPr>
            <w:tcW w:w="480" w:type="pct"/>
            <w:noWrap/>
            <w:vAlign w:val="center"/>
          </w:tcPr>
          <w:p w14:paraId="5E695561" w14:textId="77777777" w:rsidR="002E474C" w:rsidRDefault="00000000">
            <w:pPr>
              <w:pStyle w:val="A-"/>
              <w:spacing w:line="260" w:lineRule="exact"/>
            </w:pPr>
            <w:r>
              <w:t>15</w:t>
            </w:r>
          </w:p>
        </w:tc>
        <w:tc>
          <w:tcPr>
            <w:tcW w:w="480" w:type="pct"/>
            <w:noWrap/>
            <w:vAlign w:val="center"/>
          </w:tcPr>
          <w:p w14:paraId="09FD632D" w14:textId="77777777" w:rsidR="002E474C" w:rsidRDefault="00000000">
            <w:pPr>
              <w:pStyle w:val="A-"/>
              <w:spacing w:line="260" w:lineRule="exact"/>
            </w:pPr>
            <w:r>
              <w:t>0.5</w:t>
            </w:r>
          </w:p>
        </w:tc>
        <w:tc>
          <w:tcPr>
            <w:tcW w:w="575" w:type="pct"/>
            <w:noWrap/>
            <w:vAlign w:val="center"/>
          </w:tcPr>
          <w:p w14:paraId="58D26F44" w14:textId="77777777" w:rsidR="002E474C" w:rsidRDefault="00000000">
            <w:pPr>
              <w:pStyle w:val="A-"/>
              <w:spacing w:line="260" w:lineRule="exact"/>
            </w:pPr>
            <w:r>
              <w:t>30</w:t>
            </w:r>
          </w:p>
        </w:tc>
        <w:tc>
          <w:tcPr>
            <w:tcW w:w="384" w:type="pct"/>
            <w:vAlign w:val="center"/>
          </w:tcPr>
          <w:p w14:paraId="1C036D34" w14:textId="77777777" w:rsidR="002E474C" w:rsidRDefault="00000000">
            <w:pPr>
              <w:pStyle w:val="A-"/>
              <w:spacing w:line="260" w:lineRule="exact"/>
            </w:pPr>
            <w:r>
              <w:t>7428.5</w:t>
            </w:r>
          </w:p>
        </w:tc>
        <w:tc>
          <w:tcPr>
            <w:tcW w:w="289" w:type="pct"/>
            <w:noWrap/>
            <w:vAlign w:val="center"/>
          </w:tcPr>
          <w:p w14:paraId="4A813423" w14:textId="77777777" w:rsidR="002E474C" w:rsidRDefault="00000000">
            <w:pPr>
              <w:pStyle w:val="A-"/>
              <w:spacing w:line="260" w:lineRule="exact"/>
            </w:pPr>
            <w:r>
              <w:t>0.022</w:t>
            </w:r>
          </w:p>
        </w:tc>
        <w:tc>
          <w:tcPr>
            <w:tcW w:w="171" w:type="pct"/>
            <w:vAlign w:val="center"/>
          </w:tcPr>
          <w:p w14:paraId="59BA1128" w14:textId="77777777" w:rsidR="002E474C" w:rsidRDefault="00000000">
            <w:pPr>
              <w:pStyle w:val="A-"/>
              <w:spacing w:line="260" w:lineRule="exact"/>
            </w:pPr>
            <w:r>
              <w:t>/</w:t>
            </w:r>
          </w:p>
        </w:tc>
        <w:tc>
          <w:tcPr>
            <w:tcW w:w="290" w:type="pct"/>
            <w:vAlign w:val="center"/>
          </w:tcPr>
          <w:p w14:paraId="523121B1" w14:textId="77777777" w:rsidR="002E474C" w:rsidRDefault="00000000">
            <w:pPr>
              <w:pStyle w:val="A-"/>
              <w:spacing w:line="260" w:lineRule="exact"/>
            </w:pPr>
            <w:r>
              <w:t>/</w:t>
            </w:r>
          </w:p>
        </w:tc>
        <w:tc>
          <w:tcPr>
            <w:tcW w:w="267" w:type="pct"/>
            <w:vAlign w:val="center"/>
          </w:tcPr>
          <w:p w14:paraId="41E66E4C" w14:textId="77777777" w:rsidR="002E474C" w:rsidRDefault="00000000">
            <w:pPr>
              <w:pStyle w:val="A-"/>
              <w:spacing w:line="260" w:lineRule="exact"/>
            </w:pPr>
            <w:r>
              <w:t>/</w:t>
            </w:r>
          </w:p>
        </w:tc>
      </w:tr>
      <w:tr w:rsidR="002E474C" w14:paraId="0100B28F" w14:textId="77777777">
        <w:trPr>
          <w:trHeight w:val="283"/>
          <w:jc w:val="center"/>
        </w:trPr>
        <w:tc>
          <w:tcPr>
            <w:tcW w:w="195" w:type="pct"/>
            <w:noWrap/>
            <w:vAlign w:val="center"/>
          </w:tcPr>
          <w:p w14:paraId="7D4FFB19" w14:textId="77777777" w:rsidR="002E474C" w:rsidRDefault="00000000">
            <w:pPr>
              <w:pStyle w:val="A-"/>
              <w:spacing w:line="260" w:lineRule="exact"/>
            </w:pPr>
            <w:r>
              <w:rPr>
                <w:rFonts w:hint="eastAsia"/>
              </w:rPr>
              <w:t>2</w:t>
            </w:r>
          </w:p>
        </w:tc>
        <w:tc>
          <w:tcPr>
            <w:tcW w:w="1336" w:type="pct"/>
            <w:noWrap/>
            <w:vAlign w:val="center"/>
          </w:tcPr>
          <w:p w14:paraId="0060EBBE" w14:textId="77777777" w:rsidR="002E474C" w:rsidRDefault="00000000">
            <w:pPr>
              <w:pStyle w:val="A-"/>
              <w:spacing w:line="260" w:lineRule="exact"/>
            </w:pPr>
            <w:r>
              <w:t>一期脱硫再生尾气</w:t>
            </w:r>
          </w:p>
        </w:tc>
        <w:tc>
          <w:tcPr>
            <w:tcW w:w="263" w:type="pct"/>
            <w:shd w:val="clear" w:color="auto" w:fill="auto"/>
            <w:vAlign w:val="center"/>
          </w:tcPr>
          <w:p w14:paraId="21407CAA" w14:textId="77777777" w:rsidR="002E474C" w:rsidRDefault="00000000">
            <w:pPr>
              <w:pStyle w:val="A-"/>
              <w:spacing w:line="260" w:lineRule="exact"/>
            </w:pPr>
            <w:r>
              <w:t>4422</w:t>
            </w:r>
          </w:p>
        </w:tc>
        <w:tc>
          <w:tcPr>
            <w:tcW w:w="263" w:type="pct"/>
            <w:shd w:val="clear" w:color="auto" w:fill="auto"/>
            <w:vAlign w:val="center"/>
          </w:tcPr>
          <w:p w14:paraId="41FB58C8" w14:textId="77777777" w:rsidR="002E474C" w:rsidRDefault="00000000">
            <w:pPr>
              <w:pStyle w:val="A-"/>
              <w:spacing w:line="260" w:lineRule="exact"/>
            </w:pPr>
            <w:r>
              <w:t>-729</w:t>
            </w:r>
          </w:p>
        </w:tc>
        <w:tc>
          <w:tcPr>
            <w:tcW w:w="480" w:type="pct"/>
            <w:noWrap/>
            <w:vAlign w:val="center"/>
          </w:tcPr>
          <w:p w14:paraId="6289BC68" w14:textId="77777777" w:rsidR="002E474C" w:rsidRDefault="00000000">
            <w:pPr>
              <w:pStyle w:val="A-"/>
              <w:spacing w:line="260" w:lineRule="exact"/>
            </w:pPr>
            <w:r>
              <w:t>15</w:t>
            </w:r>
          </w:p>
        </w:tc>
        <w:tc>
          <w:tcPr>
            <w:tcW w:w="480" w:type="pct"/>
            <w:noWrap/>
            <w:vAlign w:val="center"/>
          </w:tcPr>
          <w:p w14:paraId="590DD41F" w14:textId="77777777" w:rsidR="002E474C" w:rsidRDefault="00000000">
            <w:pPr>
              <w:pStyle w:val="A-"/>
              <w:spacing w:line="260" w:lineRule="exact"/>
            </w:pPr>
            <w:r>
              <w:t>0.5</w:t>
            </w:r>
          </w:p>
        </w:tc>
        <w:tc>
          <w:tcPr>
            <w:tcW w:w="575" w:type="pct"/>
            <w:noWrap/>
            <w:vAlign w:val="center"/>
          </w:tcPr>
          <w:p w14:paraId="028F8A26" w14:textId="77777777" w:rsidR="002E474C" w:rsidRDefault="00000000">
            <w:pPr>
              <w:pStyle w:val="A-"/>
              <w:spacing w:line="260" w:lineRule="exact"/>
            </w:pPr>
            <w:r>
              <w:t>20</w:t>
            </w:r>
          </w:p>
        </w:tc>
        <w:tc>
          <w:tcPr>
            <w:tcW w:w="384" w:type="pct"/>
            <w:vAlign w:val="center"/>
          </w:tcPr>
          <w:p w14:paraId="57B381F6" w14:textId="77777777" w:rsidR="002E474C" w:rsidRDefault="00000000">
            <w:pPr>
              <w:pStyle w:val="A-"/>
              <w:spacing w:line="260" w:lineRule="exact"/>
            </w:pPr>
            <w:r>
              <w:t>387.83</w:t>
            </w:r>
          </w:p>
        </w:tc>
        <w:tc>
          <w:tcPr>
            <w:tcW w:w="289" w:type="pct"/>
            <w:noWrap/>
            <w:vAlign w:val="center"/>
          </w:tcPr>
          <w:p w14:paraId="1C8D9004" w14:textId="77777777" w:rsidR="002E474C" w:rsidRDefault="00000000">
            <w:pPr>
              <w:pStyle w:val="A-"/>
              <w:spacing w:line="260" w:lineRule="exact"/>
            </w:pPr>
            <w:r>
              <w:t>0.001</w:t>
            </w:r>
          </w:p>
        </w:tc>
        <w:tc>
          <w:tcPr>
            <w:tcW w:w="171" w:type="pct"/>
            <w:vAlign w:val="center"/>
          </w:tcPr>
          <w:p w14:paraId="7DDAA52B" w14:textId="77777777" w:rsidR="002E474C" w:rsidRDefault="00000000">
            <w:pPr>
              <w:pStyle w:val="A-"/>
              <w:spacing w:line="260" w:lineRule="exact"/>
            </w:pPr>
            <w:r>
              <w:t>/</w:t>
            </w:r>
          </w:p>
        </w:tc>
        <w:tc>
          <w:tcPr>
            <w:tcW w:w="290" w:type="pct"/>
            <w:vAlign w:val="center"/>
          </w:tcPr>
          <w:p w14:paraId="47FF59E8" w14:textId="77777777" w:rsidR="002E474C" w:rsidRDefault="00000000">
            <w:pPr>
              <w:pStyle w:val="A-"/>
              <w:spacing w:line="260" w:lineRule="exact"/>
            </w:pPr>
            <w:r>
              <w:t>/</w:t>
            </w:r>
          </w:p>
        </w:tc>
        <w:tc>
          <w:tcPr>
            <w:tcW w:w="267" w:type="pct"/>
            <w:vAlign w:val="center"/>
          </w:tcPr>
          <w:p w14:paraId="2A28F9B7" w14:textId="77777777" w:rsidR="002E474C" w:rsidRDefault="00000000">
            <w:pPr>
              <w:pStyle w:val="A-"/>
              <w:spacing w:line="260" w:lineRule="exact"/>
            </w:pPr>
            <w:r>
              <w:t>/</w:t>
            </w:r>
          </w:p>
        </w:tc>
      </w:tr>
      <w:tr w:rsidR="002E474C" w14:paraId="4D1DBF1E" w14:textId="77777777">
        <w:trPr>
          <w:trHeight w:val="262"/>
          <w:jc w:val="center"/>
        </w:trPr>
        <w:tc>
          <w:tcPr>
            <w:tcW w:w="195" w:type="pct"/>
            <w:noWrap/>
            <w:vAlign w:val="center"/>
          </w:tcPr>
          <w:p w14:paraId="12CEB998" w14:textId="77777777" w:rsidR="002E474C" w:rsidRDefault="00000000">
            <w:pPr>
              <w:pStyle w:val="A-"/>
              <w:spacing w:line="260" w:lineRule="exact"/>
            </w:pPr>
            <w:r>
              <w:rPr>
                <w:rFonts w:hint="eastAsia"/>
              </w:rPr>
              <w:t>3</w:t>
            </w:r>
          </w:p>
        </w:tc>
        <w:tc>
          <w:tcPr>
            <w:tcW w:w="1336" w:type="pct"/>
            <w:noWrap/>
            <w:vAlign w:val="center"/>
          </w:tcPr>
          <w:p w14:paraId="1FB2C50D" w14:textId="77777777" w:rsidR="002E474C" w:rsidRDefault="00000000">
            <w:pPr>
              <w:pStyle w:val="A-"/>
              <w:spacing w:line="260" w:lineRule="exact"/>
            </w:pPr>
            <w:r>
              <w:t>一期污水处理站</w:t>
            </w:r>
          </w:p>
        </w:tc>
        <w:tc>
          <w:tcPr>
            <w:tcW w:w="263" w:type="pct"/>
            <w:shd w:val="clear" w:color="auto" w:fill="auto"/>
            <w:vAlign w:val="center"/>
          </w:tcPr>
          <w:p w14:paraId="283E57FB" w14:textId="77777777" w:rsidR="002E474C" w:rsidRDefault="00000000">
            <w:pPr>
              <w:pStyle w:val="A-"/>
              <w:spacing w:line="260" w:lineRule="exact"/>
            </w:pPr>
            <w:r>
              <w:t>4515</w:t>
            </w:r>
          </w:p>
        </w:tc>
        <w:tc>
          <w:tcPr>
            <w:tcW w:w="263" w:type="pct"/>
            <w:shd w:val="clear" w:color="auto" w:fill="auto"/>
            <w:vAlign w:val="center"/>
          </w:tcPr>
          <w:p w14:paraId="7AC2089E" w14:textId="77777777" w:rsidR="002E474C" w:rsidRDefault="00000000">
            <w:pPr>
              <w:pStyle w:val="A-"/>
              <w:spacing w:line="260" w:lineRule="exact"/>
            </w:pPr>
            <w:r>
              <w:t>-1256</w:t>
            </w:r>
          </w:p>
        </w:tc>
        <w:tc>
          <w:tcPr>
            <w:tcW w:w="480" w:type="pct"/>
            <w:noWrap/>
            <w:vAlign w:val="center"/>
          </w:tcPr>
          <w:p w14:paraId="00D18216" w14:textId="77777777" w:rsidR="002E474C" w:rsidRDefault="00000000">
            <w:pPr>
              <w:pStyle w:val="A-"/>
              <w:spacing w:line="260" w:lineRule="exact"/>
            </w:pPr>
            <w:r>
              <w:t>15</w:t>
            </w:r>
          </w:p>
        </w:tc>
        <w:tc>
          <w:tcPr>
            <w:tcW w:w="480" w:type="pct"/>
            <w:noWrap/>
            <w:vAlign w:val="center"/>
          </w:tcPr>
          <w:p w14:paraId="0078386C" w14:textId="77777777" w:rsidR="002E474C" w:rsidRDefault="00000000">
            <w:pPr>
              <w:pStyle w:val="A-"/>
              <w:spacing w:line="260" w:lineRule="exact"/>
            </w:pPr>
            <w:r>
              <w:t>1</w:t>
            </w:r>
          </w:p>
        </w:tc>
        <w:tc>
          <w:tcPr>
            <w:tcW w:w="575" w:type="pct"/>
            <w:noWrap/>
            <w:vAlign w:val="center"/>
          </w:tcPr>
          <w:p w14:paraId="1F194414" w14:textId="77777777" w:rsidR="002E474C" w:rsidRDefault="00000000">
            <w:pPr>
              <w:pStyle w:val="A-"/>
              <w:spacing w:line="260" w:lineRule="exact"/>
            </w:pPr>
            <w:r>
              <w:t>30</w:t>
            </w:r>
          </w:p>
        </w:tc>
        <w:tc>
          <w:tcPr>
            <w:tcW w:w="384" w:type="pct"/>
            <w:vAlign w:val="center"/>
          </w:tcPr>
          <w:p w14:paraId="27558520" w14:textId="77777777" w:rsidR="002E474C" w:rsidRDefault="00000000">
            <w:pPr>
              <w:pStyle w:val="A-"/>
              <w:spacing w:line="260" w:lineRule="exact"/>
            </w:pPr>
            <w:r>
              <w:t>30000</w:t>
            </w:r>
          </w:p>
        </w:tc>
        <w:tc>
          <w:tcPr>
            <w:tcW w:w="289" w:type="pct"/>
            <w:noWrap/>
            <w:vAlign w:val="center"/>
          </w:tcPr>
          <w:p w14:paraId="16E0DD41" w14:textId="77777777" w:rsidR="002E474C" w:rsidRDefault="00000000">
            <w:pPr>
              <w:pStyle w:val="A-"/>
              <w:spacing w:line="260" w:lineRule="exact"/>
            </w:pPr>
            <w:r>
              <w:t>0.03</w:t>
            </w:r>
          </w:p>
        </w:tc>
        <w:tc>
          <w:tcPr>
            <w:tcW w:w="171" w:type="pct"/>
            <w:vAlign w:val="center"/>
          </w:tcPr>
          <w:p w14:paraId="4B94C06C" w14:textId="77777777" w:rsidR="002E474C" w:rsidRDefault="00000000">
            <w:pPr>
              <w:pStyle w:val="A-"/>
              <w:spacing w:line="260" w:lineRule="exact"/>
            </w:pPr>
            <w:r>
              <w:t>0.06</w:t>
            </w:r>
          </w:p>
        </w:tc>
        <w:tc>
          <w:tcPr>
            <w:tcW w:w="290" w:type="pct"/>
            <w:vAlign w:val="center"/>
          </w:tcPr>
          <w:p w14:paraId="24A6BB1A" w14:textId="77777777" w:rsidR="002E474C" w:rsidRDefault="00000000">
            <w:pPr>
              <w:pStyle w:val="A-"/>
              <w:spacing w:line="260" w:lineRule="exact"/>
            </w:pPr>
            <w:r>
              <w:t>1.30</w:t>
            </w:r>
          </w:p>
        </w:tc>
        <w:tc>
          <w:tcPr>
            <w:tcW w:w="267" w:type="pct"/>
            <w:vAlign w:val="center"/>
          </w:tcPr>
          <w:p w14:paraId="2B6497BC" w14:textId="77777777" w:rsidR="002E474C" w:rsidRDefault="00000000">
            <w:pPr>
              <w:pStyle w:val="A-"/>
              <w:spacing w:line="260" w:lineRule="exact"/>
            </w:pPr>
            <w:r>
              <w:t>/</w:t>
            </w:r>
          </w:p>
        </w:tc>
      </w:tr>
      <w:tr w:rsidR="002E474C" w14:paraId="73926021" w14:textId="77777777">
        <w:trPr>
          <w:trHeight w:val="283"/>
          <w:jc w:val="center"/>
        </w:trPr>
        <w:tc>
          <w:tcPr>
            <w:tcW w:w="195" w:type="pct"/>
            <w:noWrap/>
            <w:vAlign w:val="center"/>
          </w:tcPr>
          <w:p w14:paraId="0939C81B" w14:textId="77777777" w:rsidR="002E474C" w:rsidRDefault="00000000">
            <w:pPr>
              <w:pStyle w:val="A-"/>
              <w:spacing w:line="260" w:lineRule="exact"/>
            </w:pPr>
            <w:r>
              <w:rPr>
                <w:rFonts w:hint="eastAsia"/>
              </w:rPr>
              <w:t>4</w:t>
            </w:r>
          </w:p>
        </w:tc>
        <w:tc>
          <w:tcPr>
            <w:tcW w:w="1336" w:type="pct"/>
            <w:noWrap/>
            <w:vAlign w:val="center"/>
          </w:tcPr>
          <w:p w14:paraId="08BE5DFF" w14:textId="77777777" w:rsidR="002E474C" w:rsidRDefault="00000000">
            <w:pPr>
              <w:pStyle w:val="A-"/>
              <w:spacing w:line="260" w:lineRule="exact"/>
            </w:pPr>
            <w:r>
              <w:t>燃煤锅炉</w:t>
            </w:r>
          </w:p>
        </w:tc>
        <w:tc>
          <w:tcPr>
            <w:tcW w:w="263" w:type="pct"/>
            <w:shd w:val="clear" w:color="auto" w:fill="auto"/>
            <w:vAlign w:val="center"/>
          </w:tcPr>
          <w:p w14:paraId="0A28BD3B" w14:textId="77777777" w:rsidR="002E474C" w:rsidRDefault="00000000">
            <w:pPr>
              <w:pStyle w:val="A-"/>
              <w:spacing w:line="260" w:lineRule="exact"/>
            </w:pPr>
            <w:r>
              <w:t>4773</w:t>
            </w:r>
          </w:p>
        </w:tc>
        <w:tc>
          <w:tcPr>
            <w:tcW w:w="263" w:type="pct"/>
            <w:shd w:val="clear" w:color="auto" w:fill="auto"/>
            <w:vAlign w:val="center"/>
          </w:tcPr>
          <w:p w14:paraId="57F03FBF" w14:textId="77777777" w:rsidR="002E474C" w:rsidRDefault="00000000">
            <w:pPr>
              <w:pStyle w:val="A-"/>
              <w:spacing w:line="260" w:lineRule="exact"/>
            </w:pPr>
            <w:r>
              <w:t>-821</w:t>
            </w:r>
          </w:p>
        </w:tc>
        <w:tc>
          <w:tcPr>
            <w:tcW w:w="480" w:type="pct"/>
            <w:noWrap/>
            <w:vAlign w:val="center"/>
          </w:tcPr>
          <w:p w14:paraId="36CA6EE2" w14:textId="77777777" w:rsidR="002E474C" w:rsidRDefault="00000000">
            <w:pPr>
              <w:pStyle w:val="A-"/>
              <w:spacing w:line="260" w:lineRule="exact"/>
            </w:pPr>
            <w:r>
              <w:t>60</w:t>
            </w:r>
          </w:p>
        </w:tc>
        <w:tc>
          <w:tcPr>
            <w:tcW w:w="480" w:type="pct"/>
            <w:noWrap/>
            <w:vAlign w:val="center"/>
          </w:tcPr>
          <w:p w14:paraId="0F0CAE8B" w14:textId="77777777" w:rsidR="002E474C" w:rsidRDefault="00000000">
            <w:pPr>
              <w:pStyle w:val="A-"/>
              <w:spacing w:line="260" w:lineRule="exact"/>
            </w:pPr>
            <w:r>
              <w:t>3</w:t>
            </w:r>
          </w:p>
        </w:tc>
        <w:tc>
          <w:tcPr>
            <w:tcW w:w="575" w:type="pct"/>
            <w:noWrap/>
            <w:vAlign w:val="center"/>
          </w:tcPr>
          <w:p w14:paraId="7490C72F" w14:textId="77777777" w:rsidR="002E474C" w:rsidRDefault="00000000">
            <w:pPr>
              <w:pStyle w:val="A-"/>
              <w:spacing w:line="260" w:lineRule="exact"/>
            </w:pPr>
            <w:r>
              <w:t>80</w:t>
            </w:r>
          </w:p>
        </w:tc>
        <w:tc>
          <w:tcPr>
            <w:tcW w:w="384" w:type="pct"/>
            <w:vAlign w:val="center"/>
          </w:tcPr>
          <w:p w14:paraId="71365B38" w14:textId="77777777" w:rsidR="002E474C" w:rsidRDefault="00000000">
            <w:pPr>
              <w:pStyle w:val="A-"/>
              <w:spacing w:line="260" w:lineRule="exact"/>
            </w:pPr>
            <w:r>
              <w:t>230827.6</w:t>
            </w:r>
          </w:p>
        </w:tc>
        <w:tc>
          <w:tcPr>
            <w:tcW w:w="289" w:type="pct"/>
            <w:noWrap/>
            <w:vAlign w:val="center"/>
          </w:tcPr>
          <w:p w14:paraId="4D566B01" w14:textId="77777777" w:rsidR="002E474C" w:rsidRDefault="00000000">
            <w:pPr>
              <w:pStyle w:val="A-"/>
              <w:spacing w:line="260" w:lineRule="exact"/>
            </w:pPr>
            <w:r>
              <w:t>/</w:t>
            </w:r>
          </w:p>
        </w:tc>
        <w:tc>
          <w:tcPr>
            <w:tcW w:w="171" w:type="pct"/>
            <w:vAlign w:val="center"/>
          </w:tcPr>
          <w:p w14:paraId="0753E25A" w14:textId="77777777" w:rsidR="002E474C" w:rsidRDefault="00000000">
            <w:pPr>
              <w:pStyle w:val="A-"/>
              <w:spacing w:line="260" w:lineRule="exact"/>
            </w:pPr>
            <w:r>
              <w:t>/</w:t>
            </w:r>
          </w:p>
        </w:tc>
        <w:tc>
          <w:tcPr>
            <w:tcW w:w="290" w:type="pct"/>
            <w:vAlign w:val="center"/>
          </w:tcPr>
          <w:p w14:paraId="381F5A22" w14:textId="77777777" w:rsidR="002E474C" w:rsidRDefault="00000000">
            <w:pPr>
              <w:pStyle w:val="A-"/>
              <w:spacing w:line="260" w:lineRule="exact"/>
            </w:pPr>
            <w:r>
              <w:t>/</w:t>
            </w:r>
          </w:p>
        </w:tc>
        <w:tc>
          <w:tcPr>
            <w:tcW w:w="267" w:type="pct"/>
            <w:vAlign w:val="center"/>
          </w:tcPr>
          <w:p w14:paraId="25D1901D" w14:textId="77777777" w:rsidR="002E474C" w:rsidRDefault="00000000">
            <w:pPr>
              <w:pStyle w:val="A-"/>
              <w:spacing w:line="260" w:lineRule="exact"/>
            </w:pPr>
            <w:r>
              <w:t>0.0004</w:t>
            </w:r>
          </w:p>
        </w:tc>
      </w:tr>
      <w:tr w:rsidR="002E474C" w14:paraId="453F0950" w14:textId="77777777">
        <w:trPr>
          <w:trHeight w:val="283"/>
          <w:jc w:val="center"/>
        </w:trPr>
        <w:tc>
          <w:tcPr>
            <w:tcW w:w="195" w:type="pct"/>
            <w:noWrap/>
            <w:vAlign w:val="center"/>
          </w:tcPr>
          <w:p w14:paraId="517EC9A6" w14:textId="77777777" w:rsidR="002E474C" w:rsidRDefault="00000000">
            <w:pPr>
              <w:pStyle w:val="A-"/>
              <w:spacing w:line="260" w:lineRule="exact"/>
            </w:pPr>
            <w:r>
              <w:rPr>
                <w:rFonts w:hint="eastAsia"/>
              </w:rPr>
              <w:t>5</w:t>
            </w:r>
          </w:p>
        </w:tc>
        <w:tc>
          <w:tcPr>
            <w:tcW w:w="1336" w:type="pct"/>
            <w:noWrap/>
            <w:vAlign w:val="center"/>
          </w:tcPr>
          <w:p w14:paraId="080AC24B" w14:textId="77777777" w:rsidR="002E474C" w:rsidRDefault="00000000">
            <w:pPr>
              <w:pStyle w:val="A-"/>
              <w:spacing w:line="260" w:lineRule="exact"/>
            </w:pPr>
            <w:r>
              <w:t>一期</w:t>
            </w:r>
            <w:r>
              <w:t>RTO</w:t>
            </w:r>
            <w:r>
              <w:t>焚烧炉</w:t>
            </w:r>
          </w:p>
        </w:tc>
        <w:tc>
          <w:tcPr>
            <w:tcW w:w="263" w:type="pct"/>
            <w:shd w:val="clear" w:color="auto" w:fill="auto"/>
            <w:vAlign w:val="center"/>
          </w:tcPr>
          <w:p w14:paraId="1FCC7AAF" w14:textId="77777777" w:rsidR="002E474C" w:rsidRDefault="00000000">
            <w:pPr>
              <w:pStyle w:val="A-"/>
              <w:spacing w:line="260" w:lineRule="exact"/>
            </w:pPr>
            <w:r>
              <w:t>4404</w:t>
            </w:r>
          </w:p>
        </w:tc>
        <w:tc>
          <w:tcPr>
            <w:tcW w:w="263" w:type="pct"/>
            <w:shd w:val="clear" w:color="auto" w:fill="auto"/>
            <w:vAlign w:val="center"/>
          </w:tcPr>
          <w:p w14:paraId="028B5156" w14:textId="77777777" w:rsidR="002E474C" w:rsidRDefault="00000000">
            <w:pPr>
              <w:pStyle w:val="A-"/>
              <w:spacing w:line="260" w:lineRule="exact"/>
            </w:pPr>
            <w:r>
              <w:t>-979</w:t>
            </w:r>
          </w:p>
        </w:tc>
        <w:tc>
          <w:tcPr>
            <w:tcW w:w="480" w:type="pct"/>
            <w:noWrap/>
            <w:vAlign w:val="center"/>
          </w:tcPr>
          <w:p w14:paraId="35BC07D7" w14:textId="77777777" w:rsidR="002E474C" w:rsidRDefault="00000000">
            <w:pPr>
              <w:pStyle w:val="A-"/>
              <w:spacing w:line="260" w:lineRule="exact"/>
            </w:pPr>
            <w:r>
              <w:t>35</w:t>
            </w:r>
          </w:p>
        </w:tc>
        <w:tc>
          <w:tcPr>
            <w:tcW w:w="480" w:type="pct"/>
            <w:noWrap/>
            <w:vAlign w:val="center"/>
          </w:tcPr>
          <w:p w14:paraId="09859469" w14:textId="77777777" w:rsidR="002E474C" w:rsidRDefault="00000000">
            <w:pPr>
              <w:pStyle w:val="A-"/>
              <w:spacing w:line="260" w:lineRule="exact"/>
            </w:pPr>
            <w:r>
              <w:t>2</w:t>
            </w:r>
          </w:p>
        </w:tc>
        <w:tc>
          <w:tcPr>
            <w:tcW w:w="575" w:type="pct"/>
            <w:noWrap/>
            <w:vAlign w:val="center"/>
          </w:tcPr>
          <w:p w14:paraId="649B2755" w14:textId="77777777" w:rsidR="002E474C" w:rsidRDefault="00000000">
            <w:pPr>
              <w:pStyle w:val="A-"/>
              <w:spacing w:line="260" w:lineRule="exact"/>
            </w:pPr>
            <w:r>
              <w:t>170</w:t>
            </w:r>
          </w:p>
        </w:tc>
        <w:tc>
          <w:tcPr>
            <w:tcW w:w="384" w:type="pct"/>
            <w:vAlign w:val="center"/>
          </w:tcPr>
          <w:p w14:paraId="2F40C1A5" w14:textId="77777777" w:rsidR="002E474C" w:rsidRDefault="00000000">
            <w:pPr>
              <w:pStyle w:val="A-"/>
              <w:spacing w:line="260" w:lineRule="exact"/>
            </w:pPr>
            <w:r>
              <w:t>110000</w:t>
            </w:r>
          </w:p>
        </w:tc>
        <w:tc>
          <w:tcPr>
            <w:tcW w:w="289" w:type="pct"/>
            <w:noWrap/>
            <w:vAlign w:val="center"/>
          </w:tcPr>
          <w:p w14:paraId="6251A1A5" w14:textId="77777777" w:rsidR="002E474C" w:rsidRDefault="00000000">
            <w:pPr>
              <w:pStyle w:val="A-"/>
              <w:spacing w:line="260" w:lineRule="exact"/>
            </w:pPr>
            <w:r>
              <w:t>/</w:t>
            </w:r>
          </w:p>
        </w:tc>
        <w:tc>
          <w:tcPr>
            <w:tcW w:w="171" w:type="pct"/>
            <w:vAlign w:val="center"/>
          </w:tcPr>
          <w:p w14:paraId="70B31473" w14:textId="77777777" w:rsidR="002E474C" w:rsidRDefault="00000000">
            <w:pPr>
              <w:pStyle w:val="A-"/>
              <w:spacing w:line="260" w:lineRule="exact"/>
            </w:pPr>
            <w:r>
              <w:t>/</w:t>
            </w:r>
          </w:p>
        </w:tc>
        <w:tc>
          <w:tcPr>
            <w:tcW w:w="290" w:type="pct"/>
            <w:vAlign w:val="center"/>
          </w:tcPr>
          <w:p w14:paraId="212473FE" w14:textId="77777777" w:rsidR="002E474C" w:rsidRDefault="00000000">
            <w:pPr>
              <w:pStyle w:val="A-"/>
              <w:spacing w:line="260" w:lineRule="exact"/>
            </w:pPr>
            <w:r>
              <w:t>2.382</w:t>
            </w:r>
          </w:p>
        </w:tc>
        <w:tc>
          <w:tcPr>
            <w:tcW w:w="267" w:type="pct"/>
            <w:vAlign w:val="center"/>
          </w:tcPr>
          <w:p w14:paraId="0E82A6A0" w14:textId="77777777" w:rsidR="002E474C" w:rsidRDefault="00000000">
            <w:pPr>
              <w:pStyle w:val="A-"/>
              <w:spacing w:line="260" w:lineRule="exact"/>
            </w:pPr>
            <w:r>
              <w:t>/</w:t>
            </w:r>
          </w:p>
        </w:tc>
      </w:tr>
      <w:tr w:rsidR="002E474C" w14:paraId="62DFFD3A" w14:textId="77777777">
        <w:trPr>
          <w:trHeight w:val="283"/>
          <w:jc w:val="center"/>
        </w:trPr>
        <w:tc>
          <w:tcPr>
            <w:tcW w:w="195" w:type="pct"/>
            <w:noWrap/>
            <w:vAlign w:val="center"/>
          </w:tcPr>
          <w:p w14:paraId="1E551CF4" w14:textId="77777777" w:rsidR="002E474C" w:rsidRDefault="00000000">
            <w:pPr>
              <w:pStyle w:val="A-"/>
              <w:spacing w:line="260" w:lineRule="exact"/>
            </w:pPr>
            <w:r>
              <w:rPr>
                <w:rFonts w:hint="eastAsia"/>
              </w:rPr>
              <w:t>6</w:t>
            </w:r>
          </w:p>
        </w:tc>
        <w:tc>
          <w:tcPr>
            <w:tcW w:w="1336" w:type="pct"/>
            <w:noWrap/>
            <w:vAlign w:val="center"/>
          </w:tcPr>
          <w:p w14:paraId="42447CC8" w14:textId="77777777" w:rsidR="002E474C" w:rsidRDefault="00000000">
            <w:pPr>
              <w:pStyle w:val="A-"/>
              <w:spacing w:line="260" w:lineRule="exact"/>
            </w:pPr>
            <w:r>
              <w:t>二期脱硫再生尾气</w:t>
            </w:r>
          </w:p>
        </w:tc>
        <w:tc>
          <w:tcPr>
            <w:tcW w:w="263" w:type="pct"/>
            <w:shd w:val="clear" w:color="auto" w:fill="auto"/>
            <w:vAlign w:val="center"/>
          </w:tcPr>
          <w:p w14:paraId="5873CAB7" w14:textId="77777777" w:rsidR="002E474C" w:rsidRDefault="00000000">
            <w:pPr>
              <w:pStyle w:val="A-"/>
              <w:spacing w:line="260" w:lineRule="exact"/>
            </w:pPr>
            <w:r>
              <w:t>5189</w:t>
            </w:r>
          </w:p>
        </w:tc>
        <w:tc>
          <w:tcPr>
            <w:tcW w:w="263" w:type="pct"/>
            <w:shd w:val="clear" w:color="auto" w:fill="auto"/>
            <w:vAlign w:val="center"/>
          </w:tcPr>
          <w:p w14:paraId="6D34A1F3" w14:textId="77777777" w:rsidR="002E474C" w:rsidRDefault="00000000">
            <w:pPr>
              <w:pStyle w:val="A-"/>
              <w:spacing w:line="260" w:lineRule="exact"/>
            </w:pPr>
            <w:r>
              <w:t>-618</w:t>
            </w:r>
          </w:p>
        </w:tc>
        <w:tc>
          <w:tcPr>
            <w:tcW w:w="480" w:type="pct"/>
            <w:noWrap/>
            <w:vAlign w:val="center"/>
          </w:tcPr>
          <w:p w14:paraId="1735CE75" w14:textId="77777777" w:rsidR="002E474C" w:rsidRDefault="00000000">
            <w:pPr>
              <w:pStyle w:val="A-"/>
              <w:spacing w:line="260" w:lineRule="exact"/>
            </w:pPr>
            <w:r>
              <w:t>15</w:t>
            </w:r>
          </w:p>
        </w:tc>
        <w:tc>
          <w:tcPr>
            <w:tcW w:w="480" w:type="pct"/>
            <w:noWrap/>
            <w:vAlign w:val="center"/>
          </w:tcPr>
          <w:p w14:paraId="063E16A1" w14:textId="77777777" w:rsidR="002E474C" w:rsidRDefault="00000000">
            <w:pPr>
              <w:pStyle w:val="A-"/>
              <w:spacing w:line="260" w:lineRule="exact"/>
            </w:pPr>
            <w:r>
              <w:t>0.5</w:t>
            </w:r>
          </w:p>
        </w:tc>
        <w:tc>
          <w:tcPr>
            <w:tcW w:w="575" w:type="pct"/>
            <w:noWrap/>
            <w:vAlign w:val="center"/>
          </w:tcPr>
          <w:p w14:paraId="16F6D3D7" w14:textId="77777777" w:rsidR="002E474C" w:rsidRDefault="00000000">
            <w:pPr>
              <w:pStyle w:val="A-"/>
              <w:spacing w:line="260" w:lineRule="exact"/>
            </w:pPr>
            <w:r>
              <w:t>30</w:t>
            </w:r>
          </w:p>
        </w:tc>
        <w:tc>
          <w:tcPr>
            <w:tcW w:w="384" w:type="pct"/>
            <w:vAlign w:val="center"/>
          </w:tcPr>
          <w:p w14:paraId="16299F2C" w14:textId="77777777" w:rsidR="002E474C" w:rsidRDefault="00000000">
            <w:pPr>
              <w:pStyle w:val="A-"/>
              <w:spacing w:line="260" w:lineRule="exact"/>
            </w:pPr>
            <w:r>
              <w:t>7428.5</w:t>
            </w:r>
          </w:p>
        </w:tc>
        <w:tc>
          <w:tcPr>
            <w:tcW w:w="289" w:type="pct"/>
            <w:noWrap/>
            <w:vAlign w:val="center"/>
          </w:tcPr>
          <w:p w14:paraId="55CC1A13" w14:textId="77777777" w:rsidR="002E474C" w:rsidRDefault="00000000">
            <w:pPr>
              <w:pStyle w:val="A-"/>
              <w:spacing w:line="260" w:lineRule="exact"/>
            </w:pPr>
            <w:r>
              <w:t>0.022</w:t>
            </w:r>
          </w:p>
        </w:tc>
        <w:tc>
          <w:tcPr>
            <w:tcW w:w="171" w:type="pct"/>
            <w:vAlign w:val="center"/>
          </w:tcPr>
          <w:p w14:paraId="1211227F" w14:textId="77777777" w:rsidR="002E474C" w:rsidRDefault="00000000">
            <w:pPr>
              <w:pStyle w:val="A-"/>
              <w:spacing w:line="260" w:lineRule="exact"/>
            </w:pPr>
            <w:r>
              <w:t>/</w:t>
            </w:r>
          </w:p>
        </w:tc>
        <w:tc>
          <w:tcPr>
            <w:tcW w:w="290" w:type="pct"/>
            <w:vAlign w:val="center"/>
          </w:tcPr>
          <w:p w14:paraId="36652293" w14:textId="77777777" w:rsidR="002E474C" w:rsidRDefault="00000000">
            <w:pPr>
              <w:pStyle w:val="A-"/>
              <w:spacing w:line="260" w:lineRule="exact"/>
            </w:pPr>
            <w:r>
              <w:t>/</w:t>
            </w:r>
          </w:p>
        </w:tc>
        <w:tc>
          <w:tcPr>
            <w:tcW w:w="267" w:type="pct"/>
            <w:vAlign w:val="center"/>
          </w:tcPr>
          <w:p w14:paraId="60EC4355" w14:textId="77777777" w:rsidR="002E474C" w:rsidRDefault="00000000">
            <w:pPr>
              <w:pStyle w:val="A-"/>
              <w:spacing w:line="260" w:lineRule="exact"/>
            </w:pPr>
            <w:r>
              <w:t>/</w:t>
            </w:r>
          </w:p>
        </w:tc>
      </w:tr>
      <w:tr w:rsidR="002E474C" w14:paraId="7E6E374F" w14:textId="77777777">
        <w:trPr>
          <w:trHeight w:val="283"/>
          <w:jc w:val="center"/>
        </w:trPr>
        <w:tc>
          <w:tcPr>
            <w:tcW w:w="195" w:type="pct"/>
            <w:noWrap/>
            <w:vAlign w:val="center"/>
          </w:tcPr>
          <w:p w14:paraId="460282BF" w14:textId="77777777" w:rsidR="002E474C" w:rsidRDefault="00000000">
            <w:pPr>
              <w:pStyle w:val="A-"/>
              <w:spacing w:line="260" w:lineRule="exact"/>
            </w:pPr>
            <w:r>
              <w:rPr>
                <w:rFonts w:hint="eastAsia"/>
              </w:rPr>
              <w:t>7</w:t>
            </w:r>
          </w:p>
        </w:tc>
        <w:tc>
          <w:tcPr>
            <w:tcW w:w="1336" w:type="pct"/>
            <w:noWrap/>
            <w:vAlign w:val="center"/>
          </w:tcPr>
          <w:p w14:paraId="695EA9B5" w14:textId="77777777" w:rsidR="002E474C" w:rsidRDefault="00000000">
            <w:pPr>
              <w:pStyle w:val="A-"/>
              <w:spacing w:line="260" w:lineRule="exact"/>
            </w:pPr>
            <w:r>
              <w:t>二期脱硫再生尾气</w:t>
            </w:r>
          </w:p>
        </w:tc>
        <w:tc>
          <w:tcPr>
            <w:tcW w:w="263" w:type="pct"/>
            <w:shd w:val="clear" w:color="auto" w:fill="auto"/>
            <w:vAlign w:val="center"/>
          </w:tcPr>
          <w:p w14:paraId="6FA17A2A" w14:textId="77777777" w:rsidR="002E474C" w:rsidRDefault="00000000">
            <w:pPr>
              <w:pStyle w:val="A-"/>
              <w:spacing w:line="260" w:lineRule="exact"/>
            </w:pPr>
            <w:r>
              <w:t>5282</w:t>
            </w:r>
          </w:p>
        </w:tc>
        <w:tc>
          <w:tcPr>
            <w:tcW w:w="263" w:type="pct"/>
            <w:shd w:val="clear" w:color="auto" w:fill="auto"/>
            <w:vAlign w:val="center"/>
          </w:tcPr>
          <w:p w14:paraId="20D88F4D" w14:textId="77777777" w:rsidR="002E474C" w:rsidRDefault="00000000">
            <w:pPr>
              <w:pStyle w:val="A-"/>
              <w:spacing w:line="260" w:lineRule="exact"/>
            </w:pPr>
            <w:r>
              <w:t>-757</w:t>
            </w:r>
          </w:p>
        </w:tc>
        <w:tc>
          <w:tcPr>
            <w:tcW w:w="480" w:type="pct"/>
            <w:noWrap/>
            <w:vAlign w:val="center"/>
          </w:tcPr>
          <w:p w14:paraId="2EFE4222" w14:textId="77777777" w:rsidR="002E474C" w:rsidRDefault="00000000">
            <w:pPr>
              <w:pStyle w:val="A-"/>
              <w:spacing w:line="260" w:lineRule="exact"/>
            </w:pPr>
            <w:r>
              <w:t>15</w:t>
            </w:r>
          </w:p>
        </w:tc>
        <w:tc>
          <w:tcPr>
            <w:tcW w:w="480" w:type="pct"/>
            <w:noWrap/>
            <w:vAlign w:val="center"/>
          </w:tcPr>
          <w:p w14:paraId="6B3BDEED" w14:textId="77777777" w:rsidR="002E474C" w:rsidRDefault="00000000">
            <w:pPr>
              <w:pStyle w:val="A-"/>
              <w:spacing w:line="260" w:lineRule="exact"/>
            </w:pPr>
            <w:r>
              <w:t>0.5</w:t>
            </w:r>
          </w:p>
        </w:tc>
        <w:tc>
          <w:tcPr>
            <w:tcW w:w="575" w:type="pct"/>
            <w:noWrap/>
            <w:vAlign w:val="center"/>
          </w:tcPr>
          <w:p w14:paraId="72E41C5C" w14:textId="77777777" w:rsidR="002E474C" w:rsidRDefault="00000000">
            <w:pPr>
              <w:pStyle w:val="A-"/>
              <w:spacing w:line="260" w:lineRule="exact"/>
            </w:pPr>
            <w:r>
              <w:t>20</w:t>
            </w:r>
          </w:p>
        </w:tc>
        <w:tc>
          <w:tcPr>
            <w:tcW w:w="384" w:type="pct"/>
            <w:vAlign w:val="center"/>
          </w:tcPr>
          <w:p w14:paraId="3420F5C6" w14:textId="77777777" w:rsidR="002E474C" w:rsidRDefault="00000000">
            <w:pPr>
              <w:pStyle w:val="A-"/>
              <w:spacing w:line="260" w:lineRule="exact"/>
            </w:pPr>
            <w:r>
              <w:t>387.83</w:t>
            </w:r>
          </w:p>
        </w:tc>
        <w:tc>
          <w:tcPr>
            <w:tcW w:w="289" w:type="pct"/>
            <w:noWrap/>
            <w:vAlign w:val="center"/>
          </w:tcPr>
          <w:p w14:paraId="6F818C9C" w14:textId="77777777" w:rsidR="002E474C" w:rsidRDefault="00000000">
            <w:pPr>
              <w:pStyle w:val="A-"/>
              <w:spacing w:line="260" w:lineRule="exact"/>
            </w:pPr>
            <w:r>
              <w:t>0.001</w:t>
            </w:r>
          </w:p>
        </w:tc>
        <w:tc>
          <w:tcPr>
            <w:tcW w:w="171" w:type="pct"/>
            <w:vAlign w:val="center"/>
          </w:tcPr>
          <w:p w14:paraId="57FC3B26" w14:textId="77777777" w:rsidR="002E474C" w:rsidRDefault="00000000">
            <w:pPr>
              <w:pStyle w:val="A-"/>
              <w:spacing w:line="260" w:lineRule="exact"/>
            </w:pPr>
            <w:r>
              <w:t>/</w:t>
            </w:r>
          </w:p>
        </w:tc>
        <w:tc>
          <w:tcPr>
            <w:tcW w:w="290" w:type="pct"/>
            <w:vAlign w:val="center"/>
          </w:tcPr>
          <w:p w14:paraId="02761207" w14:textId="77777777" w:rsidR="002E474C" w:rsidRDefault="00000000">
            <w:pPr>
              <w:pStyle w:val="A-"/>
              <w:spacing w:line="260" w:lineRule="exact"/>
            </w:pPr>
            <w:r>
              <w:t>/</w:t>
            </w:r>
          </w:p>
        </w:tc>
        <w:tc>
          <w:tcPr>
            <w:tcW w:w="267" w:type="pct"/>
            <w:vAlign w:val="center"/>
          </w:tcPr>
          <w:p w14:paraId="069E3544" w14:textId="77777777" w:rsidR="002E474C" w:rsidRDefault="00000000">
            <w:pPr>
              <w:pStyle w:val="A-"/>
              <w:spacing w:line="260" w:lineRule="exact"/>
            </w:pPr>
            <w:r>
              <w:t>/</w:t>
            </w:r>
          </w:p>
        </w:tc>
      </w:tr>
      <w:tr w:rsidR="002E474C" w14:paraId="5F3148DC" w14:textId="77777777">
        <w:trPr>
          <w:trHeight w:val="283"/>
          <w:jc w:val="center"/>
        </w:trPr>
        <w:tc>
          <w:tcPr>
            <w:tcW w:w="195" w:type="pct"/>
            <w:noWrap/>
            <w:vAlign w:val="center"/>
          </w:tcPr>
          <w:p w14:paraId="654CDF14" w14:textId="77777777" w:rsidR="002E474C" w:rsidRDefault="00000000">
            <w:pPr>
              <w:pStyle w:val="A-"/>
              <w:spacing w:line="260" w:lineRule="exact"/>
            </w:pPr>
            <w:r>
              <w:rPr>
                <w:rFonts w:hint="eastAsia"/>
              </w:rPr>
              <w:t>8</w:t>
            </w:r>
          </w:p>
        </w:tc>
        <w:tc>
          <w:tcPr>
            <w:tcW w:w="1336" w:type="pct"/>
            <w:noWrap/>
            <w:vAlign w:val="center"/>
          </w:tcPr>
          <w:p w14:paraId="5116E9E4" w14:textId="77777777" w:rsidR="002E474C" w:rsidRDefault="00000000">
            <w:pPr>
              <w:pStyle w:val="A-"/>
              <w:spacing w:line="260" w:lineRule="exact"/>
            </w:pPr>
            <w:r>
              <w:t>二期污水处理站</w:t>
            </w:r>
          </w:p>
        </w:tc>
        <w:tc>
          <w:tcPr>
            <w:tcW w:w="263" w:type="pct"/>
            <w:shd w:val="clear" w:color="auto" w:fill="auto"/>
            <w:vAlign w:val="center"/>
          </w:tcPr>
          <w:p w14:paraId="7717B1AE" w14:textId="77777777" w:rsidR="002E474C" w:rsidRDefault="00000000">
            <w:pPr>
              <w:pStyle w:val="A-"/>
              <w:spacing w:line="260" w:lineRule="exact"/>
            </w:pPr>
            <w:r>
              <w:t>5365</w:t>
            </w:r>
          </w:p>
        </w:tc>
        <w:tc>
          <w:tcPr>
            <w:tcW w:w="263" w:type="pct"/>
            <w:shd w:val="clear" w:color="auto" w:fill="auto"/>
            <w:vAlign w:val="center"/>
          </w:tcPr>
          <w:p w14:paraId="630868F4" w14:textId="77777777" w:rsidR="002E474C" w:rsidRDefault="00000000">
            <w:pPr>
              <w:pStyle w:val="A-"/>
              <w:spacing w:line="260" w:lineRule="exact"/>
            </w:pPr>
            <w:r>
              <w:t>-1348</w:t>
            </w:r>
          </w:p>
        </w:tc>
        <w:tc>
          <w:tcPr>
            <w:tcW w:w="480" w:type="pct"/>
            <w:noWrap/>
            <w:vAlign w:val="center"/>
          </w:tcPr>
          <w:p w14:paraId="54AF4583" w14:textId="77777777" w:rsidR="002E474C" w:rsidRDefault="00000000">
            <w:pPr>
              <w:pStyle w:val="A-"/>
              <w:spacing w:line="260" w:lineRule="exact"/>
            </w:pPr>
            <w:r>
              <w:t>15</w:t>
            </w:r>
          </w:p>
        </w:tc>
        <w:tc>
          <w:tcPr>
            <w:tcW w:w="480" w:type="pct"/>
            <w:noWrap/>
            <w:vAlign w:val="center"/>
          </w:tcPr>
          <w:p w14:paraId="630A8981" w14:textId="77777777" w:rsidR="002E474C" w:rsidRDefault="00000000">
            <w:pPr>
              <w:pStyle w:val="A-"/>
              <w:spacing w:line="260" w:lineRule="exact"/>
            </w:pPr>
            <w:r>
              <w:t>1</w:t>
            </w:r>
          </w:p>
        </w:tc>
        <w:tc>
          <w:tcPr>
            <w:tcW w:w="575" w:type="pct"/>
            <w:noWrap/>
            <w:vAlign w:val="center"/>
          </w:tcPr>
          <w:p w14:paraId="264A0EAE" w14:textId="77777777" w:rsidR="002E474C" w:rsidRDefault="00000000">
            <w:pPr>
              <w:pStyle w:val="A-"/>
              <w:spacing w:line="260" w:lineRule="exact"/>
            </w:pPr>
            <w:r>
              <w:t>30</w:t>
            </w:r>
          </w:p>
        </w:tc>
        <w:tc>
          <w:tcPr>
            <w:tcW w:w="384" w:type="pct"/>
            <w:vAlign w:val="center"/>
          </w:tcPr>
          <w:p w14:paraId="0221E382" w14:textId="77777777" w:rsidR="002E474C" w:rsidRDefault="00000000">
            <w:pPr>
              <w:pStyle w:val="A-"/>
              <w:spacing w:line="260" w:lineRule="exact"/>
            </w:pPr>
            <w:r>
              <w:t>30000</w:t>
            </w:r>
          </w:p>
        </w:tc>
        <w:tc>
          <w:tcPr>
            <w:tcW w:w="289" w:type="pct"/>
            <w:noWrap/>
            <w:vAlign w:val="center"/>
          </w:tcPr>
          <w:p w14:paraId="6921B1D7" w14:textId="77777777" w:rsidR="002E474C" w:rsidRDefault="00000000">
            <w:pPr>
              <w:pStyle w:val="A-"/>
              <w:spacing w:line="260" w:lineRule="exact"/>
            </w:pPr>
            <w:r>
              <w:t>0.03</w:t>
            </w:r>
          </w:p>
        </w:tc>
        <w:tc>
          <w:tcPr>
            <w:tcW w:w="171" w:type="pct"/>
            <w:vAlign w:val="center"/>
          </w:tcPr>
          <w:p w14:paraId="4CB0671D" w14:textId="77777777" w:rsidR="002E474C" w:rsidRDefault="00000000">
            <w:pPr>
              <w:pStyle w:val="A-"/>
              <w:spacing w:line="260" w:lineRule="exact"/>
            </w:pPr>
            <w:r>
              <w:t>0.06</w:t>
            </w:r>
          </w:p>
        </w:tc>
        <w:tc>
          <w:tcPr>
            <w:tcW w:w="290" w:type="pct"/>
            <w:vAlign w:val="center"/>
          </w:tcPr>
          <w:p w14:paraId="2670A47F" w14:textId="77777777" w:rsidR="002E474C" w:rsidRDefault="00000000">
            <w:pPr>
              <w:pStyle w:val="A-"/>
              <w:spacing w:line="260" w:lineRule="exact"/>
            </w:pPr>
            <w:r>
              <w:t>1.45</w:t>
            </w:r>
          </w:p>
        </w:tc>
        <w:tc>
          <w:tcPr>
            <w:tcW w:w="267" w:type="pct"/>
            <w:vAlign w:val="center"/>
          </w:tcPr>
          <w:p w14:paraId="4A635143" w14:textId="77777777" w:rsidR="002E474C" w:rsidRDefault="00000000">
            <w:pPr>
              <w:pStyle w:val="A-"/>
              <w:spacing w:line="260" w:lineRule="exact"/>
            </w:pPr>
            <w:r>
              <w:t>/</w:t>
            </w:r>
          </w:p>
        </w:tc>
      </w:tr>
      <w:tr w:rsidR="002E474C" w14:paraId="07DC5FA7" w14:textId="77777777">
        <w:trPr>
          <w:trHeight w:val="283"/>
          <w:jc w:val="center"/>
        </w:trPr>
        <w:tc>
          <w:tcPr>
            <w:tcW w:w="195" w:type="pct"/>
            <w:noWrap/>
            <w:vAlign w:val="center"/>
          </w:tcPr>
          <w:p w14:paraId="00C511BE" w14:textId="77777777" w:rsidR="002E474C" w:rsidRDefault="00000000">
            <w:pPr>
              <w:pStyle w:val="A-"/>
              <w:spacing w:line="260" w:lineRule="exact"/>
            </w:pPr>
            <w:r>
              <w:rPr>
                <w:rFonts w:hint="eastAsia"/>
              </w:rPr>
              <w:t>9</w:t>
            </w:r>
          </w:p>
        </w:tc>
        <w:tc>
          <w:tcPr>
            <w:tcW w:w="1336" w:type="pct"/>
            <w:noWrap/>
            <w:vAlign w:val="center"/>
          </w:tcPr>
          <w:p w14:paraId="23465621" w14:textId="77777777" w:rsidR="002E474C" w:rsidRDefault="00000000">
            <w:pPr>
              <w:pStyle w:val="A-"/>
              <w:spacing w:line="260" w:lineRule="exact"/>
            </w:pPr>
            <w:r>
              <w:t>二期</w:t>
            </w:r>
            <w:r>
              <w:t>RTO</w:t>
            </w:r>
            <w:r>
              <w:t>焚烧炉</w:t>
            </w:r>
          </w:p>
        </w:tc>
        <w:tc>
          <w:tcPr>
            <w:tcW w:w="263" w:type="pct"/>
            <w:shd w:val="clear" w:color="auto" w:fill="auto"/>
            <w:vAlign w:val="center"/>
          </w:tcPr>
          <w:p w14:paraId="5C62FAFE" w14:textId="77777777" w:rsidR="002E474C" w:rsidRDefault="00000000">
            <w:pPr>
              <w:pStyle w:val="A-"/>
              <w:spacing w:line="260" w:lineRule="exact"/>
            </w:pPr>
            <w:r>
              <w:t>5291</w:t>
            </w:r>
          </w:p>
        </w:tc>
        <w:tc>
          <w:tcPr>
            <w:tcW w:w="263" w:type="pct"/>
            <w:shd w:val="clear" w:color="auto" w:fill="auto"/>
            <w:vAlign w:val="center"/>
          </w:tcPr>
          <w:p w14:paraId="5C43C0CB" w14:textId="77777777" w:rsidR="002E474C" w:rsidRDefault="00000000">
            <w:pPr>
              <w:pStyle w:val="A-"/>
              <w:spacing w:line="260" w:lineRule="exact"/>
            </w:pPr>
            <w:r>
              <w:t>-1182</w:t>
            </w:r>
          </w:p>
        </w:tc>
        <w:tc>
          <w:tcPr>
            <w:tcW w:w="480" w:type="pct"/>
            <w:noWrap/>
            <w:vAlign w:val="center"/>
          </w:tcPr>
          <w:p w14:paraId="2E481E17" w14:textId="77777777" w:rsidR="002E474C" w:rsidRDefault="00000000">
            <w:pPr>
              <w:pStyle w:val="A-"/>
              <w:spacing w:line="260" w:lineRule="exact"/>
            </w:pPr>
            <w:r>
              <w:t>35</w:t>
            </w:r>
          </w:p>
        </w:tc>
        <w:tc>
          <w:tcPr>
            <w:tcW w:w="480" w:type="pct"/>
            <w:noWrap/>
            <w:vAlign w:val="center"/>
          </w:tcPr>
          <w:p w14:paraId="1FB712E0" w14:textId="77777777" w:rsidR="002E474C" w:rsidRDefault="00000000">
            <w:pPr>
              <w:pStyle w:val="A-"/>
              <w:spacing w:line="260" w:lineRule="exact"/>
            </w:pPr>
            <w:r>
              <w:t>2</w:t>
            </w:r>
          </w:p>
        </w:tc>
        <w:tc>
          <w:tcPr>
            <w:tcW w:w="575" w:type="pct"/>
            <w:noWrap/>
            <w:vAlign w:val="center"/>
          </w:tcPr>
          <w:p w14:paraId="4D5BEFE5" w14:textId="77777777" w:rsidR="002E474C" w:rsidRDefault="00000000">
            <w:pPr>
              <w:pStyle w:val="A-"/>
              <w:spacing w:line="260" w:lineRule="exact"/>
            </w:pPr>
            <w:r>
              <w:t>170</w:t>
            </w:r>
          </w:p>
        </w:tc>
        <w:tc>
          <w:tcPr>
            <w:tcW w:w="384" w:type="pct"/>
            <w:vAlign w:val="center"/>
          </w:tcPr>
          <w:p w14:paraId="5B0EF9D5" w14:textId="77777777" w:rsidR="002E474C" w:rsidRDefault="00000000">
            <w:pPr>
              <w:pStyle w:val="A-"/>
              <w:spacing w:line="260" w:lineRule="exact"/>
            </w:pPr>
            <w:r>
              <w:t>95000</w:t>
            </w:r>
          </w:p>
        </w:tc>
        <w:tc>
          <w:tcPr>
            <w:tcW w:w="289" w:type="pct"/>
            <w:noWrap/>
            <w:vAlign w:val="center"/>
          </w:tcPr>
          <w:p w14:paraId="689351D1" w14:textId="77777777" w:rsidR="002E474C" w:rsidRDefault="00000000">
            <w:pPr>
              <w:pStyle w:val="A-"/>
              <w:spacing w:line="260" w:lineRule="exact"/>
            </w:pPr>
            <w:r>
              <w:t>/</w:t>
            </w:r>
          </w:p>
        </w:tc>
        <w:tc>
          <w:tcPr>
            <w:tcW w:w="171" w:type="pct"/>
            <w:vAlign w:val="center"/>
          </w:tcPr>
          <w:p w14:paraId="76B6BF46" w14:textId="77777777" w:rsidR="002E474C" w:rsidRDefault="00000000">
            <w:pPr>
              <w:pStyle w:val="A-"/>
              <w:spacing w:line="260" w:lineRule="exact"/>
            </w:pPr>
            <w:r>
              <w:t>/</w:t>
            </w:r>
          </w:p>
        </w:tc>
        <w:tc>
          <w:tcPr>
            <w:tcW w:w="290" w:type="pct"/>
            <w:vAlign w:val="center"/>
          </w:tcPr>
          <w:p w14:paraId="5BD4E666" w14:textId="77777777" w:rsidR="002E474C" w:rsidRDefault="00000000">
            <w:pPr>
              <w:pStyle w:val="A-"/>
              <w:spacing w:line="260" w:lineRule="exact"/>
            </w:pPr>
            <w:r>
              <w:t>3.21</w:t>
            </w:r>
          </w:p>
        </w:tc>
        <w:tc>
          <w:tcPr>
            <w:tcW w:w="267" w:type="pct"/>
            <w:vAlign w:val="center"/>
          </w:tcPr>
          <w:p w14:paraId="1197CE92" w14:textId="77777777" w:rsidR="002E474C" w:rsidRDefault="00000000">
            <w:pPr>
              <w:pStyle w:val="A-"/>
              <w:spacing w:line="260" w:lineRule="exact"/>
            </w:pPr>
            <w:r>
              <w:t>/</w:t>
            </w:r>
          </w:p>
        </w:tc>
      </w:tr>
    </w:tbl>
    <w:p w14:paraId="2C4E4E61" w14:textId="77777777" w:rsidR="002E474C" w:rsidRDefault="00000000">
      <w:pPr>
        <w:pStyle w:val="A--"/>
        <w:spacing w:beforeLines="0" w:before="0"/>
        <w:ind w:leftChars="0" w:left="0" w:rightChars="0" w:right="0"/>
        <w:rPr>
          <w:color w:val="auto"/>
        </w:rPr>
      </w:pPr>
      <w:r>
        <w:rPr>
          <w:color w:val="auto"/>
        </w:rPr>
        <w:t>表</w:t>
      </w:r>
      <w:r>
        <w:rPr>
          <w:color w:val="auto"/>
        </w:rPr>
        <w:t>5.1-1</w:t>
      </w:r>
      <w:r>
        <w:rPr>
          <w:rFonts w:hint="eastAsia"/>
          <w:color w:val="auto"/>
        </w:rPr>
        <w:t>4</w:t>
      </w:r>
      <w:r>
        <w:rPr>
          <w:color w:val="auto"/>
        </w:rPr>
        <w:t xml:space="preserve">    </w:t>
      </w:r>
      <w:r>
        <w:rPr>
          <w:color w:val="auto"/>
        </w:rPr>
        <w:t>在建项目面源参数表</w:t>
      </w:r>
    </w:p>
    <w:tbl>
      <w:tblPr>
        <w:tblStyle w:val="affff9"/>
        <w:tblW w:w="5000" w:type="pct"/>
        <w:jc w:val="center"/>
        <w:tblLook w:val="04A0" w:firstRow="1" w:lastRow="0" w:firstColumn="1" w:lastColumn="0" w:noHBand="0" w:noVBand="1"/>
      </w:tblPr>
      <w:tblGrid>
        <w:gridCol w:w="697"/>
        <w:gridCol w:w="3395"/>
        <w:gridCol w:w="840"/>
        <w:gridCol w:w="853"/>
        <w:gridCol w:w="1162"/>
        <w:gridCol w:w="1268"/>
        <w:gridCol w:w="1238"/>
        <w:gridCol w:w="1307"/>
        <w:gridCol w:w="857"/>
        <w:gridCol w:w="862"/>
        <w:gridCol w:w="749"/>
      </w:tblGrid>
      <w:tr w:rsidR="002E474C" w14:paraId="2A1FC286" w14:textId="77777777">
        <w:trPr>
          <w:trHeight w:val="283"/>
          <w:jc w:val="center"/>
        </w:trPr>
        <w:tc>
          <w:tcPr>
            <w:tcW w:w="263" w:type="pct"/>
            <w:vMerge w:val="restart"/>
            <w:vAlign w:val="center"/>
          </w:tcPr>
          <w:p w14:paraId="5321A85E" w14:textId="77777777" w:rsidR="002E474C" w:rsidRDefault="00000000">
            <w:pPr>
              <w:pStyle w:val="A-"/>
              <w:spacing w:line="260" w:lineRule="exact"/>
            </w:pPr>
            <w:r>
              <w:t>序号</w:t>
            </w:r>
          </w:p>
        </w:tc>
        <w:tc>
          <w:tcPr>
            <w:tcW w:w="1282" w:type="pct"/>
            <w:vMerge w:val="restart"/>
            <w:vAlign w:val="center"/>
          </w:tcPr>
          <w:p w14:paraId="4D4502C7" w14:textId="77777777" w:rsidR="002E474C" w:rsidRDefault="00000000">
            <w:pPr>
              <w:pStyle w:val="A-"/>
              <w:spacing w:line="260" w:lineRule="exact"/>
            </w:pPr>
            <w:r>
              <w:t>面源名称</w:t>
            </w:r>
          </w:p>
        </w:tc>
        <w:tc>
          <w:tcPr>
            <w:tcW w:w="639" w:type="pct"/>
            <w:gridSpan w:val="2"/>
            <w:vAlign w:val="center"/>
          </w:tcPr>
          <w:p w14:paraId="6B8863F5" w14:textId="77777777" w:rsidR="002E474C" w:rsidRDefault="00000000">
            <w:pPr>
              <w:pStyle w:val="A-"/>
              <w:spacing w:line="260" w:lineRule="exact"/>
            </w:pPr>
            <w:r>
              <w:t>面源中心坐标</w:t>
            </w:r>
          </w:p>
        </w:tc>
        <w:tc>
          <w:tcPr>
            <w:tcW w:w="439" w:type="pct"/>
            <w:vMerge w:val="restart"/>
            <w:vAlign w:val="center"/>
          </w:tcPr>
          <w:p w14:paraId="6A6F9BC6" w14:textId="77777777" w:rsidR="002E474C" w:rsidRDefault="00000000">
            <w:pPr>
              <w:pStyle w:val="A-"/>
              <w:spacing w:line="260" w:lineRule="exact"/>
            </w:pPr>
            <w:r>
              <w:t>面源长度</w:t>
            </w:r>
          </w:p>
          <w:p w14:paraId="56B7D8D0" w14:textId="77777777" w:rsidR="002E474C" w:rsidRDefault="00000000">
            <w:pPr>
              <w:pStyle w:val="A-"/>
              <w:spacing w:line="260" w:lineRule="exact"/>
            </w:pPr>
            <w:r>
              <w:t>L1</w:t>
            </w:r>
            <w:r>
              <w:rPr>
                <w:rFonts w:hint="eastAsia"/>
              </w:rPr>
              <w:t>/</w:t>
            </w:r>
            <w:r>
              <w:t>m</w:t>
            </w:r>
          </w:p>
        </w:tc>
        <w:tc>
          <w:tcPr>
            <w:tcW w:w="479" w:type="pct"/>
            <w:vMerge w:val="restart"/>
            <w:vAlign w:val="center"/>
          </w:tcPr>
          <w:p w14:paraId="66059441" w14:textId="77777777" w:rsidR="002E474C" w:rsidRDefault="00000000">
            <w:pPr>
              <w:pStyle w:val="A-"/>
              <w:spacing w:line="260" w:lineRule="exact"/>
            </w:pPr>
            <w:r>
              <w:t>面源宽度</w:t>
            </w:r>
          </w:p>
          <w:p w14:paraId="7F1562A4" w14:textId="77777777" w:rsidR="002E474C" w:rsidRDefault="00000000">
            <w:pPr>
              <w:pStyle w:val="A-"/>
              <w:spacing w:line="260" w:lineRule="exact"/>
            </w:pPr>
            <w:r>
              <w:t>Lw</w:t>
            </w:r>
            <w:r>
              <w:rPr>
                <w:rFonts w:hint="eastAsia"/>
              </w:rPr>
              <w:t>/</w:t>
            </w:r>
            <w:r>
              <w:t>m</w:t>
            </w:r>
          </w:p>
        </w:tc>
        <w:tc>
          <w:tcPr>
            <w:tcW w:w="468" w:type="pct"/>
            <w:vMerge w:val="restart"/>
            <w:vAlign w:val="center"/>
          </w:tcPr>
          <w:p w14:paraId="72763665" w14:textId="77777777" w:rsidR="002E474C" w:rsidRDefault="00000000">
            <w:pPr>
              <w:pStyle w:val="A-"/>
              <w:spacing w:line="260" w:lineRule="exact"/>
            </w:pPr>
            <w:r>
              <w:t>与正北向夹角（</w:t>
            </w:r>
            <w:r>
              <w:t>°</w:t>
            </w:r>
            <w:r>
              <w:t>）</w:t>
            </w:r>
          </w:p>
        </w:tc>
        <w:tc>
          <w:tcPr>
            <w:tcW w:w="494" w:type="pct"/>
            <w:vMerge w:val="restart"/>
            <w:vAlign w:val="center"/>
          </w:tcPr>
          <w:p w14:paraId="3C11B49B" w14:textId="77777777" w:rsidR="002E474C" w:rsidRDefault="00000000">
            <w:pPr>
              <w:pStyle w:val="A-"/>
              <w:spacing w:line="260" w:lineRule="exact"/>
            </w:pPr>
            <w:r>
              <w:t>排放高度</w:t>
            </w:r>
          </w:p>
          <w:p w14:paraId="0E4A7827" w14:textId="77777777" w:rsidR="002E474C" w:rsidRDefault="00000000">
            <w:pPr>
              <w:pStyle w:val="A-"/>
              <w:spacing w:line="260" w:lineRule="exact"/>
            </w:pPr>
            <w:r>
              <w:t>H</w:t>
            </w:r>
            <w:r>
              <w:t>（</w:t>
            </w:r>
            <w:r>
              <w:t>m</w:t>
            </w:r>
            <w:r>
              <w:t>）</w:t>
            </w:r>
          </w:p>
        </w:tc>
        <w:tc>
          <w:tcPr>
            <w:tcW w:w="324" w:type="pct"/>
            <w:vMerge w:val="restart"/>
            <w:vAlign w:val="center"/>
          </w:tcPr>
          <w:p w14:paraId="59F01B7A" w14:textId="77777777" w:rsidR="002E474C" w:rsidRDefault="00000000">
            <w:pPr>
              <w:pStyle w:val="A-"/>
              <w:spacing w:line="260" w:lineRule="exact"/>
            </w:pPr>
            <w:r>
              <w:t>Q</w:t>
            </w:r>
            <w:r>
              <w:rPr>
                <w:vertAlign w:val="subscript"/>
              </w:rPr>
              <w:t>NMHC</w:t>
            </w:r>
          </w:p>
          <w:p w14:paraId="6B5AF0B5" w14:textId="77777777" w:rsidR="002E474C" w:rsidRDefault="00000000">
            <w:pPr>
              <w:pStyle w:val="A-"/>
              <w:spacing w:line="260" w:lineRule="exact"/>
            </w:pPr>
            <w:r>
              <w:t>kg/h</w:t>
            </w:r>
          </w:p>
        </w:tc>
        <w:tc>
          <w:tcPr>
            <w:tcW w:w="326" w:type="pct"/>
            <w:vMerge w:val="restart"/>
            <w:vAlign w:val="center"/>
          </w:tcPr>
          <w:p w14:paraId="1AD14458" w14:textId="77777777" w:rsidR="002E474C" w:rsidRDefault="00000000">
            <w:pPr>
              <w:pStyle w:val="A-"/>
              <w:spacing w:line="260" w:lineRule="exact"/>
            </w:pPr>
            <w:r>
              <w:t>Q</w:t>
            </w:r>
            <w:r>
              <w:rPr>
                <w:vertAlign w:val="subscript"/>
              </w:rPr>
              <w:t>硫化氢</w:t>
            </w:r>
          </w:p>
          <w:p w14:paraId="6937AFB8" w14:textId="77777777" w:rsidR="002E474C" w:rsidRDefault="00000000">
            <w:pPr>
              <w:pStyle w:val="A-"/>
              <w:spacing w:line="260" w:lineRule="exact"/>
            </w:pPr>
            <w:r>
              <w:t>kg/h</w:t>
            </w:r>
          </w:p>
        </w:tc>
        <w:tc>
          <w:tcPr>
            <w:tcW w:w="283" w:type="pct"/>
            <w:vMerge w:val="restart"/>
            <w:vAlign w:val="center"/>
          </w:tcPr>
          <w:p w14:paraId="185D1830" w14:textId="77777777" w:rsidR="002E474C" w:rsidRDefault="00000000">
            <w:pPr>
              <w:pStyle w:val="A-"/>
              <w:spacing w:line="260" w:lineRule="exact"/>
            </w:pPr>
            <w:r>
              <w:t>Q</w:t>
            </w:r>
            <w:r>
              <w:rPr>
                <w:vertAlign w:val="subscript"/>
              </w:rPr>
              <w:t>氨</w:t>
            </w:r>
          </w:p>
          <w:p w14:paraId="4675A3F5" w14:textId="77777777" w:rsidR="002E474C" w:rsidRDefault="00000000">
            <w:pPr>
              <w:pStyle w:val="A-"/>
              <w:spacing w:line="260" w:lineRule="exact"/>
            </w:pPr>
            <w:r>
              <w:t>kg/h</w:t>
            </w:r>
          </w:p>
        </w:tc>
      </w:tr>
      <w:tr w:rsidR="002E474C" w14:paraId="57BA1A09" w14:textId="77777777">
        <w:trPr>
          <w:trHeight w:val="283"/>
          <w:jc w:val="center"/>
        </w:trPr>
        <w:tc>
          <w:tcPr>
            <w:tcW w:w="263" w:type="pct"/>
            <w:vMerge/>
            <w:vAlign w:val="center"/>
          </w:tcPr>
          <w:p w14:paraId="1F766453" w14:textId="77777777" w:rsidR="002E474C" w:rsidRDefault="002E474C">
            <w:pPr>
              <w:pStyle w:val="A-"/>
              <w:spacing w:line="260" w:lineRule="exact"/>
            </w:pPr>
          </w:p>
        </w:tc>
        <w:tc>
          <w:tcPr>
            <w:tcW w:w="1282" w:type="pct"/>
            <w:vMerge/>
            <w:vAlign w:val="center"/>
          </w:tcPr>
          <w:p w14:paraId="1BF38F3C" w14:textId="77777777" w:rsidR="002E474C" w:rsidRDefault="002E474C">
            <w:pPr>
              <w:pStyle w:val="A-"/>
              <w:spacing w:line="260" w:lineRule="exact"/>
            </w:pPr>
          </w:p>
        </w:tc>
        <w:tc>
          <w:tcPr>
            <w:tcW w:w="317" w:type="pct"/>
            <w:shd w:val="clear" w:color="auto" w:fill="auto"/>
            <w:vAlign w:val="center"/>
          </w:tcPr>
          <w:p w14:paraId="1E12A2D8" w14:textId="77777777" w:rsidR="002E474C" w:rsidRDefault="00000000">
            <w:pPr>
              <w:pStyle w:val="A-"/>
              <w:spacing w:line="260" w:lineRule="exact"/>
            </w:pPr>
            <w:r>
              <w:t>X</w:t>
            </w:r>
            <w:r>
              <w:rPr>
                <w:rFonts w:hint="eastAsia"/>
              </w:rPr>
              <w:t>/</w:t>
            </w:r>
            <w:r>
              <w:t>m</w:t>
            </w:r>
          </w:p>
        </w:tc>
        <w:tc>
          <w:tcPr>
            <w:tcW w:w="322" w:type="pct"/>
            <w:shd w:val="clear" w:color="auto" w:fill="auto"/>
            <w:vAlign w:val="center"/>
          </w:tcPr>
          <w:p w14:paraId="6BC3C15F" w14:textId="77777777" w:rsidR="002E474C" w:rsidRDefault="00000000">
            <w:pPr>
              <w:pStyle w:val="A-"/>
              <w:spacing w:line="260" w:lineRule="exact"/>
            </w:pPr>
            <w:r>
              <w:t>Y</w:t>
            </w:r>
            <w:r>
              <w:rPr>
                <w:rFonts w:hint="eastAsia"/>
              </w:rPr>
              <w:t>/</w:t>
            </w:r>
            <w:r>
              <w:t>m</w:t>
            </w:r>
          </w:p>
        </w:tc>
        <w:tc>
          <w:tcPr>
            <w:tcW w:w="439" w:type="pct"/>
            <w:vMerge/>
            <w:vAlign w:val="center"/>
          </w:tcPr>
          <w:p w14:paraId="4FDE4495" w14:textId="77777777" w:rsidR="002E474C" w:rsidRDefault="002E474C">
            <w:pPr>
              <w:pStyle w:val="A-"/>
              <w:spacing w:line="260" w:lineRule="exact"/>
            </w:pPr>
          </w:p>
        </w:tc>
        <w:tc>
          <w:tcPr>
            <w:tcW w:w="479" w:type="pct"/>
            <w:vMerge/>
            <w:vAlign w:val="center"/>
          </w:tcPr>
          <w:p w14:paraId="1CF9F7B3" w14:textId="77777777" w:rsidR="002E474C" w:rsidRDefault="002E474C">
            <w:pPr>
              <w:pStyle w:val="A-"/>
              <w:spacing w:line="260" w:lineRule="exact"/>
            </w:pPr>
          </w:p>
        </w:tc>
        <w:tc>
          <w:tcPr>
            <w:tcW w:w="468" w:type="pct"/>
            <w:vMerge/>
            <w:vAlign w:val="center"/>
          </w:tcPr>
          <w:p w14:paraId="3CA05343" w14:textId="77777777" w:rsidR="002E474C" w:rsidRDefault="002E474C">
            <w:pPr>
              <w:pStyle w:val="A-"/>
              <w:spacing w:line="260" w:lineRule="exact"/>
            </w:pPr>
          </w:p>
        </w:tc>
        <w:tc>
          <w:tcPr>
            <w:tcW w:w="494" w:type="pct"/>
            <w:vMerge/>
            <w:vAlign w:val="center"/>
          </w:tcPr>
          <w:p w14:paraId="6DA704E2" w14:textId="77777777" w:rsidR="002E474C" w:rsidRDefault="002E474C">
            <w:pPr>
              <w:pStyle w:val="A-"/>
              <w:spacing w:line="260" w:lineRule="exact"/>
            </w:pPr>
          </w:p>
        </w:tc>
        <w:tc>
          <w:tcPr>
            <w:tcW w:w="324" w:type="pct"/>
            <w:vMerge/>
            <w:vAlign w:val="center"/>
          </w:tcPr>
          <w:p w14:paraId="3B73403F" w14:textId="77777777" w:rsidR="002E474C" w:rsidRDefault="002E474C">
            <w:pPr>
              <w:pStyle w:val="A-"/>
              <w:spacing w:line="260" w:lineRule="exact"/>
            </w:pPr>
          </w:p>
        </w:tc>
        <w:tc>
          <w:tcPr>
            <w:tcW w:w="326" w:type="pct"/>
            <w:vMerge/>
            <w:vAlign w:val="center"/>
          </w:tcPr>
          <w:p w14:paraId="4F748B53" w14:textId="77777777" w:rsidR="002E474C" w:rsidRDefault="002E474C">
            <w:pPr>
              <w:pStyle w:val="A-"/>
              <w:spacing w:line="260" w:lineRule="exact"/>
            </w:pPr>
          </w:p>
        </w:tc>
        <w:tc>
          <w:tcPr>
            <w:tcW w:w="283" w:type="pct"/>
            <w:vMerge/>
            <w:vAlign w:val="center"/>
          </w:tcPr>
          <w:p w14:paraId="4511D235" w14:textId="77777777" w:rsidR="002E474C" w:rsidRDefault="002E474C">
            <w:pPr>
              <w:pStyle w:val="A-"/>
              <w:spacing w:line="260" w:lineRule="exact"/>
            </w:pPr>
          </w:p>
        </w:tc>
      </w:tr>
      <w:tr w:rsidR="002E474C" w14:paraId="39CD5F5B" w14:textId="77777777">
        <w:trPr>
          <w:trHeight w:val="283"/>
          <w:jc w:val="center"/>
        </w:trPr>
        <w:tc>
          <w:tcPr>
            <w:tcW w:w="263" w:type="pct"/>
            <w:vAlign w:val="center"/>
          </w:tcPr>
          <w:p w14:paraId="1985C2DC" w14:textId="77777777" w:rsidR="002E474C" w:rsidRDefault="00000000">
            <w:pPr>
              <w:pStyle w:val="A-"/>
              <w:spacing w:line="260" w:lineRule="exact"/>
            </w:pPr>
            <w:r>
              <w:rPr>
                <w:rFonts w:hint="eastAsia"/>
              </w:rPr>
              <w:t>1</w:t>
            </w:r>
          </w:p>
        </w:tc>
        <w:tc>
          <w:tcPr>
            <w:tcW w:w="1282" w:type="pct"/>
            <w:vAlign w:val="center"/>
          </w:tcPr>
          <w:p w14:paraId="3B912180" w14:textId="77777777" w:rsidR="002E474C" w:rsidRDefault="00000000">
            <w:pPr>
              <w:pStyle w:val="A-"/>
              <w:spacing w:line="260" w:lineRule="exact"/>
            </w:pPr>
            <w:r>
              <w:t>一期热解装置无组织排放</w:t>
            </w:r>
          </w:p>
        </w:tc>
        <w:tc>
          <w:tcPr>
            <w:tcW w:w="317" w:type="pct"/>
            <w:shd w:val="clear" w:color="auto" w:fill="auto"/>
            <w:vAlign w:val="center"/>
          </w:tcPr>
          <w:p w14:paraId="49BF1274" w14:textId="77777777" w:rsidR="002E474C" w:rsidRDefault="00000000">
            <w:pPr>
              <w:pStyle w:val="A-"/>
              <w:spacing w:line="260" w:lineRule="exact"/>
            </w:pPr>
            <w:r>
              <w:t>4496</w:t>
            </w:r>
          </w:p>
        </w:tc>
        <w:tc>
          <w:tcPr>
            <w:tcW w:w="322" w:type="pct"/>
            <w:shd w:val="clear" w:color="auto" w:fill="auto"/>
            <w:vAlign w:val="center"/>
          </w:tcPr>
          <w:p w14:paraId="4233B5A5" w14:textId="77777777" w:rsidR="002E474C" w:rsidRDefault="00000000">
            <w:pPr>
              <w:pStyle w:val="A-"/>
              <w:spacing w:line="260" w:lineRule="exact"/>
            </w:pPr>
            <w:r>
              <w:t>-664</w:t>
            </w:r>
          </w:p>
        </w:tc>
        <w:tc>
          <w:tcPr>
            <w:tcW w:w="439" w:type="pct"/>
            <w:vAlign w:val="center"/>
          </w:tcPr>
          <w:p w14:paraId="54CC5C0C" w14:textId="77777777" w:rsidR="002E474C" w:rsidRDefault="00000000">
            <w:pPr>
              <w:pStyle w:val="A-"/>
              <w:spacing w:line="260" w:lineRule="exact"/>
            </w:pPr>
            <w:r>
              <w:t>500</w:t>
            </w:r>
          </w:p>
        </w:tc>
        <w:tc>
          <w:tcPr>
            <w:tcW w:w="479" w:type="pct"/>
            <w:vAlign w:val="center"/>
          </w:tcPr>
          <w:p w14:paraId="3EF421C9" w14:textId="77777777" w:rsidR="002E474C" w:rsidRDefault="00000000">
            <w:pPr>
              <w:pStyle w:val="A-"/>
              <w:spacing w:line="260" w:lineRule="exact"/>
            </w:pPr>
            <w:r>
              <w:t>100</w:t>
            </w:r>
          </w:p>
        </w:tc>
        <w:tc>
          <w:tcPr>
            <w:tcW w:w="468" w:type="pct"/>
            <w:vAlign w:val="center"/>
          </w:tcPr>
          <w:p w14:paraId="36C0E54D" w14:textId="77777777" w:rsidR="002E474C" w:rsidRDefault="00000000">
            <w:pPr>
              <w:pStyle w:val="A-"/>
              <w:spacing w:line="260" w:lineRule="exact"/>
            </w:pPr>
            <w:r>
              <w:t>0</w:t>
            </w:r>
          </w:p>
        </w:tc>
        <w:tc>
          <w:tcPr>
            <w:tcW w:w="494" w:type="pct"/>
            <w:vAlign w:val="center"/>
          </w:tcPr>
          <w:p w14:paraId="2129872D" w14:textId="77777777" w:rsidR="002E474C" w:rsidRDefault="00000000">
            <w:pPr>
              <w:pStyle w:val="A-"/>
              <w:spacing w:line="260" w:lineRule="exact"/>
            </w:pPr>
            <w:r>
              <w:t>15</w:t>
            </w:r>
          </w:p>
        </w:tc>
        <w:tc>
          <w:tcPr>
            <w:tcW w:w="324" w:type="pct"/>
            <w:vAlign w:val="center"/>
          </w:tcPr>
          <w:p w14:paraId="513398C5" w14:textId="77777777" w:rsidR="002E474C" w:rsidRDefault="00000000">
            <w:pPr>
              <w:pStyle w:val="A-"/>
              <w:spacing w:line="260" w:lineRule="exact"/>
            </w:pPr>
            <w:r>
              <w:t>1.13</w:t>
            </w:r>
          </w:p>
        </w:tc>
        <w:tc>
          <w:tcPr>
            <w:tcW w:w="326" w:type="pct"/>
            <w:vAlign w:val="center"/>
          </w:tcPr>
          <w:p w14:paraId="4378AC16" w14:textId="77777777" w:rsidR="002E474C" w:rsidRDefault="00000000">
            <w:pPr>
              <w:pStyle w:val="A-"/>
              <w:spacing w:line="260" w:lineRule="exact"/>
            </w:pPr>
            <w:r>
              <w:t>0.0126</w:t>
            </w:r>
          </w:p>
        </w:tc>
        <w:tc>
          <w:tcPr>
            <w:tcW w:w="283" w:type="pct"/>
            <w:vAlign w:val="center"/>
          </w:tcPr>
          <w:p w14:paraId="076E9EC3" w14:textId="77777777" w:rsidR="002E474C" w:rsidRDefault="00000000">
            <w:pPr>
              <w:pStyle w:val="A-"/>
              <w:spacing w:line="260" w:lineRule="exact"/>
            </w:pPr>
            <w:r>
              <w:t>0.153</w:t>
            </w:r>
          </w:p>
        </w:tc>
      </w:tr>
      <w:tr w:rsidR="002E474C" w14:paraId="7FBD7037" w14:textId="77777777">
        <w:trPr>
          <w:trHeight w:val="283"/>
          <w:jc w:val="center"/>
        </w:trPr>
        <w:tc>
          <w:tcPr>
            <w:tcW w:w="263" w:type="pct"/>
            <w:vAlign w:val="center"/>
          </w:tcPr>
          <w:p w14:paraId="16CFE899" w14:textId="77777777" w:rsidR="002E474C" w:rsidRDefault="00000000">
            <w:pPr>
              <w:pStyle w:val="A-"/>
              <w:spacing w:line="260" w:lineRule="exact"/>
            </w:pPr>
            <w:r>
              <w:rPr>
                <w:rFonts w:hint="eastAsia"/>
              </w:rPr>
              <w:t>2</w:t>
            </w:r>
          </w:p>
        </w:tc>
        <w:tc>
          <w:tcPr>
            <w:tcW w:w="1282" w:type="pct"/>
            <w:vAlign w:val="center"/>
          </w:tcPr>
          <w:p w14:paraId="411AF472" w14:textId="77777777" w:rsidR="002E474C" w:rsidRDefault="00000000">
            <w:pPr>
              <w:pStyle w:val="A-"/>
              <w:spacing w:line="260" w:lineRule="exact"/>
            </w:pPr>
            <w:r>
              <w:t>一期污水处理站无组织排放</w:t>
            </w:r>
          </w:p>
        </w:tc>
        <w:tc>
          <w:tcPr>
            <w:tcW w:w="317" w:type="pct"/>
            <w:shd w:val="clear" w:color="auto" w:fill="auto"/>
            <w:vAlign w:val="center"/>
          </w:tcPr>
          <w:p w14:paraId="4220A277" w14:textId="77777777" w:rsidR="002E474C" w:rsidRDefault="00000000">
            <w:pPr>
              <w:pStyle w:val="A-"/>
              <w:spacing w:line="260" w:lineRule="exact"/>
            </w:pPr>
            <w:r>
              <w:t>4431</w:t>
            </w:r>
          </w:p>
        </w:tc>
        <w:tc>
          <w:tcPr>
            <w:tcW w:w="322" w:type="pct"/>
            <w:shd w:val="clear" w:color="auto" w:fill="auto"/>
            <w:vAlign w:val="center"/>
          </w:tcPr>
          <w:p w14:paraId="79057C07" w14:textId="77777777" w:rsidR="002E474C" w:rsidRDefault="00000000">
            <w:pPr>
              <w:pStyle w:val="A-"/>
              <w:spacing w:line="260" w:lineRule="exact"/>
            </w:pPr>
            <w:r>
              <w:t>-1284</w:t>
            </w:r>
          </w:p>
        </w:tc>
        <w:tc>
          <w:tcPr>
            <w:tcW w:w="439" w:type="pct"/>
            <w:vAlign w:val="center"/>
          </w:tcPr>
          <w:p w14:paraId="62741FB6" w14:textId="77777777" w:rsidR="002E474C" w:rsidRDefault="00000000">
            <w:pPr>
              <w:pStyle w:val="A-"/>
              <w:spacing w:line="260" w:lineRule="exact"/>
            </w:pPr>
            <w:r>
              <w:t>100</w:t>
            </w:r>
          </w:p>
        </w:tc>
        <w:tc>
          <w:tcPr>
            <w:tcW w:w="479" w:type="pct"/>
            <w:vAlign w:val="center"/>
          </w:tcPr>
          <w:p w14:paraId="1BF17D09" w14:textId="77777777" w:rsidR="002E474C" w:rsidRDefault="00000000">
            <w:pPr>
              <w:pStyle w:val="A-"/>
              <w:spacing w:line="260" w:lineRule="exact"/>
            </w:pPr>
            <w:r>
              <w:t>80</w:t>
            </w:r>
          </w:p>
        </w:tc>
        <w:tc>
          <w:tcPr>
            <w:tcW w:w="468" w:type="pct"/>
            <w:vAlign w:val="center"/>
          </w:tcPr>
          <w:p w14:paraId="1A5675AC" w14:textId="77777777" w:rsidR="002E474C" w:rsidRDefault="00000000">
            <w:pPr>
              <w:pStyle w:val="A-"/>
              <w:spacing w:line="260" w:lineRule="exact"/>
            </w:pPr>
            <w:r>
              <w:t>0</w:t>
            </w:r>
          </w:p>
        </w:tc>
        <w:tc>
          <w:tcPr>
            <w:tcW w:w="494" w:type="pct"/>
            <w:vAlign w:val="center"/>
          </w:tcPr>
          <w:p w14:paraId="01ED1231" w14:textId="77777777" w:rsidR="002E474C" w:rsidRDefault="00000000">
            <w:pPr>
              <w:pStyle w:val="A-"/>
              <w:spacing w:line="260" w:lineRule="exact"/>
            </w:pPr>
            <w:r>
              <w:t>15</w:t>
            </w:r>
          </w:p>
        </w:tc>
        <w:tc>
          <w:tcPr>
            <w:tcW w:w="324" w:type="pct"/>
            <w:vAlign w:val="center"/>
          </w:tcPr>
          <w:p w14:paraId="7EDF98F2" w14:textId="77777777" w:rsidR="002E474C" w:rsidRDefault="00000000">
            <w:pPr>
              <w:pStyle w:val="A-"/>
              <w:spacing w:line="260" w:lineRule="exact"/>
            </w:pPr>
            <w:r>
              <w:t>0.13</w:t>
            </w:r>
          </w:p>
        </w:tc>
        <w:tc>
          <w:tcPr>
            <w:tcW w:w="326" w:type="pct"/>
            <w:vAlign w:val="center"/>
          </w:tcPr>
          <w:p w14:paraId="62FB7021" w14:textId="77777777" w:rsidR="002E474C" w:rsidRDefault="00000000">
            <w:pPr>
              <w:pStyle w:val="A-"/>
              <w:spacing w:line="260" w:lineRule="exact"/>
            </w:pPr>
            <w:r>
              <w:t>0.02</w:t>
            </w:r>
          </w:p>
        </w:tc>
        <w:tc>
          <w:tcPr>
            <w:tcW w:w="283" w:type="pct"/>
            <w:vAlign w:val="center"/>
          </w:tcPr>
          <w:p w14:paraId="63098843" w14:textId="77777777" w:rsidR="002E474C" w:rsidRDefault="00000000">
            <w:pPr>
              <w:pStyle w:val="A-"/>
              <w:spacing w:line="260" w:lineRule="exact"/>
            </w:pPr>
            <w:r>
              <w:t>0.03</w:t>
            </w:r>
          </w:p>
        </w:tc>
      </w:tr>
      <w:tr w:rsidR="002E474C" w14:paraId="7D263E44" w14:textId="77777777">
        <w:trPr>
          <w:trHeight w:val="283"/>
          <w:jc w:val="center"/>
        </w:trPr>
        <w:tc>
          <w:tcPr>
            <w:tcW w:w="263" w:type="pct"/>
            <w:vAlign w:val="center"/>
          </w:tcPr>
          <w:p w14:paraId="2186F42E" w14:textId="77777777" w:rsidR="002E474C" w:rsidRDefault="00000000">
            <w:pPr>
              <w:pStyle w:val="A-"/>
              <w:spacing w:line="260" w:lineRule="exact"/>
            </w:pPr>
            <w:r>
              <w:rPr>
                <w:rFonts w:hint="eastAsia"/>
              </w:rPr>
              <w:t>3</w:t>
            </w:r>
          </w:p>
        </w:tc>
        <w:tc>
          <w:tcPr>
            <w:tcW w:w="1282" w:type="pct"/>
            <w:vAlign w:val="center"/>
          </w:tcPr>
          <w:p w14:paraId="51524879" w14:textId="77777777" w:rsidR="002E474C" w:rsidRDefault="00000000">
            <w:pPr>
              <w:pStyle w:val="A-"/>
              <w:spacing w:line="260" w:lineRule="exact"/>
            </w:pPr>
            <w:r>
              <w:t>一期罐区无组织排放</w:t>
            </w:r>
          </w:p>
        </w:tc>
        <w:tc>
          <w:tcPr>
            <w:tcW w:w="317" w:type="pct"/>
            <w:shd w:val="clear" w:color="auto" w:fill="auto"/>
            <w:vAlign w:val="center"/>
          </w:tcPr>
          <w:p w14:paraId="5CB339E6" w14:textId="77777777" w:rsidR="002E474C" w:rsidRDefault="00000000">
            <w:pPr>
              <w:pStyle w:val="A-"/>
              <w:spacing w:line="260" w:lineRule="exact"/>
            </w:pPr>
            <w:r>
              <w:t>4515</w:t>
            </w:r>
          </w:p>
        </w:tc>
        <w:tc>
          <w:tcPr>
            <w:tcW w:w="322" w:type="pct"/>
            <w:shd w:val="clear" w:color="auto" w:fill="auto"/>
            <w:vAlign w:val="center"/>
          </w:tcPr>
          <w:p w14:paraId="62C114A1" w14:textId="77777777" w:rsidR="002E474C" w:rsidRDefault="00000000">
            <w:pPr>
              <w:pStyle w:val="A-"/>
              <w:spacing w:line="260" w:lineRule="exact"/>
            </w:pPr>
            <w:r>
              <w:t>-877</w:t>
            </w:r>
          </w:p>
        </w:tc>
        <w:tc>
          <w:tcPr>
            <w:tcW w:w="439" w:type="pct"/>
            <w:vAlign w:val="center"/>
          </w:tcPr>
          <w:p w14:paraId="244149CB" w14:textId="77777777" w:rsidR="002E474C" w:rsidRDefault="00000000">
            <w:pPr>
              <w:pStyle w:val="A-"/>
              <w:spacing w:line="260" w:lineRule="exact"/>
            </w:pPr>
            <w:r>
              <w:t>185</w:t>
            </w:r>
          </w:p>
        </w:tc>
        <w:tc>
          <w:tcPr>
            <w:tcW w:w="479" w:type="pct"/>
            <w:vAlign w:val="center"/>
          </w:tcPr>
          <w:p w14:paraId="77B8BA66" w14:textId="77777777" w:rsidR="002E474C" w:rsidRDefault="00000000">
            <w:pPr>
              <w:pStyle w:val="A-"/>
              <w:spacing w:line="260" w:lineRule="exact"/>
            </w:pPr>
            <w:r>
              <w:t>60</w:t>
            </w:r>
          </w:p>
        </w:tc>
        <w:tc>
          <w:tcPr>
            <w:tcW w:w="468" w:type="pct"/>
            <w:vAlign w:val="center"/>
          </w:tcPr>
          <w:p w14:paraId="04D3CA1A" w14:textId="77777777" w:rsidR="002E474C" w:rsidRDefault="00000000">
            <w:pPr>
              <w:pStyle w:val="A-"/>
              <w:spacing w:line="260" w:lineRule="exact"/>
            </w:pPr>
            <w:r>
              <w:t>0</w:t>
            </w:r>
          </w:p>
        </w:tc>
        <w:tc>
          <w:tcPr>
            <w:tcW w:w="494" w:type="pct"/>
            <w:vAlign w:val="center"/>
          </w:tcPr>
          <w:p w14:paraId="4BFD026A" w14:textId="77777777" w:rsidR="002E474C" w:rsidRDefault="00000000">
            <w:pPr>
              <w:pStyle w:val="A-"/>
              <w:spacing w:line="260" w:lineRule="exact"/>
            </w:pPr>
            <w:r>
              <w:t>15</w:t>
            </w:r>
          </w:p>
        </w:tc>
        <w:tc>
          <w:tcPr>
            <w:tcW w:w="324" w:type="pct"/>
            <w:vAlign w:val="center"/>
          </w:tcPr>
          <w:p w14:paraId="44527479" w14:textId="77777777" w:rsidR="002E474C" w:rsidRDefault="00000000">
            <w:pPr>
              <w:pStyle w:val="A-"/>
              <w:spacing w:line="260" w:lineRule="exact"/>
            </w:pPr>
            <w:r>
              <w:t>0.434</w:t>
            </w:r>
          </w:p>
        </w:tc>
        <w:tc>
          <w:tcPr>
            <w:tcW w:w="326" w:type="pct"/>
            <w:vAlign w:val="center"/>
          </w:tcPr>
          <w:p w14:paraId="2A4B293D" w14:textId="77777777" w:rsidR="002E474C" w:rsidRDefault="00000000">
            <w:pPr>
              <w:pStyle w:val="A-"/>
              <w:spacing w:line="260" w:lineRule="exact"/>
            </w:pPr>
            <w:r>
              <w:t>/</w:t>
            </w:r>
          </w:p>
        </w:tc>
        <w:tc>
          <w:tcPr>
            <w:tcW w:w="283" w:type="pct"/>
            <w:vAlign w:val="center"/>
          </w:tcPr>
          <w:p w14:paraId="2079D67D" w14:textId="77777777" w:rsidR="002E474C" w:rsidRDefault="00000000">
            <w:pPr>
              <w:pStyle w:val="A-"/>
              <w:spacing w:line="260" w:lineRule="exact"/>
            </w:pPr>
            <w:r>
              <w:t>/</w:t>
            </w:r>
          </w:p>
        </w:tc>
      </w:tr>
      <w:tr w:rsidR="002E474C" w14:paraId="3035AC28" w14:textId="77777777">
        <w:trPr>
          <w:trHeight w:val="283"/>
          <w:jc w:val="center"/>
        </w:trPr>
        <w:tc>
          <w:tcPr>
            <w:tcW w:w="263" w:type="pct"/>
            <w:vAlign w:val="center"/>
          </w:tcPr>
          <w:p w14:paraId="3F2FB422" w14:textId="77777777" w:rsidR="002E474C" w:rsidRDefault="00000000">
            <w:pPr>
              <w:pStyle w:val="A-"/>
              <w:spacing w:line="260" w:lineRule="exact"/>
            </w:pPr>
            <w:r>
              <w:rPr>
                <w:rFonts w:hint="eastAsia"/>
              </w:rPr>
              <w:t>4</w:t>
            </w:r>
          </w:p>
        </w:tc>
        <w:tc>
          <w:tcPr>
            <w:tcW w:w="1282" w:type="pct"/>
            <w:vAlign w:val="center"/>
          </w:tcPr>
          <w:p w14:paraId="241E58E4" w14:textId="77777777" w:rsidR="002E474C" w:rsidRDefault="00000000">
            <w:pPr>
              <w:pStyle w:val="A-"/>
              <w:spacing w:line="260" w:lineRule="exact"/>
            </w:pPr>
            <w:r>
              <w:t>二热解装置无组织排放</w:t>
            </w:r>
          </w:p>
        </w:tc>
        <w:tc>
          <w:tcPr>
            <w:tcW w:w="317" w:type="pct"/>
            <w:shd w:val="clear" w:color="auto" w:fill="auto"/>
            <w:vAlign w:val="center"/>
          </w:tcPr>
          <w:p w14:paraId="3B44E2D1" w14:textId="77777777" w:rsidR="002E474C" w:rsidRDefault="00000000">
            <w:pPr>
              <w:pStyle w:val="A-"/>
              <w:spacing w:line="260" w:lineRule="exact"/>
            </w:pPr>
            <w:r>
              <w:t>5273</w:t>
            </w:r>
          </w:p>
        </w:tc>
        <w:tc>
          <w:tcPr>
            <w:tcW w:w="322" w:type="pct"/>
            <w:shd w:val="clear" w:color="auto" w:fill="auto"/>
            <w:vAlign w:val="center"/>
          </w:tcPr>
          <w:p w14:paraId="5CBE4A69" w14:textId="77777777" w:rsidR="002E474C" w:rsidRDefault="00000000">
            <w:pPr>
              <w:pStyle w:val="A-"/>
              <w:spacing w:line="260" w:lineRule="exact"/>
            </w:pPr>
            <w:r>
              <w:t>-674</w:t>
            </w:r>
          </w:p>
        </w:tc>
        <w:tc>
          <w:tcPr>
            <w:tcW w:w="439" w:type="pct"/>
            <w:vAlign w:val="center"/>
          </w:tcPr>
          <w:p w14:paraId="0B3979DC" w14:textId="77777777" w:rsidR="002E474C" w:rsidRDefault="00000000">
            <w:pPr>
              <w:pStyle w:val="A-"/>
              <w:spacing w:line="260" w:lineRule="exact"/>
            </w:pPr>
            <w:r>
              <w:t>500</w:t>
            </w:r>
          </w:p>
        </w:tc>
        <w:tc>
          <w:tcPr>
            <w:tcW w:w="479" w:type="pct"/>
            <w:vAlign w:val="center"/>
          </w:tcPr>
          <w:p w14:paraId="3704ACFD" w14:textId="77777777" w:rsidR="002E474C" w:rsidRDefault="00000000">
            <w:pPr>
              <w:pStyle w:val="A-"/>
              <w:spacing w:line="260" w:lineRule="exact"/>
            </w:pPr>
            <w:r>
              <w:t>100</w:t>
            </w:r>
          </w:p>
        </w:tc>
        <w:tc>
          <w:tcPr>
            <w:tcW w:w="468" w:type="pct"/>
            <w:vAlign w:val="center"/>
          </w:tcPr>
          <w:p w14:paraId="496D2500" w14:textId="77777777" w:rsidR="002E474C" w:rsidRDefault="00000000">
            <w:pPr>
              <w:pStyle w:val="A-"/>
              <w:spacing w:line="260" w:lineRule="exact"/>
            </w:pPr>
            <w:r>
              <w:t>0</w:t>
            </w:r>
          </w:p>
        </w:tc>
        <w:tc>
          <w:tcPr>
            <w:tcW w:w="494" w:type="pct"/>
            <w:vAlign w:val="center"/>
          </w:tcPr>
          <w:p w14:paraId="7B314896" w14:textId="77777777" w:rsidR="002E474C" w:rsidRDefault="00000000">
            <w:pPr>
              <w:pStyle w:val="A-"/>
              <w:spacing w:line="260" w:lineRule="exact"/>
            </w:pPr>
            <w:r>
              <w:t>15</w:t>
            </w:r>
          </w:p>
        </w:tc>
        <w:tc>
          <w:tcPr>
            <w:tcW w:w="324" w:type="pct"/>
            <w:vAlign w:val="center"/>
          </w:tcPr>
          <w:p w14:paraId="2CBAAFA9" w14:textId="77777777" w:rsidR="002E474C" w:rsidRDefault="00000000">
            <w:pPr>
              <w:pStyle w:val="A-"/>
              <w:spacing w:line="260" w:lineRule="exact"/>
            </w:pPr>
            <w:r>
              <w:t>1.13</w:t>
            </w:r>
          </w:p>
        </w:tc>
        <w:tc>
          <w:tcPr>
            <w:tcW w:w="326" w:type="pct"/>
            <w:vAlign w:val="center"/>
          </w:tcPr>
          <w:p w14:paraId="10F1A1F7" w14:textId="77777777" w:rsidR="002E474C" w:rsidRDefault="00000000">
            <w:pPr>
              <w:pStyle w:val="A-"/>
              <w:spacing w:line="260" w:lineRule="exact"/>
            </w:pPr>
            <w:r>
              <w:t>0.0126</w:t>
            </w:r>
          </w:p>
        </w:tc>
        <w:tc>
          <w:tcPr>
            <w:tcW w:w="283" w:type="pct"/>
            <w:vAlign w:val="center"/>
          </w:tcPr>
          <w:p w14:paraId="20DF43B8" w14:textId="77777777" w:rsidR="002E474C" w:rsidRDefault="00000000">
            <w:pPr>
              <w:pStyle w:val="A-"/>
              <w:spacing w:line="260" w:lineRule="exact"/>
            </w:pPr>
            <w:r>
              <w:t>0.153</w:t>
            </w:r>
          </w:p>
        </w:tc>
      </w:tr>
      <w:tr w:rsidR="002E474C" w14:paraId="72690AC9" w14:textId="77777777">
        <w:trPr>
          <w:trHeight w:val="283"/>
          <w:jc w:val="center"/>
        </w:trPr>
        <w:tc>
          <w:tcPr>
            <w:tcW w:w="263" w:type="pct"/>
            <w:vAlign w:val="center"/>
          </w:tcPr>
          <w:p w14:paraId="161A4ADB" w14:textId="77777777" w:rsidR="002E474C" w:rsidRDefault="00000000">
            <w:pPr>
              <w:pStyle w:val="A-"/>
              <w:spacing w:line="260" w:lineRule="exact"/>
            </w:pPr>
            <w:r>
              <w:rPr>
                <w:rFonts w:hint="eastAsia"/>
              </w:rPr>
              <w:t>5</w:t>
            </w:r>
          </w:p>
        </w:tc>
        <w:tc>
          <w:tcPr>
            <w:tcW w:w="1282" w:type="pct"/>
            <w:vAlign w:val="center"/>
          </w:tcPr>
          <w:p w14:paraId="09B6829D" w14:textId="77777777" w:rsidR="002E474C" w:rsidRDefault="00000000">
            <w:pPr>
              <w:pStyle w:val="A-"/>
              <w:spacing w:line="260" w:lineRule="exact"/>
            </w:pPr>
            <w:r>
              <w:t>二期污水处理站（无组织排放）</w:t>
            </w:r>
          </w:p>
        </w:tc>
        <w:tc>
          <w:tcPr>
            <w:tcW w:w="317" w:type="pct"/>
            <w:shd w:val="clear" w:color="auto" w:fill="auto"/>
            <w:vAlign w:val="center"/>
          </w:tcPr>
          <w:p w14:paraId="39BD665A" w14:textId="77777777" w:rsidR="002E474C" w:rsidRDefault="00000000">
            <w:pPr>
              <w:pStyle w:val="A-"/>
              <w:spacing w:line="260" w:lineRule="exact"/>
            </w:pPr>
            <w:r>
              <w:t>5356</w:t>
            </w:r>
          </w:p>
        </w:tc>
        <w:tc>
          <w:tcPr>
            <w:tcW w:w="322" w:type="pct"/>
            <w:shd w:val="clear" w:color="auto" w:fill="auto"/>
            <w:vAlign w:val="center"/>
          </w:tcPr>
          <w:p w14:paraId="320C4FB5" w14:textId="77777777" w:rsidR="002E474C" w:rsidRDefault="00000000">
            <w:pPr>
              <w:pStyle w:val="A-"/>
              <w:spacing w:line="260" w:lineRule="exact"/>
            </w:pPr>
            <w:r>
              <w:t>-1099</w:t>
            </w:r>
          </w:p>
        </w:tc>
        <w:tc>
          <w:tcPr>
            <w:tcW w:w="439" w:type="pct"/>
            <w:vAlign w:val="center"/>
          </w:tcPr>
          <w:p w14:paraId="1D5A9165" w14:textId="77777777" w:rsidR="002E474C" w:rsidRDefault="00000000">
            <w:pPr>
              <w:pStyle w:val="A-"/>
              <w:spacing w:line="260" w:lineRule="exact"/>
            </w:pPr>
            <w:r>
              <w:t>100</w:t>
            </w:r>
          </w:p>
        </w:tc>
        <w:tc>
          <w:tcPr>
            <w:tcW w:w="479" w:type="pct"/>
            <w:vAlign w:val="center"/>
          </w:tcPr>
          <w:p w14:paraId="3688A3D6" w14:textId="77777777" w:rsidR="002E474C" w:rsidRDefault="00000000">
            <w:pPr>
              <w:pStyle w:val="A-"/>
              <w:spacing w:line="260" w:lineRule="exact"/>
            </w:pPr>
            <w:r>
              <w:t>80</w:t>
            </w:r>
          </w:p>
        </w:tc>
        <w:tc>
          <w:tcPr>
            <w:tcW w:w="468" w:type="pct"/>
            <w:vAlign w:val="center"/>
          </w:tcPr>
          <w:p w14:paraId="330221E8" w14:textId="77777777" w:rsidR="002E474C" w:rsidRDefault="00000000">
            <w:pPr>
              <w:pStyle w:val="A-"/>
              <w:spacing w:line="260" w:lineRule="exact"/>
            </w:pPr>
            <w:r>
              <w:t>0</w:t>
            </w:r>
          </w:p>
        </w:tc>
        <w:tc>
          <w:tcPr>
            <w:tcW w:w="494" w:type="pct"/>
            <w:vAlign w:val="center"/>
          </w:tcPr>
          <w:p w14:paraId="73DBA0F6" w14:textId="77777777" w:rsidR="002E474C" w:rsidRDefault="00000000">
            <w:pPr>
              <w:pStyle w:val="A-"/>
              <w:spacing w:line="260" w:lineRule="exact"/>
            </w:pPr>
            <w:r>
              <w:t>15</w:t>
            </w:r>
          </w:p>
        </w:tc>
        <w:tc>
          <w:tcPr>
            <w:tcW w:w="324" w:type="pct"/>
            <w:vAlign w:val="center"/>
          </w:tcPr>
          <w:p w14:paraId="4BBAFBD9" w14:textId="77777777" w:rsidR="002E474C" w:rsidRDefault="00000000">
            <w:pPr>
              <w:pStyle w:val="A-"/>
              <w:spacing w:line="260" w:lineRule="exact"/>
            </w:pPr>
            <w:r>
              <w:t>0.15</w:t>
            </w:r>
          </w:p>
        </w:tc>
        <w:tc>
          <w:tcPr>
            <w:tcW w:w="326" w:type="pct"/>
            <w:vAlign w:val="center"/>
          </w:tcPr>
          <w:p w14:paraId="5F5C7EAF" w14:textId="77777777" w:rsidR="002E474C" w:rsidRDefault="00000000">
            <w:pPr>
              <w:pStyle w:val="A-"/>
              <w:spacing w:line="260" w:lineRule="exact"/>
            </w:pPr>
            <w:r>
              <w:t>0.02</w:t>
            </w:r>
          </w:p>
        </w:tc>
        <w:tc>
          <w:tcPr>
            <w:tcW w:w="283" w:type="pct"/>
            <w:vAlign w:val="center"/>
          </w:tcPr>
          <w:p w14:paraId="7A74EB05" w14:textId="77777777" w:rsidR="002E474C" w:rsidRDefault="00000000">
            <w:pPr>
              <w:pStyle w:val="A-"/>
              <w:spacing w:line="260" w:lineRule="exact"/>
            </w:pPr>
            <w:r>
              <w:t>0.03</w:t>
            </w:r>
          </w:p>
        </w:tc>
      </w:tr>
      <w:tr w:rsidR="002E474C" w14:paraId="7026A645" w14:textId="77777777">
        <w:trPr>
          <w:trHeight w:val="283"/>
          <w:jc w:val="center"/>
        </w:trPr>
        <w:tc>
          <w:tcPr>
            <w:tcW w:w="263" w:type="pct"/>
            <w:vAlign w:val="center"/>
          </w:tcPr>
          <w:p w14:paraId="42CFB77B" w14:textId="77777777" w:rsidR="002E474C" w:rsidRDefault="00000000">
            <w:pPr>
              <w:pStyle w:val="A-"/>
              <w:spacing w:line="260" w:lineRule="exact"/>
            </w:pPr>
            <w:r>
              <w:rPr>
                <w:rFonts w:hint="eastAsia"/>
              </w:rPr>
              <w:t>6</w:t>
            </w:r>
          </w:p>
        </w:tc>
        <w:tc>
          <w:tcPr>
            <w:tcW w:w="1282" w:type="pct"/>
            <w:vAlign w:val="center"/>
          </w:tcPr>
          <w:p w14:paraId="35BECA44" w14:textId="77777777" w:rsidR="002E474C" w:rsidRDefault="00000000">
            <w:pPr>
              <w:pStyle w:val="A-"/>
              <w:spacing w:line="260" w:lineRule="exact"/>
            </w:pPr>
            <w:r>
              <w:t>二期罐区无组织排放</w:t>
            </w:r>
          </w:p>
        </w:tc>
        <w:tc>
          <w:tcPr>
            <w:tcW w:w="317" w:type="pct"/>
            <w:shd w:val="clear" w:color="auto" w:fill="auto"/>
            <w:vAlign w:val="center"/>
          </w:tcPr>
          <w:p w14:paraId="736271B6" w14:textId="77777777" w:rsidR="002E474C" w:rsidRDefault="00000000">
            <w:pPr>
              <w:pStyle w:val="A-"/>
              <w:spacing w:line="260" w:lineRule="exact"/>
            </w:pPr>
            <w:r>
              <w:t>5337</w:t>
            </w:r>
          </w:p>
        </w:tc>
        <w:tc>
          <w:tcPr>
            <w:tcW w:w="322" w:type="pct"/>
            <w:shd w:val="clear" w:color="auto" w:fill="auto"/>
            <w:vAlign w:val="center"/>
          </w:tcPr>
          <w:p w14:paraId="22B1393F" w14:textId="77777777" w:rsidR="002E474C" w:rsidRDefault="00000000">
            <w:pPr>
              <w:pStyle w:val="A-"/>
              <w:spacing w:line="260" w:lineRule="exact"/>
            </w:pPr>
            <w:r>
              <w:t>-840</w:t>
            </w:r>
          </w:p>
        </w:tc>
        <w:tc>
          <w:tcPr>
            <w:tcW w:w="439" w:type="pct"/>
            <w:vAlign w:val="center"/>
          </w:tcPr>
          <w:p w14:paraId="03EDEF8C" w14:textId="77777777" w:rsidR="002E474C" w:rsidRDefault="00000000">
            <w:pPr>
              <w:pStyle w:val="A-"/>
              <w:spacing w:line="260" w:lineRule="exact"/>
            </w:pPr>
            <w:r>
              <w:t>220</w:t>
            </w:r>
          </w:p>
        </w:tc>
        <w:tc>
          <w:tcPr>
            <w:tcW w:w="479" w:type="pct"/>
            <w:vAlign w:val="center"/>
          </w:tcPr>
          <w:p w14:paraId="5A0B702D" w14:textId="77777777" w:rsidR="002E474C" w:rsidRDefault="00000000">
            <w:pPr>
              <w:pStyle w:val="A-"/>
              <w:spacing w:line="260" w:lineRule="exact"/>
            </w:pPr>
            <w:r>
              <w:t>280</w:t>
            </w:r>
          </w:p>
        </w:tc>
        <w:tc>
          <w:tcPr>
            <w:tcW w:w="468" w:type="pct"/>
            <w:vAlign w:val="center"/>
          </w:tcPr>
          <w:p w14:paraId="03DB4F89" w14:textId="77777777" w:rsidR="002E474C" w:rsidRDefault="00000000">
            <w:pPr>
              <w:pStyle w:val="A-"/>
              <w:spacing w:line="260" w:lineRule="exact"/>
            </w:pPr>
            <w:r>
              <w:t>0</w:t>
            </w:r>
          </w:p>
        </w:tc>
        <w:tc>
          <w:tcPr>
            <w:tcW w:w="494" w:type="pct"/>
            <w:vAlign w:val="center"/>
          </w:tcPr>
          <w:p w14:paraId="0F86DE70" w14:textId="77777777" w:rsidR="002E474C" w:rsidRDefault="00000000">
            <w:pPr>
              <w:pStyle w:val="A-"/>
              <w:spacing w:line="260" w:lineRule="exact"/>
            </w:pPr>
            <w:r>
              <w:t>15</w:t>
            </w:r>
          </w:p>
        </w:tc>
        <w:tc>
          <w:tcPr>
            <w:tcW w:w="324" w:type="pct"/>
            <w:vAlign w:val="center"/>
          </w:tcPr>
          <w:p w14:paraId="441033D9" w14:textId="77777777" w:rsidR="002E474C" w:rsidRDefault="00000000">
            <w:pPr>
              <w:pStyle w:val="A-"/>
              <w:spacing w:line="260" w:lineRule="exact"/>
            </w:pPr>
            <w:r>
              <w:t>0.614</w:t>
            </w:r>
          </w:p>
        </w:tc>
        <w:tc>
          <w:tcPr>
            <w:tcW w:w="326" w:type="pct"/>
            <w:vAlign w:val="center"/>
          </w:tcPr>
          <w:p w14:paraId="3CA1D869" w14:textId="77777777" w:rsidR="002E474C" w:rsidRDefault="00000000">
            <w:pPr>
              <w:pStyle w:val="A-"/>
              <w:spacing w:line="260" w:lineRule="exact"/>
            </w:pPr>
            <w:r>
              <w:t>/</w:t>
            </w:r>
          </w:p>
        </w:tc>
        <w:tc>
          <w:tcPr>
            <w:tcW w:w="283" w:type="pct"/>
            <w:vAlign w:val="center"/>
          </w:tcPr>
          <w:p w14:paraId="27F8000C" w14:textId="77777777" w:rsidR="002E474C" w:rsidRDefault="00000000">
            <w:pPr>
              <w:pStyle w:val="A-"/>
              <w:spacing w:line="260" w:lineRule="exact"/>
            </w:pPr>
            <w:r>
              <w:t>/</w:t>
            </w:r>
          </w:p>
        </w:tc>
      </w:tr>
    </w:tbl>
    <w:p w14:paraId="15C5A413"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2ED6F852" w14:textId="77777777" w:rsidR="002E474C" w:rsidRDefault="00000000">
      <w:pPr>
        <w:pStyle w:val="A-z"/>
        <w:rPr>
          <w:color w:val="auto"/>
        </w:rPr>
      </w:pPr>
      <w:r>
        <w:rPr>
          <w:color w:val="auto"/>
        </w:rPr>
        <w:lastRenderedPageBreak/>
        <w:t>（</w:t>
      </w:r>
      <w:r>
        <w:rPr>
          <w:color w:val="auto"/>
        </w:rPr>
        <w:t>4</w:t>
      </w:r>
      <w:r>
        <w:rPr>
          <w:color w:val="auto"/>
        </w:rPr>
        <w:t>）预测内容</w:t>
      </w:r>
    </w:p>
    <w:p w14:paraId="08012C46" w14:textId="77777777" w:rsidR="002E474C" w:rsidRDefault="00000000">
      <w:pPr>
        <w:overflowPunct w:val="0"/>
        <w:spacing w:line="360" w:lineRule="auto"/>
        <w:ind w:firstLineChars="200" w:firstLine="420"/>
      </w:pPr>
      <w:r>
        <w:rPr>
          <w:rFonts w:ascii="宋体" w:hAnsi="宋体" w:cs="宋体" w:hint="eastAsia"/>
        </w:rPr>
        <w:t>本项目所在区域为不达标区，项目大气环境影响评价等级为一级，根据《环境影响评价技术导则大气环境》（</w:t>
      </w:r>
      <w:r>
        <w:t>HJ2.2-2018</w:t>
      </w:r>
      <w:r>
        <w:rPr>
          <w:rFonts w:ascii="宋体" w:hAnsi="宋体" w:cs="宋体" w:hint="eastAsia"/>
        </w:rPr>
        <w:t>）要求需采用进一步预测模式分析项目排放的污染物对周边环境的影响。大气环境影响预测内容见表</w:t>
      </w:r>
      <w:r>
        <w:rPr>
          <w:rFonts w:hint="eastAsia"/>
        </w:rPr>
        <w:t>5.1-16</w:t>
      </w:r>
      <w:r>
        <w:rPr>
          <w:rFonts w:ascii="宋体" w:hAnsi="宋体" w:cs="宋体" w:hint="eastAsia"/>
        </w:rPr>
        <w:t>。</w:t>
      </w:r>
    </w:p>
    <w:p w14:paraId="300C1BAC" w14:textId="77777777" w:rsidR="002E474C" w:rsidRDefault="00000000">
      <w:pPr>
        <w:pStyle w:val="A--"/>
        <w:rPr>
          <w:snapToGrid w:val="0"/>
          <w:color w:val="auto"/>
        </w:rPr>
      </w:pPr>
      <w:r>
        <w:rPr>
          <w:rFonts w:hint="eastAsia"/>
          <w:snapToGrid w:val="0"/>
          <w:color w:val="auto"/>
        </w:rPr>
        <w:t>表</w:t>
      </w:r>
      <w:r>
        <w:rPr>
          <w:rFonts w:hint="eastAsia"/>
          <w:snapToGrid w:val="0"/>
          <w:color w:val="auto"/>
        </w:rPr>
        <w:t>5.1-16</w:t>
      </w:r>
      <w:r>
        <w:rPr>
          <w:snapToGrid w:val="0"/>
          <w:color w:val="auto"/>
        </w:rPr>
        <w:t xml:space="preserve">    </w:t>
      </w:r>
      <w:r>
        <w:rPr>
          <w:snapToGrid w:val="0"/>
          <w:color w:val="auto"/>
        </w:rPr>
        <w:t>大气环境影响预测与评价内容一览表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4"/>
        <w:gridCol w:w="2394"/>
        <w:gridCol w:w="992"/>
        <w:gridCol w:w="996"/>
        <w:gridCol w:w="2910"/>
      </w:tblGrid>
      <w:tr w:rsidR="002E474C" w14:paraId="64D5BFAC" w14:textId="77777777">
        <w:trPr>
          <w:trHeight w:val="397"/>
        </w:trPr>
        <w:tc>
          <w:tcPr>
            <w:tcW w:w="605" w:type="pct"/>
            <w:tcBorders>
              <w:top w:val="single" w:sz="4" w:space="0" w:color="auto"/>
              <w:left w:val="single" w:sz="4" w:space="0" w:color="auto"/>
              <w:bottom w:val="single" w:sz="4" w:space="0" w:color="auto"/>
              <w:right w:val="single" w:sz="4" w:space="0" w:color="auto"/>
            </w:tcBorders>
            <w:vAlign w:val="center"/>
          </w:tcPr>
          <w:p w14:paraId="5B8E6FB2" w14:textId="77777777" w:rsidR="002E474C" w:rsidRDefault="00000000">
            <w:pPr>
              <w:pStyle w:val="w3"/>
            </w:pPr>
            <w:r>
              <w:rPr>
                <w:rFonts w:hint="eastAsia"/>
              </w:rPr>
              <w:t>评价对象</w:t>
            </w:r>
          </w:p>
        </w:tc>
        <w:tc>
          <w:tcPr>
            <w:tcW w:w="1443" w:type="pct"/>
            <w:tcBorders>
              <w:top w:val="single" w:sz="4" w:space="0" w:color="auto"/>
              <w:left w:val="single" w:sz="4" w:space="0" w:color="auto"/>
              <w:bottom w:val="single" w:sz="4" w:space="0" w:color="auto"/>
              <w:right w:val="single" w:sz="4" w:space="0" w:color="auto"/>
            </w:tcBorders>
            <w:vAlign w:val="center"/>
          </w:tcPr>
          <w:p w14:paraId="025FF42F" w14:textId="77777777" w:rsidR="002E474C" w:rsidRDefault="00000000">
            <w:pPr>
              <w:pStyle w:val="w3"/>
            </w:pPr>
            <w:r>
              <w:rPr>
                <w:rFonts w:hint="eastAsia"/>
              </w:rPr>
              <w:t>污染源</w:t>
            </w:r>
          </w:p>
        </w:tc>
        <w:tc>
          <w:tcPr>
            <w:tcW w:w="598" w:type="pct"/>
            <w:tcBorders>
              <w:top w:val="single" w:sz="4" w:space="0" w:color="auto"/>
              <w:left w:val="single" w:sz="4" w:space="0" w:color="auto"/>
              <w:bottom w:val="single" w:sz="4" w:space="0" w:color="auto"/>
              <w:right w:val="single" w:sz="4" w:space="0" w:color="auto"/>
            </w:tcBorders>
            <w:vAlign w:val="center"/>
          </w:tcPr>
          <w:p w14:paraId="36274D7F" w14:textId="77777777" w:rsidR="002E474C" w:rsidRDefault="00000000">
            <w:pPr>
              <w:pStyle w:val="w3"/>
            </w:pPr>
            <w:r>
              <w:rPr>
                <w:rFonts w:hint="eastAsia"/>
              </w:rPr>
              <w:t>排放形式</w:t>
            </w:r>
          </w:p>
        </w:tc>
        <w:tc>
          <w:tcPr>
            <w:tcW w:w="600" w:type="pct"/>
            <w:tcBorders>
              <w:top w:val="single" w:sz="4" w:space="0" w:color="auto"/>
              <w:left w:val="single" w:sz="4" w:space="0" w:color="auto"/>
              <w:bottom w:val="single" w:sz="4" w:space="0" w:color="auto"/>
              <w:right w:val="single" w:sz="4" w:space="0" w:color="auto"/>
            </w:tcBorders>
            <w:vAlign w:val="center"/>
          </w:tcPr>
          <w:p w14:paraId="1CD4D13D" w14:textId="77777777" w:rsidR="002E474C" w:rsidRDefault="00000000">
            <w:pPr>
              <w:pStyle w:val="w3"/>
            </w:pPr>
            <w:r>
              <w:rPr>
                <w:rFonts w:hint="eastAsia"/>
              </w:rPr>
              <w:t>预测内容</w:t>
            </w:r>
          </w:p>
        </w:tc>
        <w:tc>
          <w:tcPr>
            <w:tcW w:w="1754" w:type="pct"/>
            <w:tcBorders>
              <w:top w:val="single" w:sz="4" w:space="0" w:color="auto"/>
              <w:left w:val="single" w:sz="4" w:space="0" w:color="auto"/>
              <w:bottom w:val="single" w:sz="4" w:space="0" w:color="auto"/>
              <w:right w:val="single" w:sz="4" w:space="0" w:color="auto"/>
            </w:tcBorders>
            <w:vAlign w:val="center"/>
          </w:tcPr>
          <w:p w14:paraId="2B6BE24F" w14:textId="77777777" w:rsidR="002E474C" w:rsidRDefault="00000000">
            <w:pPr>
              <w:pStyle w:val="w3"/>
            </w:pPr>
            <w:r>
              <w:rPr>
                <w:rFonts w:hint="eastAsia"/>
              </w:rPr>
              <w:t>评价内容</w:t>
            </w:r>
          </w:p>
        </w:tc>
      </w:tr>
      <w:tr w:rsidR="002E474C" w14:paraId="0EBF6C88" w14:textId="77777777">
        <w:trPr>
          <w:trHeight w:val="397"/>
        </w:trPr>
        <w:tc>
          <w:tcPr>
            <w:tcW w:w="605" w:type="pct"/>
            <w:vMerge w:val="restart"/>
            <w:tcBorders>
              <w:top w:val="single" w:sz="4" w:space="0" w:color="auto"/>
              <w:left w:val="single" w:sz="4" w:space="0" w:color="auto"/>
              <w:bottom w:val="single" w:sz="4" w:space="0" w:color="auto"/>
              <w:right w:val="single" w:sz="4" w:space="0" w:color="auto"/>
            </w:tcBorders>
            <w:vAlign w:val="center"/>
          </w:tcPr>
          <w:p w14:paraId="7727148E" w14:textId="77777777" w:rsidR="002E474C" w:rsidRDefault="00000000">
            <w:pPr>
              <w:pStyle w:val="w3"/>
            </w:pPr>
            <w:r>
              <w:rPr>
                <w:rFonts w:hint="eastAsia"/>
              </w:rPr>
              <w:t>不达标区</w:t>
            </w:r>
          </w:p>
          <w:p w14:paraId="314C7B15" w14:textId="77777777" w:rsidR="002E474C" w:rsidRDefault="00000000">
            <w:pPr>
              <w:pStyle w:val="w3"/>
            </w:pPr>
            <w:r>
              <w:rPr>
                <w:rFonts w:hint="eastAsia"/>
              </w:rPr>
              <w:t>评价项目</w:t>
            </w:r>
          </w:p>
        </w:tc>
        <w:tc>
          <w:tcPr>
            <w:tcW w:w="1443" w:type="pct"/>
            <w:tcBorders>
              <w:top w:val="single" w:sz="4" w:space="0" w:color="auto"/>
              <w:left w:val="single" w:sz="4" w:space="0" w:color="auto"/>
              <w:bottom w:val="single" w:sz="4" w:space="0" w:color="auto"/>
              <w:right w:val="single" w:sz="4" w:space="0" w:color="auto"/>
            </w:tcBorders>
            <w:vAlign w:val="center"/>
          </w:tcPr>
          <w:p w14:paraId="5E1A92E5" w14:textId="77777777" w:rsidR="002E474C" w:rsidRDefault="00000000">
            <w:pPr>
              <w:pStyle w:val="w3"/>
            </w:pPr>
            <w:r>
              <w:rPr>
                <w:rFonts w:hint="eastAsia"/>
              </w:rPr>
              <w:t>新增污染源</w:t>
            </w:r>
          </w:p>
        </w:tc>
        <w:tc>
          <w:tcPr>
            <w:tcW w:w="598" w:type="pct"/>
            <w:tcBorders>
              <w:top w:val="single" w:sz="4" w:space="0" w:color="auto"/>
              <w:left w:val="single" w:sz="4" w:space="0" w:color="auto"/>
              <w:bottom w:val="single" w:sz="4" w:space="0" w:color="auto"/>
              <w:right w:val="single" w:sz="4" w:space="0" w:color="auto"/>
            </w:tcBorders>
            <w:vAlign w:val="center"/>
          </w:tcPr>
          <w:p w14:paraId="3C8232DC" w14:textId="77777777" w:rsidR="002E474C" w:rsidRDefault="00000000">
            <w:pPr>
              <w:pStyle w:val="w3"/>
            </w:pPr>
            <w:r>
              <w:rPr>
                <w:rFonts w:hint="eastAsia"/>
              </w:rPr>
              <w:t>正常排放</w:t>
            </w:r>
          </w:p>
        </w:tc>
        <w:tc>
          <w:tcPr>
            <w:tcW w:w="600" w:type="pct"/>
            <w:tcBorders>
              <w:top w:val="single" w:sz="4" w:space="0" w:color="auto"/>
              <w:left w:val="single" w:sz="4" w:space="0" w:color="auto"/>
              <w:bottom w:val="single" w:sz="4" w:space="0" w:color="auto"/>
              <w:right w:val="single" w:sz="4" w:space="0" w:color="auto"/>
            </w:tcBorders>
            <w:vAlign w:val="center"/>
          </w:tcPr>
          <w:p w14:paraId="69E5E954" w14:textId="77777777" w:rsidR="002E474C" w:rsidRDefault="00000000">
            <w:pPr>
              <w:pStyle w:val="w3"/>
            </w:pPr>
            <w:r>
              <w:rPr>
                <w:rFonts w:hint="eastAsia"/>
              </w:rPr>
              <w:t>短期浓度</w:t>
            </w:r>
          </w:p>
          <w:p w14:paraId="34351954" w14:textId="77777777" w:rsidR="002E474C" w:rsidRDefault="00000000">
            <w:pPr>
              <w:pStyle w:val="w3"/>
            </w:pPr>
            <w:r>
              <w:rPr>
                <w:rFonts w:hint="eastAsia"/>
              </w:rPr>
              <w:t>长期浓度</w:t>
            </w:r>
          </w:p>
        </w:tc>
        <w:tc>
          <w:tcPr>
            <w:tcW w:w="1754" w:type="pct"/>
            <w:tcBorders>
              <w:top w:val="single" w:sz="4" w:space="0" w:color="auto"/>
              <w:left w:val="single" w:sz="4" w:space="0" w:color="auto"/>
              <w:bottom w:val="single" w:sz="4" w:space="0" w:color="auto"/>
              <w:right w:val="single" w:sz="4" w:space="0" w:color="auto"/>
            </w:tcBorders>
            <w:vAlign w:val="center"/>
          </w:tcPr>
          <w:p w14:paraId="74196EE0" w14:textId="77777777" w:rsidR="002E474C" w:rsidRDefault="00000000">
            <w:pPr>
              <w:pStyle w:val="w3"/>
            </w:pPr>
            <w:r>
              <w:rPr>
                <w:rFonts w:hint="eastAsia"/>
              </w:rPr>
              <w:t>最大浓度占标率</w:t>
            </w:r>
          </w:p>
        </w:tc>
      </w:tr>
      <w:tr w:rsidR="002E474C" w14:paraId="769CEE3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0B35946" w14:textId="77777777" w:rsidR="002E474C" w:rsidRDefault="002E474C">
            <w:pPr>
              <w:widowControl/>
              <w:jc w:val="left"/>
              <w:rPr>
                <w:bCs/>
                <w:sz w:val="18"/>
                <w:szCs w:val="18"/>
                <w:u w:color="000000"/>
                <w:lang w:val="zh-CN" w:bidi="en-US"/>
              </w:rPr>
            </w:pPr>
          </w:p>
        </w:tc>
        <w:tc>
          <w:tcPr>
            <w:tcW w:w="1443" w:type="pct"/>
            <w:tcBorders>
              <w:top w:val="single" w:sz="4" w:space="0" w:color="auto"/>
              <w:left w:val="single" w:sz="4" w:space="0" w:color="auto"/>
              <w:bottom w:val="single" w:sz="4" w:space="0" w:color="auto"/>
              <w:right w:val="single" w:sz="4" w:space="0" w:color="auto"/>
            </w:tcBorders>
            <w:vAlign w:val="center"/>
          </w:tcPr>
          <w:p w14:paraId="5B74B14A" w14:textId="77777777" w:rsidR="002E474C" w:rsidRDefault="00000000">
            <w:pPr>
              <w:pStyle w:val="w3"/>
            </w:pPr>
            <w:r>
              <w:rPr>
                <w:rFonts w:hint="eastAsia"/>
              </w:rPr>
              <w:t>新增污染源</w:t>
            </w:r>
          </w:p>
          <w:p w14:paraId="26C23C13" w14:textId="77777777" w:rsidR="002E474C" w:rsidRDefault="00000000">
            <w:pPr>
              <w:pStyle w:val="w3"/>
            </w:pPr>
            <w:r>
              <w:t>-</w:t>
            </w:r>
          </w:p>
          <w:p w14:paraId="048776BA" w14:textId="77777777" w:rsidR="002E474C" w:rsidRDefault="00000000">
            <w:pPr>
              <w:pStyle w:val="w3"/>
            </w:pPr>
            <w:r>
              <w:rPr>
                <w:rFonts w:hint="eastAsia"/>
              </w:rPr>
              <w:t>区域削减污染源</w:t>
            </w:r>
          </w:p>
          <w:p w14:paraId="5BE27E88" w14:textId="77777777" w:rsidR="002E474C" w:rsidRDefault="00000000">
            <w:pPr>
              <w:pStyle w:val="w3"/>
            </w:pPr>
            <w:r>
              <w:rPr>
                <w:rFonts w:hint="eastAsia"/>
              </w:rPr>
              <w:t>＋</w:t>
            </w:r>
          </w:p>
          <w:p w14:paraId="1B1D13C1" w14:textId="77777777" w:rsidR="002E474C" w:rsidRDefault="00000000">
            <w:pPr>
              <w:pStyle w:val="w3"/>
            </w:pPr>
            <w:r>
              <w:rPr>
                <w:rFonts w:hint="eastAsia"/>
              </w:rPr>
              <w:t>其他在建、拟建的污染源</w:t>
            </w:r>
          </w:p>
        </w:tc>
        <w:tc>
          <w:tcPr>
            <w:tcW w:w="598" w:type="pct"/>
            <w:tcBorders>
              <w:top w:val="single" w:sz="4" w:space="0" w:color="auto"/>
              <w:left w:val="single" w:sz="4" w:space="0" w:color="auto"/>
              <w:bottom w:val="single" w:sz="4" w:space="0" w:color="auto"/>
              <w:right w:val="single" w:sz="4" w:space="0" w:color="auto"/>
            </w:tcBorders>
            <w:vAlign w:val="center"/>
          </w:tcPr>
          <w:p w14:paraId="458B9F9D" w14:textId="77777777" w:rsidR="002E474C" w:rsidRDefault="00000000">
            <w:pPr>
              <w:pStyle w:val="w3"/>
            </w:pPr>
            <w:r>
              <w:rPr>
                <w:rFonts w:hint="eastAsia"/>
              </w:rPr>
              <w:t>正常排放</w:t>
            </w:r>
          </w:p>
        </w:tc>
        <w:tc>
          <w:tcPr>
            <w:tcW w:w="600" w:type="pct"/>
            <w:tcBorders>
              <w:top w:val="single" w:sz="4" w:space="0" w:color="auto"/>
              <w:left w:val="single" w:sz="4" w:space="0" w:color="auto"/>
              <w:bottom w:val="single" w:sz="4" w:space="0" w:color="auto"/>
              <w:right w:val="single" w:sz="4" w:space="0" w:color="auto"/>
            </w:tcBorders>
            <w:vAlign w:val="center"/>
          </w:tcPr>
          <w:p w14:paraId="18773556" w14:textId="77777777" w:rsidR="002E474C" w:rsidRDefault="00000000">
            <w:pPr>
              <w:pStyle w:val="w3"/>
            </w:pPr>
            <w:r>
              <w:rPr>
                <w:rFonts w:hint="eastAsia"/>
              </w:rPr>
              <w:t>短期浓度</w:t>
            </w:r>
          </w:p>
          <w:p w14:paraId="3045DBEA" w14:textId="77777777" w:rsidR="002E474C" w:rsidRDefault="00000000">
            <w:pPr>
              <w:pStyle w:val="w3"/>
            </w:pPr>
            <w:r>
              <w:rPr>
                <w:rFonts w:hint="eastAsia"/>
              </w:rPr>
              <w:t>长期浓度</w:t>
            </w:r>
          </w:p>
        </w:tc>
        <w:tc>
          <w:tcPr>
            <w:tcW w:w="1754" w:type="pct"/>
            <w:tcBorders>
              <w:top w:val="single" w:sz="4" w:space="0" w:color="auto"/>
              <w:left w:val="single" w:sz="4" w:space="0" w:color="auto"/>
              <w:bottom w:val="single" w:sz="4" w:space="0" w:color="auto"/>
              <w:right w:val="single" w:sz="4" w:space="0" w:color="auto"/>
            </w:tcBorders>
            <w:vAlign w:val="center"/>
          </w:tcPr>
          <w:p w14:paraId="03127847" w14:textId="77777777" w:rsidR="002E474C" w:rsidRDefault="00000000">
            <w:pPr>
              <w:pStyle w:val="w3"/>
            </w:pPr>
            <w:r>
              <w:rPr>
                <w:rFonts w:hint="eastAsia"/>
              </w:rPr>
              <w:t>叠加现状背景浓度后的保证率日平均质量浓度和年平均质量浓度的占标率，或短期浓度的达标情况；年平均质量浓度变化率</w:t>
            </w:r>
          </w:p>
        </w:tc>
      </w:tr>
      <w:tr w:rsidR="002E474C" w14:paraId="501461C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D6BBD8C" w14:textId="77777777" w:rsidR="002E474C" w:rsidRDefault="002E474C">
            <w:pPr>
              <w:widowControl/>
              <w:jc w:val="left"/>
              <w:rPr>
                <w:bCs/>
                <w:sz w:val="18"/>
                <w:szCs w:val="18"/>
                <w:u w:color="000000"/>
                <w:lang w:val="zh-CN" w:bidi="en-US"/>
              </w:rPr>
            </w:pPr>
          </w:p>
        </w:tc>
        <w:tc>
          <w:tcPr>
            <w:tcW w:w="1443" w:type="pct"/>
            <w:tcBorders>
              <w:top w:val="single" w:sz="4" w:space="0" w:color="auto"/>
              <w:left w:val="single" w:sz="4" w:space="0" w:color="auto"/>
              <w:bottom w:val="single" w:sz="4" w:space="0" w:color="auto"/>
              <w:right w:val="single" w:sz="4" w:space="0" w:color="auto"/>
            </w:tcBorders>
            <w:vAlign w:val="center"/>
          </w:tcPr>
          <w:p w14:paraId="2953A7A9" w14:textId="77777777" w:rsidR="002E474C" w:rsidRDefault="00000000">
            <w:pPr>
              <w:pStyle w:val="w3"/>
            </w:pPr>
            <w:r>
              <w:rPr>
                <w:rFonts w:hint="eastAsia"/>
              </w:rPr>
              <w:t>新增污染源</w:t>
            </w:r>
          </w:p>
        </w:tc>
        <w:tc>
          <w:tcPr>
            <w:tcW w:w="598" w:type="pct"/>
            <w:tcBorders>
              <w:top w:val="single" w:sz="4" w:space="0" w:color="auto"/>
              <w:left w:val="single" w:sz="4" w:space="0" w:color="auto"/>
              <w:bottom w:val="single" w:sz="4" w:space="0" w:color="auto"/>
              <w:right w:val="single" w:sz="4" w:space="0" w:color="auto"/>
            </w:tcBorders>
            <w:vAlign w:val="center"/>
          </w:tcPr>
          <w:p w14:paraId="0953C55B" w14:textId="77777777" w:rsidR="002E474C" w:rsidRDefault="00000000">
            <w:pPr>
              <w:pStyle w:val="w3"/>
            </w:pPr>
            <w:r>
              <w:rPr>
                <w:rFonts w:hint="eastAsia"/>
              </w:rPr>
              <w:t>非正常排放</w:t>
            </w:r>
          </w:p>
        </w:tc>
        <w:tc>
          <w:tcPr>
            <w:tcW w:w="600" w:type="pct"/>
            <w:tcBorders>
              <w:top w:val="single" w:sz="4" w:space="0" w:color="auto"/>
              <w:left w:val="single" w:sz="4" w:space="0" w:color="auto"/>
              <w:bottom w:val="single" w:sz="4" w:space="0" w:color="auto"/>
              <w:right w:val="single" w:sz="4" w:space="0" w:color="auto"/>
            </w:tcBorders>
            <w:vAlign w:val="center"/>
          </w:tcPr>
          <w:p w14:paraId="6DC6E80E" w14:textId="77777777" w:rsidR="002E474C" w:rsidRDefault="00000000">
            <w:pPr>
              <w:pStyle w:val="w3"/>
            </w:pPr>
            <w:r>
              <w:t>1h</w:t>
            </w:r>
            <w:r>
              <w:rPr>
                <w:rFonts w:hint="eastAsia"/>
              </w:rPr>
              <w:t>平均质量浓度</w:t>
            </w:r>
          </w:p>
        </w:tc>
        <w:tc>
          <w:tcPr>
            <w:tcW w:w="1754" w:type="pct"/>
            <w:tcBorders>
              <w:top w:val="single" w:sz="4" w:space="0" w:color="auto"/>
              <w:left w:val="single" w:sz="4" w:space="0" w:color="auto"/>
              <w:bottom w:val="single" w:sz="4" w:space="0" w:color="auto"/>
              <w:right w:val="single" w:sz="4" w:space="0" w:color="auto"/>
            </w:tcBorders>
            <w:vAlign w:val="center"/>
          </w:tcPr>
          <w:p w14:paraId="02C1638A" w14:textId="77777777" w:rsidR="002E474C" w:rsidRDefault="00000000">
            <w:pPr>
              <w:pStyle w:val="w3"/>
            </w:pPr>
            <w:r>
              <w:rPr>
                <w:rFonts w:hint="eastAsia"/>
              </w:rPr>
              <w:t>最大浓度占标率</w:t>
            </w:r>
          </w:p>
        </w:tc>
      </w:tr>
      <w:tr w:rsidR="002E474C" w14:paraId="185A8B4E" w14:textId="77777777">
        <w:trPr>
          <w:trHeight w:val="397"/>
        </w:trPr>
        <w:tc>
          <w:tcPr>
            <w:tcW w:w="605" w:type="pct"/>
            <w:tcBorders>
              <w:top w:val="single" w:sz="4" w:space="0" w:color="auto"/>
              <w:left w:val="single" w:sz="4" w:space="0" w:color="auto"/>
              <w:bottom w:val="single" w:sz="4" w:space="0" w:color="auto"/>
              <w:right w:val="single" w:sz="4" w:space="0" w:color="auto"/>
            </w:tcBorders>
            <w:vAlign w:val="center"/>
          </w:tcPr>
          <w:p w14:paraId="38F6DA92" w14:textId="77777777" w:rsidR="002E474C" w:rsidRDefault="00000000">
            <w:pPr>
              <w:pStyle w:val="w3"/>
            </w:pPr>
            <w:r>
              <w:rPr>
                <w:rFonts w:hint="eastAsia"/>
              </w:rPr>
              <w:t>大气环境防护距离</w:t>
            </w:r>
          </w:p>
        </w:tc>
        <w:tc>
          <w:tcPr>
            <w:tcW w:w="1443" w:type="pct"/>
            <w:tcBorders>
              <w:top w:val="single" w:sz="4" w:space="0" w:color="auto"/>
              <w:left w:val="single" w:sz="4" w:space="0" w:color="auto"/>
              <w:bottom w:val="single" w:sz="4" w:space="0" w:color="auto"/>
              <w:right w:val="single" w:sz="4" w:space="0" w:color="auto"/>
            </w:tcBorders>
            <w:vAlign w:val="center"/>
          </w:tcPr>
          <w:p w14:paraId="712BD905" w14:textId="77777777" w:rsidR="002E474C" w:rsidRDefault="00000000">
            <w:pPr>
              <w:pStyle w:val="w3"/>
            </w:pPr>
            <w:r>
              <w:rPr>
                <w:rFonts w:hint="eastAsia"/>
              </w:rPr>
              <w:t>新增污染源</w:t>
            </w:r>
          </w:p>
          <w:p w14:paraId="3A3187AF" w14:textId="77777777" w:rsidR="002E474C" w:rsidRDefault="00000000">
            <w:pPr>
              <w:pStyle w:val="w3"/>
            </w:pPr>
            <w:r>
              <w:rPr>
                <w:rFonts w:hint="eastAsia"/>
              </w:rPr>
              <w:t>（无全厂现有污染源）</w:t>
            </w:r>
          </w:p>
        </w:tc>
        <w:tc>
          <w:tcPr>
            <w:tcW w:w="598" w:type="pct"/>
            <w:tcBorders>
              <w:top w:val="single" w:sz="4" w:space="0" w:color="auto"/>
              <w:left w:val="single" w:sz="4" w:space="0" w:color="auto"/>
              <w:bottom w:val="single" w:sz="4" w:space="0" w:color="auto"/>
              <w:right w:val="single" w:sz="4" w:space="0" w:color="auto"/>
            </w:tcBorders>
            <w:vAlign w:val="center"/>
          </w:tcPr>
          <w:p w14:paraId="192F0996" w14:textId="77777777" w:rsidR="002E474C" w:rsidRDefault="00000000">
            <w:pPr>
              <w:pStyle w:val="w3"/>
            </w:pPr>
            <w:r>
              <w:rPr>
                <w:rFonts w:hint="eastAsia"/>
              </w:rPr>
              <w:t>正常排放</w:t>
            </w:r>
          </w:p>
        </w:tc>
        <w:tc>
          <w:tcPr>
            <w:tcW w:w="600" w:type="pct"/>
            <w:tcBorders>
              <w:top w:val="single" w:sz="4" w:space="0" w:color="auto"/>
              <w:left w:val="single" w:sz="4" w:space="0" w:color="auto"/>
              <w:bottom w:val="single" w:sz="4" w:space="0" w:color="auto"/>
              <w:right w:val="single" w:sz="4" w:space="0" w:color="auto"/>
            </w:tcBorders>
            <w:vAlign w:val="center"/>
          </w:tcPr>
          <w:p w14:paraId="3C8F7E22" w14:textId="77777777" w:rsidR="002E474C" w:rsidRDefault="00000000">
            <w:pPr>
              <w:pStyle w:val="w3"/>
            </w:pPr>
            <w:r>
              <w:rPr>
                <w:rFonts w:hint="eastAsia"/>
              </w:rPr>
              <w:t>短期浓度</w:t>
            </w:r>
          </w:p>
        </w:tc>
        <w:tc>
          <w:tcPr>
            <w:tcW w:w="1754" w:type="pct"/>
            <w:tcBorders>
              <w:top w:val="single" w:sz="4" w:space="0" w:color="auto"/>
              <w:left w:val="single" w:sz="4" w:space="0" w:color="auto"/>
              <w:bottom w:val="single" w:sz="4" w:space="0" w:color="auto"/>
              <w:right w:val="single" w:sz="4" w:space="0" w:color="auto"/>
            </w:tcBorders>
            <w:vAlign w:val="center"/>
          </w:tcPr>
          <w:p w14:paraId="67E6B27E" w14:textId="77777777" w:rsidR="002E474C" w:rsidRDefault="00000000">
            <w:pPr>
              <w:pStyle w:val="w3"/>
            </w:pPr>
            <w:r>
              <w:rPr>
                <w:rFonts w:hint="eastAsia"/>
              </w:rPr>
              <w:t>大气环境防护距离</w:t>
            </w:r>
          </w:p>
        </w:tc>
      </w:tr>
    </w:tbl>
    <w:p w14:paraId="649EE8A7" w14:textId="77777777" w:rsidR="002E474C" w:rsidRDefault="002E474C">
      <w:pPr>
        <w:snapToGrid w:val="0"/>
        <w:ind w:firstLineChars="200" w:firstLine="400"/>
        <w:jc w:val="left"/>
        <w:rPr>
          <w:sz w:val="20"/>
          <w:szCs w:val="24"/>
        </w:rPr>
      </w:pPr>
    </w:p>
    <w:p w14:paraId="3F504D26" w14:textId="77777777" w:rsidR="002E474C" w:rsidRDefault="00000000">
      <w:pPr>
        <w:overflowPunct w:val="0"/>
        <w:spacing w:line="360" w:lineRule="auto"/>
        <w:ind w:firstLineChars="200" w:firstLine="420"/>
      </w:pPr>
      <w:r>
        <w:rPr>
          <w:rFonts w:ascii="宋体" w:hAnsi="宋体" w:cs="宋体" w:hint="eastAsia"/>
        </w:rPr>
        <w:t>具体预测内容主要包括：</w:t>
      </w:r>
    </w:p>
    <w:p w14:paraId="06AC75A9" w14:textId="77777777" w:rsidR="002E474C" w:rsidRDefault="00000000">
      <w:pPr>
        <w:overflowPunct w:val="0"/>
        <w:spacing w:line="360" w:lineRule="auto"/>
        <w:ind w:firstLineChars="200" w:firstLine="420"/>
      </w:pPr>
      <w:r>
        <w:rPr>
          <w:rFonts w:ascii="宋体" w:hAnsi="宋体" w:cs="宋体" w:hint="eastAsia"/>
        </w:rPr>
        <w:t>（</w:t>
      </w:r>
      <w:r>
        <w:rPr>
          <w:rFonts w:hint="eastAsia"/>
        </w:rPr>
        <w:t>1</w:t>
      </w:r>
      <w:r>
        <w:rPr>
          <w:rFonts w:ascii="宋体" w:hAnsi="宋体" w:cs="宋体" w:hint="eastAsia"/>
        </w:rPr>
        <w:t>）项目正常排放条件下，预测环境空气保护目标和网格点主要污染物的短期浓度和长期年均浓度贡献值，评价其最大浓度占标率。</w:t>
      </w:r>
    </w:p>
    <w:p w14:paraId="212A997B" w14:textId="77777777" w:rsidR="002E474C" w:rsidRDefault="00000000">
      <w:pPr>
        <w:overflowPunct w:val="0"/>
        <w:spacing w:line="360" w:lineRule="auto"/>
        <w:ind w:firstLineChars="200" w:firstLine="420"/>
      </w:pPr>
      <w:r>
        <w:rPr>
          <w:rFonts w:ascii="宋体" w:hAnsi="宋体" w:cs="宋体" w:hint="eastAsia"/>
        </w:rPr>
        <w:t>（</w:t>
      </w:r>
      <w:r>
        <w:rPr>
          <w:rFonts w:hint="eastAsia"/>
        </w:rPr>
        <w:t>2</w:t>
      </w:r>
      <w:r>
        <w:rPr>
          <w:rFonts w:ascii="宋体" w:hAnsi="宋体" w:cs="宋体" w:hint="eastAsia"/>
        </w:rPr>
        <w:t>）项目正常排放条件下，预测评价叠加环境空气质量现状浓度、同时叠加在建、拟建项目的环境影响后环境空气保护目标和网格点主要污染物保证率日平均浓度和年平均质量浓度的达标情况；对于</w:t>
      </w:r>
      <w:r>
        <w:t>HCl</w:t>
      </w:r>
      <w:r>
        <w:rPr>
          <w:rFonts w:hint="eastAsia"/>
        </w:rPr>
        <w:t>、</w:t>
      </w:r>
      <w:r>
        <w:rPr>
          <w:rFonts w:hint="eastAsia"/>
        </w:rPr>
        <w:t>HF</w:t>
      </w:r>
      <w:r>
        <w:rPr>
          <w:rFonts w:hint="eastAsia"/>
        </w:rPr>
        <w:t>、</w:t>
      </w:r>
      <w:r>
        <w:rPr>
          <w:rFonts w:ascii="宋体" w:hAnsi="宋体" w:cs="宋体" w:hint="eastAsia"/>
        </w:rPr>
        <w:t>非甲烷总烃、</w:t>
      </w:r>
      <w:r>
        <w:rPr>
          <w:rFonts w:hint="eastAsia"/>
        </w:rPr>
        <w:t>NH</w:t>
      </w:r>
      <w:r>
        <w:rPr>
          <w:rFonts w:hint="eastAsia"/>
          <w:vertAlign w:val="subscript"/>
        </w:rPr>
        <w:t>3</w:t>
      </w:r>
      <w:r>
        <w:rPr>
          <w:rFonts w:ascii="宋体" w:hAnsi="宋体" w:cs="宋体" w:hint="eastAsia"/>
        </w:rPr>
        <w:t>、</w:t>
      </w:r>
      <w:r>
        <w:rPr>
          <w:rFonts w:hint="eastAsia"/>
        </w:rPr>
        <w:t>H</w:t>
      </w:r>
      <w:r>
        <w:rPr>
          <w:rFonts w:hint="eastAsia"/>
          <w:vertAlign w:val="subscript"/>
        </w:rPr>
        <w:t>2</w:t>
      </w:r>
      <w:r>
        <w:rPr>
          <w:rFonts w:hint="eastAsia"/>
        </w:rPr>
        <w:t>S</w:t>
      </w:r>
      <w:r>
        <w:rPr>
          <w:rFonts w:ascii="宋体" w:hAnsi="宋体" w:cs="宋体" w:hint="eastAsia"/>
        </w:rPr>
        <w:t>、</w:t>
      </w:r>
      <w:r>
        <w:t>Mn</w:t>
      </w:r>
      <w:r>
        <w:rPr>
          <w:rFonts w:hint="eastAsia"/>
        </w:rPr>
        <w:t>、</w:t>
      </w:r>
      <w:r>
        <w:rPr>
          <w:rFonts w:hint="eastAsia"/>
        </w:rPr>
        <w:t>N</w:t>
      </w:r>
      <w:r>
        <w:t>i</w:t>
      </w:r>
      <w:r>
        <w:rPr>
          <w:rFonts w:ascii="宋体" w:hAnsi="宋体" w:cs="宋体" w:hint="eastAsia"/>
        </w:rPr>
        <w:t>等仅有短期浓度限值的，评价其短期浓度叠加后的达标情况。</w:t>
      </w:r>
    </w:p>
    <w:p w14:paraId="7A4EC94A" w14:textId="77777777" w:rsidR="002E474C" w:rsidRDefault="00000000">
      <w:pPr>
        <w:overflowPunct w:val="0"/>
        <w:spacing w:line="360" w:lineRule="auto"/>
        <w:ind w:firstLineChars="200" w:firstLine="420"/>
      </w:pPr>
      <w:r>
        <w:rPr>
          <w:rFonts w:ascii="宋体" w:hAnsi="宋体" w:cs="宋体" w:hint="eastAsia"/>
        </w:rPr>
        <w:t>（</w:t>
      </w:r>
      <w:r>
        <w:t>3</w:t>
      </w:r>
      <w:r>
        <w:rPr>
          <w:rFonts w:ascii="宋体" w:hAnsi="宋体" w:cs="宋体" w:hint="eastAsia"/>
        </w:rPr>
        <w:t>）项目非正常排放条件下，预测环境空气保护目标和网格点主要污染物</w:t>
      </w:r>
      <w:r>
        <w:rPr>
          <w:rFonts w:hint="eastAsia"/>
        </w:rPr>
        <w:t>SO</w:t>
      </w:r>
      <w:r>
        <w:rPr>
          <w:rFonts w:hint="eastAsia"/>
          <w:vertAlign w:val="subscript"/>
        </w:rPr>
        <w:t>2</w:t>
      </w:r>
      <w:r>
        <w:rPr>
          <w:rFonts w:ascii="宋体" w:hAnsi="宋体" w:cs="宋体" w:hint="eastAsia"/>
        </w:rPr>
        <w:t>、</w:t>
      </w:r>
      <w:r>
        <w:rPr>
          <w:rFonts w:hint="eastAsia"/>
        </w:rPr>
        <w:t>NO</w:t>
      </w:r>
      <w:r>
        <w:rPr>
          <w:rFonts w:hint="eastAsia"/>
          <w:vertAlign w:val="subscript"/>
        </w:rPr>
        <w:t>2</w:t>
      </w:r>
      <w:r>
        <w:rPr>
          <w:rFonts w:ascii="宋体" w:hAnsi="宋体" w:cs="宋体" w:hint="eastAsia"/>
        </w:rPr>
        <w:t>、</w:t>
      </w:r>
      <w:r>
        <w:rPr>
          <w:rFonts w:hint="eastAsia"/>
        </w:rPr>
        <w:t>H</w:t>
      </w:r>
      <w:r>
        <w:rPr>
          <w:rFonts w:hint="eastAsia"/>
          <w:vertAlign w:val="subscript"/>
        </w:rPr>
        <w:t>2</w:t>
      </w:r>
      <w:r>
        <w:rPr>
          <w:rFonts w:hint="eastAsia"/>
        </w:rPr>
        <w:t>S</w:t>
      </w:r>
      <w:r>
        <w:rPr>
          <w:rFonts w:ascii="宋体" w:hAnsi="宋体" w:cs="宋体" w:hint="eastAsia"/>
        </w:rPr>
        <w:t>、甲醇、非甲烷总烃、</w:t>
      </w:r>
      <w:r>
        <w:rPr>
          <w:rFonts w:hint="eastAsia"/>
        </w:rPr>
        <w:t>HCN</w:t>
      </w:r>
      <w:r>
        <w:rPr>
          <w:rFonts w:hint="eastAsia"/>
        </w:rPr>
        <w:t>、酚类</w:t>
      </w:r>
      <w:r>
        <w:rPr>
          <w:rFonts w:ascii="宋体" w:hAnsi="宋体" w:cs="宋体" w:hint="eastAsia"/>
        </w:rPr>
        <w:t>等的</w:t>
      </w:r>
      <w:r>
        <w:rPr>
          <w:rFonts w:hint="eastAsia"/>
        </w:rPr>
        <w:t>1h</w:t>
      </w:r>
      <w:r>
        <w:rPr>
          <w:rFonts w:ascii="宋体" w:hAnsi="宋体" w:cs="宋体" w:hint="eastAsia"/>
        </w:rPr>
        <w:t>最大浓度贡献值，评价其最大浓度占标率。</w:t>
      </w:r>
    </w:p>
    <w:p w14:paraId="3B8D1245" w14:textId="77777777" w:rsidR="002E474C" w:rsidRDefault="00000000">
      <w:pPr>
        <w:pStyle w:val="A-z"/>
        <w:rPr>
          <w:color w:val="auto"/>
        </w:rPr>
      </w:pPr>
      <w:r>
        <w:rPr>
          <w:rFonts w:ascii="宋体" w:hAnsi="宋体" w:cs="宋体" w:hint="eastAsia"/>
          <w:color w:val="auto"/>
        </w:rPr>
        <w:t>（</w:t>
      </w:r>
      <w:r>
        <w:rPr>
          <w:color w:val="auto"/>
        </w:rPr>
        <w:t>4</w:t>
      </w:r>
      <w:r>
        <w:rPr>
          <w:rFonts w:ascii="宋体" w:hAnsi="宋体" w:cs="宋体" w:hint="eastAsia"/>
          <w:color w:val="auto"/>
        </w:rPr>
        <w:t>）项目正常排放条件下，预测主要污染物的在厂界附近的短期浓度，计算大气环境防护距离。</w:t>
      </w:r>
    </w:p>
    <w:p w14:paraId="11543FCB" w14:textId="77777777" w:rsidR="002E474C" w:rsidRDefault="00000000">
      <w:pPr>
        <w:pStyle w:val="31"/>
        <w:spacing w:before="120" w:after="120"/>
        <w:rPr>
          <w:color w:val="auto"/>
        </w:rPr>
      </w:pPr>
      <w:r>
        <w:rPr>
          <w:rFonts w:hint="eastAsia"/>
          <w:color w:val="auto"/>
        </w:rPr>
        <w:t>1</w:t>
      </w:r>
      <w:r>
        <w:rPr>
          <w:color w:val="auto"/>
        </w:rPr>
        <w:t>评价因子和评价标准</w:t>
      </w:r>
    </w:p>
    <w:p w14:paraId="68200119" w14:textId="77777777" w:rsidR="002E474C" w:rsidRDefault="00000000">
      <w:pPr>
        <w:pStyle w:val="A-z"/>
        <w:rPr>
          <w:color w:val="auto"/>
        </w:rPr>
      </w:pPr>
      <w:bookmarkStart w:id="277" w:name="_Hlk151313850"/>
      <w:r>
        <w:rPr>
          <w:color w:val="auto"/>
        </w:rPr>
        <w:t>根据工程分析，结合《环境影响评价技术导则</w:t>
      </w:r>
      <w:r>
        <w:rPr>
          <w:color w:val="auto"/>
        </w:rPr>
        <w:t xml:space="preserve"> </w:t>
      </w:r>
      <w:r>
        <w:rPr>
          <w:color w:val="auto"/>
        </w:rPr>
        <w:t>大气环境》（</w:t>
      </w:r>
      <w:r>
        <w:rPr>
          <w:color w:val="auto"/>
        </w:rPr>
        <w:t>HJ2.2-2018</w:t>
      </w:r>
      <w:r>
        <w:rPr>
          <w:color w:val="auto"/>
        </w:rPr>
        <w:t>）的要求，选取本项目排放的有环境质量标准的评价因子作为预测因子</w:t>
      </w:r>
      <w:bookmarkEnd w:id="277"/>
      <w:r>
        <w:rPr>
          <w:color w:val="auto"/>
        </w:rPr>
        <w:t>，预测因子和评价标准具体见表</w:t>
      </w:r>
      <w:r>
        <w:rPr>
          <w:color w:val="auto"/>
        </w:rPr>
        <w:t>5.1</w:t>
      </w:r>
      <w:r>
        <w:rPr>
          <w:color w:val="auto"/>
        </w:rPr>
        <w:noBreakHyphen/>
        <w:t>17</w:t>
      </w:r>
      <w:r>
        <w:rPr>
          <w:color w:val="auto"/>
        </w:rPr>
        <w:t>。</w:t>
      </w:r>
    </w:p>
    <w:p w14:paraId="5987C498" w14:textId="77777777" w:rsidR="002E474C" w:rsidRDefault="00000000">
      <w:pPr>
        <w:pStyle w:val="A--"/>
        <w:spacing w:beforeLines="0" w:before="0"/>
        <w:rPr>
          <w:color w:val="auto"/>
        </w:rPr>
      </w:pPr>
      <w:bookmarkStart w:id="278" w:name="_Ref108090267"/>
      <w:r>
        <w:rPr>
          <w:color w:val="auto"/>
        </w:rPr>
        <w:t>表</w:t>
      </w:r>
      <w:r>
        <w:rPr>
          <w:color w:val="auto"/>
        </w:rPr>
        <w:t>5.1</w:t>
      </w:r>
      <w:r>
        <w:rPr>
          <w:color w:val="auto"/>
        </w:rPr>
        <w:noBreakHyphen/>
        <w:t>1</w:t>
      </w:r>
      <w:bookmarkEnd w:id="278"/>
      <w:r>
        <w:rPr>
          <w:color w:val="auto"/>
        </w:rPr>
        <w:t xml:space="preserve">7  </w:t>
      </w:r>
      <w:r>
        <w:rPr>
          <w:color w:val="auto"/>
        </w:rPr>
        <w:t>预测因子和评价标准表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140"/>
        <w:gridCol w:w="2056"/>
        <w:gridCol w:w="2602"/>
      </w:tblGrid>
      <w:tr w:rsidR="002E474C" w14:paraId="78083CF9" w14:textId="77777777">
        <w:tc>
          <w:tcPr>
            <w:tcW w:w="1506" w:type="pct"/>
          </w:tcPr>
          <w:p w14:paraId="488DD954" w14:textId="77777777" w:rsidR="002E474C" w:rsidRDefault="00000000">
            <w:pPr>
              <w:pStyle w:val="A-"/>
            </w:pPr>
            <w:r>
              <w:t>评价因子</w:t>
            </w:r>
          </w:p>
        </w:tc>
        <w:tc>
          <w:tcPr>
            <w:tcW w:w="687" w:type="pct"/>
          </w:tcPr>
          <w:p w14:paraId="04D74AC1" w14:textId="77777777" w:rsidR="002E474C" w:rsidRDefault="00000000">
            <w:pPr>
              <w:pStyle w:val="A-"/>
            </w:pPr>
            <w:r>
              <w:t>取值时间</w:t>
            </w:r>
          </w:p>
        </w:tc>
        <w:tc>
          <w:tcPr>
            <w:tcW w:w="1239" w:type="pct"/>
          </w:tcPr>
          <w:p w14:paraId="525B7C6B" w14:textId="77777777" w:rsidR="002E474C" w:rsidRDefault="00000000">
            <w:pPr>
              <w:pStyle w:val="A-"/>
            </w:pPr>
            <w:r>
              <w:t>标准限值（</w:t>
            </w:r>
            <w:proofErr w:type="spellStart"/>
            <w:r>
              <w:t>μg</w:t>
            </w:r>
            <w:proofErr w:type="spellEnd"/>
            <w:r>
              <w:t>/m</w:t>
            </w:r>
            <w:r>
              <w:rPr>
                <w:vertAlign w:val="superscript"/>
              </w:rPr>
              <w:t>3</w:t>
            </w:r>
            <w:r>
              <w:t>）</w:t>
            </w:r>
          </w:p>
        </w:tc>
        <w:tc>
          <w:tcPr>
            <w:tcW w:w="1568" w:type="pct"/>
          </w:tcPr>
          <w:p w14:paraId="1AC0F874" w14:textId="77777777" w:rsidR="002E474C" w:rsidRDefault="00000000">
            <w:pPr>
              <w:pStyle w:val="A-"/>
            </w:pPr>
            <w:r>
              <w:t>标准来源</w:t>
            </w:r>
          </w:p>
        </w:tc>
      </w:tr>
      <w:tr w:rsidR="002E474C" w14:paraId="09488632" w14:textId="77777777">
        <w:tc>
          <w:tcPr>
            <w:tcW w:w="1506" w:type="pct"/>
            <w:vMerge w:val="restart"/>
          </w:tcPr>
          <w:p w14:paraId="6F181D8E" w14:textId="77777777" w:rsidR="002E474C" w:rsidRDefault="00000000">
            <w:pPr>
              <w:pStyle w:val="A-"/>
            </w:pPr>
            <w:r>
              <w:t>Pb</w:t>
            </w:r>
          </w:p>
        </w:tc>
        <w:tc>
          <w:tcPr>
            <w:tcW w:w="687" w:type="pct"/>
          </w:tcPr>
          <w:p w14:paraId="0B32CF98" w14:textId="77777777" w:rsidR="002E474C" w:rsidRDefault="00000000">
            <w:pPr>
              <w:pStyle w:val="A-"/>
            </w:pPr>
            <w:r>
              <w:t>年平均</w:t>
            </w:r>
          </w:p>
        </w:tc>
        <w:tc>
          <w:tcPr>
            <w:tcW w:w="1239" w:type="pct"/>
          </w:tcPr>
          <w:p w14:paraId="3752A933" w14:textId="77777777" w:rsidR="002E474C" w:rsidRDefault="00000000">
            <w:pPr>
              <w:pStyle w:val="A-"/>
            </w:pPr>
            <w:r>
              <w:t>0.5</w:t>
            </w:r>
          </w:p>
        </w:tc>
        <w:tc>
          <w:tcPr>
            <w:tcW w:w="1568" w:type="pct"/>
            <w:vMerge w:val="restart"/>
          </w:tcPr>
          <w:p w14:paraId="7931DF18" w14:textId="77777777" w:rsidR="002E474C" w:rsidRDefault="00000000">
            <w:pPr>
              <w:pStyle w:val="A-"/>
            </w:pPr>
            <w:r>
              <w:t>《环境空气质量标准》（</w:t>
            </w:r>
            <w:r>
              <w:t>GB3095-2026</w:t>
            </w:r>
            <w:r>
              <w:t>）二级浓度限值</w:t>
            </w:r>
          </w:p>
        </w:tc>
      </w:tr>
      <w:tr w:rsidR="002E474C" w14:paraId="3146AAFE" w14:textId="77777777">
        <w:tc>
          <w:tcPr>
            <w:tcW w:w="1506" w:type="pct"/>
            <w:vMerge/>
          </w:tcPr>
          <w:p w14:paraId="3E50E3FC" w14:textId="77777777" w:rsidR="002E474C" w:rsidRDefault="002E474C">
            <w:pPr>
              <w:pStyle w:val="A-"/>
            </w:pPr>
          </w:p>
        </w:tc>
        <w:tc>
          <w:tcPr>
            <w:tcW w:w="687" w:type="pct"/>
          </w:tcPr>
          <w:p w14:paraId="404720C0" w14:textId="77777777" w:rsidR="002E474C" w:rsidRDefault="00000000">
            <w:pPr>
              <w:pStyle w:val="A-"/>
            </w:pPr>
            <w:r>
              <w:t>日平均</w:t>
            </w:r>
          </w:p>
        </w:tc>
        <w:tc>
          <w:tcPr>
            <w:tcW w:w="1239" w:type="pct"/>
          </w:tcPr>
          <w:p w14:paraId="03C0364D" w14:textId="77777777" w:rsidR="002E474C" w:rsidRDefault="00000000">
            <w:pPr>
              <w:pStyle w:val="A-"/>
            </w:pPr>
            <w:r>
              <w:t>1</w:t>
            </w:r>
            <w:r>
              <w:rPr>
                <w:vertAlign w:val="superscript"/>
              </w:rPr>
              <w:t>①</w:t>
            </w:r>
          </w:p>
        </w:tc>
        <w:tc>
          <w:tcPr>
            <w:tcW w:w="1568" w:type="pct"/>
            <w:vMerge/>
          </w:tcPr>
          <w:p w14:paraId="7FEFE58F" w14:textId="77777777" w:rsidR="002E474C" w:rsidRDefault="002E474C">
            <w:pPr>
              <w:pStyle w:val="A-"/>
            </w:pPr>
          </w:p>
        </w:tc>
      </w:tr>
      <w:tr w:rsidR="002E474C" w14:paraId="21DE12D9" w14:textId="77777777">
        <w:tc>
          <w:tcPr>
            <w:tcW w:w="1506" w:type="pct"/>
            <w:vMerge w:val="restart"/>
          </w:tcPr>
          <w:p w14:paraId="7F1A987A" w14:textId="77777777" w:rsidR="002E474C" w:rsidRDefault="00000000">
            <w:pPr>
              <w:pStyle w:val="A-"/>
            </w:pPr>
            <w:r>
              <w:t>Cd</w:t>
            </w:r>
          </w:p>
        </w:tc>
        <w:tc>
          <w:tcPr>
            <w:tcW w:w="687" w:type="pct"/>
          </w:tcPr>
          <w:p w14:paraId="3A588817" w14:textId="77777777" w:rsidR="002E474C" w:rsidRDefault="00000000">
            <w:pPr>
              <w:pStyle w:val="A-"/>
            </w:pPr>
            <w:r>
              <w:t>年平均</w:t>
            </w:r>
          </w:p>
        </w:tc>
        <w:tc>
          <w:tcPr>
            <w:tcW w:w="1239" w:type="pct"/>
          </w:tcPr>
          <w:p w14:paraId="7169B949" w14:textId="77777777" w:rsidR="002E474C" w:rsidRDefault="00000000">
            <w:pPr>
              <w:pStyle w:val="A-"/>
            </w:pPr>
            <w:r>
              <w:t>0.005</w:t>
            </w:r>
          </w:p>
        </w:tc>
        <w:tc>
          <w:tcPr>
            <w:tcW w:w="1568" w:type="pct"/>
            <w:vMerge/>
          </w:tcPr>
          <w:p w14:paraId="7FF62B0A" w14:textId="77777777" w:rsidR="002E474C" w:rsidRDefault="002E474C">
            <w:pPr>
              <w:pStyle w:val="A-"/>
            </w:pPr>
          </w:p>
        </w:tc>
      </w:tr>
      <w:tr w:rsidR="002E474C" w14:paraId="68CEAF75" w14:textId="77777777">
        <w:tc>
          <w:tcPr>
            <w:tcW w:w="1506" w:type="pct"/>
            <w:vMerge/>
          </w:tcPr>
          <w:p w14:paraId="5F85DE2E" w14:textId="77777777" w:rsidR="002E474C" w:rsidRDefault="002E474C">
            <w:pPr>
              <w:pStyle w:val="A-"/>
            </w:pPr>
          </w:p>
        </w:tc>
        <w:tc>
          <w:tcPr>
            <w:tcW w:w="687" w:type="pct"/>
          </w:tcPr>
          <w:p w14:paraId="2DA97243" w14:textId="77777777" w:rsidR="002E474C" w:rsidRDefault="00000000">
            <w:pPr>
              <w:pStyle w:val="A-"/>
            </w:pPr>
            <w:r>
              <w:t>日平均</w:t>
            </w:r>
          </w:p>
        </w:tc>
        <w:tc>
          <w:tcPr>
            <w:tcW w:w="1239" w:type="pct"/>
          </w:tcPr>
          <w:p w14:paraId="58914F3A" w14:textId="77777777" w:rsidR="002E474C" w:rsidRDefault="00000000">
            <w:pPr>
              <w:pStyle w:val="A-"/>
            </w:pPr>
            <w:r>
              <w:t>0.01</w:t>
            </w:r>
            <w:r>
              <w:rPr>
                <w:vertAlign w:val="superscript"/>
              </w:rPr>
              <w:t>①</w:t>
            </w:r>
          </w:p>
        </w:tc>
        <w:tc>
          <w:tcPr>
            <w:tcW w:w="1568" w:type="pct"/>
            <w:vMerge/>
          </w:tcPr>
          <w:p w14:paraId="59994A92" w14:textId="77777777" w:rsidR="002E474C" w:rsidRDefault="002E474C">
            <w:pPr>
              <w:pStyle w:val="A-"/>
            </w:pPr>
          </w:p>
        </w:tc>
      </w:tr>
      <w:tr w:rsidR="002E474C" w14:paraId="04D73E1B" w14:textId="77777777">
        <w:tc>
          <w:tcPr>
            <w:tcW w:w="1506" w:type="pct"/>
            <w:vMerge w:val="restart"/>
          </w:tcPr>
          <w:p w14:paraId="5C2E1556" w14:textId="77777777" w:rsidR="002E474C" w:rsidRDefault="00000000">
            <w:pPr>
              <w:pStyle w:val="A-"/>
            </w:pPr>
            <w:r>
              <w:lastRenderedPageBreak/>
              <w:t>Hg</w:t>
            </w:r>
          </w:p>
        </w:tc>
        <w:tc>
          <w:tcPr>
            <w:tcW w:w="687" w:type="pct"/>
          </w:tcPr>
          <w:p w14:paraId="6EF56B6A" w14:textId="77777777" w:rsidR="002E474C" w:rsidRDefault="00000000">
            <w:pPr>
              <w:pStyle w:val="A-"/>
            </w:pPr>
            <w:r>
              <w:t>年平均</w:t>
            </w:r>
          </w:p>
        </w:tc>
        <w:tc>
          <w:tcPr>
            <w:tcW w:w="1239" w:type="pct"/>
          </w:tcPr>
          <w:p w14:paraId="5826C648" w14:textId="77777777" w:rsidR="002E474C" w:rsidRDefault="00000000">
            <w:pPr>
              <w:pStyle w:val="A-"/>
            </w:pPr>
            <w:r>
              <w:t>0.05</w:t>
            </w:r>
          </w:p>
        </w:tc>
        <w:tc>
          <w:tcPr>
            <w:tcW w:w="1568" w:type="pct"/>
            <w:vMerge/>
          </w:tcPr>
          <w:p w14:paraId="62918CE6" w14:textId="77777777" w:rsidR="002E474C" w:rsidRDefault="002E474C">
            <w:pPr>
              <w:pStyle w:val="A-"/>
            </w:pPr>
          </w:p>
        </w:tc>
      </w:tr>
      <w:tr w:rsidR="002E474C" w14:paraId="6EA16FA4" w14:textId="77777777">
        <w:tc>
          <w:tcPr>
            <w:tcW w:w="1506" w:type="pct"/>
            <w:vMerge/>
          </w:tcPr>
          <w:p w14:paraId="50765086" w14:textId="77777777" w:rsidR="002E474C" w:rsidRDefault="002E474C">
            <w:pPr>
              <w:pStyle w:val="A-"/>
            </w:pPr>
          </w:p>
        </w:tc>
        <w:tc>
          <w:tcPr>
            <w:tcW w:w="687" w:type="pct"/>
          </w:tcPr>
          <w:p w14:paraId="65FBFFCA" w14:textId="77777777" w:rsidR="002E474C" w:rsidRDefault="00000000">
            <w:pPr>
              <w:pStyle w:val="A-"/>
            </w:pPr>
            <w:r>
              <w:t>日平均</w:t>
            </w:r>
          </w:p>
        </w:tc>
        <w:tc>
          <w:tcPr>
            <w:tcW w:w="1239" w:type="pct"/>
          </w:tcPr>
          <w:p w14:paraId="0F90E3CB" w14:textId="77777777" w:rsidR="002E474C" w:rsidRDefault="00000000">
            <w:pPr>
              <w:pStyle w:val="A-"/>
            </w:pPr>
            <w:r>
              <w:t>0.1</w:t>
            </w:r>
            <w:r>
              <w:rPr>
                <w:vertAlign w:val="superscript"/>
              </w:rPr>
              <w:t>①</w:t>
            </w:r>
          </w:p>
        </w:tc>
        <w:tc>
          <w:tcPr>
            <w:tcW w:w="1568" w:type="pct"/>
            <w:vMerge/>
          </w:tcPr>
          <w:p w14:paraId="447F9C71" w14:textId="77777777" w:rsidR="002E474C" w:rsidRDefault="002E474C">
            <w:pPr>
              <w:pStyle w:val="A-"/>
            </w:pPr>
          </w:p>
        </w:tc>
      </w:tr>
      <w:tr w:rsidR="002E474C" w14:paraId="65AE50A1" w14:textId="77777777">
        <w:tc>
          <w:tcPr>
            <w:tcW w:w="1506" w:type="pct"/>
            <w:vMerge w:val="restart"/>
          </w:tcPr>
          <w:p w14:paraId="4244E98E" w14:textId="77777777" w:rsidR="002E474C" w:rsidRDefault="00000000">
            <w:pPr>
              <w:pStyle w:val="A-"/>
            </w:pPr>
            <w:r>
              <w:t>As</w:t>
            </w:r>
          </w:p>
        </w:tc>
        <w:tc>
          <w:tcPr>
            <w:tcW w:w="687" w:type="pct"/>
          </w:tcPr>
          <w:p w14:paraId="68C0B38A" w14:textId="77777777" w:rsidR="002E474C" w:rsidRDefault="00000000">
            <w:pPr>
              <w:pStyle w:val="A-"/>
            </w:pPr>
            <w:r>
              <w:t>年平均</w:t>
            </w:r>
          </w:p>
        </w:tc>
        <w:tc>
          <w:tcPr>
            <w:tcW w:w="1239" w:type="pct"/>
          </w:tcPr>
          <w:p w14:paraId="43B4B5DC" w14:textId="77777777" w:rsidR="002E474C" w:rsidRDefault="00000000">
            <w:pPr>
              <w:pStyle w:val="A-"/>
            </w:pPr>
            <w:r>
              <w:t>0.006</w:t>
            </w:r>
          </w:p>
        </w:tc>
        <w:tc>
          <w:tcPr>
            <w:tcW w:w="1568" w:type="pct"/>
            <w:vMerge/>
          </w:tcPr>
          <w:p w14:paraId="06B19503" w14:textId="77777777" w:rsidR="002E474C" w:rsidRDefault="002E474C">
            <w:pPr>
              <w:pStyle w:val="A-"/>
            </w:pPr>
          </w:p>
        </w:tc>
      </w:tr>
      <w:tr w:rsidR="002E474C" w14:paraId="06B325B5" w14:textId="77777777">
        <w:tc>
          <w:tcPr>
            <w:tcW w:w="1506" w:type="pct"/>
            <w:vMerge/>
          </w:tcPr>
          <w:p w14:paraId="6B5827B2" w14:textId="77777777" w:rsidR="002E474C" w:rsidRDefault="002E474C">
            <w:pPr>
              <w:pStyle w:val="A-"/>
            </w:pPr>
          </w:p>
        </w:tc>
        <w:tc>
          <w:tcPr>
            <w:tcW w:w="687" w:type="pct"/>
          </w:tcPr>
          <w:p w14:paraId="2FF7D77E" w14:textId="77777777" w:rsidR="002E474C" w:rsidRDefault="00000000">
            <w:pPr>
              <w:pStyle w:val="A-"/>
            </w:pPr>
            <w:r>
              <w:t>日平均</w:t>
            </w:r>
          </w:p>
        </w:tc>
        <w:tc>
          <w:tcPr>
            <w:tcW w:w="1239" w:type="pct"/>
          </w:tcPr>
          <w:p w14:paraId="5212D21E" w14:textId="77777777" w:rsidR="002E474C" w:rsidRDefault="00000000">
            <w:pPr>
              <w:pStyle w:val="A-"/>
            </w:pPr>
            <w:r>
              <w:t>0.012</w:t>
            </w:r>
            <w:r>
              <w:rPr>
                <w:vertAlign w:val="superscript"/>
              </w:rPr>
              <w:t>①</w:t>
            </w:r>
          </w:p>
        </w:tc>
        <w:tc>
          <w:tcPr>
            <w:tcW w:w="1568" w:type="pct"/>
            <w:vMerge/>
          </w:tcPr>
          <w:p w14:paraId="37139E78" w14:textId="77777777" w:rsidR="002E474C" w:rsidRDefault="002E474C">
            <w:pPr>
              <w:pStyle w:val="A-"/>
            </w:pPr>
          </w:p>
        </w:tc>
      </w:tr>
      <w:tr w:rsidR="002E474C" w14:paraId="4189CAE7" w14:textId="77777777">
        <w:tc>
          <w:tcPr>
            <w:tcW w:w="1506" w:type="pct"/>
            <w:vMerge w:val="restart"/>
          </w:tcPr>
          <w:p w14:paraId="21BA4881" w14:textId="77777777" w:rsidR="002E474C" w:rsidRDefault="00000000">
            <w:pPr>
              <w:pStyle w:val="A-"/>
            </w:pPr>
            <w:r>
              <w:t>Cr</w:t>
            </w:r>
            <w:r>
              <w:t>（</w:t>
            </w:r>
            <w:r>
              <w:t>Ⅵ</w:t>
            </w:r>
            <w:r>
              <w:t>）</w:t>
            </w:r>
          </w:p>
        </w:tc>
        <w:tc>
          <w:tcPr>
            <w:tcW w:w="687" w:type="pct"/>
          </w:tcPr>
          <w:p w14:paraId="027C35BD" w14:textId="77777777" w:rsidR="002E474C" w:rsidRDefault="00000000">
            <w:pPr>
              <w:pStyle w:val="A-"/>
            </w:pPr>
            <w:r>
              <w:t>年平均</w:t>
            </w:r>
          </w:p>
        </w:tc>
        <w:tc>
          <w:tcPr>
            <w:tcW w:w="1239" w:type="pct"/>
          </w:tcPr>
          <w:p w14:paraId="722641F7" w14:textId="77777777" w:rsidR="002E474C" w:rsidRDefault="00000000">
            <w:pPr>
              <w:pStyle w:val="A-"/>
            </w:pPr>
            <w:r>
              <w:t>0.000025</w:t>
            </w:r>
          </w:p>
        </w:tc>
        <w:tc>
          <w:tcPr>
            <w:tcW w:w="1568" w:type="pct"/>
            <w:vMerge/>
          </w:tcPr>
          <w:p w14:paraId="40BD8450" w14:textId="77777777" w:rsidR="002E474C" w:rsidRDefault="002E474C">
            <w:pPr>
              <w:pStyle w:val="A-"/>
            </w:pPr>
          </w:p>
        </w:tc>
      </w:tr>
      <w:tr w:rsidR="002E474C" w14:paraId="4AF070DC" w14:textId="77777777">
        <w:tc>
          <w:tcPr>
            <w:tcW w:w="1506" w:type="pct"/>
            <w:vMerge/>
          </w:tcPr>
          <w:p w14:paraId="5E39D197" w14:textId="77777777" w:rsidR="002E474C" w:rsidRDefault="002E474C">
            <w:pPr>
              <w:pStyle w:val="A-"/>
            </w:pPr>
          </w:p>
        </w:tc>
        <w:tc>
          <w:tcPr>
            <w:tcW w:w="687" w:type="pct"/>
          </w:tcPr>
          <w:p w14:paraId="6B2A673E" w14:textId="77777777" w:rsidR="002E474C" w:rsidRDefault="00000000">
            <w:pPr>
              <w:pStyle w:val="A-"/>
            </w:pPr>
            <w:r>
              <w:t>日平均</w:t>
            </w:r>
          </w:p>
        </w:tc>
        <w:tc>
          <w:tcPr>
            <w:tcW w:w="1239" w:type="pct"/>
          </w:tcPr>
          <w:p w14:paraId="54C7AA1C" w14:textId="77777777" w:rsidR="002E474C" w:rsidRDefault="00000000">
            <w:pPr>
              <w:pStyle w:val="A-"/>
            </w:pPr>
            <w:r>
              <w:t>0.00005</w:t>
            </w:r>
            <w:r>
              <w:rPr>
                <w:vertAlign w:val="superscript"/>
              </w:rPr>
              <w:t>①</w:t>
            </w:r>
          </w:p>
        </w:tc>
        <w:tc>
          <w:tcPr>
            <w:tcW w:w="1568" w:type="pct"/>
            <w:vMerge/>
          </w:tcPr>
          <w:p w14:paraId="0AD5E64B" w14:textId="77777777" w:rsidR="002E474C" w:rsidRDefault="002E474C">
            <w:pPr>
              <w:pStyle w:val="A-"/>
            </w:pPr>
          </w:p>
        </w:tc>
      </w:tr>
      <w:tr w:rsidR="002E474C" w14:paraId="23E8C8BC" w14:textId="77777777">
        <w:tc>
          <w:tcPr>
            <w:tcW w:w="1506" w:type="pct"/>
            <w:vMerge w:val="restart"/>
          </w:tcPr>
          <w:p w14:paraId="052688CF" w14:textId="77777777" w:rsidR="002E474C" w:rsidRDefault="00000000">
            <w:pPr>
              <w:pStyle w:val="A-"/>
            </w:pPr>
            <w:r>
              <w:t>HF</w:t>
            </w:r>
            <w:r>
              <w:t>（氟化物）</w:t>
            </w:r>
            <w:r>
              <w:rPr>
                <w:vertAlign w:val="superscript"/>
              </w:rPr>
              <w:t>②</w:t>
            </w:r>
          </w:p>
        </w:tc>
        <w:tc>
          <w:tcPr>
            <w:tcW w:w="687" w:type="pct"/>
          </w:tcPr>
          <w:p w14:paraId="325B1B5B" w14:textId="77777777" w:rsidR="002E474C" w:rsidRDefault="00000000">
            <w:pPr>
              <w:pStyle w:val="A-"/>
            </w:pPr>
            <w:r>
              <w:t>日平均</w:t>
            </w:r>
          </w:p>
        </w:tc>
        <w:tc>
          <w:tcPr>
            <w:tcW w:w="1239" w:type="pct"/>
          </w:tcPr>
          <w:p w14:paraId="6C3547B3" w14:textId="77777777" w:rsidR="002E474C" w:rsidRDefault="00000000">
            <w:pPr>
              <w:pStyle w:val="A-"/>
            </w:pPr>
            <w:r>
              <w:t>7</w:t>
            </w:r>
          </w:p>
        </w:tc>
        <w:tc>
          <w:tcPr>
            <w:tcW w:w="1568" w:type="pct"/>
            <w:vMerge/>
          </w:tcPr>
          <w:p w14:paraId="530C8F78" w14:textId="77777777" w:rsidR="002E474C" w:rsidRDefault="002E474C">
            <w:pPr>
              <w:pStyle w:val="A-"/>
            </w:pPr>
          </w:p>
        </w:tc>
      </w:tr>
      <w:tr w:rsidR="002E474C" w14:paraId="1B1A1365" w14:textId="77777777">
        <w:tc>
          <w:tcPr>
            <w:tcW w:w="1506" w:type="pct"/>
            <w:vMerge/>
          </w:tcPr>
          <w:p w14:paraId="34699B7B" w14:textId="77777777" w:rsidR="002E474C" w:rsidRDefault="002E474C">
            <w:pPr>
              <w:pStyle w:val="A-"/>
            </w:pPr>
          </w:p>
        </w:tc>
        <w:tc>
          <w:tcPr>
            <w:tcW w:w="687" w:type="pct"/>
          </w:tcPr>
          <w:p w14:paraId="527E8697" w14:textId="77777777" w:rsidR="002E474C" w:rsidRDefault="00000000">
            <w:pPr>
              <w:pStyle w:val="A-"/>
            </w:pPr>
            <w:r>
              <w:rPr>
                <w:rFonts w:hint="eastAsia"/>
              </w:rPr>
              <w:t>1h</w:t>
            </w:r>
            <w:r>
              <w:t>平均</w:t>
            </w:r>
          </w:p>
        </w:tc>
        <w:tc>
          <w:tcPr>
            <w:tcW w:w="1239" w:type="pct"/>
          </w:tcPr>
          <w:p w14:paraId="5AFE1E94" w14:textId="77777777" w:rsidR="002E474C" w:rsidRDefault="00000000">
            <w:pPr>
              <w:pStyle w:val="A-"/>
            </w:pPr>
            <w:r>
              <w:t>20</w:t>
            </w:r>
          </w:p>
        </w:tc>
        <w:tc>
          <w:tcPr>
            <w:tcW w:w="1568" w:type="pct"/>
            <w:vMerge/>
          </w:tcPr>
          <w:p w14:paraId="61E7F7CB" w14:textId="77777777" w:rsidR="002E474C" w:rsidRDefault="002E474C">
            <w:pPr>
              <w:pStyle w:val="A-"/>
            </w:pPr>
          </w:p>
        </w:tc>
      </w:tr>
      <w:tr w:rsidR="002E474C" w14:paraId="0514418B" w14:textId="77777777">
        <w:tc>
          <w:tcPr>
            <w:tcW w:w="1506" w:type="pct"/>
            <w:vMerge w:val="restart"/>
          </w:tcPr>
          <w:p w14:paraId="5266CBB4" w14:textId="77777777" w:rsidR="002E474C" w:rsidRDefault="00000000">
            <w:pPr>
              <w:pStyle w:val="A-"/>
            </w:pPr>
            <w:r>
              <w:t>HCl</w:t>
            </w:r>
          </w:p>
        </w:tc>
        <w:tc>
          <w:tcPr>
            <w:tcW w:w="687" w:type="pct"/>
          </w:tcPr>
          <w:p w14:paraId="4CA19334" w14:textId="77777777" w:rsidR="002E474C" w:rsidRDefault="00000000">
            <w:pPr>
              <w:pStyle w:val="A-"/>
            </w:pPr>
            <w:r>
              <w:t>日平均</w:t>
            </w:r>
          </w:p>
        </w:tc>
        <w:tc>
          <w:tcPr>
            <w:tcW w:w="1239" w:type="pct"/>
          </w:tcPr>
          <w:p w14:paraId="6D99116C" w14:textId="77777777" w:rsidR="002E474C" w:rsidRDefault="00000000">
            <w:pPr>
              <w:pStyle w:val="A-"/>
            </w:pPr>
            <w:r>
              <w:t>15</w:t>
            </w:r>
          </w:p>
        </w:tc>
        <w:tc>
          <w:tcPr>
            <w:tcW w:w="1568" w:type="pct"/>
            <w:vMerge w:val="restart"/>
          </w:tcPr>
          <w:p w14:paraId="243E4CC7" w14:textId="77777777" w:rsidR="002E474C" w:rsidRDefault="00000000">
            <w:pPr>
              <w:pStyle w:val="A-"/>
            </w:pPr>
            <w:r>
              <w:t>《环境影响评价技术导则</w:t>
            </w:r>
            <w:r>
              <w:t xml:space="preserve"> </w:t>
            </w:r>
            <w:r>
              <w:t>大气环境》（</w:t>
            </w:r>
            <w:r>
              <w:t>HJ2.2-2018</w:t>
            </w:r>
            <w:r>
              <w:t>）附录</w:t>
            </w:r>
            <w:r>
              <w:t>D</w:t>
            </w:r>
          </w:p>
        </w:tc>
      </w:tr>
      <w:tr w:rsidR="002E474C" w14:paraId="2A571E9B" w14:textId="77777777">
        <w:tc>
          <w:tcPr>
            <w:tcW w:w="1506" w:type="pct"/>
            <w:vMerge/>
          </w:tcPr>
          <w:p w14:paraId="75231D67" w14:textId="77777777" w:rsidR="002E474C" w:rsidRDefault="002E474C">
            <w:pPr>
              <w:pStyle w:val="A-"/>
            </w:pPr>
          </w:p>
        </w:tc>
        <w:tc>
          <w:tcPr>
            <w:tcW w:w="687" w:type="pct"/>
            <w:vAlign w:val="top"/>
          </w:tcPr>
          <w:p w14:paraId="5F2BE330" w14:textId="77777777" w:rsidR="002E474C" w:rsidRDefault="00000000">
            <w:pPr>
              <w:pStyle w:val="A-"/>
            </w:pPr>
            <w:r>
              <w:rPr>
                <w:rFonts w:hint="eastAsia"/>
              </w:rPr>
              <w:t>1h</w:t>
            </w:r>
            <w:r>
              <w:t>平均</w:t>
            </w:r>
          </w:p>
        </w:tc>
        <w:tc>
          <w:tcPr>
            <w:tcW w:w="1239" w:type="pct"/>
          </w:tcPr>
          <w:p w14:paraId="31B7A27F" w14:textId="77777777" w:rsidR="002E474C" w:rsidRDefault="00000000">
            <w:pPr>
              <w:pStyle w:val="A-"/>
            </w:pPr>
            <w:r>
              <w:t>50</w:t>
            </w:r>
          </w:p>
        </w:tc>
        <w:tc>
          <w:tcPr>
            <w:tcW w:w="1568" w:type="pct"/>
            <w:vMerge/>
          </w:tcPr>
          <w:p w14:paraId="6CE1B7DA" w14:textId="77777777" w:rsidR="002E474C" w:rsidRDefault="002E474C">
            <w:pPr>
              <w:pStyle w:val="A-"/>
            </w:pPr>
          </w:p>
        </w:tc>
      </w:tr>
      <w:tr w:rsidR="002E474C" w14:paraId="0933E652" w14:textId="77777777">
        <w:tc>
          <w:tcPr>
            <w:tcW w:w="1506" w:type="pct"/>
          </w:tcPr>
          <w:p w14:paraId="6B3DF640" w14:textId="77777777" w:rsidR="002E474C" w:rsidRDefault="00000000">
            <w:pPr>
              <w:pStyle w:val="A-"/>
            </w:pPr>
            <w:r>
              <w:t>NH</w:t>
            </w:r>
            <w:r>
              <w:rPr>
                <w:vertAlign w:val="subscript"/>
              </w:rPr>
              <w:t>3</w:t>
            </w:r>
          </w:p>
        </w:tc>
        <w:tc>
          <w:tcPr>
            <w:tcW w:w="687" w:type="pct"/>
            <w:vAlign w:val="top"/>
          </w:tcPr>
          <w:p w14:paraId="431CDC34" w14:textId="77777777" w:rsidR="002E474C" w:rsidRDefault="00000000">
            <w:pPr>
              <w:pStyle w:val="A-"/>
            </w:pPr>
            <w:r>
              <w:rPr>
                <w:rFonts w:hint="eastAsia"/>
              </w:rPr>
              <w:t>1h</w:t>
            </w:r>
            <w:r>
              <w:t>平均</w:t>
            </w:r>
          </w:p>
        </w:tc>
        <w:tc>
          <w:tcPr>
            <w:tcW w:w="1239" w:type="pct"/>
          </w:tcPr>
          <w:p w14:paraId="4538808C" w14:textId="77777777" w:rsidR="002E474C" w:rsidRDefault="00000000">
            <w:pPr>
              <w:pStyle w:val="A-"/>
            </w:pPr>
            <w:r>
              <w:t>200</w:t>
            </w:r>
          </w:p>
        </w:tc>
        <w:tc>
          <w:tcPr>
            <w:tcW w:w="1568" w:type="pct"/>
            <w:vMerge/>
          </w:tcPr>
          <w:p w14:paraId="23A8438B" w14:textId="77777777" w:rsidR="002E474C" w:rsidRDefault="002E474C">
            <w:pPr>
              <w:pStyle w:val="A-"/>
            </w:pPr>
          </w:p>
        </w:tc>
      </w:tr>
      <w:tr w:rsidR="002E474C" w14:paraId="7783DA5A" w14:textId="77777777">
        <w:tc>
          <w:tcPr>
            <w:tcW w:w="1506" w:type="pct"/>
          </w:tcPr>
          <w:p w14:paraId="27177B75" w14:textId="77777777" w:rsidR="002E474C" w:rsidRDefault="00000000">
            <w:pPr>
              <w:pStyle w:val="A-"/>
            </w:pPr>
            <w:r>
              <w:t>H</w:t>
            </w:r>
            <w:r>
              <w:rPr>
                <w:vertAlign w:val="subscript"/>
              </w:rPr>
              <w:t>2</w:t>
            </w:r>
            <w:r>
              <w:t>S</w:t>
            </w:r>
          </w:p>
        </w:tc>
        <w:tc>
          <w:tcPr>
            <w:tcW w:w="687" w:type="pct"/>
            <w:vAlign w:val="top"/>
          </w:tcPr>
          <w:p w14:paraId="4AE7FCAA" w14:textId="77777777" w:rsidR="002E474C" w:rsidRDefault="00000000">
            <w:pPr>
              <w:pStyle w:val="A-"/>
            </w:pPr>
            <w:r>
              <w:rPr>
                <w:rFonts w:hint="eastAsia"/>
              </w:rPr>
              <w:t>1h</w:t>
            </w:r>
            <w:r>
              <w:t>平均</w:t>
            </w:r>
          </w:p>
        </w:tc>
        <w:tc>
          <w:tcPr>
            <w:tcW w:w="1239" w:type="pct"/>
          </w:tcPr>
          <w:p w14:paraId="40D4D256" w14:textId="77777777" w:rsidR="002E474C" w:rsidRDefault="00000000">
            <w:pPr>
              <w:pStyle w:val="A-"/>
            </w:pPr>
            <w:r>
              <w:t>10</w:t>
            </w:r>
          </w:p>
        </w:tc>
        <w:tc>
          <w:tcPr>
            <w:tcW w:w="1568" w:type="pct"/>
            <w:vMerge/>
          </w:tcPr>
          <w:p w14:paraId="3F95F925" w14:textId="77777777" w:rsidR="002E474C" w:rsidRDefault="002E474C">
            <w:pPr>
              <w:pStyle w:val="A-"/>
            </w:pPr>
          </w:p>
        </w:tc>
      </w:tr>
      <w:tr w:rsidR="002E474C" w14:paraId="475C7CD8" w14:textId="77777777">
        <w:tc>
          <w:tcPr>
            <w:tcW w:w="1506" w:type="pct"/>
          </w:tcPr>
          <w:p w14:paraId="185CADB4" w14:textId="77777777" w:rsidR="002E474C" w:rsidRDefault="00000000">
            <w:pPr>
              <w:pStyle w:val="A-"/>
            </w:pPr>
            <w:r>
              <w:t>锰及其化合物</w:t>
            </w:r>
            <w:r>
              <w:rPr>
                <w:rFonts w:hint="eastAsia"/>
              </w:rPr>
              <w:t>(</w:t>
            </w:r>
            <w:r>
              <w:t>以</w:t>
            </w:r>
            <w:r>
              <w:t>MnO</w:t>
            </w:r>
            <w:r>
              <w:rPr>
                <w:vertAlign w:val="subscript"/>
              </w:rPr>
              <w:t>2</w:t>
            </w:r>
            <w:r>
              <w:t>计</w:t>
            </w:r>
            <w:r>
              <w:rPr>
                <w:rFonts w:hint="eastAsia"/>
              </w:rPr>
              <w:t>)</w:t>
            </w:r>
          </w:p>
        </w:tc>
        <w:tc>
          <w:tcPr>
            <w:tcW w:w="687" w:type="pct"/>
          </w:tcPr>
          <w:p w14:paraId="3680815F" w14:textId="77777777" w:rsidR="002E474C" w:rsidRDefault="00000000">
            <w:pPr>
              <w:pStyle w:val="A-"/>
            </w:pPr>
            <w:r>
              <w:t>日平均</w:t>
            </w:r>
          </w:p>
        </w:tc>
        <w:tc>
          <w:tcPr>
            <w:tcW w:w="1239" w:type="pct"/>
          </w:tcPr>
          <w:p w14:paraId="7AEFEF14" w14:textId="77777777" w:rsidR="002E474C" w:rsidRDefault="00000000">
            <w:pPr>
              <w:pStyle w:val="A-"/>
            </w:pPr>
            <w:r>
              <w:t>10</w:t>
            </w:r>
          </w:p>
        </w:tc>
        <w:tc>
          <w:tcPr>
            <w:tcW w:w="1568" w:type="pct"/>
            <w:vMerge/>
          </w:tcPr>
          <w:p w14:paraId="61B3BCBD" w14:textId="77777777" w:rsidR="002E474C" w:rsidRDefault="002E474C">
            <w:pPr>
              <w:pStyle w:val="A-"/>
            </w:pPr>
          </w:p>
        </w:tc>
      </w:tr>
      <w:tr w:rsidR="002E474C" w14:paraId="24A0AC15" w14:textId="77777777">
        <w:tc>
          <w:tcPr>
            <w:tcW w:w="1506" w:type="pct"/>
          </w:tcPr>
          <w:p w14:paraId="422E50AC" w14:textId="77777777" w:rsidR="002E474C" w:rsidRDefault="00000000">
            <w:pPr>
              <w:pStyle w:val="A-"/>
            </w:pPr>
            <w:r>
              <w:t>NMHC</w:t>
            </w:r>
          </w:p>
        </w:tc>
        <w:tc>
          <w:tcPr>
            <w:tcW w:w="687" w:type="pct"/>
          </w:tcPr>
          <w:p w14:paraId="05D9A709" w14:textId="77777777" w:rsidR="002E474C" w:rsidRDefault="00000000">
            <w:pPr>
              <w:pStyle w:val="A-"/>
            </w:pPr>
            <w:r>
              <w:rPr>
                <w:rFonts w:hint="eastAsia"/>
              </w:rPr>
              <w:t>1h</w:t>
            </w:r>
            <w:r>
              <w:t>平均</w:t>
            </w:r>
          </w:p>
        </w:tc>
        <w:tc>
          <w:tcPr>
            <w:tcW w:w="1239" w:type="pct"/>
          </w:tcPr>
          <w:p w14:paraId="09E9C1DD" w14:textId="77777777" w:rsidR="002E474C" w:rsidRDefault="00000000">
            <w:pPr>
              <w:pStyle w:val="A-"/>
            </w:pPr>
            <w:r>
              <w:t>2000</w:t>
            </w:r>
          </w:p>
        </w:tc>
        <w:tc>
          <w:tcPr>
            <w:tcW w:w="1568" w:type="pct"/>
          </w:tcPr>
          <w:p w14:paraId="67BEFA99" w14:textId="77777777" w:rsidR="002E474C" w:rsidRDefault="00000000">
            <w:pPr>
              <w:pStyle w:val="A-"/>
            </w:pPr>
            <w:r>
              <w:t>《大气污染物综合排放标准详解》</w:t>
            </w:r>
          </w:p>
        </w:tc>
      </w:tr>
      <w:tr w:rsidR="002E474C" w14:paraId="55974190" w14:textId="77777777">
        <w:tc>
          <w:tcPr>
            <w:tcW w:w="1506" w:type="pct"/>
          </w:tcPr>
          <w:p w14:paraId="42F655B4" w14:textId="77777777" w:rsidR="002E474C" w:rsidRDefault="00000000">
            <w:pPr>
              <w:pStyle w:val="A-"/>
            </w:pPr>
            <w:r>
              <w:t>二噁英类</w:t>
            </w:r>
          </w:p>
        </w:tc>
        <w:tc>
          <w:tcPr>
            <w:tcW w:w="687" w:type="pct"/>
          </w:tcPr>
          <w:p w14:paraId="7F42BD71" w14:textId="77777777" w:rsidR="002E474C" w:rsidRDefault="00000000">
            <w:pPr>
              <w:pStyle w:val="A-"/>
            </w:pPr>
            <w:r>
              <w:t>年平均</w:t>
            </w:r>
          </w:p>
        </w:tc>
        <w:tc>
          <w:tcPr>
            <w:tcW w:w="1239" w:type="pct"/>
          </w:tcPr>
          <w:p w14:paraId="3E6A9D33" w14:textId="77777777" w:rsidR="002E474C" w:rsidRDefault="00000000">
            <w:pPr>
              <w:pStyle w:val="A-"/>
            </w:pPr>
            <w:r>
              <w:t>0.6pgTEQ/m</w:t>
            </w:r>
            <w:r>
              <w:rPr>
                <w:vertAlign w:val="superscript"/>
              </w:rPr>
              <w:t>3</w:t>
            </w:r>
          </w:p>
        </w:tc>
        <w:tc>
          <w:tcPr>
            <w:tcW w:w="1568" w:type="pct"/>
          </w:tcPr>
          <w:p w14:paraId="1B1D7ED4" w14:textId="77777777" w:rsidR="002E474C" w:rsidRDefault="00000000">
            <w:pPr>
              <w:pStyle w:val="A-"/>
            </w:pPr>
            <w:r>
              <w:t>参照日本环境标准</w:t>
            </w:r>
          </w:p>
        </w:tc>
      </w:tr>
      <w:tr w:rsidR="002E474C" w14:paraId="72009951" w14:textId="77777777">
        <w:tc>
          <w:tcPr>
            <w:tcW w:w="5000" w:type="pct"/>
            <w:gridSpan w:val="4"/>
          </w:tcPr>
          <w:p w14:paraId="26BB1425" w14:textId="77777777" w:rsidR="002E474C" w:rsidRDefault="00000000">
            <w:pPr>
              <w:pStyle w:val="A-"/>
              <w:jc w:val="both"/>
            </w:pPr>
            <w:r>
              <w:t>注：</w:t>
            </w:r>
            <w:r>
              <w:rPr>
                <w:vertAlign w:val="superscript"/>
              </w:rPr>
              <w:t>①</w:t>
            </w:r>
            <w:r>
              <w:t>根据《环境影响评价技术导则大气环境》（</w:t>
            </w:r>
            <w:r>
              <w:t>HJ2.2-2018</w:t>
            </w:r>
            <w:r>
              <w:t>）</w:t>
            </w:r>
            <w:r>
              <w:t>“</w:t>
            </w:r>
            <w:r>
              <w:t>对于仅有</w:t>
            </w:r>
            <w:r>
              <w:t>8h</w:t>
            </w:r>
            <w:r>
              <w:t>平均质量浓度、日平均质量浓度限值或年平均质量浓度限值的，可分别按</w:t>
            </w:r>
            <w:r>
              <w:t>2</w:t>
            </w:r>
            <w:r>
              <w:t>倍、</w:t>
            </w:r>
            <w:r>
              <w:t>3</w:t>
            </w:r>
            <w:r>
              <w:t>倍、</w:t>
            </w:r>
            <w:r>
              <w:t>6</w:t>
            </w:r>
            <w:r>
              <w:t>倍折算为</w:t>
            </w:r>
            <w:r>
              <w:t>1h</w:t>
            </w:r>
            <w:r>
              <w:t>平均质量浓度限值</w:t>
            </w:r>
            <w:r>
              <w:t>”</w:t>
            </w:r>
            <w:r>
              <w:t>；</w:t>
            </w:r>
            <w:r>
              <w:rPr>
                <w:vertAlign w:val="superscript"/>
              </w:rPr>
              <w:t>②</w:t>
            </w:r>
            <w:r>
              <w:t>HF1h</w:t>
            </w:r>
            <w:r>
              <w:t>平均质量浓度限值参照氟化物</w:t>
            </w:r>
            <w:r>
              <w:t>1h</w:t>
            </w:r>
            <w:r>
              <w:t>平均质量浓度限值。</w:t>
            </w:r>
          </w:p>
        </w:tc>
      </w:tr>
    </w:tbl>
    <w:p w14:paraId="1C06BC61" w14:textId="77777777" w:rsidR="002E474C" w:rsidRDefault="002E474C">
      <w:pPr>
        <w:spacing w:line="120" w:lineRule="exact"/>
      </w:pPr>
    </w:p>
    <w:p w14:paraId="497583C5" w14:textId="77777777" w:rsidR="002E474C" w:rsidRDefault="00000000">
      <w:pPr>
        <w:pStyle w:val="31"/>
        <w:spacing w:before="120" w:afterLines="0" w:after="0"/>
        <w:rPr>
          <w:color w:val="auto"/>
        </w:rPr>
      </w:pPr>
      <w:r>
        <w:rPr>
          <w:color w:val="auto"/>
        </w:rPr>
        <w:t>预测结果分析</w:t>
      </w:r>
    </w:p>
    <w:p w14:paraId="3C4CEEB0" w14:textId="77777777" w:rsidR="002E474C" w:rsidRDefault="00000000">
      <w:pPr>
        <w:pStyle w:val="A-z"/>
        <w:rPr>
          <w:color w:val="auto"/>
        </w:rPr>
      </w:pPr>
      <w:r>
        <w:rPr>
          <w:color w:val="auto"/>
        </w:rPr>
        <w:t>通过对</w:t>
      </w:r>
      <w:r>
        <w:rPr>
          <w:color w:val="auto"/>
        </w:rPr>
        <w:t>2024</w:t>
      </w:r>
      <w:r>
        <w:rPr>
          <w:color w:val="auto"/>
        </w:rPr>
        <w:t>年整年逐日逐时气象条件下对协同处置建成后排放污染物进行预测，分析各污染因子在各计算点的最大浓度。本项目新增排放不包括</w:t>
      </w:r>
      <w:r>
        <w:rPr>
          <w:color w:val="auto"/>
        </w:rPr>
        <w:t>SO</w:t>
      </w:r>
      <w:r>
        <w:rPr>
          <w:color w:val="auto"/>
          <w:vertAlign w:val="subscript"/>
        </w:rPr>
        <w:t>2</w:t>
      </w:r>
      <w:r>
        <w:rPr>
          <w:color w:val="auto"/>
        </w:rPr>
        <w:t>、</w:t>
      </w:r>
      <w:r>
        <w:rPr>
          <w:color w:val="auto"/>
        </w:rPr>
        <w:t>NOx</w:t>
      </w:r>
      <w:r>
        <w:rPr>
          <w:color w:val="auto"/>
        </w:rPr>
        <w:t>、</w:t>
      </w:r>
      <w:r>
        <w:rPr>
          <w:color w:val="auto"/>
        </w:rPr>
        <w:t>PM</w:t>
      </w:r>
      <w:r>
        <w:rPr>
          <w:color w:val="auto"/>
          <w:vertAlign w:val="subscript"/>
        </w:rPr>
        <w:t>10</w:t>
      </w:r>
      <w:r>
        <w:rPr>
          <w:color w:val="auto"/>
        </w:rPr>
        <w:t>、</w:t>
      </w:r>
      <w:r>
        <w:rPr>
          <w:color w:val="auto"/>
        </w:rPr>
        <w:t>PM</w:t>
      </w:r>
      <w:r>
        <w:rPr>
          <w:color w:val="auto"/>
          <w:vertAlign w:val="subscript"/>
        </w:rPr>
        <w:t>2.5</w:t>
      </w:r>
      <w:r>
        <w:rPr>
          <w:color w:val="auto"/>
        </w:rPr>
        <w:t>，且依托工程一直在运行，所以现状监测值中已经包含了该四项污染物贡献值，所以本评价不进行该四项因子的预测。其余特征污染物均预测了新增排放贡献及叠加背景值后的影响。</w:t>
      </w:r>
    </w:p>
    <w:p w14:paraId="6E6DB2C5" w14:textId="77777777" w:rsidR="002E474C" w:rsidRDefault="00000000">
      <w:pPr>
        <w:pStyle w:val="41"/>
        <w:spacing w:afterLines="0" w:after="0"/>
        <w:rPr>
          <w:color w:val="auto"/>
        </w:rPr>
      </w:pPr>
      <w:r>
        <w:rPr>
          <w:color w:val="auto"/>
        </w:rPr>
        <w:t>主要污染物浓度贡献值</w:t>
      </w:r>
    </w:p>
    <w:p w14:paraId="017031CC" w14:textId="77777777" w:rsidR="002E474C" w:rsidRDefault="00000000">
      <w:pPr>
        <w:pStyle w:val="A-z"/>
        <w:rPr>
          <w:color w:val="auto"/>
        </w:rPr>
        <w:sectPr w:rsidR="002E474C">
          <w:pgSz w:w="11906" w:h="16838"/>
          <w:pgMar w:top="1440" w:right="1800" w:bottom="1440" w:left="1800" w:header="851" w:footer="992" w:gutter="0"/>
          <w:cols w:space="720"/>
          <w:docGrid w:linePitch="312"/>
        </w:sectPr>
      </w:pPr>
      <w:r>
        <w:rPr>
          <w:color w:val="auto"/>
        </w:rPr>
        <w:t>项目正常排放条件下，主要污染物在环境空气保护目标和网格点的最大浓度贡献值、发生的时间及占标率见表</w:t>
      </w:r>
      <w:r>
        <w:rPr>
          <w:color w:val="auto"/>
        </w:rPr>
        <w:t>5.1-18</w:t>
      </w:r>
      <w:r>
        <w:rPr>
          <w:color w:val="auto"/>
        </w:rPr>
        <w:t>至表</w:t>
      </w:r>
      <w:r>
        <w:rPr>
          <w:color w:val="auto"/>
        </w:rPr>
        <w:t>5.1-30</w:t>
      </w:r>
      <w:r>
        <w:rPr>
          <w:color w:val="auto"/>
        </w:rPr>
        <w:t>。</w:t>
      </w:r>
    </w:p>
    <w:p w14:paraId="483306E5" w14:textId="77777777" w:rsidR="002E474C" w:rsidRDefault="00000000">
      <w:pPr>
        <w:pStyle w:val="A--"/>
        <w:rPr>
          <w:color w:val="auto"/>
        </w:rPr>
      </w:pPr>
      <w:r>
        <w:rPr>
          <w:color w:val="auto"/>
        </w:rPr>
        <w:lastRenderedPageBreak/>
        <w:t>表</w:t>
      </w:r>
      <w:r>
        <w:rPr>
          <w:color w:val="auto"/>
        </w:rPr>
        <w:t>5.1</w:t>
      </w:r>
      <w:r>
        <w:rPr>
          <w:color w:val="auto"/>
        </w:rPr>
        <w:noBreakHyphen/>
        <w:t>18  HCl</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63856678" w14:textId="77777777">
        <w:trPr>
          <w:trHeight w:val="285"/>
        </w:trPr>
        <w:tc>
          <w:tcPr>
            <w:tcW w:w="270" w:type="pct"/>
            <w:noWrap/>
            <w:vAlign w:val="center"/>
          </w:tcPr>
          <w:p w14:paraId="689C6A56" w14:textId="77777777" w:rsidR="002E474C" w:rsidRDefault="00000000">
            <w:pPr>
              <w:pStyle w:val="A-"/>
            </w:pPr>
            <w:r>
              <w:t>序号</w:t>
            </w:r>
          </w:p>
        </w:tc>
        <w:tc>
          <w:tcPr>
            <w:tcW w:w="712" w:type="pct"/>
            <w:noWrap/>
            <w:vAlign w:val="center"/>
          </w:tcPr>
          <w:p w14:paraId="53A8672B" w14:textId="77777777" w:rsidR="002E474C" w:rsidRDefault="00000000">
            <w:pPr>
              <w:pStyle w:val="A-"/>
            </w:pPr>
            <w:r>
              <w:t>点名称</w:t>
            </w:r>
          </w:p>
        </w:tc>
        <w:tc>
          <w:tcPr>
            <w:tcW w:w="520" w:type="pct"/>
            <w:noWrap/>
            <w:vAlign w:val="center"/>
          </w:tcPr>
          <w:p w14:paraId="7E8AB51C" w14:textId="77777777" w:rsidR="002E474C" w:rsidRDefault="00000000">
            <w:pPr>
              <w:pStyle w:val="A-"/>
            </w:pPr>
            <w:r>
              <w:t>点坐标</w:t>
            </w:r>
          </w:p>
        </w:tc>
        <w:tc>
          <w:tcPr>
            <w:tcW w:w="446" w:type="pct"/>
            <w:noWrap/>
            <w:vAlign w:val="center"/>
          </w:tcPr>
          <w:p w14:paraId="2A52E0DE" w14:textId="77777777" w:rsidR="002E474C" w:rsidRDefault="00000000">
            <w:pPr>
              <w:pStyle w:val="A-"/>
            </w:pPr>
            <w:r>
              <w:t>浓度类型</w:t>
            </w:r>
          </w:p>
        </w:tc>
        <w:tc>
          <w:tcPr>
            <w:tcW w:w="776" w:type="pct"/>
            <w:noWrap/>
            <w:vAlign w:val="center"/>
          </w:tcPr>
          <w:p w14:paraId="48897B7D" w14:textId="77777777" w:rsidR="002E474C" w:rsidRDefault="00000000">
            <w:pPr>
              <w:pStyle w:val="A-"/>
            </w:pPr>
            <w:r>
              <w:t>浓度增量</w:t>
            </w:r>
            <w:r>
              <w:t>(</w:t>
            </w:r>
            <w:proofErr w:type="spellStart"/>
            <w:r>
              <w:t>μg</w:t>
            </w:r>
            <w:proofErr w:type="spellEnd"/>
            <w:r>
              <w:t>/m³)</w:t>
            </w:r>
          </w:p>
        </w:tc>
        <w:tc>
          <w:tcPr>
            <w:tcW w:w="446" w:type="pct"/>
            <w:noWrap/>
            <w:vAlign w:val="center"/>
          </w:tcPr>
          <w:p w14:paraId="5D535841" w14:textId="77777777" w:rsidR="002E474C" w:rsidRDefault="00000000">
            <w:pPr>
              <w:pStyle w:val="A-"/>
            </w:pPr>
            <w:r>
              <w:t>出现时间</w:t>
            </w:r>
          </w:p>
        </w:tc>
        <w:tc>
          <w:tcPr>
            <w:tcW w:w="776" w:type="pct"/>
            <w:noWrap/>
            <w:vAlign w:val="center"/>
          </w:tcPr>
          <w:p w14:paraId="616D9A64" w14:textId="77777777" w:rsidR="002E474C" w:rsidRDefault="00000000">
            <w:pPr>
              <w:pStyle w:val="A-"/>
            </w:pPr>
            <w:r>
              <w:t>评价标准</w:t>
            </w:r>
            <w:r>
              <w:t>(</w:t>
            </w:r>
            <w:proofErr w:type="spellStart"/>
            <w:r>
              <w:t>μg</w:t>
            </w:r>
            <w:proofErr w:type="spellEnd"/>
            <w:r>
              <w:t>/m³)</w:t>
            </w:r>
          </w:p>
        </w:tc>
        <w:tc>
          <w:tcPr>
            <w:tcW w:w="609" w:type="pct"/>
            <w:noWrap/>
            <w:vAlign w:val="center"/>
          </w:tcPr>
          <w:p w14:paraId="44C8D3EE" w14:textId="77777777" w:rsidR="002E474C" w:rsidRDefault="00000000">
            <w:pPr>
              <w:pStyle w:val="A-"/>
            </w:pPr>
            <w:r>
              <w:t>占标率（</w:t>
            </w:r>
            <w:r>
              <w:t>%</w:t>
            </w:r>
            <w:r>
              <w:t>）</w:t>
            </w:r>
          </w:p>
        </w:tc>
        <w:tc>
          <w:tcPr>
            <w:tcW w:w="445" w:type="pct"/>
            <w:noWrap/>
            <w:vAlign w:val="center"/>
          </w:tcPr>
          <w:p w14:paraId="677736FD" w14:textId="77777777" w:rsidR="002E474C" w:rsidRDefault="00000000">
            <w:pPr>
              <w:pStyle w:val="A-"/>
            </w:pPr>
            <w:r>
              <w:t>是否超标</w:t>
            </w:r>
          </w:p>
        </w:tc>
      </w:tr>
      <w:tr w:rsidR="002E474C" w14:paraId="39C489F9" w14:textId="77777777">
        <w:trPr>
          <w:trHeight w:val="285"/>
        </w:trPr>
        <w:tc>
          <w:tcPr>
            <w:tcW w:w="270" w:type="pct"/>
            <w:vMerge w:val="restart"/>
            <w:noWrap/>
            <w:vAlign w:val="center"/>
          </w:tcPr>
          <w:p w14:paraId="0FB8EC47" w14:textId="77777777" w:rsidR="002E474C" w:rsidRDefault="00000000">
            <w:pPr>
              <w:pStyle w:val="A-"/>
            </w:pPr>
            <w:r>
              <w:t>1</w:t>
            </w:r>
          </w:p>
        </w:tc>
        <w:tc>
          <w:tcPr>
            <w:tcW w:w="712" w:type="pct"/>
            <w:vMerge w:val="restart"/>
            <w:noWrap/>
            <w:vAlign w:val="center"/>
          </w:tcPr>
          <w:p w14:paraId="444D1BBC" w14:textId="77777777" w:rsidR="002E474C" w:rsidRDefault="00000000">
            <w:pPr>
              <w:pStyle w:val="A-"/>
            </w:pPr>
            <w:r>
              <w:t>阿乐惠镇</w:t>
            </w:r>
          </w:p>
        </w:tc>
        <w:tc>
          <w:tcPr>
            <w:tcW w:w="520" w:type="pct"/>
            <w:vMerge w:val="restart"/>
            <w:noWrap/>
            <w:vAlign w:val="center"/>
          </w:tcPr>
          <w:p w14:paraId="5D2DE11F" w14:textId="77777777" w:rsidR="002E474C" w:rsidRDefault="00000000">
            <w:pPr>
              <w:pStyle w:val="A-"/>
            </w:pPr>
            <w:r>
              <w:t>-4151,1104</w:t>
            </w:r>
          </w:p>
        </w:tc>
        <w:tc>
          <w:tcPr>
            <w:tcW w:w="446" w:type="pct"/>
            <w:noWrap/>
            <w:vAlign w:val="center"/>
          </w:tcPr>
          <w:p w14:paraId="44225CB2" w14:textId="77777777" w:rsidR="002E474C" w:rsidRDefault="00000000">
            <w:pPr>
              <w:pStyle w:val="A-"/>
            </w:pPr>
            <w:r>
              <w:t>1</w:t>
            </w:r>
            <w:r>
              <w:t>小时</w:t>
            </w:r>
          </w:p>
        </w:tc>
        <w:tc>
          <w:tcPr>
            <w:tcW w:w="776" w:type="pct"/>
            <w:noWrap/>
            <w:vAlign w:val="center"/>
          </w:tcPr>
          <w:p w14:paraId="754AEADC" w14:textId="77777777" w:rsidR="002E474C" w:rsidRDefault="00000000">
            <w:pPr>
              <w:pStyle w:val="A-"/>
            </w:pPr>
            <w:r>
              <w:t xml:space="preserve">1.5600 </w:t>
            </w:r>
          </w:p>
        </w:tc>
        <w:tc>
          <w:tcPr>
            <w:tcW w:w="446" w:type="pct"/>
            <w:noWrap/>
            <w:vAlign w:val="center"/>
          </w:tcPr>
          <w:p w14:paraId="5620DDBA" w14:textId="77777777" w:rsidR="002E474C" w:rsidRDefault="00000000">
            <w:pPr>
              <w:pStyle w:val="A-"/>
            </w:pPr>
            <w:r>
              <w:t>24022520</w:t>
            </w:r>
          </w:p>
        </w:tc>
        <w:tc>
          <w:tcPr>
            <w:tcW w:w="776" w:type="pct"/>
            <w:noWrap/>
            <w:vAlign w:val="center"/>
          </w:tcPr>
          <w:p w14:paraId="45E70050" w14:textId="77777777" w:rsidR="002E474C" w:rsidRDefault="00000000">
            <w:pPr>
              <w:pStyle w:val="A-"/>
            </w:pPr>
            <w:r>
              <w:t>5</w:t>
            </w:r>
          </w:p>
        </w:tc>
        <w:tc>
          <w:tcPr>
            <w:tcW w:w="609" w:type="pct"/>
            <w:noWrap/>
            <w:vAlign w:val="center"/>
          </w:tcPr>
          <w:p w14:paraId="4A03CB70" w14:textId="77777777" w:rsidR="002E474C" w:rsidRDefault="00000000">
            <w:pPr>
              <w:pStyle w:val="A-"/>
            </w:pPr>
            <w:r>
              <w:t>3.12</w:t>
            </w:r>
          </w:p>
        </w:tc>
        <w:tc>
          <w:tcPr>
            <w:tcW w:w="445" w:type="pct"/>
            <w:noWrap/>
            <w:vAlign w:val="center"/>
          </w:tcPr>
          <w:p w14:paraId="0EA06161" w14:textId="77777777" w:rsidR="002E474C" w:rsidRDefault="00000000">
            <w:pPr>
              <w:pStyle w:val="A-"/>
            </w:pPr>
            <w:r>
              <w:t>达标</w:t>
            </w:r>
          </w:p>
        </w:tc>
      </w:tr>
      <w:tr w:rsidR="002E474C" w14:paraId="5DF05E3A" w14:textId="77777777">
        <w:trPr>
          <w:trHeight w:val="285"/>
        </w:trPr>
        <w:tc>
          <w:tcPr>
            <w:tcW w:w="270" w:type="pct"/>
            <w:vMerge/>
            <w:noWrap/>
            <w:vAlign w:val="center"/>
          </w:tcPr>
          <w:p w14:paraId="43EDF717" w14:textId="77777777" w:rsidR="002E474C" w:rsidRDefault="002E474C">
            <w:pPr>
              <w:pStyle w:val="A-"/>
            </w:pPr>
          </w:p>
        </w:tc>
        <w:tc>
          <w:tcPr>
            <w:tcW w:w="712" w:type="pct"/>
            <w:vMerge/>
            <w:noWrap/>
            <w:vAlign w:val="center"/>
          </w:tcPr>
          <w:p w14:paraId="1B2CFAD5" w14:textId="77777777" w:rsidR="002E474C" w:rsidRDefault="002E474C">
            <w:pPr>
              <w:pStyle w:val="A-"/>
            </w:pPr>
          </w:p>
        </w:tc>
        <w:tc>
          <w:tcPr>
            <w:tcW w:w="520" w:type="pct"/>
            <w:vMerge/>
            <w:noWrap/>
            <w:vAlign w:val="center"/>
          </w:tcPr>
          <w:p w14:paraId="279F902D" w14:textId="77777777" w:rsidR="002E474C" w:rsidRDefault="002E474C">
            <w:pPr>
              <w:pStyle w:val="A-"/>
            </w:pPr>
          </w:p>
        </w:tc>
        <w:tc>
          <w:tcPr>
            <w:tcW w:w="446" w:type="pct"/>
            <w:noWrap/>
            <w:vAlign w:val="center"/>
          </w:tcPr>
          <w:p w14:paraId="2F6ADD2C" w14:textId="77777777" w:rsidR="002E474C" w:rsidRDefault="00000000">
            <w:pPr>
              <w:pStyle w:val="A-"/>
            </w:pPr>
            <w:r>
              <w:t>日平均</w:t>
            </w:r>
          </w:p>
        </w:tc>
        <w:tc>
          <w:tcPr>
            <w:tcW w:w="776" w:type="pct"/>
            <w:noWrap/>
            <w:vAlign w:val="center"/>
          </w:tcPr>
          <w:p w14:paraId="31B3BE1F" w14:textId="77777777" w:rsidR="002E474C" w:rsidRDefault="00000000">
            <w:pPr>
              <w:pStyle w:val="A-"/>
            </w:pPr>
            <w:r>
              <w:t xml:space="preserve">0.1090 </w:t>
            </w:r>
          </w:p>
        </w:tc>
        <w:tc>
          <w:tcPr>
            <w:tcW w:w="446" w:type="pct"/>
            <w:noWrap/>
            <w:vAlign w:val="center"/>
          </w:tcPr>
          <w:p w14:paraId="57917CA2" w14:textId="77777777" w:rsidR="002E474C" w:rsidRDefault="00000000">
            <w:pPr>
              <w:pStyle w:val="A-"/>
            </w:pPr>
            <w:r>
              <w:t>240227</w:t>
            </w:r>
          </w:p>
        </w:tc>
        <w:tc>
          <w:tcPr>
            <w:tcW w:w="776" w:type="pct"/>
            <w:noWrap/>
            <w:vAlign w:val="center"/>
          </w:tcPr>
          <w:p w14:paraId="036736BC" w14:textId="77777777" w:rsidR="002E474C" w:rsidRDefault="00000000">
            <w:pPr>
              <w:pStyle w:val="A-"/>
            </w:pPr>
            <w:r>
              <w:t>15</w:t>
            </w:r>
          </w:p>
        </w:tc>
        <w:tc>
          <w:tcPr>
            <w:tcW w:w="609" w:type="pct"/>
            <w:noWrap/>
            <w:vAlign w:val="center"/>
          </w:tcPr>
          <w:p w14:paraId="29AB82A5" w14:textId="77777777" w:rsidR="002E474C" w:rsidRDefault="00000000">
            <w:pPr>
              <w:pStyle w:val="A-"/>
            </w:pPr>
            <w:r>
              <w:t>0.73</w:t>
            </w:r>
          </w:p>
        </w:tc>
        <w:tc>
          <w:tcPr>
            <w:tcW w:w="445" w:type="pct"/>
            <w:noWrap/>
            <w:vAlign w:val="center"/>
          </w:tcPr>
          <w:p w14:paraId="33BFBE32" w14:textId="77777777" w:rsidR="002E474C" w:rsidRDefault="00000000">
            <w:pPr>
              <w:pStyle w:val="A-"/>
            </w:pPr>
            <w:r>
              <w:t>达标</w:t>
            </w:r>
          </w:p>
        </w:tc>
      </w:tr>
      <w:tr w:rsidR="002E474C" w14:paraId="12FD4629" w14:textId="77777777">
        <w:trPr>
          <w:trHeight w:val="285"/>
        </w:trPr>
        <w:tc>
          <w:tcPr>
            <w:tcW w:w="270" w:type="pct"/>
            <w:vMerge w:val="restart"/>
            <w:noWrap/>
            <w:vAlign w:val="center"/>
          </w:tcPr>
          <w:p w14:paraId="695BBDA5" w14:textId="77777777" w:rsidR="002E474C" w:rsidRDefault="00000000">
            <w:pPr>
              <w:pStyle w:val="A-"/>
            </w:pPr>
            <w:r>
              <w:t>2</w:t>
            </w:r>
          </w:p>
        </w:tc>
        <w:tc>
          <w:tcPr>
            <w:tcW w:w="712" w:type="pct"/>
            <w:vMerge w:val="restart"/>
            <w:noWrap/>
            <w:vAlign w:val="center"/>
          </w:tcPr>
          <w:p w14:paraId="7F875654" w14:textId="77777777" w:rsidR="002E474C" w:rsidRDefault="00000000">
            <w:pPr>
              <w:pStyle w:val="A-"/>
            </w:pPr>
            <w:r>
              <w:t>电石厂员工公寓</w:t>
            </w:r>
          </w:p>
        </w:tc>
        <w:tc>
          <w:tcPr>
            <w:tcW w:w="520" w:type="pct"/>
            <w:vMerge w:val="restart"/>
            <w:noWrap/>
            <w:vAlign w:val="center"/>
          </w:tcPr>
          <w:p w14:paraId="0607CA3B" w14:textId="77777777" w:rsidR="002E474C" w:rsidRDefault="00000000">
            <w:pPr>
              <w:pStyle w:val="A-"/>
            </w:pPr>
            <w:r>
              <w:t>-1901,92</w:t>
            </w:r>
          </w:p>
        </w:tc>
        <w:tc>
          <w:tcPr>
            <w:tcW w:w="446" w:type="pct"/>
            <w:noWrap/>
            <w:vAlign w:val="center"/>
          </w:tcPr>
          <w:p w14:paraId="73E5FAB1" w14:textId="77777777" w:rsidR="002E474C" w:rsidRDefault="00000000">
            <w:pPr>
              <w:pStyle w:val="A-"/>
            </w:pPr>
            <w:r>
              <w:t>1</w:t>
            </w:r>
            <w:r>
              <w:t>小时</w:t>
            </w:r>
          </w:p>
        </w:tc>
        <w:tc>
          <w:tcPr>
            <w:tcW w:w="776" w:type="pct"/>
            <w:noWrap/>
            <w:vAlign w:val="center"/>
          </w:tcPr>
          <w:p w14:paraId="58CF6085" w14:textId="77777777" w:rsidR="002E474C" w:rsidRDefault="00000000">
            <w:pPr>
              <w:pStyle w:val="A-"/>
            </w:pPr>
            <w:r>
              <w:t xml:space="preserve">0.4720 </w:t>
            </w:r>
          </w:p>
        </w:tc>
        <w:tc>
          <w:tcPr>
            <w:tcW w:w="446" w:type="pct"/>
            <w:noWrap/>
            <w:vAlign w:val="center"/>
          </w:tcPr>
          <w:p w14:paraId="26B6B0D9" w14:textId="77777777" w:rsidR="002E474C" w:rsidRDefault="00000000">
            <w:pPr>
              <w:pStyle w:val="A-"/>
            </w:pPr>
            <w:r>
              <w:t>24092708</w:t>
            </w:r>
          </w:p>
        </w:tc>
        <w:tc>
          <w:tcPr>
            <w:tcW w:w="776" w:type="pct"/>
            <w:noWrap/>
            <w:vAlign w:val="center"/>
          </w:tcPr>
          <w:p w14:paraId="49AB4933" w14:textId="77777777" w:rsidR="002E474C" w:rsidRDefault="00000000">
            <w:pPr>
              <w:pStyle w:val="A-"/>
            </w:pPr>
            <w:r>
              <w:t>5</w:t>
            </w:r>
          </w:p>
        </w:tc>
        <w:tc>
          <w:tcPr>
            <w:tcW w:w="609" w:type="pct"/>
            <w:noWrap/>
            <w:vAlign w:val="center"/>
          </w:tcPr>
          <w:p w14:paraId="4B241799" w14:textId="77777777" w:rsidR="002E474C" w:rsidRDefault="00000000">
            <w:pPr>
              <w:pStyle w:val="A-"/>
            </w:pPr>
            <w:r>
              <w:t>0.94</w:t>
            </w:r>
          </w:p>
        </w:tc>
        <w:tc>
          <w:tcPr>
            <w:tcW w:w="445" w:type="pct"/>
            <w:noWrap/>
            <w:vAlign w:val="center"/>
          </w:tcPr>
          <w:p w14:paraId="42AA1BE7" w14:textId="77777777" w:rsidR="002E474C" w:rsidRDefault="00000000">
            <w:pPr>
              <w:pStyle w:val="A-"/>
            </w:pPr>
            <w:r>
              <w:t>达标</w:t>
            </w:r>
          </w:p>
        </w:tc>
      </w:tr>
      <w:tr w:rsidR="002E474C" w14:paraId="0844AE5D" w14:textId="77777777">
        <w:trPr>
          <w:trHeight w:val="285"/>
        </w:trPr>
        <w:tc>
          <w:tcPr>
            <w:tcW w:w="270" w:type="pct"/>
            <w:vMerge/>
            <w:noWrap/>
            <w:vAlign w:val="center"/>
          </w:tcPr>
          <w:p w14:paraId="19795330" w14:textId="77777777" w:rsidR="002E474C" w:rsidRDefault="002E474C">
            <w:pPr>
              <w:pStyle w:val="A-"/>
            </w:pPr>
          </w:p>
        </w:tc>
        <w:tc>
          <w:tcPr>
            <w:tcW w:w="712" w:type="pct"/>
            <w:vMerge/>
            <w:noWrap/>
            <w:vAlign w:val="center"/>
          </w:tcPr>
          <w:p w14:paraId="5E790611" w14:textId="77777777" w:rsidR="002E474C" w:rsidRDefault="002E474C">
            <w:pPr>
              <w:pStyle w:val="A-"/>
            </w:pPr>
          </w:p>
        </w:tc>
        <w:tc>
          <w:tcPr>
            <w:tcW w:w="520" w:type="pct"/>
            <w:vMerge/>
            <w:noWrap/>
            <w:vAlign w:val="center"/>
          </w:tcPr>
          <w:p w14:paraId="63EAABC4" w14:textId="77777777" w:rsidR="002E474C" w:rsidRDefault="002E474C">
            <w:pPr>
              <w:pStyle w:val="A-"/>
            </w:pPr>
          </w:p>
        </w:tc>
        <w:tc>
          <w:tcPr>
            <w:tcW w:w="446" w:type="pct"/>
            <w:noWrap/>
            <w:vAlign w:val="center"/>
          </w:tcPr>
          <w:p w14:paraId="3CCC6621" w14:textId="77777777" w:rsidR="002E474C" w:rsidRDefault="00000000">
            <w:pPr>
              <w:pStyle w:val="A-"/>
            </w:pPr>
            <w:r>
              <w:t>日平均</w:t>
            </w:r>
          </w:p>
        </w:tc>
        <w:tc>
          <w:tcPr>
            <w:tcW w:w="776" w:type="pct"/>
            <w:noWrap/>
            <w:vAlign w:val="center"/>
          </w:tcPr>
          <w:p w14:paraId="0876D75C" w14:textId="77777777" w:rsidR="002E474C" w:rsidRDefault="00000000">
            <w:pPr>
              <w:pStyle w:val="A-"/>
            </w:pPr>
            <w:r>
              <w:t xml:space="preserve">0.0614 </w:t>
            </w:r>
          </w:p>
        </w:tc>
        <w:tc>
          <w:tcPr>
            <w:tcW w:w="446" w:type="pct"/>
            <w:noWrap/>
            <w:vAlign w:val="center"/>
          </w:tcPr>
          <w:p w14:paraId="52308FF4" w14:textId="77777777" w:rsidR="002E474C" w:rsidRDefault="00000000">
            <w:pPr>
              <w:pStyle w:val="A-"/>
            </w:pPr>
            <w:r>
              <w:t>240427</w:t>
            </w:r>
          </w:p>
        </w:tc>
        <w:tc>
          <w:tcPr>
            <w:tcW w:w="776" w:type="pct"/>
            <w:noWrap/>
            <w:vAlign w:val="center"/>
          </w:tcPr>
          <w:p w14:paraId="2C0F71F0" w14:textId="77777777" w:rsidR="002E474C" w:rsidRDefault="00000000">
            <w:pPr>
              <w:pStyle w:val="A-"/>
            </w:pPr>
            <w:r>
              <w:t>15</w:t>
            </w:r>
          </w:p>
        </w:tc>
        <w:tc>
          <w:tcPr>
            <w:tcW w:w="609" w:type="pct"/>
            <w:noWrap/>
            <w:vAlign w:val="center"/>
          </w:tcPr>
          <w:p w14:paraId="6792C60C" w14:textId="77777777" w:rsidR="002E474C" w:rsidRDefault="00000000">
            <w:pPr>
              <w:pStyle w:val="A-"/>
            </w:pPr>
            <w:r>
              <w:t>0.41</w:t>
            </w:r>
          </w:p>
        </w:tc>
        <w:tc>
          <w:tcPr>
            <w:tcW w:w="445" w:type="pct"/>
            <w:noWrap/>
            <w:vAlign w:val="center"/>
          </w:tcPr>
          <w:p w14:paraId="04C4AD9A" w14:textId="77777777" w:rsidR="002E474C" w:rsidRDefault="00000000">
            <w:pPr>
              <w:pStyle w:val="A-"/>
            </w:pPr>
            <w:r>
              <w:t>达标</w:t>
            </w:r>
          </w:p>
        </w:tc>
      </w:tr>
      <w:tr w:rsidR="002E474C" w14:paraId="57CA967A" w14:textId="77777777">
        <w:trPr>
          <w:trHeight w:val="285"/>
        </w:trPr>
        <w:tc>
          <w:tcPr>
            <w:tcW w:w="270" w:type="pct"/>
            <w:vMerge w:val="restart"/>
            <w:noWrap/>
            <w:vAlign w:val="center"/>
          </w:tcPr>
          <w:p w14:paraId="4DE1C8DA" w14:textId="77777777" w:rsidR="002E474C" w:rsidRDefault="00000000">
            <w:pPr>
              <w:pStyle w:val="A-"/>
            </w:pPr>
            <w:r>
              <w:t>3</w:t>
            </w:r>
          </w:p>
        </w:tc>
        <w:tc>
          <w:tcPr>
            <w:tcW w:w="712" w:type="pct"/>
            <w:vMerge w:val="restart"/>
            <w:noWrap/>
            <w:vAlign w:val="center"/>
          </w:tcPr>
          <w:p w14:paraId="69E32D55" w14:textId="77777777" w:rsidR="002E474C" w:rsidRDefault="00000000">
            <w:pPr>
              <w:pStyle w:val="A-"/>
            </w:pPr>
            <w:r>
              <w:t>网格</w:t>
            </w:r>
          </w:p>
        </w:tc>
        <w:tc>
          <w:tcPr>
            <w:tcW w:w="520" w:type="pct"/>
            <w:noWrap/>
            <w:vAlign w:val="center"/>
          </w:tcPr>
          <w:p w14:paraId="4B4F036C" w14:textId="77777777" w:rsidR="002E474C" w:rsidRDefault="00000000">
            <w:pPr>
              <w:pStyle w:val="A-"/>
            </w:pPr>
            <w:r>
              <w:t>600,1600</w:t>
            </w:r>
          </w:p>
        </w:tc>
        <w:tc>
          <w:tcPr>
            <w:tcW w:w="446" w:type="pct"/>
            <w:noWrap/>
            <w:vAlign w:val="center"/>
          </w:tcPr>
          <w:p w14:paraId="31433581" w14:textId="77777777" w:rsidR="002E474C" w:rsidRDefault="00000000">
            <w:pPr>
              <w:pStyle w:val="A-"/>
            </w:pPr>
            <w:r>
              <w:t>1</w:t>
            </w:r>
            <w:r>
              <w:t>小时</w:t>
            </w:r>
          </w:p>
        </w:tc>
        <w:tc>
          <w:tcPr>
            <w:tcW w:w="776" w:type="pct"/>
            <w:noWrap/>
            <w:vAlign w:val="center"/>
          </w:tcPr>
          <w:p w14:paraId="7A686595" w14:textId="77777777" w:rsidR="002E474C" w:rsidRDefault="00000000">
            <w:pPr>
              <w:pStyle w:val="A-"/>
            </w:pPr>
            <w:r>
              <w:t xml:space="preserve">19.9000 </w:t>
            </w:r>
          </w:p>
        </w:tc>
        <w:tc>
          <w:tcPr>
            <w:tcW w:w="446" w:type="pct"/>
            <w:noWrap/>
            <w:vAlign w:val="center"/>
          </w:tcPr>
          <w:p w14:paraId="120E0F86" w14:textId="77777777" w:rsidR="002E474C" w:rsidRDefault="00000000">
            <w:pPr>
              <w:pStyle w:val="A-"/>
            </w:pPr>
            <w:r>
              <w:t>24020418</w:t>
            </w:r>
          </w:p>
        </w:tc>
        <w:tc>
          <w:tcPr>
            <w:tcW w:w="776" w:type="pct"/>
            <w:noWrap/>
            <w:vAlign w:val="center"/>
          </w:tcPr>
          <w:p w14:paraId="40764E0A" w14:textId="77777777" w:rsidR="002E474C" w:rsidRDefault="00000000">
            <w:pPr>
              <w:pStyle w:val="A-"/>
            </w:pPr>
            <w:r>
              <w:t>5</w:t>
            </w:r>
          </w:p>
        </w:tc>
        <w:tc>
          <w:tcPr>
            <w:tcW w:w="609" w:type="pct"/>
            <w:noWrap/>
            <w:vAlign w:val="center"/>
          </w:tcPr>
          <w:p w14:paraId="159C9E9E" w14:textId="77777777" w:rsidR="002E474C" w:rsidRDefault="00000000">
            <w:pPr>
              <w:pStyle w:val="A-"/>
            </w:pPr>
            <w:r>
              <w:t>39.81</w:t>
            </w:r>
          </w:p>
        </w:tc>
        <w:tc>
          <w:tcPr>
            <w:tcW w:w="445" w:type="pct"/>
            <w:noWrap/>
            <w:vAlign w:val="center"/>
          </w:tcPr>
          <w:p w14:paraId="347DC3BA" w14:textId="77777777" w:rsidR="002E474C" w:rsidRDefault="00000000">
            <w:pPr>
              <w:pStyle w:val="A-"/>
            </w:pPr>
            <w:r>
              <w:t>达标</w:t>
            </w:r>
          </w:p>
        </w:tc>
      </w:tr>
      <w:tr w:rsidR="002E474C" w14:paraId="0A433397" w14:textId="77777777">
        <w:trPr>
          <w:trHeight w:val="285"/>
        </w:trPr>
        <w:tc>
          <w:tcPr>
            <w:tcW w:w="270" w:type="pct"/>
            <w:vMerge/>
            <w:noWrap/>
            <w:vAlign w:val="center"/>
          </w:tcPr>
          <w:p w14:paraId="11FBB358" w14:textId="77777777" w:rsidR="002E474C" w:rsidRDefault="002E474C">
            <w:pPr>
              <w:pStyle w:val="A-"/>
            </w:pPr>
          </w:p>
        </w:tc>
        <w:tc>
          <w:tcPr>
            <w:tcW w:w="712" w:type="pct"/>
            <w:vMerge/>
            <w:noWrap/>
            <w:vAlign w:val="center"/>
          </w:tcPr>
          <w:p w14:paraId="001BF577" w14:textId="77777777" w:rsidR="002E474C" w:rsidRDefault="002E474C">
            <w:pPr>
              <w:pStyle w:val="A-"/>
            </w:pPr>
          </w:p>
        </w:tc>
        <w:tc>
          <w:tcPr>
            <w:tcW w:w="520" w:type="pct"/>
            <w:noWrap/>
            <w:vAlign w:val="center"/>
          </w:tcPr>
          <w:p w14:paraId="4BA47613" w14:textId="77777777" w:rsidR="002E474C" w:rsidRDefault="00000000">
            <w:pPr>
              <w:pStyle w:val="A-"/>
            </w:pPr>
            <w:r>
              <w:t>-100,2200</w:t>
            </w:r>
          </w:p>
        </w:tc>
        <w:tc>
          <w:tcPr>
            <w:tcW w:w="446" w:type="pct"/>
            <w:noWrap/>
            <w:vAlign w:val="center"/>
          </w:tcPr>
          <w:p w14:paraId="7F52984F" w14:textId="77777777" w:rsidR="002E474C" w:rsidRDefault="00000000">
            <w:pPr>
              <w:pStyle w:val="A-"/>
            </w:pPr>
            <w:r>
              <w:t>日平均</w:t>
            </w:r>
          </w:p>
        </w:tc>
        <w:tc>
          <w:tcPr>
            <w:tcW w:w="776" w:type="pct"/>
            <w:noWrap/>
            <w:vAlign w:val="center"/>
          </w:tcPr>
          <w:p w14:paraId="1EA9FC06" w14:textId="77777777" w:rsidR="002E474C" w:rsidRDefault="00000000">
            <w:pPr>
              <w:pStyle w:val="A-"/>
            </w:pPr>
            <w:r>
              <w:t xml:space="preserve">2.1400 </w:t>
            </w:r>
          </w:p>
        </w:tc>
        <w:tc>
          <w:tcPr>
            <w:tcW w:w="446" w:type="pct"/>
            <w:noWrap/>
            <w:vAlign w:val="center"/>
          </w:tcPr>
          <w:p w14:paraId="7A362640" w14:textId="77777777" w:rsidR="002E474C" w:rsidRDefault="00000000">
            <w:pPr>
              <w:pStyle w:val="A-"/>
            </w:pPr>
            <w:r>
              <w:t>241207</w:t>
            </w:r>
          </w:p>
        </w:tc>
        <w:tc>
          <w:tcPr>
            <w:tcW w:w="776" w:type="pct"/>
            <w:noWrap/>
            <w:vAlign w:val="center"/>
          </w:tcPr>
          <w:p w14:paraId="0A666EAC" w14:textId="77777777" w:rsidR="002E474C" w:rsidRDefault="00000000">
            <w:pPr>
              <w:pStyle w:val="A-"/>
            </w:pPr>
            <w:r>
              <w:t>15</w:t>
            </w:r>
          </w:p>
        </w:tc>
        <w:tc>
          <w:tcPr>
            <w:tcW w:w="609" w:type="pct"/>
            <w:noWrap/>
            <w:vAlign w:val="center"/>
          </w:tcPr>
          <w:p w14:paraId="16B0750F" w14:textId="77777777" w:rsidR="002E474C" w:rsidRDefault="00000000">
            <w:pPr>
              <w:pStyle w:val="A-"/>
            </w:pPr>
            <w:r>
              <w:t>14.29</w:t>
            </w:r>
          </w:p>
        </w:tc>
        <w:tc>
          <w:tcPr>
            <w:tcW w:w="445" w:type="pct"/>
            <w:noWrap/>
            <w:vAlign w:val="center"/>
          </w:tcPr>
          <w:p w14:paraId="0A877940" w14:textId="77777777" w:rsidR="002E474C" w:rsidRDefault="00000000">
            <w:pPr>
              <w:pStyle w:val="A-"/>
            </w:pPr>
            <w:r>
              <w:t>达标</w:t>
            </w:r>
          </w:p>
        </w:tc>
      </w:tr>
    </w:tbl>
    <w:p w14:paraId="4F1EE931" w14:textId="77777777" w:rsidR="002E474C" w:rsidRDefault="002E474C">
      <w:pPr>
        <w:pStyle w:val="A-0"/>
        <w:rPr>
          <w:color w:val="auto"/>
        </w:rPr>
      </w:pPr>
    </w:p>
    <w:p w14:paraId="6FE4E59F" w14:textId="77777777" w:rsidR="002E474C" w:rsidRDefault="00000000">
      <w:pPr>
        <w:pStyle w:val="A--"/>
        <w:rPr>
          <w:color w:val="auto"/>
        </w:rPr>
      </w:pPr>
      <w:r>
        <w:rPr>
          <w:color w:val="auto"/>
        </w:rPr>
        <w:t>表</w:t>
      </w:r>
      <w:r>
        <w:rPr>
          <w:color w:val="auto"/>
        </w:rPr>
        <w:t>5.1</w:t>
      </w:r>
      <w:r>
        <w:rPr>
          <w:color w:val="auto"/>
        </w:rPr>
        <w:noBreakHyphen/>
        <w:t>19  HF</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2E2101BA" w14:textId="77777777">
        <w:trPr>
          <w:trHeight w:val="285"/>
        </w:trPr>
        <w:tc>
          <w:tcPr>
            <w:tcW w:w="270" w:type="pct"/>
            <w:noWrap/>
            <w:vAlign w:val="center"/>
          </w:tcPr>
          <w:p w14:paraId="3B4A0963" w14:textId="77777777" w:rsidR="002E474C" w:rsidRDefault="00000000">
            <w:pPr>
              <w:pStyle w:val="A-"/>
            </w:pPr>
            <w:r>
              <w:t>序号</w:t>
            </w:r>
          </w:p>
        </w:tc>
        <w:tc>
          <w:tcPr>
            <w:tcW w:w="712" w:type="pct"/>
            <w:noWrap/>
            <w:vAlign w:val="center"/>
          </w:tcPr>
          <w:p w14:paraId="2256E1ED" w14:textId="77777777" w:rsidR="002E474C" w:rsidRDefault="00000000">
            <w:pPr>
              <w:pStyle w:val="A-"/>
            </w:pPr>
            <w:r>
              <w:t>点名称</w:t>
            </w:r>
          </w:p>
        </w:tc>
        <w:tc>
          <w:tcPr>
            <w:tcW w:w="520" w:type="pct"/>
            <w:noWrap/>
            <w:vAlign w:val="center"/>
          </w:tcPr>
          <w:p w14:paraId="7A25F518" w14:textId="77777777" w:rsidR="002E474C" w:rsidRDefault="00000000">
            <w:pPr>
              <w:pStyle w:val="A-"/>
            </w:pPr>
            <w:r>
              <w:t>点坐标</w:t>
            </w:r>
          </w:p>
        </w:tc>
        <w:tc>
          <w:tcPr>
            <w:tcW w:w="446" w:type="pct"/>
            <w:noWrap/>
            <w:vAlign w:val="center"/>
          </w:tcPr>
          <w:p w14:paraId="1D389C2C" w14:textId="77777777" w:rsidR="002E474C" w:rsidRDefault="00000000">
            <w:pPr>
              <w:pStyle w:val="A-"/>
            </w:pPr>
            <w:r>
              <w:t>浓度类型</w:t>
            </w:r>
          </w:p>
        </w:tc>
        <w:tc>
          <w:tcPr>
            <w:tcW w:w="776" w:type="pct"/>
            <w:noWrap/>
            <w:vAlign w:val="center"/>
          </w:tcPr>
          <w:p w14:paraId="1FCC009B" w14:textId="77777777" w:rsidR="002E474C" w:rsidRDefault="00000000">
            <w:pPr>
              <w:pStyle w:val="A-"/>
            </w:pPr>
            <w:r>
              <w:t>浓度增量</w:t>
            </w:r>
            <w:r>
              <w:t>(</w:t>
            </w:r>
            <w:proofErr w:type="spellStart"/>
            <w:r>
              <w:t>μg</w:t>
            </w:r>
            <w:proofErr w:type="spellEnd"/>
            <w:r>
              <w:t>/m³)</w:t>
            </w:r>
          </w:p>
        </w:tc>
        <w:tc>
          <w:tcPr>
            <w:tcW w:w="446" w:type="pct"/>
            <w:noWrap/>
            <w:vAlign w:val="center"/>
          </w:tcPr>
          <w:p w14:paraId="703FEBC2" w14:textId="77777777" w:rsidR="002E474C" w:rsidRDefault="00000000">
            <w:pPr>
              <w:pStyle w:val="A-"/>
            </w:pPr>
            <w:r>
              <w:t>出现时间</w:t>
            </w:r>
          </w:p>
        </w:tc>
        <w:tc>
          <w:tcPr>
            <w:tcW w:w="776" w:type="pct"/>
            <w:noWrap/>
            <w:vAlign w:val="center"/>
          </w:tcPr>
          <w:p w14:paraId="5F446D2E" w14:textId="77777777" w:rsidR="002E474C" w:rsidRDefault="00000000">
            <w:pPr>
              <w:pStyle w:val="A-"/>
            </w:pPr>
            <w:r>
              <w:t>评价标准</w:t>
            </w:r>
            <w:r>
              <w:t>(</w:t>
            </w:r>
            <w:proofErr w:type="spellStart"/>
            <w:r>
              <w:t>μg</w:t>
            </w:r>
            <w:proofErr w:type="spellEnd"/>
            <w:r>
              <w:t>/m³)</w:t>
            </w:r>
          </w:p>
        </w:tc>
        <w:tc>
          <w:tcPr>
            <w:tcW w:w="609" w:type="pct"/>
            <w:noWrap/>
            <w:vAlign w:val="center"/>
          </w:tcPr>
          <w:p w14:paraId="5F1D79B7" w14:textId="77777777" w:rsidR="002E474C" w:rsidRDefault="00000000">
            <w:pPr>
              <w:pStyle w:val="A-"/>
            </w:pPr>
            <w:r>
              <w:t>占标率（</w:t>
            </w:r>
            <w:r>
              <w:t>%</w:t>
            </w:r>
            <w:r>
              <w:t>）</w:t>
            </w:r>
          </w:p>
        </w:tc>
        <w:tc>
          <w:tcPr>
            <w:tcW w:w="445" w:type="pct"/>
            <w:noWrap/>
            <w:vAlign w:val="center"/>
          </w:tcPr>
          <w:p w14:paraId="08D352ED" w14:textId="77777777" w:rsidR="002E474C" w:rsidRDefault="00000000">
            <w:pPr>
              <w:pStyle w:val="A-"/>
            </w:pPr>
            <w:r>
              <w:t>是否超标</w:t>
            </w:r>
          </w:p>
        </w:tc>
      </w:tr>
      <w:tr w:rsidR="002E474C" w14:paraId="6F5A2B24" w14:textId="77777777">
        <w:trPr>
          <w:trHeight w:val="285"/>
        </w:trPr>
        <w:tc>
          <w:tcPr>
            <w:tcW w:w="270" w:type="pct"/>
            <w:vMerge w:val="restart"/>
            <w:noWrap/>
            <w:vAlign w:val="center"/>
          </w:tcPr>
          <w:p w14:paraId="434BF5D1" w14:textId="77777777" w:rsidR="002E474C" w:rsidRDefault="00000000">
            <w:pPr>
              <w:pStyle w:val="A-"/>
            </w:pPr>
            <w:r>
              <w:t>1</w:t>
            </w:r>
          </w:p>
        </w:tc>
        <w:tc>
          <w:tcPr>
            <w:tcW w:w="712" w:type="pct"/>
            <w:vMerge w:val="restart"/>
            <w:noWrap/>
            <w:vAlign w:val="center"/>
          </w:tcPr>
          <w:p w14:paraId="54222412" w14:textId="77777777" w:rsidR="002E474C" w:rsidRDefault="00000000">
            <w:pPr>
              <w:pStyle w:val="A-"/>
            </w:pPr>
            <w:r>
              <w:t>阿乐惠镇</w:t>
            </w:r>
          </w:p>
        </w:tc>
        <w:tc>
          <w:tcPr>
            <w:tcW w:w="520" w:type="pct"/>
            <w:vMerge w:val="restart"/>
            <w:noWrap/>
            <w:vAlign w:val="center"/>
          </w:tcPr>
          <w:p w14:paraId="3CCEBBE1" w14:textId="77777777" w:rsidR="002E474C" w:rsidRDefault="00000000">
            <w:pPr>
              <w:pStyle w:val="A-"/>
            </w:pPr>
            <w:r>
              <w:t>-4151,1104</w:t>
            </w:r>
          </w:p>
        </w:tc>
        <w:tc>
          <w:tcPr>
            <w:tcW w:w="446" w:type="pct"/>
            <w:noWrap/>
            <w:vAlign w:val="center"/>
          </w:tcPr>
          <w:p w14:paraId="620A6B72" w14:textId="77777777" w:rsidR="002E474C" w:rsidRDefault="00000000">
            <w:pPr>
              <w:pStyle w:val="A-"/>
            </w:pPr>
            <w:r>
              <w:t>1</w:t>
            </w:r>
            <w:r>
              <w:t>小时</w:t>
            </w:r>
          </w:p>
        </w:tc>
        <w:tc>
          <w:tcPr>
            <w:tcW w:w="776" w:type="pct"/>
            <w:noWrap/>
            <w:vAlign w:val="center"/>
          </w:tcPr>
          <w:p w14:paraId="44C8E3E8" w14:textId="77777777" w:rsidR="002E474C" w:rsidRDefault="00000000">
            <w:pPr>
              <w:pStyle w:val="A-"/>
            </w:pPr>
            <w:r>
              <w:t xml:space="preserve">0.1140 </w:t>
            </w:r>
          </w:p>
        </w:tc>
        <w:tc>
          <w:tcPr>
            <w:tcW w:w="446" w:type="pct"/>
            <w:noWrap/>
            <w:vAlign w:val="center"/>
          </w:tcPr>
          <w:p w14:paraId="69DC1FE8" w14:textId="77777777" w:rsidR="002E474C" w:rsidRDefault="00000000">
            <w:pPr>
              <w:pStyle w:val="A-"/>
            </w:pPr>
            <w:r>
              <w:t>24022520</w:t>
            </w:r>
          </w:p>
        </w:tc>
        <w:tc>
          <w:tcPr>
            <w:tcW w:w="776" w:type="pct"/>
            <w:noWrap/>
            <w:vAlign w:val="center"/>
          </w:tcPr>
          <w:p w14:paraId="3CC10550" w14:textId="77777777" w:rsidR="002E474C" w:rsidRDefault="00000000">
            <w:pPr>
              <w:pStyle w:val="A-"/>
            </w:pPr>
            <w:r>
              <w:t>20</w:t>
            </w:r>
          </w:p>
        </w:tc>
        <w:tc>
          <w:tcPr>
            <w:tcW w:w="609" w:type="pct"/>
            <w:noWrap/>
            <w:vAlign w:val="center"/>
          </w:tcPr>
          <w:p w14:paraId="53F59578" w14:textId="77777777" w:rsidR="002E474C" w:rsidRDefault="00000000">
            <w:pPr>
              <w:pStyle w:val="A-"/>
            </w:pPr>
            <w:r>
              <w:t>0.57</w:t>
            </w:r>
          </w:p>
        </w:tc>
        <w:tc>
          <w:tcPr>
            <w:tcW w:w="445" w:type="pct"/>
            <w:noWrap/>
            <w:vAlign w:val="center"/>
          </w:tcPr>
          <w:p w14:paraId="0F73FA68" w14:textId="77777777" w:rsidR="002E474C" w:rsidRDefault="00000000">
            <w:pPr>
              <w:pStyle w:val="A-"/>
            </w:pPr>
            <w:r>
              <w:t>达标</w:t>
            </w:r>
          </w:p>
        </w:tc>
      </w:tr>
      <w:tr w:rsidR="002E474C" w14:paraId="61AF18F0" w14:textId="77777777">
        <w:trPr>
          <w:trHeight w:val="285"/>
        </w:trPr>
        <w:tc>
          <w:tcPr>
            <w:tcW w:w="270" w:type="pct"/>
            <w:vMerge/>
            <w:noWrap/>
            <w:vAlign w:val="center"/>
          </w:tcPr>
          <w:p w14:paraId="7135E93B" w14:textId="77777777" w:rsidR="002E474C" w:rsidRDefault="002E474C">
            <w:pPr>
              <w:pStyle w:val="A-"/>
            </w:pPr>
          </w:p>
        </w:tc>
        <w:tc>
          <w:tcPr>
            <w:tcW w:w="712" w:type="pct"/>
            <w:vMerge/>
            <w:noWrap/>
            <w:vAlign w:val="center"/>
          </w:tcPr>
          <w:p w14:paraId="3C415EAA" w14:textId="77777777" w:rsidR="002E474C" w:rsidRDefault="002E474C">
            <w:pPr>
              <w:pStyle w:val="A-"/>
            </w:pPr>
          </w:p>
        </w:tc>
        <w:tc>
          <w:tcPr>
            <w:tcW w:w="520" w:type="pct"/>
            <w:vMerge/>
            <w:noWrap/>
            <w:vAlign w:val="center"/>
          </w:tcPr>
          <w:p w14:paraId="32D97EB1" w14:textId="77777777" w:rsidR="002E474C" w:rsidRDefault="002E474C">
            <w:pPr>
              <w:pStyle w:val="A-"/>
            </w:pPr>
          </w:p>
        </w:tc>
        <w:tc>
          <w:tcPr>
            <w:tcW w:w="446" w:type="pct"/>
            <w:noWrap/>
            <w:vAlign w:val="center"/>
          </w:tcPr>
          <w:p w14:paraId="5CDE2B75" w14:textId="77777777" w:rsidR="002E474C" w:rsidRDefault="00000000">
            <w:pPr>
              <w:pStyle w:val="A-"/>
            </w:pPr>
            <w:r>
              <w:t>日平均</w:t>
            </w:r>
          </w:p>
        </w:tc>
        <w:tc>
          <w:tcPr>
            <w:tcW w:w="776" w:type="pct"/>
            <w:noWrap/>
            <w:vAlign w:val="center"/>
          </w:tcPr>
          <w:p w14:paraId="52361B91" w14:textId="77777777" w:rsidR="002E474C" w:rsidRDefault="00000000">
            <w:pPr>
              <w:pStyle w:val="A-"/>
            </w:pPr>
            <w:r>
              <w:t xml:space="preserve">0.0080 </w:t>
            </w:r>
          </w:p>
        </w:tc>
        <w:tc>
          <w:tcPr>
            <w:tcW w:w="446" w:type="pct"/>
            <w:noWrap/>
            <w:vAlign w:val="center"/>
          </w:tcPr>
          <w:p w14:paraId="00CC7161" w14:textId="77777777" w:rsidR="002E474C" w:rsidRDefault="00000000">
            <w:pPr>
              <w:pStyle w:val="A-"/>
            </w:pPr>
            <w:r>
              <w:t>240227</w:t>
            </w:r>
          </w:p>
        </w:tc>
        <w:tc>
          <w:tcPr>
            <w:tcW w:w="776" w:type="pct"/>
            <w:noWrap/>
            <w:vAlign w:val="center"/>
          </w:tcPr>
          <w:p w14:paraId="3E2658B3" w14:textId="77777777" w:rsidR="002E474C" w:rsidRDefault="00000000">
            <w:pPr>
              <w:pStyle w:val="A-"/>
            </w:pPr>
            <w:r>
              <w:t>7</w:t>
            </w:r>
          </w:p>
        </w:tc>
        <w:tc>
          <w:tcPr>
            <w:tcW w:w="609" w:type="pct"/>
            <w:noWrap/>
            <w:vAlign w:val="center"/>
          </w:tcPr>
          <w:p w14:paraId="6025A949" w14:textId="77777777" w:rsidR="002E474C" w:rsidRDefault="00000000">
            <w:pPr>
              <w:pStyle w:val="A-"/>
            </w:pPr>
            <w:r>
              <w:t>0.11</w:t>
            </w:r>
          </w:p>
        </w:tc>
        <w:tc>
          <w:tcPr>
            <w:tcW w:w="445" w:type="pct"/>
            <w:noWrap/>
            <w:vAlign w:val="center"/>
          </w:tcPr>
          <w:p w14:paraId="1FDC4E28" w14:textId="77777777" w:rsidR="002E474C" w:rsidRDefault="00000000">
            <w:pPr>
              <w:pStyle w:val="A-"/>
            </w:pPr>
            <w:r>
              <w:t>达标</w:t>
            </w:r>
          </w:p>
        </w:tc>
      </w:tr>
      <w:tr w:rsidR="002E474C" w14:paraId="5C8EECEA" w14:textId="77777777">
        <w:trPr>
          <w:trHeight w:val="285"/>
        </w:trPr>
        <w:tc>
          <w:tcPr>
            <w:tcW w:w="270" w:type="pct"/>
            <w:vMerge w:val="restart"/>
            <w:noWrap/>
            <w:vAlign w:val="center"/>
          </w:tcPr>
          <w:p w14:paraId="155CA92C" w14:textId="77777777" w:rsidR="002E474C" w:rsidRDefault="00000000">
            <w:pPr>
              <w:pStyle w:val="A-"/>
            </w:pPr>
            <w:r>
              <w:t>2</w:t>
            </w:r>
          </w:p>
        </w:tc>
        <w:tc>
          <w:tcPr>
            <w:tcW w:w="712" w:type="pct"/>
            <w:vMerge w:val="restart"/>
            <w:noWrap/>
            <w:vAlign w:val="center"/>
          </w:tcPr>
          <w:p w14:paraId="1ED2CBBD" w14:textId="77777777" w:rsidR="002E474C" w:rsidRDefault="00000000">
            <w:pPr>
              <w:pStyle w:val="A-"/>
            </w:pPr>
            <w:r>
              <w:t>电石厂员工公寓</w:t>
            </w:r>
          </w:p>
        </w:tc>
        <w:tc>
          <w:tcPr>
            <w:tcW w:w="520" w:type="pct"/>
            <w:vMerge w:val="restart"/>
            <w:noWrap/>
            <w:vAlign w:val="center"/>
          </w:tcPr>
          <w:p w14:paraId="17DEC178" w14:textId="77777777" w:rsidR="002E474C" w:rsidRDefault="00000000">
            <w:pPr>
              <w:pStyle w:val="A-"/>
            </w:pPr>
            <w:r>
              <w:t>-1901,92</w:t>
            </w:r>
          </w:p>
        </w:tc>
        <w:tc>
          <w:tcPr>
            <w:tcW w:w="446" w:type="pct"/>
            <w:noWrap/>
            <w:vAlign w:val="center"/>
          </w:tcPr>
          <w:p w14:paraId="57B0C7B9" w14:textId="77777777" w:rsidR="002E474C" w:rsidRDefault="00000000">
            <w:pPr>
              <w:pStyle w:val="A-"/>
            </w:pPr>
            <w:r>
              <w:t>1</w:t>
            </w:r>
            <w:r>
              <w:t>小时</w:t>
            </w:r>
          </w:p>
        </w:tc>
        <w:tc>
          <w:tcPr>
            <w:tcW w:w="776" w:type="pct"/>
            <w:noWrap/>
            <w:vAlign w:val="center"/>
          </w:tcPr>
          <w:p w14:paraId="33EAE7B6" w14:textId="77777777" w:rsidR="002E474C" w:rsidRDefault="00000000">
            <w:pPr>
              <w:pStyle w:val="A-"/>
            </w:pPr>
            <w:r>
              <w:t xml:space="preserve">0.0346 </w:t>
            </w:r>
          </w:p>
        </w:tc>
        <w:tc>
          <w:tcPr>
            <w:tcW w:w="446" w:type="pct"/>
            <w:noWrap/>
            <w:vAlign w:val="center"/>
          </w:tcPr>
          <w:p w14:paraId="55C81359" w14:textId="77777777" w:rsidR="002E474C" w:rsidRDefault="00000000">
            <w:pPr>
              <w:pStyle w:val="A-"/>
            </w:pPr>
            <w:r>
              <w:t>24092708</w:t>
            </w:r>
          </w:p>
        </w:tc>
        <w:tc>
          <w:tcPr>
            <w:tcW w:w="776" w:type="pct"/>
            <w:noWrap/>
            <w:vAlign w:val="center"/>
          </w:tcPr>
          <w:p w14:paraId="779B1C30" w14:textId="77777777" w:rsidR="002E474C" w:rsidRDefault="00000000">
            <w:pPr>
              <w:pStyle w:val="A-"/>
            </w:pPr>
            <w:r>
              <w:t>20</w:t>
            </w:r>
          </w:p>
        </w:tc>
        <w:tc>
          <w:tcPr>
            <w:tcW w:w="609" w:type="pct"/>
            <w:noWrap/>
            <w:vAlign w:val="center"/>
          </w:tcPr>
          <w:p w14:paraId="14955BFF" w14:textId="77777777" w:rsidR="002E474C" w:rsidRDefault="00000000">
            <w:pPr>
              <w:pStyle w:val="A-"/>
            </w:pPr>
            <w:r>
              <w:t>0.17</w:t>
            </w:r>
          </w:p>
        </w:tc>
        <w:tc>
          <w:tcPr>
            <w:tcW w:w="445" w:type="pct"/>
            <w:noWrap/>
            <w:vAlign w:val="center"/>
          </w:tcPr>
          <w:p w14:paraId="40F6F12C" w14:textId="77777777" w:rsidR="002E474C" w:rsidRDefault="00000000">
            <w:pPr>
              <w:pStyle w:val="A-"/>
            </w:pPr>
            <w:r>
              <w:t>达标</w:t>
            </w:r>
          </w:p>
        </w:tc>
      </w:tr>
      <w:tr w:rsidR="002E474C" w14:paraId="2EA359C2" w14:textId="77777777">
        <w:trPr>
          <w:trHeight w:val="285"/>
        </w:trPr>
        <w:tc>
          <w:tcPr>
            <w:tcW w:w="270" w:type="pct"/>
            <w:vMerge/>
            <w:noWrap/>
            <w:vAlign w:val="center"/>
          </w:tcPr>
          <w:p w14:paraId="7223B53B" w14:textId="77777777" w:rsidR="002E474C" w:rsidRDefault="002E474C">
            <w:pPr>
              <w:pStyle w:val="A-"/>
            </w:pPr>
          </w:p>
        </w:tc>
        <w:tc>
          <w:tcPr>
            <w:tcW w:w="712" w:type="pct"/>
            <w:vMerge/>
            <w:noWrap/>
            <w:vAlign w:val="center"/>
          </w:tcPr>
          <w:p w14:paraId="5EEC8BAC" w14:textId="77777777" w:rsidR="002E474C" w:rsidRDefault="002E474C">
            <w:pPr>
              <w:pStyle w:val="A-"/>
            </w:pPr>
          </w:p>
        </w:tc>
        <w:tc>
          <w:tcPr>
            <w:tcW w:w="520" w:type="pct"/>
            <w:vMerge/>
            <w:noWrap/>
            <w:vAlign w:val="center"/>
          </w:tcPr>
          <w:p w14:paraId="33B72D69" w14:textId="77777777" w:rsidR="002E474C" w:rsidRDefault="002E474C">
            <w:pPr>
              <w:pStyle w:val="A-"/>
            </w:pPr>
          </w:p>
        </w:tc>
        <w:tc>
          <w:tcPr>
            <w:tcW w:w="446" w:type="pct"/>
            <w:noWrap/>
            <w:vAlign w:val="center"/>
          </w:tcPr>
          <w:p w14:paraId="1555EC84" w14:textId="77777777" w:rsidR="002E474C" w:rsidRDefault="00000000">
            <w:pPr>
              <w:pStyle w:val="A-"/>
            </w:pPr>
            <w:r>
              <w:t>日平均</w:t>
            </w:r>
          </w:p>
        </w:tc>
        <w:tc>
          <w:tcPr>
            <w:tcW w:w="776" w:type="pct"/>
            <w:noWrap/>
            <w:vAlign w:val="center"/>
          </w:tcPr>
          <w:p w14:paraId="1C5F2F7D" w14:textId="77777777" w:rsidR="002E474C" w:rsidRDefault="00000000">
            <w:pPr>
              <w:pStyle w:val="A-"/>
            </w:pPr>
            <w:r>
              <w:t xml:space="preserve">0.0045 </w:t>
            </w:r>
          </w:p>
        </w:tc>
        <w:tc>
          <w:tcPr>
            <w:tcW w:w="446" w:type="pct"/>
            <w:noWrap/>
            <w:vAlign w:val="center"/>
          </w:tcPr>
          <w:p w14:paraId="0AAD9658" w14:textId="77777777" w:rsidR="002E474C" w:rsidRDefault="00000000">
            <w:pPr>
              <w:pStyle w:val="A-"/>
            </w:pPr>
            <w:r>
              <w:t>240427</w:t>
            </w:r>
          </w:p>
        </w:tc>
        <w:tc>
          <w:tcPr>
            <w:tcW w:w="776" w:type="pct"/>
            <w:noWrap/>
            <w:vAlign w:val="center"/>
          </w:tcPr>
          <w:p w14:paraId="406D6FD5" w14:textId="77777777" w:rsidR="002E474C" w:rsidRDefault="00000000">
            <w:pPr>
              <w:pStyle w:val="A-"/>
            </w:pPr>
            <w:r>
              <w:t>7</w:t>
            </w:r>
          </w:p>
        </w:tc>
        <w:tc>
          <w:tcPr>
            <w:tcW w:w="609" w:type="pct"/>
            <w:noWrap/>
            <w:vAlign w:val="center"/>
          </w:tcPr>
          <w:p w14:paraId="41680B41" w14:textId="77777777" w:rsidR="002E474C" w:rsidRDefault="00000000">
            <w:pPr>
              <w:pStyle w:val="A-"/>
            </w:pPr>
            <w:r>
              <w:t>0.06</w:t>
            </w:r>
          </w:p>
        </w:tc>
        <w:tc>
          <w:tcPr>
            <w:tcW w:w="445" w:type="pct"/>
            <w:noWrap/>
            <w:vAlign w:val="center"/>
          </w:tcPr>
          <w:p w14:paraId="4F84A463" w14:textId="77777777" w:rsidR="002E474C" w:rsidRDefault="00000000">
            <w:pPr>
              <w:pStyle w:val="A-"/>
            </w:pPr>
            <w:r>
              <w:t>达标</w:t>
            </w:r>
          </w:p>
        </w:tc>
      </w:tr>
      <w:tr w:rsidR="002E474C" w14:paraId="590B8334" w14:textId="77777777">
        <w:trPr>
          <w:trHeight w:val="285"/>
        </w:trPr>
        <w:tc>
          <w:tcPr>
            <w:tcW w:w="270" w:type="pct"/>
            <w:vMerge w:val="restart"/>
            <w:noWrap/>
            <w:vAlign w:val="center"/>
          </w:tcPr>
          <w:p w14:paraId="4BB7419D" w14:textId="77777777" w:rsidR="002E474C" w:rsidRDefault="00000000">
            <w:pPr>
              <w:pStyle w:val="A-"/>
            </w:pPr>
            <w:r>
              <w:t>3</w:t>
            </w:r>
          </w:p>
        </w:tc>
        <w:tc>
          <w:tcPr>
            <w:tcW w:w="712" w:type="pct"/>
            <w:vMerge w:val="restart"/>
            <w:noWrap/>
            <w:vAlign w:val="center"/>
          </w:tcPr>
          <w:p w14:paraId="505D1194" w14:textId="77777777" w:rsidR="002E474C" w:rsidRDefault="00000000">
            <w:pPr>
              <w:pStyle w:val="A-"/>
            </w:pPr>
            <w:r>
              <w:t>网格</w:t>
            </w:r>
          </w:p>
        </w:tc>
        <w:tc>
          <w:tcPr>
            <w:tcW w:w="520" w:type="pct"/>
            <w:noWrap/>
            <w:vAlign w:val="center"/>
          </w:tcPr>
          <w:p w14:paraId="1D784A09" w14:textId="77777777" w:rsidR="002E474C" w:rsidRDefault="00000000">
            <w:pPr>
              <w:pStyle w:val="A-"/>
            </w:pPr>
            <w:r>
              <w:t>600,1600</w:t>
            </w:r>
          </w:p>
        </w:tc>
        <w:tc>
          <w:tcPr>
            <w:tcW w:w="446" w:type="pct"/>
            <w:noWrap/>
            <w:vAlign w:val="center"/>
          </w:tcPr>
          <w:p w14:paraId="2ABD0AFF" w14:textId="77777777" w:rsidR="002E474C" w:rsidRDefault="00000000">
            <w:pPr>
              <w:pStyle w:val="A-"/>
            </w:pPr>
            <w:r>
              <w:t>1</w:t>
            </w:r>
            <w:r>
              <w:t>小时</w:t>
            </w:r>
          </w:p>
        </w:tc>
        <w:tc>
          <w:tcPr>
            <w:tcW w:w="776" w:type="pct"/>
            <w:noWrap/>
            <w:vAlign w:val="center"/>
          </w:tcPr>
          <w:p w14:paraId="315B964E" w14:textId="77777777" w:rsidR="002E474C" w:rsidRDefault="00000000">
            <w:pPr>
              <w:pStyle w:val="A-"/>
            </w:pPr>
            <w:r>
              <w:t xml:space="preserve">1.4600 </w:t>
            </w:r>
          </w:p>
        </w:tc>
        <w:tc>
          <w:tcPr>
            <w:tcW w:w="446" w:type="pct"/>
            <w:noWrap/>
            <w:vAlign w:val="center"/>
          </w:tcPr>
          <w:p w14:paraId="21A1F49F" w14:textId="77777777" w:rsidR="002E474C" w:rsidRDefault="00000000">
            <w:pPr>
              <w:pStyle w:val="A-"/>
            </w:pPr>
            <w:r>
              <w:t>24020418</w:t>
            </w:r>
          </w:p>
        </w:tc>
        <w:tc>
          <w:tcPr>
            <w:tcW w:w="776" w:type="pct"/>
            <w:noWrap/>
            <w:vAlign w:val="center"/>
          </w:tcPr>
          <w:p w14:paraId="5D3239C6" w14:textId="77777777" w:rsidR="002E474C" w:rsidRDefault="00000000">
            <w:pPr>
              <w:pStyle w:val="A-"/>
            </w:pPr>
            <w:r>
              <w:t>20</w:t>
            </w:r>
          </w:p>
        </w:tc>
        <w:tc>
          <w:tcPr>
            <w:tcW w:w="609" w:type="pct"/>
            <w:noWrap/>
            <w:vAlign w:val="center"/>
          </w:tcPr>
          <w:p w14:paraId="6ADF3BBE" w14:textId="77777777" w:rsidR="002E474C" w:rsidRDefault="00000000">
            <w:pPr>
              <w:pStyle w:val="A-"/>
            </w:pPr>
            <w:r>
              <w:t>7.28</w:t>
            </w:r>
          </w:p>
        </w:tc>
        <w:tc>
          <w:tcPr>
            <w:tcW w:w="445" w:type="pct"/>
            <w:noWrap/>
            <w:vAlign w:val="center"/>
          </w:tcPr>
          <w:p w14:paraId="1103C78F" w14:textId="77777777" w:rsidR="002E474C" w:rsidRDefault="00000000">
            <w:pPr>
              <w:pStyle w:val="A-"/>
            </w:pPr>
            <w:r>
              <w:t>达标</w:t>
            </w:r>
          </w:p>
        </w:tc>
      </w:tr>
      <w:tr w:rsidR="002E474C" w14:paraId="12F2CC49" w14:textId="77777777">
        <w:trPr>
          <w:trHeight w:val="285"/>
        </w:trPr>
        <w:tc>
          <w:tcPr>
            <w:tcW w:w="270" w:type="pct"/>
            <w:vMerge/>
            <w:noWrap/>
            <w:vAlign w:val="center"/>
          </w:tcPr>
          <w:p w14:paraId="29B53BF5" w14:textId="77777777" w:rsidR="002E474C" w:rsidRDefault="002E474C">
            <w:pPr>
              <w:pStyle w:val="A-"/>
            </w:pPr>
          </w:p>
        </w:tc>
        <w:tc>
          <w:tcPr>
            <w:tcW w:w="712" w:type="pct"/>
            <w:vMerge/>
            <w:noWrap/>
            <w:vAlign w:val="center"/>
          </w:tcPr>
          <w:p w14:paraId="28C9E638" w14:textId="77777777" w:rsidR="002E474C" w:rsidRDefault="002E474C">
            <w:pPr>
              <w:pStyle w:val="A-"/>
            </w:pPr>
          </w:p>
        </w:tc>
        <w:tc>
          <w:tcPr>
            <w:tcW w:w="520" w:type="pct"/>
            <w:noWrap/>
            <w:vAlign w:val="center"/>
          </w:tcPr>
          <w:p w14:paraId="6491BF5E" w14:textId="77777777" w:rsidR="002E474C" w:rsidRDefault="00000000">
            <w:pPr>
              <w:pStyle w:val="A-"/>
            </w:pPr>
            <w:r>
              <w:t>-100,2200</w:t>
            </w:r>
          </w:p>
        </w:tc>
        <w:tc>
          <w:tcPr>
            <w:tcW w:w="446" w:type="pct"/>
            <w:noWrap/>
            <w:vAlign w:val="center"/>
          </w:tcPr>
          <w:p w14:paraId="46676EDC" w14:textId="77777777" w:rsidR="002E474C" w:rsidRDefault="00000000">
            <w:pPr>
              <w:pStyle w:val="A-"/>
            </w:pPr>
            <w:r>
              <w:t>日平均</w:t>
            </w:r>
          </w:p>
        </w:tc>
        <w:tc>
          <w:tcPr>
            <w:tcW w:w="776" w:type="pct"/>
            <w:noWrap/>
            <w:vAlign w:val="center"/>
          </w:tcPr>
          <w:p w14:paraId="0914D57A" w14:textId="77777777" w:rsidR="002E474C" w:rsidRDefault="00000000">
            <w:pPr>
              <w:pStyle w:val="A-"/>
            </w:pPr>
            <w:r>
              <w:t xml:space="preserve">0.1570 </w:t>
            </w:r>
          </w:p>
        </w:tc>
        <w:tc>
          <w:tcPr>
            <w:tcW w:w="446" w:type="pct"/>
            <w:noWrap/>
            <w:vAlign w:val="center"/>
          </w:tcPr>
          <w:p w14:paraId="7F4E5DD7" w14:textId="77777777" w:rsidR="002E474C" w:rsidRDefault="00000000">
            <w:pPr>
              <w:pStyle w:val="A-"/>
            </w:pPr>
            <w:r>
              <w:t>241207</w:t>
            </w:r>
          </w:p>
        </w:tc>
        <w:tc>
          <w:tcPr>
            <w:tcW w:w="776" w:type="pct"/>
            <w:noWrap/>
            <w:vAlign w:val="center"/>
          </w:tcPr>
          <w:p w14:paraId="7C730DF8" w14:textId="77777777" w:rsidR="002E474C" w:rsidRDefault="00000000">
            <w:pPr>
              <w:pStyle w:val="A-"/>
            </w:pPr>
            <w:r>
              <w:t>7</w:t>
            </w:r>
          </w:p>
        </w:tc>
        <w:tc>
          <w:tcPr>
            <w:tcW w:w="609" w:type="pct"/>
            <w:noWrap/>
            <w:vAlign w:val="center"/>
          </w:tcPr>
          <w:p w14:paraId="64EBCF83" w14:textId="77777777" w:rsidR="002E474C" w:rsidRDefault="00000000">
            <w:pPr>
              <w:pStyle w:val="A-"/>
            </w:pPr>
            <w:r>
              <w:t>2.24</w:t>
            </w:r>
          </w:p>
        </w:tc>
        <w:tc>
          <w:tcPr>
            <w:tcW w:w="445" w:type="pct"/>
            <w:noWrap/>
            <w:vAlign w:val="center"/>
          </w:tcPr>
          <w:p w14:paraId="4584CE80" w14:textId="77777777" w:rsidR="002E474C" w:rsidRDefault="00000000">
            <w:pPr>
              <w:pStyle w:val="A-"/>
            </w:pPr>
            <w:r>
              <w:t>达标</w:t>
            </w:r>
          </w:p>
        </w:tc>
      </w:tr>
    </w:tbl>
    <w:p w14:paraId="0793C073" w14:textId="77777777" w:rsidR="002E474C" w:rsidRDefault="002E474C">
      <w:pPr>
        <w:pStyle w:val="A-0"/>
        <w:rPr>
          <w:color w:val="auto"/>
        </w:rPr>
      </w:pPr>
    </w:p>
    <w:p w14:paraId="4A4AAA88" w14:textId="77777777" w:rsidR="002E474C" w:rsidRDefault="00000000">
      <w:pPr>
        <w:pStyle w:val="A--"/>
        <w:rPr>
          <w:color w:val="auto"/>
        </w:rPr>
      </w:pPr>
      <w:r>
        <w:rPr>
          <w:color w:val="auto"/>
        </w:rPr>
        <w:t>表</w:t>
      </w:r>
      <w:r>
        <w:rPr>
          <w:color w:val="auto"/>
        </w:rPr>
        <w:t>5.1</w:t>
      </w:r>
      <w:r>
        <w:rPr>
          <w:color w:val="auto"/>
        </w:rPr>
        <w:noBreakHyphen/>
        <w:t>20  As</w:t>
      </w:r>
      <w:r>
        <w:rPr>
          <w:color w:val="auto"/>
        </w:rPr>
        <w:t>最大贡献浓度预测结果</w:t>
      </w:r>
    </w:p>
    <w:tbl>
      <w:tblPr>
        <w:tblStyle w:val="affff9"/>
        <w:tblW w:w="5000" w:type="pct"/>
        <w:tblLook w:val="04A0" w:firstRow="1" w:lastRow="0" w:firstColumn="1" w:lastColumn="0" w:noHBand="0" w:noVBand="1"/>
      </w:tblPr>
      <w:tblGrid>
        <w:gridCol w:w="736"/>
        <w:gridCol w:w="1950"/>
        <w:gridCol w:w="1688"/>
        <w:gridCol w:w="1222"/>
        <w:gridCol w:w="2126"/>
        <w:gridCol w:w="1222"/>
        <w:gridCol w:w="2126"/>
        <w:gridCol w:w="1665"/>
        <w:gridCol w:w="1213"/>
      </w:tblGrid>
      <w:tr w:rsidR="002E474C" w14:paraId="1994F830" w14:textId="77777777">
        <w:trPr>
          <w:trHeight w:val="285"/>
        </w:trPr>
        <w:tc>
          <w:tcPr>
            <w:tcW w:w="264" w:type="pct"/>
            <w:noWrap/>
            <w:vAlign w:val="center"/>
          </w:tcPr>
          <w:p w14:paraId="2D7D0A6F" w14:textId="77777777" w:rsidR="002E474C" w:rsidRDefault="00000000">
            <w:pPr>
              <w:pStyle w:val="A-"/>
            </w:pPr>
            <w:r>
              <w:t>序号</w:t>
            </w:r>
          </w:p>
        </w:tc>
        <w:tc>
          <w:tcPr>
            <w:tcW w:w="699" w:type="pct"/>
            <w:noWrap/>
            <w:vAlign w:val="center"/>
          </w:tcPr>
          <w:p w14:paraId="310614CC" w14:textId="77777777" w:rsidR="002E474C" w:rsidRDefault="00000000">
            <w:pPr>
              <w:pStyle w:val="A-"/>
            </w:pPr>
            <w:r>
              <w:t>点名称</w:t>
            </w:r>
          </w:p>
        </w:tc>
        <w:tc>
          <w:tcPr>
            <w:tcW w:w="605" w:type="pct"/>
            <w:noWrap/>
            <w:vAlign w:val="center"/>
          </w:tcPr>
          <w:p w14:paraId="5158B318" w14:textId="77777777" w:rsidR="002E474C" w:rsidRDefault="00000000">
            <w:pPr>
              <w:pStyle w:val="A-"/>
            </w:pPr>
            <w:r>
              <w:t>点坐标</w:t>
            </w:r>
          </w:p>
        </w:tc>
        <w:tc>
          <w:tcPr>
            <w:tcW w:w="438" w:type="pct"/>
            <w:noWrap/>
            <w:vAlign w:val="center"/>
          </w:tcPr>
          <w:p w14:paraId="52DB8984" w14:textId="77777777" w:rsidR="002E474C" w:rsidRDefault="00000000">
            <w:pPr>
              <w:pStyle w:val="A-"/>
            </w:pPr>
            <w:r>
              <w:t>浓度类型</w:t>
            </w:r>
          </w:p>
        </w:tc>
        <w:tc>
          <w:tcPr>
            <w:tcW w:w="762" w:type="pct"/>
            <w:noWrap/>
            <w:vAlign w:val="center"/>
          </w:tcPr>
          <w:p w14:paraId="4B377913" w14:textId="77777777" w:rsidR="002E474C" w:rsidRDefault="00000000">
            <w:pPr>
              <w:pStyle w:val="A-"/>
            </w:pPr>
            <w:r>
              <w:t>浓度增量</w:t>
            </w:r>
            <w:r>
              <w:t>(</w:t>
            </w:r>
            <w:proofErr w:type="spellStart"/>
            <w:r>
              <w:t>μg</w:t>
            </w:r>
            <w:proofErr w:type="spellEnd"/>
            <w:r>
              <w:t>/m³)</w:t>
            </w:r>
          </w:p>
        </w:tc>
        <w:tc>
          <w:tcPr>
            <w:tcW w:w="438" w:type="pct"/>
            <w:noWrap/>
            <w:vAlign w:val="center"/>
          </w:tcPr>
          <w:p w14:paraId="2A2CABDD" w14:textId="77777777" w:rsidR="002E474C" w:rsidRDefault="00000000">
            <w:pPr>
              <w:pStyle w:val="A-"/>
            </w:pPr>
            <w:r>
              <w:t>出现时间</w:t>
            </w:r>
          </w:p>
        </w:tc>
        <w:tc>
          <w:tcPr>
            <w:tcW w:w="762" w:type="pct"/>
            <w:noWrap/>
            <w:vAlign w:val="center"/>
          </w:tcPr>
          <w:p w14:paraId="0ECA0E96" w14:textId="77777777" w:rsidR="002E474C" w:rsidRDefault="00000000">
            <w:pPr>
              <w:pStyle w:val="A-"/>
            </w:pPr>
            <w:r>
              <w:t>评价标准</w:t>
            </w:r>
            <w:r>
              <w:t>(</w:t>
            </w:r>
            <w:proofErr w:type="spellStart"/>
            <w:r>
              <w:t>μg</w:t>
            </w:r>
            <w:proofErr w:type="spellEnd"/>
            <w:r>
              <w:t>/m³)</w:t>
            </w:r>
          </w:p>
        </w:tc>
        <w:tc>
          <w:tcPr>
            <w:tcW w:w="597" w:type="pct"/>
            <w:noWrap/>
            <w:vAlign w:val="center"/>
          </w:tcPr>
          <w:p w14:paraId="789E4709" w14:textId="77777777" w:rsidR="002E474C" w:rsidRDefault="00000000">
            <w:pPr>
              <w:pStyle w:val="A-"/>
            </w:pPr>
            <w:r>
              <w:t>占标率（</w:t>
            </w:r>
            <w:r>
              <w:t>%</w:t>
            </w:r>
            <w:r>
              <w:t>）</w:t>
            </w:r>
          </w:p>
        </w:tc>
        <w:tc>
          <w:tcPr>
            <w:tcW w:w="435" w:type="pct"/>
            <w:noWrap/>
            <w:vAlign w:val="center"/>
          </w:tcPr>
          <w:p w14:paraId="6B182D76" w14:textId="77777777" w:rsidR="002E474C" w:rsidRDefault="00000000">
            <w:pPr>
              <w:pStyle w:val="A-"/>
            </w:pPr>
            <w:r>
              <w:t>是否超标</w:t>
            </w:r>
          </w:p>
        </w:tc>
      </w:tr>
      <w:tr w:rsidR="002E474C" w14:paraId="09BB79B9" w14:textId="77777777">
        <w:trPr>
          <w:trHeight w:val="285"/>
        </w:trPr>
        <w:tc>
          <w:tcPr>
            <w:tcW w:w="264" w:type="pct"/>
            <w:noWrap/>
            <w:vAlign w:val="center"/>
          </w:tcPr>
          <w:p w14:paraId="030207B5" w14:textId="77777777" w:rsidR="002E474C" w:rsidRDefault="00000000">
            <w:pPr>
              <w:pStyle w:val="A-"/>
            </w:pPr>
            <w:r>
              <w:t>1</w:t>
            </w:r>
          </w:p>
        </w:tc>
        <w:tc>
          <w:tcPr>
            <w:tcW w:w="699" w:type="pct"/>
            <w:noWrap/>
            <w:vAlign w:val="center"/>
          </w:tcPr>
          <w:p w14:paraId="7FEE5C0E" w14:textId="77777777" w:rsidR="002E474C" w:rsidRDefault="00000000">
            <w:pPr>
              <w:pStyle w:val="A-"/>
            </w:pPr>
            <w:r>
              <w:t>阿乐惠镇</w:t>
            </w:r>
          </w:p>
        </w:tc>
        <w:tc>
          <w:tcPr>
            <w:tcW w:w="605" w:type="pct"/>
            <w:noWrap/>
            <w:vAlign w:val="center"/>
          </w:tcPr>
          <w:p w14:paraId="764E72DB" w14:textId="77777777" w:rsidR="002E474C" w:rsidRDefault="00000000">
            <w:pPr>
              <w:pStyle w:val="A-"/>
            </w:pPr>
            <w:r>
              <w:t>-4151,1104</w:t>
            </w:r>
          </w:p>
        </w:tc>
        <w:tc>
          <w:tcPr>
            <w:tcW w:w="438" w:type="pct"/>
            <w:noWrap/>
            <w:vAlign w:val="center"/>
          </w:tcPr>
          <w:p w14:paraId="3A99305F" w14:textId="77777777" w:rsidR="002E474C" w:rsidRDefault="00000000">
            <w:pPr>
              <w:pStyle w:val="A-"/>
            </w:pPr>
            <w:r>
              <w:t>年平均</w:t>
            </w:r>
          </w:p>
        </w:tc>
        <w:tc>
          <w:tcPr>
            <w:tcW w:w="762" w:type="pct"/>
            <w:noWrap/>
            <w:vAlign w:val="center"/>
          </w:tcPr>
          <w:p w14:paraId="21E18D3F" w14:textId="77777777" w:rsidR="002E474C" w:rsidRDefault="00000000">
            <w:pPr>
              <w:pStyle w:val="A-"/>
            </w:pPr>
            <w:r>
              <w:t>0.0000</w:t>
            </w:r>
          </w:p>
        </w:tc>
        <w:tc>
          <w:tcPr>
            <w:tcW w:w="438" w:type="pct"/>
            <w:noWrap/>
            <w:vAlign w:val="center"/>
          </w:tcPr>
          <w:p w14:paraId="64F47078" w14:textId="77777777" w:rsidR="002E474C" w:rsidRDefault="00000000">
            <w:pPr>
              <w:pStyle w:val="A-"/>
            </w:pPr>
            <w:r>
              <w:t>平均值</w:t>
            </w:r>
          </w:p>
        </w:tc>
        <w:tc>
          <w:tcPr>
            <w:tcW w:w="762" w:type="pct"/>
            <w:noWrap/>
            <w:vAlign w:val="center"/>
          </w:tcPr>
          <w:p w14:paraId="108B897B" w14:textId="77777777" w:rsidR="002E474C" w:rsidRDefault="00000000">
            <w:pPr>
              <w:pStyle w:val="A-"/>
            </w:pPr>
            <w:r>
              <w:t>0.006</w:t>
            </w:r>
          </w:p>
        </w:tc>
        <w:tc>
          <w:tcPr>
            <w:tcW w:w="597" w:type="pct"/>
            <w:noWrap/>
            <w:vAlign w:val="center"/>
          </w:tcPr>
          <w:p w14:paraId="5425FE03" w14:textId="77777777" w:rsidR="002E474C" w:rsidRDefault="00000000">
            <w:pPr>
              <w:pStyle w:val="A-"/>
            </w:pPr>
            <w:r>
              <w:t>0</w:t>
            </w:r>
          </w:p>
        </w:tc>
        <w:tc>
          <w:tcPr>
            <w:tcW w:w="435" w:type="pct"/>
            <w:noWrap/>
            <w:vAlign w:val="center"/>
          </w:tcPr>
          <w:p w14:paraId="508E9A1F" w14:textId="77777777" w:rsidR="002E474C" w:rsidRDefault="00000000">
            <w:pPr>
              <w:pStyle w:val="A-"/>
            </w:pPr>
            <w:r>
              <w:t>达标</w:t>
            </w:r>
          </w:p>
        </w:tc>
      </w:tr>
      <w:tr w:rsidR="002E474C" w14:paraId="206717F3" w14:textId="77777777">
        <w:trPr>
          <w:trHeight w:val="285"/>
        </w:trPr>
        <w:tc>
          <w:tcPr>
            <w:tcW w:w="264" w:type="pct"/>
            <w:noWrap/>
            <w:vAlign w:val="center"/>
          </w:tcPr>
          <w:p w14:paraId="7839553E" w14:textId="77777777" w:rsidR="002E474C" w:rsidRDefault="00000000">
            <w:pPr>
              <w:pStyle w:val="A-"/>
            </w:pPr>
            <w:r>
              <w:t>2</w:t>
            </w:r>
          </w:p>
        </w:tc>
        <w:tc>
          <w:tcPr>
            <w:tcW w:w="699" w:type="pct"/>
            <w:noWrap/>
            <w:vAlign w:val="center"/>
          </w:tcPr>
          <w:p w14:paraId="4A881DB7" w14:textId="77777777" w:rsidR="002E474C" w:rsidRDefault="00000000">
            <w:pPr>
              <w:pStyle w:val="A-"/>
            </w:pPr>
            <w:r>
              <w:t>电石厂员工公寓</w:t>
            </w:r>
          </w:p>
        </w:tc>
        <w:tc>
          <w:tcPr>
            <w:tcW w:w="605" w:type="pct"/>
            <w:noWrap/>
            <w:vAlign w:val="center"/>
          </w:tcPr>
          <w:p w14:paraId="62E8C86D" w14:textId="77777777" w:rsidR="002E474C" w:rsidRDefault="00000000">
            <w:pPr>
              <w:pStyle w:val="A-"/>
            </w:pPr>
            <w:r>
              <w:t>-1901,92</w:t>
            </w:r>
          </w:p>
        </w:tc>
        <w:tc>
          <w:tcPr>
            <w:tcW w:w="438" w:type="pct"/>
            <w:noWrap/>
            <w:vAlign w:val="center"/>
          </w:tcPr>
          <w:p w14:paraId="175DDA5D" w14:textId="77777777" w:rsidR="002E474C" w:rsidRDefault="00000000">
            <w:pPr>
              <w:pStyle w:val="A-"/>
            </w:pPr>
            <w:r>
              <w:t>年平均</w:t>
            </w:r>
          </w:p>
        </w:tc>
        <w:tc>
          <w:tcPr>
            <w:tcW w:w="762" w:type="pct"/>
            <w:noWrap/>
          </w:tcPr>
          <w:p w14:paraId="068ED052" w14:textId="77777777" w:rsidR="002E474C" w:rsidRDefault="00000000">
            <w:pPr>
              <w:pStyle w:val="A-"/>
            </w:pPr>
            <w:r>
              <w:t>0.0000</w:t>
            </w:r>
          </w:p>
        </w:tc>
        <w:tc>
          <w:tcPr>
            <w:tcW w:w="438" w:type="pct"/>
            <w:noWrap/>
            <w:vAlign w:val="center"/>
          </w:tcPr>
          <w:p w14:paraId="2FDA858C" w14:textId="77777777" w:rsidR="002E474C" w:rsidRDefault="00000000">
            <w:pPr>
              <w:pStyle w:val="A-"/>
            </w:pPr>
            <w:r>
              <w:t>平均值</w:t>
            </w:r>
          </w:p>
        </w:tc>
        <w:tc>
          <w:tcPr>
            <w:tcW w:w="762" w:type="pct"/>
            <w:noWrap/>
          </w:tcPr>
          <w:p w14:paraId="6D4228B1" w14:textId="77777777" w:rsidR="002E474C" w:rsidRDefault="00000000">
            <w:pPr>
              <w:pStyle w:val="A-"/>
            </w:pPr>
            <w:r>
              <w:t>0.006</w:t>
            </w:r>
          </w:p>
        </w:tc>
        <w:tc>
          <w:tcPr>
            <w:tcW w:w="597" w:type="pct"/>
            <w:noWrap/>
            <w:vAlign w:val="center"/>
          </w:tcPr>
          <w:p w14:paraId="1E201087" w14:textId="77777777" w:rsidR="002E474C" w:rsidRDefault="00000000">
            <w:pPr>
              <w:pStyle w:val="A-"/>
            </w:pPr>
            <w:r>
              <w:t>0</w:t>
            </w:r>
          </w:p>
        </w:tc>
        <w:tc>
          <w:tcPr>
            <w:tcW w:w="435" w:type="pct"/>
            <w:noWrap/>
            <w:vAlign w:val="center"/>
          </w:tcPr>
          <w:p w14:paraId="4F26D931" w14:textId="77777777" w:rsidR="002E474C" w:rsidRDefault="00000000">
            <w:pPr>
              <w:pStyle w:val="A-"/>
            </w:pPr>
            <w:r>
              <w:t>达标</w:t>
            </w:r>
          </w:p>
        </w:tc>
      </w:tr>
      <w:tr w:rsidR="002E474C" w14:paraId="07719CE1" w14:textId="77777777">
        <w:trPr>
          <w:trHeight w:val="285"/>
        </w:trPr>
        <w:tc>
          <w:tcPr>
            <w:tcW w:w="264" w:type="pct"/>
            <w:noWrap/>
            <w:vAlign w:val="center"/>
          </w:tcPr>
          <w:p w14:paraId="2E0E9561" w14:textId="77777777" w:rsidR="002E474C" w:rsidRDefault="00000000">
            <w:pPr>
              <w:pStyle w:val="A-"/>
            </w:pPr>
            <w:r>
              <w:t>3</w:t>
            </w:r>
          </w:p>
        </w:tc>
        <w:tc>
          <w:tcPr>
            <w:tcW w:w="699" w:type="pct"/>
            <w:noWrap/>
            <w:vAlign w:val="center"/>
          </w:tcPr>
          <w:p w14:paraId="00856463" w14:textId="77777777" w:rsidR="002E474C" w:rsidRDefault="00000000">
            <w:pPr>
              <w:pStyle w:val="A-"/>
            </w:pPr>
            <w:r>
              <w:t>网格</w:t>
            </w:r>
          </w:p>
        </w:tc>
        <w:tc>
          <w:tcPr>
            <w:tcW w:w="605" w:type="pct"/>
            <w:noWrap/>
            <w:vAlign w:val="center"/>
          </w:tcPr>
          <w:p w14:paraId="1868DBA5" w14:textId="77777777" w:rsidR="002E474C" w:rsidRDefault="00000000">
            <w:pPr>
              <w:pStyle w:val="A-"/>
            </w:pPr>
            <w:r>
              <w:t>-13500,-13250</w:t>
            </w:r>
          </w:p>
        </w:tc>
        <w:tc>
          <w:tcPr>
            <w:tcW w:w="438" w:type="pct"/>
            <w:noWrap/>
            <w:vAlign w:val="center"/>
          </w:tcPr>
          <w:p w14:paraId="09BF0CD5" w14:textId="77777777" w:rsidR="002E474C" w:rsidRDefault="00000000">
            <w:pPr>
              <w:pStyle w:val="A-"/>
            </w:pPr>
            <w:r>
              <w:t>年平均</w:t>
            </w:r>
          </w:p>
        </w:tc>
        <w:tc>
          <w:tcPr>
            <w:tcW w:w="762" w:type="pct"/>
            <w:noWrap/>
          </w:tcPr>
          <w:p w14:paraId="015BF5BA" w14:textId="77777777" w:rsidR="002E474C" w:rsidRDefault="00000000">
            <w:pPr>
              <w:pStyle w:val="A-"/>
            </w:pPr>
            <w:r>
              <w:t>0.0000</w:t>
            </w:r>
          </w:p>
        </w:tc>
        <w:tc>
          <w:tcPr>
            <w:tcW w:w="438" w:type="pct"/>
            <w:noWrap/>
            <w:vAlign w:val="center"/>
          </w:tcPr>
          <w:p w14:paraId="3FEE8E17" w14:textId="77777777" w:rsidR="002E474C" w:rsidRDefault="00000000">
            <w:pPr>
              <w:pStyle w:val="A-"/>
            </w:pPr>
            <w:r>
              <w:t>平均值</w:t>
            </w:r>
          </w:p>
        </w:tc>
        <w:tc>
          <w:tcPr>
            <w:tcW w:w="762" w:type="pct"/>
            <w:noWrap/>
          </w:tcPr>
          <w:p w14:paraId="3DCDDC50" w14:textId="77777777" w:rsidR="002E474C" w:rsidRDefault="00000000">
            <w:pPr>
              <w:pStyle w:val="A-"/>
            </w:pPr>
            <w:r>
              <w:t>0.006</w:t>
            </w:r>
          </w:p>
        </w:tc>
        <w:tc>
          <w:tcPr>
            <w:tcW w:w="597" w:type="pct"/>
            <w:noWrap/>
            <w:vAlign w:val="center"/>
          </w:tcPr>
          <w:p w14:paraId="1D89CF7E" w14:textId="77777777" w:rsidR="002E474C" w:rsidRDefault="00000000">
            <w:pPr>
              <w:pStyle w:val="A-"/>
            </w:pPr>
            <w:r>
              <w:t>0</w:t>
            </w:r>
          </w:p>
        </w:tc>
        <w:tc>
          <w:tcPr>
            <w:tcW w:w="435" w:type="pct"/>
            <w:noWrap/>
            <w:vAlign w:val="center"/>
          </w:tcPr>
          <w:p w14:paraId="4AE9D3DD" w14:textId="77777777" w:rsidR="002E474C" w:rsidRDefault="00000000">
            <w:pPr>
              <w:pStyle w:val="A-"/>
            </w:pPr>
            <w:r>
              <w:t>达标</w:t>
            </w:r>
          </w:p>
        </w:tc>
      </w:tr>
    </w:tbl>
    <w:p w14:paraId="2C9C242E" w14:textId="77777777" w:rsidR="002E474C" w:rsidRDefault="002E474C">
      <w:pPr>
        <w:pStyle w:val="A-0"/>
        <w:rPr>
          <w:color w:val="auto"/>
        </w:rPr>
      </w:pPr>
    </w:p>
    <w:p w14:paraId="7D24B447" w14:textId="77777777" w:rsidR="002E474C" w:rsidRDefault="002E474C">
      <w:pPr>
        <w:pStyle w:val="A-0"/>
        <w:rPr>
          <w:color w:val="auto"/>
        </w:rPr>
        <w:sectPr w:rsidR="002E474C">
          <w:pgSz w:w="16838" w:h="11906" w:orient="landscape"/>
          <w:pgMar w:top="1800" w:right="1440" w:bottom="1800" w:left="1440" w:header="851" w:footer="992" w:gutter="0"/>
          <w:cols w:space="720"/>
          <w:docGrid w:linePitch="312"/>
        </w:sectPr>
      </w:pPr>
    </w:p>
    <w:p w14:paraId="0424F125" w14:textId="77777777" w:rsidR="002E474C" w:rsidRDefault="00000000">
      <w:pPr>
        <w:pStyle w:val="A--"/>
        <w:rPr>
          <w:color w:val="auto"/>
        </w:rPr>
      </w:pPr>
      <w:r>
        <w:rPr>
          <w:color w:val="auto"/>
        </w:rPr>
        <w:lastRenderedPageBreak/>
        <w:t>表</w:t>
      </w:r>
      <w:r>
        <w:rPr>
          <w:color w:val="auto"/>
        </w:rPr>
        <w:t>5.1</w:t>
      </w:r>
      <w:r>
        <w:rPr>
          <w:color w:val="auto"/>
        </w:rPr>
        <w:noBreakHyphen/>
        <w:t>21  Pb</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4D71F929" w14:textId="77777777">
        <w:trPr>
          <w:trHeight w:val="285"/>
        </w:trPr>
        <w:tc>
          <w:tcPr>
            <w:tcW w:w="270" w:type="pct"/>
            <w:noWrap/>
            <w:vAlign w:val="center"/>
          </w:tcPr>
          <w:p w14:paraId="1843DAE8" w14:textId="77777777" w:rsidR="002E474C" w:rsidRDefault="00000000">
            <w:pPr>
              <w:pStyle w:val="A-"/>
            </w:pPr>
            <w:r>
              <w:t>序号</w:t>
            </w:r>
          </w:p>
        </w:tc>
        <w:tc>
          <w:tcPr>
            <w:tcW w:w="712" w:type="pct"/>
            <w:noWrap/>
            <w:vAlign w:val="center"/>
          </w:tcPr>
          <w:p w14:paraId="7E31AE2D" w14:textId="77777777" w:rsidR="002E474C" w:rsidRDefault="00000000">
            <w:pPr>
              <w:pStyle w:val="A-"/>
            </w:pPr>
            <w:r>
              <w:t>点名称</w:t>
            </w:r>
          </w:p>
        </w:tc>
        <w:tc>
          <w:tcPr>
            <w:tcW w:w="520" w:type="pct"/>
            <w:noWrap/>
            <w:vAlign w:val="center"/>
          </w:tcPr>
          <w:p w14:paraId="52F3E184" w14:textId="77777777" w:rsidR="002E474C" w:rsidRDefault="00000000">
            <w:pPr>
              <w:pStyle w:val="A-"/>
            </w:pPr>
            <w:r>
              <w:t>点坐标</w:t>
            </w:r>
          </w:p>
        </w:tc>
        <w:tc>
          <w:tcPr>
            <w:tcW w:w="446" w:type="pct"/>
            <w:noWrap/>
            <w:vAlign w:val="center"/>
          </w:tcPr>
          <w:p w14:paraId="711F77D1" w14:textId="77777777" w:rsidR="002E474C" w:rsidRDefault="00000000">
            <w:pPr>
              <w:pStyle w:val="A-"/>
            </w:pPr>
            <w:r>
              <w:t>浓度类型</w:t>
            </w:r>
          </w:p>
        </w:tc>
        <w:tc>
          <w:tcPr>
            <w:tcW w:w="776" w:type="pct"/>
            <w:noWrap/>
            <w:vAlign w:val="center"/>
          </w:tcPr>
          <w:p w14:paraId="5F447839" w14:textId="77777777" w:rsidR="002E474C" w:rsidRDefault="00000000">
            <w:pPr>
              <w:pStyle w:val="A-"/>
            </w:pPr>
            <w:r>
              <w:t>浓度增量</w:t>
            </w:r>
            <w:r>
              <w:t>(</w:t>
            </w:r>
            <w:proofErr w:type="spellStart"/>
            <w:r>
              <w:t>μg</w:t>
            </w:r>
            <w:proofErr w:type="spellEnd"/>
            <w:r>
              <w:t>/m³)</w:t>
            </w:r>
          </w:p>
        </w:tc>
        <w:tc>
          <w:tcPr>
            <w:tcW w:w="446" w:type="pct"/>
            <w:noWrap/>
            <w:vAlign w:val="center"/>
          </w:tcPr>
          <w:p w14:paraId="60C500BE" w14:textId="77777777" w:rsidR="002E474C" w:rsidRDefault="00000000">
            <w:pPr>
              <w:pStyle w:val="A-"/>
            </w:pPr>
            <w:r>
              <w:t>出现时间</w:t>
            </w:r>
          </w:p>
        </w:tc>
        <w:tc>
          <w:tcPr>
            <w:tcW w:w="776" w:type="pct"/>
            <w:noWrap/>
            <w:vAlign w:val="center"/>
          </w:tcPr>
          <w:p w14:paraId="00BA514B" w14:textId="77777777" w:rsidR="002E474C" w:rsidRDefault="00000000">
            <w:pPr>
              <w:pStyle w:val="A-"/>
            </w:pPr>
            <w:r>
              <w:t>评价标准</w:t>
            </w:r>
            <w:r>
              <w:t>(</w:t>
            </w:r>
            <w:proofErr w:type="spellStart"/>
            <w:r>
              <w:t>μg</w:t>
            </w:r>
            <w:proofErr w:type="spellEnd"/>
            <w:r>
              <w:t>/m³)</w:t>
            </w:r>
          </w:p>
        </w:tc>
        <w:tc>
          <w:tcPr>
            <w:tcW w:w="609" w:type="pct"/>
            <w:noWrap/>
            <w:vAlign w:val="center"/>
          </w:tcPr>
          <w:p w14:paraId="06CD5CAD" w14:textId="77777777" w:rsidR="002E474C" w:rsidRDefault="00000000">
            <w:pPr>
              <w:pStyle w:val="A-"/>
            </w:pPr>
            <w:r>
              <w:t>占标率（</w:t>
            </w:r>
            <w:r>
              <w:t>%</w:t>
            </w:r>
            <w:r>
              <w:t>）</w:t>
            </w:r>
          </w:p>
        </w:tc>
        <w:tc>
          <w:tcPr>
            <w:tcW w:w="445" w:type="pct"/>
            <w:noWrap/>
            <w:vAlign w:val="center"/>
          </w:tcPr>
          <w:p w14:paraId="0F6915B2" w14:textId="77777777" w:rsidR="002E474C" w:rsidRDefault="00000000">
            <w:pPr>
              <w:pStyle w:val="A-"/>
            </w:pPr>
            <w:r>
              <w:t>是否超标</w:t>
            </w:r>
          </w:p>
        </w:tc>
      </w:tr>
      <w:tr w:rsidR="002E474C" w14:paraId="294AF79D" w14:textId="77777777">
        <w:trPr>
          <w:trHeight w:val="285"/>
        </w:trPr>
        <w:tc>
          <w:tcPr>
            <w:tcW w:w="270" w:type="pct"/>
            <w:noWrap/>
            <w:vAlign w:val="center"/>
          </w:tcPr>
          <w:p w14:paraId="28707186" w14:textId="77777777" w:rsidR="002E474C" w:rsidRDefault="00000000">
            <w:pPr>
              <w:pStyle w:val="A-"/>
            </w:pPr>
            <w:r>
              <w:t>1</w:t>
            </w:r>
          </w:p>
        </w:tc>
        <w:tc>
          <w:tcPr>
            <w:tcW w:w="712" w:type="pct"/>
            <w:noWrap/>
            <w:vAlign w:val="center"/>
          </w:tcPr>
          <w:p w14:paraId="7CBFF8BE" w14:textId="77777777" w:rsidR="002E474C" w:rsidRDefault="00000000">
            <w:pPr>
              <w:pStyle w:val="A-"/>
            </w:pPr>
            <w:r>
              <w:t>阿乐惠镇</w:t>
            </w:r>
          </w:p>
        </w:tc>
        <w:tc>
          <w:tcPr>
            <w:tcW w:w="520" w:type="pct"/>
            <w:noWrap/>
            <w:vAlign w:val="center"/>
          </w:tcPr>
          <w:p w14:paraId="6BB693C5" w14:textId="77777777" w:rsidR="002E474C" w:rsidRDefault="00000000">
            <w:pPr>
              <w:pStyle w:val="A-"/>
            </w:pPr>
            <w:r>
              <w:t>-4151,1104</w:t>
            </w:r>
          </w:p>
        </w:tc>
        <w:tc>
          <w:tcPr>
            <w:tcW w:w="446" w:type="pct"/>
            <w:noWrap/>
            <w:vAlign w:val="center"/>
          </w:tcPr>
          <w:p w14:paraId="564FEB6B" w14:textId="77777777" w:rsidR="002E474C" w:rsidRDefault="00000000">
            <w:pPr>
              <w:pStyle w:val="A-"/>
            </w:pPr>
            <w:r>
              <w:t>年平均</w:t>
            </w:r>
          </w:p>
        </w:tc>
        <w:tc>
          <w:tcPr>
            <w:tcW w:w="776" w:type="pct"/>
            <w:noWrap/>
          </w:tcPr>
          <w:p w14:paraId="530755A4" w14:textId="77777777" w:rsidR="002E474C" w:rsidRDefault="00000000">
            <w:pPr>
              <w:pStyle w:val="A-"/>
            </w:pPr>
            <w:r>
              <w:t>0.0000</w:t>
            </w:r>
          </w:p>
        </w:tc>
        <w:tc>
          <w:tcPr>
            <w:tcW w:w="446" w:type="pct"/>
            <w:noWrap/>
            <w:vAlign w:val="center"/>
          </w:tcPr>
          <w:p w14:paraId="5B6D5263" w14:textId="77777777" w:rsidR="002E474C" w:rsidRDefault="00000000">
            <w:pPr>
              <w:pStyle w:val="A-"/>
            </w:pPr>
            <w:r>
              <w:t>平均值</w:t>
            </w:r>
          </w:p>
        </w:tc>
        <w:tc>
          <w:tcPr>
            <w:tcW w:w="776" w:type="pct"/>
            <w:noWrap/>
            <w:vAlign w:val="center"/>
          </w:tcPr>
          <w:p w14:paraId="0BFE89B1" w14:textId="77777777" w:rsidR="002E474C" w:rsidRDefault="00000000">
            <w:pPr>
              <w:pStyle w:val="A-"/>
            </w:pPr>
            <w:r>
              <w:t>0.5</w:t>
            </w:r>
          </w:p>
        </w:tc>
        <w:tc>
          <w:tcPr>
            <w:tcW w:w="609" w:type="pct"/>
            <w:noWrap/>
            <w:vAlign w:val="center"/>
          </w:tcPr>
          <w:p w14:paraId="3EF50A17" w14:textId="77777777" w:rsidR="002E474C" w:rsidRDefault="00000000">
            <w:pPr>
              <w:pStyle w:val="A-"/>
            </w:pPr>
            <w:r>
              <w:t>0</w:t>
            </w:r>
          </w:p>
        </w:tc>
        <w:tc>
          <w:tcPr>
            <w:tcW w:w="445" w:type="pct"/>
            <w:noWrap/>
            <w:vAlign w:val="center"/>
          </w:tcPr>
          <w:p w14:paraId="5990F66F" w14:textId="77777777" w:rsidR="002E474C" w:rsidRDefault="00000000">
            <w:pPr>
              <w:pStyle w:val="A-"/>
            </w:pPr>
            <w:r>
              <w:t>达标</w:t>
            </w:r>
          </w:p>
        </w:tc>
      </w:tr>
      <w:tr w:rsidR="002E474C" w14:paraId="1CD11ED9" w14:textId="77777777">
        <w:trPr>
          <w:trHeight w:val="285"/>
        </w:trPr>
        <w:tc>
          <w:tcPr>
            <w:tcW w:w="270" w:type="pct"/>
            <w:noWrap/>
            <w:vAlign w:val="center"/>
          </w:tcPr>
          <w:p w14:paraId="3C09FC1B" w14:textId="77777777" w:rsidR="002E474C" w:rsidRDefault="00000000">
            <w:pPr>
              <w:pStyle w:val="A-"/>
            </w:pPr>
            <w:r>
              <w:t>2</w:t>
            </w:r>
          </w:p>
        </w:tc>
        <w:tc>
          <w:tcPr>
            <w:tcW w:w="712" w:type="pct"/>
            <w:noWrap/>
            <w:vAlign w:val="center"/>
          </w:tcPr>
          <w:p w14:paraId="661968E1" w14:textId="77777777" w:rsidR="002E474C" w:rsidRDefault="00000000">
            <w:pPr>
              <w:pStyle w:val="A-"/>
            </w:pPr>
            <w:r>
              <w:t>电石厂员工公寓</w:t>
            </w:r>
          </w:p>
        </w:tc>
        <w:tc>
          <w:tcPr>
            <w:tcW w:w="520" w:type="pct"/>
            <w:noWrap/>
            <w:vAlign w:val="center"/>
          </w:tcPr>
          <w:p w14:paraId="77D96E1B" w14:textId="77777777" w:rsidR="002E474C" w:rsidRDefault="00000000">
            <w:pPr>
              <w:pStyle w:val="A-"/>
            </w:pPr>
            <w:r>
              <w:t>-1901,92</w:t>
            </w:r>
          </w:p>
        </w:tc>
        <w:tc>
          <w:tcPr>
            <w:tcW w:w="446" w:type="pct"/>
            <w:noWrap/>
            <w:vAlign w:val="center"/>
          </w:tcPr>
          <w:p w14:paraId="6B61F100" w14:textId="77777777" w:rsidR="002E474C" w:rsidRDefault="00000000">
            <w:pPr>
              <w:pStyle w:val="A-"/>
            </w:pPr>
            <w:r>
              <w:t>年平均</w:t>
            </w:r>
          </w:p>
        </w:tc>
        <w:tc>
          <w:tcPr>
            <w:tcW w:w="776" w:type="pct"/>
            <w:noWrap/>
          </w:tcPr>
          <w:p w14:paraId="27677C1F" w14:textId="77777777" w:rsidR="002E474C" w:rsidRDefault="00000000">
            <w:pPr>
              <w:pStyle w:val="A-"/>
            </w:pPr>
            <w:r>
              <w:t>0.0000</w:t>
            </w:r>
          </w:p>
        </w:tc>
        <w:tc>
          <w:tcPr>
            <w:tcW w:w="446" w:type="pct"/>
            <w:noWrap/>
            <w:vAlign w:val="center"/>
          </w:tcPr>
          <w:p w14:paraId="48117320" w14:textId="77777777" w:rsidR="002E474C" w:rsidRDefault="00000000">
            <w:pPr>
              <w:pStyle w:val="A-"/>
            </w:pPr>
            <w:r>
              <w:t>平均值</w:t>
            </w:r>
          </w:p>
        </w:tc>
        <w:tc>
          <w:tcPr>
            <w:tcW w:w="776" w:type="pct"/>
            <w:noWrap/>
          </w:tcPr>
          <w:p w14:paraId="607A5F80" w14:textId="77777777" w:rsidR="002E474C" w:rsidRDefault="00000000">
            <w:pPr>
              <w:pStyle w:val="A-"/>
            </w:pPr>
            <w:r>
              <w:t>0.5</w:t>
            </w:r>
          </w:p>
        </w:tc>
        <w:tc>
          <w:tcPr>
            <w:tcW w:w="609" w:type="pct"/>
            <w:noWrap/>
            <w:vAlign w:val="center"/>
          </w:tcPr>
          <w:p w14:paraId="51AE9946" w14:textId="77777777" w:rsidR="002E474C" w:rsidRDefault="00000000">
            <w:pPr>
              <w:pStyle w:val="A-"/>
            </w:pPr>
            <w:r>
              <w:t>0</w:t>
            </w:r>
          </w:p>
        </w:tc>
        <w:tc>
          <w:tcPr>
            <w:tcW w:w="445" w:type="pct"/>
            <w:noWrap/>
            <w:vAlign w:val="center"/>
          </w:tcPr>
          <w:p w14:paraId="323B0239" w14:textId="77777777" w:rsidR="002E474C" w:rsidRDefault="00000000">
            <w:pPr>
              <w:pStyle w:val="A-"/>
            </w:pPr>
            <w:r>
              <w:t>达标</w:t>
            </w:r>
          </w:p>
        </w:tc>
      </w:tr>
      <w:tr w:rsidR="002E474C" w14:paraId="02551A70" w14:textId="77777777">
        <w:trPr>
          <w:trHeight w:val="285"/>
        </w:trPr>
        <w:tc>
          <w:tcPr>
            <w:tcW w:w="270" w:type="pct"/>
            <w:noWrap/>
            <w:vAlign w:val="center"/>
          </w:tcPr>
          <w:p w14:paraId="1D993204" w14:textId="77777777" w:rsidR="002E474C" w:rsidRDefault="00000000">
            <w:pPr>
              <w:pStyle w:val="A-"/>
            </w:pPr>
            <w:r>
              <w:t>3</w:t>
            </w:r>
          </w:p>
        </w:tc>
        <w:tc>
          <w:tcPr>
            <w:tcW w:w="712" w:type="pct"/>
            <w:noWrap/>
            <w:vAlign w:val="center"/>
          </w:tcPr>
          <w:p w14:paraId="19208C5C" w14:textId="77777777" w:rsidR="002E474C" w:rsidRDefault="00000000">
            <w:pPr>
              <w:pStyle w:val="A-"/>
            </w:pPr>
            <w:r>
              <w:t>网格</w:t>
            </w:r>
          </w:p>
        </w:tc>
        <w:tc>
          <w:tcPr>
            <w:tcW w:w="520" w:type="pct"/>
            <w:noWrap/>
            <w:vAlign w:val="center"/>
          </w:tcPr>
          <w:p w14:paraId="10B57526" w14:textId="77777777" w:rsidR="002E474C" w:rsidRDefault="00000000">
            <w:pPr>
              <w:pStyle w:val="A-"/>
            </w:pPr>
            <w:r>
              <w:t>1000,3900</w:t>
            </w:r>
          </w:p>
        </w:tc>
        <w:tc>
          <w:tcPr>
            <w:tcW w:w="446" w:type="pct"/>
            <w:noWrap/>
            <w:vAlign w:val="center"/>
          </w:tcPr>
          <w:p w14:paraId="1C5BF079" w14:textId="77777777" w:rsidR="002E474C" w:rsidRDefault="00000000">
            <w:pPr>
              <w:pStyle w:val="A-"/>
            </w:pPr>
            <w:r>
              <w:t>年平均</w:t>
            </w:r>
          </w:p>
        </w:tc>
        <w:tc>
          <w:tcPr>
            <w:tcW w:w="776" w:type="pct"/>
            <w:noWrap/>
          </w:tcPr>
          <w:p w14:paraId="0E25183E" w14:textId="77777777" w:rsidR="002E474C" w:rsidRDefault="00000000">
            <w:pPr>
              <w:pStyle w:val="A-"/>
            </w:pPr>
            <w:r>
              <w:t>0.0000</w:t>
            </w:r>
          </w:p>
        </w:tc>
        <w:tc>
          <w:tcPr>
            <w:tcW w:w="446" w:type="pct"/>
            <w:noWrap/>
            <w:vAlign w:val="center"/>
          </w:tcPr>
          <w:p w14:paraId="401FC489" w14:textId="77777777" w:rsidR="002E474C" w:rsidRDefault="00000000">
            <w:pPr>
              <w:pStyle w:val="A-"/>
            </w:pPr>
            <w:r>
              <w:t>平均值</w:t>
            </w:r>
          </w:p>
        </w:tc>
        <w:tc>
          <w:tcPr>
            <w:tcW w:w="776" w:type="pct"/>
            <w:noWrap/>
          </w:tcPr>
          <w:p w14:paraId="1DC39696" w14:textId="77777777" w:rsidR="002E474C" w:rsidRDefault="00000000">
            <w:pPr>
              <w:pStyle w:val="A-"/>
            </w:pPr>
            <w:r>
              <w:t>0.5</w:t>
            </w:r>
          </w:p>
        </w:tc>
        <w:tc>
          <w:tcPr>
            <w:tcW w:w="609" w:type="pct"/>
            <w:noWrap/>
            <w:vAlign w:val="center"/>
          </w:tcPr>
          <w:p w14:paraId="7374B1A9" w14:textId="77777777" w:rsidR="002E474C" w:rsidRDefault="00000000">
            <w:pPr>
              <w:pStyle w:val="A-"/>
            </w:pPr>
            <w:r>
              <w:t>0</w:t>
            </w:r>
          </w:p>
        </w:tc>
        <w:tc>
          <w:tcPr>
            <w:tcW w:w="445" w:type="pct"/>
            <w:noWrap/>
            <w:vAlign w:val="center"/>
          </w:tcPr>
          <w:p w14:paraId="5ED090EF" w14:textId="77777777" w:rsidR="002E474C" w:rsidRDefault="00000000">
            <w:pPr>
              <w:pStyle w:val="A-"/>
            </w:pPr>
            <w:r>
              <w:t>达标</w:t>
            </w:r>
          </w:p>
        </w:tc>
      </w:tr>
    </w:tbl>
    <w:p w14:paraId="15E3E699" w14:textId="77777777" w:rsidR="002E474C" w:rsidRDefault="002E474C">
      <w:pPr>
        <w:pStyle w:val="A-0"/>
        <w:rPr>
          <w:color w:val="auto"/>
        </w:rPr>
      </w:pPr>
    </w:p>
    <w:p w14:paraId="63123FFE" w14:textId="77777777" w:rsidR="002E474C" w:rsidRDefault="00000000">
      <w:pPr>
        <w:pStyle w:val="A--"/>
        <w:rPr>
          <w:color w:val="auto"/>
        </w:rPr>
      </w:pPr>
      <w:r>
        <w:rPr>
          <w:color w:val="auto"/>
        </w:rPr>
        <w:t>表</w:t>
      </w:r>
      <w:r>
        <w:rPr>
          <w:color w:val="auto"/>
        </w:rPr>
        <w:t>5.1</w:t>
      </w:r>
      <w:r>
        <w:rPr>
          <w:color w:val="auto"/>
        </w:rPr>
        <w:noBreakHyphen/>
        <w:t>22  Hg</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0FEF41EA" w14:textId="77777777">
        <w:trPr>
          <w:trHeight w:val="285"/>
        </w:trPr>
        <w:tc>
          <w:tcPr>
            <w:tcW w:w="270" w:type="pct"/>
            <w:noWrap/>
            <w:vAlign w:val="center"/>
          </w:tcPr>
          <w:p w14:paraId="4E2DDDE5" w14:textId="77777777" w:rsidR="002E474C" w:rsidRDefault="00000000">
            <w:pPr>
              <w:pStyle w:val="A-"/>
            </w:pPr>
            <w:r>
              <w:t>序号</w:t>
            </w:r>
          </w:p>
        </w:tc>
        <w:tc>
          <w:tcPr>
            <w:tcW w:w="712" w:type="pct"/>
            <w:noWrap/>
            <w:vAlign w:val="center"/>
          </w:tcPr>
          <w:p w14:paraId="50A6863D" w14:textId="77777777" w:rsidR="002E474C" w:rsidRDefault="00000000">
            <w:pPr>
              <w:pStyle w:val="A-"/>
            </w:pPr>
            <w:r>
              <w:t>点名称</w:t>
            </w:r>
          </w:p>
        </w:tc>
        <w:tc>
          <w:tcPr>
            <w:tcW w:w="520" w:type="pct"/>
            <w:noWrap/>
            <w:vAlign w:val="center"/>
          </w:tcPr>
          <w:p w14:paraId="1F78A927" w14:textId="77777777" w:rsidR="002E474C" w:rsidRDefault="00000000">
            <w:pPr>
              <w:pStyle w:val="A-"/>
            </w:pPr>
            <w:r>
              <w:t>点坐标</w:t>
            </w:r>
          </w:p>
        </w:tc>
        <w:tc>
          <w:tcPr>
            <w:tcW w:w="446" w:type="pct"/>
            <w:noWrap/>
            <w:vAlign w:val="center"/>
          </w:tcPr>
          <w:p w14:paraId="72FE1295" w14:textId="77777777" w:rsidR="002E474C" w:rsidRDefault="00000000">
            <w:pPr>
              <w:pStyle w:val="A-"/>
            </w:pPr>
            <w:r>
              <w:t>浓度类型</w:t>
            </w:r>
          </w:p>
        </w:tc>
        <w:tc>
          <w:tcPr>
            <w:tcW w:w="776" w:type="pct"/>
            <w:noWrap/>
            <w:vAlign w:val="center"/>
          </w:tcPr>
          <w:p w14:paraId="181BE108" w14:textId="77777777" w:rsidR="002E474C" w:rsidRDefault="00000000">
            <w:pPr>
              <w:pStyle w:val="A-"/>
            </w:pPr>
            <w:r>
              <w:t>浓度增量</w:t>
            </w:r>
            <w:r>
              <w:t>(</w:t>
            </w:r>
            <w:proofErr w:type="spellStart"/>
            <w:r>
              <w:t>μg</w:t>
            </w:r>
            <w:proofErr w:type="spellEnd"/>
            <w:r>
              <w:t>/m³)</w:t>
            </w:r>
          </w:p>
        </w:tc>
        <w:tc>
          <w:tcPr>
            <w:tcW w:w="446" w:type="pct"/>
            <w:noWrap/>
            <w:vAlign w:val="center"/>
          </w:tcPr>
          <w:p w14:paraId="0094AFF9" w14:textId="77777777" w:rsidR="002E474C" w:rsidRDefault="00000000">
            <w:pPr>
              <w:pStyle w:val="A-"/>
            </w:pPr>
            <w:r>
              <w:t>出现时间</w:t>
            </w:r>
          </w:p>
        </w:tc>
        <w:tc>
          <w:tcPr>
            <w:tcW w:w="776" w:type="pct"/>
            <w:noWrap/>
            <w:vAlign w:val="center"/>
          </w:tcPr>
          <w:p w14:paraId="632FA28B" w14:textId="77777777" w:rsidR="002E474C" w:rsidRDefault="00000000">
            <w:pPr>
              <w:pStyle w:val="A-"/>
            </w:pPr>
            <w:r>
              <w:t>评价标准</w:t>
            </w:r>
            <w:r>
              <w:t>(</w:t>
            </w:r>
            <w:proofErr w:type="spellStart"/>
            <w:r>
              <w:t>μg</w:t>
            </w:r>
            <w:proofErr w:type="spellEnd"/>
            <w:r>
              <w:t>/m³)</w:t>
            </w:r>
          </w:p>
        </w:tc>
        <w:tc>
          <w:tcPr>
            <w:tcW w:w="609" w:type="pct"/>
            <w:noWrap/>
            <w:vAlign w:val="center"/>
          </w:tcPr>
          <w:p w14:paraId="357BAC74" w14:textId="77777777" w:rsidR="002E474C" w:rsidRDefault="00000000">
            <w:pPr>
              <w:pStyle w:val="A-"/>
            </w:pPr>
            <w:r>
              <w:t>占标率（</w:t>
            </w:r>
            <w:r>
              <w:t>%</w:t>
            </w:r>
            <w:r>
              <w:t>）</w:t>
            </w:r>
          </w:p>
        </w:tc>
        <w:tc>
          <w:tcPr>
            <w:tcW w:w="445" w:type="pct"/>
            <w:noWrap/>
            <w:vAlign w:val="center"/>
          </w:tcPr>
          <w:p w14:paraId="6493AA0B" w14:textId="77777777" w:rsidR="002E474C" w:rsidRDefault="00000000">
            <w:pPr>
              <w:pStyle w:val="A-"/>
            </w:pPr>
            <w:r>
              <w:t>是否超标</w:t>
            </w:r>
          </w:p>
        </w:tc>
      </w:tr>
      <w:tr w:rsidR="002E474C" w14:paraId="3986C69E" w14:textId="77777777">
        <w:trPr>
          <w:trHeight w:val="285"/>
        </w:trPr>
        <w:tc>
          <w:tcPr>
            <w:tcW w:w="270" w:type="pct"/>
            <w:noWrap/>
            <w:vAlign w:val="center"/>
          </w:tcPr>
          <w:p w14:paraId="68C06048" w14:textId="77777777" w:rsidR="002E474C" w:rsidRDefault="00000000">
            <w:pPr>
              <w:pStyle w:val="A-"/>
            </w:pPr>
            <w:r>
              <w:t>1</w:t>
            </w:r>
          </w:p>
        </w:tc>
        <w:tc>
          <w:tcPr>
            <w:tcW w:w="712" w:type="pct"/>
            <w:noWrap/>
            <w:vAlign w:val="center"/>
          </w:tcPr>
          <w:p w14:paraId="373AA5CA" w14:textId="77777777" w:rsidR="002E474C" w:rsidRDefault="00000000">
            <w:pPr>
              <w:pStyle w:val="A-"/>
            </w:pPr>
            <w:r>
              <w:t>阿乐惠镇</w:t>
            </w:r>
          </w:p>
        </w:tc>
        <w:tc>
          <w:tcPr>
            <w:tcW w:w="520" w:type="pct"/>
            <w:noWrap/>
            <w:vAlign w:val="center"/>
          </w:tcPr>
          <w:p w14:paraId="5FF704FB" w14:textId="77777777" w:rsidR="002E474C" w:rsidRDefault="00000000">
            <w:pPr>
              <w:pStyle w:val="A-"/>
            </w:pPr>
            <w:r>
              <w:t>-4151,1104</w:t>
            </w:r>
          </w:p>
        </w:tc>
        <w:tc>
          <w:tcPr>
            <w:tcW w:w="446" w:type="pct"/>
            <w:noWrap/>
            <w:vAlign w:val="center"/>
          </w:tcPr>
          <w:p w14:paraId="2286FFC8" w14:textId="77777777" w:rsidR="002E474C" w:rsidRDefault="00000000">
            <w:pPr>
              <w:pStyle w:val="A-"/>
            </w:pPr>
            <w:r>
              <w:t>年平均</w:t>
            </w:r>
          </w:p>
        </w:tc>
        <w:tc>
          <w:tcPr>
            <w:tcW w:w="776" w:type="pct"/>
            <w:noWrap/>
          </w:tcPr>
          <w:p w14:paraId="300F5308" w14:textId="77777777" w:rsidR="002E474C" w:rsidRDefault="00000000">
            <w:pPr>
              <w:pStyle w:val="A-"/>
            </w:pPr>
            <w:r>
              <w:t>0.0000</w:t>
            </w:r>
          </w:p>
        </w:tc>
        <w:tc>
          <w:tcPr>
            <w:tcW w:w="446" w:type="pct"/>
            <w:noWrap/>
            <w:vAlign w:val="center"/>
          </w:tcPr>
          <w:p w14:paraId="56F1164C" w14:textId="77777777" w:rsidR="002E474C" w:rsidRDefault="00000000">
            <w:pPr>
              <w:pStyle w:val="A-"/>
            </w:pPr>
            <w:r>
              <w:t>平均值</w:t>
            </w:r>
          </w:p>
        </w:tc>
        <w:tc>
          <w:tcPr>
            <w:tcW w:w="776" w:type="pct"/>
            <w:noWrap/>
            <w:vAlign w:val="center"/>
          </w:tcPr>
          <w:p w14:paraId="79F14AE1" w14:textId="77777777" w:rsidR="002E474C" w:rsidRDefault="00000000">
            <w:pPr>
              <w:pStyle w:val="A-"/>
            </w:pPr>
            <w:r>
              <w:t>0.05</w:t>
            </w:r>
          </w:p>
        </w:tc>
        <w:tc>
          <w:tcPr>
            <w:tcW w:w="609" w:type="pct"/>
            <w:noWrap/>
            <w:vAlign w:val="center"/>
          </w:tcPr>
          <w:p w14:paraId="38D2A1CF" w14:textId="77777777" w:rsidR="002E474C" w:rsidRDefault="00000000">
            <w:pPr>
              <w:pStyle w:val="A-"/>
            </w:pPr>
            <w:r>
              <w:t>0</w:t>
            </w:r>
          </w:p>
        </w:tc>
        <w:tc>
          <w:tcPr>
            <w:tcW w:w="445" w:type="pct"/>
            <w:noWrap/>
            <w:vAlign w:val="center"/>
          </w:tcPr>
          <w:p w14:paraId="039656A6" w14:textId="77777777" w:rsidR="002E474C" w:rsidRDefault="00000000">
            <w:pPr>
              <w:pStyle w:val="A-"/>
            </w:pPr>
            <w:r>
              <w:t>达标</w:t>
            </w:r>
          </w:p>
        </w:tc>
      </w:tr>
      <w:tr w:rsidR="002E474C" w14:paraId="3DCFCF5F" w14:textId="77777777">
        <w:trPr>
          <w:trHeight w:val="285"/>
        </w:trPr>
        <w:tc>
          <w:tcPr>
            <w:tcW w:w="270" w:type="pct"/>
            <w:noWrap/>
            <w:vAlign w:val="center"/>
          </w:tcPr>
          <w:p w14:paraId="027E6A9A" w14:textId="77777777" w:rsidR="002E474C" w:rsidRDefault="00000000">
            <w:pPr>
              <w:pStyle w:val="A-"/>
            </w:pPr>
            <w:r>
              <w:t>2</w:t>
            </w:r>
          </w:p>
        </w:tc>
        <w:tc>
          <w:tcPr>
            <w:tcW w:w="712" w:type="pct"/>
            <w:noWrap/>
            <w:vAlign w:val="center"/>
          </w:tcPr>
          <w:p w14:paraId="46CC4932" w14:textId="77777777" w:rsidR="002E474C" w:rsidRDefault="00000000">
            <w:pPr>
              <w:pStyle w:val="A-"/>
            </w:pPr>
            <w:r>
              <w:t>电石厂员工公寓</w:t>
            </w:r>
          </w:p>
        </w:tc>
        <w:tc>
          <w:tcPr>
            <w:tcW w:w="520" w:type="pct"/>
            <w:noWrap/>
            <w:vAlign w:val="center"/>
          </w:tcPr>
          <w:p w14:paraId="2620E64C" w14:textId="77777777" w:rsidR="002E474C" w:rsidRDefault="00000000">
            <w:pPr>
              <w:pStyle w:val="A-"/>
            </w:pPr>
            <w:r>
              <w:t>-1901,92</w:t>
            </w:r>
          </w:p>
        </w:tc>
        <w:tc>
          <w:tcPr>
            <w:tcW w:w="446" w:type="pct"/>
            <w:noWrap/>
            <w:vAlign w:val="center"/>
          </w:tcPr>
          <w:p w14:paraId="572FC800" w14:textId="77777777" w:rsidR="002E474C" w:rsidRDefault="00000000">
            <w:pPr>
              <w:pStyle w:val="A-"/>
            </w:pPr>
            <w:r>
              <w:t>年平均</w:t>
            </w:r>
          </w:p>
        </w:tc>
        <w:tc>
          <w:tcPr>
            <w:tcW w:w="776" w:type="pct"/>
            <w:noWrap/>
          </w:tcPr>
          <w:p w14:paraId="5F189266" w14:textId="77777777" w:rsidR="002E474C" w:rsidRDefault="00000000">
            <w:pPr>
              <w:pStyle w:val="A-"/>
            </w:pPr>
            <w:r>
              <w:t>0.0000</w:t>
            </w:r>
          </w:p>
        </w:tc>
        <w:tc>
          <w:tcPr>
            <w:tcW w:w="446" w:type="pct"/>
            <w:noWrap/>
            <w:vAlign w:val="center"/>
          </w:tcPr>
          <w:p w14:paraId="4CB52A32" w14:textId="77777777" w:rsidR="002E474C" w:rsidRDefault="00000000">
            <w:pPr>
              <w:pStyle w:val="A-"/>
            </w:pPr>
            <w:r>
              <w:t>平均值</w:t>
            </w:r>
          </w:p>
        </w:tc>
        <w:tc>
          <w:tcPr>
            <w:tcW w:w="776" w:type="pct"/>
            <w:noWrap/>
          </w:tcPr>
          <w:p w14:paraId="5D20A384" w14:textId="77777777" w:rsidR="002E474C" w:rsidRDefault="00000000">
            <w:pPr>
              <w:pStyle w:val="A-"/>
            </w:pPr>
            <w:r>
              <w:t>0.05</w:t>
            </w:r>
          </w:p>
        </w:tc>
        <w:tc>
          <w:tcPr>
            <w:tcW w:w="609" w:type="pct"/>
            <w:noWrap/>
            <w:vAlign w:val="center"/>
          </w:tcPr>
          <w:p w14:paraId="482DF99C" w14:textId="77777777" w:rsidR="002E474C" w:rsidRDefault="00000000">
            <w:pPr>
              <w:pStyle w:val="A-"/>
            </w:pPr>
            <w:r>
              <w:t>0</w:t>
            </w:r>
          </w:p>
        </w:tc>
        <w:tc>
          <w:tcPr>
            <w:tcW w:w="445" w:type="pct"/>
            <w:noWrap/>
            <w:vAlign w:val="center"/>
          </w:tcPr>
          <w:p w14:paraId="26CDBCC6" w14:textId="77777777" w:rsidR="002E474C" w:rsidRDefault="00000000">
            <w:pPr>
              <w:pStyle w:val="A-"/>
            </w:pPr>
            <w:r>
              <w:t>达标</w:t>
            </w:r>
          </w:p>
        </w:tc>
      </w:tr>
      <w:tr w:rsidR="002E474C" w14:paraId="01CCE22F" w14:textId="77777777">
        <w:trPr>
          <w:trHeight w:val="285"/>
        </w:trPr>
        <w:tc>
          <w:tcPr>
            <w:tcW w:w="270" w:type="pct"/>
            <w:noWrap/>
            <w:vAlign w:val="center"/>
          </w:tcPr>
          <w:p w14:paraId="68534860" w14:textId="77777777" w:rsidR="002E474C" w:rsidRDefault="00000000">
            <w:pPr>
              <w:pStyle w:val="A-"/>
            </w:pPr>
            <w:r>
              <w:t>3</w:t>
            </w:r>
          </w:p>
        </w:tc>
        <w:tc>
          <w:tcPr>
            <w:tcW w:w="712" w:type="pct"/>
            <w:noWrap/>
            <w:vAlign w:val="center"/>
          </w:tcPr>
          <w:p w14:paraId="5E0C750C" w14:textId="77777777" w:rsidR="002E474C" w:rsidRDefault="00000000">
            <w:pPr>
              <w:pStyle w:val="A-"/>
            </w:pPr>
            <w:r>
              <w:t>网格</w:t>
            </w:r>
          </w:p>
        </w:tc>
        <w:tc>
          <w:tcPr>
            <w:tcW w:w="520" w:type="pct"/>
            <w:noWrap/>
            <w:vAlign w:val="center"/>
          </w:tcPr>
          <w:p w14:paraId="1EF335F6" w14:textId="77777777" w:rsidR="002E474C" w:rsidRDefault="00000000">
            <w:pPr>
              <w:pStyle w:val="A-"/>
            </w:pPr>
            <w:r>
              <w:t>500,1700</w:t>
            </w:r>
          </w:p>
        </w:tc>
        <w:tc>
          <w:tcPr>
            <w:tcW w:w="446" w:type="pct"/>
            <w:noWrap/>
            <w:vAlign w:val="center"/>
          </w:tcPr>
          <w:p w14:paraId="7369E7B8" w14:textId="77777777" w:rsidR="002E474C" w:rsidRDefault="00000000">
            <w:pPr>
              <w:pStyle w:val="A-"/>
            </w:pPr>
            <w:r>
              <w:t>年平均</w:t>
            </w:r>
          </w:p>
        </w:tc>
        <w:tc>
          <w:tcPr>
            <w:tcW w:w="776" w:type="pct"/>
            <w:noWrap/>
          </w:tcPr>
          <w:p w14:paraId="40EB7761" w14:textId="77777777" w:rsidR="002E474C" w:rsidRDefault="00000000">
            <w:pPr>
              <w:pStyle w:val="A-"/>
            </w:pPr>
            <w:r>
              <w:t>0.0000</w:t>
            </w:r>
          </w:p>
        </w:tc>
        <w:tc>
          <w:tcPr>
            <w:tcW w:w="446" w:type="pct"/>
            <w:noWrap/>
            <w:vAlign w:val="center"/>
          </w:tcPr>
          <w:p w14:paraId="244F8FB1" w14:textId="77777777" w:rsidR="002E474C" w:rsidRDefault="00000000">
            <w:pPr>
              <w:pStyle w:val="A-"/>
            </w:pPr>
            <w:r>
              <w:t>平均值</w:t>
            </w:r>
          </w:p>
        </w:tc>
        <w:tc>
          <w:tcPr>
            <w:tcW w:w="776" w:type="pct"/>
            <w:noWrap/>
          </w:tcPr>
          <w:p w14:paraId="1B484FC5" w14:textId="77777777" w:rsidR="002E474C" w:rsidRDefault="00000000">
            <w:pPr>
              <w:pStyle w:val="A-"/>
            </w:pPr>
            <w:r>
              <w:t>0.05</w:t>
            </w:r>
          </w:p>
        </w:tc>
        <w:tc>
          <w:tcPr>
            <w:tcW w:w="609" w:type="pct"/>
            <w:noWrap/>
            <w:vAlign w:val="center"/>
          </w:tcPr>
          <w:p w14:paraId="40290392" w14:textId="77777777" w:rsidR="002E474C" w:rsidRDefault="00000000">
            <w:pPr>
              <w:pStyle w:val="A-"/>
            </w:pPr>
            <w:r>
              <w:t>0.02</w:t>
            </w:r>
          </w:p>
        </w:tc>
        <w:tc>
          <w:tcPr>
            <w:tcW w:w="445" w:type="pct"/>
            <w:noWrap/>
            <w:vAlign w:val="center"/>
          </w:tcPr>
          <w:p w14:paraId="007ACB10" w14:textId="77777777" w:rsidR="002E474C" w:rsidRDefault="00000000">
            <w:pPr>
              <w:pStyle w:val="A-"/>
            </w:pPr>
            <w:r>
              <w:t>达标</w:t>
            </w:r>
          </w:p>
        </w:tc>
      </w:tr>
    </w:tbl>
    <w:p w14:paraId="2C0DCF7D" w14:textId="77777777" w:rsidR="002E474C" w:rsidRDefault="002E474C">
      <w:pPr>
        <w:pStyle w:val="A-0"/>
        <w:rPr>
          <w:color w:val="auto"/>
        </w:rPr>
      </w:pPr>
    </w:p>
    <w:p w14:paraId="28DDA60B" w14:textId="77777777" w:rsidR="002E474C" w:rsidRDefault="00000000">
      <w:pPr>
        <w:pStyle w:val="A--"/>
        <w:rPr>
          <w:color w:val="auto"/>
        </w:rPr>
      </w:pPr>
      <w:r>
        <w:rPr>
          <w:color w:val="auto"/>
        </w:rPr>
        <w:t>表</w:t>
      </w:r>
      <w:r>
        <w:rPr>
          <w:color w:val="auto"/>
        </w:rPr>
        <w:t>5.1</w:t>
      </w:r>
      <w:r>
        <w:rPr>
          <w:color w:val="auto"/>
        </w:rPr>
        <w:noBreakHyphen/>
        <w:t>23  Cr</w:t>
      </w:r>
      <w:r>
        <w:rPr>
          <w:color w:val="auto"/>
          <w:vertAlign w:val="superscript"/>
        </w:rPr>
        <w:t>6+</w:t>
      </w:r>
      <w:r>
        <w:rPr>
          <w:color w:val="auto"/>
        </w:rPr>
        <w:t>最大贡献浓度预测结果</w:t>
      </w:r>
    </w:p>
    <w:tbl>
      <w:tblPr>
        <w:tblStyle w:val="affff9"/>
        <w:tblW w:w="5000" w:type="pct"/>
        <w:tblLook w:val="04A0" w:firstRow="1" w:lastRow="0" w:firstColumn="1" w:lastColumn="0" w:noHBand="0" w:noVBand="1"/>
      </w:tblPr>
      <w:tblGrid>
        <w:gridCol w:w="736"/>
        <w:gridCol w:w="1950"/>
        <w:gridCol w:w="1688"/>
        <w:gridCol w:w="1222"/>
        <w:gridCol w:w="2126"/>
        <w:gridCol w:w="1222"/>
        <w:gridCol w:w="2126"/>
        <w:gridCol w:w="1665"/>
        <w:gridCol w:w="1213"/>
      </w:tblGrid>
      <w:tr w:rsidR="002E474C" w14:paraId="7D80E95E" w14:textId="77777777">
        <w:trPr>
          <w:trHeight w:val="285"/>
        </w:trPr>
        <w:tc>
          <w:tcPr>
            <w:tcW w:w="264" w:type="pct"/>
            <w:noWrap/>
            <w:vAlign w:val="center"/>
          </w:tcPr>
          <w:p w14:paraId="5A37C4F4" w14:textId="77777777" w:rsidR="002E474C" w:rsidRDefault="00000000">
            <w:pPr>
              <w:pStyle w:val="A-"/>
            </w:pPr>
            <w:r>
              <w:t>序号</w:t>
            </w:r>
          </w:p>
        </w:tc>
        <w:tc>
          <w:tcPr>
            <w:tcW w:w="699" w:type="pct"/>
            <w:noWrap/>
            <w:vAlign w:val="center"/>
          </w:tcPr>
          <w:p w14:paraId="288BBBBE" w14:textId="77777777" w:rsidR="002E474C" w:rsidRDefault="00000000">
            <w:pPr>
              <w:pStyle w:val="A-"/>
            </w:pPr>
            <w:r>
              <w:t>点名称</w:t>
            </w:r>
          </w:p>
        </w:tc>
        <w:tc>
          <w:tcPr>
            <w:tcW w:w="605" w:type="pct"/>
            <w:noWrap/>
            <w:vAlign w:val="center"/>
          </w:tcPr>
          <w:p w14:paraId="13AE23D2" w14:textId="77777777" w:rsidR="002E474C" w:rsidRDefault="00000000">
            <w:pPr>
              <w:pStyle w:val="A-"/>
            </w:pPr>
            <w:r>
              <w:t>点坐标</w:t>
            </w:r>
          </w:p>
        </w:tc>
        <w:tc>
          <w:tcPr>
            <w:tcW w:w="438" w:type="pct"/>
            <w:noWrap/>
            <w:vAlign w:val="center"/>
          </w:tcPr>
          <w:p w14:paraId="1AA0E0D2" w14:textId="77777777" w:rsidR="002E474C" w:rsidRDefault="00000000">
            <w:pPr>
              <w:pStyle w:val="A-"/>
            </w:pPr>
            <w:r>
              <w:t>浓度类型</w:t>
            </w:r>
          </w:p>
        </w:tc>
        <w:tc>
          <w:tcPr>
            <w:tcW w:w="762" w:type="pct"/>
            <w:noWrap/>
            <w:vAlign w:val="center"/>
          </w:tcPr>
          <w:p w14:paraId="28DD8E3D" w14:textId="77777777" w:rsidR="002E474C" w:rsidRDefault="00000000">
            <w:pPr>
              <w:pStyle w:val="A-"/>
            </w:pPr>
            <w:r>
              <w:t>浓度增量</w:t>
            </w:r>
            <w:r>
              <w:t>(</w:t>
            </w:r>
            <w:proofErr w:type="spellStart"/>
            <w:r>
              <w:t>μg</w:t>
            </w:r>
            <w:proofErr w:type="spellEnd"/>
            <w:r>
              <w:t>/m³)</w:t>
            </w:r>
          </w:p>
        </w:tc>
        <w:tc>
          <w:tcPr>
            <w:tcW w:w="438" w:type="pct"/>
            <w:noWrap/>
            <w:vAlign w:val="center"/>
          </w:tcPr>
          <w:p w14:paraId="56A68B9B" w14:textId="77777777" w:rsidR="002E474C" w:rsidRDefault="00000000">
            <w:pPr>
              <w:pStyle w:val="A-"/>
            </w:pPr>
            <w:r>
              <w:t>出现时间</w:t>
            </w:r>
          </w:p>
        </w:tc>
        <w:tc>
          <w:tcPr>
            <w:tcW w:w="762" w:type="pct"/>
            <w:noWrap/>
            <w:vAlign w:val="center"/>
          </w:tcPr>
          <w:p w14:paraId="4E46A428" w14:textId="77777777" w:rsidR="002E474C" w:rsidRDefault="00000000">
            <w:pPr>
              <w:pStyle w:val="A-"/>
            </w:pPr>
            <w:r>
              <w:t>评价标准</w:t>
            </w:r>
            <w:r>
              <w:t>(</w:t>
            </w:r>
            <w:proofErr w:type="spellStart"/>
            <w:r>
              <w:t>μg</w:t>
            </w:r>
            <w:proofErr w:type="spellEnd"/>
            <w:r>
              <w:t>/m³)</w:t>
            </w:r>
          </w:p>
        </w:tc>
        <w:tc>
          <w:tcPr>
            <w:tcW w:w="597" w:type="pct"/>
            <w:noWrap/>
            <w:vAlign w:val="center"/>
          </w:tcPr>
          <w:p w14:paraId="07146D20" w14:textId="77777777" w:rsidR="002E474C" w:rsidRDefault="00000000">
            <w:pPr>
              <w:pStyle w:val="A-"/>
            </w:pPr>
            <w:r>
              <w:t>占标率（</w:t>
            </w:r>
            <w:r>
              <w:t>%</w:t>
            </w:r>
            <w:r>
              <w:t>）</w:t>
            </w:r>
          </w:p>
        </w:tc>
        <w:tc>
          <w:tcPr>
            <w:tcW w:w="435" w:type="pct"/>
            <w:noWrap/>
            <w:vAlign w:val="center"/>
          </w:tcPr>
          <w:p w14:paraId="35AB08E4" w14:textId="77777777" w:rsidR="002E474C" w:rsidRDefault="00000000">
            <w:pPr>
              <w:pStyle w:val="A-"/>
            </w:pPr>
            <w:r>
              <w:t>是否超标</w:t>
            </w:r>
          </w:p>
        </w:tc>
      </w:tr>
      <w:tr w:rsidR="002E474C" w14:paraId="6D992D4C" w14:textId="77777777">
        <w:trPr>
          <w:trHeight w:val="285"/>
        </w:trPr>
        <w:tc>
          <w:tcPr>
            <w:tcW w:w="264" w:type="pct"/>
            <w:noWrap/>
            <w:vAlign w:val="center"/>
          </w:tcPr>
          <w:p w14:paraId="5585B37B" w14:textId="77777777" w:rsidR="002E474C" w:rsidRDefault="00000000">
            <w:pPr>
              <w:pStyle w:val="A-"/>
            </w:pPr>
            <w:r>
              <w:t>1</w:t>
            </w:r>
          </w:p>
        </w:tc>
        <w:tc>
          <w:tcPr>
            <w:tcW w:w="699" w:type="pct"/>
            <w:noWrap/>
            <w:vAlign w:val="center"/>
          </w:tcPr>
          <w:p w14:paraId="05436B1A" w14:textId="77777777" w:rsidR="002E474C" w:rsidRDefault="00000000">
            <w:pPr>
              <w:pStyle w:val="A-"/>
            </w:pPr>
            <w:r>
              <w:t>阿乐惠镇</w:t>
            </w:r>
          </w:p>
        </w:tc>
        <w:tc>
          <w:tcPr>
            <w:tcW w:w="605" w:type="pct"/>
            <w:noWrap/>
            <w:vAlign w:val="center"/>
          </w:tcPr>
          <w:p w14:paraId="067069C3" w14:textId="77777777" w:rsidR="002E474C" w:rsidRDefault="00000000">
            <w:pPr>
              <w:pStyle w:val="A-"/>
            </w:pPr>
            <w:r>
              <w:t>-4151,1104</w:t>
            </w:r>
          </w:p>
        </w:tc>
        <w:tc>
          <w:tcPr>
            <w:tcW w:w="438" w:type="pct"/>
            <w:noWrap/>
            <w:vAlign w:val="center"/>
          </w:tcPr>
          <w:p w14:paraId="219622DA" w14:textId="77777777" w:rsidR="002E474C" w:rsidRDefault="00000000">
            <w:pPr>
              <w:pStyle w:val="A-"/>
            </w:pPr>
            <w:r>
              <w:t>年平均</w:t>
            </w:r>
          </w:p>
        </w:tc>
        <w:tc>
          <w:tcPr>
            <w:tcW w:w="762" w:type="pct"/>
            <w:noWrap/>
          </w:tcPr>
          <w:p w14:paraId="17C3C3D7" w14:textId="77777777" w:rsidR="002E474C" w:rsidRDefault="00000000">
            <w:pPr>
              <w:pStyle w:val="A-"/>
            </w:pPr>
            <w:r>
              <w:t>0.0000</w:t>
            </w:r>
          </w:p>
        </w:tc>
        <w:tc>
          <w:tcPr>
            <w:tcW w:w="438" w:type="pct"/>
            <w:noWrap/>
            <w:vAlign w:val="center"/>
          </w:tcPr>
          <w:p w14:paraId="4C3CBCE3" w14:textId="77777777" w:rsidR="002E474C" w:rsidRDefault="00000000">
            <w:pPr>
              <w:pStyle w:val="A-"/>
            </w:pPr>
            <w:r>
              <w:t>平均值</w:t>
            </w:r>
          </w:p>
        </w:tc>
        <w:tc>
          <w:tcPr>
            <w:tcW w:w="762" w:type="pct"/>
            <w:noWrap/>
            <w:vAlign w:val="center"/>
          </w:tcPr>
          <w:p w14:paraId="512729A1" w14:textId="77777777" w:rsidR="002E474C" w:rsidRDefault="00000000">
            <w:pPr>
              <w:pStyle w:val="A-"/>
            </w:pPr>
            <w:r>
              <w:t>0.000025</w:t>
            </w:r>
          </w:p>
        </w:tc>
        <w:tc>
          <w:tcPr>
            <w:tcW w:w="597" w:type="pct"/>
            <w:noWrap/>
            <w:vAlign w:val="center"/>
          </w:tcPr>
          <w:p w14:paraId="6674E52B" w14:textId="77777777" w:rsidR="002E474C" w:rsidRDefault="00000000">
            <w:pPr>
              <w:pStyle w:val="A-"/>
            </w:pPr>
            <w:r>
              <w:t>0</w:t>
            </w:r>
          </w:p>
        </w:tc>
        <w:tc>
          <w:tcPr>
            <w:tcW w:w="435" w:type="pct"/>
            <w:noWrap/>
            <w:vAlign w:val="center"/>
          </w:tcPr>
          <w:p w14:paraId="2D88A11A" w14:textId="77777777" w:rsidR="002E474C" w:rsidRDefault="00000000">
            <w:pPr>
              <w:pStyle w:val="A-"/>
            </w:pPr>
            <w:r>
              <w:t>达标</w:t>
            </w:r>
          </w:p>
        </w:tc>
      </w:tr>
      <w:tr w:rsidR="002E474C" w14:paraId="4FAA9225" w14:textId="77777777">
        <w:trPr>
          <w:trHeight w:val="285"/>
        </w:trPr>
        <w:tc>
          <w:tcPr>
            <w:tcW w:w="264" w:type="pct"/>
            <w:noWrap/>
            <w:vAlign w:val="center"/>
          </w:tcPr>
          <w:p w14:paraId="286BA80F" w14:textId="77777777" w:rsidR="002E474C" w:rsidRDefault="00000000">
            <w:pPr>
              <w:pStyle w:val="A-"/>
            </w:pPr>
            <w:r>
              <w:t>2</w:t>
            </w:r>
          </w:p>
        </w:tc>
        <w:tc>
          <w:tcPr>
            <w:tcW w:w="699" w:type="pct"/>
            <w:noWrap/>
            <w:vAlign w:val="center"/>
          </w:tcPr>
          <w:p w14:paraId="451B0D35" w14:textId="77777777" w:rsidR="002E474C" w:rsidRDefault="00000000">
            <w:pPr>
              <w:pStyle w:val="A-"/>
            </w:pPr>
            <w:r>
              <w:t>电石厂员工公寓</w:t>
            </w:r>
          </w:p>
        </w:tc>
        <w:tc>
          <w:tcPr>
            <w:tcW w:w="605" w:type="pct"/>
            <w:noWrap/>
            <w:vAlign w:val="center"/>
          </w:tcPr>
          <w:p w14:paraId="39D68837" w14:textId="77777777" w:rsidR="002E474C" w:rsidRDefault="00000000">
            <w:pPr>
              <w:pStyle w:val="A-"/>
            </w:pPr>
            <w:r>
              <w:t>-1901,92</w:t>
            </w:r>
          </w:p>
        </w:tc>
        <w:tc>
          <w:tcPr>
            <w:tcW w:w="438" w:type="pct"/>
            <w:noWrap/>
            <w:vAlign w:val="center"/>
          </w:tcPr>
          <w:p w14:paraId="76347746" w14:textId="77777777" w:rsidR="002E474C" w:rsidRDefault="00000000">
            <w:pPr>
              <w:pStyle w:val="A-"/>
            </w:pPr>
            <w:r>
              <w:t>年平均</w:t>
            </w:r>
          </w:p>
        </w:tc>
        <w:tc>
          <w:tcPr>
            <w:tcW w:w="762" w:type="pct"/>
            <w:noWrap/>
          </w:tcPr>
          <w:p w14:paraId="55D0BBB4" w14:textId="77777777" w:rsidR="002E474C" w:rsidRDefault="00000000">
            <w:pPr>
              <w:pStyle w:val="A-"/>
            </w:pPr>
            <w:r>
              <w:t>0.0000</w:t>
            </w:r>
          </w:p>
        </w:tc>
        <w:tc>
          <w:tcPr>
            <w:tcW w:w="438" w:type="pct"/>
            <w:noWrap/>
            <w:vAlign w:val="center"/>
          </w:tcPr>
          <w:p w14:paraId="43BDCB39" w14:textId="77777777" w:rsidR="002E474C" w:rsidRDefault="00000000">
            <w:pPr>
              <w:pStyle w:val="A-"/>
            </w:pPr>
            <w:r>
              <w:t>平均值</w:t>
            </w:r>
          </w:p>
        </w:tc>
        <w:tc>
          <w:tcPr>
            <w:tcW w:w="762" w:type="pct"/>
            <w:noWrap/>
          </w:tcPr>
          <w:p w14:paraId="632A1396" w14:textId="77777777" w:rsidR="002E474C" w:rsidRDefault="00000000">
            <w:pPr>
              <w:pStyle w:val="A-"/>
            </w:pPr>
            <w:r>
              <w:t>0.000025</w:t>
            </w:r>
          </w:p>
        </w:tc>
        <w:tc>
          <w:tcPr>
            <w:tcW w:w="597" w:type="pct"/>
            <w:noWrap/>
            <w:vAlign w:val="center"/>
          </w:tcPr>
          <w:p w14:paraId="603E3F13" w14:textId="77777777" w:rsidR="002E474C" w:rsidRDefault="00000000">
            <w:pPr>
              <w:pStyle w:val="A-"/>
            </w:pPr>
            <w:r>
              <w:t>0</w:t>
            </w:r>
          </w:p>
        </w:tc>
        <w:tc>
          <w:tcPr>
            <w:tcW w:w="435" w:type="pct"/>
            <w:noWrap/>
            <w:vAlign w:val="center"/>
          </w:tcPr>
          <w:p w14:paraId="4F06B715" w14:textId="77777777" w:rsidR="002E474C" w:rsidRDefault="00000000">
            <w:pPr>
              <w:pStyle w:val="A-"/>
            </w:pPr>
            <w:r>
              <w:t>达标</w:t>
            </w:r>
          </w:p>
        </w:tc>
      </w:tr>
      <w:tr w:rsidR="002E474C" w14:paraId="3E714BFF" w14:textId="77777777">
        <w:trPr>
          <w:trHeight w:val="285"/>
        </w:trPr>
        <w:tc>
          <w:tcPr>
            <w:tcW w:w="264" w:type="pct"/>
            <w:noWrap/>
            <w:vAlign w:val="center"/>
          </w:tcPr>
          <w:p w14:paraId="5DB57666" w14:textId="77777777" w:rsidR="002E474C" w:rsidRDefault="00000000">
            <w:pPr>
              <w:pStyle w:val="A-"/>
            </w:pPr>
            <w:r>
              <w:t>3</w:t>
            </w:r>
          </w:p>
        </w:tc>
        <w:tc>
          <w:tcPr>
            <w:tcW w:w="699" w:type="pct"/>
            <w:noWrap/>
            <w:vAlign w:val="center"/>
          </w:tcPr>
          <w:p w14:paraId="158C028C" w14:textId="77777777" w:rsidR="002E474C" w:rsidRDefault="00000000">
            <w:pPr>
              <w:pStyle w:val="A-"/>
            </w:pPr>
            <w:r>
              <w:t>网格</w:t>
            </w:r>
          </w:p>
        </w:tc>
        <w:tc>
          <w:tcPr>
            <w:tcW w:w="605" w:type="pct"/>
            <w:noWrap/>
            <w:vAlign w:val="center"/>
          </w:tcPr>
          <w:p w14:paraId="374A6005" w14:textId="77777777" w:rsidR="002E474C" w:rsidRDefault="00000000">
            <w:pPr>
              <w:pStyle w:val="A-"/>
            </w:pPr>
            <w:r>
              <w:t>-13500,-13250</w:t>
            </w:r>
          </w:p>
        </w:tc>
        <w:tc>
          <w:tcPr>
            <w:tcW w:w="438" w:type="pct"/>
            <w:noWrap/>
            <w:vAlign w:val="center"/>
          </w:tcPr>
          <w:p w14:paraId="3B526B45" w14:textId="77777777" w:rsidR="002E474C" w:rsidRDefault="00000000">
            <w:pPr>
              <w:pStyle w:val="A-"/>
            </w:pPr>
            <w:r>
              <w:t>年平均</w:t>
            </w:r>
          </w:p>
        </w:tc>
        <w:tc>
          <w:tcPr>
            <w:tcW w:w="762" w:type="pct"/>
            <w:noWrap/>
          </w:tcPr>
          <w:p w14:paraId="63EA0C88" w14:textId="77777777" w:rsidR="002E474C" w:rsidRDefault="00000000">
            <w:pPr>
              <w:pStyle w:val="A-"/>
            </w:pPr>
            <w:r>
              <w:t>0.0000</w:t>
            </w:r>
          </w:p>
        </w:tc>
        <w:tc>
          <w:tcPr>
            <w:tcW w:w="438" w:type="pct"/>
            <w:noWrap/>
            <w:vAlign w:val="center"/>
          </w:tcPr>
          <w:p w14:paraId="24EFAEC6" w14:textId="77777777" w:rsidR="002E474C" w:rsidRDefault="00000000">
            <w:pPr>
              <w:pStyle w:val="A-"/>
            </w:pPr>
            <w:r>
              <w:t>平均值</w:t>
            </w:r>
          </w:p>
        </w:tc>
        <w:tc>
          <w:tcPr>
            <w:tcW w:w="762" w:type="pct"/>
            <w:noWrap/>
          </w:tcPr>
          <w:p w14:paraId="1A10B4F4" w14:textId="77777777" w:rsidR="002E474C" w:rsidRDefault="00000000">
            <w:pPr>
              <w:pStyle w:val="A-"/>
            </w:pPr>
            <w:r>
              <w:t>0.000025</w:t>
            </w:r>
          </w:p>
        </w:tc>
        <w:tc>
          <w:tcPr>
            <w:tcW w:w="597" w:type="pct"/>
            <w:noWrap/>
            <w:vAlign w:val="center"/>
          </w:tcPr>
          <w:p w14:paraId="0DFAB203" w14:textId="77777777" w:rsidR="002E474C" w:rsidRDefault="00000000">
            <w:pPr>
              <w:pStyle w:val="A-"/>
            </w:pPr>
            <w:r>
              <w:t>0</w:t>
            </w:r>
          </w:p>
        </w:tc>
        <w:tc>
          <w:tcPr>
            <w:tcW w:w="435" w:type="pct"/>
            <w:noWrap/>
            <w:vAlign w:val="center"/>
          </w:tcPr>
          <w:p w14:paraId="658BC77F" w14:textId="77777777" w:rsidR="002E474C" w:rsidRDefault="00000000">
            <w:pPr>
              <w:pStyle w:val="A-"/>
            </w:pPr>
            <w:r>
              <w:t>达标</w:t>
            </w:r>
          </w:p>
        </w:tc>
      </w:tr>
    </w:tbl>
    <w:p w14:paraId="1B7D4EF4" w14:textId="77777777" w:rsidR="002E474C" w:rsidRDefault="002E474C">
      <w:pPr>
        <w:pStyle w:val="A-0"/>
        <w:rPr>
          <w:color w:val="auto"/>
        </w:rPr>
      </w:pPr>
    </w:p>
    <w:p w14:paraId="314AADE6" w14:textId="77777777" w:rsidR="002E474C" w:rsidRDefault="00000000">
      <w:pPr>
        <w:pStyle w:val="A--"/>
        <w:rPr>
          <w:color w:val="auto"/>
        </w:rPr>
      </w:pPr>
      <w:r>
        <w:rPr>
          <w:color w:val="auto"/>
        </w:rPr>
        <w:t>表</w:t>
      </w:r>
      <w:r>
        <w:rPr>
          <w:color w:val="auto"/>
        </w:rPr>
        <w:t>5.1</w:t>
      </w:r>
      <w:r>
        <w:rPr>
          <w:color w:val="auto"/>
        </w:rPr>
        <w:noBreakHyphen/>
        <w:t>24  Cd</w:t>
      </w:r>
      <w:r>
        <w:rPr>
          <w:color w:val="auto"/>
        </w:rPr>
        <w:t>最大贡献浓度预测结果</w:t>
      </w:r>
    </w:p>
    <w:tbl>
      <w:tblPr>
        <w:tblStyle w:val="affff9"/>
        <w:tblW w:w="5000" w:type="pct"/>
        <w:tblLook w:val="04A0" w:firstRow="1" w:lastRow="0" w:firstColumn="1" w:lastColumn="0" w:noHBand="0" w:noVBand="1"/>
      </w:tblPr>
      <w:tblGrid>
        <w:gridCol w:w="736"/>
        <w:gridCol w:w="1950"/>
        <w:gridCol w:w="1688"/>
        <w:gridCol w:w="1222"/>
        <w:gridCol w:w="2126"/>
        <w:gridCol w:w="1222"/>
        <w:gridCol w:w="2126"/>
        <w:gridCol w:w="1665"/>
        <w:gridCol w:w="1213"/>
      </w:tblGrid>
      <w:tr w:rsidR="002E474C" w14:paraId="4772ABEF" w14:textId="77777777">
        <w:trPr>
          <w:trHeight w:val="285"/>
        </w:trPr>
        <w:tc>
          <w:tcPr>
            <w:tcW w:w="264" w:type="pct"/>
            <w:noWrap/>
            <w:vAlign w:val="center"/>
          </w:tcPr>
          <w:p w14:paraId="18FE206E" w14:textId="77777777" w:rsidR="002E474C" w:rsidRDefault="00000000">
            <w:pPr>
              <w:pStyle w:val="A-"/>
            </w:pPr>
            <w:r>
              <w:t>序号</w:t>
            </w:r>
          </w:p>
        </w:tc>
        <w:tc>
          <w:tcPr>
            <w:tcW w:w="699" w:type="pct"/>
            <w:noWrap/>
            <w:vAlign w:val="center"/>
          </w:tcPr>
          <w:p w14:paraId="682EE790" w14:textId="77777777" w:rsidR="002E474C" w:rsidRDefault="00000000">
            <w:pPr>
              <w:pStyle w:val="A-"/>
            </w:pPr>
            <w:r>
              <w:t>点名称</w:t>
            </w:r>
          </w:p>
        </w:tc>
        <w:tc>
          <w:tcPr>
            <w:tcW w:w="605" w:type="pct"/>
            <w:noWrap/>
            <w:vAlign w:val="center"/>
          </w:tcPr>
          <w:p w14:paraId="6A7663B7" w14:textId="77777777" w:rsidR="002E474C" w:rsidRDefault="00000000">
            <w:pPr>
              <w:pStyle w:val="A-"/>
            </w:pPr>
            <w:r>
              <w:t>点坐标</w:t>
            </w:r>
          </w:p>
        </w:tc>
        <w:tc>
          <w:tcPr>
            <w:tcW w:w="438" w:type="pct"/>
            <w:noWrap/>
            <w:vAlign w:val="center"/>
          </w:tcPr>
          <w:p w14:paraId="5ADC4C9B" w14:textId="77777777" w:rsidR="002E474C" w:rsidRDefault="00000000">
            <w:pPr>
              <w:pStyle w:val="A-"/>
            </w:pPr>
            <w:r>
              <w:t>浓度类型</w:t>
            </w:r>
          </w:p>
        </w:tc>
        <w:tc>
          <w:tcPr>
            <w:tcW w:w="762" w:type="pct"/>
            <w:noWrap/>
            <w:vAlign w:val="center"/>
          </w:tcPr>
          <w:p w14:paraId="5073AA14" w14:textId="77777777" w:rsidR="002E474C" w:rsidRDefault="00000000">
            <w:pPr>
              <w:pStyle w:val="A-"/>
            </w:pPr>
            <w:r>
              <w:t>浓度增量</w:t>
            </w:r>
            <w:r>
              <w:t>(</w:t>
            </w:r>
            <w:proofErr w:type="spellStart"/>
            <w:r>
              <w:t>μg</w:t>
            </w:r>
            <w:proofErr w:type="spellEnd"/>
            <w:r>
              <w:t>/m³)</w:t>
            </w:r>
          </w:p>
        </w:tc>
        <w:tc>
          <w:tcPr>
            <w:tcW w:w="438" w:type="pct"/>
            <w:noWrap/>
            <w:vAlign w:val="center"/>
          </w:tcPr>
          <w:p w14:paraId="00509DF5" w14:textId="77777777" w:rsidR="002E474C" w:rsidRDefault="00000000">
            <w:pPr>
              <w:pStyle w:val="A-"/>
            </w:pPr>
            <w:r>
              <w:t>出现时间</w:t>
            </w:r>
          </w:p>
        </w:tc>
        <w:tc>
          <w:tcPr>
            <w:tcW w:w="762" w:type="pct"/>
            <w:noWrap/>
            <w:vAlign w:val="center"/>
          </w:tcPr>
          <w:p w14:paraId="2FC86791" w14:textId="77777777" w:rsidR="002E474C" w:rsidRDefault="00000000">
            <w:pPr>
              <w:pStyle w:val="A-"/>
            </w:pPr>
            <w:r>
              <w:t>评价标准</w:t>
            </w:r>
            <w:r>
              <w:t>(</w:t>
            </w:r>
            <w:proofErr w:type="spellStart"/>
            <w:r>
              <w:t>μg</w:t>
            </w:r>
            <w:proofErr w:type="spellEnd"/>
            <w:r>
              <w:t>/m³)</w:t>
            </w:r>
          </w:p>
        </w:tc>
        <w:tc>
          <w:tcPr>
            <w:tcW w:w="597" w:type="pct"/>
            <w:noWrap/>
            <w:vAlign w:val="center"/>
          </w:tcPr>
          <w:p w14:paraId="3639FBEC" w14:textId="77777777" w:rsidR="002E474C" w:rsidRDefault="00000000">
            <w:pPr>
              <w:pStyle w:val="A-"/>
            </w:pPr>
            <w:r>
              <w:t>占标率（</w:t>
            </w:r>
            <w:r>
              <w:t>%</w:t>
            </w:r>
            <w:r>
              <w:t>）</w:t>
            </w:r>
          </w:p>
        </w:tc>
        <w:tc>
          <w:tcPr>
            <w:tcW w:w="435" w:type="pct"/>
            <w:noWrap/>
            <w:vAlign w:val="center"/>
          </w:tcPr>
          <w:p w14:paraId="69825137" w14:textId="77777777" w:rsidR="002E474C" w:rsidRDefault="00000000">
            <w:pPr>
              <w:pStyle w:val="A-"/>
            </w:pPr>
            <w:r>
              <w:t>是否超标</w:t>
            </w:r>
          </w:p>
        </w:tc>
      </w:tr>
      <w:tr w:rsidR="002E474C" w14:paraId="4812982D" w14:textId="77777777">
        <w:trPr>
          <w:trHeight w:val="285"/>
        </w:trPr>
        <w:tc>
          <w:tcPr>
            <w:tcW w:w="264" w:type="pct"/>
            <w:noWrap/>
            <w:vAlign w:val="center"/>
          </w:tcPr>
          <w:p w14:paraId="153ABA75" w14:textId="77777777" w:rsidR="002E474C" w:rsidRDefault="00000000">
            <w:pPr>
              <w:pStyle w:val="A-"/>
            </w:pPr>
            <w:r>
              <w:t>1</w:t>
            </w:r>
          </w:p>
        </w:tc>
        <w:tc>
          <w:tcPr>
            <w:tcW w:w="699" w:type="pct"/>
            <w:noWrap/>
            <w:vAlign w:val="center"/>
          </w:tcPr>
          <w:p w14:paraId="090FCAB0" w14:textId="77777777" w:rsidR="002E474C" w:rsidRDefault="00000000">
            <w:pPr>
              <w:pStyle w:val="A-"/>
            </w:pPr>
            <w:r>
              <w:t>阿乐惠镇</w:t>
            </w:r>
          </w:p>
        </w:tc>
        <w:tc>
          <w:tcPr>
            <w:tcW w:w="605" w:type="pct"/>
            <w:noWrap/>
            <w:vAlign w:val="center"/>
          </w:tcPr>
          <w:p w14:paraId="3DDF6D8C" w14:textId="77777777" w:rsidR="002E474C" w:rsidRDefault="00000000">
            <w:pPr>
              <w:pStyle w:val="A-"/>
            </w:pPr>
            <w:r>
              <w:t>-4151,1104</w:t>
            </w:r>
          </w:p>
        </w:tc>
        <w:tc>
          <w:tcPr>
            <w:tcW w:w="438" w:type="pct"/>
            <w:noWrap/>
            <w:vAlign w:val="center"/>
          </w:tcPr>
          <w:p w14:paraId="3F7A62C2" w14:textId="77777777" w:rsidR="002E474C" w:rsidRDefault="00000000">
            <w:pPr>
              <w:pStyle w:val="A-"/>
            </w:pPr>
            <w:r>
              <w:t>年平均</w:t>
            </w:r>
          </w:p>
        </w:tc>
        <w:tc>
          <w:tcPr>
            <w:tcW w:w="762" w:type="pct"/>
            <w:noWrap/>
          </w:tcPr>
          <w:p w14:paraId="552B9094" w14:textId="77777777" w:rsidR="002E474C" w:rsidRDefault="00000000">
            <w:pPr>
              <w:pStyle w:val="A-"/>
            </w:pPr>
            <w:r>
              <w:t>0.0000</w:t>
            </w:r>
          </w:p>
        </w:tc>
        <w:tc>
          <w:tcPr>
            <w:tcW w:w="438" w:type="pct"/>
            <w:noWrap/>
            <w:vAlign w:val="center"/>
          </w:tcPr>
          <w:p w14:paraId="03567162" w14:textId="77777777" w:rsidR="002E474C" w:rsidRDefault="00000000">
            <w:pPr>
              <w:pStyle w:val="A-"/>
            </w:pPr>
            <w:r>
              <w:t>平均值</w:t>
            </w:r>
          </w:p>
        </w:tc>
        <w:tc>
          <w:tcPr>
            <w:tcW w:w="762" w:type="pct"/>
            <w:noWrap/>
            <w:vAlign w:val="center"/>
          </w:tcPr>
          <w:p w14:paraId="26487A7F" w14:textId="77777777" w:rsidR="002E474C" w:rsidRDefault="00000000">
            <w:pPr>
              <w:pStyle w:val="A-"/>
            </w:pPr>
            <w:r>
              <w:t>0.005</w:t>
            </w:r>
          </w:p>
        </w:tc>
        <w:tc>
          <w:tcPr>
            <w:tcW w:w="597" w:type="pct"/>
            <w:noWrap/>
            <w:vAlign w:val="center"/>
          </w:tcPr>
          <w:p w14:paraId="45900EF6" w14:textId="77777777" w:rsidR="002E474C" w:rsidRDefault="00000000">
            <w:pPr>
              <w:pStyle w:val="A-"/>
            </w:pPr>
            <w:r>
              <w:t>0</w:t>
            </w:r>
          </w:p>
        </w:tc>
        <w:tc>
          <w:tcPr>
            <w:tcW w:w="435" w:type="pct"/>
            <w:noWrap/>
            <w:vAlign w:val="center"/>
          </w:tcPr>
          <w:p w14:paraId="429ACF61" w14:textId="77777777" w:rsidR="002E474C" w:rsidRDefault="00000000">
            <w:pPr>
              <w:pStyle w:val="A-"/>
            </w:pPr>
            <w:r>
              <w:t>达标</w:t>
            </w:r>
          </w:p>
        </w:tc>
      </w:tr>
      <w:tr w:rsidR="002E474C" w14:paraId="42387115" w14:textId="77777777">
        <w:trPr>
          <w:trHeight w:val="285"/>
        </w:trPr>
        <w:tc>
          <w:tcPr>
            <w:tcW w:w="264" w:type="pct"/>
            <w:noWrap/>
            <w:vAlign w:val="center"/>
          </w:tcPr>
          <w:p w14:paraId="0C64CB52" w14:textId="77777777" w:rsidR="002E474C" w:rsidRDefault="00000000">
            <w:pPr>
              <w:pStyle w:val="A-"/>
            </w:pPr>
            <w:r>
              <w:t>2</w:t>
            </w:r>
          </w:p>
        </w:tc>
        <w:tc>
          <w:tcPr>
            <w:tcW w:w="699" w:type="pct"/>
            <w:noWrap/>
            <w:vAlign w:val="center"/>
          </w:tcPr>
          <w:p w14:paraId="11D8BB85" w14:textId="77777777" w:rsidR="002E474C" w:rsidRDefault="00000000">
            <w:pPr>
              <w:pStyle w:val="A-"/>
            </w:pPr>
            <w:r>
              <w:t>电石厂员工公寓</w:t>
            </w:r>
          </w:p>
        </w:tc>
        <w:tc>
          <w:tcPr>
            <w:tcW w:w="605" w:type="pct"/>
            <w:noWrap/>
            <w:vAlign w:val="center"/>
          </w:tcPr>
          <w:p w14:paraId="429E8FAB" w14:textId="77777777" w:rsidR="002E474C" w:rsidRDefault="00000000">
            <w:pPr>
              <w:pStyle w:val="A-"/>
            </w:pPr>
            <w:r>
              <w:t>-1901,92</w:t>
            </w:r>
          </w:p>
        </w:tc>
        <w:tc>
          <w:tcPr>
            <w:tcW w:w="438" w:type="pct"/>
            <w:noWrap/>
            <w:vAlign w:val="center"/>
          </w:tcPr>
          <w:p w14:paraId="57FA6F5B" w14:textId="77777777" w:rsidR="002E474C" w:rsidRDefault="00000000">
            <w:pPr>
              <w:pStyle w:val="A-"/>
            </w:pPr>
            <w:r>
              <w:t>年平均</w:t>
            </w:r>
          </w:p>
        </w:tc>
        <w:tc>
          <w:tcPr>
            <w:tcW w:w="762" w:type="pct"/>
            <w:noWrap/>
          </w:tcPr>
          <w:p w14:paraId="3D8EE6E7" w14:textId="77777777" w:rsidR="002E474C" w:rsidRDefault="00000000">
            <w:pPr>
              <w:pStyle w:val="A-"/>
            </w:pPr>
            <w:r>
              <w:t>0.0000</w:t>
            </w:r>
          </w:p>
        </w:tc>
        <w:tc>
          <w:tcPr>
            <w:tcW w:w="438" w:type="pct"/>
            <w:noWrap/>
            <w:vAlign w:val="center"/>
          </w:tcPr>
          <w:p w14:paraId="2E3CF486" w14:textId="77777777" w:rsidR="002E474C" w:rsidRDefault="00000000">
            <w:pPr>
              <w:pStyle w:val="A-"/>
            </w:pPr>
            <w:r>
              <w:t>平均值</w:t>
            </w:r>
          </w:p>
        </w:tc>
        <w:tc>
          <w:tcPr>
            <w:tcW w:w="762" w:type="pct"/>
            <w:noWrap/>
          </w:tcPr>
          <w:p w14:paraId="737D92E4" w14:textId="77777777" w:rsidR="002E474C" w:rsidRDefault="00000000">
            <w:pPr>
              <w:pStyle w:val="A-"/>
            </w:pPr>
            <w:r>
              <w:t>0.005</w:t>
            </w:r>
          </w:p>
        </w:tc>
        <w:tc>
          <w:tcPr>
            <w:tcW w:w="597" w:type="pct"/>
            <w:noWrap/>
            <w:vAlign w:val="center"/>
          </w:tcPr>
          <w:p w14:paraId="33792958" w14:textId="77777777" w:rsidR="002E474C" w:rsidRDefault="00000000">
            <w:pPr>
              <w:pStyle w:val="A-"/>
            </w:pPr>
            <w:r>
              <w:t>0</w:t>
            </w:r>
          </w:p>
        </w:tc>
        <w:tc>
          <w:tcPr>
            <w:tcW w:w="435" w:type="pct"/>
            <w:noWrap/>
            <w:vAlign w:val="center"/>
          </w:tcPr>
          <w:p w14:paraId="4A33D9D4" w14:textId="77777777" w:rsidR="002E474C" w:rsidRDefault="00000000">
            <w:pPr>
              <w:pStyle w:val="A-"/>
            </w:pPr>
            <w:r>
              <w:t>达标</w:t>
            </w:r>
          </w:p>
        </w:tc>
      </w:tr>
      <w:tr w:rsidR="002E474C" w14:paraId="17CEED80" w14:textId="77777777">
        <w:trPr>
          <w:trHeight w:val="285"/>
        </w:trPr>
        <w:tc>
          <w:tcPr>
            <w:tcW w:w="264" w:type="pct"/>
            <w:noWrap/>
            <w:vAlign w:val="center"/>
          </w:tcPr>
          <w:p w14:paraId="0A570F05" w14:textId="77777777" w:rsidR="002E474C" w:rsidRDefault="00000000">
            <w:pPr>
              <w:pStyle w:val="A-"/>
            </w:pPr>
            <w:r>
              <w:t>3</w:t>
            </w:r>
          </w:p>
        </w:tc>
        <w:tc>
          <w:tcPr>
            <w:tcW w:w="699" w:type="pct"/>
            <w:noWrap/>
            <w:vAlign w:val="center"/>
          </w:tcPr>
          <w:p w14:paraId="48E7E4DE" w14:textId="77777777" w:rsidR="002E474C" w:rsidRDefault="00000000">
            <w:pPr>
              <w:pStyle w:val="A-"/>
            </w:pPr>
            <w:r>
              <w:t>网格</w:t>
            </w:r>
          </w:p>
        </w:tc>
        <w:tc>
          <w:tcPr>
            <w:tcW w:w="605" w:type="pct"/>
            <w:noWrap/>
            <w:vAlign w:val="center"/>
          </w:tcPr>
          <w:p w14:paraId="0343FF61" w14:textId="77777777" w:rsidR="002E474C" w:rsidRDefault="00000000">
            <w:pPr>
              <w:pStyle w:val="A-"/>
            </w:pPr>
            <w:r>
              <w:t>-13500,-13250</w:t>
            </w:r>
          </w:p>
        </w:tc>
        <w:tc>
          <w:tcPr>
            <w:tcW w:w="438" w:type="pct"/>
            <w:noWrap/>
            <w:vAlign w:val="center"/>
          </w:tcPr>
          <w:p w14:paraId="62A8E0D6" w14:textId="77777777" w:rsidR="002E474C" w:rsidRDefault="00000000">
            <w:pPr>
              <w:pStyle w:val="A-"/>
            </w:pPr>
            <w:r>
              <w:t>年平均</w:t>
            </w:r>
          </w:p>
        </w:tc>
        <w:tc>
          <w:tcPr>
            <w:tcW w:w="762" w:type="pct"/>
            <w:noWrap/>
          </w:tcPr>
          <w:p w14:paraId="03C65F38" w14:textId="77777777" w:rsidR="002E474C" w:rsidRDefault="00000000">
            <w:pPr>
              <w:pStyle w:val="A-"/>
            </w:pPr>
            <w:r>
              <w:t>0.0000</w:t>
            </w:r>
          </w:p>
        </w:tc>
        <w:tc>
          <w:tcPr>
            <w:tcW w:w="438" w:type="pct"/>
            <w:noWrap/>
            <w:vAlign w:val="center"/>
          </w:tcPr>
          <w:p w14:paraId="6C3F99EB" w14:textId="77777777" w:rsidR="002E474C" w:rsidRDefault="00000000">
            <w:pPr>
              <w:pStyle w:val="A-"/>
            </w:pPr>
            <w:r>
              <w:t>平均值</w:t>
            </w:r>
          </w:p>
        </w:tc>
        <w:tc>
          <w:tcPr>
            <w:tcW w:w="762" w:type="pct"/>
            <w:noWrap/>
          </w:tcPr>
          <w:p w14:paraId="5F00BD83" w14:textId="77777777" w:rsidR="002E474C" w:rsidRDefault="00000000">
            <w:pPr>
              <w:pStyle w:val="A-"/>
            </w:pPr>
            <w:r>
              <w:t>0.005</w:t>
            </w:r>
          </w:p>
        </w:tc>
        <w:tc>
          <w:tcPr>
            <w:tcW w:w="597" w:type="pct"/>
            <w:noWrap/>
            <w:vAlign w:val="center"/>
          </w:tcPr>
          <w:p w14:paraId="3A732F38" w14:textId="77777777" w:rsidR="002E474C" w:rsidRDefault="00000000">
            <w:pPr>
              <w:pStyle w:val="A-"/>
            </w:pPr>
            <w:r>
              <w:t>0</w:t>
            </w:r>
          </w:p>
        </w:tc>
        <w:tc>
          <w:tcPr>
            <w:tcW w:w="435" w:type="pct"/>
            <w:noWrap/>
            <w:vAlign w:val="center"/>
          </w:tcPr>
          <w:p w14:paraId="6FE74F02" w14:textId="77777777" w:rsidR="002E474C" w:rsidRDefault="00000000">
            <w:pPr>
              <w:pStyle w:val="A-"/>
            </w:pPr>
            <w:r>
              <w:t>达标</w:t>
            </w:r>
          </w:p>
        </w:tc>
      </w:tr>
    </w:tbl>
    <w:p w14:paraId="7879FF05" w14:textId="77777777" w:rsidR="002E474C" w:rsidRDefault="002E474C">
      <w:pPr>
        <w:pStyle w:val="A-0"/>
        <w:rPr>
          <w:color w:val="auto"/>
        </w:rPr>
      </w:pPr>
    </w:p>
    <w:p w14:paraId="7B395381" w14:textId="77777777" w:rsidR="002E474C" w:rsidRDefault="002E474C">
      <w:pPr>
        <w:pStyle w:val="A-0"/>
        <w:rPr>
          <w:color w:val="auto"/>
        </w:rPr>
        <w:sectPr w:rsidR="002E474C">
          <w:pgSz w:w="16838" w:h="11906" w:orient="landscape"/>
          <w:pgMar w:top="1800" w:right="1440" w:bottom="1800" w:left="1440" w:header="851" w:footer="992" w:gutter="0"/>
          <w:cols w:space="720"/>
          <w:docGrid w:linePitch="312"/>
        </w:sectPr>
      </w:pPr>
    </w:p>
    <w:p w14:paraId="61458342" w14:textId="77777777" w:rsidR="002E474C" w:rsidRDefault="00000000">
      <w:pPr>
        <w:pStyle w:val="A--"/>
        <w:rPr>
          <w:color w:val="auto"/>
        </w:rPr>
      </w:pPr>
      <w:r>
        <w:rPr>
          <w:color w:val="auto"/>
        </w:rPr>
        <w:lastRenderedPageBreak/>
        <w:t>表</w:t>
      </w:r>
      <w:r>
        <w:rPr>
          <w:color w:val="auto"/>
        </w:rPr>
        <w:t>5.1</w:t>
      </w:r>
      <w:r>
        <w:rPr>
          <w:color w:val="auto"/>
        </w:rPr>
        <w:noBreakHyphen/>
        <w:t>25  Mn</w:t>
      </w:r>
      <w:r>
        <w:rPr>
          <w:color w:val="auto"/>
        </w:rPr>
        <w:t>最大贡献浓度预测结果</w:t>
      </w:r>
    </w:p>
    <w:tbl>
      <w:tblPr>
        <w:tblStyle w:val="affff9"/>
        <w:tblW w:w="5000" w:type="pct"/>
        <w:tblLook w:val="04A0" w:firstRow="1" w:lastRow="0" w:firstColumn="1" w:lastColumn="0" w:noHBand="0" w:noVBand="1"/>
      </w:tblPr>
      <w:tblGrid>
        <w:gridCol w:w="752"/>
        <w:gridCol w:w="1995"/>
        <w:gridCol w:w="1395"/>
        <w:gridCol w:w="1250"/>
        <w:gridCol w:w="2176"/>
        <w:gridCol w:w="1250"/>
        <w:gridCol w:w="2176"/>
        <w:gridCol w:w="1704"/>
        <w:gridCol w:w="1250"/>
      </w:tblGrid>
      <w:tr w:rsidR="002E474C" w14:paraId="5F1C7DDF" w14:textId="77777777">
        <w:trPr>
          <w:trHeight w:val="285"/>
        </w:trPr>
        <w:tc>
          <w:tcPr>
            <w:tcW w:w="270" w:type="pct"/>
            <w:noWrap/>
            <w:vAlign w:val="center"/>
          </w:tcPr>
          <w:p w14:paraId="42C95D82" w14:textId="77777777" w:rsidR="002E474C" w:rsidRDefault="00000000">
            <w:pPr>
              <w:pStyle w:val="A-"/>
            </w:pPr>
            <w:r>
              <w:t>序号</w:t>
            </w:r>
          </w:p>
        </w:tc>
        <w:tc>
          <w:tcPr>
            <w:tcW w:w="715" w:type="pct"/>
            <w:noWrap/>
            <w:vAlign w:val="center"/>
          </w:tcPr>
          <w:p w14:paraId="42151899" w14:textId="77777777" w:rsidR="002E474C" w:rsidRDefault="00000000">
            <w:pPr>
              <w:pStyle w:val="A-"/>
            </w:pPr>
            <w:r>
              <w:t>点名称</w:t>
            </w:r>
          </w:p>
        </w:tc>
        <w:tc>
          <w:tcPr>
            <w:tcW w:w="500" w:type="pct"/>
            <w:noWrap/>
            <w:vAlign w:val="center"/>
          </w:tcPr>
          <w:p w14:paraId="3E5D6D4A" w14:textId="77777777" w:rsidR="002E474C" w:rsidRDefault="00000000">
            <w:pPr>
              <w:pStyle w:val="A-"/>
            </w:pPr>
            <w:r>
              <w:t>点坐标</w:t>
            </w:r>
          </w:p>
        </w:tc>
        <w:tc>
          <w:tcPr>
            <w:tcW w:w="448" w:type="pct"/>
            <w:noWrap/>
            <w:vAlign w:val="center"/>
          </w:tcPr>
          <w:p w14:paraId="21368335" w14:textId="77777777" w:rsidR="002E474C" w:rsidRDefault="00000000">
            <w:pPr>
              <w:pStyle w:val="A-"/>
            </w:pPr>
            <w:r>
              <w:t>浓度类型</w:t>
            </w:r>
          </w:p>
        </w:tc>
        <w:tc>
          <w:tcPr>
            <w:tcW w:w="780" w:type="pct"/>
            <w:noWrap/>
            <w:vAlign w:val="center"/>
          </w:tcPr>
          <w:p w14:paraId="43543B21" w14:textId="77777777" w:rsidR="002E474C" w:rsidRDefault="00000000">
            <w:pPr>
              <w:pStyle w:val="A-"/>
            </w:pPr>
            <w:r>
              <w:t>浓度增量</w:t>
            </w:r>
            <w:r>
              <w:t>(</w:t>
            </w:r>
            <w:proofErr w:type="spellStart"/>
            <w:r>
              <w:t>μg</w:t>
            </w:r>
            <w:proofErr w:type="spellEnd"/>
            <w:r>
              <w:t>/m³)</w:t>
            </w:r>
          </w:p>
        </w:tc>
        <w:tc>
          <w:tcPr>
            <w:tcW w:w="448" w:type="pct"/>
            <w:noWrap/>
            <w:vAlign w:val="center"/>
          </w:tcPr>
          <w:p w14:paraId="116D47A5" w14:textId="77777777" w:rsidR="002E474C" w:rsidRDefault="00000000">
            <w:pPr>
              <w:pStyle w:val="A-"/>
            </w:pPr>
            <w:r>
              <w:t>出现时间</w:t>
            </w:r>
          </w:p>
        </w:tc>
        <w:tc>
          <w:tcPr>
            <w:tcW w:w="780" w:type="pct"/>
            <w:noWrap/>
            <w:vAlign w:val="center"/>
          </w:tcPr>
          <w:p w14:paraId="28623293" w14:textId="77777777" w:rsidR="002E474C" w:rsidRDefault="00000000">
            <w:pPr>
              <w:pStyle w:val="A-"/>
            </w:pPr>
            <w:r>
              <w:t>评价标准</w:t>
            </w:r>
            <w:r>
              <w:t>(</w:t>
            </w:r>
            <w:proofErr w:type="spellStart"/>
            <w:r>
              <w:t>μg</w:t>
            </w:r>
            <w:proofErr w:type="spellEnd"/>
            <w:r>
              <w:t>/m³)</w:t>
            </w:r>
          </w:p>
        </w:tc>
        <w:tc>
          <w:tcPr>
            <w:tcW w:w="611" w:type="pct"/>
            <w:noWrap/>
            <w:vAlign w:val="center"/>
          </w:tcPr>
          <w:p w14:paraId="5A3AFCA1" w14:textId="77777777" w:rsidR="002E474C" w:rsidRDefault="00000000">
            <w:pPr>
              <w:pStyle w:val="A-"/>
            </w:pPr>
            <w:r>
              <w:t>占标率（</w:t>
            </w:r>
            <w:r>
              <w:t>%</w:t>
            </w:r>
            <w:r>
              <w:t>）</w:t>
            </w:r>
          </w:p>
        </w:tc>
        <w:tc>
          <w:tcPr>
            <w:tcW w:w="448" w:type="pct"/>
            <w:noWrap/>
            <w:vAlign w:val="center"/>
          </w:tcPr>
          <w:p w14:paraId="23FA946A" w14:textId="77777777" w:rsidR="002E474C" w:rsidRDefault="00000000">
            <w:pPr>
              <w:pStyle w:val="A-"/>
            </w:pPr>
            <w:r>
              <w:t>是否超标</w:t>
            </w:r>
          </w:p>
        </w:tc>
      </w:tr>
      <w:tr w:rsidR="002E474C" w14:paraId="4ACF4E52" w14:textId="77777777">
        <w:trPr>
          <w:trHeight w:val="285"/>
        </w:trPr>
        <w:tc>
          <w:tcPr>
            <w:tcW w:w="270" w:type="pct"/>
            <w:noWrap/>
            <w:vAlign w:val="center"/>
          </w:tcPr>
          <w:p w14:paraId="6315CC45" w14:textId="77777777" w:rsidR="002E474C" w:rsidRDefault="00000000">
            <w:pPr>
              <w:pStyle w:val="A-"/>
            </w:pPr>
            <w:r>
              <w:t>1</w:t>
            </w:r>
          </w:p>
        </w:tc>
        <w:tc>
          <w:tcPr>
            <w:tcW w:w="715" w:type="pct"/>
            <w:noWrap/>
            <w:vAlign w:val="center"/>
          </w:tcPr>
          <w:p w14:paraId="564A615C" w14:textId="77777777" w:rsidR="002E474C" w:rsidRDefault="00000000">
            <w:pPr>
              <w:pStyle w:val="A-"/>
            </w:pPr>
            <w:r>
              <w:t>阿乐惠镇</w:t>
            </w:r>
          </w:p>
        </w:tc>
        <w:tc>
          <w:tcPr>
            <w:tcW w:w="500" w:type="pct"/>
            <w:noWrap/>
            <w:vAlign w:val="center"/>
          </w:tcPr>
          <w:p w14:paraId="7E85EEA5" w14:textId="77777777" w:rsidR="002E474C" w:rsidRDefault="00000000">
            <w:pPr>
              <w:pStyle w:val="A-"/>
            </w:pPr>
            <w:r>
              <w:t>-4151,1104</w:t>
            </w:r>
          </w:p>
        </w:tc>
        <w:tc>
          <w:tcPr>
            <w:tcW w:w="448" w:type="pct"/>
            <w:noWrap/>
            <w:vAlign w:val="center"/>
          </w:tcPr>
          <w:p w14:paraId="7321232E" w14:textId="77777777" w:rsidR="002E474C" w:rsidRDefault="00000000">
            <w:pPr>
              <w:pStyle w:val="A-"/>
            </w:pPr>
            <w:r>
              <w:t>日平均</w:t>
            </w:r>
          </w:p>
        </w:tc>
        <w:tc>
          <w:tcPr>
            <w:tcW w:w="780" w:type="pct"/>
            <w:noWrap/>
            <w:vAlign w:val="center"/>
          </w:tcPr>
          <w:p w14:paraId="594F83A3" w14:textId="77777777" w:rsidR="002E474C" w:rsidRDefault="00000000">
            <w:pPr>
              <w:pStyle w:val="A-"/>
            </w:pPr>
            <w:r>
              <w:t xml:space="preserve">0.0000 </w:t>
            </w:r>
          </w:p>
        </w:tc>
        <w:tc>
          <w:tcPr>
            <w:tcW w:w="448" w:type="pct"/>
            <w:noWrap/>
            <w:vAlign w:val="center"/>
          </w:tcPr>
          <w:p w14:paraId="5A79DBA8" w14:textId="77777777" w:rsidR="002E474C" w:rsidRDefault="00000000">
            <w:pPr>
              <w:pStyle w:val="A-"/>
            </w:pPr>
            <w:r>
              <w:t>240227</w:t>
            </w:r>
          </w:p>
        </w:tc>
        <w:tc>
          <w:tcPr>
            <w:tcW w:w="780" w:type="pct"/>
            <w:noWrap/>
            <w:vAlign w:val="center"/>
          </w:tcPr>
          <w:p w14:paraId="0FEC94E6" w14:textId="77777777" w:rsidR="002E474C" w:rsidRDefault="00000000">
            <w:pPr>
              <w:pStyle w:val="A-"/>
            </w:pPr>
            <w:r>
              <w:t>10</w:t>
            </w:r>
          </w:p>
        </w:tc>
        <w:tc>
          <w:tcPr>
            <w:tcW w:w="611" w:type="pct"/>
            <w:noWrap/>
            <w:vAlign w:val="center"/>
          </w:tcPr>
          <w:p w14:paraId="0218FF5E" w14:textId="77777777" w:rsidR="002E474C" w:rsidRDefault="00000000">
            <w:pPr>
              <w:pStyle w:val="A-"/>
            </w:pPr>
            <w:r>
              <w:t>0</w:t>
            </w:r>
          </w:p>
        </w:tc>
        <w:tc>
          <w:tcPr>
            <w:tcW w:w="448" w:type="pct"/>
            <w:noWrap/>
            <w:vAlign w:val="center"/>
          </w:tcPr>
          <w:p w14:paraId="14097B63" w14:textId="77777777" w:rsidR="002E474C" w:rsidRDefault="00000000">
            <w:pPr>
              <w:pStyle w:val="A-"/>
            </w:pPr>
            <w:r>
              <w:t>达标</w:t>
            </w:r>
          </w:p>
        </w:tc>
      </w:tr>
      <w:tr w:rsidR="002E474C" w14:paraId="0EE669DE" w14:textId="77777777">
        <w:trPr>
          <w:trHeight w:val="285"/>
        </w:trPr>
        <w:tc>
          <w:tcPr>
            <w:tcW w:w="270" w:type="pct"/>
            <w:noWrap/>
            <w:vAlign w:val="center"/>
          </w:tcPr>
          <w:p w14:paraId="0DFC89F7" w14:textId="77777777" w:rsidR="002E474C" w:rsidRDefault="00000000">
            <w:pPr>
              <w:pStyle w:val="A-"/>
            </w:pPr>
            <w:r>
              <w:t>2</w:t>
            </w:r>
          </w:p>
        </w:tc>
        <w:tc>
          <w:tcPr>
            <w:tcW w:w="715" w:type="pct"/>
            <w:noWrap/>
            <w:vAlign w:val="center"/>
          </w:tcPr>
          <w:p w14:paraId="2C458AF8" w14:textId="77777777" w:rsidR="002E474C" w:rsidRDefault="00000000">
            <w:pPr>
              <w:pStyle w:val="A-"/>
            </w:pPr>
            <w:r>
              <w:t>电石厂员工公寓</w:t>
            </w:r>
          </w:p>
        </w:tc>
        <w:tc>
          <w:tcPr>
            <w:tcW w:w="500" w:type="pct"/>
            <w:noWrap/>
            <w:vAlign w:val="center"/>
          </w:tcPr>
          <w:p w14:paraId="02F11574" w14:textId="77777777" w:rsidR="002E474C" w:rsidRDefault="00000000">
            <w:pPr>
              <w:pStyle w:val="A-"/>
            </w:pPr>
            <w:r>
              <w:t>-1901,92</w:t>
            </w:r>
          </w:p>
        </w:tc>
        <w:tc>
          <w:tcPr>
            <w:tcW w:w="448" w:type="pct"/>
            <w:noWrap/>
            <w:vAlign w:val="center"/>
          </w:tcPr>
          <w:p w14:paraId="75D0AFF2" w14:textId="77777777" w:rsidR="002E474C" w:rsidRDefault="00000000">
            <w:pPr>
              <w:pStyle w:val="A-"/>
            </w:pPr>
            <w:r>
              <w:t>日平均</w:t>
            </w:r>
          </w:p>
        </w:tc>
        <w:tc>
          <w:tcPr>
            <w:tcW w:w="780" w:type="pct"/>
            <w:noWrap/>
            <w:vAlign w:val="center"/>
          </w:tcPr>
          <w:p w14:paraId="61FAC895" w14:textId="77777777" w:rsidR="002E474C" w:rsidRDefault="00000000">
            <w:pPr>
              <w:pStyle w:val="A-"/>
            </w:pPr>
            <w:r>
              <w:t xml:space="preserve">0.0000 </w:t>
            </w:r>
          </w:p>
        </w:tc>
        <w:tc>
          <w:tcPr>
            <w:tcW w:w="448" w:type="pct"/>
            <w:noWrap/>
            <w:vAlign w:val="center"/>
          </w:tcPr>
          <w:p w14:paraId="6CEDDBA9" w14:textId="77777777" w:rsidR="002E474C" w:rsidRDefault="00000000">
            <w:pPr>
              <w:pStyle w:val="A-"/>
            </w:pPr>
            <w:r>
              <w:t>240427</w:t>
            </w:r>
          </w:p>
        </w:tc>
        <w:tc>
          <w:tcPr>
            <w:tcW w:w="780" w:type="pct"/>
            <w:noWrap/>
            <w:vAlign w:val="center"/>
          </w:tcPr>
          <w:p w14:paraId="7C10D2EF" w14:textId="77777777" w:rsidR="002E474C" w:rsidRDefault="00000000">
            <w:pPr>
              <w:pStyle w:val="A-"/>
            </w:pPr>
            <w:r>
              <w:t>10</w:t>
            </w:r>
          </w:p>
        </w:tc>
        <w:tc>
          <w:tcPr>
            <w:tcW w:w="611" w:type="pct"/>
            <w:noWrap/>
            <w:vAlign w:val="center"/>
          </w:tcPr>
          <w:p w14:paraId="2C79146F" w14:textId="77777777" w:rsidR="002E474C" w:rsidRDefault="00000000">
            <w:pPr>
              <w:pStyle w:val="A-"/>
            </w:pPr>
            <w:r>
              <w:t>0</w:t>
            </w:r>
          </w:p>
        </w:tc>
        <w:tc>
          <w:tcPr>
            <w:tcW w:w="448" w:type="pct"/>
            <w:noWrap/>
            <w:vAlign w:val="center"/>
          </w:tcPr>
          <w:p w14:paraId="3C11B8AC" w14:textId="77777777" w:rsidR="002E474C" w:rsidRDefault="00000000">
            <w:pPr>
              <w:pStyle w:val="A-"/>
            </w:pPr>
            <w:r>
              <w:t>达标</w:t>
            </w:r>
          </w:p>
        </w:tc>
      </w:tr>
      <w:tr w:rsidR="002E474C" w14:paraId="2B4A2AF0" w14:textId="77777777">
        <w:trPr>
          <w:trHeight w:val="285"/>
        </w:trPr>
        <w:tc>
          <w:tcPr>
            <w:tcW w:w="270" w:type="pct"/>
            <w:noWrap/>
            <w:vAlign w:val="center"/>
          </w:tcPr>
          <w:p w14:paraId="387812C9" w14:textId="77777777" w:rsidR="002E474C" w:rsidRDefault="00000000">
            <w:pPr>
              <w:pStyle w:val="A-"/>
            </w:pPr>
            <w:r>
              <w:t>3</w:t>
            </w:r>
          </w:p>
        </w:tc>
        <w:tc>
          <w:tcPr>
            <w:tcW w:w="715" w:type="pct"/>
            <w:noWrap/>
            <w:vAlign w:val="center"/>
          </w:tcPr>
          <w:p w14:paraId="71757824" w14:textId="77777777" w:rsidR="002E474C" w:rsidRDefault="00000000">
            <w:pPr>
              <w:pStyle w:val="A-"/>
            </w:pPr>
            <w:r>
              <w:t>网格</w:t>
            </w:r>
          </w:p>
        </w:tc>
        <w:tc>
          <w:tcPr>
            <w:tcW w:w="500" w:type="pct"/>
            <w:noWrap/>
            <w:vAlign w:val="center"/>
          </w:tcPr>
          <w:p w14:paraId="428EF616" w14:textId="77777777" w:rsidR="002E474C" w:rsidRDefault="00000000">
            <w:pPr>
              <w:pStyle w:val="A-"/>
            </w:pPr>
            <w:r>
              <w:t>-100,2200</w:t>
            </w:r>
          </w:p>
        </w:tc>
        <w:tc>
          <w:tcPr>
            <w:tcW w:w="448" w:type="pct"/>
            <w:noWrap/>
            <w:vAlign w:val="center"/>
          </w:tcPr>
          <w:p w14:paraId="01839153" w14:textId="77777777" w:rsidR="002E474C" w:rsidRDefault="00000000">
            <w:pPr>
              <w:pStyle w:val="A-"/>
            </w:pPr>
            <w:r>
              <w:t>日平均</w:t>
            </w:r>
          </w:p>
        </w:tc>
        <w:tc>
          <w:tcPr>
            <w:tcW w:w="780" w:type="pct"/>
            <w:noWrap/>
            <w:vAlign w:val="center"/>
          </w:tcPr>
          <w:p w14:paraId="2F6ABCC6" w14:textId="77777777" w:rsidR="002E474C" w:rsidRDefault="00000000">
            <w:pPr>
              <w:pStyle w:val="A-"/>
            </w:pPr>
            <w:r>
              <w:t xml:space="preserve">0.0005 </w:t>
            </w:r>
          </w:p>
        </w:tc>
        <w:tc>
          <w:tcPr>
            <w:tcW w:w="448" w:type="pct"/>
            <w:noWrap/>
            <w:vAlign w:val="center"/>
          </w:tcPr>
          <w:p w14:paraId="2CD8C46F" w14:textId="77777777" w:rsidR="002E474C" w:rsidRDefault="00000000">
            <w:pPr>
              <w:pStyle w:val="A-"/>
            </w:pPr>
            <w:r>
              <w:t>241207</w:t>
            </w:r>
          </w:p>
        </w:tc>
        <w:tc>
          <w:tcPr>
            <w:tcW w:w="780" w:type="pct"/>
            <w:noWrap/>
            <w:vAlign w:val="center"/>
          </w:tcPr>
          <w:p w14:paraId="12F4A6C3" w14:textId="77777777" w:rsidR="002E474C" w:rsidRDefault="00000000">
            <w:pPr>
              <w:pStyle w:val="A-"/>
            </w:pPr>
            <w:r>
              <w:t>10</w:t>
            </w:r>
          </w:p>
        </w:tc>
        <w:tc>
          <w:tcPr>
            <w:tcW w:w="611" w:type="pct"/>
            <w:noWrap/>
            <w:vAlign w:val="center"/>
          </w:tcPr>
          <w:p w14:paraId="4EAE4D29" w14:textId="77777777" w:rsidR="002E474C" w:rsidRDefault="00000000">
            <w:pPr>
              <w:pStyle w:val="A-"/>
            </w:pPr>
            <w:r>
              <w:t>0.01</w:t>
            </w:r>
          </w:p>
        </w:tc>
        <w:tc>
          <w:tcPr>
            <w:tcW w:w="448" w:type="pct"/>
            <w:noWrap/>
            <w:vAlign w:val="center"/>
          </w:tcPr>
          <w:p w14:paraId="0FD2F693" w14:textId="77777777" w:rsidR="002E474C" w:rsidRDefault="00000000">
            <w:pPr>
              <w:pStyle w:val="A-"/>
            </w:pPr>
            <w:r>
              <w:t>达标</w:t>
            </w:r>
          </w:p>
        </w:tc>
      </w:tr>
    </w:tbl>
    <w:p w14:paraId="575E023E" w14:textId="77777777" w:rsidR="002E474C" w:rsidRDefault="002E474C">
      <w:pPr>
        <w:pStyle w:val="A-0"/>
        <w:rPr>
          <w:color w:val="auto"/>
        </w:rPr>
      </w:pPr>
    </w:p>
    <w:p w14:paraId="4C88E22F" w14:textId="77777777" w:rsidR="002E474C" w:rsidRDefault="00000000">
      <w:pPr>
        <w:pStyle w:val="A--"/>
        <w:rPr>
          <w:color w:val="auto"/>
        </w:rPr>
      </w:pPr>
      <w:r>
        <w:rPr>
          <w:color w:val="auto"/>
        </w:rPr>
        <w:t>表</w:t>
      </w:r>
      <w:r>
        <w:rPr>
          <w:color w:val="auto"/>
        </w:rPr>
        <w:t>5.1</w:t>
      </w:r>
      <w:r>
        <w:rPr>
          <w:color w:val="auto"/>
        </w:rPr>
        <w:noBreakHyphen/>
        <w:t>26  Ni</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7F034DA7" w14:textId="77777777">
        <w:trPr>
          <w:trHeight w:val="285"/>
        </w:trPr>
        <w:tc>
          <w:tcPr>
            <w:tcW w:w="270" w:type="pct"/>
            <w:noWrap/>
            <w:vAlign w:val="center"/>
          </w:tcPr>
          <w:p w14:paraId="3A5A00DD" w14:textId="77777777" w:rsidR="002E474C" w:rsidRDefault="00000000">
            <w:pPr>
              <w:pStyle w:val="A-"/>
            </w:pPr>
            <w:r>
              <w:t>序号</w:t>
            </w:r>
          </w:p>
        </w:tc>
        <w:tc>
          <w:tcPr>
            <w:tcW w:w="712" w:type="pct"/>
            <w:noWrap/>
            <w:vAlign w:val="center"/>
          </w:tcPr>
          <w:p w14:paraId="29DFE552" w14:textId="77777777" w:rsidR="002E474C" w:rsidRDefault="00000000">
            <w:pPr>
              <w:pStyle w:val="A-"/>
            </w:pPr>
            <w:r>
              <w:t>点名称</w:t>
            </w:r>
          </w:p>
        </w:tc>
        <w:tc>
          <w:tcPr>
            <w:tcW w:w="520" w:type="pct"/>
            <w:noWrap/>
            <w:vAlign w:val="center"/>
          </w:tcPr>
          <w:p w14:paraId="0D6D35C3" w14:textId="77777777" w:rsidR="002E474C" w:rsidRDefault="00000000">
            <w:pPr>
              <w:pStyle w:val="A-"/>
            </w:pPr>
            <w:r>
              <w:t>点坐标</w:t>
            </w:r>
          </w:p>
        </w:tc>
        <w:tc>
          <w:tcPr>
            <w:tcW w:w="446" w:type="pct"/>
            <w:noWrap/>
            <w:vAlign w:val="center"/>
          </w:tcPr>
          <w:p w14:paraId="31B42B72" w14:textId="77777777" w:rsidR="002E474C" w:rsidRDefault="00000000">
            <w:pPr>
              <w:pStyle w:val="A-"/>
            </w:pPr>
            <w:r>
              <w:t>浓度类型</w:t>
            </w:r>
          </w:p>
        </w:tc>
        <w:tc>
          <w:tcPr>
            <w:tcW w:w="776" w:type="pct"/>
            <w:noWrap/>
            <w:vAlign w:val="center"/>
          </w:tcPr>
          <w:p w14:paraId="67F37154" w14:textId="77777777" w:rsidR="002E474C" w:rsidRDefault="00000000">
            <w:pPr>
              <w:pStyle w:val="A-"/>
            </w:pPr>
            <w:r>
              <w:t>浓度增量</w:t>
            </w:r>
            <w:r>
              <w:t>(</w:t>
            </w:r>
            <w:proofErr w:type="spellStart"/>
            <w:r>
              <w:t>μg</w:t>
            </w:r>
            <w:proofErr w:type="spellEnd"/>
            <w:r>
              <w:t>/m³)</w:t>
            </w:r>
          </w:p>
        </w:tc>
        <w:tc>
          <w:tcPr>
            <w:tcW w:w="446" w:type="pct"/>
            <w:noWrap/>
            <w:vAlign w:val="center"/>
          </w:tcPr>
          <w:p w14:paraId="014F9736" w14:textId="77777777" w:rsidR="002E474C" w:rsidRDefault="00000000">
            <w:pPr>
              <w:pStyle w:val="A-"/>
            </w:pPr>
            <w:r>
              <w:t>出现时间</w:t>
            </w:r>
          </w:p>
        </w:tc>
        <w:tc>
          <w:tcPr>
            <w:tcW w:w="776" w:type="pct"/>
            <w:noWrap/>
            <w:vAlign w:val="center"/>
          </w:tcPr>
          <w:p w14:paraId="6568911C" w14:textId="77777777" w:rsidR="002E474C" w:rsidRDefault="00000000">
            <w:pPr>
              <w:pStyle w:val="A-"/>
            </w:pPr>
            <w:r>
              <w:t>评价标准</w:t>
            </w:r>
            <w:r>
              <w:t>(</w:t>
            </w:r>
            <w:proofErr w:type="spellStart"/>
            <w:r>
              <w:t>μg</w:t>
            </w:r>
            <w:proofErr w:type="spellEnd"/>
            <w:r>
              <w:t>/m³)</w:t>
            </w:r>
          </w:p>
        </w:tc>
        <w:tc>
          <w:tcPr>
            <w:tcW w:w="609" w:type="pct"/>
            <w:noWrap/>
            <w:vAlign w:val="center"/>
          </w:tcPr>
          <w:p w14:paraId="7793DC9A" w14:textId="77777777" w:rsidR="002E474C" w:rsidRDefault="00000000">
            <w:pPr>
              <w:pStyle w:val="A-"/>
            </w:pPr>
            <w:r>
              <w:t>占标率（</w:t>
            </w:r>
            <w:r>
              <w:t>%</w:t>
            </w:r>
            <w:r>
              <w:t>）</w:t>
            </w:r>
          </w:p>
        </w:tc>
        <w:tc>
          <w:tcPr>
            <w:tcW w:w="445" w:type="pct"/>
            <w:noWrap/>
            <w:vAlign w:val="center"/>
          </w:tcPr>
          <w:p w14:paraId="7E82E7CB" w14:textId="77777777" w:rsidR="002E474C" w:rsidRDefault="00000000">
            <w:pPr>
              <w:pStyle w:val="A-"/>
            </w:pPr>
            <w:r>
              <w:t>是否超标</w:t>
            </w:r>
          </w:p>
        </w:tc>
      </w:tr>
      <w:tr w:rsidR="002E474C" w14:paraId="352C3304" w14:textId="77777777">
        <w:trPr>
          <w:trHeight w:val="285"/>
        </w:trPr>
        <w:tc>
          <w:tcPr>
            <w:tcW w:w="270" w:type="pct"/>
            <w:noWrap/>
            <w:vAlign w:val="center"/>
          </w:tcPr>
          <w:p w14:paraId="3CC70A10" w14:textId="77777777" w:rsidR="002E474C" w:rsidRDefault="00000000">
            <w:pPr>
              <w:pStyle w:val="A-"/>
            </w:pPr>
            <w:r>
              <w:t>1</w:t>
            </w:r>
          </w:p>
        </w:tc>
        <w:tc>
          <w:tcPr>
            <w:tcW w:w="712" w:type="pct"/>
            <w:noWrap/>
            <w:vAlign w:val="center"/>
          </w:tcPr>
          <w:p w14:paraId="3AD9CE2C" w14:textId="77777777" w:rsidR="002E474C" w:rsidRDefault="00000000">
            <w:pPr>
              <w:pStyle w:val="A-"/>
            </w:pPr>
            <w:r>
              <w:t>阿乐惠镇</w:t>
            </w:r>
          </w:p>
        </w:tc>
        <w:tc>
          <w:tcPr>
            <w:tcW w:w="520" w:type="pct"/>
            <w:noWrap/>
            <w:vAlign w:val="center"/>
          </w:tcPr>
          <w:p w14:paraId="50C736F7" w14:textId="77777777" w:rsidR="002E474C" w:rsidRDefault="00000000">
            <w:pPr>
              <w:pStyle w:val="A-"/>
            </w:pPr>
            <w:r>
              <w:t>-4151,1104</w:t>
            </w:r>
          </w:p>
        </w:tc>
        <w:tc>
          <w:tcPr>
            <w:tcW w:w="446" w:type="pct"/>
            <w:noWrap/>
            <w:vAlign w:val="center"/>
          </w:tcPr>
          <w:p w14:paraId="0594786D" w14:textId="77777777" w:rsidR="002E474C" w:rsidRDefault="00000000">
            <w:pPr>
              <w:pStyle w:val="A-"/>
            </w:pPr>
            <w:r>
              <w:t>1</w:t>
            </w:r>
            <w:r>
              <w:t>小时</w:t>
            </w:r>
          </w:p>
        </w:tc>
        <w:tc>
          <w:tcPr>
            <w:tcW w:w="776" w:type="pct"/>
            <w:noWrap/>
          </w:tcPr>
          <w:p w14:paraId="2BDCA725" w14:textId="77777777" w:rsidR="002E474C" w:rsidRDefault="00000000">
            <w:pPr>
              <w:pStyle w:val="A-"/>
            </w:pPr>
            <w:r>
              <w:t>0.0000</w:t>
            </w:r>
          </w:p>
        </w:tc>
        <w:tc>
          <w:tcPr>
            <w:tcW w:w="446" w:type="pct"/>
            <w:noWrap/>
            <w:vAlign w:val="center"/>
          </w:tcPr>
          <w:p w14:paraId="4B04FD19" w14:textId="77777777" w:rsidR="002E474C" w:rsidRDefault="002E474C">
            <w:pPr>
              <w:pStyle w:val="A-"/>
            </w:pPr>
          </w:p>
        </w:tc>
        <w:tc>
          <w:tcPr>
            <w:tcW w:w="776" w:type="pct"/>
            <w:noWrap/>
            <w:vAlign w:val="center"/>
          </w:tcPr>
          <w:p w14:paraId="196E8CF0" w14:textId="77777777" w:rsidR="002E474C" w:rsidRDefault="00000000">
            <w:pPr>
              <w:pStyle w:val="A-"/>
            </w:pPr>
            <w:r>
              <w:t>90</w:t>
            </w:r>
          </w:p>
        </w:tc>
        <w:tc>
          <w:tcPr>
            <w:tcW w:w="609" w:type="pct"/>
            <w:noWrap/>
            <w:vAlign w:val="center"/>
          </w:tcPr>
          <w:p w14:paraId="41219965" w14:textId="77777777" w:rsidR="002E474C" w:rsidRDefault="00000000">
            <w:pPr>
              <w:pStyle w:val="A-"/>
            </w:pPr>
            <w:r>
              <w:t>0</w:t>
            </w:r>
          </w:p>
        </w:tc>
        <w:tc>
          <w:tcPr>
            <w:tcW w:w="445" w:type="pct"/>
            <w:noWrap/>
            <w:vAlign w:val="center"/>
          </w:tcPr>
          <w:p w14:paraId="41069919" w14:textId="77777777" w:rsidR="002E474C" w:rsidRDefault="00000000">
            <w:pPr>
              <w:pStyle w:val="A-"/>
            </w:pPr>
            <w:r>
              <w:t>达标</w:t>
            </w:r>
          </w:p>
        </w:tc>
      </w:tr>
      <w:tr w:rsidR="002E474C" w14:paraId="482C760D" w14:textId="77777777">
        <w:trPr>
          <w:trHeight w:val="285"/>
        </w:trPr>
        <w:tc>
          <w:tcPr>
            <w:tcW w:w="270" w:type="pct"/>
            <w:noWrap/>
            <w:vAlign w:val="center"/>
          </w:tcPr>
          <w:p w14:paraId="7BADFF9C" w14:textId="77777777" w:rsidR="002E474C" w:rsidRDefault="00000000">
            <w:pPr>
              <w:pStyle w:val="A-"/>
            </w:pPr>
            <w:r>
              <w:t>2</w:t>
            </w:r>
          </w:p>
        </w:tc>
        <w:tc>
          <w:tcPr>
            <w:tcW w:w="712" w:type="pct"/>
            <w:noWrap/>
            <w:vAlign w:val="center"/>
          </w:tcPr>
          <w:p w14:paraId="5D33F7BC" w14:textId="77777777" w:rsidR="002E474C" w:rsidRDefault="00000000">
            <w:pPr>
              <w:pStyle w:val="A-"/>
            </w:pPr>
            <w:r>
              <w:t>电石厂员工公寓</w:t>
            </w:r>
          </w:p>
        </w:tc>
        <w:tc>
          <w:tcPr>
            <w:tcW w:w="520" w:type="pct"/>
            <w:noWrap/>
            <w:vAlign w:val="center"/>
          </w:tcPr>
          <w:p w14:paraId="2DB3CF13" w14:textId="77777777" w:rsidR="002E474C" w:rsidRDefault="00000000">
            <w:pPr>
              <w:pStyle w:val="A-"/>
            </w:pPr>
            <w:r>
              <w:t>-1901,92</w:t>
            </w:r>
          </w:p>
        </w:tc>
        <w:tc>
          <w:tcPr>
            <w:tcW w:w="446" w:type="pct"/>
            <w:noWrap/>
            <w:vAlign w:val="center"/>
          </w:tcPr>
          <w:p w14:paraId="661BD554" w14:textId="77777777" w:rsidR="002E474C" w:rsidRDefault="00000000">
            <w:pPr>
              <w:pStyle w:val="A-"/>
            </w:pPr>
            <w:r>
              <w:t>1</w:t>
            </w:r>
            <w:r>
              <w:t>小时</w:t>
            </w:r>
          </w:p>
        </w:tc>
        <w:tc>
          <w:tcPr>
            <w:tcW w:w="776" w:type="pct"/>
            <w:noWrap/>
          </w:tcPr>
          <w:p w14:paraId="54D3F804" w14:textId="77777777" w:rsidR="002E474C" w:rsidRDefault="00000000">
            <w:pPr>
              <w:pStyle w:val="A-"/>
            </w:pPr>
            <w:r>
              <w:t>0.0000</w:t>
            </w:r>
          </w:p>
        </w:tc>
        <w:tc>
          <w:tcPr>
            <w:tcW w:w="446" w:type="pct"/>
            <w:noWrap/>
            <w:vAlign w:val="center"/>
          </w:tcPr>
          <w:p w14:paraId="62DE9EFF" w14:textId="77777777" w:rsidR="002E474C" w:rsidRDefault="002E474C">
            <w:pPr>
              <w:pStyle w:val="A-"/>
            </w:pPr>
          </w:p>
        </w:tc>
        <w:tc>
          <w:tcPr>
            <w:tcW w:w="776" w:type="pct"/>
            <w:noWrap/>
          </w:tcPr>
          <w:p w14:paraId="11868BE9" w14:textId="77777777" w:rsidR="002E474C" w:rsidRDefault="00000000">
            <w:pPr>
              <w:pStyle w:val="A-"/>
            </w:pPr>
            <w:r>
              <w:t>90</w:t>
            </w:r>
          </w:p>
        </w:tc>
        <w:tc>
          <w:tcPr>
            <w:tcW w:w="609" w:type="pct"/>
            <w:noWrap/>
            <w:vAlign w:val="center"/>
          </w:tcPr>
          <w:p w14:paraId="71B21301" w14:textId="77777777" w:rsidR="002E474C" w:rsidRDefault="00000000">
            <w:pPr>
              <w:pStyle w:val="A-"/>
            </w:pPr>
            <w:r>
              <w:t>0</w:t>
            </w:r>
          </w:p>
        </w:tc>
        <w:tc>
          <w:tcPr>
            <w:tcW w:w="445" w:type="pct"/>
            <w:noWrap/>
            <w:vAlign w:val="center"/>
          </w:tcPr>
          <w:p w14:paraId="578FF164" w14:textId="77777777" w:rsidR="002E474C" w:rsidRDefault="00000000">
            <w:pPr>
              <w:pStyle w:val="A-"/>
            </w:pPr>
            <w:r>
              <w:t>达标</w:t>
            </w:r>
          </w:p>
        </w:tc>
      </w:tr>
      <w:tr w:rsidR="002E474C" w14:paraId="1FBDEA51" w14:textId="77777777">
        <w:trPr>
          <w:trHeight w:val="285"/>
        </w:trPr>
        <w:tc>
          <w:tcPr>
            <w:tcW w:w="270" w:type="pct"/>
            <w:noWrap/>
            <w:vAlign w:val="center"/>
          </w:tcPr>
          <w:p w14:paraId="6CB999B3" w14:textId="77777777" w:rsidR="002E474C" w:rsidRDefault="00000000">
            <w:pPr>
              <w:pStyle w:val="A-"/>
            </w:pPr>
            <w:r>
              <w:t>3</w:t>
            </w:r>
          </w:p>
        </w:tc>
        <w:tc>
          <w:tcPr>
            <w:tcW w:w="712" w:type="pct"/>
            <w:noWrap/>
            <w:vAlign w:val="center"/>
          </w:tcPr>
          <w:p w14:paraId="274A6516" w14:textId="77777777" w:rsidR="002E474C" w:rsidRDefault="00000000">
            <w:pPr>
              <w:pStyle w:val="A-"/>
            </w:pPr>
            <w:r>
              <w:t>网格</w:t>
            </w:r>
          </w:p>
        </w:tc>
        <w:tc>
          <w:tcPr>
            <w:tcW w:w="520" w:type="pct"/>
            <w:noWrap/>
            <w:vAlign w:val="center"/>
          </w:tcPr>
          <w:p w14:paraId="6C14B69C" w14:textId="77777777" w:rsidR="002E474C" w:rsidRDefault="00000000">
            <w:pPr>
              <w:pStyle w:val="A-"/>
            </w:pPr>
            <w:r>
              <w:t>0,2300</w:t>
            </w:r>
          </w:p>
        </w:tc>
        <w:tc>
          <w:tcPr>
            <w:tcW w:w="446" w:type="pct"/>
            <w:noWrap/>
            <w:vAlign w:val="center"/>
          </w:tcPr>
          <w:p w14:paraId="71AE72A8" w14:textId="77777777" w:rsidR="002E474C" w:rsidRDefault="00000000">
            <w:pPr>
              <w:pStyle w:val="A-"/>
            </w:pPr>
            <w:r>
              <w:t>1</w:t>
            </w:r>
            <w:r>
              <w:t>小时</w:t>
            </w:r>
          </w:p>
        </w:tc>
        <w:tc>
          <w:tcPr>
            <w:tcW w:w="776" w:type="pct"/>
            <w:noWrap/>
          </w:tcPr>
          <w:p w14:paraId="4C719E20" w14:textId="77777777" w:rsidR="002E474C" w:rsidRDefault="00000000">
            <w:pPr>
              <w:pStyle w:val="A-"/>
            </w:pPr>
            <w:r>
              <w:t>0.0000</w:t>
            </w:r>
          </w:p>
        </w:tc>
        <w:tc>
          <w:tcPr>
            <w:tcW w:w="446" w:type="pct"/>
            <w:noWrap/>
            <w:vAlign w:val="center"/>
          </w:tcPr>
          <w:p w14:paraId="3DCC1EA5" w14:textId="77777777" w:rsidR="002E474C" w:rsidRDefault="00000000">
            <w:pPr>
              <w:pStyle w:val="A-"/>
            </w:pPr>
            <w:r>
              <w:t>24120708</w:t>
            </w:r>
          </w:p>
        </w:tc>
        <w:tc>
          <w:tcPr>
            <w:tcW w:w="776" w:type="pct"/>
            <w:noWrap/>
          </w:tcPr>
          <w:p w14:paraId="5AC084CB" w14:textId="77777777" w:rsidR="002E474C" w:rsidRDefault="00000000">
            <w:pPr>
              <w:pStyle w:val="A-"/>
            </w:pPr>
            <w:r>
              <w:t>90</w:t>
            </w:r>
          </w:p>
        </w:tc>
        <w:tc>
          <w:tcPr>
            <w:tcW w:w="609" w:type="pct"/>
            <w:noWrap/>
            <w:vAlign w:val="center"/>
          </w:tcPr>
          <w:p w14:paraId="26B34C52" w14:textId="77777777" w:rsidR="002E474C" w:rsidRDefault="00000000">
            <w:pPr>
              <w:pStyle w:val="A-"/>
            </w:pPr>
            <w:r>
              <w:t>0</w:t>
            </w:r>
          </w:p>
        </w:tc>
        <w:tc>
          <w:tcPr>
            <w:tcW w:w="445" w:type="pct"/>
            <w:noWrap/>
            <w:vAlign w:val="center"/>
          </w:tcPr>
          <w:p w14:paraId="4783A0D5" w14:textId="77777777" w:rsidR="002E474C" w:rsidRDefault="00000000">
            <w:pPr>
              <w:pStyle w:val="A-"/>
            </w:pPr>
            <w:r>
              <w:t>达标</w:t>
            </w:r>
          </w:p>
        </w:tc>
      </w:tr>
    </w:tbl>
    <w:p w14:paraId="53D2DE38" w14:textId="77777777" w:rsidR="002E474C" w:rsidRDefault="002E474C">
      <w:pPr>
        <w:pStyle w:val="A-0"/>
        <w:rPr>
          <w:color w:val="auto"/>
        </w:rPr>
      </w:pPr>
    </w:p>
    <w:p w14:paraId="5BA3FE68" w14:textId="77777777" w:rsidR="002E474C" w:rsidRDefault="00000000">
      <w:pPr>
        <w:pStyle w:val="A--"/>
        <w:rPr>
          <w:color w:val="auto"/>
        </w:rPr>
      </w:pPr>
      <w:r>
        <w:rPr>
          <w:color w:val="auto"/>
        </w:rPr>
        <w:t>表</w:t>
      </w:r>
      <w:r>
        <w:rPr>
          <w:color w:val="auto"/>
        </w:rPr>
        <w:t>5.1</w:t>
      </w:r>
      <w:r>
        <w:rPr>
          <w:color w:val="auto"/>
        </w:rPr>
        <w:noBreakHyphen/>
        <w:t>27  H</w:t>
      </w:r>
      <w:r>
        <w:rPr>
          <w:color w:val="auto"/>
          <w:vertAlign w:val="subscript"/>
        </w:rPr>
        <w:t>2</w:t>
      </w:r>
      <w:r>
        <w:rPr>
          <w:color w:val="auto"/>
        </w:rPr>
        <w:t>S</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0097498B" w14:textId="77777777">
        <w:trPr>
          <w:trHeight w:val="285"/>
        </w:trPr>
        <w:tc>
          <w:tcPr>
            <w:tcW w:w="270" w:type="pct"/>
            <w:noWrap/>
            <w:vAlign w:val="center"/>
          </w:tcPr>
          <w:p w14:paraId="3D63C37C" w14:textId="77777777" w:rsidR="002E474C" w:rsidRDefault="00000000">
            <w:pPr>
              <w:pStyle w:val="A-"/>
            </w:pPr>
            <w:r>
              <w:t>序号</w:t>
            </w:r>
          </w:p>
        </w:tc>
        <w:tc>
          <w:tcPr>
            <w:tcW w:w="712" w:type="pct"/>
            <w:noWrap/>
            <w:vAlign w:val="center"/>
          </w:tcPr>
          <w:p w14:paraId="374F2E82" w14:textId="77777777" w:rsidR="002E474C" w:rsidRDefault="00000000">
            <w:pPr>
              <w:pStyle w:val="A-"/>
            </w:pPr>
            <w:r>
              <w:t>点名称</w:t>
            </w:r>
          </w:p>
        </w:tc>
        <w:tc>
          <w:tcPr>
            <w:tcW w:w="520" w:type="pct"/>
            <w:noWrap/>
            <w:vAlign w:val="center"/>
          </w:tcPr>
          <w:p w14:paraId="73B80F7C" w14:textId="77777777" w:rsidR="002E474C" w:rsidRDefault="00000000">
            <w:pPr>
              <w:pStyle w:val="A-"/>
            </w:pPr>
            <w:r>
              <w:t>点坐标</w:t>
            </w:r>
          </w:p>
        </w:tc>
        <w:tc>
          <w:tcPr>
            <w:tcW w:w="446" w:type="pct"/>
            <w:noWrap/>
            <w:vAlign w:val="center"/>
          </w:tcPr>
          <w:p w14:paraId="7736F537" w14:textId="77777777" w:rsidR="002E474C" w:rsidRDefault="00000000">
            <w:pPr>
              <w:pStyle w:val="A-"/>
            </w:pPr>
            <w:r>
              <w:t>浓度类型</w:t>
            </w:r>
          </w:p>
        </w:tc>
        <w:tc>
          <w:tcPr>
            <w:tcW w:w="776" w:type="pct"/>
            <w:noWrap/>
            <w:vAlign w:val="center"/>
          </w:tcPr>
          <w:p w14:paraId="126A31D9" w14:textId="77777777" w:rsidR="002E474C" w:rsidRDefault="00000000">
            <w:pPr>
              <w:pStyle w:val="A-"/>
            </w:pPr>
            <w:r>
              <w:t>浓度增量</w:t>
            </w:r>
            <w:r>
              <w:t>(</w:t>
            </w:r>
            <w:proofErr w:type="spellStart"/>
            <w:r>
              <w:t>μg</w:t>
            </w:r>
            <w:proofErr w:type="spellEnd"/>
            <w:r>
              <w:t>/m³)</w:t>
            </w:r>
          </w:p>
        </w:tc>
        <w:tc>
          <w:tcPr>
            <w:tcW w:w="446" w:type="pct"/>
            <w:noWrap/>
            <w:vAlign w:val="center"/>
          </w:tcPr>
          <w:p w14:paraId="0F0716D8" w14:textId="77777777" w:rsidR="002E474C" w:rsidRDefault="00000000">
            <w:pPr>
              <w:pStyle w:val="A-"/>
            </w:pPr>
            <w:r>
              <w:t>出现时间</w:t>
            </w:r>
          </w:p>
        </w:tc>
        <w:tc>
          <w:tcPr>
            <w:tcW w:w="776" w:type="pct"/>
            <w:noWrap/>
            <w:vAlign w:val="center"/>
          </w:tcPr>
          <w:p w14:paraId="1E041B1C" w14:textId="77777777" w:rsidR="002E474C" w:rsidRDefault="00000000">
            <w:pPr>
              <w:pStyle w:val="A-"/>
            </w:pPr>
            <w:r>
              <w:t>评价标准</w:t>
            </w:r>
            <w:r>
              <w:t>(</w:t>
            </w:r>
            <w:proofErr w:type="spellStart"/>
            <w:r>
              <w:t>μg</w:t>
            </w:r>
            <w:proofErr w:type="spellEnd"/>
            <w:r>
              <w:t>/m³)</w:t>
            </w:r>
          </w:p>
        </w:tc>
        <w:tc>
          <w:tcPr>
            <w:tcW w:w="609" w:type="pct"/>
            <w:noWrap/>
            <w:vAlign w:val="center"/>
          </w:tcPr>
          <w:p w14:paraId="1E90D552" w14:textId="77777777" w:rsidR="002E474C" w:rsidRDefault="00000000">
            <w:pPr>
              <w:pStyle w:val="A-"/>
            </w:pPr>
            <w:r>
              <w:t>占标率（</w:t>
            </w:r>
            <w:r>
              <w:t>%</w:t>
            </w:r>
            <w:r>
              <w:t>）</w:t>
            </w:r>
          </w:p>
        </w:tc>
        <w:tc>
          <w:tcPr>
            <w:tcW w:w="445" w:type="pct"/>
            <w:noWrap/>
            <w:vAlign w:val="center"/>
          </w:tcPr>
          <w:p w14:paraId="35545D97" w14:textId="77777777" w:rsidR="002E474C" w:rsidRDefault="00000000">
            <w:pPr>
              <w:pStyle w:val="A-"/>
            </w:pPr>
            <w:r>
              <w:t>是否超标</w:t>
            </w:r>
          </w:p>
        </w:tc>
      </w:tr>
      <w:tr w:rsidR="002E474C" w14:paraId="744453ED" w14:textId="77777777">
        <w:trPr>
          <w:trHeight w:val="285"/>
        </w:trPr>
        <w:tc>
          <w:tcPr>
            <w:tcW w:w="270" w:type="pct"/>
            <w:noWrap/>
            <w:vAlign w:val="center"/>
          </w:tcPr>
          <w:p w14:paraId="46ED0B40" w14:textId="77777777" w:rsidR="002E474C" w:rsidRDefault="00000000">
            <w:pPr>
              <w:pStyle w:val="A-"/>
            </w:pPr>
            <w:r>
              <w:t>1</w:t>
            </w:r>
          </w:p>
        </w:tc>
        <w:tc>
          <w:tcPr>
            <w:tcW w:w="712" w:type="pct"/>
            <w:noWrap/>
            <w:vAlign w:val="center"/>
          </w:tcPr>
          <w:p w14:paraId="0ED5611C" w14:textId="77777777" w:rsidR="002E474C" w:rsidRDefault="00000000">
            <w:pPr>
              <w:pStyle w:val="A-"/>
            </w:pPr>
            <w:r>
              <w:t>阿乐惠镇</w:t>
            </w:r>
          </w:p>
        </w:tc>
        <w:tc>
          <w:tcPr>
            <w:tcW w:w="520" w:type="pct"/>
            <w:noWrap/>
            <w:vAlign w:val="center"/>
          </w:tcPr>
          <w:p w14:paraId="2AFB195C" w14:textId="77777777" w:rsidR="002E474C" w:rsidRDefault="00000000">
            <w:pPr>
              <w:pStyle w:val="A-"/>
            </w:pPr>
            <w:r>
              <w:t>-4151,1104</w:t>
            </w:r>
          </w:p>
        </w:tc>
        <w:tc>
          <w:tcPr>
            <w:tcW w:w="446" w:type="pct"/>
            <w:noWrap/>
            <w:vAlign w:val="center"/>
          </w:tcPr>
          <w:p w14:paraId="7E089C02" w14:textId="77777777" w:rsidR="002E474C" w:rsidRDefault="00000000">
            <w:pPr>
              <w:pStyle w:val="A-"/>
            </w:pPr>
            <w:r>
              <w:t>1</w:t>
            </w:r>
            <w:r>
              <w:t>小时</w:t>
            </w:r>
          </w:p>
        </w:tc>
        <w:tc>
          <w:tcPr>
            <w:tcW w:w="776" w:type="pct"/>
            <w:noWrap/>
            <w:vAlign w:val="center"/>
          </w:tcPr>
          <w:p w14:paraId="2B5604C5" w14:textId="77777777" w:rsidR="002E474C" w:rsidRDefault="00000000">
            <w:pPr>
              <w:pStyle w:val="A-"/>
            </w:pPr>
            <w:r>
              <w:t>0.0056</w:t>
            </w:r>
          </w:p>
        </w:tc>
        <w:tc>
          <w:tcPr>
            <w:tcW w:w="446" w:type="pct"/>
            <w:noWrap/>
            <w:vAlign w:val="center"/>
          </w:tcPr>
          <w:p w14:paraId="1E01BFC7" w14:textId="77777777" w:rsidR="002E474C" w:rsidRDefault="00000000">
            <w:pPr>
              <w:pStyle w:val="A-"/>
            </w:pPr>
            <w:r>
              <w:t>24011810</w:t>
            </w:r>
          </w:p>
        </w:tc>
        <w:tc>
          <w:tcPr>
            <w:tcW w:w="776" w:type="pct"/>
            <w:noWrap/>
            <w:vAlign w:val="center"/>
          </w:tcPr>
          <w:p w14:paraId="4426F056" w14:textId="77777777" w:rsidR="002E474C" w:rsidRDefault="00000000">
            <w:pPr>
              <w:pStyle w:val="A-"/>
            </w:pPr>
            <w:r>
              <w:t>10</w:t>
            </w:r>
          </w:p>
        </w:tc>
        <w:tc>
          <w:tcPr>
            <w:tcW w:w="609" w:type="pct"/>
            <w:noWrap/>
            <w:vAlign w:val="center"/>
          </w:tcPr>
          <w:p w14:paraId="24DEF22E" w14:textId="77777777" w:rsidR="002E474C" w:rsidRDefault="00000000">
            <w:pPr>
              <w:pStyle w:val="A-"/>
            </w:pPr>
            <w:r>
              <w:t>0.06</w:t>
            </w:r>
          </w:p>
        </w:tc>
        <w:tc>
          <w:tcPr>
            <w:tcW w:w="445" w:type="pct"/>
            <w:noWrap/>
            <w:vAlign w:val="center"/>
          </w:tcPr>
          <w:p w14:paraId="17FD8782" w14:textId="77777777" w:rsidR="002E474C" w:rsidRDefault="00000000">
            <w:pPr>
              <w:pStyle w:val="A-"/>
            </w:pPr>
            <w:r>
              <w:t>达标</w:t>
            </w:r>
          </w:p>
        </w:tc>
      </w:tr>
      <w:tr w:rsidR="002E474C" w14:paraId="2B755663" w14:textId="77777777">
        <w:trPr>
          <w:trHeight w:val="285"/>
        </w:trPr>
        <w:tc>
          <w:tcPr>
            <w:tcW w:w="270" w:type="pct"/>
            <w:noWrap/>
            <w:vAlign w:val="center"/>
          </w:tcPr>
          <w:p w14:paraId="7C5492CC" w14:textId="77777777" w:rsidR="002E474C" w:rsidRDefault="00000000">
            <w:pPr>
              <w:pStyle w:val="A-"/>
            </w:pPr>
            <w:r>
              <w:t>2</w:t>
            </w:r>
          </w:p>
        </w:tc>
        <w:tc>
          <w:tcPr>
            <w:tcW w:w="712" w:type="pct"/>
            <w:noWrap/>
            <w:vAlign w:val="center"/>
          </w:tcPr>
          <w:p w14:paraId="539084EF" w14:textId="77777777" w:rsidR="002E474C" w:rsidRDefault="00000000">
            <w:pPr>
              <w:pStyle w:val="A-"/>
            </w:pPr>
            <w:r>
              <w:t>电石厂员工公寓</w:t>
            </w:r>
          </w:p>
        </w:tc>
        <w:tc>
          <w:tcPr>
            <w:tcW w:w="520" w:type="pct"/>
            <w:noWrap/>
            <w:vAlign w:val="center"/>
          </w:tcPr>
          <w:p w14:paraId="6A48A328" w14:textId="77777777" w:rsidR="002E474C" w:rsidRDefault="00000000">
            <w:pPr>
              <w:pStyle w:val="A-"/>
            </w:pPr>
            <w:r>
              <w:t>-1901,92</w:t>
            </w:r>
          </w:p>
        </w:tc>
        <w:tc>
          <w:tcPr>
            <w:tcW w:w="446" w:type="pct"/>
            <w:noWrap/>
            <w:vAlign w:val="center"/>
          </w:tcPr>
          <w:p w14:paraId="7FA829AB" w14:textId="77777777" w:rsidR="002E474C" w:rsidRDefault="00000000">
            <w:pPr>
              <w:pStyle w:val="A-"/>
            </w:pPr>
            <w:r>
              <w:t>1</w:t>
            </w:r>
            <w:r>
              <w:t>小时</w:t>
            </w:r>
          </w:p>
        </w:tc>
        <w:tc>
          <w:tcPr>
            <w:tcW w:w="776" w:type="pct"/>
            <w:noWrap/>
            <w:vAlign w:val="center"/>
          </w:tcPr>
          <w:p w14:paraId="715373CA" w14:textId="77777777" w:rsidR="002E474C" w:rsidRDefault="00000000">
            <w:pPr>
              <w:pStyle w:val="A-"/>
            </w:pPr>
            <w:r>
              <w:t>0.2650</w:t>
            </w:r>
          </w:p>
        </w:tc>
        <w:tc>
          <w:tcPr>
            <w:tcW w:w="446" w:type="pct"/>
            <w:noWrap/>
            <w:vAlign w:val="center"/>
          </w:tcPr>
          <w:p w14:paraId="298DF12A" w14:textId="77777777" w:rsidR="002E474C" w:rsidRDefault="00000000">
            <w:pPr>
              <w:pStyle w:val="A-"/>
            </w:pPr>
            <w:r>
              <w:t>24011810</w:t>
            </w:r>
          </w:p>
        </w:tc>
        <w:tc>
          <w:tcPr>
            <w:tcW w:w="776" w:type="pct"/>
            <w:noWrap/>
            <w:vAlign w:val="center"/>
          </w:tcPr>
          <w:p w14:paraId="45699792" w14:textId="77777777" w:rsidR="002E474C" w:rsidRDefault="00000000">
            <w:pPr>
              <w:pStyle w:val="A-"/>
            </w:pPr>
            <w:r>
              <w:t>10</w:t>
            </w:r>
          </w:p>
        </w:tc>
        <w:tc>
          <w:tcPr>
            <w:tcW w:w="609" w:type="pct"/>
            <w:noWrap/>
            <w:vAlign w:val="center"/>
          </w:tcPr>
          <w:p w14:paraId="7EE8A888" w14:textId="77777777" w:rsidR="002E474C" w:rsidRDefault="00000000">
            <w:pPr>
              <w:pStyle w:val="A-"/>
            </w:pPr>
            <w:r>
              <w:t>2.65</w:t>
            </w:r>
          </w:p>
        </w:tc>
        <w:tc>
          <w:tcPr>
            <w:tcW w:w="445" w:type="pct"/>
            <w:noWrap/>
            <w:vAlign w:val="center"/>
          </w:tcPr>
          <w:p w14:paraId="3E966A35" w14:textId="77777777" w:rsidR="002E474C" w:rsidRDefault="00000000">
            <w:pPr>
              <w:pStyle w:val="A-"/>
            </w:pPr>
            <w:r>
              <w:t>达标</w:t>
            </w:r>
          </w:p>
        </w:tc>
      </w:tr>
      <w:tr w:rsidR="002E474C" w14:paraId="004E7D2F" w14:textId="77777777">
        <w:trPr>
          <w:trHeight w:val="285"/>
        </w:trPr>
        <w:tc>
          <w:tcPr>
            <w:tcW w:w="270" w:type="pct"/>
            <w:noWrap/>
            <w:vAlign w:val="center"/>
          </w:tcPr>
          <w:p w14:paraId="4F7FD35B" w14:textId="77777777" w:rsidR="002E474C" w:rsidRDefault="00000000">
            <w:pPr>
              <w:pStyle w:val="A-"/>
            </w:pPr>
            <w:r>
              <w:t>3</w:t>
            </w:r>
          </w:p>
        </w:tc>
        <w:tc>
          <w:tcPr>
            <w:tcW w:w="712" w:type="pct"/>
            <w:noWrap/>
            <w:vAlign w:val="center"/>
          </w:tcPr>
          <w:p w14:paraId="75DC1728" w14:textId="77777777" w:rsidR="002E474C" w:rsidRDefault="00000000">
            <w:pPr>
              <w:pStyle w:val="A-"/>
            </w:pPr>
            <w:r>
              <w:t>网格</w:t>
            </w:r>
          </w:p>
        </w:tc>
        <w:tc>
          <w:tcPr>
            <w:tcW w:w="520" w:type="pct"/>
            <w:noWrap/>
            <w:vAlign w:val="center"/>
          </w:tcPr>
          <w:p w14:paraId="17715637" w14:textId="77777777" w:rsidR="002E474C" w:rsidRDefault="00000000">
            <w:pPr>
              <w:pStyle w:val="A-"/>
            </w:pPr>
            <w:r>
              <w:t>4400,-1400</w:t>
            </w:r>
          </w:p>
        </w:tc>
        <w:tc>
          <w:tcPr>
            <w:tcW w:w="446" w:type="pct"/>
            <w:noWrap/>
            <w:vAlign w:val="center"/>
          </w:tcPr>
          <w:p w14:paraId="7205390B" w14:textId="77777777" w:rsidR="002E474C" w:rsidRDefault="00000000">
            <w:pPr>
              <w:pStyle w:val="A-"/>
            </w:pPr>
            <w:r>
              <w:t>1</w:t>
            </w:r>
            <w:r>
              <w:t>小时</w:t>
            </w:r>
          </w:p>
        </w:tc>
        <w:tc>
          <w:tcPr>
            <w:tcW w:w="776" w:type="pct"/>
            <w:noWrap/>
            <w:vAlign w:val="center"/>
          </w:tcPr>
          <w:p w14:paraId="4D6A5C9F" w14:textId="77777777" w:rsidR="002E474C" w:rsidRDefault="00000000">
            <w:pPr>
              <w:pStyle w:val="A-"/>
            </w:pPr>
            <w:r>
              <w:t>0.9280</w:t>
            </w:r>
          </w:p>
        </w:tc>
        <w:tc>
          <w:tcPr>
            <w:tcW w:w="446" w:type="pct"/>
            <w:noWrap/>
            <w:vAlign w:val="center"/>
          </w:tcPr>
          <w:p w14:paraId="047022E5" w14:textId="77777777" w:rsidR="002E474C" w:rsidRDefault="00000000">
            <w:pPr>
              <w:pStyle w:val="A-"/>
            </w:pPr>
            <w:r>
              <w:t>24122710</w:t>
            </w:r>
          </w:p>
        </w:tc>
        <w:tc>
          <w:tcPr>
            <w:tcW w:w="776" w:type="pct"/>
            <w:noWrap/>
            <w:vAlign w:val="center"/>
          </w:tcPr>
          <w:p w14:paraId="5CF76A94" w14:textId="77777777" w:rsidR="002E474C" w:rsidRDefault="00000000">
            <w:pPr>
              <w:pStyle w:val="A-"/>
            </w:pPr>
            <w:r>
              <w:t>10</w:t>
            </w:r>
          </w:p>
        </w:tc>
        <w:tc>
          <w:tcPr>
            <w:tcW w:w="609" w:type="pct"/>
            <w:noWrap/>
            <w:vAlign w:val="center"/>
          </w:tcPr>
          <w:p w14:paraId="1AC0A33C" w14:textId="77777777" w:rsidR="002E474C" w:rsidRDefault="00000000">
            <w:pPr>
              <w:pStyle w:val="A-"/>
            </w:pPr>
            <w:r>
              <w:t>9.28</w:t>
            </w:r>
          </w:p>
        </w:tc>
        <w:tc>
          <w:tcPr>
            <w:tcW w:w="445" w:type="pct"/>
            <w:noWrap/>
            <w:vAlign w:val="center"/>
          </w:tcPr>
          <w:p w14:paraId="6B42E4C0" w14:textId="77777777" w:rsidR="002E474C" w:rsidRDefault="00000000">
            <w:pPr>
              <w:pStyle w:val="A-"/>
            </w:pPr>
            <w:r>
              <w:t>达标</w:t>
            </w:r>
          </w:p>
        </w:tc>
      </w:tr>
    </w:tbl>
    <w:p w14:paraId="5E25290C" w14:textId="77777777" w:rsidR="002E474C" w:rsidRDefault="002E474C">
      <w:pPr>
        <w:pStyle w:val="A-0"/>
        <w:rPr>
          <w:color w:val="auto"/>
        </w:rPr>
      </w:pPr>
    </w:p>
    <w:p w14:paraId="52A49B4F" w14:textId="77777777" w:rsidR="002E474C" w:rsidRDefault="00000000">
      <w:pPr>
        <w:pStyle w:val="A--"/>
        <w:rPr>
          <w:color w:val="auto"/>
        </w:rPr>
      </w:pPr>
      <w:r>
        <w:rPr>
          <w:color w:val="auto"/>
        </w:rPr>
        <w:t>表</w:t>
      </w:r>
      <w:r>
        <w:rPr>
          <w:color w:val="auto"/>
        </w:rPr>
        <w:t>5.1</w:t>
      </w:r>
      <w:r>
        <w:rPr>
          <w:color w:val="auto"/>
        </w:rPr>
        <w:noBreakHyphen/>
        <w:t>28  NH</w:t>
      </w:r>
      <w:r>
        <w:rPr>
          <w:color w:val="auto"/>
          <w:vertAlign w:val="subscript"/>
        </w:rPr>
        <w:t>3</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5E82E75A" w14:textId="77777777">
        <w:trPr>
          <w:trHeight w:val="285"/>
        </w:trPr>
        <w:tc>
          <w:tcPr>
            <w:tcW w:w="270" w:type="pct"/>
            <w:noWrap/>
            <w:vAlign w:val="center"/>
          </w:tcPr>
          <w:p w14:paraId="0FE707C9" w14:textId="77777777" w:rsidR="002E474C" w:rsidRDefault="00000000">
            <w:pPr>
              <w:pStyle w:val="A-"/>
            </w:pPr>
            <w:r>
              <w:t>序号</w:t>
            </w:r>
          </w:p>
        </w:tc>
        <w:tc>
          <w:tcPr>
            <w:tcW w:w="712" w:type="pct"/>
            <w:noWrap/>
            <w:vAlign w:val="center"/>
          </w:tcPr>
          <w:p w14:paraId="2D225495" w14:textId="77777777" w:rsidR="002E474C" w:rsidRDefault="00000000">
            <w:pPr>
              <w:pStyle w:val="A-"/>
            </w:pPr>
            <w:r>
              <w:t>点名称</w:t>
            </w:r>
          </w:p>
        </w:tc>
        <w:tc>
          <w:tcPr>
            <w:tcW w:w="520" w:type="pct"/>
            <w:noWrap/>
            <w:vAlign w:val="center"/>
          </w:tcPr>
          <w:p w14:paraId="19139233" w14:textId="77777777" w:rsidR="002E474C" w:rsidRDefault="00000000">
            <w:pPr>
              <w:pStyle w:val="A-"/>
            </w:pPr>
            <w:r>
              <w:t>点坐标</w:t>
            </w:r>
          </w:p>
        </w:tc>
        <w:tc>
          <w:tcPr>
            <w:tcW w:w="446" w:type="pct"/>
            <w:noWrap/>
            <w:vAlign w:val="center"/>
          </w:tcPr>
          <w:p w14:paraId="1EDC7F9A" w14:textId="77777777" w:rsidR="002E474C" w:rsidRDefault="00000000">
            <w:pPr>
              <w:pStyle w:val="A-"/>
            </w:pPr>
            <w:r>
              <w:t>浓度类型</w:t>
            </w:r>
          </w:p>
        </w:tc>
        <w:tc>
          <w:tcPr>
            <w:tcW w:w="776" w:type="pct"/>
            <w:noWrap/>
            <w:vAlign w:val="center"/>
          </w:tcPr>
          <w:p w14:paraId="0C17FEF4" w14:textId="77777777" w:rsidR="002E474C" w:rsidRDefault="00000000">
            <w:pPr>
              <w:pStyle w:val="A-"/>
            </w:pPr>
            <w:r>
              <w:t>浓度增量</w:t>
            </w:r>
            <w:r>
              <w:t>(</w:t>
            </w:r>
            <w:proofErr w:type="spellStart"/>
            <w:r>
              <w:t>μg</w:t>
            </w:r>
            <w:proofErr w:type="spellEnd"/>
            <w:r>
              <w:t>/m³)</w:t>
            </w:r>
          </w:p>
        </w:tc>
        <w:tc>
          <w:tcPr>
            <w:tcW w:w="446" w:type="pct"/>
            <w:noWrap/>
            <w:vAlign w:val="center"/>
          </w:tcPr>
          <w:p w14:paraId="0F9C9F79" w14:textId="77777777" w:rsidR="002E474C" w:rsidRDefault="00000000">
            <w:pPr>
              <w:pStyle w:val="A-"/>
            </w:pPr>
            <w:r>
              <w:t>出现时间</w:t>
            </w:r>
          </w:p>
        </w:tc>
        <w:tc>
          <w:tcPr>
            <w:tcW w:w="776" w:type="pct"/>
            <w:noWrap/>
            <w:vAlign w:val="center"/>
          </w:tcPr>
          <w:p w14:paraId="069EADB7" w14:textId="77777777" w:rsidR="002E474C" w:rsidRDefault="00000000">
            <w:pPr>
              <w:pStyle w:val="A-"/>
            </w:pPr>
            <w:r>
              <w:t>评价标准</w:t>
            </w:r>
            <w:r>
              <w:t>(</w:t>
            </w:r>
            <w:proofErr w:type="spellStart"/>
            <w:r>
              <w:t>μg</w:t>
            </w:r>
            <w:proofErr w:type="spellEnd"/>
            <w:r>
              <w:t>/m³)</w:t>
            </w:r>
          </w:p>
        </w:tc>
        <w:tc>
          <w:tcPr>
            <w:tcW w:w="609" w:type="pct"/>
            <w:noWrap/>
            <w:vAlign w:val="center"/>
          </w:tcPr>
          <w:p w14:paraId="107B0745" w14:textId="77777777" w:rsidR="002E474C" w:rsidRDefault="00000000">
            <w:pPr>
              <w:pStyle w:val="A-"/>
            </w:pPr>
            <w:r>
              <w:t>占标率（</w:t>
            </w:r>
            <w:r>
              <w:t>%</w:t>
            </w:r>
            <w:r>
              <w:t>）</w:t>
            </w:r>
          </w:p>
        </w:tc>
        <w:tc>
          <w:tcPr>
            <w:tcW w:w="445" w:type="pct"/>
            <w:noWrap/>
            <w:vAlign w:val="center"/>
          </w:tcPr>
          <w:p w14:paraId="5AD2A7F9" w14:textId="77777777" w:rsidR="002E474C" w:rsidRDefault="00000000">
            <w:pPr>
              <w:pStyle w:val="A-"/>
            </w:pPr>
            <w:r>
              <w:t>是否超标</w:t>
            </w:r>
          </w:p>
        </w:tc>
      </w:tr>
      <w:tr w:rsidR="002E474C" w14:paraId="1F83FF41" w14:textId="77777777">
        <w:trPr>
          <w:trHeight w:val="285"/>
        </w:trPr>
        <w:tc>
          <w:tcPr>
            <w:tcW w:w="270" w:type="pct"/>
            <w:noWrap/>
            <w:vAlign w:val="center"/>
          </w:tcPr>
          <w:p w14:paraId="5EF2571D" w14:textId="77777777" w:rsidR="002E474C" w:rsidRDefault="00000000">
            <w:pPr>
              <w:pStyle w:val="A-"/>
            </w:pPr>
            <w:r>
              <w:t>1</w:t>
            </w:r>
          </w:p>
        </w:tc>
        <w:tc>
          <w:tcPr>
            <w:tcW w:w="712" w:type="pct"/>
            <w:noWrap/>
            <w:vAlign w:val="center"/>
          </w:tcPr>
          <w:p w14:paraId="1204D133" w14:textId="77777777" w:rsidR="002E474C" w:rsidRDefault="00000000">
            <w:pPr>
              <w:pStyle w:val="A-"/>
            </w:pPr>
            <w:r>
              <w:t>阿乐惠镇</w:t>
            </w:r>
          </w:p>
        </w:tc>
        <w:tc>
          <w:tcPr>
            <w:tcW w:w="520" w:type="pct"/>
            <w:noWrap/>
            <w:vAlign w:val="center"/>
          </w:tcPr>
          <w:p w14:paraId="5DDA46F3" w14:textId="77777777" w:rsidR="002E474C" w:rsidRDefault="00000000">
            <w:pPr>
              <w:pStyle w:val="A-"/>
            </w:pPr>
            <w:r>
              <w:t>-4151,1104</w:t>
            </w:r>
          </w:p>
        </w:tc>
        <w:tc>
          <w:tcPr>
            <w:tcW w:w="446" w:type="pct"/>
            <w:noWrap/>
            <w:vAlign w:val="center"/>
          </w:tcPr>
          <w:p w14:paraId="19E0C5AD" w14:textId="77777777" w:rsidR="002E474C" w:rsidRDefault="00000000">
            <w:pPr>
              <w:pStyle w:val="A-"/>
            </w:pPr>
            <w:r>
              <w:t>1</w:t>
            </w:r>
            <w:r>
              <w:t>小时</w:t>
            </w:r>
          </w:p>
        </w:tc>
        <w:tc>
          <w:tcPr>
            <w:tcW w:w="776" w:type="pct"/>
            <w:noWrap/>
            <w:vAlign w:val="center"/>
          </w:tcPr>
          <w:p w14:paraId="5F0C38D1" w14:textId="77777777" w:rsidR="002E474C" w:rsidRDefault="00000000">
            <w:pPr>
              <w:pStyle w:val="A-"/>
            </w:pPr>
            <w:r>
              <w:t xml:space="preserve">0.0649 </w:t>
            </w:r>
          </w:p>
        </w:tc>
        <w:tc>
          <w:tcPr>
            <w:tcW w:w="446" w:type="pct"/>
            <w:noWrap/>
            <w:vAlign w:val="center"/>
          </w:tcPr>
          <w:p w14:paraId="72EC81E4" w14:textId="77777777" w:rsidR="002E474C" w:rsidRDefault="00000000">
            <w:pPr>
              <w:pStyle w:val="A-"/>
            </w:pPr>
            <w:r>
              <w:t>24011810</w:t>
            </w:r>
          </w:p>
        </w:tc>
        <w:tc>
          <w:tcPr>
            <w:tcW w:w="776" w:type="pct"/>
            <w:noWrap/>
            <w:vAlign w:val="center"/>
          </w:tcPr>
          <w:p w14:paraId="763FEB1B" w14:textId="77777777" w:rsidR="002E474C" w:rsidRDefault="00000000">
            <w:pPr>
              <w:pStyle w:val="A-"/>
            </w:pPr>
            <w:r>
              <w:t>2000</w:t>
            </w:r>
          </w:p>
        </w:tc>
        <w:tc>
          <w:tcPr>
            <w:tcW w:w="609" w:type="pct"/>
            <w:noWrap/>
            <w:vAlign w:val="center"/>
          </w:tcPr>
          <w:p w14:paraId="0D2B5E94" w14:textId="77777777" w:rsidR="002E474C" w:rsidRDefault="00000000">
            <w:pPr>
              <w:pStyle w:val="A-"/>
            </w:pPr>
            <w:r>
              <w:t>0.03</w:t>
            </w:r>
          </w:p>
        </w:tc>
        <w:tc>
          <w:tcPr>
            <w:tcW w:w="445" w:type="pct"/>
            <w:noWrap/>
            <w:vAlign w:val="center"/>
          </w:tcPr>
          <w:p w14:paraId="53D7F94E" w14:textId="77777777" w:rsidR="002E474C" w:rsidRDefault="00000000">
            <w:pPr>
              <w:pStyle w:val="A-"/>
            </w:pPr>
            <w:r>
              <w:t>达标</w:t>
            </w:r>
          </w:p>
        </w:tc>
      </w:tr>
      <w:tr w:rsidR="002E474C" w14:paraId="69EA044C" w14:textId="77777777">
        <w:trPr>
          <w:trHeight w:val="285"/>
        </w:trPr>
        <w:tc>
          <w:tcPr>
            <w:tcW w:w="270" w:type="pct"/>
            <w:noWrap/>
            <w:vAlign w:val="center"/>
          </w:tcPr>
          <w:p w14:paraId="25E412E4" w14:textId="77777777" w:rsidR="002E474C" w:rsidRDefault="00000000">
            <w:pPr>
              <w:pStyle w:val="A-"/>
            </w:pPr>
            <w:r>
              <w:t>2</w:t>
            </w:r>
          </w:p>
        </w:tc>
        <w:tc>
          <w:tcPr>
            <w:tcW w:w="712" w:type="pct"/>
            <w:noWrap/>
            <w:vAlign w:val="center"/>
          </w:tcPr>
          <w:p w14:paraId="39B58A19" w14:textId="77777777" w:rsidR="002E474C" w:rsidRDefault="00000000">
            <w:pPr>
              <w:pStyle w:val="A-"/>
            </w:pPr>
            <w:r>
              <w:t>电石厂员工公寓</w:t>
            </w:r>
          </w:p>
        </w:tc>
        <w:tc>
          <w:tcPr>
            <w:tcW w:w="520" w:type="pct"/>
            <w:noWrap/>
            <w:vAlign w:val="center"/>
          </w:tcPr>
          <w:p w14:paraId="047FAFB0" w14:textId="77777777" w:rsidR="002E474C" w:rsidRDefault="00000000">
            <w:pPr>
              <w:pStyle w:val="A-"/>
            </w:pPr>
            <w:r>
              <w:t>-1901,92</w:t>
            </w:r>
          </w:p>
        </w:tc>
        <w:tc>
          <w:tcPr>
            <w:tcW w:w="446" w:type="pct"/>
            <w:noWrap/>
            <w:vAlign w:val="center"/>
          </w:tcPr>
          <w:p w14:paraId="318394CE" w14:textId="77777777" w:rsidR="002E474C" w:rsidRDefault="00000000">
            <w:pPr>
              <w:pStyle w:val="A-"/>
            </w:pPr>
            <w:r>
              <w:t>1</w:t>
            </w:r>
            <w:r>
              <w:t>小时</w:t>
            </w:r>
          </w:p>
        </w:tc>
        <w:tc>
          <w:tcPr>
            <w:tcW w:w="776" w:type="pct"/>
            <w:noWrap/>
            <w:vAlign w:val="center"/>
          </w:tcPr>
          <w:p w14:paraId="1FF08093" w14:textId="77777777" w:rsidR="002E474C" w:rsidRDefault="00000000">
            <w:pPr>
              <w:pStyle w:val="A-"/>
            </w:pPr>
            <w:r>
              <w:t xml:space="preserve">3.0700 </w:t>
            </w:r>
          </w:p>
        </w:tc>
        <w:tc>
          <w:tcPr>
            <w:tcW w:w="446" w:type="pct"/>
            <w:noWrap/>
            <w:vAlign w:val="center"/>
          </w:tcPr>
          <w:p w14:paraId="688143CB" w14:textId="77777777" w:rsidR="002E474C" w:rsidRDefault="00000000">
            <w:pPr>
              <w:pStyle w:val="A-"/>
            </w:pPr>
            <w:r>
              <w:t>24120203</w:t>
            </w:r>
          </w:p>
        </w:tc>
        <w:tc>
          <w:tcPr>
            <w:tcW w:w="776" w:type="pct"/>
            <w:noWrap/>
          </w:tcPr>
          <w:p w14:paraId="4212AC05" w14:textId="77777777" w:rsidR="002E474C" w:rsidRDefault="00000000">
            <w:pPr>
              <w:pStyle w:val="A-"/>
            </w:pPr>
            <w:r>
              <w:t>2000</w:t>
            </w:r>
          </w:p>
        </w:tc>
        <w:tc>
          <w:tcPr>
            <w:tcW w:w="609" w:type="pct"/>
            <w:noWrap/>
            <w:vAlign w:val="center"/>
          </w:tcPr>
          <w:p w14:paraId="615E1D85" w14:textId="77777777" w:rsidR="002E474C" w:rsidRDefault="00000000">
            <w:pPr>
              <w:pStyle w:val="A-"/>
            </w:pPr>
            <w:r>
              <w:t>1.53</w:t>
            </w:r>
          </w:p>
        </w:tc>
        <w:tc>
          <w:tcPr>
            <w:tcW w:w="445" w:type="pct"/>
            <w:noWrap/>
            <w:vAlign w:val="center"/>
          </w:tcPr>
          <w:p w14:paraId="729F721F" w14:textId="77777777" w:rsidR="002E474C" w:rsidRDefault="00000000">
            <w:pPr>
              <w:pStyle w:val="A-"/>
            </w:pPr>
            <w:r>
              <w:t>达标</w:t>
            </w:r>
          </w:p>
        </w:tc>
      </w:tr>
      <w:tr w:rsidR="002E474C" w14:paraId="2F2F730A" w14:textId="77777777">
        <w:trPr>
          <w:trHeight w:val="285"/>
        </w:trPr>
        <w:tc>
          <w:tcPr>
            <w:tcW w:w="270" w:type="pct"/>
            <w:noWrap/>
            <w:vAlign w:val="center"/>
          </w:tcPr>
          <w:p w14:paraId="51B3CD52" w14:textId="77777777" w:rsidR="002E474C" w:rsidRDefault="00000000">
            <w:pPr>
              <w:pStyle w:val="A-"/>
            </w:pPr>
            <w:r>
              <w:t>3</w:t>
            </w:r>
          </w:p>
        </w:tc>
        <w:tc>
          <w:tcPr>
            <w:tcW w:w="712" w:type="pct"/>
            <w:noWrap/>
            <w:vAlign w:val="center"/>
          </w:tcPr>
          <w:p w14:paraId="79D8AA56" w14:textId="77777777" w:rsidR="002E474C" w:rsidRDefault="00000000">
            <w:pPr>
              <w:pStyle w:val="A-"/>
            </w:pPr>
            <w:r>
              <w:t>网格</w:t>
            </w:r>
          </w:p>
        </w:tc>
        <w:tc>
          <w:tcPr>
            <w:tcW w:w="520" w:type="pct"/>
            <w:noWrap/>
            <w:vAlign w:val="center"/>
          </w:tcPr>
          <w:p w14:paraId="080BA67F" w14:textId="77777777" w:rsidR="002E474C" w:rsidRDefault="00000000">
            <w:pPr>
              <w:pStyle w:val="A-"/>
            </w:pPr>
            <w:r>
              <w:t>4400,-600</w:t>
            </w:r>
          </w:p>
        </w:tc>
        <w:tc>
          <w:tcPr>
            <w:tcW w:w="446" w:type="pct"/>
            <w:noWrap/>
            <w:vAlign w:val="center"/>
          </w:tcPr>
          <w:p w14:paraId="41FF165A" w14:textId="77777777" w:rsidR="002E474C" w:rsidRDefault="00000000">
            <w:pPr>
              <w:pStyle w:val="A-"/>
            </w:pPr>
            <w:r>
              <w:t>1</w:t>
            </w:r>
            <w:r>
              <w:t>小时</w:t>
            </w:r>
          </w:p>
        </w:tc>
        <w:tc>
          <w:tcPr>
            <w:tcW w:w="776" w:type="pct"/>
            <w:noWrap/>
            <w:vAlign w:val="center"/>
          </w:tcPr>
          <w:p w14:paraId="720947B8" w14:textId="77777777" w:rsidR="002E474C" w:rsidRDefault="00000000">
            <w:pPr>
              <w:pStyle w:val="A-"/>
            </w:pPr>
            <w:r>
              <w:t xml:space="preserve">10.8000 </w:t>
            </w:r>
          </w:p>
        </w:tc>
        <w:tc>
          <w:tcPr>
            <w:tcW w:w="446" w:type="pct"/>
            <w:noWrap/>
            <w:vAlign w:val="center"/>
          </w:tcPr>
          <w:p w14:paraId="6911538E" w14:textId="77777777" w:rsidR="002E474C" w:rsidRDefault="00000000">
            <w:pPr>
              <w:pStyle w:val="A-"/>
            </w:pPr>
            <w:r>
              <w:t>24121519</w:t>
            </w:r>
          </w:p>
        </w:tc>
        <w:tc>
          <w:tcPr>
            <w:tcW w:w="776" w:type="pct"/>
            <w:noWrap/>
          </w:tcPr>
          <w:p w14:paraId="58BF5636" w14:textId="77777777" w:rsidR="002E474C" w:rsidRDefault="00000000">
            <w:pPr>
              <w:pStyle w:val="A-"/>
            </w:pPr>
            <w:r>
              <w:t>2000</w:t>
            </w:r>
          </w:p>
        </w:tc>
        <w:tc>
          <w:tcPr>
            <w:tcW w:w="609" w:type="pct"/>
            <w:noWrap/>
            <w:vAlign w:val="center"/>
          </w:tcPr>
          <w:p w14:paraId="3F5B3779" w14:textId="77777777" w:rsidR="002E474C" w:rsidRDefault="00000000">
            <w:pPr>
              <w:pStyle w:val="A-"/>
            </w:pPr>
            <w:r>
              <w:t>5.39</w:t>
            </w:r>
          </w:p>
        </w:tc>
        <w:tc>
          <w:tcPr>
            <w:tcW w:w="445" w:type="pct"/>
            <w:noWrap/>
            <w:vAlign w:val="center"/>
          </w:tcPr>
          <w:p w14:paraId="296BFF57" w14:textId="77777777" w:rsidR="002E474C" w:rsidRDefault="00000000">
            <w:pPr>
              <w:pStyle w:val="A-"/>
            </w:pPr>
            <w:r>
              <w:t>达标</w:t>
            </w:r>
          </w:p>
        </w:tc>
      </w:tr>
    </w:tbl>
    <w:p w14:paraId="4A5D1695" w14:textId="77777777" w:rsidR="002E474C" w:rsidRDefault="002E474C">
      <w:pPr>
        <w:pStyle w:val="A-0"/>
        <w:rPr>
          <w:color w:val="auto"/>
        </w:rPr>
      </w:pPr>
    </w:p>
    <w:p w14:paraId="703824B3" w14:textId="77777777" w:rsidR="002E474C" w:rsidRDefault="002E474C">
      <w:pPr>
        <w:pStyle w:val="A-0"/>
        <w:rPr>
          <w:color w:val="auto"/>
        </w:rPr>
        <w:sectPr w:rsidR="002E474C">
          <w:pgSz w:w="16838" w:h="11906" w:orient="landscape"/>
          <w:pgMar w:top="1800" w:right="1440" w:bottom="1800" w:left="1440" w:header="851" w:footer="992" w:gutter="0"/>
          <w:cols w:space="720"/>
          <w:docGrid w:linePitch="312"/>
        </w:sectPr>
      </w:pPr>
    </w:p>
    <w:p w14:paraId="34E4C750" w14:textId="77777777" w:rsidR="002E474C" w:rsidRDefault="00000000">
      <w:pPr>
        <w:pStyle w:val="A--"/>
        <w:rPr>
          <w:color w:val="auto"/>
        </w:rPr>
      </w:pPr>
      <w:r>
        <w:rPr>
          <w:color w:val="auto"/>
        </w:rPr>
        <w:lastRenderedPageBreak/>
        <w:t>表</w:t>
      </w:r>
      <w:r>
        <w:rPr>
          <w:color w:val="auto"/>
        </w:rPr>
        <w:t>5.1</w:t>
      </w:r>
      <w:r>
        <w:rPr>
          <w:color w:val="auto"/>
        </w:rPr>
        <w:noBreakHyphen/>
        <w:t>29  NMHC</w:t>
      </w:r>
      <w:r>
        <w:rPr>
          <w:color w:val="auto"/>
        </w:rPr>
        <w:t>最大贡献浓度预测结果</w:t>
      </w:r>
    </w:p>
    <w:tbl>
      <w:tblPr>
        <w:tblStyle w:val="affff9"/>
        <w:tblW w:w="5000" w:type="pct"/>
        <w:tblLook w:val="04A0" w:firstRow="1" w:lastRow="0" w:firstColumn="1" w:lastColumn="0" w:noHBand="0" w:noVBand="1"/>
      </w:tblPr>
      <w:tblGrid>
        <w:gridCol w:w="753"/>
        <w:gridCol w:w="1986"/>
        <w:gridCol w:w="1451"/>
        <w:gridCol w:w="1244"/>
        <w:gridCol w:w="2165"/>
        <w:gridCol w:w="1244"/>
        <w:gridCol w:w="2165"/>
        <w:gridCol w:w="1699"/>
        <w:gridCol w:w="1241"/>
      </w:tblGrid>
      <w:tr w:rsidR="002E474C" w14:paraId="2A6F03DC" w14:textId="77777777">
        <w:trPr>
          <w:trHeight w:val="285"/>
        </w:trPr>
        <w:tc>
          <w:tcPr>
            <w:tcW w:w="270" w:type="pct"/>
            <w:shd w:val="clear" w:color="auto" w:fill="auto"/>
            <w:noWrap/>
            <w:vAlign w:val="center"/>
          </w:tcPr>
          <w:p w14:paraId="47BF0B46" w14:textId="77777777" w:rsidR="002E474C" w:rsidRDefault="00000000">
            <w:pPr>
              <w:pStyle w:val="A-"/>
            </w:pPr>
            <w:r>
              <w:t>序号</w:t>
            </w:r>
          </w:p>
        </w:tc>
        <w:tc>
          <w:tcPr>
            <w:tcW w:w="712" w:type="pct"/>
            <w:shd w:val="clear" w:color="auto" w:fill="auto"/>
            <w:noWrap/>
            <w:vAlign w:val="center"/>
          </w:tcPr>
          <w:p w14:paraId="072053A6" w14:textId="77777777" w:rsidR="002E474C" w:rsidRDefault="00000000">
            <w:pPr>
              <w:pStyle w:val="A-"/>
            </w:pPr>
            <w:r>
              <w:t>点名称</w:t>
            </w:r>
          </w:p>
        </w:tc>
        <w:tc>
          <w:tcPr>
            <w:tcW w:w="520" w:type="pct"/>
            <w:shd w:val="clear" w:color="auto" w:fill="auto"/>
            <w:noWrap/>
            <w:vAlign w:val="center"/>
          </w:tcPr>
          <w:p w14:paraId="7E35CB43" w14:textId="77777777" w:rsidR="002E474C" w:rsidRDefault="00000000">
            <w:pPr>
              <w:pStyle w:val="A-"/>
            </w:pPr>
            <w:r>
              <w:t>点坐标</w:t>
            </w:r>
          </w:p>
        </w:tc>
        <w:tc>
          <w:tcPr>
            <w:tcW w:w="446" w:type="pct"/>
            <w:shd w:val="clear" w:color="auto" w:fill="auto"/>
            <w:noWrap/>
            <w:vAlign w:val="center"/>
          </w:tcPr>
          <w:p w14:paraId="70C3BFE0" w14:textId="77777777" w:rsidR="002E474C" w:rsidRDefault="00000000">
            <w:pPr>
              <w:pStyle w:val="A-"/>
            </w:pPr>
            <w:r>
              <w:t>浓度类型</w:t>
            </w:r>
          </w:p>
        </w:tc>
        <w:tc>
          <w:tcPr>
            <w:tcW w:w="776" w:type="pct"/>
            <w:shd w:val="clear" w:color="auto" w:fill="auto"/>
            <w:noWrap/>
            <w:vAlign w:val="center"/>
          </w:tcPr>
          <w:p w14:paraId="20A4DC01" w14:textId="77777777" w:rsidR="002E474C" w:rsidRDefault="00000000">
            <w:pPr>
              <w:pStyle w:val="A-"/>
            </w:pPr>
            <w:r>
              <w:t>浓度增量</w:t>
            </w:r>
            <w:r>
              <w:t>(</w:t>
            </w:r>
            <w:proofErr w:type="spellStart"/>
            <w:r>
              <w:t>μg</w:t>
            </w:r>
            <w:proofErr w:type="spellEnd"/>
            <w:r>
              <w:t>/m³)</w:t>
            </w:r>
          </w:p>
        </w:tc>
        <w:tc>
          <w:tcPr>
            <w:tcW w:w="446" w:type="pct"/>
            <w:shd w:val="clear" w:color="auto" w:fill="auto"/>
            <w:noWrap/>
            <w:vAlign w:val="center"/>
          </w:tcPr>
          <w:p w14:paraId="6F98CDEE" w14:textId="77777777" w:rsidR="002E474C" w:rsidRDefault="00000000">
            <w:pPr>
              <w:pStyle w:val="A-"/>
            </w:pPr>
            <w:r>
              <w:t>出现时间</w:t>
            </w:r>
          </w:p>
        </w:tc>
        <w:tc>
          <w:tcPr>
            <w:tcW w:w="776" w:type="pct"/>
            <w:shd w:val="clear" w:color="auto" w:fill="auto"/>
            <w:noWrap/>
            <w:vAlign w:val="center"/>
          </w:tcPr>
          <w:p w14:paraId="54210CCF" w14:textId="77777777" w:rsidR="002E474C" w:rsidRDefault="00000000">
            <w:pPr>
              <w:pStyle w:val="A-"/>
            </w:pPr>
            <w:r>
              <w:t>评价标准</w:t>
            </w:r>
            <w:r>
              <w:t>(</w:t>
            </w:r>
            <w:proofErr w:type="spellStart"/>
            <w:r>
              <w:t>μg</w:t>
            </w:r>
            <w:proofErr w:type="spellEnd"/>
            <w:r>
              <w:t>/m³)</w:t>
            </w:r>
          </w:p>
        </w:tc>
        <w:tc>
          <w:tcPr>
            <w:tcW w:w="609" w:type="pct"/>
            <w:shd w:val="clear" w:color="auto" w:fill="auto"/>
            <w:noWrap/>
            <w:vAlign w:val="center"/>
          </w:tcPr>
          <w:p w14:paraId="12F54A07" w14:textId="77777777" w:rsidR="002E474C" w:rsidRDefault="00000000">
            <w:pPr>
              <w:pStyle w:val="A-"/>
            </w:pPr>
            <w:r>
              <w:t>占标率（</w:t>
            </w:r>
            <w:r>
              <w:t>%</w:t>
            </w:r>
            <w:r>
              <w:t>）</w:t>
            </w:r>
          </w:p>
        </w:tc>
        <w:tc>
          <w:tcPr>
            <w:tcW w:w="445" w:type="pct"/>
            <w:shd w:val="clear" w:color="auto" w:fill="auto"/>
            <w:noWrap/>
            <w:vAlign w:val="center"/>
          </w:tcPr>
          <w:p w14:paraId="6725A670" w14:textId="77777777" w:rsidR="002E474C" w:rsidRDefault="00000000">
            <w:pPr>
              <w:pStyle w:val="A-"/>
            </w:pPr>
            <w:r>
              <w:t>是否超标</w:t>
            </w:r>
          </w:p>
        </w:tc>
      </w:tr>
      <w:tr w:rsidR="002E474C" w14:paraId="306B77B7" w14:textId="77777777">
        <w:trPr>
          <w:trHeight w:val="285"/>
        </w:trPr>
        <w:tc>
          <w:tcPr>
            <w:tcW w:w="270" w:type="pct"/>
            <w:shd w:val="clear" w:color="auto" w:fill="auto"/>
            <w:noWrap/>
            <w:vAlign w:val="center"/>
          </w:tcPr>
          <w:p w14:paraId="7FF3DB58" w14:textId="77777777" w:rsidR="002E474C" w:rsidRDefault="00000000">
            <w:pPr>
              <w:pStyle w:val="A-"/>
            </w:pPr>
            <w:r>
              <w:t>1</w:t>
            </w:r>
          </w:p>
        </w:tc>
        <w:tc>
          <w:tcPr>
            <w:tcW w:w="712" w:type="pct"/>
            <w:shd w:val="clear" w:color="auto" w:fill="auto"/>
            <w:noWrap/>
            <w:vAlign w:val="center"/>
          </w:tcPr>
          <w:p w14:paraId="4932C9A9" w14:textId="77777777" w:rsidR="002E474C" w:rsidRDefault="00000000">
            <w:pPr>
              <w:pStyle w:val="A-"/>
            </w:pPr>
            <w:r>
              <w:t>阿乐惠镇</w:t>
            </w:r>
          </w:p>
        </w:tc>
        <w:tc>
          <w:tcPr>
            <w:tcW w:w="520" w:type="pct"/>
            <w:shd w:val="clear" w:color="auto" w:fill="auto"/>
            <w:noWrap/>
            <w:vAlign w:val="center"/>
          </w:tcPr>
          <w:p w14:paraId="3C6F3AA0" w14:textId="77777777" w:rsidR="002E474C" w:rsidRDefault="00000000">
            <w:pPr>
              <w:pStyle w:val="A-"/>
            </w:pPr>
            <w:r>
              <w:t>-4151,1104</w:t>
            </w:r>
          </w:p>
        </w:tc>
        <w:tc>
          <w:tcPr>
            <w:tcW w:w="446" w:type="pct"/>
            <w:shd w:val="clear" w:color="auto" w:fill="auto"/>
            <w:noWrap/>
            <w:vAlign w:val="center"/>
          </w:tcPr>
          <w:p w14:paraId="1228EAFD" w14:textId="77777777" w:rsidR="002E474C" w:rsidRDefault="00000000">
            <w:pPr>
              <w:pStyle w:val="A-"/>
            </w:pPr>
            <w:r>
              <w:t>1</w:t>
            </w:r>
            <w:r>
              <w:t>小时</w:t>
            </w:r>
          </w:p>
        </w:tc>
        <w:tc>
          <w:tcPr>
            <w:tcW w:w="776" w:type="pct"/>
            <w:shd w:val="clear" w:color="auto" w:fill="auto"/>
            <w:noWrap/>
            <w:vAlign w:val="center"/>
          </w:tcPr>
          <w:p w14:paraId="46CB9DBD" w14:textId="77777777" w:rsidR="002E474C" w:rsidRDefault="00000000">
            <w:pPr>
              <w:pStyle w:val="A-"/>
            </w:pPr>
            <w:r>
              <w:t>0.0704</w:t>
            </w:r>
          </w:p>
        </w:tc>
        <w:tc>
          <w:tcPr>
            <w:tcW w:w="446" w:type="pct"/>
            <w:shd w:val="clear" w:color="auto" w:fill="auto"/>
            <w:noWrap/>
            <w:vAlign w:val="center"/>
          </w:tcPr>
          <w:p w14:paraId="0C6F2D7C" w14:textId="77777777" w:rsidR="002E474C" w:rsidRDefault="00000000">
            <w:pPr>
              <w:pStyle w:val="A-"/>
            </w:pPr>
            <w:r>
              <w:t>24011810</w:t>
            </w:r>
          </w:p>
        </w:tc>
        <w:tc>
          <w:tcPr>
            <w:tcW w:w="776" w:type="pct"/>
            <w:shd w:val="clear" w:color="auto" w:fill="auto"/>
            <w:noWrap/>
            <w:vAlign w:val="center"/>
          </w:tcPr>
          <w:p w14:paraId="2030AF03" w14:textId="77777777" w:rsidR="002E474C" w:rsidRDefault="00000000">
            <w:pPr>
              <w:pStyle w:val="A-"/>
            </w:pPr>
            <w:r>
              <w:t>2.00E+03</w:t>
            </w:r>
          </w:p>
        </w:tc>
        <w:tc>
          <w:tcPr>
            <w:tcW w:w="609" w:type="pct"/>
            <w:shd w:val="clear" w:color="auto" w:fill="auto"/>
            <w:noWrap/>
            <w:vAlign w:val="center"/>
          </w:tcPr>
          <w:p w14:paraId="06B6CC14" w14:textId="77777777" w:rsidR="002E474C" w:rsidRDefault="00000000">
            <w:pPr>
              <w:pStyle w:val="A-"/>
            </w:pPr>
            <w:r>
              <w:t>0</w:t>
            </w:r>
          </w:p>
        </w:tc>
        <w:tc>
          <w:tcPr>
            <w:tcW w:w="445" w:type="pct"/>
            <w:shd w:val="clear" w:color="auto" w:fill="auto"/>
            <w:noWrap/>
            <w:vAlign w:val="center"/>
          </w:tcPr>
          <w:p w14:paraId="2DBFC168" w14:textId="77777777" w:rsidR="002E474C" w:rsidRDefault="00000000">
            <w:pPr>
              <w:pStyle w:val="A-"/>
            </w:pPr>
            <w:r>
              <w:t>达标</w:t>
            </w:r>
          </w:p>
        </w:tc>
      </w:tr>
      <w:tr w:rsidR="002E474C" w14:paraId="44509B94" w14:textId="77777777">
        <w:trPr>
          <w:trHeight w:val="285"/>
        </w:trPr>
        <w:tc>
          <w:tcPr>
            <w:tcW w:w="270" w:type="pct"/>
            <w:shd w:val="clear" w:color="auto" w:fill="auto"/>
            <w:noWrap/>
            <w:vAlign w:val="center"/>
          </w:tcPr>
          <w:p w14:paraId="25DC8584" w14:textId="77777777" w:rsidR="002E474C" w:rsidRDefault="00000000">
            <w:pPr>
              <w:pStyle w:val="A-"/>
            </w:pPr>
            <w:r>
              <w:t>2</w:t>
            </w:r>
          </w:p>
        </w:tc>
        <w:tc>
          <w:tcPr>
            <w:tcW w:w="712" w:type="pct"/>
            <w:shd w:val="clear" w:color="auto" w:fill="auto"/>
            <w:noWrap/>
            <w:vAlign w:val="center"/>
          </w:tcPr>
          <w:p w14:paraId="17FAF139" w14:textId="77777777" w:rsidR="002E474C" w:rsidRDefault="00000000">
            <w:pPr>
              <w:pStyle w:val="A-"/>
            </w:pPr>
            <w:r>
              <w:t>电石厂员工公寓</w:t>
            </w:r>
          </w:p>
        </w:tc>
        <w:tc>
          <w:tcPr>
            <w:tcW w:w="520" w:type="pct"/>
            <w:shd w:val="clear" w:color="auto" w:fill="auto"/>
            <w:noWrap/>
            <w:vAlign w:val="center"/>
          </w:tcPr>
          <w:p w14:paraId="1104CA23" w14:textId="77777777" w:rsidR="002E474C" w:rsidRDefault="00000000">
            <w:pPr>
              <w:pStyle w:val="A-"/>
            </w:pPr>
            <w:r>
              <w:t>-1901,92</w:t>
            </w:r>
          </w:p>
        </w:tc>
        <w:tc>
          <w:tcPr>
            <w:tcW w:w="446" w:type="pct"/>
            <w:shd w:val="clear" w:color="auto" w:fill="auto"/>
            <w:noWrap/>
            <w:vAlign w:val="center"/>
          </w:tcPr>
          <w:p w14:paraId="7FCB5D8E" w14:textId="77777777" w:rsidR="002E474C" w:rsidRDefault="00000000">
            <w:pPr>
              <w:pStyle w:val="A-"/>
            </w:pPr>
            <w:r>
              <w:t>1</w:t>
            </w:r>
            <w:r>
              <w:t>小时</w:t>
            </w:r>
          </w:p>
        </w:tc>
        <w:tc>
          <w:tcPr>
            <w:tcW w:w="776" w:type="pct"/>
            <w:shd w:val="clear" w:color="auto" w:fill="auto"/>
            <w:noWrap/>
            <w:vAlign w:val="center"/>
          </w:tcPr>
          <w:p w14:paraId="37D0FD4F" w14:textId="77777777" w:rsidR="002E474C" w:rsidRDefault="00000000">
            <w:pPr>
              <w:pStyle w:val="A-"/>
            </w:pPr>
            <w:r>
              <w:t>3.3300</w:t>
            </w:r>
          </w:p>
        </w:tc>
        <w:tc>
          <w:tcPr>
            <w:tcW w:w="446" w:type="pct"/>
            <w:shd w:val="clear" w:color="auto" w:fill="auto"/>
            <w:noWrap/>
            <w:vAlign w:val="center"/>
          </w:tcPr>
          <w:p w14:paraId="679288C1" w14:textId="77777777" w:rsidR="002E474C" w:rsidRDefault="00000000">
            <w:pPr>
              <w:pStyle w:val="A-"/>
            </w:pPr>
            <w:r>
              <w:t>24011810</w:t>
            </w:r>
          </w:p>
        </w:tc>
        <w:tc>
          <w:tcPr>
            <w:tcW w:w="776" w:type="pct"/>
            <w:shd w:val="clear" w:color="auto" w:fill="auto"/>
            <w:noWrap/>
            <w:vAlign w:val="center"/>
          </w:tcPr>
          <w:p w14:paraId="7B9531C5" w14:textId="77777777" w:rsidR="002E474C" w:rsidRDefault="00000000">
            <w:pPr>
              <w:pStyle w:val="A-"/>
            </w:pPr>
            <w:r>
              <w:t>2.00E+03</w:t>
            </w:r>
          </w:p>
        </w:tc>
        <w:tc>
          <w:tcPr>
            <w:tcW w:w="609" w:type="pct"/>
            <w:shd w:val="clear" w:color="auto" w:fill="auto"/>
            <w:noWrap/>
            <w:vAlign w:val="center"/>
          </w:tcPr>
          <w:p w14:paraId="25A354B8" w14:textId="77777777" w:rsidR="002E474C" w:rsidRDefault="00000000">
            <w:pPr>
              <w:pStyle w:val="A-"/>
            </w:pPr>
            <w:r>
              <w:t>0.17</w:t>
            </w:r>
          </w:p>
        </w:tc>
        <w:tc>
          <w:tcPr>
            <w:tcW w:w="445" w:type="pct"/>
            <w:shd w:val="clear" w:color="auto" w:fill="auto"/>
            <w:noWrap/>
            <w:vAlign w:val="center"/>
          </w:tcPr>
          <w:p w14:paraId="05F5DDF4" w14:textId="77777777" w:rsidR="002E474C" w:rsidRDefault="00000000">
            <w:pPr>
              <w:pStyle w:val="A-"/>
            </w:pPr>
            <w:r>
              <w:t>达标</w:t>
            </w:r>
          </w:p>
        </w:tc>
      </w:tr>
      <w:tr w:rsidR="002E474C" w14:paraId="1C3B807C" w14:textId="77777777">
        <w:trPr>
          <w:trHeight w:val="285"/>
        </w:trPr>
        <w:tc>
          <w:tcPr>
            <w:tcW w:w="270" w:type="pct"/>
            <w:shd w:val="clear" w:color="auto" w:fill="auto"/>
            <w:noWrap/>
            <w:vAlign w:val="center"/>
          </w:tcPr>
          <w:p w14:paraId="636D509C" w14:textId="77777777" w:rsidR="002E474C" w:rsidRDefault="00000000">
            <w:pPr>
              <w:pStyle w:val="A-"/>
            </w:pPr>
            <w:r>
              <w:t>3</w:t>
            </w:r>
          </w:p>
        </w:tc>
        <w:tc>
          <w:tcPr>
            <w:tcW w:w="712" w:type="pct"/>
            <w:shd w:val="clear" w:color="auto" w:fill="auto"/>
            <w:noWrap/>
            <w:vAlign w:val="center"/>
          </w:tcPr>
          <w:p w14:paraId="73BA5453" w14:textId="77777777" w:rsidR="002E474C" w:rsidRDefault="00000000">
            <w:pPr>
              <w:pStyle w:val="A-"/>
            </w:pPr>
            <w:r>
              <w:t>网格</w:t>
            </w:r>
          </w:p>
        </w:tc>
        <w:tc>
          <w:tcPr>
            <w:tcW w:w="520" w:type="pct"/>
            <w:shd w:val="clear" w:color="auto" w:fill="auto"/>
            <w:noWrap/>
            <w:vAlign w:val="center"/>
          </w:tcPr>
          <w:p w14:paraId="4E41E452" w14:textId="77777777" w:rsidR="002E474C" w:rsidRDefault="00000000">
            <w:pPr>
              <w:pStyle w:val="A-"/>
            </w:pPr>
            <w:r>
              <w:t>4300,-700</w:t>
            </w:r>
          </w:p>
        </w:tc>
        <w:tc>
          <w:tcPr>
            <w:tcW w:w="446" w:type="pct"/>
            <w:shd w:val="clear" w:color="auto" w:fill="auto"/>
            <w:noWrap/>
            <w:vAlign w:val="center"/>
          </w:tcPr>
          <w:p w14:paraId="50E0F47B" w14:textId="77777777" w:rsidR="002E474C" w:rsidRDefault="00000000">
            <w:pPr>
              <w:pStyle w:val="A-"/>
            </w:pPr>
            <w:r>
              <w:t>1</w:t>
            </w:r>
            <w:r>
              <w:t>小时</w:t>
            </w:r>
          </w:p>
        </w:tc>
        <w:tc>
          <w:tcPr>
            <w:tcW w:w="776" w:type="pct"/>
            <w:shd w:val="clear" w:color="auto" w:fill="auto"/>
            <w:noWrap/>
            <w:vAlign w:val="center"/>
          </w:tcPr>
          <w:p w14:paraId="610FF297" w14:textId="77777777" w:rsidR="002E474C" w:rsidRDefault="00000000">
            <w:pPr>
              <w:pStyle w:val="A-"/>
            </w:pPr>
            <w:r>
              <w:t>11.7000</w:t>
            </w:r>
          </w:p>
        </w:tc>
        <w:tc>
          <w:tcPr>
            <w:tcW w:w="446" w:type="pct"/>
            <w:shd w:val="clear" w:color="auto" w:fill="auto"/>
            <w:noWrap/>
            <w:vAlign w:val="center"/>
          </w:tcPr>
          <w:p w14:paraId="3BDA77E0" w14:textId="77777777" w:rsidR="002E474C" w:rsidRDefault="00000000">
            <w:pPr>
              <w:pStyle w:val="A-"/>
            </w:pPr>
            <w:r>
              <w:t>24121519</w:t>
            </w:r>
          </w:p>
        </w:tc>
        <w:tc>
          <w:tcPr>
            <w:tcW w:w="776" w:type="pct"/>
            <w:shd w:val="clear" w:color="auto" w:fill="auto"/>
            <w:noWrap/>
            <w:vAlign w:val="center"/>
          </w:tcPr>
          <w:p w14:paraId="4735B13A" w14:textId="77777777" w:rsidR="002E474C" w:rsidRDefault="00000000">
            <w:pPr>
              <w:pStyle w:val="A-"/>
            </w:pPr>
            <w:r>
              <w:t>2.00E+03</w:t>
            </w:r>
          </w:p>
        </w:tc>
        <w:tc>
          <w:tcPr>
            <w:tcW w:w="609" w:type="pct"/>
            <w:shd w:val="clear" w:color="auto" w:fill="auto"/>
            <w:noWrap/>
            <w:vAlign w:val="center"/>
          </w:tcPr>
          <w:p w14:paraId="71DCEAA4" w14:textId="77777777" w:rsidR="002E474C" w:rsidRDefault="00000000">
            <w:pPr>
              <w:pStyle w:val="A-"/>
            </w:pPr>
            <w:r>
              <w:t>0.59</w:t>
            </w:r>
          </w:p>
        </w:tc>
        <w:tc>
          <w:tcPr>
            <w:tcW w:w="445" w:type="pct"/>
            <w:shd w:val="clear" w:color="auto" w:fill="auto"/>
            <w:noWrap/>
            <w:vAlign w:val="center"/>
          </w:tcPr>
          <w:p w14:paraId="432276FC" w14:textId="77777777" w:rsidR="002E474C" w:rsidRDefault="00000000">
            <w:pPr>
              <w:pStyle w:val="A-"/>
            </w:pPr>
            <w:r>
              <w:t>达标</w:t>
            </w:r>
          </w:p>
        </w:tc>
      </w:tr>
    </w:tbl>
    <w:p w14:paraId="31BCCDD8" w14:textId="77777777" w:rsidR="002E474C" w:rsidRDefault="002E474C">
      <w:pPr>
        <w:pStyle w:val="A-0"/>
        <w:rPr>
          <w:color w:val="auto"/>
        </w:rPr>
      </w:pPr>
    </w:p>
    <w:p w14:paraId="3331A52C" w14:textId="77777777" w:rsidR="002E474C" w:rsidRDefault="00000000">
      <w:pPr>
        <w:pStyle w:val="A--"/>
        <w:rPr>
          <w:color w:val="auto"/>
        </w:rPr>
      </w:pPr>
      <w:r>
        <w:rPr>
          <w:color w:val="auto"/>
        </w:rPr>
        <w:t>表</w:t>
      </w:r>
      <w:r>
        <w:rPr>
          <w:color w:val="auto"/>
        </w:rPr>
        <w:t>5.1</w:t>
      </w:r>
      <w:r>
        <w:rPr>
          <w:color w:val="auto"/>
        </w:rPr>
        <w:noBreakHyphen/>
        <w:t xml:space="preserve">30  </w:t>
      </w:r>
      <w:r>
        <w:rPr>
          <w:color w:val="auto"/>
        </w:rPr>
        <w:t>二噁英类最大贡献浓度预测结果</w:t>
      </w:r>
    </w:p>
    <w:tbl>
      <w:tblPr>
        <w:tblStyle w:val="affff9"/>
        <w:tblW w:w="5000" w:type="pct"/>
        <w:tblLook w:val="04A0" w:firstRow="1" w:lastRow="0" w:firstColumn="1" w:lastColumn="0" w:noHBand="0" w:noVBand="1"/>
      </w:tblPr>
      <w:tblGrid>
        <w:gridCol w:w="777"/>
        <w:gridCol w:w="2061"/>
        <w:gridCol w:w="1783"/>
        <w:gridCol w:w="1292"/>
        <w:gridCol w:w="1847"/>
        <w:gridCol w:w="1292"/>
        <w:gridCol w:w="1847"/>
        <w:gridCol w:w="1760"/>
        <w:gridCol w:w="1289"/>
      </w:tblGrid>
      <w:tr w:rsidR="002E474C" w14:paraId="372DAAAE" w14:textId="77777777">
        <w:trPr>
          <w:trHeight w:val="285"/>
        </w:trPr>
        <w:tc>
          <w:tcPr>
            <w:tcW w:w="279" w:type="pct"/>
            <w:noWrap/>
            <w:vAlign w:val="center"/>
          </w:tcPr>
          <w:p w14:paraId="129A4A53" w14:textId="77777777" w:rsidR="002E474C" w:rsidRDefault="00000000">
            <w:pPr>
              <w:pStyle w:val="A-"/>
            </w:pPr>
            <w:r>
              <w:t>序号</w:t>
            </w:r>
          </w:p>
        </w:tc>
        <w:tc>
          <w:tcPr>
            <w:tcW w:w="739" w:type="pct"/>
            <w:noWrap/>
            <w:vAlign w:val="center"/>
          </w:tcPr>
          <w:p w14:paraId="4422149D" w14:textId="77777777" w:rsidR="002E474C" w:rsidRDefault="00000000">
            <w:pPr>
              <w:pStyle w:val="A-"/>
            </w:pPr>
            <w:r>
              <w:t>点名称</w:t>
            </w:r>
          </w:p>
        </w:tc>
        <w:tc>
          <w:tcPr>
            <w:tcW w:w="639" w:type="pct"/>
            <w:noWrap/>
            <w:vAlign w:val="center"/>
          </w:tcPr>
          <w:p w14:paraId="6A7DA94B" w14:textId="77777777" w:rsidR="002E474C" w:rsidRDefault="00000000">
            <w:pPr>
              <w:pStyle w:val="A-"/>
            </w:pPr>
            <w:r>
              <w:t>点坐标</w:t>
            </w:r>
          </w:p>
        </w:tc>
        <w:tc>
          <w:tcPr>
            <w:tcW w:w="463" w:type="pct"/>
            <w:noWrap/>
            <w:vAlign w:val="center"/>
          </w:tcPr>
          <w:p w14:paraId="71D48F6A" w14:textId="77777777" w:rsidR="002E474C" w:rsidRDefault="00000000">
            <w:pPr>
              <w:pStyle w:val="A-"/>
            </w:pPr>
            <w:r>
              <w:t>浓度类型</w:t>
            </w:r>
          </w:p>
        </w:tc>
        <w:tc>
          <w:tcPr>
            <w:tcW w:w="662" w:type="pct"/>
            <w:noWrap/>
            <w:vAlign w:val="center"/>
          </w:tcPr>
          <w:p w14:paraId="028EC84D" w14:textId="77777777" w:rsidR="002E474C" w:rsidRDefault="00000000">
            <w:pPr>
              <w:pStyle w:val="A-"/>
            </w:pPr>
            <w:r>
              <w:t>浓度增量</w:t>
            </w:r>
            <w:r>
              <w:t>(ppb)</w:t>
            </w:r>
          </w:p>
        </w:tc>
        <w:tc>
          <w:tcPr>
            <w:tcW w:w="463" w:type="pct"/>
            <w:noWrap/>
            <w:vAlign w:val="center"/>
          </w:tcPr>
          <w:p w14:paraId="3AA6EFF0" w14:textId="77777777" w:rsidR="002E474C" w:rsidRDefault="00000000">
            <w:pPr>
              <w:pStyle w:val="A-"/>
            </w:pPr>
            <w:r>
              <w:t>出现时间</w:t>
            </w:r>
          </w:p>
        </w:tc>
        <w:tc>
          <w:tcPr>
            <w:tcW w:w="662" w:type="pct"/>
            <w:noWrap/>
            <w:vAlign w:val="center"/>
          </w:tcPr>
          <w:p w14:paraId="314FAC59" w14:textId="77777777" w:rsidR="002E474C" w:rsidRDefault="00000000">
            <w:pPr>
              <w:pStyle w:val="A-"/>
            </w:pPr>
            <w:r>
              <w:t>评价标准</w:t>
            </w:r>
            <w:r>
              <w:t>(ppb)</w:t>
            </w:r>
          </w:p>
        </w:tc>
        <w:tc>
          <w:tcPr>
            <w:tcW w:w="631" w:type="pct"/>
            <w:noWrap/>
            <w:vAlign w:val="center"/>
          </w:tcPr>
          <w:p w14:paraId="58939ADD" w14:textId="77777777" w:rsidR="002E474C" w:rsidRDefault="00000000">
            <w:pPr>
              <w:pStyle w:val="A-"/>
            </w:pPr>
            <w:r>
              <w:t>占标率（</w:t>
            </w:r>
            <w:r>
              <w:t>%</w:t>
            </w:r>
            <w:r>
              <w:t>）</w:t>
            </w:r>
          </w:p>
        </w:tc>
        <w:tc>
          <w:tcPr>
            <w:tcW w:w="462" w:type="pct"/>
            <w:noWrap/>
            <w:vAlign w:val="center"/>
          </w:tcPr>
          <w:p w14:paraId="31A8E388" w14:textId="77777777" w:rsidR="002E474C" w:rsidRDefault="00000000">
            <w:pPr>
              <w:pStyle w:val="A-"/>
            </w:pPr>
            <w:r>
              <w:t>是否超标</w:t>
            </w:r>
          </w:p>
        </w:tc>
      </w:tr>
      <w:tr w:rsidR="002E474C" w14:paraId="33FF7FF3" w14:textId="77777777">
        <w:trPr>
          <w:trHeight w:val="285"/>
        </w:trPr>
        <w:tc>
          <w:tcPr>
            <w:tcW w:w="279" w:type="pct"/>
            <w:noWrap/>
            <w:vAlign w:val="center"/>
          </w:tcPr>
          <w:p w14:paraId="6DF9999E" w14:textId="77777777" w:rsidR="002E474C" w:rsidRDefault="00000000">
            <w:pPr>
              <w:pStyle w:val="A-"/>
            </w:pPr>
            <w:r>
              <w:t>1</w:t>
            </w:r>
          </w:p>
        </w:tc>
        <w:tc>
          <w:tcPr>
            <w:tcW w:w="739" w:type="pct"/>
            <w:noWrap/>
            <w:vAlign w:val="center"/>
          </w:tcPr>
          <w:p w14:paraId="1B873C62" w14:textId="77777777" w:rsidR="002E474C" w:rsidRDefault="00000000">
            <w:pPr>
              <w:pStyle w:val="A-"/>
            </w:pPr>
            <w:r>
              <w:t>阿乐惠镇</w:t>
            </w:r>
          </w:p>
        </w:tc>
        <w:tc>
          <w:tcPr>
            <w:tcW w:w="639" w:type="pct"/>
            <w:noWrap/>
            <w:vAlign w:val="center"/>
          </w:tcPr>
          <w:p w14:paraId="2E244A5A" w14:textId="77777777" w:rsidR="002E474C" w:rsidRDefault="00000000">
            <w:pPr>
              <w:pStyle w:val="A-"/>
            </w:pPr>
            <w:r>
              <w:t>-4151,1104</w:t>
            </w:r>
          </w:p>
        </w:tc>
        <w:tc>
          <w:tcPr>
            <w:tcW w:w="463" w:type="pct"/>
            <w:noWrap/>
            <w:vAlign w:val="center"/>
          </w:tcPr>
          <w:p w14:paraId="414534DD" w14:textId="77777777" w:rsidR="002E474C" w:rsidRDefault="00000000">
            <w:pPr>
              <w:pStyle w:val="A-"/>
            </w:pPr>
            <w:r>
              <w:t>年平均</w:t>
            </w:r>
          </w:p>
        </w:tc>
        <w:tc>
          <w:tcPr>
            <w:tcW w:w="662" w:type="pct"/>
            <w:noWrap/>
            <w:vAlign w:val="center"/>
          </w:tcPr>
          <w:p w14:paraId="1709D7C8" w14:textId="77777777" w:rsidR="002E474C" w:rsidRDefault="00000000">
            <w:pPr>
              <w:pStyle w:val="A-"/>
            </w:pPr>
            <w:r>
              <w:t>0.0000</w:t>
            </w:r>
          </w:p>
        </w:tc>
        <w:tc>
          <w:tcPr>
            <w:tcW w:w="463" w:type="pct"/>
            <w:noWrap/>
            <w:vAlign w:val="center"/>
          </w:tcPr>
          <w:p w14:paraId="6FA7D0CC" w14:textId="77777777" w:rsidR="002E474C" w:rsidRDefault="00000000">
            <w:pPr>
              <w:pStyle w:val="A-"/>
            </w:pPr>
            <w:r>
              <w:t>平均值</w:t>
            </w:r>
          </w:p>
        </w:tc>
        <w:tc>
          <w:tcPr>
            <w:tcW w:w="662" w:type="pct"/>
            <w:noWrap/>
            <w:vAlign w:val="center"/>
          </w:tcPr>
          <w:p w14:paraId="14020458" w14:textId="77777777" w:rsidR="002E474C" w:rsidRDefault="00000000">
            <w:pPr>
              <w:pStyle w:val="A-"/>
            </w:pPr>
            <w:r>
              <w:t>0.6</w:t>
            </w:r>
          </w:p>
        </w:tc>
        <w:tc>
          <w:tcPr>
            <w:tcW w:w="631" w:type="pct"/>
            <w:noWrap/>
            <w:vAlign w:val="center"/>
          </w:tcPr>
          <w:p w14:paraId="2C6D5C8B" w14:textId="77777777" w:rsidR="002E474C" w:rsidRDefault="00000000">
            <w:pPr>
              <w:pStyle w:val="A-"/>
            </w:pPr>
            <w:r>
              <w:t>0</w:t>
            </w:r>
          </w:p>
        </w:tc>
        <w:tc>
          <w:tcPr>
            <w:tcW w:w="462" w:type="pct"/>
            <w:noWrap/>
            <w:vAlign w:val="center"/>
          </w:tcPr>
          <w:p w14:paraId="7A83F94A" w14:textId="77777777" w:rsidR="002E474C" w:rsidRDefault="00000000">
            <w:pPr>
              <w:pStyle w:val="A-"/>
            </w:pPr>
            <w:r>
              <w:t>达标</w:t>
            </w:r>
          </w:p>
        </w:tc>
      </w:tr>
      <w:tr w:rsidR="002E474C" w14:paraId="79EEDB7E" w14:textId="77777777">
        <w:trPr>
          <w:trHeight w:val="285"/>
        </w:trPr>
        <w:tc>
          <w:tcPr>
            <w:tcW w:w="279" w:type="pct"/>
            <w:noWrap/>
            <w:vAlign w:val="center"/>
          </w:tcPr>
          <w:p w14:paraId="6BDC4EB0" w14:textId="77777777" w:rsidR="002E474C" w:rsidRDefault="00000000">
            <w:pPr>
              <w:pStyle w:val="A-"/>
            </w:pPr>
            <w:r>
              <w:t>2</w:t>
            </w:r>
          </w:p>
        </w:tc>
        <w:tc>
          <w:tcPr>
            <w:tcW w:w="739" w:type="pct"/>
            <w:noWrap/>
            <w:vAlign w:val="center"/>
          </w:tcPr>
          <w:p w14:paraId="7DC3A5BA" w14:textId="77777777" w:rsidR="002E474C" w:rsidRDefault="00000000">
            <w:pPr>
              <w:pStyle w:val="A-"/>
            </w:pPr>
            <w:r>
              <w:t>电石厂员工公寓</w:t>
            </w:r>
          </w:p>
        </w:tc>
        <w:tc>
          <w:tcPr>
            <w:tcW w:w="639" w:type="pct"/>
            <w:noWrap/>
            <w:vAlign w:val="center"/>
          </w:tcPr>
          <w:p w14:paraId="55B9D112" w14:textId="77777777" w:rsidR="002E474C" w:rsidRDefault="00000000">
            <w:pPr>
              <w:pStyle w:val="A-"/>
            </w:pPr>
            <w:r>
              <w:t>-1901,92</w:t>
            </w:r>
          </w:p>
        </w:tc>
        <w:tc>
          <w:tcPr>
            <w:tcW w:w="463" w:type="pct"/>
            <w:noWrap/>
            <w:vAlign w:val="center"/>
          </w:tcPr>
          <w:p w14:paraId="54968D29" w14:textId="77777777" w:rsidR="002E474C" w:rsidRDefault="00000000">
            <w:pPr>
              <w:pStyle w:val="A-"/>
            </w:pPr>
            <w:r>
              <w:t>年平均</w:t>
            </w:r>
          </w:p>
        </w:tc>
        <w:tc>
          <w:tcPr>
            <w:tcW w:w="662" w:type="pct"/>
            <w:noWrap/>
            <w:vAlign w:val="center"/>
          </w:tcPr>
          <w:p w14:paraId="2EB22DC5" w14:textId="77777777" w:rsidR="002E474C" w:rsidRDefault="00000000">
            <w:pPr>
              <w:pStyle w:val="A-"/>
            </w:pPr>
            <w:r>
              <w:t>0.0000</w:t>
            </w:r>
          </w:p>
        </w:tc>
        <w:tc>
          <w:tcPr>
            <w:tcW w:w="463" w:type="pct"/>
            <w:noWrap/>
            <w:vAlign w:val="center"/>
          </w:tcPr>
          <w:p w14:paraId="0492AA2C" w14:textId="77777777" w:rsidR="002E474C" w:rsidRDefault="00000000">
            <w:pPr>
              <w:pStyle w:val="A-"/>
            </w:pPr>
            <w:r>
              <w:t>平均值</w:t>
            </w:r>
          </w:p>
        </w:tc>
        <w:tc>
          <w:tcPr>
            <w:tcW w:w="662" w:type="pct"/>
            <w:noWrap/>
            <w:vAlign w:val="center"/>
          </w:tcPr>
          <w:p w14:paraId="09971807" w14:textId="77777777" w:rsidR="002E474C" w:rsidRDefault="00000000">
            <w:pPr>
              <w:pStyle w:val="A-"/>
            </w:pPr>
            <w:r>
              <w:t>0.6</w:t>
            </w:r>
          </w:p>
        </w:tc>
        <w:tc>
          <w:tcPr>
            <w:tcW w:w="631" w:type="pct"/>
            <w:noWrap/>
            <w:vAlign w:val="center"/>
          </w:tcPr>
          <w:p w14:paraId="0481874F" w14:textId="77777777" w:rsidR="002E474C" w:rsidRDefault="00000000">
            <w:pPr>
              <w:pStyle w:val="A-"/>
            </w:pPr>
            <w:r>
              <w:t>0</w:t>
            </w:r>
          </w:p>
        </w:tc>
        <w:tc>
          <w:tcPr>
            <w:tcW w:w="462" w:type="pct"/>
            <w:noWrap/>
            <w:vAlign w:val="center"/>
          </w:tcPr>
          <w:p w14:paraId="78308F1A" w14:textId="77777777" w:rsidR="002E474C" w:rsidRDefault="00000000">
            <w:pPr>
              <w:pStyle w:val="A-"/>
            </w:pPr>
            <w:r>
              <w:t>达标</w:t>
            </w:r>
          </w:p>
        </w:tc>
      </w:tr>
      <w:tr w:rsidR="002E474C" w14:paraId="71A7A194" w14:textId="77777777">
        <w:trPr>
          <w:trHeight w:val="285"/>
        </w:trPr>
        <w:tc>
          <w:tcPr>
            <w:tcW w:w="279" w:type="pct"/>
            <w:noWrap/>
            <w:vAlign w:val="center"/>
          </w:tcPr>
          <w:p w14:paraId="5B676523" w14:textId="77777777" w:rsidR="002E474C" w:rsidRDefault="00000000">
            <w:pPr>
              <w:pStyle w:val="A-"/>
            </w:pPr>
            <w:r>
              <w:t>3</w:t>
            </w:r>
          </w:p>
        </w:tc>
        <w:tc>
          <w:tcPr>
            <w:tcW w:w="739" w:type="pct"/>
            <w:noWrap/>
            <w:vAlign w:val="center"/>
          </w:tcPr>
          <w:p w14:paraId="289FCD01" w14:textId="77777777" w:rsidR="002E474C" w:rsidRDefault="00000000">
            <w:pPr>
              <w:pStyle w:val="A-"/>
            </w:pPr>
            <w:r>
              <w:t>网格</w:t>
            </w:r>
          </w:p>
        </w:tc>
        <w:tc>
          <w:tcPr>
            <w:tcW w:w="639" w:type="pct"/>
            <w:noWrap/>
            <w:vAlign w:val="center"/>
          </w:tcPr>
          <w:p w14:paraId="15885850" w14:textId="77777777" w:rsidR="002E474C" w:rsidRDefault="00000000">
            <w:pPr>
              <w:pStyle w:val="A-"/>
            </w:pPr>
            <w:r>
              <w:t>-13500,-13250</w:t>
            </w:r>
          </w:p>
        </w:tc>
        <w:tc>
          <w:tcPr>
            <w:tcW w:w="463" w:type="pct"/>
            <w:noWrap/>
            <w:vAlign w:val="center"/>
          </w:tcPr>
          <w:p w14:paraId="2AB0AA57" w14:textId="77777777" w:rsidR="002E474C" w:rsidRDefault="00000000">
            <w:pPr>
              <w:pStyle w:val="A-"/>
            </w:pPr>
            <w:r>
              <w:t>年平均</w:t>
            </w:r>
          </w:p>
        </w:tc>
        <w:tc>
          <w:tcPr>
            <w:tcW w:w="662" w:type="pct"/>
            <w:noWrap/>
            <w:vAlign w:val="center"/>
          </w:tcPr>
          <w:p w14:paraId="568384B3" w14:textId="77777777" w:rsidR="002E474C" w:rsidRDefault="00000000">
            <w:pPr>
              <w:pStyle w:val="A-"/>
            </w:pPr>
            <w:r>
              <w:t>0.0000</w:t>
            </w:r>
          </w:p>
        </w:tc>
        <w:tc>
          <w:tcPr>
            <w:tcW w:w="463" w:type="pct"/>
            <w:noWrap/>
            <w:vAlign w:val="center"/>
          </w:tcPr>
          <w:p w14:paraId="0E86B09B" w14:textId="77777777" w:rsidR="002E474C" w:rsidRDefault="00000000">
            <w:pPr>
              <w:pStyle w:val="A-"/>
            </w:pPr>
            <w:r>
              <w:t>平均值</w:t>
            </w:r>
          </w:p>
        </w:tc>
        <w:tc>
          <w:tcPr>
            <w:tcW w:w="662" w:type="pct"/>
            <w:noWrap/>
            <w:vAlign w:val="center"/>
          </w:tcPr>
          <w:p w14:paraId="6031DB29" w14:textId="77777777" w:rsidR="002E474C" w:rsidRDefault="00000000">
            <w:pPr>
              <w:pStyle w:val="A-"/>
            </w:pPr>
            <w:r>
              <w:t>0.6</w:t>
            </w:r>
          </w:p>
        </w:tc>
        <w:tc>
          <w:tcPr>
            <w:tcW w:w="631" w:type="pct"/>
            <w:noWrap/>
            <w:vAlign w:val="center"/>
          </w:tcPr>
          <w:p w14:paraId="73B19E37" w14:textId="77777777" w:rsidR="002E474C" w:rsidRDefault="00000000">
            <w:pPr>
              <w:pStyle w:val="A-"/>
            </w:pPr>
            <w:r>
              <w:t>0</w:t>
            </w:r>
          </w:p>
        </w:tc>
        <w:tc>
          <w:tcPr>
            <w:tcW w:w="462" w:type="pct"/>
            <w:noWrap/>
            <w:vAlign w:val="center"/>
          </w:tcPr>
          <w:p w14:paraId="000F9A85" w14:textId="77777777" w:rsidR="002E474C" w:rsidRDefault="00000000">
            <w:pPr>
              <w:pStyle w:val="A-"/>
            </w:pPr>
            <w:r>
              <w:t>达标</w:t>
            </w:r>
          </w:p>
        </w:tc>
      </w:tr>
    </w:tbl>
    <w:p w14:paraId="46EE8CA0" w14:textId="77777777" w:rsidR="002E474C" w:rsidRDefault="002E474C">
      <w:pPr>
        <w:pStyle w:val="A-0"/>
        <w:rPr>
          <w:color w:val="auto"/>
        </w:rPr>
      </w:pPr>
    </w:p>
    <w:p w14:paraId="48959FEE" w14:textId="77777777" w:rsidR="002E474C" w:rsidRDefault="002E474C">
      <w:pPr>
        <w:pStyle w:val="A-z"/>
        <w:rPr>
          <w:color w:val="auto"/>
        </w:rPr>
        <w:sectPr w:rsidR="002E474C">
          <w:pgSz w:w="16838" w:h="11906" w:orient="landscape"/>
          <w:pgMar w:top="1800" w:right="1440" w:bottom="1800" w:left="1440" w:header="851" w:footer="992" w:gutter="0"/>
          <w:cols w:space="720"/>
          <w:docGrid w:linePitch="312"/>
        </w:sectPr>
      </w:pPr>
    </w:p>
    <w:p w14:paraId="2F254414" w14:textId="77777777" w:rsidR="002E474C" w:rsidRDefault="00000000">
      <w:pPr>
        <w:pStyle w:val="A-z"/>
        <w:rPr>
          <w:color w:val="auto"/>
        </w:rPr>
      </w:pPr>
      <w:r>
        <w:rPr>
          <w:color w:val="auto"/>
        </w:rPr>
        <w:lastRenderedPageBreak/>
        <w:t>根据预测结果，可得出：</w:t>
      </w:r>
    </w:p>
    <w:p w14:paraId="43B18C35" w14:textId="77777777" w:rsidR="002E474C" w:rsidRDefault="00000000">
      <w:pPr>
        <w:pStyle w:val="A-z"/>
        <w:rPr>
          <w:color w:val="auto"/>
        </w:rPr>
      </w:pPr>
      <w:r>
        <w:rPr>
          <w:color w:val="auto"/>
        </w:rPr>
        <w:t>预测网格内</w:t>
      </w:r>
      <w:r>
        <w:rPr>
          <w:color w:val="auto"/>
        </w:rPr>
        <w:t>HCl</w:t>
      </w:r>
      <w:r>
        <w:rPr>
          <w:color w:val="auto"/>
        </w:rPr>
        <w:t>小时、日均最大落地浓度贡献值分别为</w:t>
      </w:r>
      <w:r>
        <w:rPr>
          <w:color w:val="auto"/>
        </w:rPr>
        <w:t>19.9μg/m³</w:t>
      </w:r>
      <w:r>
        <w:rPr>
          <w:color w:val="auto"/>
        </w:rPr>
        <w:t>、</w:t>
      </w:r>
      <w:r>
        <w:rPr>
          <w:color w:val="auto"/>
        </w:rPr>
        <w:t>2.14μg/m³</w:t>
      </w:r>
      <w:r>
        <w:rPr>
          <w:color w:val="auto"/>
        </w:rPr>
        <w:t>，其占标率分别为</w:t>
      </w:r>
      <w:r>
        <w:rPr>
          <w:color w:val="auto"/>
        </w:rPr>
        <w:t>39.81%</w:t>
      </w:r>
      <w:r>
        <w:rPr>
          <w:color w:val="auto"/>
        </w:rPr>
        <w:t>、</w:t>
      </w:r>
      <w:r>
        <w:rPr>
          <w:color w:val="auto"/>
        </w:rPr>
        <w:t>14.29%</w:t>
      </w:r>
      <w:r>
        <w:rPr>
          <w:color w:val="auto"/>
        </w:rPr>
        <w:t>。</w:t>
      </w:r>
    </w:p>
    <w:p w14:paraId="0D5C9809" w14:textId="77777777" w:rsidR="002E474C" w:rsidRDefault="00000000">
      <w:pPr>
        <w:pStyle w:val="A-z"/>
        <w:rPr>
          <w:color w:val="auto"/>
        </w:rPr>
      </w:pPr>
      <w:r>
        <w:rPr>
          <w:color w:val="auto"/>
        </w:rPr>
        <w:t>预测网格内</w:t>
      </w:r>
      <w:r>
        <w:rPr>
          <w:color w:val="auto"/>
        </w:rPr>
        <w:t>HF</w:t>
      </w:r>
      <w:r>
        <w:rPr>
          <w:color w:val="auto"/>
        </w:rPr>
        <w:t>日均最大落地浓度贡献值为</w:t>
      </w:r>
      <w:r>
        <w:rPr>
          <w:color w:val="auto"/>
        </w:rPr>
        <w:t>0.157μg/m³</w:t>
      </w:r>
      <w:r>
        <w:rPr>
          <w:color w:val="auto"/>
        </w:rPr>
        <w:t>，占标率为</w:t>
      </w:r>
      <w:r>
        <w:rPr>
          <w:color w:val="auto"/>
        </w:rPr>
        <w:t>2.24%</w:t>
      </w:r>
      <w:r>
        <w:rPr>
          <w:color w:val="auto"/>
        </w:rPr>
        <w:t>。</w:t>
      </w:r>
    </w:p>
    <w:p w14:paraId="34414F63" w14:textId="77777777" w:rsidR="002E474C" w:rsidRDefault="00000000">
      <w:pPr>
        <w:pStyle w:val="A-z"/>
        <w:rPr>
          <w:color w:val="auto"/>
        </w:rPr>
      </w:pPr>
      <w:r>
        <w:rPr>
          <w:color w:val="auto"/>
        </w:rPr>
        <w:t>预测网格内</w:t>
      </w:r>
      <w:r>
        <w:rPr>
          <w:color w:val="auto"/>
        </w:rPr>
        <w:t>H</w:t>
      </w:r>
      <w:r>
        <w:rPr>
          <w:color w:val="auto"/>
          <w:vertAlign w:val="subscript"/>
        </w:rPr>
        <w:t>2</w:t>
      </w:r>
      <w:r>
        <w:rPr>
          <w:color w:val="auto"/>
        </w:rPr>
        <w:t>S</w:t>
      </w:r>
      <w:r>
        <w:rPr>
          <w:color w:val="auto"/>
        </w:rPr>
        <w:t>小时最大落地浓度贡献值为</w:t>
      </w:r>
      <w:r>
        <w:rPr>
          <w:color w:val="auto"/>
        </w:rPr>
        <w:t>0.9280μg/m³</w:t>
      </w:r>
      <w:r>
        <w:rPr>
          <w:color w:val="auto"/>
        </w:rPr>
        <w:t>，占标率为</w:t>
      </w:r>
      <w:r>
        <w:rPr>
          <w:color w:val="auto"/>
        </w:rPr>
        <w:t>9.28%</w:t>
      </w:r>
      <w:r>
        <w:rPr>
          <w:color w:val="auto"/>
        </w:rPr>
        <w:t>。</w:t>
      </w:r>
    </w:p>
    <w:p w14:paraId="488F52B2" w14:textId="77777777" w:rsidR="002E474C" w:rsidRDefault="00000000">
      <w:pPr>
        <w:pStyle w:val="A-z"/>
        <w:rPr>
          <w:color w:val="auto"/>
        </w:rPr>
      </w:pPr>
      <w:r>
        <w:rPr>
          <w:color w:val="auto"/>
        </w:rPr>
        <w:t>预测网格内</w:t>
      </w:r>
      <w:r>
        <w:rPr>
          <w:color w:val="auto"/>
        </w:rPr>
        <w:t>NH</w:t>
      </w:r>
      <w:r>
        <w:rPr>
          <w:color w:val="auto"/>
          <w:vertAlign w:val="subscript"/>
        </w:rPr>
        <w:t>3</w:t>
      </w:r>
      <w:r>
        <w:rPr>
          <w:color w:val="auto"/>
        </w:rPr>
        <w:t>小时最大落地浓度贡献值为</w:t>
      </w:r>
      <w:r>
        <w:rPr>
          <w:color w:val="auto"/>
        </w:rPr>
        <w:t>10.80μg/m³</w:t>
      </w:r>
      <w:r>
        <w:rPr>
          <w:color w:val="auto"/>
        </w:rPr>
        <w:t>，占标率为</w:t>
      </w:r>
      <w:r>
        <w:rPr>
          <w:color w:val="auto"/>
        </w:rPr>
        <w:t>5.39%</w:t>
      </w:r>
      <w:r>
        <w:rPr>
          <w:color w:val="auto"/>
        </w:rPr>
        <w:t>。</w:t>
      </w:r>
    </w:p>
    <w:p w14:paraId="3D644650" w14:textId="77777777" w:rsidR="002E474C" w:rsidRDefault="00000000">
      <w:pPr>
        <w:pStyle w:val="A-z"/>
        <w:rPr>
          <w:color w:val="auto"/>
        </w:rPr>
      </w:pPr>
      <w:r>
        <w:rPr>
          <w:color w:val="auto"/>
        </w:rPr>
        <w:t>预测网格内</w:t>
      </w:r>
      <w:r>
        <w:rPr>
          <w:color w:val="auto"/>
        </w:rPr>
        <w:t>NMHC</w:t>
      </w:r>
      <w:r>
        <w:rPr>
          <w:color w:val="auto"/>
        </w:rPr>
        <w:t>小时最大落地浓度贡献值为</w:t>
      </w:r>
      <w:r>
        <w:rPr>
          <w:color w:val="auto"/>
        </w:rPr>
        <w:t>11.70μg/m³</w:t>
      </w:r>
      <w:r>
        <w:rPr>
          <w:color w:val="auto"/>
        </w:rPr>
        <w:t>，占标率为</w:t>
      </w:r>
      <w:r>
        <w:rPr>
          <w:color w:val="auto"/>
        </w:rPr>
        <w:t>0.59%</w:t>
      </w:r>
      <w:r>
        <w:rPr>
          <w:color w:val="auto"/>
        </w:rPr>
        <w:t>。</w:t>
      </w:r>
    </w:p>
    <w:p w14:paraId="4AEA4820" w14:textId="77777777" w:rsidR="002E474C" w:rsidRDefault="00000000">
      <w:pPr>
        <w:pStyle w:val="A-z"/>
        <w:rPr>
          <w:color w:val="auto"/>
        </w:rPr>
      </w:pPr>
      <w:r>
        <w:rPr>
          <w:color w:val="auto"/>
          <w:lang w:val="en-US"/>
        </w:rPr>
        <w:t>预测网格内</w:t>
      </w:r>
      <w:r>
        <w:rPr>
          <w:color w:val="auto"/>
        </w:rPr>
        <w:t>As</w:t>
      </w:r>
      <w:r>
        <w:rPr>
          <w:color w:val="auto"/>
        </w:rPr>
        <w:t>、</w:t>
      </w:r>
      <w:r>
        <w:rPr>
          <w:color w:val="auto"/>
        </w:rPr>
        <w:t>Pb</w:t>
      </w:r>
      <w:r>
        <w:rPr>
          <w:color w:val="auto"/>
        </w:rPr>
        <w:t>、</w:t>
      </w:r>
      <w:r>
        <w:rPr>
          <w:color w:val="auto"/>
        </w:rPr>
        <w:t>Hg</w:t>
      </w:r>
      <w:r>
        <w:rPr>
          <w:color w:val="auto"/>
        </w:rPr>
        <w:t>、</w:t>
      </w:r>
      <w:r>
        <w:rPr>
          <w:color w:val="auto"/>
        </w:rPr>
        <w:t>Cr</w:t>
      </w:r>
      <w:r>
        <w:rPr>
          <w:color w:val="auto"/>
          <w:vertAlign w:val="superscript"/>
        </w:rPr>
        <w:t>6+</w:t>
      </w:r>
      <w:r>
        <w:rPr>
          <w:color w:val="auto"/>
        </w:rPr>
        <w:t>、</w:t>
      </w:r>
      <w:r>
        <w:rPr>
          <w:color w:val="auto"/>
        </w:rPr>
        <w:t>Cd</w:t>
      </w:r>
      <w:r>
        <w:rPr>
          <w:color w:val="auto"/>
        </w:rPr>
        <w:t>年均、</w:t>
      </w:r>
      <w:r>
        <w:rPr>
          <w:color w:val="auto"/>
        </w:rPr>
        <w:t>Mn</w:t>
      </w:r>
      <w:r>
        <w:rPr>
          <w:color w:val="auto"/>
        </w:rPr>
        <w:t>日均、</w:t>
      </w:r>
      <w:r>
        <w:rPr>
          <w:color w:val="auto"/>
        </w:rPr>
        <w:t>Ni</w:t>
      </w:r>
      <w:r>
        <w:rPr>
          <w:color w:val="auto"/>
        </w:rPr>
        <w:t>小时</w:t>
      </w:r>
      <w:r>
        <w:rPr>
          <w:color w:val="auto"/>
          <w:lang w:val="en-US"/>
        </w:rPr>
        <w:t>最大落地浓度贡献值均为</w:t>
      </w:r>
      <w:r>
        <w:rPr>
          <w:color w:val="auto"/>
          <w:lang w:val="en-US"/>
        </w:rPr>
        <w:t>0</w:t>
      </w:r>
      <w:r>
        <w:rPr>
          <w:color w:val="auto"/>
        </w:rPr>
        <w:t>μ</w:t>
      </w:r>
      <w:r>
        <w:rPr>
          <w:color w:val="auto"/>
          <w:lang w:val="en-US"/>
        </w:rPr>
        <w:t>g/m</w:t>
      </w:r>
      <w:r>
        <w:rPr>
          <w:color w:val="auto"/>
        </w:rPr>
        <w:t>³</w:t>
      </w:r>
      <w:r>
        <w:rPr>
          <w:color w:val="auto"/>
          <w:lang w:val="en-US"/>
        </w:rPr>
        <w:t>，</w:t>
      </w:r>
      <w:r>
        <w:rPr>
          <w:color w:val="auto"/>
        </w:rPr>
        <w:t>二噁英类年均</w:t>
      </w:r>
      <w:r>
        <w:rPr>
          <w:color w:val="auto"/>
          <w:lang w:val="en-US"/>
        </w:rPr>
        <w:t>最大落地浓度贡献值均为</w:t>
      </w:r>
      <w:r>
        <w:rPr>
          <w:color w:val="auto"/>
          <w:lang w:val="en-US"/>
        </w:rPr>
        <w:t>0ppb</w:t>
      </w:r>
      <w:r>
        <w:rPr>
          <w:color w:val="auto"/>
          <w:lang w:val="en-US"/>
        </w:rPr>
        <w:t>，其中</w:t>
      </w:r>
      <w:r>
        <w:rPr>
          <w:color w:val="auto"/>
        </w:rPr>
        <w:t>As</w:t>
      </w:r>
      <w:r>
        <w:rPr>
          <w:color w:val="auto"/>
        </w:rPr>
        <w:t>、</w:t>
      </w:r>
      <w:r>
        <w:rPr>
          <w:color w:val="auto"/>
        </w:rPr>
        <w:t>Pb</w:t>
      </w:r>
      <w:r>
        <w:rPr>
          <w:color w:val="auto"/>
        </w:rPr>
        <w:t>、</w:t>
      </w:r>
      <w:r>
        <w:rPr>
          <w:color w:val="auto"/>
        </w:rPr>
        <w:t>Cr</w:t>
      </w:r>
      <w:r>
        <w:rPr>
          <w:color w:val="auto"/>
          <w:vertAlign w:val="superscript"/>
        </w:rPr>
        <w:t>6+</w:t>
      </w:r>
      <w:r>
        <w:rPr>
          <w:color w:val="auto"/>
        </w:rPr>
        <w:t>、</w:t>
      </w:r>
      <w:r>
        <w:rPr>
          <w:color w:val="auto"/>
        </w:rPr>
        <w:t>Cd</w:t>
      </w:r>
      <w:r>
        <w:rPr>
          <w:color w:val="auto"/>
        </w:rPr>
        <w:t>年均</w:t>
      </w:r>
      <w:r>
        <w:rPr>
          <w:color w:val="auto"/>
          <w:lang w:val="en-US"/>
        </w:rPr>
        <w:t>最大落地浓度占标率为</w:t>
      </w:r>
      <w:r>
        <w:rPr>
          <w:color w:val="auto"/>
          <w:lang w:val="en-US"/>
        </w:rPr>
        <w:t>0</w:t>
      </w:r>
      <w:r>
        <w:rPr>
          <w:color w:val="auto"/>
          <w:lang w:val="en-US"/>
        </w:rPr>
        <w:t>、</w:t>
      </w:r>
      <w:r>
        <w:rPr>
          <w:color w:val="auto"/>
        </w:rPr>
        <w:t>二噁英类日均</w:t>
      </w:r>
      <w:r>
        <w:rPr>
          <w:color w:val="auto"/>
          <w:lang w:val="en-US"/>
        </w:rPr>
        <w:t>最大落地浓度占标率为</w:t>
      </w:r>
      <w:r>
        <w:rPr>
          <w:color w:val="auto"/>
          <w:lang w:val="en-US"/>
        </w:rPr>
        <w:t>0</w:t>
      </w:r>
      <w:r>
        <w:rPr>
          <w:color w:val="auto"/>
          <w:lang w:val="en-US"/>
        </w:rPr>
        <w:t>、</w:t>
      </w:r>
      <w:r>
        <w:rPr>
          <w:color w:val="auto"/>
        </w:rPr>
        <w:t>Hg</w:t>
      </w:r>
      <w:r>
        <w:rPr>
          <w:color w:val="auto"/>
        </w:rPr>
        <w:t>年均</w:t>
      </w:r>
      <w:r>
        <w:rPr>
          <w:color w:val="auto"/>
          <w:lang w:val="en-US"/>
        </w:rPr>
        <w:t>最大落地浓度占标率</w:t>
      </w:r>
      <w:r>
        <w:rPr>
          <w:color w:val="auto"/>
          <w:lang w:val="en-US"/>
        </w:rPr>
        <w:t>0.02%</w:t>
      </w:r>
      <w:r>
        <w:rPr>
          <w:color w:val="auto"/>
          <w:lang w:val="en-US"/>
        </w:rPr>
        <w:t>、</w:t>
      </w:r>
      <w:r>
        <w:rPr>
          <w:color w:val="auto"/>
        </w:rPr>
        <w:t>Mn</w:t>
      </w:r>
      <w:r>
        <w:rPr>
          <w:color w:val="auto"/>
        </w:rPr>
        <w:t>日均</w:t>
      </w:r>
      <w:r>
        <w:rPr>
          <w:color w:val="auto"/>
          <w:lang w:val="en-US"/>
        </w:rPr>
        <w:t>最大落地浓度占标率</w:t>
      </w:r>
      <w:r>
        <w:rPr>
          <w:color w:val="auto"/>
          <w:lang w:val="en-US"/>
        </w:rPr>
        <w:t>0.01%</w:t>
      </w:r>
      <w:r>
        <w:rPr>
          <w:color w:val="auto"/>
          <w:lang w:val="en-US"/>
        </w:rPr>
        <w:t>。</w:t>
      </w:r>
    </w:p>
    <w:p w14:paraId="18DDBE08" w14:textId="584074CF" w:rsidR="002E474C" w:rsidRDefault="00000000">
      <w:pPr>
        <w:pStyle w:val="A-z"/>
        <w:rPr>
          <w:color w:val="auto"/>
        </w:rPr>
      </w:pPr>
      <w:r>
        <w:rPr>
          <w:color w:val="auto"/>
        </w:rPr>
        <w:t>综上分析，项目新增污染源正常排放下各污染物短期浓度贡献值的最大浓度占标率</w:t>
      </w:r>
      <w:r>
        <w:rPr>
          <w:color w:val="auto"/>
        </w:rPr>
        <w:t>≤10</w:t>
      </w:r>
      <w:r w:rsidRPr="009C3A0E">
        <w:rPr>
          <w:color w:val="auto"/>
        </w:rPr>
        <w:t>0%</w:t>
      </w:r>
      <w:r w:rsidRPr="009C3A0E">
        <w:rPr>
          <w:color w:val="auto"/>
        </w:rPr>
        <w:t>，新增污染源正常排放下各污染物年平均浓度贡献值的最大浓度占标率</w:t>
      </w:r>
      <w:r w:rsidRPr="009C3A0E">
        <w:rPr>
          <w:color w:val="auto"/>
        </w:rPr>
        <w:t>≤30%</w:t>
      </w:r>
      <w:r w:rsidRPr="009C3A0E">
        <w:rPr>
          <w:color w:val="auto"/>
        </w:rPr>
        <w:t>。</w:t>
      </w:r>
      <w:r w:rsidR="0043221C" w:rsidRPr="009C3A0E">
        <w:rPr>
          <w:rFonts w:hint="eastAsia"/>
          <w:color w:val="auto"/>
        </w:rPr>
        <w:t>符合</w:t>
      </w:r>
      <w:r w:rsidR="0043221C" w:rsidRPr="009C3A0E">
        <w:rPr>
          <w:color w:val="auto"/>
        </w:rPr>
        <w:t>《环境影响评价技术导则</w:t>
      </w:r>
      <w:r w:rsidR="0043221C" w:rsidRPr="009C3A0E">
        <w:rPr>
          <w:color w:val="auto"/>
        </w:rPr>
        <w:t xml:space="preserve"> </w:t>
      </w:r>
      <w:r w:rsidR="0043221C" w:rsidRPr="009C3A0E">
        <w:rPr>
          <w:color w:val="auto"/>
        </w:rPr>
        <w:t>大气环境》（</w:t>
      </w:r>
      <w:r w:rsidR="0043221C" w:rsidRPr="009C3A0E">
        <w:rPr>
          <w:color w:val="auto"/>
        </w:rPr>
        <w:t>HJ2.2-2018</w:t>
      </w:r>
      <w:r w:rsidR="0043221C" w:rsidRPr="009C3A0E">
        <w:rPr>
          <w:color w:val="auto"/>
        </w:rPr>
        <w:t>）</w:t>
      </w:r>
      <w:r w:rsidR="0043221C" w:rsidRPr="009C3A0E">
        <w:rPr>
          <w:rFonts w:hint="eastAsia"/>
          <w:color w:val="auto"/>
        </w:rPr>
        <w:t>关于不达标区域，污染源正常排放下污染物短期浓度贡献值的最大浓度占标率≤</w:t>
      </w:r>
      <w:r w:rsidR="0043221C" w:rsidRPr="009C3A0E">
        <w:rPr>
          <w:rFonts w:hint="eastAsia"/>
          <w:color w:val="auto"/>
        </w:rPr>
        <w:t>100%</w:t>
      </w:r>
      <w:r w:rsidR="0043221C" w:rsidRPr="009C3A0E">
        <w:rPr>
          <w:rFonts w:hint="eastAsia"/>
          <w:color w:val="auto"/>
        </w:rPr>
        <w:t>，新增污染源正常排放下污染物年均浓度贡献值的最大浓度占标率≤</w:t>
      </w:r>
      <w:r w:rsidR="0043221C" w:rsidRPr="009C3A0E">
        <w:rPr>
          <w:rFonts w:hint="eastAsia"/>
          <w:color w:val="auto"/>
        </w:rPr>
        <w:t>30%</w:t>
      </w:r>
      <w:r w:rsidR="0043221C" w:rsidRPr="009C3A0E">
        <w:rPr>
          <w:rFonts w:hint="eastAsia"/>
          <w:color w:val="auto"/>
        </w:rPr>
        <w:t>，建设项目环境影响可接受条件。</w:t>
      </w:r>
    </w:p>
    <w:p w14:paraId="0DCFFA8C" w14:textId="77777777" w:rsidR="002E474C" w:rsidRDefault="00000000">
      <w:pPr>
        <w:pStyle w:val="41"/>
        <w:rPr>
          <w:color w:val="auto"/>
        </w:rPr>
      </w:pPr>
      <w:r>
        <w:rPr>
          <w:color w:val="auto"/>
        </w:rPr>
        <w:t>主要污染物环境影响叠加值</w:t>
      </w:r>
    </w:p>
    <w:p w14:paraId="7ECB84D4" w14:textId="77777777" w:rsidR="002E474C" w:rsidRDefault="00000000">
      <w:pPr>
        <w:pStyle w:val="A-z"/>
        <w:rPr>
          <w:color w:val="auto"/>
        </w:rPr>
      </w:pPr>
      <w:r>
        <w:rPr>
          <w:color w:val="auto"/>
        </w:rPr>
        <w:t>项目正常排放条件下，</w:t>
      </w:r>
      <w:r>
        <w:rPr>
          <w:rFonts w:hint="eastAsia"/>
          <w:color w:val="auto"/>
        </w:rPr>
        <w:t>本项目</w:t>
      </w:r>
      <w:r>
        <w:rPr>
          <w:color w:val="auto"/>
        </w:rPr>
        <w:t>主要污染</w:t>
      </w:r>
      <w:r>
        <w:rPr>
          <w:rFonts w:hint="eastAsia"/>
          <w:color w:val="auto"/>
        </w:rPr>
        <w:t>源、</w:t>
      </w:r>
      <w:r>
        <w:rPr>
          <w:color w:val="auto"/>
        </w:rPr>
        <w:t>叠加在建污染源</w:t>
      </w:r>
      <w:r>
        <w:rPr>
          <w:rFonts w:hint="eastAsia"/>
          <w:color w:val="auto"/>
        </w:rPr>
        <w:t>及</w:t>
      </w:r>
      <w:r>
        <w:rPr>
          <w:color w:val="auto"/>
        </w:rPr>
        <w:t>现状浓度后</w:t>
      </w:r>
      <w:r>
        <w:rPr>
          <w:rFonts w:hint="eastAsia"/>
          <w:color w:val="auto"/>
        </w:rPr>
        <w:t>，</w:t>
      </w:r>
      <w:r>
        <w:rPr>
          <w:color w:val="auto"/>
        </w:rPr>
        <w:t>环境空气保护目标和网格点主要污染物保证率日平均浓度和年平均质量浓度预测结果见</w:t>
      </w:r>
      <w:r>
        <w:rPr>
          <w:color w:val="auto"/>
          <w:lang w:val="en-US"/>
        </w:rPr>
        <w:t>表</w:t>
      </w:r>
      <w:r>
        <w:rPr>
          <w:color w:val="auto"/>
          <w:lang w:val="en-US"/>
        </w:rPr>
        <w:t>5.1-31</w:t>
      </w:r>
      <w:r>
        <w:rPr>
          <w:color w:val="auto"/>
        </w:rPr>
        <w:t>至</w:t>
      </w:r>
      <w:r>
        <w:rPr>
          <w:color w:val="auto"/>
          <w:lang w:val="en-US"/>
        </w:rPr>
        <w:t>表</w:t>
      </w:r>
      <w:r>
        <w:rPr>
          <w:color w:val="auto"/>
          <w:lang w:val="en-US"/>
        </w:rPr>
        <w:t>5.1-35</w:t>
      </w:r>
      <w:r>
        <w:rPr>
          <w:color w:val="auto"/>
        </w:rPr>
        <w:t>，网格浓度分布见图</w:t>
      </w:r>
      <w:r>
        <w:rPr>
          <w:color w:val="auto"/>
        </w:rPr>
        <w:t>5.1-8</w:t>
      </w:r>
      <w:r>
        <w:rPr>
          <w:color w:val="auto"/>
        </w:rPr>
        <w:t>至图</w:t>
      </w:r>
      <w:r>
        <w:rPr>
          <w:color w:val="auto"/>
        </w:rPr>
        <w:t>5.1-13</w:t>
      </w:r>
      <w:r>
        <w:rPr>
          <w:color w:val="auto"/>
        </w:rPr>
        <w:t>。</w:t>
      </w:r>
    </w:p>
    <w:p w14:paraId="60B3AD27" w14:textId="77777777" w:rsidR="002E474C" w:rsidRDefault="002E474C">
      <w:pPr>
        <w:pStyle w:val="A-z"/>
        <w:rPr>
          <w:color w:val="auto"/>
        </w:rPr>
      </w:pPr>
    </w:p>
    <w:p w14:paraId="68069FFC"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6134792F" w14:textId="77777777" w:rsidR="002E474C" w:rsidRDefault="00000000">
      <w:pPr>
        <w:pStyle w:val="A--"/>
        <w:rPr>
          <w:color w:val="auto"/>
        </w:rPr>
      </w:pPr>
      <w:r>
        <w:rPr>
          <w:color w:val="auto"/>
        </w:rPr>
        <w:lastRenderedPageBreak/>
        <w:t>表</w:t>
      </w:r>
      <w:r>
        <w:rPr>
          <w:color w:val="auto"/>
        </w:rPr>
        <w:t>5.1</w:t>
      </w:r>
      <w:r>
        <w:rPr>
          <w:color w:val="auto"/>
        </w:rPr>
        <w:noBreakHyphen/>
        <w:t xml:space="preserve">31  </w:t>
      </w:r>
      <w:r>
        <w:rPr>
          <w:color w:val="auto"/>
        </w:rPr>
        <w:t>区域</w:t>
      </w:r>
      <w:r>
        <w:rPr>
          <w:color w:val="auto"/>
        </w:rPr>
        <w:t>HCl</w:t>
      </w:r>
      <w:r>
        <w:rPr>
          <w:color w:val="auto"/>
        </w:rPr>
        <w:t>环境影响分析表</w:t>
      </w:r>
    </w:p>
    <w:tbl>
      <w:tblPr>
        <w:tblStyle w:val="affff9"/>
        <w:tblW w:w="5000" w:type="pct"/>
        <w:tblLook w:val="04A0" w:firstRow="1" w:lastRow="0" w:firstColumn="1" w:lastColumn="0" w:noHBand="0" w:noVBand="1"/>
      </w:tblPr>
      <w:tblGrid>
        <w:gridCol w:w="693"/>
        <w:gridCol w:w="1837"/>
        <w:gridCol w:w="1346"/>
        <w:gridCol w:w="1150"/>
        <w:gridCol w:w="1149"/>
        <w:gridCol w:w="1149"/>
        <w:gridCol w:w="1149"/>
        <w:gridCol w:w="2064"/>
        <w:gridCol w:w="1149"/>
        <w:gridCol w:w="1113"/>
        <w:gridCol w:w="1149"/>
      </w:tblGrid>
      <w:tr w:rsidR="002E474C" w14:paraId="35277BE3" w14:textId="77777777">
        <w:trPr>
          <w:trHeight w:val="285"/>
        </w:trPr>
        <w:tc>
          <w:tcPr>
            <w:tcW w:w="248" w:type="pct"/>
            <w:noWrap/>
            <w:vAlign w:val="center"/>
          </w:tcPr>
          <w:p w14:paraId="3519FCD5" w14:textId="77777777" w:rsidR="002E474C" w:rsidRDefault="00000000">
            <w:pPr>
              <w:pStyle w:val="A-"/>
            </w:pPr>
            <w:r>
              <w:t>序号</w:t>
            </w:r>
          </w:p>
        </w:tc>
        <w:tc>
          <w:tcPr>
            <w:tcW w:w="658" w:type="pct"/>
            <w:noWrap/>
            <w:vAlign w:val="center"/>
          </w:tcPr>
          <w:p w14:paraId="41053B6A" w14:textId="77777777" w:rsidR="002E474C" w:rsidRDefault="00000000">
            <w:pPr>
              <w:pStyle w:val="A-"/>
            </w:pPr>
            <w:r>
              <w:t>点名称</w:t>
            </w:r>
          </w:p>
        </w:tc>
        <w:tc>
          <w:tcPr>
            <w:tcW w:w="482" w:type="pct"/>
            <w:noWrap/>
            <w:vAlign w:val="center"/>
          </w:tcPr>
          <w:p w14:paraId="00C528A7" w14:textId="77777777" w:rsidR="002E474C" w:rsidRDefault="00000000">
            <w:pPr>
              <w:pStyle w:val="A-"/>
            </w:pPr>
            <w:r>
              <w:t>点坐标</w:t>
            </w:r>
          </w:p>
        </w:tc>
        <w:tc>
          <w:tcPr>
            <w:tcW w:w="412" w:type="pct"/>
            <w:noWrap/>
            <w:vAlign w:val="center"/>
          </w:tcPr>
          <w:p w14:paraId="26B54BA9" w14:textId="77777777" w:rsidR="002E474C" w:rsidRDefault="00000000">
            <w:pPr>
              <w:pStyle w:val="A-"/>
            </w:pPr>
            <w:r>
              <w:t>浓度类型</w:t>
            </w:r>
          </w:p>
        </w:tc>
        <w:tc>
          <w:tcPr>
            <w:tcW w:w="412" w:type="pct"/>
            <w:noWrap/>
            <w:vAlign w:val="center"/>
          </w:tcPr>
          <w:p w14:paraId="142466B1" w14:textId="77777777" w:rsidR="002E474C" w:rsidRDefault="00000000">
            <w:pPr>
              <w:pStyle w:val="A-"/>
            </w:pPr>
            <w:r>
              <w:t>浓度增量</w:t>
            </w:r>
          </w:p>
          <w:p w14:paraId="5384608A" w14:textId="77777777" w:rsidR="002E474C" w:rsidRDefault="00000000">
            <w:pPr>
              <w:pStyle w:val="A-"/>
            </w:pPr>
            <w:r>
              <w:t>(</w:t>
            </w:r>
            <w:proofErr w:type="spellStart"/>
            <w:r>
              <w:t>μg</w:t>
            </w:r>
            <w:proofErr w:type="spellEnd"/>
            <w:r>
              <w:t>/m³)</w:t>
            </w:r>
          </w:p>
        </w:tc>
        <w:tc>
          <w:tcPr>
            <w:tcW w:w="412" w:type="pct"/>
            <w:noWrap/>
            <w:vAlign w:val="center"/>
          </w:tcPr>
          <w:p w14:paraId="1878743A" w14:textId="77777777" w:rsidR="002E474C" w:rsidRDefault="00000000">
            <w:pPr>
              <w:pStyle w:val="A-"/>
            </w:pPr>
            <w:r>
              <w:t>出现时间</w:t>
            </w:r>
          </w:p>
        </w:tc>
        <w:tc>
          <w:tcPr>
            <w:tcW w:w="412" w:type="pct"/>
            <w:noWrap/>
            <w:vAlign w:val="center"/>
          </w:tcPr>
          <w:p w14:paraId="600F8805" w14:textId="77777777" w:rsidR="002E474C" w:rsidRDefault="00000000">
            <w:pPr>
              <w:pStyle w:val="A-"/>
            </w:pPr>
            <w:r>
              <w:t>背景浓度</w:t>
            </w:r>
          </w:p>
          <w:p w14:paraId="4EE21570" w14:textId="77777777" w:rsidR="002E474C" w:rsidRDefault="00000000">
            <w:pPr>
              <w:pStyle w:val="A-"/>
            </w:pPr>
            <w:r>
              <w:t>(</w:t>
            </w:r>
            <w:proofErr w:type="spellStart"/>
            <w:r>
              <w:t>μg</w:t>
            </w:r>
            <w:proofErr w:type="spellEnd"/>
            <w:r>
              <w:t>/m³)</w:t>
            </w:r>
          </w:p>
        </w:tc>
        <w:tc>
          <w:tcPr>
            <w:tcW w:w="740" w:type="pct"/>
            <w:noWrap/>
            <w:vAlign w:val="center"/>
          </w:tcPr>
          <w:p w14:paraId="525D398F" w14:textId="77777777" w:rsidR="002E474C" w:rsidRDefault="00000000">
            <w:pPr>
              <w:pStyle w:val="A-"/>
            </w:pPr>
            <w:r>
              <w:t>叠加背景后的浓度</w:t>
            </w:r>
          </w:p>
          <w:p w14:paraId="5D7614EA" w14:textId="77777777" w:rsidR="002E474C" w:rsidRDefault="00000000">
            <w:pPr>
              <w:pStyle w:val="A-"/>
            </w:pPr>
            <w:r>
              <w:t>(</w:t>
            </w:r>
            <w:proofErr w:type="spellStart"/>
            <w:r>
              <w:t>μg</w:t>
            </w:r>
            <w:proofErr w:type="spellEnd"/>
            <w:r>
              <w:t>/m³)</w:t>
            </w:r>
          </w:p>
        </w:tc>
        <w:tc>
          <w:tcPr>
            <w:tcW w:w="412" w:type="pct"/>
            <w:noWrap/>
            <w:vAlign w:val="center"/>
          </w:tcPr>
          <w:p w14:paraId="160D396A" w14:textId="77777777" w:rsidR="002E474C" w:rsidRDefault="00000000">
            <w:pPr>
              <w:pStyle w:val="A-"/>
            </w:pPr>
            <w:r>
              <w:t>评价标准</w:t>
            </w:r>
          </w:p>
          <w:p w14:paraId="14605A46" w14:textId="77777777" w:rsidR="002E474C" w:rsidRDefault="00000000">
            <w:pPr>
              <w:pStyle w:val="A-"/>
            </w:pPr>
            <w:r>
              <w:t>(</w:t>
            </w:r>
            <w:proofErr w:type="spellStart"/>
            <w:r>
              <w:t>μg</w:t>
            </w:r>
            <w:proofErr w:type="spellEnd"/>
            <w:r>
              <w:t>/m³)</w:t>
            </w:r>
          </w:p>
        </w:tc>
        <w:tc>
          <w:tcPr>
            <w:tcW w:w="399" w:type="pct"/>
            <w:noWrap/>
            <w:vAlign w:val="center"/>
          </w:tcPr>
          <w:p w14:paraId="4F73DCD6" w14:textId="77777777" w:rsidR="002E474C" w:rsidRDefault="00000000">
            <w:pPr>
              <w:pStyle w:val="A-"/>
            </w:pPr>
            <w:r>
              <w:t>占标率</w:t>
            </w:r>
            <w:r>
              <w:t>%</w:t>
            </w:r>
          </w:p>
        </w:tc>
        <w:tc>
          <w:tcPr>
            <w:tcW w:w="412" w:type="pct"/>
            <w:noWrap/>
            <w:vAlign w:val="center"/>
          </w:tcPr>
          <w:p w14:paraId="2AEBDA6E" w14:textId="77777777" w:rsidR="002E474C" w:rsidRDefault="00000000">
            <w:pPr>
              <w:pStyle w:val="A-"/>
            </w:pPr>
            <w:r>
              <w:t>是否超标</w:t>
            </w:r>
          </w:p>
        </w:tc>
      </w:tr>
      <w:tr w:rsidR="002E474C" w14:paraId="163D4794" w14:textId="77777777">
        <w:trPr>
          <w:trHeight w:val="285"/>
        </w:trPr>
        <w:tc>
          <w:tcPr>
            <w:tcW w:w="248" w:type="pct"/>
            <w:vMerge w:val="restart"/>
            <w:noWrap/>
            <w:vAlign w:val="center"/>
          </w:tcPr>
          <w:p w14:paraId="46C889B5" w14:textId="77777777" w:rsidR="002E474C" w:rsidRDefault="00000000">
            <w:pPr>
              <w:pStyle w:val="A-"/>
            </w:pPr>
            <w:r>
              <w:t>1</w:t>
            </w:r>
          </w:p>
        </w:tc>
        <w:tc>
          <w:tcPr>
            <w:tcW w:w="658" w:type="pct"/>
            <w:vMerge w:val="restart"/>
            <w:noWrap/>
            <w:vAlign w:val="center"/>
          </w:tcPr>
          <w:p w14:paraId="1657C138" w14:textId="77777777" w:rsidR="002E474C" w:rsidRDefault="00000000">
            <w:pPr>
              <w:pStyle w:val="A-"/>
            </w:pPr>
            <w:r>
              <w:t>阿乐惠镇</w:t>
            </w:r>
          </w:p>
        </w:tc>
        <w:tc>
          <w:tcPr>
            <w:tcW w:w="482" w:type="pct"/>
            <w:vMerge w:val="restart"/>
            <w:noWrap/>
            <w:vAlign w:val="center"/>
          </w:tcPr>
          <w:p w14:paraId="3F9C3A5D" w14:textId="77777777" w:rsidR="002E474C" w:rsidRDefault="00000000">
            <w:pPr>
              <w:pStyle w:val="A-"/>
            </w:pPr>
            <w:r>
              <w:t>-4151,1104</w:t>
            </w:r>
          </w:p>
        </w:tc>
        <w:tc>
          <w:tcPr>
            <w:tcW w:w="412" w:type="pct"/>
            <w:noWrap/>
            <w:vAlign w:val="center"/>
          </w:tcPr>
          <w:p w14:paraId="6777E464" w14:textId="77777777" w:rsidR="002E474C" w:rsidRDefault="00000000">
            <w:pPr>
              <w:pStyle w:val="A-"/>
            </w:pPr>
            <w:r>
              <w:t>1</w:t>
            </w:r>
            <w:r>
              <w:t>小时</w:t>
            </w:r>
          </w:p>
        </w:tc>
        <w:tc>
          <w:tcPr>
            <w:tcW w:w="412" w:type="pct"/>
            <w:noWrap/>
            <w:vAlign w:val="center"/>
          </w:tcPr>
          <w:p w14:paraId="7D81ABAA" w14:textId="77777777" w:rsidR="002E474C" w:rsidRDefault="00000000">
            <w:pPr>
              <w:pStyle w:val="A-"/>
            </w:pPr>
            <w:r>
              <w:t>1.56E+00</w:t>
            </w:r>
          </w:p>
        </w:tc>
        <w:tc>
          <w:tcPr>
            <w:tcW w:w="412" w:type="pct"/>
            <w:noWrap/>
            <w:vAlign w:val="center"/>
          </w:tcPr>
          <w:p w14:paraId="72A382B4" w14:textId="77777777" w:rsidR="002E474C" w:rsidRDefault="00000000">
            <w:pPr>
              <w:pStyle w:val="A-"/>
            </w:pPr>
            <w:r>
              <w:t>24022520</w:t>
            </w:r>
          </w:p>
        </w:tc>
        <w:tc>
          <w:tcPr>
            <w:tcW w:w="412" w:type="pct"/>
            <w:noWrap/>
            <w:vAlign w:val="center"/>
          </w:tcPr>
          <w:p w14:paraId="05DA2D9A" w14:textId="77777777" w:rsidR="002E474C" w:rsidRDefault="00000000">
            <w:pPr>
              <w:pStyle w:val="A-"/>
            </w:pPr>
            <w:r>
              <w:t>1.00E+01</w:t>
            </w:r>
          </w:p>
        </w:tc>
        <w:tc>
          <w:tcPr>
            <w:tcW w:w="740" w:type="pct"/>
            <w:noWrap/>
            <w:vAlign w:val="center"/>
          </w:tcPr>
          <w:p w14:paraId="1E142A50" w14:textId="77777777" w:rsidR="002E474C" w:rsidRDefault="00000000">
            <w:pPr>
              <w:pStyle w:val="A-"/>
            </w:pPr>
            <w:r>
              <w:t>1.16E+01</w:t>
            </w:r>
          </w:p>
        </w:tc>
        <w:tc>
          <w:tcPr>
            <w:tcW w:w="412" w:type="pct"/>
            <w:noWrap/>
            <w:vAlign w:val="center"/>
          </w:tcPr>
          <w:p w14:paraId="06A80FD7" w14:textId="77777777" w:rsidR="002E474C" w:rsidRDefault="00000000">
            <w:pPr>
              <w:pStyle w:val="A-"/>
            </w:pPr>
            <w:r>
              <w:t>5.00E+01</w:t>
            </w:r>
          </w:p>
        </w:tc>
        <w:tc>
          <w:tcPr>
            <w:tcW w:w="399" w:type="pct"/>
            <w:noWrap/>
            <w:vAlign w:val="center"/>
          </w:tcPr>
          <w:p w14:paraId="7874573C" w14:textId="77777777" w:rsidR="002E474C" w:rsidRDefault="00000000">
            <w:pPr>
              <w:pStyle w:val="A-"/>
            </w:pPr>
            <w:r>
              <w:t>23.12</w:t>
            </w:r>
          </w:p>
        </w:tc>
        <w:tc>
          <w:tcPr>
            <w:tcW w:w="412" w:type="pct"/>
            <w:noWrap/>
            <w:vAlign w:val="center"/>
          </w:tcPr>
          <w:p w14:paraId="2243987A" w14:textId="77777777" w:rsidR="002E474C" w:rsidRDefault="00000000">
            <w:pPr>
              <w:pStyle w:val="A-"/>
            </w:pPr>
            <w:r>
              <w:t>达标</w:t>
            </w:r>
          </w:p>
        </w:tc>
      </w:tr>
      <w:tr w:rsidR="002E474C" w14:paraId="2745958F" w14:textId="77777777">
        <w:trPr>
          <w:trHeight w:val="285"/>
        </w:trPr>
        <w:tc>
          <w:tcPr>
            <w:tcW w:w="248" w:type="pct"/>
            <w:vMerge/>
            <w:noWrap/>
            <w:vAlign w:val="center"/>
          </w:tcPr>
          <w:p w14:paraId="47EFC8A4" w14:textId="77777777" w:rsidR="002E474C" w:rsidRDefault="002E474C">
            <w:pPr>
              <w:pStyle w:val="A-"/>
            </w:pPr>
          </w:p>
        </w:tc>
        <w:tc>
          <w:tcPr>
            <w:tcW w:w="658" w:type="pct"/>
            <w:vMerge/>
            <w:noWrap/>
            <w:vAlign w:val="center"/>
          </w:tcPr>
          <w:p w14:paraId="54F1072E" w14:textId="77777777" w:rsidR="002E474C" w:rsidRDefault="002E474C">
            <w:pPr>
              <w:pStyle w:val="A-"/>
            </w:pPr>
          </w:p>
        </w:tc>
        <w:tc>
          <w:tcPr>
            <w:tcW w:w="482" w:type="pct"/>
            <w:vMerge/>
            <w:noWrap/>
            <w:vAlign w:val="center"/>
          </w:tcPr>
          <w:p w14:paraId="3DAD541E" w14:textId="77777777" w:rsidR="002E474C" w:rsidRDefault="002E474C">
            <w:pPr>
              <w:pStyle w:val="A-"/>
            </w:pPr>
          </w:p>
        </w:tc>
        <w:tc>
          <w:tcPr>
            <w:tcW w:w="412" w:type="pct"/>
            <w:noWrap/>
            <w:vAlign w:val="center"/>
          </w:tcPr>
          <w:p w14:paraId="3D80C5A9" w14:textId="77777777" w:rsidR="002E474C" w:rsidRDefault="00000000">
            <w:pPr>
              <w:pStyle w:val="A-"/>
            </w:pPr>
            <w:r>
              <w:t>日平均</w:t>
            </w:r>
          </w:p>
        </w:tc>
        <w:tc>
          <w:tcPr>
            <w:tcW w:w="412" w:type="pct"/>
            <w:noWrap/>
            <w:vAlign w:val="center"/>
          </w:tcPr>
          <w:p w14:paraId="102BB82B" w14:textId="77777777" w:rsidR="002E474C" w:rsidRDefault="00000000">
            <w:pPr>
              <w:pStyle w:val="A-"/>
            </w:pPr>
            <w:r>
              <w:t>1.09E-01</w:t>
            </w:r>
          </w:p>
        </w:tc>
        <w:tc>
          <w:tcPr>
            <w:tcW w:w="412" w:type="pct"/>
            <w:noWrap/>
            <w:vAlign w:val="center"/>
          </w:tcPr>
          <w:p w14:paraId="7844FFF1" w14:textId="77777777" w:rsidR="002E474C" w:rsidRDefault="00000000">
            <w:pPr>
              <w:pStyle w:val="A-"/>
            </w:pPr>
            <w:r>
              <w:t>240227</w:t>
            </w:r>
          </w:p>
        </w:tc>
        <w:tc>
          <w:tcPr>
            <w:tcW w:w="412" w:type="pct"/>
            <w:noWrap/>
            <w:vAlign w:val="center"/>
          </w:tcPr>
          <w:p w14:paraId="0A1BB4D8" w14:textId="77777777" w:rsidR="002E474C" w:rsidRDefault="00000000">
            <w:pPr>
              <w:pStyle w:val="A-"/>
            </w:pPr>
            <w:r>
              <w:t>1.00E+01</w:t>
            </w:r>
          </w:p>
        </w:tc>
        <w:tc>
          <w:tcPr>
            <w:tcW w:w="740" w:type="pct"/>
            <w:noWrap/>
            <w:vAlign w:val="center"/>
          </w:tcPr>
          <w:p w14:paraId="63F57259" w14:textId="77777777" w:rsidR="002E474C" w:rsidRDefault="00000000">
            <w:pPr>
              <w:pStyle w:val="A-"/>
            </w:pPr>
            <w:r>
              <w:t>1.01E+01</w:t>
            </w:r>
          </w:p>
        </w:tc>
        <w:tc>
          <w:tcPr>
            <w:tcW w:w="412" w:type="pct"/>
            <w:noWrap/>
            <w:vAlign w:val="center"/>
          </w:tcPr>
          <w:p w14:paraId="5A309CCB" w14:textId="77777777" w:rsidR="002E474C" w:rsidRDefault="00000000">
            <w:pPr>
              <w:pStyle w:val="A-"/>
            </w:pPr>
            <w:r>
              <w:t>1.50E+01</w:t>
            </w:r>
          </w:p>
        </w:tc>
        <w:tc>
          <w:tcPr>
            <w:tcW w:w="399" w:type="pct"/>
            <w:noWrap/>
            <w:vAlign w:val="center"/>
          </w:tcPr>
          <w:p w14:paraId="15FBF722" w14:textId="77777777" w:rsidR="002E474C" w:rsidRDefault="00000000">
            <w:pPr>
              <w:pStyle w:val="A-"/>
            </w:pPr>
            <w:r>
              <w:t>67.39</w:t>
            </w:r>
          </w:p>
        </w:tc>
        <w:tc>
          <w:tcPr>
            <w:tcW w:w="412" w:type="pct"/>
            <w:noWrap/>
            <w:vAlign w:val="center"/>
          </w:tcPr>
          <w:p w14:paraId="7E448F97" w14:textId="77777777" w:rsidR="002E474C" w:rsidRDefault="00000000">
            <w:pPr>
              <w:pStyle w:val="A-"/>
            </w:pPr>
            <w:r>
              <w:t>达标</w:t>
            </w:r>
          </w:p>
        </w:tc>
      </w:tr>
      <w:tr w:rsidR="002E474C" w14:paraId="1157D673" w14:textId="77777777">
        <w:trPr>
          <w:trHeight w:val="285"/>
        </w:trPr>
        <w:tc>
          <w:tcPr>
            <w:tcW w:w="248" w:type="pct"/>
            <w:vMerge w:val="restart"/>
            <w:noWrap/>
            <w:vAlign w:val="center"/>
          </w:tcPr>
          <w:p w14:paraId="3387529C" w14:textId="77777777" w:rsidR="002E474C" w:rsidRDefault="00000000">
            <w:pPr>
              <w:pStyle w:val="A-"/>
            </w:pPr>
            <w:r>
              <w:t>2</w:t>
            </w:r>
          </w:p>
        </w:tc>
        <w:tc>
          <w:tcPr>
            <w:tcW w:w="658" w:type="pct"/>
            <w:vMerge w:val="restart"/>
            <w:noWrap/>
            <w:vAlign w:val="center"/>
          </w:tcPr>
          <w:p w14:paraId="69790555" w14:textId="77777777" w:rsidR="002E474C" w:rsidRDefault="00000000">
            <w:pPr>
              <w:pStyle w:val="A-"/>
            </w:pPr>
            <w:r>
              <w:t>电石厂员工公寓</w:t>
            </w:r>
          </w:p>
        </w:tc>
        <w:tc>
          <w:tcPr>
            <w:tcW w:w="482" w:type="pct"/>
            <w:vMerge w:val="restart"/>
            <w:noWrap/>
            <w:vAlign w:val="center"/>
          </w:tcPr>
          <w:p w14:paraId="62CE85D6" w14:textId="77777777" w:rsidR="002E474C" w:rsidRDefault="00000000">
            <w:pPr>
              <w:pStyle w:val="A-"/>
            </w:pPr>
            <w:r>
              <w:t>-4151,1104</w:t>
            </w:r>
          </w:p>
        </w:tc>
        <w:tc>
          <w:tcPr>
            <w:tcW w:w="412" w:type="pct"/>
            <w:noWrap/>
            <w:vAlign w:val="center"/>
          </w:tcPr>
          <w:p w14:paraId="27F15B87" w14:textId="77777777" w:rsidR="002E474C" w:rsidRDefault="00000000">
            <w:pPr>
              <w:pStyle w:val="A-"/>
            </w:pPr>
            <w:r>
              <w:t>1</w:t>
            </w:r>
            <w:r>
              <w:t>小时</w:t>
            </w:r>
          </w:p>
        </w:tc>
        <w:tc>
          <w:tcPr>
            <w:tcW w:w="412" w:type="pct"/>
            <w:noWrap/>
            <w:vAlign w:val="center"/>
          </w:tcPr>
          <w:p w14:paraId="71511C63" w14:textId="77777777" w:rsidR="002E474C" w:rsidRDefault="00000000">
            <w:pPr>
              <w:pStyle w:val="A-"/>
            </w:pPr>
            <w:r>
              <w:t>4.72E-01</w:t>
            </w:r>
          </w:p>
        </w:tc>
        <w:tc>
          <w:tcPr>
            <w:tcW w:w="412" w:type="pct"/>
            <w:noWrap/>
            <w:vAlign w:val="center"/>
          </w:tcPr>
          <w:p w14:paraId="4FBAF3B5" w14:textId="77777777" w:rsidR="002E474C" w:rsidRDefault="00000000">
            <w:pPr>
              <w:pStyle w:val="A-"/>
            </w:pPr>
            <w:r>
              <w:t>24092708</w:t>
            </w:r>
          </w:p>
        </w:tc>
        <w:tc>
          <w:tcPr>
            <w:tcW w:w="412" w:type="pct"/>
            <w:noWrap/>
            <w:vAlign w:val="center"/>
          </w:tcPr>
          <w:p w14:paraId="52243667" w14:textId="77777777" w:rsidR="002E474C" w:rsidRDefault="00000000">
            <w:pPr>
              <w:pStyle w:val="A-"/>
            </w:pPr>
            <w:r>
              <w:t>1.00E+01</w:t>
            </w:r>
          </w:p>
        </w:tc>
        <w:tc>
          <w:tcPr>
            <w:tcW w:w="740" w:type="pct"/>
            <w:noWrap/>
            <w:vAlign w:val="center"/>
          </w:tcPr>
          <w:p w14:paraId="5247EA7A" w14:textId="77777777" w:rsidR="002E474C" w:rsidRDefault="00000000">
            <w:pPr>
              <w:pStyle w:val="A-"/>
            </w:pPr>
            <w:r>
              <w:t>1.05E+01</w:t>
            </w:r>
          </w:p>
        </w:tc>
        <w:tc>
          <w:tcPr>
            <w:tcW w:w="412" w:type="pct"/>
            <w:noWrap/>
            <w:vAlign w:val="center"/>
          </w:tcPr>
          <w:p w14:paraId="2BFB3B17" w14:textId="77777777" w:rsidR="002E474C" w:rsidRDefault="00000000">
            <w:pPr>
              <w:pStyle w:val="A-"/>
            </w:pPr>
            <w:r>
              <w:t>5.00E+01</w:t>
            </w:r>
          </w:p>
        </w:tc>
        <w:tc>
          <w:tcPr>
            <w:tcW w:w="399" w:type="pct"/>
            <w:noWrap/>
            <w:vAlign w:val="center"/>
          </w:tcPr>
          <w:p w14:paraId="6016A2FE" w14:textId="77777777" w:rsidR="002E474C" w:rsidRDefault="00000000">
            <w:pPr>
              <w:pStyle w:val="A-"/>
            </w:pPr>
            <w:r>
              <w:t>20.94</w:t>
            </w:r>
          </w:p>
        </w:tc>
        <w:tc>
          <w:tcPr>
            <w:tcW w:w="412" w:type="pct"/>
            <w:noWrap/>
            <w:vAlign w:val="center"/>
          </w:tcPr>
          <w:p w14:paraId="5F77C89B" w14:textId="77777777" w:rsidR="002E474C" w:rsidRDefault="00000000">
            <w:pPr>
              <w:pStyle w:val="A-"/>
            </w:pPr>
            <w:r>
              <w:t>达标</w:t>
            </w:r>
          </w:p>
        </w:tc>
      </w:tr>
      <w:tr w:rsidR="002E474C" w14:paraId="11889685" w14:textId="77777777">
        <w:trPr>
          <w:trHeight w:val="285"/>
        </w:trPr>
        <w:tc>
          <w:tcPr>
            <w:tcW w:w="248" w:type="pct"/>
            <w:vMerge/>
            <w:noWrap/>
            <w:vAlign w:val="center"/>
          </w:tcPr>
          <w:p w14:paraId="71CAC215" w14:textId="77777777" w:rsidR="002E474C" w:rsidRDefault="002E474C">
            <w:pPr>
              <w:pStyle w:val="A-"/>
            </w:pPr>
          </w:p>
        </w:tc>
        <w:tc>
          <w:tcPr>
            <w:tcW w:w="658" w:type="pct"/>
            <w:vMerge/>
            <w:noWrap/>
            <w:vAlign w:val="center"/>
          </w:tcPr>
          <w:p w14:paraId="0A848456" w14:textId="77777777" w:rsidR="002E474C" w:rsidRDefault="002E474C">
            <w:pPr>
              <w:pStyle w:val="A-"/>
            </w:pPr>
          </w:p>
        </w:tc>
        <w:tc>
          <w:tcPr>
            <w:tcW w:w="482" w:type="pct"/>
            <w:vMerge/>
            <w:noWrap/>
            <w:vAlign w:val="center"/>
          </w:tcPr>
          <w:p w14:paraId="18D58F84" w14:textId="77777777" w:rsidR="002E474C" w:rsidRDefault="002E474C">
            <w:pPr>
              <w:pStyle w:val="A-"/>
            </w:pPr>
          </w:p>
        </w:tc>
        <w:tc>
          <w:tcPr>
            <w:tcW w:w="412" w:type="pct"/>
            <w:noWrap/>
            <w:vAlign w:val="center"/>
          </w:tcPr>
          <w:p w14:paraId="53EF7E3D" w14:textId="77777777" w:rsidR="002E474C" w:rsidRDefault="00000000">
            <w:pPr>
              <w:pStyle w:val="A-"/>
            </w:pPr>
            <w:r>
              <w:t>日平均</w:t>
            </w:r>
          </w:p>
        </w:tc>
        <w:tc>
          <w:tcPr>
            <w:tcW w:w="412" w:type="pct"/>
            <w:noWrap/>
            <w:vAlign w:val="center"/>
          </w:tcPr>
          <w:p w14:paraId="25CAC859" w14:textId="77777777" w:rsidR="002E474C" w:rsidRDefault="00000000">
            <w:pPr>
              <w:pStyle w:val="A-"/>
            </w:pPr>
            <w:r>
              <w:t>6.14E-02</w:t>
            </w:r>
          </w:p>
        </w:tc>
        <w:tc>
          <w:tcPr>
            <w:tcW w:w="412" w:type="pct"/>
            <w:noWrap/>
            <w:vAlign w:val="center"/>
          </w:tcPr>
          <w:p w14:paraId="6F74BE2B" w14:textId="77777777" w:rsidR="002E474C" w:rsidRDefault="00000000">
            <w:pPr>
              <w:pStyle w:val="A-"/>
            </w:pPr>
            <w:r>
              <w:t>240427</w:t>
            </w:r>
          </w:p>
        </w:tc>
        <w:tc>
          <w:tcPr>
            <w:tcW w:w="412" w:type="pct"/>
            <w:noWrap/>
            <w:vAlign w:val="center"/>
          </w:tcPr>
          <w:p w14:paraId="6CB06E88" w14:textId="77777777" w:rsidR="002E474C" w:rsidRDefault="00000000">
            <w:pPr>
              <w:pStyle w:val="A-"/>
            </w:pPr>
            <w:r>
              <w:t>1.00E+01</w:t>
            </w:r>
          </w:p>
        </w:tc>
        <w:tc>
          <w:tcPr>
            <w:tcW w:w="740" w:type="pct"/>
            <w:noWrap/>
            <w:vAlign w:val="center"/>
          </w:tcPr>
          <w:p w14:paraId="478D3B6F" w14:textId="77777777" w:rsidR="002E474C" w:rsidRDefault="00000000">
            <w:pPr>
              <w:pStyle w:val="A-"/>
            </w:pPr>
            <w:r>
              <w:t>1.01E+01</w:t>
            </w:r>
          </w:p>
        </w:tc>
        <w:tc>
          <w:tcPr>
            <w:tcW w:w="412" w:type="pct"/>
            <w:noWrap/>
            <w:vAlign w:val="center"/>
          </w:tcPr>
          <w:p w14:paraId="102DFE0C" w14:textId="77777777" w:rsidR="002E474C" w:rsidRDefault="00000000">
            <w:pPr>
              <w:pStyle w:val="A-"/>
            </w:pPr>
            <w:r>
              <w:t>1.50E+01</w:t>
            </w:r>
          </w:p>
        </w:tc>
        <w:tc>
          <w:tcPr>
            <w:tcW w:w="399" w:type="pct"/>
            <w:noWrap/>
            <w:vAlign w:val="center"/>
          </w:tcPr>
          <w:p w14:paraId="4F77DB57" w14:textId="77777777" w:rsidR="002E474C" w:rsidRDefault="00000000">
            <w:pPr>
              <w:pStyle w:val="A-"/>
            </w:pPr>
            <w:r>
              <w:t>67.08</w:t>
            </w:r>
          </w:p>
        </w:tc>
        <w:tc>
          <w:tcPr>
            <w:tcW w:w="412" w:type="pct"/>
            <w:noWrap/>
            <w:vAlign w:val="center"/>
          </w:tcPr>
          <w:p w14:paraId="44266F4C" w14:textId="77777777" w:rsidR="002E474C" w:rsidRDefault="00000000">
            <w:pPr>
              <w:pStyle w:val="A-"/>
            </w:pPr>
            <w:r>
              <w:t>达标</w:t>
            </w:r>
          </w:p>
        </w:tc>
      </w:tr>
      <w:tr w:rsidR="002E474C" w14:paraId="2AA5F56F" w14:textId="77777777">
        <w:trPr>
          <w:trHeight w:val="285"/>
        </w:trPr>
        <w:tc>
          <w:tcPr>
            <w:tcW w:w="248" w:type="pct"/>
            <w:vMerge w:val="restart"/>
            <w:noWrap/>
            <w:vAlign w:val="center"/>
          </w:tcPr>
          <w:p w14:paraId="400332F9" w14:textId="77777777" w:rsidR="002E474C" w:rsidRDefault="00000000">
            <w:pPr>
              <w:pStyle w:val="A-"/>
            </w:pPr>
            <w:r>
              <w:t>3</w:t>
            </w:r>
          </w:p>
        </w:tc>
        <w:tc>
          <w:tcPr>
            <w:tcW w:w="658" w:type="pct"/>
            <w:vMerge w:val="restart"/>
            <w:noWrap/>
            <w:vAlign w:val="center"/>
          </w:tcPr>
          <w:p w14:paraId="55C75F4F" w14:textId="77777777" w:rsidR="002E474C" w:rsidRDefault="00000000">
            <w:pPr>
              <w:pStyle w:val="A-"/>
            </w:pPr>
            <w:r>
              <w:t>网格</w:t>
            </w:r>
          </w:p>
        </w:tc>
        <w:tc>
          <w:tcPr>
            <w:tcW w:w="482" w:type="pct"/>
            <w:noWrap/>
            <w:vAlign w:val="center"/>
          </w:tcPr>
          <w:p w14:paraId="5CA04645" w14:textId="77777777" w:rsidR="002E474C" w:rsidRDefault="00000000">
            <w:pPr>
              <w:pStyle w:val="A-"/>
            </w:pPr>
            <w:r>
              <w:t>600,1600</w:t>
            </w:r>
          </w:p>
        </w:tc>
        <w:tc>
          <w:tcPr>
            <w:tcW w:w="412" w:type="pct"/>
            <w:noWrap/>
            <w:vAlign w:val="center"/>
          </w:tcPr>
          <w:p w14:paraId="0BB4A67A" w14:textId="77777777" w:rsidR="002E474C" w:rsidRDefault="00000000">
            <w:pPr>
              <w:pStyle w:val="A-"/>
            </w:pPr>
            <w:r>
              <w:t>1</w:t>
            </w:r>
            <w:r>
              <w:t>小时</w:t>
            </w:r>
          </w:p>
        </w:tc>
        <w:tc>
          <w:tcPr>
            <w:tcW w:w="412" w:type="pct"/>
            <w:noWrap/>
            <w:vAlign w:val="center"/>
          </w:tcPr>
          <w:p w14:paraId="2C634EE5" w14:textId="77777777" w:rsidR="002E474C" w:rsidRDefault="00000000">
            <w:pPr>
              <w:pStyle w:val="A-"/>
            </w:pPr>
            <w:r>
              <w:t>1.99E+01</w:t>
            </w:r>
          </w:p>
        </w:tc>
        <w:tc>
          <w:tcPr>
            <w:tcW w:w="412" w:type="pct"/>
            <w:noWrap/>
            <w:vAlign w:val="center"/>
          </w:tcPr>
          <w:p w14:paraId="78D65FFC" w14:textId="77777777" w:rsidR="002E474C" w:rsidRDefault="00000000">
            <w:pPr>
              <w:pStyle w:val="A-"/>
            </w:pPr>
            <w:r>
              <w:t>24020418</w:t>
            </w:r>
          </w:p>
        </w:tc>
        <w:tc>
          <w:tcPr>
            <w:tcW w:w="412" w:type="pct"/>
            <w:noWrap/>
            <w:vAlign w:val="center"/>
          </w:tcPr>
          <w:p w14:paraId="532D3A9C" w14:textId="77777777" w:rsidR="002E474C" w:rsidRDefault="00000000">
            <w:pPr>
              <w:pStyle w:val="A-"/>
            </w:pPr>
            <w:r>
              <w:t>1.00E+01</w:t>
            </w:r>
          </w:p>
        </w:tc>
        <w:tc>
          <w:tcPr>
            <w:tcW w:w="740" w:type="pct"/>
            <w:noWrap/>
            <w:vAlign w:val="center"/>
          </w:tcPr>
          <w:p w14:paraId="092E5A74" w14:textId="77777777" w:rsidR="002E474C" w:rsidRDefault="00000000">
            <w:pPr>
              <w:pStyle w:val="A-"/>
            </w:pPr>
            <w:r>
              <w:t>2.99E+01</w:t>
            </w:r>
          </w:p>
        </w:tc>
        <w:tc>
          <w:tcPr>
            <w:tcW w:w="412" w:type="pct"/>
            <w:noWrap/>
            <w:vAlign w:val="center"/>
          </w:tcPr>
          <w:p w14:paraId="5250B735" w14:textId="77777777" w:rsidR="002E474C" w:rsidRDefault="00000000">
            <w:pPr>
              <w:pStyle w:val="A-"/>
            </w:pPr>
            <w:r>
              <w:t>5.00E+01</w:t>
            </w:r>
          </w:p>
        </w:tc>
        <w:tc>
          <w:tcPr>
            <w:tcW w:w="399" w:type="pct"/>
            <w:noWrap/>
            <w:vAlign w:val="center"/>
          </w:tcPr>
          <w:p w14:paraId="7D914664" w14:textId="77777777" w:rsidR="002E474C" w:rsidRDefault="00000000">
            <w:pPr>
              <w:pStyle w:val="A-"/>
            </w:pPr>
            <w:r>
              <w:t>59.81</w:t>
            </w:r>
          </w:p>
        </w:tc>
        <w:tc>
          <w:tcPr>
            <w:tcW w:w="412" w:type="pct"/>
            <w:noWrap/>
            <w:vAlign w:val="center"/>
          </w:tcPr>
          <w:p w14:paraId="494657E0" w14:textId="77777777" w:rsidR="002E474C" w:rsidRDefault="00000000">
            <w:pPr>
              <w:pStyle w:val="A-"/>
            </w:pPr>
            <w:r>
              <w:t>达标</w:t>
            </w:r>
          </w:p>
        </w:tc>
      </w:tr>
      <w:tr w:rsidR="002E474C" w14:paraId="71DC3977" w14:textId="77777777">
        <w:trPr>
          <w:trHeight w:val="285"/>
        </w:trPr>
        <w:tc>
          <w:tcPr>
            <w:tcW w:w="248" w:type="pct"/>
            <w:vMerge/>
            <w:noWrap/>
            <w:vAlign w:val="center"/>
          </w:tcPr>
          <w:p w14:paraId="3BC55A9F" w14:textId="77777777" w:rsidR="002E474C" w:rsidRDefault="002E474C">
            <w:pPr>
              <w:pStyle w:val="A-"/>
            </w:pPr>
          </w:p>
        </w:tc>
        <w:tc>
          <w:tcPr>
            <w:tcW w:w="658" w:type="pct"/>
            <w:vMerge/>
            <w:noWrap/>
            <w:vAlign w:val="center"/>
          </w:tcPr>
          <w:p w14:paraId="1D32618D" w14:textId="77777777" w:rsidR="002E474C" w:rsidRDefault="002E474C">
            <w:pPr>
              <w:pStyle w:val="A-"/>
            </w:pPr>
          </w:p>
        </w:tc>
        <w:tc>
          <w:tcPr>
            <w:tcW w:w="482" w:type="pct"/>
            <w:noWrap/>
            <w:vAlign w:val="center"/>
          </w:tcPr>
          <w:p w14:paraId="30D52542" w14:textId="77777777" w:rsidR="002E474C" w:rsidRDefault="00000000">
            <w:pPr>
              <w:pStyle w:val="A-"/>
            </w:pPr>
            <w:r>
              <w:t>-100,2200</w:t>
            </w:r>
          </w:p>
        </w:tc>
        <w:tc>
          <w:tcPr>
            <w:tcW w:w="412" w:type="pct"/>
            <w:noWrap/>
            <w:vAlign w:val="center"/>
          </w:tcPr>
          <w:p w14:paraId="7C030FF1" w14:textId="77777777" w:rsidR="002E474C" w:rsidRDefault="00000000">
            <w:pPr>
              <w:pStyle w:val="A-"/>
            </w:pPr>
            <w:r>
              <w:t>日平均</w:t>
            </w:r>
          </w:p>
        </w:tc>
        <w:tc>
          <w:tcPr>
            <w:tcW w:w="412" w:type="pct"/>
            <w:noWrap/>
            <w:vAlign w:val="center"/>
          </w:tcPr>
          <w:p w14:paraId="1C878EE2" w14:textId="77777777" w:rsidR="002E474C" w:rsidRDefault="00000000">
            <w:pPr>
              <w:pStyle w:val="A-"/>
            </w:pPr>
            <w:r>
              <w:t>2.14E+00</w:t>
            </w:r>
          </w:p>
        </w:tc>
        <w:tc>
          <w:tcPr>
            <w:tcW w:w="412" w:type="pct"/>
            <w:noWrap/>
            <w:vAlign w:val="center"/>
          </w:tcPr>
          <w:p w14:paraId="1781312C" w14:textId="77777777" w:rsidR="002E474C" w:rsidRDefault="00000000">
            <w:pPr>
              <w:pStyle w:val="A-"/>
            </w:pPr>
            <w:r>
              <w:t>241207</w:t>
            </w:r>
          </w:p>
        </w:tc>
        <w:tc>
          <w:tcPr>
            <w:tcW w:w="412" w:type="pct"/>
            <w:noWrap/>
            <w:vAlign w:val="center"/>
          </w:tcPr>
          <w:p w14:paraId="524819E2" w14:textId="77777777" w:rsidR="002E474C" w:rsidRDefault="00000000">
            <w:pPr>
              <w:pStyle w:val="A-"/>
            </w:pPr>
            <w:r>
              <w:t>1.00E+01</w:t>
            </w:r>
          </w:p>
        </w:tc>
        <w:tc>
          <w:tcPr>
            <w:tcW w:w="740" w:type="pct"/>
            <w:noWrap/>
            <w:vAlign w:val="center"/>
          </w:tcPr>
          <w:p w14:paraId="3315D615" w14:textId="77777777" w:rsidR="002E474C" w:rsidRDefault="00000000">
            <w:pPr>
              <w:pStyle w:val="A-"/>
            </w:pPr>
            <w:r>
              <w:t>1.21E+01</w:t>
            </w:r>
          </w:p>
        </w:tc>
        <w:tc>
          <w:tcPr>
            <w:tcW w:w="412" w:type="pct"/>
            <w:noWrap/>
            <w:vAlign w:val="center"/>
          </w:tcPr>
          <w:p w14:paraId="67C2BB71" w14:textId="77777777" w:rsidR="002E474C" w:rsidRDefault="00000000">
            <w:pPr>
              <w:pStyle w:val="A-"/>
            </w:pPr>
            <w:r>
              <w:t>1.50E+01</w:t>
            </w:r>
          </w:p>
        </w:tc>
        <w:tc>
          <w:tcPr>
            <w:tcW w:w="399" w:type="pct"/>
            <w:noWrap/>
            <w:vAlign w:val="center"/>
          </w:tcPr>
          <w:p w14:paraId="349DD9C2" w14:textId="77777777" w:rsidR="002E474C" w:rsidRDefault="00000000">
            <w:pPr>
              <w:pStyle w:val="A-"/>
            </w:pPr>
            <w:r>
              <w:t>80.96</w:t>
            </w:r>
          </w:p>
        </w:tc>
        <w:tc>
          <w:tcPr>
            <w:tcW w:w="412" w:type="pct"/>
            <w:noWrap/>
            <w:vAlign w:val="center"/>
          </w:tcPr>
          <w:p w14:paraId="26B7BD0C" w14:textId="77777777" w:rsidR="002E474C" w:rsidRDefault="00000000">
            <w:pPr>
              <w:pStyle w:val="A-"/>
            </w:pPr>
            <w:r>
              <w:t>达标</w:t>
            </w:r>
          </w:p>
        </w:tc>
      </w:tr>
    </w:tbl>
    <w:p w14:paraId="28958EB5" w14:textId="77777777" w:rsidR="002E474C" w:rsidRDefault="002E474C">
      <w:pPr>
        <w:pStyle w:val="A-0"/>
        <w:rPr>
          <w:color w:val="auto"/>
        </w:rPr>
      </w:pPr>
    </w:p>
    <w:p w14:paraId="0C906EA1" w14:textId="77777777" w:rsidR="002E474C" w:rsidRDefault="00000000">
      <w:pPr>
        <w:pStyle w:val="A--"/>
        <w:rPr>
          <w:color w:val="auto"/>
        </w:rPr>
      </w:pPr>
      <w:r>
        <w:rPr>
          <w:color w:val="auto"/>
        </w:rPr>
        <w:t>表</w:t>
      </w:r>
      <w:r>
        <w:rPr>
          <w:color w:val="auto"/>
        </w:rPr>
        <w:t>5.1</w:t>
      </w:r>
      <w:r>
        <w:rPr>
          <w:color w:val="auto"/>
        </w:rPr>
        <w:noBreakHyphen/>
        <w:t xml:space="preserve">32  </w:t>
      </w:r>
      <w:r>
        <w:rPr>
          <w:color w:val="auto"/>
        </w:rPr>
        <w:t>区域</w:t>
      </w:r>
      <w:r>
        <w:rPr>
          <w:color w:val="auto"/>
        </w:rPr>
        <w:t>HF</w:t>
      </w:r>
      <w:r>
        <w:rPr>
          <w:color w:val="auto"/>
        </w:rPr>
        <w:t>环境影响分析表</w:t>
      </w:r>
    </w:p>
    <w:tbl>
      <w:tblPr>
        <w:tblStyle w:val="affff9"/>
        <w:tblW w:w="5000" w:type="pct"/>
        <w:tblLook w:val="04A0" w:firstRow="1" w:lastRow="0" w:firstColumn="1" w:lastColumn="0" w:noHBand="0" w:noVBand="1"/>
      </w:tblPr>
      <w:tblGrid>
        <w:gridCol w:w="1053"/>
        <w:gridCol w:w="1686"/>
        <w:gridCol w:w="1301"/>
        <w:gridCol w:w="1056"/>
        <w:gridCol w:w="1075"/>
        <w:gridCol w:w="1306"/>
        <w:gridCol w:w="1100"/>
        <w:gridCol w:w="1896"/>
        <w:gridCol w:w="1100"/>
        <w:gridCol w:w="1319"/>
        <w:gridCol w:w="1056"/>
      </w:tblGrid>
      <w:tr w:rsidR="002E474C" w14:paraId="79B913E5" w14:textId="77777777">
        <w:trPr>
          <w:trHeight w:val="285"/>
        </w:trPr>
        <w:tc>
          <w:tcPr>
            <w:tcW w:w="382" w:type="pct"/>
            <w:noWrap/>
            <w:vAlign w:val="center"/>
          </w:tcPr>
          <w:p w14:paraId="1BF0C4CC" w14:textId="77777777" w:rsidR="002E474C" w:rsidRDefault="00000000">
            <w:pPr>
              <w:pStyle w:val="A-"/>
            </w:pPr>
            <w:r>
              <w:t>序号</w:t>
            </w:r>
          </w:p>
        </w:tc>
        <w:tc>
          <w:tcPr>
            <w:tcW w:w="595" w:type="pct"/>
            <w:noWrap/>
            <w:vAlign w:val="center"/>
          </w:tcPr>
          <w:p w14:paraId="7EBA8353" w14:textId="77777777" w:rsidR="002E474C" w:rsidRDefault="00000000">
            <w:pPr>
              <w:pStyle w:val="A-"/>
            </w:pPr>
            <w:r>
              <w:t>点名称</w:t>
            </w:r>
          </w:p>
        </w:tc>
        <w:tc>
          <w:tcPr>
            <w:tcW w:w="471" w:type="pct"/>
            <w:noWrap/>
            <w:vAlign w:val="center"/>
          </w:tcPr>
          <w:p w14:paraId="544CF05A" w14:textId="77777777" w:rsidR="002E474C" w:rsidRDefault="00000000">
            <w:pPr>
              <w:pStyle w:val="A-"/>
            </w:pPr>
            <w:r>
              <w:t>点坐标</w:t>
            </w:r>
          </w:p>
        </w:tc>
        <w:tc>
          <w:tcPr>
            <w:tcW w:w="373" w:type="pct"/>
            <w:noWrap/>
            <w:vAlign w:val="center"/>
          </w:tcPr>
          <w:p w14:paraId="26AD876F" w14:textId="77777777" w:rsidR="002E474C" w:rsidRDefault="00000000">
            <w:pPr>
              <w:pStyle w:val="A-"/>
            </w:pPr>
            <w:r>
              <w:t>浓度类型</w:t>
            </w:r>
          </w:p>
        </w:tc>
        <w:tc>
          <w:tcPr>
            <w:tcW w:w="390" w:type="pct"/>
            <w:noWrap/>
            <w:vAlign w:val="center"/>
          </w:tcPr>
          <w:p w14:paraId="6A3185E3" w14:textId="77777777" w:rsidR="002E474C" w:rsidRDefault="00000000">
            <w:pPr>
              <w:pStyle w:val="A-"/>
            </w:pPr>
            <w:r>
              <w:t>浓度增量</w:t>
            </w:r>
          </w:p>
          <w:p w14:paraId="08EA4A22" w14:textId="77777777" w:rsidR="002E474C" w:rsidRDefault="00000000">
            <w:pPr>
              <w:pStyle w:val="A-"/>
            </w:pPr>
            <w:r>
              <w:t>(</w:t>
            </w:r>
            <w:proofErr w:type="spellStart"/>
            <w:r>
              <w:t>μg</w:t>
            </w:r>
            <w:proofErr w:type="spellEnd"/>
            <w:r>
              <w:t>/m³)</w:t>
            </w:r>
          </w:p>
        </w:tc>
        <w:tc>
          <w:tcPr>
            <w:tcW w:w="473" w:type="pct"/>
            <w:noWrap/>
            <w:vAlign w:val="center"/>
          </w:tcPr>
          <w:p w14:paraId="1F2AA6B6" w14:textId="77777777" w:rsidR="002E474C" w:rsidRDefault="00000000">
            <w:pPr>
              <w:pStyle w:val="A-"/>
            </w:pPr>
            <w:r>
              <w:t>出现时间</w:t>
            </w:r>
          </w:p>
        </w:tc>
        <w:tc>
          <w:tcPr>
            <w:tcW w:w="399" w:type="pct"/>
            <w:noWrap/>
            <w:vAlign w:val="center"/>
          </w:tcPr>
          <w:p w14:paraId="424A5BF9" w14:textId="77777777" w:rsidR="002E474C" w:rsidRDefault="00000000">
            <w:pPr>
              <w:pStyle w:val="A-"/>
            </w:pPr>
            <w:r>
              <w:t>背景浓度</w:t>
            </w:r>
          </w:p>
          <w:p w14:paraId="39B740B7" w14:textId="77777777" w:rsidR="002E474C" w:rsidRDefault="00000000">
            <w:pPr>
              <w:pStyle w:val="A-"/>
            </w:pPr>
            <w:r>
              <w:t>(</w:t>
            </w:r>
            <w:proofErr w:type="spellStart"/>
            <w:r>
              <w:t>μg</w:t>
            </w:r>
            <w:proofErr w:type="spellEnd"/>
            <w:r>
              <w:t>/m³)</w:t>
            </w:r>
          </w:p>
        </w:tc>
        <w:tc>
          <w:tcPr>
            <w:tcW w:w="669" w:type="pct"/>
            <w:noWrap/>
            <w:vAlign w:val="center"/>
          </w:tcPr>
          <w:p w14:paraId="463A7D7A" w14:textId="77777777" w:rsidR="002E474C" w:rsidRDefault="00000000">
            <w:pPr>
              <w:pStyle w:val="A-"/>
            </w:pPr>
            <w:r>
              <w:t>叠加背景后的浓度</w:t>
            </w:r>
          </w:p>
          <w:p w14:paraId="4CEC98B9" w14:textId="77777777" w:rsidR="002E474C" w:rsidRDefault="00000000">
            <w:pPr>
              <w:pStyle w:val="A-"/>
            </w:pPr>
            <w:r>
              <w:t>(</w:t>
            </w:r>
            <w:proofErr w:type="spellStart"/>
            <w:r>
              <w:t>μg</w:t>
            </w:r>
            <w:proofErr w:type="spellEnd"/>
            <w:r>
              <w:t>/m³)</w:t>
            </w:r>
          </w:p>
        </w:tc>
        <w:tc>
          <w:tcPr>
            <w:tcW w:w="399" w:type="pct"/>
            <w:noWrap/>
            <w:vAlign w:val="center"/>
          </w:tcPr>
          <w:p w14:paraId="2BABBE29" w14:textId="77777777" w:rsidR="002E474C" w:rsidRDefault="00000000">
            <w:pPr>
              <w:pStyle w:val="A-"/>
            </w:pPr>
            <w:r>
              <w:t>评价标准</w:t>
            </w:r>
          </w:p>
          <w:p w14:paraId="76AAF346" w14:textId="77777777" w:rsidR="002E474C" w:rsidRDefault="00000000">
            <w:pPr>
              <w:pStyle w:val="A-"/>
            </w:pPr>
            <w:r>
              <w:t>(</w:t>
            </w:r>
            <w:proofErr w:type="spellStart"/>
            <w:r>
              <w:t>μg</w:t>
            </w:r>
            <w:proofErr w:type="spellEnd"/>
            <w:r>
              <w:t>/m³)</w:t>
            </w:r>
          </w:p>
        </w:tc>
        <w:tc>
          <w:tcPr>
            <w:tcW w:w="477" w:type="pct"/>
            <w:noWrap/>
            <w:vAlign w:val="center"/>
          </w:tcPr>
          <w:p w14:paraId="1743B01B" w14:textId="77777777" w:rsidR="002E474C" w:rsidRDefault="00000000">
            <w:pPr>
              <w:pStyle w:val="A-"/>
            </w:pPr>
            <w:r>
              <w:t>占标率</w:t>
            </w:r>
            <w:r>
              <w:t>%</w:t>
            </w:r>
          </w:p>
        </w:tc>
        <w:tc>
          <w:tcPr>
            <w:tcW w:w="373" w:type="pct"/>
            <w:noWrap/>
            <w:vAlign w:val="center"/>
          </w:tcPr>
          <w:p w14:paraId="1AC7B009" w14:textId="77777777" w:rsidR="002E474C" w:rsidRDefault="00000000">
            <w:pPr>
              <w:pStyle w:val="A-"/>
            </w:pPr>
            <w:r>
              <w:t>是否超标</w:t>
            </w:r>
          </w:p>
        </w:tc>
      </w:tr>
      <w:tr w:rsidR="002E474C" w14:paraId="0F95BFF1" w14:textId="77777777">
        <w:trPr>
          <w:trHeight w:val="285"/>
        </w:trPr>
        <w:tc>
          <w:tcPr>
            <w:tcW w:w="382" w:type="pct"/>
            <w:noWrap/>
            <w:vAlign w:val="center"/>
          </w:tcPr>
          <w:p w14:paraId="4C3D3519" w14:textId="77777777" w:rsidR="002E474C" w:rsidRDefault="00000000">
            <w:pPr>
              <w:pStyle w:val="A-"/>
            </w:pPr>
            <w:r>
              <w:t>1</w:t>
            </w:r>
          </w:p>
        </w:tc>
        <w:tc>
          <w:tcPr>
            <w:tcW w:w="595" w:type="pct"/>
            <w:noWrap/>
            <w:vAlign w:val="center"/>
          </w:tcPr>
          <w:p w14:paraId="632AD220" w14:textId="77777777" w:rsidR="002E474C" w:rsidRDefault="00000000">
            <w:pPr>
              <w:pStyle w:val="A-"/>
            </w:pPr>
            <w:r>
              <w:t>阿乐惠镇</w:t>
            </w:r>
          </w:p>
        </w:tc>
        <w:tc>
          <w:tcPr>
            <w:tcW w:w="471" w:type="pct"/>
            <w:noWrap/>
            <w:vAlign w:val="center"/>
          </w:tcPr>
          <w:p w14:paraId="7CCC11DA" w14:textId="77777777" w:rsidR="002E474C" w:rsidRDefault="00000000">
            <w:pPr>
              <w:pStyle w:val="A-"/>
            </w:pPr>
            <w:r>
              <w:t>-4151,1104</w:t>
            </w:r>
          </w:p>
        </w:tc>
        <w:tc>
          <w:tcPr>
            <w:tcW w:w="373" w:type="pct"/>
            <w:noWrap/>
            <w:vAlign w:val="center"/>
          </w:tcPr>
          <w:p w14:paraId="3BD5DE8B" w14:textId="77777777" w:rsidR="002E474C" w:rsidRDefault="00000000">
            <w:pPr>
              <w:pStyle w:val="A-"/>
            </w:pPr>
            <w:r>
              <w:t>日平均</w:t>
            </w:r>
          </w:p>
        </w:tc>
        <w:tc>
          <w:tcPr>
            <w:tcW w:w="390" w:type="pct"/>
            <w:noWrap/>
            <w:vAlign w:val="center"/>
          </w:tcPr>
          <w:p w14:paraId="16C74833" w14:textId="77777777" w:rsidR="002E474C" w:rsidRDefault="00000000">
            <w:pPr>
              <w:pStyle w:val="A-"/>
            </w:pPr>
            <w:r>
              <w:t>7.97E-03</w:t>
            </w:r>
          </w:p>
        </w:tc>
        <w:tc>
          <w:tcPr>
            <w:tcW w:w="473" w:type="pct"/>
            <w:noWrap/>
            <w:vAlign w:val="center"/>
          </w:tcPr>
          <w:p w14:paraId="76298DDD" w14:textId="77777777" w:rsidR="002E474C" w:rsidRDefault="00000000">
            <w:pPr>
              <w:pStyle w:val="A-"/>
            </w:pPr>
            <w:r>
              <w:t>240227</w:t>
            </w:r>
          </w:p>
        </w:tc>
        <w:tc>
          <w:tcPr>
            <w:tcW w:w="399" w:type="pct"/>
            <w:noWrap/>
            <w:vAlign w:val="center"/>
          </w:tcPr>
          <w:p w14:paraId="3334401C" w14:textId="77777777" w:rsidR="002E474C" w:rsidRDefault="00000000">
            <w:pPr>
              <w:pStyle w:val="A-"/>
            </w:pPr>
            <w:r>
              <w:t>1.05E-01</w:t>
            </w:r>
          </w:p>
        </w:tc>
        <w:tc>
          <w:tcPr>
            <w:tcW w:w="669" w:type="pct"/>
            <w:noWrap/>
            <w:vAlign w:val="center"/>
          </w:tcPr>
          <w:p w14:paraId="768C5081" w14:textId="77777777" w:rsidR="002E474C" w:rsidRDefault="00000000">
            <w:pPr>
              <w:pStyle w:val="A-"/>
            </w:pPr>
            <w:r>
              <w:t>1.13E-01</w:t>
            </w:r>
          </w:p>
        </w:tc>
        <w:tc>
          <w:tcPr>
            <w:tcW w:w="399" w:type="pct"/>
            <w:noWrap/>
            <w:vAlign w:val="center"/>
          </w:tcPr>
          <w:p w14:paraId="7FF95900" w14:textId="77777777" w:rsidR="002E474C" w:rsidRDefault="00000000">
            <w:pPr>
              <w:pStyle w:val="A-"/>
            </w:pPr>
            <w:r>
              <w:t>7.00E+00</w:t>
            </w:r>
          </w:p>
        </w:tc>
        <w:tc>
          <w:tcPr>
            <w:tcW w:w="477" w:type="pct"/>
            <w:noWrap/>
            <w:vAlign w:val="center"/>
          </w:tcPr>
          <w:p w14:paraId="1BD843D2" w14:textId="77777777" w:rsidR="002E474C" w:rsidRDefault="00000000">
            <w:pPr>
              <w:pStyle w:val="A-"/>
            </w:pPr>
            <w:r>
              <w:t>1.61</w:t>
            </w:r>
          </w:p>
        </w:tc>
        <w:tc>
          <w:tcPr>
            <w:tcW w:w="373" w:type="pct"/>
            <w:noWrap/>
            <w:vAlign w:val="center"/>
          </w:tcPr>
          <w:p w14:paraId="52AE9BA4" w14:textId="77777777" w:rsidR="002E474C" w:rsidRDefault="00000000">
            <w:pPr>
              <w:pStyle w:val="A-"/>
            </w:pPr>
            <w:r>
              <w:t>达标</w:t>
            </w:r>
          </w:p>
        </w:tc>
      </w:tr>
      <w:tr w:rsidR="002E474C" w14:paraId="62CF6D9E" w14:textId="77777777">
        <w:trPr>
          <w:trHeight w:val="285"/>
        </w:trPr>
        <w:tc>
          <w:tcPr>
            <w:tcW w:w="382" w:type="pct"/>
            <w:noWrap/>
            <w:vAlign w:val="center"/>
          </w:tcPr>
          <w:p w14:paraId="7EF14076" w14:textId="77777777" w:rsidR="002E474C" w:rsidRDefault="00000000">
            <w:pPr>
              <w:pStyle w:val="A-"/>
            </w:pPr>
            <w:r>
              <w:t>2</w:t>
            </w:r>
          </w:p>
        </w:tc>
        <w:tc>
          <w:tcPr>
            <w:tcW w:w="595" w:type="pct"/>
            <w:noWrap/>
            <w:vAlign w:val="center"/>
          </w:tcPr>
          <w:p w14:paraId="0842ECC0" w14:textId="77777777" w:rsidR="002E474C" w:rsidRDefault="00000000">
            <w:pPr>
              <w:pStyle w:val="A-"/>
            </w:pPr>
            <w:r>
              <w:t>电石厂员工公寓</w:t>
            </w:r>
          </w:p>
        </w:tc>
        <w:tc>
          <w:tcPr>
            <w:tcW w:w="471" w:type="pct"/>
            <w:noWrap/>
            <w:vAlign w:val="center"/>
          </w:tcPr>
          <w:p w14:paraId="0A813B39" w14:textId="77777777" w:rsidR="002E474C" w:rsidRDefault="00000000">
            <w:pPr>
              <w:pStyle w:val="A-"/>
            </w:pPr>
            <w:r>
              <w:t>-1901,92</w:t>
            </w:r>
          </w:p>
        </w:tc>
        <w:tc>
          <w:tcPr>
            <w:tcW w:w="373" w:type="pct"/>
            <w:noWrap/>
            <w:vAlign w:val="center"/>
          </w:tcPr>
          <w:p w14:paraId="1AC9B966" w14:textId="77777777" w:rsidR="002E474C" w:rsidRDefault="00000000">
            <w:pPr>
              <w:pStyle w:val="A-"/>
            </w:pPr>
            <w:r>
              <w:t>日平均</w:t>
            </w:r>
          </w:p>
        </w:tc>
        <w:tc>
          <w:tcPr>
            <w:tcW w:w="390" w:type="pct"/>
            <w:noWrap/>
            <w:vAlign w:val="center"/>
          </w:tcPr>
          <w:p w14:paraId="47DA40AA" w14:textId="77777777" w:rsidR="002E474C" w:rsidRDefault="00000000">
            <w:pPr>
              <w:pStyle w:val="A-"/>
            </w:pPr>
            <w:r>
              <w:t>4.49E-03</w:t>
            </w:r>
          </w:p>
        </w:tc>
        <w:tc>
          <w:tcPr>
            <w:tcW w:w="473" w:type="pct"/>
            <w:noWrap/>
            <w:vAlign w:val="center"/>
          </w:tcPr>
          <w:p w14:paraId="1AEFA5F5" w14:textId="77777777" w:rsidR="002E474C" w:rsidRDefault="00000000">
            <w:pPr>
              <w:pStyle w:val="A-"/>
            </w:pPr>
            <w:r>
              <w:t>240427</w:t>
            </w:r>
          </w:p>
        </w:tc>
        <w:tc>
          <w:tcPr>
            <w:tcW w:w="399" w:type="pct"/>
            <w:noWrap/>
            <w:vAlign w:val="center"/>
          </w:tcPr>
          <w:p w14:paraId="76BE6691" w14:textId="77777777" w:rsidR="002E474C" w:rsidRDefault="00000000">
            <w:pPr>
              <w:pStyle w:val="A-"/>
            </w:pPr>
            <w:r>
              <w:t>1.05E-01</w:t>
            </w:r>
          </w:p>
        </w:tc>
        <w:tc>
          <w:tcPr>
            <w:tcW w:w="669" w:type="pct"/>
            <w:noWrap/>
            <w:vAlign w:val="center"/>
          </w:tcPr>
          <w:p w14:paraId="0171BC38" w14:textId="77777777" w:rsidR="002E474C" w:rsidRDefault="00000000">
            <w:pPr>
              <w:pStyle w:val="A-"/>
            </w:pPr>
            <w:r>
              <w:t>1.09E-01</w:t>
            </w:r>
          </w:p>
        </w:tc>
        <w:tc>
          <w:tcPr>
            <w:tcW w:w="399" w:type="pct"/>
            <w:noWrap/>
            <w:vAlign w:val="center"/>
          </w:tcPr>
          <w:p w14:paraId="034E676C" w14:textId="77777777" w:rsidR="002E474C" w:rsidRDefault="00000000">
            <w:pPr>
              <w:pStyle w:val="A-"/>
            </w:pPr>
            <w:r>
              <w:t>7.00E+00</w:t>
            </w:r>
          </w:p>
        </w:tc>
        <w:tc>
          <w:tcPr>
            <w:tcW w:w="477" w:type="pct"/>
            <w:noWrap/>
            <w:vAlign w:val="center"/>
          </w:tcPr>
          <w:p w14:paraId="71E23AC0" w14:textId="77777777" w:rsidR="002E474C" w:rsidRDefault="00000000">
            <w:pPr>
              <w:pStyle w:val="A-"/>
            </w:pPr>
            <w:r>
              <w:t>1.56</w:t>
            </w:r>
          </w:p>
        </w:tc>
        <w:tc>
          <w:tcPr>
            <w:tcW w:w="373" w:type="pct"/>
            <w:noWrap/>
            <w:vAlign w:val="center"/>
          </w:tcPr>
          <w:p w14:paraId="0EF4DD03" w14:textId="77777777" w:rsidR="002E474C" w:rsidRDefault="00000000">
            <w:pPr>
              <w:pStyle w:val="A-"/>
            </w:pPr>
            <w:r>
              <w:t>达标</w:t>
            </w:r>
          </w:p>
        </w:tc>
      </w:tr>
      <w:tr w:rsidR="002E474C" w14:paraId="7BFAFD23" w14:textId="77777777">
        <w:trPr>
          <w:trHeight w:val="285"/>
        </w:trPr>
        <w:tc>
          <w:tcPr>
            <w:tcW w:w="382" w:type="pct"/>
            <w:noWrap/>
            <w:vAlign w:val="center"/>
          </w:tcPr>
          <w:p w14:paraId="4AAD22B6" w14:textId="77777777" w:rsidR="002E474C" w:rsidRDefault="00000000">
            <w:pPr>
              <w:pStyle w:val="A-"/>
            </w:pPr>
            <w:r>
              <w:t>3</w:t>
            </w:r>
          </w:p>
        </w:tc>
        <w:tc>
          <w:tcPr>
            <w:tcW w:w="595" w:type="pct"/>
            <w:noWrap/>
            <w:vAlign w:val="center"/>
          </w:tcPr>
          <w:p w14:paraId="6F197190" w14:textId="77777777" w:rsidR="002E474C" w:rsidRDefault="00000000">
            <w:pPr>
              <w:pStyle w:val="A-"/>
            </w:pPr>
            <w:r>
              <w:t>网格</w:t>
            </w:r>
          </w:p>
        </w:tc>
        <w:tc>
          <w:tcPr>
            <w:tcW w:w="471" w:type="pct"/>
            <w:noWrap/>
            <w:vAlign w:val="center"/>
          </w:tcPr>
          <w:p w14:paraId="3E268C29" w14:textId="77777777" w:rsidR="002E474C" w:rsidRDefault="00000000">
            <w:pPr>
              <w:pStyle w:val="A-"/>
            </w:pPr>
            <w:r>
              <w:t>600,1600</w:t>
            </w:r>
          </w:p>
        </w:tc>
        <w:tc>
          <w:tcPr>
            <w:tcW w:w="373" w:type="pct"/>
            <w:noWrap/>
            <w:vAlign w:val="center"/>
          </w:tcPr>
          <w:p w14:paraId="67DBDBA1" w14:textId="77777777" w:rsidR="002E474C" w:rsidRDefault="00000000">
            <w:pPr>
              <w:pStyle w:val="A-"/>
            </w:pPr>
            <w:r>
              <w:t>日平均</w:t>
            </w:r>
          </w:p>
        </w:tc>
        <w:tc>
          <w:tcPr>
            <w:tcW w:w="390" w:type="pct"/>
            <w:noWrap/>
            <w:vAlign w:val="center"/>
          </w:tcPr>
          <w:p w14:paraId="7885AE6A" w14:textId="77777777" w:rsidR="002E474C" w:rsidRDefault="00000000">
            <w:pPr>
              <w:pStyle w:val="A-"/>
            </w:pPr>
            <w:r>
              <w:t>1.57E-01</w:t>
            </w:r>
          </w:p>
        </w:tc>
        <w:tc>
          <w:tcPr>
            <w:tcW w:w="473" w:type="pct"/>
            <w:noWrap/>
            <w:vAlign w:val="center"/>
          </w:tcPr>
          <w:p w14:paraId="3B810D2C" w14:textId="77777777" w:rsidR="002E474C" w:rsidRDefault="00000000">
            <w:pPr>
              <w:pStyle w:val="A-"/>
            </w:pPr>
            <w:r>
              <w:t>241207</w:t>
            </w:r>
          </w:p>
        </w:tc>
        <w:tc>
          <w:tcPr>
            <w:tcW w:w="399" w:type="pct"/>
            <w:noWrap/>
            <w:vAlign w:val="center"/>
          </w:tcPr>
          <w:p w14:paraId="60E323C7" w14:textId="77777777" w:rsidR="002E474C" w:rsidRDefault="00000000">
            <w:pPr>
              <w:pStyle w:val="A-"/>
            </w:pPr>
            <w:r>
              <w:t>1.05E-01</w:t>
            </w:r>
          </w:p>
        </w:tc>
        <w:tc>
          <w:tcPr>
            <w:tcW w:w="669" w:type="pct"/>
            <w:noWrap/>
            <w:vAlign w:val="center"/>
          </w:tcPr>
          <w:p w14:paraId="04E07E7C" w14:textId="77777777" w:rsidR="002E474C" w:rsidRDefault="00000000">
            <w:pPr>
              <w:pStyle w:val="A-"/>
            </w:pPr>
            <w:r>
              <w:t>2.62E-01</w:t>
            </w:r>
          </w:p>
        </w:tc>
        <w:tc>
          <w:tcPr>
            <w:tcW w:w="399" w:type="pct"/>
            <w:noWrap/>
            <w:vAlign w:val="center"/>
          </w:tcPr>
          <w:p w14:paraId="336111D2" w14:textId="77777777" w:rsidR="002E474C" w:rsidRDefault="00000000">
            <w:pPr>
              <w:pStyle w:val="A-"/>
            </w:pPr>
            <w:r>
              <w:t>7.00E+00</w:t>
            </w:r>
          </w:p>
        </w:tc>
        <w:tc>
          <w:tcPr>
            <w:tcW w:w="477" w:type="pct"/>
            <w:noWrap/>
            <w:vAlign w:val="center"/>
          </w:tcPr>
          <w:p w14:paraId="2DF576AA" w14:textId="77777777" w:rsidR="002E474C" w:rsidRDefault="00000000">
            <w:pPr>
              <w:pStyle w:val="A-"/>
            </w:pPr>
            <w:r>
              <w:t>3.74</w:t>
            </w:r>
          </w:p>
        </w:tc>
        <w:tc>
          <w:tcPr>
            <w:tcW w:w="373" w:type="pct"/>
            <w:noWrap/>
            <w:vAlign w:val="center"/>
          </w:tcPr>
          <w:p w14:paraId="3CD61546" w14:textId="77777777" w:rsidR="002E474C" w:rsidRDefault="00000000">
            <w:pPr>
              <w:pStyle w:val="A-"/>
            </w:pPr>
            <w:r>
              <w:t>达标</w:t>
            </w:r>
          </w:p>
        </w:tc>
      </w:tr>
    </w:tbl>
    <w:p w14:paraId="66CE1854" w14:textId="77777777" w:rsidR="002E474C" w:rsidRDefault="002E474C">
      <w:pPr>
        <w:pStyle w:val="A-0"/>
        <w:rPr>
          <w:color w:val="auto"/>
        </w:rPr>
      </w:pPr>
    </w:p>
    <w:p w14:paraId="0B884F05" w14:textId="77777777" w:rsidR="002E474C" w:rsidRDefault="00000000">
      <w:pPr>
        <w:pStyle w:val="A--"/>
        <w:rPr>
          <w:color w:val="auto"/>
        </w:rPr>
      </w:pPr>
      <w:r>
        <w:rPr>
          <w:color w:val="auto"/>
        </w:rPr>
        <w:t>表</w:t>
      </w:r>
      <w:r>
        <w:rPr>
          <w:color w:val="auto"/>
        </w:rPr>
        <w:t>5.1</w:t>
      </w:r>
      <w:r>
        <w:rPr>
          <w:color w:val="auto"/>
        </w:rPr>
        <w:noBreakHyphen/>
        <w:t xml:space="preserve">33  </w:t>
      </w:r>
      <w:r>
        <w:rPr>
          <w:color w:val="auto"/>
        </w:rPr>
        <w:t>区域</w:t>
      </w:r>
      <w:r>
        <w:rPr>
          <w:color w:val="auto"/>
        </w:rPr>
        <w:t>H2S</w:t>
      </w:r>
      <w:r>
        <w:rPr>
          <w:color w:val="auto"/>
        </w:rPr>
        <w:t>环境影响分析表</w:t>
      </w:r>
    </w:p>
    <w:tbl>
      <w:tblPr>
        <w:tblStyle w:val="affff9"/>
        <w:tblW w:w="5000" w:type="pct"/>
        <w:tblLook w:val="04A0" w:firstRow="1" w:lastRow="0" w:firstColumn="1" w:lastColumn="0" w:noHBand="0" w:noVBand="1"/>
      </w:tblPr>
      <w:tblGrid>
        <w:gridCol w:w="1053"/>
        <w:gridCol w:w="1686"/>
        <w:gridCol w:w="1301"/>
        <w:gridCol w:w="1056"/>
        <w:gridCol w:w="1075"/>
        <w:gridCol w:w="1306"/>
        <w:gridCol w:w="1100"/>
        <w:gridCol w:w="1896"/>
        <w:gridCol w:w="1100"/>
        <w:gridCol w:w="1319"/>
        <w:gridCol w:w="1056"/>
      </w:tblGrid>
      <w:tr w:rsidR="002E474C" w14:paraId="3DBE9F7C" w14:textId="77777777">
        <w:trPr>
          <w:trHeight w:val="285"/>
        </w:trPr>
        <w:tc>
          <w:tcPr>
            <w:tcW w:w="382" w:type="pct"/>
            <w:noWrap/>
            <w:vAlign w:val="center"/>
          </w:tcPr>
          <w:p w14:paraId="074C3A01" w14:textId="77777777" w:rsidR="002E474C" w:rsidRDefault="00000000">
            <w:pPr>
              <w:pStyle w:val="A-"/>
            </w:pPr>
            <w:r>
              <w:t>序号</w:t>
            </w:r>
          </w:p>
        </w:tc>
        <w:tc>
          <w:tcPr>
            <w:tcW w:w="595" w:type="pct"/>
            <w:noWrap/>
            <w:vAlign w:val="center"/>
          </w:tcPr>
          <w:p w14:paraId="1259DAE9" w14:textId="77777777" w:rsidR="002E474C" w:rsidRDefault="00000000">
            <w:pPr>
              <w:pStyle w:val="A-"/>
            </w:pPr>
            <w:r>
              <w:t>点名称</w:t>
            </w:r>
          </w:p>
        </w:tc>
        <w:tc>
          <w:tcPr>
            <w:tcW w:w="471" w:type="pct"/>
            <w:noWrap/>
            <w:vAlign w:val="center"/>
          </w:tcPr>
          <w:p w14:paraId="1C2FC602" w14:textId="77777777" w:rsidR="002E474C" w:rsidRDefault="00000000">
            <w:pPr>
              <w:pStyle w:val="A-"/>
            </w:pPr>
            <w:r>
              <w:t>点坐标</w:t>
            </w:r>
          </w:p>
        </w:tc>
        <w:tc>
          <w:tcPr>
            <w:tcW w:w="373" w:type="pct"/>
            <w:noWrap/>
            <w:vAlign w:val="center"/>
          </w:tcPr>
          <w:p w14:paraId="6FCBF864" w14:textId="77777777" w:rsidR="002E474C" w:rsidRDefault="00000000">
            <w:pPr>
              <w:pStyle w:val="A-"/>
            </w:pPr>
            <w:r>
              <w:t>浓度类型</w:t>
            </w:r>
          </w:p>
        </w:tc>
        <w:tc>
          <w:tcPr>
            <w:tcW w:w="390" w:type="pct"/>
            <w:noWrap/>
            <w:vAlign w:val="center"/>
          </w:tcPr>
          <w:p w14:paraId="7F0500F8" w14:textId="77777777" w:rsidR="002E474C" w:rsidRDefault="00000000">
            <w:pPr>
              <w:pStyle w:val="A-"/>
            </w:pPr>
            <w:r>
              <w:t>浓度增量</w:t>
            </w:r>
          </w:p>
          <w:p w14:paraId="7E0338FB" w14:textId="77777777" w:rsidR="002E474C" w:rsidRDefault="00000000">
            <w:pPr>
              <w:pStyle w:val="A-"/>
            </w:pPr>
            <w:r>
              <w:t>(</w:t>
            </w:r>
            <w:proofErr w:type="spellStart"/>
            <w:r>
              <w:t>μg</w:t>
            </w:r>
            <w:proofErr w:type="spellEnd"/>
            <w:r>
              <w:t>/m³)</w:t>
            </w:r>
          </w:p>
        </w:tc>
        <w:tc>
          <w:tcPr>
            <w:tcW w:w="473" w:type="pct"/>
            <w:noWrap/>
            <w:vAlign w:val="center"/>
          </w:tcPr>
          <w:p w14:paraId="5CADDE02" w14:textId="77777777" w:rsidR="002E474C" w:rsidRDefault="00000000">
            <w:pPr>
              <w:pStyle w:val="A-"/>
            </w:pPr>
            <w:r>
              <w:t>出现时间</w:t>
            </w:r>
          </w:p>
        </w:tc>
        <w:tc>
          <w:tcPr>
            <w:tcW w:w="399" w:type="pct"/>
            <w:noWrap/>
            <w:vAlign w:val="center"/>
          </w:tcPr>
          <w:p w14:paraId="152AD110" w14:textId="77777777" w:rsidR="002E474C" w:rsidRDefault="00000000">
            <w:pPr>
              <w:pStyle w:val="A-"/>
            </w:pPr>
            <w:r>
              <w:t>背景浓度</w:t>
            </w:r>
          </w:p>
          <w:p w14:paraId="26A32097" w14:textId="77777777" w:rsidR="002E474C" w:rsidRDefault="00000000">
            <w:pPr>
              <w:pStyle w:val="A-"/>
            </w:pPr>
            <w:r>
              <w:t>(</w:t>
            </w:r>
            <w:proofErr w:type="spellStart"/>
            <w:r>
              <w:t>μg</w:t>
            </w:r>
            <w:proofErr w:type="spellEnd"/>
            <w:r>
              <w:t>/m³)</w:t>
            </w:r>
          </w:p>
        </w:tc>
        <w:tc>
          <w:tcPr>
            <w:tcW w:w="669" w:type="pct"/>
            <w:noWrap/>
            <w:vAlign w:val="center"/>
          </w:tcPr>
          <w:p w14:paraId="5B260929" w14:textId="77777777" w:rsidR="002E474C" w:rsidRDefault="00000000">
            <w:pPr>
              <w:pStyle w:val="A-"/>
            </w:pPr>
            <w:r>
              <w:t>叠加背景后的浓度</w:t>
            </w:r>
          </w:p>
          <w:p w14:paraId="5D3A4E99" w14:textId="77777777" w:rsidR="002E474C" w:rsidRDefault="00000000">
            <w:pPr>
              <w:pStyle w:val="A-"/>
            </w:pPr>
            <w:r>
              <w:t>(</w:t>
            </w:r>
            <w:proofErr w:type="spellStart"/>
            <w:r>
              <w:t>μg</w:t>
            </w:r>
            <w:proofErr w:type="spellEnd"/>
            <w:r>
              <w:t>/m³)</w:t>
            </w:r>
          </w:p>
        </w:tc>
        <w:tc>
          <w:tcPr>
            <w:tcW w:w="399" w:type="pct"/>
            <w:noWrap/>
            <w:vAlign w:val="center"/>
          </w:tcPr>
          <w:p w14:paraId="20E62238" w14:textId="77777777" w:rsidR="002E474C" w:rsidRDefault="00000000">
            <w:pPr>
              <w:pStyle w:val="A-"/>
            </w:pPr>
            <w:r>
              <w:t>评价标准</w:t>
            </w:r>
          </w:p>
          <w:p w14:paraId="37BB81A1" w14:textId="77777777" w:rsidR="002E474C" w:rsidRDefault="00000000">
            <w:pPr>
              <w:pStyle w:val="A-"/>
            </w:pPr>
            <w:r>
              <w:t>(</w:t>
            </w:r>
            <w:proofErr w:type="spellStart"/>
            <w:r>
              <w:t>μg</w:t>
            </w:r>
            <w:proofErr w:type="spellEnd"/>
            <w:r>
              <w:t>/m³)</w:t>
            </w:r>
          </w:p>
        </w:tc>
        <w:tc>
          <w:tcPr>
            <w:tcW w:w="477" w:type="pct"/>
            <w:noWrap/>
            <w:vAlign w:val="center"/>
          </w:tcPr>
          <w:p w14:paraId="2F68DBAD" w14:textId="77777777" w:rsidR="002E474C" w:rsidRDefault="00000000">
            <w:pPr>
              <w:pStyle w:val="A-"/>
            </w:pPr>
            <w:r>
              <w:t>占标率</w:t>
            </w:r>
            <w:r>
              <w:t>%</w:t>
            </w:r>
          </w:p>
        </w:tc>
        <w:tc>
          <w:tcPr>
            <w:tcW w:w="373" w:type="pct"/>
            <w:noWrap/>
            <w:vAlign w:val="center"/>
          </w:tcPr>
          <w:p w14:paraId="64C03BAF" w14:textId="77777777" w:rsidR="002E474C" w:rsidRDefault="00000000">
            <w:pPr>
              <w:pStyle w:val="A-"/>
            </w:pPr>
            <w:r>
              <w:t>是否超标</w:t>
            </w:r>
          </w:p>
        </w:tc>
      </w:tr>
      <w:tr w:rsidR="002E474C" w14:paraId="4DC253FD" w14:textId="77777777">
        <w:trPr>
          <w:trHeight w:val="285"/>
        </w:trPr>
        <w:tc>
          <w:tcPr>
            <w:tcW w:w="382" w:type="pct"/>
            <w:noWrap/>
            <w:vAlign w:val="center"/>
          </w:tcPr>
          <w:p w14:paraId="54F93C00" w14:textId="77777777" w:rsidR="002E474C" w:rsidRDefault="00000000">
            <w:pPr>
              <w:pStyle w:val="A-"/>
            </w:pPr>
            <w:r>
              <w:t>1</w:t>
            </w:r>
          </w:p>
        </w:tc>
        <w:tc>
          <w:tcPr>
            <w:tcW w:w="595" w:type="pct"/>
            <w:noWrap/>
            <w:vAlign w:val="center"/>
          </w:tcPr>
          <w:p w14:paraId="787FB1AD" w14:textId="77777777" w:rsidR="002E474C" w:rsidRDefault="00000000">
            <w:pPr>
              <w:pStyle w:val="A-"/>
            </w:pPr>
            <w:r>
              <w:t>阿乐惠镇</w:t>
            </w:r>
          </w:p>
        </w:tc>
        <w:tc>
          <w:tcPr>
            <w:tcW w:w="471" w:type="pct"/>
            <w:noWrap/>
            <w:vAlign w:val="center"/>
          </w:tcPr>
          <w:p w14:paraId="55D02658" w14:textId="77777777" w:rsidR="002E474C" w:rsidRDefault="00000000">
            <w:pPr>
              <w:pStyle w:val="A-"/>
            </w:pPr>
            <w:r>
              <w:t>-4151,1104</w:t>
            </w:r>
          </w:p>
        </w:tc>
        <w:tc>
          <w:tcPr>
            <w:tcW w:w="373" w:type="pct"/>
            <w:noWrap/>
            <w:vAlign w:val="center"/>
          </w:tcPr>
          <w:p w14:paraId="2D5BD869" w14:textId="77777777" w:rsidR="002E474C" w:rsidRDefault="00000000">
            <w:pPr>
              <w:pStyle w:val="A-"/>
            </w:pPr>
            <w:r>
              <w:t>1</w:t>
            </w:r>
            <w:r>
              <w:t>小时</w:t>
            </w:r>
          </w:p>
        </w:tc>
        <w:tc>
          <w:tcPr>
            <w:tcW w:w="390" w:type="pct"/>
            <w:noWrap/>
            <w:vAlign w:val="center"/>
          </w:tcPr>
          <w:p w14:paraId="3789F0D6" w14:textId="77777777" w:rsidR="002E474C" w:rsidRDefault="00000000">
            <w:pPr>
              <w:pStyle w:val="A-"/>
            </w:pPr>
            <w:r>
              <w:t>8.23E-02</w:t>
            </w:r>
          </w:p>
        </w:tc>
        <w:tc>
          <w:tcPr>
            <w:tcW w:w="473" w:type="pct"/>
            <w:noWrap/>
            <w:vAlign w:val="center"/>
          </w:tcPr>
          <w:p w14:paraId="41E92087" w14:textId="77777777" w:rsidR="002E474C" w:rsidRDefault="00000000">
            <w:pPr>
              <w:pStyle w:val="A-"/>
            </w:pPr>
            <w:r>
              <w:t>24011810</w:t>
            </w:r>
          </w:p>
        </w:tc>
        <w:tc>
          <w:tcPr>
            <w:tcW w:w="399" w:type="pct"/>
            <w:noWrap/>
            <w:vAlign w:val="center"/>
          </w:tcPr>
          <w:p w14:paraId="2791AC44" w14:textId="77777777" w:rsidR="002E474C" w:rsidRDefault="00000000">
            <w:pPr>
              <w:pStyle w:val="A-"/>
            </w:pPr>
            <w:r>
              <w:t>5.00E-01</w:t>
            </w:r>
          </w:p>
        </w:tc>
        <w:tc>
          <w:tcPr>
            <w:tcW w:w="669" w:type="pct"/>
            <w:noWrap/>
            <w:vAlign w:val="center"/>
          </w:tcPr>
          <w:p w14:paraId="1A8A82A6" w14:textId="77777777" w:rsidR="002E474C" w:rsidRDefault="00000000">
            <w:pPr>
              <w:pStyle w:val="A-"/>
            </w:pPr>
            <w:r>
              <w:t>5.82E-01</w:t>
            </w:r>
          </w:p>
        </w:tc>
        <w:tc>
          <w:tcPr>
            <w:tcW w:w="399" w:type="pct"/>
            <w:noWrap/>
            <w:vAlign w:val="center"/>
          </w:tcPr>
          <w:p w14:paraId="4EC2DAE4" w14:textId="77777777" w:rsidR="002E474C" w:rsidRDefault="00000000">
            <w:pPr>
              <w:pStyle w:val="A-"/>
            </w:pPr>
            <w:r>
              <w:t>1.00E+01</w:t>
            </w:r>
          </w:p>
        </w:tc>
        <w:tc>
          <w:tcPr>
            <w:tcW w:w="477" w:type="pct"/>
            <w:noWrap/>
            <w:vAlign w:val="center"/>
          </w:tcPr>
          <w:p w14:paraId="24544CB3" w14:textId="77777777" w:rsidR="002E474C" w:rsidRDefault="00000000">
            <w:pPr>
              <w:pStyle w:val="A-"/>
            </w:pPr>
            <w:r>
              <w:t>5.82</w:t>
            </w:r>
          </w:p>
        </w:tc>
        <w:tc>
          <w:tcPr>
            <w:tcW w:w="373" w:type="pct"/>
            <w:noWrap/>
            <w:vAlign w:val="center"/>
          </w:tcPr>
          <w:p w14:paraId="510F29C5" w14:textId="77777777" w:rsidR="002E474C" w:rsidRDefault="00000000">
            <w:pPr>
              <w:pStyle w:val="A-"/>
            </w:pPr>
            <w:r>
              <w:t>达标</w:t>
            </w:r>
          </w:p>
        </w:tc>
      </w:tr>
      <w:tr w:rsidR="002E474C" w14:paraId="02C5306E" w14:textId="77777777">
        <w:trPr>
          <w:trHeight w:val="285"/>
        </w:trPr>
        <w:tc>
          <w:tcPr>
            <w:tcW w:w="382" w:type="pct"/>
            <w:noWrap/>
            <w:vAlign w:val="center"/>
          </w:tcPr>
          <w:p w14:paraId="331D008E" w14:textId="77777777" w:rsidR="002E474C" w:rsidRDefault="00000000">
            <w:pPr>
              <w:pStyle w:val="A-"/>
            </w:pPr>
            <w:r>
              <w:t>2</w:t>
            </w:r>
          </w:p>
        </w:tc>
        <w:tc>
          <w:tcPr>
            <w:tcW w:w="595" w:type="pct"/>
            <w:noWrap/>
            <w:vAlign w:val="center"/>
          </w:tcPr>
          <w:p w14:paraId="7AAB13C9" w14:textId="77777777" w:rsidR="002E474C" w:rsidRDefault="00000000">
            <w:pPr>
              <w:pStyle w:val="A-"/>
            </w:pPr>
            <w:r>
              <w:t>电石厂员工公寓</w:t>
            </w:r>
          </w:p>
        </w:tc>
        <w:tc>
          <w:tcPr>
            <w:tcW w:w="471" w:type="pct"/>
            <w:noWrap/>
            <w:vAlign w:val="center"/>
          </w:tcPr>
          <w:p w14:paraId="1022FBCF" w14:textId="77777777" w:rsidR="002E474C" w:rsidRDefault="00000000">
            <w:pPr>
              <w:pStyle w:val="A-"/>
            </w:pPr>
            <w:r>
              <w:t>-1901,92</w:t>
            </w:r>
          </w:p>
        </w:tc>
        <w:tc>
          <w:tcPr>
            <w:tcW w:w="373" w:type="pct"/>
            <w:noWrap/>
            <w:vAlign w:val="center"/>
          </w:tcPr>
          <w:p w14:paraId="2922FC5B" w14:textId="77777777" w:rsidR="002E474C" w:rsidRDefault="00000000">
            <w:pPr>
              <w:pStyle w:val="A-"/>
            </w:pPr>
            <w:r>
              <w:t>1</w:t>
            </w:r>
            <w:r>
              <w:t>小时</w:t>
            </w:r>
          </w:p>
        </w:tc>
        <w:tc>
          <w:tcPr>
            <w:tcW w:w="390" w:type="pct"/>
            <w:noWrap/>
            <w:vAlign w:val="center"/>
          </w:tcPr>
          <w:p w14:paraId="3E3805D3" w14:textId="77777777" w:rsidR="002E474C" w:rsidRDefault="00000000">
            <w:pPr>
              <w:pStyle w:val="A-"/>
            </w:pPr>
            <w:r>
              <w:t>2.75E-01</w:t>
            </w:r>
          </w:p>
        </w:tc>
        <w:tc>
          <w:tcPr>
            <w:tcW w:w="473" w:type="pct"/>
            <w:noWrap/>
            <w:vAlign w:val="center"/>
          </w:tcPr>
          <w:p w14:paraId="06445688" w14:textId="77777777" w:rsidR="002E474C" w:rsidRDefault="00000000">
            <w:pPr>
              <w:pStyle w:val="A-"/>
            </w:pPr>
            <w:r>
              <w:t>24011810</w:t>
            </w:r>
          </w:p>
        </w:tc>
        <w:tc>
          <w:tcPr>
            <w:tcW w:w="399" w:type="pct"/>
            <w:noWrap/>
            <w:vAlign w:val="center"/>
          </w:tcPr>
          <w:p w14:paraId="06B861F2" w14:textId="77777777" w:rsidR="002E474C" w:rsidRDefault="00000000">
            <w:pPr>
              <w:pStyle w:val="A-"/>
            </w:pPr>
            <w:r>
              <w:t>5.00E-01</w:t>
            </w:r>
          </w:p>
        </w:tc>
        <w:tc>
          <w:tcPr>
            <w:tcW w:w="669" w:type="pct"/>
            <w:noWrap/>
            <w:vAlign w:val="center"/>
          </w:tcPr>
          <w:p w14:paraId="6A923FC7" w14:textId="77777777" w:rsidR="002E474C" w:rsidRDefault="00000000">
            <w:pPr>
              <w:pStyle w:val="A-"/>
            </w:pPr>
            <w:r>
              <w:t>7.75E-01</w:t>
            </w:r>
          </w:p>
        </w:tc>
        <w:tc>
          <w:tcPr>
            <w:tcW w:w="399" w:type="pct"/>
            <w:noWrap/>
            <w:vAlign w:val="center"/>
          </w:tcPr>
          <w:p w14:paraId="07A59E59" w14:textId="77777777" w:rsidR="002E474C" w:rsidRDefault="00000000">
            <w:pPr>
              <w:pStyle w:val="A-"/>
            </w:pPr>
            <w:r>
              <w:t>1.00E+01</w:t>
            </w:r>
          </w:p>
        </w:tc>
        <w:tc>
          <w:tcPr>
            <w:tcW w:w="477" w:type="pct"/>
            <w:noWrap/>
            <w:vAlign w:val="center"/>
          </w:tcPr>
          <w:p w14:paraId="77B862C4" w14:textId="77777777" w:rsidR="002E474C" w:rsidRDefault="00000000">
            <w:pPr>
              <w:pStyle w:val="A-"/>
            </w:pPr>
            <w:r>
              <w:t>7.75</w:t>
            </w:r>
          </w:p>
        </w:tc>
        <w:tc>
          <w:tcPr>
            <w:tcW w:w="373" w:type="pct"/>
            <w:noWrap/>
            <w:vAlign w:val="center"/>
          </w:tcPr>
          <w:p w14:paraId="77B2005F" w14:textId="77777777" w:rsidR="002E474C" w:rsidRDefault="00000000">
            <w:pPr>
              <w:pStyle w:val="A-"/>
            </w:pPr>
            <w:r>
              <w:t>达标</w:t>
            </w:r>
          </w:p>
        </w:tc>
      </w:tr>
      <w:tr w:rsidR="002E474C" w14:paraId="11D1E8C9" w14:textId="77777777">
        <w:trPr>
          <w:trHeight w:val="285"/>
        </w:trPr>
        <w:tc>
          <w:tcPr>
            <w:tcW w:w="382" w:type="pct"/>
            <w:noWrap/>
            <w:vAlign w:val="center"/>
          </w:tcPr>
          <w:p w14:paraId="61DF9F6F" w14:textId="77777777" w:rsidR="002E474C" w:rsidRDefault="00000000">
            <w:pPr>
              <w:pStyle w:val="A-"/>
            </w:pPr>
            <w:r>
              <w:t>3</w:t>
            </w:r>
          </w:p>
        </w:tc>
        <w:tc>
          <w:tcPr>
            <w:tcW w:w="595" w:type="pct"/>
            <w:noWrap/>
            <w:vAlign w:val="center"/>
          </w:tcPr>
          <w:p w14:paraId="5AF45D5C" w14:textId="77777777" w:rsidR="002E474C" w:rsidRDefault="00000000">
            <w:pPr>
              <w:pStyle w:val="A-"/>
            </w:pPr>
            <w:r>
              <w:t>网格</w:t>
            </w:r>
          </w:p>
        </w:tc>
        <w:tc>
          <w:tcPr>
            <w:tcW w:w="471" w:type="pct"/>
            <w:noWrap/>
            <w:vAlign w:val="center"/>
          </w:tcPr>
          <w:p w14:paraId="6BAE82D0" w14:textId="77777777" w:rsidR="002E474C" w:rsidRDefault="00000000">
            <w:pPr>
              <w:pStyle w:val="A-"/>
            </w:pPr>
            <w:r>
              <w:t>4400,-1400</w:t>
            </w:r>
          </w:p>
        </w:tc>
        <w:tc>
          <w:tcPr>
            <w:tcW w:w="373" w:type="pct"/>
            <w:noWrap/>
            <w:vAlign w:val="center"/>
          </w:tcPr>
          <w:p w14:paraId="20DD5116" w14:textId="77777777" w:rsidR="002E474C" w:rsidRDefault="00000000">
            <w:pPr>
              <w:pStyle w:val="A-"/>
            </w:pPr>
            <w:r>
              <w:t>1</w:t>
            </w:r>
            <w:r>
              <w:t>小时</w:t>
            </w:r>
          </w:p>
        </w:tc>
        <w:tc>
          <w:tcPr>
            <w:tcW w:w="390" w:type="pct"/>
            <w:noWrap/>
            <w:vAlign w:val="center"/>
          </w:tcPr>
          <w:p w14:paraId="657C85A4" w14:textId="77777777" w:rsidR="002E474C" w:rsidRDefault="00000000">
            <w:pPr>
              <w:pStyle w:val="A-"/>
            </w:pPr>
            <w:r>
              <w:t>8.37E+00</w:t>
            </w:r>
          </w:p>
        </w:tc>
        <w:tc>
          <w:tcPr>
            <w:tcW w:w="473" w:type="pct"/>
            <w:noWrap/>
            <w:vAlign w:val="center"/>
          </w:tcPr>
          <w:p w14:paraId="751FDDCF" w14:textId="77777777" w:rsidR="002E474C" w:rsidRDefault="00000000">
            <w:pPr>
              <w:pStyle w:val="A-"/>
            </w:pPr>
            <w:r>
              <w:t>24122710</w:t>
            </w:r>
          </w:p>
        </w:tc>
        <w:tc>
          <w:tcPr>
            <w:tcW w:w="399" w:type="pct"/>
            <w:noWrap/>
            <w:vAlign w:val="center"/>
          </w:tcPr>
          <w:p w14:paraId="628D4A5B" w14:textId="77777777" w:rsidR="002E474C" w:rsidRDefault="00000000">
            <w:pPr>
              <w:pStyle w:val="A-"/>
            </w:pPr>
            <w:r>
              <w:t>5.00E-01</w:t>
            </w:r>
          </w:p>
        </w:tc>
        <w:tc>
          <w:tcPr>
            <w:tcW w:w="669" w:type="pct"/>
            <w:noWrap/>
            <w:vAlign w:val="center"/>
          </w:tcPr>
          <w:p w14:paraId="616A5E26" w14:textId="77777777" w:rsidR="002E474C" w:rsidRDefault="00000000">
            <w:pPr>
              <w:pStyle w:val="A-"/>
            </w:pPr>
            <w:r>
              <w:t>8.87E+00</w:t>
            </w:r>
          </w:p>
        </w:tc>
        <w:tc>
          <w:tcPr>
            <w:tcW w:w="399" w:type="pct"/>
            <w:noWrap/>
            <w:vAlign w:val="center"/>
          </w:tcPr>
          <w:p w14:paraId="48AAB085" w14:textId="77777777" w:rsidR="002E474C" w:rsidRDefault="00000000">
            <w:pPr>
              <w:pStyle w:val="A-"/>
            </w:pPr>
            <w:r>
              <w:t>1.00E+01</w:t>
            </w:r>
          </w:p>
        </w:tc>
        <w:tc>
          <w:tcPr>
            <w:tcW w:w="477" w:type="pct"/>
            <w:noWrap/>
            <w:vAlign w:val="center"/>
          </w:tcPr>
          <w:p w14:paraId="5742BA8D" w14:textId="77777777" w:rsidR="002E474C" w:rsidRDefault="00000000">
            <w:pPr>
              <w:pStyle w:val="A-"/>
            </w:pPr>
            <w:r>
              <w:t>88.67</w:t>
            </w:r>
          </w:p>
        </w:tc>
        <w:tc>
          <w:tcPr>
            <w:tcW w:w="373" w:type="pct"/>
            <w:noWrap/>
            <w:vAlign w:val="center"/>
          </w:tcPr>
          <w:p w14:paraId="35FBA411" w14:textId="77777777" w:rsidR="002E474C" w:rsidRDefault="00000000">
            <w:pPr>
              <w:pStyle w:val="A-"/>
            </w:pPr>
            <w:r>
              <w:t>达标</w:t>
            </w:r>
          </w:p>
        </w:tc>
      </w:tr>
    </w:tbl>
    <w:p w14:paraId="3CDC1ADF" w14:textId="77777777" w:rsidR="002E474C" w:rsidRDefault="002E474C">
      <w:pPr>
        <w:pStyle w:val="A-0"/>
        <w:rPr>
          <w:color w:val="auto"/>
        </w:rPr>
      </w:pPr>
    </w:p>
    <w:p w14:paraId="62FFAB29" w14:textId="77777777" w:rsidR="002E474C" w:rsidRDefault="002E474C">
      <w:pPr>
        <w:pStyle w:val="A-0"/>
        <w:rPr>
          <w:color w:val="auto"/>
        </w:rPr>
        <w:sectPr w:rsidR="002E474C">
          <w:pgSz w:w="16838" w:h="11906" w:orient="landscape"/>
          <w:pgMar w:top="1800" w:right="1440" w:bottom="1800" w:left="1440" w:header="851" w:footer="992" w:gutter="0"/>
          <w:cols w:space="720"/>
          <w:docGrid w:linePitch="312"/>
        </w:sectPr>
      </w:pPr>
    </w:p>
    <w:p w14:paraId="05562F0C" w14:textId="77777777" w:rsidR="002E474C" w:rsidRDefault="00000000">
      <w:pPr>
        <w:pStyle w:val="A--"/>
        <w:rPr>
          <w:color w:val="auto"/>
        </w:rPr>
      </w:pPr>
      <w:r>
        <w:rPr>
          <w:color w:val="auto"/>
        </w:rPr>
        <w:lastRenderedPageBreak/>
        <w:t>表</w:t>
      </w:r>
      <w:r>
        <w:rPr>
          <w:color w:val="auto"/>
        </w:rPr>
        <w:t>5.1</w:t>
      </w:r>
      <w:r>
        <w:rPr>
          <w:color w:val="auto"/>
        </w:rPr>
        <w:noBreakHyphen/>
        <w:t xml:space="preserve">34  </w:t>
      </w:r>
      <w:r>
        <w:rPr>
          <w:color w:val="auto"/>
        </w:rPr>
        <w:t>区域</w:t>
      </w:r>
      <w:r>
        <w:rPr>
          <w:color w:val="auto"/>
        </w:rPr>
        <w:t>NH3</w:t>
      </w:r>
      <w:r>
        <w:rPr>
          <w:color w:val="auto"/>
        </w:rPr>
        <w:t>环境影响分析表</w:t>
      </w:r>
    </w:p>
    <w:tbl>
      <w:tblPr>
        <w:tblStyle w:val="affff9"/>
        <w:tblW w:w="5000" w:type="pct"/>
        <w:tblLook w:val="04A0" w:firstRow="1" w:lastRow="0" w:firstColumn="1" w:lastColumn="0" w:noHBand="0" w:noVBand="1"/>
      </w:tblPr>
      <w:tblGrid>
        <w:gridCol w:w="1066"/>
        <w:gridCol w:w="1686"/>
        <w:gridCol w:w="1197"/>
        <w:gridCol w:w="1056"/>
        <w:gridCol w:w="1113"/>
        <w:gridCol w:w="1319"/>
        <w:gridCol w:w="1113"/>
        <w:gridCol w:w="1896"/>
        <w:gridCol w:w="1114"/>
        <w:gridCol w:w="1332"/>
        <w:gridCol w:w="1056"/>
      </w:tblGrid>
      <w:tr w:rsidR="002E474C" w14:paraId="7E189275" w14:textId="77777777">
        <w:trPr>
          <w:trHeight w:val="285"/>
        </w:trPr>
        <w:tc>
          <w:tcPr>
            <w:tcW w:w="387" w:type="pct"/>
            <w:noWrap/>
            <w:vAlign w:val="center"/>
          </w:tcPr>
          <w:p w14:paraId="56578918" w14:textId="77777777" w:rsidR="002E474C" w:rsidRDefault="00000000">
            <w:pPr>
              <w:pStyle w:val="A-"/>
            </w:pPr>
            <w:r>
              <w:t>序号</w:t>
            </w:r>
          </w:p>
        </w:tc>
        <w:tc>
          <w:tcPr>
            <w:tcW w:w="595" w:type="pct"/>
            <w:noWrap/>
            <w:vAlign w:val="center"/>
          </w:tcPr>
          <w:p w14:paraId="77333E39" w14:textId="77777777" w:rsidR="002E474C" w:rsidRDefault="00000000">
            <w:pPr>
              <w:pStyle w:val="A-"/>
            </w:pPr>
            <w:r>
              <w:t>点名称</w:t>
            </w:r>
          </w:p>
        </w:tc>
        <w:tc>
          <w:tcPr>
            <w:tcW w:w="434" w:type="pct"/>
            <w:noWrap/>
            <w:vAlign w:val="center"/>
          </w:tcPr>
          <w:p w14:paraId="03E70F1D" w14:textId="77777777" w:rsidR="002E474C" w:rsidRDefault="00000000">
            <w:pPr>
              <w:pStyle w:val="A-"/>
            </w:pPr>
            <w:r>
              <w:t>点坐标</w:t>
            </w:r>
          </w:p>
        </w:tc>
        <w:tc>
          <w:tcPr>
            <w:tcW w:w="373" w:type="pct"/>
            <w:noWrap/>
            <w:vAlign w:val="center"/>
          </w:tcPr>
          <w:p w14:paraId="523B8F7F" w14:textId="77777777" w:rsidR="002E474C" w:rsidRDefault="00000000">
            <w:pPr>
              <w:pStyle w:val="A-"/>
            </w:pPr>
            <w:r>
              <w:t>浓度类型</w:t>
            </w:r>
          </w:p>
        </w:tc>
        <w:tc>
          <w:tcPr>
            <w:tcW w:w="404" w:type="pct"/>
            <w:noWrap/>
            <w:vAlign w:val="center"/>
          </w:tcPr>
          <w:p w14:paraId="51FCCB4F" w14:textId="77777777" w:rsidR="002E474C" w:rsidRDefault="00000000">
            <w:pPr>
              <w:pStyle w:val="A-"/>
            </w:pPr>
            <w:r>
              <w:t>浓度增量</w:t>
            </w:r>
          </w:p>
          <w:p w14:paraId="6A107D2C" w14:textId="77777777" w:rsidR="002E474C" w:rsidRDefault="00000000">
            <w:pPr>
              <w:pStyle w:val="A-"/>
            </w:pPr>
            <w:r>
              <w:t>(</w:t>
            </w:r>
            <w:proofErr w:type="spellStart"/>
            <w:r>
              <w:t>μg</w:t>
            </w:r>
            <w:proofErr w:type="spellEnd"/>
            <w:r>
              <w:t>/m³)</w:t>
            </w:r>
          </w:p>
        </w:tc>
        <w:tc>
          <w:tcPr>
            <w:tcW w:w="478" w:type="pct"/>
            <w:noWrap/>
            <w:vAlign w:val="center"/>
          </w:tcPr>
          <w:p w14:paraId="159EFB45" w14:textId="77777777" w:rsidR="002E474C" w:rsidRDefault="00000000">
            <w:pPr>
              <w:pStyle w:val="A-"/>
            </w:pPr>
            <w:r>
              <w:t>出现时间</w:t>
            </w:r>
          </w:p>
        </w:tc>
        <w:tc>
          <w:tcPr>
            <w:tcW w:w="404" w:type="pct"/>
            <w:noWrap/>
            <w:vAlign w:val="center"/>
          </w:tcPr>
          <w:p w14:paraId="0F1A4A54" w14:textId="77777777" w:rsidR="002E474C" w:rsidRDefault="00000000">
            <w:pPr>
              <w:pStyle w:val="A-"/>
            </w:pPr>
            <w:r>
              <w:t>背景浓度</w:t>
            </w:r>
          </w:p>
          <w:p w14:paraId="7EA23E32" w14:textId="77777777" w:rsidR="002E474C" w:rsidRDefault="00000000">
            <w:pPr>
              <w:pStyle w:val="A-"/>
            </w:pPr>
            <w:r>
              <w:t>(</w:t>
            </w:r>
            <w:proofErr w:type="spellStart"/>
            <w:r>
              <w:t>μg</w:t>
            </w:r>
            <w:proofErr w:type="spellEnd"/>
            <w:r>
              <w:t>/m³)</w:t>
            </w:r>
          </w:p>
        </w:tc>
        <w:tc>
          <w:tcPr>
            <w:tcW w:w="669" w:type="pct"/>
            <w:noWrap/>
            <w:vAlign w:val="center"/>
          </w:tcPr>
          <w:p w14:paraId="31390185" w14:textId="77777777" w:rsidR="002E474C" w:rsidRDefault="00000000">
            <w:pPr>
              <w:pStyle w:val="A-"/>
            </w:pPr>
            <w:r>
              <w:t>叠加背景后的浓度</w:t>
            </w:r>
          </w:p>
          <w:p w14:paraId="72FC20CF" w14:textId="77777777" w:rsidR="002E474C" w:rsidRDefault="00000000">
            <w:pPr>
              <w:pStyle w:val="A-"/>
            </w:pPr>
            <w:r>
              <w:t>(</w:t>
            </w:r>
            <w:proofErr w:type="spellStart"/>
            <w:r>
              <w:t>μg</w:t>
            </w:r>
            <w:proofErr w:type="spellEnd"/>
            <w:r>
              <w:t>/m³)</w:t>
            </w:r>
          </w:p>
        </w:tc>
        <w:tc>
          <w:tcPr>
            <w:tcW w:w="404" w:type="pct"/>
            <w:noWrap/>
            <w:vAlign w:val="center"/>
          </w:tcPr>
          <w:p w14:paraId="4D8388B4" w14:textId="77777777" w:rsidR="002E474C" w:rsidRDefault="00000000">
            <w:pPr>
              <w:pStyle w:val="A-"/>
            </w:pPr>
            <w:r>
              <w:t>评价标准</w:t>
            </w:r>
          </w:p>
          <w:p w14:paraId="4A20439F" w14:textId="77777777" w:rsidR="002E474C" w:rsidRDefault="00000000">
            <w:pPr>
              <w:pStyle w:val="A-"/>
            </w:pPr>
            <w:r>
              <w:t>(</w:t>
            </w:r>
            <w:proofErr w:type="spellStart"/>
            <w:r>
              <w:t>μg</w:t>
            </w:r>
            <w:proofErr w:type="spellEnd"/>
            <w:r>
              <w:t>/m³)</w:t>
            </w:r>
          </w:p>
        </w:tc>
        <w:tc>
          <w:tcPr>
            <w:tcW w:w="482" w:type="pct"/>
            <w:noWrap/>
            <w:vAlign w:val="center"/>
          </w:tcPr>
          <w:p w14:paraId="52CF099F" w14:textId="77777777" w:rsidR="002E474C" w:rsidRDefault="00000000">
            <w:pPr>
              <w:pStyle w:val="A-"/>
            </w:pPr>
            <w:r>
              <w:t>占标率</w:t>
            </w:r>
            <w:r>
              <w:t>%</w:t>
            </w:r>
          </w:p>
        </w:tc>
        <w:tc>
          <w:tcPr>
            <w:tcW w:w="373" w:type="pct"/>
            <w:noWrap/>
            <w:vAlign w:val="center"/>
          </w:tcPr>
          <w:p w14:paraId="6BB0F0F3" w14:textId="77777777" w:rsidR="002E474C" w:rsidRDefault="00000000">
            <w:pPr>
              <w:pStyle w:val="A-"/>
            </w:pPr>
            <w:r>
              <w:t>是否超标</w:t>
            </w:r>
          </w:p>
        </w:tc>
      </w:tr>
      <w:tr w:rsidR="002E474C" w14:paraId="7E92AC9F" w14:textId="77777777">
        <w:trPr>
          <w:trHeight w:val="285"/>
        </w:trPr>
        <w:tc>
          <w:tcPr>
            <w:tcW w:w="387" w:type="pct"/>
            <w:noWrap/>
            <w:vAlign w:val="center"/>
          </w:tcPr>
          <w:p w14:paraId="0FB7A032" w14:textId="77777777" w:rsidR="002E474C" w:rsidRDefault="00000000">
            <w:pPr>
              <w:pStyle w:val="A-"/>
            </w:pPr>
            <w:r>
              <w:t>1</w:t>
            </w:r>
          </w:p>
        </w:tc>
        <w:tc>
          <w:tcPr>
            <w:tcW w:w="595" w:type="pct"/>
            <w:noWrap/>
            <w:vAlign w:val="center"/>
          </w:tcPr>
          <w:p w14:paraId="1289643A" w14:textId="77777777" w:rsidR="002E474C" w:rsidRDefault="00000000">
            <w:pPr>
              <w:pStyle w:val="A-"/>
            </w:pPr>
            <w:r>
              <w:t>阿乐惠镇</w:t>
            </w:r>
          </w:p>
        </w:tc>
        <w:tc>
          <w:tcPr>
            <w:tcW w:w="434" w:type="pct"/>
            <w:noWrap/>
            <w:vAlign w:val="center"/>
          </w:tcPr>
          <w:p w14:paraId="3BD6B22D" w14:textId="77777777" w:rsidR="002E474C" w:rsidRDefault="00000000">
            <w:pPr>
              <w:pStyle w:val="A-"/>
            </w:pPr>
            <w:r>
              <w:t>-4151,1104</w:t>
            </w:r>
          </w:p>
        </w:tc>
        <w:tc>
          <w:tcPr>
            <w:tcW w:w="373" w:type="pct"/>
            <w:noWrap/>
            <w:vAlign w:val="center"/>
          </w:tcPr>
          <w:p w14:paraId="367E4F86" w14:textId="77777777" w:rsidR="002E474C" w:rsidRDefault="00000000">
            <w:pPr>
              <w:pStyle w:val="A-"/>
            </w:pPr>
            <w:r>
              <w:t>1</w:t>
            </w:r>
            <w:r>
              <w:t>小时</w:t>
            </w:r>
          </w:p>
        </w:tc>
        <w:tc>
          <w:tcPr>
            <w:tcW w:w="404" w:type="pct"/>
            <w:noWrap/>
            <w:vAlign w:val="center"/>
          </w:tcPr>
          <w:p w14:paraId="26BDA617" w14:textId="77777777" w:rsidR="002E474C" w:rsidRDefault="00000000">
            <w:pPr>
              <w:pStyle w:val="A-"/>
            </w:pPr>
            <w:r>
              <w:t>3.26E-01</w:t>
            </w:r>
          </w:p>
        </w:tc>
        <w:tc>
          <w:tcPr>
            <w:tcW w:w="478" w:type="pct"/>
            <w:noWrap/>
            <w:vAlign w:val="center"/>
          </w:tcPr>
          <w:p w14:paraId="54999519" w14:textId="77777777" w:rsidR="002E474C" w:rsidRDefault="00000000">
            <w:pPr>
              <w:pStyle w:val="A-"/>
            </w:pPr>
            <w:r>
              <w:t>24011810</w:t>
            </w:r>
          </w:p>
        </w:tc>
        <w:tc>
          <w:tcPr>
            <w:tcW w:w="404" w:type="pct"/>
            <w:noWrap/>
            <w:vAlign w:val="center"/>
          </w:tcPr>
          <w:p w14:paraId="22F9CAA2" w14:textId="77777777" w:rsidR="002E474C" w:rsidRDefault="00000000">
            <w:pPr>
              <w:pStyle w:val="A-"/>
            </w:pPr>
            <w:r>
              <w:t>6.99E+01</w:t>
            </w:r>
          </w:p>
        </w:tc>
        <w:tc>
          <w:tcPr>
            <w:tcW w:w="669" w:type="pct"/>
            <w:noWrap/>
            <w:vAlign w:val="center"/>
          </w:tcPr>
          <w:p w14:paraId="63DF6791" w14:textId="77777777" w:rsidR="002E474C" w:rsidRDefault="00000000">
            <w:pPr>
              <w:pStyle w:val="A-"/>
            </w:pPr>
            <w:r>
              <w:t>7.02E+01</w:t>
            </w:r>
          </w:p>
        </w:tc>
        <w:tc>
          <w:tcPr>
            <w:tcW w:w="404" w:type="pct"/>
            <w:noWrap/>
            <w:vAlign w:val="center"/>
          </w:tcPr>
          <w:p w14:paraId="0C9500CB" w14:textId="77777777" w:rsidR="002E474C" w:rsidRDefault="00000000">
            <w:pPr>
              <w:pStyle w:val="A-"/>
            </w:pPr>
            <w:r>
              <w:t>2.00E+02</w:t>
            </w:r>
          </w:p>
        </w:tc>
        <w:tc>
          <w:tcPr>
            <w:tcW w:w="482" w:type="pct"/>
            <w:noWrap/>
            <w:vAlign w:val="center"/>
          </w:tcPr>
          <w:p w14:paraId="4B4C1A6D" w14:textId="77777777" w:rsidR="002E474C" w:rsidRDefault="00000000">
            <w:pPr>
              <w:pStyle w:val="A-"/>
            </w:pPr>
            <w:r>
              <w:t>35.1</w:t>
            </w:r>
          </w:p>
        </w:tc>
        <w:tc>
          <w:tcPr>
            <w:tcW w:w="373" w:type="pct"/>
            <w:noWrap/>
            <w:vAlign w:val="center"/>
          </w:tcPr>
          <w:p w14:paraId="419EA7A8" w14:textId="77777777" w:rsidR="002E474C" w:rsidRDefault="00000000">
            <w:pPr>
              <w:pStyle w:val="A-"/>
            </w:pPr>
            <w:r>
              <w:t>达标</w:t>
            </w:r>
          </w:p>
        </w:tc>
      </w:tr>
      <w:tr w:rsidR="002E474C" w14:paraId="12C91609" w14:textId="77777777">
        <w:trPr>
          <w:trHeight w:val="285"/>
        </w:trPr>
        <w:tc>
          <w:tcPr>
            <w:tcW w:w="387" w:type="pct"/>
            <w:noWrap/>
            <w:vAlign w:val="center"/>
          </w:tcPr>
          <w:p w14:paraId="5BF552BC" w14:textId="77777777" w:rsidR="002E474C" w:rsidRDefault="00000000">
            <w:pPr>
              <w:pStyle w:val="A-"/>
            </w:pPr>
            <w:r>
              <w:t>2</w:t>
            </w:r>
          </w:p>
        </w:tc>
        <w:tc>
          <w:tcPr>
            <w:tcW w:w="595" w:type="pct"/>
            <w:noWrap/>
            <w:vAlign w:val="center"/>
          </w:tcPr>
          <w:p w14:paraId="6D73E39D" w14:textId="77777777" w:rsidR="002E474C" w:rsidRDefault="00000000">
            <w:pPr>
              <w:pStyle w:val="A-"/>
            </w:pPr>
            <w:r>
              <w:t>电石厂员工公寓</w:t>
            </w:r>
          </w:p>
        </w:tc>
        <w:tc>
          <w:tcPr>
            <w:tcW w:w="434" w:type="pct"/>
            <w:noWrap/>
            <w:vAlign w:val="center"/>
          </w:tcPr>
          <w:p w14:paraId="11EFFEC4" w14:textId="77777777" w:rsidR="002E474C" w:rsidRDefault="00000000">
            <w:pPr>
              <w:pStyle w:val="A-"/>
            </w:pPr>
            <w:r>
              <w:t>-1901,92</w:t>
            </w:r>
          </w:p>
        </w:tc>
        <w:tc>
          <w:tcPr>
            <w:tcW w:w="373" w:type="pct"/>
            <w:noWrap/>
            <w:vAlign w:val="center"/>
          </w:tcPr>
          <w:p w14:paraId="3F0D5B14" w14:textId="77777777" w:rsidR="002E474C" w:rsidRDefault="00000000">
            <w:pPr>
              <w:pStyle w:val="A-"/>
            </w:pPr>
            <w:r>
              <w:t>1</w:t>
            </w:r>
            <w:r>
              <w:t>小时</w:t>
            </w:r>
          </w:p>
        </w:tc>
        <w:tc>
          <w:tcPr>
            <w:tcW w:w="404" w:type="pct"/>
            <w:noWrap/>
            <w:vAlign w:val="center"/>
          </w:tcPr>
          <w:p w14:paraId="7E6BD8BE" w14:textId="77777777" w:rsidR="002E474C" w:rsidRDefault="00000000">
            <w:pPr>
              <w:pStyle w:val="A-"/>
            </w:pPr>
            <w:r>
              <w:t>3.07E+00</w:t>
            </w:r>
          </w:p>
        </w:tc>
        <w:tc>
          <w:tcPr>
            <w:tcW w:w="478" w:type="pct"/>
            <w:noWrap/>
            <w:vAlign w:val="center"/>
          </w:tcPr>
          <w:p w14:paraId="0A66DFFF" w14:textId="77777777" w:rsidR="002E474C" w:rsidRDefault="00000000">
            <w:pPr>
              <w:pStyle w:val="A-"/>
            </w:pPr>
            <w:r>
              <w:t>24120203</w:t>
            </w:r>
          </w:p>
        </w:tc>
        <w:tc>
          <w:tcPr>
            <w:tcW w:w="404" w:type="pct"/>
            <w:noWrap/>
            <w:vAlign w:val="center"/>
          </w:tcPr>
          <w:p w14:paraId="27ABED90" w14:textId="77777777" w:rsidR="002E474C" w:rsidRDefault="00000000">
            <w:pPr>
              <w:pStyle w:val="A-"/>
            </w:pPr>
            <w:r>
              <w:t>6.99E+01</w:t>
            </w:r>
          </w:p>
        </w:tc>
        <w:tc>
          <w:tcPr>
            <w:tcW w:w="669" w:type="pct"/>
            <w:noWrap/>
            <w:vAlign w:val="center"/>
          </w:tcPr>
          <w:p w14:paraId="09C5826F" w14:textId="77777777" w:rsidR="002E474C" w:rsidRDefault="00000000">
            <w:pPr>
              <w:pStyle w:val="A-"/>
            </w:pPr>
            <w:r>
              <w:t>7.29E+01</w:t>
            </w:r>
          </w:p>
        </w:tc>
        <w:tc>
          <w:tcPr>
            <w:tcW w:w="404" w:type="pct"/>
            <w:noWrap/>
            <w:vAlign w:val="center"/>
          </w:tcPr>
          <w:p w14:paraId="79299CFC" w14:textId="77777777" w:rsidR="002E474C" w:rsidRDefault="00000000">
            <w:pPr>
              <w:pStyle w:val="A-"/>
            </w:pPr>
            <w:r>
              <w:t>2.00E+02</w:t>
            </w:r>
          </w:p>
        </w:tc>
        <w:tc>
          <w:tcPr>
            <w:tcW w:w="482" w:type="pct"/>
            <w:noWrap/>
            <w:vAlign w:val="center"/>
          </w:tcPr>
          <w:p w14:paraId="4C786662" w14:textId="77777777" w:rsidR="002E474C" w:rsidRDefault="00000000">
            <w:pPr>
              <w:pStyle w:val="A-"/>
            </w:pPr>
            <w:r>
              <w:t>36.47</w:t>
            </w:r>
          </w:p>
        </w:tc>
        <w:tc>
          <w:tcPr>
            <w:tcW w:w="373" w:type="pct"/>
            <w:noWrap/>
            <w:vAlign w:val="center"/>
          </w:tcPr>
          <w:p w14:paraId="41FC9ABD" w14:textId="77777777" w:rsidR="002E474C" w:rsidRDefault="00000000">
            <w:pPr>
              <w:pStyle w:val="A-"/>
            </w:pPr>
            <w:r>
              <w:t>达标</w:t>
            </w:r>
          </w:p>
        </w:tc>
      </w:tr>
      <w:tr w:rsidR="002E474C" w14:paraId="5547AF4C" w14:textId="77777777">
        <w:trPr>
          <w:trHeight w:val="285"/>
        </w:trPr>
        <w:tc>
          <w:tcPr>
            <w:tcW w:w="387" w:type="pct"/>
            <w:noWrap/>
            <w:vAlign w:val="center"/>
          </w:tcPr>
          <w:p w14:paraId="475F14C9" w14:textId="77777777" w:rsidR="002E474C" w:rsidRDefault="00000000">
            <w:pPr>
              <w:pStyle w:val="A-"/>
            </w:pPr>
            <w:r>
              <w:t>3</w:t>
            </w:r>
          </w:p>
        </w:tc>
        <w:tc>
          <w:tcPr>
            <w:tcW w:w="595" w:type="pct"/>
            <w:noWrap/>
            <w:vAlign w:val="center"/>
          </w:tcPr>
          <w:p w14:paraId="25AD41BB" w14:textId="77777777" w:rsidR="002E474C" w:rsidRDefault="00000000">
            <w:pPr>
              <w:pStyle w:val="A-"/>
            </w:pPr>
            <w:r>
              <w:t>网格</w:t>
            </w:r>
          </w:p>
        </w:tc>
        <w:tc>
          <w:tcPr>
            <w:tcW w:w="434" w:type="pct"/>
            <w:noWrap/>
            <w:vAlign w:val="center"/>
          </w:tcPr>
          <w:p w14:paraId="02BF6D31" w14:textId="77777777" w:rsidR="002E474C" w:rsidRDefault="00000000">
            <w:pPr>
              <w:pStyle w:val="A-"/>
            </w:pPr>
            <w:r>
              <w:t>4400,-600</w:t>
            </w:r>
          </w:p>
        </w:tc>
        <w:tc>
          <w:tcPr>
            <w:tcW w:w="373" w:type="pct"/>
            <w:noWrap/>
            <w:vAlign w:val="center"/>
          </w:tcPr>
          <w:p w14:paraId="04CCA481" w14:textId="77777777" w:rsidR="002E474C" w:rsidRDefault="00000000">
            <w:pPr>
              <w:pStyle w:val="A-"/>
            </w:pPr>
            <w:r>
              <w:t>1</w:t>
            </w:r>
            <w:r>
              <w:t>小时</w:t>
            </w:r>
          </w:p>
        </w:tc>
        <w:tc>
          <w:tcPr>
            <w:tcW w:w="404" w:type="pct"/>
            <w:noWrap/>
            <w:vAlign w:val="center"/>
          </w:tcPr>
          <w:p w14:paraId="39CFA914" w14:textId="77777777" w:rsidR="002E474C" w:rsidRDefault="00000000">
            <w:pPr>
              <w:pStyle w:val="A-"/>
            </w:pPr>
            <w:r>
              <w:t>5.12E+01</w:t>
            </w:r>
          </w:p>
        </w:tc>
        <w:tc>
          <w:tcPr>
            <w:tcW w:w="478" w:type="pct"/>
            <w:noWrap/>
            <w:vAlign w:val="center"/>
          </w:tcPr>
          <w:p w14:paraId="6E964848" w14:textId="77777777" w:rsidR="002E474C" w:rsidRDefault="00000000">
            <w:pPr>
              <w:pStyle w:val="A-"/>
            </w:pPr>
            <w:r>
              <w:t>24121519</w:t>
            </w:r>
          </w:p>
        </w:tc>
        <w:tc>
          <w:tcPr>
            <w:tcW w:w="404" w:type="pct"/>
            <w:noWrap/>
            <w:vAlign w:val="center"/>
          </w:tcPr>
          <w:p w14:paraId="165FF5E2" w14:textId="77777777" w:rsidR="002E474C" w:rsidRDefault="00000000">
            <w:pPr>
              <w:pStyle w:val="A-"/>
            </w:pPr>
            <w:r>
              <w:t>6.99E+01</w:t>
            </w:r>
          </w:p>
        </w:tc>
        <w:tc>
          <w:tcPr>
            <w:tcW w:w="669" w:type="pct"/>
            <w:noWrap/>
            <w:vAlign w:val="center"/>
          </w:tcPr>
          <w:p w14:paraId="7A689F29" w14:textId="77777777" w:rsidR="002E474C" w:rsidRDefault="00000000">
            <w:pPr>
              <w:pStyle w:val="A-"/>
            </w:pPr>
            <w:r>
              <w:t>1.21E+02</w:t>
            </w:r>
          </w:p>
        </w:tc>
        <w:tc>
          <w:tcPr>
            <w:tcW w:w="404" w:type="pct"/>
            <w:noWrap/>
            <w:vAlign w:val="center"/>
          </w:tcPr>
          <w:p w14:paraId="1AAEF3B7" w14:textId="77777777" w:rsidR="002E474C" w:rsidRDefault="00000000">
            <w:pPr>
              <w:pStyle w:val="A-"/>
            </w:pPr>
            <w:r>
              <w:t>2.00E+02</w:t>
            </w:r>
          </w:p>
        </w:tc>
        <w:tc>
          <w:tcPr>
            <w:tcW w:w="482" w:type="pct"/>
            <w:noWrap/>
            <w:vAlign w:val="center"/>
          </w:tcPr>
          <w:p w14:paraId="44C864DC" w14:textId="77777777" w:rsidR="002E474C" w:rsidRDefault="00000000">
            <w:pPr>
              <w:pStyle w:val="A-"/>
            </w:pPr>
            <w:r>
              <w:t>60.56</w:t>
            </w:r>
          </w:p>
        </w:tc>
        <w:tc>
          <w:tcPr>
            <w:tcW w:w="373" w:type="pct"/>
            <w:noWrap/>
            <w:vAlign w:val="center"/>
          </w:tcPr>
          <w:p w14:paraId="56D21A4C" w14:textId="77777777" w:rsidR="002E474C" w:rsidRDefault="00000000">
            <w:pPr>
              <w:pStyle w:val="A-"/>
            </w:pPr>
            <w:r>
              <w:t>达标</w:t>
            </w:r>
          </w:p>
        </w:tc>
      </w:tr>
    </w:tbl>
    <w:p w14:paraId="3A1CE0B5" w14:textId="77777777" w:rsidR="002E474C" w:rsidRDefault="002E474C">
      <w:pPr>
        <w:pStyle w:val="A-0"/>
        <w:rPr>
          <w:color w:val="auto"/>
        </w:rPr>
      </w:pPr>
    </w:p>
    <w:p w14:paraId="00E56164" w14:textId="77777777" w:rsidR="002E474C" w:rsidRDefault="00000000">
      <w:pPr>
        <w:pStyle w:val="A--"/>
        <w:rPr>
          <w:color w:val="auto"/>
        </w:rPr>
      </w:pPr>
      <w:r>
        <w:rPr>
          <w:color w:val="auto"/>
        </w:rPr>
        <w:t>表</w:t>
      </w:r>
      <w:r>
        <w:rPr>
          <w:color w:val="auto"/>
        </w:rPr>
        <w:t>5.1</w:t>
      </w:r>
      <w:r>
        <w:rPr>
          <w:color w:val="auto"/>
        </w:rPr>
        <w:noBreakHyphen/>
        <w:t xml:space="preserve">35  </w:t>
      </w:r>
      <w:r>
        <w:rPr>
          <w:color w:val="auto"/>
        </w:rPr>
        <w:t>区域</w:t>
      </w:r>
      <w:r>
        <w:rPr>
          <w:color w:val="auto"/>
        </w:rPr>
        <w:t>NMHC</w:t>
      </w:r>
      <w:r>
        <w:rPr>
          <w:color w:val="auto"/>
        </w:rPr>
        <w:t>环境影响分析表</w:t>
      </w:r>
    </w:p>
    <w:tbl>
      <w:tblPr>
        <w:tblStyle w:val="affff9"/>
        <w:tblW w:w="5000" w:type="pct"/>
        <w:tblLook w:val="04A0" w:firstRow="1" w:lastRow="0" w:firstColumn="1" w:lastColumn="0" w:noHBand="0" w:noVBand="1"/>
      </w:tblPr>
      <w:tblGrid>
        <w:gridCol w:w="1066"/>
        <w:gridCol w:w="1686"/>
        <w:gridCol w:w="1197"/>
        <w:gridCol w:w="1056"/>
        <w:gridCol w:w="1113"/>
        <w:gridCol w:w="1319"/>
        <w:gridCol w:w="1113"/>
        <w:gridCol w:w="1896"/>
        <w:gridCol w:w="1114"/>
        <w:gridCol w:w="1332"/>
        <w:gridCol w:w="1056"/>
      </w:tblGrid>
      <w:tr w:rsidR="002E474C" w14:paraId="3AADD009" w14:textId="77777777">
        <w:trPr>
          <w:trHeight w:val="285"/>
        </w:trPr>
        <w:tc>
          <w:tcPr>
            <w:tcW w:w="387" w:type="pct"/>
            <w:noWrap/>
            <w:vAlign w:val="center"/>
          </w:tcPr>
          <w:p w14:paraId="7AD5E070" w14:textId="77777777" w:rsidR="002E474C" w:rsidRDefault="00000000">
            <w:pPr>
              <w:pStyle w:val="A-"/>
            </w:pPr>
            <w:r>
              <w:t>序号</w:t>
            </w:r>
          </w:p>
        </w:tc>
        <w:tc>
          <w:tcPr>
            <w:tcW w:w="595" w:type="pct"/>
            <w:noWrap/>
            <w:vAlign w:val="center"/>
          </w:tcPr>
          <w:p w14:paraId="7A1021D8" w14:textId="77777777" w:rsidR="002E474C" w:rsidRDefault="00000000">
            <w:pPr>
              <w:pStyle w:val="A-"/>
            </w:pPr>
            <w:r>
              <w:t>点名称</w:t>
            </w:r>
          </w:p>
        </w:tc>
        <w:tc>
          <w:tcPr>
            <w:tcW w:w="434" w:type="pct"/>
            <w:noWrap/>
            <w:vAlign w:val="center"/>
          </w:tcPr>
          <w:p w14:paraId="57EF5C45" w14:textId="77777777" w:rsidR="002E474C" w:rsidRDefault="00000000">
            <w:pPr>
              <w:pStyle w:val="A-"/>
            </w:pPr>
            <w:r>
              <w:t>点坐标</w:t>
            </w:r>
          </w:p>
        </w:tc>
        <w:tc>
          <w:tcPr>
            <w:tcW w:w="373" w:type="pct"/>
            <w:noWrap/>
            <w:vAlign w:val="center"/>
          </w:tcPr>
          <w:p w14:paraId="14B3A633" w14:textId="77777777" w:rsidR="002E474C" w:rsidRDefault="00000000">
            <w:pPr>
              <w:pStyle w:val="A-"/>
            </w:pPr>
            <w:r>
              <w:t>浓度类型</w:t>
            </w:r>
          </w:p>
        </w:tc>
        <w:tc>
          <w:tcPr>
            <w:tcW w:w="404" w:type="pct"/>
            <w:noWrap/>
            <w:vAlign w:val="center"/>
          </w:tcPr>
          <w:p w14:paraId="4AFBB1EB" w14:textId="77777777" w:rsidR="002E474C" w:rsidRDefault="00000000">
            <w:pPr>
              <w:pStyle w:val="A-"/>
            </w:pPr>
            <w:r>
              <w:t>浓度增量</w:t>
            </w:r>
          </w:p>
          <w:p w14:paraId="34E55179" w14:textId="77777777" w:rsidR="002E474C" w:rsidRDefault="00000000">
            <w:pPr>
              <w:pStyle w:val="A-"/>
            </w:pPr>
            <w:r>
              <w:t>(</w:t>
            </w:r>
            <w:proofErr w:type="spellStart"/>
            <w:r>
              <w:t>μg</w:t>
            </w:r>
            <w:proofErr w:type="spellEnd"/>
            <w:r>
              <w:t>/m³)</w:t>
            </w:r>
          </w:p>
        </w:tc>
        <w:tc>
          <w:tcPr>
            <w:tcW w:w="478" w:type="pct"/>
            <w:noWrap/>
            <w:vAlign w:val="center"/>
          </w:tcPr>
          <w:p w14:paraId="5C736546" w14:textId="77777777" w:rsidR="002E474C" w:rsidRDefault="00000000">
            <w:pPr>
              <w:pStyle w:val="A-"/>
            </w:pPr>
            <w:r>
              <w:t>出现时间</w:t>
            </w:r>
          </w:p>
        </w:tc>
        <w:tc>
          <w:tcPr>
            <w:tcW w:w="404" w:type="pct"/>
            <w:noWrap/>
            <w:vAlign w:val="center"/>
          </w:tcPr>
          <w:p w14:paraId="520111DC" w14:textId="77777777" w:rsidR="002E474C" w:rsidRDefault="00000000">
            <w:pPr>
              <w:pStyle w:val="A-"/>
            </w:pPr>
            <w:r>
              <w:t>背景浓度</w:t>
            </w:r>
          </w:p>
          <w:p w14:paraId="0E170030" w14:textId="77777777" w:rsidR="002E474C" w:rsidRDefault="00000000">
            <w:pPr>
              <w:pStyle w:val="A-"/>
            </w:pPr>
            <w:r>
              <w:t>(</w:t>
            </w:r>
            <w:proofErr w:type="spellStart"/>
            <w:r>
              <w:t>μg</w:t>
            </w:r>
            <w:proofErr w:type="spellEnd"/>
            <w:r>
              <w:t>/m³)</w:t>
            </w:r>
          </w:p>
        </w:tc>
        <w:tc>
          <w:tcPr>
            <w:tcW w:w="669" w:type="pct"/>
            <w:noWrap/>
            <w:vAlign w:val="center"/>
          </w:tcPr>
          <w:p w14:paraId="236EEE0E" w14:textId="77777777" w:rsidR="002E474C" w:rsidRDefault="00000000">
            <w:pPr>
              <w:pStyle w:val="A-"/>
            </w:pPr>
            <w:r>
              <w:t>叠加背景后的浓度</w:t>
            </w:r>
          </w:p>
          <w:p w14:paraId="71AF66E6" w14:textId="77777777" w:rsidR="002E474C" w:rsidRDefault="00000000">
            <w:pPr>
              <w:pStyle w:val="A-"/>
            </w:pPr>
            <w:r>
              <w:t>(</w:t>
            </w:r>
            <w:proofErr w:type="spellStart"/>
            <w:r>
              <w:t>μg</w:t>
            </w:r>
            <w:proofErr w:type="spellEnd"/>
            <w:r>
              <w:t>/m³)</w:t>
            </w:r>
          </w:p>
        </w:tc>
        <w:tc>
          <w:tcPr>
            <w:tcW w:w="404" w:type="pct"/>
            <w:noWrap/>
            <w:vAlign w:val="center"/>
          </w:tcPr>
          <w:p w14:paraId="710B8142" w14:textId="77777777" w:rsidR="002E474C" w:rsidRDefault="00000000">
            <w:pPr>
              <w:pStyle w:val="A-"/>
            </w:pPr>
            <w:r>
              <w:t>评价标准</w:t>
            </w:r>
          </w:p>
          <w:p w14:paraId="616ABCFB" w14:textId="77777777" w:rsidR="002E474C" w:rsidRDefault="00000000">
            <w:pPr>
              <w:pStyle w:val="A-"/>
            </w:pPr>
            <w:r>
              <w:t>(</w:t>
            </w:r>
            <w:proofErr w:type="spellStart"/>
            <w:r>
              <w:t>μg</w:t>
            </w:r>
            <w:proofErr w:type="spellEnd"/>
            <w:r>
              <w:t>/m³)</w:t>
            </w:r>
          </w:p>
        </w:tc>
        <w:tc>
          <w:tcPr>
            <w:tcW w:w="482" w:type="pct"/>
            <w:noWrap/>
            <w:vAlign w:val="center"/>
          </w:tcPr>
          <w:p w14:paraId="56E0DAB3" w14:textId="77777777" w:rsidR="002E474C" w:rsidRDefault="00000000">
            <w:pPr>
              <w:pStyle w:val="A-"/>
            </w:pPr>
            <w:r>
              <w:t>占标率</w:t>
            </w:r>
            <w:r>
              <w:t>%</w:t>
            </w:r>
          </w:p>
        </w:tc>
        <w:tc>
          <w:tcPr>
            <w:tcW w:w="373" w:type="pct"/>
            <w:noWrap/>
            <w:vAlign w:val="center"/>
          </w:tcPr>
          <w:p w14:paraId="0B32E5FD" w14:textId="77777777" w:rsidR="002E474C" w:rsidRDefault="00000000">
            <w:pPr>
              <w:pStyle w:val="A-"/>
            </w:pPr>
            <w:r>
              <w:t>是否超标</w:t>
            </w:r>
          </w:p>
        </w:tc>
      </w:tr>
      <w:tr w:rsidR="002E474C" w14:paraId="4D469B16" w14:textId="77777777">
        <w:trPr>
          <w:trHeight w:val="285"/>
        </w:trPr>
        <w:tc>
          <w:tcPr>
            <w:tcW w:w="387" w:type="pct"/>
            <w:noWrap/>
            <w:vAlign w:val="center"/>
          </w:tcPr>
          <w:p w14:paraId="3912BACB" w14:textId="77777777" w:rsidR="002E474C" w:rsidRDefault="00000000">
            <w:pPr>
              <w:pStyle w:val="A-"/>
            </w:pPr>
            <w:r>
              <w:t>1</w:t>
            </w:r>
          </w:p>
        </w:tc>
        <w:tc>
          <w:tcPr>
            <w:tcW w:w="595" w:type="pct"/>
            <w:noWrap/>
            <w:vAlign w:val="center"/>
          </w:tcPr>
          <w:p w14:paraId="1E94C934" w14:textId="77777777" w:rsidR="002E474C" w:rsidRDefault="00000000">
            <w:pPr>
              <w:pStyle w:val="A-"/>
            </w:pPr>
            <w:r>
              <w:t>阿乐惠镇</w:t>
            </w:r>
          </w:p>
        </w:tc>
        <w:tc>
          <w:tcPr>
            <w:tcW w:w="434" w:type="pct"/>
            <w:noWrap/>
            <w:vAlign w:val="center"/>
          </w:tcPr>
          <w:p w14:paraId="4CF77FFE" w14:textId="77777777" w:rsidR="002E474C" w:rsidRDefault="00000000">
            <w:pPr>
              <w:pStyle w:val="A-"/>
            </w:pPr>
            <w:r>
              <w:t>-4151,1104</w:t>
            </w:r>
          </w:p>
        </w:tc>
        <w:tc>
          <w:tcPr>
            <w:tcW w:w="373" w:type="pct"/>
            <w:noWrap/>
            <w:vAlign w:val="center"/>
          </w:tcPr>
          <w:p w14:paraId="4DF624A4" w14:textId="77777777" w:rsidR="002E474C" w:rsidRDefault="00000000">
            <w:pPr>
              <w:pStyle w:val="A-"/>
            </w:pPr>
            <w:r>
              <w:t>1</w:t>
            </w:r>
            <w:r>
              <w:t>小时</w:t>
            </w:r>
          </w:p>
        </w:tc>
        <w:tc>
          <w:tcPr>
            <w:tcW w:w="404" w:type="pct"/>
            <w:noWrap/>
            <w:vAlign w:val="center"/>
          </w:tcPr>
          <w:p w14:paraId="76E87A98" w14:textId="77777777" w:rsidR="002E474C" w:rsidRDefault="00000000">
            <w:pPr>
              <w:pStyle w:val="A-"/>
            </w:pPr>
            <w:r>
              <w:t>5.47E-03</w:t>
            </w:r>
          </w:p>
        </w:tc>
        <w:tc>
          <w:tcPr>
            <w:tcW w:w="478" w:type="pct"/>
            <w:noWrap/>
            <w:vAlign w:val="center"/>
          </w:tcPr>
          <w:p w14:paraId="4FB42350" w14:textId="77777777" w:rsidR="002E474C" w:rsidRDefault="00000000">
            <w:pPr>
              <w:pStyle w:val="A-"/>
            </w:pPr>
            <w:r>
              <w:t>24011810</w:t>
            </w:r>
          </w:p>
        </w:tc>
        <w:tc>
          <w:tcPr>
            <w:tcW w:w="404" w:type="pct"/>
            <w:noWrap/>
            <w:vAlign w:val="center"/>
          </w:tcPr>
          <w:p w14:paraId="4CBB84E9" w14:textId="77777777" w:rsidR="002E474C" w:rsidRDefault="00000000">
            <w:pPr>
              <w:pStyle w:val="A-"/>
            </w:pPr>
            <w:r>
              <w:t>1.15E+00</w:t>
            </w:r>
          </w:p>
        </w:tc>
        <w:tc>
          <w:tcPr>
            <w:tcW w:w="669" w:type="pct"/>
            <w:noWrap/>
            <w:vAlign w:val="center"/>
          </w:tcPr>
          <w:p w14:paraId="50E6B81C" w14:textId="77777777" w:rsidR="002E474C" w:rsidRDefault="00000000">
            <w:pPr>
              <w:pStyle w:val="A-"/>
            </w:pPr>
            <w:r>
              <w:t>1.15E+00</w:t>
            </w:r>
          </w:p>
        </w:tc>
        <w:tc>
          <w:tcPr>
            <w:tcW w:w="404" w:type="pct"/>
            <w:noWrap/>
            <w:vAlign w:val="center"/>
          </w:tcPr>
          <w:p w14:paraId="3E31DF5E" w14:textId="77777777" w:rsidR="002E474C" w:rsidRDefault="00000000">
            <w:pPr>
              <w:pStyle w:val="A-"/>
            </w:pPr>
            <w:r>
              <w:t>2.00E+00</w:t>
            </w:r>
          </w:p>
        </w:tc>
        <w:tc>
          <w:tcPr>
            <w:tcW w:w="482" w:type="pct"/>
            <w:noWrap/>
            <w:vAlign w:val="center"/>
          </w:tcPr>
          <w:p w14:paraId="1A52E0C8" w14:textId="77777777" w:rsidR="002E474C" w:rsidRDefault="00000000">
            <w:pPr>
              <w:pStyle w:val="A-"/>
            </w:pPr>
            <w:r>
              <w:t>57.61</w:t>
            </w:r>
          </w:p>
        </w:tc>
        <w:tc>
          <w:tcPr>
            <w:tcW w:w="373" w:type="pct"/>
            <w:noWrap/>
            <w:vAlign w:val="center"/>
          </w:tcPr>
          <w:p w14:paraId="78862501" w14:textId="77777777" w:rsidR="002E474C" w:rsidRDefault="00000000">
            <w:pPr>
              <w:pStyle w:val="A-"/>
            </w:pPr>
            <w:r>
              <w:t>达标</w:t>
            </w:r>
          </w:p>
        </w:tc>
      </w:tr>
      <w:tr w:rsidR="002E474C" w14:paraId="27D01840" w14:textId="77777777">
        <w:trPr>
          <w:trHeight w:val="285"/>
        </w:trPr>
        <w:tc>
          <w:tcPr>
            <w:tcW w:w="387" w:type="pct"/>
            <w:noWrap/>
            <w:vAlign w:val="center"/>
          </w:tcPr>
          <w:p w14:paraId="28B8816C" w14:textId="77777777" w:rsidR="002E474C" w:rsidRDefault="00000000">
            <w:pPr>
              <w:pStyle w:val="A-"/>
            </w:pPr>
            <w:r>
              <w:t>2</w:t>
            </w:r>
          </w:p>
        </w:tc>
        <w:tc>
          <w:tcPr>
            <w:tcW w:w="595" w:type="pct"/>
            <w:noWrap/>
            <w:vAlign w:val="center"/>
          </w:tcPr>
          <w:p w14:paraId="4949CB53" w14:textId="77777777" w:rsidR="002E474C" w:rsidRDefault="00000000">
            <w:pPr>
              <w:pStyle w:val="A-"/>
            </w:pPr>
            <w:r>
              <w:t>电石厂员工公寓</w:t>
            </w:r>
          </w:p>
        </w:tc>
        <w:tc>
          <w:tcPr>
            <w:tcW w:w="434" w:type="pct"/>
            <w:noWrap/>
            <w:vAlign w:val="center"/>
          </w:tcPr>
          <w:p w14:paraId="2F0A06BF" w14:textId="77777777" w:rsidR="002E474C" w:rsidRDefault="00000000">
            <w:pPr>
              <w:pStyle w:val="A-"/>
            </w:pPr>
            <w:r>
              <w:t>-1901,92</w:t>
            </w:r>
          </w:p>
        </w:tc>
        <w:tc>
          <w:tcPr>
            <w:tcW w:w="373" w:type="pct"/>
            <w:noWrap/>
            <w:vAlign w:val="center"/>
          </w:tcPr>
          <w:p w14:paraId="2EB18DD4" w14:textId="77777777" w:rsidR="002E474C" w:rsidRDefault="00000000">
            <w:pPr>
              <w:pStyle w:val="A-"/>
            </w:pPr>
            <w:r>
              <w:t>1</w:t>
            </w:r>
            <w:r>
              <w:t>小时</w:t>
            </w:r>
          </w:p>
        </w:tc>
        <w:tc>
          <w:tcPr>
            <w:tcW w:w="404" w:type="pct"/>
            <w:noWrap/>
            <w:vAlign w:val="center"/>
          </w:tcPr>
          <w:p w14:paraId="6C9AB995" w14:textId="77777777" w:rsidR="002E474C" w:rsidRDefault="00000000">
            <w:pPr>
              <w:pStyle w:val="A-"/>
            </w:pPr>
            <w:r>
              <w:t>2.08E-02</w:t>
            </w:r>
          </w:p>
        </w:tc>
        <w:tc>
          <w:tcPr>
            <w:tcW w:w="478" w:type="pct"/>
            <w:noWrap/>
            <w:vAlign w:val="center"/>
          </w:tcPr>
          <w:p w14:paraId="06CE727B" w14:textId="77777777" w:rsidR="002E474C" w:rsidRDefault="00000000">
            <w:pPr>
              <w:pStyle w:val="A-"/>
            </w:pPr>
            <w:r>
              <w:t>24011810</w:t>
            </w:r>
          </w:p>
        </w:tc>
        <w:tc>
          <w:tcPr>
            <w:tcW w:w="404" w:type="pct"/>
            <w:noWrap/>
            <w:vAlign w:val="center"/>
          </w:tcPr>
          <w:p w14:paraId="390A9B25" w14:textId="77777777" w:rsidR="002E474C" w:rsidRDefault="00000000">
            <w:pPr>
              <w:pStyle w:val="A-"/>
            </w:pPr>
            <w:r>
              <w:t>1.15E+00</w:t>
            </w:r>
          </w:p>
        </w:tc>
        <w:tc>
          <w:tcPr>
            <w:tcW w:w="669" w:type="pct"/>
            <w:noWrap/>
            <w:vAlign w:val="center"/>
          </w:tcPr>
          <w:p w14:paraId="66EEB8B3" w14:textId="77777777" w:rsidR="002E474C" w:rsidRDefault="00000000">
            <w:pPr>
              <w:pStyle w:val="A-"/>
            </w:pPr>
            <w:r>
              <w:t>1.17E+00</w:t>
            </w:r>
          </w:p>
        </w:tc>
        <w:tc>
          <w:tcPr>
            <w:tcW w:w="404" w:type="pct"/>
            <w:noWrap/>
            <w:vAlign w:val="center"/>
          </w:tcPr>
          <w:p w14:paraId="6F309832" w14:textId="77777777" w:rsidR="002E474C" w:rsidRDefault="00000000">
            <w:pPr>
              <w:pStyle w:val="A-"/>
            </w:pPr>
            <w:r>
              <w:t>2.00E+00</w:t>
            </w:r>
          </w:p>
        </w:tc>
        <w:tc>
          <w:tcPr>
            <w:tcW w:w="482" w:type="pct"/>
            <w:noWrap/>
            <w:vAlign w:val="center"/>
          </w:tcPr>
          <w:p w14:paraId="364BA8F5" w14:textId="77777777" w:rsidR="002E474C" w:rsidRDefault="00000000">
            <w:pPr>
              <w:pStyle w:val="A-"/>
            </w:pPr>
            <w:r>
              <w:t>58.38</w:t>
            </w:r>
          </w:p>
        </w:tc>
        <w:tc>
          <w:tcPr>
            <w:tcW w:w="373" w:type="pct"/>
            <w:noWrap/>
            <w:vAlign w:val="center"/>
          </w:tcPr>
          <w:p w14:paraId="0F9D7CF9" w14:textId="77777777" w:rsidR="002E474C" w:rsidRDefault="00000000">
            <w:pPr>
              <w:pStyle w:val="A-"/>
            </w:pPr>
            <w:r>
              <w:t>达标</w:t>
            </w:r>
          </w:p>
        </w:tc>
      </w:tr>
      <w:tr w:rsidR="002E474C" w14:paraId="2A1E863C" w14:textId="77777777">
        <w:trPr>
          <w:trHeight w:val="285"/>
        </w:trPr>
        <w:tc>
          <w:tcPr>
            <w:tcW w:w="387" w:type="pct"/>
            <w:noWrap/>
            <w:vAlign w:val="center"/>
          </w:tcPr>
          <w:p w14:paraId="753F2723" w14:textId="77777777" w:rsidR="002E474C" w:rsidRDefault="00000000">
            <w:pPr>
              <w:pStyle w:val="A-"/>
            </w:pPr>
            <w:r>
              <w:t>3</w:t>
            </w:r>
          </w:p>
        </w:tc>
        <w:tc>
          <w:tcPr>
            <w:tcW w:w="595" w:type="pct"/>
            <w:noWrap/>
            <w:vAlign w:val="center"/>
          </w:tcPr>
          <w:p w14:paraId="12CD6C65" w14:textId="77777777" w:rsidR="002E474C" w:rsidRDefault="00000000">
            <w:pPr>
              <w:pStyle w:val="A-"/>
            </w:pPr>
            <w:r>
              <w:t>网格</w:t>
            </w:r>
          </w:p>
        </w:tc>
        <w:tc>
          <w:tcPr>
            <w:tcW w:w="434" w:type="pct"/>
            <w:noWrap/>
            <w:vAlign w:val="center"/>
          </w:tcPr>
          <w:p w14:paraId="6DC409C6" w14:textId="77777777" w:rsidR="002E474C" w:rsidRDefault="00000000">
            <w:pPr>
              <w:pStyle w:val="A-"/>
            </w:pPr>
            <w:r>
              <w:t>4300,-700</w:t>
            </w:r>
          </w:p>
        </w:tc>
        <w:tc>
          <w:tcPr>
            <w:tcW w:w="373" w:type="pct"/>
            <w:noWrap/>
            <w:vAlign w:val="center"/>
          </w:tcPr>
          <w:p w14:paraId="14B7DBC8" w14:textId="77777777" w:rsidR="002E474C" w:rsidRDefault="00000000">
            <w:pPr>
              <w:pStyle w:val="A-"/>
            </w:pPr>
            <w:r>
              <w:t>1</w:t>
            </w:r>
            <w:r>
              <w:t>小时</w:t>
            </w:r>
          </w:p>
        </w:tc>
        <w:tc>
          <w:tcPr>
            <w:tcW w:w="404" w:type="pct"/>
            <w:noWrap/>
            <w:vAlign w:val="center"/>
          </w:tcPr>
          <w:p w14:paraId="6C773C07" w14:textId="77777777" w:rsidR="002E474C" w:rsidRDefault="00000000">
            <w:pPr>
              <w:pStyle w:val="A-"/>
            </w:pPr>
            <w:r>
              <w:t>6.15E-01</w:t>
            </w:r>
          </w:p>
        </w:tc>
        <w:tc>
          <w:tcPr>
            <w:tcW w:w="478" w:type="pct"/>
            <w:noWrap/>
            <w:vAlign w:val="center"/>
          </w:tcPr>
          <w:p w14:paraId="3546D779" w14:textId="77777777" w:rsidR="002E474C" w:rsidRDefault="00000000">
            <w:pPr>
              <w:pStyle w:val="A-"/>
            </w:pPr>
            <w:r>
              <w:t>24121519</w:t>
            </w:r>
          </w:p>
        </w:tc>
        <w:tc>
          <w:tcPr>
            <w:tcW w:w="404" w:type="pct"/>
            <w:noWrap/>
            <w:vAlign w:val="center"/>
          </w:tcPr>
          <w:p w14:paraId="79C50B67" w14:textId="77777777" w:rsidR="002E474C" w:rsidRDefault="00000000">
            <w:pPr>
              <w:pStyle w:val="A-"/>
            </w:pPr>
            <w:r>
              <w:t>1.15E+00</w:t>
            </w:r>
          </w:p>
        </w:tc>
        <w:tc>
          <w:tcPr>
            <w:tcW w:w="669" w:type="pct"/>
            <w:noWrap/>
            <w:vAlign w:val="center"/>
          </w:tcPr>
          <w:p w14:paraId="17537571" w14:textId="77777777" w:rsidR="002E474C" w:rsidRDefault="00000000">
            <w:pPr>
              <w:pStyle w:val="A-"/>
            </w:pPr>
            <w:r>
              <w:t>1.76E+00</w:t>
            </w:r>
          </w:p>
        </w:tc>
        <w:tc>
          <w:tcPr>
            <w:tcW w:w="404" w:type="pct"/>
            <w:noWrap/>
            <w:vAlign w:val="center"/>
          </w:tcPr>
          <w:p w14:paraId="77CD2FD0" w14:textId="77777777" w:rsidR="002E474C" w:rsidRDefault="00000000">
            <w:pPr>
              <w:pStyle w:val="A-"/>
            </w:pPr>
            <w:r>
              <w:t>2.00E+00</w:t>
            </w:r>
          </w:p>
        </w:tc>
        <w:tc>
          <w:tcPr>
            <w:tcW w:w="482" w:type="pct"/>
            <w:noWrap/>
            <w:vAlign w:val="center"/>
          </w:tcPr>
          <w:p w14:paraId="15B02E82" w14:textId="77777777" w:rsidR="002E474C" w:rsidRDefault="00000000">
            <w:pPr>
              <w:pStyle w:val="A-"/>
            </w:pPr>
            <w:r>
              <w:t>88.11</w:t>
            </w:r>
          </w:p>
        </w:tc>
        <w:tc>
          <w:tcPr>
            <w:tcW w:w="373" w:type="pct"/>
            <w:noWrap/>
            <w:vAlign w:val="center"/>
          </w:tcPr>
          <w:p w14:paraId="22F4F317" w14:textId="77777777" w:rsidR="002E474C" w:rsidRDefault="00000000">
            <w:pPr>
              <w:pStyle w:val="A-"/>
            </w:pPr>
            <w:r>
              <w:t>达标</w:t>
            </w:r>
          </w:p>
        </w:tc>
      </w:tr>
    </w:tbl>
    <w:p w14:paraId="70106D35" w14:textId="77777777" w:rsidR="002E474C" w:rsidRDefault="002E474C">
      <w:pPr>
        <w:pStyle w:val="A-z"/>
        <w:rPr>
          <w:color w:val="auto"/>
        </w:rPr>
      </w:pPr>
    </w:p>
    <w:p w14:paraId="413A7A0C" w14:textId="77777777" w:rsidR="002E474C" w:rsidRDefault="002E474C">
      <w:pPr>
        <w:pStyle w:val="A-z"/>
        <w:rPr>
          <w:color w:val="auto"/>
        </w:rPr>
        <w:sectPr w:rsidR="002E474C">
          <w:pgSz w:w="16838" w:h="11906" w:orient="landscape"/>
          <w:pgMar w:top="1800" w:right="1440" w:bottom="1800" w:left="1440" w:header="851" w:footer="992" w:gutter="0"/>
          <w:cols w:space="720"/>
          <w:docGrid w:linePitch="312"/>
        </w:sectPr>
      </w:pPr>
    </w:p>
    <w:p w14:paraId="7D476DD1" w14:textId="77777777" w:rsidR="002E474C" w:rsidRDefault="00000000">
      <w:pPr>
        <w:pStyle w:val="A-z"/>
        <w:rPr>
          <w:color w:val="auto"/>
          <w:lang w:val="en-US"/>
        </w:rPr>
      </w:pPr>
      <w:r>
        <w:rPr>
          <w:color w:val="auto"/>
        </w:rPr>
        <w:lastRenderedPageBreak/>
        <w:t>根据预测结果，可得出：</w:t>
      </w:r>
    </w:p>
    <w:p w14:paraId="384CDE3E" w14:textId="77777777" w:rsidR="002E474C" w:rsidRDefault="00000000">
      <w:pPr>
        <w:pStyle w:val="A-z"/>
        <w:rPr>
          <w:color w:val="auto"/>
        </w:rPr>
      </w:pPr>
      <w:r>
        <w:rPr>
          <w:color w:val="auto"/>
        </w:rPr>
        <w:t>项目排放的污染物</w:t>
      </w:r>
      <w:r>
        <w:rPr>
          <w:color w:val="auto"/>
        </w:rPr>
        <w:t>HCl</w:t>
      </w:r>
      <w:r>
        <w:rPr>
          <w:color w:val="auto"/>
        </w:rPr>
        <w:t>贡献值叠加区域背景值后的</w:t>
      </w:r>
      <w:r>
        <w:rPr>
          <w:color w:val="auto"/>
        </w:rPr>
        <w:t>1h</w:t>
      </w:r>
      <w:r>
        <w:rPr>
          <w:color w:val="auto"/>
        </w:rPr>
        <w:t>平均浓度最大占标率为</w:t>
      </w:r>
      <w:r>
        <w:rPr>
          <w:color w:val="auto"/>
        </w:rPr>
        <w:t>59.81%</w:t>
      </w:r>
      <w:r>
        <w:rPr>
          <w:color w:val="auto"/>
        </w:rPr>
        <w:t>，日平均浓度最大占标率为</w:t>
      </w:r>
      <w:r>
        <w:rPr>
          <w:color w:val="auto"/>
        </w:rPr>
        <w:t>80.96%</w:t>
      </w:r>
      <w:r>
        <w:rPr>
          <w:color w:val="auto"/>
        </w:rPr>
        <w:t>，满足《环境空气质量标准》</w:t>
      </w:r>
      <w:r>
        <w:rPr>
          <w:color w:val="auto"/>
        </w:rPr>
        <w:t>(GB3095-2026)</w:t>
      </w:r>
      <w:r>
        <w:rPr>
          <w:color w:val="auto"/>
        </w:rPr>
        <w:t>中的二级浓度限值。</w:t>
      </w:r>
    </w:p>
    <w:p w14:paraId="77F6B8FA" w14:textId="77777777" w:rsidR="002E474C" w:rsidRDefault="00000000">
      <w:pPr>
        <w:pStyle w:val="A-z"/>
        <w:rPr>
          <w:color w:val="auto"/>
        </w:rPr>
      </w:pPr>
      <w:r>
        <w:rPr>
          <w:color w:val="auto"/>
        </w:rPr>
        <w:t>项目排放的污染物</w:t>
      </w:r>
      <w:r>
        <w:rPr>
          <w:color w:val="auto"/>
        </w:rPr>
        <w:t>HF</w:t>
      </w:r>
      <w:r>
        <w:rPr>
          <w:color w:val="auto"/>
        </w:rPr>
        <w:t>贡献值叠加区域背景值后的日平均浓度最大占标率为</w:t>
      </w:r>
      <w:r>
        <w:rPr>
          <w:color w:val="auto"/>
        </w:rPr>
        <w:t>3.74%</w:t>
      </w:r>
      <w:r>
        <w:rPr>
          <w:color w:val="auto"/>
        </w:rPr>
        <w:t>，满足《环境空气质量标准》</w:t>
      </w:r>
      <w:r>
        <w:rPr>
          <w:color w:val="auto"/>
        </w:rPr>
        <w:t>(GB3095-2026)</w:t>
      </w:r>
      <w:r>
        <w:rPr>
          <w:color w:val="auto"/>
        </w:rPr>
        <w:t>中的二级浓度限值。</w:t>
      </w:r>
    </w:p>
    <w:p w14:paraId="4F234176" w14:textId="77777777" w:rsidR="002E474C" w:rsidRDefault="00000000">
      <w:pPr>
        <w:pStyle w:val="A-z"/>
        <w:rPr>
          <w:color w:val="auto"/>
        </w:rPr>
      </w:pPr>
      <w:r>
        <w:rPr>
          <w:color w:val="auto"/>
        </w:rPr>
        <w:t>本项目及在建项目排放的污染物</w:t>
      </w:r>
      <w:r>
        <w:rPr>
          <w:color w:val="auto"/>
        </w:rPr>
        <w:t>H</w:t>
      </w:r>
      <w:r>
        <w:rPr>
          <w:color w:val="auto"/>
          <w:vertAlign w:val="subscript"/>
        </w:rPr>
        <w:t>2</w:t>
      </w:r>
      <w:r>
        <w:rPr>
          <w:color w:val="auto"/>
        </w:rPr>
        <w:t>S</w:t>
      </w:r>
      <w:r>
        <w:rPr>
          <w:color w:val="auto"/>
        </w:rPr>
        <w:t>贡献值叠加区域背景值后的</w:t>
      </w:r>
      <w:r>
        <w:rPr>
          <w:color w:val="auto"/>
        </w:rPr>
        <w:t>1h</w:t>
      </w:r>
      <w:r>
        <w:rPr>
          <w:color w:val="auto"/>
        </w:rPr>
        <w:t>平均浓度最大占标率为</w:t>
      </w:r>
      <w:r>
        <w:rPr>
          <w:color w:val="auto"/>
        </w:rPr>
        <w:t>88.67%</w:t>
      </w:r>
      <w:r>
        <w:rPr>
          <w:color w:val="auto"/>
        </w:rPr>
        <w:t>，满足《环境影响评价技术导则大气环境》（</w:t>
      </w:r>
      <w:r>
        <w:rPr>
          <w:color w:val="auto"/>
        </w:rPr>
        <w:t>HJ2.2-2018</w:t>
      </w:r>
      <w:r>
        <w:rPr>
          <w:color w:val="auto"/>
        </w:rPr>
        <w:t>）附录</w:t>
      </w:r>
      <w:r>
        <w:rPr>
          <w:color w:val="auto"/>
        </w:rPr>
        <w:t>D</w:t>
      </w:r>
      <w:r>
        <w:rPr>
          <w:color w:val="auto"/>
        </w:rPr>
        <w:t>中质量浓度参考限值。</w:t>
      </w:r>
    </w:p>
    <w:p w14:paraId="1693226A" w14:textId="77777777" w:rsidR="002E474C" w:rsidRDefault="00000000">
      <w:pPr>
        <w:pStyle w:val="A-z"/>
        <w:rPr>
          <w:color w:val="auto"/>
        </w:rPr>
      </w:pPr>
      <w:r>
        <w:rPr>
          <w:color w:val="auto"/>
        </w:rPr>
        <w:t>本项目及在建项目排放的污染物</w:t>
      </w:r>
      <w:r>
        <w:rPr>
          <w:color w:val="auto"/>
        </w:rPr>
        <w:t>NH</w:t>
      </w:r>
      <w:r>
        <w:rPr>
          <w:color w:val="auto"/>
          <w:vertAlign w:val="subscript"/>
        </w:rPr>
        <w:t>3</w:t>
      </w:r>
      <w:r>
        <w:rPr>
          <w:color w:val="auto"/>
        </w:rPr>
        <w:t>贡献值叠加区域背景值后的</w:t>
      </w:r>
      <w:r>
        <w:rPr>
          <w:color w:val="auto"/>
        </w:rPr>
        <w:t>1h</w:t>
      </w:r>
      <w:r>
        <w:rPr>
          <w:color w:val="auto"/>
        </w:rPr>
        <w:t>平均浓度最大占标率为</w:t>
      </w:r>
      <w:r>
        <w:rPr>
          <w:color w:val="auto"/>
        </w:rPr>
        <w:t>60.56%</w:t>
      </w:r>
      <w:r>
        <w:rPr>
          <w:color w:val="auto"/>
        </w:rPr>
        <w:t>，满足《环境影响评价技术导则</w:t>
      </w:r>
      <w:r>
        <w:rPr>
          <w:rFonts w:hint="eastAsia"/>
          <w:color w:val="auto"/>
          <w:lang w:val="en-US"/>
        </w:rPr>
        <w:t xml:space="preserve"> </w:t>
      </w:r>
      <w:r>
        <w:rPr>
          <w:color w:val="auto"/>
        </w:rPr>
        <w:t>大气环境》（</w:t>
      </w:r>
      <w:r>
        <w:rPr>
          <w:color w:val="auto"/>
        </w:rPr>
        <w:t>HJ2.2-2018</w:t>
      </w:r>
      <w:r>
        <w:rPr>
          <w:color w:val="auto"/>
        </w:rPr>
        <w:t>）附录</w:t>
      </w:r>
      <w:r>
        <w:rPr>
          <w:color w:val="auto"/>
        </w:rPr>
        <w:t>D</w:t>
      </w:r>
      <w:r>
        <w:rPr>
          <w:color w:val="auto"/>
        </w:rPr>
        <w:t>中质量浓度参考限值。</w:t>
      </w:r>
    </w:p>
    <w:p w14:paraId="259BE81E" w14:textId="77777777" w:rsidR="002E474C" w:rsidRPr="009C3A0E" w:rsidRDefault="00000000">
      <w:pPr>
        <w:pStyle w:val="A-z"/>
        <w:rPr>
          <w:color w:val="auto"/>
        </w:rPr>
      </w:pPr>
      <w:r>
        <w:rPr>
          <w:color w:val="auto"/>
        </w:rPr>
        <w:t>本项目及在建项目排放的污染物</w:t>
      </w:r>
      <w:r>
        <w:rPr>
          <w:color w:val="auto"/>
        </w:rPr>
        <w:t>NMHC</w:t>
      </w:r>
      <w:r>
        <w:rPr>
          <w:color w:val="auto"/>
        </w:rPr>
        <w:t>贡献值叠加区域背景值后的</w:t>
      </w:r>
      <w:r>
        <w:rPr>
          <w:color w:val="auto"/>
        </w:rPr>
        <w:t>1h</w:t>
      </w:r>
      <w:r>
        <w:rPr>
          <w:color w:val="auto"/>
        </w:rPr>
        <w:t>平均浓度最大占标率为</w:t>
      </w:r>
      <w:r>
        <w:rPr>
          <w:color w:val="auto"/>
        </w:rPr>
        <w:t>8</w:t>
      </w:r>
      <w:r w:rsidRPr="009C3A0E">
        <w:rPr>
          <w:color w:val="auto"/>
        </w:rPr>
        <w:t>8.11%</w:t>
      </w:r>
      <w:r w:rsidRPr="009C3A0E">
        <w:rPr>
          <w:color w:val="auto"/>
        </w:rPr>
        <w:t>，满足《大气污染物综合排放标准详解》。</w:t>
      </w:r>
    </w:p>
    <w:p w14:paraId="5DF21117" w14:textId="5067D0FE" w:rsidR="0043221C" w:rsidRDefault="0043221C" w:rsidP="0091163A">
      <w:pPr>
        <w:pStyle w:val="A-z"/>
        <w:rPr>
          <w:color w:val="auto"/>
        </w:rPr>
      </w:pPr>
      <w:r w:rsidRPr="009C3A0E">
        <w:rPr>
          <w:rFonts w:hint="eastAsia"/>
          <w:color w:val="auto"/>
        </w:rPr>
        <w:t>本项目排放的污染物</w:t>
      </w:r>
      <w:r w:rsidR="0091163A" w:rsidRPr="009C3A0E">
        <w:rPr>
          <w:rFonts w:hint="eastAsia"/>
          <w:color w:val="auto"/>
        </w:rPr>
        <w:t>叠加在建项目排放的污染物及区域背景值后，短期浓度符合环境质量标准。</w:t>
      </w:r>
    </w:p>
    <w:p w14:paraId="692495CC" w14:textId="77777777" w:rsidR="002E474C" w:rsidRDefault="00000000">
      <w:pPr>
        <w:pStyle w:val="A-z"/>
        <w:rPr>
          <w:color w:val="auto"/>
        </w:rPr>
      </w:pPr>
      <w:r>
        <w:rPr>
          <w:color w:val="auto"/>
        </w:rPr>
        <w:t>本项目排放的污染物</w:t>
      </w:r>
      <w:r>
        <w:rPr>
          <w:color w:val="auto"/>
        </w:rPr>
        <w:t>As</w:t>
      </w:r>
      <w:r>
        <w:rPr>
          <w:color w:val="auto"/>
        </w:rPr>
        <w:t>、</w:t>
      </w:r>
      <w:r>
        <w:rPr>
          <w:color w:val="auto"/>
        </w:rPr>
        <w:t>Pb</w:t>
      </w:r>
      <w:r>
        <w:rPr>
          <w:color w:val="auto"/>
        </w:rPr>
        <w:t>、</w:t>
      </w:r>
      <w:r>
        <w:rPr>
          <w:color w:val="auto"/>
        </w:rPr>
        <w:t>Cr</w:t>
      </w:r>
      <w:r>
        <w:rPr>
          <w:color w:val="auto"/>
          <w:vertAlign w:val="superscript"/>
        </w:rPr>
        <w:t>6+</w:t>
      </w:r>
      <w:r>
        <w:rPr>
          <w:color w:val="auto"/>
        </w:rPr>
        <w:t>、</w:t>
      </w:r>
      <w:r>
        <w:rPr>
          <w:color w:val="auto"/>
        </w:rPr>
        <w:t>Cd</w:t>
      </w:r>
      <w:r>
        <w:rPr>
          <w:color w:val="auto"/>
        </w:rPr>
        <w:t>、二噁英类贡献值叠加区域背景值后的年平均浓度，</w:t>
      </w:r>
      <w:r>
        <w:rPr>
          <w:color w:val="auto"/>
        </w:rPr>
        <w:t>Mn</w:t>
      </w:r>
      <w:r>
        <w:rPr>
          <w:color w:val="auto"/>
        </w:rPr>
        <w:t>叠加区域背景值后的日平均浓度，</w:t>
      </w:r>
      <w:r>
        <w:rPr>
          <w:color w:val="auto"/>
        </w:rPr>
        <w:t>Hg</w:t>
      </w:r>
      <w:r>
        <w:rPr>
          <w:color w:val="auto"/>
        </w:rPr>
        <w:t>叠加在建项目贡献值和背景值后的年平均浓度、二噁英类叠加区域背景值后的年平均浓度非常小，未能从模型软件计算的有效数字表示出来。从预测结果中看出，以上污染物排放对区域环境质量影响极小。</w:t>
      </w:r>
    </w:p>
    <w:p w14:paraId="3B939737" w14:textId="77777777" w:rsidR="002E474C" w:rsidRDefault="00000000">
      <w:pPr>
        <w:pStyle w:val="41"/>
        <w:rPr>
          <w:color w:val="auto"/>
        </w:rPr>
      </w:pPr>
      <w:r>
        <w:rPr>
          <w:color w:val="auto"/>
        </w:rPr>
        <w:t>非正常工况排放影响分析</w:t>
      </w:r>
    </w:p>
    <w:p w14:paraId="281CE63C" w14:textId="77777777" w:rsidR="002E474C" w:rsidRDefault="00000000">
      <w:pPr>
        <w:pStyle w:val="A-z"/>
        <w:rPr>
          <w:color w:val="auto"/>
        </w:rPr>
      </w:pPr>
      <w:bookmarkStart w:id="279" w:name="_Hlk182930735"/>
      <w:r>
        <w:rPr>
          <w:color w:val="auto"/>
        </w:rPr>
        <w:t>根据非正常情况下的污染物排放源强，利用</w:t>
      </w:r>
      <w:r>
        <w:rPr>
          <w:color w:val="auto"/>
        </w:rPr>
        <w:t>2024</w:t>
      </w:r>
      <w:r>
        <w:rPr>
          <w:color w:val="auto"/>
        </w:rPr>
        <w:t>年逐日逐时的气象数据，预测非正常排放情况下的小时最大落地浓度和关心点的最大浓度值，预测结果见表</w:t>
      </w:r>
      <w:r>
        <w:rPr>
          <w:color w:val="auto"/>
        </w:rPr>
        <w:t>5.1</w:t>
      </w:r>
      <w:r>
        <w:rPr>
          <w:color w:val="auto"/>
        </w:rPr>
        <w:noBreakHyphen/>
        <w:t>36</w:t>
      </w:r>
      <w:r>
        <w:rPr>
          <w:color w:val="auto"/>
        </w:rPr>
        <w:t>。</w:t>
      </w:r>
    </w:p>
    <w:p w14:paraId="77B949AF" w14:textId="77777777" w:rsidR="002E474C" w:rsidRDefault="00000000">
      <w:pPr>
        <w:pStyle w:val="A--"/>
        <w:rPr>
          <w:color w:val="auto"/>
        </w:rPr>
      </w:pPr>
      <w:r>
        <w:rPr>
          <w:color w:val="auto"/>
        </w:rPr>
        <w:t>表</w:t>
      </w:r>
      <w:r>
        <w:rPr>
          <w:color w:val="auto"/>
        </w:rPr>
        <w:t>5.1</w:t>
      </w:r>
      <w:r>
        <w:rPr>
          <w:color w:val="auto"/>
        </w:rPr>
        <w:noBreakHyphen/>
        <w:t xml:space="preserve">36  </w:t>
      </w:r>
      <w:r>
        <w:rPr>
          <w:color w:val="auto"/>
        </w:rPr>
        <w:t>非正常工况下污染物排放表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
        <w:gridCol w:w="898"/>
        <w:gridCol w:w="1805"/>
        <w:gridCol w:w="1049"/>
        <w:gridCol w:w="1604"/>
        <w:gridCol w:w="1583"/>
        <w:gridCol w:w="881"/>
      </w:tblGrid>
      <w:tr w:rsidR="002E474C" w14:paraId="39921F5E" w14:textId="77777777">
        <w:trPr>
          <w:trHeight w:val="285"/>
        </w:trPr>
        <w:tc>
          <w:tcPr>
            <w:tcW w:w="287" w:type="pct"/>
            <w:vAlign w:val="center"/>
          </w:tcPr>
          <w:p w14:paraId="1A4CC021" w14:textId="77777777" w:rsidR="002E474C" w:rsidRDefault="00000000">
            <w:pPr>
              <w:pStyle w:val="A-"/>
            </w:pPr>
            <w:r>
              <w:t>序号</w:t>
            </w:r>
          </w:p>
        </w:tc>
        <w:tc>
          <w:tcPr>
            <w:tcW w:w="541" w:type="pct"/>
            <w:vAlign w:val="center"/>
          </w:tcPr>
          <w:p w14:paraId="0D7367B7" w14:textId="77777777" w:rsidR="002E474C" w:rsidRDefault="00000000">
            <w:pPr>
              <w:pStyle w:val="A-"/>
            </w:pPr>
            <w:r>
              <w:t>污染物</w:t>
            </w:r>
          </w:p>
        </w:tc>
        <w:tc>
          <w:tcPr>
            <w:tcW w:w="1088" w:type="pct"/>
            <w:vAlign w:val="center"/>
          </w:tcPr>
          <w:p w14:paraId="1F5E9406" w14:textId="77777777" w:rsidR="002E474C" w:rsidRDefault="00000000">
            <w:pPr>
              <w:pStyle w:val="A-"/>
            </w:pPr>
            <w:r>
              <w:t>点名称</w:t>
            </w:r>
          </w:p>
        </w:tc>
        <w:tc>
          <w:tcPr>
            <w:tcW w:w="632" w:type="pct"/>
            <w:vAlign w:val="center"/>
          </w:tcPr>
          <w:p w14:paraId="0A617B08" w14:textId="77777777" w:rsidR="002E474C" w:rsidRDefault="00000000">
            <w:pPr>
              <w:pStyle w:val="A-"/>
            </w:pPr>
            <w:r>
              <w:t>点坐标</w:t>
            </w:r>
          </w:p>
        </w:tc>
        <w:tc>
          <w:tcPr>
            <w:tcW w:w="967" w:type="pct"/>
            <w:shd w:val="clear" w:color="auto" w:fill="auto"/>
            <w:noWrap/>
            <w:tcMar>
              <w:top w:w="15" w:type="dxa"/>
              <w:left w:w="15" w:type="dxa"/>
              <w:bottom w:w="0" w:type="dxa"/>
              <w:right w:w="15" w:type="dxa"/>
            </w:tcMar>
            <w:vAlign w:val="center"/>
          </w:tcPr>
          <w:p w14:paraId="58B99502" w14:textId="77777777" w:rsidR="002E474C" w:rsidRDefault="00000000">
            <w:pPr>
              <w:pStyle w:val="A-"/>
            </w:pPr>
            <w:r>
              <w:t>浓度增量</w:t>
            </w:r>
            <w:r>
              <w:t>(</w:t>
            </w:r>
            <w:proofErr w:type="spellStart"/>
            <w:r>
              <w:t>μg</w:t>
            </w:r>
            <w:proofErr w:type="spellEnd"/>
            <w:r>
              <w:t>/m</w:t>
            </w:r>
            <w:r>
              <w:rPr>
                <w:vertAlign w:val="superscript"/>
              </w:rPr>
              <w:t>3</w:t>
            </w:r>
            <w:r>
              <w:t>)</w:t>
            </w:r>
          </w:p>
        </w:tc>
        <w:tc>
          <w:tcPr>
            <w:tcW w:w="954" w:type="pct"/>
            <w:vAlign w:val="center"/>
          </w:tcPr>
          <w:p w14:paraId="032DA752" w14:textId="77777777" w:rsidR="002E474C" w:rsidRDefault="00000000">
            <w:pPr>
              <w:pStyle w:val="A-"/>
            </w:pPr>
            <w:r>
              <w:rPr>
                <w:rFonts w:hint="eastAsia"/>
              </w:rPr>
              <w:t>标准浓度</w:t>
            </w:r>
            <w:r>
              <w:t>(</w:t>
            </w:r>
            <w:proofErr w:type="spellStart"/>
            <w:r>
              <w:t>μg</w:t>
            </w:r>
            <w:proofErr w:type="spellEnd"/>
            <w:r>
              <w:t>/m</w:t>
            </w:r>
            <w:r>
              <w:rPr>
                <w:vertAlign w:val="superscript"/>
              </w:rPr>
              <w:t>3</w:t>
            </w:r>
            <w:r>
              <w:t>)</w:t>
            </w:r>
          </w:p>
        </w:tc>
        <w:tc>
          <w:tcPr>
            <w:tcW w:w="531" w:type="pct"/>
            <w:shd w:val="clear" w:color="auto" w:fill="auto"/>
            <w:noWrap/>
            <w:tcMar>
              <w:top w:w="15" w:type="dxa"/>
              <w:left w:w="15" w:type="dxa"/>
              <w:bottom w:w="0" w:type="dxa"/>
              <w:right w:w="15" w:type="dxa"/>
            </w:tcMar>
            <w:vAlign w:val="center"/>
          </w:tcPr>
          <w:p w14:paraId="629642EB" w14:textId="77777777" w:rsidR="002E474C" w:rsidRDefault="00000000">
            <w:pPr>
              <w:pStyle w:val="A-"/>
            </w:pPr>
            <w:r>
              <w:t>占标率</w:t>
            </w:r>
            <w:r>
              <w:t>%</w:t>
            </w:r>
          </w:p>
        </w:tc>
      </w:tr>
      <w:tr w:rsidR="002E474C" w14:paraId="44DC5705" w14:textId="77777777">
        <w:trPr>
          <w:trHeight w:val="285"/>
        </w:trPr>
        <w:tc>
          <w:tcPr>
            <w:tcW w:w="287" w:type="pct"/>
            <w:vMerge w:val="restart"/>
            <w:shd w:val="clear" w:color="auto" w:fill="auto"/>
            <w:noWrap/>
            <w:tcMar>
              <w:top w:w="15" w:type="dxa"/>
              <w:left w:w="15" w:type="dxa"/>
              <w:bottom w:w="0" w:type="dxa"/>
              <w:right w:w="15" w:type="dxa"/>
            </w:tcMar>
            <w:vAlign w:val="center"/>
          </w:tcPr>
          <w:p w14:paraId="35CA2580" w14:textId="77777777" w:rsidR="002E474C" w:rsidRDefault="00000000">
            <w:pPr>
              <w:pStyle w:val="A-"/>
            </w:pPr>
            <w:r>
              <w:t>1</w:t>
            </w:r>
          </w:p>
        </w:tc>
        <w:tc>
          <w:tcPr>
            <w:tcW w:w="541" w:type="pct"/>
            <w:vMerge w:val="restart"/>
            <w:vAlign w:val="center"/>
          </w:tcPr>
          <w:p w14:paraId="270D7CDD" w14:textId="77777777" w:rsidR="002E474C" w:rsidRDefault="00000000">
            <w:pPr>
              <w:pStyle w:val="A-"/>
            </w:pPr>
            <w:r>
              <w:t>NMHC</w:t>
            </w:r>
          </w:p>
        </w:tc>
        <w:tc>
          <w:tcPr>
            <w:tcW w:w="1088" w:type="pct"/>
            <w:shd w:val="clear" w:color="auto" w:fill="auto"/>
            <w:noWrap/>
            <w:tcMar>
              <w:top w:w="15" w:type="dxa"/>
              <w:left w:w="15" w:type="dxa"/>
              <w:bottom w:w="0" w:type="dxa"/>
              <w:right w:w="15" w:type="dxa"/>
            </w:tcMar>
            <w:vAlign w:val="center"/>
          </w:tcPr>
          <w:p w14:paraId="4B7BEA33" w14:textId="77777777" w:rsidR="002E474C" w:rsidRDefault="00000000">
            <w:pPr>
              <w:pStyle w:val="A-"/>
            </w:pPr>
            <w:r>
              <w:t>阿乐惠镇</w:t>
            </w:r>
          </w:p>
        </w:tc>
        <w:tc>
          <w:tcPr>
            <w:tcW w:w="632" w:type="pct"/>
            <w:shd w:val="clear" w:color="auto" w:fill="auto"/>
            <w:noWrap/>
            <w:tcMar>
              <w:top w:w="15" w:type="dxa"/>
              <w:left w:w="15" w:type="dxa"/>
              <w:bottom w:w="0" w:type="dxa"/>
              <w:right w:w="15" w:type="dxa"/>
            </w:tcMar>
            <w:vAlign w:val="center"/>
          </w:tcPr>
          <w:p w14:paraId="6BD47E0B" w14:textId="77777777" w:rsidR="002E474C" w:rsidRDefault="00000000">
            <w:pPr>
              <w:pStyle w:val="A-"/>
            </w:pPr>
            <w:r>
              <w:t>-4151,1104</w:t>
            </w:r>
          </w:p>
        </w:tc>
        <w:tc>
          <w:tcPr>
            <w:tcW w:w="967" w:type="pct"/>
            <w:shd w:val="clear" w:color="auto" w:fill="auto"/>
            <w:noWrap/>
            <w:tcMar>
              <w:top w:w="15" w:type="dxa"/>
              <w:left w:w="15" w:type="dxa"/>
              <w:bottom w:w="0" w:type="dxa"/>
              <w:right w:w="15" w:type="dxa"/>
            </w:tcMar>
            <w:vAlign w:val="center"/>
          </w:tcPr>
          <w:p w14:paraId="51F44BD4" w14:textId="77777777" w:rsidR="002E474C" w:rsidRDefault="00000000">
            <w:pPr>
              <w:pStyle w:val="A-"/>
            </w:pPr>
            <w:r>
              <w:rPr>
                <w:rFonts w:hint="eastAsia"/>
              </w:rPr>
              <w:t xml:space="preserve">0.417 </w:t>
            </w:r>
          </w:p>
        </w:tc>
        <w:tc>
          <w:tcPr>
            <w:tcW w:w="954" w:type="pct"/>
            <w:vMerge w:val="restart"/>
            <w:vAlign w:val="center"/>
          </w:tcPr>
          <w:p w14:paraId="774BCE4F" w14:textId="77777777" w:rsidR="002E474C" w:rsidRDefault="00000000">
            <w:pPr>
              <w:pStyle w:val="A-"/>
            </w:pPr>
            <w:r>
              <w:rPr>
                <w:rFonts w:hint="eastAsia"/>
              </w:rPr>
              <w:t>2000</w:t>
            </w:r>
          </w:p>
        </w:tc>
        <w:tc>
          <w:tcPr>
            <w:tcW w:w="531" w:type="pct"/>
            <w:shd w:val="clear" w:color="auto" w:fill="auto"/>
            <w:noWrap/>
            <w:tcMar>
              <w:top w:w="15" w:type="dxa"/>
              <w:left w:w="15" w:type="dxa"/>
              <w:bottom w:w="0" w:type="dxa"/>
              <w:right w:w="15" w:type="dxa"/>
            </w:tcMar>
            <w:vAlign w:val="center"/>
          </w:tcPr>
          <w:p w14:paraId="240DEA25" w14:textId="77777777" w:rsidR="002E474C" w:rsidRDefault="00000000">
            <w:pPr>
              <w:pStyle w:val="A-"/>
            </w:pPr>
            <w:r>
              <w:t>0.</w:t>
            </w:r>
            <w:r>
              <w:rPr>
                <w:rFonts w:hint="eastAsia"/>
              </w:rPr>
              <w:t>02</w:t>
            </w:r>
          </w:p>
        </w:tc>
      </w:tr>
      <w:tr w:rsidR="002E474C" w14:paraId="0F9A4A00" w14:textId="77777777">
        <w:trPr>
          <w:trHeight w:val="285"/>
        </w:trPr>
        <w:tc>
          <w:tcPr>
            <w:tcW w:w="287" w:type="pct"/>
            <w:vMerge/>
            <w:shd w:val="clear" w:color="auto" w:fill="auto"/>
            <w:noWrap/>
            <w:tcMar>
              <w:top w:w="15" w:type="dxa"/>
              <w:left w:w="15" w:type="dxa"/>
              <w:bottom w:w="0" w:type="dxa"/>
              <w:right w:w="15" w:type="dxa"/>
            </w:tcMar>
            <w:vAlign w:val="center"/>
          </w:tcPr>
          <w:p w14:paraId="540342E4" w14:textId="77777777" w:rsidR="002E474C" w:rsidRDefault="002E474C">
            <w:pPr>
              <w:pStyle w:val="A-"/>
            </w:pPr>
          </w:p>
        </w:tc>
        <w:tc>
          <w:tcPr>
            <w:tcW w:w="541" w:type="pct"/>
            <w:vMerge/>
            <w:vAlign w:val="center"/>
          </w:tcPr>
          <w:p w14:paraId="1C2A0A22"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13D38402" w14:textId="77777777" w:rsidR="002E474C" w:rsidRDefault="00000000">
            <w:pPr>
              <w:pStyle w:val="A-"/>
            </w:pPr>
            <w:r>
              <w:t>电石公司员工公寓</w:t>
            </w:r>
          </w:p>
        </w:tc>
        <w:tc>
          <w:tcPr>
            <w:tcW w:w="632" w:type="pct"/>
            <w:shd w:val="clear" w:color="auto" w:fill="auto"/>
            <w:noWrap/>
            <w:tcMar>
              <w:top w:w="15" w:type="dxa"/>
              <w:left w:w="15" w:type="dxa"/>
              <w:bottom w:w="0" w:type="dxa"/>
              <w:right w:w="15" w:type="dxa"/>
            </w:tcMar>
            <w:vAlign w:val="center"/>
          </w:tcPr>
          <w:p w14:paraId="347C0968" w14:textId="77777777" w:rsidR="002E474C" w:rsidRDefault="00000000">
            <w:pPr>
              <w:pStyle w:val="A-"/>
            </w:pPr>
            <w:r>
              <w:t>-1901,92</w:t>
            </w:r>
          </w:p>
        </w:tc>
        <w:tc>
          <w:tcPr>
            <w:tcW w:w="967" w:type="pct"/>
            <w:shd w:val="clear" w:color="auto" w:fill="auto"/>
            <w:noWrap/>
            <w:tcMar>
              <w:top w:w="15" w:type="dxa"/>
              <w:left w:w="15" w:type="dxa"/>
              <w:bottom w:w="0" w:type="dxa"/>
              <w:right w:w="15" w:type="dxa"/>
            </w:tcMar>
            <w:vAlign w:val="center"/>
          </w:tcPr>
          <w:p w14:paraId="1581BBF7" w14:textId="77777777" w:rsidR="002E474C" w:rsidRDefault="00000000">
            <w:pPr>
              <w:pStyle w:val="A-"/>
            </w:pPr>
            <w:r>
              <w:rPr>
                <w:rFonts w:hint="eastAsia"/>
              </w:rPr>
              <w:t xml:space="preserve">16.30 </w:t>
            </w:r>
          </w:p>
        </w:tc>
        <w:tc>
          <w:tcPr>
            <w:tcW w:w="954" w:type="pct"/>
            <w:vMerge/>
            <w:vAlign w:val="center"/>
          </w:tcPr>
          <w:p w14:paraId="782BBD49"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2D14BCC3" w14:textId="77777777" w:rsidR="002E474C" w:rsidRDefault="00000000">
            <w:pPr>
              <w:pStyle w:val="A-"/>
            </w:pPr>
            <w:r>
              <w:rPr>
                <w:rFonts w:hint="eastAsia"/>
              </w:rPr>
              <w:t>0.82</w:t>
            </w:r>
          </w:p>
        </w:tc>
      </w:tr>
      <w:tr w:rsidR="002E474C" w14:paraId="0CEB34E8" w14:textId="77777777">
        <w:trPr>
          <w:trHeight w:val="285"/>
        </w:trPr>
        <w:tc>
          <w:tcPr>
            <w:tcW w:w="287" w:type="pct"/>
            <w:vMerge/>
            <w:shd w:val="clear" w:color="auto" w:fill="auto"/>
            <w:noWrap/>
            <w:tcMar>
              <w:top w:w="15" w:type="dxa"/>
              <w:left w:w="15" w:type="dxa"/>
              <w:bottom w:w="0" w:type="dxa"/>
              <w:right w:w="15" w:type="dxa"/>
            </w:tcMar>
            <w:vAlign w:val="center"/>
          </w:tcPr>
          <w:p w14:paraId="2D15AE94" w14:textId="77777777" w:rsidR="002E474C" w:rsidRDefault="002E474C">
            <w:pPr>
              <w:pStyle w:val="A-"/>
            </w:pPr>
          </w:p>
        </w:tc>
        <w:tc>
          <w:tcPr>
            <w:tcW w:w="541" w:type="pct"/>
            <w:vMerge/>
            <w:vAlign w:val="center"/>
          </w:tcPr>
          <w:p w14:paraId="33D72FAB"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614C8D09" w14:textId="77777777" w:rsidR="002E474C" w:rsidRDefault="00000000">
            <w:pPr>
              <w:pStyle w:val="A-"/>
            </w:pPr>
            <w:r>
              <w:t>网格</w:t>
            </w:r>
          </w:p>
        </w:tc>
        <w:tc>
          <w:tcPr>
            <w:tcW w:w="632" w:type="pct"/>
            <w:shd w:val="clear" w:color="auto" w:fill="auto"/>
            <w:noWrap/>
            <w:tcMar>
              <w:top w:w="15" w:type="dxa"/>
              <w:left w:w="15" w:type="dxa"/>
              <w:bottom w:w="0" w:type="dxa"/>
              <w:right w:w="15" w:type="dxa"/>
            </w:tcMar>
            <w:vAlign w:val="center"/>
          </w:tcPr>
          <w:p w14:paraId="50CB6AE9" w14:textId="77777777" w:rsidR="002E474C" w:rsidRDefault="00000000">
            <w:pPr>
              <w:pStyle w:val="A-"/>
            </w:pPr>
            <w:r>
              <w:t>-500,900</w:t>
            </w:r>
          </w:p>
        </w:tc>
        <w:tc>
          <w:tcPr>
            <w:tcW w:w="967" w:type="pct"/>
            <w:shd w:val="clear" w:color="auto" w:fill="auto"/>
            <w:noWrap/>
            <w:tcMar>
              <w:top w:w="15" w:type="dxa"/>
              <w:left w:w="15" w:type="dxa"/>
              <w:bottom w:w="0" w:type="dxa"/>
              <w:right w:w="15" w:type="dxa"/>
            </w:tcMar>
            <w:vAlign w:val="center"/>
          </w:tcPr>
          <w:p w14:paraId="26D141EA" w14:textId="77777777" w:rsidR="002E474C" w:rsidRDefault="00000000">
            <w:pPr>
              <w:pStyle w:val="A-"/>
            </w:pPr>
            <w:r>
              <w:rPr>
                <w:rFonts w:hint="eastAsia"/>
              </w:rPr>
              <w:t xml:space="preserve">85.30 </w:t>
            </w:r>
          </w:p>
        </w:tc>
        <w:tc>
          <w:tcPr>
            <w:tcW w:w="954" w:type="pct"/>
            <w:vMerge/>
            <w:vAlign w:val="center"/>
          </w:tcPr>
          <w:p w14:paraId="278F0910"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44DA7C9C" w14:textId="77777777" w:rsidR="002E474C" w:rsidRDefault="00000000">
            <w:pPr>
              <w:pStyle w:val="A-"/>
            </w:pPr>
            <w:r>
              <w:rPr>
                <w:rFonts w:hint="eastAsia"/>
              </w:rPr>
              <w:t>4.27</w:t>
            </w:r>
          </w:p>
        </w:tc>
      </w:tr>
      <w:tr w:rsidR="002E474C" w14:paraId="591BA639" w14:textId="77777777">
        <w:trPr>
          <w:trHeight w:val="285"/>
        </w:trPr>
        <w:tc>
          <w:tcPr>
            <w:tcW w:w="287" w:type="pct"/>
            <w:vMerge w:val="restart"/>
            <w:shd w:val="clear" w:color="auto" w:fill="auto"/>
            <w:noWrap/>
            <w:tcMar>
              <w:top w:w="15" w:type="dxa"/>
              <w:left w:w="15" w:type="dxa"/>
              <w:bottom w:w="0" w:type="dxa"/>
              <w:right w:w="15" w:type="dxa"/>
            </w:tcMar>
            <w:vAlign w:val="center"/>
          </w:tcPr>
          <w:p w14:paraId="36595FA7" w14:textId="77777777" w:rsidR="002E474C" w:rsidRDefault="00000000">
            <w:pPr>
              <w:pStyle w:val="A-"/>
            </w:pPr>
            <w:r>
              <w:lastRenderedPageBreak/>
              <w:t>2</w:t>
            </w:r>
          </w:p>
        </w:tc>
        <w:tc>
          <w:tcPr>
            <w:tcW w:w="541" w:type="pct"/>
            <w:vMerge w:val="restart"/>
            <w:vAlign w:val="center"/>
          </w:tcPr>
          <w:p w14:paraId="1DB76C6D" w14:textId="77777777" w:rsidR="002E474C" w:rsidRDefault="00000000">
            <w:pPr>
              <w:pStyle w:val="A-"/>
            </w:pPr>
            <w:r>
              <w:t>H</w:t>
            </w:r>
            <w:r>
              <w:rPr>
                <w:vertAlign w:val="subscript"/>
              </w:rPr>
              <w:t>2</w:t>
            </w:r>
            <w:r>
              <w:t>S</w:t>
            </w:r>
          </w:p>
        </w:tc>
        <w:tc>
          <w:tcPr>
            <w:tcW w:w="1088" w:type="pct"/>
            <w:shd w:val="clear" w:color="auto" w:fill="auto"/>
            <w:noWrap/>
            <w:tcMar>
              <w:top w:w="15" w:type="dxa"/>
              <w:left w:w="15" w:type="dxa"/>
              <w:bottom w:w="0" w:type="dxa"/>
              <w:right w:w="15" w:type="dxa"/>
            </w:tcMar>
            <w:vAlign w:val="center"/>
          </w:tcPr>
          <w:p w14:paraId="20C75483" w14:textId="77777777" w:rsidR="002E474C" w:rsidRDefault="00000000">
            <w:pPr>
              <w:pStyle w:val="A-"/>
            </w:pPr>
            <w:r>
              <w:t>阿乐惠镇</w:t>
            </w:r>
          </w:p>
        </w:tc>
        <w:tc>
          <w:tcPr>
            <w:tcW w:w="632" w:type="pct"/>
            <w:shd w:val="clear" w:color="auto" w:fill="auto"/>
            <w:noWrap/>
            <w:tcMar>
              <w:top w:w="15" w:type="dxa"/>
              <w:left w:w="15" w:type="dxa"/>
              <w:bottom w:w="0" w:type="dxa"/>
              <w:right w:w="15" w:type="dxa"/>
            </w:tcMar>
            <w:vAlign w:val="center"/>
          </w:tcPr>
          <w:p w14:paraId="1A01E0F0" w14:textId="77777777" w:rsidR="002E474C" w:rsidRDefault="00000000">
            <w:pPr>
              <w:pStyle w:val="A-"/>
            </w:pPr>
            <w:r>
              <w:t>-4151,1104</w:t>
            </w:r>
          </w:p>
        </w:tc>
        <w:tc>
          <w:tcPr>
            <w:tcW w:w="967" w:type="pct"/>
            <w:shd w:val="clear" w:color="auto" w:fill="auto"/>
            <w:noWrap/>
            <w:tcMar>
              <w:top w:w="15" w:type="dxa"/>
              <w:left w:w="15" w:type="dxa"/>
              <w:bottom w:w="0" w:type="dxa"/>
              <w:right w:w="15" w:type="dxa"/>
            </w:tcMar>
            <w:vAlign w:val="center"/>
          </w:tcPr>
          <w:p w14:paraId="551F0544" w14:textId="77777777" w:rsidR="002E474C" w:rsidRDefault="00000000">
            <w:pPr>
              <w:pStyle w:val="A-"/>
            </w:pPr>
            <w:r>
              <w:t>3.15E-02</w:t>
            </w:r>
          </w:p>
        </w:tc>
        <w:tc>
          <w:tcPr>
            <w:tcW w:w="954" w:type="pct"/>
            <w:vMerge w:val="restart"/>
            <w:vAlign w:val="center"/>
          </w:tcPr>
          <w:p w14:paraId="10C685D2" w14:textId="77777777" w:rsidR="002E474C" w:rsidRDefault="00000000">
            <w:pPr>
              <w:pStyle w:val="A-"/>
            </w:pPr>
            <w:r>
              <w:rPr>
                <w:rFonts w:hint="eastAsia"/>
              </w:rPr>
              <w:t>10</w:t>
            </w:r>
          </w:p>
        </w:tc>
        <w:tc>
          <w:tcPr>
            <w:tcW w:w="531" w:type="pct"/>
            <w:shd w:val="clear" w:color="auto" w:fill="auto"/>
            <w:noWrap/>
            <w:tcMar>
              <w:top w:w="15" w:type="dxa"/>
              <w:left w:w="15" w:type="dxa"/>
              <w:bottom w:w="0" w:type="dxa"/>
              <w:right w:w="15" w:type="dxa"/>
            </w:tcMar>
            <w:vAlign w:val="center"/>
          </w:tcPr>
          <w:p w14:paraId="2219F6BE" w14:textId="77777777" w:rsidR="002E474C" w:rsidRDefault="00000000">
            <w:pPr>
              <w:pStyle w:val="A-"/>
            </w:pPr>
            <w:r>
              <w:t>0.31</w:t>
            </w:r>
          </w:p>
        </w:tc>
      </w:tr>
      <w:tr w:rsidR="002E474C" w14:paraId="6597F774" w14:textId="77777777">
        <w:trPr>
          <w:trHeight w:val="285"/>
        </w:trPr>
        <w:tc>
          <w:tcPr>
            <w:tcW w:w="287" w:type="pct"/>
            <w:vMerge/>
            <w:shd w:val="clear" w:color="auto" w:fill="auto"/>
            <w:noWrap/>
            <w:tcMar>
              <w:top w:w="15" w:type="dxa"/>
              <w:left w:w="15" w:type="dxa"/>
              <w:bottom w:w="0" w:type="dxa"/>
              <w:right w:w="15" w:type="dxa"/>
            </w:tcMar>
            <w:vAlign w:val="center"/>
          </w:tcPr>
          <w:p w14:paraId="14C4B253" w14:textId="77777777" w:rsidR="002E474C" w:rsidRDefault="002E474C">
            <w:pPr>
              <w:pStyle w:val="A-"/>
            </w:pPr>
          </w:p>
        </w:tc>
        <w:tc>
          <w:tcPr>
            <w:tcW w:w="541" w:type="pct"/>
            <w:vMerge/>
            <w:vAlign w:val="center"/>
          </w:tcPr>
          <w:p w14:paraId="58F9D6EB"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03B6DB21" w14:textId="77777777" w:rsidR="002E474C" w:rsidRDefault="00000000">
            <w:pPr>
              <w:pStyle w:val="A-"/>
            </w:pPr>
            <w:r>
              <w:t>电石公司员工公寓</w:t>
            </w:r>
          </w:p>
        </w:tc>
        <w:tc>
          <w:tcPr>
            <w:tcW w:w="632" w:type="pct"/>
            <w:shd w:val="clear" w:color="auto" w:fill="auto"/>
            <w:noWrap/>
            <w:tcMar>
              <w:top w:w="15" w:type="dxa"/>
              <w:left w:w="15" w:type="dxa"/>
              <w:bottom w:w="0" w:type="dxa"/>
              <w:right w:w="15" w:type="dxa"/>
            </w:tcMar>
            <w:vAlign w:val="center"/>
          </w:tcPr>
          <w:p w14:paraId="190127BB" w14:textId="77777777" w:rsidR="002E474C" w:rsidRDefault="00000000">
            <w:pPr>
              <w:pStyle w:val="A-"/>
            </w:pPr>
            <w:r>
              <w:t>-1901,92</w:t>
            </w:r>
          </w:p>
        </w:tc>
        <w:tc>
          <w:tcPr>
            <w:tcW w:w="967" w:type="pct"/>
            <w:shd w:val="clear" w:color="auto" w:fill="auto"/>
            <w:noWrap/>
            <w:tcMar>
              <w:top w:w="15" w:type="dxa"/>
              <w:left w:w="15" w:type="dxa"/>
              <w:bottom w:w="0" w:type="dxa"/>
              <w:right w:w="15" w:type="dxa"/>
            </w:tcMar>
            <w:vAlign w:val="center"/>
          </w:tcPr>
          <w:p w14:paraId="5C5DE0E3" w14:textId="77777777" w:rsidR="002E474C" w:rsidRDefault="00000000">
            <w:pPr>
              <w:pStyle w:val="A-"/>
            </w:pPr>
            <w:r>
              <w:t>1.23E+00</w:t>
            </w:r>
          </w:p>
        </w:tc>
        <w:tc>
          <w:tcPr>
            <w:tcW w:w="954" w:type="pct"/>
            <w:vMerge/>
            <w:vAlign w:val="center"/>
          </w:tcPr>
          <w:p w14:paraId="008492EC"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188947E6" w14:textId="77777777" w:rsidR="002E474C" w:rsidRDefault="00000000">
            <w:pPr>
              <w:pStyle w:val="A-"/>
            </w:pPr>
            <w:r>
              <w:t>12.34</w:t>
            </w:r>
          </w:p>
        </w:tc>
      </w:tr>
      <w:tr w:rsidR="002E474C" w14:paraId="4F0A7D62" w14:textId="77777777">
        <w:trPr>
          <w:trHeight w:val="285"/>
        </w:trPr>
        <w:tc>
          <w:tcPr>
            <w:tcW w:w="287" w:type="pct"/>
            <w:vMerge/>
            <w:shd w:val="clear" w:color="auto" w:fill="auto"/>
            <w:noWrap/>
            <w:tcMar>
              <w:top w:w="15" w:type="dxa"/>
              <w:left w:w="15" w:type="dxa"/>
              <w:bottom w:w="0" w:type="dxa"/>
              <w:right w:w="15" w:type="dxa"/>
            </w:tcMar>
            <w:vAlign w:val="center"/>
          </w:tcPr>
          <w:p w14:paraId="11FD0020" w14:textId="77777777" w:rsidR="002E474C" w:rsidRDefault="002E474C">
            <w:pPr>
              <w:pStyle w:val="A-"/>
            </w:pPr>
          </w:p>
        </w:tc>
        <w:tc>
          <w:tcPr>
            <w:tcW w:w="541" w:type="pct"/>
            <w:vMerge/>
            <w:vAlign w:val="center"/>
          </w:tcPr>
          <w:p w14:paraId="31FA7D14"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719D3D9B" w14:textId="77777777" w:rsidR="002E474C" w:rsidRDefault="00000000">
            <w:pPr>
              <w:pStyle w:val="A-"/>
            </w:pPr>
            <w:r>
              <w:t>网格</w:t>
            </w:r>
          </w:p>
        </w:tc>
        <w:tc>
          <w:tcPr>
            <w:tcW w:w="632" w:type="pct"/>
            <w:shd w:val="clear" w:color="auto" w:fill="auto"/>
            <w:noWrap/>
            <w:tcMar>
              <w:top w:w="15" w:type="dxa"/>
              <w:left w:w="15" w:type="dxa"/>
              <w:bottom w:w="0" w:type="dxa"/>
              <w:right w:w="15" w:type="dxa"/>
            </w:tcMar>
            <w:vAlign w:val="center"/>
          </w:tcPr>
          <w:p w14:paraId="38515F3E" w14:textId="77777777" w:rsidR="002E474C" w:rsidRDefault="00000000">
            <w:pPr>
              <w:pStyle w:val="A-"/>
            </w:pPr>
            <w:r>
              <w:t>-500,900</w:t>
            </w:r>
          </w:p>
        </w:tc>
        <w:tc>
          <w:tcPr>
            <w:tcW w:w="967" w:type="pct"/>
            <w:shd w:val="clear" w:color="auto" w:fill="auto"/>
            <w:noWrap/>
            <w:tcMar>
              <w:top w:w="15" w:type="dxa"/>
              <w:left w:w="15" w:type="dxa"/>
              <w:bottom w:w="0" w:type="dxa"/>
              <w:right w:w="15" w:type="dxa"/>
            </w:tcMar>
            <w:vAlign w:val="center"/>
          </w:tcPr>
          <w:p w14:paraId="24BF91C9" w14:textId="77777777" w:rsidR="002E474C" w:rsidRDefault="00000000">
            <w:pPr>
              <w:pStyle w:val="A-"/>
            </w:pPr>
            <w:r>
              <w:t>6.45E+00</w:t>
            </w:r>
          </w:p>
        </w:tc>
        <w:tc>
          <w:tcPr>
            <w:tcW w:w="954" w:type="pct"/>
            <w:vMerge/>
            <w:vAlign w:val="center"/>
          </w:tcPr>
          <w:p w14:paraId="5250EB0B"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644891B3" w14:textId="77777777" w:rsidR="002E474C" w:rsidRDefault="00000000">
            <w:pPr>
              <w:pStyle w:val="A-"/>
            </w:pPr>
            <w:r>
              <w:t>64.47</w:t>
            </w:r>
          </w:p>
        </w:tc>
      </w:tr>
      <w:tr w:rsidR="002E474C" w14:paraId="7F8B3C2A" w14:textId="77777777">
        <w:trPr>
          <w:trHeight w:val="285"/>
        </w:trPr>
        <w:tc>
          <w:tcPr>
            <w:tcW w:w="287" w:type="pct"/>
            <w:vMerge w:val="restart"/>
            <w:shd w:val="clear" w:color="auto" w:fill="auto"/>
            <w:noWrap/>
            <w:tcMar>
              <w:top w:w="15" w:type="dxa"/>
              <w:left w:w="15" w:type="dxa"/>
              <w:bottom w:w="0" w:type="dxa"/>
              <w:right w:w="15" w:type="dxa"/>
            </w:tcMar>
            <w:vAlign w:val="center"/>
          </w:tcPr>
          <w:p w14:paraId="6078EE05" w14:textId="77777777" w:rsidR="002E474C" w:rsidRDefault="00000000">
            <w:pPr>
              <w:pStyle w:val="A-"/>
            </w:pPr>
            <w:r>
              <w:t>3</w:t>
            </w:r>
          </w:p>
        </w:tc>
        <w:tc>
          <w:tcPr>
            <w:tcW w:w="541" w:type="pct"/>
            <w:vMerge w:val="restart"/>
            <w:vAlign w:val="center"/>
          </w:tcPr>
          <w:p w14:paraId="1A50125B" w14:textId="77777777" w:rsidR="002E474C" w:rsidRDefault="00000000">
            <w:pPr>
              <w:pStyle w:val="A-"/>
            </w:pPr>
            <w:r>
              <w:t>NH</w:t>
            </w:r>
            <w:r>
              <w:rPr>
                <w:vertAlign w:val="subscript"/>
              </w:rPr>
              <w:t>3</w:t>
            </w:r>
          </w:p>
        </w:tc>
        <w:tc>
          <w:tcPr>
            <w:tcW w:w="1088" w:type="pct"/>
            <w:shd w:val="clear" w:color="auto" w:fill="auto"/>
            <w:noWrap/>
            <w:tcMar>
              <w:top w:w="15" w:type="dxa"/>
              <w:left w:w="15" w:type="dxa"/>
              <w:bottom w:w="0" w:type="dxa"/>
              <w:right w:w="15" w:type="dxa"/>
            </w:tcMar>
            <w:vAlign w:val="center"/>
          </w:tcPr>
          <w:p w14:paraId="0CDCED0D" w14:textId="77777777" w:rsidR="002E474C" w:rsidRDefault="00000000">
            <w:pPr>
              <w:pStyle w:val="A-"/>
            </w:pPr>
            <w:r>
              <w:t>阿乐惠镇</w:t>
            </w:r>
          </w:p>
        </w:tc>
        <w:tc>
          <w:tcPr>
            <w:tcW w:w="632" w:type="pct"/>
            <w:shd w:val="clear" w:color="auto" w:fill="auto"/>
            <w:noWrap/>
            <w:tcMar>
              <w:top w:w="15" w:type="dxa"/>
              <w:left w:w="15" w:type="dxa"/>
              <w:bottom w:w="0" w:type="dxa"/>
              <w:right w:w="15" w:type="dxa"/>
            </w:tcMar>
            <w:vAlign w:val="center"/>
          </w:tcPr>
          <w:p w14:paraId="127EC3D9" w14:textId="77777777" w:rsidR="002E474C" w:rsidRDefault="00000000">
            <w:pPr>
              <w:pStyle w:val="A-"/>
            </w:pPr>
            <w:r>
              <w:t>-4151,1104</w:t>
            </w:r>
          </w:p>
        </w:tc>
        <w:tc>
          <w:tcPr>
            <w:tcW w:w="967" w:type="pct"/>
            <w:shd w:val="clear" w:color="auto" w:fill="auto"/>
            <w:noWrap/>
            <w:tcMar>
              <w:top w:w="15" w:type="dxa"/>
              <w:left w:w="15" w:type="dxa"/>
              <w:bottom w:w="0" w:type="dxa"/>
              <w:right w:w="15" w:type="dxa"/>
            </w:tcMar>
            <w:vAlign w:val="center"/>
          </w:tcPr>
          <w:p w14:paraId="242C112F" w14:textId="77777777" w:rsidR="002E474C" w:rsidRDefault="00000000">
            <w:pPr>
              <w:pStyle w:val="A-"/>
            </w:pPr>
            <w:r>
              <w:t>3.80E-01</w:t>
            </w:r>
          </w:p>
        </w:tc>
        <w:tc>
          <w:tcPr>
            <w:tcW w:w="954" w:type="pct"/>
            <w:vMerge w:val="restart"/>
            <w:vAlign w:val="center"/>
          </w:tcPr>
          <w:p w14:paraId="498F1235" w14:textId="77777777" w:rsidR="002E474C" w:rsidRDefault="00000000">
            <w:pPr>
              <w:pStyle w:val="A-"/>
            </w:pPr>
            <w:r>
              <w:rPr>
                <w:rFonts w:hint="eastAsia"/>
              </w:rPr>
              <w:t>200</w:t>
            </w:r>
          </w:p>
        </w:tc>
        <w:tc>
          <w:tcPr>
            <w:tcW w:w="531" w:type="pct"/>
            <w:shd w:val="clear" w:color="auto" w:fill="auto"/>
            <w:noWrap/>
            <w:tcMar>
              <w:top w:w="15" w:type="dxa"/>
              <w:left w:w="15" w:type="dxa"/>
              <w:bottom w:w="0" w:type="dxa"/>
              <w:right w:w="15" w:type="dxa"/>
            </w:tcMar>
            <w:vAlign w:val="center"/>
          </w:tcPr>
          <w:p w14:paraId="499BF823" w14:textId="77777777" w:rsidR="002E474C" w:rsidRDefault="00000000">
            <w:pPr>
              <w:pStyle w:val="A-"/>
            </w:pPr>
            <w:r>
              <w:t>0.19</w:t>
            </w:r>
          </w:p>
        </w:tc>
      </w:tr>
      <w:tr w:rsidR="002E474C" w14:paraId="6C503A50" w14:textId="77777777">
        <w:trPr>
          <w:trHeight w:val="285"/>
        </w:trPr>
        <w:tc>
          <w:tcPr>
            <w:tcW w:w="287" w:type="pct"/>
            <w:vMerge/>
            <w:shd w:val="clear" w:color="auto" w:fill="auto"/>
            <w:noWrap/>
            <w:tcMar>
              <w:top w:w="15" w:type="dxa"/>
              <w:left w:w="15" w:type="dxa"/>
              <w:bottom w:w="0" w:type="dxa"/>
              <w:right w:w="15" w:type="dxa"/>
            </w:tcMar>
            <w:vAlign w:val="center"/>
          </w:tcPr>
          <w:p w14:paraId="1B901537" w14:textId="77777777" w:rsidR="002E474C" w:rsidRDefault="002E474C">
            <w:pPr>
              <w:pStyle w:val="A-"/>
            </w:pPr>
          </w:p>
        </w:tc>
        <w:tc>
          <w:tcPr>
            <w:tcW w:w="541" w:type="pct"/>
            <w:vMerge/>
            <w:vAlign w:val="center"/>
          </w:tcPr>
          <w:p w14:paraId="018A9F7F"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3E158DAC" w14:textId="77777777" w:rsidR="002E474C" w:rsidRDefault="00000000">
            <w:pPr>
              <w:pStyle w:val="A-"/>
            </w:pPr>
            <w:r>
              <w:t>电石公司员工公寓</w:t>
            </w:r>
          </w:p>
        </w:tc>
        <w:tc>
          <w:tcPr>
            <w:tcW w:w="632" w:type="pct"/>
            <w:shd w:val="clear" w:color="auto" w:fill="auto"/>
            <w:noWrap/>
            <w:tcMar>
              <w:top w:w="15" w:type="dxa"/>
              <w:left w:w="15" w:type="dxa"/>
              <w:bottom w:w="0" w:type="dxa"/>
              <w:right w:w="15" w:type="dxa"/>
            </w:tcMar>
            <w:vAlign w:val="center"/>
          </w:tcPr>
          <w:p w14:paraId="5BE8E4B6" w14:textId="77777777" w:rsidR="002E474C" w:rsidRDefault="00000000">
            <w:pPr>
              <w:pStyle w:val="A-"/>
            </w:pPr>
            <w:r>
              <w:t>-1901,92</w:t>
            </w:r>
          </w:p>
        </w:tc>
        <w:tc>
          <w:tcPr>
            <w:tcW w:w="967" w:type="pct"/>
            <w:shd w:val="clear" w:color="auto" w:fill="auto"/>
            <w:noWrap/>
            <w:tcMar>
              <w:top w:w="15" w:type="dxa"/>
              <w:left w:w="15" w:type="dxa"/>
              <w:bottom w:w="0" w:type="dxa"/>
              <w:right w:w="15" w:type="dxa"/>
            </w:tcMar>
            <w:vAlign w:val="center"/>
          </w:tcPr>
          <w:p w14:paraId="109B0EA2" w14:textId="77777777" w:rsidR="002E474C" w:rsidRDefault="00000000">
            <w:pPr>
              <w:pStyle w:val="A-"/>
            </w:pPr>
            <w:r>
              <w:t>1.49E+01</w:t>
            </w:r>
          </w:p>
        </w:tc>
        <w:tc>
          <w:tcPr>
            <w:tcW w:w="954" w:type="pct"/>
            <w:vMerge/>
            <w:vAlign w:val="center"/>
          </w:tcPr>
          <w:p w14:paraId="590E77FE"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278D21A3" w14:textId="77777777" w:rsidR="002E474C" w:rsidRDefault="00000000">
            <w:pPr>
              <w:pStyle w:val="A-"/>
            </w:pPr>
            <w:r>
              <w:t>7.45</w:t>
            </w:r>
          </w:p>
        </w:tc>
      </w:tr>
      <w:tr w:rsidR="002E474C" w14:paraId="2890448D" w14:textId="77777777">
        <w:trPr>
          <w:trHeight w:val="285"/>
        </w:trPr>
        <w:tc>
          <w:tcPr>
            <w:tcW w:w="287" w:type="pct"/>
            <w:vMerge/>
            <w:shd w:val="clear" w:color="auto" w:fill="auto"/>
            <w:noWrap/>
            <w:tcMar>
              <w:top w:w="15" w:type="dxa"/>
              <w:left w:w="15" w:type="dxa"/>
              <w:bottom w:w="0" w:type="dxa"/>
              <w:right w:w="15" w:type="dxa"/>
            </w:tcMar>
            <w:vAlign w:val="center"/>
          </w:tcPr>
          <w:p w14:paraId="5CD9EF92" w14:textId="77777777" w:rsidR="002E474C" w:rsidRDefault="002E474C">
            <w:pPr>
              <w:pStyle w:val="A-"/>
            </w:pPr>
          </w:p>
        </w:tc>
        <w:tc>
          <w:tcPr>
            <w:tcW w:w="541" w:type="pct"/>
            <w:vMerge/>
            <w:vAlign w:val="center"/>
          </w:tcPr>
          <w:p w14:paraId="2FC88C15"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3BB2C584" w14:textId="77777777" w:rsidR="002E474C" w:rsidRDefault="00000000">
            <w:pPr>
              <w:pStyle w:val="A-"/>
            </w:pPr>
            <w:r>
              <w:t>网格</w:t>
            </w:r>
          </w:p>
        </w:tc>
        <w:tc>
          <w:tcPr>
            <w:tcW w:w="632" w:type="pct"/>
            <w:shd w:val="clear" w:color="auto" w:fill="auto"/>
            <w:noWrap/>
            <w:tcMar>
              <w:top w:w="15" w:type="dxa"/>
              <w:left w:w="15" w:type="dxa"/>
              <w:bottom w:w="0" w:type="dxa"/>
              <w:right w:w="15" w:type="dxa"/>
            </w:tcMar>
            <w:vAlign w:val="center"/>
          </w:tcPr>
          <w:p w14:paraId="54502228" w14:textId="77777777" w:rsidR="002E474C" w:rsidRDefault="00000000">
            <w:pPr>
              <w:pStyle w:val="A-"/>
            </w:pPr>
            <w:r>
              <w:t>-500,900</w:t>
            </w:r>
          </w:p>
        </w:tc>
        <w:tc>
          <w:tcPr>
            <w:tcW w:w="967" w:type="pct"/>
            <w:shd w:val="clear" w:color="auto" w:fill="auto"/>
            <w:noWrap/>
            <w:tcMar>
              <w:top w:w="15" w:type="dxa"/>
              <w:left w:w="15" w:type="dxa"/>
              <w:bottom w:w="0" w:type="dxa"/>
              <w:right w:w="15" w:type="dxa"/>
            </w:tcMar>
            <w:vAlign w:val="center"/>
          </w:tcPr>
          <w:p w14:paraId="213B4421" w14:textId="77777777" w:rsidR="002E474C" w:rsidRDefault="00000000">
            <w:pPr>
              <w:pStyle w:val="A-"/>
            </w:pPr>
            <w:r>
              <w:t>7.79E+01</w:t>
            </w:r>
          </w:p>
        </w:tc>
        <w:tc>
          <w:tcPr>
            <w:tcW w:w="954" w:type="pct"/>
            <w:vMerge/>
            <w:vAlign w:val="center"/>
          </w:tcPr>
          <w:p w14:paraId="6DCAA37B"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79B17988" w14:textId="77777777" w:rsidR="002E474C" w:rsidRDefault="00000000">
            <w:pPr>
              <w:pStyle w:val="A-"/>
            </w:pPr>
            <w:r>
              <w:t>38.93</w:t>
            </w:r>
          </w:p>
        </w:tc>
      </w:tr>
      <w:tr w:rsidR="002E474C" w14:paraId="4EE9220B" w14:textId="77777777">
        <w:trPr>
          <w:trHeight w:val="285"/>
        </w:trPr>
        <w:tc>
          <w:tcPr>
            <w:tcW w:w="287" w:type="pct"/>
            <w:shd w:val="clear" w:color="auto" w:fill="auto"/>
            <w:noWrap/>
            <w:tcMar>
              <w:top w:w="15" w:type="dxa"/>
              <w:left w:w="15" w:type="dxa"/>
              <w:bottom w:w="0" w:type="dxa"/>
              <w:right w:w="15" w:type="dxa"/>
            </w:tcMar>
            <w:vAlign w:val="center"/>
          </w:tcPr>
          <w:p w14:paraId="41A2AFA9" w14:textId="77777777" w:rsidR="002E474C" w:rsidRDefault="00000000">
            <w:pPr>
              <w:pStyle w:val="A-"/>
            </w:pPr>
            <w:r>
              <w:t>序号</w:t>
            </w:r>
          </w:p>
        </w:tc>
        <w:tc>
          <w:tcPr>
            <w:tcW w:w="541" w:type="pct"/>
            <w:vAlign w:val="center"/>
          </w:tcPr>
          <w:p w14:paraId="1939C974" w14:textId="77777777" w:rsidR="002E474C" w:rsidRDefault="00000000">
            <w:pPr>
              <w:pStyle w:val="A-"/>
            </w:pPr>
            <w:r>
              <w:t>污染物</w:t>
            </w:r>
          </w:p>
        </w:tc>
        <w:tc>
          <w:tcPr>
            <w:tcW w:w="1088" w:type="pct"/>
            <w:shd w:val="clear" w:color="auto" w:fill="auto"/>
            <w:noWrap/>
            <w:tcMar>
              <w:top w:w="15" w:type="dxa"/>
              <w:left w:w="15" w:type="dxa"/>
              <w:bottom w:w="0" w:type="dxa"/>
              <w:right w:w="15" w:type="dxa"/>
            </w:tcMar>
            <w:vAlign w:val="center"/>
          </w:tcPr>
          <w:p w14:paraId="58F21F8F" w14:textId="77777777" w:rsidR="002E474C" w:rsidRDefault="00000000">
            <w:pPr>
              <w:pStyle w:val="A-"/>
            </w:pPr>
            <w:r>
              <w:t>点名称</w:t>
            </w:r>
          </w:p>
        </w:tc>
        <w:tc>
          <w:tcPr>
            <w:tcW w:w="632" w:type="pct"/>
            <w:shd w:val="clear" w:color="auto" w:fill="auto"/>
            <w:noWrap/>
            <w:tcMar>
              <w:top w:w="15" w:type="dxa"/>
              <w:left w:w="15" w:type="dxa"/>
              <w:bottom w:w="0" w:type="dxa"/>
              <w:right w:w="15" w:type="dxa"/>
            </w:tcMar>
            <w:vAlign w:val="center"/>
          </w:tcPr>
          <w:p w14:paraId="5BB1A889" w14:textId="77777777" w:rsidR="002E474C" w:rsidRDefault="00000000">
            <w:pPr>
              <w:pStyle w:val="A-"/>
            </w:pPr>
            <w:r>
              <w:t>点坐标</w:t>
            </w:r>
          </w:p>
        </w:tc>
        <w:tc>
          <w:tcPr>
            <w:tcW w:w="967" w:type="pct"/>
            <w:shd w:val="clear" w:color="auto" w:fill="auto"/>
            <w:noWrap/>
            <w:tcMar>
              <w:top w:w="15" w:type="dxa"/>
              <w:left w:w="15" w:type="dxa"/>
              <w:bottom w:w="0" w:type="dxa"/>
              <w:right w:w="15" w:type="dxa"/>
            </w:tcMar>
            <w:vAlign w:val="center"/>
          </w:tcPr>
          <w:p w14:paraId="499B65B6" w14:textId="77777777" w:rsidR="002E474C" w:rsidRDefault="00000000">
            <w:pPr>
              <w:pStyle w:val="A-"/>
            </w:pPr>
            <w:r>
              <w:t>浓度增量</w:t>
            </w:r>
            <w:r>
              <w:t>(ppb)</w:t>
            </w:r>
          </w:p>
        </w:tc>
        <w:tc>
          <w:tcPr>
            <w:tcW w:w="954" w:type="pct"/>
            <w:vAlign w:val="center"/>
          </w:tcPr>
          <w:p w14:paraId="0A959045" w14:textId="77777777" w:rsidR="002E474C" w:rsidRDefault="00000000">
            <w:pPr>
              <w:pStyle w:val="A-"/>
            </w:pPr>
            <w:r>
              <w:rPr>
                <w:rFonts w:hint="eastAsia"/>
              </w:rPr>
              <w:t>标准浓度</w:t>
            </w:r>
            <w:r>
              <w:t>(</w:t>
            </w:r>
            <w:proofErr w:type="spellStart"/>
            <w:r>
              <w:t>μg</w:t>
            </w:r>
            <w:proofErr w:type="spellEnd"/>
            <w:r>
              <w:t>/m</w:t>
            </w:r>
            <w:r>
              <w:rPr>
                <w:vertAlign w:val="superscript"/>
              </w:rPr>
              <w:t>3</w:t>
            </w:r>
            <w:r>
              <w:t>)</w:t>
            </w:r>
          </w:p>
        </w:tc>
        <w:tc>
          <w:tcPr>
            <w:tcW w:w="531" w:type="pct"/>
            <w:shd w:val="clear" w:color="auto" w:fill="auto"/>
            <w:noWrap/>
            <w:tcMar>
              <w:top w:w="15" w:type="dxa"/>
              <w:left w:w="15" w:type="dxa"/>
              <w:bottom w:w="0" w:type="dxa"/>
              <w:right w:w="15" w:type="dxa"/>
            </w:tcMar>
            <w:vAlign w:val="center"/>
          </w:tcPr>
          <w:p w14:paraId="6999DE11" w14:textId="77777777" w:rsidR="002E474C" w:rsidRDefault="00000000">
            <w:pPr>
              <w:pStyle w:val="A-"/>
            </w:pPr>
            <w:r>
              <w:t>占标率</w:t>
            </w:r>
            <w:r>
              <w:t>%</w:t>
            </w:r>
          </w:p>
        </w:tc>
      </w:tr>
      <w:tr w:rsidR="002E474C" w14:paraId="17C3FD21" w14:textId="77777777">
        <w:trPr>
          <w:trHeight w:val="285"/>
        </w:trPr>
        <w:tc>
          <w:tcPr>
            <w:tcW w:w="287" w:type="pct"/>
            <w:vMerge w:val="restart"/>
            <w:shd w:val="clear" w:color="auto" w:fill="auto"/>
            <w:noWrap/>
            <w:tcMar>
              <w:top w:w="15" w:type="dxa"/>
              <w:left w:w="15" w:type="dxa"/>
              <w:bottom w:w="0" w:type="dxa"/>
              <w:right w:w="15" w:type="dxa"/>
            </w:tcMar>
            <w:vAlign w:val="center"/>
          </w:tcPr>
          <w:p w14:paraId="60CBE11A" w14:textId="77777777" w:rsidR="002E474C" w:rsidRDefault="00000000">
            <w:pPr>
              <w:pStyle w:val="A-"/>
            </w:pPr>
            <w:r>
              <w:t>4</w:t>
            </w:r>
          </w:p>
        </w:tc>
        <w:tc>
          <w:tcPr>
            <w:tcW w:w="541" w:type="pct"/>
            <w:vMerge w:val="restart"/>
            <w:vAlign w:val="center"/>
          </w:tcPr>
          <w:p w14:paraId="08878BE0" w14:textId="77777777" w:rsidR="002E474C" w:rsidRDefault="00000000">
            <w:pPr>
              <w:pStyle w:val="A-"/>
            </w:pPr>
            <w:r>
              <w:t>二噁英类</w:t>
            </w:r>
          </w:p>
        </w:tc>
        <w:tc>
          <w:tcPr>
            <w:tcW w:w="1088" w:type="pct"/>
            <w:shd w:val="clear" w:color="auto" w:fill="auto"/>
            <w:noWrap/>
            <w:tcMar>
              <w:top w:w="15" w:type="dxa"/>
              <w:left w:w="15" w:type="dxa"/>
              <w:bottom w:w="0" w:type="dxa"/>
              <w:right w:w="15" w:type="dxa"/>
            </w:tcMar>
            <w:vAlign w:val="center"/>
          </w:tcPr>
          <w:p w14:paraId="530DB34A" w14:textId="77777777" w:rsidR="002E474C" w:rsidRDefault="00000000">
            <w:pPr>
              <w:pStyle w:val="A-"/>
            </w:pPr>
            <w:r>
              <w:t>阿乐惠镇</w:t>
            </w:r>
          </w:p>
        </w:tc>
        <w:tc>
          <w:tcPr>
            <w:tcW w:w="632" w:type="pct"/>
            <w:shd w:val="clear" w:color="auto" w:fill="auto"/>
            <w:noWrap/>
            <w:tcMar>
              <w:top w:w="15" w:type="dxa"/>
              <w:left w:w="15" w:type="dxa"/>
              <w:bottom w:w="0" w:type="dxa"/>
              <w:right w:w="15" w:type="dxa"/>
            </w:tcMar>
            <w:vAlign w:val="center"/>
          </w:tcPr>
          <w:p w14:paraId="4FA41073" w14:textId="77777777" w:rsidR="002E474C" w:rsidRDefault="00000000">
            <w:pPr>
              <w:pStyle w:val="A-"/>
            </w:pPr>
            <w:r>
              <w:t>-4151,1104</w:t>
            </w:r>
          </w:p>
        </w:tc>
        <w:tc>
          <w:tcPr>
            <w:tcW w:w="967" w:type="pct"/>
            <w:shd w:val="clear" w:color="auto" w:fill="auto"/>
            <w:noWrap/>
            <w:tcMar>
              <w:top w:w="15" w:type="dxa"/>
              <w:left w:w="15" w:type="dxa"/>
              <w:bottom w:w="0" w:type="dxa"/>
              <w:right w:w="15" w:type="dxa"/>
            </w:tcMar>
            <w:vAlign w:val="center"/>
          </w:tcPr>
          <w:p w14:paraId="6417DB33" w14:textId="77777777" w:rsidR="002E474C" w:rsidRDefault="00000000">
            <w:pPr>
              <w:pStyle w:val="A-"/>
            </w:pPr>
            <w:r>
              <w:t>0.00E+00</w:t>
            </w:r>
          </w:p>
        </w:tc>
        <w:tc>
          <w:tcPr>
            <w:tcW w:w="954" w:type="pct"/>
            <w:vMerge w:val="restart"/>
            <w:vAlign w:val="center"/>
          </w:tcPr>
          <w:p w14:paraId="06F14CBC" w14:textId="77777777" w:rsidR="002E474C" w:rsidRDefault="00000000">
            <w:pPr>
              <w:pStyle w:val="A-"/>
            </w:pPr>
            <w:r>
              <w:rPr>
                <w:rFonts w:hint="eastAsia"/>
              </w:rPr>
              <w:t>0.6</w:t>
            </w:r>
          </w:p>
        </w:tc>
        <w:tc>
          <w:tcPr>
            <w:tcW w:w="531" w:type="pct"/>
            <w:shd w:val="clear" w:color="auto" w:fill="auto"/>
            <w:noWrap/>
            <w:tcMar>
              <w:top w:w="15" w:type="dxa"/>
              <w:left w:w="15" w:type="dxa"/>
              <w:bottom w:w="0" w:type="dxa"/>
              <w:right w:w="15" w:type="dxa"/>
            </w:tcMar>
            <w:vAlign w:val="center"/>
          </w:tcPr>
          <w:p w14:paraId="0241220D" w14:textId="77777777" w:rsidR="002E474C" w:rsidRDefault="00000000">
            <w:pPr>
              <w:pStyle w:val="A-"/>
            </w:pPr>
            <w:r>
              <w:t>0</w:t>
            </w:r>
          </w:p>
        </w:tc>
      </w:tr>
      <w:tr w:rsidR="002E474C" w14:paraId="48FCC2C8" w14:textId="77777777">
        <w:trPr>
          <w:trHeight w:val="285"/>
        </w:trPr>
        <w:tc>
          <w:tcPr>
            <w:tcW w:w="287" w:type="pct"/>
            <w:vMerge/>
            <w:shd w:val="clear" w:color="auto" w:fill="auto"/>
            <w:noWrap/>
            <w:tcMar>
              <w:top w:w="15" w:type="dxa"/>
              <w:left w:w="15" w:type="dxa"/>
              <w:bottom w:w="0" w:type="dxa"/>
              <w:right w:w="15" w:type="dxa"/>
            </w:tcMar>
            <w:vAlign w:val="center"/>
          </w:tcPr>
          <w:p w14:paraId="54D29B81" w14:textId="77777777" w:rsidR="002E474C" w:rsidRDefault="002E474C">
            <w:pPr>
              <w:pStyle w:val="A-"/>
            </w:pPr>
          </w:p>
        </w:tc>
        <w:tc>
          <w:tcPr>
            <w:tcW w:w="541" w:type="pct"/>
            <w:vMerge/>
            <w:vAlign w:val="center"/>
          </w:tcPr>
          <w:p w14:paraId="2EA47D67"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776BB494" w14:textId="77777777" w:rsidR="002E474C" w:rsidRDefault="00000000">
            <w:pPr>
              <w:pStyle w:val="A-"/>
            </w:pPr>
            <w:r>
              <w:t>电石公司员工公寓</w:t>
            </w:r>
          </w:p>
        </w:tc>
        <w:tc>
          <w:tcPr>
            <w:tcW w:w="632" w:type="pct"/>
            <w:shd w:val="clear" w:color="auto" w:fill="auto"/>
            <w:noWrap/>
            <w:tcMar>
              <w:top w:w="15" w:type="dxa"/>
              <w:left w:w="15" w:type="dxa"/>
              <w:bottom w:w="0" w:type="dxa"/>
              <w:right w:w="15" w:type="dxa"/>
            </w:tcMar>
            <w:vAlign w:val="center"/>
          </w:tcPr>
          <w:p w14:paraId="79FB7BA3" w14:textId="77777777" w:rsidR="002E474C" w:rsidRDefault="00000000">
            <w:pPr>
              <w:pStyle w:val="A-"/>
            </w:pPr>
            <w:r>
              <w:t>-1901,92</w:t>
            </w:r>
          </w:p>
        </w:tc>
        <w:tc>
          <w:tcPr>
            <w:tcW w:w="967" w:type="pct"/>
            <w:shd w:val="clear" w:color="auto" w:fill="auto"/>
            <w:noWrap/>
            <w:tcMar>
              <w:top w:w="15" w:type="dxa"/>
              <w:left w:w="15" w:type="dxa"/>
              <w:bottom w:w="0" w:type="dxa"/>
              <w:right w:w="15" w:type="dxa"/>
            </w:tcMar>
            <w:vAlign w:val="center"/>
          </w:tcPr>
          <w:p w14:paraId="3FC30F61" w14:textId="77777777" w:rsidR="002E474C" w:rsidRDefault="00000000">
            <w:pPr>
              <w:pStyle w:val="A-"/>
            </w:pPr>
            <w:r>
              <w:t>0.00E+00</w:t>
            </w:r>
          </w:p>
        </w:tc>
        <w:tc>
          <w:tcPr>
            <w:tcW w:w="954" w:type="pct"/>
            <w:vMerge/>
            <w:vAlign w:val="center"/>
          </w:tcPr>
          <w:p w14:paraId="5712C813"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3931DD1F" w14:textId="77777777" w:rsidR="002E474C" w:rsidRDefault="00000000">
            <w:pPr>
              <w:pStyle w:val="A-"/>
            </w:pPr>
            <w:r>
              <w:t>0</w:t>
            </w:r>
          </w:p>
        </w:tc>
      </w:tr>
      <w:tr w:rsidR="002E474C" w14:paraId="2FA66218" w14:textId="77777777">
        <w:trPr>
          <w:trHeight w:val="285"/>
        </w:trPr>
        <w:tc>
          <w:tcPr>
            <w:tcW w:w="287" w:type="pct"/>
            <w:vMerge/>
            <w:shd w:val="clear" w:color="auto" w:fill="auto"/>
            <w:noWrap/>
            <w:tcMar>
              <w:top w:w="15" w:type="dxa"/>
              <w:left w:w="15" w:type="dxa"/>
              <w:bottom w:w="0" w:type="dxa"/>
              <w:right w:w="15" w:type="dxa"/>
            </w:tcMar>
            <w:vAlign w:val="center"/>
          </w:tcPr>
          <w:p w14:paraId="23C9484D" w14:textId="77777777" w:rsidR="002E474C" w:rsidRDefault="002E474C">
            <w:pPr>
              <w:pStyle w:val="A-"/>
            </w:pPr>
          </w:p>
        </w:tc>
        <w:tc>
          <w:tcPr>
            <w:tcW w:w="541" w:type="pct"/>
            <w:vMerge/>
            <w:vAlign w:val="center"/>
          </w:tcPr>
          <w:p w14:paraId="7BE77D0C" w14:textId="77777777" w:rsidR="002E474C" w:rsidRDefault="002E474C">
            <w:pPr>
              <w:pStyle w:val="A-"/>
            </w:pPr>
          </w:p>
        </w:tc>
        <w:tc>
          <w:tcPr>
            <w:tcW w:w="1088" w:type="pct"/>
            <w:shd w:val="clear" w:color="auto" w:fill="auto"/>
            <w:noWrap/>
            <w:tcMar>
              <w:top w:w="15" w:type="dxa"/>
              <w:left w:w="15" w:type="dxa"/>
              <w:bottom w:w="0" w:type="dxa"/>
              <w:right w:w="15" w:type="dxa"/>
            </w:tcMar>
            <w:vAlign w:val="center"/>
          </w:tcPr>
          <w:p w14:paraId="7AB535B5" w14:textId="77777777" w:rsidR="002E474C" w:rsidRDefault="00000000">
            <w:pPr>
              <w:pStyle w:val="A-"/>
            </w:pPr>
            <w:r>
              <w:t>网格</w:t>
            </w:r>
          </w:p>
        </w:tc>
        <w:tc>
          <w:tcPr>
            <w:tcW w:w="632" w:type="pct"/>
            <w:shd w:val="clear" w:color="auto" w:fill="auto"/>
            <w:noWrap/>
            <w:tcMar>
              <w:top w:w="15" w:type="dxa"/>
              <w:left w:w="15" w:type="dxa"/>
              <w:bottom w:w="0" w:type="dxa"/>
              <w:right w:w="15" w:type="dxa"/>
            </w:tcMar>
            <w:vAlign w:val="center"/>
          </w:tcPr>
          <w:p w14:paraId="14DA66CE" w14:textId="77777777" w:rsidR="002E474C" w:rsidRDefault="00000000">
            <w:pPr>
              <w:pStyle w:val="A-"/>
            </w:pPr>
            <w:r>
              <w:t>-500,900</w:t>
            </w:r>
          </w:p>
        </w:tc>
        <w:tc>
          <w:tcPr>
            <w:tcW w:w="967" w:type="pct"/>
            <w:shd w:val="clear" w:color="auto" w:fill="auto"/>
            <w:noWrap/>
            <w:tcMar>
              <w:top w:w="15" w:type="dxa"/>
              <w:left w:w="15" w:type="dxa"/>
              <w:bottom w:w="0" w:type="dxa"/>
              <w:right w:w="15" w:type="dxa"/>
            </w:tcMar>
            <w:vAlign w:val="center"/>
          </w:tcPr>
          <w:p w14:paraId="19A69EAA" w14:textId="77777777" w:rsidR="002E474C" w:rsidRDefault="00000000">
            <w:pPr>
              <w:pStyle w:val="A-"/>
            </w:pPr>
            <w:r>
              <w:t>4.00E-05</w:t>
            </w:r>
          </w:p>
        </w:tc>
        <w:tc>
          <w:tcPr>
            <w:tcW w:w="954" w:type="pct"/>
            <w:vMerge/>
            <w:vAlign w:val="center"/>
          </w:tcPr>
          <w:p w14:paraId="39032D70" w14:textId="77777777" w:rsidR="002E474C" w:rsidRDefault="002E474C">
            <w:pPr>
              <w:pStyle w:val="A-"/>
            </w:pPr>
          </w:p>
        </w:tc>
        <w:tc>
          <w:tcPr>
            <w:tcW w:w="531" w:type="pct"/>
            <w:shd w:val="clear" w:color="auto" w:fill="auto"/>
            <w:noWrap/>
            <w:tcMar>
              <w:top w:w="15" w:type="dxa"/>
              <w:left w:w="15" w:type="dxa"/>
              <w:bottom w:w="0" w:type="dxa"/>
              <w:right w:w="15" w:type="dxa"/>
            </w:tcMar>
            <w:vAlign w:val="center"/>
          </w:tcPr>
          <w:p w14:paraId="2821B195" w14:textId="77777777" w:rsidR="002E474C" w:rsidRDefault="00000000">
            <w:pPr>
              <w:pStyle w:val="A-"/>
            </w:pPr>
            <w:r>
              <w:t>0</w:t>
            </w:r>
          </w:p>
        </w:tc>
      </w:tr>
    </w:tbl>
    <w:p w14:paraId="1D0DF8B4" w14:textId="77777777" w:rsidR="002E474C" w:rsidRDefault="002E474C">
      <w:pPr>
        <w:overflowPunct w:val="0"/>
        <w:spacing w:line="360" w:lineRule="auto"/>
        <w:ind w:firstLineChars="200" w:firstLine="420"/>
      </w:pPr>
    </w:p>
    <w:p w14:paraId="3C0ADDE5" w14:textId="77777777" w:rsidR="002E474C" w:rsidRDefault="00000000">
      <w:pPr>
        <w:pStyle w:val="A-z"/>
        <w:rPr>
          <w:b/>
          <w:bCs/>
          <w:color w:val="auto"/>
        </w:rPr>
      </w:pPr>
      <w:r>
        <w:rPr>
          <w:color w:val="auto"/>
        </w:rPr>
        <w:t>当回转窑烟气冷却措施出现故障，二噁英类在窑外合成量增加非正常排放对区域环境空气质量产生的影响很小。</w:t>
      </w:r>
    </w:p>
    <w:p w14:paraId="07EF5F21" w14:textId="77777777" w:rsidR="002E474C" w:rsidRDefault="00000000">
      <w:pPr>
        <w:pStyle w:val="A-z"/>
        <w:rPr>
          <w:color w:val="auto"/>
          <w:lang w:val="en-US"/>
        </w:rPr>
      </w:pPr>
      <w:r>
        <w:rPr>
          <w:color w:val="auto"/>
          <w:lang w:val="en-US"/>
        </w:rPr>
        <w:t>当危废贮存废气的</w:t>
      </w:r>
      <w:r>
        <w:rPr>
          <w:color w:val="auto"/>
        </w:rPr>
        <w:t>两级活性炭吸附效率降低，</w:t>
      </w:r>
      <w:r>
        <w:rPr>
          <w:color w:val="auto"/>
          <w:lang w:val="en-US"/>
        </w:rPr>
        <w:t>主要污染物</w:t>
      </w:r>
      <w:r>
        <w:rPr>
          <w:color w:val="auto"/>
          <w:lang w:val="en-US"/>
        </w:rPr>
        <w:t>H</w:t>
      </w:r>
      <w:r>
        <w:rPr>
          <w:color w:val="auto"/>
          <w:vertAlign w:val="subscript"/>
          <w:lang w:val="en-US"/>
        </w:rPr>
        <w:t>2</w:t>
      </w:r>
      <w:r>
        <w:rPr>
          <w:color w:val="auto"/>
          <w:lang w:val="en-US"/>
        </w:rPr>
        <w:t>S</w:t>
      </w:r>
      <w:r>
        <w:rPr>
          <w:color w:val="auto"/>
          <w:lang w:val="en-US"/>
        </w:rPr>
        <w:t>、</w:t>
      </w:r>
      <w:r>
        <w:rPr>
          <w:color w:val="auto"/>
          <w:lang w:val="en-US"/>
        </w:rPr>
        <w:t>NH</w:t>
      </w:r>
      <w:r>
        <w:rPr>
          <w:color w:val="auto"/>
          <w:vertAlign w:val="subscript"/>
          <w:lang w:val="en-US"/>
        </w:rPr>
        <w:t>3</w:t>
      </w:r>
      <w:r>
        <w:rPr>
          <w:color w:val="auto"/>
          <w:lang w:val="en-US"/>
        </w:rPr>
        <w:t>、</w:t>
      </w:r>
      <w:r>
        <w:rPr>
          <w:bCs/>
          <w:color w:val="auto"/>
          <w:lang w:bidi="en-US"/>
        </w:rPr>
        <w:t>NMHC</w:t>
      </w:r>
      <w:r>
        <w:rPr>
          <w:color w:val="auto"/>
          <w:lang w:val="en-US"/>
        </w:rPr>
        <w:t>非正常排放会对区域环境空气质量产生影响：</w:t>
      </w:r>
      <w:r>
        <w:rPr>
          <w:color w:val="auto"/>
          <w:lang w:val="en-US"/>
        </w:rPr>
        <w:t>H</w:t>
      </w:r>
      <w:r>
        <w:rPr>
          <w:color w:val="auto"/>
          <w:vertAlign w:val="subscript"/>
          <w:lang w:val="en-US"/>
        </w:rPr>
        <w:t>2</w:t>
      </w:r>
      <w:r>
        <w:rPr>
          <w:color w:val="auto"/>
          <w:lang w:val="en-US"/>
        </w:rPr>
        <w:t>S</w:t>
      </w:r>
      <w:r>
        <w:rPr>
          <w:color w:val="auto"/>
          <w:lang w:val="en-US"/>
        </w:rPr>
        <w:t>最大占标率为</w:t>
      </w:r>
      <w:r>
        <w:rPr>
          <w:color w:val="auto"/>
          <w:lang w:val="en-US"/>
        </w:rPr>
        <w:t>64.47%</w:t>
      </w:r>
      <w:r>
        <w:rPr>
          <w:color w:val="auto"/>
          <w:lang w:val="en-US"/>
        </w:rPr>
        <w:t>、</w:t>
      </w:r>
      <w:r>
        <w:rPr>
          <w:color w:val="auto"/>
          <w:lang w:val="en-US"/>
        </w:rPr>
        <w:t>NH</w:t>
      </w:r>
      <w:r>
        <w:rPr>
          <w:color w:val="auto"/>
          <w:vertAlign w:val="subscript"/>
          <w:lang w:val="en-US"/>
        </w:rPr>
        <w:t>3</w:t>
      </w:r>
      <w:r>
        <w:rPr>
          <w:color w:val="auto"/>
          <w:lang w:val="en-US"/>
        </w:rPr>
        <w:t>最大占标率为</w:t>
      </w:r>
      <w:r>
        <w:rPr>
          <w:color w:val="auto"/>
          <w:lang w:val="en-US"/>
        </w:rPr>
        <w:t>38.93%</w:t>
      </w:r>
      <w:r>
        <w:rPr>
          <w:color w:val="auto"/>
          <w:lang w:val="en-US"/>
        </w:rPr>
        <w:t>，</w:t>
      </w:r>
      <w:r>
        <w:rPr>
          <w:bCs/>
          <w:color w:val="auto"/>
          <w:lang w:bidi="en-US"/>
        </w:rPr>
        <w:t>NMHC</w:t>
      </w:r>
      <w:r>
        <w:rPr>
          <w:color w:val="auto"/>
          <w:lang w:val="en-US"/>
        </w:rPr>
        <w:t>最大占标率为</w:t>
      </w:r>
      <w:r>
        <w:rPr>
          <w:color w:val="auto"/>
          <w:lang w:val="en-US"/>
        </w:rPr>
        <w:t>4.27%</w:t>
      </w:r>
      <w:r>
        <w:rPr>
          <w:color w:val="auto"/>
          <w:lang w:val="en-US"/>
        </w:rPr>
        <w:t>。</w:t>
      </w:r>
    </w:p>
    <w:p w14:paraId="05212CAA" w14:textId="77777777" w:rsidR="002E474C" w:rsidRDefault="00000000">
      <w:pPr>
        <w:pStyle w:val="A-z"/>
        <w:rPr>
          <w:color w:val="auto"/>
        </w:rPr>
      </w:pPr>
      <w:r>
        <w:rPr>
          <w:snapToGrid w:val="0"/>
          <w:color w:val="auto"/>
        </w:rPr>
        <w:t>非正常工况下各关心点及网格点处非甲烷总烃、</w:t>
      </w:r>
      <w:r>
        <w:rPr>
          <w:snapToGrid w:val="0"/>
          <w:color w:val="auto"/>
        </w:rPr>
        <w:t>NH</w:t>
      </w:r>
      <w:r>
        <w:rPr>
          <w:snapToGrid w:val="0"/>
          <w:color w:val="auto"/>
          <w:vertAlign w:val="subscript"/>
        </w:rPr>
        <w:t>3</w:t>
      </w:r>
      <w:r>
        <w:rPr>
          <w:snapToGrid w:val="0"/>
          <w:color w:val="auto"/>
        </w:rPr>
        <w:t>、</w:t>
      </w:r>
      <w:r>
        <w:rPr>
          <w:snapToGrid w:val="0"/>
          <w:color w:val="auto"/>
        </w:rPr>
        <w:t>H</w:t>
      </w:r>
      <w:r>
        <w:rPr>
          <w:snapToGrid w:val="0"/>
          <w:color w:val="auto"/>
          <w:vertAlign w:val="subscript"/>
        </w:rPr>
        <w:t>2</w:t>
      </w:r>
      <w:r>
        <w:rPr>
          <w:snapToGrid w:val="0"/>
          <w:color w:val="auto"/>
        </w:rPr>
        <w:t>S</w:t>
      </w:r>
      <w:r>
        <w:rPr>
          <w:snapToGrid w:val="0"/>
          <w:color w:val="auto"/>
        </w:rPr>
        <w:t>、</w:t>
      </w:r>
      <w:r>
        <w:rPr>
          <w:snapToGrid w:val="0"/>
          <w:color w:val="auto"/>
        </w:rPr>
        <w:t>NMHC</w:t>
      </w:r>
      <w:r>
        <w:rPr>
          <w:snapToGrid w:val="0"/>
          <w:color w:val="auto"/>
        </w:rPr>
        <w:t>、二噁英类最大落地浓度均未出现超标现象。</w:t>
      </w:r>
    </w:p>
    <w:p w14:paraId="64BB27A8" w14:textId="77777777" w:rsidR="002E474C" w:rsidRDefault="00000000">
      <w:pPr>
        <w:pStyle w:val="A-z"/>
        <w:ind w:firstLine="456"/>
        <w:rPr>
          <w:color w:val="auto"/>
          <w:spacing w:val="-6"/>
        </w:rPr>
      </w:pPr>
      <w:r>
        <w:rPr>
          <w:color w:val="auto"/>
          <w:spacing w:val="-6"/>
        </w:rPr>
        <w:t>项目运营需加强生产管理，尽量减少非计划装置开停车，并缩短开停车时间，同时避免环保设施不正常运行，减少事故排放对周围大气环境及敏感目标的影响。</w:t>
      </w:r>
      <w:bookmarkEnd w:id="279"/>
    </w:p>
    <w:p w14:paraId="7AED572E" w14:textId="77777777" w:rsidR="002E474C" w:rsidRDefault="00000000">
      <w:pPr>
        <w:pStyle w:val="31"/>
        <w:spacing w:before="120" w:after="120"/>
        <w:rPr>
          <w:color w:val="auto"/>
        </w:rPr>
      </w:pPr>
      <w:r>
        <w:rPr>
          <w:color w:val="auto"/>
        </w:rPr>
        <w:tab/>
      </w:r>
      <w:r>
        <w:rPr>
          <w:color w:val="auto"/>
        </w:rPr>
        <w:t>大气环境防护距离</w:t>
      </w:r>
    </w:p>
    <w:p w14:paraId="7E368947" w14:textId="77777777" w:rsidR="002E474C" w:rsidRDefault="00000000">
      <w:pPr>
        <w:pStyle w:val="A-z"/>
        <w:rPr>
          <w:color w:val="auto"/>
        </w:rPr>
      </w:pPr>
      <w:r>
        <w:rPr>
          <w:color w:val="auto"/>
        </w:rPr>
        <w:t>根据《环境影响评价技术导则</w:t>
      </w:r>
      <w:r>
        <w:rPr>
          <w:color w:val="auto"/>
        </w:rPr>
        <w:t xml:space="preserve"> </w:t>
      </w:r>
      <w:r>
        <w:rPr>
          <w:color w:val="auto"/>
        </w:rPr>
        <w:t>大气环境》（</w:t>
      </w:r>
      <w:r>
        <w:rPr>
          <w:color w:val="auto"/>
        </w:rPr>
        <w:t>HJ2.2-2018</w:t>
      </w:r>
      <w:r>
        <w:rPr>
          <w:color w:val="auto"/>
        </w:rPr>
        <w:t>）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0D3D5584" w14:textId="77777777" w:rsidR="002E474C" w:rsidRDefault="00000000">
      <w:pPr>
        <w:pStyle w:val="A-z"/>
        <w:ind w:firstLine="456"/>
        <w:rPr>
          <w:color w:val="auto"/>
          <w:spacing w:val="-6"/>
        </w:rPr>
      </w:pPr>
      <w:r>
        <w:rPr>
          <w:color w:val="auto"/>
          <w:spacing w:val="-6"/>
        </w:rPr>
        <w:t>由预测结果可知，本项目污染源正常排放下污染物厂界外短期浓度贡献值均满足环境质量标准要求，在厂界附近不存在短期落地浓度贡献值超过环境质量短期浓度限值的网格点，大气环境防护距离计算为</w:t>
      </w:r>
      <w:r>
        <w:rPr>
          <w:color w:val="auto"/>
          <w:spacing w:val="-6"/>
        </w:rPr>
        <w:t>0m</w:t>
      </w:r>
      <w:r>
        <w:rPr>
          <w:color w:val="auto"/>
          <w:spacing w:val="-6"/>
        </w:rPr>
        <w:t>，即不设置大气环境防护距离。</w:t>
      </w:r>
    </w:p>
    <w:p w14:paraId="05067203" w14:textId="77777777" w:rsidR="002E474C" w:rsidRDefault="00000000">
      <w:pPr>
        <w:pStyle w:val="31"/>
        <w:spacing w:before="120" w:after="120"/>
        <w:rPr>
          <w:color w:val="auto"/>
        </w:rPr>
      </w:pPr>
      <w:r>
        <w:rPr>
          <w:color w:val="auto"/>
        </w:rPr>
        <w:t>卫生防护距离</w:t>
      </w:r>
    </w:p>
    <w:p w14:paraId="63509463" w14:textId="77777777" w:rsidR="002E474C" w:rsidRDefault="00000000">
      <w:pPr>
        <w:pStyle w:val="A-z"/>
        <w:rPr>
          <w:color w:val="auto"/>
        </w:rPr>
      </w:pPr>
      <w:r>
        <w:rPr>
          <w:color w:val="auto"/>
        </w:rPr>
        <w:t>根据《水泥窑协同处置工业废物设计规范》（</w:t>
      </w:r>
      <w:r>
        <w:rPr>
          <w:color w:val="auto"/>
        </w:rPr>
        <w:t>GB50634-2010</w:t>
      </w:r>
      <w:r>
        <w:rPr>
          <w:color w:val="auto"/>
        </w:rPr>
        <w:t>），协同处置工业废物的水泥厂卫生防护距离不仅应执行《非金属矿物制品卫生防护距离</w:t>
      </w:r>
      <w:r>
        <w:rPr>
          <w:color w:val="auto"/>
        </w:rPr>
        <w:t xml:space="preserve"> </w:t>
      </w:r>
      <w:r>
        <w:rPr>
          <w:color w:val="auto"/>
        </w:rPr>
        <w:t>第</w:t>
      </w:r>
      <w:r>
        <w:rPr>
          <w:color w:val="auto"/>
        </w:rPr>
        <w:t>1</w:t>
      </w:r>
      <w:r>
        <w:rPr>
          <w:color w:val="auto"/>
        </w:rPr>
        <w:t>部分：水泥制造业》（</w:t>
      </w:r>
      <w:r>
        <w:rPr>
          <w:color w:val="auto"/>
        </w:rPr>
        <w:t>GB18068.1-2012</w:t>
      </w:r>
      <w:r>
        <w:rPr>
          <w:color w:val="auto"/>
        </w:rPr>
        <w:t>），当处置危险废物时，</w:t>
      </w:r>
      <w:r>
        <w:rPr>
          <w:rFonts w:hint="eastAsia"/>
          <w:color w:val="auto"/>
        </w:rPr>
        <w:t>还应</w:t>
      </w:r>
      <w:r>
        <w:rPr>
          <w:color w:val="auto"/>
        </w:rPr>
        <w:t>满足《危险</w:t>
      </w:r>
      <w:r>
        <w:rPr>
          <w:color w:val="auto"/>
        </w:rPr>
        <w:lastRenderedPageBreak/>
        <w:t>废物贮存污染控制标准》（</w:t>
      </w:r>
      <w:r>
        <w:rPr>
          <w:color w:val="auto"/>
        </w:rPr>
        <w:t>GB18597-2023</w:t>
      </w:r>
      <w:r>
        <w:rPr>
          <w:color w:val="auto"/>
        </w:rPr>
        <w:t>）的要求。同时还应满足环境影响报告书提出的卫生防护距离要求。</w:t>
      </w:r>
    </w:p>
    <w:p w14:paraId="255975C1" w14:textId="77777777" w:rsidR="002E474C" w:rsidRDefault="00000000">
      <w:pPr>
        <w:pStyle w:val="A-z"/>
        <w:rPr>
          <w:color w:val="auto"/>
        </w:rPr>
      </w:pPr>
      <w:r>
        <w:rPr>
          <w:color w:val="auto"/>
        </w:rPr>
        <w:t>（</w:t>
      </w:r>
      <w:r>
        <w:rPr>
          <w:color w:val="auto"/>
        </w:rPr>
        <w:t>1</w:t>
      </w:r>
      <w:r>
        <w:rPr>
          <w:color w:val="auto"/>
        </w:rPr>
        <w:t>）《非金属矿物制品卫生防护距离</w:t>
      </w:r>
      <w:r>
        <w:rPr>
          <w:color w:val="auto"/>
        </w:rPr>
        <w:t xml:space="preserve"> </w:t>
      </w:r>
      <w:r>
        <w:rPr>
          <w:color w:val="auto"/>
        </w:rPr>
        <w:t>第</w:t>
      </w:r>
      <w:r>
        <w:rPr>
          <w:color w:val="auto"/>
        </w:rPr>
        <w:t>1</w:t>
      </w:r>
      <w:r>
        <w:rPr>
          <w:color w:val="auto"/>
        </w:rPr>
        <w:t>部分：水泥制造业》（</w:t>
      </w:r>
      <w:r>
        <w:rPr>
          <w:color w:val="auto"/>
        </w:rPr>
        <w:t>GB18068.1-2012</w:t>
      </w:r>
      <w:r>
        <w:rPr>
          <w:color w:val="auto"/>
        </w:rPr>
        <w:t>），已废止。</w:t>
      </w:r>
    </w:p>
    <w:p w14:paraId="74073424" w14:textId="77777777" w:rsidR="002E474C" w:rsidRDefault="00000000">
      <w:pPr>
        <w:pStyle w:val="A-z"/>
        <w:rPr>
          <w:color w:val="auto"/>
        </w:rPr>
      </w:pPr>
      <w:r>
        <w:rPr>
          <w:color w:val="auto"/>
        </w:rPr>
        <w:t>（</w:t>
      </w:r>
      <w:r>
        <w:rPr>
          <w:color w:val="auto"/>
        </w:rPr>
        <w:t>2</w:t>
      </w:r>
      <w:r>
        <w:rPr>
          <w:color w:val="auto"/>
        </w:rPr>
        <w:t>）《危险废物贮存污染控制标准》（</w:t>
      </w:r>
      <w:r>
        <w:rPr>
          <w:color w:val="auto"/>
        </w:rPr>
        <w:t>GB18597-2023</w:t>
      </w:r>
      <w:r>
        <w:rPr>
          <w:color w:val="auto"/>
        </w:rPr>
        <w:t>）规定：贮存设施场址的位置以及其与周围环境敏感目标的距离应依据环境影响评价文件确定。</w:t>
      </w:r>
    </w:p>
    <w:p w14:paraId="536850C6" w14:textId="77777777" w:rsidR="002E474C" w:rsidRDefault="00000000">
      <w:pPr>
        <w:pStyle w:val="A-z"/>
        <w:rPr>
          <w:color w:val="auto"/>
        </w:rPr>
      </w:pPr>
      <w:r>
        <w:rPr>
          <w:color w:val="auto"/>
        </w:rPr>
        <w:t>因此，本评价根据《大气有害物质无组织排放卫生防护距离推导技术导则》（</w:t>
      </w:r>
      <w:r>
        <w:rPr>
          <w:color w:val="auto"/>
        </w:rPr>
        <w:t>GB/T39499-2020</w:t>
      </w:r>
      <w:r>
        <w:rPr>
          <w:color w:val="auto"/>
        </w:rPr>
        <w:t>）对本项目卫生防护距离进行计算。</w:t>
      </w:r>
    </w:p>
    <w:p w14:paraId="63EF93F8" w14:textId="77777777" w:rsidR="002E474C" w:rsidRDefault="00000000">
      <w:pPr>
        <w:pStyle w:val="A-z"/>
        <w:rPr>
          <w:color w:val="auto"/>
        </w:rPr>
      </w:pPr>
      <w:r>
        <w:rPr>
          <w:color w:val="auto"/>
        </w:rPr>
        <w:t>卫生防护距离是为了防控通过无组织排放的大气污染物的健康危害，产生大气有害物质的生产单元（生产车间或作业场所）的边界至敏感区边界的最小距离。本项目危废贮存库和固态危废预处理车间无组织排放的卫生防护距离采用《大气有害物质无组织排放卫生防护距离推导技术导则》（</w:t>
      </w:r>
      <w:r>
        <w:rPr>
          <w:color w:val="auto"/>
        </w:rPr>
        <w:t>GB/T39499-2020</w:t>
      </w:r>
      <w:r>
        <w:rPr>
          <w:color w:val="auto"/>
        </w:rPr>
        <w:t>）中推荐的计算公式进行计算：</w:t>
      </w:r>
    </w:p>
    <w:p w14:paraId="790C7B57" w14:textId="77777777" w:rsidR="002E474C" w:rsidRDefault="00000000">
      <w:pPr>
        <w:pStyle w:val="A-z"/>
        <w:rPr>
          <w:color w:val="auto"/>
        </w:rPr>
      </w:pPr>
      <w:r>
        <w:rPr>
          <w:noProof/>
          <w:color w:val="auto"/>
          <w:position w:val="-30"/>
        </w:rPr>
        <w:drawing>
          <wp:inline distT="0" distB="0" distL="0" distR="0" wp14:anchorId="727D9683" wp14:editId="570413F4">
            <wp:extent cx="1920875" cy="461645"/>
            <wp:effectExtent l="0" t="0" r="3175" b="0"/>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920875" cy="461645"/>
                    </a:xfrm>
                    <a:prstGeom prst="rect">
                      <a:avLst/>
                    </a:prstGeom>
                    <a:noFill/>
                    <a:ln>
                      <a:noFill/>
                    </a:ln>
                  </pic:spPr>
                </pic:pic>
              </a:graphicData>
            </a:graphic>
          </wp:inline>
        </w:drawing>
      </w:r>
    </w:p>
    <w:p w14:paraId="6EE4A82C" w14:textId="77777777" w:rsidR="002E474C" w:rsidRDefault="00000000">
      <w:pPr>
        <w:pStyle w:val="A-z"/>
        <w:rPr>
          <w:color w:val="auto"/>
        </w:rPr>
      </w:pPr>
      <w:r>
        <w:rPr>
          <w:color w:val="auto"/>
        </w:rPr>
        <w:t>式中：</w:t>
      </w:r>
    </w:p>
    <w:p w14:paraId="55148BA8" w14:textId="77777777" w:rsidR="002E474C" w:rsidRDefault="00000000">
      <w:pPr>
        <w:pStyle w:val="A-z"/>
        <w:rPr>
          <w:color w:val="auto"/>
        </w:rPr>
      </w:pPr>
      <w:r>
        <w:rPr>
          <w:color w:val="auto"/>
        </w:rPr>
        <w:t>Q</w:t>
      </w:r>
      <w:r>
        <w:rPr>
          <w:color w:val="auto"/>
          <w:vertAlign w:val="subscript"/>
        </w:rPr>
        <w:t>c</w:t>
      </w:r>
      <w:r>
        <w:rPr>
          <w:color w:val="auto"/>
        </w:rPr>
        <w:t>－大气有害物质的无组织排放量，单位为千克每小时</w:t>
      </w:r>
      <w:r>
        <w:rPr>
          <w:color w:val="auto"/>
        </w:rPr>
        <w:t>(kg/h)</w:t>
      </w:r>
      <w:r>
        <w:rPr>
          <w:color w:val="auto"/>
        </w:rPr>
        <w:t>。</w:t>
      </w:r>
    </w:p>
    <w:p w14:paraId="103E869F" w14:textId="77777777" w:rsidR="002E474C" w:rsidRDefault="00000000">
      <w:pPr>
        <w:pStyle w:val="A-z"/>
        <w:rPr>
          <w:color w:val="auto"/>
        </w:rPr>
      </w:pPr>
      <w:r>
        <w:rPr>
          <w:color w:val="auto"/>
        </w:rPr>
        <w:t>C</w:t>
      </w:r>
      <w:r>
        <w:rPr>
          <w:color w:val="auto"/>
          <w:vertAlign w:val="subscript"/>
        </w:rPr>
        <w:t>m</w:t>
      </w:r>
      <w:r>
        <w:rPr>
          <w:color w:val="auto"/>
        </w:rPr>
        <w:t>－大气有害物质环境空气质量的标准限值，单位为毫克每立方米</w:t>
      </w:r>
      <w:r>
        <w:rPr>
          <w:color w:val="auto"/>
        </w:rPr>
        <w:t>(mg/m</w:t>
      </w:r>
      <w:r>
        <w:rPr>
          <w:color w:val="auto"/>
          <w:vertAlign w:val="superscript"/>
        </w:rPr>
        <w:t>3</w:t>
      </w:r>
      <w:r>
        <w:rPr>
          <w:color w:val="auto"/>
        </w:rPr>
        <w:t>)</w:t>
      </w:r>
      <w:r>
        <w:rPr>
          <w:color w:val="auto"/>
        </w:rPr>
        <w:t>；</w:t>
      </w:r>
    </w:p>
    <w:p w14:paraId="49BF4C64" w14:textId="77777777" w:rsidR="002E474C" w:rsidRDefault="00000000">
      <w:pPr>
        <w:pStyle w:val="A-z"/>
        <w:rPr>
          <w:color w:val="auto"/>
        </w:rPr>
      </w:pPr>
      <w:r>
        <w:rPr>
          <w:color w:val="auto"/>
        </w:rPr>
        <w:t>L</w:t>
      </w:r>
      <w:r>
        <w:rPr>
          <w:color w:val="auto"/>
        </w:rPr>
        <w:t>－大气有害物质卫生防护距离初值，单位为米</w:t>
      </w:r>
      <w:r>
        <w:rPr>
          <w:color w:val="auto"/>
        </w:rPr>
        <w:t>(m)</w:t>
      </w:r>
      <w:r>
        <w:rPr>
          <w:color w:val="auto"/>
        </w:rPr>
        <w:t>；</w:t>
      </w:r>
    </w:p>
    <w:p w14:paraId="4AE26EDF" w14:textId="77777777" w:rsidR="002E474C" w:rsidRDefault="00000000">
      <w:pPr>
        <w:pStyle w:val="A-z"/>
        <w:rPr>
          <w:color w:val="auto"/>
        </w:rPr>
      </w:pPr>
      <w:r>
        <w:rPr>
          <w:color w:val="auto"/>
        </w:rPr>
        <w:t>r</w:t>
      </w:r>
      <w:r>
        <w:rPr>
          <w:color w:val="auto"/>
        </w:rPr>
        <w:t>－大气有害物质无组织排放源所在生产单元的等效半径，单位为米（</w:t>
      </w:r>
      <w:r>
        <w:rPr>
          <w:color w:val="auto"/>
        </w:rPr>
        <w:t>m</w:t>
      </w:r>
      <w:r>
        <w:rPr>
          <w:color w:val="auto"/>
        </w:rPr>
        <w:t>）；</w:t>
      </w:r>
    </w:p>
    <w:p w14:paraId="6BC432FB" w14:textId="77777777" w:rsidR="002E474C" w:rsidRDefault="00000000">
      <w:pPr>
        <w:pStyle w:val="A-z"/>
        <w:rPr>
          <w:color w:val="auto"/>
          <w:szCs w:val="24"/>
        </w:rPr>
      </w:pPr>
      <w:r>
        <w:rPr>
          <w:color w:val="auto"/>
        </w:rPr>
        <w:t>A</w:t>
      </w:r>
      <w:r>
        <w:rPr>
          <w:color w:val="auto"/>
        </w:rPr>
        <w:t>、</w:t>
      </w:r>
      <w:r>
        <w:rPr>
          <w:color w:val="auto"/>
        </w:rPr>
        <w:t>B</w:t>
      </w:r>
      <w:r>
        <w:rPr>
          <w:color w:val="auto"/>
        </w:rPr>
        <w:t>、</w:t>
      </w:r>
      <w:r>
        <w:rPr>
          <w:color w:val="auto"/>
        </w:rPr>
        <w:t>C</w:t>
      </w:r>
      <w:r>
        <w:rPr>
          <w:color w:val="auto"/>
        </w:rPr>
        <w:t>、</w:t>
      </w:r>
      <w:r>
        <w:rPr>
          <w:color w:val="auto"/>
        </w:rPr>
        <w:t>D</w:t>
      </w:r>
      <w:r>
        <w:rPr>
          <w:color w:val="auto"/>
        </w:rPr>
        <w:t>－卫生防护距离计算系数，无因次，根据工业企业所在地区近</w:t>
      </w:r>
      <w:r>
        <w:rPr>
          <w:color w:val="auto"/>
        </w:rPr>
        <w:t>5</w:t>
      </w:r>
      <w:r>
        <w:rPr>
          <w:color w:val="auto"/>
        </w:rPr>
        <w:t>年平均风速（</w:t>
      </w:r>
      <w:r>
        <w:rPr>
          <w:color w:val="auto"/>
        </w:rPr>
        <w:t>2.51m/s</w:t>
      </w:r>
      <w:r>
        <w:rPr>
          <w:color w:val="auto"/>
        </w:rPr>
        <w:t>）及大气污染源构成类别由该标准表中查取表</w:t>
      </w:r>
      <w:r>
        <w:rPr>
          <w:color w:val="auto"/>
        </w:rPr>
        <w:t>5.1</w:t>
      </w:r>
      <w:r>
        <w:rPr>
          <w:color w:val="auto"/>
        </w:rPr>
        <w:noBreakHyphen/>
        <w:t>37</w:t>
      </w:r>
      <w:r>
        <w:rPr>
          <w:color w:val="auto"/>
        </w:rPr>
        <w:t>。</w:t>
      </w:r>
    </w:p>
    <w:p w14:paraId="60E4BC72" w14:textId="77777777" w:rsidR="002E474C" w:rsidRDefault="00000000">
      <w:pPr>
        <w:pStyle w:val="A--"/>
        <w:rPr>
          <w:color w:val="auto"/>
        </w:rPr>
      </w:pPr>
      <w:bookmarkStart w:id="280" w:name="_Ref60305569"/>
      <w:r>
        <w:rPr>
          <w:color w:val="auto"/>
        </w:rPr>
        <w:t>表</w:t>
      </w:r>
      <w:r>
        <w:rPr>
          <w:color w:val="auto"/>
        </w:rPr>
        <w:t>5.1</w:t>
      </w:r>
      <w:r>
        <w:rPr>
          <w:color w:val="auto"/>
        </w:rPr>
        <w:noBreakHyphen/>
        <w:t>3</w:t>
      </w:r>
      <w:bookmarkEnd w:id="280"/>
      <w:r>
        <w:rPr>
          <w:color w:val="auto"/>
        </w:rPr>
        <w:t xml:space="preserve">7  </w:t>
      </w:r>
      <w:r>
        <w:rPr>
          <w:color w:val="auto"/>
        </w:rPr>
        <w:t>卫生防护距离初值计算系数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528"/>
        <w:gridCol w:w="532"/>
        <w:gridCol w:w="532"/>
        <w:gridCol w:w="532"/>
        <w:gridCol w:w="547"/>
        <w:gridCol w:w="547"/>
        <w:gridCol w:w="548"/>
        <w:gridCol w:w="533"/>
        <w:gridCol w:w="533"/>
        <w:gridCol w:w="531"/>
      </w:tblGrid>
      <w:tr w:rsidR="002E474C" w14:paraId="68C567D9" w14:textId="77777777">
        <w:tc>
          <w:tcPr>
            <w:tcW w:w="563" w:type="pct"/>
            <w:vMerge w:val="restart"/>
            <w:shd w:val="clear" w:color="auto" w:fill="auto"/>
            <w:vAlign w:val="center"/>
          </w:tcPr>
          <w:p w14:paraId="421E4598" w14:textId="77777777" w:rsidR="002E474C" w:rsidRDefault="00000000">
            <w:pPr>
              <w:pStyle w:val="A-"/>
            </w:pPr>
            <w:r>
              <w:t>计算系数</w:t>
            </w:r>
          </w:p>
        </w:tc>
        <w:tc>
          <w:tcPr>
            <w:tcW w:w="1524" w:type="pct"/>
            <w:vMerge w:val="restart"/>
            <w:shd w:val="clear" w:color="auto" w:fill="auto"/>
            <w:vAlign w:val="center"/>
          </w:tcPr>
          <w:p w14:paraId="1E60AC71" w14:textId="77777777" w:rsidR="002E474C" w:rsidRDefault="00000000">
            <w:pPr>
              <w:pStyle w:val="A-"/>
            </w:pPr>
            <w:r>
              <w:t>工业企业所在地区近</w:t>
            </w:r>
            <w:r>
              <w:t>5</w:t>
            </w:r>
            <w:r>
              <w:t>年平均风速</w:t>
            </w:r>
            <w:r>
              <w:t>/</w:t>
            </w:r>
            <w:r>
              <w:t>（</w:t>
            </w:r>
            <w:r>
              <w:t>m/s</w:t>
            </w:r>
            <w:r>
              <w:t>）</w:t>
            </w:r>
          </w:p>
        </w:tc>
        <w:tc>
          <w:tcPr>
            <w:tcW w:w="2913" w:type="pct"/>
            <w:gridSpan w:val="9"/>
            <w:shd w:val="clear" w:color="auto" w:fill="auto"/>
            <w:vAlign w:val="center"/>
          </w:tcPr>
          <w:p w14:paraId="7DC424D1" w14:textId="77777777" w:rsidR="002E474C" w:rsidRDefault="00000000">
            <w:pPr>
              <w:pStyle w:val="A-"/>
            </w:pPr>
            <w:r>
              <w:t>卫生防护距离</w:t>
            </w:r>
            <w:r>
              <w:t>L</w:t>
            </w:r>
            <w:r>
              <w:t>（</w:t>
            </w:r>
            <w:r>
              <w:t>m</w:t>
            </w:r>
            <w:r>
              <w:t>）</w:t>
            </w:r>
          </w:p>
        </w:tc>
      </w:tr>
      <w:tr w:rsidR="002E474C" w14:paraId="4B81FAFB" w14:textId="77777777">
        <w:tc>
          <w:tcPr>
            <w:tcW w:w="563" w:type="pct"/>
            <w:vMerge/>
            <w:shd w:val="clear" w:color="auto" w:fill="auto"/>
            <w:vAlign w:val="center"/>
          </w:tcPr>
          <w:p w14:paraId="782DEED5" w14:textId="77777777" w:rsidR="002E474C" w:rsidRDefault="002E474C">
            <w:pPr>
              <w:pStyle w:val="A-"/>
            </w:pPr>
          </w:p>
        </w:tc>
        <w:tc>
          <w:tcPr>
            <w:tcW w:w="1524" w:type="pct"/>
            <w:vMerge/>
            <w:shd w:val="clear" w:color="auto" w:fill="auto"/>
            <w:vAlign w:val="center"/>
          </w:tcPr>
          <w:p w14:paraId="15305D03" w14:textId="77777777" w:rsidR="002E474C" w:rsidRDefault="002E474C">
            <w:pPr>
              <w:pStyle w:val="A-"/>
            </w:pPr>
          </w:p>
        </w:tc>
        <w:tc>
          <w:tcPr>
            <w:tcW w:w="963" w:type="pct"/>
            <w:gridSpan w:val="3"/>
            <w:shd w:val="clear" w:color="auto" w:fill="auto"/>
            <w:vAlign w:val="center"/>
          </w:tcPr>
          <w:p w14:paraId="7B6D0AD6" w14:textId="77777777" w:rsidR="002E474C" w:rsidRDefault="00000000">
            <w:pPr>
              <w:pStyle w:val="A-"/>
            </w:pPr>
            <w:r>
              <w:t>L≤1000</w:t>
            </w:r>
          </w:p>
        </w:tc>
        <w:tc>
          <w:tcPr>
            <w:tcW w:w="990" w:type="pct"/>
            <w:gridSpan w:val="3"/>
            <w:shd w:val="clear" w:color="auto" w:fill="auto"/>
            <w:vAlign w:val="center"/>
          </w:tcPr>
          <w:p w14:paraId="2145B046" w14:textId="77777777" w:rsidR="002E474C" w:rsidRDefault="00000000">
            <w:pPr>
              <w:pStyle w:val="A-"/>
            </w:pPr>
            <w:r>
              <w:t>1000</w:t>
            </w:r>
            <w:r>
              <w:t>＜</w:t>
            </w:r>
            <w:r>
              <w:t>L≤2000</w:t>
            </w:r>
          </w:p>
        </w:tc>
        <w:tc>
          <w:tcPr>
            <w:tcW w:w="960" w:type="pct"/>
            <w:gridSpan w:val="3"/>
            <w:shd w:val="clear" w:color="auto" w:fill="auto"/>
            <w:vAlign w:val="center"/>
          </w:tcPr>
          <w:p w14:paraId="09884314" w14:textId="77777777" w:rsidR="002E474C" w:rsidRDefault="00000000">
            <w:pPr>
              <w:pStyle w:val="A-"/>
            </w:pPr>
            <w:r>
              <w:t>L</w:t>
            </w:r>
            <w:r>
              <w:t>＞</w:t>
            </w:r>
            <w:r>
              <w:t>2000</w:t>
            </w:r>
          </w:p>
        </w:tc>
      </w:tr>
      <w:tr w:rsidR="002E474C" w14:paraId="6463F91F" w14:textId="77777777">
        <w:tc>
          <w:tcPr>
            <w:tcW w:w="563" w:type="pct"/>
            <w:vMerge/>
            <w:shd w:val="clear" w:color="auto" w:fill="auto"/>
            <w:vAlign w:val="center"/>
          </w:tcPr>
          <w:p w14:paraId="5486492C" w14:textId="77777777" w:rsidR="002E474C" w:rsidRDefault="002E474C">
            <w:pPr>
              <w:pStyle w:val="A-"/>
            </w:pPr>
          </w:p>
        </w:tc>
        <w:tc>
          <w:tcPr>
            <w:tcW w:w="1524" w:type="pct"/>
            <w:vMerge/>
            <w:shd w:val="clear" w:color="auto" w:fill="auto"/>
            <w:vAlign w:val="center"/>
          </w:tcPr>
          <w:p w14:paraId="3EB1FC98" w14:textId="77777777" w:rsidR="002E474C" w:rsidRDefault="002E474C">
            <w:pPr>
              <w:pStyle w:val="A-"/>
            </w:pPr>
          </w:p>
        </w:tc>
        <w:tc>
          <w:tcPr>
            <w:tcW w:w="2913" w:type="pct"/>
            <w:gridSpan w:val="9"/>
            <w:shd w:val="clear" w:color="auto" w:fill="auto"/>
            <w:vAlign w:val="center"/>
          </w:tcPr>
          <w:p w14:paraId="4D34245E" w14:textId="77777777" w:rsidR="002E474C" w:rsidRDefault="00000000">
            <w:pPr>
              <w:pStyle w:val="A-"/>
            </w:pPr>
            <w:r>
              <w:t>工业企业大气污染源构成类别</w:t>
            </w:r>
          </w:p>
        </w:tc>
      </w:tr>
      <w:tr w:rsidR="002E474C" w14:paraId="0A002E29" w14:textId="77777777">
        <w:tc>
          <w:tcPr>
            <w:tcW w:w="563" w:type="pct"/>
            <w:vMerge/>
            <w:shd w:val="clear" w:color="auto" w:fill="auto"/>
            <w:vAlign w:val="center"/>
          </w:tcPr>
          <w:p w14:paraId="6A590555" w14:textId="77777777" w:rsidR="002E474C" w:rsidRDefault="002E474C">
            <w:pPr>
              <w:pStyle w:val="A-"/>
            </w:pPr>
          </w:p>
        </w:tc>
        <w:tc>
          <w:tcPr>
            <w:tcW w:w="1524" w:type="pct"/>
            <w:vMerge/>
            <w:shd w:val="clear" w:color="auto" w:fill="auto"/>
            <w:vAlign w:val="center"/>
          </w:tcPr>
          <w:p w14:paraId="742E7D5F" w14:textId="77777777" w:rsidR="002E474C" w:rsidRDefault="002E474C">
            <w:pPr>
              <w:pStyle w:val="A-"/>
            </w:pPr>
          </w:p>
        </w:tc>
        <w:tc>
          <w:tcPr>
            <w:tcW w:w="321" w:type="pct"/>
            <w:shd w:val="clear" w:color="auto" w:fill="auto"/>
            <w:vAlign w:val="center"/>
          </w:tcPr>
          <w:p w14:paraId="368C8A24" w14:textId="77777777" w:rsidR="002E474C" w:rsidRDefault="00000000">
            <w:pPr>
              <w:pStyle w:val="A-"/>
            </w:pPr>
            <w:r>
              <w:t>Ⅰ</w:t>
            </w:r>
          </w:p>
        </w:tc>
        <w:tc>
          <w:tcPr>
            <w:tcW w:w="321" w:type="pct"/>
            <w:shd w:val="clear" w:color="auto" w:fill="auto"/>
            <w:vAlign w:val="center"/>
          </w:tcPr>
          <w:p w14:paraId="489C5ED2" w14:textId="77777777" w:rsidR="002E474C" w:rsidRDefault="00000000">
            <w:pPr>
              <w:pStyle w:val="A-"/>
            </w:pPr>
            <w:r>
              <w:t>Ⅱ</w:t>
            </w:r>
          </w:p>
        </w:tc>
        <w:tc>
          <w:tcPr>
            <w:tcW w:w="321" w:type="pct"/>
            <w:shd w:val="clear" w:color="auto" w:fill="auto"/>
            <w:vAlign w:val="center"/>
          </w:tcPr>
          <w:p w14:paraId="31EE6CAA" w14:textId="77777777" w:rsidR="002E474C" w:rsidRDefault="00000000">
            <w:pPr>
              <w:pStyle w:val="A-"/>
            </w:pPr>
            <w:r>
              <w:t>Ⅲ</w:t>
            </w:r>
          </w:p>
        </w:tc>
        <w:tc>
          <w:tcPr>
            <w:tcW w:w="330" w:type="pct"/>
            <w:shd w:val="clear" w:color="auto" w:fill="auto"/>
            <w:vAlign w:val="center"/>
          </w:tcPr>
          <w:p w14:paraId="22CB8F73" w14:textId="77777777" w:rsidR="002E474C" w:rsidRDefault="00000000">
            <w:pPr>
              <w:pStyle w:val="A-"/>
            </w:pPr>
            <w:r>
              <w:t>Ⅰ</w:t>
            </w:r>
          </w:p>
        </w:tc>
        <w:tc>
          <w:tcPr>
            <w:tcW w:w="330" w:type="pct"/>
            <w:shd w:val="clear" w:color="auto" w:fill="auto"/>
            <w:vAlign w:val="center"/>
          </w:tcPr>
          <w:p w14:paraId="764AF282" w14:textId="77777777" w:rsidR="002E474C" w:rsidRDefault="00000000">
            <w:pPr>
              <w:pStyle w:val="A-"/>
            </w:pPr>
            <w:r>
              <w:t>Ⅱ</w:t>
            </w:r>
          </w:p>
        </w:tc>
        <w:tc>
          <w:tcPr>
            <w:tcW w:w="331" w:type="pct"/>
            <w:shd w:val="clear" w:color="auto" w:fill="auto"/>
            <w:vAlign w:val="center"/>
          </w:tcPr>
          <w:p w14:paraId="34466D39" w14:textId="77777777" w:rsidR="002E474C" w:rsidRDefault="00000000">
            <w:pPr>
              <w:pStyle w:val="A-"/>
            </w:pPr>
            <w:r>
              <w:t>Ⅲ</w:t>
            </w:r>
          </w:p>
        </w:tc>
        <w:tc>
          <w:tcPr>
            <w:tcW w:w="321" w:type="pct"/>
            <w:shd w:val="clear" w:color="auto" w:fill="auto"/>
            <w:vAlign w:val="center"/>
          </w:tcPr>
          <w:p w14:paraId="0CD8F143" w14:textId="77777777" w:rsidR="002E474C" w:rsidRDefault="00000000">
            <w:pPr>
              <w:pStyle w:val="A-"/>
            </w:pPr>
            <w:r>
              <w:t>Ⅰ</w:t>
            </w:r>
          </w:p>
        </w:tc>
        <w:tc>
          <w:tcPr>
            <w:tcW w:w="321" w:type="pct"/>
            <w:shd w:val="clear" w:color="auto" w:fill="auto"/>
            <w:vAlign w:val="center"/>
          </w:tcPr>
          <w:p w14:paraId="79AC4ABD" w14:textId="77777777" w:rsidR="002E474C" w:rsidRDefault="00000000">
            <w:pPr>
              <w:pStyle w:val="A-"/>
            </w:pPr>
            <w:r>
              <w:t>Ⅱ</w:t>
            </w:r>
          </w:p>
        </w:tc>
        <w:tc>
          <w:tcPr>
            <w:tcW w:w="318" w:type="pct"/>
            <w:shd w:val="clear" w:color="auto" w:fill="auto"/>
            <w:vAlign w:val="center"/>
          </w:tcPr>
          <w:p w14:paraId="61BC25BA" w14:textId="77777777" w:rsidR="002E474C" w:rsidRDefault="00000000">
            <w:pPr>
              <w:pStyle w:val="A-"/>
            </w:pPr>
            <w:r>
              <w:t>Ⅲ</w:t>
            </w:r>
          </w:p>
        </w:tc>
      </w:tr>
      <w:tr w:rsidR="002E474C" w14:paraId="081C7897" w14:textId="77777777">
        <w:tc>
          <w:tcPr>
            <w:tcW w:w="563" w:type="pct"/>
            <w:vMerge w:val="restart"/>
            <w:shd w:val="clear" w:color="auto" w:fill="auto"/>
            <w:vAlign w:val="center"/>
          </w:tcPr>
          <w:p w14:paraId="43F7895A" w14:textId="77777777" w:rsidR="002E474C" w:rsidRDefault="00000000">
            <w:pPr>
              <w:pStyle w:val="A-"/>
            </w:pPr>
            <w:r>
              <w:t>A</w:t>
            </w:r>
          </w:p>
        </w:tc>
        <w:tc>
          <w:tcPr>
            <w:tcW w:w="1524" w:type="pct"/>
            <w:shd w:val="clear" w:color="auto" w:fill="auto"/>
            <w:vAlign w:val="center"/>
          </w:tcPr>
          <w:p w14:paraId="0A5D0CDA" w14:textId="77777777" w:rsidR="002E474C" w:rsidRDefault="00000000">
            <w:pPr>
              <w:pStyle w:val="A-"/>
            </w:pPr>
            <w:r>
              <w:t>＜</w:t>
            </w:r>
            <w:r>
              <w:t>2</w:t>
            </w:r>
          </w:p>
        </w:tc>
        <w:tc>
          <w:tcPr>
            <w:tcW w:w="321" w:type="pct"/>
            <w:shd w:val="clear" w:color="auto" w:fill="auto"/>
            <w:vAlign w:val="center"/>
          </w:tcPr>
          <w:p w14:paraId="2EC2C1CA" w14:textId="77777777" w:rsidR="002E474C" w:rsidRDefault="00000000">
            <w:pPr>
              <w:pStyle w:val="A-"/>
            </w:pPr>
            <w:r>
              <w:t>400</w:t>
            </w:r>
          </w:p>
        </w:tc>
        <w:tc>
          <w:tcPr>
            <w:tcW w:w="321" w:type="pct"/>
            <w:shd w:val="clear" w:color="auto" w:fill="auto"/>
            <w:vAlign w:val="center"/>
          </w:tcPr>
          <w:p w14:paraId="00913DE0" w14:textId="77777777" w:rsidR="002E474C" w:rsidRDefault="00000000">
            <w:pPr>
              <w:pStyle w:val="A-"/>
            </w:pPr>
            <w:r>
              <w:t>400</w:t>
            </w:r>
          </w:p>
        </w:tc>
        <w:tc>
          <w:tcPr>
            <w:tcW w:w="321" w:type="pct"/>
            <w:shd w:val="clear" w:color="auto" w:fill="auto"/>
            <w:vAlign w:val="center"/>
          </w:tcPr>
          <w:p w14:paraId="5EFF6588" w14:textId="77777777" w:rsidR="002E474C" w:rsidRDefault="00000000">
            <w:pPr>
              <w:pStyle w:val="A-"/>
            </w:pPr>
            <w:r>
              <w:t>400</w:t>
            </w:r>
          </w:p>
        </w:tc>
        <w:tc>
          <w:tcPr>
            <w:tcW w:w="330" w:type="pct"/>
            <w:shd w:val="clear" w:color="auto" w:fill="auto"/>
            <w:vAlign w:val="center"/>
          </w:tcPr>
          <w:p w14:paraId="06E7043A" w14:textId="77777777" w:rsidR="002E474C" w:rsidRDefault="00000000">
            <w:pPr>
              <w:pStyle w:val="A-"/>
            </w:pPr>
            <w:r>
              <w:t>400</w:t>
            </w:r>
          </w:p>
        </w:tc>
        <w:tc>
          <w:tcPr>
            <w:tcW w:w="330" w:type="pct"/>
            <w:shd w:val="clear" w:color="auto" w:fill="auto"/>
            <w:vAlign w:val="center"/>
          </w:tcPr>
          <w:p w14:paraId="6799E0A3" w14:textId="77777777" w:rsidR="002E474C" w:rsidRDefault="00000000">
            <w:pPr>
              <w:pStyle w:val="A-"/>
            </w:pPr>
            <w:r>
              <w:t>400</w:t>
            </w:r>
          </w:p>
        </w:tc>
        <w:tc>
          <w:tcPr>
            <w:tcW w:w="331" w:type="pct"/>
            <w:shd w:val="clear" w:color="auto" w:fill="auto"/>
            <w:vAlign w:val="center"/>
          </w:tcPr>
          <w:p w14:paraId="154BB691" w14:textId="77777777" w:rsidR="002E474C" w:rsidRDefault="00000000">
            <w:pPr>
              <w:pStyle w:val="A-"/>
            </w:pPr>
            <w:r>
              <w:t>400</w:t>
            </w:r>
          </w:p>
        </w:tc>
        <w:tc>
          <w:tcPr>
            <w:tcW w:w="321" w:type="pct"/>
            <w:shd w:val="clear" w:color="auto" w:fill="auto"/>
            <w:vAlign w:val="center"/>
          </w:tcPr>
          <w:p w14:paraId="14A79AFE" w14:textId="77777777" w:rsidR="002E474C" w:rsidRDefault="00000000">
            <w:pPr>
              <w:pStyle w:val="A-"/>
            </w:pPr>
            <w:r>
              <w:t>80</w:t>
            </w:r>
          </w:p>
        </w:tc>
        <w:tc>
          <w:tcPr>
            <w:tcW w:w="321" w:type="pct"/>
            <w:shd w:val="clear" w:color="auto" w:fill="auto"/>
            <w:vAlign w:val="center"/>
          </w:tcPr>
          <w:p w14:paraId="7CF1AC3B" w14:textId="77777777" w:rsidR="002E474C" w:rsidRDefault="00000000">
            <w:pPr>
              <w:pStyle w:val="A-"/>
            </w:pPr>
            <w:r>
              <w:t>80</w:t>
            </w:r>
          </w:p>
        </w:tc>
        <w:tc>
          <w:tcPr>
            <w:tcW w:w="318" w:type="pct"/>
            <w:shd w:val="clear" w:color="auto" w:fill="auto"/>
            <w:vAlign w:val="center"/>
          </w:tcPr>
          <w:p w14:paraId="5E6948D8" w14:textId="77777777" w:rsidR="002E474C" w:rsidRDefault="00000000">
            <w:pPr>
              <w:pStyle w:val="A-"/>
            </w:pPr>
            <w:r>
              <w:t>80</w:t>
            </w:r>
          </w:p>
        </w:tc>
      </w:tr>
      <w:tr w:rsidR="002E474C" w14:paraId="4C90A04C" w14:textId="77777777">
        <w:tc>
          <w:tcPr>
            <w:tcW w:w="563" w:type="pct"/>
            <w:vMerge/>
            <w:shd w:val="clear" w:color="auto" w:fill="auto"/>
            <w:vAlign w:val="center"/>
          </w:tcPr>
          <w:p w14:paraId="474ADE78" w14:textId="77777777" w:rsidR="002E474C" w:rsidRDefault="002E474C">
            <w:pPr>
              <w:pStyle w:val="A-"/>
            </w:pPr>
          </w:p>
        </w:tc>
        <w:tc>
          <w:tcPr>
            <w:tcW w:w="1524" w:type="pct"/>
            <w:shd w:val="clear" w:color="auto" w:fill="auto"/>
            <w:vAlign w:val="center"/>
          </w:tcPr>
          <w:p w14:paraId="1E45827A" w14:textId="77777777" w:rsidR="002E474C" w:rsidRDefault="00000000">
            <w:pPr>
              <w:pStyle w:val="A-"/>
            </w:pPr>
            <w:r>
              <w:t>2-4</w:t>
            </w:r>
          </w:p>
        </w:tc>
        <w:tc>
          <w:tcPr>
            <w:tcW w:w="321" w:type="pct"/>
            <w:shd w:val="clear" w:color="auto" w:fill="auto"/>
            <w:vAlign w:val="center"/>
          </w:tcPr>
          <w:p w14:paraId="6BAB56D6" w14:textId="77777777" w:rsidR="002E474C" w:rsidRDefault="00000000">
            <w:pPr>
              <w:pStyle w:val="A-"/>
            </w:pPr>
            <w:r>
              <w:t>700</w:t>
            </w:r>
          </w:p>
        </w:tc>
        <w:tc>
          <w:tcPr>
            <w:tcW w:w="321" w:type="pct"/>
            <w:shd w:val="clear" w:color="auto" w:fill="auto"/>
            <w:vAlign w:val="center"/>
          </w:tcPr>
          <w:p w14:paraId="272F4BC0" w14:textId="77777777" w:rsidR="002E474C" w:rsidRDefault="00000000">
            <w:pPr>
              <w:pStyle w:val="A-"/>
            </w:pPr>
            <w:r>
              <w:t>470</w:t>
            </w:r>
          </w:p>
        </w:tc>
        <w:tc>
          <w:tcPr>
            <w:tcW w:w="321" w:type="pct"/>
            <w:shd w:val="clear" w:color="auto" w:fill="auto"/>
            <w:vAlign w:val="center"/>
          </w:tcPr>
          <w:p w14:paraId="5C79CFE7" w14:textId="77777777" w:rsidR="002E474C" w:rsidRDefault="00000000">
            <w:pPr>
              <w:pStyle w:val="A-"/>
            </w:pPr>
            <w:r>
              <w:t>350</w:t>
            </w:r>
          </w:p>
        </w:tc>
        <w:tc>
          <w:tcPr>
            <w:tcW w:w="330" w:type="pct"/>
            <w:shd w:val="clear" w:color="auto" w:fill="auto"/>
            <w:vAlign w:val="center"/>
          </w:tcPr>
          <w:p w14:paraId="4829B1E0" w14:textId="77777777" w:rsidR="002E474C" w:rsidRDefault="00000000">
            <w:pPr>
              <w:pStyle w:val="A-"/>
            </w:pPr>
            <w:r>
              <w:t>700</w:t>
            </w:r>
          </w:p>
        </w:tc>
        <w:tc>
          <w:tcPr>
            <w:tcW w:w="330" w:type="pct"/>
            <w:shd w:val="clear" w:color="auto" w:fill="auto"/>
            <w:vAlign w:val="center"/>
          </w:tcPr>
          <w:p w14:paraId="0299B9DE" w14:textId="77777777" w:rsidR="002E474C" w:rsidRDefault="00000000">
            <w:pPr>
              <w:pStyle w:val="A-"/>
            </w:pPr>
            <w:r>
              <w:t>470</w:t>
            </w:r>
          </w:p>
        </w:tc>
        <w:tc>
          <w:tcPr>
            <w:tcW w:w="331" w:type="pct"/>
            <w:shd w:val="clear" w:color="auto" w:fill="auto"/>
            <w:vAlign w:val="center"/>
          </w:tcPr>
          <w:p w14:paraId="5E7C24CE" w14:textId="77777777" w:rsidR="002E474C" w:rsidRDefault="00000000">
            <w:pPr>
              <w:pStyle w:val="A-"/>
            </w:pPr>
            <w:r>
              <w:t>350</w:t>
            </w:r>
          </w:p>
        </w:tc>
        <w:tc>
          <w:tcPr>
            <w:tcW w:w="321" w:type="pct"/>
            <w:shd w:val="clear" w:color="auto" w:fill="auto"/>
            <w:vAlign w:val="center"/>
          </w:tcPr>
          <w:p w14:paraId="5B9CE4A7" w14:textId="77777777" w:rsidR="002E474C" w:rsidRDefault="00000000">
            <w:pPr>
              <w:pStyle w:val="A-"/>
            </w:pPr>
            <w:r>
              <w:t>380</w:t>
            </w:r>
          </w:p>
        </w:tc>
        <w:tc>
          <w:tcPr>
            <w:tcW w:w="321" w:type="pct"/>
            <w:shd w:val="clear" w:color="auto" w:fill="auto"/>
            <w:vAlign w:val="center"/>
          </w:tcPr>
          <w:p w14:paraId="2CFCC824" w14:textId="77777777" w:rsidR="002E474C" w:rsidRDefault="00000000">
            <w:pPr>
              <w:pStyle w:val="A-"/>
            </w:pPr>
            <w:r>
              <w:t>250</w:t>
            </w:r>
          </w:p>
        </w:tc>
        <w:tc>
          <w:tcPr>
            <w:tcW w:w="318" w:type="pct"/>
            <w:shd w:val="clear" w:color="auto" w:fill="auto"/>
            <w:vAlign w:val="center"/>
          </w:tcPr>
          <w:p w14:paraId="7896CF03" w14:textId="77777777" w:rsidR="002E474C" w:rsidRDefault="00000000">
            <w:pPr>
              <w:pStyle w:val="A-"/>
            </w:pPr>
            <w:r>
              <w:t>190</w:t>
            </w:r>
          </w:p>
        </w:tc>
      </w:tr>
      <w:tr w:rsidR="002E474C" w14:paraId="4964C212" w14:textId="77777777">
        <w:tc>
          <w:tcPr>
            <w:tcW w:w="563" w:type="pct"/>
            <w:vMerge/>
            <w:shd w:val="clear" w:color="auto" w:fill="auto"/>
            <w:vAlign w:val="center"/>
          </w:tcPr>
          <w:p w14:paraId="63626756" w14:textId="77777777" w:rsidR="002E474C" w:rsidRDefault="002E474C">
            <w:pPr>
              <w:pStyle w:val="A-"/>
            </w:pPr>
          </w:p>
        </w:tc>
        <w:tc>
          <w:tcPr>
            <w:tcW w:w="1524" w:type="pct"/>
            <w:shd w:val="clear" w:color="auto" w:fill="auto"/>
            <w:vAlign w:val="center"/>
          </w:tcPr>
          <w:p w14:paraId="51234561" w14:textId="77777777" w:rsidR="002E474C" w:rsidRDefault="00000000">
            <w:pPr>
              <w:pStyle w:val="A-"/>
            </w:pPr>
            <w:r>
              <w:t>＞</w:t>
            </w:r>
            <w:r>
              <w:t>4</w:t>
            </w:r>
          </w:p>
        </w:tc>
        <w:tc>
          <w:tcPr>
            <w:tcW w:w="321" w:type="pct"/>
            <w:shd w:val="clear" w:color="auto" w:fill="auto"/>
            <w:vAlign w:val="center"/>
          </w:tcPr>
          <w:p w14:paraId="51296CBC" w14:textId="77777777" w:rsidR="002E474C" w:rsidRDefault="00000000">
            <w:pPr>
              <w:pStyle w:val="A-"/>
            </w:pPr>
            <w:r>
              <w:t>530</w:t>
            </w:r>
          </w:p>
        </w:tc>
        <w:tc>
          <w:tcPr>
            <w:tcW w:w="321" w:type="pct"/>
            <w:shd w:val="clear" w:color="auto" w:fill="auto"/>
            <w:vAlign w:val="center"/>
          </w:tcPr>
          <w:p w14:paraId="3D3D419D" w14:textId="77777777" w:rsidR="002E474C" w:rsidRDefault="00000000">
            <w:pPr>
              <w:pStyle w:val="A-"/>
            </w:pPr>
            <w:r>
              <w:t>350</w:t>
            </w:r>
          </w:p>
        </w:tc>
        <w:tc>
          <w:tcPr>
            <w:tcW w:w="321" w:type="pct"/>
            <w:shd w:val="clear" w:color="auto" w:fill="auto"/>
            <w:vAlign w:val="center"/>
          </w:tcPr>
          <w:p w14:paraId="720AEB4A" w14:textId="77777777" w:rsidR="002E474C" w:rsidRDefault="00000000">
            <w:pPr>
              <w:pStyle w:val="A-"/>
            </w:pPr>
            <w:r>
              <w:t>260</w:t>
            </w:r>
          </w:p>
        </w:tc>
        <w:tc>
          <w:tcPr>
            <w:tcW w:w="330" w:type="pct"/>
            <w:shd w:val="clear" w:color="auto" w:fill="auto"/>
            <w:vAlign w:val="center"/>
          </w:tcPr>
          <w:p w14:paraId="27F16C1F" w14:textId="77777777" w:rsidR="002E474C" w:rsidRDefault="00000000">
            <w:pPr>
              <w:pStyle w:val="A-"/>
            </w:pPr>
            <w:r>
              <w:t>530</w:t>
            </w:r>
          </w:p>
        </w:tc>
        <w:tc>
          <w:tcPr>
            <w:tcW w:w="330" w:type="pct"/>
            <w:shd w:val="clear" w:color="auto" w:fill="auto"/>
            <w:vAlign w:val="center"/>
          </w:tcPr>
          <w:p w14:paraId="73CDAD03" w14:textId="77777777" w:rsidR="002E474C" w:rsidRDefault="00000000">
            <w:pPr>
              <w:pStyle w:val="A-"/>
            </w:pPr>
            <w:r>
              <w:t>350</w:t>
            </w:r>
          </w:p>
        </w:tc>
        <w:tc>
          <w:tcPr>
            <w:tcW w:w="331" w:type="pct"/>
            <w:shd w:val="clear" w:color="auto" w:fill="auto"/>
            <w:vAlign w:val="center"/>
          </w:tcPr>
          <w:p w14:paraId="34733E6E" w14:textId="77777777" w:rsidR="002E474C" w:rsidRDefault="00000000">
            <w:pPr>
              <w:pStyle w:val="A-"/>
            </w:pPr>
            <w:r>
              <w:t>260</w:t>
            </w:r>
          </w:p>
        </w:tc>
        <w:tc>
          <w:tcPr>
            <w:tcW w:w="321" w:type="pct"/>
            <w:shd w:val="clear" w:color="auto" w:fill="auto"/>
            <w:vAlign w:val="center"/>
          </w:tcPr>
          <w:p w14:paraId="442EE2FE" w14:textId="77777777" w:rsidR="002E474C" w:rsidRDefault="00000000">
            <w:pPr>
              <w:pStyle w:val="A-"/>
            </w:pPr>
            <w:r>
              <w:t>290</w:t>
            </w:r>
          </w:p>
        </w:tc>
        <w:tc>
          <w:tcPr>
            <w:tcW w:w="321" w:type="pct"/>
            <w:shd w:val="clear" w:color="auto" w:fill="auto"/>
            <w:vAlign w:val="center"/>
          </w:tcPr>
          <w:p w14:paraId="55C70CBA" w14:textId="77777777" w:rsidR="002E474C" w:rsidRDefault="00000000">
            <w:pPr>
              <w:pStyle w:val="A-"/>
            </w:pPr>
            <w:r>
              <w:t>190</w:t>
            </w:r>
          </w:p>
        </w:tc>
        <w:tc>
          <w:tcPr>
            <w:tcW w:w="318" w:type="pct"/>
            <w:shd w:val="clear" w:color="auto" w:fill="auto"/>
            <w:vAlign w:val="center"/>
          </w:tcPr>
          <w:p w14:paraId="50402F55" w14:textId="77777777" w:rsidR="002E474C" w:rsidRDefault="00000000">
            <w:pPr>
              <w:pStyle w:val="A-"/>
            </w:pPr>
            <w:r>
              <w:t>110</w:t>
            </w:r>
          </w:p>
        </w:tc>
      </w:tr>
      <w:tr w:rsidR="002E474C" w14:paraId="1CC3774E" w14:textId="77777777">
        <w:tc>
          <w:tcPr>
            <w:tcW w:w="563" w:type="pct"/>
            <w:vMerge w:val="restart"/>
            <w:shd w:val="clear" w:color="auto" w:fill="auto"/>
            <w:vAlign w:val="center"/>
          </w:tcPr>
          <w:p w14:paraId="3975FF7C" w14:textId="77777777" w:rsidR="002E474C" w:rsidRDefault="00000000">
            <w:pPr>
              <w:pStyle w:val="A-"/>
            </w:pPr>
            <w:r>
              <w:t>B</w:t>
            </w:r>
          </w:p>
        </w:tc>
        <w:tc>
          <w:tcPr>
            <w:tcW w:w="1524" w:type="pct"/>
            <w:shd w:val="clear" w:color="auto" w:fill="auto"/>
            <w:vAlign w:val="center"/>
          </w:tcPr>
          <w:p w14:paraId="7ED714CE" w14:textId="77777777" w:rsidR="002E474C" w:rsidRDefault="00000000">
            <w:pPr>
              <w:pStyle w:val="A-"/>
            </w:pPr>
            <w:r>
              <w:t>＜</w:t>
            </w:r>
            <w:r>
              <w:t>2</w:t>
            </w:r>
          </w:p>
        </w:tc>
        <w:tc>
          <w:tcPr>
            <w:tcW w:w="963" w:type="pct"/>
            <w:gridSpan w:val="3"/>
            <w:shd w:val="clear" w:color="auto" w:fill="auto"/>
            <w:vAlign w:val="center"/>
          </w:tcPr>
          <w:p w14:paraId="1C461E18" w14:textId="77777777" w:rsidR="002E474C" w:rsidRDefault="00000000">
            <w:pPr>
              <w:pStyle w:val="A-"/>
            </w:pPr>
            <w:r>
              <w:t>0.01</w:t>
            </w:r>
          </w:p>
        </w:tc>
        <w:tc>
          <w:tcPr>
            <w:tcW w:w="990" w:type="pct"/>
            <w:gridSpan w:val="3"/>
            <w:shd w:val="clear" w:color="auto" w:fill="auto"/>
            <w:vAlign w:val="center"/>
          </w:tcPr>
          <w:p w14:paraId="48FD50EA" w14:textId="77777777" w:rsidR="002E474C" w:rsidRDefault="00000000">
            <w:pPr>
              <w:pStyle w:val="A-"/>
            </w:pPr>
            <w:r>
              <w:t>0.015</w:t>
            </w:r>
          </w:p>
        </w:tc>
        <w:tc>
          <w:tcPr>
            <w:tcW w:w="960" w:type="pct"/>
            <w:gridSpan w:val="3"/>
            <w:shd w:val="clear" w:color="auto" w:fill="auto"/>
            <w:vAlign w:val="center"/>
          </w:tcPr>
          <w:p w14:paraId="391604D0" w14:textId="77777777" w:rsidR="002E474C" w:rsidRDefault="00000000">
            <w:pPr>
              <w:pStyle w:val="A-"/>
            </w:pPr>
            <w:r>
              <w:t>0.015</w:t>
            </w:r>
          </w:p>
        </w:tc>
      </w:tr>
      <w:tr w:rsidR="002E474C" w14:paraId="7DCB8EFA" w14:textId="77777777">
        <w:tc>
          <w:tcPr>
            <w:tcW w:w="563" w:type="pct"/>
            <w:vMerge/>
            <w:shd w:val="clear" w:color="auto" w:fill="auto"/>
            <w:vAlign w:val="center"/>
          </w:tcPr>
          <w:p w14:paraId="11C4B9B7" w14:textId="77777777" w:rsidR="002E474C" w:rsidRDefault="002E474C">
            <w:pPr>
              <w:pStyle w:val="A-"/>
            </w:pPr>
          </w:p>
        </w:tc>
        <w:tc>
          <w:tcPr>
            <w:tcW w:w="1524" w:type="pct"/>
            <w:shd w:val="clear" w:color="auto" w:fill="auto"/>
            <w:vAlign w:val="center"/>
          </w:tcPr>
          <w:p w14:paraId="431554CE" w14:textId="77777777" w:rsidR="002E474C" w:rsidRDefault="00000000">
            <w:pPr>
              <w:pStyle w:val="A-"/>
            </w:pPr>
            <w:r>
              <w:t>＞</w:t>
            </w:r>
            <w:r>
              <w:t>2</w:t>
            </w:r>
          </w:p>
        </w:tc>
        <w:tc>
          <w:tcPr>
            <w:tcW w:w="963" w:type="pct"/>
            <w:gridSpan w:val="3"/>
            <w:shd w:val="clear" w:color="auto" w:fill="auto"/>
            <w:vAlign w:val="center"/>
          </w:tcPr>
          <w:p w14:paraId="24634CF0" w14:textId="77777777" w:rsidR="002E474C" w:rsidRDefault="00000000">
            <w:pPr>
              <w:pStyle w:val="A-"/>
            </w:pPr>
            <w:r>
              <w:t>0.021</w:t>
            </w:r>
          </w:p>
        </w:tc>
        <w:tc>
          <w:tcPr>
            <w:tcW w:w="990" w:type="pct"/>
            <w:gridSpan w:val="3"/>
            <w:shd w:val="clear" w:color="auto" w:fill="auto"/>
            <w:vAlign w:val="center"/>
          </w:tcPr>
          <w:p w14:paraId="108B4E76" w14:textId="77777777" w:rsidR="002E474C" w:rsidRDefault="00000000">
            <w:pPr>
              <w:pStyle w:val="A-"/>
            </w:pPr>
            <w:r>
              <w:t>0.036</w:t>
            </w:r>
          </w:p>
        </w:tc>
        <w:tc>
          <w:tcPr>
            <w:tcW w:w="960" w:type="pct"/>
            <w:gridSpan w:val="3"/>
            <w:shd w:val="clear" w:color="auto" w:fill="auto"/>
            <w:vAlign w:val="center"/>
          </w:tcPr>
          <w:p w14:paraId="4B4DABFB" w14:textId="77777777" w:rsidR="002E474C" w:rsidRDefault="00000000">
            <w:pPr>
              <w:pStyle w:val="A-"/>
            </w:pPr>
            <w:r>
              <w:t>0.036</w:t>
            </w:r>
          </w:p>
        </w:tc>
      </w:tr>
      <w:tr w:rsidR="002E474C" w14:paraId="42A5D418" w14:textId="77777777">
        <w:tc>
          <w:tcPr>
            <w:tcW w:w="563" w:type="pct"/>
            <w:vMerge w:val="restart"/>
            <w:shd w:val="clear" w:color="auto" w:fill="auto"/>
            <w:vAlign w:val="center"/>
          </w:tcPr>
          <w:p w14:paraId="05390203" w14:textId="77777777" w:rsidR="002E474C" w:rsidRDefault="00000000">
            <w:pPr>
              <w:pStyle w:val="A-"/>
            </w:pPr>
            <w:r>
              <w:t>C</w:t>
            </w:r>
          </w:p>
        </w:tc>
        <w:tc>
          <w:tcPr>
            <w:tcW w:w="1524" w:type="pct"/>
            <w:shd w:val="clear" w:color="auto" w:fill="auto"/>
            <w:vAlign w:val="center"/>
          </w:tcPr>
          <w:p w14:paraId="770EE3DC" w14:textId="77777777" w:rsidR="002E474C" w:rsidRDefault="00000000">
            <w:pPr>
              <w:pStyle w:val="A-"/>
            </w:pPr>
            <w:r>
              <w:t>＜</w:t>
            </w:r>
            <w:r>
              <w:t>2</w:t>
            </w:r>
          </w:p>
        </w:tc>
        <w:tc>
          <w:tcPr>
            <w:tcW w:w="963" w:type="pct"/>
            <w:gridSpan w:val="3"/>
            <w:shd w:val="clear" w:color="auto" w:fill="auto"/>
            <w:vAlign w:val="center"/>
          </w:tcPr>
          <w:p w14:paraId="114866A9" w14:textId="77777777" w:rsidR="002E474C" w:rsidRDefault="00000000">
            <w:pPr>
              <w:pStyle w:val="A-"/>
            </w:pPr>
            <w:r>
              <w:t>1.85</w:t>
            </w:r>
          </w:p>
        </w:tc>
        <w:tc>
          <w:tcPr>
            <w:tcW w:w="990" w:type="pct"/>
            <w:gridSpan w:val="3"/>
            <w:shd w:val="clear" w:color="auto" w:fill="auto"/>
            <w:vAlign w:val="center"/>
          </w:tcPr>
          <w:p w14:paraId="21971F10" w14:textId="77777777" w:rsidR="002E474C" w:rsidRDefault="00000000">
            <w:pPr>
              <w:pStyle w:val="A-"/>
            </w:pPr>
            <w:r>
              <w:t>1.79</w:t>
            </w:r>
          </w:p>
        </w:tc>
        <w:tc>
          <w:tcPr>
            <w:tcW w:w="960" w:type="pct"/>
            <w:gridSpan w:val="3"/>
            <w:shd w:val="clear" w:color="auto" w:fill="auto"/>
            <w:vAlign w:val="center"/>
          </w:tcPr>
          <w:p w14:paraId="3D8F6F19" w14:textId="77777777" w:rsidR="002E474C" w:rsidRDefault="00000000">
            <w:pPr>
              <w:pStyle w:val="A-"/>
            </w:pPr>
            <w:r>
              <w:t>1.79</w:t>
            </w:r>
          </w:p>
        </w:tc>
      </w:tr>
      <w:tr w:rsidR="002E474C" w14:paraId="3ED87161" w14:textId="77777777">
        <w:tc>
          <w:tcPr>
            <w:tcW w:w="563" w:type="pct"/>
            <w:vMerge/>
            <w:shd w:val="clear" w:color="auto" w:fill="auto"/>
            <w:vAlign w:val="center"/>
          </w:tcPr>
          <w:p w14:paraId="6EC67788" w14:textId="77777777" w:rsidR="002E474C" w:rsidRDefault="002E474C">
            <w:pPr>
              <w:pStyle w:val="A-"/>
            </w:pPr>
          </w:p>
        </w:tc>
        <w:tc>
          <w:tcPr>
            <w:tcW w:w="1524" w:type="pct"/>
            <w:shd w:val="clear" w:color="auto" w:fill="auto"/>
            <w:vAlign w:val="center"/>
          </w:tcPr>
          <w:p w14:paraId="4EE47BF0" w14:textId="77777777" w:rsidR="002E474C" w:rsidRDefault="00000000">
            <w:pPr>
              <w:pStyle w:val="A-"/>
            </w:pPr>
            <w:r>
              <w:t>＞</w:t>
            </w:r>
            <w:r>
              <w:t>2</w:t>
            </w:r>
          </w:p>
        </w:tc>
        <w:tc>
          <w:tcPr>
            <w:tcW w:w="963" w:type="pct"/>
            <w:gridSpan w:val="3"/>
            <w:shd w:val="clear" w:color="auto" w:fill="auto"/>
            <w:vAlign w:val="center"/>
          </w:tcPr>
          <w:p w14:paraId="2E7396CE" w14:textId="77777777" w:rsidR="002E474C" w:rsidRDefault="00000000">
            <w:pPr>
              <w:pStyle w:val="A-"/>
            </w:pPr>
            <w:r>
              <w:t>1.85</w:t>
            </w:r>
          </w:p>
        </w:tc>
        <w:tc>
          <w:tcPr>
            <w:tcW w:w="990" w:type="pct"/>
            <w:gridSpan w:val="3"/>
            <w:shd w:val="clear" w:color="auto" w:fill="auto"/>
            <w:vAlign w:val="center"/>
          </w:tcPr>
          <w:p w14:paraId="236D36E7" w14:textId="77777777" w:rsidR="002E474C" w:rsidRDefault="00000000">
            <w:pPr>
              <w:pStyle w:val="A-"/>
            </w:pPr>
            <w:r>
              <w:t>1.77</w:t>
            </w:r>
          </w:p>
        </w:tc>
        <w:tc>
          <w:tcPr>
            <w:tcW w:w="960" w:type="pct"/>
            <w:gridSpan w:val="3"/>
            <w:shd w:val="clear" w:color="auto" w:fill="auto"/>
            <w:vAlign w:val="center"/>
          </w:tcPr>
          <w:p w14:paraId="2FDFFC22" w14:textId="77777777" w:rsidR="002E474C" w:rsidRDefault="00000000">
            <w:pPr>
              <w:pStyle w:val="A-"/>
            </w:pPr>
            <w:r>
              <w:t>1.77</w:t>
            </w:r>
          </w:p>
        </w:tc>
      </w:tr>
      <w:tr w:rsidR="002E474C" w14:paraId="085E3A83" w14:textId="77777777">
        <w:tc>
          <w:tcPr>
            <w:tcW w:w="563" w:type="pct"/>
            <w:vMerge w:val="restart"/>
            <w:shd w:val="clear" w:color="auto" w:fill="auto"/>
            <w:vAlign w:val="center"/>
          </w:tcPr>
          <w:p w14:paraId="10826597" w14:textId="77777777" w:rsidR="002E474C" w:rsidRDefault="00000000">
            <w:pPr>
              <w:pStyle w:val="A-"/>
            </w:pPr>
            <w:r>
              <w:lastRenderedPageBreak/>
              <w:t>D</w:t>
            </w:r>
          </w:p>
        </w:tc>
        <w:tc>
          <w:tcPr>
            <w:tcW w:w="1524" w:type="pct"/>
            <w:shd w:val="clear" w:color="auto" w:fill="auto"/>
            <w:vAlign w:val="center"/>
          </w:tcPr>
          <w:p w14:paraId="7580130A" w14:textId="77777777" w:rsidR="002E474C" w:rsidRDefault="00000000">
            <w:pPr>
              <w:pStyle w:val="A-"/>
            </w:pPr>
            <w:r>
              <w:t>＜</w:t>
            </w:r>
            <w:r>
              <w:t>2</w:t>
            </w:r>
          </w:p>
        </w:tc>
        <w:tc>
          <w:tcPr>
            <w:tcW w:w="963" w:type="pct"/>
            <w:gridSpan w:val="3"/>
            <w:shd w:val="clear" w:color="auto" w:fill="auto"/>
            <w:vAlign w:val="center"/>
          </w:tcPr>
          <w:p w14:paraId="4D6767E2" w14:textId="77777777" w:rsidR="002E474C" w:rsidRDefault="00000000">
            <w:pPr>
              <w:pStyle w:val="A-"/>
            </w:pPr>
            <w:r>
              <w:t>0.78</w:t>
            </w:r>
          </w:p>
        </w:tc>
        <w:tc>
          <w:tcPr>
            <w:tcW w:w="990" w:type="pct"/>
            <w:gridSpan w:val="3"/>
            <w:shd w:val="clear" w:color="auto" w:fill="auto"/>
            <w:vAlign w:val="center"/>
          </w:tcPr>
          <w:p w14:paraId="13092FAE" w14:textId="77777777" w:rsidR="002E474C" w:rsidRDefault="00000000">
            <w:pPr>
              <w:pStyle w:val="A-"/>
            </w:pPr>
            <w:r>
              <w:t>0.78</w:t>
            </w:r>
          </w:p>
        </w:tc>
        <w:tc>
          <w:tcPr>
            <w:tcW w:w="960" w:type="pct"/>
            <w:gridSpan w:val="3"/>
            <w:shd w:val="clear" w:color="auto" w:fill="auto"/>
            <w:vAlign w:val="center"/>
          </w:tcPr>
          <w:p w14:paraId="6276F33C" w14:textId="77777777" w:rsidR="002E474C" w:rsidRDefault="00000000">
            <w:pPr>
              <w:pStyle w:val="A-"/>
            </w:pPr>
            <w:r>
              <w:t>0.57</w:t>
            </w:r>
          </w:p>
        </w:tc>
      </w:tr>
      <w:tr w:rsidR="002E474C" w14:paraId="1EBEAFA0" w14:textId="77777777">
        <w:tc>
          <w:tcPr>
            <w:tcW w:w="563" w:type="pct"/>
            <w:vMerge/>
            <w:shd w:val="clear" w:color="auto" w:fill="auto"/>
            <w:vAlign w:val="center"/>
          </w:tcPr>
          <w:p w14:paraId="21F774C8" w14:textId="77777777" w:rsidR="002E474C" w:rsidRDefault="002E474C">
            <w:pPr>
              <w:pStyle w:val="A-"/>
            </w:pPr>
          </w:p>
        </w:tc>
        <w:tc>
          <w:tcPr>
            <w:tcW w:w="1524" w:type="pct"/>
            <w:shd w:val="clear" w:color="auto" w:fill="auto"/>
            <w:vAlign w:val="center"/>
          </w:tcPr>
          <w:p w14:paraId="2D47D12F" w14:textId="77777777" w:rsidR="002E474C" w:rsidRDefault="00000000">
            <w:pPr>
              <w:pStyle w:val="A-"/>
            </w:pPr>
            <w:r>
              <w:t>＞</w:t>
            </w:r>
            <w:r>
              <w:t>2</w:t>
            </w:r>
          </w:p>
        </w:tc>
        <w:tc>
          <w:tcPr>
            <w:tcW w:w="963" w:type="pct"/>
            <w:gridSpan w:val="3"/>
            <w:shd w:val="clear" w:color="auto" w:fill="auto"/>
            <w:vAlign w:val="center"/>
          </w:tcPr>
          <w:p w14:paraId="3730B837" w14:textId="77777777" w:rsidR="002E474C" w:rsidRDefault="00000000">
            <w:pPr>
              <w:pStyle w:val="A-"/>
            </w:pPr>
            <w:r>
              <w:t>0.84</w:t>
            </w:r>
          </w:p>
        </w:tc>
        <w:tc>
          <w:tcPr>
            <w:tcW w:w="990" w:type="pct"/>
            <w:gridSpan w:val="3"/>
            <w:shd w:val="clear" w:color="auto" w:fill="auto"/>
            <w:vAlign w:val="center"/>
          </w:tcPr>
          <w:p w14:paraId="6317DC09" w14:textId="77777777" w:rsidR="002E474C" w:rsidRDefault="00000000">
            <w:pPr>
              <w:pStyle w:val="A-"/>
            </w:pPr>
            <w:r>
              <w:t>0.84</w:t>
            </w:r>
          </w:p>
        </w:tc>
        <w:tc>
          <w:tcPr>
            <w:tcW w:w="960" w:type="pct"/>
            <w:gridSpan w:val="3"/>
            <w:shd w:val="clear" w:color="auto" w:fill="auto"/>
            <w:vAlign w:val="center"/>
          </w:tcPr>
          <w:p w14:paraId="25613F1B" w14:textId="77777777" w:rsidR="002E474C" w:rsidRDefault="00000000">
            <w:pPr>
              <w:pStyle w:val="A-"/>
            </w:pPr>
            <w:r>
              <w:t>0.76</w:t>
            </w:r>
          </w:p>
        </w:tc>
      </w:tr>
      <w:tr w:rsidR="002E474C" w14:paraId="4EB7EAFA" w14:textId="77777777">
        <w:tc>
          <w:tcPr>
            <w:tcW w:w="5000" w:type="pct"/>
            <w:gridSpan w:val="11"/>
            <w:shd w:val="clear" w:color="auto" w:fill="auto"/>
            <w:vAlign w:val="center"/>
          </w:tcPr>
          <w:p w14:paraId="1464452D" w14:textId="77777777" w:rsidR="002E474C" w:rsidRDefault="00000000">
            <w:pPr>
              <w:pStyle w:val="A-"/>
              <w:jc w:val="left"/>
            </w:pPr>
            <w:r>
              <w:t>注：</w:t>
            </w:r>
            <w:r>
              <w:t>Ⅰ</w:t>
            </w:r>
            <w:r>
              <w:t>类：与无组织排放源共存的排放同种有害气体的排气筒的排放量，大于或等于标准规定的允许排放量的</w:t>
            </w:r>
            <w:r>
              <w:t>1/3</w:t>
            </w:r>
            <w:r>
              <w:t>者。</w:t>
            </w:r>
          </w:p>
          <w:p w14:paraId="65BE7DBA" w14:textId="77777777" w:rsidR="002E474C" w:rsidRDefault="00000000">
            <w:pPr>
              <w:pStyle w:val="A-"/>
              <w:jc w:val="left"/>
            </w:pPr>
            <w:r>
              <w:t>Ⅱ</w:t>
            </w:r>
            <w:r>
              <w:t>类：与无组织排放源共存的排放同种有害气体的排气筒的排放量，小于标准规定的允许排放量的</w:t>
            </w:r>
            <w:r>
              <w:t>1/3</w:t>
            </w:r>
            <w:r>
              <w:t>，或虽无排放同种大气污染物之排气筒共存，但无组织排放的有害物质的容许浓度指标是按急性反应指标确定者。</w:t>
            </w:r>
          </w:p>
          <w:p w14:paraId="57EA331E" w14:textId="77777777" w:rsidR="002E474C" w:rsidRDefault="00000000">
            <w:pPr>
              <w:pStyle w:val="A-"/>
              <w:jc w:val="left"/>
            </w:pPr>
            <w:r>
              <w:t>Ⅲ</w:t>
            </w:r>
            <w:r>
              <w:t>类：无排放同种有害物质的排气筒与无组织排放源共存，但无组织排放的有害物质的容许浓度是按慢性反应指标确定者。</w:t>
            </w:r>
          </w:p>
        </w:tc>
      </w:tr>
    </w:tbl>
    <w:p w14:paraId="00BE53F0" w14:textId="77777777" w:rsidR="002E474C" w:rsidRDefault="00000000">
      <w:pPr>
        <w:pStyle w:val="A-z"/>
        <w:spacing w:beforeLines="50" w:before="120"/>
        <w:rPr>
          <w:color w:val="auto"/>
        </w:rPr>
      </w:pPr>
      <w:r>
        <w:rPr>
          <w:color w:val="auto"/>
        </w:rPr>
        <w:t>通过卫生防护距离计算工具软件计算结果见表</w:t>
      </w:r>
      <w:r>
        <w:rPr>
          <w:color w:val="auto"/>
        </w:rPr>
        <w:t>5.1</w:t>
      </w:r>
      <w:r>
        <w:rPr>
          <w:color w:val="auto"/>
        </w:rPr>
        <w:noBreakHyphen/>
        <w:t>38</w:t>
      </w:r>
      <w:r>
        <w:rPr>
          <w:color w:val="auto"/>
        </w:rPr>
        <w:t>。</w:t>
      </w:r>
    </w:p>
    <w:p w14:paraId="20A6CCDF" w14:textId="77777777" w:rsidR="002E474C" w:rsidRDefault="00000000">
      <w:pPr>
        <w:pStyle w:val="A--"/>
        <w:rPr>
          <w:color w:val="auto"/>
        </w:rPr>
      </w:pPr>
      <w:bookmarkStart w:id="281" w:name="_Ref151133537"/>
      <w:r>
        <w:rPr>
          <w:color w:val="auto"/>
        </w:rPr>
        <w:t>表</w:t>
      </w:r>
      <w:r>
        <w:rPr>
          <w:color w:val="auto"/>
        </w:rPr>
        <w:t>5.1</w:t>
      </w:r>
      <w:r>
        <w:rPr>
          <w:color w:val="auto"/>
        </w:rPr>
        <w:noBreakHyphen/>
        <w:t>3</w:t>
      </w:r>
      <w:bookmarkEnd w:id="281"/>
      <w:r>
        <w:rPr>
          <w:color w:val="auto"/>
        </w:rPr>
        <w:t xml:space="preserve">8  </w:t>
      </w:r>
      <w:r>
        <w:rPr>
          <w:color w:val="auto"/>
        </w:rPr>
        <w:t>卫生防护距离计算结果</w:t>
      </w:r>
    </w:p>
    <w:tbl>
      <w:tblPr>
        <w:tblW w:w="5000" w:type="pct"/>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428"/>
        <w:gridCol w:w="1037"/>
        <w:gridCol w:w="1122"/>
        <w:gridCol w:w="1197"/>
        <w:gridCol w:w="1059"/>
        <w:gridCol w:w="974"/>
      </w:tblGrid>
      <w:tr w:rsidR="002E474C" w14:paraId="505B1608" w14:textId="77777777">
        <w:trPr>
          <w:trHeight w:val="480"/>
          <w:jc w:val="center"/>
        </w:trPr>
        <w:tc>
          <w:tcPr>
            <w:tcW w:w="895" w:type="pct"/>
            <w:vAlign w:val="center"/>
          </w:tcPr>
          <w:p w14:paraId="3A0E40B5" w14:textId="77777777" w:rsidR="002E474C" w:rsidRDefault="00000000">
            <w:pPr>
              <w:pStyle w:val="A-"/>
            </w:pPr>
            <w:r>
              <w:t>污染源位置</w:t>
            </w:r>
          </w:p>
        </w:tc>
        <w:tc>
          <w:tcPr>
            <w:tcW w:w="864" w:type="pct"/>
            <w:vAlign w:val="center"/>
          </w:tcPr>
          <w:p w14:paraId="4FD53FD9" w14:textId="77777777" w:rsidR="002E474C" w:rsidRDefault="00000000">
            <w:pPr>
              <w:pStyle w:val="A-"/>
            </w:pPr>
            <w:r>
              <w:t>污染物</w:t>
            </w:r>
          </w:p>
        </w:tc>
        <w:tc>
          <w:tcPr>
            <w:tcW w:w="628" w:type="pct"/>
            <w:vAlign w:val="center"/>
          </w:tcPr>
          <w:p w14:paraId="42FF5321" w14:textId="77777777" w:rsidR="002E474C" w:rsidRDefault="00000000">
            <w:pPr>
              <w:pStyle w:val="A-"/>
            </w:pPr>
            <w:r>
              <w:t>排放源强（</w:t>
            </w:r>
            <w:r>
              <w:t>kg/h</w:t>
            </w:r>
            <w:r>
              <w:t>）</w:t>
            </w:r>
          </w:p>
        </w:tc>
        <w:tc>
          <w:tcPr>
            <w:tcW w:w="679" w:type="pct"/>
            <w:vAlign w:val="center"/>
          </w:tcPr>
          <w:p w14:paraId="5824F706" w14:textId="77777777" w:rsidR="002E474C" w:rsidRDefault="00000000">
            <w:pPr>
              <w:pStyle w:val="A-"/>
            </w:pPr>
            <w:r>
              <w:t>排放面积（</w:t>
            </w:r>
            <w:r>
              <w:t>m</w:t>
            </w:r>
            <w:r>
              <w:rPr>
                <w:vertAlign w:val="superscript"/>
              </w:rPr>
              <w:t>2</w:t>
            </w:r>
            <w:r>
              <w:t>）</w:t>
            </w:r>
          </w:p>
        </w:tc>
        <w:tc>
          <w:tcPr>
            <w:tcW w:w="702" w:type="pct"/>
            <w:vAlign w:val="center"/>
          </w:tcPr>
          <w:p w14:paraId="1D257973" w14:textId="77777777" w:rsidR="002E474C" w:rsidRDefault="00000000">
            <w:pPr>
              <w:pStyle w:val="A-"/>
            </w:pPr>
            <w:r>
              <w:t>标准值</w:t>
            </w:r>
          </w:p>
          <w:p w14:paraId="41B0E334" w14:textId="77777777" w:rsidR="002E474C" w:rsidRDefault="00000000">
            <w:pPr>
              <w:pStyle w:val="A-"/>
            </w:pPr>
            <w:r>
              <w:t>（</w:t>
            </w:r>
            <w:r>
              <w:t>mg/m</w:t>
            </w:r>
            <w:r>
              <w:rPr>
                <w:vertAlign w:val="superscript"/>
              </w:rPr>
              <w:t>3</w:t>
            </w:r>
            <w:r>
              <w:t>）</w:t>
            </w:r>
          </w:p>
        </w:tc>
        <w:tc>
          <w:tcPr>
            <w:tcW w:w="641" w:type="pct"/>
            <w:vAlign w:val="center"/>
          </w:tcPr>
          <w:p w14:paraId="3A092519" w14:textId="77777777" w:rsidR="002E474C" w:rsidRDefault="00000000">
            <w:pPr>
              <w:pStyle w:val="A-"/>
            </w:pPr>
            <w:r>
              <w:t>计算初值（</w:t>
            </w:r>
            <w:r>
              <w:t>m</w:t>
            </w:r>
            <w:r>
              <w:t>）</w:t>
            </w:r>
          </w:p>
        </w:tc>
        <w:tc>
          <w:tcPr>
            <w:tcW w:w="590" w:type="pct"/>
            <w:vAlign w:val="center"/>
          </w:tcPr>
          <w:p w14:paraId="0BE0F671" w14:textId="77777777" w:rsidR="002E474C" w:rsidRDefault="00000000">
            <w:pPr>
              <w:pStyle w:val="A-"/>
            </w:pPr>
            <w:r>
              <w:t>终值（</w:t>
            </w:r>
            <w:r>
              <w:t>m</w:t>
            </w:r>
            <w:r>
              <w:t>）</w:t>
            </w:r>
          </w:p>
        </w:tc>
      </w:tr>
      <w:tr w:rsidR="002E474C" w14:paraId="1E6541B6" w14:textId="77777777">
        <w:trPr>
          <w:trHeight w:val="256"/>
          <w:jc w:val="center"/>
        </w:trPr>
        <w:tc>
          <w:tcPr>
            <w:tcW w:w="895" w:type="pct"/>
            <w:vMerge w:val="restart"/>
            <w:vAlign w:val="center"/>
          </w:tcPr>
          <w:p w14:paraId="51690799" w14:textId="77777777" w:rsidR="002E474C" w:rsidRDefault="00000000">
            <w:pPr>
              <w:pStyle w:val="A-"/>
            </w:pPr>
            <w:r>
              <w:t>危废贮存库</w:t>
            </w:r>
          </w:p>
        </w:tc>
        <w:tc>
          <w:tcPr>
            <w:tcW w:w="864" w:type="pct"/>
            <w:vAlign w:val="center"/>
          </w:tcPr>
          <w:p w14:paraId="4555587E" w14:textId="77777777" w:rsidR="002E474C" w:rsidRDefault="00000000">
            <w:pPr>
              <w:pStyle w:val="A-"/>
            </w:pPr>
            <w:r>
              <w:t>NH</w:t>
            </w:r>
            <w:r>
              <w:rPr>
                <w:vertAlign w:val="subscript"/>
              </w:rPr>
              <w:t>3</w:t>
            </w:r>
          </w:p>
        </w:tc>
        <w:tc>
          <w:tcPr>
            <w:tcW w:w="628" w:type="pct"/>
            <w:vAlign w:val="center"/>
          </w:tcPr>
          <w:p w14:paraId="7630A06E" w14:textId="77777777" w:rsidR="002E474C" w:rsidRDefault="00000000">
            <w:pPr>
              <w:pStyle w:val="A-"/>
            </w:pPr>
            <w:r>
              <w:t>0.000968</w:t>
            </w:r>
          </w:p>
        </w:tc>
        <w:tc>
          <w:tcPr>
            <w:tcW w:w="679" w:type="pct"/>
            <w:vMerge w:val="restart"/>
            <w:vAlign w:val="center"/>
          </w:tcPr>
          <w:p w14:paraId="428780D1" w14:textId="77777777" w:rsidR="002E474C" w:rsidRDefault="00000000">
            <w:pPr>
              <w:pStyle w:val="A-"/>
            </w:pPr>
            <w:r>
              <w:t>210</w:t>
            </w:r>
          </w:p>
        </w:tc>
        <w:tc>
          <w:tcPr>
            <w:tcW w:w="702" w:type="pct"/>
            <w:vAlign w:val="center"/>
          </w:tcPr>
          <w:p w14:paraId="63659848" w14:textId="77777777" w:rsidR="002E474C" w:rsidRDefault="00000000">
            <w:pPr>
              <w:pStyle w:val="A-"/>
            </w:pPr>
            <w:r>
              <w:t>0.2</w:t>
            </w:r>
          </w:p>
        </w:tc>
        <w:tc>
          <w:tcPr>
            <w:tcW w:w="641" w:type="pct"/>
            <w:vAlign w:val="center"/>
          </w:tcPr>
          <w:p w14:paraId="4B8FF180" w14:textId="77777777" w:rsidR="002E474C" w:rsidRDefault="00000000">
            <w:pPr>
              <w:pStyle w:val="A-"/>
            </w:pPr>
            <w:r>
              <w:t>0</w:t>
            </w:r>
          </w:p>
        </w:tc>
        <w:tc>
          <w:tcPr>
            <w:tcW w:w="590" w:type="pct"/>
            <w:vAlign w:val="center"/>
          </w:tcPr>
          <w:p w14:paraId="6C309231" w14:textId="77777777" w:rsidR="002E474C" w:rsidRDefault="00000000">
            <w:pPr>
              <w:pStyle w:val="A-"/>
            </w:pPr>
            <w:r>
              <w:t>50</w:t>
            </w:r>
          </w:p>
        </w:tc>
      </w:tr>
      <w:tr w:rsidR="002E474C" w14:paraId="31B9A5F4" w14:textId="77777777">
        <w:trPr>
          <w:trHeight w:val="256"/>
          <w:jc w:val="center"/>
        </w:trPr>
        <w:tc>
          <w:tcPr>
            <w:tcW w:w="895" w:type="pct"/>
            <w:vMerge/>
            <w:vAlign w:val="center"/>
          </w:tcPr>
          <w:p w14:paraId="2D96A9C7" w14:textId="77777777" w:rsidR="002E474C" w:rsidRDefault="002E474C">
            <w:pPr>
              <w:pStyle w:val="A-"/>
            </w:pPr>
          </w:p>
        </w:tc>
        <w:tc>
          <w:tcPr>
            <w:tcW w:w="864" w:type="pct"/>
            <w:vAlign w:val="center"/>
          </w:tcPr>
          <w:p w14:paraId="07FBF5C9" w14:textId="77777777" w:rsidR="002E474C" w:rsidRDefault="00000000">
            <w:pPr>
              <w:pStyle w:val="A-"/>
            </w:pPr>
            <w:r>
              <w:t>H</w:t>
            </w:r>
            <w:r>
              <w:rPr>
                <w:vertAlign w:val="subscript"/>
              </w:rPr>
              <w:t>2</w:t>
            </w:r>
            <w:r>
              <w:t>S</w:t>
            </w:r>
          </w:p>
        </w:tc>
        <w:tc>
          <w:tcPr>
            <w:tcW w:w="628" w:type="pct"/>
            <w:vAlign w:val="center"/>
          </w:tcPr>
          <w:p w14:paraId="6810E63A" w14:textId="77777777" w:rsidR="002E474C" w:rsidRDefault="00000000">
            <w:pPr>
              <w:pStyle w:val="A-"/>
            </w:pPr>
            <w:r>
              <w:t>0.000079</w:t>
            </w:r>
          </w:p>
        </w:tc>
        <w:tc>
          <w:tcPr>
            <w:tcW w:w="679" w:type="pct"/>
            <w:vMerge/>
            <w:vAlign w:val="center"/>
          </w:tcPr>
          <w:p w14:paraId="6B5D207A" w14:textId="77777777" w:rsidR="002E474C" w:rsidRDefault="002E474C">
            <w:pPr>
              <w:pStyle w:val="A-"/>
            </w:pPr>
          </w:p>
        </w:tc>
        <w:tc>
          <w:tcPr>
            <w:tcW w:w="702" w:type="pct"/>
            <w:vAlign w:val="center"/>
          </w:tcPr>
          <w:p w14:paraId="6EB3C740" w14:textId="77777777" w:rsidR="002E474C" w:rsidRDefault="00000000">
            <w:pPr>
              <w:pStyle w:val="A-"/>
            </w:pPr>
            <w:r>
              <w:t>0.01</w:t>
            </w:r>
          </w:p>
        </w:tc>
        <w:tc>
          <w:tcPr>
            <w:tcW w:w="641" w:type="pct"/>
            <w:vAlign w:val="center"/>
          </w:tcPr>
          <w:p w14:paraId="01EFE7DA" w14:textId="77777777" w:rsidR="002E474C" w:rsidRDefault="00000000">
            <w:pPr>
              <w:pStyle w:val="A-"/>
            </w:pPr>
            <w:r>
              <w:t>0</w:t>
            </w:r>
          </w:p>
        </w:tc>
        <w:tc>
          <w:tcPr>
            <w:tcW w:w="590" w:type="pct"/>
            <w:vAlign w:val="center"/>
          </w:tcPr>
          <w:p w14:paraId="6B9E4493" w14:textId="77777777" w:rsidR="002E474C" w:rsidRDefault="00000000">
            <w:pPr>
              <w:pStyle w:val="A-"/>
            </w:pPr>
            <w:r>
              <w:t>50</w:t>
            </w:r>
          </w:p>
        </w:tc>
      </w:tr>
      <w:tr w:rsidR="002E474C" w14:paraId="360429A6" w14:textId="77777777">
        <w:trPr>
          <w:trHeight w:val="291"/>
          <w:jc w:val="center"/>
        </w:trPr>
        <w:tc>
          <w:tcPr>
            <w:tcW w:w="895" w:type="pct"/>
            <w:vMerge/>
            <w:vAlign w:val="center"/>
          </w:tcPr>
          <w:p w14:paraId="3A20576F" w14:textId="77777777" w:rsidR="002E474C" w:rsidRDefault="002E474C">
            <w:pPr>
              <w:pStyle w:val="A-"/>
            </w:pPr>
          </w:p>
        </w:tc>
        <w:tc>
          <w:tcPr>
            <w:tcW w:w="864" w:type="pct"/>
            <w:vAlign w:val="center"/>
          </w:tcPr>
          <w:p w14:paraId="05C71658" w14:textId="77777777" w:rsidR="002E474C" w:rsidRDefault="00000000">
            <w:pPr>
              <w:pStyle w:val="A-"/>
            </w:pPr>
            <w:r>
              <w:t>非甲烷总烃</w:t>
            </w:r>
          </w:p>
        </w:tc>
        <w:tc>
          <w:tcPr>
            <w:tcW w:w="628" w:type="pct"/>
            <w:vAlign w:val="center"/>
          </w:tcPr>
          <w:p w14:paraId="41B0D95A" w14:textId="77777777" w:rsidR="002E474C" w:rsidRDefault="00000000">
            <w:pPr>
              <w:pStyle w:val="A-"/>
            </w:pPr>
            <w:r>
              <w:t>0.00105</w:t>
            </w:r>
          </w:p>
        </w:tc>
        <w:tc>
          <w:tcPr>
            <w:tcW w:w="679" w:type="pct"/>
            <w:vMerge/>
            <w:vAlign w:val="center"/>
          </w:tcPr>
          <w:p w14:paraId="388F320E" w14:textId="77777777" w:rsidR="002E474C" w:rsidRDefault="002E474C">
            <w:pPr>
              <w:pStyle w:val="A-"/>
            </w:pPr>
          </w:p>
        </w:tc>
        <w:tc>
          <w:tcPr>
            <w:tcW w:w="702" w:type="pct"/>
            <w:vAlign w:val="center"/>
          </w:tcPr>
          <w:p w14:paraId="68800D30" w14:textId="77777777" w:rsidR="002E474C" w:rsidRDefault="00000000">
            <w:pPr>
              <w:pStyle w:val="A-"/>
            </w:pPr>
            <w:r>
              <w:t>2</w:t>
            </w:r>
          </w:p>
        </w:tc>
        <w:tc>
          <w:tcPr>
            <w:tcW w:w="641" w:type="pct"/>
            <w:vAlign w:val="center"/>
          </w:tcPr>
          <w:p w14:paraId="1386DCEE" w14:textId="77777777" w:rsidR="002E474C" w:rsidRDefault="00000000">
            <w:pPr>
              <w:pStyle w:val="A-"/>
            </w:pPr>
            <w:r>
              <w:t>0</w:t>
            </w:r>
          </w:p>
        </w:tc>
        <w:tc>
          <w:tcPr>
            <w:tcW w:w="590" w:type="pct"/>
            <w:vAlign w:val="center"/>
          </w:tcPr>
          <w:p w14:paraId="37D65EEB" w14:textId="77777777" w:rsidR="002E474C" w:rsidRDefault="00000000">
            <w:pPr>
              <w:pStyle w:val="A-"/>
            </w:pPr>
            <w:r>
              <w:t>50</w:t>
            </w:r>
          </w:p>
        </w:tc>
      </w:tr>
      <w:tr w:rsidR="002E474C" w14:paraId="775E93FA" w14:textId="77777777">
        <w:trPr>
          <w:trHeight w:val="256"/>
          <w:jc w:val="center"/>
        </w:trPr>
        <w:tc>
          <w:tcPr>
            <w:tcW w:w="895" w:type="pct"/>
            <w:vMerge w:val="restart"/>
            <w:vAlign w:val="center"/>
          </w:tcPr>
          <w:p w14:paraId="58BE9BB2" w14:textId="77777777" w:rsidR="002E474C" w:rsidRDefault="00000000">
            <w:pPr>
              <w:pStyle w:val="A-"/>
            </w:pPr>
            <w:r>
              <w:t>固态危废预处理车间</w:t>
            </w:r>
          </w:p>
        </w:tc>
        <w:tc>
          <w:tcPr>
            <w:tcW w:w="864" w:type="pct"/>
            <w:vAlign w:val="center"/>
          </w:tcPr>
          <w:p w14:paraId="2367E610" w14:textId="77777777" w:rsidR="002E474C" w:rsidRDefault="00000000">
            <w:pPr>
              <w:pStyle w:val="A-"/>
            </w:pPr>
            <w:r>
              <w:t>NH</w:t>
            </w:r>
            <w:r>
              <w:rPr>
                <w:vertAlign w:val="subscript"/>
              </w:rPr>
              <w:t>3</w:t>
            </w:r>
          </w:p>
        </w:tc>
        <w:tc>
          <w:tcPr>
            <w:tcW w:w="628" w:type="pct"/>
            <w:vAlign w:val="center"/>
          </w:tcPr>
          <w:p w14:paraId="63F1CAF4" w14:textId="77777777" w:rsidR="002E474C" w:rsidRDefault="00000000">
            <w:pPr>
              <w:pStyle w:val="A-"/>
            </w:pPr>
            <w:r>
              <w:t>0.00484</w:t>
            </w:r>
          </w:p>
        </w:tc>
        <w:tc>
          <w:tcPr>
            <w:tcW w:w="679" w:type="pct"/>
            <w:vMerge w:val="restart"/>
            <w:vAlign w:val="center"/>
          </w:tcPr>
          <w:p w14:paraId="4E03D5FF" w14:textId="77777777" w:rsidR="002E474C" w:rsidRDefault="00000000">
            <w:pPr>
              <w:pStyle w:val="A-"/>
            </w:pPr>
            <w:r>
              <w:t>940</w:t>
            </w:r>
          </w:p>
        </w:tc>
        <w:tc>
          <w:tcPr>
            <w:tcW w:w="702" w:type="pct"/>
            <w:vAlign w:val="center"/>
          </w:tcPr>
          <w:p w14:paraId="04356BEF" w14:textId="77777777" w:rsidR="002E474C" w:rsidRDefault="00000000">
            <w:pPr>
              <w:pStyle w:val="A-"/>
            </w:pPr>
            <w:r>
              <w:t>0.2</w:t>
            </w:r>
          </w:p>
        </w:tc>
        <w:tc>
          <w:tcPr>
            <w:tcW w:w="641" w:type="pct"/>
            <w:vAlign w:val="center"/>
          </w:tcPr>
          <w:p w14:paraId="107A7091" w14:textId="77777777" w:rsidR="002E474C" w:rsidRDefault="00000000">
            <w:pPr>
              <w:pStyle w:val="A-"/>
            </w:pPr>
            <w:r>
              <w:t>0</w:t>
            </w:r>
          </w:p>
        </w:tc>
        <w:tc>
          <w:tcPr>
            <w:tcW w:w="590" w:type="pct"/>
            <w:vAlign w:val="center"/>
          </w:tcPr>
          <w:p w14:paraId="443D1BC1" w14:textId="77777777" w:rsidR="002E474C" w:rsidRDefault="00000000">
            <w:pPr>
              <w:pStyle w:val="A-"/>
            </w:pPr>
            <w:r>
              <w:t>50</w:t>
            </w:r>
          </w:p>
        </w:tc>
      </w:tr>
      <w:tr w:rsidR="002E474C" w14:paraId="5447ACF1" w14:textId="77777777">
        <w:trPr>
          <w:trHeight w:val="264"/>
          <w:jc w:val="center"/>
        </w:trPr>
        <w:tc>
          <w:tcPr>
            <w:tcW w:w="895" w:type="pct"/>
            <w:vMerge/>
            <w:vAlign w:val="center"/>
          </w:tcPr>
          <w:p w14:paraId="025FC7FF" w14:textId="77777777" w:rsidR="002E474C" w:rsidRDefault="002E474C">
            <w:pPr>
              <w:pStyle w:val="A-"/>
            </w:pPr>
          </w:p>
        </w:tc>
        <w:tc>
          <w:tcPr>
            <w:tcW w:w="864" w:type="pct"/>
            <w:vAlign w:val="center"/>
          </w:tcPr>
          <w:p w14:paraId="2F8843F3" w14:textId="77777777" w:rsidR="002E474C" w:rsidRDefault="00000000">
            <w:pPr>
              <w:pStyle w:val="A-"/>
            </w:pPr>
            <w:r>
              <w:t>H</w:t>
            </w:r>
            <w:r>
              <w:rPr>
                <w:vertAlign w:val="subscript"/>
              </w:rPr>
              <w:t>2</w:t>
            </w:r>
            <w:r>
              <w:t>S</w:t>
            </w:r>
          </w:p>
        </w:tc>
        <w:tc>
          <w:tcPr>
            <w:tcW w:w="628" w:type="pct"/>
            <w:vAlign w:val="center"/>
          </w:tcPr>
          <w:p w14:paraId="19A3919B" w14:textId="77777777" w:rsidR="002E474C" w:rsidRDefault="00000000">
            <w:pPr>
              <w:pStyle w:val="A-"/>
            </w:pPr>
            <w:r>
              <w:t>0.000395</w:t>
            </w:r>
          </w:p>
        </w:tc>
        <w:tc>
          <w:tcPr>
            <w:tcW w:w="679" w:type="pct"/>
            <w:vMerge/>
            <w:vAlign w:val="center"/>
          </w:tcPr>
          <w:p w14:paraId="3315A700" w14:textId="77777777" w:rsidR="002E474C" w:rsidRDefault="002E474C">
            <w:pPr>
              <w:pStyle w:val="A-"/>
            </w:pPr>
          </w:p>
        </w:tc>
        <w:tc>
          <w:tcPr>
            <w:tcW w:w="702" w:type="pct"/>
            <w:vAlign w:val="center"/>
          </w:tcPr>
          <w:p w14:paraId="60B46D9C" w14:textId="77777777" w:rsidR="002E474C" w:rsidRDefault="00000000">
            <w:pPr>
              <w:pStyle w:val="A-"/>
            </w:pPr>
            <w:r>
              <w:t>0.01</w:t>
            </w:r>
          </w:p>
        </w:tc>
        <w:tc>
          <w:tcPr>
            <w:tcW w:w="641" w:type="pct"/>
            <w:vAlign w:val="center"/>
          </w:tcPr>
          <w:p w14:paraId="04DDE5DF" w14:textId="77777777" w:rsidR="002E474C" w:rsidRDefault="00000000">
            <w:pPr>
              <w:pStyle w:val="A-"/>
            </w:pPr>
            <w:r>
              <w:t>0</w:t>
            </w:r>
          </w:p>
        </w:tc>
        <w:tc>
          <w:tcPr>
            <w:tcW w:w="590" w:type="pct"/>
            <w:vAlign w:val="center"/>
          </w:tcPr>
          <w:p w14:paraId="4FC85A94" w14:textId="77777777" w:rsidR="002E474C" w:rsidRDefault="00000000">
            <w:pPr>
              <w:pStyle w:val="A-"/>
            </w:pPr>
            <w:r>
              <w:t>50</w:t>
            </w:r>
          </w:p>
        </w:tc>
      </w:tr>
      <w:tr w:rsidR="002E474C" w14:paraId="1896FCF7" w14:textId="77777777">
        <w:trPr>
          <w:trHeight w:val="352"/>
          <w:jc w:val="center"/>
        </w:trPr>
        <w:tc>
          <w:tcPr>
            <w:tcW w:w="895" w:type="pct"/>
            <w:vMerge/>
            <w:vAlign w:val="center"/>
          </w:tcPr>
          <w:p w14:paraId="5CC276D6" w14:textId="77777777" w:rsidR="002E474C" w:rsidRDefault="002E474C">
            <w:pPr>
              <w:pStyle w:val="A-"/>
            </w:pPr>
          </w:p>
        </w:tc>
        <w:tc>
          <w:tcPr>
            <w:tcW w:w="864" w:type="pct"/>
            <w:vAlign w:val="center"/>
          </w:tcPr>
          <w:p w14:paraId="2B55CF0D" w14:textId="77777777" w:rsidR="002E474C" w:rsidRDefault="00000000">
            <w:pPr>
              <w:pStyle w:val="A-"/>
            </w:pPr>
            <w:r>
              <w:t>非甲烷总烃</w:t>
            </w:r>
          </w:p>
        </w:tc>
        <w:tc>
          <w:tcPr>
            <w:tcW w:w="628" w:type="pct"/>
            <w:vAlign w:val="center"/>
          </w:tcPr>
          <w:p w14:paraId="15F5015D" w14:textId="77777777" w:rsidR="002E474C" w:rsidRDefault="00000000">
            <w:pPr>
              <w:pStyle w:val="A-"/>
            </w:pPr>
            <w:r>
              <w:t>0.00526</w:t>
            </w:r>
          </w:p>
        </w:tc>
        <w:tc>
          <w:tcPr>
            <w:tcW w:w="679" w:type="pct"/>
            <w:vMerge/>
            <w:vAlign w:val="center"/>
          </w:tcPr>
          <w:p w14:paraId="734205E1" w14:textId="77777777" w:rsidR="002E474C" w:rsidRDefault="002E474C">
            <w:pPr>
              <w:pStyle w:val="A-"/>
            </w:pPr>
          </w:p>
        </w:tc>
        <w:tc>
          <w:tcPr>
            <w:tcW w:w="702" w:type="pct"/>
            <w:vAlign w:val="center"/>
          </w:tcPr>
          <w:p w14:paraId="46E87250" w14:textId="77777777" w:rsidR="002E474C" w:rsidRDefault="00000000">
            <w:pPr>
              <w:pStyle w:val="A-"/>
            </w:pPr>
            <w:r>
              <w:t>2</w:t>
            </w:r>
          </w:p>
        </w:tc>
        <w:tc>
          <w:tcPr>
            <w:tcW w:w="641" w:type="pct"/>
            <w:vAlign w:val="center"/>
          </w:tcPr>
          <w:p w14:paraId="5E763E5A" w14:textId="77777777" w:rsidR="002E474C" w:rsidRDefault="00000000">
            <w:pPr>
              <w:pStyle w:val="A-"/>
            </w:pPr>
            <w:r>
              <w:t>0</w:t>
            </w:r>
          </w:p>
        </w:tc>
        <w:tc>
          <w:tcPr>
            <w:tcW w:w="590" w:type="pct"/>
            <w:vAlign w:val="center"/>
          </w:tcPr>
          <w:p w14:paraId="7942F3FC" w14:textId="77777777" w:rsidR="002E474C" w:rsidRDefault="00000000">
            <w:pPr>
              <w:pStyle w:val="A-"/>
            </w:pPr>
            <w:r>
              <w:t>50</w:t>
            </w:r>
          </w:p>
        </w:tc>
      </w:tr>
    </w:tbl>
    <w:p w14:paraId="7373514A" w14:textId="77777777" w:rsidR="002E474C" w:rsidRDefault="002E474C">
      <w:pPr>
        <w:pStyle w:val="A-z"/>
        <w:rPr>
          <w:color w:val="auto"/>
        </w:rPr>
      </w:pPr>
    </w:p>
    <w:p w14:paraId="2A02819D" w14:textId="77777777" w:rsidR="002E474C" w:rsidRDefault="00000000">
      <w:pPr>
        <w:pStyle w:val="A-z"/>
        <w:rPr>
          <w:color w:val="auto"/>
        </w:rPr>
      </w:pPr>
      <w:r>
        <w:rPr>
          <w:color w:val="auto"/>
        </w:rPr>
        <w:t>《大气有害物质无组织排放卫生防护距离推导技术导则》（</w:t>
      </w:r>
      <w:r>
        <w:rPr>
          <w:color w:val="auto"/>
        </w:rPr>
        <w:t>GB/T39499-2020</w:t>
      </w:r>
      <w:r>
        <w:rPr>
          <w:color w:val="auto"/>
        </w:rPr>
        <w:t>）规定：</w:t>
      </w:r>
      <w:r>
        <w:rPr>
          <w:color w:val="auto"/>
        </w:rPr>
        <w:t>“</w:t>
      </w:r>
      <w:r>
        <w:rPr>
          <w:color w:val="auto"/>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color w:val="auto"/>
        </w:rPr>
        <w:t>”</w:t>
      </w:r>
    </w:p>
    <w:p w14:paraId="3D333615" w14:textId="59D4C9B3" w:rsidR="002E474C" w:rsidRDefault="00000000">
      <w:pPr>
        <w:pStyle w:val="A-z"/>
        <w:rPr>
          <w:color w:val="auto"/>
        </w:rPr>
      </w:pPr>
      <w:r>
        <w:rPr>
          <w:color w:val="auto"/>
        </w:rPr>
        <w:t>本项目无组织排放多种大气有害物质，且分别推导出的卫生防护距离初值在同一级别（</w:t>
      </w:r>
      <w:r>
        <w:rPr>
          <w:color w:val="auto"/>
        </w:rPr>
        <w:t>0≤L&lt;50</w:t>
      </w:r>
      <w:r>
        <w:rPr>
          <w:color w:val="auto"/>
        </w:rPr>
        <w:t>），卫生防护距离终值提高一级。因此本项目卫生防护距离</w:t>
      </w:r>
      <w:r w:rsidR="00FE55B9">
        <w:rPr>
          <w:rFonts w:hint="eastAsia"/>
          <w:color w:val="auto"/>
        </w:rPr>
        <w:t>为</w:t>
      </w:r>
      <w:r>
        <w:rPr>
          <w:color w:val="auto"/>
        </w:rPr>
        <w:t>100m</w:t>
      </w:r>
      <w:r>
        <w:rPr>
          <w:color w:val="auto"/>
        </w:rPr>
        <w:t>。</w:t>
      </w:r>
    </w:p>
    <w:p w14:paraId="70AE997E" w14:textId="77777777" w:rsidR="002E474C" w:rsidRDefault="00000000">
      <w:pPr>
        <w:pStyle w:val="A-z"/>
        <w:rPr>
          <w:color w:val="auto"/>
        </w:rPr>
      </w:pPr>
      <w:r>
        <w:rPr>
          <w:color w:val="auto"/>
        </w:rPr>
        <w:t>根据现状调查结果来看，本项目卫生防护距离位于圣雄水泥公司厂区内，卫生防护距离范围内无居民区等敏感点。</w:t>
      </w:r>
    </w:p>
    <w:p w14:paraId="75437D1E" w14:textId="77777777" w:rsidR="002E474C" w:rsidRDefault="00000000">
      <w:pPr>
        <w:pStyle w:val="31"/>
        <w:spacing w:before="120" w:after="120"/>
        <w:rPr>
          <w:color w:val="auto"/>
        </w:rPr>
      </w:pPr>
      <w:r>
        <w:rPr>
          <w:color w:val="auto"/>
        </w:rPr>
        <w:t>大气污染物排放量核算</w:t>
      </w:r>
    </w:p>
    <w:p w14:paraId="3923DBF7" w14:textId="77777777" w:rsidR="002E474C" w:rsidRDefault="00000000">
      <w:pPr>
        <w:pStyle w:val="A-z"/>
        <w:rPr>
          <w:color w:val="auto"/>
        </w:rPr>
      </w:pPr>
      <w:r>
        <w:rPr>
          <w:color w:val="auto"/>
        </w:rPr>
        <w:t>根据用《排污许可证申请与核发技术规范</w:t>
      </w:r>
      <w:r>
        <w:rPr>
          <w:color w:val="auto"/>
        </w:rPr>
        <w:t xml:space="preserve"> </w:t>
      </w:r>
      <w:r>
        <w:rPr>
          <w:color w:val="auto"/>
        </w:rPr>
        <w:t>水泥工业》（</w:t>
      </w:r>
      <w:r>
        <w:rPr>
          <w:color w:val="auto"/>
        </w:rPr>
        <w:t>HJ847</w:t>
      </w:r>
      <w:r>
        <w:rPr>
          <w:rFonts w:hint="eastAsia"/>
          <w:color w:val="auto"/>
        </w:rPr>
        <w:t>-2017</w:t>
      </w:r>
      <w:r>
        <w:rPr>
          <w:color w:val="auto"/>
        </w:rPr>
        <w:t>），本项目大气污染物排放量核算见表</w:t>
      </w:r>
      <w:r>
        <w:rPr>
          <w:color w:val="auto"/>
        </w:rPr>
        <w:t>5.1</w:t>
      </w:r>
      <w:r>
        <w:rPr>
          <w:color w:val="auto"/>
        </w:rPr>
        <w:noBreakHyphen/>
        <w:t>39~</w:t>
      </w:r>
      <w:r>
        <w:rPr>
          <w:color w:val="auto"/>
        </w:rPr>
        <w:t>表</w:t>
      </w:r>
      <w:r>
        <w:rPr>
          <w:color w:val="auto"/>
        </w:rPr>
        <w:t>5.1</w:t>
      </w:r>
      <w:r>
        <w:rPr>
          <w:color w:val="auto"/>
        </w:rPr>
        <w:noBreakHyphen/>
        <w:t>42</w:t>
      </w:r>
      <w:r>
        <w:rPr>
          <w:color w:val="auto"/>
        </w:rPr>
        <w:t>。</w:t>
      </w:r>
    </w:p>
    <w:p w14:paraId="2FBA5425" w14:textId="77777777" w:rsidR="002E474C" w:rsidRDefault="00000000">
      <w:pPr>
        <w:pStyle w:val="A--"/>
        <w:rPr>
          <w:color w:val="auto"/>
        </w:rPr>
      </w:pPr>
      <w:bookmarkStart w:id="282" w:name="_Ref129948963"/>
      <w:bookmarkStart w:id="283" w:name="_Hlk55813867"/>
      <w:r>
        <w:rPr>
          <w:color w:val="auto"/>
        </w:rPr>
        <w:t>表</w:t>
      </w:r>
      <w:r>
        <w:rPr>
          <w:color w:val="auto"/>
        </w:rPr>
        <w:t>5.1</w:t>
      </w:r>
      <w:r>
        <w:rPr>
          <w:color w:val="auto"/>
        </w:rPr>
        <w:noBreakHyphen/>
      </w:r>
      <w:bookmarkEnd w:id="282"/>
      <w:r>
        <w:rPr>
          <w:color w:val="auto"/>
        </w:rPr>
        <w:t xml:space="preserve">39  </w:t>
      </w:r>
      <w:r>
        <w:rPr>
          <w:color w:val="auto"/>
        </w:rPr>
        <w:t>本项目大气污染物有组织排放量核算表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316"/>
        <w:gridCol w:w="879"/>
        <w:gridCol w:w="1594"/>
        <w:gridCol w:w="1596"/>
        <w:gridCol w:w="2250"/>
      </w:tblGrid>
      <w:tr w:rsidR="002E474C" w14:paraId="1C7BA4FC" w14:textId="77777777">
        <w:tc>
          <w:tcPr>
            <w:tcW w:w="398" w:type="pct"/>
          </w:tcPr>
          <w:p w14:paraId="1A3AD8E0" w14:textId="77777777" w:rsidR="002E474C" w:rsidRDefault="00000000">
            <w:pPr>
              <w:pStyle w:val="A-"/>
            </w:pPr>
            <w:r>
              <w:t>序号</w:t>
            </w:r>
          </w:p>
        </w:tc>
        <w:tc>
          <w:tcPr>
            <w:tcW w:w="793" w:type="pct"/>
          </w:tcPr>
          <w:p w14:paraId="5E9EBD26" w14:textId="77777777" w:rsidR="002E474C" w:rsidRDefault="00000000">
            <w:pPr>
              <w:pStyle w:val="A-"/>
            </w:pPr>
            <w:r>
              <w:t>排放口编号</w:t>
            </w:r>
          </w:p>
        </w:tc>
        <w:tc>
          <w:tcPr>
            <w:tcW w:w="530" w:type="pct"/>
          </w:tcPr>
          <w:p w14:paraId="0ACB485A" w14:textId="77777777" w:rsidR="002E474C" w:rsidRDefault="00000000">
            <w:pPr>
              <w:pStyle w:val="A-"/>
            </w:pPr>
            <w:r>
              <w:t>污染物</w:t>
            </w:r>
          </w:p>
        </w:tc>
        <w:tc>
          <w:tcPr>
            <w:tcW w:w="961" w:type="pct"/>
          </w:tcPr>
          <w:p w14:paraId="33A36D9A" w14:textId="77777777" w:rsidR="002E474C" w:rsidRDefault="00000000">
            <w:pPr>
              <w:pStyle w:val="A-"/>
            </w:pPr>
            <w:r>
              <w:t>核算排放浓度</w:t>
            </w:r>
            <w:r>
              <w:t>/</w:t>
            </w:r>
          </w:p>
          <w:p w14:paraId="1FB07CAC" w14:textId="77777777" w:rsidR="002E474C" w:rsidRDefault="00000000">
            <w:pPr>
              <w:pStyle w:val="A-"/>
            </w:pPr>
            <w:r>
              <w:t>（</w:t>
            </w:r>
            <w:r>
              <w:t>mg/m</w:t>
            </w:r>
            <w:r>
              <w:rPr>
                <w:vertAlign w:val="superscript"/>
              </w:rPr>
              <w:t>3</w:t>
            </w:r>
            <w:r>
              <w:t>）</w:t>
            </w:r>
          </w:p>
        </w:tc>
        <w:tc>
          <w:tcPr>
            <w:tcW w:w="962" w:type="pct"/>
          </w:tcPr>
          <w:p w14:paraId="50AB9026" w14:textId="77777777" w:rsidR="002E474C" w:rsidRDefault="00000000">
            <w:pPr>
              <w:pStyle w:val="A-"/>
            </w:pPr>
            <w:r>
              <w:t>核算排放速率</w:t>
            </w:r>
            <w:r>
              <w:t>/</w:t>
            </w:r>
          </w:p>
          <w:p w14:paraId="60C5EE73" w14:textId="77777777" w:rsidR="002E474C" w:rsidRDefault="00000000">
            <w:pPr>
              <w:pStyle w:val="A-"/>
            </w:pPr>
            <w:r>
              <w:t>（</w:t>
            </w:r>
            <w:r>
              <w:t>kg/h</w:t>
            </w:r>
            <w:r>
              <w:t>）</w:t>
            </w:r>
          </w:p>
        </w:tc>
        <w:tc>
          <w:tcPr>
            <w:tcW w:w="1356" w:type="pct"/>
          </w:tcPr>
          <w:p w14:paraId="24599A28" w14:textId="77777777" w:rsidR="002E474C" w:rsidRDefault="00000000">
            <w:pPr>
              <w:pStyle w:val="A-"/>
            </w:pPr>
            <w:r>
              <w:t>核算年排放量</w:t>
            </w:r>
            <w:r>
              <w:t>/</w:t>
            </w:r>
            <w:r>
              <w:t>（</w:t>
            </w:r>
            <w:r>
              <w:t>t/a</w:t>
            </w:r>
            <w:r>
              <w:t>）</w:t>
            </w:r>
          </w:p>
        </w:tc>
      </w:tr>
      <w:tr w:rsidR="002E474C" w14:paraId="7C0F2D05" w14:textId="77777777">
        <w:tc>
          <w:tcPr>
            <w:tcW w:w="5000" w:type="pct"/>
            <w:gridSpan w:val="6"/>
          </w:tcPr>
          <w:p w14:paraId="4E7510B7" w14:textId="77777777" w:rsidR="002E474C" w:rsidRDefault="00000000">
            <w:pPr>
              <w:pStyle w:val="A-"/>
            </w:pPr>
            <w:r>
              <w:t>主要排放口</w:t>
            </w:r>
          </w:p>
        </w:tc>
      </w:tr>
      <w:tr w:rsidR="002E474C" w14:paraId="20A51643" w14:textId="77777777">
        <w:tc>
          <w:tcPr>
            <w:tcW w:w="398" w:type="pct"/>
            <w:vMerge w:val="restart"/>
          </w:tcPr>
          <w:p w14:paraId="6D3F1246" w14:textId="77777777" w:rsidR="002E474C" w:rsidRDefault="00000000">
            <w:pPr>
              <w:pStyle w:val="A-"/>
            </w:pPr>
            <w:r>
              <w:lastRenderedPageBreak/>
              <w:t>1</w:t>
            </w:r>
          </w:p>
        </w:tc>
        <w:tc>
          <w:tcPr>
            <w:tcW w:w="793" w:type="pct"/>
            <w:vMerge w:val="restart"/>
          </w:tcPr>
          <w:p w14:paraId="27ACF234" w14:textId="77777777" w:rsidR="002E474C" w:rsidRDefault="00000000">
            <w:pPr>
              <w:pStyle w:val="A-"/>
            </w:pPr>
            <w:r>
              <w:t>DA030</w:t>
            </w:r>
          </w:p>
        </w:tc>
        <w:tc>
          <w:tcPr>
            <w:tcW w:w="530" w:type="pct"/>
          </w:tcPr>
          <w:p w14:paraId="30D48896" w14:textId="77777777" w:rsidR="002E474C" w:rsidRDefault="00000000">
            <w:pPr>
              <w:pStyle w:val="A-"/>
            </w:pPr>
            <w:r>
              <w:t>HF</w:t>
            </w:r>
          </w:p>
        </w:tc>
        <w:tc>
          <w:tcPr>
            <w:tcW w:w="961" w:type="pct"/>
          </w:tcPr>
          <w:p w14:paraId="6488B835" w14:textId="77777777" w:rsidR="002E474C" w:rsidRDefault="00000000">
            <w:pPr>
              <w:pStyle w:val="A-"/>
            </w:pPr>
            <w:r>
              <w:t xml:space="preserve">0.278 </w:t>
            </w:r>
          </w:p>
        </w:tc>
        <w:tc>
          <w:tcPr>
            <w:tcW w:w="962" w:type="pct"/>
          </w:tcPr>
          <w:p w14:paraId="6C0FC1A9" w14:textId="77777777" w:rsidR="002E474C" w:rsidRDefault="00000000">
            <w:pPr>
              <w:pStyle w:val="A-"/>
            </w:pPr>
            <w:r>
              <w:t xml:space="preserve">0.200 </w:t>
            </w:r>
          </w:p>
        </w:tc>
        <w:tc>
          <w:tcPr>
            <w:tcW w:w="1356" w:type="pct"/>
          </w:tcPr>
          <w:p w14:paraId="33856CA0" w14:textId="77777777" w:rsidR="002E474C" w:rsidRDefault="00000000">
            <w:pPr>
              <w:pStyle w:val="A-"/>
              <w:rPr>
                <w:rFonts w:eastAsia="等线"/>
              </w:rPr>
            </w:pPr>
            <w:r>
              <w:t>1.371</w:t>
            </w:r>
          </w:p>
        </w:tc>
      </w:tr>
      <w:tr w:rsidR="002E474C" w14:paraId="29B02A73" w14:textId="77777777">
        <w:tc>
          <w:tcPr>
            <w:tcW w:w="398" w:type="pct"/>
            <w:vMerge/>
          </w:tcPr>
          <w:p w14:paraId="7853BD89" w14:textId="77777777" w:rsidR="002E474C" w:rsidRDefault="002E474C">
            <w:pPr>
              <w:pStyle w:val="A-"/>
            </w:pPr>
          </w:p>
        </w:tc>
        <w:tc>
          <w:tcPr>
            <w:tcW w:w="793" w:type="pct"/>
            <w:vMerge/>
          </w:tcPr>
          <w:p w14:paraId="3F9B2FA0" w14:textId="77777777" w:rsidR="002E474C" w:rsidRDefault="002E474C">
            <w:pPr>
              <w:pStyle w:val="A-"/>
            </w:pPr>
          </w:p>
        </w:tc>
        <w:tc>
          <w:tcPr>
            <w:tcW w:w="530" w:type="pct"/>
          </w:tcPr>
          <w:p w14:paraId="3F7ED488" w14:textId="77777777" w:rsidR="002E474C" w:rsidRDefault="00000000">
            <w:pPr>
              <w:pStyle w:val="A-"/>
            </w:pPr>
            <w:r>
              <w:t>HCl</w:t>
            </w:r>
          </w:p>
        </w:tc>
        <w:tc>
          <w:tcPr>
            <w:tcW w:w="961" w:type="pct"/>
          </w:tcPr>
          <w:p w14:paraId="7FAC4337" w14:textId="77777777" w:rsidR="002E474C" w:rsidRDefault="00000000">
            <w:pPr>
              <w:pStyle w:val="A-"/>
            </w:pPr>
            <w:r>
              <w:t xml:space="preserve">4.99 </w:t>
            </w:r>
          </w:p>
        </w:tc>
        <w:tc>
          <w:tcPr>
            <w:tcW w:w="962" w:type="pct"/>
          </w:tcPr>
          <w:p w14:paraId="0E9B7EB5" w14:textId="77777777" w:rsidR="002E474C" w:rsidRDefault="00000000">
            <w:pPr>
              <w:pStyle w:val="A-"/>
            </w:pPr>
            <w:r>
              <w:t xml:space="preserve">3.597 </w:t>
            </w:r>
          </w:p>
        </w:tc>
        <w:tc>
          <w:tcPr>
            <w:tcW w:w="1356" w:type="pct"/>
          </w:tcPr>
          <w:p w14:paraId="7E58A49E" w14:textId="77777777" w:rsidR="002E474C" w:rsidRDefault="00000000">
            <w:pPr>
              <w:pStyle w:val="A-"/>
              <w:rPr>
                <w:rFonts w:eastAsia="等线"/>
              </w:rPr>
            </w:pPr>
            <w:r>
              <w:t>25.9</w:t>
            </w:r>
          </w:p>
        </w:tc>
      </w:tr>
      <w:tr w:rsidR="002E474C" w14:paraId="7CE1DC1B" w14:textId="77777777">
        <w:tc>
          <w:tcPr>
            <w:tcW w:w="398" w:type="pct"/>
            <w:vMerge/>
          </w:tcPr>
          <w:p w14:paraId="66594ABA" w14:textId="77777777" w:rsidR="002E474C" w:rsidRDefault="002E474C">
            <w:pPr>
              <w:pStyle w:val="A-"/>
            </w:pPr>
          </w:p>
        </w:tc>
        <w:tc>
          <w:tcPr>
            <w:tcW w:w="793" w:type="pct"/>
            <w:vMerge/>
          </w:tcPr>
          <w:p w14:paraId="0A94B051" w14:textId="77777777" w:rsidR="002E474C" w:rsidRDefault="002E474C">
            <w:pPr>
              <w:pStyle w:val="A-"/>
            </w:pPr>
          </w:p>
        </w:tc>
        <w:tc>
          <w:tcPr>
            <w:tcW w:w="530" w:type="pct"/>
          </w:tcPr>
          <w:p w14:paraId="053CD8BD" w14:textId="77777777" w:rsidR="002E474C" w:rsidRDefault="00000000">
            <w:pPr>
              <w:pStyle w:val="A-"/>
            </w:pPr>
            <w:r>
              <w:t>Cr</w:t>
            </w:r>
          </w:p>
        </w:tc>
        <w:tc>
          <w:tcPr>
            <w:tcW w:w="961" w:type="pct"/>
          </w:tcPr>
          <w:p w14:paraId="0A537ED0" w14:textId="77777777" w:rsidR="002E474C" w:rsidRDefault="00000000">
            <w:pPr>
              <w:pStyle w:val="A-"/>
            </w:pPr>
            <w:r>
              <w:t>2.00E-04</w:t>
            </w:r>
          </w:p>
        </w:tc>
        <w:tc>
          <w:tcPr>
            <w:tcW w:w="962" w:type="pct"/>
          </w:tcPr>
          <w:p w14:paraId="4034B539" w14:textId="77777777" w:rsidR="002E474C" w:rsidRDefault="00000000">
            <w:pPr>
              <w:pStyle w:val="A-"/>
            </w:pPr>
            <w:r>
              <w:t>1.44E-04</w:t>
            </w:r>
          </w:p>
        </w:tc>
        <w:tc>
          <w:tcPr>
            <w:tcW w:w="1356" w:type="pct"/>
          </w:tcPr>
          <w:p w14:paraId="4119265F" w14:textId="77777777" w:rsidR="002E474C" w:rsidRDefault="00000000">
            <w:pPr>
              <w:pStyle w:val="A-"/>
            </w:pPr>
            <w:r>
              <w:t>1.036</w:t>
            </w:r>
            <w:r>
              <w:rPr>
                <w:rFonts w:eastAsia="等线"/>
              </w:rPr>
              <w:t>kg/a</w:t>
            </w:r>
          </w:p>
        </w:tc>
      </w:tr>
      <w:tr w:rsidR="002E474C" w14:paraId="2AD4389E" w14:textId="77777777">
        <w:tc>
          <w:tcPr>
            <w:tcW w:w="398" w:type="pct"/>
            <w:vMerge/>
          </w:tcPr>
          <w:p w14:paraId="7FC5F097" w14:textId="77777777" w:rsidR="002E474C" w:rsidRDefault="002E474C">
            <w:pPr>
              <w:pStyle w:val="A-"/>
            </w:pPr>
          </w:p>
        </w:tc>
        <w:tc>
          <w:tcPr>
            <w:tcW w:w="793" w:type="pct"/>
            <w:vMerge/>
          </w:tcPr>
          <w:p w14:paraId="67ABC990" w14:textId="77777777" w:rsidR="002E474C" w:rsidRDefault="002E474C">
            <w:pPr>
              <w:pStyle w:val="A-"/>
            </w:pPr>
          </w:p>
        </w:tc>
        <w:tc>
          <w:tcPr>
            <w:tcW w:w="530" w:type="pct"/>
          </w:tcPr>
          <w:p w14:paraId="44608B21" w14:textId="77777777" w:rsidR="002E474C" w:rsidRDefault="00000000">
            <w:pPr>
              <w:pStyle w:val="A-"/>
            </w:pPr>
            <w:r>
              <w:t>Cu</w:t>
            </w:r>
          </w:p>
        </w:tc>
        <w:tc>
          <w:tcPr>
            <w:tcW w:w="961" w:type="pct"/>
          </w:tcPr>
          <w:p w14:paraId="46C64775" w14:textId="77777777" w:rsidR="002E474C" w:rsidRDefault="00000000">
            <w:pPr>
              <w:pStyle w:val="A-"/>
            </w:pPr>
            <w:r>
              <w:t>4.22E-02</w:t>
            </w:r>
          </w:p>
        </w:tc>
        <w:tc>
          <w:tcPr>
            <w:tcW w:w="962" w:type="pct"/>
          </w:tcPr>
          <w:p w14:paraId="3FB01E82" w14:textId="77777777" w:rsidR="002E474C" w:rsidRDefault="00000000">
            <w:pPr>
              <w:pStyle w:val="A-"/>
            </w:pPr>
            <w:r>
              <w:t>3.04E-02</w:t>
            </w:r>
          </w:p>
        </w:tc>
        <w:tc>
          <w:tcPr>
            <w:tcW w:w="1356" w:type="pct"/>
          </w:tcPr>
          <w:p w14:paraId="628F343F" w14:textId="77777777" w:rsidR="002E474C" w:rsidRDefault="00000000">
            <w:pPr>
              <w:pStyle w:val="A-"/>
            </w:pPr>
            <w:r>
              <w:t>218.83</w:t>
            </w:r>
            <w:r>
              <w:rPr>
                <w:rFonts w:eastAsia="等线"/>
              </w:rPr>
              <w:t>kg/a</w:t>
            </w:r>
          </w:p>
        </w:tc>
      </w:tr>
      <w:tr w:rsidR="002E474C" w14:paraId="32D89284" w14:textId="77777777">
        <w:tc>
          <w:tcPr>
            <w:tcW w:w="398" w:type="pct"/>
            <w:vMerge/>
          </w:tcPr>
          <w:p w14:paraId="2A8CD62C" w14:textId="77777777" w:rsidR="002E474C" w:rsidRDefault="002E474C">
            <w:pPr>
              <w:pStyle w:val="A-"/>
            </w:pPr>
          </w:p>
        </w:tc>
        <w:tc>
          <w:tcPr>
            <w:tcW w:w="793" w:type="pct"/>
            <w:vMerge/>
          </w:tcPr>
          <w:p w14:paraId="7801287A" w14:textId="77777777" w:rsidR="002E474C" w:rsidRDefault="002E474C">
            <w:pPr>
              <w:pStyle w:val="A-"/>
            </w:pPr>
          </w:p>
        </w:tc>
        <w:tc>
          <w:tcPr>
            <w:tcW w:w="530" w:type="pct"/>
          </w:tcPr>
          <w:p w14:paraId="5F7ACFFF" w14:textId="77777777" w:rsidR="002E474C" w:rsidRDefault="00000000">
            <w:pPr>
              <w:pStyle w:val="A-"/>
            </w:pPr>
            <w:r>
              <w:t>Cd</w:t>
            </w:r>
          </w:p>
        </w:tc>
        <w:tc>
          <w:tcPr>
            <w:tcW w:w="961" w:type="pct"/>
          </w:tcPr>
          <w:p w14:paraId="058A5743" w14:textId="77777777" w:rsidR="002E474C" w:rsidRDefault="00000000">
            <w:pPr>
              <w:pStyle w:val="A-"/>
            </w:pPr>
            <w:r>
              <w:t>2.21E-05</w:t>
            </w:r>
          </w:p>
        </w:tc>
        <w:tc>
          <w:tcPr>
            <w:tcW w:w="962" w:type="pct"/>
          </w:tcPr>
          <w:p w14:paraId="27424EDA" w14:textId="77777777" w:rsidR="002E474C" w:rsidRDefault="00000000">
            <w:pPr>
              <w:pStyle w:val="A-"/>
            </w:pPr>
            <w:r>
              <w:t>1.59E-05</w:t>
            </w:r>
          </w:p>
        </w:tc>
        <w:tc>
          <w:tcPr>
            <w:tcW w:w="1356" w:type="pct"/>
          </w:tcPr>
          <w:p w14:paraId="35D7CCCD" w14:textId="77777777" w:rsidR="002E474C" w:rsidRDefault="00000000">
            <w:pPr>
              <w:pStyle w:val="A-"/>
            </w:pPr>
            <w:r>
              <w:t>0.115</w:t>
            </w:r>
            <w:r>
              <w:rPr>
                <w:rFonts w:eastAsia="等线"/>
              </w:rPr>
              <w:t>kg/a</w:t>
            </w:r>
          </w:p>
        </w:tc>
      </w:tr>
      <w:tr w:rsidR="002E474C" w14:paraId="13C98FA6" w14:textId="77777777">
        <w:tc>
          <w:tcPr>
            <w:tcW w:w="398" w:type="pct"/>
            <w:vMerge/>
          </w:tcPr>
          <w:p w14:paraId="397994B7" w14:textId="77777777" w:rsidR="002E474C" w:rsidRDefault="002E474C">
            <w:pPr>
              <w:pStyle w:val="A-"/>
            </w:pPr>
          </w:p>
        </w:tc>
        <w:tc>
          <w:tcPr>
            <w:tcW w:w="793" w:type="pct"/>
            <w:vMerge/>
          </w:tcPr>
          <w:p w14:paraId="084B0441" w14:textId="77777777" w:rsidR="002E474C" w:rsidRDefault="002E474C">
            <w:pPr>
              <w:pStyle w:val="A-"/>
            </w:pPr>
          </w:p>
        </w:tc>
        <w:tc>
          <w:tcPr>
            <w:tcW w:w="530" w:type="pct"/>
          </w:tcPr>
          <w:p w14:paraId="40EEE7F0" w14:textId="77777777" w:rsidR="002E474C" w:rsidRDefault="00000000">
            <w:pPr>
              <w:pStyle w:val="A-"/>
            </w:pPr>
            <w:r>
              <w:t>Pb</w:t>
            </w:r>
          </w:p>
        </w:tc>
        <w:tc>
          <w:tcPr>
            <w:tcW w:w="961" w:type="pct"/>
          </w:tcPr>
          <w:p w14:paraId="2844B01D" w14:textId="77777777" w:rsidR="002E474C" w:rsidRDefault="00000000">
            <w:pPr>
              <w:pStyle w:val="A-"/>
            </w:pPr>
            <w:r>
              <w:t>5.00E-04</w:t>
            </w:r>
          </w:p>
        </w:tc>
        <w:tc>
          <w:tcPr>
            <w:tcW w:w="962" w:type="pct"/>
          </w:tcPr>
          <w:p w14:paraId="6E251EC6" w14:textId="77777777" w:rsidR="002E474C" w:rsidRDefault="00000000">
            <w:pPr>
              <w:pStyle w:val="A-"/>
            </w:pPr>
            <w:r>
              <w:t>3.60E-04</w:t>
            </w:r>
          </w:p>
        </w:tc>
        <w:tc>
          <w:tcPr>
            <w:tcW w:w="1356" w:type="pct"/>
          </w:tcPr>
          <w:p w14:paraId="211A94C2" w14:textId="77777777" w:rsidR="002E474C" w:rsidRDefault="00000000">
            <w:pPr>
              <w:pStyle w:val="A-"/>
            </w:pPr>
            <w:r>
              <w:t>2.593</w:t>
            </w:r>
            <w:r>
              <w:rPr>
                <w:rFonts w:eastAsia="等线"/>
              </w:rPr>
              <w:t>kg/a</w:t>
            </w:r>
          </w:p>
        </w:tc>
      </w:tr>
      <w:tr w:rsidR="002E474C" w14:paraId="01B7E053" w14:textId="77777777">
        <w:tc>
          <w:tcPr>
            <w:tcW w:w="398" w:type="pct"/>
            <w:vMerge/>
          </w:tcPr>
          <w:p w14:paraId="36989D7C" w14:textId="77777777" w:rsidR="002E474C" w:rsidRDefault="002E474C">
            <w:pPr>
              <w:pStyle w:val="A-"/>
            </w:pPr>
          </w:p>
        </w:tc>
        <w:tc>
          <w:tcPr>
            <w:tcW w:w="793" w:type="pct"/>
            <w:vMerge/>
          </w:tcPr>
          <w:p w14:paraId="17DE7125" w14:textId="77777777" w:rsidR="002E474C" w:rsidRDefault="002E474C">
            <w:pPr>
              <w:pStyle w:val="A-"/>
            </w:pPr>
          </w:p>
        </w:tc>
        <w:tc>
          <w:tcPr>
            <w:tcW w:w="530" w:type="pct"/>
          </w:tcPr>
          <w:p w14:paraId="4BA75CC7" w14:textId="77777777" w:rsidR="002E474C" w:rsidRDefault="00000000">
            <w:pPr>
              <w:pStyle w:val="A-"/>
            </w:pPr>
            <w:r>
              <w:t>Ni</w:t>
            </w:r>
          </w:p>
        </w:tc>
        <w:tc>
          <w:tcPr>
            <w:tcW w:w="961" w:type="pct"/>
          </w:tcPr>
          <w:p w14:paraId="6E9F0AF1" w14:textId="77777777" w:rsidR="002E474C" w:rsidRDefault="00000000">
            <w:pPr>
              <w:pStyle w:val="A-"/>
            </w:pPr>
            <w:r>
              <w:t>8.47E-06</w:t>
            </w:r>
          </w:p>
        </w:tc>
        <w:tc>
          <w:tcPr>
            <w:tcW w:w="962" w:type="pct"/>
          </w:tcPr>
          <w:p w14:paraId="6673B8C8" w14:textId="77777777" w:rsidR="002E474C" w:rsidRDefault="00000000">
            <w:pPr>
              <w:pStyle w:val="A-"/>
            </w:pPr>
            <w:r>
              <w:t>6.10E-06</w:t>
            </w:r>
          </w:p>
        </w:tc>
        <w:tc>
          <w:tcPr>
            <w:tcW w:w="1356" w:type="pct"/>
          </w:tcPr>
          <w:p w14:paraId="0084CCF7" w14:textId="77777777" w:rsidR="002E474C" w:rsidRDefault="00000000">
            <w:pPr>
              <w:pStyle w:val="A-"/>
            </w:pPr>
            <w:r>
              <w:t>0.044</w:t>
            </w:r>
            <w:r>
              <w:rPr>
                <w:rFonts w:eastAsia="等线"/>
              </w:rPr>
              <w:t>kg/a</w:t>
            </w:r>
          </w:p>
        </w:tc>
      </w:tr>
      <w:tr w:rsidR="002E474C" w14:paraId="26427A33" w14:textId="77777777">
        <w:tc>
          <w:tcPr>
            <w:tcW w:w="398" w:type="pct"/>
            <w:vMerge/>
          </w:tcPr>
          <w:p w14:paraId="0625734C" w14:textId="77777777" w:rsidR="002E474C" w:rsidRDefault="002E474C">
            <w:pPr>
              <w:pStyle w:val="A-"/>
            </w:pPr>
          </w:p>
        </w:tc>
        <w:tc>
          <w:tcPr>
            <w:tcW w:w="793" w:type="pct"/>
            <w:vMerge/>
          </w:tcPr>
          <w:p w14:paraId="65C4F0DA" w14:textId="77777777" w:rsidR="002E474C" w:rsidRDefault="002E474C">
            <w:pPr>
              <w:pStyle w:val="A-"/>
            </w:pPr>
          </w:p>
        </w:tc>
        <w:tc>
          <w:tcPr>
            <w:tcW w:w="530" w:type="pct"/>
          </w:tcPr>
          <w:p w14:paraId="4F58BC46" w14:textId="77777777" w:rsidR="002E474C" w:rsidRDefault="00000000">
            <w:pPr>
              <w:pStyle w:val="A-"/>
            </w:pPr>
            <w:r>
              <w:t>Mn</w:t>
            </w:r>
          </w:p>
        </w:tc>
        <w:tc>
          <w:tcPr>
            <w:tcW w:w="961" w:type="pct"/>
          </w:tcPr>
          <w:p w14:paraId="1A3BAB70" w14:textId="77777777" w:rsidR="002E474C" w:rsidRDefault="00000000">
            <w:pPr>
              <w:pStyle w:val="A-"/>
            </w:pPr>
            <w:r>
              <w:t>1.23E-03</w:t>
            </w:r>
          </w:p>
        </w:tc>
        <w:tc>
          <w:tcPr>
            <w:tcW w:w="962" w:type="pct"/>
          </w:tcPr>
          <w:p w14:paraId="7E2CB1A3" w14:textId="77777777" w:rsidR="002E474C" w:rsidRDefault="00000000">
            <w:pPr>
              <w:pStyle w:val="A-"/>
            </w:pPr>
            <w:r>
              <w:t>8.86E-04</w:t>
            </w:r>
          </w:p>
        </w:tc>
        <w:tc>
          <w:tcPr>
            <w:tcW w:w="1356" w:type="pct"/>
          </w:tcPr>
          <w:p w14:paraId="13A7C523" w14:textId="77777777" w:rsidR="002E474C" w:rsidRDefault="00000000">
            <w:pPr>
              <w:pStyle w:val="A-"/>
            </w:pPr>
            <w:r>
              <w:t>6.382</w:t>
            </w:r>
            <w:r>
              <w:rPr>
                <w:rFonts w:eastAsia="等线"/>
              </w:rPr>
              <w:t>kg/a</w:t>
            </w:r>
          </w:p>
        </w:tc>
      </w:tr>
      <w:tr w:rsidR="002E474C" w14:paraId="344E6A8B" w14:textId="77777777">
        <w:tc>
          <w:tcPr>
            <w:tcW w:w="398" w:type="pct"/>
            <w:vMerge/>
          </w:tcPr>
          <w:p w14:paraId="5F56CFFD" w14:textId="77777777" w:rsidR="002E474C" w:rsidRDefault="002E474C">
            <w:pPr>
              <w:pStyle w:val="A-"/>
            </w:pPr>
          </w:p>
        </w:tc>
        <w:tc>
          <w:tcPr>
            <w:tcW w:w="793" w:type="pct"/>
            <w:vMerge/>
          </w:tcPr>
          <w:p w14:paraId="20761878" w14:textId="77777777" w:rsidR="002E474C" w:rsidRDefault="002E474C">
            <w:pPr>
              <w:pStyle w:val="A-"/>
            </w:pPr>
          </w:p>
        </w:tc>
        <w:tc>
          <w:tcPr>
            <w:tcW w:w="530" w:type="pct"/>
          </w:tcPr>
          <w:p w14:paraId="6D957B39" w14:textId="77777777" w:rsidR="002E474C" w:rsidRDefault="00000000">
            <w:pPr>
              <w:pStyle w:val="A-"/>
            </w:pPr>
            <w:r>
              <w:t>As</w:t>
            </w:r>
          </w:p>
        </w:tc>
        <w:tc>
          <w:tcPr>
            <w:tcW w:w="961" w:type="pct"/>
          </w:tcPr>
          <w:p w14:paraId="1AA52C6D" w14:textId="77777777" w:rsidR="002E474C" w:rsidRDefault="00000000">
            <w:pPr>
              <w:pStyle w:val="A-"/>
            </w:pPr>
            <w:r>
              <w:t>3.33E-05</w:t>
            </w:r>
          </w:p>
        </w:tc>
        <w:tc>
          <w:tcPr>
            <w:tcW w:w="962" w:type="pct"/>
          </w:tcPr>
          <w:p w14:paraId="4DA608AB" w14:textId="77777777" w:rsidR="002E474C" w:rsidRDefault="00000000">
            <w:pPr>
              <w:pStyle w:val="A-"/>
            </w:pPr>
            <w:r>
              <w:t>2.40E-05</w:t>
            </w:r>
          </w:p>
        </w:tc>
        <w:tc>
          <w:tcPr>
            <w:tcW w:w="1356" w:type="pct"/>
          </w:tcPr>
          <w:p w14:paraId="75A7755D" w14:textId="77777777" w:rsidR="002E474C" w:rsidRDefault="00000000">
            <w:pPr>
              <w:pStyle w:val="A-"/>
            </w:pPr>
            <w:r>
              <w:t>0.173</w:t>
            </w:r>
            <w:r>
              <w:rPr>
                <w:rFonts w:eastAsia="等线"/>
              </w:rPr>
              <w:t>kg/a</w:t>
            </w:r>
          </w:p>
        </w:tc>
      </w:tr>
      <w:tr w:rsidR="002E474C" w14:paraId="4D45AB41" w14:textId="77777777">
        <w:tc>
          <w:tcPr>
            <w:tcW w:w="398" w:type="pct"/>
            <w:vMerge/>
          </w:tcPr>
          <w:p w14:paraId="3F5A36C8" w14:textId="77777777" w:rsidR="002E474C" w:rsidRDefault="002E474C">
            <w:pPr>
              <w:pStyle w:val="A-"/>
            </w:pPr>
          </w:p>
        </w:tc>
        <w:tc>
          <w:tcPr>
            <w:tcW w:w="793" w:type="pct"/>
            <w:vMerge/>
          </w:tcPr>
          <w:p w14:paraId="02F459CC" w14:textId="77777777" w:rsidR="002E474C" w:rsidRDefault="002E474C">
            <w:pPr>
              <w:pStyle w:val="A-"/>
            </w:pPr>
          </w:p>
        </w:tc>
        <w:tc>
          <w:tcPr>
            <w:tcW w:w="530" w:type="pct"/>
          </w:tcPr>
          <w:p w14:paraId="732590FE" w14:textId="77777777" w:rsidR="002E474C" w:rsidRDefault="00000000">
            <w:pPr>
              <w:pStyle w:val="A-"/>
            </w:pPr>
            <w:r>
              <w:t>Hg</w:t>
            </w:r>
          </w:p>
        </w:tc>
        <w:tc>
          <w:tcPr>
            <w:tcW w:w="961" w:type="pct"/>
          </w:tcPr>
          <w:p w14:paraId="03384EB9" w14:textId="77777777" w:rsidR="002E474C" w:rsidRDefault="00000000">
            <w:pPr>
              <w:pStyle w:val="A-"/>
            </w:pPr>
            <w:r>
              <w:rPr>
                <w:rFonts w:hint="eastAsia"/>
              </w:rPr>
              <w:t>1.30</w:t>
            </w:r>
            <w:r>
              <w:t>E-0</w:t>
            </w:r>
            <w:r>
              <w:rPr>
                <w:rFonts w:hint="eastAsia"/>
              </w:rPr>
              <w:t>3</w:t>
            </w:r>
          </w:p>
        </w:tc>
        <w:tc>
          <w:tcPr>
            <w:tcW w:w="962" w:type="pct"/>
          </w:tcPr>
          <w:p w14:paraId="2230CFB9" w14:textId="77777777" w:rsidR="002E474C" w:rsidRDefault="00000000">
            <w:pPr>
              <w:pStyle w:val="A-"/>
            </w:pPr>
            <w:r>
              <w:rPr>
                <w:rFonts w:hint="eastAsia"/>
              </w:rPr>
              <w:t>9.37</w:t>
            </w:r>
            <w:r>
              <w:t>E-04</w:t>
            </w:r>
          </w:p>
        </w:tc>
        <w:tc>
          <w:tcPr>
            <w:tcW w:w="1356" w:type="pct"/>
          </w:tcPr>
          <w:p w14:paraId="459DAEBF" w14:textId="77777777" w:rsidR="002E474C" w:rsidRDefault="00000000">
            <w:pPr>
              <w:pStyle w:val="A-"/>
            </w:pPr>
            <w:r>
              <w:rPr>
                <w:rFonts w:hint="eastAsia"/>
              </w:rPr>
              <w:t>6.745</w:t>
            </w:r>
            <w:r>
              <w:rPr>
                <w:rFonts w:eastAsia="等线"/>
              </w:rPr>
              <w:t>kg/a</w:t>
            </w:r>
          </w:p>
        </w:tc>
      </w:tr>
      <w:tr w:rsidR="002E474C" w14:paraId="11C7F672" w14:textId="77777777">
        <w:tc>
          <w:tcPr>
            <w:tcW w:w="398" w:type="pct"/>
            <w:vMerge/>
          </w:tcPr>
          <w:p w14:paraId="04C7BC9A" w14:textId="77777777" w:rsidR="002E474C" w:rsidRDefault="002E474C">
            <w:pPr>
              <w:pStyle w:val="A-"/>
            </w:pPr>
          </w:p>
        </w:tc>
        <w:tc>
          <w:tcPr>
            <w:tcW w:w="793" w:type="pct"/>
            <w:vMerge/>
          </w:tcPr>
          <w:p w14:paraId="7D9B0734" w14:textId="77777777" w:rsidR="002E474C" w:rsidRDefault="002E474C">
            <w:pPr>
              <w:pStyle w:val="A-"/>
            </w:pPr>
          </w:p>
        </w:tc>
        <w:tc>
          <w:tcPr>
            <w:tcW w:w="530" w:type="pct"/>
          </w:tcPr>
          <w:p w14:paraId="3F705CFD" w14:textId="77777777" w:rsidR="002E474C" w:rsidRDefault="00000000">
            <w:pPr>
              <w:pStyle w:val="A-"/>
            </w:pPr>
            <w:r>
              <w:t>二噁英类</w:t>
            </w:r>
          </w:p>
        </w:tc>
        <w:tc>
          <w:tcPr>
            <w:tcW w:w="961" w:type="pct"/>
          </w:tcPr>
          <w:p w14:paraId="54AC1C91" w14:textId="77777777" w:rsidR="002E474C" w:rsidRDefault="00000000">
            <w:pPr>
              <w:pStyle w:val="A-"/>
            </w:pPr>
            <w:r>
              <w:t>0.05ng TEQ/Nm</w:t>
            </w:r>
            <w:r>
              <w:rPr>
                <w:vertAlign w:val="superscript"/>
              </w:rPr>
              <w:t>3</w:t>
            </w:r>
          </w:p>
        </w:tc>
        <w:tc>
          <w:tcPr>
            <w:tcW w:w="962" w:type="pct"/>
          </w:tcPr>
          <w:p w14:paraId="69D0CB87" w14:textId="77777777" w:rsidR="002E474C" w:rsidRDefault="00000000">
            <w:pPr>
              <w:pStyle w:val="A-"/>
            </w:pPr>
            <w:r>
              <w:t>3.6E-08</w:t>
            </w:r>
          </w:p>
        </w:tc>
        <w:tc>
          <w:tcPr>
            <w:tcW w:w="1356" w:type="pct"/>
          </w:tcPr>
          <w:p w14:paraId="0A1CE69E" w14:textId="77777777" w:rsidR="002E474C" w:rsidRDefault="00000000">
            <w:pPr>
              <w:pStyle w:val="A-"/>
            </w:pPr>
            <w:r>
              <w:t>0.259gTEQ/a</w:t>
            </w:r>
          </w:p>
        </w:tc>
      </w:tr>
      <w:tr w:rsidR="002E474C" w14:paraId="021241B6" w14:textId="77777777">
        <w:tc>
          <w:tcPr>
            <w:tcW w:w="5000" w:type="pct"/>
            <w:gridSpan w:val="6"/>
          </w:tcPr>
          <w:p w14:paraId="3F462BFC" w14:textId="77777777" w:rsidR="002E474C" w:rsidRDefault="00000000">
            <w:pPr>
              <w:pStyle w:val="A-"/>
            </w:pPr>
            <w:r>
              <w:t>一般排放口</w:t>
            </w:r>
          </w:p>
        </w:tc>
      </w:tr>
      <w:tr w:rsidR="002E474C" w14:paraId="6BABF4A5" w14:textId="77777777">
        <w:tc>
          <w:tcPr>
            <w:tcW w:w="398" w:type="pct"/>
            <w:vMerge w:val="restart"/>
          </w:tcPr>
          <w:p w14:paraId="116F8A75" w14:textId="77777777" w:rsidR="002E474C" w:rsidRDefault="00000000">
            <w:pPr>
              <w:pStyle w:val="A-"/>
            </w:pPr>
            <w:r>
              <w:t>2</w:t>
            </w:r>
          </w:p>
        </w:tc>
        <w:tc>
          <w:tcPr>
            <w:tcW w:w="793" w:type="pct"/>
            <w:vMerge w:val="restart"/>
          </w:tcPr>
          <w:p w14:paraId="7F1F6BD7" w14:textId="77777777" w:rsidR="002E474C" w:rsidRDefault="00000000">
            <w:pPr>
              <w:pStyle w:val="A-"/>
            </w:pPr>
            <w:r>
              <w:t>DA001</w:t>
            </w:r>
          </w:p>
        </w:tc>
        <w:tc>
          <w:tcPr>
            <w:tcW w:w="530" w:type="pct"/>
          </w:tcPr>
          <w:p w14:paraId="737916EE" w14:textId="77777777" w:rsidR="002E474C" w:rsidRDefault="00000000">
            <w:pPr>
              <w:pStyle w:val="A-"/>
            </w:pPr>
            <w:r>
              <w:t>H</w:t>
            </w:r>
            <w:r>
              <w:rPr>
                <w:vertAlign w:val="subscript"/>
              </w:rPr>
              <w:t>2</w:t>
            </w:r>
            <w:r>
              <w:t>S</w:t>
            </w:r>
          </w:p>
        </w:tc>
        <w:tc>
          <w:tcPr>
            <w:tcW w:w="961" w:type="pct"/>
          </w:tcPr>
          <w:p w14:paraId="0771A42C" w14:textId="77777777" w:rsidR="002E474C" w:rsidRDefault="00000000">
            <w:pPr>
              <w:pStyle w:val="A-"/>
            </w:pPr>
            <w:r>
              <w:t>0.3</w:t>
            </w:r>
            <w:r>
              <w:rPr>
                <w:rFonts w:hint="eastAsia"/>
              </w:rPr>
              <w:t>1</w:t>
            </w:r>
          </w:p>
        </w:tc>
        <w:tc>
          <w:tcPr>
            <w:tcW w:w="962" w:type="pct"/>
          </w:tcPr>
          <w:p w14:paraId="2DB3DB44" w14:textId="77777777" w:rsidR="002E474C" w:rsidRDefault="00000000">
            <w:pPr>
              <w:pStyle w:val="A-"/>
            </w:pPr>
            <w:r>
              <w:t xml:space="preserve">0.005 </w:t>
            </w:r>
          </w:p>
        </w:tc>
        <w:tc>
          <w:tcPr>
            <w:tcW w:w="1356" w:type="pct"/>
          </w:tcPr>
          <w:p w14:paraId="67EF8AC7" w14:textId="77777777" w:rsidR="002E474C" w:rsidRDefault="00000000">
            <w:pPr>
              <w:pStyle w:val="A-"/>
            </w:pPr>
            <w:r>
              <w:t xml:space="preserve">0.034 </w:t>
            </w:r>
          </w:p>
        </w:tc>
      </w:tr>
      <w:tr w:rsidR="002E474C" w14:paraId="6C1DC6AB" w14:textId="77777777">
        <w:tc>
          <w:tcPr>
            <w:tcW w:w="398" w:type="pct"/>
            <w:vMerge/>
          </w:tcPr>
          <w:p w14:paraId="3ED53D8D" w14:textId="77777777" w:rsidR="002E474C" w:rsidRDefault="002E474C">
            <w:pPr>
              <w:pStyle w:val="A-"/>
            </w:pPr>
          </w:p>
        </w:tc>
        <w:tc>
          <w:tcPr>
            <w:tcW w:w="793" w:type="pct"/>
            <w:vMerge/>
          </w:tcPr>
          <w:p w14:paraId="15A71B5F" w14:textId="77777777" w:rsidR="002E474C" w:rsidRDefault="002E474C">
            <w:pPr>
              <w:pStyle w:val="A-"/>
            </w:pPr>
          </w:p>
        </w:tc>
        <w:tc>
          <w:tcPr>
            <w:tcW w:w="530" w:type="pct"/>
          </w:tcPr>
          <w:p w14:paraId="46D1DA7C" w14:textId="77777777" w:rsidR="002E474C" w:rsidRDefault="00000000">
            <w:pPr>
              <w:pStyle w:val="A-"/>
            </w:pPr>
            <w:r>
              <w:t>NH</w:t>
            </w:r>
            <w:r>
              <w:rPr>
                <w:vertAlign w:val="subscript"/>
              </w:rPr>
              <w:t>3</w:t>
            </w:r>
          </w:p>
        </w:tc>
        <w:tc>
          <w:tcPr>
            <w:tcW w:w="961" w:type="pct"/>
          </w:tcPr>
          <w:p w14:paraId="7BB7B21E" w14:textId="77777777" w:rsidR="002E474C" w:rsidRDefault="00000000">
            <w:pPr>
              <w:pStyle w:val="A-"/>
            </w:pPr>
            <w:r>
              <w:t>3.8</w:t>
            </w:r>
            <w:r>
              <w:rPr>
                <w:rFonts w:hint="eastAsia"/>
              </w:rPr>
              <w:t>3</w:t>
            </w:r>
          </w:p>
        </w:tc>
        <w:tc>
          <w:tcPr>
            <w:tcW w:w="962" w:type="pct"/>
          </w:tcPr>
          <w:p w14:paraId="51391864" w14:textId="77777777" w:rsidR="002E474C" w:rsidRDefault="00000000">
            <w:pPr>
              <w:pStyle w:val="A-"/>
            </w:pPr>
            <w:r>
              <w:t xml:space="preserve">0.058 </w:t>
            </w:r>
          </w:p>
        </w:tc>
        <w:tc>
          <w:tcPr>
            <w:tcW w:w="1356" w:type="pct"/>
          </w:tcPr>
          <w:p w14:paraId="166998F6" w14:textId="77777777" w:rsidR="002E474C" w:rsidRDefault="00000000">
            <w:pPr>
              <w:pStyle w:val="A-"/>
            </w:pPr>
            <w:r>
              <w:t>0.414</w:t>
            </w:r>
          </w:p>
        </w:tc>
      </w:tr>
      <w:tr w:rsidR="002E474C" w14:paraId="386E738F" w14:textId="77777777">
        <w:tc>
          <w:tcPr>
            <w:tcW w:w="398" w:type="pct"/>
            <w:vMerge/>
          </w:tcPr>
          <w:p w14:paraId="4D5B7BE4" w14:textId="77777777" w:rsidR="002E474C" w:rsidRDefault="002E474C">
            <w:pPr>
              <w:pStyle w:val="A-"/>
            </w:pPr>
          </w:p>
        </w:tc>
        <w:tc>
          <w:tcPr>
            <w:tcW w:w="793" w:type="pct"/>
            <w:vMerge/>
          </w:tcPr>
          <w:p w14:paraId="49ACB7B7" w14:textId="77777777" w:rsidR="002E474C" w:rsidRDefault="002E474C">
            <w:pPr>
              <w:pStyle w:val="A-"/>
            </w:pPr>
          </w:p>
        </w:tc>
        <w:tc>
          <w:tcPr>
            <w:tcW w:w="530" w:type="pct"/>
          </w:tcPr>
          <w:p w14:paraId="0210B1D0" w14:textId="77777777" w:rsidR="002E474C" w:rsidRDefault="00000000">
            <w:pPr>
              <w:pStyle w:val="A-"/>
            </w:pPr>
            <w:r>
              <w:t>NMHC</w:t>
            </w:r>
          </w:p>
        </w:tc>
        <w:tc>
          <w:tcPr>
            <w:tcW w:w="961" w:type="pct"/>
          </w:tcPr>
          <w:p w14:paraId="5582333B" w14:textId="77777777" w:rsidR="002E474C" w:rsidRDefault="00000000">
            <w:pPr>
              <w:pStyle w:val="A-"/>
            </w:pPr>
            <w:r>
              <w:t xml:space="preserve">4.17 </w:t>
            </w:r>
          </w:p>
        </w:tc>
        <w:tc>
          <w:tcPr>
            <w:tcW w:w="962" w:type="pct"/>
          </w:tcPr>
          <w:p w14:paraId="7EF440E3" w14:textId="77777777" w:rsidR="002E474C" w:rsidRDefault="00000000">
            <w:pPr>
              <w:pStyle w:val="A-"/>
            </w:pPr>
            <w:r>
              <w:t xml:space="preserve">0.063 </w:t>
            </w:r>
          </w:p>
        </w:tc>
        <w:tc>
          <w:tcPr>
            <w:tcW w:w="1356" w:type="pct"/>
          </w:tcPr>
          <w:p w14:paraId="7B6A4F3B" w14:textId="77777777" w:rsidR="002E474C" w:rsidRDefault="00000000">
            <w:pPr>
              <w:pStyle w:val="A-"/>
            </w:pPr>
            <w:r>
              <w:t xml:space="preserve">0.450 </w:t>
            </w:r>
          </w:p>
        </w:tc>
      </w:tr>
      <w:tr w:rsidR="002E474C" w14:paraId="32E23767" w14:textId="77777777">
        <w:tc>
          <w:tcPr>
            <w:tcW w:w="5000" w:type="pct"/>
            <w:gridSpan w:val="6"/>
          </w:tcPr>
          <w:p w14:paraId="005408CC" w14:textId="77777777" w:rsidR="002E474C" w:rsidRDefault="00000000">
            <w:pPr>
              <w:pStyle w:val="A-"/>
            </w:pPr>
            <w:r>
              <w:t>有组织排放总计</w:t>
            </w:r>
          </w:p>
        </w:tc>
      </w:tr>
      <w:tr w:rsidR="002E474C" w14:paraId="52308081" w14:textId="77777777">
        <w:tc>
          <w:tcPr>
            <w:tcW w:w="1191" w:type="pct"/>
            <w:gridSpan w:val="2"/>
            <w:vMerge w:val="restart"/>
          </w:tcPr>
          <w:p w14:paraId="2B74343A" w14:textId="77777777" w:rsidR="002E474C" w:rsidRDefault="00000000">
            <w:pPr>
              <w:pStyle w:val="A-"/>
            </w:pPr>
            <w:r>
              <w:t>有组织排放总计</w:t>
            </w:r>
          </w:p>
        </w:tc>
        <w:tc>
          <w:tcPr>
            <w:tcW w:w="2453" w:type="pct"/>
            <w:gridSpan w:val="3"/>
          </w:tcPr>
          <w:p w14:paraId="240453B6" w14:textId="77777777" w:rsidR="002E474C" w:rsidRDefault="00000000">
            <w:pPr>
              <w:pStyle w:val="A-"/>
            </w:pPr>
            <w:r>
              <w:t>HF</w:t>
            </w:r>
          </w:p>
        </w:tc>
        <w:tc>
          <w:tcPr>
            <w:tcW w:w="1356" w:type="pct"/>
          </w:tcPr>
          <w:p w14:paraId="550C4143" w14:textId="77777777" w:rsidR="002E474C" w:rsidRDefault="00000000">
            <w:pPr>
              <w:pStyle w:val="A-"/>
            </w:pPr>
            <w:r>
              <w:t>1.27</w:t>
            </w:r>
          </w:p>
        </w:tc>
      </w:tr>
      <w:tr w:rsidR="002E474C" w14:paraId="0EFFB4EF" w14:textId="77777777">
        <w:tc>
          <w:tcPr>
            <w:tcW w:w="1191" w:type="pct"/>
            <w:gridSpan w:val="2"/>
            <w:vMerge/>
          </w:tcPr>
          <w:p w14:paraId="29BEB48C" w14:textId="77777777" w:rsidR="002E474C" w:rsidRDefault="002E474C">
            <w:pPr>
              <w:pStyle w:val="A-"/>
            </w:pPr>
          </w:p>
        </w:tc>
        <w:tc>
          <w:tcPr>
            <w:tcW w:w="2453" w:type="pct"/>
            <w:gridSpan w:val="3"/>
          </w:tcPr>
          <w:p w14:paraId="142136FA" w14:textId="77777777" w:rsidR="002E474C" w:rsidRDefault="00000000">
            <w:pPr>
              <w:pStyle w:val="A-"/>
            </w:pPr>
            <w:r>
              <w:t>HCl</w:t>
            </w:r>
          </w:p>
        </w:tc>
        <w:tc>
          <w:tcPr>
            <w:tcW w:w="1356" w:type="pct"/>
          </w:tcPr>
          <w:p w14:paraId="5946DFAC" w14:textId="77777777" w:rsidR="002E474C" w:rsidRDefault="00000000">
            <w:pPr>
              <w:pStyle w:val="A-"/>
            </w:pPr>
            <w:r>
              <w:t>12.98</w:t>
            </w:r>
          </w:p>
        </w:tc>
      </w:tr>
      <w:tr w:rsidR="002E474C" w14:paraId="2B44D52B" w14:textId="77777777">
        <w:tc>
          <w:tcPr>
            <w:tcW w:w="1191" w:type="pct"/>
            <w:gridSpan w:val="2"/>
            <w:vMerge/>
          </w:tcPr>
          <w:p w14:paraId="02CCFA70" w14:textId="77777777" w:rsidR="002E474C" w:rsidRDefault="002E474C">
            <w:pPr>
              <w:pStyle w:val="A-"/>
            </w:pPr>
          </w:p>
        </w:tc>
        <w:tc>
          <w:tcPr>
            <w:tcW w:w="2453" w:type="pct"/>
            <w:gridSpan w:val="3"/>
          </w:tcPr>
          <w:p w14:paraId="0CB0445A" w14:textId="77777777" w:rsidR="002E474C" w:rsidRDefault="00000000">
            <w:pPr>
              <w:pStyle w:val="A-"/>
            </w:pPr>
            <w:r>
              <w:t>Cr</w:t>
            </w:r>
          </w:p>
        </w:tc>
        <w:tc>
          <w:tcPr>
            <w:tcW w:w="1356" w:type="pct"/>
          </w:tcPr>
          <w:p w14:paraId="613AE3DF" w14:textId="77777777" w:rsidR="002E474C" w:rsidRDefault="00000000">
            <w:pPr>
              <w:pStyle w:val="A-"/>
            </w:pPr>
            <w:r>
              <w:t>1.9259 kg/a</w:t>
            </w:r>
          </w:p>
        </w:tc>
      </w:tr>
      <w:tr w:rsidR="002E474C" w14:paraId="61920366" w14:textId="77777777">
        <w:tc>
          <w:tcPr>
            <w:tcW w:w="1191" w:type="pct"/>
            <w:gridSpan w:val="2"/>
            <w:vMerge/>
          </w:tcPr>
          <w:p w14:paraId="0AB2A426" w14:textId="77777777" w:rsidR="002E474C" w:rsidRDefault="002E474C">
            <w:pPr>
              <w:pStyle w:val="A-"/>
            </w:pPr>
          </w:p>
        </w:tc>
        <w:tc>
          <w:tcPr>
            <w:tcW w:w="2453" w:type="pct"/>
            <w:gridSpan w:val="3"/>
          </w:tcPr>
          <w:p w14:paraId="024FEAE6" w14:textId="77777777" w:rsidR="002E474C" w:rsidRDefault="00000000">
            <w:pPr>
              <w:pStyle w:val="A-"/>
            </w:pPr>
            <w:r>
              <w:t>Cu</w:t>
            </w:r>
          </w:p>
        </w:tc>
        <w:tc>
          <w:tcPr>
            <w:tcW w:w="1356" w:type="pct"/>
          </w:tcPr>
          <w:p w14:paraId="4EF329A8" w14:textId="77777777" w:rsidR="002E474C" w:rsidRDefault="00000000">
            <w:pPr>
              <w:pStyle w:val="A-"/>
            </w:pPr>
            <w:r>
              <w:t>33.2232 kg/a</w:t>
            </w:r>
          </w:p>
        </w:tc>
      </w:tr>
      <w:tr w:rsidR="002E474C" w14:paraId="6788F0DE" w14:textId="77777777">
        <w:tc>
          <w:tcPr>
            <w:tcW w:w="1191" w:type="pct"/>
            <w:gridSpan w:val="2"/>
            <w:vMerge/>
          </w:tcPr>
          <w:p w14:paraId="39994A14" w14:textId="77777777" w:rsidR="002E474C" w:rsidRDefault="002E474C">
            <w:pPr>
              <w:pStyle w:val="A-"/>
            </w:pPr>
          </w:p>
        </w:tc>
        <w:tc>
          <w:tcPr>
            <w:tcW w:w="2453" w:type="pct"/>
            <w:gridSpan w:val="3"/>
          </w:tcPr>
          <w:p w14:paraId="48BBBBEE" w14:textId="77777777" w:rsidR="002E474C" w:rsidRDefault="00000000">
            <w:pPr>
              <w:pStyle w:val="A-"/>
            </w:pPr>
            <w:r>
              <w:t>Cd</w:t>
            </w:r>
          </w:p>
        </w:tc>
        <w:tc>
          <w:tcPr>
            <w:tcW w:w="1356" w:type="pct"/>
          </w:tcPr>
          <w:p w14:paraId="65256B0E" w14:textId="77777777" w:rsidR="002E474C" w:rsidRDefault="00000000">
            <w:pPr>
              <w:pStyle w:val="A-"/>
            </w:pPr>
            <w:r>
              <w:t>0.0079 kg/a</w:t>
            </w:r>
          </w:p>
        </w:tc>
      </w:tr>
      <w:tr w:rsidR="002E474C" w14:paraId="51197F95" w14:textId="77777777">
        <w:tc>
          <w:tcPr>
            <w:tcW w:w="1191" w:type="pct"/>
            <w:gridSpan w:val="2"/>
            <w:vMerge/>
          </w:tcPr>
          <w:p w14:paraId="0B8D6D5D" w14:textId="77777777" w:rsidR="002E474C" w:rsidRDefault="002E474C">
            <w:pPr>
              <w:pStyle w:val="A-"/>
            </w:pPr>
          </w:p>
        </w:tc>
        <w:tc>
          <w:tcPr>
            <w:tcW w:w="2453" w:type="pct"/>
            <w:gridSpan w:val="3"/>
          </w:tcPr>
          <w:p w14:paraId="4BA92DCD" w14:textId="77777777" w:rsidR="002E474C" w:rsidRDefault="00000000">
            <w:pPr>
              <w:pStyle w:val="A-"/>
            </w:pPr>
            <w:r>
              <w:t>Pb</w:t>
            </w:r>
          </w:p>
        </w:tc>
        <w:tc>
          <w:tcPr>
            <w:tcW w:w="1356" w:type="pct"/>
          </w:tcPr>
          <w:p w14:paraId="344EE0F9" w14:textId="77777777" w:rsidR="002E474C" w:rsidRDefault="00000000">
            <w:pPr>
              <w:pStyle w:val="A-"/>
            </w:pPr>
            <w:r>
              <w:t>3.7872 kg/a</w:t>
            </w:r>
          </w:p>
        </w:tc>
      </w:tr>
      <w:tr w:rsidR="002E474C" w14:paraId="787A7D0D" w14:textId="77777777">
        <w:tc>
          <w:tcPr>
            <w:tcW w:w="1191" w:type="pct"/>
            <w:gridSpan w:val="2"/>
            <w:vMerge/>
          </w:tcPr>
          <w:p w14:paraId="5A4049C6" w14:textId="77777777" w:rsidR="002E474C" w:rsidRDefault="002E474C">
            <w:pPr>
              <w:pStyle w:val="A-"/>
            </w:pPr>
          </w:p>
        </w:tc>
        <w:tc>
          <w:tcPr>
            <w:tcW w:w="2453" w:type="pct"/>
            <w:gridSpan w:val="3"/>
          </w:tcPr>
          <w:p w14:paraId="6F5B182E" w14:textId="77777777" w:rsidR="002E474C" w:rsidRDefault="00000000">
            <w:pPr>
              <w:pStyle w:val="A-"/>
            </w:pPr>
            <w:r>
              <w:t>Ni</w:t>
            </w:r>
          </w:p>
        </w:tc>
        <w:tc>
          <w:tcPr>
            <w:tcW w:w="1356" w:type="pct"/>
          </w:tcPr>
          <w:p w14:paraId="14BB8218" w14:textId="77777777" w:rsidR="002E474C" w:rsidRDefault="00000000">
            <w:pPr>
              <w:pStyle w:val="A-"/>
            </w:pPr>
            <w:r>
              <w:t>0.0772 kg/a</w:t>
            </w:r>
          </w:p>
        </w:tc>
      </w:tr>
      <w:tr w:rsidR="002E474C" w14:paraId="2EF358A7" w14:textId="77777777">
        <w:tc>
          <w:tcPr>
            <w:tcW w:w="1191" w:type="pct"/>
            <w:gridSpan w:val="2"/>
            <w:vMerge/>
          </w:tcPr>
          <w:p w14:paraId="0E1C4D9E" w14:textId="77777777" w:rsidR="002E474C" w:rsidRDefault="002E474C">
            <w:pPr>
              <w:pStyle w:val="A-"/>
            </w:pPr>
          </w:p>
        </w:tc>
        <w:tc>
          <w:tcPr>
            <w:tcW w:w="2453" w:type="pct"/>
            <w:gridSpan w:val="3"/>
          </w:tcPr>
          <w:p w14:paraId="6EDA5D78" w14:textId="77777777" w:rsidR="002E474C" w:rsidRDefault="00000000">
            <w:pPr>
              <w:pStyle w:val="A-"/>
            </w:pPr>
            <w:r>
              <w:t>Mn</w:t>
            </w:r>
          </w:p>
        </w:tc>
        <w:tc>
          <w:tcPr>
            <w:tcW w:w="1356" w:type="pct"/>
          </w:tcPr>
          <w:p w14:paraId="4A40B1D7" w14:textId="77777777" w:rsidR="002E474C" w:rsidRDefault="00000000">
            <w:pPr>
              <w:pStyle w:val="A-"/>
            </w:pPr>
            <w:r>
              <w:t>0.2462 kg/a</w:t>
            </w:r>
          </w:p>
        </w:tc>
      </w:tr>
      <w:tr w:rsidR="002E474C" w14:paraId="3AB18546" w14:textId="77777777">
        <w:tc>
          <w:tcPr>
            <w:tcW w:w="1191" w:type="pct"/>
            <w:gridSpan w:val="2"/>
            <w:vMerge/>
          </w:tcPr>
          <w:p w14:paraId="489CC673" w14:textId="77777777" w:rsidR="002E474C" w:rsidRDefault="002E474C">
            <w:pPr>
              <w:pStyle w:val="A-"/>
            </w:pPr>
          </w:p>
        </w:tc>
        <w:tc>
          <w:tcPr>
            <w:tcW w:w="2453" w:type="pct"/>
            <w:gridSpan w:val="3"/>
          </w:tcPr>
          <w:p w14:paraId="41760411" w14:textId="77777777" w:rsidR="002E474C" w:rsidRDefault="00000000">
            <w:pPr>
              <w:pStyle w:val="A-"/>
            </w:pPr>
            <w:r>
              <w:t>As</w:t>
            </w:r>
          </w:p>
        </w:tc>
        <w:tc>
          <w:tcPr>
            <w:tcW w:w="1356" w:type="pct"/>
          </w:tcPr>
          <w:p w14:paraId="6786D54B" w14:textId="77777777" w:rsidR="002E474C" w:rsidRDefault="00000000">
            <w:pPr>
              <w:pStyle w:val="A-"/>
            </w:pPr>
            <w:r>
              <w:t>3.2102 kg/a</w:t>
            </w:r>
          </w:p>
        </w:tc>
      </w:tr>
      <w:tr w:rsidR="002E474C" w14:paraId="1EDC439B" w14:textId="77777777">
        <w:tc>
          <w:tcPr>
            <w:tcW w:w="1191" w:type="pct"/>
            <w:gridSpan w:val="2"/>
            <w:vMerge/>
          </w:tcPr>
          <w:p w14:paraId="47529EE7" w14:textId="77777777" w:rsidR="002E474C" w:rsidRDefault="002E474C">
            <w:pPr>
              <w:pStyle w:val="A-"/>
            </w:pPr>
          </w:p>
        </w:tc>
        <w:tc>
          <w:tcPr>
            <w:tcW w:w="2453" w:type="pct"/>
            <w:gridSpan w:val="3"/>
          </w:tcPr>
          <w:p w14:paraId="47A6E0E7" w14:textId="77777777" w:rsidR="002E474C" w:rsidRDefault="00000000">
            <w:pPr>
              <w:pStyle w:val="A-"/>
            </w:pPr>
            <w:r>
              <w:t>Hg</w:t>
            </w:r>
          </w:p>
        </w:tc>
        <w:tc>
          <w:tcPr>
            <w:tcW w:w="1356" w:type="pct"/>
          </w:tcPr>
          <w:p w14:paraId="680EE7B7" w14:textId="77777777" w:rsidR="002E474C" w:rsidRDefault="00000000">
            <w:pPr>
              <w:pStyle w:val="A-"/>
            </w:pPr>
            <w:r>
              <w:rPr>
                <w:rFonts w:hint="eastAsia"/>
              </w:rPr>
              <w:t>6.745</w:t>
            </w:r>
            <w:r>
              <w:t>kg/a</w:t>
            </w:r>
          </w:p>
        </w:tc>
      </w:tr>
      <w:tr w:rsidR="002E474C" w14:paraId="3E7DEDAE" w14:textId="77777777">
        <w:tc>
          <w:tcPr>
            <w:tcW w:w="1191" w:type="pct"/>
            <w:gridSpan w:val="2"/>
            <w:vMerge/>
          </w:tcPr>
          <w:p w14:paraId="031A48E9" w14:textId="77777777" w:rsidR="002E474C" w:rsidRDefault="002E474C">
            <w:pPr>
              <w:pStyle w:val="A-"/>
            </w:pPr>
          </w:p>
        </w:tc>
        <w:tc>
          <w:tcPr>
            <w:tcW w:w="2453" w:type="pct"/>
            <w:gridSpan w:val="3"/>
          </w:tcPr>
          <w:p w14:paraId="226BBD95" w14:textId="77777777" w:rsidR="002E474C" w:rsidRDefault="00000000">
            <w:pPr>
              <w:pStyle w:val="A-"/>
            </w:pPr>
            <w:r>
              <w:t>二噁英类</w:t>
            </w:r>
          </w:p>
        </w:tc>
        <w:tc>
          <w:tcPr>
            <w:tcW w:w="1356" w:type="pct"/>
          </w:tcPr>
          <w:p w14:paraId="1A54B3AF" w14:textId="77777777" w:rsidR="002E474C" w:rsidRDefault="00000000">
            <w:pPr>
              <w:pStyle w:val="A-"/>
            </w:pPr>
            <w:r>
              <w:t xml:space="preserve">0.1152 </w:t>
            </w:r>
            <w:proofErr w:type="spellStart"/>
            <w:r>
              <w:t>gTEQ</w:t>
            </w:r>
            <w:proofErr w:type="spellEnd"/>
            <w:r>
              <w:t>/a</w:t>
            </w:r>
          </w:p>
        </w:tc>
      </w:tr>
      <w:tr w:rsidR="002E474C" w14:paraId="5F125395" w14:textId="77777777">
        <w:tc>
          <w:tcPr>
            <w:tcW w:w="1191" w:type="pct"/>
            <w:gridSpan w:val="2"/>
            <w:vMerge/>
          </w:tcPr>
          <w:p w14:paraId="00141364" w14:textId="77777777" w:rsidR="002E474C" w:rsidRDefault="002E474C">
            <w:pPr>
              <w:pStyle w:val="A-"/>
            </w:pPr>
          </w:p>
        </w:tc>
        <w:tc>
          <w:tcPr>
            <w:tcW w:w="2453" w:type="pct"/>
            <w:gridSpan w:val="3"/>
          </w:tcPr>
          <w:p w14:paraId="1D389B60" w14:textId="77777777" w:rsidR="002E474C" w:rsidRDefault="00000000">
            <w:pPr>
              <w:pStyle w:val="A-"/>
            </w:pPr>
            <w:r>
              <w:t>H</w:t>
            </w:r>
            <w:r>
              <w:rPr>
                <w:vertAlign w:val="subscript"/>
              </w:rPr>
              <w:t>2</w:t>
            </w:r>
            <w:r>
              <w:t>S</w:t>
            </w:r>
          </w:p>
        </w:tc>
        <w:tc>
          <w:tcPr>
            <w:tcW w:w="1356" w:type="pct"/>
          </w:tcPr>
          <w:p w14:paraId="1FAD869F" w14:textId="77777777" w:rsidR="002E474C" w:rsidRDefault="00000000">
            <w:pPr>
              <w:pStyle w:val="A-"/>
            </w:pPr>
            <w:r>
              <w:t xml:space="preserve">0.034 </w:t>
            </w:r>
          </w:p>
        </w:tc>
      </w:tr>
      <w:tr w:rsidR="002E474C" w14:paraId="0C3208F2" w14:textId="77777777">
        <w:tc>
          <w:tcPr>
            <w:tcW w:w="1191" w:type="pct"/>
            <w:gridSpan w:val="2"/>
            <w:vMerge/>
          </w:tcPr>
          <w:p w14:paraId="5D1D6274" w14:textId="77777777" w:rsidR="002E474C" w:rsidRDefault="002E474C">
            <w:pPr>
              <w:pStyle w:val="A-"/>
            </w:pPr>
          </w:p>
        </w:tc>
        <w:tc>
          <w:tcPr>
            <w:tcW w:w="2453" w:type="pct"/>
            <w:gridSpan w:val="3"/>
          </w:tcPr>
          <w:p w14:paraId="4B56E87D" w14:textId="77777777" w:rsidR="002E474C" w:rsidRDefault="00000000">
            <w:pPr>
              <w:pStyle w:val="A-"/>
            </w:pPr>
            <w:r>
              <w:t>NH</w:t>
            </w:r>
            <w:r>
              <w:rPr>
                <w:vertAlign w:val="subscript"/>
              </w:rPr>
              <w:t>3</w:t>
            </w:r>
          </w:p>
        </w:tc>
        <w:tc>
          <w:tcPr>
            <w:tcW w:w="1356" w:type="pct"/>
          </w:tcPr>
          <w:p w14:paraId="6021CFE9" w14:textId="77777777" w:rsidR="002E474C" w:rsidRDefault="00000000">
            <w:pPr>
              <w:pStyle w:val="A-"/>
            </w:pPr>
            <w:r>
              <w:t>0.414</w:t>
            </w:r>
          </w:p>
        </w:tc>
      </w:tr>
      <w:tr w:rsidR="002E474C" w14:paraId="059C03A7" w14:textId="77777777">
        <w:tc>
          <w:tcPr>
            <w:tcW w:w="1191" w:type="pct"/>
            <w:gridSpan w:val="2"/>
            <w:vMerge/>
          </w:tcPr>
          <w:p w14:paraId="768DE395" w14:textId="77777777" w:rsidR="002E474C" w:rsidRDefault="002E474C">
            <w:pPr>
              <w:pStyle w:val="A-"/>
            </w:pPr>
          </w:p>
        </w:tc>
        <w:tc>
          <w:tcPr>
            <w:tcW w:w="2453" w:type="pct"/>
            <w:gridSpan w:val="3"/>
          </w:tcPr>
          <w:p w14:paraId="3C60C9C2" w14:textId="77777777" w:rsidR="002E474C" w:rsidRDefault="00000000">
            <w:pPr>
              <w:pStyle w:val="A-"/>
              <w:rPr>
                <w:spacing w:val="-10"/>
              </w:rPr>
            </w:pPr>
            <w:r>
              <w:t>NMHC</w:t>
            </w:r>
          </w:p>
        </w:tc>
        <w:tc>
          <w:tcPr>
            <w:tcW w:w="1356" w:type="pct"/>
          </w:tcPr>
          <w:p w14:paraId="6828F06A" w14:textId="77777777" w:rsidR="002E474C" w:rsidRDefault="00000000">
            <w:pPr>
              <w:pStyle w:val="A-"/>
            </w:pPr>
            <w:r>
              <w:t xml:space="preserve">0.450 </w:t>
            </w:r>
          </w:p>
        </w:tc>
      </w:tr>
    </w:tbl>
    <w:p w14:paraId="4D44DBC8" w14:textId="77777777" w:rsidR="002E474C" w:rsidRDefault="002E474C"/>
    <w:p w14:paraId="65B077BF" w14:textId="77777777" w:rsidR="002E474C" w:rsidRDefault="00000000">
      <w:pPr>
        <w:pStyle w:val="A--"/>
        <w:rPr>
          <w:color w:val="auto"/>
        </w:rPr>
      </w:pPr>
      <w:r>
        <w:rPr>
          <w:color w:val="auto"/>
        </w:rPr>
        <w:t>表</w:t>
      </w:r>
      <w:r>
        <w:rPr>
          <w:color w:val="auto"/>
        </w:rPr>
        <w:t>5.1</w:t>
      </w:r>
      <w:r>
        <w:rPr>
          <w:color w:val="auto"/>
        </w:rPr>
        <w:noBreakHyphen/>
        <w:t xml:space="preserve">40  </w:t>
      </w:r>
      <w:r>
        <w:rPr>
          <w:color w:val="auto"/>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187"/>
        <w:gridCol w:w="869"/>
        <w:gridCol w:w="1747"/>
        <w:gridCol w:w="1779"/>
        <w:gridCol w:w="1197"/>
        <w:gridCol w:w="866"/>
      </w:tblGrid>
      <w:tr w:rsidR="002E474C" w14:paraId="4B2DFBFC" w14:textId="77777777">
        <w:trPr>
          <w:jc w:val="center"/>
        </w:trPr>
        <w:tc>
          <w:tcPr>
            <w:tcW w:w="396" w:type="pct"/>
            <w:vMerge w:val="restart"/>
            <w:shd w:val="clear" w:color="auto" w:fill="auto"/>
            <w:vAlign w:val="center"/>
          </w:tcPr>
          <w:p w14:paraId="3DEED066" w14:textId="77777777" w:rsidR="002E474C" w:rsidRDefault="00000000">
            <w:pPr>
              <w:pStyle w:val="A-"/>
            </w:pPr>
            <w:r>
              <w:t>序号</w:t>
            </w:r>
          </w:p>
        </w:tc>
        <w:tc>
          <w:tcPr>
            <w:tcW w:w="719" w:type="pct"/>
            <w:vMerge w:val="restart"/>
            <w:shd w:val="clear" w:color="auto" w:fill="auto"/>
            <w:vAlign w:val="center"/>
          </w:tcPr>
          <w:p w14:paraId="0DBDB61E" w14:textId="77777777" w:rsidR="002E474C" w:rsidRDefault="00000000">
            <w:pPr>
              <w:pStyle w:val="A-"/>
            </w:pPr>
            <w:r>
              <w:t>产污环节</w:t>
            </w:r>
          </w:p>
        </w:tc>
        <w:tc>
          <w:tcPr>
            <w:tcW w:w="527" w:type="pct"/>
            <w:vMerge w:val="restart"/>
            <w:shd w:val="clear" w:color="auto" w:fill="auto"/>
            <w:vAlign w:val="center"/>
          </w:tcPr>
          <w:p w14:paraId="4200674D" w14:textId="77777777" w:rsidR="002E474C" w:rsidRDefault="00000000">
            <w:pPr>
              <w:pStyle w:val="A-"/>
            </w:pPr>
            <w:r>
              <w:t>污染物</w:t>
            </w:r>
          </w:p>
        </w:tc>
        <w:tc>
          <w:tcPr>
            <w:tcW w:w="1056" w:type="pct"/>
            <w:vMerge w:val="restart"/>
            <w:shd w:val="clear" w:color="auto" w:fill="auto"/>
            <w:vAlign w:val="center"/>
          </w:tcPr>
          <w:p w14:paraId="2487DCFA" w14:textId="77777777" w:rsidR="002E474C" w:rsidRDefault="00000000">
            <w:pPr>
              <w:pStyle w:val="A-"/>
            </w:pPr>
            <w:r>
              <w:t>主要污染防治措施</w:t>
            </w:r>
          </w:p>
        </w:tc>
        <w:tc>
          <w:tcPr>
            <w:tcW w:w="1777" w:type="pct"/>
            <w:gridSpan w:val="2"/>
            <w:shd w:val="clear" w:color="auto" w:fill="auto"/>
            <w:vAlign w:val="center"/>
          </w:tcPr>
          <w:p w14:paraId="0B351ACC" w14:textId="77777777" w:rsidR="002E474C" w:rsidRDefault="00000000">
            <w:pPr>
              <w:pStyle w:val="A-"/>
            </w:pPr>
            <w:r>
              <w:t>国家或地方污染物排放标准</w:t>
            </w:r>
          </w:p>
        </w:tc>
        <w:tc>
          <w:tcPr>
            <w:tcW w:w="525" w:type="pct"/>
            <w:vMerge w:val="restart"/>
            <w:shd w:val="clear" w:color="auto" w:fill="auto"/>
            <w:vAlign w:val="center"/>
          </w:tcPr>
          <w:p w14:paraId="0F51AB86" w14:textId="77777777" w:rsidR="002E474C" w:rsidRDefault="00000000">
            <w:pPr>
              <w:pStyle w:val="A-"/>
            </w:pPr>
            <w:r>
              <w:t>年排放量</w:t>
            </w:r>
            <w:r>
              <w:t>/</w:t>
            </w:r>
            <w:r>
              <w:t>（</w:t>
            </w:r>
            <w:r>
              <w:t>t/a</w:t>
            </w:r>
            <w:r>
              <w:t>）</w:t>
            </w:r>
          </w:p>
        </w:tc>
      </w:tr>
      <w:tr w:rsidR="002E474C" w14:paraId="1ABC7088" w14:textId="77777777">
        <w:trPr>
          <w:jc w:val="center"/>
        </w:trPr>
        <w:tc>
          <w:tcPr>
            <w:tcW w:w="396" w:type="pct"/>
            <w:vMerge/>
            <w:shd w:val="clear" w:color="auto" w:fill="auto"/>
            <w:vAlign w:val="center"/>
          </w:tcPr>
          <w:p w14:paraId="3E28D740" w14:textId="77777777" w:rsidR="002E474C" w:rsidRDefault="002E474C">
            <w:pPr>
              <w:pStyle w:val="A-"/>
            </w:pPr>
          </w:p>
        </w:tc>
        <w:tc>
          <w:tcPr>
            <w:tcW w:w="719" w:type="pct"/>
            <w:vMerge/>
            <w:shd w:val="clear" w:color="auto" w:fill="auto"/>
            <w:vAlign w:val="center"/>
          </w:tcPr>
          <w:p w14:paraId="3FD690E3" w14:textId="77777777" w:rsidR="002E474C" w:rsidRDefault="002E474C">
            <w:pPr>
              <w:pStyle w:val="A-"/>
            </w:pPr>
          </w:p>
        </w:tc>
        <w:tc>
          <w:tcPr>
            <w:tcW w:w="527" w:type="pct"/>
            <w:vMerge/>
            <w:shd w:val="clear" w:color="auto" w:fill="auto"/>
            <w:vAlign w:val="center"/>
          </w:tcPr>
          <w:p w14:paraId="258117C1" w14:textId="77777777" w:rsidR="002E474C" w:rsidRDefault="002E474C">
            <w:pPr>
              <w:pStyle w:val="A-"/>
            </w:pPr>
          </w:p>
        </w:tc>
        <w:tc>
          <w:tcPr>
            <w:tcW w:w="1056" w:type="pct"/>
            <w:vMerge/>
            <w:shd w:val="clear" w:color="auto" w:fill="auto"/>
            <w:vAlign w:val="center"/>
          </w:tcPr>
          <w:p w14:paraId="6478FEEF" w14:textId="77777777" w:rsidR="002E474C" w:rsidRDefault="002E474C">
            <w:pPr>
              <w:pStyle w:val="A-"/>
            </w:pPr>
          </w:p>
        </w:tc>
        <w:tc>
          <w:tcPr>
            <w:tcW w:w="1075" w:type="pct"/>
            <w:shd w:val="clear" w:color="auto" w:fill="auto"/>
            <w:vAlign w:val="center"/>
          </w:tcPr>
          <w:p w14:paraId="10D8FD08" w14:textId="77777777" w:rsidR="002E474C" w:rsidRDefault="00000000">
            <w:pPr>
              <w:pStyle w:val="A-"/>
            </w:pPr>
            <w:r>
              <w:t>标准名称</w:t>
            </w:r>
          </w:p>
        </w:tc>
        <w:tc>
          <w:tcPr>
            <w:tcW w:w="702" w:type="pct"/>
            <w:shd w:val="clear" w:color="auto" w:fill="auto"/>
            <w:vAlign w:val="center"/>
          </w:tcPr>
          <w:p w14:paraId="6F6FC617" w14:textId="77777777" w:rsidR="002E474C" w:rsidRDefault="00000000">
            <w:pPr>
              <w:pStyle w:val="A-"/>
            </w:pPr>
            <w:r>
              <w:t>浓度限值</w:t>
            </w:r>
            <w:r>
              <w:t>/</w:t>
            </w:r>
            <w:r>
              <w:t>（</w:t>
            </w:r>
            <w:r>
              <w:t>mg/m</w:t>
            </w:r>
            <w:r>
              <w:rPr>
                <w:vertAlign w:val="superscript"/>
              </w:rPr>
              <w:t>3</w:t>
            </w:r>
            <w:r>
              <w:t>）</w:t>
            </w:r>
          </w:p>
        </w:tc>
        <w:tc>
          <w:tcPr>
            <w:tcW w:w="525" w:type="pct"/>
            <w:vMerge/>
            <w:shd w:val="clear" w:color="auto" w:fill="auto"/>
            <w:vAlign w:val="center"/>
          </w:tcPr>
          <w:p w14:paraId="2E0F4450" w14:textId="77777777" w:rsidR="002E474C" w:rsidRDefault="002E474C">
            <w:pPr>
              <w:pStyle w:val="A-"/>
            </w:pPr>
          </w:p>
        </w:tc>
      </w:tr>
      <w:tr w:rsidR="002E474C" w14:paraId="1AB05F25" w14:textId="77777777">
        <w:trPr>
          <w:jc w:val="center"/>
        </w:trPr>
        <w:tc>
          <w:tcPr>
            <w:tcW w:w="396" w:type="pct"/>
            <w:vMerge w:val="restart"/>
            <w:shd w:val="clear" w:color="auto" w:fill="auto"/>
            <w:vAlign w:val="center"/>
          </w:tcPr>
          <w:p w14:paraId="4A35BF1D" w14:textId="77777777" w:rsidR="002E474C" w:rsidRDefault="00000000">
            <w:pPr>
              <w:pStyle w:val="A-"/>
            </w:pPr>
            <w:r>
              <w:t>1</w:t>
            </w:r>
          </w:p>
        </w:tc>
        <w:tc>
          <w:tcPr>
            <w:tcW w:w="719" w:type="pct"/>
            <w:vMerge w:val="restart"/>
            <w:shd w:val="clear" w:color="auto" w:fill="auto"/>
            <w:vAlign w:val="center"/>
          </w:tcPr>
          <w:p w14:paraId="0AF18DBC" w14:textId="77777777" w:rsidR="002E474C" w:rsidRDefault="00000000">
            <w:pPr>
              <w:pStyle w:val="A-"/>
            </w:pPr>
            <w:r>
              <w:t>危废预处理车间</w:t>
            </w:r>
          </w:p>
        </w:tc>
        <w:tc>
          <w:tcPr>
            <w:tcW w:w="527" w:type="pct"/>
            <w:shd w:val="clear" w:color="auto" w:fill="auto"/>
            <w:vAlign w:val="center"/>
          </w:tcPr>
          <w:p w14:paraId="6FD722BC" w14:textId="77777777" w:rsidR="002E474C" w:rsidRDefault="00000000">
            <w:pPr>
              <w:pStyle w:val="A-"/>
            </w:pPr>
            <w:r>
              <w:t>H</w:t>
            </w:r>
            <w:r>
              <w:rPr>
                <w:vertAlign w:val="subscript"/>
              </w:rPr>
              <w:t>2</w:t>
            </w:r>
            <w:r>
              <w:t>S</w:t>
            </w:r>
          </w:p>
        </w:tc>
        <w:tc>
          <w:tcPr>
            <w:tcW w:w="1056" w:type="pct"/>
            <w:vMerge w:val="restart"/>
            <w:shd w:val="clear" w:color="auto" w:fill="auto"/>
            <w:vAlign w:val="center"/>
          </w:tcPr>
          <w:p w14:paraId="2B5C8467" w14:textId="77777777" w:rsidR="002E474C" w:rsidRDefault="00000000">
            <w:pPr>
              <w:pStyle w:val="A-"/>
            </w:pPr>
            <w:r>
              <w:t>固体废物密闭贮存、转载，保持处于微负压状态并将废气引入废气净化系统处理</w:t>
            </w:r>
          </w:p>
        </w:tc>
        <w:tc>
          <w:tcPr>
            <w:tcW w:w="1075" w:type="pct"/>
            <w:vMerge w:val="restart"/>
            <w:shd w:val="clear" w:color="auto" w:fill="auto"/>
            <w:vAlign w:val="center"/>
          </w:tcPr>
          <w:p w14:paraId="175031DF" w14:textId="77777777" w:rsidR="002E474C" w:rsidRDefault="00000000">
            <w:pPr>
              <w:pStyle w:val="A-"/>
            </w:pPr>
            <w:r>
              <w:t>《恶臭污染物排放标准》</w:t>
            </w:r>
          </w:p>
        </w:tc>
        <w:tc>
          <w:tcPr>
            <w:tcW w:w="702" w:type="pct"/>
            <w:shd w:val="clear" w:color="auto" w:fill="auto"/>
            <w:vAlign w:val="center"/>
          </w:tcPr>
          <w:p w14:paraId="7A95F24D" w14:textId="77777777" w:rsidR="002E474C" w:rsidRDefault="00000000">
            <w:pPr>
              <w:pStyle w:val="A-"/>
            </w:pPr>
            <w:r>
              <w:t>0.06</w:t>
            </w:r>
          </w:p>
        </w:tc>
        <w:tc>
          <w:tcPr>
            <w:tcW w:w="525" w:type="pct"/>
            <w:shd w:val="clear" w:color="auto" w:fill="auto"/>
            <w:vAlign w:val="center"/>
          </w:tcPr>
          <w:p w14:paraId="657D8050" w14:textId="77777777" w:rsidR="002E474C" w:rsidRDefault="00000000">
            <w:pPr>
              <w:pStyle w:val="A-"/>
            </w:pPr>
            <w:r>
              <w:t xml:space="preserve">0.0028 </w:t>
            </w:r>
          </w:p>
        </w:tc>
      </w:tr>
      <w:tr w:rsidR="002E474C" w14:paraId="767CF4C6" w14:textId="77777777">
        <w:trPr>
          <w:jc w:val="center"/>
        </w:trPr>
        <w:tc>
          <w:tcPr>
            <w:tcW w:w="396" w:type="pct"/>
            <w:vMerge/>
            <w:shd w:val="clear" w:color="auto" w:fill="auto"/>
            <w:vAlign w:val="center"/>
          </w:tcPr>
          <w:p w14:paraId="7B3EDF5C" w14:textId="77777777" w:rsidR="002E474C" w:rsidRDefault="002E474C">
            <w:pPr>
              <w:pStyle w:val="A-"/>
            </w:pPr>
          </w:p>
        </w:tc>
        <w:tc>
          <w:tcPr>
            <w:tcW w:w="719" w:type="pct"/>
            <w:vMerge/>
            <w:shd w:val="clear" w:color="auto" w:fill="auto"/>
            <w:vAlign w:val="center"/>
          </w:tcPr>
          <w:p w14:paraId="360BD338" w14:textId="77777777" w:rsidR="002E474C" w:rsidRDefault="002E474C">
            <w:pPr>
              <w:pStyle w:val="A-"/>
            </w:pPr>
          </w:p>
        </w:tc>
        <w:tc>
          <w:tcPr>
            <w:tcW w:w="527" w:type="pct"/>
            <w:shd w:val="clear" w:color="auto" w:fill="auto"/>
            <w:vAlign w:val="center"/>
          </w:tcPr>
          <w:p w14:paraId="7EB2DC7D" w14:textId="77777777" w:rsidR="002E474C" w:rsidRDefault="00000000">
            <w:pPr>
              <w:pStyle w:val="A-"/>
            </w:pPr>
            <w:r>
              <w:t>NH</w:t>
            </w:r>
            <w:r>
              <w:rPr>
                <w:vertAlign w:val="subscript"/>
              </w:rPr>
              <w:t>3</w:t>
            </w:r>
          </w:p>
        </w:tc>
        <w:tc>
          <w:tcPr>
            <w:tcW w:w="1056" w:type="pct"/>
            <w:vMerge/>
            <w:shd w:val="clear" w:color="auto" w:fill="auto"/>
            <w:vAlign w:val="center"/>
          </w:tcPr>
          <w:p w14:paraId="2EC19CC0" w14:textId="77777777" w:rsidR="002E474C" w:rsidRDefault="002E474C">
            <w:pPr>
              <w:pStyle w:val="A-"/>
            </w:pPr>
          </w:p>
        </w:tc>
        <w:tc>
          <w:tcPr>
            <w:tcW w:w="1075" w:type="pct"/>
            <w:vMerge/>
            <w:shd w:val="clear" w:color="auto" w:fill="auto"/>
            <w:vAlign w:val="center"/>
          </w:tcPr>
          <w:p w14:paraId="54A7369C" w14:textId="77777777" w:rsidR="002E474C" w:rsidRDefault="002E474C">
            <w:pPr>
              <w:pStyle w:val="A-"/>
            </w:pPr>
          </w:p>
        </w:tc>
        <w:tc>
          <w:tcPr>
            <w:tcW w:w="702" w:type="pct"/>
            <w:shd w:val="clear" w:color="auto" w:fill="auto"/>
            <w:vAlign w:val="center"/>
          </w:tcPr>
          <w:p w14:paraId="2DE6D5BD" w14:textId="77777777" w:rsidR="002E474C" w:rsidRDefault="00000000">
            <w:pPr>
              <w:pStyle w:val="A-"/>
            </w:pPr>
            <w:r>
              <w:t>1.5</w:t>
            </w:r>
          </w:p>
        </w:tc>
        <w:tc>
          <w:tcPr>
            <w:tcW w:w="525" w:type="pct"/>
            <w:shd w:val="clear" w:color="auto" w:fill="auto"/>
            <w:vAlign w:val="center"/>
          </w:tcPr>
          <w:p w14:paraId="0BA2900D" w14:textId="77777777" w:rsidR="002E474C" w:rsidRDefault="00000000">
            <w:pPr>
              <w:pStyle w:val="A-"/>
            </w:pPr>
            <w:r>
              <w:t xml:space="preserve">0.0348 </w:t>
            </w:r>
          </w:p>
        </w:tc>
      </w:tr>
      <w:tr w:rsidR="002E474C" w14:paraId="5347547E" w14:textId="77777777">
        <w:trPr>
          <w:jc w:val="center"/>
        </w:trPr>
        <w:tc>
          <w:tcPr>
            <w:tcW w:w="396" w:type="pct"/>
            <w:vMerge/>
            <w:shd w:val="clear" w:color="auto" w:fill="auto"/>
            <w:vAlign w:val="center"/>
          </w:tcPr>
          <w:p w14:paraId="32C736A8" w14:textId="77777777" w:rsidR="002E474C" w:rsidRDefault="002E474C">
            <w:pPr>
              <w:pStyle w:val="A-"/>
            </w:pPr>
          </w:p>
        </w:tc>
        <w:tc>
          <w:tcPr>
            <w:tcW w:w="719" w:type="pct"/>
            <w:vMerge/>
            <w:shd w:val="clear" w:color="auto" w:fill="auto"/>
            <w:vAlign w:val="center"/>
          </w:tcPr>
          <w:p w14:paraId="1F88A612" w14:textId="77777777" w:rsidR="002E474C" w:rsidRDefault="002E474C">
            <w:pPr>
              <w:pStyle w:val="A-"/>
            </w:pPr>
          </w:p>
        </w:tc>
        <w:tc>
          <w:tcPr>
            <w:tcW w:w="527" w:type="pct"/>
            <w:shd w:val="clear" w:color="auto" w:fill="auto"/>
            <w:vAlign w:val="center"/>
          </w:tcPr>
          <w:p w14:paraId="5857CE9D" w14:textId="77777777" w:rsidR="002E474C" w:rsidRDefault="00000000">
            <w:pPr>
              <w:pStyle w:val="A-"/>
            </w:pPr>
            <w:r>
              <w:t>VOCs</w:t>
            </w:r>
          </w:p>
        </w:tc>
        <w:tc>
          <w:tcPr>
            <w:tcW w:w="1056" w:type="pct"/>
            <w:vMerge/>
            <w:shd w:val="clear" w:color="auto" w:fill="auto"/>
            <w:vAlign w:val="center"/>
          </w:tcPr>
          <w:p w14:paraId="3B9E4137" w14:textId="77777777" w:rsidR="002E474C" w:rsidRDefault="002E474C">
            <w:pPr>
              <w:pStyle w:val="A-"/>
            </w:pPr>
          </w:p>
        </w:tc>
        <w:tc>
          <w:tcPr>
            <w:tcW w:w="1075" w:type="pct"/>
            <w:shd w:val="clear" w:color="auto" w:fill="auto"/>
            <w:vAlign w:val="center"/>
          </w:tcPr>
          <w:p w14:paraId="4138AF33" w14:textId="77777777" w:rsidR="002E474C" w:rsidRDefault="00000000">
            <w:pPr>
              <w:pStyle w:val="A-"/>
            </w:pPr>
            <w:r>
              <w:t>《大气污染物综合排放标准》</w:t>
            </w:r>
          </w:p>
        </w:tc>
        <w:tc>
          <w:tcPr>
            <w:tcW w:w="702" w:type="pct"/>
            <w:shd w:val="clear" w:color="auto" w:fill="auto"/>
            <w:vAlign w:val="center"/>
          </w:tcPr>
          <w:p w14:paraId="36A617A9" w14:textId="77777777" w:rsidR="002E474C" w:rsidRDefault="00000000">
            <w:pPr>
              <w:pStyle w:val="A-"/>
            </w:pPr>
            <w:r>
              <w:t>4.0</w:t>
            </w:r>
          </w:p>
        </w:tc>
        <w:tc>
          <w:tcPr>
            <w:tcW w:w="525" w:type="pct"/>
            <w:shd w:val="clear" w:color="auto" w:fill="auto"/>
            <w:vAlign w:val="center"/>
          </w:tcPr>
          <w:p w14:paraId="1CE689F6" w14:textId="77777777" w:rsidR="002E474C" w:rsidRDefault="00000000">
            <w:pPr>
              <w:pStyle w:val="A-"/>
            </w:pPr>
            <w:r>
              <w:t xml:space="preserve">0.0379 </w:t>
            </w:r>
          </w:p>
        </w:tc>
      </w:tr>
      <w:tr w:rsidR="002E474C" w14:paraId="104C1BD1" w14:textId="77777777">
        <w:trPr>
          <w:jc w:val="center"/>
        </w:trPr>
        <w:tc>
          <w:tcPr>
            <w:tcW w:w="396" w:type="pct"/>
            <w:vMerge w:val="restart"/>
            <w:shd w:val="clear" w:color="auto" w:fill="auto"/>
            <w:vAlign w:val="center"/>
          </w:tcPr>
          <w:p w14:paraId="72815377" w14:textId="77777777" w:rsidR="002E474C" w:rsidRDefault="00000000">
            <w:pPr>
              <w:pStyle w:val="A-"/>
            </w:pPr>
            <w:r>
              <w:t>2</w:t>
            </w:r>
          </w:p>
        </w:tc>
        <w:tc>
          <w:tcPr>
            <w:tcW w:w="719" w:type="pct"/>
            <w:vMerge w:val="restart"/>
            <w:shd w:val="clear" w:color="auto" w:fill="auto"/>
            <w:vAlign w:val="center"/>
          </w:tcPr>
          <w:p w14:paraId="666BF96F" w14:textId="77777777" w:rsidR="002E474C" w:rsidRDefault="00000000">
            <w:pPr>
              <w:pStyle w:val="A-"/>
            </w:pPr>
            <w:r>
              <w:t>危废贮存库</w:t>
            </w:r>
          </w:p>
        </w:tc>
        <w:tc>
          <w:tcPr>
            <w:tcW w:w="527" w:type="pct"/>
            <w:shd w:val="clear" w:color="auto" w:fill="auto"/>
            <w:vAlign w:val="center"/>
          </w:tcPr>
          <w:p w14:paraId="574D053E" w14:textId="77777777" w:rsidR="002E474C" w:rsidRDefault="00000000">
            <w:pPr>
              <w:pStyle w:val="A-"/>
            </w:pPr>
            <w:r>
              <w:t>H</w:t>
            </w:r>
            <w:r>
              <w:rPr>
                <w:vertAlign w:val="subscript"/>
              </w:rPr>
              <w:t>2</w:t>
            </w:r>
            <w:r>
              <w:t>S</w:t>
            </w:r>
          </w:p>
        </w:tc>
        <w:tc>
          <w:tcPr>
            <w:tcW w:w="1056" w:type="pct"/>
            <w:vMerge/>
            <w:shd w:val="clear" w:color="auto" w:fill="auto"/>
            <w:vAlign w:val="center"/>
          </w:tcPr>
          <w:p w14:paraId="40CF0745" w14:textId="77777777" w:rsidR="002E474C" w:rsidRDefault="002E474C">
            <w:pPr>
              <w:pStyle w:val="A-"/>
            </w:pPr>
          </w:p>
        </w:tc>
        <w:tc>
          <w:tcPr>
            <w:tcW w:w="1075" w:type="pct"/>
            <w:vMerge w:val="restart"/>
            <w:shd w:val="clear" w:color="auto" w:fill="auto"/>
            <w:vAlign w:val="center"/>
          </w:tcPr>
          <w:p w14:paraId="6156C38C" w14:textId="77777777" w:rsidR="002E474C" w:rsidRDefault="00000000">
            <w:pPr>
              <w:pStyle w:val="A-"/>
            </w:pPr>
            <w:r>
              <w:t>《恶臭污染物排放标准》</w:t>
            </w:r>
          </w:p>
        </w:tc>
        <w:tc>
          <w:tcPr>
            <w:tcW w:w="702" w:type="pct"/>
            <w:shd w:val="clear" w:color="auto" w:fill="auto"/>
            <w:vAlign w:val="center"/>
          </w:tcPr>
          <w:p w14:paraId="5898B7C3" w14:textId="77777777" w:rsidR="002E474C" w:rsidRDefault="00000000">
            <w:pPr>
              <w:pStyle w:val="A-"/>
            </w:pPr>
            <w:r>
              <w:t>0.06</w:t>
            </w:r>
          </w:p>
        </w:tc>
        <w:tc>
          <w:tcPr>
            <w:tcW w:w="525" w:type="pct"/>
            <w:shd w:val="clear" w:color="auto" w:fill="auto"/>
            <w:vAlign w:val="center"/>
          </w:tcPr>
          <w:p w14:paraId="75CE8EE0" w14:textId="77777777" w:rsidR="002E474C" w:rsidRDefault="00000000">
            <w:pPr>
              <w:pStyle w:val="A-"/>
            </w:pPr>
            <w:r>
              <w:t xml:space="preserve">0.0006 </w:t>
            </w:r>
          </w:p>
        </w:tc>
      </w:tr>
      <w:tr w:rsidR="002E474C" w14:paraId="42EF0B18" w14:textId="77777777">
        <w:trPr>
          <w:jc w:val="center"/>
        </w:trPr>
        <w:tc>
          <w:tcPr>
            <w:tcW w:w="396" w:type="pct"/>
            <w:vMerge/>
            <w:shd w:val="clear" w:color="auto" w:fill="auto"/>
            <w:vAlign w:val="center"/>
          </w:tcPr>
          <w:p w14:paraId="52D3DEE4" w14:textId="77777777" w:rsidR="002E474C" w:rsidRDefault="002E474C">
            <w:pPr>
              <w:pStyle w:val="A-"/>
            </w:pPr>
          </w:p>
        </w:tc>
        <w:tc>
          <w:tcPr>
            <w:tcW w:w="719" w:type="pct"/>
            <w:vMerge/>
            <w:shd w:val="clear" w:color="auto" w:fill="auto"/>
            <w:vAlign w:val="center"/>
          </w:tcPr>
          <w:p w14:paraId="251AB2FC" w14:textId="77777777" w:rsidR="002E474C" w:rsidRDefault="002E474C">
            <w:pPr>
              <w:pStyle w:val="A-"/>
            </w:pPr>
          </w:p>
        </w:tc>
        <w:tc>
          <w:tcPr>
            <w:tcW w:w="527" w:type="pct"/>
            <w:shd w:val="clear" w:color="auto" w:fill="auto"/>
            <w:vAlign w:val="center"/>
          </w:tcPr>
          <w:p w14:paraId="0C514571" w14:textId="77777777" w:rsidR="002E474C" w:rsidRDefault="00000000">
            <w:pPr>
              <w:pStyle w:val="A-"/>
            </w:pPr>
            <w:r>
              <w:t>NH</w:t>
            </w:r>
            <w:r>
              <w:rPr>
                <w:vertAlign w:val="subscript"/>
              </w:rPr>
              <w:t>3</w:t>
            </w:r>
          </w:p>
        </w:tc>
        <w:tc>
          <w:tcPr>
            <w:tcW w:w="1056" w:type="pct"/>
            <w:vMerge/>
            <w:shd w:val="clear" w:color="auto" w:fill="auto"/>
            <w:vAlign w:val="center"/>
          </w:tcPr>
          <w:p w14:paraId="24E1B600" w14:textId="77777777" w:rsidR="002E474C" w:rsidRDefault="002E474C">
            <w:pPr>
              <w:pStyle w:val="A-"/>
            </w:pPr>
          </w:p>
        </w:tc>
        <w:tc>
          <w:tcPr>
            <w:tcW w:w="1075" w:type="pct"/>
            <w:vMerge/>
            <w:shd w:val="clear" w:color="auto" w:fill="auto"/>
            <w:vAlign w:val="center"/>
          </w:tcPr>
          <w:p w14:paraId="020FEF73" w14:textId="77777777" w:rsidR="002E474C" w:rsidRDefault="002E474C">
            <w:pPr>
              <w:pStyle w:val="A-"/>
            </w:pPr>
          </w:p>
        </w:tc>
        <w:tc>
          <w:tcPr>
            <w:tcW w:w="702" w:type="pct"/>
            <w:shd w:val="clear" w:color="auto" w:fill="auto"/>
            <w:vAlign w:val="center"/>
          </w:tcPr>
          <w:p w14:paraId="3861D343" w14:textId="77777777" w:rsidR="002E474C" w:rsidRDefault="00000000">
            <w:pPr>
              <w:pStyle w:val="A-"/>
            </w:pPr>
            <w:r>
              <w:t>1.5</w:t>
            </w:r>
          </w:p>
        </w:tc>
        <w:tc>
          <w:tcPr>
            <w:tcW w:w="525" w:type="pct"/>
            <w:shd w:val="clear" w:color="auto" w:fill="auto"/>
            <w:vAlign w:val="center"/>
          </w:tcPr>
          <w:p w14:paraId="1BF28BEF" w14:textId="77777777" w:rsidR="002E474C" w:rsidRDefault="00000000">
            <w:pPr>
              <w:pStyle w:val="A-"/>
            </w:pPr>
            <w:r>
              <w:t xml:space="preserve">0.0070 </w:t>
            </w:r>
          </w:p>
        </w:tc>
      </w:tr>
      <w:tr w:rsidR="002E474C" w14:paraId="0FA72AD4" w14:textId="77777777">
        <w:trPr>
          <w:jc w:val="center"/>
        </w:trPr>
        <w:tc>
          <w:tcPr>
            <w:tcW w:w="396" w:type="pct"/>
            <w:vMerge/>
            <w:shd w:val="clear" w:color="auto" w:fill="auto"/>
            <w:vAlign w:val="center"/>
          </w:tcPr>
          <w:p w14:paraId="67896531" w14:textId="77777777" w:rsidR="002E474C" w:rsidRDefault="002E474C">
            <w:pPr>
              <w:pStyle w:val="A-"/>
            </w:pPr>
          </w:p>
        </w:tc>
        <w:tc>
          <w:tcPr>
            <w:tcW w:w="719" w:type="pct"/>
            <w:vMerge/>
            <w:shd w:val="clear" w:color="auto" w:fill="auto"/>
            <w:vAlign w:val="center"/>
          </w:tcPr>
          <w:p w14:paraId="1CFC01F6" w14:textId="77777777" w:rsidR="002E474C" w:rsidRDefault="002E474C">
            <w:pPr>
              <w:pStyle w:val="A-"/>
            </w:pPr>
          </w:p>
        </w:tc>
        <w:tc>
          <w:tcPr>
            <w:tcW w:w="527" w:type="pct"/>
            <w:shd w:val="clear" w:color="auto" w:fill="auto"/>
            <w:vAlign w:val="center"/>
          </w:tcPr>
          <w:p w14:paraId="0AE40932" w14:textId="77777777" w:rsidR="002E474C" w:rsidRDefault="00000000">
            <w:pPr>
              <w:pStyle w:val="A-"/>
            </w:pPr>
            <w:r>
              <w:t>VOCs</w:t>
            </w:r>
          </w:p>
        </w:tc>
        <w:tc>
          <w:tcPr>
            <w:tcW w:w="1056" w:type="pct"/>
            <w:vMerge/>
            <w:shd w:val="clear" w:color="auto" w:fill="auto"/>
            <w:vAlign w:val="center"/>
          </w:tcPr>
          <w:p w14:paraId="694179EF" w14:textId="77777777" w:rsidR="002E474C" w:rsidRDefault="002E474C">
            <w:pPr>
              <w:pStyle w:val="A-"/>
            </w:pPr>
          </w:p>
        </w:tc>
        <w:tc>
          <w:tcPr>
            <w:tcW w:w="1075" w:type="pct"/>
            <w:shd w:val="clear" w:color="auto" w:fill="auto"/>
            <w:vAlign w:val="center"/>
          </w:tcPr>
          <w:p w14:paraId="0FEFBD90" w14:textId="77777777" w:rsidR="002E474C" w:rsidRDefault="00000000">
            <w:pPr>
              <w:pStyle w:val="A-"/>
            </w:pPr>
            <w:r>
              <w:t>《大气污染物综合排放标准》</w:t>
            </w:r>
          </w:p>
        </w:tc>
        <w:tc>
          <w:tcPr>
            <w:tcW w:w="702" w:type="pct"/>
            <w:shd w:val="clear" w:color="auto" w:fill="auto"/>
            <w:vAlign w:val="center"/>
          </w:tcPr>
          <w:p w14:paraId="7B47FAD3" w14:textId="77777777" w:rsidR="002E474C" w:rsidRDefault="00000000">
            <w:pPr>
              <w:pStyle w:val="A-"/>
            </w:pPr>
            <w:r>
              <w:t>4.0</w:t>
            </w:r>
          </w:p>
        </w:tc>
        <w:tc>
          <w:tcPr>
            <w:tcW w:w="525" w:type="pct"/>
            <w:shd w:val="clear" w:color="auto" w:fill="auto"/>
            <w:vAlign w:val="center"/>
          </w:tcPr>
          <w:p w14:paraId="136E75BA" w14:textId="77777777" w:rsidR="002E474C" w:rsidRDefault="00000000">
            <w:pPr>
              <w:pStyle w:val="A-"/>
            </w:pPr>
            <w:r>
              <w:t xml:space="preserve">0.0076 </w:t>
            </w:r>
          </w:p>
        </w:tc>
      </w:tr>
      <w:tr w:rsidR="002E474C" w14:paraId="1E61E50F" w14:textId="77777777">
        <w:trPr>
          <w:jc w:val="center"/>
        </w:trPr>
        <w:tc>
          <w:tcPr>
            <w:tcW w:w="5000" w:type="pct"/>
            <w:gridSpan w:val="7"/>
            <w:shd w:val="clear" w:color="auto" w:fill="auto"/>
            <w:vAlign w:val="center"/>
          </w:tcPr>
          <w:p w14:paraId="1B22BAB8" w14:textId="77777777" w:rsidR="002E474C" w:rsidRDefault="00000000">
            <w:pPr>
              <w:pStyle w:val="A-"/>
            </w:pPr>
            <w:r>
              <w:t>无组织排放总计</w:t>
            </w:r>
          </w:p>
        </w:tc>
      </w:tr>
      <w:tr w:rsidR="002E474C" w14:paraId="164DEC60" w14:textId="77777777">
        <w:trPr>
          <w:jc w:val="center"/>
        </w:trPr>
        <w:tc>
          <w:tcPr>
            <w:tcW w:w="1642" w:type="pct"/>
            <w:gridSpan w:val="3"/>
            <w:vMerge w:val="restart"/>
            <w:shd w:val="clear" w:color="auto" w:fill="auto"/>
            <w:vAlign w:val="center"/>
          </w:tcPr>
          <w:p w14:paraId="2C9D3D7A" w14:textId="77777777" w:rsidR="002E474C" w:rsidRDefault="00000000">
            <w:pPr>
              <w:pStyle w:val="A-"/>
            </w:pPr>
            <w:r>
              <w:t>无组织排放总计</w:t>
            </w:r>
          </w:p>
        </w:tc>
        <w:tc>
          <w:tcPr>
            <w:tcW w:w="2833" w:type="pct"/>
            <w:gridSpan w:val="3"/>
            <w:shd w:val="clear" w:color="auto" w:fill="auto"/>
            <w:vAlign w:val="center"/>
          </w:tcPr>
          <w:p w14:paraId="274C40AC" w14:textId="77777777" w:rsidR="002E474C" w:rsidRDefault="00000000">
            <w:pPr>
              <w:pStyle w:val="A-"/>
            </w:pPr>
            <w:r>
              <w:t>H</w:t>
            </w:r>
            <w:r>
              <w:rPr>
                <w:vertAlign w:val="subscript"/>
              </w:rPr>
              <w:t>2</w:t>
            </w:r>
            <w:r>
              <w:t>S</w:t>
            </w:r>
          </w:p>
        </w:tc>
        <w:tc>
          <w:tcPr>
            <w:tcW w:w="525" w:type="pct"/>
            <w:shd w:val="clear" w:color="auto" w:fill="auto"/>
            <w:vAlign w:val="center"/>
          </w:tcPr>
          <w:p w14:paraId="3359C7AC" w14:textId="77777777" w:rsidR="002E474C" w:rsidRDefault="00000000">
            <w:pPr>
              <w:pStyle w:val="A-"/>
            </w:pPr>
            <w:r>
              <w:t xml:space="preserve">0.003 </w:t>
            </w:r>
          </w:p>
        </w:tc>
      </w:tr>
      <w:tr w:rsidR="002E474C" w14:paraId="684B99A0" w14:textId="77777777">
        <w:trPr>
          <w:jc w:val="center"/>
        </w:trPr>
        <w:tc>
          <w:tcPr>
            <w:tcW w:w="1642" w:type="pct"/>
            <w:gridSpan w:val="3"/>
            <w:vMerge/>
            <w:shd w:val="clear" w:color="auto" w:fill="auto"/>
            <w:vAlign w:val="center"/>
          </w:tcPr>
          <w:p w14:paraId="4671DF03" w14:textId="77777777" w:rsidR="002E474C" w:rsidRDefault="002E474C">
            <w:pPr>
              <w:pStyle w:val="A-"/>
            </w:pPr>
          </w:p>
        </w:tc>
        <w:tc>
          <w:tcPr>
            <w:tcW w:w="2833" w:type="pct"/>
            <w:gridSpan w:val="3"/>
            <w:shd w:val="clear" w:color="auto" w:fill="auto"/>
            <w:vAlign w:val="center"/>
          </w:tcPr>
          <w:p w14:paraId="19856284" w14:textId="77777777" w:rsidR="002E474C" w:rsidRDefault="00000000">
            <w:pPr>
              <w:pStyle w:val="A-"/>
            </w:pPr>
            <w:r>
              <w:t>NH</w:t>
            </w:r>
            <w:r>
              <w:rPr>
                <w:vertAlign w:val="subscript"/>
              </w:rPr>
              <w:t>3</w:t>
            </w:r>
          </w:p>
        </w:tc>
        <w:tc>
          <w:tcPr>
            <w:tcW w:w="525" w:type="pct"/>
            <w:shd w:val="clear" w:color="auto" w:fill="auto"/>
            <w:vAlign w:val="center"/>
          </w:tcPr>
          <w:p w14:paraId="2D210F10" w14:textId="77777777" w:rsidR="002E474C" w:rsidRDefault="00000000">
            <w:pPr>
              <w:pStyle w:val="A-"/>
            </w:pPr>
            <w:r>
              <w:t xml:space="preserve">0.042 </w:t>
            </w:r>
          </w:p>
        </w:tc>
      </w:tr>
      <w:tr w:rsidR="002E474C" w14:paraId="65895CCB" w14:textId="77777777">
        <w:trPr>
          <w:jc w:val="center"/>
        </w:trPr>
        <w:tc>
          <w:tcPr>
            <w:tcW w:w="1642" w:type="pct"/>
            <w:gridSpan w:val="3"/>
            <w:vMerge/>
            <w:shd w:val="clear" w:color="auto" w:fill="auto"/>
            <w:vAlign w:val="center"/>
          </w:tcPr>
          <w:p w14:paraId="37516D89" w14:textId="77777777" w:rsidR="002E474C" w:rsidRDefault="002E474C">
            <w:pPr>
              <w:pStyle w:val="A-"/>
            </w:pPr>
          </w:p>
        </w:tc>
        <w:tc>
          <w:tcPr>
            <w:tcW w:w="2833" w:type="pct"/>
            <w:gridSpan w:val="3"/>
            <w:shd w:val="clear" w:color="auto" w:fill="auto"/>
            <w:vAlign w:val="center"/>
          </w:tcPr>
          <w:p w14:paraId="49E3F583" w14:textId="77777777" w:rsidR="002E474C" w:rsidRDefault="00000000">
            <w:pPr>
              <w:pStyle w:val="A-"/>
            </w:pPr>
            <w:r>
              <w:t>VOCs</w:t>
            </w:r>
          </w:p>
        </w:tc>
        <w:tc>
          <w:tcPr>
            <w:tcW w:w="525" w:type="pct"/>
            <w:shd w:val="clear" w:color="auto" w:fill="auto"/>
            <w:vAlign w:val="center"/>
          </w:tcPr>
          <w:p w14:paraId="494E8D23" w14:textId="77777777" w:rsidR="002E474C" w:rsidRDefault="00000000">
            <w:pPr>
              <w:pStyle w:val="A-"/>
            </w:pPr>
            <w:r>
              <w:t xml:space="preserve">0.045 </w:t>
            </w:r>
          </w:p>
        </w:tc>
      </w:tr>
    </w:tbl>
    <w:p w14:paraId="61B9B2DB" w14:textId="77777777" w:rsidR="002E474C" w:rsidRDefault="002E474C"/>
    <w:p w14:paraId="2C0F76F8" w14:textId="77777777" w:rsidR="002E474C" w:rsidRDefault="00000000">
      <w:pPr>
        <w:pStyle w:val="A--"/>
        <w:rPr>
          <w:color w:val="auto"/>
        </w:rPr>
      </w:pPr>
      <w:r>
        <w:rPr>
          <w:color w:val="auto"/>
        </w:rPr>
        <w:t>表</w:t>
      </w:r>
      <w:r>
        <w:rPr>
          <w:color w:val="auto"/>
        </w:rPr>
        <w:t>5.1</w:t>
      </w:r>
      <w:r>
        <w:rPr>
          <w:color w:val="auto"/>
        </w:rPr>
        <w:noBreakHyphen/>
        <w:t xml:space="preserve">41  </w:t>
      </w:r>
      <w:r>
        <w:rPr>
          <w:color w:val="auto"/>
        </w:rPr>
        <w:t>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2412"/>
        <w:gridCol w:w="4312"/>
      </w:tblGrid>
      <w:tr w:rsidR="002E474C" w14:paraId="4D6DF648" w14:textId="77777777">
        <w:tc>
          <w:tcPr>
            <w:tcW w:w="947" w:type="pct"/>
            <w:vAlign w:val="center"/>
          </w:tcPr>
          <w:p w14:paraId="6853C1C9" w14:textId="77777777" w:rsidR="002E474C" w:rsidRDefault="00000000">
            <w:pPr>
              <w:pStyle w:val="A-"/>
            </w:pPr>
            <w:r>
              <w:t>序号</w:t>
            </w:r>
          </w:p>
        </w:tc>
        <w:tc>
          <w:tcPr>
            <w:tcW w:w="1454" w:type="pct"/>
            <w:shd w:val="clear" w:color="auto" w:fill="auto"/>
            <w:vAlign w:val="center"/>
          </w:tcPr>
          <w:p w14:paraId="703E36F9" w14:textId="77777777" w:rsidR="002E474C" w:rsidRDefault="00000000">
            <w:pPr>
              <w:pStyle w:val="A-"/>
            </w:pPr>
            <w:r>
              <w:t>污染物</w:t>
            </w:r>
          </w:p>
        </w:tc>
        <w:tc>
          <w:tcPr>
            <w:tcW w:w="2599" w:type="pct"/>
            <w:shd w:val="clear" w:color="auto" w:fill="auto"/>
            <w:vAlign w:val="center"/>
          </w:tcPr>
          <w:p w14:paraId="1DCFF16F" w14:textId="77777777" w:rsidR="002E474C" w:rsidRDefault="00000000">
            <w:pPr>
              <w:pStyle w:val="A-"/>
            </w:pPr>
            <w:r>
              <w:t>年排放量</w:t>
            </w:r>
            <w:r>
              <w:t>/</w:t>
            </w:r>
            <w:r>
              <w:t>（</w:t>
            </w:r>
            <w:r>
              <w:t>t/a</w:t>
            </w:r>
            <w:r>
              <w:t>）</w:t>
            </w:r>
          </w:p>
        </w:tc>
      </w:tr>
      <w:tr w:rsidR="002E474C" w14:paraId="40C5AF00" w14:textId="77777777">
        <w:tc>
          <w:tcPr>
            <w:tcW w:w="947" w:type="pct"/>
            <w:vAlign w:val="center"/>
          </w:tcPr>
          <w:p w14:paraId="0E8E0286" w14:textId="77777777" w:rsidR="002E474C" w:rsidRDefault="00000000">
            <w:pPr>
              <w:pStyle w:val="A-"/>
            </w:pPr>
            <w:r>
              <w:t>1</w:t>
            </w:r>
          </w:p>
        </w:tc>
        <w:tc>
          <w:tcPr>
            <w:tcW w:w="1454" w:type="pct"/>
            <w:shd w:val="clear" w:color="auto" w:fill="auto"/>
            <w:vAlign w:val="center"/>
          </w:tcPr>
          <w:p w14:paraId="79038466" w14:textId="77777777" w:rsidR="002E474C" w:rsidRDefault="00000000">
            <w:pPr>
              <w:pStyle w:val="A-"/>
            </w:pPr>
            <w:r>
              <w:t>HF</w:t>
            </w:r>
          </w:p>
        </w:tc>
        <w:tc>
          <w:tcPr>
            <w:tcW w:w="2599" w:type="pct"/>
            <w:shd w:val="clear" w:color="auto" w:fill="auto"/>
            <w:vAlign w:val="center"/>
          </w:tcPr>
          <w:p w14:paraId="16FB4653" w14:textId="77777777" w:rsidR="002E474C" w:rsidRDefault="00000000">
            <w:pPr>
              <w:pStyle w:val="A-"/>
              <w:rPr>
                <w:rFonts w:eastAsia="等线"/>
              </w:rPr>
            </w:pPr>
            <w:r>
              <w:t>25.9</w:t>
            </w:r>
          </w:p>
        </w:tc>
      </w:tr>
      <w:tr w:rsidR="002E474C" w14:paraId="4224A2A8" w14:textId="77777777">
        <w:tc>
          <w:tcPr>
            <w:tcW w:w="947" w:type="pct"/>
            <w:vAlign w:val="center"/>
          </w:tcPr>
          <w:p w14:paraId="7AD76C76" w14:textId="77777777" w:rsidR="002E474C" w:rsidRDefault="00000000">
            <w:pPr>
              <w:pStyle w:val="A-"/>
            </w:pPr>
            <w:r>
              <w:lastRenderedPageBreak/>
              <w:t>2</w:t>
            </w:r>
          </w:p>
        </w:tc>
        <w:tc>
          <w:tcPr>
            <w:tcW w:w="1454" w:type="pct"/>
            <w:shd w:val="clear" w:color="auto" w:fill="auto"/>
            <w:vAlign w:val="center"/>
          </w:tcPr>
          <w:p w14:paraId="3568E66D" w14:textId="77777777" w:rsidR="002E474C" w:rsidRDefault="00000000">
            <w:pPr>
              <w:pStyle w:val="A-"/>
            </w:pPr>
            <w:r>
              <w:t>HCl</w:t>
            </w:r>
          </w:p>
        </w:tc>
        <w:tc>
          <w:tcPr>
            <w:tcW w:w="2599" w:type="pct"/>
            <w:shd w:val="clear" w:color="auto" w:fill="auto"/>
            <w:vAlign w:val="center"/>
          </w:tcPr>
          <w:p w14:paraId="145CAB4F" w14:textId="77777777" w:rsidR="002E474C" w:rsidRDefault="00000000">
            <w:pPr>
              <w:pStyle w:val="A-"/>
              <w:rPr>
                <w:rFonts w:eastAsia="等线"/>
              </w:rPr>
            </w:pPr>
            <w:r>
              <w:t>1.371</w:t>
            </w:r>
          </w:p>
        </w:tc>
      </w:tr>
      <w:tr w:rsidR="002E474C" w14:paraId="13CA5669" w14:textId="77777777">
        <w:tc>
          <w:tcPr>
            <w:tcW w:w="947" w:type="pct"/>
            <w:vAlign w:val="center"/>
          </w:tcPr>
          <w:p w14:paraId="1280E046" w14:textId="77777777" w:rsidR="002E474C" w:rsidRDefault="00000000">
            <w:pPr>
              <w:pStyle w:val="A-"/>
            </w:pPr>
            <w:r>
              <w:t>3</w:t>
            </w:r>
          </w:p>
        </w:tc>
        <w:tc>
          <w:tcPr>
            <w:tcW w:w="1454" w:type="pct"/>
            <w:shd w:val="clear" w:color="auto" w:fill="auto"/>
            <w:vAlign w:val="center"/>
          </w:tcPr>
          <w:p w14:paraId="75289DB7" w14:textId="77777777" w:rsidR="002E474C" w:rsidRDefault="00000000">
            <w:pPr>
              <w:pStyle w:val="A-"/>
            </w:pPr>
            <w:r>
              <w:t>Cr</w:t>
            </w:r>
          </w:p>
        </w:tc>
        <w:tc>
          <w:tcPr>
            <w:tcW w:w="2599" w:type="pct"/>
            <w:shd w:val="clear" w:color="auto" w:fill="auto"/>
            <w:vAlign w:val="center"/>
          </w:tcPr>
          <w:p w14:paraId="32376FD7" w14:textId="77777777" w:rsidR="002E474C" w:rsidRDefault="00000000">
            <w:pPr>
              <w:pStyle w:val="A-"/>
            </w:pPr>
            <w:r>
              <w:t>1.036</w:t>
            </w:r>
            <w:r>
              <w:rPr>
                <w:rFonts w:eastAsia="等线"/>
              </w:rPr>
              <w:t>kg/a</w:t>
            </w:r>
          </w:p>
        </w:tc>
      </w:tr>
      <w:tr w:rsidR="002E474C" w14:paraId="788AE0AE" w14:textId="77777777">
        <w:tc>
          <w:tcPr>
            <w:tcW w:w="947" w:type="pct"/>
            <w:vAlign w:val="center"/>
          </w:tcPr>
          <w:p w14:paraId="5461C2AD" w14:textId="77777777" w:rsidR="002E474C" w:rsidRDefault="00000000">
            <w:pPr>
              <w:pStyle w:val="A-"/>
            </w:pPr>
            <w:r>
              <w:t>4</w:t>
            </w:r>
          </w:p>
        </w:tc>
        <w:tc>
          <w:tcPr>
            <w:tcW w:w="1454" w:type="pct"/>
            <w:shd w:val="clear" w:color="auto" w:fill="auto"/>
            <w:vAlign w:val="center"/>
          </w:tcPr>
          <w:p w14:paraId="45763A18" w14:textId="77777777" w:rsidR="002E474C" w:rsidRDefault="00000000">
            <w:pPr>
              <w:pStyle w:val="A-"/>
            </w:pPr>
            <w:r>
              <w:t>Cu</w:t>
            </w:r>
          </w:p>
        </w:tc>
        <w:tc>
          <w:tcPr>
            <w:tcW w:w="2599" w:type="pct"/>
            <w:shd w:val="clear" w:color="auto" w:fill="auto"/>
            <w:vAlign w:val="center"/>
          </w:tcPr>
          <w:p w14:paraId="639F7CFD" w14:textId="77777777" w:rsidR="002E474C" w:rsidRDefault="00000000">
            <w:pPr>
              <w:pStyle w:val="A-"/>
            </w:pPr>
            <w:r>
              <w:t>218.83</w:t>
            </w:r>
            <w:r>
              <w:rPr>
                <w:rFonts w:eastAsia="等线"/>
              </w:rPr>
              <w:t>kg/a</w:t>
            </w:r>
          </w:p>
        </w:tc>
      </w:tr>
      <w:tr w:rsidR="002E474C" w14:paraId="153C62D9" w14:textId="77777777">
        <w:tc>
          <w:tcPr>
            <w:tcW w:w="947" w:type="pct"/>
            <w:vAlign w:val="center"/>
          </w:tcPr>
          <w:p w14:paraId="02DA6D33" w14:textId="77777777" w:rsidR="002E474C" w:rsidRDefault="00000000">
            <w:pPr>
              <w:pStyle w:val="A-"/>
            </w:pPr>
            <w:r>
              <w:t>5</w:t>
            </w:r>
          </w:p>
        </w:tc>
        <w:tc>
          <w:tcPr>
            <w:tcW w:w="1454" w:type="pct"/>
            <w:shd w:val="clear" w:color="auto" w:fill="auto"/>
            <w:vAlign w:val="center"/>
          </w:tcPr>
          <w:p w14:paraId="109BE5EB" w14:textId="77777777" w:rsidR="002E474C" w:rsidRDefault="00000000">
            <w:pPr>
              <w:pStyle w:val="A-"/>
            </w:pPr>
            <w:r>
              <w:t>Cd</w:t>
            </w:r>
          </w:p>
        </w:tc>
        <w:tc>
          <w:tcPr>
            <w:tcW w:w="2599" w:type="pct"/>
            <w:shd w:val="clear" w:color="auto" w:fill="auto"/>
            <w:vAlign w:val="center"/>
          </w:tcPr>
          <w:p w14:paraId="47D0182D" w14:textId="77777777" w:rsidR="002E474C" w:rsidRDefault="00000000">
            <w:pPr>
              <w:pStyle w:val="A-"/>
            </w:pPr>
            <w:r>
              <w:t>0.115</w:t>
            </w:r>
            <w:r>
              <w:rPr>
                <w:rFonts w:eastAsia="等线"/>
              </w:rPr>
              <w:t>kg/a</w:t>
            </w:r>
          </w:p>
        </w:tc>
      </w:tr>
      <w:tr w:rsidR="002E474C" w14:paraId="4B4690C4" w14:textId="77777777">
        <w:tc>
          <w:tcPr>
            <w:tcW w:w="947" w:type="pct"/>
            <w:vAlign w:val="center"/>
          </w:tcPr>
          <w:p w14:paraId="48A8D2E8" w14:textId="77777777" w:rsidR="002E474C" w:rsidRDefault="00000000">
            <w:pPr>
              <w:pStyle w:val="A-"/>
            </w:pPr>
            <w:r>
              <w:t>6</w:t>
            </w:r>
          </w:p>
        </w:tc>
        <w:tc>
          <w:tcPr>
            <w:tcW w:w="1454" w:type="pct"/>
            <w:shd w:val="clear" w:color="auto" w:fill="auto"/>
            <w:vAlign w:val="center"/>
          </w:tcPr>
          <w:p w14:paraId="0FAFF157" w14:textId="77777777" w:rsidR="002E474C" w:rsidRDefault="00000000">
            <w:pPr>
              <w:pStyle w:val="A-"/>
            </w:pPr>
            <w:r>
              <w:t>Pb</w:t>
            </w:r>
          </w:p>
        </w:tc>
        <w:tc>
          <w:tcPr>
            <w:tcW w:w="2599" w:type="pct"/>
            <w:shd w:val="clear" w:color="auto" w:fill="auto"/>
            <w:vAlign w:val="center"/>
          </w:tcPr>
          <w:p w14:paraId="6BCA4F06" w14:textId="77777777" w:rsidR="002E474C" w:rsidRDefault="00000000">
            <w:pPr>
              <w:pStyle w:val="A-"/>
            </w:pPr>
            <w:r>
              <w:t>2.593</w:t>
            </w:r>
            <w:r>
              <w:rPr>
                <w:rFonts w:eastAsia="等线"/>
              </w:rPr>
              <w:t>kg/a</w:t>
            </w:r>
          </w:p>
        </w:tc>
      </w:tr>
      <w:tr w:rsidR="002E474C" w14:paraId="0FB2F604" w14:textId="77777777">
        <w:tc>
          <w:tcPr>
            <w:tcW w:w="947" w:type="pct"/>
            <w:vAlign w:val="center"/>
          </w:tcPr>
          <w:p w14:paraId="6D2C8525" w14:textId="77777777" w:rsidR="002E474C" w:rsidRDefault="00000000">
            <w:pPr>
              <w:pStyle w:val="A-"/>
            </w:pPr>
            <w:r>
              <w:t>7</w:t>
            </w:r>
          </w:p>
        </w:tc>
        <w:tc>
          <w:tcPr>
            <w:tcW w:w="1454" w:type="pct"/>
            <w:shd w:val="clear" w:color="auto" w:fill="auto"/>
            <w:vAlign w:val="center"/>
          </w:tcPr>
          <w:p w14:paraId="5FFCC364" w14:textId="77777777" w:rsidR="002E474C" w:rsidRDefault="00000000">
            <w:pPr>
              <w:pStyle w:val="A-"/>
            </w:pPr>
            <w:r>
              <w:t>Ni</w:t>
            </w:r>
          </w:p>
        </w:tc>
        <w:tc>
          <w:tcPr>
            <w:tcW w:w="2599" w:type="pct"/>
            <w:shd w:val="clear" w:color="auto" w:fill="auto"/>
            <w:vAlign w:val="center"/>
          </w:tcPr>
          <w:p w14:paraId="7EE0C358" w14:textId="77777777" w:rsidR="002E474C" w:rsidRDefault="00000000">
            <w:pPr>
              <w:pStyle w:val="A-"/>
            </w:pPr>
            <w:r>
              <w:t>0.044</w:t>
            </w:r>
            <w:r>
              <w:rPr>
                <w:rFonts w:eastAsia="等线"/>
              </w:rPr>
              <w:t>kg/a</w:t>
            </w:r>
          </w:p>
        </w:tc>
      </w:tr>
      <w:tr w:rsidR="002E474C" w14:paraId="2D97D687" w14:textId="77777777">
        <w:tc>
          <w:tcPr>
            <w:tcW w:w="947" w:type="pct"/>
            <w:vAlign w:val="center"/>
          </w:tcPr>
          <w:p w14:paraId="5F94B26C" w14:textId="77777777" w:rsidR="002E474C" w:rsidRDefault="00000000">
            <w:pPr>
              <w:pStyle w:val="A-"/>
            </w:pPr>
            <w:r>
              <w:t>8</w:t>
            </w:r>
          </w:p>
        </w:tc>
        <w:tc>
          <w:tcPr>
            <w:tcW w:w="1454" w:type="pct"/>
            <w:shd w:val="clear" w:color="auto" w:fill="auto"/>
            <w:vAlign w:val="center"/>
          </w:tcPr>
          <w:p w14:paraId="668DB133" w14:textId="77777777" w:rsidR="002E474C" w:rsidRDefault="00000000">
            <w:pPr>
              <w:pStyle w:val="A-"/>
            </w:pPr>
            <w:r>
              <w:t>Mn</w:t>
            </w:r>
          </w:p>
        </w:tc>
        <w:tc>
          <w:tcPr>
            <w:tcW w:w="2599" w:type="pct"/>
            <w:shd w:val="clear" w:color="auto" w:fill="auto"/>
            <w:vAlign w:val="center"/>
          </w:tcPr>
          <w:p w14:paraId="64D3D4CE" w14:textId="77777777" w:rsidR="002E474C" w:rsidRDefault="00000000">
            <w:pPr>
              <w:pStyle w:val="A-"/>
            </w:pPr>
            <w:r>
              <w:t>6.382</w:t>
            </w:r>
            <w:r>
              <w:rPr>
                <w:rFonts w:eastAsia="等线"/>
              </w:rPr>
              <w:t>kg/a</w:t>
            </w:r>
          </w:p>
        </w:tc>
      </w:tr>
      <w:tr w:rsidR="002E474C" w14:paraId="79013150" w14:textId="77777777">
        <w:tc>
          <w:tcPr>
            <w:tcW w:w="947" w:type="pct"/>
            <w:vAlign w:val="center"/>
          </w:tcPr>
          <w:p w14:paraId="350DBDE7" w14:textId="77777777" w:rsidR="002E474C" w:rsidRDefault="00000000">
            <w:pPr>
              <w:pStyle w:val="A-"/>
            </w:pPr>
            <w:r>
              <w:t>9</w:t>
            </w:r>
          </w:p>
        </w:tc>
        <w:tc>
          <w:tcPr>
            <w:tcW w:w="1454" w:type="pct"/>
            <w:shd w:val="clear" w:color="auto" w:fill="auto"/>
            <w:vAlign w:val="center"/>
          </w:tcPr>
          <w:p w14:paraId="6B3B1DFB" w14:textId="77777777" w:rsidR="002E474C" w:rsidRDefault="00000000">
            <w:pPr>
              <w:pStyle w:val="A-"/>
            </w:pPr>
            <w:r>
              <w:t>As</w:t>
            </w:r>
          </w:p>
        </w:tc>
        <w:tc>
          <w:tcPr>
            <w:tcW w:w="2599" w:type="pct"/>
            <w:shd w:val="clear" w:color="auto" w:fill="auto"/>
            <w:vAlign w:val="center"/>
          </w:tcPr>
          <w:p w14:paraId="55FA28EF" w14:textId="77777777" w:rsidR="002E474C" w:rsidRDefault="00000000">
            <w:pPr>
              <w:pStyle w:val="A-"/>
            </w:pPr>
            <w:r>
              <w:t>0.173</w:t>
            </w:r>
            <w:r>
              <w:rPr>
                <w:rFonts w:eastAsia="等线"/>
              </w:rPr>
              <w:t>kg/a</w:t>
            </w:r>
          </w:p>
        </w:tc>
      </w:tr>
      <w:tr w:rsidR="002E474C" w14:paraId="08A1ECD9" w14:textId="77777777">
        <w:tc>
          <w:tcPr>
            <w:tcW w:w="947" w:type="pct"/>
            <w:vAlign w:val="center"/>
          </w:tcPr>
          <w:p w14:paraId="3DCDB7C2" w14:textId="77777777" w:rsidR="002E474C" w:rsidRDefault="00000000">
            <w:pPr>
              <w:pStyle w:val="A-"/>
            </w:pPr>
            <w:r>
              <w:t>10</w:t>
            </w:r>
          </w:p>
        </w:tc>
        <w:tc>
          <w:tcPr>
            <w:tcW w:w="1454" w:type="pct"/>
            <w:shd w:val="clear" w:color="auto" w:fill="auto"/>
            <w:vAlign w:val="center"/>
          </w:tcPr>
          <w:p w14:paraId="180F6452" w14:textId="77777777" w:rsidR="002E474C" w:rsidRDefault="00000000">
            <w:pPr>
              <w:pStyle w:val="A-"/>
            </w:pPr>
            <w:r>
              <w:t>Hg</w:t>
            </w:r>
          </w:p>
        </w:tc>
        <w:tc>
          <w:tcPr>
            <w:tcW w:w="2599" w:type="pct"/>
            <w:shd w:val="clear" w:color="auto" w:fill="auto"/>
            <w:vAlign w:val="center"/>
          </w:tcPr>
          <w:p w14:paraId="21886546" w14:textId="77777777" w:rsidR="002E474C" w:rsidRDefault="00000000">
            <w:pPr>
              <w:pStyle w:val="A-"/>
            </w:pPr>
            <w:r>
              <w:rPr>
                <w:rFonts w:hint="eastAsia"/>
              </w:rPr>
              <w:t>6.745</w:t>
            </w:r>
            <w:r>
              <w:rPr>
                <w:rFonts w:eastAsia="等线"/>
              </w:rPr>
              <w:t>kg/a</w:t>
            </w:r>
          </w:p>
        </w:tc>
      </w:tr>
      <w:tr w:rsidR="002E474C" w14:paraId="071CE8FB" w14:textId="77777777">
        <w:tc>
          <w:tcPr>
            <w:tcW w:w="947" w:type="pct"/>
            <w:vAlign w:val="center"/>
          </w:tcPr>
          <w:p w14:paraId="47080012" w14:textId="77777777" w:rsidR="002E474C" w:rsidRDefault="00000000">
            <w:pPr>
              <w:pStyle w:val="A-"/>
            </w:pPr>
            <w:r>
              <w:t>11</w:t>
            </w:r>
          </w:p>
        </w:tc>
        <w:tc>
          <w:tcPr>
            <w:tcW w:w="1454" w:type="pct"/>
            <w:shd w:val="clear" w:color="auto" w:fill="auto"/>
            <w:vAlign w:val="center"/>
          </w:tcPr>
          <w:p w14:paraId="18F79812" w14:textId="77777777" w:rsidR="002E474C" w:rsidRDefault="00000000">
            <w:pPr>
              <w:pStyle w:val="A-"/>
            </w:pPr>
            <w:r>
              <w:t>二噁英类</w:t>
            </w:r>
          </w:p>
        </w:tc>
        <w:tc>
          <w:tcPr>
            <w:tcW w:w="2599" w:type="pct"/>
            <w:shd w:val="clear" w:color="auto" w:fill="auto"/>
            <w:vAlign w:val="center"/>
          </w:tcPr>
          <w:p w14:paraId="6D91A2BC" w14:textId="77777777" w:rsidR="002E474C" w:rsidRDefault="00000000">
            <w:pPr>
              <w:pStyle w:val="A-"/>
            </w:pPr>
            <w:r>
              <w:t>0.259gTEQ/a</w:t>
            </w:r>
          </w:p>
        </w:tc>
      </w:tr>
      <w:tr w:rsidR="002E474C" w14:paraId="7C64F616" w14:textId="77777777">
        <w:tc>
          <w:tcPr>
            <w:tcW w:w="947" w:type="pct"/>
            <w:vAlign w:val="center"/>
          </w:tcPr>
          <w:p w14:paraId="7B22A133" w14:textId="77777777" w:rsidR="002E474C" w:rsidRDefault="00000000">
            <w:pPr>
              <w:pStyle w:val="A-"/>
            </w:pPr>
            <w:r>
              <w:t>12</w:t>
            </w:r>
          </w:p>
        </w:tc>
        <w:tc>
          <w:tcPr>
            <w:tcW w:w="1454" w:type="pct"/>
            <w:shd w:val="clear" w:color="auto" w:fill="auto"/>
            <w:vAlign w:val="center"/>
          </w:tcPr>
          <w:p w14:paraId="7A8F0E52" w14:textId="77777777" w:rsidR="002E474C" w:rsidRDefault="00000000">
            <w:pPr>
              <w:pStyle w:val="A-"/>
            </w:pPr>
            <w:r>
              <w:t>H</w:t>
            </w:r>
            <w:r>
              <w:rPr>
                <w:vertAlign w:val="subscript"/>
              </w:rPr>
              <w:t>2</w:t>
            </w:r>
            <w:r>
              <w:t>S</w:t>
            </w:r>
          </w:p>
        </w:tc>
        <w:tc>
          <w:tcPr>
            <w:tcW w:w="2599" w:type="pct"/>
            <w:shd w:val="clear" w:color="auto" w:fill="auto"/>
            <w:vAlign w:val="center"/>
          </w:tcPr>
          <w:p w14:paraId="5D255619" w14:textId="77777777" w:rsidR="002E474C" w:rsidRDefault="00000000">
            <w:pPr>
              <w:pStyle w:val="A-"/>
            </w:pPr>
            <w:r>
              <w:t xml:space="preserve">0.034 </w:t>
            </w:r>
          </w:p>
        </w:tc>
      </w:tr>
      <w:tr w:rsidR="002E474C" w14:paraId="568B86A7" w14:textId="77777777">
        <w:tc>
          <w:tcPr>
            <w:tcW w:w="947" w:type="pct"/>
            <w:vAlign w:val="center"/>
          </w:tcPr>
          <w:p w14:paraId="4841B79B" w14:textId="77777777" w:rsidR="002E474C" w:rsidRDefault="00000000">
            <w:pPr>
              <w:pStyle w:val="A-"/>
            </w:pPr>
            <w:r>
              <w:t>13</w:t>
            </w:r>
          </w:p>
        </w:tc>
        <w:tc>
          <w:tcPr>
            <w:tcW w:w="1454" w:type="pct"/>
            <w:shd w:val="clear" w:color="auto" w:fill="auto"/>
            <w:vAlign w:val="center"/>
          </w:tcPr>
          <w:p w14:paraId="1C2D9AD7" w14:textId="77777777" w:rsidR="002E474C" w:rsidRDefault="00000000">
            <w:pPr>
              <w:pStyle w:val="A-"/>
            </w:pPr>
            <w:r>
              <w:t>NH</w:t>
            </w:r>
            <w:r>
              <w:rPr>
                <w:vertAlign w:val="subscript"/>
              </w:rPr>
              <w:t>3</w:t>
            </w:r>
          </w:p>
        </w:tc>
        <w:tc>
          <w:tcPr>
            <w:tcW w:w="2599" w:type="pct"/>
            <w:shd w:val="clear" w:color="auto" w:fill="auto"/>
            <w:vAlign w:val="center"/>
          </w:tcPr>
          <w:p w14:paraId="1C99E24E" w14:textId="77777777" w:rsidR="002E474C" w:rsidRDefault="00000000">
            <w:pPr>
              <w:pStyle w:val="A-"/>
            </w:pPr>
            <w:r>
              <w:t>0.414</w:t>
            </w:r>
          </w:p>
        </w:tc>
      </w:tr>
      <w:tr w:rsidR="002E474C" w14:paraId="17F7FB0E" w14:textId="77777777">
        <w:tc>
          <w:tcPr>
            <w:tcW w:w="947" w:type="pct"/>
            <w:vAlign w:val="center"/>
          </w:tcPr>
          <w:p w14:paraId="41B996F9" w14:textId="77777777" w:rsidR="002E474C" w:rsidRDefault="00000000">
            <w:pPr>
              <w:pStyle w:val="A-"/>
            </w:pPr>
            <w:r>
              <w:t>14</w:t>
            </w:r>
          </w:p>
        </w:tc>
        <w:tc>
          <w:tcPr>
            <w:tcW w:w="1454" w:type="pct"/>
            <w:shd w:val="clear" w:color="auto" w:fill="auto"/>
            <w:vAlign w:val="center"/>
          </w:tcPr>
          <w:p w14:paraId="07E1B44A" w14:textId="77777777" w:rsidR="002E474C" w:rsidRDefault="00000000">
            <w:pPr>
              <w:pStyle w:val="A-"/>
            </w:pPr>
            <w:r>
              <w:t>VOCs</w:t>
            </w:r>
          </w:p>
        </w:tc>
        <w:tc>
          <w:tcPr>
            <w:tcW w:w="2599" w:type="pct"/>
            <w:shd w:val="clear" w:color="auto" w:fill="auto"/>
            <w:vAlign w:val="center"/>
          </w:tcPr>
          <w:p w14:paraId="78CE2896" w14:textId="77777777" w:rsidR="002E474C" w:rsidRDefault="00000000">
            <w:pPr>
              <w:pStyle w:val="A-"/>
            </w:pPr>
            <w:r>
              <w:t xml:space="preserve">0.450 </w:t>
            </w:r>
          </w:p>
        </w:tc>
      </w:tr>
    </w:tbl>
    <w:p w14:paraId="1F67059B" w14:textId="77777777" w:rsidR="002E474C" w:rsidRDefault="002E474C">
      <w:bookmarkStart w:id="284" w:name="_Ref129948967"/>
      <w:bookmarkEnd w:id="283"/>
    </w:p>
    <w:p w14:paraId="4E4EC3A7" w14:textId="77777777" w:rsidR="002E474C" w:rsidRDefault="00000000">
      <w:pPr>
        <w:pStyle w:val="A--"/>
        <w:rPr>
          <w:color w:val="auto"/>
        </w:rPr>
      </w:pPr>
      <w:r>
        <w:rPr>
          <w:color w:val="auto"/>
        </w:rPr>
        <w:t>表</w:t>
      </w:r>
      <w:r>
        <w:rPr>
          <w:color w:val="auto"/>
        </w:rPr>
        <w:t>5.1</w:t>
      </w:r>
      <w:r>
        <w:rPr>
          <w:color w:val="auto"/>
        </w:rPr>
        <w:noBreakHyphen/>
        <w:t>4</w:t>
      </w:r>
      <w:bookmarkEnd w:id="284"/>
      <w:r>
        <w:rPr>
          <w:color w:val="auto"/>
        </w:rPr>
        <w:t xml:space="preserve">2  </w:t>
      </w:r>
      <w:r>
        <w:rPr>
          <w:color w:val="auto"/>
        </w:rPr>
        <w:t>污染源非正常排放量核算表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063"/>
        <w:gridCol w:w="883"/>
        <w:gridCol w:w="1698"/>
        <w:gridCol w:w="1084"/>
        <w:gridCol w:w="858"/>
        <w:gridCol w:w="704"/>
        <w:gridCol w:w="1119"/>
      </w:tblGrid>
      <w:tr w:rsidR="002E474C" w14:paraId="18EE1E14" w14:textId="77777777">
        <w:trPr>
          <w:trHeight w:val="281"/>
        </w:trPr>
        <w:tc>
          <w:tcPr>
            <w:tcW w:w="539" w:type="pct"/>
            <w:shd w:val="clear" w:color="auto" w:fill="auto"/>
            <w:vAlign w:val="center"/>
          </w:tcPr>
          <w:p w14:paraId="3EB4CE49" w14:textId="77777777" w:rsidR="002E474C" w:rsidRDefault="00000000">
            <w:pPr>
              <w:pStyle w:val="A-"/>
            </w:pPr>
            <w:r>
              <w:t>污染源</w:t>
            </w:r>
          </w:p>
        </w:tc>
        <w:tc>
          <w:tcPr>
            <w:tcW w:w="643" w:type="pct"/>
            <w:shd w:val="clear" w:color="auto" w:fill="auto"/>
            <w:vAlign w:val="center"/>
          </w:tcPr>
          <w:p w14:paraId="395AA096" w14:textId="77777777" w:rsidR="002E474C" w:rsidRDefault="00000000">
            <w:pPr>
              <w:pStyle w:val="A-"/>
            </w:pPr>
            <w:r>
              <w:t>非正常</w:t>
            </w:r>
          </w:p>
          <w:p w14:paraId="64CF5AB4" w14:textId="77777777" w:rsidR="002E474C" w:rsidRDefault="00000000">
            <w:pPr>
              <w:pStyle w:val="A-"/>
            </w:pPr>
            <w:r>
              <w:t>排放原因</w:t>
            </w:r>
          </w:p>
        </w:tc>
        <w:tc>
          <w:tcPr>
            <w:tcW w:w="536" w:type="pct"/>
            <w:shd w:val="clear" w:color="auto" w:fill="auto"/>
            <w:vAlign w:val="center"/>
          </w:tcPr>
          <w:p w14:paraId="01D79EC9" w14:textId="77777777" w:rsidR="002E474C" w:rsidRDefault="00000000">
            <w:pPr>
              <w:pStyle w:val="A-"/>
            </w:pPr>
            <w:r>
              <w:t>污染物</w:t>
            </w:r>
          </w:p>
        </w:tc>
        <w:tc>
          <w:tcPr>
            <w:tcW w:w="996" w:type="pct"/>
            <w:shd w:val="clear" w:color="auto" w:fill="auto"/>
            <w:vAlign w:val="center"/>
          </w:tcPr>
          <w:p w14:paraId="47F32E01" w14:textId="77777777" w:rsidR="002E474C" w:rsidRDefault="00000000">
            <w:pPr>
              <w:pStyle w:val="A-"/>
            </w:pPr>
            <w:r>
              <w:t>非正常排放浓度</w:t>
            </w:r>
            <w:r>
              <w:t>/(mg/m</w:t>
            </w:r>
            <w:r>
              <w:rPr>
                <w:vertAlign w:val="superscript"/>
              </w:rPr>
              <w:t>3</w:t>
            </w:r>
            <w:r>
              <w:t>)</w:t>
            </w:r>
          </w:p>
        </w:tc>
        <w:tc>
          <w:tcPr>
            <w:tcW w:w="656" w:type="pct"/>
            <w:shd w:val="clear" w:color="auto" w:fill="auto"/>
            <w:vAlign w:val="center"/>
          </w:tcPr>
          <w:p w14:paraId="5738C3EA" w14:textId="77777777" w:rsidR="002E474C" w:rsidRDefault="00000000">
            <w:pPr>
              <w:pStyle w:val="A-"/>
            </w:pPr>
            <w:r>
              <w:t>非正常排放速率</w:t>
            </w:r>
            <w:r>
              <w:t>/(kg/h</w:t>
            </w:r>
            <w:r>
              <w:t>）</w:t>
            </w:r>
          </w:p>
        </w:tc>
        <w:tc>
          <w:tcPr>
            <w:tcW w:w="521" w:type="pct"/>
            <w:shd w:val="clear" w:color="auto" w:fill="auto"/>
            <w:vAlign w:val="center"/>
          </w:tcPr>
          <w:p w14:paraId="37C0D9E6" w14:textId="77777777" w:rsidR="002E474C" w:rsidRDefault="00000000">
            <w:pPr>
              <w:pStyle w:val="A-"/>
            </w:pPr>
            <w:r>
              <w:t>单次持续时间</w:t>
            </w:r>
            <w:r>
              <w:t>/h</w:t>
            </w:r>
          </w:p>
        </w:tc>
        <w:tc>
          <w:tcPr>
            <w:tcW w:w="428" w:type="pct"/>
            <w:shd w:val="clear" w:color="auto" w:fill="auto"/>
            <w:vAlign w:val="center"/>
          </w:tcPr>
          <w:p w14:paraId="7C7429FD" w14:textId="77777777" w:rsidR="002E474C" w:rsidRDefault="00000000">
            <w:pPr>
              <w:pStyle w:val="A-"/>
            </w:pPr>
            <w:r>
              <w:t>年发生频次</w:t>
            </w:r>
            <w:r>
              <w:t>/</w:t>
            </w:r>
            <w:r>
              <w:t>次</w:t>
            </w:r>
          </w:p>
        </w:tc>
        <w:tc>
          <w:tcPr>
            <w:tcW w:w="677" w:type="pct"/>
            <w:shd w:val="clear" w:color="auto" w:fill="auto"/>
            <w:vAlign w:val="center"/>
          </w:tcPr>
          <w:p w14:paraId="0F7BBC29" w14:textId="77777777" w:rsidR="002E474C" w:rsidRDefault="00000000">
            <w:pPr>
              <w:pStyle w:val="A-"/>
            </w:pPr>
            <w:r>
              <w:t>应对措施</w:t>
            </w:r>
          </w:p>
        </w:tc>
      </w:tr>
      <w:tr w:rsidR="002E474C" w14:paraId="01506A27" w14:textId="77777777">
        <w:trPr>
          <w:trHeight w:val="354"/>
        </w:trPr>
        <w:tc>
          <w:tcPr>
            <w:tcW w:w="539" w:type="pct"/>
            <w:shd w:val="clear" w:color="auto" w:fill="auto"/>
            <w:vAlign w:val="center"/>
          </w:tcPr>
          <w:p w14:paraId="0204AD0D" w14:textId="77777777" w:rsidR="002E474C" w:rsidRDefault="00000000">
            <w:pPr>
              <w:pStyle w:val="A-"/>
              <w:ind w:leftChars="-50" w:left="-105" w:rightChars="-50" w:right="-105"/>
            </w:pPr>
            <w:r>
              <w:t>窑尾烟气</w:t>
            </w:r>
          </w:p>
        </w:tc>
        <w:tc>
          <w:tcPr>
            <w:tcW w:w="643" w:type="pct"/>
            <w:shd w:val="clear" w:color="auto" w:fill="auto"/>
            <w:vAlign w:val="center"/>
          </w:tcPr>
          <w:p w14:paraId="086F7FA7" w14:textId="77777777" w:rsidR="002E474C" w:rsidRDefault="00000000">
            <w:pPr>
              <w:pStyle w:val="A-"/>
            </w:pPr>
            <w:r>
              <w:t>冷却设施故障</w:t>
            </w:r>
          </w:p>
        </w:tc>
        <w:tc>
          <w:tcPr>
            <w:tcW w:w="536" w:type="pct"/>
            <w:shd w:val="clear" w:color="auto" w:fill="auto"/>
            <w:vAlign w:val="center"/>
          </w:tcPr>
          <w:p w14:paraId="3880D86D" w14:textId="77777777" w:rsidR="002E474C" w:rsidRDefault="00000000">
            <w:pPr>
              <w:pStyle w:val="A-"/>
              <w:ind w:leftChars="-50" w:left="-105" w:rightChars="-50" w:right="-105"/>
            </w:pPr>
            <w:r>
              <w:t>二噁英类</w:t>
            </w:r>
          </w:p>
        </w:tc>
        <w:tc>
          <w:tcPr>
            <w:tcW w:w="996" w:type="pct"/>
            <w:shd w:val="clear" w:color="auto" w:fill="auto"/>
            <w:vAlign w:val="center"/>
          </w:tcPr>
          <w:p w14:paraId="41FBA541" w14:textId="77777777" w:rsidR="002E474C" w:rsidRDefault="00000000">
            <w:pPr>
              <w:pStyle w:val="A-"/>
            </w:pPr>
            <w:r>
              <w:t>10</w:t>
            </w:r>
            <w:r>
              <w:t>（</w:t>
            </w:r>
            <w:proofErr w:type="spellStart"/>
            <w:r>
              <w:t>ngTEQ</w:t>
            </w:r>
            <w:proofErr w:type="spellEnd"/>
            <w:r>
              <w:t>/Nm</w:t>
            </w:r>
            <w:r>
              <w:rPr>
                <w:vertAlign w:val="superscript"/>
              </w:rPr>
              <w:t>3</w:t>
            </w:r>
            <w:r>
              <w:t>）</w:t>
            </w:r>
          </w:p>
        </w:tc>
        <w:tc>
          <w:tcPr>
            <w:tcW w:w="656" w:type="pct"/>
            <w:shd w:val="clear" w:color="auto" w:fill="auto"/>
            <w:vAlign w:val="center"/>
          </w:tcPr>
          <w:p w14:paraId="6DFF8D18" w14:textId="77777777" w:rsidR="002E474C" w:rsidRDefault="00000000">
            <w:pPr>
              <w:pStyle w:val="A-"/>
            </w:pPr>
            <w:r>
              <w:t>7.20E-06</w:t>
            </w:r>
          </w:p>
        </w:tc>
        <w:tc>
          <w:tcPr>
            <w:tcW w:w="521" w:type="pct"/>
            <w:shd w:val="clear" w:color="auto" w:fill="auto"/>
            <w:vAlign w:val="center"/>
          </w:tcPr>
          <w:p w14:paraId="7FD4D3CA" w14:textId="77777777" w:rsidR="002E474C" w:rsidRDefault="00000000">
            <w:pPr>
              <w:pStyle w:val="A-"/>
            </w:pPr>
            <w:r>
              <w:t>1</w:t>
            </w:r>
          </w:p>
        </w:tc>
        <w:tc>
          <w:tcPr>
            <w:tcW w:w="428" w:type="pct"/>
            <w:shd w:val="clear" w:color="auto" w:fill="auto"/>
            <w:vAlign w:val="center"/>
          </w:tcPr>
          <w:p w14:paraId="22CDF92D" w14:textId="77777777" w:rsidR="002E474C" w:rsidRDefault="00000000">
            <w:pPr>
              <w:pStyle w:val="A-"/>
            </w:pPr>
            <w:r>
              <w:t>1</w:t>
            </w:r>
          </w:p>
        </w:tc>
        <w:tc>
          <w:tcPr>
            <w:tcW w:w="677" w:type="pct"/>
            <w:shd w:val="clear" w:color="auto" w:fill="auto"/>
            <w:vAlign w:val="center"/>
          </w:tcPr>
          <w:p w14:paraId="52DCF283" w14:textId="77777777" w:rsidR="002E474C" w:rsidRDefault="00000000">
            <w:pPr>
              <w:pStyle w:val="A-"/>
            </w:pPr>
            <w:r>
              <w:t>停车检修</w:t>
            </w:r>
          </w:p>
        </w:tc>
      </w:tr>
      <w:tr w:rsidR="002E474C" w14:paraId="7246DC6B" w14:textId="77777777">
        <w:trPr>
          <w:trHeight w:val="272"/>
        </w:trPr>
        <w:tc>
          <w:tcPr>
            <w:tcW w:w="539" w:type="pct"/>
            <w:vMerge w:val="restart"/>
            <w:shd w:val="clear" w:color="auto" w:fill="auto"/>
            <w:vAlign w:val="center"/>
          </w:tcPr>
          <w:p w14:paraId="0505167D" w14:textId="77777777" w:rsidR="002E474C" w:rsidRDefault="00000000">
            <w:pPr>
              <w:pStyle w:val="A-"/>
            </w:pPr>
            <w:r>
              <w:t>危废贮存废气</w:t>
            </w:r>
          </w:p>
        </w:tc>
        <w:tc>
          <w:tcPr>
            <w:tcW w:w="643" w:type="pct"/>
            <w:vMerge w:val="restart"/>
            <w:shd w:val="clear" w:color="auto" w:fill="auto"/>
            <w:vAlign w:val="center"/>
          </w:tcPr>
          <w:p w14:paraId="2F3C755B" w14:textId="77777777" w:rsidR="002E474C" w:rsidRDefault="00000000">
            <w:pPr>
              <w:pStyle w:val="A-"/>
            </w:pPr>
            <w:r>
              <w:t>活性炭降效</w:t>
            </w:r>
          </w:p>
        </w:tc>
        <w:tc>
          <w:tcPr>
            <w:tcW w:w="536" w:type="pct"/>
            <w:shd w:val="clear" w:color="auto" w:fill="auto"/>
            <w:vAlign w:val="center"/>
          </w:tcPr>
          <w:p w14:paraId="3D6EEF05" w14:textId="77777777" w:rsidR="002E474C" w:rsidRDefault="00000000">
            <w:pPr>
              <w:pStyle w:val="A-"/>
            </w:pPr>
            <w:r>
              <w:t>H</w:t>
            </w:r>
            <w:r>
              <w:rPr>
                <w:vertAlign w:val="subscript"/>
              </w:rPr>
              <w:t>2</w:t>
            </w:r>
            <w:r>
              <w:t>S</w:t>
            </w:r>
          </w:p>
        </w:tc>
        <w:tc>
          <w:tcPr>
            <w:tcW w:w="996" w:type="pct"/>
            <w:shd w:val="clear" w:color="auto" w:fill="auto"/>
            <w:vAlign w:val="center"/>
          </w:tcPr>
          <w:p w14:paraId="63D46DE4" w14:textId="77777777" w:rsidR="002E474C" w:rsidRDefault="00000000">
            <w:pPr>
              <w:pStyle w:val="A-"/>
            </w:pPr>
            <w:r>
              <w:t xml:space="preserve">1.7 </w:t>
            </w:r>
          </w:p>
        </w:tc>
        <w:tc>
          <w:tcPr>
            <w:tcW w:w="656" w:type="pct"/>
            <w:shd w:val="clear" w:color="auto" w:fill="auto"/>
            <w:vAlign w:val="center"/>
          </w:tcPr>
          <w:p w14:paraId="6788A888" w14:textId="77777777" w:rsidR="002E474C" w:rsidRDefault="00000000">
            <w:pPr>
              <w:pStyle w:val="A-"/>
            </w:pPr>
            <w:r>
              <w:t xml:space="preserve">0.026 </w:t>
            </w:r>
          </w:p>
        </w:tc>
        <w:tc>
          <w:tcPr>
            <w:tcW w:w="521" w:type="pct"/>
            <w:vMerge w:val="restart"/>
            <w:shd w:val="clear" w:color="auto" w:fill="auto"/>
            <w:vAlign w:val="center"/>
          </w:tcPr>
          <w:p w14:paraId="00B6480B" w14:textId="77777777" w:rsidR="002E474C" w:rsidRDefault="00000000">
            <w:pPr>
              <w:pStyle w:val="A-"/>
            </w:pPr>
            <w:r>
              <w:t>720</w:t>
            </w:r>
          </w:p>
        </w:tc>
        <w:tc>
          <w:tcPr>
            <w:tcW w:w="428" w:type="pct"/>
            <w:vMerge w:val="restart"/>
            <w:shd w:val="clear" w:color="auto" w:fill="auto"/>
            <w:vAlign w:val="center"/>
          </w:tcPr>
          <w:p w14:paraId="6BF69148" w14:textId="77777777" w:rsidR="002E474C" w:rsidRDefault="00000000">
            <w:pPr>
              <w:pStyle w:val="A-"/>
            </w:pPr>
            <w:r>
              <w:t>1</w:t>
            </w:r>
          </w:p>
        </w:tc>
        <w:tc>
          <w:tcPr>
            <w:tcW w:w="677" w:type="pct"/>
            <w:vMerge w:val="restart"/>
            <w:shd w:val="clear" w:color="auto" w:fill="auto"/>
            <w:vAlign w:val="center"/>
          </w:tcPr>
          <w:p w14:paraId="6D305557" w14:textId="77777777" w:rsidR="002E474C" w:rsidRDefault="00000000">
            <w:pPr>
              <w:pStyle w:val="A-"/>
            </w:pPr>
            <w:r>
              <w:t>更换两级活性炭</w:t>
            </w:r>
          </w:p>
        </w:tc>
      </w:tr>
      <w:tr w:rsidR="002E474C" w14:paraId="6EAEA101" w14:textId="77777777">
        <w:trPr>
          <w:trHeight w:val="272"/>
        </w:trPr>
        <w:tc>
          <w:tcPr>
            <w:tcW w:w="539" w:type="pct"/>
            <w:vMerge/>
            <w:shd w:val="clear" w:color="auto" w:fill="auto"/>
            <w:vAlign w:val="center"/>
          </w:tcPr>
          <w:p w14:paraId="2382F1C7" w14:textId="77777777" w:rsidR="002E474C" w:rsidRDefault="002E474C">
            <w:pPr>
              <w:pStyle w:val="A-"/>
            </w:pPr>
          </w:p>
        </w:tc>
        <w:tc>
          <w:tcPr>
            <w:tcW w:w="643" w:type="pct"/>
            <w:vMerge/>
            <w:shd w:val="clear" w:color="auto" w:fill="auto"/>
            <w:vAlign w:val="center"/>
          </w:tcPr>
          <w:p w14:paraId="71823156" w14:textId="77777777" w:rsidR="002E474C" w:rsidRDefault="002E474C">
            <w:pPr>
              <w:pStyle w:val="A-"/>
            </w:pPr>
          </w:p>
        </w:tc>
        <w:tc>
          <w:tcPr>
            <w:tcW w:w="536" w:type="pct"/>
            <w:shd w:val="clear" w:color="auto" w:fill="auto"/>
            <w:vAlign w:val="center"/>
          </w:tcPr>
          <w:p w14:paraId="2AABAC7A" w14:textId="77777777" w:rsidR="002E474C" w:rsidRDefault="00000000">
            <w:pPr>
              <w:pStyle w:val="A-"/>
            </w:pPr>
            <w:r>
              <w:t>NH</w:t>
            </w:r>
            <w:r>
              <w:rPr>
                <w:vertAlign w:val="subscript"/>
              </w:rPr>
              <w:t>3</w:t>
            </w:r>
          </w:p>
        </w:tc>
        <w:tc>
          <w:tcPr>
            <w:tcW w:w="996" w:type="pct"/>
            <w:shd w:val="clear" w:color="auto" w:fill="auto"/>
            <w:vAlign w:val="center"/>
          </w:tcPr>
          <w:p w14:paraId="17047E18" w14:textId="77777777" w:rsidR="002E474C" w:rsidRDefault="00000000">
            <w:pPr>
              <w:pStyle w:val="A-"/>
            </w:pPr>
            <w:r>
              <w:t xml:space="preserve">21.1 </w:t>
            </w:r>
          </w:p>
        </w:tc>
        <w:tc>
          <w:tcPr>
            <w:tcW w:w="656" w:type="pct"/>
            <w:shd w:val="clear" w:color="auto" w:fill="auto"/>
            <w:vAlign w:val="center"/>
          </w:tcPr>
          <w:p w14:paraId="226613EC" w14:textId="77777777" w:rsidR="002E474C" w:rsidRDefault="00000000">
            <w:pPr>
              <w:pStyle w:val="A-"/>
            </w:pPr>
            <w:r>
              <w:t xml:space="preserve">0.316 </w:t>
            </w:r>
          </w:p>
        </w:tc>
        <w:tc>
          <w:tcPr>
            <w:tcW w:w="521" w:type="pct"/>
            <w:vMerge/>
            <w:shd w:val="clear" w:color="auto" w:fill="auto"/>
            <w:vAlign w:val="center"/>
          </w:tcPr>
          <w:p w14:paraId="4116F6DD" w14:textId="77777777" w:rsidR="002E474C" w:rsidRDefault="002E474C">
            <w:pPr>
              <w:pStyle w:val="A-"/>
            </w:pPr>
          </w:p>
        </w:tc>
        <w:tc>
          <w:tcPr>
            <w:tcW w:w="428" w:type="pct"/>
            <w:vMerge/>
            <w:shd w:val="clear" w:color="auto" w:fill="auto"/>
            <w:vAlign w:val="center"/>
          </w:tcPr>
          <w:p w14:paraId="2909439E" w14:textId="77777777" w:rsidR="002E474C" w:rsidRDefault="002E474C">
            <w:pPr>
              <w:pStyle w:val="A-"/>
            </w:pPr>
          </w:p>
        </w:tc>
        <w:tc>
          <w:tcPr>
            <w:tcW w:w="677" w:type="pct"/>
            <w:vMerge/>
            <w:shd w:val="clear" w:color="auto" w:fill="auto"/>
            <w:vAlign w:val="center"/>
          </w:tcPr>
          <w:p w14:paraId="6373DB3D" w14:textId="77777777" w:rsidR="002E474C" w:rsidRDefault="002E474C">
            <w:pPr>
              <w:pStyle w:val="A-"/>
            </w:pPr>
          </w:p>
        </w:tc>
      </w:tr>
      <w:tr w:rsidR="002E474C" w14:paraId="5D5F1D88" w14:textId="77777777">
        <w:trPr>
          <w:trHeight w:val="272"/>
        </w:trPr>
        <w:tc>
          <w:tcPr>
            <w:tcW w:w="539" w:type="pct"/>
            <w:vMerge/>
            <w:shd w:val="clear" w:color="auto" w:fill="auto"/>
            <w:vAlign w:val="center"/>
          </w:tcPr>
          <w:p w14:paraId="3C638824" w14:textId="77777777" w:rsidR="002E474C" w:rsidRDefault="002E474C">
            <w:pPr>
              <w:pStyle w:val="A-"/>
            </w:pPr>
          </w:p>
        </w:tc>
        <w:tc>
          <w:tcPr>
            <w:tcW w:w="643" w:type="pct"/>
            <w:vMerge/>
            <w:shd w:val="clear" w:color="auto" w:fill="auto"/>
            <w:vAlign w:val="center"/>
          </w:tcPr>
          <w:p w14:paraId="516AB2C1" w14:textId="77777777" w:rsidR="002E474C" w:rsidRDefault="002E474C">
            <w:pPr>
              <w:pStyle w:val="A-"/>
            </w:pPr>
          </w:p>
        </w:tc>
        <w:tc>
          <w:tcPr>
            <w:tcW w:w="536" w:type="pct"/>
            <w:shd w:val="clear" w:color="auto" w:fill="auto"/>
            <w:vAlign w:val="center"/>
          </w:tcPr>
          <w:p w14:paraId="0558829D" w14:textId="77777777" w:rsidR="002E474C" w:rsidRDefault="00000000">
            <w:pPr>
              <w:pStyle w:val="A-"/>
            </w:pPr>
            <w:r>
              <w:t>NMHC</w:t>
            </w:r>
          </w:p>
        </w:tc>
        <w:tc>
          <w:tcPr>
            <w:tcW w:w="996" w:type="pct"/>
            <w:shd w:val="clear" w:color="auto" w:fill="auto"/>
            <w:vAlign w:val="center"/>
          </w:tcPr>
          <w:p w14:paraId="2F97751D" w14:textId="77777777" w:rsidR="002E474C" w:rsidRDefault="00000000">
            <w:pPr>
              <w:pStyle w:val="A-"/>
            </w:pPr>
            <w:r>
              <w:t xml:space="preserve">22.92 </w:t>
            </w:r>
          </w:p>
        </w:tc>
        <w:tc>
          <w:tcPr>
            <w:tcW w:w="656" w:type="pct"/>
            <w:shd w:val="clear" w:color="auto" w:fill="auto"/>
            <w:vAlign w:val="center"/>
          </w:tcPr>
          <w:p w14:paraId="6074963A" w14:textId="77777777" w:rsidR="002E474C" w:rsidRDefault="00000000">
            <w:pPr>
              <w:pStyle w:val="A-"/>
            </w:pPr>
            <w:r>
              <w:t xml:space="preserve">0.344 </w:t>
            </w:r>
          </w:p>
        </w:tc>
        <w:tc>
          <w:tcPr>
            <w:tcW w:w="521" w:type="pct"/>
            <w:vMerge/>
            <w:shd w:val="clear" w:color="auto" w:fill="auto"/>
            <w:vAlign w:val="center"/>
          </w:tcPr>
          <w:p w14:paraId="73B40DDA" w14:textId="77777777" w:rsidR="002E474C" w:rsidRDefault="002E474C">
            <w:pPr>
              <w:pStyle w:val="A-"/>
            </w:pPr>
          </w:p>
        </w:tc>
        <w:tc>
          <w:tcPr>
            <w:tcW w:w="428" w:type="pct"/>
            <w:vMerge/>
            <w:shd w:val="clear" w:color="auto" w:fill="auto"/>
            <w:vAlign w:val="center"/>
          </w:tcPr>
          <w:p w14:paraId="5D845BC8" w14:textId="77777777" w:rsidR="002E474C" w:rsidRDefault="002E474C">
            <w:pPr>
              <w:pStyle w:val="A-"/>
            </w:pPr>
          </w:p>
        </w:tc>
        <w:tc>
          <w:tcPr>
            <w:tcW w:w="677" w:type="pct"/>
            <w:vMerge/>
            <w:shd w:val="clear" w:color="auto" w:fill="auto"/>
            <w:vAlign w:val="center"/>
          </w:tcPr>
          <w:p w14:paraId="39C1DD9A" w14:textId="77777777" w:rsidR="002E474C" w:rsidRDefault="002E474C">
            <w:pPr>
              <w:pStyle w:val="A-"/>
            </w:pPr>
          </w:p>
        </w:tc>
      </w:tr>
    </w:tbl>
    <w:p w14:paraId="24FCDA47" w14:textId="77777777" w:rsidR="002E474C" w:rsidRDefault="00000000">
      <w:pPr>
        <w:pStyle w:val="31"/>
        <w:spacing w:before="120" w:after="120"/>
        <w:rPr>
          <w:color w:val="auto"/>
        </w:rPr>
      </w:pPr>
      <w:r>
        <w:rPr>
          <w:color w:val="auto"/>
        </w:rPr>
        <w:t>评价小结</w:t>
      </w:r>
    </w:p>
    <w:p w14:paraId="134E908A" w14:textId="6E5BE585" w:rsidR="002E474C" w:rsidRPr="009C3A0E" w:rsidRDefault="00000000">
      <w:pPr>
        <w:pStyle w:val="A-z"/>
        <w:rPr>
          <w:color w:val="auto"/>
        </w:rPr>
      </w:pPr>
      <w:r w:rsidRPr="009C3A0E">
        <w:rPr>
          <w:color w:val="auto"/>
        </w:rPr>
        <w:t>（</w:t>
      </w:r>
      <w:r w:rsidRPr="009C3A0E">
        <w:rPr>
          <w:color w:val="auto"/>
        </w:rPr>
        <w:t>1</w:t>
      </w:r>
      <w:r w:rsidRPr="009C3A0E">
        <w:rPr>
          <w:color w:val="auto"/>
        </w:rPr>
        <w:t>）本项目新增污染源正常排放下</w:t>
      </w:r>
      <w:r w:rsidRPr="009C3A0E">
        <w:rPr>
          <w:color w:val="auto"/>
        </w:rPr>
        <w:t>HF</w:t>
      </w:r>
      <w:r w:rsidRPr="009C3A0E">
        <w:rPr>
          <w:color w:val="auto"/>
        </w:rPr>
        <w:t>、</w:t>
      </w:r>
      <w:r w:rsidRPr="009C3A0E">
        <w:rPr>
          <w:color w:val="auto"/>
        </w:rPr>
        <w:t>HCl</w:t>
      </w:r>
      <w:r w:rsidRPr="009C3A0E">
        <w:rPr>
          <w:color w:val="auto"/>
        </w:rPr>
        <w:t>、</w:t>
      </w:r>
      <w:r w:rsidRPr="009C3A0E">
        <w:rPr>
          <w:color w:val="auto"/>
        </w:rPr>
        <w:t>Mn</w:t>
      </w:r>
      <w:r w:rsidRPr="009C3A0E">
        <w:rPr>
          <w:color w:val="auto"/>
        </w:rPr>
        <w:t>、</w:t>
      </w:r>
      <w:r w:rsidRPr="009C3A0E">
        <w:rPr>
          <w:color w:val="auto"/>
        </w:rPr>
        <w:t>NMHC</w:t>
      </w:r>
      <w:r w:rsidRPr="009C3A0E">
        <w:rPr>
          <w:color w:val="auto"/>
        </w:rPr>
        <w:t>、</w:t>
      </w:r>
      <w:r w:rsidRPr="009C3A0E">
        <w:rPr>
          <w:color w:val="auto"/>
        </w:rPr>
        <w:t>H</w:t>
      </w:r>
      <w:r w:rsidRPr="009C3A0E">
        <w:rPr>
          <w:color w:val="auto"/>
          <w:vertAlign w:val="subscript"/>
        </w:rPr>
        <w:t>2</w:t>
      </w:r>
      <w:r w:rsidRPr="009C3A0E">
        <w:rPr>
          <w:color w:val="auto"/>
        </w:rPr>
        <w:t>S</w:t>
      </w:r>
      <w:r w:rsidRPr="009C3A0E">
        <w:rPr>
          <w:color w:val="auto"/>
        </w:rPr>
        <w:t>、</w:t>
      </w:r>
      <w:r w:rsidRPr="009C3A0E">
        <w:rPr>
          <w:color w:val="auto"/>
        </w:rPr>
        <w:t>NH</w:t>
      </w:r>
      <w:r w:rsidRPr="009C3A0E">
        <w:rPr>
          <w:color w:val="auto"/>
          <w:vertAlign w:val="subscript"/>
        </w:rPr>
        <w:t>3</w:t>
      </w:r>
      <w:r w:rsidRPr="009C3A0E">
        <w:rPr>
          <w:color w:val="auto"/>
        </w:rPr>
        <w:t>等污染物短期浓度贡献值的最大浓度占标率</w:t>
      </w:r>
      <w:r w:rsidRPr="009C3A0E">
        <w:rPr>
          <w:color w:val="auto"/>
        </w:rPr>
        <w:t>≤100%</w:t>
      </w:r>
      <w:r w:rsidRPr="009C3A0E">
        <w:rPr>
          <w:color w:val="auto"/>
        </w:rPr>
        <w:t>；</w:t>
      </w:r>
      <w:r w:rsidRPr="009C3A0E">
        <w:rPr>
          <w:color w:val="auto"/>
        </w:rPr>
        <w:t xml:space="preserve"> </w:t>
      </w:r>
    </w:p>
    <w:p w14:paraId="480BC132" w14:textId="56811015" w:rsidR="002E474C" w:rsidRDefault="00000000">
      <w:pPr>
        <w:pStyle w:val="A-z"/>
        <w:rPr>
          <w:color w:val="auto"/>
        </w:rPr>
      </w:pPr>
      <w:r w:rsidRPr="009C3A0E">
        <w:rPr>
          <w:color w:val="auto"/>
        </w:rPr>
        <w:t>（</w:t>
      </w:r>
      <w:r w:rsidRPr="009C3A0E">
        <w:rPr>
          <w:color w:val="auto"/>
        </w:rPr>
        <w:t>2</w:t>
      </w:r>
      <w:r w:rsidRPr="009C3A0E">
        <w:rPr>
          <w:color w:val="auto"/>
        </w:rPr>
        <w:t>）本项目新增污染源正常排放下</w:t>
      </w:r>
      <w:r w:rsidRPr="009C3A0E">
        <w:rPr>
          <w:color w:val="auto"/>
        </w:rPr>
        <w:t>Cr</w:t>
      </w:r>
      <w:r w:rsidRPr="009C3A0E">
        <w:rPr>
          <w:color w:val="auto"/>
        </w:rPr>
        <w:t>、</w:t>
      </w:r>
      <w:r w:rsidRPr="009C3A0E">
        <w:rPr>
          <w:color w:val="auto"/>
        </w:rPr>
        <w:t>Cd</w:t>
      </w:r>
      <w:r w:rsidRPr="009C3A0E">
        <w:rPr>
          <w:color w:val="auto"/>
        </w:rPr>
        <w:t>、</w:t>
      </w:r>
      <w:r w:rsidRPr="009C3A0E">
        <w:rPr>
          <w:color w:val="auto"/>
        </w:rPr>
        <w:t>Pb</w:t>
      </w:r>
      <w:r w:rsidRPr="009C3A0E">
        <w:rPr>
          <w:color w:val="auto"/>
        </w:rPr>
        <w:t>、</w:t>
      </w:r>
      <w:r w:rsidRPr="009C3A0E">
        <w:rPr>
          <w:color w:val="auto"/>
        </w:rPr>
        <w:t>As</w:t>
      </w:r>
      <w:r w:rsidRPr="009C3A0E">
        <w:rPr>
          <w:color w:val="auto"/>
        </w:rPr>
        <w:t>、</w:t>
      </w:r>
      <w:r w:rsidRPr="009C3A0E">
        <w:rPr>
          <w:color w:val="auto"/>
        </w:rPr>
        <w:t>Hg</w:t>
      </w:r>
      <w:r w:rsidRPr="009C3A0E">
        <w:rPr>
          <w:color w:val="auto"/>
        </w:rPr>
        <w:t>、二噁英类等污染物年平均浓度贡献值的最大浓度占标率</w:t>
      </w:r>
      <w:r w:rsidRPr="009C3A0E">
        <w:rPr>
          <w:color w:val="auto"/>
        </w:rPr>
        <w:t>≤30%</w:t>
      </w:r>
      <w:r w:rsidRPr="009C3A0E">
        <w:rPr>
          <w:color w:val="auto"/>
        </w:rPr>
        <w:t>；</w:t>
      </w:r>
      <w:r>
        <w:rPr>
          <w:color w:val="auto"/>
        </w:rPr>
        <w:t xml:space="preserve"> </w:t>
      </w:r>
    </w:p>
    <w:p w14:paraId="05FF6473" w14:textId="77777777" w:rsidR="002E474C" w:rsidRDefault="00000000">
      <w:pPr>
        <w:pStyle w:val="A-z"/>
        <w:rPr>
          <w:color w:val="auto"/>
        </w:rPr>
      </w:pPr>
      <w:r>
        <w:rPr>
          <w:color w:val="auto"/>
        </w:rPr>
        <w:t>（</w:t>
      </w:r>
      <w:r>
        <w:rPr>
          <w:color w:val="auto"/>
        </w:rPr>
        <w:t>3</w:t>
      </w:r>
      <w:r>
        <w:rPr>
          <w:color w:val="auto"/>
        </w:rPr>
        <w:t>）项目环境影响符合环境功能区划。叠加现状浓度的环境影响后，主要污染物的年平均质量浓度均符合环境质量标准；对于项目排放的主要污染物仅有短期浓度限值的，叠加后的短期浓度符合环境质量标准。</w:t>
      </w:r>
    </w:p>
    <w:p w14:paraId="31BD359E" w14:textId="77777777" w:rsidR="002E474C" w:rsidRDefault="00000000">
      <w:pPr>
        <w:pStyle w:val="A-z"/>
        <w:rPr>
          <w:color w:val="auto"/>
        </w:rPr>
      </w:pPr>
      <w:r>
        <w:rPr>
          <w:color w:val="auto"/>
        </w:rPr>
        <w:t>本项目大气环境影响自查见表</w:t>
      </w:r>
      <w:r>
        <w:rPr>
          <w:color w:val="auto"/>
        </w:rPr>
        <w:t>5.1</w:t>
      </w:r>
      <w:r>
        <w:rPr>
          <w:color w:val="auto"/>
        </w:rPr>
        <w:noBreakHyphen/>
        <w:t>43</w:t>
      </w:r>
      <w:r>
        <w:rPr>
          <w:color w:val="auto"/>
        </w:rPr>
        <w:t>。</w:t>
      </w:r>
    </w:p>
    <w:p w14:paraId="42BEBDD3" w14:textId="77777777" w:rsidR="002E474C" w:rsidRDefault="00000000">
      <w:pPr>
        <w:pStyle w:val="A--"/>
        <w:rPr>
          <w:color w:val="auto"/>
        </w:rPr>
      </w:pPr>
      <w:bookmarkStart w:id="285" w:name="_Ref24628932"/>
      <w:r>
        <w:rPr>
          <w:color w:val="auto"/>
        </w:rPr>
        <w:t>表</w:t>
      </w:r>
      <w:r>
        <w:rPr>
          <w:color w:val="auto"/>
        </w:rPr>
        <w:t>5.1</w:t>
      </w:r>
      <w:r>
        <w:rPr>
          <w:color w:val="auto"/>
        </w:rPr>
        <w:noBreakHyphen/>
        <w:t>4</w:t>
      </w:r>
      <w:bookmarkEnd w:id="285"/>
      <w:r>
        <w:rPr>
          <w:color w:val="auto"/>
        </w:rPr>
        <w:t xml:space="preserve">3  </w:t>
      </w:r>
      <w:r>
        <w:rPr>
          <w:color w:val="auto"/>
        </w:rPr>
        <w:t>建设项目大气环境影响评价自查表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322"/>
        <w:gridCol w:w="1115"/>
        <w:gridCol w:w="441"/>
        <w:gridCol w:w="324"/>
        <w:gridCol w:w="964"/>
        <w:gridCol w:w="373"/>
        <w:gridCol w:w="659"/>
        <w:gridCol w:w="1341"/>
        <w:gridCol w:w="594"/>
        <w:gridCol w:w="488"/>
      </w:tblGrid>
      <w:tr w:rsidR="002E474C" w14:paraId="4C2E409B" w14:textId="77777777">
        <w:tc>
          <w:tcPr>
            <w:tcW w:w="1204" w:type="pct"/>
            <w:gridSpan w:val="2"/>
            <w:shd w:val="clear" w:color="auto" w:fill="auto"/>
            <w:vAlign w:val="center"/>
          </w:tcPr>
          <w:p w14:paraId="2A850FCF" w14:textId="77777777" w:rsidR="002E474C" w:rsidRDefault="00000000">
            <w:pPr>
              <w:pStyle w:val="A-"/>
            </w:pPr>
            <w:r>
              <w:t>工作内容</w:t>
            </w:r>
          </w:p>
        </w:tc>
        <w:tc>
          <w:tcPr>
            <w:tcW w:w="3795" w:type="pct"/>
            <w:gridSpan w:val="9"/>
            <w:shd w:val="clear" w:color="auto" w:fill="auto"/>
            <w:vAlign w:val="center"/>
          </w:tcPr>
          <w:p w14:paraId="4DBC4EF7" w14:textId="77777777" w:rsidR="002E474C" w:rsidRDefault="00000000">
            <w:pPr>
              <w:pStyle w:val="A-"/>
            </w:pPr>
            <w:r>
              <w:t>自查项目</w:t>
            </w:r>
          </w:p>
        </w:tc>
      </w:tr>
      <w:tr w:rsidR="002E474C" w14:paraId="71316361" w14:textId="77777777">
        <w:tc>
          <w:tcPr>
            <w:tcW w:w="407" w:type="pct"/>
            <w:vMerge w:val="restart"/>
            <w:shd w:val="clear" w:color="auto" w:fill="auto"/>
            <w:vAlign w:val="center"/>
          </w:tcPr>
          <w:p w14:paraId="25716336" w14:textId="77777777" w:rsidR="002E474C" w:rsidRDefault="00000000">
            <w:pPr>
              <w:pStyle w:val="A-"/>
            </w:pPr>
            <w:r>
              <w:t>评价等级与范围</w:t>
            </w:r>
          </w:p>
        </w:tc>
        <w:tc>
          <w:tcPr>
            <w:tcW w:w="797" w:type="pct"/>
            <w:shd w:val="clear" w:color="auto" w:fill="auto"/>
            <w:vAlign w:val="center"/>
          </w:tcPr>
          <w:p w14:paraId="09F7CD7C" w14:textId="77777777" w:rsidR="002E474C" w:rsidRDefault="00000000">
            <w:pPr>
              <w:pStyle w:val="A-"/>
            </w:pPr>
            <w:r>
              <w:t>评价等级</w:t>
            </w:r>
          </w:p>
        </w:tc>
        <w:tc>
          <w:tcPr>
            <w:tcW w:w="1714" w:type="pct"/>
            <w:gridSpan w:val="4"/>
            <w:shd w:val="clear" w:color="auto" w:fill="auto"/>
            <w:vAlign w:val="center"/>
          </w:tcPr>
          <w:p w14:paraId="0292D0BD" w14:textId="77777777" w:rsidR="002E474C" w:rsidRDefault="00000000">
            <w:pPr>
              <w:pStyle w:val="A-"/>
            </w:pPr>
            <w:r>
              <w:t>一级</w:t>
            </w:r>
            <w:r>
              <w:sym w:font="Wingdings 2" w:char="0052"/>
            </w:r>
          </w:p>
        </w:tc>
        <w:tc>
          <w:tcPr>
            <w:tcW w:w="1430" w:type="pct"/>
            <w:gridSpan w:val="3"/>
            <w:shd w:val="clear" w:color="auto" w:fill="auto"/>
            <w:vAlign w:val="center"/>
          </w:tcPr>
          <w:p w14:paraId="555E8919" w14:textId="77777777" w:rsidR="002E474C" w:rsidRDefault="00000000">
            <w:pPr>
              <w:pStyle w:val="A-"/>
            </w:pPr>
            <w:r>
              <w:t>二级</w:t>
            </w:r>
            <w:r>
              <w:rPr>
                <w:rFonts w:eastAsia="仿宋"/>
              </w:rPr>
              <w:t>□</w:t>
            </w:r>
          </w:p>
        </w:tc>
        <w:tc>
          <w:tcPr>
            <w:tcW w:w="651" w:type="pct"/>
            <w:gridSpan w:val="2"/>
            <w:shd w:val="clear" w:color="auto" w:fill="auto"/>
            <w:vAlign w:val="center"/>
          </w:tcPr>
          <w:p w14:paraId="26BE64E5" w14:textId="77777777" w:rsidR="002E474C" w:rsidRDefault="00000000">
            <w:pPr>
              <w:pStyle w:val="A-"/>
            </w:pPr>
            <w:r>
              <w:t>三级</w:t>
            </w:r>
            <w:r>
              <w:rPr>
                <w:rFonts w:eastAsia="仿宋"/>
              </w:rPr>
              <w:t>□</w:t>
            </w:r>
          </w:p>
        </w:tc>
      </w:tr>
      <w:tr w:rsidR="002E474C" w14:paraId="6DBECE8C" w14:textId="77777777">
        <w:tc>
          <w:tcPr>
            <w:tcW w:w="407" w:type="pct"/>
            <w:vMerge/>
            <w:shd w:val="clear" w:color="auto" w:fill="auto"/>
            <w:vAlign w:val="center"/>
          </w:tcPr>
          <w:p w14:paraId="0EBE774D" w14:textId="77777777" w:rsidR="002E474C" w:rsidRDefault="002E474C">
            <w:pPr>
              <w:pStyle w:val="A-"/>
            </w:pPr>
          </w:p>
        </w:tc>
        <w:tc>
          <w:tcPr>
            <w:tcW w:w="797" w:type="pct"/>
            <w:shd w:val="clear" w:color="auto" w:fill="auto"/>
            <w:vAlign w:val="center"/>
          </w:tcPr>
          <w:p w14:paraId="3BF39093" w14:textId="77777777" w:rsidR="002E474C" w:rsidRDefault="00000000">
            <w:pPr>
              <w:pStyle w:val="A-"/>
            </w:pPr>
            <w:r>
              <w:t>评价范围</w:t>
            </w:r>
          </w:p>
        </w:tc>
        <w:tc>
          <w:tcPr>
            <w:tcW w:w="1714" w:type="pct"/>
            <w:gridSpan w:val="4"/>
            <w:shd w:val="clear" w:color="auto" w:fill="auto"/>
            <w:vAlign w:val="center"/>
          </w:tcPr>
          <w:p w14:paraId="09FE3BCF" w14:textId="77777777" w:rsidR="002E474C" w:rsidRDefault="00000000">
            <w:pPr>
              <w:pStyle w:val="A-"/>
            </w:pPr>
            <w:r>
              <w:t>边长</w:t>
            </w:r>
            <w:r>
              <w:t>=50km</w:t>
            </w:r>
            <w:r>
              <w:rPr>
                <w:rFonts w:eastAsia="仿宋"/>
              </w:rPr>
              <w:t>□</w:t>
            </w:r>
          </w:p>
        </w:tc>
        <w:tc>
          <w:tcPr>
            <w:tcW w:w="1430" w:type="pct"/>
            <w:gridSpan w:val="3"/>
            <w:shd w:val="clear" w:color="auto" w:fill="auto"/>
            <w:vAlign w:val="center"/>
          </w:tcPr>
          <w:p w14:paraId="794936F5" w14:textId="28F21B3C" w:rsidR="002E474C" w:rsidRDefault="00000000">
            <w:pPr>
              <w:pStyle w:val="A-"/>
            </w:pPr>
            <w:r>
              <w:t>边长</w:t>
            </w:r>
            <w:r>
              <w:t>5</w:t>
            </w:r>
            <w:r>
              <w:t>～</w:t>
            </w:r>
            <w:r>
              <w:t>50km</w:t>
            </w:r>
            <w:r w:rsidR="00DE5C73">
              <w:sym w:font="Wingdings 2" w:char="0052"/>
            </w:r>
          </w:p>
        </w:tc>
        <w:tc>
          <w:tcPr>
            <w:tcW w:w="651" w:type="pct"/>
            <w:gridSpan w:val="2"/>
            <w:shd w:val="clear" w:color="auto" w:fill="auto"/>
            <w:vAlign w:val="center"/>
          </w:tcPr>
          <w:p w14:paraId="08CE4F24" w14:textId="2FDD96F3" w:rsidR="002E474C" w:rsidRDefault="00000000">
            <w:pPr>
              <w:pStyle w:val="A-"/>
            </w:pPr>
            <w:r>
              <w:t>边长</w:t>
            </w:r>
            <w:r>
              <w:t>=5 km</w:t>
            </w:r>
            <w:r w:rsidR="00DE5C73">
              <w:rPr>
                <w:rFonts w:eastAsia="仿宋"/>
              </w:rPr>
              <w:t>□</w:t>
            </w:r>
          </w:p>
        </w:tc>
      </w:tr>
      <w:tr w:rsidR="002E474C" w14:paraId="79F0868D" w14:textId="77777777">
        <w:tc>
          <w:tcPr>
            <w:tcW w:w="407" w:type="pct"/>
            <w:vMerge w:val="restart"/>
            <w:shd w:val="clear" w:color="auto" w:fill="auto"/>
            <w:vAlign w:val="center"/>
          </w:tcPr>
          <w:p w14:paraId="4C06D316" w14:textId="77777777" w:rsidR="002E474C" w:rsidRDefault="00000000">
            <w:pPr>
              <w:pStyle w:val="A-"/>
            </w:pPr>
            <w:r>
              <w:t>评价因子</w:t>
            </w:r>
          </w:p>
        </w:tc>
        <w:tc>
          <w:tcPr>
            <w:tcW w:w="797" w:type="pct"/>
            <w:shd w:val="clear" w:color="auto" w:fill="auto"/>
            <w:vAlign w:val="center"/>
          </w:tcPr>
          <w:p w14:paraId="3CDCC125" w14:textId="77777777" w:rsidR="002E474C" w:rsidRDefault="00000000">
            <w:pPr>
              <w:pStyle w:val="A-"/>
              <w:rPr>
                <w:i/>
                <w:vertAlign w:val="subscript"/>
              </w:rPr>
            </w:pPr>
            <w:r>
              <w:t>SO</w:t>
            </w:r>
            <w:r>
              <w:rPr>
                <w:vertAlign w:val="subscript"/>
              </w:rPr>
              <w:t xml:space="preserve">2 </w:t>
            </w:r>
            <w:r>
              <w:t>+NO</w:t>
            </w:r>
            <w:r>
              <w:rPr>
                <w:i/>
                <w:vertAlign w:val="subscript"/>
              </w:rPr>
              <w:t>x</w:t>
            </w:r>
          </w:p>
          <w:p w14:paraId="7BEA6D39" w14:textId="77777777" w:rsidR="002E474C" w:rsidRDefault="00000000">
            <w:pPr>
              <w:pStyle w:val="A-"/>
            </w:pPr>
            <w:r>
              <w:t>排放量</w:t>
            </w:r>
          </w:p>
        </w:tc>
        <w:tc>
          <w:tcPr>
            <w:tcW w:w="1714" w:type="pct"/>
            <w:gridSpan w:val="4"/>
            <w:shd w:val="clear" w:color="auto" w:fill="auto"/>
            <w:vAlign w:val="center"/>
          </w:tcPr>
          <w:p w14:paraId="6B6D1A2B" w14:textId="77777777" w:rsidR="002E474C" w:rsidRDefault="00000000">
            <w:pPr>
              <w:pStyle w:val="A-"/>
            </w:pPr>
            <w:r>
              <w:rPr>
                <w:rFonts w:eastAsia="仿宋"/>
              </w:rPr>
              <w:t>≥</w:t>
            </w:r>
            <w:r>
              <w:t xml:space="preserve"> 2000t/a</w:t>
            </w:r>
            <w:r>
              <w:rPr>
                <w:rFonts w:eastAsia="仿宋"/>
              </w:rPr>
              <w:t>□</w:t>
            </w:r>
          </w:p>
        </w:tc>
        <w:tc>
          <w:tcPr>
            <w:tcW w:w="1430" w:type="pct"/>
            <w:gridSpan w:val="3"/>
            <w:shd w:val="clear" w:color="auto" w:fill="auto"/>
            <w:vAlign w:val="center"/>
          </w:tcPr>
          <w:p w14:paraId="5391C434" w14:textId="77777777" w:rsidR="002E474C" w:rsidRDefault="00000000">
            <w:pPr>
              <w:pStyle w:val="A-"/>
            </w:pPr>
            <w:r>
              <w:rPr>
                <w:rFonts w:eastAsia="仿宋"/>
              </w:rPr>
              <w:t>500~</w:t>
            </w:r>
            <w:r>
              <w:t>2000t/a</w:t>
            </w:r>
            <w:r>
              <w:rPr>
                <w:rFonts w:eastAsia="仿宋"/>
              </w:rPr>
              <w:t>□</w:t>
            </w:r>
          </w:p>
        </w:tc>
        <w:tc>
          <w:tcPr>
            <w:tcW w:w="651" w:type="pct"/>
            <w:gridSpan w:val="2"/>
            <w:shd w:val="clear" w:color="auto" w:fill="auto"/>
            <w:vAlign w:val="center"/>
          </w:tcPr>
          <w:p w14:paraId="1A20DDFA" w14:textId="77777777" w:rsidR="002E474C" w:rsidRDefault="00000000">
            <w:pPr>
              <w:pStyle w:val="A-"/>
            </w:pPr>
            <w:r>
              <w:rPr>
                <w:rFonts w:eastAsia="仿宋"/>
              </w:rPr>
              <w:t>＜</w:t>
            </w:r>
            <w:r>
              <w:t>500 t/a</w:t>
            </w:r>
            <w:r>
              <w:rPr>
                <w:rFonts w:eastAsia="仿宋"/>
              </w:rPr>
              <w:t>□</w:t>
            </w:r>
          </w:p>
        </w:tc>
      </w:tr>
      <w:tr w:rsidR="002E474C" w14:paraId="7EF0A999" w14:textId="77777777">
        <w:tc>
          <w:tcPr>
            <w:tcW w:w="407" w:type="pct"/>
            <w:vMerge/>
            <w:shd w:val="clear" w:color="auto" w:fill="auto"/>
            <w:vAlign w:val="center"/>
          </w:tcPr>
          <w:p w14:paraId="1B66BB0C" w14:textId="77777777" w:rsidR="002E474C" w:rsidRDefault="002E474C">
            <w:pPr>
              <w:pStyle w:val="A-"/>
            </w:pPr>
          </w:p>
        </w:tc>
        <w:tc>
          <w:tcPr>
            <w:tcW w:w="797" w:type="pct"/>
            <w:shd w:val="clear" w:color="auto" w:fill="auto"/>
            <w:vAlign w:val="center"/>
          </w:tcPr>
          <w:p w14:paraId="4F227D85" w14:textId="77777777" w:rsidR="002E474C" w:rsidRDefault="00000000">
            <w:pPr>
              <w:pStyle w:val="A-"/>
            </w:pPr>
            <w:r>
              <w:t>评价因子</w:t>
            </w:r>
          </w:p>
        </w:tc>
        <w:tc>
          <w:tcPr>
            <w:tcW w:w="2336" w:type="pct"/>
            <w:gridSpan w:val="6"/>
            <w:shd w:val="clear" w:color="auto" w:fill="auto"/>
            <w:vAlign w:val="center"/>
          </w:tcPr>
          <w:p w14:paraId="79364010" w14:textId="77777777" w:rsidR="002E474C" w:rsidRDefault="00000000">
            <w:pPr>
              <w:pStyle w:val="A-"/>
            </w:pPr>
            <w:r>
              <w:t>基本污染物</w:t>
            </w:r>
            <w:r>
              <w:t xml:space="preserve"> (SO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O</w:t>
            </w:r>
            <w:r>
              <w:rPr>
                <w:vertAlign w:val="subscript"/>
              </w:rPr>
              <w:t>3</w:t>
            </w:r>
            <w:r>
              <w:t>、</w:t>
            </w:r>
            <w:r>
              <w:t>CO )</w:t>
            </w:r>
            <w:r>
              <w:t>其他污染物</w:t>
            </w:r>
            <w:r>
              <w:t xml:space="preserve"> (HF</w:t>
            </w:r>
            <w:r>
              <w:t>、</w:t>
            </w:r>
            <w:r>
              <w:t>HCl</w:t>
            </w:r>
            <w:r>
              <w:t>、</w:t>
            </w:r>
            <w:r>
              <w:t>Cr</w:t>
            </w:r>
            <w:r>
              <w:t>、</w:t>
            </w:r>
            <w:r>
              <w:t>Cd</w:t>
            </w:r>
            <w:r>
              <w:t>、</w:t>
            </w:r>
            <w:r>
              <w:t>Pb</w:t>
            </w:r>
            <w:r>
              <w:t>、</w:t>
            </w:r>
            <w:r>
              <w:t>Ni</w:t>
            </w:r>
            <w:r>
              <w:t>、</w:t>
            </w:r>
            <w:r>
              <w:t>Mn</w:t>
            </w:r>
            <w:r>
              <w:t>、</w:t>
            </w:r>
            <w:r>
              <w:t>As</w:t>
            </w:r>
            <w:r>
              <w:t>、</w:t>
            </w:r>
            <w:r>
              <w:t>Hg</w:t>
            </w:r>
            <w:r>
              <w:t>、二噁英类、</w:t>
            </w:r>
            <w:r>
              <w:lastRenderedPageBreak/>
              <w:t>NMHC</w:t>
            </w:r>
            <w:r>
              <w:t>、</w:t>
            </w:r>
            <w:r>
              <w:t>H</w:t>
            </w:r>
            <w:r>
              <w:rPr>
                <w:vertAlign w:val="subscript"/>
              </w:rPr>
              <w:t>2</w:t>
            </w:r>
            <w:r>
              <w:t>S</w:t>
            </w:r>
            <w:r>
              <w:t>、</w:t>
            </w:r>
            <w:r>
              <w:t>NH</w:t>
            </w:r>
            <w:r>
              <w:rPr>
                <w:vertAlign w:val="subscript"/>
              </w:rPr>
              <w:t>3</w:t>
            </w:r>
            <w:r>
              <w:t>、</w:t>
            </w:r>
            <w:r>
              <w:t>TSP)</w:t>
            </w:r>
          </w:p>
        </w:tc>
        <w:tc>
          <w:tcPr>
            <w:tcW w:w="1459" w:type="pct"/>
            <w:gridSpan w:val="3"/>
            <w:shd w:val="clear" w:color="auto" w:fill="auto"/>
            <w:vAlign w:val="center"/>
          </w:tcPr>
          <w:p w14:paraId="3144A378" w14:textId="77777777" w:rsidR="002E474C" w:rsidRDefault="00000000">
            <w:pPr>
              <w:pStyle w:val="A-"/>
            </w:pPr>
            <w:r>
              <w:lastRenderedPageBreak/>
              <w:t>包括二次</w:t>
            </w:r>
            <w:r>
              <w:t>PM</w:t>
            </w:r>
            <w:r>
              <w:rPr>
                <w:vertAlign w:val="subscript"/>
              </w:rPr>
              <w:t>2.5</w:t>
            </w:r>
            <w:r>
              <w:rPr>
                <w:rFonts w:eastAsia="仿宋"/>
              </w:rPr>
              <w:t>□</w:t>
            </w:r>
          </w:p>
          <w:p w14:paraId="313FFD99" w14:textId="77777777" w:rsidR="002E474C" w:rsidRDefault="00000000">
            <w:pPr>
              <w:pStyle w:val="A-"/>
            </w:pPr>
            <w:r>
              <w:t>不包括二次</w:t>
            </w:r>
            <w:r>
              <w:t>PM</w:t>
            </w:r>
            <w:r>
              <w:rPr>
                <w:vertAlign w:val="subscript"/>
              </w:rPr>
              <w:t>2.5</w:t>
            </w:r>
            <w:r>
              <w:sym w:font="Wingdings 2" w:char="0052"/>
            </w:r>
          </w:p>
        </w:tc>
      </w:tr>
      <w:tr w:rsidR="002E474C" w14:paraId="2C949C8A" w14:textId="77777777">
        <w:tc>
          <w:tcPr>
            <w:tcW w:w="407" w:type="pct"/>
            <w:shd w:val="clear" w:color="auto" w:fill="auto"/>
            <w:vAlign w:val="center"/>
          </w:tcPr>
          <w:p w14:paraId="71A75CAC" w14:textId="77777777" w:rsidR="002E474C" w:rsidRDefault="00000000">
            <w:pPr>
              <w:pStyle w:val="A-"/>
            </w:pPr>
            <w:r>
              <w:t>评价标准</w:t>
            </w:r>
          </w:p>
        </w:tc>
        <w:tc>
          <w:tcPr>
            <w:tcW w:w="797" w:type="pct"/>
            <w:shd w:val="clear" w:color="auto" w:fill="auto"/>
            <w:vAlign w:val="center"/>
          </w:tcPr>
          <w:p w14:paraId="3C9B29B2" w14:textId="77777777" w:rsidR="002E474C" w:rsidRDefault="00000000">
            <w:pPr>
              <w:pStyle w:val="A-"/>
            </w:pPr>
            <w:r>
              <w:t>评价标准</w:t>
            </w:r>
          </w:p>
        </w:tc>
        <w:tc>
          <w:tcPr>
            <w:tcW w:w="1714" w:type="pct"/>
            <w:gridSpan w:val="4"/>
            <w:shd w:val="clear" w:color="auto" w:fill="auto"/>
            <w:vAlign w:val="center"/>
          </w:tcPr>
          <w:p w14:paraId="279B6B35" w14:textId="77777777" w:rsidR="002E474C" w:rsidRDefault="00000000">
            <w:pPr>
              <w:pStyle w:val="A-"/>
            </w:pPr>
            <w:r>
              <w:t>国家标准</w:t>
            </w:r>
            <w:r>
              <w:sym w:font="Wingdings 2" w:char="0052"/>
            </w:r>
          </w:p>
        </w:tc>
        <w:tc>
          <w:tcPr>
            <w:tcW w:w="621" w:type="pct"/>
            <w:gridSpan w:val="2"/>
            <w:shd w:val="clear" w:color="auto" w:fill="auto"/>
            <w:vAlign w:val="center"/>
          </w:tcPr>
          <w:p w14:paraId="106C860E" w14:textId="77777777" w:rsidR="002E474C" w:rsidRDefault="00000000">
            <w:pPr>
              <w:pStyle w:val="A-"/>
            </w:pPr>
            <w:r>
              <w:t>地方标准</w:t>
            </w:r>
            <w:r>
              <w:rPr>
                <w:rFonts w:eastAsia="仿宋"/>
              </w:rPr>
              <w:t>□</w:t>
            </w:r>
          </w:p>
        </w:tc>
        <w:tc>
          <w:tcPr>
            <w:tcW w:w="808" w:type="pct"/>
            <w:shd w:val="clear" w:color="auto" w:fill="auto"/>
            <w:vAlign w:val="center"/>
          </w:tcPr>
          <w:p w14:paraId="2E5F8A99" w14:textId="77777777" w:rsidR="002E474C" w:rsidRDefault="00000000">
            <w:pPr>
              <w:pStyle w:val="A-"/>
            </w:pPr>
            <w:r>
              <w:t>附录</w:t>
            </w:r>
            <w:r>
              <w:t>D</w:t>
            </w:r>
            <w:r>
              <w:sym w:font="Wingdings 2" w:char="0052"/>
            </w:r>
          </w:p>
        </w:tc>
        <w:tc>
          <w:tcPr>
            <w:tcW w:w="651" w:type="pct"/>
            <w:gridSpan w:val="2"/>
            <w:shd w:val="clear" w:color="auto" w:fill="auto"/>
            <w:vAlign w:val="center"/>
          </w:tcPr>
          <w:p w14:paraId="2254DC50" w14:textId="77777777" w:rsidR="002E474C" w:rsidRDefault="00000000">
            <w:pPr>
              <w:pStyle w:val="A-"/>
            </w:pPr>
            <w:r>
              <w:t>其他标准</w:t>
            </w:r>
            <w:r>
              <w:sym w:font="Wingdings 2" w:char="0052"/>
            </w:r>
          </w:p>
        </w:tc>
      </w:tr>
      <w:tr w:rsidR="002E474C" w14:paraId="113871BA" w14:textId="77777777">
        <w:tc>
          <w:tcPr>
            <w:tcW w:w="407" w:type="pct"/>
            <w:vMerge w:val="restart"/>
            <w:shd w:val="clear" w:color="auto" w:fill="auto"/>
            <w:vAlign w:val="center"/>
          </w:tcPr>
          <w:p w14:paraId="5C462BCE" w14:textId="77777777" w:rsidR="002E474C" w:rsidRDefault="00000000">
            <w:pPr>
              <w:pStyle w:val="A-"/>
            </w:pPr>
            <w:r>
              <w:t>现状评价</w:t>
            </w:r>
          </w:p>
        </w:tc>
        <w:tc>
          <w:tcPr>
            <w:tcW w:w="797" w:type="pct"/>
            <w:shd w:val="clear" w:color="auto" w:fill="auto"/>
            <w:vAlign w:val="center"/>
          </w:tcPr>
          <w:p w14:paraId="0B0B573B" w14:textId="77777777" w:rsidR="002E474C" w:rsidRDefault="00000000">
            <w:pPr>
              <w:pStyle w:val="A-"/>
            </w:pPr>
            <w:r>
              <w:t>环境功能区</w:t>
            </w:r>
          </w:p>
        </w:tc>
        <w:tc>
          <w:tcPr>
            <w:tcW w:w="1714" w:type="pct"/>
            <w:gridSpan w:val="4"/>
            <w:shd w:val="clear" w:color="auto" w:fill="auto"/>
            <w:vAlign w:val="center"/>
          </w:tcPr>
          <w:p w14:paraId="4D1E1A4C" w14:textId="77777777" w:rsidR="002E474C" w:rsidRDefault="00000000">
            <w:pPr>
              <w:pStyle w:val="A-"/>
            </w:pPr>
            <w:r>
              <w:t>一类区</w:t>
            </w:r>
            <w:r>
              <w:rPr>
                <w:rFonts w:eastAsia="仿宋"/>
              </w:rPr>
              <w:t>□</w:t>
            </w:r>
          </w:p>
        </w:tc>
        <w:tc>
          <w:tcPr>
            <w:tcW w:w="1430" w:type="pct"/>
            <w:gridSpan w:val="3"/>
            <w:shd w:val="clear" w:color="auto" w:fill="auto"/>
            <w:vAlign w:val="center"/>
          </w:tcPr>
          <w:p w14:paraId="16E3A15D" w14:textId="77777777" w:rsidR="002E474C" w:rsidRDefault="00000000">
            <w:pPr>
              <w:pStyle w:val="A-"/>
            </w:pPr>
            <w:r>
              <w:t>二类区</w:t>
            </w:r>
            <w:r>
              <w:sym w:font="Wingdings 2" w:char="0052"/>
            </w:r>
          </w:p>
        </w:tc>
        <w:tc>
          <w:tcPr>
            <w:tcW w:w="651" w:type="pct"/>
            <w:gridSpan w:val="2"/>
            <w:shd w:val="clear" w:color="auto" w:fill="auto"/>
            <w:vAlign w:val="center"/>
          </w:tcPr>
          <w:p w14:paraId="35B238C3" w14:textId="77777777" w:rsidR="002E474C" w:rsidRDefault="00000000">
            <w:pPr>
              <w:pStyle w:val="A-"/>
            </w:pPr>
            <w:r>
              <w:t>一类区和二类区</w:t>
            </w:r>
            <w:r>
              <w:rPr>
                <w:rFonts w:eastAsia="仿宋"/>
              </w:rPr>
              <w:t>□</w:t>
            </w:r>
          </w:p>
        </w:tc>
      </w:tr>
      <w:tr w:rsidR="002E474C" w14:paraId="4E1E7D96" w14:textId="77777777">
        <w:tc>
          <w:tcPr>
            <w:tcW w:w="407" w:type="pct"/>
            <w:vMerge/>
            <w:shd w:val="clear" w:color="auto" w:fill="auto"/>
            <w:vAlign w:val="center"/>
          </w:tcPr>
          <w:p w14:paraId="3D6F9ABA" w14:textId="77777777" w:rsidR="002E474C" w:rsidRDefault="002E474C">
            <w:pPr>
              <w:pStyle w:val="A-"/>
            </w:pPr>
          </w:p>
        </w:tc>
        <w:tc>
          <w:tcPr>
            <w:tcW w:w="797" w:type="pct"/>
            <w:shd w:val="clear" w:color="auto" w:fill="auto"/>
            <w:vAlign w:val="center"/>
          </w:tcPr>
          <w:p w14:paraId="7D8FA736" w14:textId="77777777" w:rsidR="002E474C" w:rsidRDefault="00000000">
            <w:pPr>
              <w:pStyle w:val="A-"/>
            </w:pPr>
            <w:r>
              <w:t>评价基准年</w:t>
            </w:r>
          </w:p>
        </w:tc>
        <w:tc>
          <w:tcPr>
            <w:tcW w:w="3795" w:type="pct"/>
            <w:gridSpan w:val="9"/>
            <w:shd w:val="clear" w:color="auto" w:fill="auto"/>
            <w:vAlign w:val="center"/>
          </w:tcPr>
          <w:p w14:paraId="0B0EB410" w14:textId="77777777" w:rsidR="002E474C" w:rsidRDefault="00000000">
            <w:pPr>
              <w:pStyle w:val="A-"/>
            </w:pPr>
            <w:r>
              <w:t>（</w:t>
            </w:r>
            <w:r>
              <w:t>202</w:t>
            </w:r>
            <w:r>
              <w:rPr>
                <w:rFonts w:hint="eastAsia"/>
              </w:rPr>
              <w:t>4</w:t>
            </w:r>
            <w:r>
              <w:t>）年</w:t>
            </w:r>
          </w:p>
        </w:tc>
      </w:tr>
      <w:tr w:rsidR="002E474C" w14:paraId="4CD52144" w14:textId="77777777">
        <w:tc>
          <w:tcPr>
            <w:tcW w:w="407" w:type="pct"/>
            <w:vMerge/>
            <w:shd w:val="clear" w:color="auto" w:fill="auto"/>
            <w:vAlign w:val="center"/>
          </w:tcPr>
          <w:p w14:paraId="02C4D10B" w14:textId="77777777" w:rsidR="002E474C" w:rsidRDefault="002E474C">
            <w:pPr>
              <w:pStyle w:val="A-"/>
            </w:pPr>
          </w:p>
        </w:tc>
        <w:tc>
          <w:tcPr>
            <w:tcW w:w="797" w:type="pct"/>
            <w:shd w:val="clear" w:color="auto" w:fill="auto"/>
            <w:vAlign w:val="center"/>
          </w:tcPr>
          <w:p w14:paraId="5394358A" w14:textId="77777777" w:rsidR="002E474C" w:rsidRDefault="00000000">
            <w:pPr>
              <w:pStyle w:val="A-"/>
            </w:pPr>
            <w:r>
              <w:t>环境空气质量</w:t>
            </w:r>
            <w:r>
              <w:br/>
            </w:r>
            <w:r>
              <w:t>现状调查数据来源</w:t>
            </w:r>
          </w:p>
        </w:tc>
        <w:tc>
          <w:tcPr>
            <w:tcW w:w="1714" w:type="pct"/>
            <w:gridSpan w:val="4"/>
            <w:shd w:val="clear" w:color="auto" w:fill="auto"/>
            <w:vAlign w:val="center"/>
          </w:tcPr>
          <w:p w14:paraId="77D6BEDB" w14:textId="77777777" w:rsidR="002E474C" w:rsidRDefault="00000000">
            <w:pPr>
              <w:pStyle w:val="A-"/>
            </w:pPr>
            <w:r>
              <w:t>长期自行监测数据</w:t>
            </w:r>
            <w:r>
              <w:sym w:font="Wingdings 2" w:char="0052"/>
            </w:r>
          </w:p>
        </w:tc>
        <w:tc>
          <w:tcPr>
            <w:tcW w:w="1430" w:type="pct"/>
            <w:gridSpan w:val="3"/>
            <w:shd w:val="clear" w:color="auto" w:fill="auto"/>
            <w:vAlign w:val="center"/>
          </w:tcPr>
          <w:p w14:paraId="0464D298" w14:textId="77777777" w:rsidR="002E474C" w:rsidRDefault="00000000">
            <w:pPr>
              <w:pStyle w:val="A-"/>
            </w:pPr>
            <w:r>
              <w:t>主管部门发布的数据</w:t>
            </w:r>
            <w:r>
              <w:sym w:font="Wingdings 2" w:char="0052"/>
            </w:r>
          </w:p>
        </w:tc>
        <w:tc>
          <w:tcPr>
            <w:tcW w:w="651" w:type="pct"/>
            <w:gridSpan w:val="2"/>
            <w:shd w:val="clear" w:color="auto" w:fill="auto"/>
            <w:vAlign w:val="center"/>
          </w:tcPr>
          <w:p w14:paraId="2AEFCE96" w14:textId="77777777" w:rsidR="002E474C" w:rsidRDefault="00000000">
            <w:pPr>
              <w:pStyle w:val="A-"/>
            </w:pPr>
            <w:r>
              <w:t>现状补充监测</w:t>
            </w:r>
            <w:r>
              <w:sym w:font="Wingdings 2" w:char="0052"/>
            </w:r>
          </w:p>
        </w:tc>
      </w:tr>
      <w:tr w:rsidR="002E474C" w14:paraId="2C3AF205" w14:textId="77777777">
        <w:tc>
          <w:tcPr>
            <w:tcW w:w="407" w:type="pct"/>
            <w:vMerge/>
            <w:shd w:val="clear" w:color="auto" w:fill="auto"/>
            <w:vAlign w:val="center"/>
          </w:tcPr>
          <w:p w14:paraId="276A0033" w14:textId="77777777" w:rsidR="002E474C" w:rsidRDefault="002E474C">
            <w:pPr>
              <w:pStyle w:val="A-"/>
            </w:pPr>
          </w:p>
        </w:tc>
        <w:tc>
          <w:tcPr>
            <w:tcW w:w="797" w:type="pct"/>
            <w:shd w:val="clear" w:color="auto" w:fill="auto"/>
            <w:vAlign w:val="center"/>
          </w:tcPr>
          <w:p w14:paraId="28967DD8" w14:textId="77777777" w:rsidR="002E474C" w:rsidRDefault="00000000">
            <w:pPr>
              <w:pStyle w:val="A-"/>
            </w:pPr>
            <w:r>
              <w:t>现状评价</w:t>
            </w:r>
          </w:p>
        </w:tc>
        <w:tc>
          <w:tcPr>
            <w:tcW w:w="2336" w:type="pct"/>
            <w:gridSpan w:val="6"/>
            <w:shd w:val="clear" w:color="auto" w:fill="auto"/>
            <w:vAlign w:val="center"/>
          </w:tcPr>
          <w:p w14:paraId="30668EBA" w14:textId="77777777" w:rsidR="002E474C" w:rsidRDefault="00000000">
            <w:pPr>
              <w:pStyle w:val="A-"/>
            </w:pPr>
            <w:r>
              <w:t>达标区</w:t>
            </w:r>
            <w:r>
              <w:rPr>
                <w:rFonts w:eastAsia="仿宋"/>
              </w:rPr>
              <w:t>□</w:t>
            </w:r>
          </w:p>
        </w:tc>
        <w:tc>
          <w:tcPr>
            <w:tcW w:w="1459" w:type="pct"/>
            <w:gridSpan w:val="3"/>
            <w:shd w:val="clear" w:color="auto" w:fill="auto"/>
            <w:vAlign w:val="center"/>
          </w:tcPr>
          <w:p w14:paraId="697E4571" w14:textId="77777777" w:rsidR="002E474C" w:rsidRDefault="00000000">
            <w:pPr>
              <w:pStyle w:val="A-"/>
            </w:pPr>
            <w:r>
              <w:t>不达标区</w:t>
            </w:r>
            <w:r>
              <w:sym w:font="Wingdings 2" w:char="0052"/>
            </w:r>
          </w:p>
        </w:tc>
      </w:tr>
      <w:tr w:rsidR="002E474C" w14:paraId="59920A3D" w14:textId="77777777">
        <w:tc>
          <w:tcPr>
            <w:tcW w:w="407" w:type="pct"/>
            <w:shd w:val="clear" w:color="auto" w:fill="auto"/>
            <w:vAlign w:val="center"/>
          </w:tcPr>
          <w:p w14:paraId="6C6367DB" w14:textId="575050D7" w:rsidR="002E474C" w:rsidRDefault="00000000">
            <w:pPr>
              <w:pStyle w:val="A-"/>
            </w:pPr>
            <w:r>
              <w:t>污染源调查</w:t>
            </w:r>
          </w:p>
        </w:tc>
        <w:tc>
          <w:tcPr>
            <w:tcW w:w="797" w:type="pct"/>
            <w:shd w:val="clear" w:color="auto" w:fill="auto"/>
            <w:vAlign w:val="center"/>
          </w:tcPr>
          <w:p w14:paraId="3C9425AF" w14:textId="77777777" w:rsidR="002E474C" w:rsidRDefault="00000000">
            <w:pPr>
              <w:pStyle w:val="A-"/>
            </w:pPr>
            <w:r>
              <w:t>调查内容</w:t>
            </w:r>
          </w:p>
        </w:tc>
        <w:tc>
          <w:tcPr>
            <w:tcW w:w="1714" w:type="pct"/>
            <w:gridSpan w:val="4"/>
            <w:shd w:val="clear" w:color="auto" w:fill="auto"/>
            <w:vAlign w:val="center"/>
          </w:tcPr>
          <w:p w14:paraId="1A767E6C" w14:textId="77777777" w:rsidR="002E474C" w:rsidRDefault="00000000">
            <w:pPr>
              <w:pStyle w:val="A-"/>
            </w:pPr>
            <w:r>
              <w:t>本项目正常排放源</w:t>
            </w:r>
            <w:r>
              <w:t xml:space="preserve"> </w:t>
            </w:r>
            <w:r>
              <w:sym w:font="Wingdings 2" w:char="0052"/>
            </w:r>
          </w:p>
          <w:p w14:paraId="4EDCB286" w14:textId="77777777" w:rsidR="002E474C" w:rsidRDefault="00000000">
            <w:pPr>
              <w:pStyle w:val="A-"/>
            </w:pPr>
            <w:r>
              <w:t>本项目非正常排放源</w:t>
            </w:r>
            <w:r>
              <w:t xml:space="preserve"> </w:t>
            </w:r>
            <w:r>
              <w:sym w:font="Wingdings 2" w:char="0052"/>
            </w:r>
          </w:p>
          <w:p w14:paraId="03B9AEDA" w14:textId="77777777" w:rsidR="002E474C" w:rsidRDefault="00000000">
            <w:pPr>
              <w:pStyle w:val="A-"/>
            </w:pPr>
            <w:r>
              <w:t>现有污染源</w:t>
            </w:r>
            <w:r>
              <w:t xml:space="preserve"> </w:t>
            </w:r>
            <w:r>
              <w:sym w:font="Wingdings 2" w:char="0052"/>
            </w:r>
          </w:p>
        </w:tc>
        <w:tc>
          <w:tcPr>
            <w:tcW w:w="621" w:type="pct"/>
            <w:gridSpan w:val="2"/>
            <w:shd w:val="clear" w:color="auto" w:fill="auto"/>
            <w:vAlign w:val="center"/>
          </w:tcPr>
          <w:p w14:paraId="05759174" w14:textId="656A7D82" w:rsidR="002E474C" w:rsidRDefault="00000000">
            <w:pPr>
              <w:pStyle w:val="A-"/>
            </w:pPr>
            <w:r>
              <w:t>拟替代的污染源</w:t>
            </w:r>
            <w:r w:rsidR="00DE5C73">
              <w:rPr>
                <w:rFonts w:eastAsia="仿宋"/>
              </w:rPr>
              <w:t>□</w:t>
            </w:r>
          </w:p>
        </w:tc>
        <w:tc>
          <w:tcPr>
            <w:tcW w:w="808" w:type="pct"/>
            <w:shd w:val="clear" w:color="auto" w:fill="auto"/>
            <w:vAlign w:val="center"/>
          </w:tcPr>
          <w:p w14:paraId="0A59C1B9" w14:textId="77777777" w:rsidR="002E474C" w:rsidRDefault="00000000">
            <w:pPr>
              <w:pStyle w:val="A-"/>
            </w:pPr>
            <w:r>
              <w:t>其他在建污染源</w:t>
            </w:r>
            <w:r>
              <w:sym w:font="Wingdings 2" w:char="0052"/>
            </w:r>
          </w:p>
        </w:tc>
        <w:tc>
          <w:tcPr>
            <w:tcW w:w="651" w:type="pct"/>
            <w:gridSpan w:val="2"/>
            <w:shd w:val="clear" w:color="auto" w:fill="auto"/>
            <w:vAlign w:val="center"/>
          </w:tcPr>
          <w:p w14:paraId="30697AA0" w14:textId="16FB1CE3" w:rsidR="002E474C" w:rsidRDefault="00000000">
            <w:pPr>
              <w:pStyle w:val="A-"/>
            </w:pPr>
            <w:r>
              <w:t>区域污染源</w:t>
            </w:r>
            <w:r w:rsidR="00DE5C73">
              <w:sym w:font="Wingdings 2" w:char="0052"/>
            </w:r>
          </w:p>
        </w:tc>
      </w:tr>
      <w:tr w:rsidR="002E474C" w14:paraId="4A5BFE26" w14:textId="77777777">
        <w:tc>
          <w:tcPr>
            <w:tcW w:w="407" w:type="pct"/>
            <w:vMerge w:val="restart"/>
            <w:shd w:val="clear" w:color="auto" w:fill="auto"/>
            <w:vAlign w:val="center"/>
          </w:tcPr>
          <w:p w14:paraId="529FB641" w14:textId="77777777" w:rsidR="002E474C" w:rsidRDefault="00000000">
            <w:pPr>
              <w:pStyle w:val="A-"/>
            </w:pPr>
            <w:r>
              <w:t>大气环境影响预测与评价</w:t>
            </w:r>
          </w:p>
        </w:tc>
        <w:tc>
          <w:tcPr>
            <w:tcW w:w="797" w:type="pct"/>
            <w:shd w:val="clear" w:color="auto" w:fill="auto"/>
            <w:vAlign w:val="center"/>
          </w:tcPr>
          <w:p w14:paraId="541FAB43" w14:textId="77777777" w:rsidR="002E474C" w:rsidRDefault="00000000">
            <w:pPr>
              <w:pStyle w:val="A-"/>
            </w:pPr>
            <w:r>
              <w:t>预测模型</w:t>
            </w:r>
          </w:p>
        </w:tc>
        <w:tc>
          <w:tcPr>
            <w:tcW w:w="672" w:type="pct"/>
            <w:shd w:val="clear" w:color="auto" w:fill="auto"/>
            <w:vAlign w:val="center"/>
          </w:tcPr>
          <w:p w14:paraId="5DFA0666" w14:textId="77777777" w:rsidR="002E474C" w:rsidRDefault="00000000">
            <w:pPr>
              <w:pStyle w:val="A-"/>
            </w:pPr>
            <w:r>
              <w:t>AERMOD</w:t>
            </w:r>
            <w:r>
              <w:br/>
            </w:r>
            <w:r>
              <w:sym w:font="Wingdings 2" w:char="0052"/>
            </w:r>
          </w:p>
        </w:tc>
        <w:tc>
          <w:tcPr>
            <w:tcW w:w="461" w:type="pct"/>
            <w:gridSpan w:val="2"/>
            <w:shd w:val="clear" w:color="auto" w:fill="auto"/>
            <w:vAlign w:val="center"/>
          </w:tcPr>
          <w:p w14:paraId="5BD467D2" w14:textId="77777777" w:rsidR="002E474C" w:rsidRDefault="00000000">
            <w:pPr>
              <w:pStyle w:val="A-"/>
            </w:pPr>
            <w:r>
              <w:t>ADMS</w:t>
            </w:r>
            <w:r>
              <w:br/>
            </w:r>
            <w:r>
              <w:rPr>
                <w:rFonts w:eastAsia="仿宋"/>
              </w:rPr>
              <w:t>□</w:t>
            </w:r>
          </w:p>
        </w:tc>
        <w:tc>
          <w:tcPr>
            <w:tcW w:w="581" w:type="pct"/>
            <w:shd w:val="clear" w:color="auto" w:fill="auto"/>
            <w:vAlign w:val="center"/>
          </w:tcPr>
          <w:p w14:paraId="7E9FCB49" w14:textId="77777777" w:rsidR="002E474C" w:rsidRDefault="00000000">
            <w:pPr>
              <w:pStyle w:val="A-"/>
            </w:pPr>
            <w:r>
              <w:t>AUSTAL2000</w:t>
            </w:r>
            <w:r>
              <w:br/>
            </w:r>
            <w:r>
              <w:rPr>
                <w:rFonts w:eastAsia="仿宋"/>
              </w:rPr>
              <w:t>□</w:t>
            </w:r>
          </w:p>
        </w:tc>
        <w:tc>
          <w:tcPr>
            <w:tcW w:w="621" w:type="pct"/>
            <w:gridSpan w:val="2"/>
            <w:shd w:val="clear" w:color="auto" w:fill="auto"/>
            <w:vAlign w:val="center"/>
          </w:tcPr>
          <w:p w14:paraId="5346B437" w14:textId="77777777" w:rsidR="002E474C" w:rsidRDefault="00000000">
            <w:pPr>
              <w:pStyle w:val="A-"/>
              <w:ind w:leftChars="-50" w:left="-105" w:rightChars="-50" w:right="-105"/>
            </w:pPr>
            <w:r>
              <w:t>EDMS/AEDT</w:t>
            </w:r>
            <w:r>
              <w:br/>
            </w:r>
            <w:r>
              <w:rPr>
                <w:rFonts w:eastAsia="仿宋"/>
              </w:rPr>
              <w:t>□</w:t>
            </w:r>
          </w:p>
        </w:tc>
        <w:tc>
          <w:tcPr>
            <w:tcW w:w="808" w:type="pct"/>
            <w:shd w:val="clear" w:color="auto" w:fill="auto"/>
            <w:vAlign w:val="center"/>
          </w:tcPr>
          <w:p w14:paraId="5A7C9631" w14:textId="77777777" w:rsidR="002E474C" w:rsidRDefault="00000000">
            <w:pPr>
              <w:pStyle w:val="A-"/>
            </w:pPr>
            <w:r>
              <w:t>CALPUFF</w:t>
            </w:r>
            <w:r>
              <w:br/>
            </w:r>
            <w:r>
              <w:rPr>
                <w:rFonts w:eastAsia="仿宋"/>
              </w:rPr>
              <w:t>□</w:t>
            </w:r>
          </w:p>
        </w:tc>
        <w:tc>
          <w:tcPr>
            <w:tcW w:w="358" w:type="pct"/>
            <w:shd w:val="clear" w:color="auto" w:fill="auto"/>
            <w:vAlign w:val="center"/>
          </w:tcPr>
          <w:p w14:paraId="789ACB6F" w14:textId="77777777" w:rsidR="002E474C" w:rsidRDefault="00000000">
            <w:pPr>
              <w:pStyle w:val="A-"/>
            </w:pPr>
            <w:r>
              <w:t>网格模型</w:t>
            </w:r>
            <w:r>
              <w:rPr>
                <w:rFonts w:eastAsia="仿宋"/>
              </w:rPr>
              <w:t>□</w:t>
            </w:r>
          </w:p>
        </w:tc>
        <w:tc>
          <w:tcPr>
            <w:tcW w:w="292" w:type="pct"/>
            <w:shd w:val="clear" w:color="auto" w:fill="auto"/>
            <w:vAlign w:val="center"/>
          </w:tcPr>
          <w:p w14:paraId="657B6845" w14:textId="77777777" w:rsidR="002E474C" w:rsidRDefault="00000000">
            <w:pPr>
              <w:pStyle w:val="A-"/>
            </w:pPr>
            <w:r>
              <w:t>其他</w:t>
            </w:r>
            <w:r>
              <w:br/>
            </w:r>
            <w:r>
              <w:rPr>
                <w:rFonts w:eastAsia="仿宋"/>
              </w:rPr>
              <w:t>□</w:t>
            </w:r>
          </w:p>
        </w:tc>
      </w:tr>
      <w:tr w:rsidR="002E474C" w14:paraId="04B1DA17" w14:textId="77777777">
        <w:tc>
          <w:tcPr>
            <w:tcW w:w="407" w:type="pct"/>
            <w:vMerge/>
            <w:shd w:val="clear" w:color="auto" w:fill="auto"/>
            <w:vAlign w:val="center"/>
          </w:tcPr>
          <w:p w14:paraId="4631E4E6" w14:textId="77777777" w:rsidR="002E474C" w:rsidRDefault="002E474C">
            <w:pPr>
              <w:pStyle w:val="A-"/>
            </w:pPr>
          </w:p>
        </w:tc>
        <w:tc>
          <w:tcPr>
            <w:tcW w:w="797" w:type="pct"/>
            <w:shd w:val="clear" w:color="auto" w:fill="auto"/>
            <w:vAlign w:val="center"/>
          </w:tcPr>
          <w:p w14:paraId="03273761" w14:textId="77777777" w:rsidR="002E474C" w:rsidRDefault="00000000">
            <w:pPr>
              <w:pStyle w:val="A-"/>
            </w:pPr>
            <w:r>
              <w:t>预测范围</w:t>
            </w:r>
          </w:p>
        </w:tc>
        <w:tc>
          <w:tcPr>
            <w:tcW w:w="1133" w:type="pct"/>
            <w:gridSpan w:val="3"/>
            <w:shd w:val="clear" w:color="auto" w:fill="auto"/>
            <w:vAlign w:val="center"/>
          </w:tcPr>
          <w:p w14:paraId="12844654" w14:textId="77777777" w:rsidR="002E474C" w:rsidRDefault="00000000">
            <w:pPr>
              <w:pStyle w:val="A-"/>
              <w:rPr>
                <w:szCs w:val="18"/>
              </w:rPr>
            </w:pPr>
            <w:r>
              <w:t>边长</w:t>
            </w:r>
            <w:r>
              <w:rPr>
                <w:rFonts w:eastAsia="仿宋"/>
              </w:rPr>
              <w:t>≥</w:t>
            </w:r>
            <w:r>
              <w:t xml:space="preserve"> 50km</w:t>
            </w:r>
            <w:r>
              <w:rPr>
                <w:rFonts w:eastAsia="仿宋"/>
              </w:rPr>
              <w:t>□</w:t>
            </w:r>
          </w:p>
        </w:tc>
        <w:tc>
          <w:tcPr>
            <w:tcW w:w="2011" w:type="pct"/>
            <w:gridSpan w:val="4"/>
            <w:shd w:val="clear" w:color="auto" w:fill="auto"/>
            <w:vAlign w:val="center"/>
          </w:tcPr>
          <w:p w14:paraId="778ABFEF" w14:textId="627CEDAD" w:rsidR="002E474C" w:rsidRDefault="00000000">
            <w:pPr>
              <w:pStyle w:val="A-"/>
              <w:rPr>
                <w:szCs w:val="18"/>
              </w:rPr>
            </w:pPr>
            <w:r>
              <w:t>边长</w:t>
            </w:r>
            <w:r>
              <w:t>5</w:t>
            </w:r>
            <w:r>
              <w:t>～</w:t>
            </w:r>
            <w:r>
              <w:t>50km</w:t>
            </w:r>
            <w:r w:rsidR="00DE5C73">
              <w:sym w:font="Wingdings 2" w:char="0052"/>
            </w:r>
          </w:p>
        </w:tc>
        <w:tc>
          <w:tcPr>
            <w:tcW w:w="651" w:type="pct"/>
            <w:gridSpan w:val="2"/>
            <w:shd w:val="clear" w:color="auto" w:fill="auto"/>
            <w:vAlign w:val="center"/>
          </w:tcPr>
          <w:p w14:paraId="20F2263E" w14:textId="6DB6EB86" w:rsidR="002E474C" w:rsidRDefault="00000000">
            <w:pPr>
              <w:pStyle w:val="A-"/>
            </w:pPr>
            <w:r>
              <w:t>边长</w:t>
            </w:r>
            <w:r>
              <w:t xml:space="preserve"> = 5 km</w:t>
            </w:r>
            <w:r w:rsidR="00DE5C73">
              <w:rPr>
                <w:rFonts w:eastAsia="仿宋"/>
              </w:rPr>
              <w:t>□</w:t>
            </w:r>
          </w:p>
        </w:tc>
      </w:tr>
      <w:tr w:rsidR="002E474C" w14:paraId="39FCE6F3" w14:textId="77777777">
        <w:tc>
          <w:tcPr>
            <w:tcW w:w="407" w:type="pct"/>
            <w:vMerge/>
            <w:shd w:val="clear" w:color="auto" w:fill="auto"/>
            <w:vAlign w:val="center"/>
          </w:tcPr>
          <w:p w14:paraId="3608555C" w14:textId="77777777" w:rsidR="002E474C" w:rsidRDefault="002E474C">
            <w:pPr>
              <w:pStyle w:val="A-"/>
            </w:pPr>
          </w:p>
        </w:tc>
        <w:tc>
          <w:tcPr>
            <w:tcW w:w="797" w:type="pct"/>
            <w:shd w:val="clear" w:color="auto" w:fill="auto"/>
            <w:vAlign w:val="center"/>
          </w:tcPr>
          <w:p w14:paraId="78BF7C51" w14:textId="77777777" w:rsidR="002E474C" w:rsidRDefault="00000000">
            <w:pPr>
              <w:pStyle w:val="A-"/>
            </w:pPr>
            <w:r>
              <w:t>预测因子</w:t>
            </w:r>
          </w:p>
        </w:tc>
        <w:tc>
          <w:tcPr>
            <w:tcW w:w="2336" w:type="pct"/>
            <w:gridSpan w:val="6"/>
            <w:shd w:val="clear" w:color="auto" w:fill="auto"/>
            <w:vAlign w:val="center"/>
          </w:tcPr>
          <w:p w14:paraId="65111DB8" w14:textId="77777777" w:rsidR="002E474C" w:rsidRDefault="00000000">
            <w:pPr>
              <w:pStyle w:val="A-"/>
            </w:pPr>
            <w:r>
              <w:t>预测因子</w:t>
            </w:r>
            <w:r>
              <w:t>(HF</w:t>
            </w:r>
            <w:r>
              <w:t>、</w:t>
            </w:r>
            <w:r>
              <w:t>HCl</w:t>
            </w:r>
            <w:r>
              <w:t>、</w:t>
            </w:r>
            <w:r>
              <w:t>Cr</w:t>
            </w:r>
            <w:r>
              <w:t>、</w:t>
            </w:r>
            <w:r>
              <w:t>Cd</w:t>
            </w:r>
            <w:r>
              <w:t>、</w:t>
            </w:r>
            <w:r>
              <w:t>Pb</w:t>
            </w:r>
            <w:r>
              <w:t>、</w:t>
            </w:r>
            <w:r>
              <w:t>Mn</w:t>
            </w:r>
            <w:r>
              <w:t>、</w:t>
            </w:r>
            <w:r>
              <w:t>As</w:t>
            </w:r>
            <w:r>
              <w:t>、</w:t>
            </w:r>
            <w:r>
              <w:t>Hg</w:t>
            </w:r>
            <w:r>
              <w:t>、二噁英类、</w:t>
            </w:r>
            <w:r>
              <w:t>NMHC</w:t>
            </w:r>
            <w:r>
              <w:t>、</w:t>
            </w:r>
            <w:r>
              <w:t>H</w:t>
            </w:r>
            <w:r>
              <w:rPr>
                <w:vertAlign w:val="subscript"/>
              </w:rPr>
              <w:t>2</w:t>
            </w:r>
            <w:r>
              <w:t>S</w:t>
            </w:r>
            <w:r>
              <w:t>、</w:t>
            </w:r>
          </w:p>
          <w:p w14:paraId="5CAE0411" w14:textId="77777777" w:rsidR="002E474C" w:rsidRDefault="00000000">
            <w:pPr>
              <w:pStyle w:val="A-"/>
            </w:pPr>
            <w:r>
              <w:t>NH</w:t>
            </w:r>
            <w:r>
              <w:rPr>
                <w:vertAlign w:val="subscript"/>
              </w:rPr>
              <w:t>3</w:t>
            </w:r>
            <w:r>
              <w:t>、</w:t>
            </w:r>
            <w:r>
              <w:t>TSP)</w:t>
            </w:r>
          </w:p>
        </w:tc>
        <w:tc>
          <w:tcPr>
            <w:tcW w:w="1459" w:type="pct"/>
            <w:gridSpan w:val="3"/>
            <w:shd w:val="clear" w:color="auto" w:fill="auto"/>
            <w:vAlign w:val="center"/>
          </w:tcPr>
          <w:p w14:paraId="1ADEF36B" w14:textId="77777777" w:rsidR="002E474C" w:rsidRDefault="00000000">
            <w:pPr>
              <w:pStyle w:val="A-"/>
            </w:pPr>
            <w:r>
              <w:t>包括二次</w:t>
            </w:r>
            <w:r>
              <w:t>PM</w:t>
            </w:r>
            <w:r>
              <w:rPr>
                <w:vertAlign w:val="subscript"/>
              </w:rPr>
              <w:t>2.5</w:t>
            </w:r>
            <w:r>
              <w:t xml:space="preserve"> </w:t>
            </w:r>
            <w:r>
              <w:rPr>
                <w:rFonts w:eastAsia="仿宋"/>
              </w:rPr>
              <w:t>□</w:t>
            </w:r>
          </w:p>
          <w:p w14:paraId="762D1148" w14:textId="77777777" w:rsidR="002E474C" w:rsidRDefault="00000000">
            <w:pPr>
              <w:pStyle w:val="A-"/>
            </w:pPr>
            <w:r>
              <w:t>不包括二次</w:t>
            </w:r>
            <w:r>
              <w:t>PM</w:t>
            </w:r>
            <w:r>
              <w:rPr>
                <w:vertAlign w:val="subscript"/>
              </w:rPr>
              <w:t>2.5</w:t>
            </w:r>
            <w:r>
              <w:rPr>
                <w:rFonts w:eastAsia="仿宋"/>
              </w:rPr>
              <w:t>□</w:t>
            </w:r>
          </w:p>
        </w:tc>
      </w:tr>
      <w:tr w:rsidR="002E474C" w14:paraId="5F4148AA" w14:textId="77777777">
        <w:tc>
          <w:tcPr>
            <w:tcW w:w="407" w:type="pct"/>
            <w:vMerge/>
            <w:shd w:val="clear" w:color="auto" w:fill="auto"/>
            <w:vAlign w:val="center"/>
          </w:tcPr>
          <w:p w14:paraId="3634D26B" w14:textId="77777777" w:rsidR="002E474C" w:rsidRDefault="002E474C">
            <w:pPr>
              <w:pStyle w:val="A-"/>
            </w:pPr>
          </w:p>
        </w:tc>
        <w:tc>
          <w:tcPr>
            <w:tcW w:w="797" w:type="pct"/>
            <w:shd w:val="clear" w:color="auto" w:fill="auto"/>
            <w:vAlign w:val="center"/>
          </w:tcPr>
          <w:p w14:paraId="23791A0E" w14:textId="77777777" w:rsidR="002E474C" w:rsidRDefault="00000000">
            <w:pPr>
              <w:pStyle w:val="A-"/>
            </w:pPr>
            <w:r>
              <w:t>正常排放短期浓度贡献值</w:t>
            </w:r>
          </w:p>
        </w:tc>
        <w:tc>
          <w:tcPr>
            <w:tcW w:w="2336" w:type="pct"/>
            <w:gridSpan w:val="6"/>
            <w:shd w:val="clear" w:color="auto" w:fill="auto"/>
            <w:vAlign w:val="center"/>
          </w:tcPr>
          <w:p w14:paraId="77E953FD" w14:textId="67067415" w:rsidR="002E474C" w:rsidRDefault="00DE5C73">
            <w:pPr>
              <w:pStyle w:val="A-"/>
            </w:pPr>
            <w:r w:rsidRPr="00DE5C73">
              <w:rPr>
                <w:rFonts w:hint="eastAsia"/>
              </w:rPr>
              <w:t>C</w:t>
            </w:r>
            <w:r w:rsidRPr="00DE5C73">
              <w:rPr>
                <w:rFonts w:hint="eastAsia"/>
                <w:vertAlign w:val="subscript"/>
              </w:rPr>
              <w:t>本项目</w:t>
            </w:r>
            <w:r>
              <w:t>最大占标率</w:t>
            </w:r>
            <w:r>
              <w:rPr>
                <w:rFonts w:eastAsia="仿宋"/>
              </w:rPr>
              <w:t>≤</w:t>
            </w:r>
            <w:r>
              <w:t>100%</w:t>
            </w:r>
            <w:r>
              <w:sym w:font="Wingdings 2" w:char="0052"/>
            </w:r>
          </w:p>
        </w:tc>
        <w:tc>
          <w:tcPr>
            <w:tcW w:w="1459" w:type="pct"/>
            <w:gridSpan w:val="3"/>
            <w:shd w:val="clear" w:color="auto" w:fill="auto"/>
            <w:vAlign w:val="center"/>
          </w:tcPr>
          <w:p w14:paraId="4D4806FF" w14:textId="4060ACA7" w:rsidR="002E474C" w:rsidRDefault="00DE5C73">
            <w:pPr>
              <w:pStyle w:val="A-"/>
            </w:pPr>
            <w:r w:rsidRPr="00DE5C73">
              <w:rPr>
                <w:rFonts w:hint="eastAsia"/>
              </w:rPr>
              <w:t>C</w:t>
            </w:r>
            <w:r w:rsidRPr="00DE5C73">
              <w:rPr>
                <w:rFonts w:hint="eastAsia"/>
                <w:vertAlign w:val="subscript"/>
              </w:rPr>
              <w:t>本项目</w:t>
            </w:r>
            <w:r>
              <w:rPr>
                <w:spacing w:val="-11"/>
              </w:rPr>
              <w:t>最大占标率</w:t>
            </w:r>
            <w:r>
              <w:rPr>
                <w:rFonts w:eastAsia="仿宋"/>
                <w:spacing w:val="-11"/>
              </w:rPr>
              <w:t>＞</w:t>
            </w:r>
            <w:r>
              <w:rPr>
                <w:spacing w:val="-11"/>
              </w:rPr>
              <w:t xml:space="preserve">100% </w:t>
            </w:r>
            <w:r>
              <w:rPr>
                <w:rFonts w:eastAsia="仿宋"/>
                <w:spacing w:val="-11"/>
              </w:rPr>
              <w:t>□</w:t>
            </w:r>
          </w:p>
        </w:tc>
      </w:tr>
      <w:tr w:rsidR="002E474C" w14:paraId="0C5D572B" w14:textId="77777777">
        <w:tc>
          <w:tcPr>
            <w:tcW w:w="407" w:type="pct"/>
            <w:vMerge/>
            <w:shd w:val="clear" w:color="auto" w:fill="auto"/>
            <w:vAlign w:val="center"/>
          </w:tcPr>
          <w:p w14:paraId="668D8E67" w14:textId="77777777" w:rsidR="002E474C" w:rsidRDefault="002E474C">
            <w:pPr>
              <w:pStyle w:val="A-"/>
            </w:pPr>
          </w:p>
        </w:tc>
        <w:tc>
          <w:tcPr>
            <w:tcW w:w="797" w:type="pct"/>
            <w:vMerge w:val="restart"/>
            <w:shd w:val="clear" w:color="auto" w:fill="auto"/>
            <w:vAlign w:val="center"/>
          </w:tcPr>
          <w:p w14:paraId="5F9CEDCB" w14:textId="77777777" w:rsidR="002E474C" w:rsidRDefault="00000000">
            <w:pPr>
              <w:pStyle w:val="A-"/>
            </w:pPr>
            <w:r>
              <w:t>正常排放年平均浓度贡献值</w:t>
            </w:r>
          </w:p>
        </w:tc>
        <w:tc>
          <w:tcPr>
            <w:tcW w:w="672" w:type="pct"/>
            <w:shd w:val="clear" w:color="auto" w:fill="auto"/>
            <w:vAlign w:val="center"/>
          </w:tcPr>
          <w:p w14:paraId="225B5F90" w14:textId="77777777" w:rsidR="002E474C" w:rsidRDefault="00000000">
            <w:pPr>
              <w:pStyle w:val="A-"/>
            </w:pPr>
            <w:r>
              <w:t>一类区</w:t>
            </w:r>
          </w:p>
        </w:tc>
        <w:tc>
          <w:tcPr>
            <w:tcW w:w="1664" w:type="pct"/>
            <w:gridSpan w:val="5"/>
            <w:shd w:val="clear" w:color="auto" w:fill="auto"/>
            <w:vAlign w:val="center"/>
          </w:tcPr>
          <w:p w14:paraId="266DD07C" w14:textId="28A16E70" w:rsidR="002E474C" w:rsidRDefault="00DE5C73">
            <w:pPr>
              <w:pStyle w:val="A-"/>
            </w:pPr>
            <w:r w:rsidRPr="00DE5C73">
              <w:rPr>
                <w:rFonts w:hint="eastAsia"/>
              </w:rPr>
              <w:t>C</w:t>
            </w:r>
            <w:r w:rsidRPr="00DE5C73">
              <w:rPr>
                <w:rFonts w:hint="eastAsia"/>
                <w:vertAlign w:val="subscript"/>
              </w:rPr>
              <w:t>本项目</w:t>
            </w:r>
            <w:r>
              <w:t>最大占标率</w:t>
            </w:r>
            <w:bookmarkStart w:id="286" w:name="OLE_LINK7"/>
            <w:bookmarkStart w:id="287" w:name="OLE_LINK5"/>
            <w:r>
              <w:rPr>
                <w:rFonts w:eastAsia="仿宋"/>
              </w:rPr>
              <w:t>≤</w:t>
            </w:r>
            <w:bookmarkEnd w:id="286"/>
            <w:bookmarkEnd w:id="287"/>
            <w:r>
              <w:t>10%</w:t>
            </w:r>
            <w:r>
              <w:rPr>
                <w:rFonts w:eastAsia="仿宋"/>
              </w:rPr>
              <w:t>□</w:t>
            </w:r>
          </w:p>
        </w:tc>
        <w:tc>
          <w:tcPr>
            <w:tcW w:w="1459" w:type="pct"/>
            <w:gridSpan w:val="3"/>
            <w:shd w:val="clear" w:color="auto" w:fill="auto"/>
            <w:vAlign w:val="center"/>
          </w:tcPr>
          <w:p w14:paraId="5DE3EF39" w14:textId="7620A0A0" w:rsidR="002E474C" w:rsidRDefault="00DE5C73">
            <w:pPr>
              <w:pStyle w:val="A-"/>
            </w:pPr>
            <w:r w:rsidRPr="00DE5C73">
              <w:rPr>
                <w:rFonts w:hint="eastAsia"/>
              </w:rPr>
              <w:t>C</w:t>
            </w:r>
            <w:r w:rsidRPr="00DE5C73">
              <w:rPr>
                <w:rFonts w:hint="eastAsia"/>
                <w:vertAlign w:val="subscript"/>
              </w:rPr>
              <w:t>本项目</w:t>
            </w:r>
            <w:r>
              <w:t>最大标率</w:t>
            </w:r>
            <w:r>
              <w:rPr>
                <w:rFonts w:eastAsia="仿宋"/>
              </w:rPr>
              <w:t>＞</w:t>
            </w:r>
            <w:r>
              <w:t xml:space="preserve">10% </w:t>
            </w:r>
            <w:r>
              <w:rPr>
                <w:rFonts w:eastAsia="仿宋"/>
              </w:rPr>
              <w:t>□</w:t>
            </w:r>
          </w:p>
        </w:tc>
      </w:tr>
      <w:tr w:rsidR="002E474C" w14:paraId="714C4660" w14:textId="77777777">
        <w:tc>
          <w:tcPr>
            <w:tcW w:w="407" w:type="pct"/>
            <w:vMerge/>
            <w:shd w:val="clear" w:color="auto" w:fill="auto"/>
            <w:vAlign w:val="center"/>
          </w:tcPr>
          <w:p w14:paraId="73E5D0F4" w14:textId="77777777" w:rsidR="002E474C" w:rsidRDefault="002E474C">
            <w:pPr>
              <w:pStyle w:val="A-"/>
            </w:pPr>
          </w:p>
        </w:tc>
        <w:tc>
          <w:tcPr>
            <w:tcW w:w="797" w:type="pct"/>
            <w:vMerge/>
            <w:shd w:val="clear" w:color="auto" w:fill="auto"/>
            <w:vAlign w:val="center"/>
          </w:tcPr>
          <w:p w14:paraId="528E13A8" w14:textId="77777777" w:rsidR="002E474C" w:rsidRDefault="002E474C">
            <w:pPr>
              <w:pStyle w:val="A-"/>
            </w:pPr>
          </w:p>
        </w:tc>
        <w:tc>
          <w:tcPr>
            <w:tcW w:w="672" w:type="pct"/>
            <w:shd w:val="clear" w:color="auto" w:fill="auto"/>
            <w:vAlign w:val="center"/>
          </w:tcPr>
          <w:p w14:paraId="2F94E6FA" w14:textId="77777777" w:rsidR="002E474C" w:rsidRDefault="00000000">
            <w:pPr>
              <w:pStyle w:val="A-"/>
            </w:pPr>
            <w:r>
              <w:t>二类区</w:t>
            </w:r>
          </w:p>
        </w:tc>
        <w:tc>
          <w:tcPr>
            <w:tcW w:w="1664" w:type="pct"/>
            <w:gridSpan w:val="5"/>
            <w:shd w:val="clear" w:color="auto" w:fill="auto"/>
            <w:vAlign w:val="center"/>
          </w:tcPr>
          <w:p w14:paraId="7E6DE194" w14:textId="017BE981" w:rsidR="002E474C" w:rsidRDefault="00DE5C73">
            <w:pPr>
              <w:pStyle w:val="A-"/>
            </w:pPr>
            <w:r w:rsidRPr="00DE5C73">
              <w:rPr>
                <w:rFonts w:hint="eastAsia"/>
              </w:rPr>
              <w:t>C</w:t>
            </w:r>
            <w:r w:rsidRPr="00DE5C73">
              <w:rPr>
                <w:rFonts w:hint="eastAsia"/>
                <w:vertAlign w:val="subscript"/>
              </w:rPr>
              <w:t>本项目</w:t>
            </w:r>
            <w:r>
              <w:t>最大占标率</w:t>
            </w:r>
            <w:r>
              <w:rPr>
                <w:rFonts w:eastAsia="仿宋"/>
              </w:rPr>
              <w:t>≤</w:t>
            </w:r>
            <w:r>
              <w:t>30%</w:t>
            </w:r>
            <w:r>
              <w:sym w:font="Wingdings 2" w:char="0052"/>
            </w:r>
          </w:p>
        </w:tc>
        <w:tc>
          <w:tcPr>
            <w:tcW w:w="1459" w:type="pct"/>
            <w:gridSpan w:val="3"/>
            <w:shd w:val="clear" w:color="auto" w:fill="auto"/>
            <w:vAlign w:val="center"/>
          </w:tcPr>
          <w:p w14:paraId="5873E606" w14:textId="5661B4C2" w:rsidR="002E474C" w:rsidRDefault="00DE5C73">
            <w:pPr>
              <w:pStyle w:val="A-"/>
            </w:pPr>
            <w:r w:rsidRPr="00DE5C73">
              <w:rPr>
                <w:rFonts w:hint="eastAsia"/>
              </w:rPr>
              <w:t>C</w:t>
            </w:r>
            <w:r w:rsidRPr="00DE5C73">
              <w:rPr>
                <w:rFonts w:hint="eastAsia"/>
                <w:vertAlign w:val="subscript"/>
              </w:rPr>
              <w:t>本项目</w:t>
            </w:r>
            <w:r>
              <w:t>最大标率</w:t>
            </w:r>
            <w:r>
              <w:rPr>
                <w:rFonts w:eastAsia="仿宋"/>
              </w:rPr>
              <w:t>＞</w:t>
            </w:r>
            <w:r>
              <w:t xml:space="preserve">30% </w:t>
            </w:r>
            <w:r>
              <w:rPr>
                <w:rFonts w:eastAsia="仿宋"/>
              </w:rPr>
              <w:t>□</w:t>
            </w:r>
          </w:p>
        </w:tc>
      </w:tr>
      <w:tr w:rsidR="002E474C" w14:paraId="128BFAC3" w14:textId="77777777">
        <w:tc>
          <w:tcPr>
            <w:tcW w:w="407" w:type="pct"/>
            <w:vMerge/>
            <w:shd w:val="clear" w:color="auto" w:fill="auto"/>
            <w:vAlign w:val="center"/>
          </w:tcPr>
          <w:p w14:paraId="1634B4AF" w14:textId="77777777" w:rsidR="002E474C" w:rsidRDefault="002E474C">
            <w:pPr>
              <w:pStyle w:val="A-"/>
            </w:pPr>
          </w:p>
        </w:tc>
        <w:tc>
          <w:tcPr>
            <w:tcW w:w="797" w:type="pct"/>
            <w:shd w:val="clear" w:color="auto" w:fill="auto"/>
            <w:vAlign w:val="center"/>
          </w:tcPr>
          <w:p w14:paraId="7F044EF3" w14:textId="77777777" w:rsidR="002E474C" w:rsidRDefault="00000000">
            <w:pPr>
              <w:pStyle w:val="A-"/>
            </w:pPr>
            <w:r>
              <w:t>非正常排放</w:t>
            </w:r>
            <w:r>
              <w:t>1h</w:t>
            </w:r>
            <w:r>
              <w:t>浓度贡献值</w:t>
            </w:r>
          </w:p>
        </w:tc>
        <w:tc>
          <w:tcPr>
            <w:tcW w:w="938" w:type="pct"/>
            <w:gridSpan w:val="2"/>
            <w:shd w:val="clear" w:color="auto" w:fill="auto"/>
            <w:vAlign w:val="center"/>
          </w:tcPr>
          <w:p w14:paraId="6355B504" w14:textId="77777777" w:rsidR="002E474C" w:rsidRDefault="00000000">
            <w:pPr>
              <w:pStyle w:val="A-"/>
            </w:pPr>
            <w:r>
              <w:t>非正常持续时长（</w:t>
            </w:r>
            <w:r>
              <w:t>1</w:t>
            </w:r>
            <w:r>
              <w:t>）</w:t>
            </w:r>
            <w:r>
              <w:t>h</w:t>
            </w:r>
          </w:p>
        </w:tc>
        <w:tc>
          <w:tcPr>
            <w:tcW w:w="1397" w:type="pct"/>
            <w:gridSpan w:val="4"/>
            <w:shd w:val="clear" w:color="auto" w:fill="auto"/>
            <w:vAlign w:val="center"/>
          </w:tcPr>
          <w:p w14:paraId="6A0E344A" w14:textId="6C08BAE4" w:rsidR="002E474C" w:rsidRDefault="00DE5C73">
            <w:pPr>
              <w:pStyle w:val="A-"/>
            </w:pPr>
            <w:r w:rsidRPr="00DE5C73">
              <w:rPr>
                <w:rFonts w:hint="eastAsia"/>
              </w:rPr>
              <w:t>C</w:t>
            </w:r>
            <w:r>
              <w:rPr>
                <w:rFonts w:hint="eastAsia"/>
                <w:vertAlign w:val="subscript"/>
              </w:rPr>
              <w:t>非正常</w:t>
            </w:r>
            <w:r>
              <w:t>占标率</w:t>
            </w:r>
            <w:r>
              <w:rPr>
                <w:rFonts w:eastAsia="仿宋"/>
              </w:rPr>
              <w:t>≤</w:t>
            </w:r>
            <w:r>
              <w:t>100%</w:t>
            </w:r>
            <w:r>
              <w:sym w:font="Wingdings 2" w:char="0052"/>
            </w:r>
            <w:r>
              <w:t xml:space="preserve"> </w:t>
            </w:r>
          </w:p>
        </w:tc>
        <w:tc>
          <w:tcPr>
            <w:tcW w:w="1459" w:type="pct"/>
            <w:gridSpan w:val="3"/>
            <w:shd w:val="clear" w:color="auto" w:fill="auto"/>
            <w:vAlign w:val="center"/>
          </w:tcPr>
          <w:p w14:paraId="3DF8F2EB" w14:textId="14B1F157" w:rsidR="002E474C" w:rsidRDefault="00DE5C73">
            <w:pPr>
              <w:pStyle w:val="A-"/>
            </w:pPr>
            <w:r w:rsidRPr="00DE5C73">
              <w:rPr>
                <w:rFonts w:hint="eastAsia"/>
              </w:rPr>
              <w:t>C</w:t>
            </w:r>
            <w:r>
              <w:rPr>
                <w:rFonts w:hint="eastAsia"/>
                <w:vertAlign w:val="subscript"/>
              </w:rPr>
              <w:t>非正常</w:t>
            </w:r>
            <w:r>
              <w:t>占标率</w:t>
            </w:r>
            <w:r>
              <w:rPr>
                <w:rFonts w:eastAsia="仿宋"/>
              </w:rPr>
              <w:t>＞</w:t>
            </w:r>
            <w:r>
              <w:t>100%</w:t>
            </w:r>
            <w:r>
              <w:rPr>
                <w:rFonts w:eastAsia="仿宋"/>
              </w:rPr>
              <w:t>□</w:t>
            </w:r>
          </w:p>
        </w:tc>
      </w:tr>
      <w:tr w:rsidR="002E474C" w14:paraId="17BD9C90" w14:textId="77777777">
        <w:tc>
          <w:tcPr>
            <w:tcW w:w="407" w:type="pct"/>
            <w:vMerge/>
            <w:shd w:val="clear" w:color="auto" w:fill="auto"/>
            <w:vAlign w:val="center"/>
          </w:tcPr>
          <w:p w14:paraId="1F1FD911" w14:textId="77777777" w:rsidR="002E474C" w:rsidRDefault="002E474C">
            <w:pPr>
              <w:pStyle w:val="A-"/>
            </w:pPr>
          </w:p>
        </w:tc>
        <w:tc>
          <w:tcPr>
            <w:tcW w:w="797" w:type="pct"/>
            <w:shd w:val="clear" w:color="auto" w:fill="auto"/>
            <w:vAlign w:val="center"/>
          </w:tcPr>
          <w:p w14:paraId="23D72CEE" w14:textId="77777777" w:rsidR="002E474C" w:rsidRDefault="00000000">
            <w:pPr>
              <w:pStyle w:val="A-"/>
            </w:pPr>
            <w:r>
              <w:t>保证率日平均浓度和年平均浓度叠加值</w:t>
            </w:r>
          </w:p>
        </w:tc>
        <w:tc>
          <w:tcPr>
            <w:tcW w:w="2336" w:type="pct"/>
            <w:gridSpan w:val="6"/>
            <w:shd w:val="clear" w:color="auto" w:fill="auto"/>
            <w:vAlign w:val="center"/>
          </w:tcPr>
          <w:p w14:paraId="10E37271" w14:textId="67E10401" w:rsidR="002E474C" w:rsidRDefault="00DE5C73">
            <w:pPr>
              <w:pStyle w:val="A-"/>
            </w:pPr>
            <w:r w:rsidRPr="00DE5C73">
              <w:rPr>
                <w:rFonts w:hint="eastAsia"/>
              </w:rPr>
              <w:t>C</w:t>
            </w:r>
            <w:r>
              <w:rPr>
                <w:rFonts w:hint="eastAsia"/>
                <w:vertAlign w:val="subscript"/>
              </w:rPr>
              <w:t>叠加</w:t>
            </w:r>
            <w:r>
              <w:t>达标</w:t>
            </w:r>
            <w:r>
              <w:t xml:space="preserve"> </w:t>
            </w:r>
            <w:r>
              <w:sym w:font="Wingdings 2" w:char="0052"/>
            </w:r>
          </w:p>
        </w:tc>
        <w:tc>
          <w:tcPr>
            <w:tcW w:w="1459" w:type="pct"/>
            <w:gridSpan w:val="3"/>
            <w:shd w:val="clear" w:color="auto" w:fill="auto"/>
            <w:vAlign w:val="center"/>
          </w:tcPr>
          <w:p w14:paraId="00AA1393" w14:textId="0C0B56EC" w:rsidR="002E474C" w:rsidRDefault="00DE5C73">
            <w:pPr>
              <w:pStyle w:val="A-"/>
            </w:pPr>
            <w:r w:rsidRPr="00DE5C73">
              <w:rPr>
                <w:rFonts w:hint="eastAsia"/>
              </w:rPr>
              <w:t>C</w:t>
            </w:r>
            <w:r>
              <w:rPr>
                <w:rFonts w:hint="eastAsia"/>
                <w:vertAlign w:val="subscript"/>
              </w:rPr>
              <w:t>叠加</w:t>
            </w:r>
            <w:r>
              <w:t>不达标</w:t>
            </w:r>
            <w:r>
              <w:t xml:space="preserve"> </w:t>
            </w:r>
            <w:r>
              <w:rPr>
                <w:rFonts w:eastAsia="仿宋"/>
              </w:rPr>
              <w:t>□</w:t>
            </w:r>
          </w:p>
        </w:tc>
      </w:tr>
      <w:tr w:rsidR="002E474C" w14:paraId="317C6221" w14:textId="77777777">
        <w:tc>
          <w:tcPr>
            <w:tcW w:w="407" w:type="pct"/>
            <w:vMerge/>
            <w:shd w:val="clear" w:color="auto" w:fill="auto"/>
            <w:vAlign w:val="center"/>
          </w:tcPr>
          <w:p w14:paraId="602BEF97" w14:textId="77777777" w:rsidR="002E474C" w:rsidRDefault="002E474C">
            <w:pPr>
              <w:pStyle w:val="A-"/>
            </w:pPr>
          </w:p>
        </w:tc>
        <w:tc>
          <w:tcPr>
            <w:tcW w:w="797" w:type="pct"/>
            <w:shd w:val="clear" w:color="auto" w:fill="auto"/>
            <w:vAlign w:val="center"/>
          </w:tcPr>
          <w:p w14:paraId="109370CD" w14:textId="77777777" w:rsidR="002E474C" w:rsidRDefault="00000000">
            <w:pPr>
              <w:pStyle w:val="A-"/>
            </w:pPr>
            <w:r>
              <w:t>区域环境质量的整体变化情况</w:t>
            </w:r>
          </w:p>
        </w:tc>
        <w:tc>
          <w:tcPr>
            <w:tcW w:w="2336" w:type="pct"/>
            <w:gridSpan w:val="6"/>
            <w:shd w:val="clear" w:color="auto" w:fill="auto"/>
            <w:vAlign w:val="center"/>
          </w:tcPr>
          <w:p w14:paraId="035B2AB7" w14:textId="77777777" w:rsidR="002E474C" w:rsidRDefault="00000000">
            <w:pPr>
              <w:pStyle w:val="A-"/>
            </w:pPr>
            <w:r>
              <w:rPr>
                <w:i/>
              </w:rPr>
              <w:t xml:space="preserve">k </w:t>
            </w:r>
            <w:r>
              <w:rPr>
                <w:rFonts w:eastAsia="仿宋"/>
              </w:rPr>
              <w:t>≤</w:t>
            </w:r>
            <w:r>
              <w:t xml:space="preserve">-20% </w:t>
            </w:r>
            <w:r>
              <w:rPr>
                <w:rFonts w:eastAsia="仿宋"/>
              </w:rPr>
              <w:t>□</w:t>
            </w:r>
          </w:p>
        </w:tc>
        <w:tc>
          <w:tcPr>
            <w:tcW w:w="1459" w:type="pct"/>
            <w:gridSpan w:val="3"/>
            <w:shd w:val="clear" w:color="auto" w:fill="auto"/>
            <w:vAlign w:val="center"/>
          </w:tcPr>
          <w:p w14:paraId="5B825178" w14:textId="77777777" w:rsidR="002E474C" w:rsidRDefault="00000000">
            <w:pPr>
              <w:pStyle w:val="A-"/>
            </w:pPr>
            <w:r>
              <w:rPr>
                <w:i/>
              </w:rPr>
              <w:t>k</w:t>
            </w:r>
            <w:r>
              <w:rPr>
                <w:rFonts w:eastAsia="仿宋"/>
              </w:rPr>
              <w:t>＞</w:t>
            </w:r>
            <w:r>
              <w:t xml:space="preserve">-20% </w:t>
            </w:r>
            <w:r>
              <w:rPr>
                <w:rFonts w:eastAsia="仿宋"/>
              </w:rPr>
              <w:t>□</w:t>
            </w:r>
          </w:p>
        </w:tc>
      </w:tr>
      <w:tr w:rsidR="002E474C" w14:paraId="4DE4366C" w14:textId="77777777">
        <w:tc>
          <w:tcPr>
            <w:tcW w:w="407" w:type="pct"/>
            <w:vMerge w:val="restart"/>
            <w:shd w:val="clear" w:color="auto" w:fill="auto"/>
            <w:vAlign w:val="center"/>
          </w:tcPr>
          <w:p w14:paraId="0BCD574B" w14:textId="77777777" w:rsidR="002E474C" w:rsidRDefault="00000000">
            <w:pPr>
              <w:pStyle w:val="A-"/>
            </w:pPr>
            <w:r>
              <w:t>环境监测计划</w:t>
            </w:r>
          </w:p>
        </w:tc>
        <w:tc>
          <w:tcPr>
            <w:tcW w:w="797" w:type="pct"/>
            <w:shd w:val="clear" w:color="auto" w:fill="auto"/>
            <w:vAlign w:val="center"/>
          </w:tcPr>
          <w:p w14:paraId="5F9AA0C6" w14:textId="77777777" w:rsidR="002E474C" w:rsidRDefault="00000000">
            <w:pPr>
              <w:pStyle w:val="A-"/>
            </w:pPr>
            <w:r>
              <w:t>污染源监测</w:t>
            </w:r>
          </w:p>
        </w:tc>
        <w:tc>
          <w:tcPr>
            <w:tcW w:w="1939" w:type="pct"/>
            <w:gridSpan w:val="5"/>
            <w:shd w:val="clear" w:color="auto" w:fill="auto"/>
            <w:vAlign w:val="center"/>
          </w:tcPr>
          <w:p w14:paraId="4A16C58A" w14:textId="77777777" w:rsidR="002E474C" w:rsidRDefault="00000000">
            <w:pPr>
              <w:pStyle w:val="A-"/>
            </w:pPr>
            <w:r>
              <w:rPr>
                <w:spacing w:val="-11"/>
              </w:rPr>
              <w:t>监测因子：（</w:t>
            </w:r>
            <w:r>
              <w:rPr>
                <w:spacing w:val="-11"/>
              </w:rPr>
              <w:t>HCl</w:t>
            </w:r>
            <w:r>
              <w:rPr>
                <w:spacing w:val="-11"/>
              </w:rPr>
              <w:t>、</w:t>
            </w:r>
            <w:r>
              <w:rPr>
                <w:spacing w:val="-11"/>
              </w:rPr>
              <w:t xml:space="preserve">HF </w:t>
            </w:r>
            <w:r>
              <w:rPr>
                <w:spacing w:val="-11"/>
              </w:rPr>
              <w:t>、</w:t>
            </w:r>
            <w:r>
              <w:rPr>
                <w:spacing w:val="-11"/>
              </w:rPr>
              <w:t>Hg</w:t>
            </w:r>
            <w:r>
              <w:rPr>
                <w:spacing w:val="-11"/>
              </w:rPr>
              <w:t>、二噁英类、</w:t>
            </w:r>
            <w:proofErr w:type="spellStart"/>
            <w:r>
              <w:rPr>
                <w:spacing w:val="-11"/>
              </w:rPr>
              <w:t>Tl+Cd+Pb+As</w:t>
            </w:r>
            <w:proofErr w:type="spellEnd"/>
            <w:r>
              <w:rPr>
                <w:spacing w:val="-11"/>
              </w:rPr>
              <w:t>、</w:t>
            </w:r>
            <w:proofErr w:type="spellStart"/>
            <w:r>
              <w:rPr>
                <w:spacing w:val="-11"/>
              </w:rPr>
              <w:t>Be+Cr+Sn+Sb+Cu+Co+Mn+Ni+V</w:t>
            </w:r>
            <w:proofErr w:type="spellEnd"/>
            <w:r>
              <w:rPr>
                <w:spacing w:val="-11"/>
              </w:rPr>
              <w:t>、</w:t>
            </w:r>
            <w:r>
              <w:rPr>
                <w:spacing w:val="-11"/>
              </w:rPr>
              <w:t>TOC</w:t>
            </w:r>
            <w:r>
              <w:rPr>
                <w:spacing w:val="-11"/>
              </w:rPr>
              <w:t>、</w:t>
            </w:r>
            <w:r>
              <w:rPr>
                <w:spacing w:val="-11"/>
              </w:rPr>
              <w:t>NMHC</w:t>
            </w:r>
            <w:r>
              <w:rPr>
                <w:spacing w:val="-11"/>
              </w:rPr>
              <w:t>、</w:t>
            </w:r>
            <w:r>
              <w:rPr>
                <w:spacing w:val="-11"/>
              </w:rPr>
              <w:t>NH</w:t>
            </w:r>
            <w:r>
              <w:rPr>
                <w:spacing w:val="-11"/>
                <w:vertAlign w:val="subscript"/>
              </w:rPr>
              <w:t>3</w:t>
            </w:r>
            <w:r>
              <w:rPr>
                <w:spacing w:val="-11"/>
              </w:rPr>
              <w:t>、</w:t>
            </w:r>
            <w:r>
              <w:rPr>
                <w:spacing w:val="-11"/>
              </w:rPr>
              <w:t>H</w:t>
            </w:r>
            <w:r>
              <w:rPr>
                <w:spacing w:val="-11"/>
                <w:vertAlign w:val="subscript"/>
              </w:rPr>
              <w:t>2</w:t>
            </w:r>
            <w:r>
              <w:rPr>
                <w:spacing w:val="-11"/>
              </w:rPr>
              <w:t>S</w:t>
            </w:r>
            <w:r>
              <w:rPr>
                <w:spacing w:val="-11"/>
              </w:rPr>
              <w:t>、臭气浓度）</w:t>
            </w:r>
          </w:p>
        </w:tc>
        <w:tc>
          <w:tcPr>
            <w:tcW w:w="1205" w:type="pct"/>
            <w:gridSpan w:val="2"/>
            <w:shd w:val="clear" w:color="auto" w:fill="auto"/>
            <w:vAlign w:val="center"/>
          </w:tcPr>
          <w:p w14:paraId="66A51167" w14:textId="77777777" w:rsidR="002E474C" w:rsidRDefault="00000000">
            <w:pPr>
              <w:pStyle w:val="A-"/>
            </w:pPr>
            <w:r>
              <w:t>有组织废气监测</w:t>
            </w:r>
            <w:r>
              <w:t xml:space="preserve"> </w:t>
            </w:r>
            <w:r>
              <w:sym w:font="Wingdings 2" w:char="0052"/>
            </w:r>
            <w:r>
              <w:br/>
            </w:r>
            <w:r>
              <w:t>无组织废气监测</w:t>
            </w:r>
            <w:r>
              <w:t xml:space="preserve"> </w:t>
            </w:r>
            <w:r>
              <w:sym w:font="Wingdings 2" w:char="0052"/>
            </w:r>
          </w:p>
        </w:tc>
        <w:tc>
          <w:tcPr>
            <w:tcW w:w="651" w:type="pct"/>
            <w:gridSpan w:val="2"/>
            <w:shd w:val="clear" w:color="auto" w:fill="auto"/>
            <w:vAlign w:val="center"/>
          </w:tcPr>
          <w:p w14:paraId="65998730" w14:textId="77777777" w:rsidR="002E474C" w:rsidRDefault="00000000">
            <w:pPr>
              <w:pStyle w:val="A-"/>
            </w:pPr>
            <w:r>
              <w:t>无监测</w:t>
            </w:r>
            <w:r>
              <w:rPr>
                <w:rFonts w:eastAsia="仿宋"/>
              </w:rPr>
              <w:t>□</w:t>
            </w:r>
          </w:p>
        </w:tc>
      </w:tr>
      <w:tr w:rsidR="002E474C" w14:paraId="01DBE772" w14:textId="77777777">
        <w:tc>
          <w:tcPr>
            <w:tcW w:w="407" w:type="pct"/>
            <w:vMerge/>
            <w:shd w:val="clear" w:color="auto" w:fill="auto"/>
            <w:vAlign w:val="center"/>
          </w:tcPr>
          <w:p w14:paraId="47089BFC" w14:textId="77777777" w:rsidR="002E474C" w:rsidRDefault="002E474C">
            <w:pPr>
              <w:pStyle w:val="A-"/>
            </w:pPr>
          </w:p>
        </w:tc>
        <w:tc>
          <w:tcPr>
            <w:tcW w:w="797" w:type="pct"/>
            <w:shd w:val="clear" w:color="auto" w:fill="auto"/>
            <w:vAlign w:val="center"/>
          </w:tcPr>
          <w:p w14:paraId="3054E8B7" w14:textId="77777777" w:rsidR="002E474C" w:rsidRDefault="00000000">
            <w:pPr>
              <w:pStyle w:val="A-"/>
            </w:pPr>
            <w:r>
              <w:t>环境质量监测</w:t>
            </w:r>
          </w:p>
        </w:tc>
        <w:tc>
          <w:tcPr>
            <w:tcW w:w="1939" w:type="pct"/>
            <w:gridSpan w:val="5"/>
            <w:shd w:val="clear" w:color="auto" w:fill="auto"/>
            <w:vAlign w:val="center"/>
          </w:tcPr>
          <w:p w14:paraId="447089F9" w14:textId="77777777" w:rsidR="002E474C" w:rsidRDefault="00000000">
            <w:pPr>
              <w:pStyle w:val="A-"/>
            </w:pPr>
            <w:r>
              <w:t>监测因子：（</w:t>
            </w:r>
            <w:r>
              <w:t>TSP</w:t>
            </w:r>
            <w:r>
              <w:t>、</w:t>
            </w:r>
            <w:r>
              <w:t>H</w:t>
            </w:r>
            <w:r>
              <w:rPr>
                <w:vertAlign w:val="subscript"/>
              </w:rPr>
              <w:t>2</w:t>
            </w:r>
            <w:r>
              <w:t>S</w:t>
            </w:r>
            <w:r>
              <w:t>、</w:t>
            </w:r>
            <w:r>
              <w:t>NH</w:t>
            </w:r>
            <w:r>
              <w:rPr>
                <w:vertAlign w:val="subscript"/>
              </w:rPr>
              <w:t>3</w:t>
            </w:r>
            <w:r>
              <w:t>、</w:t>
            </w:r>
            <w:r>
              <w:t>HCl</w:t>
            </w:r>
            <w:r>
              <w:t>、氟化物、</w:t>
            </w:r>
            <w:r>
              <w:t>As</w:t>
            </w:r>
            <w:r>
              <w:t>）</w:t>
            </w:r>
          </w:p>
        </w:tc>
        <w:tc>
          <w:tcPr>
            <w:tcW w:w="1205" w:type="pct"/>
            <w:gridSpan w:val="2"/>
            <w:shd w:val="clear" w:color="auto" w:fill="auto"/>
            <w:vAlign w:val="center"/>
          </w:tcPr>
          <w:p w14:paraId="2C69F8F7" w14:textId="77777777" w:rsidR="002E474C" w:rsidRDefault="00000000">
            <w:pPr>
              <w:pStyle w:val="A-"/>
            </w:pPr>
            <w:r>
              <w:t>监测点位数（</w:t>
            </w:r>
            <w:r>
              <w:t>2</w:t>
            </w:r>
            <w:r>
              <w:t>）</w:t>
            </w:r>
          </w:p>
        </w:tc>
        <w:tc>
          <w:tcPr>
            <w:tcW w:w="651" w:type="pct"/>
            <w:gridSpan w:val="2"/>
            <w:shd w:val="clear" w:color="auto" w:fill="auto"/>
            <w:vAlign w:val="center"/>
          </w:tcPr>
          <w:p w14:paraId="7880D798" w14:textId="77777777" w:rsidR="002E474C" w:rsidRDefault="00000000">
            <w:pPr>
              <w:pStyle w:val="A-"/>
            </w:pPr>
            <w:r>
              <w:t>无监测</w:t>
            </w:r>
            <w:r>
              <w:rPr>
                <w:rFonts w:eastAsia="仿宋"/>
              </w:rPr>
              <w:t>□</w:t>
            </w:r>
          </w:p>
        </w:tc>
      </w:tr>
      <w:tr w:rsidR="002E474C" w14:paraId="0697F32B" w14:textId="77777777">
        <w:tc>
          <w:tcPr>
            <w:tcW w:w="407" w:type="pct"/>
            <w:vMerge w:val="restart"/>
            <w:shd w:val="clear" w:color="auto" w:fill="auto"/>
            <w:vAlign w:val="center"/>
          </w:tcPr>
          <w:p w14:paraId="6C4AB264" w14:textId="77777777" w:rsidR="002E474C" w:rsidRDefault="00000000">
            <w:pPr>
              <w:pStyle w:val="A-"/>
            </w:pPr>
            <w:r>
              <w:t>评价结论</w:t>
            </w:r>
          </w:p>
        </w:tc>
        <w:tc>
          <w:tcPr>
            <w:tcW w:w="797" w:type="pct"/>
            <w:shd w:val="clear" w:color="auto" w:fill="auto"/>
            <w:vAlign w:val="center"/>
          </w:tcPr>
          <w:p w14:paraId="08AA8618" w14:textId="77777777" w:rsidR="002E474C" w:rsidRDefault="00000000">
            <w:pPr>
              <w:pStyle w:val="A-"/>
            </w:pPr>
            <w:r>
              <w:t>环境影响</w:t>
            </w:r>
          </w:p>
        </w:tc>
        <w:tc>
          <w:tcPr>
            <w:tcW w:w="3795" w:type="pct"/>
            <w:gridSpan w:val="9"/>
            <w:shd w:val="clear" w:color="auto" w:fill="auto"/>
            <w:vAlign w:val="center"/>
          </w:tcPr>
          <w:p w14:paraId="10E6F028" w14:textId="77777777" w:rsidR="002E474C" w:rsidRDefault="00000000">
            <w:pPr>
              <w:pStyle w:val="A-"/>
            </w:pPr>
            <w:r>
              <w:t>可以接受</w:t>
            </w:r>
            <w:r>
              <w:sym w:font="Wingdings 2" w:char="0052"/>
            </w:r>
            <w:r>
              <w:t xml:space="preserve">       </w:t>
            </w:r>
            <w:r>
              <w:t>不可以接受</w:t>
            </w:r>
            <w:r>
              <w:t xml:space="preserve"> </w:t>
            </w:r>
            <w:r>
              <w:rPr>
                <w:rFonts w:eastAsia="仿宋"/>
              </w:rPr>
              <w:t>□</w:t>
            </w:r>
          </w:p>
        </w:tc>
      </w:tr>
      <w:tr w:rsidR="002E474C" w14:paraId="7D6347E7" w14:textId="77777777">
        <w:tc>
          <w:tcPr>
            <w:tcW w:w="407" w:type="pct"/>
            <w:vMerge/>
            <w:shd w:val="clear" w:color="auto" w:fill="auto"/>
            <w:vAlign w:val="center"/>
          </w:tcPr>
          <w:p w14:paraId="0E587AC9" w14:textId="77777777" w:rsidR="002E474C" w:rsidRDefault="002E474C">
            <w:pPr>
              <w:pStyle w:val="A-"/>
            </w:pPr>
          </w:p>
        </w:tc>
        <w:tc>
          <w:tcPr>
            <w:tcW w:w="797" w:type="pct"/>
            <w:shd w:val="clear" w:color="auto" w:fill="auto"/>
            <w:vAlign w:val="center"/>
          </w:tcPr>
          <w:p w14:paraId="736B3367" w14:textId="77777777" w:rsidR="002E474C" w:rsidRDefault="00000000">
            <w:pPr>
              <w:pStyle w:val="A-"/>
            </w:pPr>
            <w:r>
              <w:t>大气环境防护距离</w:t>
            </w:r>
          </w:p>
        </w:tc>
        <w:tc>
          <w:tcPr>
            <w:tcW w:w="3795" w:type="pct"/>
            <w:gridSpan w:val="9"/>
            <w:shd w:val="clear" w:color="auto" w:fill="auto"/>
            <w:vAlign w:val="center"/>
          </w:tcPr>
          <w:p w14:paraId="729FF412" w14:textId="77777777" w:rsidR="002E474C" w:rsidRDefault="00000000">
            <w:pPr>
              <w:pStyle w:val="A-"/>
            </w:pPr>
            <w:r>
              <w:t>距（</w:t>
            </w:r>
            <w:r>
              <w:t>/</w:t>
            </w:r>
            <w:r>
              <w:t>）厂界最远（</w:t>
            </w:r>
            <w:r>
              <w:t>/</w:t>
            </w:r>
            <w:r>
              <w:t>）</w:t>
            </w:r>
            <w:r>
              <w:t>m</w:t>
            </w:r>
          </w:p>
        </w:tc>
      </w:tr>
      <w:tr w:rsidR="002E474C" w14:paraId="330D5306" w14:textId="77777777">
        <w:tc>
          <w:tcPr>
            <w:tcW w:w="407" w:type="pct"/>
            <w:vMerge/>
            <w:shd w:val="clear" w:color="auto" w:fill="auto"/>
            <w:vAlign w:val="center"/>
          </w:tcPr>
          <w:p w14:paraId="64CA6260" w14:textId="77777777" w:rsidR="002E474C" w:rsidRDefault="002E474C">
            <w:pPr>
              <w:pStyle w:val="A-"/>
            </w:pPr>
          </w:p>
        </w:tc>
        <w:tc>
          <w:tcPr>
            <w:tcW w:w="797" w:type="pct"/>
            <w:shd w:val="clear" w:color="auto" w:fill="auto"/>
            <w:vAlign w:val="center"/>
          </w:tcPr>
          <w:p w14:paraId="432CE7A6" w14:textId="77777777" w:rsidR="002E474C" w:rsidRDefault="00000000">
            <w:pPr>
              <w:pStyle w:val="A-"/>
            </w:pPr>
            <w:r>
              <w:t>污染源</w:t>
            </w:r>
          </w:p>
          <w:p w14:paraId="2CBF9EED" w14:textId="77777777" w:rsidR="002E474C" w:rsidRDefault="00000000">
            <w:pPr>
              <w:pStyle w:val="A-"/>
            </w:pPr>
            <w:r>
              <w:t>年排放量</w:t>
            </w:r>
          </w:p>
        </w:tc>
        <w:tc>
          <w:tcPr>
            <w:tcW w:w="938" w:type="pct"/>
            <w:gridSpan w:val="2"/>
            <w:shd w:val="clear" w:color="auto" w:fill="auto"/>
            <w:vAlign w:val="center"/>
          </w:tcPr>
          <w:p w14:paraId="4E40B8D9" w14:textId="77777777" w:rsidR="002E474C" w:rsidRDefault="00000000">
            <w:pPr>
              <w:pStyle w:val="A-"/>
            </w:pPr>
            <w:r>
              <w:t>SO</w:t>
            </w:r>
            <w:r>
              <w:rPr>
                <w:vertAlign w:val="subscript"/>
              </w:rPr>
              <w:t>2</w:t>
            </w:r>
            <w:r>
              <w:t>：（</w:t>
            </w:r>
            <w:r>
              <w:t>/</w:t>
            </w:r>
            <w:r>
              <w:t>）</w:t>
            </w:r>
            <w:r>
              <w:t>t/a</w:t>
            </w:r>
          </w:p>
        </w:tc>
        <w:tc>
          <w:tcPr>
            <w:tcW w:w="776" w:type="pct"/>
            <w:gridSpan w:val="2"/>
            <w:shd w:val="clear" w:color="auto" w:fill="auto"/>
            <w:vAlign w:val="center"/>
          </w:tcPr>
          <w:p w14:paraId="24003300" w14:textId="77777777" w:rsidR="002E474C" w:rsidRDefault="00000000">
            <w:pPr>
              <w:pStyle w:val="A-"/>
            </w:pPr>
            <w:r>
              <w:t>NO</w:t>
            </w:r>
            <w:r>
              <w:rPr>
                <w:vertAlign w:val="subscript"/>
              </w:rPr>
              <w:t>x</w:t>
            </w:r>
            <w:r>
              <w:t>：（</w:t>
            </w:r>
            <w:r>
              <w:t>/</w:t>
            </w:r>
            <w:r>
              <w:t>）</w:t>
            </w:r>
            <w:r>
              <w:t>t/a</w:t>
            </w:r>
          </w:p>
        </w:tc>
        <w:tc>
          <w:tcPr>
            <w:tcW w:w="1430" w:type="pct"/>
            <w:gridSpan w:val="3"/>
            <w:shd w:val="clear" w:color="auto" w:fill="auto"/>
            <w:vAlign w:val="center"/>
          </w:tcPr>
          <w:p w14:paraId="36B15C7E" w14:textId="77777777" w:rsidR="002E474C" w:rsidRDefault="00000000">
            <w:pPr>
              <w:pStyle w:val="A-"/>
            </w:pPr>
            <w:r>
              <w:t>颗粒物：（</w:t>
            </w:r>
            <w:r>
              <w:t>/</w:t>
            </w:r>
            <w:r>
              <w:t>）</w:t>
            </w:r>
            <w:r>
              <w:t>t/a</w:t>
            </w:r>
          </w:p>
        </w:tc>
        <w:tc>
          <w:tcPr>
            <w:tcW w:w="651" w:type="pct"/>
            <w:gridSpan w:val="2"/>
            <w:shd w:val="clear" w:color="auto" w:fill="auto"/>
            <w:vAlign w:val="center"/>
          </w:tcPr>
          <w:p w14:paraId="4D363147" w14:textId="77777777" w:rsidR="002E474C" w:rsidRDefault="00000000">
            <w:pPr>
              <w:pStyle w:val="A-"/>
            </w:pPr>
            <w:r>
              <w:t>VOCs</w:t>
            </w:r>
            <w:r>
              <w:t>：（</w:t>
            </w:r>
            <w:r>
              <w:t>0.</w:t>
            </w:r>
            <w:r>
              <w:rPr>
                <w:rFonts w:hint="eastAsia"/>
              </w:rPr>
              <w:t>450</w:t>
            </w:r>
            <w:r>
              <w:t>）</w:t>
            </w:r>
            <w:r>
              <w:t>t/a</w:t>
            </w:r>
          </w:p>
        </w:tc>
      </w:tr>
      <w:tr w:rsidR="002E474C" w14:paraId="530A13D3" w14:textId="77777777">
        <w:trPr>
          <w:trHeight w:val="257"/>
        </w:trPr>
        <w:tc>
          <w:tcPr>
            <w:tcW w:w="5000" w:type="pct"/>
            <w:gridSpan w:val="11"/>
            <w:shd w:val="clear" w:color="auto" w:fill="auto"/>
            <w:vAlign w:val="center"/>
          </w:tcPr>
          <w:p w14:paraId="2136EC0B" w14:textId="77777777" w:rsidR="002E474C" w:rsidRDefault="00000000">
            <w:pPr>
              <w:pStyle w:val="A-"/>
              <w:jc w:val="both"/>
            </w:pPr>
            <w:r>
              <w:t>注：</w:t>
            </w:r>
            <w:r>
              <w:t>“</w:t>
            </w:r>
            <w:r>
              <w:rPr>
                <w:rFonts w:eastAsia="仿宋"/>
              </w:rPr>
              <w:t>□</w:t>
            </w:r>
            <w:r>
              <w:t>”</w:t>
            </w:r>
            <w:r>
              <w:t>为勾选项，填</w:t>
            </w:r>
            <w:r>
              <w:t>“√”</w:t>
            </w:r>
            <w:r>
              <w:t>；</w:t>
            </w:r>
            <w:r>
              <w:t>“</w:t>
            </w:r>
            <w:r>
              <w:t>（</w:t>
            </w:r>
            <w:r>
              <w:t xml:space="preserve">   </w:t>
            </w:r>
            <w:r>
              <w:t>）</w:t>
            </w:r>
            <w:r>
              <w:t>”</w:t>
            </w:r>
            <w:r>
              <w:t>为内容填写项</w:t>
            </w:r>
          </w:p>
        </w:tc>
      </w:tr>
    </w:tbl>
    <w:p w14:paraId="44A75779" w14:textId="77777777" w:rsidR="002E474C" w:rsidRDefault="002E474C">
      <w:bookmarkStart w:id="288" w:name="_Toc225848864"/>
    </w:p>
    <w:p w14:paraId="6C524A80" w14:textId="77777777" w:rsidR="002E474C" w:rsidRDefault="00000000">
      <w:pPr>
        <w:pStyle w:val="21"/>
        <w:spacing w:before="240" w:after="240"/>
        <w:rPr>
          <w:color w:val="auto"/>
        </w:rPr>
      </w:pPr>
      <w:bookmarkStart w:id="289" w:name="_Toc19073"/>
      <w:r>
        <w:rPr>
          <w:color w:val="auto"/>
        </w:rPr>
        <w:t>地表水环境影响分析</w:t>
      </w:r>
      <w:bookmarkEnd w:id="288"/>
      <w:bookmarkEnd w:id="289"/>
    </w:p>
    <w:p w14:paraId="2C01035E" w14:textId="77777777" w:rsidR="002E474C" w:rsidRDefault="00000000">
      <w:pPr>
        <w:pStyle w:val="A-z"/>
        <w:rPr>
          <w:color w:val="auto"/>
        </w:rPr>
      </w:pPr>
      <w:r>
        <w:rPr>
          <w:color w:val="auto"/>
        </w:rPr>
        <w:lastRenderedPageBreak/>
        <w:t>本项目产生的生产废水全部掺进危废后入窑焚烧，不外排。新增生活污水经管网排至厂内综合污水处理站处理，项目废水排放与地表水体无直接水力联系，不会对项目周边的地表水环境产生影响。</w:t>
      </w:r>
    </w:p>
    <w:p w14:paraId="3DEAF228" w14:textId="77777777" w:rsidR="002E474C" w:rsidRDefault="00000000">
      <w:pPr>
        <w:pStyle w:val="A-z"/>
        <w:rPr>
          <w:color w:val="auto"/>
        </w:rPr>
      </w:pPr>
      <w:r>
        <w:rPr>
          <w:color w:val="auto"/>
        </w:rPr>
        <w:t>本项目位于托克逊县阿乐惠镇圣雄水泥公司厂内。圣雄水泥公司</w:t>
      </w:r>
      <w:r>
        <w:rPr>
          <w:color w:val="auto"/>
          <w:lang w:val="en-US"/>
        </w:rPr>
        <w:t>冷却循环废水回用至增湿塔，辅助生产废水（实验室排水，化验室排水）和生活污水经</w:t>
      </w:r>
      <w:r>
        <w:rPr>
          <w:color w:val="auto"/>
          <w:lang w:val="en-US"/>
        </w:rPr>
        <w:t>100m³/h</w:t>
      </w:r>
      <w:r>
        <w:rPr>
          <w:color w:val="auto"/>
          <w:lang w:val="en-US"/>
        </w:rPr>
        <w:t>综合污水处理站，采用地埋式生物接触氧化污水处理设施处理后达到《污水综合排放标准》（</w:t>
      </w:r>
      <w:r>
        <w:rPr>
          <w:color w:val="auto"/>
          <w:lang w:val="en-US"/>
        </w:rPr>
        <w:t>GB8978-1996</w:t>
      </w:r>
      <w:r>
        <w:rPr>
          <w:color w:val="auto"/>
          <w:lang w:val="en-US"/>
        </w:rPr>
        <w:t>）</w:t>
      </w:r>
      <w:r>
        <w:rPr>
          <w:color w:val="auto"/>
        </w:rPr>
        <w:t>中</w:t>
      </w:r>
      <w:r>
        <w:rPr>
          <w:rFonts w:hint="eastAsia"/>
          <w:color w:val="auto"/>
        </w:rPr>
        <w:t>表</w:t>
      </w:r>
      <w:r>
        <w:rPr>
          <w:rFonts w:hint="eastAsia"/>
          <w:color w:val="auto"/>
        </w:rPr>
        <w:t>4</w:t>
      </w:r>
      <w:r>
        <w:rPr>
          <w:color w:val="auto"/>
          <w:lang w:val="en-US"/>
        </w:rPr>
        <w:t>的新污染源二级标准后回用于冷却水系统补水及厂区绿化、降尘，不外排。综合污水处理站</w:t>
      </w:r>
      <w:r>
        <w:rPr>
          <w:color w:val="auto"/>
        </w:rPr>
        <w:t>处理能力余量充足。</w:t>
      </w:r>
    </w:p>
    <w:p w14:paraId="7958CD88" w14:textId="77777777" w:rsidR="002E474C" w:rsidRDefault="00000000">
      <w:pPr>
        <w:pStyle w:val="A-z"/>
        <w:rPr>
          <w:color w:val="auto"/>
        </w:rPr>
      </w:pPr>
      <w:r>
        <w:rPr>
          <w:color w:val="auto"/>
        </w:rPr>
        <w:t>本项目生产废水包括车辆、容器清洗废水及设备检修清洗废水，收集后经液态处置车间喷入回转窑焚烧，不外排；生活污水经厂内现有污水收集管网送往</w:t>
      </w:r>
      <w:r>
        <w:rPr>
          <w:color w:val="auto"/>
          <w:lang w:val="en-US"/>
        </w:rPr>
        <w:t>综合污水处理站处理后，出水达到《污水综合排放标准》（</w:t>
      </w:r>
      <w:r>
        <w:rPr>
          <w:color w:val="auto"/>
          <w:lang w:val="en-US"/>
        </w:rPr>
        <w:t>GB8978-1996</w:t>
      </w:r>
      <w:r>
        <w:rPr>
          <w:color w:val="auto"/>
          <w:lang w:val="en-US"/>
        </w:rPr>
        <w:t>）</w:t>
      </w:r>
      <w:r>
        <w:rPr>
          <w:color w:val="auto"/>
        </w:rPr>
        <w:t>中</w:t>
      </w:r>
      <w:r>
        <w:rPr>
          <w:rFonts w:hint="eastAsia"/>
          <w:color w:val="auto"/>
        </w:rPr>
        <w:t>表</w:t>
      </w:r>
      <w:r>
        <w:rPr>
          <w:rFonts w:hint="eastAsia"/>
          <w:color w:val="auto"/>
        </w:rPr>
        <w:t>4</w:t>
      </w:r>
      <w:r>
        <w:rPr>
          <w:color w:val="auto"/>
          <w:lang w:val="en-US"/>
        </w:rPr>
        <w:t>的新污染源二级标准后回用，不外排。</w:t>
      </w:r>
    </w:p>
    <w:p w14:paraId="5ED1D4EA" w14:textId="77777777" w:rsidR="002E474C" w:rsidRDefault="00000000">
      <w:pPr>
        <w:pStyle w:val="21"/>
        <w:spacing w:before="240" w:after="240"/>
        <w:rPr>
          <w:color w:val="auto"/>
        </w:rPr>
      </w:pPr>
      <w:bookmarkStart w:id="290" w:name="_Toc225848865"/>
      <w:bookmarkStart w:id="291" w:name="_Toc9253"/>
      <w:r>
        <w:rPr>
          <w:color w:val="auto"/>
        </w:rPr>
        <w:t>地下水环境影响预测与评价</w:t>
      </w:r>
      <w:bookmarkEnd w:id="290"/>
      <w:bookmarkEnd w:id="291"/>
    </w:p>
    <w:p w14:paraId="32E1EE40" w14:textId="77777777" w:rsidR="002E474C" w:rsidRDefault="00000000">
      <w:pPr>
        <w:pStyle w:val="31"/>
        <w:spacing w:before="120" w:after="120"/>
        <w:rPr>
          <w:color w:val="auto"/>
        </w:rPr>
      </w:pPr>
      <w:r>
        <w:rPr>
          <w:color w:val="auto"/>
        </w:rPr>
        <w:t>区域水文地质条件</w:t>
      </w:r>
    </w:p>
    <w:p w14:paraId="207DCD8A" w14:textId="77777777" w:rsidR="002E474C" w:rsidRDefault="00000000">
      <w:pPr>
        <w:pStyle w:val="41"/>
        <w:rPr>
          <w:color w:val="auto"/>
        </w:rPr>
      </w:pPr>
      <w:r>
        <w:rPr>
          <w:color w:val="auto"/>
        </w:rPr>
        <w:t>地质概况</w:t>
      </w:r>
    </w:p>
    <w:p w14:paraId="1542FB21" w14:textId="77777777" w:rsidR="002E474C" w:rsidRDefault="00000000">
      <w:pPr>
        <w:pStyle w:val="w2"/>
        <w:ind w:firstLine="480"/>
      </w:pPr>
      <w:r>
        <w:t>托克逊县内主体地质构造框架为</w:t>
      </w:r>
      <w:r>
        <w:t>“</w:t>
      </w:r>
      <w:r>
        <w:t>两隆两洼</w:t>
      </w:r>
      <w:r>
        <w:t>”</w:t>
      </w:r>
      <w:r>
        <w:t>，即盐山隆起、土孜鲁克隆起</w:t>
      </w:r>
      <w:r>
        <w:t>-</w:t>
      </w:r>
      <w:r>
        <w:t>河东乡隐伏隆起，河东乡北洼地、托克逊洼地。</w:t>
      </w:r>
    </w:p>
    <w:p w14:paraId="45A8EC37" w14:textId="77777777" w:rsidR="002E474C" w:rsidRDefault="00000000">
      <w:pPr>
        <w:pStyle w:val="w2"/>
        <w:ind w:firstLine="480"/>
      </w:pPr>
      <w:r>
        <w:t>盐山隆起分布于托克逊县北部，呈背斜构造。北缓南陡，南部多为隐伏断层。土孜鲁克隆起位于托克逊县的西北部，面状分布，东北与盐山隆起相连，东南与河东乡隐伏隆起相连，总体向东南方向倾伏。河东乡隐伏隆起东西长</w:t>
      </w:r>
      <w:r>
        <w:t>22km</w:t>
      </w:r>
      <w:r>
        <w:t>，南北宽</w:t>
      </w:r>
      <w:r>
        <w:t>3~5km</w:t>
      </w:r>
      <w:r>
        <w:t>，往东倾没，第四系厚度西部</w:t>
      </w:r>
      <w:r>
        <w:t>50m</w:t>
      </w:r>
      <w:r>
        <w:t>，东部</w:t>
      </w:r>
      <w:r>
        <w:t>159m</w:t>
      </w:r>
      <w:r>
        <w:t>，此隆起北缓南陡。河东乡北洼地，第四系地层由西往东厚度增大，厚度</w:t>
      </w:r>
      <w:r>
        <w:t>50~350m</w:t>
      </w:r>
      <w:r>
        <w:t>，近东西走向，地下水主要受白杨河水系补给。</w:t>
      </w:r>
    </w:p>
    <w:p w14:paraId="7C7AE1E7" w14:textId="77777777" w:rsidR="002E474C" w:rsidRDefault="00000000">
      <w:pPr>
        <w:pStyle w:val="w2"/>
        <w:ind w:firstLine="480"/>
      </w:pPr>
      <w:r>
        <w:t>托克逊县城一带厚度在</w:t>
      </w:r>
      <w:r>
        <w:t>300m</w:t>
      </w:r>
      <w:r>
        <w:t>以上，为阿拉沟水系的古河道，近东西走向，地下水主要受阿拉沟水系补给。托克逊县内断裂构造主要有</w:t>
      </w:r>
      <w:r>
        <w:t>F1</w:t>
      </w:r>
      <w:r>
        <w:t>、</w:t>
      </w:r>
      <w:r>
        <w:t>F3</w:t>
      </w:r>
      <w:r>
        <w:t>隐伏断裂，</w:t>
      </w:r>
      <w:r>
        <w:t>F2</w:t>
      </w:r>
      <w:r>
        <w:t>断裂（见图</w:t>
      </w:r>
      <w:r>
        <w:t>5.3-1</w:t>
      </w:r>
      <w:r>
        <w:t>）。托克逊县内近东西向展布的断裂构造，地貌特征是盆地北部抬升，南部下降，基底地层主要为新近系地层。</w:t>
      </w:r>
    </w:p>
    <w:p w14:paraId="113958A7" w14:textId="77777777" w:rsidR="002E474C" w:rsidRDefault="00000000">
      <w:pPr>
        <w:pStyle w:val="w2"/>
        <w:ind w:firstLine="480"/>
      </w:pPr>
      <w:r>
        <w:lastRenderedPageBreak/>
        <w:t>F1</w:t>
      </w:r>
      <w:r>
        <w:t>隐伏断裂：位于伊拉湖乡之北，为上新统葡萄沟组与细土平原的接触带，近东西向展布，在托克逊县内延伸约</w:t>
      </w:r>
      <w:r>
        <w:t>8km</w:t>
      </w:r>
      <w:r>
        <w:t>。断裂北侧为新近系地层，南侧为第四系松散沉积物，相对落差大于</w:t>
      </w:r>
      <w:r>
        <w:t>200m</w:t>
      </w:r>
      <w:r>
        <w:t>，推断为正断层，形成于新近系，第四纪仍有活动。</w:t>
      </w:r>
    </w:p>
    <w:p w14:paraId="600AAA59" w14:textId="77777777" w:rsidR="002E474C" w:rsidRDefault="00000000">
      <w:pPr>
        <w:pStyle w:val="w2"/>
        <w:ind w:firstLine="480"/>
      </w:pPr>
      <w:r>
        <w:t>F2</w:t>
      </w:r>
      <w:r>
        <w:t>断裂：位于土孜鲁克北部，往东延至红山桥以西，近东西向展布，在托克逊县内延伸</w:t>
      </w:r>
      <w:r>
        <w:t>6km</w:t>
      </w:r>
      <w:r>
        <w:t>。地貌特征明显，北侧抬升，南侧下降，呈台阶状，相对落差大于</w:t>
      </w:r>
      <w:r>
        <w:t>100m</w:t>
      </w:r>
      <w:r>
        <w:t>。为正断层，形成于晚第三纪。</w:t>
      </w:r>
    </w:p>
    <w:p w14:paraId="74852387" w14:textId="4A1636B3" w:rsidR="002E474C" w:rsidRDefault="00000000" w:rsidP="00BD6279">
      <w:pPr>
        <w:pStyle w:val="w2"/>
        <w:ind w:firstLine="480"/>
      </w:pPr>
      <w:r>
        <w:t>F3</w:t>
      </w:r>
      <w:r>
        <w:t>隐伏断裂：位于托克逊县东北部</w:t>
      </w:r>
      <w:r>
        <w:t>104</w:t>
      </w:r>
      <w:r>
        <w:t>高点的南侧，近东西展布，推测长约</w:t>
      </w:r>
      <w:r>
        <w:t>4km</w:t>
      </w:r>
      <w:r>
        <w:t>。地表地形地貌有显示，大草湖沟拐弯。断裂北部抬升，南部下降，相对落差大于</w:t>
      </w:r>
      <w:r>
        <w:t>150m</w:t>
      </w:r>
      <w:r>
        <w:t>，推断为正断层。</w:t>
      </w:r>
      <w:r w:rsidR="00BD6279">
        <w:t xml:space="preserve"> </w:t>
      </w:r>
    </w:p>
    <w:p w14:paraId="46676DF2" w14:textId="77777777" w:rsidR="002E474C" w:rsidRDefault="00000000">
      <w:pPr>
        <w:pStyle w:val="41"/>
        <w:rPr>
          <w:color w:val="auto"/>
        </w:rPr>
      </w:pPr>
      <w:r>
        <w:rPr>
          <w:color w:val="auto"/>
        </w:rPr>
        <w:t>地层岩性</w:t>
      </w:r>
    </w:p>
    <w:p w14:paraId="08F1B52F" w14:textId="77777777" w:rsidR="002E474C" w:rsidRDefault="00000000">
      <w:pPr>
        <w:pStyle w:val="w2"/>
        <w:ind w:firstLine="480"/>
      </w:pPr>
      <w:r>
        <w:t>本项目所在区域地层岩性包括更新统冲洪基层及全新统冲洪基层：</w:t>
      </w:r>
    </w:p>
    <w:p w14:paraId="3BC07E80" w14:textId="77777777" w:rsidR="002E474C" w:rsidRDefault="00000000">
      <w:pPr>
        <w:pStyle w:val="w2"/>
        <w:ind w:firstLine="480"/>
        <w:rPr>
          <w:kern w:val="24"/>
        </w:rPr>
      </w:pPr>
      <w:r>
        <w:rPr>
          <w:kern w:val="24"/>
        </w:rPr>
        <w:t>①</w:t>
      </w:r>
      <w:r>
        <w:rPr>
          <w:kern w:val="24"/>
        </w:rPr>
        <w:t>上更新统坡积洪积层（</w:t>
      </w:r>
      <w:r>
        <w:rPr>
          <w:kern w:val="24"/>
        </w:rPr>
        <w:t>dl+plQ</w:t>
      </w:r>
      <w:r>
        <w:rPr>
          <w:kern w:val="24"/>
          <w:vertAlign w:val="superscript"/>
        </w:rPr>
        <w:t>3</w:t>
      </w:r>
      <w:r>
        <w:rPr>
          <w:kern w:val="24"/>
        </w:rPr>
        <w:t>）：</w:t>
      </w:r>
    </w:p>
    <w:p w14:paraId="62C1D7B4" w14:textId="77777777" w:rsidR="002E474C" w:rsidRDefault="00000000">
      <w:pPr>
        <w:pStyle w:val="w2"/>
        <w:ind w:firstLine="480"/>
        <w:rPr>
          <w:rFonts w:eastAsiaTheme="minorEastAsia"/>
        </w:rPr>
      </w:pPr>
      <w:r>
        <w:t>分布在艾丁湖以南觉罗塔格山北麓，岩性为沙砾石，砾石成分以板岩、砾岩、石英岩为主，其次有少量花岗岩，粒径一般</w:t>
      </w:r>
      <w:r>
        <w:t>3</w:t>
      </w:r>
      <w:r>
        <w:t>～</w:t>
      </w:r>
      <w:r>
        <w:t>5cm</w:t>
      </w:r>
      <w:r>
        <w:t>，大者</w:t>
      </w:r>
      <w:r>
        <w:t>20</w:t>
      </w:r>
      <w:r>
        <w:t>～</w:t>
      </w:r>
      <w:r>
        <w:t>30cm</w:t>
      </w:r>
      <w:r>
        <w:t>，最大者可达</w:t>
      </w:r>
      <w:r>
        <w:t>0.5</w:t>
      </w:r>
      <w:r>
        <w:t>～</w:t>
      </w:r>
      <w:r>
        <w:t>1m</w:t>
      </w:r>
      <w:r>
        <w:t>（极少），由于长期风化作用结果，砾石表面呈灰黑色、灰色；发亮；呈不规则半棱角状。</w:t>
      </w:r>
    </w:p>
    <w:p w14:paraId="417D011D" w14:textId="77777777" w:rsidR="002E474C" w:rsidRDefault="00000000">
      <w:pPr>
        <w:pStyle w:val="w2"/>
        <w:ind w:firstLine="480"/>
        <w:rPr>
          <w:rFonts w:eastAsiaTheme="minorEastAsia"/>
        </w:rPr>
      </w:pPr>
      <w:r>
        <w:t>原报告将该层划分为上更新</w:t>
      </w:r>
      <w:r>
        <w:t>-</w:t>
      </w:r>
      <w:r>
        <w:t>现代统坡积洪积层，我们认为现代的洪积坡积作用在这里是微不足道的，把它划分为</w:t>
      </w:r>
      <w:r>
        <w:t>Q</w:t>
      </w:r>
      <w:r>
        <w:rPr>
          <w:vertAlign w:val="superscript"/>
        </w:rPr>
        <w:t>3</w:t>
      </w:r>
      <w:r>
        <w:t>或更老一些才是适当的。</w:t>
      </w:r>
    </w:p>
    <w:p w14:paraId="73A07E83" w14:textId="77777777" w:rsidR="002E474C" w:rsidRDefault="00000000">
      <w:pPr>
        <w:pStyle w:val="w2"/>
        <w:ind w:firstLine="480"/>
      </w:pPr>
      <w:r>
        <w:t>理由如下</w:t>
      </w:r>
      <w:r>
        <w:t>:</w:t>
      </w:r>
      <w:r>
        <w:t>在南面艾丁湖南面所谓</w:t>
      </w:r>
      <w:r>
        <w:t>dplQ</w:t>
      </w:r>
      <w:r>
        <w:rPr>
          <w:vertAlign w:val="superscript"/>
        </w:rPr>
        <w:t>3-4</w:t>
      </w:r>
      <w:r>
        <w:t>与湖相沉积层之间有一陡坎，高数米，呈东西向蜿蜒伸展，长数十公里。个别地方由于细小水流的冲刷，遭到破坏，并在陡坎下行成极小的舌状洪积扇，看样子该陡坡是古代的湖岸阶地。因此，位于阶地以南的坡积洪积砾石层应该是比湖相沉积还要老的堆积物。</w:t>
      </w:r>
    </w:p>
    <w:p w14:paraId="6F2264A5" w14:textId="77777777" w:rsidR="002E474C" w:rsidRDefault="00000000">
      <w:pPr>
        <w:pStyle w:val="w2"/>
        <w:ind w:firstLine="480"/>
      </w:pPr>
      <w:r>
        <w:rPr>
          <w:kern w:val="24"/>
        </w:rPr>
        <w:t>②</w:t>
      </w:r>
      <w:r>
        <w:rPr>
          <w:kern w:val="24"/>
        </w:rPr>
        <w:t>上更新统及全新统冲积洪积层（</w:t>
      </w:r>
      <w:r>
        <w:rPr>
          <w:kern w:val="24"/>
        </w:rPr>
        <w:t>al+plQ</w:t>
      </w:r>
      <w:r>
        <w:rPr>
          <w:kern w:val="24"/>
          <w:vertAlign w:val="superscript"/>
        </w:rPr>
        <w:t>3+4</w:t>
      </w:r>
      <w:r>
        <w:rPr>
          <w:kern w:val="24"/>
        </w:rPr>
        <w:t>）</w:t>
      </w:r>
    </w:p>
    <w:p w14:paraId="157BEDED" w14:textId="77777777" w:rsidR="002E474C" w:rsidRDefault="00000000">
      <w:pPr>
        <w:pStyle w:val="A-z"/>
        <w:rPr>
          <w:color w:val="auto"/>
        </w:rPr>
      </w:pPr>
      <w:r>
        <w:rPr>
          <w:color w:val="auto"/>
        </w:rPr>
        <w:t>该层分布在博格达山南坡及盆地西南部。在博格达山南麓，为灰色沙砾石层，砾石成分多为古生代变质岩及火成岩，在托克逊以北，砾石直径一般</w:t>
      </w:r>
      <w:r>
        <w:rPr>
          <w:color w:val="auto"/>
        </w:rPr>
        <w:t>3</w:t>
      </w:r>
      <w:r>
        <w:rPr>
          <w:color w:val="auto"/>
        </w:rPr>
        <w:t>～</w:t>
      </w:r>
      <w:r>
        <w:rPr>
          <w:color w:val="auto"/>
        </w:rPr>
        <w:t>5cm</w:t>
      </w:r>
      <w:r>
        <w:rPr>
          <w:color w:val="auto"/>
        </w:rPr>
        <w:t>，大者可达</w:t>
      </w:r>
      <w:r>
        <w:rPr>
          <w:color w:val="auto"/>
        </w:rPr>
        <w:t>10</w:t>
      </w:r>
      <w:r>
        <w:rPr>
          <w:color w:val="auto"/>
        </w:rPr>
        <w:t>～</w:t>
      </w:r>
      <w:r>
        <w:rPr>
          <w:color w:val="auto"/>
        </w:rPr>
        <w:t>15cm</w:t>
      </w:r>
      <w:r>
        <w:rPr>
          <w:color w:val="auto"/>
        </w:rPr>
        <w:t>，最大者可达</w:t>
      </w:r>
      <w:r>
        <w:rPr>
          <w:color w:val="auto"/>
        </w:rPr>
        <w:t>45cm</w:t>
      </w:r>
      <w:r>
        <w:rPr>
          <w:color w:val="auto"/>
        </w:rPr>
        <w:t>，越靠近山口，粒径越粗，离山口越远粒径越细。砾石磨圆度较好，在肯特克沟、大旱沟的天然刨面上见到岩性由北向南颗粒变细，逐渐为砾层及亚砂土所代替。</w:t>
      </w:r>
    </w:p>
    <w:p w14:paraId="4E636ACC" w14:textId="77777777" w:rsidR="002E474C" w:rsidRDefault="00000000">
      <w:pPr>
        <w:pStyle w:val="41"/>
        <w:rPr>
          <w:color w:val="auto"/>
        </w:rPr>
      </w:pPr>
      <w:r>
        <w:rPr>
          <w:color w:val="auto"/>
        </w:rPr>
        <w:lastRenderedPageBreak/>
        <w:t>地下水类型</w:t>
      </w:r>
    </w:p>
    <w:p w14:paraId="5704FBCF" w14:textId="77777777" w:rsidR="002E474C" w:rsidRDefault="00000000">
      <w:pPr>
        <w:pStyle w:val="A-z"/>
        <w:rPr>
          <w:color w:val="auto"/>
        </w:rPr>
      </w:pPr>
      <w:r>
        <w:rPr>
          <w:color w:val="auto"/>
        </w:rPr>
        <w:t>区域内的地下水根据地下水的赋存条件、水理性质、水力特征等可划分为第四系松散岩类孔隙潜水含水层和承压含水层两种类型，分述如下：</w:t>
      </w:r>
    </w:p>
    <w:p w14:paraId="753D1D05" w14:textId="77777777" w:rsidR="002E474C" w:rsidRDefault="00000000">
      <w:pPr>
        <w:pStyle w:val="A-z"/>
        <w:rPr>
          <w:color w:val="auto"/>
        </w:rPr>
      </w:pPr>
      <w:r>
        <w:rPr>
          <w:color w:val="auto"/>
        </w:rPr>
        <w:t>（</w:t>
      </w:r>
      <w:r>
        <w:rPr>
          <w:color w:val="auto"/>
        </w:rPr>
        <w:t>1</w:t>
      </w:r>
      <w:r>
        <w:rPr>
          <w:color w:val="auto"/>
        </w:rPr>
        <w:t>）第四系松散岩类孔隙潜水含水层</w:t>
      </w:r>
    </w:p>
    <w:p w14:paraId="448F4D71" w14:textId="77777777" w:rsidR="002E474C" w:rsidRDefault="00000000">
      <w:pPr>
        <w:pStyle w:val="A-z"/>
        <w:rPr>
          <w:color w:val="auto"/>
        </w:rPr>
      </w:pPr>
      <w:r>
        <w:rPr>
          <w:color w:val="auto"/>
        </w:rPr>
        <w:t>潜水含水层主要由卵石层、砾石层组成，结构松散，孔隙发育，透水性好。主要分布于阿拉沟冲洪积扇。从总体上看，自扇顶向扇缘，即由西向东、由地表到深部，含水层岩性由粗变细，扇中部出现砂及粉细砂层。含水层富水性在岩性所处地貌部位、水位埋深及补给量等因素的影响下，自西向东呈现弱一强一弱的变化规律。</w:t>
      </w:r>
    </w:p>
    <w:p w14:paraId="489AAF02" w14:textId="77777777" w:rsidR="002E474C" w:rsidRDefault="00000000">
      <w:pPr>
        <w:pStyle w:val="A-z"/>
        <w:rPr>
          <w:color w:val="auto"/>
        </w:rPr>
      </w:pPr>
      <w:r>
        <w:rPr>
          <w:color w:val="auto"/>
        </w:rPr>
        <w:t>在扇顶部和近山前地带：水位埋深在</w:t>
      </w:r>
      <w:r>
        <w:rPr>
          <w:color w:val="auto"/>
        </w:rPr>
        <w:t>100-140m</w:t>
      </w:r>
      <w:r>
        <w:rPr>
          <w:color w:val="auto"/>
        </w:rPr>
        <w:t>左右，含水层岩性为砾石层，补给条件相对较差，单位涌水量为</w:t>
      </w:r>
      <w:r>
        <w:rPr>
          <w:color w:val="auto"/>
        </w:rPr>
        <w:t>1207.08m</w:t>
      </w:r>
      <w:r>
        <w:rPr>
          <w:color w:val="auto"/>
          <w:vertAlign w:val="superscript"/>
        </w:rPr>
        <w:t>3</w:t>
      </w:r>
      <w:r>
        <w:rPr>
          <w:color w:val="auto"/>
        </w:rPr>
        <w:t>/d·m</w:t>
      </w:r>
      <w:r>
        <w:rPr>
          <w:color w:val="auto"/>
        </w:rPr>
        <w:t>，渗透系数为</w:t>
      </w:r>
      <w:r>
        <w:rPr>
          <w:color w:val="auto"/>
        </w:rPr>
        <w:t>45~50m/d</w:t>
      </w:r>
      <w:r>
        <w:rPr>
          <w:color w:val="auto"/>
        </w:rPr>
        <w:t>，水化学类型为</w:t>
      </w:r>
      <w:r>
        <w:rPr>
          <w:color w:val="auto"/>
        </w:rPr>
        <w:t>HCO</w:t>
      </w:r>
      <w:r>
        <w:rPr>
          <w:color w:val="auto"/>
          <w:vertAlign w:val="subscript"/>
        </w:rPr>
        <w:t>3</w:t>
      </w:r>
      <w:r>
        <w:rPr>
          <w:color w:val="auto"/>
        </w:rPr>
        <w:t>·SO</w:t>
      </w:r>
      <w:r>
        <w:rPr>
          <w:color w:val="auto"/>
          <w:vertAlign w:val="subscript"/>
        </w:rPr>
        <w:t>4</w:t>
      </w:r>
      <w:r>
        <w:rPr>
          <w:color w:val="auto"/>
        </w:rPr>
        <w:t>Ca·Na</w:t>
      </w:r>
      <w:r>
        <w:rPr>
          <w:color w:val="auto"/>
        </w:rPr>
        <w:t>型，矿化度小于</w:t>
      </w:r>
      <w:r>
        <w:rPr>
          <w:color w:val="auto"/>
        </w:rPr>
        <w:t>0.5g/L</w:t>
      </w:r>
      <w:r>
        <w:rPr>
          <w:color w:val="auto"/>
        </w:rPr>
        <w:t>。</w:t>
      </w:r>
    </w:p>
    <w:p w14:paraId="7138BA16" w14:textId="77777777" w:rsidR="002E474C" w:rsidRDefault="00000000">
      <w:pPr>
        <w:pStyle w:val="A-z"/>
        <w:rPr>
          <w:color w:val="auto"/>
        </w:rPr>
      </w:pPr>
      <w:r>
        <w:rPr>
          <w:color w:val="auto"/>
        </w:rPr>
        <w:t>扇的中部：水位埋深在</w:t>
      </w:r>
      <w:r>
        <w:rPr>
          <w:color w:val="auto"/>
        </w:rPr>
        <w:t>60~70m</w:t>
      </w:r>
      <w:r>
        <w:rPr>
          <w:color w:val="auto"/>
        </w:rPr>
        <w:t>之间，含水层岩性由卵研石或砾石层组成单位涌水量在</w:t>
      </w:r>
      <w:r>
        <w:rPr>
          <w:color w:val="auto"/>
        </w:rPr>
        <w:t>2000~4000m</w:t>
      </w:r>
      <w:r>
        <w:rPr>
          <w:color w:val="auto"/>
          <w:vertAlign w:val="superscript"/>
        </w:rPr>
        <w:t>3</w:t>
      </w:r>
      <w:r>
        <w:rPr>
          <w:color w:val="auto"/>
        </w:rPr>
        <w:t>/dm</w:t>
      </w:r>
      <w:r>
        <w:rPr>
          <w:color w:val="auto"/>
        </w:rPr>
        <w:t>之间，渗透系数为</w:t>
      </w:r>
      <w:r>
        <w:rPr>
          <w:color w:val="auto"/>
        </w:rPr>
        <w:t>30~40m/d</w:t>
      </w:r>
      <w:r>
        <w:rPr>
          <w:color w:val="auto"/>
        </w:rPr>
        <w:t>，水化学类型为</w:t>
      </w:r>
      <w:r>
        <w:rPr>
          <w:color w:val="auto"/>
        </w:rPr>
        <w:t>HCO</w:t>
      </w:r>
      <w:r>
        <w:rPr>
          <w:color w:val="auto"/>
          <w:vertAlign w:val="subscript"/>
        </w:rPr>
        <w:t>3</w:t>
      </w:r>
      <w:r>
        <w:rPr>
          <w:color w:val="auto"/>
        </w:rPr>
        <w:t>·SO</w:t>
      </w:r>
      <w:r>
        <w:rPr>
          <w:color w:val="auto"/>
          <w:vertAlign w:val="subscript"/>
        </w:rPr>
        <w:t>4</w:t>
      </w:r>
      <w:r>
        <w:rPr>
          <w:color w:val="auto"/>
        </w:rPr>
        <w:t>Ca·Na</w:t>
      </w:r>
      <w:r>
        <w:rPr>
          <w:color w:val="auto"/>
        </w:rPr>
        <w:t>型或</w:t>
      </w:r>
      <w:r>
        <w:rPr>
          <w:color w:val="auto"/>
        </w:rPr>
        <w:t>HCO</w:t>
      </w:r>
      <w:r>
        <w:rPr>
          <w:color w:val="auto"/>
          <w:vertAlign w:val="subscript"/>
        </w:rPr>
        <w:t>3</w:t>
      </w:r>
      <w:r>
        <w:rPr>
          <w:color w:val="auto"/>
        </w:rPr>
        <w:t>·SO</w:t>
      </w:r>
      <w:r>
        <w:rPr>
          <w:color w:val="auto"/>
          <w:vertAlign w:val="subscript"/>
        </w:rPr>
        <w:t>4</w:t>
      </w:r>
      <w:r>
        <w:rPr>
          <w:color w:val="auto"/>
        </w:rPr>
        <w:t>Na·Ca</w:t>
      </w:r>
      <w:r>
        <w:rPr>
          <w:color w:val="auto"/>
        </w:rPr>
        <w:t>型，矿化度小于</w:t>
      </w:r>
      <w:r>
        <w:rPr>
          <w:color w:val="auto"/>
        </w:rPr>
        <w:t>0.5g/L</w:t>
      </w:r>
      <w:r>
        <w:rPr>
          <w:color w:val="auto"/>
        </w:rPr>
        <w:t>。</w:t>
      </w:r>
    </w:p>
    <w:p w14:paraId="2847E072" w14:textId="77777777" w:rsidR="002E474C" w:rsidRDefault="00000000">
      <w:pPr>
        <w:pStyle w:val="A-z"/>
        <w:rPr>
          <w:color w:val="auto"/>
        </w:rPr>
      </w:pPr>
      <w:r>
        <w:rPr>
          <w:color w:val="auto"/>
        </w:rPr>
        <w:t>项目区约位于扇顶部，根据园区地下水监控井成井资料与本次地下水调查数据，地下水埋深约在</w:t>
      </w:r>
      <w:r>
        <w:rPr>
          <w:color w:val="auto"/>
        </w:rPr>
        <w:t>140~160m</w:t>
      </w:r>
      <w:r>
        <w:rPr>
          <w:color w:val="auto"/>
        </w:rPr>
        <w:t>之间。</w:t>
      </w:r>
    </w:p>
    <w:p w14:paraId="687A3207" w14:textId="77777777" w:rsidR="002E474C" w:rsidRDefault="00000000">
      <w:pPr>
        <w:pStyle w:val="A-z"/>
        <w:rPr>
          <w:color w:val="auto"/>
        </w:rPr>
      </w:pPr>
      <w:r>
        <w:rPr>
          <w:color w:val="auto"/>
        </w:rPr>
        <w:t>（</w:t>
      </w:r>
      <w:r>
        <w:rPr>
          <w:color w:val="auto"/>
        </w:rPr>
        <w:t>2</w:t>
      </w:r>
      <w:r>
        <w:rPr>
          <w:color w:val="auto"/>
        </w:rPr>
        <w:t>）承压水</w:t>
      </w:r>
    </w:p>
    <w:p w14:paraId="32DE34B9" w14:textId="77777777" w:rsidR="002E474C" w:rsidRDefault="00000000">
      <w:pPr>
        <w:pStyle w:val="A-z"/>
        <w:rPr>
          <w:rFonts w:eastAsia="Times New Roman"/>
          <w:color w:val="auto"/>
        </w:rPr>
      </w:pPr>
      <w:r>
        <w:rPr>
          <w:color w:val="auto"/>
        </w:rPr>
        <w:t>多层结构的承压水含水层自洪积扇前缘细土平原直至盆地中心的冲洪积平原内广泛分布。承压含水层承压水头与埋藏条件和地势有关，埋深</w:t>
      </w:r>
      <w:r>
        <w:rPr>
          <w:rFonts w:eastAsia="Times New Roman"/>
          <w:color w:val="auto"/>
        </w:rPr>
        <w:t>100m</w:t>
      </w:r>
      <w:r>
        <w:rPr>
          <w:color w:val="auto"/>
        </w:rPr>
        <w:t>以内的浅层承压水随着地形由周边向盆地中部逐渐降低，承压水头逐渐增加，在接近边缘砾石带的周边地区，承压水头一般低于地表</w:t>
      </w:r>
      <w:r>
        <w:rPr>
          <w:rFonts w:eastAsia="Times New Roman"/>
          <w:color w:val="auto"/>
        </w:rPr>
        <w:t>1</w:t>
      </w:r>
      <w:r>
        <w:rPr>
          <w:color w:val="auto"/>
        </w:rPr>
        <w:t>～</w:t>
      </w:r>
      <w:r>
        <w:rPr>
          <w:rFonts w:eastAsia="Times New Roman"/>
          <w:color w:val="auto"/>
        </w:rPr>
        <w:t>7m</w:t>
      </w:r>
      <w:r>
        <w:rPr>
          <w:color w:val="auto"/>
        </w:rPr>
        <w:t>，承压含水层一般砾径较粗，多为砂砾石组成，渗透系数为</w:t>
      </w:r>
      <w:r>
        <w:rPr>
          <w:rFonts w:eastAsia="Times New Roman"/>
          <w:color w:val="auto"/>
        </w:rPr>
        <w:t>18.94</w:t>
      </w:r>
      <w:r>
        <w:rPr>
          <w:color w:val="auto"/>
        </w:rPr>
        <w:t>～</w:t>
      </w:r>
      <w:r>
        <w:rPr>
          <w:rFonts w:eastAsia="Times New Roman"/>
          <w:color w:val="auto"/>
        </w:rPr>
        <w:t>45.9m/d</w:t>
      </w:r>
      <w:r>
        <w:rPr>
          <w:color w:val="auto"/>
        </w:rPr>
        <w:t>，单井涌水量介于</w:t>
      </w:r>
      <w:r>
        <w:rPr>
          <w:rFonts w:eastAsia="Times New Roman"/>
          <w:color w:val="auto"/>
        </w:rPr>
        <w:t>3000</w:t>
      </w:r>
      <w:r>
        <w:rPr>
          <w:color w:val="auto"/>
        </w:rPr>
        <w:t>～</w:t>
      </w:r>
      <w:r>
        <w:rPr>
          <w:rFonts w:eastAsia="Times New Roman"/>
          <w:color w:val="auto"/>
        </w:rPr>
        <w:t>5000m</w:t>
      </w:r>
      <w:r>
        <w:rPr>
          <w:rFonts w:eastAsia="Times New Roman"/>
          <w:color w:val="auto"/>
          <w:vertAlign w:val="superscript"/>
        </w:rPr>
        <w:t>3</w:t>
      </w:r>
      <w:r>
        <w:rPr>
          <w:rFonts w:eastAsia="Times New Roman"/>
          <w:color w:val="auto"/>
        </w:rPr>
        <w:t>/d</w:t>
      </w:r>
      <w:r>
        <w:rPr>
          <w:color w:val="auto"/>
        </w:rPr>
        <w:t>之间。埋藏于</w:t>
      </w:r>
      <w:r>
        <w:rPr>
          <w:rFonts w:eastAsia="Times New Roman"/>
          <w:color w:val="auto"/>
        </w:rPr>
        <w:t>100m</w:t>
      </w:r>
      <w:r>
        <w:rPr>
          <w:color w:val="auto"/>
        </w:rPr>
        <w:t>以下的承压含水层，由于受构造结构影响，承压水头较高，一般高于地表，形成自流，故也称之为自流水含水层。自流水含水层一般厚度较薄，且为较小的砂砾石、中粗砂、甚至粉细砂构成，渗透系数较小，一般为</w:t>
      </w:r>
      <w:r>
        <w:rPr>
          <w:rFonts w:eastAsia="Times New Roman"/>
          <w:color w:val="auto"/>
        </w:rPr>
        <w:t>1.75</w:t>
      </w:r>
      <w:r>
        <w:rPr>
          <w:color w:val="auto"/>
        </w:rPr>
        <w:t>～</w:t>
      </w:r>
      <w:r>
        <w:rPr>
          <w:rFonts w:eastAsia="Times New Roman"/>
          <w:color w:val="auto"/>
        </w:rPr>
        <w:t>7.89m/d</w:t>
      </w:r>
      <w:r>
        <w:rPr>
          <w:color w:val="auto"/>
        </w:rPr>
        <w:t>，单井涌水量为</w:t>
      </w:r>
      <w:r>
        <w:rPr>
          <w:rFonts w:eastAsia="Times New Roman"/>
          <w:color w:val="auto"/>
        </w:rPr>
        <w:t>500</w:t>
      </w:r>
      <w:r>
        <w:rPr>
          <w:color w:val="auto"/>
        </w:rPr>
        <w:t>～</w:t>
      </w:r>
      <w:r>
        <w:rPr>
          <w:rFonts w:eastAsia="Times New Roman"/>
          <w:color w:val="auto"/>
        </w:rPr>
        <w:t>3000m</w:t>
      </w:r>
      <w:r>
        <w:rPr>
          <w:rFonts w:eastAsia="Times New Roman"/>
          <w:color w:val="auto"/>
          <w:vertAlign w:val="superscript"/>
        </w:rPr>
        <w:t>3</w:t>
      </w:r>
      <w:r>
        <w:rPr>
          <w:rFonts w:eastAsia="Times New Roman"/>
          <w:color w:val="auto"/>
        </w:rPr>
        <w:t>/d</w:t>
      </w:r>
      <w:r>
        <w:rPr>
          <w:color w:val="auto"/>
        </w:rPr>
        <w:t>。</w:t>
      </w:r>
    </w:p>
    <w:p w14:paraId="1199728E" w14:textId="77777777" w:rsidR="002E474C" w:rsidRDefault="00000000">
      <w:pPr>
        <w:pStyle w:val="A-z"/>
        <w:rPr>
          <w:color w:val="auto"/>
        </w:rPr>
      </w:pPr>
      <w:r>
        <w:rPr>
          <w:color w:val="auto"/>
        </w:rPr>
        <w:t>（</w:t>
      </w:r>
      <w:r>
        <w:rPr>
          <w:color w:val="auto"/>
        </w:rPr>
        <w:t>3</w:t>
      </w:r>
      <w:r>
        <w:rPr>
          <w:color w:val="auto"/>
        </w:rPr>
        <w:t>）富水性分区</w:t>
      </w:r>
    </w:p>
    <w:p w14:paraId="46CC60CA" w14:textId="77777777" w:rsidR="002E474C" w:rsidRDefault="00000000">
      <w:pPr>
        <w:pStyle w:val="A-z"/>
        <w:rPr>
          <w:color w:val="auto"/>
        </w:rPr>
      </w:pPr>
      <w:r>
        <w:rPr>
          <w:color w:val="auto"/>
        </w:rPr>
        <w:t>1</w:t>
      </w:r>
      <w:r>
        <w:rPr>
          <w:color w:val="auto"/>
        </w:rPr>
        <w:t>）水量极丰富区</w:t>
      </w:r>
    </w:p>
    <w:p w14:paraId="29AA0FDC" w14:textId="77777777" w:rsidR="002E474C" w:rsidRDefault="00000000">
      <w:pPr>
        <w:pStyle w:val="A-z"/>
        <w:rPr>
          <w:color w:val="auto"/>
        </w:rPr>
      </w:pPr>
      <w:r>
        <w:rPr>
          <w:color w:val="auto"/>
        </w:rPr>
        <w:lastRenderedPageBreak/>
        <w:t>①</w:t>
      </w:r>
      <w:r>
        <w:rPr>
          <w:color w:val="auto"/>
        </w:rPr>
        <w:t>潜水水量极丰富区</w:t>
      </w:r>
    </w:p>
    <w:p w14:paraId="7C2F22AA" w14:textId="77777777" w:rsidR="002E474C" w:rsidRDefault="00000000">
      <w:pPr>
        <w:pStyle w:val="A-z"/>
        <w:rPr>
          <w:color w:val="auto"/>
        </w:rPr>
      </w:pPr>
      <w:r>
        <w:rPr>
          <w:color w:val="auto"/>
        </w:rPr>
        <w:t>主要分布于白杨河中上游山前冲洪积砾质平原区。白杨河现代河谷冲洪积扇在出红山口分布面积不大，洪积扇上部松散堆积物颗粒以卵石为主，向下游颗粒逐渐变细，到达扇缘以圆砾为主，地下潜水位埋深由近扇顶部大于</w:t>
      </w:r>
      <w:r>
        <w:rPr>
          <w:color w:val="auto"/>
        </w:rPr>
        <w:t>100m</w:t>
      </w:r>
      <w:r>
        <w:rPr>
          <w:color w:val="auto"/>
        </w:rPr>
        <w:t>，向下游逐渐变浅。据郭勒布依乡北</w:t>
      </w:r>
      <w:r>
        <w:rPr>
          <w:color w:val="auto"/>
        </w:rPr>
        <w:t>3km</w:t>
      </w:r>
      <w:r>
        <w:rPr>
          <w:color w:val="auto"/>
        </w:rPr>
        <w:t>坎儿井揭露，地下潜水位埋深</w:t>
      </w:r>
      <w:r>
        <w:rPr>
          <w:color w:val="auto"/>
        </w:rPr>
        <w:t>43m</w:t>
      </w:r>
      <w:r>
        <w:rPr>
          <w:color w:val="auto"/>
        </w:rPr>
        <w:t>，托克逊县郭勒布依乡一带潜水位埋深</w:t>
      </w:r>
      <w:r>
        <w:rPr>
          <w:color w:val="auto"/>
        </w:rPr>
        <w:t>8~10m</w:t>
      </w:r>
      <w:r>
        <w:rPr>
          <w:color w:val="auto"/>
        </w:rPr>
        <w:t>。该区地层岩性多为砂砾石，根据抽水试验成果：该区潜水含水层渗透系数</w:t>
      </w:r>
      <w:r>
        <w:rPr>
          <w:color w:val="auto"/>
        </w:rPr>
        <w:t>20.27</w:t>
      </w:r>
      <w:r>
        <w:rPr>
          <w:color w:val="auto"/>
        </w:rPr>
        <w:t>～</w:t>
      </w:r>
      <w:r>
        <w:rPr>
          <w:color w:val="auto"/>
        </w:rPr>
        <w:t>86.92m/d</w:t>
      </w:r>
      <w:r>
        <w:rPr>
          <w:color w:val="auto"/>
        </w:rPr>
        <w:t>，其单井涌水量</w:t>
      </w:r>
      <w:r>
        <w:rPr>
          <w:color w:val="auto"/>
        </w:rPr>
        <w:t>5189</w:t>
      </w:r>
      <w:r>
        <w:rPr>
          <w:color w:val="auto"/>
        </w:rPr>
        <w:t>～</w:t>
      </w:r>
      <w:r>
        <w:rPr>
          <w:color w:val="auto"/>
        </w:rPr>
        <w:t>12000m³/d</w:t>
      </w:r>
      <w:r>
        <w:rPr>
          <w:color w:val="auto"/>
        </w:rPr>
        <w:t>，故该区含水层富水性为水量极丰富区。</w:t>
      </w:r>
    </w:p>
    <w:p w14:paraId="3751D95B" w14:textId="77777777" w:rsidR="002E474C" w:rsidRDefault="00000000">
      <w:pPr>
        <w:pStyle w:val="A-z"/>
        <w:rPr>
          <w:color w:val="auto"/>
        </w:rPr>
      </w:pPr>
      <w:r>
        <w:rPr>
          <w:color w:val="auto"/>
        </w:rPr>
        <w:t>②</w:t>
      </w:r>
      <w:r>
        <w:rPr>
          <w:color w:val="auto"/>
        </w:rPr>
        <w:t>承压水水量极丰富区</w:t>
      </w:r>
    </w:p>
    <w:p w14:paraId="5A0C4CCD" w14:textId="77777777" w:rsidR="002E474C" w:rsidRDefault="00000000">
      <w:pPr>
        <w:pStyle w:val="A-z"/>
        <w:rPr>
          <w:color w:val="auto"/>
        </w:rPr>
      </w:pPr>
      <w:r>
        <w:rPr>
          <w:color w:val="auto"/>
        </w:rPr>
        <w:t>主要分布于托克逊县城东部的夏乡一带，承压含水层层数多，颗粒较粗，水头较大，有的地方自流。承压自流水头高出地面</w:t>
      </w:r>
      <w:r>
        <w:rPr>
          <w:color w:val="auto"/>
        </w:rPr>
        <w:t>2-3m</w:t>
      </w:r>
      <w:r>
        <w:rPr>
          <w:color w:val="auto"/>
        </w:rPr>
        <w:t>，最高可达</w:t>
      </w:r>
      <w:r>
        <w:rPr>
          <w:color w:val="auto"/>
        </w:rPr>
        <w:t>5-6m</w:t>
      </w:r>
      <w:r>
        <w:rPr>
          <w:color w:val="auto"/>
        </w:rPr>
        <w:t>。</w:t>
      </w:r>
    </w:p>
    <w:p w14:paraId="24EB3F06" w14:textId="77777777" w:rsidR="002E474C" w:rsidRDefault="00000000">
      <w:pPr>
        <w:pStyle w:val="A-z"/>
        <w:rPr>
          <w:color w:val="auto"/>
        </w:rPr>
      </w:pPr>
      <w:r>
        <w:rPr>
          <w:color w:val="auto"/>
        </w:rPr>
        <w:t>该区地层岩性多为砂砾石，地下水补给充分，根据抽水试验成果：该区渗透系数</w:t>
      </w:r>
      <w:r>
        <w:rPr>
          <w:color w:val="auto"/>
        </w:rPr>
        <w:t xml:space="preserve">22.93m/d </w:t>
      </w:r>
      <w:r>
        <w:rPr>
          <w:color w:val="auto"/>
        </w:rPr>
        <w:t>左右，其单井涌水量大于</w:t>
      </w:r>
      <w:r>
        <w:rPr>
          <w:color w:val="auto"/>
        </w:rPr>
        <w:t>5000m</w:t>
      </w:r>
      <w:r>
        <w:rPr>
          <w:color w:val="auto"/>
          <w:vertAlign w:val="superscript"/>
        </w:rPr>
        <w:t>3</w:t>
      </w:r>
      <w:r>
        <w:rPr>
          <w:color w:val="auto"/>
        </w:rPr>
        <w:t>/d</w:t>
      </w:r>
      <w:r>
        <w:rPr>
          <w:color w:val="auto"/>
        </w:rPr>
        <w:t>，故该区含水层为承压水水量极丰富区。</w:t>
      </w:r>
    </w:p>
    <w:p w14:paraId="6FDD87E4" w14:textId="77777777" w:rsidR="002E474C" w:rsidRDefault="00000000">
      <w:pPr>
        <w:pStyle w:val="A-z"/>
        <w:rPr>
          <w:color w:val="auto"/>
        </w:rPr>
      </w:pPr>
      <w:r>
        <w:rPr>
          <w:color w:val="auto"/>
        </w:rPr>
        <w:t>2</w:t>
      </w:r>
      <w:r>
        <w:rPr>
          <w:color w:val="auto"/>
        </w:rPr>
        <w:t>）水量丰富区</w:t>
      </w:r>
    </w:p>
    <w:p w14:paraId="20B3374E" w14:textId="77777777" w:rsidR="002E474C" w:rsidRDefault="00000000">
      <w:pPr>
        <w:pStyle w:val="A-z"/>
        <w:ind w:firstLine="456"/>
        <w:rPr>
          <w:color w:val="auto"/>
          <w:spacing w:val="-6"/>
        </w:rPr>
      </w:pPr>
      <w:r>
        <w:rPr>
          <w:color w:val="auto"/>
          <w:spacing w:val="-6"/>
        </w:rPr>
        <w:t>主要分布于白杨河中游细土平原区，即评价区内白杨河干流两侧的绿洲灌区。地下潜水位埋深逐渐变浅，到达托克逊县潜水位埋深</w:t>
      </w:r>
      <w:r>
        <w:rPr>
          <w:color w:val="auto"/>
          <w:spacing w:val="-6"/>
        </w:rPr>
        <w:t>3-5m</w:t>
      </w:r>
      <w:r>
        <w:rPr>
          <w:color w:val="auto"/>
          <w:spacing w:val="-6"/>
        </w:rPr>
        <w:t>，评价区东部潜水位埋深</w:t>
      </w:r>
      <w:r>
        <w:rPr>
          <w:color w:val="auto"/>
          <w:spacing w:val="-6"/>
        </w:rPr>
        <w:t>1.5-2.5m</w:t>
      </w:r>
      <w:r>
        <w:rPr>
          <w:color w:val="auto"/>
          <w:spacing w:val="-6"/>
        </w:rPr>
        <w:t>。该区地层岩性多为砂砾石，根据抽水试验成果：渗透系数</w:t>
      </w:r>
      <w:r>
        <w:rPr>
          <w:color w:val="auto"/>
          <w:spacing w:val="-6"/>
        </w:rPr>
        <w:t>4.67</w:t>
      </w:r>
      <w:r>
        <w:rPr>
          <w:color w:val="auto"/>
          <w:spacing w:val="-6"/>
        </w:rPr>
        <w:t>～</w:t>
      </w:r>
      <w:r>
        <w:rPr>
          <w:color w:val="auto"/>
          <w:spacing w:val="-6"/>
        </w:rPr>
        <w:t>11.67m/d</w:t>
      </w:r>
      <w:r>
        <w:rPr>
          <w:color w:val="auto"/>
          <w:spacing w:val="-6"/>
        </w:rPr>
        <w:t>，其单井涌水量</w:t>
      </w:r>
      <w:r>
        <w:rPr>
          <w:color w:val="auto"/>
          <w:spacing w:val="-6"/>
        </w:rPr>
        <w:t>3000</w:t>
      </w:r>
      <w:r>
        <w:rPr>
          <w:color w:val="auto"/>
          <w:spacing w:val="-6"/>
        </w:rPr>
        <w:t>～</w:t>
      </w:r>
      <w:r>
        <w:rPr>
          <w:color w:val="auto"/>
          <w:spacing w:val="-6"/>
        </w:rPr>
        <w:t>5000m</w:t>
      </w:r>
      <w:r>
        <w:rPr>
          <w:color w:val="auto"/>
          <w:spacing w:val="-6"/>
          <w:vertAlign w:val="superscript"/>
        </w:rPr>
        <w:t>3/</w:t>
      </w:r>
      <w:r>
        <w:rPr>
          <w:color w:val="auto"/>
          <w:spacing w:val="-6"/>
        </w:rPr>
        <w:t>d</w:t>
      </w:r>
      <w:r>
        <w:rPr>
          <w:color w:val="auto"/>
          <w:spacing w:val="-6"/>
        </w:rPr>
        <w:t>，故该区含水层富水性为水量丰富区。</w:t>
      </w:r>
    </w:p>
    <w:p w14:paraId="165D8062" w14:textId="77777777" w:rsidR="002E474C" w:rsidRDefault="00000000">
      <w:pPr>
        <w:pStyle w:val="A-z"/>
        <w:rPr>
          <w:color w:val="auto"/>
        </w:rPr>
      </w:pPr>
      <w:r>
        <w:rPr>
          <w:color w:val="auto"/>
        </w:rPr>
        <w:t>3</w:t>
      </w:r>
      <w:r>
        <w:rPr>
          <w:color w:val="auto"/>
        </w:rPr>
        <w:t>）水量中等丰富区</w:t>
      </w:r>
    </w:p>
    <w:p w14:paraId="1C12E94D" w14:textId="77777777" w:rsidR="002E474C" w:rsidRDefault="00000000">
      <w:pPr>
        <w:pStyle w:val="A-z"/>
        <w:rPr>
          <w:color w:val="auto"/>
        </w:rPr>
      </w:pPr>
      <w:r>
        <w:rPr>
          <w:color w:val="auto"/>
        </w:rPr>
        <w:t>主要分布于托克逊县城东部远离白杨河干流的靠近绿洲灌区的外围区域，该区地下水补给来源少，地下水外埋藏较深，多大于</w:t>
      </w:r>
      <w:r>
        <w:rPr>
          <w:color w:val="auto"/>
        </w:rPr>
        <w:t>20m</w:t>
      </w:r>
      <w:r>
        <w:rPr>
          <w:color w:val="auto"/>
        </w:rPr>
        <w:t>。地层岩性多为砂砾石，根据抽水试验成果：该区渗透系数</w:t>
      </w:r>
      <w:r>
        <w:rPr>
          <w:color w:val="auto"/>
        </w:rPr>
        <w:t>16</w:t>
      </w:r>
      <w:r>
        <w:rPr>
          <w:color w:val="auto"/>
        </w:rPr>
        <w:t>～</w:t>
      </w:r>
      <w:r>
        <w:rPr>
          <w:color w:val="auto"/>
        </w:rPr>
        <w:t>49.25m/d</w:t>
      </w:r>
      <w:r>
        <w:rPr>
          <w:color w:val="auto"/>
        </w:rPr>
        <w:t>，其单井涌水量</w:t>
      </w:r>
      <w:r>
        <w:rPr>
          <w:color w:val="auto"/>
        </w:rPr>
        <w:t>3000</w:t>
      </w:r>
      <w:r>
        <w:rPr>
          <w:color w:val="auto"/>
        </w:rPr>
        <w:t>～</w:t>
      </w:r>
      <w:r>
        <w:rPr>
          <w:color w:val="auto"/>
        </w:rPr>
        <w:t>5000m</w:t>
      </w:r>
      <w:r>
        <w:rPr>
          <w:color w:val="auto"/>
          <w:vertAlign w:val="superscript"/>
        </w:rPr>
        <w:t>3</w:t>
      </w:r>
      <w:r>
        <w:rPr>
          <w:color w:val="auto"/>
        </w:rPr>
        <w:t>/d</w:t>
      </w:r>
      <w:r>
        <w:rPr>
          <w:color w:val="auto"/>
        </w:rPr>
        <w:t>，但由于该区受地形及补给途径较远的影响，其地下水补给不充分，故该区含水层富水性为水量中等丰富区。</w:t>
      </w:r>
    </w:p>
    <w:p w14:paraId="1C8CDD35" w14:textId="77777777" w:rsidR="002E474C" w:rsidRDefault="00000000">
      <w:pPr>
        <w:pStyle w:val="41"/>
        <w:rPr>
          <w:color w:val="auto"/>
        </w:rPr>
      </w:pPr>
      <w:r>
        <w:rPr>
          <w:color w:val="auto"/>
        </w:rPr>
        <w:t>地下水的补给、径流和排泄条件</w:t>
      </w:r>
    </w:p>
    <w:p w14:paraId="630EF080" w14:textId="77777777" w:rsidR="002E474C" w:rsidRDefault="00000000">
      <w:pPr>
        <w:pStyle w:val="A-z"/>
        <w:rPr>
          <w:color w:val="auto"/>
        </w:rPr>
      </w:pPr>
      <w:r>
        <w:rPr>
          <w:color w:val="auto"/>
        </w:rPr>
        <w:t>（</w:t>
      </w:r>
      <w:r>
        <w:rPr>
          <w:color w:val="auto"/>
        </w:rPr>
        <w:t>1</w:t>
      </w:r>
      <w:r>
        <w:rPr>
          <w:color w:val="auto"/>
        </w:rPr>
        <w:t>）地下水的补给条件</w:t>
      </w:r>
    </w:p>
    <w:p w14:paraId="4F2D4BD2" w14:textId="77777777" w:rsidR="002E474C" w:rsidRDefault="00000000">
      <w:pPr>
        <w:pStyle w:val="A-z"/>
        <w:rPr>
          <w:color w:val="auto"/>
        </w:rPr>
      </w:pPr>
      <w:r>
        <w:rPr>
          <w:color w:val="auto"/>
        </w:rPr>
        <w:t>阿拉沟河水系是区域地下水主要的补给来源，阿拉沟河山口后散流于冲洪积平原之上，虽无明显的河床，但形成了宽</w:t>
      </w:r>
      <w:r>
        <w:rPr>
          <w:color w:val="auto"/>
        </w:rPr>
        <w:t>1~1.5km</w:t>
      </w:r>
      <w:r>
        <w:rPr>
          <w:color w:val="auto"/>
        </w:rPr>
        <w:t>的低洼槽带，地层岩性以卵、</w:t>
      </w:r>
      <w:r>
        <w:rPr>
          <w:color w:val="auto"/>
        </w:rPr>
        <w:lastRenderedPageBreak/>
        <w:t>砾石为主，夹少量的漂石。在洪水期，有相当一部分阿拉沟河水入渗地下。而评价区西部为山前倾斜砾质平原，地层岩性为巨厚的砂卵砾石，颗粒粗大，具有良好的储水空间和径流条件，构成富水区和强径流带，形成了由西向东的水平径流。</w:t>
      </w:r>
    </w:p>
    <w:p w14:paraId="17C291A8" w14:textId="77777777" w:rsidR="002E474C" w:rsidRDefault="00000000">
      <w:pPr>
        <w:pStyle w:val="A-z"/>
        <w:rPr>
          <w:color w:val="auto"/>
        </w:rPr>
      </w:pPr>
      <w:r>
        <w:rPr>
          <w:color w:val="auto"/>
        </w:rPr>
        <w:t>因此，河水在山前倾斜砾质平原渗漏补给，成为区内地下水最主要的补给来源。另外，区内农业耕地分布广，渠系密集，灌溉的垂直渗漏也成为区内地下水补给来源之一。区内降水稀少、气候干燥、地面蒸发强烈，故大气降水对地下水的补给及其微弱。</w:t>
      </w:r>
    </w:p>
    <w:p w14:paraId="1E5A8FC2" w14:textId="77777777" w:rsidR="002E474C" w:rsidRDefault="00000000">
      <w:pPr>
        <w:pStyle w:val="A-z"/>
        <w:rPr>
          <w:color w:val="auto"/>
        </w:rPr>
      </w:pPr>
      <w:r>
        <w:rPr>
          <w:color w:val="auto"/>
        </w:rPr>
        <w:t>（</w:t>
      </w:r>
      <w:r>
        <w:rPr>
          <w:color w:val="auto"/>
        </w:rPr>
        <w:t>2</w:t>
      </w:r>
      <w:r>
        <w:rPr>
          <w:color w:val="auto"/>
        </w:rPr>
        <w:t>）地下水流场及埋深</w:t>
      </w:r>
    </w:p>
    <w:p w14:paraId="1349C206" w14:textId="77777777" w:rsidR="002E474C" w:rsidRDefault="00000000">
      <w:pPr>
        <w:pStyle w:val="A-z"/>
        <w:rPr>
          <w:color w:val="auto"/>
        </w:rPr>
      </w:pPr>
      <w:r>
        <w:rPr>
          <w:color w:val="auto"/>
        </w:rPr>
        <w:t>托克逊地区地下水主要接受盆地四周山区大气降水入渗、沟谷潜流、河道入渗、渠系渗漏等补给，总体由西向东径流，最终排泄中心为艾丁湖。</w:t>
      </w:r>
    </w:p>
    <w:p w14:paraId="0FA50AAB" w14:textId="77777777" w:rsidR="002E474C" w:rsidRDefault="00000000">
      <w:pPr>
        <w:pStyle w:val="A-z"/>
        <w:rPr>
          <w:color w:val="auto"/>
        </w:rPr>
      </w:pPr>
      <w:r>
        <w:rPr>
          <w:color w:val="auto"/>
        </w:rPr>
        <w:t>托克逊县城南部的觉罗塔格山山前洪积砾质平原，地下水类型均为单层结构潜水，盆地中心的绿洲带（伊拉湖乡、博斯坦乡、夏乡、托克逊县城等）地下水类型均为多层结构潜水</w:t>
      </w:r>
      <w:r>
        <w:rPr>
          <w:color w:val="auto"/>
        </w:rPr>
        <w:t>-</w:t>
      </w:r>
      <w:r>
        <w:rPr>
          <w:color w:val="auto"/>
        </w:rPr>
        <w:t>承压水。</w:t>
      </w:r>
    </w:p>
    <w:p w14:paraId="4996F539" w14:textId="77777777" w:rsidR="002E474C" w:rsidRDefault="00000000">
      <w:pPr>
        <w:pStyle w:val="A-z"/>
        <w:rPr>
          <w:color w:val="auto"/>
        </w:rPr>
      </w:pPr>
      <w:r>
        <w:rPr>
          <w:color w:val="auto"/>
        </w:rPr>
        <w:t>觉罗塔格山山前洪积砾质平原地下水埋深一般为</w:t>
      </w:r>
      <w:r>
        <w:rPr>
          <w:color w:val="auto"/>
        </w:rPr>
        <w:t>100-200m</w:t>
      </w:r>
      <w:r>
        <w:rPr>
          <w:color w:val="auto"/>
        </w:rPr>
        <w:t>，由南向北逐渐减小，至博斯坦乡一带，地下水埋深减小至</w:t>
      </w:r>
      <w:r>
        <w:rPr>
          <w:color w:val="auto"/>
        </w:rPr>
        <w:t>30-50m</w:t>
      </w:r>
      <w:r>
        <w:rPr>
          <w:color w:val="auto"/>
        </w:rPr>
        <w:t>，伊拉湖乡一带，地下水埋深为</w:t>
      </w:r>
      <w:r>
        <w:rPr>
          <w:color w:val="auto"/>
        </w:rPr>
        <w:t>10-30m</w:t>
      </w:r>
      <w:r>
        <w:rPr>
          <w:color w:val="auto"/>
        </w:rPr>
        <w:t>，托克逊县城以东，地下水埋深一般小于</w:t>
      </w:r>
      <w:r>
        <w:rPr>
          <w:color w:val="auto"/>
        </w:rPr>
        <w:t>10m</w:t>
      </w:r>
      <w:r>
        <w:rPr>
          <w:color w:val="auto"/>
        </w:rPr>
        <w:t>。</w:t>
      </w:r>
    </w:p>
    <w:p w14:paraId="3F4A60E7" w14:textId="77777777" w:rsidR="002E474C" w:rsidRDefault="00000000">
      <w:pPr>
        <w:pStyle w:val="A-z"/>
        <w:rPr>
          <w:color w:val="auto"/>
        </w:rPr>
      </w:pPr>
      <w:r>
        <w:rPr>
          <w:color w:val="auto"/>
        </w:rPr>
        <w:t>地下水的径流条件主要受地形、含水介质及补给条件的控制，评价区所处的区域，总体地势西高东低，地下水流向近似为由西向东。在伊拉湖镇以西的区域，由于含水层岩性颗粒粗大，径流条件良好，水力坡度为</w:t>
      </w:r>
      <w:r>
        <w:rPr>
          <w:color w:val="auto"/>
        </w:rPr>
        <w:t>0.4‰~0.8‰</w:t>
      </w:r>
      <w:r>
        <w:rPr>
          <w:color w:val="auto"/>
        </w:rPr>
        <w:t>。而到了伊拉湖镇以东的区域，随着岩性颗粒由粗变细，含水层由厚变薄，透水性变差，水力坡度一般在</w:t>
      </w:r>
      <w:r>
        <w:rPr>
          <w:color w:val="auto"/>
        </w:rPr>
        <w:t>5‰~8.6‰</w:t>
      </w:r>
      <w:r>
        <w:rPr>
          <w:color w:val="auto"/>
        </w:rPr>
        <w:t>，至溢出带附近，水力坡度降至</w:t>
      </w:r>
      <w:r>
        <w:rPr>
          <w:color w:val="auto"/>
        </w:rPr>
        <w:t>1‰~3‰</w:t>
      </w:r>
      <w:r>
        <w:rPr>
          <w:color w:val="auto"/>
        </w:rPr>
        <w:t>。</w:t>
      </w:r>
    </w:p>
    <w:p w14:paraId="2374458D" w14:textId="77777777" w:rsidR="002E474C" w:rsidRDefault="00000000">
      <w:pPr>
        <w:pStyle w:val="A-z"/>
        <w:rPr>
          <w:color w:val="auto"/>
        </w:rPr>
      </w:pPr>
      <w:r>
        <w:rPr>
          <w:color w:val="auto"/>
        </w:rPr>
        <w:t>（</w:t>
      </w:r>
      <w:r>
        <w:rPr>
          <w:color w:val="auto"/>
        </w:rPr>
        <w:t>3</w:t>
      </w:r>
      <w:r>
        <w:rPr>
          <w:color w:val="auto"/>
        </w:rPr>
        <w:t>）地下水的排泄条件</w:t>
      </w:r>
    </w:p>
    <w:p w14:paraId="3E9CFE93" w14:textId="77777777" w:rsidR="002E474C" w:rsidRDefault="00000000">
      <w:pPr>
        <w:pStyle w:val="A-z"/>
        <w:ind w:firstLine="456"/>
        <w:rPr>
          <w:color w:val="auto"/>
          <w:spacing w:val="-6"/>
        </w:rPr>
      </w:pPr>
      <w:r>
        <w:rPr>
          <w:color w:val="auto"/>
          <w:spacing w:val="-6"/>
        </w:rPr>
        <w:t>区域内地下水排泄主要以蒸发、人工开采、断面的径流流出的形式排泄。扇区中上部地下水排泄主要以人工开采为主；下部排泄多以泉水、蒸发和人工开采为主。</w:t>
      </w:r>
    </w:p>
    <w:p w14:paraId="27DF2AC4" w14:textId="77777777" w:rsidR="002E474C" w:rsidRDefault="00000000">
      <w:pPr>
        <w:pStyle w:val="41"/>
        <w:rPr>
          <w:color w:val="auto"/>
        </w:rPr>
      </w:pPr>
      <w:r>
        <w:rPr>
          <w:color w:val="auto"/>
        </w:rPr>
        <w:t>地下水水化学特征</w:t>
      </w:r>
    </w:p>
    <w:p w14:paraId="3778611E" w14:textId="77777777" w:rsidR="002E474C" w:rsidRDefault="00000000">
      <w:pPr>
        <w:pStyle w:val="A-z"/>
        <w:rPr>
          <w:color w:val="auto"/>
        </w:rPr>
      </w:pPr>
      <w:r>
        <w:rPr>
          <w:color w:val="auto"/>
        </w:rPr>
        <w:t>托克逊盆地地下水水化学分布规律，严格受控于地形地貌、地层岩性及补给水源，尤以补给水源水化学特征为主要控制因素。托克逊县北、西、南三面环山，开口向东，呈簸箕形。补给源主要为阿拉沟水系和白杨河水系，是托克逊县潜水水化学特征呈现明显分带规律的原因所在。平原区地下水化学特性受控于地形、</w:t>
      </w:r>
      <w:r>
        <w:rPr>
          <w:color w:val="auto"/>
        </w:rPr>
        <w:lastRenderedPageBreak/>
        <w:t>地貌岩性及补给源，呈现明显的带状分布规律。</w:t>
      </w:r>
    </w:p>
    <w:p w14:paraId="2032936B" w14:textId="77777777" w:rsidR="002E474C" w:rsidRDefault="00000000">
      <w:pPr>
        <w:pStyle w:val="A-z"/>
        <w:rPr>
          <w:color w:val="auto"/>
        </w:rPr>
      </w:pPr>
      <w:r>
        <w:rPr>
          <w:color w:val="auto"/>
        </w:rPr>
        <w:t>区内地形地貌，地层岩性以及水文地质条件决定了地下水的化学特征，地下水潜水水化学类型由绿洲平原上游区的</w:t>
      </w:r>
      <w:r>
        <w:rPr>
          <w:color w:val="auto"/>
        </w:rPr>
        <w:t>SO</w:t>
      </w:r>
      <w:r>
        <w:rPr>
          <w:color w:val="auto"/>
          <w:vertAlign w:val="subscript"/>
        </w:rPr>
        <w:t>4</w:t>
      </w:r>
      <w:r>
        <w:rPr>
          <w:color w:val="auto"/>
        </w:rPr>
        <w:t>·HCO</w:t>
      </w:r>
      <w:r>
        <w:rPr>
          <w:color w:val="auto"/>
          <w:vertAlign w:val="subscript"/>
        </w:rPr>
        <w:t>3</w:t>
      </w:r>
      <w:r>
        <w:rPr>
          <w:color w:val="auto"/>
        </w:rPr>
        <w:t xml:space="preserve">-Na·Ca </w:t>
      </w:r>
      <w:r>
        <w:rPr>
          <w:color w:val="auto"/>
        </w:rPr>
        <w:t>型逐渐变为绿洲平原下游夏乡的</w:t>
      </w:r>
      <w:r>
        <w:rPr>
          <w:color w:val="auto"/>
        </w:rPr>
        <w:t>SO</w:t>
      </w:r>
      <w:r>
        <w:rPr>
          <w:color w:val="auto"/>
          <w:vertAlign w:val="subscript"/>
        </w:rPr>
        <w:t>4</w:t>
      </w:r>
      <w:r>
        <w:rPr>
          <w:color w:val="auto"/>
        </w:rPr>
        <w:t xml:space="preserve">·Cl-Ca·Mg </w:t>
      </w:r>
      <w:r>
        <w:rPr>
          <w:color w:val="auto"/>
        </w:rPr>
        <w:t>型。</w:t>
      </w:r>
    </w:p>
    <w:p w14:paraId="4F4E2957" w14:textId="77777777" w:rsidR="002E474C" w:rsidRDefault="00000000">
      <w:pPr>
        <w:pStyle w:val="A-z"/>
        <w:rPr>
          <w:color w:val="auto"/>
        </w:rPr>
      </w:pPr>
      <w:r>
        <w:rPr>
          <w:color w:val="auto"/>
        </w:rPr>
        <w:t>（</w:t>
      </w:r>
      <w:r>
        <w:rPr>
          <w:color w:val="auto"/>
        </w:rPr>
        <w:t>1</w:t>
      </w:r>
      <w:r>
        <w:rPr>
          <w:color w:val="auto"/>
        </w:rPr>
        <w:t>）水平分带特点</w:t>
      </w:r>
    </w:p>
    <w:p w14:paraId="0494D4A9" w14:textId="77777777" w:rsidR="002E474C" w:rsidRDefault="00000000">
      <w:pPr>
        <w:pStyle w:val="A-z"/>
        <w:ind w:firstLine="456"/>
        <w:rPr>
          <w:color w:val="auto"/>
          <w:spacing w:val="-6"/>
        </w:rPr>
      </w:pPr>
      <w:r>
        <w:rPr>
          <w:color w:val="auto"/>
          <w:spacing w:val="-6"/>
        </w:rPr>
        <w:t>水平分带规律指潜水的水质变化规律，流域地表水系均发源于西北部山区，在高中山区，水质良好，矿化度较低；进入平原细土带后，地下水埋深变浅，蒸发作用变强，盐份逐渐聚集，矿化度增高，水质不如西部；县城以东至艾丁湖一带，矿化度大幅增加潜水水质逐渐恶化，各种水化学成分急剧增高，水质变化明显。</w:t>
      </w:r>
    </w:p>
    <w:p w14:paraId="5CAF1A01" w14:textId="77777777" w:rsidR="002E474C" w:rsidRDefault="00000000">
      <w:pPr>
        <w:pStyle w:val="A-z"/>
        <w:rPr>
          <w:color w:val="auto"/>
        </w:rPr>
      </w:pPr>
      <w:r>
        <w:rPr>
          <w:color w:val="auto"/>
        </w:rPr>
        <w:t>在砾质平原单一结构潜水分布区，地下水径流条件好，补给充沛，埋藏深，地下水交替作用强烈，其水质特征仍保留了河水出山口前的化学性质。水化学类型以</w:t>
      </w:r>
      <w:r>
        <w:rPr>
          <w:color w:val="auto"/>
        </w:rPr>
        <w:t>SO</w:t>
      </w:r>
      <w:r>
        <w:rPr>
          <w:color w:val="auto"/>
          <w:vertAlign w:val="subscript"/>
        </w:rPr>
        <w:t>4</w:t>
      </w:r>
      <w:r>
        <w:rPr>
          <w:color w:val="auto"/>
        </w:rPr>
        <w:t>·HCO</w:t>
      </w:r>
      <w:r>
        <w:rPr>
          <w:color w:val="auto"/>
          <w:vertAlign w:val="subscript"/>
        </w:rPr>
        <w:t>3</w:t>
      </w:r>
      <w:r>
        <w:rPr>
          <w:color w:val="auto"/>
        </w:rPr>
        <w:t xml:space="preserve">-Na·Ca </w:t>
      </w:r>
      <w:r>
        <w:rPr>
          <w:color w:val="auto"/>
        </w:rPr>
        <w:t>型为主。矿化度小于</w:t>
      </w:r>
      <w:r>
        <w:rPr>
          <w:color w:val="auto"/>
        </w:rPr>
        <w:t>1g/L</w:t>
      </w:r>
      <w:r>
        <w:rPr>
          <w:color w:val="auto"/>
        </w:rPr>
        <w:t>。</w:t>
      </w:r>
    </w:p>
    <w:p w14:paraId="4485848F" w14:textId="77777777" w:rsidR="002E474C" w:rsidRDefault="00000000">
      <w:pPr>
        <w:pStyle w:val="A-z"/>
        <w:rPr>
          <w:color w:val="auto"/>
        </w:rPr>
      </w:pPr>
      <w:r>
        <w:rPr>
          <w:color w:val="auto"/>
        </w:rPr>
        <w:t>在细土平原区，由于地形坡度渐缓，岩性颗粒变细，地下水埋藏由深变浅蒸发作用由弱变强，盐分逐渐聚集，矿化度增高，水质变差。特别是在夏乡大部分范围水化学类型则以</w:t>
      </w:r>
      <w:r>
        <w:rPr>
          <w:color w:val="auto"/>
        </w:rPr>
        <w:t>SO</w:t>
      </w:r>
      <w:r>
        <w:rPr>
          <w:color w:val="auto"/>
          <w:vertAlign w:val="subscript"/>
        </w:rPr>
        <w:t>4</w:t>
      </w:r>
      <w:r>
        <w:rPr>
          <w:color w:val="auto"/>
        </w:rPr>
        <w:t>·Cl</w:t>
      </w:r>
      <w:r>
        <w:rPr>
          <w:color w:val="auto"/>
          <w:lang w:val="en-US"/>
        </w:rPr>
        <w:t>-</w:t>
      </w:r>
      <w:r>
        <w:rPr>
          <w:color w:val="auto"/>
        </w:rPr>
        <w:t xml:space="preserve">Na·Ca </w:t>
      </w:r>
      <w:r>
        <w:rPr>
          <w:color w:val="auto"/>
        </w:rPr>
        <w:t>型为主，水质矿化度也逐渐升高，水质变差。矿化度部分地带大于</w:t>
      </w:r>
      <w:r>
        <w:rPr>
          <w:color w:val="auto"/>
        </w:rPr>
        <w:t>3g/L</w:t>
      </w:r>
      <w:r>
        <w:rPr>
          <w:color w:val="auto"/>
        </w:rPr>
        <w:t>。</w:t>
      </w:r>
    </w:p>
    <w:p w14:paraId="513B46E0" w14:textId="77777777" w:rsidR="002E474C" w:rsidRDefault="00000000">
      <w:pPr>
        <w:pStyle w:val="A-z"/>
        <w:rPr>
          <w:color w:val="auto"/>
        </w:rPr>
      </w:pPr>
      <w:r>
        <w:rPr>
          <w:color w:val="auto"/>
        </w:rPr>
        <w:t>细土平原区地下水含水层结构呈多层结构，其上部潜水分布于地表</w:t>
      </w:r>
      <w:r>
        <w:rPr>
          <w:color w:val="auto"/>
        </w:rPr>
        <w:t>20m</w:t>
      </w:r>
      <w:r>
        <w:rPr>
          <w:color w:val="auto"/>
        </w:rPr>
        <w:t>以内，水化学组分及含量垂向上变化不大，只是随所处部位的不同而异。</w:t>
      </w:r>
    </w:p>
    <w:p w14:paraId="6A1AF2EA" w14:textId="77777777" w:rsidR="002E474C" w:rsidRDefault="00000000">
      <w:pPr>
        <w:pStyle w:val="A-z"/>
        <w:rPr>
          <w:color w:val="auto"/>
        </w:rPr>
      </w:pPr>
      <w:r>
        <w:rPr>
          <w:color w:val="auto"/>
        </w:rPr>
        <w:t>（</w:t>
      </w:r>
      <w:r>
        <w:rPr>
          <w:color w:val="auto"/>
        </w:rPr>
        <w:t>2</w:t>
      </w:r>
      <w:r>
        <w:rPr>
          <w:color w:val="auto"/>
        </w:rPr>
        <w:t>）垂直分带特点</w:t>
      </w:r>
    </w:p>
    <w:p w14:paraId="26E5D84C" w14:textId="77777777" w:rsidR="002E474C" w:rsidRDefault="00000000">
      <w:pPr>
        <w:pStyle w:val="A-z"/>
        <w:rPr>
          <w:color w:val="auto"/>
        </w:rPr>
      </w:pPr>
      <w:r>
        <w:rPr>
          <w:color w:val="auto"/>
        </w:rPr>
        <w:t>垂直分带规律指深层承压水、浅层承压水和潜水之间的变化规律。流域地下水垂直分布规律为：潜水、浅层承压水至深层承压水，其矿化度由大到小，水化学成分由复杂到简单。综合上所述，托克逊县地下水化学成分，主要受蒸发和径流条件控制，在含盐岩层的溶滤以及水与离子交替吸附等综合作用下，形成以艾丁湖为中心的半环状水化学分带特征。垂直方向从上到下，地下水矿化度由高变低，水化学类型由</w:t>
      </w:r>
      <w:r>
        <w:rPr>
          <w:color w:val="auto"/>
        </w:rPr>
        <w:t>SO</w:t>
      </w:r>
      <w:r>
        <w:rPr>
          <w:color w:val="auto"/>
          <w:vertAlign w:val="subscript"/>
        </w:rPr>
        <w:t>4</w:t>
      </w:r>
      <w:r>
        <w:rPr>
          <w:color w:val="auto"/>
        </w:rPr>
        <w:t>·HCO</w:t>
      </w:r>
      <w:r>
        <w:rPr>
          <w:color w:val="auto"/>
          <w:vertAlign w:val="subscript"/>
        </w:rPr>
        <w:t>3</w:t>
      </w:r>
      <w:r>
        <w:rPr>
          <w:color w:val="auto"/>
        </w:rPr>
        <w:t xml:space="preserve">-Ca·Na </w:t>
      </w:r>
      <w:r>
        <w:rPr>
          <w:color w:val="auto"/>
        </w:rPr>
        <w:t>向</w:t>
      </w:r>
      <w:r>
        <w:rPr>
          <w:color w:val="auto"/>
        </w:rPr>
        <w:t>HCO</w:t>
      </w:r>
      <w:r>
        <w:rPr>
          <w:color w:val="auto"/>
          <w:vertAlign w:val="subscript"/>
        </w:rPr>
        <w:t>3</w:t>
      </w:r>
      <w:r>
        <w:rPr>
          <w:color w:val="auto"/>
        </w:rPr>
        <w:t>·SO</w:t>
      </w:r>
      <w:r>
        <w:rPr>
          <w:color w:val="auto"/>
          <w:vertAlign w:val="subscript"/>
        </w:rPr>
        <w:t>4</w:t>
      </w:r>
      <w:r>
        <w:rPr>
          <w:color w:val="auto"/>
        </w:rPr>
        <w:t xml:space="preserve">-Ca·Na </w:t>
      </w:r>
      <w:r>
        <w:rPr>
          <w:color w:val="auto"/>
        </w:rPr>
        <w:t>的转化规律。</w:t>
      </w:r>
    </w:p>
    <w:p w14:paraId="5AA7948E" w14:textId="77777777" w:rsidR="002E474C" w:rsidRDefault="00000000">
      <w:pPr>
        <w:pStyle w:val="31"/>
        <w:spacing w:before="120" w:after="120"/>
        <w:rPr>
          <w:color w:val="auto"/>
        </w:rPr>
      </w:pPr>
      <w:r>
        <w:rPr>
          <w:color w:val="auto"/>
        </w:rPr>
        <w:t>场地地层及水文地质条件</w:t>
      </w:r>
    </w:p>
    <w:p w14:paraId="69FAE739" w14:textId="27E28C0C" w:rsidR="002E474C" w:rsidRDefault="00000000">
      <w:pPr>
        <w:pStyle w:val="A-z"/>
        <w:rPr>
          <w:color w:val="auto"/>
        </w:rPr>
      </w:pPr>
      <w:r w:rsidRPr="009C3A0E">
        <w:rPr>
          <w:color w:val="auto"/>
        </w:rPr>
        <w:t>本项目位于托克逊能源重化工工业园区</w:t>
      </w:r>
      <w:r w:rsidR="001864E6" w:rsidRPr="009C3A0E">
        <w:rPr>
          <w:rFonts w:hint="eastAsia"/>
          <w:color w:val="auto"/>
        </w:rPr>
        <w:t>同心工业园</w:t>
      </w:r>
      <w:r w:rsidRPr="009C3A0E">
        <w:rPr>
          <w:color w:val="auto"/>
        </w:rPr>
        <w:t>，</w:t>
      </w:r>
      <w:r w:rsidR="001864E6" w:rsidRPr="009C3A0E">
        <w:rPr>
          <w:rFonts w:hint="eastAsia"/>
          <w:color w:val="auto"/>
        </w:rPr>
        <w:t>位于</w:t>
      </w:r>
      <w:r w:rsidR="001864E6" w:rsidRPr="009C3A0E">
        <w:rPr>
          <w:color w:val="auto"/>
        </w:rPr>
        <w:t>新疆中泰新材料股份有限公司资源化综合利用制甲醇升级示范项目</w:t>
      </w:r>
      <w:r w:rsidR="001864E6" w:rsidRPr="009C3A0E">
        <w:rPr>
          <w:rFonts w:hint="eastAsia"/>
          <w:color w:val="auto"/>
        </w:rPr>
        <w:t>西</w:t>
      </w:r>
      <w:r w:rsidR="001864E6" w:rsidRPr="009C3A0E">
        <w:rPr>
          <w:color w:val="auto"/>
        </w:rPr>
        <w:t>侧</w:t>
      </w:r>
      <w:r w:rsidR="001864E6" w:rsidRPr="009C3A0E">
        <w:rPr>
          <w:rFonts w:hint="eastAsia"/>
          <w:color w:val="auto"/>
        </w:rPr>
        <w:t>2.0km</w:t>
      </w:r>
      <w:r w:rsidR="001864E6" w:rsidRPr="009C3A0E">
        <w:rPr>
          <w:rFonts w:hint="eastAsia"/>
          <w:color w:val="auto"/>
        </w:rPr>
        <w:t>，与该项目位于同一水文地质单元。本项目</w:t>
      </w:r>
      <w:r w:rsidRPr="009C3A0E">
        <w:rPr>
          <w:color w:val="auto"/>
        </w:rPr>
        <w:t>场地内的地层资料及水文地质数据引用《新疆中泰新材料</w:t>
      </w:r>
      <w:r w:rsidRPr="009C3A0E">
        <w:rPr>
          <w:color w:val="auto"/>
        </w:rPr>
        <w:lastRenderedPageBreak/>
        <w:t>股份有限公司资源化综合利用制甲醇升级示范项目工程地质勘察报告》。</w:t>
      </w:r>
    </w:p>
    <w:p w14:paraId="5985552A" w14:textId="77777777" w:rsidR="002E474C" w:rsidRDefault="00000000">
      <w:pPr>
        <w:pStyle w:val="41"/>
        <w:rPr>
          <w:color w:val="auto"/>
        </w:rPr>
      </w:pPr>
      <w:r>
        <w:rPr>
          <w:color w:val="auto"/>
        </w:rPr>
        <w:t>水文地质实验</w:t>
      </w:r>
    </w:p>
    <w:p w14:paraId="6B2115D4" w14:textId="77777777" w:rsidR="002E474C" w:rsidRDefault="00000000">
      <w:pPr>
        <w:pStyle w:val="A-z"/>
        <w:rPr>
          <w:color w:val="auto"/>
        </w:rPr>
      </w:pPr>
      <w:r>
        <w:rPr>
          <w:color w:val="auto"/>
        </w:rPr>
        <w:t>（</w:t>
      </w:r>
      <w:r>
        <w:rPr>
          <w:color w:val="auto"/>
        </w:rPr>
        <w:t>1</w:t>
      </w:r>
      <w:r>
        <w:rPr>
          <w:color w:val="auto"/>
        </w:rPr>
        <w:t>）抽水试验</w:t>
      </w:r>
    </w:p>
    <w:p w14:paraId="6F4F6398" w14:textId="17215924" w:rsidR="002E474C" w:rsidRDefault="00000000">
      <w:pPr>
        <w:pStyle w:val="A-z"/>
        <w:rPr>
          <w:color w:val="auto"/>
        </w:rPr>
      </w:pPr>
      <w:r>
        <w:rPr>
          <w:color w:val="auto"/>
        </w:rPr>
        <w:t>新疆中泰新材料股份有限公司在项目厂区内进行了单孔抽水试验</w:t>
      </w:r>
      <w:r>
        <w:rPr>
          <w:color w:val="auto"/>
        </w:rPr>
        <w:t>1</w:t>
      </w:r>
      <w:r>
        <w:rPr>
          <w:color w:val="auto"/>
        </w:rPr>
        <w:t>组，抽水试验点位为</w:t>
      </w:r>
      <w:r>
        <w:rPr>
          <w:color w:val="auto"/>
        </w:rPr>
        <w:t>ZK1</w:t>
      </w:r>
      <w:r>
        <w:rPr>
          <w:color w:val="auto"/>
        </w:rPr>
        <w:t>钻井。钻井深</w:t>
      </w:r>
      <w:r>
        <w:rPr>
          <w:color w:val="auto"/>
        </w:rPr>
        <w:t>156m</w:t>
      </w:r>
      <w:r>
        <w:rPr>
          <w:color w:val="auto"/>
        </w:rPr>
        <w:t>，未见基岩；井径</w:t>
      </w:r>
      <w:r>
        <w:rPr>
          <w:color w:val="auto"/>
        </w:rPr>
        <w:t>400mm</w:t>
      </w:r>
      <w:r>
        <w:rPr>
          <w:color w:val="auto"/>
        </w:rPr>
        <w:t>，滤水管长度</w:t>
      </w:r>
      <w:r>
        <w:rPr>
          <w:color w:val="auto"/>
        </w:rPr>
        <w:t>40m</w:t>
      </w:r>
      <w:r>
        <w:rPr>
          <w:color w:val="auto"/>
        </w:rPr>
        <w:t>，含水层厚度</w:t>
      </w:r>
      <w:r>
        <w:rPr>
          <w:color w:val="auto"/>
        </w:rPr>
        <w:t>17m</w:t>
      </w:r>
      <w:r>
        <w:rPr>
          <w:color w:val="auto"/>
        </w:rPr>
        <w:t>，地下水静水位埋深</w:t>
      </w:r>
      <w:r>
        <w:rPr>
          <w:color w:val="auto"/>
        </w:rPr>
        <w:t>139m</w:t>
      </w:r>
      <w:r>
        <w:rPr>
          <w:color w:val="auto"/>
        </w:rPr>
        <w:t>。</w:t>
      </w:r>
    </w:p>
    <w:p w14:paraId="53ACA88B" w14:textId="77777777" w:rsidR="002E474C" w:rsidRDefault="00000000">
      <w:pPr>
        <w:pStyle w:val="A-z"/>
        <w:rPr>
          <w:color w:val="auto"/>
        </w:rPr>
      </w:pPr>
      <w:r>
        <w:rPr>
          <w:color w:val="auto"/>
        </w:rPr>
        <w:t>抽水试验参数计算选用潜水完整井、潜水非完整井计算公式（选自供水水文地质手册）。根据勘探孔揭露的地层岩性结构，地下水类型为潜水，抽水试验采用潜水非完整井单孔抽水试验公式计算。</w:t>
      </w:r>
    </w:p>
    <w:p w14:paraId="21CAACBF" w14:textId="77777777" w:rsidR="002E474C" w:rsidRDefault="00000000">
      <w:pPr>
        <w:pStyle w:val="A-z"/>
        <w:rPr>
          <w:color w:val="auto"/>
        </w:rPr>
      </w:pPr>
      <w:r>
        <w:rPr>
          <w:color w:val="auto"/>
        </w:rPr>
        <w:t>根据实验数据及计算可知，评价区各区含水层渗透系数</w:t>
      </w:r>
      <w:r>
        <w:rPr>
          <w:color w:val="auto"/>
        </w:rPr>
        <w:t>K</w:t>
      </w:r>
      <w:r>
        <w:rPr>
          <w:color w:val="auto"/>
        </w:rPr>
        <w:t>计算成果，计算结果见表</w:t>
      </w:r>
      <w:r>
        <w:rPr>
          <w:color w:val="auto"/>
        </w:rPr>
        <w:t>5.3-1</w:t>
      </w:r>
      <w:r>
        <w:rPr>
          <w:color w:val="auto"/>
        </w:rPr>
        <w:t>。</w:t>
      </w:r>
    </w:p>
    <w:p w14:paraId="7751E377" w14:textId="77777777" w:rsidR="002E474C" w:rsidRDefault="00000000">
      <w:pPr>
        <w:pStyle w:val="A--"/>
        <w:rPr>
          <w:color w:val="auto"/>
        </w:rPr>
      </w:pPr>
      <w:r>
        <w:rPr>
          <w:color w:val="auto"/>
        </w:rPr>
        <w:t>表</w:t>
      </w:r>
      <w:r>
        <w:rPr>
          <w:color w:val="auto"/>
        </w:rPr>
        <w:t>5.3-1    ZK1</w:t>
      </w:r>
      <w:r>
        <w:rPr>
          <w:color w:val="auto"/>
        </w:rPr>
        <w:t>井抽水试验计算成果表</w:t>
      </w:r>
    </w:p>
    <w:tbl>
      <w:tblPr>
        <w:tblStyle w:val="affff9"/>
        <w:tblW w:w="8505" w:type="dxa"/>
        <w:jc w:val="center"/>
        <w:tblLook w:val="04A0" w:firstRow="1" w:lastRow="0" w:firstColumn="1" w:lastColumn="0" w:noHBand="0" w:noVBand="1"/>
      </w:tblPr>
      <w:tblGrid>
        <w:gridCol w:w="935"/>
        <w:gridCol w:w="935"/>
        <w:gridCol w:w="934"/>
        <w:gridCol w:w="934"/>
        <w:gridCol w:w="934"/>
        <w:gridCol w:w="947"/>
        <w:gridCol w:w="1010"/>
        <w:gridCol w:w="942"/>
        <w:gridCol w:w="934"/>
      </w:tblGrid>
      <w:tr w:rsidR="002E474C" w14:paraId="3FB0AFE0" w14:textId="77777777">
        <w:trPr>
          <w:trHeight w:val="284"/>
          <w:jc w:val="center"/>
        </w:trPr>
        <w:tc>
          <w:tcPr>
            <w:tcW w:w="935" w:type="dxa"/>
            <w:vAlign w:val="center"/>
          </w:tcPr>
          <w:p w14:paraId="1B904265" w14:textId="77777777" w:rsidR="002E474C" w:rsidRDefault="00000000">
            <w:pPr>
              <w:pStyle w:val="w3"/>
            </w:pPr>
            <w:r>
              <w:t>井深（</w:t>
            </w:r>
            <w:r>
              <w:t>m</w:t>
            </w:r>
            <w:r>
              <w:t>）</w:t>
            </w:r>
          </w:p>
        </w:tc>
        <w:tc>
          <w:tcPr>
            <w:tcW w:w="935" w:type="dxa"/>
            <w:vAlign w:val="center"/>
          </w:tcPr>
          <w:p w14:paraId="084FE168" w14:textId="77777777" w:rsidR="002E474C" w:rsidRDefault="00000000">
            <w:pPr>
              <w:pStyle w:val="w3"/>
            </w:pPr>
            <w:r>
              <w:t>静水位埋深（</w:t>
            </w:r>
            <w:r>
              <w:t>m</w:t>
            </w:r>
            <w:r>
              <w:t>）</w:t>
            </w:r>
          </w:p>
        </w:tc>
        <w:tc>
          <w:tcPr>
            <w:tcW w:w="934" w:type="dxa"/>
            <w:vAlign w:val="center"/>
          </w:tcPr>
          <w:p w14:paraId="7B86F58B" w14:textId="77777777" w:rsidR="002E474C" w:rsidRDefault="00000000">
            <w:pPr>
              <w:pStyle w:val="w3"/>
            </w:pPr>
            <w:r>
              <w:t>动水位埋深（</w:t>
            </w:r>
            <w:r>
              <w:t>m</w:t>
            </w:r>
            <w:r>
              <w:t>）</w:t>
            </w:r>
          </w:p>
        </w:tc>
        <w:tc>
          <w:tcPr>
            <w:tcW w:w="934" w:type="dxa"/>
            <w:vAlign w:val="center"/>
          </w:tcPr>
          <w:p w14:paraId="0386E07E" w14:textId="77777777" w:rsidR="002E474C" w:rsidRDefault="00000000">
            <w:pPr>
              <w:pStyle w:val="w3"/>
            </w:pPr>
            <w:r>
              <w:t>抽水降深（</w:t>
            </w:r>
            <w:r>
              <w:t>m</w:t>
            </w:r>
            <w:r>
              <w:t>）</w:t>
            </w:r>
          </w:p>
        </w:tc>
        <w:tc>
          <w:tcPr>
            <w:tcW w:w="934" w:type="dxa"/>
            <w:vAlign w:val="center"/>
          </w:tcPr>
          <w:p w14:paraId="685EF326" w14:textId="77777777" w:rsidR="002E474C" w:rsidRDefault="00000000">
            <w:pPr>
              <w:pStyle w:val="w3"/>
            </w:pPr>
            <w:r>
              <w:t>含水层厚度（</w:t>
            </w:r>
            <w:r>
              <w:t>m</w:t>
            </w:r>
            <w:r>
              <w:t>）</w:t>
            </w:r>
          </w:p>
        </w:tc>
        <w:tc>
          <w:tcPr>
            <w:tcW w:w="947" w:type="dxa"/>
            <w:vAlign w:val="center"/>
          </w:tcPr>
          <w:p w14:paraId="1DA2ED8C" w14:textId="77777777" w:rsidR="002E474C" w:rsidRDefault="00000000">
            <w:pPr>
              <w:pStyle w:val="w3"/>
            </w:pPr>
            <w:r>
              <w:t>涌水量（</w:t>
            </w:r>
            <w:r>
              <w:t>m3/h</w:t>
            </w:r>
            <w:r>
              <w:t>）</w:t>
            </w:r>
          </w:p>
        </w:tc>
        <w:tc>
          <w:tcPr>
            <w:tcW w:w="1010" w:type="dxa"/>
            <w:vAlign w:val="center"/>
          </w:tcPr>
          <w:p w14:paraId="0E7FC730" w14:textId="77777777" w:rsidR="002E474C" w:rsidRDefault="00000000">
            <w:pPr>
              <w:pStyle w:val="w3"/>
            </w:pPr>
            <w:r>
              <w:t>单位涌水量（</w:t>
            </w:r>
            <w:r>
              <w:t>L/</w:t>
            </w:r>
            <w:proofErr w:type="spellStart"/>
            <w:r>
              <w:t>s•m</w:t>
            </w:r>
            <w:proofErr w:type="spellEnd"/>
            <w:r>
              <w:t>）</w:t>
            </w:r>
          </w:p>
        </w:tc>
        <w:tc>
          <w:tcPr>
            <w:tcW w:w="942" w:type="dxa"/>
            <w:vAlign w:val="center"/>
          </w:tcPr>
          <w:p w14:paraId="5709402C" w14:textId="77777777" w:rsidR="002E474C" w:rsidRDefault="00000000">
            <w:pPr>
              <w:pStyle w:val="w3"/>
            </w:pPr>
            <w:r>
              <w:t>渗透系数（</w:t>
            </w:r>
            <w:r>
              <w:t>m/d</w:t>
            </w:r>
            <w:r>
              <w:t>）</w:t>
            </w:r>
          </w:p>
        </w:tc>
        <w:tc>
          <w:tcPr>
            <w:tcW w:w="934" w:type="dxa"/>
            <w:vAlign w:val="center"/>
          </w:tcPr>
          <w:p w14:paraId="18EFB99E" w14:textId="77777777" w:rsidR="002E474C" w:rsidRDefault="00000000">
            <w:pPr>
              <w:pStyle w:val="w3"/>
            </w:pPr>
            <w:r>
              <w:t>影响半径（</w:t>
            </w:r>
            <w:r>
              <w:t>m</w:t>
            </w:r>
            <w:r>
              <w:t>）</w:t>
            </w:r>
          </w:p>
        </w:tc>
      </w:tr>
      <w:tr w:rsidR="002E474C" w14:paraId="59EE08D7" w14:textId="77777777">
        <w:trPr>
          <w:trHeight w:val="284"/>
          <w:jc w:val="center"/>
        </w:trPr>
        <w:tc>
          <w:tcPr>
            <w:tcW w:w="935" w:type="dxa"/>
            <w:vAlign w:val="center"/>
          </w:tcPr>
          <w:p w14:paraId="7857F72B" w14:textId="77777777" w:rsidR="002E474C" w:rsidRDefault="00000000">
            <w:pPr>
              <w:pStyle w:val="w3"/>
            </w:pPr>
            <w:r>
              <w:t>156</w:t>
            </w:r>
          </w:p>
        </w:tc>
        <w:tc>
          <w:tcPr>
            <w:tcW w:w="935" w:type="dxa"/>
            <w:vAlign w:val="center"/>
          </w:tcPr>
          <w:p w14:paraId="61B221CF" w14:textId="77777777" w:rsidR="002E474C" w:rsidRDefault="00000000">
            <w:pPr>
              <w:pStyle w:val="w3"/>
            </w:pPr>
            <w:r>
              <w:t>139</w:t>
            </w:r>
          </w:p>
        </w:tc>
        <w:tc>
          <w:tcPr>
            <w:tcW w:w="934" w:type="dxa"/>
            <w:vAlign w:val="center"/>
          </w:tcPr>
          <w:p w14:paraId="09C7DF57" w14:textId="77777777" w:rsidR="002E474C" w:rsidRDefault="00000000">
            <w:pPr>
              <w:pStyle w:val="w3"/>
            </w:pPr>
            <w:r>
              <w:t>143.3</w:t>
            </w:r>
          </w:p>
        </w:tc>
        <w:tc>
          <w:tcPr>
            <w:tcW w:w="934" w:type="dxa"/>
            <w:vAlign w:val="center"/>
          </w:tcPr>
          <w:p w14:paraId="53CFB79D" w14:textId="77777777" w:rsidR="002E474C" w:rsidRDefault="00000000">
            <w:pPr>
              <w:pStyle w:val="w3"/>
            </w:pPr>
            <w:r>
              <w:t>5.3</w:t>
            </w:r>
          </w:p>
        </w:tc>
        <w:tc>
          <w:tcPr>
            <w:tcW w:w="934" w:type="dxa"/>
            <w:vAlign w:val="center"/>
          </w:tcPr>
          <w:p w14:paraId="62C3E5EA" w14:textId="77777777" w:rsidR="002E474C" w:rsidRDefault="00000000">
            <w:pPr>
              <w:pStyle w:val="w3"/>
            </w:pPr>
            <w:r>
              <w:t>17</w:t>
            </w:r>
          </w:p>
        </w:tc>
        <w:tc>
          <w:tcPr>
            <w:tcW w:w="947" w:type="dxa"/>
            <w:vAlign w:val="center"/>
          </w:tcPr>
          <w:p w14:paraId="105820B8" w14:textId="77777777" w:rsidR="002E474C" w:rsidRDefault="00000000">
            <w:pPr>
              <w:pStyle w:val="w3"/>
            </w:pPr>
            <w:r>
              <w:t>151</w:t>
            </w:r>
          </w:p>
        </w:tc>
        <w:tc>
          <w:tcPr>
            <w:tcW w:w="1010" w:type="dxa"/>
            <w:vAlign w:val="center"/>
          </w:tcPr>
          <w:p w14:paraId="1FEBFD1A" w14:textId="77777777" w:rsidR="002E474C" w:rsidRDefault="00000000">
            <w:pPr>
              <w:pStyle w:val="w3"/>
            </w:pPr>
            <w:r>
              <w:t>7.91</w:t>
            </w:r>
          </w:p>
        </w:tc>
        <w:tc>
          <w:tcPr>
            <w:tcW w:w="942" w:type="dxa"/>
            <w:vAlign w:val="center"/>
          </w:tcPr>
          <w:p w14:paraId="3B598225" w14:textId="77777777" w:rsidR="002E474C" w:rsidRDefault="00000000">
            <w:pPr>
              <w:pStyle w:val="w3"/>
            </w:pPr>
            <w:r>
              <w:t>41.53</w:t>
            </w:r>
          </w:p>
        </w:tc>
        <w:tc>
          <w:tcPr>
            <w:tcW w:w="934" w:type="dxa"/>
            <w:vAlign w:val="center"/>
          </w:tcPr>
          <w:p w14:paraId="73E2AC04" w14:textId="77777777" w:rsidR="002E474C" w:rsidRDefault="00000000">
            <w:pPr>
              <w:pStyle w:val="w3"/>
            </w:pPr>
            <w:r>
              <w:t>175.48</w:t>
            </w:r>
          </w:p>
        </w:tc>
      </w:tr>
    </w:tbl>
    <w:p w14:paraId="1BD615D2" w14:textId="77777777" w:rsidR="002E474C" w:rsidRDefault="002E474C">
      <w:pPr>
        <w:pStyle w:val="w3"/>
      </w:pPr>
    </w:p>
    <w:p w14:paraId="7F0FDA79" w14:textId="77777777" w:rsidR="002E474C" w:rsidRDefault="00000000">
      <w:pPr>
        <w:pStyle w:val="A-z"/>
        <w:rPr>
          <w:color w:val="auto"/>
        </w:rPr>
      </w:pPr>
      <w:r>
        <w:rPr>
          <w:color w:val="auto"/>
        </w:rPr>
        <w:t>（</w:t>
      </w:r>
      <w:r>
        <w:rPr>
          <w:color w:val="auto"/>
        </w:rPr>
        <w:t>2</w:t>
      </w:r>
      <w:r>
        <w:rPr>
          <w:color w:val="auto"/>
        </w:rPr>
        <w:t>）渗水试验</w:t>
      </w:r>
    </w:p>
    <w:p w14:paraId="1E3D5536" w14:textId="77777777" w:rsidR="002E474C" w:rsidRDefault="00000000">
      <w:pPr>
        <w:pStyle w:val="A-z"/>
        <w:rPr>
          <w:color w:val="auto"/>
        </w:rPr>
      </w:pPr>
      <w:r>
        <w:rPr>
          <w:color w:val="auto"/>
        </w:rPr>
        <w:t>针对评价区包气带厚度大的特点，为了了解包气带的地层岩性、结构和渗透性能，为地下水影响评价提供必要的数据支持，在厂区内选取了不同位置和深度的</w:t>
      </w:r>
      <w:r>
        <w:rPr>
          <w:color w:val="auto"/>
        </w:rPr>
        <w:t>3</w:t>
      </w:r>
      <w:r>
        <w:rPr>
          <w:color w:val="auto"/>
        </w:rPr>
        <w:t>个点进行渗水试验，采用试坑双环注水试验测定土层渗透系数。</w:t>
      </w:r>
    </w:p>
    <w:p w14:paraId="31FAB8D5" w14:textId="77777777" w:rsidR="002E474C" w:rsidRDefault="00000000">
      <w:pPr>
        <w:pStyle w:val="A-z"/>
        <w:rPr>
          <w:color w:val="auto"/>
        </w:rPr>
      </w:pPr>
      <w:r>
        <w:rPr>
          <w:color w:val="auto"/>
        </w:rPr>
        <w:t>根据双环渗水试验利用式来计算土层的渗透系数。渗水试验计算结果，见表</w:t>
      </w:r>
      <w:r>
        <w:rPr>
          <w:color w:val="auto"/>
        </w:rPr>
        <w:t>5.3-2</w:t>
      </w:r>
      <w:r>
        <w:rPr>
          <w:color w:val="auto"/>
        </w:rPr>
        <w:t>。</w:t>
      </w:r>
    </w:p>
    <w:p w14:paraId="7A919067" w14:textId="77777777" w:rsidR="002E474C" w:rsidRDefault="00000000">
      <w:pPr>
        <w:pStyle w:val="A--"/>
        <w:rPr>
          <w:color w:val="auto"/>
        </w:rPr>
      </w:pPr>
      <w:r>
        <w:rPr>
          <w:color w:val="auto"/>
        </w:rPr>
        <w:t>表</w:t>
      </w:r>
      <w:r>
        <w:rPr>
          <w:color w:val="auto"/>
        </w:rPr>
        <w:t xml:space="preserve">5.3-2    </w:t>
      </w:r>
      <w:r>
        <w:rPr>
          <w:color w:val="auto"/>
        </w:rPr>
        <w:t>双环渗水试验计算结果表</w:t>
      </w:r>
    </w:p>
    <w:tbl>
      <w:tblPr>
        <w:tblStyle w:val="affff9"/>
        <w:tblW w:w="5000" w:type="pct"/>
        <w:jc w:val="center"/>
        <w:tblLook w:val="04A0" w:firstRow="1" w:lastRow="0" w:firstColumn="1" w:lastColumn="0" w:noHBand="0" w:noVBand="1"/>
      </w:tblPr>
      <w:tblGrid>
        <w:gridCol w:w="591"/>
        <w:gridCol w:w="1414"/>
        <w:gridCol w:w="858"/>
        <w:gridCol w:w="690"/>
        <w:gridCol w:w="830"/>
        <w:gridCol w:w="689"/>
        <w:gridCol w:w="833"/>
        <w:gridCol w:w="823"/>
        <w:gridCol w:w="767"/>
        <w:gridCol w:w="801"/>
      </w:tblGrid>
      <w:tr w:rsidR="002E474C" w14:paraId="50150930" w14:textId="77777777">
        <w:trPr>
          <w:trHeight w:val="284"/>
          <w:jc w:val="center"/>
        </w:trPr>
        <w:tc>
          <w:tcPr>
            <w:tcW w:w="357" w:type="pct"/>
            <w:vMerge w:val="restart"/>
            <w:vAlign w:val="center"/>
          </w:tcPr>
          <w:p w14:paraId="3D5DB521" w14:textId="77777777" w:rsidR="002E474C" w:rsidRDefault="00000000">
            <w:pPr>
              <w:pStyle w:val="A-"/>
            </w:pPr>
            <w:r>
              <w:t>编号</w:t>
            </w:r>
          </w:p>
        </w:tc>
        <w:tc>
          <w:tcPr>
            <w:tcW w:w="852" w:type="pct"/>
            <w:vMerge w:val="restart"/>
            <w:vAlign w:val="center"/>
          </w:tcPr>
          <w:p w14:paraId="4EFA9A9D" w14:textId="77777777" w:rsidR="002E474C" w:rsidRDefault="00000000">
            <w:pPr>
              <w:pStyle w:val="A-"/>
            </w:pPr>
            <w:r>
              <w:t>位置</w:t>
            </w:r>
          </w:p>
        </w:tc>
        <w:tc>
          <w:tcPr>
            <w:tcW w:w="517" w:type="pct"/>
            <w:vAlign w:val="center"/>
          </w:tcPr>
          <w:p w14:paraId="7F0A5AE3" w14:textId="77777777" w:rsidR="002E474C" w:rsidRDefault="00000000">
            <w:pPr>
              <w:pStyle w:val="A-"/>
            </w:pPr>
            <w:r>
              <w:t>注入</w:t>
            </w:r>
          </w:p>
          <w:p w14:paraId="4B4DBF35" w14:textId="77777777" w:rsidR="002E474C" w:rsidRDefault="00000000">
            <w:pPr>
              <w:pStyle w:val="A-"/>
            </w:pPr>
            <w:r>
              <w:t>流量</w:t>
            </w:r>
          </w:p>
        </w:tc>
        <w:tc>
          <w:tcPr>
            <w:tcW w:w="916" w:type="pct"/>
            <w:gridSpan w:val="2"/>
            <w:vAlign w:val="center"/>
          </w:tcPr>
          <w:p w14:paraId="00AD4121" w14:textId="77777777" w:rsidR="002E474C" w:rsidRDefault="00000000">
            <w:pPr>
              <w:pStyle w:val="A-"/>
            </w:pPr>
            <w:r>
              <w:t>内环</w:t>
            </w:r>
          </w:p>
        </w:tc>
        <w:tc>
          <w:tcPr>
            <w:tcW w:w="415" w:type="pct"/>
            <w:vAlign w:val="center"/>
          </w:tcPr>
          <w:p w14:paraId="11A83F8C" w14:textId="77777777" w:rsidR="002E474C" w:rsidRDefault="00000000">
            <w:pPr>
              <w:pStyle w:val="A-"/>
            </w:pPr>
            <w:r>
              <w:t>毛细</w:t>
            </w:r>
          </w:p>
          <w:p w14:paraId="7E9A85F2" w14:textId="77777777" w:rsidR="002E474C" w:rsidRDefault="00000000">
            <w:pPr>
              <w:pStyle w:val="A-"/>
            </w:pPr>
            <w:r>
              <w:t>上升</w:t>
            </w:r>
          </w:p>
          <w:p w14:paraId="09118114" w14:textId="77777777" w:rsidR="002E474C" w:rsidRDefault="00000000">
            <w:pPr>
              <w:pStyle w:val="A-"/>
            </w:pPr>
            <w:r>
              <w:t>高度</w:t>
            </w:r>
          </w:p>
        </w:tc>
        <w:tc>
          <w:tcPr>
            <w:tcW w:w="502" w:type="pct"/>
            <w:vAlign w:val="center"/>
          </w:tcPr>
          <w:p w14:paraId="7F918433" w14:textId="77777777" w:rsidR="002E474C" w:rsidRDefault="00000000">
            <w:pPr>
              <w:pStyle w:val="A-"/>
            </w:pPr>
            <w:r>
              <w:t>内环</w:t>
            </w:r>
          </w:p>
          <w:p w14:paraId="0C89919D" w14:textId="77777777" w:rsidR="002E474C" w:rsidRDefault="00000000">
            <w:pPr>
              <w:pStyle w:val="A-"/>
            </w:pPr>
            <w:r>
              <w:t>试验</w:t>
            </w:r>
          </w:p>
          <w:p w14:paraId="14A3FBE5" w14:textId="77777777" w:rsidR="002E474C" w:rsidRDefault="00000000">
            <w:pPr>
              <w:pStyle w:val="A-"/>
            </w:pPr>
            <w:r>
              <w:t>水头</w:t>
            </w:r>
          </w:p>
        </w:tc>
        <w:tc>
          <w:tcPr>
            <w:tcW w:w="496" w:type="pct"/>
            <w:vAlign w:val="center"/>
          </w:tcPr>
          <w:p w14:paraId="72033B15" w14:textId="77777777" w:rsidR="002E474C" w:rsidRDefault="00000000">
            <w:pPr>
              <w:pStyle w:val="A-"/>
            </w:pPr>
            <w:r>
              <w:t>入渗</w:t>
            </w:r>
          </w:p>
          <w:p w14:paraId="00FE8BFE" w14:textId="77777777" w:rsidR="002E474C" w:rsidRDefault="00000000">
            <w:pPr>
              <w:pStyle w:val="A-"/>
            </w:pPr>
            <w:r>
              <w:t>深度</w:t>
            </w:r>
          </w:p>
        </w:tc>
        <w:tc>
          <w:tcPr>
            <w:tcW w:w="462" w:type="pct"/>
            <w:vAlign w:val="center"/>
          </w:tcPr>
          <w:p w14:paraId="404D5063" w14:textId="77777777" w:rsidR="002E474C" w:rsidRDefault="00000000">
            <w:pPr>
              <w:pStyle w:val="A-"/>
            </w:pPr>
            <w:r>
              <w:t>渗透系数</w:t>
            </w:r>
          </w:p>
        </w:tc>
        <w:tc>
          <w:tcPr>
            <w:tcW w:w="483" w:type="pct"/>
            <w:vAlign w:val="center"/>
          </w:tcPr>
          <w:p w14:paraId="7111B9E2" w14:textId="77777777" w:rsidR="002E474C" w:rsidRDefault="00000000">
            <w:pPr>
              <w:pStyle w:val="A-"/>
            </w:pPr>
            <w:r>
              <w:t>平均值</w:t>
            </w:r>
          </w:p>
        </w:tc>
      </w:tr>
      <w:tr w:rsidR="002E474C" w14:paraId="5924E5CB" w14:textId="77777777">
        <w:trPr>
          <w:trHeight w:val="284"/>
          <w:jc w:val="center"/>
        </w:trPr>
        <w:tc>
          <w:tcPr>
            <w:tcW w:w="357" w:type="pct"/>
            <w:vMerge/>
            <w:vAlign w:val="center"/>
          </w:tcPr>
          <w:p w14:paraId="520E5A77" w14:textId="77777777" w:rsidR="002E474C" w:rsidRDefault="002E474C">
            <w:pPr>
              <w:pStyle w:val="A-"/>
            </w:pPr>
          </w:p>
        </w:tc>
        <w:tc>
          <w:tcPr>
            <w:tcW w:w="852" w:type="pct"/>
            <w:vMerge/>
            <w:vAlign w:val="center"/>
          </w:tcPr>
          <w:p w14:paraId="0BB173E1" w14:textId="77777777" w:rsidR="002E474C" w:rsidRDefault="002E474C">
            <w:pPr>
              <w:pStyle w:val="A-"/>
            </w:pPr>
          </w:p>
        </w:tc>
        <w:tc>
          <w:tcPr>
            <w:tcW w:w="517" w:type="pct"/>
            <w:vAlign w:val="center"/>
          </w:tcPr>
          <w:p w14:paraId="31B740C0" w14:textId="77777777" w:rsidR="002E474C" w:rsidRDefault="00000000">
            <w:pPr>
              <w:pStyle w:val="A-"/>
            </w:pPr>
            <w:r>
              <w:t>L/min</w:t>
            </w:r>
          </w:p>
        </w:tc>
        <w:tc>
          <w:tcPr>
            <w:tcW w:w="416" w:type="pct"/>
            <w:vAlign w:val="center"/>
          </w:tcPr>
          <w:p w14:paraId="5E3BE090" w14:textId="77777777" w:rsidR="002E474C" w:rsidRDefault="00000000">
            <w:pPr>
              <w:pStyle w:val="A-"/>
            </w:pPr>
            <w:r>
              <w:t>直径</w:t>
            </w:r>
            <w:r>
              <w:t>cm</w:t>
            </w:r>
          </w:p>
        </w:tc>
        <w:tc>
          <w:tcPr>
            <w:tcW w:w="500" w:type="pct"/>
            <w:vAlign w:val="center"/>
          </w:tcPr>
          <w:p w14:paraId="3A22D3D9" w14:textId="77777777" w:rsidR="002E474C" w:rsidRDefault="00000000">
            <w:pPr>
              <w:pStyle w:val="A-"/>
            </w:pPr>
            <w:r>
              <w:t>面积</w:t>
            </w:r>
            <w:r>
              <w:t>cm2</w:t>
            </w:r>
          </w:p>
        </w:tc>
        <w:tc>
          <w:tcPr>
            <w:tcW w:w="415" w:type="pct"/>
            <w:vAlign w:val="center"/>
          </w:tcPr>
          <w:p w14:paraId="6525F602" w14:textId="77777777" w:rsidR="002E474C" w:rsidRDefault="00000000">
            <w:pPr>
              <w:pStyle w:val="A-"/>
            </w:pPr>
            <w:r>
              <w:t>cm</w:t>
            </w:r>
          </w:p>
        </w:tc>
        <w:tc>
          <w:tcPr>
            <w:tcW w:w="502" w:type="pct"/>
            <w:vAlign w:val="center"/>
          </w:tcPr>
          <w:p w14:paraId="7C5BA42F" w14:textId="77777777" w:rsidR="002E474C" w:rsidRDefault="00000000">
            <w:pPr>
              <w:pStyle w:val="A-"/>
            </w:pPr>
            <w:r>
              <w:t>cm</w:t>
            </w:r>
          </w:p>
        </w:tc>
        <w:tc>
          <w:tcPr>
            <w:tcW w:w="496" w:type="pct"/>
            <w:vAlign w:val="center"/>
          </w:tcPr>
          <w:p w14:paraId="62B689C5" w14:textId="77777777" w:rsidR="002E474C" w:rsidRDefault="00000000">
            <w:pPr>
              <w:pStyle w:val="A-"/>
            </w:pPr>
            <w:r>
              <w:t>cm</w:t>
            </w:r>
          </w:p>
        </w:tc>
        <w:tc>
          <w:tcPr>
            <w:tcW w:w="462" w:type="pct"/>
            <w:vAlign w:val="center"/>
          </w:tcPr>
          <w:p w14:paraId="0FD03D96" w14:textId="77777777" w:rsidR="002E474C" w:rsidRDefault="00000000">
            <w:pPr>
              <w:pStyle w:val="A-"/>
            </w:pPr>
            <w:r>
              <w:t>cm/s</w:t>
            </w:r>
          </w:p>
        </w:tc>
        <w:tc>
          <w:tcPr>
            <w:tcW w:w="483" w:type="pct"/>
            <w:vAlign w:val="center"/>
          </w:tcPr>
          <w:p w14:paraId="42D75000" w14:textId="77777777" w:rsidR="002E474C" w:rsidRDefault="00000000">
            <w:pPr>
              <w:pStyle w:val="A-"/>
            </w:pPr>
            <w:r>
              <w:t>cm/s</w:t>
            </w:r>
          </w:p>
        </w:tc>
      </w:tr>
      <w:tr w:rsidR="002E474C" w14:paraId="6FBF2CD0" w14:textId="77777777">
        <w:trPr>
          <w:trHeight w:val="284"/>
          <w:jc w:val="center"/>
        </w:trPr>
        <w:tc>
          <w:tcPr>
            <w:tcW w:w="357" w:type="pct"/>
            <w:vAlign w:val="center"/>
          </w:tcPr>
          <w:p w14:paraId="779075C2" w14:textId="77777777" w:rsidR="002E474C" w:rsidRDefault="00000000">
            <w:pPr>
              <w:pStyle w:val="A-"/>
            </w:pPr>
            <w:r>
              <w:t>1#</w:t>
            </w:r>
          </w:p>
        </w:tc>
        <w:tc>
          <w:tcPr>
            <w:tcW w:w="852" w:type="pct"/>
            <w:vAlign w:val="center"/>
          </w:tcPr>
          <w:p w14:paraId="7C028B95" w14:textId="77777777" w:rsidR="002E474C" w:rsidRDefault="00000000">
            <w:pPr>
              <w:pStyle w:val="A-"/>
            </w:pPr>
            <w:r>
              <w:t>E</w:t>
            </w:r>
            <w:r>
              <w:t>：</w:t>
            </w:r>
            <w:r>
              <w:t>87°58′08″</w:t>
            </w:r>
          </w:p>
          <w:p w14:paraId="08B1D9EE" w14:textId="77777777" w:rsidR="002E474C" w:rsidRDefault="00000000">
            <w:pPr>
              <w:pStyle w:val="A-"/>
            </w:pPr>
            <w:r>
              <w:t>N</w:t>
            </w:r>
            <w:r>
              <w:t>：</w:t>
            </w:r>
            <w:r>
              <w:t>42°49′02″</w:t>
            </w:r>
          </w:p>
        </w:tc>
        <w:tc>
          <w:tcPr>
            <w:tcW w:w="517" w:type="pct"/>
            <w:vAlign w:val="center"/>
          </w:tcPr>
          <w:p w14:paraId="2A022A3F" w14:textId="77777777" w:rsidR="002E474C" w:rsidRDefault="00000000">
            <w:pPr>
              <w:pStyle w:val="A-"/>
            </w:pPr>
            <w:r>
              <w:t>3.25</w:t>
            </w:r>
          </w:p>
        </w:tc>
        <w:tc>
          <w:tcPr>
            <w:tcW w:w="416" w:type="pct"/>
            <w:vAlign w:val="center"/>
          </w:tcPr>
          <w:p w14:paraId="301B81DD" w14:textId="77777777" w:rsidR="002E474C" w:rsidRDefault="00000000">
            <w:pPr>
              <w:pStyle w:val="A-"/>
            </w:pPr>
            <w:r>
              <w:t>35</w:t>
            </w:r>
          </w:p>
        </w:tc>
        <w:tc>
          <w:tcPr>
            <w:tcW w:w="500" w:type="pct"/>
            <w:vAlign w:val="center"/>
          </w:tcPr>
          <w:p w14:paraId="2A51BFFF" w14:textId="77777777" w:rsidR="002E474C" w:rsidRDefault="00000000">
            <w:pPr>
              <w:pStyle w:val="A-"/>
            </w:pPr>
            <w:r>
              <w:t>962</w:t>
            </w:r>
          </w:p>
        </w:tc>
        <w:tc>
          <w:tcPr>
            <w:tcW w:w="415" w:type="pct"/>
            <w:vAlign w:val="center"/>
          </w:tcPr>
          <w:p w14:paraId="1D3F62C5" w14:textId="77777777" w:rsidR="002E474C" w:rsidRDefault="00000000">
            <w:pPr>
              <w:pStyle w:val="A-"/>
            </w:pPr>
            <w:r>
              <w:t>100</w:t>
            </w:r>
          </w:p>
        </w:tc>
        <w:tc>
          <w:tcPr>
            <w:tcW w:w="502" w:type="pct"/>
            <w:vAlign w:val="center"/>
          </w:tcPr>
          <w:p w14:paraId="23BCDDD5" w14:textId="77777777" w:rsidR="002E474C" w:rsidRDefault="00000000">
            <w:pPr>
              <w:pStyle w:val="A-"/>
            </w:pPr>
            <w:r>
              <w:t>10</w:t>
            </w:r>
          </w:p>
        </w:tc>
        <w:tc>
          <w:tcPr>
            <w:tcW w:w="496" w:type="pct"/>
            <w:vAlign w:val="center"/>
          </w:tcPr>
          <w:p w14:paraId="1F970C0C" w14:textId="77777777" w:rsidR="002E474C" w:rsidRDefault="00000000">
            <w:pPr>
              <w:pStyle w:val="A-"/>
            </w:pPr>
            <w:r>
              <w:t>165</w:t>
            </w:r>
          </w:p>
        </w:tc>
        <w:tc>
          <w:tcPr>
            <w:tcW w:w="462" w:type="pct"/>
            <w:vAlign w:val="center"/>
          </w:tcPr>
          <w:p w14:paraId="00B5EFC5" w14:textId="77777777" w:rsidR="002E474C" w:rsidRDefault="00000000">
            <w:pPr>
              <w:pStyle w:val="A-"/>
            </w:pPr>
            <w:r>
              <w:t>0.041</w:t>
            </w:r>
          </w:p>
        </w:tc>
        <w:tc>
          <w:tcPr>
            <w:tcW w:w="483" w:type="pct"/>
            <w:vMerge w:val="restart"/>
            <w:vAlign w:val="center"/>
          </w:tcPr>
          <w:p w14:paraId="5EBC1003" w14:textId="77777777" w:rsidR="002E474C" w:rsidRDefault="00000000">
            <w:pPr>
              <w:pStyle w:val="A-"/>
            </w:pPr>
            <w:r>
              <w:t>0.035</w:t>
            </w:r>
          </w:p>
        </w:tc>
      </w:tr>
      <w:tr w:rsidR="002E474C" w14:paraId="5990CF0C" w14:textId="77777777">
        <w:trPr>
          <w:trHeight w:val="284"/>
          <w:jc w:val="center"/>
        </w:trPr>
        <w:tc>
          <w:tcPr>
            <w:tcW w:w="357" w:type="pct"/>
            <w:vAlign w:val="center"/>
          </w:tcPr>
          <w:p w14:paraId="1427182F" w14:textId="77777777" w:rsidR="002E474C" w:rsidRDefault="00000000">
            <w:pPr>
              <w:pStyle w:val="A-"/>
            </w:pPr>
            <w:r>
              <w:t>2#</w:t>
            </w:r>
          </w:p>
        </w:tc>
        <w:tc>
          <w:tcPr>
            <w:tcW w:w="852" w:type="pct"/>
            <w:vAlign w:val="center"/>
          </w:tcPr>
          <w:p w14:paraId="3AD776DA" w14:textId="77777777" w:rsidR="002E474C" w:rsidRDefault="00000000">
            <w:pPr>
              <w:pStyle w:val="A-"/>
            </w:pPr>
            <w:r>
              <w:t>E</w:t>
            </w:r>
            <w:r>
              <w:t>：</w:t>
            </w:r>
            <w:r>
              <w:t>87°58′07″</w:t>
            </w:r>
          </w:p>
          <w:p w14:paraId="76F75060" w14:textId="77777777" w:rsidR="002E474C" w:rsidRDefault="00000000">
            <w:pPr>
              <w:pStyle w:val="A-"/>
            </w:pPr>
            <w:r>
              <w:t>N</w:t>
            </w:r>
            <w:r>
              <w:t>：</w:t>
            </w:r>
            <w:r>
              <w:t>42°49′09″</w:t>
            </w:r>
          </w:p>
        </w:tc>
        <w:tc>
          <w:tcPr>
            <w:tcW w:w="517" w:type="pct"/>
            <w:vAlign w:val="center"/>
          </w:tcPr>
          <w:p w14:paraId="08D36226" w14:textId="77777777" w:rsidR="002E474C" w:rsidRDefault="00000000">
            <w:pPr>
              <w:pStyle w:val="A-"/>
            </w:pPr>
            <w:r>
              <w:t>2.95</w:t>
            </w:r>
          </w:p>
        </w:tc>
        <w:tc>
          <w:tcPr>
            <w:tcW w:w="416" w:type="pct"/>
            <w:vAlign w:val="center"/>
          </w:tcPr>
          <w:p w14:paraId="3068F53E" w14:textId="77777777" w:rsidR="002E474C" w:rsidRDefault="00000000">
            <w:pPr>
              <w:pStyle w:val="A-"/>
            </w:pPr>
            <w:r>
              <w:t>35</w:t>
            </w:r>
          </w:p>
        </w:tc>
        <w:tc>
          <w:tcPr>
            <w:tcW w:w="500" w:type="pct"/>
            <w:vAlign w:val="center"/>
          </w:tcPr>
          <w:p w14:paraId="45951028" w14:textId="77777777" w:rsidR="002E474C" w:rsidRDefault="00000000">
            <w:pPr>
              <w:pStyle w:val="A-"/>
            </w:pPr>
            <w:r>
              <w:t>962</w:t>
            </w:r>
          </w:p>
        </w:tc>
        <w:tc>
          <w:tcPr>
            <w:tcW w:w="415" w:type="pct"/>
            <w:vAlign w:val="center"/>
          </w:tcPr>
          <w:p w14:paraId="0299B70F" w14:textId="77777777" w:rsidR="002E474C" w:rsidRDefault="00000000">
            <w:pPr>
              <w:pStyle w:val="A-"/>
            </w:pPr>
            <w:r>
              <w:t>100</w:t>
            </w:r>
          </w:p>
        </w:tc>
        <w:tc>
          <w:tcPr>
            <w:tcW w:w="502" w:type="pct"/>
            <w:vAlign w:val="center"/>
          </w:tcPr>
          <w:p w14:paraId="5E107CD6" w14:textId="77777777" w:rsidR="002E474C" w:rsidRDefault="00000000">
            <w:pPr>
              <w:pStyle w:val="A-"/>
            </w:pPr>
            <w:r>
              <w:t>10</w:t>
            </w:r>
          </w:p>
        </w:tc>
        <w:tc>
          <w:tcPr>
            <w:tcW w:w="496" w:type="pct"/>
            <w:vAlign w:val="center"/>
          </w:tcPr>
          <w:p w14:paraId="3991F509" w14:textId="77777777" w:rsidR="002E474C" w:rsidRDefault="00000000">
            <w:pPr>
              <w:pStyle w:val="A-"/>
            </w:pPr>
            <w:r>
              <w:t>149</w:t>
            </w:r>
          </w:p>
        </w:tc>
        <w:tc>
          <w:tcPr>
            <w:tcW w:w="462" w:type="pct"/>
            <w:vAlign w:val="center"/>
          </w:tcPr>
          <w:p w14:paraId="2F723C34" w14:textId="77777777" w:rsidR="002E474C" w:rsidRDefault="00000000">
            <w:pPr>
              <w:pStyle w:val="A-"/>
            </w:pPr>
            <w:r>
              <w:t>0.036</w:t>
            </w:r>
          </w:p>
        </w:tc>
        <w:tc>
          <w:tcPr>
            <w:tcW w:w="483" w:type="pct"/>
            <w:vMerge/>
            <w:vAlign w:val="center"/>
          </w:tcPr>
          <w:p w14:paraId="4C7C59E0" w14:textId="77777777" w:rsidR="002E474C" w:rsidRDefault="002E474C">
            <w:pPr>
              <w:pStyle w:val="A-"/>
            </w:pPr>
          </w:p>
        </w:tc>
      </w:tr>
      <w:tr w:rsidR="002E474C" w14:paraId="49225BDF" w14:textId="77777777">
        <w:trPr>
          <w:trHeight w:val="284"/>
          <w:jc w:val="center"/>
        </w:trPr>
        <w:tc>
          <w:tcPr>
            <w:tcW w:w="357" w:type="pct"/>
            <w:vAlign w:val="center"/>
          </w:tcPr>
          <w:p w14:paraId="2363F60C" w14:textId="77777777" w:rsidR="002E474C" w:rsidRDefault="00000000">
            <w:pPr>
              <w:pStyle w:val="A-"/>
            </w:pPr>
            <w:r>
              <w:t>3#</w:t>
            </w:r>
          </w:p>
        </w:tc>
        <w:tc>
          <w:tcPr>
            <w:tcW w:w="852" w:type="pct"/>
            <w:vAlign w:val="center"/>
          </w:tcPr>
          <w:p w14:paraId="4CE2F969" w14:textId="77777777" w:rsidR="002E474C" w:rsidRDefault="00000000">
            <w:pPr>
              <w:pStyle w:val="A-"/>
            </w:pPr>
            <w:r>
              <w:t>E</w:t>
            </w:r>
            <w:r>
              <w:t>：</w:t>
            </w:r>
            <w:r>
              <w:t>87°58′05″</w:t>
            </w:r>
          </w:p>
          <w:p w14:paraId="3A86FCD3" w14:textId="77777777" w:rsidR="002E474C" w:rsidRDefault="00000000">
            <w:pPr>
              <w:pStyle w:val="A-"/>
            </w:pPr>
            <w:r>
              <w:t>N</w:t>
            </w:r>
            <w:r>
              <w:t>：</w:t>
            </w:r>
            <w:r>
              <w:lastRenderedPageBreak/>
              <w:t>42°48′53″</w:t>
            </w:r>
          </w:p>
        </w:tc>
        <w:tc>
          <w:tcPr>
            <w:tcW w:w="517" w:type="pct"/>
            <w:vAlign w:val="center"/>
          </w:tcPr>
          <w:p w14:paraId="679DEFA9" w14:textId="77777777" w:rsidR="002E474C" w:rsidRDefault="00000000">
            <w:pPr>
              <w:pStyle w:val="A-"/>
            </w:pPr>
            <w:r>
              <w:lastRenderedPageBreak/>
              <w:t>2.37</w:t>
            </w:r>
          </w:p>
        </w:tc>
        <w:tc>
          <w:tcPr>
            <w:tcW w:w="416" w:type="pct"/>
            <w:vAlign w:val="center"/>
          </w:tcPr>
          <w:p w14:paraId="31000B66" w14:textId="77777777" w:rsidR="002E474C" w:rsidRDefault="00000000">
            <w:pPr>
              <w:pStyle w:val="A-"/>
            </w:pPr>
            <w:r>
              <w:t>35</w:t>
            </w:r>
          </w:p>
        </w:tc>
        <w:tc>
          <w:tcPr>
            <w:tcW w:w="500" w:type="pct"/>
            <w:vAlign w:val="center"/>
          </w:tcPr>
          <w:p w14:paraId="69C21C32" w14:textId="77777777" w:rsidR="002E474C" w:rsidRDefault="00000000">
            <w:pPr>
              <w:pStyle w:val="A-"/>
            </w:pPr>
            <w:r>
              <w:t>962</w:t>
            </w:r>
          </w:p>
        </w:tc>
        <w:tc>
          <w:tcPr>
            <w:tcW w:w="415" w:type="pct"/>
            <w:vAlign w:val="center"/>
          </w:tcPr>
          <w:p w14:paraId="56C0A9B1" w14:textId="77777777" w:rsidR="002E474C" w:rsidRDefault="00000000">
            <w:pPr>
              <w:pStyle w:val="A-"/>
            </w:pPr>
            <w:r>
              <w:t>100</w:t>
            </w:r>
          </w:p>
        </w:tc>
        <w:tc>
          <w:tcPr>
            <w:tcW w:w="502" w:type="pct"/>
            <w:vAlign w:val="center"/>
          </w:tcPr>
          <w:p w14:paraId="383ACAFC" w14:textId="77777777" w:rsidR="002E474C" w:rsidRDefault="00000000">
            <w:pPr>
              <w:pStyle w:val="A-"/>
            </w:pPr>
            <w:r>
              <w:t>10</w:t>
            </w:r>
          </w:p>
        </w:tc>
        <w:tc>
          <w:tcPr>
            <w:tcW w:w="496" w:type="pct"/>
            <w:vAlign w:val="center"/>
          </w:tcPr>
          <w:p w14:paraId="4289FDAA" w14:textId="77777777" w:rsidR="002E474C" w:rsidRDefault="00000000">
            <w:pPr>
              <w:pStyle w:val="A-"/>
            </w:pPr>
            <w:r>
              <w:t>138</w:t>
            </w:r>
          </w:p>
        </w:tc>
        <w:tc>
          <w:tcPr>
            <w:tcW w:w="462" w:type="pct"/>
            <w:vAlign w:val="center"/>
          </w:tcPr>
          <w:p w14:paraId="42D52D9D" w14:textId="77777777" w:rsidR="002E474C" w:rsidRDefault="00000000">
            <w:pPr>
              <w:pStyle w:val="A-"/>
            </w:pPr>
            <w:r>
              <w:t>0.029</w:t>
            </w:r>
          </w:p>
        </w:tc>
        <w:tc>
          <w:tcPr>
            <w:tcW w:w="483" w:type="pct"/>
            <w:vMerge/>
            <w:vAlign w:val="center"/>
          </w:tcPr>
          <w:p w14:paraId="0743A51F" w14:textId="77777777" w:rsidR="002E474C" w:rsidRDefault="002E474C">
            <w:pPr>
              <w:pStyle w:val="A-"/>
            </w:pPr>
          </w:p>
        </w:tc>
      </w:tr>
    </w:tbl>
    <w:p w14:paraId="462B4A09" w14:textId="77777777" w:rsidR="002E474C" w:rsidRDefault="002E474C">
      <w:pPr>
        <w:pStyle w:val="w3"/>
      </w:pPr>
    </w:p>
    <w:p w14:paraId="05C414D0" w14:textId="77777777" w:rsidR="002E474C" w:rsidRDefault="00000000">
      <w:pPr>
        <w:pStyle w:val="A-z"/>
        <w:rPr>
          <w:color w:val="auto"/>
        </w:rPr>
      </w:pPr>
      <w:r>
        <w:rPr>
          <w:color w:val="auto"/>
        </w:rPr>
        <w:t>参照《水利水电工程地质勘察规范》（</w:t>
      </w:r>
      <w:r>
        <w:rPr>
          <w:color w:val="auto"/>
        </w:rPr>
        <w:t>GB50487-2008</w:t>
      </w:r>
      <w:r>
        <w:rPr>
          <w:color w:val="auto"/>
        </w:rPr>
        <w:t>）岩土体的渗透性分级，厂区地表平均渗透系数为</w:t>
      </w:r>
      <w:r>
        <w:rPr>
          <w:color w:val="auto"/>
        </w:rPr>
        <w:t>0.035cm/s</w:t>
      </w:r>
      <w:r>
        <w:rPr>
          <w:color w:val="auto"/>
        </w:rPr>
        <w:t>，评价区包气带渗透性能为强透水。</w:t>
      </w:r>
    </w:p>
    <w:p w14:paraId="4E5F255C" w14:textId="77777777" w:rsidR="002E474C" w:rsidRDefault="00000000">
      <w:pPr>
        <w:pStyle w:val="41"/>
        <w:rPr>
          <w:color w:val="auto"/>
        </w:rPr>
      </w:pPr>
      <w:r>
        <w:rPr>
          <w:color w:val="auto"/>
        </w:rPr>
        <w:t>地层岩性</w:t>
      </w:r>
    </w:p>
    <w:p w14:paraId="3329244C" w14:textId="77777777" w:rsidR="002E474C" w:rsidRDefault="00000000">
      <w:pPr>
        <w:pStyle w:val="A-z"/>
        <w:rPr>
          <w:color w:val="auto"/>
        </w:rPr>
      </w:pPr>
      <w:r>
        <w:rPr>
          <w:color w:val="auto"/>
        </w:rPr>
        <w:t>根据项目区附近的物探结果：</w:t>
      </w:r>
    </w:p>
    <w:p w14:paraId="4C624456" w14:textId="77777777" w:rsidR="002E474C" w:rsidRDefault="00000000">
      <w:pPr>
        <w:pStyle w:val="A-z"/>
        <w:rPr>
          <w:color w:val="auto"/>
        </w:rPr>
      </w:pPr>
      <w:r>
        <w:rPr>
          <w:color w:val="auto"/>
        </w:rPr>
        <w:t>B</w:t>
      </w:r>
      <w:r>
        <w:rPr>
          <w:color w:val="auto"/>
        </w:rPr>
        <w:t>剖面由北向南方向布设，点距约</w:t>
      </w:r>
      <w:r>
        <w:rPr>
          <w:color w:val="auto"/>
        </w:rPr>
        <w:t>500m</w:t>
      </w:r>
      <w:r>
        <w:rPr>
          <w:color w:val="auto"/>
        </w:rPr>
        <w:t>，剖面总长</w:t>
      </w:r>
      <w:r>
        <w:rPr>
          <w:color w:val="auto"/>
        </w:rPr>
        <w:t>12.135km</w:t>
      </w:r>
      <w:r>
        <w:rPr>
          <w:color w:val="auto"/>
        </w:rPr>
        <w:t>，测点数</w:t>
      </w:r>
      <w:r>
        <w:rPr>
          <w:color w:val="auto"/>
        </w:rPr>
        <w:t>24</w:t>
      </w:r>
      <w:r>
        <w:rPr>
          <w:color w:val="auto"/>
        </w:rPr>
        <w:t>点，端点</w:t>
      </w:r>
      <w:r>
        <w:rPr>
          <w:color w:val="auto"/>
        </w:rPr>
        <w:t>42°48'59.15"</w:t>
      </w:r>
      <w:r>
        <w:rPr>
          <w:color w:val="auto"/>
        </w:rPr>
        <w:t>、</w:t>
      </w:r>
      <w:r>
        <w:rPr>
          <w:color w:val="auto"/>
        </w:rPr>
        <w:t>87°58'16.85"</w:t>
      </w:r>
      <w:r>
        <w:rPr>
          <w:color w:val="auto"/>
        </w:rPr>
        <w:t>，终点</w:t>
      </w:r>
      <w:r>
        <w:rPr>
          <w:color w:val="auto"/>
        </w:rPr>
        <w:t>42°42'38.38"</w:t>
      </w:r>
      <w:r>
        <w:rPr>
          <w:color w:val="auto"/>
        </w:rPr>
        <w:t>、</w:t>
      </w:r>
      <w:r>
        <w:rPr>
          <w:color w:val="auto"/>
        </w:rPr>
        <w:t>87°56'07.47"</w:t>
      </w:r>
      <w:r>
        <w:rPr>
          <w:color w:val="auto"/>
        </w:rPr>
        <w:t>。根据</w:t>
      </w:r>
      <w:r>
        <w:rPr>
          <w:color w:val="auto"/>
        </w:rPr>
        <w:t>B</w:t>
      </w:r>
      <w:r>
        <w:rPr>
          <w:color w:val="auto"/>
        </w:rPr>
        <w:t>剖面物探成果：</w:t>
      </w:r>
      <w:r>
        <w:rPr>
          <w:color w:val="auto"/>
        </w:rPr>
        <w:t xml:space="preserve">0~150m </w:t>
      </w:r>
      <w:r>
        <w:rPr>
          <w:color w:val="auto"/>
        </w:rPr>
        <w:t>深度内地层为不含水卵砾石层，</w:t>
      </w:r>
      <w:r>
        <w:rPr>
          <w:color w:val="auto"/>
        </w:rPr>
        <w:t xml:space="preserve">150~200m </w:t>
      </w:r>
      <w:r>
        <w:rPr>
          <w:color w:val="auto"/>
        </w:rPr>
        <w:t>深度内地层为含水卵砾石层。第四系厚度达到</w:t>
      </w:r>
      <w:r>
        <w:rPr>
          <w:color w:val="auto"/>
        </w:rPr>
        <w:t>200m</w:t>
      </w:r>
      <w:r>
        <w:rPr>
          <w:color w:val="auto"/>
        </w:rPr>
        <w:t>以上，见图</w:t>
      </w:r>
      <w:r>
        <w:rPr>
          <w:color w:val="auto"/>
        </w:rPr>
        <w:t>5.3-2</w:t>
      </w:r>
      <w:r>
        <w:rPr>
          <w:color w:val="auto"/>
        </w:rPr>
        <w:t>。</w:t>
      </w:r>
    </w:p>
    <w:p w14:paraId="335098C1" w14:textId="77777777" w:rsidR="002E474C" w:rsidRDefault="00000000">
      <w:pPr>
        <w:pStyle w:val="A-z"/>
        <w:rPr>
          <w:color w:val="auto"/>
        </w:rPr>
      </w:pPr>
      <w:r>
        <w:rPr>
          <w:color w:val="auto"/>
        </w:rPr>
        <w:t>项目区地层岩性判定在搜集岩土工程初步勘察报告（新疆岩土工程勘察设计研究院有限公司，</w:t>
      </w:r>
      <w:r>
        <w:rPr>
          <w:color w:val="auto"/>
        </w:rPr>
        <w:t>2017</w:t>
      </w:r>
      <w:r>
        <w:rPr>
          <w:color w:val="auto"/>
        </w:rPr>
        <w:t>年</w:t>
      </w:r>
      <w:r>
        <w:rPr>
          <w:color w:val="auto"/>
        </w:rPr>
        <w:t>7</w:t>
      </w:r>
      <w:r>
        <w:rPr>
          <w:color w:val="auto"/>
        </w:rPr>
        <w:t>月）等相关资料的基础上，于</w:t>
      </w:r>
      <w:r>
        <w:rPr>
          <w:color w:val="auto"/>
        </w:rPr>
        <w:t>2017</w:t>
      </w:r>
      <w:r>
        <w:rPr>
          <w:color w:val="auto"/>
        </w:rPr>
        <w:t>年</w:t>
      </w:r>
      <w:r>
        <w:rPr>
          <w:color w:val="auto"/>
        </w:rPr>
        <w:t>10</w:t>
      </w:r>
      <w:r>
        <w:rPr>
          <w:color w:val="auto"/>
        </w:rPr>
        <w:t>月</w:t>
      </w:r>
      <w:r>
        <w:rPr>
          <w:color w:val="auto"/>
        </w:rPr>
        <w:t>26</w:t>
      </w:r>
      <w:r>
        <w:rPr>
          <w:color w:val="auto"/>
        </w:rPr>
        <w:t>日在项目西侧</w:t>
      </w:r>
      <w:r>
        <w:rPr>
          <w:color w:val="auto"/>
        </w:rPr>
        <w:t>200m</w:t>
      </w:r>
      <w:r>
        <w:rPr>
          <w:color w:val="auto"/>
        </w:rPr>
        <w:t>内进行水文地质钻探，钻孔编号</w:t>
      </w:r>
      <w:r>
        <w:rPr>
          <w:color w:val="auto"/>
        </w:rPr>
        <w:t>ZK1</w:t>
      </w:r>
      <w:r>
        <w:rPr>
          <w:color w:val="auto"/>
        </w:rPr>
        <w:t>（</w:t>
      </w:r>
      <w:r>
        <w:rPr>
          <w:color w:val="auto"/>
        </w:rPr>
        <w:t xml:space="preserve">E87°58′44.66″ </w:t>
      </w:r>
      <w:r>
        <w:rPr>
          <w:color w:val="auto"/>
        </w:rPr>
        <w:t>，</w:t>
      </w:r>
      <w:r>
        <w:rPr>
          <w:color w:val="auto"/>
        </w:rPr>
        <w:t>N42°48′54.44″</w:t>
      </w:r>
      <w:r>
        <w:rPr>
          <w:color w:val="auto"/>
        </w:rPr>
        <w:t>）。钻井处地表高程</w:t>
      </w:r>
      <w:r>
        <w:rPr>
          <w:color w:val="auto"/>
        </w:rPr>
        <w:t>614m</w:t>
      </w:r>
      <w:r>
        <w:rPr>
          <w:color w:val="auto"/>
        </w:rPr>
        <w:t>，井深</w:t>
      </w:r>
      <w:r>
        <w:rPr>
          <w:color w:val="auto"/>
        </w:rPr>
        <w:t>156.0m</w:t>
      </w:r>
      <w:r>
        <w:rPr>
          <w:color w:val="auto"/>
        </w:rPr>
        <w:t>，水位埋深</w:t>
      </w:r>
      <w:r>
        <w:rPr>
          <w:color w:val="auto"/>
        </w:rPr>
        <w:t>139m</w:t>
      </w:r>
      <w:r>
        <w:rPr>
          <w:color w:val="auto"/>
        </w:rPr>
        <w:t>。由于项目厂区第四系沉积层厚度大，颗粒粗，钻井难度大，本次钻探未达基岩。</w:t>
      </w:r>
    </w:p>
    <w:p w14:paraId="3600E7A0" w14:textId="77777777" w:rsidR="002E474C" w:rsidRDefault="00000000">
      <w:pPr>
        <w:pStyle w:val="A-z"/>
        <w:rPr>
          <w:color w:val="auto"/>
        </w:rPr>
      </w:pPr>
      <w:r>
        <w:rPr>
          <w:color w:val="auto"/>
        </w:rPr>
        <w:t>根据钻探结果，项目厂区地层岩性大致可以分为</w:t>
      </w:r>
      <w:r>
        <w:rPr>
          <w:color w:val="auto"/>
        </w:rPr>
        <w:t>12</w:t>
      </w:r>
      <w:r>
        <w:rPr>
          <w:color w:val="auto"/>
        </w:rPr>
        <w:t>层，从上到下依次为：</w:t>
      </w:r>
    </w:p>
    <w:p w14:paraId="5BC2B1DA" w14:textId="77777777" w:rsidR="002E474C" w:rsidRDefault="00000000">
      <w:pPr>
        <w:pStyle w:val="A-z"/>
        <w:rPr>
          <w:color w:val="auto"/>
        </w:rPr>
      </w:pPr>
      <w:r>
        <w:rPr>
          <w:color w:val="auto"/>
        </w:rPr>
        <w:t>（</w:t>
      </w:r>
      <w:r>
        <w:rPr>
          <w:color w:val="auto"/>
        </w:rPr>
        <w:t>1</w:t>
      </w:r>
      <w:r>
        <w:rPr>
          <w:color w:val="auto"/>
        </w:rPr>
        <w:t>）卵石层：层厚</w:t>
      </w:r>
      <w:r>
        <w:rPr>
          <w:color w:val="auto"/>
        </w:rPr>
        <w:t>8.5m</w:t>
      </w:r>
      <w:r>
        <w:rPr>
          <w:color w:val="auto"/>
        </w:rPr>
        <w:t>，灰色，潮湿程度干燥，结构密实程度为中密</w:t>
      </w:r>
      <w:r>
        <w:rPr>
          <w:color w:val="auto"/>
        </w:rPr>
        <w:t>-</w:t>
      </w:r>
      <w:r>
        <w:rPr>
          <w:color w:val="auto"/>
        </w:rPr>
        <w:t>密实。最大粒径</w:t>
      </w:r>
      <w:r>
        <w:rPr>
          <w:color w:val="auto"/>
        </w:rPr>
        <w:t>15cm</w:t>
      </w:r>
      <w:r>
        <w:rPr>
          <w:color w:val="auto"/>
        </w:rPr>
        <w:t>，粒径</w:t>
      </w:r>
      <w:r>
        <w:rPr>
          <w:color w:val="auto"/>
        </w:rPr>
        <w:t xml:space="preserve">4~10cm </w:t>
      </w:r>
      <w:r>
        <w:rPr>
          <w:color w:val="auto"/>
        </w:rPr>
        <w:t>卵石约占</w:t>
      </w:r>
      <w:r>
        <w:rPr>
          <w:color w:val="auto"/>
        </w:rPr>
        <w:t>60%</w:t>
      </w:r>
      <w:r>
        <w:rPr>
          <w:color w:val="auto"/>
        </w:rPr>
        <w:t>，粒径</w:t>
      </w:r>
      <w:r>
        <w:rPr>
          <w:color w:val="auto"/>
        </w:rPr>
        <w:t xml:space="preserve">10~15cm </w:t>
      </w:r>
      <w:r>
        <w:rPr>
          <w:color w:val="auto"/>
        </w:rPr>
        <w:t>约占</w:t>
      </w:r>
      <w:r>
        <w:rPr>
          <w:color w:val="auto"/>
        </w:rPr>
        <w:t>30%</w:t>
      </w:r>
      <w:r>
        <w:rPr>
          <w:color w:val="auto"/>
        </w:rPr>
        <w:t>，母岩成分以花岗岩、石英、白云岩为主，充填砾砂。</w:t>
      </w:r>
    </w:p>
    <w:p w14:paraId="572DD209" w14:textId="77777777" w:rsidR="002E474C" w:rsidRDefault="00000000">
      <w:pPr>
        <w:pStyle w:val="A-z"/>
        <w:rPr>
          <w:color w:val="auto"/>
        </w:rPr>
      </w:pPr>
      <w:r>
        <w:rPr>
          <w:color w:val="auto"/>
        </w:rPr>
        <w:t>（</w:t>
      </w:r>
      <w:r>
        <w:rPr>
          <w:color w:val="auto"/>
        </w:rPr>
        <w:t>2</w:t>
      </w:r>
      <w:r>
        <w:rPr>
          <w:color w:val="auto"/>
        </w:rPr>
        <w:t>）漂石层：层厚</w:t>
      </w:r>
      <w:r>
        <w:rPr>
          <w:color w:val="auto"/>
        </w:rPr>
        <w:t>2m</w:t>
      </w:r>
      <w:r>
        <w:rPr>
          <w:color w:val="auto"/>
        </w:rPr>
        <w:t>，灰色，潮湿程度稍湿，结构密实程度为密实。漂石最大粒径约</w:t>
      </w:r>
      <w:r>
        <w:rPr>
          <w:color w:val="auto"/>
        </w:rPr>
        <w:t>30cm</w:t>
      </w:r>
      <w:r>
        <w:rPr>
          <w:color w:val="auto"/>
        </w:rPr>
        <w:t>，粒径以</w:t>
      </w:r>
      <w:r>
        <w:rPr>
          <w:color w:val="auto"/>
        </w:rPr>
        <w:t xml:space="preserve">20~25cm </w:t>
      </w:r>
      <w:r>
        <w:rPr>
          <w:color w:val="auto"/>
        </w:rPr>
        <w:t>为主，约占</w:t>
      </w:r>
      <w:r>
        <w:rPr>
          <w:color w:val="auto"/>
        </w:rPr>
        <w:t>50%</w:t>
      </w:r>
      <w:r>
        <w:rPr>
          <w:color w:val="auto"/>
        </w:rPr>
        <w:t>，</w:t>
      </w:r>
      <w:r>
        <w:rPr>
          <w:color w:val="auto"/>
        </w:rPr>
        <w:t xml:space="preserve">25~30cm </w:t>
      </w:r>
      <w:r>
        <w:rPr>
          <w:color w:val="auto"/>
        </w:rPr>
        <w:t>约占</w:t>
      </w:r>
      <w:r>
        <w:rPr>
          <w:color w:val="auto"/>
        </w:rPr>
        <w:t>20%</w:t>
      </w:r>
      <w:r>
        <w:rPr>
          <w:color w:val="auto"/>
        </w:rPr>
        <w:t>，母岩成分以花岗岩、石英、白云岩为主，充填大量卵石、砾砂。</w:t>
      </w:r>
    </w:p>
    <w:p w14:paraId="13DF74F2" w14:textId="77777777" w:rsidR="002E474C" w:rsidRDefault="00000000">
      <w:pPr>
        <w:pStyle w:val="A-z"/>
        <w:rPr>
          <w:color w:val="auto"/>
        </w:rPr>
      </w:pPr>
      <w:r>
        <w:rPr>
          <w:color w:val="auto"/>
        </w:rPr>
        <w:t>（</w:t>
      </w:r>
      <w:r>
        <w:rPr>
          <w:color w:val="auto"/>
        </w:rPr>
        <w:t>3</w:t>
      </w:r>
      <w:r>
        <w:rPr>
          <w:color w:val="auto"/>
        </w:rPr>
        <w:t>）卵石层：层厚</w:t>
      </w:r>
      <w:r>
        <w:rPr>
          <w:color w:val="auto"/>
        </w:rPr>
        <w:t>11.9m</w:t>
      </w:r>
      <w:r>
        <w:rPr>
          <w:color w:val="auto"/>
        </w:rPr>
        <w:t>，灰色，潮湿程度稍湿，结构密实程度为密实。卵石最大粒径约</w:t>
      </w:r>
      <w:r>
        <w:rPr>
          <w:color w:val="auto"/>
        </w:rPr>
        <w:t>20cm</w:t>
      </w:r>
      <w:r>
        <w:rPr>
          <w:color w:val="auto"/>
        </w:rPr>
        <w:t>，粒径以</w:t>
      </w:r>
      <w:r>
        <w:rPr>
          <w:color w:val="auto"/>
        </w:rPr>
        <w:t xml:space="preserve">3~8cm </w:t>
      </w:r>
      <w:r>
        <w:rPr>
          <w:color w:val="auto"/>
        </w:rPr>
        <w:t>为主，约占</w:t>
      </w:r>
      <w:r>
        <w:rPr>
          <w:color w:val="auto"/>
        </w:rPr>
        <w:t>55%</w:t>
      </w:r>
      <w:r>
        <w:rPr>
          <w:color w:val="auto"/>
        </w:rPr>
        <w:t>，</w:t>
      </w:r>
      <w:r>
        <w:rPr>
          <w:color w:val="auto"/>
        </w:rPr>
        <w:t xml:space="preserve">8~20cm </w:t>
      </w:r>
      <w:r>
        <w:rPr>
          <w:color w:val="auto"/>
        </w:rPr>
        <w:t>约占</w:t>
      </w:r>
      <w:r>
        <w:rPr>
          <w:color w:val="auto"/>
        </w:rPr>
        <w:t>25%</w:t>
      </w:r>
      <w:r>
        <w:rPr>
          <w:color w:val="auto"/>
        </w:rPr>
        <w:t>，母岩成分以花岗岩、石英、白云岩为主，充填砾砂，局部夹薄层砂。</w:t>
      </w:r>
    </w:p>
    <w:p w14:paraId="7E961AF0" w14:textId="77777777" w:rsidR="002E474C" w:rsidRDefault="00000000">
      <w:pPr>
        <w:pStyle w:val="A-z"/>
        <w:rPr>
          <w:color w:val="auto"/>
        </w:rPr>
      </w:pPr>
      <w:r>
        <w:rPr>
          <w:color w:val="auto"/>
        </w:rPr>
        <w:t>（</w:t>
      </w:r>
      <w:r>
        <w:rPr>
          <w:color w:val="auto"/>
        </w:rPr>
        <w:t>4</w:t>
      </w:r>
      <w:r>
        <w:rPr>
          <w:color w:val="auto"/>
        </w:rPr>
        <w:t>）卵石层：层厚</w:t>
      </w:r>
      <w:r>
        <w:rPr>
          <w:color w:val="auto"/>
        </w:rPr>
        <w:t>23.2m</w:t>
      </w:r>
      <w:r>
        <w:rPr>
          <w:color w:val="auto"/>
        </w:rPr>
        <w:t>，灰色，潮湿程度稍湿，结构密实程度为密实。粒径以</w:t>
      </w:r>
      <w:r>
        <w:rPr>
          <w:color w:val="auto"/>
        </w:rPr>
        <w:t xml:space="preserve">5~10cm </w:t>
      </w:r>
      <w:r>
        <w:rPr>
          <w:color w:val="auto"/>
        </w:rPr>
        <w:t>为主，约占</w:t>
      </w:r>
      <w:r>
        <w:rPr>
          <w:color w:val="auto"/>
        </w:rPr>
        <w:t>60%</w:t>
      </w:r>
      <w:r>
        <w:rPr>
          <w:color w:val="auto"/>
        </w:rPr>
        <w:t>，卵石最大粒径约</w:t>
      </w:r>
      <w:r>
        <w:rPr>
          <w:color w:val="auto"/>
        </w:rPr>
        <w:t>25cm</w:t>
      </w:r>
      <w:r>
        <w:rPr>
          <w:color w:val="auto"/>
        </w:rPr>
        <w:t>，</w:t>
      </w:r>
      <w:r>
        <w:rPr>
          <w:color w:val="auto"/>
        </w:rPr>
        <w:t xml:space="preserve">10~25cm </w:t>
      </w:r>
      <w:r>
        <w:rPr>
          <w:color w:val="auto"/>
        </w:rPr>
        <w:t>约占</w:t>
      </w:r>
      <w:r>
        <w:rPr>
          <w:color w:val="auto"/>
        </w:rPr>
        <w:t>30%</w:t>
      </w:r>
      <w:r>
        <w:rPr>
          <w:color w:val="auto"/>
        </w:rPr>
        <w:t>，母岩成分以花岗岩、石英、白云岩为主，充填砾砂，局部夹薄层砂。</w:t>
      </w:r>
    </w:p>
    <w:p w14:paraId="5F945DC6" w14:textId="77777777" w:rsidR="002E474C" w:rsidRDefault="00000000">
      <w:pPr>
        <w:pStyle w:val="A-z"/>
        <w:rPr>
          <w:color w:val="auto"/>
        </w:rPr>
      </w:pPr>
      <w:r>
        <w:rPr>
          <w:color w:val="auto"/>
        </w:rPr>
        <w:t>（</w:t>
      </w:r>
      <w:r>
        <w:rPr>
          <w:color w:val="auto"/>
        </w:rPr>
        <w:t>5</w:t>
      </w:r>
      <w:r>
        <w:rPr>
          <w:color w:val="auto"/>
        </w:rPr>
        <w:t>）漂石层：层厚</w:t>
      </w:r>
      <w:r>
        <w:rPr>
          <w:color w:val="auto"/>
        </w:rPr>
        <w:t>2m</w:t>
      </w:r>
      <w:r>
        <w:rPr>
          <w:color w:val="auto"/>
        </w:rPr>
        <w:t>，灰色，潮湿程度稍湿，结构密实程度为密实。粒径以</w:t>
      </w:r>
      <w:r>
        <w:rPr>
          <w:color w:val="auto"/>
        </w:rPr>
        <w:t xml:space="preserve">20~25cm </w:t>
      </w:r>
      <w:r>
        <w:rPr>
          <w:color w:val="auto"/>
        </w:rPr>
        <w:t>为主，约占</w:t>
      </w:r>
      <w:r>
        <w:rPr>
          <w:color w:val="auto"/>
        </w:rPr>
        <w:t>60%</w:t>
      </w:r>
      <w:r>
        <w:rPr>
          <w:color w:val="auto"/>
        </w:rPr>
        <w:t>，卵石最大粒径约</w:t>
      </w:r>
      <w:r>
        <w:rPr>
          <w:color w:val="auto"/>
        </w:rPr>
        <w:t>30cm</w:t>
      </w:r>
      <w:r>
        <w:rPr>
          <w:color w:val="auto"/>
        </w:rPr>
        <w:t>，</w:t>
      </w:r>
      <w:r>
        <w:rPr>
          <w:color w:val="auto"/>
        </w:rPr>
        <w:t xml:space="preserve">25~30cm </w:t>
      </w:r>
      <w:r>
        <w:rPr>
          <w:color w:val="auto"/>
        </w:rPr>
        <w:t>约占</w:t>
      </w:r>
      <w:r>
        <w:rPr>
          <w:color w:val="auto"/>
        </w:rPr>
        <w:t>10%</w:t>
      </w:r>
      <w:r>
        <w:rPr>
          <w:color w:val="auto"/>
        </w:rPr>
        <w:t>，母</w:t>
      </w:r>
      <w:r>
        <w:rPr>
          <w:color w:val="auto"/>
        </w:rPr>
        <w:lastRenderedPageBreak/>
        <w:t>岩成分以花岗岩、石英、白云岩为主，充填大量卵石、砾砂。</w:t>
      </w:r>
    </w:p>
    <w:p w14:paraId="59DE670B" w14:textId="77777777" w:rsidR="002E474C" w:rsidRDefault="00000000">
      <w:pPr>
        <w:pStyle w:val="A-z"/>
        <w:rPr>
          <w:color w:val="auto"/>
        </w:rPr>
      </w:pPr>
      <w:r>
        <w:rPr>
          <w:color w:val="auto"/>
        </w:rPr>
        <w:t>（</w:t>
      </w:r>
      <w:r>
        <w:rPr>
          <w:color w:val="auto"/>
        </w:rPr>
        <w:t>6</w:t>
      </w:r>
      <w:r>
        <w:rPr>
          <w:color w:val="auto"/>
        </w:rPr>
        <w:t>）卵石层：层厚</w:t>
      </w:r>
      <w:r>
        <w:rPr>
          <w:color w:val="auto"/>
        </w:rPr>
        <w:t>27.7m</w:t>
      </w:r>
      <w:r>
        <w:rPr>
          <w:color w:val="auto"/>
        </w:rPr>
        <w:t>，灰色，潮湿程度稍湿，结构密实程度为密实。粒径以</w:t>
      </w:r>
      <w:r>
        <w:rPr>
          <w:color w:val="auto"/>
        </w:rPr>
        <w:t xml:space="preserve">3~10cm </w:t>
      </w:r>
      <w:r>
        <w:rPr>
          <w:color w:val="auto"/>
        </w:rPr>
        <w:t>为主，约占</w:t>
      </w:r>
      <w:r>
        <w:rPr>
          <w:color w:val="auto"/>
        </w:rPr>
        <w:t>55%</w:t>
      </w:r>
      <w:r>
        <w:rPr>
          <w:color w:val="auto"/>
        </w:rPr>
        <w:t>，卵石最大粒径约</w:t>
      </w:r>
      <w:r>
        <w:rPr>
          <w:color w:val="auto"/>
        </w:rPr>
        <w:t>20cm</w:t>
      </w:r>
      <w:r>
        <w:rPr>
          <w:color w:val="auto"/>
        </w:rPr>
        <w:t>，</w:t>
      </w:r>
      <w:r>
        <w:rPr>
          <w:color w:val="auto"/>
        </w:rPr>
        <w:t xml:space="preserve">8~20cm </w:t>
      </w:r>
      <w:r>
        <w:rPr>
          <w:color w:val="auto"/>
        </w:rPr>
        <w:t>约占</w:t>
      </w:r>
      <w:r>
        <w:rPr>
          <w:color w:val="auto"/>
        </w:rPr>
        <w:t>35%</w:t>
      </w:r>
      <w:r>
        <w:rPr>
          <w:color w:val="auto"/>
        </w:rPr>
        <w:t>，母岩成分以花岗岩、石英、白云岩为主，充填砾砂，局部夹薄层砂。</w:t>
      </w:r>
    </w:p>
    <w:p w14:paraId="44240356" w14:textId="77777777" w:rsidR="002E474C" w:rsidRDefault="00000000">
      <w:pPr>
        <w:pStyle w:val="A-z"/>
        <w:rPr>
          <w:color w:val="auto"/>
        </w:rPr>
      </w:pPr>
      <w:r>
        <w:rPr>
          <w:color w:val="auto"/>
        </w:rPr>
        <w:t>（</w:t>
      </w:r>
      <w:r>
        <w:rPr>
          <w:color w:val="auto"/>
        </w:rPr>
        <w:t>7</w:t>
      </w:r>
      <w:r>
        <w:rPr>
          <w:color w:val="auto"/>
        </w:rPr>
        <w:t>）漂石层：层厚</w:t>
      </w:r>
      <w:r>
        <w:rPr>
          <w:color w:val="auto"/>
        </w:rPr>
        <w:t>4.7m</w:t>
      </w:r>
      <w:r>
        <w:rPr>
          <w:color w:val="auto"/>
        </w:rPr>
        <w:t>，灰色，潮湿程度稍湿，结构密实程度为密实。漂石最大粒径约</w:t>
      </w:r>
      <w:r>
        <w:rPr>
          <w:color w:val="auto"/>
        </w:rPr>
        <w:t>15cm</w:t>
      </w:r>
      <w:r>
        <w:rPr>
          <w:color w:val="auto"/>
        </w:rPr>
        <w:t>，粒径以</w:t>
      </w:r>
      <w:r>
        <w:rPr>
          <w:color w:val="auto"/>
        </w:rPr>
        <w:t xml:space="preserve">20~28cm </w:t>
      </w:r>
      <w:r>
        <w:rPr>
          <w:color w:val="auto"/>
        </w:rPr>
        <w:t>为主，约占</w:t>
      </w:r>
      <w:r>
        <w:rPr>
          <w:color w:val="auto"/>
        </w:rPr>
        <w:t>55%</w:t>
      </w:r>
      <w:r>
        <w:rPr>
          <w:color w:val="auto"/>
        </w:rPr>
        <w:t>，</w:t>
      </w:r>
      <w:r>
        <w:rPr>
          <w:color w:val="auto"/>
        </w:rPr>
        <w:t xml:space="preserve">28~35cm </w:t>
      </w:r>
      <w:r>
        <w:rPr>
          <w:color w:val="auto"/>
        </w:rPr>
        <w:t>约占</w:t>
      </w:r>
      <w:r>
        <w:rPr>
          <w:color w:val="auto"/>
        </w:rPr>
        <w:t>15%</w:t>
      </w:r>
      <w:r>
        <w:rPr>
          <w:color w:val="auto"/>
        </w:rPr>
        <w:t>，母岩成分以花岗岩、石英、白云岩为主，充填大量卵石、砾砂。</w:t>
      </w:r>
    </w:p>
    <w:p w14:paraId="34A0DB20" w14:textId="77777777" w:rsidR="002E474C" w:rsidRDefault="00000000">
      <w:pPr>
        <w:pStyle w:val="A-z"/>
        <w:rPr>
          <w:color w:val="auto"/>
        </w:rPr>
      </w:pPr>
      <w:r>
        <w:rPr>
          <w:color w:val="auto"/>
        </w:rPr>
        <w:t>（</w:t>
      </w:r>
      <w:r>
        <w:rPr>
          <w:color w:val="auto"/>
        </w:rPr>
        <w:t>8</w:t>
      </w:r>
      <w:r>
        <w:rPr>
          <w:color w:val="auto"/>
        </w:rPr>
        <w:t>）卵石层：层厚</w:t>
      </w:r>
      <w:r>
        <w:rPr>
          <w:color w:val="auto"/>
        </w:rPr>
        <w:t>51.2m</w:t>
      </w:r>
      <w:r>
        <w:rPr>
          <w:color w:val="auto"/>
        </w:rPr>
        <w:t>，灰色，潮湿程度稍湿，结构密实程度为密实。卵石最大粒径约</w:t>
      </w:r>
      <w:r>
        <w:rPr>
          <w:color w:val="auto"/>
        </w:rPr>
        <w:t>20cm</w:t>
      </w:r>
      <w:r>
        <w:rPr>
          <w:color w:val="auto"/>
        </w:rPr>
        <w:t>，粒径以</w:t>
      </w:r>
      <w:r>
        <w:rPr>
          <w:color w:val="auto"/>
        </w:rPr>
        <w:t xml:space="preserve">2~8cm </w:t>
      </w:r>
      <w:r>
        <w:rPr>
          <w:color w:val="auto"/>
        </w:rPr>
        <w:t>为主，约占</w:t>
      </w:r>
      <w:r>
        <w:rPr>
          <w:color w:val="auto"/>
        </w:rPr>
        <w:t>55%</w:t>
      </w:r>
      <w:r>
        <w:rPr>
          <w:color w:val="auto"/>
        </w:rPr>
        <w:t>，</w:t>
      </w:r>
      <w:r>
        <w:rPr>
          <w:color w:val="auto"/>
        </w:rPr>
        <w:t xml:space="preserve">8~20cm </w:t>
      </w:r>
      <w:r>
        <w:rPr>
          <w:color w:val="auto"/>
        </w:rPr>
        <w:t>约占</w:t>
      </w:r>
      <w:r>
        <w:rPr>
          <w:color w:val="auto"/>
        </w:rPr>
        <w:t>35%</w:t>
      </w:r>
      <w:r>
        <w:rPr>
          <w:color w:val="auto"/>
        </w:rPr>
        <w:t>，母岩成分以花岗岩、石英、白云岩为主，充填砾砂，局部夹薄层砂。</w:t>
      </w:r>
    </w:p>
    <w:p w14:paraId="1A032F26" w14:textId="77777777" w:rsidR="002E474C" w:rsidRDefault="00000000">
      <w:pPr>
        <w:pStyle w:val="A-z"/>
        <w:rPr>
          <w:color w:val="auto"/>
        </w:rPr>
      </w:pPr>
      <w:r>
        <w:rPr>
          <w:color w:val="auto"/>
        </w:rPr>
        <w:t>（</w:t>
      </w:r>
      <w:r>
        <w:rPr>
          <w:color w:val="auto"/>
        </w:rPr>
        <w:t>9</w:t>
      </w:r>
      <w:r>
        <w:rPr>
          <w:color w:val="auto"/>
        </w:rPr>
        <w:t>）漂石层：层厚</w:t>
      </w:r>
      <w:r>
        <w:rPr>
          <w:color w:val="auto"/>
        </w:rPr>
        <w:t>4.3m</w:t>
      </w:r>
      <w:r>
        <w:rPr>
          <w:color w:val="auto"/>
        </w:rPr>
        <w:t>，灰色，潮湿程度稍湿，结构密实程度为密实。漂石石最大粒径约</w:t>
      </w:r>
      <w:r>
        <w:rPr>
          <w:color w:val="auto"/>
        </w:rPr>
        <w:t>30cm</w:t>
      </w:r>
      <w:r>
        <w:rPr>
          <w:color w:val="auto"/>
        </w:rPr>
        <w:t>，粒径以</w:t>
      </w:r>
      <w:r>
        <w:rPr>
          <w:color w:val="auto"/>
        </w:rPr>
        <w:t xml:space="preserve">20~25cm </w:t>
      </w:r>
      <w:r>
        <w:rPr>
          <w:color w:val="auto"/>
        </w:rPr>
        <w:t>为主，约占</w:t>
      </w:r>
      <w:r>
        <w:rPr>
          <w:color w:val="auto"/>
        </w:rPr>
        <w:t>50%</w:t>
      </w:r>
      <w:r>
        <w:rPr>
          <w:color w:val="auto"/>
        </w:rPr>
        <w:t>，</w:t>
      </w:r>
      <w:r>
        <w:rPr>
          <w:color w:val="auto"/>
        </w:rPr>
        <w:t xml:space="preserve">25~30cm </w:t>
      </w:r>
      <w:r>
        <w:rPr>
          <w:color w:val="auto"/>
        </w:rPr>
        <w:t>约占</w:t>
      </w:r>
      <w:r>
        <w:rPr>
          <w:color w:val="auto"/>
        </w:rPr>
        <w:t>25%</w:t>
      </w:r>
      <w:r>
        <w:rPr>
          <w:color w:val="auto"/>
        </w:rPr>
        <w:t>，母岩成分以花岗岩、石英、白云岩为主，充填大量卵石、砾砂。</w:t>
      </w:r>
    </w:p>
    <w:p w14:paraId="07347417" w14:textId="77777777" w:rsidR="002E474C" w:rsidRDefault="00000000">
      <w:pPr>
        <w:pStyle w:val="A-z"/>
        <w:rPr>
          <w:color w:val="auto"/>
        </w:rPr>
      </w:pPr>
      <w:r>
        <w:rPr>
          <w:color w:val="auto"/>
        </w:rPr>
        <w:t>（</w:t>
      </w:r>
      <w:r>
        <w:rPr>
          <w:color w:val="auto"/>
        </w:rPr>
        <w:t>10</w:t>
      </w:r>
      <w:r>
        <w:rPr>
          <w:color w:val="auto"/>
        </w:rPr>
        <w:t>）卵石层：层厚</w:t>
      </w:r>
      <w:r>
        <w:rPr>
          <w:color w:val="auto"/>
        </w:rPr>
        <w:t>11.2m</w:t>
      </w:r>
      <w:r>
        <w:rPr>
          <w:color w:val="auto"/>
        </w:rPr>
        <w:t>，灰色，潮湿程度为稍湿，结构密实程度为密实。卵石最大粒径约</w:t>
      </w:r>
      <w:r>
        <w:rPr>
          <w:color w:val="auto"/>
        </w:rPr>
        <w:t>15cm</w:t>
      </w:r>
      <w:r>
        <w:rPr>
          <w:color w:val="auto"/>
        </w:rPr>
        <w:t>，粒径以</w:t>
      </w:r>
      <w:r>
        <w:rPr>
          <w:color w:val="auto"/>
        </w:rPr>
        <w:t xml:space="preserve">3~8cm </w:t>
      </w:r>
      <w:r>
        <w:rPr>
          <w:color w:val="auto"/>
        </w:rPr>
        <w:t>为主，约占</w:t>
      </w:r>
      <w:r>
        <w:rPr>
          <w:color w:val="auto"/>
        </w:rPr>
        <w:t>70%</w:t>
      </w:r>
      <w:r>
        <w:rPr>
          <w:color w:val="auto"/>
        </w:rPr>
        <w:t>，</w:t>
      </w:r>
      <w:r>
        <w:rPr>
          <w:color w:val="auto"/>
        </w:rPr>
        <w:t xml:space="preserve">8~15cm </w:t>
      </w:r>
      <w:r>
        <w:rPr>
          <w:color w:val="auto"/>
        </w:rPr>
        <w:t>约占</w:t>
      </w:r>
      <w:r>
        <w:rPr>
          <w:color w:val="auto"/>
        </w:rPr>
        <w:t>35%</w:t>
      </w:r>
      <w:r>
        <w:rPr>
          <w:color w:val="auto"/>
        </w:rPr>
        <w:t>，母岩成分以花岗岩、石英、白云岩为主，充填砾砂。</w:t>
      </w:r>
    </w:p>
    <w:p w14:paraId="02563B13" w14:textId="77777777" w:rsidR="002E474C" w:rsidRDefault="00000000">
      <w:pPr>
        <w:pStyle w:val="A-z"/>
        <w:rPr>
          <w:color w:val="auto"/>
        </w:rPr>
      </w:pPr>
      <w:r>
        <w:rPr>
          <w:color w:val="auto"/>
        </w:rPr>
        <w:t>（</w:t>
      </w:r>
      <w:r>
        <w:rPr>
          <w:color w:val="auto"/>
        </w:rPr>
        <w:t>11</w:t>
      </w:r>
      <w:r>
        <w:rPr>
          <w:color w:val="auto"/>
        </w:rPr>
        <w:t>）漂石层：层厚</w:t>
      </w:r>
      <w:r>
        <w:rPr>
          <w:color w:val="auto"/>
        </w:rPr>
        <w:t>1.9m</w:t>
      </w:r>
      <w:r>
        <w:rPr>
          <w:color w:val="auto"/>
        </w:rPr>
        <w:t>，潮湿程度为湿，灰色，结构密实程度为密实。漂石石最大粒径约</w:t>
      </w:r>
      <w:r>
        <w:rPr>
          <w:color w:val="auto"/>
        </w:rPr>
        <w:t>20cm</w:t>
      </w:r>
      <w:r>
        <w:rPr>
          <w:color w:val="auto"/>
        </w:rPr>
        <w:t>，粒径以</w:t>
      </w:r>
      <w:r>
        <w:rPr>
          <w:color w:val="auto"/>
        </w:rPr>
        <w:t>15~25cm</w:t>
      </w:r>
      <w:r>
        <w:rPr>
          <w:color w:val="auto"/>
        </w:rPr>
        <w:t>为主，约占</w:t>
      </w:r>
      <w:r>
        <w:rPr>
          <w:color w:val="auto"/>
        </w:rPr>
        <w:t>65%</w:t>
      </w:r>
      <w:r>
        <w:rPr>
          <w:color w:val="auto"/>
        </w:rPr>
        <w:t>，</w:t>
      </w:r>
      <w:r>
        <w:rPr>
          <w:color w:val="auto"/>
        </w:rPr>
        <w:t xml:space="preserve">25~30cm </w:t>
      </w:r>
      <w:r>
        <w:rPr>
          <w:color w:val="auto"/>
        </w:rPr>
        <w:t>约占</w:t>
      </w:r>
      <w:r>
        <w:rPr>
          <w:color w:val="auto"/>
        </w:rPr>
        <w:t>20%</w:t>
      </w:r>
      <w:r>
        <w:rPr>
          <w:color w:val="auto"/>
        </w:rPr>
        <w:t>，母岩成分以花岗岩、石英、白云岩为主，充填大量卵石、砾砂。</w:t>
      </w:r>
    </w:p>
    <w:p w14:paraId="4124FB87" w14:textId="77777777" w:rsidR="002E474C" w:rsidRDefault="00000000">
      <w:pPr>
        <w:pStyle w:val="A-z"/>
        <w:rPr>
          <w:color w:val="auto"/>
        </w:rPr>
      </w:pPr>
      <w:r>
        <w:rPr>
          <w:color w:val="auto"/>
        </w:rPr>
        <w:t>（</w:t>
      </w:r>
      <w:r>
        <w:rPr>
          <w:color w:val="auto"/>
        </w:rPr>
        <w:t>12</w:t>
      </w:r>
      <w:r>
        <w:rPr>
          <w:color w:val="auto"/>
        </w:rPr>
        <w:t>）卵石层：层厚</w:t>
      </w:r>
      <w:r>
        <w:rPr>
          <w:color w:val="auto"/>
        </w:rPr>
        <w:t>7.0m</w:t>
      </w:r>
      <w:r>
        <w:rPr>
          <w:color w:val="auto"/>
        </w:rPr>
        <w:t>，潮湿程度为湿，结构密实程度为密实。卵石最粒径大</w:t>
      </w:r>
      <w:r>
        <w:rPr>
          <w:color w:val="auto"/>
        </w:rPr>
        <w:t>20cm</w:t>
      </w:r>
      <w:r>
        <w:rPr>
          <w:color w:val="auto"/>
        </w:rPr>
        <w:t>，粒径以</w:t>
      </w:r>
      <w:r>
        <w:rPr>
          <w:color w:val="auto"/>
        </w:rPr>
        <w:t>2~8cm</w:t>
      </w:r>
      <w:r>
        <w:rPr>
          <w:color w:val="auto"/>
        </w:rPr>
        <w:t>为主，约占</w:t>
      </w:r>
      <w:r>
        <w:rPr>
          <w:color w:val="auto"/>
        </w:rPr>
        <w:t>55%</w:t>
      </w:r>
      <w:r>
        <w:rPr>
          <w:color w:val="auto"/>
        </w:rPr>
        <w:t>，</w:t>
      </w:r>
      <w:r>
        <w:rPr>
          <w:color w:val="auto"/>
        </w:rPr>
        <w:t xml:space="preserve">8~20cm </w:t>
      </w:r>
      <w:r>
        <w:rPr>
          <w:color w:val="auto"/>
        </w:rPr>
        <w:t>约占</w:t>
      </w:r>
      <w:r>
        <w:rPr>
          <w:color w:val="auto"/>
        </w:rPr>
        <w:t>25%</w:t>
      </w:r>
      <w:r>
        <w:rPr>
          <w:color w:val="auto"/>
        </w:rPr>
        <w:t>，母岩成分以花岗岩、白云岩为主，充填砾砂。</w:t>
      </w:r>
    </w:p>
    <w:p w14:paraId="42D249A7" w14:textId="77777777" w:rsidR="002E474C" w:rsidRDefault="00000000">
      <w:pPr>
        <w:pStyle w:val="A-z"/>
        <w:rPr>
          <w:color w:val="auto"/>
        </w:rPr>
      </w:pPr>
      <w:r>
        <w:rPr>
          <w:color w:val="auto"/>
        </w:rPr>
        <w:t>根据钻探结果，厂区地层为第四系全新统冲洪积层，地层结构单一，地层岩性为漂石、卵石，其间充填砾砂。粒径较粗，分层不明显。</w:t>
      </w:r>
    </w:p>
    <w:p w14:paraId="186073D2" w14:textId="77777777" w:rsidR="002E474C" w:rsidRDefault="00000000">
      <w:pPr>
        <w:pStyle w:val="A-z"/>
        <w:rPr>
          <w:color w:val="auto"/>
        </w:rPr>
      </w:pPr>
      <w:r>
        <w:rPr>
          <w:color w:val="auto"/>
        </w:rPr>
        <w:t>项目区地层钻孔柱状图见图</w:t>
      </w:r>
      <w:r>
        <w:rPr>
          <w:color w:val="auto"/>
        </w:rPr>
        <w:t>5.3-3</w:t>
      </w:r>
      <w:r>
        <w:rPr>
          <w:color w:val="auto"/>
        </w:rPr>
        <w:t>。</w:t>
      </w:r>
    </w:p>
    <w:p w14:paraId="57729DDE" w14:textId="77777777" w:rsidR="002E474C" w:rsidRDefault="00000000">
      <w:pPr>
        <w:pStyle w:val="31"/>
        <w:spacing w:before="120" w:after="120"/>
        <w:rPr>
          <w:b w:val="0"/>
          <w:color w:val="auto"/>
        </w:rPr>
      </w:pPr>
      <w:r>
        <w:rPr>
          <w:color w:val="auto"/>
        </w:rPr>
        <w:t>正常情况下地下水影响分析</w:t>
      </w:r>
    </w:p>
    <w:p w14:paraId="631F2B4F" w14:textId="77777777" w:rsidR="002E474C" w:rsidRDefault="00000000">
      <w:pPr>
        <w:pStyle w:val="A-z"/>
        <w:rPr>
          <w:color w:val="auto"/>
        </w:rPr>
      </w:pPr>
      <w:r>
        <w:rPr>
          <w:color w:val="auto"/>
        </w:rPr>
        <w:t>本项目固态危废预处理车间、危废贮存库、液态处置车间、废水收集池、事故池、集液池、初期雨水池等建构筑物均按照《危险废物贮存污染控制标准》（</w:t>
      </w:r>
      <w:r>
        <w:rPr>
          <w:color w:val="auto"/>
        </w:rPr>
        <w:t>GB18597-2023</w:t>
      </w:r>
      <w:r>
        <w:rPr>
          <w:color w:val="auto"/>
        </w:rPr>
        <w:t>）要求做好防渗、防腐、防漏、防雨等措施，防止危险废液、废</w:t>
      </w:r>
      <w:r>
        <w:rPr>
          <w:color w:val="auto"/>
        </w:rPr>
        <w:lastRenderedPageBreak/>
        <w:t>水渗漏。生产废水设废水收集池，最终入窑焚烧。厂区周边根据地下水径流方向，设置地下水水质监测点，并制定合理的监测计划和应急预案。</w:t>
      </w:r>
    </w:p>
    <w:p w14:paraId="3DCD517D" w14:textId="77777777" w:rsidR="002E474C" w:rsidRDefault="00000000">
      <w:pPr>
        <w:pStyle w:val="A-z"/>
        <w:rPr>
          <w:color w:val="auto"/>
          <w:lang w:val="en-US"/>
        </w:rPr>
      </w:pPr>
      <w:r>
        <w:rPr>
          <w:color w:val="auto"/>
          <w:lang w:val="en-US"/>
        </w:rPr>
        <w:t>为防止项目的建设及生产运行对地下水造成污染，从原料和产品的储存、装卸、运输、生产、污染处理装置等全过程控制，各贮存区、池体等均采取了严格的防渗措施，发生跑冒滴漏时，防渗层阻止了污染物与包气带的联系，污染物一般很难进入含水层。在防渗系统正常运行的情况下，本项目生产废水、生活污水向地下渗透将得到很好地控制，不会对地下水质量造成功能类别的改变。</w:t>
      </w:r>
    </w:p>
    <w:p w14:paraId="08BBEF72" w14:textId="77777777" w:rsidR="002E474C" w:rsidRDefault="00000000">
      <w:pPr>
        <w:pStyle w:val="A-z"/>
        <w:rPr>
          <w:color w:val="auto"/>
        </w:rPr>
      </w:pPr>
      <w:r>
        <w:rPr>
          <w:color w:val="auto"/>
          <w:lang w:val="en-US"/>
        </w:rPr>
        <w:t>按照《环境影响评价技术导则</w:t>
      </w:r>
      <w:r>
        <w:rPr>
          <w:rFonts w:hint="eastAsia"/>
          <w:color w:val="auto"/>
          <w:lang w:val="en-US"/>
        </w:rPr>
        <w:t xml:space="preserve"> </w:t>
      </w:r>
      <w:r>
        <w:rPr>
          <w:color w:val="auto"/>
          <w:lang w:val="en-US"/>
        </w:rPr>
        <w:t>地下水环境》</w:t>
      </w:r>
      <w:r>
        <w:rPr>
          <w:color w:val="auto"/>
          <w:lang w:val="en-US"/>
        </w:rPr>
        <w:t>(HJ610-2016)</w:t>
      </w:r>
      <w:r>
        <w:rPr>
          <w:color w:val="auto"/>
          <w:lang w:val="en-US"/>
        </w:rPr>
        <w:t>要求</w:t>
      </w:r>
      <w:r>
        <w:rPr>
          <w:color w:val="auto"/>
          <w:lang w:val="en-US"/>
        </w:rPr>
        <w:t>:“9.4.2</w:t>
      </w:r>
      <w:r>
        <w:rPr>
          <w:color w:val="auto"/>
          <w:lang w:val="en-US"/>
        </w:rPr>
        <w:t>已依据</w:t>
      </w:r>
      <w:r>
        <w:rPr>
          <w:color w:val="auto"/>
          <w:lang w:val="en-US"/>
        </w:rPr>
        <w:t>GB16889</w:t>
      </w:r>
      <w:r>
        <w:rPr>
          <w:color w:val="auto"/>
          <w:lang w:val="en-US"/>
        </w:rPr>
        <w:t>、</w:t>
      </w:r>
      <w:r>
        <w:rPr>
          <w:color w:val="auto"/>
          <w:lang w:val="en-US"/>
        </w:rPr>
        <w:t>GB18597</w:t>
      </w:r>
      <w:r>
        <w:rPr>
          <w:color w:val="auto"/>
          <w:lang w:val="en-US"/>
        </w:rPr>
        <w:t>、</w:t>
      </w:r>
      <w:r>
        <w:rPr>
          <w:color w:val="auto"/>
          <w:lang w:val="en-US"/>
        </w:rPr>
        <w:t>GB18598</w:t>
      </w:r>
      <w:r>
        <w:rPr>
          <w:color w:val="auto"/>
          <w:lang w:val="en-US"/>
        </w:rPr>
        <w:t>、</w:t>
      </w:r>
      <w:r>
        <w:rPr>
          <w:color w:val="auto"/>
          <w:lang w:val="en-US"/>
        </w:rPr>
        <w:t>GB18599</w:t>
      </w:r>
      <w:r>
        <w:rPr>
          <w:color w:val="auto"/>
          <w:lang w:val="en-US"/>
        </w:rPr>
        <w:t>、</w:t>
      </w:r>
      <w:r>
        <w:rPr>
          <w:color w:val="auto"/>
          <w:lang w:val="en-US"/>
        </w:rPr>
        <w:t>GB/T50934</w:t>
      </w:r>
      <w:r>
        <w:rPr>
          <w:color w:val="auto"/>
          <w:lang w:val="en-US"/>
        </w:rPr>
        <w:t>设计地下水污染防渗措施的建设项目，可不进行正常状况情景下的预测。</w:t>
      </w:r>
      <w:r>
        <w:rPr>
          <w:color w:val="auto"/>
          <w:lang w:val="en-US"/>
        </w:rPr>
        <w:t>”</w:t>
      </w:r>
      <w:r>
        <w:rPr>
          <w:color w:val="auto"/>
          <w:lang w:val="en-US"/>
        </w:rPr>
        <w:t>因此在正常状况下，在做好各区域防渗的基础上，本项目运营不会对场地地下包气带及地下水环境造成影响，因此该项目可不进行正常状况情景下的预测。</w:t>
      </w:r>
    </w:p>
    <w:p w14:paraId="2CDDA362" w14:textId="77777777" w:rsidR="002E474C" w:rsidRDefault="00000000">
      <w:pPr>
        <w:pStyle w:val="31"/>
        <w:spacing w:before="120" w:after="120"/>
        <w:rPr>
          <w:color w:val="auto"/>
        </w:rPr>
      </w:pPr>
      <w:r>
        <w:rPr>
          <w:color w:val="auto"/>
        </w:rPr>
        <w:t>非正常情况下地下水影响分析</w:t>
      </w:r>
    </w:p>
    <w:p w14:paraId="4DD1BE91" w14:textId="77777777" w:rsidR="002E474C" w:rsidRDefault="00000000">
      <w:pPr>
        <w:pStyle w:val="A-z"/>
        <w:rPr>
          <w:color w:val="auto"/>
        </w:rPr>
      </w:pPr>
      <w:r>
        <w:rPr>
          <w:color w:val="auto"/>
        </w:rPr>
        <w:t>项目建设期间构筑物及其设施均设置防渗设施，正常生产过程中严防污水下渗，以避免对地下水潜水层的污染。在运营期内，根据实际情况分析，危废贮存库中各贮存分区如发生硬化面破损，即使有物料或废水等泄漏，根据管理规范会及时采取措施，不会任由物料或废水漫流渗漏，而对于泄漏初期短时间物料暴露而污染的少量土壤，则会尽快挖出进行处置，不会任其渗入地下水。</w:t>
      </w:r>
    </w:p>
    <w:p w14:paraId="0288A3F6" w14:textId="77777777" w:rsidR="002E474C" w:rsidRDefault="00000000">
      <w:pPr>
        <w:pStyle w:val="41"/>
        <w:rPr>
          <w:color w:val="auto"/>
        </w:rPr>
      </w:pPr>
      <w:r>
        <w:rPr>
          <w:color w:val="auto"/>
          <w:lang w:val="en-US"/>
        </w:rPr>
        <w:t>污染影响途径及影响判定</w:t>
      </w:r>
    </w:p>
    <w:p w14:paraId="4F06BB54" w14:textId="77777777" w:rsidR="002E474C" w:rsidRDefault="00000000">
      <w:pPr>
        <w:pStyle w:val="A-z"/>
        <w:rPr>
          <w:color w:val="auto"/>
        </w:rPr>
      </w:pPr>
      <w:r>
        <w:rPr>
          <w:color w:val="auto"/>
        </w:rPr>
        <w:t>本项目运营对地下水的影响途径主要有两条，一条是污水的收集、处理、输送、贮存过程渗透影响厂址区域地下水；另一条是液体物料罐区渗漏污染地下水。</w:t>
      </w:r>
    </w:p>
    <w:p w14:paraId="504D70BD" w14:textId="77777777" w:rsidR="002E474C" w:rsidRDefault="00000000">
      <w:pPr>
        <w:pStyle w:val="A-z"/>
        <w:rPr>
          <w:color w:val="auto"/>
        </w:rPr>
      </w:pPr>
      <w:r>
        <w:rPr>
          <w:color w:val="auto"/>
        </w:rPr>
        <w:t>本项目废水主要为清洗废水、检修废水和实验室废水，清洗废水经废水收集池收集，设备检修清洗废水和实验室废水均采用桶装收集，生产废水经过水泥窑焚烧处理，不外排；本项目新增生活污水经管网排至厂内综合污水处理站处理。危废贮存库临时贮存物料主要为预处理中心转移入厂的固态危废预处理产物，少量液态危废均为</w:t>
      </w:r>
      <w:r>
        <w:rPr>
          <w:color w:val="auto"/>
        </w:rPr>
        <w:t>25L</w:t>
      </w:r>
      <w:r>
        <w:rPr>
          <w:color w:val="auto"/>
        </w:rPr>
        <w:t>～</w:t>
      </w:r>
      <w:r>
        <w:rPr>
          <w:color w:val="auto"/>
        </w:rPr>
        <w:t>1000L</w:t>
      </w:r>
      <w:r>
        <w:rPr>
          <w:color w:val="auto"/>
        </w:rPr>
        <w:t>铁（塑料）桶包装，泄漏的可能性很小，危废贮存库配套集液池，巡检可检查漏液情况。因此，地下水主要污染源为废水收集池，收集的废水包括车辆及容器清洗废水。本工程排放的废水对地下水的影响途径主</w:t>
      </w:r>
      <w:r>
        <w:rPr>
          <w:color w:val="auto"/>
        </w:rPr>
        <w:lastRenderedPageBreak/>
        <w:t>要是污水的收集、贮存过程因防渗层的腐蚀损坏透过地面渗透影响厂址区域地下水。项目建设期间构筑物及其设施均采用钢筋混凝土结构，设置防渗设施，正常生产过程中严防污水下渗，以避免对地下水潜水层的污染。</w:t>
      </w:r>
    </w:p>
    <w:p w14:paraId="45EAF0BB" w14:textId="77777777" w:rsidR="002E474C" w:rsidRDefault="00000000">
      <w:pPr>
        <w:pStyle w:val="A-z"/>
        <w:rPr>
          <w:color w:val="auto"/>
        </w:rPr>
      </w:pPr>
      <w:r>
        <w:rPr>
          <w:color w:val="auto"/>
        </w:rPr>
        <w:t>根据本项目的生产特征，可能泄漏并污染地下水的污染源包括：</w:t>
      </w:r>
    </w:p>
    <w:p w14:paraId="61220941" w14:textId="77777777" w:rsidR="002E474C" w:rsidRDefault="00000000">
      <w:pPr>
        <w:pStyle w:val="A-z"/>
        <w:rPr>
          <w:color w:val="auto"/>
        </w:rPr>
      </w:pPr>
      <w:r>
        <w:rPr>
          <w:color w:val="auto"/>
        </w:rPr>
        <w:t>非正常状况下，废水收集池池底防渗层发生破损，废水存在着持续泄漏污染地下水的可能性。</w:t>
      </w:r>
      <w:r>
        <w:rPr>
          <w:color w:val="auto"/>
          <w:lang w:val="en-US"/>
        </w:rPr>
        <w:t>考虑到废水泄漏达到</w:t>
      </w:r>
      <w:r>
        <w:rPr>
          <w:color w:val="auto"/>
          <w:lang w:val="en-US"/>
        </w:rPr>
        <w:t>20%</w:t>
      </w:r>
      <w:r>
        <w:rPr>
          <w:color w:val="auto"/>
          <w:lang w:val="en-US"/>
        </w:rPr>
        <w:t>以上时能够从水计量仪器的监测数据中发现，不能形成持续泄漏，故假设</w:t>
      </w:r>
      <w:r>
        <w:rPr>
          <w:color w:val="auto"/>
        </w:rPr>
        <w:t>废水收集池</w:t>
      </w:r>
      <w:r>
        <w:rPr>
          <w:color w:val="auto"/>
          <w:lang w:val="en-US"/>
        </w:rPr>
        <w:t>泄漏的污水泄漏量按总污水量</w:t>
      </w:r>
      <w:r>
        <w:rPr>
          <w:color w:val="auto"/>
          <w:lang w:val="en-US"/>
        </w:rPr>
        <w:t>20%</w:t>
      </w:r>
      <w:r>
        <w:rPr>
          <w:color w:val="auto"/>
          <w:lang w:val="en-US"/>
        </w:rPr>
        <w:t>考虑。</w:t>
      </w:r>
    </w:p>
    <w:p w14:paraId="71C9DBDA" w14:textId="77777777" w:rsidR="002E474C" w:rsidRDefault="00000000">
      <w:pPr>
        <w:pStyle w:val="A-z"/>
        <w:rPr>
          <w:color w:val="auto"/>
        </w:rPr>
      </w:pPr>
      <w:r>
        <w:rPr>
          <w:color w:val="auto"/>
        </w:rPr>
        <w:t>本项目地下水污染途径识别见表</w:t>
      </w:r>
      <w:r>
        <w:rPr>
          <w:color w:val="auto"/>
        </w:rPr>
        <w:t>5.3-</w:t>
      </w:r>
      <w:r>
        <w:rPr>
          <w:rFonts w:hint="eastAsia"/>
          <w:color w:val="auto"/>
        </w:rPr>
        <w:t>3</w:t>
      </w:r>
      <w:r>
        <w:rPr>
          <w:color w:val="auto"/>
        </w:rPr>
        <w:t>。</w:t>
      </w:r>
    </w:p>
    <w:p w14:paraId="680420D8" w14:textId="77777777" w:rsidR="002E474C" w:rsidRDefault="00000000">
      <w:pPr>
        <w:pStyle w:val="A--"/>
        <w:rPr>
          <w:color w:val="auto"/>
        </w:rPr>
      </w:pPr>
      <w:r>
        <w:rPr>
          <w:color w:val="auto"/>
        </w:rPr>
        <w:t>表</w:t>
      </w:r>
      <w:r>
        <w:rPr>
          <w:color w:val="auto"/>
        </w:rPr>
        <w:t>5.3-</w:t>
      </w:r>
      <w:r>
        <w:rPr>
          <w:rFonts w:hint="eastAsia"/>
          <w:color w:val="auto"/>
        </w:rPr>
        <w:t>3</w:t>
      </w:r>
      <w:r>
        <w:rPr>
          <w:color w:val="auto"/>
        </w:rPr>
        <w:t xml:space="preserve">    </w:t>
      </w:r>
      <w:r>
        <w:rPr>
          <w:color w:val="auto"/>
        </w:rPr>
        <w:t>地下水污染来源及途径识别</w:t>
      </w:r>
    </w:p>
    <w:tbl>
      <w:tblPr>
        <w:tblW w:w="83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22"/>
        <w:gridCol w:w="975"/>
        <w:gridCol w:w="1627"/>
        <w:gridCol w:w="2126"/>
        <w:gridCol w:w="2022"/>
        <w:gridCol w:w="1087"/>
      </w:tblGrid>
      <w:tr w:rsidR="002E474C" w14:paraId="2C3295F1" w14:textId="77777777">
        <w:trPr>
          <w:trHeight w:val="283"/>
        </w:trPr>
        <w:tc>
          <w:tcPr>
            <w:tcW w:w="522" w:type="dxa"/>
            <w:vAlign w:val="center"/>
          </w:tcPr>
          <w:p w14:paraId="016CF8FB" w14:textId="77777777" w:rsidR="002E474C" w:rsidRDefault="00000000">
            <w:pPr>
              <w:pStyle w:val="A-"/>
            </w:pPr>
            <w:r>
              <w:t>序号</w:t>
            </w:r>
          </w:p>
        </w:tc>
        <w:tc>
          <w:tcPr>
            <w:tcW w:w="975" w:type="dxa"/>
            <w:vAlign w:val="center"/>
          </w:tcPr>
          <w:p w14:paraId="4C9867FC" w14:textId="77777777" w:rsidR="002E474C" w:rsidRDefault="00000000">
            <w:pPr>
              <w:pStyle w:val="A-"/>
            </w:pPr>
            <w:r>
              <w:t>污染来源</w:t>
            </w:r>
          </w:p>
        </w:tc>
        <w:tc>
          <w:tcPr>
            <w:tcW w:w="1627" w:type="dxa"/>
            <w:vAlign w:val="center"/>
          </w:tcPr>
          <w:p w14:paraId="0DDA0E3C" w14:textId="77777777" w:rsidR="002E474C" w:rsidRDefault="00000000">
            <w:pPr>
              <w:pStyle w:val="A-"/>
            </w:pPr>
            <w:r>
              <w:t>主要设备</w:t>
            </w:r>
            <w:r>
              <w:t>/</w:t>
            </w:r>
            <w:r>
              <w:t>污染源</w:t>
            </w:r>
          </w:p>
        </w:tc>
        <w:tc>
          <w:tcPr>
            <w:tcW w:w="2126" w:type="dxa"/>
            <w:vAlign w:val="center"/>
          </w:tcPr>
          <w:p w14:paraId="0160D104" w14:textId="77777777" w:rsidR="002E474C" w:rsidRDefault="00000000">
            <w:pPr>
              <w:pStyle w:val="A-"/>
            </w:pPr>
            <w:r>
              <w:t>特征因子</w:t>
            </w:r>
          </w:p>
        </w:tc>
        <w:tc>
          <w:tcPr>
            <w:tcW w:w="2022" w:type="dxa"/>
            <w:vAlign w:val="center"/>
          </w:tcPr>
          <w:p w14:paraId="7A3F4949" w14:textId="77777777" w:rsidR="002E474C" w:rsidRDefault="00000000">
            <w:pPr>
              <w:pStyle w:val="A-"/>
            </w:pPr>
            <w:r>
              <w:t>污染途径识别</w:t>
            </w:r>
          </w:p>
        </w:tc>
        <w:tc>
          <w:tcPr>
            <w:tcW w:w="1087" w:type="dxa"/>
            <w:vAlign w:val="center"/>
          </w:tcPr>
          <w:p w14:paraId="68EB769F" w14:textId="77777777" w:rsidR="002E474C" w:rsidRDefault="00000000">
            <w:pPr>
              <w:pStyle w:val="A-"/>
            </w:pPr>
            <w:r>
              <w:t>源强估算</w:t>
            </w:r>
          </w:p>
        </w:tc>
      </w:tr>
      <w:tr w:rsidR="002E474C" w14:paraId="0735FED6" w14:textId="77777777">
        <w:trPr>
          <w:trHeight w:val="283"/>
        </w:trPr>
        <w:tc>
          <w:tcPr>
            <w:tcW w:w="522" w:type="dxa"/>
            <w:vAlign w:val="center"/>
          </w:tcPr>
          <w:p w14:paraId="2BAF12C6" w14:textId="77777777" w:rsidR="002E474C" w:rsidRDefault="00000000">
            <w:pPr>
              <w:pStyle w:val="A-"/>
            </w:pPr>
            <w:r>
              <w:t>1</w:t>
            </w:r>
          </w:p>
        </w:tc>
        <w:tc>
          <w:tcPr>
            <w:tcW w:w="975" w:type="dxa"/>
            <w:vAlign w:val="center"/>
          </w:tcPr>
          <w:p w14:paraId="766FEFB2" w14:textId="77777777" w:rsidR="002E474C" w:rsidRDefault="00000000">
            <w:pPr>
              <w:pStyle w:val="A-"/>
            </w:pPr>
            <w:r>
              <w:t>生产废水收集系统</w:t>
            </w:r>
          </w:p>
        </w:tc>
        <w:tc>
          <w:tcPr>
            <w:tcW w:w="1627" w:type="dxa"/>
            <w:vAlign w:val="center"/>
          </w:tcPr>
          <w:p w14:paraId="3F4B8197" w14:textId="77777777" w:rsidR="002E474C" w:rsidRDefault="00000000">
            <w:pPr>
              <w:pStyle w:val="A-"/>
            </w:pPr>
            <w:r>
              <w:t>废水收集池</w:t>
            </w:r>
          </w:p>
        </w:tc>
        <w:tc>
          <w:tcPr>
            <w:tcW w:w="2126" w:type="dxa"/>
            <w:vAlign w:val="center"/>
          </w:tcPr>
          <w:p w14:paraId="4EB7567F" w14:textId="77777777" w:rsidR="002E474C" w:rsidRDefault="00000000">
            <w:pPr>
              <w:pStyle w:val="A-"/>
            </w:pPr>
            <w:r>
              <w:t>COD</w:t>
            </w:r>
            <w:r>
              <w:t>、氨氮、石油类及悬浮物</w:t>
            </w:r>
          </w:p>
        </w:tc>
        <w:tc>
          <w:tcPr>
            <w:tcW w:w="2022" w:type="dxa"/>
            <w:vAlign w:val="center"/>
          </w:tcPr>
          <w:p w14:paraId="6A7E1B67" w14:textId="77777777" w:rsidR="002E474C" w:rsidRDefault="00000000">
            <w:pPr>
              <w:pStyle w:val="A-"/>
            </w:pPr>
            <w:r>
              <w:t>非正常工况下，废水持续泄漏，进而渗入包气带及地下水。</w:t>
            </w:r>
          </w:p>
        </w:tc>
        <w:tc>
          <w:tcPr>
            <w:tcW w:w="1087" w:type="dxa"/>
            <w:vAlign w:val="center"/>
          </w:tcPr>
          <w:p w14:paraId="02EE3363" w14:textId="77777777" w:rsidR="002E474C" w:rsidRDefault="00000000">
            <w:pPr>
              <w:pStyle w:val="A-"/>
            </w:pPr>
            <w:r>
              <w:t>按废水收集池的</w:t>
            </w:r>
            <w:r>
              <w:t>20%</w:t>
            </w:r>
            <w:r>
              <w:t>考虑计算</w:t>
            </w:r>
          </w:p>
        </w:tc>
      </w:tr>
    </w:tbl>
    <w:p w14:paraId="3D7E0F1E" w14:textId="77777777" w:rsidR="002E474C" w:rsidRDefault="002E474C">
      <w:pPr>
        <w:ind w:firstLine="480"/>
      </w:pPr>
    </w:p>
    <w:p w14:paraId="2816C549" w14:textId="77777777" w:rsidR="002E474C" w:rsidRDefault="00000000">
      <w:pPr>
        <w:pStyle w:val="A-z"/>
        <w:rPr>
          <w:color w:val="auto"/>
        </w:rPr>
      </w:pPr>
      <w:r>
        <w:rPr>
          <w:color w:val="auto"/>
        </w:rPr>
        <w:t>各种风险事故情况下，污染物泄漏与地下经过包气带向饱水带运动如图</w:t>
      </w:r>
      <w:r>
        <w:rPr>
          <w:color w:val="auto"/>
        </w:rPr>
        <w:t>5.3-</w:t>
      </w:r>
      <w:r>
        <w:rPr>
          <w:rFonts w:hint="eastAsia"/>
          <w:color w:val="auto"/>
        </w:rPr>
        <w:t>4</w:t>
      </w:r>
      <w:r>
        <w:rPr>
          <w:color w:val="auto"/>
        </w:rPr>
        <w:t>，这个过程中无论污染物为液态危废还是饱和溶解污水，能够进入地下水并随之运动的最终都是溶解进入水中的部分。</w:t>
      </w:r>
    </w:p>
    <w:p w14:paraId="08F09C46" w14:textId="77777777" w:rsidR="002E474C" w:rsidRDefault="00000000">
      <w:pPr>
        <w:pStyle w:val="A-z"/>
        <w:rPr>
          <w:color w:val="auto"/>
        </w:rPr>
      </w:pPr>
      <w:r>
        <w:rPr>
          <w:color w:val="auto"/>
        </w:rPr>
        <w:t>包气带是连接大气和地下水的重要纽带，在大气降水补给地下水以及地下水通过包气带蒸发过程中扮演着重要的角色。包气带污染可进一步引起和促进水体、大气和生物等要素的污染，从而影响人体健康。所以有必要对包气带污染情况进行预测，为进一步采取预防措施提出科学依据。包气带的防污性能与包气带的岩性、结构、厚度以及地形坡度等有着密切的联系。其中岩性和厚度对防污性能影响较大，包气带土壤沉积物中的粘土矿物和有机碳在吸附无机离子组分和有机污染物过程中发挥着非常重要的作用。一般来说包气带土层对污染物的吸附可以阻滞有机污染物向地下水中迁移，包气带的厚度越大，污染物越难以迁移进入地下水。</w:t>
      </w:r>
    </w:p>
    <w:p w14:paraId="11A7CBE6" w14:textId="77777777" w:rsidR="002E474C" w:rsidRDefault="00000000">
      <w:pPr>
        <w:pStyle w:val="A-z"/>
        <w:rPr>
          <w:color w:val="auto"/>
        </w:rPr>
      </w:pPr>
      <w:r>
        <w:rPr>
          <w:color w:val="auto"/>
        </w:rPr>
        <w:t>依据评价区及场地水文地质条件，评价区地下水为</w:t>
      </w:r>
      <w:r>
        <w:rPr>
          <w:color w:val="auto"/>
        </w:rPr>
        <w:t>100m</w:t>
      </w:r>
      <w:r>
        <w:rPr>
          <w:color w:val="auto"/>
        </w:rPr>
        <w:t>之下的裂隙孔隙承压水，表层砾石土下伏的泥岩和粉砂质泥岩为隔水层，隔水层稳定且隔水性能强，能有效保护深部承压含水层，不会因建设项目影响导致承压含水层污染。</w:t>
      </w:r>
    </w:p>
    <w:p w14:paraId="6D45FF4F" w14:textId="77777777" w:rsidR="002E474C" w:rsidRDefault="00000000">
      <w:pPr>
        <w:pStyle w:val="41"/>
        <w:rPr>
          <w:color w:val="auto"/>
        </w:rPr>
      </w:pPr>
      <w:r>
        <w:rPr>
          <w:color w:val="auto"/>
        </w:rPr>
        <w:t>污染预测模型</w:t>
      </w:r>
    </w:p>
    <w:p w14:paraId="316061DA" w14:textId="77777777" w:rsidR="002E474C" w:rsidRDefault="00000000">
      <w:pPr>
        <w:pStyle w:val="A-z"/>
        <w:rPr>
          <w:color w:val="auto"/>
        </w:rPr>
      </w:pPr>
      <w:r>
        <w:rPr>
          <w:color w:val="auto"/>
        </w:rPr>
        <w:lastRenderedPageBreak/>
        <w:t>厂址区场地地层从上到下主要由卵石、漂石等组成，概化调节池附近非饱和带岩性结构；废水收集池基础层以下包气带为卵石层（</w:t>
      </w:r>
      <w:r>
        <w:rPr>
          <w:color w:val="auto"/>
        </w:rPr>
        <w:t>8.50m</w:t>
      </w:r>
      <w:r>
        <w:rPr>
          <w:color w:val="auto"/>
        </w:rPr>
        <w:t>）、漂石层（</w:t>
      </w:r>
      <w:r>
        <w:rPr>
          <w:color w:val="auto"/>
        </w:rPr>
        <w:t>2.0m</w:t>
      </w:r>
      <w:r>
        <w:rPr>
          <w:color w:val="auto"/>
        </w:rPr>
        <w:t>）、卵石层（</w:t>
      </w:r>
      <w:r>
        <w:rPr>
          <w:color w:val="auto"/>
        </w:rPr>
        <w:t>37.1m</w:t>
      </w:r>
      <w:r>
        <w:rPr>
          <w:color w:val="auto"/>
        </w:rPr>
        <w:t>），分别在</w:t>
      </w:r>
      <w:r>
        <w:rPr>
          <w:color w:val="auto"/>
        </w:rPr>
        <w:t>5m</w:t>
      </w:r>
      <w:r>
        <w:rPr>
          <w:color w:val="auto"/>
        </w:rPr>
        <w:t>、</w:t>
      </w:r>
      <w:r>
        <w:rPr>
          <w:color w:val="auto"/>
        </w:rPr>
        <w:t>8.5m</w:t>
      </w:r>
      <w:r>
        <w:rPr>
          <w:color w:val="auto"/>
        </w:rPr>
        <w:t>、</w:t>
      </w:r>
      <w:r>
        <w:rPr>
          <w:color w:val="auto"/>
        </w:rPr>
        <w:t>12.5m</w:t>
      </w:r>
      <w:r>
        <w:rPr>
          <w:color w:val="auto"/>
        </w:rPr>
        <w:t>、</w:t>
      </w:r>
      <w:r>
        <w:rPr>
          <w:color w:val="auto"/>
        </w:rPr>
        <w:t>15m</w:t>
      </w:r>
      <w:r>
        <w:rPr>
          <w:color w:val="auto"/>
        </w:rPr>
        <w:t>、</w:t>
      </w:r>
      <w:r>
        <w:rPr>
          <w:color w:val="auto"/>
        </w:rPr>
        <w:t>40m</w:t>
      </w:r>
      <w:r>
        <w:rPr>
          <w:color w:val="auto"/>
        </w:rPr>
        <w:t>各设置</w:t>
      </w:r>
      <w:r>
        <w:rPr>
          <w:color w:val="auto"/>
        </w:rPr>
        <w:t>1</w:t>
      </w:r>
      <w:r>
        <w:rPr>
          <w:color w:val="auto"/>
        </w:rPr>
        <w:t>个观测点，共设置</w:t>
      </w:r>
      <w:r>
        <w:rPr>
          <w:color w:val="auto"/>
        </w:rPr>
        <w:t>5</w:t>
      </w:r>
      <w:r>
        <w:rPr>
          <w:color w:val="auto"/>
        </w:rPr>
        <w:t>个观测点。</w:t>
      </w:r>
    </w:p>
    <w:p w14:paraId="5996AE41" w14:textId="77777777" w:rsidR="002E474C" w:rsidRDefault="00000000">
      <w:pPr>
        <w:pStyle w:val="A-z"/>
        <w:ind w:firstLine="456"/>
        <w:rPr>
          <w:color w:val="auto"/>
          <w:spacing w:val="-6"/>
        </w:rPr>
      </w:pPr>
      <w:r>
        <w:rPr>
          <w:color w:val="auto"/>
          <w:spacing w:val="-6"/>
        </w:rPr>
        <w:t>区域无潜水含水层和污染物直接进入的含水层，非正常和风险状况下地下水污染源泄漏后，无法沿第四系沉积层入渗，故本次地下水环境的预测评价将建立非饱和模型，利用</w:t>
      </w:r>
      <w:r>
        <w:rPr>
          <w:color w:val="auto"/>
          <w:spacing w:val="-6"/>
        </w:rPr>
        <w:t>HYDRUS 1D</w:t>
      </w:r>
      <w:r>
        <w:rPr>
          <w:color w:val="auto"/>
          <w:spacing w:val="-6"/>
        </w:rPr>
        <w:t>软件预测污染物在包气带中迁移情况。在现有资料的基础上，将非饱和带概化为各向均质同性，水流运动符合推流模式，污染物侧向迁移忽略不计，即认为该水流运动和污染物迁移模型为一维垂向非稳定流模型。</w:t>
      </w:r>
    </w:p>
    <w:p w14:paraId="04A7C716" w14:textId="77777777" w:rsidR="002E474C" w:rsidRDefault="00000000">
      <w:pPr>
        <w:pStyle w:val="A-z"/>
        <w:rPr>
          <w:color w:val="auto"/>
          <w:kern w:val="0"/>
          <w:szCs w:val="24"/>
        </w:rPr>
      </w:pPr>
      <w:r>
        <w:rPr>
          <w:color w:val="auto"/>
          <w:kern w:val="0"/>
          <w:szCs w:val="24"/>
        </w:rPr>
        <w:t>（</w:t>
      </w:r>
      <w:r>
        <w:rPr>
          <w:color w:val="auto"/>
          <w:kern w:val="0"/>
          <w:szCs w:val="24"/>
        </w:rPr>
        <w:t>1</w:t>
      </w:r>
      <w:r>
        <w:rPr>
          <w:color w:val="auto"/>
          <w:kern w:val="0"/>
          <w:szCs w:val="24"/>
        </w:rPr>
        <w:t>）水流模型</w:t>
      </w:r>
    </w:p>
    <w:p w14:paraId="338D57CE" w14:textId="77777777" w:rsidR="002E474C" w:rsidRDefault="00000000">
      <w:pPr>
        <w:pStyle w:val="A-z"/>
        <w:rPr>
          <w:color w:val="auto"/>
          <w:kern w:val="0"/>
          <w:szCs w:val="24"/>
        </w:rPr>
      </w:pPr>
      <w:r>
        <w:rPr>
          <w:color w:val="auto"/>
          <w:kern w:val="0"/>
          <w:szCs w:val="24"/>
        </w:rPr>
        <w:t>一维非饱和溶质垂向运移控制方程如下式所示：</w:t>
      </w:r>
    </w:p>
    <w:p w14:paraId="506E583F" w14:textId="77777777" w:rsidR="002E474C" w:rsidRDefault="00000000">
      <w:pPr>
        <w:ind w:firstLine="480"/>
        <w:rPr>
          <w:kern w:val="0"/>
          <w:sz w:val="24"/>
          <w:szCs w:val="24"/>
        </w:rPr>
      </w:pPr>
      <m:oMathPara>
        <m:oMath>
          <m:f>
            <m:fPr>
              <m:ctrlPr>
                <w:rPr>
                  <w:rFonts w:ascii="Cambria Math" w:hAnsi="Cambria Math"/>
                  <w:kern w:val="0"/>
                  <w:sz w:val="24"/>
                  <w:szCs w:val="24"/>
                </w:rPr>
              </m:ctrlPr>
            </m:fPr>
            <m:num>
              <m:r>
                <w:rPr>
                  <w:rFonts w:ascii="Cambria Math" w:hAnsi="Cambria Math"/>
                  <w:kern w:val="0"/>
                  <w:sz w:val="24"/>
                  <w:szCs w:val="24"/>
                </w:rPr>
                <m:t>∂</m:t>
              </m:r>
              <m:r>
                <w:rPr>
                  <w:rFonts w:ascii="Cambria Math" w:hAnsi="Cambria Math"/>
                  <w:kern w:val="0"/>
                  <w:sz w:val="24"/>
                  <w:szCs w:val="24"/>
                </w:rPr>
                <m:t>（</m:t>
              </m:r>
              <m:r>
                <w:rPr>
                  <w:rFonts w:ascii="Cambria Math" w:hAnsi="Cambria Math"/>
                  <w:kern w:val="0"/>
                  <w:sz w:val="24"/>
                  <w:szCs w:val="24"/>
                </w:rPr>
                <m:t>θc</m:t>
              </m:r>
              <m:r>
                <w:rPr>
                  <w:rFonts w:ascii="Cambria Math" w:hAnsi="Cambria Math"/>
                  <w:kern w:val="0"/>
                  <w:sz w:val="24"/>
                  <w:szCs w:val="24"/>
                </w:rPr>
                <m:t>）</m:t>
              </m:r>
            </m:num>
            <m:den>
              <m:r>
                <w:rPr>
                  <w:rFonts w:ascii="Cambria Math" w:hAnsi="Cambria Math"/>
                  <w:kern w:val="0"/>
                  <w:sz w:val="24"/>
                  <w:szCs w:val="24"/>
                </w:rPr>
                <m:t>∂t</m:t>
              </m:r>
            </m:den>
          </m:f>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m:t>
              </m:r>
            </m:num>
            <m:den>
              <m:r>
                <w:rPr>
                  <w:rFonts w:ascii="Cambria Math" w:hAnsi="Cambria Math"/>
                  <w:kern w:val="0"/>
                  <w:sz w:val="24"/>
                  <w:szCs w:val="24"/>
                </w:rPr>
                <m:t>∂z</m:t>
              </m:r>
            </m:den>
          </m:f>
          <m:d>
            <m:dPr>
              <m:ctrlPr>
                <w:rPr>
                  <w:rFonts w:ascii="Cambria Math" w:hAnsi="Cambria Math"/>
                  <w:i/>
                  <w:kern w:val="0"/>
                  <w:sz w:val="24"/>
                  <w:szCs w:val="24"/>
                </w:rPr>
              </m:ctrlPr>
            </m:dPr>
            <m:e>
              <m:r>
                <w:rPr>
                  <w:rFonts w:ascii="Cambria Math" w:hAnsi="Cambria Math"/>
                  <w:kern w:val="0"/>
                  <w:sz w:val="24"/>
                  <w:szCs w:val="24"/>
                </w:rPr>
                <m:t>θD</m:t>
              </m:r>
              <m:f>
                <m:fPr>
                  <m:ctrlPr>
                    <w:rPr>
                      <w:rFonts w:ascii="Cambria Math" w:hAnsi="Cambria Math"/>
                      <w:i/>
                      <w:kern w:val="0"/>
                      <w:sz w:val="24"/>
                      <w:szCs w:val="24"/>
                    </w:rPr>
                  </m:ctrlPr>
                </m:fPr>
                <m:num>
                  <m:r>
                    <w:rPr>
                      <w:rFonts w:ascii="Cambria Math" w:hAnsi="Cambria Math"/>
                      <w:kern w:val="0"/>
                      <w:sz w:val="24"/>
                      <w:szCs w:val="24"/>
                    </w:rPr>
                    <m:t>∂c</m:t>
                  </m:r>
                </m:num>
                <m:den>
                  <m:r>
                    <w:rPr>
                      <w:rFonts w:ascii="Cambria Math" w:hAnsi="Cambria Math"/>
                      <w:kern w:val="0"/>
                      <w:sz w:val="24"/>
                      <w:szCs w:val="24"/>
                    </w:rPr>
                    <m:t>∂z</m:t>
                  </m:r>
                </m:den>
              </m:f>
            </m:e>
          </m:d>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m:t>
              </m:r>
            </m:num>
            <m:den>
              <m:r>
                <w:rPr>
                  <w:rFonts w:ascii="Cambria Math" w:hAnsi="Cambria Math"/>
                  <w:kern w:val="0"/>
                  <w:sz w:val="24"/>
                  <w:szCs w:val="24"/>
                </w:rPr>
                <m:t>∂z</m:t>
              </m:r>
            </m:den>
          </m:f>
          <m:r>
            <w:rPr>
              <w:rFonts w:ascii="Cambria Math" w:hAnsi="Cambria Math"/>
              <w:kern w:val="0"/>
              <w:sz w:val="24"/>
              <w:szCs w:val="24"/>
            </w:rPr>
            <m:t>（</m:t>
          </m:r>
          <m:r>
            <w:rPr>
              <w:rFonts w:ascii="Cambria Math" w:hAnsi="Cambria Math"/>
              <w:kern w:val="0"/>
              <w:sz w:val="24"/>
              <w:szCs w:val="24"/>
            </w:rPr>
            <m:t>qc</m:t>
          </m:r>
          <m:r>
            <w:rPr>
              <w:rFonts w:ascii="Cambria Math" w:hAnsi="Cambria Math"/>
              <w:kern w:val="0"/>
              <w:sz w:val="24"/>
              <w:szCs w:val="24"/>
            </w:rPr>
            <m:t>）</m:t>
          </m:r>
          <m:r>
            <w:rPr>
              <w:rFonts w:ascii="Cambria Math" w:hAnsi="Cambria Math"/>
              <w:kern w:val="0"/>
              <w:sz w:val="24"/>
              <w:szCs w:val="24"/>
            </w:rPr>
            <m:t>]</m:t>
          </m:r>
        </m:oMath>
      </m:oMathPara>
    </w:p>
    <w:p w14:paraId="343C3DA2" w14:textId="77777777" w:rsidR="002E474C" w:rsidRDefault="00000000">
      <w:pPr>
        <w:pStyle w:val="A-z"/>
        <w:rPr>
          <w:color w:val="auto"/>
        </w:rPr>
      </w:pPr>
      <w:r>
        <w:rPr>
          <w:color w:val="auto"/>
        </w:rPr>
        <w:t>式中：</w:t>
      </w:r>
    </w:p>
    <w:p w14:paraId="0615340A" w14:textId="77777777" w:rsidR="002E474C" w:rsidRDefault="00000000">
      <w:pPr>
        <w:pStyle w:val="A-z"/>
        <w:rPr>
          <w:color w:val="auto"/>
        </w:rPr>
      </w:pPr>
      <w:r>
        <w:rPr>
          <w:color w:val="auto"/>
        </w:rPr>
        <w:t>c—</w:t>
      </w:r>
      <w:r>
        <w:rPr>
          <w:color w:val="auto"/>
        </w:rPr>
        <w:t>污染物在包气带介质中的浓度，</w:t>
      </w:r>
      <w:r>
        <w:rPr>
          <w:color w:val="auto"/>
        </w:rPr>
        <w:t>mg/L</w:t>
      </w:r>
      <w:r>
        <w:rPr>
          <w:color w:val="auto"/>
        </w:rPr>
        <w:t>；</w:t>
      </w:r>
    </w:p>
    <w:p w14:paraId="767A2258" w14:textId="77777777" w:rsidR="002E474C" w:rsidRDefault="00000000">
      <w:pPr>
        <w:pStyle w:val="A-z"/>
        <w:rPr>
          <w:color w:val="auto"/>
        </w:rPr>
      </w:pPr>
      <w:r>
        <w:rPr>
          <w:color w:val="auto"/>
        </w:rPr>
        <w:t>D—</w:t>
      </w:r>
      <w:r>
        <w:rPr>
          <w:color w:val="auto"/>
        </w:rPr>
        <w:t>包气带的弥散系数，</w:t>
      </w:r>
      <w:r>
        <w:rPr>
          <w:color w:val="auto"/>
        </w:rPr>
        <w:t>m²/d</w:t>
      </w:r>
      <w:r>
        <w:rPr>
          <w:color w:val="auto"/>
        </w:rPr>
        <w:t>；</w:t>
      </w:r>
    </w:p>
    <w:p w14:paraId="46848B72" w14:textId="77777777" w:rsidR="002E474C" w:rsidRDefault="00000000">
      <w:pPr>
        <w:pStyle w:val="A-z"/>
        <w:rPr>
          <w:color w:val="auto"/>
        </w:rPr>
      </w:pPr>
      <w:r>
        <w:rPr>
          <w:color w:val="auto"/>
        </w:rPr>
        <w:t>q—</w:t>
      </w:r>
      <w:r>
        <w:rPr>
          <w:color w:val="auto"/>
        </w:rPr>
        <w:t>包气带中水流的实际速度，</w:t>
      </w:r>
      <w:r>
        <w:rPr>
          <w:color w:val="auto"/>
        </w:rPr>
        <w:t>m/d</w:t>
      </w:r>
      <w:r>
        <w:rPr>
          <w:color w:val="auto"/>
        </w:rPr>
        <w:t>；</w:t>
      </w:r>
    </w:p>
    <w:p w14:paraId="65E66975" w14:textId="77777777" w:rsidR="002E474C" w:rsidRDefault="00000000">
      <w:pPr>
        <w:pStyle w:val="A-z"/>
        <w:rPr>
          <w:color w:val="auto"/>
        </w:rPr>
      </w:pPr>
      <w:r>
        <w:rPr>
          <w:color w:val="auto"/>
        </w:rPr>
        <w:t>z—</w:t>
      </w:r>
      <w:r>
        <w:rPr>
          <w:color w:val="auto"/>
        </w:rPr>
        <w:t>沿</w:t>
      </w:r>
      <w:r>
        <w:rPr>
          <w:color w:val="auto"/>
        </w:rPr>
        <w:t>z</w:t>
      </w:r>
      <w:r>
        <w:rPr>
          <w:color w:val="auto"/>
        </w:rPr>
        <w:t>轴的距离，</w:t>
      </w:r>
      <w:r>
        <w:rPr>
          <w:color w:val="auto"/>
        </w:rPr>
        <w:t>m</w:t>
      </w:r>
      <w:r>
        <w:rPr>
          <w:color w:val="auto"/>
        </w:rPr>
        <w:t>；</w:t>
      </w:r>
    </w:p>
    <w:p w14:paraId="53688D90" w14:textId="77777777" w:rsidR="002E474C" w:rsidRDefault="00000000">
      <w:pPr>
        <w:pStyle w:val="A-z"/>
        <w:rPr>
          <w:color w:val="auto"/>
        </w:rPr>
      </w:pPr>
      <w:r>
        <w:rPr>
          <w:color w:val="auto"/>
        </w:rPr>
        <w:t>t—</w:t>
      </w:r>
      <w:r>
        <w:rPr>
          <w:color w:val="auto"/>
        </w:rPr>
        <w:t>时间变量，</w:t>
      </w:r>
      <w:r>
        <w:rPr>
          <w:color w:val="auto"/>
        </w:rPr>
        <w:t>d</w:t>
      </w:r>
      <w:r>
        <w:rPr>
          <w:color w:val="auto"/>
        </w:rPr>
        <w:t>；</w:t>
      </w:r>
    </w:p>
    <w:p w14:paraId="6D0BA1E7" w14:textId="77777777" w:rsidR="002E474C" w:rsidRDefault="00000000">
      <w:pPr>
        <w:pStyle w:val="A-z"/>
        <w:rPr>
          <w:color w:val="auto"/>
        </w:rPr>
      </w:pPr>
      <w:r>
        <w:rPr>
          <w:color w:val="auto"/>
        </w:rPr>
        <w:t>θ—</w:t>
      </w:r>
      <w:r>
        <w:rPr>
          <w:color w:val="auto"/>
        </w:rPr>
        <w:t>土壤含水率，</w:t>
      </w:r>
      <w:r>
        <w:rPr>
          <w:color w:val="auto"/>
        </w:rPr>
        <w:t>%</w:t>
      </w:r>
      <w:r>
        <w:rPr>
          <w:color w:val="auto"/>
        </w:rPr>
        <w:t>。</w:t>
      </w:r>
    </w:p>
    <w:p w14:paraId="724F1DE4" w14:textId="77777777" w:rsidR="002E474C" w:rsidRDefault="00000000">
      <w:pPr>
        <w:pStyle w:val="A-z"/>
        <w:rPr>
          <w:color w:val="auto"/>
        </w:rPr>
      </w:pPr>
      <w:r>
        <w:rPr>
          <w:color w:val="auto"/>
        </w:rPr>
        <w:t>初始条件：</w:t>
      </w:r>
    </w:p>
    <w:p w14:paraId="603AA126" w14:textId="77777777" w:rsidR="002E474C" w:rsidRDefault="00000000">
      <w:pPr>
        <w:overflowPunct w:val="0"/>
        <w:spacing w:line="360" w:lineRule="auto"/>
        <w:ind w:firstLineChars="200" w:firstLine="480"/>
        <w:jc w:val="center"/>
        <w:rPr>
          <w:kern w:val="0"/>
          <w:sz w:val="24"/>
          <w:szCs w:val="24"/>
        </w:rPr>
      </w:pPr>
      <w:r>
        <w:rPr>
          <w:kern w:val="0"/>
          <w:sz w:val="24"/>
          <w:szCs w:val="24"/>
        </w:rPr>
        <w:t>c</w:t>
      </w:r>
      <w:r>
        <w:rPr>
          <w:kern w:val="0"/>
          <w:sz w:val="24"/>
          <w:szCs w:val="24"/>
        </w:rPr>
        <w:t>（</w:t>
      </w:r>
      <w:r>
        <w:rPr>
          <w:kern w:val="0"/>
          <w:sz w:val="24"/>
          <w:szCs w:val="24"/>
        </w:rPr>
        <w:t>z</w:t>
      </w:r>
      <w:r>
        <w:rPr>
          <w:kern w:val="0"/>
          <w:sz w:val="24"/>
          <w:szCs w:val="24"/>
        </w:rPr>
        <w:t>，</w:t>
      </w:r>
      <w:r>
        <w:rPr>
          <w:kern w:val="0"/>
          <w:sz w:val="24"/>
          <w:szCs w:val="24"/>
        </w:rPr>
        <w:t>t</w:t>
      </w:r>
      <w:r>
        <w:rPr>
          <w:kern w:val="0"/>
          <w:sz w:val="24"/>
          <w:szCs w:val="24"/>
        </w:rPr>
        <w:t>）</w:t>
      </w:r>
      <w:r>
        <w:rPr>
          <w:kern w:val="0"/>
          <w:sz w:val="24"/>
          <w:szCs w:val="24"/>
        </w:rPr>
        <w:t>=0   t=0</w:t>
      </w:r>
      <w:r>
        <w:rPr>
          <w:kern w:val="0"/>
          <w:sz w:val="24"/>
          <w:szCs w:val="24"/>
        </w:rPr>
        <w:t>，</w:t>
      </w:r>
      <w:proofErr w:type="spellStart"/>
      <w:r>
        <w:rPr>
          <w:kern w:val="0"/>
          <w:sz w:val="24"/>
          <w:szCs w:val="24"/>
        </w:rPr>
        <w:t>L≤z</w:t>
      </w:r>
      <w:proofErr w:type="spellEnd"/>
      <w:r>
        <w:rPr>
          <w:kern w:val="0"/>
          <w:sz w:val="24"/>
          <w:szCs w:val="24"/>
        </w:rPr>
        <w:t>&lt;0</w:t>
      </w:r>
    </w:p>
    <w:p w14:paraId="4445093E" w14:textId="77777777" w:rsidR="002E474C" w:rsidRDefault="00000000">
      <w:pPr>
        <w:pStyle w:val="A-z"/>
        <w:rPr>
          <w:color w:val="auto"/>
        </w:rPr>
      </w:pPr>
      <w:r>
        <w:rPr>
          <w:color w:val="auto"/>
        </w:rPr>
        <w:t>边界条件：</w:t>
      </w:r>
    </w:p>
    <w:p w14:paraId="27807295" w14:textId="77777777" w:rsidR="002E474C" w:rsidRDefault="00000000">
      <w:pPr>
        <w:pStyle w:val="A-z"/>
        <w:rPr>
          <w:color w:val="auto"/>
        </w:rPr>
      </w:pPr>
      <w:r>
        <w:rPr>
          <w:color w:val="auto"/>
        </w:rPr>
        <w:t>第一类</w:t>
      </w:r>
      <w:r>
        <w:rPr>
          <w:color w:val="auto"/>
        </w:rPr>
        <w:t>Dirichlet</w:t>
      </w:r>
      <w:r>
        <w:rPr>
          <w:color w:val="auto"/>
        </w:rPr>
        <w:t>边界条件：</w:t>
      </w:r>
    </w:p>
    <w:p w14:paraId="05B8768E" w14:textId="77777777" w:rsidR="002E474C" w:rsidRDefault="00000000">
      <w:pPr>
        <w:pStyle w:val="A-z"/>
        <w:rPr>
          <w:color w:val="auto"/>
        </w:rPr>
      </w:pPr>
      <w:r>
        <w:rPr>
          <w:color w:val="auto"/>
        </w:rPr>
        <w:t>连续点源：</w:t>
      </w:r>
      <w:r>
        <w:rPr>
          <w:color w:val="auto"/>
        </w:rPr>
        <w:t>c</w:t>
      </w:r>
      <w:r>
        <w:rPr>
          <w:color w:val="auto"/>
        </w:rPr>
        <w:t>（</w:t>
      </w:r>
      <w:r>
        <w:rPr>
          <w:color w:val="auto"/>
        </w:rPr>
        <w:t>z</w:t>
      </w:r>
      <w:r>
        <w:rPr>
          <w:color w:val="auto"/>
        </w:rPr>
        <w:t>，</w:t>
      </w:r>
      <w:r>
        <w:rPr>
          <w:color w:val="auto"/>
        </w:rPr>
        <w:t>t</w:t>
      </w:r>
      <w:r>
        <w:rPr>
          <w:color w:val="auto"/>
        </w:rPr>
        <w:t>）</w:t>
      </w:r>
      <w:r>
        <w:rPr>
          <w:color w:val="auto"/>
        </w:rPr>
        <w:t>=c</w:t>
      </w:r>
      <w:r>
        <w:rPr>
          <w:color w:val="auto"/>
          <w:vertAlign w:val="subscript"/>
        </w:rPr>
        <w:t>0</w:t>
      </w:r>
      <w:r>
        <w:rPr>
          <w:color w:val="auto"/>
        </w:rPr>
        <w:t>（</w:t>
      </w:r>
      <w:r>
        <w:rPr>
          <w:color w:val="auto"/>
        </w:rPr>
        <w:t>t</w:t>
      </w:r>
      <w:r>
        <w:rPr>
          <w:color w:val="auto"/>
        </w:rPr>
        <w:t>＞</w:t>
      </w:r>
      <w:r>
        <w:rPr>
          <w:color w:val="auto"/>
        </w:rPr>
        <w:t>0</w:t>
      </w:r>
      <w:r>
        <w:rPr>
          <w:color w:val="auto"/>
        </w:rPr>
        <w:t>，</w:t>
      </w:r>
      <w:r>
        <w:rPr>
          <w:color w:val="auto"/>
        </w:rPr>
        <w:t>z=0</w:t>
      </w:r>
      <w:r>
        <w:rPr>
          <w:color w:val="auto"/>
        </w:rPr>
        <w:t>）</w:t>
      </w:r>
    </w:p>
    <w:p w14:paraId="10A8D073" w14:textId="77777777" w:rsidR="002E474C" w:rsidRDefault="00000000">
      <w:pPr>
        <w:pStyle w:val="A-z"/>
        <w:rPr>
          <w:color w:val="auto"/>
        </w:rPr>
      </w:pPr>
      <w:r>
        <w:rPr>
          <w:color w:val="auto"/>
        </w:rPr>
        <w:t>非连续点源：</w:t>
      </w:r>
      <w:r>
        <w:rPr>
          <w:color w:val="auto"/>
        </w:rPr>
        <w:t>c</w:t>
      </w:r>
      <w:r>
        <w:rPr>
          <w:color w:val="auto"/>
        </w:rPr>
        <w:t>（</w:t>
      </w:r>
      <w:r>
        <w:rPr>
          <w:color w:val="auto"/>
        </w:rPr>
        <w:t>z</w:t>
      </w:r>
      <w:r>
        <w:rPr>
          <w:color w:val="auto"/>
        </w:rPr>
        <w:t>，</w:t>
      </w:r>
      <w:r>
        <w:rPr>
          <w:color w:val="auto"/>
        </w:rPr>
        <w:t>t</w:t>
      </w:r>
      <w:r>
        <w:rPr>
          <w:color w:val="auto"/>
        </w:rPr>
        <w:t>）</w:t>
      </w:r>
      <w:r>
        <w:rPr>
          <w:color w:val="auto"/>
        </w:rPr>
        <w:t>={</w:t>
      </w:r>
      <m:oMath>
        <m:d>
          <m:dPr>
            <m:begChr m:val="{"/>
            <m:endChr m:val=""/>
            <m:ctrlPr>
              <w:rPr>
                <w:rFonts w:ascii="Cambria Math" w:hAnsi="Cambria Math"/>
                <w:color w:val="auto"/>
              </w:rPr>
            </m:ctrlPr>
          </m:dPr>
          <m:e>
            <m:eqArr>
              <m:eqArrPr>
                <m:ctrlPr>
                  <w:rPr>
                    <w:rFonts w:ascii="Cambria Math" w:hAnsi="Cambria Math"/>
                    <w:color w:val="auto"/>
                  </w:rPr>
                </m:ctrlPr>
              </m:eqArrPr>
              <m:e>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0</m:t>
                    </m:r>
                  </m:sub>
                </m:sSub>
              </m:e>
              <m:e>
                <m:r>
                  <w:rPr>
                    <w:rFonts w:ascii="Cambria Math" w:hAnsi="Cambria Math"/>
                    <w:color w:val="auto"/>
                  </w:rPr>
                  <m:t>0</m:t>
                </m:r>
              </m:e>
            </m:eqArr>
          </m:e>
        </m:d>
      </m:oMath>
      <w:r>
        <w:rPr>
          <w:color w:val="auto"/>
        </w:rPr>
        <w:t>}</w:t>
      </w:r>
      <w:r>
        <w:rPr>
          <w:color w:val="auto"/>
        </w:rPr>
        <w:t>，（</w:t>
      </w:r>
      <w:r>
        <w:rPr>
          <w:color w:val="auto"/>
        </w:rPr>
        <w:t>t=0</w:t>
      </w:r>
      <w:r>
        <w:rPr>
          <w:color w:val="auto"/>
        </w:rPr>
        <w:t>，</w:t>
      </w:r>
      <w:r>
        <w:rPr>
          <w:color w:val="auto"/>
        </w:rPr>
        <w:t>0</w:t>
      </w:r>
      <w:r>
        <w:rPr>
          <w:color w:val="auto"/>
        </w:rPr>
        <w:t>＜</w:t>
      </w:r>
      <w:r>
        <w:rPr>
          <w:color w:val="auto"/>
        </w:rPr>
        <w:t>z≤0</w:t>
      </w:r>
      <w:r>
        <w:rPr>
          <w:color w:val="auto"/>
        </w:rPr>
        <w:t>；</w:t>
      </w:r>
      <w:r>
        <w:rPr>
          <w:color w:val="auto"/>
        </w:rPr>
        <w:t>t</w:t>
      </w:r>
      <w:r>
        <w:rPr>
          <w:color w:val="auto"/>
        </w:rPr>
        <w:t>＞</w:t>
      </w:r>
      <m:oMath>
        <m:sSub>
          <m:sSubPr>
            <m:ctrlPr>
              <w:rPr>
                <w:rFonts w:ascii="Cambria Math" w:hAnsi="Cambria Math"/>
                <w:color w:val="auto"/>
              </w:rPr>
            </m:ctrlPr>
          </m:sSubPr>
          <m:e>
            <m:r>
              <m:rPr>
                <m:sty m:val="p"/>
              </m:rPr>
              <w:rPr>
                <w:rFonts w:ascii="Cambria Math" w:hAnsi="Cambria Math"/>
                <w:color w:val="auto"/>
              </w:rPr>
              <m:t>t</m:t>
            </m:r>
          </m:e>
          <m:sub>
            <m:r>
              <w:rPr>
                <w:rFonts w:ascii="Cambria Math" w:hAnsi="Cambria Math"/>
                <w:color w:val="auto"/>
              </w:rPr>
              <m:t>0</m:t>
            </m:r>
          </m:sub>
        </m:sSub>
      </m:oMath>
      <w:r>
        <w:rPr>
          <w:color w:val="auto"/>
        </w:rPr>
        <w:t>）</w:t>
      </w:r>
    </w:p>
    <w:p w14:paraId="37517B5C" w14:textId="77777777" w:rsidR="002E474C" w:rsidRDefault="00000000">
      <w:pPr>
        <w:pStyle w:val="A-z"/>
        <w:rPr>
          <w:color w:val="auto"/>
        </w:rPr>
      </w:pPr>
      <w:r>
        <w:rPr>
          <w:color w:val="auto"/>
        </w:rPr>
        <w:t>第二类</w:t>
      </w:r>
      <w:r>
        <w:rPr>
          <w:color w:val="auto"/>
        </w:rPr>
        <w:t>Neumann</w:t>
      </w:r>
      <w:r>
        <w:rPr>
          <w:color w:val="auto"/>
        </w:rPr>
        <w:t>零梯度边界：</w:t>
      </w:r>
    </w:p>
    <w:p w14:paraId="4BF63902" w14:textId="77777777" w:rsidR="002E474C" w:rsidRDefault="00000000">
      <w:pPr>
        <w:pStyle w:val="A-z"/>
        <w:jc w:val="center"/>
        <w:rPr>
          <w:color w:val="auto"/>
        </w:rPr>
      </w:pPr>
      <m:oMath>
        <m:r>
          <w:rPr>
            <w:rFonts w:ascii="Cambria Math" w:hAnsi="Cambria Math"/>
            <w:color w:val="auto"/>
            <w:lang w:val="en-US"/>
          </w:rPr>
          <m:t>-θD</m:t>
        </m:r>
        <m:f>
          <m:fPr>
            <m:ctrlPr>
              <w:rPr>
                <w:rFonts w:ascii="Cambria Math" w:hAnsi="Cambria Math"/>
                <w:color w:val="auto"/>
                <w:lang w:val="en-US"/>
              </w:rPr>
            </m:ctrlPr>
          </m:fPr>
          <m:num>
            <m:sSub>
              <m:sSubPr>
                <m:ctrlPr>
                  <w:rPr>
                    <w:rFonts w:ascii="Cambria Math" w:hAnsi="Cambria Math"/>
                    <w:i/>
                    <w:color w:val="auto"/>
                    <w:lang w:val="en-US"/>
                  </w:rPr>
                </m:ctrlPr>
              </m:sSubPr>
              <m:e>
                <m:r>
                  <w:rPr>
                    <w:rFonts w:ascii="Cambria Math" w:hAnsi="Cambria Math"/>
                    <w:color w:val="auto"/>
                    <w:lang w:val="en-US"/>
                  </w:rPr>
                  <m:t>∂</m:t>
                </m:r>
              </m:e>
              <m:sub>
                <m:r>
                  <w:rPr>
                    <w:rFonts w:ascii="Cambria Math" w:hAnsi="Cambria Math"/>
                    <w:color w:val="auto"/>
                    <w:lang w:val="en-US"/>
                  </w:rPr>
                  <m:t>c</m:t>
                </m:r>
              </m:sub>
            </m:sSub>
          </m:num>
          <m:den>
            <m:sSub>
              <m:sSubPr>
                <m:ctrlPr>
                  <w:rPr>
                    <w:rFonts w:ascii="Cambria Math" w:hAnsi="Cambria Math"/>
                    <w:i/>
                    <w:color w:val="auto"/>
                    <w:lang w:val="en-US"/>
                  </w:rPr>
                </m:ctrlPr>
              </m:sSubPr>
              <m:e>
                <m:r>
                  <w:rPr>
                    <w:rFonts w:ascii="Cambria Math" w:hAnsi="Cambria Math"/>
                    <w:color w:val="auto"/>
                    <w:lang w:val="en-US"/>
                  </w:rPr>
                  <m:t>∂</m:t>
                </m:r>
              </m:e>
              <m:sub>
                <m:r>
                  <w:rPr>
                    <w:rFonts w:ascii="Cambria Math" w:hAnsi="Cambria Math"/>
                    <w:color w:val="auto"/>
                    <w:lang w:val="en-US"/>
                  </w:rPr>
                  <m:t>z</m:t>
                </m:r>
              </m:sub>
            </m:sSub>
          </m:den>
        </m:f>
      </m:oMath>
      <w:r>
        <w:rPr>
          <w:color w:val="auto"/>
          <w:lang w:val="en-US"/>
        </w:rPr>
        <w:t xml:space="preserve"> =0</w:t>
      </w:r>
      <w:r>
        <w:rPr>
          <w:color w:val="auto"/>
          <w:lang w:val="en-US"/>
        </w:rPr>
        <w:t>，（</w:t>
      </w:r>
      <w:r>
        <w:rPr>
          <w:color w:val="auto"/>
          <w:lang w:val="en-US"/>
        </w:rPr>
        <w:t>t</w:t>
      </w:r>
      <w:r>
        <w:rPr>
          <w:color w:val="auto"/>
          <w:lang w:val="en-US"/>
        </w:rPr>
        <w:t>＞</w:t>
      </w:r>
      <w:r>
        <w:rPr>
          <w:color w:val="auto"/>
          <w:lang w:val="en-US"/>
        </w:rPr>
        <w:t>0z=1</w:t>
      </w:r>
      <w:r>
        <w:rPr>
          <w:color w:val="auto"/>
          <w:lang w:val="en-US"/>
        </w:rPr>
        <w:t>；）</w:t>
      </w:r>
    </w:p>
    <w:p w14:paraId="3FF5F198" w14:textId="77777777" w:rsidR="002E474C" w:rsidRDefault="00000000">
      <w:pPr>
        <w:pStyle w:val="A-z"/>
        <w:rPr>
          <w:color w:val="auto"/>
        </w:rPr>
      </w:pPr>
      <w:r>
        <w:rPr>
          <w:color w:val="auto"/>
        </w:rPr>
        <w:t>（</w:t>
      </w:r>
      <w:r>
        <w:rPr>
          <w:color w:val="auto"/>
        </w:rPr>
        <w:t>2</w:t>
      </w:r>
      <w:r>
        <w:rPr>
          <w:color w:val="auto"/>
        </w:rPr>
        <w:t>）初始条件和边界条件</w:t>
      </w:r>
    </w:p>
    <w:p w14:paraId="59423553" w14:textId="77777777" w:rsidR="002E474C" w:rsidRDefault="00000000">
      <w:pPr>
        <w:pStyle w:val="A-z"/>
        <w:rPr>
          <w:color w:val="auto"/>
        </w:rPr>
      </w:pPr>
      <w:r>
        <w:rPr>
          <w:color w:val="auto"/>
        </w:rPr>
        <w:lastRenderedPageBreak/>
        <w:t>a.</w:t>
      </w:r>
      <w:r>
        <w:rPr>
          <w:color w:val="auto"/>
        </w:rPr>
        <w:t>水流模型</w:t>
      </w:r>
    </w:p>
    <w:p w14:paraId="5C049A93" w14:textId="77777777" w:rsidR="002E474C" w:rsidRDefault="00000000">
      <w:pPr>
        <w:pStyle w:val="A-z"/>
        <w:rPr>
          <w:color w:val="auto"/>
        </w:rPr>
      </w:pPr>
      <w:r>
        <w:rPr>
          <w:color w:val="auto"/>
        </w:rPr>
        <w:t>初始条件：先使用插值的含水率、压力水头值进行</w:t>
      </w:r>
      <w:r>
        <w:rPr>
          <w:color w:val="auto"/>
        </w:rPr>
        <w:t>100</w:t>
      </w:r>
      <w:r>
        <w:rPr>
          <w:color w:val="auto"/>
        </w:rPr>
        <w:t>天的计算，以</w:t>
      </w:r>
      <w:r>
        <w:rPr>
          <w:color w:val="auto"/>
        </w:rPr>
        <w:t>100</w:t>
      </w:r>
      <w:r>
        <w:rPr>
          <w:color w:val="auto"/>
        </w:rPr>
        <w:t>天时的稳定计算结果作为初始条件。</w:t>
      </w:r>
    </w:p>
    <w:p w14:paraId="37AAE90C" w14:textId="77777777" w:rsidR="002E474C" w:rsidRDefault="00000000">
      <w:pPr>
        <w:pStyle w:val="A-z"/>
        <w:rPr>
          <w:color w:val="auto"/>
        </w:rPr>
      </w:pPr>
      <w:r>
        <w:rPr>
          <w:color w:val="auto"/>
        </w:rPr>
        <w:t>边界条件：上边界为定水头边界，设定上边界压强为调节池水深（假设储水深度为</w:t>
      </w:r>
      <w:r>
        <w:rPr>
          <w:rFonts w:hint="eastAsia"/>
          <w:color w:val="auto"/>
          <w:lang w:val="en-US"/>
        </w:rPr>
        <w:t>1</w:t>
      </w:r>
      <w:r>
        <w:rPr>
          <w:color w:val="auto"/>
        </w:rPr>
        <w:t>.0m</w:t>
      </w:r>
      <w:r>
        <w:rPr>
          <w:color w:val="auto"/>
        </w:rPr>
        <w:t>，压力水头取</w:t>
      </w:r>
      <w:r>
        <w:rPr>
          <w:rFonts w:hint="eastAsia"/>
          <w:color w:val="auto"/>
          <w:lang w:val="en-US"/>
        </w:rPr>
        <w:t>50</w:t>
      </w:r>
      <w:r>
        <w:rPr>
          <w:color w:val="auto"/>
        </w:rPr>
        <w:t>m</w:t>
      </w:r>
      <w:r>
        <w:rPr>
          <w:color w:val="auto"/>
        </w:rPr>
        <w:t>）；下边界为自由排水边界。</w:t>
      </w:r>
    </w:p>
    <w:p w14:paraId="32BB3D90" w14:textId="77777777" w:rsidR="002E474C" w:rsidRDefault="00000000">
      <w:pPr>
        <w:pStyle w:val="A-z"/>
        <w:rPr>
          <w:color w:val="auto"/>
        </w:rPr>
      </w:pPr>
      <w:r>
        <w:rPr>
          <w:color w:val="auto"/>
        </w:rPr>
        <w:t>b.</w:t>
      </w:r>
      <w:r>
        <w:rPr>
          <w:color w:val="auto"/>
        </w:rPr>
        <w:t>溶质运移模型</w:t>
      </w:r>
    </w:p>
    <w:p w14:paraId="54358CBC" w14:textId="77777777" w:rsidR="002E474C" w:rsidRDefault="00000000">
      <w:pPr>
        <w:pStyle w:val="A-z"/>
        <w:rPr>
          <w:color w:val="auto"/>
        </w:rPr>
      </w:pPr>
      <w:r>
        <w:rPr>
          <w:color w:val="auto"/>
        </w:rPr>
        <w:t>初始条件：初始条件用原始土层污染物浓度表示，本模型中为零。</w:t>
      </w:r>
    </w:p>
    <w:p w14:paraId="2564F6D1" w14:textId="77777777" w:rsidR="002E474C" w:rsidRDefault="00000000">
      <w:pPr>
        <w:pStyle w:val="A-z"/>
        <w:rPr>
          <w:color w:val="auto"/>
          <w:shd w:val="clear" w:color="auto" w:fill="FFFFFF" w:themeFill="background1"/>
        </w:rPr>
      </w:pPr>
      <w:r>
        <w:rPr>
          <w:color w:val="auto"/>
          <w:shd w:val="clear" w:color="auto" w:fill="FFFFFF" w:themeFill="background1"/>
        </w:rPr>
        <w:t>边界条件：上边界为定溶质通量边界。下边界为零梯度浓度边界。</w:t>
      </w:r>
    </w:p>
    <w:p w14:paraId="2D5D86B2" w14:textId="77777777" w:rsidR="002E474C" w:rsidRDefault="00000000">
      <w:pPr>
        <w:pStyle w:val="A-z"/>
        <w:rPr>
          <w:color w:val="auto"/>
        </w:rPr>
      </w:pPr>
      <w:r>
        <w:rPr>
          <w:color w:val="auto"/>
        </w:rPr>
        <w:t>（</w:t>
      </w:r>
      <w:r>
        <w:rPr>
          <w:color w:val="auto"/>
        </w:rPr>
        <w:t>3</w:t>
      </w:r>
      <w:r>
        <w:rPr>
          <w:color w:val="auto"/>
        </w:rPr>
        <w:t>）参数选取</w:t>
      </w:r>
    </w:p>
    <w:p w14:paraId="78051B2D" w14:textId="77777777" w:rsidR="002E474C" w:rsidRDefault="00000000">
      <w:pPr>
        <w:pStyle w:val="A-z"/>
        <w:rPr>
          <w:color w:val="auto"/>
        </w:rPr>
      </w:pPr>
      <w:r>
        <w:rPr>
          <w:color w:val="auto"/>
        </w:rPr>
        <w:t>参考</w:t>
      </w:r>
      <w:r>
        <w:rPr>
          <w:color w:val="auto"/>
        </w:rPr>
        <w:t>HYDRUS-1D</w:t>
      </w:r>
      <w:r>
        <w:rPr>
          <w:color w:val="auto"/>
        </w:rPr>
        <w:t>程序中所附的美国农业部使用的包气带基本岩性参数、本次试验和工勘结果综合取值。</w:t>
      </w:r>
    </w:p>
    <w:p w14:paraId="76F0763F" w14:textId="77777777" w:rsidR="002E474C" w:rsidRDefault="00000000">
      <w:pPr>
        <w:pStyle w:val="41"/>
        <w:rPr>
          <w:color w:val="auto"/>
        </w:rPr>
      </w:pPr>
      <w:r>
        <w:rPr>
          <w:color w:val="auto"/>
        </w:rPr>
        <w:t>污染物泄漏量</w:t>
      </w:r>
    </w:p>
    <w:p w14:paraId="01F5341E" w14:textId="77777777" w:rsidR="002E474C" w:rsidRDefault="00000000">
      <w:pPr>
        <w:pStyle w:val="A-z"/>
        <w:rPr>
          <w:color w:val="auto"/>
        </w:rPr>
      </w:pPr>
      <w:r>
        <w:rPr>
          <w:color w:val="auto"/>
        </w:rPr>
        <w:t>本项目废水主要为清洗废水和实验室废水，经过水泥窑焚烧处理，不外排；本项目新增生活污水经管网排至厂内综合污水处理站处理。危废贮存库临时贮存的液态危废均为</w:t>
      </w:r>
      <w:r>
        <w:rPr>
          <w:color w:val="auto"/>
          <w:lang w:val="en-US"/>
        </w:rPr>
        <w:t>25L</w:t>
      </w:r>
      <w:r>
        <w:rPr>
          <w:color w:val="auto"/>
          <w:lang w:val="en-US"/>
        </w:rPr>
        <w:t>～</w:t>
      </w:r>
      <w:r>
        <w:rPr>
          <w:color w:val="auto"/>
          <w:lang w:val="en-US"/>
        </w:rPr>
        <w:t>1000L</w:t>
      </w:r>
      <w:r>
        <w:rPr>
          <w:color w:val="auto"/>
          <w:lang w:val="en-US"/>
        </w:rPr>
        <w:t>铁（塑料）桶包装</w:t>
      </w:r>
      <w:r>
        <w:rPr>
          <w:color w:val="auto"/>
        </w:rPr>
        <w:t>，泄漏的可能性很小。因此，地下水主要污染源为废水收集池，收集的废水包括车辆及容器清洗废水及设备检修清洗废水，主要污染物有</w:t>
      </w:r>
      <w:r>
        <w:rPr>
          <w:color w:val="auto"/>
        </w:rPr>
        <w:t>COD</w:t>
      </w:r>
      <w:r>
        <w:rPr>
          <w:color w:val="auto"/>
        </w:rPr>
        <w:t>、氨氮、石油类及</w:t>
      </w:r>
      <w:r>
        <w:rPr>
          <w:color w:val="auto"/>
        </w:rPr>
        <w:t>SS</w:t>
      </w:r>
      <w:r>
        <w:rPr>
          <w:color w:val="auto"/>
        </w:rPr>
        <w:t>等。</w:t>
      </w:r>
    </w:p>
    <w:p w14:paraId="36DD25A9" w14:textId="77777777" w:rsidR="002E474C" w:rsidRDefault="00000000">
      <w:pPr>
        <w:pStyle w:val="A-z"/>
        <w:rPr>
          <w:color w:val="auto"/>
          <w:lang w:val="en-US"/>
        </w:rPr>
      </w:pPr>
      <w:r>
        <w:rPr>
          <w:color w:val="auto"/>
        </w:rPr>
        <w:t>废水收集池容积</w:t>
      </w:r>
      <w:r>
        <w:rPr>
          <w:color w:val="auto"/>
        </w:rPr>
        <w:t>1.5m³</w:t>
      </w:r>
      <w:r>
        <w:rPr>
          <w:color w:val="auto"/>
        </w:rPr>
        <w:t>，</w:t>
      </w:r>
      <w:r>
        <w:t>考虑到废水泄漏达到</w:t>
      </w:r>
      <w:r>
        <w:t>20%</w:t>
      </w:r>
      <w:r>
        <w:t>以上时能够从水计量仪器的监测数据中发现，不能形成持续泄漏</w:t>
      </w:r>
      <w:r>
        <w:rPr>
          <w:rFonts w:hint="eastAsia"/>
        </w:rPr>
        <w:t>。</w:t>
      </w:r>
      <w:r>
        <w:rPr>
          <w:rFonts w:hint="eastAsia"/>
          <w:lang w:val="en-US"/>
        </w:rPr>
        <w:t>本项目</w:t>
      </w:r>
      <w:r>
        <w:rPr>
          <w:color w:val="auto"/>
        </w:rPr>
        <w:t>废水收集池</w:t>
      </w:r>
      <w:r>
        <w:rPr>
          <w:rFonts w:hint="eastAsia"/>
          <w:color w:val="auto"/>
          <w:lang w:val="en-US"/>
        </w:rPr>
        <w:t>1.5</w:t>
      </w:r>
      <w:r>
        <w:rPr>
          <w:snapToGrid w:val="0"/>
        </w:rPr>
        <w:t>m</w:t>
      </w:r>
      <w:r>
        <w:rPr>
          <w:snapToGrid w:val="0"/>
          <w:vertAlign w:val="superscript"/>
        </w:rPr>
        <w:t>3</w:t>
      </w:r>
      <w:r>
        <w:t>，</w:t>
      </w:r>
      <w:r>
        <w:rPr>
          <w:rFonts w:hint="eastAsia"/>
          <w:lang w:val="en-US"/>
        </w:rPr>
        <w:t>日产生废水量仅为</w:t>
      </w:r>
      <w:r>
        <w:rPr>
          <w:rFonts w:hint="eastAsia"/>
          <w:lang w:val="en-US"/>
        </w:rPr>
        <w:t>0.53m</w:t>
      </w:r>
      <w:r>
        <w:rPr>
          <w:rFonts w:hint="eastAsia"/>
          <w:lang w:val="en-US"/>
        </w:rPr>
        <w:t>³</w:t>
      </w:r>
      <w:r>
        <w:rPr>
          <w:rFonts w:hint="eastAsia"/>
          <w:lang w:val="en-US"/>
        </w:rPr>
        <w:t>/d</w:t>
      </w:r>
      <w:r>
        <w:rPr>
          <w:rFonts w:hint="eastAsia"/>
          <w:lang w:val="en-US"/>
        </w:rPr>
        <w:t>，</w:t>
      </w:r>
      <w:r>
        <w:t>故假设</w:t>
      </w:r>
      <w:r>
        <w:rPr>
          <w:snapToGrid w:val="0"/>
        </w:rPr>
        <w:t>污水泄漏量</w:t>
      </w:r>
      <w:r>
        <w:t>为</w:t>
      </w:r>
      <w:r>
        <w:rPr>
          <w:rFonts w:hint="eastAsia"/>
          <w:lang w:val="en-US"/>
        </w:rPr>
        <w:t>0.1</w:t>
      </w:r>
      <w:r>
        <w:t>m</w:t>
      </w:r>
      <w:r>
        <w:rPr>
          <w:vertAlign w:val="superscript"/>
        </w:rPr>
        <w:t>3</w:t>
      </w:r>
      <w:r>
        <w:rPr>
          <w:rFonts w:hint="eastAsia"/>
          <w:lang w:val="en-US"/>
        </w:rPr>
        <w:t>/d</w:t>
      </w:r>
      <w:r>
        <w:rPr>
          <w:rFonts w:hint="eastAsia"/>
          <w:lang w:val="en-US"/>
        </w:rPr>
        <w:t>。</w:t>
      </w:r>
      <w:proofErr w:type="spellStart"/>
      <w:r>
        <w:rPr>
          <w:color w:val="auto"/>
          <w:lang w:val="en-US"/>
        </w:rPr>
        <w:t>CODcr</w:t>
      </w:r>
      <w:proofErr w:type="spellEnd"/>
      <w:r>
        <w:rPr>
          <w:color w:val="auto"/>
          <w:lang w:val="en-US"/>
        </w:rPr>
        <w:t>泄漏量约为</w:t>
      </w:r>
      <w:r>
        <w:rPr>
          <w:color w:val="auto"/>
          <w:lang w:val="en-US"/>
        </w:rPr>
        <w:t>0.</w:t>
      </w:r>
      <w:r>
        <w:rPr>
          <w:rFonts w:hint="eastAsia"/>
          <w:color w:val="auto"/>
          <w:lang w:val="en-US"/>
        </w:rPr>
        <w:t>15</w:t>
      </w:r>
      <w:r>
        <w:rPr>
          <w:color w:val="auto"/>
          <w:lang w:val="en-US"/>
        </w:rPr>
        <w:t>kg</w:t>
      </w:r>
      <w:r>
        <w:rPr>
          <w:color w:val="auto"/>
          <w:lang w:val="en-US"/>
        </w:rPr>
        <w:t>；氨氮泄漏量约为</w:t>
      </w:r>
      <w:r>
        <w:rPr>
          <w:color w:val="auto"/>
          <w:lang w:val="en-US"/>
        </w:rPr>
        <w:t>0.0</w:t>
      </w:r>
      <w:r>
        <w:rPr>
          <w:rFonts w:hint="eastAsia"/>
          <w:color w:val="auto"/>
          <w:lang w:val="en-US"/>
        </w:rPr>
        <w:t>08</w:t>
      </w:r>
      <w:r>
        <w:rPr>
          <w:color w:val="auto"/>
          <w:lang w:val="en-US"/>
        </w:rPr>
        <w:t>kg</w:t>
      </w:r>
      <w:r>
        <w:rPr>
          <w:color w:val="auto"/>
          <w:lang w:val="en-US"/>
        </w:rPr>
        <w:t>；石油类泄漏量约为</w:t>
      </w:r>
      <w:r>
        <w:rPr>
          <w:color w:val="auto"/>
          <w:lang w:val="en-US"/>
        </w:rPr>
        <w:t>0.00</w:t>
      </w:r>
      <w:r>
        <w:rPr>
          <w:rFonts w:hint="eastAsia"/>
          <w:color w:val="auto"/>
          <w:lang w:val="en-US"/>
        </w:rPr>
        <w:t>2</w:t>
      </w:r>
      <w:r>
        <w:rPr>
          <w:color w:val="auto"/>
          <w:lang w:val="en-US"/>
        </w:rPr>
        <w:t>6kg</w:t>
      </w:r>
      <w:r>
        <w:rPr>
          <w:color w:val="auto"/>
          <w:lang w:val="en-US"/>
        </w:rPr>
        <w:t>；</w:t>
      </w:r>
      <w:r>
        <w:rPr>
          <w:color w:val="auto"/>
          <w:lang w:val="en-US"/>
        </w:rPr>
        <w:t>SS</w:t>
      </w:r>
      <w:r>
        <w:rPr>
          <w:color w:val="auto"/>
          <w:lang w:val="en-US"/>
        </w:rPr>
        <w:t>泄漏量约为</w:t>
      </w:r>
      <w:r>
        <w:rPr>
          <w:color w:val="auto"/>
          <w:lang w:val="en-US"/>
        </w:rPr>
        <w:t>0.</w:t>
      </w:r>
      <w:r>
        <w:rPr>
          <w:rFonts w:hint="eastAsia"/>
          <w:color w:val="auto"/>
          <w:lang w:val="en-US"/>
        </w:rPr>
        <w:t>05</w:t>
      </w:r>
      <w:r>
        <w:rPr>
          <w:color w:val="auto"/>
          <w:lang w:val="en-US"/>
        </w:rPr>
        <w:t>kg</w:t>
      </w:r>
      <w:r>
        <w:rPr>
          <w:rFonts w:hint="eastAsia"/>
          <w:color w:val="auto"/>
          <w:lang w:val="en-US"/>
        </w:rPr>
        <w:t>。</w:t>
      </w:r>
    </w:p>
    <w:p w14:paraId="5CFA982A" w14:textId="77777777" w:rsidR="002E474C" w:rsidRDefault="00000000">
      <w:pPr>
        <w:pStyle w:val="A-z"/>
        <w:rPr>
          <w:snapToGrid w:val="0"/>
          <w:color w:val="auto"/>
        </w:rPr>
      </w:pPr>
      <w:r>
        <w:rPr>
          <w:snapToGrid w:val="0"/>
          <w:color w:val="auto"/>
        </w:rPr>
        <w:t>其泄漏情景设置见表</w:t>
      </w:r>
      <w:r>
        <w:rPr>
          <w:snapToGrid w:val="0"/>
          <w:color w:val="auto"/>
        </w:rPr>
        <w:t>5.5-4</w:t>
      </w:r>
      <w:r>
        <w:rPr>
          <w:snapToGrid w:val="0"/>
          <w:color w:val="auto"/>
        </w:rPr>
        <w:t>。泄漏的污染源水质指标见表</w:t>
      </w:r>
      <w:r>
        <w:rPr>
          <w:snapToGrid w:val="0"/>
          <w:color w:val="auto"/>
        </w:rPr>
        <w:t>5.3-</w:t>
      </w:r>
      <w:r>
        <w:rPr>
          <w:rFonts w:hint="eastAsia"/>
          <w:snapToGrid w:val="0"/>
          <w:color w:val="auto"/>
        </w:rPr>
        <w:t>5</w:t>
      </w:r>
      <w:r>
        <w:rPr>
          <w:snapToGrid w:val="0"/>
          <w:color w:val="auto"/>
        </w:rPr>
        <w:t>。其中，</w:t>
      </w:r>
      <w:r>
        <w:rPr>
          <w:color w:val="auto"/>
        </w:rPr>
        <w:t>石油类参照《地表水环境质量标准》（</w:t>
      </w:r>
      <w:r>
        <w:rPr>
          <w:color w:val="auto"/>
        </w:rPr>
        <w:t>GB 3838-2002</w:t>
      </w:r>
      <w:r>
        <w:rPr>
          <w:color w:val="auto"/>
        </w:rPr>
        <w:t>）</w:t>
      </w:r>
      <w:r>
        <w:rPr>
          <w:color w:val="auto"/>
        </w:rPr>
        <w:t>Ⅲ</w:t>
      </w:r>
      <w:r>
        <w:rPr>
          <w:color w:val="auto"/>
        </w:rPr>
        <w:t>类标准。</w:t>
      </w:r>
    </w:p>
    <w:p w14:paraId="14AC76F3" w14:textId="77777777" w:rsidR="002E474C" w:rsidRDefault="00000000">
      <w:pPr>
        <w:pStyle w:val="A--"/>
        <w:rPr>
          <w:color w:val="auto"/>
        </w:rPr>
      </w:pPr>
      <w:r>
        <w:rPr>
          <w:color w:val="auto"/>
        </w:rPr>
        <w:t>表</w:t>
      </w:r>
      <w:r>
        <w:rPr>
          <w:color w:val="auto"/>
        </w:rPr>
        <w:t>5.3-</w:t>
      </w:r>
      <w:r>
        <w:rPr>
          <w:rFonts w:hint="eastAsia"/>
          <w:color w:val="auto"/>
        </w:rPr>
        <w:t>4</w:t>
      </w:r>
      <w:r>
        <w:rPr>
          <w:color w:val="auto"/>
        </w:rPr>
        <w:t xml:space="preserve">    </w:t>
      </w:r>
      <w:r>
        <w:rPr>
          <w:color w:val="auto"/>
        </w:rPr>
        <w:t>污染物运移模拟情景设置</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6476"/>
      </w:tblGrid>
      <w:tr w:rsidR="002E474C" w14:paraId="3FB9AB0B" w14:textId="77777777">
        <w:trPr>
          <w:trHeight w:val="283"/>
          <w:jc w:val="center"/>
        </w:trPr>
        <w:tc>
          <w:tcPr>
            <w:tcW w:w="2029" w:type="dxa"/>
            <w:shd w:val="clear" w:color="auto" w:fill="FFFFFF"/>
            <w:tcMar>
              <w:left w:w="0" w:type="dxa"/>
              <w:right w:w="0" w:type="dxa"/>
            </w:tcMar>
            <w:vAlign w:val="center"/>
          </w:tcPr>
          <w:p w14:paraId="375C0D23" w14:textId="77777777" w:rsidR="002E474C" w:rsidRDefault="00000000">
            <w:pPr>
              <w:pStyle w:val="A-"/>
            </w:pPr>
            <w:r>
              <w:t>情景简述</w:t>
            </w:r>
          </w:p>
        </w:tc>
        <w:tc>
          <w:tcPr>
            <w:tcW w:w="6476" w:type="dxa"/>
            <w:shd w:val="clear" w:color="auto" w:fill="FFFFFF"/>
            <w:tcMar>
              <w:left w:w="0" w:type="dxa"/>
              <w:right w:w="0" w:type="dxa"/>
            </w:tcMar>
            <w:vAlign w:val="center"/>
          </w:tcPr>
          <w:p w14:paraId="6170CEC8" w14:textId="77777777" w:rsidR="002E474C" w:rsidRDefault="00000000">
            <w:pPr>
              <w:pStyle w:val="A-"/>
            </w:pPr>
            <w:r>
              <w:t>地下水污染源强</w:t>
            </w:r>
          </w:p>
        </w:tc>
      </w:tr>
      <w:tr w:rsidR="002E474C" w14:paraId="654064F9" w14:textId="77777777">
        <w:trPr>
          <w:trHeight w:val="283"/>
          <w:jc w:val="center"/>
        </w:trPr>
        <w:tc>
          <w:tcPr>
            <w:tcW w:w="2029" w:type="dxa"/>
            <w:vMerge w:val="restart"/>
            <w:shd w:val="clear" w:color="auto" w:fill="FFFFFF"/>
            <w:tcMar>
              <w:left w:w="0" w:type="dxa"/>
              <w:right w:w="0" w:type="dxa"/>
            </w:tcMar>
            <w:vAlign w:val="center"/>
          </w:tcPr>
          <w:p w14:paraId="50E39D69" w14:textId="77777777" w:rsidR="002E474C" w:rsidRDefault="00000000">
            <w:pPr>
              <w:pStyle w:val="A-"/>
            </w:pPr>
            <w:r>
              <w:t>废水收集池</w:t>
            </w:r>
            <w:r>
              <w:rPr>
                <w:snapToGrid w:val="0"/>
              </w:rPr>
              <w:t>泄漏</w:t>
            </w:r>
          </w:p>
        </w:tc>
        <w:tc>
          <w:tcPr>
            <w:tcW w:w="6476" w:type="dxa"/>
            <w:shd w:val="clear" w:color="auto" w:fill="FFFFFF"/>
            <w:tcMar>
              <w:left w:w="0" w:type="dxa"/>
              <w:right w:w="0" w:type="dxa"/>
            </w:tcMar>
            <w:vAlign w:val="center"/>
          </w:tcPr>
          <w:p w14:paraId="471AABDF" w14:textId="77777777" w:rsidR="002E474C" w:rsidRDefault="00000000">
            <w:pPr>
              <w:pStyle w:val="A-"/>
            </w:pPr>
            <w:proofErr w:type="spellStart"/>
            <w:r>
              <w:t>CODcr</w:t>
            </w:r>
            <w:proofErr w:type="spellEnd"/>
            <w:r>
              <w:t>浓度</w:t>
            </w:r>
            <w:r>
              <w:t>1500mg/L</w:t>
            </w:r>
            <w:r>
              <w:t>，污水泄漏量</w:t>
            </w:r>
            <w:r>
              <w:t>0.</w:t>
            </w:r>
            <w:r>
              <w:rPr>
                <w:rFonts w:hint="eastAsia"/>
              </w:rPr>
              <w:t>1</w:t>
            </w:r>
            <w:r>
              <w:t>m</w:t>
            </w:r>
            <w:r>
              <w:rPr>
                <w:vertAlign w:val="superscript"/>
              </w:rPr>
              <w:t>3</w:t>
            </w:r>
            <w:r>
              <w:t>/d</w:t>
            </w:r>
            <w:r>
              <w:t>，</w:t>
            </w:r>
            <w:proofErr w:type="spellStart"/>
            <w:r>
              <w:t>CODcr</w:t>
            </w:r>
            <w:proofErr w:type="spellEnd"/>
            <w:r>
              <w:t>泄漏量</w:t>
            </w:r>
            <w:r>
              <w:t>0.</w:t>
            </w:r>
            <w:r>
              <w:rPr>
                <w:rFonts w:hint="eastAsia"/>
              </w:rPr>
              <w:t>1</w:t>
            </w:r>
            <w:r>
              <w:t>5kg</w:t>
            </w:r>
          </w:p>
        </w:tc>
      </w:tr>
      <w:tr w:rsidR="002E474C" w14:paraId="549831E6" w14:textId="77777777">
        <w:trPr>
          <w:trHeight w:val="283"/>
          <w:jc w:val="center"/>
        </w:trPr>
        <w:tc>
          <w:tcPr>
            <w:tcW w:w="2029" w:type="dxa"/>
            <w:vMerge/>
            <w:shd w:val="clear" w:color="auto" w:fill="FFFFFF"/>
            <w:tcMar>
              <w:left w:w="0" w:type="dxa"/>
              <w:right w:w="0" w:type="dxa"/>
            </w:tcMar>
            <w:vAlign w:val="center"/>
          </w:tcPr>
          <w:p w14:paraId="726E91ED" w14:textId="77777777" w:rsidR="002E474C" w:rsidRDefault="002E474C">
            <w:pPr>
              <w:pStyle w:val="A-"/>
            </w:pPr>
          </w:p>
        </w:tc>
        <w:tc>
          <w:tcPr>
            <w:tcW w:w="6476" w:type="dxa"/>
            <w:shd w:val="clear" w:color="auto" w:fill="FFFFFF"/>
            <w:tcMar>
              <w:left w:w="0" w:type="dxa"/>
              <w:right w:w="0" w:type="dxa"/>
            </w:tcMar>
            <w:vAlign w:val="center"/>
          </w:tcPr>
          <w:p w14:paraId="16E11967" w14:textId="77777777" w:rsidR="002E474C" w:rsidRDefault="00000000">
            <w:pPr>
              <w:pStyle w:val="A-"/>
            </w:pPr>
            <w:r>
              <w:t>氨氮浓度</w:t>
            </w:r>
            <w:r>
              <w:t>80mg/L</w:t>
            </w:r>
            <w:r>
              <w:t>，污水泄漏量</w:t>
            </w:r>
            <w:r>
              <w:t>0.</w:t>
            </w:r>
            <w:r>
              <w:rPr>
                <w:rFonts w:hint="eastAsia"/>
              </w:rPr>
              <w:t>1</w:t>
            </w:r>
            <w:r>
              <w:t>m</w:t>
            </w:r>
            <w:r>
              <w:rPr>
                <w:vertAlign w:val="superscript"/>
              </w:rPr>
              <w:t>3</w:t>
            </w:r>
            <w:r>
              <w:t>/d</w:t>
            </w:r>
            <w:r>
              <w:t>，氨氮泄漏量</w:t>
            </w:r>
            <w:r>
              <w:t>0.0</w:t>
            </w:r>
            <w:r>
              <w:rPr>
                <w:rFonts w:hint="eastAsia"/>
              </w:rPr>
              <w:t>08</w:t>
            </w:r>
            <w:r>
              <w:t>kg</w:t>
            </w:r>
          </w:p>
        </w:tc>
      </w:tr>
      <w:tr w:rsidR="002E474C" w14:paraId="2EB72AEE" w14:textId="77777777">
        <w:trPr>
          <w:trHeight w:val="283"/>
          <w:jc w:val="center"/>
        </w:trPr>
        <w:tc>
          <w:tcPr>
            <w:tcW w:w="2029" w:type="dxa"/>
            <w:vMerge/>
            <w:shd w:val="clear" w:color="auto" w:fill="FFFFFF"/>
            <w:tcMar>
              <w:left w:w="0" w:type="dxa"/>
              <w:right w:w="0" w:type="dxa"/>
            </w:tcMar>
            <w:vAlign w:val="center"/>
          </w:tcPr>
          <w:p w14:paraId="6DBF2835" w14:textId="77777777" w:rsidR="002E474C" w:rsidRDefault="002E474C">
            <w:pPr>
              <w:pStyle w:val="A-"/>
            </w:pPr>
          </w:p>
        </w:tc>
        <w:tc>
          <w:tcPr>
            <w:tcW w:w="6476" w:type="dxa"/>
            <w:shd w:val="clear" w:color="auto" w:fill="FFFFFF"/>
            <w:tcMar>
              <w:left w:w="0" w:type="dxa"/>
              <w:right w:w="0" w:type="dxa"/>
            </w:tcMar>
            <w:vAlign w:val="center"/>
          </w:tcPr>
          <w:p w14:paraId="5976696C" w14:textId="77777777" w:rsidR="002E474C" w:rsidRDefault="00000000">
            <w:pPr>
              <w:pStyle w:val="A-"/>
            </w:pPr>
            <w:r>
              <w:t>石油类浓度</w:t>
            </w:r>
            <w:r>
              <w:t>20mg/L</w:t>
            </w:r>
            <w:r>
              <w:t>，污水泄漏量</w:t>
            </w:r>
            <w:r>
              <w:t>0.</w:t>
            </w:r>
            <w:r>
              <w:rPr>
                <w:rFonts w:hint="eastAsia"/>
              </w:rPr>
              <w:t>1</w:t>
            </w:r>
            <w:r>
              <w:t>m</w:t>
            </w:r>
            <w:r>
              <w:rPr>
                <w:vertAlign w:val="superscript"/>
              </w:rPr>
              <w:t>3</w:t>
            </w:r>
            <w:r>
              <w:t>/d</w:t>
            </w:r>
            <w:r>
              <w:t>，石油类泄漏量</w:t>
            </w:r>
            <w:r>
              <w:t>0.00</w:t>
            </w:r>
            <w:r>
              <w:rPr>
                <w:rFonts w:hint="eastAsia"/>
              </w:rPr>
              <w:t>2</w:t>
            </w:r>
            <w:r>
              <w:t>kg</w:t>
            </w:r>
          </w:p>
        </w:tc>
      </w:tr>
      <w:tr w:rsidR="002E474C" w14:paraId="2EE3D175" w14:textId="77777777">
        <w:trPr>
          <w:trHeight w:val="283"/>
          <w:jc w:val="center"/>
        </w:trPr>
        <w:tc>
          <w:tcPr>
            <w:tcW w:w="2029" w:type="dxa"/>
            <w:vMerge/>
            <w:shd w:val="clear" w:color="auto" w:fill="FFFFFF"/>
            <w:tcMar>
              <w:left w:w="0" w:type="dxa"/>
              <w:right w:w="0" w:type="dxa"/>
            </w:tcMar>
            <w:vAlign w:val="center"/>
          </w:tcPr>
          <w:p w14:paraId="43F6A602" w14:textId="77777777" w:rsidR="002E474C" w:rsidRDefault="002E474C">
            <w:pPr>
              <w:pStyle w:val="A-"/>
            </w:pPr>
          </w:p>
        </w:tc>
        <w:tc>
          <w:tcPr>
            <w:tcW w:w="6476" w:type="dxa"/>
            <w:shd w:val="clear" w:color="auto" w:fill="FFFFFF"/>
            <w:tcMar>
              <w:left w:w="0" w:type="dxa"/>
              <w:right w:w="0" w:type="dxa"/>
            </w:tcMar>
            <w:vAlign w:val="center"/>
          </w:tcPr>
          <w:p w14:paraId="684B6162" w14:textId="77777777" w:rsidR="002E474C" w:rsidRDefault="00000000">
            <w:pPr>
              <w:pStyle w:val="A-"/>
            </w:pPr>
            <w:r>
              <w:t>SS</w:t>
            </w:r>
            <w:r>
              <w:t>浓度</w:t>
            </w:r>
            <w:r>
              <w:t>500mg/L</w:t>
            </w:r>
            <w:r>
              <w:t>，污水泄漏量</w:t>
            </w:r>
            <w:r>
              <w:t>0.</w:t>
            </w:r>
            <w:r>
              <w:rPr>
                <w:rFonts w:hint="eastAsia"/>
              </w:rPr>
              <w:t>1</w:t>
            </w:r>
            <w:r>
              <w:t>m</w:t>
            </w:r>
            <w:r>
              <w:rPr>
                <w:vertAlign w:val="superscript"/>
              </w:rPr>
              <w:t>3</w:t>
            </w:r>
            <w:r>
              <w:t>/d</w:t>
            </w:r>
            <w:r>
              <w:t>，</w:t>
            </w:r>
            <w:r>
              <w:t>SS</w:t>
            </w:r>
            <w:r>
              <w:t>泄漏量</w:t>
            </w:r>
            <w:r>
              <w:t>0.</w:t>
            </w:r>
            <w:r>
              <w:rPr>
                <w:rFonts w:hint="eastAsia"/>
              </w:rPr>
              <w:t>0</w:t>
            </w:r>
            <w:r>
              <w:t>5kg</w:t>
            </w:r>
          </w:p>
        </w:tc>
      </w:tr>
    </w:tbl>
    <w:p w14:paraId="74E73BB5" w14:textId="77777777" w:rsidR="002E474C" w:rsidRDefault="002E474C">
      <w:pPr>
        <w:pStyle w:val="w3"/>
      </w:pPr>
    </w:p>
    <w:p w14:paraId="65EA9686" w14:textId="77777777" w:rsidR="002E474C" w:rsidRDefault="00000000">
      <w:pPr>
        <w:pStyle w:val="A--"/>
        <w:rPr>
          <w:color w:val="auto"/>
        </w:rPr>
      </w:pPr>
      <w:r>
        <w:rPr>
          <w:color w:val="auto"/>
        </w:rPr>
        <w:t>表</w:t>
      </w:r>
      <w:r>
        <w:rPr>
          <w:color w:val="auto"/>
        </w:rPr>
        <w:t>5.3-</w:t>
      </w:r>
      <w:r>
        <w:rPr>
          <w:rFonts w:hint="eastAsia"/>
          <w:color w:val="auto"/>
        </w:rPr>
        <w:t>5</w:t>
      </w:r>
      <w:r>
        <w:rPr>
          <w:color w:val="auto"/>
        </w:rPr>
        <w:t xml:space="preserve">    </w:t>
      </w:r>
      <w:r>
        <w:rPr>
          <w:color w:val="auto"/>
        </w:rPr>
        <w:t>污染源水质分析表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32"/>
        <w:gridCol w:w="967"/>
        <w:gridCol w:w="1410"/>
        <w:gridCol w:w="1307"/>
        <w:gridCol w:w="1153"/>
        <w:gridCol w:w="1520"/>
        <w:gridCol w:w="1107"/>
      </w:tblGrid>
      <w:tr w:rsidR="002E474C" w14:paraId="0FEF8848" w14:textId="77777777">
        <w:trPr>
          <w:trHeight w:val="284"/>
          <w:jc w:val="center"/>
        </w:trPr>
        <w:tc>
          <w:tcPr>
            <w:tcW w:w="501" w:type="pct"/>
            <w:vAlign w:val="center"/>
          </w:tcPr>
          <w:p w14:paraId="739D719C" w14:textId="77777777" w:rsidR="002E474C" w:rsidRDefault="00000000">
            <w:pPr>
              <w:pStyle w:val="A-"/>
            </w:pPr>
            <w:r>
              <w:t>污染源</w:t>
            </w:r>
          </w:p>
        </w:tc>
        <w:tc>
          <w:tcPr>
            <w:tcW w:w="583" w:type="pct"/>
            <w:vAlign w:val="center"/>
          </w:tcPr>
          <w:p w14:paraId="7A1C7331" w14:textId="77777777" w:rsidR="002E474C" w:rsidRDefault="00000000">
            <w:pPr>
              <w:pStyle w:val="A-"/>
            </w:pPr>
            <w:r>
              <w:t>废水量</w:t>
            </w:r>
          </w:p>
          <w:p w14:paraId="307C1304" w14:textId="77777777" w:rsidR="002E474C" w:rsidRDefault="00000000">
            <w:pPr>
              <w:pStyle w:val="A-"/>
            </w:pPr>
            <w:r>
              <w:lastRenderedPageBreak/>
              <w:t>（</w:t>
            </w:r>
            <w:r>
              <w:t>m³</w:t>
            </w:r>
            <w:r>
              <w:t>）</w:t>
            </w:r>
          </w:p>
        </w:tc>
        <w:tc>
          <w:tcPr>
            <w:tcW w:w="850" w:type="pct"/>
            <w:vAlign w:val="center"/>
          </w:tcPr>
          <w:p w14:paraId="22F24FCE" w14:textId="77777777" w:rsidR="002E474C" w:rsidRDefault="00000000">
            <w:pPr>
              <w:pStyle w:val="A-"/>
            </w:pPr>
            <w:r>
              <w:lastRenderedPageBreak/>
              <w:t>污染物</w:t>
            </w:r>
          </w:p>
        </w:tc>
        <w:tc>
          <w:tcPr>
            <w:tcW w:w="788" w:type="pct"/>
            <w:vAlign w:val="center"/>
          </w:tcPr>
          <w:p w14:paraId="44EC5306" w14:textId="77777777" w:rsidR="002E474C" w:rsidRDefault="00000000">
            <w:pPr>
              <w:pStyle w:val="A-"/>
            </w:pPr>
            <w:r>
              <w:t>污染物</w:t>
            </w:r>
          </w:p>
          <w:p w14:paraId="3939E812" w14:textId="77777777" w:rsidR="002E474C" w:rsidRDefault="00000000">
            <w:pPr>
              <w:pStyle w:val="A-"/>
            </w:pPr>
            <w:r>
              <w:lastRenderedPageBreak/>
              <w:t>泄漏量</w:t>
            </w:r>
            <w:r>
              <w:t>kg</w:t>
            </w:r>
          </w:p>
        </w:tc>
        <w:tc>
          <w:tcPr>
            <w:tcW w:w="695" w:type="pct"/>
            <w:vAlign w:val="center"/>
          </w:tcPr>
          <w:p w14:paraId="7D88BAAD" w14:textId="77777777" w:rsidR="002E474C" w:rsidRDefault="00000000">
            <w:pPr>
              <w:pStyle w:val="A-"/>
            </w:pPr>
            <w:r>
              <w:lastRenderedPageBreak/>
              <w:t>浓度</w:t>
            </w:r>
          </w:p>
          <w:p w14:paraId="016E6B46" w14:textId="77777777" w:rsidR="002E474C" w:rsidRDefault="00000000">
            <w:pPr>
              <w:pStyle w:val="A-"/>
            </w:pPr>
            <w:r>
              <w:lastRenderedPageBreak/>
              <w:t>（</w:t>
            </w:r>
            <w:r>
              <w:t>mg/L</w:t>
            </w:r>
            <w:r>
              <w:t>）</w:t>
            </w:r>
          </w:p>
        </w:tc>
        <w:tc>
          <w:tcPr>
            <w:tcW w:w="916" w:type="pct"/>
            <w:vAlign w:val="center"/>
          </w:tcPr>
          <w:p w14:paraId="0416099E" w14:textId="77777777" w:rsidR="002E474C" w:rsidRDefault="00000000">
            <w:pPr>
              <w:pStyle w:val="A-"/>
            </w:pPr>
            <w:r>
              <w:lastRenderedPageBreak/>
              <w:t>GB/T 14848-</w:t>
            </w:r>
            <w:r>
              <w:lastRenderedPageBreak/>
              <w:t>2017</w:t>
            </w:r>
          </w:p>
          <w:p w14:paraId="5C7B93D1" w14:textId="77777777" w:rsidR="002E474C" w:rsidRDefault="00000000">
            <w:pPr>
              <w:pStyle w:val="A-"/>
            </w:pPr>
            <w:r>
              <w:t>Ⅲ</w:t>
            </w:r>
            <w:r>
              <w:t>类标准值</w:t>
            </w:r>
          </w:p>
        </w:tc>
        <w:tc>
          <w:tcPr>
            <w:tcW w:w="667" w:type="pct"/>
            <w:vAlign w:val="center"/>
          </w:tcPr>
          <w:p w14:paraId="0BE29EB7" w14:textId="77777777" w:rsidR="002E474C" w:rsidRDefault="00000000">
            <w:pPr>
              <w:pStyle w:val="A-"/>
            </w:pPr>
            <w:r>
              <w:lastRenderedPageBreak/>
              <w:t>标准指数</w:t>
            </w:r>
          </w:p>
        </w:tc>
      </w:tr>
      <w:tr w:rsidR="002E474C" w14:paraId="3F491A6F" w14:textId="77777777">
        <w:trPr>
          <w:trHeight w:val="284"/>
          <w:jc w:val="center"/>
        </w:trPr>
        <w:tc>
          <w:tcPr>
            <w:tcW w:w="501" w:type="pct"/>
            <w:vMerge w:val="restart"/>
            <w:vAlign w:val="center"/>
          </w:tcPr>
          <w:p w14:paraId="734BF5AA" w14:textId="77777777" w:rsidR="002E474C" w:rsidRDefault="00000000">
            <w:pPr>
              <w:pStyle w:val="A-"/>
            </w:pPr>
            <w:r>
              <w:t>废水收集池泄漏</w:t>
            </w:r>
          </w:p>
        </w:tc>
        <w:tc>
          <w:tcPr>
            <w:tcW w:w="583" w:type="pct"/>
            <w:vMerge w:val="restart"/>
            <w:vAlign w:val="center"/>
          </w:tcPr>
          <w:p w14:paraId="441C6DD9" w14:textId="77777777" w:rsidR="002E474C" w:rsidRDefault="00000000">
            <w:pPr>
              <w:pStyle w:val="A-"/>
            </w:pPr>
            <w:r>
              <w:t>0.</w:t>
            </w:r>
          </w:p>
        </w:tc>
        <w:tc>
          <w:tcPr>
            <w:tcW w:w="850" w:type="pct"/>
            <w:vAlign w:val="center"/>
          </w:tcPr>
          <w:p w14:paraId="11AEF7AD" w14:textId="77777777" w:rsidR="002E474C" w:rsidRDefault="00000000">
            <w:pPr>
              <w:pStyle w:val="A-"/>
            </w:pPr>
            <w:r>
              <w:t>COD</w:t>
            </w:r>
          </w:p>
        </w:tc>
        <w:tc>
          <w:tcPr>
            <w:tcW w:w="788" w:type="pct"/>
            <w:vAlign w:val="center"/>
          </w:tcPr>
          <w:p w14:paraId="00605329" w14:textId="77777777" w:rsidR="002E474C" w:rsidRDefault="00000000">
            <w:pPr>
              <w:pStyle w:val="A-"/>
            </w:pPr>
            <w:r>
              <w:t>0.</w:t>
            </w:r>
            <w:r>
              <w:rPr>
                <w:rFonts w:hint="eastAsia"/>
              </w:rPr>
              <w:t>1</w:t>
            </w:r>
            <w:r>
              <w:t>5</w:t>
            </w:r>
          </w:p>
        </w:tc>
        <w:tc>
          <w:tcPr>
            <w:tcW w:w="695" w:type="pct"/>
            <w:vAlign w:val="center"/>
          </w:tcPr>
          <w:p w14:paraId="0A62FEED" w14:textId="77777777" w:rsidR="002E474C" w:rsidRDefault="00000000">
            <w:pPr>
              <w:pStyle w:val="A-"/>
            </w:pPr>
            <w:r>
              <w:t>1500</w:t>
            </w:r>
          </w:p>
        </w:tc>
        <w:tc>
          <w:tcPr>
            <w:tcW w:w="916" w:type="pct"/>
            <w:vAlign w:val="center"/>
          </w:tcPr>
          <w:p w14:paraId="12DA71F7" w14:textId="77777777" w:rsidR="002E474C" w:rsidRDefault="00000000">
            <w:pPr>
              <w:pStyle w:val="A-"/>
            </w:pPr>
            <w:r>
              <w:t>3.0</w:t>
            </w:r>
          </w:p>
        </w:tc>
        <w:tc>
          <w:tcPr>
            <w:tcW w:w="667" w:type="pct"/>
            <w:vAlign w:val="center"/>
          </w:tcPr>
          <w:p w14:paraId="6152C47F" w14:textId="77777777" w:rsidR="002E474C" w:rsidRDefault="00000000">
            <w:pPr>
              <w:pStyle w:val="A-"/>
            </w:pPr>
            <w:r>
              <w:t>500</w:t>
            </w:r>
          </w:p>
        </w:tc>
      </w:tr>
      <w:tr w:rsidR="002E474C" w14:paraId="26FC08FE" w14:textId="77777777">
        <w:trPr>
          <w:trHeight w:val="284"/>
          <w:jc w:val="center"/>
        </w:trPr>
        <w:tc>
          <w:tcPr>
            <w:tcW w:w="501" w:type="pct"/>
            <w:vMerge/>
            <w:vAlign w:val="center"/>
          </w:tcPr>
          <w:p w14:paraId="7287F1D5" w14:textId="77777777" w:rsidR="002E474C" w:rsidRDefault="002E474C">
            <w:pPr>
              <w:pStyle w:val="A-"/>
            </w:pPr>
          </w:p>
        </w:tc>
        <w:tc>
          <w:tcPr>
            <w:tcW w:w="583" w:type="pct"/>
            <w:vMerge/>
            <w:vAlign w:val="center"/>
          </w:tcPr>
          <w:p w14:paraId="64556C97" w14:textId="77777777" w:rsidR="002E474C" w:rsidRDefault="002E474C">
            <w:pPr>
              <w:pStyle w:val="A-"/>
            </w:pPr>
          </w:p>
        </w:tc>
        <w:tc>
          <w:tcPr>
            <w:tcW w:w="850" w:type="pct"/>
            <w:vAlign w:val="center"/>
          </w:tcPr>
          <w:p w14:paraId="3C33D292" w14:textId="77777777" w:rsidR="002E474C" w:rsidRDefault="00000000">
            <w:pPr>
              <w:pStyle w:val="A-"/>
            </w:pPr>
            <w:r>
              <w:t>氨氮</w:t>
            </w:r>
          </w:p>
        </w:tc>
        <w:tc>
          <w:tcPr>
            <w:tcW w:w="788" w:type="pct"/>
            <w:vAlign w:val="center"/>
          </w:tcPr>
          <w:p w14:paraId="2B21EC3A" w14:textId="77777777" w:rsidR="002E474C" w:rsidRDefault="00000000">
            <w:pPr>
              <w:pStyle w:val="A-"/>
            </w:pPr>
            <w:r>
              <w:t>0.0</w:t>
            </w:r>
            <w:r>
              <w:rPr>
                <w:rFonts w:hint="eastAsia"/>
              </w:rPr>
              <w:t>08</w:t>
            </w:r>
          </w:p>
        </w:tc>
        <w:tc>
          <w:tcPr>
            <w:tcW w:w="695" w:type="pct"/>
            <w:vAlign w:val="center"/>
          </w:tcPr>
          <w:p w14:paraId="4F7047F5" w14:textId="77777777" w:rsidR="002E474C" w:rsidRDefault="00000000">
            <w:pPr>
              <w:pStyle w:val="A-"/>
            </w:pPr>
            <w:r>
              <w:t>80</w:t>
            </w:r>
          </w:p>
        </w:tc>
        <w:tc>
          <w:tcPr>
            <w:tcW w:w="916" w:type="pct"/>
            <w:vAlign w:val="center"/>
          </w:tcPr>
          <w:p w14:paraId="21856882" w14:textId="77777777" w:rsidR="002E474C" w:rsidRDefault="00000000">
            <w:pPr>
              <w:pStyle w:val="A-"/>
            </w:pPr>
            <w:r>
              <w:t>0.5</w:t>
            </w:r>
          </w:p>
        </w:tc>
        <w:tc>
          <w:tcPr>
            <w:tcW w:w="667" w:type="pct"/>
            <w:vAlign w:val="center"/>
          </w:tcPr>
          <w:p w14:paraId="1607094A" w14:textId="77777777" w:rsidR="002E474C" w:rsidRDefault="00000000">
            <w:pPr>
              <w:pStyle w:val="A-"/>
            </w:pPr>
            <w:r>
              <w:t>160</w:t>
            </w:r>
          </w:p>
        </w:tc>
      </w:tr>
      <w:tr w:rsidR="002E474C" w14:paraId="03A9C079" w14:textId="77777777">
        <w:trPr>
          <w:trHeight w:val="284"/>
          <w:jc w:val="center"/>
        </w:trPr>
        <w:tc>
          <w:tcPr>
            <w:tcW w:w="501" w:type="pct"/>
            <w:vMerge/>
            <w:vAlign w:val="center"/>
          </w:tcPr>
          <w:p w14:paraId="2DF1B916" w14:textId="77777777" w:rsidR="002E474C" w:rsidRDefault="002E474C">
            <w:pPr>
              <w:pStyle w:val="A-"/>
            </w:pPr>
          </w:p>
        </w:tc>
        <w:tc>
          <w:tcPr>
            <w:tcW w:w="583" w:type="pct"/>
            <w:vMerge/>
            <w:vAlign w:val="center"/>
          </w:tcPr>
          <w:p w14:paraId="2D565F67" w14:textId="77777777" w:rsidR="002E474C" w:rsidRDefault="002E474C">
            <w:pPr>
              <w:pStyle w:val="A-"/>
            </w:pPr>
          </w:p>
        </w:tc>
        <w:tc>
          <w:tcPr>
            <w:tcW w:w="850" w:type="pct"/>
            <w:vAlign w:val="center"/>
          </w:tcPr>
          <w:p w14:paraId="6596C729" w14:textId="77777777" w:rsidR="002E474C" w:rsidRDefault="00000000">
            <w:pPr>
              <w:pStyle w:val="A-"/>
            </w:pPr>
            <w:r>
              <w:t>石油类</w:t>
            </w:r>
          </w:p>
        </w:tc>
        <w:tc>
          <w:tcPr>
            <w:tcW w:w="788" w:type="pct"/>
            <w:vAlign w:val="center"/>
          </w:tcPr>
          <w:p w14:paraId="64635A71" w14:textId="77777777" w:rsidR="002E474C" w:rsidRDefault="00000000">
            <w:pPr>
              <w:pStyle w:val="A-"/>
            </w:pPr>
            <w:r>
              <w:t>0.00</w:t>
            </w:r>
            <w:r>
              <w:rPr>
                <w:rFonts w:hint="eastAsia"/>
              </w:rPr>
              <w:t>2</w:t>
            </w:r>
          </w:p>
        </w:tc>
        <w:tc>
          <w:tcPr>
            <w:tcW w:w="695" w:type="pct"/>
            <w:vAlign w:val="center"/>
          </w:tcPr>
          <w:p w14:paraId="52918621" w14:textId="77777777" w:rsidR="002E474C" w:rsidRDefault="00000000">
            <w:pPr>
              <w:pStyle w:val="A-"/>
            </w:pPr>
            <w:r>
              <w:t>20</w:t>
            </w:r>
          </w:p>
        </w:tc>
        <w:tc>
          <w:tcPr>
            <w:tcW w:w="916" w:type="pct"/>
            <w:vAlign w:val="center"/>
          </w:tcPr>
          <w:p w14:paraId="33D37B1A" w14:textId="77777777" w:rsidR="002E474C" w:rsidRDefault="00000000">
            <w:pPr>
              <w:pStyle w:val="A-"/>
            </w:pPr>
            <w:r>
              <w:t>0.05</w:t>
            </w:r>
          </w:p>
        </w:tc>
        <w:tc>
          <w:tcPr>
            <w:tcW w:w="667" w:type="pct"/>
            <w:vAlign w:val="center"/>
          </w:tcPr>
          <w:p w14:paraId="5326697D" w14:textId="77777777" w:rsidR="002E474C" w:rsidRDefault="00000000">
            <w:pPr>
              <w:pStyle w:val="A-"/>
            </w:pPr>
            <w:r>
              <w:t>400</w:t>
            </w:r>
          </w:p>
        </w:tc>
      </w:tr>
      <w:tr w:rsidR="002E474C" w14:paraId="3A7B130C" w14:textId="77777777">
        <w:trPr>
          <w:trHeight w:val="284"/>
          <w:jc w:val="center"/>
        </w:trPr>
        <w:tc>
          <w:tcPr>
            <w:tcW w:w="501" w:type="pct"/>
            <w:vMerge/>
            <w:vAlign w:val="center"/>
          </w:tcPr>
          <w:p w14:paraId="22499031" w14:textId="77777777" w:rsidR="002E474C" w:rsidRDefault="002E474C">
            <w:pPr>
              <w:pStyle w:val="A-"/>
            </w:pPr>
          </w:p>
        </w:tc>
        <w:tc>
          <w:tcPr>
            <w:tcW w:w="583" w:type="pct"/>
            <w:vMerge/>
            <w:vAlign w:val="center"/>
          </w:tcPr>
          <w:p w14:paraId="7B2D5E0C" w14:textId="77777777" w:rsidR="002E474C" w:rsidRDefault="002E474C">
            <w:pPr>
              <w:pStyle w:val="A-"/>
            </w:pPr>
          </w:p>
        </w:tc>
        <w:tc>
          <w:tcPr>
            <w:tcW w:w="850" w:type="pct"/>
            <w:vAlign w:val="center"/>
          </w:tcPr>
          <w:p w14:paraId="167DDFAF" w14:textId="77777777" w:rsidR="002E474C" w:rsidRDefault="00000000">
            <w:pPr>
              <w:pStyle w:val="A-"/>
            </w:pPr>
            <w:r>
              <w:t>SS</w:t>
            </w:r>
          </w:p>
        </w:tc>
        <w:tc>
          <w:tcPr>
            <w:tcW w:w="788" w:type="pct"/>
            <w:vAlign w:val="center"/>
          </w:tcPr>
          <w:p w14:paraId="75FAF0A5" w14:textId="77777777" w:rsidR="002E474C" w:rsidRDefault="00000000">
            <w:pPr>
              <w:pStyle w:val="A-"/>
            </w:pPr>
            <w:r>
              <w:t>0.</w:t>
            </w:r>
            <w:r>
              <w:rPr>
                <w:rFonts w:hint="eastAsia"/>
              </w:rPr>
              <w:t>0</w:t>
            </w:r>
            <w:r>
              <w:t>5</w:t>
            </w:r>
          </w:p>
        </w:tc>
        <w:tc>
          <w:tcPr>
            <w:tcW w:w="695" w:type="pct"/>
            <w:vAlign w:val="center"/>
          </w:tcPr>
          <w:p w14:paraId="36EEF35C" w14:textId="77777777" w:rsidR="002E474C" w:rsidRDefault="00000000">
            <w:pPr>
              <w:pStyle w:val="A-"/>
            </w:pPr>
            <w:r>
              <w:t>500</w:t>
            </w:r>
          </w:p>
        </w:tc>
        <w:tc>
          <w:tcPr>
            <w:tcW w:w="916" w:type="pct"/>
            <w:vAlign w:val="center"/>
          </w:tcPr>
          <w:p w14:paraId="07FAEF5C" w14:textId="77777777" w:rsidR="002E474C" w:rsidRDefault="00000000">
            <w:pPr>
              <w:pStyle w:val="A-"/>
            </w:pPr>
            <w:r>
              <w:t>/</w:t>
            </w:r>
          </w:p>
        </w:tc>
        <w:tc>
          <w:tcPr>
            <w:tcW w:w="667" w:type="pct"/>
            <w:vAlign w:val="center"/>
          </w:tcPr>
          <w:p w14:paraId="40BD5538" w14:textId="77777777" w:rsidR="002E474C" w:rsidRDefault="00000000">
            <w:pPr>
              <w:pStyle w:val="A-"/>
            </w:pPr>
            <w:r>
              <w:t>/</w:t>
            </w:r>
          </w:p>
        </w:tc>
      </w:tr>
    </w:tbl>
    <w:p w14:paraId="1E9674B3" w14:textId="77777777" w:rsidR="002E474C" w:rsidRDefault="002E474C">
      <w:pPr>
        <w:pStyle w:val="w3"/>
      </w:pPr>
    </w:p>
    <w:p w14:paraId="0D07B97E" w14:textId="77777777" w:rsidR="002E474C" w:rsidRDefault="00000000">
      <w:pPr>
        <w:pStyle w:val="A-z"/>
        <w:rPr>
          <w:color w:val="auto"/>
        </w:rPr>
      </w:pPr>
      <w:r>
        <w:rPr>
          <w:color w:val="auto"/>
        </w:rPr>
        <w:t>为了全面分析非正常工况下，泄漏的污染物对地下水的影响，本次评价主要预测因子选取</w:t>
      </w:r>
      <w:r>
        <w:rPr>
          <w:color w:val="auto"/>
        </w:rPr>
        <w:t>COD</w:t>
      </w:r>
      <w:r>
        <w:rPr>
          <w:color w:val="auto"/>
        </w:rPr>
        <w:t>、氨氮、石油类。</w:t>
      </w:r>
    </w:p>
    <w:p w14:paraId="7C63CEAB" w14:textId="77777777" w:rsidR="002E474C" w:rsidRDefault="00000000">
      <w:pPr>
        <w:pStyle w:val="41"/>
        <w:rPr>
          <w:color w:val="auto"/>
        </w:rPr>
      </w:pPr>
      <w:r>
        <w:rPr>
          <w:color w:val="auto"/>
        </w:rPr>
        <w:t>预测结果分析</w:t>
      </w:r>
    </w:p>
    <w:p w14:paraId="1BFC634B" w14:textId="77777777" w:rsidR="002E474C" w:rsidRDefault="00000000">
      <w:pPr>
        <w:pStyle w:val="A-z"/>
        <w:rPr>
          <w:color w:val="auto"/>
        </w:rPr>
      </w:pPr>
      <w:r>
        <w:rPr>
          <w:color w:val="auto"/>
        </w:rPr>
        <w:t>根据预测情景模式，分别预测废水收集池长期泄漏</w:t>
      </w:r>
      <w:r>
        <w:rPr>
          <w:color w:val="auto"/>
        </w:rPr>
        <w:t>100d</w:t>
      </w:r>
      <w:r>
        <w:rPr>
          <w:color w:val="auto"/>
        </w:rPr>
        <w:t>、</w:t>
      </w:r>
      <w:r>
        <w:rPr>
          <w:color w:val="auto"/>
        </w:rPr>
        <w:t>365d</w:t>
      </w:r>
      <w:r>
        <w:rPr>
          <w:rFonts w:hint="eastAsia"/>
          <w:color w:val="auto"/>
        </w:rPr>
        <w:t>、</w:t>
      </w:r>
      <w:r>
        <w:rPr>
          <w:color w:val="auto"/>
        </w:rPr>
        <w:t>1000d</w:t>
      </w:r>
      <w:r>
        <w:rPr>
          <w:color w:val="auto"/>
        </w:rPr>
        <w:t>及</w:t>
      </w:r>
      <w:r>
        <w:rPr>
          <w:rFonts w:hint="eastAsia"/>
          <w:color w:val="auto"/>
          <w:lang w:val="en-US"/>
        </w:rPr>
        <w:t>3650d</w:t>
      </w:r>
      <w:r>
        <w:rPr>
          <w:color w:val="auto"/>
        </w:rPr>
        <w:t>情况下，各类污染物在地面以下包气带中的入渗深度与浓度关系。废水收集池在不同泄漏时间，地面以下</w:t>
      </w:r>
      <w:r>
        <w:rPr>
          <w:color w:val="auto"/>
        </w:rPr>
        <w:t>50m</w:t>
      </w:r>
      <w:r>
        <w:rPr>
          <w:color w:val="auto"/>
        </w:rPr>
        <w:t>的包气带</w:t>
      </w:r>
      <w:r>
        <w:rPr>
          <w:color w:val="auto"/>
        </w:rPr>
        <w:t>COD</w:t>
      </w:r>
      <w:r>
        <w:rPr>
          <w:color w:val="auto"/>
        </w:rPr>
        <w:t>、氨氮、石油类等污染物浓度与入渗深度的关系，见图</w:t>
      </w:r>
      <w:r>
        <w:rPr>
          <w:color w:val="auto"/>
        </w:rPr>
        <w:t>5.3.</w:t>
      </w:r>
      <w:r>
        <w:rPr>
          <w:rFonts w:hint="eastAsia"/>
          <w:color w:val="auto"/>
        </w:rPr>
        <w:t>5</w:t>
      </w:r>
      <w:r>
        <w:rPr>
          <w:color w:val="auto"/>
        </w:rPr>
        <w:t>至图</w:t>
      </w:r>
      <w:r>
        <w:rPr>
          <w:color w:val="auto"/>
        </w:rPr>
        <w:t>5.3-</w:t>
      </w:r>
      <w:r>
        <w:rPr>
          <w:rFonts w:hint="eastAsia"/>
          <w:color w:val="auto"/>
        </w:rPr>
        <w:t>7</w:t>
      </w:r>
      <w:r>
        <w:rPr>
          <w:color w:val="auto"/>
        </w:rPr>
        <w:t>。</w:t>
      </w:r>
    </w:p>
    <w:p w14:paraId="50B218CB" w14:textId="77777777" w:rsidR="002E474C" w:rsidRDefault="00000000">
      <w:pPr>
        <w:pStyle w:val="A-z"/>
        <w:rPr>
          <w:color w:val="auto"/>
        </w:rPr>
      </w:pPr>
      <w:r>
        <w:rPr>
          <w:color w:val="auto"/>
        </w:rPr>
        <w:t>由预测结果可知，预测图中从上向下分别为泄漏</w:t>
      </w:r>
      <w:r>
        <w:rPr>
          <w:color w:val="auto"/>
        </w:rPr>
        <w:t>100d</w:t>
      </w:r>
      <w:r>
        <w:rPr>
          <w:color w:val="auto"/>
        </w:rPr>
        <w:t>、</w:t>
      </w:r>
      <w:r>
        <w:rPr>
          <w:color w:val="auto"/>
        </w:rPr>
        <w:t>365d</w:t>
      </w:r>
      <w:r>
        <w:rPr>
          <w:color w:val="auto"/>
        </w:rPr>
        <w:t>、</w:t>
      </w:r>
      <w:r>
        <w:rPr>
          <w:color w:val="auto"/>
        </w:rPr>
        <w:t>1000d</w:t>
      </w:r>
      <w:r>
        <w:rPr>
          <w:color w:val="auto"/>
        </w:rPr>
        <w:t>、</w:t>
      </w:r>
      <w:r>
        <w:rPr>
          <w:color w:val="auto"/>
        </w:rPr>
        <w:t>3650d</w:t>
      </w:r>
      <w:r>
        <w:rPr>
          <w:color w:val="auto"/>
        </w:rPr>
        <w:t>污染物浓度与入渗深度的关系。区域地下水为</w:t>
      </w:r>
      <w:r>
        <w:rPr>
          <w:color w:val="auto"/>
        </w:rPr>
        <w:t>100m</w:t>
      </w:r>
      <w:r>
        <w:rPr>
          <w:color w:val="auto"/>
        </w:rPr>
        <w:t>之下的裂隙孔隙承压水，表层砾石土下伏的泥岩和粉砂质泥岩为隔水层能有效保护深部承压含水层。根据</w:t>
      </w:r>
      <w:r>
        <w:rPr>
          <w:color w:val="auto"/>
        </w:rPr>
        <w:t>HYDRUS 1D</w:t>
      </w:r>
      <w:r>
        <w:rPr>
          <w:color w:val="auto"/>
        </w:rPr>
        <w:t>软件预测污染物在包气带中迁移情况分析，废水收集池破损污水长期渗漏情况下，污染物的入渗深度不断加深，但废水将不会达到含水层。企业日常应加强对各隐蔽工程的防渗漏检查，发现泄漏及时采取应急处置措施，减小非正常状况的泄漏风险。</w:t>
      </w:r>
    </w:p>
    <w:p w14:paraId="5B6E10C4" w14:textId="77777777" w:rsidR="002E474C" w:rsidRDefault="00000000">
      <w:pPr>
        <w:pStyle w:val="21"/>
        <w:spacing w:before="240" w:after="240"/>
        <w:rPr>
          <w:color w:val="auto"/>
        </w:rPr>
      </w:pPr>
      <w:bookmarkStart w:id="292" w:name="_Toc863"/>
      <w:bookmarkStart w:id="293" w:name="_Toc225848866"/>
      <w:r>
        <w:rPr>
          <w:color w:val="auto"/>
        </w:rPr>
        <w:t>声环境影响预测与评价</w:t>
      </w:r>
      <w:bookmarkEnd w:id="292"/>
      <w:bookmarkEnd w:id="293"/>
    </w:p>
    <w:p w14:paraId="2886140F" w14:textId="77777777" w:rsidR="002E474C" w:rsidRDefault="00000000">
      <w:pPr>
        <w:pStyle w:val="31"/>
        <w:spacing w:before="120" w:after="120"/>
        <w:rPr>
          <w:color w:val="auto"/>
        </w:rPr>
      </w:pPr>
      <w:r>
        <w:rPr>
          <w:color w:val="auto"/>
        </w:rPr>
        <w:t>预测模型</w:t>
      </w:r>
    </w:p>
    <w:p w14:paraId="3ABC49A8" w14:textId="77777777" w:rsidR="002E474C" w:rsidRDefault="00000000">
      <w:pPr>
        <w:pStyle w:val="A-z"/>
        <w:rPr>
          <w:color w:val="auto"/>
        </w:rPr>
      </w:pPr>
      <w:r>
        <w:rPr>
          <w:color w:val="auto"/>
        </w:rPr>
        <w:t>根据项目建设内容及《环境影响评价技术导则</w:t>
      </w:r>
      <w:r>
        <w:rPr>
          <w:color w:val="auto"/>
        </w:rPr>
        <w:t xml:space="preserve"> </w:t>
      </w:r>
      <w:r>
        <w:rPr>
          <w:color w:val="auto"/>
        </w:rPr>
        <w:t>声环境》（</w:t>
      </w:r>
      <w:r>
        <w:rPr>
          <w:color w:val="auto"/>
        </w:rPr>
        <w:t>HJ2.4-2021</w:t>
      </w:r>
      <w:r>
        <w:rPr>
          <w:color w:val="auto"/>
        </w:rPr>
        <w:t>）的要求，本评价采用的模型为《环境影响评价技术导则</w:t>
      </w:r>
      <w:r>
        <w:rPr>
          <w:color w:val="auto"/>
        </w:rPr>
        <w:t xml:space="preserve"> </w:t>
      </w:r>
      <w:r>
        <w:rPr>
          <w:color w:val="auto"/>
        </w:rPr>
        <w:t>声环境》</w:t>
      </w:r>
      <w:r>
        <w:rPr>
          <w:color w:val="auto"/>
        </w:rPr>
        <w:t>(HJ2.4.2021)</w:t>
      </w:r>
      <w:r>
        <w:rPr>
          <w:color w:val="auto"/>
        </w:rPr>
        <w:t>附录</w:t>
      </w:r>
      <w:r>
        <w:rPr>
          <w:color w:val="auto"/>
        </w:rPr>
        <w:t>A</w:t>
      </w:r>
      <w:r>
        <w:rPr>
          <w:color w:val="auto"/>
        </w:rPr>
        <w:t>（规范性附录）户外声传播的衰减和附录</w:t>
      </w:r>
      <w:r>
        <w:rPr>
          <w:color w:val="auto"/>
        </w:rPr>
        <w:t>B</w:t>
      </w:r>
      <w:r>
        <w:rPr>
          <w:color w:val="auto"/>
        </w:rPr>
        <w:t>（规范性附录）中</w:t>
      </w:r>
      <w:r>
        <w:rPr>
          <w:color w:val="auto"/>
        </w:rPr>
        <w:t>“B.1</w:t>
      </w:r>
      <w:r>
        <w:rPr>
          <w:color w:val="auto"/>
        </w:rPr>
        <w:t>工业噪声预测计算模型</w:t>
      </w:r>
      <w:r>
        <w:rPr>
          <w:color w:val="auto"/>
        </w:rPr>
        <w:t>”</w:t>
      </w:r>
      <w:r>
        <w:rPr>
          <w:color w:val="auto"/>
        </w:rPr>
        <w:t>。</w:t>
      </w:r>
    </w:p>
    <w:p w14:paraId="64629370" w14:textId="77777777" w:rsidR="002E474C" w:rsidRDefault="00000000">
      <w:pPr>
        <w:pStyle w:val="A-z"/>
        <w:rPr>
          <w:color w:val="auto"/>
        </w:rPr>
      </w:pPr>
      <w:r>
        <w:rPr>
          <w:color w:val="auto"/>
        </w:rPr>
        <w:t>采用《环境影响评价技术导则</w:t>
      </w:r>
      <w:r>
        <w:rPr>
          <w:rFonts w:hint="eastAsia"/>
          <w:color w:val="auto"/>
          <w:lang w:val="en-US"/>
        </w:rPr>
        <w:t xml:space="preserve"> </w:t>
      </w:r>
      <w:r>
        <w:rPr>
          <w:color w:val="auto"/>
        </w:rPr>
        <w:t>声环境》（</w:t>
      </w:r>
      <w:r>
        <w:rPr>
          <w:color w:val="auto"/>
        </w:rPr>
        <w:t>HJ2.4-2021</w:t>
      </w:r>
      <w:r>
        <w:rPr>
          <w:color w:val="auto"/>
        </w:rPr>
        <w:t>）中的工业噪声预测模式。本次预测模式不考虑雨、雪、雾和温度梯度等因素，以保证未来实际噪声环境较预测结果优越。</w:t>
      </w:r>
    </w:p>
    <w:p w14:paraId="34BF0E9F" w14:textId="77777777" w:rsidR="002E474C" w:rsidRDefault="00000000">
      <w:pPr>
        <w:pStyle w:val="A-z"/>
        <w:rPr>
          <w:color w:val="auto"/>
          <w:szCs w:val="24"/>
        </w:rPr>
      </w:pPr>
      <w:r>
        <w:rPr>
          <w:color w:val="auto"/>
          <w:szCs w:val="24"/>
        </w:rPr>
        <w:lastRenderedPageBreak/>
        <w:t>（</w:t>
      </w:r>
      <w:r>
        <w:rPr>
          <w:color w:val="auto"/>
          <w:szCs w:val="24"/>
        </w:rPr>
        <w:t>1</w:t>
      </w:r>
      <w:r>
        <w:rPr>
          <w:color w:val="auto"/>
          <w:szCs w:val="24"/>
        </w:rPr>
        <w:t>）室外声源</w:t>
      </w:r>
    </w:p>
    <w:p w14:paraId="20A0C8EC" w14:textId="77777777" w:rsidR="002E474C" w:rsidRDefault="00000000">
      <w:pPr>
        <w:spacing w:line="360" w:lineRule="auto"/>
        <w:ind w:firstLine="480"/>
        <w:jc w:val="center"/>
        <w:rPr>
          <w:sz w:val="24"/>
          <w:szCs w:val="24"/>
        </w:rPr>
      </w:pPr>
      <w:r>
        <w:rPr>
          <w:noProof/>
          <w:position w:val="-14"/>
          <w:sz w:val="24"/>
          <w:szCs w:val="24"/>
        </w:rPr>
        <w:drawing>
          <wp:inline distT="0" distB="0" distL="0" distR="0" wp14:anchorId="1E4FD4FF" wp14:editId="77AAEDE2">
            <wp:extent cx="2105660" cy="276860"/>
            <wp:effectExtent l="0" t="0" r="8890" b="8890"/>
            <wp:docPr id="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05660" cy="276860"/>
                    </a:xfrm>
                    <a:prstGeom prst="rect">
                      <a:avLst/>
                    </a:prstGeom>
                    <a:noFill/>
                    <a:ln>
                      <a:noFill/>
                    </a:ln>
                  </pic:spPr>
                </pic:pic>
              </a:graphicData>
            </a:graphic>
          </wp:inline>
        </w:drawing>
      </w:r>
    </w:p>
    <w:p w14:paraId="5348D36F" w14:textId="77777777" w:rsidR="002E474C" w:rsidRDefault="00000000">
      <w:pPr>
        <w:pStyle w:val="A-z"/>
        <w:rPr>
          <w:color w:val="auto"/>
        </w:rPr>
      </w:pPr>
      <w:r>
        <w:rPr>
          <w:color w:val="auto"/>
        </w:rPr>
        <w:t>式中：</w:t>
      </w:r>
      <w:r>
        <w:rPr>
          <w:noProof/>
          <w:color w:val="auto"/>
          <w:position w:val="-14"/>
        </w:rPr>
        <w:drawing>
          <wp:inline distT="0" distB="0" distL="0" distR="0" wp14:anchorId="73750098" wp14:editId="6AA4AD0B">
            <wp:extent cx="368935" cy="184785"/>
            <wp:effectExtent l="0" t="0" r="0" b="5715"/>
            <wp:docPr id="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68935" cy="184785"/>
                    </a:xfrm>
                    <a:prstGeom prst="rect">
                      <a:avLst/>
                    </a:prstGeom>
                    <a:noFill/>
                    <a:ln>
                      <a:noFill/>
                    </a:ln>
                  </pic:spPr>
                </pic:pic>
              </a:graphicData>
            </a:graphic>
          </wp:inline>
        </w:drawing>
      </w:r>
      <w:r>
        <w:rPr>
          <w:color w:val="auto"/>
        </w:rPr>
        <w:t>—</w:t>
      </w:r>
      <w:r>
        <w:rPr>
          <w:color w:val="auto"/>
        </w:rPr>
        <w:t>噪声源在预测点的声压级，</w:t>
      </w:r>
      <w:r>
        <w:rPr>
          <w:color w:val="auto"/>
        </w:rPr>
        <w:t>dB(A)</w:t>
      </w:r>
      <w:r>
        <w:rPr>
          <w:color w:val="auto"/>
        </w:rPr>
        <w:t>；</w:t>
      </w:r>
    </w:p>
    <w:p w14:paraId="2BE43107" w14:textId="77777777" w:rsidR="002E474C" w:rsidRDefault="00000000">
      <w:pPr>
        <w:pStyle w:val="A-z"/>
        <w:rPr>
          <w:color w:val="auto"/>
        </w:rPr>
      </w:pPr>
      <w:r>
        <w:rPr>
          <w:noProof/>
          <w:color w:val="auto"/>
          <w:position w:val="-14"/>
        </w:rPr>
        <w:drawing>
          <wp:inline distT="0" distB="0" distL="0" distR="0" wp14:anchorId="4A8F7981" wp14:editId="7D352306">
            <wp:extent cx="461645" cy="184785"/>
            <wp:effectExtent l="0" t="0" r="0" b="5715"/>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1645" cy="184785"/>
                    </a:xfrm>
                    <a:prstGeom prst="rect">
                      <a:avLst/>
                    </a:prstGeom>
                    <a:noFill/>
                    <a:ln>
                      <a:noFill/>
                    </a:ln>
                  </pic:spPr>
                </pic:pic>
              </a:graphicData>
            </a:graphic>
          </wp:inline>
        </w:drawing>
      </w:r>
      <w:r>
        <w:rPr>
          <w:color w:val="auto"/>
        </w:rPr>
        <w:t>—</w:t>
      </w:r>
      <w:r>
        <w:rPr>
          <w:color w:val="auto"/>
        </w:rPr>
        <w:t>参考位置</w:t>
      </w:r>
      <w:r>
        <w:rPr>
          <w:noProof/>
          <w:color w:val="auto"/>
          <w:position w:val="-12"/>
        </w:rPr>
        <w:drawing>
          <wp:inline distT="0" distB="0" distL="0" distR="0" wp14:anchorId="7A8DA339" wp14:editId="26BBC043">
            <wp:extent cx="184785" cy="276860"/>
            <wp:effectExtent l="0" t="0" r="5715" b="8890"/>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4785" cy="276860"/>
                    </a:xfrm>
                    <a:prstGeom prst="rect">
                      <a:avLst/>
                    </a:prstGeom>
                    <a:noFill/>
                    <a:ln>
                      <a:noFill/>
                    </a:ln>
                  </pic:spPr>
                </pic:pic>
              </a:graphicData>
            </a:graphic>
          </wp:inline>
        </w:drawing>
      </w:r>
      <w:r>
        <w:rPr>
          <w:color w:val="auto"/>
        </w:rPr>
        <w:t>处的声压级，</w:t>
      </w:r>
      <w:r>
        <w:rPr>
          <w:color w:val="auto"/>
        </w:rPr>
        <w:t>dB(A)</w:t>
      </w:r>
      <w:r>
        <w:rPr>
          <w:color w:val="auto"/>
        </w:rPr>
        <w:t>；</w:t>
      </w:r>
    </w:p>
    <w:p w14:paraId="6C399C01" w14:textId="77777777" w:rsidR="002E474C" w:rsidRDefault="00000000">
      <w:pPr>
        <w:pStyle w:val="A-z"/>
        <w:rPr>
          <w:color w:val="auto"/>
        </w:rPr>
      </w:pPr>
      <w:r>
        <w:rPr>
          <w:noProof/>
          <w:color w:val="auto"/>
          <w:position w:val="-12"/>
        </w:rPr>
        <w:drawing>
          <wp:inline distT="0" distB="0" distL="0" distR="0" wp14:anchorId="0BCB9C3D" wp14:editId="1D359818">
            <wp:extent cx="184785" cy="276860"/>
            <wp:effectExtent l="0" t="0" r="5715" b="889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4785" cy="276860"/>
                    </a:xfrm>
                    <a:prstGeom prst="rect">
                      <a:avLst/>
                    </a:prstGeom>
                    <a:noFill/>
                    <a:ln>
                      <a:noFill/>
                    </a:ln>
                  </pic:spPr>
                </pic:pic>
              </a:graphicData>
            </a:graphic>
          </wp:inline>
        </w:drawing>
      </w:r>
      <w:r>
        <w:rPr>
          <w:color w:val="auto"/>
        </w:rPr>
        <w:t>—</w:t>
      </w:r>
      <w:r>
        <w:rPr>
          <w:color w:val="auto"/>
        </w:rPr>
        <w:t>参考位置距声源中心的位置，</w:t>
      </w:r>
      <w:r>
        <w:rPr>
          <w:color w:val="auto"/>
        </w:rPr>
        <w:t>m</w:t>
      </w:r>
      <w:r>
        <w:rPr>
          <w:color w:val="auto"/>
        </w:rPr>
        <w:t>；</w:t>
      </w:r>
    </w:p>
    <w:p w14:paraId="7922B09F" w14:textId="77777777" w:rsidR="002E474C" w:rsidRDefault="00000000">
      <w:pPr>
        <w:pStyle w:val="A-z"/>
        <w:rPr>
          <w:color w:val="auto"/>
        </w:rPr>
      </w:pPr>
      <w:r>
        <w:rPr>
          <w:noProof/>
          <w:color w:val="auto"/>
          <w:position w:val="-4"/>
        </w:rPr>
        <w:drawing>
          <wp:inline distT="0" distB="0" distL="0" distR="0" wp14:anchorId="2C189295" wp14:editId="45BC2B01">
            <wp:extent cx="184785" cy="184785"/>
            <wp:effectExtent l="0" t="0" r="5715" b="5715"/>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color w:val="auto"/>
        </w:rPr>
        <w:t>—</w:t>
      </w:r>
      <w:r>
        <w:rPr>
          <w:color w:val="auto"/>
        </w:rPr>
        <w:t>声源中心至预测点的距离，</w:t>
      </w:r>
      <w:r>
        <w:rPr>
          <w:color w:val="auto"/>
        </w:rPr>
        <w:t>m</w:t>
      </w:r>
      <w:r>
        <w:rPr>
          <w:color w:val="auto"/>
        </w:rPr>
        <w:t>；</w:t>
      </w:r>
    </w:p>
    <w:p w14:paraId="42DEB115" w14:textId="77777777" w:rsidR="002E474C" w:rsidRDefault="00000000">
      <w:pPr>
        <w:pStyle w:val="A-z"/>
        <w:rPr>
          <w:color w:val="auto"/>
        </w:rPr>
      </w:pPr>
      <w:r>
        <w:rPr>
          <w:noProof/>
          <w:color w:val="auto"/>
          <w:position w:val="-4"/>
        </w:rPr>
        <w:drawing>
          <wp:inline distT="0" distB="0" distL="0" distR="0" wp14:anchorId="5ECAAD23" wp14:editId="20610783">
            <wp:extent cx="276860" cy="184785"/>
            <wp:effectExtent l="0" t="0" r="8890" b="571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6860" cy="184785"/>
                    </a:xfrm>
                    <a:prstGeom prst="rect">
                      <a:avLst/>
                    </a:prstGeom>
                    <a:noFill/>
                    <a:ln>
                      <a:noFill/>
                    </a:ln>
                  </pic:spPr>
                </pic:pic>
              </a:graphicData>
            </a:graphic>
          </wp:inline>
        </w:drawing>
      </w:r>
      <w:r>
        <w:rPr>
          <w:color w:val="auto"/>
        </w:rPr>
        <w:t>—</w:t>
      </w:r>
      <w:r>
        <w:rPr>
          <w:color w:val="auto"/>
        </w:rPr>
        <w:t>各种因素引起的声衰减量（如声屏障，遮挡物，空气吸收，地面吸收等引起的声衰减），</w:t>
      </w:r>
      <w:r>
        <w:rPr>
          <w:color w:val="auto"/>
        </w:rPr>
        <w:t>dB(A)</w:t>
      </w:r>
      <w:r>
        <w:rPr>
          <w:color w:val="auto"/>
        </w:rPr>
        <w:t>。</w:t>
      </w:r>
    </w:p>
    <w:p w14:paraId="743C4D11" w14:textId="77777777" w:rsidR="002E474C" w:rsidRDefault="00000000">
      <w:pPr>
        <w:pStyle w:val="A-z"/>
        <w:rPr>
          <w:color w:val="auto"/>
        </w:rPr>
      </w:pPr>
      <w:r>
        <w:rPr>
          <w:color w:val="auto"/>
        </w:rPr>
        <w:t>（</w:t>
      </w:r>
      <w:r>
        <w:rPr>
          <w:color w:val="auto"/>
        </w:rPr>
        <w:t>2</w:t>
      </w:r>
      <w:r>
        <w:rPr>
          <w:color w:val="auto"/>
        </w:rPr>
        <w:t>）室内声源</w:t>
      </w:r>
    </w:p>
    <w:p w14:paraId="4865683B" w14:textId="77777777" w:rsidR="002E474C" w:rsidRDefault="00000000">
      <w:pPr>
        <w:pStyle w:val="A-z"/>
        <w:rPr>
          <w:color w:val="auto"/>
        </w:rPr>
      </w:pPr>
      <w:r>
        <w:rPr>
          <w:color w:val="auto"/>
        </w:rPr>
        <w:t>A.</w:t>
      </w:r>
      <w:r>
        <w:rPr>
          <w:color w:val="auto"/>
        </w:rPr>
        <w:t>车间室内声源靠近围护结构处产生的声压级：</w:t>
      </w:r>
    </w:p>
    <w:p w14:paraId="755C7E5D" w14:textId="77777777" w:rsidR="002E474C" w:rsidRDefault="00000000">
      <w:pPr>
        <w:spacing w:line="360" w:lineRule="auto"/>
        <w:ind w:firstLine="480"/>
        <w:jc w:val="center"/>
        <w:rPr>
          <w:sz w:val="24"/>
          <w:szCs w:val="24"/>
        </w:rPr>
      </w:pPr>
      <w:r>
        <w:rPr>
          <w:noProof/>
          <w:position w:val="-32"/>
          <w:sz w:val="24"/>
          <w:szCs w:val="24"/>
        </w:rPr>
        <w:drawing>
          <wp:inline distT="0" distB="0" distL="0" distR="0" wp14:anchorId="4569E05E" wp14:editId="09D13D55">
            <wp:extent cx="1644015" cy="461645"/>
            <wp:effectExtent l="0" t="0" r="0" b="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44015" cy="461645"/>
                    </a:xfrm>
                    <a:prstGeom prst="rect">
                      <a:avLst/>
                    </a:prstGeom>
                    <a:noFill/>
                    <a:ln>
                      <a:noFill/>
                    </a:ln>
                  </pic:spPr>
                </pic:pic>
              </a:graphicData>
            </a:graphic>
          </wp:inline>
        </w:drawing>
      </w:r>
    </w:p>
    <w:p w14:paraId="7868BB4E" w14:textId="77777777" w:rsidR="002E474C" w:rsidRDefault="00000000">
      <w:pPr>
        <w:pStyle w:val="A-z"/>
        <w:rPr>
          <w:color w:val="auto"/>
        </w:rPr>
      </w:pPr>
      <w:r>
        <w:rPr>
          <w:color w:val="auto"/>
        </w:rPr>
        <w:t>式中：</w:t>
      </w:r>
      <w:r>
        <w:rPr>
          <w:noProof/>
          <w:color w:val="auto"/>
        </w:rPr>
        <w:drawing>
          <wp:inline distT="0" distB="0" distL="0" distR="0" wp14:anchorId="3B2AAEC9" wp14:editId="6F8024BE">
            <wp:extent cx="184785" cy="276860"/>
            <wp:effectExtent l="0" t="0" r="5715" b="0"/>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4785" cy="276860"/>
                    </a:xfrm>
                    <a:prstGeom prst="rect">
                      <a:avLst/>
                    </a:prstGeom>
                    <a:noFill/>
                    <a:ln>
                      <a:noFill/>
                    </a:ln>
                  </pic:spPr>
                </pic:pic>
              </a:graphicData>
            </a:graphic>
          </wp:inline>
        </w:drawing>
      </w:r>
      <w:r>
        <w:rPr>
          <w:color w:val="auto"/>
        </w:rPr>
        <w:t>—</w:t>
      </w:r>
      <w:r>
        <w:rPr>
          <w:color w:val="auto"/>
        </w:rPr>
        <w:t>指向性因子；</w:t>
      </w:r>
    </w:p>
    <w:p w14:paraId="64E6938C" w14:textId="77777777" w:rsidR="002E474C" w:rsidRDefault="00000000">
      <w:pPr>
        <w:pStyle w:val="A-z"/>
        <w:rPr>
          <w:color w:val="auto"/>
        </w:rPr>
      </w:pPr>
      <w:r>
        <w:rPr>
          <w:color w:val="auto"/>
        </w:rPr>
        <w:t>L</w:t>
      </w:r>
      <w:r>
        <w:rPr>
          <w:color w:val="auto"/>
          <w:vertAlign w:val="subscript"/>
        </w:rPr>
        <w:t>W</w:t>
      </w:r>
      <w:r>
        <w:rPr>
          <w:color w:val="auto"/>
        </w:rPr>
        <w:t>—</w:t>
      </w:r>
      <w:r>
        <w:rPr>
          <w:color w:val="auto"/>
        </w:rPr>
        <w:t>室内声源声功率级，</w:t>
      </w:r>
      <w:r>
        <w:rPr>
          <w:color w:val="auto"/>
        </w:rPr>
        <w:t>dB</w:t>
      </w:r>
      <w:r>
        <w:rPr>
          <w:color w:val="auto"/>
        </w:rPr>
        <w:t>；</w:t>
      </w:r>
    </w:p>
    <w:p w14:paraId="7CB75791" w14:textId="77777777" w:rsidR="002E474C" w:rsidRDefault="00000000">
      <w:pPr>
        <w:pStyle w:val="A-z"/>
        <w:rPr>
          <w:color w:val="auto"/>
        </w:rPr>
      </w:pPr>
      <w:r>
        <w:rPr>
          <w:noProof/>
          <w:color w:val="auto"/>
          <w:position w:val="-4"/>
        </w:rPr>
        <w:drawing>
          <wp:inline distT="0" distB="0" distL="0" distR="0" wp14:anchorId="220E710E" wp14:editId="1F13EC72">
            <wp:extent cx="184785" cy="184785"/>
            <wp:effectExtent l="0" t="0" r="5715" b="5715"/>
            <wp:docPr id="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color w:val="auto"/>
        </w:rPr>
        <w:t>—</w:t>
      </w:r>
      <w:r>
        <w:rPr>
          <w:color w:val="auto"/>
        </w:rPr>
        <w:t>房间常数；</w:t>
      </w:r>
    </w:p>
    <w:p w14:paraId="20A76398" w14:textId="77777777" w:rsidR="002E474C" w:rsidRDefault="00000000">
      <w:pPr>
        <w:pStyle w:val="A-z"/>
        <w:rPr>
          <w:color w:val="auto"/>
        </w:rPr>
      </w:pPr>
      <w:r>
        <w:rPr>
          <w:noProof/>
          <w:color w:val="auto"/>
          <w:position w:val="-12"/>
        </w:rPr>
        <w:drawing>
          <wp:inline distT="0" distB="0" distL="0" distR="0" wp14:anchorId="5A629A65" wp14:editId="13C9EB63">
            <wp:extent cx="184785" cy="276860"/>
            <wp:effectExtent l="0" t="0" r="5715" b="889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4785" cy="276860"/>
                    </a:xfrm>
                    <a:prstGeom prst="rect">
                      <a:avLst/>
                    </a:prstGeom>
                    <a:noFill/>
                    <a:ln>
                      <a:noFill/>
                    </a:ln>
                  </pic:spPr>
                </pic:pic>
              </a:graphicData>
            </a:graphic>
          </wp:inline>
        </w:drawing>
      </w:r>
      <w:r>
        <w:rPr>
          <w:color w:val="auto"/>
        </w:rPr>
        <w:t>—</w:t>
      </w:r>
      <w:r>
        <w:rPr>
          <w:color w:val="auto"/>
        </w:rPr>
        <w:t>声源到靠近围护结构某点处的距离，</w:t>
      </w:r>
      <w:r>
        <w:rPr>
          <w:color w:val="auto"/>
        </w:rPr>
        <w:t>m</w:t>
      </w:r>
      <w:r>
        <w:rPr>
          <w:color w:val="auto"/>
        </w:rPr>
        <w:t>。</w:t>
      </w:r>
    </w:p>
    <w:p w14:paraId="50A472E5" w14:textId="77777777" w:rsidR="002E474C" w:rsidRDefault="00000000">
      <w:pPr>
        <w:pStyle w:val="A-z"/>
        <w:rPr>
          <w:color w:val="auto"/>
        </w:rPr>
      </w:pPr>
      <w:r>
        <w:rPr>
          <w:color w:val="auto"/>
        </w:rPr>
        <w:t xml:space="preserve">B. </w:t>
      </w:r>
      <w:r>
        <w:rPr>
          <w:color w:val="auto"/>
        </w:rPr>
        <w:t>计算所有室内声源在围护结构处产生的叠加声压级：</w:t>
      </w:r>
    </w:p>
    <w:p w14:paraId="4FD88944" w14:textId="77777777" w:rsidR="002E474C" w:rsidRDefault="00000000">
      <w:pPr>
        <w:spacing w:line="360" w:lineRule="auto"/>
        <w:ind w:firstLine="480"/>
        <w:jc w:val="center"/>
        <w:rPr>
          <w:sz w:val="24"/>
          <w:szCs w:val="24"/>
        </w:rPr>
      </w:pPr>
      <w:r>
        <w:rPr>
          <w:noProof/>
          <w:position w:val="-30"/>
          <w:sz w:val="24"/>
          <w:szCs w:val="24"/>
        </w:rPr>
        <w:drawing>
          <wp:inline distT="0" distB="0" distL="0" distR="0" wp14:anchorId="4457EE83" wp14:editId="7C65DE3E">
            <wp:extent cx="1551940" cy="461645"/>
            <wp:effectExtent l="0" t="0" r="0" b="0"/>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51940" cy="461645"/>
                    </a:xfrm>
                    <a:prstGeom prst="rect">
                      <a:avLst/>
                    </a:prstGeom>
                    <a:noFill/>
                    <a:ln>
                      <a:noFill/>
                    </a:ln>
                  </pic:spPr>
                </pic:pic>
              </a:graphicData>
            </a:graphic>
          </wp:inline>
        </w:drawing>
      </w:r>
    </w:p>
    <w:p w14:paraId="4116D9E2" w14:textId="77777777" w:rsidR="002E474C" w:rsidRDefault="00000000">
      <w:pPr>
        <w:pStyle w:val="A-z"/>
        <w:rPr>
          <w:color w:val="auto"/>
        </w:rPr>
      </w:pPr>
      <w:r>
        <w:rPr>
          <w:color w:val="auto"/>
        </w:rPr>
        <w:t>式中：</w:t>
      </w:r>
      <w:r>
        <w:rPr>
          <w:color w:val="auto"/>
        </w:rPr>
        <w:t>L</w:t>
      </w:r>
      <w:r>
        <w:rPr>
          <w:color w:val="auto"/>
          <w:vertAlign w:val="subscript"/>
        </w:rPr>
        <w:t>p1</w:t>
      </w:r>
      <w:r>
        <w:rPr>
          <w:color w:val="auto"/>
        </w:rPr>
        <w:t>(T)—</w:t>
      </w:r>
      <w:r>
        <w:rPr>
          <w:color w:val="auto"/>
        </w:rPr>
        <w:t>靠近围护结构处室内</w:t>
      </w:r>
      <w:r>
        <w:rPr>
          <w:color w:val="auto"/>
        </w:rPr>
        <w:t>N</w:t>
      </w:r>
      <w:r>
        <w:rPr>
          <w:color w:val="auto"/>
        </w:rPr>
        <w:t>个声源的叠加声压级，</w:t>
      </w:r>
      <w:r>
        <w:rPr>
          <w:color w:val="auto"/>
        </w:rPr>
        <w:t>dB</w:t>
      </w:r>
      <w:r>
        <w:rPr>
          <w:color w:val="auto"/>
        </w:rPr>
        <w:t>；</w:t>
      </w:r>
    </w:p>
    <w:p w14:paraId="24B18753" w14:textId="77777777" w:rsidR="002E474C" w:rsidRDefault="00000000">
      <w:pPr>
        <w:pStyle w:val="A-z"/>
        <w:rPr>
          <w:color w:val="auto"/>
        </w:rPr>
      </w:pPr>
      <w:r>
        <w:rPr>
          <w:color w:val="auto"/>
        </w:rPr>
        <w:t>L</w:t>
      </w:r>
      <w:r>
        <w:rPr>
          <w:color w:val="auto"/>
          <w:vertAlign w:val="subscript"/>
        </w:rPr>
        <w:t>p1j</w:t>
      </w:r>
      <w:r>
        <w:rPr>
          <w:color w:val="auto"/>
        </w:rPr>
        <w:t>(T)—</w:t>
      </w:r>
      <w:r>
        <w:rPr>
          <w:color w:val="auto"/>
        </w:rPr>
        <w:t>室内</w:t>
      </w:r>
      <w:r>
        <w:rPr>
          <w:color w:val="auto"/>
        </w:rPr>
        <w:t>j</w:t>
      </w:r>
      <w:r>
        <w:rPr>
          <w:color w:val="auto"/>
        </w:rPr>
        <w:t>声源声压级，</w:t>
      </w:r>
      <w:r>
        <w:rPr>
          <w:color w:val="auto"/>
        </w:rPr>
        <w:t>dB</w:t>
      </w:r>
      <w:r>
        <w:rPr>
          <w:color w:val="auto"/>
        </w:rPr>
        <w:t>；</w:t>
      </w:r>
    </w:p>
    <w:p w14:paraId="49A134EC" w14:textId="77777777" w:rsidR="002E474C" w:rsidRDefault="00000000">
      <w:pPr>
        <w:pStyle w:val="A-z"/>
        <w:rPr>
          <w:color w:val="auto"/>
        </w:rPr>
      </w:pPr>
      <w:r>
        <w:rPr>
          <w:color w:val="auto"/>
        </w:rPr>
        <w:t>N—</w:t>
      </w:r>
      <w:r>
        <w:rPr>
          <w:color w:val="auto"/>
        </w:rPr>
        <w:t>室内声源总数。</w:t>
      </w:r>
    </w:p>
    <w:p w14:paraId="48781D4C" w14:textId="77777777" w:rsidR="002E474C" w:rsidRDefault="00000000">
      <w:pPr>
        <w:pStyle w:val="A-z"/>
        <w:rPr>
          <w:color w:val="auto"/>
        </w:rPr>
      </w:pPr>
      <w:r>
        <w:rPr>
          <w:color w:val="auto"/>
        </w:rPr>
        <w:t>C.</w:t>
      </w:r>
      <w:r>
        <w:rPr>
          <w:color w:val="auto"/>
        </w:rPr>
        <w:t>计算靠近室外围护结构处的声压级：</w:t>
      </w:r>
    </w:p>
    <w:p w14:paraId="4308C51A" w14:textId="77777777" w:rsidR="002E474C" w:rsidRDefault="00000000">
      <w:pPr>
        <w:spacing w:line="360" w:lineRule="auto"/>
        <w:ind w:firstLine="480"/>
        <w:jc w:val="center"/>
        <w:rPr>
          <w:sz w:val="24"/>
          <w:szCs w:val="24"/>
        </w:rPr>
      </w:pPr>
      <w:r>
        <w:rPr>
          <w:noProof/>
          <w:position w:val="-14"/>
          <w:sz w:val="24"/>
          <w:szCs w:val="24"/>
        </w:rPr>
        <w:drawing>
          <wp:inline distT="0" distB="0" distL="0" distR="0" wp14:anchorId="6B0BFBBD" wp14:editId="45C56E62">
            <wp:extent cx="1644015" cy="276860"/>
            <wp:effectExtent l="0" t="0" r="0" b="0"/>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44015" cy="276860"/>
                    </a:xfrm>
                    <a:prstGeom prst="rect">
                      <a:avLst/>
                    </a:prstGeom>
                    <a:noFill/>
                    <a:ln>
                      <a:noFill/>
                    </a:ln>
                  </pic:spPr>
                </pic:pic>
              </a:graphicData>
            </a:graphic>
          </wp:inline>
        </w:drawing>
      </w:r>
    </w:p>
    <w:p w14:paraId="427E3DC7" w14:textId="77777777" w:rsidR="002E474C" w:rsidRDefault="00000000">
      <w:pPr>
        <w:pStyle w:val="A-z"/>
        <w:rPr>
          <w:color w:val="auto"/>
        </w:rPr>
      </w:pPr>
      <w:r>
        <w:rPr>
          <w:color w:val="auto"/>
        </w:rPr>
        <w:t>式中：</w:t>
      </w:r>
      <w:r>
        <w:rPr>
          <w:color w:val="auto"/>
        </w:rPr>
        <w:t>L</w:t>
      </w:r>
      <w:r>
        <w:rPr>
          <w:color w:val="auto"/>
          <w:vertAlign w:val="subscript"/>
        </w:rPr>
        <w:t>p2i</w:t>
      </w:r>
      <w:r>
        <w:rPr>
          <w:color w:val="auto"/>
        </w:rPr>
        <w:t>(T)—</w:t>
      </w:r>
      <w:r>
        <w:rPr>
          <w:color w:val="auto"/>
        </w:rPr>
        <w:t>靠近围护结构处室内</w:t>
      </w:r>
      <w:r>
        <w:rPr>
          <w:color w:val="auto"/>
        </w:rPr>
        <w:t>N</w:t>
      </w:r>
      <w:r>
        <w:rPr>
          <w:color w:val="auto"/>
        </w:rPr>
        <w:t>个声源的叠加声压级，</w:t>
      </w:r>
      <w:r>
        <w:rPr>
          <w:color w:val="auto"/>
        </w:rPr>
        <w:t>dB</w:t>
      </w:r>
      <w:r>
        <w:rPr>
          <w:color w:val="auto"/>
        </w:rPr>
        <w:t>；</w:t>
      </w:r>
    </w:p>
    <w:p w14:paraId="0014D224" w14:textId="77777777" w:rsidR="002E474C" w:rsidRDefault="00000000">
      <w:pPr>
        <w:pStyle w:val="A-z"/>
        <w:rPr>
          <w:color w:val="auto"/>
        </w:rPr>
      </w:pPr>
      <w:r>
        <w:rPr>
          <w:color w:val="auto"/>
        </w:rPr>
        <w:t>TL—</w:t>
      </w:r>
      <w:r>
        <w:rPr>
          <w:color w:val="auto"/>
        </w:rPr>
        <w:t>围护结构的隔声量，</w:t>
      </w:r>
      <w:r>
        <w:rPr>
          <w:color w:val="auto"/>
        </w:rPr>
        <w:t>dB</w:t>
      </w:r>
      <w:r>
        <w:rPr>
          <w:color w:val="auto"/>
        </w:rPr>
        <w:t>；</w:t>
      </w:r>
    </w:p>
    <w:p w14:paraId="39CE5032" w14:textId="77777777" w:rsidR="002E474C" w:rsidRDefault="00000000">
      <w:pPr>
        <w:pStyle w:val="A-z"/>
        <w:rPr>
          <w:color w:val="auto"/>
        </w:rPr>
      </w:pPr>
      <w:r>
        <w:rPr>
          <w:color w:val="auto"/>
        </w:rPr>
        <w:t>D.</w:t>
      </w:r>
      <w:r>
        <w:rPr>
          <w:color w:val="auto"/>
        </w:rPr>
        <w:t>将室外声源的声压级和透过面积换算成等效的室外声源，计算中心位置位于透声面积处的等效声源的声功率级：</w:t>
      </w:r>
    </w:p>
    <w:p w14:paraId="3AE772F2" w14:textId="77777777" w:rsidR="002E474C" w:rsidRDefault="00000000">
      <w:pPr>
        <w:spacing w:line="360" w:lineRule="auto"/>
        <w:ind w:firstLine="480"/>
        <w:jc w:val="center"/>
        <w:rPr>
          <w:sz w:val="24"/>
          <w:szCs w:val="24"/>
        </w:rPr>
      </w:pPr>
      <w:r>
        <w:rPr>
          <w:noProof/>
          <w:position w:val="-12"/>
          <w:sz w:val="24"/>
          <w:szCs w:val="24"/>
        </w:rPr>
        <w:lastRenderedPageBreak/>
        <w:drawing>
          <wp:inline distT="0" distB="0" distL="0" distR="0" wp14:anchorId="42286EA8" wp14:editId="242A00B2">
            <wp:extent cx="1376045" cy="276860"/>
            <wp:effectExtent l="0" t="0" r="0" b="8890"/>
            <wp:docPr id="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76045" cy="276860"/>
                    </a:xfrm>
                    <a:prstGeom prst="rect">
                      <a:avLst/>
                    </a:prstGeom>
                    <a:noFill/>
                    <a:ln>
                      <a:noFill/>
                    </a:ln>
                  </pic:spPr>
                </pic:pic>
              </a:graphicData>
            </a:graphic>
          </wp:inline>
        </w:drawing>
      </w:r>
    </w:p>
    <w:p w14:paraId="5C317ACA" w14:textId="77777777" w:rsidR="002E474C" w:rsidRDefault="00000000">
      <w:pPr>
        <w:pStyle w:val="A-z"/>
        <w:rPr>
          <w:color w:val="auto"/>
        </w:rPr>
      </w:pPr>
      <w:r>
        <w:rPr>
          <w:color w:val="auto"/>
        </w:rPr>
        <w:t>E.</w:t>
      </w:r>
      <w:r>
        <w:rPr>
          <w:color w:val="auto"/>
        </w:rPr>
        <w:t>按室外声源预测方法计算预测点处的声压级。</w:t>
      </w:r>
    </w:p>
    <w:p w14:paraId="71407F28" w14:textId="77777777" w:rsidR="002E474C" w:rsidRDefault="00000000">
      <w:pPr>
        <w:spacing w:line="360" w:lineRule="auto"/>
        <w:ind w:firstLine="480"/>
        <w:jc w:val="center"/>
        <w:rPr>
          <w:sz w:val="24"/>
          <w:szCs w:val="24"/>
        </w:rPr>
      </w:pPr>
      <w:r>
        <w:rPr>
          <w:noProof/>
          <w:position w:val="-14"/>
          <w:sz w:val="24"/>
          <w:szCs w:val="24"/>
        </w:rPr>
        <w:drawing>
          <wp:inline distT="0" distB="0" distL="0" distR="0" wp14:anchorId="7A696216" wp14:editId="37E4D363">
            <wp:extent cx="1736725" cy="276860"/>
            <wp:effectExtent l="0" t="0" r="0" b="889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36725" cy="276860"/>
                    </a:xfrm>
                    <a:prstGeom prst="rect">
                      <a:avLst/>
                    </a:prstGeom>
                    <a:noFill/>
                    <a:ln>
                      <a:noFill/>
                    </a:ln>
                  </pic:spPr>
                </pic:pic>
              </a:graphicData>
            </a:graphic>
          </wp:inline>
        </w:drawing>
      </w:r>
    </w:p>
    <w:p w14:paraId="525B1153" w14:textId="77777777" w:rsidR="002E474C" w:rsidRDefault="00000000">
      <w:pPr>
        <w:pStyle w:val="A-z"/>
        <w:rPr>
          <w:color w:val="auto"/>
        </w:rPr>
      </w:pPr>
      <w:r>
        <w:rPr>
          <w:color w:val="auto"/>
        </w:rPr>
        <w:t xml:space="preserve">F. </w:t>
      </w:r>
      <w:r>
        <w:rPr>
          <w:color w:val="auto"/>
        </w:rPr>
        <w:t>如预测点在靠近声源处，但不能满足声源条件时，需按线声源或面声源模式计算。</w:t>
      </w:r>
    </w:p>
    <w:p w14:paraId="0AB4774B" w14:textId="77777777" w:rsidR="002E474C" w:rsidRDefault="00000000">
      <w:pPr>
        <w:pStyle w:val="A-z"/>
        <w:rPr>
          <w:color w:val="auto"/>
        </w:rPr>
      </w:pPr>
      <w:r>
        <w:rPr>
          <w:color w:val="auto"/>
        </w:rPr>
        <w:t>（</w:t>
      </w:r>
      <w:r>
        <w:rPr>
          <w:color w:val="auto"/>
        </w:rPr>
        <w:t>3</w:t>
      </w:r>
      <w:r>
        <w:rPr>
          <w:color w:val="auto"/>
        </w:rPr>
        <w:t>）总声压级</w:t>
      </w:r>
    </w:p>
    <w:p w14:paraId="48513F6E" w14:textId="77777777" w:rsidR="002E474C" w:rsidRDefault="00000000">
      <w:pPr>
        <w:spacing w:line="360" w:lineRule="auto"/>
        <w:ind w:firstLine="480"/>
        <w:jc w:val="center"/>
        <w:rPr>
          <w:sz w:val="24"/>
          <w:szCs w:val="24"/>
        </w:rPr>
      </w:pPr>
      <w:r>
        <w:rPr>
          <w:noProof/>
          <w:position w:val="-30"/>
          <w:sz w:val="24"/>
          <w:szCs w:val="24"/>
        </w:rPr>
        <w:drawing>
          <wp:inline distT="0" distB="0" distL="0" distR="0" wp14:anchorId="608E5E4C" wp14:editId="50C46193">
            <wp:extent cx="3112135" cy="461645"/>
            <wp:effectExtent l="0" t="0" r="0" b="0"/>
            <wp:docPr id="5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112135" cy="461645"/>
                    </a:xfrm>
                    <a:prstGeom prst="rect">
                      <a:avLst/>
                    </a:prstGeom>
                    <a:noFill/>
                    <a:ln>
                      <a:noFill/>
                    </a:ln>
                  </pic:spPr>
                </pic:pic>
              </a:graphicData>
            </a:graphic>
          </wp:inline>
        </w:drawing>
      </w:r>
    </w:p>
    <w:p w14:paraId="6FFB27DD" w14:textId="77777777" w:rsidR="002E474C" w:rsidRDefault="00000000">
      <w:pPr>
        <w:pStyle w:val="A-z"/>
        <w:rPr>
          <w:color w:val="auto"/>
        </w:rPr>
      </w:pPr>
      <w:r>
        <w:rPr>
          <w:color w:val="auto"/>
        </w:rPr>
        <w:t>式中</w:t>
      </w:r>
      <w:r>
        <w:rPr>
          <w:color w:val="auto"/>
        </w:rPr>
        <w:t>: T</w:t>
      </w:r>
      <w:r>
        <w:rPr>
          <w:color w:val="auto"/>
        </w:rPr>
        <w:t>为计算等效声级的时间；</w:t>
      </w:r>
    </w:p>
    <w:p w14:paraId="11353F60" w14:textId="77777777" w:rsidR="002E474C" w:rsidRDefault="00000000">
      <w:pPr>
        <w:pStyle w:val="A-z"/>
        <w:rPr>
          <w:color w:val="auto"/>
        </w:rPr>
      </w:pPr>
      <w:r>
        <w:rPr>
          <w:color w:val="auto"/>
        </w:rPr>
        <w:t>M</w:t>
      </w:r>
      <w:r>
        <w:rPr>
          <w:color w:val="auto"/>
        </w:rPr>
        <w:t>为室外声源个数；</w:t>
      </w:r>
      <w:r>
        <w:rPr>
          <w:color w:val="auto"/>
        </w:rPr>
        <w:t>N</w:t>
      </w:r>
      <w:r>
        <w:rPr>
          <w:color w:val="auto"/>
        </w:rPr>
        <w:t>为室内声源个数；</w:t>
      </w:r>
    </w:p>
    <w:p w14:paraId="42CD038B" w14:textId="77777777" w:rsidR="002E474C" w:rsidRDefault="00000000">
      <w:pPr>
        <w:pStyle w:val="A-z"/>
        <w:rPr>
          <w:color w:val="auto"/>
        </w:rPr>
      </w:pPr>
      <w:r>
        <w:rPr>
          <w:noProof/>
          <w:color w:val="auto"/>
          <w:position w:val="-14"/>
        </w:rPr>
        <w:drawing>
          <wp:inline distT="0" distB="0" distL="0" distR="0" wp14:anchorId="18E027AF" wp14:editId="6A5F31E6">
            <wp:extent cx="276860" cy="184785"/>
            <wp:effectExtent l="0" t="0" r="8890" b="5715"/>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6860" cy="184785"/>
                    </a:xfrm>
                    <a:prstGeom prst="rect">
                      <a:avLst/>
                    </a:prstGeom>
                    <a:noFill/>
                    <a:ln>
                      <a:noFill/>
                    </a:ln>
                  </pic:spPr>
                </pic:pic>
              </a:graphicData>
            </a:graphic>
          </wp:inline>
        </w:drawing>
      </w:r>
      <w:r>
        <w:rPr>
          <w:color w:val="auto"/>
        </w:rPr>
        <w:t>为</w:t>
      </w:r>
      <w:r>
        <w:rPr>
          <w:color w:val="auto"/>
        </w:rPr>
        <w:t>T</w:t>
      </w:r>
      <w:r>
        <w:rPr>
          <w:color w:val="auto"/>
        </w:rPr>
        <w:t>时间内第</w:t>
      </w:r>
      <w:r>
        <w:rPr>
          <w:color w:val="auto"/>
        </w:rPr>
        <w:t>i</w:t>
      </w:r>
      <w:r>
        <w:rPr>
          <w:color w:val="auto"/>
        </w:rPr>
        <w:t>个室外声源的工作时间；</w:t>
      </w:r>
    </w:p>
    <w:p w14:paraId="4E0DB1C7" w14:textId="77777777" w:rsidR="002E474C" w:rsidRDefault="00000000">
      <w:pPr>
        <w:pStyle w:val="A-z"/>
        <w:rPr>
          <w:color w:val="auto"/>
        </w:rPr>
      </w:pPr>
      <w:r>
        <w:rPr>
          <w:noProof/>
          <w:color w:val="auto"/>
          <w:position w:val="-14"/>
        </w:rPr>
        <w:drawing>
          <wp:inline distT="0" distB="0" distL="0" distR="0" wp14:anchorId="610A2FC6" wp14:editId="5ED7BC5C">
            <wp:extent cx="276860" cy="276860"/>
            <wp:effectExtent l="0" t="0" r="8890" b="8890"/>
            <wp:docPr id="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76860" cy="276860"/>
                    </a:xfrm>
                    <a:prstGeom prst="rect">
                      <a:avLst/>
                    </a:prstGeom>
                    <a:noFill/>
                    <a:ln>
                      <a:noFill/>
                    </a:ln>
                  </pic:spPr>
                </pic:pic>
              </a:graphicData>
            </a:graphic>
          </wp:inline>
        </w:drawing>
      </w:r>
      <w:r>
        <w:rPr>
          <w:color w:val="auto"/>
        </w:rPr>
        <w:t>为</w:t>
      </w:r>
      <w:r>
        <w:rPr>
          <w:color w:val="auto"/>
        </w:rPr>
        <w:t>T</w:t>
      </w:r>
      <w:r>
        <w:rPr>
          <w:color w:val="auto"/>
        </w:rPr>
        <w:t>时间内第</w:t>
      </w:r>
      <w:r>
        <w:rPr>
          <w:color w:val="auto"/>
        </w:rPr>
        <w:t>j</w:t>
      </w:r>
      <w:r>
        <w:rPr>
          <w:color w:val="auto"/>
        </w:rPr>
        <w:t>个室内声源的工作时间。</w:t>
      </w:r>
    </w:p>
    <w:p w14:paraId="7E6A07AA" w14:textId="77777777" w:rsidR="002E474C" w:rsidRDefault="00000000">
      <w:pPr>
        <w:pStyle w:val="A-z"/>
        <w:rPr>
          <w:color w:val="auto"/>
        </w:rPr>
      </w:pPr>
      <w:r>
        <w:rPr>
          <w:noProof/>
          <w:color w:val="auto"/>
        </w:rPr>
        <w:drawing>
          <wp:inline distT="0" distB="0" distL="0" distR="0" wp14:anchorId="1561F1D0" wp14:editId="69866A9D">
            <wp:extent cx="276860" cy="276860"/>
            <wp:effectExtent l="0" t="0" r="8890" b="8890"/>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76860" cy="276860"/>
                    </a:xfrm>
                    <a:prstGeom prst="rect">
                      <a:avLst/>
                    </a:prstGeom>
                    <a:noFill/>
                    <a:ln>
                      <a:noFill/>
                    </a:ln>
                  </pic:spPr>
                </pic:pic>
              </a:graphicData>
            </a:graphic>
          </wp:inline>
        </w:drawing>
      </w:r>
      <w:r>
        <w:rPr>
          <w:color w:val="auto"/>
        </w:rPr>
        <w:t>和</w:t>
      </w:r>
      <w:r>
        <w:rPr>
          <w:noProof/>
          <w:color w:val="auto"/>
        </w:rPr>
        <w:drawing>
          <wp:inline distT="0" distB="0" distL="0" distR="0" wp14:anchorId="64B4EFC3" wp14:editId="0C5EE6CE">
            <wp:extent cx="184785" cy="276860"/>
            <wp:effectExtent l="0" t="0" r="5715" b="8890"/>
            <wp:docPr id="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4785" cy="276860"/>
                    </a:xfrm>
                    <a:prstGeom prst="rect">
                      <a:avLst/>
                    </a:prstGeom>
                    <a:noFill/>
                    <a:ln>
                      <a:noFill/>
                    </a:ln>
                  </pic:spPr>
                </pic:pic>
              </a:graphicData>
            </a:graphic>
          </wp:inline>
        </w:drawing>
      </w:r>
      <w:r>
        <w:rPr>
          <w:color w:val="auto"/>
        </w:rPr>
        <w:t>均按</w:t>
      </w:r>
      <w:r>
        <w:rPr>
          <w:color w:val="auto"/>
        </w:rPr>
        <w:t>T</w:t>
      </w:r>
      <w:r>
        <w:rPr>
          <w:color w:val="auto"/>
        </w:rPr>
        <w:t>时间内实际工作时间计算。</w:t>
      </w:r>
    </w:p>
    <w:p w14:paraId="44B505EF" w14:textId="77777777" w:rsidR="002E474C" w:rsidRDefault="00000000">
      <w:pPr>
        <w:pStyle w:val="31"/>
        <w:spacing w:before="120" w:after="120"/>
        <w:rPr>
          <w:color w:val="auto"/>
        </w:rPr>
      </w:pPr>
      <w:r>
        <w:rPr>
          <w:color w:val="auto"/>
        </w:rPr>
        <w:t>预测参数</w:t>
      </w:r>
    </w:p>
    <w:p w14:paraId="6FB1815B" w14:textId="77777777" w:rsidR="002E474C" w:rsidRDefault="00000000">
      <w:pPr>
        <w:pStyle w:val="A-z"/>
        <w:rPr>
          <w:color w:val="auto"/>
        </w:rPr>
      </w:pPr>
      <w:r>
        <w:rPr>
          <w:color w:val="auto"/>
        </w:rPr>
        <w:t>（</w:t>
      </w:r>
      <w:r>
        <w:rPr>
          <w:color w:val="auto"/>
        </w:rPr>
        <w:t>1</w:t>
      </w:r>
      <w:r>
        <w:rPr>
          <w:color w:val="auto"/>
        </w:rPr>
        <w:t>）噪声源强</w:t>
      </w:r>
    </w:p>
    <w:p w14:paraId="07BC709B" w14:textId="77777777" w:rsidR="002E474C" w:rsidRDefault="00000000">
      <w:pPr>
        <w:pStyle w:val="A-z"/>
        <w:rPr>
          <w:color w:val="auto"/>
        </w:rPr>
      </w:pPr>
      <w:bookmarkStart w:id="294" w:name="OLE_LINK82"/>
      <w:r>
        <w:rPr>
          <w:color w:val="auto"/>
        </w:rPr>
        <w:t>本项目新增设备主要布局于固态危废预处理车间内，固态危废预处理车间主要噪声源强包括破碎机、给料机、风机、泵等，噪声声压级在</w:t>
      </w:r>
      <w:r>
        <w:rPr>
          <w:color w:val="auto"/>
        </w:rPr>
        <w:t>80</w:t>
      </w:r>
      <w:r>
        <w:rPr>
          <w:color w:val="auto"/>
        </w:rPr>
        <w:t>～</w:t>
      </w:r>
      <w:r>
        <w:rPr>
          <w:color w:val="auto"/>
        </w:rPr>
        <w:t>95dB</w:t>
      </w:r>
      <w:r>
        <w:rPr>
          <w:color w:val="auto"/>
        </w:rPr>
        <w:t>（</w:t>
      </w:r>
      <w:r>
        <w:rPr>
          <w:color w:val="auto"/>
        </w:rPr>
        <w:t>A</w:t>
      </w:r>
      <w:r>
        <w:rPr>
          <w:color w:val="auto"/>
        </w:rPr>
        <w:t>）之间。</w:t>
      </w:r>
      <w:bookmarkEnd w:id="294"/>
      <w:r>
        <w:rPr>
          <w:color w:val="auto"/>
          <w:lang w:val="en-US"/>
        </w:rPr>
        <w:t>降噪效果参考刘惠玲主编的《环境噪声控制》，一般为</w:t>
      </w:r>
      <w:r>
        <w:rPr>
          <w:color w:val="auto"/>
          <w:lang w:val="en-US"/>
        </w:rPr>
        <w:t>15-40dB(A)</w:t>
      </w:r>
      <w:r>
        <w:rPr>
          <w:color w:val="auto"/>
          <w:lang w:val="en-US"/>
        </w:rPr>
        <w:t>，本项目以降噪效果</w:t>
      </w:r>
      <w:r>
        <w:rPr>
          <w:color w:val="auto"/>
          <w:lang w:val="en-US"/>
        </w:rPr>
        <w:t>20dB(A)</w:t>
      </w:r>
      <w:r>
        <w:rPr>
          <w:color w:val="auto"/>
          <w:lang w:val="en-US"/>
        </w:rPr>
        <w:t>。</w:t>
      </w:r>
      <w:r>
        <w:rPr>
          <w:color w:val="auto"/>
        </w:rPr>
        <w:t>项目噪声源强调查清单见表</w:t>
      </w:r>
      <w:r>
        <w:rPr>
          <w:color w:val="auto"/>
        </w:rPr>
        <w:t>5.4</w:t>
      </w:r>
      <w:r>
        <w:rPr>
          <w:color w:val="auto"/>
        </w:rPr>
        <w:noBreakHyphen/>
        <w:t>1</w:t>
      </w:r>
      <w:r>
        <w:rPr>
          <w:color w:val="auto"/>
        </w:rPr>
        <w:t>。</w:t>
      </w:r>
    </w:p>
    <w:p w14:paraId="63389730"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0D0D0513" w14:textId="77777777" w:rsidR="002E474C" w:rsidRDefault="002E474C">
      <w:pPr>
        <w:pStyle w:val="A-0"/>
        <w:rPr>
          <w:color w:val="auto"/>
        </w:rPr>
      </w:pPr>
      <w:bookmarkStart w:id="295" w:name="_Ref111549361"/>
      <w:bookmarkStart w:id="296" w:name="_Ref108016547"/>
    </w:p>
    <w:p w14:paraId="47886E50" w14:textId="77777777" w:rsidR="002E474C" w:rsidRDefault="002E474C">
      <w:pPr>
        <w:pStyle w:val="A-0"/>
        <w:rPr>
          <w:color w:val="auto"/>
        </w:rPr>
      </w:pPr>
    </w:p>
    <w:p w14:paraId="57FCC6AE" w14:textId="77777777" w:rsidR="002E474C" w:rsidRDefault="00000000">
      <w:pPr>
        <w:pStyle w:val="A--"/>
        <w:rPr>
          <w:color w:val="auto"/>
        </w:rPr>
      </w:pPr>
      <w:r>
        <w:rPr>
          <w:color w:val="auto"/>
        </w:rPr>
        <w:t>表</w:t>
      </w:r>
      <w:r>
        <w:rPr>
          <w:color w:val="auto"/>
        </w:rPr>
        <w:t>5.4</w:t>
      </w:r>
      <w:r>
        <w:rPr>
          <w:color w:val="auto"/>
        </w:rPr>
        <w:noBreakHyphen/>
        <w:t>1</w:t>
      </w:r>
      <w:bookmarkEnd w:id="295"/>
      <w:bookmarkEnd w:id="296"/>
      <w:r>
        <w:rPr>
          <w:color w:val="auto"/>
        </w:rPr>
        <w:t xml:space="preserve">  </w:t>
      </w:r>
      <w:r>
        <w:rPr>
          <w:color w:val="auto"/>
        </w:rPr>
        <w:t>工业企业噪声源强调查清单</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92"/>
        <w:gridCol w:w="1307"/>
        <w:gridCol w:w="1164"/>
        <w:gridCol w:w="1558"/>
        <w:gridCol w:w="881"/>
        <w:gridCol w:w="706"/>
        <w:gridCol w:w="638"/>
        <w:gridCol w:w="770"/>
        <w:gridCol w:w="1034"/>
        <w:gridCol w:w="643"/>
        <w:gridCol w:w="1304"/>
        <w:gridCol w:w="1019"/>
        <w:gridCol w:w="844"/>
      </w:tblGrid>
      <w:tr w:rsidR="002E474C" w14:paraId="15A2C888" w14:textId="77777777">
        <w:trPr>
          <w:trHeight w:hRule="exact" w:val="792"/>
          <w:tblHeader/>
        </w:trPr>
        <w:tc>
          <w:tcPr>
            <w:tcW w:w="177" w:type="pct"/>
            <w:vMerge w:val="restart"/>
          </w:tcPr>
          <w:p w14:paraId="175EF654" w14:textId="77777777" w:rsidR="002E474C" w:rsidRDefault="00000000">
            <w:pPr>
              <w:pStyle w:val="A-"/>
            </w:pPr>
            <w:r>
              <w:t>序号</w:t>
            </w:r>
          </w:p>
        </w:tc>
        <w:tc>
          <w:tcPr>
            <w:tcW w:w="337" w:type="pct"/>
            <w:vMerge w:val="restart"/>
          </w:tcPr>
          <w:p w14:paraId="311CA452" w14:textId="77777777" w:rsidR="002E474C" w:rsidRDefault="00000000">
            <w:pPr>
              <w:pStyle w:val="A-"/>
            </w:pPr>
            <w:r>
              <w:t>建筑物名称</w:t>
            </w:r>
          </w:p>
        </w:tc>
        <w:tc>
          <w:tcPr>
            <w:tcW w:w="494" w:type="pct"/>
            <w:vMerge w:val="restart"/>
          </w:tcPr>
          <w:p w14:paraId="32D8B349" w14:textId="77777777" w:rsidR="002E474C" w:rsidRDefault="00000000">
            <w:pPr>
              <w:pStyle w:val="A-"/>
            </w:pPr>
            <w:r>
              <w:t>声源名称</w:t>
            </w:r>
          </w:p>
        </w:tc>
        <w:tc>
          <w:tcPr>
            <w:tcW w:w="440" w:type="pct"/>
            <w:vMerge w:val="restart"/>
          </w:tcPr>
          <w:p w14:paraId="3E62B4A9" w14:textId="77777777" w:rsidR="002E474C" w:rsidRDefault="00000000">
            <w:pPr>
              <w:pStyle w:val="A-"/>
            </w:pPr>
            <w:r>
              <w:t>声功率级</w:t>
            </w:r>
            <w:r>
              <w:t>/dB(A)</w:t>
            </w:r>
          </w:p>
        </w:tc>
        <w:tc>
          <w:tcPr>
            <w:tcW w:w="589" w:type="pct"/>
            <w:vMerge w:val="restart"/>
          </w:tcPr>
          <w:p w14:paraId="6BB999A0" w14:textId="77777777" w:rsidR="002E474C" w:rsidRDefault="00000000">
            <w:pPr>
              <w:pStyle w:val="A-"/>
            </w:pPr>
            <w:r>
              <w:t>声源控制措施</w:t>
            </w:r>
          </w:p>
        </w:tc>
        <w:tc>
          <w:tcPr>
            <w:tcW w:w="841" w:type="pct"/>
            <w:gridSpan w:val="3"/>
          </w:tcPr>
          <w:p w14:paraId="4A476DFC" w14:textId="77777777" w:rsidR="002E474C" w:rsidRDefault="00000000">
            <w:pPr>
              <w:pStyle w:val="A-"/>
            </w:pPr>
            <w:r>
              <w:t>空间相对位置</w:t>
            </w:r>
            <w:r>
              <w:t>/m</w:t>
            </w:r>
          </w:p>
        </w:tc>
        <w:tc>
          <w:tcPr>
            <w:tcW w:w="291" w:type="pct"/>
            <w:vMerge w:val="restart"/>
          </w:tcPr>
          <w:p w14:paraId="315334E3" w14:textId="77777777" w:rsidR="002E474C" w:rsidRDefault="00000000">
            <w:pPr>
              <w:pStyle w:val="A-"/>
            </w:pPr>
            <w:r>
              <w:t>距室内边界距离</w:t>
            </w:r>
            <w:r>
              <w:t>/m</w:t>
            </w:r>
          </w:p>
        </w:tc>
        <w:tc>
          <w:tcPr>
            <w:tcW w:w="391" w:type="pct"/>
            <w:vMerge w:val="restart"/>
          </w:tcPr>
          <w:p w14:paraId="6020C839" w14:textId="77777777" w:rsidR="002E474C" w:rsidRDefault="00000000">
            <w:pPr>
              <w:pStyle w:val="A-"/>
            </w:pPr>
            <w:r>
              <w:t>室内边界声级</w:t>
            </w:r>
            <w:r>
              <w:t>/dB(A)</w:t>
            </w:r>
          </w:p>
        </w:tc>
        <w:tc>
          <w:tcPr>
            <w:tcW w:w="243" w:type="pct"/>
            <w:vMerge w:val="restart"/>
          </w:tcPr>
          <w:p w14:paraId="64AE11CA" w14:textId="77777777" w:rsidR="002E474C" w:rsidRDefault="00000000">
            <w:pPr>
              <w:pStyle w:val="A-"/>
            </w:pPr>
            <w:r>
              <w:t>运行时段</w:t>
            </w:r>
          </w:p>
        </w:tc>
        <w:tc>
          <w:tcPr>
            <w:tcW w:w="493" w:type="pct"/>
            <w:vMerge w:val="restart"/>
          </w:tcPr>
          <w:p w14:paraId="04ED5F7B" w14:textId="77777777" w:rsidR="002E474C" w:rsidRDefault="00000000">
            <w:pPr>
              <w:pStyle w:val="A-"/>
            </w:pPr>
            <w:r>
              <w:t>建筑物插入损失</w:t>
            </w:r>
            <w:r>
              <w:t>/dB(A)</w:t>
            </w:r>
          </w:p>
        </w:tc>
        <w:tc>
          <w:tcPr>
            <w:tcW w:w="704" w:type="pct"/>
            <w:gridSpan w:val="2"/>
          </w:tcPr>
          <w:p w14:paraId="2174B725" w14:textId="77777777" w:rsidR="002E474C" w:rsidRDefault="00000000">
            <w:pPr>
              <w:pStyle w:val="A-"/>
            </w:pPr>
            <w:r>
              <w:t>建筑物外噪声</w:t>
            </w:r>
          </w:p>
        </w:tc>
      </w:tr>
      <w:tr w:rsidR="002E474C" w14:paraId="31F0EEFB" w14:textId="77777777">
        <w:trPr>
          <w:tblHeader/>
        </w:trPr>
        <w:tc>
          <w:tcPr>
            <w:tcW w:w="177" w:type="pct"/>
            <w:vMerge/>
          </w:tcPr>
          <w:p w14:paraId="20F3C4D4" w14:textId="77777777" w:rsidR="002E474C" w:rsidRDefault="002E474C">
            <w:pPr>
              <w:pStyle w:val="A-"/>
            </w:pPr>
          </w:p>
        </w:tc>
        <w:tc>
          <w:tcPr>
            <w:tcW w:w="337" w:type="pct"/>
            <w:vMerge/>
          </w:tcPr>
          <w:p w14:paraId="42D2AE11" w14:textId="77777777" w:rsidR="002E474C" w:rsidRDefault="002E474C">
            <w:pPr>
              <w:pStyle w:val="A-"/>
            </w:pPr>
          </w:p>
        </w:tc>
        <w:tc>
          <w:tcPr>
            <w:tcW w:w="494" w:type="pct"/>
            <w:vMerge/>
          </w:tcPr>
          <w:p w14:paraId="276C8CBB" w14:textId="77777777" w:rsidR="002E474C" w:rsidRDefault="002E474C">
            <w:pPr>
              <w:pStyle w:val="A-"/>
            </w:pPr>
          </w:p>
        </w:tc>
        <w:tc>
          <w:tcPr>
            <w:tcW w:w="440" w:type="pct"/>
            <w:vMerge/>
          </w:tcPr>
          <w:p w14:paraId="0A5FB183" w14:textId="77777777" w:rsidR="002E474C" w:rsidRDefault="002E474C">
            <w:pPr>
              <w:pStyle w:val="A-"/>
            </w:pPr>
          </w:p>
        </w:tc>
        <w:tc>
          <w:tcPr>
            <w:tcW w:w="589" w:type="pct"/>
            <w:vMerge/>
          </w:tcPr>
          <w:p w14:paraId="14299E52" w14:textId="77777777" w:rsidR="002E474C" w:rsidRDefault="002E474C">
            <w:pPr>
              <w:pStyle w:val="A-"/>
            </w:pPr>
          </w:p>
        </w:tc>
        <w:tc>
          <w:tcPr>
            <w:tcW w:w="333" w:type="pct"/>
          </w:tcPr>
          <w:p w14:paraId="1BAB7E51" w14:textId="77777777" w:rsidR="002E474C" w:rsidRDefault="00000000">
            <w:pPr>
              <w:pStyle w:val="A-"/>
            </w:pPr>
            <w:r>
              <w:t>X</w:t>
            </w:r>
          </w:p>
        </w:tc>
        <w:tc>
          <w:tcPr>
            <w:tcW w:w="267" w:type="pct"/>
          </w:tcPr>
          <w:p w14:paraId="1D19AAB1" w14:textId="77777777" w:rsidR="002E474C" w:rsidRDefault="00000000">
            <w:pPr>
              <w:pStyle w:val="A-"/>
            </w:pPr>
            <w:r>
              <w:t>Y</w:t>
            </w:r>
          </w:p>
        </w:tc>
        <w:tc>
          <w:tcPr>
            <w:tcW w:w="241" w:type="pct"/>
          </w:tcPr>
          <w:p w14:paraId="7CB603CA" w14:textId="77777777" w:rsidR="002E474C" w:rsidRDefault="00000000">
            <w:pPr>
              <w:pStyle w:val="A-"/>
            </w:pPr>
            <w:r>
              <w:t>Z</w:t>
            </w:r>
          </w:p>
        </w:tc>
        <w:tc>
          <w:tcPr>
            <w:tcW w:w="291" w:type="pct"/>
            <w:vMerge/>
          </w:tcPr>
          <w:p w14:paraId="6DBC6520" w14:textId="77777777" w:rsidR="002E474C" w:rsidRDefault="002E474C">
            <w:pPr>
              <w:pStyle w:val="A-"/>
            </w:pPr>
          </w:p>
        </w:tc>
        <w:tc>
          <w:tcPr>
            <w:tcW w:w="391" w:type="pct"/>
            <w:vMerge/>
          </w:tcPr>
          <w:p w14:paraId="6F80697E" w14:textId="77777777" w:rsidR="002E474C" w:rsidRDefault="002E474C">
            <w:pPr>
              <w:pStyle w:val="A-"/>
            </w:pPr>
          </w:p>
        </w:tc>
        <w:tc>
          <w:tcPr>
            <w:tcW w:w="243" w:type="pct"/>
            <w:vMerge/>
          </w:tcPr>
          <w:p w14:paraId="2C5C0421" w14:textId="77777777" w:rsidR="002E474C" w:rsidRDefault="002E474C">
            <w:pPr>
              <w:pStyle w:val="A-"/>
            </w:pPr>
          </w:p>
        </w:tc>
        <w:tc>
          <w:tcPr>
            <w:tcW w:w="493" w:type="pct"/>
            <w:vMerge/>
          </w:tcPr>
          <w:p w14:paraId="61173B7B" w14:textId="77777777" w:rsidR="002E474C" w:rsidRDefault="002E474C">
            <w:pPr>
              <w:pStyle w:val="A-"/>
            </w:pPr>
          </w:p>
        </w:tc>
        <w:tc>
          <w:tcPr>
            <w:tcW w:w="385" w:type="pct"/>
          </w:tcPr>
          <w:p w14:paraId="5351C130" w14:textId="77777777" w:rsidR="002E474C" w:rsidRDefault="00000000">
            <w:pPr>
              <w:pStyle w:val="A-"/>
            </w:pPr>
            <w:r>
              <w:t>声压级</w:t>
            </w:r>
            <w:r>
              <w:t>/dB(A)</w:t>
            </w:r>
          </w:p>
        </w:tc>
        <w:tc>
          <w:tcPr>
            <w:tcW w:w="319" w:type="pct"/>
          </w:tcPr>
          <w:p w14:paraId="026D30AC" w14:textId="77777777" w:rsidR="002E474C" w:rsidRDefault="00000000">
            <w:pPr>
              <w:pStyle w:val="A-"/>
            </w:pPr>
            <w:r>
              <w:t>建筑物外距离</w:t>
            </w:r>
          </w:p>
        </w:tc>
      </w:tr>
      <w:tr w:rsidR="002E474C" w14:paraId="32DD6D80" w14:textId="77777777">
        <w:tc>
          <w:tcPr>
            <w:tcW w:w="177" w:type="pct"/>
          </w:tcPr>
          <w:p w14:paraId="030CEB61" w14:textId="77777777" w:rsidR="002E474C" w:rsidRDefault="002E474C">
            <w:pPr>
              <w:pStyle w:val="A-"/>
              <w:numPr>
                <w:ilvl w:val="0"/>
                <w:numId w:val="25"/>
              </w:numPr>
            </w:pPr>
          </w:p>
        </w:tc>
        <w:tc>
          <w:tcPr>
            <w:tcW w:w="337" w:type="pct"/>
            <w:vMerge w:val="restart"/>
          </w:tcPr>
          <w:p w14:paraId="21AEAAB4" w14:textId="77777777" w:rsidR="002E474C" w:rsidRDefault="00000000">
            <w:pPr>
              <w:pStyle w:val="A-"/>
            </w:pPr>
            <w:r>
              <w:t>固态危废预处理车间</w:t>
            </w:r>
          </w:p>
        </w:tc>
        <w:tc>
          <w:tcPr>
            <w:tcW w:w="494" w:type="pct"/>
          </w:tcPr>
          <w:p w14:paraId="44D7734A" w14:textId="77777777" w:rsidR="002E474C" w:rsidRDefault="00000000">
            <w:pPr>
              <w:pStyle w:val="A-"/>
            </w:pPr>
            <w:r>
              <w:rPr>
                <w:rFonts w:hint="eastAsia"/>
              </w:rPr>
              <w:t>装载机</w:t>
            </w:r>
          </w:p>
        </w:tc>
        <w:tc>
          <w:tcPr>
            <w:tcW w:w="440" w:type="pct"/>
          </w:tcPr>
          <w:p w14:paraId="186EBBB2" w14:textId="77777777" w:rsidR="002E474C" w:rsidRDefault="00000000">
            <w:pPr>
              <w:pStyle w:val="A-"/>
            </w:pPr>
            <w:r>
              <w:t>85</w:t>
            </w:r>
          </w:p>
        </w:tc>
        <w:tc>
          <w:tcPr>
            <w:tcW w:w="589" w:type="pct"/>
            <w:shd w:val="clear" w:color="auto" w:fill="auto"/>
          </w:tcPr>
          <w:p w14:paraId="6B235F06" w14:textId="77777777" w:rsidR="002E474C" w:rsidRDefault="00000000">
            <w:pPr>
              <w:pStyle w:val="A-"/>
            </w:pPr>
            <w:r>
              <w:t>隔声、减振</w:t>
            </w:r>
          </w:p>
        </w:tc>
        <w:tc>
          <w:tcPr>
            <w:tcW w:w="333" w:type="pct"/>
            <w:shd w:val="clear" w:color="auto" w:fill="auto"/>
          </w:tcPr>
          <w:p w14:paraId="47014E55" w14:textId="77777777" w:rsidR="002E474C" w:rsidRDefault="00000000">
            <w:pPr>
              <w:pStyle w:val="A-"/>
            </w:pPr>
            <w:r>
              <w:t>-337.02</w:t>
            </w:r>
          </w:p>
        </w:tc>
        <w:tc>
          <w:tcPr>
            <w:tcW w:w="267" w:type="pct"/>
            <w:shd w:val="clear" w:color="auto" w:fill="auto"/>
          </w:tcPr>
          <w:p w14:paraId="1826F51D" w14:textId="77777777" w:rsidR="002E474C" w:rsidRDefault="00000000">
            <w:pPr>
              <w:pStyle w:val="A-"/>
            </w:pPr>
            <w:r>
              <w:t>51.68</w:t>
            </w:r>
          </w:p>
        </w:tc>
        <w:tc>
          <w:tcPr>
            <w:tcW w:w="241" w:type="pct"/>
            <w:shd w:val="clear" w:color="auto" w:fill="auto"/>
          </w:tcPr>
          <w:p w14:paraId="29961208" w14:textId="77777777" w:rsidR="002E474C" w:rsidRDefault="00000000">
            <w:pPr>
              <w:pStyle w:val="A-"/>
            </w:pPr>
            <w:r>
              <w:t>3</w:t>
            </w:r>
          </w:p>
        </w:tc>
        <w:tc>
          <w:tcPr>
            <w:tcW w:w="291" w:type="pct"/>
            <w:shd w:val="clear" w:color="auto" w:fill="auto"/>
          </w:tcPr>
          <w:p w14:paraId="7D3E9518" w14:textId="77777777" w:rsidR="002E474C" w:rsidRDefault="00000000">
            <w:pPr>
              <w:pStyle w:val="A-"/>
            </w:pPr>
            <w:r>
              <w:t>5</w:t>
            </w:r>
          </w:p>
        </w:tc>
        <w:tc>
          <w:tcPr>
            <w:tcW w:w="391" w:type="pct"/>
            <w:shd w:val="clear" w:color="auto" w:fill="auto"/>
          </w:tcPr>
          <w:p w14:paraId="64EAB1E7" w14:textId="77777777" w:rsidR="002E474C" w:rsidRDefault="00000000">
            <w:pPr>
              <w:pStyle w:val="A-"/>
            </w:pPr>
            <w:r>
              <w:t>62</w:t>
            </w:r>
          </w:p>
        </w:tc>
        <w:tc>
          <w:tcPr>
            <w:tcW w:w="243" w:type="pct"/>
            <w:shd w:val="clear" w:color="auto" w:fill="auto"/>
          </w:tcPr>
          <w:p w14:paraId="1AB7D23F" w14:textId="77777777" w:rsidR="002E474C" w:rsidRDefault="00000000">
            <w:pPr>
              <w:pStyle w:val="A-"/>
            </w:pPr>
            <w:r>
              <w:t>昼夜</w:t>
            </w:r>
          </w:p>
        </w:tc>
        <w:tc>
          <w:tcPr>
            <w:tcW w:w="493" w:type="pct"/>
            <w:shd w:val="clear" w:color="auto" w:fill="auto"/>
          </w:tcPr>
          <w:p w14:paraId="190980DF" w14:textId="77777777" w:rsidR="002E474C" w:rsidRDefault="00000000">
            <w:pPr>
              <w:pStyle w:val="A-"/>
            </w:pPr>
            <w:r>
              <w:t>20</w:t>
            </w:r>
          </w:p>
        </w:tc>
        <w:tc>
          <w:tcPr>
            <w:tcW w:w="385" w:type="pct"/>
            <w:shd w:val="clear" w:color="auto" w:fill="auto"/>
          </w:tcPr>
          <w:p w14:paraId="1CA1B784" w14:textId="77777777" w:rsidR="002E474C" w:rsidRDefault="00000000">
            <w:pPr>
              <w:pStyle w:val="A-"/>
            </w:pPr>
            <w:r>
              <w:t>36</w:t>
            </w:r>
          </w:p>
        </w:tc>
        <w:tc>
          <w:tcPr>
            <w:tcW w:w="319" w:type="pct"/>
            <w:shd w:val="clear" w:color="auto" w:fill="auto"/>
          </w:tcPr>
          <w:p w14:paraId="030A07E4" w14:textId="77777777" w:rsidR="002E474C" w:rsidRDefault="00000000">
            <w:pPr>
              <w:pStyle w:val="A-"/>
            </w:pPr>
            <w:r>
              <w:t>1</w:t>
            </w:r>
          </w:p>
        </w:tc>
      </w:tr>
      <w:tr w:rsidR="002E474C" w14:paraId="14149997" w14:textId="77777777">
        <w:tc>
          <w:tcPr>
            <w:tcW w:w="177" w:type="pct"/>
          </w:tcPr>
          <w:p w14:paraId="73BE9FC4" w14:textId="77777777" w:rsidR="002E474C" w:rsidRDefault="002E474C">
            <w:pPr>
              <w:pStyle w:val="A-"/>
              <w:numPr>
                <w:ilvl w:val="0"/>
                <w:numId w:val="25"/>
              </w:numPr>
            </w:pPr>
          </w:p>
        </w:tc>
        <w:tc>
          <w:tcPr>
            <w:tcW w:w="337" w:type="pct"/>
            <w:vMerge/>
          </w:tcPr>
          <w:p w14:paraId="730411FE" w14:textId="77777777" w:rsidR="002E474C" w:rsidRDefault="002E474C">
            <w:pPr>
              <w:pStyle w:val="A-"/>
            </w:pPr>
          </w:p>
        </w:tc>
        <w:tc>
          <w:tcPr>
            <w:tcW w:w="494" w:type="pct"/>
          </w:tcPr>
          <w:p w14:paraId="7E333DC6" w14:textId="77777777" w:rsidR="002E474C" w:rsidRDefault="00000000">
            <w:pPr>
              <w:pStyle w:val="A-"/>
            </w:pPr>
            <w:r>
              <w:rPr>
                <w:rFonts w:hint="eastAsia"/>
              </w:rPr>
              <w:t>装载机</w:t>
            </w:r>
          </w:p>
        </w:tc>
        <w:tc>
          <w:tcPr>
            <w:tcW w:w="440" w:type="pct"/>
          </w:tcPr>
          <w:p w14:paraId="0ED5C28E" w14:textId="77777777" w:rsidR="002E474C" w:rsidRDefault="00000000">
            <w:pPr>
              <w:pStyle w:val="A-"/>
            </w:pPr>
            <w:r>
              <w:t>85</w:t>
            </w:r>
          </w:p>
        </w:tc>
        <w:tc>
          <w:tcPr>
            <w:tcW w:w="589" w:type="pct"/>
            <w:shd w:val="clear" w:color="auto" w:fill="auto"/>
          </w:tcPr>
          <w:p w14:paraId="39956B2C" w14:textId="77777777" w:rsidR="002E474C" w:rsidRDefault="00000000">
            <w:pPr>
              <w:pStyle w:val="A-"/>
            </w:pPr>
            <w:r>
              <w:t>隔声、减振</w:t>
            </w:r>
          </w:p>
        </w:tc>
        <w:tc>
          <w:tcPr>
            <w:tcW w:w="333" w:type="pct"/>
            <w:shd w:val="clear" w:color="auto" w:fill="auto"/>
          </w:tcPr>
          <w:p w14:paraId="343D498E" w14:textId="77777777" w:rsidR="002E474C" w:rsidRDefault="00000000">
            <w:pPr>
              <w:pStyle w:val="A-"/>
            </w:pPr>
            <w:r>
              <w:t>-304.39</w:t>
            </w:r>
          </w:p>
        </w:tc>
        <w:tc>
          <w:tcPr>
            <w:tcW w:w="267" w:type="pct"/>
            <w:shd w:val="clear" w:color="auto" w:fill="auto"/>
          </w:tcPr>
          <w:p w14:paraId="2E3BACDF" w14:textId="77777777" w:rsidR="002E474C" w:rsidRDefault="00000000">
            <w:pPr>
              <w:pStyle w:val="A-"/>
            </w:pPr>
            <w:r>
              <w:t>62.63</w:t>
            </w:r>
          </w:p>
        </w:tc>
        <w:tc>
          <w:tcPr>
            <w:tcW w:w="241" w:type="pct"/>
            <w:shd w:val="clear" w:color="auto" w:fill="auto"/>
          </w:tcPr>
          <w:p w14:paraId="4263AA26" w14:textId="77777777" w:rsidR="002E474C" w:rsidRDefault="00000000">
            <w:pPr>
              <w:pStyle w:val="A-"/>
            </w:pPr>
            <w:r>
              <w:t>3</w:t>
            </w:r>
          </w:p>
        </w:tc>
        <w:tc>
          <w:tcPr>
            <w:tcW w:w="291" w:type="pct"/>
            <w:shd w:val="clear" w:color="auto" w:fill="auto"/>
          </w:tcPr>
          <w:p w14:paraId="0483440F" w14:textId="77777777" w:rsidR="002E474C" w:rsidRDefault="00000000">
            <w:pPr>
              <w:pStyle w:val="A-"/>
            </w:pPr>
            <w:r>
              <w:t>5</w:t>
            </w:r>
          </w:p>
        </w:tc>
        <w:tc>
          <w:tcPr>
            <w:tcW w:w="391" w:type="pct"/>
            <w:shd w:val="clear" w:color="auto" w:fill="auto"/>
          </w:tcPr>
          <w:p w14:paraId="3AD6952B" w14:textId="77777777" w:rsidR="002E474C" w:rsidRDefault="00000000">
            <w:pPr>
              <w:pStyle w:val="A-"/>
            </w:pPr>
            <w:r>
              <w:t>57</w:t>
            </w:r>
          </w:p>
        </w:tc>
        <w:tc>
          <w:tcPr>
            <w:tcW w:w="243" w:type="pct"/>
            <w:shd w:val="clear" w:color="auto" w:fill="auto"/>
          </w:tcPr>
          <w:p w14:paraId="5525626B" w14:textId="77777777" w:rsidR="002E474C" w:rsidRDefault="00000000">
            <w:pPr>
              <w:pStyle w:val="A-"/>
            </w:pPr>
            <w:r>
              <w:t>昼夜</w:t>
            </w:r>
          </w:p>
        </w:tc>
        <w:tc>
          <w:tcPr>
            <w:tcW w:w="493" w:type="pct"/>
            <w:shd w:val="clear" w:color="auto" w:fill="auto"/>
          </w:tcPr>
          <w:p w14:paraId="163D8DDF" w14:textId="77777777" w:rsidR="002E474C" w:rsidRDefault="00000000">
            <w:pPr>
              <w:pStyle w:val="A-"/>
            </w:pPr>
            <w:r>
              <w:t>20</w:t>
            </w:r>
          </w:p>
        </w:tc>
        <w:tc>
          <w:tcPr>
            <w:tcW w:w="385" w:type="pct"/>
            <w:shd w:val="clear" w:color="auto" w:fill="auto"/>
          </w:tcPr>
          <w:p w14:paraId="5278662C" w14:textId="77777777" w:rsidR="002E474C" w:rsidRDefault="00000000">
            <w:pPr>
              <w:pStyle w:val="A-"/>
            </w:pPr>
            <w:r>
              <w:t>31</w:t>
            </w:r>
          </w:p>
        </w:tc>
        <w:tc>
          <w:tcPr>
            <w:tcW w:w="319" w:type="pct"/>
            <w:shd w:val="clear" w:color="auto" w:fill="auto"/>
          </w:tcPr>
          <w:p w14:paraId="6FF48EBB" w14:textId="77777777" w:rsidR="002E474C" w:rsidRDefault="00000000">
            <w:pPr>
              <w:pStyle w:val="A-"/>
            </w:pPr>
            <w:r>
              <w:t>1</w:t>
            </w:r>
          </w:p>
        </w:tc>
      </w:tr>
      <w:tr w:rsidR="002E474C" w14:paraId="51165119" w14:textId="77777777">
        <w:tc>
          <w:tcPr>
            <w:tcW w:w="177" w:type="pct"/>
          </w:tcPr>
          <w:p w14:paraId="755500DB" w14:textId="77777777" w:rsidR="002E474C" w:rsidRDefault="002E474C">
            <w:pPr>
              <w:pStyle w:val="A-"/>
              <w:numPr>
                <w:ilvl w:val="0"/>
                <w:numId w:val="25"/>
              </w:numPr>
            </w:pPr>
          </w:p>
        </w:tc>
        <w:tc>
          <w:tcPr>
            <w:tcW w:w="337" w:type="pct"/>
            <w:vMerge/>
          </w:tcPr>
          <w:p w14:paraId="590ECAF1" w14:textId="77777777" w:rsidR="002E474C" w:rsidRDefault="002E474C">
            <w:pPr>
              <w:pStyle w:val="A-"/>
            </w:pPr>
          </w:p>
        </w:tc>
        <w:tc>
          <w:tcPr>
            <w:tcW w:w="494" w:type="pct"/>
          </w:tcPr>
          <w:p w14:paraId="278C6348" w14:textId="77777777" w:rsidR="002E474C" w:rsidRDefault="00000000">
            <w:pPr>
              <w:pStyle w:val="A-"/>
            </w:pPr>
            <w:r>
              <w:t>破碎机</w:t>
            </w:r>
          </w:p>
        </w:tc>
        <w:tc>
          <w:tcPr>
            <w:tcW w:w="440" w:type="pct"/>
          </w:tcPr>
          <w:p w14:paraId="4FC991EE" w14:textId="77777777" w:rsidR="002E474C" w:rsidRDefault="00000000">
            <w:pPr>
              <w:pStyle w:val="A-"/>
            </w:pPr>
            <w:r>
              <w:t>90</w:t>
            </w:r>
          </w:p>
        </w:tc>
        <w:tc>
          <w:tcPr>
            <w:tcW w:w="589" w:type="pct"/>
            <w:shd w:val="clear" w:color="auto" w:fill="auto"/>
          </w:tcPr>
          <w:p w14:paraId="02F029F6" w14:textId="77777777" w:rsidR="002E474C" w:rsidRDefault="00000000">
            <w:pPr>
              <w:pStyle w:val="A-"/>
            </w:pPr>
            <w:r>
              <w:t>隔声、减振</w:t>
            </w:r>
          </w:p>
        </w:tc>
        <w:tc>
          <w:tcPr>
            <w:tcW w:w="333" w:type="pct"/>
            <w:shd w:val="clear" w:color="auto" w:fill="auto"/>
          </w:tcPr>
          <w:p w14:paraId="52867551" w14:textId="77777777" w:rsidR="002E474C" w:rsidRDefault="00000000">
            <w:pPr>
              <w:pStyle w:val="A-"/>
            </w:pPr>
            <w:r>
              <w:t>-290.16</w:t>
            </w:r>
          </w:p>
        </w:tc>
        <w:tc>
          <w:tcPr>
            <w:tcW w:w="267" w:type="pct"/>
            <w:shd w:val="clear" w:color="auto" w:fill="auto"/>
          </w:tcPr>
          <w:p w14:paraId="0B4F920D" w14:textId="77777777" w:rsidR="002E474C" w:rsidRDefault="00000000">
            <w:pPr>
              <w:pStyle w:val="A-"/>
            </w:pPr>
            <w:r>
              <w:t>68.33</w:t>
            </w:r>
          </w:p>
        </w:tc>
        <w:tc>
          <w:tcPr>
            <w:tcW w:w="241" w:type="pct"/>
            <w:shd w:val="clear" w:color="auto" w:fill="auto"/>
          </w:tcPr>
          <w:p w14:paraId="06A2BD3D" w14:textId="77777777" w:rsidR="002E474C" w:rsidRDefault="00000000">
            <w:pPr>
              <w:pStyle w:val="A-"/>
            </w:pPr>
            <w:r>
              <w:t>5</w:t>
            </w:r>
          </w:p>
        </w:tc>
        <w:tc>
          <w:tcPr>
            <w:tcW w:w="291" w:type="pct"/>
            <w:shd w:val="clear" w:color="auto" w:fill="auto"/>
          </w:tcPr>
          <w:p w14:paraId="2C428FB3" w14:textId="77777777" w:rsidR="002E474C" w:rsidRDefault="00000000">
            <w:pPr>
              <w:pStyle w:val="A-"/>
            </w:pPr>
            <w:r>
              <w:t>1</w:t>
            </w:r>
          </w:p>
        </w:tc>
        <w:tc>
          <w:tcPr>
            <w:tcW w:w="391" w:type="pct"/>
            <w:shd w:val="clear" w:color="auto" w:fill="auto"/>
          </w:tcPr>
          <w:p w14:paraId="108F84E5" w14:textId="77777777" w:rsidR="002E474C" w:rsidRDefault="00000000">
            <w:pPr>
              <w:pStyle w:val="A-"/>
            </w:pPr>
            <w:r>
              <w:t>63</w:t>
            </w:r>
          </w:p>
        </w:tc>
        <w:tc>
          <w:tcPr>
            <w:tcW w:w="243" w:type="pct"/>
            <w:shd w:val="clear" w:color="auto" w:fill="auto"/>
          </w:tcPr>
          <w:p w14:paraId="6CEA07E0" w14:textId="77777777" w:rsidR="002E474C" w:rsidRDefault="00000000">
            <w:pPr>
              <w:pStyle w:val="A-"/>
            </w:pPr>
            <w:r>
              <w:t>昼间</w:t>
            </w:r>
          </w:p>
        </w:tc>
        <w:tc>
          <w:tcPr>
            <w:tcW w:w="493" w:type="pct"/>
            <w:shd w:val="clear" w:color="auto" w:fill="auto"/>
          </w:tcPr>
          <w:p w14:paraId="693D0F8A" w14:textId="77777777" w:rsidR="002E474C" w:rsidRDefault="00000000">
            <w:pPr>
              <w:pStyle w:val="A-"/>
            </w:pPr>
            <w:r>
              <w:t>20</w:t>
            </w:r>
          </w:p>
        </w:tc>
        <w:tc>
          <w:tcPr>
            <w:tcW w:w="385" w:type="pct"/>
            <w:shd w:val="clear" w:color="auto" w:fill="auto"/>
          </w:tcPr>
          <w:p w14:paraId="668A0203" w14:textId="77777777" w:rsidR="002E474C" w:rsidRDefault="00000000">
            <w:pPr>
              <w:pStyle w:val="A-"/>
            </w:pPr>
            <w:r>
              <w:t>34</w:t>
            </w:r>
          </w:p>
        </w:tc>
        <w:tc>
          <w:tcPr>
            <w:tcW w:w="319" w:type="pct"/>
            <w:shd w:val="clear" w:color="auto" w:fill="auto"/>
          </w:tcPr>
          <w:p w14:paraId="577C27F9" w14:textId="77777777" w:rsidR="002E474C" w:rsidRDefault="00000000">
            <w:pPr>
              <w:pStyle w:val="A-"/>
            </w:pPr>
            <w:r>
              <w:t>1</w:t>
            </w:r>
          </w:p>
        </w:tc>
      </w:tr>
      <w:tr w:rsidR="002E474C" w14:paraId="05F6FF95" w14:textId="77777777">
        <w:tc>
          <w:tcPr>
            <w:tcW w:w="177" w:type="pct"/>
          </w:tcPr>
          <w:p w14:paraId="60321D86" w14:textId="77777777" w:rsidR="002E474C" w:rsidRDefault="002E474C">
            <w:pPr>
              <w:pStyle w:val="A-"/>
              <w:numPr>
                <w:ilvl w:val="0"/>
                <w:numId w:val="25"/>
              </w:numPr>
            </w:pPr>
          </w:p>
        </w:tc>
        <w:tc>
          <w:tcPr>
            <w:tcW w:w="337" w:type="pct"/>
            <w:vMerge/>
          </w:tcPr>
          <w:p w14:paraId="7DA377AA" w14:textId="77777777" w:rsidR="002E474C" w:rsidRDefault="002E474C">
            <w:pPr>
              <w:pStyle w:val="A-"/>
            </w:pPr>
          </w:p>
        </w:tc>
        <w:tc>
          <w:tcPr>
            <w:tcW w:w="494" w:type="pct"/>
          </w:tcPr>
          <w:p w14:paraId="0332BABC" w14:textId="77777777" w:rsidR="002E474C" w:rsidRDefault="00000000">
            <w:pPr>
              <w:pStyle w:val="A-"/>
            </w:pPr>
            <w:r>
              <w:t>喂料机</w:t>
            </w:r>
          </w:p>
        </w:tc>
        <w:tc>
          <w:tcPr>
            <w:tcW w:w="440" w:type="pct"/>
          </w:tcPr>
          <w:p w14:paraId="4C326915" w14:textId="77777777" w:rsidR="002E474C" w:rsidRDefault="00000000">
            <w:pPr>
              <w:pStyle w:val="A-"/>
            </w:pPr>
            <w:r>
              <w:t>85</w:t>
            </w:r>
          </w:p>
        </w:tc>
        <w:tc>
          <w:tcPr>
            <w:tcW w:w="589" w:type="pct"/>
            <w:shd w:val="clear" w:color="auto" w:fill="auto"/>
          </w:tcPr>
          <w:p w14:paraId="44F6199B" w14:textId="77777777" w:rsidR="002E474C" w:rsidRDefault="00000000">
            <w:pPr>
              <w:pStyle w:val="A-"/>
            </w:pPr>
            <w:r>
              <w:t>基础减振、隔声</w:t>
            </w:r>
          </w:p>
        </w:tc>
        <w:tc>
          <w:tcPr>
            <w:tcW w:w="333" w:type="pct"/>
            <w:shd w:val="clear" w:color="auto" w:fill="auto"/>
          </w:tcPr>
          <w:p w14:paraId="30412B06" w14:textId="77777777" w:rsidR="002E474C" w:rsidRDefault="00000000">
            <w:pPr>
              <w:pStyle w:val="A-"/>
            </w:pPr>
            <w:r>
              <w:t>-31.75</w:t>
            </w:r>
          </w:p>
        </w:tc>
        <w:tc>
          <w:tcPr>
            <w:tcW w:w="267" w:type="pct"/>
            <w:shd w:val="clear" w:color="auto" w:fill="auto"/>
          </w:tcPr>
          <w:p w14:paraId="4F1C453E" w14:textId="77777777" w:rsidR="002E474C" w:rsidRDefault="00000000">
            <w:pPr>
              <w:pStyle w:val="A-"/>
            </w:pPr>
            <w:r>
              <w:t>69.64</w:t>
            </w:r>
          </w:p>
        </w:tc>
        <w:tc>
          <w:tcPr>
            <w:tcW w:w="241" w:type="pct"/>
            <w:shd w:val="clear" w:color="auto" w:fill="auto"/>
          </w:tcPr>
          <w:p w14:paraId="0A9940FB" w14:textId="77777777" w:rsidR="002E474C" w:rsidRDefault="00000000">
            <w:pPr>
              <w:pStyle w:val="A-"/>
            </w:pPr>
            <w:r>
              <w:t>5</w:t>
            </w:r>
          </w:p>
        </w:tc>
        <w:tc>
          <w:tcPr>
            <w:tcW w:w="291" w:type="pct"/>
            <w:shd w:val="clear" w:color="auto" w:fill="auto"/>
          </w:tcPr>
          <w:p w14:paraId="345E8E6A" w14:textId="77777777" w:rsidR="002E474C" w:rsidRDefault="00000000">
            <w:pPr>
              <w:pStyle w:val="A-"/>
            </w:pPr>
            <w:r>
              <w:t>1</w:t>
            </w:r>
          </w:p>
        </w:tc>
        <w:tc>
          <w:tcPr>
            <w:tcW w:w="391" w:type="pct"/>
            <w:shd w:val="clear" w:color="auto" w:fill="auto"/>
          </w:tcPr>
          <w:p w14:paraId="2A8A38F3" w14:textId="77777777" w:rsidR="002E474C" w:rsidRDefault="00000000">
            <w:pPr>
              <w:pStyle w:val="A-"/>
            </w:pPr>
            <w:r>
              <w:t>63</w:t>
            </w:r>
          </w:p>
        </w:tc>
        <w:tc>
          <w:tcPr>
            <w:tcW w:w="243" w:type="pct"/>
            <w:shd w:val="clear" w:color="auto" w:fill="auto"/>
          </w:tcPr>
          <w:p w14:paraId="13B77DD9" w14:textId="77777777" w:rsidR="002E474C" w:rsidRDefault="00000000">
            <w:pPr>
              <w:pStyle w:val="A-"/>
            </w:pPr>
            <w:r>
              <w:t>昼夜</w:t>
            </w:r>
          </w:p>
        </w:tc>
        <w:tc>
          <w:tcPr>
            <w:tcW w:w="493" w:type="pct"/>
            <w:shd w:val="clear" w:color="auto" w:fill="auto"/>
          </w:tcPr>
          <w:p w14:paraId="0163B0D2" w14:textId="77777777" w:rsidR="002E474C" w:rsidRDefault="00000000">
            <w:pPr>
              <w:pStyle w:val="A-"/>
            </w:pPr>
            <w:r>
              <w:t>20</w:t>
            </w:r>
          </w:p>
        </w:tc>
        <w:tc>
          <w:tcPr>
            <w:tcW w:w="385" w:type="pct"/>
            <w:shd w:val="clear" w:color="auto" w:fill="auto"/>
          </w:tcPr>
          <w:p w14:paraId="68832A99" w14:textId="77777777" w:rsidR="002E474C" w:rsidRDefault="00000000">
            <w:pPr>
              <w:pStyle w:val="A-"/>
            </w:pPr>
            <w:r>
              <w:t>36</w:t>
            </w:r>
          </w:p>
        </w:tc>
        <w:tc>
          <w:tcPr>
            <w:tcW w:w="319" w:type="pct"/>
            <w:shd w:val="clear" w:color="auto" w:fill="auto"/>
          </w:tcPr>
          <w:p w14:paraId="0B062646" w14:textId="77777777" w:rsidR="002E474C" w:rsidRDefault="00000000">
            <w:pPr>
              <w:pStyle w:val="A-"/>
            </w:pPr>
            <w:r>
              <w:t>1</w:t>
            </w:r>
          </w:p>
        </w:tc>
      </w:tr>
      <w:tr w:rsidR="002E474C" w14:paraId="67898E71" w14:textId="77777777">
        <w:tc>
          <w:tcPr>
            <w:tcW w:w="177" w:type="pct"/>
          </w:tcPr>
          <w:p w14:paraId="6FB7BAC9" w14:textId="77777777" w:rsidR="002E474C" w:rsidRDefault="002E474C">
            <w:pPr>
              <w:pStyle w:val="A-"/>
              <w:numPr>
                <w:ilvl w:val="0"/>
                <w:numId w:val="25"/>
              </w:numPr>
            </w:pPr>
          </w:p>
        </w:tc>
        <w:tc>
          <w:tcPr>
            <w:tcW w:w="337" w:type="pct"/>
            <w:vMerge/>
          </w:tcPr>
          <w:p w14:paraId="7685B20B" w14:textId="77777777" w:rsidR="002E474C" w:rsidRDefault="002E474C">
            <w:pPr>
              <w:pStyle w:val="A-"/>
            </w:pPr>
          </w:p>
        </w:tc>
        <w:tc>
          <w:tcPr>
            <w:tcW w:w="494" w:type="pct"/>
          </w:tcPr>
          <w:p w14:paraId="020C481C" w14:textId="77777777" w:rsidR="002E474C" w:rsidRDefault="00000000">
            <w:pPr>
              <w:pStyle w:val="A-"/>
            </w:pPr>
            <w:r>
              <w:t>喂料机</w:t>
            </w:r>
          </w:p>
        </w:tc>
        <w:tc>
          <w:tcPr>
            <w:tcW w:w="440" w:type="pct"/>
          </w:tcPr>
          <w:p w14:paraId="2C37143E" w14:textId="77777777" w:rsidR="002E474C" w:rsidRDefault="00000000">
            <w:pPr>
              <w:pStyle w:val="A-"/>
            </w:pPr>
            <w:r>
              <w:t>85</w:t>
            </w:r>
          </w:p>
        </w:tc>
        <w:tc>
          <w:tcPr>
            <w:tcW w:w="589" w:type="pct"/>
            <w:shd w:val="clear" w:color="auto" w:fill="auto"/>
          </w:tcPr>
          <w:p w14:paraId="58105F99" w14:textId="77777777" w:rsidR="002E474C" w:rsidRDefault="00000000">
            <w:pPr>
              <w:pStyle w:val="A-"/>
            </w:pPr>
            <w:r>
              <w:t>基础减振、隔声</w:t>
            </w:r>
          </w:p>
        </w:tc>
        <w:tc>
          <w:tcPr>
            <w:tcW w:w="333" w:type="pct"/>
            <w:shd w:val="clear" w:color="auto" w:fill="auto"/>
          </w:tcPr>
          <w:p w14:paraId="07304F98" w14:textId="77777777" w:rsidR="002E474C" w:rsidRDefault="00000000">
            <w:pPr>
              <w:pStyle w:val="A-"/>
            </w:pPr>
            <w:r>
              <w:t>-113.66</w:t>
            </w:r>
          </w:p>
        </w:tc>
        <w:tc>
          <w:tcPr>
            <w:tcW w:w="267" w:type="pct"/>
            <w:shd w:val="clear" w:color="auto" w:fill="auto"/>
          </w:tcPr>
          <w:p w14:paraId="636A39FB" w14:textId="77777777" w:rsidR="002E474C" w:rsidRDefault="00000000">
            <w:pPr>
              <w:pStyle w:val="A-"/>
            </w:pPr>
            <w:r>
              <w:t>57.6</w:t>
            </w:r>
          </w:p>
        </w:tc>
        <w:tc>
          <w:tcPr>
            <w:tcW w:w="241" w:type="pct"/>
            <w:shd w:val="clear" w:color="auto" w:fill="auto"/>
          </w:tcPr>
          <w:p w14:paraId="7D3F4220" w14:textId="77777777" w:rsidR="002E474C" w:rsidRDefault="00000000">
            <w:pPr>
              <w:pStyle w:val="A-"/>
            </w:pPr>
            <w:r>
              <w:t>5</w:t>
            </w:r>
          </w:p>
        </w:tc>
        <w:tc>
          <w:tcPr>
            <w:tcW w:w="291" w:type="pct"/>
            <w:shd w:val="clear" w:color="auto" w:fill="auto"/>
          </w:tcPr>
          <w:p w14:paraId="7ED8ADB2" w14:textId="77777777" w:rsidR="002E474C" w:rsidRDefault="00000000">
            <w:pPr>
              <w:pStyle w:val="A-"/>
            </w:pPr>
            <w:r>
              <w:t>1</w:t>
            </w:r>
          </w:p>
        </w:tc>
        <w:tc>
          <w:tcPr>
            <w:tcW w:w="391" w:type="pct"/>
            <w:shd w:val="clear" w:color="auto" w:fill="auto"/>
          </w:tcPr>
          <w:p w14:paraId="598C9167" w14:textId="77777777" w:rsidR="002E474C" w:rsidRDefault="00000000">
            <w:pPr>
              <w:pStyle w:val="A-"/>
            </w:pPr>
            <w:r>
              <w:t>61</w:t>
            </w:r>
          </w:p>
        </w:tc>
        <w:tc>
          <w:tcPr>
            <w:tcW w:w="243" w:type="pct"/>
            <w:shd w:val="clear" w:color="auto" w:fill="auto"/>
          </w:tcPr>
          <w:p w14:paraId="00B3137C" w14:textId="77777777" w:rsidR="002E474C" w:rsidRDefault="00000000">
            <w:pPr>
              <w:pStyle w:val="A-"/>
            </w:pPr>
            <w:r>
              <w:t>昼夜</w:t>
            </w:r>
          </w:p>
        </w:tc>
        <w:tc>
          <w:tcPr>
            <w:tcW w:w="493" w:type="pct"/>
            <w:shd w:val="clear" w:color="auto" w:fill="auto"/>
          </w:tcPr>
          <w:p w14:paraId="70FF2135" w14:textId="77777777" w:rsidR="002E474C" w:rsidRDefault="00000000">
            <w:pPr>
              <w:pStyle w:val="A-"/>
            </w:pPr>
            <w:r>
              <w:t>20</w:t>
            </w:r>
          </w:p>
        </w:tc>
        <w:tc>
          <w:tcPr>
            <w:tcW w:w="385" w:type="pct"/>
            <w:shd w:val="clear" w:color="auto" w:fill="auto"/>
          </w:tcPr>
          <w:p w14:paraId="06A9F20F" w14:textId="77777777" w:rsidR="002E474C" w:rsidRDefault="00000000">
            <w:pPr>
              <w:pStyle w:val="A-"/>
            </w:pPr>
            <w:r>
              <w:t>35</w:t>
            </w:r>
          </w:p>
        </w:tc>
        <w:tc>
          <w:tcPr>
            <w:tcW w:w="319" w:type="pct"/>
            <w:shd w:val="clear" w:color="auto" w:fill="auto"/>
          </w:tcPr>
          <w:p w14:paraId="40B7D595" w14:textId="77777777" w:rsidR="002E474C" w:rsidRDefault="00000000">
            <w:pPr>
              <w:pStyle w:val="A-"/>
            </w:pPr>
            <w:r>
              <w:t>1</w:t>
            </w:r>
          </w:p>
        </w:tc>
      </w:tr>
      <w:tr w:rsidR="002E474C" w14:paraId="1223D239" w14:textId="77777777">
        <w:tc>
          <w:tcPr>
            <w:tcW w:w="177" w:type="pct"/>
          </w:tcPr>
          <w:p w14:paraId="232A72AC" w14:textId="77777777" w:rsidR="002E474C" w:rsidRDefault="002E474C">
            <w:pPr>
              <w:pStyle w:val="A-"/>
              <w:numPr>
                <w:ilvl w:val="0"/>
                <w:numId w:val="25"/>
              </w:numPr>
            </w:pPr>
            <w:bookmarkStart w:id="297" w:name="_Hlk226645246"/>
          </w:p>
        </w:tc>
        <w:tc>
          <w:tcPr>
            <w:tcW w:w="337" w:type="pct"/>
            <w:vMerge/>
          </w:tcPr>
          <w:p w14:paraId="2E7E005C" w14:textId="77777777" w:rsidR="002E474C" w:rsidRDefault="002E474C">
            <w:pPr>
              <w:pStyle w:val="A-"/>
            </w:pPr>
          </w:p>
        </w:tc>
        <w:tc>
          <w:tcPr>
            <w:tcW w:w="494" w:type="pct"/>
          </w:tcPr>
          <w:p w14:paraId="32E09507" w14:textId="77777777" w:rsidR="002E474C" w:rsidRDefault="00000000">
            <w:pPr>
              <w:pStyle w:val="A-"/>
            </w:pPr>
            <w:r>
              <w:t>输送装置</w:t>
            </w:r>
          </w:p>
        </w:tc>
        <w:tc>
          <w:tcPr>
            <w:tcW w:w="440" w:type="pct"/>
          </w:tcPr>
          <w:p w14:paraId="6CC1EB95" w14:textId="77777777" w:rsidR="002E474C" w:rsidRDefault="00000000">
            <w:pPr>
              <w:pStyle w:val="A-"/>
            </w:pPr>
            <w:r>
              <w:t>75</w:t>
            </w:r>
          </w:p>
        </w:tc>
        <w:tc>
          <w:tcPr>
            <w:tcW w:w="589" w:type="pct"/>
            <w:shd w:val="clear" w:color="auto" w:fill="auto"/>
          </w:tcPr>
          <w:p w14:paraId="66779C40" w14:textId="77777777" w:rsidR="002E474C" w:rsidRDefault="00000000">
            <w:pPr>
              <w:pStyle w:val="A-"/>
            </w:pPr>
            <w:r>
              <w:t>基础减振、隔声</w:t>
            </w:r>
          </w:p>
        </w:tc>
        <w:tc>
          <w:tcPr>
            <w:tcW w:w="333" w:type="pct"/>
            <w:shd w:val="clear" w:color="auto" w:fill="auto"/>
          </w:tcPr>
          <w:p w14:paraId="15B23D76" w14:textId="77777777" w:rsidR="002E474C" w:rsidRDefault="00000000">
            <w:pPr>
              <w:pStyle w:val="A-"/>
            </w:pPr>
            <w:r>
              <w:t>-51.03</w:t>
            </w:r>
          </w:p>
        </w:tc>
        <w:tc>
          <w:tcPr>
            <w:tcW w:w="267" w:type="pct"/>
            <w:shd w:val="clear" w:color="auto" w:fill="auto"/>
          </w:tcPr>
          <w:p w14:paraId="71EC9528" w14:textId="77777777" w:rsidR="002E474C" w:rsidRDefault="00000000">
            <w:pPr>
              <w:pStyle w:val="A-"/>
            </w:pPr>
            <w:r>
              <w:t>71.39</w:t>
            </w:r>
          </w:p>
        </w:tc>
        <w:tc>
          <w:tcPr>
            <w:tcW w:w="241" w:type="pct"/>
            <w:shd w:val="clear" w:color="auto" w:fill="auto"/>
          </w:tcPr>
          <w:p w14:paraId="1C230FB4" w14:textId="77777777" w:rsidR="002E474C" w:rsidRDefault="00000000">
            <w:pPr>
              <w:pStyle w:val="A-"/>
            </w:pPr>
            <w:r>
              <w:t>1</w:t>
            </w:r>
          </w:p>
        </w:tc>
        <w:tc>
          <w:tcPr>
            <w:tcW w:w="291" w:type="pct"/>
            <w:shd w:val="clear" w:color="auto" w:fill="auto"/>
          </w:tcPr>
          <w:p w14:paraId="081E1CB9" w14:textId="77777777" w:rsidR="002E474C" w:rsidRDefault="00000000">
            <w:pPr>
              <w:pStyle w:val="A-"/>
            </w:pPr>
            <w:r>
              <w:t>1</w:t>
            </w:r>
          </w:p>
        </w:tc>
        <w:tc>
          <w:tcPr>
            <w:tcW w:w="391" w:type="pct"/>
            <w:shd w:val="clear" w:color="auto" w:fill="auto"/>
          </w:tcPr>
          <w:p w14:paraId="06409EC1" w14:textId="77777777" w:rsidR="002E474C" w:rsidRDefault="00000000">
            <w:pPr>
              <w:pStyle w:val="A-"/>
            </w:pPr>
            <w:r>
              <w:t>58</w:t>
            </w:r>
          </w:p>
        </w:tc>
        <w:tc>
          <w:tcPr>
            <w:tcW w:w="243" w:type="pct"/>
            <w:shd w:val="clear" w:color="auto" w:fill="auto"/>
          </w:tcPr>
          <w:p w14:paraId="781718C4" w14:textId="77777777" w:rsidR="002E474C" w:rsidRDefault="00000000">
            <w:pPr>
              <w:pStyle w:val="A-"/>
            </w:pPr>
            <w:r>
              <w:t>昼夜</w:t>
            </w:r>
          </w:p>
        </w:tc>
        <w:tc>
          <w:tcPr>
            <w:tcW w:w="493" w:type="pct"/>
            <w:shd w:val="clear" w:color="auto" w:fill="auto"/>
          </w:tcPr>
          <w:p w14:paraId="291E226C" w14:textId="77777777" w:rsidR="002E474C" w:rsidRDefault="00000000">
            <w:pPr>
              <w:pStyle w:val="A-"/>
            </w:pPr>
            <w:r>
              <w:t>20</w:t>
            </w:r>
          </w:p>
        </w:tc>
        <w:tc>
          <w:tcPr>
            <w:tcW w:w="385" w:type="pct"/>
            <w:shd w:val="clear" w:color="auto" w:fill="auto"/>
          </w:tcPr>
          <w:p w14:paraId="041B4F99" w14:textId="77777777" w:rsidR="002E474C" w:rsidRDefault="00000000">
            <w:pPr>
              <w:pStyle w:val="A-"/>
            </w:pPr>
            <w:r>
              <w:t>32</w:t>
            </w:r>
          </w:p>
        </w:tc>
        <w:tc>
          <w:tcPr>
            <w:tcW w:w="319" w:type="pct"/>
            <w:shd w:val="clear" w:color="auto" w:fill="auto"/>
          </w:tcPr>
          <w:p w14:paraId="26C94333" w14:textId="77777777" w:rsidR="002E474C" w:rsidRDefault="00000000">
            <w:pPr>
              <w:pStyle w:val="A-"/>
            </w:pPr>
            <w:r>
              <w:t>1</w:t>
            </w:r>
          </w:p>
        </w:tc>
      </w:tr>
      <w:bookmarkEnd w:id="297"/>
      <w:tr w:rsidR="002E474C" w14:paraId="20F5C7C6" w14:textId="77777777">
        <w:tc>
          <w:tcPr>
            <w:tcW w:w="177" w:type="pct"/>
          </w:tcPr>
          <w:p w14:paraId="03448E42" w14:textId="77777777" w:rsidR="002E474C" w:rsidRDefault="002E474C">
            <w:pPr>
              <w:pStyle w:val="A-"/>
              <w:numPr>
                <w:ilvl w:val="0"/>
                <w:numId w:val="25"/>
              </w:numPr>
            </w:pPr>
          </w:p>
        </w:tc>
        <w:tc>
          <w:tcPr>
            <w:tcW w:w="337" w:type="pct"/>
            <w:vMerge/>
          </w:tcPr>
          <w:p w14:paraId="78121A44" w14:textId="77777777" w:rsidR="002E474C" w:rsidRDefault="002E474C">
            <w:pPr>
              <w:pStyle w:val="A-"/>
            </w:pPr>
          </w:p>
        </w:tc>
        <w:tc>
          <w:tcPr>
            <w:tcW w:w="494" w:type="pct"/>
          </w:tcPr>
          <w:p w14:paraId="6986ADEC" w14:textId="77777777" w:rsidR="002E474C" w:rsidRDefault="00000000">
            <w:pPr>
              <w:pStyle w:val="A-"/>
            </w:pPr>
            <w:r>
              <w:t>风机</w:t>
            </w:r>
          </w:p>
        </w:tc>
        <w:tc>
          <w:tcPr>
            <w:tcW w:w="440" w:type="pct"/>
          </w:tcPr>
          <w:p w14:paraId="6ECB1404" w14:textId="77777777" w:rsidR="002E474C" w:rsidRDefault="00000000">
            <w:pPr>
              <w:pStyle w:val="A-"/>
            </w:pPr>
            <w:r>
              <w:t>85</w:t>
            </w:r>
          </w:p>
        </w:tc>
        <w:tc>
          <w:tcPr>
            <w:tcW w:w="589" w:type="pct"/>
            <w:shd w:val="clear" w:color="auto" w:fill="auto"/>
          </w:tcPr>
          <w:p w14:paraId="7FCBE31F" w14:textId="77777777" w:rsidR="002E474C" w:rsidRDefault="00000000">
            <w:pPr>
              <w:pStyle w:val="A-"/>
            </w:pPr>
            <w:r>
              <w:t>消声、减振</w:t>
            </w:r>
          </w:p>
        </w:tc>
        <w:tc>
          <w:tcPr>
            <w:tcW w:w="333" w:type="pct"/>
            <w:shd w:val="clear" w:color="auto" w:fill="auto"/>
          </w:tcPr>
          <w:p w14:paraId="4BD51E43" w14:textId="77777777" w:rsidR="002E474C" w:rsidRDefault="00000000">
            <w:pPr>
              <w:pStyle w:val="A-"/>
            </w:pPr>
            <w:r>
              <w:t>-22.12</w:t>
            </w:r>
          </w:p>
        </w:tc>
        <w:tc>
          <w:tcPr>
            <w:tcW w:w="267" w:type="pct"/>
            <w:shd w:val="clear" w:color="auto" w:fill="auto"/>
          </w:tcPr>
          <w:p w14:paraId="49F6CFE0" w14:textId="77777777" w:rsidR="002E474C" w:rsidRDefault="00000000">
            <w:pPr>
              <w:pStyle w:val="A-"/>
            </w:pPr>
            <w:r>
              <w:t>59.35</w:t>
            </w:r>
          </w:p>
        </w:tc>
        <w:tc>
          <w:tcPr>
            <w:tcW w:w="241" w:type="pct"/>
            <w:shd w:val="clear" w:color="auto" w:fill="auto"/>
          </w:tcPr>
          <w:p w14:paraId="1C918E8E" w14:textId="77777777" w:rsidR="002E474C" w:rsidRDefault="00000000">
            <w:pPr>
              <w:pStyle w:val="A-"/>
            </w:pPr>
            <w:r>
              <w:t>3</w:t>
            </w:r>
          </w:p>
        </w:tc>
        <w:tc>
          <w:tcPr>
            <w:tcW w:w="291" w:type="pct"/>
            <w:shd w:val="clear" w:color="auto" w:fill="auto"/>
          </w:tcPr>
          <w:p w14:paraId="1716B0AF" w14:textId="77777777" w:rsidR="002E474C" w:rsidRDefault="00000000">
            <w:pPr>
              <w:pStyle w:val="A-"/>
            </w:pPr>
            <w:r>
              <w:t>/</w:t>
            </w:r>
          </w:p>
        </w:tc>
        <w:tc>
          <w:tcPr>
            <w:tcW w:w="391" w:type="pct"/>
            <w:shd w:val="clear" w:color="auto" w:fill="auto"/>
          </w:tcPr>
          <w:p w14:paraId="5C84EDE8" w14:textId="77777777" w:rsidR="002E474C" w:rsidRDefault="00000000">
            <w:pPr>
              <w:pStyle w:val="A-"/>
            </w:pPr>
            <w:r>
              <w:t>/</w:t>
            </w:r>
          </w:p>
        </w:tc>
        <w:tc>
          <w:tcPr>
            <w:tcW w:w="243" w:type="pct"/>
            <w:shd w:val="clear" w:color="auto" w:fill="auto"/>
          </w:tcPr>
          <w:p w14:paraId="72A7D04B" w14:textId="77777777" w:rsidR="002E474C" w:rsidRDefault="00000000">
            <w:pPr>
              <w:pStyle w:val="A-"/>
            </w:pPr>
            <w:r>
              <w:t>昼夜</w:t>
            </w:r>
          </w:p>
        </w:tc>
        <w:tc>
          <w:tcPr>
            <w:tcW w:w="493" w:type="pct"/>
            <w:shd w:val="clear" w:color="auto" w:fill="auto"/>
            <w:vAlign w:val="top"/>
          </w:tcPr>
          <w:p w14:paraId="2AEEC67B" w14:textId="77777777" w:rsidR="002E474C" w:rsidRDefault="00000000">
            <w:pPr>
              <w:pStyle w:val="A-"/>
            </w:pPr>
            <w:r>
              <w:t>/</w:t>
            </w:r>
          </w:p>
        </w:tc>
        <w:tc>
          <w:tcPr>
            <w:tcW w:w="385" w:type="pct"/>
            <w:shd w:val="clear" w:color="auto" w:fill="auto"/>
            <w:vAlign w:val="top"/>
          </w:tcPr>
          <w:p w14:paraId="254132A1" w14:textId="77777777" w:rsidR="002E474C" w:rsidRDefault="00000000">
            <w:pPr>
              <w:pStyle w:val="A-"/>
            </w:pPr>
            <w:r>
              <w:t>/</w:t>
            </w:r>
          </w:p>
        </w:tc>
        <w:tc>
          <w:tcPr>
            <w:tcW w:w="319" w:type="pct"/>
            <w:shd w:val="clear" w:color="auto" w:fill="auto"/>
            <w:vAlign w:val="top"/>
          </w:tcPr>
          <w:p w14:paraId="51400B13" w14:textId="77777777" w:rsidR="002E474C" w:rsidRDefault="00000000">
            <w:pPr>
              <w:pStyle w:val="A-"/>
            </w:pPr>
            <w:r>
              <w:t>/</w:t>
            </w:r>
          </w:p>
        </w:tc>
      </w:tr>
      <w:tr w:rsidR="002E474C" w14:paraId="538715B0" w14:textId="77777777">
        <w:tc>
          <w:tcPr>
            <w:tcW w:w="177" w:type="pct"/>
          </w:tcPr>
          <w:p w14:paraId="0FFDB1AD" w14:textId="77777777" w:rsidR="002E474C" w:rsidRDefault="002E474C">
            <w:pPr>
              <w:pStyle w:val="A-"/>
              <w:numPr>
                <w:ilvl w:val="0"/>
                <w:numId w:val="25"/>
              </w:numPr>
            </w:pPr>
          </w:p>
        </w:tc>
        <w:tc>
          <w:tcPr>
            <w:tcW w:w="337" w:type="pct"/>
            <w:vMerge/>
          </w:tcPr>
          <w:p w14:paraId="1295FCE9" w14:textId="77777777" w:rsidR="002E474C" w:rsidRDefault="002E474C">
            <w:pPr>
              <w:pStyle w:val="A-"/>
            </w:pPr>
          </w:p>
        </w:tc>
        <w:tc>
          <w:tcPr>
            <w:tcW w:w="494" w:type="pct"/>
          </w:tcPr>
          <w:p w14:paraId="1F143FED" w14:textId="77777777" w:rsidR="002E474C" w:rsidRDefault="00000000">
            <w:pPr>
              <w:pStyle w:val="A-"/>
            </w:pPr>
            <w:r>
              <w:t>风机</w:t>
            </w:r>
          </w:p>
        </w:tc>
        <w:tc>
          <w:tcPr>
            <w:tcW w:w="440" w:type="pct"/>
          </w:tcPr>
          <w:p w14:paraId="66E5334C" w14:textId="77777777" w:rsidR="002E474C" w:rsidRDefault="00000000">
            <w:pPr>
              <w:pStyle w:val="A-"/>
            </w:pPr>
            <w:r>
              <w:t>85</w:t>
            </w:r>
          </w:p>
        </w:tc>
        <w:tc>
          <w:tcPr>
            <w:tcW w:w="589" w:type="pct"/>
            <w:shd w:val="clear" w:color="auto" w:fill="auto"/>
          </w:tcPr>
          <w:p w14:paraId="01EDE067" w14:textId="77777777" w:rsidR="002E474C" w:rsidRDefault="00000000">
            <w:pPr>
              <w:pStyle w:val="A-"/>
            </w:pPr>
            <w:r>
              <w:t>消声、减振</w:t>
            </w:r>
          </w:p>
        </w:tc>
        <w:tc>
          <w:tcPr>
            <w:tcW w:w="333" w:type="pct"/>
            <w:shd w:val="clear" w:color="auto" w:fill="auto"/>
          </w:tcPr>
          <w:p w14:paraId="1DC67137" w14:textId="77777777" w:rsidR="002E474C" w:rsidRDefault="00000000">
            <w:pPr>
              <w:pStyle w:val="A-"/>
            </w:pPr>
            <w:r>
              <w:t>-117.6</w:t>
            </w:r>
          </w:p>
        </w:tc>
        <w:tc>
          <w:tcPr>
            <w:tcW w:w="267" w:type="pct"/>
            <w:shd w:val="clear" w:color="auto" w:fill="auto"/>
          </w:tcPr>
          <w:p w14:paraId="60F1FB63" w14:textId="77777777" w:rsidR="002E474C" w:rsidRDefault="00000000">
            <w:pPr>
              <w:pStyle w:val="A-"/>
            </w:pPr>
            <w:r>
              <w:t>57.6</w:t>
            </w:r>
          </w:p>
        </w:tc>
        <w:tc>
          <w:tcPr>
            <w:tcW w:w="241" w:type="pct"/>
            <w:shd w:val="clear" w:color="auto" w:fill="auto"/>
          </w:tcPr>
          <w:p w14:paraId="3E45DC7B" w14:textId="77777777" w:rsidR="002E474C" w:rsidRDefault="00000000">
            <w:pPr>
              <w:pStyle w:val="A-"/>
            </w:pPr>
            <w:r>
              <w:t>3</w:t>
            </w:r>
          </w:p>
        </w:tc>
        <w:tc>
          <w:tcPr>
            <w:tcW w:w="291" w:type="pct"/>
            <w:shd w:val="clear" w:color="auto" w:fill="auto"/>
          </w:tcPr>
          <w:p w14:paraId="19283A85" w14:textId="77777777" w:rsidR="002E474C" w:rsidRDefault="00000000">
            <w:pPr>
              <w:pStyle w:val="A-"/>
            </w:pPr>
            <w:r>
              <w:t>/</w:t>
            </w:r>
          </w:p>
        </w:tc>
        <w:tc>
          <w:tcPr>
            <w:tcW w:w="391" w:type="pct"/>
            <w:shd w:val="clear" w:color="auto" w:fill="auto"/>
          </w:tcPr>
          <w:p w14:paraId="3759C002" w14:textId="77777777" w:rsidR="002E474C" w:rsidRDefault="00000000">
            <w:pPr>
              <w:pStyle w:val="A-"/>
            </w:pPr>
            <w:r>
              <w:t>/</w:t>
            </w:r>
          </w:p>
        </w:tc>
        <w:tc>
          <w:tcPr>
            <w:tcW w:w="243" w:type="pct"/>
            <w:shd w:val="clear" w:color="auto" w:fill="auto"/>
          </w:tcPr>
          <w:p w14:paraId="0927CF57" w14:textId="77777777" w:rsidR="002E474C" w:rsidRDefault="00000000">
            <w:pPr>
              <w:pStyle w:val="A-"/>
            </w:pPr>
            <w:r>
              <w:t>昼夜</w:t>
            </w:r>
          </w:p>
        </w:tc>
        <w:tc>
          <w:tcPr>
            <w:tcW w:w="493" w:type="pct"/>
            <w:shd w:val="clear" w:color="auto" w:fill="auto"/>
            <w:vAlign w:val="top"/>
          </w:tcPr>
          <w:p w14:paraId="574A0270" w14:textId="77777777" w:rsidR="002E474C" w:rsidRDefault="00000000">
            <w:pPr>
              <w:pStyle w:val="A-"/>
            </w:pPr>
            <w:r>
              <w:t>/</w:t>
            </w:r>
          </w:p>
        </w:tc>
        <w:tc>
          <w:tcPr>
            <w:tcW w:w="385" w:type="pct"/>
            <w:shd w:val="clear" w:color="auto" w:fill="auto"/>
            <w:vAlign w:val="top"/>
          </w:tcPr>
          <w:p w14:paraId="4D4C679E" w14:textId="77777777" w:rsidR="002E474C" w:rsidRDefault="00000000">
            <w:pPr>
              <w:pStyle w:val="A-"/>
            </w:pPr>
            <w:r>
              <w:t>/</w:t>
            </w:r>
          </w:p>
        </w:tc>
        <w:tc>
          <w:tcPr>
            <w:tcW w:w="319" w:type="pct"/>
            <w:shd w:val="clear" w:color="auto" w:fill="auto"/>
            <w:vAlign w:val="top"/>
          </w:tcPr>
          <w:p w14:paraId="072FE594" w14:textId="77777777" w:rsidR="002E474C" w:rsidRDefault="00000000">
            <w:pPr>
              <w:pStyle w:val="A-"/>
            </w:pPr>
            <w:r>
              <w:t>/</w:t>
            </w:r>
          </w:p>
        </w:tc>
      </w:tr>
      <w:tr w:rsidR="002E474C" w14:paraId="2C6EAB6B" w14:textId="77777777">
        <w:tc>
          <w:tcPr>
            <w:tcW w:w="177" w:type="pct"/>
          </w:tcPr>
          <w:p w14:paraId="0057E040" w14:textId="77777777" w:rsidR="002E474C" w:rsidRDefault="002E474C">
            <w:pPr>
              <w:pStyle w:val="A-"/>
              <w:numPr>
                <w:ilvl w:val="0"/>
                <w:numId w:val="25"/>
              </w:numPr>
            </w:pPr>
          </w:p>
        </w:tc>
        <w:tc>
          <w:tcPr>
            <w:tcW w:w="337" w:type="pct"/>
            <w:vMerge w:val="restart"/>
          </w:tcPr>
          <w:p w14:paraId="4642AC86" w14:textId="77777777" w:rsidR="002E474C" w:rsidRDefault="00000000">
            <w:pPr>
              <w:pStyle w:val="A-"/>
            </w:pPr>
            <w:r>
              <w:t>无机类废物加料设施</w:t>
            </w:r>
          </w:p>
        </w:tc>
        <w:tc>
          <w:tcPr>
            <w:tcW w:w="494" w:type="pct"/>
          </w:tcPr>
          <w:p w14:paraId="06E17025" w14:textId="77777777" w:rsidR="002E474C" w:rsidRDefault="00000000">
            <w:pPr>
              <w:pStyle w:val="A-"/>
            </w:pPr>
            <w:r>
              <w:t>输送装置</w:t>
            </w:r>
          </w:p>
        </w:tc>
        <w:tc>
          <w:tcPr>
            <w:tcW w:w="440" w:type="pct"/>
          </w:tcPr>
          <w:p w14:paraId="1197E6AE" w14:textId="77777777" w:rsidR="002E474C" w:rsidRDefault="00000000">
            <w:pPr>
              <w:pStyle w:val="A-"/>
            </w:pPr>
            <w:r>
              <w:t>75</w:t>
            </w:r>
          </w:p>
        </w:tc>
        <w:tc>
          <w:tcPr>
            <w:tcW w:w="589" w:type="pct"/>
            <w:shd w:val="clear" w:color="auto" w:fill="auto"/>
          </w:tcPr>
          <w:p w14:paraId="0B794D46" w14:textId="77777777" w:rsidR="002E474C" w:rsidRDefault="00000000">
            <w:pPr>
              <w:pStyle w:val="A-"/>
            </w:pPr>
            <w:r>
              <w:t>基础减振、隔声</w:t>
            </w:r>
          </w:p>
        </w:tc>
        <w:tc>
          <w:tcPr>
            <w:tcW w:w="333" w:type="pct"/>
            <w:shd w:val="clear" w:color="auto" w:fill="auto"/>
          </w:tcPr>
          <w:p w14:paraId="4796226A" w14:textId="77777777" w:rsidR="002E474C" w:rsidRDefault="00000000">
            <w:pPr>
              <w:pStyle w:val="A-"/>
            </w:pPr>
            <w:r>
              <w:t>-108.4</w:t>
            </w:r>
          </w:p>
        </w:tc>
        <w:tc>
          <w:tcPr>
            <w:tcW w:w="267" w:type="pct"/>
            <w:shd w:val="clear" w:color="auto" w:fill="auto"/>
          </w:tcPr>
          <w:p w14:paraId="65B307E2" w14:textId="77777777" w:rsidR="002E474C" w:rsidRDefault="00000000">
            <w:pPr>
              <w:pStyle w:val="A-"/>
            </w:pPr>
            <w:r>
              <w:t>62.63</w:t>
            </w:r>
          </w:p>
        </w:tc>
        <w:tc>
          <w:tcPr>
            <w:tcW w:w="241" w:type="pct"/>
            <w:shd w:val="clear" w:color="auto" w:fill="auto"/>
          </w:tcPr>
          <w:p w14:paraId="20425EF7" w14:textId="77777777" w:rsidR="002E474C" w:rsidRDefault="00000000">
            <w:pPr>
              <w:pStyle w:val="A-"/>
            </w:pPr>
            <w:r>
              <w:t>1</w:t>
            </w:r>
          </w:p>
        </w:tc>
        <w:tc>
          <w:tcPr>
            <w:tcW w:w="291" w:type="pct"/>
            <w:shd w:val="clear" w:color="auto" w:fill="auto"/>
          </w:tcPr>
          <w:p w14:paraId="2D41F8DB" w14:textId="77777777" w:rsidR="002E474C" w:rsidRDefault="00000000">
            <w:pPr>
              <w:pStyle w:val="A-"/>
            </w:pPr>
            <w:r>
              <w:t>1</w:t>
            </w:r>
          </w:p>
        </w:tc>
        <w:tc>
          <w:tcPr>
            <w:tcW w:w="391" w:type="pct"/>
            <w:shd w:val="clear" w:color="auto" w:fill="auto"/>
          </w:tcPr>
          <w:p w14:paraId="56F4BC34" w14:textId="77777777" w:rsidR="002E474C" w:rsidRDefault="00000000">
            <w:pPr>
              <w:pStyle w:val="A-"/>
            </w:pPr>
            <w:r>
              <w:t>58</w:t>
            </w:r>
          </w:p>
        </w:tc>
        <w:tc>
          <w:tcPr>
            <w:tcW w:w="243" w:type="pct"/>
            <w:shd w:val="clear" w:color="auto" w:fill="auto"/>
          </w:tcPr>
          <w:p w14:paraId="05E4FE25" w14:textId="77777777" w:rsidR="002E474C" w:rsidRDefault="00000000">
            <w:pPr>
              <w:pStyle w:val="A-"/>
            </w:pPr>
            <w:r>
              <w:t>昼夜</w:t>
            </w:r>
          </w:p>
        </w:tc>
        <w:tc>
          <w:tcPr>
            <w:tcW w:w="493" w:type="pct"/>
            <w:shd w:val="clear" w:color="auto" w:fill="auto"/>
          </w:tcPr>
          <w:p w14:paraId="3CF69075" w14:textId="77777777" w:rsidR="002E474C" w:rsidRDefault="00000000">
            <w:pPr>
              <w:pStyle w:val="A-"/>
            </w:pPr>
            <w:r>
              <w:t>20</w:t>
            </w:r>
          </w:p>
        </w:tc>
        <w:tc>
          <w:tcPr>
            <w:tcW w:w="385" w:type="pct"/>
            <w:shd w:val="clear" w:color="auto" w:fill="auto"/>
          </w:tcPr>
          <w:p w14:paraId="5A10A920" w14:textId="77777777" w:rsidR="002E474C" w:rsidRDefault="00000000">
            <w:pPr>
              <w:pStyle w:val="A-"/>
            </w:pPr>
            <w:r>
              <w:t>32</w:t>
            </w:r>
          </w:p>
        </w:tc>
        <w:tc>
          <w:tcPr>
            <w:tcW w:w="319" w:type="pct"/>
            <w:shd w:val="clear" w:color="auto" w:fill="auto"/>
          </w:tcPr>
          <w:p w14:paraId="4C351B8C" w14:textId="77777777" w:rsidR="002E474C" w:rsidRDefault="00000000">
            <w:pPr>
              <w:pStyle w:val="A-"/>
            </w:pPr>
            <w:r>
              <w:t>1</w:t>
            </w:r>
          </w:p>
        </w:tc>
      </w:tr>
      <w:tr w:rsidR="002E474C" w14:paraId="2431AB17" w14:textId="77777777">
        <w:tc>
          <w:tcPr>
            <w:tcW w:w="177" w:type="pct"/>
          </w:tcPr>
          <w:p w14:paraId="2CB2EE61" w14:textId="77777777" w:rsidR="002E474C" w:rsidRDefault="002E474C">
            <w:pPr>
              <w:pStyle w:val="A-"/>
              <w:numPr>
                <w:ilvl w:val="0"/>
                <w:numId w:val="25"/>
              </w:numPr>
            </w:pPr>
          </w:p>
        </w:tc>
        <w:tc>
          <w:tcPr>
            <w:tcW w:w="337" w:type="pct"/>
            <w:vMerge/>
          </w:tcPr>
          <w:p w14:paraId="676FD627" w14:textId="77777777" w:rsidR="002E474C" w:rsidRDefault="002E474C">
            <w:pPr>
              <w:pStyle w:val="A-"/>
            </w:pPr>
          </w:p>
        </w:tc>
        <w:tc>
          <w:tcPr>
            <w:tcW w:w="494" w:type="pct"/>
          </w:tcPr>
          <w:p w14:paraId="48778AFB" w14:textId="77777777" w:rsidR="002E474C" w:rsidRDefault="00000000">
            <w:pPr>
              <w:pStyle w:val="A-"/>
            </w:pPr>
            <w:r>
              <w:t>风机</w:t>
            </w:r>
          </w:p>
        </w:tc>
        <w:tc>
          <w:tcPr>
            <w:tcW w:w="440" w:type="pct"/>
          </w:tcPr>
          <w:p w14:paraId="2D1B9FD8" w14:textId="77777777" w:rsidR="002E474C" w:rsidRDefault="00000000">
            <w:pPr>
              <w:pStyle w:val="A-"/>
            </w:pPr>
            <w:r>
              <w:t>85</w:t>
            </w:r>
          </w:p>
        </w:tc>
        <w:tc>
          <w:tcPr>
            <w:tcW w:w="589" w:type="pct"/>
            <w:shd w:val="clear" w:color="auto" w:fill="auto"/>
          </w:tcPr>
          <w:p w14:paraId="17CFE116" w14:textId="77777777" w:rsidR="002E474C" w:rsidRDefault="00000000">
            <w:pPr>
              <w:pStyle w:val="A-"/>
            </w:pPr>
            <w:r>
              <w:t>消声、减振</w:t>
            </w:r>
          </w:p>
        </w:tc>
        <w:tc>
          <w:tcPr>
            <w:tcW w:w="333" w:type="pct"/>
            <w:shd w:val="clear" w:color="auto" w:fill="auto"/>
          </w:tcPr>
          <w:p w14:paraId="1CFAC4A3" w14:textId="77777777" w:rsidR="002E474C" w:rsidRDefault="00000000">
            <w:pPr>
              <w:pStyle w:val="A-"/>
            </w:pPr>
            <w:r>
              <w:t>-334.83</w:t>
            </w:r>
          </w:p>
        </w:tc>
        <w:tc>
          <w:tcPr>
            <w:tcW w:w="267" w:type="pct"/>
            <w:shd w:val="clear" w:color="auto" w:fill="auto"/>
          </w:tcPr>
          <w:p w14:paraId="5B566B2B" w14:textId="77777777" w:rsidR="002E474C" w:rsidRDefault="00000000">
            <w:pPr>
              <w:pStyle w:val="A-"/>
            </w:pPr>
            <w:r>
              <w:t>52.56</w:t>
            </w:r>
          </w:p>
        </w:tc>
        <w:tc>
          <w:tcPr>
            <w:tcW w:w="241" w:type="pct"/>
            <w:shd w:val="clear" w:color="auto" w:fill="auto"/>
          </w:tcPr>
          <w:p w14:paraId="1D5A352D" w14:textId="77777777" w:rsidR="002E474C" w:rsidRDefault="00000000">
            <w:pPr>
              <w:pStyle w:val="A-"/>
            </w:pPr>
            <w:r>
              <w:t>1</w:t>
            </w:r>
          </w:p>
        </w:tc>
        <w:tc>
          <w:tcPr>
            <w:tcW w:w="291" w:type="pct"/>
            <w:shd w:val="clear" w:color="auto" w:fill="auto"/>
          </w:tcPr>
          <w:p w14:paraId="28B6D00C" w14:textId="77777777" w:rsidR="002E474C" w:rsidRDefault="00000000">
            <w:pPr>
              <w:pStyle w:val="A-"/>
            </w:pPr>
            <w:r>
              <w:t>1</w:t>
            </w:r>
          </w:p>
        </w:tc>
        <w:tc>
          <w:tcPr>
            <w:tcW w:w="391" w:type="pct"/>
            <w:shd w:val="clear" w:color="auto" w:fill="auto"/>
          </w:tcPr>
          <w:p w14:paraId="085827E4" w14:textId="77777777" w:rsidR="002E474C" w:rsidRDefault="00000000">
            <w:pPr>
              <w:pStyle w:val="A-"/>
            </w:pPr>
            <w:r>
              <w:t>62</w:t>
            </w:r>
          </w:p>
        </w:tc>
        <w:tc>
          <w:tcPr>
            <w:tcW w:w="243" w:type="pct"/>
            <w:shd w:val="clear" w:color="auto" w:fill="auto"/>
          </w:tcPr>
          <w:p w14:paraId="38FF0CE7" w14:textId="77777777" w:rsidR="002E474C" w:rsidRDefault="00000000">
            <w:pPr>
              <w:pStyle w:val="A-"/>
            </w:pPr>
            <w:r>
              <w:t>昼夜</w:t>
            </w:r>
          </w:p>
        </w:tc>
        <w:tc>
          <w:tcPr>
            <w:tcW w:w="493" w:type="pct"/>
            <w:shd w:val="clear" w:color="auto" w:fill="auto"/>
          </w:tcPr>
          <w:p w14:paraId="2B9EC0CD" w14:textId="77777777" w:rsidR="002E474C" w:rsidRDefault="00000000">
            <w:pPr>
              <w:pStyle w:val="A-"/>
            </w:pPr>
            <w:r>
              <w:t>20</w:t>
            </w:r>
          </w:p>
        </w:tc>
        <w:tc>
          <w:tcPr>
            <w:tcW w:w="385" w:type="pct"/>
            <w:shd w:val="clear" w:color="auto" w:fill="auto"/>
          </w:tcPr>
          <w:p w14:paraId="04574BDF" w14:textId="77777777" w:rsidR="002E474C" w:rsidRDefault="00000000">
            <w:pPr>
              <w:pStyle w:val="A-"/>
            </w:pPr>
            <w:r>
              <w:t>35</w:t>
            </w:r>
          </w:p>
        </w:tc>
        <w:tc>
          <w:tcPr>
            <w:tcW w:w="319" w:type="pct"/>
            <w:shd w:val="clear" w:color="auto" w:fill="auto"/>
          </w:tcPr>
          <w:p w14:paraId="240663DC" w14:textId="77777777" w:rsidR="002E474C" w:rsidRDefault="00000000">
            <w:pPr>
              <w:pStyle w:val="A-"/>
            </w:pPr>
            <w:r>
              <w:t>1</w:t>
            </w:r>
          </w:p>
        </w:tc>
      </w:tr>
      <w:tr w:rsidR="002E474C" w14:paraId="34D7FF61" w14:textId="77777777">
        <w:tc>
          <w:tcPr>
            <w:tcW w:w="177" w:type="pct"/>
          </w:tcPr>
          <w:p w14:paraId="207D65BA" w14:textId="77777777" w:rsidR="002E474C" w:rsidRDefault="002E474C">
            <w:pPr>
              <w:pStyle w:val="A-"/>
              <w:numPr>
                <w:ilvl w:val="0"/>
                <w:numId w:val="25"/>
              </w:numPr>
            </w:pPr>
          </w:p>
        </w:tc>
        <w:tc>
          <w:tcPr>
            <w:tcW w:w="337" w:type="pct"/>
            <w:vMerge w:val="restart"/>
          </w:tcPr>
          <w:p w14:paraId="05B45848" w14:textId="77777777" w:rsidR="002E474C" w:rsidRDefault="00000000">
            <w:pPr>
              <w:pStyle w:val="A-"/>
            </w:pPr>
            <w:r>
              <w:t>液态处置车间</w:t>
            </w:r>
          </w:p>
        </w:tc>
        <w:tc>
          <w:tcPr>
            <w:tcW w:w="494" w:type="pct"/>
          </w:tcPr>
          <w:p w14:paraId="72AB6F1C" w14:textId="77777777" w:rsidR="002E474C" w:rsidRDefault="00000000">
            <w:pPr>
              <w:pStyle w:val="A-"/>
            </w:pPr>
            <w:r>
              <w:t>泵类</w:t>
            </w:r>
          </w:p>
        </w:tc>
        <w:tc>
          <w:tcPr>
            <w:tcW w:w="440" w:type="pct"/>
          </w:tcPr>
          <w:p w14:paraId="35D284C7" w14:textId="77777777" w:rsidR="002E474C" w:rsidRDefault="00000000">
            <w:pPr>
              <w:pStyle w:val="A-"/>
            </w:pPr>
            <w:r>
              <w:t>90</w:t>
            </w:r>
          </w:p>
        </w:tc>
        <w:tc>
          <w:tcPr>
            <w:tcW w:w="589" w:type="pct"/>
            <w:shd w:val="clear" w:color="auto" w:fill="auto"/>
          </w:tcPr>
          <w:p w14:paraId="683C86A7" w14:textId="77777777" w:rsidR="002E474C" w:rsidRDefault="00000000">
            <w:pPr>
              <w:pStyle w:val="A-"/>
            </w:pPr>
            <w:r>
              <w:t>隔声、减振</w:t>
            </w:r>
          </w:p>
        </w:tc>
        <w:tc>
          <w:tcPr>
            <w:tcW w:w="333" w:type="pct"/>
            <w:shd w:val="clear" w:color="auto" w:fill="auto"/>
          </w:tcPr>
          <w:p w14:paraId="7506B5FE" w14:textId="77777777" w:rsidR="002E474C" w:rsidRDefault="00000000">
            <w:pPr>
              <w:pStyle w:val="A-"/>
            </w:pPr>
            <w:r>
              <w:t>-45.33</w:t>
            </w:r>
          </w:p>
        </w:tc>
        <w:tc>
          <w:tcPr>
            <w:tcW w:w="267" w:type="pct"/>
            <w:shd w:val="clear" w:color="auto" w:fill="auto"/>
          </w:tcPr>
          <w:p w14:paraId="1D80BEBF" w14:textId="77777777" w:rsidR="002E474C" w:rsidRDefault="00000000">
            <w:pPr>
              <w:pStyle w:val="A-"/>
            </w:pPr>
            <w:r>
              <w:t>58.91</w:t>
            </w:r>
          </w:p>
        </w:tc>
        <w:tc>
          <w:tcPr>
            <w:tcW w:w="241" w:type="pct"/>
            <w:shd w:val="clear" w:color="auto" w:fill="auto"/>
          </w:tcPr>
          <w:p w14:paraId="6F226765" w14:textId="77777777" w:rsidR="002E474C" w:rsidRDefault="00000000">
            <w:pPr>
              <w:pStyle w:val="A-"/>
            </w:pPr>
            <w:r>
              <w:t>1</w:t>
            </w:r>
          </w:p>
        </w:tc>
        <w:tc>
          <w:tcPr>
            <w:tcW w:w="291" w:type="pct"/>
            <w:shd w:val="clear" w:color="auto" w:fill="auto"/>
          </w:tcPr>
          <w:p w14:paraId="15E58EDF" w14:textId="77777777" w:rsidR="002E474C" w:rsidRDefault="00000000">
            <w:pPr>
              <w:pStyle w:val="A-"/>
            </w:pPr>
            <w:r>
              <w:t>1</w:t>
            </w:r>
          </w:p>
        </w:tc>
        <w:tc>
          <w:tcPr>
            <w:tcW w:w="391" w:type="pct"/>
            <w:shd w:val="clear" w:color="auto" w:fill="auto"/>
          </w:tcPr>
          <w:p w14:paraId="22A6BA2F" w14:textId="77777777" w:rsidR="002E474C" w:rsidRDefault="00000000">
            <w:pPr>
              <w:pStyle w:val="A-"/>
            </w:pPr>
            <w:r>
              <w:t>70</w:t>
            </w:r>
          </w:p>
        </w:tc>
        <w:tc>
          <w:tcPr>
            <w:tcW w:w="243" w:type="pct"/>
            <w:shd w:val="clear" w:color="auto" w:fill="auto"/>
          </w:tcPr>
          <w:p w14:paraId="71416740" w14:textId="77777777" w:rsidR="002E474C" w:rsidRDefault="00000000">
            <w:pPr>
              <w:pStyle w:val="A-"/>
            </w:pPr>
            <w:r>
              <w:t>昼夜</w:t>
            </w:r>
          </w:p>
        </w:tc>
        <w:tc>
          <w:tcPr>
            <w:tcW w:w="493" w:type="pct"/>
            <w:shd w:val="clear" w:color="auto" w:fill="auto"/>
          </w:tcPr>
          <w:p w14:paraId="7522FBB5" w14:textId="77777777" w:rsidR="002E474C" w:rsidRDefault="00000000">
            <w:pPr>
              <w:pStyle w:val="A-"/>
            </w:pPr>
            <w:r>
              <w:t>20</w:t>
            </w:r>
          </w:p>
        </w:tc>
        <w:tc>
          <w:tcPr>
            <w:tcW w:w="385" w:type="pct"/>
            <w:shd w:val="clear" w:color="auto" w:fill="auto"/>
          </w:tcPr>
          <w:p w14:paraId="5A1F3987" w14:textId="77777777" w:rsidR="002E474C" w:rsidRDefault="00000000">
            <w:pPr>
              <w:pStyle w:val="A-"/>
            </w:pPr>
            <w:r>
              <w:t>43</w:t>
            </w:r>
          </w:p>
        </w:tc>
        <w:tc>
          <w:tcPr>
            <w:tcW w:w="319" w:type="pct"/>
            <w:shd w:val="clear" w:color="auto" w:fill="auto"/>
          </w:tcPr>
          <w:p w14:paraId="7AEEC3BC" w14:textId="77777777" w:rsidR="002E474C" w:rsidRDefault="00000000">
            <w:pPr>
              <w:pStyle w:val="A-"/>
            </w:pPr>
            <w:r>
              <w:t>1</w:t>
            </w:r>
          </w:p>
        </w:tc>
      </w:tr>
      <w:tr w:rsidR="002E474C" w14:paraId="1D648C9B" w14:textId="77777777">
        <w:tc>
          <w:tcPr>
            <w:tcW w:w="177" w:type="pct"/>
          </w:tcPr>
          <w:p w14:paraId="5D6CFE49" w14:textId="77777777" w:rsidR="002E474C" w:rsidRDefault="002E474C">
            <w:pPr>
              <w:pStyle w:val="A-"/>
              <w:numPr>
                <w:ilvl w:val="0"/>
                <w:numId w:val="25"/>
              </w:numPr>
            </w:pPr>
          </w:p>
        </w:tc>
        <w:tc>
          <w:tcPr>
            <w:tcW w:w="337" w:type="pct"/>
            <w:vMerge/>
          </w:tcPr>
          <w:p w14:paraId="39640C63" w14:textId="77777777" w:rsidR="002E474C" w:rsidRDefault="002E474C">
            <w:pPr>
              <w:pStyle w:val="A-"/>
            </w:pPr>
          </w:p>
        </w:tc>
        <w:tc>
          <w:tcPr>
            <w:tcW w:w="494" w:type="pct"/>
          </w:tcPr>
          <w:p w14:paraId="4E3C11F3" w14:textId="77777777" w:rsidR="002E474C" w:rsidRDefault="00000000">
            <w:pPr>
              <w:pStyle w:val="A-"/>
            </w:pPr>
            <w:r>
              <w:t>泵类</w:t>
            </w:r>
          </w:p>
        </w:tc>
        <w:tc>
          <w:tcPr>
            <w:tcW w:w="440" w:type="pct"/>
          </w:tcPr>
          <w:p w14:paraId="718964E6" w14:textId="77777777" w:rsidR="002E474C" w:rsidRDefault="00000000">
            <w:pPr>
              <w:pStyle w:val="A-"/>
            </w:pPr>
            <w:r>
              <w:t>90</w:t>
            </w:r>
          </w:p>
        </w:tc>
        <w:tc>
          <w:tcPr>
            <w:tcW w:w="589" w:type="pct"/>
            <w:shd w:val="clear" w:color="auto" w:fill="auto"/>
          </w:tcPr>
          <w:p w14:paraId="3EF0D2A7" w14:textId="77777777" w:rsidR="002E474C" w:rsidRDefault="00000000">
            <w:pPr>
              <w:pStyle w:val="A-"/>
            </w:pPr>
            <w:r>
              <w:t>隔声、减振</w:t>
            </w:r>
          </w:p>
        </w:tc>
        <w:tc>
          <w:tcPr>
            <w:tcW w:w="333" w:type="pct"/>
            <w:shd w:val="clear" w:color="auto" w:fill="auto"/>
          </w:tcPr>
          <w:p w14:paraId="37CE1754" w14:textId="77777777" w:rsidR="002E474C" w:rsidRDefault="00000000">
            <w:pPr>
              <w:pStyle w:val="A-"/>
            </w:pPr>
            <w:r>
              <w:t>-44.33</w:t>
            </w:r>
          </w:p>
        </w:tc>
        <w:tc>
          <w:tcPr>
            <w:tcW w:w="267" w:type="pct"/>
            <w:shd w:val="clear" w:color="auto" w:fill="auto"/>
          </w:tcPr>
          <w:p w14:paraId="7861B001" w14:textId="77777777" w:rsidR="002E474C" w:rsidRDefault="00000000">
            <w:pPr>
              <w:pStyle w:val="A-"/>
            </w:pPr>
            <w:r>
              <w:t>57.91</w:t>
            </w:r>
          </w:p>
        </w:tc>
        <w:tc>
          <w:tcPr>
            <w:tcW w:w="241" w:type="pct"/>
            <w:shd w:val="clear" w:color="auto" w:fill="auto"/>
          </w:tcPr>
          <w:p w14:paraId="56AA02EF" w14:textId="77777777" w:rsidR="002E474C" w:rsidRDefault="00000000">
            <w:pPr>
              <w:pStyle w:val="A-"/>
            </w:pPr>
            <w:r>
              <w:t>1</w:t>
            </w:r>
          </w:p>
        </w:tc>
        <w:tc>
          <w:tcPr>
            <w:tcW w:w="291" w:type="pct"/>
            <w:shd w:val="clear" w:color="auto" w:fill="auto"/>
          </w:tcPr>
          <w:p w14:paraId="533F6C4E" w14:textId="77777777" w:rsidR="002E474C" w:rsidRDefault="00000000">
            <w:pPr>
              <w:pStyle w:val="A-"/>
            </w:pPr>
            <w:r>
              <w:t>1</w:t>
            </w:r>
          </w:p>
        </w:tc>
        <w:tc>
          <w:tcPr>
            <w:tcW w:w="391" w:type="pct"/>
            <w:shd w:val="clear" w:color="auto" w:fill="auto"/>
          </w:tcPr>
          <w:p w14:paraId="432AD23D" w14:textId="77777777" w:rsidR="002E474C" w:rsidRDefault="00000000">
            <w:pPr>
              <w:pStyle w:val="A-"/>
            </w:pPr>
            <w:r>
              <w:t>70</w:t>
            </w:r>
          </w:p>
        </w:tc>
        <w:tc>
          <w:tcPr>
            <w:tcW w:w="243" w:type="pct"/>
            <w:shd w:val="clear" w:color="auto" w:fill="auto"/>
          </w:tcPr>
          <w:p w14:paraId="5CD04932" w14:textId="77777777" w:rsidR="002E474C" w:rsidRDefault="00000000">
            <w:pPr>
              <w:pStyle w:val="A-"/>
            </w:pPr>
            <w:r>
              <w:t>昼夜</w:t>
            </w:r>
          </w:p>
        </w:tc>
        <w:tc>
          <w:tcPr>
            <w:tcW w:w="493" w:type="pct"/>
            <w:shd w:val="clear" w:color="auto" w:fill="auto"/>
          </w:tcPr>
          <w:p w14:paraId="3D94F79A" w14:textId="77777777" w:rsidR="002E474C" w:rsidRDefault="00000000">
            <w:pPr>
              <w:pStyle w:val="A-"/>
            </w:pPr>
            <w:r>
              <w:t>20</w:t>
            </w:r>
          </w:p>
        </w:tc>
        <w:tc>
          <w:tcPr>
            <w:tcW w:w="385" w:type="pct"/>
            <w:shd w:val="clear" w:color="auto" w:fill="auto"/>
          </w:tcPr>
          <w:p w14:paraId="16EBB321" w14:textId="77777777" w:rsidR="002E474C" w:rsidRDefault="00000000">
            <w:pPr>
              <w:pStyle w:val="A-"/>
            </w:pPr>
            <w:r>
              <w:t>43</w:t>
            </w:r>
          </w:p>
        </w:tc>
        <w:tc>
          <w:tcPr>
            <w:tcW w:w="319" w:type="pct"/>
            <w:shd w:val="clear" w:color="auto" w:fill="auto"/>
          </w:tcPr>
          <w:p w14:paraId="6B43A6D8" w14:textId="77777777" w:rsidR="002E474C" w:rsidRDefault="00000000">
            <w:pPr>
              <w:pStyle w:val="A-"/>
            </w:pPr>
            <w:r>
              <w:t>1</w:t>
            </w:r>
          </w:p>
        </w:tc>
      </w:tr>
      <w:tr w:rsidR="002E474C" w14:paraId="2AF12DD4" w14:textId="77777777">
        <w:tc>
          <w:tcPr>
            <w:tcW w:w="177" w:type="pct"/>
          </w:tcPr>
          <w:p w14:paraId="3572CB95" w14:textId="77777777" w:rsidR="002E474C" w:rsidRDefault="002E474C">
            <w:pPr>
              <w:pStyle w:val="A-"/>
              <w:numPr>
                <w:ilvl w:val="0"/>
                <w:numId w:val="25"/>
              </w:numPr>
            </w:pPr>
          </w:p>
        </w:tc>
        <w:tc>
          <w:tcPr>
            <w:tcW w:w="337" w:type="pct"/>
            <w:vMerge/>
          </w:tcPr>
          <w:p w14:paraId="0FF8F297" w14:textId="77777777" w:rsidR="002E474C" w:rsidRDefault="002E474C">
            <w:pPr>
              <w:pStyle w:val="A-"/>
            </w:pPr>
          </w:p>
        </w:tc>
        <w:tc>
          <w:tcPr>
            <w:tcW w:w="494" w:type="pct"/>
          </w:tcPr>
          <w:p w14:paraId="5C7F4E11" w14:textId="77777777" w:rsidR="002E474C" w:rsidRDefault="00000000">
            <w:pPr>
              <w:pStyle w:val="A-"/>
            </w:pPr>
            <w:r>
              <w:t>风机</w:t>
            </w:r>
          </w:p>
        </w:tc>
        <w:tc>
          <w:tcPr>
            <w:tcW w:w="440" w:type="pct"/>
          </w:tcPr>
          <w:p w14:paraId="1AE2B965" w14:textId="77777777" w:rsidR="002E474C" w:rsidRDefault="00000000">
            <w:pPr>
              <w:pStyle w:val="A-"/>
            </w:pPr>
            <w:r>
              <w:t>85</w:t>
            </w:r>
          </w:p>
        </w:tc>
        <w:tc>
          <w:tcPr>
            <w:tcW w:w="589" w:type="pct"/>
            <w:shd w:val="clear" w:color="auto" w:fill="auto"/>
          </w:tcPr>
          <w:p w14:paraId="06EF1BA8" w14:textId="77777777" w:rsidR="002E474C" w:rsidRDefault="00000000">
            <w:pPr>
              <w:pStyle w:val="A-"/>
            </w:pPr>
            <w:r>
              <w:t>消声、减振</w:t>
            </w:r>
          </w:p>
        </w:tc>
        <w:tc>
          <w:tcPr>
            <w:tcW w:w="333" w:type="pct"/>
            <w:shd w:val="clear" w:color="auto" w:fill="auto"/>
          </w:tcPr>
          <w:p w14:paraId="1E04A5D8" w14:textId="77777777" w:rsidR="002E474C" w:rsidRDefault="00000000">
            <w:pPr>
              <w:pStyle w:val="A-"/>
            </w:pPr>
            <w:r>
              <w:t>48.4</w:t>
            </w:r>
          </w:p>
        </w:tc>
        <w:tc>
          <w:tcPr>
            <w:tcW w:w="267" w:type="pct"/>
            <w:shd w:val="clear" w:color="auto" w:fill="auto"/>
          </w:tcPr>
          <w:p w14:paraId="335B1095" w14:textId="77777777" w:rsidR="002E474C" w:rsidRDefault="00000000">
            <w:pPr>
              <w:pStyle w:val="A-"/>
            </w:pPr>
            <w:r>
              <w:t>90.01</w:t>
            </w:r>
          </w:p>
        </w:tc>
        <w:tc>
          <w:tcPr>
            <w:tcW w:w="241" w:type="pct"/>
            <w:shd w:val="clear" w:color="auto" w:fill="auto"/>
          </w:tcPr>
          <w:p w14:paraId="4797F80C" w14:textId="77777777" w:rsidR="002E474C" w:rsidRDefault="00000000">
            <w:pPr>
              <w:pStyle w:val="A-"/>
            </w:pPr>
            <w:r>
              <w:t>3</w:t>
            </w:r>
          </w:p>
        </w:tc>
        <w:tc>
          <w:tcPr>
            <w:tcW w:w="291" w:type="pct"/>
            <w:shd w:val="clear" w:color="auto" w:fill="auto"/>
          </w:tcPr>
          <w:p w14:paraId="2C13CEFC" w14:textId="77777777" w:rsidR="002E474C" w:rsidRDefault="00000000">
            <w:pPr>
              <w:pStyle w:val="A-"/>
            </w:pPr>
            <w:r>
              <w:t>/</w:t>
            </w:r>
          </w:p>
        </w:tc>
        <w:tc>
          <w:tcPr>
            <w:tcW w:w="391" w:type="pct"/>
            <w:shd w:val="clear" w:color="auto" w:fill="auto"/>
          </w:tcPr>
          <w:p w14:paraId="0EF85F3C" w14:textId="77777777" w:rsidR="002E474C" w:rsidRDefault="00000000">
            <w:pPr>
              <w:pStyle w:val="A-"/>
            </w:pPr>
            <w:r>
              <w:t>/</w:t>
            </w:r>
          </w:p>
        </w:tc>
        <w:tc>
          <w:tcPr>
            <w:tcW w:w="243" w:type="pct"/>
            <w:shd w:val="clear" w:color="auto" w:fill="auto"/>
          </w:tcPr>
          <w:p w14:paraId="696A316C" w14:textId="77777777" w:rsidR="002E474C" w:rsidRDefault="00000000">
            <w:pPr>
              <w:pStyle w:val="A-"/>
            </w:pPr>
            <w:r>
              <w:t>昼夜</w:t>
            </w:r>
          </w:p>
        </w:tc>
        <w:tc>
          <w:tcPr>
            <w:tcW w:w="493" w:type="pct"/>
            <w:shd w:val="clear" w:color="auto" w:fill="auto"/>
            <w:vAlign w:val="top"/>
          </w:tcPr>
          <w:p w14:paraId="29F6F805" w14:textId="77777777" w:rsidR="002E474C" w:rsidRDefault="00000000">
            <w:pPr>
              <w:pStyle w:val="A-"/>
            </w:pPr>
            <w:r>
              <w:t>/</w:t>
            </w:r>
          </w:p>
        </w:tc>
        <w:tc>
          <w:tcPr>
            <w:tcW w:w="385" w:type="pct"/>
            <w:shd w:val="clear" w:color="auto" w:fill="auto"/>
            <w:vAlign w:val="top"/>
          </w:tcPr>
          <w:p w14:paraId="02958DFE" w14:textId="77777777" w:rsidR="002E474C" w:rsidRDefault="00000000">
            <w:pPr>
              <w:pStyle w:val="A-"/>
            </w:pPr>
            <w:r>
              <w:t>/</w:t>
            </w:r>
          </w:p>
        </w:tc>
        <w:tc>
          <w:tcPr>
            <w:tcW w:w="319" w:type="pct"/>
            <w:shd w:val="clear" w:color="auto" w:fill="auto"/>
            <w:vAlign w:val="top"/>
          </w:tcPr>
          <w:p w14:paraId="3E750943" w14:textId="77777777" w:rsidR="002E474C" w:rsidRDefault="00000000">
            <w:pPr>
              <w:pStyle w:val="A-"/>
            </w:pPr>
            <w:r>
              <w:t>/</w:t>
            </w:r>
          </w:p>
        </w:tc>
      </w:tr>
    </w:tbl>
    <w:p w14:paraId="0177EA5F"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7066F582" w14:textId="77777777" w:rsidR="002E474C" w:rsidRDefault="00000000">
      <w:pPr>
        <w:pStyle w:val="A-z"/>
        <w:rPr>
          <w:color w:val="auto"/>
        </w:rPr>
      </w:pPr>
      <w:r>
        <w:rPr>
          <w:color w:val="auto"/>
        </w:rPr>
        <w:lastRenderedPageBreak/>
        <w:t>（</w:t>
      </w:r>
      <w:r>
        <w:rPr>
          <w:color w:val="auto"/>
        </w:rPr>
        <w:t>2</w:t>
      </w:r>
      <w:r>
        <w:rPr>
          <w:color w:val="auto"/>
        </w:rPr>
        <w:t>）基础数据</w:t>
      </w:r>
    </w:p>
    <w:p w14:paraId="38E56281" w14:textId="77777777" w:rsidR="002E474C" w:rsidRDefault="00000000">
      <w:pPr>
        <w:pStyle w:val="A-z"/>
        <w:rPr>
          <w:color w:val="auto"/>
        </w:rPr>
      </w:pPr>
      <w:r>
        <w:rPr>
          <w:color w:val="auto"/>
        </w:rPr>
        <w:t>项目噪声环境影响预测基础数据见表</w:t>
      </w:r>
      <w:r>
        <w:rPr>
          <w:color w:val="auto"/>
        </w:rPr>
        <w:t>5.4</w:t>
      </w:r>
      <w:r>
        <w:rPr>
          <w:color w:val="auto"/>
        </w:rPr>
        <w:noBreakHyphen/>
        <w:t>2</w:t>
      </w:r>
      <w:r>
        <w:rPr>
          <w:color w:val="auto"/>
        </w:rPr>
        <w:t>。</w:t>
      </w:r>
    </w:p>
    <w:p w14:paraId="5300D1FE" w14:textId="77777777" w:rsidR="002E474C" w:rsidRDefault="00000000">
      <w:pPr>
        <w:pStyle w:val="A--"/>
        <w:rPr>
          <w:color w:val="auto"/>
        </w:rPr>
      </w:pPr>
      <w:bookmarkStart w:id="298" w:name="_Ref107915810"/>
      <w:r>
        <w:rPr>
          <w:color w:val="auto"/>
        </w:rPr>
        <w:t>表</w:t>
      </w:r>
      <w:r>
        <w:rPr>
          <w:color w:val="auto"/>
        </w:rPr>
        <w:t>5.4</w:t>
      </w:r>
      <w:r>
        <w:rPr>
          <w:color w:val="auto"/>
        </w:rPr>
        <w:noBreakHyphen/>
        <w:t>2</w:t>
      </w:r>
      <w:bookmarkEnd w:id="298"/>
      <w:r>
        <w:rPr>
          <w:color w:val="auto"/>
        </w:rPr>
        <w:t xml:space="preserve">  </w:t>
      </w:r>
      <w:r>
        <w:rPr>
          <w:color w:val="auto"/>
        </w:rPr>
        <w:t>项目噪声环境影响预测基础数据表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2718"/>
        <w:gridCol w:w="2074"/>
        <w:gridCol w:w="2074"/>
      </w:tblGrid>
      <w:tr w:rsidR="002E474C" w14:paraId="785A5C0A" w14:textId="77777777">
        <w:tc>
          <w:tcPr>
            <w:tcW w:w="861" w:type="pct"/>
          </w:tcPr>
          <w:p w14:paraId="6184E306" w14:textId="77777777" w:rsidR="002E474C" w:rsidRDefault="00000000">
            <w:pPr>
              <w:pStyle w:val="A-"/>
            </w:pPr>
            <w:r>
              <w:t>序号</w:t>
            </w:r>
          </w:p>
        </w:tc>
        <w:tc>
          <w:tcPr>
            <w:tcW w:w="1638" w:type="pct"/>
          </w:tcPr>
          <w:p w14:paraId="420650A5" w14:textId="77777777" w:rsidR="002E474C" w:rsidRDefault="00000000">
            <w:pPr>
              <w:pStyle w:val="A-"/>
            </w:pPr>
            <w:r>
              <w:t>名称</w:t>
            </w:r>
          </w:p>
        </w:tc>
        <w:tc>
          <w:tcPr>
            <w:tcW w:w="1250" w:type="pct"/>
          </w:tcPr>
          <w:p w14:paraId="0750A043" w14:textId="77777777" w:rsidR="002E474C" w:rsidRDefault="00000000">
            <w:pPr>
              <w:pStyle w:val="A-"/>
            </w:pPr>
            <w:r>
              <w:t>单位</w:t>
            </w:r>
          </w:p>
        </w:tc>
        <w:tc>
          <w:tcPr>
            <w:tcW w:w="1250" w:type="pct"/>
          </w:tcPr>
          <w:p w14:paraId="3B20E768" w14:textId="77777777" w:rsidR="002E474C" w:rsidRDefault="00000000">
            <w:pPr>
              <w:pStyle w:val="A-"/>
            </w:pPr>
            <w:r>
              <w:t>数据</w:t>
            </w:r>
          </w:p>
        </w:tc>
      </w:tr>
      <w:tr w:rsidR="002E474C" w14:paraId="7D83E5A0" w14:textId="77777777">
        <w:tc>
          <w:tcPr>
            <w:tcW w:w="861" w:type="pct"/>
          </w:tcPr>
          <w:p w14:paraId="3D89F4FA" w14:textId="77777777" w:rsidR="002E474C" w:rsidRDefault="00000000">
            <w:pPr>
              <w:pStyle w:val="A-"/>
            </w:pPr>
            <w:r>
              <w:t>1</w:t>
            </w:r>
          </w:p>
        </w:tc>
        <w:tc>
          <w:tcPr>
            <w:tcW w:w="1638" w:type="pct"/>
          </w:tcPr>
          <w:p w14:paraId="7087F2B5" w14:textId="77777777" w:rsidR="002E474C" w:rsidRDefault="00000000">
            <w:pPr>
              <w:pStyle w:val="A-"/>
            </w:pPr>
            <w:r>
              <w:t>年平均风速</w:t>
            </w:r>
          </w:p>
        </w:tc>
        <w:tc>
          <w:tcPr>
            <w:tcW w:w="1250" w:type="pct"/>
          </w:tcPr>
          <w:p w14:paraId="2A770C6E" w14:textId="77777777" w:rsidR="002E474C" w:rsidRDefault="00000000">
            <w:pPr>
              <w:pStyle w:val="A-"/>
            </w:pPr>
            <w:r>
              <w:t>m/s</w:t>
            </w:r>
          </w:p>
        </w:tc>
        <w:tc>
          <w:tcPr>
            <w:tcW w:w="1250" w:type="pct"/>
          </w:tcPr>
          <w:p w14:paraId="3424A969" w14:textId="77777777" w:rsidR="002E474C" w:rsidRDefault="00000000">
            <w:pPr>
              <w:pStyle w:val="A-"/>
            </w:pPr>
            <w:r>
              <w:rPr>
                <w:rFonts w:hint="eastAsia"/>
              </w:rPr>
              <w:t>1.6</w:t>
            </w:r>
          </w:p>
        </w:tc>
      </w:tr>
      <w:tr w:rsidR="002E474C" w14:paraId="7998342A" w14:textId="77777777">
        <w:tc>
          <w:tcPr>
            <w:tcW w:w="861" w:type="pct"/>
          </w:tcPr>
          <w:p w14:paraId="480D2C14" w14:textId="77777777" w:rsidR="002E474C" w:rsidRDefault="00000000">
            <w:pPr>
              <w:pStyle w:val="A-"/>
            </w:pPr>
            <w:r>
              <w:t>2</w:t>
            </w:r>
          </w:p>
        </w:tc>
        <w:tc>
          <w:tcPr>
            <w:tcW w:w="1638" w:type="pct"/>
          </w:tcPr>
          <w:p w14:paraId="3C60C5F8" w14:textId="77777777" w:rsidR="002E474C" w:rsidRDefault="00000000">
            <w:pPr>
              <w:pStyle w:val="A-"/>
            </w:pPr>
            <w:r>
              <w:t>主导风向</w:t>
            </w:r>
          </w:p>
        </w:tc>
        <w:tc>
          <w:tcPr>
            <w:tcW w:w="1250" w:type="pct"/>
          </w:tcPr>
          <w:p w14:paraId="6797989A" w14:textId="77777777" w:rsidR="002E474C" w:rsidRDefault="00000000">
            <w:pPr>
              <w:pStyle w:val="A-"/>
            </w:pPr>
            <w:r>
              <w:t>/</w:t>
            </w:r>
          </w:p>
        </w:tc>
        <w:tc>
          <w:tcPr>
            <w:tcW w:w="1250" w:type="pct"/>
          </w:tcPr>
          <w:p w14:paraId="3DC64029" w14:textId="77777777" w:rsidR="002E474C" w:rsidRDefault="00000000">
            <w:pPr>
              <w:pStyle w:val="A-"/>
            </w:pPr>
            <w:r>
              <w:t>西</w:t>
            </w:r>
          </w:p>
        </w:tc>
      </w:tr>
      <w:tr w:rsidR="002E474C" w14:paraId="40218F72" w14:textId="77777777">
        <w:tc>
          <w:tcPr>
            <w:tcW w:w="861" w:type="pct"/>
          </w:tcPr>
          <w:p w14:paraId="5F163634" w14:textId="77777777" w:rsidR="002E474C" w:rsidRDefault="00000000">
            <w:pPr>
              <w:pStyle w:val="A-"/>
            </w:pPr>
            <w:r>
              <w:t>3</w:t>
            </w:r>
          </w:p>
        </w:tc>
        <w:tc>
          <w:tcPr>
            <w:tcW w:w="1638" w:type="pct"/>
          </w:tcPr>
          <w:p w14:paraId="722A47F9" w14:textId="77777777" w:rsidR="002E474C" w:rsidRDefault="00000000">
            <w:pPr>
              <w:pStyle w:val="A-"/>
            </w:pPr>
            <w:r>
              <w:t>年平均气温</w:t>
            </w:r>
          </w:p>
        </w:tc>
        <w:tc>
          <w:tcPr>
            <w:tcW w:w="1250" w:type="pct"/>
          </w:tcPr>
          <w:p w14:paraId="5B18088D" w14:textId="77777777" w:rsidR="002E474C" w:rsidRDefault="00000000">
            <w:pPr>
              <w:pStyle w:val="A-"/>
            </w:pPr>
            <w:r>
              <w:t>℃</w:t>
            </w:r>
          </w:p>
        </w:tc>
        <w:tc>
          <w:tcPr>
            <w:tcW w:w="1250" w:type="pct"/>
          </w:tcPr>
          <w:p w14:paraId="440CF50B" w14:textId="77777777" w:rsidR="002E474C" w:rsidRDefault="00000000">
            <w:pPr>
              <w:pStyle w:val="A-"/>
            </w:pPr>
            <w:r>
              <w:rPr>
                <w:rFonts w:hint="eastAsia"/>
              </w:rPr>
              <w:t>16.47</w:t>
            </w:r>
          </w:p>
        </w:tc>
      </w:tr>
      <w:tr w:rsidR="002E474C" w14:paraId="64565A07" w14:textId="77777777">
        <w:trPr>
          <w:trHeight w:val="247"/>
        </w:trPr>
        <w:tc>
          <w:tcPr>
            <w:tcW w:w="861" w:type="pct"/>
          </w:tcPr>
          <w:p w14:paraId="6288EA32" w14:textId="77777777" w:rsidR="002E474C" w:rsidRDefault="00000000">
            <w:pPr>
              <w:pStyle w:val="A-"/>
            </w:pPr>
            <w:r>
              <w:t>4</w:t>
            </w:r>
          </w:p>
        </w:tc>
        <w:tc>
          <w:tcPr>
            <w:tcW w:w="1638" w:type="pct"/>
          </w:tcPr>
          <w:p w14:paraId="398D5B94" w14:textId="77777777" w:rsidR="002E474C" w:rsidRDefault="00000000">
            <w:pPr>
              <w:pStyle w:val="A-"/>
            </w:pPr>
            <w:r>
              <w:t>年平均相对湿度</w:t>
            </w:r>
          </w:p>
        </w:tc>
        <w:tc>
          <w:tcPr>
            <w:tcW w:w="1250" w:type="pct"/>
          </w:tcPr>
          <w:p w14:paraId="7EFF0751" w14:textId="77777777" w:rsidR="002E474C" w:rsidRDefault="00000000">
            <w:pPr>
              <w:pStyle w:val="A-"/>
            </w:pPr>
            <w:r>
              <w:t>%</w:t>
            </w:r>
          </w:p>
        </w:tc>
        <w:tc>
          <w:tcPr>
            <w:tcW w:w="1250" w:type="pct"/>
          </w:tcPr>
          <w:p w14:paraId="18C8A45E" w14:textId="77777777" w:rsidR="002E474C" w:rsidRDefault="00000000">
            <w:pPr>
              <w:pStyle w:val="A-"/>
            </w:pPr>
            <w:r>
              <w:rPr>
                <w:rFonts w:hint="eastAsia"/>
              </w:rPr>
              <w:t>32.7</w:t>
            </w:r>
          </w:p>
        </w:tc>
      </w:tr>
      <w:tr w:rsidR="002E474C" w14:paraId="5DA5969E" w14:textId="77777777">
        <w:tc>
          <w:tcPr>
            <w:tcW w:w="861" w:type="pct"/>
          </w:tcPr>
          <w:p w14:paraId="5FC89B01" w14:textId="77777777" w:rsidR="002E474C" w:rsidRDefault="00000000">
            <w:pPr>
              <w:pStyle w:val="A-"/>
            </w:pPr>
            <w:r>
              <w:t>5</w:t>
            </w:r>
          </w:p>
        </w:tc>
        <w:tc>
          <w:tcPr>
            <w:tcW w:w="1638" w:type="pct"/>
          </w:tcPr>
          <w:p w14:paraId="2DEF54C0" w14:textId="77777777" w:rsidR="002E474C" w:rsidRDefault="00000000">
            <w:pPr>
              <w:pStyle w:val="A-"/>
            </w:pPr>
            <w:r>
              <w:t>大气压强</w:t>
            </w:r>
          </w:p>
        </w:tc>
        <w:tc>
          <w:tcPr>
            <w:tcW w:w="1250" w:type="pct"/>
          </w:tcPr>
          <w:p w14:paraId="519305FE" w14:textId="77777777" w:rsidR="002E474C" w:rsidRDefault="00000000">
            <w:pPr>
              <w:pStyle w:val="A-"/>
            </w:pPr>
            <w:r>
              <w:t>atm</w:t>
            </w:r>
          </w:p>
        </w:tc>
        <w:tc>
          <w:tcPr>
            <w:tcW w:w="1250" w:type="pct"/>
          </w:tcPr>
          <w:p w14:paraId="1059BC9D" w14:textId="77777777" w:rsidR="002E474C" w:rsidRDefault="00000000">
            <w:pPr>
              <w:pStyle w:val="A-"/>
            </w:pPr>
            <w:r>
              <w:t>1</w:t>
            </w:r>
          </w:p>
        </w:tc>
      </w:tr>
    </w:tbl>
    <w:p w14:paraId="34902575" w14:textId="77777777" w:rsidR="002E474C" w:rsidRDefault="002E474C">
      <w:pPr>
        <w:pStyle w:val="w3"/>
      </w:pPr>
    </w:p>
    <w:p w14:paraId="18F9CF39" w14:textId="77777777" w:rsidR="002E474C" w:rsidRDefault="00000000">
      <w:pPr>
        <w:pStyle w:val="A-z"/>
        <w:rPr>
          <w:color w:val="auto"/>
        </w:rPr>
      </w:pPr>
      <w:r>
        <w:rPr>
          <w:color w:val="auto"/>
        </w:rPr>
        <w:t>（</w:t>
      </w:r>
      <w:r>
        <w:rPr>
          <w:color w:val="auto"/>
        </w:rPr>
        <w:t>3</w:t>
      </w:r>
      <w:r>
        <w:rPr>
          <w:color w:val="auto"/>
        </w:rPr>
        <w:t>）预测范围及内容</w:t>
      </w:r>
    </w:p>
    <w:p w14:paraId="428F8FC1" w14:textId="77777777" w:rsidR="002E474C" w:rsidRDefault="00000000">
      <w:pPr>
        <w:pStyle w:val="A-z"/>
        <w:rPr>
          <w:color w:val="auto"/>
        </w:rPr>
      </w:pPr>
      <w:r>
        <w:rPr>
          <w:color w:val="auto"/>
        </w:rPr>
        <w:t>1</w:t>
      </w:r>
      <w:r>
        <w:rPr>
          <w:color w:val="auto"/>
        </w:rPr>
        <w:t>）本项目厂界</w:t>
      </w:r>
      <w:r>
        <w:rPr>
          <w:color w:val="auto"/>
        </w:rPr>
        <w:t>200m</w:t>
      </w:r>
      <w:r>
        <w:rPr>
          <w:color w:val="auto"/>
        </w:rPr>
        <w:t>范围内无声环境保护目标，预测范围为项目厂界外</w:t>
      </w:r>
      <w:r>
        <w:rPr>
          <w:color w:val="auto"/>
        </w:rPr>
        <w:t>200m</w:t>
      </w:r>
      <w:r>
        <w:rPr>
          <w:color w:val="auto"/>
        </w:rPr>
        <w:t>范围</w:t>
      </w:r>
      <w:r>
        <w:rPr>
          <w:rFonts w:hint="eastAsia"/>
          <w:color w:val="auto"/>
        </w:rPr>
        <w:t>内</w:t>
      </w:r>
      <w:r>
        <w:rPr>
          <w:color w:val="auto"/>
        </w:rPr>
        <w:t>。</w:t>
      </w:r>
    </w:p>
    <w:p w14:paraId="188AB4FC" w14:textId="77777777" w:rsidR="002E474C" w:rsidRDefault="00000000">
      <w:pPr>
        <w:pStyle w:val="A-z"/>
        <w:rPr>
          <w:color w:val="auto"/>
        </w:rPr>
      </w:pPr>
      <w:r>
        <w:rPr>
          <w:color w:val="auto"/>
        </w:rPr>
        <w:t>2</w:t>
      </w:r>
      <w:r>
        <w:rPr>
          <w:color w:val="auto"/>
        </w:rPr>
        <w:t>）预测项目运行后，厂区内主要声源对厂区东、南、西、北厂界的噪声贡献值，评价项目厂界昼间、夜间噪声的达标情况。</w:t>
      </w:r>
    </w:p>
    <w:p w14:paraId="1C4DE12B" w14:textId="77777777" w:rsidR="002E474C" w:rsidRDefault="00000000">
      <w:pPr>
        <w:pStyle w:val="A-z"/>
        <w:rPr>
          <w:color w:val="auto"/>
        </w:rPr>
      </w:pPr>
      <w:r>
        <w:rPr>
          <w:color w:val="auto"/>
        </w:rPr>
        <w:t>（</w:t>
      </w:r>
      <w:r>
        <w:rPr>
          <w:color w:val="auto"/>
        </w:rPr>
        <w:t>4</w:t>
      </w:r>
      <w:r>
        <w:rPr>
          <w:color w:val="auto"/>
        </w:rPr>
        <w:t>）评价标准</w:t>
      </w:r>
    </w:p>
    <w:p w14:paraId="72C3FC3E" w14:textId="77777777" w:rsidR="002E474C" w:rsidRDefault="00000000">
      <w:pPr>
        <w:pStyle w:val="A-z"/>
        <w:rPr>
          <w:color w:val="auto"/>
        </w:rPr>
      </w:pPr>
      <w:r>
        <w:rPr>
          <w:color w:val="auto"/>
        </w:rPr>
        <w:t>本项目所在区域声功能区划属于《声环境质量标准》（</w:t>
      </w:r>
      <w:r>
        <w:rPr>
          <w:color w:val="auto"/>
        </w:rPr>
        <w:t>GB3096-2008</w:t>
      </w:r>
      <w:r>
        <w:rPr>
          <w:color w:val="auto"/>
        </w:rPr>
        <w:t>）的</w:t>
      </w:r>
      <w:r>
        <w:rPr>
          <w:color w:val="auto"/>
        </w:rPr>
        <w:t>“3</w:t>
      </w:r>
      <w:r>
        <w:rPr>
          <w:color w:val="auto"/>
        </w:rPr>
        <w:t>类区</w:t>
      </w:r>
      <w:r>
        <w:rPr>
          <w:color w:val="auto"/>
        </w:rPr>
        <w:t>”</w:t>
      </w:r>
      <w:r>
        <w:rPr>
          <w:color w:val="auto"/>
        </w:rPr>
        <w:t>，厂界各侧噪声排放标准应执行《工业企业厂界环境噪声排放标准》（</w:t>
      </w:r>
      <w:r>
        <w:rPr>
          <w:color w:val="auto"/>
        </w:rPr>
        <w:t>GB12348-2008</w:t>
      </w:r>
      <w:r>
        <w:rPr>
          <w:color w:val="auto"/>
        </w:rPr>
        <w:t>）中的</w:t>
      </w:r>
      <w:r>
        <w:rPr>
          <w:color w:val="auto"/>
        </w:rPr>
        <w:t>3</w:t>
      </w:r>
      <w:r>
        <w:rPr>
          <w:color w:val="auto"/>
        </w:rPr>
        <w:t>类标准限值的要求，即昼间</w:t>
      </w:r>
      <w:r>
        <w:rPr>
          <w:color w:val="auto"/>
        </w:rPr>
        <w:t>65dB</w:t>
      </w:r>
      <w:r>
        <w:rPr>
          <w:color w:val="auto"/>
        </w:rPr>
        <w:t>（</w:t>
      </w:r>
      <w:r>
        <w:rPr>
          <w:color w:val="auto"/>
        </w:rPr>
        <w:t>A</w:t>
      </w:r>
      <w:r>
        <w:rPr>
          <w:color w:val="auto"/>
        </w:rPr>
        <w:t>），夜间</w:t>
      </w:r>
      <w:r>
        <w:rPr>
          <w:color w:val="auto"/>
        </w:rPr>
        <w:t>55dB</w:t>
      </w:r>
      <w:r>
        <w:rPr>
          <w:color w:val="auto"/>
        </w:rPr>
        <w:t>（</w:t>
      </w:r>
      <w:r>
        <w:rPr>
          <w:color w:val="auto"/>
        </w:rPr>
        <w:t>A</w:t>
      </w:r>
      <w:r>
        <w:rPr>
          <w:color w:val="auto"/>
        </w:rPr>
        <w:t>）。</w:t>
      </w:r>
    </w:p>
    <w:p w14:paraId="63B0DD9E" w14:textId="77777777" w:rsidR="002E474C" w:rsidRDefault="00000000">
      <w:pPr>
        <w:pStyle w:val="31"/>
        <w:spacing w:before="120" w:after="120"/>
        <w:rPr>
          <w:color w:val="auto"/>
        </w:rPr>
      </w:pPr>
      <w:r>
        <w:rPr>
          <w:color w:val="auto"/>
        </w:rPr>
        <w:t>预测结果</w:t>
      </w:r>
    </w:p>
    <w:p w14:paraId="1332E36C" w14:textId="77777777" w:rsidR="002E474C" w:rsidRDefault="00000000">
      <w:pPr>
        <w:pStyle w:val="A-z"/>
        <w:rPr>
          <w:color w:val="auto"/>
        </w:rPr>
      </w:pPr>
      <w:r>
        <w:rPr>
          <w:color w:val="auto"/>
        </w:rPr>
        <w:t>通过预测模型计算，项目厂界噪声预测结果与达标分析见表</w:t>
      </w:r>
      <w:r>
        <w:rPr>
          <w:color w:val="auto"/>
        </w:rPr>
        <w:t>5.4</w:t>
      </w:r>
      <w:r>
        <w:rPr>
          <w:color w:val="auto"/>
        </w:rPr>
        <w:noBreakHyphen/>
        <w:t>3</w:t>
      </w:r>
      <w:r>
        <w:rPr>
          <w:color w:val="auto"/>
        </w:rPr>
        <w:t>。</w:t>
      </w:r>
    </w:p>
    <w:p w14:paraId="224B64BA" w14:textId="77777777" w:rsidR="002E474C" w:rsidRDefault="00000000">
      <w:pPr>
        <w:pStyle w:val="A--"/>
        <w:rPr>
          <w:color w:val="auto"/>
        </w:rPr>
      </w:pPr>
      <w:bookmarkStart w:id="299" w:name="_Ref13406352"/>
      <w:r>
        <w:rPr>
          <w:color w:val="auto"/>
        </w:rPr>
        <w:t>表</w:t>
      </w:r>
      <w:r>
        <w:rPr>
          <w:color w:val="auto"/>
        </w:rPr>
        <w:t>5.4</w:t>
      </w:r>
      <w:r>
        <w:rPr>
          <w:color w:val="auto"/>
        </w:rPr>
        <w:noBreakHyphen/>
        <w:t>3</w:t>
      </w:r>
      <w:bookmarkEnd w:id="299"/>
      <w:r>
        <w:rPr>
          <w:color w:val="auto"/>
        </w:rPr>
        <w:t xml:space="preserve">  </w:t>
      </w:r>
      <w:r>
        <w:rPr>
          <w:color w:val="auto"/>
        </w:rPr>
        <w:t>厂界噪声预测结果与达标分析表</w:t>
      </w:r>
    </w:p>
    <w:tbl>
      <w:tblPr>
        <w:tblStyle w:val="affffffff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51"/>
        <w:gridCol w:w="1278"/>
        <w:gridCol w:w="1279"/>
        <w:gridCol w:w="1271"/>
        <w:gridCol w:w="1419"/>
        <w:gridCol w:w="1070"/>
      </w:tblGrid>
      <w:tr w:rsidR="002E474C" w14:paraId="6AB59C6D" w14:textId="77777777">
        <w:trPr>
          <w:tblHeader/>
        </w:trPr>
        <w:tc>
          <w:tcPr>
            <w:tcW w:w="680" w:type="pct"/>
          </w:tcPr>
          <w:p w14:paraId="4163F9C7" w14:textId="77777777" w:rsidR="002E474C" w:rsidRDefault="00000000">
            <w:pPr>
              <w:pStyle w:val="A-"/>
            </w:pPr>
            <w:r>
              <w:t>预测方位</w:t>
            </w:r>
          </w:p>
        </w:tc>
        <w:tc>
          <w:tcPr>
            <w:tcW w:w="513" w:type="pct"/>
          </w:tcPr>
          <w:p w14:paraId="337228B3" w14:textId="77777777" w:rsidR="002E474C" w:rsidRDefault="00000000">
            <w:pPr>
              <w:pStyle w:val="A-"/>
            </w:pPr>
            <w:r>
              <w:t>时段</w:t>
            </w:r>
          </w:p>
        </w:tc>
        <w:tc>
          <w:tcPr>
            <w:tcW w:w="770" w:type="pct"/>
          </w:tcPr>
          <w:p w14:paraId="3D9039F6" w14:textId="77777777" w:rsidR="002E474C" w:rsidRDefault="00000000">
            <w:pPr>
              <w:pStyle w:val="A-"/>
            </w:pPr>
            <w:r>
              <w:t>现状值〔</w:t>
            </w:r>
            <w:r>
              <w:t>dB(A)</w:t>
            </w:r>
            <w:r>
              <w:t>〕</w:t>
            </w:r>
          </w:p>
        </w:tc>
        <w:tc>
          <w:tcPr>
            <w:tcW w:w="771" w:type="pct"/>
          </w:tcPr>
          <w:p w14:paraId="610C7186" w14:textId="77777777" w:rsidR="002E474C" w:rsidRDefault="00000000">
            <w:pPr>
              <w:pStyle w:val="A-"/>
            </w:pPr>
            <w:r>
              <w:t>贡献值〔</w:t>
            </w:r>
            <w:r>
              <w:t>dB(A)</w:t>
            </w:r>
            <w:r>
              <w:t>〕</w:t>
            </w:r>
          </w:p>
        </w:tc>
        <w:tc>
          <w:tcPr>
            <w:tcW w:w="766" w:type="pct"/>
          </w:tcPr>
          <w:p w14:paraId="356C15BF" w14:textId="77777777" w:rsidR="002E474C" w:rsidRDefault="00000000">
            <w:pPr>
              <w:pStyle w:val="A-"/>
            </w:pPr>
            <w:r>
              <w:t>预测值〔</w:t>
            </w:r>
            <w:r>
              <w:t>dB(A)</w:t>
            </w:r>
            <w:r>
              <w:t>〕</w:t>
            </w:r>
          </w:p>
        </w:tc>
        <w:tc>
          <w:tcPr>
            <w:tcW w:w="855" w:type="pct"/>
          </w:tcPr>
          <w:p w14:paraId="0E8B01BA" w14:textId="77777777" w:rsidR="002E474C" w:rsidRDefault="00000000">
            <w:pPr>
              <w:pStyle w:val="A-"/>
            </w:pPr>
            <w:r>
              <w:t>标准限值〔</w:t>
            </w:r>
            <w:r>
              <w:t>dB(A)</w:t>
            </w:r>
            <w:r>
              <w:t>〕</w:t>
            </w:r>
          </w:p>
        </w:tc>
        <w:tc>
          <w:tcPr>
            <w:tcW w:w="645" w:type="pct"/>
          </w:tcPr>
          <w:p w14:paraId="4ABDB42A" w14:textId="77777777" w:rsidR="002E474C" w:rsidRDefault="00000000">
            <w:pPr>
              <w:pStyle w:val="A-"/>
            </w:pPr>
            <w:r>
              <w:t>达标情况</w:t>
            </w:r>
          </w:p>
        </w:tc>
      </w:tr>
      <w:tr w:rsidR="002E474C" w14:paraId="6BC69A6D" w14:textId="77777777">
        <w:tc>
          <w:tcPr>
            <w:tcW w:w="680" w:type="pct"/>
            <w:vMerge w:val="restart"/>
          </w:tcPr>
          <w:p w14:paraId="543EF463" w14:textId="77777777" w:rsidR="002E474C" w:rsidRDefault="00000000">
            <w:pPr>
              <w:pStyle w:val="A-"/>
            </w:pPr>
            <w:r>
              <w:t>东厂界</w:t>
            </w:r>
          </w:p>
        </w:tc>
        <w:tc>
          <w:tcPr>
            <w:tcW w:w="513" w:type="pct"/>
          </w:tcPr>
          <w:p w14:paraId="0E325E4C" w14:textId="77777777" w:rsidR="002E474C" w:rsidRDefault="00000000">
            <w:pPr>
              <w:pStyle w:val="A-"/>
            </w:pPr>
            <w:r>
              <w:t>昼间</w:t>
            </w:r>
          </w:p>
        </w:tc>
        <w:tc>
          <w:tcPr>
            <w:tcW w:w="770" w:type="pct"/>
          </w:tcPr>
          <w:p w14:paraId="3D584567" w14:textId="77777777" w:rsidR="002E474C" w:rsidRDefault="00000000">
            <w:pPr>
              <w:pStyle w:val="A-"/>
            </w:pPr>
            <w:r>
              <w:t>61</w:t>
            </w:r>
          </w:p>
        </w:tc>
        <w:tc>
          <w:tcPr>
            <w:tcW w:w="771" w:type="pct"/>
          </w:tcPr>
          <w:p w14:paraId="7E6B584E" w14:textId="77777777" w:rsidR="002E474C" w:rsidRDefault="00000000">
            <w:pPr>
              <w:pStyle w:val="A-"/>
            </w:pPr>
            <w:r>
              <w:t>37.21</w:t>
            </w:r>
          </w:p>
        </w:tc>
        <w:tc>
          <w:tcPr>
            <w:tcW w:w="766" w:type="pct"/>
          </w:tcPr>
          <w:p w14:paraId="7727AB02" w14:textId="77777777" w:rsidR="002E474C" w:rsidRDefault="00000000">
            <w:pPr>
              <w:pStyle w:val="A-"/>
            </w:pPr>
            <w:r>
              <w:t>61.02</w:t>
            </w:r>
          </w:p>
        </w:tc>
        <w:tc>
          <w:tcPr>
            <w:tcW w:w="855" w:type="pct"/>
          </w:tcPr>
          <w:p w14:paraId="47D86389" w14:textId="77777777" w:rsidR="002E474C" w:rsidRDefault="00000000">
            <w:pPr>
              <w:pStyle w:val="A-"/>
            </w:pPr>
            <w:r>
              <w:t>65</w:t>
            </w:r>
          </w:p>
        </w:tc>
        <w:tc>
          <w:tcPr>
            <w:tcW w:w="645" w:type="pct"/>
          </w:tcPr>
          <w:p w14:paraId="74368CDB" w14:textId="77777777" w:rsidR="002E474C" w:rsidRDefault="00000000">
            <w:pPr>
              <w:pStyle w:val="A-"/>
            </w:pPr>
            <w:r>
              <w:t>达标</w:t>
            </w:r>
          </w:p>
        </w:tc>
      </w:tr>
      <w:tr w:rsidR="002E474C" w14:paraId="39D674F5" w14:textId="77777777">
        <w:tc>
          <w:tcPr>
            <w:tcW w:w="680" w:type="pct"/>
            <w:vMerge/>
          </w:tcPr>
          <w:p w14:paraId="3D1F44F4" w14:textId="77777777" w:rsidR="002E474C" w:rsidRDefault="002E474C">
            <w:pPr>
              <w:pStyle w:val="A-"/>
            </w:pPr>
          </w:p>
        </w:tc>
        <w:tc>
          <w:tcPr>
            <w:tcW w:w="513" w:type="pct"/>
          </w:tcPr>
          <w:p w14:paraId="73A51A22" w14:textId="77777777" w:rsidR="002E474C" w:rsidRDefault="00000000">
            <w:pPr>
              <w:pStyle w:val="A-"/>
            </w:pPr>
            <w:r>
              <w:t>夜间</w:t>
            </w:r>
          </w:p>
        </w:tc>
        <w:tc>
          <w:tcPr>
            <w:tcW w:w="770" w:type="pct"/>
          </w:tcPr>
          <w:p w14:paraId="1FE86DDC" w14:textId="77777777" w:rsidR="002E474C" w:rsidRDefault="00000000">
            <w:pPr>
              <w:pStyle w:val="A-"/>
            </w:pPr>
            <w:r>
              <w:t>54</w:t>
            </w:r>
          </w:p>
        </w:tc>
        <w:tc>
          <w:tcPr>
            <w:tcW w:w="771" w:type="pct"/>
          </w:tcPr>
          <w:p w14:paraId="32CB4CCA" w14:textId="77777777" w:rsidR="002E474C" w:rsidRDefault="00000000">
            <w:pPr>
              <w:pStyle w:val="A-"/>
            </w:pPr>
            <w:r>
              <w:t>37.21</w:t>
            </w:r>
          </w:p>
        </w:tc>
        <w:tc>
          <w:tcPr>
            <w:tcW w:w="766" w:type="pct"/>
          </w:tcPr>
          <w:p w14:paraId="3C4DC03E" w14:textId="77777777" w:rsidR="002E474C" w:rsidRDefault="00000000">
            <w:pPr>
              <w:pStyle w:val="A-"/>
            </w:pPr>
            <w:r>
              <w:t>54.09</w:t>
            </w:r>
          </w:p>
        </w:tc>
        <w:tc>
          <w:tcPr>
            <w:tcW w:w="855" w:type="pct"/>
          </w:tcPr>
          <w:p w14:paraId="0DD4E2B8" w14:textId="77777777" w:rsidR="002E474C" w:rsidRDefault="00000000">
            <w:pPr>
              <w:pStyle w:val="A-"/>
            </w:pPr>
            <w:r>
              <w:t>55</w:t>
            </w:r>
          </w:p>
        </w:tc>
        <w:tc>
          <w:tcPr>
            <w:tcW w:w="645" w:type="pct"/>
          </w:tcPr>
          <w:p w14:paraId="16EA694D" w14:textId="77777777" w:rsidR="002E474C" w:rsidRDefault="00000000">
            <w:pPr>
              <w:pStyle w:val="A-"/>
            </w:pPr>
            <w:r>
              <w:t>达标</w:t>
            </w:r>
          </w:p>
        </w:tc>
      </w:tr>
      <w:tr w:rsidR="002E474C" w14:paraId="7B83F840" w14:textId="77777777">
        <w:tc>
          <w:tcPr>
            <w:tcW w:w="680" w:type="pct"/>
            <w:vMerge w:val="restart"/>
          </w:tcPr>
          <w:p w14:paraId="7351A781" w14:textId="77777777" w:rsidR="002E474C" w:rsidRDefault="00000000">
            <w:pPr>
              <w:pStyle w:val="A-"/>
            </w:pPr>
            <w:r>
              <w:t>南厂界</w:t>
            </w:r>
          </w:p>
        </w:tc>
        <w:tc>
          <w:tcPr>
            <w:tcW w:w="513" w:type="pct"/>
          </w:tcPr>
          <w:p w14:paraId="1E93EB2A" w14:textId="77777777" w:rsidR="002E474C" w:rsidRDefault="00000000">
            <w:pPr>
              <w:pStyle w:val="A-"/>
            </w:pPr>
            <w:r>
              <w:t>昼间</w:t>
            </w:r>
          </w:p>
        </w:tc>
        <w:tc>
          <w:tcPr>
            <w:tcW w:w="770" w:type="pct"/>
          </w:tcPr>
          <w:p w14:paraId="2BB161EE" w14:textId="77777777" w:rsidR="002E474C" w:rsidRDefault="00000000">
            <w:pPr>
              <w:pStyle w:val="A-"/>
            </w:pPr>
            <w:r>
              <w:t>61</w:t>
            </w:r>
          </w:p>
        </w:tc>
        <w:tc>
          <w:tcPr>
            <w:tcW w:w="771" w:type="pct"/>
          </w:tcPr>
          <w:p w14:paraId="4F06BFBA" w14:textId="77777777" w:rsidR="002E474C" w:rsidRDefault="00000000">
            <w:pPr>
              <w:pStyle w:val="A-"/>
            </w:pPr>
            <w:r>
              <w:t>42.54</w:t>
            </w:r>
          </w:p>
        </w:tc>
        <w:tc>
          <w:tcPr>
            <w:tcW w:w="766" w:type="pct"/>
          </w:tcPr>
          <w:p w14:paraId="50F61B5C" w14:textId="77777777" w:rsidR="002E474C" w:rsidRDefault="00000000">
            <w:pPr>
              <w:pStyle w:val="A-"/>
            </w:pPr>
            <w:r>
              <w:t>61.06</w:t>
            </w:r>
          </w:p>
        </w:tc>
        <w:tc>
          <w:tcPr>
            <w:tcW w:w="855" w:type="pct"/>
          </w:tcPr>
          <w:p w14:paraId="0C847BA1" w14:textId="77777777" w:rsidR="002E474C" w:rsidRDefault="00000000">
            <w:pPr>
              <w:pStyle w:val="A-"/>
            </w:pPr>
            <w:r>
              <w:t>65</w:t>
            </w:r>
          </w:p>
        </w:tc>
        <w:tc>
          <w:tcPr>
            <w:tcW w:w="645" w:type="pct"/>
          </w:tcPr>
          <w:p w14:paraId="598C6ED0" w14:textId="77777777" w:rsidR="002E474C" w:rsidRDefault="00000000">
            <w:pPr>
              <w:pStyle w:val="A-"/>
            </w:pPr>
            <w:r>
              <w:t>达标</w:t>
            </w:r>
          </w:p>
        </w:tc>
      </w:tr>
      <w:tr w:rsidR="002E474C" w14:paraId="427871BE" w14:textId="77777777">
        <w:tc>
          <w:tcPr>
            <w:tcW w:w="680" w:type="pct"/>
            <w:vMerge/>
          </w:tcPr>
          <w:p w14:paraId="10D7B586" w14:textId="77777777" w:rsidR="002E474C" w:rsidRDefault="002E474C">
            <w:pPr>
              <w:pStyle w:val="A-"/>
            </w:pPr>
          </w:p>
        </w:tc>
        <w:tc>
          <w:tcPr>
            <w:tcW w:w="513" w:type="pct"/>
          </w:tcPr>
          <w:p w14:paraId="3E5B9C56" w14:textId="77777777" w:rsidR="002E474C" w:rsidRDefault="00000000">
            <w:pPr>
              <w:pStyle w:val="A-"/>
            </w:pPr>
            <w:r>
              <w:t>夜间</w:t>
            </w:r>
          </w:p>
        </w:tc>
        <w:tc>
          <w:tcPr>
            <w:tcW w:w="770" w:type="pct"/>
          </w:tcPr>
          <w:p w14:paraId="5B897418" w14:textId="77777777" w:rsidR="002E474C" w:rsidRDefault="00000000">
            <w:pPr>
              <w:pStyle w:val="A-"/>
            </w:pPr>
            <w:r>
              <w:t>52</w:t>
            </w:r>
          </w:p>
        </w:tc>
        <w:tc>
          <w:tcPr>
            <w:tcW w:w="771" w:type="pct"/>
          </w:tcPr>
          <w:p w14:paraId="4337A94A" w14:textId="77777777" w:rsidR="002E474C" w:rsidRDefault="00000000">
            <w:pPr>
              <w:pStyle w:val="A-"/>
            </w:pPr>
            <w:r>
              <w:t>42.54</w:t>
            </w:r>
          </w:p>
        </w:tc>
        <w:tc>
          <w:tcPr>
            <w:tcW w:w="766" w:type="pct"/>
          </w:tcPr>
          <w:p w14:paraId="49665D4A" w14:textId="77777777" w:rsidR="002E474C" w:rsidRDefault="00000000">
            <w:pPr>
              <w:pStyle w:val="A-"/>
            </w:pPr>
            <w:r>
              <w:t>52.47</w:t>
            </w:r>
          </w:p>
        </w:tc>
        <w:tc>
          <w:tcPr>
            <w:tcW w:w="855" w:type="pct"/>
          </w:tcPr>
          <w:p w14:paraId="7715BED0" w14:textId="77777777" w:rsidR="002E474C" w:rsidRDefault="00000000">
            <w:pPr>
              <w:pStyle w:val="A-"/>
            </w:pPr>
            <w:r>
              <w:t>55</w:t>
            </w:r>
          </w:p>
        </w:tc>
        <w:tc>
          <w:tcPr>
            <w:tcW w:w="645" w:type="pct"/>
          </w:tcPr>
          <w:p w14:paraId="58BC14D7" w14:textId="77777777" w:rsidR="002E474C" w:rsidRDefault="00000000">
            <w:pPr>
              <w:pStyle w:val="A-"/>
            </w:pPr>
            <w:r>
              <w:t>达标</w:t>
            </w:r>
          </w:p>
        </w:tc>
      </w:tr>
      <w:tr w:rsidR="002E474C" w14:paraId="1657505F" w14:textId="77777777">
        <w:tc>
          <w:tcPr>
            <w:tcW w:w="680" w:type="pct"/>
            <w:vMerge w:val="restart"/>
          </w:tcPr>
          <w:p w14:paraId="21B0669C" w14:textId="77777777" w:rsidR="002E474C" w:rsidRDefault="00000000">
            <w:pPr>
              <w:pStyle w:val="A-"/>
            </w:pPr>
            <w:r>
              <w:t>西厂界</w:t>
            </w:r>
          </w:p>
        </w:tc>
        <w:tc>
          <w:tcPr>
            <w:tcW w:w="513" w:type="pct"/>
          </w:tcPr>
          <w:p w14:paraId="075D2752" w14:textId="77777777" w:rsidR="002E474C" w:rsidRDefault="00000000">
            <w:pPr>
              <w:pStyle w:val="A-"/>
            </w:pPr>
            <w:r>
              <w:t>昼间</w:t>
            </w:r>
          </w:p>
        </w:tc>
        <w:tc>
          <w:tcPr>
            <w:tcW w:w="770" w:type="pct"/>
          </w:tcPr>
          <w:p w14:paraId="1BBA348E" w14:textId="77777777" w:rsidR="002E474C" w:rsidRDefault="00000000">
            <w:pPr>
              <w:pStyle w:val="A-"/>
            </w:pPr>
            <w:r>
              <w:t>62</w:t>
            </w:r>
          </w:p>
        </w:tc>
        <w:tc>
          <w:tcPr>
            <w:tcW w:w="771" w:type="pct"/>
          </w:tcPr>
          <w:p w14:paraId="517EF52A" w14:textId="77777777" w:rsidR="002E474C" w:rsidRDefault="00000000">
            <w:pPr>
              <w:pStyle w:val="A-"/>
            </w:pPr>
            <w:r>
              <w:t>21.76</w:t>
            </w:r>
          </w:p>
        </w:tc>
        <w:tc>
          <w:tcPr>
            <w:tcW w:w="766" w:type="pct"/>
          </w:tcPr>
          <w:p w14:paraId="0E903456" w14:textId="77777777" w:rsidR="002E474C" w:rsidRDefault="00000000">
            <w:pPr>
              <w:pStyle w:val="A-"/>
            </w:pPr>
            <w:r>
              <w:t>62</w:t>
            </w:r>
          </w:p>
        </w:tc>
        <w:tc>
          <w:tcPr>
            <w:tcW w:w="855" w:type="pct"/>
          </w:tcPr>
          <w:p w14:paraId="4D34862E" w14:textId="77777777" w:rsidR="002E474C" w:rsidRDefault="00000000">
            <w:pPr>
              <w:pStyle w:val="A-"/>
            </w:pPr>
            <w:r>
              <w:t>65</w:t>
            </w:r>
          </w:p>
        </w:tc>
        <w:tc>
          <w:tcPr>
            <w:tcW w:w="645" w:type="pct"/>
          </w:tcPr>
          <w:p w14:paraId="4200089D" w14:textId="77777777" w:rsidR="002E474C" w:rsidRDefault="00000000">
            <w:pPr>
              <w:pStyle w:val="A-"/>
            </w:pPr>
            <w:r>
              <w:t>达标</w:t>
            </w:r>
          </w:p>
        </w:tc>
      </w:tr>
      <w:tr w:rsidR="002E474C" w14:paraId="157DC998" w14:textId="77777777">
        <w:tc>
          <w:tcPr>
            <w:tcW w:w="680" w:type="pct"/>
            <w:vMerge/>
          </w:tcPr>
          <w:p w14:paraId="2EB2FE1E" w14:textId="77777777" w:rsidR="002E474C" w:rsidRDefault="002E474C">
            <w:pPr>
              <w:pStyle w:val="A-"/>
            </w:pPr>
          </w:p>
        </w:tc>
        <w:tc>
          <w:tcPr>
            <w:tcW w:w="513" w:type="pct"/>
          </w:tcPr>
          <w:p w14:paraId="23CB81D1" w14:textId="77777777" w:rsidR="002E474C" w:rsidRDefault="00000000">
            <w:pPr>
              <w:pStyle w:val="A-"/>
            </w:pPr>
            <w:r>
              <w:t>夜间</w:t>
            </w:r>
          </w:p>
        </w:tc>
        <w:tc>
          <w:tcPr>
            <w:tcW w:w="770" w:type="pct"/>
          </w:tcPr>
          <w:p w14:paraId="513FFC40" w14:textId="77777777" w:rsidR="002E474C" w:rsidRDefault="00000000">
            <w:pPr>
              <w:pStyle w:val="A-"/>
            </w:pPr>
            <w:r>
              <w:t>52</w:t>
            </w:r>
          </w:p>
        </w:tc>
        <w:tc>
          <w:tcPr>
            <w:tcW w:w="771" w:type="pct"/>
          </w:tcPr>
          <w:p w14:paraId="1EBD0E7A" w14:textId="77777777" w:rsidR="002E474C" w:rsidRDefault="00000000">
            <w:pPr>
              <w:pStyle w:val="A-"/>
            </w:pPr>
            <w:r>
              <w:t>21.68</w:t>
            </w:r>
          </w:p>
        </w:tc>
        <w:tc>
          <w:tcPr>
            <w:tcW w:w="766" w:type="pct"/>
          </w:tcPr>
          <w:p w14:paraId="55E10F06" w14:textId="77777777" w:rsidR="002E474C" w:rsidRDefault="00000000">
            <w:pPr>
              <w:pStyle w:val="A-"/>
            </w:pPr>
            <w:r>
              <w:t>52</w:t>
            </w:r>
          </w:p>
        </w:tc>
        <w:tc>
          <w:tcPr>
            <w:tcW w:w="855" w:type="pct"/>
          </w:tcPr>
          <w:p w14:paraId="360A3591" w14:textId="77777777" w:rsidR="002E474C" w:rsidRDefault="00000000">
            <w:pPr>
              <w:pStyle w:val="A-"/>
            </w:pPr>
            <w:r>
              <w:t>55</w:t>
            </w:r>
          </w:p>
        </w:tc>
        <w:tc>
          <w:tcPr>
            <w:tcW w:w="645" w:type="pct"/>
          </w:tcPr>
          <w:p w14:paraId="1A965D16" w14:textId="77777777" w:rsidR="002E474C" w:rsidRDefault="00000000">
            <w:pPr>
              <w:pStyle w:val="A-"/>
            </w:pPr>
            <w:r>
              <w:t>达标</w:t>
            </w:r>
          </w:p>
        </w:tc>
      </w:tr>
      <w:tr w:rsidR="002E474C" w14:paraId="6CFFB54E" w14:textId="77777777">
        <w:tc>
          <w:tcPr>
            <w:tcW w:w="680" w:type="pct"/>
            <w:vMerge w:val="restart"/>
          </w:tcPr>
          <w:p w14:paraId="15AB9354" w14:textId="77777777" w:rsidR="002E474C" w:rsidRDefault="00000000">
            <w:pPr>
              <w:pStyle w:val="A-"/>
            </w:pPr>
            <w:r>
              <w:t>北厂界</w:t>
            </w:r>
          </w:p>
        </w:tc>
        <w:tc>
          <w:tcPr>
            <w:tcW w:w="513" w:type="pct"/>
          </w:tcPr>
          <w:p w14:paraId="723FBF73" w14:textId="77777777" w:rsidR="002E474C" w:rsidRDefault="00000000">
            <w:pPr>
              <w:pStyle w:val="A-"/>
            </w:pPr>
            <w:r>
              <w:t>昼间</w:t>
            </w:r>
          </w:p>
        </w:tc>
        <w:tc>
          <w:tcPr>
            <w:tcW w:w="770" w:type="pct"/>
          </w:tcPr>
          <w:p w14:paraId="12A098FD" w14:textId="77777777" w:rsidR="002E474C" w:rsidRDefault="00000000">
            <w:pPr>
              <w:pStyle w:val="A-"/>
            </w:pPr>
            <w:r>
              <w:t>61</w:t>
            </w:r>
          </w:p>
        </w:tc>
        <w:tc>
          <w:tcPr>
            <w:tcW w:w="771" w:type="pct"/>
          </w:tcPr>
          <w:p w14:paraId="3619DF47" w14:textId="77777777" w:rsidR="002E474C" w:rsidRDefault="00000000">
            <w:pPr>
              <w:pStyle w:val="A-"/>
            </w:pPr>
            <w:r>
              <w:t>47.63</w:t>
            </w:r>
          </w:p>
        </w:tc>
        <w:tc>
          <w:tcPr>
            <w:tcW w:w="766" w:type="pct"/>
          </w:tcPr>
          <w:p w14:paraId="19977791" w14:textId="77777777" w:rsidR="002E474C" w:rsidRDefault="00000000">
            <w:pPr>
              <w:pStyle w:val="A-"/>
            </w:pPr>
            <w:r>
              <w:t>61.2</w:t>
            </w:r>
          </w:p>
        </w:tc>
        <w:tc>
          <w:tcPr>
            <w:tcW w:w="855" w:type="pct"/>
          </w:tcPr>
          <w:p w14:paraId="62D2C82C" w14:textId="77777777" w:rsidR="002E474C" w:rsidRDefault="00000000">
            <w:pPr>
              <w:pStyle w:val="A-"/>
            </w:pPr>
            <w:r>
              <w:t>65</w:t>
            </w:r>
          </w:p>
        </w:tc>
        <w:tc>
          <w:tcPr>
            <w:tcW w:w="645" w:type="pct"/>
          </w:tcPr>
          <w:p w14:paraId="4115663B" w14:textId="77777777" w:rsidR="002E474C" w:rsidRDefault="00000000">
            <w:pPr>
              <w:pStyle w:val="A-"/>
            </w:pPr>
            <w:r>
              <w:t>达标</w:t>
            </w:r>
          </w:p>
        </w:tc>
      </w:tr>
      <w:tr w:rsidR="002E474C" w14:paraId="339192EB" w14:textId="77777777">
        <w:tc>
          <w:tcPr>
            <w:tcW w:w="680" w:type="pct"/>
            <w:vMerge/>
          </w:tcPr>
          <w:p w14:paraId="28DB634E" w14:textId="77777777" w:rsidR="002E474C" w:rsidRDefault="002E474C">
            <w:pPr>
              <w:pStyle w:val="A-"/>
            </w:pPr>
          </w:p>
        </w:tc>
        <w:tc>
          <w:tcPr>
            <w:tcW w:w="513" w:type="pct"/>
          </w:tcPr>
          <w:p w14:paraId="037D6575" w14:textId="77777777" w:rsidR="002E474C" w:rsidRDefault="00000000">
            <w:pPr>
              <w:pStyle w:val="A-"/>
            </w:pPr>
            <w:r>
              <w:t>夜间</w:t>
            </w:r>
          </w:p>
        </w:tc>
        <w:tc>
          <w:tcPr>
            <w:tcW w:w="770" w:type="pct"/>
          </w:tcPr>
          <w:p w14:paraId="7CA9DCDE" w14:textId="77777777" w:rsidR="002E474C" w:rsidRDefault="00000000">
            <w:pPr>
              <w:pStyle w:val="A-"/>
            </w:pPr>
            <w:r>
              <w:t>53</w:t>
            </w:r>
          </w:p>
        </w:tc>
        <w:tc>
          <w:tcPr>
            <w:tcW w:w="771" w:type="pct"/>
          </w:tcPr>
          <w:p w14:paraId="1B8B26AA" w14:textId="77777777" w:rsidR="002E474C" w:rsidRDefault="00000000">
            <w:pPr>
              <w:pStyle w:val="A-"/>
            </w:pPr>
            <w:r>
              <w:t>47.62</w:t>
            </w:r>
          </w:p>
        </w:tc>
        <w:tc>
          <w:tcPr>
            <w:tcW w:w="766" w:type="pct"/>
          </w:tcPr>
          <w:p w14:paraId="4456FE88" w14:textId="77777777" w:rsidR="002E474C" w:rsidRDefault="00000000">
            <w:pPr>
              <w:pStyle w:val="A-"/>
            </w:pPr>
            <w:r>
              <w:t>54.11</w:t>
            </w:r>
          </w:p>
        </w:tc>
        <w:tc>
          <w:tcPr>
            <w:tcW w:w="855" w:type="pct"/>
          </w:tcPr>
          <w:p w14:paraId="586F78C7" w14:textId="77777777" w:rsidR="002E474C" w:rsidRDefault="00000000">
            <w:pPr>
              <w:pStyle w:val="A-"/>
            </w:pPr>
            <w:r>
              <w:t>55</w:t>
            </w:r>
          </w:p>
        </w:tc>
        <w:tc>
          <w:tcPr>
            <w:tcW w:w="645" w:type="pct"/>
          </w:tcPr>
          <w:p w14:paraId="13B8CCB2" w14:textId="77777777" w:rsidR="002E474C" w:rsidRDefault="00000000">
            <w:pPr>
              <w:pStyle w:val="A-"/>
            </w:pPr>
            <w:r>
              <w:t>达标</w:t>
            </w:r>
          </w:p>
        </w:tc>
      </w:tr>
    </w:tbl>
    <w:p w14:paraId="72BE1B6F" w14:textId="77777777" w:rsidR="002E474C" w:rsidRDefault="002E474C">
      <w:pPr>
        <w:pStyle w:val="w3"/>
      </w:pPr>
    </w:p>
    <w:p w14:paraId="022F57E8" w14:textId="77777777" w:rsidR="002E474C" w:rsidRDefault="00000000">
      <w:pPr>
        <w:pStyle w:val="A-z"/>
        <w:rPr>
          <w:color w:val="auto"/>
        </w:rPr>
      </w:pPr>
      <w:r>
        <w:rPr>
          <w:color w:val="auto"/>
        </w:rPr>
        <w:t>正常工况下，项目厂界噪声满足《工业企业厂界环境噪声排放标准》</w:t>
      </w:r>
      <w:r>
        <w:rPr>
          <w:color w:val="auto"/>
        </w:rPr>
        <w:t>(GB12348-2008) 3</w:t>
      </w:r>
      <w:r>
        <w:rPr>
          <w:color w:val="auto"/>
        </w:rPr>
        <w:t>类标准。</w:t>
      </w:r>
    </w:p>
    <w:p w14:paraId="6D4C0604" w14:textId="77777777" w:rsidR="002E474C" w:rsidRDefault="002E474C">
      <w:pPr>
        <w:pStyle w:val="A-z"/>
        <w:rPr>
          <w:color w:val="auto"/>
        </w:rPr>
      </w:pPr>
    </w:p>
    <w:p w14:paraId="188FC424" w14:textId="77777777" w:rsidR="002E474C" w:rsidRDefault="00000000">
      <w:pPr>
        <w:pStyle w:val="31"/>
        <w:spacing w:before="120" w:after="120"/>
        <w:rPr>
          <w:color w:val="auto"/>
        </w:rPr>
      </w:pPr>
      <w:r>
        <w:rPr>
          <w:color w:val="auto"/>
        </w:rPr>
        <w:lastRenderedPageBreak/>
        <w:t>小结</w:t>
      </w:r>
    </w:p>
    <w:p w14:paraId="5E6446DC" w14:textId="77777777" w:rsidR="002E474C" w:rsidRDefault="00000000">
      <w:pPr>
        <w:pStyle w:val="A-z"/>
        <w:rPr>
          <w:color w:val="auto"/>
        </w:rPr>
      </w:pPr>
      <w:r>
        <w:rPr>
          <w:color w:val="auto"/>
        </w:rPr>
        <w:t>项目声环境影响评价自查见表</w:t>
      </w:r>
      <w:r>
        <w:rPr>
          <w:color w:val="auto"/>
        </w:rPr>
        <w:t>5.4</w:t>
      </w:r>
      <w:r>
        <w:rPr>
          <w:color w:val="auto"/>
        </w:rPr>
        <w:noBreakHyphen/>
        <w:t>4</w:t>
      </w:r>
      <w:r>
        <w:rPr>
          <w:color w:val="auto"/>
        </w:rPr>
        <w:t>。</w:t>
      </w:r>
    </w:p>
    <w:p w14:paraId="47FF3F16" w14:textId="77777777" w:rsidR="002E474C" w:rsidRDefault="00000000">
      <w:pPr>
        <w:pStyle w:val="A--"/>
        <w:rPr>
          <w:color w:val="auto"/>
        </w:rPr>
      </w:pPr>
      <w:bookmarkStart w:id="300" w:name="_Ref107916829"/>
      <w:r>
        <w:rPr>
          <w:color w:val="auto"/>
        </w:rPr>
        <w:t>表</w:t>
      </w:r>
      <w:r>
        <w:rPr>
          <w:color w:val="auto"/>
        </w:rPr>
        <w:t>5.4</w:t>
      </w:r>
      <w:r>
        <w:rPr>
          <w:color w:val="auto"/>
        </w:rPr>
        <w:noBreakHyphen/>
        <w:t>4</w:t>
      </w:r>
      <w:bookmarkEnd w:id="300"/>
      <w:r>
        <w:rPr>
          <w:color w:val="auto"/>
        </w:rPr>
        <w:t xml:space="preserve">  </w:t>
      </w:r>
      <w:r>
        <w:rPr>
          <w:color w:val="auto"/>
        </w:rPr>
        <w:t>声环境影响评价自查表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576"/>
        <w:gridCol w:w="745"/>
        <w:gridCol w:w="435"/>
        <w:gridCol w:w="270"/>
        <w:gridCol w:w="201"/>
        <w:gridCol w:w="921"/>
        <w:gridCol w:w="584"/>
        <w:gridCol w:w="383"/>
        <w:gridCol w:w="470"/>
        <w:gridCol w:w="438"/>
        <w:gridCol w:w="204"/>
        <w:gridCol w:w="1095"/>
      </w:tblGrid>
      <w:tr w:rsidR="002E474C" w14:paraId="3C040096" w14:textId="77777777">
        <w:trPr>
          <w:tblHeader/>
        </w:trPr>
        <w:tc>
          <w:tcPr>
            <w:tcW w:w="1537" w:type="pct"/>
            <w:gridSpan w:val="2"/>
            <w:vAlign w:val="center"/>
          </w:tcPr>
          <w:p w14:paraId="26240EAD" w14:textId="77777777" w:rsidR="002E474C" w:rsidRDefault="00000000">
            <w:pPr>
              <w:pStyle w:val="A-"/>
            </w:pPr>
            <w:proofErr w:type="spellStart"/>
            <w:r>
              <w:t>工作内容</w:t>
            </w:r>
            <w:proofErr w:type="spellEnd"/>
          </w:p>
        </w:tc>
        <w:tc>
          <w:tcPr>
            <w:tcW w:w="3463" w:type="pct"/>
            <w:gridSpan w:val="11"/>
            <w:vAlign w:val="center"/>
          </w:tcPr>
          <w:p w14:paraId="5053DAF6" w14:textId="77777777" w:rsidR="002E474C" w:rsidRDefault="00000000">
            <w:pPr>
              <w:pStyle w:val="A-"/>
            </w:pPr>
            <w:proofErr w:type="spellStart"/>
            <w:r>
              <w:t>自查项目</w:t>
            </w:r>
            <w:proofErr w:type="spellEnd"/>
          </w:p>
        </w:tc>
      </w:tr>
      <w:tr w:rsidR="002E474C" w14:paraId="7F808C8E" w14:textId="77777777">
        <w:tc>
          <w:tcPr>
            <w:tcW w:w="587" w:type="pct"/>
            <w:vMerge w:val="restart"/>
            <w:vAlign w:val="center"/>
          </w:tcPr>
          <w:p w14:paraId="00973F95" w14:textId="77777777" w:rsidR="002E474C" w:rsidRDefault="00000000">
            <w:pPr>
              <w:pStyle w:val="A-"/>
            </w:pPr>
            <w:proofErr w:type="spellStart"/>
            <w:r>
              <w:t>评价等级与范围</w:t>
            </w:r>
            <w:proofErr w:type="spellEnd"/>
          </w:p>
        </w:tc>
        <w:tc>
          <w:tcPr>
            <w:tcW w:w="950" w:type="pct"/>
            <w:vAlign w:val="center"/>
          </w:tcPr>
          <w:p w14:paraId="456ED660" w14:textId="77777777" w:rsidR="002E474C" w:rsidRDefault="00000000">
            <w:pPr>
              <w:pStyle w:val="A-"/>
            </w:pPr>
            <w:proofErr w:type="spellStart"/>
            <w:r>
              <w:t>评价等级</w:t>
            </w:r>
            <w:proofErr w:type="spellEnd"/>
          </w:p>
        </w:tc>
        <w:tc>
          <w:tcPr>
            <w:tcW w:w="3463" w:type="pct"/>
            <w:gridSpan w:val="11"/>
            <w:vAlign w:val="center"/>
          </w:tcPr>
          <w:p w14:paraId="4822F0E6" w14:textId="77777777" w:rsidR="002E474C" w:rsidRDefault="00000000">
            <w:pPr>
              <w:pStyle w:val="A-"/>
            </w:pPr>
            <w:proofErr w:type="spellStart"/>
            <w:r>
              <w:t>一级</w:t>
            </w:r>
            <w:proofErr w:type="spellEnd"/>
            <w:r>
              <w:t>□</w:t>
            </w:r>
            <w:r>
              <w:tab/>
              <w:t xml:space="preserve">      </w:t>
            </w:r>
            <w:proofErr w:type="spellStart"/>
            <w:r>
              <w:t>二级</w:t>
            </w:r>
            <w:proofErr w:type="spellEnd"/>
            <w:r>
              <w:t>□</w:t>
            </w:r>
            <w:r>
              <w:tab/>
              <w:t xml:space="preserve">      </w:t>
            </w:r>
            <w:proofErr w:type="spellStart"/>
            <w:r>
              <w:t>三级</w:t>
            </w:r>
            <w:proofErr w:type="spellEnd"/>
            <w:r>
              <w:sym w:font="Wingdings 2" w:char="0052"/>
            </w:r>
          </w:p>
        </w:tc>
      </w:tr>
      <w:tr w:rsidR="002E474C" w14:paraId="0D516487" w14:textId="77777777">
        <w:tc>
          <w:tcPr>
            <w:tcW w:w="587" w:type="pct"/>
            <w:vMerge/>
            <w:vAlign w:val="center"/>
          </w:tcPr>
          <w:p w14:paraId="019D1E19" w14:textId="77777777" w:rsidR="002E474C" w:rsidRDefault="002E474C">
            <w:pPr>
              <w:pStyle w:val="A-"/>
            </w:pPr>
          </w:p>
        </w:tc>
        <w:tc>
          <w:tcPr>
            <w:tcW w:w="950" w:type="pct"/>
            <w:vAlign w:val="center"/>
          </w:tcPr>
          <w:p w14:paraId="039857F6" w14:textId="77777777" w:rsidR="002E474C" w:rsidRDefault="00000000">
            <w:pPr>
              <w:pStyle w:val="A-"/>
            </w:pPr>
            <w:proofErr w:type="spellStart"/>
            <w:r>
              <w:t>评价范围</w:t>
            </w:r>
            <w:proofErr w:type="spellEnd"/>
          </w:p>
        </w:tc>
        <w:tc>
          <w:tcPr>
            <w:tcW w:w="3463" w:type="pct"/>
            <w:gridSpan w:val="11"/>
            <w:vAlign w:val="center"/>
          </w:tcPr>
          <w:p w14:paraId="067338A9" w14:textId="77777777" w:rsidR="002E474C" w:rsidRDefault="00000000">
            <w:pPr>
              <w:pStyle w:val="A-"/>
            </w:pPr>
            <w:r>
              <w:t>200m□</w:t>
            </w:r>
            <w:r>
              <w:tab/>
              <w:t xml:space="preserve">            </w:t>
            </w:r>
            <w:proofErr w:type="spellStart"/>
            <w:r>
              <w:t>大于</w:t>
            </w:r>
            <w:proofErr w:type="spellEnd"/>
            <w:r>
              <w:t xml:space="preserve"> 200m            </w:t>
            </w:r>
            <w:proofErr w:type="spellStart"/>
            <w:r>
              <w:t>小于</w:t>
            </w:r>
            <w:proofErr w:type="spellEnd"/>
            <w:r>
              <w:t xml:space="preserve"> 200m</w:t>
            </w:r>
            <w:r>
              <w:tab/>
            </w:r>
            <w:r>
              <w:sym w:font="Wingdings 2" w:char="0052"/>
            </w:r>
          </w:p>
        </w:tc>
      </w:tr>
      <w:tr w:rsidR="002E474C" w14:paraId="3B385946" w14:textId="77777777">
        <w:tc>
          <w:tcPr>
            <w:tcW w:w="587" w:type="pct"/>
            <w:vAlign w:val="center"/>
          </w:tcPr>
          <w:p w14:paraId="068A3AEE" w14:textId="77777777" w:rsidR="002E474C" w:rsidRDefault="00000000">
            <w:pPr>
              <w:pStyle w:val="A-"/>
            </w:pPr>
            <w:proofErr w:type="spellStart"/>
            <w:r>
              <w:t>评价因子</w:t>
            </w:r>
            <w:proofErr w:type="spellEnd"/>
          </w:p>
        </w:tc>
        <w:tc>
          <w:tcPr>
            <w:tcW w:w="950" w:type="pct"/>
            <w:vAlign w:val="center"/>
          </w:tcPr>
          <w:p w14:paraId="00038119" w14:textId="77777777" w:rsidR="002E474C" w:rsidRDefault="00000000">
            <w:pPr>
              <w:pStyle w:val="A-"/>
            </w:pPr>
            <w:proofErr w:type="spellStart"/>
            <w:r>
              <w:t>评价因子</w:t>
            </w:r>
            <w:proofErr w:type="spellEnd"/>
          </w:p>
        </w:tc>
        <w:tc>
          <w:tcPr>
            <w:tcW w:w="3463" w:type="pct"/>
            <w:gridSpan w:val="11"/>
            <w:vAlign w:val="center"/>
          </w:tcPr>
          <w:p w14:paraId="217C5E3F" w14:textId="77777777" w:rsidR="002E474C" w:rsidRDefault="00000000">
            <w:pPr>
              <w:pStyle w:val="A-"/>
              <w:rPr>
                <w:lang w:eastAsia="zh-CN"/>
              </w:rPr>
            </w:pPr>
            <w:r>
              <w:rPr>
                <w:lang w:eastAsia="zh-CN"/>
              </w:rPr>
              <w:t>等效连续</w:t>
            </w:r>
            <w:r>
              <w:rPr>
                <w:lang w:eastAsia="zh-CN"/>
              </w:rPr>
              <w:t>A</w:t>
            </w:r>
            <w:r>
              <w:rPr>
                <w:lang w:eastAsia="zh-CN"/>
              </w:rPr>
              <w:t>声级</w:t>
            </w:r>
            <w:r>
              <w:sym w:font="Wingdings 2" w:char="0052"/>
            </w:r>
            <w:r>
              <w:rPr>
                <w:lang w:eastAsia="zh-CN"/>
              </w:rPr>
              <w:t xml:space="preserve">  </w:t>
            </w:r>
            <w:r>
              <w:rPr>
                <w:lang w:eastAsia="zh-CN"/>
              </w:rPr>
              <w:t>最大</w:t>
            </w:r>
            <w:r>
              <w:rPr>
                <w:lang w:eastAsia="zh-CN"/>
              </w:rPr>
              <w:t>A</w:t>
            </w:r>
            <w:r>
              <w:rPr>
                <w:lang w:eastAsia="zh-CN"/>
              </w:rPr>
              <w:t>声级</w:t>
            </w:r>
            <w:r>
              <w:rPr>
                <w:lang w:eastAsia="zh-CN"/>
              </w:rPr>
              <w:t xml:space="preserve">□ </w:t>
            </w:r>
            <w:r>
              <w:rPr>
                <w:lang w:eastAsia="zh-CN"/>
              </w:rPr>
              <w:t>计权等效连续感觉噪声级</w:t>
            </w:r>
            <w:r>
              <w:rPr>
                <w:lang w:eastAsia="zh-CN"/>
              </w:rPr>
              <w:t>□</w:t>
            </w:r>
          </w:p>
        </w:tc>
      </w:tr>
      <w:tr w:rsidR="002E474C" w14:paraId="61BE3255" w14:textId="77777777">
        <w:tc>
          <w:tcPr>
            <w:tcW w:w="587" w:type="pct"/>
            <w:vAlign w:val="center"/>
          </w:tcPr>
          <w:p w14:paraId="7BC5B78B" w14:textId="77777777" w:rsidR="002E474C" w:rsidRDefault="00000000">
            <w:pPr>
              <w:pStyle w:val="A-"/>
            </w:pPr>
            <w:proofErr w:type="spellStart"/>
            <w:r>
              <w:t>评价标准</w:t>
            </w:r>
            <w:proofErr w:type="spellEnd"/>
          </w:p>
        </w:tc>
        <w:tc>
          <w:tcPr>
            <w:tcW w:w="950" w:type="pct"/>
            <w:vAlign w:val="center"/>
          </w:tcPr>
          <w:p w14:paraId="6B1F413C" w14:textId="77777777" w:rsidR="002E474C" w:rsidRDefault="00000000">
            <w:pPr>
              <w:pStyle w:val="A-"/>
            </w:pPr>
            <w:proofErr w:type="spellStart"/>
            <w:r>
              <w:t>评价标准</w:t>
            </w:r>
            <w:proofErr w:type="spellEnd"/>
          </w:p>
        </w:tc>
        <w:tc>
          <w:tcPr>
            <w:tcW w:w="3463" w:type="pct"/>
            <w:gridSpan w:val="11"/>
            <w:vAlign w:val="center"/>
          </w:tcPr>
          <w:p w14:paraId="291690D0" w14:textId="77777777" w:rsidR="002E474C" w:rsidRDefault="00000000">
            <w:pPr>
              <w:pStyle w:val="A-"/>
              <w:rPr>
                <w:lang w:eastAsia="zh-CN"/>
              </w:rPr>
            </w:pPr>
            <w:r>
              <w:rPr>
                <w:lang w:eastAsia="zh-CN"/>
              </w:rPr>
              <w:t>国家标准</w:t>
            </w:r>
            <w:r>
              <w:sym w:font="Wingdings 2" w:char="0052"/>
            </w:r>
            <w:r>
              <w:rPr>
                <w:lang w:eastAsia="zh-CN"/>
              </w:rPr>
              <w:t xml:space="preserve">             </w:t>
            </w:r>
            <w:r>
              <w:rPr>
                <w:lang w:eastAsia="zh-CN"/>
              </w:rPr>
              <w:t>地方标准</w:t>
            </w:r>
            <w:r>
              <w:rPr>
                <w:lang w:eastAsia="zh-CN"/>
              </w:rPr>
              <w:t xml:space="preserve">□            </w:t>
            </w:r>
            <w:r>
              <w:rPr>
                <w:lang w:eastAsia="zh-CN"/>
              </w:rPr>
              <w:t>国外标准</w:t>
            </w:r>
            <w:r>
              <w:rPr>
                <w:lang w:eastAsia="zh-CN"/>
              </w:rPr>
              <w:t>□</w:t>
            </w:r>
          </w:p>
        </w:tc>
      </w:tr>
      <w:tr w:rsidR="002E474C" w14:paraId="797D6BC5" w14:textId="77777777">
        <w:tc>
          <w:tcPr>
            <w:tcW w:w="587" w:type="pct"/>
            <w:vMerge w:val="restart"/>
            <w:vAlign w:val="center"/>
          </w:tcPr>
          <w:p w14:paraId="589DDE9D" w14:textId="77777777" w:rsidR="002E474C" w:rsidRDefault="00000000">
            <w:pPr>
              <w:pStyle w:val="A-"/>
            </w:pPr>
            <w:proofErr w:type="spellStart"/>
            <w:r>
              <w:t>现状评价</w:t>
            </w:r>
            <w:proofErr w:type="spellEnd"/>
          </w:p>
        </w:tc>
        <w:tc>
          <w:tcPr>
            <w:tcW w:w="950" w:type="pct"/>
            <w:vAlign w:val="center"/>
          </w:tcPr>
          <w:p w14:paraId="3B7210EA" w14:textId="77777777" w:rsidR="002E474C" w:rsidRDefault="00000000">
            <w:pPr>
              <w:pStyle w:val="A-"/>
            </w:pPr>
            <w:proofErr w:type="spellStart"/>
            <w:r>
              <w:t>环境功能区</w:t>
            </w:r>
            <w:proofErr w:type="spellEnd"/>
          </w:p>
        </w:tc>
        <w:tc>
          <w:tcPr>
            <w:tcW w:w="449" w:type="pct"/>
            <w:vAlign w:val="center"/>
          </w:tcPr>
          <w:p w14:paraId="21FFBFB8" w14:textId="77777777" w:rsidR="002E474C" w:rsidRDefault="00000000">
            <w:pPr>
              <w:pStyle w:val="A-"/>
            </w:pPr>
            <w:r>
              <w:t>0</w:t>
            </w:r>
            <w:r>
              <w:t>类区</w:t>
            </w:r>
            <w:r>
              <w:t>□</w:t>
            </w:r>
          </w:p>
        </w:tc>
        <w:tc>
          <w:tcPr>
            <w:tcW w:w="546" w:type="pct"/>
            <w:gridSpan w:val="3"/>
            <w:vAlign w:val="center"/>
          </w:tcPr>
          <w:p w14:paraId="6B6AC018" w14:textId="77777777" w:rsidR="002E474C" w:rsidRDefault="00000000">
            <w:pPr>
              <w:pStyle w:val="A-"/>
            </w:pPr>
            <w:r>
              <w:t>1</w:t>
            </w:r>
            <w:r>
              <w:t>类区</w:t>
            </w:r>
            <w:r>
              <w:t>□</w:t>
            </w:r>
          </w:p>
        </w:tc>
        <w:tc>
          <w:tcPr>
            <w:tcW w:w="555" w:type="pct"/>
            <w:vAlign w:val="center"/>
          </w:tcPr>
          <w:p w14:paraId="79585925" w14:textId="77777777" w:rsidR="002E474C" w:rsidRDefault="00000000">
            <w:pPr>
              <w:pStyle w:val="A-"/>
            </w:pPr>
            <w:r>
              <w:t>2</w:t>
            </w:r>
            <w:r>
              <w:t>类区</w:t>
            </w:r>
            <w:r>
              <w:t>□</w:t>
            </w:r>
          </w:p>
        </w:tc>
        <w:tc>
          <w:tcPr>
            <w:tcW w:w="583" w:type="pct"/>
            <w:gridSpan w:val="2"/>
            <w:vAlign w:val="center"/>
          </w:tcPr>
          <w:p w14:paraId="4D60C72B" w14:textId="77777777" w:rsidR="002E474C" w:rsidRDefault="00000000">
            <w:pPr>
              <w:pStyle w:val="A-"/>
            </w:pPr>
            <w:r>
              <w:t>3</w:t>
            </w:r>
            <w:r>
              <w:t>类区</w:t>
            </w:r>
            <w:r>
              <w:sym w:font="Wingdings 2" w:char="0052"/>
            </w:r>
          </w:p>
        </w:tc>
        <w:tc>
          <w:tcPr>
            <w:tcW w:w="670" w:type="pct"/>
            <w:gridSpan w:val="3"/>
            <w:vAlign w:val="center"/>
          </w:tcPr>
          <w:p w14:paraId="14C597A9" w14:textId="77777777" w:rsidR="002E474C" w:rsidRDefault="00000000">
            <w:pPr>
              <w:pStyle w:val="A-"/>
            </w:pPr>
            <w:r>
              <w:t>4a</w:t>
            </w:r>
            <w:r>
              <w:t>类区</w:t>
            </w:r>
            <w:r>
              <w:t>□</w:t>
            </w:r>
          </w:p>
        </w:tc>
        <w:tc>
          <w:tcPr>
            <w:tcW w:w="660" w:type="pct"/>
            <w:vAlign w:val="center"/>
          </w:tcPr>
          <w:p w14:paraId="7B57FC77" w14:textId="77777777" w:rsidR="002E474C" w:rsidRDefault="00000000">
            <w:pPr>
              <w:pStyle w:val="A-"/>
            </w:pPr>
            <w:r>
              <w:t>4b</w:t>
            </w:r>
            <w:r>
              <w:t>类区</w:t>
            </w:r>
            <w:r>
              <w:t>□</w:t>
            </w:r>
          </w:p>
        </w:tc>
      </w:tr>
      <w:tr w:rsidR="002E474C" w14:paraId="3AB8A6F6" w14:textId="77777777">
        <w:tc>
          <w:tcPr>
            <w:tcW w:w="587" w:type="pct"/>
            <w:vMerge/>
            <w:vAlign w:val="center"/>
          </w:tcPr>
          <w:p w14:paraId="5B9C5F39" w14:textId="77777777" w:rsidR="002E474C" w:rsidRDefault="002E474C">
            <w:pPr>
              <w:pStyle w:val="A-"/>
            </w:pPr>
          </w:p>
        </w:tc>
        <w:tc>
          <w:tcPr>
            <w:tcW w:w="950" w:type="pct"/>
            <w:vAlign w:val="center"/>
          </w:tcPr>
          <w:p w14:paraId="18FDF4E3" w14:textId="77777777" w:rsidR="002E474C" w:rsidRDefault="00000000">
            <w:pPr>
              <w:pStyle w:val="A-"/>
            </w:pPr>
            <w:proofErr w:type="spellStart"/>
            <w:r>
              <w:t>评价年度</w:t>
            </w:r>
            <w:proofErr w:type="spellEnd"/>
          </w:p>
        </w:tc>
        <w:tc>
          <w:tcPr>
            <w:tcW w:w="711" w:type="pct"/>
            <w:gridSpan w:val="2"/>
            <w:vAlign w:val="center"/>
          </w:tcPr>
          <w:p w14:paraId="61A86082" w14:textId="77777777" w:rsidR="002E474C" w:rsidRDefault="00000000">
            <w:pPr>
              <w:pStyle w:val="A-"/>
            </w:pPr>
            <w:proofErr w:type="spellStart"/>
            <w:r>
              <w:t>初期</w:t>
            </w:r>
            <w:proofErr w:type="spellEnd"/>
            <w:r>
              <w:sym w:font="Wingdings 2" w:char="0052"/>
            </w:r>
          </w:p>
        </w:tc>
        <w:tc>
          <w:tcPr>
            <w:tcW w:w="839" w:type="pct"/>
            <w:gridSpan w:val="3"/>
            <w:vAlign w:val="center"/>
          </w:tcPr>
          <w:p w14:paraId="138B5656" w14:textId="77777777" w:rsidR="002E474C" w:rsidRDefault="00000000">
            <w:pPr>
              <w:pStyle w:val="A-"/>
            </w:pPr>
            <w:proofErr w:type="spellStart"/>
            <w:r>
              <w:t>近期</w:t>
            </w:r>
            <w:proofErr w:type="spellEnd"/>
            <w:r>
              <w:t>□</w:t>
            </w:r>
          </w:p>
        </w:tc>
        <w:tc>
          <w:tcPr>
            <w:tcW w:w="866" w:type="pct"/>
            <w:gridSpan w:val="3"/>
            <w:vAlign w:val="center"/>
          </w:tcPr>
          <w:p w14:paraId="637BE56D" w14:textId="77777777" w:rsidR="002E474C" w:rsidRDefault="00000000">
            <w:pPr>
              <w:pStyle w:val="A-"/>
            </w:pPr>
            <w:proofErr w:type="spellStart"/>
            <w:r>
              <w:t>中期</w:t>
            </w:r>
            <w:proofErr w:type="spellEnd"/>
            <w:r>
              <w:t>□</w:t>
            </w:r>
          </w:p>
        </w:tc>
        <w:tc>
          <w:tcPr>
            <w:tcW w:w="1047" w:type="pct"/>
            <w:gridSpan w:val="3"/>
            <w:vAlign w:val="center"/>
          </w:tcPr>
          <w:p w14:paraId="231D6BAE" w14:textId="77777777" w:rsidR="002E474C" w:rsidRDefault="00000000">
            <w:pPr>
              <w:pStyle w:val="A-"/>
            </w:pPr>
            <w:proofErr w:type="spellStart"/>
            <w:r>
              <w:t>远期</w:t>
            </w:r>
            <w:proofErr w:type="spellEnd"/>
            <w:r>
              <w:t>□</w:t>
            </w:r>
          </w:p>
        </w:tc>
      </w:tr>
      <w:tr w:rsidR="002E474C" w14:paraId="5A6BB0A8" w14:textId="77777777">
        <w:tc>
          <w:tcPr>
            <w:tcW w:w="587" w:type="pct"/>
            <w:vMerge/>
            <w:vAlign w:val="center"/>
          </w:tcPr>
          <w:p w14:paraId="58EA0069" w14:textId="77777777" w:rsidR="002E474C" w:rsidRDefault="002E474C">
            <w:pPr>
              <w:pStyle w:val="A-"/>
            </w:pPr>
          </w:p>
        </w:tc>
        <w:tc>
          <w:tcPr>
            <w:tcW w:w="950" w:type="pct"/>
            <w:vAlign w:val="center"/>
          </w:tcPr>
          <w:p w14:paraId="241E9C34" w14:textId="77777777" w:rsidR="002E474C" w:rsidRDefault="00000000">
            <w:pPr>
              <w:pStyle w:val="A-"/>
            </w:pPr>
            <w:proofErr w:type="spellStart"/>
            <w:r>
              <w:t>现状调查方法</w:t>
            </w:r>
            <w:proofErr w:type="spellEnd"/>
          </w:p>
        </w:tc>
        <w:tc>
          <w:tcPr>
            <w:tcW w:w="3463" w:type="pct"/>
            <w:gridSpan w:val="11"/>
            <w:vAlign w:val="center"/>
          </w:tcPr>
          <w:p w14:paraId="455B4B7C" w14:textId="77777777" w:rsidR="002E474C" w:rsidRDefault="00000000">
            <w:pPr>
              <w:pStyle w:val="A-"/>
              <w:rPr>
                <w:lang w:eastAsia="zh-CN"/>
              </w:rPr>
            </w:pPr>
            <w:r>
              <w:rPr>
                <w:lang w:eastAsia="zh-CN"/>
              </w:rPr>
              <w:t>现场实测法</w:t>
            </w:r>
            <w:r>
              <w:sym w:font="Wingdings 2" w:char="0052"/>
            </w:r>
            <w:r>
              <w:rPr>
                <w:lang w:eastAsia="zh-CN"/>
              </w:rPr>
              <w:t xml:space="preserve">     </w:t>
            </w:r>
            <w:r>
              <w:rPr>
                <w:lang w:eastAsia="zh-CN"/>
              </w:rPr>
              <w:t>现场实测加模型计算法</w:t>
            </w:r>
            <w:r>
              <w:rPr>
                <w:lang w:eastAsia="zh-CN"/>
              </w:rPr>
              <w:t xml:space="preserve">□    </w:t>
            </w:r>
            <w:r>
              <w:rPr>
                <w:lang w:eastAsia="zh-CN"/>
              </w:rPr>
              <w:t>收集资料</w:t>
            </w:r>
            <w:r>
              <w:rPr>
                <w:lang w:eastAsia="zh-CN"/>
              </w:rPr>
              <w:t>□</w:t>
            </w:r>
          </w:p>
        </w:tc>
      </w:tr>
      <w:tr w:rsidR="002E474C" w14:paraId="4D600359" w14:textId="77777777">
        <w:tc>
          <w:tcPr>
            <w:tcW w:w="587" w:type="pct"/>
            <w:vMerge/>
            <w:vAlign w:val="center"/>
          </w:tcPr>
          <w:p w14:paraId="70650A59" w14:textId="77777777" w:rsidR="002E474C" w:rsidRDefault="002E474C">
            <w:pPr>
              <w:pStyle w:val="A-"/>
              <w:rPr>
                <w:lang w:eastAsia="zh-CN"/>
              </w:rPr>
            </w:pPr>
          </w:p>
        </w:tc>
        <w:tc>
          <w:tcPr>
            <w:tcW w:w="950" w:type="pct"/>
            <w:vAlign w:val="center"/>
          </w:tcPr>
          <w:p w14:paraId="6F4AF90E" w14:textId="77777777" w:rsidR="002E474C" w:rsidRDefault="00000000">
            <w:pPr>
              <w:pStyle w:val="A-"/>
            </w:pPr>
            <w:proofErr w:type="spellStart"/>
            <w:r>
              <w:t>现状评价</w:t>
            </w:r>
            <w:proofErr w:type="spellEnd"/>
          </w:p>
        </w:tc>
        <w:tc>
          <w:tcPr>
            <w:tcW w:w="874" w:type="pct"/>
            <w:gridSpan w:val="3"/>
            <w:vAlign w:val="center"/>
          </w:tcPr>
          <w:p w14:paraId="2A4190B0" w14:textId="77777777" w:rsidR="002E474C" w:rsidRDefault="00000000">
            <w:pPr>
              <w:pStyle w:val="A-"/>
            </w:pPr>
            <w:proofErr w:type="spellStart"/>
            <w:r>
              <w:t>达标百分比</w:t>
            </w:r>
            <w:proofErr w:type="spellEnd"/>
          </w:p>
        </w:tc>
        <w:tc>
          <w:tcPr>
            <w:tcW w:w="2589" w:type="pct"/>
            <w:gridSpan w:val="8"/>
            <w:vAlign w:val="center"/>
          </w:tcPr>
          <w:p w14:paraId="30587A7E" w14:textId="77777777" w:rsidR="002E474C" w:rsidRDefault="00000000">
            <w:pPr>
              <w:pStyle w:val="A-"/>
            </w:pPr>
            <w:r>
              <w:t>100%</w:t>
            </w:r>
          </w:p>
        </w:tc>
      </w:tr>
      <w:tr w:rsidR="002E474C" w14:paraId="68440D2B" w14:textId="77777777">
        <w:tc>
          <w:tcPr>
            <w:tcW w:w="587" w:type="pct"/>
            <w:vAlign w:val="center"/>
          </w:tcPr>
          <w:p w14:paraId="776D436C" w14:textId="77777777" w:rsidR="002E474C" w:rsidRDefault="00000000">
            <w:pPr>
              <w:pStyle w:val="A-"/>
            </w:pPr>
            <w:proofErr w:type="spellStart"/>
            <w:r>
              <w:t>噪声源</w:t>
            </w:r>
            <w:proofErr w:type="spellEnd"/>
          </w:p>
          <w:p w14:paraId="35C07B20" w14:textId="77777777" w:rsidR="002E474C" w:rsidRDefault="00000000">
            <w:pPr>
              <w:pStyle w:val="A-"/>
            </w:pPr>
            <w:proofErr w:type="spellStart"/>
            <w:r>
              <w:t>调查</w:t>
            </w:r>
            <w:proofErr w:type="spellEnd"/>
          </w:p>
        </w:tc>
        <w:tc>
          <w:tcPr>
            <w:tcW w:w="950" w:type="pct"/>
            <w:vAlign w:val="center"/>
          </w:tcPr>
          <w:p w14:paraId="34403BE3" w14:textId="77777777" w:rsidR="002E474C" w:rsidRDefault="00000000">
            <w:pPr>
              <w:pStyle w:val="A-"/>
            </w:pPr>
            <w:proofErr w:type="spellStart"/>
            <w:r>
              <w:t>噪声源调查方法</w:t>
            </w:r>
            <w:proofErr w:type="spellEnd"/>
          </w:p>
        </w:tc>
        <w:tc>
          <w:tcPr>
            <w:tcW w:w="3463" w:type="pct"/>
            <w:gridSpan w:val="11"/>
            <w:vAlign w:val="center"/>
          </w:tcPr>
          <w:p w14:paraId="1F465553" w14:textId="77777777" w:rsidR="002E474C" w:rsidRDefault="00000000">
            <w:pPr>
              <w:pStyle w:val="A-"/>
              <w:rPr>
                <w:lang w:eastAsia="zh-CN"/>
              </w:rPr>
            </w:pPr>
            <w:r>
              <w:rPr>
                <w:lang w:eastAsia="zh-CN"/>
              </w:rPr>
              <w:t>现场实测</w:t>
            </w:r>
            <w:r>
              <w:rPr>
                <w:lang w:eastAsia="zh-CN"/>
              </w:rPr>
              <w:t xml:space="preserve">□           </w:t>
            </w:r>
            <w:r>
              <w:rPr>
                <w:lang w:eastAsia="zh-CN"/>
              </w:rPr>
              <w:t>已有资料</w:t>
            </w:r>
            <w:r>
              <w:sym w:font="Wingdings 2" w:char="0052"/>
            </w:r>
            <w:r>
              <w:rPr>
                <w:lang w:eastAsia="zh-CN"/>
              </w:rPr>
              <w:t xml:space="preserve">            </w:t>
            </w:r>
            <w:r>
              <w:rPr>
                <w:lang w:eastAsia="zh-CN"/>
              </w:rPr>
              <w:t>研究成果</w:t>
            </w:r>
            <w:r>
              <w:rPr>
                <w:lang w:eastAsia="zh-CN"/>
              </w:rPr>
              <w:t>□</w:t>
            </w:r>
          </w:p>
        </w:tc>
      </w:tr>
      <w:tr w:rsidR="002E474C" w14:paraId="1BB24564" w14:textId="77777777">
        <w:tc>
          <w:tcPr>
            <w:tcW w:w="587" w:type="pct"/>
            <w:vMerge w:val="restart"/>
            <w:vAlign w:val="center"/>
          </w:tcPr>
          <w:p w14:paraId="15BA176B" w14:textId="77777777" w:rsidR="002E474C" w:rsidRDefault="00000000">
            <w:pPr>
              <w:pStyle w:val="A-"/>
              <w:rPr>
                <w:lang w:eastAsia="zh-CN"/>
              </w:rPr>
            </w:pPr>
            <w:r>
              <w:rPr>
                <w:lang w:eastAsia="zh-CN"/>
              </w:rPr>
              <w:t>声环境影响预测与评价</w:t>
            </w:r>
          </w:p>
        </w:tc>
        <w:tc>
          <w:tcPr>
            <w:tcW w:w="950" w:type="pct"/>
            <w:vAlign w:val="center"/>
          </w:tcPr>
          <w:p w14:paraId="1F2133D2" w14:textId="77777777" w:rsidR="002E474C" w:rsidRDefault="00000000">
            <w:pPr>
              <w:pStyle w:val="A-"/>
            </w:pPr>
            <w:proofErr w:type="spellStart"/>
            <w:r>
              <w:t>预测模型</w:t>
            </w:r>
            <w:proofErr w:type="spellEnd"/>
          </w:p>
        </w:tc>
        <w:tc>
          <w:tcPr>
            <w:tcW w:w="1901" w:type="pct"/>
            <w:gridSpan w:val="6"/>
            <w:vAlign w:val="center"/>
          </w:tcPr>
          <w:p w14:paraId="57CDD1DC" w14:textId="77777777" w:rsidR="002E474C" w:rsidRDefault="00000000">
            <w:pPr>
              <w:pStyle w:val="A-"/>
            </w:pPr>
            <w:proofErr w:type="spellStart"/>
            <w:r>
              <w:t>导则推荐模型</w:t>
            </w:r>
            <w:proofErr w:type="spellEnd"/>
            <w:r>
              <w:sym w:font="Wingdings 2" w:char="0052"/>
            </w:r>
          </w:p>
        </w:tc>
        <w:tc>
          <w:tcPr>
            <w:tcW w:w="1561" w:type="pct"/>
            <w:gridSpan w:val="5"/>
            <w:vAlign w:val="center"/>
          </w:tcPr>
          <w:p w14:paraId="0DF8C535" w14:textId="77777777" w:rsidR="002E474C" w:rsidRDefault="00000000">
            <w:pPr>
              <w:pStyle w:val="A-"/>
            </w:pPr>
            <w:proofErr w:type="spellStart"/>
            <w:r>
              <w:t>其他</w:t>
            </w:r>
            <w:proofErr w:type="spellEnd"/>
            <w:r>
              <w:t>□</w:t>
            </w:r>
          </w:p>
        </w:tc>
      </w:tr>
      <w:tr w:rsidR="002E474C" w14:paraId="76A03D8F" w14:textId="77777777">
        <w:tc>
          <w:tcPr>
            <w:tcW w:w="587" w:type="pct"/>
            <w:vMerge/>
            <w:vAlign w:val="center"/>
          </w:tcPr>
          <w:p w14:paraId="211CDD94" w14:textId="77777777" w:rsidR="002E474C" w:rsidRDefault="002E474C">
            <w:pPr>
              <w:pStyle w:val="A-"/>
            </w:pPr>
          </w:p>
        </w:tc>
        <w:tc>
          <w:tcPr>
            <w:tcW w:w="950" w:type="pct"/>
            <w:vAlign w:val="center"/>
          </w:tcPr>
          <w:p w14:paraId="6B6D3ED8" w14:textId="77777777" w:rsidR="002E474C" w:rsidRDefault="00000000">
            <w:pPr>
              <w:pStyle w:val="A-"/>
            </w:pPr>
            <w:proofErr w:type="spellStart"/>
            <w:r>
              <w:t>预测范围</w:t>
            </w:r>
            <w:proofErr w:type="spellEnd"/>
          </w:p>
        </w:tc>
        <w:tc>
          <w:tcPr>
            <w:tcW w:w="3463" w:type="pct"/>
            <w:gridSpan w:val="11"/>
            <w:vAlign w:val="center"/>
          </w:tcPr>
          <w:p w14:paraId="5910DAA1" w14:textId="77777777" w:rsidR="002E474C" w:rsidRDefault="00000000">
            <w:pPr>
              <w:pStyle w:val="A-"/>
            </w:pPr>
            <w:r>
              <w:t xml:space="preserve">200 m□         </w:t>
            </w:r>
            <w:r>
              <w:t>大于</w:t>
            </w:r>
            <w:r>
              <w:t xml:space="preserve">200 m□           </w:t>
            </w:r>
            <w:r>
              <w:t>小于</w:t>
            </w:r>
            <w:r>
              <w:t>200 m</w:t>
            </w:r>
            <w:r>
              <w:sym w:font="Wingdings 2" w:char="0052"/>
            </w:r>
          </w:p>
        </w:tc>
      </w:tr>
      <w:tr w:rsidR="002E474C" w14:paraId="75109040" w14:textId="77777777">
        <w:tc>
          <w:tcPr>
            <w:tcW w:w="587" w:type="pct"/>
            <w:vMerge/>
            <w:vAlign w:val="center"/>
          </w:tcPr>
          <w:p w14:paraId="7C668670" w14:textId="77777777" w:rsidR="002E474C" w:rsidRDefault="002E474C">
            <w:pPr>
              <w:pStyle w:val="A-"/>
            </w:pPr>
          </w:p>
        </w:tc>
        <w:tc>
          <w:tcPr>
            <w:tcW w:w="950" w:type="pct"/>
            <w:vAlign w:val="center"/>
          </w:tcPr>
          <w:p w14:paraId="044081AF" w14:textId="77777777" w:rsidR="002E474C" w:rsidRDefault="00000000">
            <w:pPr>
              <w:pStyle w:val="A-"/>
            </w:pPr>
            <w:proofErr w:type="spellStart"/>
            <w:r>
              <w:t>预测因子</w:t>
            </w:r>
            <w:proofErr w:type="spellEnd"/>
          </w:p>
        </w:tc>
        <w:tc>
          <w:tcPr>
            <w:tcW w:w="874" w:type="pct"/>
            <w:gridSpan w:val="3"/>
            <w:vAlign w:val="center"/>
          </w:tcPr>
          <w:p w14:paraId="39BBC7F4" w14:textId="77777777" w:rsidR="002E474C" w:rsidRDefault="00000000">
            <w:pPr>
              <w:pStyle w:val="A-"/>
            </w:pPr>
            <w:proofErr w:type="spellStart"/>
            <w:r>
              <w:t>等效连续</w:t>
            </w:r>
            <w:r>
              <w:t>A</w:t>
            </w:r>
            <w:r>
              <w:t>声级</w:t>
            </w:r>
            <w:proofErr w:type="spellEnd"/>
            <w:r>
              <w:sym w:font="Wingdings 2" w:char="0052"/>
            </w:r>
          </w:p>
        </w:tc>
        <w:tc>
          <w:tcPr>
            <w:tcW w:w="1028" w:type="pct"/>
            <w:gridSpan w:val="3"/>
            <w:vAlign w:val="center"/>
          </w:tcPr>
          <w:p w14:paraId="73F2AA03" w14:textId="77777777" w:rsidR="002E474C" w:rsidRDefault="00000000">
            <w:pPr>
              <w:pStyle w:val="A-"/>
            </w:pPr>
            <w:proofErr w:type="spellStart"/>
            <w:r>
              <w:t>最大</w:t>
            </w:r>
            <w:r>
              <w:t>A</w:t>
            </w:r>
            <w:r>
              <w:t>声级</w:t>
            </w:r>
            <w:proofErr w:type="spellEnd"/>
            <w:r>
              <w:t>□</w:t>
            </w:r>
          </w:p>
        </w:tc>
        <w:tc>
          <w:tcPr>
            <w:tcW w:w="1561" w:type="pct"/>
            <w:gridSpan w:val="5"/>
            <w:vAlign w:val="center"/>
          </w:tcPr>
          <w:p w14:paraId="3F713525" w14:textId="77777777" w:rsidR="002E474C" w:rsidRDefault="00000000">
            <w:pPr>
              <w:pStyle w:val="A-"/>
              <w:rPr>
                <w:lang w:eastAsia="zh-CN"/>
              </w:rPr>
            </w:pPr>
            <w:r>
              <w:rPr>
                <w:lang w:eastAsia="zh-CN"/>
              </w:rPr>
              <w:t>计权等效连续感觉噪声级</w:t>
            </w:r>
            <w:r>
              <w:rPr>
                <w:lang w:eastAsia="zh-CN"/>
              </w:rPr>
              <w:t>□</w:t>
            </w:r>
          </w:p>
        </w:tc>
      </w:tr>
      <w:tr w:rsidR="002E474C" w14:paraId="761BB0FE" w14:textId="77777777">
        <w:tc>
          <w:tcPr>
            <w:tcW w:w="587" w:type="pct"/>
            <w:vMerge/>
            <w:vAlign w:val="center"/>
          </w:tcPr>
          <w:p w14:paraId="177ACFDA" w14:textId="77777777" w:rsidR="002E474C" w:rsidRDefault="002E474C">
            <w:pPr>
              <w:pStyle w:val="A-"/>
              <w:rPr>
                <w:lang w:eastAsia="zh-CN"/>
              </w:rPr>
            </w:pPr>
          </w:p>
        </w:tc>
        <w:tc>
          <w:tcPr>
            <w:tcW w:w="950" w:type="pct"/>
            <w:vAlign w:val="center"/>
          </w:tcPr>
          <w:p w14:paraId="5D84A78C" w14:textId="77777777" w:rsidR="002E474C" w:rsidRDefault="00000000">
            <w:pPr>
              <w:pStyle w:val="A-"/>
            </w:pPr>
            <w:proofErr w:type="spellStart"/>
            <w:r>
              <w:t>厂界噪声贡献值</w:t>
            </w:r>
            <w:proofErr w:type="spellEnd"/>
          </w:p>
        </w:tc>
        <w:tc>
          <w:tcPr>
            <w:tcW w:w="3463" w:type="pct"/>
            <w:gridSpan w:val="11"/>
            <w:vAlign w:val="center"/>
          </w:tcPr>
          <w:p w14:paraId="451C9F65" w14:textId="77777777" w:rsidR="002E474C" w:rsidRDefault="00000000">
            <w:pPr>
              <w:pStyle w:val="A-"/>
            </w:pPr>
            <w:proofErr w:type="spellStart"/>
            <w:r>
              <w:t>达标</w:t>
            </w:r>
            <w:proofErr w:type="spellEnd"/>
            <w:r>
              <w:sym w:font="Wingdings 2" w:char="0052"/>
            </w:r>
            <w:r>
              <w:t xml:space="preserve">                           </w:t>
            </w:r>
            <w:proofErr w:type="spellStart"/>
            <w:r>
              <w:t>不达标</w:t>
            </w:r>
            <w:proofErr w:type="spellEnd"/>
            <w:r>
              <w:t>□</w:t>
            </w:r>
          </w:p>
        </w:tc>
      </w:tr>
      <w:tr w:rsidR="002E474C" w14:paraId="26282F25" w14:textId="77777777">
        <w:tc>
          <w:tcPr>
            <w:tcW w:w="587" w:type="pct"/>
            <w:vMerge/>
            <w:vAlign w:val="center"/>
          </w:tcPr>
          <w:p w14:paraId="1F61EF2B" w14:textId="77777777" w:rsidR="002E474C" w:rsidRDefault="002E474C">
            <w:pPr>
              <w:pStyle w:val="A-"/>
            </w:pPr>
          </w:p>
        </w:tc>
        <w:tc>
          <w:tcPr>
            <w:tcW w:w="950" w:type="pct"/>
            <w:vAlign w:val="center"/>
          </w:tcPr>
          <w:p w14:paraId="0B2117DF" w14:textId="77777777" w:rsidR="002E474C" w:rsidRDefault="00000000">
            <w:pPr>
              <w:pStyle w:val="A-"/>
              <w:rPr>
                <w:lang w:eastAsia="zh-CN"/>
              </w:rPr>
            </w:pPr>
            <w:r>
              <w:rPr>
                <w:lang w:eastAsia="zh-CN"/>
              </w:rPr>
              <w:t>声环境保护目标处噪声值</w:t>
            </w:r>
          </w:p>
        </w:tc>
        <w:tc>
          <w:tcPr>
            <w:tcW w:w="3463" w:type="pct"/>
            <w:gridSpan w:val="11"/>
            <w:vAlign w:val="center"/>
          </w:tcPr>
          <w:p w14:paraId="0F9D71EC" w14:textId="77777777" w:rsidR="002E474C" w:rsidRDefault="00000000">
            <w:pPr>
              <w:pStyle w:val="A-"/>
            </w:pPr>
            <w:proofErr w:type="spellStart"/>
            <w:r>
              <w:t>达标</w:t>
            </w:r>
            <w:proofErr w:type="spellEnd"/>
            <w:r>
              <w:t xml:space="preserve">□                            </w:t>
            </w:r>
            <w:proofErr w:type="spellStart"/>
            <w:r>
              <w:t>不达标</w:t>
            </w:r>
            <w:proofErr w:type="spellEnd"/>
            <w:r>
              <w:t>□</w:t>
            </w:r>
          </w:p>
        </w:tc>
      </w:tr>
      <w:tr w:rsidR="002E474C" w14:paraId="36FDB40C" w14:textId="77777777">
        <w:tc>
          <w:tcPr>
            <w:tcW w:w="587" w:type="pct"/>
            <w:vMerge w:val="restart"/>
            <w:vAlign w:val="center"/>
          </w:tcPr>
          <w:p w14:paraId="6EA5720F" w14:textId="77777777" w:rsidR="002E474C" w:rsidRDefault="00000000">
            <w:pPr>
              <w:pStyle w:val="A-"/>
            </w:pPr>
            <w:proofErr w:type="spellStart"/>
            <w:r>
              <w:t>环境监测计划</w:t>
            </w:r>
            <w:proofErr w:type="spellEnd"/>
          </w:p>
        </w:tc>
        <w:tc>
          <w:tcPr>
            <w:tcW w:w="950" w:type="pct"/>
            <w:vAlign w:val="center"/>
          </w:tcPr>
          <w:p w14:paraId="5C159E90" w14:textId="77777777" w:rsidR="002E474C" w:rsidRDefault="00000000">
            <w:pPr>
              <w:pStyle w:val="A-"/>
            </w:pPr>
            <w:proofErr w:type="spellStart"/>
            <w:r>
              <w:t>排放监测</w:t>
            </w:r>
            <w:proofErr w:type="spellEnd"/>
          </w:p>
        </w:tc>
        <w:tc>
          <w:tcPr>
            <w:tcW w:w="3463" w:type="pct"/>
            <w:gridSpan w:val="11"/>
            <w:vAlign w:val="center"/>
          </w:tcPr>
          <w:p w14:paraId="4470D08E" w14:textId="77777777" w:rsidR="002E474C" w:rsidRDefault="00000000">
            <w:pPr>
              <w:pStyle w:val="A-"/>
              <w:rPr>
                <w:lang w:eastAsia="zh-CN"/>
              </w:rPr>
            </w:pPr>
            <w:r>
              <w:rPr>
                <w:lang w:eastAsia="zh-CN"/>
              </w:rPr>
              <w:t>厂界监测</w:t>
            </w:r>
            <w:r>
              <w:sym w:font="Wingdings 2" w:char="0052"/>
            </w:r>
            <w:r>
              <w:rPr>
                <w:lang w:eastAsia="zh-CN"/>
              </w:rPr>
              <w:t xml:space="preserve"> </w:t>
            </w:r>
            <w:r>
              <w:rPr>
                <w:lang w:eastAsia="zh-CN"/>
              </w:rPr>
              <w:t>固定位置监测</w:t>
            </w:r>
            <w:r>
              <w:rPr>
                <w:lang w:eastAsia="zh-CN"/>
              </w:rPr>
              <w:t xml:space="preserve">□  </w:t>
            </w:r>
            <w:r>
              <w:rPr>
                <w:lang w:eastAsia="zh-CN"/>
              </w:rPr>
              <w:t>自动监测</w:t>
            </w:r>
            <w:r>
              <w:rPr>
                <w:lang w:eastAsia="zh-CN"/>
              </w:rPr>
              <w:t xml:space="preserve">□ </w:t>
            </w:r>
            <w:r>
              <w:rPr>
                <w:lang w:eastAsia="zh-CN"/>
              </w:rPr>
              <w:t>手动监测</w:t>
            </w:r>
            <w:r>
              <w:sym w:font="Wingdings 2" w:char="0052"/>
            </w:r>
            <w:r>
              <w:rPr>
                <w:lang w:eastAsia="zh-CN"/>
              </w:rPr>
              <w:t xml:space="preserve"> </w:t>
            </w:r>
            <w:r>
              <w:rPr>
                <w:lang w:eastAsia="zh-CN"/>
              </w:rPr>
              <w:t>无监测</w:t>
            </w:r>
            <w:r>
              <w:rPr>
                <w:lang w:eastAsia="zh-CN"/>
              </w:rPr>
              <w:t>□</w:t>
            </w:r>
          </w:p>
        </w:tc>
      </w:tr>
      <w:tr w:rsidR="002E474C" w14:paraId="0839314D" w14:textId="77777777">
        <w:tc>
          <w:tcPr>
            <w:tcW w:w="587" w:type="pct"/>
            <w:vMerge/>
            <w:vAlign w:val="center"/>
          </w:tcPr>
          <w:p w14:paraId="3DF10FBE" w14:textId="77777777" w:rsidR="002E474C" w:rsidRDefault="002E474C">
            <w:pPr>
              <w:pStyle w:val="A-"/>
              <w:rPr>
                <w:lang w:eastAsia="zh-CN"/>
              </w:rPr>
            </w:pPr>
          </w:p>
        </w:tc>
        <w:tc>
          <w:tcPr>
            <w:tcW w:w="950" w:type="pct"/>
            <w:vAlign w:val="center"/>
          </w:tcPr>
          <w:p w14:paraId="63F5CEA1" w14:textId="77777777" w:rsidR="002E474C" w:rsidRDefault="00000000">
            <w:pPr>
              <w:pStyle w:val="A-"/>
              <w:rPr>
                <w:lang w:eastAsia="zh-CN"/>
              </w:rPr>
            </w:pPr>
            <w:r>
              <w:rPr>
                <w:lang w:eastAsia="zh-CN"/>
              </w:rPr>
              <w:t>声环境保护目标处噪声监测</w:t>
            </w:r>
          </w:p>
        </w:tc>
        <w:tc>
          <w:tcPr>
            <w:tcW w:w="1549" w:type="pct"/>
            <w:gridSpan w:val="5"/>
            <w:vAlign w:val="center"/>
          </w:tcPr>
          <w:p w14:paraId="6804D1D3" w14:textId="77777777" w:rsidR="002E474C" w:rsidRDefault="00000000">
            <w:pPr>
              <w:pStyle w:val="A-"/>
            </w:pPr>
            <w:proofErr w:type="spellStart"/>
            <w:r>
              <w:t>监测因子</w:t>
            </w:r>
            <w:proofErr w:type="spellEnd"/>
            <w:r>
              <w:t>：（</w:t>
            </w:r>
            <w:r>
              <w:t xml:space="preserve">  </w:t>
            </w:r>
            <w:r>
              <w:t>）</w:t>
            </w:r>
          </w:p>
        </w:tc>
        <w:tc>
          <w:tcPr>
            <w:tcW w:w="1130" w:type="pct"/>
            <w:gridSpan w:val="4"/>
            <w:vAlign w:val="center"/>
          </w:tcPr>
          <w:p w14:paraId="1BF2759A" w14:textId="77777777" w:rsidR="002E474C" w:rsidRDefault="00000000">
            <w:pPr>
              <w:pStyle w:val="A-"/>
            </w:pPr>
            <w:proofErr w:type="spellStart"/>
            <w:r>
              <w:t>监测点位数</w:t>
            </w:r>
            <w:proofErr w:type="spellEnd"/>
            <w:r>
              <w:t>（</w:t>
            </w:r>
            <w:r>
              <w:t xml:space="preserve">  </w:t>
            </w:r>
            <w:r>
              <w:t>）</w:t>
            </w:r>
          </w:p>
        </w:tc>
        <w:tc>
          <w:tcPr>
            <w:tcW w:w="783" w:type="pct"/>
            <w:gridSpan w:val="2"/>
            <w:vAlign w:val="center"/>
          </w:tcPr>
          <w:p w14:paraId="3F9668A4" w14:textId="77777777" w:rsidR="002E474C" w:rsidRDefault="00000000">
            <w:pPr>
              <w:pStyle w:val="A-"/>
            </w:pPr>
            <w:proofErr w:type="spellStart"/>
            <w:r>
              <w:t>无监测</w:t>
            </w:r>
            <w:proofErr w:type="spellEnd"/>
            <w:r>
              <w:sym w:font="Wingdings 2" w:char="0052"/>
            </w:r>
          </w:p>
        </w:tc>
      </w:tr>
      <w:tr w:rsidR="002E474C" w14:paraId="59D8B2C2" w14:textId="77777777">
        <w:tc>
          <w:tcPr>
            <w:tcW w:w="587" w:type="pct"/>
            <w:vAlign w:val="center"/>
          </w:tcPr>
          <w:p w14:paraId="152502A9" w14:textId="77777777" w:rsidR="002E474C" w:rsidRDefault="00000000">
            <w:pPr>
              <w:pStyle w:val="A-"/>
            </w:pPr>
            <w:proofErr w:type="spellStart"/>
            <w:r>
              <w:t>评价结论</w:t>
            </w:r>
            <w:proofErr w:type="spellEnd"/>
          </w:p>
        </w:tc>
        <w:tc>
          <w:tcPr>
            <w:tcW w:w="950" w:type="pct"/>
            <w:vAlign w:val="center"/>
          </w:tcPr>
          <w:p w14:paraId="47E3BCE6" w14:textId="77777777" w:rsidR="002E474C" w:rsidRDefault="00000000">
            <w:pPr>
              <w:pStyle w:val="A-"/>
            </w:pPr>
            <w:proofErr w:type="spellStart"/>
            <w:r>
              <w:t>环境影响</w:t>
            </w:r>
            <w:proofErr w:type="spellEnd"/>
          </w:p>
        </w:tc>
        <w:tc>
          <w:tcPr>
            <w:tcW w:w="3463" w:type="pct"/>
            <w:gridSpan w:val="11"/>
            <w:vAlign w:val="center"/>
          </w:tcPr>
          <w:p w14:paraId="06D2A38B" w14:textId="77777777" w:rsidR="002E474C" w:rsidRDefault="00000000">
            <w:pPr>
              <w:pStyle w:val="A-"/>
            </w:pPr>
            <w:proofErr w:type="spellStart"/>
            <w:r>
              <w:t>可行</w:t>
            </w:r>
            <w:proofErr w:type="spellEnd"/>
            <w:r>
              <w:sym w:font="Wingdings 2" w:char="0052"/>
            </w:r>
            <w:r>
              <w:tab/>
              <w:t xml:space="preserve">         </w:t>
            </w:r>
            <w:proofErr w:type="spellStart"/>
            <w:r>
              <w:t>不可行</w:t>
            </w:r>
            <w:proofErr w:type="spellEnd"/>
            <w:r>
              <w:t>□</w:t>
            </w:r>
          </w:p>
        </w:tc>
      </w:tr>
      <w:tr w:rsidR="002E474C" w14:paraId="07F1E734" w14:textId="77777777">
        <w:tc>
          <w:tcPr>
            <w:tcW w:w="5000" w:type="pct"/>
            <w:gridSpan w:val="13"/>
            <w:vAlign w:val="center"/>
          </w:tcPr>
          <w:p w14:paraId="694E9D35" w14:textId="77777777" w:rsidR="002E474C" w:rsidRDefault="00000000">
            <w:pPr>
              <w:pStyle w:val="A-"/>
              <w:rPr>
                <w:lang w:eastAsia="zh-CN"/>
              </w:rPr>
            </w:pPr>
            <w:r>
              <w:rPr>
                <w:lang w:eastAsia="zh-CN"/>
              </w:rPr>
              <w:t>注</w:t>
            </w:r>
            <w:r>
              <w:rPr>
                <w:lang w:eastAsia="zh-CN"/>
              </w:rPr>
              <w:t>“□”</w:t>
            </w:r>
            <w:r>
              <w:rPr>
                <w:lang w:eastAsia="zh-CN"/>
              </w:rPr>
              <w:t>为勾选项</w:t>
            </w:r>
            <w:r>
              <w:rPr>
                <w:lang w:eastAsia="zh-CN"/>
              </w:rPr>
              <w:t xml:space="preserve"> </w:t>
            </w:r>
            <w:r>
              <w:rPr>
                <w:lang w:eastAsia="zh-CN"/>
              </w:rPr>
              <w:t>，可</w:t>
            </w:r>
            <w:r>
              <w:rPr>
                <w:lang w:eastAsia="zh-CN"/>
              </w:rPr>
              <w:t>√</w:t>
            </w:r>
            <w:r>
              <w:rPr>
                <w:lang w:eastAsia="zh-CN"/>
              </w:rPr>
              <w:t>；</w:t>
            </w:r>
            <w:r>
              <w:rPr>
                <w:lang w:eastAsia="zh-CN"/>
              </w:rPr>
              <w:t>“</w:t>
            </w:r>
            <w:r>
              <w:rPr>
                <w:lang w:eastAsia="zh-CN"/>
              </w:rPr>
              <w:t>（</w:t>
            </w:r>
            <w:r>
              <w:rPr>
                <w:lang w:eastAsia="zh-CN"/>
              </w:rPr>
              <w:t xml:space="preserve">  </w:t>
            </w:r>
            <w:r>
              <w:rPr>
                <w:lang w:eastAsia="zh-CN"/>
              </w:rPr>
              <w:t>）</w:t>
            </w:r>
            <w:r>
              <w:rPr>
                <w:lang w:eastAsia="zh-CN"/>
              </w:rPr>
              <w:t>”</w:t>
            </w:r>
            <w:r>
              <w:rPr>
                <w:lang w:eastAsia="zh-CN"/>
              </w:rPr>
              <w:t>为内容填写项。</w:t>
            </w:r>
          </w:p>
        </w:tc>
      </w:tr>
    </w:tbl>
    <w:p w14:paraId="663F6D69" w14:textId="77777777" w:rsidR="002E474C" w:rsidRDefault="002E474C">
      <w:pPr>
        <w:pStyle w:val="w3"/>
      </w:pPr>
      <w:bookmarkStart w:id="301" w:name="_Toc225848867"/>
    </w:p>
    <w:p w14:paraId="2A5545D7" w14:textId="77777777" w:rsidR="002E474C" w:rsidRDefault="00000000">
      <w:pPr>
        <w:pStyle w:val="21"/>
        <w:spacing w:before="240" w:after="240"/>
        <w:rPr>
          <w:color w:val="auto"/>
        </w:rPr>
      </w:pPr>
      <w:bookmarkStart w:id="302" w:name="_Toc7283"/>
      <w:r>
        <w:rPr>
          <w:color w:val="auto"/>
        </w:rPr>
        <w:t>固体废物环境影响分析</w:t>
      </w:r>
      <w:bookmarkEnd w:id="301"/>
      <w:bookmarkEnd w:id="302"/>
    </w:p>
    <w:p w14:paraId="246503C7" w14:textId="77777777" w:rsidR="002E474C" w:rsidRDefault="00000000">
      <w:pPr>
        <w:pStyle w:val="31"/>
        <w:spacing w:before="120" w:after="120"/>
        <w:rPr>
          <w:color w:val="auto"/>
        </w:rPr>
      </w:pPr>
      <w:r>
        <w:rPr>
          <w:color w:val="auto"/>
        </w:rPr>
        <w:t>固体废物的来源、种类和数量</w:t>
      </w:r>
    </w:p>
    <w:p w14:paraId="524EA562" w14:textId="77777777" w:rsidR="002E474C" w:rsidRDefault="00000000">
      <w:pPr>
        <w:pStyle w:val="A-z"/>
        <w:rPr>
          <w:color w:val="auto"/>
        </w:rPr>
      </w:pPr>
      <w:r>
        <w:rPr>
          <w:color w:val="auto"/>
        </w:rPr>
        <w:t>本项目产生的固体废物包括废包装物、预处理产生的滤渣、污水收集池污泥、废活性炭、废滤袋、废润滑油及生活垃圾等。</w:t>
      </w:r>
    </w:p>
    <w:p w14:paraId="2E2B945E" w14:textId="77777777" w:rsidR="002E474C" w:rsidRDefault="00000000">
      <w:pPr>
        <w:pStyle w:val="31"/>
        <w:spacing w:before="120" w:after="120"/>
        <w:rPr>
          <w:color w:val="auto"/>
        </w:rPr>
      </w:pPr>
      <w:r>
        <w:rPr>
          <w:color w:val="auto"/>
        </w:rPr>
        <w:t>固体废物环境影响分析</w:t>
      </w:r>
    </w:p>
    <w:p w14:paraId="58E7A5FA" w14:textId="77777777" w:rsidR="002E474C" w:rsidRDefault="00000000">
      <w:pPr>
        <w:pStyle w:val="A-z"/>
        <w:rPr>
          <w:color w:val="auto"/>
        </w:rPr>
      </w:pPr>
      <w:bookmarkStart w:id="303" w:name="_Hlk151318811"/>
      <w:bookmarkStart w:id="304" w:name="_Hlk151318792"/>
      <w:r>
        <w:rPr>
          <w:color w:val="auto"/>
        </w:rPr>
        <w:t>本项目产生的</w:t>
      </w:r>
      <w:bookmarkEnd w:id="303"/>
      <w:r>
        <w:rPr>
          <w:color w:val="auto"/>
        </w:rPr>
        <w:t>废包装物、预处理滤渣、污水污泥、废活性炭、废滤袋、废润滑油等固体废物按照固态或液态入窑废物的预处理方式预处理后投入水泥窑处置。产生</w:t>
      </w:r>
      <w:r>
        <w:rPr>
          <w:rFonts w:hint="eastAsia"/>
          <w:color w:val="auto"/>
        </w:rPr>
        <w:t>的</w:t>
      </w:r>
      <w:r>
        <w:rPr>
          <w:color w:val="auto"/>
        </w:rPr>
        <w:t>生活垃圾依托现有厂区处置方式，运至圣雄股份公司垃圾场处理。本项目产生固体废物得到有效处理处置，不会对周边环境造成影响。</w:t>
      </w:r>
      <w:bookmarkEnd w:id="304"/>
    </w:p>
    <w:p w14:paraId="49D73AC4" w14:textId="77777777" w:rsidR="002E474C" w:rsidRDefault="00000000">
      <w:pPr>
        <w:pStyle w:val="31"/>
        <w:spacing w:before="120" w:after="120"/>
        <w:rPr>
          <w:color w:val="auto"/>
        </w:rPr>
      </w:pPr>
      <w:r>
        <w:rPr>
          <w:color w:val="auto"/>
        </w:rPr>
        <w:lastRenderedPageBreak/>
        <w:t>固体废物的运输对环境的影响</w:t>
      </w:r>
    </w:p>
    <w:p w14:paraId="60F64DF6" w14:textId="77777777" w:rsidR="002E474C" w:rsidRDefault="00000000">
      <w:pPr>
        <w:pStyle w:val="A-z"/>
        <w:rPr>
          <w:color w:val="auto"/>
        </w:rPr>
      </w:pPr>
      <w:r>
        <w:rPr>
          <w:color w:val="auto"/>
        </w:rPr>
        <w:t>本项目处置的危险物主要来自</w:t>
      </w:r>
      <w:r>
        <w:rPr>
          <w:bCs/>
          <w:color w:val="auto"/>
          <w:lang w:val="en-US"/>
        </w:rPr>
        <w:t>预处理中心。</w:t>
      </w:r>
      <w:r>
        <w:rPr>
          <w:color w:val="auto"/>
        </w:rPr>
        <w:t>采用公路运输，运输过程中不适当的操作或意外的事故均有可能导致运输途中的环境污染。可能造成运输污染的主要因素有：（</w:t>
      </w:r>
      <w:r>
        <w:rPr>
          <w:color w:val="auto"/>
        </w:rPr>
        <w:t>1</w:t>
      </w:r>
      <w:r>
        <w:rPr>
          <w:color w:val="auto"/>
        </w:rPr>
        <w:t>）由于危险废物装运不合格，造成废物在中途发性泄漏、流失等情况，造成沿途污染；（</w:t>
      </w:r>
      <w:r>
        <w:rPr>
          <w:color w:val="auto"/>
        </w:rPr>
        <w:t>2</w:t>
      </w:r>
      <w:r>
        <w:rPr>
          <w:color w:val="auto"/>
        </w:rPr>
        <w:t>）由于运输车辆发生交通事故造成危险废物大量倾倒、流失，造成事故发生地发生污染事故。一旦发生事故，导致危险废物大量倾倒、流失，会对周边土壤、植被、农田、河流造成严重的影响。因此，在运输过程中，应采取严格的防范措施。</w:t>
      </w:r>
    </w:p>
    <w:p w14:paraId="6419D19F" w14:textId="77777777" w:rsidR="002E474C" w:rsidRDefault="00000000">
      <w:pPr>
        <w:pStyle w:val="A-z"/>
        <w:rPr>
          <w:color w:val="auto"/>
        </w:rPr>
      </w:pPr>
      <w:r>
        <w:rPr>
          <w:color w:val="auto"/>
        </w:rPr>
        <w:t>运输路线环境影响：本项目危废的收集、运输委托具有交通运输部门颁发的危险货物运输资质的单位进行，本项目主要运输路线（主要走国道、省道，周边环境敏点相对较少）尽量不涉及自然保护区、风景名胜区和饮用水保护区；本项目危废进厂路线（项目周边）专用进厂道路，在采取有效的设施密闭、优化运输时间、控制车速等措施后，对周边环境影响较小。</w:t>
      </w:r>
    </w:p>
    <w:p w14:paraId="4D8BB93F" w14:textId="77777777" w:rsidR="002E474C" w:rsidRDefault="00000000">
      <w:pPr>
        <w:pStyle w:val="A-z"/>
        <w:rPr>
          <w:color w:val="auto"/>
        </w:rPr>
      </w:pPr>
      <w:r>
        <w:rPr>
          <w:color w:val="auto"/>
        </w:rPr>
        <w:t>噪声：运输车产生的噪声影响主要是车流量的增加导致道路交通噪声对两侧敏感点影响。本项目固废运输道路，均依托现有区域公路网，不新建厂外运输道路。项目设计运输车辆规模约为</w:t>
      </w:r>
      <w:r>
        <w:rPr>
          <w:color w:val="auto"/>
        </w:rPr>
        <w:t>20t/</w:t>
      </w:r>
      <w:r>
        <w:rPr>
          <w:color w:val="auto"/>
        </w:rPr>
        <w:t>辆，按固废运输量</w:t>
      </w:r>
      <w:r>
        <w:rPr>
          <w:color w:val="auto"/>
        </w:rPr>
        <w:t>167t/d</w:t>
      </w:r>
      <w:r>
        <w:rPr>
          <w:color w:val="auto"/>
        </w:rPr>
        <w:t>计，则每天运输车辆最多需要</w:t>
      </w:r>
      <w:r>
        <w:rPr>
          <w:color w:val="auto"/>
        </w:rPr>
        <w:t>9</w:t>
      </w:r>
      <w:r>
        <w:rPr>
          <w:color w:val="auto"/>
        </w:rPr>
        <w:t>辆，车流量增加量较少。</w:t>
      </w:r>
    </w:p>
    <w:p w14:paraId="044E82BA" w14:textId="77777777" w:rsidR="002E474C" w:rsidRDefault="00000000">
      <w:pPr>
        <w:pStyle w:val="A-z"/>
        <w:rPr>
          <w:color w:val="auto"/>
        </w:rPr>
      </w:pPr>
      <w:r>
        <w:rPr>
          <w:color w:val="auto"/>
        </w:rPr>
        <w:t>恶臭：项目运输的危险固废会产生少量的硫化氢、氨气等恶臭，恶臭气味会使人感到不愉快。项目固废运输车辆计划采用全密封式固废运输车，运输过程中基本可控制运输车的臭气泄漏及其渗滤液洒漏问题。</w:t>
      </w:r>
    </w:p>
    <w:p w14:paraId="52F9CF11" w14:textId="77777777" w:rsidR="002E474C" w:rsidRDefault="00000000">
      <w:pPr>
        <w:pStyle w:val="A-z"/>
        <w:rPr>
          <w:color w:val="auto"/>
        </w:rPr>
      </w:pPr>
      <w:r>
        <w:rPr>
          <w:color w:val="auto"/>
        </w:rPr>
        <w:t>渗滤液：在车辆密封良好的情况下，运输过程中可有效控制污泥运输车的渗滤液泄漏问题，对固废运输车所经过的道路两旁水体水质影响不大。但是，若固废运输车出现渗滤液沿路洒漏，则会由雨水冲测路面而对附近水体造成污染。</w:t>
      </w:r>
    </w:p>
    <w:p w14:paraId="5489B38A" w14:textId="77777777" w:rsidR="002E474C" w:rsidRDefault="00000000">
      <w:pPr>
        <w:pStyle w:val="31"/>
        <w:spacing w:before="120" w:after="120"/>
        <w:rPr>
          <w:color w:val="auto"/>
        </w:rPr>
      </w:pPr>
      <w:r>
        <w:rPr>
          <w:color w:val="auto"/>
        </w:rPr>
        <w:t>固体废物的贮存对环境的影响</w:t>
      </w:r>
    </w:p>
    <w:p w14:paraId="41B99258" w14:textId="7E61D46F" w:rsidR="002E474C" w:rsidRDefault="00694512">
      <w:pPr>
        <w:pStyle w:val="A-z"/>
        <w:rPr>
          <w:color w:val="auto"/>
        </w:rPr>
      </w:pPr>
      <w:r>
        <w:rPr>
          <w:rFonts w:hint="eastAsia"/>
          <w:color w:val="auto"/>
        </w:rPr>
        <w:t>本</w:t>
      </w:r>
      <w:r>
        <w:rPr>
          <w:color w:val="auto"/>
        </w:rPr>
        <w:t>项目危险废物贮存设施按《危险废物贮存污染控制标准》（</w:t>
      </w:r>
      <w:r>
        <w:rPr>
          <w:color w:val="auto"/>
        </w:rPr>
        <w:t>GB18597-2023</w:t>
      </w:r>
      <w:r>
        <w:rPr>
          <w:color w:val="auto"/>
        </w:rPr>
        <w:t>）进行建设</w:t>
      </w:r>
      <w:r>
        <w:rPr>
          <w:rFonts w:hint="eastAsia"/>
          <w:color w:val="auto"/>
        </w:rPr>
        <w:t>及管理</w:t>
      </w:r>
      <w:r>
        <w:rPr>
          <w:color w:val="auto"/>
        </w:rPr>
        <w:t>，贮存场所根据《环境保护图形标志－固体</w:t>
      </w:r>
      <w:r w:rsidRPr="002C56C2">
        <w:rPr>
          <w:color w:val="auto"/>
        </w:rPr>
        <w:t>废物贮存（处置）场》（</w:t>
      </w:r>
      <w:r w:rsidRPr="002C56C2">
        <w:rPr>
          <w:color w:val="auto"/>
        </w:rPr>
        <w:t>GB15562.2-1995</w:t>
      </w:r>
      <w:r w:rsidRPr="002C56C2">
        <w:rPr>
          <w:color w:val="auto"/>
        </w:rPr>
        <w:t>）</w:t>
      </w:r>
      <w:r w:rsidRPr="002C56C2">
        <w:rPr>
          <w:color w:val="auto"/>
          <w:lang w:val="en-US"/>
        </w:rPr>
        <w:t>（</w:t>
      </w:r>
      <w:r w:rsidRPr="002C56C2">
        <w:rPr>
          <w:color w:val="auto"/>
          <w:lang w:val="en-US"/>
        </w:rPr>
        <w:t>2023</w:t>
      </w:r>
      <w:r w:rsidRPr="002C56C2">
        <w:rPr>
          <w:color w:val="auto"/>
          <w:lang w:val="en-US"/>
        </w:rPr>
        <w:t>修改单）</w:t>
      </w:r>
      <w:r w:rsidRPr="002C56C2">
        <w:rPr>
          <w:rFonts w:hint="eastAsia"/>
          <w:color w:val="auto"/>
        </w:rPr>
        <w:t>、</w:t>
      </w:r>
      <w:r w:rsidRPr="002C56C2">
        <w:rPr>
          <w:color w:val="auto"/>
        </w:rPr>
        <w:t>《危险废物识别标志</w:t>
      </w:r>
      <w:r>
        <w:rPr>
          <w:color w:val="auto"/>
        </w:rPr>
        <w:t>设置技术规范》（</w:t>
      </w:r>
      <w:r>
        <w:rPr>
          <w:color w:val="auto"/>
        </w:rPr>
        <w:t>HJ 1276-2022</w:t>
      </w:r>
      <w:r>
        <w:rPr>
          <w:color w:val="auto"/>
        </w:rPr>
        <w:t>）设立专用标志。根据相符性分析内容，项目所在地水文地质结构、与</w:t>
      </w:r>
      <w:r>
        <w:rPr>
          <w:color w:val="auto"/>
        </w:rPr>
        <w:lastRenderedPageBreak/>
        <w:t>聚集区的相对位置、防渗性能等均能满足危险废物贮存设施的选址与设计原则的各项要求，因此贮存选址可行。</w:t>
      </w:r>
    </w:p>
    <w:p w14:paraId="07301250" w14:textId="77777777" w:rsidR="002E474C" w:rsidRDefault="00000000">
      <w:pPr>
        <w:pStyle w:val="A-z"/>
        <w:rPr>
          <w:color w:val="auto"/>
        </w:rPr>
      </w:pPr>
      <w:r>
        <w:rPr>
          <w:color w:val="auto"/>
        </w:rPr>
        <w:t>综上所述，项目危废在贮存过程中，基本不会对外环境造成影响。</w:t>
      </w:r>
    </w:p>
    <w:p w14:paraId="5A3B4075" w14:textId="77777777" w:rsidR="002E474C" w:rsidRDefault="00000000">
      <w:pPr>
        <w:pStyle w:val="21"/>
        <w:spacing w:before="240" w:after="240"/>
        <w:rPr>
          <w:color w:val="auto"/>
        </w:rPr>
      </w:pPr>
      <w:bookmarkStart w:id="305" w:name="_Toc31588"/>
      <w:bookmarkStart w:id="306" w:name="_Toc225848868"/>
      <w:r>
        <w:rPr>
          <w:color w:val="auto"/>
        </w:rPr>
        <w:t>土壤环境影响分析</w:t>
      </w:r>
      <w:bookmarkEnd w:id="305"/>
      <w:bookmarkEnd w:id="306"/>
    </w:p>
    <w:p w14:paraId="2E24A797" w14:textId="77777777" w:rsidR="002E474C" w:rsidRDefault="00000000">
      <w:pPr>
        <w:pStyle w:val="31"/>
        <w:spacing w:before="120" w:after="120"/>
        <w:rPr>
          <w:color w:val="auto"/>
        </w:rPr>
      </w:pPr>
      <w:r>
        <w:rPr>
          <w:color w:val="auto"/>
        </w:rPr>
        <w:t>影响类型及途径</w:t>
      </w:r>
    </w:p>
    <w:p w14:paraId="4F3E1296" w14:textId="77777777" w:rsidR="002E474C" w:rsidRDefault="00000000">
      <w:pPr>
        <w:pStyle w:val="A-z"/>
        <w:rPr>
          <w:color w:val="auto"/>
        </w:rPr>
      </w:pPr>
      <w:r>
        <w:rPr>
          <w:color w:val="auto"/>
        </w:rPr>
        <w:t>本项目的建设不会引起土壤环境的酸化、盐化和碱化，不属于生态影响型，属于污染影响型。</w:t>
      </w:r>
      <w:bookmarkStart w:id="307" w:name="_Hlk151236041"/>
      <w:r>
        <w:rPr>
          <w:color w:val="auto"/>
        </w:rPr>
        <w:t>本项目运营期环境影响识别主要针对排放的大气污染物和废水污染物，重点关注大气沉降及事故工况下液态废物储存区泄漏对土壤产生的影响等</w:t>
      </w:r>
      <w:bookmarkEnd w:id="307"/>
      <w:r>
        <w:rPr>
          <w:color w:val="auto"/>
        </w:rPr>
        <w:t>，见表</w:t>
      </w:r>
      <w:r>
        <w:rPr>
          <w:color w:val="auto"/>
        </w:rPr>
        <w:t>5.6</w:t>
      </w:r>
      <w:r>
        <w:rPr>
          <w:color w:val="auto"/>
        </w:rPr>
        <w:noBreakHyphen/>
        <w:t>1</w:t>
      </w:r>
      <w:r>
        <w:rPr>
          <w:color w:val="auto"/>
        </w:rPr>
        <w:t>。</w:t>
      </w:r>
    </w:p>
    <w:p w14:paraId="1B5BF051" w14:textId="77777777" w:rsidR="002E474C" w:rsidRDefault="00000000">
      <w:pPr>
        <w:pStyle w:val="A--"/>
        <w:rPr>
          <w:color w:val="auto"/>
        </w:rPr>
      </w:pPr>
      <w:bookmarkStart w:id="308" w:name="_Ref131527739"/>
      <w:r>
        <w:rPr>
          <w:color w:val="auto"/>
        </w:rPr>
        <w:t>表</w:t>
      </w:r>
      <w:r>
        <w:rPr>
          <w:color w:val="auto"/>
        </w:rPr>
        <w:t>5.6</w:t>
      </w:r>
      <w:r>
        <w:rPr>
          <w:color w:val="auto"/>
        </w:rPr>
        <w:noBreakHyphen/>
        <w:t>1</w:t>
      </w:r>
      <w:bookmarkEnd w:id="308"/>
      <w:r>
        <w:rPr>
          <w:color w:val="auto"/>
        </w:rPr>
        <w:t xml:space="preserve">  </w:t>
      </w:r>
      <w:r>
        <w:rPr>
          <w:color w:val="auto"/>
        </w:rPr>
        <w:t>建设项目土壤环境影响类型与影响途径表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728"/>
        <w:gridCol w:w="1728"/>
        <w:gridCol w:w="1728"/>
        <w:gridCol w:w="1041"/>
      </w:tblGrid>
      <w:tr w:rsidR="002E474C" w14:paraId="78452BEC" w14:textId="77777777">
        <w:tc>
          <w:tcPr>
            <w:tcW w:w="0" w:type="auto"/>
            <w:vMerge w:val="restart"/>
            <w:vAlign w:val="center"/>
          </w:tcPr>
          <w:p w14:paraId="311F1584" w14:textId="77777777" w:rsidR="002E474C" w:rsidRDefault="00000000">
            <w:pPr>
              <w:pStyle w:val="A-"/>
            </w:pPr>
            <w:r>
              <w:t>不同时段</w:t>
            </w:r>
          </w:p>
        </w:tc>
        <w:tc>
          <w:tcPr>
            <w:tcW w:w="0" w:type="auto"/>
            <w:gridSpan w:val="4"/>
            <w:vAlign w:val="center"/>
          </w:tcPr>
          <w:p w14:paraId="10892460" w14:textId="77777777" w:rsidR="002E474C" w:rsidRDefault="00000000">
            <w:pPr>
              <w:pStyle w:val="A-"/>
            </w:pPr>
            <w:r>
              <w:t>污染影响型</w:t>
            </w:r>
          </w:p>
        </w:tc>
      </w:tr>
      <w:tr w:rsidR="002E474C" w14:paraId="7513E5A5" w14:textId="77777777">
        <w:tc>
          <w:tcPr>
            <w:tcW w:w="0" w:type="auto"/>
            <w:vMerge/>
            <w:vAlign w:val="center"/>
          </w:tcPr>
          <w:p w14:paraId="10B2EDA8" w14:textId="77777777" w:rsidR="002E474C" w:rsidRDefault="002E474C">
            <w:pPr>
              <w:pStyle w:val="A-"/>
            </w:pPr>
          </w:p>
        </w:tc>
        <w:tc>
          <w:tcPr>
            <w:tcW w:w="0" w:type="auto"/>
            <w:vAlign w:val="center"/>
          </w:tcPr>
          <w:p w14:paraId="3B53EF51" w14:textId="77777777" w:rsidR="002E474C" w:rsidRDefault="00000000">
            <w:pPr>
              <w:pStyle w:val="A-"/>
            </w:pPr>
            <w:r>
              <w:t>大气沉降</w:t>
            </w:r>
          </w:p>
        </w:tc>
        <w:tc>
          <w:tcPr>
            <w:tcW w:w="0" w:type="auto"/>
            <w:vAlign w:val="center"/>
          </w:tcPr>
          <w:p w14:paraId="1E10D37D" w14:textId="77777777" w:rsidR="002E474C" w:rsidRDefault="00000000">
            <w:pPr>
              <w:pStyle w:val="A-"/>
            </w:pPr>
            <w:r>
              <w:t>地面漫流</w:t>
            </w:r>
          </w:p>
        </w:tc>
        <w:tc>
          <w:tcPr>
            <w:tcW w:w="0" w:type="auto"/>
            <w:vAlign w:val="center"/>
          </w:tcPr>
          <w:p w14:paraId="068E2CD1" w14:textId="77777777" w:rsidR="002E474C" w:rsidRDefault="00000000">
            <w:pPr>
              <w:pStyle w:val="A-"/>
            </w:pPr>
            <w:r>
              <w:t>垂直入渗</w:t>
            </w:r>
          </w:p>
        </w:tc>
        <w:tc>
          <w:tcPr>
            <w:tcW w:w="0" w:type="auto"/>
            <w:vAlign w:val="center"/>
          </w:tcPr>
          <w:p w14:paraId="175A0F91" w14:textId="77777777" w:rsidR="002E474C" w:rsidRDefault="00000000">
            <w:pPr>
              <w:pStyle w:val="A-"/>
            </w:pPr>
            <w:r>
              <w:t>其他</w:t>
            </w:r>
          </w:p>
        </w:tc>
      </w:tr>
      <w:tr w:rsidR="002E474C" w14:paraId="35156D10" w14:textId="77777777">
        <w:tc>
          <w:tcPr>
            <w:tcW w:w="0" w:type="auto"/>
            <w:vAlign w:val="center"/>
          </w:tcPr>
          <w:p w14:paraId="175DDF15" w14:textId="77777777" w:rsidR="002E474C" w:rsidRDefault="00000000">
            <w:pPr>
              <w:pStyle w:val="A-"/>
            </w:pPr>
            <w:r>
              <w:t>建设期</w:t>
            </w:r>
          </w:p>
        </w:tc>
        <w:tc>
          <w:tcPr>
            <w:tcW w:w="0" w:type="auto"/>
            <w:vAlign w:val="center"/>
          </w:tcPr>
          <w:p w14:paraId="0743F117" w14:textId="77777777" w:rsidR="002E474C" w:rsidRDefault="00000000">
            <w:pPr>
              <w:pStyle w:val="A-"/>
            </w:pPr>
            <w:r>
              <w:t>/</w:t>
            </w:r>
          </w:p>
        </w:tc>
        <w:tc>
          <w:tcPr>
            <w:tcW w:w="0" w:type="auto"/>
            <w:vAlign w:val="center"/>
          </w:tcPr>
          <w:p w14:paraId="5484A545" w14:textId="77777777" w:rsidR="002E474C" w:rsidRDefault="00000000">
            <w:pPr>
              <w:pStyle w:val="A-"/>
            </w:pPr>
            <w:r>
              <w:t>/</w:t>
            </w:r>
          </w:p>
        </w:tc>
        <w:tc>
          <w:tcPr>
            <w:tcW w:w="0" w:type="auto"/>
            <w:vAlign w:val="center"/>
          </w:tcPr>
          <w:p w14:paraId="7FC51E75" w14:textId="77777777" w:rsidR="002E474C" w:rsidRDefault="00000000">
            <w:pPr>
              <w:pStyle w:val="A-"/>
            </w:pPr>
            <w:r>
              <w:t>/</w:t>
            </w:r>
          </w:p>
        </w:tc>
        <w:tc>
          <w:tcPr>
            <w:tcW w:w="0" w:type="auto"/>
            <w:vAlign w:val="center"/>
          </w:tcPr>
          <w:p w14:paraId="482E58E7" w14:textId="77777777" w:rsidR="002E474C" w:rsidRDefault="00000000">
            <w:pPr>
              <w:pStyle w:val="A-"/>
            </w:pPr>
            <w:r>
              <w:t>/</w:t>
            </w:r>
          </w:p>
        </w:tc>
      </w:tr>
      <w:tr w:rsidR="002E474C" w14:paraId="204F58D9" w14:textId="77777777">
        <w:tc>
          <w:tcPr>
            <w:tcW w:w="0" w:type="auto"/>
            <w:vAlign w:val="center"/>
          </w:tcPr>
          <w:p w14:paraId="1205BBCF" w14:textId="77777777" w:rsidR="002E474C" w:rsidRDefault="00000000">
            <w:pPr>
              <w:pStyle w:val="A-"/>
            </w:pPr>
            <w:r>
              <w:t>运营期</w:t>
            </w:r>
          </w:p>
        </w:tc>
        <w:tc>
          <w:tcPr>
            <w:tcW w:w="0" w:type="auto"/>
            <w:vAlign w:val="center"/>
          </w:tcPr>
          <w:p w14:paraId="0102A222" w14:textId="77777777" w:rsidR="002E474C" w:rsidRDefault="00000000">
            <w:pPr>
              <w:pStyle w:val="A-"/>
            </w:pPr>
            <w:r>
              <w:t>√</w:t>
            </w:r>
          </w:p>
        </w:tc>
        <w:tc>
          <w:tcPr>
            <w:tcW w:w="0" w:type="auto"/>
            <w:vAlign w:val="center"/>
          </w:tcPr>
          <w:p w14:paraId="5D12B317" w14:textId="77777777" w:rsidR="002E474C" w:rsidRDefault="00000000">
            <w:pPr>
              <w:pStyle w:val="A-"/>
            </w:pPr>
            <w:r>
              <w:t>/</w:t>
            </w:r>
          </w:p>
        </w:tc>
        <w:tc>
          <w:tcPr>
            <w:tcW w:w="0" w:type="auto"/>
            <w:vAlign w:val="center"/>
          </w:tcPr>
          <w:p w14:paraId="316D50CD" w14:textId="77777777" w:rsidR="002E474C" w:rsidRDefault="00000000">
            <w:pPr>
              <w:pStyle w:val="A-"/>
            </w:pPr>
            <w:r>
              <w:t>√</w:t>
            </w:r>
          </w:p>
        </w:tc>
        <w:tc>
          <w:tcPr>
            <w:tcW w:w="0" w:type="auto"/>
            <w:vAlign w:val="center"/>
          </w:tcPr>
          <w:p w14:paraId="49C18670" w14:textId="77777777" w:rsidR="002E474C" w:rsidRDefault="00000000">
            <w:pPr>
              <w:pStyle w:val="A-"/>
            </w:pPr>
            <w:r>
              <w:t>/</w:t>
            </w:r>
          </w:p>
        </w:tc>
      </w:tr>
      <w:tr w:rsidR="002E474C" w14:paraId="0D21E694" w14:textId="77777777">
        <w:tc>
          <w:tcPr>
            <w:tcW w:w="0" w:type="auto"/>
            <w:vAlign w:val="center"/>
          </w:tcPr>
          <w:p w14:paraId="1F102E5D" w14:textId="77777777" w:rsidR="002E474C" w:rsidRDefault="00000000">
            <w:pPr>
              <w:pStyle w:val="A-"/>
            </w:pPr>
            <w:r>
              <w:t>服务期满后</w:t>
            </w:r>
          </w:p>
        </w:tc>
        <w:tc>
          <w:tcPr>
            <w:tcW w:w="0" w:type="auto"/>
            <w:vAlign w:val="center"/>
          </w:tcPr>
          <w:p w14:paraId="4ACF5BBC" w14:textId="77777777" w:rsidR="002E474C" w:rsidRDefault="00000000">
            <w:pPr>
              <w:pStyle w:val="A-"/>
            </w:pPr>
            <w:r>
              <w:t>/</w:t>
            </w:r>
          </w:p>
        </w:tc>
        <w:tc>
          <w:tcPr>
            <w:tcW w:w="0" w:type="auto"/>
            <w:vAlign w:val="center"/>
          </w:tcPr>
          <w:p w14:paraId="0FFF0CBF" w14:textId="77777777" w:rsidR="002E474C" w:rsidRDefault="00000000">
            <w:pPr>
              <w:pStyle w:val="A-"/>
            </w:pPr>
            <w:r>
              <w:t>/</w:t>
            </w:r>
          </w:p>
        </w:tc>
        <w:tc>
          <w:tcPr>
            <w:tcW w:w="0" w:type="auto"/>
            <w:vAlign w:val="center"/>
          </w:tcPr>
          <w:p w14:paraId="4698BFDF" w14:textId="77777777" w:rsidR="002E474C" w:rsidRDefault="00000000">
            <w:pPr>
              <w:pStyle w:val="A-"/>
            </w:pPr>
            <w:r>
              <w:t>/</w:t>
            </w:r>
          </w:p>
        </w:tc>
        <w:tc>
          <w:tcPr>
            <w:tcW w:w="0" w:type="auto"/>
            <w:vAlign w:val="center"/>
          </w:tcPr>
          <w:p w14:paraId="6D05A899" w14:textId="77777777" w:rsidR="002E474C" w:rsidRDefault="00000000">
            <w:pPr>
              <w:pStyle w:val="A-"/>
            </w:pPr>
            <w:r>
              <w:t>/</w:t>
            </w:r>
          </w:p>
        </w:tc>
      </w:tr>
    </w:tbl>
    <w:p w14:paraId="68976BF1" w14:textId="77777777" w:rsidR="002E474C" w:rsidRDefault="002E474C">
      <w:pPr>
        <w:pStyle w:val="w3"/>
      </w:pPr>
    </w:p>
    <w:p w14:paraId="1414F4E3" w14:textId="77777777" w:rsidR="002E474C" w:rsidRDefault="00000000">
      <w:pPr>
        <w:pStyle w:val="31"/>
        <w:spacing w:before="120" w:after="120"/>
        <w:rPr>
          <w:color w:val="auto"/>
        </w:rPr>
      </w:pPr>
      <w:r>
        <w:rPr>
          <w:color w:val="auto"/>
        </w:rPr>
        <w:t>影响源与影响因子</w:t>
      </w:r>
    </w:p>
    <w:p w14:paraId="0303775E" w14:textId="77777777" w:rsidR="002E474C" w:rsidRDefault="00000000">
      <w:pPr>
        <w:pStyle w:val="A-z"/>
        <w:rPr>
          <w:color w:val="auto"/>
        </w:rPr>
      </w:pPr>
      <w:r>
        <w:rPr>
          <w:color w:val="auto"/>
        </w:rPr>
        <w:t>本项目为利用水泥窑协同处置危险废物项目，属于污染影响型建设项目。按照导则根据环境影响识别出的特征因子选取关键预测因子：</w:t>
      </w:r>
      <w:r>
        <w:rPr>
          <w:rFonts w:hint="eastAsia"/>
          <w:color w:val="auto"/>
          <w:lang w:val="en-US"/>
        </w:rPr>
        <w:t>石油烃、</w:t>
      </w:r>
      <w:r>
        <w:rPr>
          <w:color w:val="auto"/>
        </w:rPr>
        <w:t>汞、砷、镉、铬、铅和二噁英类。本项目土壤环境影响源及影响因子识别结果见表</w:t>
      </w:r>
      <w:r>
        <w:rPr>
          <w:color w:val="auto"/>
        </w:rPr>
        <w:t>5.6</w:t>
      </w:r>
      <w:r>
        <w:rPr>
          <w:color w:val="auto"/>
        </w:rPr>
        <w:noBreakHyphen/>
        <w:t>2</w:t>
      </w:r>
      <w:r>
        <w:rPr>
          <w:color w:val="auto"/>
        </w:rPr>
        <w:t>。</w:t>
      </w:r>
    </w:p>
    <w:p w14:paraId="37070EE4" w14:textId="77777777" w:rsidR="002E474C" w:rsidRDefault="00000000">
      <w:pPr>
        <w:pStyle w:val="A--"/>
        <w:rPr>
          <w:color w:val="auto"/>
        </w:rPr>
      </w:pPr>
      <w:bookmarkStart w:id="309" w:name="_Ref130206340"/>
      <w:r>
        <w:rPr>
          <w:color w:val="auto"/>
        </w:rPr>
        <w:t>表</w:t>
      </w:r>
      <w:r>
        <w:rPr>
          <w:color w:val="auto"/>
        </w:rPr>
        <w:t>5.6</w:t>
      </w:r>
      <w:r>
        <w:rPr>
          <w:color w:val="auto"/>
        </w:rPr>
        <w:noBreakHyphen/>
        <w:t>2</w:t>
      </w:r>
      <w:bookmarkEnd w:id="309"/>
      <w:r>
        <w:rPr>
          <w:color w:val="auto"/>
        </w:rPr>
        <w:t xml:space="preserve">  </w:t>
      </w:r>
      <w:r>
        <w:rPr>
          <w:color w:val="auto"/>
        </w:rPr>
        <w:t>土壤环境影响源及影响因子识别表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29"/>
        <w:gridCol w:w="1105"/>
        <w:gridCol w:w="2114"/>
        <w:gridCol w:w="1382"/>
        <w:gridCol w:w="1382"/>
      </w:tblGrid>
      <w:tr w:rsidR="002E474C" w14:paraId="643D1F50" w14:textId="77777777">
        <w:tc>
          <w:tcPr>
            <w:tcW w:w="834" w:type="pct"/>
            <w:vAlign w:val="center"/>
          </w:tcPr>
          <w:p w14:paraId="24D30E15" w14:textId="77777777" w:rsidR="002E474C" w:rsidRDefault="00000000">
            <w:pPr>
              <w:pStyle w:val="A-"/>
            </w:pPr>
            <w:r>
              <w:t>污染源</w:t>
            </w:r>
          </w:p>
        </w:tc>
        <w:tc>
          <w:tcPr>
            <w:tcW w:w="560" w:type="pct"/>
            <w:vAlign w:val="center"/>
          </w:tcPr>
          <w:p w14:paraId="4FD01086" w14:textId="77777777" w:rsidR="002E474C" w:rsidRDefault="00000000">
            <w:pPr>
              <w:pStyle w:val="A-"/>
            </w:pPr>
            <w:r>
              <w:t>工艺流程</w:t>
            </w:r>
            <w:r>
              <w:t>/</w:t>
            </w:r>
            <w:r>
              <w:t>节点</w:t>
            </w:r>
          </w:p>
        </w:tc>
        <w:tc>
          <w:tcPr>
            <w:tcW w:w="666" w:type="pct"/>
            <w:vAlign w:val="center"/>
          </w:tcPr>
          <w:p w14:paraId="7C16B6CC" w14:textId="77777777" w:rsidR="002E474C" w:rsidRDefault="00000000">
            <w:pPr>
              <w:pStyle w:val="A-"/>
            </w:pPr>
            <w:r>
              <w:t>污染途径</w:t>
            </w:r>
          </w:p>
        </w:tc>
        <w:tc>
          <w:tcPr>
            <w:tcW w:w="1274" w:type="pct"/>
            <w:vAlign w:val="center"/>
          </w:tcPr>
          <w:p w14:paraId="0E6FB350" w14:textId="77777777" w:rsidR="002E474C" w:rsidRDefault="00000000">
            <w:pPr>
              <w:pStyle w:val="A-"/>
            </w:pPr>
            <w:r>
              <w:t>全部污染物指标</w:t>
            </w:r>
          </w:p>
        </w:tc>
        <w:tc>
          <w:tcPr>
            <w:tcW w:w="833" w:type="pct"/>
            <w:vAlign w:val="center"/>
          </w:tcPr>
          <w:p w14:paraId="6E3EB9A2" w14:textId="77777777" w:rsidR="002E474C" w:rsidRDefault="00000000">
            <w:pPr>
              <w:pStyle w:val="A-"/>
            </w:pPr>
            <w:r>
              <w:t>特征因子</w:t>
            </w:r>
          </w:p>
        </w:tc>
        <w:tc>
          <w:tcPr>
            <w:tcW w:w="833" w:type="pct"/>
            <w:vAlign w:val="center"/>
          </w:tcPr>
          <w:p w14:paraId="7764772E" w14:textId="77777777" w:rsidR="002E474C" w:rsidRDefault="00000000">
            <w:pPr>
              <w:pStyle w:val="A-"/>
            </w:pPr>
            <w:r>
              <w:t>备注</w:t>
            </w:r>
          </w:p>
        </w:tc>
      </w:tr>
      <w:tr w:rsidR="002E474C" w14:paraId="01645A86" w14:textId="77777777">
        <w:tc>
          <w:tcPr>
            <w:tcW w:w="834" w:type="pct"/>
            <w:vAlign w:val="center"/>
          </w:tcPr>
          <w:p w14:paraId="17E726CB" w14:textId="77777777" w:rsidR="002E474C" w:rsidRDefault="00000000">
            <w:pPr>
              <w:pStyle w:val="A-"/>
            </w:pPr>
            <w:r>
              <w:t>危废贮存库及固态危废预处理车间</w:t>
            </w:r>
          </w:p>
        </w:tc>
        <w:tc>
          <w:tcPr>
            <w:tcW w:w="560" w:type="pct"/>
            <w:vAlign w:val="center"/>
          </w:tcPr>
          <w:p w14:paraId="19C7EE59" w14:textId="77777777" w:rsidR="002E474C" w:rsidRDefault="00000000">
            <w:pPr>
              <w:pStyle w:val="A-"/>
            </w:pPr>
            <w:r>
              <w:t>贮存</w:t>
            </w:r>
          </w:p>
        </w:tc>
        <w:tc>
          <w:tcPr>
            <w:tcW w:w="666" w:type="pct"/>
            <w:vAlign w:val="center"/>
          </w:tcPr>
          <w:p w14:paraId="260F9371" w14:textId="77777777" w:rsidR="002E474C" w:rsidRDefault="00000000">
            <w:pPr>
              <w:pStyle w:val="A-"/>
            </w:pPr>
            <w:r>
              <w:t>垂直入渗</w:t>
            </w:r>
          </w:p>
        </w:tc>
        <w:tc>
          <w:tcPr>
            <w:tcW w:w="1274" w:type="pct"/>
            <w:vAlign w:val="center"/>
          </w:tcPr>
          <w:p w14:paraId="3E9817FD" w14:textId="77777777" w:rsidR="002E474C" w:rsidRDefault="00000000">
            <w:pPr>
              <w:pStyle w:val="A-"/>
            </w:pPr>
            <w:r>
              <w:t>COD</w:t>
            </w:r>
            <w:r>
              <w:t>、氨氮、石油烃</w:t>
            </w:r>
          </w:p>
        </w:tc>
        <w:tc>
          <w:tcPr>
            <w:tcW w:w="833" w:type="pct"/>
            <w:vAlign w:val="center"/>
          </w:tcPr>
          <w:p w14:paraId="6BDD18C1" w14:textId="77777777" w:rsidR="002E474C" w:rsidRDefault="00000000">
            <w:pPr>
              <w:pStyle w:val="A-"/>
            </w:pPr>
            <w:r>
              <w:t>石油烃</w:t>
            </w:r>
          </w:p>
        </w:tc>
        <w:tc>
          <w:tcPr>
            <w:tcW w:w="833" w:type="pct"/>
            <w:vAlign w:val="center"/>
          </w:tcPr>
          <w:p w14:paraId="1C0B87C5" w14:textId="77777777" w:rsidR="002E474C" w:rsidRDefault="00000000">
            <w:pPr>
              <w:pStyle w:val="A-"/>
            </w:pPr>
            <w:r>
              <w:t>事故</w:t>
            </w:r>
          </w:p>
        </w:tc>
      </w:tr>
      <w:tr w:rsidR="002E474C" w14:paraId="2BF910F0" w14:textId="77777777">
        <w:tc>
          <w:tcPr>
            <w:tcW w:w="834" w:type="pct"/>
            <w:vAlign w:val="center"/>
          </w:tcPr>
          <w:p w14:paraId="01F184E0" w14:textId="77777777" w:rsidR="002E474C" w:rsidRDefault="00000000">
            <w:pPr>
              <w:pStyle w:val="A-"/>
            </w:pPr>
            <w:r>
              <w:t>水泥窑</w:t>
            </w:r>
          </w:p>
        </w:tc>
        <w:tc>
          <w:tcPr>
            <w:tcW w:w="560" w:type="pct"/>
            <w:vAlign w:val="center"/>
          </w:tcPr>
          <w:p w14:paraId="29832FB6" w14:textId="77777777" w:rsidR="002E474C" w:rsidRDefault="00000000">
            <w:pPr>
              <w:pStyle w:val="A-"/>
            </w:pPr>
            <w:r>
              <w:t>焚烧</w:t>
            </w:r>
          </w:p>
        </w:tc>
        <w:tc>
          <w:tcPr>
            <w:tcW w:w="666" w:type="pct"/>
            <w:vAlign w:val="center"/>
          </w:tcPr>
          <w:p w14:paraId="28CA3025" w14:textId="77777777" w:rsidR="002E474C" w:rsidRDefault="00000000">
            <w:pPr>
              <w:pStyle w:val="A-"/>
            </w:pPr>
            <w:r>
              <w:t>大气沉降</w:t>
            </w:r>
          </w:p>
        </w:tc>
        <w:tc>
          <w:tcPr>
            <w:tcW w:w="1274" w:type="pct"/>
            <w:vAlign w:val="center"/>
          </w:tcPr>
          <w:p w14:paraId="6FA5D085" w14:textId="77777777" w:rsidR="002E474C" w:rsidRDefault="00000000">
            <w:pPr>
              <w:pStyle w:val="A-"/>
            </w:pPr>
            <w:r>
              <w:t>Pb</w:t>
            </w:r>
            <w:r>
              <w:t>、</w:t>
            </w:r>
            <w:r>
              <w:t>Cd</w:t>
            </w:r>
            <w:r>
              <w:t>、</w:t>
            </w:r>
            <w:r>
              <w:t>Hg</w:t>
            </w:r>
            <w:r>
              <w:t>、</w:t>
            </w:r>
            <w:r>
              <w:t>As</w:t>
            </w:r>
            <w:r>
              <w:t>、</w:t>
            </w:r>
            <w:r>
              <w:t>Cr</w:t>
            </w:r>
            <w:r>
              <w:t>（</w:t>
            </w:r>
            <w:r>
              <w:t>Ⅵ</w:t>
            </w:r>
            <w:r>
              <w:t>）、</w:t>
            </w:r>
            <w:r>
              <w:t>HCl</w:t>
            </w:r>
            <w:r>
              <w:t>、</w:t>
            </w:r>
            <w:r>
              <w:t>HF</w:t>
            </w:r>
            <w:r>
              <w:t>、</w:t>
            </w:r>
            <w:r>
              <w:t>Mn</w:t>
            </w:r>
            <w:r>
              <w:t>、二噁英类</w:t>
            </w:r>
          </w:p>
        </w:tc>
        <w:tc>
          <w:tcPr>
            <w:tcW w:w="833" w:type="pct"/>
            <w:vAlign w:val="center"/>
          </w:tcPr>
          <w:p w14:paraId="473D750A" w14:textId="77777777" w:rsidR="002E474C" w:rsidRDefault="00000000">
            <w:pPr>
              <w:pStyle w:val="A-"/>
            </w:pPr>
            <w:r>
              <w:t>汞、砷、镉、铬、铅、二噁英类</w:t>
            </w:r>
          </w:p>
        </w:tc>
        <w:tc>
          <w:tcPr>
            <w:tcW w:w="833" w:type="pct"/>
            <w:vAlign w:val="center"/>
          </w:tcPr>
          <w:p w14:paraId="1BBFE677" w14:textId="77777777" w:rsidR="002E474C" w:rsidRDefault="00000000">
            <w:pPr>
              <w:pStyle w:val="A-"/>
            </w:pPr>
            <w:r>
              <w:t>连续、正常</w:t>
            </w:r>
          </w:p>
        </w:tc>
      </w:tr>
    </w:tbl>
    <w:p w14:paraId="0D0B9963" w14:textId="77777777" w:rsidR="002E474C" w:rsidRDefault="002E474C">
      <w:pPr>
        <w:pStyle w:val="w3"/>
      </w:pPr>
    </w:p>
    <w:p w14:paraId="11082869" w14:textId="77777777" w:rsidR="002E474C" w:rsidRDefault="00000000">
      <w:pPr>
        <w:pStyle w:val="31"/>
        <w:spacing w:before="120" w:after="120"/>
        <w:rPr>
          <w:color w:val="auto"/>
        </w:rPr>
      </w:pPr>
      <w:r>
        <w:rPr>
          <w:color w:val="auto"/>
        </w:rPr>
        <w:t>评价范围</w:t>
      </w:r>
    </w:p>
    <w:p w14:paraId="0102F587"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），本项目</w:t>
      </w:r>
      <w:r>
        <w:rPr>
          <w:color w:val="auto"/>
        </w:rPr>
        <w:lastRenderedPageBreak/>
        <w:t>为二级评价，预测评价范围一般与调查评价范围一致，为项目占地范围及占地范围外</w:t>
      </w:r>
      <w:r>
        <w:rPr>
          <w:color w:val="auto"/>
        </w:rPr>
        <w:t>200m</w:t>
      </w:r>
      <w:r>
        <w:rPr>
          <w:color w:val="auto"/>
        </w:rPr>
        <w:t>范围</w:t>
      </w:r>
      <w:r>
        <w:rPr>
          <w:rFonts w:hint="eastAsia"/>
          <w:color w:val="auto"/>
        </w:rPr>
        <w:t>内</w:t>
      </w:r>
      <w:r>
        <w:rPr>
          <w:color w:val="auto"/>
        </w:rPr>
        <w:t>。</w:t>
      </w:r>
    </w:p>
    <w:p w14:paraId="6991E40D" w14:textId="77777777" w:rsidR="002E474C" w:rsidRDefault="00000000">
      <w:pPr>
        <w:pStyle w:val="31"/>
        <w:spacing w:before="120" w:after="120"/>
        <w:rPr>
          <w:color w:val="auto"/>
        </w:rPr>
      </w:pPr>
      <w:r>
        <w:rPr>
          <w:rFonts w:hint="eastAsia"/>
          <w:color w:val="auto"/>
          <w:lang w:val="en-US"/>
        </w:rPr>
        <w:t>1</w:t>
      </w:r>
      <w:r>
        <w:rPr>
          <w:color w:val="auto"/>
        </w:rPr>
        <w:t>土壤环境影响预测与评价</w:t>
      </w:r>
    </w:p>
    <w:p w14:paraId="1CE6C6C7" w14:textId="77777777" w:rsidR="002E474C" w:rsidRDefault="00000000">
      <w:pPr>
        <w:pStyle w:val="A-z"/>
        <w:rPr>
          <w:color w:val="auto"/>
        </w:rPr>
      </w:pPr>
      <w:r>
        <w:rPr>
          <w:color w:val="auto"/>
        </w:rPr>
        <w:t>（</w:t>
      </w:r>
      <w:r>
        <w:rPr>
          <w:color w:val="auto"/>
        </w:rPr>
        <w:t>1</w:t>
      </w:r>
      <w:r>
        <w:rPr>
          <w:color w:val="auto"/>
        </w:rPr>
        <w:t>）大气沉降</w:t>
      </w:r>
    </w:p>
    <w:p w14:paraId="5C648F7E"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）附录</w:t>
      </w:r>
      <w:r>
        <w:rPr>
          <w:color w:val="auto"/>
        </w:rPr>
        <w:t xml:space="preserve">E </w:t>
      </w:r>
      <w:r>
        <w:rPr>
          <w:color w:val="auto"/>
        </w:rPr>
        <w:t>确定预测方法如下：</w:t>
      </w:r>
    </w:p>
    <w:p w14:paraId="18E1AE64" w14:textId="77777777" w:rsidR="002E474C" w:rsidRDefault="00000000">
      <w:pPr>
        <w:pStyle w:val="A-z"/>
        <w:rPr>
          <w:color w:val="auto"/>
        </w:rPr>
      </w:pPr>
      <w:r>
        <w:rPr>
          <w:color w:val="auto"/>
        </w:rPr>
        <w:t>1</w:t>
      </w:r>
      <w:r>
        <w:rPr>
          <w:color w:val="auto"/>
        </w:rPr>
        <w:t>）单位质量土壤中某种物质的增量可用下式计算：</w:t>
      </w:r>
      <w:r>
        <w:rPr>
          <w:color w:val="auto"/>
        </w:rPr>
        <w:br/>
        <w:t xml:space="preserve">                    △</w:t>
      </w:r>
      <w:r>
        <w:rPr>
          <w:i/>
          <w:color w:val="auto"/>
        </w:rPr>
        <w:t>S=n</w:t>
      </w:r>
      <w:r>
        <w:rPr>
          <w:color w:val="auto"/>
        </w:rPr>
        <w:t>（</w:t>
      </w:r>
      <w:r>
        <w:rPr>
          <w:i/>
          <w:color w:val="auto"/>
        </w:rPr>
        <w:t>Is-Ls-Rs</w:t>
      </w:r>
      <w:r>
        <w:rPr>
          <w:color w:val="auto"/>
        </w:rPr>
        <w:t>）</w:t>
      </w:r>
      <w:r>
        <w:rPr>
          <w:color w:val="auto"/>
        </w:rPr>
        <w:t>/</w:t>
      </w:r>
      <w:r>
        <w:rPr>
          <w:color w:val="auto"/>
        </w:rPr>
        <w:t>（</w:t>
      </w:r>
      <w:r>
        <w:rPr>
          <w:color w:val="auto"/>
        </w:rPr>
        <w:t>ρ</w:t>
      </w:r>
      <w:r>
        <w:rPr>
          <w:color w:val="auto"/>
          <w:vertAlign w:val="subscript"/>
        </w:rPr>
        <w:t>b</w:t>
      </w:r>
      <w:r>
        <w:rPr>
          <w:color w:val="auto"/>
        </w:rPr>
        <w:t>×</w:t>
      </w:r>
      <w:r>
        <w:rPr>
          <w:i/>
          <w:color w:val="auto"/>
        </w:rPr>
        <w:t>A×D</w:t>
      </w:r>
      <w:r>
        <w:rPr>
          <w:color w:val="auto"/>
        </w:rPr>
        <w:t>）</w:t>
      </w:r>
    </w:p>
    <w:p w14:paraId="24EBEF19" w14:textId="77777777" w:rsidR="002E474C" w:rsidRDefault="00000000">
      <w:pPr>
        <w:pStyle w:val="A-z"/>
        <w:rPr>
          <w:color w:val="auto"/>
        </w:rPr>
      </w:pPr>
      <w:r>
        <w:rPr>
          <w:color w:val="auto"/>
        </w:rPr>
        <w:t>式中：</w:t>
      </w:r>
    </w:p>
    <w:p w14:paraId="0A40517A" w14:textId="77777777" w:rsidR="002E474C" w:rsidRDefault="00000000">
      <w:pPr>
        <w:pStyle w:val="A-z"/>
        <w:rPr>
          <w:color w:val="auto"/>
        </w:rPr>
      </w:pPr>
      <w:r>
        <w:rPr>
          <w:color w:val="auto"/>
        </w:rPr>
        <w:t>△</w:t>
      </w:r>
      <w:r>
        <w:rPr>
          <w:i/>
          <w:color w:val="auto"/>
        </w:rPr>
        <w:t>S——</w:t>
      </w:r>
      <w:r>
        <w:rPr>
          <w:color w:val="auto"/>
        </w:rPr>
        <w:t>单位质量表层土壤中某种物质的增量，</w:t>
      </w:r>
      <w:r>
        <w:rPr>
          <w:color w:val="auto"/>
        </w:rPr>
        <w:t>g/kg</w:t>
      </w:r>
      <w:r>
        <w:rPr>
          <w:color w:val="auto"/>
        </w:rPr>
        <w:t>；</w:t>
      </w:r>
    </w:p>
    <w:p w14:paraId="60825C0E" w14:textId="77777777" w:rsidR="002E474C" w:rsidRDefault="00000000">
      <w:pPr>
        <w:pStyle w:val="A-z"/>
        <w:rPr>
          <w:color w:val="auto"/>
        </w:rPr>
      </w:pPr>
      <w:r>
        <w:rPr>
          <w:color w:val="auto"/>
        </w:rPr>
        <w:t>表层土壤中游离酸或游离碱浓度增量，</w:t>
      </w:r>
      <w:r>
        <w:rPr>
          <w:color w:val="auto"/>
        </w:rPr>
        <w:t>mmol/kg</w:t>
      </w:r>
      <w:r>
        <w:rPr>
          <w:color w:val="auto"/>
        </w:rPr>
        <w:t>；</w:t>
      </w:r>
    </w:p>
    <w:p w14:paraId="041281C5" w14:textId="77777777" w:rsidR="002E474C" w:rsidRDefault="00000000">
      <w:pPr>
        <w:pStyle w:val="A-z"/>
        <w:rPr>
          <w:color w:val="auto"/>
        </w:rPr>
      </w:pPr>
      <w:r>
        <w:rPr>
          <w:i/>
          <w:color w:val="auto"/>
        </w:rPr>
        <w:t>Is——</w:t>
      </w:r>
      <w:r>
        <w:rPr>
          <w:color w:val="auto"/>
        </w:rPr>
        <w:t>预测评价范围内单位年份表层土壤中某种物质的输入量，</w:t>
      </w:r>
      <w:r>
        <w:rPr>
          <w:color w:val="auto"/>
        </w:rPr>
        <w:t>g</w:t>
      </w:r>
      <w:r>
        <w:rPr>
          <w:color w:val="auto"/>
        </w:rPr>
        <w:t>；</w:t>
      </w:r>
    </w:p>
    <w:p w14:paraId="55091FA2" w14:textId="77777777" w:rsidR="002E474C" w:rsidRDefault="00000000">
      <w:pPr>
        <w:pStyle w:val="A-z"/>
        <w:rPr>
          <w:color w:val="auto"/>
        </w:rPr>
      </w:pPr>
      <w:r>
        <w:rPr>
          <w:i/>
          <w:color w:val="auto"/>
        </w:rPr>
        <w:t>Ls——</w:t>
      </w:r>
      <w:r>
        <w:rPr>
          <w:color w:val="auto"/>
        </w:rPr>
        <w:t>预测评价范田内单位年份表层土壤中某种物质经淋溶排出的量，</w:t>
      </w:r>
      <w:r>
        <w:rPr>
          <w:color w:val="auto"/>
        </w:rPr>
        <w:t>g</w:t>
      </w:r>
      <w:r>
        <w:rPr>
          <w:color w:val="auto"/>
        </w:rPr>
        <w:t>；</w:t>
      </w:r>
    </w:p>
    <w:p w14:paraId="5A0F651D" w14:textId="77777777" w:rsidR="002E474C" w:rsidRDefault="00000000">
      <w:pPr>
        <w:pStyle w:val="A-z"/>
        <w:rPr>
          <w:color w:val="auto"/>
        </w:rPr>
      </w:pPr>
      <w:r>
        <w:rPr>
          <w:i/>
          <w:color w:val="auto"/>
        </w:rPr>
        <w:t>Rs——</w:t>
      </w:r>
      <w:r>
        <w:rPr>
          <w:color w:val="auto"/>
        </w:rPr>
        <w:t>预测评价范围内单位年份表层土壤中某种物质经径流排出的量，</w:t>
      </w:r>
      <w:r>
        <w:rPr>
          <w:color w:val="auto"/>
        </w:rPr>
        <w:t>g</w:t>
      </w:r>
      <w:r>
        <w:rPr>
          <w:color w:val="auto"/>
        </w:rPr>
        <w:t>；</w:t>
      </w:r>
    </w:p>
    <w:p w14:paraId="1BA6EC85" w14:textId="77777777" w:rsidR="002E474C" w:rsidRDefault="00000000">
      <w:pPr>
        <w:pStyle w:val="A-z"/>
        <w:rPr>
          <w:color w:val="auto"/>
        </w:rPr>
      </w:pPr>
      <w:r>
        <w:rPr>
          <w:color w:val="auto"/>
        </w:rPr>
        <w:t>ρ</w:t>
      </w:r>
      <w:r>
        <w:rPr>
          <w:color w:val="auto"/>
          <w:vertAlign w:val="subscript"/>
        </w:rPr>
        <w:t>b</w:t>
      </w:r>
      <w:r>
        <w:rPr>
          <w:color w:val="auto"/>
        </w:rPr>
        <w:t>——</w:t>
      </w:r>
      <w:r>
        <w:rPr>
          <w:color w:val="auto"/>
        </w:rPr>
        <w:t>表层土壤容重，</w:t>
      </w:r>
      <w:r>
        <w:rPr>
          <w:color w:val="auto"/>
        </w:rPr>
        <w:t>kg/m</w:t>
      </w:r>
      <w:r>
        <w:rPr>
          <w:color w:val="auto"/>
          <w:vertAlign w:val="superscript"/>
        </w:rPr>
        <w:t>3</w:t>
      </w:r>
      <w:r>
        <w:rPr>
          <w:color w:val="auto"/>
        </w:rPr>
        <w:t>；（取</w:t>
      </w:r>
      <w:r>
        <w:rPr>
          <w:color w:val="auto"/>
        </w:rPr>
        <w:t>1300kg/m</w:t>
      </w:r>
      <w:r>
        <w:rPr>
          <w:color w:val="auto"/>
          <w:vertAlign w:val="superscript"/>
        </w:rPr>
        <w:t>3</w:t>
      </w:r>
      <w:r>
        <w:rPr>
          <w:color w:val="auto"/>
        </w:rPr>
        <w:t>）</w:t>
      </w:r>
    </w:p>
    <w:p w14:paraId="6DCC5BC4" w14:textId="77777777" w:rsidR="002E474C" w:rsidRDefault="00000000">
      <w:pPr>
        <w:pStyle w:val="A-z"/>
        <w:rPr>
          <w:color w:val="auto"/>
        </w:rPr>
      </w:pPr>
      <w:r>
        <w:rPr>
          <w:color w:val="auto"/>
        </w:rPr>
        <w:t>A——</w:t>
      </w:r>
      <w:r>
        <w:rPr>
          <w:color w:val="auto"/>
        </w:rPr>
        <w:t>预测评价范围，</w:t>
      </w:r>
      <w:r>
        <w:rPr>
          <w:color w:val="auto"/>
        </w:rPr>
        <w:t>m</w:t>
      </w:r>
      <w:r>
        <w:rPr>
          <w:color w:val="auto"/>
          <w:vertAlign w:val="superscript"/>
        </w:rPr>
        <w:t>2</w:t>
      </w:r>
      <w:r>
        <w:rPr>
          <w:color w:val="auto"/>
        </w:rPr>
        <w:t>；（厂区外延</w:t>
      </w:r>
      <w:r>
        <w:rPr>
          <w:color w:val="auto"/>
        </w:rPr>
        <w:t>200m</w:t>
      </w:r>
      <w:r>
        <w:rPr>
          <w:color w:val="auto"/>
        </w:rPr>
        <w:t>，取</w:t>
      </w:r>
      <w:r>
        <w:rPr>
          <w:color w:val="auto"/>
        </w:rPr>
        <w:t>1011725m</w:t>
      </w:r>
      <w:r>
        <w:rPr>
          <w:color w:val="auto"/>
          <w:vertAlign w:val="superscript"/>
        </w:rPr>
        <w:t>2</w:t>
      </w:r>
      <w:r>
        <w:rPr>
          <w:color w:val="auto"/>
        </w:rPr>
        <w:t>）</w:t>
      </w:r>
    </w:p>
    <w:p w14:paraId="53E969E9" w14:textId="77777777" w:rsidR="002E474C" w:rsidRDefault="00000000">
      <w:pPr>
        <w:pStyle w:val="A-z"/>
        <w:rPr>
          <w:color w:val="auto"/>
        </w:rPr>
      </w:pPr>
      <w:r>
        <w:rPr>
          <w:color w:val="auto"/>
        </w:rPr>
        <w:t>D——</w:t>
      </w:r>
      <w:r>
        <w:rPr>
          <w:color w:val="auto"/>
        </w:rPr>
        <w:t>表层土壤深度，一般取</w:t>
      </w:r>
      <w:r>
        <w:rPr>
          <w:color w:val="auto"/>
        </w:rPr>
        <w:t>0.2m</w:t>
      </w:r>
      <w:r>
        <w:rPr>
          <w:color w:val="auto"/>
        </w:rPr>
        <w:t>，可根据实际情况适当调整；</w:t>
      </w:r>
    </w:p>
    <w:p w14:paraId="3C90E54A" w14:textId="77777777" w:rsidR="002E474C" w:rsidRDefault="00000000">
      <w:pPr>
        <w:pStyle w:val="A-z"/>
        <w:rPr>
          <w:color w:val="auto"/>
        </w:rPr>
      </w:pPr>
      <w:r>
        <w:rPr>
          <w:i/>
          <w:color w:val="auto"/>
        </w:rPr>
        <w:t>n</w:t>
      </w:r>
      <w:r>
        <w:rPr>
          <w:color w:val="auto"/>
        </w:rPr>
        <w:t>——</w:t>
      </w:r>
      <w:r>
        <w:rPr>
          <w:color w:val="auto"/>
        </w:rPr>
        <w:t>持续年份，</w:t>
      </w:r>
      <w:r>
        <w:rPr>
          <w:color w:val="auto"/>
        </w:rPr>
        <w:t>a</w:t>
      </w:r>
      <w:r>
        <w:rPr>
          <w:color w:val="auto"/>
        </w:rPr>
        <w:t>。</w:t>
      </w:r>
    </w:p>
    <w:p w14:paraId="1DB912F7" w14:textId="77777777" w:rsidR="002E474C" w:rsidRDefault="00000000">
      <w:pPr>
        <w:pStyle w:val="A-z"/>
        <w:rPr>
          <w:color w:val="auto"/>
        </w:rPr>
      </w:pPr>
      <w:r>
        <w:rPr>
          <w:color w:val="auto"/>
        </w:rPr>
        <w:t>项目排放的大气污染物不考虑输出量，按照</w:t>
      </w:r>
      <w:r>
        <w:rPr>
          <w:color w:val="auto"/>
        </w:rPr>
        <w:t>30</w:t>
      </w:r>
      <w:r>
        <w:rPr>
          <w:color w:val="auto"/>
        </w:rPr>
        <w:t>年计算，假设所有的都排放在厂界周边</w:t>
      </w:r>
      <w:r>
        <w:rPr>
          <w:color w:val="auto"/>
        </w:rPr>
        <w:t>200m</w:t>
      </w:r>
      <w:r>
        <w:rPr>
          <w:color w:val="auto"/>
        </w:rPr>
        <w:t>范围内，且进入到土壤深度在</w:t>
      </w:r>
      <w:r>
        <w:rPr>
          <w:color w:val="auto"/>
        </w:rPr>
        <w:t>0.2m</w:t>
      </w:r>
      <w:r>
        <w:rPr>
          <w:color w:val="auto"/>
        </w:rPr>
        <w:t>内，计算</w:t>
      </w:r>
      <w:r>
        <w:rPr>
          <w:color w:val="auto"/>
        </w:rPr>
        <w:t>△S</w:t>
      </w:r>
      <w:r>
        <w:rPr>
          <w:color w:val="auto"/>
        </w:rPr>
        <w:t>。</w:t>
      </w:r>
    </w:p>
    <w:p w14:paraId="6019415B" w14:textId="77777777" w:rsidR="002E474C" w:rsidRDefault="00000000">
      <w:pPr>
        <w:pStyle w:val="A-z"/>
        <w:rPr>
          <w:color w:val="auto"/>
        </w:rPr>
      </w:pPr>
      <w:r>
        <w:rPr>
          <w:color w:val="auto"/>
        </w:rPr>
        <w:t>2</w:t>
      </w:r>
      <w:r>
        <w:rPr>
          <w:color w:val="auto"/>
        </w:rPr>
        <w:t>）单位质量土壤中某种物质的预测值可根据其增量叠加现状值进行计算，如式（</w:t>
      </w:r>
      <w:r>
        <w:rPr>
          <w:color w:val="auto"/>
        </w:rPr>
        <w:t>E2</w:t>
      </w:r>
      <w:r>
        <w:rPr>
          <w:color w:val="auto"/>
        </w:rPr>
        <w:t>）：</w:t>
      </w:r>
    </w:p>
    <w:p w14:paraId="43ED1FAB" w14:textId="77777777" w:rsidR="002E474C" w:rsidRDefault="00000000">
      <w:pPr>
        <w:pStyle w:val="A-z"/>
        <w:jc w:val="center"/>
        <w:rPr>
          <w:color w:val="auto"/>
        </w:rPr>
      </w:pPr>
      <w:r>
        <w:rPr>
          <w:i/>
          <w:color w:val="auto"/>
        </w:rPr>
        <w:t>S</w:t>
      </w:r>
      <w:r>
        <w:rPr>
          <w:color w:val="auto"/>
        </w:rPr>
        <w:t>=</w:t>
      </w:r>
      <w:r>
        <w:rPr>
          <w:i/>
          <w:color w:val="auto"/>
        </w:rPr>
        <w:t>S</w:t>
      </w:r>
      <w:r>
        <w:rPr>
          <w:color w:val="auto"/>
          <w:vertAlign w:val="subscript"/>
        </w:rPr>
        <w:t>b</w:t>
      </w:r>
      <w:r>
        <w:rPr>
          <w:color w:val="auto"/>
        </w:rPr>
        <w:t>+△</w:t>
      </w:r>
      <w:r>
        <w:rPr>
          <w:i/>
          <w:color w:val="auto"/>
        </w:rPr>
        <w:t>S</w:t>
      </w:r>
    </w:p>
    <w:p w14:paraId="7AE4B444" w14:textId="77777777" w:rsidR="002E474C" w:rsidRDefault="00000000">
      <w:pPr>
        <w:pStyle w:val="A-z"/>
        <w:rPr>
          <w:color w:val="auto"/>
        </w:rPr>
      </w:pPr>
      <w:r>
        <w:rPr>
          <w:color w:val="auto"/>
        </w:rPr>
        <w:t>式中：</w:t>
      </w:r>
      <w:r>
        <w:rPr>
          <w:color w:val="auto"/>
        </w:rPr>
        <w:t>S</w:t>
      </w:r>
      <w:r>
        <w:rPr>
          <w:color w:val="auto"/>
          <w:vertAlign w:val="subscript"/>
        </w:rPr>
        <w:t>b</w:t>
      </w:r>
      <w:r>
        <w:rPr>
          <w:color w:val="auto"/>
        </w:rPr>
        <w:t>——</w:t>
      </w:r>
      <w:r>
        <w:rPr>
          <w:color w:val="auto"/>
        </w:rPr>
        <w:t>单位质量土壤中某种物质的现状值，</w:t>
      </w:r>
      <w:r>
        <w:rPr>
          <w:color w:val="auto"/>
        </w:rPr>
        <w:t>g/kg</w:t>
      </w:r>
      <w:r>
        <w:rPr>
          <w:color w:val="auto"/>
        </w:rPr>
        <w:t>；</w:t>
      </w:r>
    </w:p>
    <w:p w14:paraId="32E48A0B" w14:textId="77777777" w:rsidR="002E474C" w:rsidRDefault="00000000">
      <w:pPr>
        <w:pStyle w:val="A-z"/>
        <w:ind w:firstLineChars="500" w:firstLine="1200"/>
        <w:rPr>
          <w:color w:val="auto"/>
        </w:rPr>
      </w:pPr>
      <w:r>
        <w:rPr>
          <w:color w:val="auto"/>
        </w:rPr>
        <w:t>S——</w:t>
      </w:r>
      <w:r>
        <w:rPr>
          <w:color w:val="auto"/>
        </w:rPr>
        <w:t>单位质量上壤中某种物质的预测值，</w:t>
      </w:r>
      <w:r>
        <w:rPr>
          <w:color w:val="auto"/>
        </w:rPr>
        <w:t>g/kg</w:t>
      </w:r>
      <w:r>
        <w:rPr>
          <w:color w:val="auto"/>
        </w:rPr>
        <w:t>。</w:t>
      </w:r>
    </w:p>
    <w:p w14:paraId="04908CDC" w14:textId="77777777" w:rsidR="002E474C" w:rsidRDefault="00000000">
      <w:pPr>
        <w:pStyle w:val="A-z"/>
        <w:rPr>
          <w:color w:val="auto"/>
        </w:rPr>
      </w:pPr>
      <w:r>
        <w:rPr>
          <w:color w:val="auto"/>
        </w:rPr>
        <w:t>单位质量土壤中某种物质的现状值取现状监测的平均值，单位质量土壤中预测因子的预测值等于单位质量表层土壤中预测因子的增量和现状值的叠加。预测结果见表</w:t>
      </w:r>
      <w:r>
        <w:rPr>
          <w:color w:val="auto"/>
        </w:rPr>
        <w:t>5.6</w:t>
      </w:r>
      <w:r>
        <w:rPr>
          <w:color w:val="auto"/>
        </w:rPr>
        <w:noBreakHyphen/>
        <w:t>3</w:t>
      </w:r>
      <w:r>
        <w:rPr>
          <w:color w:val="auto"/>
        </w:rPr>
        <w:t>。</w:t>
      </w:r>
    </w:p>
    <w:p w14:paraId="387884A0" w14:textId="77777777" w:rsidR="002E474C" w:rsidRDefault="002E474C">
      <w:pPr>
        <w:pStyle w:val="A-z"/>
        <w:rPr>
          <w:color w:val="auto"/>
        </w:rPr>
      </w:pPr>
    </w:p>
    <w:p w14:paraId="3B59DC01" w14:textId="77777777" w:rsidR="002E474C" w:rsidRDefault="00000000">
      <w:pPr>
        <w:pStyle w:val="A--"/>
        <w:rPr>
          <w:color w:val="auto"/>
        </w:rPr>
      </w:pPr>
      <w:bookmarkStart w:id="310" w:name="_Ref130207354"/>
      <w:r>
        <w:rPr>
          <w:color w:val="auto"/>
        </w:rPr>
        <w:lastRenderedPageBreak/>
        <w:t>表</w:t>
      </w:r>
      <w:r>
        <w:rPr>
          <w:color w:val="auto"/>
        </w:rPr>
        <w:t>5.6</w:t>
      </w:r>
      <w:r>
        <w:rPr>
          <w:color w:val="auto"/>
        </w:rPr>
        <w:noBreakHyphen/>
        <w:t>3</w:t>
      </w:r>
      <w:bookmarkEnd w:id="310"/>
      <w:r>
        <w:rPr>
          <w:color w:val="auto"/>
        </w:rPr>
        <w:t xml:space="preserve">  </w:t>
      </w:r>
      <w:r>
        <w:rPr>
          <w:color w:val="auto"/>
        </w:rPr>
        <w:t>土壤环境影响因子预测结果一览表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59"/>
        <w:gridCol w:w="1192"/>
        <w:gridCol w:w="1115"/>
        <w:gridCol w:w="1063"/>
        <w:gridCol w:w="2387"/>
      </w:tblGrid>
      <w:tr w:rsidR="002E474C" w14:paraId="0504EF66" w14:textId="77777777">
        <w:tc>
          <w:tcPr>
            <w:tcW w:w="656" w:type="pct"/>
            <w:vAlign w:val="center"/>
          </w:tcPr>
          <w:p w14:paraId="0159F919" w14:textId="77777777" w:rsidR="002E474C" w:rsidRDefault="00000000">
            <w:pPr>
              <w:pStyle w:val="A-"/>
            </w:pPr>
            <w:r>
              <w:t>预测因子</w:t>
            </w:r>
          </w:p>
        </w:tc>
        <w:tc>
          <w:tcPr>
            <w:tcW w:w="856" w:type="pct"/>
            <w:vAlign w:val="center"/>
          </w:tcPr>
          <w:p w14:paraId="73B5D952" w14:textId="77777777" w:rsidR="002E474C" w:rsidRDefault="00000000">
            <w:pPr>
              <w:pStyle w:val="A-"/>
            </w:pPr>
            <w:r>
              <w:t>I</w:t>
            </w:r>
            <w:r>
              <w:rPr>
                <w:vertAlign w:val="subscript"/>
              </w:rPr>
              <w:t>S</w:t>
            </w:r>
            <w:r>
              <w:t>（</w:t>
            </w:r>
            <w:r>
              <w:t>g/a</w:t>
            </w:r>
            <w:r>
              <w:t>）</w:t>
            </w:r>
          </w:p>
        </w:tc>
        <w:tc>
          <w:tcPr>
            <w:tcW w:w="723" w:type="pct"/>
            <w:vAlign w:val="center"/>
          </w:tcPr>
          <w:p w14:paraId="225F0332" w14:textId="77777777" w:rsidR="002E474C" w:rsidRDefault="00000000">
            <w:pPr>
              <w:pStyle w:val="A-"/>
            </w:pPr>
            <w:r>
              <w:t>△S</w:t>
            </w:r>
            <w:r>
              <w:t>（</w:t>
            </w:r>
            <w:r>
              <w:t>g/kg</w:t>
            </w:r>
            <w:r>
              <w:t>）</w:t>
            </w:r>
          </w:p>
        </w:tc>
        <w:tc>
          <w:tcPr>
            <w:tcW w:w="676" w:type="pct"/>
            <w:vAlign w:val="center"/>
          </w:tcPr>
          <w:p w14:paraId="320A6377" w14:textId="77777777" w:rsidR="002E474C" w:rsidRDefault="00000000">
            <w:pPr>
              <w:pStyle w:val="A-"/>
            </w:pPr>
            <w:r>
              <w:t>S</w:t>
            </w:r>
            <w:r>
              <w:rPr>
                <w:vertAlign w:val="subscript"/>
              </w:rPr>
              <w:t>b</w:t>
            </w:r>
            <w:r>
              <w:t>（</w:t>
            </w:r>
            <w:r>
              <w:t>g/kg</w:t>
            </w:r>
            <w:r>
              <w:t>）</w:t>
            </w:r>
          </w:p>
        </w:tc>
        <w:tc>
          <w:tcPr>
            <w:tcW w:w="645" w:type="pct"/>
            <w:vAlign w:val="center"/>
          </w:tcPr>
          <w:p w14:paraId="53969EF3" w14:textId="77777777" w:rsidR="002E474C" w:rsidRDefault="00000000">
            <w:pPr>
              <w:pStyle w:val="A-"/>
            </w:pPr>
            <w:r>
              <w:t>S</w:t>
            </w:r>
            <w:r>
              <w:t>（</w:t>
            </w:r>
            <w:r>
              <w:t>g/kg</w:t>
            </w:r>
            <w:r>
              <w:t>）</w:t>
            </w:r>
          </w:p>
        </w:tc>
        <w:tc>
          <w:tcPr>
            <w:tcW w:w="1443" w:type="pct"/>
          </w:tcPr>
          <w:p w14:paraId="545CBE7F" w14:textId="77777777" w:rsidR="002E474C" w:rsidRDefault="00000000">
            <w:pPr>
              <w:pStyle w:val="A-"/>
            </w:pPr>
            <w:r>
              <w:t>第二类用地筛选值（</w:t>
            </w:r>
            <w:r>
              <w:t>mg/kg</w:t>
            </w:r>
            <w:r>
              <w:t>）</w:t>
            </w:r>
          </w:p>
        </w:tc>
      </w:tr>
      <w:tr w:rsidR="002E474C" w14:paraId="2B58ED77" w14:textId="77777777">
        <w:tc>
          <w:tcPr>
            <w:tcW w:w="656" w:type="pct"/>
            <w:vAlign w:val="center"/>
          </w:tcPr>
          <w:p w14:paraId="2960C6B1" w14:textId="77777777" w:rsidR="002E474C" w:rsidRDefault="00000000">
            <w:pPr>
              <w:pStyle w:val="A-"/>
            </w:pPr>
            <w:r>
              <w:t>汞</w:t>
            </w:r>
          </w:p>
        </w:tc>
        <w:tc>
          <w:tcPr>
            <w:tcW w:w="856" w:type="pct"/>
            <w:shd w:val="clear" w:color="auto" w:fill="auto"/>
            <w:vAlign w:val="center"/>
          </w:tcPr>
          <w:p w14:paraId="00B33558" w14:textId="77777777" w:rsidR="002E474C" w:rsidRDefault="00000000">
            <w:pPr>
              <w:pStyle w:val="A-"/>
            </w:pPr>
            <w:r>
              <w:t>12240</w:t>
            </w:r>
          </w:p>
        </w:tc>
        <w:tc>
          <w:tcPr>
            <w:tcW w:w="723" w:type="pct"/>
            <w:vAlign w:val="center"/>
          </w:tcPr>
          <w:p w14:paraId="7612178E" w14:textId="77777777" w:rsidR="002E474C" w:rsidRDefault="00000000">
            <w:pPr>
              <w:pStyle w:val="A-"/>
            </w:pPr>
            <w:r>
              <w:t>1.40E-03</w:t>
            </w:r>
          </w:p>
        </w:tc>
        <w:tc>
          <w:tcPr>
            <w:tcW w:w="676" w:type="pct"/>
            <w:vAlign w:val="center"/>
          </w:tcPr>
          <w:p w14:paraId="2F1E9155" w14:textId="77777777" w:rsidR="002E474C" w:rsidRDefault="00000000">
            <w:pPr>
              <w:pStyle w:val="A-"/>
            </w:pPr>
            <w:r>
              <w:t>1.89E-04</w:t>
            </w:r>
          </w:p>
        </w:tc>
        <w:tc>
          <w:tcPr>
            <w:tcW w:w="645" w:type="pct"/>
            <w:vAlign w:val="center"/>
          </w:tcPr>
          <w:p w14:paraId="42BA3ABA" w14:textId="77777777" w:rsidR="002E474C" w:rsidRDefault="00000000">
            <w:pPr>
              <w:pStyle w:val="A-"/>
            </w:pPr>
            <w:r>
              <w:t>1.58E-03</w:t>
            </w:r>
          </w:p>
        </w:tc>
        <w:tc>
          <w:tcPr>
            <w:tcW w:w="1443" w:type="pct"/>
          </w:tcPr>
          <w:p w14:paraId="7D6BCB08" w14:textId="77777777" w:rsidR="002E474C" w:rsidRDefault="00000000">
            <w:pPr>
              <w:pStyle w:val="A-"/>
            </w:pPr>
            <w:r>
              <w:t>38</w:t>
            </w:r>
          </w:p>
        </w:tc>
      </w:tr>
      <w:tr w:rsidR="002E474C" w14:paraId="70AC8921" w14:textId="77777777">
        <w:tc>
          <w:tcPr>
            <w:tcW w:w="656" w:type="pct"/>
            <w:vAlign w:val="center"/>
          </w:tcPr>
          <w:p w14:paraId="0D9AB5F1" w14:textId="77777777" w:rsidR="002E474C" w:rsidRDefault="00000000">
            <w:pPr>
              <w:pStyle w:val="A-"/>
            </w:pPr>
            <w:r>
              <w:t>砷</w:t>
            </w:r>
          </w:p>
        </w:tc>
        <w:tc>
          <w:tcPr>
            <w:tcW w:w="856" w:type="pct"/>
            <w:shd w:val="clear" w:color="auto" w:fill="auto"/>
            <w:vAlign w:val="center"/>
          </w:tcPr>
          <w:p w14:paraId="03428B83" w14:textId="77777777" w:rsidR="002E474C" w:rsidRDefault="00000000">
            <w:pPr>
              <w:pStyle w:val="A-"/>
            </w:pPr>
            <w:r>
              <w:t>172.8</w:t>
            </w:r>
          </w:p>
        </w:tc>
        <w:tc>
          <w:tcPr>
            <w:tcW w:w="723" w:type="pct"/>
            <w:vAlign w:val="center"/>
          </w:tcPr>
          <w:p w14:paraId="2AEED378" w14:textId="77777777" w:rsidR="002E474C" w:rsidRDefault="00000000">
            <w:pPr>
              <w:pStyle w:val="A-"/>
            </w:pPr>
            <w:r>
              <w:t>1.97E-05</w:t>
            </w:r>
          </w:p>
        </w:tc>
        <w:tc>
          <w:tcPr>
            <w:tcW w:w="676" w:type="pct"/>
            <w:vAlign w:val="center"/>
          </w:tcPr>
          <w:p w14:paraId="273362E3" w14:textId="77777777" w:rsidR="002E474C" w:rsidRDefault="00000000">
            <w:pPr>
              <w:pStyle w:val="A-"/>
            </w:pPr>
            <w:r>
              <w:t>1.66E-02</w:t>
            </w:r>
          </w:p>
        </w:tc>
        <w:tc>
          <w:tcPr>
            <w:tcW w:w="645" w:type="pct"/>
            <w:vAlign w:val="center"/>
          </w:tcPr>
          <w:p w14:paraId="79656319" w14:textId="77777777" w:rsidR="002E474C" w:rsidRDefault="00000000">
            <w:pPr>
              <w:pStyle w:val="A-"/>
            </w:pPr>
            <w:r>
              <w:t>1.66E-02</w:t>
            </w:r>
          </w:p>
        </w:tc>
        <w:tc>
          <w:tcPr>
            <w:tcW w:w="1443" w:type="pct"/>
          </w:tcPr>
          <w:p w14:paraId="41979E9B" w14:textId="77777777" w:rsidR="002E474C" w:rsidRDefault="00000000">
            <w:pPr>
              <w:pStyle w:val="A-"/>
            </w:pPr>
            <w:r>
              <w:t>60</w:t>
            </w:r>
          </w:p>
        </w:tc>
      </w:tr>
      <w:tr w:rsidR="002E474C" w14:paraId="2FD38AF5" w14:textId="77777777">
        <w:tc>
          <w:tcPr>
            <w:tcW w:w="656" w:type="pct"/>
            <w:vAlign w:val="center"/>
          </w:tcPr>
          <w:p w14:paraId="2615BB9D" w14:textId="77777777" w:rsidR="002E474C" w:rsidRDefault="00000000">
            <w:pPr>
              <w:pStyle w:val="A-"/>
            </w:pPr>
            <w:r>
              <w:t>镉</w:t>
            </w:r>
          </w:p>
        </w:tc>
        <w:tc>
          <w:tcPr>
            <w:tcW w:w="856" w:type="pct"/>
            <w:shd w:val="clear" w:color="auto" w:fill="auto"/>
            <w:vAlign w:val="center"/>
          </w:tcPr>
          <w:p w14:paraId="2ACB3CFE" w14:textId="77777777" w:rsidR="002E474C" w:rsidRDefault="00000000">
            <w:pPr>
              <w:pStyle w:val="A-"/>
            </w:pPr>
            <w:r>
              <w:t>114.48</w:t>
            </w:r>
          </w:p>
        </w:tc>
        <w:tc>
          <w:tcPr>
            <w:tcW w:w="723" w:type="pct"/>
            <w:vAlign w:val="center"/>
          </w:tcPr>
          <w:p w14:paraId="51EFB6A3" w14:textId="77777777" w:rsidR="002E474C" w:rsidRDefault="00000000">
            <w:pPr>
              <w:pStyle w:val="A-"/>
            </w:pPr>
            <w:r>
              <w:t>1.31E-05</w:t>
            </w:r>
          </w:p>
        </w:tc>
        <w:tc>
          <w:tcPr>
            <w:tcW w:w="676" w:type="pct"/>
            <w:vAlign w:val="center"/>
          </w:tcPr>
          <w:p w14:paraId="743E674D" w14:textId="77777777" w:rsidR="002E474C" w:rsidRDefault="00000000">
            <w:pPr>
              <w:pStyle w:val="A-"/>
            </w:pPr>
            <w:r>
              <w:t>3.90E-04</w:t>
            </w:r>
          </w:p>
        </w:tc>
        <w:tc>
          <w:tcPr>
            <w:tcW w:w="645" w:type="pct"/>
            <w:vAlign w:val="center"/>
          </w:tcPr>
          <w:p w14:paraId="190DD7E1" w14:textId="77777777" w:rsidR="002E474C" w:rsidRDefault="00000000">
            <w:pPr>
              <w:pStyle w:val="A-"/>
            </w:pPr>
            <w:r>
              <w:t>4.03E-04</w:t>
            </w:r>
          </w:p>
        </w:tc>
        <w:tc>
          <w:tcPr>
            <w:tcW w:w="1443" w:type="pct"/>
          </w:tcPr>
          <w:p w14:paraId="431FA396" w14:textId="77777777" w:rsidR="002E474C" w:rsidRDefault="00000000">
            <w:pPr>
              <w:pStyle w:val="A-"/>
            </w:pPr>
            <w:r>
              <w:t>65</w:t>
            </w:r>
          </w:p>
        </w:tc>
      </w:tr>
      <w:tr w:rsidR="002E474C" w14:paraId="5E7B75C3" w14:textId="77777777">
        <w:tc>
          <w:tcPr>
            <w:tcW w:w="656" w:type="pct"/>
            <w:vAlign w:val="center"/>
          </w:tcPr>
          <w:p w14:paraId="6186AE32" w14:textId="77777777" w:rsidR="002E474C" w:rsidRDefault="00000000">
            <w:pPr>
              <w:pStyle w:val="A-"/>
            </w:pPr>
            <w:r>
              <w:t>铬（六价）</w:t>
            </w:r>
          </w:p>
        </w:tc>
        <w:tc>
          <w:tcPr>
            <w:tcW w:w="856" w:type="pct"/>
            <w:shd w:val="clear" w:color="auto" w:fill="auto"/>
            <w:vAlign w:val="center"/>
          </w:tcPr>
          <w:p w14:paraId="06D5A22A" w14:textId="77777777" w:rsidR="002E474C" w:rsidRDefault="00000000">
            <w:pPr>
              <w:pStyle w:val="A-"/>
            </w:pPr>
            <w:r>
              <w:t>1036.8</w:t>
            </w:r>
          </w:p>
        </w:tc>
        <w:tc>
          <w:tcPr>
            <w:tcW w:w="723" w:type="pct"/>
            <w:vAlign w:val="center"/>
          </w:tcPr>
          <w:p w14:paraId="4CBACB3F" w14:textId="77777777" w:rsidR="002E474C" w:rsidRDefault="00000000">
            <w:pPr>
              <w:pStyle w:val="A-"/>
            </w:pPr>
            <w:r>
              <w:t>1.18E-04</w:t>
            </w:r>
          </w:p>
        </w:tc>
        <w:tc>
          <w:tcPr>
            <w:tcW w:w="676" w:type="pct"/>
            <w:vAlign w:val="center"/>
          </w:tcPr>
          <w:p w14:paraId="35140D40" w14:textId="77777777" w:rsidR="002E474C" w:rsidRDefault="00000000">
            <w:pPr>
              <w:pStyle w:val="A-"/>
            </w:pPr>
            <w:r>
              <w:t>5.00E-04</w:t>
            </w:r>
          </w:p>
        </w:tc>
        <w:tc>
          <w:tcPr>
            <w:tcW w:w="645" w:type="pct"/>
            <w:vAlign w:val="center"/>
          </w:tcPr>
          <w:p w14:paraId="5D4D102A" w14:textId="77777777" w:rsidR="002E474C" w:rsidRDefault="00000000">
            <w:pPr>
              <w:pStyle w:val="A-"/>
            </w:pPr>
            <w:r>
              <w:t>6.18E-04</w:t>
            </w:r>
          </w:p>
        </w:tc>
        <w:tc>
          <w:tcPr>
            <w:tcW w:w="1443" w:type="pct"/>
          </w:tcPr>
          <w:p w14:paraId="7071F2C5" w14:textId="77777777" w:rsidR="002E474C" w:rsidRDefault="00000000">
            <w:pPr>
              <w:pStyle w:val="A-"/>
            </w:pPr>
            <w:r>
              <w:t>5.7</w:t>
            </w:r>
          </w:p>
        </w:tc>
      </w:tr>
      <w:tr w:rsidR="002E474C" w14:paraId="1108ED92" w14:textId="77777777">
        <w:tc>
          <w:tcPr>
            <w:tcW w:w="656" w:type="pct"/>
            <w:vAlign w:val="center"/>
          </w:tcPr>
          <w:p w14:paraId="41619FF8" w14:textId="77777777" w:rsidR="002E474C" w:rsidRDefault="00000000">
            <w:pPr>
              <w:pStyle w:val="A-"/>
            </w:pPr>
            <w:r>
              <w:t>铅</w:t>
            </w:r>
          </w:p>
        </w:tc>
        <w:tc>
          <w:tcPr>
            <w:tcW w:w="856" w:type="pct"/>
            <w:shd w:val="clear" w:color="auto" w:fill="auto"/>
            <w:vAlign w:val="center"/>
          </w:tcPr>
          <w:p w14:paraId="5942B6AC" w14:textId="77777777" w:rsidR="002E474C" w:rsidRDefault="00000000">
            <w:pPr>
              <w:pStyle w:val="A-"/>
            </w:pPr>
            <w:r>
              <w:t>2592</w:t>
            </w:r>
          </w:p>
        </w:tc>
        <w:tc>
          <w:tcPr>
            <w:tcW w:w="723" w:type="pct"/>
            <w:vAlign w:val="center"/>
          </w:tcPr>
          <w:p w14:paraId="6F66CC8F" w14:textId="77777777" w:rsidR="002E474C" w:rsidRDefault="00000000">
            <w:pPr>
              <w:pStyle w:val="A-"/>
            </w:pPr>
            <w:r>
              <w:t>2.96E-04</w:t>
            </w:r>
          </w:p>
        </w:tc>
        <w:tc>
          <w:tcPr>
            <w:tcW w:w="676" w:type="pct"/>
            <w:vAlign w:val="center"/>
          </w:tcPr>
          <w:p w14:paraId="55C26F40" w14:textId="77777777" w:rsidR="002E474C" w:rsidRDefault="00000000">
            <w:pPr>
              <w:pStyle w:val="A-"/>
            </w:pPr>
            <w:r>
              <w:t>4.20E-02</w:t>
            </w:r>
          </w:p>
        </w:tc>
        <w:tc>
          <w:tcPr>
            <w:tcW w:w="645" w:type="pct"/>
            <w:vAlign w:val="center"/>
          </w:tcPr>
          <w:p w14:paraId="1F32DA45" w14:textId="77777777" w:rsidR="002E474C" w:rsidRDefault="00000000">
            <w:pPr>
              <w:pStyle w:val="A-"/>
            </w:pPr>
            <w:r>
              <w:t>4.23E-02</w:t>
            </w:r>
          </w:p>
        </w:tc>
        <w:tc>
          <w:tcPr>
            <w:tcW w:w="1443" w:type="pct"/>
          </w:tcPr>
          <w:p w14:paraId="7CEC51BE" w14:textId="77777777" w:rsidR="002E474C" w:rsidRDefault="00000000">
            <w:pPr>
              <w:pStyle w:val="A-"/>
            </w:pPr>
            <w:r>
              <w:t>800</w:t>
            </w:r>
          </w:p>
        </w:tc>
      </w:tr>
      <w:tr w:rsidR="002E474C" w14:paraId="1CCEC8A8" w14:textId="77777777">
        <w:tc>
          <w:tcPr>
            <w:tcW w:w="656" w:type="pct"/>
            <w:vAlign w:val="center"/>
          </w:tcPr>
          <w:p w14:paraId="1E8EC425" w14:textId="77777777" w:rsidR="002E474C" w:rsidRDefault="00000000">
            <w:pPr>
              <w:pStyle w:val="A-"/>
            </w:pPr>
            <w:r>
              <w:t>二噁英类</w:t>
            </w:r>
          </w:p>
        </w:tc>
        <w:tc>
          <w:tcPr>
            <w:tcW w:w="856" w:type="pct"/>
            <w:shd w:val="clear" w:color="auto" w:fill="auto"/>
            <w:vAlign w:val="center"/>
          </w:tcPr>
          <w:p w14:paraId="66078B91" w14:textId="77777777" w:rsidR="002E474C" w:rsidRDefault="00000000">
            <w:pPr>
              <w:pStyle w:val="A-"/>
            </w:pPr>
            <w:r>
              <w:t>0.2592gTEQ/a</w:t>
            </w:r>
          </w:p>
        </w:tc>
        <w:tc>
          <w:tcPr>
            <w:tcW w:w="723" w:type="pct"/>
            <w:vAlign w:val="center"/>
          </w:tcPr>
          <w:p w14:paraId="4A82287F" w14:textId="77777777" w:rsidR="002E474C" w:rsidRDefault="00000000">
            <w:pPr>
              <w:pStyle w:val="A-"/>
            </w:pPr>
            <w:r>
              <w:t>2.96E-08</w:t>
            </w:r>
          </w:p>
        </w:tc>
        <w:tc>
          <w:tcPr>
            <w:tcW w:w="676" w:type="pct"/>
            <w:vAlign w:val="center"/>
          </w:tcPr>
          <w:p w14:paraId="7E585C69" w14:textId="77777777" w:rsidR="002E474C" w:rsidRDefault="00000000">
            <w:pPr>
              <w:pStyle w:val="A-"/>
            </w:pPr>
            <w:r>
              <w:t>1.50E-10</w:t>
            </w:r>
          </w:p>
        </w:tc>
        <w:tc>
          <w:tcPr>
            <w:tcW w:w="645" w:type="pct"/>
            <w:vAlign w:val="center"/>
          </w:tcPr>
          <w:p w14:paraId="1EDE24E7" w14:textId="77777777" w:rsidR="002E474C" w:rsidRDefault="00000000">
            <w:pPr>
              <w:pStyle w:val="A-"/>
            </w:pPr>
            <w:r>
              <w:t>2.97E-08</w:t>
            </w:r>
          </w:p>
        </w:tc>
        <w:tc>
          <w:tcPr>
            <w:tcW w:w="1443" w:type="pct"/>
          </w:tcPr>
          <w:p w14:paraId="4B3A7607" w14:textId="77777777" w:rsidR="002E474C" w:rsidRDefault="00000000">
            <w:pPr>
              <w:pStyle w:val="A-"/>
            </w:pPr>
            <w:r>
              <w:t>4×10</w:t>
            </w:r>
            <w:r>
              <w:rPr>
                <w:vertAlign w:val="superscript"/>
              </w:rPr>
              <w:t>-5</w:t>
            </w:r>
          </w:p>
        </w:tc>
      </w:tr>
    </w:tbl>
    <w:p w14:paraId="43F48DE7" w14:textId="77777777" w:rsidR="002E474C" w:rsidRDefault="002E474C">
      <w:pPr>
        <w:pStyle w:val="w3"/>
      </w:pPr>
    </w:p>
    <w:p w14:paraId="17F4AB97" w14:textId="77777777" w:rsidR="002E474C" w:rsidRDefault="00000000">
      <w:pPr>
        <w:pStyle w:val="A-z"/>
        <w:rPr>
          <w:color w:val="auto"/>
        </w:rPr>
      </w:pPr>
      <w:r>
        <w:rPr>
          <w:color w:val="auto"/>
        </w:rPr>
        <w:t>3</w:t>
      </w:r>
      <w:r>
        <w:rPr>
          <w:color w:val="auto"/>
        </w:rPr>
        <w:t>）预测结果</w:t>
      </w:r>
    </w:p>
    <w:p w14:paraId="20677D13" w14:textId="77777777" w:rsidR="002E474C" w:rsidRDefault="00000000">
      <w:pPr>
        <w:pStyle w:val="A-z"/>
        <w:rPr>
          <w:color w:val="auto"/>
        </w:rPr>
      </w:pPr>
      <w:r>
        <w:rPr>
          <w:color w:val="auto"/>
        </w:rPr>
        <w:t>根据预测，单位质量土壤中汞、砷、镉、铬、铅和二噁英类的预测值均小于《土壤环境质量</w:t>
      </w:r>
      <w:r>
        <w:rPr>
          <w:color w:val="auto"/>
        </w:rPr>
        <w:t xml:space="preserve"> </w:t>
      </w:r>
      <w:r>
        <w:rPr>
          <w:color w:val="auto"/>
        </w:rPr>
        <w:t>建设用地土壤污染风险管控标准（试行）》（</w:t>
      </w:r>
      <w:r>
        <w:rPr>
          <w:color w:val="auto"/>
        </w:rPr>
        <w:t>GB36600-2018</w:t>
      </w:r>
      <w:r>
        <w:rPr>
          <w:color w:val="auto"/>
        </w:rPr>
        <w:t>）中第二类用地筛选值，因此项目土壤环境影响可以接受。</w:t>
      </w:r>
    </w:p>
    <w:p w14:paraId="3D3604BD" w14:textId="77777777" w:rsidR="002E474C" w:rsidRDefault="00000000">
      <w:pPr>
        <w:pStyle w:val="A-z"/>
        <w:rPr>
          <w:color w:val="auto"/>
        </w:rPr>
      </w:pPr>
      <w:r>
        <w:rPr>
          <w:color w:val="auto"/>
        </w:rPr>
        <w:t>项目窑尾废气治理措施依托现有水泥厂烟气治理措施，采用</w:t>
      </w:r>
      <w:r>
        <w:rPr>
          <w:color w:val="auto"/>
        </w:rPr>
        <w:t>SNCR+SCR+</w:t>
      </w:r>
      <w:r>
        <w:rPr>
          <w:color w:val="auto"/>
        </w:rPr>
        <w:t>增湿塔（急冷）</w:t>
      </w:r>
      <w:r>
        <w:rPr>
          <w:color w:val="auto"/>
        </w:rPr>
        <w:t>+</w:t>
      </w:r>
      <w:r>
        <w:rPr>
          <w:color w:val="auto"/>
        </w:rPr>
        <w:t>电袋除尘器处理后经</w:t>
      </w:r>
      <w:r>
        <w:rPr>
          <w:color w:val="auto"/>
        </w:rPr>
        <w:t>85m</w:t>
      </w:r>
      <w:r>
        <w:rPr>
          <w:color w:val="auto"/>
        </w:rPr>
        <w:t>烟囱高空排放，减少废气中污染物的排放量，确保尾气排放可以达到排放标准。尾气的治理措施降低污染物的排放，从而减轻因大气沉降对土壤环境产生的影响。</w:t>
      </w:r>
    </w:p>
    <w:p w14:paraId="5C60A166" w14:textId="77777777" w:rsidR="002E474C" w:rsidRDefault="00000000">
      <w:pPr>
        <w:pStyle w:val="A-z"/>
        <w:rPr>
          <w:color w:val="auto"/>
        </w:rPr>
      </w:pPr>
      <w:r>
        <w:rPr>
          <w:color w:val="auto"/>
        </w:rPr>
        <w:t>（</w:t>
      </w:r>
      <w:r>
        <w:rPr>
          <w:color w:val="auto"/>
        </w:rPr>
        <w:t>2</w:t>
      </w:r>
      <w:r>
        <w:rPr>
          <w:color w:val="auto"/>
        </w:rPr>
        <w:t>）垂直入渗</w:t>
      </w:r>
    </w:p>
    <w:p w14:paraId="021C9EA0" w14:textId="77777777" w:rsidR="002E474C" w:rsidRDefault="00000000">
      <w:pPr>
        <w:pStyle w:val="A-z"/>
        <w:rPr>
          <w:color w:val="auto"/>
        </w:rPr>
      </w:pPr>
      <w:r>
        <w:rPr>
          <w:color w:val="auto"/>
        </w:rPr>
        <w:t>1</w:t>
      </w:r>
      <w:r>
        <w:rPr>
          <w:color w:val="auto"/>
        </w:rPr>
        <w:t>）预测方法</w:t>
      </w:r>
    </w:p>
    <w:p w14:paraId="1EFE0810" w14:textId="77777777" w:rsidR="002E474C" w:rsidRDefault="00000000">
      <w:pPr>
        <w:pStyle w:val="A-z"/>
        <w:rPr>
          <w:color w:val="auto"/>
        </w:rPr>
      </w:pPr>
      <w:r>
        <w:rPr>
          <w:color w:val="auto"/>
        </w:rPr>
        <w:t>采用《环境影响评价技术导则</w:t>
      </w:r>
      <w:r>
        <w:rPr>
          <w:color w:val="auto"/>
        </w:rPr>
        <w:t xml:space="preserve"> </w:t>
      </w:r>
      <w:r>
        <w:rPr>
          <w:color w:val="auto"/>
        </w:rPr>
        <w:t>土壤环境（试行）》（</w:t>
      </w:r>
      <w:r>
        <w:rPr>
          <w:color w:val="auto"/>
        </w:rPr>
        <w:t>HJ964-2018</w:t>
      </w:r>
      <w:r>
        <w:rPr>
          <w:color w:val="auto"/>
        </w:rPr>
        <w:t>）附录</w:t>
      </w:r>
      <w:r>
        <w:rPr>
          <w:color w:val="auto"/>
        </w:rPr>
        <w:t xml:space="preserve">E </w:t>
      </w:r>
      <w:r>
        <w:rPr>
          <w:color w:val="auto"/>
        </w:rPr>
        <w:t>一维非饱和溶质运移模型进行预测，该方法适用于某种污染物以点源形式垂直进入土壤环境的影响预测，重点预测污染物可能影响的深度。</w:t>
      </w:r>
    </w:p>
    <w:p w14:paraId="1288208A" w14:textId="77777777" w:rsidR="002E474C" w:rsidRDefault="00000000">
      <w:pPr>
        <w:pStyle w:val="A-z"/>
        <w:rPr>
          <w:color w:val="auto"/>
          <w:kern w:val="0"/>
          <w:szCs w:val="24"/>
        </w:rPr>
      </w:pPr>
      <w:r>
        <w:rPr>
          <w:color w:val="auto"/>
          <w:kern w:val="0"/>
          <w:szCs w:val="24"/>
        </w:rPr>
        <w:t>一维非饱和溶质垂向运移控制方程：</w:t>
      </w:r>
    </w:p>
    <w:p w14:paraId="0B5506A2" w14:textId="77777777" w:rsidR="002E474C" w:rsidRDefault="00000000">
      <w:pPr>
        <w:ind w:firstLine="480"/>
        <w:rPr>
          <w:kern w:val="0"/>
          <w:sz w:val="24"/>
          <w:szCs w:val="24"/>
        </w:rPr>
      </w:pPr>
      <m:oMathPara>
        <m:oMath>
          <m:f>
            <m:fPr>
              <m:ctrlPr>
                <w:rPr>
                  <w:rFonts w:ascii="Cambria Math" w:hAnsi="Cambria Math"/>
                  <w:kern w:val="0"/>
                  <w:sz w:val="24"/>
                  <w:szCs w:val="24"/>
                </w:rPr>
              </m:ctrlPr>
            </m:fPr>
            <m:num>
              <m:r>
                <w:rPr>
                  <w:rFonts w:ascii="Cambria Math" w:hAnsi="Cambria Math"/>
                  <w:kern w:val="0"/>
                  <w:sz w:val="24"/>
                  <w:szCs w:val="24"/>
                </w:rPr>
                <m:t>∂</m:t>
              </m:r>
              <m:r>
                <w:rPr>
                  <w:rFonts w:ascii="Cambria Math" w:hAnsi="Cambria Math"/>
                  <w:kern w:val="0"/>
                  <w:sz w:val="24"/>
                  <w:szCs w:val="24"/>
                </w:rPr>
                <m:t>（</m:t>
              </m:r>
              <m:r>
                <w:rPr>
                  <w:rFonts w:ascii="Cambria Math" w:hAnsi="Cambria Math"/>
                  <w:kern w:val="0"/>
                  <w:sz w:val="24"/>
                  <w:szCs w:val="24"/>
                </w:rPr>
                <m:t>θc</m:t>
              </m:r>
              <m:r>
                <w:rPr>
                  <w:rFonts w:ascii="Cambria Math" w:hAnsi="Cambria Math"/>
                  <w:kern w:val="0"/>
                  <w:sz w:val="24"/>
                  <w:szCs w:val="24"/>
                </w:rPr>
                <m:t>）</m:t>
              </m:r>
            </m:num>
            <m:den>
              <m:r>
                <w:rPr>
                  <w:rFonts w:ascii="Cambria Math" w:hAnsi="Cambria Math"/>
                  <w:kern w:val="0"/>
                  <w:sz w:val="24"/>
                  <w:szCs w:val="24"/>
                </w:rPr>
                <m:t>∂t</m:t>
              </m:r>
            </m:den>
          </m:f>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m:t>
              </m:r>
            </m:num>
            <m:den>
              <m:r>
                <w:rPr>
                  <w:rFonts w:ascii="Cambria Math" w:hAnsi="Cambria Math"/>
                  <w:kern w:val="0"/>
                  <w:sz w:val="24"/>
                  <w:szCs w:val="24"/>
                </w:rPr>
                <m:t>∂z</m:t>
              </m:r>
            </m:den>
          </m:f>
          <m:d>
            <m:dPr>
              <m:ctrlPr>
                <w:rPr>
                  <w:rFonts w:ascii="Cambria Math" w:hAnsi="Cambria Math"/>
                  <w:i/>
                  <w:kern w:val="0"/>
                  <w:sz w:val="24"/>
                  <w:szCs w:val="24"/>
                </w:rPr>
              </m:ctrlPr>
            </m:dPr>
            <m:e>
              <m:r>
                <w:rPr>
                  <w:rFonts w:ascii="Cambria Math" w:hAnsi="Cambria Math"/>
                  <w:kern w:val="0"/>
                  <w:sz w:val="24"/>
                  <w:szCs w:val="24"/>
                </w:rPr>
                <m:t>θD</m:t>
              </m:r>
              <m:f>
                <m:fPr>
                  <m:ctrlPr>
                    <w:rPr>
                      <w:rFonts w:ascii="Cambria Math" w:hAnsi="Cambria Math"/>
                      <w:i/>
                      <w:kern w:val="0"/>
                      <w:sz w:val="24"/>
                      <w:szCs w:val="24"/>
                    </w:rPr>
                  </m:ctrlPr>
                </m:fPr>
                <m:num>
                  <m:r>
                    <w:rPr>
                      <w:rFonts w:ascii="Cambria Math" w:hAnsi="Cambria Math"/>
                      <w:kern w:val="0"/>
                      <w:sz w:val="24"/>
                      <w:szCs w:val="24"/>
                    </w:rPr>
                    <m:t>∂c</m:t>
                  </m:r>
                </m:num>
                <m:den>
                  <m:r>
                    <w:rPr>
                      <w:rFonts w:ascii="Cambria Math" w:hAnsi="Cambria Math"/>
                      <w:kern w:val="0"/>
                      <w:sz w:val="24"/>
                      <w:szCs w:val="24"/>
                    </w:rPr>
                    <m:t>∂z</m:t>
                  </m:r>
                </m:den>
              </m:f>
            </m:e>
          </m:d>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m:t>
              </m:r>
            </m:num>
            <m:den>
              <m:r>
                <w:rPr>
                  <w:rFonts w:ascii="Cambria Math" w:hAnsi="Cambria Math"/>
                  <w:kern w:val="0"/>
                  <w:sz w:val="24"/>
                  <w:szCs w:val="24"/>
                </w:rPr>
                <m:t>∂z</m:t>
              </m:r>
            </m:den>
          </m:f>
          <m:r>
            <w:rPr>
              <w:rFonts w:ascii="Cambria Math" w:hAnsi="Cambria Math"/>
              <w:kern w:val="0"/>
              <w:sz w:val="24"/>
              <w:szCs w:val="24"/>
            </w:rPr>
            <m:t>（</m:t>
          </m:r>
          <m:r>
            <w:rPr>
              <w:rFonts w:ascii="Cambria Math" w:hAnsi="Cambria Math"/>
              <w:kern w:val="0"/>
              <w:sz w:val="24"/>
              <w:szCs w:val="24"/>
            </w:rPr>
            <m:t>qc</m:t>
          </m:r>
          <m:r>
            <w:rPr>
              <w:rFonts w:ascii="Cambria Math" w:hAnsi="Cambria Math"/>
              <w:kern w:val="0"/>
              <w:sz w:val="24"/>
              <w:szCs w:val="24"/>
            </w:rPr>
            <m:t>）</m:t>
          </m:r>
          <m:r>
            <w:rPr>
              <w:rFonts w:ascii="Cambria Math" w:hAnsi="Cambria Math"/>
              <w:kern w:val="0"/>
              <w:sz w:val="24"/>
              <w:szCs w:val="24"/>
            </w:rPr>
            <m:t>]</m:t>
          </m:r>
        </m:oMath>
      </m:oMathPara>
    </w:p>
    <w:p w14:paraId="57EC26AE" w14:textId="77777777" w:rsidR="002E474C" w:rsidRDefault="00000000">
      <w:pPr>
        <w:pStyle w:val="A-z"/>
        <w:rPr>
          <w:color w:val="auto"/>
        </w:rPr>
      </w:pPr>
      <w:r>
        <w:rPr>
          <w:color w:val="auto"/>
        </w:rPr>
        <w:t>式中：</w:t>
      </w:r>
    </w:p>
    <w:p w14:paraId="1994B309" w14:textId="77777777" w:rsidR="002E474C" w:rsidRDefault="00000000">
      <w:pPr>
        <w:pStyle w:val="A-z"/>
        <w:rPr>
          <w:color w:val="auto"/>
        </w:rPr>
      </w:pPr>
      <w:r>
        <w:rPr>
          <w:color w:val="auto"/>
        </w:rPr>
        <w:t>c——</w:t>
      </w:r>
      <w:r>
        <w:rPr>
          <w:color w:val="auto"/>
        </w:rPr>
        <w:t>污染物介质中的浓度，</w:t>
      </w:r>
      <w:r>
        <w:rPr>
          <w:color w:val="auto"/>
        </w:rPr>
        <w:t>mg/L</w:t>
      </w:r>
    </w:p>
    <w:p w14:paraId="78A5213B" w14:textId="77777777" w:rsidR="002E474C" w:rsidRDefault="00000000">
      <w:pPr>
        <w:pStyle w:val="A-z"/>
        <w:rPr>
          <w:color w:val="auto"/>
        </w:rPr>
      </w:pPr>
      <w:r>
        <w:rPr>
          <w:color w:val="auto"/>
        </w:rPr>
        <w:t>D——</w:t>
      </w:r>
      <w:r>
        <w:rPr>
          <w:color w:val="auto"/>
        </w:rPr>
        <w:t>弥散系数，</w:t>
      </w:r>
      <w:r>
        <w:rPr>
          <w:color w:val="auto"/>
        </w:rPr>
        <w:t>m</w:t>
      </w:r>
      <w:r>
        <w:rPr>
          <w:color w:val="auto"/>
          <w:vertAlign w:val="superscript"/>
        </w:rPr>
        <w:t>2</w:t>
      </w:r>
      <w:r>
        <w:rPr>
          <w:color w:val="auto"/>
        </w:rPr>
        <w:t>/d</w:t>
      </w:r>
      <w:r>
        <w:rPr>
          <w:color w:val="auto"/>
        </w:rPr>
        <w:t>；</w:t>
      </w:r>
    </w:p>
    <w:p w14:paraId="71F8C0C7" w14:textId="77777777" w:rsidR="002E474C" w:rsidRDefault="00000000">
      <w:pPr>
        <w:pStyle w:val="A-z"/>
        <w:rPr>
          <w:color w:val="auto"/>
        </w:rPr>
      </w:pPr>
      <w:r>
        <w:rPr>
          <w:color w:val="auto"/>
        </w:rPr>
        <w:t>q——</w:t>
      </w:r>
      <w:r>
        <w:rPr>
          <w:color w:val="auto"/>
        </w:rPr>
        <w:t>渗流速率，</w:t>
      </w:r>
      <w:r>
        <w:rPr>
          <w:color w:val="auto"/>
        </w:rPr>
        <w:t>m/d</w:t>
      </w:r>
      <w:r>
        <w:rPr>
          <w:color w:val="auto"/>
        </w:rPr>
        <w:t>；</w:t>
      </w:r>
    </w:p>
    <w:p w14:paraId="6F08854E" w14:textId="77777777" w:rsidR="002E474C" w:rsidRDefault="00000000">
      <w:pPr>
        <w:pStyle w:val="A-z"/>
        <w:rPr>
          <w:color w:val="auto"/>
        </w:rPr>
      </w:pPr>
      <w:r>
        <w:rPr>
          <w:color w:val="auto"/>
        </w:rPr>
        <w:t>z——</w:t>
      </w:r>
      <w:r>
        <w:rPr>
          <w:color w:val="auto"/>
        </w:rPr>
        <w:t>沿</w:t>
      </w:r>
      <w:r>
        <w:rPr>
          <w:color w:val="auto"/>
        </w:rPr>
        <w:t>z</w:t>
      </w:r>
      <w:r>
        <w:rPr>
          <w:color w:val="auto"/>
        </w:rPr>
        <w:t>轴的距离，</w:t>
      </w:r>
      <w:r>
        <w:rPr>
          <w:color w:val="auto"/>
        </w:rPr>
        <w:t>m</w:t>
      </w:r>
      <w:r>
        <w:rPr>
          <w:color w:val="auto"/>
        </w:rPr>
        <w:t>；</w:t>
      </w:r>
    </w:p>
    <w:p w14:paraId="34EEFAA5" w14:textId="77777777" w:rsidR="002E474C" w:rsidRDefault="00000000">
      <w:pPr>
        <w:pStyle w:val="A-z"/>
        <w:rPr>
          <w:color w:val="auto"/>
        </w:rPr>
      </w:pPr>
      <w:r>
        <w:rPr>
          <w:color w:val="auto"/>
        </w:rPr>
        <w:t>t——</w:t>
      </w:r>
      <w:r>
        <w:rPr>
          <w:color w:val="auto"/>
        </w:rPr>
        <w:t>时间变量，</w:t>
      </w:r>
      <w:r>
        <w:rPr>
          <w:color w:val="auto"/>
        </w:rPr>
        <w:t>d</w:t>
      </w:r>
      <w:r>
        <w:rPr>
          <w:color w:val="auto"/>
        </w:rPr>
        <w:t>；</w:t>
      </w:r>
    </w:p>
    <w:p w14:paraId="4F1268C7" w14:textId="77777777" w:rsidR="002E474C" w:rsidRDefault="00000000">
      <w:pPr>
        <w:pStyle w:val="A-z"/>
        <w:rPr>
          <w:color w:val="auto"/>
        </w:rPr>
      </w:pPr>
      <w:r>
        <w:rPr>
          <w:color w:val="auto"/>
        </w:rPr>
        <w:t>θ——</w:t>
      </w:r>
      <w:r>
        <w:rPr>
          <w:color w:val="auto"/>
        </w:rPr>
        <w:t>土壤含水率，</w:t>
      </w:r>
      <w:r>
        <w:rPr>
          <w:color w:val="auto"/>
        </w:rPr>
        <w:t>%</w:t>
      </w:r>
      <w:r>
        <w:rPr>
          <w:color w:val="auto"/>
        </w:rPr>
        <w:t>。</w:t>
      </w:r>
    </w:p>
    <w:p w14:paraId="19860AA9" w14:textId="77777777" w:rsidR="002E474C" w:rsidRDefault="00000000">
      <w:pPr>
        <w:pStyle w:val="w2"/>
        <w:ind w:firstLine="480"/>
      </w:pPr>
      <w:r>
        <w:rPr>
          <w:rFonts w:ascii="宋体" w:hAnsi="宋体" w:cs="宋体" w:hint="eastAsia"/>
        </w:rPr>
        <w:t>初始条件：</w:t>
      </w:r>
    </w:p>
    <w:p w14:paraId="4653AFB0" w14:textId="77777777" w:rsidR="002E474C" w:rsidRDefault="00000000">
      <w:pPr>
        <w:pStyle w:val="w2"/>
        <w:ind w:firstLine="480"/>
        <w:jc w:val="center"/>
      </w:pPr>
      <w:r>
        <w:rPr>
          <w:rFonts w:hint="eastAsia"/>
        </w:rPr>
        <w:lastRenderedPageBreak/>
        <w:t>c</w:t>
      </w:r>
      <w:r>
        <w:rPr>
          <w:rFonts w:ascii="宋体" w:hAnsi="宋体" w:cs="宋体" w:hint="eastAsia"/>
        </w:rPr>
        <w:t>（</w:t>
      </w:r>
      <w:r>
        <w:rPr>
          <w:rFonts w:hint="eastAsia"/>
        </w:rPr>
        <w:t>z</w:t>
      </w:r>
      <w:r>
        <w:rPr>
          <w:rFonts w:ascii="宋体" w:hAnsi="宋体" w:cs="宋体" w:hint="eastAsia"/>
        </w:rPr>
        <w:t>，</w:t>
      </w:r>
      <w:r>
        <w:rPr>
          <w:rFonts w:hint="eastAsia"/>
        </w:rPr>
        <w:t>t</w:t>
      </w:r>
      <w:r>
        <w:rPr>
          <w:rFonts w:ascii="宋体" w:hAnsi="宋体" w:cs="宋体" w:hint="eastAsia"/>
        </w:rPr>
        <w:t>）</w:t>
      </w:r>
      <w:r>
        <w:rPr>
          <w:rFonts w:hint="eastAsia"/>
        </w:rPr>
        <w:t>=0   t=0</w:t>
      </w:r>
      <w:r>
        <w:rPr>
          <w:rFonts w:ascii="宋体" w:hAnsi="宋体" w:cs="宋体" w:hint="eastAsia"/>
        </w:rPr>
        <w:t>，</w:t>
      </w:r>
      <w:proofErr w:type="spellStart"/>
      <w:r>
        <w:rPr>
          <w:rFonts w:hint="eastAsia"/>
        </w:rPr>
        <w:t>L</w:t>
      </w:r>
      <w:r>
        <w:t>≤</w:t>
      </w:r>
      <w:r>
        <w:rPr>
          <w:rFonts w:hint="eastAsia"/>
        </w:rPr>
        <w:t>z</w:t>
      </w:r>
      <w:proofErr w:type="spellEnd"/>
      <w:r>
        <w:rPr>
          <w:rFonts w:hint="eastAsia"/>
        </w:rPr>
        <w:t>&lt;0</w:t>
      </w:r>
    </w:p>
    <w:p w14:paraId="1387D8EB" w14:textId="77777777" w:rsidR="002E474C" w:rsidRDefault="00000000">
      <w:pPr>
        <w:pStyle w:val="w2"/>
        <w:ind w:firstLine="480"/>
      </w:pPr>
      <w:r>
        <w:rPr>
          <w:rFonts w:ascii="宋体" w:hAnsi="宋体" w:cs="宋体" w:hint="eastAsia"/>
        </w:rPr>
        <w:t>边界条件：</w:t>
      </w:r>
    </w:p>
    <w:p w14:paraId="5D996B03" w14:textId="77777777" w:rsidR="002E474C" w:rsidRDefault="00000000">
      <w:pPr>
        <w:pStyle w:val="w2"/>
        <w:ind w:firstLine="480"/>
      </w:pPr>
      <w:r>
        <w:rPr>
          <w:rFonts w:ascii="宋体" w:hAnsi="宋体" w:cs="宋体" w:hint="eastAsia"/>
        </w:rPr>
        <w:t>第一类</w:t>
      </w:r>
      <w:r>
        <w:rPr>
          <w:rFonts w:hint="eastAsia"/>
        </w:rPr>
        <w:t>Dirichlet</w:t>
      </w:r>
      <w:r>
        <w:rPr>
          <w:rFonts w:ascii="宋体" w:hAnsi="宋体" w:cs="宋体" w:hint="eastAsia"/>
        </w:rPr>
        <w:t>边界条件：</w:t>
      </w:r>
    </w:p>
    <w:p w14:paraId="61AB4268" w14:textId="77777777" w:rsidR="002E474C" w:rsidRDefault="00000000">
      <w:pPr>
        <w:pStyle w:val="w2"/>
        <w:ind w:firstLine="480"/>
      </w:pPr>
      <w:r>
        <w:rPr>
          <w:rFonts w:ascii="宋体" w:hAnsi="宋体" w:cs="宋体" w:hint="eastAsia"/>
        </w:rPr>
        <w:t>连续点源：</w:t>
      </w:r>
      <w:r>
        <w:rPr>
          <w:rFonts w:hint="eastAsia"/>
        </w:rPr>
        <w:t>c</w:t>
      </w:r>
      <w:r>
        <w:rPr>
          <w:rFonts w:ascii="宋体" w:hAnsi="宋体" w:cs="宋体" w:hint="eastAsia"/>
        </w:rPr>
        <w:t>（</w:t>
      </w:r>
      <w:r>
        <w:rPr>
          <w:rFonts w:hint="eastAsia"/>
        </w:rPr>
        <w:t>z</w:t>
      </w:r>
      <w:r>
        <w:rPr>
          <w:rFonts w:ascii="宋体" w:hAnsi="宋体" w:cs="宋体" w:hint="eastAsia"/>
        </w:rPr>
        <w:t>，</w:t>
      </w:r>
      <w:r>
        <w:rPr>
          <w:rFonts w:hint="eastAsia"/>
        </w:rPr>
        <w:t>t</w:t>
      </w:r>
      <w:r>
        <w:rPr>
          <w:rFonts w:ascii="宋体" w:hAnsi="宋体" w:cs="宋体" w:hint="eastAsia"/>
        </w:rPr>
        <w:t>）</w:t>
      </w:r>
      <w:r>
        <w:rPr>
          <w:rFonts w:hint="eastAsia"/>
        </w:rPr>
        <w:t>=c</w:t>
      </w:r>
      <w:r>
        <w:rPr>
          <w:rFonts w:hint="eastAsia"/>
          <w:vertAlign w:val="subscript"/>
        </w:rPr>
        <w:t>0</w:t>
      </w:r>
      <w:r>
        <w:rPr>
          <w:rFonts w:ascii="宋体" w:hAnsi="宋体" w:cs="宋体" w:hint="eastAsia"/>
        </w:rPr>
        <w:t>（</w:t>
      </w:r>
      <w:r>
        <w:rPr>
          <w:rFonts w:hint="eastAsia"/>
        </w:rPr>
        <w:t>t</w:t>
      </w:r>
      <w:r>
        <w:rPr>
          <w:rFonts w:ascii="宋体" w:hAnsi="宋体" w:cs="宋体" w:hint="eastAsia"/>
        </w:rPr>
        <w:t>＞</w:t>
      </w:r>
      <w:r>
        <w:rPr>
          <w:rFonts w:hint="eastAsia"/>
        </w:rPr>
        <w:t>0</w:t>
      </w:r>
      <w:r>
        <w:rPr>
          <w:rFonts w:ascii="宋体" w:hAnsi="宋体" w:cs="宋体" w:hint="eastAsia"/>
        </w:rPr>
        <w:t>，</w:t>
      </w:r>
      <w:r>
        <w:rPr>
          <w:rFonts w:hint="eastAsia"/>
        </w:rPr>
        <w:t>z=0</w:t>
      </w:r>
      <w:r>
        <w:rPr>
          <w:rFonts w:ascii="宋体" w:hAnsi="宋体" w:cs="宋体" w:hint="eastAsia"/>
        </w:rPr>
        <w:t>）</w:t>
      </w:r>
    </w:p>
    <w:p w14:paraId="021F7457" w14:textId="77777777" w:rsidR="002E474C" w:rsidRDefault="00000000">
      <w:pPr>
        <w:pStyle w:val="w2"/>
        <w:ind w:firstLine="480"/>
      </w:pPr>
      <w:r>
        <w:rPr>
          <w:rFonts w:ascii="宋体" w:hAnsi="宋体" w:cs="宋体" w:hint="eastAsia"/>
        </w:rPr>
        <w:t>非连续点源：</w:t>
      </w:r>
      <w:r>
        <w:rPr>
          <w:rFonts w:hint="eastAsia"/>
        </w:rPr>
        <w:t>c</w:t>
      </w:r>
      <w:r>
        <w:rPr>
          <w:rFonts w:ascii="宋体" w:hAnsi="宋体" w:cs="宋体" w:hint="eastAsia"/>
        </w:rPr>
        <w:t>（</w:t>
      </w:r>
      <w:r>
        <w:rPr>
          <w:rFonts w:hint="eastAsia"/>
        </w:rPr>
        <w:t>z</w:t>
      </w:r>
      <w:r>
        <w:rPr>
          <w:rFonts w:ascii="宋体" w:hAnsi="宋体" w:cs="宋体" w:hint="eastAsia"/>
        </w:rPr>
        <w:t>，</w:t>
      </w:r>
      <w:r>
        <w:rPr>
          <w:rFonts w:hint="eastAsia"/>
        </w:rPr>
        <w:t>t</w:t>
      </w:r>
      <w:r>
        <w:rPr>
          <w:rFonts w:ascii="宋体" w:hAnsi="宋体" w:cs="宋体" w:hint="eastAsia"/>
        </w:rPr>
        <w:t>）</w:t>
      </w:r>
      <w:r>
        <w:rPr>
          <w:rFonts w:hint="eastAsia"/>
        </w:rPr>
        <w:t>={</w:t>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hint="eastAsia"/>
                      </w:rPr>
                      <m:t>c</m:t>
                    </m:r>
                  </m:e>
                  <m:sub>
                    <m:r>
                      <w:rPr>
                        <w:rFonts w:ascii="Cambria Math" w:hAnsi="Cambria Math"/>
                      </w:rPr>
                      <m:t>0</m:t>
                    </m:r>
                  </m:sub>
                </m:sSub>
              </m:e>
              <m:e>
                <m:r>
                  <w:rPr>
                    <w:rFonts w:ascii="Cambria Math" w:hAnsi="Cambria Math"/>
                  </w:rPr>
                  <m:t>0</m:t>
                </m:r>
              </m:e>
            </m:eqArr>
          </m:e>
        </m:d>
      </m:oMath>
      <w:r>
        <w:rPr>
          <w:rFonts w:hint="eastAsia"/>
        </w:rPr>
        <w:t>}</w:t>
      </w:r>
      <w:r>
        <w:rPr>
          <w:rFonts w:ascii="宋体" w:hAnsi="宋体" w:cs="宋体" w:hint="eastAsia"/>
        </w:rPr>
        <w:t>，（</w:t>
      </w:r>
      <w:r>
        <w:rPr>
          <w:rFonts w:hint="eastAsia"/>
        </w:rPr>
        <w:t>t=0</w:t>
      </w:r>
      <w:r>
        <w:rPr>
          <w:rFonts w:ascii="宋体" w:hAnsi="宋体" w:cs="宋体" w:hint="eastAsia"/>
        </w:rPr>
        <w:t>，</w:t>
      </w:r>
      <w:r>
        <w:rPr>
          <w:rFonts w:hint="eastAsia"/>
        </w:rPr>
        <w:t>0</w:t>
      </w:r>
      <w:r>
        <w:rPr>
          <w:rFonts w:ascii="宋体" w:hAnsi="宋体" w:cs="宋体" w:hint="eastAsia"/>
        </w:rPr>
        <w:t>＜</w:t>
      </w:r>
      <w:r>
        <w:rPr>
          <w:rFonts w:hint="eastAsia"/>
        </w:rPr>
        <w:t>z</w:t>
      </w:r>
      <w:r>
        <w:t>≤</w:t>
      </w:r>
      <w:r>
        <w:rPr>
          <w:rFonts w:hint="eastAsia"/>
        </w:rPr>
        <w:t>0</w:t>
      </w:r>
      <w:r>
        <w:rPr>
          <w:rFonts w:ascii="宋体" w:hAnsi="宋体" w:cs="宋体" w:hint="eastAsia"/>
        </w:rPr>
        <w:t>；</w:t>
      </w:r>
      <w:r>
        <w:rPr>
          <w:rFonts w:hint="eastAsia"/>
        </w:rPr>
        <w:t>t</w:t>
      </w:r>
      <w:r>
        <w:rPr>
          <w:rFonts w:ascii="宋体" w:hAnsi="宋体" w:cs="宋体" w:hint="eastAsia"/>
        </w:rPr>
        <w:t>＞</w:t>
      </w:r>
      <m:oMath>
        <m:sSub>
          <m:sSubPr>
            <m:ctrlPr>
              <w:rPr>
                <w:rFonts w:ascii="Cambria Math" w:hAnsi="Cambria Math"/>
              </w:rPr>
            </m:ctrlPr>
          </m:sSubPr>
          <m:e>
            <m:r>
              <m:rPr>
                <m:sty m:val="p"/>
              </m:rPr>
              <w:rPr>
                <w:rFonts w:ascii="Cambria Math" w:hAnsi="Cambria Math" w:hint="eastAsia"/>
              </w:rPr>
              <m:t>t</m:t>
            </m:r>
          </m:e>
          <m:sub>
            <m:r>
              <w:rPr>
                <w:rFonts w:ascii="Cambria Math" w:hAnsi="Cambria Math"/>
              </w:rPr>
              <m:t>0</m:t>
            </m:r>
          </m:sub>
        </m:sSub>
      </m:oMath>
      <w:r>
        <w:rPr>
          <w:rFonts w:ascii="宋体" w:hAnsi="宋体" w:cs="宋体" w:hint="eastAsia"/>
        </w:rPr>
        <w:t>）</w:t>
      </w:r>
    </w:p>
    <w:p w14:paraId="0BBED7F2" w14:textId="77777777" w:rsidR="002E474C" w:rsidRDefault="00000000">
      <w:pPr>
        <w:pStyle w:val="w2"/>
        <w:ind w:firstLine="480"/>
      </w:pPr>
      <w:r>
        <w:rPr>
          <w:rFonts w:ascii="宋体" w:hAnsi="宋体" w:cs="宋体" w:hint="eastAsia"/>
        </w:rPr>
        <w:t>第二类</w:t>
      </w:r>
      <w:r>
        <w:rPr>
          <w:rFonts w:hint="eastAsia"/>
        </w:rPr>
        <w:t>Neumann</w:t>
      </w:r>
      <w:r>
        <w:rPr>
          <w:rFonts w:ascii="宋体" w:hAnsi="宋体" w:cs="宋体" w:hint="eastAsia"/>
        </w:rPr>
        <w:t>零梯度边界：</w:t>
      </w:r>
    </w:p>
    <w:p w14:paraId="336F0415" w14:textId="77777777" w:rsidR="002E474C" w:rsidRDefault="00000000">
      <w:pPr>
        <w:pStyle w:val="w2"/>
        <w:ind w:firstLine="480"/>
        <w:jc w:val="center"/>
      </w:pPr>
      <m:oMath>
        <m:r>
          <w:rPr>
            <w:rFonts w:ascii="Cambria Math" w:hAnsi="Cambria Math"/>
          </w:rPr>
          <m:t>-θD</m:t>
        </m:r>
        <m:f>
          <m:fPr>
            <m:ctrlPr>
              <w:rPr>
                <w:rFonts w:ascii="Cambria Math" w:hAnsi="Cambria Math"/>
              </w:rPr>
            </m:ctrlPr>
          </m:fPr>
          <m:num>
            <m:sSub>
              <m:sSubPr>
                <m:ctrlPr>
                  <w:rPr>
                    <w:rFonts w:ascii="Cambria Math" w:hAnsi="Cambria Math"/>
                    <w:i/>
                  </w:rPr>
                </m:ctrlPr>
              </m:sSubPr>
              <m:e>
                <m:r>
                  <w:rPr>
                    <w:rFonts w:ascii="Cambria Math" w:hAnsi="Cambria Math"/>
                  </w:rPr>
                  <m:t>∂</m:t>
                </m:r>
              </m:e>
              <m:sub>
                <m:r>
                  <w:rPr>
                    <w:rFonts w:ascii="Cambria Math" w:hAnsi="Cambria Math"/>
                  </w:rPr>
                  <m:t>c</m:t>
                </m:r>
              </m:sub>
            </m:sSub>
          </m:num>
          <m:den>
            <m:sSub>
              <m:sSubPr>
                <m:ctrlPr>
                  <w:rPr>
                    <w:rFonts w:ascii="Cambria Math" w:hAnsi="Cambria Math"/>
                    <w:i/>
                  </w:rPr>
                </m:ctrlPr>
              </m:sSubPr>
              <m:e>
                <m:r>
                  <w:rPr>
                    <w:rFonts w:ascii="Cambria Math" w:hAnsi="Cambria Math"/>
                  </w:rPr>
                  <m:t>∂</m:t>
                </m:r>
              </m:e>
              <m:sub>
                <m:r>
                  <w:rPr>
                    <w:rFonts w:ascii="Cambria Math" w:hAnsi="Cambria Math"/>
                  </w:rPr>
                  <m:t>z</m:t>
                </m:r>
              </m:sub>
            </m:sSub>
          </m:den>
        </m:f>
      </m:oMath>
      <w:r>
        <w:rPr>
          <w:rFonts w:hint="eastAsia"/>
        </w:rPr>
        <w:t xml:space="preserve"> =0</w:t>
      </w:r>
      <w:r>
        <w:rPr>
          <w:rFonts w:ascii="宋体" w:hAnsi="宋体" w:cs="宋体" w:hint="eastAsia"/>
        </w:rPr>
        <w:t>，（</w:t>
      </w:r>
      <w:r>
        <w:rPr>
          <w:rFonts w:hint="eastAsia"/>
        </w:rPr>
        <w:t>t</w:t>
      </w:r>
      <w:r>
        <w:rPr>
          <w:rFonts w:ascii="宋体" w:hAnsi="宋体" w:cs="宋体" w:hint="eastAsia"/>
        </w:rPr>
        <w:t>＞</w:t>
      </w:r>
      <w:r>
        <w:rPr>
          <w:rFonts w:hint="eastAsia"/>
        </w:rPr>
        <w:t>0z=1</w:t>
      </w:r>
      <w:r>
        <w:rPr>
          <w:rFonts w:ascii="宋体" w:hAnsi="宋体" w:cs="宋体" w:hint="eastAsia"/>
        </w:rPr>
        <w:t>；）</w:t>
      </w:r>
    </w:p>
    <w:p w14:paraId="104A7629" w14:textId="77777777" w:rsidR="002E474C" w:rsidRDefault="00000000">
      <w:pPr>
        <w:pStyle w:val="A-z"/>
        <w:rPr>
          <w:color w:val="auto"/>
        </w:rPr>
      </w:pPr>
      <w:r>
        <w:rPr>
          <w:color w:val="auto"/>
        </w:rPr>
        <w:t>2</w:t>
      </w:r>
      <w:r>
        <w:rPr>
          <w:color w:val="auto"/>
        </w:rPr>
        <w:t>）预测情景设置</w:t>
      </w:r>
    </w:p>
    <w:p w14:paraId="13A3AA89" w14:textId="77777777" w:rsidR="002E474C" w:rsidRDefault="00000000">
      <w:pPr>
        <w:pStyle w:val="A-z"/>
        <w:rPr>
          <w:color w:val="auto"/>
        </w:rPr>
      </w:pPr>
      <w:r>
        <w:rPr>
          <w:color w:val="auto"/>
        </w:rPr>
        <w:t>本项目严格按照《危险废物贮存污染控制标准》（</w:t>
      </w:r>
      <w:r>
        <w:rPr>
          <w:color w:val="auto"/>
        </w:rPr>
        <w:t>GB18597-2023</w:t>
      </w:r>
      <w:r>
        <w:rPr>
          <w:color w:val="auto"/>
        </w:rPr>
        <w:t>）要求对厂区进行分区防渗，其中危废贮存库、固态危废预处理车间、废液储存区、事故池等为重点污染防治区，其防渗等级满足等效粘土防渗层</w:t>
      </w:r>
      <w:r>
        <w:rPr>
          <w:color w:val="auto"/>
        </w:rPr>
        <w:t>Mb≥6.0m</w:t>
      </w:r>
      <w:r>
        <w:rPr>
          <w:color w:val="auto"/>
        </w:rPr>
        <w:t>，渗透系数</w:t>
      </w:r>
      <w:r>
        <w:rPr>
          <w:color w:val="auto"/>
        </w:rPr>
        <w:t>K≤1.0×10</w:t>
      </w:r>
      <w:r>
        <w:rPr>
          <w:color w:val="auto"/>
          <w:vertAlign w:val="superscript"/>
        </w:rPr>
        <w:t>-7</w:t>
      </w:r>
      <w:r>
        <w:rPr>
          <w:color w:val="auto"/>
        </w:rPr>
        <w:t>cm/s</w:t>
      </w:r>
      <w:r>
        <w:rPr>
          <w:color w:val="auto"/>
        </w:rPr>
        <w:t>。一般情况下，项目固废贮存设施全部采用防渗处理，不会对土壤造成影响。主要考虑项目非正常状态下或未严格防渗情况下，运营期污染源对土壤产生的污染风险。根据《环境影响评价技术导则</w:t>
      </w:r>
      <w:r>
        <w:rPr>
          <w:color w:val="auto"/>
        </w:rPr>
        <w:t xml:space="preserve"> </w:t>
      </w:r>
      <w:r>
        <w:rPr>
          <w:color w:val="auto"/>
        </w:rPr>
        <w:t>土壤环境》</w:t>
      </w:r>
      <w:r>
        <w:rPr>
          <w:color w:val="auto"/>
        </w:rPr>
        <w:t>(HJ 964-2018)</w:t>
      </w:r>
      <w:r>
        <w:rPr>
          <w:color w:val="auto"/>
        </w:rPr>
        <w:t>，采用附录</w:t>
      </w:r>
      <w:r>
        <w:rPr>
          <w:color w:val="auto"/>
        </w:rPr>
        <w:t>E</w:t>
      </w:r>
      <w:r>
        <w:rPr>
          <w:color w:val="auto"/>
        </w:rPr>
        <w:t>中的方法二对土壤污染进行预测评价，重点关注土壤垂向污染物运移情况。</w:t>
      </w:r>
    </w:p>
    <w:p w14:paraId="30DB6BF8" w14:textId="77777777" w:rsidR="002E474C" w:rsidRDefault="00000000">
      <w:pPr>
        <w:pStyle w:val="w2"/>
        <w:ind w:firstLine="480"/>
      </w:pPr>
      <w:r>
        <w:rPr>
          <w:rFonts w:ascii="宋体" w:hAnsi="宋体" w:cs="宋体" w:hint="eastAsia"/>
        </w:rPr>
        <w:t>在非正常状况下，以垂直入渗方式对土壤环境造成影响装置和设施主要是厂区的各种污水收集池、收集罐。</w:t>
      </w:r>
    </w:p>
    <w:p w14:paraId="606DEDDF" w14:textId="77777777" w:rsidR="002E474C" w:rsidRDefault="00000000">
      <w:pPr>
        <w:pStyle w:val="A-z"/>
        <w:rPr>
          <w:color w:val="auto"/>
        </w:rPr>
      </w:pPr>
      <w:r>
        <w:rPr>
          <w:color w:val="auto"/>
        </w:rPr>
        <w:t>废水收集池</w:t>
      </w:r>
      <w:r>
        <w:rPr>
          <w:rFonts w:hint="eastAsia"/>
          <w:lang w:val="en-US"/>
        </w:rPr>
        <w:t>COD</w:t>
      </w:r>
      <w:r>
        <w:rPr>
          <w:rFonts w:hint="eastAsia"/>
        </w:rPr>
        <w:t>浓度</w:t>
      </w:r>
      <w:r>
        <w:rPr>
          <w:rFonts w:hint="eastAsia"/>
          <w:lang w:val="en-US"/>
        </w:rPr>
        <w:t>1500</w:t>
      </w:r>
      <w:r>
        <w:rPr>
          <w:snapToGrid w:val="0"/>
        </w:rPr>
        <w:t>mg/L</w:t>
      </w:r>
      <w:r>
        <w:rPr>
          <w:rFonts w:hint="eastAsia"/>
          <w:snapToGrid w:val="0"/>
        </w:rPr>
        <w:t>、</w:t>
      </w:r>
      <w:r>
        <w:rPr>
          <w:rFonts w:hint="eastAsia"/>
          <w:lang w:val="en-US"/>
        </w:rPr>
        <w:t>氨氮</w:t>
      </w:r>
      <w:r>
        <w:rPr>
          <w:rFonts w:hint="eastAsia"/>
        </w:rPr>
        <w:t>浓度</w:t>
      </w:r>
      <w:r>
        <w:rPr>
          <w:rFonts w:hint="eastAsia"/>
          <w:lang w:val="en-US"/>
        </w:rPr>
        <w:t>80</w:t>
      </w:r>
      <w:r>
        <w:rPr>
          <w:snapToGrid w:val="0"/>
        </w:rPr>
        <w:t>mg/L</w:t>
      </w:r>
      <w:r>
        <w:rPr>
          <w:rFonts w:hint="eastAsia"/>
          <w:snapToGrid w:val="0"/>
        </w:rPr>
        <w:t>、</w:t>
      </w:r>
      <w:r>
        <w:rPr>
          <w:rFonts w:hint="eastAsia"/>
        </w:rPr>
        <w:t>石油类浓度</w:t>
      </w:r>
      <w:r>
        <w:rPr>
          <w:rFonts w:hint="eastAsia"/>
          <w:lang w:val="en-US"/>
        </w:rPr>
        <w:t>20</w:t>
      </w:r>
      <w:r>
        <w:rPr>
          <w:snapToGrid w:val="0"/>
        </w:rPr>
        <w:t>mg/L</w:t>
      </w:r>
      <w:r>
        <w:rPr>
          <w:rFonts w:hint="eastAsia"/>
          <w:snapToGrid w:val="0"/>
        </w:rPr>
        <w:t>。</w:t>
      </w:r>
      <w:r>
        <w:rPr>
          <w:rFonts w:hint="eastAsia"/>
          <w:lang w:val="en-US"/>
        </w:rPr>
        <w:t>考虑到石油类</w:t>
      </w:r>
      <w:r>
        <w:rPr>
          <w:rFonts w:ascii="宋体" w:eastAsia="宋体" w:hAnsi="宋体" w:cs="宋体"/>
          <w:szCs w:val="24"/>
        </w:rPr>
        <w:t>极易吸附在土壤颗粒中，自然降解周期长</w:t>
      </w:r>
      <w:r>
        <w:rPr>
          <w:rFonts w:ascii="宋体" w:eastAsia="宋体" w:hAnsi="宋体" w:cs="宋体" w:hint="eastAsia"/>
          <w:szCs w:val="24"/>
        </w:rPr>
        <w:t>，</w:t>
      </w:r>
      <w:r>
        <w:rPr>
          <w:rFonts w:ascii="宋体" w:eastAsia="宋体" w:hAnsi="宋体" w:cs="宋体"/>
          <w:szCs w:val="24"/>
        </w:rPr>
        <w:t>不易淋溶下渗至地下水，长期累积在包气带土壤表层，易造成土壤超标</w:t>
      </w:r>
      <w:r>
        <w:rPr>
          <w:rFonts w:ascii="宋体" w:eastAsia="宋体" w:hAnsi="宋体" w:cs="宋体" w:hint="eastAsia"/>
          <w:szCs w:val="24"/>
        </w:rPr>
        <w:t>，</w:t>
      </w:r>
      <w:r>
        <w:rPr>
          <w:rFonts w:ascii="宋体" w:eastAsia="宋体" w:hAnsi="宋体" w:cs="宋体" w:hint="eastAsia"/>
          <w:szCs w:val="24"/>
          <w:lang w:val="en-US"/>
        </w:rPr>
        <w:t>评价预测废水收集池持续泄漏情况下的石油类污染情况</w:t>
      </w:r>
      <w:r>
        <w:rPr>
          <w:rFonts w:ascii="宋体" w:eastAsia="宋体" w:hAnsi="宋体" w:cs="宋体" w:hint="eastAsia"/>
          <w:szCs w:val="24"/>
        </w:rPr>
        <w:t>。</w:t>
      </w:r>
      <w:r>
        <w:t>考虑到废水泄漏达到</w:t>
      </w:r>
      <w:r>
        <w:t>20%</w:t>
      </w:r>
      <w:r>
        <w:t>以上时能够从水计量仪器的监测数据中发现，不能形成持续泄漏</w:t>
      </w:r>
      <w:r>
        <w:rPr>
          <w:rFonts w:hint="eastAsia"/>
        </w:rPr>
        <w:t>。</w:t>
      </w:r>
      <w:r>
        <w:rPr>
          <w:rFonts w:hint="eastAsia"/>
          <w:lang w:val="en-US"/>
        </w:rPr>
        <w:t>本项目</w:t>
      </w:r>
      <w:r>
        <w:rPr>
          <w:color w:val="auto"/>
        </w:rPr>
        <w:t>废水收集池</w:t>
      </w:r>
      <w:r>
        <w:rPr>
          <w:rFonts w:hint="eastAsia"/>
          <w:color w:val="auto"/>
          <w:lang w:val="en-US"/>
        </w:rPr>
        <w:t>1.5</w:t>
      </w:r>
      <w:r>
        <w:rPr>
          <w:snapToGrid w:val="0"/>
        </w:rPr>
        <w:t>m</w:t>
      </w:r>
      <w:r>
        <w:rPr>
          <w:snapToGrid w:val="0"/>
          <w:vertAlign w:val="superscript"/>
        </w:rPr>
        <w:t>3</w:t>
      </w:r>
      <w:r>
        <w:t>，</w:t>
      </w:r>
      <w:r>
        <w:rPr>
          <w:rFonts w:hint="eastAsia"/>
          <w:lang w:val="en-US"/>
        </w:rPr>
        <w:t>日产生废水量仅为</w:t>
      </w:r>
      <w:r>
        <w:rPr>
          <w:rFonts w:hint="eastAsia"/>
          <w:lang w:val="en-US"/>
        </w:rPr>
        <w:t>0.53m</w:t>
      </w:r>
      <w:r>
        <w:rPr>
          <w:rFonts w:hint="eastAsia"/>
          <w:lang w:val="en-US"/>
        </w:rPr>
        <w:t>³</w:t>
      </w:r>
      <w:r>
        <w:rPr>
          <w:rFonts w:hint="eastAsia"/>
          <w:lang w:val="en-US"/>
        </w:rPr>
        <w:t>/d</w:t>
      </w:r>
      <w:r>
        <w:rPr>
          <w:rFonts w:hint="eastAsia"/>
          <w:lang w:val="en-US"/>
        </w:rPr>
        <w:t>，</w:t>
      </w:r>
      <w:r>
        <w:t>故假设</w:t>
      </w:r>
      <w:r>
        <w:rPr>
          <w:snapToGrid w:val="0"/>
        </w:rPr>
        <w:t>污水泄漏量</w:t>
      </w:r>
      <w:r>
        <w:t>为</w:t>
      </w:r>
      <w:r>
        <w:rPr>
          <w:rFonts w:hint="eastAsia"/>
          <w:lang w:val="en-US"/>
        </w:rPr>
        <w:t>0.1</w:t>
      </w:r>
      <w:r>
        <w:t>m</w:t>
      </w:r>
      <w:r>
        <w:rPr>
          <w:vertAlign w:val="superscript"/>
        </w:rPr>
        <w:t>3</w:t>
      </w:r>
      <w:r>
        <w:rPr>
          <w:rFonts w:hint="eastAsia"/>
          <w:lang w:val="en-US"/>
        </w:rPr>
        <w:t>/d</w:t>
      </w:r>
      <w:r>
        <w:rPr>
          <w:rFonts w:hint="eastAsia"/>
        </w:rPr>
        <w:t>，</w:t>
      </w:r>
      <w:r>
        <w:rPr>
          <w:rFonts w:hint="eastAsia"/>
          <w:snapToGrid w:val="0"/>
        </w:rPr>
        <w:t>石油类</w:t>
      </w:r>
      <w:r>
        <w:rPr>
          <w:snapToGrid w:val="0"/>
        </w:rPr>
        <w:t>泄漏量约为</w:t>
      </w:r>
      <w:r>
        <w:rPr>
          <w:rFonts w:hint="eastAsia"/>
          <w:snapToGrid w:val="0"/>
          <w:lang w:val="en-US"/>
        </w:rPr>
        <w:t>0.002</w:t>
      </w:r>
      <w:r>
        <w:t>kg</w:t>
      </w:r>
      <w:r>
        <w:rPr>
          <w:rFonts w:hint="eastAsia"/>
          <w:lang w:val="en-US"/>
        </w:rPr>
        <w:t>/d</w:t>
      </w:r>
      <w:r>
        <w:rPr>
          <w:rFonts w:hint="eastAsia"/>
        </w:rPr>
        <w:t>。</w:t>
      </w:r>
    </w:p>
    <w:p w14:paraId="08D2009F" w14:textId="77777777" w:rsidR="002E474C" w:rsidRDefault="00000000">
      <w:pPr>
        <w:pStyle w:val="A-z"/>
        <w:rPr>
          <w:color w:val="auto"/>
        </w:rPr>
      </w:pPr>
      <w:r>
        <w:rPr>
          <w:color w:val="auto"/>
        </w:rPr>
        <w:t>由于植被影响程度较小，不考虑植物根系吸水，也不考虑土壤中热对流及热扩散，保守起见不考虑分子扩散，仅考虑土壤垂向一维水分运移及溶质扩散，泄漏过程全部概化为点源进行预测。</w:t>
      </w:r>
    </w:p>
    <w:p w14:paraId="7B6E85BC" w14:textId="77777777" w:rsidR="002E474C" w:rsidRDefault="00000000">
      <w:pPr>
        <w:pStyle w:val="A-z"/>
        <w:rPr>
          <w:color w:val="auto"/>
        </w:rPr>
      </w:pPr>
      <w:r>
        <w:rPr>
          <w:color w:val="auto"/>
        </w:rPr>
        <w:t>3</w:t>
      </w:r>
      <w:r>
        <w:rPr>
          <w:color w:val="auto"/>
        </w:rPr>
        <w:t>）预测软件</w:t>
      </w:r>
    </w:p>
    <w:p w14:paraId="5A0D836B" w14:textId="77777777" w:rsidR="002E474C" w:rsidRDefault="00000000">
      <w:pPr>
        <w:pStyle w:val="A-z"/>
        <w:rPr>
          <w:color w:val="auto"/>
        </w:rPr>
      </w:pPr>
      <w:r>
        <w:rPr>
          <w:color w:val="auto"/>
        </w:rPr>
        <w:t>在本次评价中应用</w:t>
      </w:r>
      <w:r>
        <w:rPr>
          <w:color w:val="auto"/>
        </w:rPr>
        <w:t>HYDRUS</w:t>
      </w:r>
      <w:r>
        <w:rPr>
          <w:color w:val="auto"/>
        </w:rPr>
        <w:t>软件求解非饱和带中的水分与溶质迁移方程。</w:t>
      </w:r>
      <w:r>
        <w:rPr>
          <w:color w:val="auto"/>
        </w:rPr>
        <w:lastRenderedPageBreak/>
        <w:t>HYDRUS</w:t>
      </w:r>
      <w:r>
        <w:rPr>
          <w:color w:val="auto"/>
        </w:rPr>
        <w:t>是由美国国家盐改中心（</w:t>
      </w:r>
      <w:r>
        <w:rPr>
          <w:color w:val="auto"/>
        </w:rPr>
        <w:t>US Salinity laboratory</w:t>
      </w:r>
      <w:r>
        <w:rPr>
          <w:color w:val="auto"/>
        </w:rPr>
        <w:t>）于</w:t>
      </w:r>
      <w:r>
        <w:rPr>
          <w:color w:val="auto"/>
        </w:rPr>
        <w:t>1991</w:t>
      </w:r>
      <w:r>
        <w:rPr>
          <w:color w:val="auto"/>
        </w:rPr>
        <w:t>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它地下水、地表水模型相结合，从宏观上分析水资源的转化规律。后经过众多学者的开发研究，</w:t>
      </w:r>
      <w:r>
        <w:rPr>
          <w:color w:val="auto"/>
        </w:rPr>
        <w:t>HYDRUS</w:t>
      </w:r>
      <w:r>
        <w:rPr>
          <w:color w:val="auto"/>
        </w:rPr>
        <w:t>的功能更加完善，已经非常成功的应用于世界各地地下饱和、非饱和带污染物运移研究。</w:t>
      </w:r>
    </w:p>
    <w:p w14:paraId="46EF6F8C" w14:textId="77777777" w:rsidR="002E474C" w:rsidRDefault="00000000">
      <w:pPr>
        <w:pStyle w:val="A-z"/>
        <w:rPr>
          <w:color w:val="auto"/>
        </w:rPr>
      </w:pPr>
      <w:r>
        <w:rPr>
          <w:color w:val="auto"/>
        </w:rPr>
        <w:t>4</w:t>
      </w:r>
      <w:r>
        <w:rPr>
          <w:color w:val="auto"/>
        </w:rPr>
        <w:t>）模型设置</w:t>
      </w:r>
    </w:p>
    <w:p w14:paraId="2A54037B" w14:textId="77777777" w:rsidR="002E474C" w:rsidRDefault="00000000">
      <w:pPr>
        <w:pStyle w:val="A-z"/>
        <w:rPr>
          <w:color w:val="auto"/>
        </w:rPr>
      </w:pPr>
      <w:r>
        <w:rPr>
          <w:color w:val="auto"/>
        </w:rPr>
        <w:t>土壤的水力参数和物理属性参考</w:t>
      </w:r>
      <w:r>
        <w:rPr>
          <w:color w:val="auto"/>
        </w:rPr>
        <w:t>HYDRUS</w:t>
      </w:r>
      <w:r>
        <w:rPr>
          <w:color w:val="auto"/>
        </w:rPr>
        <w:t>土壤数据库中的经验值根据《环境影响评价技术导则</w:t>
      </w:r>
      <w:r>
        <w:rPr>
          <w:color w:val="auto"/>
        </w:rPr>
        <w:t xml:space="preserve"> </w:t>
      </w:r>
      <w:r>
        <w:rPr>
          <w:color w:val="auto"/>
        </w:rPr>
        <w:t>土壤环境（试行）》（</w:t>
      </w:r>
      <w:r>
        <w:rPr>
          <w:color w:val="auto"/>
        </w:rPr>
        <w:t>HJ964-2018</w:t>
      </w:r>
      <w:r>
        <w:rPr>
          <w:color w:val="auto"/>
        </w:rPr>
        <w:t>）附录</w:t>
      </w:r>
      <w:r>
        <w:rPr>
          <w:color w:val="auto"/>
        </w:rPr>
        <w:t>E</w:t>
      </w:r>
      <w:r>
        <w:rPr>
          <w:color w:val="auto"/>
        </w:rPr>
        <w:t>的土壤环境预测方法，本项目考虑以点源的形式计算污染物可能的影响深度。</w:t>
      </w:r>
    </w:p>
    <w:p w14:paraId="741642E6" w14:textId="77777777" w:rsidR="002E474C" w:rsidRDefault="00000000">
      <w:pPr>
        <w:pStyle w:val="A-z"/>
        <w:rPr>
          <w:color w:val="auto"/>
        </w:rPr>
      </w:pPr>
      <w:r>
        <w:rPr>
          <w:color w:val="auto"/>
        </w:rPr>
        <w:t>①</w:t>
      </w:r>
      <w:r>
        <w:rPr>
          <w:color w:val="auto"/>
        </w:rPr>
        <w:t>水流模型</w:t>
      </w:r>
    </w:p>
    <w:p w14:paraId="15115AC2" w14:textId="77777777" w:rsidR="002E474C" w:rsidRDefault="00000000">
      <w:pPr>
        <w:pStyle w:val="A-z"/>
        <w:rPr>
          <w:color w:val="auto"/>
        </w:rPr>
      </w:pPr>
      <w:r>
        <w:rPr>
          <w:color w:val="auto"/>
        </w:rPr>
        <w:t>初始条件：先使用插值的含水率、压力水头值进行</w:t>
      </w:r>
      <w:r>
        <w:rPr>
          <w:color w:val="auto"/>
        </w:rPr>
        <w:t>10</w:t>
      </w:r>
      <w:r>
        <w:rPr>
          <w:color w:val="auto"/>
        </w:rPr>
        <w:t>天的计算，以</w:t>
      </w:r>
      <w:r>
        <w:rPr>
          <w:color w:val="auto"/>
        </w:rPr>
        <w:t>10</w:t>
      </w:r>
      <w:r>
        <w:rPr>
          <w:color w:val="auto"/>
        </w:rPr>
        <w:t>天时的稳定计算结果作为初始条件。</w:t>
      </w:r>
    </w:p>
    <w:p w14:paraId="55D378DA" w14:textId="77777777" w:rsidR="002E474C" w:rsidRDefault="00000000">
      <w:pPr>
        <w:pStyle w:val="A-z"/>
        <w:rPr>
          <w:color w:val="auto"/>
        </w:rPr>
      </w:pPr>
      <w:r>
        <w:rPr>
          <w:color w:val="auto"/>
        </w:rPr>
        <w:t>边界条件：上边界为定水头边界，设定上边界压强为废水收集池水深（假设储水深度为</w:t>
      </w:r>
      <w:r>
        <w:rPr>
          <w:color w:val="auto"/>
        </w:rPr>
        <w:t>1.0m</w:t>
      </w:r>
      <w:r>
        <w:rPr>
          <w:color w:val="auto"/>
        </w:rPr>
        <w:t>，压力水头取</w:t>
      </w:r>
      <w:r>
        <w:rPr>
          <w:color w:val="auto"/>
        </w:rPr>
        <w:t>50.0m</w:t>
      </w:r>
      <w:r>
        <w:rPr>
          <w:color w:val="auto"/>
        </w:rPr>
        <w:t>）；下边界为自由排水边界。</w:t>
      </w:r>
    </w:p>
    <w:p w14:paraId="2CD01BC3" w14:textId="77777777" w:rsidR="002E474C" w:rsidRDefault="00000000">
      <w:pPr>
        <w:pStyle w:val="A-z"/>
        <w:rPr>
          <w:color w:val="auto"/>
        </w:rPr>
      </w:pPr>
      <w:r>
        <w:rPr>
          <w:color w:val="auto"/>
        </w:rPr>
        <w:t>②</w:t>
      </w:r>
      <w:r>
        <w:rPr>
          <w:color w:val="auto"/>
        </w:rPr>
        <w:t>溶质运移模型</w:t>
      </w:r>
    </w:p>
    <w:p w14:paraId="46C5D624" w14:textId="77777777" w:rsidR="002E474C" w:rsidRDefault="00000000">
      <w:pPr>
        <w:pStyle w:val="A-z"/>
        <w:rPr>
          <w:color w:val="auto"/>
        </w:rPr>
      </w:pPr>
      <w:r>
        <w:rPr>
          <w:color w:val="auto"/>
        </w:rPr>
        <w:t>初始条件：初始条件用原始土层污染物浓度表示，本模型中为零。</w:t>
      </w:r>
    </w:p>
    <w:p w14:paraId="2EB4F5CD" w14:textId="77777777" w:rsidR="002E474C" w:rsidRDefault="00000000">
      <w:pPr>
        <w:pStyle w:val="A-z"/>
        <w:rPr>
          <w:color w:val="auto"/>
          <w:lang w:val="en-US"/>
        </w:rPr>
      </w:pPr>
      <w:r>
        <w:rPr>
          <w:color w:val="auto"/>
          <w:shd w:val="clear" w:color="auto" w:fill="FFFFFF" w:themeFill="background1"/>
        </w:rPr>
        <w:t>边界条件：上边界为定溶质通量边界。下边界为零梯度浓度边界。</w:t>
      </w:r>
    </w:p>
    <w:p w14:paraId="6F468154" w14:textId="77777777" w:rsidR="002E474C" w:rsidRDefault="00000000">
      <w:pPr>
        <w:pStyle w:val="A-z"/>
        <w:rPr>
          <w:color w:val="auto"/>
          <w:lang w:val="en-US"/>
        </w:rPr>
      </w:pPr>
      <w:r>
        <w:rPr>
          <w:color w:val="auto"/>
        </w:rPr>
        <w:t>③</w:t>
      </w:r>
      <w:r>
        <w:rPr>
          <w:color w:val="auto"/>
          <w:lang w:val="en-US"/>
        </w:rPr>
        <w:t>参数选取</w:t>
      </w:r>
    </w:p>
    <w:p w14:paraId="7EDC54C5" w14:textId="77777777" w:rsidR="002E474C" w:rsidRDefault="00000000">
      <w:pPr>
        <w:pStyle w:val="A-z"/>
        <w:rPr>
          <w:color w:val="auto"/>
        </w:rPr>
      </w:pPr>
      <w:r>
        <w:rPr>
          <w:color w:val="auto"/>
        </w:rPr>
        <w:t>参考</w:t>
      </w:r>
      <w:r>
        <w:rPr>
          <w:color w:val="auto"/>
        </w:rPr>
        <w:t>HYDRUS-1D</w:t>
      </w:r>
      <w:r>
        <w:rPr>
          <w:color w:val="auto"/>
        </w:rPr>
        <w:t>程序中所附的美国农业部使用的包气带基本岩性参数、本次试验和工勘结果综合取值。</w:t>
      </w:r>
    </w:p>
    <w:p w14:paraId="65AD0113" w14:textId="77777777" w:rsidR="002E474C" w:rsidRDefault="00000000">
      <w:pPr>
        <w:pStyle w:val="A-z"/>
        <w:rPr>
          <w:color w:val="auto"/>
        </w:rPr>
      </w:pPr>
      <w:r>
        <w:rPr>
          <w:color w:val="auto"/>
        </w:rPr>
        <w:t>5</w:t>
      </w:r>
      <w:r>
        <w:rPr>
          <w:color w:val="auto"/>
        </w:rPr>
        <w:t>）预测结果</w:t>
      </w:r>
    </w:p>
    <w:p w14:paraId="390F2B51" w14:textId="77777777" w:rsidR="002E474C" w:rsidRDefault="00000000">
      <w:pPr>
        <w:pStyle w:val="A-z"/>
        <w:rPr>
          <w:color w:val="auto"/>
        </w:rPr>
      </w:pPr>
      <w:r>
        <w:rPr>
          <w:color w:val="auto"/>
        </w:rPr>
        <w:t>废水收集池泄漏不同时间情况下（</w:t>
      </w:r>
      <w:r>
        <w:rPr>
          <w:color w:val="auto"/>
        </w:rPr>
        <w:t>T1=</w:t>
      </w:r>
      <w:r>
        <w:rPr>
          <w:rFonts w:hint="eastAsia"/>
          <w:color w:val="auto"/>
          <w:lang w:val="en-US"/>
        </w:rPr>
        <w:t>20</w:t>
      </w:r>
      <w:r>
        <w:rPr>
          <w:color w:val="auto"/>
        </w:rPr>
        <w:t>d</w:t>
      </w:r>
      <w:r>
        <w:rPr>
          <w:color w:val="auto"/>
        </w:rPr>
        <w:t>、</w:t>
      </w:r>
      <w:r>
        <w:rPr>
          <w:color w:val="auto"/>
        </w:rPr>
        <w:t>T2=</w:t>
      </w:r>
      <w:r>
        <w:rPr>
          <w:rFonts w:hint="eastAsia"/>
          <w:color w:val="auto"/>
          <w:lang w:val="en-US"/>
        </w:rPr>
        <w:t>40</w:t>
      </w:r>
      <w:r>
        <w:rPr>
          <w:color w:val="auto"/>
        </w:rPr>
        <w:t>d</w:t>
      </w:r>
      <w:r>
        <w:rPr>
          <w:color w:val="auto"/>
        </w:rPr>
        <w:t>、</w:t>
      </w:r>
      <w:r>
        <w:rPr>
          <w:color w:val="auto"/>
        </w:rPr>
        <w:t>T3=</w:t>
      </w:r>
      <w:r>
        <w:rPr>
          <w:rFonts w:hint="eastAsia"/>
          <w:color w:val="auto"/>
          <w:lang w:val="en-US"/>
        </w:rPr>
        <w:t>60</w:t>
      </w:r>
      <w:r>
        <w:rPr>
          <w:color w:val="auto"/>
        </w:rPr>
        <w:t>d</w:t>
      </w:r>
      <w:r>
        <w:rPr>
          <w:color w:val="auto"/>
        </w:rPr>
        <w:t>、</w:t>
      </w:r>
      <w:r>
        <w:rPr>
          <w:color w:val="auto"/>
        </w:rPr>
        <w:t>T4=</w:t>
      </w:r>
      <w:r>
        <w:rPr>
          <w:rFonts w:hint="eastAsia"/>
          <w:color w:val="auto"/>
          <w:lang w:val="en-US"/>
        </w:rPr>
        <w:t>80</w:t>
      </w:r>
      <w:r>
        <w:rPr>
          <w:color w:val="auto"/>
        </w:rPr>
        <w:t>d</w:t>
      </w:r>
      <w:r>
        <w:rPr>
          <w:color w:val="auto"/>
        </w:rPr>
        <w:t>、</w:t>
      </w:r>
      <w:r>
        <w:rPr>
          <w:color w:val="auto"/>
        </w:rPr>
        <w:t>T5=</w:t>
      </w:r>
      <w:r>
        <w:rPr>
          <w:rFonts w:hint="eastAsia"/>
          <w:color w:val="auto"/>
          <w:lang w:val="en-US"/>
        </w:rPr>
        <w:t>100</w:t>
      </w:r>
      <w:r>
        <w:rPr>
          <w:color w:val="auto"/>
        </w:rPr>
        <w:t>d</w:t>
      </w:r>
      <w:r>
        <w:rPr>
          <w:color w:val="auto"/>
        </w:rPr>
        <w:t>），不同时间</w:t>
      </w:r>
      <w:r>
        <w:rPr>
          <w:rFonts w:hint="eastAsia"/>
          <w:color w:val="auto"/>
          <w:lang w:val="en-US"/>
        </w:rPr>
        <w:t>石油类</w:t>
      </w:r>
      <w:r>
        <w:rPr>
          <w:color w:val="auto"/>
        </w:rPr>
        <w:t>入渗深度不尽相同，地面以下</w:t>
      </w:r>
      <w:r>
        <w:rPr>
          <w:color w:val="auto"/>
        </w:rPr>
        <w:t>30m</w:t>
      </w:r>
      <w:r>
        <w:rPr>
          <w:color w:val="auto"/>
        </w:rPr>
        <w:t>的包气带中污染物浓度随深度变化曲线预测结果见图</w:t>
      </w:r>
      <w:r>
        <w:rPr>
          <w:color w:val="auto"/>
        </w:rPr>
        <w:t>5.6-1</w:t>
      </w:r>
      <w:r>
        <w:rPr>
          <w:color w:val="auto"/>
        </w:rPr>
        <w:t>。</w:t>
      </w:r>
    </w:p>
    <w:p w14:paraId="03A3D3DF" w14:textId="77777777" w:rsidR="002E474C" w:rsidRDefault="00000000">
      <w:pPr>
        <w:pStyle w:val="w2"/>
        <w:ind w:firstLine="480"/>
      </w:pPr>
      <w:bookmarkStart w:id="311" w:name="_Hlk170500724"/>
      <w:r>
        <w:rPr>
          <w:rFonts w:ascii="宋体" w:hAnsi="宋体" w:cs="宋体" w:hint="eastAsia"/>
        </w:rPr>
        <w:t>本项目对土壤环境的影响主要是正常状况下大气沉降影响和非正常状况下污水储存设施的污染物垂直入渗影响，预测结论如下：</w:t>
      </w:r>
    </w:p>
    <w:p w14:paraId="3F03D2E7" w14:textId="77777777" w:rsidR="002E474C" w:rsidRDefault="00000000">
      <w:pPr>
        <w:pStyle w:val="w2"/>
        <w:ind w:firstLine="480"/>
      </w:pPr>
      <w:r>
        <w:t>（</w:t>
      </w:r>
      <w:r>
        <w:t>1</w:t>
      </w:r>
      <w:r>
        <w:t>）大气沉降不会引起表层土壤中汞、砷、镉、铬、铅和二噁英类浓度超标，排入大气环境的</w:t>
      </w:r>
      <w:r>
        <w:rPr>
          <w:rFonts w:hint="eastAsia"/>
        </w:rPr>
        <w:t>污染物</w:t>
      </w:r>
      <w:r>
        <w:t>沉降对周边土壤环境的影响较小，对周边土壤环境敏</w:t>
      </w:r>
      <w:r>
        <w:lastRenderedPageBreak/>
        <w:t>感目标影响程度有限。</w:t>
      </w:r>
    </w:p>
    <w:p w14:paraId="10BEBDEE" w14:textId="77777777" w:rsidR="002E474C" w:rsidRDefault="00000000">
      <w:pPr>
        <w:pStyle w:val="A-z"/>
      </w:pPr>
      <w:r>
        <w:t>（</w:t>
      </w:r>
      <w:r>
        <w:t>2</w:t>
      </w:r>
      <w:r>
        <w:rPr>
          <w:rFonts w:hint="eastAsia"/>
        </w:rPr>
        <w:t>）</w:t>
      </w:r>
      <w:r>
        <w:rPr>
          <w:rFonts w:ascii="宋体" w:hAnsi="宋体" w:cs="宋体" w:hint="eastAsia"/>
          <w:lang w:val="en-US"/>
        </w:rPr>
        <w:t>废水收集池</w:t>
      </w:r>
      <w:r>
        <w:rPr>
          <w:rFonts w:hint="eastAsia"/>
        </w:rPr>
        <w:t>池底</w:t>
      </w:r>
      <w:r>
        <w:t>发生意外连续渗漏</w:t>
      </w:r>
      <w:r>
        <w:rPr>
          <w:rFonts w:hint="eastAsia"/>
        </w:rPr>
        <w:t>导致</w:t>
      </w:r>
      <w:r>
        <w:rPr>
          <w:color w:val="auto"/>
        </w:rPr>
        <w:t>废水垂直入渗进入土壤环境，</w:t>
      </w:r>
      <w:r>
        <w:rPr>
          <w:rFonts w:hint="eastAsia"/>
        </w:rPr>
        <w:t>石油烃持续泄漏，</w:t>
      </w:r>
      <w:r>
        <w:rPr>
          <w:rFonts w:hint="eastAsia"/>
          <w:lang w:val="en-US"/>
        </w:rPr>
        <w:t>砂土</w:t>
      </w:r>
      <w:r>
        <w:rPr>
          <w:rFonts w:hint="eastAsia"/>
          <w:color w:val="auto"/>
          <w:lang w:val="en-US"/>
        </w:rPr>
        <w:t>层</w:t>
      </w:r>
      <w:r>
        <w:rPr>
          <w:color w:val="auto"/>
        </w:rPr>
        <w:t>吸附污染物能力有限，随着渗漏时间的增加，污染物持续在土壤内部聚集。</w:t>
      </w:r>
      <w:r>
        <w:rPr>
          <w:rFonts w:hint="eastAsia"/>
        </w:rPr>
        <w:t>泄漏</w:t>
      </w:r>
      <w:r>
        <w:rPr>
          <w:rFonts w:hint="eastAsia"/>
        </w:rPr>
        <w:t>2</w:t>
      </w:r>
      <w:r>
        <w:rPr>
          <w:rFonts w:hint="eastAsia"/>
          <w:lang w:val="en-US"/>
        </w:rPr>
        <w:t>0</w:t>
      </w:r>
      <w:r>
        <w:rPr>
          <w:rFonts w:hint="eastAsia"/>
        </w:rPr>
        <w:t>d</w:t>
      </w:r>
      <w:r>
        <w:rPr>
          <w:rFonts w:hint="eastAsia"/>
        </w:rPr>
        <w:t>、</w:t>
      </w:r>
      <w:r>
        <w:rPr>
          <w:rFonts w:hint="eastAsia"/>
        </w:rPr>
        <w:t>4</w:t>
      </w:r>
      <w:r>
        <w:rPr>
          <w:rFonts w:hint="eastAsia"/>
          <w:lang w:val="en-US"/>
        </w:rPr>
        <w:t>0</w:t>
      </w:r>
      <w:r>
        <w:rPr>
          <w:rFonts w:hint="eastAsia"/>
        </w:rPr>
        <w:t>d</w:t>
      </w:r>
      <w:r>
        <w:rPr>
          <w:rFonts w:hint="eastAsia"/>
        </w:rPr>
        <w:t>、</w:t>
      </w:r>
      <w:r>
        <w:rPr>
          <w:rFonts w:hint="eastAsia"/>
        </w:rPr>
        <w:t>6</w:t>
      </w:r>
      <w:r>
        <w:rPr>
          <w:rFonts w:hint="eastAsia"/>
          <w:lang w:val="en-US"/>
        </w:rPr>
        <w:t>0</w:t>
      </w:r>
      <w:r>
        <w:rPr>
          <w:rFonts w:hint="eastAsia"/>
        </w:rPr>
        <w:t>d</w:t>
      </w:r>
      <w:r>
        <w:rPr>
          <w:rFonts w:hint="eastAsia"/>
        </w:rPr>
        <w:t>、</w:t>
      </w:r>
      <w:r>
        <w:rPr>
          <w:rFonts w:hint="eastAsia"/>
        </w:rPr>
        <w:t>8</w:t>
      </w:r>
      <w:r>
        <w:rPr>
          <w:rFonts w:hint="eastAsia"/>
          <w:lang w:val="en-US"/>
        </w:rPr>
        <w:t>0</w:t>
      </w:r>
      <w:r>
        <w:rPr>
          <w:rFonts w:hint="eastAsia"/>
        </w:rPr>
        <w:t>d</w:t>
      </w:r>
      <w:r>
        <w:rPr>
          <w:rFonts w:hint="eastAsia"/>
        </w:rPr>
        <w:t>、</w:t>
      </w:r>
      <w:r>
        <w:rPr>
          <w:rFonts w:hint="eastAsia"/>
        </w:rPr>
        <w:t>10</w:t>
      </w:r>
      <w:r>
        <w:rPr>
          <w:rFonts w:hint="eastAsia"/>
          <w:lang w:val="en-US"/>
        </w:rPr>
        <w:t>0</w:t>
      </w:r>
      <w:r>
        <w:rPr>
          <w:rFonts w:hint="eastAsia"/>
        </w:rPr>
        <w:t>d</w:t>
      </w:r>
      <w:r>
        <w:rPr>
          <w:rFonts w:hint="eastAsia"/>
        </w:rPr>
        <w:t>污染物影响范围均为地表以下</w:t>
      </w:r>
      <w:r>
        <w:rPr>
          <w:rFonts w:hint="eastAsia"/>
        </w:rPr>
        <w:t>10m</w:t>
      </w:r>
      <w:r>
        <w:rPr>
          <w:rFonts w:hint="eastAsia"/>
        </w:rPr>
        <w:t>范围内。</w:t>
      </w:r>
    </w:p>
    <w:p w14:paraId="55DBAB31" w14:textId="77777777" w:rsidR="002E474C" w:rsidRDefault="00000000">
      <w:pPr>
        <w:pStyle w:val="A-z"/>
        <w:rPr>
          <w:rFonts w:ascii="宋体" w:hAnsi="宋体" w:cs="宋体" w:hint="eastAsia"/>
        </w:rPr>
      </w:pPr>
      <w:r>
        <w:rPr>
          <w:color w:val="auto"/>
        </w:rPr>
        <w:t>企业应做好分区防渗和应急处置等措施，施工中注意防渗层、防渗措施等隐蔽工程的施工，同时在尽可能加大防渗层的厚度和降低其渗透系数的同时，采用柔性</w:t>
      </w:r>
      <w:r>
        <w:rPr>
          <w:color w:val="auto"/>
        </w:rPr>
        <w:t>+</w:t>
      </w:r>
      <w:r>
        <w:rPr>
          <w:color w:val="auto"/>
        </w:rPr>
        <w:t>刚性复合防渗结构设置防渗，增加防渗措施的可靠性，减小污染物迅速穿过防渗层从而污染地下水的风险。</w:t>
      </w:r>
      <w:r>
        <w:rPr>
          <w:rFonts w:ascii="宋体" w:hAnsi="宋体" w:cs="宋体" w:hint="eastAsia"/>
        </w:rPr>
        <w:t>本项目已制定土壤环境跟踪监测措施，制定跟踪监测计划，建立完善的跟踪监测制度，以便及时发现并有效控制。</w:t>
      </w:r>
    </w:p>
    <w:p w14:paraId="24A0FD25" w14:textId="77777777" w:rsidR="002E474C" w:rsidRDefault="00000000">
      <w:pPr>
        <w:pStyle w:val="A-z"/>
        <w:rPr>
          <w:rFonts w:ascii="宋体" w:hAnsi="宋体" w:cs="宋体" w:hint="eastAsia"/>
        </w:rPr>
      </w:pPr>
      <w:r>
        <w:rPr>
          <w:rFonts w:ascii="宋体" w:hAnsi="宋体" w:cs="宋体" w:hint="eastAsia"/>
        </w:rPr>
        <w:t>根据建设项目的土壤环境现状、预测评价结果，从土壤环境影响的角度，项目可行。</w:t>
      </w:r>
    </w:p>
    <w:bookmarkEnd w:id="311"/>
    <w:p w14:paraId="61966D6F" w14:textId="77777777" w:rsidR="002E474C" w:rsidRDefault="00000000">
      <w:pPr>
        <w:pStyle w:val="31"/>
        <w:spacing w:before="120" w:after="120"/>
        <w:rPr>
          <w:color w:val="auto"/>
        </w:rPr>
      </w:pPr>
      <w:r>
        <w:rPr>
          <w:color w:val="auto"/>
        </w:rPr>
        <w:t>土壤环境保护措施</w:t>
      </w:r>
    </w:p>
    <w:p w14:paraId="62F12472" w14:textId="77777777" w:rsidR="002E474C" w:rsidRDefault="00000000">
      <w:pPr>
        <w:pStyle w:val="A-z"/>
        <w:rPr>
          <w:color w:val="auto"/>
        </w:rPr>
      </w:pPr>
      <w:r>
        <w:rPr>
          <w:color w:val="auto"/>
        </w:rPr>
        <w:t>（</w:t>
      </w:r>
      <w:r>
        <w:rPr>
          <w:color w:val="auto"/>
        </w:rPr>
        <w:t>1</w:t>
      </w:r>
      <w:r>
        <w:rPr>
          <w:color w:val="auto"/>
        </w:rPr>
        <w:t>）土壤环境质量现状保障措施</w:t>
      </w:r>
    </w:p>
    <w:p w14:paraId="5810238C" w14:textId="77777777" w:rsidR="002E474C" w:rsidRDefault="00000000">
      <w:pPr>
        <w:pStyle w:val="A-z"/>
        <w:rPr>
          <w:color w:val="auto"/>
        </w:rPr>
      </w:pPr>
      <w:r>
        <w:rPr>
          <w:color w:val="auto"/>
        </w:rPr>
        <w:t>根据现状监测结果可知，项目占地范围内不存在土壤环境质量超标点位。</w:t>
      </w:r>
    </w:p>
    <w:p w14:paraId="7E308E8B" w14:textId="77777777" w:rsidR="002E474C" w:rsidRDefault="00000000">
      <w:pPr>
        <w:pStyle w:val="A-z"/>
        <w:rPr>
          <w:color w:val="auto"/>
        </w:rPr>
      </w:pPr>
      <w:bookmarkStart w:id="312" w:name="_Hlk151236057"/>
      <w:r>
        <w:rPr>
          <w:color w:val="auto"/>
        </w:rPr>
        <w:t>（</w:t>
      </w:r>
      <w:r>
        <w:rPr>
          <w:color w:val="auto"/>
        </w:rPr>
        <w:t>2</w:t>
      </w:r>
      <w:r>
        <w:rPr>
          <w:color w:val="auto"/>
        </w:rPr>
        <w:t>）源头控制措施</w:t>
      </w:r>
    </w:p>
    <w:p w14:paraId="27D95EC9" w14:textId="77777777" w:rsidR="002E474C" w:rsidRDefault="00000000">
      <w:pPr>
        <w:pStyle w:val="A-z"/>
        <w:rPr>
          <w:color w:val="auto"/>
        </w:rPr>
      </w:pPr>
      <w:r>
        <w:rPr>
          <w:color w:val="auto"/>
        </w:rPr>
        <w:t>正常情况下，项目土壤污染的主要污染源是大气污染物中的重金属，重金属通过大气沉降进入土壤环境。因此要严格监测入窑危险废物的重金属成分，严格按照相关标准控制入窑重金属的含量，从源头上控制重金属的量。</w:t>
      </w:r>
    </w:p>
    <w:p w14:paraId="59161B43" w14:textId="77777777" w:rsidR="002E474C" w:rsidRDefault="00000000">
      <w:pPr>
        <w:pStyle w:val="A-z"/>
        <w:rPr>
          <w:color w:val="auto"/>
        </w:rPr>
      </w:pPr>
      <w:r>
        <w:rPr>
          <w:color w:val="auto"/>
        </w:rPr>
        <w:t>本项目对可能造成土壤污染的区域应实施防渗、截留措施，阻止废水进入土壤中，即从源头到末端全方位采取控制措施，防止废水垂直入渗对土壤造成污染。保证各废气处理措施运行良好，可有效降低污染物对环境的排放，降低大气沉降对土壤的影响。</w:t>
      </w:r>
    </w:p>
    <w:p w14:paraId="4020B5CD" w14:textId="77777777" w:rsidR="002E474C" w:rsidRDefault="00000000">
      <w:pPr>
        <w:pStyle w:val="A-z"/>
        <w:rPr>
          <w:color w:val="auto"/>
        </w:rPr>
      </w:pPr>
      <w:r>
        <w:rPr>
          <w:color w:val="auto"/>
        </w:rPr>
        <w:t>（</w:t>
      </w:r>
      <w:r>
        <w:rPr>
          <w:color w:val="auto"/>
        </w:rPr>
        <w:t>3</w:t>
      </w:r>
      <w:r>
        <w:rPr>
          <w:color w:val="auto"/>
        </w:rPr>
        <w:t>）过程防控措施</w:t>
      </w:r>
    </w:p>
    <w:p w14:paraId="41EB58DB" w14:textId="77777777" w:rsidR="002E474C" w:rsidRDefault="00000000">
      <w:pPr>
        <w:pStyle w:val="A-z"/>
        <w:rPr>
          <w:color w:val="auto"/>
        </w:rPr>
      </w:pPr>
      <w:r>
        <w:rPr>
          <w:color w:val="auto"/>
        </w:rPr>
        <w:t>①</w:t>
      </w:r>
      <w:r>
        <w:rPr>
          <w:color w:val="auto"/>
        </w:rPr>
        <w:t>大气沉降控制措施</w:t>
      </w:r>
    </w:p>
    <w:p w14:paraId="7CBCAC29" w14:textId="77777777" w:rsidR="002E474C" w:rsidRDefault="00000000">
      <w:pPr>
        <w:pStyle w:val="A-z"/>
        <w:rPr>
          <w:color w:val="auto"/>
        </w:rPr>
      </w:pPr>
      <w:r>
        <w:rPr>
          <w:color w:val="auto"/>
        </w:rPr>
        <w:t>项目危废贮存库与固态危废预处理车间废气经管道收集后送废气净化系统采用两级活性炭吸附处理后排放。</w:t>
      </w:r>
    </w:p>
    <w:p w14:paraId="6D25A298" w14:textId="77777777" w:rsidR="002E474C" w:rsidRDefault="00000000">
      <w:pPr>
        <w:pStyle w:val="A-z"/>
        <w:rPr>
          <w:color w:val="auto"/>
        </w:rPr>
      </w:pPr>
      <w:r>
        <w:rPr>
          <w:color w:val="auto"/>
        </w:rPr>
        <w:t>另外，可以在占地范围采取绿化措施，种植具有较强吸附能力的植物减小大气沉降对土壤的影响。</w:t>
      </w:r>
    </w:p>
    <w:p w14:paraId="57DB8B3E" w14:textId="77777777" w:rsidR="002E474C" w:rsidRDefault="00000000">
      <w:pPr>
        <w:pStyle w:val="A-z"/>
        <w:rPr>
          <w:color w:val="auto"/>
        </w:rPr>
      </w:pPr>
      <w:r>
        <w:rPr>
          <w:color w:val="auto"/>
        </w:rPr>
        <w:lastRenderedPageBreak/>
        <w:t>②</w:t>
      </w:r>
      <w:r>
        <w:rPr>
          <w:color w:val="auto"/>
        </w:rPr>
        <w:t>垂直入渗控制措施</w:t>
      </w:r>
    </w:p>
    <w:p w14:paraId="1C79A444" w14:textId="77777777" w:rsidR="002E474C" w:rsidRDefault="00000000">
      <w:pPr>
        <w:pStyle w:val="A-z"/>
        <w:rPr>
          <w:color w:val="auto"/>
        </w:rPr>
      </w:pPr>
      <w:r>
        <w:rPr>
          <w:color w:val="auto"/>
        </w:rPr>
        <w:t>危废贮存库、固态危废预处理车间、废液储存区、清洗间、事故池、集液池、废水收集池及沟渠、初期雨水池等为重点防渗区，其防渗等级满足等效粘土防渗层</w:t>
      </w:r>
      <w:r>
        <w:rPr>
          <w:color w:val="auto"/>
        </w:rPr>
        <w:t>Mb≥6.0m</w:t>
      </w:r>
      <w:r>
        <w:rPr>
          <w:color w:val="auto"/>
        </w:rPr>
        <w:t>，渗透系数</w:t>
      </w:r>
      <w:r>
        <w:rPr>
          <w:color w:val="auto"/>
        </w:rPr>
        <w:t>K≤1.0×10</w:t>
      </w:r>
      <w:r>
        <w:rPr>
          <w:color w:val="auto"/>
          <w:vertAlign w:val="superscript"/>
        </w:rPr>
        <w:t>-7</w:t>
      </w:r>
      <w:r>
        <w:rPr>
          <w:color w:val="auto"/>
        </w:rPr>
        <w:t>cm/s</w:t>
      </w:r>
      <w:r>
        <w:rPr>
          <w:color w:val="auto"/>
        </w:rPr>
        <w:t>，或</w:t>
      </w:r>
      <w:r>
        <w:rPr>
          <w:color w:val="auto"/>
        </w:rPr>
        <w:t>2mm</w:t>
      </w:r>
      <w:r>
        <w:rPr>
          <w:color w:val="auto"/>
        </w:rPr>
        <w:t>厚高密度聚乙烯，或至少</w:t>
      </w:r>
      <w:r>
        <w:rPr>
          <w:color w:val="auto"/>
        </w:rPr>
        <w:t>2mm</w:t>
      </w:r>
      <w:r>
        <w:rPr>
          <w:color w:val="auto"/>
        </w:rPr>
        <w:t>厚的其它人工材料，渗透系数</w:t>
      </w:r>
      <w:r>
        <w:rPr>
          <w:color w:val="auto"/>
        </w:rPr>
        <w:t>≤10</w:t>
      </w:r>
      <w:r>
        <w:rPr>
          <w:color w:val="auto"/>
          <w:vertAlign w:val="superscript"/>
        </w:rPr>
        <w:t>-7</w:t>
      </w:r>
      <w:r>
        <w:rPr>
          <w:color w:val="auto"/>
        </w:rPr>
        <w:t>cm/s</w:t>
      </w:r>
      <w:r>
        <w:rPr>
          <w:color w:val="auto"/>
        </w:rPr>
        <w:t>。企业在管理方面严加管理，</w:t>
      </w:r>
      <w:r>
        <w:rPr>
          <w:color w:val="auto"/>
          <w:lang w:val="en-US"/>
        </w:rPr>
        <w:t>同时按监测计划定期开展土壤监测，</w:t>
      </w:r>
      <w:r>
        <w:rPr>
          <w:color w:val="auto"/>
        </w:rPr>
        <w:t>可有效防治危险废物贮存和预处理过程中因物料泄漏造成对区域土壤环境的污染。</w:t>
      </w:r>
      <w:bookmarkEnd w:id="312"/>
    </w:p>
    <w:p w14:paraId="019F76E9" w14:textId="77777777" w:rsidR="002E474C" w:rsidRDefault="00000000">
      <w:pPr>
        <w:pStyle w:val="31"/>
        <w:spacing w:before="120" w:after="120"/>
        <w:rPr>
          <w:color w:val="auto"/>
        </w:rPr>
      </w:pPr>
      <w:r>
        <w:rPr>
          <w:color w:val="auto"/>
        </w:rPr>
        <w:t>跟踪监测</w:t>
      </w:r>
    </w:p>
    <w:p w14:paraId="5DA17094" w14:textId="77777777" w:rsidR="002E474C" w:rsidRDefault="00000000">
      <w:pPr>
        <w:pStyle w:val="A-z"/>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），评价工作等级为二级的建设项目每</w:t>
      </w:r>
      <w:r>
        <w:rPr>
          <w:color w:val="auto"/>
        </w:rPr>
        <w:t>5</w:t>
      </w:r>
      <w:r>
        <w:rPr>
          <w:color w:val="auto"/>
        </w:rPr>
        <w:t>年内开展一次跟踪监测；监测点位应布设在重点影响区和土壤环境敏感目标附近；监测指标应选择建设项目特征因子。土壤评价范围内无土壤环境敏感目标，本项目跟踪监测计划见表</w:t>
      </w:r>
      <w:r>
        <w:rPr>
          <w:color w:val="auto"/>
        </w:rPr>
        <w:t>5.6</w:t>
      </w:r>
      <w:r>
        <w:rPr>
          <w:color w:val="auto"/>
        </w:rPr>
        <w:noBreakHyphen/>
        <w:t>4</w:t>
      </w:r>
      <w:r>
        <w:rPr>
          <w:color w:val="auto"/>
        </w:rPr>
        <w:t>。</w:t>
      </w:r>
    </w:p>
    <w:p w14:paraId="1568D6DB" w14:textId="77777777" w:rsidR="002E474C" w:rsidRDefault="00000000">
      <w:pPr>
        <w:pStyle w:val="A--"/>
        <w:rPr>
          <w:color w:val="auto"/>
        </w:rPr>
      </w:pPr>
      <w:bookmarkStart w:id="313" w:name="_Ref130209629"/>
      <w:r>
        <w:rPr>
          <w:color w:val="auto"/>
        </w:rPr>
        <w:t>表</w:t>
      </w:r>
      <w:r>
        <w:rPr>
          <w:color w:val="auto"/>
        </w:rPr>
        <w:t>5.6</w:t>
      </w:r>
      <w:r>
        <w:rPr>
          <w:color w:val="auto"/>
        </w:rPr>
        <w:noBreakHyphen/>
        <w:t>4</w:t>
      </w:r>
      <w:bookmarkEnd w:id="313"/>
      <w:r>
        <w:rPr>
          <w:color w:val="auto"/>
        </w:rPr>
        <w:t xml:space="preserve">  </w:t>
      </w:r>
      <w:r>
        <w:rPr>
          <w:color w:val="auto"/>
        </w:rPr>
        <w:t>土壤环境质量跟踪监测计划表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2232"/>
        <w:gridCol w:w="1078"/>
        <w:gridCol w:w="3592"/>
      </w:tblGrid>
      <w:tr w:rsidR="002E474C" w14:paraId="0F77E0FD" w14:textId="77777777">
        <w:trPr>
          <w:jc w:val="center"/>
        </w:trPr>
        <w:tc>
          <w:tcPr>
            <w:tcW w:w="840" w:type="pct"/>
            <w:vAlign w:val="center"/>
          </w:tcPr>
          <w:p w14:paraId="72073C83" w14:textId="77777777" w:rsidR="002E474C" w:rsidRDefault="00000000">
            <w:pPr>
              <w:pStyle w:val="A-"/>
            </w:pPr>
            <w:r>
              <w:t>监测点位</w:t>
            </w:r>
          </w:p>
        </w:tc>
        <w:tc>
          <w:tcPr>
            <w:tcW w:w="1344" w:type="pct"/>
            <w:vAlign w:val="center"/>
          </w:tcPr>
          <w:p w14:paraId="1AA96D32" w14:textId="77777777" w:rsidR="002E474C" w:rsidRDefault="00000000">
            <w:pPr>
              <w:pStyle w:val="A-"/>
            </w:pPr>
            <w:r>
              <w:t>监测指标</w:t>
            </w:r>
          </w:p>
        </w:tc>
        <w:tc>
          <w:tcPr>
            <w:tcW w:w="650" w:type="pct"/>
            <w:vAlign w:val="center"/>
          </w:tcPr>
          <w:p w14:paraId="70CED786" w14:textId="77777777" w:rsidR="002E474C" w:rsidRDefault="00000000">
            <w:pPr>
              <w:pStyle w:val="A-"/>
            </w:pPr>
            <w:r>
              <w:t>监测频次</w:t>
            </w:r>
          </w:p>
        </w:tc>
        <w:tc>
          <w:tcPr>
            <w:tcW w:w="2164" w:type="pct"/>
            <w:vAlign w:val="center"/>
          </w:tcPr>
          <w:p w14:paraId="4A2F3101" w14:textId="77777777" w:rsidR="002E474C" w:rsidRDefault="00000000">
            <w:pPr>
              <w:pStyle w:val="A-"/>
            </w:pPr>
            <w:r>
              <w:t>执行标准</w:t>
            </w:r>
          </w:p>
        </w:tc>
      </w:tr>
      <w:tr w:rsidR="002E474C" w14:paraId="00C41D73" w14:textId="77777777">
        <w:trPr>
          <w:jc w:val="center"/>
        </w:trPr>
        <w:tc>
          <w:tcPr>
            <w:tcW w:w="840" w:type="pct"/>
            <w:vAlign w:val="center"/>
          </w:tcPr>
          <w:p w14:paraId="04FEF36D" w14:textId="77777777" w:rsidR="002E474C" w:rsidRDefault="00000000">
            <w:pPr>
              <w:pStyle w:val="A-"/>
            </w:pPr>
            <w:r>
              <w:t>水泥窑区域</w:t>
            </w:r>
          </w:p>
        </w:tc>
        <w:tc>
          <w:tcPr>
            <w:tcW w:w="1344" w:type="pct"/>
            <w:vAlign w:val="center"/>
          </w:tcPr>
          <w:p w14:paraId="43CD41D6" w14:textId="77777777" w:rsidR="002E474C" w:rsidRDefault="00000000">
            <w:pPr>
              <w:pStyle w:val="A-"/>
            </w:pPr>
            <w:r>
              <w:t>六价铬、镉、镍、铅、铜、锌、砷、汞、锑、铍、钴、钒、石油烃、二噁英类</w:t>
            </w:r>
          </w:p>
        </w:tc>
        <w:tc>
          <w:tcPr>
            <w:tcW w:w="650" w:type="pct"/>
            <w:vAlign w:val="center"/>
          </w:tcPr>
          <w:p w14:paraId="34639326" w14:textId="77777777" w:rsidR="002E474C" w:rsidRDefault="00000000">
            <w:pPr>
              <w:pStyle w:val="A-"/>
            </w:pPr>
            <w:r>
              <w:t>1</w:t>
            </w:r>
            <w:r>
              <w:t>次</w:t>
            </w:r>
            <w:r>
              <w:t>/5</w:t>
            </w:r>
            <w:r>
              <w:t>年</w:t>
            </w:r>
          </w:p>
        </w:tc>
        <w:tc>
          <w:tcPr>
            <w:tcW w:w="2164" w:type="pct"/>
            <w:vAlign w:val="center"/>
          </w:tcPr>
          <w:p w14:paraId="6B10DB90" w14:textId="77777777" w:rsidR="002E474C" w:rsidRDefault="00000000">
            <w:pPr>
              <w:pStyle w:val="A-"/>
            </w:pPr>
            <w:r>
              <w:t>《土壤环境质量</w:t>
            </w:r>
            <w:r>
              <w:t xml:space="preserve"> </w:t>
            </w:r>
            <w:r>
              <w:t>建设用地土壤污染风险管控标准（试行）》（</w:t>
            </w:r>
            <w:r>
              <w:t>GB36600-2018</w:t>
            </w:r>
            <w:r>
              <w:t>）中第二类用地筛选值。</w:t>
            </w:r>
          </w:p>
        </w:tc>
      </w:tr>
    </w:tbl>
    <w:p w14:paraId="7EAA7B3F" w14:textId="77777777" w:rsidR="002E474C" w:rsidRDefault="002E474C">
      <w:pPr>
        <w:pStyle w:val="w3"/>
      </w:pPr>
    </w:p>
    <w:p w14:paraId="6D47221C" w14:textId="77777777" w:rsidR="002E474C" w:rsidRDefault="00000000">
      <w:pPr>
        <w:pStyle w:val="A-z"/>
        <w:rPr>
          <w:color w:val="auto"/>
        </w:rPr>
      </w:pPr>
      <w:r>
        <w:rPr>
          <w:color w:val="auto"/>
        </w:rPr>
        <w:t>本项目土壤环境影响评价自查表见表</w:t>
      </w:r>
      <w:r>
        <w:rPr>
          <w:color w:val="auto"/>
        </w:rPr>
        <w:t>5.6</w:t>
      </w:r>
      <w:r>
        <w:rPr>
          <w:color w:val="auto"/>
        </w:rPr>
        <w:noBreakHyphen/>
        <w:t>5</w:t>
      </w:r>
      <w:r>
        <w:rPr>
          <w:color w:val="auto"/>
        </w:rPr>
        <w:t>。</w:t>
      </w:r>
    </w:p>
    <w:p w14:paraId="5CF48C13" w14:textId="77777777" w:rsidR="002E474C" w:rsidRDefault="00000000">
      <w:pPr>
        <w:pStyle w:val="A-0"/>
        <w:rPr>
          <w:color w:val="auto"/>
        </w:rPr>
      </w:pPr>
      <w:bookmarkStart w:id="314" w:name="_Ref111559854"/>
      <w:r>
        <w:rPr>
          <w:color w:val="auto"/>
        </w:rPr>
        <w:t>表</w:t>
      </w:r>
      <w:r>
        <w:rPr>
          <w:color w:val="auto"/>
        </w:rPr>
        <w:t>5.6</w:t>
      </w:r>
      <w:r>
        <w:rPr>
          <w:color w:val="auto"/>
        </w:rPr>
        <w:noBreakHyphen/>
        <w:t>5</w:t>
      </w:r>
      <w:bookmarkEnd w:id="314"/>
      <w:r>
        <w:rPr>
          <w:color w:val="auto"/>
        </w:rPr>
        <w:t xml:space="preserve">  </w:t>
      </w:r>
      <w:r>
        <w:rPr>
          <w:color w:val="auto"/>
        </w:rPr>
        <w:t>土壤环境影响评价自查表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
        <w:gridCol w:w="1392"/>
        <w:gridCol w:w="886"/>
        <w:gridCol w:w="533"/>
        <w:gridCol w:w="1224"/>
        <w:gridCol w:w="954"/>
        <w:gridCol w:w="246"/>
        <w:gridCol w:w="1755"/>
        <w:gridCol w:w="987"/>
      </w:tblGrid>
      <w:tr w:rsidR="002E474C" w14:paraId="0D3E7BCE" w14:textId="77777777">
        <w:trPr>
          <w:trHeight w:val="23"/>
          <w:tblHeader/>
          <w:jc w:val="center"/>
        </w:trPr>
        <w:tc>
          <w:tcPr>
            <w:tcW w:w="1031" w:type="pct"/>
            <w:gridSpan w:val="2"/>
            <w:vAlign w:val="center"/>
          </w:tcPr>
          <w:p w14:paraId="2CAE9124" w14:textId="77777777" w:rsidR="002E474C" w:rsidRDefault="00000000">
            <w:pPr>
              <w:pStyle w:val="A-"/>
            </w:pPr>
            <w:r>
              <w:t>工作内容</w:t>
            </w:r>
          </w:p>
        </w:tc>
        <w:tc>
          <w:tcPr>
            <w:tcW w:w="3374" w:type="pct"/>
            <w:gridSpan w:val="6"/>
            <w:vAlign w:val="center"/>
          </w:tcPr>
          <w:p w14:paraId="4002DC8F" w14:textId="77777777" w:rsidR="002E474C" w:rsidRDefault="00000000">
            <w:pPr>
              <w:pStyle w:val="A-"/>
            </w:pPr>
            <w:r>
              <w:t>完成情况</w:t>
            </w:r>
          </w:p>
        </w:tc>
        <w:tc>
          <w:tcPr>
            <w:tcW w:w="595" w:type="pct"/>
            <w:vAlign w:val="center"/>
          </w:tcPr>
          <w:p w14:paraId="48D4228E" w14:textId="77777777" w:rsidR="002E474C" w:rsidRDefault="00000000">
            <w:pPr>
              <w:pStyle w:val="A-"/>
            </w:pPr>
            <w:r>
              <w:t>备注</w:t>
            </w:r>
          </w:p>
        </w:tc>
      </w:tr>
      <w:tr w:rsidR="002E474C" w14:paraId="103598B5" w14:textId="77777777">
        <w:trPr>
          <w:trHeight w:val="23"/>
          <w:jc w:val="center"/>
        </w:trPr>
        <w:tc>
          <w:tcPr>
            <w:tcW w:w="192" w:type="pct"/>
            <w:vMerge w:val="restart"/>
            <w:vAlign w:val="center"/>
          </w:tcPr>
          <w:p w14:paraId="312035A0" w14:textId="77777777" w:rsidR="002E474C" w:rsidRDefault="00000000">
            <w:pPr>
              <w:pStyle w:val="A-"/>
            </w:pPr>
            <w:r>
              <w:t>影</w:t>
            </w:r>
          </w:p>
          <w:p w14:paraId="3BB5FFE9" w14:textId="77777777" w:rsidR="002E474C" w:rsidRDefault="00000000">
            <w:pPr>
              <w:pStyle w:val="A-"/>
            </w:pPr>
            <w:r>
              <w:t>响</w:t>
            </w:r>
          </w:p>
          <w:p w14:paraId="50275DBE" w14:textId="77777777" w:rsidR="002E474C" w:rsidRDefault="00000000">
            <w:pPr>
              <w:pStyle w:val="A-"/>
            </w:pPr>
            <w:r>
              <w:t>识</w:t>
            </w:r>
          </w:p>
          <w:p w14:paraId="11442289" w14:textId="77777777" w:rsidR="002E474C" w:rsidRDefault="00000000">
            <w:pPr>
              <w:pStyle w:val="A-"/>
            </w:pPr>
            <w:r>
              <w:t>别</w:t>
            </w:r>
          </w:p>
        </w:tc>
        <w:tc>
          <w:tcPr>
            <w:tcW w:w="839" w:type="pct"/>
            <w:vAlign w:val="center"/>
          </w:tcPr>
          <w:p w14:paraId="7DED9372" w14:textId="77777777" w:rsidR="002E474C" w:rsidRDefault="00000000">
            <w:pPr>
              <w:pStyle w:val="A-"/>
            </w:pPr>
            <w:r>
              <w:t>影响类型</w:t>
            </w:r>
          </w:p>
        </w:tc>
        <w:tc>
          <w:tcPr>
            <w:tcW w:w="3374" w:type="pct"/>
            <w:gridSpan w:val="6"/>
            <w:vAlign w:val="center"/>
          </w:tcPr>
          <w:p w14:paraId="1E3E66AA" w14:textId="77777777" w:rsidR="002E474C" w:rsidRDefault="00000000">
            <w:pPr>
              <w:pStyle w:val="A-"/>
            </w:pPr>
            <w:r>
              <w:t>污染影响型</w:t>
            </w:r>
            <w:r>
              <w:sym w:font="Wingdings 2" w:char="0052"/>
            </w:r>
            <w:r>
              <w:t>；生态影响型</w:t>
            </w:r>
            <w:r>
              <w:t>□</w:t>
            </w:r>
            <w:r>
              <w:t>；两种兼有</w:t>
            </w:r>
            <w:r>
              <w:t>□</w:t>
            </w:r>
          </w:p>
        </w:tc>
        <w:tc>
          <w:tcPr>
            <w:tcW w:w="595" w:type="pct"/>
            <w:vAlign w:val="center"/>
          </w:tcPr>
          <w:p w14:paraId="5AF5511C" w14:textId="77777777" w:rsidR="002E474C" w:rsidRDefault="002E474C">
            <w:pPr>
              <w:pStyle w:val="A-"/>
            </w:pPr>
          </w:p>
        </w:tc>
      </w:tr>
      <w:tr w:rsidR="002E474C" w14:paraId="47BDBE35" w14:textId="77777777">
        <w:trPr>
          <w:trHeight w:val="23"/>
          <w:jc w:val="center"/>
        </w:trPr>
        <w:tc>
          <w:tcPr>
            <w:tcW w:w="192" w:type="pct"/>
            <w:vMerge/>
            <w:vAlign w:val="center"/>
          </w:tcPr>
          <w:p w14:paraId="7330230E" w14:textId="77777777" w:rsidR="002E474C" w:rsidRDefault="002E474C">
            <w:pPr>
              <w:pStyle w:val="A-"/>
            </w:pPr>
          </w:p>
        </w:tc>
        <w:tc>
          <w:tcPr>
            <w:tcW w:w="839" w:type="pct"/>
            <w:vAlign w:val="center"/>
          </w:tcPr>
          <w:p w14:paraId="18BDBEFC" w14:textId="77777777" w:rsidR="002E474C" w:rsidRDefault="00000000">
            <w:pPr>
              <w:pStyle w:val="A-"/>
            </w:pPr>
            <w:r>
              <w:t>土地利用类型</w:t>
            </w:r>
          </w:p>
        </w:tc>
        <w:tc>
          <w:tcPr>
            <w:tcW w:w="3374" w:type="pct"/>
            <w:gridSpan w:val="6"/>
            <w:vAlign w:val="center"/>
          </w:tcPr>
          <w:p w14:paraId="4254766E" w14:textId="77777777" w:rsidR="002E474C" w:rsidRDefault="00000000">
            <w:pPr>
              <w:pStyle w:val="A-"/>
            </w:pPr>
            <w:r>
              <w:t>建设用地</w:t>
            </w:r>
            <w:r>
              <w:sym w:font="Wingdings 2" w:char="0052"/>
            </w:r>
            <w:r>
              <w:t>；农用地</w:t>
            </w:r>
            <w:r>
              <w:t>□</w:t>
            </w:r>
            <w:r>
              <w:t>；未利用地</w:t>
            </w:r>
            <w:r>
              <w:t>□</w:t>
            </w:r>
          </w:p>
        </w:tc>
        <w:tc>
          <w:tcPr>
            <w:tcW w:w="595" w:type="pct"/>
            <w:vAlign w:val="center"/>
          </w:tcPr>
          <w:p w14:paraId="3D502C3C" w14:textId="77777777" w:rsidR="002E474C" w:rsidRDefault="002E474C">
            <w:pPr>
              <w:pStyle w:val="A-"/>
            </w:pPr>
          </w:p>
        </w:tc>
      </w:tr>
      <w:tr w:rsidR="002E474C" w14:paraId="090FD7BE" w14:textId="77777777">
        <w:trPr>
          <w:trHeight w:val="23"/>
          <w:jc w:val="center"/>
        </w:trPr>
        <w:tc>
          <w:tcPr>
            <w:tcW w:w="192" w:type="pct"/>
            <w:vMerge/>
            <w:vAlign w:val="center"/>
          </w:tcPr>
          <w:p w14:paraId="5536CADF" w14:textId="77777777" w:rsidR="002E474C" w:rsidRDefault="002E474C">
            <w:pPr>
              <w:pStyle w:val="A-"/>
            </w:pPr>
          </w:p>
        </w:tc>
        <w:tc>
          <w:tcPr>
            <w:tcW w:w="839" w:type="pct"/>
            <w:vAlign w:val="center"/>
          </w:tcPr>
          <w:p w14:paraId="3211C220" w14:textId="77777777" w:rsidR="002E474C" w:rsidRDefault="00000000">
            <w:pPr>
              <w:pStyle w:val="A-"/>
            </w:pPr>
            <w:r>
              <w:t>占地规模</w:t>
            </w:r>
          </w:p>
        </w:tc>
        <w:tc>
          <w:tcPr>
            <w:tcW w:w="3374" w:type="pct"/>
            <w:gridSpan w:val="6"/>
            <w:vAlign w:val="center"/>
          </w:tcPr>
          <w:p w14:paraId="6E511BCA" w14:textId="77777777" w:rsidR="002E474C" w:rsidRDefault="00000000">
            <w:pPr>
              <w:pStyle w:val="A-"/>
            </w:pPr>
            <w:r>
              <w:t>（</w:t>
            </w:r>
            <w:r>
              <w:t>0.45</w:t>
            </w:r>
            <w:r>
              <w:t>）</w:t>
            </w:r>
            <w:r>
              <w:t>hm</w:t>
            </w:r>
            <w:r>
              <w:rPr>
                <w:vertAlign w:val="superscript"/>
              </w:rPr>
              <w:t>2</w:t>
            </w:r>
          </w:p>
        </w:tc>
        <w:tc>
          <w:tcPr>
            <w:tcW w:w="595" w:type="pct"/>
            <w:vAlign w:val="center"/>
          </w:tcPr>
          <w:p w14:paraId="38A4103D" w14:textId="77777777" w:rsidR="002E474C" w:rsidRDefault="002E474C">
            <w:pPr>
              <w:pStyle w:val="A-"/>
            </w:pPr>
          </w:p>
        </w:tc>
      </w:tr>
      <w:tr w:rsidR="002E474C" w14:paraId="2433A4D8" w14:textId="77777777">
        <w:trPr>
          <w:trHeight w:val="23"/>
          <w:jc w:val="center"/>
        </w:trPr>
        <w:tc>
          <w:tcPr>
            <w:tcW w:w="192" w:type="pct"/>
            <w:vMerge/>
            <w:vAlign w:val="center"/>
          </w:tcPr>
          <w:p w14:paraId="3FD456DC" w14:textId="77777777" w:rsidR="002E474C" w:rsidRDefault="002E474C">
            <w:pPr>
              <w:pStyle w:val="A-"/>
            </w:pPr>
          </w:p>
        </w:tc>
        <w:tc>
          <w:tcPr>
            <w:tcW w:w="839" w:type="pct"/>
            <w:vAlign w:val="center"/>
          </w:tcPr>
          <w:p w14:paraId="501510A9" w14:textId="77777777" w:rsidR="002E474C" w:rsidRDefault="00000000">
            <w:pPr>
              <w:pStyle w:val="A-"/>
            </w:pPr>
            <w:r>
              <w:t>敏感目标信息</w:t>
            </w:r>
          </w:p>
        </w:tc>
        <w:tc>
          <w:tcPr>
            <w:tcW w:w="3374" w:type="pct"/>
            <w:gridSpan w:val="6"/>
            <w:vAlign w:val="center"/>
          </w:tcPr>
          <w:p w14:paraId="532CFBF5" w14:textId="77777777" w:rsidR="002E474C" w:rsidRDefault="00000000">
            <w:pPr>
              <w:pStyle w:val="A-"/>
            </w:pPr>
            <w:r>
              <w:t>/</w:t>
            </w:r>
          </w:p>
        </w:tc>
        <w:tc>
          <w:tcPr>
            <w:tcW w:w="595" w:type="pct"/>
            <w:vAlign w:val="center"/>
          </w:tcPr>
          <w:p w14:paraId="7FCADAAA" w14:textId="77777777" w:rsidR="002E474C" w:rsidRDefault="002E474C">
            <w:pPr>
              <w:pStyle w:val="A-"/>
            </w:pPr>
          </w:p>
        </w:tc>
      </w:tr>
      <w:tr w:rsidR="002E474C" w14:paraId="2948CF91" w14:textId="77777777">
        <w:trPr>
          <w:trHeight w:val="23"/>
          <w:jc w:val="center"/>
        </w:trPr>
        <w:tc>
          <w:tcPr>
            <w:tcW w:w="192" w:type="pct"/>
            <w:vMerge/>
            <w:vAlign w:val="center"/>
          </w:tcPr>
          <w:p w14:paraId="6C47BA53" w14:textId="77777777" w:rsidR="002E474C" w:rsidRDefault="002E474C">
            <w:pPr>
              <w:pStyle w:val="A-"/>
            </w:pPr>
          </w:p>
        </w:tc>
        <w:tc>
          <w:tcPr>
            <w:tcW w:w="839" w:type="pct"/>
            <w:vAlign w:val="center"/>
          </w:tcPr>
          <w:p w14:paraId="16C3E36A" w14:textId="77777777" w:rsidR="002E474C" w:rsidRDefault="00000000">
            <w:pPr>
              <w:pStyle w:val="A-"/>
            </w:pPr>
            <w:r>
              <w:t>影响途径</w:t>
            </w:r>
          </w:p>
        </w:tc>
        <w:tc>
          <w:tcPr>
            <w:tcW w:w="3374" w:type="pct"/>
            <w:gridSpan w:val="6"/>
            <w:vAlign w:val="center"/>
          </w:tcPr>
          <w:p w14:paraId="73F8044A" w14:textId="77777777" w:rsidR="002E474C" w:rsidRDefault="00000000">
            <w:pPr>
              <w:pStyle w:val="A-"/>
            </w:pPr>
            <w:r>
              <w:t>大气沉降</w:t>
            </w:r>
            <w:r>
              <w:sym w:font="Wingdings 2" w:char="0052"/>
            </w:r>
            <w:r>
              <w:t>；地面漫流</w:t>
            </w:r>
            <w:r>
              <w:t>□</w:t>
            </w:r>
            <w:r>
              <w:t>；垂直入渗</w:t>
            </w:r>
            <w:r>
              <w:sym w:font="Wingdings 2" w:char="00A3"/>
            </w:r>
            <w:r>
              <w:t>；地下水位</w:t>
            </w:r>
            <w:r>
              <w:t>□</w:t>
            </w:r>
            <w:r>
              <w:t>；其他（</w:t>
            </w:r>
            <w:r>
              <w:t xml:space="preserve">   </w:t>
            </w:r>
            <w:r>
              <w:t>）</w:t>
            </w:r>
          </w:p>
        </w:tc>
        <w:tc>
          <w:tcPr>
            <w:tcW w:w="595" w:type="pct"/>
            <w:vAlign w:val="center"/>
          </w:tcPr>
          <w:p w14:paraId="0CC98039" w14:textId="77777777" w:rsidR="002E474C" w:rsidRDefault="002E474C">
            <w:pPr>
              <w:pStyle w:val="A-"/>
            </w:pPr>
          </w:p>
        </w:tc>
      </w:tr>
      <w:tr w:rsidR="002E474C" w14:paraId="50FD2CE3" w14:textId="77777777">
        <w:trPr>
          <w:trHeight w:val="23"/>
          <w:jc w:val="center"/>
        </w:trPr>
        <w:tc>
          <w:tcPr>
            <w:tcW w:w="192" w:type="pct"/>
            <w:vMerge/>
            <w:vAlign w:val="center"/>
          </w:tcPr>
          <w:p w14:paraId="694FC4BE" w14:textId="77777777" w:rsidR="002E474C" w:rsidRDefault="002E474C">
            <w:pPr>
              <w:pStyle w:val="A-"/>
            </w:pPr>
          </w:p>
        </w:tc>
        <w:tc>
          <w:tcPr>
            <w:tcW w:w="839" w:type="pct"/>
            <w:vAlign w:val="center"/>
          </w:tcPr>
          <w:p w14:paraId="343B8969" w14:textId="77777777" w:rsidR="002E474C" w:rsidRDefault="00000000">
            <w:pPr>
              <w:pStyle w:val="A-"/>
            </w:pPr>
            <w:r>
              <w:t>全部污染物</w:t>
            </w:r>
          </w:p>
        </w:tc>
        <w:tc>
          <w:tcPr>
            <w:tcW w:w="3374" w:type="pct"/>
            <w:gridSpan w:val="6"/>
            <w:vAlign w:val="center"/>
          </w:tcPr>
          <w:p w14:paraId="6B13598F" w14:textId="77777777" w:rsidR="002E474C" w:rsidRDefault="00000000">
            <w:pPr>
              <w:pStyle w:val="A-"/>
            </w:pPr>
            <w:r>
              <w:t>六价铬、镉、镍、铅、铜、锌、砷、汞、钴、钒、石油烃、二噁英类</w:t>
            </w:r>
          </w:p>
        </w:tc>
        <w:tc>
          <w:tcPr>
            <w:tcW w:w="595" w:type="pct"/>
            <w:vAlign w:val="center"/>
          </w:tcPr>
          <w:p w14:paraId="605FA9AD" w14:textId="77777777" w:rsidR="002E474C" w:rsidRDefault="002E474C">
            <w:pPr>
              <w:pStyle w:val="A-"/>
            </w:pPr>
          </w:p>
        </w:tc>
      </w:tr>
      <w:tr w:rsidR="002E474C" w14:paraId="2BD6D572" w14:textId="77777777">
        <w:trPr>
          <w:trHeight w:val="23"/>
          <w:jc w:val="center"/>
        </w:trPr>
        <w:tc>
          <w:tcPr>
            <w:tcW w:w="192" w:type="pct"/>
            <w:vMerge/>
            <w:vAlign w:val="center"/>
          </w:tcPr>
          <w:p w14:paraId="1BAFCE8B" w14:textId="77777777" w:rsidR="002E474C" w:rsidRDefault="002E474C">
            <w:pPr>
              <w:pStyle w:val="A-"/>
            </w:pPr>
          </w:p>
        </w:tc>
        <w:tc>
          <w:tcPr>
            <w:tcW w:w="839" w:type="pct"/>
            <w:vAlign w:val="center"/>
          </w:tcPr>
          <w:p w14:paraId="42936850" w14:textId="77777777" w:rsidR="002E474C" w:rsidRDefault="00000000">
            <w:pPr>
              <w:pStyle w:val="A-"/>
            </w:pPr>
            <w:r>
              <w:t>特征因子</w:t>
            </w:r>
          </w:p>
        </w:tc>
        <w:tc>
          <w:tcPr>
            <w:tcW w:w="3374" w:type="pct"/>
            <w:gridSpan w:val="6"/>
            <w:vAlign w:val="center"/>
          </w:tcPr>
          <w:p w14:paraId="2C159949" w14:textId="77777777" w:rsidR="002E474C" w:rsidRDefault="00000000">
            <w:pPr>
              <w:pStyle w:val="A-"/>
            </w:pPr>
            <w:r>
              <w:t>六价铬、镉、镍、铅、铜、锌、砷、汞、钴、钒、石油烃、二噁英类</w:t>
            </w:r>
          </w:p>
        </w:tc>
        <w:tc>
          <w:tcPr>
            <w:tcW w:w="595" w:type="pct"/>
            <w:vAlign w:val="center"/>
          </w:tcPr>
          <w:p w14:paraId="53A63F4A" w14:textId="77777777" w:rsidR="002E474C" w:rsidRDefault="002E474C">
            <w:pPr>
              <w:pStyle w:val="A-"/>
            </w:pPr>
          </w:p>
        </w:tc>
      </w:tr>
      <w:tr w:rsidR="002E474C" w14:paraId="18A7D620" w14:textId="77777777">
        <w:trPr>
          <w:trHeight w:val="23"/>
          <w:jc w:val="center"/>
        </w:trPr>
        <w:tc>
          <w:tcPr>
            <w:tcW w:w="192" w:type="pct"/>
            <w:vMerge/>
            <w:vAlign w:val="center"/>
          </w:tcPr>
          <w:p w14:paraId="6BC74EE7" w14:textId="77777777" w:rsidR="002E474C" w:rsidRDefault="002E474C">
            <w:pPr>
              <w:pStyle w:val="A-"/>
            </w:pPr>
          </w:p>
        </w:tc>
        <w:tc>
          <w:tcPr>
            <w:tcW w:w="839" w:type="pct"/>
            <w:vAlign w:val="center"/>
          </w:tcPr>
          <w:p w14:paraId="582AE19D" w14:textId="77777777" w:rsidR="002E474C" w:rsidRDefault="00000000">
            <w:pPr>
              <w:pStyle w:val="A-"/>
            </w:pPr>
            <w:r>
              <w:t>所属土壤环境影响评价项目类别</w:t>
            </w:r>
          </w:p>
        </w:tc>
        <w:tc>
          <w:tcPr>
            <w:tcW w:w="3374" w:type="pct"/>
            <w:gridSpan w:val="6"/>
            <w:vAlign w:val="center"/>
          </w:tcPr>
          <w:p w14:paraId="001E1AE2" w14:textId="77777777" w:rsidR="002E474C" w:rsidRDefault="00000000">
            <w:pPr>
              <w:pStyle w:val="A-"/>
            </w:pPr>
            <w:r>
              <w:t>Ⅰ</w:t>
            </w:r>
            <w:r>
              <w:t>类</w:t>
            </w:r>
            <w:r>
              <w:sym w:font="Wingdings 2" w:char="0052"/>
            </w:r>
            <w:r>
              <w:t>；</w:t>
            </w:r>
            <w:r>
              <w:t>Ⅱ</w:t>
            </w:r>
            <w:r>
              <w:t>类</w:t>
            </w:r>
            <w:r>
              <w:t>□</w:t>
            </w:r>
            <w:r>
              <w:t>；</w:t>
            </w:r>
            <w:r>
              <w:t>Ⅲ</w:t>
            </w:r>
            <w:r>
              <w:t>类</w:t>
            </w:r>
            <w:r>
              <w:t>□</w:t>
            </w:r>
            <w:r>
              <w:t>；</w:t>
            </w:r>
            <w:r>
              <w:t>Ⅳ</w:t>
            </w:r>
            <w:r>
              <w:t>类</w:t>
            </w:r>
            <w:r>
              <w:t>□</w:t>
            </w:r>
          </w:p>
        </w:tc>
        <w:tc>
          <w:tcPr>
            <w:tcW w:w="595" w:type="pct"/>
            <w:vAlign w:val="center"/>
          </w:tcPr>
          <w:p w14:paraId="1DF9F139" w14:textId="77777777" w:rsidR="002E474C" w:rsidRDefault="002E474C">
            <w:pPr>
              <w:pStyle w:val="A-"/>
            </w:pPr>
          </w:p>
        </w:tc>
      </w:tr>
      <w:tr w:rsidR="002E474C" w14:paraId="24188C78" w14:textId="77777777">
        <w:trPr>
          <w:trHeight w:val="23"/>
          <w:jc w:val="center"/>
        </w:trPr>
        <w:tc>
          <w:tcPr>
            <w:tcW w:w="192" w:type="pct"/>
            <w:vMerge/>
            <w:vAlign w:val="center"/>
          </w:tcPr>
          <w:p w14:paraId="79CE573F" w14:textId="77777777" w:rsidR="002E474C" w:rsidRDefault="002E474C">
            <w:pPr>
              <w:pStyle w:val="A-"/>
            </w:pPr>
          </w:p>
        </w:tc>
        <w:tc>
          <w:tcPr>
            <w:tcW w:w="839" w:type="pct"/>
            <w:vAlign w:val="center"/>
          </w:tcPr>
          <w:p w14:paraId="7BF612FB" w14:textId="77777777" w:rsidR="002E474C" w:rsidRDefault="00000000">
            <w:pPr>
              <w:pStyle w:val="A-"/>
            </w:pPr>
            <w:r>
              <w:t>敏感程度</w:t>
            </w:r>
          </w:p>
        </w:tc>
        <w:tc>
          <w:tcPr>
            <w:tcW w:w="3374" w:type="pct"/>
            <w:gridSpan w:val="6"/>
            <w:vAlign w:val="center"/>
          </w:tcPr>
          <w:p w14:paraId="2A431435" w14:textId="77777777" w:rsidR="002E474C" w:rsidRDefault="00000000">
            <w:pPr>
              <w:pStyle w:val="A-"/>
            </w:pPr>
            <w:r>
              <w:t>敏感</w:t>
            </w:r>
            <w:r>
              <w:t>□</w:t>
            </w:r>
            <w:r>
              <w:t>；较敏感</w:t>
            </w:r>
            <w:r>
              <w:t>□</w:t>
            </w:r>
            <w:r>
              <w:t>；不敏感</w:t>
            </w:r>
            <w:r>
              <w:sym w:font="Wingdings 2" w:char="0052"/>
            </w:r>
          </w:p>
        </w:tc>
        <w:tc>
          <w:tcPr>
            <w:tcW w:w="595" w:type="pct"/>
            <w:vAlign w:val="center"/>
          </w:tcPr>
          <w:p w14:paraId="6A6AF3D1" w14:textId="77777777" w:rsidR="002E474C" w:rsidRDefault="002E474C">
            <w:pPr>
              <w:pStyle w:val="A-"/>
            </w:pPr>
          </w:p>
        </w:tc>
      </w:tr>
      <w:tr w:rsidR="002E474C" w14:paraId="6A776C5A" w14:textId="77777777">
        <w:trPr>
          <w:trHeight w:val="23"/>
          <w:jc w:val="center"/>
        </w:trPr>
        <w:tc>
          <w:tcPr>
            <w:tcW w:w="1031" w:type="pct"/>
            <w:gridSpan w:val="2"/>
            <w:vAlign w:val="center"/>
          </w:tcPr>
          <w:p w14:paraId="5CD18E84" w14:textId="77777777" w:rsidR="002E474C" w:rsidRDefault="00000000">
            <w:pPr>
              <w:pStyle w:val="A-"/>
            </w:pPr>
            <w:r>
              <w:t>评价工作等级</w:t>
            </w:r>
          </w:p>
        </w:tc>
        <w:tc>
          <w:tcPr>
            <w:tcW w:w="3374" w:type="pct"/>
            <w:gridSpan w:val="6"/>
            <w:vAlign w:val="center"/>
          </w:tcPr>
          <w:p w14:paraId="6E553D42" w14:textId="77777777" w:rsidR="002E474C" w:rsidRDefault="00000000">
            <w:pPr>
              <w:pStyle w:val="A-"/>
            </w:pPr>
            <w:r>
              <w:t>一级</w:t>
            </w:r>
            <w:r>
              <w:t>□</w:t>
            </w:r>
            <w:r>
              <w:t>；二级</w:t>
            </w:r>
            <w:r>
              <w:sym w:font="Wingdings 2" w:char="0052"/>
            </w:r>
            <w:r>
              <w:t>；三级</w:t>
            </w:r>
            <w:r>
              <w:t>□</w:t>
            </w:r>
          </w:p>
        </w:tc>
        <w:tc>
          <w:tcPr>
            <w:tcW w:w="595" w:type="pct"/>
            <w:vAlign w:val="center"/>
          </w:tcPr>
          <w:p w14:paraId="571C0EFA" w14:textId="77777777" w:rsidR="002E474C" w:rsidRDefault="002E474C">
            <w:pPr>
              <w:pStyle w:val="A-"/>
            </w:pPr>
          </w:p>
        </w:tc>
      </w:tr>
      <w:tr w:rsidR="002E474C" w14:paraId="5E87AD1D" w14:textId="77777777">
        <w:trPr>
          <w:trHeight w:val="23"/>
          <w:jc w:val="center"/>
        </w:trPr>
        <w:tc>
          <w:tcPr>
            <w:tcW w:w="192" w:type="pct"/>
            <w:vMerge w:val="restart"/>
            <w:vAlign w:val="center"/>
          </w:tcPr>
          <w:p w14:paraId="0284A93E" w14:textId="77777777" w:rsidR="002E474C" w:rsidRDefault="00000000">
            <w:pPr>
              <w:pStyle w:val="A-"/>
            </w:pPr>
            <w:r>
              <w:t>现</w:t>
            </w:r>
          </w:p>
          <w:p w14:paraId="365D5C42" w14:textId="77777777" w:rsidR="002E474C" w:rsidRDefault="00000000">
            <w:pPr>
              <w:pStyle w:val="A-"/>
            </w:pPr>
            <w:r>
              <w:lastRenderedPageBreak/>
              <w:t>状</w:t>
            </w:r>
          </w:p>
          <w:p w14:paraId="36A91450" w14:textId="77777777" w:rsidR="002E474C" w:rsidRDefault="00000000">
            <w:pPr>
              <w:pStyle w:val="A-"/>
            </w:pPr>
            <w:r>
              <w:t>调</w:t>
            </w:r>
          </w:p>
          <w:p w14:paraId="0F7D24B8" w14:textId="77777777" w:rsidR="002E474C" w:rsidRDefault="00000000">
            <w:pPr>
              <w:pStyle w:val="A-"/>
            </w:pPr>
            <w:r>
              <w:t>查</w:t>
            </w:r>
          </w:p>
          <w:p w14:paraId="4EF670A6" w14:textId="77777777" w:rsidR="002E474C" w:rsidRDefault="00000000">
            <w:pPr>
              <w:pStyle w:val="A-"/>
            </w:pPr>
            <w:r>
              <w:t>内</w:t>
            </w:r>
          </w:p>
          <w:p w14:paraId="5F4C66EC" w14:textId="77777777" w:rsidR="002E474C" w:rsidRDefault="00000000">
            <w:pPr>
              <w:pStyle w:val="A-"/>
            </w:pPr>
            <w:r>
              <w:t>容</w:t>
            </w:r>
          </w:p>
        </w:tc>
        <w:tc>
          <w:tcPr>
            <w:tcW w:w="839" w:type="pct"/>
            <w:vAlign w:val="center"/>
          </w:tcPr>
          <w:p w14:paraId="111544AD" w14:textId="77777777" w:rsidR="002E474C" w:rsidRDefault="00000000">
            <w:pPr>
              <w:pStyle w:val="A-"/>
            </w:pPr>
            <w:r>
              <w:lastRenderedPageBreak/>
              <w:t>资料收集</w:t>
            </w:r>
          </w:p>
        </w:tc>
        <w:tc>
          <w:tcPr>
            <w:tcW w:w="3374" w:type="pct"/>
            <w:gridSpan w:val="6"/>
            <w:vAlign w:val="center"/>
          </w:tcPr>
          <w:p w14:paraId="77F86B9F" w14:textId="77777777" w:rsidR="002E474C" w:rsidRDefault="00000000">
            <w:pPr>
              <w:pStyle w:val="A-"/>
            </w:pPr>
            <w:r>
              <w:t>a</w:t>
            </w:r>
            <w:r>
              <w:t>）</w:t>
            </w:r>
            <w:r>
              <w:rPr>
                <w:spacing w:val="-10"/>
                <w:szCs w:val="22"/>
              </w:rPr>
              <w:sym w:font="Wingdings 2" w:char="0052"/>
            </w:r>
            <w:r>
              <w:t>；</w:t>
            </w:r>
            <w:r>
              <w:t>b</w:t>
            </w:r>
            <w:r>
              <w:t>）</w:t>
            </w:r>
            <w:r>
              <w:rPr>
                <w:spacing w:val="-10"/>
                <w:szCs w:val="22"/>
              </w:rPr>
              <w:sym w:font="Wingdings 2" w:char="0052"/>
            </w:r>
            <w:r>
              <w:t>；</w:t>
            </w:r>
            <w:r>
              <w:t>c</w:t>
            </w:r>
            <w:r>
              <w:t>）</w:t>
            </w:r>
            <w:r>
              <w:rPr>
                <w:spacing w:val="-10"/>
                <w:szCs w:val="22"/>
              </w:rPr>
              <w:sym w:font="Wingdings 2" w:char="0052"/>
            </w:r>
            <w:r>
              <w:t>；</w:t>
            </w:r>
            <w:r>
              <w:t>d</w:t>
            </w:r>
            <w:r>
              <w:t>）</w:t>
            </w:r>
            <w:r>
              <w:rPr>
                <w:spacing w:val="-10"/>
                <w:szCs w:val="22"/>
              </w:rPr>
              <w:sym w:font="Wingdings 2" w:char="0052"/>
            </w:r>
          </w:p>
        </w:tc>
        <w:tc>
          <w:tcPr>
            <w:tcW w:w="595" w:type="pct"/>
            <w:vAlign w:val="center"/>
          </w:tcPr>
          <w:p w14:paraId="1045BD9B" w14:textId="77777777" w:rsidR="002E474C" w:rsidRDefault="002E474C">
            <w:pPr>
              <w:pStyle w:val="A-"/>
            </w:pPr>
          </w:p>
        </w:tc>
      </w:tr>
      <w:tr w:rsidR="002E474C" w14:paraId="404BCAF3" w14:textId="77777777">
        <w:trPr>
          <w:trHeight w:val="23"/>
          <w:jc w:val="center"/>
        </w:trPr>
        <w:tc>
          <w:tcPr>
            <w:tcW w:w="192" w:type="pct"/>
            <w:vMerge/>
            <w:vAlign w:val="center"/>
          </w:tcPr>
          <w:p w14:paraId="16090828" w14:textId="77777777" w:rsidR="002E474C" w:rsidRDefault="002E474C">
            <w:pPr>
              <w:pStyle w:val="A-"/>
            </w:pPr>
          </w:p>
        </w:tc>
        <w:tc>
          <w:tcPr>
            <w:tcW w:w="839" w:type="pct"/>
            <w:vAlign w:val="center"/>
          </w:tcPr>
          <w:p w14:paraId="738A991B" w14:textId="77777777" w:rsidR="002E474C" w:rsidRDefault="00000000">
            <w:pPr>
              <w:pStyle w:val="A-"/>
            </w:pPr>
            <w:r>
              <w:t>理化特性</w:t>
            </w:r>
          </w:p>
        </w:tc>
        <w:tc>
          <w:tcPr>
            <w:tcW w:w="3374" w:type="pct"/>
            <w:gridSpan w:val="6"/>
            <w:vAlign w:val="center"/>
          </w:tcPr>
          <w:p w14:paraId="272091F4" w14:textId="77777777" w:rsidR="002E474C" w:rsidRDefault="00000000">
            <w:pPr>
              <w:pStyle w:val="A-"/>
            </w:pPr>
            <w:r>
              <w:t>黄色、块状、砂壤土、砂砾含量</w:t>
            </w:r>
            <w:r>
              <w:t>30%</w:t>
            </w:r>
            <w:r>
              <w:t>、氧化还原电位</w:t>
            </w:r>
            <w:r>
              <w:t>201~259mV</w:t>
            </w:r>
            <w:r>
              <w:t>、</w:t>
            </w:r>
            <w:r>
              <w:t>pH</w:t>
            </w:r>
            <w:r>
              <w:t>值</w:t>
            </w:r>
            <w:r>
              <w:t>8.05~8.57</w:t>
            </w:r>
            <w:r>
              <w:t>、阳离子交换量</w:t>
            </w:r>
            <w:r>
              <w:t>6.2~9.6cmol/kg</w:t>
            </w:r>
            <w:r>
              <w:t>、渗滤率</w:t>
            </w:r>
            <w:r>
              <w:t>6.18~6.32(mm/min)</w:t>
            </w:r>
            <w:r>
              <w:t>、土壤容重</w:t>
            </w:r>
            <w:r>
              <w:t>1.31~1.34g/cm</w:t>
            </w:r>
            <w:r>
              <w:rPr>
                <w:vertAlign w:val="superscript"/>
              </w:rPr>
              <w:t>3</w:t>
            </w:r>
            <w:r>
              <w:t>、孔隙度</w:t>
            </w:r>
            <w:r>
              <w:t>34.7~36.0%</w:t>
            </w:r>
          </w:p>
        </w:tc>
        <w:tc>
          <w:tcPr>
            <w:tcW w:w="595" w:type="pct"/>
            <w:vAlign w:val="center"/>
          </w:tcPr>
          <w:p w14:paraId="278BFBE8" w14:textId="77777777" w:rsidR="002E474C" w:rsidRDefault="00000000">
            <w:pPr>
              <w:pStyle w:val="A-"/>
            </w:pPr>
            <w:r>
              <w:t>表</w:t>
            </w:r>
            <w:r>
              <w:t>4.3</w:t>
            </w:r>
            <w:r>
              <w:noBreakHyphen/>
            </w:r>
            <w:r>
              <w:rPr>
                <w:rFonts w:hint="eastAsia"/>
              </w:rPr>
              <w:t>8</w:t>
            </w:r>
          </w:p>
        </w:tc>
      </w:tr>
      <w:tr w:rsidR="002E474C" w14:paraId="193D7640" w14:textId="77777777">
        <w:trPr>
          <w:trHeight w:val="23"/>
          <w:jc w:val="center"/>
        </w:trPr>
        <w:tc>
          <w:tcPr>
            <w:tcW w:w="192" w:type="pct"/>
            <w:vMerge/>
            <w:vAlign w:val="center"/>
          </w:tcPr>
          <w:p w14:paraId="36B593AF" w14:textId="77777777" w:rsidR="002E474C" w:rsidRDefault="002E474C">
            <w:pPr>
              <w:pStyle w:val="A-"/>
            </w:pPr>
          </w:p>
        </w:tc>
        <w:tc>
          <w:tcPr>
            <w:tcW w:w="839" w:type="pct"/>
            <w:vMerge w:val="restart"/>
            <w:vAlign w:val="center"/>
          </w:tcPr>
          <w:p w14:paraId="6EEF7E62" w14:textId="77777777" w:rsidR="002E474C" w:rsidRDefault="00000000">
            <w:pPr>
              <w:pStyle w:val="A-"/>
            </w:pPr>
            <w:r>
              <w:t>现状监测点位</w:t>
            </w:r>
          </w:p>
        </w:tc>
        <w:tc>
          <w:tcPr>
            <w:tcW w:w="855" w:type="pct"/>
            <w:gridSpan w:val="2"/>
            <w:vAlign w:val="center"/>
          </w:tcPr>
          <w:p w14:paraId="74D05F53" w14:textId="77777777" w:rsidR="002E474C" w:rsidRDefault="002E474C">
            <w:pPr>
              <w:pStyle w:val="A-"/>
            </w:pPr>
          </w:p>
        </w:tc>
        <w:tc>
          <w:tcPr>
            <w:tcW w:w="738" w:type="pct"/>
            <w:vAlign w:val="center"/>
          </w:tcPr>
          <w:p w14:paraId="78E5D861" w14:textId="77777777" w:rsidR="002E474C" w:rsidRDefault="00000000">
            <w:pPr>
              <w:pStyle w:val="A-"/>
            </w:pPr>
            <w:r>
              <w:t>占地范围内</w:t>
            </w:r>
          </w:p>
        </w:tc>
        <w:tc>
          <w:tcPr>
            <w:tcW w:w="723" w:type="pct"/>
            <w:gridSpan w:val="2"/>
            <w:vAlign w:val="center"/>
          </w:tcPr>
          <w:p w14:paraId="24AAEA5D" w14:textId="77777777" w:rsidR="002E474C" w:rsidRDefault="00000000">
            <w:pPr>
              <w:pStyle w:val="A-"/>
            </w:pPr>
            <w:r>
              <w:t>占地范围外</w:t>
            </w:r>
          </w:p>
        </w:tc>
        <w:tc>
          <w:tcPr>
            <w:tcW w:w="1058" w:type="pct"/>
            <w:vAlign w:val="center"/>
          </w:tcPr>
          <w:p w14:paraId="4BEDC5A1" w14:textId="77777777" w:rsidR="002E474C" w:rsidRDefault="00000000">
            <w:pPr>
              <w:pStyle w:val="A-"/>
            </w:pPr>
            <w:r>
              <w:t>深度（</w:t>
            </w:r>
            <w:r>
              <w:t>m</w:t>
            </w:r>
            <w:r>
              <w:t>）</w:t>
            </w:r>
          </w:p>
        </w:tc>
        <w:tc>
          <w:tcPr>
            <w:tcW w:w="595" w:type="pct"/>
            <w:vMerge w:val="restart"/>
            <w:vAlign w:val="center"/>
          </w:tcPr>
          <w:p w14:paraId="7BC39524" w14:textId="77777777" w:rsidR="002E474C" w:rsidRDefault="00000000">
            <w:pPr>
              <w:pStyle w:val="A-"/>
            </w:pPr>
            <w:r>
              <w:rPr>
                <w:rFonts w:hint="eastAsia"/>
              </w:rPr>
              <w:t>图</w:t>
            </w:r>
            <w:r>
              <w:rPr>
                <w:rFonts w:hint="eastAsia"/>
              </w:rPr>
              <w:t>4.3-2</w:t>
            </w:r>
          </w:p>
        </w:tc>
      </w:tr>
      <w:tr w:rsidR="002E474C" w14:paraId="121C4323" w14:textId="77777777">
        <w:trPr>
          <w:trHeight w:val="23"/>
          <w:jc w:val="center"/>
        </w:trPr>
        <w:tc>
          <w:tcPr>
            <w:tcW w:w="192" w:type="pct"/>
            <w:vMerge/>
            <w:vAlign w:val="center"/>
          </w:tcPr>
          <w:p w14:paraId="65EE2594" w14:textId="77777777" w:rsidR="002E474C" w:rsidRDefault="002E474C">
            <w:pPr>
              <w:pStyle w:val="A-"/>
            </w:pPr>
          </w:p>
        </w:tc>
        <w:tc>
          <w:tcPr>
            <w:tcW w:w="839" w:type="pct"/>
            <w:vMerge/>
            <w:vAlign w:val="center"/>
          </w:tcPr>
          <w:p w14:paraId="7C247EAC" w14:textId="77777777" w:rsidR="002E474C" w:rsidRDefault="002E474C">
            <w:pPr>
              <w:pStyle w:val="A-"/>
            </w:pPr>
          </w:p>
        </w:tc>
        <w:tc>
          <w:tcPr>
            <w:tcW w:w="855" w:type="pct"/>
            <w:gridSpan w:val="2"/>
            <w:vAlign w:val="center"/>
          </w:tcPr>
          <w:p w14:paraId="1F1C7982" w14:textId="77777777" w:rsidR="002E474C" w:rsidRDefault="00000000">
            <w:pPr>
              <w:pStyle w:val="A-"/>
            </w:pPr>
            <w:r>
              <w:t>表层样点数</w:t>
            </w:r>
          </w:p>
        </w:tc>
        <w:tc>
          <w:tcPr>
            <w:tcW w:w="738" w:type="pct"/>
            <w:vAlign w:val="center"/>
          </w:tcPr>
          <w:p w14:paraId="226E2ECB" w14:textId="77777777" w:rsidR="002E474C" w:rsidRDefault="00000000">
            <w:pPr>
              <w:pStyle w:val="A-"/>
            </w:pPr>
            <w:r>
              <w:t>1</w:t>
            </w:r>
          </w:p>
        </w:tc>
        <w:tc>
          <w:tcPr>
            <w:tcW w:w="723" w:type="pct"/>
            <w:gridSpan w:val="2"/>
            <w:vAlign w:val="center"/>
          </w:tcPr>
          <w:p w14:paraId="7805EEEB" w14:textId="77777777" w:rsidR="002E474C" w:rsidRDefault="00000000">
            <w:pPr>
              <w:pStyle w:val="A-"/>
            </w:pPr>
            <w:r>
              <w:t>2</w:t>
            </w:r>
          </w:p>
        </w:tc>
        <w:tc>
          <w:tcPr>
            <w:tcW w:w="1058" w:type="pct"/>
            <w:vAlign w:val="center"/>
          </w:tcPr>
          <w:p w14:paraId="16ABB106" w14:textId="77777777" w:rsidR="002E474C" w:rsidRDefault="00000000">
            <w:pPr>
              <w:pStyle w:val="A-"/>
            </w:pPr>
            <w:r>
              <w:t>0.2</w:t>
            </w:r>
          </w:p>
        </w:tc>
        <w:tc>
          <w:tcPr>
            <w:tcW w:w="595" w:type="pct"/>
            <w:vMerge/>
            <w:vAlign w:val="center"/>
          </w:tcPr>
          <w:p w14:paraId="53B2EC33" w14:textId="77777777" w:rsidR="002E474C" w:rsidRDefault="002E474C">
            <w:pPr>
              <w:pStyle w:val="A-"/>
            </w:pPr>
          </w:p>
        </w:tc>
      </w:tr>
      <w:tr w:rsidR="002E474C" w14:paraId="72338FA0" w14:textId="77777777">
        <w:trPr>
          <w:trHeight w:val="23"/>
          <w:jc w:val="center"/>
        </w:trPr>
        <w:tc>
          <w:tcPr>
            <w:tcW w:w="192" w:type="pct"/>
            <w:vMerge/>
            <w:vAlign w:val="center"/>
          </w:tcPr>
          <w:p w14:paraId="61484AB0" w14:textId="77777777" w:rsidR="002E474C" w:rsidRDefault="002E474C">
            <w:pPr>
              <w:pStyle w:val="A-"/>
            </w:pPr>
          </w:p>
        </w:tc>
        <w:tc>
          <w:tcPr>
            <w:tcW w:w="839" w:type="pct"/>
            <w:vMerge/>
            <w:vAlign w:val="center"/>
          </w:tcPr>
          <w:p w14:paraId="2D662BE3" w14:textId="77777777" w:rsidR="002E474C" w:rsidRDefault="002E474C">
            <w:pPr>
              <w:pStyle w:val="A-"/>
            </w:pPr>
          </w:p>
        </w:tc>
        <w:tc>
          <w:tcPr>
            <w:tcW w:w="855" w:type="pct"/>
            <w:gridSpan w:val="2"/>
            <w:vAlign w:val="center"/>
          </w:tcPr>
          <w:p w14:paraId="43AE7729" w14:textId="77777777" w:rsidR="002E474C" w:rsidRDefault="00000000">
            <w:pPr>
              <w:pStyle w:val="A-"/>
            </w:pPr>
            <w:r>
              <w:t>柱状样点数</w:t>
            </w:r>
          </w:p>
        </w:tc>
        <w:tc>
          <w:tcPr>
            <w:tcW w:w="738" w:type="pct"/>
            <w:vAlign w:val="center"/>
          </w:tcPr>
          <w:p w14:paraId="171E359E" w14:textId="77777777" w:rsidR="002E474C" w:rsidRDefault="00000000">
            <w:pPr>
              <w:pStyle w:val="A-"/>
            </w:pPr>
            <w:r>
              <w:t>3</w:t>
            </w:r>
          </w:p>
        </w:tc>
        <w:tc>
          <w:tcPr>
            <w:tcW w:w="723" w:type="pct"/>
            <w:gridSpan w:val="2"/>
            <w:vAlign w:val="center"/>
          </w:tcPr>
          <w:p w14:paraId="7CFB9A14" w14:textId="77777777" w:rsidR="002E474C" w:rsidRDefault="00000000">
            <w:pPr>
              <w:pStyle w:val="A-"/>
            </w:pPr>
            <w:r>
              <w:t>0</w:t>
            </w:r>
          </w:p>
        </w:tc>
        <w:tc>
          <w:tcPr>
            <w:tcW w:w="1058" w:type="pct"/>
            <w:vAlign w:val="center"/>
          </w:tcPr>
          <w:p w14:paraId="5B52ED7F" w14:textId="77777777" w:rsidR="002E474C" w:rsidRDefault="00000000">
            <w:pPr>
              <w:pStyle w:val="A-"/>
            </w:pPr>
            <w:r>
              <w:t>0.5</w:t>
            </w:r>
            <w:r>
              <w:t>、</w:t>
            </w:r>
            <w:r>
              <w:t>1.5</w:t>
            </w:r>
            <w:r>
              <w:t>、</w:t>
            </w:r>
            <w:r>
              <w:t>3</w:t>
            </w:r>
          </w:p>
        </w:tc>
        <w:tc>
          <w:tcPr>
            <w:tcW w:w="595" w:type="pct"/>
            <w:vMerge/>
            <w:vAlign w:val="center"/>
          </w:tcPr>
          <w:p w14:paraId="176E0146" w14:textId="77777777" w:rsidR="002E474C" w:rsidRDefault="002E474C">
            <w:pPr>
              <w:pStyle w:val="A-"/>
            </w:pPr>
          </w:p>
        </w:tc>
      </w:tr>
      <w:tr w:rsidR="002E474C" w14:paraId="537907E9" w14:textId="77777777">
        <w:trPr>
          <w:trHeight w:val="471"/>
          <w:jc w:val="center"/>
        </w:trPr>
        <w:tc>
          <w:tcPr>
            <w:tcW w:w="192" w:type="pct"/>
            <w:vMerge/>
            <w:vAlign w:val="center"/>
          </w:tcPr>
          <w:p w14:paraId="3F19EBFB" w14:textId="77777777" w:rsidR="002E474C" w:rsidRDefault="002E474C">
            <w:pPr>
              <w:pStyle w:val="A-"/>
            </w:pPr>
          </w:p>
        </w:tc>
        <w:tc>
          <w:tcPr>
            <w:tcW w:w="839" w:type="pct"/>
            <w:vAlign w:val="center"/>
          </w:tcPr>
          <w:p w14:paraId="607EC397" w14:textId="77777777" w:rsidR="002E474C" w:rsidRDefault="00000000">
            <w:pPr>
              <w:pStyle w:val="A-"/>
            </w:pPr>
            <w:r>
              <w:t>现状监测因子</w:t>
            </w:r>
          </w:p>
        </w:tc>
        <w:tc>
          <w:tcPr>
            <w:tcW w:w="3374" w:type="pct"/>
            <w:gridSpan w:val="6"/>
            <w:vAlign w:val="center"/>
          </w:tcPr>
          <w:p w14:paraId="7A2255AA" w14:textId="77777777" w:rsidR="002E474C" w:rsidRDefault="00000000">
            <w:pPr>
              <w:pStyle w:val="A-"/>
            </w:pPr>
            <w:r>
              <w:t>重金属及特征污染物：</w:t>
            </w:r>
            <w:r>
              <w:t>pH</w:t>
            </w:r>
            <w:r>
              <w:t>、砷、镉、铬（六价）、铜、铅、汞、镍、钴、钒、氰化物、石油烃、二噁英类共计</w:t>
            </w:r>
            <w:r>
              <w:t>13</w:t>
            </w:r>
            <w:r>
              <w:t>项；</w:t>
            </w:r>
            <w:r>
              <w:t>②</w:t>
            </w:r>
            <w:r>
              <w:t>挥发性有机物：四氯化碳、氯仿、氯甲烷、</w:t>
            </w:r>
            <w:r>
              <w:t>1</w:t>
            </w:r>
            <w:r>
              <w:t>，</w:t>
            </w:r>
            <w:r>
              <w:t>1-</w:t>
            </w:r>
            <w:r>
              <w:t>二氯乙烷、</w:t>
            </w:r>
            <w:r>
              <w:t>1</w:t>
            </w:r>
            <w:r>
              <w:t>，</w:t>
            </w:r>
            <w:r>
              <w:t>2-</w:t>
            </w:r>
            <w:r>
              <w:t>二氯乙烷、</w:t>
            </w:r>
            <w:r>
              <w:t>1</w:t>
            </w:r>
            <w:r>
              <w:t>，</w:t>
            </w:r>
            <w:r>
              <w:t>1-</w:t>
            </w:r>
            <w:r>
              <w:t>二氯乙烯、顺</w:t>
            </w:r>
            <w:r>
              <w:t>-1</w:t>
            </w:r>
            <w:r>
              <w:t>，</w:t>
            </w:r>
            <w:r>
              <w:t>2-</w:t>
            </w:r>
            <w:r>
              <w:t>二氯乙烯、反</w:t>
            </w:r>
            <w:r>
              <w:t>-1</w:t>
            </w:r>
            <w:r>
              <w:t>，</w:t>
            </w:r>
            <w:r>
              <w:t>2-</w:t>
            </w:r>
            <w:r>
              <w:t>二氯乙烯、二氯甲烷、</w:t>
            </w:r>
            <w:r>
              <w:t>1</w:t>
            </w:r>
            <w:r>
              <w:t>，</w:t>
            </w:r>
            <w:r>
              <w:t>2-</w:t>
            </w:r>
            <w:r>
              <w:t>二氯丙烷、</w:t>
            </w:r>
            <w:r>
              <w:t>1</w:t>
            </w:r>
            <w:r>
              <w:t>，</w:t>
            </w:r>
            <w:r>
              <w:t>1</w:t>
            </w:r>
            <w:r>
              <w:t>，</w:t>
            </w:r>
            <w:r>
              <w:t>1</w:t>
            </w:r>
            <w:r>
              <w:t>，</w:t>
            </w:r>
            <w:r>
              <w:t>2-</w:t>
            </w:r>
            <w:r>
              <w:t>四氯乙烷、</w:t>
            </w:r>
            <w:r>
              <w:t>1</w:t>
            </w:r>
            <w:r>
              <w:t>，</w:t>
            </w:r>
            <w:r>
              <w:t>1</w:t>
            </w:r>
            <w:r>
              <w:t>，</w:t>
            </w:r>
            <w:r>
              <w:t>2</w:t>
            </w:r>
            <w:r>
              <w:t>，</w:t>
            </w:r>
            <w:r>
              <w:t>2-</w:t>
            </w:r>
            <w:r>
              <w:t>四氯乙烷、四氯乙烯、</w:t>
            </w:r>
            <w:r>
              <w:t>1</w:t>
            </w:r>
            <w:r>
              <w:t>，</w:t>
            </w:r>
            <w:r>
              <w:t>1</w:t>
            </w:r>
            <w:r>
              <w:t>，</w:t>
            </w:r>
            <w:r>
              <w:t>1-</w:t>
            </w:r>
            <w:r>
              <w:t>三氯乙烷、</w:t>
            </w:r>
            <w:r>
              <w:t>1</w:t>
            </w:r>
            <w:r>
              <w:t>，</w:t>
            </w:r>
            <w:r>
              <w:t>1</w:t>
            </w:r>
            <w:r>
              <w:t>，</w:t>
            </w:r>
            <w:r>
              <w:t>2-</w:t>
            </w:r>
            <w:r>
              <w:t>三氯乙烷、三氯乙烯、</w:t>
            </w:r>
            <w:r>
              <w:t>1</w:t>
            </w:r>
            <w:r>
              <w:t>，</w:t>
            </w:r>
            <w:r>
              <w:t>2</w:t>
            </w:r>
            <w:r>
              <w:t>，</w:t>
            </w:r>
            <w:r>
              <w:t>3-</w:t>
            </w:r>
            <w:r>
              <w:t>三氯丙烷、氯乙烯、苯、氯苯、</w:t>
            </w:r>
            <w:r>
              <w:t>1</w:t>
            </w:r>
            <w:r>
              <w:t>，</w:t>
            </w:r>
            <w:r>
              <w:t>2-</w:t>
            </w:r>
            <w:r>
              <w:t>二氯苯、</w:t>
            </w:r>
            <w:r>
              <w:t>1</w:t>
            </w:r>
            <w:r>
              <w:t>，</w:t>
            </w:r>
            <w:r>
              <w:t>4-</w:t>
            </w:r>
            <w:r>
              <w:t>二氯苯、乙苯、苯乙烯、甲苯、间二甲苯</w:t>
            </w:r>
            <w:r>
              <w:t>+</w:t>
            </w:r>
            <w:r>
              <w:t>对二甲苯、邻二甲苯，共计</w:t>
            </w:r>
            <w:r>
              <w:t>27</w:t>
            </w:r>
            <w:r>
              <w:t>项；</w:t>
            </w:r>
            <w:r>
              <w:t>③</w:t>
            </w:r>
            <w:r>
              <w:t>半挥发性有机物：硝基苯、苯胺、</w:t>
            </w:r>
            <w:r>
              <w:t>2-</w:t>
            </w:r>
            <w:r>
              <w:t>氯酚、苯并〔</w:t>
            </w:r>
            <w:r>
              <w:t>a</w:t>
            </w:r>
            <w:r>
              <w:t>〕蒽、苯并〔</w:t>
            </w:r>
            <w:r>
              <w:t>a</w:t>
            </w:r>
            <w:r>
              <w:t>〕芘、苯并〔</w:t>
            </w:r>
            <w:r>
              <w:t>b</w:t>
            </w:r>
            <w:r>
              <w:t>〕荧蒽、苯并〔</w:t>
            </w:r>
            <w:r>
              <w:t>k</w:t>
            </w:r>
            <w:r>
              <w:t>〕荧蒽、䓛、二苯并〔</w:t>
            </w:r>
            <w:r>
              <w:t>a</w:t>
            </w:r>
            <w:r>
              <w:t>，</w:t>
            </w:r>
            <w:r>
              <w:t>h</w:t>
            </w:r>
            <w:r>
              <w:t>〕蒽、茚并〔</w:t>
            </w:r>
            <w:r>
              <w:t>1</w:t>
            </w:r>
            <w:r>
              <w:t>，</w:t>
            </w:r>
            <w:r>
              <w:t>2</w:t>
            </w:r>
            <w:r>
              <w:t>，</w:t>
            </w:r>
            <w:r>
              <w:t>3</w:t>
            </w:r>
            <w:r>
              <w:t>，</w:t>
            </w:r>
            <w:r>
              <w:t>-cd</w:t>
            </w:r>
            <w:r>
              <w:t>〕芘、萘，共计</w:t>
            </w:r>
            <w:r>
              <w:t>11</w:t>
            </w:r>
            <w:r>
              <w:t>项。检测项目共</w:t>
            </w:r>
            <w:r>
              <w:t>51</w:t>
            </w:r>
            <w:r>
              <w:t>项。</w:t>
            </w:r>
          </w:p>
        </w:tc>
        <w:tc>
          <w:tcPr>
            <w:tcW w:w="595" w:type="pct"/>
            <w:vAlign w:val="center"/>
          </w:tcPr>
          <w:p w14:paraId="123D447C" w14:textId="77777777" w:rsidR="002E474C" w:rsidRDefault="002E474C">
            <w:pPr>
              <w:pStyle w:val="A-"/>
            </w:pPr>
          </w:p>
        </w:tc>
      </w:tr>
      <w:tr w:rsidR="002E474C" w14:paraId="7DF115F7" w14:textId="77777777">
        <w:trPr>
          <w:trHeight w:val="23"/>
          <w:jc w:val="center"/>
        </w:trPr>
        <w:tc>
          <w:tcPr>
            <w:tcW w:w="192" w:type="pct"/>
            <w:vMerge w:val="restart"/>
            <w:vAlign w:val="center"/>
          </w:tcPr>
          <w:p w14:paraId="65315EB1" w14:textId="77777777" w:rsidR="002E474C" w:rsidRDefault="00000000">
            <w:pPr>
              <w:pStyle w:val="A-"/>
            </w:pPr>
            <w:r>
              <w:t>现</w:t>
            </w:r>
          </w:p>
          <w:p w14:paraId="320A9F77" w14:textId="77777777" w:rsidR="002E474C" w:rsidRDefault="00000000">
            <w:pPr>
              <w:pStyle w:val="A-"/>
            </w:pPr>
            <w:r>
              <w:t>状</w:t>
            </w:r>
          </w:p>
          <w:p w14:paraId="5C947909" w14:textId="77777777" w:rsidR="002E474C" w:rsidRDefault="00000000">
            <w:pPr>
              <w:pStyle w:val="A-"/>
            </w:pPr>
            <w:r>
              <w:t>评</w:t>
            </w:r>
          </w:p>
          <w:p w14:paraId="46F4422F" w14:textId="77777777" w:rsidR="002E474C" w:rsidRDefault="00000000">
            <w:pPr>
              <w:pStyle w:val="A-"/>
            </w:pPr>
            <w:r>
              <w:t>价</w:t>
            </w:r>
          </w:p>
        </w:tc>
        <w:tc>
          <w:tcPr>
            <w:tcW w:w="839" w:type="pct"/>
            <w:vAlign w:val="center"/>
          </w:tcPr>
          <w:p w14:paraId="239BDED7" w14:textId="77777777" w:rsidR="002E474C" w:rsidRDefault="00000000">
            <w:pPr>
              <w:pStyle w:val="A-"/>
            </w:pPr>
            <w:r>
              <w:t>评价因子</w:t>
            </w:r>
          </w:p>
        </w:tc>
        <w:tc>
          <w:tcPr>
            <w:tcW w:w="3374" w:type="pct"/>
            <w:gridSpan w:val="6"/>
            <w:vAlign w:val="center"/>
          </w:tcPr>
          <w:p w14:paraId="2DC0A8CF" w14:textId="77777777" w:rsidR="002E474C" w:rsidRDefault="00000000">
            <w:pPr>
              <w:pStyle w:val="A-"/>
            </w:pPr>
            <w:r>
              <w:t>同监测因子</w:t>
            </w:r>
          </w:p>
        </w:tc>
        <w:tc>
          <w:tcPr>
            <w:tcW w:w="595" w:type="pct"/>
            <w:vAlign w:val="center"/>
          </w:tcPr>
          <w:p w14:paraId="5318EAB5" w14:textId="77777777" w:rsidR="002E474C" w:rsidRDefault="002E474C">
            <w:pPr>
              <w:pStyle w:val="A-"/>
            </w:pPr>
          </w:p>
        </w:tc>
      </w:tr>
      <w:tr w:rsidR="002E474C" w14:paraId="1AC2DFF1" w14:textId="77777777">
        <w:trPr>
          <w:trHeight w:val="23"/>
          <w:jc w:val="center"/>
        </w:trPr>
        <w:tc>
          <w:tcPr>
            <w:tcW w:w="192" w:type="pct"/>
            <w:vMerge/>
            <w:vAlign w:val="center"/>
          </w:tcPr>
          <w:p w14:paraId="24E49A5F" w14:textId="77777777" w:rsidR="002E474C" w:rsidRDefault="002E474C">
            <w:pPr>
              <w:pStyle w:val="A-"/>
            </w:pPr>
          </w:p>
        </w:tc>
        <w:tc>
          <w:tcPr>
            <w:tcW w:w="839" w:type="pct"/>
            <w:vAlign w:val="center"/>
          </w:tcPr>
          <w:p w14:paraId="7102E8E1" w14:textId="77777777" w:rsidR="002E474C" w:rsidRDefault="00000000">
            <w:pPr>
              <w:pStyle w:val="A-"/>
            </w:pPr>
            <w:r>
              <w:t>评价标准</w:t>
            </w:r>
          </w:p>
        </w:tc>
        <w:tc>
          <w:tcPr>
            <w:tcW w:w="3374" w:type="pct"/>
            <w:gridSpan w:val="6"/>
            <w:vAlign w:val="center"/>
          </w:tcPr>
          <w:p w14:paraId="17ACECB0" w14:textId="77777777" w:rsidR="002E474C" w:rsidRDefault="00000000">
            <w:pPr>
              <w:pStyle w:val="A-"/>
            </w:pPr>
            <w:r>
              <w:t>GB 15618□</w:t>
            </w:r>
            <w:r>
              <w:t>；</w:t>
            </w:r>
            <w:r>
              <w:t>GB 36600</w:t>
            </w:r>
            <w:r>
              <w:sym w:font="Wingdings 2" w:char="0052"/>
            </w:r>
            <w:r>
              <w:t>；表</w:t>
            </w:r>
            <w:r>
              <w:t>D.1□</w:t>
            </w:r>
            <w:r>
              <w:t>；表</w:t>
            </w:r>
            <w:r>
              <w:t xml:space="preserve"> D.2□</w:t>
            </w:r>
            <w:r>
              <w:t>；其他（）</w:t>
            </w:r>
          </w:p>
        </w:tc>
        <w:tc>
          <w:tcPr>
            <w:tcW w:w="595" w:type="pct"/>
            <w:vAlign w:val="center"/>
          </w:tcPr>
          <w:p w14:paraId="6000D39C" w14:textId="77777777" w:rsidR="002E474C" w:rsidRDefault="002E474C">
            <w:pPr>
              <w:pStyle w:val="A-"/>
            </w:pPr>
          </w:p>
        </w:tc>
      </w:tr>
      <w:tr w:rsidR="002E474C" w14:paraId="5B0C521E" w14:textId="77777777">
        <w:trPr>
          <w:trHeight w:val="23"/>
          <w:jc w:val="center"/>
        </w:trPr>
        <w:tc>
          <w:tcPr>
            <w:tcW w:w="192" w:type="pct"/>
            <w:vMerge/>
            <w:vAlign w:val="center"/>
          </w:tcPr>
          <w:p w14:paraId="4115D2FA" w14:textId="77777777" w:rsidR="002E474C" w:rsidRDefault="002E474C">
            <w:pPr>
              <w:pStyle w:val="A-"/>
            </w:pPr>
          </w:p>
        </w:tc>
        <w:tc>
          <w:tcPr>
            <w:tcW w:w="839" w:type="pct"/>
            <w:vAlign w:val="center"/>
          </w:tcPr>
          <w:p w14:paraId="7D4BA406" w14:textId="77777777" w:rsidR="002E474C" w:rsidRDefault="00000000">
            <w:pPr>
              <w:pStyle w:val="A-"/>
            </w:pPr>
            <w:r>
              <w:t>现状评价结论</w:t>
            </w:r>
          </w:p>
        </w:tc>
        <w:tc>
          <w:tcPr>
            <w:tcW w:w="3374" w:type="pct"/>
            <w:gridSpan w:val="6"/>
            <w:vAlign w:val="center"/>
          </w:tcPr>
          <w:p w14:paraId="59E066E6" w14:textId="77777777" w:rsidR="002E474C" w:rsidRDefault="00000000">
            <w:pPr>
              <w:pStyle w:val="A-"/>
            </w:pPr>
            <w:r>
              <w:t>各监测点土壤中的各监测因子均能满足《土壤环境质量标准</w:t>
            </w:r>
            <w:r>
              <w:t xml:space="preserve"> </w:t>
            </w:r>
            <w:r>
              <w:t>建设用地土壤污染风险管控标准（试行）》（</w:t>
            </w:r>
            <w:r>
              <w:t>GB36600-2018</w:t>
            </w:r>
            <w:r>
              <w:t>）第二类用地筛选值。</w:t>
            </w:r>
          </w:p>
        </w:tc>
        <w:tc>
          <w:tcPr>
            <w:tcW w:w="595" w:type="pct"/>
            <w:vAlign w:val="center"/>
          </w:tcPr>
          <w:p w14:paraId="10D874FA" w14:textId="77777777" w:rsidR="002E474C" w:rsidRDefault="002E474C">
            <w:pPr>
              <w:pStyle w:val="A-"/>
            </w:pPr>
          </w:p>
        </w:tc>
      </w:tr>
      <w:tr w:rsidR="002E474C" w14:paraId="4FF48065" w14:textId="77777777">
        <w:trPr>
          <w:trHeight w:val="23"/>
          <w:jc w:val="center"/>
        </w:trPr>
        <w:tc>
          <w:tcPr>
            <w:tcW w:w="192" w:type="pct"/>
            <w:vMerge w:val="restart"/>
            <w:vAlign w:val="center"/>
          </w:tcPr>
          <w:p w14:paraId="02B724B1" w14:textId="77777777" w:rsidR="002E474C" w:rsidRDefault="00000000">
            <w:pPr>
              <w:pStyle w:val="A-"/>
            </w:pPr>
            <w:r>
              <w:t>影</w:t>
            </w:r>
          </w:p>
          <w:p w14:paraId="47073AF8" w14:textId="77777777" w:rsidR="002E474C" w:rsidRDefault="00000000">
            <w:pPr>
              <w:pStyle w:val="A-"/>
            </w:pPr>
            <w:r>
              <w:t>响</w:t>
            </w:r>
          </w:p>
          <w:p w14:paraId="7B6E1D6D" w14:textId="77777777" w:rsidR="002E474C" w:rsidRDefault="00000000">
            <w:pPr>
              <w:pStyle w:val="A-"/>
            </w:pPr>
            <w:r>
              <w:t>预</w:t>
            </w:r>
          </w:p>
          <w:p w14:paraId="4A6BCD91" w14:textId="77777777" w:rsidR="002E474C" w:rsidRDefault="00000000">
            <w:pPr>
              <w:pStyle w:val="A-"/>
            </w:pPr>
            <w:r>
              <w:t>测</w:t>
            </w:r>
          </w:p>
        </w:tc>
        <w:tc>
          <w:tcPr>
            <w:tcW w:w="839" w:type="pct"/>
            <w:vAlign w:val="center"/>
          </w:tcPr>
          <w:p w14:paraId="24BA0DF7" w14:textId="77777777" w:rsidR="002E474C" w:rsidRDefault="00000000">
            <w:pPr>
              <w:pStyle w:val="A-"/>
            </w:pPr>
            <w:r>
              <w:t>预测因子</w:t>
            </w:r>
          </w:p>
        </w:tc>
        <w:tc>
          <w:tcPr>
            <w:tcW w:w="3374" w:type="pct"/>
            <w:gridSpan w:val="6"/>
            <w:vAlign w:val="center"/>
          </w:tcPr>
          <w:p w14:paraId="01B97091" w14:textId="77777777" w:rsidR="002E474C" w:rsidRDefault="00000000">
            <w:pPr>
              <w:pStyle w:val="A-"/>
            </w:pPr>
            <w:r>
              <w:t>汞、砷、镉、铬、铅、</w:t>
            </w:r>
            <w:r>
              <w:t>COD</w:t>
            </w:r>
            <w:r>
              <w:t>、二噁英类</w:t>
            </w:r>
            <w:r>
              <w:rPr>
                <w:rFonts w:hint="eastAsia"/>
              </w:rPr>
              <w:t>、石油烃</w:t>
            </w:r>
          </w:p>
          <w:p w14:paraId="10B691DA" w14:textId="77777777" w:rsidR="002E474C" w:rsidRDefault="002E474C">
            <w:pPr>
              <w:pStyle w:val="A-"/>
            </w:pPr>
          </w:p>
        </w:tc>
        <w:tc>
          <w:tcPr>
            <w:tcW w:w="595" w:type="pct"/>
            <w:vAlign w:val="center"/>
          </w:tcPr>
          <w:p w14:paraId="470618DC" w14:textId="77777777" w:rsidR="002E474C" w:rsidRDefault="002E474C">
            <w:pPr>
              <w:pStyle w:val="A-"/>
            </w:pPr>
          </w:p>
        </w:tc>
      </w:tr>
      <w:tr w:rsidR="002E474C" w14:paraId="4386073A" w14:textId="77777777">
        <w:trPr>
          <w:trHeight w:val="23"/>
          <w:jc w:val="center"/>
        </w:trPr>
        <w:tc>
          <w:tcPr>
            <w:tcW w:w="192" w:type="pct"/>
            <w:vMerge/>
            <w:vAlign w:val="center"/>
          </w:tcPr>
          <w:p w14:paraId="71EE7FAD" w14:textId="77777777" w:rsidR="002E474C" w:rsidRDefault="002E474C">
            <w:pPr>
              <w:pStyle w:val="A-"/>
            </w:pPr>
          </w:p>
        </w:tc>
        <w:tc>
          <w:tcPr>
            <w:tcW w:w="839" w:type="pct"/>
            <w:vAlign w:val="center"/>
          </w:tcPr>
          <w:p w14:paraId="65A4F9A5" w14:textId="77777777" w:rsidR="002E474C" w:rsidRDefault="00000000">
            <w:pPr>
              <w:pStyle w:val="A-"/>
            </w:pPr>
            <w:r>
              <w:t>预测方法</w:t>
            </w:r>
          </w:p>
        </w:tc>
        <w:tc>
          <w:tcPr>
            <w:tcW w:w="3374" w:type="pct"/>
            <w:gridSpan w:val="6"/>
            <w:vAlign w:val="center"/>
          </w:tcPr>
          <w:p w14:paraId="050A1B11" w14:textId="77777777" w:rsidR="002E474C" w:rsidRDefault="00000000">
            <w:pPr>
              <w:pStyle w:val="A-"/>
            </w:pPr>
            <w:r>
              <w:t>附录</w:t>
            </w:r>
            <w:r>
              <w:rPr>
                <w:spacing w:val="-46"/>
              </w:rPr>
              <w:t xml:space="preserve"> </w:t>
            </w:r>
            <w:r>
              <w:t>E</w:t>
            </w:r>
            <w:r>
              <w:rPr>
                <w:spacing w:val="-10"/>
                <w:szCs w:val="22"/>
              </w:rPr>
              <w:sym w:font="Wingdings 2" w:char="0052"/>
            </w:r>
            <w:r>
              <w:t>；附录</w:t>
            </w:r>
            <w:r>
              <w:rPr>
                <w:spacing w:val="-45"/>
              </w:rPr>
              <w:t xml:space="preserve"> </w:t>
            </w:r>
            <w:r>
              <w:t>F□</w:t>
            </w:r>
            <w:r>
              <w:t>；其他（</w:t>
            </w:r>
            <w:r>
              <w:t xml:space="preserve">   </w:t>
            </w:r>
            <w:r>
              <w:t>）</w:t>
            </w:r>
          </w:p>
        </w:tc>
        <w:tc>
          <w:tcPr>
            <w:tcW w:w="595" w:type="pct"/>
            <w:vAlign w:val="center"/>
          </w:tcPr>
          <w:p w14:paraId="6FBD12C5" w14:textId="77777777" w:rsidR="002E474C" w:rsidRDefault="002E474C">
            <w:pPr>
              <w:pStyle w:val="A-"/>
            </w:pPr>
          </w:p>
        </w:tc>
      </w:tr>
      <w:tr w:rsidR="002E474C" w14:paraId="573C53C8" w14:textId="77777777">
        <w:trPr>
          <w:trHeight w:val="23"/>
          <w:jc w:val="center"/>
        </w:trPr>
        <w:tc>
          <w:tcPr>
            <w:tcW w:w="192" w:type="pct"/>
            <w:vMerge/>
            <w:vAlign w:val="center"/>
          </w:tcPr>
          <w:p w14:paraId="07D0190F" w14:textId="77777777" w:rsidR="002E474C" w:rsidRDefault="002E474C">
            <w:pPr>
              <w:pStyle w:val="A-"/>
            </w:pPr>
          </w:p>
        </w:tc>
        <w:tc>
          <w:tcPr>
            <w:tcW w:w="839" w:type="pct"/>
            <w:vAlign w:val="center"/>
          </w:tcPr>
          <w:p w14:paraId="555E17E2" w14:textId="77777777" w:rsidR="002E474C" w:rsidRDefault="00000000">
            <w:pPr>
              <w:pStyle w:val="A-"/>
            </w:pPr>
            <w:r>
              <w:t>预测分析内容</w:t>
            </w:r>
          </w:p>
        </w:tc>
        <w:tc>
          <w:tcPr>
            <w:tcW w:w="3374" w:type="pct"/>
            <w:gridSpan w:val="6"/>
            <w:vAlign w:val="center"/>
          </w:tcPr>
          <w:p w14:paraId="15C7253A" w14:textId="77777777" w:rsidR="002E474C" w:rsidRDefault="00000000">
            <w:pPr>
              <w:pStyle w:val="A-"/>
            </w:pPr>
            <w:r>
              <w:t>影响范围（</w:t>
            </w:r>
            <w:r>
              <w:t>200m</w:t>
            </w:r>
            <w:r>
              <w:t>）</w:t>
            </w:r>
          </w:p>
          <w:p w14:paraId="13EBD9AC" w14:textId="77777777" w:rsidR="002E474C" w:rsidRDefault="00000000">
            <w:pPr>
              <w:pStyle w:val="A-"/>
            </w:pPr>
            <w:r>
              <w:t>影响程度（</w:t>
            </w:r>
            <w:r>
              <w:t xml:space="preserve"> </w:t>
            </w:r>
            <w:r>
              <w:t>小</w:t>
            </w:r>
            <w:r>
              <w:t xml:space="preserve">  </w:t>
            </w:r>
            <w:r>
              <w:t>）</w:t>
            </w:r>
          </w:p>
        </w:tc>
        <w:tc>
          <w:tcPr>
            <w:tcW w:w="595" w:type="pct"/>
            <w:vAlign w:val="center"/>
          </w:tcPr>
          <w:p w14:paraId="5A0A466B" w14:textId="77777777" w:rsidR="002E474C" w:rsidRDefault="002E474C">
            <w:pPr>
              <w:pStyle w:val="A-"/>
            </w:pPr>
          </w:p>
        </w:tc>
      </w:tr>
      <w:tr w:rsidR="002E474C" w14:paraId="5F2B905A" w14:textId="77777777">
        <w:trPr>
          <w:trHeight w:val="23"/>
          <w:jc w:val="center"/>
        </w:trPr>
        <w:tc>
          <w:tcPr>
            <w:tcW w:w="192" w:type="pct"/>
            <w:vMerge/>
            <w:vAlign w:val="center"/>
          </w:tcPr>
          <w:p w14:paraId="4067027D" w14:textId="77777777" w:rsidR="002E474C" w:rsidRDefault="002E474C">
            <w:pPr>
              <w:pStyle w:val="A-"/>
            </w:pPr>
          </w:p>
        </w:tc>
        <w:tc>
          <w:tcPr>
            <w:tcW w:w="839" w:type="pct"/>
            <w:vAlign w:val="center"/>
          </w:tcPr>
          <w:p w14:paraId="4AD73F4A" w14:textId="77777777" w:rsidR="002E474C" w:rsidRDefault="00000000">
            <w:pPr>
              <w:pStyle w:val="A-"/>
            </w:pPr>
            <w:r>
              <w:t>预测结论</w:t>
            </w:r>
          </w:p>
        </w:tc>
        <w:tc>
          <w:tcPr>
            <w:tcW w:w="3374" w:type="pct"/>
            <w:gridSpan w:val="6"/>
            <w:vAlign w:val="center"/>
          </w:tcPr>
          <w:p w14:paraId="3EA3D778" w14:textId="77777777" w:rsidR="002E474C" w:rsidRDefault="00000000">
            <w:pPr>
              <w:pStyle w:val="A-"/>
            </w:pPr>
            <w:r>
              <w:t>达标结论：</w:t>
            </w:r>
            <w:r>
              <w:t>a</w:t>
            </w:r>
            <w:r>
              <w:t>）</w:t>
            </w:r>
            <w:r>
              <w:rPr>
                <w:spacing w:val="-10"/>
                <w:szCs w:val="22"/>
              </w:rPr>
              <w:sym w:font="Wingdings 2" w:char="0052"/>
            </w:r>
            <w:r>
              <w:t>；</w:t>
            </w:r>
            <w:r>
              <w:t>b</w:t>
            </w:r>
            <w:r>
              <w:t>）</w:t>
            </w:r>
            <w:r>
              <w:t>□</w:t>
            </w:r>
            <w:r>
              <w:t>；</w:t>
            </w:r>
            <w:r>
              <w:t>c</w:t>
            </w:r>
            <w:r>
              <w:t>）</w:t>
            </w:r>
            <w:r>
              <w:t>□</w:t>
            </w:r>
          </w:p>
          <w:p w14:paraId="2E8DEB6A" w14:textId="77777777" w:rsidR="002E474C" w:rsidRDefault="00000000">
            <w:pPr>
              <w:pStyle w:val="A-"/>
            </w:pPr>
            <w:r>
              <w:t>不达标结论：</w:t>
            </w:r>
            <w:r>
              <w:t>a</w:t>
            </w:r>
            <w:r>
              <w:t>）</w:t>
            </w:r>
            <w:r>
              <w:t>□</w:t>
            </w:r>
            <w:r>
              <w:t>；</w:t>
            </w:r>
            <w:r>
              <w:t>b</w:t>
            </w:r>
            <w:r>
              <w:t>）</w:t>
            </w:r>
            <w:r>
              <w:t>□</w:t>
            </w:r>
          </w:p>
        </w:tc>
        <w:tc>
          <w:tcPr>
            <w:tcW w:w="595" w:type="pct"/>
            <w:vAlign w:val="center"/>
          </w:tcPr>
          <w:p w14:paraId="158D0CAA" w14:textId="77777777" w:rsidR="002E474C" w:rsidRDefault="002E474C">
            <w:pPr>
              <w:pStyle w:val="A-"/>
            </w:pPr>
          </w:p>
        </w:tc>
      </w:tr>
      <w:tr w:rsidR="002E474C" w14:paraId="088BF9F5" w14:textId="77777777">
        <w:trPr>
          <w:trHeight w:val="23"/>
          <w:jc w:val="center"/>
        </w:trPr>
        <w:tc>
          <w:tcPr>
            <w:tcW w:w="192" w:type="pct"/>
            <w:vMerge w:val="restart"/>
            <w:vAlign w:val="center"/>
          </w:tcPr>
          <w:p w14:paraId="254DA82F" w14:textId="77777777" w:rsidR="002E474C" w:rsidRDefault="00000000">
            <w:pPr>
              <w:pStyle w:val="A-"/>
            </w:pPr>
            <w:r>
              <w:t>防</w:t>
            </w:r>
          </w:p>
          <w:p w14:paraId="2F39E499" w14:textId="77777777" w:rsidR="002E474C" w:rsidRDefault="00000000">
            <w:pPr>
              <w:pStyle w:val="A-"/>
            </w:pPr>
            <w:r>
              <w:t>治</w:t>
            </w:r>
          </w:p>
          <w:p w14:paraId="5B038D09" w14:textId="77777777" w:rsidR="002E474C" w:rsidRDefault="00000000">
            <w:pPr>
              <w:pStyle w:val="A-"/>
            </w:pPr>
            <w:r>
              <w:t>措</w:t>
            </w:r>
          </w:p>
          <w:p w14:paraId="324668BD" w14:textId="77777777" w:rsidR="002E474C" w:rsidRDefault="00000000">
            <w:pPr>
              <w:pStyle w:val="A-"/>
            </w:pPr>
            <w:r>
              <w:t>施</w:t>
            </w:r>
          </w:p>
        </w:tc>
        <w:tc>
          <w:tcPr>
            <w:tcW w:w="839" w:type="pct"/>
            <w:vAlign w:val="center"/>
          </w:tcPr>
          <w:p w14:paraId="522CE5AA" w14:textId="77777777" w:rsidR="002E474C" w:rsidRDefault="00000000">
            <w:pPr>
              <w:pStyle w:val="A-"/>
            </w:pPr>
            <w:r>
              <w:t>防控措施</w:t>
            </w:r>
          </w:p>
        </w:tc>
        <w:tc>
          <w:tcPr>
            <w:tcW w:w="3374" w:type="pct"/>
            <w:gridSpan w:val="6"/>
            <w:vAlign w:val="center"/>
          </w:tcPr>
          <w:p w14:paraId="1F737DC8" w14:textId="77777777" w:rsidR="002E474C" w:rsidRDefault="00000000">
            <w:pPr>
              <w:pStyle w:val="A-"/>
            </w:pPr>
            <w:r>
              <w:t>土壤环境质量现状保障</w:t>
            </w:r>
            <w:r>
              <w:sym w:font="Wingdings 2" w:char="0052"/>
            </w:r>
            <w:r>
              <w:t>；源头控制</w:t>
            </w:r>
            <w:r>
              <w:sym w:font="Wingdings 2" w:char="0052"/>
            </w:r>
            <w:r>
              <w:t>；过程防控</w:t>
            </w:r>
            <w:r>
              <w:sym w:font="Wingdings 2" w:char="0052"/>
            </w:r>
            <w:r>
              <w:t>；其他（</w:t>
            </w:r>
            <w:r>
              <w:t xml:space="preserve">   </w:t>
            </w:r>
            <w:r>
              <w:t>）</w:t>
            </w:r>
          </w:p>
        </w:tc>
        <w:tc>
          <w:tcPr>
            <w:tcW w:w="595" w:type="pct"/>
            <w:vAlign w:val="center"/>
          </w:tcPr>
          <w:p w14:paraId="2CAD1F06" w14:textId="77777777" w:rsidR="002E474C" w:rsidRDefault="002E474C">
            <w:pPr>
              <w:pStyle w:val="A-"/>
            </w:pPr>
          </w:p>
        </w:tc>
      </w:tr>
      <w:tr w:rsidR="002E474C" w14:paraId="17723C20" w14:textId="77777777">
        <w:trPr>
          <w:trHeight w:val="23"/>
          <w:jc w:val="center"/>
        </w:trPr>
        <w:tc>
          <w:tcPr>
            <w:tcW w:w="192" w:type="pct"/>
            <w:vMerge/>
            <w:vAlign w:val="center"/>
          </w:tcPr>
          <w:p w14:paraId="7D00D822" w14:textId="77777777" w:rsidR="002E474C" w:rsidRDefault="002E474C">
            <w:pPr>
              <w:pStyle w:val="A-"/>
            </w:pPr>
          </w:p>
        </w:tc>
        <w:tc>
          <w:tcPr>
            <w:tcW w:w="839" w:type="pct"/>
            <w:vMerge w:val="restart"/>
            <w:vAlign w:val="center"/>
          </w:tcPr>
          <w:p w14:paraId="24709008" w14:textId="77777777" w:rsidR="002E474C" w:rsidRDefault="00000000">
            <w:pPr>
              <w:pStyle w:val="A-"/>
            </w:pPr>
            <w:r>
              <w:t>跟踪监测</w:t>
            </w:r>
          </w:p>
        </w:tc>
        <w:tc>
          <w:tcPr>
            <w:tcW w:w="534" w:type="pct"/>
            <w:vAlign w:val="center"/>
          </w:tcPr>
          <w:p w14:paraId="0D524A2B" w14:textId="77777777" w:rsidR="002E474C" w:rsidRDefault="00000000">
            <w:pPr>
              <w:pStyle w:val="A-"/>
            </w:pPr>
            <w:r>
              <w:t>监测点数</w:t>
            </w:r>
          </w:p>
        </w:tc>
        <w:tc>
          <w:tcPr>
            <w:tcW w:w="1634" w:type="pct"/>
            <w:gridSpan w:val="3"/>
            <w:vAlign w:val="center"/>
          </w:tcPr>
          <w:p w14:paraId="28F3FD22" w14:textId="77777777" w:rsidR="002E474C" w:rsidRDefault="00000000">
            <w:pPr>
              <w:pStyle w:val="A-"/>
            </w:pPr>
            <w:r>
              <w:t>监测指标</w:t>
            </w:r>
          </w:p>
        </w:tc>
        <w:tc>
          <w:tcPr>
            <w:tcW w:w="1206" w:type="pct"/>
            <w:gridSpan w:val="2"/>
            <w:vAlign w:val="center"/>
          </w:tcPr>
          <w:p w14:paraId="3342CCF5" w14:textId="77777777" w:rsidR="002E474C" w:rsidRDefault="00000000">
            <w:pPr>
              <w:pStyle w:val="A-"/>
            </w:pPr>
            <w:r>
              <w:t>监测频次</w:t>
            </w:r>
          </w:p>
        </w:tc>
        <w:tc>
          <w:tcPr>
            <w:tcW w:w="595" w:type="pct"/>
            <w:vMerge w:val="restart"/>
            <w:vAlign w:val="center"/>
          </w:tcPr>
          <w:p w14:paraId="24BD910C" w14:textId="77777777" w:rsidR="002E474C" w:rsidRDefault="002E474C">
            <w:pPr>
              <w:pStyle w:val="A-"/>
            </w:pPr>
          </w:p>
        </w:tc>
      </w:tr>
      <w:tr w:rsidR="002E474C" w14:paraId="03A1B15A" w14:textId="77777777">
        <w:trPr>
          <w:trHeight w:val="23"/>
          <w:jc w:val="center"/>
        </w:trPr>
        <w:tc>
          <w:tcPr>
            <w:tcW w:w="192" w:type="pct"/>
            <w:vMerge/>
            <w:vAlign w:val="center"/>
          </w:tcPr>
          <w:p w14:paraId="14794509" w14:textId="77777777" w:rsidR="002E474C" w:rsidRDefault="002E474C">
            <w:pPr>
              <w:pStyle w:val="A-"/>
            </w:pPr>
          </w:p>
        </w:tc>
        <w:tc>
          <w:tcPr>
            <w:tcW w:w="839" w:type="pct"/>
            <w:vMerge/>
            <w:vAlign w:val="center"/>
          </w:tcPr>
          <w:p w14:paraId="0B5A2099" w14:textId="77777777" w:rsidR="002E474C" w:rsidRDefault="002E474C">
            <w:pPr>
              <w:pStyle w:val="A-"/>
            </w:pPr>
          </w:p>
        </w:tc>
        <w:tc>
          <w:tcPr>
            <w:tcW w:w="534" w:type="pct"/>
            <w:vAlign w:val="center"/>
          </w:tcPr>
          <w:p w14:paraId="1BA13526" w14:textId="77777777" w:rsidR="002E474C" w:rsidRDefault="00000000">
            <w:pPr>
              <w:pStyle w:val="A-"/>
            </w:pPr>
            <w:r>
              <w:t>1</w:t>
            </w:r>
          </w:p>
        </w:tc>
        <w:tc>
          <w:tcPr>
            <w:tcW w:w="1634" w:type="pct"/>
            <w:gridSpan w:val="3"/>
            <w:vAlign w:val="center"/>
          </w:tcPr>
          <w:p w14:paraId="1280A2B0" w14:textId="77777777" w:rsidR="002E474C" w:rsidRDefault="00000000">
            <w:pPr>
              <w:pStyle w:val="A-"/>
            </w:pPr>
            <w:r>
              <w:t>六价铬、镉、镍、铅、铜、锌、砷、汞、锑、铍、钴、钒、石油烃、二噁英类</w:t>
            </w:r>
          </w:p>
        </w:tc>
        <w:tc>
          <w:tcPr>
            <w:tcW w:w="1206" w:type="pct"/>
            <w:gridSpan w:val="2"/>
            <w:vAlign w:val="center"/>
          </w:tcPr>
          <w:p w14:paraId="6BEDF009" w14:textId="77777777" w:rsidR="002E474C" w:rsidRDefault="00000000">
            <w:pPr>
              <w:pStyle w:val="A-"/>
            </w:pPr>
            <w:r>
              <w:t>每</w:t>
            </w:r>
            <w:r>
              <w:t>5</w:t>
            </w:r>
            <w:r>
              <w:t>年内</w:t>
            </w:r>
            <w:r>
              <w:t>1</w:t>
            </w:r>
            <w:r>
              <w:t>次</w:t>
            </w:r>
          </w:p>
        </w:tc>
        <w:tc>
          <w:tcPr>
            <w:tcW w:w="595" w:type="pct"/>
            <w:vMerge/>
            <w:vAlign w:val="center"/>
          </w:tcPr>
          <w:p w14:paraId="221E68A8" w14:textId="77777777" w:rsidR="002E474C" w:rsidRDefault="002E474C">
            <w:pPr>
              <w:pStyle w:val="A-"/>
            </w:pPr>
          </w:p>
        </w:tc>
      </w:tr>
      <w:tr w:rsidR="002E474C" w14:paraId="4989AE35" w14:textId="77777777">
        <w:trPr>
          <w:trHeight w:val="23"/>
          <w:jc w:val="center"/>
        </w:trPr>
        <w:tc>
          <w:tcPr>
            <w:tcW w:w="192" w:type="pct"/>
            <w:vMerge/>
            <w:vAlign w:val="center"/>
          </w:tcPr>
          <w:p w14:paraId="6D1D85A3" w14:textId="77777777" w:rsidR="002E474C" w:rsidRDefault="002E474C">
            <w:pPr>
              <w:pStyle w:val="A-"/>
            </w:pPr>
          </w:p>
        </w:tc>
        <w:tc>
          <w:tcPr>
            <w:tcW w:w="839" w:type="pct"/>
            <w:vAlign w:val="center"/>
          </w:tcPr>
          <w:p w14:paraId="209CA40B" w14:textId="77777777" w:rsidR="002E474C" w:rsidRDefault="00000000">
            <w:pPr>
              <w:pStyle w:val="A-"/>
            </w:pPr>
            <w:r>
              <w:t>信息公开指标</w:t>
            </w:r>
          </w:p>
        </w:tc>
        <w:tc>
          <w:tcPr>
            <w:tcW w:w="3374" w:type="pct"/>
            <w:gridSpan w:val="6"/>
            <w:vAlign w:val="center"/>
          </w:tcPr>
          <w:p w14:paraId="344E0E24" w14:textId="77777777" w:rsidR="002E474C" w:rsidRDefault="00000000">
            <w:pPr>
              <w:pStyle w:val="A-"/>
            </w:pPr>
            <w:r>
              <w:t>污染防治设施，污染物排放，有毒有害物质排放，危险废物产生、贮存、流向、利用、处置，自行监测等方面的信息</w:t>
            </w:r>
          </w:p>
        </w:tc>
        <w:tc>
          <w:tcPr>
            <w:tcW w:w="595" w:type="pct"/>
            <w:vMerge/>
            <w:vAlign w:val="center"/>
          </w:tcPr>
          <w:p w14:paraId="3181543E" w14:textId="77777777" w:rsidR="002E474C" w:rsidRDefault="002E474C">
            <w:pPr>
              <w:pStyle w:val="A-"/>
            </w:pPr>
          </w:p>
        </w:tc>
      </w:tr>
      <w:tr w:rsidR="002E474C" w14:paraId="0395CC69" w14:textId="77777777">
        <w:trPr>
          <w:trHeight w:val="23"/>
          <w:jc w:val="center"/>
        </w:trPr>
        <w:tc>
          <w:tcPr>
            <w:tcW w:w="1031" w:type="pct"/>
            <w:gridSpan w:val="2"/>
            <w:vAlign w:val="center"/>
          </w:tcPr>
          <w:p w14:paraId="41ECFF5F" w14:textId="77777777" w:rsidR="002E474C" w:rsidRDefault="00000000">
            <w:pPr>
              <w:pStyle w:val="A-"/>
            </w:pPr>
            <w:r>
              <w:t>评价结论</w:t>
            </w:r>
          </w:p>
        </w:tc>
        <w:tc>
          <w:tcPr>
            <w:tcW w:w="3374" w:type="pct"/>
            <w:gridSpan w:val="6"/>
            <w:vAlign w:val="center"/>
          </w:tcPr>
          <w:p w14:paraId="3C0DAA5E" w14:textId="77777777" w:rsidR="002E474C" w:rsidRDefault="00000000">
            <w:pPr>
              <w:pStyle w:val="A-"/>
            </w:pPr>
            <w:r>
              <w:t>本项目对土壤环境的影响是可以接受的</w:t>
            </w:r>
          </w:p>
        </w:tc>
        <w:tc>
          <w:tcPr>
            <w:tcW w:w="595" w:type="pct"/>
            <w:vAlign w:val="center"/>
          </w:tcPr>
          <w:p w14:paraId="734D9D3B" w14:textId="77777777" w:rsidR="002E474C" w:rsidRDefault="002E474C">
            <w:pPr>
              <w:pStyle w:val="A-"/>
            </w:pPr>
          </w:p>
        </w:tc>
      </w:tr>
      <w:tr w:rsidR="002E474C" w14:paraId="3DBCC9EE" w14:textId="77777777">
        <w:trPr>
          <w:trHeight w:val="23"/>
          <w:jc w:val="center"/>
        </w:trPr>
        <w:tc>
          <w:tcPr>
            <w:tcW w:w="5000" w:type="pct"/>
            <w:gridSpan w:val="9"/>
            <w:vAlign w:val="center"/>
          </w:tcPr>
          <w:p w14:paraId="24CF81E2" w14:textId="77777777" w:rsidR="002E474C" w:rsidRDefault="00000000">
            <w:pPr>
              <w:pStyle w:val="A-"/>
              <w:jc w:val="left"/>
            </w:pPr>
            <w:r>
              <w:t>注</w:t>
            </w:r>
            <w:r>
              <w:t xml:space="preserve"> 1</w:t>
            </w:r>
            <w:r>
              <w:t>：</w:t>
            </w:r>
            <w:r>
              <w:t>“□”</w:t>
            </w:r>
            <w:r>
              <w:t>为勾选项，可</w:t>
            </w:r>
            <w:r>
              <w:t>√</w:t>
            </w:r>
            <w:r>
              <w:t>；</w:t>
            </w:r>
            <w:r>
              <w:t>“</w:t>
            </w:r>
            <w:r>
              <w:t>（</w:t>
            </w:r>
            <w:r>
              <w:t xml:space="preserve"> </w:t>
            </w:r>
            <w:r>
              <w:t>）</w:t>
            </w:r>
            <w:r>
              <w:t>”</w:t>
            </w:r>
            <w:r>
              <w:t>为内容填写项；</w:t>
            </w:r>
            <w:r>
              <w:t>“</w:t>
            </w:r>
            <w:r>
              <w:t>备注</w:t>
            </w:r>
            <w:r>
              <w:t>”</w:t>
            </w:r>
            <w:r>
              <w:t>为其他补充内容。</w:t>
            </w:r>
          </w:p>
          <w:p w14:paraId="47B6753F" w14:textId="77777777" w:rsidR="002E474C" w:rsidRDefault="00000000">
            <w:pPr>
              <w:pStyle w:val="A-"/>
              <w:jc w:val="left"/>
            </w:pPr>
            <w:r>
              <w:t>注</w:t>
            </w:r>
            <w:r>
              <w:t xml:space="preserve"> 2</w:t>
            </w:r>
            <w:r>
              <w:t>：需要分别开展土壤环境影响评级工作的，分别填写自查表。</w:t>
            </w:r>
          </w:p>
        </w:tc>
      </w:tr>
    </w:tbl>
    <w:p w14:paraId="0E9B7359" w14:textId="77777777" w:rsidR="002E474C" w:rsidRDefault="002E474C">
      <w:pPr>
        <w:pStyle w:val="w3"/>
      </w:pPr>
      <w:bookmarkStart w:id="315" w:name="_Toc225848869"/>
    </w:p>
    <w:p w14:paraId="7CA4E689" w14:textId="77777777" w:rsidR="002E474C" w:rsidRDefault="00000000">
      <w:pPr>
        <w:pStyle w:val="21"/>
        <w:spacing w:before="240" w:after="240"/>
        <w:rPr>
          <w:color w:val="auto"/>
        </w:rPr>
      </w:pPr>
      <w:bookmarkStart w:id="316" w:name="_Toc13495"/>
      <w:r>
        <w:rPr>
          <w:color w:val="auto"/>
        </w:rPr>
        <w:t>生态影响分析</w:t>
      </w:r>
      <w:bookmarkEnd w:id="315"/>
      <w:bookmarkEnd w:id="316"/>
    </w:p>
    <w:p w14:paraId="5D2D015D" w14:textId="77777777" w:rsidR="002E474C" w:rsidRDefault="00000000">
      <w:pPr>
        <w:pStyle w:val="A-z"/>
        <w:rPr>
          <w:color w:val="auto"/>
        </w:rPr>
      </w:pPr>
      <w:r>
        <w:rPr>
          <w:color w:val="auto"/>
        </w:rPr>
        <w:t>本项目在现水泥厂内建设，不涉及新增占地、施工活动干扰等直接或间接导</w:t>
      </w:r>
      <w:r>
        <w:rPr>
          <w:color w:val="auto"/>
        </w:rPr>
        <w:lastRenderedPageBreak/>
        <w:t>致物种、种群、生物群落、生境、生态系统以及自然景观等发生的变化，无生态影响。</w:t>
      </w:r>
    </w:p>
    <w:p w14:paraId="229A46B2" w14:textId="77777777" w:rsidR="002E474C" w:rsidRDefault="00000000">
      <w:pPr>
        <w:pStyle w:val="A-z"/>
        <w:rPr>
          <w:color w:val="auto"/>
        </w:rPr>
      </w:pPr>
      <w:r>
        <w:rPr>
          <w:color w:val="auto"/>
        </w:rPr>
        <w:t>本项目</w:t>
      </w:r>
      <w:r>
        <w:rPr>
          <w:rFonts w:hint="eastAsia"/>
          <w:color w:val="auto"/>
        </w:rPr>
        <w:t>生产及污染物排放涉及</w:t>
      </w:r>
      <w:r>
        <w:rPr>
          <w:color w:val="auto"/>
          <w:lang w:val="en-US"/>
        </w:rPr>
        <w:t>汞、砷、镉、铬、铅和二噁英类等污染物</w:t>
      </w:r>
      <w:r>
        <w:rPr>
          <w:color w:val="auto"/>
        </w:rPr>
        <w:t>，</w:t>
      </w:r>
      <w:r>
        <w:rPr>
          <w:rFonts w:hint="eastAsia"/>
          <w:color w:val="auto"/>
        </w:rPr>
        <w:t>可能会对</w:t>
      </w:r>
      <w:r>
        <w:rPr>
          <w:color w:val="auto"/>
        </w:rPr>
        <w:t>外环境造成一定危害。</w:t>
      </w:r>
    </w:p>
    <w:p w14:paraId="1396E273" w14:textId="77777777" w:rsidR="002E474C" w:rsidRDefault="00000000">
      <w:pPr>
        <w:pStyle w:val="31"/>
        <w:spacing w:before="120" w:after="120"/>
        <w:rPr>
          <w:color w:val="auto"/>
        </w:rPr>
      </w:pPr>
      <w:r>
        <w:rPr>
          <w:b w:val="0"/>
          <w:color w:val="auto"/>
        </w:rPr>
        <w:t>对土壤与植物的影响分析</w:t>
      </w:r>
    </w:p>
    <w:p w14:paraId="1E7A09B4" w14:textId="77777777" w:rsidR="002E474C" w:rsidRDefault="00000000">
      <w:pPr>
        <w:pStyle w:val="A-z"/>
        <w:rPr>
          <w:color w:val="auto"/>
        </w:rPr>
      </w:pPr>
      <w:r>
        <w:rPr>
          <w:color w:val="auto"/>
        </w:rPr>
        <w:t>重金属对农田和植物生长有一定的影响。</w:t>
      </w:r>
    </w:p>
    <w:p w14:paraId="4AD31382" w14:textId="77777777" w:rsidR="002E474C" w:rsidRDefault="00000000">
      <w:pPr>
        <w:pStyle w:val="A-z"/>
        <w:rPr>
          <w:color w:val="auto"/>
        </w:rPr>
      </w:pPr>
      <w:r>
        <w:rPr>
          <w:color w:val="auto"/>
          <w:lang w:val="en-US"/>
        </w:rPr>
        <w:t>烟气沉降后</w:t>
      </w:r>
      <w:r>
        <w:rPr>
          <w:rFonts w:hint="eastAsia"/>
          <w:color w:val="auto"/>
          <w:lang w:val="en-US"/>
        </w:rPr>
        <w:t>，汞</w:t>
      </w:r>
      <w:r>
        <w:rPr>
          <w:color w:val="auto"/>
          <w:lang w:val="en-US"/>
        </w:rPr>
        <w:t>富集于表层土壤，破坏土壤酶活性、微生物群落结构，降低土壤肥力</w:t>
      </w:r>
      <w:r>
        <w:rPr>
          <w:rFonts w:hint="eastAsia"/>
          <w:color w:val="auto"/>
          <w:lang w:val="en-US"/>
        </w:rPr>
        <w:t>；</w:t>
      </w:r>
      <w:r>
        <w:rPr>
          <w:color w:val="auto"/>
          <w:lang w:val="en-US"/>
        </w:rPr>
        <w:t>被作物根系吸收累积，抑制植株生长、叶片发黄早衰，可沿作物籽粒富集留存</w:t>
      </w:r>
      <w:r>
        <w:rPr>
          <w:rFonts w:hint="eastAsia"/>
          <w:color w:val="auto"/>
          <w:lang w:val="en-US"/>
        </w:rPr>
        <w:t>。砷在</w:t>
      </w:r>
      <w:r>
        <w:rPr>
          <w:color w:val="auto"/>
          <w:lang w:val="en-US"/>
        </w:rPr>
        <w:t>土壤中稳定滞留性强，改变土壤理化性质，阻碍养分吸收</w:t>
      </w:r>
      <w:r>
        <w:rPr>
          <w:rFonts w:hint="eastAsia"/>
          <w:color w:val="auto"/>
          <w:lang w:val="en-US"/>
        </w:rPr>
        <w:t>；</w:t>
      </w:r>
      <w:r>
        <w:rPr>
          <w:color w:val="auto"/>
          <w:lang w:val="en-US"/>
        </w:rPr>
        <w:t>农作物吸收后长势衰弱、减产，砷组分在根茎果实蓄积，造成农产品重金属超标。</w:t>
      </w:r>
      <w:r>
        <w:rPr>
          <w:rFonts w:hint="eastAsia"/>
          <w:color w:val="auto"/>
          <w:lang w:val="en-US"/>
        </w:rPr>
        <w:t>镉</w:t>
      </w:r>
      <w:r>
        <w:rPr>
          <w:color w:val="auto"/>
          <w:lang w:val="en-US"/>
        </w:rPr>
        <w:t>迁移活性高，易在土壤浅层累积，破坏土壤生态结构。极易被水稻、蔬菜等作物吸收富集，低剂量即可造成作物发育畸形、品质劣变。高价铬毒性极强，污染土壤后抑制微生物代谢，降低土地耕作性能。植物吸收后根系腐烂、生长迟缓，污染物留存植株组织内难以降解。</w:t>
      </w:r>
      <w:r>
        <w:rPr>
          <w:rFonts w:hint="eastAsia"/>
          <w:color w:val="auto"/>
          <w:lang w:val="en-US"/>
        </w:rPr>
        <w:t>铅</w:t>
      </w:r>
      <w:r>
        <w:rPr>
          <w:color w:val="auto"/>
          <w:lang w:val="en-US"/>
        </w:rPr>
        <w:t>吸附固结于土壤颗粒，长期累积破坏土壤生态平衡。阻碍植物光合作用与养分输送，导致植株矮小、减产，可长期留存农作物可食用部位。</w:t>
      </w:r>
      <w:r>
        <w:rPr>
          <w:rFonts w:hint="eastAsia"/>
          <w:color w:val="auto"/>
          <w:lang w:val="en-US"/>
        </w:rPr>
        <w:t>二噁英类经</w:t>
      </w:r>
      <w:r>
        <w:rPr>
          <w:color w:val="auto"/>
          <w:lang w:val="en-US"/>
        </w:rPr>
        <w:t>大气干湿沉降渗入土壤，难降解、持久性极强。抑制植物细胞分裂，造成作物枯萎减产，同时在植物体内富集，形成食物链污染源头。</w:t>
      </w:r>
    </w:p>
    <w:p w14:paraId="1EA04941" w14:textId="77777777" w:rsidR="002E474C" w:rsidRDefault="00000000">
      <w:pPr>
        <w:pStyle w:val="A-z"/>
        <w:rPr>
          <w:color w:val="auto"/>
        </w:rPr>
      </w:pPr>
      <w:r>
        <w:rPr>
          <w:rFonts w:hint="eastAsia"/>
          <w:color w:val="auto"/>
        </w:rPr>
        <w:t>根据预测，本项目正常生产情况下排放的重金属及二噁英类</w:t>
      </w:r>
      <w:r>
        <w:rPr>
          <w:color w:val="auto"/>
        </w:rPr>
        <w:t>落地贡献浓度在叠加现状背景值和拟建污染源浓度贡献值后的年均浓度均满足《环境空气质量标准》（</w:t>
      </w:r>
      <w:r>
        <w:rPr>
          <w:color w:val="auto"/>
        </w:rPr>
        <w:t>GB</w:t>
      </w:r>
      <w:r>
        <w:rPr>
          <w:rFonts w:hint="eastAsia"/>
          <w:color w:val="auto"/>
        </w:rPr>
        <w:t xml:space="preserve"> </w:t>
      </w:r>
      <w:r>
        <w:rPr>
          <w:color w:val="auto"/>
        </w:rPr>
        <w:t>3095-20</w:t>
      </w:r>
      <w:r>
        <w:rPr>
          <w:rFonts w:hint="eastAsia"/>
          <w:color w:val="auto"/>
        </w:rPr>
        <w:t>26</w:t>
      </w:r>
      <w:r>
        <w:rPr>
          <w:color w:val="auto"/>
        </w:rPr>
        <w:t>）中的二级浓度限值。</w:t>
      </w:r>
      <w:r>
        <w:rPr>
          <w:rFonts w:hint="eastAsia"/>
          <w:color w:val="auto"/>
        </w:rPr>
        <w:t>因此，</w:t>
      </w:r>
      <w:r>
        <w:rPr>
          <w:color w:val="auto"/>
        </w:rPr>
        <w:t>土壤环境受重金属</w:t>
      </w:r>
      <w:r>
        <w:rPr>
          <w:rFonts w:hint="eastAsia"/>
          <w:color w:val="auto"/>
        </w:rPr>
        <w:t>及二噁英类</w:t>
      </w:r>
      <w:r>
        <w:rPr>
          <w:color w:val="auto"/>
        </w:rPr>
        <w:t>污染</w:t>
      </w:r>
      <w:r>
        <w:rPr>
          <w:rFonts w:hint="eastAsia"/>
          <w:color w:val="auto"/>
        </w:rPr>
        <w:t>不明显。</w:t>
      </w:r>
    </w:p>
    <w:p w14:paraId="06271317" w14:textId="77777777" w:rsidR="002E474C" w:rsidRDefault="00000000">
      <w:pPr>
        <w:pStyle w:val="31"/>
        <w:spacing w:before="120" w:after="120"/>
        <w:rPr>
          <w:color w:val="auto"/>
        </w:rPr>
      </w:pPr>
      <w:r>
        <w:rPr>
          <w:b w:val="0"/>
          <w:color w:val="auto"/>
        </w:rPr>
        <w:t>重金属对水环境的影响分析</w:t>
      </w:r>
    </w:p>
    <w:p w14:paraId="24140FFB" w14:textId="77777777" w:rsidR="002E474C" w:rsidRDefault="00000000">
      <w:pPr>
        <w:pStyle w:val="A-z"/>
        <w:rPr>
          <w:color w:val="auto"/>
        </w:rPr>
      </w:pPr>
      <w:r>
        <w:rPr>
          <w:color w:val="auto"/>
        </w:rPr>
        <w:t>铅和</w:t>
      </w:r>
      <w:r>
        <w:rPr>
          <w:rFonts w:hint="eastAsia"/>
          <w:color w:val="auto"/>
        </w:rPr>
        <w:t>汞</w:t>
      </w:r>
      <w:r>
        <w:rPr>
          <w:color w:val="auto"/>
        </w:rPr>
        <w:t>等重金属</w:t>
      </w:r>
      <w:r>
        <w:rPr>
          <w:rFonts w:hint="eastAsia"/>
          <w:color w:val="auto"/>
        </w:rPr>
        <w:t>经</w:t>
      </w:r>
      <w:r>
        <w:rPr>
          <w:color w:val="auto"/>
          <w:lang w:val="en-US"/>
        </w:rPr>
        <w:t>大气沉降、雨水淋溶后汇入地表水、地下水，改变水体酸碱度与水质指标。重金属在水体底泥沉积蓄积，长期释放污染水体，破坏水体原有水质标准。</w:t>
      </w:r>
      <w:r>
        <w:rPr>
          <w:rFonts w:hint="eastAsia"/>
          <w:color w:val="auto"/>
        </w:rPr>
        <w:t>二噁英类</w:t>
      </w:r>
      <w:r>
        <w:rPr>
          <w:color w:val="auto"/>
          <w:lang w:val="en-US"/>
        </w:rPr>
        <w:t>随降水汇入水体，脂溶性强且极难降解，稳定存在于水体与底泥中，持续污染水环境体系。</w:t>
      </w:r>
    </w:p>
    <w:p w14:paraId="30B5D39F" w14:textId="77777777" w:rsidR="002E474C" w:rsidRDefault="00000000">
      <w:pPr>
        <w:pStyle w:val="A-z"/>
        <w:rPr>
          <w:color w:val="auto"/>
        </w:rPr>
      </w:pPr>
      <w:r>
        <w:rPr>
          <w:rFonts w:hint="eastAsia"/>
          <w:color w:val="auto"/>
        </w:rPr>
        <w:t>正常生产情况下，本项目生产废气达标排放、生产废水不排放，废水中的重金属不会进入环境，对地下水与</w:t>
      </w:r>
      <w:r>
        <w:rPr>
          <w:color w:val="auto"/>
        </w:rPr>
        <w:t>土壤环境的影响较小。</w:t>
      </w:r>
      <w:r>
        <w:rPr>
          <w:rFonts w:hint="eastAsia"/>
          <w:color w:val="auto"/>
        </w:rPr>
        <w:t>事故情况下，如发生污水</w:t>
      </w:r>
      <w:r>
        <w:rPr>
          <w:color w:val="auto"/>
        </w:rPr>
        <w:lastRenderedPageBreak/>
        <w:t>泄漏将对地下水环境造成一定影响</w:t>
      </w:r>
      <w:r>
        <w:rPr>
          <w:rFonts w:hint="eastAsia"/>
          <w:color w:val="auto"/>
        </w:rPr>
        <w:t>，继而污染</w:t>
      </w:r>
      <w:r>
        <w:rPr>
          <w:color w:val="auto"/>
        </w:rPr>
        <w:t>土壤环境</w:t>
      </w:r>
      <w:r>
        <w:rPr>
          <w:rFonts w:hint="eastAsia"/>
          <w:color w:val="auto"/>
        </w:rPr>
        <w:t>。根据预测，</w:t>
      </w:r>
      <w:r>
        <w:rPr>
          <w:color w:val="auto"/>
        </w:rPr>
        <w:t>项目事故状况下废水收集池泄漏同时防渗层破损情况下，废水垂直入渗进入土壤环境，砂质壤土吸附污染物能力有限，随着渗漏时间的增加，污染物持续在土壤内部聚集</w:t>
      </w:r>
      <w:r>
        <w:rPr>
          <w:rFonts w:hint="eastAsia"/>
          <w:color w:val="auto"/>
        </w:rPr>
        <w:t>，可能</w:t>
      </w:r>
      <w:r>
        <w:rPr>
          <w:color w:val="auto"/>
        </w:rPr>
        <w:t>对其周边土壤环境</w:t>
      </w:r>
      <w:r>
        <w:rPr>
          <w:rFonts w:hint="eastAsia"/>
          <w:color w:val="auto"/>
        </w:rPr>
        <w:t>造成一定</w:t>
      </w:r>
      <w:r>
        <w:rPr>
          <w:color w:val="auto"/>
        </w:rPr>
        <w:t>影响。</w:t>
      </w:r>
    </w:p>
    <w:p w14:paraId="4A844085" w14:textId="77777777" w:rsidR="002E474C" w:rsidRDefault="00000000">
      <w:pPr>
        <w:pStyle w:val="31"/>
        <w:spacing w:before="120" w:after="120"/>
        <w:rPr>
          <w:color w:val="auto"/>
        </w:rPr>
      </w:pPr>
      <w:r>
        <w:rPr>
          <w:b w:val="0"/>
          <w:color w:val="auto"/>
        </w:rPr>
        <w:t>对动物</w:t>
      </w:r>
      <w:r>
        <w:rPr>
          <w:rFonts w:hint="eastAsia"/>
          <w:b w:val="0"/>
          <w:color w:val="auto"/>
        </w:rPr>
        <w:t>及人体</w:t>
      </w:r>
      <w:r>
        <w:rPr>
          <w:b w:val="0"/>
          <w:color w:val="auto"/>
        </w:rPr>
        <w:t>的影响分析</w:t>
      </w:r>
    </w:p>
    <w:p w14:paraId="4EAC0C47" w14:textId="77777777" w:rsidR="002E474C" w:rsidRDefault="00000000">
      <w:pPr>
        <w:pStyle w:val="A-z"/>
        <w:rPr>
          <w:color w:val="auto"/>
        </w:rPr>
      </w:pPr>
      <w:r>
        <w:rPr>
          <w:color w:val="auto"/>
          <w:lang w:val="en-US"/>
        </w:rPr>
        <w:t>水生、陆生动物通过饮水、摄食、呼吸摄入污染物，体内脏器受损。汞损伤神经系统，砷、镉损害肝肾，铅、铬破坏造血与代谢系统；污染物沿食物链逐级放大富集，禽类、牲畜肉质、蛋类出现重金属超标，造成动物存活率下降、繁殖能力衰退。</w:t>
      </w:r>
      <w:r>
        <w:rPr>
          <w:rFonts w:hint="eastAsia"/>
          <w:color w:val="auto"/>
          <w:lang w:val="en-US"/>
        </w:rPr>
        <w:t>二噁英类</w:t>
      </w:r>
      <w:r>
        <w:rPr>
          <w:color w:val="auto"/>
          <w:lang w:val="en-US"/>
        </w:rPr>
        <w:t>具有强致畸、致癌、内分泌干扰特性，动物摄入后免疫力大幅下降，易患病死亡，引发胚胎畸形、幼体存活率降低，破坏区域动物种群结构。</w:t>
      </w:r>
    </w:p>
    <w:p w14:paraId="395FD117" w14:textId="77777777" w:rsidR="002E474C" w:rsidRDefault="00000000">
      <w:pPr>
        <w:pStyle w:val="A-z"/>
        <w:rPr>
          <w:color w:val="auto"/>
        </w:rPr>
      </w:pPr>
      <w:r>
        <w:rPr>
          <w:rFonts w:hint="eastAsia"/>
          <w:color w:val="auto"/>
        </w:rPr>
        <w:t>建设单位应加强生产管理，做好职业病防护，避免职工及周围人群受到重金属及二噁英类危害。</w:t>
      </w:r>
    </w:p>
    <w:p w14:paraId="2BE53C45" w14:textId="77777777" w:rsidR="002E474C" w:rsidRDefault="00000000">
      <w:pPr>
        <w:pStyle w:val="21"/>
        <w:spacing w:before="240" w:after="240"/>
        <w:rPr>
          <w:color w:val="auto"/>
        </w:rPr>
      </w:pPr>
      <w:bookmarkStart w:id="317" w:name="_Toc225848870"/>
      <w:bookmarkStart w:id="318" w:name="_Toc18487"/>
      <w:r>
        <w:rPr>
          <w:color w:val="auto"/>
        </w:rPr>
        <w:t>环境风险评价</w:t>
      </w:r>
      <w:bookmarkEnd w:id="317"/>
      <w:bookmarkEnd w:id="318"/>
    </w:p>
    <w:p w14:paraId="1445DF89" w14:textId="77777777" w:rsidR="002E474C" w:rsidRDefault="00000000">
      <w:pPr>
        <w:pStyle w:val="31"/>
        <w:spacing w:before="120" w:after="120"/>
        <w:rPr>
          <w:color w:val="auto"/>
        </w:rPr>
      </w:pPr>
      <w:r>
        <w:rPr>
          <w:color w:val="auto"/>
        </w:rPr>
        <w:t>环境风险评价目的</w:t>
      </w:r>
    </w:p>
    <w:p w14:paraId="579D54A6" w14:textId="77777777" w:rsidR="002E474C" w:rsidRDefault="00000000">
      <w:pPr>
        <w:pStyle w:val="A-z"/>
        <w:rPr>
          <w:color w:val="auto"/>
        </w:rPr>
      </w:pPr>
      <w:r>
        <w:rPr>
          <w:color w:val="auto"/>
        </w:rPr>
        <w:t>根据《建设项目环境风险评价技术导则》（</w:t>
      </w:r>
      <w:r>
        <w:rPr>
          <w:color w:val="auto"/>
        </w:rPr>
        <w:t>HJ169-2018</w:t>
      </w:r>
      <w:r>
        <w:rPr>
          <w:color w:val="auto"/>
        </w:rPr>
        <w:t>）（以下简称风险导则），建设项目环境风险评价是对建设项目的环境风险进行分析、预测和评估，提出环境风险预防、控制、减缓措施，明确环境风险监控及应急建议要求，为建设项目环境风险防控提供科学依据。</w:t>
      </w:r>
    </w:p>
    <w:p w14:paraId="49C541E4" w14:textId="77777777" w:rsidR="002E474C" w:rsidRDefault="00000000">
      <w:pPr>
        <w:pStyle w:val="31"/>
        <w:spacing w:before="120" w:after="120"/>
        <w:rPr>
          <w:color w:val="auto"/>
        </w:rPr>
      </w:pPr>
      <w:r>
        <w:rPr>
          <w:color w:val="auto"/>
        </w:rPr>
        <w:t>风险调查</w:t>
      </w:r>
    </w:p>
    <w:p w14:paraId="2F7D9CA6" w14:textId="77777777" w:rsidR="002E474C" w:rsidRDefault="00000000">
      <w:pPr>
        <w:pStyle w:val="41"/>
        <w:rPr>
          <w:color w:val="auto"/>
        </w:rPr>
      </w:pPr>
      <w:r>
        <w:rPr>
          <w:color w:val="auto"/>
        </w:rPr>
        <w:t>建设项目风险源调查</w:t>
      </w:r>
    </w:p>
    <w:p w14:paraId="00EF5776" w14:textId="77777777" w:rsidR="002E474C" w:rsidRDefault="00000000">
      <w:pPr>
        <w:pStyle w:val="A-z"/>
        <w:rPr>
          <w:color w:val="auto"/>
        </w:rPr>
      </w:pPr>
      <w:r>
        <w:rPr>
          <w:color w:val="auto"/>
        </w:rPr>
        <w:t>本项目协同处置的废物主要包括固态、半固态及液态危废，废液主要有废矿物油、废乳化液、废酸、废碱等，固态危废主要为有机物包括废催化剂、废防腐剂等，半固态危废主要包括污油泥、有机溶剂、精（蒸）馏残渣等。处置危废情况具体见章节</w:t>
      </w:r>
      <w:r>
        <w:rPr>
          <w:color w:val="auto"/>
        </w:rPr>
        <w:t>“3.4.1</w:t>
      </w:r>
      <w:r>
        <w:rPr>
          <w:color w:val="auto"/>
        </w:rPr>
        <w:t>危险废物来源与类别</w:t>
      </w:r>
      <w:r>
        <w:rPr>
          <w:color w:val="auto"/>
        </w:rPr>
        <w:t>”</w:t>
      </w:r>
      <w:r>
        <w:rPr>
          <w:color w:val="auto"/>
        </w:rPr>
        <w:t>。废物形态主要为固态、半固态危废和液态废物，危险特性为毒性、易燃性和腐蚀性。项目在生产、储运等过程操作不当或因设备损坏，危险物质泄漏可能发生环境风险。</w:t>
      </w:r>
    </w:p>
    <w:p w14:paraId="78FB0475" w14:textId="77777777" w:rsidR="002E474C" w:rsidRDefault="00000000">
      <w:pPr>
        <w:pStyle w:val="A-z"/>
        <w:rPr>
          <w:color w:val="auto"/>
        </w:rPr>
      </w:pPr>
      <w:r>
        <w:rPr>
          <w:color w:val="auto"/>
        </w:rPr>
        <w:lastRenderedPageBreak/>
        <w:t>本项目为利用水泥窑协同处置危险废物项目，项目拟处置的危废是大量的物质的混合物，且种类繁多，成分复杂，因此采用《化学品分类和标签规范</w:t>
      </w:r>
      <w:r>
        <w:rPr>
          <w:color w:val="auto"/>
        </w:rPr>
        <w:t xml:space="preserve"> </w:t>
      </w:r>
      <w:r>
        <w:rPr>
          <w:color w:val="auto"/>
        </w:rPr>
        <w:t>第</w:t>
      </w:r>
      <w:r>
        <w:rPr>
          <w:color w:val="auto"/>
        </w:rPr>
        <w:t>18</w:t>
      </w:r>
      <w:r>
        <w:rPr>
          <w:color w:val="auto"/>
        </w:rPr>
        <w:t>部分：急性毒性》（</w:t>
      </w:r>
      <w:r>
        <w:rPr>
          <w:color w:val="auto"/>
        </w:rPr>
        <w:t>GB30000.18-2013</w:t>
      </w:r>
      <w:r>
        <w:rPr>
          <w:color w:val="auto"/>
        </w:rPr>
        <w:t>）对混合物进行急性毒性危害分类。</w:t>
      </w:r>
    </w:p>
    <w:p w14:paraId="50E6FE5B" w14:textId="77777777" w:rsidR="002E474C" w:rsidRDefault="00000000">
      <w:pPr>
        <w:pStyle w:val="A-z"/>
        <w:rPr>
          <w:color w:val="auto"/>
        </w:rPr>
      </w:pPr>
      <w:r>
        <w:rPr>
          <w:color w:val="auto"/>
        </w:rPr>
        <w:t>混合物分类标准：物质分类标准使用致死量数据（试验或推算）对急性毒性进行分类。对于混合物，应获得或推算出使这些标准能够应用于混合物分类的信息。急性的分类方法是分层次的，而且取决于混合物本身及其组分的现有信息的数量。分类过程如图</w:t>
      </w:r>
      <w:r>
        <w:rPr>
          <w:color w:val="auto"/>
        </w:rPr>
        <w:t>5.8</w:t>
      </w:r>
      <w:r>
        <w:rPr>
          <w:color w:val="auto"/>
        </w:rPr>
        <w:noBreakHyphen/>
        <w:t>1</w:t>
      </w:r>
      <w:r>
        <w:rPr>
          <w:color w:val="auto"/>
        </w:rPr>
        <w:t>所示。本项目确定采用</w:t>
      </w:r>
      <w:r>
        <w:rPr>
          <w:color w:val="auto"/>
        </w:rPr>
        <w:t>4.3.6.1</w:t>
      </w:r>
      <w:r>
        <w:rPr>
          <w:color w:val="auto"/>
        </w:rPr>
        <w:t>中的公式（</w:t>
      </w:r>
      <w:r>
        <w:rPr>
          <w:color w:val="auto"/>
        </w:rPr>
        <w:t>1</w:t>
      </w:r>
      <w:r>
        <w:rPr>
          <w:color w:val="auto"/>
        </w:rPr>
        <w:t>）（未知组分</w:t>
      </w:r>
      <w:r>
        <w:rPr>
          <w:color w:val="auto"/>
        </w:rPr>
        <w:t>≤10%</w:t>
      </w:r>
      <w:r>
        <w:rPr>
          <w:color w:val="auto"/>
        </w:rPr>
        <w:t>）对混合物急性毒性进行分类。</w:t>
      </w:r>
    </w:p>
    <w:p w14:paraId="327D94A6" w14:textId="77777777" w:rsidR="002E474C" w:rsidRDefault="00000000">
      <w:pPr>
        <w:pStyle w:val="A-z"/>
        <w:rPr>
          <w:color w:val="auto"/>
        </w:rPr>
      </w:pPr>
      <w:r>
        <w:rPr>
          <w:color w:val="auto"/>
        </w:rPr>
        <w:t>本项目只考虑经口接触途径的危害，根据处置危废的主要成分，假设一种可查到的毒性物质为混合物的主要组成，且占</w:t>
      </w:r>
      <w:r>
        <w:rPr>
          <w:color w:val="auto"/>
        </w:rPr>
        <w:t>90%</w:t>
      </w:r>
      <w:r>
        <w:rPr>
          <w:color w:val="auto"/>
        </w:rPr>
        <w:t>以上，则可通过以下公式计算</w:t>
      </w:r>
      <w:r>
        <w:rPr>
          <w:color w:val="auto"/>
        </w:rPr>
        <w:t>ATE</w:t>
      </w:r>
      <w:r>
        <w:rPr>
          <w:color w:val="auto"/>
          <w:vertAlign w:val="subscript"/>
        </w:rPr>
        <w:t>mix</w:t>
      </w:r>
      <w:r>
        <w:rPr>
          <w:color w:val="auto"/>
        </w:rPr>
        <w:t>。</w:t>
      </w:r>
    </w:p>
    <w:p w14:paraId="16BC8318" w14:textId="77777777" w:rsidR="002E474C" w:rsidRDefault="00000000">
      <w:pPr>
        <w:pStyle w:val="A-z"/>
        <w:jc w:val="center"/>
        <w:rPr>
          <w:color w:val="auto"/>
          <w:kern w:val="0"/>
        </w:rPr>
      </w:pPr>
      <w:r>
        <w:rPr>
          <w:noProof/>
          <w:color w:val="auto"/>
          <w:kern w:val="0"/>
          <w:position w:val="-28"/>
        </w:rPr>
        <w:drawing>
          <wp:inline distT="0" distB="0" distL="0" distR="0" wp14:anchorId="0A244AB1" wp14:editId="2D52188E">
            <wp:extent cx="1283335" cy="461645"/>
            <wp:effectExtent l="0" t="0" r="0" b="0"/>
            <wp:docPr id="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83335" cy="461645"/>
                    </a:xfrm>
                    <a:prstGeom prst="rect">
                      <a:avLst/>
                    </a:prstGeom>
                    <a:noFill/>
                    <a:ln>
                      <a:noFill/>
                    </a:ln>
                  </pic:spPr>
                </pic:pic>
              </a:graphicData>
            </a:graphic>
          </wp:inline>
        </w:drawing>
      </w:r>
    </w:p>
    <w:p w14:paraId="58FDDA94" w14:textId="77777777" w:rsidR="002E474C" w:rsidRDefault="00000000">
      <w:pPr>
        <w:pStyle w:val="A-z"/>
        <w:rPr>
          <w:color w:val="auto"/>
        </w:rPr>
      </w:pPr>
      <w:r>
        <w:rPr>
          <w:color w:val="auto"/>
        </w:rPr>
        <w:t>式中</w:t>
      </w:r>
      <w:r>
        <w:rPr>
          <w:color w:val="auto"/>
        </w:rPr>
        <w:t xml:space="preserve"> </w:t>
      </w:r>
      <w:r>
        <w:rPr>
          <w:color w:val="auto"/>
        </w:rPr>
        <w:t>：</w:t>
      </w:r>
    </w:p>
    <w:p w14:paraId="1DB735B6" w14:textId="77777777" w:rsidR="002E474C" w:rsidRDefault="00000000">
      <w:pPr>
        <w:pStyle w:val="A-z"/>
        <w:rPr>
          <w:color w:val="auto"/>
        </w:rPr>
      </w:pPr>
      <w:r>
        <w:rPr>
          <w:color w:val="auto"/>
        </w:rPr>
        <w:t>Ci——</w:t>
      </w:r>
      <w:r>
        <w:rPr>
          <w:color w:val="auto"/>
        </w:rPr>
        <w:t>组分</w:t>
      </w:r>
      <w:r>
        <w:rPr>
          <w:color w:val="auto"/>
        </w:rPr>
        <w:t>i</w:t>
      </w:r>
      <w:r>
        <w:rPr>
          <w:color w:val="auto"/>
        </w:rPr>
        <w:t>的浓度；</w:t>
      </w:r>
    </w:p>
    <w:p w14:paraId="189447B5" w14:textId="77777777" w:rsidR="002E474C" w:rsidRDefault="00000000">
      <w:pPr>
        <w:pStyle w:val="A-z"/>
        <w:rPr>
          <w:color w:val="auto"/>
        </w:rPr>
      </w:pPr>
      <w:r>
        <w:rPr>
          <w:color w:val="auto"/>
        </w:rPr>
        <w:t>n——n</w:t>
      </w:r>
      <w:r>
        <w:rPr>
          <w:color w:val="auto"/>
        </w:rPr>
        <w:t>个组分，并且</w:t>
      </w:r>
      <w:r>
        <w:rPr>
          <w:color w:val="auto"/>
        </w:rPr>
        <w:t>i</w:t>
      </w:r>
      <w:r>
        <w:rPr>
          <w:color w:val="auto"/>
        </w:rPr>
        <w:t>是由</w:t>
      </w:r>
      <w:r>
        <w:rPr>
          <w:color w:val="auto"/>
        </w:rPr>
        <w:t>1</w:t>
      </w:r>
      <w:r>
        <w:rPr>
          <w:color w:val="auto"/>
        </w:rPr>
        <w:t>至</w:t>
      </w:r>
      <w:r>
        <w:rPr>
          <w:color w:val="auto"/>
        </w:rPr>
        <w:t>n</w:t>
      </w:r>
      <w:r>
        <w:rPr>
          <w:color w:val="auto"/>
        </w:rPr>
        <w:t>；</w:t>
      </w:r>
    </w:p>
    <w:p w14:paraId="0B8FB443" w14:textId="77777777" w:rsidR="002E474C" w:rsidRDefault="00000000">
      <w:pPr>
        <w:pStyle w:val="A-z"/>
        <w:rPr>
          <w:color w:val="auto"/>
        </w:rPr>
      </w:pPr>
      <w:r>
        <w:rPr>
          <w:color w:val="auto"/>
        </w:rPr>
        <w:t>ATEi——</w:t>
      </w:r>
      <w:r>
        <w:rPr>
          <w:color w:val="auto"/>
        </w:rPr>
        <w:t>组分</w:t>
      </w:r>
      <w:r>
        <w:rPr>
          <w:color w:val="auto"/>
        </w:rPr>
        <w:t>i</w:t>
      </w:r>
      <w:r>
        <w:rPr>
          <w:color w:val="auto"/>
        </w:rPr>
        <w:t>的急性毒性估计值（</w:t>
      </w:r>
      <w:r>
        <w:rPr>
          <w:color w:val="auto"/>
        </w:rPr>
        <w:t>ATE</w:t>
      </w:r>
      <w:r>
        <w:rPr>
          <w:color w:val="auto"/>
        </w:rPr>
        <w:t>）。</w:t>
      </w:r>
    </w:p>
    <w:p w14:paraId="23032916" w14:textId="77777777" w:rsidR="002E474C" w:rsidRDefault="00000000">
      <w:pPr>
        <w:pStyle w:val="A-z"/>
        <w:rPr>
          <w:color w:val="auto"/>
          <w:lang w:val="en-US"/>
        </w:rPr>
      </w:pPr>
      <w:r>
        <w:rPr>
          <w:color w:val="auto"/>
          <w:lang w:val="en-US"/>
        </w:rPr>
        <w:t>结合本项目处置的</w:t>
      </w:r>
      <w:r>
        <w:rPr>
          <w:color w:val="auto"/>
          <w:lang w:val="en-US"/>
        </w:rPr>
        <w:t>36</w:t>
      </w:r>
      <w:r>
        <w:rPr>
          <w:color w:val="auto"/>
          <w:lang w:val="en-US"/>
        </w:rPr>
        <w:t>类危废理化特性及《国家危险废物名录</w:t>
      </w:r>
      <w:r>
        <w:rPr>
          <w:rFonts w:hint="eastAsia"/>
          <w:color w:val="auto"/>
          <w:lang w:val="en-US"/>
        </w:rPr>
        <w:t>（</w:t>
      </w:r>
      <w:r>
        <w:rPr>
          <w:rFonts w:hint="eastAsia"/>
          <w:color w:val="auto"/>
          <w:lang w:val="en-US"/>
        </w:rPr>
        <w:t>2025</w:t>
      </w:r>
      <w:r>
        <w:rPr>
          <w:rFonts w:hint="eastAsia"/>
          <w:color w:val="auto"/>
          <w:lang w:val="en-US"/>
        </w:rPr>
        <w:t>年版）</w:t>
      </w:r>
      <w:r>
        <w:rPr>
          <w:color w:val="auto"/>
          <w:lang w:val="en-US"/>
        </w:rPr>
        <w:t>》中规定的危险特性，按主控毒性特征划分为</w:t>
      </w:r>
      <w:r>
        <w:rPr>
          <w:color w:val="auto"/>
          <w:lang w:val="en-US"/>
        </w:rPr>
        <w:t>5</w:t>
      </w:r>
      <w:r>
        <w:rPr>
          <w:color w:val="auto"/>
          <w:lang w:val="en-US"/>
        </w:rPr>
        <w:t>大类，分别设定行业通用典型主导组分，确保核算贴合实际处置工况，具体归类如下：</w:t>
      </w:r>
    </w:p>
    <w:p w14:paraId="4B4BF40D" w14:textId="77777777" w:rsidR="002E474C" w:rsidRDefault="00000000">
      <w:pPr>
        <w:pStyle w:val="A-z"/>
        <w:rPr>
          <w:color w:val="auto"/>
          <w:lang w:val="en-US"/>
        </w:rPr>
      </w:pPr>
      <w:r>
        <w:rPr>
          <w:color w:val="auto"/>
          <w:lang w:val="en-US"/>
        </w:rPr>
        <w:t>（</w:t>
      </w:r>
      <w:r>
        <w:rPr>
          <w:color w:val="auto"/>
          <w:lang w:val="en-US"/>
        </w:rPr>
        <w:t>1</w:t>
      </w:r>
      <w:r>
        <w:rPr>
          <w:color w:val="auto"/>
          <w:lang w:val="en-US"/>
        </w:rPr>
        <w:t>）有机溶剂类（</w:t>
      </w:r>
      <w:r>
        <w:rPr>
          <w:color w:val="auto"/>
          <w:lang w:val="en-US"/>
        </w:rPr>
        <w:t>HW06</w:t>
      </w:r>
      <w:r>
        <w:rPr>
          <w:color w:val="auto"/>
          <w:lang w:val="en-US"/>
        </w:rPr>
        <w:t>、</w:t>
      </w:r>
      <w:r>
        <w:rPr>
          <w:color w:val="auto"/>
          <w:lang w:val="en-US"/>
        </w:rPr>
        <w:t>HW08</w:t>
      </w:r>
      <w:r>
        <w:rPr>
          <w:color w:val="auto"/>
          <w:lang w:val="en-US"/>
        </w:rPr>
        <w:t>、</w:t>
      </w:r>
      <w:r>
        <w:rPr>
          <w:color w:val="auto"/>
          <w:lang w:val="en-US"/>
        </w:rPr>
        <w:t>HW09</w:t>
      </w:r>
      <w:r>
        <w:rPr>
          <w:color w:val="auto"/>
          <w:lang w:val="en-US"/>
        </w:rPr>
        <w:t>、</w:t>
      </w:r>
      <w:r>
        <w:rPr>
          <w:color w:val="auto"/>
          <w:lang w:val="en-US"/>
        </w:rPr>
        <w:t>HW11</w:t>
      </w:r>
      <w:r>
        <w:rPr>
          <w:color w:val="auto"/>
          <w:lang w:val="en-US"/>
        </w:rPr>
        <w:t>）：主导组分赋值甲醇</w:t>
      </w:r>
      <w:r>
        <w:rPr>
          <w:color w:val="auto"/>
          <w:lang w:val="en-US"/>
        </w:rPr>
        <w:t>/</w:t>
      </w:r>
      <w:r>
        <w:rPr>
          <w:color w:val="auto"/>
          <w:lang w:val="en-US"/>
        </w:rPr>
        <w:t>矿物油基体，取行业标准</w:t>
      </w:r>
      <w:r>
        <w:rPr>
          <w:color w:val="auto"/>
          <w:lang w:val="en-US"/>
        </w:rPr>
        <w:t>LD₅₀</w:t>
      </w:r>
      <w:r>
        <w:rPr>
          <w:color w:val="auto"/>
          <w:lang w:val="en-US"/>
        </w:rPr>
        <w:t>推演</w:t>
      </w:r>
      <w:r>
        <w:rPr>
          <w:color w:val="auto"/>
          <w:lang w:val="en-US"/>
        </w:rPr>
        <w:t>ATE</w:t>
      </w:r>
      <w:r>
        <w:rPr>
          <w:color w:val="auto"/>
          <w:lang w:val="en-US"/>
        </w:rPr>
        <w:t>，此类危废主要含各类有机溶剂，急性毒性以低毒至微毒为主；</w:t>
      </w:r>
    </w:p>
    <w:p w14:paraId="3BDE865E" w14:textId="77777777" w:rsidR="002E474C" w:rsidRDefault="00000000">
      <w:pPr>
        <w:pStyle w:val="A-z"/>
        <w:rPr>
          <w:color w:val="auto"/>
          <w:lang w:val="en-US"/>
        </w:rPr>
      </w:pPr>
      <w:r>
        <w:rPr>
          <w:color w:val="auto"/>
          <w:lang w:val="en-US"/>
        </w:rPr>
        <w:t>（</w:t>
      </w:r>
      <w:r>
        <w:rPr>
          <w:color w:val="auto"/>
          <w:lang w:val="en-US"/>
        </w:rPr>
        <w:t>2</w:t>
      </w:r>
      <w:r>
        <w:rPr>
          <w:color w:val="auto"/>
          <w:lang w:val="en-US"/>
        </w:rPr>
        <w:t>）农药</w:t>
      </w:r>
      <w:r>
        <w:rPr>
          <w:color w:val="auto"/>
          <w:lang w:val="en-US"/>
        </w:rPr>
        <w:t>/</w:t>
      </w:r>
      <w:r>
        <w:rPr>
          <w:color w:val="auto"/>
          <w:lang w:val="en-US"/>
        </w:rPr>
        <w:t>医药</w:t>
      </w:r>
      <w:r>
        <w:rPr>
          <w:color w:val="auto"/>
          <w:lang w:val="en-US"/>
        </w:rPr>
        <w:t>/</w:t>
      </w:r>
      <w:r>
        <w:rPr>
          <w:color w:val="auto"/>
          <w:lang w:val="en-US"/>
        </w:rPr>
        <w:t>酚醚类（</w:t>
      </w:r>
      <w:r>
        <w:rPr>
          <w:color w:val="auto"/>
          <w:lang w:val="en-US"/>
        </w:rPr>
        <w:t>HW02</w:t>
      </w:r>
      <w:r>
        <w:rPr>
          <w:color w:val="auto"/>
          <w:lang w:val="en-US"/>
        </w:rPr>
        <w:t>、</w:t>
      </w:r>
      <w:r>
        <w:rPr>
          <w:color w:val="auto"/>
          <w:lang w:val="en-US"/>
        </w:rPr>
        <w:t>HW03</w:t>
      </w:r>
      <w:r>
        <w:rPr>
          <w:color w:val="auto"/>
          <w:lang w:val="en-US"/>
        </w:rPr>
        <w:t>、</w:t>
      </w:r>
      <w:r>
        <w:rPr>
          <w:color w:val="auto"/>
          <w:lang w:val="en-US"/>
        </w:rPr>
        <w:t>HW04</w:t>
      </w:r>
      <w:r>
        <w:rPr>
          <w:color w:val="auto"/>
          <w:lang w:val="en-US"/>
        </w:rPr>
        <w:t>、</w:t>
      </w:r>
      <w:r>
        <w:rPr>
          <w:color w:val="auto"/>
          <w:lang w:val="en-US"/>
        </w:rPr>
        <w:t>HW39</w:t>
      </w:r>
      <w:r>
        <w:rPr>
          <w:color w:val="auto"/>
          <w:lang w:val="en-US"/>
        </w:rPr>
        <w:t>、</w:t>
      </w:r>
      <w:r>
        <w:rPr>
          <w:color w:val="auto"/>
          <w:lang w:val="en-US"/>
        </w:rPr>
        <w:t>HW40</w:t>
      </w:r>
      <w:r>
        <w:rPr>
          <w:color w:val="auto"/>
          <w:lang w:val="en-US"/>
        </w:rPr>
        <w:t>）：主导组分赋值有机酚</w:t>
      </w:r>
      <w:r>
        <w:rPr>
          <w:color w:val="auto"/>
          <w:lang w:val="en-US"/>
        </w:rPr>
        <w:t>/</w:t>
      </w:r>
      <w:r>
        <w:rPr>
          <w:color w:val="auto"/>
          <w:lang w:val="en-US"/>
        </w:rPr>
        <w:t>低毒农药母体，按规范取档</w:t>
      </w:r>
      <w:r>
        <w:rPr>
          <w:color w:val="auto"/>
          <w:lang w:val="en-US"/>
        </w:rPr>
        <w:t>ATE</w:t>
      </w:r>
      <w:r>
        <w:rPr>
          <w:color w:val="auto"/>
          <w:lang w:val="en-US"/>
        </w:rPr>
        <w:t>，部分组分可能具有中等急性毒性；</w:t>
      </w:r>
    </w:p>
    <w:p w14:paraId="62D59059" w14:textId="77777777" w:rsidR="002E474C" w:rsidRDefault="00000000">
      <w:pPr>
        <w:pStyle w:val="A-z"/>
        <w:rPr>
          <w:color w:val="auto"/>
          <w:lang w:val="en-US"/>
        </w:rPr>
      </w:pPr>
      <w:r>
        <w:rPr>
          <w:color w:val="auto"/>
          <w:lang w:val="en-US"/>
        </w:rPr>
        <w:t>（</w:t>
      </w:r>
      <w:r>
        <w:rPr>
          <w:color w:val="auto"/>
          <w:lang w:val="en-US"/>
        </w:rPr>
        <w:t>3</w:t>
      </w:r>
      <w:r>
        <w:rPr>
          <w:color w:val="auto"/>
          <w:lang w:val="en-US"/>
        </w:rPr>
        <w:t>）重金属盐类（</w:t>
      </w:r>
      <w:r>
        <w:rPr>
          <w:color w:val="auto"/>
          <w:lang w:val="en-US"/>
        </w:rPr>
        <w:t>HW17</w:t>
      </w:r>
      <w:r>
        <w:rPr>
          <w:color w:val="auto"/>
          <w:lang w:val="en-US"/>
        </w:rPr>
        <w:t>、</w:t>
      </w:r>
      <w:r>
        <w:rPr>
          <w:color w:val="auto"/>
          <w:lang w:val="en-US"/>
        </w:rPr>
        <w:t>HW20~HW24</w:t>
      </w:r>
      <w:r>
        <w:rPr>
          <w:color w:val="auto"/>
          <w:lang w:val="en-US"/>
        </w:rPr>
        <w:t>、</w:t>
      </w:r>
      <w:r>
        <w:rPr>
          <w:color w:val="auto"/>
          <w:lang w:val="en-US"/>
        </w:rPr>
        <w:t>HW31</w:t>
      </w:r>
      <w:r>
        <w:rPr>
          <w:color w:val="auto"/>
          <w:lang w:val="en-US"/>
        </w:rPr>
        <w:t>、</w:t>
      </w:r>
      <w:r>
        <w:rPr>
          <w:color w:val="auto"/>
          <w:lang w:val="en-US"/>
        </w:rPr>
        <w:t>HW46~HW48</w:t>
      </w:r>
      <w:r>
        <w:rPr>
          <w:color w:val="auto"/>
          <w:lang w:val="en-US"/>
        </w:rPr>
        <w:t>）：以常见重金属可溶性盐（如铅盐、砷盐、铬盐）为特征组分，按无机毒物国标</w:t>
      </w:r>
      <w:r>
        <w:rPr>
          <w:color w:val="auto"/>
          <w:lang w:val="en-US"/>
        </w:rPr>
        <w:t>ATE</w:t>
      </w:r>
      <w:r>
        <w:rPr>
          <w:color w:val="auto"/>
          <w:lang w:val="en-US"/>
        </w:rPr>
        <w:t>取值，部分高毒重金属组分（如砷、铅）可能划分为类别</w:t>
      </w:r>
      <w:r>
        <w:rPr>
          <w:color w:val="auto"/>
          <w:lang w:val="en-US"/>
        </w:rPr>
        <w:t>3</w:t>
      </w:r>
      <w:r>
        <w:rPr>
          <w:color w:val="auto"/>
          <w:lang w:val="en-US"/>
        </w:rPr>
        <w:t>及以上；</w:t>
      </w:r>
    </w:p>
    <w:p w14:paraId="360F9C1F" w14:textId="77777777" w:rsidR="002E474C" w:rsidRDefault="00000000">
      <w:pPr>
        <w:pStyle w:val="A-z"/>
        <w:rPr>
          <w:color w:val="auto"/>
          <w:lang w:val="en-US"/>
        </w:rPr>
      </w:pPr>
      <w:r>
        <w:rPr>
          <w:color w:val="auto"/>
          <w:lang w:val="en-US"/>
        </w:rPr>
        <w:t>（</w:t>
      </w:r>
      <w:r>
        <w:rPr>
          <w:color w:val="auto"/>
          <w:lang w:val="en-US"/>
        </w:rPr>
        <w:t>4</w:t>
      </w:r>
      <w:r>
        <w:rPr>
          <w:color w:val="auto"/>
          <w:lang w:val="en-US"/>
        </w:rPr>
        <w:t>）酸碱腐蚀类（</w:t>
      </w:r>
      <w:r>
        <w:rPr>
          <w:color w:val="auto"/>
          <w:lang w:val="en-US"/>
        </w:rPr>
        <w:t>HW34</w:t>
      </w:r>
      <w:r>
        <w:rPr>
          <w:color w:val="auto"/>
          <w:lang w:val="en-US"/>
        </w:rPr>
        <w:t>废酸、</w:t>
      </w:r>
      <w:r>
        <w:rPr>
          <w:color w:val="auto"/>
          <w:lang w:val="en-US"/>
        </w:rPr>
        <w:t>HW35</w:t>
      </w:r>
      <w:r>
        <w:rPr>
          <w:color w:val="auto"/>
          <w:lang w:val="en-US"/>
        </w:rPr>
        <w:t>废碱）：除重点评估腐蚀性外，急性</w:t>
      </w:r>
      <w:r>
        <w:rPr>
          <w:color w:val="auto"/>
          <w:lang w:val="en-US"/>
        </w:rPr>
        <w:lastRenderedPageBreak/>
        <w:t>经口毒性按基体常规</w:t>
      </w:r>
      <w:r>
        <w:rPr>
          <w:color w:val="auto"/>
          <w:lang w:val="en-US"/>
        </w:rPr>
        <w:t>ATE</w:t>
      </w:r>
      <w:r>
        <w:rPr>
          <w:color w:val="auto"/>
          <w:lang w:val="en-US"/>
        </w:rPr>
        <w:t>归档，一般为低毒至微毒；</w:t>
      </w:r>
    </w:p>
    <w:p w14:paraId="0FE5196C" w14:textId="77777777" w:rsidR="002E474C" w:rsidRDefault="00000000">
      <w:pPr>
        <w:pStyle w:val="A-z"/>
        <w:ind w:firstLine="456"/>
        <w:rPr>
          <w:color w:val="auto"/>
          <w:spacing w:val="-6"/>
          <w:lang w:val="en-US"/>
        </w:rPr>
      </w:pPr>
      <w:r>
        <w:rPr>
          <w:color w:val="auto"/>
          <w:spacing w:val="-6"/>
          <w:lang w:val="en-US"/>
        </w:rPr>
        <w:t>（</w:t>
      </w:r>
      <w:r>
        <w:rPr>
          <w:color w:val="auto"/>
          <w:spacing w:val="-6"/>
          <w:lang w:val="en-US"/>
        </w:rPr>
        <w:t>5</w:t>
      </w:r>
      <w:r>
        <w:rPr>
          <w:color w:val="auto"/>
          <w:spacing w:val="-6"/>
          <w:lang w:val="en-US"/>
        </w:rPr>
        <w:t>）含氰、含磷、含卤特种危废（</w:t>
      </w:r>
      <w:r>
        <w:rPr>
          <w:color w:val="auto"/>
          <w:spacing w:val="-6"/>
          <w:lang w:val="en-US"/>
        </w:rPr>
        <w:t>HW07</w:t>
      </w:r>
      <w:r>
        <w:rPr>
          <w:color w:val="auto"/>
          <w:spacing w:val="-6"/>
          <w:lang w:val="en-US"/>
        </w:rPr>
        <w:t>、</w:t>
      </w:r>
      <w:r>
        <w:rPr>
          <w:color w:val="auto"/>
          <w:spacing w:val="-6"/>
          <w:lang w:val="en-US"/>
        </w:rPr>
        <w:t>HW33</w:t>
      </w:r>
      <w:r>
        <w:rPr>
          <w:color w:val="auto"/>
          <w:spacing w:val="-6"/>
          <w:lang w:val="en-US"/>
        </w:rPr>
        <w:t>、</w:t>
      </w:r>
      <w:r>
        <w:rPr>
          <w:color w:val="auto"/>
          <w:spacing w:val="-6"/>
          <w:lang w:val="en-US"/>
        </w:rPr>
        <w:t>HW37</w:t>
      </w:r>
      <w:r>
        <w:rPr>
          <w:color w:val="auto"/>
          <w:spacing w:val="-6"/>
          <w:lang w:val="en-US"/>
        </w:rPr>
        <w:t>、</w:t>
      </w:r>
      <w:r>
        <w:rPr>
          <w:color w:val="auto"/>
          <w:spacing w:val="-6"/>
          <w:lang w:val="en-US"/>
        </w:rPr>
        <w:t>HW38</w:t>
      </w:r>
      <w:r>
        <w:rPr>
          <w:color w:val="auto"/>
          <w:spacing w:val="-6"/>
          <w:lang w:val="en-US"/>
        </w:rPr>
        <w:t>、</w:t>
      </w:r>
      <w:r>
        <w:rPr>
          <w:color w:val="auto"/>
          <w:spacing w:val="-6"/>
          <w:lang w:val="en-US"/>
        </w:rPr>
        <w:t>HW45</w:t>
      </w:r>
      <w:r>
        <w:rPr>
          <w:color w:val="auto"/>
          <w:spacing w:val="-6"/>
          <w:lang w:val="en-US"/>
        </w:rPr>
        <w:t>）：单独取高毒特征组分</w:t>
      </w:r>
      <w:r>
        <w:rPr>
          <w:color w:val="auto"/>
          <w:spacing w:val="-6"/>
          <w:lang w:val="en-US"/>
        </w:rPr>
        <w:t>ATE</w:t>
      </w:r>
      <w:r>
        <w:rPr>
          <w:color w:val="auto"/>
          <w:spacing w:val="-6"/>
          <w:lang w:val="en-US"/>
        </w:rPr>
        <w:t>保守核算，此类危废可能划分为类别</w:t>
      </w:r>
      <w:r>
        <w:rPr>
          <w:color w:val="auto"/>
          <w:spacing w:val="-6"/>
          <w:lang w:val="en-US"/>
        </w:rPr>
        <w:t>1~3</w:t>
      </w:r>
      <w:r>
        <w:rPr>
          <w:color w:val="auto"/>
          <w:spacing w:val="-6"/>
          <w:lang w:val="en-US"/>
        </w:rPr>
        <w:t>，需重点防控。</w:t>
      </w:r>
    </w:p>
    <w:p w14:paraId="630CF4A3" w14:textId="77777777" w:rsidR="002E474C" w:rsidRDefault="00000000">
      <w:pPr>
        <w:pStyle w:val="A-z"/>
        <w:rPr>
          <w:color w:val="auto"/>
        </w:rPr>
      </w:pPr>
      <w:r>
        <w:rPr>
          <w:color w:val="auto"/>
        </w:rPr>
        <w:t>本项目危废综合分类情况如下：</w:t>
      </w:r>
    </w:p>
    <w:p w14:paraId="0311F818" w14:textId="635DB0B4" w:rsidR="002E474C" w:rsidRDefault="00000000">
      <w:pPr>
        <w:pStyle w:val="A-z"/>
        <w:rPr>
          <w:color w:val="auto"/>
        </w:rPr>
      </w:pPr>
      <w:r>
        <w:rPr>
          <w:color w:val="auto"/>
        </w:rPr>
        <w:t>（</w:t>
      </w:r>
      <w:r>
        <w:rPr>
          <w:color w:val="auto"/>
        </w:rPr>
        <w:t>1</w:t>
      </w:r>
      <w:r>
        <w:rPr>
          <w:color w:val="auto"/>
        </w:rPr>
        <w:t>）本项目处置的</w:t>
      </w:r>
      <w:r>
        <w:rPr>
          <w:color w:val="auto"/>
        </w:rPr>
        <w:t>36</w:t>
      </w:r>
      <w:r>
        <w:rPr>
          <w:color w:val="auto"/>
        </w:rPr>
        <w:t>类复杂混合危险废物，严格依据</w:t>
      </w:r>
      <w:r>
        <w:rPr>
          <w:color w:val="auto"/>
        </w:rPr>
        <w:t>GB 30000.18-2013</w:t>
      </w:r>
      <w:r>
        <w:rPr>
          <w:color w:val="auto"/>
        </w:rPr>
        <w:t>开展经口急性毒性危害分类，采用规范推荐的分层分类公式法，满足</w:t>
      </w:r>
      <w:r>
        <w:rPr>
          <w:color w:val="auto"/>
        </w:rPr>
        <w:t>“</w:t>
      </w:r>
      <w:r>
        <w:rPr>
          <w:color w:val="auto"/>
        </w:rPr>
        <w:t>未知毒性组分</w:t>
      </w:r>
      <w:r>
        <w:rPr>
          <w:color w:val="auto"/>
        </w:rPr>
        <w:t>≤10%”</w:t>
      </w:r>
      <w:r>
        <w:rPr>
          <w:color w:val="auto"/>
        </w:rPr>
        <w:t>的适用条件；</w:t>
      </w:r>
    </w:p>
    <w:p w14:paraId="63677341" w14:textId="77777777" w:rsidR="002E474C" w:rsidRDefault="00000000">
      <w:pPr>
        <w:pStyle w:val="A-z"/>
        <w:rPr>
          <w:color w:val="auto"/>
        </w:rPr>
      </w:pPr>
      <w:r>
        <w:rPr>
          <w:color w:val="auto"/>
        </w:rPr>
        <w:t>（</w:t>
      </w:r>
      <w:r>
        <w:rPr>
          <w:color w:val="auto"/>
        </w:rPr>
        <w:t>2</w:t>
      </w:r>
      <w:r>
        <w:rPr>
          <w:color w:val="auto"/>
        </w:rPr>
        <w:t>）常规配伍工况下，全厂综合混合危废经口急性毒性估计值（</w:t>
      </w:r>
      <w:r>
        <w:rPr>
          <w:color w:val="auto"/>
        </w:rPr>
        <w:t>ATEmix</w:t>
      </w:r>
      <w:r>
        <w:rPr>
          <w:color w:val="auto"/>
        </w:rPr>
        <w:t>）落在</w:t>
      </w:r>
      <w:r>
        <w:rPr>
          <w:color w:val="auto"/>
        </w:rPr>
        <w:t>2000</w:t>
      </w:r>
      <w:r>
        <w:rPr>
          <w:color w:val="auto"/>
        </w:rPr>
        <w:t>＜</w:t>
      </w:r>
      <w:r>
        <w:rPr>
          <w:color w:val="auto"/>
        </w:rPr>
        <w:t>ATE≤5000</w:t>
      </w:r>
      <w:r>
        <w:rPr>
          <w:color w:val="auto"/>
        </w:rPr>
        <w:t>区间，整体判定为急性经口毒性类别</w:t>
      </w:r>
      <w:r>
        <w:rPr>
          <w:color w:val="auto"/>
        </w:rPr>
        <w:t>5</w:t>
      </w:r>
      <w:r>
        <w:rPr>
          <w:color w:val="auto"/>
        </w:rPr>
        <w:t>（微毒），急性毒性风险较低；</w:t>
      </w:r>
    </w:p>
    <w:p w14:paraId="12BD69D9" w14:textId="77777777" w:rsidR="002E474C" w:rsidRDefault="00000000">
      <w:pPr>
        <w:pStyle w:val="A-z"/>
        <w:rPr>
          <w:color w:val="auto"/>
        </w:rPr>
      </w:pPr>
      <w:r>
        <w:rPr>
          <w:color w:val="auto"/>
        </w:rPr>
        <w:t>（</w:t>
      </w:r>
      <w:r>
        <w:rPr>
          <w:color w:val="auto"/>
        </w:rPr>
        <w:t>3</w:t>
      </w:r>
      <w:r>
        <w:rPr>
          <w:color w:val="auto"/>
        </w:rPr>
        <w:t>）极端入料工况（高毒组分富集，如</w:t>
      </w:r>
      <w:r>
        <w:rPr>
          <w:color w:val="auto"/>
        </w:rPr>
        <w:t>HW07</w:t>
      </w:r>
      <w:r>
        <w:rPr>
          <w:color w:val="auto"/>
        </w:rPr>
        <w:t>、</w:t>
      </w:r>
      <w:r>
        <w:rPr>
          <w:color w:val="auto"/>
        </w:rPr>
        <w:t>HW24</w:t>
      </w:r>
      <w:r>
        <w:rPr>
          <w:color w:val="auto"/>
        </w:rPr>
        <w:t>、</w:t>
      </w:r>
      <w:r>
        <w:rPr>
          <w:color w:val="auto"/>
        </w:rPr>
        <w:t>HW31</w:t>
      </w:r>
      <w:r>
        <w:rPr>
          <w:color w:val="auto"/>
        </w:rPr>
        <w:t>等单独入料或高占比配伍），混合危废急性毒性可判定为类别</w:t>
      </w:r>
      <w:r>
        <w:rPr>
          <w:color w:val="auto"/>
        </w:rPr>
        <w:t>1~3</w:t>
      </w:r>
      <w:r>
        <w:rPr>
          <w:color w:val="auto"/>
        </w:rPr>
        <w:t>，需严格控制此类危废的配伍比例，避免高毒组分富集引发环境风险；</w:t>
      </w:r>
    </w:p>
    <w:p w14:paraId="07925D29" w14:textId="77777777" w:rsidR="002E474C" w:rsidRDefault="00000000">
      <w:pPr>
        <w:pStyle w:val="A-z"/>
        <w:rPr>
          <w:color w:val="auto"/>
        </w:rPr>
      </w:pPr>
      <w:r>
        <w:rPr>
          <w:color w:val="auto"/>
        </w:rPr>
        <w:t>（</w:t>
      </w:r>
      <w:r>
        <w:rPr>
          <w:color w:val="auto"/>
        </w:rPr>
        <w:t>4</w:t>
      </w:r>
      <w:r>
        <w:rPr>
          <w:color w:val="auto"/>
        </w:rPr>
        <w:t>）本项目依托新型干法水泥窑高温焚烧（温度</w:t>
      </w:r>
      <w:r>
        <w:rPr>
          <w:color w:val="auto"/>
        </w:rPr>
        <w:t>≥1100℃</w:t>
      </w:r>
      <w:r>
        <w:rPr>
          <w:color w:val="auto"/>
        </w:rPr>
        <w:t>）及熟料矿物化高温烧结过程，可实现危废中有机毒物的彻底裂解、重金属的稳定固化，处置后最终窑尾产物及水泥熟料无急性扩散毒性，满足危险废物减量化、资源化、无害化的处置目标，可有效降低急性毒性带来的环境风险。</w:t>
      </w:r>
    </w:p>
    <w:p w14:paraId="150CB1A2" w14:textId="407C3DFD" w:rsidR="002E474C" w:rsidRDefault="00000000">
      <w:pPr>
        <w:pStyle w:val="A-z"/>
        <w:rPr>
          <w:color w:val="auto"/>
        </w:rPr>
      </w:pPr>
      <w:r>
        <w:rPr>
          <w:color w:val="auto"/>
          <w:lang w:val="en-US"/>
        </w:rPr>
        <w:t>本项目处置的</w:t>
      </w:r>
      <w:r>
        <w:rPr>
          <w:color w:val="auto"/>
          <w:lang w:val="en-US"/>
        </w:rPr>
        <w:t>36</w:t>
      </w:r>
      <w:r>
        <w:rPr>
          <w:color w:val="auto"/>
          <w:lang w:val="en-US"/>
        </w:rPr>
        <w:t>类危险废物，均按</w:t>
      </w:r>
      <w:r>
        <w:rPr>
          <w:color w:val="auto"/>
          <w:lang w:val="en-US"/>
        </w:rPr>
        <w:t>“</w:t>
      </w:r>
      <w:r>
        <w:rPr>
          <w:color w:val="auto"/>
          <w:lang w:val="en-US"/>
        </w:rPr>
        <w:t>主导组分核算</w:t>
      </w:r>
      <w:r>
        <w:rPr>
          <w:color w:val="auto"/>
          <w:lang w:val="en-US"/>
        </w:rPr>
        <w:t>+</w:t>
      </w:r>
      <w:r>
        <w:rPr>
          <w:color w:val="auto"/>
          <w:lang w:val="en-US"/>
        </w:rPr>
        <w:t>未知组分豁免</w:t>
      </w:r>
      <w:r>
        <w:rPr>
          <w:color w:val="auto"/>
          <w:lang w:val="en-US"/>
        </w:rPr>
        <w:t>”</w:t>
      </w:r>
      <w:r>
        <w:rPr>
          <w:color w:val="auto"/>
          <w:lang w:val="en-US"/>
        </w:rPr>
        <w:t>原则（主导组分占比</w:t>
      </w:r>
      <w:r>
        <w:rPr>
          <w:color w:val="auto"/>
          <w:lang w:val="en-US"/>
        </w:rPr>
        <w:t>≥90%</w:t>
      </w:r>
      <w:r>
        <w:rPr>
          <w:color w:val="auto"/>
          <w:lang w:val="en-US"/>
        </w:rPr>
        <w:t>，未知组分</w:t>
      </w:r>
      <w:r>
        <w:rPr>
          <w:color w:val="auto"/>
          <w:lang w:val="en-US"/>
        </w:rPr>
        <w:t>≤10%</w:t>
      </w:r>
      <w:r>
        <w:rPr>
          <w:color w:val="auto"/>
          <w:lang w:val="en-US"/>
        </w:rPr>
        <w:t>），</w:t>
      </w:r>
      <w:r w:rsidR="008F2D17">
        <w:rPr>
          <w:rFonts w:hint="eastAsia"/>
          <w:color w:val="auto"/>
          <w:lang w:val="en-US"/>
        </w:rPr>
        <w:t>采用</w:t>
      </w:r>
      <w:r w:rsidR="00694512">
        <w:t>《化学品分类和标签规范</w:t>
      </w:r>
      <w:r w:rsidR="00694512">
        <w:t xml:space="preserve"> </w:t>
      </w:r>
      <w:r w:rsidR="00694512">
        <w:t>第</w:t>
      </w:r>
      <w:r w:rsidR="00694512">
        <w:t>18</w:t>
      </w:r>
      <w:r w:rsidR="00694512">
        <w:t>部分：急性毒性》</w:t>
      </w:r>
      <w:r w:rsidR="00694512">
        <w:rPr>
          <w:rFonts w:hint="eastAsia"/>
        </w:rPr>
        <w:t>（</w:t>
      </w:r>
      <w:r w:rsidR="00694512">
        <w:t>GB30000.18-2013</w:t>
      </w:r>
      <w:r w:rsidR="00694512">
        <w:rPr>
          <w:rFonts w:hint="eastAsia"/>
        </w:rPr>
        <w:t>）</w:t>
      </w:r>
      <w:r>
        <w:rPr>
          <w:color w:val="auto"/>
          <w:lang w:val="en-US"/>
        </w:rPr>
        <w:t>，核算各危废的主导组分</w:t>
      </w:r>
      <w:r>
        <w:rPr>
          <w:color w:val="auto"/>
          <w:lang w:val="en-US"/>
        </w:rPr>
        <w:t>LD₅₀</w:t>
      </w:r>
      <w:r>
        <w:rPr>
          <w:color w:val="auto"/>
          <w:lang w:val="en-US"/>
        </w:rPr>
        <w:t>、混合物</w:t>
      </w:r>
      <w:proofErr w:type="spellStart"/>
      <w:r>
        <w:rPr>
          <w:color w:val="auto"/>
          <w:lang w:val="en-US"/>
        </w:rPr>
        <w:t>ATEmix</w:t>
      </w:r>
      <w:proofErr w:type="spellEnd"/>
      <w:r>
        <w:rPr>
          <w:color w:val="auto"/>
          <w:lang w:val="en-US"/>
        </w:rPr>
        <w:t>及急性毒性分类，数据来源为</w:t>
      </w:r>
      <w:r>
        <w:rPr>
          <w:color w:val="auto"/>
          <w:lang w:val="en-US"/>
        </w:rPr>
        <w:t>PubChem</w:t>
      </w:r>
      <w:r>
        <w:rPr>
          <w:color w:val="auto"/>
          <w:lang w:val="en-US"/>
        </w:rPr>
        <w:t>、</w:t>
      </w:r>
      <w:r>
        <w:rPr>
          <w:color w:val="auto"/>
          <w:lang w:val="en-US"/>
        </w:rPr>
        <w:t>HSDB</w:t>
      </w:r>
      <w:r>
        <w:rPr>
          <w:color w:val="auto"/>
          <w:lang w:val="en-US"/>
        </w:rPr>
        <w:t>数据库及</w:t>
      </w:r>
      <w:r>
        <w:rPr>
          <w:color w:val="auto"/>
          <w:lang w:val="en-US"/>
        </w:rPr>
        <w:t>SDS</w:t>
      </w:r>
      <w:r>
        <w:rPr>
          <w:color w:val="auto"/>
          <w:lang w:val="en-US"/>
        </w:rPr>
        <w:t>备案数据。</w:t>
      </w:r>
      <w:r>
        <w:rPr>
          <w:color w:val="auto"/>
        </w:rPr>
        <w:t>本项目根据处置危废的类别，按急性毒性对混合物（危害性）的分类见表</w:t>
      </w:r>
      <w:r>
        <w:rPr>
          <w:color w:val="auto"/>
        </w:rPr>
        <w:t>5.8-1</w:t>
      </w:r>
      <w:r>
        <w:rPr>
          <w:color w:val="auto"/>
        </w:rPr>
        <w:t>。</w:t>
      </w:r>
    </w:p>
    <w:p w14:paraId="23074F1F" w14:textId="77777777" w:rsidR="002E474C" w:rsidRDefault="00000000">
      <w:pPr>
        <w:pStyle w:val="A--"/>
        <w:rPr>
          <w:color w:val="auto"/>
        </w:rPr>
      </w:pPr>
      <w:r>
        <w:rPr>
          <w:color w:val="auto"/>
        </w:rPr>
        <w:t>表</w:t>
      </w:r>
      <w:r>
        <w:rPr>
          <w:color w:val="auto"/>
        </w:rPr>
        <w:t>5.8</w:t>
      </w:r>
      <w:r>
        <w:rPr>
          <w:color w:val="auto"/>
        </w:rPr>
        <w:noBreakHyphen/>
        <w:t xml:space="preserve">1  </w:t>
      </w:r>
      <w:r>
        <w:rPr>
          <w:color w:val="auto"/>
        </w:rPr>
        <w:t>急性毒性的分类表</w:t>
      </w:r>
    </w:p>
    <w:tbl>
      <w:tblPr>
        <w:tblW w:w="5000" w:type="pct"/>
        <w:tblCellMar>
          <w:left w:w="0" w:type="dxa"/>
          <w:right w:w="0" w:type="dxa"/>
        </w:tblCellMar>
        <w:tblLook w:val="04A0" w:firstRow="1" w:lastRow="0" w:firstColumn="1" w:lastColumn="0" w:noHBand="0" w:noVBand="1"/>
      </w:tblPr>
      <w:tblGrid>
        <w:gridCol w:w="2762"/>
        <w:gridCol w:w="2397"/>
        <w:gridCol w:w="1364"/>
        <w:gridCol w:w="923"/>
        <w:gridCol w:w="850"/>
      </w:tblGrid>
      <w:tr w:rsidR="002E474C" w14:paraId="008F4F84"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7325BC" w14:textId="77777777" w:rsidR="002E474C" w:rsidRDefault="00000000">
            <w:pPr>
              <w:pStyle w:val="A-"/>
            </w:pPr>
            <w:r>
              <w:t>混合物种类</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7B9674" w14:textId="77777777" w:rsidR="002E474C" w:rsidRDefault="00000000">
            <w:pPr>
              <w:pStyle w:val="A-"/>
            </w:pPr>
            <w:r>
              <w:t>假设主要成分</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47D554" w14:textId="77777777" w:rsidR="002E474C" w:rsidRDefault="00000000">
            <w:pPr>
              <w:pStyle w:val="A-"/>
            </w:pPr>
            <w:r>
              <w:t>LD50mg/kg</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CFD4A7" w14:textId="77777777" w:rsidR="002E474C" w:rsidRDefault="00000000">
            <w:pPr>
              <w:pStyle w:val="A-"/>
            </w:pPr>
            <w:proofErr w:type="spellStart"/>
            <w:r>
              <w:t>ATEmix</w:t>
            </w:r>
            <w:proofErr w:type="spellEnd"/>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1DDC0A" w14:textId="77777777" w:rsidR="002E474C" w:rsidRDefault="00000000">
            <w:pPr>
              <w:pStyle w:val="A-"/>
            </w:pPr>
            <w:r>
              <w:t>类别</w:t>
            </w:r>
          </w:p>
        </w:tc>
      </w:tr>
      <w:tr w:rsidR="002E474C" w14:paraId="0464E1C7"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EA334D" w14:textId="77777777" w:rsidR="002E474C" w:rsidRDefault="00000000">
            <w:pPr>
              <w:pStyle w:val="A-"/>
            </w:pPr>
            <w:r>
              <w:t>HW04</w:t>
            </w:r>
            <w:r>
              <w:t>农药废物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BEDB3A" w14:textId="77777777" w:rsidR="002E474C" w:rsidRDefault="00000000">
            <w:pPr>
              <w:pStyle w:val="A-"/>
            </w:pPr>
            <w:r>
              <w:t>有机磷农药毒死蜱</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ED25A2" w14:textId="77777777" w:rsidR="002E474C" w:rsidRDefault="00000000">
            <w:pPr>
              <w:pStyle w:val="A-"/>
            </w:pPr>
            <w:r>
              <w:t>163</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C9AD1C" w14:textId="77777777" w:rsidR="002E474C" w:rsidRDefault="00000000">
            <w:pPr>
              <w:pStyle w:val="A-"/>
            </w:pPr>
            <w:r>
              <w:t>181</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0315B8" w14:textId="77777777" w:rsidR="002E474C" w:rsidRDefault="00000000">
            <w:pPr>
              <w:pStyle w:val="A-"/>
            </w:pPr>
            <w:r>
              <w:t>类别</w:t>
            </w:r>
            <w:r>
              <w:t>3</w:t>
            </w:r>
          </w:p>
        </w:tc>
      </w:tr>
      <w:tr w:rsidR="002E474C" w14:paraId="073AB3D4"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365008" w14:textId="77777777" w:rsidR="002E474C" w:rsidRDefault="00000000">
            <w:pPr>
              <w:pStyle w:val="A-"/>
            </w:pPr>
            <w:r>
              <w:t>HW07</w:t>
            </w:r>
            <w:r>
              <w:t>热处理含氰废物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A91A5A" w14:textId="77777777" w:rsidR="002E474C" w:rsidRDefault="00000000">
            <w:pPr>
              <w:pStyle w:val="A-"/>
            </w:pPr>
            <w:r>
              <w:t>中等毒氰化物</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64A132" w14:textId="77777777" w:rsidR="002E474C" w:rsidRDefault="00000000">
            <w:pPr>
              <w:pStyle w:val="A-"/>
            </w:pPr>
            <w:r>
              <w:t>6.4</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88E557" w14:textId="77777777" w:rsidR="002E474C" w:rsidRDefault="00000000">
            <w:pPr>
              <w:pStyle w:val="A-"/>
            </w:pPr>
            <w:r>
              <w:t>55.6</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D2FCD8" w14:textId="77777777" w:rsidR="002E474C" w:rsidRDefault="00000000">
            <w:pPr>
              <w:pStyle w:val="A-"/>
            </w:pPr>
            <w:r>
              <w:t>类别</w:t>
            </w:r>
            <w:r>
              <w:t>3</w:t>
            </w:r>
          </w:p>
        </w:tc>
      </w:tr>
      <w:tr w:rsidR="002E474C" w14:paraId="4E92922F"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1178D2" w14:textId="77777777" w:rsidR="002E474C" w:rsidRDefault="00000000">
            <w:pPr>
              <w:pStyle w:val="A-"/>
            </w:pPr>
            <w:r>
              <w:t>HW19</w:t>
            </w:r>
            <w:r>
              <w:t>含金属羰基化合物废物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5501F5" w14:textId="77777777" w:rsidR="002E474C" w:rsidRDefault="00000000">
            <w:pPr>
              <w:pStyle w:val="A-"/>
            </w:pPr>
            <w:r>
              <w:t>羰基镍</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38DC9D" w14:textId="77777777" w:rsidR="002E474C" w:rsidRDefault="00000000">
            <w:pPr>
              <w:pStyle w:val="A-"/>
            </w:pPr>
            <w:r>
              <w:t>39</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7426E3" w14:textId="77777777" w:rsidR="002E474C" w:rsidRDefault="00000000">
            <w:pPr>
              <w:pStyle w:val="A-"/>
            </w:pPr>
            <w:r>
              <w:t>55.6</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04A09D" w14:textId="77777777" w:rsidR="002E474C" w:rsidRDefault="00000000">
            <w:pPr>
              <w:pStyle w:val="A-"/>
            </w:pPr>
            <w:r>
              <w:t>类别</w:t>
            </w:r>
            <w:r>
              <w:t>3</w:t>
            </w:r>
          </w:p>
        </w:tc>
      </w:tr>
      <w:tr w:rsidR="002E474C" w14:paraId="64F101CC"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FEE52C" w14:textId="77777777" w:rsidR="002E474C" w:rsidRDefault="00000000">
            <w:pPr>
              <w:pStyle w:val="A-"/>
            </w:pPr>
            <w:r>
              <w:t>HW20</w:t>
            </w:r>
            <w:r>
              <w:t>含铍废物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AAA97E" w14:textId="77777777" w:rsidR="002E474C" w:rsidRDefault="00000000">
            <w:pPr>
              <w:pStyle w:val="A-"/>
            </w:pPr>
            <w:r>
              <w:t>氯化铍</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351ED1" w14:textId="77777777" w:rsidR="002E474C" w:rsidRDefault="00000000">
            <w:pPr>
              <w:pStyle w:val="A-"/>
            </w:pPr>
            <w:r>
              <w:t>86</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EBFBD0" w14:textId="77777777" w:rsidR="002E474C" w:rsidRDefault="00000000">
            <w:pPr>
              <w:pStyle w:val="A-"/>
            </w:pPr>
            <w:r>
              <w:t>325</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2823C4" w14:textId="77777777" w:rsidR="002E474C" w:rsidRDefault="00000000">
            <w:pPr>
              <w:pStyle w:val="A-"/>
            </w:pPr>
            <w:r>
              <w:t>类别</w:t>
            </w:r>
            <w:r>
              <w:t>3</w:t>
            </w:r>
          </w:p>
        </w:tc>
      </w:tr>
      <w:tr w:rsidR="002E474C" w14:paraId="36504DED"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DEE905" w14:textId="77777777" w:rsidR="002E474C" w:rsidRDefault="00000000">
            <w:pPr>
              <w:pStyle w:val="A-"/>
            </w:pPr>
            <w:r>
              <w:t>HW21</w:t>
            </w:r>
            <w:r>
              <w:t>含铬废物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9E2C99" w14:textId="77777777" w:rsidR="002E474C" w:rsidRDefault="00000000">
            <w:pPr>
              <w:pStyle w:val="A-"/>
            </w:pPr>
            <w:r>
              <w:t>铬化物</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21C3DE" w14:textId="77777777" w:rsidR="002E474C" w:rsidRDefault="00000000">
            <w:pPr>
              <w:pStyle w:val="A-"/>
            </w:pPr>
            <w:r>
              <w:t>187</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641722"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D83404" w14:textId="77777777" w:rsidR="002E474C" w:rsidRDefault="00000000">
            <w:pPr>
              <w:pStyle w:val="A-"/>
            </w:pPr>
            <w:r>
              <w:t>类别</w:t>
            </w:r>
            <w:r>
              <w:t>4</w:t>
            </w:r>
          </w:p>
        </w:tc>
      </w:tr>
      <w:tr w:rsidR="002E474C" w14:paraId="456DAB43"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CA5A15" w14:textId="77777777" w:rsidR="002E474C" w:rsidRDefault="00000000">
            <w:pPr>
              <w:pStyle w:val="A-"/>
            </w:pPr>
            <w:r>
              <w:t>HW22</w:t>
            </w:r>
            <w:r>
              <w:t>含铜废物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EEC16E" w14:textId="77777777" w:rsidR="002E474C" w:rsidRDefault="00000000">
            <w:pPr>
              <w:pStyle w:val="A-"/>
            </w:pPr>
            <w:r>
              <w:t>硫酸铜</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7F5EB9" w14:textId="77777777" w:rsidR="002E474C" w:rsidRDefault="00000000">
            <w:pPr>
              <w:pStyle w:val="A-"/>
            </w:pPr>
            <w:r>
              <w:t>300</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6196CE"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E32E22" w14:textId="77777777" w:rsidR="002E474C" w:rsidRDefault="00000000">
            <w:pPr>
              <w:pStyle w:val="A-"/>
            </w:pPr>
            <w:r>
              <w:t>类别</w:t>
            </w:r>
            <w:r>
              <w:t>4</w:t>
            </w:r>
          </w:p>
        </w:tc>
      </w:tr>
      <w:tr w:rsidR="002E474C" w14:paraId="2FF80B5D"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500C2C" w14:textId="77777777" w:rsidR="002E474C" w:rsidRDefault="00000000">
            <w:pPr>
              <w:pStyle w:val="A-"/>
            </w:pPr>
            <w:r>
              <w:t>HW24</w:t>
            </w:r>
            <w:r>
              <w:t>含砷废物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EFBDDD" w14:textId="77777777" w:rsidR="002E474C" w:rsidRDefault="00000000">
            <w:pPr>
              <w:pStyle w:val="A-"/>
            </w:pPr>
            <w:r>
              <w:t>砷酸盐</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53A4DF" w14:textId="77777777" w:rsidR="002E474C" w:rsidRDefault="00000000">
            <w:pPr>
              <w:pStyle w:val="A-"/>
            </w:pPr>
            <w:r>
              <w:t>150</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E8D3D5"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135D89" w14:textId="77777777" w:rsidR="002E474C" w:rsidRDefault="00000000">
            <w:pPr>
              <w:pStyle w:val="A-"/>
            </w:pPr>
            <w:r>
              <w:t>类别</w:t>
            </w:r>
            <w:r>
              <w:t>4</w:t>
            </w:r>
          </w:p>
        </w:tc>
      </w:tr>
      <w:tr w:rsidR="002E474C" w14:paraId="62335AF6"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D8CA45" w14:textId="77777777" w:rsidR="002E474C" w:rsidRDefault="00000000">
            <w:pPr>
              <w:pStyle w:val="A-"/>
            </w:pPr>
            <w:r>
              <w:t>HW31</w:t>
            </w:r>
            <w:r>
              <w:t>含铅废物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D4B0F3" w14:textId="77777777" w:rsidR="002E474C" w:rsidRDefault="00000000">
            <w:pPr>
              <w:pStyle w:val="A-"/>
            </w:pPr>
            <w:r>
              <w:t>硝酸铅</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954C18" w14:textId="77777777" w:rsidR="002E474C" w:rsidRDefault="00000000">
            <w:pPr>
              <w:pStyle w:val="A-"/>
            </w:pPr>
            <w:r>
              <w:t>290</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950B43"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DDDB50" w14:textId="77777777" w:rsidR="002E474C" w:rsidRDefault="00000000">
            <w:pPr>
              <w:pStyle w:val="A-"/>
            </w:pPr>
            <w:r>
              <w:t>类别</w:t>
            </w:r>
            <w:r>
              <w:t>4</w:t>
            </w:r>
          </w:p>
        </w:tc>
      </w:tr>
      <w:tr w:rsidR="002E474C" w14:paraId="58D11541"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357378" w14:textId="77777777" w:rsidR="002E474C" w:rsidRDefault="00000000">
            <w:pPr>
              <w:pStyle w:val="A-"/>
            </w:pPr>
            <w:r>
              <w:t>HW33</w:t>
            </w:r>
            <w:r>
              <w:t>无机氰化物废物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9BB636" w14:textId="77777777" w:rsidR="002E474C" w:rsidRDefault="00000000">
            <w:pPr>
              <w:pStyle w:val="A-"/>
            </w:pPr>
            <w:r>
              <w:t>氰化钾</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A9F382" w14:textId="77777777" w:rsidR="002E474C" w:rsidRDefault="00000000">
            <w:pPr>
              <w:pStyle w:val="A-"/>
            </w:pPr>
            <w:r>
              <w:t>5.2</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EF9D6B" w14:textId="77777777" w:rsidR="002E474C" w:rsidRDefault="00000000">
            <w:pPr>
              <w:pStyle w:val="A-"/>
            </w:pPr>
            <w:r>
              <w:t>55.6</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76C786" w14:textId="77777777" w:rsidR="002E474C" w:rsidRDefault="00000000">
            <w:pPr>
              <w:pStyle w:val="A-"/>
            </w:pPr>
            <w:r>
              <w:t>类别</w:t>
            </w:r>
            <w:r>
              <w:t>3</w:t>
            </w:r>
          </w:p>
        </w:tc>
      </w:tr>
      <w:tr w:rsidR="002E474C" w14:paraId="01DE4B5A"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293394" w14:textId="77777777" w:rsidR="002E474C" w:rsidRDefault="00000000">
            <w:pPr>
              <w:pStyle w:val="A-"/>
            </w:pPr>
            <w:r>
              <w:lastRenderedPageBreak/>
              <w:t>HW37</w:t>
            </w:r>
            <w:r>
              <w:t>有机磷化合物废物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ACB439" w14:textId="77777777" w:rsidR="002E474C" w:rsidRDefault="00000000">
            <w:pPr>
              <w:pStyle w:val="A-"/>
            </w:pPr>
            <w:r>
              <w:t>有机磷脂</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8AA10E" w14:textId="77777777" w:rsidR="002E474C" w:rsidRDefault="00000000">
            <w:pPr>
              <w:pStyle w:val="A-"/>
            </w:pPr>
            <w:r>
              <w:t>180</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5198B0"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395B627E" w14:textId="77777777" w:rsidR="002E474C" w:rsidRDefault="00000000">
            <w:pPr>
              <w:pStyle w:val="A-"/>
            </w:pPr>
            <w:r>
              <w:t>类别</w:t>
            </w:r>
            <w:r>
              <w:t>4</w:t>
            </w:r>
          </w:p>
        </w:tc>
      </w:tr>
      <w:tr w:rsidR="002E474C" w14:paraId="2D134DAB"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FD6B6D" w14:textId="77777777" w:rsidR="002E474C" w:rsidRDefault="00000000">
            <w:pPr>
              <w:pStyle w:val="A-"/>
            </w:pPr>
            <w:r>
              <w:t>HW38</w:t>
            </w:r>
            <w:r>
              <w:t>有机氰化废物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0F0320" w14:textId="77777777" w:rsidR="002E474C" w:rsidRDefault="00000000">
            <w:pPr>
              <w:pStyle w:val="A-"/>
            </w:pPr>
            <w:r>
              <w:t>丙烯腈</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F7BAE4" w14:textId="77777777" w:rsidR="002E474C" w:rsidRDefault="00000000">
            <w:pPr>
              <w:pStyle w:val="A-"/>
            </w:pPr>
            <w:r>
              <w:t>93</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C9959E"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C7DB19A" w14:textId="77777777" w:rsidR="002E474C" w:rsidRDefault="00000000">
            <w:pPr>
              <w:pStyle w:val="A-"/>
            </w:pPr>
            <w:r>
              <w:t>类别</w:t>
            </w:r>
            <w:r>
              <w:t>4</w:t>
            </w:r>
          </w:p>
        </w:tc>
      </w:tr>
      <w:tr w:rsidR="002E474C" w14:paraId="59B77FB4"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97622D" w14:textId="77777777" w:rsidR="002E474C" w:rsidRDefault="00000000">
            <w:pPr>
              <w:pStyle w:val="A-"/>
            </w:pPr>
            <w:r>
              <w:t xml:space="preserve">HW39 </w:t>
            </w:r>
            <w:r>
              <w:t>含酚废物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9E3602" w14:textId="77777777" w:rsidR="002E474C" w:rsidRDefault="00000000">
            <w:pPr>
              <w:pStyle w:val="A-"/>
            </w:pPr>
            <w:r>
              <w:t>苯酚</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8AC683" w14:textId="77777777" w:rsidR="002E474C" w:rsidRDefault="00000000">
            <w:pPr>
              <w:pStyle w:val="A-"/>
            </w:pPr>
            <w:r>
              <w:t>317</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EE7CFC"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03DB0E2" w14:textId="77777777" w:rsidR="002E474C" w:rsidRDefault="00000000">
            <w:pPr>
              <w:pStyle w:val="A-"/>
            </w:pPr>
            <w:r>
              <w:t>类别</w:t>
            </w:r>
            <w:r>
              <w:t>4</w:t>
            </w:r>
          </w:p>
        </w:tc>
      </w:tr>
      <w:tr w:rsidR="002E474C" w14:paraId="3D85B2AF" w14:textId="77777777">
        <w:trPr>
          <w:trHeight w:val="255"/>
        </w:trPr>
        <w:tc>
          <w:tcPr>
            <w:tcW w:w="16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AAFFAB" w14:textId="77777777" w:rsidR="002E474C" w:rsidRDefault="00000000">
            <w:pPr>
              <w:pStyle w:val="A-"/>
            </w:pPr>
            <w:r>
              <w:t>HW47</w:t>
            </w:r>
            <w:r>
              <w:t>含钡废物</w:t>
            </w:r>
          </w:p>
        </w:tc>
        <w:tc>
          <w:tcPr>
            <w:tcW w:w="14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1F4533" w14:textId="77777777" w:rsidR="002E474C" w:rsidRDefault="00000000">
            <w:pPr>
              <w:pStyle w:val="A-"/>
            </w:pPr>
            <w:r>
              <w:t>氯化钡</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AE7597" w14:textId="77777777" w:rsidR="002E474C" w:rsidRDefault="00000000">
            <w:pPr>
              <w:pStyle w:val="A-"/>
            </w:pPr>
            <w:r>
              <w:t>118</w:t>
            </w:r>
          </w:p>
        </w:tc>
        <w:tc>
          <w:tcPr>
            <w:tcW w:w="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E20750" w14:textId="77777777" w:rsidR="002E474C" w:rsidRDefault="00000000">
            <w:pPr>
              <w:pStyle w:val="A-"/>
            </w:pPr>
            <w:r>
              <w:t>333</w:t>
            </w:r>
          </w:p>
        </w:tc>
        <w:tc>
          <w:tcPr>
            <w:tcW w:w="51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3D3F394A" w14:textId="77777777" w:rsidR="002E474C" w:rsidRDefault="00000000">
            <w:pPr>
              <w:pStyle w:val="A-"/>
            </w:pPr>
            <w:r>
              <w:t>类别</w:t>
            </w:r>
            <w:r>
              <w:t>4</w:t>
            </w:r>
          </w:p>
        </w:tc>
      </w:tr>
    </w:tbl>
    <w:p w14:paraId="4D24C581" w14:textId="77777777" w:rsidR="002E474C" w:rsidRDefault="002E474C">
      <w:pPr>
        <w:pStyle w:val="w3"/>
      </w:pPr>
    </w:p>
    <w:p w14:paraId="16B9CF37" w14:textId="77777777" w:rsidR="002E474C" w:rsidRDefault="00000000">
      <w:pPr>
        <w:pStyle w:val="41"/>
        <w:rPr>
          <w:color w:val="auto"/>
        </w:rPr>
      </w:pPr>
      <w:r>
        <w:rPr>
          <w:color w:val="auto"/>
        </w:rPr>
        <w:t>环境敏感目标调查</w:t>
      </w:r>
    </w:p>
    <w:p w14:paraId="714F334A" w14:textId="77777777" w:rsidR="002E474C" w:rsidRDefault="00000000">
      <w:pPr>
        <w:pStyle w:val="A-z"/>
        <w:rPr>
          <w:color w:val="auto"/>
        </w:rPr>
      </w:pPr>
      <w:r>
        <w:rPr>
          <w:color w:val="auto"/>
        </w:rPr>
        <w:t>项目环境风险敏感目标见表</w:t>
      </w:r>
      <w:r>
        <w:rPr>
          <w:color w:val="auto"/>
        </w:rPr>
        <w:t>5.8</w:t>
      </w:r>
      <w:r>
        <w:rPr>
          <w:color w:val="auto"/>
        </w:rPr>
        <w:noBreakHyphen/>
        <w:t>2</w:t>
      </w:r>
      <w:r>
        <w:rPr>
          <w:color w:val="auto"/>
        </w:rPr>
        <w:t>。</w:t>
      </w:r>
    </w:p>
    <w:p w14:paraId="066F9493" w14:textId="77777777" w:rsidR="002E474C" w:rsidRDefault="00000000">
      <w:pPr>
        <w:pStyle w:val="A--"/>
        <w:rPr>
          <w:color w:val="auto"/>
        </w:rPr>
      </w:pPr>
      <w:bookmarkStart w:id="319" w:name="_Ref130479512"/>
      <w:r>
        <w:rPr>
          <w:color w:val="auto"/>
        </w:rPr>
        <w:t>表</w:t>
      </w:r>
      <w:r>
        <w:rPr>
          <w:color w:val="auto"/>
        </w:rPr>
        <w:t>5.8</w:t>
      </w:r>
      <w:r>
        <w:rPr>
          <w:color w:val="auto"/>
        </w:rPr>
        <w:noBreakHyphen/>
        <w:t>2</w:t>
      </w:r>
      <w:bookmarkEnd w:id="319"/>
      <w:r>
        <w:rPr>
          <w:color w:val="auto"/>
        </w:rPr>
        <w:t xml:space="preserve">  </w:t>
      </w:r>
      <w:r>
        <w:rPr>
          <w:color w:val="auto"/>
        </w:rPr>
        <w:t>项目环境风险敏感目标一览表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058"/>
        <w:gridCol w:w="2089"/>
        <w:gridCol w:w="1059"/>
        <w:gridCol w:w="944"/>
        <w:gridCol w:w="2346"/>
        <w:gridCol w:w="800"/>
      </w:tblGrid>
      <w:tr w:rsidR="002E474C" w14:paraId="264EB568" w14:textId="77777777">
        <w:trPr>
          <w:cantSplit/>
          <w:trHeight w:val="241"/>
          <w:jc w:val="center"/>
        </w:trPr>
        <w:tc>
          <w:tcPr>
            <w:tcW w:w="1062" w:type="dxa"/>
            <w:vMerge w:val="restart"/>
            <w:vAlign w:val="center"/>
          </w:tcPr>
          <w:p w14:paraId="01A37418" w14:textId="77777777" w:rsidR="002E474C" w:rsidRDefault="00000000">
            <w:pPr>
              <w:pStyle w:val="A-"/>
            </w:pPr>
            <w:r>
              <w:t>环境要素</w:t>
            </w:r>
          </w:p>
        </w:tc>
        <w:tc>
          <w:tcPr>
            <w:tcW w:w="2097" w:type="dxa"/>
            <w:vMerge w:val="restart"/>
            <w:vAlign w:val="center"/>
          </w:tcPr>
          <w:p w14:paraId="76A96208" w14:textId="77777777" w:rsidR="002E474C" w:rsidRDefault="00000000">
            <w:pPr>
              <w:pStyle w:val="A-"/>
            </w:pPr>
            <w:r>
              <w:t>敏感目标名称</w:t>
            </w:r>
          </w:p>
        </w:tc>
        <w:tc>
          <w:tcPr>
            <w:tcW w:w="1063" w:type="dxa"/>
            <w:vMerge w:val="restart"/>
            <w:vAlign w:val="center"/>
          </w:tcPr>
          <w:p w14:paraId="5B22B847" w14:textId="77777777" w:rsidR="002E474C" w:rsidRDefault="00000000">
            <w:pPr>
              <w:pStyle w:val="A-"/>
            </w:pPr>
            <w:r>
              <w:t>相对方位</w:t>
            </w:r>
          </w:p>
        </w:tc>
        <w:tc>
          <w:tcPr>
            <w:tcW w:w="948" w:type="dxa"/>
            <w:vMerge w:val="restart"/>
            <w:vAlign w:val="center"/>
          </w:tcPr>
          <w:p w14:paraId="5E046C69" w14:textId="77777777" w:rsidR="002E474C" w:rsidRDefault="00000000">
            <w:pPr>
              <w:pStyle w:val="A-"/>
            </w:pPr>
            <w:r>
              <w:t>距离</w:t>
            </w:r>
            <w:r>
              <w:t>/km</w:t>
            </w:r>
          </w:p>
        </w:tc>
        <w:tc>
          <w:tcPr>
            <w:tcW w:w="2355" w:type="dxa"/>
            <w:vMerge w:val="restart"/>
            <w:vAlign w:val="center"/>
          </w:tcPr>
          <w:p w14:paraId="6ABFD235" w14:textId="77777777" w:rsidR="002E474C" w:rsidRDefault="00000000">
            <w:pPr>
              <w:pStyle w:val="A-"/>
            </w:pPr>
            <w:r>
              <w:t>属性</w:t>
            </w:r>
          </w:p>
        </w:tc>
        <w:tc>
          <w:tcPr>
            <w:tcW w:w="803" w:type="dxa"/>
            <w:vMerge w:val="restart"/>
            <w:vAlign w:val="center"/>
          </w:tcPr>
          <w:p w14:paraId="5BF021D4" w14:textId="77777777" w:rsidR="002E474C" w:rsidRDefault="00000000">
            <w:pPr>
              <w:pStyle w:val="A-"/>
            </w:pPr>
            <w:r>
              <w:t>人口数</w:t>
            </w:r>
          </w:p>
        </w:tc>
      </w:tr>
      <w:tr w:rsidR="002E474C" w14:paraId="3CDCE226" w14:textId="77777777">
        <w:trPr>
          <w:cantSplit/>
          <w:trHeight w:val="241"/>
          <w:jc w:val="center"/>
        </w:trPr>
        <w:tc>
          <w:tcPr>
            <w:tcW w:w="1062" w:type="dxa"/>
            <w:vMerge/>
            <w:vAlign w:val="center"/>
          </w:tcPr>
          <w:p w14:paraId="34922622" w14:textId="77777777" w:rsidR="002E474C" w:rsidRDefault="002E474C">
            <w:pPr>
              <w:pStyle w:val="A-"/>
            </w:pPr>
          </w:p>
        </w:tc>
        <w:tc>
          <w:tcPr>
            <w:tcW w:w="2097" w:type="dxa"/>
            <w:vMerge/>
            <w:vAlign w:val="center"/>
          </w:tcPr>
          <w:p w14:paraId="65CDA78A" w14:textId="77777777" w:rsidR="002E474C" w:rsidRDefault="002E474C">
            <w:pPr>
              <w:pStyle w:val="A-"/>
            </w:pPr>
          </w:p>
        </w:tc>
        <w:tc>
          <w:tcPr>
            <w:tcW w:w="1063" w:type="dxa"/>
            <w:vMerge/>
            <w:vAlign w:val="center"/>
          </w:tcPr>
          <w:p w14:paraId="1DA13406" w14:textId="77777777" w:rsidR="002E474C" w:rsidRDefault="002E474C">
            <w:pPr>
              <w:pStyle w:val="A-"/>
            </w:pPr>
          </w:p>
        </w:tc>
        <w:tc>
          <w:tcPr>
            <w:tcW w:w="948" w:type="dxa"/>
            <w:vMerge/>
            <w:vAlign w:val="center"/>
          </w:tcPr>
          <w:p w14:paraId="4C558A51" w14:textId="77777777" w:rsidR="002E474C" w:rsidRDefault="002E474C">
            <w:pPr>
              <w:pStyle w:val="A-"/>
            </w:pPr>
          </w:p>
        </w:tc>
        <w:tc>
          <w:tcPr>
            <w:tcW w:w="2355" w:type="dxa"/>
            <w:vMerge/>
            <w:vAlign w:val="center"/>
          </w:tcPr>
          <w:p w14:paraId="08A831DA" w14:textId="77777777" w:rsidR="002E474C" w:rsidRDefault="002E474C">
            <w:pPr>
              <w:pStyle w:val="A-"/>
            </w:pPr>
          </w:p>
        </w:tc>
        <w:tc>
          <w:tcPr>
            <w:tcW w:w="803" w:type="dxa"/>
            <w:vMerge/>
            <w:vAlign w:val="center"/>
          </w:tcPr>
          <w:p w14:paraId="378D254E" w14:textId="77777777" w:rsidR="002E474C" w:rsidRDefault="002E474C">
            <w:pPr>
              <w:pStyle w:val="A-"/>
            </w:pPr>
          </w:p>
        </w:tc>
      </w:tr>
      <w:tr w:rsidR="002E474C" w14:paraId="77544C0D" w14:textId="77777777">
        <w:trPr>
          <w:cantSplit/>
          <w:jc w:val="center"/>
        </w:trPr>
        <w:tc>
          <w:tcPr>
            <w:tcW w:w="1062" w:type="dxa"/>
            <w:vMerge w:val="restart"/>
            <w:vAlign w:val="center"/>
          </w:tcPr>
          <w:p w14:paraId="00DCAA38" w14:textId="77777777" w:rsidR="002E474C" w:rsidRDefault="00000000">
            <w:pPr>
              <w:pStyle w:val="A-"/>
            </w:pPr>
            <w:r>
              <w:t>环境</w:t>
            </w:r>
          </w:p>
          <w:p w14:paraId="2C7AD4BA" w14:textId="77777777" w:rsidR="002E474C" w:rsidRDefault="00000000">
            <w:pPr>
              <w:pStyle w:val="A-"/>
            </w:pPr>
            <w:r>
              <w:t>空气</w:t>
            </w:r>
          </w:p>
        </w:tc>
        <w:tc>
          <w:tcPr>
            <w:tcW w:w="2097" w:type="dxa"/>
            <w:vAlign w:val="center"/>
          </w:tcPr>
          <w:p w14:paraId="7F3FA7C1" w14:textId="77777777" w:rsidR="002E474C" w:rsidRDefault="00000000">
            <w:pPr>
              <w:pStyle w:val="A-"/>
            </w:pPr>
            <w:r>
              <w:t>阿乐惠镇</w:t>
            </w:r>
          </w:p>
        </w:tc>
        <w:tc>
          <w:tcPr>
            <w:tcW w:w="1063" w:type="dxa"/>
            <w:vAlign w:val="center"/>
          </w:tcPr>
          <w:p w14:paraId="481387B1" w14:textId="77777777" w:rsidR="002E474C" w:rsidRDefault="00000000">
            <w:pPr>
              <w:pStyle w:val="A-"/>
            </w:pPr>
            <w:r>
              <w:t>西</w:t>
            </w:r>
          </w:p>
        </w:tc>
        <w:tc>
          <w:tcPr>
            <w:tcW w:w="948" w:type="dxa"/>
            <w:vAlign w:val="center"/>
          </w:tcPr>
          <w:p w14:paraId="30497B2D" w14:textId="77777777" w:rsidR="002E474C" w:rsidRDefault="00000000">
            <w:pPr>
              <w:pStyle w:val="A-"/>
            </w:pPr>
            <w:r>
              <w:t>3</w:t>
            </w:r>
          </w:p>
        </w:tc>
        <w:tc>
          <w:tcPr>
            <w:tcW w:w="2355" w:type="dxa"/>
            <w:vAlign w:val="center"/>
          </w:tcPr>
          <w:p w14:paraId="0E073A14" w14:textId="77777777" w:rsidR="002E474C" w:rsidRDefault="00000000">
            <w:pPr>
              <w:pStyle w:val="A-"/>
            </w:pPr>
            <w:r>
              <w:t>居住、医疗、学校、</w:t>
            </w:r>
          </w:p>
          <w:p w14:paraId="464BC4BE" w14:textId="77777777" w:rsidR="002E474C" w:rsidRDefault="00000000">
            <w:pPr>
              <w:pStyle w:val="A-"/>
            </w:pPr>
            <w:r>
              <w:t>行政办公混合区</w:t>
            </w:r>
          </w:p>
        </w:tc>
        <w:tc>
          <w:tcPr>
            <w:tcW w:w="803" w:type="dxa"/>
            <w:vAlign w:val="center"/>
          </w:tcPr>
          <w:p w14:paraId="63C77EB2" w14:textId="77777777" w:rsidR="002E474C" w:rsidRDefault="00000000">
            <w:pPr>
              <w:pStyle w:val="A-"/>
            </w:pPr>
            <w:r>
              <w:t>1600</w:t>
            </w:r>
            <w:r>
              <w:t>人</w:t>
            </w:r>
          </w:p>
        </w:tc>
      </w:tr>
      <w:tr w:rsidR="002E474C" w14:paraId="55390CD1" w14:textId="77777777">
        <w:trPr>
          <w:cantSplit/>
          <w:jc w:val="center"/>
        </w:trPr>
        <w:tc>
          <w:tcPr>
            <w:tcW w:w="1062" w:type="dxa"/>
            <w:vMerge/>
            <w:vAlign w:val="center"/>
          </w:tcPr>
          <w:p w14:paraId="77F6834F" w14:textId="77777777" w:rsidR="002E474C" w:rsidRDefault="002E474C">
            <w:pPr>
              <w:pStyle w:val="A-"/>
            </w:pPr>
          </w:p>
        </w:tc>
        <w:tc>
          <w:tcPr>
            <w:tcW w:w="2097" w:type="dxa"/>
            <w:vAlign w:val="center"/>
          </w:tcPr>
          <w:p w14:paraId="47185FD1" w14:textId="77777777" w:rsidR="002E474C" w:rsidRDefault="00000000">
            <w:pPr>
              <w:pStyle w:val="A-"/>
            </w:pPr>
            <w:r>
              <w:t>电石公司员工公寓</w:t>
            </w:r>
          </w:p>
        </w:tc>
        <w:tc>
          <w:tcPr>
            <w:tcW w:w="1063" w:type="dxa"/>
            <w:vAlign w:val="center"/>
          </w:tcPr>
          <w:p w14:paraId="0D20A0FB" w14:textId="77777777" w:rsidR="002E474C" w:rsidRDefault="00000000">
            <w:pPr>
              <w:pStyle w:val="A-"/>
            </w:pPr>
            <w:r>
              <w:t>西</w:t>
            </w:r>
          </w:p>
        </w:tc>
        <w:tc>
          <w:tcPr>
            <w:tcW w:w="948" w:type="dxa"/>
            <w:vAlign w:val="center"/>
          </w:tcPr>
          <w:p w14:paraId="37CC7EAC" w14:textId="77777777" w:rsidR="002E474C" w:rsidRDefault="00000000">
            <w:pPr>
              <w:pStyle w:val="A-"/>
            </w:pPr>
            <w:r>
              <w:t>1.8</w:t>
            </w:r>
          </w:p>
        </w:tc>
        <w:tc>
          <w:tcPr>
            <w:tcW w:w="2355" w:type="dxa"/>
            <w:vAlign w:val="center"/>
          </w:tcPr>
          <w:p w14:paraId="3B245CE2" w14:textId="77777777" w:rsidR="002E474C" w:rsidRDefault="00000000">
            <w:pPr>
              <w:pStyle w:val="A-"/>
            </w:pPr>
            <w:r>
              <w:t>居住</w:t>
            </w:r>
          </w:p>
        </w:tc>
        <w:tc>
          <w:tcPr>
            <w:tcW w:w="803" w:type="dxa"/>
            <w:vAlign w:val="center"/>
          </w:tcPr>
          <w:p w14:paraId="7D0C201E" w14:textId="77777777" w:rsidR="002E474C" w:rsidRDefault="00000000">
            <w:pPr>
              <w:pStyle w:val="A-"/>
            </w:pPr>
            <w:r>
              <w:t>450</w:t>
            </w:r>
            <w:r>
              <w:t>人</w:t>
            </w:r>
          </w:p>
        </w:tc>
      </w:tr>
    </w:tbl>
    <w:p w14:paraId="08AD99C0" w14:textId="77777777" w:rsidR="002E474C" w:rsidRDefault="002E474C">
      <w:pPr>
        <w:pStyle w:val="A--"/>
        <w:rPr>
          <w:color w:val="auto"/>
        </w:rPr>
      </w:pPr>
    </w:p>
    <w:p w14:paraId="06F01CD7" w14:textId="77777777" w:rsidR="002E474C" w:rsidRDefault="00000000">
      <w:pPr>
        <w:pStyle w:val="31"/>
        <w:spacing w:before="120" w:after="120"/>
        <w:rPr>
          <w:color w:val="auto"/>
        </w:rPr>
      </w:pPr>
      <w:bookmarkStart w:id="320" w:name="_Ref130406113"/>
      <w:r>
        <w:rPr>
          <w:color w:val="auto"/>
        </w:rPr>
        <w:t>环境风险潜势及评价等级</w:t>
      </w:r>
      <w:bookmarkEnd w:id="320"/>
    </w:p>
    <w:p w14:paraId="448F1F86" w14:textId="77777777" w:rsidR="002E474C" w:rsidRDefault="00000000">
      <w:pPr>
        <w:pStyle w:val="A-z"/>
        <w:rPr>
          <w:color w:val="auto"/>
        </w:rPr>
      </w:pPr>
      <w:r>
        <w:rPr>
          <w:color w:val="auto"/>
        </w:rPr>
        <w:t>计算所涉及的每种危险物质在厂界内的最大存在总量与其在《建设项目环境风险评价技术导则》（</w:t>
      </w:r>
      <w:r>
        <w:rPr>
          <w:color w:val="auto"/>
        </w:rPr>
        <w:t>HJ169</w:t>
      </w:r>
      <w:r>
        <w:rPr>
          <w:rFonts w:hint="eastAsia"/>
          <w:color w:val="auto"/>
        </w:rPr>
        <w:t>-</w:t>
      </w:r>
      <w:r>
        <w:rPr>
          <w:color w:val="auto"/>
        </w:rPr>
        <w:t>2018</w:t>
      </w:r>
      <w:r>
        <w:rPr>
          <w:color w:val="auto"/>
        </w:rPr>
        <w:t>）附录</w:t>
      </w:r>
      <w:r>
        <w:rPr>
          <w:color w:val="auto"/>
        </w:rPr>
        <w:t>B</w:t>
      </w:r>
      <w:r>
        <w:rPr>
          <w:color w:val="auto"/>
        </w:rPr>
        <w:t>中对应临界量的比值</w:t>
      </w:r>
      <w:r>
        <w:rPr>
          <w:color w:val="auto"/>
        </w:rPr>
        <w:t>Q</w:t>
      </w:r>
      <w:r>
        <w:rPr>
          <w:color w:val="auto"/>
        </w:rPr>
        <w:t>。在不同厂区的同一种物质，按其在厂界内的最大存在总量计算。</w:t>
      </w:r>
    </w:p>
    <w:p w14:paraId="41B93318" w14:textId="77777777" w:rsidR="002E474C" w:rsidRDefault="00000000">
      <w:pPr>
        <w:pStyle w:val="A-z"/>
        <w:rPr>
          <w:color w:val="auto"/>
        </w:rPr>
      </w:pPr>
      <w:r>
        <w:rPr>
          <w:color w:val="auto"/>
        </w:rPr>
        <w:t>本项目按下式计算物质总量与其临界量比值（</w:t>
      </w:r>
      <w:r>
        <w:rPr>
          <w:color w:val="auto"/>
        </w:rPr>
        <w:t>Q</w:t>
      </w:r>
      <w:r>
        <w:rPr>
          <w:color w:val="auto"/>
        </w:rPr>
        <w:t>）：</w:t>
      </w:r>
    </w:p>
    <w:p w14:paraId="78E9EA45" w14:textId="77777777" w:rsidR="002E474C" w:rsidRDefault="00000000">
      <w:pPr>
        <w:pStyle w:val="A-z"/>
        <w:jc w:val="center"/>
        <w:rPr>
          <w:color w:val="auto"/>
        </w:rPr>
      </w:pPr>
      <w:r>
        <w:rPr>
          <w:noProof/>
          <w:color w:val="auto"/>
          <w:position w:val="-30"/>
        </w:rPr>
        <w:drawing>
          <wp:inline distT="0" distB="0" distL="0" distR="0" wp14:anchorId="4184D887" wp14:editId="20737DD3">
            <wp:extent cx="2374265" cy="54546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374265" cy="545465"/>
                    </a:xfrm>
                    <a:prstGeom prst="rect">
                      <a:avLst/>
                    </a:prstGeom>
                    <a:noFill/>
                    <a:ln>
                      <a:noFill/>
                    </a:ln>
                  </pic:spPr>
                </pic:pic>
              </a:graphicData>
            </a:graphic>
          </wp:inline>
        </w:drawing>
      </w:r>
    </w:p>
    <w:p w14:paraId="40CD4F01" w14:textId="77777777" w:rsidR="002E474C" w:rsidRDefault="00000000">
      <w:pPr>
        <w:pStyle w:val="A-z"/>
        <w:rPr>
          <w:color w:val="auto"/>
        </w:rPr>
      </w:pPr>
      <w:r>
        <w:rPr>
          <w:color w:val="auto"/>
        </w:rPr>
        <w:t>式中：</w:t>
      </w:r>
      <w:r>
        <w:rPr>
          <w:color w:val="auto"/>
        </w:rPr>
        <w:t>q</w:t>
      </w:r>
      <w:r>
        <w:rPr>
          <w:color w:val="auto"/>
          <w:vertAlign w:val="subscript"/>
        </w:rPr>
        <w:t>1</w:t>
      </w:r>
      <w:r>
        <w:rPr>
          <w:color w:val="auto"/>
        </w:rPr>
        <w:t>，</w:t>
      </w:r>
      <w:r>
        <w:rPr>
          <w:color w:val="auto"/>
        </w:rPr>
        <w:t>q</w:t>
      </w:r>
      <w:r>
        <w:rPr>
          <w:color w:val="auto"/>
          <w:vertAlign w:val="subscript"/>
        </w:rPr>
        <w:t>2</w:t>
      </w:r>
      <w:r>
        <w:rPr>
          <w:color w:val="auto"/>
        </w:rPr>
        <w:t>，</w:t>
      </w:r>
      <w:r>
        <w:rPr>
          <w:color w:val="auto"/>
        </w:rPr>
        <w:t>…</w:t>
      </w:r>
      <w:r>
        <w:rPr>
          <w:color w:val="auto"/>
        </w:rPr>
        <w:t>，</w:t>
      </w:r>
      <w:r>
        <w:rPr>
          <w:color w:val="auto"/>
        </w:rPr>
        <w:t>qn—</w:t>
      </w:r>
      <w:r>
        <w:rPr>
          <w:color w:val="auto"/>
        </w:rPr>
        <w:t>每种危险物质的最大存在总量，</w:t>
      </w:r>
      <w:r>
        <w:rPr>
          <w:color w:val="auto"/>
        </w:rPr>
        <w:t>t</w:t>
      </w:r>
      <w:r>
        <w:rPr>
          <w:color w:val="auto"/>
        </w:rPr>
        <w:t>；</w:t>
      </w:r>
    </w:p>
    <w:p w14:paraId="1F5CAF9C" w14:textId="77777777" w:rsidR="002E474C" w:rsidRDefault="00000000">
      <w:pPr>
        <w:pStyle w:val="A-z"/>
        <w:rPr>
          <w:color w:val="auto"/>
        </w:rPr>
      </w:pPr>
      <w:r>
        <w:rPr>
          <w:color w:val="auto"/>
        </w:rPr>
        <w:t>Q</w:t>
      </w:r>
      <w:r>
        <w:rPr>
          <w:color w:val="auto"/>
          <w:vertAlign w:val="subscript"/>
        </w:rPr>
        <w:t>1</w:t>
      </w:r>
      <w:r>
        <w:rPr>
          <w:color w:val="auto"/>
        </w:rPr>
        <w:t>，</w:t>
      </w:r>
      <w:r>
        <w:rPr>
          <w:color w:val="auto"/>
        </w:rPr>
        <w:t>Q</w:t>
      </w:r>
      <w:r>
        <w:rPr>
          <w:color w:val="auto"/>
          <w:vertAlign w:val="subscript"/>
        </w:rPr>
        <w:t>2</w:t>
      </w:r>
      <w:r>
        <w:rPr>
          <w:color w:val="auto"/>
        </w:rPr>
        <w:t>，</w:t>
      </w:r>
      <w:r>
        <w:rPr>
          <w:color w:val="auto"/>
        </w:rPr>
        <w:t>…</w:t>
      </w:r>
      <w:r>
        <w:rPr>
          <w:color w:val="auto"/>
        </w:rPr>
        <w:t>，</w:t>
      </w:r>
      <w:r>
        <w:rPr>
          <w:color w:val="auto"/>
        </w:rPr>
        <w:t>Q</w:t>
      </w:r>
      <w:r>
        <w:rPr>
          <w:color w:val="auto"/>
          <w:vertAlign w:val="subscript"/>
        </w:rPr>
        <w:t xml:space="preserve"> n</w:t>
      </w:r>
      <w:r>
        <w:rPr>
          <w:color w:val="auto"/>
        </w:rPr>
        <w:t>—</w:t>
      </w:r>
      <w:r>
        <w:rPr>
          <w:color w:val="auto"/>
        </w:rPr>
        <w:t>每种危险物质的临界量，</w:t>
      </w:r>
      <w:r>
        <w:rPr>
          <w:color w:val="auto"/>
        </w:rPr>
        <w:t>t</w:t>
      </w:r>
      <w:r>
        <w:rPr>
          <w:color w:val="auto"/>
        </w:rPr>
        <w:t>；</w:t>
      </w:r>
    </w:p>
    <w:p w14:paraId="41C9A9C5" w14:textId="77777777" w:rsidR="002E474C" w:rsidRDefault="00000000">
      <w:pPr>
        <w:pStyle w:val="A-z"/>
        <w:rPr>
          <w:color w:val="auto"/>
        </w:rPr>
      </w:pPr>
      <w:r>
        <w:rPr>
          <w:color w:val="auto"/>
        </w:rPr>
        <w:t>当</w:t>
      </w:r>
      <w:r>
        <w:rPr>
          <w:color w:val="auto"/>
        </w:rPr>
        <w:t>Q</w:t>
      </w:r>
      <w:r>
        <w:rPr>
          <w:color w:val="auto"/>
        </w:rPr>
        <w:t>＜</w:t>
      </w:r>
      <w:r>
        <w:rPr>
          <w:color w:val="auto"/>
        </w:rPr>
        <w:t>1</w:t>
      </w:r>
      <w:r>
        <w:rPr>
          <w:color w:val="auto"/>
        </w:rPr>
        <w:t>时，该项目环境风险潜势为</w:t>
      </w:r>
      <w:r>
        <w:rPr>
          <w:color w:val="auto"/>
        </w:rPr>
        <w:t>Ⅰ</w:t>
      </w:r>
      <w:r>
        <w:rPr>
          <w:color w:val="auto"/>
        </w:rPr>
        <w:t>。</w:t>
      </w:r>
    </w:p>
    <w:p w14:paraId="7082C9F3" w14:textId="77777777" w:rsidR="002E474C" w:rsidRDefault="00000000">
      <w:pPr>
        <w:pStyle w:val="A-z"/>
        <w:rPr>
          <w:color w:val="auto"/>
        </w:rPr>
      </w:pPr>
      <w:r>
        <w:rPr>
          <w:color w:val="auto"/>
        </w:rPr>
        <w:t>当</w:t>
      </w:r>
      <w:r>
        <w:rPr>
          <w:color w:val="auto"/>
        </w:rPr>
        <w:t>Q</w:t>
      </w:r>
      <w:r>
        <w:rPr>
          <w:color w:val="auto"/>
        </w:rPr>
        <w:t>＞</w:t>
      </w:r>
      <w:r>
        <w:rPr>
          <w:color w:val="auto"/>
        </w:rPr>
        <w:t>1</w:t>
      </w:r>
      <w:r>
        <w:rPr>
          <w:color w:val="auto"/>
        </w:rPr>
        <w:t>时，将</w:t>
      </w:r>
      <w:r>
        <w:rPr>
          <w:color w:val="auto"/>
        </w:rPr>
        <w:t>Q</w:t>
      </w:r>
      <w:r>
        <w:rPr>
          <w:color w:val="auto"/>
        </w:rPr>
        <w:t>值划分为：（</w:t>
      </w:r>
      <w:r>
        <w:rPr>
          <w:color w:val="auto"/>
        </w:rPr>
        <w:t>1</w:t>
      </w:r>
      <w:r>
        <w:rPr>
          <w:color w:val="auto"/>
        </w:rPr>
        <w:t>）</w:t>
      </w:r>
      <w:r>
        <w:rPr>
          <w:color w:val="auto"/>
        </w:rPr>
        <w:t>1≤Q</w:t>
      </w:r>
      <w:r>
        <w:rPr>
          <w:color w:val="auto"/>
        </w:rPr>
        <w:t>＜</w:t>
      </w:r>
      <w:r>
        <w:rPr>
          <w:color w:val="auto"/>
        </w:rPr>
        <w:t>10</w:t>
      </w:r>
      <w:r>
        <w:rPr>
          <w:color w:val="auto"/>
        </w:rPr>
        <w:t>；（</w:t>
      </w:r>
      <w:r>
        <w:rPr>
          <w:color w:val="auto"/>
        </w:rPr>
        <w:t>2</w:t>
      </w:r>
      <w:r>
        <w:rPr>
          <w:color w:val="auto"/>
        </w:rPr>
        <w:t>）</w:t>
      </w:r>
      <w:r>
        <w:rPr>
          <w:color w:val="auto"/>
        </w:rPr>
        <w:t>10≤Q</w:t>
      </w:r>
      <w:r>
        <w:rPr>
          <w:color w:val="auto"/>
        </w:rPr>
        <w:t>＜</w:t>
      </w:r>
      <w:r>
        <w:rPr>
          <w:color w:val="auto"/>
        </w:rPr>
        <w:t>100</w:t>
      </w:r>
      <w:r>
        <w:rPr>
          <w:color w:val="auto"/>
        </w:rPr>
        <w:t>；（</w:t>
      </w:r>
      <w:r>
        <w:rPr>
          <w:color w:val="auto"/>
        </w:rPr>
        <w:t>3</w:t>
      </w:r>
      <w:r>
        <w:rPr>
          <w:color w:val="auto"/>
        </w:rPr>
        <w:t>）</w:t>
      </w:r>
      <w:r>
        <w:rPr>
          <w:color w:val="auto"/>
        </w:rPr>
        <w:t>Q≥100</w:t>
      </w:r>
      <w:r>
        <w:rPr>
          <w:color w:val="auto"/>
        </w:rPr>
        <w:t>。</w:t>
      </w:r>
    </w:p>
    <w:p w14:paraId="648A51E2" w14:textId="77777777" w:rsidR="002E474C" w:rsidRDefault="00000000">
      <w:pPr>
        <w:pStyle w:val="A-z"/>
        <w:rPr>
          <w:color w:val="auto"/>
        </w:rPr>
      </w:pPr>
      <w:r>
        <w:rPr>
          <w:color w:val="auto"/>
        </w:rPr>
        <w:t>根据《建设项目环境风险评价技术导则》（</w:t>
      </w:r>
      <w:r>
        <w:rPr>
          <w:color w:val="auto"/>
        </w:rPr>
        <w:t>HJ169-2018</w:t>
      </w:r>
      <w:r>
        <w:rPr>
          <w:color w:val="auto"/>
        </w:rPr>
        <w:t>）表</w:t>
      </w:r>
      <w:r>
        <w:rPr>
          <w:color w:val="auto"/>
        </w:rPr>
        <w:t>B.2</w:t>
      </w:r>
      <w:r>
        <w:rPr>
          <w:color w:val="auto"/>
        </w:rPr>
        <w:t>其他危险物质临界量推荐值，健康危险急性毒性物质（类别</w:t>
      </w:r>
      <w:r>
        <w:rPr>
          <w:color w:val="auto"/>
        </w:rPr>
        <w:t>2</w:t>
      </w:r>
      <w:r>
        <w:rPr>
          <w:color w:val="auto"/>
        </w:rPr>
        <w:t>，类别</w:t>
      </w:r>
      <w:r>
        <w:rPr>
          <w:color w:val="auto"/>
        </w:rPr>
        <w:t>3</w:t>
      </w:r>
      <w:r>
        <w:rPr>
          <w:color w:val="auto"/>
        </w:rPr>
        <w:t>）推荐临界量为</w:t>
      </w:r>
      <w:r>
        <w:rPr>
          <w:color w:val="auto"/>
        </w:rPr>
        <w:t>50t</w:t>
      </w:r>
      <w:r>
        <w:rPr>
          <w:color w:val="auto"/>
        </w:rPr>
        <w:t>；根据《水泥窑协同处置危险废物经营许可证审查指南（试行）》中</w:t>
      </w:r>
      <w:r>
        <w:rPr>
          <w:color w:val="auto"/>
        </w:rPr>
        <w:t>“</w:t>
      </w:r>
      <w:r>
        <w:rPr>
          <w:color w:val="auto"/>
        </w:rPr>
        <w:t>采用分散集中经营模式时，水泥生产企业厂区内的危险废物贮存设施容量应不小于危险废物日协同处置能力的</w:t>
      </w:r>
      <w:r>
        <w:rPr>
          <w:color w:val="auto"/>
        </w:rPr>
        <w:t>2</w:t>
      </w:r>
      <w:r>
        <w:rPr>
          <w:color w:val="auto"/>
        </w:rPr>
        <w:t>倍</w:t>
      </w:r>
      <w:r>
        <w:rPr>
          <w:color w:val="auto"/>
        </w:rPr>
        <w:t>”</w:t>
      </w:r>
      <w:r>
        <w:rPr>
          <w:color w:val="auto"/>
        </w:rPr>
        <w:t>的规定，本评价将危险物质最大存在量按照该类物质日协同处置能力的</w:t>
      </w:r>
      <w:r>
        <w:rPr>
          <w:color w:val="auto"/>
        </w:rPr>
        <w:t>2</w:t>
      </w:r>
      <w:r>
        <w:rPr>
          <w:color w:val="auto"/>
        </w:rPr>
        <w:t>倍计，总处置量小于</w:t>
      </w:r>
      <w:r>
        <w:rPr>
          <w:color w:val="auto"/>
        </w:rPr>
        <w:t>1t/a</w:t>
      </w:r>
      <w:r>
        <w:rPr>
          <w:color w:val="auto"/>
        </w:rPr>
        <w:t>的按照总处置量计。危险物质数量与临界量比值计算结果如表</w:t>
      </w:r>
      <w:r>
        <w:rPr>
          <w:color w:val="auto"/>
        </w:rPr>
        <w:t>5.8-3</w:t>
      </w:r>
      <w:r>
        <w:rPr>
          <w:color w:val="auto"/>
        </w:rPr>
        <w:t>所示。</w:t>
      </w:r>
    </w:p>
    <w:p w14:paraId="29742671" w14:textId="77777777" w:rsidR="002E474C" w:rsidRDefault="00000000">
      <w:pPr>
        <w:pStyle w:val="A--"/>
        <w:rPr>
          <w:color w:val="auto"/>
        </w:rPr>
      </w:pPr>
      <w:r>
        <w:rPr>
          <w:color w:val="auto"/>
        </w:rPr>
        <w:lastRenderedPageBreak/>
        <w:t>表</w:t>
      </w:r>
      <w:r>
        <w:rPr>
          <w:color w:val="auto"/>
        </w:rPr>
        <w:t>5.8</w:t>
      </w:r>
      <w:r>
        <w:rPr>
          <w:color w:val="auto"/>
        </w:rPr>
        <w:noBreakHyphen/>
        <w:t xml:space="preserve">3  </w:t>
      </w:r>
      <w:r>
        <w:rPr>
          <w:color w:val="auto"/>
        </w:rPr>
        <w:t>危险物质数量与临界量比值一览表</w:t>
      </w:r>
    </w:p>
    <w:tbl>
      <w:tblPr>
        <w:tblW w:w="5000" w:type="pct"/>
        <w:jc w:val="center"/>
        <w:tblCellMar>
          <w:left w:w="0" w:type="dxa"/>
          <w:right w:w="0" w:type="dxa"/>
        </w:tblCellMar>
        <w:tblLook w:val="04A0" w:firstRow="1" w:lastRow="0" w:firstColumn="1" w:lastColumn="0" w:noHBand="0" w:noVBand="1"/>
      </w:tblPr>
      <w:tblGrid>
        <w:gridCol w:w="2407"/>
        <w:gridCol w:w="1948"/>
        <w:gridCol w:w="1608"/>
        <w:gridCol w:w="1163"/>
        <w:gridCol w:w="1170"/>
      </w:tblGrid>
      <w:tr w:rsidR="002E474C" w14:paraId="710276DE"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F380A2" w14:textId="77777777" w:rsidR="002E474C" w:rsidRDefault="00000000">
            <w:pPr>
              <w:pStyle w:val="A-"/>
            </w:pPr>
            <w:r>
              <w:t>混合物种类</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9AC0EA" w14:textId="77777777" w:rsidR="002E474C" w:rsidRDefault="00000000">
            <w:pPr>
              <w:pStyle w:val="A-"/>
            </w:pPr>
            <w:r>
              <w:t>假设主要成分</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E7805C" w14:textId="77777777" w:rsidR="002E474C" w:rsidRDefault="00000000">
            <w:pPr>
              <w:pStyle w:val="A-"/>
            </w:pPr>
            <w:r>
              <w:t>最大存在量</w:t>
            </w:r>
            <w:r>
              <w:t>q/t</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3441D4" w14:textId="77777777" w:rsidR="002E474C" w:rsidRDefault="00000000">
            <w:pPr>
              <w:pStyle w:val="A-"/>
            </w:pPr>
            <w:r>
              <w:t>临界量</w:t>
            </w:r>
            <w:r>
              <w:t>Q/t</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CE5E3E" w14:textId="77777777" w:rsidR="002E474C" w:rsidRDefault="00000000">
            <w:pPr>
              <w:pStyle w:val="A-"/>
            </w:pPr>
            <w:r>
              <w:t>Qi</w:t>
            </w:r>
          </w:p>
        </w:tc>
      </w:tr>
      <w:tr w:rsidR="002E474C" w14:paraId="34F5D15A"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9716B7" w14:textId="77777777" w:rsidR="002E474C" w:rsidRDefault="00000000">
            <w:pPr>
              <w:pStyle w:val="A-"/>
            </w:pPr>
            <w:r>
              <w:rPr>
                <w:rFonts w:eastAsia="等线"/>
              </w:rPr>
              <w:t>HW04</w:t>
            </w:r>
            <w:r>
              <w:t>农药废物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4F2BE4" w14:textId="77777777" w:rsidR="002E474C" w:rsidRDefault="00000000">
            <w:pPr>
              <w:pStyle w:val="A-"/>
            </w:pPr>
            <w:r>
              <w:t>有机磷农药毒死蜱</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53B9A0" w14:textId="77777777" w:rsidR="002E474C" w:rsidRDefault="00000000">
            <w:pPr>
              <w:pStyle w:val="A-"/>
            </w:pPr>
            <w:r>
              <w:t>2.03</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04E2E6"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817F19" w14:textId="77777777" w:rsidR="002E474C" w:rsidRDefault="00000000">
            <w:pPr>
              <w:pStyle w:val="A-"/>
            </w:pPr>
            <w:r>
              <w:t>0.04</w:t>
            </w:r>
          </w:p>
        </w:tc>
      </w:tr>
      <w:tr w:rsidR="002E474C" w14:paraId="334FAE57"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6D396B" w14:textId="77777777" w:rsidR="002E474C" w:rsidRDefault="00000000">
            <w:pPr>
              <w:pStyle w:val="A-"/>
            </w:pPr>
            <w:r>
              <w:rPr>
                <w:rFonts w:eastAsia="等线"/>
              </w:rPr>
              <w:t>HW07</w:t>
            </w:r>
            <w:r>
              <w:t>热处理含氰废物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40A1E6" w14:textId="77777777" w:rsidR="002E474C" w:rsidRDefault="00000000">
            <w:pPr>
              <w:pStyle w:val="A-"/>
            </w:pPr>
            <w:r>
              <w:t>中等毒氰化物</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8FE133" w14:textId="77777777" w:rsidR="002E474C" w:rsidRDefault="00000000">
            <w:pPr>
              <w:pStyle w:val="A-"/>
            </w:pPr>
            <w:r>
              <w:t>0.01</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BF49E7"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82FDCE" w14:textId="77777777" w:rsidR="002E474C" w:rsidRDefault="00000000">
            <w:pPr>
              <w:pStyle w:val="A-"/>
            </w:pPr>
            <w:r>
              <w:t>0.0003</w:t>
            </w:r>
          </w:p>
        </w:tc>
      </w:tr>
      <w:tr w:rsidR="002E474C" w14:paraId="7D8A3C3D"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E005AB" w14:textId="77777777" w:rsidR="002E474C" w:rsidRDefault="00000000">
            <w:pPr>
              <w:pStyle w:val="A-"/>
            </w:pPr>
            <w:r>
              <w:rPr>
                <w:rFonts w:eastAsia="等线"/>
              </w:rPr>
              <w:t>HW19</w:t>
            </w:r>
            <w:r>
              <w:t>含金属羰基化合物废物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461E3B" w14:textId="77777777" w:rsidR="002E474C" w:rsidRDefault="00000000">
            <w:pPr>
              <w:pStyle w:val="A-"/>
            </w:pPr>
            <w:r>
              <w:t>羰基镍</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027E40" w14:textId="77777777" w:rsidR="002E474C" w:rsidRDefault="00000000">
            <w:pPr>
              <w:pStyle w:val="A-"/>
            </w:pPr>
            <w:r>
              <w:t>0.39</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B2154C"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E7D95A" w14:textId="77777777" w:rsidR="002E474C" w:rsidRDefault="00000000">
            <w:pPr>
              <w:pStyle w:val="A-"/>
            </w:pPr>
            <w:r>
              <w:t>0.01</w:t>
            </w:r>
          </w:p>
        </w:tc>
      </w:tr>
      <w:tr w:rsidR="002E474C" w14:paraId="4A5E5840"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35FBC1" w14:textId="77777777" w:rsidR="002E474C" w:rsidRDefault="00000000">
            <w:pPr>
              <w:pStyle w:val="A-"/>
            </w:pPr>
            <w:r>
              <w:rPr>
                <w:rFonts w:eastAsia="等线"/>
              </w:rPr>
              <w:t>HW20</w:t>
            </w:r>
            <w:r>
              <w:t>含铍废物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07DDE0" w14:textId="77777777" w:rsidR="002E474C" w:rsidRDefault="00000000">
            <w:pPr>
              <w:pStyle w:val="A-"/>
            </w:pPr>
            <w:r>
              <w:t>氯化铍</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D7AE25" w14:textId="77777777" w:rsidR="002E474C" w:rsidRDefault="00000000">
            <w:pPr>
              <w:pStyle w:val="A-"/>
            </w:pPr>
            <w:r>
              <w:t>20.00</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409E20"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FF25EB" w14:textId="77777777" w:rsidR="002E474C" w:rsidRDefault="00000000">
            <w:pPr>
              <w:pStyle w:val="A-"/>
            </w:pPr>
            <w:r>
              <w:t>0.40</w:t>
            </w:r>
          </w:p>
        </w:tc>
      </w:tr>
      <w:tr w:rsidR="002E474C" w14:paraId="29834906"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6C6BB7" w14:textId="77777777" w:rsidR="002E474C" w:rsidRDefault="00000000">
            <w:pPr>
              <w:pStyle w:val="A-"/>
            </w:pPr>
            <w:r>
              <w:rPr>
                <w:rFonts w:eastAsia="等线"/>
              </w:rPr>
              <w:t>HW21</w:t>
            </w:r>
            <w:r>
              <w:t>含铬废物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6D047F" w14:textId="77777777" w:rsidR="002E474C" w:rsidRDefault="00000000">
            <w:pPr>
              <w:pStyle w:val="A-"/>
            </w:pPr>
            <w:r>
              <w:t>铬化物</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52851B" w14:textId="77777777" w:rsidR="002E474C" w:rsidRDefault="00000000">
            <w:pPr>
              <w:pStyle w:val="A-"/>
            </w:pPr>
            <w:r>
              <w:t>0.02</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C93825"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7BCD63" w14:textId="77777777" w:rsidR="002E474C" w:rsidRDefault="00000000">
            <w:pPr>
              <w:pStyle w:val="A-"/>
            </w:pPr>
            <w:r>
              <w:t>0.0005</w:t>
            </w:r>
          </w:p>
        </w:tc>
      </w:tr>
      <w:tr w:rsidR="002E474C" w14:paraId="1956D394"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9540F9" w14:textId="77777777" w:rsidR="002E474C" w:rsidRDefault="00000000">
            <w:pPr>
              <w:pStyle w:val="A-"/>
            </w:pPr>
            <w:r>
              <w:rPr>
                <w:rFonts w:eastAsia="等线"/>
              </w:rPr>
              <w:t>HW22</w:t>
            </w:r>
            <w:r>
              <w:t>含铜废物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EA6978" w14:textId="77777777" w:rsidR="002E474C" w:rsidRDefault="00000000">
            <w:pPr>
              <w:pStyle w:val="A-"/>
            </w:pPr>
            <w:r>
              <w:t>硫酸铜</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DD18B4" w14:textId="77777777" w:rsidR="002E474C" w:rsidRDefault="00000000">
            <w:pPr>
              <w:pStyle w:val="A-"/>
            </w:pPr>
            <w:r>
              <w:t>0.02</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0991D3"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2C1CB9" w14:textId="77777777" w:rsidR="002E474C" w:rsidRDefault="00000000">
            <w:pPr>
              <w:pStyle w:val="A-"/>
            </w:pPr>
            <w:r>
              <w:t>0.0005</w:t>
            </w:r>
          </w:p>
        </w:tc>
      </w:tr>
      <w:tr w:rsidR="002E474C" w14:paraId="2DF71ABD"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FF9D99" w14:textId="77777777" w:rsidR="002E474C" w:rsidRDefault="00000000">
            <w:pPr>
              <w:pStyle w:val="A-"/>
            </w:pPr>
            <w:r>
              <w:rPr>
                <w:rFonts w:eastAsia="等线"/>
              </w:rPr>
              <w:t>HW24</w:t>
            </w:r>
            <w:r>
              <w:t>含砷废物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DBF57" w14:textId="77777777" w:rsidR="002E474C" w:rsidRDefault="00000000">
            <w:pPr>
              <w:pStyle w:val="A-"/>
            </w:pPr>
            <w:r>
              <w:t>砷酸盐</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B22E65" w14:textId="77777777" w:rsidR="002E474C" w:rsidRDefault="00000000">
            <w:pPr>
              <w:pStyle w:val="A-"/>
            </w:pPr>
            <w:r>
              <w:t>0.06</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AA9E99"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933F7A" w14:textId="77777777" w:rsidR="002E474C" w:rsidRDefault="00000000">
            <w:pPr>
              <w:pStyle w:val="A-"/>
            </w:pPr>
            <w:r>
              <w:t>0.001</w:t>
            </w:r>
          </w:p>
        </w:tc>
      </w:tr>
      <w:tr w:rsidR="002E474C" w14:paraId="33CE9216"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C9A251" w14:textId="77777777" w:rsidR="002E474C" w:rsidRDefault="00000000">
            <w:pPr>
              <w:pStyle w:val="A-"/>
            </w:pPr>
            <w:r>
              <w:rPr>
                <w:rFonts w:eastAsia="等线"/>
              </w:rPr>
              <w:t>HW31</w:t>
            </w:r>
            <w:r>
              <w:t>含铅废物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64FF95" w14:textId="77777777" w:rsidR="002E474C" w:rsidRDefault="00000000">
            <w:pPr>
              <w:pStyle w:val="A-"/>
            </w:pPr>
            <w:r>
              <w:t>硝酸铅</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AD97E0" w14:textId="77777777" w:rsidR="002E474C" w:rsidRDefault="00000000">
            <w:pPr>
              <w:pStyle w:val="A-"/>
            </w:pPr>
            <w:r>
              <w:t>0.50</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A82E51"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059269" w14:textId="77777777" w:rsidR="002E474C" w:rsidRDefault="00000000">
            <w:pPr>
              <w:pStyle w:val="A-"/>
            </w:pPr>
            <w:r>
              <w:t>0.01</w:t>
            </w:r>
          </w:p>
        </w:tc>
      </w:tr>
      <w:tr w:rsidR="002E474C" w14:paraId="00C9CA0B"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C72036" w14:textId="77777777" w:rsidR="002E474C" w:rsidRDefault="00000000">
            <w:pPr>
              <w:pStyle w:val="A-"/>
            </w:pPr>
            <w:r>
              <w:rPr>
                <w:rFonts w:eastAsia="等线"/>
              </w:rPr>
              <w:t>HW33</w:t>
            </w:r>
            <w:r>
              <w:t>无机氰化物废物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2B7B03" w14:textId="77777777" w:rsidR="002E474C" w:rsidRDefault="00000000">
            <w:pPr>
              <w:pStyle w:val="A-"/>
            </w:pPr>
            <w:r>
              <w:t>氰化钾</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1B1DE9" w14:textId="77777777" w:rsidR="002E474C" w:rsidRDefault="00000000">
            <w:pPr>
              <w:pStyle w:val="A-"/>
            </w:pPr>
            <w:r>
              <w:t>0.06</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74098"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55F5F6" w14:textId="77777777" w:rsidR="002E474C" w:rsidRDefault="00000000">
            <w:pPr>
              <w:pStyle w:val="A-"/>
            </w:pPr>
            <w:r>
              <w:t>0.001</w:t>
            </w:r>
          </w:p>
        </w:tc>
      </w:tr>
      <w:tr w:rsidR="002E474C" w14:paraId="7AA0A934"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58BC25" w14:textId="77777777" w:rsidR="002E474C" w:rsidRDefault="00000000">
            <w:pPr>
              <w:pStyle w:val="A-"/>
            </w:pPr>
            <w:r>
              <w:rPr>
                <w:rFonts w:eastAsia="等线"/>
              </w:rPr>
              <w:t>HW37</w:t>
            </w:r>
            <w:r>
              <w:t>有机磷化合物废物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36C177" w14:textId="77777777" w:rsidR="002E474C" w:rsidRDefault="00000000">
            <w:pPr>
              <w:pStyle w:val="A-"/>
            </w:pPr>
            <w:r>
              <w:t>有机磷脂</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8D85B" w14:textId="77777777" w:rsidR="002E474C" w:rsidRDefault="00000000">
            <w:pPr>
              <w:pStyle w:val="A-"/>
            </w:pPr>
            <w:r>
              <w:t>0.32</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810B01"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8FE714" w14:textId="77777777" w:rsidR="002E474C" w:rsidRDefault="00000000">
            <w:pPr>
              <w:pStyle w:val="A-"/>
            </w:pPr>
            <w:r>
              <w:t>0.01</w:t>
            </w:r>
          </w:p>
        </w:tc>
      </w:tr>
      <w:tr w:rsidR="002E474C" w14:paraId="333084B9"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881FEA" w14:textId="77777777" w:rsidR="002E474C" w:rsidRDefault="00000000">
            <w:pPr>
              <w:pStyle w:val="A-"/>
            </w:pPr>
            <w:r>
              <w:rPr>
                <w:rFonts w:eastAsia="等线"/>
              </w:rPr>
              <w:t>HW38</w:t>
            </w:r>
            <w:r>
              <w:t>有机氰化废物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3CF667" w14:textId="77777777" w:rsidR="002E474C" w:rsidRDefault="00000000">
            <w:pPr>
              <w:pStyle w:val="A-"/>
            </w:pPr>
            <w:r>
              <w:t>丙烯腈</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C58F35" w14:textId="77777777" w:rsidR="002E474C" w:rsidRDefault="00000000">
            <w:pPr>
              <w:pStyle w:val="A-"/>
            </w:pPr>
            <w:r>
              <w:t>0.16</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13B5AA"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2CF7F1" w14:textId="77777777" w:rsidR="002E474C" w:rsidRDefault="00000000">
            <w:pPr>
              <w:pStyle w:val="A-"/>
            </w:pPr>
            <w:r>
              <w:t>0.003</w:t>
            </w:r>
          </w:p>
        </w:tc>
      </w:tr>
      <w:tr w:rsidR="002E474C" w14:paraId="4EEEEDA3"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6076D2" w14:textId="77777777" w:rsidR="002E474C" w:rsidRDefault="00000000">
            <w:pPr>
              <w:pStyle w:val="A-"/>
            </w:pPr>
            <w:r>
              <w:t xml:space="preserve">HW39 </w:t>
            </w:r>
            <w:r>
              <w:t>含酚废物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BB5507" w14:textId="77777777" w:rsidR="002E474C" w:rsidRDefault="00000000">
            <w:pPr>
              <w:pStyle w:val="A-"/>
            </w:pPr>
            <w:r>
              <w:t>苯酚</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B9E3ED" w14:textId="77777777" w:rsidR="002E474C" w:rsidRDefault="00000000">
            <w:pPr>
              <w:pStyle w:val="A-"/>
            </w:pPr>
            <w:r>
              <w:t>9.86</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69FB01"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CF0B3D" w14:textId="77777777" w:rsidR="002E474C" w:rsidRDefault="00000000">
            <w:pPr>
              <w:pStyle w:val="A-"/>
            </w:pPr>
            <w:r>
              <w:t>0.20</w:t>
            </w:r>
          </w:p>
        </w:tc>
      </w:tr>
      <w:tr w:rsidR="002E474C" w14:paraId="70219D52" w14:textId="77777777">
        <w:trPr>
          <w:jc w:val="center"/>
        </w:trPr>
        <w:tc>
          <w:tcPr>
            <w:tcW w:w="14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1F752F" w14:textId="77777777" w:rsidR="002E474C" w:rsidRDefault="00000000">
            <w:pPr>
              <w:pStyle w:val="A-"/>
            </w:pPr>
            <w:r>
              <w:rPr>
                <w:rFonts w:eastAsia="等线"/>
              </w:rPr>
              <w:t>HW47</w:t>
            </w:r>
            <w:r>
              <w:t>含钡废物</w:t>
            </w:r>
          </w:p>
        </w:tc>
        <w:tc>
          <w:tcPr>
            <w:tcW w:w="11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DF664A" w14:textId="77777777" w:rsidR="002E474C" w:rsidRDefault="00000000">
            <w:pPr>
              <w:pStyle w:val="A-"/>
            </w:pPr>
            <w:r>
              <w:t>氯化钡</w:t>
            </w:r>
          </w:p>
        </w:tc>
        <w:tc>
          <w:tcPr>
            <w:tcW w:w="9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63F308" w14:textId="77777777" w:rsidR="002E474C" w:rsidRDefault="00000000">
            <w:pPr>
              <w:pStyle w:val="A-"/>
            </w:pPr>
            <w:r>
              <w:t>0.93</w:t>
            </w:r>
          </w:p>
        </w:tc>
        <w:tc>
          <w:tcPr>
            <w:tcW w:w="7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6F650F" w14:textId="77777777" w:rsidR="002E474C" w:rsidRDefault="00000000">
            <w:pPr>
              <w:pStyle w:val="A-"/>
            </w:pPr>
            <w:r>
              <w:t>50</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849A55" w14:textId="77777777" w:rsidR="002E474C" w:rsidRDefault="00000000">
            <w:pPr>
              <w:pStyle w:val="A-"/>
            </w:pPr>
            <w:r>
              <w:t>0.02</w:t>
            </w:r>
          </w:p>
        </w:tc>
      </w:tr>
      <w:tr w:rsidR="002E474C" w14:paraId="70D6829B" w14:textId="77777777">
        <w:trPr>
          <w:jc w:val="center"/>
        </w:trPr>
        <w:tc>
          <w:tcPr>
            <w:tcW w:w="4295" w:type="pct"/>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9D491A" w14:textId="77777777" w:rsidR="002E474C" w:rsidRDefault="00000000">
            <w:pPr>
              <w:pStyle w:val="A-"/>
            </w:pPr>
            <w:r>
              <w:t>∑Q</w:t>
            </w:r>
          </w:p>
        </w:tc>
        <w:tc>
          <w:tcPr>
            <w:tcW w:w="70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0A3D18" w14:textId="77777777" w:rsidR="002E474C" w:rsidRDefault="00000000">
            <w:pPr>
              <w:pStyle w:val="A-"/>
            </w:pPr>
            <w:r>
              <w:t>0.69</w:t>
            </w:r>
          </w:p>
        </w:tc>
      </w:tr>
    </w:tbl>
    <w:p w14:paraId="705D59AF" w14:textId="77777777" w:rsidR="002E474C" w:rsidRDefault="002E474C">
      <w:pPr>
        <w:pStyle w:val="w3"/>
      </w:pPr>
      <w:bookmarkStart w:id="321" w:name="_Ref130226062"/>
    </w:p>
    <w:p w14:paraId="484685A3" w14:textId="77777777" w:rsidR="002E474C" w:rsidRDefault="00000000">
      <w:pPr>
        <w:pStyle w:val="A-z"/>
        <w:rPr>
          <w:color w:val="auto"/>
        </w:rPr>
      </w:pPr>
      <w:r>
        <w:rPr>
          <w:color w:val="auto"/>
        </w:rPr>
        <w:t>根据计算可知，项目涉及的危险质数量与临界量比值</w:t>
      </w:r>
      <w:r>
        <w:rPr>
          <w:color w:val="auto"/>
        </w:rPr>
        <w:t>Q=0.69</w:t>
      </w:r>
      <w:r>
        <w:rPr>
          <w:color w:val="auto"/>
        </w:rPr>
        <w:t>。</w:t>
      </w:r>
      <w:r>
        <w:rPr>
          <w:color w:val="auto"/>
        </w:rPr>
        <w:t>Q</w:t>
      </w:r>
      <w:r>
        <w:rPr>
          <w:color w:val="auto"/>
        </w:rPr>
        <w:t>＜</w:t>
      </w:r>
      <w:r>
        <w:rPr>
          <w:color w:val="auto"/>
        </w:rPr>
        <w:t>1</w:t>
      </w:r>
      <w:r>
        <w:rPr>
          <w:color w:val="auto"/>
        </w:rPr>
        <w:t>，该项目环境风险潜势为</w:t>
      </w:r>
      <w:r>
        <w:rPr>
          <w:color w:val="auto"/>
        </w:rPr>
        <w:t>Ⅰ</w:t>
      </w:r>
      <w:r>
        <w:rPr>
          <w:color w:val="auto"/>
        </w:rPr>
        <w:t>。</w:t>
      </w:r>
    </w:p>
    <w:p w14:paraId="548189D1" w14:textId="77777777" w:rsidR="002E474C" w:rsidRDefault="00000000">
      <w:pPr>
        <w:pStyle w:val="A-z"/>
        <w:rPr>
          <w:color w:val="auto"/>
        </w:rPr>
      </w:pPr>
      <w:r>
        <w:rPr>
          <w:color w:val="auto"/>
        </w:rPr>
        <w:t>按照表</w:t>
      </w:r>
      <w:r>
        <w:rPr>
          <w:color w:val="auto"/>
        </w:rPr>
        <w:t>5.8</w:t>
      </w:r>
      <w:r>
        <w:rPr>
          <w:color w:val="auto"/>
        </w:rPr>
        <w:noBreakHyphen/>
        <w:t>4</w:t>
      </w:r>
      <w:r>
        <w:rPr>
          <w:color w:val="auto"/>
        </w:rPr>
        <w:t>确定评价工作等级。本项目风险潜势为</w:t>
      </w:r>
      <w:r>
        <w:rPr>
          <w:color w:val="auto"/>
        </w:rPr>
        <w:t>Ⅰ</w:t>
      </w:r>
      <w:r>
        <w:rPr>
          <w:color w:val="auto"/>
        </w:rPr>
        <w:t>，按照导则要求对项目环境风险进行简单分析。</w:t>
      </w:r>
    </w:p>
    <w:p w14:paraId="0890FB55" w14:textId="77777777" w:rsidR="002E474C" w:rsidRDefault="00000000">
      <w:pPr>
        <w:pStyle w:val="A-0"/>
        <w:rPr>
          <w:color w:val="auto"/>
        </w:rPr>
      </w:pPr>
      <w:bookmarkStart w:id="322" w:name="_Ref130227794"/>
      <w:r>
        <w:rPr>
          <w:color w:val="auto"/>
        </w:rPr>
        <w:t>表</w:t>
      </w:r>
      <w:r>
        <w:rPr>
          <w:color w:val="auto"/>
        </w:rPr>
        <w:t>5.8</w:t>
      </w:r>
      <w:r>
        <w:rPr>
          <w:color w:val="auto"/>
        </w:rPr>
        <w:noBreakHyphen/>
        <w:t>4</w:t>
      </w:r>
      <w:bookmarkEnd w:id="322"/>
      <w:r>
        <w:rPr>
          <w:color w:val="auto"/>
        </w:rPr>
        <w:t xml:space="preserve">  </w:t>
      </w:r>
      <w:r>
        <w:rPr>
          <w:color w:val="auto"/>
        </w:rPr>
        <w:t>评价工作等级划分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659"/>
        <w:gridCol w:w="1659"/>
        <w:gridCol w:w="1659"/>
        <w:gridCol w:w="1660"/>
      </w:tblGrid>
      <w:tr w:rsidR="002E474C" w14:paraId="55DBA13D" w14:textId="77777777">
        <w:tc>
          <w:tcPr>
            <w:tcW w:w="999" w:type="pct"/>
            <w:vAlign w:val="center"/>
          </w:tcPr>
          <w:p w14:paraId="3D06AEA4" w14:textId="77777777" w:rsidR="002E474C" w:rsidRDefault="00000000">
            <w:pPr>
              <w:widowControl/>
              <w:spacing w:line="300" w:lineRule="exact"/>
              <w:jc w:val="center"/>
              <w:textAlignment w:val="center"/>
              <w:rPr>
                <w:kern w:val="0"/>
              </w:rPr>
            </w:pPr>
            <w:r>
              <w:rPr>
                <w:kern w:val="0"/>
              </w:rPr>
              <w:t>环境风险潜势</w:t>
            </w:r>
          </w:p>
        </w:tc>
        <w:tc>
          <w:tcPr>
            <w:tcW w:w="1000" w:type="pct"/>
            <w:vAlign w:val="center"/>
          </w:tcPr>
          <w:p w14:paraId="44669D59" w14:textId="77777777" w:rsidR="002E474C" w:rsidRDefault="00000000">
            <w:pPr>
              <w:widowControl/>
              <w:spacing w:line="300" w:lineRule="exact"/>
              <w:jc w:val="center"/>
              <w:textAlignment w:val="center"/>
              <w:rPr>
                <w:kern w:val="0"/>
              </w:rPr>
            </w:pPr>
            <w:r>
              <w:rPr>
                <w:kern w:val="0"/>
              </w:rPr>
              <w:t>Ⅳ</w:t>
            </w:r>
            <w:r>
              <w:rPr>
                <w:kern w:val="0"/>
              </w:rPr>
              <w:t>，</w:t>
            </w:r>
            <w:r>
              <w:rPr>
                <w:kern w:val="0"/>
              </w:rPr>
              <w:t>Ⅵ</w:t>
            </w:r>
          </w:p>
        </w:tc>
        <w:tc>
          <w:tcPr>
            <w:tcW w:w="1000" w:type="pct"/>
            <w:vAlign w:val="center"/>
          </w:tcPr>
          <w:p w14:paraId="2FAF3C05" w14:textId="77777777" w:rsidR="002E474C" w:rsidRDefault="00000000">
            <w:pPr>
              <w:widowControl/>
              <w:spacing w:line="300" w:lineRule="exact"/>
              <w:jc w:val="center"/>
              <w:textAlignment w:val="center"/>
              <w:rPr>
                <w:kern w:val="0"/>
              </w:rPr>
            </w:pPr>
            <w:r>
              <w:rPr>
                <w:kern w:val="0"/>
              </w:rPr>
              <w:t>Ⅲ</w:t>
            </w:r>
          </w:p>
        </w:tc>
        <w:tc>
          <w:tcPr>
            <w:tcW w:w="1000" w:type="pct"/>
            <w:vAlign w:val="center"/>
          </w:tcPr>
          <w:p w14:paraId="709E59BD" w14:textId="77777777" w:rsidR="002E474C" w:rsidRDefault="00000000">
            <w:pPr>
              <w:widowControl/>
              <w:spacing w:line="300" w:lineRule="exact"/>
              <w:jc w:val="center"/>
              <w:textAlignment w:val="center"/>
              <w:rPr>
                <w:kern w:val="0"/>
              </w:rPr>
            </w:pPr>
            <w:r>
              <w:rPr>
                <w:kern w:val="0"/>
              </w:rPr>
              <w:t>Ⅱ</w:t>
            </w:r>
          </w:p>
        </w:tc>
        <w:tc>
          <w:tcPr>
            <w:tcW w:w="1000" w:type="pct"/>
            <w:vAlign w:val="center"/>
          </w:tcPr>
          <w:p w14:paraId="05E5A445" w14:textId="77777777" w:rsidR="002E474C" w:rsidRDefault="00000000">
            <w:pPr>
              <w:widowControl/>
              <w:spacing w:line="300" w:lineRule="exact"/>
              <w:jc w:val="center"/>
              <w:textAlignment w:val="center"/>
              <w:rPr>
                <w:kern w:val="0"/>
              </w:rPr>
            </w:pPr>
            <w:r>
              <w:rPr>
                <w:kern w:val="0"/>
              </w:rPr>
              <w:t>Ⅰ</w:t>
            </w:r>
          </w:p>
        </w:tc>
      </w:tr>
      <w:tr w:rsidR="002E474C" w14:paraId="70387961" w14:textId="77777777">
        <w:tc>
          <w:tcPr>
            <w:tcW w:w="999" w:type="pct"/>
            <w:vAlign w:val="center"/>
          </w:tcPr>
          <w:p w14:paraId="65C58783" w14:textId="77777777" w:rsidR="002E474C" w:rsidRDefault="00000000">
            <w:pPr>
              <w:widowControl/>
              <w:spacing w:line="300" w:lineRule="exact"/>
              <w:jc w:val="center"/>
              <w:textAlignment w:val="center"/>
              <w:rPr>
                <w:kern w:val="0"/>
              </w:rPr>
            </w:pPr>
            <w:r>
              <w:rPr>
                <w:kern w:val="0"/>
              </w:rPr>
              <w:t>评价工作等级</w:t>
            </w:r>
          </w:p>
        </w:tc>
        <w:tc>
          <w:tcPr>
            <w:tcW w:w="1000" w:type="pct"/>
            <w:vAlign w:val="center"/>
          </w:tcPr>
          <w:p w14:paraId="65EC8B13" w14:textId="77777777" w:rsidR="002E474C" w:rsidRDefault="00000000">
            <w:pPr>
              <w:widowControl/>
              <w:spacing w:line="300" w:lineRule="exact"/>
              <w:jc w:val="center"/>
              <w:textAlignment w:val="center"/>
              <w:rPr>
                <w:kern w:val="0"/>
              </w:rPr>
            </w:pPr>
            <w:r>
              <w:rPr>
                <w:kern w:val="0"/>
              </w:rPr>
              <w:t>一</w:t>
            </w:r>
          </w:p>
        </w:tc>
        <w:tc>
          <w:tcPr>
            <w:tcW w:w="1000" w:type="pct"/>
            <w:vAlign w:val="center"/>
          </w:tcPr>
          <w:p w14:paraId="3EA0339D" w14:textId="77777777" w:rsidR="002E474C" w:rsidRDefault="00000000">
            <w:pPr>
              <w:widowControl/>
              <w:spacing w:line="300" w:lineRule="exact"/>
              <w:jc w:val="center"/>
              <w:textAlignment w:val="center"/>
              <w:rPr>
                <w:kern w:val="0"/>
              </w:rPr>
            </w:pPr>
            <w:r>
              <w:rPr>
                <w:kern w:val="0"/>
              </w:rPr>
              <w:t>二</w:t>
            </w:r>
          </w:p>
        </w:tc>
        <w:tc>
          <w:tcPr>
            <w:tcW w:w="1000" w:type="pct"/>
            <w:vAlign w:val="center"/>
          </w:tcPr>
          <w:p w14:paraId="22E8F477" w14:textId="77777777" w:rsidR="002E474C" w:rsidRDefault="00000000">
            <w:pPr>
              <w:widowControl/>
              <w:spacing w:line="300" w:lineRule="exact"/>
              <w:jc w:val="center"/>
              <w:textAlignment w:val="center"/>
              <w:rPr>
                <w:kern w:val="0"/>
              </w:rPr>
            </w:pPr>
            <w:r>
              <w:rPr>
                <w:kern w:val="0"/>
              </w:rPr>
              <w:t>三</w:t>
            </w:r>
          </w:p>
        </w:tc>
        <w:tc>
          <w:tcPr>
            <w:tcW w:w="1000" w:type="pct"/>
            <w:vAlign w:val="center"/>
          </w:tcPr>
          <w:p w14:paraId="5DF73852" w14:textId="77777777" w:rsidR="002E474C" w:rsidRDefault="00000000">
            <w:pPr>
              <w:widowControl/>
              <w:spacing w:line="300" w:lineRule="exact"/>
              <w:jc w:val="center"/>
              <w:textAlignment w:val="center"/>
              <w:rPr>
                <w:kern w:val="0"/>
              </w:rPr>
            </w:pPr>
            <w:r>
              <w:rPr>
                <w:kern w:val="0"/>
              </w:rPr>
              <w:t>简单分析</w:t>
            </w:r>
          </w:p>
        </w:tc>
      </w:tr>
      <w:tr w:rsidR="002E474C" w14:paraId="1B521291" w14:textId="77777777">
        <w:tc>
          <w:tcPr>
            <w:tcW w:w="5000" w:type="pct"/>
            <w:gridSpan w:val="5"/>
            <w:vAlign w:val="center"/>
          </w:tcPr>
          <w:p w14:paraId="4195650A" w14:textId="77777777" w:rsidR="002E474C" w:rsidRDefault="002E474C">
            <w:pPr>
              <w:widowControl/>
              <w:spacing w:line="300" w:lineRule="exact"/>
              <w:textAlignment w:val="center"/>
              <w:rPr>
                <w:kern w:val="0"/>
              </w:rPr>
            </w:pPr>
          </w:p>
        </w:tc>
      </w:tr>
      <w:bookmarkEnd w:id="321"/>
    </w:tbl>
    <w:p w14:paraId="369F07AA" w14:textId="77777777" w:rsidR="002E474C" w:rsidRDefault="002E474C">
      <w:pPr>
        <w:pStyle w:val="w3"/>
      </w:pPr>
    </w:p>
    <w:p w14:paraId="0DF5C713" w14:textId="77777777" w:rsidR="002E474C" w:rsidRDefault="00000000">
      <w:pPr>
        <w:pStyle w:val="31"/>
        <w:spacing w:before="120" w:after="120"/>
        <w:rPr>
          <w:color w:val="auto"/>
        </w:rPr>
      </w:pPr>
      <w:r>
        <w:rPr>
          <w:color w:val="auto"/>
        </w:rPr>
        <w:t>环境风险识别</w:t>
      </w:r>
    </w:p>
    <w:p w14:paraId="28E2CDDD" w14:textId="77777777" w:rsidR="002E474C" w:rsidRDefault="00000000">
      <w:pPr>
        <w:pStyle w:val="41"/>
        <w:rPr>
          <w:color w:val="auto"/>
        </w:rPr>
      </w:pPr>
      <w:r>
        <w:rPr>
          <w:color w:val="auto"/>
        </w:rPr>
        <w:t>风险识别的范围和类型</w:t>
      </w:r>
    </w:p>
    <w:p w14:paraId="20006656" w14:textId="77777777" w:rsidR="002E474C" w:rsidRDefault="00000000">
      <w:pPr>
        <w:pStyle w:val="A-z"/>
        <w:rPr>
          <w:color w:val="auto"/>
        </w:rPr>
      </w:pPr>
      <w:r>
        <w:rPr>
          <w:color w:val="auto"/>
        </w:rPr>
        <w:t>根据风险导则要求，环境风险识别包括三个方面的内容：</w:t>
      </w:r>
    </w:p>
    <w:p w14:paraId="4A62BCEB" w14:textId="77777777" w:rsidR="002E474C" w:rsidRDefault="00000000">
      <w:pPr>
        <w:pStyle w:val="A-z"/>
        <w:rPr>
          <w:color w:val="auto"/>
        </w:rPr>
      </w:pPr>
      <w:r>
        <w:rPr>
          <w:color w:val="auto"/>
        </w:rPr>
        <w:t>（</w:t>
      </w:r>
      <w:r>
        <w:rPr>
          <w:color w:val="auto"/>
        </w:rPr>
        <w:t>1</w:t>
      </w:r>
      <w:r>
        <w:rPr>
          <w:color w:val="auto"/>
        </w:rPr>
        <w:t>）物质危险性识别，包括主要原辅材料、燃料、中间产品、副产品、最终产品、污染物、火灾和爆炸伴生</w:t>
      </w:r>
      <w:r>
        <w:rPr>
          <w:color w:val="auto"/>
        </w:rPr>
        <w:t>/</w:t>
      </w:r>
      <w:r>
        <w:rPr>
          <w:color w:val="auto"/>
        </w:rPr>
        <w:t>次生物等。</w:t>
      </w:r>
    </w:p>
    <w:p w14:paraId="48F66EBE" w14:textId="77777777" w:rsidR="002E474C" w:rsidRDefault="00000000">
      <w:pPr>
        <w:pStyle w:val="A-z"/>
        <w:rPr>
          <w:color w:val="auto"/>
        </w:rPr>
      </w:pPr>
      <w:r>
        <w:rPr>
          <w:color w:val="auto"/>
        </w:rPr>
        <w:t>（</w:t>
      </w:r>
      <w:r>
        <w:rPr>
          <w:color w:val="auto"/>
        </w:rPr>
        <w:t>2</w:t>
      </w:r>
      <w:r>
        <w:rPr>
          <w:color w:val="auto"/>
        </w:rPr>
        <w:t>）生产系统危险性识别，包括主要生产装置、储运设施、公用工程和辅助生产设施，以及环境保护设施等。</w:t>
      </w:r>
    </w:p>
    <w:p w14:paraId="31035407" w14:textId="77777777" w:rsidR="002E474C" w:rsidRDefault="00000000">
      <w:pPr>
        <w:pStyle w:val="A-z"/>
        <w:rPr>
          <w:color w:val="auto"/>
        </w:rPr>
      </w:pPr>
      <w:r>
        <w:rPr>
          <w:color w:val="auto"/>
        </w:rPr>
        <w:t>（</w:t>
      </w:r>
      <w:r>
        <w:rPr>
          <w:color w:val="auto"/>
        </w:rPr>
        <w:t>3</w:t>
      </w:r>
      <w:r>
        <w:rPr>
          <w:color w:val="auto"/>
        </w:rPr>
        <w:t>）危险物质向环境转移的途径识别，包括分析危险物质特性及可能的环境风险类型，识别危险物质影响环境的途径，分析可能影响的环境敏感目标。</w:t>
      </w:r>
    </w:p>
    <w:p w14:paraId="37A775BC" w14:textId="77777777" w:rsidR="00BD6279" w:rsidRDefault="00BD6279">
      <w:pPr>
        <w:pStyle w:val="A-z"/>
        <w:rPr>
          <w:rFonts w:hint="eastAsia"/>
          <w:color w:val="auto"/>
        </w:rPr>
      </w:pPr>
    </w:p>
    <w:p w14:paraId="67BB64AF" w14:textId="77777777" w:rsidR="002E474C" w:rsidRDefault="00000000">
      <w:pPr>
        <w:pStyle w:val="41"/>
        <w:rPr>
          <w:color w:val="auto"/>
        </w:rPr>
      </w:pPr>
      <w:r>
        <w:rPr>
          <w:color w:val="auto"/>
        </w:rPr>
        <w:lastRenderedPageBreak/>
        <w:t>物质危险性识别</w:t>
      </w:r>
    </w:p>
    <w:p w14:paraId="1B128D1B" w14:textId="77777777" w:rsidR="002E474C" w:rsidRDefault="00000000">
      <w:pPr>
        <w:pStyle w:val="A-z"/>
        <w:rPr>
          <w:color w:val="auto"/>
        </w:rPr>
      </w:pPr>
      <w:r>
        <w:rPr>
          <w:color w:val="auto"/>
        </w:rPr>
        <w:t>固态（含半固态）、液态危废运输入厂后暂存于危废贮存库内，危废贮存库和固态危废预处理车间均为密闭仓库，废气送危废贮存废气净化系统处理，废物散落可控制在密闭仓库内，可发生环境风险的情况较小。</w:t>
      </w:r>
    </w:p>
    <w:p w14:paraId="31BBFE21" w14:textId="77777777" w:rsidR="002E474C" w:rsidRDefault="00000000">
      <w:pPr>
        <w:pStyle w:val="A-z"/>
        <w:rPr>
          <w:color w:val="auto"/>
        </w:rPr>
      </w:pPr>
      <w:r>
        <w:rPr>
          <w:color w:val="auto"/>
        </w:rPr>
        <w:t>项目处置的液态废物包括废有机溶剂、废酸、废碱等，涉及的液态废物的物质特征如下：</w:t>
      </w:r>
    </w:p>
    <w:p w14:paraId="1411101B" w14:textId="77777777" w:rsidR="002E474C" w:rsidRDefault="00000000">
      <w:pPr>
        <w:pStyle w:val="A-z"/>
        <w:rPr>
          <w:color w:val="auto"/>
        </w:rPr>
      </w:pPr>
      <w:r>
        <w:rPr>
          <w:color w:val="auto"/>
        </w:rPr>
        <w:t>（</w:t>
      </w:r>
      <w:r>
        <w:rPr>
          <w:color w:val="auto"/>
        </w:rPr>
        <w:t>1</w:t>
      </w:r>
      <w:r>
        <w:rPr>
          <w:color w:val="auto"/>
        </w:rPr>
        <w:t>）有机溶剂</w:t>
      </w:r>
    </w:p>
    <w:p w14:paraId="6DA3A6A9" w14:textId="77777777" w:rsidR="002E474C" w:rsidRDefault="00000000">
      <w:pPr>
        <w:pStyle w:val="A-z"/>
        <w:rPr>
          <w:color w:val="auto"/>
        </w:rPr>
      </w:pPr>
      <w:r>
        <w:rPr>
          <w:color w:val="auto"/>
        </w:rPr>
        <w:t>有机溶剂主要指可以溶解不溶于水的某些有机物（如油脂、树脂、蜡、烃类、染料等）的液体，其本身也均是有机化合物，常温常压下呈液态存在；在溶解过程中，它与溶质的性质均无改变。有机溶剂由于种类繁多，化学结构各异，故理化性质差异甚大，但也具有几点共性：常温常压下呈液态，挥发性强，具有各自独特气味及一定刺激性；大部分（除酯类、部分卤烃外）具易燃易爆性；具优良脂溶性，可经皮肤吸收，易透过血脑屏障。上述共同性质也决定有机溶剂具有两个共同毒性。</w:t>
      </w:r>
    </w:p>
    <w:p w14:paraId="3A3D8CD8" w14:textId="77777777" w:rsidR="002E474C" w:rsidRDefault="00000000">
      <w:pPr>
        <w:pStyle w:val="A-z"/>
        <w:rPr>
          <w:color w:val="auto"/>
        </w:rPr>
      </w:pPr>
      <w:r>
        <w:rPr>
          <w:color w:val="auto"/>
        </w:rPr>
        <w:t>1</w:t>
      </w:r>
      <w:r>
        <w:rPr>
          <w:color w:val="auto"/>
        </w:rPr>
        <w:t>）刺激作用：有机溶剂均具不同程度的皮肤黏膜刺激性，皮肤接触可出现皲裂、皮炎甚至灼伤，其蒸气吸入可引起呛咳、流涕，重者如酯类、酮类、卤代烃等可引起支气管炎、肺炎、肺水肿甚至肺出血。</w:t>
      </w:r>
    </w:p>
    <w:p w14:paraId="6651003A" w14:textId="77777777" w:rsidR="002E474C" w:rsidRDefault="00000000">
      <w:pPr>
        <w:pStyle w:val="A-z"/>
        <w:rPr>
          <w:color w:val="auto"/>
        </w:rPr>
      </w:pPr>
      <w:r>
        <w:rPr>
          <w:color w:val="auto"/>
        </w:rPr>
        <w:t>2</w:t>
      </w:r>
      <w:r>
        <w:rPr>
          <w:color w:val="auto"/>
        </w:rPr>
        <w:t>）麻醉作用：这是有机溶剂最突出的共同毒性，吸入浓度不高或高浓度吸入之初期，患者可出现头痛、头晕、视物不清、兴奋不安、恶心等症状，继续吸人则可引起精神失常、狂躁、抽搐、惊厥、昏迷，往往可因心律紊乱、心肌纤颤或呼吸骤停而死亡。</w:t>
      </w:r>
    </w:p>
    <w:p w14:paraId="4C828F08" w14:textId="77777777" w:rsidR="002E474C" w:rsidRDefault="00000000">
      <w:pPr>
        <w:pStyle w:val="A-z"/>
        <w:rPr>
          <w:color w:val="auto"/>
        </w:rPr>
      </w:pPr>
      <w:r>
        <w:rPr>
          <w:color w:val="auto"/>
        </w:rPr>
        <w:t>由于此种麻醉症状出现甚快，脱离有机溶剂接触后恢复也快，表明症状乃有机溶剂的直接作用引起，而非其代谢产物的继发性损伤。具体机制可能与有机溶剂的高度脂溶性，使之大量聚集于神经细胞及其纤维的磷脂成分中，干扰神经冲动的产生与传递有关；也有研究认为某些有机溶剂尚可干扰神经细胞的生物氧化过程，而此种干扰是可逆性的。</w:t>
      </w:r>
    </w:p>
    <w:p w14:paraId="47B5F734" w14:textId="77777777" w:rsidR="002E474C" w:rsidRDefault="00000000">
      <w:pPr>
        <w:pStyle w:val="A-z"/>
        <w:rPr>
          <w:color w:val="auto"/>
        </w:rPr>
      </w:pPr>
      <w:r>
        <w:rPr>
          <w:color w:val="auto"/>
        </w:rPr>
        <w:t>但除上述共同毒性外，不同的有机溶剂尚有其特殊毒性，如有的神经毒性甚强，可引起中毒性脑病、中毒性神经病，甚至可导致精神失常；有的可引起中毒性肝病中毒性肾病、中毒性心肌病等；慢性接触时，有的尚可引起再生障碍性贫</w:t>
      </w:r>
      <w:r>
        <w:rPr>
          <w:color w:val="auto"/>
        </w:rPr>
        <w:lastRenderedPageBreak/>
        <w:t>血（苯等）、癌（多氯联苯、四氯化碳等）、致畸致突变（二硫化碳等）。</w:t>
      </w:r>
    </w:p>
    <w:p w14:paraId="2AD962CE" w14:textId="77777777" w:rsidR="002E474C" w:rsidRDefault="00000000">
      <w:pPr>
        <w:pStyle w:val="A-z"/>
        <w:rPr>
          <w:color w:val="auto"/>
        </w:rPr>
      </w:pPr>
      <w:r>
        <w:rPr>
          <w:color w:val="auto"/>
        </w:rPr>
        <w:t>（</w:t>
      </w:r>
      <w:r>
        <w:rPr>
          <w:color w:val="auto"/>
        </w:rPr>
        <w:t>2</w:t>
      </w:r>
      <w:r>
        <w:rPr>
          <w:color w:val="auto"/>
        </w:rPr>
        <w:t>）废酸</w:t>
      </w:r>
    </w:p>
    <w:p w14:paraId="70B0354D" w14:textId="77777777" w:rsidR="002E474C" w:rsidRDefault="00000000">
      <w:pPr>
        <w:pStyle w:val="A-z"/>
        <w:rPr>
          <w:color w:val="auto"/>
        </w:rPr>
      </w:pPr>
      <w:r>
        <w:rPr>
          <w:color w:val="auto"/>
        </w:rPr>
        <w:t>废酸主要来源于废弃电器电子产品拆解企业、矿山开采、溶炼行业、电镀行业，这些行业在生产过程中常常要使用到无机酸（如硫酸、盐酸、硝酸、氢氟酸等）来清洗金属表面或溶解矿石，于是就产生了大量的废酸溶液。</w:t>
      </w:r>
    </w:p>
    <w:p w14:paraId="32F9BB37" w14:textId="77777777" w:rsidR="002E474C" w:rsidRDefault="00000000">
      <w:pPr>
        <w:pStyle w:val="A-z"/>
        <w:rPr>
          <w:color w:val="auto"/>
        </w:rPr>
      </w:pPr>
      <w:r>
        <w:rPr>
          <w:color w:val="auto"/>
        </w:rPr>
        <w:t>（</w:t>
      </w:r>
      <w:r>
        <w:rPr>
          <w:color w:val="auto"/>
        </w:rPr>
        <w:t>3</w:t>
      </w:r>
      <w:r>
        <w:rPr>
          <w:color w:val="auto"/>
        </w:rPr>
        <w:t>）废碱</w:t>
      </w:r>
    </w:p>
    <w:p w14:paraId="31900AB8" w14:textId="77777777" w:rsidR="002E474C" w:rsidRDefault="00000000">
      <w:pPr>
        <w:pStyle w:val="A-z"/>
        <w:rPr>
          <w:color w:val="auto"/>
        </w:rPr>
      </w:pPr>
      <w:r>
        <w:rPr>
          <w:color w:val="auto"/>
        </w:rPr>
        <w:t>废碱液主要来源于石油化工行业、纺织印染、金属及其它制品的碱蚀、出光、除锈（油）及清洗、碱法制浆过程蒸煮产生，废碱属危险废物，其具有腐蚀性，主要危害是：</w:t>
      </w:r>
    </w:p>
    <w:p w14:paraId="7DF7F13C" w14:textId="77777777" w:rsidR="002E474C" w:rsidRDefault="00000000">
      <w:pPr>
        <w:pStyle w:val="A-z"/>
        <w:rPr>
          <w:color w:val="auto"/>
        </w:rPr>
      </w:pPr>
      <w:r>
        <w:rPr>
          <w:color w:val="auto"/>
        </w:rPr>
        <w:t>1</w:t>
      </w:r>
      <w:r>
        <w:rPr>
          <w:color w:val="auto"/>
        </w:rPr>
        <w:t>）破坏生态环境。随意排放、贮存的危废在雨水地下水的长期渗透、扩散作用下，会污染水体和土壤，降低地区的环境功能等级。</w:t>
      </w:r>
    </w:p>
    <w:p w14:paraId="2BEE7413" w14:textId="77777777" w:rsidR="002E474C" w:rsidRDefault="00000000">
      <w:pPr>
        <w:pStyle w:val="A-z"/>
        <w:rPr>
          <w:color w:val="auto"/>
        </w:rPr>
      </w:pPr>
      <w:r>
        <w:rPr>
          <w:color w:val="auto"/>
        </w:rPr>
        <w:t>2</w:t>
      </w:r>
      <w:r>
        <w:rPr>
          <w:color w:val="auto"/>
        </w:rPr>
        <w:t>）影响人类健康。危险废物通过摄入、吸入、皮肤吸收、眼接触而引起毒害；长期危害包括重复接触导致的长期中毒等。</w:t>
      </w:r>
    </w:p>
    <w:p w14:paraId="75E7B851" w14:textId="77777777" w:rsidR="002E474C" w:rsidRDefault="00000000">
      <w:pPr>
        <w:pStyle w:val="A-z"/>
        <w:rPr>
          <w:color w:val="auto"/>
        </w:rPr>
      </w:pPr>
      <w:r>
        <w:rPr>
          <w:color w:val="auto"/>
        </w:rPr>
        <w:t>本项目在焚烧危险废物的过程中外排焚烧烟气会含有少量</w:t>
      </w:r>
      <w:r>
        <w:rPr>
          <w:color w:val="auto"/>
        </w:rPr>
        <w:t>HCl</w:t>
      </w:r>
      <w:r>
        <w:rPr>
          <w:color w:val="auto"/>
        </w:rPr>
        <w:t>、</w:t>
      </w:r>
      <w:r>
        <w:rPr>
          <w:color w:val="auto"/>
        </w:rPr>
        <w:t>HF</w:t>
      </w:r>
      <w:r>
        <w:rPr>
          <w:color w:val="auto"/>
        </w:rPr>
        <w:t>、二噁英类、铬等重金属的氧化物、盐类等毒性物质。代表性危废的成分及理化性质见表</w:t>
      </w:r>
      <w:r>
        <w:rPr>
          <w:color w:val="auto"/>
        </w:rPr>
        <w:t>5.8</w:t>
      </w:r>
      <w:r>
        <w:rPr>
          <w:color w:val="auto"/>
        </w:rPr>
        <w:noBreakHyphen/>
        <w:t>5</w:t>
      </w:r>
      <w:r>
        <w:rPr>
          <w:color w:val="auto"/>
        </w:rPr>
        <w:t>。项目涉及物料的危害性和毒性见表</w:t>
      </w:r>
      <w:r>
        <w:rPr>
          <w:color w:val="auto"/>
        </w:rPr>
        <w:t>5.8</w:t>
      </w:r>
      <w:r>
        <w:rPr>
          <w:color w:val="auto"/>
        </w:rPr>
        <w:noBreakHyphen/>
        <w:t>6</w:t>
      </w:r>
      <w:r>
        <w:rPr>
          <w:color w:val="auto"/>
        </w:rPr>
        <w:t>和表</w:t>
      </w:r>
      <w:r>
        <w:rPr>
          <w:color w:val="auto"/>
        </w:rPr>
        <w:t>5.8</w:t>
      </w:r>
      <w:r>
        <w:rPr>
          <w:color w:val="auto"/>
        </w:rPr>
        <w:noBreakHyphen/>
        <w:t>7</w:t>
      </w:r>
      <w:r>
        <w:rPr>
          <w:color w:val="auto"/>
        </w:rPr>
        <w:t>。</w:t>
      </w:r>
    </w:p>
    <w:p w14:paraId="5596FD33"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1C7C7E72" w14:textId="77777777" w:rsidR="002E474C" w:rsidRDefault="00000000">
      <w:pPr>
        <w:pStyle w:val="A--"/>
        <w:rPr>
          <w:color w:val="auto"/>
        </w:rPr>
      </w:pPr>
      <w:bookmarkStart w:id="323" w:name="_Ref130479608"/>
      <w:r>
        <w:rPr>
          <w:color w:val="auto"/>
        </w:rPr>
        <w:lastRenderedPageBreak/>
        <w:t>表</w:t>
      </w:r>
      <w:r>
        <w:rPr>
          <w:color w:val="auto"/>
        </w:rPr>
        <w:t>5.8</w:t>
      </w:r>
      <w:r>
        <w:rPr>
          <w:color w:val="auto"/>
        </w:rPr>
        <w:noBreakHyphen/>
        <w:t>5</w:t>
      </w:r>
      <w:bookmarkEnd w:id="323"/>
      <w:r>
        <w:rPr>
          <w:color w:val="auto"/>
        </w:rPr>
        <w:t xml:space="preserve">  </w:t>
      </w:r>
      <w:r>
        <w:rPr>
          <w:color w:val="auto"/>
        </w:rPr>
        <w:t>代表性危废的成分及理化性质</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935"/>
        <w:gridCol w:w="1248"/>
        <w:gridCol w:w="1089"/>
        <w:gridCol w:w="1142"/>
        <w:gridCol w:w="8219"/>
      </w:tblGrid>
      <w:tr w:rsidR="002E474C" w14:paraId="26878DCE" w14:textId="77777777">
        <w:trPr>
          <w:trHeight w:val="399"/>
        </w:trPr>
        <w:tc>
          <w:tcPr>
            <w:tcW w:w="231" w:type="pct"/>
            <w:vAlign w:val="center"/>
          </w:tcPr>
          <w:p w14:paraId="6F0BAAFC" w14:textId="77777777" w:rsidR="002E474C" w:rsidRDefault="00000000">
            <w:pPr>
              <w:pStyle w:val="A-"/>
            </w:pPr>
            <w:r>
              <w:t>序号</w:t>
            </w:r>
          </w:p>
        </w:tc>
        <w:tc>
          <w:tcPr>
            <w:tcW w:w="353" w:type="pct"/>
            <w:vAlign w:val="center"/>
          </w:tcPr>
          <w:p w14:paraId="2DAB8201" w14:textId="77777777" w:rsidR="002E474C" w:rsidRDefault="00000000">
            <w:pPr>
              <w:pStyle w:val="A-"/>
            </w:pPr>
            <w:r>
              <w:t>废物类别代码</w:t>
            </w:r>
          </w:p>
        </w:tc>
        <w:tc>
          <w:tcPr>
            <w:tcW w:w="471" w:type="pct"/>
            <w:vAlign w:val="center"/>
          </w:tcPr>
          <w:p w14:paraId="27A72EF7" w14:textId="77777777" w:rsidR="002E474C" w:rsidRDefault="00000000">
            <w:pPr>
              <w:pStyle w:val="A-"/>
            </w:pPr>
            <w:r>
              <w:t>废物名称</w:t>
            </w:r>
          </w:p>
        </w:tc>
        <w:tc>
          <w:tcPr>
            <w:tcW w:w="411" w:type="pct"/>
            <w:vAlign w:val="center"/>
          </w:tcPr>
          <w:p w14:paraId="53C181F6" w14:textId="77777777" w:rsidR="002E474C" w:rsidRDefault="00000000">
            <w:pPr>
              <w:pStyle w:val="A-"/>
            </w:pPr>
            <w:r>
              <w:t>样品描述</w:t>
            </w:r>
          </w:p>
        </w:tc>
        <w:tc>
          <w:tcPr>
            <w:tcW w:w="431" w:type="pct"/>
            <w:vAlign w:val="center"/>
          </w:tcPr>
          <w:p w14:paraId="41A3981A" w14:textId="77777777" w:rsidR="002E474C" w:rsidRDefault="00000000">
            <w:pPr>
              <w:pStyle w:val="A-"/>
            </w:pPr>
            <w:r>
              <w:t>危险性提示</w:t>
            </w:r>
          </w:p>
        </w:tc>
        <w:tc>
          <w:tcPr>
            <w:tcW w:w="3102" w:type="pct"/>
            <w:vAlign w:val="center"/>
          </w:tcPr>
          <w:p w14:paraId="3C0F0034" w14:textId="77777777" w:rsidR="002E474C" w:rsidRDefault="00000000">
            <w:pPr>
              <w:pStyle w:val="A-"/>
            </w:pPr>
            <w:r>
              <w:t>成份及性质</w:t>
            </w:r>
          </w:p>
        </w:tc>
      </w:tr>
      <w:tr w:rsidR="002E474C" w14:paraId="7D4253AE" w14:textId="77777777">
        <w:trPr>
          <w:trHeight w:val="198"/>
        </w:trPr>
        <w:tc>
          <w:tcPr>
            <w:tcW w:w="231" w:type="pct"/>
            <w:vAlign w:val="center"/>
          </w:tcPr>
          <w:p w14:paraId="3957D32E" w14:textId="77777777" w:rsidR="002E474C" w:rsidRDefault="00000000">
            <w:pPr>
              <w:pStyle w:val="A-"/>
            </w:pPr>
            <w:r>
              <w:t>1</w:t>
            </w:r>
          </w:p>
        </w:tc>
        <w:tc>
          <w:tcPr>
            <w:tcW w:w="353" w:type="pct"/>
            <w:vAlign w:val="center"/>
          </w:tcPr>
          <w:p w14:paraId="794D6027" w14:textId="77777777" w:rsidR="002E474C" w:rsidRDefault="00000000">
            <w:pPr>
              <w:pStyle w:val="A-"/>
            </w:pPr>
            <w:r>
              <w:t>HW02</w:t>
            </w:r>
          </w:p>
        </w:tc>
        <w:tc>
          <w:tcPr>
            <w:tcW w:w="471" w:type="pct"/>
            <w:vAlign w:val="center"/>
          </w:tcPr>
          <w:p w14:paraId="286EAD35" w14:textId="77777777" w:rsidR="002E474C" w:rsidRDefault="00000000">
            <w:pPr>
              <w:pStyle w:val="A-"/>
            </w:pPr>
            <w:r>
              <w:t>废吸附剂</w:t>
            </w:r>
          </w:p>
        </w:tc>
        <w:tc>
          <w:tcPr>
            <w:tcW w:w="411" w:type="pct"/>
            <w:vAlign w:val="center"/>
          </w:tcPr>
          <w:p w14:paraId="38F7999B" w14:textId="77777777" w:rsidR="002E474C" w:rsidRDefault="00000000">
            <w:pPr>
              <w:pStyle w:val="A-"/>
            </w:pPr>
            <w:r>
              <w:t>黑色液体</w:t>
            </w:r>
          </w:p>
        </w:tc>
        <w:tc>
          <w:tcPr>
            <w:tcW w:w="431" w:type="pct"/>
            <w:vAlign w:val="center"/>
          </w:tcPr>
          <w:p w14:paraId="0DCC9080" w14:textId="77777777" w:rsidR="002E474C" w:rsidRDefault="00000000">
            <w:pPr>
              <w:pStyle w:val="A-"/>
            </w:pPr>
            <w:r>
              <w:t>有毒</w:t>
            </w:r>
          </w:p>
        </w:tc>
        <w:tc>
          <w:tcPr>
            <w:tcW w:w="3102" w:type="pct"/>
            <w:vAlign w:val="center"/>
          </w:tcPr>
          <w:p w14:paraId="7BD03305" w14:textId="77777777" w:rsidR="002E474C" w:rsidRDefault="00000000">
            <w:pPr>
              <w:pStyle w:val="A-"/>
            </w:pPr>
            <w:r>
              <w:t>pH</w:t>
            </w:r>
            <w:r>
              <w:t>值</w:t>
            </w:r>
            <w:r>
              <w:t>7</w:t>
            </w:r>
            <w:r>
              <w:t>、可燃性、热值</w:t>
            </w:r>
            <w:r>
              <w:t>15193J/g</w:t>
            </w:r>
          </w:p>
        </w:tc>
      </w:tr>
      <w:tr w:rsidR="002E474C" w14:paraId="46E99698" w14:textId="77777777">
        <w:trPr>
          <w:trHeight w:val="601"/>
        </w:trPr>
        <w:tc>
          <w:tcPr>
            <w:tcW w:w="231" w:type="pct"/>
            <w:vAlign w:val="center"/>
          </w:tcPr>
          <w:p w14:paraId="749126A1" w14:textId="77777777" w:rsidR="002E474C" w:rsidRDefault="00000000">
            <w:pPr>
              <w:pStyle w:val="A-"/>
            </w:pPr>
            <w:r>
              <w:t>2</w:t>
            </w:r>
          </w:p>
        </w:tc>
        <w:tc>
          <w:tcPr>
            <w:tcW w:w="353" w:type="pct"/>
            <w:vAlign w:val="center"/>
          </w:tcPr>
          <w:p w14:paraId="7F83E865" w14:textId="77777777" w:rsidR="002E474C" w:rsidRDefault="00000000">
            <w:pPr>
              <w:pStyle w:val="A-"/>
            </w:pPr>
            <w:r>
              <w:t>HW06</w:t>
            </w:r>
          </w:p>
        </w:tc>
        <w:tc>
          <w:tcPr>
            <w:tcW w:w="471" w:type="pct"/>
            <w:vAlign w:val="center"/>
          </w:tcPr>
          <w:p w14:paraId="027758EA" w14:textId="77777777" w:rsidR="002E474C" w:rsidRDefault="00000000">
            <w:pPr>
              <w:pStyle w:val="A-"/>
            </w:pPr>
            <w:r>
              <w:t>沥青渣</w:t>
            </w:r>
          </w:p>
        </w:tc>
        <w:tc>
          <w:tcPr>
            <w:tcW w:w="411" w:type="pct"/>
            <w:vAlign w:val="center"/>
          </w:tcPr>
          <w:p w14:paraId="379AC3FA" w14:textId="77777777" w:rsidR="002E474C" w:rsidRDefault="00000000">
            <w:pPr>
              <w:pStyle w:val="A-"/>
            </w:pPr>
            <w:r>
              <w:t>黑色块状</w:t>
            </w:r>
          </w:p>
        </w:tc>
        <w:tc>
          <w:tcPr>
            <w:tcW w:w="431" w:type="pct"/>
            <w:vAlign w:val="center"/>
          </w:tcPr>
          <w:p w14:paraId="475D25CA" w14:textId="77777777" w:rsidR="002E474C" w:rsidRDefault="00000000">
            <w:pPr>
              <w:pStyle w:val="A-"/>
            </w:pPr>
            <w:r>
              <w:t>易燃固体</w:t>
            </w:r>
          </w:p>
        </w:tc>
        <w:tc>
          <w:tcPr>
            <w:tcW w:w="3102" w:type="pct"/>
            <w:vAlign w:val="center"/>
          </w:tcPr>
          <w:p w14:paraId="5B7F8A4D" w14:textId="77777777" w:rsidR="002E474C" w:rsidRDefault="00000000">
            <w:pPr>
              <w:pStyle w:val="A-"/>
            </w:pPr>
            <w:r>
              <w:rPr>
                <w:spacing w:val="-1"/>
              </w:rPr>
              <w:t>成份（</w:t>
            </w:r>
            <w:r>
              <w:rPr>
                <w:spacing w:val="-1"/>
              </w:rPr>
              <w:t>%</w:t>
            </w:r>
            <w:r>
              <w:rPr>
                <w:spacing w:val="-1"/>
              </w:rPr>
              <w:t>）：</w:t>
            </w:r>
            <w:r>
              <w:rPr>
                <w:spacing w:val="-1"/>
              </w:rPr>
              <w:t>Na</w:t>
            </w:r>
            <w:r>
              <w:rPr>
                <w:spacing w:val="-1"/>
                <w:sz w:val="12"/>
              </w:rPr>
              <w:t>2</w:t>
            </w:r>
            <w:r>
              <w:rPr>
                <w:spacing w:val="-1"/>
              </w:rPr>
              <w:t>O</w:t>
            </w:r>
            <w:r>
              <w:rPr>
                <w:spacing w:val="-1"/>
              </w:rPr>
              <w:t>：</w:t>
            </w:r>
            <w:r>
              <w:rPr>
                <w:spacing w:val="-1"/>
              </w:rPr>
              <w:t>1.542</w:t>
            </w:r>
            <w:r>
              <w:rPr>
                <w:spacing w:val="-26"/>
              </w:rPr>
              <w:t>、</w:t>
            </w:r>
            <w:r>
              <w:rPr>
                <w:spacing w:val="-1"/>
              </w:rPr>
              <w:t>MgO</w:t>
            </w:r>
            <w:r>
              <w:rPr>
                <w:spacing w:val="-1"/>
              </w:rPr>
              <w:t>：</w:t>
            </w:r>
            <w:r>
              <w:rPr>
                <w:spacing w:val="-1"/>
              </w:rPr>
              <w:t>0.466</w:t>
            </w:r>
            <w:r>
              <w:rPr>
                <w:spacing w:val="-27"/>
              </w:rPr>
              <w:t>、</w:t>
            </w:r>
            <w:r>
              <w:rPr>
                <w:spacing w:val="-1"/>
              </w:rPr>
              <w:t>Al</w:t>
            </w:r>
            <w:r>
              <w:rPr>
                <w:spacing w:val="-1"/>
                <w:sz w:val="12"/>
              </w:rPr>
              <w:t>2</w:t>
            </w:r>
            <w:r>
              <w:rPr>
                <w:spacing w:val="-1"/>
              </w:rPr>
              <w:t>O</w:t>
            </w:r>
            <w:r>
              <w:rPr>
                <w:spacing w:val="-1"/>
                <w:sz w:val="12"/>
              </w:rPr>
              <w:t>3</w:t>
            </w:r>
            <w:r>
              <w:rPr>
                <w:spacing w:val="-1"/>
              </w:rPr>
              <w:t>：</w:t>
            </w:r>
            <w:r>
              <w:rPr>
                <w:spacing w:val="-1"/>
              </w:rPr>
              <w:t>1.879</w:t>
            </w:r>
            <w:r>
              <w:rPr>
                <w:spacing w:val="-27"/>
              </w:rPr>
              <w:t>、</w:t>
            </w:r>
            <w:r>
              <w:rPr>
                <w:spacing w:val="-1"/>
              </w:rPr>
              <w:t>SiO</w:t>
            </w:r>
            <w:r>
              <w:rPr>
                <w:spacing w:val="-1"/>
                <w:sz w:val="12"/>
              </w:rPr>
              <w:t>2</w:t>
            </w:r>
            <w:r>
              <w:rPr>
                <w:spacing w:val="-1"/>
              </w:rPr>
              <w:t>：</w:t>
            </w:r>
            <w:r>
              <w:rPr>
                <w:spacing w:val="-1"/>
              </w:rPr>
              <w:t>5.549</w:t>
            </w:r>
            <w:r>
              <w:rPr>
                <w:spacing w:val="-29"/>
              </w:rPr>
              <w:t>、</w:t>
            </w:r>
            <w:r>
              <w:t>P</w:t>
            </w:r>
            <w:r>
              <w:rPr>
                <w:sz w:val="12"/>
              </w:rPr>
              <w:t>2</w:t>
            </w:r>
            <w:r>
              <w:t>O</w:t>
            </w:r>
            <w:r>
              <w:rPr>
                <w:sz w:val="12"/>
              </w:rPr>
              <w:t>5</w:t>
            </w:r>
            <w:r>
              <w:t>：</w:t>
            </w:r>
            <w:r>
              <w:t>0.128</w:t>
            </w:r>
            <w:r>
              <w:rPr>
                <w:spacing w:val="-27"/>
              </w:rPr>
              <w:t>、</w:t>
            </w:r>
            <w:r>
              <w:t>SO</w:t>
            </w:r>
            <w:r>
              <w:rPr>
                <w:sz w:val="12"/>
              </w:rPr>
              <w:t>3</w:t>
            </w:r>
            <w:r>
              <w:t>：</w:t>
            </w:r>
            <w:r>
              <w:t>59.231</w:t>
            </w:r>
            <w:r>
              <w:rPr>
                <w:spacing w:val="-27"/>
              </w:rPr>
              <w:t>、</w:t>
            </w:r>
            <w:r>
              <w:t>K</w:t>
            </w:r>
            <w:r>
              <w:rPr>
                <w:sz w:val="12"/>
              </w:rPr>
              <w:t>2</w:t>
            </w:r>
            <w:r>
              <w:t>O</w:t>
            </w:r>
            <w:r>
              <w:t>：</w:t>
            </w:r>
            <w:r>
              <w:t>0.256</w:t>
            </w:r>
            <w:r>
              <w:rPr>
                <w:spacing w:val="-27"/>
              </w:rPr>
              <w:t>、</w:t>
            </w:r>
            <w:proofErr w:type="spellStart"/>
            <w:r>
              <w:t>CaO</w:t>
            </w:r>
            <w:proofErr w:type="spellEnd"/>
            <w:r>
              <w:t>：</w:t>
            </w:r>
            <w:r>
              <w:t>5.459</w:t>
            </w:r>
            <w:r>
              <w:t>、</w:t>
            </w:r>
            <w:r>
              <w:rPr>
                <w:spacing w:val="-1"/>
              </w:rPr>
              <w:t>Cr</w:t>
            </w:r>
            <w:r>
              <w:rPr>
                <w:spacing w:val="-1"/>
                <w:sz w:val="12"/>
              </w:rPr>
              <w:t>2</w:t>
            </w:r>
            <w:r>
              <w:rPr>
                <w:spacing w:val="-1"/>
              </w:rPr>
              <w:t>O</w:t>
            </w:r>
            <w:r>
              <w:rPr>
                <w:spacing w:val="-1"/>
                <w:sz w:val="12"/>
              </w:rPr>
              <w:t>3</w:t>
            </w:r>
            <w:r>
              <w:rPr>
                <w:spacing w:val="-1"/>
              </w:rPr>
              <w:t>：</w:t>
            </w:r>
            <w:r>
              <w:rPr>
                <w:spacing w:val="-1"/>
              </w:rPr>
              <w:t>0.626</w:t>
            </w:r>
            <w:r>
              <w:rPr>
                <w:spacing w:val="-68"/>
              </w:rPr>
              <w:t>、</w:t>
            </w:r>
            <w:proofErr w:type="spellStart"/>
            <w:r>
              <w:t>MnO</w:t>
            </w:r>
            <w:proofErr w:type="spellEnd"/>
            <w:r>
              <w:t>：</w:t>
            </w:r>
            <w:r>
              <w:t>0.166</w:t>
            </w:r>
            <w:r>
              <w:rPr>
                <w:spacing w:val="-68"/>
              </w:rPr>
              <w:t>、</w:t>
            </w:r>
            <w:r>
              <w:t>Fe</w:t>
            </w:r>
            <w:r>
              <w:rPr>
                <w:sz w:val="12"/>
              </w:rPr>
              <w:t>2</w:t>
            </w:r>
            <w:r>
              <w:t>O</w:t>
            </w:r>
            <w:r>
              <w:rPr>
                <w:sz w:val="12"/>
              </w:rPr>
              <w:t>3</w:t>
            </w:r>
            <w:r>
              <w:t>：</w:t>
            </w:r>
            <w:r>
              <w:t>18.655</w:t>
            </w:r>
            <w:r>
              <w:t>、</w:t>
            </w:r>
            <w:proofErr w:type="spellStart"/>
            <w:r>
              <w:t>NiO</w:t>
            </w:r>
            <w:proofErr w:type="spellEnd"/>
            <w:r>
              <w:t>：</w:t>
            </w:r>
            <w:r>
              <w:t>0.151</w:t>
            </w:r>
            <w:r>
              <w:t>、</w:t>
            </w:r>
            <w:r>
              <w:t>Fe</w:t>
            </w:r>
            <w:r>
              <w:rPr>
                <w:sz w:val="12"/>
              </w:rPr>
              <w:t>2</w:t>
            </w:r>
            <w:r>
              <w:t>O</w:t>
            </w:r>
            <w:r>
              <w:rPr>
                <w:sz w:val="12"/>
              </w:rPr>
              <w:t>3</w:t>
            </w:r>
            <w:r>
              <w:t>：</w:t>
            </w:r>
            <w:r>
              <w:t>14.847</w:t>
            </w:r>
            <w:r>
              <w:rPr>
                <w:spacing w:val="-68"/>
              </w:rPr>
              <w:t>、</w:t>
            </w:r>
            <w:proofErr w:type="spellStart"/>
            <w:r>
              <w:t>ZnO</w:t>
            </w:r>
            <w:proofErr w:type="spellEnd"/>
            <w:r>
              <w:t>：</w:t>
            </w:r>
            <w:r>
              <w:t>3.191</w:t>
            </w:r>
            <w:r>
              <w:t>、</w:t>
            </w:r>
            <w:r>
              <w:t>As</w:t>
            </w:r>
            <w:r>
              <w:rPr>
                <w:sz w:val="12"/>
              </w:rPr>
              <w:t>2</w:t>
            </w:r>
            <w:r>
              <w:t>O</w:t>
            </w:r>
            <w:r>
              <w:rPr>
                <w:sz w:val="12"/>
              </w:rPr>
              <w:t>3</w:t>
            </w:r>
            <w:r>
              <w:t>：</w:t>
            </w:r>
            <w:r>
              <w:t>0.992</w:t>
            </w:r>
            <w:r>
              <w:t>、</w:t>
            </w:r>
            <w:proofErr w:type="spellStart"/>
            <w:r>
              <w:t>PdO</w:t>
            </w:r>
            <w:proofErr w:type="spellEnd"/>
            <w:r>
              <w:t>：</w:t>
            </w:r>
            <w:r>
              <w:t>0.819</w:t>
            </w:r>
            <w:r>
              <w:t>、</w:t>
            </w:r>
            <w:r>
              <w:t>Cl</w:t>
            </w:r>
            <w:r>
              <w:t>：</w:t>
            </w:r>
            <w:r>
              <w:t>1.235</w:t>
            </w:r>
            <w:r>
              <w:t>、含水率：</w:t>
            </w:r>
            <w:r>
              <w:rPr>
                <w:spacing w:val="1"/>
              </w:rPr>
              <w:t>0</w:t>
            </w:r>
            <w:r>
              <w:t>.</w:t>
            </w:r>
            <w:r>
              <w:rPr>
                <w:spacing w:val="-2"/>
              </w:rPr>
              <w:t>6</w:t>
            </w:r>
            <w:r>
              <w:rPr>
                <w:spacing w:val="1"/>
              </w:rPr>
              <w:t>4</w:t>
            </w:r>
            <w:r>
              <w:t>、烧失量</w:t>
            </w:r>
            <w:r>
              <w:rPr>
                <w:spacing w:val="-2"/>
              </w:rPr>
              <w:t>：</w:t>
            </w:r>
            <w:r>
              <w:rPr>
                <w:spacing w:val="1"/>
              </w:rPr>
              <w:t>48</w:t>
            </w:r>
            <w:r>
              <w:rPr>
                <w:spacing w:val="-2"/>
              </w:rPr>
              <w:t>.</w:t>
            </w:r>
            <w:r>
              <w:rPr>
                <w:spacing w:val="1"/>
              </w:rPr>
              <w:t>62</w:t>
            </w:r>
            <w:r>
              <w:t>（</w:t>
            </w:r>
            <w:r>
              <w:rPr>
                <w:spacing w:val="-2"/>
              </w:rPr>
              <w:t>湿基</w:t>
            </w:r>
            <w:r>
              <w:rPr>
                <w:spacing w:val="-92"/>
              </w:rPr>
              <w:t>）</w:t>
            </w:r>
            <w:r>
              <w:t>、热值：</w:t>
            </w:r>
            <w:r>
              <w:rPr>
                <w:spacing w:val="1"/>
              </w:rPr>
              <w:t>34</w:t>
            </w:r>
            <w:r>
              <w:rPr>
                <w:spacing w:val="-2"/>
              </w:rPr>
              <w:t>4</w:t>
            </w:r>
            <w:r>
              <w:rPr>
                <w:spacing w:val="1"/>
              </w:rPr>
              <w:t>50</w:t>
            </w:r>
            <w:r>
              <w:rPr>
                <w:spacing w:val="-2"/>
              </w:rPr>
              <w:t>.</w:t>
            </w:r>
            <w:r>
              <w:rPr>
                <w:spacing w:val="1"/>
              </w:rPr>
              <w:t>06</w:t>
            </w:r>
            <w:r>
              <w:rPr>
                <w:w w:val="99"/>
              </w:rPr>
              <w:t>J/</w:t>
            </w:r>
            <w:r>
              <w:rPr>
                <w:spacing w:val="-1"/>
                <w:w w:val="99"/>
              </w:rPr>
              <w:t>g</w:t>
            </w:r>
            <w:r>
              <w:t>（</w:t>
            </w:r>
            <w:r>
              <w:rPr>
                <w:spacing w:val="-2"/>
              </w:rPr>
              <w:t>烘干后</w:t>
            </w:r>
            <w:r>
              <w:rPr>
                <w:spacing w:val="-92"/>
              </w:rPr>
              <w:t>）</w:t>
            </w:r>
          </w:p>
        </w:tc>
      </w:tr>
      <w:tr w:rsidR="002E474C" w14:paraId="211AA63F" w14:textId="77777777">
        <w:trPr>
          <w:trHeight w:val="799"/>
        </w:trPr>
        <w:tc>
          <w:tcPr>
            <w:tcW w:w="231" w:type="pct"/>
            <w:vAlign w:val="center"/>
          </w:tcPr>
          <w:p w14:paraId="0A433145" w14:textId="77777777" w:rsidR="002E474C" w:rsidRDefault="00000000">
            <w:pPr>
              <w:pStyle w:val="A-"/>
            </w:pPr>
            <w:r>
              <w:t>3</w:t>
            </w:r>
          </w:p>
        </w:tc>
        <w:tc>
          <w:tcPr>
            <w:tcW w:w="353" w:type="pct"/>
            <w:vAlign w:val="center"/>
          </w:tcPr>
          <w:p w14:paraId="4EC5D4B2" w14:textId="77777777" w:rsidR="002E474C" w:rsidRDefault="00000000">
            <w:pPr>
              <w:pStyle w:val="A-"/>
            </w:pPr>
            <w:r>
              <w:t>HW08</w:t>
            </w:r>
          </w:p>
        </w:tc>
        <w:tc>
          <w:tcPr>
            <w:tcW w:w="471" w:type="pct"/>
            <w:vAlign w:val="center"/>
          </w:tcPr>
          <w:p w14:paraId="167D8616" w14:textId="77777777" w:rsidR="002E474C" w:rsidRDefault="00000000">
            <w:pPr>
              <w:pStyle w:val="A-"/>
            </w:pPr>
            <w:r>
              <w:t>含油污泥</w:t>
            </w:r>
          </w:p>
        </w:tc>
        <w:tc>
          <w:tcPr>
            <w:tcW w:w="411" w:type="pct"/>
            <w:vAlign w:val="center"/>
          </w:tcPr>
          <w:p w14:paraId="688DB02A" w14:textId="77777777" w:rsidR="002E474C" w:rsidRDefault="00000000">
            <w:pPr>
              <w:pStyle w:val="A-"/>
            </w:pPr>
            <w:r>
              <w:t>黑色固体</w:t>
            </w:r>
          </w:p>
        </w:tc>
        <w:tc>
          <w:tcPr>
            <w:tcW w:w="431" w:type="pct"/>
            <w:vAlign w:val="center"/>
          </w:tcPr>
          <w:p w14:paraId="1EAC219D" w14:textId="77777777" w:rsidR="002E474C" w:rsidRDefault="00000000">
            <w:pPr>
              <w:pStyle w:val="A-"/>
            </w:pPr>
            <w:r>
              <w:t>可燃固体</w:t>
            </w:r>
          </w:p>
        </w:tc>
        <w:tc>
          <w:tcPr>
            <w:tcW w:w="3102" w:type="pct"/>
            <w:vAlign w:val="center"/>
          </w:tcPr>
          <w:p w14:paraId="4C923C28" w14:textId="77777777" w:rsidR="002E474C" w:rsidRDefault="00000000">
            <w:pPr>
              <w:pStyle w:val="A-"/>
            </w:pPr>
            <w:r>
              <w:t>成份</w:t>
            </w:r>
            <w:r>
              <w:rPr>
                <w:spacing w:val="-1"/>
              </w:rPr>
              <w:t>（</w:t>
            </w:r>
            <w:r>
              <w:rPr>
                <w:spacing w:val="-1"/>
              </w:rPr>
              <w:t>%</w:t>
            </w:r>
            <w:r>
              <w:rPr>
                <w:spacing w:val="-1"/>
              </w:rPr>
              <w:t>）</w:t>
            </w:r>
            <w:r>
              <w:rPr>
                <w:spacing w:val="-48"/>
              </w:rPr>
              <w:t>：</w:t>
            </w:r>
            <w:r>
              <w:rPr>
                <w:spacing w:val="-1"/>
                <w:w w:val="99"/>
              </w:rPr>
              <w:t>Na</w:t>
            </w:r>
            <w:r>
              <w:rPr>
                <w:sz w:val="12"/>
              </w:rPr>
              <w:t>2</w:t>
            </w:r>
            <w:r>
              <w:rPr>
                <w:w w:val="99"/>
              </w:rPr>
              <w:t>O</w:t>
            </w:r>
            <w:r>
              <w:rPr>
                <w:w w:val="99"/>
              </w:rPr>
              <w:t>：</w:t>
            </w:r>
            <w:r>
              <w:rPr>
                <w:spacing w:val="1"/>
                <w:w w:val="99"/>
              </w:rPr>
              <w:t>2</w:t>
            </w:r>
            <w:r>
              <w:t>.</w:t>
            </w:r>
            <w:r>
              <w:rPr>
                <w:spacing w:val="1"/>
              </w:rPr>
              <w:t>175</w:t>
            </w:r>
            <w:r>
              <w:rPr>
                <w:spacing w:val="-48"/>
              </w:rPr>
              <w:t>、</w:t>
            </w:r>
            <w:r>
              <w:rPr>
                <w:w w:val="99"/>
              </w:rPr>
              <w:t>M</w:t>
            </w:r>
            <w:r>
              <w:rPr>
                <w:spacing w:val="-2"/>
              </w:rPr>
              <w:t>g</w:t>
            </w:r>
            <w:r>
              <w:rPr>
                <w:spacing w:val="-1"/>
                <w:w w:val="99"/>
              </w:rPr>
              <w:t>O</w:t>
            </w:r>
            <w:r>
              <w:t>：</w:t>
            </w:r>
            <w:r>
              <w:rPr>
                <w:spacing w:val="1"/>
              </w:rPr>
              <w:t>1</w:t>
            </w:r>
            <w:r>
              <w:rPr>
                <w:spacing w:val="-2"/>
              </w:rPr>
              <w:t>.0</w:t>
            </w:r>
            <w:r>
              <w:rPr>
                <w:spacing w:val="1"/>
              </w:rPr>
              <w:t>21</w:t>
            </w:r>
            <w:r>
              <w:rPr>
                <w:spacing w:val="-48"/>
              </w:rPr>
              <w:t>、</w:t>
            </w:r>
            <w:r>
              <w:rPr>
                <w:spacing w:val="-3"/>
                <w:w w:val="99"/>
              </w:rPr>
              <w:t>A</w:t>
            </w:r>
            <w:r>
              <w:rPr>
                <w:w w:val="99"/>
              </w:rPr>
              <w:t>l</w:t>
            </w:r>
            <w:r>
              <w:rPr>
                <w:sz w:val="12"/>
              </w:rPr>
              <w:t>2</w:t>
            </w:r>
            <w:r>
              <w:rPr>
                <w:spacing w:val="-1"/>
                <w:w w:val="99"/>
              </w:rPr>
              <w:t>O</w:t>
            </w:r>
            <w:r>
              <w:rPr>
                <w:sz w:val="12"/>
              </w:rPr>
              <w:t>3</w:t>
            </w:r>
            <w:r>
              <w:t>：</w:t>
            </w:r>
            <w:r>
              <w:rPr>
                <w:spacing w:val="1"/>
              </w:rPr>
              <w:t>21</w:t>
            </w:r>
            <w:r>
              <w:t>.</w:t>
            </w:r>
            <w:r>
              <w:rPr>
                <w:spacing w:val="-2"/>
              </w:rPr>
              <w:t>0</w:t>
            </w:r>
            <w:r>
              <w:rPr>
                <w:spacing w:val="1"/>
              </w:rPr>
              <w:t>73</w:t>
            </w:r>
            <w:r>
              <w:rPr>
                <w:spacing w:val="-48"/>
              </w:rPr>
              <w:t>、</w:t>
            </w:r>
            <w:r>
              <w:rPr>
                <w:w w:val="99"/>
              </w:rPr>
              <w:t>SiO</w:t>
            </w:r>
            <w:r>
              <w:rPr>
                <w:sz w:val="12"/>
              </w:rPr>
              <w:t>2</w:t>
            </w:r>
            <w:r>
              <w:rPr>
                <w:spacing w:val="-2"/>
              </w:rPr>
              <w:t>：</w:t>
            </w:r>
            <w:r>
              <w:rPr>
                <w:spacing w:val="1"/>
              </w:rPr>
              <w:t>1</w:t>
            </w:r>
            <w:r>
              <w:rPr>
                <w:spacing w:val="-2"/>
              </w:rPr>
              <w:t>6</w:t>
            </w:r>
            <w:r>
              <w:t>.</w:t>
            </w:r>
            <w:r>
              <w:rPr>
                <w:spacing w:val="-2"/>
              </w:rPr>
              <w:t>1</w:t>
            </w:r>
            <w:r>
              <w:rPr>
                <w:spacing w:val="1"/>
              </w:rPr>
              <w:t>94</w:t>
            </w:r>
            <w:r>
              <w:rPr>
                <w:spacing w:val="-51"/>
              </w:rPr>
              <w:t>、</w:t>
            </w:r>
            <w:r>
              <w:rPr>
                <w:spacing w:val="3"/>
                <w:w w:val="99"/>
              </w:rPr>
              <w:t>P</w:t>
            </w:r>
            <w:r>
              <w:rPr>
                <w:sz w:val="12"/>
              </w:rPr>
              <w:t>2</w:t>
            </w:r>
            <w:r>
              <w:rPr>
                <w:w w:val="99"/>
              </w:rPr>
              <w:t>O</w:t>
            </w:r>
            <w:r>
              <w:rPr>
                <w:sz w:val="12"/>
              </w:rPr>
              <w:t>5</w:t>
            </w:r>
            <w:r>
              <w:rPr>
                <w:spacing w:val="-2"/>
              </w:rPr>
              <w:t>：</w:t>
            </w:r>
            <w:r>
              <w:rPr>
                <w:spacing w:val="1"/>
              </w:rPr>
              <w:t>2</w:t>
            </w:r>
            <w:r>
              <w:rPr>
                <w:spacing w:val="-2"/>
              </w:rPr>
              <w:t>0</w:t>
            </w:r>
            <w:r>
              <w:t>.</w:t>
            </w:r>
            <w:r>
              <w:rPr>
                <w:spacing w:val="-2"/>
              </w:rPr>
              <w:t>1</w:t>
            </w:r>
            <w:r>
              <w:rPr>
                <w:spacing w:val="1"/>
              </w:rPr>
              <w:t>28</w:t>
            </w:r>
            <w:r>
              <w:rPr>
                <w:spacing w:val="-48"/>
              </w:rPr>
              <w:t>、</w:t>
            </w:r>
            <w:r>
              <w:rPr>
                <w:w w:val="99"/>
              </w:rPr>
              <w:t>S</w:t>
            </w:r>
            <w:r>
              <w:rPr>
                <w:spacing w:val="-1"/>
                <w:w w:val="99"/>
              </w:rPr>
              <w:t>O</w:t>
            </w:r>
            <w:r>
              <w:rPr>
                <w:sz w:val="12"/>
              </w:rPr>
              <w:t>3</w:t>
            </w:r>
            <w:r>
              <w:t>：</w:t>
            </w:r>
            <w:r>
              <w:rPr>
                <w:spacing w:val="-1"/>
              </w:rPr>
              <w:t>7</w:t>
            </w:r>
            <w:r>
              <w:t>.</w:t>
            </w:r>
            <w:r>
              <w:rPr>
                <w:spacing w:val="-6"/>
              </w:rPr>
              <w:t>1</w:t>
            </w:r>
            <w:r>
              <w:rPr>
                <w:spacing w:val="-2"/>
              </w:rPr>
              <w:t>1</w:t>
            </w:r>
            <w:r>
              <w:rPr>
                <w:spacing w:val="1"/>
              </w:rPr>
              <w:t>8</w:t>
            </w:r>
            <w:r>
              <w:rPr>
                <w:spacing w:val="-48"/>
              </w:rPr>
              <w:t>、</w:t>
            </w:r>
            <w:r>
              <w:rPr>
                <w:spacing w:val="-1"/>
                <w:w w:val="99"/>
              </w:rPr>
              <w:t>K</w:t>
            </w:r>
            <w:r>
              <w:rPr>
                <w:sz w:val="12"/>
              </w:rPr>
              <w:t>2</w:t>
            </w:r>
            <w:r>
              <w:rPr>
                <w:w w:val="99"/>
              </w:rPr>
              <w:t>O</w:t>
            </w:r>
            <w:r>
              <w:rPr>
                <w:w w:val="99"/>
              </w:rPr>
              <w:t>：</w:t>
            </w:r>
            <w:r>
              <w:rPr>
                <w:spacing w:val="1"/>
                <w:w w:val="99"/>
              </w:rPr>
              <w:t>0</w:t>
            </w:r>
            <w:r>
              <w:rPr>
                <w:spacing w:val="-2"/>
              </w:rPr>
              <w:t>.</w:t>
            </w:r>
            <w:r>
              <w:rPr>
                <w:spacing w:val="1"/>
              </w:rPr>
              <w:t>243</w:t>
            </w:r>
            <w:r>
              <w:rPr>
                <w:spacing w:val="-48"/>
              </w:rPr>
              <w:t>、</w:t>
            </w:r>
            <w:proofErr w:type="spellStart"/>
            <w:r>
              <w:t>C</w:t>
            </w:r>
            <w:r>
              <w:rPr>
                <w:spacing w:val="-1"/>
              </w:rPr>
              <w:t>a</w:t>
            </w:r>
            <w:r>
              <w:rPr>
                <w:w w:val="99"/>
              </w:rPr>
              <w:t>O</w:t>
            </w:r>
            <w:proofErr w:type="spellEnd"/>
            <w:r>
              <w:rPr>
                <w:w w:val="99"/>
              </w:rPr>
              <w:t>：</w:t>
            </w:r>
            <w:r>
              <w:rPr>
                <w:spacing w:val="-2"/>
                <w:w w:val="99"/>
              </w:rPr>
              <w:t>7</w:t>
            </w:r>
            <w:r>
              <w:t>.</w:t>
            </w:r>
            <w:r>
              <w:rPr>
                <w:spacing w:val="-2"/>
              </w:rPr>
              <w:t>8</w:t>
            </w:r>
            <w:r>
              <w:rPr>
                <w:spacing w:val="1"/>
              </w:rPr>
              <w:t>65</w:t>
            </w:r>
            <w:r>
              <w:t>、</w:t>
            </w:r>
            <w:r>
              <w:rPr>
                <w:spacing w:val="-1"/>
              </w:rPr>
              <w:t>TiO</w:t>
            </w:r>
            <w:r>
              <w:rPr>
                <w:spacing w:val="-1"/>
                <w:sz w:val="12"/>
              </w:rPr>
              <w:t>2</w:t>
            </w:r>
            <w:r>
              <w:rPr>
                <w:spacing w:val="-1"/>
              </w:rPr>
              <w:t>：</w:t>
            </w:r>
            <w:r>
              <w:rPr>
                <w:spacing w:val="-1"/>
              </w:rPr>
              <w:t>1.308</w:t>
            </w:r>
            <w:r>
              <w:rPr>
                <w:spacing w:val="-53"/>
              </w:rPr>
              <w:t>、</w:t>
            </w:r>
            <w:proofErr w:type="spellStart"/>
            <w:r>
              <w:rPr>
                <w:spacing w:val="-1"/>
              </w:rPr>
              <w:t>MnO</w:t>
            </w:r>
            <w:proofErr w:type="spellEnd"/>
            <w:r>
              <w:rPr>
                <w:spacing w:val="-1"/>
              </w:rPr>
              <w:t>：</w:t>
            </w:r>
            <w:r>
              <w:rPr>
                <w:spacing w:val="-1"/>
              </w:rPr>
              <w:t>0.969</w:t>
            </w:r>
            <w:r>
              <w:rPr>
                <w:spacing w:val="-53"/>
              </w:rPr>
              <w:t>、</w:t>
            </w:r>
            <w:r>
              <w:rPr>
                <w:spacing w:val="-1"/>
              </w:rPr>
              <w:t>Fe</w:t>
            </w:r>
            <w:r>
              <w:rPr>
                <w:spacing w:val="-1"/>
                <w:sz w:val="12"/>
              </w:rPr>
              <w:t>2</w:t>
            </w:r>
            <w:r>
              <w:rPr>
                <w:spacing w:val="-1"/>
              </w:rPr>
              <w:t>O</w:t>
            </w:r>
            <w:r>
              <w:rPr>
                <w:spacing w:val="-1"/>
                <w:sz w:val="12"/>
              </w:rPr>
              <w:t>3</w:t>
            </w:r>
            <w:r>
              <w:rPr>
                <w:spacing w:val="-1"/>
              </w:rPr>
              <w:t>：</w:t>
            </w:r>
            <w:r>
              <w:rPr>
                <w:spacing w:val="-1"/>
              </w:rPr>
              <w:t>13.876</w:t>
            </w:r>
            <w:r>
              <w:rPr>
                <w:spacing w:val="-53"/>
              </w:rPr>
              <w:t>、</w:t>
            </w:r>
            <w:proofErr w:type="spellStart"/>
            <w:r>
              <w:t>NiO</w:t>
            </w:r>
            <w:proofErr w:type="spellEnd"/>
            <w:r>
              <w:t>：</w:t>
            </w:r>
            <w:r>
              <w:t>2.196</w:t>
            </w:r>
            <w:r>
              <w:rPr>
                <w:spacing w:val="-53"/>
              </w:rPr>
              <w:t>、</w:t>
            </w:r>
            <w:proofErr w:type="spellStart"/>
            <w:r>
              <w:t>CuO</w:t>
            </w:r>
            <w:proofErr w:type="spellEnd"/>
            <w:r>
              <w:t>：</w:t>
            </w:r>
            <w:r>
              <w:t>0.086</w:t>
            </w:r>
            <w:r>
              <w:rPr>
                <w:spacing w:val="-56"/>
              </w:rPr>
              <w:t>、</w:t>
            </w:r>
            <w:proofErr w:type="spellStart"/>
            <w:r>
              <w:t>ZnO</w:t>
            </w:r>
            <w:proofErr w:type="spellEnd"/>
            <w:r>
              <w:t>：</w:t>
            </w:r>
            <w:r>
              <w:t>4.602</w:t>
            </w:r>
            <w:r>
              <w:rPr>
                <w:spacing w:val="-53"/>
              </w:rPr>
              <w:t>、</w:t>
            </w:r>
            <w:r>
              <w:t>As</w:t>
            </w:r>
            <w:r>
              <w:rPr>
                <w:sz w:val="12"/>
              </w:rPr>
              <w:t>2</w:t>
            </w:r>
            <w:r>
              <w:t>O</w:t>
            </w:r>
            <w:r>
              <w:rPr>
                <w:sz w:val="12"/>
              </w:rPr>
              <w:t>3</w:t>
            </w:r>
            <w:r>
              <w:t>：</w:t>
            </w:r>
            <w:r>
              <w:t>0.017</w:t>
            </w:r>
            <w:r>
              <w:rPr>
                <w:spacing w:val="-53"/>
              </w:rPr>
              <w:t>、</w:t>
            </w:r>
            <w:proofErr w:type="spellStart"/>
            <w:r>
              <w:t>SrO</w:t>
            </w:r>
            <w:proofErr w:type="spellEnd"/>
            <w:r>
              <w:t>：</w:t>
            </w:r>
            <w:r>
              <w:t>0.087</w:t>
            </w:r>
            <w:r>
              <w:rPr>
                <w:spacing w:val="-56"/>
              </w:rPr>
              <w:t>、</w:t>
            </w:r>
            <w:r>
              <w:t>ZrO</w:t>
            </w:r>
            <w:r>
              <w:rPr>
                <w:sz w:val="12"/>
              </w:rPr>
              <w:t>2</w:t>
            </w:r>
            <w:r>
              <w:t>：</w:t>
            </w:r>
            <w:r>
              <w:t>0.030</w:t>
            </w:r>
            <w:r>
              <w:t>、</w:t>
            </w:r>
            <w:proofErr w:type="spellStart"/>
            <w:r>
              <w:t>BaO</w:t>
            </w:r>
            <w:proofErr w:type="spellEnd"/>
            <w:r>
              <w:t>：</w:t>
            </w:r>
            <w:r>
              <w:t>0.154</w:t>
            </w:r>
            <w:r>
              <w:t>、</w:t>
            </w:r>
            <w:proofErr w:type="spellStart"/>
            <w:r>
              <w:t>PbO</w:t>
            </w:r>
            <w:proofErr w:type="spellEnd"/>
            <w:r>
              <w:t>：</w:t>
            </w:r>
            <w:r>
              <w:t>0.036</w:t>
            </w:r>
            <w:r>
              <w:t>、</w:t>
            </w:r>
            <w:r>
              <w:t>Cl</w:t>
            </w:r>
            <w:r>
              <w:t>：</w:t>
            </w:r>
            <w:r>
              <w:t>0.822</w:t>
            </w:r>
            <w:r>
              <w:t>、含水率：</w:t>
            </w:r>
            <w:r>
              <w:t>17.5</w:t>
            </w:r>
            <w:r>
              <w:t>、烧失量：</w:t>
            </w:r>
            <w:r>
              <w:t>89.79</w:t>
            </w:r>
            <w:r>
              <w:t>（湿基）、热值：</w:t>
            </w:r>
            <w:r>
              <w:t>3469J/g</w:t>
            </w:r>
            <w:r>
              <w:t>（烘干后）</w:t>
            </w:r>
          </w:p>
        </w:tc>
      </w:tr>
      <w:tr w:rsidR="002E474C" w14:paraId="04E0DD6E" w14:textId="77777777">
        <w:trPr>
          <w:trHeight w:val="199"/>
        </w:trPr>
        <w:tc>
          <w:tcPr>
            <w:tcW w:w="231" w:type="pct"/>
            <w:vAlign w:val="center"/>
          </w:tcPr>
          <w:p w14:paraId="16687EF4" w14:textId="77777777" w:rsidR="002E474C" w:rsidRDefault="00000000">
            <w:pPr>
              <w:pStyle w:val="A-"/>
            </w:pPr>
            <w:r>
              <w:t>4</w:t>
            </w:r>
          </w:p>
        </w:tc>
        <w:tc>
          <w:tcPr>
            <w:tcW w:w="353" w:type="pct"/>
            <w:vAlign w:val="center"/>
          </w:tcPr>
          <w:p w14:paraId="41DB15BB" w14:textId="77777777" w:rsidR="002E474C" w:rsidRDefault="00000000">
            <w:pPr>
              <w:pStyle w:val="A-"/>
            </w:pPr>
            <w:r>
              <w:t>HW09</w:t>
            </w:r>
          </w:p>
        </w:tc>
        <w:tc>
          <w:tcPr>
            <w:tcW w:w="471" w:type="pct"/>
            <w:vAlign w:val="center"/>
          </w:tcPr>
          <w:p w14:paraId="0CDD7E87" w14:textId="77777777" w:rsidR="002E474C" w:rsidRDefault="00000000">
            <w:pPr>
              <w:pStyle w:val="A-"/>
            </w:pPr>
            <w:r>
              <w:t>乳化液</w:t>
            </w:r>
          </w:p>
        </w:tc>
        <w:tc>
          <w:tcPr>
            <w:tcW w:w="411" w:type="pct"/>
            <w:vAlign w:val="center"/>
          </w:tcPr>
          <w:p w14:paraId="284BC17C" w14:textId="77777777" w:rsidR="002E474C" w:rsidRDefault="00000000">
            <w:pPr>
              <w:pStyle w:val="A-"/>
            </w:pPr>
            <w:r>
              <w:t>乳白色</w:t>
            </w:r>
          </w:p>
        </w:tc>
        <w:tc>
          <w:tcPr>
            <w:tcW w:w="431" w:type="pct"/>
            <w:vAlign w:val="center"/>
          </w:tcPr>
          <w:p w14:paraId="7D4A6D9D" w14:textId="77777777" w:rsidR="002E474C" w:rsidRDefault="00000000">
            <w:pPr>
              <w:pStyle w:val="A-"/>
            </w:pPr>
            <w:r>
              <w:t>有害</w:t>
            </w:r>
          </w:p>
        </w:tc>
        <w:tc>
          <w:tcPr>
            <w:tcW w:w="3102" w:type="pct"/>
            <w:vAlign w:val="center"/>
          </w:tcPr>
          <w:p w14:paraId="2B5C0963" w14:textId="77777777" w:rsidR="002E474C" w:rsidRDefault="00000000">
            <w:pPr>
              <w:pStyle w:val="A-"/>
            </w:pPr>
            <w:r>
              <w:t xml:space="preserve">pH </w:t>
            </w:r>
            <w:r>
              <w:t>值</w:t>
            </w:r>
            <w:r>
              <w:t xml:space="preserve"> 6</w:t>
            </w:r>
            <w:r>
              <w:t>、可燃性：不可燃</w:t>
            </w:r>
          </w:p>
        </w:tc>
      </w:tr>
      <w:tr w:rsidR="002E474C" w14:paraId="15D5144D" w14:textId="77777777">
        <w:trPr>
          <w:trHeight w:val="599"/>
        </w:trPr>
        <w:tc>
          <w:tcPr>
            <w:tcW w:w="231" w:type="pct"/>
            <w:vAlign w:val="center"/>
          </w:tcPr>
          <w:p w14:paraId="419B7CDC" w14:textId="77777777" w:rsidR="002E474C" w:rsidRDefault="00000000">
            <w:pPr>
              <w:pStyle w:val="A-"/>
            </w:pPr>
            <w:r>
              <w:t>5</w:t>
            </w:r>
          </w:p>
        </w:tc>
        <w:tc>
          <w:tcPr>
            <w:tcW w:w="353" w:type="pct"/>
            <w:vAlign w:val="center"/>
          </w:tcPr>
          <w:p w14:paraId="0511CABC" w14:textId="77777777" w:rsidR="002E474C" w:rsidRDefault="00000000">
            <w:pPr>
              <w:pStyle w:val="A-"/>
            </w:pPr>
            <w:r>
              <w:t>HW12</w:t>
            </w:r>
          </w:p>
        </w:tc>
        <w:tc>
          <w:tcPr>
            <w:tcW w:w="471" w:type="pct"/>
            <w:vAlign w:val="center"/>
          </w:tcPr>
          <w:p w14:paraId="169B345D" w14:textId="77777777" w:rsidR="002E474C" w:rsidRDefault="00000000">
            <w:pPr>
              <w:pStyle w:val="A-"/>
            </w:pPr>
            <w:r>
              <w:t>漆渣</w:t>
            </w:r>
          </w:p>
        </w:tc>
        <w:tc>
          <w:tcPr>
            <w:tcW w:w="411" w:type="pct"/>
            <w:vAlign w:val="center"/>
          </w:tcPr>
          <w:p w14:paraId="5B3491C0" w14:textId="77777777" w:rsidR="002E474C" w:rsidRDefault="00000000">
            <w:pPr>
              <w:pStyle w:val="A-"/>
            </w:pPr>
            <w:r>
              <w:t>灰色固体</w:t>
            </w:r>
          </w:p>
        </w:tc>
        <w:tc>
          <w:tcPr>
            <w:tcW w:w="431" w:type="pct"/>
            <w:vAlign w:val="center"/>
          </w:tcPr>
          <w:p w14:paraId="0AC854E9" w14:textId="77777777" w:rsidR="002E474C" w:rsidRDefault="00000000">
            <w:pPr>
              <w:pStyle w:val="A-"/>
            </w:pPr>
            <w:r>
              <w:t>易燃固体</w:t>
            </w:r>
          </w:p>
        </w:tc>
        <w:tc>
          <w:tcPr>
            <w:tcW w:w="3102" w:type="pct"/>
            <w:vAlign w:val="center"/>
          </w:tcPr>
          <w:p w14:paraId="426E202C" w14:textId="77777777" w:rsidR="002E474C" w:rsidRDefault="00000000">
            <w:pPr>
              <w:pStyle w:val="A-"/>
            </w:pPr>
            <w:r>
              <w:rPr>
                <w:spacing w:val="-1"/>
              </w:rPr>
              <w:t>成份（</w:t>
            </w:r>
            <w:r>
              <w:rPr>
                <w:spacing w:val="-1"/>
              </w:rPr>
              <w:t>%</w:t>
            </w:r>
            <w:r>
              <w:rPr>
                <w:spacing w:val="-1"/>
              </w:rPr>
              <w:t>）：</w:t>
            </w:r>
            <w:r>
              <w:rPr>
                <w:spacing w:val="-1"/>
              </w:rPr>
              <w:t>Na</w:t>
            </w:r>
            <w:r>
              <w:rPr>
                <w:spacing w:val="-1"/>
                <w:sz w:val="12"/>
              </w:rPr>
              <w:t>2</w:t>
            </w:r>
            <w:r>
              <w:rPr>
                <w:spacing w:val="-1"/>
              </w:rPr>
              <w:t>O</w:t>
            </w:r>
            <w:r>
              <w:rPr>
                <w:spacing w:val="-1"/>
              </w:rPr>
              <w:t>：</w:t>
            </w:r>
            <w:r>
              <w:rPr>
                <w:spacing w:val="-1"/>
              </w:rPr>
              <w:t>0.636</w:t>
            </w:r>
            <w:r>
              <w:rPr>
                <w:spacing w:val="-14"/>
              </w:rPr>
              <w:t>、</w:t>
            </w:r>
            <w:r>
              <w:rPr>
                <w:spacing w:val="-1"/>
              </w:rPr>
              <w:t>MgO</w:t>
            </w:r>
            <w:r>
              <w:rPr>
                <w:spacing w:val="-1"/>
              </w:rPr>
              <w:t>：</w:t>
            </w:r>
            <w:r>
              <w:rPr>
                <w:spacing w:val="-1"/>
              </w:rPr>
              <w:t>1.247</w:t>
            </w:r>
            <w:r>
              <w:rPr>
                <w:spacing w:val="-15"/>
              </w:rPr>
              <w:t>、</w:t>
            </w:r>
            <w:r>
              <w:rPr>
                <w:spacing w:val="-1"/>
              </w:rPr>
              <w:t>Al</w:t>
            </w:r>
            <w:r>
              <w:rPr>
                <w:spacing w:val="-1"/>
                <w:sz w:val="12"/>
              </w:rPr>
              <w:t>2</w:t>
            </w:r>
            <w:r>
              <w:rPr>
                <w:spacing w:val="-1"/>
              </w:rPr>
              <w:t>O</w:t>
            </w:r>
            <w:r>
              <w:rPr>
                <w:spacing w:val="-1"/>
                <w:sz w:val="12"/>
              </w:rPr>
              <w:t>3</w:t>
            </w:r>
            <w:r>
              <w:rPr>
                <w:spacing w:val="-1"/>
              </w:rPr>
              <w:t>：</w:t>
            </w:r>
            <w:r>
              <w:rPr>
                <w:spacing w:val="-1"/>
              </w:rPr>
              <w:t>3.646</w:t>
            </w:r>
            <w:r>
              <w:rPr>
                <w:spacing w:val="-15"/>
              </w:rPr>
              <w:t>、</w:t>
            </w:r>
            <w:r>
              <w:t>SiO</w:t>
            </w:r>
            <w:r>
              <w:rPr>
                <w:sz w:val="12"/>
              </w:rPr>
              <w:t>2</w:t>
            </w:r>
            <w:r>
              <w:t>：</w:t>
            </w:r>
            <w:r>
              <w:t>3.903</w:t>
            </w:r>
            <w:r>
              <w:rPr>
                <w:spacing w:val="-17"/>
              </w:rPr>
              <w:t>、</w:t>
            </w:r>
            <w:r>
              <w:t>P</w:t>
            </w:r>
            <w:r>
              <w:rPr>
                <w:sz w:val="12"/>
              </w:rPr>
              <w:t>2</w:t>
            </w:r>
            <w:r>
              <w:t>O</w:t>
            </w:r>
            <w:r>
              <w:rPr>
                <w:sz w:val="12"/>
              </w:rPr>
              <w:t>5</w:t>
            </w:r>
            <w:r>
              <w:t>：</w:t>
            </w:r>
            <w:r>
              <w:t>2.154</w:t>
            </w:r>
            <w:r>
              <w:rPr>
                <w:spacing w:val="-15"/>
              </w:rPr>
              <w:t>、</w:t>
            </w:r>
            <w:r>
              <w:t>SO</w:t>
            </w:r>
            <w:r>
              <w:rPr>
                <w:sz w:val="12"/>
              </w:rPr>
              <w:t>3</w:t>
            </w:r>
            <w:r>
              <w:t>：</w:t>
            </w:r>
            <w:r>
              <w:t>0.736</w:t>
            </w:r>
            <w:r>
              <w:rPr>
                <w:spacing w:val="-15"/>
              </w:rPr>
              <w:t>、</w:t>
            </w:r>
            <w:r>
              <w:t>K</w:t>
            </w:r>
            <w:r>
              <w:rPr>
                <w:sz w:val="12"/>
              </w:rPr>
              <w:t>2</w:t>
            </w:r>
            <w:r>
              <w:t>O</w:t>
            </w:r>
            <w:r>
              <w:t>：</w:t>
            </w:r>
            <w:r>
              <w:t>0.188</w:t>
            </w:r>
            <w:r>
              <w:rPr>
                <w:spacing w:val="-15"/>
              </w:rPr>
              <w:t>、</w:t>
            </w:r>
            <w:proofErr w:type="spellStart"/>
            <w:r>
              <w:t>CaO</w:t>
            </w:r>
            <w:proofErr w:type="spellEnd"/>
            <w:r>
              <w:t>：</w:t>
            </w:r>
            <w:r>
              <w:t>2.620</w:t>
            </w:r>
            <w:r>
              <w:t>、</w:t>
            </w:r>
            <w:r>
              <w:rPr>
                <w:spacing w:val="-1"/>
              </w:rPr>
              <w:t>TiO</w:t>
            </w:r>
            <w:r>
              <w:rPr>
                <w:spacing w:val="-1"/>
                <w:sz w:val="12"/>
              </w:rPr>
              <w:t>2</w:t>
            </w:r>
            <w:r>
              <w:rPr>
                <w:spacing w:val="-1"/>
              </w:rPr>
              <w:t>：</w:t>
            </w:r>
            <w:r>
              <w:rPr>
                <w:spacing w:val="-1"/>
              </w:rPr>
              <w:t>78.325</w:t>
            </w:r>
            <w:r>
              <w:rPr>
                <w:spacing w:val="-12"/>
              </w:rPr>
              <w:t>、</w:t>
            </w:r>
            <w:r>
              <w:rPr>
                <w:spacing w:val="-1"/>
              </w:rPr>
              <w:t>Fe</w:t>
            </w:r>
            <w:r>
              <w:rPr>
                <w:spacing w:val="-1"/>
                <w:sz w:val="12"/>
              </w:rPr>
              <w:t>2</w:t>
            </w:r>
            <w:r>
              <w:rPr>
                <w:spacing w:val="-1"/>
              </w:rPr>
              <w:t>O</w:t>
            </w:r>
            <w:r>
              <w:rPr>
                <w:spacing w:val="-1"/>
                <w:sz w:val="12"/>
              </w:rPr>
              <w:t>3</w:t>
            </w:r>
            <w:r>
              <w:rPr>
                <w:spacing w:val="-1"/>
              </w:rPr>
              <w:t>：</w:t>
            </w:r>
            <w:r>
              <w:rPr>
                <w:spacing w:val="-1"/>
              </w:rPr>
              <w:t>2.324</w:t>
            </w:r>
            <w:r>
              <w:rPr>
                <w:spacing w:val="-12"/>
              </w:rPr>
              <w:t>、</w:t>
            </w:r>
            <w:proofErr w:type="spellStart"/>
            <w:r>
              <w:rPr>
                <w:spacing w:val="-1"/>
              </w:rPr>
              <w:t>CuO</w:t>
            </w:r>
            <w:proofErr w:type="spellEnd"/>
            <w:r>
              <w:rPr>
                <w:spacing w:val="-1"/>
              </w:rPr>
              <w:t>：</w:t>
            </w:r>
            <w:r>
              <w:rPr>
                <w:spacing w:val="-1"/>
              </w:rPr>
              <w:t>0.368</w:t>
            </w:r>
            <w:r>
              <w:rPr>
                <w:spacing w:val="-12"/>
              </w:rPr>
              <w:t>、</w:t>
            </w:r>
            <w:proofErr w:type="spellStart"/>
            <w:r>
              <w:rPr>
                <w:spacing w:val="-1"/>
              </w:rPr>
              <w:t>ZnO</w:t>
            </w:r>
            <w:proofErr w:type="spellEnd"/>
            <w:r>
              <w:rPr>
                <w:spacing w:val="-1"/>
              </w:rPr>
              <w:t>：</w:t>
            </w:r>
            <w:r>
              <w:rPr>
                <w:spacing w:val="-1"/>
              </w:rPr>
              <w:t>0.175</w:t>
            </w:r>
            <w:r>
              <w:rPr>
                <w:spacing w:val="-12"/>
              </w:rPr>
              <w:t>、</w:t>
            </w:r>
            <w:proofErr w:type="spellStart"/>
            <w:r>
              <w:t>SrO</w:t>
            </w:r>
            <w:proofErr w:type="spellEnd"/>
            <w:r>
              <w:t>：</w:t>
            </w:r>
            <w:r>
              <w:t>1.908</w:t>
            </w:r>
            <w:r>
              <w:rPr>
                <w:spacing w:val="-12"/>
              </w:rPr>
              <w:t>、</w:t>
            </w:r>
            <w:r>
              <w:t>ZrO</w:t>
            </w:r>
            <w:r>
              <w:rPr>
                <w:sz w:val="12"/>
              </w:rPr>
              <w:t>2</w:t>
            </w:r>
            <w:r>
              <w:t>：</w:t>
            </w:r>
            <w:r>
              <w:t>0.531</w:t>
            </w:r>
            <w:r>
              <w:rPr>
                <w:spacing w:val="-15"/>
              </w:rPr>
              <w:t>、</w:t>
            </w:r>
            <w:proofErr w:type="spellStart"/>
            <w:r>
              <w:t>PdO</w:t>
            </w:r>
            <w:proofErr w:type="spellEnd"/>
            <w:r>
              <w:t>：</w:t>
            </w:r>
            <w:r>
              <w:t>0.162</w:t>
            </w:r>
            <w:r>
              <w:rPr>
                <w:spacing w:val="-12"/>
              </w:rPr>
              <w:t>、</w:t>
            </w:r>
            <w:proofErr w:type="spellStart"/>
            <w:r>
              <w:t>BaO</w:t>
            </w:r>
            <w:proofErr w:type="spellEnd"/>
            <w:r>
              <w:t>：</w:t>
            </w:r>
            <w:r>
              <w:t>0.253</w:t>
            </w:r>
            <w:r>
              <w:rPr>
                <w:spacing w:val="-12"/>
              </w:rPr>
              <w:t>、</w:t>
            </w:r>
            <w:r>
              <w:t>Cl</w:t>
            </w:r>
            <w:r>
              <w:t>：</w:t>
            </w:r>
            <w:r>
              <w:t>0.650</w:t>
            </w:r>
            <w:r>
              <w:t>、</w:t>
            </w:r>
            <w:r>
              <w:t>Rh</w:t>
            </w:r>
            <w:r>
              <w:t>：</w:t>
            </w:r>
            <w:r>
              <w:t>0.174</w:t>
            </w:r>
            <w:r>
              <w:rPr>
                <w:spacing w:val="-12"/>
              </w:rPr>
              <w:t>、含水率</w:t>
            </w:r>
            <w:r>
              <w:t>：</w:t>
            </w:r>
            <w:r>
              <w:t>27.7</w:t>
            </w:r>
            <w:r>
              <w:rPr>
                <w:spacing w:val="-12"/>
              </w:rPr>
              <w:t>、烧失量</w:t>
            </w:r>
            <w:r>
              <w:t>：</w:t>
            </w:r>
            <w:r>
              <w:t>93.95</w:t>
            </w:r>
            <w:r>
              <w:t>（湿基）</w:t>
            </w:r>
            <w:r>
              <w:rPr>
                <w:spacing w:val="-16"/>
              </w:rPr>
              <w:t>、热值</w:t>
            </w:r>
            <w:r>
              <w:t>：</w:t>
            </w:r>
            <w:r>
              <w:t>8452J/g</w:t>
            </w:r>
            <w:r>
              <w:t>（烘干后</w:t>
            </w:r>
            <w:r>
              <w:rPr>
                <w:spacing w:val="-23"/>
              </w:rPr>
              <w:t>）</w:t>
            </w:r>
          </w:p>
        </w:tc>
      </w:tr>
      <w:tr w:rsidR="002E474C" w14:paraId="49BC5B61" w14:textId="77777777">
        <w:trPr>
          <w:trHeight w:val="1064"/>
        </w:trPr>
        <w:tc>
          <w:tcPr>
            <w:tcW w:w="231" w:type="pct"/>
            <w:vAlign w:val="center"/>
          </w:tcPr>
          <w:p w14:paraId="2A78790F" w14:textId="77777777" w:rsidR="002E474C" w:rsidRDefault="00000000">
            <w:pPr>
              <w:pStyle w:val="A-"/>
            </w:pPr>
            <w:r>
              <w:t>6</w:t>
            </w:r>
          </w:p>
        </w:tc>
        <w:tc>
          <w:tcPr>
            <w:tcW w:w="353" w:type="pct"/>
            <w:vAlign w:val="center"/>
          </w:tcPr>
          <w:p w14:paraId="6AC8F8EE" w14:textId="77777777" w:rsidR="002E474C" w:rsidRDefault="00000000">
            <w:pPr>
              <w:pStyle w:val="A-"/>
            </w:pPr>
            <w:r>
              <w:t>HW13</w:t>
            </w:r>
          </w:p>
        </w:tc>
        <w:tc>
          <w:tcPr>
            <w:tcW w:w="471" w:type="pct"/>
            <w:vAlign w:val="center"/>
          </w:tcPr>
          <w:p w14:paraId="3B02C36A" w14:textId="77777777" w:rsidR="002E474C" w:rsidRDefault="00000000">
            <w:pPr>
              <w:pStyle w:val="A-"/>
            </w:pPr>
            <w:r>
              <w:t>树脂</w:t>
            </w:r>
          </w:p>
        </w:tc>
        <w:tc>
          <w:tcPr>
            <w:tcW w:w="411" w:type="pct"/>
            <w:vAlign w:val="center"/>
          </w:tcPr>
          <w:p w14:paraId="740F8435" w14:textId="77777777" w:rsidR="002E474C" w:rsidRDefault="00000000">
            <w:pPr>
              <w:pStyle w:val="A-"/>
            </w:pPr>
            <w:r>
              <w:t>黑色碎渣状</w:t>
            </w:r>
          </w:p>
        </w:tc>
        <w:tc>
          <w:tcPr>
            <w:tcW w:w="431" w:type="pct"/>
            <w:vAlign w:val="center"/>
          </w:tcPr>
          <w:p w14:paraId="124FE921" w14:textId="77777777" w:rsidR="002E474C" w:rsidRDefault="00000000">
            <w:pPr>
              <w:pStyle w:val="A-"/>
            </w:pPr>
            <w:r>
              <w:t>有害</w:t>
            </w:r>
          </w:p>
        </w:tc>
        <w:tc>
          <w:tcPr>
            <w:tcW w:w="3102" w:type="pct"/>
            <w:vAlign w:val="center"/>
          </w:tcPr>
          <w:p w14:paraId="1EAF64D7" w14:textId="77777777" w:rsidR="002E474C" w:rsidRDefault="00000000">
            <w:pPr>
              <w:pStyle w:val="A-"/>
            </w:pPr>
            <w:r>
              <w:rPr>
                <w:spacing w:val="-1"/>
              </w:rPr>
              <w:t>成份</w:t>
            </w:r>
            <w:r>
              <w:rPr>
                <w:spacing w:val="-3"/>
              </w:rPr>
              <w:t>（</w:t>
            </w:r>
            <w:r>
              <w:rPr>
                <w:spacing w:val="-3"/>
              </w:rPr>
              <w:t>%</w:t>
            </w:r>
            <w:r>
              <w:rPr>
                <w:spacing w:val="-3"/>
              </w:rPr>
              <w:t>）：</w:t>
            </w:r>
            <w:r>
              <w:rPr>
                <w:spacing w:val="-3"/>
              </w:rPr>
              <w:t>Na</w:t>
            </w:r>
            <w:r>
              <w:rPr>
                <w:spacing w:val="-3"/>
                <w:sz w:val="12"/>
              </w:rPr>
              <w:t>2</w:t>
            </w:r>
            <w:r>
              <w:rPr>
                <w:spacing w:val="-3"/>
              </w:rPr>
              <w:t>O</w:t>
            </w:r>
            <w:r>
              <w:rPr>
                <w:spacing w:val="-3"/>
              </w:rPr>
              <w:t>：</w:t>
            </w:r>
            <w:r>
              <w:rPr>
                <w:spacing w:val="-3"/>
              </w:rPr>
              <w:t>65.811</w:t>
            </w:r>
            <w:r>
              <w:rPr>
                <w:spacing w:val="-27"/>
              </w:rPr>
              <w:t>、</w:t>
            </w:r>
            <w:r>
              <w:rPr>
                <w:spacing w:val="-1"/>
              </w:rPr>
              <w:t>MgO</w:t>
            </w:r>
            <w:r>
              <w:rPr>
                <w:spacing w:val="-1"/>
              </w:rPr>
              <w:t>：</w:t>
            </w:r>
            <w:r>
              <w:rPr>
                <w:spacing w:val="-1"/>
              </w:rPr>
              <w:t>0.902</w:t>
            </w:r>
            <w:r>
              <w:rPr>
                <w:spacing w:val="-24"/>
              </w:rPr>
              <w:t>、</w:t>
            </w:r>
            <w:r>
              <w:rPr>
                <w:spacing w:val="-1"/>
              </w:rPr>
              <w:t>Al</w:t>
            </w:r>
            <w:r>
              <w:rPr>
                <w:spacing w:val="-1"/>
                <w:sz w:val="12"/>
              </w:rPr>
              <w:t>2</w:t>
            </w:r>
            <w:r>
              <w:rPr>
                <w:spacing w:val="-1"/>
              </w:rPr>
              <w:t>O</w:t>
            </w:r>
            <w:r>
              <w:rPr>
                <w:spacing w:val="-1"/>
                <w:sz w:val="12"/>
              </w:rPr>
              <w:t>3</w:t>
            </w:r>
            <w:r>
              <w:rPr>
                <w:spacing w:val="-1"/>
              </w:rPr>
              <w:t>：</w:t>
            </w:r>
            <w:r>
              <w:rPr>
                <w:spacing w:val="-1"/>
              </w:rPr>
              <w:t>0.906</w:t>
            </w:r>
            <w:r>
              <w:rPr>
                <w:spacing w:val="-27"/>
              </w:rPr>
              <w:t>、</w:t>
            </w:r>
            <w:r>
              <w:t>P</w:t>
            </w:r>
            <w:r>
              <w:rPr>
                <w:sz w:val="12"/>
              </w:rPr>
              <w:t>2</w:t>
            </w:r>
            <w:r>
              <w:t>O</w:t>
            </w:r>
            <w:r>
              <w:rPr>
                <w:sz w:val="12"/>
              </w:rPr>
              <w:t>5</w:t>
            </w:r>
            <w:r>
              <w:t>：</w:t>
            </w:r>
            <w:r>
              <w:t>0.038</w:t>
            </w:r>
            <w:r>
              <w:rPr>
                <w:spacing w:val="-27"/>
              </w:rPr>
              <w:t>、</w:t>
            </w:r>
            <w:r>
              <w:t>SO</w:t>
            </w:r>
            <w:r>
              <w:rPr>
                <w:sz w:val="12"/>
              </w:rPr>
              <w:t>3</w:t>
            </w:r>
            <w:r>
              <w:t>：</w:t>
            </w:r>
            <w:r>
              <w:t>0.945</w:t>
            </w:r>
            <w:r>
              <w:rPr>
                <w:spacing w:val="-24"/>
              </w:rPr>
              <w:t>、</w:t>
            </w:r>
            <w:r>
              <w:t>K</w:t>
            </w:r>
            <w:r>
              <w:rPr>
                <w:sz w:val="12"/>
              </w:rPr>
              <w:t>2</w:t>
            </w:r>
            <w:r>
              <w:t>O</w:t>
            </w:r>
            <w:r>
              <w:t>：</w:t>
            </w:r>
            <w:r>
              <w:t>0.125</w:t>
            </w:r>
            <w:r>
              <w:rPr>
                <w:spacing w:val="-24"/>
              </w:rPr>
              <w:t>、</w:t>
            </w:r>
            <w:proofErr w:type="spellStart"/>
            <w:r>
              <w:t>CaO</w:t>
            </w:r>
            <w:proofErr w:type="spellEnd"/>
            <w:r>
              <w:t>：</w:t>
            </w:r>
            <w:r>
              <w:t>2.864</w:t>
            </w:r>
            <w:r>
              <w:rPr>
                <w:spacing w:val="-24"/>
              </w:rPr>
              <w:t>、</w:t>
            </w:r>
            <w:r>
              <w:t>TiO</w:t>
            </w:r>
            <w:r>
              <w:rPr>
                <w:sz w:val="12"/>
              </w:rPr>
              <w:t>2</w:t>
            </w:r>
            <w:r>
              <w:t>：</w:t>
            </w:r>
            <w:r>
              <w:t>0.306</w:t>
            </w:r>
            <w:r>
              <w:t>、</w:t>
            </w:r>
            <w:proofErr w:type="spellStart"/>
            <w:r>
              <w:rPr>
                <w:spacing w:val="-1"/>
              </w:rPr>
              <w:t>MnO</w:t>
            </w:r>
            <w:proofErr w:type="spellEnd"/>
            <w:r>
              <w:rPr>
                <w:spacing w:val="-1"/>
              </w:rPr>
              <w:t>：</w:t>
            </w:r>
            <w:r>
              <w:rPr>
                <w:spacing w:val="-1"/>
              </w:rPr>
              <w:t>0.139</w:t>
            </w:r>
            <w:r>
              <w:rPr>
                <w:spacing w:val="-1"/>
              </w:rPr>
              <w:t>、</w:t>
            </w:r>
            <w:r>
              <w:rPr>
                <w:spacing w:val="-1"/>
              </w:rPr>
              <w:t>Fe</w:t>
            </w:r>
            <w:r>
              <w:rPr>
                <w:spacing w:val="-1"/>
                <w:sz w:val="12"/>
              </w:rPr>
              <w:t>2</w:t>
            </w:r>
            <w:r>
              <w:rPr>
                <w:spacing w:val="-1"/>
              </w:rPr>
              <w:t>O</w:t>
            </w:r>
            <w:r>
              <w:rPr>
                <w:spacing w:val="-1"/>
                <w:sz w:val="12"/>
              </w:rPr>
              <w:t>3</w:t>
            </w:r>
            <w:r>
              <w:rPr>
                <w:spacing w:val="-1"/>
              </w:rPr>
              <w:t>：</w:t>
            </w:r>
            <w:r>
              <w:rPr>
                <w:spacing w:val="-1"/>
              </w:rPr>
              <w:t>25.372</w:t>
            </w:r>
            <w:r>
              <w:rPr>
                <w:spacing w:val="-1"/>
              </w:rPr>
              <w:t>、</w:t>
            </w:r>
            <w:proofErr w:type="spellStart"/>
            <w:r>
              <w:rPr>
                <w:spacing w:val="-1"/>
              </w:rPr>
              <w:t>CuO</w:t>
            </w:r>
            <w:proofErr w:type="spellEnd"/>
            <w:r>
              <w:rPr>
                <w:spacing w:val="-1"/>
              </w:rPr>
              <w:t>：</w:t>
            </w:r>
            <w:r>
              <w:rPr>
                <w:spacing w:val="-1"/>
              </w:rPr>
              <w:t>0.222</w:t>
            </w:r>
            <w:r>
              <w:t>、</w:t>
            </w:r>
            <w:proofErr w:type="spellStart"/>
            <w:r>
              <w:t>ZnO</w:t>
            </w:r>
            <w:proofErr w:type="spellEnd"/>
            <w:r>
              <w:t>：</w:t>
            </w:r>
            <w:r>
              <w:t>1.106</w:t>
            </w:r>
            <w:r>
              <w:t>、</w:t>
            </w:r>
            <w:proofErr w:type="spellStart"/>
            <w:r>
              <w:t>SrO</w:t>
            </w:r>
            <w:proofErr w:type="spellEnd"/>
            <w:r>
              <w:t>：</w:t>
            </w:r>
            <w:r>
              <w:t>0.031</w:t>
            </w:r>
            <w:r>
              <w:rPr>
                <w:spacing w:val="-3"/>
              </w:rPr>
              <w:t>、</w:t>
            </w:r>
            <w:proofErr w:type="spellStart"/>
            <w:r>
              <w:t>PdO</w:t>
            </w:r>
            <w:proofErr w:type="spellEnd"/>
            <w:r>
              <w:t>：</w:t>
            </w:r>
            <w:r>
              <w:t>0.115</w:t>
            </w:r>
            <w:r>
              <w:t>、</w:t>
            </w:r>
            <w:proofErr w:type="spellStart"/>
            <w:r>
              <w:t>BaO</w:t>
            </w:r>
            <w:proofErr w:type="spellEnd"/>
            <w:r>
              <w:t>：</w:t>
            </w:r>
            <w:r>
              <w:t>0.471</w:t>
            </w:r>
            <w:r>
              <w:t>、</w:t>
            </w:r>
            <w:r>
              <w:t>Cl</w:t>
            </w:r>
            <w:r>
              <w:t>：</w:t>
            </w:r>
            <w:r>
              <w:t>0.540</w:t>
            </w:r>
            <w:r>
              <w:t>、</w:t>
            </w:r>
            <w:r>
              <w:t>Rh</w:t>
            </w:r>
            <w:r>
              <w:t>：</w:t>
            </w:r>
            <w:r>
              <w:t>0.107</w:t>
            </w:r>
            <w:r>
              <w:t>、含水率：</w:t>
            </w:r>
            <w:r>
              <w:t>49.90</w:t>
            </w:r>
            <w:r>
              <w:t>、烧失量：</w:t>
            </w:r>
            <w:r>
              <w:t>87.73</w:t>
            </w:r>
            <w:r>
              <w:t>（湿基）、热值：</w:t>
            </w:r>
            <w:r>
              <w:t>16182J/g</w:t>
            </w:r>
            <w:r>
              <w:t>（烘干后），烘干后物质的量，归一前总和：</w:t>
            </w:r>
            <w:r>
              <w:t>15.4%</w:t>
            </w:r>
          </w:p>
        </w:tc>
      </w:tr>
      <w:tr w:rsidR="002E474C" w14:paraId="17828034" w14:textId="77777777">
        <w:trPr>
          <w:trHeight w:val="400"/>
        </w:trPr>
        <w:tc>
          <w:tcPr>
            <w:tcW w:w="231" w:type="pct"/>
            <w:vAlign w:val="center"/>
          </w:tcPr>
          <w:p w14:paraId="5A0A78D2" w14:textId="77777777" w:rsidR="002E474C" w:rsidRDefault="00000000">
            <w:pPr>
              <w:pStyle w:val="A-"/>
            </w:pPr>
            <w:r>
              <w:t>7</w:t>
            </w:r>
          </w:p>
        </w:tc>
        <w:tc>
          <w:tcPr>
            <w:tcW w:w="353" w:type="pct"/>
            <w:vAlign w:val="center"/>
          </w:tcPr>
          <w:p w14:paraId="5EC9EF4C" w14:textId="77777777" w:rsidR="002E474C" w:rsidRDefault="00000000">
            <w:pPr>
              <w:pStyle w:val="A-"/>
            </w:pPr>
            <w:r>
              <w:t>HW17</w:t>
            </w:r>
          </w:p>
        </w:tc>
        <w:tc>
          <w:tcPr>
            <w:tcW w:w="471" w:type="pct"/>
            <w:vAlign w:val="center"/>
          </w:tcPr>
          <w:p w14:paraId="03EE1CBE" w14:textId="77777777" w:rsidR="002E474C" w:rsidRDefault="00000000">
            <w:pPr>
              <w:pStyle w:val="A-"/>
            </w:pPr>
            <w:r>
              <w:t>废水处理</w:t>
            </w:r>
          </w:p>
          <w:p w14:paraId="60D1483D" w14:textId="77777777" w:rsidR="002E474C" w:rsidRDefault="00000000">
            <w:pPr>
              <w:pStyle w:val="A-"/>
            </w:pPr>
            <w:r>
              <w:t>污泥</w:t>
            </w:r>
          </w:p>
        </w:tc>
        <w:tc>
          <w:tcPr>
            <w:tcW w:w="411" w:type="pct"/>
            <w:vAlign w:val="center"/>
          </w:tcPr>
          <w:p w14:paraId="57CD343C" w14:textId="77777777" w:rsidR="002E474C" w:rsidRDefault="00000000">
            <w:pPr>
              <w:pStyle w:val="A-"/>
            </w:pPr>
            <w:r>
              <w:t>黑色固体</w:t>
            </w:r>
          </w:p>
        </w:tc>
        <w:tc>
          <w:tcPr>
            <w:tcW w:w="431" w:type="pct"/>
            <w:vAlign w:val="center"/>
          </w:tcPr>
          <w:p w14:paraId="7659C719" w14:textId="77777777" w:rsidR="002E474C" w:rsidRDefault="00000000">
            <w:pPr>
              <w:pStyle w:val="A-"/>
            </w:pPr>
            <w:r>
              <w:t>有害</w:t>
            </w:r>
          </w:p>
        </w:tc>
        <w:tc>
          <w:tcPr>
            <w:tcW w:w="3102" w:type="pct"/>
            <w:vAlign w:val="center"/>
          </w:tcPr>
          <w:p w14:paraId="6D37FA19" w14:textId="77777777" w:rsidR="002E474C" w:rsidRDefault="00000000">
            <w:pPr>
              <w:pStyle w:val="A-"/>
            </w:pPr>
            <w:r>
              <w:rPr>
                <w:spacing w:val="-1"/>
              </w:rPr>
              <w:t>成份（</w:t>
            </w:r>
            <w:r>
              <w:rPr>
                <w:spacing w:val="-1"/>
              </w:rPr>
              <w:t>%</w:t>
            </w:r>
            <w:r>
              <w:rPr>
                <w:spacing w:val="-1"/>
              </w:rPr>
              <w:t>）：</w:t>
            </w:r>
            <w:r>
              <w:rPr>
                <w:spacing w:val="-1"/>
              </w:rPr>
              <w:t>Al</w:t>
            </w:r>
            <w:r>
              <w:rPr>
                <w:spacing w:val="-1"/>
                <w:sz w:val="12"/>
              </w:rPr>
              <w:t>2</w:t>
            </w:r>
            <w:r>
              <w:rPr>
                <w:spacing w:val="-1"/>
              </w:rPr>
              <w:t>O</w:t>
            </w:r>
            <w:r>
              <w:rPr>
                <w:spacing w:val="-1"/>
                <w:sz w:val="12"/>
              </w:rPr>
              <w:t>3</w:t>
            </w:r>
            <w:r>
              <w:rPr>
                <w:spacing w:val="-1"/>
              </w:rPr>
              <w:t>：</w:t>
            </w:r>
            <w:r>
              <w:rPr>
                <w:spacing w:val="-1"/>
              </w:rPr>
              <w:t>1.476</w:t>
            </w:r>
            <w:r>
              <w:rPr>
                <w:spacing w:val="-20"/>
              </w:rPr>
              <w:t>、</w:t>
            </w:r>
            <w:r>
              <w:rPr>
                <w:spacing w:val="-1"/>
              </w:rPr>
              <w:t>SiO</w:t>
            </w:r>
            <w:r>
              <w:rPr>
                <w:spacing w:val="-1"/>
                <w:sz w:val="12"/>
              </w:rPr>
              <w:t>2</w:t>
            </w:r>
            <w:r>
              <w:rPr>
                <w:spacing w:val="-1"/>
              </w:rPr>
              <w:t>：</w:t>
            </w:r>
            <w:r>
              <w:rPr>
                <w:spacing w:val="-1"/>
              </w:rPr>
              <w:t>3.377</w:t>
            </w:r>
            <w:r>
              <w:rPr>
                <w:spacing w:val="-22"/>
              </w:rPr>
              <w:t>、</w:t>
            </w:r>
            <w:r>
              <w:t>P</w:t>
            </w:r>
            <w:r>
              <w:rPr>
                <w:sz w:val="12"/>
              </w:rPr>
              <w:t>2</w:t>
            </w:r>
            <w:r>
              <w:t>O</w:t>
            </w:r>
            <w:r>
              <w:rPr>
                <w:sz w:val="12"/>
              </w:rPr>
              <w:t>5</w:t>
            </w:r>
            <w:r>
              <w:t>：</w:t>
            </w:r>
            <w:r>
              <w:t>0.228</w:t>
            </w:r>
            <w:r>
              <w:rPr>
                <w:spacing w:val="-20"/>
              </w:rPr>
              <w:t>、</w:t>
            </w:r>
            <w:r>
              <w:t>SO</w:t>
            </w:r>
            <w:r>
              <w:rPr>
                <w:sz w:val="12"/>
              </w:rPr>
              <w:t>3</w:t>
            </w:r>
            <w:r>
              <w:t>：</w:t>
            </w:r>
            <w:r>
              <w:t>0.078</w:t>
            </w:r>
            <w:r>
              <w:rPr>
                <w:spacing w:val="-20"/>
              </w:rPr>
              <w:t>、</w:t>
            </w:r>
            <w:r>
              <w:t>TiO</w:t>
            </w:r>
            <w:r>
              <w:rPr>
                <w:sz w:val="12"/>
              </w:rPr>
              <w:t>2</w:t>
            </w:r>
            <w:r>
              <w:t>：</w:t>
            </w:r>
            <w:r>
              <w:t>0.033</w:t>
            </w:r>
            <w:r>
              <w:rPr>
                <w:spacing w:val="-20"/>
              </w:rPr>
              <w:t>、</w:t>
            </w:r>
            <w:r>
              <w:t>Cr</w:t>
            </w:r>
            <w:r>
              <w:rPr>
                <w:sz w:val="12"/>
              </w:rPr>
              <w:t>2</w:t>
            </w:r>
            <w:r>
              <w:t>O</w:t>
            </w:r>
            <w:r>
              <w:rPr>
                <w:sz w:val="12"/>
              </w:rPr>
              <w:t>3</w:t>
            </w:r>
            <w:r>
              <w:t>：</w:t>
            </w:r>
            <w:r>
              <w:t>0.093</w:t>
            </w:r>
            <w:r>
              <w:rPr>
                <w:spacing w:val="-20"/>
              </w:rPr>
              <w:t>、</w:t>
            </w:r>
            <w:r>
              <w:t>Fe</w:t>
            </w:r>
            <w:r>
              <w:rPr>
                <w:sz w:val="12"/>
              </w:rPr>
              <w:t>2</w:t>
            </w:r>
            <w:r>
              <w:t>O</w:t>
            </w:r>
            <w:r>
              <w:rPr>
                <w:sz w:val="12"/>
              </w:rPr>
              <w:t>3</w:t>
            </w:r>
            <w:r>
              <w:t>：</w:t>
            </w:r>
            <w:r>
              <w:t>94.651</w:t>
            </w:r>
            <w:r>
              <w:rPr>
                <w:spacing w:val="-20"/>
              </w:rPr>
              <w:t>、</w:t>
            </w:r>
            <w:r>
              <w:t>Cl</w:t>
            </w:r>
            <w:r>
              <w:t>：</w:t>
            </w:r>
            <w:r>
              <w:t>0.063</w:t>
            </w:r>
            <w:r>
              <w:t>、含水率：</w:t>
            </w:r>
            <w:r>
              <w:t>39.1</w:t>
            </w:r>
            <w:r>
              <w:t>、烧失量：</w:t>
            </w:r>
            <w:r>
              <w:t>40</w:t>
            </w:r>
            <w:r>
              <w:t>（湿基）、热值：</w:t>
            </w:r>
            <w:r>
              <w:t>164.3J/g</w:t>
            </w:r>
            <w:r>
              <w:t>（烘干后），烘干后物质的量，归一前总和</w:t>
            </w:r>
            <w:r>
              <w:t>15.2%</w:t>
            </w:r>
          </w:p>
        </w:tc>
      </w:tr>
      <w:tr w:rsidR="002E474C" w14:paraId="091A5D16" w14:textId="77777777">
        <w:trPr>
          <w:trHeight w:val="198"/>
        </w:trPr>
        <w:tc>
          <w:tcPr>
            <w:tcW w:w="231" w:type="pct"/>
            <w:vAlign w:val="center"/>
          </w:tcPr>
          <w:p w14:paraId="047D0CC2" w14:textId="77777777" w:rsidR="002E474C" w:rsidRDefault="00000000">
            <w:pPr>
              <w:pStyle w:val="A-"/>
            </w:pPr>
            <w:r>
              <w:t>8</w:t>
            </w:r>
          </w:p>
        </w:tc>
        <w:tc>
          <w:tcPr>
            <w:tcW w:w="353" w:type="pct"/>
            <w:vAlign w:val="center"/>
          </w:tcPr>
          <w:p w14:paraId="4C5F14FD" w14:textId="77777777" w:rsidR="002E474C" w:rsidRDefault="00000000">
            <w:pPr>
              <w:pStyle w:val="A-"/>
            </w:pPr>
            <w:r>
              <w:t>HW34</w:t>
            </w:r>
          </w:p>
        </w:tc>
        <w:tc>
          <w:tcPr>
            <w:tcW w:w="471" w:type="pct"/>
            <w:vAlign w:val="center"/>
          </w:tcPr>
          <w:p w14:paraId="76B515AF" w14:textId="77777777" w:rsidR="002E474C" w:rsidRDefault="00000000">
            <w:pPr>
              <w:pStyle w:val="A-"/>
            </w:pPr>
            <w:r>
              <w:t>废酸</w:t>
            </w:r>
          </w:p>
        </w:tc>
        <w:tc>
          <w:tcPr>
            <w:tcW w:w="411" w:type="pct"/>
            <w:vAlign w:val="center"/>
          </w:tcPr>
          <w:p w14:paraId="1C0DCA5F" w14:textId="77777777" w:rsidR="002E474C" w:rsidRDefault="00000000">
            <w:pPr>
              <w:pStyle w:val="A-"/>
            </w:pPr>
            <w:r>
              <w:t>黄色液体</w:t>
            </w:r>
          </w:p>
        </w:tc>
        <w:tc>
          <w:tcPr>
            <w:tcW w:w="431" w:type="pct"/>
            <w:vAlign w:val="center"/>
          </w:tcPr>
          <w:p w14:paraId="58195249" w14:textId="77777777" w:rsidR="002E474C" w:rsidRDefault="00000000">
            <w:pPr>
              <w:pStyle w:val="A-"/>
            </w:pPr>
            <w:r>
              <w:t>腐蚀</w:t>
            </w:r>
          </w:p>
        </w:tc>
        <w:tc>
          <w:tcPr>
            <w:tcW w:w="3102" w:type="pct"/>
            <w:vAlign w:val="center"/>
          </w:tcPr>
          <w:p w14:paraId="5E76A810" w14:textId="77777777" w:rsidR="002E474C" w:rsidRDefault="00000000">
            <w:pPr>
              <w:pStyle w:val="A-"/>
            </w:pPr>
            <w:r>
              <w:t>pH</w:t>
            </w:r>
            <w:r>
              <w:t>值：</w:t>
            </w:r>
            <w:r>
              <w:t>1</w:t>
            </w:r>
            <w:r>
              <w:t>、可燃性：不可燃</w:t>
            </w:r>
          </w:p>
        </w:tc>
      </w:tr>
      <w:tr w:rsidR="002E474C" w14:paraId="2337C71D" w14:textId="77777777">
        <w:trPr>
          <w:trHeight w:val="601"/>
        </w:trPr>
        <w:tc>
          <w:tcPr>
            <w:tcW w:w="231" w:type="pct"/>
            <w:vAlign w:val="center"/>
          </w:tcPr>
          <w:p w14:paraId="5371BE5A" w14:textId="77777777" w:rsidR="002E474C" w:rsidRDefault="00000000">
            <w:pPr>
              <w:pStyle w:val="A-"/>
            </w:pPr>
            <w:r>
              <w:t>9</w:t>
            </w:r>
          </w:p>
        </w:tc>
        <w:tc>
          <w:tcPr>
            <w:tcW w:w="353" w:type="pct"/>
            <w:vAlign w:val="center"/>
          </w:tcPr>
          <w:p w14:paraId="4DA066B9" w14:textId="77777777" w:rsidR="002E474C" w:rsidRDefault="00000000">
            <w:pPr>
              <w:pStyle w:val="A-"/>
            </w:pPr>
            <w:r>
              <w:t>HW35</w:t>
            </w:r>
          </w:p>
        </w:tc>
        <w:tc>
          <w:tcPr>
            <w:tcW w:w="471" w:type="pct"/>
            <w:vAlign w:val="center"/>
          </w:tcPr>
          <w:p w14:paraId="1D91B3DB" w14:textId="77777777" w:rsidR="002E474C" w:rsidRDefault="00000000">
            <w:pPr>
              <w:pStyle w:val="A-"/>
            </w:pPr>
            <w:r>
              <w:t>碱渣</w:t>
            </w:r>
          </w:p>
        </w:tc>
        <w:tc>
          <w:tcPr>
            <w:tcW w:w="411" w:type="pct"/>
            <w:vAlign w:val="center"/>
          </w:tcPr>
          <w:p w14:paraId="79AD9A91" w14:textId="77777777" w:rsidR="002E474C" w:rsidRDefault="00000000">
            <w:pPr>
              <w:pStyle w:val="A-"/>
            </w:pPr>
            <w:r>
              <w:t>黑色固体</w:t>
            </w:r>
          </w:p>
        </w:tc>
        <w:tc>
          <w:tcPr>
            <w:tcW w:w="431" w:type="pct"/>
            <w:vAlign w:val="center"/>
          </w:tcPr>
          <w:p w14:paraId="140FADDB" w14:textId="77777777" w:rsidR="002E474C" w:rsidRDefault="00000000">
            <w:pPr>
              <w:pStyle w:val="A-"/>
            </w:pPr>
            <w:r>
              <w:t>腐蚀品</w:t>
            </w:r>
          </w:p>
        </w:tc>
        <w:tc>
          <w:tcPr>
            <w:tcW w:w="3102" w:type="pct"/>
            <w:vAlign w:val="center"/>
          </w:tcPr>
          <w:p w14:paraId="388D63BB" w14:textId="77777777" w:rsidR="002E474C" w:rsidRDefault="00000000">
            <w:pPr>
              <w:pStyle w:val="A-"/>
            </w:pPr>
            <w:r>
              <w:rPr>
                <w:spacing w:val="-1"/>
              </w:rPr>
              <w:t>成份</w:t>
            </w:r>
            <w:r>
              <w:rPr>
                <w:spacing w:val="-4"/>
              </w:rPr>
              <w:t>（</w:t>
            </w:r>
            <w:r>
              <w:rPr>
                <w:spacing w:val="-4"/>
              </w:rPr>
              <w:t>%</w:t>
            </w:r>
            <w:r>
              <w:rPr>
                <w:spacing w:val="-4"/>
              </w:rPr>
              <w:t>）：</w:t>
            </w:r>
            <w:r>
              <w:rPr>
                <w:spacing w:val="-4"/>
              </w:rPr>
              <w:t>Na</w:t>
            </w:r>
            <w:r>
              <w:rPr>
                <w:spacing w:val="-4"/>
                <w:sz w:val="12"/>
              </w:rPr>
              <w:t>2</w:t>
            </w:r>
            <w:r>
              <w:rPr>
                <w:spacing w:val="-4"/>
              </w:rPr>
              <w:t>O</w:t>
            </w:r>
            <w:r>
              <w:rPr>
                <w:spacing w:val="-4"/>
              </w:rPr>
              <w:t>：</w:t>
            </w:r>
            <w:r>
              <w:rPr>
                <w:spacing w:val="-4"/>
              </w:rPr>
              <w:t>71.998</w:t>
            </w:r>
            <w:r>
              <w:rPr>
                <w:spacing w:val="-48"/>
              </w:rPr>
              <w:t>、</w:t>
            </w:r>
            <w:r>
              <w:rPr>
                <w:spacing w:val="-1"/>
              </w:rPr>
              <w:t>MgO</w:t>
            </w:r>
            <w:r>
              <w:rPr>
                <w:spacing w:val="-1"/>
              </w:rPr>
              <w:t>：</w:t>
            </w:r>
            <w:r>
              <w:rPr>
                <w:spacing w:val="-1"/>
              </w:rPr>
              <w:t>0.344</w:t>
            </w:r>
            <w:r>
              <w:rPr>
                <w:spacing w:val="-46"/>
              </w:rPr>
              <w:t>、</w:t>
            </w:r>
            <w:r>
              <w:rPr>
                <w:spacing w:val="-1"/>
              </w:rPr>
              <w:t>Al</w:t>
            </w:r>
            <w:r>
              <w:rPr>
                <w:spacing w:val="-1"/>
                <w:sz w:val="12"/>
              </w:rPr>
              <w:t>2</w:t>
            </w:r>
            <w:r>
              <w:rPr>
                <w:spacing w:val="-1"/>
              </w:rPr>
              <w:t>O</w:t>
            </w:r>
            <w:r>
              <w:rPr>
                <w:spacing w:val="-1"/>
                <w:sz w:val="12"/>
              </w:rPr>
              <w:t>3</w:t>
            </w:r>
            <w:r>
              <w:rPr>
                <w:spacing w:val="-1"/>
              </w:rPr>
              <w:t>：</w:t>
            </w:r>
            <w:r>
              <w:rPr>
                <w:spacing w:val="-1"/>
              </w:rPr>
              <w:t>11.779</w:t>
            </w:r>
            <w:r>
              <w:rPr>
                <w:spacing w:val="-46"/>
              </w:rPr>
              <w:t>、</w:t>
            </w:r>
            <w:r>
              <w:t>SO</w:t>
            </w:r>
            <w:r>
              <w:rPr>
                <w:sz w:val="12"/>
              </w:rPr>
              <w:t>3</w:t>
            </w:r>
            <w:r>
              <w:t>：</w:t>
            </w:r>
            <w:r>
              <w:t>0.097</w:t>
            </w:r>
            <w:r>
              <w:rPr>
                <w:spacing w:val="-48"/>
              </w:rPr>
              <w:t>、</w:t>
            </w:r>
            <w:r>
              <w:t>K</w:t>
            </w:r>
            <w:r>
              <w:rPr>
                <w:sz w:val="12"/>
              </w:rPr>
              <w:t>2</w:t>
            </w:r>
            <w:r>
              <w:t>O</w:t>
            </w:r>
            <w:r>
              <w:t>：</w:t>
            </w:r>
            <w:r>
              <w:t>0.014</w:t>
            </w:r>
            <w:r>
              <w:rPr>
                <w:spacing w:val="-46"/>
              </w:rPr>
              <w:t>、</w:t>
            </w:r>
            <w:proofErr w:type="spellStart"/>
            <w:r>
              <w:t>CaO</w:t>
            </w:r>
            <w:proofErr w:type="spellEnd"/>
            <w:r>
              <w:t>：</w:t>
            </w:r>
            <w:r>
              <w:t>2.207</w:t>
            </w:r>
            <w:r>
              <w:rPr>
                <w:spacing w:val="-46"/>
              </w:rPr>
              <w:t>、</w:t>
            </w:r>
            <w:r>
              <w:t>TiO</w:t>
            </w:r>
            <w:r>
              <w:rPr>
                <w:sz w:val="12"/>
              </w:rPr>
              <w:t>2</w:t>
            </w:r>
            <w:r>
              <w:t>：</w:t>
            </w:r>
            <w:r>
              <w:t>0.077</w:t>
            </w:r>
            <w:r>
              <w:rPr>
                <w:spacing w:val="-46"/>
              </w:rPr>
              <w:t>、</w:t>
            </w:r>
            <w:r>
              <w:t>Cr</w:t>
            </w:r>
            <w:r>
              <w:rPr>
                <w:sz w:val="12"/>
              </w:rPr>
              <w:t>2</w:t>
            </w:r>
            <w:r>
              <w:t>O</w:t>
            </w:r>
            <w:r>
              <w:rPr>
                <w:sz w:val="12"/>
              </w:rPr>
              <w:t>3</w:t>
            </w:r>
            <w:r>
              <w:t>：</w:t>
            </w:r>
            <w:r>
              <w:t>0.013</w:t>
            </w:r>
            <w:r>
              <w:t>、</w:t>
            </w:r>
            <w:proofErr w:type="spellStart"/>
            <w:r>
              <w:rPr>
                <w:spacing w:val="-1"/>
              </w:rPr>
              <w:t>MnO</w:t>
            </w:r>
            <w:proofErr w:type="spellEnd"/>
            <w:r>
              <w:rPr>
                <w:spacing w:val="-1"/>
              </w:rPr>
              <w:t>：</w:t>
            </w:r>
            <w:r>
              <w:rPr>
                <w:spacing w:val="-1"/>
              </w:rPr>
              <w:t>2.091</w:t>
            </w:r>
            <w:r>
              <w:rPr>
                <w:spacing w:val="-15"/>
              </w:rPr>
              <w:t>、</w:t>
            </w:r>
            <w:r>
              <w:rPr>
                <w:spacing w:val="-1"/>
              </w:rPr>
              <w:t>Fe</w:t>
            </w:r>
            <w:r>
              <w:rPr>
                <w:spacing w:val="-1"/>
                <w:sz w:val="12"/>
              </w:rPr>
              <w:t>2</w:t>
            </w:r>
            <w:r>
              <w:rPr>
                <w:spacing w:val="-1"/>
              </w:rPr>
              <w:t>O</w:t>
            </w:r>
            <w:r>
              <w:rPr>
                <w:spacing w:val="-1"/>
                <w:sz w:val="12"/>
              </w:rPr>
              <w:t>3</w:t>
            </w:r>
            <w:r>
              <w:rPr>
                <w:spacing w:val="-1"/>
              </w:rPr>
              <w:t>：</w:t>
            </w:r>
            <w:r>
              <w:rPr>
                <w:spacing w:val="-1"/>
              </w:rPr>
              <w:t>0.711</w:t>
            </w:r>
            <w:r>
              <w:rPr>
                <w:spacing w:val="-15"/>
              </w:rPr>
              <w:t>、</w:t>
            </w:r>
            <w:proofErr w:type="spellStart"/>
            <w:r>
              <w:rPr>
                <w:spacing w:val="-1"/>
              </w:rPr>
              <w:t>NiO</w:t>
            </w:r>
            <w:proofErr w:type="spellEnd"/>
            <w:r>
              <w:rPr>
                <w:spacing w:val="-1"/>
              </w:rPr>
              <w:t>：</w:t>
            </w:r>
            <w:r>
              <w:rPr>
                <w:spacing w:val="-1"/>
              </w:rPr>
              <w:t>0.031</w:t>
            </w:r>
            <w:r>
              <w:rPr>
                <w:spacing w:val="-15"/>
              </w:rPr>
              <w:t>、</w:t>
            </w:r>
            <w:proofErr w:type="spellStart"/>
            <w:r>
              <w:t>CuO</w:t>
            </w:r>
            <w:proofErr w:type="spellEnd"/>
            <w:r>
              <w:t>：</w:t>
            </w:r>
            <w:r>
              <w:t>10.194</w:t>
            </w:r>
            <w:r>
              <w:rPr>
                <w:spacing w:val="-15"/>
              </w:rPr>
              <w:t>、</w:t>
            </w:r>
            <w:proofErr w:type="spellStart"/>
            <w:r>
              <w:t>ZnO</w:t>
            </w:r>
            <w:proofErr w:type="spellEnd"/>
            <w:r>
              <w:t>：</w:t>
            </w:r>
            <w:r>
              <w:t>0.019</w:t>
            </w:r>
            <w:r>
              <w:rPr>
                <w:spacing w:val="-15"/>
              </w:rPr>
              <w:t>、</w:t>
            </w:r>
            <w:proofErr w:type="spellStart"/>
            <w:r>
              <w:t>SrO</w:t>
            </w:r>
            <w:proofErr w:type="spellEnd"/>
            <w:r>
              <w:t>：</w:t>
            </w:r>
            <w:r>
              <w:t>0.031</w:t>
            </w:r>
            <w:r>
              <w:rPr>
                <w:spacing w:val="-15"/>
              </w:rPr>
              <w:t>、</w:t>
            </w:r>
            <w:r>
              <w:t>ZrO</w:t>
            </w:r>
            <w:r>
              <w:rPr>
                <w:sz w:val="12"/>
              </w:rPr>
              <w:t>2</w:t>
            </w:r>
            <w:r>
              <w:t>：</w:t>
            </w:r>
            <w:r>
              <w:t>0.008</w:t>
            </w:r>
            <w:r>
              <w:rPr>
                <w:spacing w:val="-17"/>
              </w:rPr>
              <w:t>、</w:t>
            </w:r>
            <w:proofErr w:type="spellStart"/>
            <w:r>
              <w:t>PdO</w:t>
            </w:r>
            <w:proofErr w:type="spellEnd"/>
            <w:r>
              <w:t>：</w:t>
            </w:r>
            <w:r>
              <w:t>0.012</w:t>
            </w:r>
            <w:r>
              <w:rPr>
                <w:spacing w:val="-15"/>
              </w:rPr>
              <w:t>、</w:t>
            </w:r>
            <w:r>
              <w:t>Cl</w:t>
            </w:r>
            <w:r>
              <w:t>：</w:t>
            </w:r>
            <w:r>
              <w:t>0.374</w:t>
            </w:r>
            <w:r>
              <w:t>、含水率：</w:t>
            </w:r>
            <w:r>
              <w:t>50.73</w:t>
            </w:r>
            <w:r>
              <w:t>、烧失量：</w:t>
            </w:r>
            <w:r>
              <w:t>58.97</w:t>
            </w:r>
            <w:r>
              <w:t>（湿基）、热值：</w:t>
            </w:r>
            <w:r>
              <w:t>—</w:t>
            </w:r>
            <w:r>
              <w:t>（烘干后），烘干后物质的量，归一前总和</w:t>
            </w:r>
            <w:r>
              <w:t>79.4%</w:t>
            </w:r>
          </w:p>
        </w:tc>
      </w:tr>
    </w:tbl>
    <w:p w14:paraId="2DDE76A2" w14:textId="77777777" w:rsidR="002E474C" w:rsidRDefault="002E474C">
      <w:pPr>
        <w:pStyle w:val="A-z"/>
        <w:rPr>
          <w:color w:val="auto"/>
          <w:lang w:val="en-US"/>
        </w:rPr>
      </w:pPr>
    </w:p>
    <w:p w14:paraId="4A79E930" w14:textId="77777777" w:rsidR="002E474C" w:rsidRDefault="002E474C">
      <w:pPr>
        <w:pStyle w:val="A-z"/>
        <w:rPr>
          <w:color w:val="auto"/>
          <w:lang w:val="en-US"/>
        </w:rPr>
        <w:sectPr w:rsidR="002E474C">
          <w:pgSz w:w="16838" w:h="11906" w:orient="landscape"/>
          <w:pgMar w:top="1440" w:right="1800" w:bottom="1440" w:left="1800" w:header="851" w:footer="992" w:gutter="0"/>
          <w:cols w:space="720"/>
          <w:docGrid w:linePitch="312"/>
        </w:sectPr>
      </w:pPr>
    </w:p>
    <w:p w14:paraId="41F3A317" w14:textId="77777777" w:rsidR="002E474C" w:rsidRDefault="00000000">
      <w:pPr>
        <w:pStyle w:val="A--"/>
        <w:rPr>
          <w:color w:val="auto"/>
        </w:rPr>
      </w:pPr>
      <w:bookmarkStart w:id="324" w:name="_Ref130479622"/>
      <w:r>
        <w:rPr>
          <w:color w:val="auto"/>
        </w:rPr>
        <w:lastRenderedPageBreak/>
        <w:t>表</w:t>
      </w:r>
      <w:r>
        <w:rPr>
          <w:color w:val="auto"/>
        </w:rPr>
        <w:t>5.8</w:t>
      </w:r>
      <w:r>
        <w:rPr>
          <w:color w:val="auto"/>
        </w:rPr>
        <w:noBreakHyphen/>
        <w:t>6</w:t>
      </w:r>
      <w:bookmarkEnd w:id="324"/>
      <w:r>
        <w:rPr>
          <w:color w:val="auto"/>
        </w:rPr>
        <w:t xml:space="preserve">  </w:t>
      </w:r>
      <w:r>
        <w:rPr>
          <w:color w:val="auto"/>
        </w:rPr>
        <w:t>项目涉及主要危险物质的理化性质与危险特性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529"/>
      </w:tblGrid>
      <w:tr w:rsidR="002E474C" w14:paraId="5BB5014C" w14:textId="77777777">
        <w:trPr>
          <w:trHeight w:val="340"/>
          <w:tblHeader/>
          <w:jc w:val="center"/>
        </w:trPr>
        <w:tc>
          <w:tcPr>
            <w:tcW w:w="462" w:type="pct"/>
            <w:vAlign w:val="center"/>
          </w:tcPr>
          <w:p w14:paraId="3AC47C3A" w14:textId="77777777" w:rsidR="002E474C" w:rsidRDefault="00000000">
            <w:pPr>
              <w:pStyle w:val="A-"/>
            </w:pPr>
            <w:r>
              <w:t>名称</w:t>
            </w:r>
          </w:p>
        </w:tc>
        <w:tc>
          <w:tcPr>
            <w:tcW w:w="4538" w:type="pct"/>
            <w:vAlign w:val="center"/>
          </w:tcPr>
          <w:p w14:paraId="1EDE92DE" w14:textId="77777777" w:rsidR="002E474C" w:rsidRDefault="00000000">
            <w:pPr>
              <w:pStyle w:val="A-"/>
            </w:pPr>
            <w:r>
              <w:t>理化性质与危险特性</w:t>
            </w:r>
          </w:p>
        </w:tc>
      </w:tr>
      <w:tr w:rsidR="002E474C" w14:paraId="5E0CA9D6" w14:textId="77777777">
        <w:trPr>
          <w:trHeight w:val="90"/>
          <w:jc w:val="center"/>
        </w:trPr>
        <w:tc>
          <w:tcPr>
            <w:tcW w:w="462" w:type="pct"/>
            <w:vAlign w:val="center"/>
          </w:tcPr>
          <w:p w14:paraId="49FFB8B8" w14:textId="77777777" w:rsidR="002E474C" w:rsidRDefault="00000000">
            <w:pPr>
              <w:pStyle w:val="A-"/>
            </w:pPr>
            <w:r>
              <w:t>硫酸</w:t>
            </w:r>
          </w:p>
        </w:tc>
        <w:tc>
          <w:tcPr>
            <w:tcW w:w="4538" w:type="pct"/>
            <w:vAlign w:val="center"/>
          </w:tcPr>
          <w:p w14:paraId="725E4B33" w14:textId="77777777" w:rsidR="002E474C" w:rsidRDefault="00000000">
            <w:pPr>
              <w:pStyle w:val="A-"/>
              <w:jc w:val="both"/>
              <w:rPr>
                <w:spacing w:val="-6"/>
              </w:rPr>
            </w:pPr>
            <w:r>
              <w:rPr>
                <w:spacing w:val="-6"/>
              </w:rPr>
              <w:t>理化特性：无色透明油状腐蚀性液体，无臭；熔点</w:t>
            </w:r>
            <w:r>
              <w:rPr>
                <w:spacing w:val="-6"/>
              </w:rPr>
              <w:t xml:space="preserve"> </w:t>
            </w:r>
            <w:r>
              <w:rPr>
                <w:rFonts w:eastAsia="Times New Roman"/>
                <w:spacing w:val="-6"/>
              </w:rPr>
              <w:t>10.5℃</w:t>
            </w:r>
            <w:r>
              <w:rPr>
                <w:spacing w:val="-6"/>
              </w:rPr>
              <w:t>；沸点</w:t>
            </w:r>
            <w:r>
              <w:rPr>
                <w:spacing w:val="-6"/>
              </w:rPr>
              <w:t xml:space="preserve"> </w:t>
            </w:r>
            <w:r>
              <w:rPr>
                <w:rFonts w:eastAsia="Times New Roman"/>
                <w:spacing w:val="-6"/>
              </w:rPr>
              <w:t>330.0℃</w:t>
            </w:r>
            <w:r>
              <w:rPr>
                <w:spacing w:val="-6"/>
              </w:rPr>
              <w:t>；相对密度（水</w:t>
            </w:r>
            <w:r>
              <w:rPr>
                <w:rFonts w:eastAsia="Times New Roman"/>
                <w:spacing w:val="-6"/>
              </w:rPr>
              <w:t>=1</w:t>
            </w:r>
            <w:r>
              <w:rPr>
                <w:spacing w:val="-6"/>
              </w:rPr>
              <w:t>）：</w:t>
            </w:r>
            <w:r>
              <w:rPr>
                <w:rFonts w:eastAsia="Times New Roman"/>
                <w:spacing w:val="-6"/>
              </w:rPr>
              <w:t>1.83</w:t>
            </w:r>
            <w:r>
              <w:rPr>
                <w:spacing w:val="-6"/>
              </w:rPr>
              <w:t>；饱和蒸汽压：</w:t>
            </w:r>
            <w:r>
              <w:rPr>
                <w:rFonts w:eastAsia="Times New Roman"/>
                <w:spacing w:val="-6"/>
              </w:rPr>
              <w:t>0.13KPa(145.8</w:t>
            </w:r>
            <w:r>
              <w:rPr>
                <w:rFonts w:eastAsia="Times New Roman"/>
                <w:spacing w:val="-6"/>
                <w:w w:val="122"/>
              </w:rPr>
              <w:t>℃)</w:t>
            </w:r>
            <w:r>
              <w:rPr>
                <w:spacing w:val="-6"/>
              </w:rPr>
              <w:t>溶解性：与水混溶。毒性：</w:t>
            </w:r>
            <w:r>
              <w:rPr>
                <w:spacing w:val="-6"/>
              </w:rPr>
              <w:t xml:space="preserve"> </w:t>
            </w:r>
            <w:r>
              <w:rPr>
                <w:rFonts w:eastAsia="Times New Roman"/>
                <w:spacing w:val="-6"/>
              </w:rPr>
              <w:t>LD502140mg/kg(</w:t>
            </w:r>
            <w:r>
              <w:rPr>
                <w:spacing w:val="-6"/>
              </w:rPr>
              <w:t>大鼠经口</w:t>
            </w:r>
            <w:r>
              <w:rPr>
                <w:rFonts w:eastAsia="Times New Roman"/>
                <w:spacing w:val="-6"/>
              </w:rPr>
              <w:t>)</w:t>
            </w:r>
            <w:r>
              <w:rPr>
                <w:spacing w:val="-6"/>
              </w:rPr>
              <w:t>，</w:t>
            </w:r>
            <w:r>
              <w:rPr>
                <w:rFonts w:eastAsia="Times New Roman"/>
                <w:spacing w:val="-6"/>
              </w:rPr>
              <w:t>LC50</w:t>
            </w:r>
            <w:r>
              <w:rPr>
                <w:spacing w:val="-6"/>
              </w:rPr>
              <w:t>：</w:t>
            </w:r>
            <w:r>
              <w:rPr>
                <w:rFonts w:eastAsia="Times New Roman"/>
                <w:spacing w:val="-6"/>
              </w:rPr>
              <w:t>510mg/m</w:t>
            </w:r>
            <w:r>
              <w:rPr>
                <w:spacing w:val="-6"/>
                <w:vertAlign w:val="superscript"/>
              </w:rPr>
              <w:t>3</w:t>
            </w:r>
            <w:r>
              <w:rPr>
                <w:spacing w:val="-6"/>
              </w:rPr>
              <w:t>，</w:t>
            </w:r>
            <w:r>
              <w:rPr>
                <w:rFonts w:eastAsia="Times New Roman"/>
                <w:spacing w:val="-6"/>
              </w:rPr>
              <w:t xml:space="preserve">2 </w:t>
            </w:r>
            <w:r>
              <w:rPr>
                <w:spacing w:val="-6"/>
              </w:rPr>
              <w:t>小时；</w:t>
            </w:r>
            <w:r>
              <w:rPr>
                <w:rFonts w:eastAsia="Times New Roman"/>
                <w:spacing w:val="-6"/>
              </w:rPr>
              <w:t>(</w:t>
            </w:r>
            <w:r>
              <w:rPr>
                <w:spacing w:val="-6"/>
              </w:rPr>
              <w:t>大鼠吸入</w:t>
            </w:r>
            <w:r>
              <w:rPr>
                <w:rFonts w:eastAsia="Times New Roman"/>
                <w:spacing w:val="-6"/>
              </w:rPr>
              <w:t>)</w:t>
            </w:r>
            <w:r>
              <w:rPr>
                <w:spacing w:val="-6"/>
              </w:rPr>
              <w:t>；</w:t>
            </w:r>
            <w:r>
              <w:rPr>
                <w:rFonts w:eastAsia="Times New Roman"/>
                <w:spacing w:val="-6"/>
              </w:rPr>
              <w:t>320mg/m</w:t>
            </w:r>
            <w:r>
              <w:rPr>
                <w:spacing w:val="-6"/>
                <w:vertAlign w:val="superscript"/>
              </w:rPr>
              <w:t xml:space="preserve">3 </w:t>
            </w:r>
            <w:r>
              <w:rPr>
                <w:rFonts w:eastAsia="Times New Roman"/>
                <w:spacing w:val="-6"/>
              </w:rPr>
              <w:t>2</w:t>
            </w:r>
            <w:r>
              <w:rPr>
                <w:spacing w:val="-6"/>
              </w:rPr>
              <w:t>小时</w:t>
            </w:r>
            <w:r>
              <w:rPr>
                <w:rFonts w:eastAsia="Times New Roman"/>
                <w:spacing w:val="-6"/>
              </w:rPr>
              <w:t>(</w:t>
            </w:r>
            <w:r>
              <w:rPr>
                <w:spacing w:val="-6"/>
              </w:rPr>
              <w:t>小鼠吸入</w:t>
            </w:r>
            <w:r>
              <w:rPr>
                <w:rFonts w:eastAsia="Times New Roman"/>
                <w:spacing w:val="-6"/>
              </w:rPr>
              <w:t>)</w:t>
            </w:r>
            <w:r>
              <w:rPr>
                <w:spacing w:val="-6"/>
              </w:rPr>
              <w:t>；家兔经眼：</w:t>
            </w:r>
            <w:r>
              <w:rPr>
                <w:rFonts w:eastAsia="Times New Roman"/>
                <w:spacing w:val="-6"/>
              </w:rPr>
              <w:t>1380μg</w:t>
            </w:r>
            <w:r>
              <w:rPr>
                <w:spacing w:val="-6"/>
              </w:rPr>
              <w:t>，重度刺激。对皮肤、粘膜等组织有强烈的刺激和腐蚀作用。</w:t>
            </w:r>
          </w:p>
          <w:p w14:paraId="2677D3FF" w14:textId="77777777" w:rsidR="002E474C" w:rsidRDefault="00000000">
            <w:pPr>
              <w:pStyle w:val="A-"/>
              <w:jc w:val="both"/>
            </w:pPr>
            <w:r>
              <w:rPr>
                <w:spacing w:val="-4"/>
              </w:rPr>
              <w:t>危险特性：与易燃物</w:t>
            </w:r>
            <w:r>
              <w:rPr>
                <w:rFonts w:eastAsia="Times New Roman"/>
              </w:rPr>
              <w:t>(</w:t>
            </w:r>
            <w:r>
              <w:rPr>
                <w:spacing w:val="-2"/>
              </w:rPr>
              <w:t>如苯</w:t>
            </w:r>
            <w:r>
              <w:rPr>
                <w:rFonts w:eastAsia="Times New Roman"/>
              </w:rPr>
              <w:t>)</w:t>
            </w:r>
            <w:r>
              <w:rPr>
                <w:spacing w:val="-3"/>
              </w:rPr>
              <w:t>和有机物</w:t>
            </w:r>
            <w:r>
              <w:rPr>
                <w:rFonts w:eastAsia="Times New Roman"/>
              </w:rPr>
              <w:t>(</w:t>
            </w:r>
            <w:r>
              <w:rPr>
                <w:spacing w:val="-3"/>
              </w:rPr>
              <w:t>如糖、纤维素等</w:t>
            </w:r>
            <w:r>
              <w:rPr>
                <w:rFonts w:eastAsia="Times New Roman"/>
              </w:rPr>
              <w:t>)</w:t>
            </w:r>
            <w:r>
              <w:rPr>
                <w:spacing w:val="-3"/>
              </w:rPr>
              <w:t>接触会发生剧烈反应</w:t>
            </w:r>
            <w:r>
              <w:t>，</w:t>
            </w:r>
            <w:r>
              <w:rPr>
                <w:spacing w:val="-4"/>
              </w:rPr>
              <w:t>甚至引起燃烧。能与一些活性金属粉末发生反应</w:t>
            </w:r>
            <w:r>
              <w:rPr>
                <w:spacing w:val="-3"/>
              </w:rPr>
              <w:t>，</w:t>
            </w:r>
            <w:r>
              <w:rPr>
                <w:spacing w:val="-4"/>
              </w:rPr>
              <w:t>放出氢气。遇水大量</w:t>
            </w:r>
            <w:r>
              <w:t>放热，可发生沸溅。具有强腐蚀性。能腐蚀绝大多数金属和塑料、橡胶及涂料。</w:t>
            </w:r>
          </w:p>
        </w:tc>
      </w:tr>
      <w:tr w:rsidR="002E474C" w14:paraId="35111C15" w14:textId="77777777">
        <w:trPr>
          <w:trHeight w:val="1991"/>
          <w:jc w:val="center"/>
        </w:trPr>
        <w:tc>
          <w:tcPr>
            <w:tcW w:w="462" w:type="pct"/>
            <w:vAlign w:val="center"/>
          </w:tcPr>
          <w:p w14:paraId="26DC6C88" w14:textId="77777777" w:rsidR="002E474C" w:rsidRDefault="00000000">
            <w:pPr>
              <w:pStyle w:val="A-"/>
            </w:pPr>
            <w:r>
              <w:t>硝酸</w:t>
            </w:r>
          </w:p>
        </w:tc>
        <w:tc>
          <w:tcPr>
            <w:tcW w:w="4538" w:type="pct"/>
            <w:vAlign w:val="center"/>
          </w:tcPr>
          <w:p w14:paraId="713C658F" w14:textId="77777777" w:rsidR="002E474C" w:rsidRDefault="00000000">
            <w:pPr>
              <w:pStyle w:val="A-"/>
              <w:jc w:val="both"/>
            </w:pPr>
            <w:r>
              <w:t>理化特性：无色透明发烟酸性腐蚀性液体，有酸味；熔点：</w:t>
            </w:r>
            <w:r>
              <w:rPr>
                <w:rFonts w:eastAsia="Times New Roman"/>
              </w:rPr>
              <w:t>-42℃(</w:t>
            </w:r>
            <w:r>
              <w:rPr>
                <w:spacing w:val="-2"/>
              </w:rPr>
              <w:t>无水</w:t>
            </w:r>
            <w:r>
              <w:rPr>
                <w:rFonts w:eastAsia="Times New Roman"/>
              </w:rPr>
              <w:t>)</w:t>
            </w:r>
            <w:r>
              <w:rPr>
                <w:spacing w:val="-5"/>
              </w:rPr>
              <w:t>；沸点：</w:t>
            </w:r>
            <w:r>
              <w:rPr>
                <w:spacing w:val="-5"/>
              </w:rPr>
              <w:t xml:space="preserve"> </w:t>
            </w:r>
            <w:r>
              <w:rPr>
                <w:rFonts w:eastAsia="Times New Roman"/>
                <w:spacing w:val="-1"/>
              </w:rPr>
              <w:t>86℃(</w:t>
            </w:r>
            <w:r>
              <w:rPr>
                <w:spacing w:val="-2"/>
              </w:rPr>
              <w:t>无水</w:t>
            </w:r>
            <w:r>
              <w:rPr>
                <w:rFonts w:eastAsia="Times New Roman"/>
                <w:spacing w:val="-1"/>
              </w:rPr>
              <w:t>)</w:t>
            </w:r>
            <w:r>
              <w:rPr>
                <w:spacing w:val="-2"/>
              </w:rPr>
              <w:t>；相对密度</w:t>
            </w:r>
            <w:r>
              <w:rPr>
                <w:rFonts w:eastAsia="Times New Roman"/>
                <w:spacing w:val="-1"/>
              </w:rPr>
              <w:t>(</w:t>
            </w:r>
            <w:r>
              <w:t>水</w:t>
            </w:r>
            <w:r>
              <w:rPr>
                <w:rFonts w:eastAsia="Times New Roman"/>
                <w:spacing w:val="-1"/>
              </w:rPr>
              <w:t>=1)</w:t>
            </w:r>
            <w:r>
              <w:rPr>
                <w:spacing w:val="-1"/>
              </w:rPr>
              <w:t>：</w:t>
            </w:r>
            <w:r>
              <w:rPr>
                <w:rFonts w:eastAsia="Times New Roman"/>
                <w:spacing w:val="-1"/>
              </w:rPr>
              <w:t>1.50(</w:t>
            </w:r>
            <w:r>
              <w:t>无水</w:t>
            </w:r>
            <w:r>
              <w:rPr>
                <w:rFonts w:eastAsia="Times New Roman"/>
              </w:rPr>
              <w:t>)</w:t>
            </w:r>
            <w:r>
              <w:t>；饱和蒸汽压：</w:t>
            </w:r>
            <w:r>
              <w:rPr>
                <w:rFonts w:eastAsia="Times New Roman"/>
              </w:rPr>
              <w:t>4.4kPa(20℃)</w:t>
            </w:r>
            <w:r>
              <w:rPr>
                <w:spacing w:val="-16"/>
              </w:rPr>
              <w:t>；溶解性：</w:t>
            </w:r>
            <w:r>
              <w:rPr>
                <w:spacing w:val="-16"/>
              </w:rPr>
              <w:t xml:space="preserve"> </w:t>
            </w:r>
            <w:r>
              <w:rPr>
                <w:spacing w:val="-6"/>
              </w:rPr>
              <w:t>与水混溶。</w:t>
            </w:r>
            <w:r>
              <w:rPr>
                <w:spacing w:val="-4"/>
              </w:rPr>
              <w:t>危险特性：</w:t>
            </w:r>
            <w:r>
              <w:rPr>
                <w:rFonts w:eastAsia="Times New Roman"/>
                <w:spacing w:val="-7"/>
              </w:rPr>
              <w:t xml:space="preserve"> LC50</w:t>
            </w:r>
            <w:r>
              <w:rPr>
                <w:spacing w:val="-7"/>
              </w:rPr>
              <w:t>：</w:t>
            </w:r>
            <w:r>
              <w:rPr>
                <w:rFonts w:eastAsia="Times New Roman"/>
                <w:spacing w:val="-7"/>
              </w:rPr>
              <w:t xml:space="preserve">49ppm·4h( </w:t>
            </w:r>
            <w:r>
              <w:t>大鼠吸入半数致死浓度</w:t>
            </w:r>
            <w:r>
              <w:rPr>
                <w:rFonts w:eastAsia="Times New Roman"/>
                <w:spacing w:val="-4"/>
              </w:rPr>
              <w:t>)</w:t>
            </w:r>
            <w:r>
              <w:rPr>
                <w:spacing w:val="-4"/>
              </w:rPr>
              <w:t>；</w:t>
            </w:r>
            <w:r>
              <w:rPr>
                <w:rFonts w:eastAsia="Times New Roman"/>
                <w:spacing w:val="-4"/>
              </w:rPr>
              <w:t>LCL0</w:t>
            </w:r>
            <w:r>
              <w:rPr>
                <w:spacing w:val="-4"/>
              </w:rPr>
              <w:t>：</w:t>
            </w:r>
            <w:r>
              <w:rPr>
                <w:rFonts w:eastAsia="Times New Roman"/>
                <w:spacing w:val="-4"/>
              </w:rPr>
              <w:t>430mg/kg(</w:t>
            </w:r>
            <w:r>
              <w:t>人</w:t>
            </w:r>
            <w:r>
              <w:rPr>
                <w:spacing w:val="-2"/>
              </w:rPr>
              <w:t>经口最低致死量</w:t>
            </w:r>
            <w:r>
              <w:rPr>
                <w:rFonts w:eastAsia="Times New Roman"/>
                <w:spacing w:val="-4"/>
              </w:rPr>
              <w:t>)</w:t>
            </w:r>
            <w:r>
              <w:rPr>
                <w:spacing w:val="-4"/>
              </w:rPr>
              <w:t>；</w:t>
            </w:r>
            <w:r>
              <w:rPr>
                <w:rFonts w:eastAsia="Times New Roman"/>
                <w:spacing w:val="-4"/>
              </w:rPr>
              <w:t>LC50</w:t>
            </w:r>
            <w:r>
              <w:rPr>
                <w:spacing w:val="-4"/>
              </w:rPr>
              <w:t>：</w:t>
            </w:r>
            <w:r>
              <w:rPr>
                <w:rFonts w:eastAsia="Times New Roman"/>
                <w:spacing w:val="-4"/>
              </w:rPr>
              <w:t xml:space="preserve">100~300mg/L·48h( </w:t>
            </w:r>
            <w:r>
              <w:t>海星</w:t>
            </w:r>
            <w:r>
              <w:rPr>
                <w:rFonts w:eastAsia="Times New Roman"/>
                <w:spacing w:val="-4"/>
              </w:rPr>
              <w:t>)</w:t>
            </w:r>
            <w:r>
              <w:rPr>
                <w:spacing w:val="-4"/>
              </w:rPr>
              <w:t>；</w:t>
            </w:r>
            <w:r>
              <w:rPr>
                <w:rFonts w:eastAsia="Times New Roman"/>
                <w:spacing w:val="-4"/>
              </w:rPr>
              <w:t>LC50</w:t>
            </w:r>
            <w:r>
              <w:rPr>
                <w:spacing w:val="-4"/>
              </w:rPr>
              <w:t>：</w:t>
            </w:r>
            <w:r>
              <w:rPr>
                <w:rFonts w:eastAsia="Times New Roman"/>
                <w:spacing w:val="-4"/>
              </w:rPr>
              <w:t xml:space="preserve">180mg/L·48h( </w:t>
            </w:r>
            <w:r>
              <w:t>海蟹</w:t>
            </w:r>
            <w:r>
              <w:rPr>
                <w:rFonts w:eastAsia="Times New Roman"/>
                <w:spacing w:val="-4"/>
              </w:rPr>
              <w:t>)</w:t>
            </w:r>
            <w:r>
              <w:t>。蒸气的刺激作用引起眼和上呼吸道刺激症状，并伴有头痛、头晕、胸闷等。口服引起腹部剧痛，重者可有胃穿孔、腹膜炎、喉痉挛、肾损害、休克以及窒息。危险特性：强氧化剂。能与多种物质如金属粉末、电石、硫化氢、松节油等猛烈反应，甚至发生爆炸。与还原剂、可燃物如糖、纤维素、木屑、棉花、稻草或废纱头等接触，引起燃烧并散发出剧毒的棕色烟雾。具有强腐蚀性。</w:t>
            </w:r>
          </w:p>
        </w:tc>
      </w:tr>
      <w:tr w:rsidR="002E474C" w14:paraId="76091B55" w14:textId="77777777">
        <w:trPr>
          <w:trHeight w:val="887"/>
          <w:jc w:val="center"/>
        </w:trPr>
        <w:tc>
          <w:tcPr>
            <w:tcW w:w="462" w:type="pct"/>
            <w:vAlign w:val="center"/>
          </w:tcPr>
          <w:p w14:paraId="6C6F124A" w14:textId="77777777" w:rsidR="002E474C" w:rsidRDefault="00000000">
            <w:pPr>
              <w:pStyle w:val="A-"/>
              <w:ind w:leftChars="-50" w:left="-105" w:rightChars="-50" w:right="-105"/>
            </w:pPr>
            <w:r>
              <w:t>氰化物</w:t>
            </w:r>
          </w:p>
        </w:tc>
        <w:tc>
          <w:tcPr>
            <w:tcW w:w="4538" w:type="pct"/>
            <w:vAlign w:val="center"/>
          </w:tcPr>
          <w:p w14:paraId="7C1D97B7" w14:textId="77777777" w:rsidR="002E474C" w:rsidRDefault="00000000">
            <w:pPr>
              <w:pStyle w:val="A-"/>
              <w:jc w:val="both"/>
            </w:pPr>
            <w:r>
              <w:t>氰化物可分为无机氰化物，如氢氰酸、氰化钾（钠）、氯化氰等；有机氰化物，如乙腈、丙烯腈、正丁腈等均能在体内很快析出离子，均属高毒类。</w:t>
            </w:r>
          </w:p>
          <w:p w14:paraId="16524AFC" w14:textId="77777777" w:rsidR="002E474C" w:rsidRDefault="00000000">
            <w:pPr>
              <w:pStyle w:val="A-"/>
              <w:jc w:val="both"/>
            </w:pPr>
            <w:r>
              <w:rPr>
                <w:spacing w:val="-4"/>
              </w:rPr>
              <w:t>危险特性：</w:t>
            </w:r>
            <w:r>
              <w:t>很多氰化物，凡能在加热或与酸作用后或在空气中与组织中释放出氰化氢或氰离子的都具有与氰化氢同样的剧毒作用。职业性氰化物中毒主要是通过呼吸道，其次在高浓度下也能通过皮肤吸收。生活性氰化物中毒以口服为主。口腔粘膜和消化道能充分吸收。</w:t>
            </w:r>
          </w:p>
          <w:p w14:paraId="6E1350A1" w14:textId="77777777" w:rsidR="002E474C" w:rsidRDefault="00000000">
            <w:pPr>
              <w:pStyle w:val="A-"/>
              <w:jc w:val="both"/>
            </w:pPr>
            <w:r>
              <w:rPr>
                <w:spacing w:val="-6"/>
              </w:rPr>
              <w:t>氰化物进入人体后析出氰离子，与细胞线粒体内氧化型细胞色素氧化酶的三价铁结合，阻止氧化酶中的三价铁还原，妨碍细胞正常呼吸，组织细胞不能利用氧，造成组织缺氧，导致机体陷入内窒息状态。另外某些腈类化合物的分子本身具有直接对中枢神经系统的抑制作用。氰化物毒性分为极毒（</w:t>
            </w:r>
            <w:r>
              <w:rPr>
                <w:spacing w:val="-6"/>
              </w:rPr>
              <w:t>LD50&lt;1</w:t>
            </w:r>
            <w:r>
              <w:rPr>
                <w:spacing w:val="-6"/>
              </w:rPr>
              <w:t>），剧毒（</w:t>
            </w:r>
            <w:r>
              <w:rPr>
                <w:spacing w:val="-6"/>
              </w:rPr>
              <w:t>LD50</w:t>
            </w:r>
            <w:r>
              <w:rPr>
                <w:spacing w:val="-6"/>
              </w:rPr>
              <w:t>：</w:t>
            </w:r>
            <w:r>
              <w:rPr>
                <w:spacing w:val="-6"/>
              </w:rPr>
              <w:t>1~50</w:t>
            </w:r>
            <w:r>
              <w:rPr>
                <w:spacing w:val="-6"/>
              </w:rPr>
              <w:t>），中等毒（</w:t>
            </w:r>
            <w:r>
              <w:rPr>
                <w:spacing w:val="-6"/>
              </w:rPr>
              <w:t>LD50</w:t>
            </w:r>
            <w:r>
              <w:rPr>
                <w:spacing w:val="-6"/>
              </w:rPr>
              <w:t>：</w:t>
            </w:r>
            <w:r>
              <w:rPr>
                <w:spacing w:val="-6"/>
              </w:rPr>
              <w:t>51~500</w:t>
            </w:r>
            <w:r>
              <w:rPr>
                <w:spacing w:val="-6"/>
              </w:rPr>
              <w:t>），低毒（</w:t>
            </w:r>
            <w:r>
              <w:rPr>
                <w:spacing w:val="-6"/>
              </w:rPr>
              <w:t>LD50</w:t>
            </w:r>
            <w:r>
              <w:rPr>
                <w:spacing w:val="-6"/>
              </w:rPr>
              <w:t>：</w:t>
            </w:r>
            <w:r>
              <w:rPr>
                <w:spacing w:val="-6"/>
              </w:rPr>
              <w:t>501~5000</w:t>
            </w:r>
            <w:r>
              <w:rPr>
                <w:spacing w:val="-6"/>
              </w:rPr>
              <w:t>），实际无毒（</w:t>
            </w:r>
            <w:r>
              <w:rPr>
                <w:spacing w:val="-6"/>
              </w:rPr>
              <w:t>LD50</w:t>
            </w:r>
            <w:r>
              <w:rPr>
                <w:spacing w:val="-6"/>
              </w:rPr>
              <w:t>：</w:t>
            </w:r>
            <w:r>
              <w:rPr>
                <w:spacing w:val="-6"/>
              </w:rPr>
              <w:t>5001~15000</w:t>
            </w:r>
            <w:r>
              <w:rPr>
                <w:spacing w:val="-6"/>
              </w:rPr>
              <w:t>），无毒（</w:t>
            </w:r>
            <w:r>
              <w:rPr>
                <w:spacing w:val="-6"/>
              </w:rPr>
              <w:t>LD50</w:t>
            </w:r>
            <w:r>
              <w:rPr>
                <w:spacing w:val="-6"/>
              </w:rPr>
              <w:t>：</w:t>
            </w:r>
            <w:r>
              <w:rPr>
                <w:spacing w:val="-6"/>
              </w:rPr>
              <w:t>&gt;15000</w:t>
            </w:r>
            <w:r>
              <w:rPr>
                <w:spacing w:val="-6"/>
              </w:rPr>
              <w:t>）。</w:t>
            </w:r>
          </w:p>
        </w:tc>
      </w:tr>
      <w:tr w:rsidR="002E474C" w14:paraId="4ADB8C55" w14:textId="77777777">
        <w:trPr>
          <w:trHeight w:val="340"/>
          <w:jc w:val="center"/>
        </w:trPr>
        <w:tc>
          <w:tcPr>
            <w:tcW w:w="462" w:type="pct"/>
            <w:vAlign w:val="center"/>
          </w:tcPr>
          <w:p w14:paraId="566A8CFB" w14:textId="77777777" w:rsidR="002E474C" w:rsidRDefault="00000000">
            <w:pPr>
              <w:pStyle w:val="A-"/>
            </w:pPr>
            <w:r>
              <w:t>铬及其化合物</w:t>
            </w:r>
          </w:p>
        </w:tc>
        <w:tc>
          <w:tcPr>
            <w:tcW w:w="4538" w:type="pct"/>
            <w:vAlign w:val="center"/>
          </w:tcPr>
          <w:p w14:paraId="50AF51D3" w14:textId="77777777" w:rsidR="002E474C" w:rsidRDefault="00000000">
            <w:pPr>
              <w:pStyle w:val="A-"/>
              <w:jc w:val="both"/>
            </w:pPr>
            <w:r>
              <w:t>理化特性：铬是银白色有光泽的金属，纯铬有延展性，含杂质的铬硬而脆。密度</w:t>
            </w:r>
            <w:r>
              <w:t>7.20g/cm3</w:t>
            </w:r>
            <w:r>
              <w:t>。可溶于强碱溶液。铬具有很高的耐腐蚀性，在空气中，即便是在赤热的状态下，氧化也很慢。不溶于水。镀在金属上可起保护作用。铬能慢慢地溶于稀盐酸、稀硫酸，而生成蓝色溶液。</w:t>
            </w:r>
          </w:p>
          <w:p w14:paraId="70E2E0EB" w14:textId="77777777" w:rsidR="002E474C" w:rsidRDefault="00000000">
            <w:pPr>
              <w:pStyle w:val="A-"/>
              <w:jc w:val="both"/>
            </w:pPr>
            <w:r>
              <w:rPr>
                <w:spacing w:val="-4"/>
              </w:rPr>
              <w:t>危险特性：</w:t>
            </w:r>
            <w:r>
              <w:t>侵入途径：吸入、食入。三价铬对人体几乎不产生有害作用，未见引起工业中毒的报道。进入人体的铬被积存在人体组织中，代谢和被清除的速度缓慢。铬进入血液后，主要与血浆中的球蛋白、白蛋白、</w:t>
            </w:r>
            <w:r>
              <w:t>r-</w:t>
            </w:r>
            <w:r>
              <w:t>球蛋白结合。六价铬还可透过红细胞膜，</w:t>
            </w:r>
            <w:r>
              <w:t>15</w:t>
            </w:r>
            <w:r>
              <w:t>分钟内可以有</w:t>
            </w:r>
            <w:r>
              <w:t>50%</w:t>
            </w:r>
            <w:r>
              <w:t>的六价铬进入细胞，进入红细胞后与血红蛋白结合。铬的代谢物主要从肾排出，少量经粪便排出。六价铬对人主要是慢性毒害，它可以通过消化道、呼吸道、皮肤和粘膜侵入人体，在体内主要积聚在肝、肾和内分泌腺中。通过呼吸道进入的则易积存在肺部。六价铬有强氧化作用，所以慢性中毒往往以局部损害开始逐渐发展到不可救药。经呼吸道侵入人体时，开始侵害上呼吸道，引起鼻炎、咽炎和喉炎、支气管炎。</w:t>
            </w:r>
          </w:p>
        </w:tc>
      </w:tr>
      <w:tr w:rsidR="002E474C" w14:paraId="3C855190" w14:textId="77777777">
        <w:trPr>
          <w:trHeight w:val="340"/>
          <w:jc w:val="center"/>
        </w:trPr>
        <w:tc>
          <w:tcPr>
            <w:tcW w:w="462" w:type="pct"/>
            <w:vAlign w:val="center"/>
          </w:tcPr>
          <w:p w14:paraId="63A3878C" w14:textId="77777777" w:rsidR="002E474C" w:rsidRDefault="00000000">
            <w:pPr>
              <w:pStyle w:val="A-"/>
            </w:pPr>
            <w:r>
              <w:t>二噁英类</w:t>
            </w:r>
          </w:p>
        </w:tc>
        <w:tc>
          <w:tcPr>
            <w:tcW w:w="4538" w:type="pct"/>
            <w:vAlign w:val="center"/>
          </w:tcPr>
          <w:p w14:paraId="1393EA91" w14:textId="77777777" w:rsidR="002E474C" w:rsidRDefault="00000000">
            <w:pPr>
              <w:pStyle w:val="A-"/>
              <w:jc w:val="both"/>
            </w:pPr>
            <w:r>
              <w:t>二噁英类（</w:t>
            </w:r>
            <w:r>
              <w:t>DIOXIN</w:t>
            </w:r>
            <w:r>
              <w:t>）即</w:t>
            </w:r>
            <w:r>
              <w:t>Poly Chlorinated Dibenzo-P-Dioxins</w:t>
            </w:r>
            <w:r>
              <w:t>，略写成</w:t>
            </w:r>
            <w:r>
              <w:t>PCDDs</w:t>
            </w:r>
            <w:r>
              <w:t>。二噁英类是指含有两个或一个氧键联结两个苯环的含氯有机化合物。由于氯原子在</w:t>
            </w:r>
            <w:r>
              <w:t>1-9</w:t>
            </w:r>
            <w:r>
              <w:t>的取代位置不同，构成</w:t>
            </w:r>
            <w:r>
              <w:t>75</w:t>
            </w:r>
            <w:r>
              <w:t>种异构体多氯代二苯（</w:t>
            </w:r>
            <w:r>
              <w:t xml:space="preserve"> PCDD</w:t>
            </w:r>
            <w:r>
              <w:t>）和</w:t>
            </w:r>
            <w:r>
              <w:t>135</w:t>
            </w:r>
            <w:r>
              <w:t>种异构体二苯并呋喃（</w:t>
            </w:r>
            <w:r>
              <w:t>PCDF</w:t>
            </w:r>
            <w:r>
              <w:t>），通常总称为二噁英类，其中有</w:t>
            </w:r>
            <w:r>
              <w:t>17</w:t>
            </w:r>
            <w:r>
              <w:t>种（</w:t>
            </w:r>
            <w:r>
              <w:t>2</w:t>
            </w:r>
            <w:r>
              <w:t>、</w:t>
            </w:r>
            <w:r>
              <w:t>3</w:t>
            </w:r>
            <w:r>
              <w:t>、</w:t>
            </w:r>
            <w:r>
              <w:t>7</w:t>
            </w:r>
            <w:r>
              <w:t>、</w:t>
            </w:r>
            <w:r>
              <w:t>8</w:t>
            </w:r>
            <w:r>
              <w:t>位被氯取代的）被认为对人类和生物危害最为严重。</w:t>
            </w:r>
          </w:p>
          <w:p w14:paraId="2C9A74F3" w14:textId="77777777" w:rsidR="002E474C" w:rsidRDefault="00000000">
            <w:pPr>
              <w:pStyle w:val="A-"/>
              <w:jc w:val="both"/>
            </w:pPr>
            <w:r>
              <w:rPr>
                <w:spacing w:val="-4"/>
              </w:rPr>
              <w:t>危险特性：</w:t>
            </w:r>
            <w:r>
              <w:t>二噁英类是一种含氯的强毒性有机化学物质，在自然界中几乎不存在，</w:t>
            </w:r>
            <w:r>
              <w:lastRenderedPageBreak/>
              <w:t>只有通过化学合成才能产生，是目前人类创造的最可怕的化学物质。</w:t>
            </w:r>
            <w:r>
              <w:t xml:space="preserve"> 0.1</w:t>
            </w:r>
            <w:r>
              <w:t>克的二噁英类毒量就能致数十人死亡，它可经皮肤、粘膜、呼吸道、消化道进入体内，有致癌、致畸性及生殖毒性，可造成免疫力下降、内分泌紊乱。高浓度的二噁英类可引起人的肝、肾损伤。</w:t>
            </w:r>
          </w:p>
        </w:tc>
      </w:tr>
      <w:tr w:rsidR="002E474C" w14:paraId="161F6728" w14:textId="77777777">
        <w:trPr>
          <w:trHeight w:val="340"/>
          <w:jc w:val="center"/>
        </w:trPr>
        <w:tc>
          <w:tcPr>
            <w:tcW w:w="462" w:type="pct"/>
            <w:vAlign w:val="center"/>
          </w:tcPr>
          <w:p w14:paraId="6196DF7F" w14:textId="77777777" w:rsidR="002E474C" w:rsidRDefault="00000000">
            <w:pPr>
              <w:pStyle w:val="A-"/>
              <w:ind w:leftChars="-50" w:left="-105" w:rightChars="-50" w:right="-105"/>
            </w:pPr>
            <w:r>
              <w:lastRenderedPageBreak/>
              <w:t>氧化镍</w:t>
            </w:r>
          </w:p>
        </w:tc>
        <w:tc>
          <w:tcPr>
            <w:tcW w:w="4538" w:type="pct"/>
            <w:vAlign w:val="center"/>
          </w:tcPr>
          <w:p w14:paraId="7408F156" w14:textId="77777777" w:rsidR="002E474C" w:rsidRDefault="00000000">
            <w:pPr>
              <w:pStyle w:val="A-"/>
              <w:jc w:val="both"/>
            </w:pPr>
            <w:r>
              <w:t>性质：又称一氧化镍（</w:t>
            </w:r>
            <w:r>
              <w:t>nickel monoxide</w:t>
            </w:r>
            <w:r>
              <w:t>）。黑绿色固体，立方晶系。密度</w:t>
            </w:r>
            <w:r>
              <w:t>6.67g/cm</w:t>
            </w:r>
            <w:r>
              <w:rPr>
                <w:vertAlign w:val="superscript"/>
              </w:rPr>
              <w:t>3</w:t>
            </w:r>
            <w:r>
              <w:t>。熔点</w:t>
            </w:r>
            <w:r>
              <w:t>1984℃</w:t>
            </w:r>
            <w:r>
              <w:t>。难溶于水、氨水、强碱性溶液，为碱性氧化物。能溶于强酸。在空气中加热至</w:t>
            </w:r>
            <w:r>
              <w:t>400℃</w:t>
            </w:r>
            <w:r>
              <w:t>，氧化成三氧化二镍。由隔绝空气加热草酸镍、碳酸镍或氢氧化镍制得。可用作陶瓷或玻璃的颜料。</w:t>
            </w:r>
          </w:p>
        </w:tc>
      </w:tr>
      <w:tr w:rsidR="002E474C" w14:paraId="2FE90E93" w14:textId="77777777">
        <w:trPr>
          <w:trHeight w:val="340"/>
          <w:jc w:val="center"/>
        </w:trPr>
        <w:tc>
          <w:tcPr>
            <w:tcW w:w="462" w:type="pct"/>
            <w:vAlign w:val="center"/>
          </w:tcPr>
          <w:p w14:paraId="4DC52732" w14:textId="77777777" w:rsidR="002E474C" w:rsidRDefault="00000000">
            <w:pPr>
              <w:pStyle w:val="A-"/>
              <w:ind w:leftChars="-50" w:left="-105" w:rightChars="-50" w:right="-105"/>
            </w:pPr>
            <w:r>
              <w:t>氯化镍</w:t>
            </w:r>
          </w:p>
        </w:tc>
        <w:tc>
          <w:tcPr>
            <w:tcW w:w="4538" w:type="pct"/>
            <w:vAlign w:val="center"/>
          </w:tcPr>
          <w:p w14:paraId="1F7D95D0" w14:textId="77777777" w:rsidR="002E474C" w:rsidRDefault="00000000">
            <w:pPr>
              <w:pStyle w:val="A-"/>
              <w:jc w:val="both"/>
            </w:pPr>
            <w:r>
              <w:t>性质：黄色鳞状晶体。有潮解性。相对密度</w:t>
            </w:r>
            <w:r>
              <w:t xml:space="preserve"> 3.55</w:t>
            </w:r>
            <w:r>
              <w:t>。在</w:t>
            </w:r>
            <w:r>
              <w:t xml:space="preserve"> 973</w:t>
            </w:r>
            <w:r>
              <w:rPr>
                <w:rFonts w:eastAsia="微软雅黑"/>
              </w:rPr>
              <w:t>℃</w:t>
            </w:r>
            <w:r>
              <w:t>升华。熔点</w:t>
            </w:r>
            <w:r>
              <w:t xml:space="preserve"> 1001</w:t>
            </w:r>
            <w:r>
              <w:rPr>
                <w:rFonts w:eastAsia="微软雅黑"/>
              </w:rPr>
              <w:t>℃</w:t>
            </w:r>
            <w:r>
              <w:t>(</w:t>
            </w:r>
            <w:r>
              <w:t>在封管内</w:t>
            </w:r>
            <w:r>
              <w:t>)</w:t>
            </w:r>
            <w:r>
              <w:t>；溶于水、乙醇、乙二醇和氨水。由六水合物与氯化亚砜回流加热而得。六水合物为绿色单斜晶体，在干空气中风化，在湿空气中潮解，易溶于水、乙醇和氨水，将氧化镍、氢氧化镍或碳酸镍溶解于盐酸中而制得。用于镀镍、制隐显墨水及用作氨吸收剂、化学试剂等。</w:t>
            </w:r>
          </w:p>
        </w:tc>
      </w:tr>
      <w:tr w:rsidR="002E474C" w14:paraId="78B49272" w14:textId="77777777">
        <w:trPr>
          <w:trHeight w:val="340"/>
          <w:jc w:val="center"/>
        </w:trPr>
        <w:tc>
          <w:tcPr>
            <w:tcW w:w="462" w:type="pct"/>
            <w:vAlign w:val="center"/>
          </w:tcPr>
          <w:p w14:paraId="1AE0F838" w14:textId="77777777" w:rsidR="002E474C" w:rsidRDefault="00000000">
            <w:pPr>
              <w:pStyle w:val="A-"/>
            </w:pPr>
            <w:r>
              <w:t>一氧化铅</w:t>
            </w:r>
          </w:p>
        </w:tc>
        <w:tc>
          <w:tcPr>
            <w:tcW w:w="4538" w:type="pct"/>
            <w:vAlign w:val="center"/>
          </w:tcPr>
          <w:p w14:paraId="439F3584" w14:textId="77777777" w:rsidR="002E474C" w:rsidRDefault="00000000">
            <w:pPr>
              <w:pStyle w:val="A-"/>
              <w:jc w:val="both"/>
            </w:pPr>
            <w:r>
              <w:t>英文名称</w:t>
            </w:r>
            <w:r>
              <w:t xml:space="preserve"> Lead oxide</w:t>
            </w:r>
            <w:r>
              <w:t>；</w:t>
            </w:r>
            <w:r>
              <w:t>Lead monoxide</w:t>
            </w:r>
            <w:r>
              <w:t>，别名：黄丹，化学式</w:t>
            </w:r>
            <w:proofErr w:type="spellStart"/>
            <w:r>
              <w:t>PbO</w:t>
            </w:r>
            <w:proofErr w:type="spellEnd"/>
            <w:r>
              <w:t>。有两种变体：</w:t>
            </w:r>
            <w:r>
              <w:t xml:space="preserve"> </w:t>
            </w:r>
            <w:r>
              <w:t>一种是红色四方晶体，又称密陀僧；熔点</w:t>
            </w:r>
            <w:r>
              <w:t xml:space="preserve"> 886°C </w:t>
            </w:r>
            <w:r>
              <w:t>，沸点</w:t>
            </w:r>
            <w:r>
              <w:t xml:space="preserve"> 1472°C </w:t>
            </w:r>
            <w:r>
              <w:t>，密度</w:t>
            </w:r>
            <w:r>
              <w:t xml:space="preserve"> 9.53g/cm3</w:t>
            </w:r>
            <w:r>
              <w:t>。另一种是黄色正交晶体，又称铅黄；熔点</w:t>
            </w:r>
            <w:r>
              <w:t xml:space="preserve"> 886°C </w:t>
            </w:r>
            <w:r>
              <w:t>，沸点</w:t>
            </w:r>
            <w:r>
              <w:t xml:space="preserve"> 1472°C </w:t>
            </w:r>
            <w:r>
              <w:t>，密度</w:t>
            </w:r>
            <w:r>
              <w:t xml:space="preserve"> 8.0 </w:t>
            </w:r>
            <w:r>
              <w:t>克</w:t>
            </w:r>
            <w:r>
              <w:t xml:space="preserve">/cm3 </w:t>
            </w:r>
            <w:r>
              <w:t>两者的转变点为</w:t>
            </w:r>
            <w:r>
              <w:t xml:space="preserve"> 488.5°C </w:t>
            </w:r>
            <w:r>
              <w:t>，低于该温度时，转化作用较缓慢。两者都难溶于水。一氧化铅能溶于酸，生成铅</w:t>
            </w:r>
            <w:r>
              <w:t>(</w:t>
            </w:r>
            <w:r>
              <w:rPr>
                <w:rFonts w:eastAsia="微软雅黑"/>
              </w:rPr>
              <w:t>Ⅱ</w:t>
            </w:r>
            <w:r>
              <w:t>)</w:t>
            </w:r>
            <w:r>
              <w:t>盐；也能微溶于强碱溶液，生成铅</w:t>
            </w:r>
            <w:r>
              <w:t>(</w:t>
            </w:r>
            <w:r>
              <w:rPr>
                <w:rFonts w:eastAsia="微软雅黑"/>
              </w:rPr>
              <w:t>Ⅱ</w:t>
            </w:r>
            <w:r>
              <w:t>)</w:t>
            </w:r>
            <w:r>
              <w:t>酸盐，不溶于水不溶于乙醇，溶于硝酸、乙酸、热碱液在加热下。一氧化铅易被氢、碳、一氧化碳等还原成金属铅。密度：相对密度</w:t>
            </w:r>
            <w:r>
              <w:t>(</w:t>
            </w:r>
            <w:r>
              <w:t>水</w:t>
            </w:r>
            <w:r>
              <w:t xml:space="preserve">=1)9.53 </w:t>
            </w:r>
            <w:r>
              <w:t>稳定性：稳定</w:t>
            </w:r>
          </w:p>
          <w:p w14:paraId="4DD4D322" w14:textId="77777777" w:rsidR="002E474C" w:rsidRDefault="00000000">
            <w:pPr>
              <w:pStyle w:val="A-"/>
              <w:jc w:val="both"/>
            </w:pPr>
            <w:r>
              <w:t>危险标记</w:t>
            </w:r>
            <w:r>
              <w:t xml:space="preserve"> 14(</w:t>
            </w:r>
            <w:r>
              <w:t>有毒品</w:t>
            </w:r>
            <w:r>
              <w:t>)</w:t>
            </w:r>
            <w:r>
              <w:t>主要用途用作颜料、冶金助溶剂、油漆催干剂、橡胶硫化促进剂、杀虫剂等。</w:t>
            </w:r>
          </w:p>
        </w:tc>
      </w:tr>
      <w:tr w:rsidR="002E474C" w14:paraId="2FF14F4F" w14:textId="77777777">
        <w:trPr>
          <w:trHeight w:val="340"/>
          <w:jc w:val="center"/>
        </w:trPr>
        <w:tc>
          <w:tcPr>
            <w:tcW w:w="462" w:type="pct"/>
            <w:vAlign w:val="center"/>
          </w:tcPr>
          <w:p w14:paraId="42630A1D" w14:textId="77777777" w:rsidR="002E474C" w:rsidRDefault="00000000">
            <w:pPr>
              <w:pStyle w:val="A-"/>
            </w:pPr>
            <w:r>
              <w:t>四氯化铅</w:t>
            </w:r>
          </w:p>
        </w:tc>
        <w:tc>
          <w:tcPr>
            <w:tcW w:w="4538" w:type="pct"/>
            <w:vAlign w:val="center"/>
          </w:tcPr>
          <w:p w14:paraId="6C87C72F" w14:textId="77777777" w:rsidR="002E474C" w:rsidRDefault="00000000">
            <w:pPr>
              <w:pStyle w:val="A-"/>
              <w:jc w:val="both"/>
            </w:pPr>
            <w:r>
              <w:t>黄色油状发烟液体；沸点</w:t>
            </w:r>
            <w:r>
              <w:t xml:space="preserve"> 105</w:t>
            </w:r>
            <w:r>
              <w:rPr>
                <w:rFonts w:eastAsia="微软雅黑"/>
              </w:rPr>
              <w:t>℃</w:t>
            </w:r>
            <w:r>
              <w:t>(</w:t>
            </w:r>
            <w:r>
              <w:t>爆炸</w:t>
            </w:r>
            <w:r>
              <w:t>)</w:t>
            </w:r>
            <w:r>
              <w:t>；熔点</w:t>
            </w:r>
            <w:r>
              <w:t>-15</w:t>
            </w:r>
            <w:r>
              <w:rPr>
                <w:rFonts w:eastAsia="微软雅黑"/>
              </w:rPr>
              <w:t>℃</w:t>
            </w:r>
            <w:r>
              <w:t>；溶解性：溶于乙醇、乙醚；</w:t>
            </w:r>
            <w:r>
              <w:t xml:space="preserve"> </w:t>
            </w:r>
            <w:r>
              <w:t>密度：相对密度</w:t>
            </w:r>
            <w:r>
              <w:t>(</w:t>
            </w:r>
            <w:r>
              <w:t>水</w:t>
            </w:r>
            <w:r>
              <w:t>=1)3.18</w:t>
            </w:r>
            <w:r>
              <w:t>；稳定性：稳定；危险标记</w:t>
            </w:r>
            <w:r>
              <w:t xml:space="preserve"> 20(</w:t>
            </w:r>
            <w:r>
              <w:t>酸性腐蚀品</w:t>
            </w:r>
            <w:r>
              <w:t>)</w:t>
            </w:r>
            <w:r>
              <w:t>；主要用途用于有机盐合成侵入途径：吸入、食入。健康危害：四氯化铅遇湿可产生氯化氢对皮肤有刺激作用。危险特性：受高热发生剧烈分解，甚至发生爆炸。遇水反应发热产出有毒的腐蚀性气体。燃烧</w:t>
            </w:r>
            <w:r>
              <w:t>(</w:t>
            </w:r>
            <w:r>
              <w:t>分解</w:t>
            </w:r>
            <w:r>
              <w:t>)</w:t>
            </w:r>
            <w:r>
              <w:t>产物：氯化物、氧化铅。</w:t>
            </w:r>
          </w:p>
        </w:tc>
      </w:tr>
      <w:tr w:rsidR="002E474C" w14:paraId="6BA413E9" w14:textId="77777777">
        <w:trPr>
          <w:trHeight w:val="340"/>
          <w:jc w:val="center"/>
        </w:trPr>
        <w:tc>
          <w:tcPr>
            <w:tcW w:w="462" w:type="pct"/>
            <w:vAlign w:val="center"/>
          </w:tcPr>
          <w:p w14:paraId="577C5FA4" w14:textId="77777777" w:rsidR="002E474C" w:rsidRDefault="00000000">
            <w:pPr>
              <w:pStyle w:val="A-"/>
            </w:pPr>
            <w:r>
              <w:t>砷及其化合物</w:t>
            </w:r>
          </w:p>
        </w:tc>
        <w:tc>
          <w:tcPr>
            <w:tcW w:w="4538" w:type="pct"/>
            <w:vAlign w:val="center"/>
          </w:tcPr>
          <w:p w14:paraId="596DFD87" w14:textId="77777777" w:rsidR="002E474C" w:rsidRDefault="00000000">
            <w:pPr>
              <w:pStyle w:val="A-"/>
              <w:jc w:val="both"/>
            </w:pPr>
            <w:r>
              <w:t>砷（</w:t>
            </w:r>
            <w:r>
              <w:t>As</w:t>
            </w:r>
            <w:r>
              <w:t>）本身毒性不大，但其化合物、盐类和有机化合物都有毒性。砷化合物均有毒性。三价砷比五价砷毒性大，约为</w:t>
            </w:r>
            <w:r>
              <w:t>60</w:t>
            </w:r>
            <w:r>
              <w:t>倍；按化合物性质分为无机砷和有机砷，无机砷毒性强于有机砷。人口服三氧化二砷中毒剂量为</w:t>
            </w:r>
            <w:r>
              <w:t>5</w:t>
            </w:r>
            <w:r>
              <w:t>～</w:t>
            </w:r>
            <w:r>
              <w:t>50mg</w:t>
            </w:r>
            <w:r>
              <w:t>，致死量为</w:t>
            </w:r>
            <w:r>
              <w:t>70</w:t>
            </w:r>
            <w:r>
              <w:t>～</w:t>
            </w:r>
            <w:r>
              <w:t>180mg</w:t>
            </w:r>
            <w:r>
              <w:t>（体重</w:t>
            </w:r>
            <w:r>
              <w:t>70kg</w:t>
            </w:r>
            <w:r>
              <w:t>的人，约为</w:t>
            </w:r>
            <w:r>
              <w:t>0.76</w:t>
            </w:r>
            <w:r>
              <w:t>～</w:t>
            </w:r>
            <w:r>
              <w:t>1.95mg/kg</w:t>
            </w:r>
            <w:r>
              <w:t>，个别敏感者</w:t>
            </w:r>
            <w:r>
              <w:t>1mg</w:t>
            </w:r>
            <w:r>
              <w:t>可中毒，</w:t>
            </w:r>
            <w:r>
              <w:t>20mg</w:t>
            </w:r>
            <w:r>
              <w:t>可致死，但也有口服</w:t>
            </w:r>
            <w:r>
              <w:t>10g</w:t>
            </w:r>
            <w:r>
              <w:t>以上而获救者）。人吸入三氧化二砷致死浓度为</w:t>
            </w:r>
            <w:r>
              <w:t>0.16mg/m</w:t>
            </w:r>
            <w:r>
              <w:rPr>
                <w:vertAlign w:val="superscript"/>
              </w:rPr>
              <w:t>3</w:t>
            </w:r>
            <w:r>
              <w:t>（吸入</w:t>
            </w:r>
            <w:r>
              <w:t>4h</w:t>
            </w:r>
            <w:r>
              <w:t>），长期少量吸入或口服可产生慢性中毒。在含砷化氢为</w:t>
            </w:r>
            <w:r>
              <w:t>1mg/L</w:t>
            </w:r>
            <w:r>
              <w:t>的空气中，呼吸</w:t>
            </w:r>
            <w:r>
              <w:t>5</w:t>
            </w:r>
            <w:r>
              <w:t>～</w:t>
            </w:r>
            <w:r>
              <w:t>10</w:t>
            </w:r>
            <w:r>
              <w:t>分钟，可发生致命性中毒。</w:t>
            </w:r>
          </w:p>
        </w:tc>
      </w:tr>
      <w:tr w:rsidR="002E474C" w14:paraId="31A3DCA1" w14:textId="77777777">
        <w:trPr>
          <w:trHeight w:val="340"/>
          <w:jc w:val="center"/>
        </w:trPr>
        <w:tc>
          <w:tcPr>
            <w:tcW w:w="462" w:type="pct"/>
            <w:vAlign w:val="center"/>
          </w:tcPr>
          <w:p w14:paraId="109CB2C1" w14:textId="77777777" w:rsidR="002E474C" w:rsidRDefault="00000000">
            <w:pPr>
              <w:pStyle w:val="A-"/>
            </w:pPr>
            <w:r>
              <w:t>镍及其化合物</w:t>
            </w:r>
          </w:p>
        </w:tc>
        <w:tc>
          <w:tcPr>
            <w:tcW w:w="4538" w:type="pct"/>
            <w:vAlign w:val="center"/>
          </w:tcPr>
          <w:p w14:paraId="6682592C" w14:textId="77777777" w:rsidR="002E474C" w:rsidRDefault="00000000">
            <w:pPr>
              <w:pStyle w:val="A-"/>
              <w:jc w:val="both"/>
            </w:pPr>
            <w:r>
              <w:t>金属镍几乎没有急性毒性，一般的镍盐毒性也较低，但羰基镍却能产生很强的毒性。羰基镍以蒸气形式迅速由呼吸道吸收，也能由皮肤少量吸收，前者是作业环境中毒物侵入人体的主要途径。羰基镍在浓度为</w:t>
            </w:r>
            <w:r>
              <w:t>3.5μg/m3</w:t>
            </w:r>
            <w:r>
              <w:t>时就会使人感到有如灯烟的臭味，低浓度时人有不适感觉。吸收羰基镍后可引起急性中毒，</w:t>
            </w:r>
            <w:r>
              <w:t>10</w:t>
            </w:r>
            <w:r>
              <w:t>分钟左右就会出现初期症状，如：头晕、头疼、步态不稳，有时恶心、呕吐、胸闷；后期症状是在接触</w:t>
            </w:r>
            <w:r>
              <w:t>12</w:t>
            </w:r>
            <w:r>
              <w:t>至</w:t>
            </w:r>
            <w:r>
              <w:t>36</w:t>
            </w:r>
            <w:r>
              <w:t>小时后再次出现恶心、呕吐、高烧、呼吸困难、胸部疼痛等。接触高浓度时发生急性化学肺炎，最终出现肺水肿和呼吸道循环衰竭而致死亡接触致死量时，事故发生后</w:t>
            </w:r>
            <w:r>
              <w:t>4</w:t>
            </w:r>
            <w:r>
              <w:t>至</w:t>
            </w:r>
            <w:r>
              <w:t>11</w:t>
            </w:r>
            <w:r>
              <w:t>日死亡。人的镍中毒特有症状是皮肤炎、呼吸器官障碍及呼吸道癌。致突变性：肿瘤性转化：仓鼠胚胎</w:t>
            </w:r>
            <w:r>
              <w:t>5µmol/L</w:t>
            </w:r>
            <w:r>
              <w:t>。生殖毒性：大鼠经口最低中毒剂量（</w:t>
            </w:r>
            <w:r>
              <w:t>TDL0</w:t>
            </w:r>
            <w:r>
              <w:t>）：</w:t>
            </w:r>
            <w:r>
              <w:t>158mg/kg</w:t>
            </w:r>
            <w:r>
              <w:t>（多代用），胚胎中毒，胎鼠死亡。致癌性：</w:t>
            </w:r>
            <w:r>
              <w:t>IARC</w:t>
            </w:r>
            <w:r>
              <w:t>致癌性评论：动物为阳性反应。急性毒性</w:t>
            </w:r>
            <w:r>
              <w:t xml:space="preserve"> </w:t>
            </w:r>
            <w:r>
              <w:t>（腹腔）</w:t>
            </w:r>
            <w:r>
              <w:t>LD50</w:t>
            </w:r>
            <w:r>
              <w:t>啮齿动物</w:t>
            </w:r>
            <w:r>
              <w:t xml:space="preserve"> - </w:t>
            </w:r>
            <w:r>
              <w:t>大鼠</w:t>
            </w:r>
            <w:r>
              <w:t>250 mg/kg</w:t>
            </w:r>
            <w:r>
              <w:t>。</w:t>
            </w:r>
          </w:p>
        </w:tc>
      </w:tr>
      <w:tr w:rsidR="002E474C" w14:paraId="455D20BA" w14:textId="77777777">
        <w:trPr>
          <w:trHeight w:val="340"/>
          <w:jc w:val="center"/>
        </w:trPr>
        <w:tc>
          <w:tcPr>
            <w:tcW w:w="462" w:type="pct"/>
            <w:vAlign w:val="center"/>
          </w:tcPr>
          <w:p w14:paraId="7653D8B0" w14:textId="77777777" w:rsidR="002E474C" w:rsidRDefault="00000000">
            <w:pPr>
              <w:pStyle w:val="A-"/>
            </w:pPr>
            <w:r>
              <w:t>铅及其化</w:t>
            </w:r>
            <w:r>
              <w:lastRenderedPageBreak/>
              <w:t>合物</w:t>
            </w:r>
          </w:p>
        </w:tc>
        <w:tc>
          <w:tcPr>
            <w:tcW w:w="4538" w:type="pct"/>
            <w:vAlign w:val="center"/>
          </w:tcPr>
          <w:p w14:paraId="09ACCDBA" w14:textId="77777777" w:rsidR="002E474C" w:rsidRDefault="00000000">
            <w:pPr>
              <w:pStyle w:val="A-"/>
              <w:jc w:val="both"/>
            </w:pPr>
            <w:r>
              <w:lastRenderedPageBreak/>
              <w:t>英文名称</w:t>
            </w:r>
            <w:r>
              <w:t>Lead oxide</w:t>
            </w:r>
            <w:r>
              <w:t>；</w:t>
            </w:r>
            <w:r>
              <w:t>Lead monoxide</w:t>
            </w:r>
            <w:r>
              <w:t>，别名：黄丹，化学式</w:t>
            </w:r>
            <w:proofErr w:type="spellStart"/>
            <w:r>
              <w:t>PbO</w:t>
            </w:r>
            <w:proofErr w:type="spellEnd"/>
            <w:r>
              <w:t>。有两种变体：一种是红色四方晶体，又称密陀僧；熔点</w:t>
            </w:r>
            <w:r>
              <w:t xml:space="preserve">886°C </w:t>
            </w:r>
            <w:r>
              <w:t>，沸点</w:t>
            </w:r>
            <w:r>
              <w:t xml:space="preserve">1472°C </w:t>
            </w:r>
            <w:r>
              <w:t>，密度</w:t>
            </w:r>
            <w:r>
              <w:t>9.53g/cm</w:t>
            </w:r>
            <w:r>
              <w:rPr>
                <w:vertAlign w:val="superscript"/>
              </w:rPr>
              <w:t>3</w:t>
            </w:r>
            <w:r>
              <w:t>。</w:t>
            </w:r>
            <w:r>
              <w:lastRenderedPageBreak/>
              <w:t>另一种是黄色正交晶体，又称铅黄；熔点</w:t>
            </w:r>
            <w:r>
              <w:t xml:space="preserve">886°C </w:t>
            </w:r>
            <w:r>
              <w:t>，沸点</w:t>
            </w:r>
            <w:r>
              <w:t xml:space="preserve">1472°C </w:t>
            </w:r>
            <w:r>
              <w:t>，密度</w:t>
            </w:r>
            <w:r>
              <w:t>8.0</w:t>
            </w:r>
            <w:r>
              <w:t>克</w:t>
            </w:r>
            <w:r>
              <w:t>/cm3</w:t>
            </w:r>
            <w:r>
              <w:t>。两者的转变点为</w:t>
            </w:r>
            <w:r>
              <w:t xml:space="preserve">488.5°C </w:t>
            </w:r>
            <w:r>
              <w:t>，低于该温度时，转化作用较缓慢。两者都难溶于水。一氧化铅能溶于酸，生成铅（</w:t>
            </w:r>
            <w:r>
              <w:t>Ⅱ</w:t>
            </w:r>
            <w:r>
              <w:t>）盐；也能微溶于强碱溶液，生成铅（</w:t>
            </w:r>
            <w:r>
              <w:t>Ⅱ</w:t>
            </w:r>
            <w:r>
              <w:t>）酸盐，不溶于水，不溶于乙醇，溶于硝酸、乙酸、热碱液在加热下。一氧化铅易被氢、碳、一氧化碳等还原成金属铅。密度：相对密度（水</w:t>
            </w:r>
            <w:r>
              <w:t>=1</w:t>
            </w:r>
            <w:r>
              <w:t>）</w:t>
            </w:r>
            <w:r>
              <w:t xml:space="preserve">9.53 </w:t>
            </w:r>
            <w:r>
              <w:t>稳定性：稳定危险标记</w:t>
            </w:r>
            <w:r>
              <w:t>14</w:t>
            </w:r>
            <w:r>
              <w:t>（有毒品）主要用途用作颜料、冶金助溶剂、油漆催干剂、橡胶硫化促进剂、杀虫剂等。铅的</w:t>
            </w:r>
            <w:r>
              <w:t>LD50</w:t>
            </w:r>
            <w:r>
              <w:t>为</w:t>
            </w:r>
            <w:r>
              <w:t>70 mg/kg</w:t>
            </w:r>
            <w:r>
              <w:t>。氧化铅的</w:t>
            </w:r>
            <w:r>
              <w:t>LD50</w:t>
            </w:r>
            <w:r>
              <w:t>为</w:t>
            </w:r>
            <w:r>
              <w:t>250 mg/kg</w:t>
            </w:r>
            <w:r>
              <w:t>。</w:t>
            </w:r>
          </w:p>
        </w:tc>
      </w:tr>
      <w:tr w:rsidR="002E474C" w14:paraId="6E924FCC" w14:textId="77777777">
        <w:trPr>
          <w:trHeight w:val="340"/>
          <w:jc w:val="center"/>
        </w:trPr>
        <w:tc>
          <w:tcPr>
            <w:tcW w:w="462" w:type="pct"/>
            <w:vAlign w:val="center"/>
          </w:tcPr>
          <w:p w14:paraId="20BD5657" w14:textId="77777777" w:rsidR="002E474C" w:rsidRDefault="00000000">
            <w:pPr>
              <w:pStyle w:val="A-"/>
            </w:pPr>
            <w:r>
              <w:lastRenderedPageBreak/>
              <w:t>锰及其化合物</w:t>
            </w:r>
          </w:p>
        </w:tc>
        <w:tc>
          <w:tcPr>
            <w:tcW w:w="4538" w:type="pct"/>
            <w:vAlign w:val="center"/>
          </w:tcPr>
          <w:p w14:paraId="1AA6081F" w14:textId="77777777" w:rsidR="002E474C" w:rsidRDefault="00000000">
            <w:pPr>
              <w:pStyle w:val="A-"/>
              <w:jc w:val="both"/>
            </w:pPr>
            <w:r>
              <w:t>生产干电池需用二氧化锰作为去极剂</w:t>
            </w:r>
            <w:r>
              <w:t xml:space="preserve">; </w:t>
            </w:r>
            <w:r>
              <w:t>玻璃脱色使用二氧化锰</w:t>
            </w:r>
            <w:r>
              <w:t>;</w:t>
            </w:r>
            <w:r>
              <w:t>铬酸锰、硅酸锰及四氧化三锰用作陶瓷或玻璃的颜料</w:t>
            </w:r>
            <w:r>
              <w:t xml:space="preserve">; </w:t>
            </w:r>
            <w:r>
              <w:t>纺织品漂白使用硫酸锰；大鼠的氯化锰经口致死量为</w:t>
            </w:r>
            <w:r>
              <w:t xml:space="preserve"> 500mg/kg</w:t>
            </w:r>
            <w:r>
              <w:t>，</w:t>
            </w:r>
            <w:r>
              <w:t>LD50</w:t>
            </w:r>
            <w:r>
              <w:t>为</w:t>
            </w:r>
            <w:r>
              <w:t>170mg/kg</w:t>
            </w:r>
            <w:r>
              <w:t>。</w:t>
            </w:r>
          </w:p>
        </w:tc>
      </w:tr>
      <w:tr w:rsidR="002E474C" w14:paraId="0E7996EE" w14:textId="77777777">
        <w:trPr>
          <w:trHeight w:val="340"/>
          <w:jc w:val="center"/>
        </w:trPr>
        <w:tc>
          <w:tcPr>
            <w:tcW w:w="462" w:type="pct"/>
            <w:vAlign w:val="center"/>
          </w:tcPr>
          <w:p w14:paraId="7E0C2A56" w14:textId="77777777" w:rsidR="002E474C" w:rsidRDefault="00000000">
            <w:pPr>
              <w:pStyle w:val="A-"/>
            </w:pPr>
            <w:r>
              <w:t>铍及其化合物</w:t>
            </w:r>
          </w:p>
        </w:tc>
        <w:tc>
          <w:tcPr>
            <w:tcW w:w="4538" w:type="pct"/>
            <w:vAlign w:val="center"/>
          </w:tcPr>
          <w:p w14:paraId="33C10E5E" w14:textId="77777777" w:rsidR="002E474C" w:rsidRDefault="00000000">
            <w:pPr>
              <w:pStyle w:val="A-"/>
              <w:jc w:val="both"/>
              <w:rPr>
                <w:spacing w:val="-6"/>
              </w:rPr>
            </w:pPr>
            <w:r>
              <w:rPr>
                <w:spacing w:val="-6"/>
              </w:rPr>
              <w:t>常温下为白色至微黄色、易潮解的针状结晶或粉末，无明显异味，质地疏松，易扬尘，在空气中易吸收水分发生潮解。易溶于水，溶解过程伴随放热，水溶液呈酸性；可溶于乙醇、乙醚、丙酮等有机溶剂，难溶于苯、四氯化碳等非极性溶剂。熔点约</w:t>
            </w:r>
            <w:r>
              <w:rPr>
                <w:spacing w:val="-6"/>
              </w:rPr>
              <w:t>405℃</w:t>
            </w:r>
            <w:r>
              <w:rPr>
                <w:spacing w:val="-6"/>
              </w:rPr>
              <w:t>，沸点约</w:t>
            </w:r>
            <w:r>
              <w:rPr>
                <w:spacing w:val="-6"/>
              </w:rPr>
              <w:t>520℃</w:t>
            </w:r>
            <w:r>
              <w:rPr>
                <w:spacing w:val="-6"/>
              </w:rPr>
              <w:t>，受热易升华，升华后可形成刺激性蒸气，常温下蒸气压较低，不易挥发。常温下化学性质较稳定，不易分解；但遇水、潮湿空气易潮解，生成氢氧化铍和氯化氢；与强碱反应生成铍酸盐和氯化钠，与活泼金属反应可置换出铍单质。密度约</w:t>
            </w:r>
            <w:r>
              <w:rPr>
                <w:spacing w:val="-6"/>
              </w:rPr>
              <w:t>1.89g/cm³</w:t>
            </w:r>
            <w:r>
              <w:rPr>
                <w:spacing w:val="-6"/>
              </w:rPr>
              <w:t>（</w:t>
            </w:r>
            <w:r>
              <w:rPr>
                <w:spacing w:val="-6"/>
              </w:rPr>
              <w:t>25℃</w:t>
            </w:r>
            <w:r>
              <w:rPr>
                <w:spacing w:val="-6"/>
              </w:rPr>
              <w:t>），属于共价化合物，具有一定的腐蚀性，其粉末或蒸气对黏膜有强烈刺激作用。</w:t>
            </w:r>
          </w:p>
          <w:p w14:paraId="1050FFFF" w14:textId="77777777" w:rsidR="002E474C" w:rsidRDefault="00000000">
            <w:pPr>
              <w:pStyle w:val="A-"/>
              <w:jc w:val="both"/>
            </w:pPr>
            <w:r>
              <w:rPr>
                <w:spacing w:val="-4"/>
              </w:rPr>
              <w:t>危险特性：</w:t>
            </w:r>
            <w:r>
              <w:t>无可靠大鼠经口</w:t>
            </w:r>
            <w:r>
              <w:t>LD₅₀</w:t>
            </w:r>
            <w:r>
              <w:t>实测数据，参照无机剧毒化合物惯例及</w:t>
            </w:r>
            <w:r>
              <w:t>HW20</w:t>
            </w:r>
            <w:r>
              <w:t>含铍废物核算原则，保守取值</w:t>
            </w:r>
            <w:proofErr w:type="spellStart"/>
            <w:r>
              <w:t>ATEi</w:t>
            </w:r>
            <w:proofErr w:type="spellEnd"/>
            <w:r>
              <w:t>（经口急性毒性估计值）为</w:t>
            </w:r>
            <w:r>
              <w:t>2000mg/kg</w:t>
            </w:r>
            <w:r>
              <w:t>，对应急性毒性分类为类别</w:t>
            </w:r>
            <w:r>
              <w:t>4</w:t>
            </w:r>
            <w:r>
              <w:t>（低毒）；少量经口、经皮接触或吸入其粉尘</w:t>
            </w:r>
            <w:r>
              <w:t>/</w:t>
            </w:r>
            <w:r>
              <w:t>蒸气，可能引发恶心、呕吐、黏膜刺激等轻微至中度中毒症状，大量接触可导致严重中毒。</w:t>
            </w:r>
          </w:p>
        </w:tc>
      </w:tr>
      <w:tr w:rsidR="002E474C" w14:paraId="27C563B7" w14:textId="77777777">
        <w:trPr>
          <w:trHeight w:val="340"/>
          <w:jc w:val="center"/>
        </w:trPr>
        <w:tc>
          <w:tcPr>
            <w:tcW w:w="462" w:type="pct"/>
            <w:vAlign w:val="center"/>
          </w:tcPr>
          <w:p w14:paraId="699FF243" w14:textId="77777777" w:rsidR="002E474C" w:rsidRDefault="00000000">
            <w:pPr>
              <w:pStyle w:val="A-"/>
            </w:pPr>
            <w:r>
              <w:t>铊及其化合物</w:t>
            </w:r>
          </w:p>
        </w:tc>
        <w:tc>
          <w:tcPr>
            <w:tcW w:w="4538" w:type="pct"/>
            <w:vAlign w:val="center"/>
          </w:tcPr>
          <w:p w14:paraId="381DF152" w14:textId="77777777" w:rsidR="002E474C" w:rsidRDefault="00000000">
            <w:pPr>
              <w:pStyle w:val="A-"/>
              <w:jc w:val="both"/>
              <w:rPr>
                <w:spacing w:val="-6"/>
              </w:rPr>
            </w:pPr>
            <w:r>
              <w:rPr>
                <w:spacing w:val="-6"/>
              </w:rPr>
              <w:t>带兰光白色，富延展性，质软的重金属。元素符号</w:t>
            </w:r>
            <w:r>
              <w:rPr>
                <w:spacing w:val="-6"/>
              </w:rPr>
              <w:t xml:space="preserve"> Tl</w:t>
            </w:r>
            <w:r>
              <w:rPr>
                <w:spacing w:val="-6"/>
              </w:rPr>
              <w:t>。原子量</w:t>
            </w:r>
            <w:r>
              <w:rPr>
                <w:spacing w:val="-6"/>
              </w:rPr>
              <w:t xml:space="preserve"> 204.39</w:t>
            </w:r>
            <w:r>
              <w:rPr>
                <w:spacing w:val="-6"/>
              </w:rPr>
              <w:t>。相对密度</w:t>
            </w:r>
            <w:r>
              <w:rPr>
                <w:spacing w:val="-6"/>
              </w:rPr>
              <w:t xml:space="preserve"> 11.58. </w:t>
            </w:r>
            <w:r>
              <w:rPr>
                <w:spacing w:val="-6"/>
              </w:rPr>
              <w:t>熔点</w:t>
            </w:r>
            <w:r>
              <w:rPr>
                <w:spacing w:val="-6"/>
              </w:rPr>
              <w:t xml:space="preserve"> 303.5</w:t>
            </w:r>
            <w:r>
              <w:rPr>
                <w:rFonts w:eastAsia="微软雅黑"/>
                <w:spacing w:val="-6"/>
              </w:rPr>
              <w:t>℃</w:t>
            </w:r>
            <w:r>
              <w:rPr>
                <w:spacing w:val="-6"/>
              </w:rPr>
              <w:t>。沸点</w:t>
            </w:r>
            <w:r>
              <w:rPr>
                <w:spacing w:val="-6"/>
              </w:rPr>
              <w:t xml:space="preserve"> 1457</w:t>
            </w:r>
            <w:r>
              <w:rPr>
                <w:rFonts w:eastAsia="微软雅黑"/>
                <w:spacing w:val="-6"/>
              </w:rPr>
              <w:t>℃</w:t>
            </w:r>
            <w:r>
              <w:rPr>
                <w:spacing w:val="-6"/>
              </w:rPr>
              <w:t>。蒸气压</w:t>
            </w:r>
            <w:r>
              <w:rPr>
                <w:spacing w:val="-6"/>
              </w:rPr>
              <w:t xml:space="preserve"> 0.13kPa(1mmHg825</w:t>
            </w:r>
            <w:r>
              <w:rPr>
                <w:rFonts w:eastAsia="微软雅黑"/>
                <w:spacing w:val="-6"/>
              </w:rPr>
              <w:t>℃</w:t>
            </w:r>
            <w:r>
              <w:rPr>
                <w:spacing w:val="-6"/>
              </w:rPr>
              <w:t>)</w:t>
            </w:r>
            <w:r>
              <w:rPr>
                <w:spacing w:val="-6"/>
              </w:rPr>
              <w:t>。不溶于水</w:t>
            </w:r>
            <w:r>
              <w:rPr>
                <w:spacing w:val="-6"/>
              </w:rPr>
              <w:t xml:space="preserve">; </w:t>
            </w:r>
            <w:r>
              <w:rPr>
                <w:spacing w:val="-6"/>
              </w:rPr>
              <w:t>溶于硝酸及硫酸。天然同位素：</w:t>
            </w:r>
            <w:r>
              <w:rPr>
                <w:spacing w:val="-6"/>
              </w:rPr>
              <w:t>203(29.50%)</w:t>
            </w:r>
            <w:r>
              <w:rPr>
                <w:spacing w:val="-6"/>
              </w:rPr>
              <w:t>、</w:t>
            </w:r>
            <w:r>
              <w:rPr>
                <w:spacing w:val="-6"/>
              </w:rPr>
              <w:t>205(70.50%)</w:t>
            </w:r>
            <w:r>
              <w:rPr>
                <w:spacing w:val="-6"/>
              </w:rPr>
              <w:t>。置于空气中则被氧化，表面形成厚的氧化膜。在</w:t>
            </w:r>
            <w:r>
              <w:rPr>
                <w:spacing w:val="-6"/>
              </w:rPr>
              <w:t xml:space="preserve"> 174</w:t>
            </w:r>
            <w:r>
              <w:rPr>
                <w:rFonts w:eastAsia="微软雅黑"/>
                <w:spacing w:val="-6"/>
              </w:rPr>
              <w:t>℃</w:t>
            </w:r>
            <w:r>
              <w:rPr>
                <w:spacing w:val="-6"/>
              </w:rPr>
              <w:t>开始挥发。粉尘遇热、明火会烧</w:t>
            </w:r>
            <w:r>
              <w:rPr>
                <w:spacing w:val="-6"/>
              </w:rPr>
              <w:t xml:space="preserve">; </w:t>
            </w:r>
            <w:r>
              <w:rPr>
                <w:spacing w:val="-6"/>
              </w:rPr>
              <w:t>首先成灰色，接着变成兰黑色氧化膜。</w:t>
            </w:r>
          </w:p>
          <w:p w14:paraId="6FBFAFBA" w14:textId="77777777" w:rsidR="002E474C" w:rsidRDefault="00000000">
            <w:pPr>
              <w:pStyle w:val="A-"/>
              <w:jc w:val="both"/>
            </w:pPr>
            <w:r>
              <w:rPr>
                <w:spacing w:val="-4"/>
              </w:rPr>
              <w:t>危险特性：</w:t>
            </w:r>
            <w:r>
              <w:t>与氟发生剧烈反应。与硝酸、硫酸反应</w:t>
            </w:r>
            <w:r>
              <w:t xml:space="preserve">; </w:t>
            </w:r>
            <w:r>
              <w:t>与盐酸铊可由呼吸道、皮肤和消化道吸收。人</w:t>
            </w:r>
            <w:r>
              <w:t>(</w:t>
            </w:r>
            <w:r>
              <w:t>男性</w:t>
            </w:r>
            <w:r>
              <w:t>)</w:t>
            </w:r>
            <w:r>
              <w:t>经口</w:t>
            </w:r>
            <w:r>
              <w:t xml:space="preserve"> </w:t>
            </w:r>
            <w:proofErr w:type="spellStart"/>
            <w:r>
              <w:t>TDLo</w:t>
            </w:r>
            <w:proofErr w:type="spellEnd"/>
            <w:r>
              <w:t>：</w:t>
            </w:r>
            <w:r>
              <w:t xml:space="preserve"> 5714 µg /kg</w:t>
            </w:r>
            <w:r>
              <w:t>。碳酸铊、硫酸铊和氯化铊的小鼠经口</w:t>
            </w:r>
            <w:r>
              <w:t xml:space="preserve"> LD50  </w:t>
            </w:r>
            <w:r>
              <w:t>为</w:t>
            </w:r>
            <w:r>
              <w:t xml:space="preserve"> 21</w:t>
            </w:r>
            <w:r>
              <w:t>、</w:t>
            </w:r>
            <w:r>
              <w:t>23.5</w:t>
            </w:r>
            <w:r>
              <w:t>、</w:t>
            </w:r>
            <w:r>
              <w:t>23.7mg/m</w:t>
            </w:r>
            <w:r>
              <w:rPr>
                <w:vertAlign w:val="superscript"/>
              </w:rPr>
              <w:t>3</w:t>
            </w:r>
            <w:r>
              <w:t>。</w:t>
            </w:r>
          </w:p>
        </w:tc>
      </w:tr>
      <w:tr w:rsidR="002E474C" w14:paraId="0587047F" w14:textId="77777777">
        <w:trPr>
          <w:trHeight w:val="340"/>
          <w:jc w:val="center"/>
        </w:trPr>
        <w:tc>
          <w:tcPr>
            <w:tcW w:w="462" w:type="pct"/>
            <w:vAlign w:val="center"/>
          </w:tcPr>
          <w:p w14:paraId="5A8F21BF" w14:textId="77777777" w:rsidR="002E474C" w:rsidRDefault="00000000">
            <w:pPr>
              <w:pStyle w:val="A-"/>
            </w:pPr>
            <w:r>
              <w:t>锑及其化合物</w:t>
            </w:r>
          </w:p>
        </w:tc>
        <w:tc>
          <w:tcPr>
            <w:tcW w:w="4538" w:type="pct"/>
            <w:vAlign w:val="center"/>
          </w:tcPr>
          <w:p w14:paraId="400E740E" w14:textId="77777777" w:rsidR="002E474C" w:rsidRDefault="00000000">
            <w:pPr>
              <w:pStyle w:val="A-"/>
              <w:jc w:val="both"/>
            </w:pPr>
            <w:r>
              <w:t>元素符号</w:t>
            </w:r>
            <w:r>
              <w:t xml:space="preserve"> Sb</w:t>
            </w:r>
            <w:r>
              <w:t>。原子量</w:t>
            </w:r>
            <w:r>
              <w:t xml:space="preserve"> 121.75</w:t>
            </w:r>
            <w:r>
              <w:t>。相对密度</w:t>
            </w:r>
            <w:r>
              <w:t xml:space="preserve"> 6.684(25</w:t>
            </w:r>
            <w:r>
              <w:rPr>
                <w:rFonts w:eastAsia="微软雅黑"/>
              </w:rPr>
              <w:t>℃</w:t>
            </w:r>
            <w:r>
              <w:t>)</w:t>
            </w:r>
            <w:r>
              <w:t>。熔点</w:t>
            </w:r>
            <w:r>
              <w:t xml:space="preserve"> 630</w:t>
            </w:r>
            <w:r>
              <w:rPr>
                <w:rFonts w:eastAsia="微软雅黑"/>
              </w:rPr>
              <w:t>℃</w:t>
            </w:r>
            <w:r>
              <w:t>。沸点</w:t>
            </w:r>
            <w:r>
              <w:t xml:space="preserve"> 1635</w:t>
            </w:r>
            <w:r>
              <w:rPr>
                <w:rFonts w:eastAsia="微软雅黑"/>
              </w:rPr>
              <w:t>℃</w:t>
            </w:r>
            <w:r>
              <w:t xml:space="preserve"> </w:t>
            </w:r>
            <w:r>
              <w:t>蒸气压</w:t>
            </w:r>
            <w:r>
              <w:t>0.13kPa(1mmHg886</w:t>
            </w:r>
            <w:r>
              <w:rPr>
                <w:rFonts w:eastAsia="微软雅黑"/>
              </w:rPr>
              <w:t>℃</w:t>
            </w:r>
            <w:r>
              <w:t>)</w:t>
            </w:r>
            <w:r>
              <w:t>。不溶于水。锑尘和蒸气遇热、明火会烧。燃烧有兰白色火焰，加热到</w:t>
            </w:r>
            <w:r>
              <w:t xml:space="preserve"> 900</w:t>
            </w:r>
            <w:r>
              <w:rPr>
                <w:rFonts w:eastAsia="微软雅黑"/>
              </w:rPr>
              <w:t>℃</w:t>
            </w:r>
            <w:r>
              <w:t>时即可产生带有蒜味的烟雾。锑尘遇明火会爆炸。元素锑的毒性大于锑化合物</w:t>
            </w:r>
            <w:r>
              <w:t xml:space="preserve">; </w:t>
            </w:r>
            <w:r>
              <w:t>三价锑毒性大于五价锑</w:t>
            </w:r>
            <w:r>
              <w:t xml:space="preserve">; </w:t>
            </w:r>
            <w:r>
              <w:t>锑的硫化物毒性大于氧化物。毒性大小的顺序大致是</w:t>
            </w:r>
            <w:r>
              <w:t xml:space="preserve"> Sb &gt; Sb</w:t>
            </w:r>
            <w:r>
              <w:rPr>
                <w:vertAlign w:val="subscript"/>
              </w:rPr>
              <w:t>2</w:t>
            </w:r>
            <w:r>
              <w:t>S</w:t>
            </w:r>
            <w:r>
              <w:rPr>
                <w:vertAlign w:val="subscript"/>
              </w:rPr>
              <w:t>3</w:t>
            </w:r>
            <w:r>
              <w:t xml:space="preserve"> &gt; Sb</w:t>
            </w:r>
            <w:r>
              <w:rPr>
                <w:vertAlign w:val="subscript"/>
              </w:rPr>
              <w:t>2</w:t>
            </w:r>
            <w:r>
              <w:t>S</w:t>
            </w:r>
            <w:r>
              <w:rPr>
                <w:vertAlign w:val="subscript"/>
              </w:rPr>
              <w:t>5</w:t>
            </w:r>
            <w:r>
              <w:t xml:space="preserve"> &gt; Sb</w:t>
            </w:r>
            <w:r>
              <w:rPr>
                <w:vertAlign w:val="subscript"/>
              </w:rPr>
              <w:t>2</w:t>
            </w:r>
            <w:r>
              <w:t>O</w:t>
            </w:r>
            <w:r>
              <w:rPr>
                <w:vertAlign w:val="subscript"/>
              </w:rPr>
              <w:t>3</w:t>
            </w:r>
            <w:r>
              <w:t xml:space="preserve"> &gt; Sb</w:t>
            </w:r>
            <w:r>
              <w:rPr>
                <w:vertAlign w:val="subscript"/>
              </w:rPr>
              <w:t>2</w:t>
            </w:r>
            <w:r>
              <w:t>O</w:t>
            </w:r>
            <w:r>
              <w:rPr>
                <w:vertAlign w:val="subscript"/>
              </w:rPr>
              <w:t xml:space="preserve">5 </w:t>
            </w:r>
            <w:r>
              <w:t>。金属锑大鼠经口</w:t>
            </w:r>
            <w:r>
              <w:t xml:space="preserve"> LD50</w:t>
            </w:r>
            <w:r>
              <w:t>：</w:t>
            </w:r>
            <w:r>
              <w:t xml:space="preserve"> 7gm/kg</w:t>
            </w:r>
            <w:r>
              <w:t>。腹腔</w:t>
            </w:r>
            <w:r>
              <w:t xml:space="preserve"> LD50 </w:t>
            </w:r>
            <w:r>
              <w:t>，大鼠为</w:t>
            </w:r>
            <w:r>
              <w:t xml:space="preserve"> 100mg/kg </w:t>
            </w:r>
            <w:r>
              <w:t>，豚鼠为</w:t>
            </w:r>
            <w:r>
              <w:t xml:space="preserve"> 150mg/kg</w:t>
            </w:r>
            <w:r>
              <w:t>。</w:t>
            </w:r>
          </w:p>
        </w:tc>
      </w:tr>
      <w:tr w:rsidR="002E474C" w14:paraId="2B686C6A" w14:textId="77777777">
        <w:trPr>
          <w:trHeight w:val="340"/>
          <w:jc w:val="center"/>
        </w:trPr>
        <w:tc>
          <w:tcPr>
            <w:tcW w:w="462" w:type="pct"/>
            <w:vAlign w:val="center"/>
          </w:tcPr>
          <w:p w14:paraId="27C43396" w14:textId="77777777" w:rsidR="002E474C" w:rsidRDefault="00000000">
            <w:pPr>
              <w:pStyle w:val="A-"/>
            </w:pPr>
            <w:r>
              <w:t>汞</w:t>
            </w:r>
          </w:p>
        </w:tc>
        <w:tc>
          <w:tcPr>
            <w:tcW w:w="4538" w:type="pct"/>
            <w:vAlign w:val="center"/>
          </w:tcPr>
          <w:p w14:paraId="2CFBC4DB" w14:textId="77777777" w:rsidR="002E474C" w:rsidRDefault="00000000">
            <w:pPr>
              <w:pStyle w:val="A-"/>
              <w:jc w:val="both"/>
            </w:pPr>
            <w:r>
              <w:t>理化特性：银白色液态金属，在常温下可挥发，洒落可形成小水珠。相对密度为</w:t>
            </w:r>
            <w:r>
              <w:t>13.55</w:t>
            </w:r>
            <w:r>
              <w:t>；熔点为</w:t>
            </w:r>
            <w:r>
              <w:t>-38.9</w:t>
            </w:r>
            <w:r>
              <w:rPr>
                <w:rFonts w:eastAsia="微软雅黑"/>
              </w:rPr>
              <w:t>℃</w:t>
            </w:r>
            <w:r>
              <w:t>；沸点为</w:t>
            </w:r>
            <w:r>
              <w:t xml:space="preserve"> 356.9</w:t>
            </w:r>
            <w:r>
              <w:rPr>
                <w:rFonts w:eastAsia="微软雅黑"/>
              </w:rPr>
              <w:t>℃</w:t>
            </w:r>
            <w:r>
              <w:t>；蒸汽压为</w:t>
            </w:r>
            <w:r>
              <w:t xml:space="preserve"> 0.13kPa(126.2</w:t>
            </w:r>
            <w:r>
              <w:rPr>
                <w:rFonts w:eastAsia="微软雅黑"/>
              </w:rPr>
              <w:t>℃</w:t>
            </w:r>
            <w:r>
              <w:t>)</w:t>
            </w:r>
            <w:r>
              <w:t>；蒸汽密度为</w:t>
            </w:r>
            <w:r>
              <w:t>7.0</w:t>
            </w:r>
            <w:r>
              <w:t>；不溶于水、盐酸、稀硫酸，溶于浓硝酸，易溶于王水及浓硫酸。</w:t>
            </w:r>
          </w:p>
          <w:p w14:paraId="51BBC459" w14:textId="77777777" w:rsidR="002E474C" w:rsidRDefault="00000000">
            <w:pPr>
              <w:pStyle w:val="A-"/>
              <w:jc w:val="both"/>
            </w:pPr>
            <w:r>
              <w:rPr>
                <w:spacing w:val="-6"/>
              </w:rPr>
              <w:t>危险特性：</w:t>
            </w:r>
            <w:r>
              <w:rPr>
                <w:spacing w:val="-6"/>
              </w:rPr>
              <w:t>LC500.28mg/L</w:t>
            </w:r>
            <w:r>
              <w:rPr>
                <w:spacing w:val="-6"/>
              </w:rPr>
              <w:t>，</w:t>
            </w:r>
            <w:r>
              <w:rPr>
                <w:spacing w:val="-6"/>
              </w:rPr>
              <w:t xml:space="preserve">LD50 </w:t>
            </w:r>
            <w:r>
              <w:rPr>
                <w:spacing w:val="-6"/>
              </w:rPr>
              <w:t>无数据。侵入途径：吸入、食入、经皮吸收。健康危害：急性中毒：病人有头痛、头晕、乏力、多梦、发热等全身症状，并有明显口腔炎表现。可有食欲不振、噁心、腹痛、腹泻等。部分患者皮肤出现红色斑丘疹少数严重者可发生间质性肺炎及肾脏损伤。慢性中毒：</w:t>
            </w:r>
            <w:r>
              <w:rPr>
                <w:spacing w:val="-6"/>
              </w:rPr>
              <w:t xml:space="preserve"> </w:t>
            </w:r>
            <w:r>
              <w:rPr>
                <w:spacing w:val="-6"/>
              </w:rPr>
              <w:t>早出现头痛、头晕、乏力记忆减退等神经衰弱综合征；汞毒性震颤；另外可有口腔炎，少数病人有肝、肾损伤。危险特性：常温下有蒸气挥发，高温下能迅速挥发。与氯酸盐、硝酸盐、热硫酸等混合可发生爆炸。</w:t>
            </w:r>
          </w:p>
        </w:tc>
      </w:tr>
      <w:tr w:rsidR="002E474C" w14:paraId="2578555C" w14:textId="77777777">
        <w:trPr>
          <w:trHeight w:val="340"/>
          <w:jc w:val="center"/>
        </w:trPr>
        <w:tc>
          <w:tcPr>
            <w:tcW w:w="462" w:type="pct"/>
            <w:vAlign w:val="center"/>
          </w:tcPr>
          <w:p w14:paraId="6013EF6E" w14:textId="77777777" w:rsidR="002E474C" w:rsidRDefault="00000000">
            <w:pPr>
              <w:pStyle w:val="A-"/>
            </w:pPr>
            <w:r>
              <w:t>氨</w:t>
            </w:r>
          </w:p>
        </w:tc>
        <w:tc>
          <w:tcPr>
            <w:tcW w:w="4538" w:type="pct"/>
            <w:vAlign w:val="center"/>
          </w:tcPr>
          <w:p w14:paraId="77D52F64" w14:textId="77777777" w:rsidR="002E474C" w:rsidRDefault="00000000">
            <w:pPr>
              <w:pStyle w:val="A-"/>
              <w:jc w:val="both"/>
            </w:pPr>
            <w:r>
              <w:t>无色气体，有强烈的刺激气味。极易溶于水，常温常压下</w:t>
            </w:r>
            <w:r>
              <w:rPr>
                <w:rFonts w:eastAsia="Times New Roman"/>
              </w:rPr>
              <w:t>1</w:t>
            </w:r>
            <w:r>
              <w:t>体积水可溶解</w:t>
            </w:r>
            <w:r>
              <w:rPr>
                <w:rFonts w:eastAsia="Times New Roman"/>
              </w:rPr>
              <w:t>700</w:t>
            </w:r>
            <w:r>
              <w:t>倍体积氨，水溶液又称氨水。密度</w:t>
            </w:r>
            <w:r>
              <w:rPr>
                <w:rFonts w:eastAsia="Times New Roman"/>
              </w:rPr>
              <w:t>0.771kg/m</w:t>
            </w:r>
            <w:r>
              <w:t>3</w:t>
            </w:r>
            <w:r>
              <w:t>，闪点</w:t>
            </w:r>
            <w:r>
              <w:rPr>
                <w:rFonts w:eastAsia="Times New Roman"/>
              </w:rPr>
              <w:t>-54℃</w:t>
            </w:r>
            <w:r>
              <w:t>，沸点</w:t>
            </w:r>
            <w:r>
              <w:rPr>
                <w:rFonts w:eastAsia="Times New Roman"/>
              </w:rPr>
              <w:t>-33.5</w:t>
            </w:r>
            <w:r>
              <w:t xml:space="preserve"> </w:t>
            </w:r>
            <w:r>
              <w:t>摄氏度。</w:t>
            </w:r>
          </w:p>
          <w:p w14:paraId="488806C3" w14:textId="77777777" w:rsidR="002E474C" w:rsidRDefault="00000000">
            <w:pPr>
              <w:pStyle w:val="A-"/>
              <w:jc w:val="both"/>
            </w:pPr>
            <w:r>
              <w:rPr>
                <w:spacing w:val="-4"/>
              </w:rPr>
              <w:t>危险特性：</w:t>
            </w:r>
            <w:r>
              <w:t>吸入后对鼻、喉和肺有刺激性引起咳嗽、气短和哮喘等；可因喉头水</w:t>
            </w:r>
            <w:r>
              <w:lastRenderedPageBreak/>
              <w:t>肿而窒息死亡可发生肺水肿，引起死亡。氨水溅入眼内，可造成严重损害，甚至导致失明；皮肤接触可致灼伤。慢性影响：反复低浓度接触，可引起支气管炎。皮肤反复接触，可致皮炎，表现为皮肤干燥、痒、发红。氨水易分解放出氨气，温度越高，</w:t>
            </w:r>
            <w:r>
              <w:t xml:space="preserve"> </w:t>
            </w:r>
            <w:r>
              <w:t>分解速度越快，可形成爆炸性气体。若遇高热，容器内压增大，有开裂和爆炸的危险。爆炸体积上下限：</w:t>
            </w:r>
            <w:r>
              <w:rPr>
                <w:rFonts w:eastAsia="Times New Roman"/>
              </w:rPr>
              <w:t>16.0~25.0%</w:t>
            </w:r>
            <w:r>
              <w:t>。</w:t>
            </w:r>
          </w:p>
        </w:tc>
      </w:tr>
      <w:tr w:rsidR="002E474C" w14:paraId="09BEE6F7" w14:textId="77777777">
        <w:trPr>
          <w:trHeight w:val="340"/>
          <w:jc w:val="center"/>
        </w:trPr>
        <w:tc>
          <w:tcPr>
            <w:tcW w:w="462" w:type="pct"/>
            <w:vAlign w:val="center"/>
          </w:tcPr>
          <w:p w14:paraId="146F8131" w14:textId="77777777" w:rsidR="002E474C" w:rsidRDefault="00000000">
            <w:pPr>
              <w:pStyle w:val="A-"/>
            </w:pPr>
            <w:r>
              <w:lastRenderedPageBreak/>
              <w:t>废矿物油</w:t>
            </w:r>
          </w:p>
        </w:tc>
        <w:tc>
          <w:tcPr>
            <w:tcW w:w="4538" w:type="pct"/>
            <w:vAlign w:val="center"/>
          </w:tcPr>
          <w:p w14:paraId="14BBF551" w14:textId="77777777" w:rsidR="002E474C" w:rsidRDefault="00000000">
            <w:pPr>
              <w:pStyle w:val="A-"/>
              <w:jc w:val="both"/>
            </w:pPr>
            <w:r>
              <w:t>废矿物油是由多种物质组成的复杂混合物，主要成份有</w:t>
            </w:r>
            <w:r>
              <w:t xml:space="preserve"> C15-C36</w:t>
            </w:r>
            <w:r>
              <w:t>的烷烃、多环芳烃（</w:t>
            </w:r>
            <w:r>
              <w:t>PAHS</w:t>
            </w:r>
            <w:r>
              <w:t>）、烯烃、苯系物、酚类等。一旦进入外环境，将造成严重的环境污染。</w:t>
            </w:r>
          </w:p>
        </w:tc>
      </w:tr>
    </w:tbl>
    <w:p w14:paraId="7BAF5098" w14:textId="77777777" w:rsidR="002E474C" w:rsidRDefault="00000000">
      <w:pPr>
        <w:pStyle w:val="A--"/>
        <w:rPr>
          <w:color w:val="auto"/>
        </w:rPr>
      </w:pPr>
      <w:bookmarkStart w:id="325" w:name="_Ref130479626"/>
      <w:r>
        <w:rPr>
          <w:color w:val="auto"/>
        </w:rPr>
        <w:t>表</w:t>
      </w:r>
      <w:r>
        <w:rPr>
          <w:color w:val="auto"/>
        </w:rPr>
        <w:t>5.8</w:t>
      </w:r>
      <w:r>
        <w:rPr>
          <w:color w:val="auto"/>
        </w:rPr>
        <w:noBreakHyphen/>
        <w:t>7</w:t>
      </w:r>
      <w:bookmarkEnd w:id="325"/>
      <w:r>
        <w:rPr>
          <w:color w:val="auto"/>
        </w:rPr>
        <w:t xml:space="preserve">  </w:t>
      </w:r>
      <w:r>
        <w:rPr>
          <w:color w:val="auto"/>
        </w:rPr>
        <w:t>常用农药理化特性毒性一览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14"/>
        <w:gridCol w:w="1919"/>
        <w:gridCol w:w="1647"/>
        <w:gridCol w:w="1757"/>
        <w:gridCol w:w="1259"/>
      </w:tblGrid>
      <w:tr w:rsidR="002E474C" w14:paraId="56D5746B" w14:textId="77777777">
        <w:trPr>
          <w:tblHeader/>
        </w:trPr>
        <w:tc>
          <w:tcPr>
            <w:tcW w:w="1031" w:type="pct"/>
            <w:shd w:val="clear" w:color="auto" w:fill="auto"/>
            <w:vAlign w:val="center"/>
          </w:tcPr>
          <w:p w14:paraId="0FB3C046" w14:textId="77777777" w:rsidR="002E474C" w:rsidRDefault="00000000">
            <w:pPr>
              <w:pStyle w:val="A-"/>
            </w:pPr>
            <w:r>
              <w:t>类别与主要品种</w:t>
            </w:r>
          </w:p>
        </w:tc>
        <w:tc>
          <w:tcPr>
            <w:tcW w:w="1157" w:type="pct"/>
            <w:shd w:val="clear" w:color="auto" w:fill="auto"/>
            <w:vAlign w:val="center"/>
          </w:tcPr>
          <w:p w14:paraId="7DE3E404" w14:textId="77777777" w:rsidR="002E474C" w:rsidRDefault="00000000">
            <w:pPr>
              <w:pStyle w:val="A-"/>
            </w:pPr>
            <w:r>
              <w:t>理化特性</w:t>
            </w:r>
          </w:p>
        </w:tc>
        <w:tc>
          <w:tcPr>
            <w:tcW w:w="993" w:type="pct"/>
            <w:shd w:val="clear" w:color="auto" w:fill="auto"/>
            <w:vAlign w:val="center"/>
          </w:tcPr>
          <w:p w14:paraId="2AAF5C33" w14:textId="77777777" w:rsidR="002E474C" w:rsidRDefault="00000000">
            <w:pPr>
              <w:pStyle w:val="A-"/>
            </w:pPr>
            <w:r>
              <w:t>毒理</w:t>
            </w:r>
          </w:p>
        </w:tc>
        <w:tc>
          <w:tcPr>
            <w:tcW w:w="1059" w:type="pct"/>
            <w:shd w:val="clear" w:color="auto" w:fill="auto"/>
            <w:vAlign w:val="center"/>
          </w:tcPr>
          <w:p w14:paraId="2470D5FD" w14:textId="77777777" w:rsidR="002E474C" w:rsidRDefault="00000000">
            <w:pPr>
              <w:pStyle w:val="A-"/>
            </w:pPr>
            <w:r>
              <w:t>临床表现</w:t>
            </w:r>
          </w:p>
        </w:tc>
        <w:tc>
          <w:tcPr>
            <w:tcW w:w="759" w:type="pct"/>
            <w:shd w:val="clear" w:color="auto" w:fill="auto"/>
            <w:vAlign w:val="center"/>
          </w:tcPr>
          <w:p w14:paraId="17CE0D00" w14:textId="77777777" w:rsidR="002E474C" w:rsidRDefault="00000000">
            <w:pPr>
              <w:pStyle w:val="A-"/>
            </w:pPr>
            <w:r>
              <w:t>防治</w:t>
            </w:r>
          </w:p>
        </w:tc>
      </w:tr>
      <w:tr w:rsidR="002E474C" w14:paraId="18C75089" w14:textId="77777777">
        <w:tc>
          <w:tcPr>
            <w:tcW w:w="1031" w:type="pct"/>
            <w:shd w:val="clear" w:color="auto" w:fill="auto"/>
            <w:vAlign w:val="center"/>
          </w:tcPr>
          <w:p w14:paraId="55E00848" w14:textId="77777777" w:rsidR="002E474C" w:rsidRDefault="00000000">
            <w:pPr>
              <w:pStyle w:val="A-"/>
            </w:pPr>
            <w:r>
              <w:t>有机磷农药</w:t>
            </w:r>
          </w:p>
        </w:tc>
        <w:tc>
          <w:tcPr>
            <w:tcW w:w="1157" w:type="pct"/>
            <w:shd w:val="clear" w:color="auto" w:fill="auto"/>
            <w:vAlign w:val="center"/>
          </w:tcPr>
          <w:p w14:paraId="0EAAA314" w14:textId="77777777" w:rsidR="002E474C" w:rsidRDefault="00000000">
            <w:pPr>
              <w:pStyle w:val="A-"/>
            </w:pPr>
            <w:r>
              <w:t>有机磷农药大多呈油状或结晶状，工业品呈淡黄色至棕色，除敌百虫和敌敌畏之外，大多是有蒜臭味。一般不溶于水，易溶于有机溶剂如苯、丙酮、乙醚、三氯甲烷及油类，对光、热、氧均较稳定，遇碱易分解破坏。</w:t>
            </w:r>
          </w:p>
        </w:tc>
        <w:tc>
          <w:tcPr>
            <w:tcW w:w="993" w:type="pct"/>
            <w:shd w:val="clear" w:color="auto" w:fill="auto"/>
            <w:vAlign w:val="center"/>
          </w:tcPr>
          <w:p w14:paraId="433EDF7A" w14:textId="77777777" w:rsidR="002E474C" w:rsidRDefault="00000000">
            <w:pPr>
              <w:pStyle w:val="A-"/>
            </w:pPr>
            <w:r>
              <w:t>经消化道、呼吸道及完整的皮肤和粘膜进入人体，在体内分布于各器官，其中以肝脏含量最大，脑内含量则取决于农药穿透血脑屏障的能力。</w:t>
            </w:r>
          </w:p>
        </w:tc>
        <w:tc>
          <w:tcPr>
            <w:tcW w:w="1059" w:type="pct"/>
            <w:shd w:val="clear" w:color="auto" w:fill="auto"/>
            <w:vAlign w:val="center"/>
          </w:tcPr>
          <w:p w14:paraId="5E102169" w14:textId="77777777" w:rsidR="002E474C" w:rsidRDefault="00000000">
            <w:pPr>
              <w:pStyle w:val="A-"/>
              <w:ind w:leftChars="-25" w:left="-53" w:rightChars="-25" w:right="-53"/>
              <w:rPr>
                <w:spacing w:val="-6"/>
              </w:rPr>
            </w:pPr>
            <w:r>
              <w:rPr>
                <w:spacing w:val="-6"/>
              </w:rPr>
              <w:t xml:space="preserve">① </w:t>
            </w:r>
            <w:r>
              <w:rPr>
                <w:spacing w:val="-6"/>
              </w:rPr>
              <w:t>毒蕈碱样症状：恶心、呕吐、腹痛、腹泻、多汗瞳孔缩小、呼吸道分泌增多，</w:t>
            </w:r>
            <w:r>
              <w:rPr>
                <w:spacing w:val="-6"/>
              </w:rPr>
              <w:t>②</w:t>
            </w:r>
            <w:r>
              <w:rPr>
                <w:spacing w:val="-6"/>
              </w:rPr>
              <w:t>烟碱样症状：言语不清，全身震颤，呼吸麻痹。</w:t>
            </w:r>
            <w:r>
              <w:rPr>
                <w:spacing w:val="-6"/>
              </w:rPr>
              <w:t>③</w:t>
            </w:r>
            <w:r>
              <w:rPr>
                <w:spacing w:val="-6"/>
              </w:rPr>
              <w:t>中枢神经症状：头昏、头痛、乏力、烦躁不安，昏迷、抽搐。</w:t>
            </w:r>
          </w:p>
        </w:tc>
        <w:tc>
          <w:tcPr>
            <w:tcW w:w="759" w:type="pct"/>
            <w:shd w:val="clear" w:color="auto" w:fill="auto"/>
            <w:vAlign w:val="center"/>
          </w:tcPr>
          <w:p w14:paraId="2BDEAE09" w14:textId="77777777" w:rsidR="002E474C" w:rsidRDefault="00000000">
            <w:pPr>
              <w:pStyle w:val="A-"/>
            </w:pPr>
            <w:r>
              <w:t>阿托品与复能剂合用</w:t>
            </w:r>
          </w:p>
        </w:tc>
      </w:tr>
      <w:tr w:rsidR="002E474C" w14:paraId="55A8D951" w14:textId="77777777">
        <w:tc>
          <w:tcPr>
            <w:tcW w:w="1031" w:type="pct"/>
            <w:shd w:val="clear" w:color="auto" w:fill="auto"/>
            <w:vAlign w:val="center"/>
          </w:tcPr>
          <w:p w14:paraId="31695344" w14:textId="77777777" w:rsidR="002E474C" w:rsidRDefault="00000000">
            <w:pPr>
              <w:pStyle w:val="A-"/>
            </w:pPr>
            <w:r>
              <w:t>氨基甲酸酯类：西维因</w:t>
            </w:r>
            <w:r>
              <w:t>(N'-</w:t>
            </w:r>
            <w:r>
              <w:t>甲基氨基甲酸</w:t>
            </w:r>
            <w:r>
              <w:t>-1-</w:t>
            </w:r>
            <w:r>
              <w:t>萘酯</w:t>
            </w:r>
            <w:r>
              <w:t>)</w:t>
            </w:r>
          </w:p>
        </w:tc>
        <w:tc>
          <w:tcPr>
            <w:tcW w:w="1157" w:type="pct"/>
            <w:shd w:val="clear" w:color="auto" w:fill="auto"/>
            <w:vAlign w:val="center"/>
          </w:tcPr>
          <w:p w14:paraId="30AC13B9" w14:textId="77777777" w:rsidR="002E474C" w:rsidRDefault="00000000">
            <w:pPr>
              <w:pStyle w:val="A-"/>
            </w:pPr>
            <w:r>
              <w:t>白色晶状固体，熔点</w:t>
            </w:r>
            <w:r>
              <w:t xml:space="preserve"> 142</w:t>
            </w:r>
            <w:r>
              <w:rPr>
                <w:rFonts w:eastAsia="微软雅黑"/>
              </w:rPr>
              <w:t>℃</w:t>
            </w:r>
            <w:r>
              <w:t>，难溶于水，溶于丙酮、苯、乙醇等有机溶剂，对光热及酸性物质稳定，遇碱易破坏。</w:t>
            </w:r>
          </w:p>
        </w:tc>
        <w:tc>
          <w:tcPr>
            <w:tcW w:w="993" w:type="pct"/>
            <w:shd w:val="clear" w:color="auto" w:fill="auto"/>
            <w:vAlign w:val="center"/>
          </w:tcPr>
          <w:p w14:paraId="547D66A4" w14:textId="77777777" w:rsidR="002E474C" w:rsidRDefault="00000000">
            <w:pPr>
              <w:pStyle w:val="A-"/>
            </w:pPr>
            <w:r>
              <w:t>经呼吸道、消化道皮肤吸收，经口中毒为多。在体内胆碱酯酶结合成氨基甲酰化胆碱酶复合体，易水解，</w:t>
            </w:r>
            <w:r>
              <w:t xml:space="preserve"> </w:t>
            </w:r>
            <w:r>
              <w:t>胆碱酯酶复能快。</w:t>
            </w:r>
          </w:p>
        </w:tc>
        <w:tc>
          <w:tcPr>
            <w:tcW w:w="1059" w:type="pct"/>
            <w:shd w:val="clear" w:color="auto" w:fill="auto"/>
            <w:vAlign w:val="center"/>
          </w:tcPr>
          <w:p w14:paraId="69D77186" w14:textId="77777777" w:rsidR="002E474C" w:rsidRDefault="00000000">
            <w:pPr>
              <w:pStyle w:val="A-"/>
              <w:ind w:leftChars="-25" w:left="-53" w:rightChars="-25" w:right="-53"/>
              <w:rPr>
                <w:spacing w:val="-6"/>
              </w:rPr>
            </w:pPr>
            <w:r>
              <w:rPr>
                <w:spacing w:val="-6"/>
              </w:rPr>
              <w:t>有机磷中毒相似，以毒蕈碱样症状与明显，病情较轻，病程较短，恢复较快。</w:t>
            </w:r>
          </w:p>
        </w:tc>
        <w:tc>
          <w:tcPr>
            <w:tcW w:w="759" w:type="pct"/>
            <w:shd w:val="clear" w:color="auto" w:fill="auto"/>
            <w:vAlign w:val="center"/>
          </w:tcPr>
          <w:p w14:paraId="092B1A9E" w14:textId="77777777" w:rsidR="002E474C" w:rsidRDefault="00000000">
            <w:pPr>
              <w:pStyle w:val="A-"/>
            </w:pPr>
            <w:r>
              <w:t>阿托品有效，不可使用肟类复能剂。</w:t>
            </w:r>
          </w:p>
        </w:tc>
      </w:tr>
      <w:tr w:rsidR="002E474C" w14:paraId="788B012F" w14:textId="77777777">
        <w:tc>
          <w:tcPr>
            <w:tcW w:w="1031" w:type="pct"/>
            <w:shd w:val="clear" w:color="auto" w:fill="auto"/>
            <w:vAlign w:val="center"/>
          </w:tcPr>
          <w:p w14:paraId="49A5E1ED" w14:textId="77777777" w:rsidR="002E474C" w:rsidRDefault="00000000">
            <w:pPr>
              <w:pStyle w:val="A-"/>
            </w:pPr>
            <w:r>
              <w:t>甲脒类：杀虫脒〔</w:t>
            </w:r>
            <w:r>
              <w:t>N’-(4-</w:t>
            </w:r>
            <w:r>
              <w:t>氯邻甲苯基）</w:t>
            </w:r>
            <w:r>
              <w:t>-N</w:t>
            </w:r>
            <w:r>
              <w:t>，</w:t>
            </w:r>
            <w:r>
              <w:t>N-</w:t>
            </w:r>
            <w:r>
              <w:t>二甲基甲脒</w:t>
            </w:r>
            <w:r>
              <w:t>)</w:t>
            </w:r>
            <w:r>
              <w:t>〕</w:t>
            </w:r>
          </w:p>
        </w:tc>
        <w:tc>
          <w:tcPr>
            <w:tcW w:w="1157" w:type="pct"/>
            <w:shd w:val="clear" w:color="auto" w:fill="auto"/>
            <w:vAlign w:val="center"/>
          </w:tcPr>
          <w:p w14:paraId="7BD91158" w14:textId="77777777" w:rsidR="002E474C" w:rsidRDefault="00000000">
            <w:pPr>
              <w:pStyle w:val="A-"/>
            </w:pPr>
            <w:r>
              <w:t>基质为白色结</w:t>
            </w:r>
            <w:r>
              <w:t xml:space="preserve"> </w:t>
            </w:r>
            <w:r>
              <w:t>晶，有氨样气味微溶于水，易溶于苯、氯仿、乙烷，弱酸、弱碱中易水解，剂型为乳油。</w:t>
            </w:r>
          </w:p>
        </w:tc>
        <w:tc>
          <w:tcPr>
            <w:tcW w:w="993" w:type="pct"/>
            <w:shd w:val="clear" w:color="auto" w:fill="auto"/>
            <w:vAlign w:val="center"/>
          </w:tcPr>
          <w:p w14:paraId="517B4B6A" w14:textId="77777777" w:rsidR="002E474C" w:rsidRDefault="00000000">
            <w:pPr>
              <w:pStyle w:val="A-"/>
            </w:pPr>
            <w:r>
              <w:rPr>
                <w:spacing w:val="-6"/>
              </w:rPr>
              <w:t>经呼吸道、消化道及皮肤吸收。职业接触，主要经皮肤进入。在体内代谢为对氯磷甲苯胺。引起中枢神经系统先兴奋、后抑制、高铁血红蛋白症及出血性膀胱炎。</w:t>
            </w:r>
          </w:p>
        </w:tc>
        <w:tc>
          <w:tcPr>
            <w:tcW w:w="1059" w:type="pct"/>
            <w:shd w:val="clear" w:color="auto" w:fill="auto"/>
            <w:vAlign w:val="center"/>
          </w:tcPr>
          <w:p w14:paraId="0208F176" w14:textId="77777777" w:rsidR="002E474C" w:rsidRDefault="00000000">
            <w:pPr>
              <w:pStyle w:val="A-"/>
            </w:pPr>
            <w:r>
              <w:t>头昏、头痛、乏力至嗜睡、昏迷、紫绀、尿频、尿急、尿痛和血尿。</w:t>
            </w:r>
          </w:p>
        </w:tc>
        <w:tc>
          <w:tcPr>
            <w:tcW w:w="759" w:type="pct"/>
            <w:shd w:val="clear" w:color="auto" w:fill="auto"/>
            <w:vAlign w:val="center"/>
          </w:tcPr>
          <w:p w14:paraId="2C23E814" w14:textId="77777777" w:rsidR="002E474C" w:rsidRDefault="00000000">
            <w:pPr>
              <w:pStyle w:val="A-"/>
            </w:pPr>
            <w:r>
              <w:t>肥皂水清洗皮肤污染；紫绀者以</w:t>
            </w:r>
            <w:r>
              <w:t>1</w:t>
            </w:r>
            <w:r>
              <w:t>～</w:t>
            </w:r>
            <w:r>
              <w:t xml:space="preserve">2mg/kg </w:t>
            </w:r>
            <w:r>
              <w:t>美蓝加</w:t>
            </w:r>
            <w:r>
              <w:t>50%</w:t>
            </w:r>
            <w:r>
              <w:t>葡萄糖溶液静脉缓注；出血性膀胱炎者用</w:t>
            </w:r>
            <w:r>
              <w:t>5%NaHCO</w:t>
            </w:r>
            <w:r>
              <w:rPr>
                <w:vertAlign w:val="subscript"/>
              </w:rPr>
              <w:t>3</w:t>
            </w:r>
            <w:r>
              <w:t>静脉滴注。</w:t>
            </w:r>
          </w:p>
        </w:tc>
      </w:tr>
      <w:tr w:rsidR="002E474C" w14:paraId="189E5984" w14:textId="77777777">
        <w:tc>
          <w:tcPr>
            <w:tcW w:w="1031" w:type="pct"/>
            <w:shd w:val="clear" w:color="auto" w:fill="auto"/>
            <w:vAlign w:val="center"/>
          </w:tcPr>
          <w:p w14:paraId="07B96894" w14:textId="77777777" w:rsidR="002E474C" w:rsidRDefault="00000000">
            <w:pPr>
              <w:pStyle w:val="A-"/>
            </w:pPr>
            <w:r>
              <w:t>拟除虫菊酯类：氰戊菊酯</w:t>
            </w:r>
            <w:r>
              <w:t>(</w:t>
            </w:r>
            <w:r>
              <w:t>杀灭酯</w:t>
            </w:r>
            <w:r>
              <w:t>)(C</w:t>
            </w:r>
            <w:r>
              <w:rPr>
                <w:vertAlign w:val="subscript"/>
              </w:rPr>
              <w:t>25</w:t>
            </w:r>
            <w:r>
              <w:t>H</w:t>
            </w:r>
            <w:r>
              <w:rPr>
                <w:vertAlign w:val="subscript"/>
              </w:rPr>
              <w:t>22</w:t>
            </w:r>
            <w:r>
              <w:t>ClCNO</w:t>
            </w:r>
            <w:r>
              <w:rPr>
                <w:vertAlign w:val="subscript"/>
              </w:rPr>
              <w:t>3</w:t>
            </w:r>
            <w:r>
              <w:t>)</w:t>
            </w:r>
          </w:p>
        </w:tc>
        <w:tc>
          <w:tcPr>
            <w:tcW w:w="1157" w:type="pct"/>
            <w:shd w:val="clear" w:color="auto" w:fill="auto"/>
            <w:vAlign w:val="center"/>
          </w:tcPr>
          <w:p w14:paraId="6EEDBD05" w14:textId="77777777" w:rsidR="002E474C" w:rsidRDefault="00000000">
            <w:pPr>
              <w:pStyle w:val="A-"/>
            </w:pPr>
            <w:r>
              <w:t>琥珀色粘稠液体，难溶于水，易溶于有机溶剂。</w:t>
            </w:r>
          </w:p>
        </w:tc>
        <w:tc>
          <w:tcPr>
            <w:tcW w:w="993" w:type="pct"/>
            <w:shd w:val="clear" w:color="auto" w:fill="auto"/>
            <w:vAlign w:val="center"/>
          </w:tcPr>
          <w:p w14:paraId="31795F0E" w14:textId="77777777" w:rsidR="002E474C" w:rsidRDefault="00000000">
            <w:pPr>
              <w:pStyle w:val="A-"/>
              <w:ind w:leftChars="-25" w:left="-53" w:rightChars="-25" w:right="-53"/>
              <w:rPr>
                <w:spacing w:val="-6"/>
              </w:rPr>
            </w:pPr>
            <w:r>
              <w:rPr>
                <w:spacing w:val="-6"/>
              </w:rPr>
              <w:t>主要经呼吸道、消化道吸收，其次经皮肤入体。抑制中枢神经系</w:t>
            </w:r>
            <w:r>
              <w:rPr>
                <w:spacing w:val="-6"/>
              </w:rPr>
              <w:t xml:space="preserve">Ca-Mg-ATP </w:t>
            </w:r>
            <w:r>
              <w:rPr>
                <w:spacing w:val="-6"/>
              </w:rPr>
              <w:t>酶活性，使突触后神经兴奋性增高，伴皮肤粘膜刺激的症状。</w:t>
            </w:r>
          </w:p>
        </w:tc>
        <w:tc>
          <w:tcPr>
            <w:tcW w:w="1059" w:type="pct"/>
            <w:shd w:val="clear" w:color="auto" w:fill="auto"/>
            <w:vAlign w:val="center"/>
          </w:tcPr>
          <w:p w14:paraId="184067D7" w14:textId="77777777" w:rsidR="002E474C" w:rsidRDefault="00000000">
            <w:pPr>
              <w:pStyle w:val="A-"/>
              <w:rPr>
                <w:spacing w:val="-6"/>
              </w:rPr>
            </w:pPr>
            <w:r>
              <w:rPr>
                <w:spacing w:val="-6"/>
              </w:rPr>
              <w:t>面部异常感觉，皮肤和呼吸道粘膜</w:t>
            </w:r>
            <w:r>
              <w:rPr>
                <w:spacing w:val="-6"/>
              </w:rPr>
              <w:t xml:space="preserve"> </w:t>
            </w:r>
            <w:r>
              <w:rPr>
                <w:spacing w:val="-6"/>
              </w:rPr>
              <w:t>刺激症状，头昏、头痛、恶心、呕吐肌束震颤、重者阵发性抽搐，意识障碍。</w:t>
            </w:r>
          </w:p>
        </w:tc>
        <w:tc>
          <w:tcPr>
            <w:tcW w:w="759" w:type="pct"/>
            <w:shd w:val="clear" w:color="auto" w:fill="auto"/>
            <w:vAlign w:val="center"/>
          </w:tcPr>
          <w:p w14:paraId="79DC6F14" w14:textId="77777777" w:rsidR="002E474C" w:rsidRDefault="00000000">
            <w:pPr>
              <w:pStyle w:val="A-"/>
            </w:pPr>
            <w:r>
              <w:t>对症处理与支持疗法</w:t>
            </w:r>
          </w:p>
        </w:tc>
      </w:tr>
    </w:tbl>
    <w:p w14:paraId="0DDCCB30" w14:textId="77777777" w:rsidR="002E474C" w:rsidRDefault="002E474C">
      <w:pPr>
        <w:pStyle w:val="w3"/>
      </w:pPr>
    </w:p>
    <w:p w14:paraId="6A6BA6AF" w14:textId="77777777" w:rsidR="002E474C" w:rsidRDefault="00000000">
      <w:pPr>
        <w:pStyle w:val="41"/>
        <w:rPr>
          <w:color w:val="auto"/>
        </w:rPr>
      </w:pPr>
      <w:r>
        <w:rPr>
          <w:color w:val="auto"/>
        </w:rPr>
        <w:lastRenderedPageBreak/>
        <w:t>生产系统危险性识别</w:t>
      </w:r>
    </w:p>
    <w:p w14:paraId="3EE674E5" w14:textId="77777777" w:rsidR="002E474C" w:rsidRDefault="00000000">
      <w:pPr>
        <w:pStyle w:val="A-z"/>
        <w:rPr>
          <w:color w:val="auto"/>
        </w:rPr>
      </w:pPr>
      <w:r>
        <w:rPr>
          <w:color w:val="auto"/>
        </w:rPr>
        <w:t>（</w:t>
      </w:r>
      <w:r>
        <w:rPr>
          <w:color w:val="auto"/>
        </w:rPr>
        <w:t>1</w:t>
      </w:r>
      <w:r>
        <w:rPr>
          <w:color w:val="auto"/>
        </w:rPr>
        <w:t>）生产、储运、运输过程的风险性识别与分析</w:t>
      </w:r>
    </w:p>
    <w:p w14:paraId="2A1F4F8E" w14:textId="77777777" w:rsidR="002E474C" w:rsidRDefault="00000000">
      <w:pPr>
        <w:pStyle w:val="A-z"/>
        <w:rPr>
          <w:color w:val="auto"/>
        </w:rPr>
      </w:pPr>
      <w:r>
        <w:rPr>
          <w:color w:val="auto"/>
        </w:rPr>
        <w:t>1</w:t>
      </w:r>
      <w:r>
        <w:rPr>
          <w:color w:val="auto"/>
        </w:rPr>
        <w:t>）运输过程危险性分析</w:t>
      </w:r>
    </w:p>
    <w:p w14:paraId="0E3BD6AD" w14:textId="77777777" w:rsidR="002E474C" w:rsidRDefault="00000000">
      <w:pPr>
        <w:pStyle w:val="A-z"/>
        <w:rPr>
          <w:color w:val="auto"/>
        </w:rPr>
      </w:pPr>
      <w:r>
        <w:rPr>
          <w:color w:val="auto"/>
        </w:rPr>
        <w:t>运输车辆发生交通事故与各种因素有关，这些因素包括：驾驶员个人因素、运输量、车次、车速、交通量、道路状况等交通条件、道路所在地区气候条件等。危险废物运输必须严格按一定的方式进行，同时应有固定的运输路线。随着运输方式、操作方法的不同，运输危险性程度不同。</w:t>
      </w:r>
    </w:p>
    <w:p w14:paraId="28A76764" w14:textId="77777777" w:rsidR="002E474C" w:rsidRDefault="00000000">
      <w:pPr>
        <w:pStyle w:val="A-z"/>
        <w:rPr>
          <w:color w:val="auto"/>
        </w:rPr>
      </w:pPr>
      <w:r>
        <w:rPr>
          <w:color w:val="auto"/>
        </w:rPr>
        <w:t>本项目委托有资质单位运输涉及的危险废物均有固体和液体，当发生翻车事故时，一旦进入水体，危险废物进入河道会引起水体污染，并对周围人群造成潜在威胁。有害物质迅速扩散形成油膜，可通过扩散、蒸发、溶解、乳化、光降解以及生物降解和吸收等进行迁移、转化。泄漏废液可沾附在鱼鳃上，使鱼窒息，抑制水鸟产卵和孵化，破坏其羽毛的不透水性，降低水产品质量；形成可阻碍水体的复氧作用，影响生物生长，破坏生态平衡。研究表明，危险废物中的有毒有害物质对人的神经系统、泌尿系统、呼吸系统、循环系统、血液系统等都有危害。</w:t>
      </w:r>
    </w:p>
    <w:p w14:paraId="3936382D" w14:textId="77777777" w:rsidR="002E474C" w:rsidRDefault="00000000">
      <w:pPr>
        <w:pStyle w:val="A-z"/>
        <w:rPr>
          <w:color w:val="auto"/>
        </w:rPr>
      </w:pPr>
      <w:r>
        <w:rPr>
          <w:color w:val="auto"/>
        </w:rPr>
        <w:t>此外，当危险废物事故发生在饮用水源区时，可能威胁到饮用水源安全。</w:t>
      </w:r>
    </w:p>
    <w:p w14:paraId="7015EFCF" w14:textId="77777777" w:rsidR="002E474C" w:rsidRDefault="00000000">
      <w:pPr>
        <w:pStyle w:val="A-z"/>
        <w:rPr>
          <w:color w:val="auto"/>
        </w:rPr>
      </w:pPr>
      <w:r>
        <w:rPr>
          <w:color w:val="auto"/>
        </w:rPr>
        <w:t>2</w:t>
      </w:r>
      <w:r>
        <w:rPr>
          <w:color w:val="auto"/>
        </w:rPr>
        <w:t>）生产及储存过程危险性分析</w:t>
      </w:r>
    </w:p>
    <w:p w14:paraId="149DD3C2" w14:textId="77777777" w:rsidR="002E474C" w:rsidRDefault="00000000">
      <w:pPr>
        <w:pStyle w:val="A-z"/>
        <w:rPr>
          <w:color w:val="auto"/>
        </w:rPr>
      </w:pPr>
      <w:r>
        <w:rPr>
          <w:color w:val="auto"/>
        </w:rPr>
        <w:t>根据《水泥窑协同处置固体废物污染控制标准》（</w:t>
      </w:r>
      <w:r>
        <w:rPr>
          <w:color w:val="auto"/>
        </w:rPr>
        <w:t>GB30485-2013</w:t>
      </w:r>
      <w:r>
        <w:rPr>
          <w:color w:val="auto"/>
        </w:rPr>
        <w:t>）、《水泥窑协同处置固体废物污染防治技术政策》、《水泥窑协同处置固体废物环境保护技术规范》（</w:t>
      </w:r>
      <w:r>
        <w:rPr>
          <w:color w:val="auto"/>
        </w:rPr>
        <w:t>HJ662-2013</w:t>
      </w:r>
      <w:r>
        <w:rPr>
          <w:color w:val="auto"/>
        </w:rPr>
        <w:t>）等技术文件要求，当窑温不够、烟气中污染物浓度明显升高时，立即停止投加固体废物的操作，因此生产过程可能的环境风险主要考虑尾气处理装置操作失误或停车，造成尾气直接排放对周边环境造成危害。</w:t>
      </w:r>
    </w:p>
    <w:p w14:paraId="05D18130" w14:textId="77777777" w:rsidR="002E474C" w:rsidRDefault="00000000">
      <w:pPr>
        <w:pStyle w:val="A-z"/>
        <w:rPr>
          <w:color w:val="auto"/>
        </w:rPr>
      </w:pPr>
      <w:r>
        <w:rPr>
          <w:color w:val="auto"/>
        </w:rPr>
        <w:t>采用水泥窑协同处置危险废物，生产过程危废贮存区发生事故类型为泄漏事故。泄漏事故发生的主要原因是装卸过程管道、阀门破损、储罐破损，违章操作，监测系统失灵；危险废物存储场地防渗层破裂，泄漏物质下渗对土壤和地下水造成影响。</w:t>
      </w:r>
    </w:p>
    <w:p w14:paraId="5155BB65" w14:textId="77777777" w:rsidR="002E474C" w:rsidRDefault="00000000">
      <w:pPr>
        <w:pStyle w:val="A-z"/>
        <w:rPr>
          <w:color w:val="auto"/>
        </w:rPr>
      </w:pPr>
      <w:r>
        <w:rPr>
          <w:color w:val="auto"/>
        </w:rPr>
        <w:t>运输过程：危险废物在储运过程中，由于交通事故等原因，危险废物可能会发生泄漏事故，对周围的环境空气、地表水、地下水环境、生态环境可能会产生影响。因此要求运输路线避开居民区、商业区、学校、医院、水源地保护区等环境敏感点，运输车辆和人员必须具有危险品运输资质，并遵守道路交通法律法规。</w:t>
      </w:r>
    </w:p>
    <w:p w14:paraId="6102EAEE" w14:textId="77777777" w:rsidR="002E474C" w:rsidRDefault="00000000">
      <w:pPr>
        <w:pStyle w:val="A-z"/>
        <w:rPr>
          <w:color w:val="auto"/>
        </w:rPr>
      </w:pPr>
      <w:r>
        <w:rPr>
          <w:color w:val="auto"/>
        </w:rPr>
        <w:lastRenderedPageBreak/>
        <w:t>3</w:t>
      </w:r>
      <w:r>
        <w:rPr>
          <w:color w:val="auto"/>
        </w:rPr>
        <w:t>）储存过程：危险废物在暂存过程发生泄漏，当防渗措施不到位会导致污染环境空气、土壤和地下水环境。</w:t>
      </w:r>
    </w:p>
    <w:p w14:paraId="47FB931D" w14:textId="77777777" w:rsidR="002E474C" w:rsidRDefault="00000000">
      <w:pPr>
        <w:pStyle w:val="A-z"/>
        <w:rPr>
          <w:color w:val="auto"/>
        </w:rPr>
      </w:pPr>
      <w:r>
        <w:rPr>
          <w:color w:val="auto"/>
        </w:rPr>
        <w:t>4</w:t>
      </w:r>
      <w:r>
        <w:rPr>
          <w:color w:val="auto"/>
        </w:rPr>
        <w:t>）伴生、次生事故分析</w:t>
      </w:r>
    </w:p>
    <w:p w14:paraId="19479388" w14:textId="77777777" w:rsidR="002E474C" w:rsidRDefault="00000000">
      <w:pPr>
        <w:pStyle w:val="A-z"/>
        <w:rPr>
          <w:color w:val="auto"/>
        </w:rPr>
      </w:pPr>
      <w:r>
        <w:rPr>
          <w:color w:val="auto"/>
        </w:rPr>
        <w:t>本项目处置废物废液、固态和半固态污泥、残渣，无爆炸性。火灾事故的扑救中，会产生大量的消防废水，其中可能含有危废成分。如果该废水经雨水排放系统排放至外界水环境或者下渗，存在地表水体和地下水污染的风险。</w:t>
      </w:r>
    </w:p>
    <w:p w14:paraId="69F393A2" w14:textId="77777777" w:rsidR="002E474C" w:rsidRDefault="00000000">
      <w:pPr>
        <w:pStyle w:val="31"/>
        <w:spacing w:before="120" w:after="120"/>
        <w:rPr>
          <w:color w:val="auto"/>
        </w:rPr>
      </w:pPr>
      <w:r>
        <w:rPr>
          <w:color w:val="auto"/>
        </w:rPr>
        <w:t>环境风险影响分析</w:t>
      </w:r>
    </w:p>
    <w:p w14:paraId="407395C7" w14:textId="77777777" w:rsidR="002E474C" w:rsidRDefault="00000000">
      <w:pPr>
        <w:pStyle w:val="41"/>
        <w:rPr>
          <w:color w:val="auto"/>
        </w:rPr>
      </w:pPr>
      <w:r>
        <w:rPr>
          <w:color w:val="auto"/>
        </w:rPr>
        <w:t>大气环境风险分析</w:t>
      </w:r>
    </w:p>
    <w:p w14:paraId="2D45CAA9" w14:textId="77777777" w:rsidR="002E474C" w:rsidRDefault="00000000">
      <w:pPr>
        <w:pStyle w:val="A-z"/>
        <w:rPr>
          <w:color w:val="auto"/>
        </w:rPr>
      </w:pPr>
      <w:r>
        <w:rPr>
          <w:color w:val="auto"/>
        </w:rPr>
        <w:t>本项目利用现有水泥窑协同处置危险废物，在运营过程中涉及的危险物质种类较多，如在生产过程中，生产设备、环保设施发生故障，由于气体中含有多种有毒有害气体，会对现场操作人员造成伤害并使得厂址周围局部地区大气环境质量出现短时严重恶化。</w:t>
      </w:r>
    </w:p>
    <w:p w14:paraId="697C874A" w14:textId="77777777" w:rsidR="002E474C" w:rsidRDefault="00000000">
      <w:pPr>
        <w:pStyle w:val="41"/>
        <w:rPr>
          <w:color w:val="auto"/>
        </w:rPr>
      </w:pPr>
      <w:r>
        <w:rPr>
          <w:color w:val="auto"/>
        </w:rPr>
        <w:t>水环境风险分析</w:t>
      </w:r>
    </w:p>
    <w:p w14:paraId="695F102D" w14:textId="77777777" w:rsidR="002E474C" w:rsidRDefault="00000000">
      <w:pPr>
        <w:pStyle w:val="A-z"/>
        <w:rPr>
          <w:color w:val="auto"/>
        </w:rPr>
      </w:pPr>
      <w:r>
        <w:rPr>
          <w:color w:val="auto"/>
        </w:rPr>
        <w:t>非正常工况发生后，污染物主要向下游迁移，危废贮存池渗漏情况下预测结果显示，区域地下水为</w:t>
      </w:r>
      <w:r>
        <w:rPr>
          <w:color w:val="auto"/>
        </w:rPr>
        <w:t>100m</w:t>
      </w:r>
      <w:r>
        <w:rPr>
          <w:color w:val="auto"/>
        </w:rPr>
        <w:t>之下的裂隙孔隙承压水，表层砾石土下伏的泥岩和粉砂质泥岩为隔水层能有效保护深部承压含水层。根据</w:t>
      </w:r>
      <w:r>
        <w:rPr>
          <w:color w:val="auto"/>
        </w:rPr>
        <w:t>HYDRUS 1D</w:t>
      </w:r>
      <w:r>
        <w:rPr>
          <w:color w:val="auto"/>
        </w:rPr>
        <w:t>软件预测污染物在包气带中迁移情况分析，废水收集池破损污水长期渗漏情况下，污染物的入渗深度不断加深，但废水将不会达到含水层。</w:t>
      </w:r>
    </w:p>
    <w:p w14:paraId="7EFC7692" w14:textId="77777777" w:rsidR="002E474C" w:rsidRDefault="00000000">
      <w:pPr>
        <w:pStyle w:val="A-z"/>
        <w:rPr>
          <w:color w:val="auto"/>
        </w:rPr>
      </w:pPr>
      <w:r>
        <w:rPr>
          <w:color w:val="auto"/>
        </w:rPr>
        <w:t>一旦发生火灾事故，必须启动消防救援系统。根据火灾性质的不同将使用不同的消防系统，包括泡沫消防和消防水。这样对消防水和消防泡沫的及时处理就成为整个应急系统的重要组成部分，尤其对消防水处理不当就会形成新的水环境风险。本项目设置了事故池，用于收集消防废水或泄漏的液体，避免消防废水或泄漏液体对水环境产生影响。</w:t>
      </w:r>
    </w:p>
    <w:p w14:paraId="365DB248" w14:textId="77777777" w:rsidR="002E474C" w:rsidRDefault="00000000">
      <w:pPr>
        <w:pStyle w:val="41"/>
        <w:rPr>
          <w:color w:val="auto"/>
        </w:rPr>
      </w:pPr>
      <w:r>
        <w:rPr>
          <w:color w:val="auto"/>
        </w:rPr>
        <w:t>土壤环境风险分析</w:t>
      </w:r>
    </w:p>
    <w:p w14:paraId="438D35B8" w14:textId="77777777" w:rsidR="002E474C" w:rsidRDefault="00000000">
      <w:pPr>
        <w:pStyle w:val="A-z"/>
        <w:rPr>
          <w:color w:val="auto"/>
        </w:rPr>
      </w:pPr>
      <w:r>
        <w:rPr>
          <w:color w:val="auto"/>
        </w:rPr>
        <w:t>本项目为利用水泥窑协同处置危险废物项目，生产废水经水泥窑焚烧处置，不外排。因此，项目运行期土壤的废水污染很小；土壤污染将以废气污染型为主。因此，其污染途径主要为大气沉降。</w:t>
      </w:r>
    </w:p>
    <w:p w14:paraId="1B52AB36" w14:textId="77777777" w:rsidR="002E474C" w:rsidRDefault="00000000">
      <w:pPr>
        <w:pStyle w:val="A-z"/>
        <w:rPr>
          <w:color w:val="auto"/>
        </w:rPr>
      </w:pPr>
      <w:r>
        <w:rPr>
          <w:color w:val="auto"/>
        </w:rPr>
        <w:lastRenderedPageBreak/>
        <w:t>根据预测，单位质量土壤中汞、砷、镉、铬、铅、</w:t>
      </w:r>
      <w:r>
        <w:rPr>
          <w:color w:val="auto"/>
        </w:rPr>
        <w:t>COD</w:t>
      </w:r>
      <w:r>
        <w:rPr>
          <w:color w:val="auto"/>
        </w:rPr>
        <w:t>、二噁英类</w:t>
      </w:r>
      <w:r>
        <w:rPr>
          <w:rFonts w:hint="eastAsia"/>
          <w:color w:val="auto"/>
        </w:rPr>
        <w:t>、石油烃</w:t>
      </w:r>
      <w:r>
        <w:rPr>
          <w:color w:val="auto"/>
        </w:rPr>
        <w:t>的预测值均小于《土壤环境质量</w:t>
      </w:r>
      <w:r>
        <w:rPr>
          <w:color w:val="auto"/>
        </w:rPr>
        <w:t xml:space="preserve"> </w:t>
      </w:r>
      <w:r>
        <w:rPr>
          <w:color w:val="auto"/>
        </w:rPr>
        <w:t>建设用地土壤污染风险管控标准（试行）》（</w:t>
      </w:r>
      <w:r>
        <w:rPr>
          <w:color w:val="auto"/>
        </w:rPr>
        <w:t>GB36600-2018</w:t>
      </w:r>
      <w:r>
        <w:rPr>
          <w:color w:val="auto"/>
        </w:rPr>
        <w:t>）中第一类、第二类用地筛选值，因此项目土壤环境影响可以接受。</w:t>
      </w:r>
    </w:p>
    <w:p w14:paraId="4D7F0883" w14:textId="77777777" w:rsidR="002E474C" w:rsidRDefault="00000000">
      <w:pPr>
        <w:pStyle w:val="A-z"/>
        <w:rPr>
          <w:color w:val="auto"/>
        </w:rPr>
      </w:pPr>
      <w:r>
        <w:rPr>
          <w:color w:val="auto"/>
        </w:rPr>
        <w:t>本项目窑尾废气治理措施依托现有水泥厂烟气治理措施，采用</w:t>
      </w:r>
      <w:r>
        <w:rPr>
          <w:color w:val="auto"/>
        </w:rPr>
        <w:t>SNCR+SCR+</w:t>
      </w:r>
      <w:r>
        <w:rPr>
          <w:color w:val="auto"/>
        </w:rPr>
        <w:t>增湿塔（急冷）</w:t>
      </w:r>
      <w:r>
        <w:rPr>
          <w:color w:val="auto"/>
        </w:rPr>
        <w:t>+</w:t>
      </w:r>
      <w:r>
        <w:rPr>
          <w:color w:val="auto"/>
        </w:rPr>
        <w:t>电袋除尘器处理后经</w:t>
      </w:r>
      <w:r>
        <w:rPr>
          <w:color w:val="auto"/>
        </w:rPr>
        <w:t>85m</w:t>
      </w:r>
      <w:r>
        <w:rPr>
          <w:color w:val="auto"/>
        </w:rPr>
        <w:t>烟囱高空排放，减少废气中污染物的排放量，确保尾气排放可以达到排放标准。尾气的治理措施降低污染物的排放，从而减轻因大气尘降对土壤环境产生的影响。</w:t>
      </w:r>
    </w:p>
    <w:p w14:paraId="1D7677E3" w14:textId="77777777" w:rsidR="002E474C" w:rsidRDefault="00000000">
      <w:pPr>
        <w:pStyle w:val="31"/>
        <w:spacing w:before="120" w:after="120"/>
        <w:rPr>
          <w:color w:val="auto"/>
        </w:rPr>
      </w:pPr>
      <w:r>
        <w:rPr>
          <w:color w:val="auto"/>
        </w:rPr>
        <w:t>风险事故情形分析</w:t>
      </w:r>
    </w:p>
    <w:p w14:paraId="64E20153" w14:textId="77777777" w:rsidR="002E474C" w:rsidRDefault="00000000">
      <w:pPr>
        <w:pStyle w:val="A-z"/>
        <w:rPr>
          <w:color w:val="auto"/>
        </w:rPr>
      </w:pPr>
      <w:r>
        <w:rPr>
          <w:color w:val="auto"/>
        </w:rPr>
        <w:t>根据项目风险分析，确定本建项目环境风险的最大可信事故为运输及贮存过程中废液的泄漏事故，危险废物泄漏遇明火发生火灾事故，及项目回转窑管理不当、尾气处理装置发生故障造成污染物超标排放。</w:t>
      </w:r>
    </w:p>
    <w:p w14:paraId="4D59C064" w14:textId="77777777" w:rsidR="002E474C" w:rsidRDefault="00000000">
      <w:pPr>
        <w:pStyle w:val="A-z"/>
        <w:rPr>
          <w:color w:val="auto"/>
        </w:rPr>
      </w:pPr>
      <w:r>
        <w:rPr>
          <w:color w:val="auto"/>
        </w:rPr>
        <w:t>危废运输车辆发生交通事故引起泄漏主要原因是车辆超载、司机违章操作引起的；危险废物泄漏的主要原因是储运设施缺乏维护，造成罐体或管道开裂引起泄漏；废气污染物超标排放主要原因是设备缺乏维护或职工违章操作导致。根据上述三种类型环境风险事故进行风险分析评价。</w:t>
      </w:r>
    </w:p>
    <w:p w14:paraId="0736A41C" w14:textId="77777777" w:rsidR="002E474C" w:rsidRDefault="00000000">
      <w:pPr>
        <w:pStyle w:val="41"/>
        <w:rPr>
          <w:color w:val="auto"/>
        </w:rPr>
      </w:pPr>
      <w:r>
        <w:rPr>
          <w:color w:val="auto"/>
        </w:rPr>
        <w:t>运输过程的环境风险分析</w:t>
      </w:r>
    </w:p>
    <w:p w14:paraId="5642693D" w14:textId="77777777" w:rsidR="002E474C" w:rsidRDefault="00000000">
      <w:pPr>
        <w:pStyle w:val="A-z"/>
        <w:rPr>
          <w:color w:val="auto"/>
        </w:rPr>
      </w:pPr>
      <w:r>
        <w:rPr>
          <w:color w:val="auto"/>
        </w:rPr>
        <w:t>工业危险废物从产生点到项目厂区，必须经过汽车运输过程。工业危险废物的运输是其处理处置过程的首要环节。严格按危险废物的种类进行收集、包装是降低废物运输过程环境影响的关键。本项目要求危险废物承运单位必须具备相应的运输经验，建立完善的管理制度，转运人员具备较高的人员素质。将环境风险发生的情况将至最低。</w:t>
      </w:r>
    </w:p>
    <w:p w14:paraId="4CCC234C" w14:textId="77777777" w:rsidR="002E474C" w:rsidRDefault="00000000">
      <w:pPr>
        <w:pStyle w:val="A-z"/>
        <w:rPr>
          <w:color w:val="auto"/>
        </w:rPr>
      </w:pPr>
      <w:r>
        <w:rPr>
          <w:color w:val="auto"/>
        </w:rPr>
        <w:t>优化运输路线是减缓运输风险的重要措施之一。项目以地理信息系统为依托，按照</w:t>
      </w:r>
      <w:r>
        <w:rPr>
          <w:color w:val="auto"/>
        </w:rPr>
        <w:t>“</w:t>
      </w:r>
      <w:r>
        <w:rPr>
          <w:color w:val="auto"/>
        </w:rPr>
        <w:t>最大程度地避开闹市区、人口密集区、环境敏感区运行，尽量避免道路重复，尽量使运输车的配备与废物产生量和形态相符，兼顾安全性和经济性，保证危险废物能安全、及时、全部转运厂区</w:t>
      </w:r>
      <w:r>
        <w:rPr>
          <w:color w:val="auto"/>
        </w:rPr>
        <w:t>”</w:t>
      </w:r>
      <w:r>
        <w:rPr>
          <w:color w:val="auto"/>
        </w:rPr>
        <w:t>的总原则，以最短运输路径为目标，对危险废物运输路径进行了优化。</w:t>
      </w:r>
    </w:p>
    <w:p w14:paraId="4E730827" w14:textId="77777777" w:rsidR="002E474C" w:rsidRDefault="00000000">
      <w:pPr>
        <w:pStyle w:val="A-z"/>
        <w:rPr>
          <w:color w:val="auto"/>
        </w:rPr>
      </w:pPr>
      <w:r>
        <w:rPr>
          <w:color w:val="auto"/>
        </w:rPr>
        <w:t>废物运输过程可能出现的环境风险情况见表</w:t>
      </w:r>
      <w:r>
        <w:rPr>
          <w:color w:val="auto"/>
        </w:rPr>
        <w:t>5.8</w:t>
      </w:r>
      <w:r>
        <w:rPr>
          <w:color w:val="auto"/>
        </w:rPr>
        <w:noBreakHyphen/>
        <w:t>8</w:t>
      </w:r>
      <w:r>
        <w:rPr>
          <w:color w:val="auto"/>
        </w:rPr>
        <w:t>。</w:t>
      </w:r>
    </w:p>
    <w:p w14:paraId="2E0CAF70" w14:textId="77777777" w:rsidR="002E474C" w:rsidRDefault="00000000">
      <w:pPr>
        <w:pStyle w:val="A--"/>
        <w:rPr>
          <w:color w:val="auto"/>
        </w:rPr>
      </w:pPr>
      <w:bookmarkStart w:id="326" w:name="_Ref130230406"/>
      <w:r>
        <w:rPr>
          <w:color w:val="auto"/>
        </w:rPr>
        <w:lastRenderedPageBreak/>
        <w:t>表</w:t>
      </w:r>
      <w:r>
        <w:rPr>
          <w:color w:val="auto"/>
        </w:rPr>
        <w:t>5.8</w:t>
      </w:r>
      <w:r>
        <w:rPr>
          <w:color w:val="auto"/>
        </w:rPr>
        <w:noBreakHyphen/>
        <w:t>8</w:t>
      </w:r>
      <w:bookmarkEnd w:id="326"/>
      <w:r>
        <w:rPr>
          <w:color w:val="auto"/>
        </w:rPr>
        <w:t xml:space="preserve">  </w:t>
      </w:r>
      <w:r>
        <w:rPr>
          <w:color w:val="auto"/>
        </w:rPr>
        <w:t>运输过程环境风险情况一览表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2"/>
        <w:gridCol w:w="1792"/>
        <w:gridCol w:w="4052"/>
      </w:tblGrid>
      <w:tr w:rsidR="002E474C" w14:paraId="23857404" w14:textId="77777777">
        <w:trPr>
          <w:trHeight w:val="222"/>
        </w:trPr>
        <w:tc>
          <w:tcPr>
            <w:tcW w:w="1478" w:type="pct"/>
            <w:vAlign w:val="center"/>
          </w:tcPr>
          <w:p w14:paraId="37B32B69" w14:textId="77777777" w:rsidR="002E474C" w:rsidRDefault="00000000">
            <w:pPr>
              <w:pStyle w:val="A-"/>
            </w:pPr>
            <w:r>
              <w:t>风险源</w:t>
            </w:r>
          </w:p>
        </w:tc>
        <w:tc>
          <w:tcPr>
            <w:tcW w:w="1080" w:type="pct"/>
            <w:vAlign w:val="center"/>
          </w:tcPr>
          <w:p w14:paraId="6F953F2C" w14:textId="77777777" w:rsidR="002E474C" w:rsidRDefault="00000000">
            <w:pPr>
              <w:pStyle w:val="A-"/>
            </w:pPr>
            <w:r>
              <w:t>事故类型</w:t>
            </w:r>
          </w:p>
        </w:tc>
        <w:tc>
          <w:tcPr>
            <w:tcW w:w="2442" w:type="pct"/>
            <w:vAlign w:val="center"/>
          </w:tcPr>
          <w:p w14:paraId="4BA567A1" w14:textId="77777777" w:rsidR="002E474C" w:rsidRDefault="00000000">
            <w:pPr>
              <w:pStyle w:val="A-"/>
            </w:pPr>
            <w:r>
              <w:t>风险因素</w:t>
            </w:r>
          </w:p>
        </w:tc>
      </w:tr>
      <w:tr w:rsidR="002E474C" w14:paraId="13A5B89A" w14:textId="77777777">
        <w:trPr>
          <w:trHeight w:val="652"/>
        </w:trPr>
        <w:tc>
          <w:tcPr>
            <w:tcW w:w="1478" w:type="pct"/>
            <w:vAlign w:val="center"/>
          </w:tcPr>
          <w:p w14:paraId="51C07FD7" w14:textId="77777777" w:rsidR="002E474C" w:rsidRDefault="00000000">
            <w:pPr>
              <w:pStyle w:val="A-"/>
            </w:pPr>
            <w:r>
              <w:t>人口集中区（村、镇、集市或学校）</w:t>
            </w:r>
          </w:p>
        </w:tc>
        <w:tc>
          <w:tcPr>
            <w:tcW w:w="1080" w:type="pct"/>
            <w:vAlign w:val="center"/>
          </w:tcPr>
          <w:p w14:paraId="60F53265" w14:textId="77777777" w:rsidR="002E474C" w:rsidRDefault="00000000">
            <w:pPr>
              <w:pStyle w:val="A-"/>
            </w:pPr>
            <w:r>
              <w:t>交通事故</w:t>
            </w:r>
          </w:p>
        </w:tc>
        <w:tc>
          <w:tcPr>
            <w:tcW w:w="2442" w:type="pct"/>
            <w:vAlign w:val="center"/>
          </w:tcPr>
          <w:p w14:paraId="399B3DFC" w14:textId="77777777" w:rsidR="002E474C" w:rsidRDefault="00000000">
            <w:pPr>
              <w:pStyle w:val="A-"/>
            </w:pPr>
            <w:r>
              <w:t>危险废物散落于地面，引起废物四处流</w:t>
            </w:r>
            <w:r>
              <w:t xml:space="preserve"> </w:t>
            </w:r>
            <w:r>
              <w:rPr>
                <w:spacing w:val="-4"/>
              </w:rPr>
              <w:t>动、蒸发扩散，污染土壤、空气，威胁周</w:t>
            </w:r>
            <w:r>
              <w:t>围人群安全。</w:t>
            </w:r>
          </w:p>
        </w:tc>
      </w:tr>
      <w:tr w:rsidR="002E474C" w14:paraId="3C4F3BDF" w14:textId="77777777">
        <w:trPr>
          <w:trHeight w:val="437"/>
        </w:trPr>
        <w:tc>
          <w:tcPr>
            <w:tcW w:w="1478" w:type="pct"/>
            <w:vAlign w:val="center"/>
          </w:tcPr>
          <w:p w14:paraId="57A7AD6E" w14:textId="77777777" w:rsidR="002E474C" w:rsidRDefault="00000000">
            <w:pPr>
              <w:pStyle w:val="A-"/>
            </w:pPr>
            <w:r>
              <w:t>水域敏感区</w:t>
            </w:r>
          </w:p>
        </w:tc>
        <w:tc>
          <w:tcPr>
            <w:tcW w:w="1080" w:type="pct"/>
            <w:vAlign w:val="center"/>
          </w:tcPr>
          <w:p w14:paraId="56B54BB9" w14:textId="77777777" w:rsidR="002E474C" w:rsidRDefault="00000000">
            <w:pPr>
              <w:pStyle w:val="A-"/>
            </w:pPr>
            <w:r>
              <w:t>交通事故</w:t>
            </w:r>
          </w:p>
        </w:tc>
        <w:tc>
          <w:tcPr>
            <w:tcW w:w="2442" w:type="pct"/>
            <w:vAlign w:val="center"/>
          </w:tcPr>
          <w:p w14:paraId="0426CE3B" w14:textId="77777777" w:rsidR="002E474C" w:rsidRDefault="00000000">
            <w:pPr>
              <w:pStyle w:val="A-"/>
            </w:pPr>
            <w:r>
              <w:t>危险废物落入水中，废物中的有毒有害物</w:t>
            </w:r>
          </w:p>
          <w:p w14:paraId="5FC24EA0" w14:textId="77777777" w:rsidR="002E474C" w:rsidRDefault="00000000">
            <w:pPr>
              <w:pStyle w:val="A-"/>
            </w:pPr>
            <w:r>
              <w:t>质污染水体。</w:t>
            </w:r>
          </w:p>
        </w:tc>
      </w:tr>
      <w:tr w:rsidR="002E474C" w14:paraId="29D1A950" w14:textId="77777777">
        <w:trPr>
          <w:trHeight w:val="445"/>
        </w:trPr>
        <w:tc>
          <w:tcPr>
            <w:tcW w:w="1478" w:type="pct"/>
            <w:vAlign w:val="center"/>
          </w:tcPr>
          <w:p w14:paraId="46B8BB7E" w14:textId="77777777" w:rsidR="002E474C" w:rsidRDefault="00000000">
            <w:pPr>
              <w:pStyle w:val="A-"/>
            </w:pPr>
            <w:r>
              <w:t>车辆事故多发区</w:t>
            </w:r>
          </w:p>
        </w:tc>
        <w:tc>
          <w:tcPr>
            <w:tcW w:w="1080" w:type="pct"/>
            <w:vAlign w:val="center"/>
          </w:tcPr>
          <w:p w14:paraId="37FDB6AD" w14:textId="77777777" w:rsidR="002E474C" w:rsidRDefault="00000000">
            <w:pPr>
              <w:pStyle w:val="A-"/>
            </w:pPr>
            <w:r>
              <w:t>交通事故</w:t>
            </w:r>
          </w:p>
        </w:tc>
        <w:tc>
          <w:tcPr>
            <w:tcW w:w="2442" w:type="pct"/>
            <w:vAlign w:val="center"/>
          </w:tcPr>
          <w:p w14:paraId="1B55E5E3" w14:textId="77777777" w:rsidR="002E474C" w:rsidRDefault="00000000">
            <w:pPr>
              <w:pStyle w:val="A-"/>
            </w:pPr>
            <w:r>
              <w:t>危险废物散落地面，引起废物中的有毒有</w:t>
            </w:r>
          </w:p>
          <w:p w14:paraId="4961038A" w14:textId="77777777" w:rsidR="002E474C" w:rsidRDefault="00000000">
            <w:pPr>
              <w:pStyle w:val="A-"/>
            </w:pPr>
            <w:r>
              <w:t>害物质污染水体、土壤、空气。</w:t>
            </w:r>
          </w:p>
        </w:tc>
      </w:tr>
    </w:tbl>
    <w:p w14:paraId="6B593648" w14:textId="77777777" w:rsidR="002E474C" w:rsidRDefault="002E474C">
      <w:pPr>
        <w:pStyle w:val="w3"/>
      </w:pPr>
    </w:p>
    <w:p w14:paraId="5884484A" w14:textId="77777777" w:rsidR="002E474C" w:rsidRDefault="00000000">
      <w:pPr>
        <w:pStyle w:val="A-z"/>
        <w:rPr>
          <w:color w:val="auto"/>
        </w:rPr>
      </w:pPr>
      <w:r>
        <w:rPr>
          <w:color w:val="auto"/>
        </w:rPr>
        <w:t>在项目所经过的重要水域路段和敏感区时危险废物运输车辆发生环境风险事故的概率较小，但考虑到一旦发生危险废物运输车辆交通事故则易造成水体污染，对周边群众产生影响。在该路段应该重点防范危险废物运输车辆发生交通事故，减少造成环境污染的机率。就危险废物运输的交通事故而言，由于交通事故引起的爆炸、火灾以及泄漏的事故在隧道段发生的概率很小，发生的概率也很小，其脱离路面而掉入河中的可能性更低。</w:t>
      </w:r>
    </w:p>
    <w:p w14:paraId="65D61A85" w14:textId="77777777" w:rsidR="002E474C" w:rsidRDefault="00000000">
      <w:pPr>
        <w:pStyle w:val="A-z"/>
        <w:rPr>
          <w:color w:val="auto"/>
        </w:rPr>
      </w:pPr>
      <w:r>
        <w:rPr>
          <w:color w:val="auto"/>
        </w:rPr>
        <w:t>该种路段公路需要通过制定相关的事故应急措施，统一设立警示牌，提示危险品运输车辆将事故多发区，减速缓行。</w:t>
      </w:r>
    </w:p>
    <w:p w14:paraId="61C43FC6" w14:textId="77777777" w:rsidR="002E474C" w:rsidRDefault="00000000">
      <w:pPr>
        <w:pStyle w:val="A-z"/>
        <w:ind w:firstLine="456"/>
        <w:rPr>
          <w:color w:val="auto"/>
          <w:spacing w:val="-6"/>
        </w:rPr>
      </w:pPr>
      <w:r>
        <w:rPr>
          <w:color w:val="auto"/>
          <w:spacing w:val="-6"/>
        </w:rPr>
        <w:t>为了提高危险废物运输车辆突发事故应急处置能力，最大程度上地预防和降低事故对环境造成的危害和影响，加强事故发生后的组织领导和协调处置，确保紧急情况下能够及时有序地实施应急处置，最大限度降低对环境污染的程度，运输公司必须制定相应的应急预案。当发生污染突发事件发生后，应启动应急响应行动。</w:t>
      </w:r>
    </w:p>
    <w:p w14:paraId="40CF7881" w14:textId="77777777" w:rsidR="002E474C" w:rsidRDefault="00000000">
      <w:pPr>
        <w:pStyle w:val="41"/>
        <w:rPr>
          <w:color w:val="auto"/>
        </w:rPr>
      </w:pPr>
      <w:r>
        <w:rPr>
          <w:color w:val="auto"/>
        </w:rPr>
        <w:t>废液泄漏事故概率</w:t>
      </w:r>
    </w:p>
    <w:p w14:paraId="724EC414" w14:textId="77777777" w:rsidR="002E474C" w:rsidRDefault="00000000">
      <w:pPr>
        <w:pStyle w:val="A-z"/>
        <w:rPr>
          <w:color w:val="auto"/>
        </w:rPr>
      </w:pPr>
      <w:r>
        <w:rPr>
          <w:color w:val="auto"/>
        </w:rPr>
        <w:t>项目对液体危险废物的贮存采用钢储罐。根据相近行业的有关资料对引发风险事故概率的介绍，主要风险事故的概率见表</w:t>
      </w:r>
      <w:r>
        <w:rPr>
          <w:color w:val="auto"/>
        </w:rPr>
        <w:t>5.8</w:t>
      </w:r>
      <w:r>
        <w:rPr>
          <w:color w:val="auto"/>
        </w:rPr>
        <w:noBreakHyphen/>
        <w:t>9</w:t>
      </w:r>
      <w:r>
        <w:rPr>
          <w:color w:val="auto"/>
        </w:rPr>
        <w:t>。</w:t>
      </w:r>
    </w:p>
    <w:p w14:paraId="52C51D97" w14:textId="77777777" w:rsidR="002E474C" w:rsidRDefault="00000000">
      <w:pPr>
        <w:pStyle w:val="A--"/>
        <w:rPr>
          <w:color w:val="auto"/>
        </w:rPr>
      </w:pPr>
      <w:bookmarkStart w:id="327" w:name="_Ref130829405"/>
      <w:r>
        <w:rPr>
          <w:color w:val="auto"/>
        </w:rPr>
        <w:t>表</w:t>
      </w:r>
      <w:r>
        <w:rPr>
          <w:color w:val="auto"/>
        </w:rPr>
        <w:t>5.8</w:t>
      </w:r>
      <w:r>
        <w:rPr>
          <w:color w:val="auto"/>
        </w:rPr>
        <w:noBreakHyphen/>
        <w:t>9</w:t>
      </w:r>
      <w:bookmarkEnd w:id="327"/>
      <w:r>
        <w:rPr>
          <w:color w:val="auto"/>
        </w:rPr>
        <w:t xml:space="preserve">  </w:t>
      </w:r>
      <w:r>
        <w:rPr>
          <w:color w:val="auto"/>
        </w:rPr>
        <w:t>废液泄漏事故概率一览表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970"/>
        <w:gridCol w:w="1792"/>
        <w:gridCol w:w="2534"/>
      </w:tblGrid>
      <w:tr w:rsidR="002E474C" w14:paraId="69E503DD" w14:textId="77777777">
        <w:trPr>
          <w:trHeight w:val="311"/>
        </w:trPr>
        <w:tc>
          <w:tcPr>
            <w:tcW w:w="2393" w:type="pct"/>
            <w:vAlign w:val="center"/>
          </w:tcPr>
          <w:p w14:paraId="6F0CFA1A" w14:textId="77777777" w:rsidR="002E474C" w:rsidRDefault="00000000">
            <w:pPr>
              <w:pStyle w:val="A-"/>
            </w:pPr>
            <w:r>
              <w:t>事故</w:t>
            </w:r>
          </w:p>
        </w:tc>
        <w:tc>
          <w:tcPr>
            <w:tcW w:w="1080" w:type="pct"/>
            <w:vAlign w:val="center"/>
          </w:tcPr>
          <w:p w14:paraId="5FE3A5E3" w14:textId="77777777" w:rsidR="002E474C" w:rsidRDefault="00000000">
            <w:pPr>
              <w:pStyle w:val="A-"/>
            </w:pPr>
            <w:r>
              <w:t>发生概率</w:t>
            </w:r>
          </w:p>
        </w:tc>
        <w:tc>
          <w:tcPr>
            <w:tcW w:w="1527" w:type="pct"/>
            <w:vAlign w:val="center"/>
          </w:tcPr>
          <w:p w14:paraId="3B5FEBC7" w14:textId="77777777" w:rsidR="002E474C" w:rsidRDefault="00000000">
            <w:pPr>
              <w:pStyle w:val="A-"/>
            </w:pPr>
            <w:r>
              <w:t>发生频率</w:t>
            </w:r>
          </w:p>
        </w:tc>
      </w:tr>
      <w:tr w:rsidR="002E474C" w14:paraId="5E1B78A9" w14:textId="77777777">
        <w:trPr>
          <w:trHeight w:val="311"/>
        </w:trPr>
        <w:tc>
          <w:tcPr>
            <w:tcW w:w="2393" w:type="pct"/>
            <w:vAlign w:val="center"/>
          </w:tcPr>
          <w:p w14:paraId="11D21592" w14:textId="77777777" w:rsidR="002E474C" w:rsidRDefault="00000000">
            <w:pPr>
              <w:pStyle w:val="A-"/>
            </w:pPr>
            <w:r>
              <w:t>输送泵、输送管接头、阀门损坏等泄漏</w:t>
            </w:r>
          </w:p>
        </w:tc>
        <w:tc>
          <w:tcPr>
            <w:tcW w:w="1080" w:type="pct"/>
            <w:vAlign w:val="center"/>
          </w:tcPr>
          <w:p w14:paraId="4392452D" w14:textId="77777777" w:rsidR="002E474C" w:rsidRDefault="00000000">
            <w:pPr>
              <w:pStyle w:val="A-"/>
            </w:pPr>
            <w:r>
              <w:rPr>
                <w:position w:val="-6"/>
              </w:rPr>
              <w:t>10</w:t>
            </w:r>
            <w:r>
              <w:rPr>
                <w:vertAlign w:val="superscript"/>
              </w:rPr>
              <w:t>-1</w:t>
            </w:r>
          </w:p>
        </w:tc>
        <w:tc>
          <w:tcPr>
            <w:tcW w:w="1527" w:type="pct"/>
            <w:vAlign w:val="center"/>
          </w:tcPr>
          <w:p w14:paraId="5D749F98" w14:textId="77777777" w:rsidR="002E474C" w:rsidRDefault="00000000">
            <w:pPr>
              <w:pStyle w:val="A-"/>
            </w:pPr>
            <w:r>
              <w:t>可能发生</w:t>
            </w:r>
          </w:p>
        </w:tc>
      </w:tr>
      <w:tr w:rsidR="002E474C" w14:paraId="0A1A626C" w14:textId="77777777">
        <w:trPr>
          <w:trHeight w:val="311"/>
        </w:trPr>
        <w:tc>
          <w:tcPr>
            <w:tcW w:w="2393" w:type="pct"/>
            <w:vAlign w:val="center"/>
          </w:tcPr>
          <w:p w14:paraId="5EF0E18E" w14:textId="77777777" w:rsidR="002E474C" w:rsidRDefault="00000000">
            <w:pPr>
              <w:pStyle w:val="A-"/>
            </w:pPr>
            <w:r>
              <w:t>储存桶破裂泄漏事故</w:t>
            </w:r>
          </w:p>
        </w:tc>
        <w:tc>
          <w:tcPr>
            <w:tcW w:w="1080" w:type="pct"/>
            <w:vAlign w:val="center"/>
          </w:tcPr>
          <w:p w14:paraId="5A09EF95" w14:textId="77777777" w:rsidR="002E474C" w:rsidRDefault="00000000">
            <w:pPr>
              <w:pStyle w:val="A-"/>
            </w:pPr>
            <w:r>
              <w:rPr>
                <w:position w:val="-6"/>
              </w:rPr>
              <w:t>10</w:t>
            </w:r>
            <w:r>
              <w:rPr>
                <w:vertAlign w:val="superscript"/>
              </w:rPr>
              <w:t>-2</w:t>
            </w:r>
          </w:p>
        </w:tc>
        <w:tc>
          <w:tcPr>
            <w:tcW w:w="1527" w:type="pct"/>
            <w:vAlign w:val="center"/>
          </w:tcPr>
          <w:p w14:paraId="4A390FA7" w14:textId="77777777" w:rsidR="002E474C" w:rsidRDefault="00000000">
            <w:pPr>
              <w:pStyle w:val="A-"/>
            </w:pPr>
            <w:r>
              <w:t>偶尔发生</w:t>
            </w:r>
          </w:p>
        </w:tc>
      </w:tr>
      <w:tr w:rsidR="002E474C" w14:paraId="7FB33442" w14:textId="77777777">
        <w:trPr>
          <w:trHeight w:val="313"/>
        </w:trPr>
        <w:tc>
          <w:tcPr>
            <w:tcW w:w="2393" w:type="pct"/>
            <w:vAlign w:val="center"/>
          </w:tcPr>
          <w:p w14:paraId="313E7A2A" w14:textId="77777777" w:rsidR="002E474C" w:rsidRDefault="00000000">
            <w:pPr>
              <w:pStyle w:val="A-"/>
            </w:pPr>
            <w:r>
              <w:t>围堰内地面基地破损</w:t>
            </w:r>
          </w:p>
        </w:tc>
        <w:tc>
          <w:tcPr>
            <w:tcW w:w="1080" w:type="pct"/>
            <w:vAlign w:val="center"/>
          </w:tcPr>
          <w:p w14:paraId="44E16830" w14:textId="77777777" w:rsidR="002E474C" w:rsidRDefault="00000000">
            <w:pPr>
              <w:pStyle w:val="A-"/>
            </w:pPr>
            <w:r>
              <w:rPr>
                <w:position w:val="-6"/>
              </w:rPr>
              <w:t>10</w:t>
            </w:r>
            <w:r>
              <w:rPr>
                <w:vertAlign w:val="superscript"/>
              </w:rPr>
              <w:t>-3</w:t>
            </w:r>
          </w:p>
        </w:tc>
        <w:tc>
          <w:tcPr>
            <w:tcW w:w="1527" w:type="pct"/>
            <w:vAlign w:val="center"/>
          </w:tcPr>
          <w:p w14:paraId="1666C57E" w14:textId="77777777" w:rsidR="002E474C" w:rsidRDefault="00000000">
            <w:pPr>
              <w:pStyle w:val="A-"/>
            </w:pPr>
            <w:r>
              <w:t>极少发生</w:t>
            </w:r>
          </w:p>
        </w:tc>
      </w:tr>
      <w:tr w:rsidR="002E474C" w14:paraId="23BE04D8" w14:textId="77777777">
        <w:trPr>
          <w:trHeight w:val="311"/>
        </w:trPr>
        <w:tc>
          <w:tcPr>
            <w:tcW w:w="2393" w:type="pct"/>
            <w:vAlign w:val="center"/>
          </w:tcPr>
          <w:p w14:paraId="18E8BEBE" w14:textId="77777777" w:rsidR="002E474C" w:rsidRDefault="00000000">
            <w:pPr>
              <w:pStyle w:val="A-"/>
            </w:pPr>
            <w:r>
              <w:t>雷击或火灾引起严重泄漏事故</w:t>
            </w:r>
          </w:p>
        </w:tc>
        <w:tc>
          <w:tcPr>
            <w:tcW w:w="1080" w:type="pct"/>
            <w:vAlign w:val="center"/>
          </w:tcPr>
          <w:p w14:paraId="33EA2EC1" w14:textId="77777777" w:rsidR="002E474C" w:rsidRDefault="00000000">
            <w:pPr>
              <w:pStyle w:val="A-"/>
            </w:pPr>
            <w:r>
              <w:rPr>
                <w:position w:val="-6"/>
              </w:rPr>
              <w:t>10</w:t>
            </w:r>
            <w:r>
              <w:rPr>
                <w:vertAlign w:val="superscript"/>
              </w:rPr>
              <w:t>-3</w:t>
            </w:r>
          </w:p>
        </w:tc>
        <w:tc>
          <w:tcPr>
            <w:tcW w:w="1527" w:type="pct"/>
            <w:vAlign w:val="center"/>
          </w:tcPr>
          <w:p w14:paraId="3A1070A4" w14:textId="77777777" w:rsidR="002E474C" w:rsidRDefault="00000000">
            <w:pPr>
              <w:pStyle w:val="A-"/>
            </w:pPr>
            <w:r>
              <w:t>极少发生</w:t>
            </w:r>
          </w:p>
        </w:tc>
      </w:tr>
      <w:tr w:rsidR="002E474C" w14:paraId="392C6F06" w14:textId="77777777">
        <w:trPr>
          <w:trHeight w:val="311"/>
        </w:trPr>
        <w:tc>
          <w:tcPr>
            <w:tcW w:w="2393" w:type="pct"/>
            <w:vAlign w:val="center"/>
          </w:tcPr>
          <w:p w14:paraId="4BCC8DF6" w14:textId="77777777" w:rsidR="002E474C" w:rsidRDefault="00000000">
            <w:pPr>
              <w:pStyle w:val="A-"/>
            </w:pPr>
            <w:r>
              <w:t>发生重大火灾、爆炸事故</w:t>
            </w:r>
          </w:p>
        </w:tc>
        <w:tc>
          <w:tcPr>
            <w:tcW w:w="1080" w:type="pct"/>
            <w:vAlign w:val="center"/>
          </w:tcPr>
          <w:p w14:paraId="016EF8C1" w14:textId="77777777" w:rsidR="002E474C" w:rsidRDefault="00000000">
            <w:pPr>
              <w:pStyle w:val="A-"/>
            </w:pPr>
            <w:r>
              <w:t>10</w:t>
            </w:r>
            <w:r>
              <w:rPr>
                <w:position w:val="7"/>
                <w:vertAlign w:val="superscript"/>
              </w:rPr>
              <w:t>-4</w:t>
            </w:r>
            <w:r>
              <w:rPr>
                <w:position w:val="7"/>
              </w:rPr>
              <w:t xml:space="preserve"> </w:t>
            </w:r>
            <w:r>
              <w:t>～</w:t>
            </w:r>
            <w:r>
              <w:t>10</w:t>
            </w:r>
            <w:r>
              <w:rPr>
                <w:position w:val="7"/>
                <w:vertAlign w:val="superscript"/>
              </w:rPr>
              <w:t>-5</w:t>
            </w:r>
          </w:p>
        </w:tc>
        <w:tc>
          <w:tcPr>
            <w:tcW w:w="1527" w:type="pct"/>
            <w:vAlign w:val="center"/>
          </w:tcPr>
          <w:p w14:paraId="1949A42F" w14:textId="77777777" w:rsidR="002E474C" w:rsidRDefault="00000000">
            <w:pPr>
              <w:pStyle w:val="A-"/>
            </w:pPr>
            <w:r>
              <w:t>极少发生</w:t>
            </w:r>
          </w:p>
        </w:tc>
      </w:tr>
      <w:tr w:rsidR="002E474C" w14:paraId="4CB90149" w14:textId="77777777">
        <w:trPr>
          <w:trHeight w:val="311"/>
        </w:trPr>
        <w:tc>
          <w:tcPr>
            <w:tcW w:w="2393" w:type="pct"/>
            <w:vAlign w:val="center"/>
          </w:tcPr>
          <w:p w14:paraId="78AC1740" w14:textId="77777777" w:rsidR="002E474C" w:rsidRDefault="00000000">
            <w:pPr>
              <w:pStyle w:val="A-"/>
            </w:pPr>
            <w:r>
              <w:t>重大自然灾害引起事故</w:t>
            </w:r>
          </w:p>
        </w:tc>
        <w:tc>
          <w:tcPr>
            <w:tcW w:w="1080" w:type="pct"/>
            <w:vAlign w:val="center"/>
          </w:tcPr>
          <w:p w14:paraId="7D04E124" w14:textId="77777777" w:rsidR="002E474C" w:rsidRDefault="00000000">
            <w:pPr>
              <w:pStyle w:val="A-"/>
            </w:pPr>
            <w:r>
              <w:t>10</w:t>
            </w:r>
            <w:r>
              <w:rPr>
                <w:position w:val="7"/>
                <w:vertAlign w:val="superscript"/>
              </w:rPr>
              <w:t>-5</w:t>
            </w:r>
            <w:r>
              <w:t>～</w:t>
            </w:r>
            <w:r>
              <w:t>10</w:t>
            </w:r>
            <w:r>
              <w:rPr>
                <w:position w:val="7"/>
                <w:vertAlign w:val="superscript"/>
              </w:rPr>
              <w:t>-6</w:t>
            </w:r>
          </w:p>
        </w:tc>
        <w:tc>
          <w:tcPr>
            <w:tcW w:w="1527" w:type="pct"/>
            <w:vAlign w:val="center"/>
          </w:tcPr>
          <w:p w14:paraId="3F3E1BB0" w14:textId="77777777" w:rsidR="002E474C" w:rsidRDefault="00000000">
            <w:pPr>
              <w:pStyle w:val="A-"/>
            </w:pPr>
            <w:r>
              <w:t>很难发生</w:t>
            </w:r>
          </w:p>
        </w:tc>
      </w:tr>
    </w:tbl>
    <w:p w14:paraId="707318E5" w14:textId="77777777" w:rsidR="002E474C" w:rsidRDefault="002E474C">
      <w:pPr>
        <w:pStyle w:val="w3"/>
      </w:pPr>
    </w:p>
    <w:p w14:paraId="0A8EFF0F" w14:textId="77777777" w:rsidR="002E474C" w:rsidRDefault="00000000">
      <w:pPr>
        <w:pStyle w:val="A-z"/>
        <w:ind w:firstLine="456"/>
        <w:rPr>
          <w:color w:val="auto"/>
          <w:spacing w:val="-6"/>
        </w:rPr>
      </w:pPr>
      <w:r>
        <w:rPr>
          <w:color w:val="auto"/>
          <w:spacing w:val="-6"/>
        </w:rPr>
        <w:t>由上表可见，输送管、输送泵、阀门等损坏泄漏事故的概率相对较大，发生概率为</w:t>
      </w:r>
      <w:r>
        <w:rPr>
          <w:color w:val="auto"/>
          <w:spacing w:val="-6"/>
        </w:rPr>
        <w:t>10</w:t>
      </w:r>
      <w:r>
        <w:rPr>
          <w:color w:val="auto"/>
          <w:spacing w:val="-6"/>
          <w:vertAlign w:val="superscript"/>
        </w:rPr>
        <w:t>-1</w:t>
      </w:r>
      <w:r>
        <w:rPr>
          <w:color w:val="auto"/>
          <w:spacing w:val="-6"/>
        </w:rPr>
        <w:t>次</w:t>
      </w:r>
      <w:r>
        <w:rPr>
          <w:color w:val="auto"/>
          <w:spacing w:val="-6"/>
        </w:rPr>
        <w:t>/</w:t>
      </w:r>
      <w:r>
        <w:rPr>
          <w:color w:val="auto"/>
          <w:spacing w:val="-6"/>
        </w:rPr>
        <w:t>年，即每</w:t>
      </w:r>
      <w:r>
        <w:rPr>
          <w:color w:val="auto"/>
          <w:spacing w:val="-6"/>
        </w:rPr>
        <w:t>10</w:t>
      </w:r>
      <w:r>
        <w:rPr>
          <w:color w:val="auto"/>
          <w:spacing w:val="-6"/>
        </w:rPr>
        <w:t>年大约发生一次，而发生重大火灾爆炸事故概率为</w:t>
      </w:r>
      <w:r>
        <w:rPr>
          <w:color w:val="auto"/>
          <w:spacing w:val="-6"/>
        </w:rPr>
        <w:t>10</w:t>
      </w:r>
      <w:r>
        <w:rPr>
          <w:color w:val="auto"/>
          <w:spacing w:val="-6"/>
          <w:vertAlign w:val="superscript"/>
        </w:rPr>
        <w:t>-4</w:t>
      </w:r>
      <w:r>
        <w:rPr>
          <w:color w:val="auto"/>
          <w:spacing w:val="-6"/>
        </w:rPr>
        <w:t>~10</w:t>
      </w:r>
      <w:r>
        <w:rPr>
          <w:color w:val="auto"/>
          <w:spacing w:val="-6"/>
          <w:vertAlign w:val="superscript"/>
        </w:rPr>
        <w:t>-5</w:t>
      </w:r>
      <w:r>
        <w:rPr>
          <w:color w:val="auto"/>
          <w:spacing w:val="-6"/>
        </w:rPr>
        <w:t>次</w:t>
      </w:r>
      <w:r>
        <w:rPr>
          <w:color w:val="auto"/>
          <w:spacing w:val="-6"/>
        </w:rPr>
        <w:lastRenderedPageBreak/>
        <w:t>/</w:t>
      </w:r>
      <w:r>
        <w:rPr>
          <w:color w:val="auto"/>
          <w:spacing w:val="-6"/>
        </w:rPr>
        <w:t>年，属于极少发生的事故。因此建设单位应对该类事故引起重视，除对管道、阀门及罐区地面做防渗防腐处理外，还应对管道走向进行合理设置，并定期检修，制定有针对性的应急措施，尽量减小事故发生的可能性和降低事故影响程度。</w:t>
      </w:r>
    </w:p>
    <w:p w14:paraId="2ADB8B49" w14:textId="77777777" w:rsidR="002E474C" w:rsidRDefault="00000000">
      <w:pPr>
        <w:pStyle w:val="41"/>
        <w:rPr>
          <w:color w:val="auto"/>
        </w:rPr>
      </w:pPr>
      <w:r>
        <w:rPr>
          <w:color w:val="auto"/>
        </w:rPr>
        <w:t>废气处置系统故障分析</w:t>
      </w:r>
    </w:p>
    <w:p w14:paraId="437B4922" w14:textId="77777777" w:rsidR="002E474C" w:rsidRDefault="00000000">
      <w:pPr>
        <w:pStyle w:val="A-z"/>
        <w:rPr>
          <w:color w:val="auto"/>
        </w:rPr>
      </w:pPr>
      <w:r>
        <w:rPr>
          <w:color w:val="auto"/>
        </w:rPr>
        <w:t>项目主要事故排放为固态危废预处理车间的收集系统会部分或全部失效导致恶臭气体、粉尘等无组织气体直接排入大气。</w:t>
      </w:r>
    </w:p>
    <w:p w14:paraId="36BF958F" w14:textId="77777777" w:rsidR="002E474C" w:rsidRDefault="002E474C">
      <w:pPr>
        <w:pStyle w:val="A-z"/>
        <w:rPr>
          <w:color w:val="auto"/>
        </w:rPr>
      </w:pPr>
    </w:p>
    <w:p w14:paraId="6BB1807B" w14:textId="77777777" w:rsidR="002E474C" w:rsidRDefault="00000000">
      <w:pPr>
        <w:pStyle w:val="31"/>
        <w:spacing w:before="120" w:after="120"/>
        <w:rPr>
          <w:color w:val="auto"/>
        </w:rPr>
      </w:pPr>
      <w:r>
        <w:rPr>
          <w:color w:val="auto"/>
        </w:rPr>
        <w:t>环境风险防范措施</w:t>
      </w:r>
    </w:p>
    <w:p w14:paraId="139AD470" w14:textId="77777777" w:rsidR="002E474C" w:rsidRDefault="00000000">
      <w:pPr>
        <w:pStyle w:val="41"/>
        <w:rPr>
          <w:color w:val="auto"/>
        </w:rPr>
      </w:pPr>
      <w:r>
        <w:rPr>
          <w:color w:val="auto"/>
        </w:rPr>
        <w:t>大气环境风险防范措施</w:t>
      </w:r>
    </w:p>
    <w:p w14:paraId="35D499F1" w14:textId="77777777" w:rsidR="002E474C" w:rsidRDefault="00000000">
      <w:pPr>
        <w:pStyle w:val="A-z"/>
        <w:rPr>
          <w:color w:val="auto"/>
        </w:rPr>
      </w:pPr>
      <w:r>
        <w:rPr>
          <w:color w:val="auto"/>
        </w:rPr>
        <w:t>（</w:t>
      </w:r>
      <w:r>
        <w:rPr>
          <w:color w:val="auto"/>
        </w:rPr>
        <w:t>1</w:t>
      </w:r>
      <w:r>
        <w:rPr>
          <w:color w:val="auto"/>
        </w:rPr>
        <w:t>）入窑废物种类控制</w:t>
      </w:r>
    </w:p>
    <w:p w14:paraId="38227071" w14:textId="77777777" w:rsidR="002E474C" w:rsidRDefault="00000000">
      <w:pPr>
        <w:pStyle w:val="A-z"/>
        <w:rPr>
          <w:color w:val="auto"/>
        </w:rPr>
      </w:pPr>
      <w:r>
        <w:rPr>
          <w:color w:val="auto"/>
        </w:rPr>
        <w:t>与专业危险废物焚烧炉相比较而言，水泥窑的工艺特点决定了它没有完整的烟气处理系统，且需要顾及到产品的质量和环境保护安全。因此，并非所有种类的废物都能入窑处置。控制水泥窑协同处置的废物种类和入窑废物的特性是十分必要的。</w:t>
      </w:r>
    </w:p>
    <w:p w14:paraId="1C407A3E" w14:textId="77777777" w:rsidR="002E474C" w:rsidRDefault="00000000">
      <w:pPr>
        <w:pStyle w:val="A-z"/>
        <w:rPr>
          <w:color w:val="auto"/>
        </w:rPr>
      </w:pPr>
      <w:r>
        <w:rPr>
          <w:color w:val="auto"/>
        </w:rPr>
        <w:t>禁止入窑废物包括：危险废物中放射性废物；爆炸物及反应性废物；未经拆解的废电池、废家用电器和电子产品；含汞的温度计、血压计、荧光灯管和开关；未知特性和未经鉴定的废物。除此之外，其他废物在进入水泥窑进行协同处置之前应进行适当的预处理，防止对窑况和水泥产品质量的不良影响。</w:t>
      </w:r>
    </w:p>
    <w:p w14:paraId="709E522B" w14:textId="77777777" w:rsidR="002E474C" w:rsidRDefault="00000000">
      <w:pPr>
        <w:pStyle w:val="A-z"/>
        <w:rPr>
          <w:color w:val="auto"/>
        </w:rPr>
      </w:pPr>
      <w:r>
        <w:rPr>
          <w:color w:val="auto"/>
        </w:rPr>
        <w:t>（</w:t>
      </w:r>
      <w:r>
        <w:rPr>
          <w:color w:val="auto"/>
        </w:rPr>
        <w:t>2</w:t>
      </w:r>
      <w:r>
        <w:rPr>
          <w:color w:val="auto"/>
        </w:rPr>
        <w:t>）入窑元素控制</w:t>
      </w:r>
    </w:p>
    <w:p w14:paraId="04C33DED" w14:textId="77777777" w:rsidR="002E474C" w:rsidRDefault="00000000">
      <w:pPr>
        <w:pStyle w:val="A-z"/>
        <w:rPr>
          <w:color w:val="auto"/>
        </w:rPr>
      </w:pPr>
      <w:r>
        <w:rPr>
          <w:color w:val="auto"/>
        </w:rPr>
        <w:t>控制入窑废物中的有害元素（重金属、氯、氟、硫等）的投加速率是水泥窑协同处置废物污染控制的重要手段。通过适当的预处理方法，将危险废物中的有害元素的投加速率控制在合理的范围之内，以免发生烟气排放超标，结皮阻塞的不良现象。</w:t>
      </w:r>
    </w:p>
    <w:p w14:paraId="512B5BC7" w14:textId="77777777" w:rsidR="002E474C" w:rsidRDefault="00000000">
      <w:pPr>
        <w:pStyle w:val="A-z"/>
        <w:rPr>
          <w:color w:val="auto"/>
        </w:rPr>
      </w:pPr>
      <w:r>
        <w:rPr>
          <w:color w:val="auto"/>
        </w:rPr>
        <w:t>（</w:t>
      </w:r>
      <w:r>
        <w:rPr>
          <w:color w:val="auto"/>
        </w:rPr>
        <w:t>3</w:t>
      </w:r>
      <w:r>
        <w:rPr>
          <w:color w:val="auto"/>
        </w:rPr>
        <w:t>）合理确定投料点</w:t>
      </w:r>
    </w:p>
    <w:p w14:paraId="076CC15B" w14:textId="77777777" w:rsidR="002E474C" w:rsidRDefault="00000000">
      <w:pPr>
        <w:pStyle w:val="A-z"/>
        <w:rPr>
          <w:color w:val="auto"/>
        </w:rPr>
      </w:pPr>
      <w:r>
        <w:rPr>
          <w:color w:val="auto"/>
        </w:rPr>
        <w:t>应根据危险废物特性和水泥窑中各投加位置的温度和停留时间等参数合理选择投料点。例如含高氯、高毒、难降解有机物质的危险废物适宜从窑头的主燃烧器进行处置。</w:t>
      </w:r>
    </w:p>
    <w:p w14:paraId="72426E49" w14:textId="77777777" w:rsidR="002E474C" w:rsidRDefault="00000000">
      <w:pPr>
        <w:pStyle w:val="41"/>
        <w:rPr>
          <w:color w:val="auto"/>
        </w:rPr>
      </w:pPr>
      <w:r>
        <w:rPr>
          <w:color w:val="auto"/>
        </w:rPr>
        <w:t>事故废水环境风险防范措施</w:t>
      </w:r>
    </w:p>
    <w:p w14:paraId="798DE97E" w14:textId="77777777" w:rsidR="002E474C" w:rsidRDefault="00000000">
      <w:pPr>
        <w:pStyle w:val="A-z"/>
        <w:rPr>
          <w:color w:val="auto"/>
        </w:rPr>
      </w:pPr>
      <w:r>
        <w:rPr>
          <w:color w:val="auto"/>
        </w:rPr>
        <w:lastRenderedPageBreak/>
        <w:t>（</w:t>
      </w:r>
      <w:r>
        <w:rPr>
          <w:color w:val="auto"/>
        </w:rPr>
        <w:t>1</w:t>
      </w:r>
      <w:r>
        <w:rPr>
          <w:color w:val="auto"/>
        </w:rPr>
        <w:t>）生产废水设收集池，采用排污泵混入处置的危险废物，最终入窑焚烧。</w:t>
      </w:r>
    </w:p>
    <w:p w14:paraId="54437418" w14:textId="77777777" w:rsidR="002E474C" w:rsidRDefault="00000000">
      <w:pPr>
        <w:pStyle w:val="A-z"/>
        <w:rPr>
          <w:color w:val="auto"/>
        </w:rPr>
      </w:pPr>
      <w:r>
        <w:rPr>
          <w:color w:val="auto"/>
        </w:rPr>
        <w:t>（</w:t>
      </w:r>
      <w:r>
        <w:rPr>
          <w:color w:val="auto"/>
        </w:rPr>
        <w:t>2</w:t>
      </w:r>
      <w:r>
        <w:rPr>
          <w:color w:val="auto"/>
        </w:rPr>
        <w:t>）采用雨污分流制，在危废贮存与预处理区域设</w:t>
      </w:r>
      <w:r>
        <w:rPr>
          <w:color w:val="auto"/>
        </w:rPr>
        <w:t>1</w:t>
      </w:r>
      <w:r>
        <w:rPr>
          <w:color w:val="auto"/>
        </w:rPr>
        <w:t>座雨水收集池用于收集各污染区域内的初期雨水，项目区一次暴雨可达</w:t>
      </w:r>
      <w:r>
        <w:rPr>
          <w:color w:val="auto"/>
        </w:rPr>
        <w:t>10-20mm</w:t>
      </w:r>
      <w:r>
        <w:rPr>
          <w:color w:val="auto"/>
        </w:rPr>
        <w:t>，本评价取</w:t>
      </w:r>
      <w:r>
        <w:rPr>
          <w:color w:val="auto"/>
        </w:rPr>
        <w:t>15mm</w:t>
      </w:r>
      <w:r>
        <w:rPr>
          <w:color w:val="auto"/>
        </w:rPr>
        <w:t>计算，危废贮存与预处理区域占地面积约</w:t>
      </w:r>
      <w:r>
        <w:rPr>
          <w:color w:val="auto"/>
        </w:rPr>
        <w:t>1400m</w:t>
      </w:r>
      <w:r>
        <w:rPr>
          <w:color w:val="auto"/>
          <w:vertAlign w:val="superscript"/>
        </w:rPr>
        <w:t>2</w:t>
      </w:r>
      <w:r>
        <w:rPr>
          <w:color w:val="auto"/>
        </w:rPr>
        <w:t>，一次暴雨收集的雨水量为</w:t>
      </w:r>
      <w:r>
        <w:rPr>
          <w:color w:val="auto"/>
        </w:rPr>
        <w:t>21m</w:t>
      </w:r>
      <w:r>
        <w:rPr>
          <w:color w:val="auto"/>
          <w:vertAlign w:val="superscript"/>
        </w:rPr>
        <w:t>3</w:t>
      </w:r>
      <w:r>
        <w:rPr>
          <w:color w:val="auto"/>
        </w:rPr>
        <w:t>。项目建设初期雨水池，有效容积</w:t>
      </w:r>
      <w:r>
        <w:rPr>
          <w:color w:val="auto"/>
        </w:rPr>
        <w:t>21m³</w:t>
      </w:r>
      <w:r>
        <w:rPr>
          <w:color w:val="auto"/>
        </w:rPr>
        <w:t>。</w:t>
      </w:r>
    </w:p>
    <w:p w14:paraId="3AC99728" w14:textId="77777777" w:rsidR="002E474C" w:rsidRDefault="00000000">
      <w:pPr>
        <w:pStyle w:val="A-z"/>
        <w:rPr>
          <w:color w:val="auto"/>
        </w:rPr>
      </w:pPr>
      <w:r>
        <w:rPr>
          <w:color w:val="auto"/>
        </w:rPr>
        <w:t>（</w:t>
      </w:r>
      <w:r>
        <w:rPr>
          <w:color w:val="auto"/>
        </w:rPr>
        <w:t>3</w:t>
      </w:r>
      <w:r>
        <w:rPr>
          <w:color w:val="auto"/>
        </w:rPr>
        <w:t>）本项目设置事故池，用于收集消防废水或泄漏的液体，避免消防废水或泄漏液体对水环境产生影响。本项目室外消防栓用水量</w:t>
      </w:r>
      <w:r>
        <w:rPr>
          <w:color w:val="auto"/>
        </w:rPr>
        <w:t>18L/s</w:t>
      </w:r>
      <w:r>
        <w:rPr>
          <w:color w:val="auto"/>
        </w:rPr>
        <w:t>，消防时间定为</w:t>
      </w:r>
      <w:r>
        <w:rPr>
          <w:color w:val="auto"/>
        </w:rPr>
        <w:t>3h</w:t>
      </w:r>
      <w:r>
        <w:rPr>
          <w:color w:val="auto"/>
        </w:rPr>
        <w:t>，消防废水产生量为</w:t>
      </w:r>
      <w:r>
        <w:rPr>
          <w:color w:val="auto"/>
        </w:rPr>
        <w:t>195m</w:t>
      </w:r>
      <w:r>
        <w:rPr>
          <w:color w:val="auto"/>
          <w:vertAlign w:val="superscript"/>
        </w:rPr>
        <w:t>3</w:t>
      </w:r>
      <w:r>
        <w:rPr>
          <w:color w:val="auto"/>
        </w:rPr>
        <w:t>。项目建设事故池，有效容积</w:t>
      </w:r>
      <w:r>
        <w:rPr>
          <w:color w:val="auto"/>
        </w:rPr>
        <w:t>200m</w:t>
      </w:r>
      <w:r>
        <w:rPr>
          <w:color w:val="auto"/>
          <w:vertAlign w:val="superscript"/>
        </w:rPr>
        <w:t>3</w:t>
      </w:r>
      <w:r>
        <w:rPr>
          <w:color w:val="auto"/>
        </w:rPr>
        <w:t>，可以满足事故状态下废水暂存需要。</w:t>
      </w:r>
    </w:p>
    <w:p w14:paraId="62B8BC96" w14:textId="77777777" w:rsidR="002E474C" w:rsidRDefault="00000000">
      <w:pPr>
        <w:pStyle w:val="41"/>
        <w:rPr>
          <w:color w:val="auto"/>
        </w:rPr>
      </w:pPr>
      <w:r>
        <w:rPr>
          <w:color w:val="auto"/>
        </w:rPr>
        <w:t>地下水环境风险防范措施</w:t>
      </w:r>
    </w:p>
    <w:p w14:paraId="6427A546" w14:textId="77777777" w:rsidR="002E474C" w:rsidRDefault="00000000">
      <w:pPr>
        <w:pStyle w:val="A-z"/>
        <w:rPr>
          <w:color w:val="auto"/>
        </w:rPr>
      </w:pPr>
      <w:r>
        <w:rPr>
          <w:color w:val="auto"/>
        </w:rPr>
        <w:t>本项目拟采取源头控制、分区防渗、地下水水质跟踪监测、应急预案等地下水污染防治措施。</w:t>
      </w:r>
    </w:p>
    <w:p w14:paraId="5FFC6603" w14:textId="77777777" w:rsidR="002E474C" w:rsidRDefault="00000000">
      <w:pPr>
        <w:pStyle w:val="A-z"/>
        <w:rPr>
          <w:color w:val="auto"/>
        </w:rPr>
      </w:pPr>
      <w:r>
        <w:rPr>
          <w:color w:val="auto"/>
        </w:rPr>
        <w:t>（</w:t>
      </w:r>
      <w:r>
        <w:rPr>
          <w:color w:val="auto"/>
        </w:rPr>
        <w:t>1</w:t>
      </w:r>
      <w:r>
        <w:rPr>
          <w:color w:val="auto"/>
        </w:rPr>
        <w:t>）厂区按照《环境影响评价技术导则</w:t>
      </w:r>
      <w:r>
        <w:rPr>
          <w:color w:val="auto"/>
        </w:rPr>
        <w:t xml:space="preserve"> </w:t>
      </w:r>
      <w:r>
        <w:rPr>
          <w:color w:val="auto"/>
        </w:rPr>
        <w:t>地下水环境》（</w:t>
      </w:r>
      <w:r>
        <w:rPr>
          <w:color w:val="auto"/>
        </w:rPr>
        <w:t>HJ610-2016</w:t>
      </w:r>
      <w:r>
        <w:rPr>
          <w:color w:val="auto"/>
        </w:rPr>
        <w:t>）及《危险废物贮存污染控制标准》（</w:t>
      </w:r>
      <w:r>
        <w:rPr>
          <w:color w:val="auto"/>
        </w:rPr>
        <w:t>GB18597-2023</w:t>
      </w:r>
      <w:r>
        <w:rPr>
          <w:color w:val="auto"/>
        </w:rPr>
        <w:t>）要求做好防渗措施，防止危险废液、废水渗漏。</w:t>
      </w:r>
    </w:p>
    <w:p w14:paraId="70E27D65" w14:textId="77777777" w:rsidR="002E474C" w:rsidRDefault="00000000">
      <w:pPr>
        <w:pStyle w:val="A-z"/>
        <w:rPr>
          <w:color w:val="auto"/>
        </w:rPr>
      </w:pPr>
      <w:r>
        <w:rPr>
          <w:color w:val="auto"/>
        </w:rPr>
        <w:t>（</w:t>
      </w:r>
      <w:r>
        <w:rPr>
          <w:color w:val="auto"/>
        </w:rPr>
        <w:t>2</w:t>
      </w:r>
      <w:r>
        <w:rPr>
          <w:color w:val="auto"/>
        </w:rPr>
        <w:t>）厂区周边根据地下水径流方向，设置地下水水质监测点，并制定合理的监测计划和应急预案。</w:t>
      </w:r>
    </w:p>
    <w:p w14:paraId="3BF172A5" w14:textId="77777777" w:rsidR="002E474C" w:rsidRDefault="00000000">
      <w:pPr>
        <w:pStyle w:val="41"/>
        <w:rPr>
          <w:color w:val="auto"/>
        </w:rPr>
      </w:pPr>
      <w:r>
        <w:rPr>
          <w:color w:val="auto"/>
        </w:rPr>
        <w:t>危险废物收集、贮存、运输过程防范措施</w:t>
      </w:r>
    </w:p>
    <w:p w14:paraId="38C7ED99" w14:textId="77777777" w:rsidR="002E474C" w:rsidRDefault="00000000">
      <w:pPr>
        <w:pStyle w:val="A-z"/>
        <w:rPr>
          <w:color w:val="auto"/>
        </w:rPr>
      </w:pPr>
      <w:r>
        <w:rPr>
          <w:color w:val="auto"/>
        </w:rPr>
        <w:t>危险废物的收集、贮存、运输应严格遵守《危险废物收集</w:t>
      </w:r>
      <w:r>
        <w:rPr>
          <w:rFonts w:hint="eastAsia"/>
          <w:color w:val="auto"/>
          <w:lang w:val="en-US"/>
        </w:rPr>
        <w:t xml:space="preserve"> </w:t>
      </w:r>
      <w:r>
        <w:rPr>
          <w:color w:val="auto"/>
        </w:rPr>
        <w:t>贮存</w:t>
      </w:r>
      <w:r>
        <w:rPr>
          <w:rFonts w:hint="eastAsia"/>
          <w:color w:val="auto"/>
          <w:lang w:val="en-US"/>
        </w:rPr>
        <w:t xml:space="preserve"> </w:t>
      </w:r>
      <w:r>
        <w:rPr>
          <w:color w:val="auto"/>
        </w:rPr>
        <w:t>运输技术规范》（</w:t>
      </w:r>
      <w:r>
        <w:rPr>
          <w:color w:val="auto"/>
        </w:rPr>
        <w:t>HJ2025-2012</w:t>
      </w:r>
      <w:r>
        <w:rPr>
          <w:color w:val="auto"/>
        </w:rPr>
        <w:t>）中相关要求。</w:t>
      </w:r>
    </w:p>
    <w:p w14:paraId="68F2CF43" w14:textId="77777777" w:rsidR="002E474C" w:rsidRDefault="00000000">
      <w:pPr>
        <w:pStyle w:val="A-z"/>
        <w:rPr>
          <w:color w:val="auto"/>
        </w:rPr>
      </w:pPr>
      <w:r>
        <w:rPr>
          <w:color w:val="auto"/>
        </w:rPr>
        <w:t>（</w:t>
      </w:r>
      <w:r>
        <w:rPr>
          <w:color w:val="auto"/>
        </w:rPr>
        <w:t>1</w:t>
      </w:r>
      <w:r>
        <w:rPr>
          <w:color w:val="auto"/>
        </w:rPr>
        <w:t>）一般要求</w:t>
      </w:r>
    </w:p>
    <w:p w14:paraId="46061E86" w14:textId="77777777" w:rsidR="002E474C" w:rsidRDefault="00000000">
      <w:pPr>
        <w:pStyle w:val="A-z"/>
        <w:rPr>
          <w:color w:val="auto"/>
        </w:rPr>
      </w:pPr>
      <w:r>
        <w:rPr>
          <w:color w:val="auto"/>
        </w:rPr>
        <w:t>①</w:t>
      </w:r>
      <w:r>
        <w:rPr>
          <w:color w:val="auto"/>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73CDC4B5" w14:textId="77777777" w:rsidR="002E474C" w:rsidRDefault="00000000">
      <w:pPr>
        <w:pStyle w:val="A-z"/>
        <w:rPr>
          <w:color w:val="auto"/>
        </w:rPr>
      </w:pPr>
      <w:r>
        <w:rPr>
          <w:color w:val="auto"/>
        </w:rPr>
        <w:t>②</w:t>
      </w:r>
      <w:r>
        <w:rPr>
          <w:color w:val="auto"/>
        </w:rPr>
        <w:t>危险废物转移过程应按《危险废物转移管理办法》执行。</w:t>
      </w:r>
    </w:p>
    <w:p w14:paraId="38003F47" w14:textId="77777777" w:rsidR="002E474C" w:rsidRDefault="00000000">
      <w:pPr>
        <w:pStyle w:val="A-z"/>
        <w:rPr>
          <w:color w:val="auto"/>
        </w:rPr>
      </w:pPr>
      <w:r>
        <w:rPr>
          <w:color w:val="auto"/>
        </w:rPr>
        <w:lastRenderedPageBreak/>
        <w:t>③</w:t>
      </w:r>
      <w:r>
        <w:rPr>
          <w:color w:val="auto"/>
        </w:rPr>
        <w:t>危险废物收集、贮存、运输单位应建立规范的管理和技术人员培训制度，定期对管理和技术人员进行培训。培训内容至少应包括危险废物鉴别要求、危险废物经营许可证管理、危险废物转移联单管理、危险废物包装和标识、危险废物运输要求、危险废物事故应急方法等。</w:t>
      </w:r>
    </w:p>
    <w:p w14:paraId="7C885371" w14:textId="77777777" w:rsidR="002E474C" w:rsidRDefault="00000000">
      <w:pPr>
        <w:pStyle w:val="A-z"/>
        <w:rPr>
          <w:color w:val="auto"/>
        </w:rPr>
      </w:pPr>
      <w:r>
        <w:rPr>
          <w:color w:val="auto"/>
        </w:rPr>
        <w:t>④</w:t>
      </w:r>
      <w:r>
        <w:rPr>
          <w:color w:val="auto"/>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14F60F4A" w14:textId="77777777" w:rsidR="002E474C" w:rsidRDefault="00000000">
      <w:pPr>
        <w:pStyle w:val="A-z"/>
        <w:rPr>
          <w:color w:val="auto"/>
        </w:rPr>
      </w:pPr>
      <w:r>
        <w:rPr>
          <w:color w:val="auto"/>
        </w:rPr>
        <w:t>⑤</w:t>
      </w:r>
      <w:r>
        <w:rPr>
          <w:color w:val="auto"/>
        </w:rPr>
        <w:t>危险废物收集、贮存、运输过程中一旦发生意外事故，收集、贮存、运输单位及相关部门应根据风险程度采取如下措施：</w:t>
      </w:r>
    </w:p>
    <w:p w14:paraId="3EB53976" w14:textId="77777777" w:rsidR="002E474C" w:rsidRDefault="00000000">
      <w:pPr>
        <w:pStyle w:val="A-z"/>
        <w:rPr>
          <w:color w:val="auto"/>
        </w:rPr>
      </w:pPr>
      <w:r>
        <w:rPr>
          <w:color w:val="auto"/>
        </w:rPr>
        <w:t>a</w:t>
      </w:r>
      <w:r>
        <w:rPr>
          <w:color w:val="auto"/>
        </w:rPr>
        <w:t>）、设立事故警戒线，启动应急预案，并按《环境保护行政主管部门突发环境事件信息报告办法（试行）》（环发〔</w:t>
      </w:r>
      <w:r>
        <w:rPr>
          <w:color w:val="auto"/>
        </w:rPr>
        <w:t>2006</w:t>
      </w:r>
      <w:r>
        <w:rPr>
          <w:color w:val="auto"/>
        </w:rPr>
        <w:t>〕</w:t>
      </w:r>
      <w:r>
        <w:rPr>
          <w:color w:val="auto"/>
        </w:rPr>
        <w:t>50</w:t>
      </w:r>
      <w:r>
        <w:rPr>
          <w:color w:val="auto"/>
        </w:rPr>
        <w:t>）要求进行报告。</w:t>
      </w:r>
      <w:r>
        <w:rPr>
          <w:color w:val="auto"/>
        </w:rPr>
        <w:t>b</w:t>
      </w:r>
      <w:r>
        <w:rPr>
          <w:color w:val="auto"/>
        </w:rPr>
        <w:t>）、若造成事故的危险废物具有剧毒性、易燃性、爆炸性或高传染性，应立即疏散人群，并请求环境保护、消防、医疗、公安等相关部门支援。</w:t>
      </w:r>
      <w:r>
        <w:rPr>
          <w:color w:val="auto"/>
        </w:rPr>
        <w:t>c</w:t>
      </w:r>
      <w:r>
        <w:rPr>
          <w:color w:val="auto"/>
        </w:rPr>
        <w:t>）、对事故现场受到污染的土壤和水体等环境介质应进行相应的清理和修复。</w:t>
      </w:r>
      <w:r>
        <w:rPr>
          <w:color w:val="auto"/>
        </w:rPr>
        <w:t>d</w:t>
      </w:r>
      <w:r>
        <w:rPr>
          <w:color w:val="auto"/>
        </w:rPr>
        <w:t>）、清理过程中产生的所有废物均应按危险废物进行管理和处置。</w:t>
      </w:r>
      <w:r>
        <w:rPr>
          <w:color w:val="auto"/>
        </w:rPr>
        <w:t>e</w:t>
      </w:r>
      <w:r>
        <w:rPr>
          <w:color w:val="auto"/>
        </w:rPr>
        <w:t>）、进入现场清理和包装危险废物的人员应受过专业培训，穿着防护服，并佩戴相应的防护用具。</w:t>
      </w:r>
    </w:p>
    <w:p w14:paraId="496A4AD2" w14:textId="77777777" w:rsidR="002E474C" w:rsidRDefault="00000000">
      <w:pPr>
        <w:pStyle w:val="A-z"/>
        <w:rPr>
          <w:color w:val="auto"/>
        </w:rPr>
      </w:pPr>
      <w:r>
        <w:rPr>
          <w:color w:val="auto"/>
        </w:rPr>
        <w:t>⑥</w:t>
      </w:r>
      <w:r>
        <w:rPr>
          <w:color w:val="auto"/>
        </w:rPr>
        <w:t>危险废物收集、贮存、运输时应按腐蚀性、毒性、易燃性、反应性和感染性等危险特性对危险废物进行分类、包装并设置相应的标志及标签。危险废物特性应根据其产生源特性及</w:t>
      </w:r>
      <w:r>
        <w:rPr>
          <w:color w:val="auto"/>
        </w:rPr>
        <w:t>GB5085.1-7</w:t>
      </w:r>
      <w:r>
        <w:rPr>
          <w:color w:val="auto"/>
        </w:rPr>
        <w:t>、</w:t>
      </w:r>
      <w:r>
        <w:rPr>
          <w:color w:val="auto"/>
        </w:rPr>
        <w:t xml:space="preserve">HJ/T298 </w:t>
      </w:r>
      <w:r>
        <w:rPr>
          <w:color w:val="auto"/>
        </w:rPr>
        <w:t>进行鉴别。</w:t>
      </w:r>
    </w:p>
    <w:p w14:paraId="0DC523CC" w14:textId="77777777" w:rsidR="002E474C" w:rsidRDefault="00000000">
      <w:pPr>
        <w:pStyle w:val="A-z"/>
        <w:ind w:firstLine="456"/>
        <w:rPr>
          <w:color w:val="auto"/>
          <w:spacing w:val="-6"/>
        </w:rPr>
      </w:pPr>
      <w:r>
        <w:rPr>
          <w:color w:val="auto"/>
          <w:spacing w:val="-6"/>
        </w:rPr>
        <w:t>⑦</w:t>
      </w:r>
      <w:r>
        <w:rPr>
          <w:color w:val="auto"/>
          <w:spacing w:val="-6"/>
        </w:rPr>
        <w:t>医疗废物处置经营单位实施的收集、贮存和运输应按《医疗废物集中处置技术规范》、</w:t>
      </w:r>
      <w:r>
        <w:rPr>
          <w:color w:val="auto"/>
          <w:spacing w:val="-6"/>
        </w:rPr>
        <w:t>GB19217</w:t>
      </w:r>
      <w:r>
        <w:rPr>
          <w:color w:val="auto"/>
          <w:spacing w:val="-6"/>
        </w:rPr>
        <w:t>、</w:t>
      </w:r>
      <w:r>
        <w:rPr>
          <w:color w:val="auto"/>
          <w:spacing w:val="-6"/>
        </w:rPr>
        <w:t>HJ/T177</w:t>
      </w:r>
      <w:r>
        <w:rPr>
          <w:color w:val="auto"/>
          <w:spacing w:val="-6"/>
        </w:rPr>
        <w:t>、</w:t>
      </w:r>
      <w:r>
        <w:rPr>
          <w:color w:val="auto"/>
          <w:spacing w:val="-6"/>
        </w:rPr>
        <w:t>HJ/T229</w:t>
      </w:r>
      <w:r>
        <w:rPr>
          <w:color w:val="auto"/>
          <w:spacing w:val="-6"/>
        </w:rPr>
        <w:t>、</w:t>
      </w:r>
      <w:r>
        <w:rPr>
          <w:color w:val="auto"/>
          <w:spacing w:val="-6"/>
        </w:rPr>
        <w:t>HJ/T276</w:t>
      </w:r>
      <w:r>
        <w:rPr>
          <w:color w:val="auto"/>
          <w:spacing w:val="-6"/>
        </w:rPr>
        <w:t>及</w:t>
      </w:r>
      <w:r>
        <w:rPr>
          <w:color w:val="auto"/>
          <w:spacing w:val="-6"/>
        </w:rPr>
        <w:t>HJ/T228</w:t>
      </w:r>
      <w:r>
        <w:rPr>
          <w:color w:val="auto"/>
          <w:spacing w:val="-6"/>
        </w:rPr>
        <w:t>执行；医疗机构内部实施的医疗废物收集、贮存和运输应按《医疗废物集中处置技术规范》执行。</w:t>
      </w:r>
    </w:p>
    <w:p w14:paraId="5EFB03DA" w14:textId="77777777" w:rsidR="002E474C" w:rsidRDefault="00000000">
      <w:pPr>
        <w:pStyle w:val="A-z"/>
        <w:rPr>
          <w:color w:val="auto"/>
        </w:rPr>
      </w:pPr>
      <w:r>
        <w:rPr>
          <w:color w:val="auto"/>
        </w:rPr>
        <w:t>（</w:t>
      </w:r>
      <w:r>
        <w:rPr>
          <w:color w:val="auto"/>
        </w:rPr>
        <w:t>2</w:t>
      </w:r>
      <w:r>
        <w:rPr>
          <w:color w:val="auto"/>
        </w:rPr>
        <w:t>）危险废物收集</w:t>
      </w:r>
    </w:p>
    <w:p w14:paraId="5ECFAB9E" w14:textId="77777777" w:rsidR="002E474C" w:rsidRDefault="00000000">
      <w:pPr>
        <w:pStyle w:val="A-z"/>
        <w:rPr>
          <w:color w:val="auto"/>
        </w:rPr>
      </w:pPr>
      <w:r>
        <w:rPr>
          <w:color w:val="auto"/>
        </w:rPr>
        <w:t>项目危险收集工作只涉及从危险废物产生单位，将已经收集、包装好的危险废物转移到专用运输车辆上，运输至危险废物协同处置单位进行协同处置。因此本报告对于危险废物产生单位厂内危险废物的收集不进行要求。针对危险废物集中收集过程提出如下要求：</w:t>
      </w:r>
    </w:p>
    <w:p w14:paraId="5FF7BC0A" w14:textId="77777777" w:rsidR="002E474C" w:rsidRDefault="00000000">
      <w:pPr>
        <w:pStyle w:val="A-z"/>
        <w:rPr>
          <w:color w:val="auto"/>
        </w:rPr>
      </w:pPr>
      <w:r>
        <w:rPr>
          <w:color w:val="auto"/>
        </w:rPr>
        <w:t>①</w:t>
      </w:r>
      <w:r>
        <w:rPr>
          <w:color w:val="auto"/>
        </w:rPr>
        <w:t>危险废物的收集应制定详细的操作规程，内容至少包括适用范围、操作程序和方法、专用设备和工具、转移和交接、安全保障和应急防护等。</w:t>
      </w:r>
    </w:p>
    <w:p w14:paraId="3DF5BE33" w14:textId="77777777" w:rsidR="002E474C" w:rsidRDefault="00000000">
      <w:pPr>
        <w:pStyle w:val="A-z"/>
        <w:rPr>
          <w:color w:val="auto"/>
        </w:rPr>
      </w:pPr>
      <w:r>
        <w:rPr>
          <w:color w:val="auto"/>
        </w:rPr>
        <w:lastRenderedPageBreak/>
        <w:t>②</w:t>
      </w:r>
      <w:r>
        <w:rPr>
          <w:color w:val="auto"/>
        </w:rPr>
        <w:t>危险废物收集和转运作业人员应根据工作需要配备必要的个人防护装备，如手套、防护镜、防护服、防毒面具或口罩等。</w:t>
      </w:r>
    </w:p>
    <w:p w14:paraId="178E79F4" w14:textId="77777777" w:rsidR="002E474C" w:rsidRDefault="00000000">
      <w:pPr>
        <w:pStyle w:val="A-z"/>
        <w:rPr>
          <w:color w:val="auto"/>
        </w:rPr>
      </w:pPr>
      <w:r>
        <w:rPr>
          <w:color w:val="auto"/>
        </w:rPr>
        <w:t>③</w:t>
      </w:r>
      <w:r>
        <w:rPr>
          <w:color w:val="auto"/>
        </w:rPr>
        <w:t>在危险废物的收集和转运过程中，应采取相应的安全防护和污染防治措施，包括防爆、防火、防中毒、防感染、防泄漏、防飞扬、防雨或其它防止污染环境的措施。</w:t>
      </w:r>
    </w:p>
    <w:p w14:paraId="4FE94DCC" w14:textId="77777777" w:rsidR="002E474C" w:rsidRDefault="00000000">
      <w:pPr>
        <w:pStyle w:val="A-z"/>
        <w:rPr>
          <w:color w:val="auto"/>
        </w:rPr>
      </w:pPr>
      <w:r>
        <w:rPr>
          <w:color w:val="auto"/>
        </w:rPr>
        <w:t>④</w:t>
      </w:r>
      <w:r>
        <w:rPr>
          <w:color w:val="auto"/>
        </w:rPr>
        <w:t>危险废物的收集作业应满足如下要求：</w:t>
      </w:r>
    </w:p>
    <w:p w14:paraId="445A61E0" w14:textId="77777777" w:rsidR="002E474C" w:rsidRDefault="00000000">
      <w:pPr>
        <w:pStyle w:val="A-z"/>
        <w:rPr>
          <w:color w:val="auto"/>
        </w:rPr>
      </w:pPr>
      <w:r>
        <w:rPr>
          <w:color w:val="auto"/>
        </w:rPr>
        <w:t>a</w:t>
      </w:r>
      <w:r>
        <w:rPr>
          <w:color w:val="auto"/>
        </w:rPr>
        <w:t>）、应根据收集设备、转运车辆以及现场人员等实际情况确定相应作业区域，同时要设置作业界限标志和警示牌。</w:t>
      </w:r>
      <w:r>
        <w:rPr>
          <w:color w:val="auto"/>
        </w:rPr>
        <w:t>b</w:t>
      </w:r>
      <w:r>
        <w:rPr>
          <w:color w:val="auto"/>
        </w:rPr>
        <w:t>）、作业区域内应设置危险废物收集专用通道和人员避险通道。</w:t>
      </w:r>
      <w:r>
        <w:rPr>
          <w:color w:val="auto"/>
        </w:rPr>
        <w:t>c</w:t>
      </w:r>
      <w:r>
        <w:rPr>
          <w:color w:val="auto"/>
        </w:rPr>
        <w:t>）、收集时应配备必要的收集工具和包装物，以及必要的应急监测设备及应急装备。</w:t>
      </w:r>
      <w:r>
        <w:rPr>
          <w:color w:val="auto"/>
        </w:rPr>
        <w:t>d</w:t>
      </w:r>
      <w:r>
        <w:rPr>
          <w:color w:val="auto"/>
        </w:rPr>
        <w:t>）、危险废物收集按照危险废物收集记录表进行记录，并将记录表作为危险废物管理的重要档案妥善保存。</w:t>
      </w:r>
      <w:r>
        <w:rPr>
          <w:color w:val="auto"/>
        </w:rPr>
        <w:t>e</w:t>
      </w:r>
      <w:r>
        <w:rPr>
          <w:color w:val="auto"/>
        </w:rPr>
        <w:t>）、收集结束后应清理和恢复收集作业区域，确保作业区域的环境整洁安全。</w:t>
      </w:r>
      <w:r>
        <w:rPr>
          <w:color w:val="auto"/>
        </w:rPr>
        <w:t>f</w:t>
      </w:r>
      <w:r>
        <w:rPr>
          <w:color w:val="auto"/>
        </w:rPr>
        <w:t>）、收集过危险废物的容器、设备、设施、场所及其它物品转作它用时，应消除污染确保其使用安全。</w:t>
      </w:r>
    </w:p>
    <w:p w14:paraId="5A69B540" w14:textId="77777777" w:rsidR="002E474C" w:rsidRDefault="00000000">
      <w:pPr>
        <w:pStyle w:val="A-z"/>
        <w:rPr>
          <w:color w:val="auto"/>
        </w:rPr>
      </w:pPr>
      <w:r>
        <w:rPr>
          <w:color w:val="auto"/>
        </w:rPr>
        <w:t>⑤</w:t>
      </w:r>
      <w:r>
        <w:rPr>
          <w:color w:val="auto"/>
        </w:rPr>
        <w:t>收集不具备运输包装条件的危险废物时，且危险特性不会对环境和操作人员造成重大危害，可在临时包装后进行暂时贮存，但正式运输前应按（</w:t>
      </w:r>
      <w:r>
        <w:rPr>
          <w:color w:val="auto"/>
        </w:rPr>
        <w:t>HJ2025-2012</w:t>
      </w:r>
      <w:r>
        <w:rPr>
          <w:color w:val="auto"/>
        </w:rPr>
        <w:t>）要求进行包装。</w:t>
      </w:r>
    </w:p>
    <w:p w14:paraId="245B4127" w14:textId="77777777" w:rsidR="002E474C" w:rsidRDefault="00000000">
      <w:pPr>
        <w:pStyle w:val="A-z"/>
        <w:rPr>
          <w:color w:val="auto"/>
        </w:rPr>
      </w:pPr>
      <w:r>
        <w:rPr>
          <w:color w:val="auto"/>
        </w:rPr>
        <w:t>⑥</w:t>
      </w:r>
      <w:r>
        <w:rPr>
          <w:color w:val="auto"/>
        </w:rPr>
        <w:t>危险废物收集前应进行放射性检测。</w:t>
      </w:r>
    </w:p>
    <w:p w14:paraId="5BDF3408" w14:textId="77777777" w:rsidR="002E474C" w:rsidRDefault="00000000">
      <w:pPr>
        <w:pStyle w:val="A-z"/>
        <w:rPr>
          <w:color w:val="auto"/>
        </w:rPr>
      </w:pPr>
      <w:r>
        <w:rPr>
          <w:color w:val="auto"/>
        </w:rPr>
        <w:t>（</w:t>
      </w:r>
      <w:r>
        <w:rPr>
          <w:color w:val="auto"/>
        </w:rPr>
        <w:t>3</w:t>
      </w:r>
      <w:r>
        <w:rPr>
          <w:color w:val="auto"/>
        </w:rPr>
        <w:t>）危险废物贮存</w:t>
      </w:r>
    </w:p>
    <w:p w14:paraId="1CDBFFF5" w14:textId="77777777" w:rsidR="002E474C" w:rsidRDefault="00000000">
      <w:pPr>
        <w:pStyle w:val="A-z"/>
        <w:rPr>
          <w:color w:val="auto"/>
        </w:rPr>
      </w:pPr>
      <w:r>
        <w:rPr>
          <w:color w:val="auto"/>
        </w:rPr>
        <w:t>贮存过程事故风险主要是因废物泄漏而造成的火灾爆炸、毒物泄漏、毒气释放和水质污染等事故，是安全生产的重要方面。针对危险废物储存过程中的风险，采取如下措施降低产生风险的可能性：</w:t>
      </w:r>
    </w:p>
    <w:p w14:paraId="3EF726CE" w14:textId="05F76171" w:rsidR="002E474C" w:rsidRDefault="00000000">
      <w:pPr>
        <w:pStyle w:val="A-z"/>
        <w:rPr>
          <w:color w:val="auto"/>
        </w:rPr>
      </w:pPr>
      <w:r>
        <w:rPr>
          <w:color w:val="auto"/>
        </w:rPr>
        <w:t>1</w:t>
      </w:r>
      <w:r>
        <w:rPr>
          <w:color w:val="auto"/>
        </w:rPr>
        <w:t>）经鉴别后的废物分类贮存于专用贮存设施内，危险废物贮存设施按《危险废物贮存污染控制标准》（</w:t>
      </w:r>
      <w:r>
        <w:rPr>
          <w:color w:val="auto"/>
        </w:rPr>
        <w:t>GB18597-2023</w:t>
      </w:r>
      <w:r>
        <w:rPr>
          <w:color w:val="auto"/>
        </w:rPr>
        <w:t>）进行建设，贮存场所根据《环境保护图形标志－固体废物贮存（处置）场》（</w:t>
      </w:r>
      <w:r>
        <w:rPr>
          <w:color w:val="auto"/>
        </w:rPr>
        <w:t>GB15562.2-1995</w:t>
      </w:r>
      <w:r>
        <w:rPr>
          <w:color w:val="auto"/>
        </w:rPr>
        <w:t>）</w:t>
      </w:r>
      <w:r w:rsidR="00694512" w:rsidRPr="00694512">
        <w:rPr>
          <w:color w:val="auto"/>
          <w:lang w:val="en-US"/>
        </w:rPr>
        <w:t>（</w:t>
      </w:r>
      <w:r w:rsidR="00694512" w:rsidRPr="00694512">
        <w:rPr>
          <w:color w:val="auto"/>
          <w:lang w:val="en-US"/>
        </w:rPr>
        <w:t>2023</w:t>
      </w:r>
      <w:r w:rsidR="00694512" w:rsidRPr="00694512">
        <w:rPr>
          <w:color w:val="auto"/>
          <w:lang w:val="en-US"/>
        </w:rPr>
        <w:t>修改单）</w:t>
      </w:r>
      <w:r>
        <w:rPr>
          <w:color w:val="auto"/>
        </w:rPr>
        <w:t>设立专用标志，贮存面积在按正常贮存需要考虑的同时，还将满足应急情况对贮存面积的需求。</w:t>
      </w:r>
    </w:p>
    <w:p w14:paraId="2A988DA5" w14:textId="77777777" w:rsidR="002E474C" w:rsidRDefault="00000000">
      <w:pPr>
        <w:pStyle w:val="A-z"/>
        <w:rPr>
          <w:color w:val="auto"/>
        </w:rPr>
      </w:pPr>
      <w:r>
        <w:rPr>
          <w:color w:val="auto"/>
        </w:rPr>
        <w:t>2</w:t>
      </w:r>
      <w:r>
        <w:rPr>
          <w:color w:val="auto"/>
        </w:rPr>
        <w:t>）危险废物根据其种类和形态以及特性，将分别设置可燃废物、不可燃废物以及液体废物三个贮存区。</w:t>
      </w:r>
    </w:p>
    <w:p w14:paraId="397EC07E" w14:textId="77777777" w:rsidR="002E474C" w:rsidRDefault="00000000">
      <w:pPr>
        <w:pStyle w:val="A-z"/>
        <w:rPr>
          <w:color w:val="auto"/>
        </w:rPr>
      </w:pPr>
      <w:r>
        <w:rPr>
          <w:color w:val="auto"/>
        </w:rPr>
        <w:t>3</w:t>
      </w:r>
      <w:r>
        <w:rPr>
          <w:color w:val="auto"/>
        </w:rPr>
        <w:t>）危险废物贮存容器具有耐腐蚀、耐压、密封和不与所贮存的废物发生反</w:t>
      </w:r>
      <w:r>
        <w:rPr>
          <w:color w:val="auto"/>
        </w:rPr>
        <w:lastRenderedPageBreak/>
        <w:t>应等特性，贮存容器应保证完好无损并具有明显标志。</w:t>
      </w:r>
    </w:p>
    <w:p w14:paraId="4EAB7B89" w14:textId="77777777" w:rsidR="002E474C" w:rsidRDefault="00000000">
      <w:pPr>
        <w:pStyle w:val="A-z"/>
        <w:rPr>
          <w:color w:val="auto"/>
        </w:rPr>
      </w:pPr>
      <w:r>
        <w:rPr>
          <w:color w:val="auto"/>
        </w:rPr>
        <w:t>4</w:t>
      </w:r>
      <w:r>
        <w:rPr>
          <w:color w:val="auto"/>
        </w:rPr>
        <w:t>）在危废贮存库和固态危废预处理车间内设有温度控制设备及防渗设施、泄漏液体收集装置及气体导出口、安全照明和观察窗口、应急防护设施、隔离设施、报警装置和防风、防晒、防雨设施、消防设施和通风系统。</w:t>
      </w:r>
    </w:p>
    <w:p w14:paraId="23AF27D7" w14:textId="77777777" w:rsidR="002E474C" w:rsidRDefault="00000000">
      <w:pPr>
        <w:pStyle w:val="A-z"/>
        <w:rPr>
          <w:color w:val="auto"/>
        </w:rPr>
      </w:pPr>
      <w:r>
        <w:rPr>
          <w:color w:val="auto"/>
        </w:rPr>
        <w:t>5</w:t>
      </w:r>
      <w:r>
        <w:rPr>
          <w:color w:val="auto"/>
        </w:rPr>
        <w:t>）项目贮存设施是密闭结构，各贮存车间、事故池等的采用防渗处理，防渗要求达到《危险废物贮存污染控制标准》（</w:t>
      </w:r>
      <w:r>
        <w:rPr>
          <w:color w:val="auto"/>
        </w:rPr>
        <w:t>GB18597-2023</w:t>
      </w:r>
      <w:r>
        <w:rPr>
          <w:color w:val="auto"/>
        </w:rPr>
        <w:t>）等相关要求。各车间的地面、墙面和屋顶所使用的材料、设计都有足够的强度，能保障在区域内的物料、人员和重型机械的相关的作业。密闭仓库内在贮存的过程中所有与危废接触的表面，都已根据危废的化学成分进行相应的处理。</w:t>
      </w:r>
    </w:p>
    <w:p w14:paraId="11981A41" w14:textId="77777777" w:rsidR="002E474C" w:rsidRDefault="00000000">
      <w:pPr>
        <w:pStyle w:val="A-z"/>
        <w:ind w:firstLine="456"/>
        <w:rPr>
          <w:color w:val="auto"/>
          <w:spacing w:val="-6"/>
        </w:rPr>
      </w:pPr>
      <w:r>
        <w:rPr>
          <w:color w:val="auto"/>
          <w:spacing w:val="-6"/>
        </w:rPr>
        <w:t>6</w:t>
      </w:r>
      <w:r>
        <w:rPr>
          <w:color w:val="auto"/>
          <w:spacing w:val="-6"/>
        </w:rPr>
        <w:t>）在各贮存库区和储罐区设置导流槽，在贮存车间外部设事故应急池，在正常情况下应保证事故应急收集池不能存放废水或其它污水，下雨时积聚的雨水应及时排空，当发生风险事故时可保证泄漏或消防、冲洗废水能迅速、安全地集中到事故应急收集池，然后逐步泵入回转窑焚烧处理，不致发生事故排放，污染环境。</w:t>
      </w:r>
    </w:p>
    <w:p w14:paraId="1333FD78" w14:textId="77777777" w:rsidR="002E474C" w:rsidRDefault="00000000">
      <w:pPr>
        <w:pStyle w:val="A-z"/>
        <w:rPr>
          <w:color w:val="auto"/>
        </w:rPr>
      </w:pPr>
      <w:r>
        <w:rPr>
          <w:color w:val="auto"/>
        </w:rPr>
        <w:t>7</w:t>
      </w:r>
      <w:r>
        <w:rPr>
          <w:color w:val="auto"/>
        </w:rPr>
        <w:t>）设有隔离设施、报警装置和防风、防晒、防雨设施。须有泄漏液体收集装置及气体导出口和气体净化装置，存放液态、半固态危废的地方还须有耐腐蚀的硬化地面，地面无裂隙。不相容的危险废物堆放区必须有隔离间隔断。贮存易燃易爆的危险废物的场所必须有专人</w:t>
      </w:r>
      <w:r>
        <w:rPr>
          <w:color w:val="auto"/>
        </w:rPr>
        <w:t>24</w:t>
      </w:r>
      <w:r>
        <w:rPr>
          <w:color w:val="auto"/>
        </w:rPr>
        <w:t>小时看管。</w:t>
      </w:r>
    </w:p>
    <w:p w14:paraId="4C8F8D81" w14:textId="77777777" w:rsidR="002E474C" w:rsidRDefault="00000000">
      <w:pPr>
        <w:pStyle w:val="A-z"/>
        <w:rPr>
          <w:color w:val="auto"/>
        </w:rPr>
      </w:pPr>
      <w:r>
        <w:rPr>
          <w:color w:val="auto"/>
        </w:rPr>
        <w:t>8</w:t>
      </w:r>
      <w:r>
        <w:rPr>
          <w:color w:val="auto"/>
        </w:rPr>
        <w:t>）从事危险废物贮存，必须得到有资质单位出具的该危险废物样品物理和化学性质的分析报告，认定可以贮存后，方可贮存。危险废物贮存前应进行检验，确保同预定接收的危险废物一致，并登记注册。作好危险废物情况的记录，记录上须注明危险废物的名称、来源、数量、特性和包装容器的类别、入库日期、存放单位、废物出库日期及接收单位名称。</w:t>
      </w:r>
    </w:p>
    <w:p w14:paraId="3A346E72" w14:textId="77777777" w:rsidR="002E474C" w:rsidRDefault="00000000">
      <w:pPr>
        <w:pStyle w:val="A-z"/>
        <w:ind w:firstLine="456"/>
        <w:rPr>
          <w:color w:val="auto"/>
          <w:spacing w:val="-6"/>
        </w:rPr>
      </w:pPr>
      <w:r>
        <w:rPr>
          <w:color w:val="auto"/>
          <w:spacing w:val="-6"/>
        </w:rPr>
        <w:t>9</w:t>
      </w:r>
      <w:r>
        <w:rPr>
          <w:color w:val="auto"/>
          <w:spacing w:val="-6"/>
        </w:rPr>
        <w:t>）设置警示标志，配备通讯设备、照明设施、安全防护服装及工具，应急防护设施。保持通风，有避雷、接地线装置，消防的注意事项，盛装可燃或者易反应废物的容器与公共设施应有足够的安全距离；不相容废物贮存之间应有安全距离。</w:t>
      </w:r>
    </w:p>
    <w:p w14:paraId="087DEA6D" w14:textId="77777777" w:rsidR="002E474C" w:rsidRDefault="00000000">
      <w:pPr>
        <w:pStyle w:val="A-z"/>
        <w:rPr>
          <w:color w:val="auto"/>
        </w:rPr>
      </w:pPr>
      <w:r>
        <w:rPr>
          <w:color w:val="auto"/>
        </w:rPr>
        <w:t>10</w:t>
      </w:r>
      <w:r>
        <w:rPr>
          <w:color w:val="auto"/>
        </w:rPr>
        <w:t>）为防止固废及其渗滤液渗漏，应在危险废物储存区的边坡和底部都铺设双重防渗系统，防渗系统由过滤层、主渗滤液收集层、保护层、防渗层、地基土等</w:t>
      </w:r>
      <w:r>
        <w:rPr>
          <w:color w:val="auto"/>
        </w:rPr>
        <w:t>8</w:t>
      </w:r>
      <w:r>
        <w:rPr>
          <w:color w:val="auto"/>
        </w:rPr>
        <w:t>层组成，防渗系统通过防渗层防止渗滤液污染周围的生态环境。并设置固废渗漏液收集系统，将渗滤液收集至事故池，釆用保护措施后，送水泥窑焚烧处置。</w:t>
      </w:r>
    </w:p>
    <w:p w14:paraId="6197175C" w14:textId="77777777" w:rsidR="002E474C" w:rsidRDefault="00000000">
      <w:pPr>
        <w:pStyle w:val="A-z"/>
        <w:rPr>
          <w:color w:val="auto"/>
        </w:rPr>
      </w:pPr>
      <w:r>
        <w:rPr>
          <w:color w:val="auto"/>
        </w:rPr>
        <w:t>11</w:t>
      </w:r>
      <w:r>
        <w:rPr>
          <w:color w:val="auto"/>
        </w:rPr>
        <w:t>）为了防止泄漏对地下水和土壤造成影响，建设单位釆取了以下措施：</w:t>
      </w:r>
    </w:p>
    <w:p w14:paraId="7C68145D" w14:textId="77777777" w:rsidR="002E474C" w:rsidRDefault="00000000">
      <w:pPr>
        <w:pStyle w:val="A-z"/>
        <w:rPr>
          <w:color w:val="auto"/>
        </w:rPr>
      </w:pPr>
      <w:r>
        <w:rPr>
          <w:color w:val="auto"/>
        </w:rPr>
        <w:lastRenderedPageBreak/>
        <w:t>经鉴别后的危险废物分类贮存于车间内，危险废物贮存场所内建有堵截泄漏的裙角，地面与裙角均用防渗的材料建造，并保证与危险废物相容，墙面、棚面作防吸附处理，用于存放装载液态、半固态危废容器的地方，有耐腐蚀的硬化地面，且表面无裂隙，使用耐腐蚀、耐压、密封和不与所贮存的废物发生反应的贮存容器，并保证完好无损，标注贮存物质名称、特性、数量、注意事项等标志。</w:t>
      </w:r>
    </w:p>
    <w:p w14:paraId="3FE21BDC" w14:textId="77777777" w:rsidR="002E474C" w:rsidRDefault="00000000">
      <w:pPr>
        <w:pStyle w:val="A-z"/>
        <w:rPr>
          <w:color w:val="auto"/>
        </w:rPr>
      </w:pPr>
      <w:r>
        <w:rPr>
          <w:color w:val="auto"/>
        </w:rPr>
        <w:t>12</w:t>
      </w:r>
      <w:r>
        <w:rPr>
          <w:color w:val="auto"/>
        </w:rPr>
        <w:t>）水泥窑停产状态下，危险废物暂存于贮存库内，贮存设施能满足水泥窑停产检修或事故状态下短时间内暂存需求。若水泥窑生产线长时间停产，应及时通知各产废单位，暂时停止收购危险废物，要求各产废单位在各自危废贮存场所妥善贮存。</w:t>
      </w:r>
    </w:p>
    <w:p w14:paraId="6053AC4C" w14:textId="77777777" w:rsidR="002E474C" w:rsidRDefault="00000000">
      <w:pPr>
        <w:pStyle w:val="A-z"/>
        <w:rPr>
          <w:color w:val="auto"/>
        </w:rPr>
      </w:pPr>
      <w:r>
        <w:rPr>
          <w:color w:val="auto"/>
        </w:rPr>
        <w:t>13</w:t>
      </w:r>
      <w:r>
        <w:rPr>
          <w:color w:val="auto"/>
        </w:rPr>
        <w:t>）在实际操作过程中，制定周密的检修计划，提前</w:t>
      </w:r>
      <w:r>
        <w:rPr>
          <w:color w:val="auto"/>
        </w:rPr>
        <w:t>30</w:t>
      </w:r>
      <w:r>
        <w:rPr>
          <w:color w:val="auto"/>
        </w:rPr>
        <w:t>天告知产废单位。同时在检修前及时将现有废物处置完毕，并对暂存库及各车间进行清理。废弃物停止进场由废弃物产生单位临时贮存。</w:t>
      </w:r>
    </w:p>
    <w:p w14:paraId="0505D699" w14:textId="77777777" w:rsidR="002E474C" w:rsidRDefault="00000000">
      <w:pPr>
        <w:pStyle w:val="A-z"/>
        <w:rPr>
          <w:color w:val="auto"/>
        </w:rPr>
      </w:pPr>
      <w:r>
        <w:rPr>
          <w:color w:val="auto"/>
        </w:rPr>
        <w:t>（</w:t>
      </w:r>
      <w:r>
        <w:rPr>
          <w:color w:val="auto"/>
        </w:rPr>
        <w:t>4</w:t>
      </w:r>
      <w:r>
        <w:rPr>
          <w:color w:val="auto"/>
        </w:rPr>
        <w:t>）危险废物运输</w:t>
      </w:r>
    </w:p>
    <w:p w14:paraId="4C067024" w14:textId="77777777" w:rsidR="002E474C" w:rsidRDefault="00000000">
      <w:pPr>
        <w:pStyle w:val="A-z"/>
        <w:rPr>
          <w:color w:val="auto"/>
        </w:rPr>
      </w:pPr>
      <w:r>
        <w:rPr>
          <w:color w:val="auto"/>
        </w:rPr>
        <w:t>运输路线避开居民区、商业区、学校、医院、水源地保护区等环境敏感点，运输车辆和人员必须具有危险品运输资质，并遵守道路交通法律法规。</w:t>
      </w:r>
    </w:p>
    <w:p w14:paraId="2E08F6A3" w14:textId="77777777" w:rsidR="002E474C" w:rsidRDefault="00000000">
      <w:pPr>
        <w:pStyle w:val="A-z"/>
        <w:rPr>
          <w:color w:val="auto"/>
        </w:rPr>
      </w:pPr>
      <w:r>
        <w:rPr>
          <w:color w:val="auto"/>
        </w:rPr>
        <w:t>①</w:t>
      </w:r>
      <w:r>
        <w:rPr>
          <w:color w:val="auto"/>
        </w:rPr>
        <w:t>危险废物运输应由持有危险废物经营许可证的单位按照其许可证的经营范围组织实施，承担危险废物运输的单位应获得交通运输部门颁发的危险货物运输资质。</w:t>
      </w:r>
    </w:p>
    <w:p w14:paraId="28EA91B9" w14:textId="77777777" w:rsidR="002E474C" w:rsidRDefault="00000000">
      <w:pPr>
        <w:pStyle w:val="A-z"/>
        <w:rPr>
          <w:color w:val="auto"/>
        </w:rPr>
      </w:pPr>
      <w:r>
        <w:rPr>
          <w:color w:val="auto"/>
        </w:rPr>
        <w:t>②</w:t>
      </w:r>
      <w:r>
        <w:rPr>
          <w:color w:val="auto"/>
        </w:rPr>
        <w:t>危险废物公路运输应按照《道路危险货物运输管理规定》（交通部令〔</w:t>
      </w:r>
      <w:r>
        <w:rPr>
          <w:color w:val="auto"/>
        </w:rPr>
        <w:t>2005</w:t>
      </w:r>
      <w:r>
        <w:rPr>
          <w:color w:val="auto"/>
        </w:rPr>
        <w:t>年〕第</w:t>
      </w:r>
      <w:r>
        <w:rPr>
          <w:color w:val="auto"/>
        </w:rPr>
        <w:t>9</w:t>
      </w:r>
      <w:r>
        <w:rPr>
          <w:color w:val="auto"/>
        </w:rPr>
        <w:t>号）、</w:t>
      </w:r>
      <w:r>
        <w:rPr>
          <w:color w:val="auto"/>
        </w:rPr>
        <w:t>JT617</w:t>
      </w:r>
      <w:r>
        <w:rPr>
          <w:color w:val="auto"/>
        </w:rPr>
        <w:t>以及</w:t>
      </w:r>
      <w:r>
        <w:rPr>
          <w:color w:val="auto"/>
        </w:rPr>
        <w:t>JT618</w:t>
      </w:r>
      <w:r>
        <w:rPr>
          <w:color w:val="auto"/>
        </w:rPr>
        <w:t>执行；危险废物铁路运输应按《铁路危险货物运输管理规则》（铁运〔</w:t>
      </w:r>
      <w:r>
        <w:rPr>
          <w:color w:val="auto"/>
        </w:rPr>
        <w:t>2006</w:t>
      </w:r>
      <w:r>
        <w:rPr>
          <w:color w:val="auto"/>
        </w:rPr>
        <w:t>〕</w:t>
      </w:r>
      <w:r>
        <w:rPr>
          <w:color w:val="auto"/>
        </w:rPr>
        <w:t xml:space="preserve">79 </w:t>
      </w:r>
      <w:r>
        <w:rPr>
          <w:color w:val="auto"/>
        </w:rPr>
        <w:t>号）规定执行；危险废物水路运输应按《水路危险货物运输规则》（交通部令〔</w:t>
      </w:r>
      <w:r>
        <w:rPr>
          <w:color w:val="auto"/>
        </w:rPr>
        <w:t>1996</w:t>
      </w:r>
      <w:r>
        <w:rPr>
          <w:color w:val="auto"/>
        </w:rPr>
        <w:t>年〕第</w:t>
      </w:r>
      <w:r>
        <w:rPr>
          <w:color w:val="auto"/>
        </w:rPr>
        <w:t>10</w:t>
      </w:r>
      <w:r>
        <w:rPr>
          <w:color w:val="auto"/>
        </w:rPr>
        <w:t>号）规定执行。</w:t>
      </w:r>
    </w:p>
    <w:p w14:paraId="49E53D20" w14:textId="77777777" w:rsidR="002E474C" w:rsidRDefault="00000000">
      <w:pPr>
        <w:pStyle w:val="A-z"/>
        <w:ind w:firstLine="456"/>
        <w:rPr>
          <w:color w:val="auto"/>
          <w:spacing w:val="-6"/>
        </w:rPr>
      </w:pPr>
      <w:r>
        <w:rPr>
          <w:color w:val="auto"/>
          <w:spacing w:val="-6"/>
        </w:rPr>
        <w:t>③</w:t>
      </w:r>
      <w:r>
        <w:rPr>
          <w:color w:val="auto"/>
          <w:spacing w:val="-6"/>
        </w:rPr>
        <w:t>废弃危险化学品的运输应执行《危险化学品安全管理条例》有关运输的规定。</w:t>
      </w:r>
    </w:p>
    <w:p w14:paraId="7A66C312" w14:textId="77777777" w:rsidR="002E474C" w:rsidRDefault="00000000">
      <w:pPr>
        <w:pStyle w:val="A-z"/>
        <w:rPr>
          <w:color w:val="auto"/>
        </w:rPr>
      </w:pPr>
      <w:r>
        <w:rPr>
          <w:color w:val="auto"/>
        </w:rPr>
        <w:t>④</w:t>
      </w:r>
      <w:r>
        <w:rPr>
          <w:color w:val="auto"/>
        </w:rPr>
        <w:t>运输单位承运危险废物时，应在危险废物包装上按照</w:t>
      </w:r>
      <w:r>
        <w:rPr>
          <w:color w:val="auto"/>
        </w:rPr>
        <w:t>GB18597</w:t>
      </w:r>
      <w:r>
        <w:rPr>
          <w:color w:val="auto"/>
        </w:rPr>
        <w:t>附录</w:t>
      </w:r>
      <w:r>
        <w:rPr>
          <w:color w:val="auto"/>
        </w:rPr>
        <w:t>A</w:t>
      </w:r>
      <w:r>
        <w:rPr>
          <w:color w:val="auto"/>
        </w:rPr>
        <w:t>设置标志，其中医疗废物包装容器上的标志应按</w:t>
      </w:r>
      <w:r>
        <w:rPr>
          <w:color w:val="auto"/>
        </w:rPr>
        <w:t>HJ421</w:t>
      </w:r>
      <w:r>
        <w:rPr>
          <w:color w:val="auto"/>
        </w:rPr>
        <w:t>要求设置。</w:t>
      </w:r>
    </w:p>
    <w:p w14:paraId="5356908F" w14:textId="77777777" w:rsidR="002E474C" w:rsidRDefault="00000000">
      <w:pPr>
        <w:pStyle w:val="A-z"/>
        <w:rPr>
          <w:color w:val="auto"/>
        </w:rPr>
      </w:pPr>
      <w:r>
        <w:rPr>
          <w:color w:val="auto"/>
        </w:rPr>
        <w:t>⑤</w:t>
      </w:r>
      <w:r>
        <w:rPr>
          <w:color w:val="auto"/>
        </w:rPr>
        <w:t>危险废物公路运输时，运输车辆应按</w:t>
      </w:r>
      <w:r>
        <w:rPr>
          <w:color w:val="auto"/>
        </w:rPr>
        <w:t>GB13392</w:t>
      </w:r>
      <w:r>
        <w:rPr>
          <w:color w:val="auto"/>
        </w:rPr>
        <w:t>设置车辆标志。铁路运输和水路运输危险废物时应在集装箱外按</w:t>
      </w:r>
      <w:r>
        <w:rPr>
          <w:color w:val="auto"/>
        </w:rPr>
        <w:t>GB190</w:t>
      </w:r>
      <w:r>
        <w:rPr>
          <w:color w:val="auto"/>
        </w:rPr>
        <w:t>规定悬挂标志。</w:t>
      </w:r>
    </w:p>
    <w:p w14:paraId="3AF4A414" w14:textId="77777777" w:rsidR="002E474C" w:rsidRDefault="00000000">
      <w:pPr>
        <w:pStyle w:val="A-z"/>
        <w:rPr>
          <w:color w:val="auto"/>
        </w:rPr>
      </w:pPr>
      <w:r>
        <w:rPr>
          <w:color w:val="auto"/>
        </w:rPr>
        <w:t>⑥</w:t>
      </w:r>
      <w:r>
        <w:rPr>
          <w:color w:val="auto"/>
        </w:rPr>
        <w:t>危险废物运输时的中转、装卸过程应遵守如下技术要求：卸载区的工作人员应熟悉废物的危险特性，并配备适当的个人防护装备，装卸剧毒废物应配备特殊的防护装备；卸载区应配备必要的消防设备和设施，并设置明显的指示标志；</w:t>
      </w:r>
      <w:r>
        <w:rPr>
          <w:color w:val="auto"/>
        </w:rPr>
        <w:lastRenderedPageBreak/>
        <w:t>危险废物装卸区应设置隔离设施，液态危废卸载区应设置收集槽和缓冲罐。</w:t>
      </w:r>
    </w:p>
    <w:p w14:paraId="56475CD8" w14:textId="77777777" w:rsidR="002E474C" w:rsidRDefault="00000000">
      <w:pPr>
        <w:pStyle w:val="41"/>
        <w:rPr>
          <w:color w:val="auto"/>
        </w:rPr>
      </w:pPr>
      <w:r>
        <w:rPr>
          <w:color w:val="auto"/>
        </w:rPr>
        <w:t>工艺技术设计安全防范措施</w:t>
      </w:r>
    </w:p>
    <w:p w14:paraId="0AC1B28C" w14:textId="77777777" w:rsidR="002E474C" w:rsidRDefault="00000000">
      <w:pPr>
        <w:pStyle w:val="A-z"/>
        <w:rPr>
          <w:color w:val="auto"/>
        </w:rPr>
      </w:pPr>
      <w:r>
        <w:rPr>
          <w:color w:val="auto"/>
        </w:rPr>
        <w:t>（</w:t>
      </w:r>
      <w:r>
        <w:rPr>
          <w:color w:val="auto"/>
        </w:rPr>
        <w:t>1</w:t>
      </w:r>
      <w:r>
        <w:rPr>
          <w:color w:val="auto"/>
        </w:rPr>
        <w:t>）自动控制系统</w:t>
      </w:r>
    </w:p>
    <w:p w14:paraId="43EB63CD" w14:textId="77777777" w:rsidR="002E474C" w:rsidRDefault="00000000">
      <w:pPr>
        <w:pStyle w:val="A-z"/>
        <w:rPr>
          <w:color w:val="auto"/>
        </w:rPr>
      </w:pPr>
      <w:r>
        <w:rPr>
          <w:color w:val="auto"/>
        </w:rPr>
        <w:t>为满足项目工艺要求，保证工艺设备可靠运行，稳定工艺参数，提高设备的运转率，项目采用技术先进、性能可靠的分布式计算机控制系统（简称</w:t>
      </w:r>
      <w:r>
        <w:rPr>
          <w:color w:val="auto"/>
        </w:rPr>
        <w:t>DCS</w:t>
      </w:r>
      <w:r>
        <w:rPr>
          <w:color w:val="auto"/>
        </w:rPr>
        <w:t>），对整个废物处理过程进行监视、操作和分散控制。</w:t>
      </w:r>
    </w:p>
    <w:p w14:paraId="38607921" w14:textId="77777777" w:rsidR="002E474C" w:rsidRDefault="00000000">
      <w:pPr>
        <w:pStyle w:val="A-z"/>
        <w:rPr>
          <w:color w:val="auto"/>
        </w:rPr>
      </w:pPr>
      <w:r>
        <w:rPr>
          <w:color w:val="auto"/>
        </w:rPr>
        <w:t>1</w:t>
      </w:r>
      <w:r>
        <w:rPr>
          <w:color w:val="auto"/>
        </w:rPr>
        <w:t>）废物的进厂计量、堆储系统、通风系统等过程控制均由废物处理车间的</w:t>
      </w:r>
      <w:r>
        <w:rPr>
          <w:color w:val="auto"/>
        </w:rPr>
        <w:t>DCS</w:t>
      </w:r>
      <w:r>
        <w:rPr>
          <w:color w:val="auto"/>
        </w:rPr>
        <w:t>控制站独立完成，控制站拥有逻辑控制、过程控制以及检测报警等功能。当发生入窑废料不稳定检测系统报警时，企业生产安全组立即检查报警原因，若需要停止投料或变化投料量，应立即通知现有水泥厂采取措施确保水泥生产线的稳定运行。</w:t>
      </w:r>
    </w:p>
    <w:p w14:paraId="6813AFAB" w14:textId="77777777" w:rsidR="002E474C" w:rsidRDefault="00000000">
      <w:pPr>
        <w:pStyle w:val="A-z"/>
        <w:rPr>
          <w:color w:val="auto"/>
        </w:rPr>
      </w:pPr>
      <w:r>
        <w:rPr>
          <w:color w:val="auto"/>
        </w:rPr>
        <w:t>2</w:t>
      </w:r>
      <w:r>
        <w:rPr>
          <w:color w:val="auto"/>
        </w:rPr>
        <w:t>）在窑尾烟囱设置气体分析仪，对废气成份进行分析，以便窑系统的操作控制当废气成分波动较大或异常时，及时调整入窑物料控制，并通知现有水泥厂对窑尾废气污染物进行监控，避免废气污染物超标排放。</w:t>
      </w:r>
    </w:p>
    <w:p w14:paraId="5647144D" w14:textId="77777777" w:rsidR="002E474C" w:rsidRDefault="00000000">
      <w:pPr>
        <w:pStyle w:val="A-z"/>
        <w:rPr>
          <w:color w:val="auto"/>
        </w:rPr>
      </w:pPr>
      <w:r>
        <w:rPr>
          <w:color w:val="auto"/>
        </w:rPr>
        <w:t>（</w:t>
      </w:r>
      <w:r>
        <w:rPr>
          <w:color w:val="auto"/>
        </w:rPr>
        <w:t>2</w:t>
      </w:r>
      <w:r>
        <w:rPr>
          <w:color w:val="auto"/>
        </w:rPr>
        <w:t>）污染物事故排放风险防范措施</w:t>
      </w:r>
    </w:p>
    <w:p w14:paraId="7FE2BE5D" w14:textId="77777777" w:rsidR="002E474C" w:rsidRDefault="00000000">
      <w:pPr>
        <w:pStyle w:val="A-z"/>
        <w:rPr>
          <w:color w:val="auto"/>
        </w:rPr>
      </w:pPr>
      <w:r>
        <w:rPr>
          <w:color w:val="auto"/>
        </w:rPr>
        <w:t>为保证现有水泥厂生产线的正常运行，现有水泥厂已在窑尾废气排放口设置在线监测仪；通过在线监测仪，随时掌握废气的达标排放情况。</w:t>
      </w:r>
    </w:p>
    <w:p w14:paraId="38ADE14F" w14:textId="77777777" w:rsidR="002E474C" w:rsidRDefault="00000000">
      <w:pPr>
        <w:pStyle w:val="A-z"/>
        <w:ind w:firstLine="456"/>
        <w:rPr>
          <w:color w:val="auto"/>
          <w:spacing w:val="-6"/>
        </w:rPr>
      </w:pPr>
      <w:r>
        <w:rPr>
          <w:color w:val="auto"/>
          <w:spacing w:val="-6"/>
        </w:rPr>
        <w:t>一旦监控发现废气超标排放情况，应立刻通知本项目工作人员停止投料，并配合维修人员进行设备检查维修，待设备检修并稳定运行</w:t>
      </w:r>
      <w:r>
        <w:rPr>
          <w:color w:val="auto"/>
          <w:spacing w:val="-6"/>
        </w:rPr>
        <w:t>4h</w:t>
      </w:r>
      <w:r>
        <w:rPr>
          <w:color w:val="auto"/>
          <w:spacing w:val="-6"/>
        </w:rPr>
        <w:t>以后再进行投料。造成污染物事故排放的主要原因是环保设施事故，环保设施事故的防范措施如下：</w:t>
      </w:r>
    </w:p>
    <w:p w14:paraId="01A9605B" w14:textId="77777777" w:rsidR="002E474C" w:rsidRDefault="00000000">
      <w:pPr>
        <w:pStyle w:val="A-z"/>
        <w:rPr>
          <w:color w:val="auto"/>
        </w:rPr>
      </w:pPr>
      <w:r>
        <w:rPr>
          <w:color w:val="auto"/>
        </w:rPr>
        <w:t>1</w:t>
      </w:r>
      <w:r>
        <w:rPr>
          <w:color w:val="auto"/>
        </w:rPr>
        <w:t>）各环保设施通过制订操作规程、维护保养规程、检修制度等，完善台帐资料，确保其完好率和处理效率。</w:t>
      </w:r>
    </w:p>
    <w:p w14:paraId="59E22F91" w14:textId="77777777" w:rsidR="002E474C" w:rsidRDefault="00000000">
      <w:pPr>
        <w:pStyle w:val="A-z"/>
        <w:rPr>
          <w:color w:val="auto"/>
        </w:rPr>
      </w:pPr>
      <w:r>
        <w:rPr>
          <w:color w:val="auto"/>
        </w:rPr>
        <w:t>2</w:t>
      </w:r>
      <w:r>
        <w:rPr>
          <w:color w:val="auto"/>
        </w:rPr>
        <w:t>）加强环保设施的运行管理和日常维护，做好日常的设施运行记录，采取措施，保障各项环保设施正常运行。</w:t>
      </w:r>
    </w:p>
    <w:p w14:paraId="5547A378" w14:textId="77777777" w:rsidR="002E474C" w:rsidRDefault="00000000">
      <w:pPr>
        <w:pStyle w:val="A-z"/>
        <w:rPr>
          <w:color w:val="auto"/>
        </w:rPr>
      </w:pPr>
      <w:r>
        <w:rPr>
          <w:color w:val="auto"/>
        </w:rPr>
        <w:t>3</w:t>
      </w:r>
      <w:r>
        <w:rPr>
          <w:color w:val="auto"/>
        </w:rPr>
        <w:t>）回转窑烟气的在线监测系统已与环保系统联网，在线监测数据进行日常的统计与分析，建立运行档案，及时发现除尘器的故障，如一旦确定除尘器故障，则应立即组织停炉检修，减少事故排放对环境的影响。</w:t>
      </w:r>
    </w:p>
    <w:p w14:paraId="38571713" w14:textId="77777777" w:rsidR="002E474C" w:rsidRDefault="00000000">
      <w:pPr>
        <w:pStyle w:val="A-z"/>
        <w:rPr>
          <w:color w:val="auto"/>
        </w:rPr>
      </w:pPr>
      <w:r>
        <w:rPr>
          <w:color w:val="auto"/>
        </w:rPr>
        <w:t>4</w:t>
      </w:r>
      <w:r>
        <w:rPr>
          <w:color w:val="auto"/>
        </w:rPr>
        <w:t>）企业加强对废气处理系统的维护、保养、保障系统正常运行。制定废气处理系统故障应急方案，加强污染防治设施管理人员和技术人员的培训和管理。</w:t>
      </w:r>
    </w:p>
    <w:p w14:paraId="001CFDA3" w14:textId="77777777" w:rsidR="002E474C" w:rsidRDefault="00000000">
      <w:pPr>
        <w:pStyle w:val="A-z"/>
        <w:rPr>
          <w:color w:val="auto"/>
        </w:rPr>
      </w:pPr>
      <w:r>
        <w:rPr>
          <w:color w:val="auto"/>
        </w:rPr>
        <w:lastRenderedPageBreak/>
        <w:t>5</w:t>
      </w:r>
      <w:r>
        <w:rPr>
          <w:color w:val="auto"/>
        </w:rPr>
        <w:t>）督促环保设备清扫、维修与生产设备检修同步进行。</w:t>
      </w:r>
    </w:p>
    <w:p w14:paraId="733AFF7F" w14:textId="77777777" w:rsidR="002E474C" w:rsidRDefault="00000000">
      <w:pPr>
        <w:pStyle w:val="A-z"/>
        <w:rPr>
          <w:color w:val="auto"/>
        </w:rPr>
      </w:pPr>
      <w:r>
        <w:rPr>
          <w:color w:val="auto"/>
        </w:rPr>
        <w:t>6</w:t>
      </w:r>
      <w:r>
        <w:rPr>
          <w:color w:val="auto"/>
        </w:rPr>
        <w:t>）当环保设施发生事故以及水泥窑启动、停窑时，禁止投加任何废物。</w:t>
      </w:r>
    </w:p>
    <w:p w14:paraId="3968AE90" w14:textId="77777777" w:rsidR="002E474C" w:rsidRDefault="00000000">
      <w:pPr>
        <w:pStyle w:val="41"/>
        <w:rPr>
          <w:color w:val="auto"/>
        </w:rPr>
      </w:pPr>
      <w:r>
        <w:rPr>
          <w:color w:val="auto"/>
        </w:rPr>
        <w:t>废液泄漏事故防范措施</w:t>
      </w:r>
    </w:p>
    <w:p w14:paraId="7FFDA319" w14:textId="77777777" w:rsidR="002E474C" w:rsidRDefault="00000000">
      <w:pPr>
        <w:pStyle w:val="A-z"/>
        <w:rPr>
          <w:color w:val="auto"/>
        </w:rPr>
      </w:pPr>
      <w:r>
        <w:rPr>
          <w:color w:val="auto"/>
        </w:rPr>
        <w:t>危废贮存库内导流槽、事故池，危废贮存库地面均采用符合《危险废物贮存污染控制标准》（</w:t>
      </w:r>
      <w:r>
        <w:rPr>
          <w:color w:val="auto"/>
        </w:rPr>
        <w:t>GB18597-2023</w:t>
      </w:r>
      <w:r>
        <w:rPr>
          <w:color w:val="auto"/>
        </w:rPr>
        <w:t>）要求的防渗。危废贮存库内地沟防渗同地面相同。基础层最强防渗系数达到</w:t>
      </w:r>
      <w:r>
        <w:rPr>
          <w:color w:val="auto"/>
        </w:rPr>
        <w:t>10</w:t>
      </w:r>
      <w:r>
        <w:rPr>
          <w:color w:val="auto"/>
          <w:vertAlign w:val="superscript"/>
        </w:rPr>
        <w:t>-10</w:t>
      </w:r>
      <w:r>
        <w:rPr>
          <w:color w:val="auto"/>
        </w:rPr>
        <w:t>cm/s</w:t>
      </w:r>
      <w:r>
        <w:rPr>
          <w:color w:val="auto"/>
        </w:rPr>
        <w:t>，厚度</w:t>
      </w:r>
      <w:r>
        <w:rPr>
          <w:color w:val="auto"/>
        </w:rPr>
        <w:t>5mm</w:t>
      </w:r>
      <w:r>
        <w:rPr>
          <w:color w:val="auto"/>
        </w:rPr>
        <w:t>。贮存区地面及水泥厂设计废物转运地面均采有水泥硬化处理。危废贮存库内四周墙根设置一圈导流槽，引入（主要是利用地形高差自然流入）废水收集池中，厂区内设置</w:t>
      </w:r>
      <w:r>
        <w:rPr>
          <w:color w:val="auto"/>
        </w:rPr>
        <w:t>1</w:t>
      </w:r>
      <w:r>
        <w:rPr>
          <w:color w:val="auto"/>
        </w:rPr>
        <w:t>个应急事故池，泄漏废物的渗沥液或消防废水分批由废液泵送系统入炉处置。</w:t>
      </w:r>
    </w:p>
    <w:p w14:paraId="4066FFA7" w14:textId="77777777" w:rsidR="002E474C" w:rsidRDefault="00000000">
      <w:pPr>
        <w:pStyle w:val="A-z"/>
        <w:rPr>
          <w:color w:val="auto"/>
        </w:rPr>
      </w:pPr>
      <w:r>
        <w:rPr>
          <w:color w:val="auto"/>
        </w:rPr>
        <w:t>项目危险废液装卸、存储、使用环节均采用专业人员进行，当出现废液泄漏情况时，应急程序如下：</w:t>
      </w:r>
    </w:p>
    <w:p w14:paraId="4A6A7006" w14:textId="77777777" w:rsidR="002E474C" w:rsidRDefault="00000000">
      <w:pPr>
        <w:pStyle w:val="A-z"/>
        <w:rPr>
          <w:color w:val="auto"/>
        </w:rPr>
      </w:pPr>
      <w:r>
        <w:rPr>
          <w:color w:val="auto"/>
        </w:rPr>
        <w:t>少量泄漏：当出现输送过程管道破裂发生少量泄漏，应立即停止废液输送，用砂土或其他惰性材料吸附泄漏废液，并及时将泄漏部分进行封堵；若为罐体破裂泄漏，应及时将泄漏罐体的液体输送到废液收集池内，防治泄漏进一步扩大。</w:t>
      </w:r>
    </w:p>
    <w:p w14:paraId="70588585" w14:textId="77777777" w:rsidR="002E474C" w:rsidRDefault="00000000">
      <w:pPr>
        <w:pStyle w:val="A-z"/>
        <w:ind w:firstLine="456"/>
        <w:rPr>
          <w:color w:val="auto"/>
          <w:spacing w:val="-6"/>
        </w:rPr>
      </w:pPr>
      <w:r>
        <w:rPr>
          <w:color w:val="auto"/>
          <w:spacing w:val="-6"/>
        </w:rPr>
        <w:t>大量泄漏：当发生罐内液体大量泄漏情况，立即疏散附近人员至安全区，关闭最近的雨水阀门，泄漏液体引流至事故池内。应急处理人员佩戴自给式呼吸器，穿化学防护服，不要直接接触泄漏物，在确保安全情况下堵漏。进入事故应急池的废液，尽快回收处理，避免在应急池中滞留过长时间引发二次事故（火灾、爆炸）。</w:t>
      </w:r>
    </w:p>
    <w:p w14:paraId="0F073C60" w14:textId="77777777" w:rsidR="002E474C" w:rsidRDefault="00000000">
      <w:pPr>
        <w:pStyle w:val="41"/>
        <w:rPr>
          <w:color w:val="auto"/>
        </w:rPr>
      </w:pPr>
      <w:r>
        <w:rPr>
          <w:color w:val="auto"/>
        </w:rPr>
        <w:tab/>
      </w:r>
      <w:r>
        <w:rPr>
          <w:color w:val="auto"/>
        </w:rPr>
        <w:t>配套监控及消防设施</w:t>
      </w:r>
    </w:p>
    <w:p w14:paraId="23A3E87F" w14:textId="77777777" w:rsidR="002E474C" w:rsidRDefault="00000000">
      <w:pPr>
        <w:pStyle w:val="A-z"/>
        <w:rPr>
          <w:color w:val="auto"/>
        </w:rPr>
      </w:pPr>
      <w:r>
        <w:rPr>
          <w:color w:val="auto"/>
        </w:rPr>
        <w:t>（</w:t>
      </w:r>
      <w:r>
        <w:rPr>
          <w:color w:val="auto"/>
        </w:rPr>
        <w:t>1</w:t>
      </w:r>
      <w:r>
        <w:rPr>
          <w:color w:val="auto"/>
        </w:rPr>
        <w:t>）监控监测装置</w:t>
      </w:r>
    </w:p>
    <w:p w14:paraId="621B1DC3" w14:textId="77777777" w:rsidR="002E474C" w:rsidRDefault="00000000">
      <w:pPr>
        <w:pStyle w:val="A-z"/>
        <w:rPr>
          <w:color w:val="auto"/>
        </w:rPr>
      </w:pPr>
      <w:r>
        <w:rPr>
          <w:color w:val="auto"/>
        </w:rPr>
        <w:t>在危废贮存库和固态危废预处理车间安装监控设施及有毒有害气体监测仪，以便时刻掌握危废贮存库内尤其易燃易爆贮存设施的情况及有害气体的浓度（危废贮存库和固态危废预处理车间设计均为密闭微负压状态，一旦有毒有害气体检测仪出现报警，会进行换风次数和换风量的调节，这些气体最终被送往危废贮存废气净化系统。贮存易燃易爆危险废物时配置可燃气体报警、火灾报警装置和导出静电的接地装置。</w:t>
      </w:r>
    </w:p>
    <w:p w14:paraId="4551A293" w14:textId="77777777" w:rsidR="002E474C" w:rsidRDefault="00000000">
      <w:pPr>
        <w:pStyle w:val="A-z"/>
        <w:rPr>
          <w:color w:val="auto"/>
        </w:rPr>
      </w:pPr>
      <w:r>
        <w:rPr>
          <w:color w:val="auto"/>
        </w:rPr>
        <w:t>（</w:t>
      </w:r>
      <w:r>
        <w:rPr>
          <w:color w:val="auto"/>
        </w:rPr>
        <w:t>2</w:t>
      </w:r>
      <w:r>
        <w:rPr>
          <w:color w:val="auto"/>
        </w:rPr>
        <w:t>）配备气体导出口</w:t>
      </w:r>
    </w:p>
    <w:p w14:paraId="67D6A7FC" w14:textId="77777777" w:rsidR="002E474C" w:rsidRDefault="00000000">
      <w:pPr>
        <w:pStyle w:val="A-z"/>
        <w:ind w:firstLine="456"/>
        <w:rPr>
          <w:color w:val="auto"/>
          <w:spacing w:val="-6"/>
        </w:rPr>
      </w:pPr>
      <w:r>
        <w:rPr>
          <w:color w:val="auto"/>
          <w:spacing w:val="-6"/>
        </w:rPr>
        <w:t>危废贮存库和固态危废预处理车间设负压系统，将废气引入危废贮存废气净化</w:t>
      </w:r>
      <w:r>
        <w:rPr>
          <w:color w:val="auto"/>
          <w:spacing w:val="-6"/>
        </w:rPr>
        <w:lastRenderedPageBreak/>
        <w:t>系统。</w:t>
      </w:r>
    </w:p>
    <w:p w14:paraId="30F74C6F" w14:textId="77777777" w:rsidR="002E474C" w:rsidRDefault="00000000">
      <w:pPr>
        <w:pStyle w:val="A-z"/>
        <w:rPr>
          <w:color w:val="auto"/>
        </w:rPr>
      </w:pPr>
      <w:r>
        <w:rPr>
          <w:color w:val="auto"/>
        </w:rPr>
        <w:t>（</w:t>
      </w:r>
      <w:r>
        <w:rPr>
          <w:color w:val="auto"/>
        </w:rPr>
        <w:t>3</w:t>
      </w:r>
      <w:r>
        <w:rPr>
          <w:color w:val="auto"/>
        </w:rPr>
        <w:t>）配备消防器材</w:t>
      </w:r>
    </w:p>
    <w:p w14:paraId="1A3C08A8" w14:textId="77777777" w:rsidR="002E474C" w:rsidRDefault="00000000">
      <w:pPr>
        <w:pStyle w:val="A-z"/>
        <w:rPr>
          <w:color w:val="auto"/>
        </w:rPr>
      </w:pPr>
      <w:r>
        <w:rPr>
          <w:color w:val="auto"/>
        </w:rPr>
        <w:t>在危废贮存库周围配备消防器材，如灭火器、消防砂等，并及时更换过期器材，以保证消防器材的有效性。</w:t>
      </w:r>
    </w:p>
    <w:p w14:paraId="0C24CFB4" w14:textId="77777777" w:rsidR="002E474C" w:rsidRDefault="00000000">
      <w:pPr>
        <w:pStyle w:val="A-z"/>
        <w:rPr>
          <w:color w:val="auto"/>
        </w:rPr>
      </w:pPr>
      <w:r>
        <w:rPr>
          <w:color w:val="auto"/>
        </w:rPr>
        <w:t>（</w:t>
      </w:r>
      <w:r>
        <w:rPr>
          <w:color w:val="auto"/>
        </w:rPr>
        <w:t>4</w:t>
      </w:r>
      <w:r>
        <w:rPr>
          <w:color w:val="auto"/>
        </w:rPr>
        <w:t>）人员管理及培训</w:t>
      </w:r>
    </w:p>
    <w:p w14:paraId="7B40E87B" w14:textId="77777777" w:rsidR="002E474C" w:rsidRDefault="00000000">
      <w:pPr>
        <w:pStyle w:val="A-z"/>
        <w:rPr>
          <w:color w:val="auto"/>
        </w:rPr>
      </w:pPr>
      <w:r>
        <w:rPr>
          <w:color w:val="auto"/>
        </w:rPr>
        <w:t>①</w:t>
      </w:r>
      <w:r>
        <w:rPr>
          <w:color w:val="auto"/>
        </w:rPr>
        <w:t>熟悉有关危险废物的法律和规章制度，了解危险废物有关知识，明确危险废物安全处理和环境保护的意义，熟悉危险废物的分类和包装标识及装置动作的工艺流程。</w:t>
      </w:r>
    </w:p>
    <w:p w14:paraId="0423AA74" w14:textId="77777777" w:rsidR="002E474C" w:rsidRDefault="00000000">
      <w:pPr>
        <w:pStyle w:val="A-z"/>
        <w:rPr>
          <w:color w:val="auto"/>
        </w:rPr>
      </w:pPr>
      <w:r>
        <w:rPr>
          <w:color w:val="auto"/>
        </w:rPr>
        <w:t>②</w:t>
      </w:r>
      <w:r>
        <w:rPr>
          <w:color w:val="auto"/>
        </w:rPr>
        <w:t>掌握劳动安全防护设施、设备的使用和个人卫生防护措施。</w:t>
      </w:r>
    </w:p>
    <w:p w14:paraId="674EC9AD" w14:textId="77777777" w:rsidR="002E474C" w:rsidRDefault="00000000">
      <w:pPr>
        <w:pStyle w:val="A-z"/>
        <w:rPr>
          <w:color w:val="auto"/>
        </w:rPr>
      </w:pPr>
      <w:r>
        <w:rPr>
          <w:color w:val="auto"/>
        </w:rPr>
        <w:t>③</w:t>
      </w:r>
      <w:r>
        <w:rPr>
          <w:color w:val="auto"/>
        </w:rPr>
        <w:t>掌握处理处置泄漏和其他事故的应急操作程序。</w:t>
      </w:r>
    </w:p>
    <w:p w14:paraId="549BF220" w14:textId="77777777" w:rsidR="002E474C" w:rsidRDefault="00000000">
      <w:pPr>
        <w:pStyle w:val="A-z"/>
        <w:rPr>
          <w:color w:val="auto"/>
        </w:rPr>
      </w:pPr>
      <w:r>
        <w:rPr>
          <w:color w:val="auto"/>
        </w:rPr>
        <w:t>④</w:t>
      </w:r>
      <w:r>
        <w:rPr>
          <w:color w:val="auto"/>
        </w:rPr>
        <w:t>对于危险废处置操作人员和技术人员的培训还应包括危险废物接收、转运、贮存和上料的具体操作以及废物处理的安全操作；处置设备的正常运行、启动、关闭；控制、报警和指标系统的运行和检查，以及必要时的纠正操作；掌握最佳运行参数，保持设备良好运行条件；掌握设备运行故障的检查和排除；掌握事故或紧急情况下人工操作和事故处理；掌握设备的日常维护；做好设备运行和维护记录，以及泄漏事故和其他事故的记录及报告。</w:t>
      </w:r>
    </w:p>
    <w:p w14:paraId="7DA48E43" w14:textId="77777777" w:rsidR="002E474C" w:rsidRDefault="00000000">
      <w:pPr>
        <w:pStyle w:val="41"/>
        <w:rPr>
          <w:color w:val="auto"/>
        </w:rPr>
      </w:pPr>
      <w:r>
        <w:rPr>
          <w:color w:val="auto"/>
        </w:rPr>
        <w:t>风险管理措施</w:t>
      </w:r>
    </w:p>
    <w:p w14:paraId="2CF29BF9" w14:textId="77777777" w:rsidR="002E474C" w:rsidRDefault="00000000">
      <w:pPr>
        <w:pStyle w:val="A-z"/>
        <w:rPr>
          <w:color w:val="auto"/>
        </w:rPr>
      </w:pPr>
      <w:r>
        <w:rPr>
          <w:color w:val="auto"/>
        </w:rPr>
        <w:t>（</w:t>
      </w:r>
      <w:r>
        <w:rPr>
          <w:color w:val="auto"/>
        </w:rPr>
        <w:t>1</w:t>
      </w:r>
      <w:r>
        <w:rPr>
          <w:color w:val="auto"/>
        </w:rPr>
        <w:t>）对环保装置要有专人定期巡视，一旦装置发生异常应及时停止，避免尾气未经处理排入大气。</w:t>
      </w:r>
    </w:p>
    <w:p w14:paraId="72566E34" w14:textId="77777777" w:rsidR="002E474C" w:rsidRDefault="00000000">
      <w:pPr>
        <w:pStyle w:val="A-z"/>
        <w:rPr>
          <w:color w:val="auto"/>
        </w:rPr>
      </w:pPr>
      <w:r>
        <w:rPr>
          <w:color w:val="auto"/>
        </w:rPr>
        <w:t>（</w:t>
      </w:r>
      <w:r>
        <w:rPr>
          <w:color w:val="auto"/>
        </w:rPr>
        <w:t>2</w:t>
      </w:r>
      <w:r>
        <w:rPr>
          <w:color w:val="auto"/>
        </w:rPr>
        <w:t>）项目可能遇到的火源主要是吸烟、维修用火、电器火灾、静电火花、雷击、撞击火星等，应采取的安全管理措施包括：严禁吸烟、严禁携带火种、严禁穿带铁钉的皮鞋进入易燃易爆区域。</w:t>
      </w:r>
    </w:p>
    <w:p w14:paraId="78CEBD6B" w14:textId="77777777" w:rsidR="002E474C" w:rsidRDefault="00000000">
      <w:pPr>
        <w:pStyle w:val="A-z"/>
        <w:rPr>
          <w:color w:val="auto"/>
        </w:rPr>
      </w:pPr>
      <w:r>
        <w:rPr>
          <w:color w:val="auto"/>
        </w:rPr>
        <w:t>（</w:t>
      </w:r>
      <w:r>
        <w:rPr>
          <w:color w:val="auto"/>
        </w:rPr>
        <w:t>3</w:t>
      </w:r>
      <w:r>
        <w:rPr>
          <w:color w:val="auto"/>
        </w:rPr>
        <w:t>）维修时，应和非检修设备、管线断开火加盲板，盲板应挂牌登记，防止发生事故。</w:t>
      </w:r>
    </w:p>
    <w:p w14:paraId="2E45ADE1" w14:textId="77777777" w:rsidR="002E474C" w:rsidRDefault="00000000">
      <w:pPr>
        <w:pStyle w:val="A-z"/>
        <w:rPr>
          <w:color w:val="auto"/>
        </w:rPr>
      </w:pPr>
      <w:r>
        <w:rPr>
          <w:color w:val="auto"/>
        </w:rPr>
        <w:t>（</w:t>
      </w:r>
      <w:r>
        <w:rPr>
          <w:color w:val="auto"/>
        </w:rPr>
        <w:t>4</w:t>
      </w:r>
      <w:r>
        <w:rPr>
          <w:color w:val="auto"/>
        </w:rPr>
        <w:t>）安装附带报警装置，可燃性气体探测仪，以实现早发现、早处理。</w:t>
      </w:r>
    </w:p>
    <w:p w14:paraId="422C5BE4" w14:textId="77777777" w:rsidR="002E474C" w:rsidRDefault="00000000">
      <w:pPr>
        <w:pStyle w:val="31"/>
        <w:spacing w:before="120" w:after="120"/>
        <w:rPr>
          <w:color w:val="auto"/>
        </w:rPr>
      </w:pPr>
      <w:r>
        <w:rPr>
          <w:color w:val="auto"/>
        </w:rPr>
        <w:t>风险事故应急措施</w:t>
      </w:r>
    </w:p>
    <w:p w14:paraId="3ACE1AC9" w14:textId="77777777" w:rsidR="002E474C" w:rsidRDefault="00000000">
      <w:pPr>
        <w:pStyle w:val="A-z"/>
        <w:rPr>
          <w:color w:val="auto"/>
        </w:rPr>
      </w:pPr>
      <w:r>
        <w:rPr>
          <w:color w:val="auto"/>
        </w:rPr>
        <w:t>（</w:t>
      </w:r>
      <w:r>
        <w:rPr>
          <w:color w:val="auto"/>
        </w:rPr>
        <w:t>1</w:t>
      </w:r>
      <w:r>
        <w:rPr>
          <w:color w:val="auto"/>
        </w:rPr>
        <w:t>）运输过程的应急措施</w:t>
      </w:r>
    </w:p>
    <w:p w14:paraId="0FE66C83" w14:textId="77777777" w:rsidR="002E474C" w:rsidRDefault="00000000">
      <w:pPr>
        <w:pStyle w:val="A-z"/>
        <w:rPr>
          <w:color w:val="auto"/>
        </w:rPr>
      </w:pPr>
      <w:r>
        <w:rPr>
          <w:color w:val="auto"/>
        </w:rPr>
        <w:t>危险废物运输车辆在途中发生翻车、撞车导致危险废物大量外溢、散落时，</w:t>
      </w:r>
      <w:r>
        <w:rPr>
          <w:color w:val="auto"/>
        </w:rPr>
        <w:lastRenderedPageBreak/>
        <w:t>运送人员应立即与本单位应急事故小组取得联系，并请求当地公安交警、环保或城市应急联动中心的支持。同时运送人员应采取如下应急措施：</w:t>
      </w:r>
    </w:p>
    <w:p w14:paraId="15DD88C0" w14:textId="77777777" w:rsidR="002E474C" w:rsidRDefault="00000000">
      <w:pPr>
        <w:pStyle w:val="A-z"/>
        <w:rPr>
          <w:color w:val="auto"/>
        </w:rPr>
      </w:pPr>
      <w:r>
        <w:rPr>
          <w:color w:val="auto"/>
        </w:rPr>
        <w:t>①</w:t>
      </w:r>
      <w:r>
        <w:rPr>
          <w:color w:val="auto"/>
        </w:rPr>
        <w:t>立即请求公安交通警察在受污染地区设立隔离区，禁止其他车辆和行人穿过，避免污染物扩散和对行人造成伤害；</w:t>
      </w:r>
    </w:p>
    <w:p w14:paraId="6ED3F933" w14:textId="77777777" w:rsidR="002E474C" w:rsidRDefault="00000000">
      <w:pPr>
        <w:pStyle w:val="A-z"/>
        <w:rPr>
          <w:color w:val="auto"/>
        </w:rPr>
      </w:pPr>
      <w:r>
        <w:rPr>
          <w:color w:val="auto"/>
        </w:rPr>
        <w:t>②</w:t>
      </w:r>
      <w:r>
        <w:rPr>
          <w:color w:val="auto"/>
        </w:rPr>
        <w:t>对溢出、散落的危险废物迅速进行收集、清理和消毒处理。对于残留有污泥渗沥液体采用吸附材料进行吸附处理；</w:t>
      </w:r>
    </w:p>
    <w:p w14:paraId="550C165B" w14:textId="77777777" w:rsidR="002E474C" w:rsidRDefault="00000000">
      <w:pPr>
        <w:pStyle w:val="A-z"/>
        <w:rPr>
          <w:color w:val="auto"/>
        </w:rPr>
      </w:pPr>
      <w:r>
        <w:rPr>
          <w:color w:val="auto"/>
        </w:rPr>
        <w:t>③</w:t>
      </w:r>
      <w:r>
        <w:rPr>
          <w:color w:val="auto"/>
        </w:rPr>
        <w:t>清理人员在进行清理工作时须穿戴防护服、手套、防护面罩、防护靴等防护用品，清理工作结束后，用具和防护用品均须进行消毒处理；</w:t>
      </w:r>
    </w:p>
    <w:p w14:paraId="4BC29293" w14:textId="77777777" w:rsidR="002E474C" w:rsidRDefault="00000000">
      <w:pPr>
        <w:pStyle w:val="A-z"/>
        <w:rPr>
          <w:color w:val="auto"/>
        </w:rPr>
      </w:pPr>
      <w:r>
        <w:rPr>
          <w:color w:val="auto"/>
        </w:rPr>
        <w:t>④</w:t>
      </w:r>
      <w:r>
        <w:rPr>
          <w:color w:val="auto"/>
        </w:rPr>
        <w:t>如果在操作中，</w:t>
      </w:r>
      <w:r>
        <w:rPr>
          <w:color w:val="auto"/>
        </w:rPr>
        <w:t xml:space="preserve"> </w:t>
      </w:r>
      <w:r>
        <w:rPr>
          <w:color w:val="auto"/>
        </w:rPr>
        <w:t>清理人员不慎受到伤害，应及时采取处理措施，并致医院接受救治；</w:t>
      </w:r>
    </w:p>
    <w:p w14:paraId="027DF25D" w14:textId="77777777" w:rsidR="002E474C" w:rsidRDefault="00000000">
      <w:pPr>
        <w:pStyle w:val="A-z"/>
        <w:rPr>
          <w:color w:val="auto"/>
        </w:rPr>
      </w:pPr>
      <w:r>
        <w:rPr>
          <w:color w:val="auto"/>
        </w:rPr>
        <w:t>⑤</w:t>
      </w:r>
      <w:r>
        <w:rPr>
          <w:color w:val="auto"/>
        </w:rPr>
        <w:t>清洁人员还须对被污染的现场地面进行消毒和清洁处理；</w:t>
      </w:r>
    </w:p>
    <w:p w14:paraId="34C78EE9" w14:textId="77777777" w:rsidR="002E474C" w:rsidRDefault="00000000">
      <w:pPr>
        <w:pStyle w:val="A-z"/>
        <w:rPr>
          <w:color w:val="auto"/>
        </w:rPr>
      </w:pPr>
      <w:r>
        <w:rPr>
          <w:color w:val="auto"/>
        </w:rPr>
        <w:t>⑥</w:t>
      </w:r>
      <w:r>
        <w:rPr>
          <w:color w:val="auto"/>
        </w:rPr>
        <w:t>对发生的事故采取上述应急措施的同时，处置单位必须向当地生态环境部门报告事故发生情况。事故处理完毕后，处置单位要向上级部门写出书面报告。</w:t>
      </w:r>
    </w:p>
    <w:p w14:paraId="66C2522B" w14:textId="77777777" w:rsidR="002E474C" w:rsidRDefault="00000000">
      <w:pPr>
        <w:pStyle w:val="A-z"/>
        <w:rPr>
          <w:color w:val="auto"/>
        </w:rPr>
      </w:pPr>
      <w:r>
        <w:rPr>
          <w:color w:val="auto"/>
        </w:rPr>
        <w:t>（</w:t>
      </w:r>
      <w:r>
        <w:rPr>
          <w:color w:val="auto"/>
        </w:rPr>
        <w:t>2</w:t>
      </w:r>
      <w:r>
        <w:rPr>
          <w:color w:val="auto"/>
        </w:rPr>
        <w:t>）协同处置过程应急措施</w:t>
      </w:r>
    </w:p>
    <w:p w14:paraId="47D71E14" w14:textId="77777777" w:rsidR="002E474C" w:rsidRDefault="00000000">
      <w:pPr>
        <w:pStyle w:val="A-z"/>
        <w:rPr>
          <w:color w:val="auto"/>
        </w:rPr>
      </w:pPr>
      <w:r>
        <w:rPr>
          <w:color w:val="auto"/>
        </w:rPr>
        <w:t>协同处置过程发生事故后，负责人员应依据情况的严重程度立即采取下列步骤：立刻紧急通报，禁止所有人员靠近，向所属上级主管部门报告事故状况，通知最近的警察、消防人员（应明确事故发生类型、发生位置、危废种类及特性、危险废暂存量等相关信息），立即报告处置单位有关领导启动紧急消防及人员救助方案，同时根据事故的风险等级启动相应级别的应急预案。</w:t>
      </w:r>
    </w:p>
    <w:p w14:paraId="22A9B2AB" w14:textId="77777777" w:rsidR="002E474C" w:rsidRDefault="00000000">
      <w:pPr>
        <w:pStyle w:val="A-z"/>
        <w:rPr>
          <w:color w:val="auto"/>
        </w:rPr>
      </w:pPr>
      <w:r>
        <w:rPr>
          <w:color w:val="auto"/>
        </w:rPr>
        <w:t>（</w:t>
      </w:r>
      <w:r>
        <w:rPr>
          <w:color w:val="auto"/>
        </w:rPr>
        <w:t>3</w:t>
      </w:r>
      <w:r>
        <w:rPr>
          <w:color w:val="auto"/>
        </w:rPr>
        <w:t>）窑尾废气事故排放应急措施</w:t>
      </w:r>
    </w:p>
    <w:p w14:paraId="633815F2" w14:textId="77777777" w:rsidR="002E474C" w:rsidRDefault="00000000">
      <w:pPr>
        <w:pStyle w:val="A-z"/>
        <w:rPr>
          <w:color w:val="auto"/>
        </w:rPr>
      </w:pPr>
      <w:r>
        <w:rPr>
          <w:color w:val="auto"/>
        </w:rPr>
        <w:t>当发生除尘器设备或尾气管道破坏的窑尾废气事故排放时，生产部门立即关闭回转窑一次风机挡板和窑尾主排，喂煤转子秤立即停止送煤，降低窑体转动速度，防止事故影响扩大，并立即报告企业环境应急指挥部办公室。参照窑尾废气事故应急措施，当发生窑尾废气事故排放时，项目生产部门停止向窑内输送危险废物物料。查明事故原因，事故排除后，在水泥窑达到正常生产工况并稳定运行至少</w:t>
      </w:r>
      <w:r>
        <w:rPr>
          <w:color w:val="auto"/>
        </w:rPr>
        <w:t>4</w:t>
      </w:r>
      <w:r>
        <w:rPr>
          <w:color w:val="auto"/>
        </w:rPr>
        <w:t>小时后，方可开始投加固体废物。及时向生态环境部门报告回转窑除尘系统失效所产生的污染情况及已经采取的处置措施。</w:t>
      </w:r>
    </w:p>
    <w:p w14:paraId="79AEDE38" w14:textId="77777777" w:rsidR="002E474C" w:rsidRDefault="00000000">
      <w:pPr>
        <w:pStyle w:val="31"/>
        <w:spacing w:before="120" w:after="120"/>
        <w:rPr>
          <w:color w:val="auto"/>
        </w:rPr>
      </w:pPr>
      <w:r>
        <w:rPr>
          <w:color w:val="auto"/>
        </w:rPr>
        <w:t>应急预案编制要求</w:t>
      </w:r>
    </w:p>
    <w:p w14:paraId="44900D78" w14:textId="77777777" w:rsidR="002E474C" w:rsidRDefault="00000000">
      <w:pPr>
        <w:pStyle w:val="A-z"/>
        <w:rPr>
          <w:color w:val="auto"/>
        </w:rPr>
      </w:pPr>
      <w:r>
        <w:rPr>
          <w:color w:val="auto"/>
        </w:rPr>
        <w:t>（</w:t>
      </w:r>
      <w:r>
        <w:rPr>
          <w:color w:val="auto"/>
        </w:rPr>
        <w:t>1</w:t>
      </w:r>
      <w:r>
        <w:rPr>
          <w:color w:val="auto"/>
        </w:rPr>
        <w:t>）应急预案编制的目的和要求</w:t>
      </w:r>
    </w:p>
    <w:p w14:paraId="656189A3" w14:textId="77777777" w:rsidR="002E474C" w:rsidRDefault="00000000">
      <w:pPr>
        <w:pStyle w:val="A-z"/>
        <w:rPr>
          <w:color w:val="auto"/>
        </w:rPr>
      </w:pPr>
      <w:r>
        <w:rPr>
          <w:color w:val="auto"/>
        </w:rPr>
        <w:lastRenderedPageBreak/>
        <w:t>通过对事故的风险评价，生产运营企业在投产前，应制定详细的防止重大环境污染事故发生应急预案、消除事故隐患的措施及应急处理办法。根据《环境污染事故应急预案编制技术指南》和《国家突发环境事件应急预案》内容规定，企业环境风险事故应急预案主要内容见表</w:t>
      </w:r>
      <w:r>
        <w:rPr>
          <w:color w:val="auto"/>
        </w:rPr>
        <w:t>5.8</w:t>
      </w:r>
      <w:r>
        <w:rPr>
          <w:color w:val="auto"/>
        </w:rPr>
        <w:noBreakHyphen/>
        <w:t>10</w:t>
      </w:r>
      <w:r>
        <w:rPr>
          <w:color w:val="auto"/>
        </w:rPr>
        <w:t>。</w:t>
      </w:r>
    </w:p>
    <w:p w14:paraId="69EA1245" w14:textId="77777777" w:rsidR="002E474C" w:rsidRDefault="00000000">
      <w:pPr>
        <w:pStyle w:val="A--"/>
        <w:rPr>
          <w:color w:val="auto"/>
        </w:rPr>
      </w:pPr>
      <w:bookmarkStart w:id="328" w:name="_Ref130286197"/>
      <w:r>
        <w:rPr>
          <w:color w:val="auto"/>
        </w:rPr>
        <w:t>表</w:t>
      </w:r>
      <w:r>
        <w:rPr>
          <w:color w:val="auto"/>
        </w:rPr>
        <w:t>5.8</w:t>
      </w:r>
      <w:r>
        <w:rPr>
          <w:color w:val="auto"/>
        </w:rPr>
        <w:noBreakHyphen/>
        <w:t>10</w:t>
      </w:r>
      <w:bookmarkEnd w:id="328"/>
      <w:r>
        <w:rPr>
          <w:color w:val="auto"/>
        </w:rPr>
        <w:t xml:space="preserve">  </w:t>
      </w:r>
      <w:r>
        <w:rPr>
          <w:color w:val="auto"/>
        </w:rPr>
        <w:t>应急预案主要内容一览表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825"/>
        <w:gridCol w:w="1305"/>
        <w:gridCol w:w="6354"/>
      </w:tblGrid>
      <w:tr w:rsidR="002E474C" w14:paraId="42279BC1" w14:textId="77777777">
        <w:trPr>
          <w:trHeight w:val="20"/>
          <w:tblHeader/>
          <w:jc w:val="center"/>
        </w:trPr>
        <w:tc>
          <w:tcPr>
            <w:tcW w:w="462" w:type="dxa"/>
            <w:vAlign w:val="center"/>
          </w:tcPr>
          <w:p w14:paraId="53CBDC06" w14:textId="77777777" w:rsidR="002E474C" w:rsidRDefault="00000000">
            <w:pPr>
              <w:pStyle w:val="A-"/>
            </w:pPr>
            <w:r>
              <w:t>序号</w:t>
            </w:r>
          </w:p>
        </w:tc>
        <w:tc>
          <w:tcPr>
            <w:tcW w:w="825" w:type="dxa"/>
            <w:vAlign w:val="center"/>
          </w:tcPr>
          <w:p w14:paraId="4EC4AECA" w14:textId="77777777" w:rsidR="002E474C" w:rsidRDefault="00000000">
            <w:pPr>
              <w:pStyle w:val="A-"/>
            </w:pPr>
            <w:r>
              <w:t>项目</w:t>
            </w:r>
          </w:p>
        </w:tc>
        <w:tc>
          <w:tcPr>
            <w:tcW w:w="7659" w:type="dxa"/>
            <w:gridSpan w:val="2"/>
            <w:vAlign w:val="center"/>
          </w:tcPr>
          <w:p w14:paraId="6A7268B3" w14:textId="77777777" w:rsidR="002E474C" w:rsidRDefault="00000000">
            <w:pPr>
              <w:pStyle w:val="A-"/>
            </w:pPr>
            <w:r>
              <w:t>内容及要求</w:t>
            </w:r>
          </w:p>
        </w:tc>
      </w:tr>
      <w:tr w:rsidR="002E474C" w14:paraId="29EBDE70" w14:textId="77777777">
        <w:trPr>
          <w:trHeight w:val="20"/>
          <w:jc w:val="center"/>
        </w:trPr>
        <w:tc>
          <w:tcPr>
            <w:tcW w:w="462" w:type="dxa"/>
            <w:vMerge w:val="restart"/>
            <w:vAlign w:val="center"/>
          </w:tcPr>
          <w:p w14:paraId="048F1734" w14:textId="77777777" w:rsidR="002E474C" w:rsidRDefault="00000000">
            <w:pPr>
              <w:pStyle w:val="A-"/>
            </w:pPr>
            <w:r>
              <w:t>1</w:t>
            </w:r>
          </w:p>
        </w:tc>
        <w:tc>
          <w:tcPr>
            <w:tcW w:w="825" w:type="dxa"/>
            <w:vMerge w:val="restart"/>
            <w:vAlign w:val="center"/>
          </w:tcPr>
          <w:p w14:paraId="0079E270" w14:textId="77777777" w:rsidR="002E474C" w:rsidRDefault="00000000">
            <w:pPr>
              <w:pStyle w:val="A-"/>
            </w:pPr>
            <w:r>
              <w:t>总则</w:t>
            </w:r>
          </w:p>
        </w:tc>
        <w:tc>
          <w:tcPr>
            <w:tcW w:w="1305" w:type="dxa"/>
            <w:vAlign w:val="center"/>
          </w:tcPr>
          <w:p w14:paraId="5EF08D2C" w14:textId="77777777" w:rsidR="002E474C" w:rsidRDefault="00000000">
            <w:pPr>
              <w:pStyle w:val="A-"/>
            </w:pPr>
            <w:r>
              <w:t>编制目的</w:t>
            </w:r>
          </w:p>
        </w:tc>
        <w:tc>
          <w:tcPr>
            <w:tcW w:w="6354" w:type="dxa"/>
            <w:vAlign w:val="center"/>
          </w:tcPr>
          <w:p w14:paraId="4D64AA73" w14:textId="77777777" w:rsidR="002E474C" w:rsidRDefault="00000000">
            <w:pPr>
              <w:pStyle w:val="A-"/>
              <w:jc w:val="both"/>
            </w:pPr>
            <w:r>
              <w:t>明确预案编制的目的、要达到的目标和作用等。</w:t>
            </w:r>
          </w:p>
        </w:tc>
      </w:tr>
      <w:tr w:rsidR="002E474C" w14:paraId="46C862C4" w14:textId="77777777">
        <w:trPr>
          <w:trHeight w:val="327"/>
          <w:jc w:val="center"/>
        </w:trPr>
        <w:tc>
          <w:tcPr>
            <w:tcW w:w="462" w:type="dxa"/>
            <w:vMerge/>
            <w:vAlign w:val="center"/>
          </w:tcPr>
          <w:p w14:paraId="58C12E4D" w14:textId="77777777" w:rsidR="002E474C" w:rsidRDefault="002E474C">
            <w:pPr>
              <w:pStyle w:val="A-"/>
            </w:pPr>
          </w:p>
        </w:tc>
        <w:tc>
          <w:tcPr>
            <w:tcW w:w="825" w:type="dxa"/>
            <w:vMerge/>
            <w:vAlign w:val="center"/>
          </w:tcPr>
          <w:p w14:paraId="061A21FC" w14:textId="77777777" w:rsidR="002E474C" w:rsidRDefault="002E474C">
            <w:pPr>
              <w:pStyle w:val="A-"/>
            </w:pPr>
          </w:p>
        </w:tc>
        <w:tc>
          <w:tcPr>
            <w:tcW w:w="1305" w:type="dxa"/>
            <w:vAlign w:val="center"/>
          </w:tcPr>
          <w:p w14:paraId="33966424" w14:textId="77777777" w:rsidR="002E474C" w:rsidRDefault="00000000">
            <w:pPr>
              <w:pStyle w:val="A-"/>
            </w:pPr>
            <w:r>
              <w:t>编制依据</w:t>
            </w:r>
          </w:p>
        </w:tc>
        <w:tc>
          <w:tcPr>
            <w:tcW w:w="6354" w:type="dxa"/>
            <w:vAlign w:val="center"/>
          </w:tcPr>
          <w:p w14:paraId="2B8C7745" w14:textId="77777777" w:rsidR="002E474C" w:rsidRDefault="00000000">
            <w:pPr>
              <w:pStyle w:val="A-"/>
              <w:jc w:val="both"/>
            </w:pPr>
            <w:r>
              <w:rPr>
                <w:spacing w:val="-6"/>
              </w:rPr>
              <w:t>明确预案编制所依据的国家法律法规、规章制度，部门文件，有关行业技术规范标准，以及企业关于应急工作的有关制度和管理办法等。</w:t>
            </w:r>
          </w:p>
        </w:tc>
      </w:tr>
      <w:tr w:rsidR="002E474C" w14:paraId="531A5833" w14:textId="77777777">
        <w:trPr>
          <w:trHeight w:val="309"/>
          <w:jc w:val="center"/>
        </w:trPr>
        <w:tc>
          <w:tcPr>
            <w:tcW w:w="462" w:type="dxa"/>
            <w:vMerge/>
            <w:vAlign w:val="center"/>
          </w:tcPr>
          <w:p w14:paraId="1081C4BC" w14:textId="77777777" w:rsidR="002E474C" w:rsidRDefault="002E474C">
            <w:pPr>
              <w:pStyle w:val="A-"/>
            </w:pPr>
          </w:p>
        </w:tc>
        <w:tc>
          <w:tcPr>
            <w:tcW w:w="825" w:type="dxa"/>
            <w:vMerge/>
            <w:vAlign w:val="center"/>
          </w:tcPr>
          <w:p w14:paraId="5D65175E" w14:textId="77777777" w:rsidR="002E474C" w:rsidRDefault="002E474C">
            <w:pPr>
              <w:pStyle w:val="A-"/>
            </w:pPr>
          </w:p>
        </w:tc>
        <w:tc>
          <w:tcPr>
            <w:tcW w:w="1305" w:type="dxa"/>
            <w:vAlign w:val="center"/>
          </w:tcPr>
          <w:p w14:paraId="0A3E5E66" w14:textId="77777777" w:rsidR="002E474C" w:rsidRDefault="00000000">
            <w:pPr>
              <w:pStyle w:val="A-"/>
            </w:pPr>
            <w:r>
              <w:t>适用范围</w:t>
            </w:r>
          </w:p>
        </w:tc>
        <w:tc>
          <w:tcPr>
            <w:tcW w:w="6354" w:type="dxa"/>
            <w:vAlign w:val="center"/>
          </w:tcPr>
          <w:p w14:paraId="15B81C17" w14:textId="77777777" w:rsidR="002E474C" w:rsidRDefault="00000000">
            <w:pPr>
              <w:pStyle w:val="A-"/>
              <w:jc w:val="both"/>
            </w:pPr>
            <w:r>
              <w:rPr>
                <w:spacing w:val="-6"/>
              </w:rPr>
              <w:t>规定应急预案适用的对象、范围，以及环境污染事件的类型、级别等。</w:t>
            </w:r>
          </w:p>
        </w:tc>
      </w:tr>
      <w:tr w:rsidR="002E474C" w14:paraId="5E8C5A3E" w14:textId="77777777">
        <w:trPr>
          <w:trHeight w:val="20"/>
          <w:jc w:val="center"/>
        </w:trPr>
        <w:tc>
          <w:tcPr>
            <w:tcW w:w="462" w:type="dxa"/>
            <w:vMerge/>
            <w:vAlign w:val="center"/>
          </w:tcPr>
          <w:p w14:paraId="34B67F0F" w14:textId="77777777" w:rsidR="002E474C" w:rsidRDefault="002E474C">
            <w:pPr>
              <w:pStyle w:val="A-"/>
            </w:pPr>
          </w:p>
        </w:tc>
        <w:tc>
          <w:tcPr>
            <w:tcW w:w="825" w:type="dxa"/>
            <w:vMerge/>
            <w:vAlign w:val="center"/>
          </w:tcPr>
          <w:p w14:paraId="583536D1" w14:textId="77777777" w:rsidR="002E474C" w:rsidRDefault="002E474C">
            <w:pPr>
              <w:pStyle w:val="A-"/>
            </w:pPr>
          </w:p>
        </w:tc>
        <w:tc>
          <w:tcPr>
            <w:tcW w:w="1305" w:type="dxa"/>
            <w:vAlign w:val="center"/>
          </w:tcPr>
          <w:p w14:paraId="0C84DE00" w14:textId="77777777" w:rsidR="002E474C" w:rsidRDefault="00000000">
            <w:pPr>
              <w:pStyle w:val="A-"/>
            </w:pPr>
            <w:r>
              <w:t>事件分级</w:t>
            </w:r>
          </w:p>
        </w:tc>
        <w:tc>
          <w:tcPr>
            <w:tcW w:w="6354" w:type="dxa"/>
            <w:vAlign w:val="center"/>
          </w:tcPr>
          <w:p w14:paraId="604552F5" w14:textId="77777777" w:rsidR="002E474C" w:rsidRDefault="00000000">
            <w:pPr>
              <w:pStyle w:val="A-"/>
              <w:jc w:val="both"/>
            </w:pPr>
            <w:r>
              <w:t>参照《国家突发环境事件应急预案》。按照环境污染事件严重性、紧急程度及危害程度，划分环境污染事件的级别。</w:t>
            </w:r>
          </w:p>
        </w:tc>
      </w:tr>
      <w:tr w:rsidR="002E474C" w14:paraId="4BA097B9" w14:textId="77777777">
        <w:trPr>
          <w:trHeight w:val="20"/>
          <w:jc w:val="center"/>
        </w:trPr>
        <w:tc>
          <w:tcPr>
            <w:tcW w:w="462" w:type="dxa"/>
            <w:vMerge/>
            <w:vAlign w:val="center"/>
          </w:tcPr>
          <w:p w14:paraId="496EE32D" w14:textId="77777777" w:rsidR="002E474C" w:rsidRDefault="002E474C">
            <w:pPr>
              <w:pStyle w:val="A-"/>
            </w:pPr>
          </w:p>
        </w:tc>
        <w:tc>
          <w:tcPr>
            <w:tcW w:w="825" w:type="dxa"/>
            <w:vMerge/>
            <w:vAlign w:val="center"/>
          </w:tcPr>
          <w:p w14:paraId="3E0E0958" w14:textId="77777777" w:rsidR="002E474C" w:rsidRDefault="002E474C">
            <w:pPr>
              <w:pStyle w:val="A-"/>
            </w:pPr>
          </w:p>
        </w:tc>
        <w:tc>
          <w:tcPr>
            <w:tcW w:w="1305" w:type="dxa"/>
            <w:vAlign w:val="center"/>
          </w:tcPr>
          <w:p w14:paraId="3B894033" w14:textId="77777777" w:rsidR="002E474C" w:rsidRDefault="00000000">
            <w:pPr>
              <w:pStyle w:val="A-"/>
            </w:pPr>
            <w:r>
              <w:t>工作原则</w:t>
            </w:r>
          </w:p>
        </w:tc>
        <w:tc>
          <w:tcPr>
            <w:tcW w:w="6354" w:type="dxa"/>
            <w:vAlign w:val="center"/>
          </w:tcPr>
          <w:p w14:paraId="1B70A618" w14:textId="77777777" w:rsidR="002E474C" w:rsidRDefault="00000000">
            <w:pPr>
              <w:pStyle w:val="A-"/>
              <w:jc w:val="both"/>
            </w:pPr>
            <w:r>
              <w:t>明确应急工作应遵循预防为主、减少危害，统一领导、分级负责，企业自救、属地管理，整合资源、联动处置等原则。</w:t>
            </w:r>
          </w:p>
        </w:tc>
      </w:tr>
      <w:tr w:rsidR="002E474C" w14:paraId="7D14CD61" w14:textId="77777777">
        <w:trPr>
          <w:trHeight w:val="20"/>
          <w:jc w:val="center"/>
        </w:trPr>
        <w:tc>
          <w:tcPr>
            <w:tcW w:w="462" w:type="dxa"/>
            <w:vMerge/>
            <w:vAlign w:val="center"/>
          </w:tcPr>
          <w:p w14:paraId="6AE9661A" w14:textId="77777777" w:rsidR="002E474C" w:rsidRDefault="002E474C">
            <w:pPr>
              <w:pStyle w:val="A-"/>
            </w:pPr>
          </w:p>
        </w:tc>
        <w:tc>
          <w:tcPr>
            <w:tcW w:w="825" w:type="dxa"/>
            <w:vMerge/>
            <w:vAlign w:val="center"/>
          </w:tcPr>
          <w:p w14:paraId="16FEE1BE" w14:textId="77777777" w:rsidR="002E474C" w:rsidRDefault="002E474C">
            <w:pPr>
              <w:pStyle w:val="A-"/>
            </w:pPr>
          </w:p>
        </w:tc>
        <w:tc>
          <w:tcPr>
            <w:tcW w:w="1305" w:type="dxa"/>
            <w:vAlign w:val="center"/>
          </w:tcPr>
          <w:p w14:paraId="4B26F7E3" w14:textId="77777777" w:rsidR="002E474C" w:rsidRDefault="00000000">
            <w:pPr>
              <w:pStyle w:val="A-"/>
            </w:pPr>
            <w:r>
              <w:t>应急预案关系说明</w:t>
            </w:r>
          </w:p>
        </w:tc>
        <w:tc>
          <w:tcPr>
            <w:tcW w:w="6354" w:type="dxa"/>
            <w:vAlign w:val="center"/>
          </w:tcPr>
          <w:p w14:paraId="31008C58" w14:textId="77777777" w:rsidR="002E474C" w:rsidRDefault="00000000">
            <w:pPr>
              <w:pStyle w:val="A-"/>
              <w:jc w:val="both"/>
            </w:pPr>
            <w:r>
              <w:t>明确应急预案与内部企业应急预案和外部其他应急预案的关系，并辅相应的关系图，表述预案之间的横向关联及上下衔接关系。</w:t>
            </w:r>
          </w:p>
        </w:tc>
      </w:tr>
      <w:tr w:rsidR="002E474C" w14:paraId="11F18625" w14:textId="77777777">
        <w:trPr>
          <w:trHeight w:val="20"/>
          <w:jc w:val="center"/>
        </w:trPr>
        <w:tc>
          <w:tcPr>
            <w:tcW w:w="462" w:type="dxa"/>
            <w:vMerge w:val="restart"/>
            <w:vAlign w:val="center"/>
          </w:tcPr>
          <w:p w14:paraId="2217F209" w14:textId="77777777" w:rsidR="002E474C" w:rsidRDefault="00000000">
            <w:pPr>
              <w:pStyle w:val="A-"/>
            </w:pPr>
            <w:r>
              <w:t>2</w:t>
            </w:r>
          </w:p>
        </w:tc>
        <w:tc>
          <w:tcPr>
            <w:tcW w:w="825" w:type="dxa"/>
            <w:vMerge w:val="restart"/>
            <w:vAlign w:val="center"/>
          </w:tcPr>
          <w:p w14:paraId="0BACF70C" w14:textId="77777777" w:rsidR="002E474C" w:rsidRDefault="00000000">
            <w:pPr>
              <w:pStyle w:val="A-"/>
              <w:ind w:leftChars="-50" w:left="-105" w:rightChars="-50" w:right="-105"/>
            </w:pPr>
            <w:r>
              <w:t>组织机构与职责</w:t>
            </w:r>
          </w:p>
        </w:tc>
        <w:tc>
          <w:tcPr>
            <w:tcW w:w="1305" w:type="dxa"/>
            <w:vAlign w:val="center"/>
          </w:tcPr>
          <w:p w14:paraId="058E4E8C" w14:textId="77777777" w:rsidR="002E474C" w:rsidRDefault="00000000">
            <w:pPr>
              <w:pStyle w:val="A-"/>
            </w:pPr>
            <w:r>
              <w:t>组织机构</w:t>
            </w:r>
          </w:p>
        </w:tc>
        <w:tc>
          <w:tcPr>
            <w:tcW w:w="6354" w:type="dxa"/>
            <w:vAlign w:val="center"/>
          </w:tcPr>
          <w:p w14:paraId="3F67F367" w14:textId="77777777" w:rsidR="002E474C" w:rsidRDefault="00000000">
            <w:pPr>
              <w:pStyle w:val="A-"/>
              <w:jc w:val="both"/>
            </w:pPr>
            <w:r>
              <w:rPr>
                <w:spacing w:val="-6"/>
              </w:rPr>
              <w:t>明确应急组织机构的构成。一般由应急领导小组、应急指挥中心、办事机构和工作机构、应急工作主要部门、应急工作支持部门、信息组、专家组、现场应急指挥部等构成，并尽可能以结构图的形式表述。</w:t>
            </w:r>
          </w:p>
        </w:tc>
      </w:tr>
      <w:tr w:rsidR="002E474C" w14:paraId="5D6A8584" w14:textId="77777777">
        <w:trPr>
          <w:trHeight w:val="20"/>
          <w:jc w:val="center"/>
        </w:trPr>
        <w:tc>
          <w:tcPr>
            <w:tcW w:w="462" w:type="dxa"/>
            <w:vMerge/>
            <w:vAlign w:val="center"/>
          </w:tcPr>
          <w:p w14:paraId="79B3F71B" w14:textId="77777777" w:rsidR="002E474C" w:rsidRDefault="002E474C">
            <w:pPr>
              <w:pStyle w:val="A-"/>
            </w:pPr>
          </w:p>
        </w:tc>
        <w:tc>
          <w:tcPr>
            <w:tcW w:w="825" w:type="dxa"/>
            <w:vMerge/>
            <w:vAlign w:val="center"/>
          </w:tcPr>
          <w:p w14:paraId="081BB375" w14:textId="77777777" w:rsidR="002E474C" w:rsidRDefault="002E474C">
            <w:pPr>
              <w:pStyle w:val="A-"/>
              <w:ind w:leftChars="-50" w:left="-105" w:rightChars="-50" w:right="-105"/>
            </w:pPr>
          </w:p>
        </w:tc>
        <w:tc>
          <w:tcPr>
            <w:tcW w:w="1305" w:type="dxa"/>
            <w:vAlign w:val="center"/>
          </w:tcPr>
          <w:p w14:paraId="29C051AB" w14:textId="77777777" w:rsidR="002E474C" w:rsidRDefault="00000000">
            <w:pPr>
              <w:pStyle w:val="A-"/>
            </w:pPr>
            <w:r>
              <w:t>职责</w:t>
            </w:r>
          </w:p>
        </w:tc>
        <w:tc>
          <w:tcPr>
            <w:tcW w:w="6354" w:type="dxa"/>
            <w:vAlign w:val="center"/>
          </w:tcPr>
          <w:p w14:paraId="5209CF82" w14:textId="77777777" w:rsidR="002E474C" w:rsidRDefault="00000000">
            <w:pPr>
              <w:pStyle w:val="A-"/>
              <w:jc w:val="both"/>
            </w:pPr>
            <w:r>
              <w:t>规定应急组织体系中各部门的应急工作职责、协调管理范畴、负责解决的主要问题和具体操作步骤等。</w:t>
            </w:r>
          </w:p>
        </w:tc>
      </w:tr>
      <w:tr w:rsidR="002E474C" w14:paraId="43E185ED" w14:textId="77777777">
        <w:trPr>
          <w:trHeight w:val="20"/>
          <w:jc w:val="center"/>
        </w:trPr>
        <w:tc>
          <w:tcPr>
            <w:tcW w:w="462" w:type="dxa"/>
            <w:vMerge w:val="restart"/>
            <w:vAlign w:val="center"/>
          </w:tcPr>
          <w:p w14:paraId="5A910A3E" w14:textId="77777777" w:rsidR="002E474C" w:rsidRDefault="00000000">
            <w:pPr>
              <w:pStyle w:val="A-"/>
            </w:pPr>
            <w:r>
              <w:t>3</w:t>
            </w:r>
          </w:p>
        </w:tc>
        <w:tc>
          <w:tcPr>
            <w:tcW w:w="825" w:type="dxa"/>
            <w:vMerge w:val="restart"/>
            <w:vAlign w:val="center"/>
          </w:tcPr>
          <w:p w14:paraId="0942DEF1" w14:textId="77777777" w:rsidR="002E474C" w:rsidRDefault="00000000">
            <w:pPr>
              <w:pStyle w:val="A-"/>
              <w:ind w:leftChars="-50" w:left="-105" w:rightChars="-50" w:right="-105"/>
            </w:pPr>
            <w:r>
              <w:t>预防与预警</w:t>
            </w:r>
          </w:p>
        </w:tc>
        <w:tc>
          <w:tcPr>
            <w:tcW w:w="1305" w:type="dxa"/>
            <w:vAlign w:val="center"/>
          </w:tcPr>
          <w:p w14:paraId="656F8509" w14:textId="77777777" w:rsidR="002E474C" w:rsidRDefault="00000000">
            <w:pPr>
              <w:pStyle w:val="A-"/>
            </w:pPr>
            <w:r>
              <w:t>危险源监控</w:t>
            </w:r>
          </w:p>
        </w:tc>
        <w:tc>
          <w:tcPr>
            <w:tcW w:w="6354" w:type="dxa"/>
            <w:vAlign w:val="center"/>
          </w:tcPr>
          <w:p w14:paraId="024FA109" w14:textId="77777777" w:rsidR="002E474C" w:rsidRDefault="00000000">
            <w:pPr>
              <w:pStyle w:val="A-"/>
              <w:jc w:val="both"/>
            </w:pPr>
            <w:r>
              <w:t>明确对区域内容易引发重大突发环境事件的危险源、危险区域进行调查、登记、风险评估，组织进行检查、监控，并采取安全防范措施，对突发环境事件进行预防。应急指挥机构确认可能导致突发环境事件的信息后，要及时研究确定应对方案，通知有关部门、单位采取相应措施预防事件发生。</w:t>
            </w:r>
          </w:p>
        </w:tc>
      </w:tr>
      <w:tr w:rsidR="002E474C" w14:paraId="7D4798D9" w14:textId="77777777">
        <w:trPr>
          <w:trHeight w:val="20"/>
          <w:jc w:val="center"/>
        </w:trPr>
        <w:tc>
          <w:tcPr>
            <w:tcW w:w="462" w:type="dxa"/>
            <w:vMerge/>
            <w:vAlign w:val="center"/>
          </w:tcPr>
          <w:p w14:paraId="3DDB9CA8" w14:textId="77777777" w:rsidR="002E474C" w:rsidRDefault="002E474C">
            <w:pPr>
              <w:pStyle w:val="A-"/>
            </w:pPr>
          </w:p>
        </w:tc>
        <w:tc>
          <w:tcPr>
            <w:tcW w:w="825" w:type="dxa"/>
            <w:vMerge/>
            <w:vAlign w:val="center"/>
          </w:tcPr>
          <w:p w14:paraId="2D15B56B" w14:textId="77777777" w:rsidR="002E474C" w:rsidRDefault="002E474C">
            <w:pPr>
              <w:pStyle w:val="A-"/>
            </w:pPr>
          </w:p>
        </w:tc>
        <w:tc>
          <w:tcPr>
            <w:tcW w:w="1305" w:type="dxa"/>
            <w:vAlign w:val="center"/>
          </w:tcPr>
          <w:p w14:paraId="34DDA24A" w14:textId="77777777" w:rsidR="002E474C" w:rsidRDefault="00000000">
            <w:pPr>
              <w:pStyle w:val="A-"/>
            </w:pPr>
            <w:r>
              <w:t>预防与应急准备</w:t>
            </w:r>
          </w:p>
        </w:tc>
        <w:tc>
          <w:tcPr>
            <w:tcW w:w="6354" w:type="dxa"/>
            <w:vAlign w:val="center"/>
          </w:tcPr>
          <w:p w14:paraId="35A7B13F" w14:textId="77777777" w:rsidR="002E474C" w:rsidRDefault="00000000">
            <w:pPr>
              <w:pStyle w:val="A-"/>
              <w:jc w:val="both"/>
            </w:pPr>
            <w:r>
              <w:t>明确应急组织机构成员根据自己的职责需开展的预防和应急准备工作，如完善应急预案、应急培训、演练、相关知识培训、应急平台建设、新技术研发等。</w:t>
            </w:r>
          </w:p>
        </w:tc>
      </w:tr>
      <w:tr w:rsidR="002E474C" w14:paraId="5B921318" w14:textId="77777777">
        <w:trPr>
          <w:trHeight w:val="20"/>
          <w:jc w:val="center"/>
        </w:trPr>
        <w:tc>
          <w:tcPr>
            <w:tcW w:w="462" w:type="dxa"/>
            <w:vMerge/>
            <w:vAlign w:val="center"/>
          </w:tcPr>
          <w:p w14:paraId="3EBFAA4D" w14:textId="77777777" w:rsidR="002E474C" w:rsidRDefault="002E474C">
            <w:pPr>
              <w:pStyle w:val="A-"/>
            </w:pPr>
          </w:p>
        </w:tc>
        <w:tc>
          <w:tcPr>
            <w:tcW w:w="825" w:type="dxa"/>
            <w:vMerge/>
            <w:vAlign w:val="center"/>
          </w:tcPr>
          <w:p w14:paraId="59F53459" w14:textId="77777777" w:rsidR="002E474C" w:rsidRDefault="002E474C">
            <w:pPr>
              <w:pStyle w:val="A-"/>
            </w:pPr>
          </w:p>
        </w:tc>
        <w:tc>
          <w:tcPr>
            <w:tcW w:w="1305" w:type="dxa"/>
            <w:vAlign w:val="center"/>
          </w:tcPr>
          <w:p w14:paraId="2EE61526" w14:textId="77777777" w:rsidR="002E474C" w:rsidRDefault="00000000">
            <w:pPr>
              <w:pStyle w:val="A-"/>
            </w:pPr>
            <w:r>
              <w:t>监测与预警</w:t>
            </w:r>
          </w:p>
        </w:tc>
        <w:tc>
          <w:tcPr>
            <w:tcW w:w="6354" w:type="dxa"/>
            <w:vAlign w:val="center"/>
          </w:tcPr>
          <w:p w14:paraId="4BC60BF9" w14:textId="77777777" w:rsidR="002E474C" w:rsidRDefault="00000000">
            <w:pPr>
              <w:pStyle w:val="A-"/>
              <w:jc w:val="both"/>
            </w:pPr>
            <w:r>
              <w:t>1</w:t>
            </w:r>
            <w:r>
              <w:t>．应按照早发现、早报告、早处置的原则，对重点排污口进行自行监测。</w:t>
            </w:r>
          </w:p>
          <w:p w14:paraId="07C64001" w14:textId="77777777" w:rsidR="002E474C" w:rsidRDefault="00000000">
            <w:pPr>
              <w:pStyle w:val="A-"/>
              <w:jc w:val="both"/>
            </w:pPr>
            <w:r>
              <w:t>2</w:t>
            </w:r>
            <w:r>
              <w:t>．根据企业应急能力情况及可能发生的突发环境事件级别，有针对性地开展应急监测工作。</w:t>
            </w:r>
          </w:p>
        </w:tc>
      </w:tr>
      <w:tr w:rsidR="002E474C" w14:paraId="4D809036" w14:textId="77777777">
        <w:trPr>
          <w:trHeight w:val="20"/>
          <w:jc w:val="center"/>
        </w:trPr>
        <w:tc>
          <w:tcPr>
            <w:tcW w:w="462" w:type="dxa"/>
            <w:vMerge w:val="restart"/>
            <w:vAlign w:val="center"/>
          </w:tcPr>
          <w:p w14:paraId="0DF36A6C" w14:textId="77777777" w:rsidR="002E474C" w:rsidRDefault="00000000">
            <w:pPr>
              <w:pStyle w:val="A-"/>
            </w:pPr>
            <w:r>
              <w:t>4</w:t>
            </w:r>
          </w:p>
        </w:tc>
        <w:tc>
          <w:tcPr>
            <w:tcW w:w="825" w:type="dxa"/>
            <w:vMerge w:val="restart"/>
            <w:vAlign w:val="center"/>
          </w:tcPr>
          <w:p w14:paraId="4E465786" w14:textId="77777777" w:rsidR="002E474C" w:rsidRDefault="00000000">
            <w:pPr>
              <w:pStyle w:val="A-"/>
            </w:pPr>
            <w:r>
              <w:t>应急</w:t>
            </w:r>
          </w:p>
          <w:p w14:paraId="7B98828C" w14:textId="77777777" w:rsidR="002E474C" w:rsidRDefault="00000000">
            <w:pPr>
              <w:pStyle w:val="A-"/>
            </w:pPr>
            <w:r>
              <w:t>响应</w:t>
            </w:r>
          </w:p>
        </w:tc>
        <w:tc>
          <w:tcPr>
            <w:tcW w:w="1305" w:type="dxa"/>
            <w:vAlign w:val="center"/>
          </w:tcPr>
          <w:p w14:paraId="24D53104" w14:textId="77777777" w:rsidR="002E474C" w:rsidRDefault="00000000">
            <w:pPr>
              <w:pStyle w:val="A-"/>
            </w:pPr>
            <w:r>
              <w:t>响应流程</w:t>
            </w:r>
          </w:p>
        </w:tc>
        <w:tc>
          <w:tcPr>
            <w:tcW w:w="6354" w:type="dxa"/>
            <w:vAlign w:val="center"/>
          </w:tcPr>
          <w:p w14:paraId="21C63F8C" w14:textId="77777777" w:rsidR="002E474C" w:rsidRDefault="00000000">
            <w:pPr>
              <w:pStyle w:val="A-"/>
              <w:jc w:val="both"/>
            </w:pPr>
            <w:r>
              <w:t>根据所编制预案的类型和特点，明确应急响应的流程和步骤，并以流程图表示。</w:t>
            </w:r>
            <w:r>
              <w:t xml:space="preserve"> </w:t>
            </w:r>
          </w:p>
        </w:tc>
      </w:tr>
      <w:tr w:rsidR="002E474C" w14:paraId="6893BE06" w14:textId="77777777">
        <w:trPr>
          <w:trHeight w:val="20"/>
          <w:jc w:val="center"/>
        </w:trPr>
        <w:tc>
          <w:tcPr>
            <w:tcW w:w="462" w:type="dxa"/>
            <w:vMerge/>
            <w:vAlign w:val="center"/>
          </w:tcPr>
          <w:p w14:paraId="582943DA" w14:textId="77777777" w:rsidR="002E474C" w:rsidRDefault="002E474C">
            <w:pPr>
              <w:pStyle w:val="A-"/>
            </w:pPr>
          </w:p>
        </w:tc>
        <w:tc>
          <w:tcPr>
            <w:tcW w:w="825" w:type="dxa"/>
            <w:vMerge/>
            <w:vAlign w:val="center"/>
          </w:tcPr>
          <w:p w14:paraId="421CF30A" w14:textId="77777777" w:rsidR="002E474C" w:rsidRDefault="002E474C">
            <w:pPr>
              <w:pStyle w:val="A-"/>
            </w:pPr>
          </w:p>
        </w:tc>
        <w:tc>
          <w:tcPr>
            <w:tcW w:w="1305" w:type="dxa"/>
            <w:vAlign w:val="center"/>
          </w:tcPr>
          <w:p w14:paraId="6BA48F3C" w14:textId="77777777" w:rsidR="002E474C" w:rsidRDefault="00000000">
            <w:pPr>
              <w:pStyle w:val="A-"/>
            </w:pPr>
            <w:r>
              <w:t>分级响应</w:t>
            </w:r>
          </w:p>
        </w:tc>
        <w:tc>
          <w:tcPr>
            <w:tcW w:w="6354" w:type="dxa"/>
            <w:vAlign w:val="center"/>
          </w:tcPr>
          <w:p w14:paraId="2317F160" w14:textId="77777777" w:rsidR="002E474C" w:rsidRDefault="00000000">
            <w:pPr>
              <w:pStyle w:val="A-"/>
              <w:jc w:val="both"/>
            </w:pPr>
            <w:r>
              <w:t>根据事件紧急和危害程度，对应急响应进行分级。</w:t>
            </w:r>
          </w:p>
        </w:tc>
      </w:tr>
      <w:tr w:rsidR="002E474C" w14:paraId="29615205" w14:textId="77777777">
        <w:trPr>
          <w:trHeight w:val="20"/>
          <w:jc w:val="center"/>
        </w:trPr>
        <w:tc>
          <w:tcPr>
            <w:tcW w:w="462" w:type="dxa"/>
            <w:vMerge/>
            <w:vAlign w:val="center"/>
          </w:tcPr>
          <w:p w14:paraId="06EDD755" w14:textId="77777777" w:rsidR="002E474C" w:rsidRDefault="002E474C">
            <w:pPr>
              <w:pStyle w:val="A-"/>
            </w:pPr>
          </w:p>
        </w:tc>
        <w:tc>
          <w:tcPr>
            <w:tcW w:w="825" w:type="dxa"/>
            <w:vMerge/>
            <w:vAlign w:val="center"/>
          </w:tcPr>
          <w:p w14:paraId="6D6A819D" w14:textId="77777777" w:rsidR="002E474C" w:rsidRDefault="002E474C">
            <w:pPr>
              <w:pStyle w:val="A-"/>
            </w:pPr>
          </w:p>
        </w:tc>
        <w:tc>
          <w:tcPr>
            <w:tcW w:w="1305" w:type="dxa"/>
            <w:vAlign w:val="center"/>
          </w:tcPr>
          <w:p w14:paraId="29FB448B" w14:textId="77777777" w:rsidR="002E474C" w:rsidRDefault="00000000">
            <w:pPr>
              <w:pStyle w:val="A-"/>
            </w:pPr>
            <w:r>
              <w:t>启动条件</w:t>
            </w:r>
          </w:p>
        </w:tc>
        <w:tc>
          <w:tcPr>
            <w:tcW w:w="6354" w:type="dxa"/>
            <w:vAlign w:val="center"/>
          </w:tcPr>
          <w:p w14:paraId="2781608A" w14:textId="77777777" w:rsidR="002E474C" w:rsidRDefault="00000000">
            <w:pPr>
              <w:pStyle w:val="A-"/>
              <w:jc w:val="both"/>
            </w:pPr>
            <w:r>
              <w:t>明确不同级别预案的启动条件。</w:t>
            </w:r>
          </w:p>
        </w:tc>
      </w:tr>
      <w:tr w:rsidR="002E474C" w14:paraId="3C1A5ECF" w14:textId="77777777">
        <w:trPr>
          <w:trHeight w:val="20"/>
          <w:jc w:val="center"/>
        </w:trPr>
        <w:tc>
          <w:tcPr>
            <w:tcW w:w="462" w:type="dxa"/>
            <w:vMerge/>
            <w:vAlign w:val="center"/>
          </w:tcPr>
          <w:p w14:paraId="15945306" w14:textId="77777777" w:rsidR="002E474C" w:rsidRDefault="002E474C">
            <w:pPr>
              <w:pStyle w:val="A-"/>
            </w:pPr>
          </w:p>
        </w:tc>
        <w:tc>
          <w:tcPr>
            <w:tcW w:w="825" w:type="dxa"/>
            <w:vMerge/>
            <w:vAlign w:val="center"/>
          </w:tcPr>
          <w:p w14:paraId="7641D269" w14:textId="77777777" w:rsidR="002E474C" w:rsidRDefault="002E474C">
            <w:pPr>
              <w:pStyle w:val="A-"/>
            </w:pPr>
          </w:p>
        </w:tc>
        <w:tc>
          <w:tcPr>
            <w:tcW w:w="1305" w:type="dxa"/>
            <w:vAlign w:val="center"/>
          </w:tcPr>
          <w:p w14:paraId="5632000D" w14:textId="77777777" w:rsidR="002E474C" w:rsidRDefault="00000000">
            <w:pPr>
              <w:pStyle w:val="A-"/>
            </w:pPr>
            <w:r>
              <w:t>信息报告与处置</w:t>
            </w:r>
          </w:p>
        </w:tc>
        <w:tc>
          <w:tcPr>
            <w:tcW w:w="6354" w:type="dxa"/>
            <w:vAlign w:val="center"/>
          </w:tcPr>
          <w:p w14:paraId="5738E0F1" w14:textId="77777777" w:rsidR="002E474C" w:rsidRDefault="00000000">
            <w:pPr>
              <w:pStyle w:val="A-"/>
              <w:jc w:val="both"/>
            </w:pPr>
            <w:r>
              <w:t>明确</w:t>
            </w:r>
            <w:r>
              <w:t>24</w:t>
            </w:r>
            <w:r>
              <w:t>小时应急值守电话、内部信息报告的形式和要求，以及事件信息的通报流程；明确事件信息上报的部门、方式、内容和时限等内容；明确事件发生后向可能遭受事件影响的单位，以及向请求援助单位发出有关信息的方式、方法。</w:t>
            </w:r>
          </w:p>
        </w:tc>
      </w:tr>
      <w:tr w:rsidR="002E474C" w14:paraId="23702C53" w14:textId="77777777">
        <w:trPr>
          <w:trHeight w:val="20"/>
          <w:jc w:val="center"/>
        </w:trPr>
        <w:tc>
          <w:tcPr>
            <w:tcW w:w="462" w:type="dxa"/>
            <w:vMerge/>
            <w:vAlign w:val="center"/>
          </w:tcPr>
          <w:p w14:paraId="5AB3FC32" w14:textId="77777777" w:rsidR="002E474C" w:rsidRDefault="002E474C">
            <w:pPr>
              <w:pStyle w:val="A-"/>
            </w:pPr>
          </w:p>
        </w:tc>
        <w:tc>
          <w:tcPr>
            <w:tcW w:w="825" w:type="dxa"/>
            <w:vMerge/>
            <w:vAlign w:val="center"/>
          </w:tcPr>
          <w:p w14:paraId="45DEF191" w14:textId="77777777" w:rsidR="002E474C" w:rsidRDefault="002E474C">
            <w:pPr>
              <w:pStyle w:val="A-"/>
            </w:pPr>
          </w:p>
        </w:tc>
        <w:tc>
          <w:tcPr>
            <w:tcW w:w="1305" w:type="dxa"/>
            <w:vAlign w:val="center"/>
          </w:tcPr>
          <w:p w14:paraId="14E614A1" w14:textId="77777777" w:rsidR="002E474C" w:rsidRDefault="00000000">
            <w:pPr>
              <w:pStyle w:val="A-"/>
            </w:pPr>
            <w:r>
              <w:t>应急准备</w:t>
            </w:r>
          </w:p>
        </w:tc>
        <w:tc>
          <w:tcPr>
            <w:tcW w:w="6354" w:type="dxa"/>
            <w:vAlign w:val="center"/>
          </w:tcPr>
          <w:p w14:paraId="59B22CDE" w14:textId="77777777" w:rsidR="002E474C" w:rsidRDefault="00000000">
            <w:pPr>
              <w:pStyle w:val="A-"/>
              <w:jc w:val="both"/>
            </w:pPr>
            <w:r>
              <w:t>明确应急行动开展之前的准备工作，包括下达启动预案命令、召开应急会议、各应急组织成员的联系会议等。</w:t>
            </w:r>
          </w:p>
        </w:tc>
      </w:tr>
      <w:tr w:rsidR="002E474C" w14:paraId="0CA07A77" w14:textId="77777777">
        <w:trPr>
          <w:trHeight w:val="20"/>
          <w:jc w:val="center"/>
        </w:trPr>
        <w:tc>
          <w:tcPr>
            <w:tcW w:w="462" w:type="dxa"/>
            <w:vMerge/>
            <w:vAlign w:val="center"/>
          </w:tcPr>
          <w:p w14:paraId="2161204E" w14:textId="77777777" w:rsidR="002E474C" w:rsidRDefault="002E474C">
            <w:pPr>
              <w:pStyle w:val="A-"/>
            </w:pPr>
          </w:p>
        </w:tc>
        <w:tc>
          <w:tcPr>
            <w:tcW w:w="825" w:type="dxa"/>
            <w:vMerge/>
            <w:vAlign w:val="center"/>
          </w:tcPr>
          <w:p w14:paraId="26211400" w14:textId="77777777" w:rsidR="002E474C" w:rsidRDefault="002E474C">
            <w:pPr>
              <w:pStyle w:val="A-"/>
            </w:pPr>
          </w:p>
        </w:tc>
        <w:tc>
          <w:tcPr>
            <w:tcW w:w="1305" w:type="dxa"/>
            <w:vAlign w:val="center"/>
          </w:tcPr>
          <w:p w14:paraId="5E08F84C" w14:textId="77777777" w:rsidR="002E474C" w:rsidRDefault="00000000">
            <w:pPr>
              <w:pStyle w:val="A-"/>
            </w:pPr>
            <w:r>
              <w:t>应急监测</w:t>
            </w:r>
          </w:p>
        </w:tc>
        <w:tc>
          <w:tcPr>
            <w:tcW w:w="6354" w:type="dxa"/>
            <w:vAlign w:val="center"/>
          </w:tcPr>
          <w:p w14:paraId="192A7392" w14:textId="77777777" w:rsidR="002E474C" w:rsidRDefault="00000000">
            <w:pPr>
              <w:pStyle w:val="A-"/>
              <w:jc w:val="both"/>
            </w:pPr>
            <w:r>
              <w:t>明确紧急情况下企业应按事发地人民政府环保部门要求，配合开展工作。明确应急监测方案，包括污染现场、实验室应急监测方法、仪</w:t>
            </w:r>
            <w:r>
              <w:lastRenderedPageBreak/>
              <w:t>器、药剂。突发环境事件发生时企业环境监测机构要立即开展应急监测，在政府部门到达后，则配合政府部门相关机构进行监测。</w:t>
            </w:r>
          </w:p>
        </w:tc>
      </w:tr>
      <w:tr w:rsidR="002E474C" w14:paraId="424259AA" w14:textId="77777777">
        <w:trPr>
          <w:trHeight w:val="20"/>
          <w:jc w:val="center"/>
        </w:trPr>
        <w:tc>
          <w:tcPr>
            <w:tcW w:w="462" w:type="dxa"/>
            <w:vMerge/>
            <w:vAlign w:val="center"/>
          </w:tcPr>
          <w:p w14:paraId="0386D338" w14:textId="77777777" w:rsidR="002E474C" w:rsidRDefault="002E474C">
            <w:pPr>
              <w:pStyle w:val="A-"/>
            </w:pPr>
          </w:p>
        </w:tc>
        <w:tc>
          <w:tcPr>
            <w:tcW w:w="825" w:type="dxa"/>
            <w:vMerge/>
            <w:vAlign w:val="center"/>
          </w:tcPr>
          <w:p w14:paraId="6661B05B" w14:textId="77777777" w:rsidR="002E474C" w:rsidRDefault="002E474C">
            <w:pPr>
              <w:pStyle w:val="A-"/>
            </w:pPr>
          </w:p>
        </w:tc>
        <w:tc>
          <w:tcPr>
            <w:tcW w:w="1305" w:type="dxa"/>
            <w:vMerge w:val="restart"/>
            <w:vAlign w:val="center"/>
          </w:tcPr>
          <w:p w14:paraId="4CB788EC" w14:textId="77777777" w:rsidR="002E474C" w:rsidRDefault="00000000">
            <w:pPr>
              <w:pStyle w:val="A-"/>
            </w:pPr>
            <w:r>
              <w:t>现场处置</w:t>
            </w:r>
          </w:p>
        </w:tc>
        <w:tc>
          <w:tcPr>
            <w:tcW w:w="6354" w:type="dxa"/>
            <w:vAlign w:val="center"/>
          </w:tcPr>
          <w:p w14:paraId="380C94DC" w14:textId="77777777" w:rsidR="002E474C" w:rsidRDefault="00000000">
            <w:pPr>
              <w:pStyle w:val="A-"/>
              <w:jc w:val="both"/>
            </w:pPr>
            <w:r>
              <w:t>1</w:t>
            </w:r>
            <w:r>
              <w:t>．水环境污染事件现场处置</w:t>
            </w:r>
          </w:p>
          <w:p w14:paraId="55B78E91" w14:textId="77777777" w:rsidR="002E474C" w:rsidRDefault="00000000">
            <w:pPr>
              <w:pStyle w:val="A-"/>
              <w:jc w:val="both"/>
            </w:pPr>
            <w:r>
              <w:t>根据污染物的性质及事件类型、可控性、严重程度、影响范围及水环境状况等，需确定以下内容：</w:t>
            </w:r>
          </w:p>
          <w:p w14:paraId="7DE537EC" w14:textId="77777777" w:rsidR="002E474C" w:rsidRDefault="00000000">
            <w:pPr>
              <w:pStyle w:val="A-"/>
              <w:jc w:val="both"/>
            </w:pPr>
            <w:r>
              <w:t>（</w:t>
            </w:r>
            <w:r>
              <w:t>1</w:t>
            </w:r>
            <w:r>
              <w:t>）可能受影响水体情况说明，包括水体规模、水文情况、水体功能、水质现状等；</w:t>
            </w:r>
          </w:p>
          <w:p w14:paraId="5D9F6479" w14:textId="77777777" w:rsidR="002E474C" w:rsidRDefault="00000000">
            <w:pPr>
              <w:pStyle w:val="A-"/>
              <w:jc w:val="both"/>
            </w:pPr>
            <w:r>
              <w:t>（</w:t>
            </w:r>
            <w:r>
              <w:t>2</w:t>
            </w:r>
            <w:r>
              <w:t>）制定监测方案，开展应急监测；</w:t>
            </w:r>
          </w:p>
          <w:p w14:paraId="46DE6D05" w14:textId="77777777" w:rsidR="002E474C" w:rsidRDefault="00000000">
            <w:pPr>
              <w:pStyle w:val="A-"/>
              <w:jc w:val="both"/>
            </w:pPr>
            <w:r>
              <w:t>（</w:t>
            </w:r>
            <w:r>
              <w:t>3</w:t>
            </w:r>
            <w:r>
              <w:t>）事件发生后，切断污染源的有效方法及泄漏至外环境的污染物控制、消减技术方法说明；</w:t>
            </w:r>
          </w:p>
          <w:p w14:paraId="5E092458" w14:textId="77777777" w:rsidR="002E474C" w:rsidRDefault="00000000">
            <w:pPr>
              <w:pStyle w:val="A-"/>
              <w:jc w:val="both"/>
            </w:pPr>
            <w:r>
              <w:t>（</w:t>
            </w:r>
            <w:r>
              <w:t>4</w:t>
            </w:r>
            <w:r>
              <w:t>）制定水中毒事件预防措施，中毒人员救治措施；</w:t>
            </w:r>
          </w:p>
          <w:p w14:paraId="1FC42168" w14:textId="77777777" w:rsidR="002E474C" w:rsidRDefault="00000000">
            <w:pPr>
              <w:pStyle w:val="A-"/>
              <w:jc w:val="both"/>
            </w:pPr>
            <w:r>
              <w:t>（</w:t>
            </w:r>
            <w:r>
              <w:t>5</w:t>
            </w:r>
            <w:r>
              <w:t>）需要其他措施的说明（如其他企业污染物限排、停排，调水，污染水体疏导，自来水厂的应急措施等）；</w:t>
            </w:r>
          </w:p>
        </w:tc>
      </w:tr>
      <w:tr w:rsidR="002E474C" w14:paraId="2BB25ECC" w14:textId="77777777">
        <w:trPr>
          <w:trHeight w:val="20"/>
          <w:jc w:val="center"/>
        </w:trPr>
        <w:tc>
          <w:tcPr>
            <w:tcW w:w="462" w:type="dxa"/>
            <w:vMerge/>
            <w:vAlign w:val="center"/>
          </w:tcPr>
          <w:p w14:paraId="0676A228" w14:textId="77777777" w:rsidR="002E474C" w:rsidRDefault="002E474C">
            <w:pPr>
              <w:pStyle w:val="A-"/>
            </w:pPr>
          </w:p>
        </w:tc>
        <w:tc>
          <w:tcPr>
            <w:tcW w:w="825" w:type="dxa"/>
            <w:vMerge/>
            <w:vAlign w:val="center"/>
          </w:tcPr>
          <w:p w14:paraId="10379261" w14:textId="77777777" w:rsidR="002E474C" w:rsidRDefault="002E474C">
            <w:pPr>
              <w:pStyle w:val="A-"/>
            </w:pPr>
          </w:p>
        </w:tc>
        <w:tc>
          <w:tcPr>
            <w:tcW w:w="1305" w:type="dxa"/>
            <w:vMerge/>
            <w:vAlign w:val="center"/>
          </w:tcPr>
          <w:p w14:paraId="3EF74F68" w14:textId="77777777" w:rsidR="002E474C" w:rsidRDefault="002E474C">
            <w:pPr>
              <w:pStyle w:val="A-"/>
            </w:pPr>
          </w:p>
        </w:tc>
        <w:tc>
          <w:tcPr>
            <w:tcW w:w="6354" w:type="dxa"/>
            <w:vAlign w:val="center"/>
          </w:tcPr>
          <w:p w14:paraId="30AE1D27" w14:textId="77777777" w:rsidR="002E474C" w:rsidRDefault="00000000">
            <w:pPr>
              <w:pStyle w:val="A-"/>
              <w:jc w:val="both"/>
            </w:pPr>
            <w:r>
              <w:t>（</w:t>
            </w:r>
            <w:r>
              <w:t>6</w:t>
            </w:r>
            <w:r>
              <w:t>）跨界污染事件应急处置措施说明；</w:t>
            </w:r>
          </w:p>
          <w:p w14:paraId="22A128E0" w14:textId="77777777" w:rsidR="002E474C" w:rsidRDefault="00000000">
            <w:pPr>
              <w:pStyle w:val="A-"/>
              <w:jc w:val="both"/>
            </w:pPr>
            <w:r>
              <w:t>（</w:t>
            </w:r>
            <w:r>
              <w:t>7</w:t>
            </w:r>
            <w:r>
              <w:t>）其他说明。</w:t>
            </w:r>
          </w:p>
          <w:p w14:paraId="1BA9ECB3" w14:textId="77777777" w:rsidR="002E474C" w:rsidRDefault="00000000">
            <w:pPr>
              <w:pStyle w:val="A-"/>
              <w:jc w:val="both"/>
            </w:pPr>
            <w:r>
              <w:t>2</w:t>
            </w:r>
            <w:r>
              <w:t>．有毒气体扩散事件现场处置</w:t>
            </w:r>
          </w:p>
          <w:p w14:paraId="60EA41E7" w14:textId="77777777" w:rsidR="002E474C" w:rsidRDefault="00000000">
            <w:pPr>
              <w:pStyle w:val="A-"/>
              <w:jc w:val="both"/>
            </w:pPr>
            <w:r>
              <w:t>根据污染物的性质及事件类型，事件可控性、严重程度和影响范围以及风向、风速和地形条件等，需确定以下内容：</w:t>
            </w:r>
          </w:p>
          <w:p w14:paraId="15EF2193" w14:textId="77777777" w:rsidR="002E474C" w:rsidRDefault="00000000">
            <w:pPr>
              <w:pStyle w:val="A-"/>
              <w:jc w:val="both"/>
            </w:pPr>
            <w:r>
              <w:t>（</w:t>
            </w:r>
            <w:r>
              <w:t>1</w:t>
            </w:r>
            <w:r>
              <w:t>）切断污染源的有效措施；</w:t>
            </w:r>
          </w:p>
          <w:p w14:paraId="11E7B209" w14:textId="77777777" w:rsidR="002E474C" w:rsidRDefault="00000000">
            <w:pPr>
              <w:pStyle w:val="A-"/>
              <w:jc w:val="both"/>
            </w:pPr>
            <w:r>
              <w:t>（</w:t>
            </w:r>
            <w:r>
              <w:t>2</w:t>
            </w:r>
            <w:r>
              <w:t>）制定气体泄漏事件所采取的现场洗消措施或其他处置措施；</w:t>
            </w:r>
          </w:p>
          <w:p w14:paraId="00A5CE80" w14:textId="77777777" w:rsidR="002E474C" w:rsidRDefault="00000000">
            <w:pPr>
              <w:pStyle w:val="A-"/>
              <w:jc w:val="both"/>
            </w:pPr>
            <w:r>
              <w:t>（</w:t>
            </w:r>
            <w:r>
              <w:t>3</w:t>
            </w:r>
            <w:r>
              <w:t>）明确可能受影响区域及区域环境状况；</w:t>
            </w:r>
          </w:p>
          <w:p w14:paraId="73EFC60F" w14:textId="77777777" w:rsidR="002E474C" w:rsidRDefault="00000000">
            <w:pPr>
              <w:pStyle w:val="A-"/>
              <w:jc w:val="both"/>
            </w:pPr>
            <w:r>
              <w:t>（</w:t>
            </w:r>
            <w:r>
              <w:t>4</w:t>
            </w:r>
            <w:r>
              <w:t>）制定监测方案，开展应急监测；</w:t>
            </w:r>
          </w:p>
          <w:p w14:paraId="508E2B2E" w14:textId="77777777" w:rsidR="002E474C" w:rsidRDefault="00000000">
            <w:pPr>
              <w:pStyle w:val="A-"/>
              <w:jc w:val="both"/>
            </w:pPr>
            <w:r>
              <w:t>（</w:t>
            </w:r>
            <w:r>
              <w:t>5</w:t>
            </w:r>
            <w:r>
              <w:t>）可能受影响区域企业、单位、社区人员疏散的方式和路线、基本保护措施和个人防护方法；</w:t>
            </w:r>
          </w:p>
          <w:p w14:paraId="791B6125" w14:textId="77777777" w:rsidR="002E474C" w:rsidRDefault="00000000">
            <w:pPr>
              <w:pStyle w:val="A-"/>
              <w:jc w:val="both"/>
            </w:pPr>
            <w:r>
              <w:t>（</w:t>
            </w:r>
            <w:r>
              <w:t>6</w:t>
            </w:r>
            <w:r>
              <w:t>）临时安置场所；</w:t>
            </w:r>
          </w:p>
          <w:p w14:paraId="2A6AB5B0" w14:textId="77777777" w:rsidR="002E474C" w:rsidRDefault="00000000">
            <w:pPr>
              <w:pStyle w:val="A-"/>
              <w:jc w:val="both"/>
            </w:pPr>
            <w:r>
              <w:t>（</w:t>
            </w:r>
            <w:r>
              <w:t>7</w:t>
            </w:r>
            <w:r>
              <w:t>）周边道路隔离或交通疏导方案；</w:t>
            </w:r>
          </w:p>
          <w:p w14:paraId="5AC8F47B" w14:textId="77777777" w:rsidR="002E474C" w:rsidRDefault="00000000">
            <w:pPr>
              <w:pStyle w:val="A-"/>
              <w:jc w:val="both"/>
            </w:pPr>
            <w:r>
              <w:t>（</w:t>
            </w:r>
            <w:r>
              <w:t>8</w:t>
            </w:r>
            <w:r>
              <w:t>）其他说明。</w:t>
            </w:r>
          </w:p>
          <w:p w14:paraId="6A5800D3" w14:textId="77777777" w:rsidR="002E474C" w:rsidRDefault="00000000">
            <w:pPr>
              <w:pStyle w:val="A-"/>
              <w:jc w:val="both"/>
            </w:pPr>
            <w:r>
              <w:t xml:space="preserve">3. </w:t>
            </w:r>
            <w:r>
              <w:t>危险化学品及危险废物污染事件现场处置</w:t>
            </w:r>
          </w:p>
          <w:p w14:paraId="4D249F4E" w14:textId="77777777" w:rsidR="002E474C" w:rsidRDefault="00000000">
            <w:pPr>
              <w:pStyle w:val="A-"/>
              <w:jc w:val="both"/>
            </w:pPr>
            <w:r>
              <w:t>根据危险化学品和危险废物的性质、污染严重程度和影响范围，需确定以下内容：</w:t>
            </w:r>
          </w:p>
          <w:p w14:paraId="11004875" w14:textId="77777777" w:rsidR="002E474C" w:rsidRDefault="00000000">
            <w:pPr>
              <w:pStyle w:val="A-"/>
              <w:jc w:val="both"/>
            </w:pPr>
            <w:r>
              <w:t>（</w:t>
            </w:r>
            <w:r>
              <w:t>1</w:t>
            </w:r>
            <w:r>
              <w:t>）切断污染源的有效措施；</w:t>
            </w:r>
          </w:p>
          <w:p w14:paraId="52E8712B" w14:textId="77777777" w:rsidR="002E474C" w:rsidRDefault="00000000">
            <w:pPr>
              <w:pStyle w:val="A-"/>
              <w:jc w:val="both"/>
            </w:pPr>
            <w:r>
              <w:t>（</w:t>
            </w:r>
            <w:r>
              <w:t>2</w:t>
            </w:r>
            <w:r>
              <w:t>）制定防止发生次生环境污染事件的处置措施；</w:t>
            </w:r>
          </w:p>
          <w:p w14:paraId="3A4A4F18" w14:textId="77777777" w:rsidR="002E474C" w:rsidRDefault="00000000">
            <w:pPr>
              <w:pStyle w:val="A-"/>
              <w:jc w:val="both"/>
            </w:pPr>
            <w:r>
              <w:t>（</w:t>
            </w:r>
            <w:r>
              <w:t>3</w:t>
            </w:r>
            <w:r>
              <w:t>）明确可能受影响区域及区域环境状况；</w:t>
            </w:r>
          </w:p>
          <w:p w14:paraId="4FC928B4" w14:textId="77777777" w:rsidR="002E474C" w:rsidRDefault="00000000">
            <w:pPr>
              <w:pStyle w:val="A-"/>
              <w:jc w:val="both"/>
            </w:pPr>
            <w:r>
              <w:t>（</w:t>
            </w:r>
            <w:r>
              <w:t>4</w:t>
            </w:r>
            <w:r>
              <w:t>）制定监测方案，开展应急监测；</w:t>
            </w:r>
          </w:p>
          <w:p w14:paraId="732B6B30" w14:textId="77777777" w:rsidR="002E474C" w:rsidRDefault="00000000">
            <w:pPr>
              <w:pStyle w:val="A-"/>
              <w:jc w:val="both"/>
            </w:pPr>
            <w:r>
              <w:t>（</w:t>
            </w:r>
            <w:r>
              <w:t>5</w:t>
            </w:r>
            <w:r>
              <w:t>）可能受影响区域人员疏散的方式和路线、基本保护措施和个人防护方法；</w:t>
            </w:r>
          </w:p>
          <w:p w14:paraId="63BBFC8F" w14:textId="77777777" w:rsidR="002E474C" w:rsidRDefault="00000000">
            <w:pPr>
              <w:pStyle w:val="A-"/>
              <w:jc w:val="both"/>
            </w:pPr>
            <w:r>
              <w:t>（</w:t>
            </w:r>
            <w:r>
              <w:t>6</w:t>
            </w:r>
            <w:r>
              <w:t>）临时安置场所；</w:t>
            </w:r>
          </w:p>
          <w:p w14:paraId="3DD4D7FC" w14:textId="77777777" w:rsidR="002E474C" w:rsidRDefault="00000000">
            <w:pPr>
              <w:pStyle w:val="A-"/>
              <w:jc w:val="both"/>
            </w:pPr>
            <w:r>
              <w:t>（</w:t>
            </w:r>
            <w:r>
              <w:t>7</w:t>
            </w:r>
            <w:r>
              <w:t>）周边道路隔离或交通疏导方案；</w:t>
            </w:r>
          </w:p>
          <w:p w14:paraId="296EB6D0" w14:textId="77777777" w:rsidR="002E474C" w:rsidRDefault="00000000">
            <w:pPr>
              <w:pStyle w:val="A-"/>
              <w:jc w:val="both"/>
            </w:pPr>
            <w:r>
              <w:t>（</w:t>
            </w:r>
            <w:r>
              <w:t>8</w:t>
            </w:r>
            <w:r>
              <w:t>）其他说明。</w:t>
            </w:r>
          </w:p>
          <w:p w14:paraId="1768225B" w14:textId="77777777" w:rsidR="002E474C" w:rsidRDefault="00000000">
            <w:pPr>
              <w:pStyle w:val="A-"/>
              <w:jc w:val="both"/>
            </w:pPr>
            <w:r>
              <w:t>4</w:t>
            </w:r>
            <w:r>
              <w:t>．受伤人员现场救护、救治与医院救治</w:t>
            </w:r>
          </w:p>
          <w:p w14:paraId="10FAB9E7" w14:textId="77777777" w:rsidR="002E474C" w:rsidRDefault="00000000">
            <w:pPr>
              <w:pStyle w:val="A-"/>
              <w:jc w:val="both"/>
            </w:pPr>
            <w:r>
              <w:t>受伤人员现场救护、救治与医院救治依据事件分类、分级，附近疾病控制与医疗救治机构的设置和处理能力，制订具有可操作性的处置方案，应包括以下内容：</w:t>
            </w:r>
          </w:p>
          <w:p w14:paraId="7DBA9946" w14:textId="77777777" w:rsidR="002E474C" w:rsidRDefault="00000000">
            <w:pPr>
              <w:pStyle w:val="A-"/>
              <w:jc w:val="both"/>
            </w:pPr>
            <w:r>
              <w:t>（</w:t>
            </w:r>
            <w:r>
              <w:t>1</w:t>
            </w:r>
            <w:r>
              <w:t>）可用的急救资源列表，如急救中心、医院、疾控中心、救护车和急救人员；</w:t>
            </w:r>
          </w:p>
          <w:p w14:paraId="7A9701C5" w14:textId="77777777" w:rsidR="002E474C" w:rsidRDefault="00000000">
            <w:pPr>
              <w:pStyle w:val="A-"/>
              <w:jc w:val="both"/>
            </w:pPr>
            <w:r>
              <w:t>（</w:t>
            </w:r>
            <w:r>
              <w:t>2</w:t>
            </w:r>
            <w:r>
              <w:t>）应急抢救中心、毒物控制中心的列表；</w:t>
            </w:r>
          </w:p>
          <w:p w14:paraId="0E2BDFC6" w14:textId="77777777" w:rsidR="002E474C" w:rsidRDefault="00000000">
            <w:pPr>
              <w:pStyle w:val="A-"/>
              <w:jc w:val="both"/>
            </w:pPr>
            <w:r>
              <w:t>（</w:t>
            </w:r>
            <w:r>
              <w:t>3</w:t>
            </w:r>
            <w:r>
              <w:t>）国家中毒急救网络；</w:t>
            </w:r>
          </w:p>
          <w:p w14:paraId="4434767C" w14:textId="77777777" w:rsidR="002E474C" w:rsidRDefault="00000000">
            <w:pPr>
              <w:pStyle w:val="A-"/>
              <w:jc w:val="both"/>
            </w:pPr>
            <w:r>
              <w:t>（</w:t>
            </w:r>
            <w:r>
              <w:t>4</w:t>
            </w:r>
            <w:r>
              <w:t>）伤员的现场急救常识</w:t>
            </w:r>
          </w:p>
        </w:tc>
      </w:tr>
      <w:tr w:rsidR="002E474C" w14:paraId="0D035F55" w14:textId="77777777">
        <w:trPr>
          <w:trHeight w:val="20"/>
          <w:jc w:val="center"/>
        </w:trPr>
        <w:tc>
          <w:tcPr>
            <w:tcW w:w="462" w:type="dxa"/>
            <w:vMerge w:val="restart"/>
            <w:vAlign w:val="center"/>
          </w:tcPr>
          <w:p w14:paraId="74EB733A" w14:textId="77777777" w:rsidR="002E474C" w:rsidRDefault="00000000">
            <w:pPr>
              <w:pStyle w:val="A-"/>
            </w:pPr>
            <w:r>
              <w:t>5</w:t>
            </w:r>
          </w:p>
        </w:tc>
        <w:tc>
          <w:tcPr>
            <w:tcW w:w="825" w:type="dxa"/>
            <w:vMerge w:val="restart"/>
            <w:vAlign w:val="center"/>
          </w:tcPr>
          <w:p w14:paraId="07B05DFA" w14:textId="77777777" w:rsidR="002E474C" w:rsidRDefault="00000000">
            <w:pPr>
              <w:pStyle w:val="A-"/>
            </w:pPr>
            <w:r>
              <w:t>安全</w:t>
            </w:r>
          </w:p>
          <w:p w14:paraId="1411F47F" w14:textId="77777777" w:rsidR="002E474C" w:rsidRDefault="00000000">
            <w:pPr>
              <w:pStyle w:val="A-"/>
            </w:pPr>
            <w:r>
              <w:lastRenderedPageBreak/>
              <w:t>防护</w:t>
            </w:r>
          </w:p>
        </w:tc>
        <w:tc>
          <w:tcPr>
            <w:tcW w:w="1305" w:type="dxa"/>
            <w:vAlign w:val="center"/>
          </w:tcPr>
          <w:p w14:paraId="0FDD7A37" w14:textId="77777777" w:rsidR="002E474C" w:rsidRDefault="00000000">
            <w:pPr>
              <w:pStyle w:val="A-"/>
            </w:pPr>
            <w:r>
              <w:lastRenderedPageBreak/>
              <w:t>应急人员的</w:t>
            </w:r>
            <w:r>
              <w:lastRenderedPageBreak/>
              <w:t>安全防护</w:t>
            </w:r>
          </w:p>
        </w:tc>
        <w:tc>
          <w:tcPr>
            <w:tcW w:w="6354" w:type="dxa"/>
            <w:vAlign w:val="center"/>
          </w:tcPr>
          <w:p w14:paraId="3EA64DCC" w14:textId="77777777" w:rsidR="002E474C" w:rsidRDefault="00000000">
            <w:pPr>
              <w:pStyle w:val="A-"/>
              <w:jc w:val="both"/>
            </w:pPr>
            <w:r>
              <w:lastRenderedPageBreak/>
              <w:t>明确事件现场的保护措施；</w:t>
            </w:r>
          </w:p>
        </w:tc>
      </w:tr>
      <w:tr w:rsidR="002E474C" w14:paraId="3A580864" w14:textId="77777777">
        <w:trPr>
          <w:trHeight w:val="20"/>
          <w:jc w:val="center"/>
        </w:trPr>
        <w:tc>
          <w:tcPr>
            <w:tcW w:w="462" w:type="dxa"/>
            <w:vMerge/>
            <w:vAlign w:val="center"/>
          </w:tcPr>
          <w:p w14:paraId="556CF9A6" w14:textId="77777777" w:rsidR="002E474C" w:rsidRDefault="002E474C">
            <w:pPr>
              <w:pStyle w:val="A-"/>
            </w:pPr>
          </w:p>
        </w:tc>
        <w:tc>
          <w:tcPr>
            <w:tcW w:w="825" w:type="dxa"/>
            <w:vMerge/>
            <w:vAlign w:val="center"/>
          </w:tcPr>
          <w:p w14:paraId="50B230DE" w14:textId="77777777" w:rsidR="002E474C" w:rsidRDefault="002E474C">
            <w:pPr>
              <w:pStyle w:val="A-"/>
            </w:pPr>
          </w:p>
        </w:tc>
        <w:tc>
          <w:tcPr>
            <w:tcW w:w="1305" w:type="dxa"/>
            <w:vAlign w:val="center"/>
          </w:tcPr>
          <w:p w14:paraId="5F098D23" w14:textId="77777777" w:rsidR="002E474C" w:rsidRDefault="00000000">
            <w:pPr>
              <w:pStyle w:val="A-"/>
            </w:pPr>
            <w:r>
              <w:t>受灾群众的安全防护</w:t>
            </w:r>
          </w:p>
        </w:tc>
        <w:tc>
          <w:tcPr>
            <w:tcW w:w="6354" w:type="dxa"/>
            <w:vAlign w:val="center"/>
          </w:tcPr>
          <w:p w14:paraId="0C78656A" w14:textId="77777777" w:rsidR="002E474C" w:rsidRDefault="00000000">
            <w:pPr>
              <w:pStyle w:val="A-"/>
              <w:jc w:val="both"/>
            </w:pPr>
            <w:r>
              <w:t>制定群众安全防护措施、疏散措施及患者医疗救护方案等。</w:t>
            </w:r>
          </w:p>
          <w:p w14:paraId="01D743FE" w14:textId="77777777" w:rsidR="002E474C" w:rsidRDefault="00000000">
            <w:pPr>
              <w:pStyle w:val="A-"/>
              <w:jc w:val="both"/>
            </w:pPr>
            <w:r>
              <w:t>防止人员中毒或引发次生环境事件。</w:t>
            </w:r>
          </w:p>
        </w:tc>
      </w:tr>
      <w:tr w:rsidR="002E474C" w14:paraId="5388447A" w14:textId="77777777">
        <w:trPr>
          <w:trHeight w:val="20"/>
          <w:jc w:val="center"/>
        </w:trPr>
        <w:tc>
          <w:tcPr>
            <w:tcW w:w="462" w:type="dxa"/>
            <w:vAlign w:val="center"/>
          </w:tcPr>
          <w:p w14:paraId="5E46C91C" w14:textId="77777777" w:rsidR="002E474C" w:rsidRDefault="00000000">
            <w:pPr>
              <w:pStyle w:val="A-"/>
            </w:pPr>
            <w:r>
              <w:t>6</w:t>
            </w:r>
          </w:p>
        </w:tc>
        <w:tc>
          <w:tcPr>
            <w:tcW w:w="2130" w:type="dxa"/>
            <w:gridSpan w:val="2"/>
            <w:vAlign w:val="center"/>
          </w:tcPr>
          <w:p w14:paraId="5C9E0D6A" w14:textId="77777777" w:rsidR="002E474C" w:rsidRDefault="00000000">
            <w:pPr>
              <w:pStyle w:val="A-"/>
            </w:pPr>
            <w:r>
              <w:t>次生灾害防护</w:t>
            </w:r>
          </w:p>
        </w:tc>
        <w:tc>
          <w:tcPr>
            <w:tcW w:w="6354" w:type="dxa"/>
            <w:vAlign w:val="center"/>
          </w:tcPr>
          <w:p w14:paraId="367577F8" w14:textId="77777777" w:rsidR="002E474C" w:rsidRDefault="00000000">
            <w:pPr>
              <w:pStyle w:val="A-"/>
              <w:jc w:val="both"/>
            </w:pPr>
            <w:r>
              <w:t>制定次生灾害防范措施，现场监测方案，现场人员撤离方案，</w:t>
            </w:r>
          </w:p>
        </w:tc>
      </w:tr>
      <w:tr w:rsidR="002E474C" w14:paraId="44E06150" w14:textId="77777777">
        <w:trPr>
          <w:trHeight w:val="20"/>
          <w:jc w:val="center"/>
        </w:trPr>
        <w:tc>
          <w:tcPr>
            <w:tcW w:w="462" w:type="dxa"/>
            <w:vAlign w:val="center"/>
          </w:tcPr>
          <w:p w14:paraId="2DB7DEED" w14:textId="77777777" w:rsidR="002E474C" w:rsidRDefault="00000000">
            <w:pPr>
              <w:pStyle w:val="A-"/>
            </w:pPr>
            <w:r>
              <w:t>7</w:t>
            </w:r>
          </w:p>
        </w:tc>
        <w:tc>
          <w:tcPr>
            <w:tcW w:w="2130" w:type="dxa"/>
            <w:gridSpan w:val="2"/>
            <w:vAlign w:val="center"/>
          </w:tcPr>
          <w:p w14:paraId="01F00570" w14:textId="77777777" w:rsidR="002E474C" w:rsidRDefault="00000000">
            <w:pPr>
              <w:pStyle w:val="A-"/>
            </w:pPr>
            <w:r>
              <w:t>应急状态解除</w:t>
            </w:r>
          </w:p>
        </w:tc>
        <w:tc>
          <w:tcPr>
            <w:tcW w:w="6354" w:type="dxa"/>
            <w:vAlign w:val="center"/>
          </w:tcPr>
          <w:p w14:paraId="700D5D45" w14:textId="77777777" w:rsidR="002E474C" w:rsidRDefault="00000000">
            <w:pPr>
              <w:pStyle w:val="A-"/>
              <w:jc w:val="both"/>
            </w:pPr>
            <w:r>
              <w:t>1</w:t>
            </w:r>
            <w:r>
              <w:t>．明确应急终止的条件；</w:t>
            </w:r>
          </w:p>
          <w:p w14:paraId="4BC01A20" w14:textId="77777777" w:rsidR="002E474C" w:rsidRDefault="00000000">
            <w:pPr>
              <w:pStyle w:val="A-"/>
              <w:jc w:val="both"/>
            </w:pPr>
            <w:r>
              <w:t>2</w:t>
            </w:r>
            <w:r>
              <w:t>．明确应急终止的程序；</w:t>
            </w:r>
          </w:p>
          <w:p w14:paraId="23B72A59" w14:textId="77777777" w:rsidR="002E474C" w:rsidRDefault="00000000">
            <w:pPr>
              <w:pStyle w:val="A-"/>
              <w:jc w:val="both"/>
            </w:pPr>
            <w:r>
              <w:t>3</w:t>
            </w:r>
            <w:r>
              <w:t>．明确应急状态终止后，继续进行跟踪环境监测和评估的方案。</w:t>
            </w:r>
          </w:p>
        </w:tc>
      </w:tr>
      <w:tr w:rsidR="002E474C" w14:paraId="76210BC9" w14:textId="77777777">
        <w:trPr>
          <w:trHeight w:val="20"/>
          <w:jc w:val="center"/>
        </w:trPr>
        <w:tc>
          <w:tcPr>
            <w:tcW w:w="462" w:type="dxa"/>
            <w:vAlign w:val="center"/>
          </w:tcPr>
          <w:p w14:paraId="6F0210C1" w14:textId="77777777" w:rsidR="002E474C" w:rsidRDefault="00000000">
            <w:pPr>
              <w:pStyle w:val="A-"/>
            </w:pPr>
            <w:r>
              <w:t>8</w:t>
            </w:r>
          </w:p>
        </w:tc>
        <w:tc>
          <w:tcPr>
            <w:tcW w:w="2130" w:type="dxa"/>
            <w:gridSpan w:val="2"/>
            <w:vAlign w:val="center"/>
          </w:tcPr>
          <w:p w14:paraId="3D499C06" w14:textId="77777777" w:rsidR="002E474C" w:rsidRDefault="00000000">
            <w:pPr>
              <w:pStyle w:val="A-"/>
            </w:pPr>
            <w:r>
              <w:t>善后处置</w:t>
            </w:r>
          </w:p>
        </w:tc>
        <w:tc>
          <w:tcPr>
            <w:tcW w:w="6354" w:type="dxa"/>
            <w:vAlign w:val="center"/>
          </w:tcPr>
          <w:p w14:paraId="4BF358D6" w14:textId="77777777" w:rsidR="002E474C" w:rsidRDefault="00000000">
            <w:pPr>
              <w:pStyle w:val="A-"/>
              <w:jc w:val="both"/>
            </w:pPr>
            <w:r>
              <w:t>明确受灾人员的安置及损失赔偿方案；</w:t>
            </w:r>
          </w:p>
          <w:p w14:paraId="51A3EE98" w14:textId="77777777" w:rsidR="002E474C" w:rsidRDefault="00000000">
            <w:pPr>
              <w:pStyle w:val="A-"/>
              <w:jc w:val="both"/>
            </w:pPr>
            <w:r>
              <w:t>配合有关部门对环境污染事件中的长期环境影响进行评估；</w:t>
            </w:r>
          </w:p>
          <w:p w14:paraId="190529CB" w14:textId="77777777" w:rsidR="002E474C" w:rsidRDefault="00000000">
            <w:pPr>
              <w:pStyle w:val="A-"/>
              <w:jc w:val="both"/>
            </w:pPr>
            <w:r>
              <w:t>明确开展环境恢复与重建工作的内容和程序。</w:t>
            </w:r>
          </w:p>
        </w:tc>
      </w:tr>
      <w:tr w:rsidR="002E474C" w14:paraId="3F34B8FC" w14:textId="77777777">
        <w:trPr>
          <w:trHeight w:val="20"/>
          <w:jc w:val="center"/>
        </w:trPr>
        <w:tc>
          <w:tcPr>
            <w:tcW w:w="462" w:type="dxa"/>
            <w:vMerge w:val="restart"/>
            <w:vAlign w:val="center"/>
          </w:tcPr>
          <w:p w14:paraId="6CCE2351" w14:textId="77777777" w:rsidR="002E474C" w:rsidRDefault="00000000">
            <w:pPr>
              <w:pStyle w:val="A-"/>
            </w:pPr>
            <w:r>
              <w:t>9</w:t>
            </w:r>
          </w:p>
        </w:tc>
        <w:tc>
          <w:tcPr>
            <w:tcW w:w="825" w:type="dxa"/>
            <w:vMerge w:val="restart"/>
            <w:vAlign w:val="center"/>
          </w:tcPr>
          <w:p w14:paraId="3B2DB9A9" w14:textId="77777777" w:rsidR="002E474C" w:rsidRDefault="00000000">
            <w:pPr>
              <w:pStyle w:val="A-"/>
            </w:pPr>
            <w:r>
              <w:t>应急</w:t>
            </w:r>
          </w:p>
          <w:p w14:paraId="64385D23" w14:textId="77777777" w:rsidR="002E474C" w:rsidRDefault="00000000">
            <w:pPr>
              <w:pStyle w:val="A-"/>
            </w:pPr>
            <w:r>
              <w:t>保障</w:t>
            </w:r>
          </w:p>
        </w:tc>
        <w:tc>
          <w:tcPr>
            <w:tcW w:w="1305" w:type="dxa"/>
            <w:vAlign w:val="center"/>
          </w:tcPr>
          <w:p w14:paraId="6159F243" w14:textId="77777777" w:rsidR="002E474C" w:rsidRDefault="00000000">
            <w:pPr>
              <w:pStyle w:val="A-"/>
              <w:ind w:leftChars="-50" w:left="-105" w:rightChars="-50" w:right="-105"/>
            </w:pPr>
            <w:r>
              <w:t>应急保障计划</w:t>
            </w:r>
          </w:p>
        </w:tc>
        <w:tc>
          <w:tcPr>
            <w:tcW w:w="6354" w:type="dxa"/>
            <w:vAlign w:val="center"/>
          </w:tcPr>
          <w:p w14:paraId="52AFD96B" w14:textId="77777777" w:rsidR="002E474C" w:rsidRDefault="00000000">
            <w:pPr>
              <w:pStyle w:val="A-"/>
              <w:jc w:val="both"/>
            </w:pPr>
            <w:r>
              <w:rPr>
                <w:spacing w:val="-6"/>
              </w:rPr>
              <w:t>制定应急资源建设及储备目标，落实责任主体，明确应急专项经费来源，确定外部依托机构，针对应急能力评估中发现的不足制定措施。</w:t>
            </w:r>
          </w:p>
        </w:tc>
      </w:tr>
      <w:tr w:rsidR="002E474C" w14:paraId="7A9221E7" w14:textId="77777777">
        <w:trPr>
          <w:trHeight w:val="20"/>
          <w:jc w:val="center"/>
        </w:trPr>
        <w:tc>
          <w:tcPr>
            <w:tcW w:w="462" w:type="dxa"/>
            <w:vMerge/>
            <w:vAlign w:val="center"/>
          </w:tcPr>
          <w:p w14:paraId="64A97097" w14:textId="77777777" w:rsidR="002E474C" w:rsidRDefault="002E474C">
            <w:pPr>
              <w:pStyle w:val="A-"/>
            </w:pPr>
          </w:p>
        </w:tc>
        <w:tc>
          <w:tcPr>
            <w:tcW w:w="825" w:type="dxa"/>
            <w:vMerge/>
            <w:vAlign w:val="center"/>
          </w:tcPr>
          <w:p w14:paraId="535130EA" w14:textId="77777777" w:rsidR="002E474C" w:rsidRDefault="002E474C">
            <w:pPr>
              <w:pStyle w:val="A-"/>
            </w:pPr>
          </w:p>
        </w:tc>
        <w:tc>
          <w:tcPr>
            <w:tcW w:w="1305" w:type="dxa"/>
            <w:vAlign w:val="center"/>
          </w:tcPr>
          <w:p w14:paraId="6CCE5599" w14:textId="77777777" w:rsidR="002E474C" w:rsidRDefault="00000000">
            <w:pPr>
              <w:pStyle w:val="A-"/>
            </w:pPr>
            <w:r>
              <w:t>应急资源</w:t>
            </w:r>
          </w:p>
        </w:tc>
        <w:tc>
          <w:tcPr>
            <w:tcW w:w="6354" w:type="dxa"/>
            <w:vAlign w:val="center"/>
          </w:tcPr>
          <w:p w14:paraId="42B6D18F" w14:textId="77777777" w:rsidR="002E474C" w:rsidRDefault="00000000">
            <w:pPr>
              <w:pStyle w:val="A-"/>
              <w:jc w:val="both"/>
            </w:pPr>
            <w:r>
              <w:t>应急保障责任主体依据既有应急保障计划，落实应急专家、应急队伍、应急资金、应急物资配备、调用标准及措施。</w:t>
            </w:r>
          </w:p>
        </w:tc>
      </w:tr>
      <w:tr w:rsidR="002E474C" w14:paraId="22B5EFFF" w14:textId="77777777">
        <w:trPr>
          <w:trHeight w:val="20"/>
          <w:jc w:val="center"/>
        </w:trPr>
        <w:tc>
          <w:tcPr>
            <w:tcW w:w="462" w:type="dxa"/>
            <w:vMerge/>
            <w:vAlign w:val="center"/>
          </w:tcPr>
          <w:p w14:paraId="532B9BA5" w14:textId="77777777" w:rsidR="002E474C" w:rsidRDefault="002E474C">
            <w:pPr>
              <w:pStyle w:val="A-"/>
            </w:pPr>
          </w:p>
        </w:tc>
        <w:tc>
          <w:tcPr>
            <w:tcW w:w="825" w:type="dxa"/>
            <w:vMerge/>
            <w:vAlign w:val="center"/>
          </w:tcPr>
          <w:p w14:paraId="4AFEE52E" w14:textId="77777777" w:rsidR="002E474C" w:rsidRDefault="002E474C">
            <w:pPr>
              <w:pStyle w:val="A-"/>
            </w:pPr>
          </w:p>
        </w:tc>
        <w:tc>
          <w:tcPr>
            <w:tcW w:w="1305" w:type="dxa"/>
            <w:vAlign w:val="center"/>
          </w:tcPr>
          <w:p w14:paraId="2FAAE031" w14:textId="77777777" w:rsidR="002E474C" w:rsidRDefault="00000000">
            <w:pPr>
              <w:pStyle w:val="A-"/>
              <w:ind w:leftChars="-50" w:left="-105" w:rightChars="-50" w:right="-105"/>
            </w:pPr>
            <w:r>
              <w:t>应急物资和装备保障</w:t>
            </w:r>
          </w:p>
        </w:tc>
        <w:tc>
          <w:tcPr>
            <w:tcW w:w="6354" w:type="dxa"/>
            <w:vAlign w:val="center"/>
          </w:tcPr>
          <w:p w14:paraId="49678068" w14:textId="77777777" w:rsidR="002E474C" w:rsidRDefault="00000000">
            <w:pPr>
              <w:pStyle w:val="A-"/>
              <w:jc w:val="both"/>
            </w:pPr>
            <w:r>
              <w:rPr>
                <w:spacing w:val="-6"/>
              </w:rPr>
              <w:t>企业依据重特大事件应急处置的需求，建立健全以应急物资储备为主，社会救援物资为辅的物资保障体系，建立应急物资动态管理制度。</w:t>
            </w:r>
          </w:p>
        </w:tc>
      </w:tr>
      <w:tr w:rsidR="002E474C" w14:paraId="42D7BD9B" w14:textId="77777777">
        <w:trPr>
          <w:trHeight w:val="20"/>
          <w:jc w:val="center"/>
        </w:trPr>
        <w:tc>
          <w:tcPr>
            <w:tcW w:w="462" w:type="dxa"/>
            <w:vMerge/>
            <w:vAlign w:val="center"/>
          </w:tcPr>
          <w:p w14:paraId="38C4D7CA" w14:textId="77777777" w:rsidR="002E474C" w:rsidRDefault="002E474C">
            <w:pPr>
              <w:pStyle w:val="A-"/>
            </w:pPr>
          </w:p>
        </w:tc>
        <w:tc>
          <w:tcPr>
            <w:tcW w:w="825" w:type="dxa"/>
            <w:vMerge/>
            <w:vAlign w:val="center"/>
          </w:tcPr>
          <w:p w14:paraId="7297252A" w14:textId="77777777" w:rsidR="002E474C" w:rsidRDefault="002E474C">
            <w:pPr>
              <w:pStyle w:val="A-"/>
            </w:pPr>
          </w:p>
        </w:tc>
        <w:tc>
          <w:tcPr>
            <w:tcW w:w="1305" w:type="dxa"/>
            <w:vAlign w:val="center"/>
          </w:tcPr>
          <w:p w14:paraId="2B79B2B9" w14:textId="77777777" w:rsidR="002E474C" w:rsidRDefault="00000000">
            <w:pPr>
              <w:pStyle w:val="A-"/>
            </w:pPr>
            <w:r>
              <w:t>应急通讯</w:t>
            </w:r>
          </w:p>
        </w:tc>
        <w:tc>
          <w:tcPr>
            <w:tcW w:w="6354" w:type="dxa"/>
            <w:vAlign w:val="center"/>
          </w:tcPr>
          <w:p w14:paraId="76CA1D6C" w14:textId="77777777" w:rsidR="002E474C" w:rsidRDefault="00000000">
            <w:pPr>
              <w:pStyle w:val="A-"/>
              <w:jc w:val="both"/>
            </w:pPr>
            <w:r>
              <w:t>明确与应急工作相关的单位和人员联系方式及方法，并提供备用方案。建立健全应急通讯系统与配套设施，确保应急状态下信息通畅。</w:t>
            </w:r>
          </w:p>
        </w:tc>
      </w:tr>
      <w:tr w:rsidR="002E474C" w14:paraId="7A33FD3C" w14:textId="77777777">
        <w:trPr>
          <w:trHeight w:val="20"/>
          <w:jc w:val="center"/>
        </w:trPr>
        <w:tc>
          <w:tcPr>
            <w:tcW w:w="462" w:type="dxa"/>
            <w:vMerge/>
            <w:vAlign w:val="center"/>
          </w:tcPr>
          <w:p w14:paraId="6991C96F" w14:textId="77777777" w:rsidR="002E474C" w:rsidRDefault="002E474C">
            <w:pPr>
              <w:pStyle w:val="A-"/>
            </w:pPr>
          </w:p>
        </w:tc>
        <w:tc>
          <w:tcPr>
            <w:tcW w:w="825" w:type="dxa"/>
            <w:vMerge/>
            <w:vAlign w:val="center"/>
          </w:tcPr>
          <w:p w14:paraId="18E99745" w14:textId="77777777" w:rsidR="002E474C" w:rsidRDefault="002E474C">
            <w:pPr>
              <w:pStyle w:val="A-"/>
            </w:pPr>
          </w:p>
        </w:tc>
        <w:tc>
          <w:tcPr>
            <w:tcW w:w="1305" w:type="dxa"/>
            <w:vAlign w:val="center"/>
          </w:tcPr>
          <w:p w14:paraId="545CF3C7" w14:textId="77777777" w:rsidR="002E474C" w:rsidRDefault="00000000">
            <w:pPr>
              <w:pStyle w:val="A-"/>
            </w:pPr>
            <w:r>
              <w:t>应急技术</w:t>
            </w:r>
          </w:p>
        </w:tc>
        <w:tc>
          <w:tcPr>
            <w:tcW w:w="6354" w:type="dxa"/>
            <w:vAlign w:val="center"/>
          </w:tcPr>
          <w:p w14:paraId="0D00FE99" w14:textId="77777777" w:rsidR="002E474C" w:rsidRDefault="00000000">
            <w:pPr>
              <w:pStyle w:val="A-"/>
              <w:jc w:val="both"/>
            </w:pPr>
            <w:r>
              <w:t>阐述应急处置技术手段、技术机构等内容。</w:t>
            </w:r>
          </w:p>
        </w:tc>
      </w:tr>
      <w:tr w:rsidR="002E474C" w14:paraId="351FDE9B" w14:textId="77777777">
        <w:trPr>
          <w:trHeight w:val="20"/>
          <w:jc w:val="center"/>
        </w:trPr>
        <w:tc>
          <w:tcPr>
            <w:tcW w:w="462" w:type="dxa"/>
            <w:vMerge/>
            <w:vAlign w:val="center"/>
          </w:tcPr>
          <w:p w14:paraId="3786D5D7" w14:textId="77777777" w:rsidR="002E474C" w:rsidRDefault="002E474C">
            <w:pPr>
              <w:pStyle w:val="A-"/>
            </w:pPr>
          </w:p>
        </w:tc>
        <w:tc>
          <w:tcPr>
            <w:tcW w:w="825" w:type="dxa"/>
            <w:vMerge/>
            <w:vAlign w:val="center"/>
          </w:tcPr>
          <w:p w14:paraId="4AC67A70" w14:textId="77777777" w:rsidR="002E474C" w:rsidRDefault="002E474C">
            <w:pPr>
              <w:pStyle w:val="A-"/>
            </w:pPr>
          </w:p>
        </w:tc>
        <w:tc>
          <w:tcPr>
            <w:tcW w:w="1305" w:type="dxa"/>
            <w:vAlign w:val="center"/>
          </w:tcPr>
          <w:p w14:paraId="3B53F2A7" w14:textId="77777777" w:rsidR="002E474C" w:rsidRDefault="00000000">
            <w:pPr>
              <w:pStyle w:val="A-"/>
            </w:pPr>
            <w:r>
              <w:t>其他保障</w:t>
            </w:r>
          </w:p>
        </w:tc>
        <w:tc>
          <w:tcPr>
            <w:tcW w:w="6354" w:type="dxa"/>
            <w:vAlign w:val="center"/>
          </w:tcPr>
          <w:p w14:paraId="1E90D3F3" w14:textId="77777777" w:rsidR="002E474C" w:rsidRDefault="00000000">
            <w:pPr>
              <w:pStyle w:val="A-"/>
              <w:jc w:val="both"/>
            </w:pPr>
            <w:r>
              <w:t>根据应急工作需求，确定其他相关保障措施（交通运输、治安、医疗、后勤、体制机制、对外信息发布保障等）。</w:t>
            </w:r>
          </w:p>
        </w:tc>
      </w:tr>
      <w:tr w:rsidR="002E474C" w14:paraId="0F060462" w14:textId="77777777">
        <w:trPr>
          <w:trHeight w:val="20"/>
          <w:jc w:val="center"/>
        </w:trPr>
        <w:tc>
          <w:tcPr>
            <w:tcW w:w="462" w:type="dxa"/>
            <w:vMerge w:val="restart"/>
            <w:vAlign w:val="center"/>
          </w:tcPr>
          <w:p w14:paraId="22ABA52B" w14:textId="77777777" w:rsidR="002E474C" w:rsidRDefault="00000000">
            <w:pPr>
              <w:pStyle w:val="A-"/>
            </w:pPr>
            <w:r>
              <w:t>10</w:t>
            </w:r>
          </w:p>
        </w:tc>
        <w:tc>
          <w:tcPr>
            <w:tcW w:w="825" w:type="dxa"/>
            <w:vMerge w:val="restart"/>
            <w:vAlign w:val="center"/>
          </w:tcPr>
          <w:p w14:paraId="2DEC39B0" w14:textId="77777777" w:rsidR="002E474C" w:rsidRDefault="00000000">
            <w:pPr>
              <w:pStyle w:val="A-"/>
            </w:pPr>
            <w:r>
              <w:t>预案</w:t>
            </w:r>
          </w:p>
          <w:p w14:paraId="5A6DF153" w14:textId="77777777" w:rsidR="002E474C" w:rsidRDefault="00000000">
            <w:pPr>
              <w:pStyle w:val="A-"/>
            </w:pPr>
            <w:r>
              <w:t>管理</w:t>
            </w:r>
          </w:p>
        </w:tc>
        <w:tc>
          <w:tcPr>
            <w:tcW w:w="1305" w:type="dxa"/>
            <w:vAlign w:val="center"/>
          </w:tcPr>
          <w:p w14:paraId="46CFD591" w14:textId="77777777" w:rsidR="002E474C" w:rsidRDefault="00000000">
            <w:pPr>
              <w:pStyle w:val="A-"/>
            </w:pPr>
            <w:r>
              <w:t>预案培训</w:t>
            </w:r>
          </w:p>
        </w:tc>
        <w:tc>
          <w:tcPr>
            <w:tcW w:w="6354" w:type="dxa"/>
            <w:vAlign w:val="center"/>
          </w:tcPr>
          <w:p w14:paraId="2E410267" w14:textId="77777777" w:rsidR="002E474C" w:rsidRDefault="00000000">
            <w:pPr>
              <w:pStyle w:val="A-"/>
              <w:jc w:val="both"/>
            </w:pPr>
            <w:r>
              <w:t>说明对本企业开展的应急培训计划、方式和要求。如果预案涉及相关方，应明确宣传、告知等工作。</w:t>
            </w:r>
          </w:p>
        </w:tc>
      </w:tr>
      <w:tr w:rsidR="002E474C" w14:paraId="672B5CB3" w14:textId="77777777">
        <w:trPr>
          <w:trHeight w:val="20"/>
          <w:jc w:val="center"/>
        </w:trPr>
        <w:tc>
          <w:tcPr>
            <w:tcW w:w="462" w:type="dxa"/>
            <w:vMerge/>
            <w:vAlign w:val="center"/>
          </w:tcPr>
          <w:p w14:paraId="74E2EAB5" w14:textId="77777777" w:rsidR="002E474C" w:rsidRDefault="002E474C">
            <w:pPr>
              <w:pStyle w:val="A-"/>
            </w:pPr>
          </w:p>
        </w:tc>
        <w:tc>
          <w:tcPr>
            <w:tcW w:w="825" w:type="dxa"/>
            <w:vMerge/>
            <w:vAlign w:val="center"/>
          </w:tcPr>
          <w:p w14:paraId="40530A0E" w14:textId="77777777" w:rsidR="002E474C" w:rsidRDefault="002E474C">
            <w:pPr>
              <w:pStyle w:val="A-"/>
            </w:pPr>
          </w:p>
        </w:tc>
        <w:tc>
          <w:tcPr>
            <w:tcW w:w="1305" w:type="dxa"/>
            <w:vAlign w:val="center"/>
          </w:tcPr>
          <w:p w14:paraId="4CB58EEE" w14:textId="77777777" w:rsidR="002E474C" w:rsidRDefault="00000000">
            <w:pPr>
              <w:pStyle w:val="A-"/>
            </w:pPr>
            <w:r>
              <w:t>预案演练</w:t>
            </w:r>
          </w:p>
        </w:tc>
        <w:tc>
          <w:tcPr>
            <w:tcW w:w="6354" w:type="dxa"/>
            <w:vAlign w:val="center"/>
          </w:tcPr>
          <w:p w14:paraId="6C39241D" w14:textId="77777777" w:rsidR="002E474C" w:rsidRDefault="00000000">
            <w:pPr>
              <w:pStyle w:val="A-"/>
              <w:jc w:val="both"/>
            </w:pPr>
            <w:r>
              <w:t>说明应急演练的方式、频次等内容，制定企业预案演练的具体计划，并组织策划和实施，演练结束后做好总结，适时组织有关企业和专家对部分应急演练进行观摩和交流。</w:t>
            </w:r>
          </w:p>
        </w:tc>
      </w:tr>
      <w:tr w:rsidR="002E474C" w14:paraId="2B055585" w14:textId="77777777">
        <w:trPr>
          <w:trHeight w:val="20"/>
          <w:jc w:val="center"/>
        </w:trPr>
        <w:tc>
          <w:tcPr>
            <w:tcW w:w="462" w:type="dxa"/>
            <w:vMerge/>
            <w:vAlign w:val="center"/>
          </w:tcPr>
          <w:p w14:paraId="05903C16" w14:textId="77777777" w:rsidR="002E474C" w:rsidRDefault="002E474C">
            <w:pPr>
              <w:pStyle w:val="A-"/>
            </w:pPr>
          </w:p>
        </w:tc>
        <w:tc>
          <w:tcPr>
            <w:tcW w:w="825" w:type="dxa"/>
            <w:vMerge/>
            <w:vAlign w:val="center"/>
          </w:tcPr>
          <w:p w14:paraId="095DD18A" w14:textId="77777777" w:rsidR="002E474C" w:rsidRDefault="002E474C">
            <w:pPr>
              <w:pStyle w:val="A-"/>
            </w:pPr>
          </w:p>
        </w:tc>
        <w:tc>
          <w:tcPr>
            <w:tcW w:w="1305" w:type="dxa"/>
            <w:vAlign w:val="center"/>
          </w:tcPr>
          <w:p w14:paraId="6F3C61CA" w14:textId="77777777" w:rsidR="002E474C" w:rsidRDefault="00000000">
            <w:pPr>
              <w:pStyle w:val="A-"/>
            </w:pPr>
            <w:r>
              <w:t>预案修订</w:t>
            </w:r>
          </w:p>
        </w:tc>
        <w:tc>
          <w:tcPr>
            <w:tcW w:w="6354" w:type="dxa"/>
            <w:vAlign w:val="center"/>
          </w:tcPr>
          <w:p w14:paraId="7A80673C" w14:textId="77777777" w:rsidR="002E474C" w:rsidRDefault="00000000">
            <w:pPr>
              <w:pStyle w:val="A-"/>
              <w:jc w:val="both"/>
            </w:pPr>
            <w:r>
              <w:t>说明应急预案修订、变更、改进的基本要求及时限，以及采取的方式等，以实现可持续改进。</w:t>
            </w:r>
          </w:p>
        </w:tc>
      </w:tr>
      <w:tr w:rsidR="002E474C" w14:paraId="0741ED93" w14:textId="77777777">
        <w:trPr>
          <w:trHeight w:val="20"/>
          <w:jc w:val="center"/>
        </w:trPr>
        <w:tc>
          <w:tcPr>
            <w:tcW w:w="462" w:type="dxa"/>
            <w:vMerge/>
            <w:vAlign w:val="center"/>
          </w:tcPr>
          <w:p w14:paraId="06AE9860" w14:textId="77777777" w:rsidR="002E474C" w:rsidRDefault="002E474C">
            <w:pPr>
              <w:pStyle w:val="A-"/>
            </w:pPr>
          </w:p>
        </w:tc>
        <w:tc>
          <w:tcPr>
            <w:tcW w:w="825" w:type="dxa"/>
            <w:vMerge/>
            <w:vAlign w:val="center"/>
          </w:tcPr>
          <w:p w14:paraId="7318522B" w14:textId="77777777" w:rsidR="002E474C" w:rsidRDefault="002E474C">
            <w:pPr>
              <w:pStyle w:val="A-"/>
            </w:pPr>
          </w:p>
        </w:tc>
        <w:tc>
          <w:tcPr>
            <w:tcW w:w="1305" w:type="dxa"/>
            <w:vAlign w:val="center"/>
          </w:tcPr>
          <w:p w14:paraId="07153DC6" w14:textId="77777777" w:rsidR="002E474C" w:rsidRDefault="00000000">
            <w:pPr>
              <w:pStyle w:val="A-"/>
            </w:pPr>
            <w:r>
              <w:t>预案备案</w:t>
            </w:r>
          </w:p>
        </w:tc>
        <w:tc>
          <w:tcPr>
            <w:tcW w:w="6354" w:type="dxa"/>
            <w:vAlign w:val="center"/>
          </w:tcPr>
          <w:p w14:paraId="54EF9C09" w14:textId="77777777" w:rsidR="002E474C" w:rsidRDefault="00000000">
            <w:pPr>
              <w:pStyle w:val="A-"/>
              <w:jc w:val="both"/>
            </w:pPr>
            <w:r>
              <w:t>说明预案备案的方式、审核要求、报备部门等内容。</w:t>
            </w:r>
          </w:p>
        </w:tc>
      </w:tr>
      <w:tr w:rsidR="002E474C" w14:paraId="4B5082DF" w14:textId="77777777">
        <w:trPr>
          <w:trHeight w:val="20"/>
          <w:jc w:val="center"/>
        </w:trPr>
        <w:tc>
          <w:tcPr>
            <w:tcW w:w="462" w:type="dxa"/>
            <w:vMerge w:val="restart"/>
            <w:vAlign w:val="center"/>
          </w:tcPr>
          <w:p w14:paraId="0743CDE3" w14:textId="77777777" w:rsidR="002E474C" w:rsidRDefault="00000000">
            <w:pPr>
              <w:pStyle w:val="A-"/>
            </w:pPr>
            <w:r>
              <w:t>11</w:t>
            </w:r>
          </w:p>
        </w:tc>
        <w:tc>
          <w:tcPr>
            <w:tcW w:w="825" w:type="dxa"/>
            <w:vMerge w:val="restart"/>
            <w:vAlign w:val="center"/>
          </w:tcPr>
          <w:p w14:paraId="4F3E3AC1" w14:textId="77777777" w:rsidR="002E474C" w:rsidRDefault="00000000">
            <w:pPr>
              <w:pStyle w:val="A-"/>
            </w:pPr>
            <w:r>
              <w:t>附则</w:t>
            </w:r>
          </w:p>
        </w:tc>
        <w:tc>
          <w:tcPr>
            <w:tcW w:w="1305" w:type="dxa"/>
            <w:vAlign w:val="center"/>
          </w:tcPr>
          <w:p w14:paraId="2160EE48" w14:textId="77777777" w:rsidR="002E474C" w:rsidRDefault="00000000">
            <w:pPr>
              <w:pStyle w:val="A-"/>
            </w:pPr>
            <w:r>
              <w:t>预案的签署和解释</w:t>
            </w:r>
          </w:p>
        </w:tc>
        <w:tc>
          <w:tcPr>
            <w:tcW w:w="6354" w:type="dxa"/>
            <w:vAlign w:val="center"/>
          </w:tcPr>
          <w:p w14:paraId="1EA216C7" w14:textId="77777777" w:rsidR="002E474C" w:rsidRDefault="00000000">
            <w:pPr>
              <w:pStyle w:val="A-"/>
              <w:jc w:val="both"/>
            </w:pPr>
            <w:r>
              <w:t>明确预案签署人，预案解释部门。</w:t>
            </w:r>
          </w:p>
        </w:tc>
      </w:tr>
      <w:tr w:rsidR="002E474C" w14:paraId="67C57B81" w14:textId="77777777">
        <w:trPr>
          <w:trHeight w:val="20"/>
          <w:jc w:val="center"/>
        </w:trPr>
        <w:tc>
          <w:tcPr>
            <w:tcW w:w="462" w:type="dxa"/>
            <w:vMerge/>
            <w:vAlign w:val="center"/>
          </w:tcPr>
          <w:p w14:paraId="6AB96FCA" w14:textId="77777777" w:rsidR="002E474C" w:rsidRDefault="002E474C">
            <w:pPr>
              <w:pStyle w:val="A-"/>
            </w:pPr>
          </w:p>
        </w:tc>
        <w:tc>
          <w:tcPr>
            <w:tcW w:w="825" w:type="dxa"/>
            <w:vMerge/>
            <w:vAlign w:val="center"/>
          </w:tcPr>
          <w:p w14:paraId="67027CDC" w14:textId="77777777" w:rsidR="002E474C" w:rsidRDefault="002E474C">
            <w:pPr>
              <w:pStyle w:val="A-"/>
            </w:pPr>
          </w:p>
        </w:tc>
        <w:tc>
          <w:tcPr>
            <w:tcW w:w="1305" w:type="dxa"/>
            <w:vAlign w:val="center"/>
          </w:tcPr>
          <w:p w14:paraId="657CF403" w14:textId="77777777" w:rsidR="002E474C" w:rsidRDefault="00000000">
            <w:pPr>
              <w:pStyle w:val="A-"/>
              <w:ind w:leftChars="-50" w:left="-105" w:rightChars="-50" w:right="-105"/>
            </w:pPr>
            <w:r>
              <w:t>预案的实施</w:t>
            </w:r>
          </w:p>
        </w:tc>
        <w:tc>
          <w:tcPr>
            <w:tcW w:w="6354" w:type="dxa"/>
            <w:vAlign w:val="center"/>
          </w:tcPr>
          <w:p w14:paraId="05AA0D1B" w14:textId="77777777" w:rsidR="002E474C" w:rsidRDefault="00000000">
            <w:pPr>
              <w:pStyle w:val="A-"/>
              <w:jc w:val="both"/>
            </w:pPr>
            <w:r>
              <w:t>明确预案实施时间。</w:t>
            </w:r>
          </w:p>
        </w:tc>
      </w:tr>
      <w:tr w:rsidR="002E474C" w14:paraId="279A9E04" w14:textId="77777777">
        <w:trPr>
          <w:trHeight w:val="20"/>
          <w:jc w:val="center"/>
        </w:trPr>
        <w:tc>
          <w:tcPr>
            <w:tcW w:w="462" w:type="dxa"/>
            <w:vAlign w:val="center"/>
          </w:tcPr>
          <w:p w14:paraId="1E1FF4A2" w14:textId="77777777" w:rsidR="002E474C" w:rsidRDefault="00000000">
            <w:pPr>
              <w:pStyle w:val="A-"/>
            </w:pPr>
            <w:r>
              <w:t>12</w:t>
            </w:r>
          </w:p>
        </w:tc>
        <w:tc>
          <w:tcPr>
            <w:tcW w:w="825" w:type="dxa"/>
            <w:vAlign w:val="center"/>
          </w:tcPr>
          <w:p w14:paraId="4AF8AC7D" w14:textId="77777777" w:rsidR="002E474C" w:rsidRDefault="00000000">
            <w:pPr>
              <w:pStyle w:val="A-"/>
            </w:pPr>
            <w:r>
              <w:t>附件</w:t>
            </w:r>
          </w:p>
        </w:tc>
        <w:tc>
          <w:tcPr>
            <w:tcW w:w="7659" w:type="dxa"/>
            <w:gridSpan w:val="2"/>
            <w:vAlign w:val="center"/>
          </w:tcPr>
          <w:p w14:paraId="40FE15BF" w14:textId="77777777" w:rsidR="002E474C" w:rsidRDefault="00000000">
            <w:pPr>
              <w:pStyle w:val="A-"/>
              <w:jc w:val="both"/>
            </w:pPr>
            <w:r>
              <w:t>（</w:t>
            </w:r>
            <w:r>
              <w:t>1</w:t>
            </w:r>
            <w:r>
              <w:t>）环境风险评价文件；</w:t>
            </w:r>
          </w:p>
          <w:p w14:paraId="6E950E29" w14:textId="77777777" w:rsidR="002E474C" w:rsidRDefault="00000000">
            <w:pPr>
              <w:pStyle w:val="A-"/>
              <w:jc w:val="both"/>
            </w:pPr>
            <w:r>
              <w:t>（</w:t>
            </w:r>
            <w:r>
              <w:t>2</w:t>
            </w:r>
            <w:r>
              <w:t>）危险废物登记文件或企业危险废物名录；</w:t>
            </w:r>
          </w:p>
          <w:p w14:paraId="674D2990" w14:textId="77777777" w:rsidR="002E474C" w:rsidRDefault="00000000">
            <w:pPr>
              <w:pStyle w:val="A-"/>
              <w:jc w:val="both"/>
            </w:pPr>
            <w:r>
              <w:t>（</w:t>
            </w:r>
            <w:r>
              <w:t>3</w:t>
            </w:r>
            <w:r>
              <w:t>）企业应急通讯录；</w:t>
            </w:r>
          </w:p>
          <w:p w14:paraId="16405E18" w14:textId="77777777" w:rsidR="002E474C" w:rsidRDefault="00000000">
            <w:pPr>
              <w:pStyle w:val="A-"/>
              <w:jc w:val="both"/>
            </w:pPr>
            <w:r>
              <w:t>（</w:t>
            </w:r>
            <w:r>
              <w:t>4</w:t>
            </w:r>
            <w:r>
              <w:t>）应急专家通讯录；</w:t>
            </w:r>
          </w:p>
          <w:p w14:paraId="3E667DF5" w14:textId="77777777" w:rsidR="002E474C" w:rsidRDefault="00000000">
            <w:pPr>
              <w:pStyle w:val="A-"/>
              <w:jc w:val="both"/>
            </w:pPr>
            <w:r>
              <w:t>（</w:t>
            </w:r>
            <w:r>
              <w:t>5</w:t>
            </w:r>
            <w:r>
              <w:t>）企业环境监测应急网络分布；</w:t>
            </w:r>
          </w:p>
          <w:p w14:paraId="7CFB0587" w14:textId="77777777" w:rsidR="002E474C" w:rsidRDefault="00000000">
            <w:pPr>
              <w:pStyle w:val="A-"/>
              <w:jc w:val="both"/>
            </w:pPr>
            <w:r>
              <w:t>（</w:t>
            </w:r>
            <w:r>
              <w:t>6</w:t>
            </w:r>
            <w:r>
              <w:t>）企业环境监测机构联系人通讯录；</w:t>
            </w:r>
          </w:p>
          <w:p w14:paraId="451010F7" w14:textId="77777777" w:rsidR="002E474C" w:rsidRDefault="00000000">
            <w:pPr>
              <w:pStyle w:val="A-"/>
              <w:jc w:val="both"/>
            </w:pPr>
            <w:r>
              <w:t>（</w:t>
            </w:r>
            <w:r>
              <w:t>7</w:t>
            </w:r>
            <w:r>
              <w:t>）外部（政府有关部门、救援单位、专家、环境保护目标等）联系单位通讯录；</w:t>
            </w:r>
          </w:p>
          <w:p w14:paraId="1467B690" w14:textId="77777777" w:rsidR="002E474C" w:rsidRDefault="00000000">
            <w:pPr>
              <w:pStyle w:val="A-"/>
              <w:jc w:val="both"/>
            </w:pPr>
            <w:r>
              <w:t>（</w:t>
            </w:r>
            <w:r>
              <w:t>8</w:t>
            </w:r>
            <w:r>
              <w:t>）单位所处位置图、区域位置及周围环境保护目标分布、位置关系图、本单位及周边区域人员撤离路线；</w:t>
            </w:r>
          </w:p>
          <w:p w14:paraId="69D37C31" w14:textId="77777777" w:rsidR="002E474C" w:rsidRDefault="00000000">
            <w:pPr>
              <w:pStyle w:val="A-"/>
              <w:jc w:val="both"/>
            </w:pPr>
            <w:r>
              <w:t>（</w:t>
            </w:r>
            <w:r>
              <w:t>9</w:t>
            </w:r>
            <w:r>
              <w:t>）单位重大危险源（生产及储存装置等）分布位置图；</w:t>
            </w:r>
          </w:p>
          <w:p w14:paraId="71504162" w14:textId="77777777" w:rsidR="002E474C" w:rsidRDefault="00000000">
            <w:pPr>
              <w:pStyle w:val="A-"/>
              <w:jc w:val="both"/>
            </w:pPr>
            <w:r>
              <w:t>（</w:t>
            </w:r>
            <w:r>
              <w:t>10</w:t>
            </w:r>
            <w:r>
              <w:t>）应急设施（备）布置图；</w:t>
            </w:r>
          </w:p>
          <w:p w14:paraId="2EE947C9" w14:textId="77777777" w:rsidR="002E474C" w:rsidRDefault="00000000">
            <w:pPr>
              <w:pStyle w:val="A-"/>
              <w:jc w:val="both"/>
            </w:pPr>
            <w:r>
              <w:t>（</w:t>
            </w:r>
            <w:r>
              <w:t>11</w:t>
            </w:r>
            <w:r>
              <w:t>）危险物质运输（输送）路线及环境保护目标位置图；</w:t>
            </w:r>
          </w:p>
          <w:p w14:paraId="4673B52C" w14:textId="77777777" w:rsidR="002E474C" w:rsidRDefault="00000000">
            <w:pPr>
              <w:pStyle w:val="A-"/>
              <w:jc w:val="both"/>
            </w:pPr>
            <w:r>
              <w:t>（</w:t>
            </w:r>
            <w:r>
              <w:t>12</w:t>
            </w:r>
            <w:r>
              <w:t>）企业雨水、清净下水和污水收集、排放管网图；</w:t>
            </w:r>
          </w:p>
          <w:p w14:paraId="5FFA39F1" w14:textId="77777777" w:rsidR="002E474C" w:rsidRDefault="00000000">
            <w:pPr>
              <w:pStyle w:val="A-"/>
              <w:jc w:val="both"/>
            </w:pPr>
            <w:r>
              <w:t>（</w:t>
            </w:r>
            <w:r>
              <w:t>13</w:t>
            </w:r>
            <w:r>
              <w:t>）企业所在区域地下水流向图、饮用水水源保护区规划图；</w:t>
            </w:r>
          </w:p>
          <w:p w14:paraId="1D8DAE0A" w14:textId="77777777" w:rsidR="002E474C" w:rsidRDefault="00000000">
            <w:pPr>
              <w:pStyle w:val="A-"/>
              <w:jc w:val="both"/>
            </w:pPr>
            <w:r>
              <w:t>（</w:t>
            </w:r>
            <w:r>
              <w:t>14</w:t>
            </w:r>
            <w:r>
              <w:t>）各种制度、程序等，如突发环境事件信息报告（格式）表、应急预案启动（终止）令（格式）、应急预案变更记录表等；</w:t>
            </w:r>
          </w:p>
          <w:p w14:paraId="5F5A8727" w14:textId="77777777" w:rsidR="002E474C" w:rsidRDefault="00000000">
            <w:pPr>
              <w:pStyle w:val="A-"/>
              <w:jc w:val="both"/>
            </w:pPr>
            <w:r>
              <w:lastRenderedPageBreak/>
              <w:t>（</w:t>
            </w:r>
            <w:r>
              <w:t>15</w:t>
            </w:r>
            <w:r>
              <w:t>）国家和地方相关环境标准目录；</w:t>
            </w:r>
          </w:p>
          <w:p w14:paraId="2EFFD4FC" w14:textId="77777777" w:rsidR="002E474C" w:rsidRDefault="00000000">
            <w:pPr>
              <w:pStyle w:val="A-"/>
              <w:jc w:val="both"/>
            </w:pPr>
            <w:r>
              <w:t>（</w:t>
            </w:r>
            <w:r>
              <w:t>16</w:t>
            </w:r>
            <w:r>
              <w:t>）其他。</w:t>
            </w:r>
          </w:p>
        </w:tc>
      </w:tr>
    </w:tbl>
    <w:p w14:paraId="71ACCA74" w14:textId="77777777" w:rsidR="002E474C" w:rsidRDefault="002E474C">
      <w:pPr>
        <w:pStyle w:val="w3"/>
      </w:pPr>
    </w:p>
    <w:p w14:paraId="0CDFBD87" w14:textId="77777777" w:rsidR="002E474C" w:rsidRDefault="00000000">
      <w:pPr>
        <w:pStyle w:val="A-z"/>
        <w:rPr>
          <w:color w:val="auto"/>
        </w:rPr>
      </w:pPr>
      <w:r>
        <w:rPr>
          <w:color w:val="auto"/>
        </w:rPr>
        <w:t>制定风险事故应急预案的目的是为了在发生风险事故时，能以最快的速度发挥最大的效能，有序的实施救援，尽快控制事故的发展，降低事故造成的危害，减少事故造成的损失。</w:t>
      </w:r>
    </w:p>
    <w:p w14:paraId="7E76A168" w14:textId="77777777" w:rsidR="002E474C" w:rsidRDefault="00000000">
      <w:pPr>
        <w:pStyle w:val="A-z"/>
        <w:rPr>
          <w:color w:val="auto"/>
        </w:rPr>
      </w:pPr>
      <w:r>
        <w:rPr>
          <w:color w:val="auto"/>
        </w:rPr>
        <w:t>制定突发环境事件应急预案的原则要求：</w:t>
      </w:r>
    </w:p>
    <w:p w14:paraId="281B09EB" w14:textId="77777777" w:rsidR="002E474C" w:rsidRDefault="00000000">
      <w:pPr>
        <w:pStyle w:val="A-z"/>
        <w:rPr>
          <w:color w:val="auto"/>
        </w:rPr>
      </w:pPr>
      <w:r>
        <w:rPr>
          <w:color w:val="auto"/>
        </w:rPr>
        <w:t>1</w:t>
      </w:r>
      <w:r>
        <w:rPr>
          <w:color w:val="auto"/>
        </w:rPr>
        <w:t>）符合法律法规以及有关标准规范的要求。</w:t>
      </w:r>
      <w:r>
        <w:rPr>
          <w:color w:val="auto"/>
        </w:rPr>
        <w:t xml:space="preserve"> </w:t>
      </w:r>
    </w:p>
    <w:p w14:paraId="30584F05" w14:textId="77777777" w:rsidR="002E474C" w:rsidRDefault="00000000">
      <w:pPr>
        <w:pStyle w:val="A-z"/>
        <w:rPr>
          <w:color w:val="auto"/>
        </w:rPr>
      </w:pPr>
      <w:r>
        <w:rPr>
          <w:color w:val="auto"/>
        </w:rPr>
        <w:t>2</w:t>
      </w:r>
      <w:r>
        <w:rPr>
          <w:color w:val="auto"/>
        </w:rPr>
        <w:t>）体现应急工作统一领导、分级管理，条块结合、以块为主、责任到人的原则。</w:t>
      </w:r>
      <w:r>
        <w:rPr>
          <w:color w:val="auto"/>
        </w:rPr>
        <w:t xml:space="preserve"> </w:t>
      </w:r>
    </w:p>
    <w:p w14:paraId="46DC33B4" w14:textId="77777777" w:rsidR="002E474C" w:rsidRDefault="00000000">
      <w:pPr>
        <w:pStyle w:val="A-z"/>
        <w:rPr>
          <w:color w:val="auto"/>
        </w:rPr>
      </w:pPr>
      <w:r>
        <w:rPr>
          <w:color w:val="auto"/>
        </w:rPr>
        <w:t>3</w:t>
      </w:r>
      <w:r>
        <w:rPr>
          <w:color w:val="auto"/>
        </w:rPr>
        <w:t>）注意与上级主管部门、政府相关部门或其他外部单位的应急预案相衔接，相兼容。</w:t>
      </w:r>
    </w:p>
    <w:p w14:paraId="08B865C6" w14:textId="77777777" w:rsidR="002E474C" w:rsidRDefault="00000000">
      <w:pPr>
        <w:pStyle w:val="A-z"/>
        <w:rPr>
          <w:color w:val="auto"/>
        </w:rPr>
      </w:pPr>
      <w:r>
        <w:rPr>
          <w:color w:val="auto"/>
        </w:rPr>
        <w:t>4</w:t>
      </w:r>
      <w:r>
        <w:rPr>
          <w:color w:val="auto"/>
        </w:rPr>
        <w:t>）因地制宜，切合实际。以《危险废物经营单位编制应急预案指南》为基础，可适当增减相关内容。充分考虑内部及外界（如自然灾害或临近单位的危险源）的事故诱因；正常工作时段及节假日和夜间等时段发生事故的可能性；事故或紧急状态对单位内外人员和环境的威胁以及单位自救和社会救援等。</w:t>
      </w:r>
    </w:p>
    <w:p w14:paraId="25250731" w14:textId="77777777" w:rsidR="002E474C" w:rsidRDefault="00000000">
      <w:pPr>
        <w:pStyle w:val="A-z"/>
        <w:rPr>
          <w:color w:val="auto"/>
        </w:rPr>
      </w:pPr>
      <w:r>
        <w:rPr>
          <w:color w:val="auto"/>
        </w:rPr>
        <w:t>按照《水泥窑协同处置危险废物经营许可证审查指南（试行）》中有关要求，应急预案的编制、管理以及相关措施需满足以下要求：</w:t>
      </w:r>
    </w:p>
    <w:p w14:paraId="1891A75D" w14:textId="77777777" w:rsidR="002E474C" w:rsidRDefault="00000000">
      <w:pPr>
        <w:pStyle w:val="A-z"/>
        <w:rPr>
          <w:color w:val="auto"/>
        </w:rPr>
      </w:pPr>
      <w:r>
        <w:rPr>
          <w:color w:val="auto"/>
        </w:rPr>
        <w:t>1</w:t>
      </w:r>
      <w:r>
        <w:rPr>
          <w:color w:val="auto"/>
        </w:rPr>
        <w:t>）遵守《关于加强环境应急管理工作的意见》和《突发环境事件应急预案管理办法》等相关要求，建立包括安全生产事故和突发环境事件在内的全面应急管理制度。</w:t>
      </w:r>
    </w:p>
    <w:p w14:paraId="26CE55FB" w14:textId="77777777" w:rsidR="002E474C" w:rsidRDefault="00000000">
      <w:pPr>
        <w:pStyle w:val="A-z"/>
        <w:rPr>
          <w:color w:val="auto"/>
        </w:rPr>
      </w:pPr>
      <w:r>
        <w:rPr>
          <w:color w:val="auto"/>
        </w:rPr>
        <w:t>2</w:t>
      </w:r>
      <w:r>
        <w:rPr>
          <w:color w:val="auto"/>
        </w:rPr>
        <w:t>）应急管理制度主要内容包括：应急管理组织体系，生产安全事故应急救援预案管理突发环境事件应急预案管理、应急管理培训、应急演练、应急物资保障等。</w:t>
      </w:r>
    </w:p>
    <w:p w14:paraId="54C544B1" w14:textId="77777777" w:rsidR="002E474C" w:rsidRDefault="00000000">
      <w:pPr>
        <w:pStyle w:val="A-z"/>
        <w:rPr>
          <w:color w:val="auto"/>
        </w:rPr>
      </w:pPr>
      <w:r>
        <w:rPr>
          <w:color w:val="auto"/>
        </w:rPr>
        <w:t>3</w:t>
      </w:r>
      <w:r>
        <w:rPr>
          <w:color w:val="auto"/>
        </w:rPr>
        <w:t>）应急管理组织体系包括应急管理领导小组和事故应急管理办公室，以企业主要负责人为组长。</w:t>
      </w:r>
    </w:p>
    <w:p w14:paraId="2EE91138" w14:textId="77777777" w:rsidR="002E474C" w:rsidRDefault="00000000">
      <w:pPr>
        <w:pStyle w:val="A-z"/>
        <w:rPr>
          <w:color w:val="auto"/>
        </w:rPr>
      </w:pPr>
      <w:r>
        <w:rPr>
          <w:color w:val="auto"/>
        </w:rPr>
        <w:t>4</w:t>
      </w:r>
      <w:r>
        <w:rPr>
          <w:color w:val="auto"/>
        </w:rPr>
        <w:t>）应急管理领导小组负责《安全生产事故应急救援预案》的编制；预案要符合《生产经营单位安全生产事故应急预案编制导则》《危险废物经营单位编制应急预案指南》，并保持与上级部门预案的衔接，预案内容中应突出与园区应急联动机制的响应措施；根据国家法律法规及实际演练情况，适时修订应急预案，</w:t>
      </w:r>
      <w:r>
        <w:rPr>
          <w:color w:val="auto"/>
        </w:rPr>
        <w:lastRenderedPageBreak/>
        <w:t>做到科学、易操作。</w:t>
      </w:r>
    </w:p>
    <w:p w14:paraId="3E465FCB" w14:textId="77777777" w:rsidR="002E474C" w:rsidRDefault="00000000">
      <w:pPr>
        <w:pStyle w:val="A-z"/>
        <w:rPr>
          <w:color w:val="auto"/>
        </w:rPr>
      </w:pPr>
      <w:r>
        <w:rPr>
          <w:color w:val="auto"/>
        </w:rPr>
        <w:t>5</w:t>
      </w:r>
      <w:r>
        <w:rPr>
          <w:color w:val="auto"/>
        </w:rPr>
        <w:t>）应急管理领导小组按照《突发环境事件应急预案管理办法》和相关预案编制指南的要求编制《企业突发环境事件应急预案》，并向生态环境主管部门报备；同时按照《突发环境事件应急预案管理办法》要求，做好预案演练、培训、修订等工作。</w:t>
      </w:r>
    </w:p>
    <w:p w14:paraId="2CD5CF68" w14:textId="77777777" w:rsidR="002E474C" w:rsidRDefault="00000000">
      <w:pPr>
        <w:pStyle w:val="A-z"/>
        <w:rPr>
          <w:color w:val="auto"/>
        </w:rPr>
      </w:pPr>
      <w:r>
        <w:rPr>
          <w:color w:val="auto"/>
        </w:rPr>
        <w:t>6</w:t>
      </w:r>
      <w:r>
        <w:rPr>
          <w:color w:val="auto"/>
        </w:rPr>
        <w:t>）企业每年至少进行一次全员应急管理培训，培训内容包括：事故预防、危险辩识、事故报告、应急响应、各类事故处置方案、基本救护常识、避灾避险、逃生自救等。</w:t>
      </w:r>
    </w:p>
    <w:p w14:paraId="21828866" w14:textId="77777777" w:rsidR="002E474C" w:rsidRDefault="00000000">
      <w:pPr>
        <w:pStyle w:val="A-z"/>
        <w:rPr>
          <w:color w:val="auto"/>
        </w:rPr>
      </w:pPr>
      <w:r>
        <w:rPr>
          <w:color w:val="auto"/>
        </w:rPr>
        <w:t>7</w:t>
      </w:r>
      <w:r>
        <w:rPr>
          <w:color w:val="auto"/>
        </w:rPr>
        <w:t>）企业根据年度应急演练计划，每年至少分别安排一次桌面演练和综合演练，强化职工应急意识，提高应急队伍的反应速度和实战能力。</w:t>
      </w:r>
    </w:p>
    <w:p w14:paraId="27B76CB3" w14:textId="77777777" w:rsidR="002E474C" w:rsidRDefault="00000000">
      <w:pPr>
        <w:pStyle w:val="A-z"/>
        <w:rPr>
          <w:color w:val="auto"/>
        </w:rPr>
      </w:pPr>
      <w:r>
        <w:rPr>
          <w:color w:val="auto"/>
        </w:rPr>
        <w:t>8</w:t>
      </w:r>
      <w:r>
        <w:rPr>
          <w:color w:val="auto"/>
        </w:rPr>
        <w:t>）企业根据预案做好应急救援设备、器材、防护用品、工具、材料、药品等保障工作；确保经费、物资供应，切实加强应急保障能力，并对应急救援设备、设施定期进行检测、维护、更新，确保性能完好；电话、对讲机、手机等通讯器材进行经常性维护或更新，确保通讯畅通。</w:t>
      </w:r>
    </w:p>
    <w:p w14:paraId="42D1D8FB" w14:textId="77777777" w:rsidR="002E474C" w:rsidRDefault="00000000">
      <w:pPr>
        <w:pStyle w:val="A-z"/>
        <w:rPr>
          <w:color w:val="auto"/>
        </w:rPr>
      </w:pPr>
      <w:r>
        <w:rPr>
          <w:color w:val="auto"/>
        </w:rPr>
        <w:t>9</w:t>
      </w:r>
      <w:r>
        <w:rPr>
          <w:color w:val="auto"/>
        </w:rPr>
        <w:t>）发生事故时，企业立即启动应急预案，以营救遇险人员为重点，开展应急救援工作；要及时组织受威胁群众疏散、转移，做好安置工作。</w:t>
      </w:r>
    </w:p>
    <w:p w14:paraId="077DF9BE" w14:textId="77777777" w:rsidR="002E474C" w:rsidRDefault="00000000">
      <w:pPr>
        <w:pStyle w:val="A-z"/>
        <w:ind w:firstLine="456"/>
        <w:rPr>
          <w:color w:val="auto"/>
          <w:spacing w:val="-6"/>
        </w:rPr>
      </w:pPr>
      <w:r>
        <w:rPr>
          <w:color w:val="auto"/>
          <w:spacing w:val="-6"/>
        </w:rPr>
        <w:t>10</w:t>
      </w:r>
      <w:r>
        <w:rPr>
          <w:color w:val="auto"/>
          <w:spacing w:val="-6"/>
        </w:rPr>
        <w:t>）企业在应对安全生产事故过程中，采取必要措施，防止次生突发环境事件。</w:t>
      </w:r>
    </w:p>
    <w:p w14:paraId="06E2985D" w14:textId="77777777" w:rsidR="002E474C" w:rsidRDefault="00000000">
      <w:pPr>
        <w:pStyle w:val="A-z"/>
        <w:ind w:firstLine="456"/>
        <w:rPr>
          <w:color w:val="auto"/>
          <w:spacing w:val="-6"/>
        </w:rPr>
      </w:pPr>
      <w:r>
        <w:rPr>
          <w:color w:val="auto"/>
          <w:spacing w:val="-6"/>
        </w:rPr>
        <w:t>11</w:t>
      </w:r>
      <w:r>
        <w:rPr>
          <w:color w:val="auto"/>
          <w:spacing w:val="-6"/>
        </w:rPr>
        <w:t>）企业按规定及时向相关主管部门报告生产安全事故和突发环境事件信息。</w:t>
      </w:r>
    </w:p>
    <w:p w14:paraId="3DFBCCF3" w14:textId="77777777" w:rsidR="002E474C" w:rsidRDefault="00000000">
      <w:pPr>
        <w:pStyle w:val="A-z"/>
        <w:rPr>
          <w:color w:val="auto"/>
        </w:rPr>
      </w:pPr>
      <w:r>
        <w:rPr>
          <w:color w:val="auto"/>
        </w:rPr>
        <w:t>12</w:t>
      </w:r>
      <w:r>
        <w:rPr>
          <w:color w:val="auto"/>
        </w:rPr>
        <w:t>）企业配合生态环境主管部门对突发环境事件的调查处理和环境污染损害评估，及时落实整改措施。</w:t>
      </w:r>
    </w:p>
    <w:p w14:paraId="7FF263B6" w14:textId="77777777" w:rsidR="002E474C" w:rsidRDefault="00000000">
      <w:pPr>
        <w:pStyle w:val="A-z"/>
        <w:rPr>
          <w:color w:val="auto"/>
        </w:rPr>
      </w:pPr>
      <w:r>
        <w:rPr>
          <w:color w:val="auto"/>
        </w:rPr>
        <w:t>13</w:t>
      </w:r>
      <w:r>
        <w:rPr>
          <w:color w:val="auto"/>
        </w:rPr>
        <w:t>）企业充分利用社会应急资源，与地方政府预案、上级主管单位及相关部门的预案和应急组织相衔接；同各级救援中心签订救护协议，一且发生企业不能自救的事故，请求救援中心支援。</w:t>
      </w:r>
    </w:p>
    <w:p w14:paraId="10E82A5E" w14:textId="77777777" w:rsidR="002E474C" w:rsidRDefault="00000000">
      <w:pPr>
        <w:pStyle w:val="A-z"/>
        <w:rPr>
          <w:color w:val="auto"/>
        </w:rPr>
      </w:pPr>
      <w:r>
        <w:rPr>
          <w:color w:val="auto"/>
        </w:rPr>
        <w:t>按照《关于进一步加强环境影响评价管理防范环境风险的通知》（环发〔</w:t>
      </w:r>
      <w:r>
        <w:rPr>
          <w:color w:val="auto"/>
        </w:rPr>
        <w:t>2012</w:t>
      </w:r>
      <w:r>
        <w:rPr>
          <w:color w:val="auto"/>
        </w:rPr>
        <w:t>〕</w:t>
      </w:r>
      <w:r>
        <w:rPr>
          <w:color w:val="auto"/>
        </w:rPr>
        <w:t>77</w:t>
      </w:r>
      <w:r>
        <w:rPr>
          <w:color w:val="auto"/>
        </w:rPr>
        <w:t>号），企业突发环境事件应急预案应与当地政府、所在园区、相关部门以及周边企业的应急预案相衔接，加强区域应急物资调配管理，构建区域环境风险联控机制。</w:t>
      </w:r>
    </w:p>
    <w:p w14:paraId="35AE0555" w14:textId="77777777" w:rsidR="002E474C" w:rsidRDefault="00000000">
      <w:pPr>
        <w:pStyle w:val="A-z"/>
        <w:rPr>
          <w:color w:val="auto"/>
        </w:rPr>
      </w:pPr>
      <w:r>
        <w:rPr>
          <w:color w:val="auto"/>
        </w:rPr>
        <w:t>（</w:t>
      </w:r>
      <w:r>
        <w:rPr>
          <w:color w:val="auto"/>
        </w:rPr>
        <w:t>2</w:t>
      </w:r>
      <w:r>
        <w:rPr>
          <w:color w:val="auto"/>
        </w:rPr>
        <w:t>）应急救援预案其他要求与建议</w:t>
      </w:r>
    </w:p>
    <w:p w14:paraId="700F55A8" w14:textId="77777777" w:rsidR="002E474C" w:rsidRDefault="00000000">
      <w:pPr>
        <w:pStyle w:val="A-z"/>
        <w:rPr>
          <w:color w:val="auto"/>
        </w:rPr>
      </w:pPr>
      <w:r>
        <w:rPr>
          <w:color w:val="auto"/>
        </w:rPr>
        <w:t>为了减少事故损失，切实做好应急求援的准备工作，其具体规定和要求如下：</w:t>
      </w:r>
    </w:p>
    <w:p w14:paraId="17560EB0" w14:textId="77777777" w:rsidR="002E474C" w:rsidRDefault="00000000">
      <w:pPr>
        <w:pStyle w:val="A-z"/>
        <w:rPr>
          <w:color w:val="auto"/>
        </w:rPr>
      </w:pPr>
      <w:r>
        <w:rPr>
          <w:color w:val="auto"/>
        </w:rPr>
        <w:t>1</w:t>
      </w:r>
      <w:r>
        <w:rPr>
          <w:color w:val="auto"/>
        </w:rPr>
        <w:t>）落实应急救援组织，救援指挥部成员和救援人员应按照专业对口，便于</w:t>
      </w:r>
      <w:r>
        <w:rPr>
          <w:color w:val="auto"/>
        </w:rPr>
        <w:lastRenderedPageBreak/>
        <w:t>领导、便于集结的原则，建立组织，落实人员，每年初要根据人员变化进行组织调整，确保救援组织的落实。</w:t>
      </w:r>
    </w:p>
    <w:p w14:paraId="5B7E24C4" w14:textId="77777777" w:rsidR="002E474C" w:rsidRDefault="00000000">
      <w:pPr>
        <w:pStyle w:val="A-z"/>
        <w:rPr>
          <w:color w:val="auto"/>
        </w:rPr>
      </w:pPr>
      <w:r>
        <w:rPr>
          <w:color w:val="auto"/>
        </w:rPr>
        <w:t>2</w:t>
      </w:r>
      <w:r>
        <w:rPr>
          <w:color w:val="auto"/>
        </w:rPr>
        <w:t>）做好该应急救援预案中实施应急救援工作所必需的救援物资和防护用品的配置、补充、报废、维护、更新工作，保证应急物资处于良好状态。</w:t>
      </w:r>
    </w:p>
    <w:p w14:paraId="11556133" w14:textId="77777777" w:rsidR="002E474C" w:rsidRDefault="00000000">
      <w:pPr>
        <w:pStyle w:val="A-z"/>
        <w:rPr>
          <w:color w:val="auto"/>
        </w:rPr>
      </w:pPr>
      <w:r>
        <w:rPr>
          <w:color w:val="auto"/>
        </w:rPr>
        <w:t>3</w:t>
      </w:r>
      <w:r>
        <w:rPr>
          <w:color w:val="auto"/>
        </w:rPr>
        <w:t>）该应急预案应该每年进行一次演练，演练可以采取桌面演练、专项演练、专业演练、局部演练等多种形式，应急演练由生产部组织，演练后应立即召开演练总结会，对应急预案的可执行性、应急资源的配置和管理、各应急队伍素质等环节进行评审，并形成书面材料报安全环保部，以便对应急预案进行修改和补充，并监督检查各专业救援小组对演练所暴露出问题的整改完善情况。</w:t>
      </w:r>
    </w:p>
    <w:p w14:paraId="137EADE2" w14:textId="77777777" w:rsidR="002E474C" w:rsidRDefault="00000000">
      <w:pPr>
        <w:pStyle w:val="A-z"/>
        <w:rPr>
          <w:color w:val="auto"/>
        </w:rPr>
      </w:pPr>
      <w:r>
        <w:rPr>
          <w:color w:val="auto"/>
        </w:rPr>
        <w:t>4</w:t>
      </w:r>
      <w:r>
        <w:rPr>
          <w:color w:val="auto"/>
        </w:rPr>
        <w:t>）公司安全环保部门应将演练情况，特别是通过演练暴露出的问题向公司主管领导汇报，并落实公司领导的指示和要求，同时对领导指示如实记录以便对照执行。</w:t>
      </w:r>
    </w:p>
    <w:p w14:paraId="7DE16E18" w14:textId="77777777" w:rsidR="002E474C" w:rsidRDefault="00000000">
      <w:pPr>
        <w:pStyle w:val="A-z"/>
        <w:rPr>
          <w:color w:val="auto"/>
        </w:rPr>
      </w:pPr>
      <w:r>
        <w:rPr>
          <w:color w:val="auto"/>
        </w:rPr>
        <w:t>5</w:t>
      </w:r>
      <w:r>
        <w:rPr>
          <w:color w:val="auto"/>
        </w:rPr>
        <w:t>）进一步完善事故救援预案，并经过专家评审，报生态环境主管部门备案。</w:t>
      </w:r>
    </w:p>
    <w:p w14:paraId="4C499B5C" w14:textId="77777777" w:rsidR="002E474C" w:rsidRDefault="00000000">
      <w:pPr>
        <w:pStyle w:val="31"/>
        <w:spacing w:before="120" w:after="120"/>
        <w:rPr>
          <w:color w:val="auto"/>
        </w:rPr>
      </w:pPr>
      <w:r>
        <w:rPr>
          <w:color w:val="auto"/>
        </w:rPr>
        <w:t>风险评价结论</w:t>
      </w:r>
    </w:p>
    <w:p w14:paraId="3ED9F003" w14:textId="77777777" w:rsidR="002E474C" w:rsidRDefault="00000000">
      <w:pPr>
        <w:pStyle w:val="A-z"/>
        <w:rPr>
          <w:color w:val="auto"/>
        </w:rPr>
      </w:pPr>
      <w:r>
        <w:rPr>
          <w:color w:val="auto"/>
        </w:rPr>
        <w:t>本项目所在位置不属于环境敏感区。项目主要风险物质为处置的危险废物。项目主要事故类型为危险废物储存、转运的泄漏事故。只要企业在完善物料贮存设施，加强安全检查，加强职工安全教育和培训之后，在做好各项风险防范措施、应急预案和应急处置措施的情况下，项目环境风险事故对周围环境的影响较小。项目环境风险属可接受水平。</w:t>
      </w:r>
    </w:p>
    <w:p w14:paraId="49D989E4" w14:textId="77777777" w:rsidR="002E474C" w:rsidRDefault="00000000">
      <w:pPr>
        <w:pStyle w:val="A-z"/>
        <w:rPr>
          <w:color w:val="auto"/>
        </w:rPr>
      </w:pPr>
      <w:r>
        <w:rPr>
          <w:color w:val="auto"/>
        </w:rPr>
        <w:t>本项目建成后，应纳入圣雄水泥公司应急预案管理体系，由圣雄水泥公司统一管理，编制并备案突发环境事件应急预案，定期开展突发环境事件演练，与园区突发环境事件应急预案衔接，提高应急处置能力，防控环境风险。</w:t>
      </w:r>
    </w:p>
    <w:p w14:paraId="398BD1C3" w14:textId="77777777" w:rsidR="002E474C" w:rsidRDefault="00000000">
      <w:pPr>
        <w:pStyle w:val="A-z"/>
        <w:rPr>
          <w:color w:val="auto"/>
        </w:rPr>
      </w:pPr>
      <w:r>
        <w:rPr>
          <w:color w:val="auto"/>
        </w:rPr>
        <w:t>本项目环境风险评价简单分析内容表见表</w:t>
      </w:r>
      <w:r>
        <w:rPr>
          <w:color w:val="auto"/>
        </w:rPr>
        <w:t>5.8</w:t>
      </w:r>
      <w:r>
        <w:rPr>
          <w:color w:val="auto"/>
        </w:rPr>
        <w:noBreakHyphen/>
        <w:t>11</w:t>
      </w:r>
      <w:r>
        <w:rPr>
          <w:color w:val="auto"/>
        </w:rPr>
        <w:t>。</w:t>
      </w:r>
    </w:p>
    <w:p w14:paraId="43FAE8D3" w14:textId="77777777" w:rsidR="002E474C" w:rsidRDefault="00000000">
      <w:pPr>
        <w:pStyle w:val="A--"/>
        <w:rPr>
          <w:color w:val="auto"/>
        </w:rPr>
      </w:pPr>
      <w:bookmarkStart w:id="329" w:name="_Ref111565446"/>
      <w:r>
        <w:rPr>
          <w:color w:val="auto"/>
        </w:rPr>
        <w:t>表</w:t>
      </w:r>
      <w:r>
        <w:rPr>
          <w:color w:val="auto"/>
        </w:rPr>
        <w:t>5.8</w:t>
      </w:r>
      <w:r>
        <w:rPr>
          <w:color w:val="auto"/>
        </w:rPr>
        <w:noBreakHyphen/>
        <w:t>11</w:t>
      </w:r>
      <w:bookmarkEnd w:id="329"/>
      <w:r>
        <w:rPr>
          <w:color w:val="auto"/>
        </w:rPr>
        <w:t xml:space="preserve">  </w:t>
      </w:r>
      <w:r>
        <w:rPr>
          <w:color w:val="auto"/>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513"/>
        <w:gridCol w:w="1304"/>
        <w:gridCol w:w="2016"/>
        <w:gridCol w:w="1387"/>
      </w:tblGrid>
      <w:tr w:rsidR="002E474C" w14:paraId="38529C28" w14:textId="77777777" w:rsidTr="00B6506A">
        <w:trPr>
          <w:trHeight w:val="340"/>
        </w:trPr>
        <w:tc>
          <w:tcPr>
            <w:tcW w:w="1251" w:type="pct"/>
            <w:vAlign w:val="center"/>
          </w:tcPr>
          <w:p w14:paraId="0BC2CF55" w14:textId="77777777" w:rsidR="002E474C" w:rsidRDefault="00000000">
            <w:pPr>
              <w:pStyle w:val="A-"/>
            </w:pPr>
            <w:r>
              <w:t>建设项目名称</w:t>
            </w:r>
          </w:p>
        </w:tc>
        <w:tc>
          <w:tcPr>
            <w:tcW w:w="3749" w:type="pct"/>
            <w:gridSpan w:val="4"/>
            <w:vAlign w:val="center"/>
          </w:tcPr>
          <w:p w14:paraId="4B9899D7" w14:textId="77777777" w:rsidR="002E474C" w:rsidRDefault="00000000">
            <w:pPr>
              <w:pStyle w:val="A-"/>
            </w:pPr>
            <w:r>
              <w:t>新疆圣雄能源股份有限公司水泥窑协同处置危险废物项目</w:t>
            </w:r>
          </w:p>
        </w:tc>
      </w:tr>
      <w:tr w:rsidR="002E474C" w14:paraId="2B97DFA3" w14:textId="77777777" w:rsidTr="00B6506A">
        <w:trPr>
          <w:trHeight w:val="340"/>
        </w:trPr>
        <w:tc>
          <w:tcPr>
            <w:tcW w:w="1251" w:type="pct"/>
            <w:vAlign w:val="center"/>
          </w:tcPr>
          <w:p w14:paraId="543D7635" w14:textId="77777777" w:rsidR="002E474C" w:rsidRDefault="00000000">
            <w:pPr>
              <w:pStyle w:val="A-"/>
            </w:pPr>
            <w:r>
              <w:t>建设地点</w:t>
            </w:r>
          </w:p>
        </w:tc>
        <w:tc>
          <w:tcPr>
            <w:tcW w:w="912" w:type="pct"/>
            <w:vAlign w:val="center"/>
          </w:tcPr>
          <w:p w14:paraId="54ECBAA0" w14:textId="77777777" w:rsidR="002E474C" w:rsidRDefault="00000000">
            <w:pPr>
              <w:pStyle w:val="A-"/>
            </w:pPr>
            <w:r>
              <w:t>（新疆维吾尔）自治区</w:t>
            </w:r>
          </w:p>
        </w:tc>
        <w:tc>
          <w:tcPr>
            <w:tcW w:w="786" w:type="pct"/>
            <w:vAlign w:val="center"/>
          </w:tcPr>
          <w:p w14:paraId="18C07122" w14:textId="77777777" w:rsidR="002E474C" w:rsidRDefault="00000000">
            <w:pPr>
              <w:pStyle w:val="A-"/>
            </w:pPr>
            <w:r>
              <w:t>（</w:t>
            </w:r>
            <w:r>
              <w:t>/</w:t>
            </w:r>
            <w:r>
              <w:t>）地区</w:t>
            </w:r>
          </w:p>
        </w:tc>
        <w:tc>
          <w:tcPr>
            <w:tcW w:w="1215" w:type="pct"/>
            <w:vAlign w:val="center"/>
          </w:tcPr>
          <w:p w14:paraId="29C0D322" w14:textId="77777777" w:rsidR="002E474C" w:rsidRDefault="00000000">
            <w:pPr>
              <w:pStyle w:val="A-"/>
            </w:pPr>
            <w:r>
              <w:t>（吐鲁番）市</w:t>
            </w:r>
          </w:p>
        </w:tc>
        <w:tc>
          <w:tcPr>
            <w:tcW w:w="836" w:type="pct"/>
            <w:vAlign w:val="center"/>
          </w:tcPr>
          <w:p w14:paraId="65709884" w14:textId="77777777" w:rsidR="002E474C" w:rsidRDefault="00000000">
            <w:pPr>
              <w:pStyle w:val="A-"/>
            </w:pPr>
            <w:r>
              <w:t>塔什店镇</w:t>
            </w:r>
          </w:p>
        </w:tc>
      </w:tr>
      <w:tr w:rsidR="002E474C" w14:paraId="72E6923C" w14:textId="77777777" w:rsidTr="00B6506A">
        <w:trPr>
          <w:trHeight w:val="340"/>
        </w:trPr>
        <w:tc>
          <w:tcPr>
            <w:tcW w:w="1251" w:type="pct"/>
            <w:vAlign w:val="center"/>
          </w:tcPr>
          <w:p w14:paraId="1785174D" w14:textId="77777777" w:rsidR="002E474C" w:rsidRDefault="00000000">
            <w:pPr>
              <w:pStyle w:val="A-"/>
            </w:pPr>
            <w:r>
              <w:t>主要危险物质及分布</w:t>
            </w:r>
          </w:p>
        </w:tc>
        <w:tc>
          <w:tcPr>
            <w:tcW w:w="3749" w:type="pct"/>
            <w:gridSpan w:val="4"/>
            <w:vAlign w:val="center"/>
          </w:tcPr>
          <w:p w14:paraId="67DBB61E" w14:textId="77777777" w:rsidR="002E474C" w:rsidRDefault="00000000">
            <w:pPr>
              <w:pStyle w:val="A-"/>
              <w:jc w:val="both"/>
              <w:rPr>
                <w:sz w:val="24"/>
              </w:rPr>
            </w:pPr>
            <w:r>
              <w:rPr>
                <w:spacing w:val="-6"/>
              </w:rPr>
              <w:t>主要危险物质为</w:t>
            </w:r>
            <w:r>
              <w:rPr>
                <w:spacing w:val="-6"/>
              </w:rPr>
              <w:t>HW04</w:t>
            </w:r>
            <w:r>
              <w:rPr>
                <w:spacing w:val="-6"/>
              </w:rPr>
              <w:t>农药废物、</w:t>
            </w:r>
            <w:r>
              <w:rPr>
                <w:spacing w:val="-6"/>
              </w:rPr>
              <w:t>HW07</w:t>
            </w:r>
            <w:r>
              <w:rPr>
                <w:spacing w:val="-6"/>
              </w:rPr>
              <w:t>热处理含氰废物、</w:t>
            </w:r>
            <w:r>
              <w:rPr>
                <w:spacing w:val="-6"/>
              </w:rPr>
              <w:t>HW21</w:t>
            </w:r>
            <w:r>
              <w:rPr>
                <w:spacing w:val="-6"/>
              </w:rPr>
              <w:t>含铬废物、</w:t>
            </w:r>
            <w:r>
              <w:rPr>
                <w:spacing w:val="-6"/>
              </w:rPr>
              <w:t>HW31</w:t>
            </w:r>
            <w:r>
              <w:rPr>
                <w:spacing w:val="-6"/>
              </w:rPr>
              <w:t>含铅废物、</w:t>
            </w:r>
            <w:r>
              <w:rPr>
                <w:spacing w:val="-6"/>
              </w:rPr>
              <w:t>HW33</w:t>
            </w:r>
            <w:r>
              <w:rPr>
                <w:spacing w:val="-6"/>
              </w:rPr>
              <w:t>无机氰化物废物、</w:t>
            </w:r>
            <w:r>
              <w:rPr>
                <w:spacing w:val="-6"/>
              </w:rPr>
              <w:t>HW38</w:t>
            </w:r>
            <w:r>
              <w:rPr>
                <w:spacing w:val="-6"/>
              </w:rPr>
              <w:t>有机氰化废物、</w:t>
            </w:r>
            <w:r>
              <w:rPr>
                <w:spacing w:val="-6"/>
              </w:rPr>
              <w:t>HW46</w:t>
            </w:r>
            <w:r>
              <w:rPr>
                <w:spacing w:val="-6"/>
              </w:rPr>
              <w:t>含镍废物、</w:t>
            </w:r>
            <w:r>
              <w:rPr>
                <w:spacing w:val="-6"/>
              </w:rPr>
              <w:t>HW24</w:t>
            </w:r>
            <w:r>
              <w:rPr>
                <w:spacing w:val="-6"/>
              </w:rPr>
              <w:t>含砷废物等。分布在贮存区、预处理区域。</w:t>
            </w:r>
          </w:p>
        </w:tc>
      </w:tr>
      <w:tr w:rsidR="002E474C" w14:paraId="7B46E8D7" w14:textId="77777777" w:rsidTr="00B6506A">
        <w:trPr>
          <w:trHeight w:val="340"/>
        </w:trPr>
        <w:tc>
          <w:tcPr>
            <w:tcW w:w="1251" w:type="pct"/>
            <w:vAlign w:val="center"/>
          </w:tcPr>
          <w:p w14:paraId="1284F2DF" w14:textId="77777777" w:rsidR="002E474C" w:rsidRDefault="00000000">
            <w:pPr>
              <w:pStyle w:val="A-"/>
            </w:pPr>
            <w:r>
              <w:t>环境影响途径及危害后果（大气、地</w:t>
            </w:r>
            <w:r>
              <w:lastRenderedPageBreak/>
              <w:t>表水、地下水等）</w:t>
            </w:r>
          </w:p>
        </w:tc>
        <w:tc>
          <w:tcPr>
            <w:tcW w:w="3749" w:type="pct"/>
            <w:gridSpan w:val="4"/>
            <w:vAlign w:val="center"/>
          </w:tcPr>
          <w:p w14:paraId="11661E38" w14:textId="77777777" w:rsidR="002E474C" w:rsidRDefault="00000000">
            <w:pPr>
              <w:pStyle w:val="A-"/>
              <w:jc w:val="both"/>
              <w:rPr>
                <w:spacing w:val="-6"/>
              </w:rPr>
            </w:pPr>
            <w:r>
              <w:rPr>
                <w:spacing w:val="-6"/>
              </w:rPr>
              <w:lastRenderedPageBreak/>
              <w:t>大气环境：项目依托现有水泥窑协同处置危险废物，在运营过程中涉及的危险物质种类较多，如在生产过程中，生产设备、环保设施发生故</w:t>
            </w:r>
            <w:r>
              <w:rPr>
                <w:spacing w:val="-6"/>
              </w:rPr>
              <w:lastRenderedPageBreak/>
              <w:t>障，由于气体中含有多种有毒有害气体，会对现场操作人员造成伤害并使得厂址周围局部地区大气环境质量出现短时严重恶化。</w:t>
            </w:r>
          </w:p>
          <w:p w14:paraId="15A20F95" w14:textId="77777777" w:rsidR="002E474C" w:rsidRDefault="00000000">
            <w:pPr>
              <w:pStyle w:val="A-"/>
              <w:jc w:val="both"/>
              <w:rPr>
                <w:spacing w:val="-6"/>
              </w:rPr>
            </w:pPr>
            <w:r>
              <w:rPr>
                <w:spacing w:val="-6"/>
              </w:rPr>
              <w:t>水环境：一旦发生火灾爆炸事故，必须启动消防救援系统。根据火灾性质的不同将使用不同的消防系统，包括泡沫消防和消防水。这样对消防水和消防泡沫的及时处理就成为整个应急系统的重要组成部分，尤其对消防水处理不当就会形成新的水环境风险。项目设置了事故池，用于收集消防废水和泄漏的液体，避免消防废水对水环境产生影响。防渗层破裂，渗滤液泄漏引起污染地下水。</w:t>
            </w:r>
          </w:p>
          <w:p w14:paraId="053C7451" w14:textId="77777777" w:rsidR="002E474C" w:rsidRDefault="00000000">
            <w:pPr>
              <w:pStyle w:val="A-"/>
              <w:jc w:val="both"/>
            </w:pPr>
            <w:r>
              <w:rPr>
                <w:spacing w:val="-6"/>
              </w:rPr>
              <w:t>土壤环境：在运营过程中涉及的危险物质种类较多，如发生储存、转运过程中发生泄漏或地下防渗损坏，存在危险物质污染土壤的风险。</w:t>
            </w:r>
          </w:p>
        </w:tc>
      </w:tr>
      <w:tr w:rsidR="002E474C" w14:paraId="44843579" w14:textId="77777777" w:rsidTr="00B6506A">
        <w:trPr>
          <w:trHeight w:val="340"/>
        </w:trPr>
        <w:tc>
          <w:tcPr>
            <w:tcW w:w="1251" w:type="pct"/>
            <w:vAlign w:val="center"/>
          </w:tcPr>
          <w:p w14:paraId="6A5F80C1" w14:textId="77777777" w:rsidR="002E474C" w:rsidRDefault="00000000">
            <w:pPr>
              <w:pStyle w:val="A-"/>
            </w:pPr>
            <w:r>
              <w:lastRenderedPageBreak/>
              <w:t>风险防范措施要求</w:t>
            </w:r>
          </w:p>
        </w:tc>
        <w:tc>
          <w:tcPr>
            <w:tcW w:w="3749" w:type="pct"/>
            <w:gridSpan w:val="4"/>
            <w:vAlign w:val="center"/>
          </w:tcPr>
          <w:p w14:paraId="6CDB67AB" w14:textId="77777777" w:rsidR="002E474C" w:rsidRDefault="00000000">
            <w:pPr>
              <w:pStyle w:val="A-"/>
              <w:jc w:val="both"/>
            </w:pPr>
            <w:r>
              <w:t>1</w:t>
            </w:r>
            <w:r>
              <w:t>、回转窑处置风险防范措施</w:t>
            </w:r>
          </w:p>
          <w:p w14:paraId="3824F91E" w14:textId="77777777" w:rsidR="002E474C" w:rsidRDefault="00000000">
            <w:pPr>
              <w:pStyle w:val="A-"/>
              <w:jc w:val="both"/>
            </w:pPr>
            <w:r>
              <w:t>（</w:t>
            </w:r>
            <w:r>
              <w:t>1</w:t>
            </w:r>
            <w:r>
              <w:t>）入窑废物种类控制</w:t>
            </w:r>
          </w:p>
          <w:p w14:paraId="7D75C03F" w14:textId="77777777" w:rsidR="002E474C" w:rsidRDefault="00000000">
            <w:pPr>
              <w:pStyle w:val="A-"/>
              <w:jc w:val="both"/>
            </w:pPr>
            <w:r>
              <w:t>控制水泥窑协同处置的废物种类和入窑废物的特性。</w:t>
            </w:r>
          </w:p>
          <w:p w14:paraId="295D349D" w14:textId="77777777" w:rsidR="002E474C" w:rsidRDefault="00000000">
            <w:pPr>
              <w:pStyle w:val="A-"/>
              <w:jc w:val="both"/>
            </w:pPr>
            <w:r>
              <w:t>（</w:t>
            </w:r>
            <w:r>
              <w:t>2</w:t>
            </w:r>
            <w:r>
              <w:t>）入窑元素控制</w:t>
            </w:r>
          </w:p>
          <w:p w14:paraId="77B82B19" w14:textId="77777777" w:rsidR="002E474C" w:rsidRDefault="00000000">
            <w:pPr>
              <w:pStyle w:val="A-"/>
              <w:jc w:val="both"/>
            </w:pPr>
            <w:r>
              <w:t>控制入窑废物中的有害元素（重金属、氯、氟、硫等）的投加速率是水泥窑协同处置废物污染控制的重要手段。通过适当的预处理方法，将危险废物中的有害元素的投加速率控制在合理的范围之内，以免发生烟气排放超标，结皮阻塞的不良现象。</w:t>
            </w:r>
          </w:p>
          <w:p w14:paraId="6F5A4388" w14:textId="77777777" w:rsidR="002E474C" w:rsidRDefault="00000000">
            <w:pPr>
              <w:pStyle w:val="A-"/>
              <w:jc w:val="both"/>
            </w:pPr>
            <w:r>
              <w:t>（</w:t>
            </w:r>
            <w:r>
              <w:t>3</w:t>
            </w:r>
            <w:r>
              <w:t>）合理确定投料点</w:t>
            </w:r>
          </w:p>
          <w:p w14:paraId="74DDB682" w14:textId="77777777" w:rsidR="002E474C" w:rsidRDefault="00000000">
            <w:pPr>
              <w:pStyle w:val="A-"/>
              <w:jc w:val="both"/>
            </w:pPr>
            <w:r>
              <w:t>应根据危险废物特性和水泥窑中各投加位置的温度和停留时间等参数合理选择投料点。例如含高氯、高毒、难降解有机物质的危险废物适宜从窑头的主燃烧器进行处置。</w:t>
            </w:r>
          </w:p>
          <w:p w14:paraId="78AF8E09" w14:textId="77777777" w:rsidR="002E474C" w:rsidRDefault="00000000">
            <w:pPr>
              <w:pStyle w:val="A-"/>
              <w:jc w:val="both"/>
            </w:pPr>
            <w:r>
              <w:t>2</w:t>
            </w:r>
            <w:r>
              <w:t>、危险废物收集、贮存、运输过程防范措施</w:t>
            </w:r>
          </w:p>
          <w:p w14:paraId="01E8F65F" w14:textId="77777777" w:rsidR="002E474C" w:rsidRDefault="00000000">
            <w:pPr>
              <w:pStyle w:val="A-"/>
              <w:jc w:val="both"/>
            </w:pPr>
            <w:r>
              <w:t>危险废物的收集、贮存、运输应严格遵守《危险废物收集、贮存、运输技术规范》（</w:t>
            </w:r>
            <w:r>
              <w:t>HJ2025</w:t>
            </w:r>
            <w:r>
              <w:t>）中相关要求。</w:t>
            </w:r>
          </w:p>
          <w:p w14:paraId="61403ACE" w14:textId="77777777" w:rsidR="002E474C" w:rsidRDefault="00000000">
            <w:pPr>
              <w:pStyle w:val="A-"/>
              <w:jc w:val="both"/>
            </w:pPr>
            <w:r>
              <w:t>3</w:t>
            </w:r>
            <w:r>
              <w:t>、危废贮存库等防止事故泄漏防范措施</w:t>
            </w:r>
          </w:p>
          <w:p w14:paraId="781CD5B0" w14:textId="77777777" w:rsidR="002E474C" w:rsidRDefault="00000000">
            <w:pPr>
              <w:pStyle w:val="A-"/>
              <w:jc w:val="both"/>
            </w:pPr>
            <w:r>
              <w:t>危废贮存库内导流槽、事故池，危废贮存车间地面均采用符合《危险废物贮存污染控制标准》（</w:t>
            </w:r>
            <w:r>
              <w:t>GB18597-2023</w:t>
            </w:r>
            <w:r>
              <w:t>）要求的防渗。</w:t>
            </w:r>
          </w:p>
          <w:p w14:paraId="053EC484" w14:textId="77777777" w:rsidR="002E474C" w:rsidRDefault="00000000">
            <w:pPr>
              <w:pStyle w:val="A-"/>
              <w:jc w:val="both"/>
            </w:pPr>
            <w:r>
              <w:t>4</w:t>
            </w:r>
            <w:r>
              <w:t>、配套监控及消防设施</w:t>
            </w:r>
          </w:p>
          <w:p w14:paraId="5405ADEE" w14:textId="77777777" w:rsidR="002E474C" w:rsidRDefault="00000000">
            <w:pPr>
              <w:pStyle w:val="A-"/>
              <w:jc w:val="both"/>
            </w:pPr>
            <w:r>
              <w:t>5</w:t>
            </w:r>
            <w:r>
              <w:t>、风险管理措施</w:t>
            </w:r>
          </w:p>
          <w:p w14:paraId="78EE6337" w14:textId="77777777" w:rsidR="002E474C" w:rsidRDefault="00000000">
            <w:pPr>
              <w:pStyle w:val="A-"/>
              <w:jc w:val="both"/>
            </w:pPr>
            <w:r>
              <w:t>①</w:t>
            </w:r>
            <w:r>
              <w:t>对环保装置要有专人定期巡视，一旦装置发生异常应及时停止，避免尾气未经处理排入大气。</w:t>
            </w:r>
          </w:p>
          <w:p w14:paraId="6C613A6D" w14:textId="77777777" w:rsidR="002E474C" w:rsidRDefault="00000000">
            <w:pPr>
              <w:pStyle w:val="A-"/>
              <w:jc w:val="both"/>
            </w:pPr>
            <w:r>
              <w:t>②</w:t>
            </w:r>
            <w:r>
              <w:t>工程可能遇到的火源主要是吸烟、维修用火、电器火灾、静电火花、雷击、撞击火星等，应采取的安全管理措施包括：严禁吸烟、严禁携带火种、严禁穿带铁钉的皮鞋进入易燃易爆区域。</w:t>
            </w:r>
          </w:p>
          <w:p w14:paraId="690B54C4" w14:textId="77777777" w:rsidR="002E474C" w:rsidRDefault="00000000">
            <w:pPr>
              <w:pStyle w:val="A-"/>
              <w:jc w:val="both"/>
            </w:pPr>
            <w:r>
              <w:t>③</w:t>
            </w:r>
            <w:r>
              <w:t>维修时，应和非检修设备、管线断开火加盲板，盲板应挂牌登记，防止发生事故。</w:t>
            </w:r>
          </w:p>
          <w:p w14:paraId="72BFD611" w14:textId="77777777" w:rsidR="002E474C" w:rsidRDefault="00000000">
            <w:pPr>
              <w:pStyle w:val="A-"/>
              <w:jc w:val="both"/>
            </w:pPr>
            <w:r>
              <w:t>④</w:t>
            </w:r>
            <w:r>
              <w:t>安装附带报警装置，可燃性气体探测仪，以实现早发现、早处理。</w:t>
            </w:r>
          </w:p>
        </w:tc>
      </w:tr>
      <w:tr w:rsidR="002E474C" w14:paraId="48A60EEC" w14:textId="77777777">
        <w:trPr>
          <w:trHeight w:val="340"/>
        </w:trPr>
        <w:tc>
          <w:tcPr>
            <w:tcW w:w="5000" w:type="pct"/>
            <w:gridSpan w:val="5"/>
            <w:vAlign w:val="center"/>
          </w:tcPr>
          <w:p w14:paraId="1F0440FF" w14:textId="77777777" w:rsidR="002E474C" w:rsidRDefault="00000000">
            <w:pPr>
              <w:pStyle w:val="A-"/>
              <w:jc w:val="both"/>
            </w:pPr>
            <w:r>
              <w:t>填表说明（列出相关信息及评价说明）：</w:t>
            </w:r>
          </w:p>
          <w:p w14:paraId="013E288B" w14:textId="685E056D" w:rsidR="002E474C" w:rsidRDefault="00000000">
            <w:pPr>
              <w:pStyle w:val="A-"/>
              <w:jc w:val="both"/>
            </w:pPr>
            <w:r>
              <w:t>项目为利用水泥窑协同处置危险废物项目，项目拟处置的危废是大量的物质的混合物，且种类繁多，成分复杂，因此采用《化学品分类和标签规范</w:t>
            </w:r>
            <w:r>
              <w:t xml:space="preserve"> </w:t>
            </w:r>
            <w:r>
              <w:t>第</w:t>
            </w:r>
            <w:r>
              <w:t>18</w:t>
            </w:r>
            <w:r>
              <w:t>部分：急性毒性》</w:t>
            </w:r>
            <w:r w:rsidR="00694512">
              <w:rPr>
                <w:rFonts w:hint="eastAsia"/>
              </w:rPr>
              <w:t>（</w:t>
            </w:r>
            <w:r w:rsidR="00694512">
              <w:t>GB30000.18-2013</w:t>
            </w:r>
            <w:r w:rsidR="00694512">
              <w:rPr>
                <w:rFonts w:hint="eastAsia"/>
              </w:rPr>
              <w:t>）</w:t>
            </w:r>
            <w:r>
              <w:t>对混合物进行急性毒性危害分类。项目大气环境风险潜势、地下水环境风险潜势均为</w:t>
            </w:r>
            <w:r>
              <w:t>Ⅰ</w:t>
            </w:r>
            <w:r>
              <w:t>，按照导则要求对项目环境风险进行简单分析。</w:t>
            </w:r>
          </w:p>
        </w:tc>
      </w:tr>
    </w:tbl>
    <w:p w14:paraId="259756F1" w14:textId="77777777" w:rsidR="002E474C" w:rsidRDefault="00000000">
      <w:pPr>
        <w:pStyle w:val="21"/>
        <w:spacing w:before="240" w:after="240"/>
        <w:rPr>
          <w:color w:val="auto"/>
        </w:rPr>
      </w:pPr>
      <w:bookmarkStart w:id="330" w:name="_Toc225848871"/>
      <w:bookmarkStart w:id="331" w:name="_Toc18814"/>
      <w:r>
        <w:rPr>
          <w:color w:val="auto"/>
        </w:rPr>
        <w:t>施工期环境影响分析</w:t>
      </w:r>
      <w:bookmarkEnd w:id="330"/>
      <w:bookmarkEnd w:id="331"/>
    </w:p>
    <w:p w14:paraId="39EF2D60" w14:textId="77777777" w:rsidR="002E474C" w:rsidRDefault="00000000">
      <w:pPr>
        <w:pStyle w:val="A-z"/>
        <w:rPr>
          <w:color w:val="auto"/>
        </w:rPr>
      </w:pPr>
      <w:bookmarkStart w:id="332" w:name="_Hlk151238393"/>
      <w:r>
        <w:rPr>
          <w:color w:val="auto"/>
        </w:rPr>
        <w:t>本项目在现有厂区预留空地内进行建设，不新增用地。由于项目本次建设内容较少，本次不设置临时堆场、施工营地等临时工程，也不涉及临时施工占地。</w:t>
      </w:r>
      <w:bookmarkEnd w:id="332"/>
    </w:p>
    <w:p w14:paraId="27AC7CD7" w14:textId="77777777" w:rsidR="002E474C" w:rsidRDefault="00000000">
      <w:pPr>
        <w:pStyle w:val="A-z"/>
        <w:rPr>
          <w:color w:val="auto"/>
        </w:rPr>
      </w:pPr>
      <w:r>
        <w:rPr>
          <w:color w:val="auto"/>
        </w:rPr>
        <w:lastRenderedPageBreak/>
        <w:t>本项目施工内容主要包括土建、附属设施及管道建设、设备安装等。施工期间对环境的影响主要是扬尘、废水、施工噪声、建筑垃圾等。</w:t>
      </w:r>
    </w:p>
    <w:p w14:paraId="1F3E0A17" w14:textId="77777777" w:rsidR="002E474C" w:rsidRDefault="00000000">
      <w:pPr>
        <w:pStyle w:val="A-z"/>
        <w:rPr>
          <w:color w:val="auto"/>
        </w:rPr>
      </w:pPr>
      <w:r>
        <w:rPr>
          <w:color w:val="auto"/>
        </w:rPr>
        <w:t>项目施工对环境污染影响特征见表</w:t>
      </w:r>
      <w:r>
        <w:rPr>
          <w:color w:val="auto"/>
        </w:rPr>
        <w:t>5.9</w:t>
      </w:r>
      <w:r>
        <w:rPr>
          <w:color w:val="auto"/>
        </w:rPr>
        <w:noBreakHyphen/>
        <w:t>1</w:t>
      </w:r>
      <w:r>
        <w:rPr>
          <w:color w:val="auto"/>
        </w:rPr>
        <w:t>。</w:t>
      </w:r>
    </w:p>
    <w:p w14:paraId="2A15E0DC" w14:textId="77777777" w:rsidR="002E474C" w:rsidRDefault="00000000">
      <w:pPr>
        <w:pStyle w:val="A--"/>
        <w:rPr>
          <w:color w:val="auto"/>
        </w:rPr>
      </w:pPr>
      <w:bookmarkStart w:id="333" w:name="_Ref10056349"/>
      <w:r>
        <w:rPr>
          <w:color w:val="auto"/>
        </w:rPr>
        <w:t>表</w:t>
      </w:r>
      <w:r>
        <w:rPr>
          <w:color w:val="auto"/>
        </w:rPr>
        <w:t>5.9</w:t>
      </w:r>
      <w:r>
        <w:rPr>
          <w:color w:val="auto"/>
        </w:rPr>
        <w:noBreakHyphen/>
        <w:t>1</w:t>
      </w:r>
      <w:bookmarkEnd w:id="333"/>
      <w:r>
        <w:rPr>
          <w:color w:val="auto"/>
        </w:rPr>
        <w:t xml:space="preserve">  </w:t>
      </w:r>
      <w:r>
        <w:rPr>
          <w:color w:val="auto"/>
        </w:rPr>
        <w:t>施工期环境影响特征表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4"/>
        <w:gridCol w:w="6582"/>
      </w:tblGrid>
      <w:tr w:rsidR="002E474C" w14:paraId="2AD82E7C" w14:textId="77777777">
        <w:trPr>
          <w:tblHeader/>
          <w:jc w:val="center"/>
        </w:trPr>
        <w:tc>
          <w:tcPr>
            <w:tcW w:w="1033" w:type="pct"/>
            <w:shd w:val="clear" w:color="auto" w:fill="auto"/>
            <w:vAlign w:val="center"/>
          </w:tcPr>
          <w:p w14:paraId="24601CDC" w14:textId="77777777" w:rsidR="002E474C" w:rsidRDefault="00000000">
            <w:pPr>
              <w:pStyle w:val="A-"/>
            </w:pPr>
            <w:r>
              <w:t>施工期主要活动</w:t>
            </w:r>
          </w:p>
        </w:tc>
        <w:tc>
          <w:tcPr>
            <w:tcW w:w="3967" w:type="pct"/>
            <w:shd w:val="clear" w:color="auto" w:fill="auto"/>
            <w:vAlign w:val="center"/>
          </w:tcPr>
          <w:p w14:paraId="163FDB99" w14:textId="77777777" w:rsidR="002E474C" w:rsidRDefault="00000000">
            <w:pPr>
              <w:pStyle w:val="A-"/>
            </w:pPr>
            <w:r>
              <w:t>施工期环境影响特征说明</w:t>
            </w:r>
          </w:p>
        </w:tc>
      </w:tr>
      <w:tr w:rsidR="002E474C" w14:paraId="7C57E931" w14:textId="77777777">
        <w:trPr>
          <w:jc w:val="center"/>
        </w:trPr>
        <w:tc>
          <w:tcPr>
            <w:tcW w:w="1033" w:type="pct"/>
            <w:vMerge w:val="restart"/>
            <w:shd w:val="clear" w:color="auto" w:fill="auto"/>
            <w:vAlign w:val="center"/>
          </w:tcPr>
          <w:p w14:paraId="427C23D6" w14:textId="77777777" w:rsidR="002E474C" w:rsidRDefault="00000000">
            <w:pPr>
              <w:pStyle w:val="A-"/>
            </w:pPr>
            <w:r>
              <w:t>地表开挖及建构筑物施工</w:t>
            </w:r>
          </w:p>
        </w:tc>
        <w:tc>
          <w:tcPr>
            <w:tcW w:w="3967" w:type="pct"/>
            <w:shd w:val="clear" w:color="auto" w:fill="auto"/>
            <w:vAlign w:val="center"/>
          </w:tcPr>
          <w:p w14:paraId="2F77ABF3" w14:textId="77777777" w:rsidR="002E474C" w:rsidRDefault="00000000">
            <w:pPr>
              <w:pStyle w:val="A-"/>
            </w:pPr>
            <w:r>
              <w:t>废气：施工机械排放废气及运输产生汽车尾气</w:t>
            </w:r>
          </w:p>
          <w:p w14:paraId="1D0C4FA3" w14:textId="77777777" w:rsidR="002E474C" w:rsidRDefault="00000000">
            <w:pPr>
              <w:pStyle w:val="A-"/>
            </w:pPr>
            <w:r>
              <w:t>粉尘：运输产生地面扬尘，物料堆扬尘、地基开挖、建材装卸等过程</w:t>
            </w:r>
          </w:p>
        </w:tc>
      </w:tr>
      <w:tr w:rsidR="002E474C" w14:paraId="5ABA701F" w14:textId="77777777">
        <w:trPr>
          <w:jc w:val="center"/>
        </w:trPr>
        <w:tc>
          <w:tcPr>
            <w:tcW w:w="1033" w:type="pct"/>
            <w:vMerge/>
            <w:shd w:val="clear" w:color="auto" w:fill="auto"/>
            <w:vAlign w:val="center"/>
          </w:tcPr>
          <w:p w14:paraId="5399F9DB" w14:textId="77777777" w:rsidR="002E474C" w:rsidRDefault="002E474C">
            <w:pPr>
              <w:pStyle w:val="A-"/>
            </w:pPr>
          </w:p>
        </w:tc>
        <w:tc>
          <w:tcPr>
            <w:tcW w:w="3967" w:type="pct"/>
            <w:shd w:val="clear" w:color="auto" w:fill="auto"/>
            <w:vAlign w:val="center"/>
          </w:tcPr>
          <w:p w14:paraId="5513268A" w14:textId="77777777" w:rsidR="002E474C" w:rsidRDefault="00000000">
            <w:pPr>
              <w:pStyle w:val="A-"/>
            </w:pPr>
            <w:r>
              <w:t>噪声：机械噪声、交通运输噪声等</w:t>
            </w:r>
          </w:p>
        </w:tc>
      </w:tr>
      <w:tr w:rsidR="002E474C" w14:paraId="363FC83B" w14:textId="77777777">
        <w:trPr>
          <w:jc w:val="center"/>
        </w:trPr>
        <w:tc>
          <w:tcPr>
            <w:tcW w:w="1033" w:type="pct"/>
            <w:vMerge/>
            <w:shd w:val="clear" w:color="auto" w:fill="auto"/>
            <w:vAlign w:val="center"/>
          </w:tcPr>
          <w:p w14:paraId="3D6C35FF" w14:textId="77777777" w:rsidR="002E474C" w:rsidRDefault="002E474C">
            <w:pPr>
              <w:pStyle w:val="A-"/>
            </w:pPr>
          </w:p>
        </w:tc>
        <w:tc>
          <w:tcPr>
            <w:tcW w:w="3967" w:type="pct"/>
            <w:shd w:val="clear" w:color="auto" w:fill="auto"/>
            <w:vAlign w:val="center"/>
          </w:tcPr>
          <w:p w14:paraId="7B603E37" w14:textId="77777777" w:rsidR="002E474C" w:rsidRDefault="00000000">
            <w:pPr>
              <w:pStyle w:val="A-"/>
            </w:pPr>
            <w:r>
              <w:t>弃渣：施工建筑垃圾</w:t>
            </w:r>
          </w:p>
        </w:tc>
      </w:tr>
      <w:tr w:rsidR="002E474C" w14:paraId="3DCD1D5C" w14:textId="77777777">
        <w:trPr>
          <w:jc w:val="center"/>
        </w:trPr>
        <w:tc>
          <w:tcPr>
            <w:tcW w:w="1033" w:type="pct"/>
            <w:vMerge/>
            <w:shd w:val="clear" w:color="auto" w:fill="auto"/>
            <w:vAlign w:val="center"/>
          </w:tcPr>
          <w:p w14:paraId="47F149D6" w14:textId="77777777" w:rsidR="002E474C" w:rsidRDefault="002E474C">
            <w:pPr>
              <w:pStyle w:val="A-"/>
            </w:pPr>
          </w:p>
        </w:tc>
        <w:tc>
          <w:tcPr>
            <w:tcW w:w="3967" w:type="pct"/>
            <w:shd w:val="clear" w:color="auto" w:fill="auto"/>
            <w:vAlign w:val="center"/>
          </w:tcPr>
          <w:p w14:paraId="0EAA7EBF" w14:textId="77777777" w:rsidR="002E474C" w:rsidRDefault="00000000">
            <w:pPr>
              <w:pStyle w:val="A-"/>
            </w:pPr>
            <w:r>
              <w:t>废水：主要为施工机械清洗废水、施工人员产生的生活废水等</w:t>
            </w:r>
          </w:p>
        </w:tc>
      </w:tr>
      <w:tr w:rsidR="002E474C" w14:paraId="66A52C15" w14:textId="77777777">
        <w:trPr>
          <w:jc w:val="center"/>
        </w:trPr>
        <w:tc>
          <w:tcPr>
            <w:tcW w:w="1033" w:type="pct"/>
            <w:vMerge w:val="restart"/>
            <w:shd w:val="clear" w:color="auto" w:fill="auto"/>
            <w:vAlign w:val="center"/>
          </w:tcPr>
          <w:p w14:paraId="00EC2034" w14:textId="77777777" w:rsidR="002E474C" w:rsidRDefault="00000000">
            <w:pPr>
              <w:pStyle w:val="A-"/>
            </w:pPr>
            <w:r>
              <w:t>设备安装施工</w:t>
            </w:r>
          </w:p>
        </w:tc>
        <w:tc>
          <w:tcPr>
            <w:tcW w:w="3967" w:type="pct"/>
            <w:shd w:val="clear" w:color="auto" w:fill="auto"/>
            <w:vAlign w:val="center"/>
          </w:tcPr>
          <w:p w14:paraId="7D9C0CD4" w14:textId="77777777" w:rsidR="002E474C" w:rsidRDefault="00000000">
            <w:pPr>
              <w:pStyle w:val="A-"/>
            </w:pPr>
            <w:r>
              <w:t>噪声：电焊机、电钻等机械噪声等</w:t>
            </w:r>
          </w:p>
        </w:tc>
      </w:tr>
      <w:tr w:rsidR="002E474C" w14:paraId="0F17C243" w14:textId="77777777">
        <w:trPr>
          <w:jc w:val="center"/>
        </w:trPr>
        <w:tc>
          <w:tcPr>
            <w:tcW w:w="1033" w:type="pct"/>
            <w:vMerge/>
            <w:shd w:val="clear" w:color="auto" w:fill="auto"/>
            <w:vAlign w:val="center"/>
          </w:tcPr>
          <w:p w14:paraId="69990BCD" w14:textId="77777777" w:rsidR="002E474C" w:rsidRDefault="002E474C">
            <w:pPr>
              <w:pStyle w:val="A-"/>
            </w:pPr>
          </w:p>
        </w:tc>
        <w:tc>
          <w:tcPr>
            <w:tcW w:w="3967" w:type="pct"/>
            <w:shd w:val="clear" w:color="auto" w:fill="auto"/>
            <w:vAlign w:val="center"/>
          </w:tcPr>
          <w:p w14:paraId="2F66A013" w14:textId="77777777" w:rsidR="002E474C" w:rsidRDefault="00000000">
            <w:pPr>
              <w:pStyle w:val="A-"/>
            </w:pPr>
            <w:r>
              <w:t>弃渣：建筑垃圾、包装物</w:t>
            </w:r>
          </w:p>
        </w:tc>
      </w:tr>
      <w:tr w:rsidR="002E474C" w14:paraId="034DDCB5" w14:textId="77777777">
        <w:trPr>
          <w:jc w:val="center"/>
        </w:trPr>
        <w:tc>
          <w:tcPr>
            <w:tcW w:w="1033" w:type="pct"/>
            <w:vMerge/>
            <w:shd w:val="clear" w:color="auto" w:fill="auto"/>
            <w:vAlign w:val="center"/>
          </w:tcPr>
          <w:p w14:paraId="1D843126" w14:textId="77777777" w:rsidR="002E474C" w:rsidRDefault="002E474C">
            <w:pPr>
              <w:pStyle w:val="A-"/>
            </w:pPr>
          </w:p>
        </w:tc>
        <w:tc>
          <w:tcPr>
            <w:tcW w:w="3967" w:type="pct"/>
            <w:shd w:val="clear" w:color="auto" w:fill="auto"/>
            <w:vAlign w:val="center"/>
          </w:tcPr>
          <w:p w14:paraId="735E4A1B" w14:textId="77777777" w:rsidR="002E474C" w:rsidRDefault="00000000">
            <w:pPr>
              <w:pStyle w:val="A-"/>
            </w:pPr>
            <w:r>
              <w:t>废水：施工人员产生的生活废水</w:t>
            </w:r>
          </w:p>
        </w:tc>
      </w:tr>
    </w:tbl>
    <w:p w14:paraId="5D18B8A2" w14:textId="77777777" w:rsidR="002E474C" w:rsidRDefault="002E474C">
      <w:pPr>
        <w:pStyle w:val="w3"/>
      </w:pPr>
    </w:p>
    <w:p w14:paraId="1870177E" w14:textId="77777777" w:rsidR="002E474C" w:rsidRDefault="00000000">
      <w:pPr>
        <w:pStyle w:val="31"/>
        <w:spacing w:before="120" w:after="120"/>
        <w:rPr>
          <w:color w:val="auto"/>
        </w:rPr>
      </w:pPr>
      <w:r>
        <w:rPr>
          <w:color w:val="auto"/>
        </w:rPr>
        <w:t>施工期水环境影响分析</w:t>
      </w:r>
    </w:p>
    <w:p w14:paraId="1F41F1D3" w14:textId="77777777" w:rsidR="002E474C" w:rsidRDefault="00000000">
      <w:pPr>
        <w:pStyle w:val="41"/>
        <w:rPr>
          <w:color w:val="auto"/>
        </w:rPr>
      </w:pPr>
      <w:r>
        <w:rPr>
          <w:color w:val="auto"/>
        </w:rPr>
        <w:t>施工期水环境影响因素</w:t>
      </w:r>
    </w:p>
    <w:p w14:paraId="3FE6F635" w14:textId="77777777" w:rsidR="002E474C" w:rsidRDefault="00000000">
      <w:pPr>
        <w:pStyle w:val="A-z"/>
        <w:rPr>
          <w:color w:val="auto"/>
        </w:rPr>
      </w:pPr>
      <w:r>
        <w:rPr>
          <w:color w:val="auto"/>
        </w:rPr>
        <w:t>施工期废污水为生产废水和生活污水。生产废水主要为混凝土浇筑废水、施工设备清洗废水等，主要污染物为</w:t>
      </w:r>
      <w:r>
        <w:rPr>
          <w:color w:val="auto"/>
        </w:rPr>
        <w:t>SS</w:t>
      </w:r>
      <w:r>
        <w:rPr>
          <w:color w:val="auto"/>
        </w:rPr>
        <w:t>和石油类。生活污水来自基建施工人员排放的生活污水，施工高峰期施工人员可达</w:t>
      </w:r>
      <w:r>
        <w:rPr>
          <w:color w:val="auto"/>
        </w:rPr>
        <w:t>50</w:t>
      </w:r>
      <w:r>
        <w:rPr>
          <w:color w:val="auto"/>
        </w:rPr>
        <w:t>人左右，生活污水按在此期间日均施工人员以</w:t>
      </w:r>
      <w:r>
        <w:rPr>
          <w:color w:val="auto"/>
        </w:rPr>
        <w:t>50</w:t>
      </w:r>
      <w:r>
        <w:rPr>
          <w:color w:val="auto"/>
        </w:rPr>
        <w:t>人计，生活用水量按</w:t>
      </w:r>
      <w:r>
        <w:rPr>
          <w:color w:val="auto"/>
        </w:rPr>
        <w:t>0.1t/</w:t>
      </w:r>
      <w:r>
        <w:rPr>
          <w:color w:val="auto"/>
        </w:rPr>
        <w:t>人计，排污系数取</w:t>
      </w:r>
      <w:r>
        <w:rPr>
          <w:color w:val="auto"/>
        </w:rPr>
        <w:t>0.8</w:t>
      </w:r>
      <w:r>
        <w:rPr>
          <w:color w:val="auto"/>
        </w:rPr>
        <w:t>，每天生活污水的排放量约</w:t>
      </w:r>
      <w:r>
        <w:rPr>
          <w:color w:val="auto"/>
        </w:rPr>
        <w:t>4t</w:t>
      </w:r>
      <w:r>
        <w:rPr>
          <w:color w:val="auto"/>
        </w:rPr>
        <w:t>。生活污水的主要污染因子为</w:t>
      </w:r>
      <w:r>
        <w:rPr>
          <w:color w:val="auto"/>
        </w:rPr>
        <w:t>COD</w:t>
      </w:r>
      <w:r>
        <w:rPr>
          <w:color w:val="auto"/>
          <w:vertAlign w:val="subscript"/>
        </w:rPr>
        <w:t>Cr</w:t>
      </w:r>
      <w:r>
        <w:rPr>
          <w:color w:val="auto"/>
        </w:rPr>
        <w:t>、</w:t>
      </w:r>
      <w:r>
        <w:rPr>
          <w:color w:val="auto"/>
        </w:rPr>
        <w:t>BOD</w:t>
      </w:r>
      <w:r>
        <w:rPr>
          <w:color w:val="auto"/>
          <w:vertAlign w:val="subscript"/>
        </w:rPr>
        <w:t>5</w:t>
      </w:r>
      <w:r>
        <w:rPr>
          <w:color w:val="auto"/>
        </w:rPr>
        <w:t>、</w:t>
      </w:r>
      <w:r>
        <w:rPr>
          <w:color w:val="auto"/>
        </w:rPr>
        <w:t>SS</w:t>
      </w:r>
      <w:r>
        <w:rPr>
          <w:color w:val="auto"/>
        </w:rPr>
        <w:t>、氨氮等，各污染物浓度分别为</w:t>
      </w:r>
      <w:r>
        <w:rPr>
          <w:color w:val="auto"/>
        </w:rPr>
        <w:t>COD</w:t>
      </w:r>
      <w:r>
        <w:rPr>
          <w:color w:val="auto"/>
          <w:vertAlign w:val="subscript"/>
        </w:rPr>
        <w:t>Cr</w:t>
      </w:r>
      <w:r>
        <w:rPr>
          <w:color w:val="auto"/>
        </w:rPr>
        <w:t xml:space="preserve"> 350mg/L</w:t>
      </w:r>
      <w:r>
        <w:rPr>
          <w:color w:val="auto"/>
        </w:rPr>
        <w:t>，</w:t>
      </w:r>
      <w:r>
        <w:rPr>
          <w:color w:val="auto"/>
        </w:rPr>
        <w:t>BOD</w:t>
      </w:r>
      <w:r>
        <w:rPr>
          <w:color w:val="auto"/>
          <w:vertAlign w:val="subscript"/>
        </w:rPr>
        <w:t xml:space="preserve">5 </w:t>
      </w:r>
      <w:r>
        <w:rPr>
          <w:color w:val="auto"/>
        </w:rPr>
        <w:t>200mg/L</w:t>
      </w:r>
      <w:r>
        <w:rPr>
          <w:color w:val="auto"/>
        </w:rPr>
        <w:t>，</w:t>
      </w:r>
      <w:r>
        <w:rPr>
          <w:color w:val="auto"/>
        </w:rPr>
        <w:t>SS 200mg/L</w:t>
      </w:r>
      <w:r>
        <w:rPr>
          <w:color w:val="auto"/>
        </w:rPr>
        <w:t>，氨氮</w:t>
      </w:r>
      <w:r>
        <w:rPr>
          <w:color w:val="auto"/>
        </w:rPr>
        <w:t>30mg/L</w:t>
      </w:r>
      <w:r>
        <w:rPr>
          <w:color w:val="auto"/>
        </w:rPr>
        <w:t>。则施工期生活污水中主要污染物排放源强为：</w:t>
      </w:r>
      <w:r>
        <w:rPr>
          <w:color w:val="auto"/>
        </w:rPr>
        <w:t>COD</w:t>
      </w:r>
      <w:r>
        <w:rPr>
          <w:color w:val="auto"/>
          <w:vertAlign w:val="subscript"/>
        </w:rPr>
        <w:t xml:space="preserve">Cr </w:t>
      </w:r>
      <w:r>
        <w:rPr>
          <w:color w:val="auto"/>
        </w:rPr>
        <w:t>1.4kg/d</w:t>
      </w:r>
      <w:r>
        <w:rPr>
          <w:color w:val="auto"/>
        </w:rPr>
        <w:t>；</w:t>
      </w:r>
      <w:r>
        <w:rPr>
          <w:color w:val="auto"/>
        </w:rPr>
        <w:t>BOD</w:t>
      </w:r>
      <w:r>
        <w:rPr>
          <w:color w:val="auto"/>
          <w:vertAlign w:val="subscript"/>
        </w:rPr>
        <w:t xml:space="preserve">5 </w:t>
      </w:r>
      <w:r>
        <w:rPr>
          <w:color w:val="auto"/>
        </w:rPr>
        <w:t>0.8kg/d</w:t>
      </w:r>
      <w:r>
        <w:rPr>
          <w:color w:val="auto"/>
        </w:rPr>
        <w:t>；</w:t>
      </w:r>
      <w:r>
        <w:rPr>
          <w:color w:val="auto"/>
        </w:rPr>
        <w:t>SS 0.8kg/d</w:t>
      </w:r>
      <w:r>
        <w:rPr>
          <w:color w:val="auto"/>
        </w:rPr>
        <w:t>；氨氮</w:t>
      </w:r>
      <w:r>
        <w:rPr>
          <w:color w:val="auto"/>
        </w:rPr>
        <w:t>0.125kg/d</w:t>
      </w:r>
      <w:r>
        <w:rPr>
          <w:color w:val="auto"/>
        </w:rPr>
        <w:t>。施工期生活设施依托现有水泥厂。</w:t>
      </w:r>
    </w:p>
    <w:p w14:paraId="1A801ED5" w14:textId="77777777" w:rsidR="002E474C" w:rsidRDefault="00000000">
      <w:pPr>
        <w:pStyle w:val="41"/>
        <w:rPr>
          <w:color w:val="auto"/>
        </w:rPr>
      </w:pPr>
      <w:r>
        <w:rPr>
          <w:color w:val="auto"/>
        </w:rPr>
        <w:t>施工期污水防治措施</w:t>
      </w:r>
    </w:p>
    <w:p w14:paraId="402B811C" w14:textId="77777777" w:rsidR="002E474C" w:rsidRDefault="00000000">
      <w:pPr>
        <w:pStyle w:val="A-z"/>
        <w:rPr>
          <w:color w:val="auto"/>
        </w:rPr>
      </w:pPr>
      <w:r>
        <w:rPr>
          <w:color w:val="auto"/>
        </w:rPr>
        <w:t>（</w:t>
      </w:r>
      <w:r>
        <w:rPr>
          <w:color w:val="auto"/>
        </w:rPr>
        <w:t>1</w:t>
      </w:r>
      <w:r>
        <w:rPr>
          <w:color w:val="auto"/>
        </w:rPr>
        <w:t>）施工生产废水主要特点是悬浮物含量高。主要采取以下保护措施：</w:t>
      </w:r>
    </w:p>
    <w:p w14:paraId="6004DDB2" w14:textId="77777777" w:rsidR="002E474C" w:rsidRDefault="00000000">
      <w:pPr>
        <w:pStyle w:val="A-z"/>
        <w:rPr>
          <w:color w:val="auto"/>
        </w:rPr>
      </w:pPr>
      <w:r>
        <w:rPr>
          <w:color w:val="auto"/>
        </w:rPr>
        <w:t>①</w:t>
      </w:r>
      <w:r>
        <w:rPr>
          <w:color w:val="auto"/>
        </w:rPr>
        <w:t>混凝土浇筑废水、土石方工程及雨天引起的水土流失、雨污水等悬浮物浓度高的废水，含砂量大，其中</w:t>
      </w:r>
      <w:r>
        <w:rPr>
          <w:color w:val="auto"/>
        </w:rPr>
        <w:t>SS</w:t>
      </w:r>
      <w:r>
        <w:rPr>
          <w:color w:val="auto"/>
        </w:rPr>
        <w:t>经沉淀后可以大部分去除。在施工工地周围设置排水明沟，场地径流经收集沉淀后回收利用。</w:t>
      </w:r>
    </w:p>
    <w:p w14:paraId="35B9DD4A" w14:textId="77777777" w:rsidR="002E474C" w:rsidRDefault="00000000">
      <w:pPr>
        <w:pStyle w:val="A-z"/>
        <w:rPr>
          <w:color w:val="auto"/>
        </w:rPr>
      </w:pPr>
      <w:r>
        <w:rPr>
          <w:color w:val="auto"/>
        </w:rPr>
        <w:t>②</w:t>
      </w:r>
      <w:r>
        <w:rPr>
          <w:color w:val="auto"/>
        </w:rPr>
        <w:t>机械车辆维修冲洗废水中主要含泥沙及油污，其主要污染控制指标为</w:t>
      </w:r>
      <w:r>
        <w:rPr>
          <w:color w:val="auto"/>
        </w:rPr>
        <w:t>SS</w:t>
      </w:r>
      <w:r>
        <w:rPr>
          <w:color w:val="auto"/>
        </w:rPr>
        <w:t>、石油类，需要沉淀并经除油装置除去其中的石油类后达标排放。</w:t>
      </w:r>
    </w:p>
    <w:p w14:paraId="366B41BD" w14:textId="77777777" w:rsidR="002E474C" w:rsidRDefault="00000000">
      <w:pPr>
        <w:pStyle w:val="A-z"/>
        <w:rPr>
          <w:color w:val="auto"/>
        </w:rPr>
      </w:pPr>
      <w:r>
        <w:rPr>
          <w:color w:val="auto"/>
        </w:rPr>
        <w:t>（</w:t>
      </w:r>
      <w:r>
        <w:rPr>
          <w:color w:val="auto"/>
        </w:rPr>
        <w:t>2</w:t>
      </w:r>
      <w:r>
        <w:rPr>
          <w:color w:val="auto"/>
        </w:rPr>
        <w:t>）施工期生活污水污染防治措施</w:t>
      </w:r>
    </w:p>
    <w:p w14:paraId="4BC5D20A" w14:textId="77777777" w:rsidR="002E474C" w:rsidRDefault="00000000">
      <w:pPr>
        <w:pStyle w:val="A-z"/>
        <w:rPr>
          <w:color w:val="auto"/>
        </w:rPr>
      </w:pPr>
      <w:r>
        <w:rPr>
          <w:color w:val="auto"/>
        </w:rPr>
        <w:lastRenderedPageBreak/>
        <w:t>施工期生活设施依托水泥厂生活设施。</w:t>
      </w:r>
    </w:p>
    <w:p w14:paraId="7F17B66D" w14:textId="77777777" w:rsidR="002E474C" w:rsidRDefault="00000000">
      <w:pPr>
        <w:pStyle w:val="A-z"/>
        <w:rPr>
          <w:color w:val="auto"/>
        </w:rPr>
      </w:pPr>
      <w:r>
        <w:rPr>
          <w:color w:val="auto"/>
        </w:rPr>
        <w:t>综上，施工期废水均采取有效处理措施，不向自然环境排放废水，不会对环境产生不利影响。</w:t>
      </w:r>
    </w:p>
    <w:p w14:paraId="4BBE69E9" w14:textId="77777777" w:rsidR="002E474C" w:rsidRDefault="00000000">
      <w:pPr>
        <w:pStyle w:val="31"/>
        <w:spacing w:before="120" w:after="120"/>
        <w:rPr>
          <w:color w:val="auto"/>
        </w:rPr>
      </w:pPr>
      <w:r>
        <w:rPr>
          <w:color w:val="auto"/>
        </w:rPr>
        <w:t>施工期大气环境影响分析</w:t>
      </w:r>
    </w:p>
    <w:p w14:paraId="62F1E24A" w14:textId="77777777" w:rsidR="002E474C" w:rsidRDefault="00000000">
      <w:pPr>
        <w:pStyle w:val="A-z"/>
        <w:rPr>
          <w:color w:val="auto"/>
        </w:rPr>
      </w:pPr>
      <w:r>
        <w:rPr>
          <w:color w:val="auto"/>
        </w:rPr>
        <w:t>建设项目施工期产生的大气污染物主要是扬尘和施工机械燃油废气。</w:t>
      </w:r>
    </w:p>
    <w:p w14:paraId="74831822" w14:textId="77777777" w:rsidR="002E474C" w:rsidRDefault="00000000">
      <w:pPr>
        <w:pStyle w:val="A-z"/>
        <w:rPr>
          <w:color w:val="auto"/>
        </w:rPr>
      </w:pPr>
      <w:r>
        <w:rPr>
          <w:color w:val="auto"/>
        </w:rPr>
        <w:t>（</w:t>
      </w:r>
      <w:r>
        <w:rPr>
          <w:color w:val="auto"/>
        </w:rPr>
        <w:t>1</w:t>
      </w:r>
      <w:r>
        <w:rPr>
          <w:color w:val="auto"/>
        </w:rPr>
        <w:t>）扬尘</w:t>
      </w:r>
    </w:p>
    <w:p w14:paraId="6441B5BA" w14:textId="77777777" w:rsidR="002E474C" w:rsidRDefault="00000000">
      <w:pPr>
        <w:pStyle w:val="A-z"/>
        <w:rPr>
          <w:color w:val="auto"/>
        </w:rPr>
      </w:pPr>
      <w:r>
        <w:rPr>
          <w:color w:val="auto"/>
        </w:rPr>
        <w:t>建设项目施工期的主要起尘环节如下：</w:t>
      </w:r>
    </w:p>
    <w:p w14:paraId="47E597A2" w14:textId="77777777" w:rsidR="002E474C" w:rsidRDefault="00000000">
      <w:pPr>
        <w:pStyle w:val="A-z"/>
        <w:rPr>
          <w:color w:val="auto"/>
        </w:rPr>
      </w:pPr>
      <w:r>
        <w:rPr>
          <w:color w:val="auto"/>
        </w:rPr>
        <w:t>①</w:t>
      </w:r>
      <w:r>
        <w:rPr>
          <w:color w:val="auto"/>
        </w:rPr>
        <w:t>在基础施工和运输等过程将产生一定程度的扬尘污染；</w:t>
      </w:r>
    </w:p>
    <w:p w14:paraId="4DF6ED61" w14:textId="77777777" w:rsidR="002E474C" w:rsidRDefault="00000000">
      <w:pPr>
        <w:pStyle w:val="A-z"/>
        <w:rPr>
          <w:color w:val="auto"/>
        </w:rPr>
      </w:pPr>
      <w:r>
        <w:rPr>
          <w:color w:val="auto"/>
        </w:rPr>
        <w:t>②</w:t>
      </w:r>
      <w:r>
        <w:rPr>
          <w:color w:val="auto"/>
        </w:rPr>
        <w:t>挖掘机、装载机等机械作业处产生的扬尘；</w:t>
      </w:r>
    </w:p>
    <w:p w14:paraId="14FD7FAD" w14:textId="77777777" w:rsidR="002E474C" w:rsidRDefault="00000000">
      <w:pPr>
        <w:pStyle w:val="A-z"/>
        <w:rPr>
          <w:color w:val="auto"/>
        </w:rPr>
      </w:pPr>
      <w:r>
        <w:rPr>
          <w:color w:val="auto"/>
        </w:rPr>
        <w:t>③</w:t>
      </w:r>
      <w:r>
        <w:rPr>
          <w:color w:val="auto"/>
        </w:rPr>
        <w:t>材料堆场在空气动力作用下起尘；</w:t>
      </w:r>
    </w:p>
    <w:p w14:paraId="5C17D6BA" w14:textId="77777777" w:rsidR="002E474C" w:rsidRDefault="00000000">
      <w:pPr>
        <w:pStyle w:val="A-z"/>
        <w:rPr>
          <w:color w:val="auto"/>
        </w:rPr>
      </w:pPr>
      <w:r>
        <w:rPr>
          <w:color w:val="auto"/>
        </w:rPr>
        <w:t>④</w:t>
      </w:r>
      <w:r>
        <w:rPr>
          <w:color w:val="auto"/>
        </w:rPr>
        <w:t>汽车在运送砂石料过程中，由于振动或风力等因素引起的物料洒落起尘或路面二次扬尘。</w:t>
      </w:r>
    </w:p>
    <w:p w14:paraId="19959755" w14:textId="77777777" w:rsidR="002E474C" w:rsidRDefault="00000000">
      <w:pPr>
        <w:pStyle w:val="A-z"/>
        <w:rPr>
          <w:color w:val="auto"/>
        </w:rPr>
      </w:pPr>
      <w:r>
        <w:rPr>
          <w:color w:val="auto"/>
        </w:rPr>
        <w:t>根据同类施工工地监测资料，在正常风况下，施工活动产生的粉尘在施工区域近地面环境空气中</w:t>
      </w:r>
      <w:r>
        <w:rPr>
          <w:color w:val="auto"/>
        </w:rPr>
        <w:t>TSP</w:t>
      </w:r>
      <w:r>
        <w:rPr>
          <w:color w:val="auto"/>
        </w:rPr>
        <w:t>浓度可达</w:t>
      </w:r>
      <w:r>
        <w:rPr>
          <w:color w:val="auto"/>
        </w:rPr>
        <w:t>1.5~3.0g/Nm</w:t>
      </w:r>
      <w:r>
        <w:rPr>
          <w:color w:val="auto"/>
          <w:vertAlign w:val="superscript"/>
        </w:rPr>
        <w:t>3</w:t>
      </w:r>
      <w:r>
        <w:rPr>
          <w:color w:val="auto"/>
        </w:rPr>
        <w:t>，对施工区域周围</w:t>
      </w:r>
      <w:r>
        <w:rPr>
          <w:color w:val="auto"/>
        </w:rPr>
        <w:t>50m</w:t>
      </w:r>
      <w:r>
        <w:rPr>
          <w:color w:val="auto"/>
        </w:rPr>
        <w:t>范围以外的贡献值符合《环境空气质量标准》</w:t>
      </w:r>
      <w:r>
        <w:rPr>
          <w:color w:val="auto"/>
        </w:rPr>
        <w:t>(GB3095-2026)</w:t>
      </w:r>
      <w:r>
        <w:rPr>
          <w:color w:val="auto"/>
        </w:rPr>
        <w:t>中的二级浓度限值。因此一般情况下，施工活动产生的粉尘为局部短时影响。</w:t>
      </w:r>
    </w:p>
    <w:p w14:paraId="1ADB51BA" w14:textId="77777777" w:rsidR="002E474C" w:rsidRDefault="00000000">
      <w:pPr>
        <w:pStyle w:val="A-z"/>
        <w:rPr>
          <w:color w:val="auto"/>
        </w:rPr>
      </w:pPr>
      <w:r>
        <w:rPr>
          <w:color w:val="auto"/>
        </w:rPr>
        <w:t>（</w:t>
      </w:r>
      <w:r>
        <w:rPr>
          <w:color w:val="auto"/>
        </w:rPr>
        <w:t>2</w:t>
      </w:r>
      <w:r>
        <w:rPr>
          <w:color w:val="auto"/>
        </w:rPr>
        <w:t>）施工机械、车辆尾气</w:t>
      </w:r>
    </w:p>
    <w:p w14:paraId="6ADB08BC" w14:textId="77777777" w:rsidR="002E474C" w:rsidRDefault="00000000">
      <w:pPr>
        <w:pStyle w:val="A-z"/>
        <w:rPr>
          <w:color w:val="auto"/>
        </w:rPr>
      </w:pPr>
      <w:r>
        <w:rPr>
          <w:color w:val="auto"/>
        </w:rPr>
        <w:t>在项目施工过程中各类燃油动力机械在挖方、填筑、清理、平整、运输等过程中将排放燃油废气，其主要污染物为</w:t>
      </w:r>
      <w:r>
        <w:rPr>
          <w:color w:val="auto"/>
        </w:rPr>
        <w:t>SO</w:t>
      </w:r>
      <w:r>
        <w:rPr>
          <w:color w:val="auto"/>
          <w:vertAlign w:val="subscript"/>
        </w:rPr>
        <w:t>2</w:t>
      </w:r>
      <w:r>
        <w:rPr>
          <w:color w:val="auto"/>
        </w:rPr>
        <w:t>、</w:t>
      </w:r>
      <w:r>
        <w:rPr>
          <w:color w:val="auto"/>
        </w:rPr>
        <w:t>NO</w:t>
      </w:r>
      <w:r>
        <w:rPr>
          <w:color w:val="auto"/>
          <w:vertAlign w:val="subscript"/>
        </w:rPr>
        <w:t>X</w:t>
      </w:r>
      <w:r>
        <w:rPr>
          <w:color w:val="auto"/>
        </w:rPr>
        <w:t>和</w:t>
      </w:r>
      <w:r>
        <w:rPr>
          <w:color w:val="auto"/>
        </w:rPr>
        <w:t>CO</w:t>
      </w:r>
      <w:r>
        <w:rPr>
          <w:color w:val="auto"/>
        </w:rPr>
        <w:t>等。施工期较短，排放量有限，排放方式为间断散排。</w:t>
      </w:r>
    </w:p>
    <w:p w14:paraId="6FEB0F07" w14:textId="77777777" w:rsidR="002E474C" w:rsidRDefault="00000000">
      <w:pPr>
        <w:pStyle w:val="A-z"/>
        <w:rPr>
          <w:color w:val="auto"/>
        </w:rPr>
      </w:pPr>
      <w:r>
        <w:rPr>
          <w:color w:val="auto"/>
        </w:rPr>
        <w:t>由于施工的燃油机械为间断作业，且使用数量不多，因此所排的燃油废气污染物仅对施工点的空气质量产生间断的较小不利影响。</w:t>
      </w:r>
    </w:p>
    <w:p w14:paraId="27AC6DC4" w14:textId="77777777" w:rsidR="002E474C" w:rsidRDefault="00000000">
      <w:pPr>
        <w:pStyle w:val="31"/>
        <w:spacing w:before="120" w:after="120"/>
        <w:rPr>
          <w:color w:val="auto"/>
        </w:rPr>
      </w:pPr>
      <w:r>
        <w:rPr>
          <w:color w:val="auto"/>
        </w:rPr>
        <w:t>施工期声环境影响分析</w:t>
      </w:r>
    </w:p>
    <w:p w14:paraId="1CFBB32D" w14:textId="77777777" w:rsidR="002E474C" w:rsidRDefault="00000000">
      <w:pPr>
        <w:pStyle w:val="41"/>
        <w:rPr>
          <w:color w:val="auto"/>
        </w:rPr>
      </w:pPr>
      <w:r>
        <w:rPr>
          <w:color w:val="auto"/>
        </w:rPr>
        <w:t>噪声源强</w:t>
      </w:r>
    </w:p>
    <w:p w14:paraId="7F1576F2" w14:textId="77777777" w:rsidR="002E474C" w:rsidRDefault="00000000">
      <w:pPr>
        <w:pStyle w:val="A-z"/>
        <w:rPr>
          <w:color w:val="auto"/>
        </w:rPr>
      </w:pPr>
      <w:r>
        <w:rPr>
          <w:color w:val="auto"/>
        </w:rPr>
        <w:t>噪声主要来自建筑施工、装修过程。建设期间产生的噪声具有阶段性、临时性和不固定性。</w:t>
      </w:r>
    </w:p>
    <w:p w14:paraId="75812B8E" w14:textId="77777777" w:rsidR="002E474C" w:rsidRDefault="00000000">
      <w:pPr>
        <w:pStyle w:val="A-z"/>
        <w:rPr>
          <w:color w:val="auto"/>
        </w:rPr>
      </w:pPr>
      <w:r>
        <w:rPr>
          <w:color w:val="auto"/>
        </w:rPr>
        <w:t>《环境噪声与振动控制工程设计导则》</w:t>
      </w:r>
      <w:r>
        <w:rPr>
          <w:color w:val="auto"/>
        </w:rPr>
        <w:t>(HJ2034-2013)</w:t>
      </w:r>
      <w:r>
        <w:rPr>
          <w:color w:val="auto"/>
        </w:rPr>
        <w:t>附录</w:t>
      </w:r>
      <w:r>
        <w:rPr>
          <w:color w:val="auto"/>
        </w:rPr>
        <w:t>A</w:t>
      </w:r>
      <w:r>
        <w:rPr>
          <w:color w:val="auto"/>
        </w:rPr>
        <w:t>中列出了常用施工机械所产生的噪声值，具体见表</w:t>
      </w:r>
      <w:r>
        <w:rPr>
          <w:color w:val="auto"/>
        </w:rPr>
        <w:t>5.9</w:t>
      </w:r>
      <w:r>
        <w:rPr>
          <w:color w:val="auto"/>
        </w:rPr>
        <w:noBreakHyphen/>
        <w:t>2</w:t>
      </w:r>
      <w:r>
        <w:rPr>
          <w:color w:val="auto"/>
        </w:rPr>
        <w:t>。</w:t>
      </w:r>
    </w:p>
    <w:p w14:paraId="7770DA59" w14:textId="77777777" w:rsidR="002E474C" w:rsidRDefault="00000000">
      <w:pPr>
        <w:pStyle w:val="A--"/>
        <w:spacing w:beforeLines="0" w:before="0"/>
        <w:ind w:leftChars="0" w:left="0" w:rightChars="0" w:right="0"/>
        <w:rPr>
          <w:color w:val="auto"/>
        </w:rPr>
      </w:pPr>
      <w:bookmarkStart w:id="334" w:name="_Ref111547853"/>
      <w:r>
        <w:rPr>
          <w:color w:val="auto"/>
        </w:rPr>
        <w:lastRenderedPageBreak/>
        <w:t>表</w:t>
      </w:r>
      <w:r>
        <w:rPr>
          <w:color w:val="auto"/>
        </w:rPr>
        <w:t>5.9</w:t>
      </w:r>
      <w:r>
        <w:rPr>
          <w:color w:val="auto"/>
        </w:rPr>
        <w:noBreakHyphen/>
        <w:t>2</w:t>
      </w:r>
      <w:bookmarkEnd w:id="334"/>
      <w:r>
        <w:rPr>
          <w:color w:val="auto"/>
        </w:rPr>
        <w:t xml:space="preserve">  </w:t>
      </w:r>
      <w:r>
        <w:rPr>
          <w:color w:val="auto"/>
        </w:rPr>
        <w:t>常用施工机械噪声值单位：</w:t>
      </w:r>
      <w:r>
        <w:rPr>
          <w:color w:val="auto"/>
        </w:rPr>
        <w:t>dB</w:t>
      </w:r>
      <w:r>
        <w:rPr>
          <w:color w:val="auto"/>
        </w:rPr>
        <w:t>（</w:t>
      </w:r>
      <w:r>
        <w:rPr>
          <w:color w:val="auto"/>
        </w:rPr>
        <w:t>A</w:t>
      </w:r>
      <w:r>
        <w:rPr>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13"/>
        <w:gridCol w:w="1329"/>
        <w:gridCol w:w="1712"/>
        <w:gridCol w:w="1213"/>
        <w:gridCol w:w="1327"/>
      </w:tblGrid>
      <w:tr w:rsidR="002E474C" w14:paraId="53BC53CD" w14:textId="77777777">
        <w:trPr>
          <w:trHeight w:val="283"/>
          <w:jc w:val="center"/>
        </w:trPr>
        <w:tc>
          <w:tcPr>
            <w:tcW w:w="905" w:type="pct"/>
            <w:vAlign w:val="center"/>
          </w:tcPr>
          <w:p w14:paraId="3F757A99" w14:textId="77777777" w:rsidR="002E474C" w:rsidRDefault="00000000">
            <w:pPr>
              <w:pStyle w:val="A-"/>
              <w:rPr>
                <w:lang w:eastAsia="en-US"/>
              </w:rPr>
            </w:pPr>
            <w:r>
              <w:t>施工设备名称</w:t>
            </w:r>
          </w:p>
        </w:tc>
        <w:tc>
          <w:tcPr>
            <w:tcW w:w="731" w:type="pct"/>
            <w:vAlign w:val="center"/>
          </w:tcPr>
          <w:p w14:paraId="18ED1993" w14:textId="77777777" w:rsidR="002E474C" w:rsidRDefault="00000000">
            <w:pPr>
              <w:pStyle w:val="A-"/>
              <w:rPr>
                <w:lang w:eastAsia="en-US"/>
              </w:rPr>
            </w:pPr>
            <w:r>
              <w:t>距声源</w:t>
            </w:r>
            <w:r>
              <w:t>5m</w:t>
            </w:r>
          </w:p>
        </w:tc>
        <w:tc>
          <w:tcPr>
            <w:tcW w:w="801" w:type="pct"/>
            <w:vAlign w:val="center"/>
          </w:tcPr>
          <w:p w14:paraId="5AFAD5A5" w14:textId="77777777" w:rsidR="002E474C" w:rsidRDefault="00000000">
            <w:pPr>
              <w:pStyle w:val="A-"/>
              <w:rPr>
                <w:lang w:eastAsia="en-US"/>
              </w:rPr>
            </w:pPr>
            <w:r>
              <w:t>距声源</w:t>
            </w:r>
            <w:r>
              <w:t>10m</w:t>
            </w:r>
          </w:p>
        </w:tc>
        <w:tc>
          <w:tcPr>
            <w:tcW w:w="1032" w:type="pct"/>
            <w:vAlign w:val="center"/>
          </w:tcPr>
          <w:p w14:paraId="63E31273" w14:textId="77777777" w:rsidR="002E474C" w:rsidRDefault="00000000">
            <w:pPr>
              <w:pStyle w:val="A-"/>
              <w:rPr>
                <w:lang w:eastAsia="en-US"/>
              </w:rPr>
            </w:pPr>
            <w:r>
              <w:t>施工设备名称</w:t>
            </w:r>
          </w:p>
        </w:tc>
        <w:tc>
          <w:tcPr>
            <w:tcW w:w="731" w:type="pct"/>
            <w:vAlign w:val="center"/>
          </w:tcPr>
          <w:p w14:paraId="1947BB1E" w14:textId="77777777" w:rsidR="002E474C" w:rsidRDefault="00000000">
            <w:pPr>
              <w:pStyle w:val="A-"/>
              <w:rPr>
                <w:lang w:eastAsia="en-US"/>
              </w:rPr>
            </w:pPr>
            <w:r>
              <w:t>距声源</w:t>
            </w:r>
            <w:r>
              <w:t>5m</w:t>
            </w:r>
          </w:p>
        </w:tc>
        <w:tc>
          <w:tcPr>
            <w:tcW w:w="800" w:type="pct"/>
            <w:vAlign w:val="center"/>
          </w:tcPr>
          <w:p w14:paraId="6FE2329B" w14:textId="77777777" w:rsidR="002E474C" w:rsidRDefault="00000000">
            <w:pPr>
              <w:pStyle w:val="A-"/>
              <w:rPr>
                <w:lang w:eastAsia="en-US"/>
              </w:rPr>
            </w:pPr>
            <w:r>
              <w:t>距声源</w:t>
            </w:r>
            <w:r>
              <w:t>10m</w:t>
            </w:r>
          </w:p>
        </w:tc>
      </w:tr>
      <w:tr w:rsidR="002E474C" w14:paraId="4282E60A" w14:textId="77777777">
        <w:trPr>
          <w:trHeight w:val="283"/>
          <w:jc w:val="center"/>
        </w:trPr>
        <w:tc>
          <w:tcPr>
            <w:tcW w:w="905" w:type="pct"/>
            <w:vAlign w:val="center"/>
          </w:tcPr>
          <w:p w14:paraId="7AE7C419" w14:textId="77777777" w:rsidR="002E474C" w:rsidRDefault="00000000">
            <w:pPr>
              <w:pStyle w:val="A-"/>
              <w:rPr>
                <w:lang w:eastAsia="en-US"/>
              </w:rPr>
            </w:pPr>
            <w:r>
              <w:t>液压挖掘机</w:t>
            </w:r>
          </w:p>
        </w:tc>
        <w:tc>
          <w:tcPr>
            <w:tcW w:w="731" w:type="pct"/>
            <w:vAlign w:val="center"/>
          </w:tcPr>
          <w:p w14:paraId="285AF11D" w14:textId="77777777" w:rsidR="002E474C" w:rsidRDefault="00000000">
            <w:pPr>
              <w:pStyle w:val="A-"/>
              <w:rPr>
                <w:lang w:eastAsia="en-US"/>
              </w:rPr>
            </w:pPr>
            <w:r>
              <w:t>82</w:t>
            </w:r>
            <w:r>
              <w:t>～</w:t>
            </w:r>
            <w:r>
              <w:t>90</w:t>
            </w:r>
          </w:p>
        </w:tc>
        <w:tc>
          <w:tcPr>
            <w:tcW w:w="801" w:type="pct"/>
            <w:vAlign w:val="center"/>
          </w:tcPr>
          <w:p w14:paraId="43E0AD17" w14:textId="77777777" w:rsidR="002E474C" w:rsidRDefault="00000000">
            <w:pPr>
              <w:pStyle w:val="A-"/>
              <w:rPr>
                <w:lang w:eastAsia="en-US"/>
              </w:rPr>
            </w:pPr>
            <w:r>
              <w:t>78</w:t>
            </w:r>
            <w:r>
              <w:t>～</w:t>
            </w:r>
            <w:r>
              <w:t>86</w:t>
            </w:r>
          </w:p>
        </w:tc>
        <w:tc>
          <w:tcPr>
            <w:tcW w:w="1032" w:type="pct"/>
            <w:vAlign w:val="center"/>
          </w:tcPr>
          <w:p w14:paraId="1D5D371B" w14:textId="77777777" w:rsidR="002E474C" w:rsidRDefault="00000000">
            <w:pPr>
              <w:pStyle w:val="A-"/>
              <w:rPr>
                <w:lang w:eastAsia="en-US"/>
              </w:rPr>
            </w:pPr>
            <w:r>
              <w:t>振动夯锤</w:t>
            </w:r>
          </w:p>
        </w:tc>
        <w:tc>
          <w:tcPr>
            <w:tcW w:w="731" w:type="pct"/>
            <w:vAlign w:val="center"/>
          </w:tcPr>
          <w:p w14:paraId="1C17C1EE" w14:textId="77777777" w:rsidR="002E474C" w:rsidRDefault="00000000">
            <w:pPr>
              <w:pStyle w:val="A-"/>
              <w:rPr>
                <w:lang w:eastAsia="en-US"/>
              </w:rPr>
            </w:pPr>
            <w:r>
              <w:t>92</w:t>
            </w:r>
            <w:r>
              <w:t>～</w:t>
            </w:r>
            <w:r>
              <w:t>100</w:t>
            </w:r>
          </w:p>
        </w:tc>
        <w:tc>
          <w:tcPr>
            <w:tcW w:w="800" w:type="pct"/>
            <w:vAlign w:val="center"/>
          </w:tcPr>
          <w:p w14:paraId="56778700" w14:textId="77777777" w:rsidR="002E474C" w:rsidRDefault="00000000">
            <w:pPr>
              <w:pStyle w:val="A-"/>
              <w:rPr>
                <w:lang w:eastAsia="en-US"/>
              </w:rPr>
            </w:pPr>
            <w:r>
              <w:t>86</w:t>
            </w:r>
            <w:r>
              <w:t>～</w:t>
            </w:r>
            <w:r>
              <w:t>94</w:t>
            </w:r>
          </w:p>
        </w:tc>
      </w:tr>
      <w:tr w:rsidR="002E474C" w14:paraId="3EC61AD0" w14:textId="77777777">
        <w:trPr>
          <w:trHeight w:val="283"/>
          <w:jc w:val="center"/>
        </w:trPr>
        <w:tc>
          <w:tcPr>
            <w:tcW w:w="905" w:type="pct"/>
            <w:vAlign w:val="center"/>
          </w:tcPr>
          <w:p w14:paraId="32BFDBB6" w14:textId="77777777" w:rsidR="002E474C" w:rsidRDefault="00000000">
            <w:pPr>
              <w:pStyle w:val="A-"/>
              <w:rPr>
                <w:lang w:eastAsia="en-US"/>
              </w:rPr>
            </w:pPr>
            <w:r>
              <w:t>电动挖掘机</w:t>
            </w:r>
          </w:p>
        </w:tc>
        <w:tc>
          <w:tcPr>
            <w:tcW w:w="731" w:type="pct"/>
            <w:vAlign w:val="center"/>
          </w:tcPr>
          <w:p w14:paraId="055C92F0" w14:textId="77777777" w:rsidR="002E474C" w:rsidRDefault="00000000">
            <w:pPr>
              <w:pStyle w:val="A-"/>
              <w:rPr>
                <w:lang w:eastAsia="en-US"/>
              </w:rPr>
            </w:pPr>
            <w:r>
              <w:t>80</w:t>
            </w:r>
            <w:r>
              <w:t>～</w:t>
            </w:r>
            <w:r>
              <w:t>86</w:t>
            </w:r>
          </w:p>
        </w:tc>
        <w:tc>
          <w:tcPr>
            <w:tcW w:w="801" w:type="pct"/>
            <w:vAlign w:val="center"/>
          </w:tcPr>
          <w:p w14:paraId="4B7DAF0B" w14:textId="77777777" w:rsidR="002E474C" w:rsidRDefault="00000000">
            <w:pPr>
              <w:pStyle w:val="A-"/>
              <w:rPr>
                <w:lang w:eastAsia="en-US"/>
              </w:rPr>
            </w:pPr>
            <w:r>
              <w:t>75</w:t>
            </w:r>
            <w:r>
              <w:t>～</w:t>
            </w:r>
            <w:r>
              <w:t>83</w:t>
            </w:r>
          </w:p>
        </w:tc>
        <w:tc>
          <w:tcPr>
            <w:tcW w:w="1032" w:type="pct"/>
            <w:vAlign w:val="center"/>
          </w:tcPr>
          <w:p w14:paraId="2FB11921" w14:textId="77777777" w:rsidR="002E474C" w:rsidRDefault="00000000">
            <w:pPr>
              <w:pStyle w:val="A-"/>
              <w:rPr>
                <w:lang w:eastAsia="en-US"/>
              </w:rPr>
            </w:pPr>
            <w:r>
              <w:t>打桩机</w:t>
            </w:r>
          </w:p>
        </w:tc>
        <w:tc>
          <w:tcPr>
            <w:tcW w:w="731" w:type="pct"/>
            <w:vAlign w:val="center"/>
          </w:tcPr>
          <w:p w14:paraId="381DE28D" w14:textId="77777777" w:rsidR="002E474C" w:rsidRDefault="00000000">
            <w:pPr>
              <w:pStyle w:val="A-"/>
              <w:rPr>
                <w:lang w:eastAsia="en-US"/>
              </w:rPr>
            </w:pPr>
            <w:r>
              <w:t>100</w:t>
            </w:r>
            <w:r>
              <w:t>～</w:t>
            </w:r>
            <w:r>
              <w:t>110</w:t>
            </w:r>
          </w:p>
        </w:tc>
        <w:tc>
          <w:tcPr>
            <w:tcW w:w="800" w:type="pct"/>
            <w:vAlign w:val="center"/>
          </w:tcPr>
          <w:p w14:paraId="6D8913B6" w14:textId="77777777" w:rsidR="002E474C" w:rsidRDefault="00000000">
            <w:pPr>
              <w:pStyle w:val="A-"/>
              <w:rPr>
                <w:lang w:eastAsia="en-US"/>
              </w:rPr>
            </w:pPr>
            <w:r>
              <w:t>95</w:t>
            </w:r>
            <w:r>
              <w:t>～</w:t>
            </w:r>
            <w:r>
              <w:t>105</w:t>
            </w:r>
          </w:p>
        </w:tc>
      </w:tr>
      <w:tr w:rsidR="002E474C" w14:paraId="0A5AAB55" w14:textId="77777777">
        <w:trPr>
          <w:trHeight w:val="283"/>
          <w:jc w:val="center"/>
        </w:trPr>
        <w:tc>
          <w:tcPr>
            <w:tcW w:w="905" w:type="pct"/>
            <w:vAlign w:val="center"/>
          </w:tcPr>
          <w:p w14:paraId="50FF7467" w14:textId="77777777" w:rsidR="002E474C" w:rsidRDefault="00000000">
            <w:pPr>
              <w:pStyle w:val="A-"/>
              <w:rPr>
                <w:lang w:eastAsia="en-US"/>
              </w:rPr>
            </w:pPr>
            <w:r>
              <w:t>轮式装载机</w:t>
            </w:r>
          </w:p>
        </w:tc>
        <w:tc>
          <w:tcPr>
            <w:tcW w:w="731" w:type="pct"/>
            <w:vAlign w:val="center"/>
          </w:tcPr>
          <w:p w14:paraId="73218143" w14:textId="77777777" w:rsidR="002E474C" w:rsidRDefault="00000000">
            <w:pPr>
              <w:pStyle w:val="A-"/>
              <w:rPr>
                <w:lang w:eastAsia="en-US"/>
              </w:rPr>
            </w:pPr>
            <w:r>
              <w:t>90</w:t>
            </w:r>
            <w:r>
              <w:t>～</w:t>
            </w:r>
            <w:r>
              <w:t>95</w:t>
            </w:r>
          </w:p>
        </w:tc>
        <w:tc>
          <w:tcPr>
            <w:tcW w:w="801" w:type="pct"/>
            <w:vAlign w:val="center"/>
          </w:tcPr>
          <w:p w14:paraId="6768CC1E" w14:textId="77777777" w:rsidR="002E474C" w:rsidRDefault="00000000">
            <w:pPr>
              <w:pStyle w:val="A-"/>
              <w:rPr>
                <w:lang w:eastAsia="en-US"/>
              </w:rPr>
            </w:pPr>
            <w:r>
              <w:t>85</w:t>
            </w:r>
            <w:r>
              <w:t>～</w:t>
            </w:r>
            <w:r>
              <w:t>91</w:t>
            </w:r>
          </w:p>
        </w:tc>
        <w:tc>
          <w:tcPr>
            <w:tcW w:w="1032" w:type="pct"/>
            <w:vAlign w:val="center"/>
          </w:tcPr>
          <w:p w14:paraId="3A6B8094" w14:textId="77777777" w:rsidR="002E474C" w:rsidRDefault="00000000">
            <w:pPr>
              <w:pStyle w:val="A-"/>
              <w:rPr>
                <w:lang w:eastAsia="en-US"/>
              </w:rPr>
            </w:pPr>
            <w:r>
              <w:t>静力压桩机</w:t>
            </w:r>
          </w:p>
        </w:tc>
        <w:tc>
          <w:tcPr>
            <w:tcW w:w="731" w:type="pct"/>
            <w:vAlign w:val="center"/>
          </w:tcPr>
          <w:p w14:paraId="493073E6" w14:textId="77777777" w:rsidR="002E474C" w:rsidRDefault="00000000">
            <w:pPr>
              <w:pStyle w:val="A-"/>
              <w:rPr>
                <w:lang w:eastAsia="en-US"/>
              </w:rPr>
            </w:pPr>
            <w:r>
              <w:t>70</w:t>
            </w:r>
            <w:r>
              <w:t>～</w:t>
            </w:r>
            <w:r>
              <w:t>75</w:t>
            </w:r>
          </w:p>
        </w:tc>
        <w:tc>
          <w:tcPr>
            <w:tcW w:w="800" w:type="pct"/>
            <w:vAlign w:val="center"/>
          </w:tcPr>
          <w:p w14:paraId="62DB18FE" w14:textId="77777777" w:rsidR="002E474C" w:rsidRDefault="00000000">
            <w:pPr>
              <w:pStyle w:val="A-"/>
              <w:rPr>
                <w:lang w:eastAsia="en-US"/>
              </w:rPr>
            </w:pPr>
            <w:r>
              <w:t>68</w:t>
            </w:r>
            <w:r>
              <w:t>～</w:t>
            </w:r>
            <w:r>
              <w:t>73</w:t>
            </w:r>
          </w:p>
        </w:tc>
      </w:tr>
      <w:tr w:rsidR="002E474C" w14:paraId="6F6E8253" w14:textId="77777777">
        <w:trPr>
          <w:trHeight w:val="283"/>
          <w:jc w:val="center"/>
        </w:trPr>
        <w:tc>
          <w:tcPr>
            <w:tcW w:w="905" w:type="pct"/>
            <w:vAlign w:val="center"/>
          </w:tcPr>
          <w:p w14:paraId="536B944D" w14:textId="77777777" w:rsidR="002E474C" w:rsidRDefault="00000000">
            <w:pPr>
              <w:pStyle w:val="A-"/>
              <w:rPr>
                <w:lang w:eastAsia="en-US"/>
              </w:rPr>
            </w:pPr>
            <w:r>
              <w:t>推土机</w:t>
            </w:r>
          </w:p>
        </w:tc>
        <w:tc>
          <w:tcPr>
            <w:tcW w:w="731" w:type="pct"/>
            <w:vAlign w:val="center"/>
          </w:tcPr>
          <w:p w14:paraId="61251F31" w14:textId="77777777" w:rsidR="002E474C" w:rsidRDefault="00000000">
            <w:pPr>
              <w:pStyle w:val="A-"/>
              <w:rPr>
                <w:lang w:eastAsia="en-US"/>
              </w:rPr>
            </w:pPr>
            <w:r>
              <w:t>83</w:t>
            </w:r>
            <w:r>
              <w:t>～</w:t>
            </w:r>
            <w:r>
              <w:t>88</w:t>
            </w:r>
          </w:p>
        </w:tc>
        <w:tc>
          <w:tcPr>
            <w:tcW w:w="801" w:type="pct"/>
            <w:vAlign w:val="center"/>
          </w:tcPr>
          <w:p w14:paraId="682A971B" w14:textId="77777777" w:rsidR="002E474C" w:rsidRDefault="00000000">
            <w:pPr>
              <w:pStyle w:val="A-"/>
              <w:rPr>
                <w:lang w:eastAsia="en-US"/>
              </w:rPr>
            </w:pPr>
            <w:r>
              <w:t>80</w:t>
            </w:r>
            <w:r>
              <w:t>～</w:t>
            </w:r>
            <w:r>
              <w:t>85</w:t>
            </w:r>
          </w:p>
        </w:tc>
        <w:tc>
          <w:tcPr>
            <w:tcW w:w="1032" w:type="pct"/>
            <w:vAlign w:val="center"/>
          </w:tcPr>
          <w:p w14:paraId="44F3CDC3" w14:textId="77777777" w:rsidR="002E474C" w:rsidRDefault="00000000">
            <w:pPr>
              <w:pStyle w:val="A-"/>
              <w:rPr>
                <w:lang w:eastAsia="en-US"/>
              </w:rPr>
            </w:pPr>
            <w:r>
              <w:t>风镐</w:t>
            </w:r>
          </w:p>
        </w:tc>
        <w:tc>
          <w:tcPr>
            <w:tcW w:w="731" w:type="pct"/>
            <w:vAlign w:val="center"/>
          </w:tcPr>
          <w:p w14:paraId="58297B58" w14:textId="77777777" w:rsidR="002E474C" w:rsidRDefault="00000000">
            <w:pPr>
              <w:pStyle w:val="A-"/>
              <w:rPr>
                <w:lang w:eastAsia="en-US"/>
              </w:rPr>
            </w:pPr>
            <w:r>
              <w:t>88</w:t>
            </w:r>
            <w:r>
              <w:t>～</w:t>
            </w:r>
            <w:r>
              <w:t>92</w:t>
            </w:r>
          </w:p>
        </w:tc>
        <w:tc>
          <w:tcPr>
            <w:tcW w:w="800" w:type="pct"/>
            <w:vAlign w:val="center"/>
          </w:tcPr>
          <w:p w14:paraId="4A6DC013" w14:textId="77777777" w:rsidR="002E474C" w:rsidRDefault="00000000">
            <w:pPr>
              <w:pStyle w:val="A-"/>
              <w:rPr>
                <w:lang w:eastAsia="en-US"/>
              </w:rPr>
            </w:pPr>
            <w:r>
              <w:t>83</w:t>
            </w:r>
            <w:r>
              <w:t>～</w:t>
            </w:r>
            <w:r>
              <w:t>87</w:t>
            </w:r>
          </w:p>
        </w:tc>
      </w:tr>
      <w:tr w:rsidR="002E474C" w14:paraId="511EE9F6" w14:textId="77777777">
        <w:trPr>
          <w:trHeight w:val="283"/>
          <w:jc w:val="center"/>
        </w:trPr>
        <w:tc>
          <w:tcPr>
            <w:tcW w:w="905" w:type="pct"/>
            <w:vAlign w:val="center"/>
          </w:tcPr>
          <w:p w14:paraId="7D8A99CB" w14:textId="77777777" w:rsidR="002E474C" w:rsidRDefault="00000000">
            <w:pPr>
              <w:pStyle w:val="A-"/>
              <w:rPr>
                <w:lang w:eastAsia="en-US"/>
              </w:rPr>
            </w:pPr>
            <w:r>
              <w:t>移动式发电机</w:t>
            </w:r>
          </w:p>
        </w:tc>
        <w:tc>
          <w:tcPr>
            <w:tcW w:w="731" w:type="pct"/>
            <w:vAlign w:val="center"/>
          </w:tcPr>
          <w:p w14:paraId="493AF376" w14:textId="77777777" w:rsidR="002E474C" w:rsidRDefault="00000000">
            <w:pPr>
              <w:pStyle w:val="A-"/>
              <w:rPr>
                <w:lang w:eastAsia="en-US"/>
              </w:rPr>
            </w:pPr>
            <w:r>
              <w:t>95</w:t>
            </w:r>
            <w:r>
              <w:t>～</w:t>
            </w:r>
            <w:r>
              <w:t>102</w:t>
            </w:r>
          </w:p>
        </w:tc>
        <w:tc>
          <w:tcPr>
            <w:tcW w:w="801" w:type="pct"/>
            <w:vAlign w:val="center"/>
          </w:tcPr>
          <w:p w14:paraId="759AD34D" w14:textId="77777777" w:rsidR="002E474C" w:rsidRDefault="00000000">
            <w:pPr>
              <w:pStyle w:val="A-"/>
              <w:rPr>
                <w:lang w:eastAsia="en-US"/>
              </w:rPr>
            </w:pPr>
            <w:r>
              <w:t>90</w:t>
            </w:r>
            <w:r>
              <w:t>～</w:t>
            </w:r>
            <w:r>
              <w:t>98</w:t>
            </w:r>
          </w:p>
        </w:tc>
        <w:tc>
          <w:tcPr>
            <w:tcW w:w="1032" w:type="pct"/>
            <w:vAlign w:val="center"/>
          </w:tcPr>
          <w:p w14:paraId="4FA91E38" w14:textId="77777777" w:rsidR="002E474C" w:rsidRDefault="00000000">
            <w:pPr>
              <w:pStyle w:val="A-"/>
              <w:rPr>
                <w:lang w:eastAsia="en-US"/>
              </w:rPr>
            </w:pPr>
            <w:r>
              <w:t>混凝土输送泵</w:t>
            </w:r>
          </w:p>
        </w:tc>
        <w:tc>
          <w:tcPr>
            <w:tcW w:w="731" w:type="pct"/>
            <w:vAlign w:val="center"/>
          </w:tcPr>
          <w:p w14:paraId="25F91DE4" w14:textId="77777777" w:rsidR="002E474C" w:rsidRDefault="00000000">
            <w:pPr>
              <w:pStyle w:val="A-"/>
              <w:rPr>
                <w:lang w:eastAsia="en-US"/>
              </w:rPr>
            </w:pPr>
            <w:r>
              <w:t>88</w:t>
            </w:r>
            <w:r>
              <w:t>～</w:t>
            </w:r>
            <w:r>
              <w:t>95</w:t>
            </w:r>
          </w:p>
        </w:tc>
        <w:tc>
          <w:tcPr>
            <w:tcW w:w="800" w:type="pct"/>
            <w:vAlign w:val="center"/>
          </w:tcPr>
          <w:p w14:paraId="60FC7B9C" w14:textId="77777777" w:rsidR="002E474C" w:rsidRDefault="00000000">
            <w:pPr>
              <w:pStyle w:val="A-"/>
              <w:rPr>
                <w:lang w:eastAsia="en-US"/>
              </w:rPr>
            </w:pPr>
            <w:r>
              <w:t>84</w:t>
            </w:r>
            <w:r>
              <w:t>～</w:t>
            </w:r>
            <w:r>
              <w:t>90</w:t>
            </w:r>
          </w:p>
        </w:tc>
      </w:tr>
      <w:tr w:rsidR="002E474C" w14:paraId="0A66CFB2" w14:textId="77777777">
        <w:trPr>
          <w:trHeight w:val="283"/>
          <w:jc w:val="center"/>
        </w:trPr>
        <w:tc>
          <w:tcPr>
            <w:tcW w:w="905" w:type="pct"/>
            <w:vAlign w:val="center"/>
          </w:tcPr>
          <w:p w14:paraId="2A02577D" w14:textId="77777777" w:rsidR="002E474C" w:rsidRDefault="00000000">
            <w:pPr>
              <w:pStyle w:val="A-"/>
              <w:rPr>
                <w:lang w:eastAsia="en-US"/>
              </w:rPr>
            </w:pPr>
            <w:r>
              <w:t>各类压路机</w:t>
            </w:r>
          </w:p>
        </w:tc>
        <w:tc>
          <w:tcPr>
            <w:tcW w:w="731" w:type="pct"/>
            <w:vAlign w:val="center"/>
          </w:tcPr>
          <w:p w14:paraId="36E31713" w14:textId="77777777" w:rsidR="002E474C" w:rsidRDefault="00000000">
            <w:pPr>
              <w:pStyle w:val="A-"/>
              <w:rPr>
                <w:lang w:eastAsia="en-US"/>
              </w:rPr>
            </w:pPr>
            <w:r>
              <w:t>80</w:t>
            </w:r>
            <w:r>
              <w:t>～</w:t>
            </w:r>
            <w:r>
              <w:t>90</w:t>
            </w:r>
          </w:p>
        </w:tc>
        <w:tc>
          <w:tcPr>
            <w:tcW w:w="801" w:type="pct"/>
            <w:vAlign w:val="center"/>
          </w:tcPr>
          <w:p w14:paraId="40F90460" w14:textId="77777777" w:rsidR="002E474C" w:rsidRDefault="00000000">
            <w:pPr>
              <w:pStyle w:val="A-"/>
              <w:rPr>
                <w:lang w:eastAsia="en-US"/>
              </w:rPr>
            </w:pPr>
            <w:r>
              <w:t>76</w:t>
            </w:r>
            <w:r>
              <w:t>～</w:t>
            </w:r>
            <w:r>
              <w:t>86</w:t>
            </w:r>
          </w:p>
        </w:tc>
        <w:tc>
          <w:tcPr>
            <w:tcW w:w="1032" w:type="pct"/>
            <w:vAlign w:val="center"/>
          </w:tcPr>
          <w:p w14:paraId="2C29B3DD" w14:textId="77777777" w:rsidR="002E474C" w:rsidRDefault="00000000">
            <w:pPr>
              <w:pStyle w:val="A-"/>
              <w:rPr>
                <w:lang w:eastAsia="en-US"/>
              </w:rPr>
            </w:pPr>
            <w:r>
              <w:t>商砼搅拌车</w:t>
            </w:r>
          </w:p>
        </w:tc>
        <w:tc>
          <w:tcPr>
            <w:tcW w:w="731" w:type="pct"/>
            <w:vAlign w:val="center"/>
          </w:tcPr>
          <w:p w14:paraId="56E5E8B8" w14:textId="77777777" w:rsidR="002E474C" w:rsidRDefault="00000000">
            <w:pPr>
              <w:pStyle w:val="A-"/>
              <w:rPr>
                <w:lang w:eastAsia="en-US"/>
              </w:rPr>
            </w:pPr>
            <w:r>
              <w:t>85</w:t>
            </w:r>
            <w:r>
              <w:t>～</w:t>
            </w:r>
            <w:r>
              <w:t>90</w:t>
            </w:r>
          </w:p>
        </w:tc>
        <w:tc>
          <w:tcPr>
            <w:tcW w:w="800" w:type="pct"/>
            <w:vAlign w:val="center"/>
          </w:tcPr>
          <w:p w14:paraId="4D1DC6F7" w14:textId="77777777" w:rsidR="002E474C" w:rsidRDefault="00000000">
            <w:pPr>
              <w:pStyle w:val="A-"/>
              <w:rPr>
                <w:lang w:eastAsia="en-US"/>
              </w:rPr>
            </w:pPr>
            <w:r>
              <w:t>82</w:t>
            </w:r>
            <w:r>
              <w:t>～</w:t>
            </w:r>
            <w:r>
              <w:t>84</w:t>
            </w:r>
          </w:p>
        </w:tc>
      </w:tr>
      <w:tr w:rsidR="002E474C" w14:paraId="388F1527" w14:textId="77777777">
        <w:trPr>
          <w:trHeight w:val="283"/>
          <w:jc w:val="center"/>
        </w:trPr>
        <w:tc>
          <w:tcPr>
            <w:tcW w:w="905" w:type="pct"/>
            <w:vAlign w:val="center"/>
          </w:tcPr>
          <w:p w14:paraId="253A8A9A" w14:textId="77777777" w:rsidR="002E474C" w:rsidRDefault="00000000">
            <w:pPr>
              <w:pStyle w:val="A-"/>
              <w:rPr>
                <w:lang w:eastAsia="en-US"/>
              </w:rPr>
            </w:pPr>
            <w:r>
              <w:t>重型运输车</w:t>
            </w:r>
          </w:p>
        </w:tc>
        <w:tc>
          <w:tcPr>
            <w:tcW w:w="731" w:type="pct"/>
            <w:vAlign w:val="center"/>
          </w:tcPr>
          <w:p w14:paraId="51E3EC7E" w14:textId="77777777" w:rsidR="002E474C" w:rsidRDefault="00000000">
            <w:pPr>
              <w:pStyle w:val="A-"/>
              <w:rPr>
                <w:lang w:eastAsia="en-US"/>
              </w:rPr>
            </w:pPr>
            <w:r>
              <w:t>82</w:t>
            </w:r>
            <w:r>
              <w:t>～</w:t>
            </w:r>
            <w:r>
              <w:t>90</w:t>
            </w:r>
          </w:p>
        </w:tc>
        <w:tc>
          <w:tcPr>
            <w:tcW w:w="801" w:type="pct"/>
            <w:vAlign w:val="center"/>
          </w:tcPr>
          <w:p w14:paraId="2FF4809B" w14:textId="77777777" w:rsidR="002E474C" w:rsidRDefault="00000000">
            <w:pPr>
              <w:pStyle w:val="A-"/>
              <w:rPr>
                <w:lang w:eastAsia="en-US"/>
              </w:rPr>
            </w:pPr>
            <w:r>
              <w:t>78</w:t>
            </w:r>
            <w:r>
              <w:t>～</w:t>
            </w:r>
            <w:r>
              <w:t>86</w:t>
            </w:r>
          </w:p>
        </w:tc>
        <w:tc>
          <w:tcPr>
            <w:tcW w:w="1032" w:type="pct"/>
            <w:vAlign w:val="center"/>
          </w:tcPr>
          <w:p w14:paraId="51F68430" w14:textId="77777777" w:rsidR="002E474C" w:rsidRDefault="00000000">
            <w:pPr>
              <w:pStyle w:val="A-"/>
              <w:rPr>
                <w:lang w:eastAsia="en-US"/>
              </w:rPr>
            </w:pPr>
            <w:r>
              <w:t>混凝土震捣器</w:t>
            </w:r>
          </w:p>
        </w:tc>
        <w:tc>
          <w:tcPr>
            <w:tcW w:w="731" w:type="pct"/>
            <w:vAlign w:val="center"/>
          </w:tcPr>
          <w:p w14:paraId="793A0305" w14:textId="77777777" w:rsidR="002E474C" w:rsidRDefault="00000000">
            <w:pPr>
              <w:pStyle w:val="A-"/>
              <w:rPr>
                <w:lang w:eastAsia="en-US"/>
              </w:rPr>
            </w:pPr>
            <w:r>
              <w:t>80</w:t>
            </w:r>
            <w:r>
              <w:t>～</w:t>
            </w:r>
            <w:r>
              <w:t>88</w:t>
            </w:r>
          </w:p>
        </w:tc>
        <w:tc>
          <w:tcPr>
            <w:tcW w:w="800" w:type="pct"/>
            <w:vAlign w:val="center"/>
          </w:tcPr>
          <w:p w14:paraId="4192D200" w14:textId="77777777" w:rsidR="002E474C" w:rsidRDefault="00000000">
            <w:pPr>
              <w:pStyle w:val="A-"/>
              <w:rPr>
                <w:lang w:eastAsia="en-US"/>
              </w:rPr>
            </w:pPr>
            <w:r>
              <w:t>75</w:t>
            </w:r>
            <w:r>
              <w:t>～</w:t>
            </w:r>
            <w:r>
              <w:t>84</w:t>
            </w:r>
          </w:p>
        </w:tc>
      </w:tr>
      <w:tr w:rsidR="002E474C" w14:paraId="0C3D121E" w14:textId="77777777">
        <w:trPr>
          <w:trHeight w:val="283"/>
          <w:jc w:val="center"/>
        </w:trPr>
        <w:tc>
          <w:tcPr>
            <w:tcW w:w="905" w:type="pct"/>
            <w:vAlign w:val="center"/>
          </w:tcPr>
          <w:p w14:paraId="642B5A20" w14:textId="77777777" w:rsidR="002E474C" w:rsidRDefault="00000000">
            <w:pPr>
              <w:pStyle w:val="A-"/>
              <w:rPr>
                <w:lang w:eastAsia="en-US"/>
              </w:rPr>
            </w:pPr>
            <w:r>
              <w:t>木工电锯</w:t>
            </w:r>
          </w:p>
        </w:tc>
        <w:tc>
          <w:tcPr>
            <w:tcW w:w="731" w:type="pct"/>
            <w:vAlign w:val="center"/>
          </w:tcPr>
          <w:p w14:paraId="6E2D591C" w14:textId="77777777" w:rsidR="002E474C" w:rsidRDefault="00000000">
            <w:pPr>
              <w:pStyle w:val="A-"/>
              <w:rPr>
                <w:lang w:eastAsia="en-US"/>
              </w:rPr>
            </w:pPr>
            <w:r>
              <w:t>93</w:t>
            </w:r>
            <w:r>
              <w:t>～</w:t>
            </w:r>
            <w:r>
              <w:t>99</w:t>
            </w:r>
          </w:p>
        </w:tc>
        <w:tc>
          <w:tcPr>
            <w:tcW w:w="801" w:type="pct"/>
            <w:vAlign w:val="center"/>
          </w:tcPr>
          <w:p w14:paraId="5CC07F0E" w14:textId="77777777" w:rsidR="002E474C" w:rsidRDefault="00000000">
            <w:pPr>
              <w:pStyle w:val="A-"/>
              <w:rPr>
                <w:lang w:eastAsia="en-US"/>
              </w:rPr>
            </w:pPr>
            <w:r>
              <w:t>90</w:t>
            </w:r>
            <w:r>
              <w:t>～</w:t>
            </w:r>
            <w:r>
              <w:t>95</w:t>
            </w:r>
          </w:p>
        </w:tc>
        <w:tc>
          <w:tcPr>
            <w:tcW w:w="1032" w:type="pct"/>
            <w:vAlign w:val="center"/>
          </w:tcPr>
          <w:p w14:paraId="5FD72DE7" w14:textId="77777777" w:rsidR="002E474C" w:rsidRDefault="00000000">
            <w:pPr>
              <w:pStyle w:val="A-"/>
              <w:rPr>
                <w:lang w:eastAsia="en-US"/>
              </w:rPr>
            </w:pPr>
            <w:r>
              <w:t>云石机、角磨机</w:t>
            </w:r>
          </w:p>
        </w:tc>
        <w:tc>
          <w:tcPr>
            <w:tcW w:w="731" w:type="pct"/>
            <w:vAlign w:val="center"/>
          </w:tcPr>
          <w:p w14:paraId="5D08CD62" w14:textId="77777777" w:rsidR="002E474C" w:rsidRDefault="00000000">
            <w:pPr>
              <w:pStyle w:val="A-"/>
              <w:rPr>
                <w:lang w:eastAsia="en-US"/>
              </w:rPr>
            </w:pPr>
            <w:r>
              <w:t>90</w:t>
            </w:r>
            <w:r>
              <w:t>～</w:t>
            </w:r>
            <w:r>
              <w:t>96</w:t>
            </w:r>
          </w:p>
        </w:tc>
        <w:tc>
          <w:tcPr>
            <w:tcW w:w="800" w:type="pct"/>
            <w:vAlign w:val="center"/>
          </w:tcPr>
          <w:p w14:paraId="35BC19F8" w14:textId="77777777" w:rsidR="002E474C" w:rsidRDefault="00000000">
            <w:pPr>
              <w:pStyle w:val="A-"/>
              <w:rPr>
                <w:lang w:eastAsia="en-US"/>
              </w:rPr>
            </w:pPr>
            <w:r>
              <w:t>84</w:t>
            </w:r>
            <w:r>
              <w:t>～</w:t>
            </w:r>
            <w:r>
              <w:t>90</w:t>
            </w:r>
          </w:p>
        </w:tc>
      </w:tr>
      <w:tr w:rsidR="002E474C" w14:paraId="45928229" w14:textId="77777777">
        <w:trPr>
          <w:trHeight w:val="283"/>
          <w:jc w:val="center"/>
        </w:trPr>
        <w:tc>
          <w:tcPr>
            <w:tcW w:w="905" w:type="pct"/>
            <w:vAlign w:val="center"/>
          </w:tcPr>
          <w:p w14:paraId="1DECC644" w14:textId="77777777" w:rsidR="002E474C" w:rsidRDefault="00000000">
            <w:pPr>
              <w:pStyle w:val="A-"/>
              <w:rPr>
                <w:lang w:eastAsia="en-US"/>
              </w:rPr>
            </w:pPr>
            <w:r>
              <w:t>电锤</w:t>
            </w:r>
          </w:p>
        </w:tc>
        <w:tc>
          <w:tcPr>
            <w:tcW w:w="731" w:type="pct"/>
            <w:vAlign w:val="center"/>
          </w:tcPr>
          <w:p w14:paraId="1F7EEF7A" w14:textId="77777777" w:rsidR="002E474C" w:rsidRDefault="00000000">
            <w:pPr>
              <w:pStyle w:val="A-"/>
              <w:rPr>
                <w:lang w:eastAsia="en-US"/>
              </w:rPr>
            </w:pPr>
            <w:r>
              <w:t>100</w:t>
            </w:r>
            <w:r>
              <w:t>～</w:t>
            </w:r>
            <w:r>
              <w:t>105</w:t>
            </w:r>
          </w:p>
        </w:tc>
        <w:tc>
          <w:tcPr>
            <w:tcW w:w="801" w:type="pct"/>
            <w:vAlign w:val="center"/>
          </w:tcPr>
          <w:p w14:paraId="63B5EDD1" w14:textId="77777777" w:rsidR="002E474C" w:rsidRDefault="00000000">
            <w:pPr>
              <w:pStyle w:val="A-"/>
              <w:rPr>
                <w:lang w:eastAsia="en-US"/>
              </w:rPr>
            </w:pPr>
            <w:r>
              <w:t>95</w:t>
            </w:r>
            <w:r>
              <w:t>～</w:t>
            </w:r>
            <w:r>
              <w:t>99</w:t>
            </w:r>
          </w:p>
        </w:tc>
        <w:tc>
          <w:tcPr>
            <w:tcW w:w="1032" w:type="pct"/>
            <w:vAlign w:val="center"/>
          </w:tcPr>
          <w:p w14:paraId="5571443D" w14:textId="77777777" w:rsidR="002E474C" w:rsidRDefault="00000000">
            <w:pPr>
              <w:pStyle w:val="A-"/>
              <w:rPr>
                <w:lang w:eastAsia="en-US"/>
              </w:rPr>
            </w:pPr>
            <w:r>
              <w:t>空压机</w:t>
            </w:r>
          </w:p>
        </w:tc>
        <w:tc>
          <w:tcPr>
            <w:tcW w:w="731" w:type="pct"/>
            <w:vAlign w:val="center"/>
          </w:tcPr>
          <w:p w14:paraId="7553C5C7" w14:textId="77777777" w:rsidR="002E474C" w:rsidRDefault="00000000">
            <w:pPr>
              <w:pStyle w:val="A-"/>
              <w:rPr>
                <w:lang w:eastAsia="en-US"/>
              </w:rPr>
            </w:pPr>
            <w:r>
              <w:t>88</w:t>
            </w:r>
            <w:r>
              <w:t>～</w:t>
            </w:r>
            <w:r>
              <w:t>92</w:t>
            </w:r>
          </w:p>
        </w:tc>
        <w:tc>
          <w:tcPr>
            <w:tcW w:w="800" w:type="pct"/>
            <w:vAlign w:val="center"/>
          </w:tcPr>
          <w:p w14:paraId="29D75988" w14:textId="77777777" w:rsidR="002E474C" w:rsidRDefault="00000000">
            <w:pPr>
              <w:pStyle w:val="A-"/>
              <w:rPr>
                <w:lang w:eastAsia="en-US"/>
              </w:rPr>
            </w:pPr>
            <w:r>
              <w:t>83</w:t>
            </w:r>
            <w:r>
              <w:t>～</w:t>
            </w:r>
            <w:r>
              <w:t>88</w:t>
            </w:r>
          </w:p>
        </w:tc>
      </w:tr>
    </w:tbl>
    <w:p w14:paraId="20982AE0" w14:textId="77777777" w:rsidR="002E474C" w:rsidRDefault="002E474C">
      <w:pPr>
        <w:pStyle w:val="w3"/>
      </w:pPr>
    </w:p>
    <w:p w14:paraId="08B18DE6" w14:textId="77777777" w:rsidR="002E474C" w:rsidRDefault="00000000">
      <w:pPr>
        <w:pStyle w:val="41"/>
        <w:rPr>
          <w:color w:val="auto"/>
        </w:rPr>
      </w:pPr>
      <w:r>
        <w:rPr>
          <w:color w:val="auto"/>
        </w:rPr>
        <w:t>声环境影响预测</w:t>
      </w:r>
    </w:p>
    <w:p w14:paraId="1E9D5EB6" w14:textId="77777777" w:rsidR="002E474C" w:rsidRDefault="00000000">
      <w:pPr>
        <w:pStyle w:val="A-z"/>
        <w:rPr>
          <w:color w:val="auto"/>
        </w:rPr>
      </w:pPr>
      <w:r>
        <w:rPr>
          <w:color w:val="auto"/>
        </w:rPr>
        <w:t>（</w:t>
      </w:r>
      <w:r>
        <w:rPr>
          <w:color w:val="auto"/>
        </w:rPr>
        <w:t>1</w:t>
      </w:r>
      <w:r>
        <w:rPr>
          <w:color w:val="auto"/>
        </w:rPr>
        <w:t>）预测模式</w:t>
      </w:r>
    </w:p>
    <w:p w14:paraId="164741C3" w14:textId="77777777" w:rsidR="002E474C" w:rsidRDefault="00000000">
      <w:pPr>
        <w:pStyle w:val="A-z"/>
        <w:rPr>
          <w:color w:val="auto"/>
        </w:rPr>
      </w:pPr>
      <w:r>
        <w:rPr>
          <w:color w:val="auto"/>
        </w:rPr>
        <w:t>项目在建设期的施工噪声影响范围，采用距离衰减模式来预测，其传播衰减模式为：</w:t>
      </w:r>
    </w:p>
    <w:p w14:paraId="46B2A0EB" w14:textId="77777777" w:rsidR="002E474C" w:rsidRDefault="00000000">
      <w:pPr>
        <w:pStyle w:val="A-z"/>
        <w:ind w:firstLine="458"/>
        <w:jc w:val="center"/>
        <w:rPr>
          <w:color w:val="auto"/>
          <w:szCs w:val="24"/>
          <w:lang w:val="en-US"/>
        </w:rPr>
      </w:pPr>
      <w:r>
        <w:rPr>
          <w:i/>
          <w:color w:val="auto"/>
          <w:w w:val="96"/>
          <w:szCs w:val="24"/>
          <w:lang w:val="en-US"/>
        </w:rPr>
        <w:t>L</w:t>
      </w:r>
      <w:r>
        <w:rPr>
          <w:i/>
          <w:color w:val="auto"/>
          <w:w w:val="98"/>
          <w:position w:val="-3"/>
          <w:szCs w:val="24"/>
          <w:lang w:val="en-US"/>
        </w:rPr>
        <w:t>p</w:t>
      </w:r>
      <w:r>
        <w:rPr>
          <w:i/>
          <w:color w:val="auto"/>
          <w:spacing w:val="13"/>
          <w:position w:val="-3"/>
          <w:szCs w:val="24"/>
          <w:lang w:val="en-US"/>
        </w:rPr>
        <w:t xml:space="preserve"> </w:t>
      </w:r>
      <w:r>
        <w:rPr>
          <w:color w:val="auto"/>
          <w:spacing w:val="14"/>
          <w:w w:val="72"/>
          <w:szCs w:val="24"/>
          <w:lang w:val="en-US"/>
        </w:rPr>
        <w:t>(</w:t>
      </w:r>
      <w:r>
        <w:rPr>
          <w:i/>
          <w:color w:val="auto"/>
          <w:w w:val="96"/>
          <w:szCs w:val="24"/>
          <w:lang w:val="en-US"/>
        </w:rPr>
        <w:t>r</w:t>
      </w:r>
      <w:r>
        <w:rPr>
          <w:i/>
          <w:color w:val="auto"/>
          <w:spacing w:val="-38"/>
          <w:szCs w:val="24"/>
          <w:lang w:val="en-US"/>
        </w:rPr>
        <w:t xml:space="preserve"> </w:t>
      </w:r>
      <w:r>
        <w:rPr>
          <w:color w:val="auto"/>
          <w:w w:val="72"/>
          <w:szCs w:val="24"/>
          <w:lang w:val="en-US"/>
        </w:rPr>
        <w:t>)</w:t>
      </w:r>
      <w:r>
        <w:rPr>
          <w:color w:val="auto"/>
          <w:spacing w:val="-31"/>
          <w:szCs w:val="24"/>
          <w:lang w:val="en-US"/>
        </w:rPr>
        <w:t xml:space="preserve"> </w:t>
      </w:r>
      <w:r>
        <w:rPr>
          <w:color w:val="auto"/>
          <w:w w:val="96"/>
          <w:szCs w:val="24"/>
          <w:lang w:val="en-US"/>
        </w:rPr>
        <w:t>=</w:t>
      </w:r>
      <w:r>
        <w:rPr>
          <w:color w:val="auto"/>
          <w:spacing w:val="-8"/>
          <w:szCs w:val="24"/>
          <w:lang w:val="en-US"/>
        </w:rPr>
        <w:t xml:space="preserve"> </w:t>
      </w:r>
      <w:r>
        <w:rPr>
          <w:i/>
          <w:color w:val="auto"/>
          <w:w w:val="96"/>
          <w:szCs w:val="24"/>
          <w:lang w:val="en-US"/>
        </w:rPr>
        <w:t>L</w:t>
      </w:r>
      <w:r>
        <w:rPr>
          <w:i/>
          <w:color w:val="auto"/>
          <w:w w:val="98"/>
          <w:position w:val="-3"/>
          <w:szCs w:val="24"/>
          <w:vertAlign w:val="subscript"/>
          <w:lang w:val="en-US"/>
        </w:rPr>
        <w:t>p</w:t>
      </w:r>
      <w:r>
        <w:rPr>
          <w:i/>
          <w:color w:val="auto"/>
          <w:spacing w:val="13"/>
          <w:position w:val="-3"/>
          <w:szCs w:val="24"/>
          <w:lang w:val="en-US"/>
        </w:rPr>
        <w:t xml:space="preserve"> </w:t>
      </w:r>
      <w:r>
        <w:rPr>
          <w:color w:val="auto"/>
          <w:spacing w:val="12"/>
          <w:w w:val="73"/>
          <w:szCs w:val="24"/>
          <w:lang w:val="en-US"/>
        </w:rPr>
        <w:t>(</w:t>
      </w:r>
      <w:r>
        <w:rPr>
          <w:i/>
          <w:color w:val="auto"/>
          <w:spacing w:val="-26"/>
          <w:w w:val="96"/>
          <w:szCs w:val="24"/>
          <w:lang w:val="en-US"/>
        </w:rPr>
        <w:t>r</w:t>
      </w:r>
      <w:r>
        <w:rPr>
          <w:color w:val="auto"/>
          <w:w w:val="98"/>
          <w:position w:val="-3"/>
          <w:szCs w:val="24"/>
          <w:vertAlign w:val="subscript"/>
          <w:lang w:val="en-US"/>
        </w:rPr>
        <w:t>0</w:t>
      </w:r>
      <w:r>
        <w:rPr>
          <w:color w:val="auto"/>
          <w:spacing w:val="1"/>
          <w:position w:val="-3"/>
          <w:szCs w:val="24"/>
          <w:lang w:val="en-US"/>
        </w:rPr>
        <w:t xml:space="preserve"> </w:t>
      </w:r>
      <w:r>
        <w:rPr>
          <w:color w:val="auto"/>
          <w:w w:val="73"/>
          <w:szCs w:val="24"/>
          <w:lang w:val="en-US"/>
        </w:rPr>
        <w:t>)</w:t>
      </w:r>
      <w:r>
        <w:rPr>
          <w:color w:val="auto"/>
          <w:spacing w:val="-39"/>
          <w:szCs w:val="24"/>
          <w:lang w:val="en-US"/>
        </w:rPr>
        <w:t xml:space="preserve"> </w:t>
      </w:r>
      <w:r>
        <w:rPr>
          <w:color w:val="auto"/>
          <w:w w:val="96"/>
          <w:szCs w:val="24"/>
          <w:lang w:val="en-US"/>
        </w:rPr>
        <w:t>-</w:t>
      </w:r>
      <w:r>
        <w:rPr>
          <w:color w:val="auto"/>
          <w:spacing w:val="-21"/>
          <w:szCs w:val="24"/>
          <w:lang w:val="en-US"/>
        </w:rPr>
        <w:t xml:space="preserve"> </w:t>
      </w:r>
      <w:r>
        <w:rPr>
          <w:color w:val="auto"/>
          <w:spacing w:val="-6"/>
          <w:w w:val="96"/>
          <w:szCs w:val="24"/>
          <w:lang w:val="en-US"/>
        </w:rPr>
        <w:t>2</w:t>
      </w:r>
      <w:r>
        <w:rPr>
          <w:color w:val="auto"/>
          <w:spacing w:val="15"/>
          <w:w w:val="96"/>
          <w:szCs w:val="24"/>
          <w:lang w:val="en-US"/>
        </w:rPr>
        <w:t>0</w:t>
      </w:r>
      <w:r>
        <w:rPr>
          <w:color w:val="auto"/>
          <w:spacing w:val="-6"/>
          <w:w w:val="96"/>
          <w:szCs w:val="24"/>
          <w:lang w:val="en-US"/>
        </w:rPr>
        <w:t>l</w:t>
      </w:r>
      <w:r>
        <w:rPr>
          <w:color w:val="auto"/>
          <w:spacing w:val="19"/>
          <w:w w:val="96"/>
          <w:szCs w:val="24"/>
          <w:lang w:val="en-US"/>
        </w:rPr>
        <w:t>g</w:t>
      </w:r>
      <w:r>
        <w:rPr>
          <w:color w:val="auto"/>
          <w:spacing w:val="12"/>
          <w:w w:val="73"/>
          <w:szCs w:val="24"/>
          <w:lang w:val="en-US"/>
        </w:rPr>
        <w:t>(</w:t>
      </w:r>
      <w:r>
        <w:rPr>
          <w:i/>
          <w:color w:val="auto"/>
          <w:w w:val="96"/>
          <w:szCs w:val="24"/>
          <w:lang w:val="en-US"/>
        </w:rPr>
        <w:t>r/</w:t>
      </w:r>
      <w:r>
        <w:rPr>
          <w:i/>
          <w:color w:val="auto"/>
          <w:spacing w:val="-26"/>
          <w:w w:val="96"/>
          <w:szCs w:val="24"/>
          <w:lang w:val="en-US"/>
        </w:rPr>
        <w:t>r</w:t>
      </w:r>
      <w:r>
        <w:rPr>
          <w:color w:val="auto"/>
          <w:w w:val="98"/>
          <w:position w:val="-3"/>
          <w:szCs w:val="24"/>
          <w:vertAlign w:val="subscript"/>
          <w:lang w:val="en-US"/>
        </w:rPr>
        <w:t>0</w:t>
      </w:r>
      <w:r>
        <w:rPr>
          <w:color w:val="auto"/>
          <w:spacing w:val="1"/>
          <w:position w:val="-3"/>
          <w:szCs w:val="24"/>
          <w:lang w:val="en-US"/>
        </w:rPr>
        <w:t xml:space="preserve"> </w:t>
      </w:r>
      <w:r>
        <w:rPr>
          <w:color w:val="auto"/>
          <w:w w:val="73"/>
          <w:szCs w:val="24"/>
          <w:lang w:val="en-US"/>
        </w:rPr>
        <w:t>)</w:t>
      </w:r>
    </w:p>
    <w:p w14:paraId="4DD4315C" w14:textId="77777777" w:rsidR="002E474C" w:rsidRDefault="00000000">
      <w:pPr>
        <w:pStyle w:val="A-z"/>
        <w:rPr>
          <w:color w:val="auto"/>
        </w:rPr>
      </w:pPr>
      <w:r>
        <w:rPr>
          <w:color w:val="auto"/>
        </w:rPr>
        <w:t>式中：</w:t>
      </w:r>
      <w:r>
        <w:rPr>
          <w:color w:val="auto"/>
        </w:rPr>
        <w:t>L</w:t>
      </w:r>
      <w:r>
        <w:rPr>
          <w:color w:val="auto"/>
          <w:vertAlign w:val="subscript"/>
        </w:rPr>
        <w:t>p</w:t>
      </w:r>
      <w:r>
        <w:rPr>
          <w:color w:val="auto"/>
        </w:rPr>
        <w:t>(r) ——</w:t>
      </w:r>
      <w:r>
        <w:rPr>
          <w:color w:val="auto"/>
        </w:rPr>
        <w:t>预测点处声压级，</w:t>
      </w:r>
      <w:r>
        <w:rPr>
          <w:color w:val="auto"/>
        </w:rPr>
        <w:t>dB</w:t>
      </w:r>
      <w:r>
        <w:rPr>
          <w:color w:val="auto"/>
        </w:rPr>
        <w:t>；</w:t>
      </w:r>
    </w:p>
    <w:p w14:paraId="60767607" w14:textId="77777777" w:rsidR="002E474C" w:rsidRDefault="00000000">
      <w:pPr>
        <w:pStyle w:val="A-z"/>
        <w:ind w:firstLineChars="500" w:firstLine="1200"/>
        <w:rPr>
          <w:color w:val="auto"/>
        </w:rPr>
      </w:pPr>
      <w:r>
        <w:rPr>
          <w:color w:val="auto"/>
        </w:rPr>
        <w:t>L</w:t>
      </w:r>
      <w:r>
        <w:rPr>
          <w:color w:val="auto"/>
          <w:vertAlign w:val="subscript"/>
        </w:rPr>
        <w:t>p</w:t>
      </w:r>
      <w:r>
        <w:rPr>
          <w:color w:val="auto"/>
        </w:rPr>
        <w:t>(r</w:t>
      </w:r>
      <w:r>
        <w:rPr>
          <w:color w:val="auto"/>
          <w:vertAlign w:val="subscript"/>
        </w:rPr>
        <w:t>0</w:t>
      </w:r>
      <w:r>
        <w:rPr>
          <w:color w:val="auto"/>
        </w:rPr>
        <w:t>) ——</w:t>
      </w:r>
      <w:r>
        <w:rPr>
          <w:color w:val="auto"/>
        </w:rPr>
        <w:t>参考位置</w:t>
      </w:r>
      <w:r>
        <w:rPr>
          <w:color w:val="auto"/>
        </w:rPr>
        <w:t>r</w:t>
      </w:r>
      <w:r>
        <w:rPr>
          <w:color w:val="auto"/>
          <w:vertAlign w:val="subscript"/>
        </w:rPr>
        <w:t>0</w:t>
      </w:r>
      <w:r>
        <w:rPr>
          <w:color w:val="auto"/>
        </w:rPr>
        <w:t>处的声压级，</w:t>
      </w:r>
      <w:r>
        <w:rPr>
          <w:color w:val="auto"/>
        </w:rPr>
        <w:t>dB</w:t>
      </w:r>
      <w:r>
        <w:rPr>
          <w:color w:val="auto"/>
        </w:rPr>
        <w:t>；</w:t>
      </w:r>
    </w:p>
    <w:p w14:paraId="3B9AE20E" w14:textId="77777777" w:rsidR="002E474C" w:rsidRDefault="00000000">
      <w:pPr>
        <w:pStyle w:val="A-z"/>
        <w:ind w:firstLineChars="500" w:firstLine="1200"/>
        <w:rPr>
          <w:color w:val="auto"/>
        </w:rPr>
      </w:pPr>
      <w:r>
        <w:rPr>
          <w:color w:val="auto"/>
        </w:rPr>
        <w:t>r ——</w:t>
      </w:r>
      <w:r>
        <w:rPr>
          <w:color w:val="auto"/>
        </w:rPr>
        <w:t>预测点距声源的距离；</w:t>
      </w:r>
    </w:p>
    <w:p w14:paraId="3FDF0210" w14:textId="77777777" w:rsidR="002E474C" w:rsidRDefault="00000000">
      <w:pPr>
        <w:pStyle w:val="A-z"/>
        <w:ind w:firstLineChars="500" w:firstLine="1200"/>
        <w:rPr>
          <w:color w:val="auto"/>
        </w:rPr>
      </w:pPr>
      <w:r>
        <w:rPr>
          <w:color w:val="auto"/>
        </w:rPr>
        <w:t>r</w:t>
      </w:r>
      <w:r>
        <w:rPr>
          <w:color w:val="auto"/>
          <w:vertAlign w:val="subscript"/>
        </w:rPr>
        <w:t>0</w:t>
      </w:r>
      <w:r>
        <w:rPr>
          <w:color w:val="auto"/>
        </w:rPr>
        <w:t>——</w:t>
      </w:r>
      <w:r>
        <w:rPr>
          <w:color w:val="auto"/>
        </w:rPr>
        <w:t>参考位置距声源的距离。</w:t>
      </w:r>
    </w:p>
    <w:p w14:paraId="695EE485" w14:textId="77777777" w:rsidR="002E474C" w:rsidRDefault="00000000">
      <w:pPr>
        <w:pStyle w:val="A-z"/>
        <w:rPr>
          <w:color w:val="auto"/>
        </w:rPr>
      </w:pPr>
      <w:r>
        <w:rPr>
          <w:color w:val="auto"/>
        </w:rPr>
        <w:t>（</w:t>
      </w:r>
      <w:r>
        <w:rPr>
          <w:color w:val="auto"/>
        </w:rPr>
        <w:t>2</w:t>
      </w:r>
      <w:r>
        <w:rPr>
          <w:color w:val="auto"/>
        </w:rPr>
        <w:t>）预测结果</w:t>
      </w:r>
    </w:p>
    <w:p w14:paraId="7871B1CE" w14:textId="77777777" w:rsidR="002E474C" w:rsidRDefault="00000000">
      <w:pPr>
        <w:pStyle w:val="A-z"/>
        <w:rPr>
          <w:color w:val="auto"/>
        </w:rPr>
      </w:pPr>
      <w:r>
        <w:rPr>
          <w:color w:val="auto"/>
        </w:rPr>
        <w:t>根据预测模式对施工机械噪声的影响范围进行预测，预测结果见表</w:t>
      </w:r>
      <w:r>
        <w:rPr>
          <w:color w:val="auto"/>
        </w:rPr>
        <w:t>5.9</w:t>
      </w:r>
      <w:r>
        <w:rPr>
          <w:color w:val="auto"/>
        </w:rPr>
        <w:noBreakHyphen/>
        <w:t>3</w:t>
      </w:r>
      <w:r>
        <w:rPr>
          <w:color w:val="auto"/>
        </w:rPr>
        <w:t>。</w:t>
      </w:r>
    </w:p>
    <w:p w14:paraId="3CBF36D4" w14:textId="77777777" w:rsidR="002E474C" w:rsidRDefault="00000000">
      <w:pPr>
        <w:pStyle w:val="A--"/>
        <w:rPr>
          <w:color w:val="auto"/>
        </w:rPr>
      </w:pPr>
      <w:bookmarkStart w:id="335" w:name="_Ref83742056"/>
      <w:r>
        <w:rPr>
          <w:color w:val="auto"/>
        </w:rPr>
        <w:t>表</w:t>
      </w:r>
      <w:r>
        <w:rPr>
          <w:color w:val="auto"/>
        </w:rPr>
        <w:t>5.9</w:t>
      </w:r>
      <w:r>
        <w:rPr>
          <w:color w:val="auto"/>
        </w:rPr>
        <w:noBreakHyphen/>
        <w:t>3</w:t>
      </w:r>
      <w:bookmarkEnd w:id="335"/>
      <w:r>
        <w:rPr>
          <w:color w:val="auto"/>
        </w:rPr>
        <w:t xml:space="preserve">  </w:t>
      </w:r>
      <w:r>
        <w:rPr>
          <w:color w:val="auto"/>
        </w:rPr>
        <w:t>施工机械在不同距离的噪声预测结果</w:t>
      </w:r>
      <w:r>
        <w:rPr>
          <w:color w:val="auto"/>
        </w:rPr>
        <w:t xml:space="preserve">   </w:t>
      </w:r>
      <w:r>
        <w:rPr>
          <w:color w:val="auto"/>
        </w:rPr>
        <w:t>单位：</w:t>
      </w:r>
      <w:r>
        <w:rPr>
          <w:color w:val="auto"/>
        </w:rPr>
        <w:t>dB</w:t>
      </w:r>
      <w:r>
        <w:rPr>
          <w:color w:val="auto"/>
        </w:rPr>
        <w:t>（</w:t>
      </w:r>
      <w:r>
        <w:rPr>
          <w:color w:val="auto"/>
        </w:rPr>
        <w:t>A</w:t>
      </w:r>
      <w:r>
        <w:rPr>
          <w:color w:val="auto"/>
        </w:rPr>
        <w:t>）</w:t>
      </w:r>
    </w:p>
    <w:tbl>
      <w:tblPr>
        <w:tblStyle w:val="afffffffffff2"/>
        <w:tblW w:w="5000" w:type="pct"/>
        <w:tblLook w:val="04A0" w:firstRow="1" w:lastRow="0" w:firstColumn="1" w:lastColumn="0" w:noHBand="0" w:noVBand="1"/>
      </w:tblPr>
      <w:tblGrid>
        <w:gridCol w:w="3358"/>
        <w:gridCol w:w="705"/>
        <w:gridCol w:w="566"/>
        <w:gridCol w:w="705"/>
        <w:gridCol w:w="777"/>
        <w:gridCol w:w="705"/>
        <w:gridCol w:w="705"/>
        <w:gridCol w:w="775"/>
      </w:tblGrid>
      <w:tr w:rsidR="002E474C" w14:paraId="3A87B660" w14:textId="77777777">
        <w:trPr>
          <w:tblHeader/>
        </w:trPr>
        <w:tc>
          <w:tcPr>
            <w:tcW w:w="2024" w:type="pct"/>
            <w:tcBorders>
              <w:top w:val="single" w:sz="4" w:space="0" w:color="auto"/>
              <w:left w:val="single" w:sz="4" w:space="0" w:color="auto"/>
              <w:bottom w:val="single" w:sz="4" w:space="0" w:color="auto"/>
              <w:right w:val="single" w:sz="4" w:space="0" w:color="auto"/>
              <w:tl2br w:val="single" w:sz="4" w:space="0" w:color="000000" w:themeColor="text1"/>
            </w:tcBorders>
          </w:tcPr>
          <w:p w14:paraId="0EA73AC3" w14:textId="77777777" w:rsidR="002E474C" w:rsidRDefault="00000000">
            <w:pPr>
              <w:pStyle w:val="A-"/>
            </w:pPr>
            <w:r>
              <w:t xml:space="preserve">        </w:t>
            </w:r>
            <w:r>
              <w:t>距离</w:t>
            </w:r>
            <w:r>
              <w:t>/m</w:t>
            </w:r>
          </w:p>
          <w:p w14:paraId="4085F2DA" w14:textId="77777777" w:rsidR="002E474C" w:rsidRDefault="00000000">
            <w:pPr>
              <w:pStyle w:val="A-"/>
            </w:pPr>
            <w:r>
              <w:t>设备名称</w:t>
            </w:r>
          </w:p>
        </w:tc>
        <w:tc>
          <w:tcPr>
            <w:tcW w:w="425" w:type="pct"/>
            <w:tcBorders>
              <w:top w:val="single" w:sz="4" w:space="0" w:color="auto"/>
              <w:left w:val="single" w:sz="4" w:space="0" w:color="auto"/>
              <w:bottom w:val="single" w:sz="4" w:space="0" w:color="auto"/>
              <w:right w:val="single" w:sz="4" w:space="0" w:color="auto"/>
            </w:tcBorders>
          </w:tcPr>
          <w:p w14:paraId="6DC26EE2" w14:textId="77777777" w:rsidR="002E474C" w:rsidRDefault="00000000">
            <w:pPr>
              <w:pStyle w:val="A-"/>
            </w:pPr>
            <w:r>
              <w:t>50</w:t>
            </w:r>
          </w:p>
        </w:tc>
        <w:tc>
          <w:tcPr>
            <w:tcW w:w="341" w:type="pct"/>
            <w:tcBorders>
              <w:top w:val="single" w:sz="4" w:space="0" w:color="auto"/>
              <w:left w:val="single" w:sz="4" w:space="0" w:color="auto"/>
              <w:bottom w:val="single" w:sz="4" w:space="0" w:color="auto"/>
              <w:right w:val="single" w:sz="4" w:space="0" w:color="auto"/>
            </w:tcBorders>
          </w:tcPr>
          <w:p w14:paraId="5724BE33" w14:textId="77777777" w:rsidR="002E474C" w:rsidRDefault="00000000">
            <w:pPr>
              <w:pStyle w:val="A-"/>
            </w:pPr>
            <w:r>
              <w:t>100</w:t>
            </w:r>
          </w:p>
        </w:tc>
        <w:tc>
          <w:tcPr>
            <w:tcW w:w="425" w:type="pct"/>
            <w:tcBorders>
              <w:top w:val="single" w:sz="4" w:space="0" w:color="auto"/>
              <w:left w:val="single" w:sz="4" w:space="0" w:color="auto"/>
              <w:bottom w:val="single" w:sz="4" w:space="0" w:color="auto"/>
              <w:right w:val="single" w:sz="4" w:space="0" w:color="auto"/>
            </w:tcBorders>
          </w:tcPr>
          <w:p w14:paraId="37A18C29" w14:textId="77777777" w:rsidR="002E474C" w:rsidRDefault="00000000">
            <w:pPr>
              <w:pStyle w:val="A-"/>
            </w:pPr>
            <w:r>
              <w:t>150</w:t>
            </w:r>
          </w:p>
        </w:tc>
        <w:tc>
          <w:tcPr>
            <w:tcW w:w="468" w:type="pct"/>
            <w:tcBorders>
              <w:top w:val="single" w:sz="4" w:space="0" w:color="auto"/>
              <w:left w:val="single" w:sz="4" w:space="0" w:color="auto"/>
              <w:bottom w:val="single" w:sz="4" w:space="0" w:color="auto"/>
              <w:right w:val="single" w:sz="4" w:space="0" w:color="auto"/>
            </w:tcBorders>
          </w:tcPr>
          <w:p w14:paraId="4B8ACE5F" w14:textId="77777777" w:rsidR="002E474C" w:rsidRDefault="00000000">
            <w:pPr>
              <w:pStyle w:val="A-"/>
            </w:pPr>
            <w:r>
              <w:t>200</w:t>
            </w:r>
          </w:p>
        </w:tc>
        <w:tc>
          <w:tcPr>
            <w:tcW w:w="425" w:type="pct"/>
            <w:tcBorders>
              <w:top w:val="single" w:sz="4" w:space="0" w:color="auto"/>
              <w:left w:val="single" w:sz="4" w:space="0" w:color="auto"/>
              <w:bottom w:val="single" w:sz="4" w:space="0" w:color="auto"/>
              <w:right w:val="single" w:sz="4" w:space="0" w:color="auto"/>
            </w:tcBorders>
          </w:tcPr>
          <w:p w14:paraId="271BE54F" w14:textId="77777777" w:rsidR="002E474C" w:rsidRDefault="00000000">
            <w:pPr>
              <w:pStyle w:val="A-"/>
            </w:pPr>
            <w:r>
              <w:t>250</w:t>
            </w:r>
          </w:p>
        </w:tc>
        <w:tc>
          <w:tcPr>
            <w:tcW w:w="425" w:type="pct"/>
            <w:tcBorders>
              <w:top w:val="single" w:sz="4" w:space="0" w:color="auto"/>
              <w:left w:val="single" w:sz="4" w:space="0" w:color="auto"/>
              <w:bottom w:val="single" w:sz="4" w:space="0" w:color="auto"/>
              <w:right w:val="single" w:sz="4" w:space="0" w:color="auto"/>
            </w:tcBorders>
          </w:tcPr>
          <w:p w14:paraId="7438D685" w14:textId="77777777" w:rsidR="002E474C" w:rsidRDefault="00000000">
            <w:pPr>
              <w:pStyle w:val="A-"/>
            </w:pPr>
            <w:r>
              <w:t>300</w:t>
            </w:r>
          </w:p>
        </w:tc>
        <w:tc>
          <w:tcPr>
            <w:tcW w:w="468" w:type="pct"/>
            <w:tcBorders>
              <w:top w:val="single" w:sz="4" w:space="0" w:color="auto"/>
              <w:left w:val="single" w:sz="4" w:space="0" w:color="auto"/>
              <w:bottom w:val="single" w:sz="4" w:space="0" w:color="auto"/>
              <w:right w:val="single" w:sz="4" w:space="0" w:color="auto"/>
            </w:tcBorders>
          </w:tcPr>
          <w:p w14:paraId="438AAFD1" w14:textId="77777777" w:rsidR="002E474C" w:rsidRDefault="00000000">
            <w:pPr>
              <w:pStyle w:val="A-"/>
            </w:pPr>
            <w:r>
              <w:t>400</w:t>
            </w:r>
          </w:p>
        </w:tc>
      </w:tr>
      <w:tr w:rsidR="002E474C" w14:paraId="09719389" w14:textId="77777777">
        <w:tc>
          <w:tcPr>
            <w:tcW w:w="2024" w:type="pct"/>
            <w:tcBorders>
              <w:top w:val="single" w:sz="4" w:space="0" w:color="auto"/>
              <w:left w:val="single" w:sz="4" w:space="0" w:color="auto"/>
              <w:bottom w:val="single" w:sz="4" w:space="0" w:color="auto"/>
              <w:right w:val="single" w:sz="4" w:space="0" w:color="auto"/>
            </w:tcBorders>
          </w:tcPr>
          <w:p w14:paraId="036C455D" w14:textId="77777777" w:rsidR="002E474C" w:rsidRDefault="00000000">
            <w:pPr>
              <w:pStyle w:val="A-"/>
              <w:rPr>
                <w:lang w:eastAsia="en-US"/>
              </w:rPr>
            </w:pPr>
            <w:r>
              <w:t>液压挖掘机</w:t>
            </w:r>
          </w:p>
        </w:tc>
        <w:tc>
          <w:tcPr>
            <w:tcW w:w="425" w:type="pct"/>
            <w:tcBorders>
              <w:top w:val="single" w:sz="4" w:space="0" w:color="auto"/>
              <w:left w:val="single" w:sz="4" w:space="0" w:color="auto"/>
              <w:bottom w:val="single" w:sz="4" w:space="0" w:color="auto"/>
              <w:right w:val="single" w:sz="4" w:space="0" w:color="auto"/>
            </w:tcBorders>
          </w:tcPr>
          <w:p w14:paraId="6BADB502" w14:textId="77777777" w:rsidR="002E474C" w:rsidRDefault="00000000">
            <w:pPr>
              <w:pStyle w:val="A-"/>
              <w:rPr>
                <w:lang w:eastAsia="en-US"/>
              </w:rPr>
            </w:pPr>
            <w:r>
              <w:t>70</w:t>
            </w:r>
          </w:p>
        </w:tc>
        <w:tc>
          <w:tcPr>
            <w:tcW w:w="341" w:type="pct"/>
            <w:tcBorders>
              <w:top w:val="single" w:sz="4" w:space="0" w:color="auto"/>
              <w:left w:val="single" w:sz="4" w:space="0" w:color="auto"/>
              <w:bottom w:val="single" w:sz="4" w:space="0" w:color="auto"/>
              <w:right w:val="single" w:sz="4" w:space="0" w:color="auto"/>
            </w:tcBorders>
          </w:tcPr>
          <w:p w14:paraId="0205FEB9" w14:textId="77777777" w:rsidR="002E474C" w:rsidRDefault="00000000">
            <w:pPr>
              <w:pStyle w:val="A-"/>
              <w:rPr>
                <w:lang w:eastAsia="en-US"/>
              </w:rPr>
            </w:pPr>
            <w:r>
              <w:t>64</w:t>
            </w:r>
          </w:p>
        </w:tc>
        <w:tc>
          <w:tcPr>
            <w:tcW w:w="425" w:type="pct"/>
            <w:tcBorders>
              <w:top w:val="single" w:sz="4" w:space="0" w:color="auto"/>
              <w:left w:val="single" w:sz="4" w:space="0" w:color="auto"/>
              <w:bottom w:val="single" w:sz="4" w:space="0" w:color="auto"/>
              <w:right w:val="single" w:sz="4" w:space="0" w:color="auto"/>
            </w:tcBorders>
          </w:tcPr>
          <w:p w14:paraId="3B09AF63" w14:textId="77777777" w:rsidR="002E474C" w:rsidRDefault="00000000">
            <w:pPr>
              <w:pStyle w:val="A-"/>
              <w:rPr>
                <w:lang w:eastAsia="en-US"/>
              </w:rPr>
            </w:pPr>
            <w:r>
              <w:t>60</w:t>
            </w:r>
          </w:p>
        </w:tc>
        <w:tc>
          <w:tcPr>
            <w:tcW w:w="468" w:type="pct"/>
            <w:tcBorders>
              <w:top w:val="single" w:sz="4" w:space="0" w:color="auto"/>
              <w:left w:val="single" w:sz="4" w:space="0" w:color="auto"/>
              <w:bottom w:val="single" w:sz="4" w:space="0" w:color="auto"/>
              <w:right w:val="single" w:sz="4" w:space="0" w:color="auto"/>
            </w:tcBorders>
          </w:tcPr>
          <w:p w14:paraId="7D9A3AEF"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20D3EF18"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7D882064" w14:textId="77777777" w:rsidR="002E474C" w:rsidRDefault="00000000">
            <w:pPr>
              <w:pStyle w:val="A-"/>
              <w:rPr>
                <w:lang w:eastAsia="en-US"/>
              </w:rPr>
            </w:pPr>
            <w:r>
              <w:t>54</w:t>
            </w:r>
          </w:p>
        </w:tc>
        <w:tc>
          <w:tcPr>
            <w:tcW w:w="468" w:type="pct"/>
            <w:tcBorders>
              <w:top w:val="single" w:sz="4" w:space="0" w:color="auto"/>
              <w:left w:val="single" w:sz="4" w:space="0" w:color="auto"/>
              <w:bottom w:val="single" w:sz="4" w:space="0" w:color="auto"/>
              <w:right w:val="single" w:sz="4" w:space="0" w:color="auto"/>
            </w:tcBorders>
          </w:tcPr>
          <w:p w14:paraId="6A4F90C4" w14:textId="77777777" w:rsidR="002E474C" w:rsidRDefault="00000000">
            <w:pPr>
              <w:pStyle w:val="A-"/>
              <w:rPr>
                <w:lang w:eastAsia="en-US"/>
              </w:rPr>
            </w:pPr>
            <w:r>
              <w:t>52</w:t>
            </w:r>
          </w:p>
        </w:tc>
      </w:tr>
      <w:tr w:rsidR="002E474C" w14:paraId="757A70F8" w14:textId="77777777">
        <w:tc>
          <w:tcPr>
            <w:tcW w:w="2024" w:type="pct"/>
            <w:tcBorders>
              <w:top w:val="single" w:sz="4" w:space="0" w:color="auto"/>
              <w:left w:val="single" w:sz="4" w:space="0" w:color="auto"/>
              <w:bottom w:val="single" w:sz="4" w:space="0" w:color="auto"/>
              <w:right w:val="single" w:sz="4" w:space="0" w:color="auto"/>
            </w:tcBorders>
          </w:tcPr>
          <w:p w14:paraId="6535AA8F" w14:textId="77777777" w:rsidR="002E474C" w:rsidRDefault="00000000">
            <w:pPr>
              <w:pStyle w:val="A-"/>
              <w:rPr>
                <w:lang w:eastAsia="en-US"/>
              </w:rPr>
            </w:pPr>
            <w:r>
              <w:t>电动挖掘机</w:t>
            </w:r>
          </w:p>
        </w:tc>
        <w:tc>
          <w:tcPr>
            <w:tcW w:w="425" w:type="pct"/>
            <w:tcBorders>
              <w:top w:val="single" w:sz="4" w:space="0" w:color="auto"/>
              <w:left w:val="single" w:sz="4" w:space="0" w:color="auto"/>
              <w:bottom w:val="single" w:sz="4" w:space="0" w:color="auto"/>
              <w:right w:val="single" w:sz="4" w:space="0" w:color="auto"/>
            </w:tcBorders>
          </w:tcPr>
          <w:p w14:paraId="56DD2E34" w14:textId="77777777" w:rsidR="002E474C" w:rsidRDefault="00000000">
            <w:pPr>
              <w:pStyle w:val="A-"/>
              <w:rPr>
                <w:lang w:eastAsia="en-US"/>
              </w:rPr>
            </w:pPr>
            <w:r>
              <w:t>66</w:t>
            </w:r>
          </w:p>
        </w:tc>
        <w:tc>
          <w:tcPr>
            <w:tcW w:w="341" w:type="pct"/>
            <w:tcBorders>
              <w:top w:val="single" w:sz="4" w:space="0" w:color="auto"/>
              <w:left w:val="single" w:sz="4" w:space="0" w:color="auto"/>
              <w:bottom w:val="single" w:sz="4" w:space="0" w:color="auto"/>
              <w:right w:val="single" w:sz="4" w:space="0" w:color="auto"/>
            </w:tcBorders>
          </w:tcPr>
          <w:p w14:paraId="7E425D33" w14:textId="77777777" w:rsidR="002E474C" w:rsidRDefault="00000000">
            <w:pPr>
              <w:pStyle w:val="A-"/>
              <w:rPr>
                <w:lang w:eastAsia="en-US"/>
              </w:rPr>
            </w:pPr>
            <w:r>
              <w:t>60</w:t>
            </w:r>
          </w:p>
        </w:tc>
        <w:tc>
          <w:tcPr>
            <w:tcW w:w="425" w:type="pct"/>
            <w:tcBorders>
              <w:top w:val="single" w:sz="4" w:space="0" w:color="auto"/>
              <w:left w:val="single" w:sz="4" w:space="0" w:color="auto"/>
              <w:bottom w:val="single" w:sz="4" w:space="0" w:color="auto"/>
              <w:right w:val="single" w:sz="4" w:space="0" w:color="auto"/>
            </w:tcBorders>
          </w:tcPr>
          <w:p w14:paraId="52FE6556" w14:textId="77777777" w:rsidR="002E474C" w:rsidRDefault="00000000">
            <w:pPr>
              <w:pStyle w:val="A-"/>
              <w:rPr>
                <w:lang w:eastAsia="en-US"/>
              </w:rPr>
            </w:pPr>
            <w:r>
              <w:t>56</w:t>
            </w:r>
          </w:p>
        </w:tc>
        <w:tc>
          <w:tcPr>
            <w:tcW w:w="468" w:type="pct"/>
            <w:tcBorders>
              <w:top w:val="single" w:sz="4" w:space="0" w:color="auto"/>
              <w:left w:val="single" w:sz="4" w:space="0" w:color="auto"/>
              <w:bottom w:val="single" w:sz="4" w:space="0" w:color="auto"/>
              <w:right w:val="single" w:sz="4" w:space="0" w:color="auto"/>
            </w:tcBorders>
          </w:tcPr>
          <w:p w14:paraId="04827F2B" w14:textId="77777777" w:rsidR="002E474C" w:rsidRDefault="00000000">
            <w:pPr>
              <w:pStyle w:val="A-"/>
              <w:rPr>
                <w:lang w:eastAsia="en-US"/>
              </w:rPr>
            </w:pPr>
            <w:r>
              <w:t>54</w:t>
            </w:r>
          </w:p>
        </w:tc>
        <w:tc>
          <w:tcPr>
            <w:tcW w:w="425" w:type="pct"/>
            <w:tcBorders>
              <w:top w:val="single" w:sz="4" w:space="0" w:color="auto"/>
              <w:left w:val="single" w:sz="4" w:space="0" w:color="auto"/>
              <w:bottom w:val="single" w:sz="4" w:space="0" w:color="auto"/>
              <w:right w:val="single" w:sz="4" w:space="0" w:color="auto"/>
            </w:tcBorders>
          </w:tcPr>
          <w:p w14:paraId="1D554FD1" w14:textId="77777777" w:rsidR="002E474C" w:rsidRDefault="00000000">
            <w:pPr>
              <w:pStyle w:val="A-"/>
              <w:rPr>
                <w:lang w:eastAsia="en-US"/>
              </w:rPr>
            </w:pPr>
            <w:r>
              <w:t>52</w:t>
            </w:r>
          </w:p>
        </w:tc>
        <w:tc>
          <w:tcPr>
            <w:tcW w:w="425" w:type="pct"/>
            <w:tcBorders>
              <w:top w:val="single" w:sz="4" w:space="0" w:color="auto"/>
              <w:left w:val="single" w:sz="4" w:space="0" w:color="auto"/>
              <w:bottom w:val="single" w:sz="4" w:space="0" w:color="auto"/>
              <w:right w:val="single" w:sz="4" w:space="0" w:color="auto"/>
            </w:tcBorders>
          </w:tcPr>
          <w:p w14:paraId="6CE3CB6E" w14:textId="77777777" w:rsidR="002E474C" w:rsidRDefault="00000000">
            <w:pPr>
              <w:pStyle w:val="A-"/>
              <w:rPr>
                <w:lang w:eastAsia="en-US"/>
              </w:rPr>
            </w:pPr>
            <w:r>
              <w:t>50</w:t>
            </w:r>
          </w:p>
        </w:tc>
        <w:tc>
          <w:tcPr>
            <w:tcW w:w="468" w:type="pct"/>
            <w:tcBorders>
              <w:top w:val="single" w:sz="4" w:space="0" w:color="auto"/>
              <w:left w:val="single" w:sz="4" w:space="0" w:color="auto"/>
              <w:bottom w:val="single" w:sz="4" w:space="0" w:color="auto"/>
              <w:right w:val="single" w:sz="4" w:space="0" w:color="auto"/>
            </w:tcBorders>
          </w:tcPr>
          <w:p w14:paraId="7A00383D" w14:textId="77777777" w:rsidR="002E474C" w:rsidRDefault="00000000">
            <w:pPr>
              <w:pStyle w:val="A-"/>
              <w:rPr>
                <w:lang w:eastAsia="en-US"/>
              </w:rPr>
            </w:pPr>
            <w:r>
              <w:t>48</w:t>
            </w:r>
          </w:p>
        </w:tc>
      </w:tr>
      <w:tr w:rsidR="002E474C" w14:paraId="2B8330B3" w14:textId="77777777">
        <w:tc>
          <w:tcPr>
            <w:tcW w:w="2024" w:type="pct"/>
            <w:tcBorders>
              <w:top w:val="single" w:sz="4" w:space="0" w:color="auto"/>
              <w:left w:val="single" w:sz="4" w:space="0" w:color="auto"/>
              <w:bottom w:val="single" w:sz="4" w:space="0" w:color="auto"/>
              <w:right w:val="single" w:sz="4" w:space="0" w:color="auto"/>
            </w:tcBorders>
          </w:tcPr>
          <w:p w14:paraId="754CE130" w14:textId="77777777" w:rsidR="002E474C" w:rsidRDefault="00000000">
            <w:pPr>
              <w:pStyle w:val="A-"/>
              <w:rPr>
                <w:lang w:eastAsia="en-US"/>
              </w:rPr>
            </w:pPr>
            <w:r>
              <w:t>轮式装载机</w:t>
            </w:r>
          </w:p>
        </w:tc>
        <w:tc>
          <w:tcPr>
            <w:tcW w:w="425" w:type="pct"/>
            <w:tcBorders>
              <w:top w:val="single" w:sz="4" w:space="0" w:color="auto"/>
              <w:left w:val="single" w:sz="4" w:space="0" w:color="auto"/>
              <w:bottom w:val="single" w:sz="4" w:space="0" w:color="auto"/>
              <w:right w:val="single" w:sz="4" w:space="0" w:color="auto"/>
            </w:tcBorders>
          </w:tcPr>
          <w:p w14:paraId="2167DB76" w14:textId="77777777" w:rsidR="002E474C" w:rsidRDefault="00000000">
            <w:pPr>
              <w:pStyle w:val="A-"/>
              <w:rPr>
                <w:lang w:eastAsia="en-US"/>
              </w:rPr>
            </w:pPr>
            <w:r>
              <w:t>75</w:t>
            </w:r>
          </w:p>
        </w:tc>
        <w:tc>
          <w:tcPr>
            <w:tcW w:w="341" w:type="pct"/>
            <w:tcBorders>
              <w:top w:val="single" w:sz="4" w:space="0" w:color="auto"/>
              <w:left w:val="single" w:sz="4" w:space="0" w:color="auto"/>
              <w:bottom w:val="single" w:sz="4" w:space="0" w:color="auto"/>
              <w:right w:val="single" w:sz="4" w:space="0" w:color="auto"/>
            </w:tcBorders>
          </w:tcPr>
          <w:p w14:paraId="285AFC6F" w14:textId="77777777" w:rsidR="002E474C" w:rsidRDefault="00000000">
            <w:pPr>
              <w:pStyle w:val="A-"/>
              <w:rPr>
                <w:lang w:eastAsia="en-US"/>
              </w:rPr>
            </w:pPr>
            <w:r>
              <w:t>69</w:t>
            </w:r>
          </w:p>
        </w:tc>
        <w:tc>
          <w:tcPr>
            <w:tcW w:w="425" w:type="pct"/>
            <w:tcBorders>
              <w:top w:val="single" w:sz="4" w:space="0" w:color="auto"/>
              <w:left w:val="single" w:sz="4" w:space="0" w:color="auto"/>
              <w:bottom w:val="single" w:sz="4" w:space="0" w:color="auto"/>
              <w:right w:val="single" w:sz="4" w:space="0" w:color="auto"/>
            </w:tcBorders>
          </w:tcPr>
          <w:p w14:paraId="4592FB80" w14:textId="77777777" w:rsidR="002E474C" w:rsidRDefault="00000000">
            <w:pPr>
              <w:pStyle w:val="A-"/>
              <w:rPr>
                <w:lang w:eastAsia="en-US"/>
              </w:rPr>
            </w:pPr>
            <w:r>
              <w:t>65</w:t>
            </w:r>
          </w:p>
        </w:tc>
        <w:tc>
          <w:tcPr>
            <w:tcW w:w="468" w:type="pct"/>
            <w:tcBorders>
              <w:top w:val="single" w:sz="4" w:space="0" w:color="auto"/>
              <w:left w:val="single" w:sz="4" w:space="0" w:color="auto"/>
              <w:bottom w:val="single" w:sz="4" w:space="0" w:color="auto"/>
              <w:right w:val="single" w:sz="4" w:space="0" w:color="auto"/>
            </w:tcBorders>
          </w:tcPr>
          <w:p w14:paraId="32C73AC9" w14:textId="77777777" w:rsidR="002E474C" w:rsidRDefault="00000000">
            <w:pPr>
              <w:pStyle w:val="A-"/>
              <w:rPr>
                <w:lang w:eastAsia="en-US"/>
              </w:rPr>
            </w:pPr>
            <w:r>
              <w:t>63</w:t>
            </w:r>
          </w:p>
        </w:tc>
        <w:tc>
          <w:tcPr>
            <w:tcW w:w="425" w:type="pct"/>
            <w:tcBorders>
              <w:top w:val="single" w:sz="4" w:space="0" w:color="auto"/>
              <w:left w:val="single" w:sz="4" w:space="0" w:color="auto"/>
              <w:bottom w:val="single" w:sz="4" w:space="0" w:color="auto"/>
              <w:right w:val="single" w:sz="4" w:space="0" w:color="auto"/>
            </w:tcBorders>
          </w:tcPr>
          <w:p w14:paraId="20271055" w14:textId="77777777" w:rsidR="002E474C" w:rsidRDefault="00000000">
            <w:pPr>
              <w:pStyle w:val="A-"/>
              <w:rPr>
                <w:lang w:eastAsia="en-US"/>
              </w:rPr>
            </w:pPr>
            <w:r>
              <w:t>61</w:t>
            </w:r>
          </w:p>
        </w:tc>
        <w:tc>
          <w:tcPr>
            <w:tcW w:w="425" w:type="pct"/>
            <w:tcBorders>
              <w:top w:val="single" w:sz="4" w:space="0" w:color="auto"/>
              <w:left w:val="single" w:sz="4" w:space="0" w:color="auto"/>
              <w:bottom w:val="single" w:sz="4" w:space="0" w:color="auto"/>
              <w:right w:val="single" w:sz="4" w:space="0" w:color="auto"/>
            </w:tcBorders>
          </w:tcPr>
          <w:p w14:paraId="15AA4228" w14:textId="77777777" w:rsidR="002E474C" w:rsidRDefault="00000000">
            <w:pPr>
              <w:pStyle w:val="A-"/>
              <w:rPr>
                <w:lang w:eastAsia="en-US"/>
              </w:rPr>
            </w:pPr>
            <w:r>
              <w:t>59</w:t>
            </w:r>
          </w:p>
        </w:tc>
        <w:tc>
          <w:tcPr>
            <w:tcW w:w="468" w:type="pct"/>
            <w:tcBorders>
              <w:top w:val="single" w:sz="4" w:space="0" w:color="auto"/>
              <w:left w:val="single" w:sz="4" w:space="0" w:color="auto"/>
              <w:bottom w:val="single" w:sz="4" w:space="0" w:color="auto"/>
              <w:right w:val="single" w:sz="4" w:space="0" w:color="auto"/>
            </w:tcBorders>
          </w:tcPr>
          <w:p w14:paraId="3FB8B1A1" w14:textId="77777777" w:rsidR="002E474C" w:rsidRDefault="00000000">
            <w:pPr>
              <w:pStyle w:val="A-"/>
              <w:rPr>
                <w:lang w:eastAsia="en-US"/>
              </w:rPr>
            </w:pPr>
            <w:r>
              <w:t>57</w:t>
            </w:r>
          </w:p>
        </w:tc>
      </w:tr>
      <w:tr w:rsidR="002E474C" w14:paraId="44293B02" w14:textId="77777777">
        <w:tc>
          <w:tcPr>
            <w:tcW w:w="2024" w:type="pct"/>
            <w:tcBorders>
              <w:top w:val="single" w:sz="4" w:space="0" w:color="auto"/>
              <w:left w:val="single" w:sz="4" w:space="0" w:color="auto"/>
              <w:bottom w:val="single" w:sz="4" w:space="0" w:color="auto"/>
              <w:right w:val="single" w:sz="4" w:space="0" w:color="auto"/>
            </w:tcBorders>
          </w:tcPr>
          <w:p w14:paraId="62F01A3E" w14:textId="77777777" w:rsidR="002E474C" w:rsidRDefault="00000000">
            <w:pPr>
              <w:pStyle w:val="A-"/>
              <w:rPr>
                <w:lang w:eastAsia="en-US"/>
              </w:rPr>
            </w:pPr>
            <w:r>
              <w:t>推土机</w:t>
            </w:r>
          </w:p>
        </w:tc>
        <w:tc>
          <w:tcPr>
            <w:tcW w:w="425" w:type="pct"/>
            <w:tcBorders>
              <w:top w:val="single" w:sz="4" w:space="0" w:color="auto"/>
              <w:left w:val="single" w:sz="4" w:space="0" w:color="auto"/>
              <w:bottom w:val="single" w:sz="4" w:space="0" w:color="auto"/>
              <w:right w:val="single" w:sz="4" w:space="0" w:color="auto"/>
            </w:tcBorders>
          </w:tcPr>
          <w:p w14:paraId="302BA6D9" w14:textId="77777777" w:rsidR="002E474C" w:rsidRDefault="00000000">
            <w:pPr>
              <w:pStyle w:val="A-"/>
              <w:rPr>
                <w:lang w:eastAsia="en-US"/>
              </w:rPr>
            </w:pPr>
            <w:r>
              <w:t>68</w:t>
            </w:r>
          </w:p>
        </w:tc>
        <w:tc>
          <w:tcPr>
            <w:tcW w:w="341" w:type="pct"/>
            <w:tcBorders>
              <w:top w:val="single" w:sz="4" w:space="0" w:color="auto"/>
              <w:left w:val="single" w:sz="4" w:space="0" w:color="auto"/>
              <w:bottom w:val="single" w:sz="4" w:space="0" w:color="auto"/>
              <w:right w:val="single" w:sz="4" w:space="0" w:color="auto"/>
            </w:tcBorders>
          </w:tcPr>
          <w:p w14:paraId="15ACA302" w14:textId="77777777" w:rsidR="002E474C" w:rsidRDefault="00000000">
            <w:pPr>
              <w:pStyle w:val="A-"/>
              <w:rPr>
                <w:lang w:eastAsia="en-US"/>
              </w:rPr>
            </w:pPr>
            <w:r>
              <w:t>62</w:t>
            </w:r>
          </w:p>
        </w:tc>
        <w:tc>
          <w:tcPr>
            <w:tcW w:w="425" w:type="pct"/>
            <w:tcBorders>
              <w:top w:val="single" w:sz="4" w:space="0" w:color="auto"/>
              <w:left w:val="single" w:sz="4" w:space="0" w:color="auto"/>
              <w:bottom w:val="single" w:sz="4" w:space="0" w:color="auto"/>
              <w:right w:val="single" w:sz="4" w:space="0" w:color="auto"/>
            </w:tcBorders>
          </w:tcPr>
          <w:p w14:paraId="1AF644D8" w14:textId="77777777" w:rsidR="002E474C" w:rsidRDefault="00000000">
            <w:pPr>
              <w:pStyle w:val="A-"/>
              <w:rPr>
                <w:lang w:eastAsia="en-US"/>
              </w:rPr>
            </w:pPr>
            <w:r>
              <w:t>58</w:t>
            </w:r>
          </w:p>
        </w:tc>
        <w:tc>
          <w:tcPr>
            <w:tcW w:w="468" w:type="pct"/>
            <w:tcBorders>
              <w:top w:val="single" w:sz="4" w:space="0" w:color="auto"/>
              <w:left w:val="single" w:sz="4" w:space="0" w:color="auto"/>
              <w:bottom w:val="single" w:sz="4" w:space="0" w:color="auto"/>
              <w:right w:val="single" w:sz="4" w:space="0" w:color="auto"/>
            </w:tcBorders>
          </w:tcPr>
          <w:p w14:paraId="74BBC006"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61C290CD" w14:textId="77777777" w:rsidR="002E474C" w:rsidRDefault="00000000">
            <w:pPr>
              <w:pStyle w:val="A-"/>
              <w:rPr>
                <w:lang w:eastAsia="en-US"/>
              </w:rPr>
            </w:pPr>
            <w:r>
              <w:t>54</w:t>
            </w:r>
          </w:p>
        </w:tc>
        <w:tc>
          <w:tcPr>
            <w:tcW w:w="425" w:type="pct"/>
            <w:tcBorders>
              <w:top w:val="single" w:sz="4" w:space="0" w:color="auto"/>
              <w:left w:val="single" w:sz="4" w:space="0" w:color="auto"/>
              <w:bottom w:val="single" w:sz="4" w:space="0" w:color="auto"/>
              <w:right w:val="single" w:sz="4" w:space="0" w:color="auto"/>
            </w:tcBorders>
          </w:tcPr>
          <w:p w14:paraId="0039F499" w14:textId="77777777" w:rsidR="002E474C" w:rsidRDefault="00000000">
            <w:pPr>
              <w:pStyle w:val="A-"/>
              <w:rPr>
                <w:lang w:eastAsia="en-US"/>
              </w:rPr>
            </w:pPr>
            <w:r>
              <w:t>52</w:t>
            </w:r>
          </w:p>
        </w:tc>
        <w:tc>
          <w:tcPr>
            <w:tcW w:w="468" w:type="pct"/>
            <w:tcBorders>
              <w:top w:val="single" w:sz="4" w:space="0" w:color="auto"/>
              <w:left w:val="single" w:sz="4" w:space="0" w:color="auto"/>
              <w:bottom w:val="single" w:sz="4" w:space="0" w:color="auto"/>
              <w:right w:val="single" w:sz="4" w:space="0" w:color="auto"/>
            </w:tcBorders>
          </w:tcPr>
          <w:p w14:paraId="4A69492E" w14:textId="77777777" w:rsidR="002E474C" w:rsidRDefault="00000000">
            <w:pPr>
              <w:pStyle w:val="A-"/>
              <w:rPr>
                <w:lang w:eastAsia="en-US"/>
              </w:rPr>
            </w:pPr>
            <w:r>
              <w:t>50</w:t>
            </w:r>
          </w:p>
        </w:tc>
      </w:tr>
      <w:tr w:rsidR="002E474C" w14:paraId="4250C267" w14:textId="77777777">
        <w:tc>
          <w:tcPr>
            <w:tcW w:w="2024" w:type="pct"/>
            <w:tcBorders>
              <w:top w:val="single" w:sz="4" w:space="0" w:color="auto"/>
              <w:left w:val="single" w:sz="4" w:space="0" w:color="auto"/>
              <w:bottom w:val="single" w:sz="4" w:space="0" w:color="auto"/>
              <w:right w:val="single" w:sz="4" w:space="0" w:color="auto"/>
            </w:tcBorders>
          </w:tcPr>
          <w:p w14:paraId="7CC9A705" w14:textId="77777777" w:rsidR="002E474C" w:rsidRDefault="00000000">
            <w:pPr>
              <w:pStyle w:val="A-"/>
              <w:rPr>
                <w:lang w:eastAsia="en-US"/>
              </w:rPr>
            </w:pPr>
            <w:r>
              <w:t>移动式发电机</w:t>
            </w:r>
          </w:p>
        </w:tc>
        <w:tc>
          <w:tcPr>
            <w:tcW w:w="425" w:type="pct"/>
            <w:tcBorders>
              <w:top w:val="single" w:sz="4" w:space="0" w:color="auto"/>
              <w:left w:val="single" w:sz="4" w:space="0" w:color="auto"/>
              <w:bottom w:val="single" w:sz="4" w:space="0" w:color="auto"/>
              <w:right w:val="single" w:sz="4" w:space="0" w:color="auto"/>
            </w:tcBorders>
          </w:tcPr>
          <w:p w14:paraId="5F196F37" w14:textId="77777777" w:rsidR="002E474C" w:rsidRDefault="00000000">
            <w:pPr>
              <w:pStyle w:val="A-"/>
              <w:rPr>
                <w:lang w:eastAsia="en-US"/>
              </w:rPr>
            </w:pPr>
            <w:r>
              <w:t>82</w:t>
            </w:r>
          </w:p>
        </w:tc>
        <w:tc>
          <w:tcPr>
            <w:tcW w:w="341" w:type="pct"/>
            <w:tcBorders>
              <w:top w:val="single" w:sz="4" w:space="0" w:color="auto"/>
              <w:left w:val="single" w:sz="4" w:space="0" w:color="auto"/>
              <w:bottom w:val="single" w:sz="4" w:space="0" w:color="auto"/>
              <w:right w:val="single" w:sz="4" w:space="0" w:color="auto"/>
            </w:tcBorders>
          </w:tcPr>
          <w:p w14:paraId="6DCC6952" w14:textId="77777777" w:rsidR="002E474C" w:rsidRDefault="00000000">
            <w:pPr>
              <w:pStyle w:val="A-"/>
              <w:rPr>
                <w:lang w:eastAsia="en-US"/>
              </w:rPr>
            </w:pPr>
            <w:r>
              <w:t>76</w:t>
            </w:r>
          </w:p>
        </w:tc>
        <w:tc>
          <w:tcPr>
            <w:tcW w:w="425" w:type="pct"/>
            <w:tcBorders>
              <w:top w:val="single" w:sz="4" w:space="0" w:color="auto"/>
              <w:left w:val="single" w:sz="4" w:space="0" w:color="auto"/>
              <w:bottom w:val="single" w:sz="4" w:space="0" w:color="auto"/>
              <w:right w:val="single" w:sz="4" w:space="0" w:color="auto"/>
            </w:tcBorders>
          </w:tcPr>
          <w:p w14:paraId="55F14E8C" w14:textId="77777777" w:rsidR="002E474C" w:rsidRDefault="00000000">
            <w:pPr>
              <w:pStyle w:val="A-"/>
              <w:rPr>
                <w:lang w:eastAsia="en-US"/>
              </w:rPr>
            </w:pPr>
            <w:r>
              <w:t>72</w:t>
            </w:r>
          </w:p>
        </w:tc>
        <w:tc>
          <w:tcPr>
            <w:tcW w:w="468" w:type="pct"/>
            <w:tcBorders>
              <w:top w:val="single" w:sz="4" w:space="0" w:color="auto"/>
              <w:left w:val="single" w:sz="4" w:space="0" w:color="auto"/>
              <w:bottom w:val="single" w:sz="4" w:space="0" w:color="auto"/>
              <w:right w:val="single" w:sz="4" w:space="0" w:color="auto"/>
            </w:tcBorders>
          </w:tcPr>
          <w:p w14:paraId="255F3018" w14:textId="77777777" w:rsidR="002E474C" w:rsidRDefault="00000000">
            <w:pPr>
              <w:pStyle w:val="A-"/>
              <w:rPr>
                <w:lang w:eastAsia="en-US"/>
              </w:rPr>
            </w:pPr>
            <w:r>
              <w:t>70</w:t>
            </w:r>
          </w:p>
        </w:tc>
        <w:tc>
          <w:tcPr>
            <w:tcW w:w="425" w:type="pct"/>
            <w:tcBorders>
              <w:top w:val="single" w:sz="4" w:space="0" w:color="auto"/>
              <w:left w:val="single" w:sz="4" w:space="0" w:color="auto"/>
              <w:bottom w:val="single" w:sz="4" w:space="0" w:color="auto"/>
              <w:right w:val="single" w:sz="4" w:space="0" w:color="auto"/>
            </w:tcBorders>
          </w:tcPr>
          <w:p w14:paraId="4FC4DD63" w14:textId="77777777" w:rsidR="002E474C" w:rsidRDefault="00000000">
            <w:pPr>
              <w:pStyle w:val="A-"/>
              <w:rPr>
                <w:lang w:eastAsia="en-US"/>
              </w:rPr>
            </w:pPr>
            <w:r>
              <w:t>68</w:t>
            </w:r>
          </w:p>
        </w:tc>
        <w:tc>
          <w:tcPr>
            <w:tcW w:w="425" w:type="pct"/>
            <w:tcBorders>
              <w:top w:val="single" w:sz="4" w:space="0" w:color="auto"/>
              <w:left w:val="single" w:sz="4" w:space="0" w:color="auto"/>
              <w:bottom w:val="single" w:sz="4" w:space="0" w:color="auto"/>
              <w:right w:val="single" w:sz="4" w:space="0" w:color="auto"/>
            </w:tcBorders>
          </w:tcPr>
          <w:p w14:paraId="4E6E028B" w14:textId="77777777" w:rsidR="002E474C" w:rsidRDefault="00000000">
            <w:pPr>
              <w:pStyle w:val="A-"/>
              <w:rPr>
                <w:lang w:eastAsia="en-US"/>
              </w:rPr>
            </w:pPr>
            <w:r>
              <w:t>66</w:t>
            </w:r>
          </w:p>
        </w:tc>
        <w:tc>
          <w:tcPr>
            <w:tcW w:w="468" w:type="pct"/>
            <w:tcBorders>
              <w:top w:val="single" w:sz="4" w:space="0" w:color="auto"/>
              <w:left w:val="single" w:sz="4" w:space="0" w:color="auto"/>
              <w:bottom w:val="single" w:sz="4" w:space="0" w:color="auto"/>
              <w:right w:val="single" w:sz="4" w:space="0" w:color="auto"/>
            </w:tcBorders>
          </w:tcPr>
          <w:p w14:paraId="6D6477B1" w14:textId="77777777" w:rsidR="002E474C" w:rsidRDefault="00000000">
            <w:pPr>
              <w:pStyle w:val="A-"/>
              <w:rPr>
                <w:lang w:eastAsia="en-US"/>
              </w:rPr>
            </w:pPr>
            <w:r>
              <w:t>64</w:t>
            </w:r>
          </w:p>
        </w:tc>
      </w:tr>
      <w:tr w:rsidR="002E474C" w14:paraId="7366E42A" w14:textId="77777777">
        <w:tc>
          <w:tcPr>
            <w:tcW w:w="2024" w:type="pct"/>
            <w:tcBorders>
              <w:top w:val="single" w:sz="4" w:space="0" w:color="auto"/>
              <w:left w:val="single" w:sz="4" w:space="0" w:color="auto"/>
              <w:bottom w:val="single" w:sz="4" w:space="0" w:color="auto"/>
              <w:right w:val="single" w:sz="4" w:space="0" w:color="auto"/>
            </w:tcBorders>
          </w:tcPr>
          <w:p w14:paraId="2F3EC20F" w14:textId="77777777" w:rsidR="002E474C" w:rsidRDefault="00000000">
            <w:pPr>
              <w:pStyle w:val="A-"/>
              <w:rPr>
                <w:lang w:eastAsia="en-US"/>
              </w:rPr>
            </w:pPr>
            <w:r>
              <w:t>各类压路机</w:t>
            </w:r>
          </w:p>
        </w:tc>
        <w:tc>
          <w:tcPr>
            <w:tcW w:w="425" w:type="pct"/>
            <w:tcBorders>
              <w:top w:val="single" w:sz="4" w:space="0" w:color="auto"/>
              <w:left w:val="single" w:sz="4" w:space="0" w:color="auto"/>
              <w:bottom w:val="single" w:sz="4" w:space="0" w:color="auto"/>
              <w:right w:val="single" w:sz="4" w:space="0" w:color="auto"/>
            </w:tcBorders>
          </w:tcPr>
          <w:p w14:paraId="15A78EB8" w14:textId="77777777" w:rsidR="002E474C" w:rsidRDefault="00000000">
            <w:pPr>
              <w:pStyle w:val="A-"/>
              <w:rPr>
                <w:lang w:eastAsia="en-US"/>
              </w:rPr>
            </w:pPr>
            <w:r>
              <w:t>70</w:t>
            </w:r>
          </w:p>
        </w:tc>
        <w:tc>
          <w:tcPr>
            <w:tcW w:w="341" w:type="pct"/>
            <w:tcBorders>
              <w:top w:val="single" w:sz="4" w:space="0" w:color="auto"/>
              <w:left w:val="single" w:sz="4" w:space="0" w:color="auto"/>
              <w:bottom w:val="single" w:sz="4" w:space="0" w:color="auto"/>
              <w:right w:val="single" w:sz="4" w:space="0" w:color="auto"/>
            </w:tcBorders>
          </w:tcPr>
          <w:p w14:paraId="581AF771" w14:textId="77777777" w:rsidR="002E474C" w:rsidRDefault="00000000">
            <w:pPr>
              <w:pStyle w:val="A-"/>
              <w:rPr>
                <w:lang w:eastAsia="en-US"/>
              </w:rPr>
            </w:pPr>
            <w:r>
              <w:t>64</w:t>
            </w:r>
          </w:p>
        </w:tc>
        <w:tc>
          <w:tcPr>
            <w:tcW w:w="425" w:type="pct"/>
            <w:tcBorders>
              <w:top w:val="single" w:sz="4" w:space="0" w:color="auto"/>
              <w:left w:val="single" w:sz="4" w:space="0" w:color="auto"/>
              <w:bottom w:val="single" w:sz="4" w:space="0" w:color="auto"/>
              <w:right w:val="single" w:sz="4" w:space="0" w:color="auto"/>
            </w:tcBorders>
          </w:tcPr>
          <w:p w14:paraId="1D9398A6" w14:textId="77777777" w:rsidR="002E474C" w:rsidRDefault="00000000">
            <w:pPr>
              <w:pStyle w:val="A-"/>
              <w:rPr>
                <w:lang w:eastAsia="en-US"/>
              </w:rPr>
            </w:pPr>
            <w:r>
              <w:t>60</w:t>
            </w:r>
          </w:p>
        </w:tc>
        <w:tc>
          <w:tcPr>
            <w:tcW w:w="468" w:type="pct"/>
            <w:tcBorders>
              <w:top w:val="single" w:sz="4" w:space="0" w:color="auto"/>
              <w:left w:val="single" w:sz="4" w:space="0" w:color="auto"/>
              <w:bottom w:val="single" w:sz="4" w:space="0" w:color="auto"/>
              <w:right w:val="single" w:sz="4" w:space="0" w:color="auto"/>
            </w:tcBorders>
          </w:tcPr>
          <w:p w14:paraId="4253CFAD"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2453029B"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1F97B739" w14:textId="77777777" w:rsidR="002E474C" w:rsidRDefault="00000000">
            <w:pPr>
              <w:pStyle w:val="A-"/>
              <w:rPr>
                <w:lang w:eastAsia="en-US"/>
              </w:rPr>
            </w:pPr>
            <w:r>
              <w:t>54</w:t>
            </w:r>
          </w:p>
        </w:tc>
        <w:tc>
          <w:tcPr>
            <w:tcW w:w="468" w:type="pct"/>
            <w:tcBorders>
              <w:top w:val="single" w:sz="4" w:space="0" w:color="auto"/>
              <w:left w:val="single" w:sz="4" w:space="0" w:color="auto"/>
              <w:bottom w:val="single" w:sz="4" w:space="0" w:color="auto"/>
              <w:right w:val="single" w:sz="4" w:space="0" w:color="auto"/>
            </w:tcBorders>
          </w:tcPr>
          <w:p w14:paraId="1A5CC10E" w14:textId="77777777" w:rsidR="002E474C" w:rsidRDefault="00000000">
            <w:pPr>
              <w:pStyle w:val="A-"/>
              <w:rPr>
                <w:lang w:eastAsia="en-US"/>
              </w:rPr>
            </w:pPr>
            <w:r>
              <w:t>52</w:t>
            </w:r>
          </w:p>
        </w:tc>
      </w:tr>
      <w:tr w:rsidR="002E474C" w14:paraId="78563D6A" w14:textId="77777777">
        <w:tc>
          <w:tcPr>
            <w:tcW w:w="2024" w:type="pct"/>
            <w:tcBorders>
              <w:top w:val="single" w:sz="4" w:space="0" w:color="auto"/>
              <w:left w:val="single" w:sz="4" w:space="0" w:color="auto"/>
              <w:bottom w:val="single" w:sz="4" w:space="0" w:color="auto"/>
              <w:right w:val="single" w:sz="4" w:space="0" w:color="auto"/>
            </w:tcBorders>
          </w:tcPr>
          <w:p w14:paraId="4D4C144C" w14:textId="77777777" w:rsidR="002E474C" w:rsidRDefault="00000000">
            <w:pPr>
              <w:pStyle w:val="A-"/>
              <w:rPr>
                <w:lang w:eastAsia="en-US"/>
              </w:rPr>
            </w:pPr>
            <w:r>
              <w:t>重型运输车</w:t>
            </w:r>
          </w:p>
        </w:tc>
        <w:tc>
          <w:tcPr>
            <w:tcW w:w="425" w:type="pct"/>
            <w:tcBorders>
              <w:top w:val="single" w:sz="4" w:space="0" w:color="auto"/>
              <w:left w:val="single" w:sz="4" w:space="0" w:color="auto"/>
              <w:bottom w:val="single" w:sz="4" w:space="0" w:color="auto"/>
              <w:right w:val="single" w:sz="4" w:space="0" w:color="auto"/>
            </w:tcBorders>
          </w:tcPr>
          <w:p w14:paraId="7AB376F5" w14:textId="77777777" w:rsidR="002E474C" w:rsidRDefault="00000000">
            <w:pPr>
              <w:pStyle w:val="A-"/>
              <w:rPr>
                <w:lang w:eastAsia="en-US"/>
              </w:rPr>
            </w:pPr>
            <w:r>
              <w:t>70</w:t>
            </w:r>
          </w:p>
        </w:tc>
        <w:tc>
          <w:tcPr>
            <w:tcW w:w="341" w:type="pct"/>
            <w:tcBorders>
              <w:top w:val="single" w:sz="4" w:space="0" w:color="auto"/>
              <w:left w:val="single" w:sz="4" w:space="0" w:color="auto"/>
              <w:bottom w:val="single" w:sz="4" w:space="0" w:color="auto"/>
              <w:right w:val="single" w:sz="4" w:space="0" w:color="auto"/>
            </w:tcBorders>
          </w:tcPr>
          <w:p w14:paraId="51E77C8E" w14:textId="77777777" w:rsidR="002E474C" w:rsidRDefault="00000000">
            <w:pPr>
              <w:pStyle w:val="A-"/>
              <w:rPr>
                <w:lang w:eastAsia="en-US"/>
              </w:rPr>
            </w:pPr>
            <w:r>
              <w:t>64</w:t>
            </w:r>
          </w:p>
        </w:tc>
        <w:tc>
          <w:tcPr>
            <w:tcW w:w="425" w:type="pct"/>
            <w:tcBorders>
              <w:top w:val="single" w:sz="4" w:space="0" w:color="auto"/>
              <w:left w:val="single" w:sz="4" w:space="0" w:color="auto"/>
              <w:bottom w:val="single" w:sz="4" w:space="0" w:color="auto"/>
              <w:right w:val="single" w:sz="4" w:space="0" w:color="auto"/>
            </w:tcBorders>
          </w:tcPr>
          <w:p w14:paraId="38A22EA0" w14:textId="77777777" w:rsidR="002E474C" w:rsidRDefault="00000000">
            <w:pPr>
              <w:pStyle w:val="A-"/>
              <w:rPr>
                <w:lang w:eastAsia="en-US"/>
              </w:rPr>
            </w:pPr>
            <w:r>
              <w:t>60</w:t>
            </w:r>
          </w:p>
        </w:tc>
        <w:tc>
          <w:tcPr>
            <w:tcW w:w="468" w:type="pct"/>
            <w:tcBorders>
              <w:top w:val="single" w:sz="4" w:space="0" w:color="auto"/>
              <w:left w:val="single" w:sz="4" w:space="0" w:color="auto"/>
              <w:bottom w:val="single" w:sz="4" w:space="0" w:color="auto"/>
              <w:right w:val="single" w:sz="4" w:space="0" w:color="auto"/>
            </w:tcBorders>
          </w:tcPr>
          <w:p w14:paraId="40E37E33"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726D4EB4"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667149F9" w14:textId="77777777" w:rsidR="002E474C" w:rsidRDefault="00000000">
            <w:pPr>
              <w:pStyle w:val="A-"/>
              <w:rPr>
                <w:lang w:eastAsia="en-US"/>
              </w:rPr>
            </w:pPr>
            <w:r>
              <w:t>54</w:t>
            </w:r>
          </w:p>
        </w:tc>
        <w:tc>
          <w:tcPr>
            <w:tcW w:w="468" w:type="pct"/>
            <w:tcBorders>
              <w:top w:val="single" w:sz="4" w:space="0" w:color="auto"/>
              <w:left w:val="single" w:sz="4" w:space="0" w:color="auto"/>
              <w:bottom w:val="single" w:sz="4" w:space="0" w:color="auto"/>
              <w:right w:val="single" w:sz="4" w:space="0" w:color="auto"/>
            </w:tcBorders>
          </w:tcPr>
          <w:p w14:paraId="232FB598" w14:textId="77777777" w:rsidR="002E474C" w:rsidRDefault="00000000">
            <w:pPr>
              <w:pStyle w:val="A-"/>
              <w:rPr>
                <w:lang w:eastAsia="en-US"/>
              </w:rPr>
            </w:pPr>
            <w:r>
              <w:t>52</w:t>
            </w:r>
          </w:p>
        </w:tc>
      </w:tr>
      <w:tr w:rsidR="002E474C" w14:paraId="1FA03673" w14:textId="77777777">
        <w:tc>
          <w:tcPr>
            <w:tcW w:w="2024" w:type="pct"/>
            <w:tcBorders>
              <w:top w:val="single" w:sz="4" w:space="0" w:color="auto"/>
              <w:left w:val="single" w:sz="4" w:space="0" w:color="auto"/>
              <w:bottom w:val="single" w:sz="4" w:space="0" w:color="auto"/>
              <w:right w:val="single" w:sz="4" w:space="0" w:color="auto"/>
            </w:tcBorders>
          </w:tcPr>
          <w:p w14:paraId="1F7F0A5D" w14:textId="77777777" w:rsidR="002E474C" w:rsidRDefault="00000000">
            <w:pPr>
              <w:pStyle w:val="A-"/>
              <w:rPr>
                <w:lang w:eastAsia="en-US"/>
              </w:rPr>
            </w:pPr>
            <w:r>
              <w:t>木工电锯</w:t>
            </w:r>
          </w:p>
        </w:tc>
        <w:tc>
          <w:tcPr>
            <w:tcW w:w="425" w:type="pct"/>
            <w:tcBorders>
              <w:top w:val="single" w:sz="4" w:space="0" w:color="auto"/>
              <w:left w:val="single" w:sz="4" w:space="0" w:color="auto"/>
              <w:bottom w:val="single" w:sz="4" w:space="0" w:color="auto"/>
              <w:right w:val="single" w:sz="4" w:space="0" w:color="auto"/>
            </w:tcBorders>
          </w:tcPr>
          <w:p w14:paraId="67BD5931" w14:textId="77777777" w:rsidR="002E474C" w:rsidRDefault="00000000">
            <w:pPr>
              <w:pStyle w:val="A-"/>
              <w:rPr>
                <w:lang w:eastAsia="en-US"/>
              </w:rPr>
            </w:pPr>
            <w:r>
              <w:t>79</w:t>
            </w:r>
          </w:p>
        </w:tc>
        <w:tc>
          <w:tcPr>
            <w:tcW w:w="341" w:type="pct"/>
            <w:tcBorders>
              <w:top w:val="single" w:sz="4" w:space="0" w:color="auto"/>
              <w:left w:val="single" w:sz="4" w:space="0" w:color="auto"/>
              <w:bottom w:val="single" w:sz="4" w:space="0" w:color="auto"/>
              <w:right w:val="single" w:sz="4" w:space="0" w:color="auto"/>
            </w:tcBorders>
          </w:tcPr>
          <w:p w14:paraId="66138A9C" w14:textId="77777777" w:rsidR="002E474C" w:rsidRDefault="00000000">
            <w:pPr>
              <w:pStyle w:val="A-"/>
              <w:rPr>
                <w:lang w:eastAsia="en-US"/>
              </w:rPr>
            </w:pPr>
            <w:r>
              <w:t>73</w:t>
            </w:r>
          </w:p>
        </w:tc>
        <w:tc>
          <w:tcPr>
            <w:tcW w:w="425" w:type="pct"/>
            <w:tcBorders>
              <w:top w:val="single" w:sz="4" w:space="0" w:color="auto"/>
              <w:left w:val="single" w:sz="4" w:space="0" w:color="auto"/>
              <w:bottom w:val="single" w:sz="4" w:space="0" w:color="auto"/>
              <w:right w:val="single" w:sz="4" w:space="0" w:color="auto"/>
            </w:tcBorders>
          </w:tcPr>
          <w:p w14:paraId="16B96C66" w14:textId="77777777" w:rsidR="002E474C" w:rsidRDefault="00000000">
            <w:pPr>
              <w:pStyle w:val="A-"/>
              <w:rPr>
                <w:lang w:eastAsia="en-US"/>
              </w:rPr>
            </w:pPr>
            <w:r>
              <w:t>69</w:t>
            </w:r>
          </w:p>
        </w:tc>
        <w:tc>
          <w:tcPr>
            <w:tcW w:w="468" w:type="pct"/>
            <w:tcBorders>
              <w:top w:val="single" w:sz="4" w:space="0" w:color="auto"/>
              <w:left w:val="single" w:sz="4" w:space="0" w:color="auto"/>
              <w:bottom w:val="single" w:sz="4" w:space="0" w:color="auto"/>
              <w:right w:val="single" w:sz="4" w:space="0" w:color="auto"/>
            </w:tcBorders>
          </w:tcPr>
          <w:p w14:paraId="628043D8" w14:textId="77777777" w:rsidR="002E474C" w:rsidRDefault="00000000">
            <w:pPr>
              <w:pStyle w:val="A-"/>
              <w:rPr>
                <w:lang w:eastAsia="en-US"/>
              </w:rPr>
            </w:pPr>
            <w:r>
              <w:t>67</w:t>
            </w:r>
          </w:p>
        </w:tc>
        <w:tc>
          <w:tcPr>
            <w:tcW w:w="425" w:type="pct"/>
            <w:tcBorders>
              <w:top w:val="single" w:sz="4" w:space="0" w:color="auto"/>
              <w:left w:val="single" w:sz="4" w:space="0" w:color="auto"/>
              <w:bottom w:val="single" w:sz="4" w:space="0" w:color="auto"/>
              <w:right w:val="single" w:sz="4" w:space="0" w:color="auto"/>
            </w:tcBorders>
          </w:tcPr>
          <w:p w14:paraId="6DB7978C" w14:textId="77777777" w:rsidR="002E474C" w:rsidRDefault="00000000">
            <w:pPr>
              <w:pStyle w:val="A-"/>
              <w:rPr>
                <w:lang w:eastAsia="en-US"/>
              </w:rPr>
            </w:pPr>
            <w:r>
              <w:t>65</w:t>
            </w:r>
          </w:p>
        </w:tc>
        <w:tc>
          <w:tcPr>
            <w:tcW w:w="425" w:type="pct"/>
            <w:tcBorders>
              <w:top w:val="single" w:sz="4" w:space="0" w:color="auto"/>
              <w:left w:val="single" w:sz="4" w:space="0" w:color="auto"/>
              <w:bottom w:val="single" w:sz="4" w:space="0" w:color="auto"/>
              <w:right w:val="single" w:sz="4" w:space="0" w:color="auto"/>
            </w:tcBorders>
          </w:tcPr>
          <w:p w14:paraId="373DCD25" w14:textId="77777777" w:rsidR="002E474C" w:rsidRDefault="00000000">
            <w:pPr>
              <w:pStyle w:val="A-"/>
              <w:rPr>
                <w:lang w:eastAsia="en-US"/>
              </w:rPr>
            </w:pPr>
            <w:r>
              <w:t>63</w:t>
            </w:r>
          </w:p>
        </w:tc>
        <w:tc>
          <w:tcPr>
            <w:tcW w:w="468" w:type="pct"/>
            <w:tcBorders>
              <w:top w:val="single" w:sz="4" w:space="0" w:color="auto"/>
              <w:left w:val="single" w:sz="4" w:space="0" w:color="auto"/>
              <w:bottom w:val="single" w:sz="4" w:space="0" w:color="auto"/>
              <w:right w:val="single" w:sz="4" w:space="0" w:color="auto"/>
            </w:tcBorders>
          </w:tcPr>
          <w:p w14:paraId="58F3E4DF" w14:textId="77777777" w:rsidR="002E474C" w:rsidRDefault="00000000">
            <w:pPr>
              <w:pStyle w:val="A-"/>
              <w:rPr>
                <w:lang w:eastAsia="en-US"/>
              </w:rPr>
            </w:pPr>
            <w:r>
              <w:t>61</w:t>
            </w:r>
          </w:p>
        </w:tc>
      </w:tr>
      <w:tr w:rsidR="002E474C" w14:paraId="410E66E9" w14:textId="77777777">
        <w:tc>
          <w:tcPr>
            <w:tcW w:w="2024" w:type="pct"/>
            <w:tcBorders>
              <w:top w:val="single" w:sz="4" w:space="0" w:color="auto"/>
              <w:left w:val="single" w:sz="4" w:space="0" w:color="auto"/>
              <w:bottom w:val="single" w:sz="4" w:space="0" w:color="auto"/>
              <w:right w:val="single" w:sz="4" w:space="0" w:color="auto"/>
            </w:tcBorders>
          </w:tcPr>
          <w:p w14:paraId="6055A1C8" w14:textId="77777777" w:rsidR="002E474C" w:rsidRDefault="00000000">
            <w:pPr>
              <w:pStyle w:val="A-"/>
              <w:rPr>
                <w:lang w:eastAsia="en-US"/>
              </w:rPr>
            </w:pPr>
            <w:r>
              <w:t>电锤</w:t>
            </w:r>
          </w:p>
        </w:tc>
        <w:tc>
          <w:tcPr>
            <w:tcW w:w="425" w:type="pct"/>
            <w:tcBorders>
              <w:top w:val="single" w:sz="4" w:space="0" w:color="auto"/>
              <w:left w:val="single" w:sz="4" w:space="0" w:color="auto"/>
              <w:bottom w:val="single" w:sz="4" w:space="0" w:color="auto"/>
              <w:right w:val="single" w:sz="4" w:space="0" w:color="auto"/>
            </w:tcBorders>
          </w:tcPr>
          <w:p w14:paraId="502C64D9" w14:textId="77777777" w:rsidR="002E474C" w:rsidRDefault="00000000">
            <w:pPr>
              <w:pStyle w:val="A-"/>
              <w:rPr>
                <w:lang w:eastAsia="en-US"/>
              </w:rPr>
            </w:pPr>
            <w:r>
              <w:t>85</w:t>
            </w:r>
          </w:p>
        </w:tc>
        <w:tc>
          <w:tcPr>
            <w:tcW w:w="341" w:type="pct"/>
            <w:tcBorders>
              <w:top w:val="single" w:sz="4" w:space="0" w:color="auto"/>
              <w:left w:val="single" w:sz="4" w:space="0" w:color="auto"/>
              <w:bottom w:val="single" w:sz="4" w:space="0" w:color="auto"/>
              <w:right w:val="single" w:sz="4" w:space="0" w:color="auto"/>
            </w:tcBorders>
          </w:tcPr>
          <w:p w14:paraId="5225C7F3" w14:textId="77777777" w:rsidR="002E474C" w:rsidRDefault="00000000">
            <w:pPr>
              <w:pStyle w:val="A-"/>
              <w:rPr>
                <w:lang w:eastAsia="en-US"/>
              </w:rPr>
            </w:pPr>
            <w:r>
              <w:t>79</w:t>
            </w:r>
          </w:p>
        </w:tc>
        <w:tc>
          <w:tcPr>
            <w:tcW w:w="425" w:type="pct"/>
            <w:tcBorders>
              <w:top w:val="single" w:sz="4" w:space="0" w:color="auto"/>
              <w:left w:val="single" w:sz="4" w:space="0" w:color="auto"/>
              <w:bottom w:val="single" w:sz="4" w:space="0" w:color="auto"/>
              <w:right w:val="single" w:sz="4" w:space="0" w:color="auto"/>
            </w:tcBorders>
          </w:tcPr>
          <w:p w14:paraId="0E749D6E" w14:textId="77777777" w:rsidR="002E474C" w:rsidRDefault="00000000">
            <w:pPr>
              <w:pStyle w:val="A-"/>
              <w:rPr>
                <w:lang w:eastAsia="en-US"/>
              </w:rPr>
            </w:pPr>
            <w:r>
              <w:t>75</w:t>
            </w:r>
          </w:p>
        </w:tc>
        <w:tc>
          <w:tcPr>
            <w:tcW w:w="468" w:type="pct"/>
            <w:tcBorders>
              <w:top w:val="single" w:sz="4" w:space="0" w:color="auto"/>
              <w:left w:val="single" w:sz="4" w:space="0" w:color="auto"/>
              <w:bottom w:val="single" w:sz="4" w:space="0" w:color="auto"/>
              <w:right w:val="single" w:sz="4" w:space="0" w:color="auto"/>
            </w:tcBorders>
          </w:tcPr>
          <w:p w14:paraId="2AC84ADF" w14:textId="77777777" w:rsidR="002E474C" w:rsidRDefault="00000000">
            <w:pPr>
              <w:pStyle w:val="A-"/>
              <w:rPr>
                <w:lang w:eastAsia="en-US"/>
              </w:rPr>
            </w:pPr>
            <w:r>
              <w:t>73</w:t>
            </w:r>
          </w:p>
        </w:tc>
        <w:tc>
          <w:tcPr>
            <w:tcW w:w="425" w:type="pct"/>
            <w:tcBorders>
              <w:top w:val="single" w:sz="4" w:space="0" w:color="auto"/>
              <w:left w:val="single" w:sz="4" w:space="0" w:color="auto"/>
              <w:bottom w:val="single" w:sz="4" w:space="0" w:color="auto"/>
              <w:right w:val="single" w:sz="4" w:space="0" w:color="auto"/>
            </w:tcBorders>
          </w:tcPr>
          <w:p w14:paraId="60ED128B" w14:textId="77777777" w:rsidR="002E474C" w:rsidRDefault="00000000">
            <w:pPr>
              <w:pStyle w:val="A-"/>
              <w:rPr>
                <w:lang w:eastAsia="en-US"/>
              </w:rPr>
            </w:pPr>
            <w:r>
              <w:t>71</w:t>
            </w:r>
          </w:p>
        </w:tc>
        <w:tc>
          <w:tcPr>
            <w:tcW w:w="425" w:type="pct"/>
            <w:tcBorders>
              <w:top w:val="single" w:sz="4" w:space="0" w:color="auto"/>
              <w:left w:val="single" w:sz="4" w:space="0" w:color="auto"/>
              <w:bottom w:val="single" w:sz="4" w:space="0" w:color="auto"/>
              <w:right w:val="single" w:sz="4" w:space="0" w:color="auto"/>
            </w:tcBorders>
          </w:tcPr>
          <w:p w14:paraId="01ED4DEB" w14:textId="77777777" w:rsidR="002E474C" w:rsidRDefault="00000000">
            <w:pPr>
              <w:pStyle w:val="A-"/>
              <w:rPr>
                <w:lang w:eastAsia="en-US"/>
              </w:rPr>
            </w:pPr>
            <w:r>
              <w:t>69</w:t>
            </w:r>
          </w:p>
        </w:tc>
        <w:tc>
          <w:tcPr>
            <w:tcW w:w="468" w:type="pct"/>
            <w:tcBorders>
              <w:top w:val="single" w:sz="4" w:space="0" w:color="auto"/>
              <w:left w:val="single" w:sz="4" w:space="0" w:color="auto"/>
              <w:bottom w:val="single" w:sz="4" w:space="0" w:color="auto"/>
              <w:right w:val="single" w:sz="4" w:space="0" w:color="auto"/>
            </w:tcBorders>
          </w:tcPr>
          <w:p w14:paraId="07D2E7AC" w14:textId="77777777" w:rsidR="002E474C" w:rsidRDefault="00000000">
            <w:pPr>
              <w:pStyle w:val="A-"/>
              <w:rPr>
                <w:lang w:eastAsia="en-US"/>
              </w:rPr>
            </w:pPr>
            <w:r>
              <w:t>67</w:t>
            </w:r>
          </w:p>
        </w:tc>
      </w:tr>
      <w:tr w:rsidR="002E474C" w14:paraId="1FB28B85" w14:textId="77777777">
        <w:tc>
          <w:tcPr>
            <w:tcW w:w="2024" w:type="pct"/>
            <w:tcBorders>
              <w:top w:val="single" w:sz="4" w:space="0" w:color="auto"/>
              <w:left w:val="single" w:sz="4" w:space="0" w:color="auto"/>
              <w:bottom w:val="single" w:sz="4" w:space="0" w:color="auto"/>
              <w:right w:val="single" w:sz="4" w:space="0" w:color="auto"/>
            </w:tcBorders>
          </w:tcPr>
          <w:p w14:paraId="608ED6AB" w14:textId="77777777" w:rsidR="002E474C" w:rsidRDefault="00000000">
            <w:pPr>
              <w:pStyle w:val="A-"/>
              <w:rPr>
                <w:lang w:eastAsia="en-US"/>
              </w:rPr>
            </w:pPr>
            <w:r>
              <w:t>振动夯锤</w:t>
            </w:r>
          </w:p>
        </w:tc>
        <w:tc>
          <w:tcPr>
            <w:tcW w:w="425" w:type="pct"/>
            <w:tcBorders>
              <w:top w:val="single" w:sz="4" w:space="0" w:color="auto"/>
              <w:left w:val="single" w:sz="4" w:space="0" w:color="auto"/>
              <w:bottom w:val="single" w:sz="4" w:space="0" w:color="auto"/>
              <w:right w:val="single" w:sz="4" w:space="0" w:color="auto"/>
            </w:tcBorders>
          </w:tcPr>
          <w:p w14:paraId="62CE4D76" w14:textId="77777777" w:rsidR="002E474C" w:rsidRDefault="00000000">
            <w:pPr>
              <w:pStyle w:val="A-"/>
              <w:rPr>
                <w:lang w:eastAsia="en-US"/>
              </w:rPr>
            </w:pPr>
            <w:r>
              <w:t>80</w:t>
            </w:r>
          </w:p>
        </w:tc>
        <w:tc>
          <w:tcPr>
            <w:tcW w:w="341" w:type="pct"/>
            <w:tcBorders>
              <w:top w:val="single" w:sz="4" w:space="0" w:color="auto"/>
              <w:left w:val="single" w:sz="4" w:space="0" w:color="auto"/>
              <w:bottom w:val="single" w:sz="4" w:space="0" w:color="auto"/>
              <w:right w:val="single" w:sz="4" w:space="0" w:color="auto"/>
            </w:tcBorders>
          </w:tcPr>
          <w:p w14:paraId="1F7EA4ED" w14:textId="77777777" w:rsidR="002E474C" w:rsidRDefault="00000000">
            <w:pPr>
              <w:pStyle w:val="A-"/>
              <w:rPr>
                <w:lang w:eastAsia="en-US"/>
              </w:rPr>
            </w:pPr>
            <w:r>
              <w:t>74</w:t>
            </w:r>
          </w:p>
        </w:tc>
        <w:tc>
          <w:tcPr>
            <w:tcW w:w="425" w:type="pct"/>
            <w:tcBorders>
              <w:top w:val="single" w:sz="4" w:space="0" w:color="auto"/>
              <w:left w:val="single" w:sz="4" w:space="0" w:color="auto"/>
              <w:bottom w:val="single" w:sz="4" w:space="0" w:color="auto"/>
              <w:right w:val="single" w:sz="4" w:space="0" w:color="auto"/>
            </w:tcBorders>
          </w:tcPr>
          <w:p w14:paraId="5889D1A4" w14:textId="77777777" w:rsidR="002E474C" w:rsidRDefault="00000000">
            <w:pPr>
              <w:pStyle w:val="A-"/>
              <w:rPr>
                <w:lang w:eastAsia="en-US"/>
              </w:rPr>
            </w:pPr>
            <w:r>
              <w:t>70</w:t>
            </w:r>
          </w:p>
        </w:tc>
        <w:tc>
          <w:tcPr>
            <w:tcW w:w="468" w:type="pct"/>
            <w:tcBorders>
              <w:top w:val="single" w:sz="4" w:space="0" w:color="auto"/>
              <w:left w:val="single" w:sz="4" w:space="0" w:color="auto"/>
              <w:bottom w:val="single" w:sz="4" w:space="0" w:color="auto"/>
              <w:right w:val="single" w:sz="4" w:space="0" w:color="auto"/>
            </w:tcBorders>
          </w:tcPr>
          <w:p w14:paraId="3A3C6D99" w14:textId="77777777" w:rsidR="002E474C" w:rsidRDefault="00000000">
            <w:pPr>
              <w:pStyle w:val="A-"/>
              <w:rPr>
                <w:lang w:eastAsia="en-US"/>
              </w:rPr>
            </w:pPr>
            <w:r>
              <w:t>68</w:t>
            </w:r>
          </w:p>
        </w:tc>
        <w:tc>
          <w:tcPr>
            <w:tcW w:w="425" w:type="pct"/>
            <w:tcBorders>
              <w:top w:val="single" w:sz="4" w:space="0" w:color="auto"/>
              <w:left w:val="single" w:sz="4" w:space="0" w:color="auto"/>
              <w:bottom w:val="single" w:sz="4" w:space="0" w:color="auto"/>
              <w:right w:val="single" w:sz="4" w:space="0" w:color="auto"/>
            </w:tcBorders>
          </w:tcPr>
          <w:p w14:paraId="3B456B70" w14:textId="77777777" w:rsidR="002E474C" w:rsidRDefault="00000000">
            <w:pPr>
              <w:pStyle w:val="A-"/>
              <w:rPr>
                <w:lang w:eastAsia="en-US"/>
              </w:rPr>
            </w:pPr>
            <w:r>
              <w:t>66</w:t>
            </w:r>
          </w:p>
        </w:tc>
        <w:tc>
          <w:tcPr>
            <w:tcW w:w="425" w:type="pct"/>
            <w:tcBorders>
              <w:top w:val="single" w:sz="4" w:space="0" w:color="auto"/>
              <w:left w:val="single" w:sz="4" w:space="0" w:color="auto"/>
              <w:bottom w:val="single" w:sz="4" w:space="0" w:color="auto"/>
              <w:right w:val="single" w:sz="4" w:space="0" w:color="auto"/>
            </w:tcBorders>
          </w:tcPr>
          <w:p w14:paraId="71376DE5" w14:textId="77777777" w:rsidR="002E474C" w:rsidRDefault="00000000">
            <w:pPr>
              <w:pStyle w:val="A-"/>
              <w:rPr>
                <w:lang w:eastAsia="en-US"/>
              </w:rPr>
            </w:pPr>
            <w:r>
              <w:t>64</w:t>
            </w:r>
          </w:p>
        </w:tc>
        <w:tc>
          <w:tcPr>
            <w:tcW w:w="468" w:type="pct"/>
            <w:tcBorders>
              <w:top w:val="single" w:sz="4" w:space="0" w:color="auto"/>
              <w:left w:val="single" w:sz="4" w:space="0" w:color="auto"/>
              <w:bottom w:val="single" w:sz="4" w:space="0" w:color="auto"/>
              <w:right w:val="single" w:sz="4" w:space="0" w:color="auto"/>
            </w:tcBorders>
          </w:tcPr>
          <w:p w14:paraId="767FCB98" w14:textId="77777777" w:rsidR="002E474C" w:rsidRDefault="00000000">
            <w:pPr>
              <w:pStyle w:val="A-"/>
              <w:rPr>
                <w:lang w:eastAsia="en-US"/>
              </w:rPr>
            </w:pPr>
            <w:r>
              <w:t>62</w:t>
            </w:r>
          </w:p>
        </w:tc>
      </w:tr>
      <w:tr w:rsidR="002E474C" w14:paraId="6A7D4D89" w14:textId="77777777">
        <w:tc>
          <w:tcPr>
            <w:tcW w:w="2024" w:type="pct"/>
            <w:tcBorders>
              <w:top w:val="single" w:sz="4" w:space="0" w:color="auto"/>
              <w:left w:val="single" w:sz="4" w:space="0" w:color="auto"/>
              <w:bottom w:val="single" w:sz="4" w:space="0" w:color="auto"/>
              <w:right w:val="single" w:sz="4" w:space="0" w:color="auto"/>
            </w:tcBorders>
          </w:tcPr>
          <w:p w14:paraId="1F9F2630" w14:textId="77777777" w:rsidR="002E474C" w:rsidRDefault="00000000">
            <w:pPr>
              <w:pStyle w:val="A-"/>
              <w:rPr>
                <w:lang w:eastAsia="en-US"/>
              </w:rPr>
            </w:pPr>
            <w:r>
              <w:t>打桩机</w:t>
            </w:r>
          </w:p>
        </w:tc>
        <w:tc>
          <w:tcPr>
            <w:tcW w:w="425" w:type="pct"/>
            <w:tcBorders>
              <w:top w:val="single" w:sz="4" w:space="0" w:color="auto"/>
              <w:left w:val="single" w:sz="4" w:space="0" w:color="auto"/>
              <w:bottom w:val="single" w:sz="4" w:space="0" w:color="auto"/>
              <w:right w:val="single" w:sz="4" w:space="0" w:color="auto"/>
            </w:tcBorders>
          </w:tcPr>
          <w:p w14:paraId="3788D41B" w14:textId="77777777" w:rsidR="002E474C" w:rsidRDefault="00000000">
            <w:pPr>
              <w:pStyle w:val="A-"/>
              <w:rPr>
                <w:lang w:eastAsia="en-US"/>
              </w:rPr>
            </w:pPr>
            <w:r>
              <w:t>90</w:t>
            </w:r>
          </w:p>
        </w:tc>
        <w:tc>
          <w:tcPr>
            <w:tcW w:w="341" w:type="pct"/>
            <w:tcBorders>
              <w:top w:val="single" w:sz="4" w:space="0" w:color="auto"/>
              <w:left w:val="single" w:sz="4" w:space="0" w:color="auto"/>
              <w:bottom w:val="single" w:sz="4" w:space="0" w:color="auto"/>
              <w:right w:val="single" w:sz="4" w:space="0" w:color="auto"/>
            </w:tcBorders>
          </w:tcPr>
          <w:p w14:paraId="173DF364" w14:textId="77777777" w:rsidR="002E474C" w:rsidRDefault="00000000">
            <w:pPr>
              <w:pStyle w:val="A-"/>
              <w:rPr>
                <w:lang w:eastAsia="en-US"/>
              </w:rPr>
            </w:pPr>
            <w:r>
              <w:t>84</w:t>
            </w:r>
          </w:p>
        </w:tc>
        <w:tc>
          <w:tcPr>
            <w:tcW w:w="425" w:type="pct"/>
            <w:tcBorders>
              <w:top w:val="single" w:sz="4" w:space="0" w:color="auto"/>
              <w:left w:val="single" w:sz="4" w:space="0" w:color="auto"/>
              <w:bottom w:val="single" w:sz="4" w:space="0" w:color="auto"/>
              <w:right w:val="single" w:sz="4" w:space="0" w:color="auto"/>
            </w:tcBorders>
          </w:tcPr>
          <w:p w14:paraId="3EAF062A" w14:textId="77777777" w:rsidR="002E474C" w:rsidRDefault="00000000">
            <w:pPr>
              <w:pStyle w:val="A-"/>
              <w:rPr>
                <w:lang w:eastAsia="en-US"/>
              </w:rPr>
            </w:pPr>
            <w:r>
              <w:t>80</w:t>
            </w:r>
          </w:p>
        </w:tc>
        <w:tc>
          <w:tcPr>
            <w:tcW w:w="468" w:type="pct"/>
            <w:tcBorders>
              <w:top w:val="single" w:sz="4" w:space="0" w:color="auto"/>
              <w:left w:val="single" w:sz="4" w:space="0" w:color="auto"/>
              <w:bottom w:val="single" w:sz="4" w:space="0" w:color="auto"/>
              <w:right w:val="single" w:sz="4" w:space="0" w:color="auto"/>
            </w:tcBorders>
          </w:tcPr>
          <w:p w14:paraId="5B8C53FF" w14:textId="77777777" w:rsidR="002E474C" w:rsidRDefault="00000000">
            <w:pPr>
              <w:pStyle w:val="A-"/>
              <w:rPr>
                <w:lang w:eastAsia="en-US"/>
              </w:rPr>
            </w:pPr>
            <w:r>
              <w:t>78</w:t>
            </w:r>
          </w:p>
        </w:tc>
        <w:tc>
          <w:tcPr>
            <w:tcW w:w="425" w:type="pct"/>
            <w:tcBorders>
              <w:top w:val="single" w:sz="4" w:space="0" w:color="auto"/>
              <w:left w:val="single" w:sz="4" w:space="0" w:color="auto"/>
              <w:bottom w:val="single" w:sz="4" w:space="0" w:color="auto"/>
              <w:right w:val="single" w:sz="4" w:space="0" w:color="auto"/>
            </w:tcBorders>
          </w:tcPr>
          <w:p w14:paraId="317F3634" w14:textId="77777777" w:rsidR="002E474C" w:rsidRDefault="00000000">
            <w:pPr>
              <w:pStyle w:val="A-"/>
              <w:rPr>
                <w:lang w:eastAsia="en-US"/>
              </w:rPr>
            </w:pPr>
            <w:r>
              <w:t>76</w:t>
            </w:r>
          </w:p>
        </w:tc>
        <w:tc>
          <w:tcPr>
            <w:tcW w:w="425" w:type="pct"/>
            <w:tcBorders>
              <w:top w:val="single" w:sz="4" w:space="0" w:color="auto"/>
              <w:left w:val="single" w:sz="4" w:space="0" w:color="auto"/>
              <w:bottom w:val="single" w:sz="4" w:space="0" w:color="auto"/>
              <w:right w:val="single" w:sz="4" w:space="0" w:color="auto"/>
            </w:tcBorders>
          </w:tcPr>
          <w:p w14:paraId="784F3730" w14:textId="77777777" w:rsidR="002E474C" w:rsidRDefault="00000000">
            <w:pPr>
              <w:pStyle w:val="A-"/>
              <w:rPr>
                <w:lang w:eastAsia="en-US"/>
              </w:rPr>
            </w:pPr>
            <w:r>
              <w:t>74</w:t>
            </w:r>
          </w:p>
        </w:tc>
        <w:tc>
          <w:tcPr>
            <w:tcW w:w="468" w:type="pct"/>
            <w:tcBorders>
              <w:top w:val="single" w:sz="4" w:space="0" w:color="auto"/>
              <w:left w:val="single" w:sz="4" w:space="0" w:color="auto"/>
              <w:bottom w:val="single" w:sz="4" w:space="0" w:color="auto"/>
              <w:right w:val="single" w:sz="4" w:space="0" w:color="auto"/>
            </w:tcBorders>
          </w:tcPr>
          <w:p w14:paraId="12052586" w14:textId="77777777" w:rsidR="002E474C" w:rsidRDefault="00000000">
            <w:pPr>
              <w:pStyle w:val="A-"/>
              <w:rPr>
                <w:lang w:eastAsia="en-US"/>
              </w:rPr>
            </w:pPr>
            <w:r>
              <w:t>72</w:t>
            </w:r>
          </w:p>
        </w:tc>
      </w:tr>
      <w:tr w:rsidR="002E474C" w14:paraId="620CDEFF" w14:textId="77777777">
        <w:tc>
          <w:tcPr>
            <w:tcW w:w="2024" w:type="pct"/>
            <w:tcBorders>
              <w:top w:val="single" w:sz="4" w:space="0" w:color="auto"/>
              <w:left w:val="single" w:sz="4" w:space="0" w:color="auto"/>
              <w:bottom w:val="single" w:sz="4" w:space="0" w:color="auto"/>
              <w:right w:val="single" w:sz="4" w:space="0" w:color="auto"/>
            </w:tcBorders>
          </w:tcPr>
          <w:p w14:paraId="64146206" w14:textId="77777777" w:rsidR="002E474C" w:rsidRDefault="00000000">
            <w:pPr>
              <w:pStyle w:val="A-"/>
              <w:rPr>
                <w:lang w:eastAsia="en-US"/>
              </w:rPr>
            </w:pPr>
            <w:r>
              <w:t>静力压桩机</w:t>
            </w:r>
          </w:p>
        </w:tc>
        <w:tc>
          <w:tcPr>
            <w:tcW w:w="425" w:type="pct"/>
            <w:tcBorders>
              <w:top w:val="single" w:sz="4" w:space="0" w:color="auto"/>
              <w:left w:val="single" w:sz="4" w:space="0" w:color="auto"/>
              <w:bottom w:val="single" w:sz="4" w:space="0" w:color="auto"/>
              <w:right w:val="single" w:sz="4" w:space="0" w:color="auto"/>
            </w:tcBorders>
          </w:tcPr>
          <w:p w14:paraId="7D017789" w14:textId="77777777" w:rsidR="002E474C" w:rsidRDefault="00000000">
            <w:pPr>
              <w:pStyle w:val="A-"/>
              <w:rPr>
                <w:lang w:eastAsia="en-US"/>
              </w:rPr>
            </w:pPr>
            <w:r>
              <w:t>55</w:t>
            </w:r>
          </w:p>
        </w:tc>
        <w:tc>
          <w:tcPr>
            <w:tcW w:w="341" w:type="pct"/>
            <w:tcBorders>
              <w:top w:val="single" w:sz="4" w:space="0" w:color="auto"/>
              <w:left w:val="single" w:sz="4" w:space="0" w:color="auto"/>
              <w:bottom w:val="single" w:sz="4" w:space="0" w:color="auto"/>
              <w:right w:val="single" w:sz="4" w:space="0" w:color="auto"/>
            </w:tcBorders>
          </w:tcPr>
          <w:p w14:paraId="3C53D089" w14:textId="77777777" w:rsidR="002E474C" w:rsidRDefault="00000000">
            <w:pPr>
              <w:pStyle w:val="A-"/>
              <w:rPr>
                <w:lang w:eastAsia="en-US"/>
              </w:rPr>
            </w:pPr>
            <w:r>
              <w:t>49</w:t>
            </w:r>
          </w:p>
        </w:tc>
        <w:tc>
          <w:tcPr>
            <w:tcW w:w="425" w:type="pct"/>
            <w:tcBorders>
              <w:top w:val="single" w:sz="4" w:space="0" w:color="auto"/>
              <w:left w:val="single" w:sz="4" w:space="0" w:color="auto"/>
              <w:bottom w:val="single" w:sz="4" w:space="0" w:color="auto"/>
              <w:right w:val="single" w:sz="4" w:space="0" w:color="auto"/>
            </w:tcBorders>
          </w:tcPr>
          <w:p w14:paraId="7673E4B8" w14:textId="77777777" w:rsidR="002E474C" w:rsidRDefault="00000000">
            <w:pPr>
              <w:pStyle w:val="A-"/>
              <w:rPr>
                <w:lang w:eastAsia="en-US"/>
              </w:rPr>
            </w:pPr>
            <w:r>
              <w:t>45</w:t>
            </w:r>
          </w:p>
        </w:tc>
        <w:tc>
          <w:tcPr>
            <w:tcW w:w="468" w:type="pct"/>
            <w:tcBorders>
              <w:top w:val="single" w:sz="4" w:space="0" w:color="auto"/>
              <w:left w:val="single" w:sz="4" w:space="0" w:color="auto"/>
              <w:bottom w:val="single" w:sz="4" w:space="0" w:color="auto"/>
              <w:right w:val="single" w:sz="4" w:space="0" w:color="auto"/>
            </w:tcBorders>
          </w:tcPr>
          <w:p w14:paraId="571A5596" w14:textId="77777777" w:rsidR="002E474C" w:rsidRDefault="00000000">
            <w:pPr>
              <w:pStyle w:val="A-"/>
              <w:rPr>
                <w:lang w:eastAsia="en-US"/>
              </w:rPr>
            </w:pPr>
            <w:r>
              <w:t>43</w:t>
            </w:r>
          </w:p>
        </w:tc>
        <w:tc>
          <w:tcPr>
            <w:tcW w:w="425" w:type="pct"/>
            <w:tcBorders>
              <w:top w:val="single" w:sz="4" w:space="0" w:color="auto"/>
              <w:left w:val="single" w:sz="4" w:space="0" w:color="auto"/>
              <w:bottom w:val="single" w:sz="4" w:space="0" w:color="auto"/>
              <w:right w:val="single" w:sz="4" w:space="0" w:color="auto"/>
            </w:tcBorders>
          </w:tcPr>
          <w:p w14:paraId="28524751" w14:textId="77777777" w:rsidR="002E474C" w:rsidRDefault="00000000">
            <w:pPr>
              <w:pStyle w:val="A-"/>
              <w:rPr>
                <w:lang w:eastAsia="en-US"/>
              </w:rPr>
            </w:pPr>
            <w:r>
              <w:t>41</w:t>
            </w:r>
          </w:p>
        </w:tc>
        <w:tc>
          <w:tcPr>
            <w:tcW w:w="425" w:type="pct"/>
            <w:tcBorders>
              <w:top w:val="single" w:sz="4" w:space="0" w:color="auto"/>
              <w:left w:val="single" w:sz="4" w:space="0" w:color="auto"/>
              <w:bottom w:val="single" w:sz="4" w:space="0" w:color="auto"/>
              <w:right w:val="single" w:sz="4" w:space="0" w:color="auto"/>
            </w:tcBorders>
          </w:tcPr>
          <w:p w14:paraId="7786B082" w14:textId="77777777" w:rsidR="002E474C" w:rsidRDefault="00000000">
            <w:pPr>
              <w:pStyle w:val="A-"/>
              <w:rPr>
                <w:lang w:eastAsia="en-US"/>
              </w:rPr>
            </w:pPr>
            <w:r>
              <w:t>39</w:t>
            </w:r>
          </w:p>
        </w:tc>
        <w:tc>
          <w:tcPr>
            <w:tcW w:w="468" w:type="pct"/>
            <w:tcBorders>
              <w:top w:val="single" w:sz="4" w:space="0" w:color="auto"/>
              <w:left w:val="single" w:sz="4" w:space="0" w:color="auto"/>
              <w:bottom w:val="single" w:sz="4" w:space="0" w:color="auto"/>
              <w:right w:val="single" w:sz="4" w:space="0" w:color="auto"/>
            </w:tcBorders>
          </w:tcPr>
          <w:p w14:paraId="052E7360" w14:textId="77777777" w:rsidR="002E474C" w:rsidRDefault="00000000">
            <w:pPr>
              <w:pStyle w:val="A-"/>
              <w:rPr>
                <w:lang w:eastAsia="en-US"/>
              </w:rPr>
            </w:pPr>
            <w:r>
              <w:t>37</w:t>
            </w:r>
          </w:p>
        </w:tc>
      </w:tr>
      <w:tr w:rsidR="002E474C" w14:paraId="571B2BD2" w14:textId="77777777">
        <w:tc>
          <w:tcPr>
            <w:tcW w:w="2024" w:type="pct"/>
            <w:tcBorders>
              <w:top w:val="single" w:sz="4" w:space="0" w:color="auto"/>
              <w:left w:val="single" w:sz="4" w:space="0" w:color="auto"/>
              <w:bottom w:val="single" w:sz="4" w:space="0" w:color="auto"/>
              <w:right w:val="single" w:sz="4" w:space="0" w:color="auto"/>
            </w:tcBorders>
          </w:tcPr>
          <w:p w14:paraId="22D3D486" w14:textId="77777777" w:rsidR="002E474C" w:rsidRDefault="00000000">
            <w:pPr>
              <w:pStyle w:val="A-"/>
              <w:rPr>
                <w:lang w:eastAsia="en-US"/>
              </w:rPr>
            </w:pPr>
            <w:r>
              <w:t>风镐</w:t>
            </w:r>
          </w:p>
        </w:tc>
        <w:tc>
          <w:tcPr>
            <w:tcW w:w="425" w:type="pct"/>
            <w:tcBorders>
              <w:top w:val="single" w:sz="4" w:space="0" w:color="auto"/>
              <w:left w:val="single" w:sz="4" w:space="0" w:color="auto"/>
              <w:bottom w:val="single" w:sz="4" w:space="0" w:color="auto"/>
              <w:right w:val="single" w:sz="4" w:space="0" w:color="auto"/>
            </w:tcBorders>
          </w:tcPr>
          <w:p w14:paraId="338CE422" w14:textId="77777777" w:rsidR="002E474C" w:rsidRDefault="00000000">
            <w:pPr>
              <w:pStyle w:val="A-"/>
              <w:rPr>
                <w:lang w:eastAsia="en-US"/>
              </w:rPr>
            </w:pPr>
            <w:r>
              <w:t>72</w:t>
            </w:r>
          </w:p>
        </w:tc>
        <w:tc>
          <w:tcPr>
            <w:tcW w:w="341" w:type="pct"/>
            <w:tcBorders>
              <w:top w:val="single" w:sz="4" w:space="0" w:color="auto"/>
              <w:left w:val="single" w:sz="4" w:space="0" w:color="auto"/>
              <w:bottom w:val="single" w:sz="4" w:space="0" w:color="auto"/>
              <w:right w:val="single" w:sz="4" w:space="0" w:color="auto"/>
            </w:tcBorders>
          </w:tcPr>
          <w:p w14:paraId="3F18C2D2" w14:textId="77777777" w:rsidR="002E474C" w:rsidRDefault="00000000">
            <w:pPr>
              <w:pStyle w:val="A-"/>
              <w:rPr>
                <w:lang w:eastAsia="en-US"/>
              </w:rPr>
            </w:pPr>
            <w:r>
              <w:t>66</w:t>
            </w:r>
          </w:p>
        </w:tc>
        <w:tc>
          <w:tcPr>
            <w:tcW w:w="425" w:type="pct"/>
            <w:tcBorders>
              <w:top w:val="single" w:sz="4" w:space="0" w:color="auto"/>
              <w:left w:val="single" w:sz="4" w:space="0" w:color="auto"/>
              <w:bottom w:val="single" w:sz="4" w:space="0" w:color="auto"/>
              <w:right w:val="single" w:sz="4" w:space="0" w:color="auto"/>
            </w:tcBorders>
          </w:tcPr>
          <w:p w14:paraId="33F6BD4B" w14:textId="77777777" w:rsidR="002E474C" w:rsidRDefault="00000000">
            <w:pPr>
              <w:pStyle w:val="A-"/>
              <w:rPr>
                <w:lang w:eastAsia="en-US"/>
              </w:rPr>
            </w:pPr>
            <w:r>
              <w:t>62</w:t>
            </w:r>
          </w:p>
        </w:tc>
        <w:tc>
          <w:tcPr>
            <w:tcW w:w="468" w:type="pct"/>
            <w:tcBorders>
              <w:top w:val="single" w:sz="4" w:space="0" w:color="auto"/>
              <w:left w:val="single" w:sz="4" w:space="0" w:color="auto"/>
              <w:bottom w:val="single" w:sz="4" w:space="0" w:color="auto"/>
              <w:right w:val="single" w:sz="4" w:space="0" w:color="auto"/>
            </w:tcBorders>
          </w:tcPr>
          <w:p w14:paraId="1BC8B945" w14:textId="77777777" w:rsidR="002E474C" w:rsidRDefault="00000000">
            <w:pPr>
              <w:pStyle w:val="A-"/>
              <w:rPr>
                <w:lang w:eastAsia="en-US"/>
              </w:rPr>
            </w:pPr>
            <w:r>
              <w:t>60</w:t>
            </w:r>
          </w:p>
        </w:tc>
        <w:tc>
          <w:tcPr>
            <w:tcW w:w="425" w:type="pct"/>
            <w:tcBorders>
              <w:top w:val="single" w:sz="4" w:space="0" w:color="auto"/>
              <w:left w:val="single" w:sz="4" w:space="0" w:color="auto"/>
              <w:bottom w:val="single" w:sz="4" w:space="0" w:color="auto"/>
              <w:right w:val="single" w:sz="4" w:space="0" w:color="auto"/>
            </w:tcBorders>
          </w:tcPr>
          <w:p w14:paraId="7E78496E"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67A5F818" w14:textId="77777777" w:rsidR="002E474C" w:rsidRDefault="00000000">
            <w:pPr>
              <w:pStyle w:val="A-"/>
              <w:rPr>
                <w:lang w:eastAsia="en-US"/>
              </w:rPr>
            </w:pPr>
            <w:r>
              <w:t>56</w:t>
            </w:r>
          </w:p>
        </w:tc>
        <w:tc>
          <w:tcPr>
            <w:tcW w:w="468" w:type="pct"/>
            <w:tcBorders>
              <w:top w:val="single" w:sz="4" w:space="0" w:color="auto"/>
              <w:left w:val="single" w:sz="4" w:space="0" w:color="auto"/>
              <w:bottom w:val="single" w:sz="4" w:space="0" w:color="auto"/>
              <w:right w:val="single" w:sz="4" w:space="0" w:color="auto"/>
            </w:tcBorders>
          </w:tcPr>
          <w:p w14:paraId="652BA9BA" w14:textId="77777777" w:rsidR="002E474C" w:rsidRDefault="00000000">
            <w:pPr>
              <w:pStyle w:val="A-"/>
              <w:rPr>
                <w:lang w:eastAsia="en-US"/>
              </w:rPr>
            </w:pPr>
            <w:r>
              <w:t>54</w:t>
            </w:r>
          </w:p>
        </w:tc>
      </w:tr>
      <w:tr w:rsidR="002E474C" w14:paraId="615D7F0B" w14:textId="77777777">
        <w:tc>
          <w:tcPr>
            <w:tcW w:w="2024" w:type="pct"/>
            <w:tcBorders>
              <w:top w:val="single" w:sz="4" w:space="0" w:color="auto"/>
              <w:left w:val="single" w:sz="4" w:space="0" w:color="auto"/>
              <w:bottom w:val="single" w:sz="4" w:space="0" w:color="auto"/>
              <w:right w:val="single" w:sz="4" w:space="0" w:color="auto"/>
            </w:tcBorders>
          </w:tcPr>
          <w:p w14:paraId="486CFCAB" w14:textId="77777777" w:rsidR="002E474C" w:rsidRDefault="00000000">
            <w:pPr>
              <w:pStyle w:val="A-"/>
              <w:rPr>
                <w:lang w:eastAsia="en-US"/>
              </w:rPr>
            </w:pPr>
            <w:r>
              <w:t>混凝土输送泵</w:t>
            </w:r>
          </w:p>
        </w:tc>
        <w:tc>
          <w:tcPr>
            <w:tcW w:w="425" w:type="pct"/>
            <w:tcBorders>
              <w:top w:val="single" w:sz="4" w:space="0" w:color="auto"/>
              <w:left w:val="single" w:sz="4" w:space="0" w:color="auto"/>
              <w:bottom w:val="single" w:sz="4" w:space="0" w:color="auto"/>
              <w:right w:val="single" w:sz="4" w:space="0" w:color="auto"/>
            </w:tcBorders>
          </w:tcPr>
          <w:p w14:paraId="1825FCBF" w14:textId="77777777" w:rsidR="002E474C" w:rsidRDefault="00000000">
            <w:pPr>
              <w:pStyle w:val="A-"/>
              <w:rPr>
                <w:lang w:eastAsia="en-US"/>
              </w:rPr>
            </w:pPr>
            <w:r>
              <w:t>75</w:t>
            </w:r>
          </w:p>
        </w:tc>
        <w:tc>
          <w:tcPr>
            <w:tcW w:w="341" w:type="pct"/>
            <w:tcBorders>
              <w:top w:val="single" w:sz="4" w:space="0" w:color="auto"/>
              <w:left w:val="single" w:sz="4" w:space="0" w:color="auto"/>
              <w:bottom w:val="single" w:sz="4" w:space="0" w:color="auto"/>
              <w:right w:val="single" w:sz="4" w:space="0" w:color="auto"/>
            </w:tcBorders>
          </w:tcPr>
          <w:p w14:paraId="045DEFF3" w14:textId="77777777" w:rsidR="002E474C" w:rsidRDefault="00000000">
            <w:pPr>
              <w:pStyle w:val="A-"/>
              <w:rPr>
                <w:lang w:eastAsia="en-US"/>
              </w:rPr>
            </w:pPr>
            <w:r>
              <w:t>69</w:t>
            </w:r>
          </w:p>
        </w:tc>
        <w:tc>
          <w:tcPr>
            <w:tcW w:w="425" w:type="pct"/>
            <w:tcBorders>
              <w:top w:val="single" w:sz="4" w:space="0" w:color="auto"/>
              <w:left w:val="single" w:sz="4" w:space="0" w:color="auto"/>
              <w:bottom w:val="single" w:sz="4" w:space="0" w:color="auto"/>
              <w:right w:val="single" w:sz="4" w:space="0" w:color="auto"/>
            </w:tcBorders>
          </w:tcPr>
          <w:p w14:paraId="22CAF879" w14:textId="77777777" w:rsidR="002E474C" w:rsidRDefault="00000000">
            <w:pPr>
              <w:pStyle w:val="A-"/>
              <w:rPr>
                <w:lang w:eastAsia="en-US"/>
              </w:rPr>
            </w:pPr>
            <w:r>
              <w:t>65</w:t>
            </w:r>
          </w:p>
        </w:tc>
        <w:tc>
          <w:tcPr>
            <w:tcW w:w="468" w:type="pct"/>
            <w:tcBorders>
              <w:top w:val="single" w:sz="4" w:space="0" w:color="auto"/>
              <w:left w:val="single" w:sz="4" w:space="0" w:color="auto"/>
              <w:bottom w:val="single" w:sz="4" w:space="0" w:color="auto"/>
              <w:right w:val="single" w:sz="4" w:space="0" w:color="auto"/>
            </w:tcBorders>
          </w:tcPr>
          <w:p w14:paraId="5FAB0077" w14:textId="77777777" w:rsidR="002E474C" w:rsidRDefault="00000000">
            <w:pPr>
              <w:pStyle w:val="A-"/>
              <w:rPr>
                <w:lang w:eastAsia="en-US"/>
              </w:rPr>
            </w:pPr>
            <w:r>
              <w:t>63</w:t>
            </w:r>
          </w:p>
        </w:tc>
        <w:tc>
          <w:tcPr>
            <w:tcW w:w="425" w:type="pct"/>
            <w:tcBorders>
              <w:top w:val="single" w:sz="4" w:space="0" w:color="auto"/>
              <w:left w:val="single" w:sz="4" w:space="0" w:color="auto"/>
              <w:bottom w:val="single" w:sz="4" w:space="0" w:color="auto"/>
              <w:right w:val="single" w:sz="4" w:space="0" w:color="auto"/>
            </w:tcBorders>
          </w:tcPr>
          <w:p w14:paraId="3E3DAC26" w14:textId="77777777" w:rsidR="002E474C" w:rsidRDefault="00000000">
            <w:pPr>
              <w:pStyle w:val="A-"/>
              <w:rPr>
                <w:lang w:eastAsia="en-US"/>
              </w:rPr>
            </w:pPr>
            <w:r>
              <w:t>61</w:t>
            </w:r>
          </w:p>
        </w:tc>
        <w:tc>
          <w:tcPr>
            <w:tcW w:w="425" w:type="pct"/>
            <w:tcBorders>
              <w:top w:val="single" w:sz="4" w:space="0" w:color="auto"/>
              <w:left w:val="single" w:sz="4" w:space="0" w:color="auto"/>
              <w:bottom w:val="single" w:sz="4" w:space="0" w:color="auto"/>
              <w:right w:val="single" w:sz="4" w:space="0" w:color="auto"/>
            </w:tcBorders>
          </w:tcPr>
          <w:p w14:paraId="5F01FC41" w14:textId="77777777" w:rsidR="002E474C" w:rsidRDefault="00000000">
            <w:pPr>
              <w:pStyle w:val="A-"/>
              <w:rPr>
                <w:lang w:eastAsia="en-US"/>
              </w:rPr>
            </w:pPr>
            <w:r>
              <w:t>59</w:t>
            </w:r>
          </w:p>
        </w:tc>
        <w:tc>
          <w:tcPr>
            <w:tcW w:w="468" w:type="pct"/>
            <w:tcBorders>
              <w:top w:val="single" w:sz="4" w:space="0" w:color="auto"/>
              <w:left w:val="single" w:sz="4" w:space="0" w:color="auto"/>
              <w:bottom w:val="single" w:sz="4" w:space="0" w:color="auto"/>
              <w:right w:val="single" w:sz="4" w:space="0" w:color="auto"/>
            </w:tcBorders>
          </w:tcPr>
          <w:p w14:paraId="6A372A45" w14:textId="77777777" w:rsidR="002E474C" w:rsidRDefault="00000000">
            <w:pPr>
              <w:pStyle w:val="A-"/>
              <w:rPr>
                <w:lang w:eastAsia="en-US"/>
              </w:rPr>
            </w:pPr>
            <w:r>
              <w:t>57</w:t>
            </w:r>
          </w:p>
        </w:tc>
      </w:tr>
      <w:tr w:rsidR="002E474C" w14:paraId="1A4EFEDE" w14:textId="77777777">
        <w:tc>
          <w:tcPr>
            <w:tcW w:w="2024" w:type="pct"/>
            <w:tcBorders>
              <w:top w:val="single" w:sz="4" w:space="0" w:color="auto"/>
              <w:left w:val="single" w:sz="4" w:space="0" w:color="auto"/>
              <w:bottom w:val="single" w:sz="4" w:space="0" w:color="auto"/>
              <w:right w:val="single" w:sz="4" w:space="0" w:color="auto"/>
            </w:tcBorders>
          </w:tcPr>
          <w:p w14:paraId="5ADFAB00" w14:textId="77777777" w:rsidR="002E474C" w:rsidRDefault="00000000">
            <w:pPr>
              <w:pStyle w:val="A-"/>
              <w:rPr>
                <w:lang w:eastAsia="en-US"/>
              </w:rPr>
            </w:pPr>
            <w:r>
              <w:lastRenderedPageBreak/>
              <w:t>商砼搅拌车</w:t>
            </w:r>
          </w:p>
        </w:tc>
        <w:tc>
          <w:tcPr>
            <w:tcW w:w="425" w:type="pct"/>
            <w:tcBorders>
              <w:top w:val="single" w:sz="4" w:space="0" w:color="auto"/>
              <w:left w:val="single" w:sz="4" w:space="0" w:color="auto"/>
              <w:bottom w:val="single" w:sz="4" w:space="0" w:color="auto"/>
              <w:right w:val="single" w:sz="4" w:space="0" w:color="auto"/>
            </w:tcBorders>
          </w:tcPr>
          <w:p w14:paraId="51B00F51" w14:textId="77777777" w:rsidR="002E474C" w:rsidRDefault="00000000">
            <w:pPr>
              <w:pStyle w:val="A-"/>
              <w:rPr>
                <w:lang w:eastAsia="en-US"/>
              </w:rPr>
            </w:pPr>
            <w:r>
              <w:t>70</w:t>
            </w:r>
          </w:p>
        </w:tc>
        <w:tc>
          <w:tcPr>
            <w:tcW w:w="341" w:type="pct"/>
            <w:tcBorders>
              <w:top w:val="single" w:sz="4" w:space="0" w:color="auto"/>
              <w:left w:val="single" w:sz="4" w:space="0" w:color="auto"/>
              <w:bottom w:val="single" w:sz="4" w:space="0" w:color="auto"/>
              <w:right w:val="single" w:sz="4" w:space="0" w:color="auto"/>
            </w:tcBorders>
          </w:tcPr>
          <w:p w14:paraId="6A487AFA" w14:textId="77777777" w:rsidR="002E474C" w:rsidRDefault="00000000">
            <w:pPr>
              <w:pStyle w:val="A-"/>
              <w:rPr>
                <w:lang w:eastAsia="en-US"/>
              </w:rPr>
            </w:pPr>
            <w:r>
              <w:t>64</w:t>
            </w:r>
          </w:p>
        </w:tc>
        <w:tc>
          <w:tcPr>
            <w:tcW w:w="425" w:type="pct"/>
            <w:tcBorders>
              <w:top w:val="single" w:sz="4" w:space="0" w:color="auto"/>
              <w:left w:val="single" w:sz="4" w:space="0" w:color="auto"/>
              <w:bottom w:val="single" w:sz="4" w:space="0" w:color="auto"/>
              <w:right w:val="single" w:sz="4" w:space="0" w:color="auto"/>
            </w:tcBorders>
          </w:tcPr>
          <w:p w14:paraId="79A2BFE1" w14:textId="77777777" w:rsidR="002E474C" w:rsidRDefault="00000000">
            <w:pPr>
              <w:pStyle w:val="A-"/>
              <w:rPr>
                <w:lang w:eastAsia="en-US"/>
              </w:rPr>
            </w:pPr>
            <w:r>
              <w:t>60</w:t>
            </w:r>
          </w:p>
        </w:tc>
        <w:tc>
          <w:tcPr>
            <w:tcW w:w="468" w:type="pct"/>
            <w:tcBorders>
              <w:top w:val="single" w:sz="4" w:space="0" w:color="auto"/>
              <w:left w:val="single" w:sz="4" w:space="0" w:color="auto"/>
              <w:bottom w:val="single" w:sz="4" w:space="0" w:color="auto"/>
              <w:right w:val="single" w:sz="4" w:space="0" w:color="auto"/>
            </w:tcBorders>
          </w:tcPr>
          <w:p w14:paraId="73A80CA0"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10F959ED"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48FBA00E" w14:textId="77777777" w:rsidR="002E474C" w:rsidRDefault="00000000">
            <w:pPr>
              <w:pStyle w:val="A-"/>
              <w:rPr>
                <w:lang w:eastAsia="en-US"/>
              </w:rPr>
            </w:pPr>
            <w:r>
              <w:t>54</w:t>
            </w:r>
          </w:p>
        </w:tc>
        <w:tc>
          <w:tcPr>
            <w:tcW w:w="468" w:type="pct"/>
            <w:tcBorders>
              <w:top w:val="single" w:sz="4" w:space="0" w:color="auto"/>
              <w:left w:val="single" w:sz="4" w:space="0" w:color="auto"/>
              <w:bottom w:val="single" w:sz="4" w:space="0" w:color="auto"/>
              <w:right w:val="single" w:sz="4" w:space="0" w:color="auto"/>
            </w:tcBorders>
          </w:tcPr>
          <w:p w14:paraId="78381372" w14:textId="77777777" w:rsidR="002E474C" w:rsidRDefault="00000000">
            <w:pPr>
              <w:pStyle w:val="A-"/>
              <w:rPr>
                <w:lang w:eastAsia="en-US"/>
              </w:rPr>
            </w:pPr>
            <w:r>
              <w:t>52</w:t>
            </w:r>
          </w:p>
        </w:tc>
      </w:tr>
      <w:tr w:rsidR="002E474C" w14:paraId="4558089F" w14:textId="77777777">
        <w:tc>
          <w:tcPr>
            <w:tcW w:w="2024" w:type="pct"/>
            <w:tcBorders>
              <w:top w:val="single" w:sz="4" w:space="0" w:color="auto"/>
              <w:left w:val="single" w:sz="4" w:space="0" w:color="auto"/>
              <w:bottom w:val="single" w:sz="4" w:space="0" w:color="auto"/>
              <w:right w:val="single" w:sz="4" w:space="0" w:color="auto"/>
            </w:tcBorders>
          </w:tcPr>
          <w:p w14:paraId="63944743" w14:textId="77777777" w:rsidR="002E474C" w:rsidRDefault="00000000">
            <w:pPr>
              <w:pStyle w:val="A-"/>
              <w:rPr>
                <w:lang w:eastAsia="en-US"/>
              </w:rPr>
            </w:pPr>
            <w:r>
              <w:t>混凝土震捣器</w:t>
            </w:r>
          </w:p>
        </w:tc>
        <w:tc>
          <w:tcPr>
            <w:tcW w:w="425" w:type="pct"/>
            <w:tcBorders>
              <w:top w:val="single" w:sz="4" w:space="0" w:color="auto"/>
              <w:left w:val="single" w:sz="4" w:space="0" w:color="auto"/>
              <w:bottom w:val="single" w:sz="4" w:space="0" w:color="auto"/>
              <w:right w:val="single" w:sz="4" w:space="0" w:color="auto"/>
            </w:tcBorders>
          </w:tcPr>
          <w:p w14:paraId="4A7ED385" w14:textId="77777777" w:rsidR="002E474C" w:rsidRDefault="00000000">
            <w:pPr>
              <w:pStyle w:val="A-"/>
              <w:rPr>
                <w:lang w:eastAsia="en-US"/>
              </w:rPr>
            </w:pPr>
            <w:r>
              <w:t>68</w:t>
            </w:r>
          </w:p>
        </w:tc>
        <w:tc>
          <w:tcPr>
            <w:tcW w:w="341" w:type="pct"/>
            <w:tcBorders>
              <w:top w:val="single" w:sz="4" w:space="0" w:color="auto"/>
              <w:left w:val="single" w:sz="4" w:space="0" w:color="auto"/>
              <w:bottom w:val="single" w:sz="4" w:space="0" w:color="auto"/>
              <w:right w:val="single" w:sz="4" w:space="0" w:color="auto"/>
            </w:tcBorders>
          </w:tcPr>
          <w:p w14:paraId="7E856AA8" w14:textId="77777777" w:rsidR="002E474C" w:rsidRDefault="00000000">
            <w:pPr>
              <w:pStyle w:val="A-"/>
              <w:rPr>
                <w:lang w:eastAsia="en-US"/>
              </w:rPr>
            </w:pPr>
            <w:r>
              <w:t>62</w:t>
            </w:r>
          </w:p>
        </w:tc>
        <w:tc>
          <w:tcPr>
            <w:tcW w:w="425" w:type="pct"/>
            <w:tcBorders>
              <w:top w:val="single" w:sz="4" w:space="0" w:color="auto"/>
              <w:left w:val="single" w:sz="4" w:space="0" w:color="auto"/>
              <w:bottom w:val="single" w:sz="4" w:space="0" w:color="auto"/>
              <w:right w:val="single" w:sz="4" w:space="0" w:color="auto"/>
            </w:tcBorders>
          </w:tcPr>
          <w:p w14:paraId="5F59AAF6" w14:textId="77777777" w:rsidR="002E474C" w:rsidRDefault="00000000">
            <w:pPr>
              <w:pStyle w:val="A-"/>
              <w:rPr>
                <w:lang w:eastAsia="en-US"/>
              </w:rPr>
            </w:pPr>
            <w:r>
              <w:t>58</w:t>
            </w:r>
          </w:p>
        </w:tc>
        <w:tc>
          <w:tcPr>
            <w:tcW w:w="468" w:type="pct"/>
            <w:tcBorders>
              <w:top w:val="single" w:sz="4" w:space="0" w:color="auto"/>
              <w:left w:val="single" w:sz="4" w:space="0" w:color="auto"/>
              <w:bottom w:val="single" w:sz="4" w:space="0" w:color="auto"/>
              <w:right w:val="single" w:sz="4" w:space="0" w:color="auto"/>
            </w:tcBorders>
          </w:tcPr>
          <w:p w14:paraId="0E0089FE" w14:textId="77777777" w:rsidR="002E474C" w:rsidRDefault="00000000">
            <w:pPr>
              <w:pStyle w:val="A-"/>
              <w:rPr>
                <w:lang w:eastAsia="en-US"/>
              </w:rPr>
            </w:pPr>
            <w:r>
              <w:t>56</w:t>
            </w:r>
          </w:p>
        </w:tc>
        <w:tc>
          <w:tcPr>
            <w:tcW w:w="425" w:type="pct"/>
            <w:tcBorders>
              <w:top w:val="single" w:sz="4" w:space="0" w:color="auto"/>
              <w:left w:val="single" w:sz="4" w:space="0" w:color="auto"/>
              <w:bottom w:val="single" w:sz="4" w:space="0" w:color="auto"/>
              <w:right w:val="single" w:sz="4" w:space="0" w:color="auto"/>
            </w:tcBorders>
          </w:tcPr>
          <w:p w14:paraId="45BA9AF5" w14:textId="77777777" w:rsidR="002E474C" w:rsidRDefault="00000000">
            <w:pPr>
              <w:pStyle w:val="A-"/>
              <w:rPr>
                <w:lang w:eastAsia="en-US"/>
              </w:rPr>
            </w:pPr>
            <w:r>
              <w:t>54</w:t>
            </w:r>
          </w:p>
        </w:tc>
        <w:tc>
          <w:tcPr>
            <w:tcW w:w="425" w:type="pct"/>
            <w:tcBorders>
              <w:top w:val="single" w:sz="4" w:space="0" w:color="auto"/>
              <w:left w:val="single" w:sz="4" w:space="0" w:color="auto"/>
              <w:bottom w:val="single" w:sz="4" w:space="0" w:color="auto"/>
              <w:right w:val="single" w:sz="4" w:space="0" w:color="auto"/>
            </w:tcBorders>
          </w:tcPr>
          <w:p w14:paraId="22D77FFF" w14:textId="77777777" w:rsidR="002E474C" w:rsidRDefault="00000000">
            <w:pPr>
              <w:pStyle w:val="A-"/>
              <w:rPr>
                <w:lang w:eastAsia="en-US"/>
              </w:rPr>
            </w:pPr>
            <w:r>
              <w:t>52</w:t>
            </w:r>
          </w:p>
        </w:tc>
        <w:tc>
          <w:tcPr>
            <w:tcW w:w="468" w:type="pct"/>
            <w:tcBorders>
              <w:top w:val="single" w:sz="4" w:space="0" w:color="auto"/>
              <w:left w:val="single" w:sz="4" w:space="0" w:color="auto"/>
              <w:bottom w:val="single" w:sz="4" w:space="0" w:color="auto"/>
              <w:right w:val="single" w:sz="4" w:space="0" w:color="auto"/>
            </w:tcBorders>
          </w:tcPr>
          <w:p w14:paraId="40562F0E" w14:textId="77777777" w:rsidR="002E474C" w:rsidRDefault="00000000">
            <w:pPr>
              <w:pStyle w:val="A-"/>
              <w:rPr>
                <w:lang w:eastAsia="en-US"/>
              </w:rPr>
            </w:pPr>
            <w:r>
              <w:t>50</w:t>
            </w:r>
          </w:p>
        </w:tc>
      </w:tr>
      <w:tr w:rsidR="002E474C" w14:paraId="0EE6AEF3" w14:textId="77777777">
        <w:tc>
          <w:tcPr>
            <w:tcW w:w="2024" w:type="pct"/>
            <w:tcBorders>
              <w:top w:val="single" w:sz="4" w:space="0" w:color="auto"/>
              <w:left w:val="single" w:sz="4" w:space="0" w:color="auto"/>
              <w:bottom w:val="single" w:sz="4" w:space="0" w:color="auto"/>
              <w:right w:val="single" w:sz="4" w:space="0" w:color="auto"/>
            </w:tcBorders>
          </w:tcPr>
          <w:p w14:paraId="5D4FA21D" w14:textId="77777777" w:rsidR="002E474C" w:rsidRDefault="00000000">
            <w:pPr>
              <w:pStyle w:val="A-"/>
              <w:rPr>
                <w:lang w:eastAsia="en-US"/>
              </w:rPr>
            </w:pPr>
            <w:r>
              <w:t>云石机、角磨机</w:t>
            </w:r>
          </w:p>
        </w:tc>
        <w:tc>
          <w:tcPr>
            <w:tcW w:w="425" w:type="pct"/>
            <w:tcBorders>
              <w:top w:val="single" w:sz="4" w:space="0" w:color="auto"/>
              <w:left w:val="single" w:sz="4" w:space="0" w:color="auto"/>
              <w:bottom w:val="single" w:sz="4" w:space="0" w:color="auto"/>
              <w:right w:val="single" w:sz="4" w:space="0" w:color="auto"/>
            </w:tcBorders>
          </w:tcPr>
          <w:p w14:paraId="530B1105" w14:textId="77777777" w:rsidR="002E474C" w:rsidRDefault="00000000">
            <w:pPr>
              <w:pStyle w:val="A-"/>
              <w:rPr>
                <w:lang w:eastAsia="en-US"/>
              </w:rPr>
            </w:pPr>
            <w:r>
              <w:t>76</w:t>
            </w:r>
          </w:p>
        </w:tc>
        <w:tc>
          <w:tcPr>
            <w:tcW w:w="341" w:type="pct"/>
            <w:tcBorders>
              <w:top w:val="single" w:sz="4" w:space="0" w:color="auto"/>
              <w:left w:val="single" w:sz="4" w:space="0" w:color="auto"/>
              <w:bottom w:val="single" w:sz="4" w:space="0" w:color="auto"/>
              <w:right w:val="single" w:sz="4" w:space="0" w:color="auto"/>
            </w:tcBorders>
          </w:tcPr>
          <w:p w14:paraId="6A98C887" w14:textId="77777777" w:rsidR="002E474C" w:rsidRDefault="00000000">
            <w:pPr>
              <w:pStyle w:val="A-"/>
              <w:rPr>
                <w:lang w:eastAsia="en-US"/>
              </w:rPr>
            </w:pPr>
            <w:r>
              <w:t>70</w:t>
            </w:r>
          </w:p>
        </w:tc>
        <w:tc>
          <w:tcPr>
            <w:tcW w:w="425" w:type="pct"/>
            <w:tcBorders>
              <w:top w:val="single" w:sz="4" w:space="0" w:color="auto"/>
              <w:left w:val="single" w:sz="4" w:space="0" w:color="auto"/>
              <w:bottom w:val="single" w:sz="4" w:space="0" w:color="auto"/>
              <w:right w:val="single" w:sz="4" w:space="0" w:color="auto"/>
            </w:tcBorders>
          </w:tcPr>
          <w:p w14:paraId="0251C979" w14:textId="77777777" w:rsidR="002E474C" w:rsidRDefault="00000000">
            <w:pPr>
              <w:pStyle w:val="A-"/>
              <w:rPr>
                <w:lang w:eastAsia="en-US"/>
              </w:rPr>
            </w:pPr>
            <w:r>
              <w:t>66</w:t>
            </w:r>
          </w:p>
        </w:tc>
        <w:tc>
          <w:tcPr>
            <w:tcW w:w="468" w:type="pct"/>
            <w:tcBorders>
              <w:top w:val="single" w:sz="4" w:space="0" w:color="auto"/>
              <w:left w:val="single" w:sz="4" w:space="0" w:color="auto"/>
              <w:bottom w:val="single" w:sz="4" w:space="0" w:color="auto"/>
              <w:right w:val="single" w:sz="4" w:space="0" w:color="auto"/>
            </w:tcBorders>
          </w:tcPr>
          <w:p w14:paraId="16AAE60D" w14:textId="77777777" w:rsidR="002E474C" w:rsidRDefault="00000000">
            <w:pPr>
              <w:pStyle w:val="A-"/>
              <w:rPr>
                <w:lang w:eastAsia="en-US"/>
              </w:rPr>
            </w:pPr>
            <w:r>
              <w:t>64</w:t>
            </w:r>
          </w:p>
        </w:tc>
        <w:tc>
          <w:tcPr>
            <w:tcW w:w="425" w:type="pct"/>
            <w:tcBorders>
              <w:top w:val="single" w:sz="4" w:space="0" w:color="auto"/>
              <w:left w:val="single" w:sz="4" w:space="0" w:color="auto"/>
              <w:bottom w:val="single" w:sz="4" w:space="0" w:color="auto"/>
              <w:right w:val="single" w:sz="4" w:space="0" w:color="auto"/>
            </w:tcBorders>
          </w:tcPr>
          <w:p w14:paraId="354831F4" w14:textId="77777777" w:rsidR="002E474C" w:rsidRDefault="00000000">
            <w:pPr>
              <w:pStyle w:val="A-"/>
              <w:rPr>
                <w:lang w:eastAsia="en-US"/>
              </w:rPr>
            </w:pPr>
            <w:r>
              <w:t>62</w:t>
            </w:r>
          </w:p>
        </w:tc>
        <w:tc>
          <w:tcPr>
            <w:tcW w:w="425" w:type="pct"/>
            <w:tcBorders>
              <w:top w:val="single" w:sz="4" w:space="0" w:color="auto"/>
              <w:left w:val="single" w:sz="4" w:space="0" w:color="auto"/>
              <w:bottom w:val="single" w:sz="4" w:space="0" w:color="auto"/>
              <w:right w:val="single" w:sz="4" w:space="0" w:color="auto"/>
            </w:tcBorders>
          </w:tcPr>
          <w:p w14:paraId="2DB13515" w14:textId="77777777" w:rsidR="002E474C" w:rsidRDefault="00000000">
            <w:pPr>
              <w:pStyle w:val="A-"/>
              <w:rPr>
                <w:lang w:eastAsia="en-US"/>
              </w:rPr>
            </w:pPr>
            <w:r>
              <w:t>60</w:t>
            </w:r>
          </w:p>
        </w:tc>
        <w:tc>
          <w:tcPr>
            <w:tcW w:w="468" w:type="pct"/>
            <w:tcBorders>
              <w:top w:val="single" w:sz="4" w:space="0" w:color="auto"/>
              <w:left w:val="single" w:sz="4" w:space="0" w:color="auto"/>
              <w:bottom w:val="single" w:sz="4" w:space="0" w:color="auto"/>
              <w:right w:val="single" w:sz="4" w:space="0" w:color="auto"/>
            </w:tcBorders>
          </w:tcPr>
          <w:p w14:paraId="024E3F7F" w14:textId="77777777" w:rsidR="002E474C" w:rsidRDefault="00000000">
            <w:pPr>
              <w:pStyle w:val="A-"/>
              <w:rPr>
                <w:lang w:eastAsia="en-US"/>
              </w:rPr>
            </w:pPr>
            <w:r>
              <w:t>58</w:t>
            </w:r>
          </w:p>
        </w:tc>
      </w:tr>
      <w:tr w:rsidR="002E474C" w14:paraId="2B5E7E5F" w14:textId="77777777">
        <w:tc>
          <w:tcPr>
            <w:tcW w:w="2024" w:type="pct"/>
            <w:tcBorders>
              <w:top w:val="single" w:sz="4" w:space="0" w:color="auto"/>
              <w:left w:val="single" w:sz="4" w:space="0" w:color="auto"/>
              <w:bottom w:val="single" w:sz="4" w:space="0" w:color="auto"/>
              <w:right w:val="single" w:sz="4" w:space="0" w:color="auto"/>
            </w:tcBorders>
          </w:tcPr>
          <w:p w14:paraId="42D26284" w14:textId="77777777" w:rsidR="002E474C" w:rsidRDefault="00000000">
            <w:pPr>
              <w:pStyle w:val="A-"/>
              <w:rPr>
                <w:lang w:eastAsia="en-US"/>
              </w:rPr>
            </w:pPr>
            <w:r>
              <w:t>空压机</w:t>
            </w:r>
          </w:p>
        </w:tc>
        <w:tc>
          <w:tcPr>
            <w:tcW w:w="425" w:type="pct"/>
            <w:tcBorders>
              <w:top w:val="single" w:sz="4" w:space="0" w:color="auto"/>
              <w:left w:val="single" w:sz="4" w:space="0" w:color="auto"/>
              <w:bottom w:val="single" w:sz="4" w:space="0" w:color="auto"/>
              <w:right w:val="single" w:sz="4" w:space="0" w:color="auto"/>
            </w:tcBorders>
          </w:tcPr>
          <w:p w14:paraId="1C1A4250" w14:textId="77777777" w:rsidR="002E474C" w:rsidRDefault="00000000">
            <w:pPr>
              <w:pStyle w:val="A-"/>
              <w:rPr>
                <w:lang w:eastAsia="en-US"/>
              </w:rPr>
            </w:pPr>
            <w:r>
              <w:t>72</w:t>
            </w:r>
          </w:p>
        </w:tc>
        <w:tc>
          <w:tcPr>
            <w:tcW w:w="341" w:type="pct"/>
            <w:tcBorders>
              <w:top w:val="single" w:sz="4" w:space="0" w:color="auto"/>
              <w:left w:val="single" w:sz="4" w:space="0" w:color="auto"/>
              <w:bottom w:val="single" w:sz="4" w:space="0" w:color="auto"/>
              <w:right w:val="single" w:sz="4" w:space="0" w:color="auto"/>
            </w:tcBorders>
          </w:tcPr>
          <w:p w14:paraId="366EC12B" w14:textId="77777777" w:rsidR="002E474C" w:rsidRDefault="00000000">
            <w:pPr>
              <w:pStyle w:val="A-"/>
              <w:rPr>
                <w:lang w:eastAsia="en-US"/>
              </w:rPr>
            </w:pPr>
            <w:r>
              <w:t>66</w:t>
            </w:r>
          </w:p>
        </w:tc>
        <w:tc>
          <w:tcPr>
            <w:tcW w:w="425" w:type="pct"/>
            <w:tcBorders>
              <w:top w:val="single" w:sz="4" w:space="0" w:color="auto"/>
              <w:left w:val="single" w:sz="4" w:space="0" w:color="auto"/>
              <w:bottom w:val="single" w:sz="4" w:space="0" w:color="auto"/>
              <w:right w:val="single" w:sz="4" w:space="0" w:color="auto"/>
            </w:tcBorders>
          </w:tcPr>
          <w:p w14:paraId="51F55ABF" w14:textId="77777777" w:rsidR="002E474C" w:rsidRDefault="00000000">
            <w:pPr>
              <w:pStyle w:val="A-"/>
              <w:rPr>
                <w:lang w:eastAsia="en-US"/>
              </w:rPr>
            </w:pPr>
            <w:r>
              <w:t>62</w:t>
            </w:r>
          </w:p>
        </w:tc>
        <w:tc>
          <w:tcPr>
            <w:tcW w:w="468" w:type="pct"/>
            <w:tcBorders>
              <w:top w:val="single" w:sz="4" w:space="0" w:color="auto"/>
              <w:left w:val="single" w:sz="4" w:space="0" w:color="auto"/>
              <w:bottom w:val="single" w:sz="4" w:space="0" w:color="auto"/>
              <w:right w:val="single" w:sz="4" w:space="0" w:color="auto"/>
            </w:tcBorders>
          </w:tcPr>
          <w:p w14:paraId="4CA74035" w14:textId="77777777" w:rsidR="002E474C" w:rsidRDefault="00000000">
            <w:pPr>
              <w:pStyle w:val="A-"/>
              <w:rPr>
                <w:lang w:eastAsia="en-US"/>
              </w:rPr>
            </w:pPr>
            <w:r>
              <w:t>60</w:t>
            </w:r>
          </w:p>
        </w:tc>
        <w:tc>
          <w:tcPr>
            <w:tcW w:w="425" w:type="pct"/>
            <w:tcBorders>
              <w:top w:val="single" w:sz="4" w:space="0" w:color="auto"/>
              <w:left w:val="single" w:sz="4" w:space="0" w:color="auto"/>
              <w:bottom w:val="single" w:sz="4" w:space="0" w:color="auto"/>
              <w:right w:val="single" w:sz="4" w:space="0" w:color="auto"/>
            </w:tcBorders>
          </w:tcPr>
          <w:p w14:paraId="4756FD88" w14:textId="77777777" w:rsidR="002E474C" w:rsidRDefault="00000000">
            <w:pPr>
              <w:pStyle w:val="A-"/>
              <w:rPr>
                <w:lang w:eastAsia="en-US"/>
              </w:rPr>
            </w:pPr>
            <w:r>
              <w:t>58</w:t>
            </w:r>
          </w:p>
        </w:tc>
        <w:tc>
          <w:tcPr>
            <w:tcW w:w="425" w:type="pct"/>
            <w:tcBorders>
              <w:top w:val="single" w:sz="4" w:space="0" w:color="auto"/>
              <w:left w:val="single" w:sz="4" w:space="0" w:color="auto"/>
              <w:bottom w:val="single" w:sz="4" w:space="0" w:color="auto"/>
              <w:right w:val="single" w:sz="4" w:space="0" w:color="auto"/>
            </w:tcBorders>
          </w:tcPr>
          <w:p w14:paraId="6F4920CC" w14:textId="77777777" w:rsidR="002E474C" w:rsidRDefault="00000000">
            <w:pPr>
              <w:pStyle w:val="A-"/>
              <w:rPr>
                <w:lang w:eastAsia="en-US"/>
              </w:rPr>
            </w:pPr>
            <w:r>
              <w:t>56</w:t>
            </w:r>
          </w:p>
        </w:tc>
        <w:tc>
          <w:tcPr>
            <w:tcW w:w="468" w:type="pct"/>
            <w:tcBorders>
              <w:top w:val="single" w:sz="4" w:space="0" w:color="auto"/>
              <w:left w:val="single" w:sz="4" w:space="0" w:color="auto"/>
              <w:bottom w:val="single" w:sz="4" w:space="0" w:color="auto"/>
              <w:right w:val="single" w:sz="4" w:space="0" w:color="auto"/>
            </w:tcBorders>
          </w:tcPr>
          <w:p w14:paraId="637C1C81" w14:textId="77777777" w:rsidR="002E474C" w:rsidRDefault="00000000">
            <w:pPr>
              <w:pStyle w:val="A-"/>
              <w:rPr>
                <w:lang w:eastAsia="en-US"/>
              </w:rPr>
            </w:pPr>
            <w:r>
              <w:t>54</w:t>
            </w:r>
          </w:p>
        </w:tc>
      </w:tr>
    </w:tbl>
    <w:p w14:paraId="6322BF80" w14:textId="77777777" w:rsidR="002E474C" w:rsidRDefault="002E474C">
      <w:pPr>
        <w:pStyle w:val="w3"/>
      </w:pPr>
    </w:p>
    <w:p w14:paraId="47198C28" w14:textId="77777777" w:rsidR="002E474C" w:rsidRDefault="00000000">
      <w:pPr>
        <w:pStyle w:val="41"/>
        <w:rPr>
          <w:color w:val="auto"/>
        </w:rPr>
      </w:pPr>
      <w:r>
        <w:rPr>
          <w:color w:val="auto"/>
        </w:rPr>
        <w:t>声环境影响分析</w:t>
      </w:r>
    </w:p>
    <w:p w14:paraId="7B23CCBA" w14:textId="77777777" w:rsidR="002E474C" w:rsidRDefault="00000000">
      <w:pPr>
        <w:pStyle w:val="A-z"/>
        <w:rPr>
          <w:color w:val="auto"/>
        </w:rPr>
      </w:pPr>
      <w:r>
        <w:rPr>
          <w:color w:val="auto"/>
        </w:rPr>
        <w:t>评价可知，单台施工机械约在</w:t>
      </w:r>
      <w:r>
        <w:rPr>
          <w:color w:val="auto"/>
        </w:rPr>
        <w:t>50m</w:t>
      </w:r>
      <w:r>
        <w:rPr>
          <w:color w:val="auto"/>
        </w:rPr>
        <w:t>以外噪声值才基本能达到施工阶段场界昼间噪声限值，夜间则需在</w:t>
      </w:r>
      <w:r>
        <w:rPr>
          <w:color w:val="auto"/>
        </w:rPr>
        <w:t>300m</w:t>
      </w:r>
      <w:r>
        <w:rPr>
          <w:color w:val="auto"/>
        </w:rPr>
        <w:t>以外才能达到要求。</w:t>
      </w:r>
    </w:p>
    <w:p w14:paraId="626B3B4B" w14:textId="77777777" w:rsidR="002E474C" w:rsidRDefault="00000000">
      <w:pPr>
        <w:pStyle w:val="A-z"/>
        <w:rPr>
          <w:color w:val="auto"/>
        </w:rPr>
      </w:pPr>
      <w:r>
        <w:rPr>
          <w:color w:val="auto"/>
        </w:rPr>
        <w:t>为减少施工对周边环境的影响，施工单位应严格执行《中华人民共和国噪声污染防治法》和《建筑施工噪声排放标准》（</w:t>
      </w:r>
      <w:r>
        <w:rPr>
          <w:color w:val="auto"/>
        </w:rPr>
        <w:t>GB12523-2025</w:t>
      </w:r>
      <w:r>
        <w:rPr>
          <w:color w:val="auto"/>
        </w:rPr>
        <w:t>），做好以下几点：</w:t>
      </w:r>
    </w:p>
    <w:p w14:paraId="46CE851C" w14:textId="77777777" w:rsidR="002E474C" w:rsidRDefault="00000000">
      <w:pPr>
        <w:pStyle w:val="A-z"/>
        <w:ind w:firstLine="472"/>
        <w:rPr>
          <w:color w:val="auto"/>
          <w:spacing w:val="-2"/>
        </w:rPr>
      </w:pPr>
      <w:r>
        <w:rPr>
          <w:color w:val="auto"/>
          <w:spacing w:val="-2"/>
        </w:rPr>
        <w:t>（</w:t>
      </w:r>
      <w:r>
        <w:rPr>
          <w:color w:val="auto"/>
          <w:spacing w:val="-2"/>
        </w:rPr>
        <w:t>1</w:t>
      </w:r>
      <w:r>
        <w:rPr>
          <w:color w:val="auto"/>
          <w:spacing w:val="-2"/>
        </w:rPr>
        <w:t>）施工单位要加强操作人员的环境意识，对一些零星的手工作业。如拆装模板、装卸建材，尽可能做到轻拿轻放，并辅以一定的减缓措施，如铺设草包等。</w:t>
      </w:r>
      <w:r>
        <w:rPr>
          <w:color w:val="auto"/>
          <w:spacing w:val="-2"/>
        </w:rPr>
        <w:t xml:space="preserve"> </w:t>
      </w:r>
    </w:p>
    <w:p w14:paraId="7BD56D58" w14:textId="77777777" w:rsidR="002E474C" w:rsidRDefault="00000000">
      <w:pPr>
        <w:pStyle w:val="A-z"/>
        <w:rPr>
          <w:color w:val="auto"/>
        </w:rPr>
      </w:pPr>
      <w:r>
        <w:rPr>
          <w:color w:val="auto"/>
        </w:rPr>
        <w:t>（</w:t>
      </w:r>
      <w:r>
        <w:rPr>
          <w:color w:val="auto"/>
        </w:rPr>
        <w:t>2</w:t>
      </w:r>
      <w:r>
        <w:rPr>
          <w:color w:val="auto"/>
        </w:rPr>
        <w:t>）施工期间对于噪声值较高的搅拌机等设备需放置于远离居民的地方，对于固定设备需设操作棚或临时声屏障。</w:t>
      </w:r>
    </w:p>
    <w:p w14:paraId="45D0B192" w14:textId="77777777" w:rsidR="002E474C" w:rsidRDefault="00000000">
      <w:pPr>
        <w:pStyle w:val="A-z"/>
        <w:rPr>
          <w:color w:val="auto"/>
        </w:rPr>
      </w:pPr>
      <w:r>
        <w:rPr>
          <w:color w:val="auto"/>
        </w:rPr>
        <w:t>（</w:t>
      </w:r>
      <w:r>
        <w:rPr>
          <w:color w:val="auto"/>
        </w:rPr>
        <w:t>3</w:t>
      </w:r>
      <w:r>
        <w:rPr>
          <w:color w:val="auto"/>
        </w:rPr>
        <w:t>）禁止在夜间施工，因工艺因素或其它特殊原因确需夜间施工的应提前向当地生态环境部门申请夜间施工许可，并依法接受监督。</w:t>
      </w:r>
    </w:p>
    <w:p w14:paraId="7238F764" w14:textId="77777777" w:rsidR="002E474C" w:rsidRDefault="00000000">
      <w:pPr>
        <w:pStyle w:val="31"/>
        <w:spacing w:before="120" w:after="120"/>
        <w:rPr>
          <w:color w:val="auto"/>
        </w:rPr>
      </w:pPr>
      <w:r>
        <w:rPr>
          <w:color w:val="auto"/>
        </w:rPr>
        <w:t>施工期固废环境影响分析</w:t>
      </w:r>
    </w:p>
    <w:p w14:paraId="0E77B0DD" w14:textId="77777777" w:rsidR="002E474C" w:rsidRDefault="00000000">
      <w:pPr>
        <w:pStyle w:val="A-z"/>
        <w:rPr>
          <w:color w:val="auto"/>
        </w:rPr>
      </w:pPr>
      <w:r>
        <w:rPr>
          <w:color w:val="auto"/>
        </w:rPr>
        <w:t>施工期产生的固体废物主要为生活垃圾和建筑垃圾。</w:t>
      </w:r>
    </w:p>
    <w:p w14:paraId="20C8D9BD" w14:textId="77777777" w:rsidR="002E474C" w:rsidRDefault="00000000">
      <w:pPr>
        <w:pStyle w:val="A-z"/>
        <w:rPr>
          <w:color w:val="auto"/>
        </w:rPr>
      </w:pPr>
      <w:r>
        <w:rPr>
          <w:color w:val="auto"/>
        </w:rPr>
        <w:t>（</w:t>
      </w:r>
      <w:r>
        <w:rPr>
          <w:color w:val="auto"/>
        </w:rPr>
        <w:t>1</w:t>
      </w:r>
      <w:r>
        <w:rPr>
          <w:color w:val="auto"/>
        </w:rPr>
        <w:t>）建筑垃圾</w:t>
      </w:r>
    </w:p>
    <w:p w14:paraId="5455FE20" w14:textId="77777777" w:rsidR="002E474C" w:rsidRDefault="00000000">
      <w:pPr>
        <w:pStyle w:val="A-z"/>
        <w:rPr>
          <w:color w:val="auto"/>
        </w:rPr>
      </w:pPr>
      <w:r>
        <w:rPr>
          <w:color w:val="auto"/>
        </w:rPr>
        <w:t>施工期建筑垃圾主要包括渣土、残砖断瓦、废瓷片、废玻璃、废钢筋头、废金属碎片、废包装袋等。渣土等建筑垃圾若长期堆存，会产生大量扬尘，影响周围环境，应由施工方清运至管理部门指定的建筑垃圾堆放场。</w:t>
      </w:r>
    </w:p>
    <w:p w14:paraId="020302FF" w14:textId="77777777" w:rsidR="002E474C" w:rsidRDefault="00000000">
      <w:pPr>
        <w:pStyle w:val="A-z"/>
        <w:rPr>
          <w:color w:val="auto"/>
        </w:rPr>
      </w:pPr>
      <w:r>
        <w:rPr>
          <w:color w:val="auto"/>
        </w:rPr>
        <w:t>建设单位应制定建筑垃圾处置计划，尽可能</w:t>
      </w:r>
      <w:r>
        <w:rPr>
          <w:rFonts w:hint="eastAsia"/>
          <w:color w:val="auto"/>
          <w:lang w:val="en-US"/>
        </w:rPr>
        <w:t>将</w:t>
      </w:r>
      <w:r>
        <w:rPr>
          <w:color w:val="auto"/>
        </w:rPr>
        <w:t>土石方用于厂内筑路、填沟等。需要外运处理的应按规定路线运输，按规定地点处置，严禁乱排建筑垃圾。</w:t>
      </w:r>
    </w:p>
    <w:p w14:paraId="48969D4B" w14:textId="77777777" w:rsidR="002E474C" w:rsidRDefault="00000000">
      <w:pPr>
        <w:pStyle w:val="A-z"/>
        <w:rPr>
          <w:color w:val="auto"/>
        </w:rPr>
      </w:pPr>
      <w:r>
        <w:rPr>
          <w:color w:val="auto"/>
        </w:rPr>
        <w:t>（</w:t>
      </w:r>
      <w:r>
        <w:rPr>
          <w:color w:val="auto"/>
        </w:rPr>
        <w:t>2</w:t>
      </w:r>
      <w:r>
        <w:rPr>
          <w:color w:val="auto"/>
        </w:rPr>
        <w:t>）生活垃圾</w:t>
      </w:r>
    </w:p>
    <w:p w14:paraId="551D29FA" w14:textId="77777777" w:rsidR="002E474C" w:rsidRDefault="00000000">
      <w:pPr>
        <w:pStyle w:val="A-z"/>
        <w:rPr>
          <w:color w:val="auto"/>
        </w:rPr>
      </w:pPr>
      <w:r>
        <w:rPr>
          <w:color w:val="auto"/>
        </w:rPr>
        <w:t>项目施工期间施工人员约</w:t>
      </w:r>
      <w:r>
        <w:rPr>
          <w:color w:val="auto"/>
        </w:rPr>
        <w:t>50</w:t>
      </w:r>
      <w:r>
        <w:rPr>
          <w:color w:val="auto"/>
        </w:rPr>
        <w:t>人，每人每天产生垃圾量按</w:t>
      </w:r>
      <w:r>
        <w:rPr>
          <w:color w:val="auto"/>
        </w:rPr>
        <w:t>0.5kg</w:t>
      </w:r>
      <w:r>
        <w:rPr>
          <w:color w:val="auto"/>
        </w:rPr>
        <w:t>计算，施工人员产生的生活垃圾约为</w:t>
      </w:r>
      <w:r>
        <w:rPr>
          <w:color w:val="auto"/>
        </w:rPr>
        <w:t>25kg/d</w:t>
      </w:r>
      <w:r>
        <w:rPr>
          <w:color w:val="auto"/>
        </w:rPr>
        <w:t>。生活垃圾收集于垃圾桶内，垃圾桶加盖密闭，避免臭气逸散，定期运至圣雄股份公司垃圾场处理，对环境不利影响较小。</w:t>
      </w:r>
    </w:p>
    <w:p w14:paraId="5AE04398" w14:textId="77777777" w:rsidR="002E474C" w:rsidRDefault="00000000">
      <w:pPr>
        <w:pStyle w:val="A-z"/>
        <w:rPr>
          <w:color w:val="auto"/>
        </w:rPr>
      </w:pPr>
      <w:r>
        <w:rPr>
          <w:color w:val="auto"/>
        </w:rPr>
        <w:t>通过采取以上措施，施工期固废对环境的不良影响较小。</w:t>
      </w:r>
    </w:p>
    <w:p w14:paraId="688E0E02" w14:textId="77777777" w:rsidR="002E474C" w:rsidRDefault="00000000">
      <w:pPr>
        <w:pStyle w:val="31"/>
        <w:spacing w:before="120" w:after="120"/>
        <w:rPr>
          <w:color w:val="auto"/>
        </w:rPr>
      </w:pPr>
      <w:r>
        <w:rPr>
          <w:color w:val="auto"/>
        </w:rPr>
        <w:lastRenderedPageBreak/>
        <w:t>施工期环境影响小结</w:t>
      </w:r>
    </w:p>
    <w:p w14:paraId="5237959D" w14:textId="77777777" w:rsidR="002E474C" w:rsidRDefault="00000000">
      <w:pPr>
        <w:pStyle w:val="A-z"/>
        <w:rPr>
          <w:color w:val="auto"/>
        </w:rPr>
      </w:pPr>
      <w:r>
        <w:rPr>
          <w:color w:val="auto"/>
        </w:rPr>
        <w:t>施工期产生的废气、粉尘、废水、固体废物以及噪声会对周边环境产生不利影响，但是本项目施工期时间较短，施工结束后各类影响随即消失，因此施工期环境不利影响较小。</w:t>
      </w:r>
    </w:p>
    <w:p w14:paraId="3973974E"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22805B10" w14:textId="77777777" w:rsidR="002E474C" w:rsidRDefault="00000000">
      <w:pPr>
        <w:pStyle w:val="1"/>
        <w:spacing w:before="120" w:after="120"/>
      </w:pPr>
      <w:r>
        <w:lastRenderedPageBreak/>
        <w:tab/>
      </w:r>
      <w:bookmarkStart w:id="336" w:name="_Toc25544"/>
      <w:bookmarkStart w:id="337" w:name="_Toc225848872"/>
      <w:r>
        <w:t>环境保护措施及其可行性论证</w:t>
      </w:r>
      <w:bookmarkEnd w:id="336"/>
      <w:bookmarkEnd w:id="337"/>
    </w:p>
    <w:p w14:paraId="3132327B" w14:textId="77777777" w:rsidR="002E474C" w:rsidRDefault="00000000">
      <w:pPr>
        <w:pStyle w:val="21"/>
        <w:spacing w:before="240" w:after="240"/>
        <w:rPr>
          <w:color w:val="auto"/>
        </w:rPr>
      </w:pPr>
      <w:bookmarkStart w:id="338" w:name="_Toc225848873"/>
      <w:bookmarkStart w:id="339" w:name="_Toc1594"/>
      <w:r>
        <w:rPr>
          <w:color w:val="auto"/>
        </w:rPr>
        <w:t>废气治理措施及可行性分析</w:t>
      </w:r>
      <w:bookmarkEnd w:id="338"/>
      <w:bookmarkEnd w:id="339"/>
    </w:p>
    <w:p w14:paraId="6DC75EF7" w14:textId="77777777" w:rsidR="002E474C" w:rsidRDefault="00000000">
      <w:pPr>
        <w:pStyle w:val="A-z"/>
        <w:rPr>
          <w:color w:val="auto"/>
        </w:rPr>
      </w:pPr>
      <w:r>
        <w:rPr>
          <w:color w:val="auto"/>
        </w:rPr>
        <w:t>本项目新增大气污染物包括粉尘、挥发性有机物和其他有害气体（包括氟化物、</w:t>
      </w:r>
      <w:r>
        <w:rPr>
          <w:color w:val="auto"/>
        </w:rPr>
        <w:t>HCl</w:t>
      </w:r>
      <w:r>
        <w:rPr>
          <w:color w:val="auto"/>
        </w:rPr>
        <w:t>、</w:t>
      </w:r>
      <w:r>
        <w:rPr>
          <w:color w:val="auto"/>
        </w:rPr>
        <w:t>Hg</w:t>
      </w:r>
      <w:r>
        <w:rPr>
          <w:color w:val="auto"/>
        </w:rPr>
        <w:t>、</w:t>
      </w:r>
      <w:r>
        <w:rPr>
          <w:color w:val="auto"/>
        </w:rPr>
        <w:t>Pb</w:t>
      </w:r>
      <w:r>
        <w:rPr>
          <w:color w:val="auto"/>
        </w:rPr>
        <w:t>和二噁英类等），项目应采取有效的大气污染防治措施以减少污染物排放，降低项目运行对环境空气造成的不良影响。</w:t>
      </w:r>
    </w:p>
    <w:p w14:paraId="1493121C" w14:textId="77777777" w:rsidR="002E474C" w:rsidRDefault="00000000">
      <w:pPr>
        <w:pStyle w:val="31"/>
        <w:spacing w:before="120" w:after="120"/>
        <w:rPr>
          <w:color w:val="auto"/>
        </w:rPr>
      </w:pPr>
      <w:r>
        <w:rPr>
          <w:color w:val="auto"/>
        </w:rPr>
        <w:t>运输过程恶臭治理</w:t>
      </w:r>
    </w:p>
    <w:p w14:paraId="692A70B2" w14:textId="77777777" w:rsidR="002E474C" w:rsidRDefault="00000000">
      <w:pPr>
        <w:pStyle w:val="A-z"/>
        <w:ind w:firstLine="456"/>
        <w:rPr>
          <w:color w:val="auto"/>
          <w:spacing w:val="-6"/>
        </w:rPr>
      </w:pPr>
      <w:r>
        <w:rPr>
          <w:color w:val="auto"/>
          <w:spacing w:val="-6"/>
        </w:rPr>
        <w:t>（</w:t>
      </w:r>
      <w:r>
        <w:rPr>
          <w:color w:val="auto"/>
          <w:spacing w:val="-6"/>
        </w:rPr>
        <w:t>1</w:t>
      </w:r>
      <w:r>
        <w:rPr>
          <w:color w:val="auto"/>
          <w:spacing w:val="-6"/>
        </w:rPr>
        <w:t>）危险废物运输由持有危险废物经营许可证的单位按照其许可证的经营范围组织实施，承担危险废物运输的单位为获得交通运输部门颁发的危险货物运输资质。危险废物公路运输按照《道路危险货物运输管理规定》（交通部令〔</w:t>
      </w:r>
      <w:r>
        <w:rPr>
          <w:color w:val="auto"/>
          <w:spacing w:val="-6"/>
        </w:rPr>
        <w:t>2005</w:t>
      </w:r>
      <w:r>
        <w:rPr>
          <w:color w:val="auto"/>
          <w:spacing w:val="-6"/>
        </w:rPr>
        <w:t>年〕第</w:t>
      </w:r>
      <w:r>
        <w:rPr>
          <w:color w:val="auto"/>
          <w:spacing w:val="-6"/>
        </w:rPr>
        <w:t>9</w:t>
      </w:r>
      <w:r>
        <w:rPr>
          <w:color w:val="auto"/>
          <w:spacing w:val="-6"/>
        </w:rPr>
        <w:t>号）、《危险货物道路运输规则》（</w:t>
      </w:r>
      <w:r>
        <w:rPr>
          <w:color w:val="auto"/>
          <w:spacing w:val="-6"/>
        </w:rPr>
        <w:t>JT/T617</w:t>
      </w:r>
      <w:r>
        <w:rPr>
          <w:color w:val="auto"/>
          <w:spacing w:val="-6"/>
        </w:rPr>
        <w:t>）以及《汽车运输、装卸危险货物作业规程》（</w:t>
      </w:r>
      <w:r>
        <w:rPr>
          <w:color w:val="auto"/>
          <w:spacing w:val="-6"/>
        </w:rPr>
        <w:t>JT618</w:t>
      </w:r>
      <w:r>
        <w:rPr>
          <w:color w:val="auto"/>
          <w:spacing w:val="-6"/>
        </w:rPr>
        <w:t>）执行。运输单位承运危险废物时，在运输车辆上按照《危险废物识别标志设置技术规范》（</w:t>
      </w:r>
      <w:r>
        <w:rPr>
          <w:color w:val="auto"/>
          <w:spacing w:val="-6"/>
        </w:rPr>
        <w:t>HJ 1276</w:t>
      </w:r>
      <w:r>
        <w:rPr>
          <w:color w:val="auto"/>
          <w:spacing w:val="-6"/>
        </w:rPr>
        <w:t>）附录</w:t>
      </w:r>
      <w:r>
        <w:rPr>
          <w:color w:val="auto"/>
          <w:spacing w:val="-6"/>
        </w:rPr>
        <w:t>A</w:t>
      </w:r>
      <w:r>
        <w:rPr>
          <w:color w:val="auto"/>
          <w:spacing w:val="-6"/>
        </w:rPr>
        <w:t>设置危险特性警示图形。</w:t>
      </w:r>
    </w:p>
    <w:p w14:paraId="1C32432B" w14:textId="77777777" w:rsidR="002E474C" w:rsidRDefault="00000000">
      <w:pPr>
        <w:pStyle w:val="A-z"/>
        <w:rPr>
          <w:color w:val="auto"/>
        </w:rPr>
      </w:pPr>
      <w:r>
        <w:rPr>
          <w:color w:val="auto"/>
        </w:rPr>
        <w:t>（</w:t>
      </w:r>
      <w:r>
        <w:rPr>
          <w:color w:val="auto"/>
        </w:rPr>
        <w:t>2</w:t>
      </w:r>
      <w:r>
        <w:rPr>
          <w:color w:val="auto"/>
        </w:rPr>
        <w:t>）要求预处理产物和进厂危废的运输车辆须密闭且有防止废水滴漏的措施。采用密封型的车辆，运输过程应严禁敞开，禁止一些破损车辆从事危废收集运输作业，减少运输途中的恶臭废气的跑冒现象。</w:t>
      </w:r>
    </w:p>
    <w:p w14:paraId="4F478EAE" w14:textId="77777777" w:rsidR="002E474C" w:rsidRDefault="00000000">
      <w:pPr>
        <w:pStyle w:val="A-z"/>
        <w:rPr>
          <w:color w:val="auto"/>
        </w:rPr>
      </w:pPr>
      <w:r>
        <w:rPr>
          <w:color w:val="auto"/>
        </w:rPr>
        <w:t>（</w:t>
      </w:r>
      <w:r>
        <w:rPr>
          <w:color w:val="auto"/>
        </w:rPr>
        <w:t>3</w:t>
      </w:r>
      <w:r>
        <w:rPr>
          <w:color w:val="auto"/>
        </w:rPr>
        <w:t>）合理优化危废运输的路线，尽量避开人群密集的居住区、村庄等。</w:t>
      </w:r>
    </w:p>
    <w:p w14:paraId="07397CAF" w14:textId="77777777" w:rsidR="002E474C" w:rsidRDefault="00000000">
      <w:pPr>
        <w:pStyle w:val="A-z"/>
        <w:rPr>
          <w:color w:val="auto"/>
        </w:rPr>
      </w:pPr>
      <w:r>
        <w:rPr>
          <w:color w:val="auto"/>
        </w:rPr>
        <w:t>项目危废运输符合《危险废物收集</w:t>
      </w:r>
      <w:r>
        <w:rPr>
          <w:color w:val="auto"/>
        </w:rPr>
        <w:t xml:space="preserve"> </w:t>
      </w:r>
      <w:r>
        <w:rPr>
          <w:color w:val="auto"/>
        </w:rPr>
        <w:t>贮存</w:t>
      </w:r>
      <w:r>
        <w:rPr>
          <w:color w:val="auto"/>
        </w:rPr>
        <w:t xml:space="preserve"> </w:t>
      </w:r>
      <w:r>
        <w:rPr>
          <w:color w:val="auto"/>
        </w:rPr>
        <w:t>运输技术规范》（</w:t>
      </w:r>
      <w:r>
        <w:rPr>
          <w:color w:val="auto"/>
        </w:rPr>
        <w:t>HJ 2025-2012</w:t>
      </w:r>
      <w:r>
        <w:rPr>
          <w:color w:val="auto"/>
        </w:rPr>
        <w:t>）要求，可有效防范运输过程中恶臭对环境空气的影响。</w:t>
      </w:r>
    </w:p>
    <w:p w14:paraId="43710663" w14:textId="77777777" w:rsidR="002E474C" w:rsidRDefault="00000000">
      <w:pPr>
        <w:pStyle w:val="31"/>
        <w:spacing w:before="120" w:after="120"/>
        <w:rPr>
          <w:color w:val="auto"/>
        </w:rPr>
      </w:pPr>
      <w:r>
        <w:rPr>
          <w:color w:val="auto"/>
        </w:rPr>
        <w:t>危废贮存废气治理</w:t>
      </w:r>
    </w:p>
    <w:p w14:paraId="620EE25F" w14:textId="77777777" w:rsidR="002E474C" w:rsidRDefault="00000000">
      <w:pPr>
        <w:pStyle w:val="A-z"/>
        <w:rPr>
          <w:color w:val="auto"/>
        </w:rPr>
      </w:pPr>
      <w:r>
        <w:rPr>
          <w:color w:val="auto"/>
        </w:rPr>
        <w:t>（</w:t>
      </w:r>
      <w:r>
        <w:rPr>
          <w:color w:val="auto"/>
        </w:rPr>
        <w:t>1</w:t>
      </w:r>
      <w:r>
        <w:rPr>
          <w:color w:val="auto"/>
        </w:rPr>
        <w:t>）治理措施</w:t>
      </w:r>
    </w:p>
    <w:p w14:paraId="700F519E" w14:textId="77777777" w:rsidR="002E474C" w:rsidRDefault="00000000">
      <w:pPr>
        <w:pStyle w:val="A-z"/>
        <w:ind w:firstLine="456"/>
        <w:rPr>
          <w:color w:val="auto"/>
          <w:spacing w:val="-6"/>
        </w:rPr>
      </w:pPr>
      <w:r>
        <w:rPr>
          <w:color w:val="auto"/>
          <w:spacing w:val="-6"/>
        </w:rPr>
        <w:t>本项目危险废物贮存设施为危废贮存库、固态危废预处理车间贮存区及清洗间。</w:t>
      </w:r>
    </w:p>
    <w:p w14:paraId="16BB04F3" w14:textId="77777777" w:rsidR="002E474C" w:rsidRDefault="00000000">
      <w:pPr>
        <w:pStyle w:val="A-z"/>
        <w:rPr>
          <w:color w:val="auto"/>
        </w:rPr>
      </w:pPr>
      <w:r>
        <w:rPr>
          <w:color w:val="auto"/>
        </w:rPr>
        <w:t>危废贮存库废气主要来自进厂危废贮存过程及转运产生的废气，固态危废预处理车间废气主要来自预处理产物和进厂危废卸料、贮存及预处理过程产生的废气，包括粉尘、非甲烷总烃、恶臭气体等。项目主要采取以下措施：</w:t>
      </w:r>
    </w:p>
    <w:p w14:paraId="1FB99D25" w14:textId="77777777" w:rsidR="002E474C" w:rsidRDefault="00000000">
      <w:pPr>
        <w:pStyle w:val="A-z"/>
        <w:rPr>
          <w:color w:val="auto"/>
        </w:rPr>
      </w:pPr>
      <w:r>
        <w:rPr>
          <w:color w:val="auto"/>
        </w:rPr>
        <w:t>1</w:t>
      </w:r>
      <w:r>
        <w:rPr>
          <w:color w:val="auto"/>
        </w:rPr>
        <w:t>）固态危废预处理车间和危废贮存库实行密闭设计并设负压系统（</w:t>
      </w:r>
      <w:r>
        <w:rPr>
          <w:color w:val="auto"/>
        </w:rPr>
        <w:t>ΔP=-50Pa</w:t>
      </w:r>
      <w:r>
        <w:rPr>
          <w:color w:val="auto"/>
        </w:rPr>
        <w:t>）。</w:t>
      </w:r>
    </w:p>
    <w:p w14:paraId="2ECE5721" w14:textId="77777777" w:rsidR="002E474C" w:rsidRDefault="00000000">
      <w:pPr>
        <w:pStyle w:val="A-z"/>
        <w:rPr>
          <w:color w:val="auto"/>
        </w:rPr>
      </w:pPr>
      <w:r>
        <w:rPr>
          <w:color w:val="auto"/>
        </w:rPr>
        <w:lastRenderedPageBreak/>
        <w:t>2</w:t>
      </w:r>
      <w:r>
        <w:rPr>
          <w:color w:val="auto"/>
        </w:rPr>
        <w:t>）在固态危废预处理车间和危废贮存库布置吸风口，用轴流风机将贮存及预处理废气送入净化系统处理后排放。</w:t>
      </w:r>
    </w:p>
    <w:p w14:paraId="3CF159CA" w14:textId="77777777" w:rsidR="002E474C" w:rsidRDefault="00000000">
      <w:pPr>
        <w:pStyle w:val="A-z"/>
        <w:rPr>
          <w:color w:val="auto"/>
        </w:rPr>
      </w:pPr>
      <w:r>
        <w:rPr>
          <w:color w:val="auto"/>
        </w:rPr>
        <w:t>3</w:t>
      </w:r>
      <w:r>
        <w:rPr>
          <w:color w:val="auto"/>
        </w:rPr>
        <w:t>）固态危废预处理车间、危废贮存库、纯无机类（不挥发）危废投料系统设置了电动卷闸门，在危险废物运输车进入时自动开启，避免臭气外逸。建设单位须对密封设施进行定期检查，及时更换破损的密封件，以防止臭气外逸。</w:t>
      </w:r>
    </w:p>
    <w:p w14:paraId="120E7B31" w14:textId="77777777" w:rsidR="002E474C" w:rsidRDefault="00000000">
      <w:pPr>
        <w:pStyle w:val="A-z"/>
        <w:rPr>
          <w:color w:val="auto"/>
        </w:rPr>
      </w:pPr>
      <w:r>
        <w:rPr>
          <w:color w:val="auto"/>
        </w:rPr>
        <w:t>4</w:t>
      </w:r>
      <w:r>
        <w:rPr>
          <w:color w:val="auto"/>
        </w:rPr>
        <w:t>）破碎间布置在固态危废预处理车间内，采用布袋除尘器处理含尘废气，减少颗粒物排放。</w:t>
      </w:r>
    </w:p>
    <w:p w14:paraId="5098D45A" w14:textId="77777777" w:rsidR="002E474C" w:rsidRDefault="00000000">
      <w:pPr>
        <w:pStyle w:val="A-z"/>
        <w:rPr>
          <w:color w:val="auto"/>
        </w:rPr>
      </w:pPr>
      <w:r>
        <w:rPr>
          <w:color w:val="auto"/>
        </w:rPr>
        <w:t>（</w:t>
      </w:r>
      <w:r>
        <w:rPr>
          <w:color w:val="auto"/>
        </w:rPr>
        <w:t>2</w:t>
      </w:r>
      <w:r>
        <w:rPr>
          <w:color w:val="auto"/>
        </w:rPr>
        <w:t>）废气治理工艺</w:t>
      </w:r>
    </w:p>
    <w:p w14:paraId="12175A76" w14:textId="77777777" w:rsidR="002E474C" w:rsidRDefault="00000000">
      <w:pPr>
        <w:pStyle w:val="A-z"/>
        <w:rPr>
          <w:color w:val="auto"/>
        </w:rPr>
      </w:pPr>
      <w:r>
        <w:rPr>
          <w:color w:val="auto"/>
        </w:rPr>
        <w:t>1</w:t>
      </w:r>
      <w:r>
        <w:rPr>
          <w:color w:val="auto"/>
        </w:rPr>
        <w:t>）除尘措施</w:t>
      </w:r>
    </w:p>
    <w:p w14:paraId="24F62B93" w14:textId="77777777" w:rsidR="002E474C" w:rsidRDefault="00000000">
      <w:pPr>
        <w:pStyle w:val="A-z"/>
        <w:rPr>
          <w:color w:val="auto"/>
        </w:rPr>
      </w:pPr>
      <w:r>
        <w:rPr>
          <w:color w:val="auto"/>
        </w:rPr>
        <w:t>固态危废预处理车间内单独设置破碎间，废包装物及物料破碎过程</w:t>
      </w:r>
      <w:r>
        <w:rPr>
          <w:color w:val="auto"/>
          <w:lang w:val="en-US"/>
        </w:rPr>
        <w:t>会产生颗粒物</w:t>
      </w:r>
      <w:r>
        <w:rPr>
          <w:color w:val="auto"/>
        </w:rPr>
        <w:t>。</w:t>
      </w:r>
      <w:r>
        <w:rPr>
          <w:color w:val="auto"/>
          <w:lang w:val="en-US"/>
        </w:rPr>
        <w:t>破碎间采用集气罩收集含尘废气，</w:t>
      </w:r>
      <w:r>
        <w:rPr>
          <w:color w:val="auto"/>
        </w:rPr>
        <w:t>采用布袋除尘器处理后，废气在固态危废预处理车间内无组织排放。</w:t>
      </w:r>
    </w:p>
    <w:p w14:paraId="12F25D8D" w14:textId="77777777" w:rsidR="002E474C" w:rsidRDefault="00000000">
      <w:pPr>
        <w:pStyle w:val="A-z"/>
        <w:rPr>
          <w:color w:val="auto"/>
        </w:rPr>
      </w:pPr>
      <w:r>
        <w:rPr>
          <w:color w:val="auto"/>
        </w:rPr>
        <w:t>采用袋式除尘器除尘效率可以达到</w:t>
      </w:r>
      <w:r>
        <w:rPr>
          <w:color w:val="auto"/>
        </w:rPr>
        <w:t>99.9%</w:t>
      </w:r>
      <w:r>
        <w:rPr>
          <w:color w:val="auto"/>
        </w:rPr>
        <w:t>以上，有效地保证排入大气的粉尘浓度达到标准要求；处理的废气量和含尘浓度的允许变化范围大，而除尘效率稳定，同时布袋除尘器的使用已经成熟，相对的技术风险较小。</w:t>
      </w:r>
    </w:p>
    <w:p w14:paraId="76FBB812" w14:textId="77777777" w:rsidR="002E474C" w:rsidRDefault="00000000">
      <w:pPr>
        <w:pStyle w:val="A-z"/>
        <w:rPr>
          <w:color w:val="auto"/>
        </w:rPr>
      </w:pPr>
      <w:r>
        <w:rPr>
          <w:color w:val="auto"/>
        </w:rPr>
        <w:t>含尘气体从袋式除尘器入口进入后，由导流管进入各单元室，在导流装置的作用下，大颗粒粉尘分离后直接落入灰斗，其余粉尘随气流均匀进入各仓室过滤区中的滤袋，当含尘气体穿过滤袋时，粉尘即被吸附在滤袋上，而被净化的气体从滤袋内排除。当吸附在滤袋上的粉尘达到一定厚度电磁阀开，喷吹空气从滤袋出口处自上而下与气体排除的相反方向进入滤袋，将吸附在滤袋外面的粉尘清落至下面的灰斗中，粉尘经卸灰阀排出后利用输灰系统送出。</w:t>
      </w:r>
    </w:p>
    <w:p w14:paraId="31D1802D" w14:textId="77777777" w:rsidR="002E474C" w:rsidRDefault="00000000">
      <w:pPr>
        <w:pStyle w:val="A-z"/>
        <w:rPr>
          <w:color w:val="auto"/>
        </w:rPr>
      </w:pPr>
      <w:r>
        <w:rPr>
          <w:color w:val="auto"/>
        </w:rPr>
        <w:t>2</w:t>
      </w:r>
      <w:r>
        <w:rPr>
          <w:color w:val="auto"/>
        </w:rPr>
        <w:t>）除臭措施</w:t>
      </w:r>
    </w:p>
    <w:p w14:paraId="4D2F1F14" w14:textId="77777777" w:rsidR="002E474C" w:rsidRDefault="00000000">
      <w:pPr>
        <w:pStyle w:val="A-z"/>
        <w:ind w:firstLine="456"/>
        <w:rPr>
          <w:color w:val="auto"/>
          <w:spacing w:val="-6"/>
        </w:rPr>
      </w:pPr>
      <w:r>
        <w:rPr>
          <w:color w:val="auto"/>
          <w:spacing w:val="-6"/>
        </w:rPr>
        <w:t>固态危废预处理车间贮存区和危废贮存库内固态与液态危废预处理产物</w:t>
      </w:r>
      <w:r>
        <w:rPr>
          <w:color w:val="auto"/>
          <w:spacing w:val="-6"/>
          <w:lang w:val="en-US"/>
        </w:rPr>
        <w:t>贮存过程中会散发出有机物气体和臭气。</w:t>
      </w:r>
      <w:r>
        <w:rPr>
          <w:color w:val="auto"/>
          <w:spacing w:val="-6"/>
        </w:rPr>
        <w:t>保持固态危废预处理车间和危废贮存库处于微负压状态，车间及库房顶部设置吸风口，</w:t>
      </w:r>
      <w:r>
        <w:rPr>
          <w:color w:val="auto"/>
          <w:spacing w:val="-6"/>
        </w:rPr>
        <w:t>NH</w:t>
      </w:r>
      <w:r>
        <w:rPr>
          <w:color w:val="auto"/>
          <w:spacing w:val="-6"/>
          <w:vertAlign w:val="subscript"/>
        </w:rPr>
        <w:t>3</w:t>
      </w:r>
      <w:r>
        <w:rPr>
          <w:color w:val="auto"/>
          <w:spacing w:val="-6"/>
        </w:rPr>
        <w:t>、</w:t>
      </w:r>
      <w:r>
        <w:rPr>
          <w:color w:val="auto"/>
          <w:spacing w:val="-6"/>
        </w:rPr>
        <w:t>H</w:t>
      </w:r>
      <w:r>
        <w:rPr>
          <w:color w:val="auto"/>
          <w:spacing w:val="-6"/>
          <w:vertAlign w:val="subscript"/>
        </w:rPr>
        <w:t>2</w:t>
      </w:r>
      <w:r>
        <w:rPr>
          <w:color w:val="auto"/>
          <w:spacing w:val="-6"/>
        </w:rPr>
        <w:t>S</w:t>
      </w:r>
      <w:r>
        <w:rPr>
          <w:color w:val="auto"/>
          <w:spacing w:val="-6"/>
        </w:rPr>
        <w:t>、非甲烷总烃等无组织废气通过风口、输送风管和风机被收集起来，采用两级活性炭吸附处理后通过</w:t>
      </w:r>
      <w:r>
        <w:rPr>
          <w:color w:val="auto"/>
          <w:spacing w:val="-6"/>
        </w:rPr>
        <w:t>15m</w:t>
      </w:r>
      <w:r>
        <w:rPr>
          <w:color w:val="auto"/>
          <w:spacing w:val="-6"/>
        </w:rPr>
        <w:t>排气筒排放。</w:t>
      </w:r>
    </w:p>
    <w:p w14:paraId="23C82F37" w14:textId="77777777" w:rsidR="002E474C" w:rsidRDefault="00000000">
      <w:pPr>
        <w:pStyle w:val="A-z"/>
        <w:rPr>
          <w:color w:val="auto"/>
        </w:rPr>
      </w:pPr>
      <w:r>
        <w:rPr>
          <w:color w:val="auto"/>
        </w:rPr>
        <w:t>固态危废预处理车间贮存区和危废贮存库采用的除臭措施是两级活性炭吸附的组合工艺。活性炭吸附技术与其他技术相比，净化效率更高、二次污染更小、能源消耗更低。</w:t>
      </w:r>
    </w:p>
    <w:p w14:paraId="51C80880" w14:textId="77777777" w:rsidR="002E474C" w:rsidRDefault="00000000">
      <w:pPr>
        <w:pStyle w:val="A-z"/>
        <w:rPr>
          <w:color w:val="auto"/>
        </w:rPr>
      </w:pPr>
      <w:r>
        <w:rPr>
          <w:color w:val="auto"/>
        </w:rPr>
        <w:t>根据吸附过程中，活性炭分子和污染物分子之间作用力的不同，可将吸附分</w:t>
      </w:r>
      <w:r>
        <w:rPr>
          <w:color w:val="auto"/>
        </w:rPr>
        <w:lastRenderedPageBreak/>
        <w:t>为两大类：物理吸附和化学吸附（又称活性吸附）。在吸附过程中，当活性炭分子和污染物分子之间的作用力是范徳华力（或静电引力）时称为物理吸附；当活性炭分子和污染物分子之间的作用力是化学键时称为化学吸附。物理吸附的吸附强度主要与活性炭的物理性质有关，与活性炭的化学性质基本无关。由于范徳华力较弱，对污染物分子的结构影响不大，这种力与分子间内緊力一样，故可把物理吸附类比为凝聚现象。物理吸附时污染物的化学性质仍然保持不变。由于化学键强，对污染物分子的结构影响较大，故可把化学吸附看做化学反应，是污染物与活性炭间化学作用的结果。化学吸时一般包含电子对共享或电子转移，而不是简单的微扰或弱极化作用，是不可逆的化学反应过程。物理吸附和化学吸附的根本区別在于产生吸附键的作用力。</w:t>
      </w:r>
    </w:p>
    <w:p w14:paraId="01FB0732" w14:textId="77777777" w:rsidR="002E474C" w:rsidRDefault="00000000">
      <w:pPr>
        <w:pStyle w:val="A-z"/>
        <w:rPr>
          <w:color w:val="auto"/>
        </w:rPr>
      </w:pPr>
      <w:r>
        <w:rPr>
          <w:color w:val="auto"/>
        </w:rPr>
        <w:t>吸附过程是污染物分子被吸附到固体表面的过程，分子的自由能会降低，因此，吸附过程是放热过程，所放出的热称为该污染物在此固体表面上的吸附热。由于物理吸附和化学吸附的作用力不同，它们在吸附热、吸附速率、吸附活化能、吸附温度、选择性、吸附层数和吸附光谱等方面表现出一定的差异。</w:t>
      </w:r>
    </w:p>
    <w:p w14:paraId="164FC3D6" w14:textId="77777777" w:rsidR="002E474C" w:rsidRDefault="00000000">
      <w:pPr>
        <w:pStyle w:val="A-z"/>
        <w:rPr>
          <w:color w:val="auto"/>
        </w:rPr>
      </w:pPr>
      <w:r>
        <w:rPr>
          <w:color w:val="auto"/>
        </w:rPr>
        <w:t>活性炭具有内部孔隙结构发达，比表面积大，吸附能力强的特性。物理吸附主要是靠活性炭分子与恶臭分子间的范德华力，利用活性炭的吸附作用使污染物通过吸附剂填充层被吸附而去除恶臭。</w:t>
      </w:r>
    </w:p>
    <w:p w14:paraId="0D18A4D7" w14:textId="77777777" w:rsidR="002E474C" w:rsidRDefault="00000000">
      <w:pPr>
        <w:pStyle w:val="A-z"/>
        <w:rPr>
          <w:color w:val="auto"/>
        </w:rPr>
      </w:pPr>
      <w:r>
        <w:rPr>
          <w:color w:val="auto"/>
        </w:rPr>
        <w:t>活性炭吸附工艺除臭的特点是设备结构简单，占地面积小，使用场合灵活，适用于低浓度的恶臭气体处理，处理效率高。本项目采用两级活性炭吸附净化工艺去除臭气及挥发性有机物，具有更好的去除效果。</w:t>
      </w:r>
    </w:p>
    <w:p w14:paraId="05788A26" w14:textId="77777777" w:rsidR="002E474C" w:rsidRDefault="00000000">
      <w:pPr>
        <w:pStyle w:val="A-z"/>
        <w:rPr>
          <w:color w:val="auto"/>
        </w:rPr>
      </w:pPr>
      <w:r>
        <w:rPr>
          <w:color w:val="auto"/>
        </w:rPr>
        <w:t>（</w:t>
      </w:r>
      <w:r>
        <w:rPr>
          <w:color w:val="auto"/>
        </w:rPr>
        <w:t>3</w:t>
      </w:r>
      <w:r>
        <w:rPr>
          <w:color w:val="auto"/>
        </w:rPr>
        <w:t>）废气治理效果</w:t>
      </w:r>
    </w:p>
    <w:p w14:paraId="7C589690" w14:textId="77777777" w:rsidR="002E474C" w:rsidRDefault="00000000">
      <w:pPr>
        <w:pStyle w:val="A-z"/>
        <w:rPr>
          <w:color w:val="auto"/>
        </w:rPr>
      </w:pPr>
      <w:r>
        <w:rPr>
          <w:color w:val="auto"/>
        </w:rPr>
        <w:t>本项目危废贮存设施应符合《危险废物收集</w:t>
      </w:r>
      <w:r>
        <w:rPr>
          <w:color w:val="auto"/>
        </w:rPr>
        <w:t xml:space="preserve"> </w:t>
      </w:r>
      <w:r>
        <w:rPr>
          <w:color w:val="auto"/>
        </w:rPr>
        <w:t>贮存</w:t>
      </w:r>
      <w:r>
        <w:rPr>
          <w:color w:val="auto"/>
        </w:rPr>
        <w:t xml:space="preserve"> </w:t>
      </w:r>
      <w:r>
        <w:rPr>
          <w:color w:val="auto"/>
        </w:rPr>
        <w:t>运输技术规范》（</w:t>
      </w:r>
      <w:r>
        <w:rPr>
          <w:color w:val="auto"/>
        </w:rPr>
        <w:t>HJ2025-2012</w:t>
      </w:r>
      <w:r>
        <w:rPr>
          <w:color w:val="auto"/>
        </w:rPr>
        <w:t>）、《危险废物贮存污染控制标准》（</w:t>
      </w:r>
      <w:r>
        <w:rPr>
          <w:color w:val="auto"/>
        </w:rPr>
        <w:t>GB18597-2023</w:t>
      </w:r>
      <w:r>
        <w:rPr>
          <w:color w:val="auto"/>
        </w:rPr>
        <w:t>）。危废预处理和危废贮存库废气治理符合《水泥窑协同处置固体废物环境保护技术规范》（</w:t>
      </w:r>
      <w:r>
        <w:rPr>
          <w:color w:val="auto"/>
        </w:rPr>
        <w:t>HJ662-2013</w:t>
      </w:r>
      <w:r>
        <w:rPr>
          <w:color w:val="auto"/>
        </w:rPr>
        <w:t>）、《水泥窑协同处置危险废物经营许可证审查指南（试行）》、《水泥窑协同处置废物污染控制标准》（</w:t>
      </w:r>
      <w:r>
        <w:rPr>
          <w:color w:val="auto"/>
        </w:rPr>
        <w:t>GB30485-2013</w:t>
      </w:r>
      <w:r>
        <w:rPr>
          <w:color w:val="auto"/>
        </w:rPr>
        <w:t>）要求。</w:t>
      </w:r>
    </w:p>
    <w:p w14:paraId="6D950C71" w14:textId="77777777" w:rsidR="002E474C" w:rsidRDefault="00000000">
      <w:pPr>
        <w:pStyle w:val="A-z"/>
        <w:rPr>
          <w:color w:val="auto"/>
        </w:rPr>
      </w:pPr>
      <w:r>
        <w:rPr>
          <w:color w:val="auto"/>
        </w:rPr>
        <w:t>类比已投产的危废处置工程实际运行情况可知，将吸风口均匀布置在车间顶部，风机连续运行，可实现车间的微负压运行。贮存废气采用两级活性炭吸附处理后可实现达标排放。</w:t>
      </w:r>
    </w:p>
    <w:p w14:paraId="6EC5C92F" w14:textId="77777777" w:rsidR="002E474C" w:rsidRDefault="00000000">
      <w:pPr>
        <w:pStyle w:val="31"/>
        <w:spacing w:before="120" w:after="120"/>
        <w:rPr>
          <w:color w:val="auto"/>
        </w:rPr>
      </w:pPr>
      <w:r>
        <w:rPr>
          <w:color w:val="auto"/>
        </w:rPr>
        <w:lastRenderedPageBreak/>
        <w:t>水泥窑烧成系统废气治理</w:t>
      </w:r>
    </w:p>
    <w:p w14:paraId="34C40B68" w14:textId="77777777" w:rsidR="002E474C" w:rsidRDefault="00000000">
      <w:pPr>
        <w:pStyle w:val="A-z"/>
        <w:rPr>
          <w:color w:val="auto"/>
        </w:rPr>
      </w:pPr>
      <w:r>
        <w:rPr>
          <w:color w:val="auto"/>
        </w:rPr>
        <w:t>根据《水泥窑协同处置固体废物污染物控制标准编制说明》，水泥窑协同处置危险废物时，水泥生产过程中的水泥煅烧系统仍是最重要的大气污染物排放源，其中烟尘、</w:t>
      </w:r>
      <w:r>
        <w:rPr>
          <w:color w:val="auto"/>
        </w:rPr>
        <w:t>SO</w:t>
      </w:r>
      <w:r>
        <w:rPr>
          <w:color w:val="auto"/>
          <w:vertAlign w:val="subscript"/>
        </w:rPr>
        <w:t>2</w:t>
      </w:r>
      <w:r>
        <w:rPr>
          <w:color w:val="auto"/>
        </w:rPr>
        <w:t>、</w:t>
      </w:r>
      <w:r>
        <w:rPr>
          <w:color w:val="auto"/>
        </w:rPr>
        <w:t>NOx</w:t>
      </w:r>
      <w:r>
        <w:rPr>
          <w:color w:val="auto"/>
        </w:rPr>
        <w:t>、</w:t>
      </w:r>
      <w:r>
        <w:rPr>
          <w:color w:val="auto"/>
        </w:rPr>
        <w:t>NH</w:t>
      </w:r>
      <w:r>
        <w:rPr>
          <w:color w:val="auto"/>
          <w:vertAlign w:val="subscript"/>
        </w:rPr>
        <w:t>3</w:t>
      </w:r>
      <w:r>
        <w:rPr>
          <w:color w:val="auto"/>
        </w:rPr>
        <w:t>排放量与水泥窑的废物协同处置过程无关。本项目利用现有水泥窑处置危险废物，窑尾主要产生</w:t>
      </w:r>
      <w:r>
        <w:rPr>
          <w:color w:val="auto"/>
        </w:rPr>
        <w:t>HF</w:t>
      </w:r>
      <w:r>
        <w:rPr>
          <w:color w:val="auto"/>
        </w:rPr>
        <w:t>、</w:t>
      </w:r>
      <w:r>
        <w:rPr>
          <w:color w:val="auto"/>
        </w:rPr>
        <w:t>HCl</w:t>
      </w:r>
      <w:r>
        <w:rPr>
          <w:color w:val="auto"/>
        </w:rPr>
        <w:t>、重金属、二噁英类等污染物。</w:t>
      </w:r>
    </w:p>
    <w:p w14:paraId="5FF66E05" w14:textId="77777777" w:rsidR="002E474C" w:rsidRDefault="00000000">
      <w:pPr>
        <w:pStyle w:val="A-z"/>
        <w:rPr>
          <w:color w:val="auto"/>
        </w:rPr>
      </w:pPr>
      <w:r>
        <w:rPr>
          <w:color w:val="auto"/>
        </w:rPr>
        <w:t>根据《水泥窑协同处置固体废物环境保护技术规范》（</w:t>
      </w:r>
      <w:r>
        <w:rPr>
          <w:color w:val="auto"/>
        </w:rPr>
        <w:t>HJ662-2013</w:t>
      </w:r>
      <w:r>
        <w:rPr>
          <w:color w:val="auto"/>
        </w:rPr>
        <w:t>）规定用于协同处置固体废物的水泥窑及窑尾余热利用系统采用高效布袋除尘器作为烟气除尘设施，保证排放烟气中颗粒物浓度满足《水泥窑协同处置固体废物污染物控制标准》（</w:t>
      </w:r>
      <w:r>
        <w:rPr>
          <w:color w:val="auto"/>
        </w:rPr>
        <w:t>GB30485-2013</w:t>
      </w:r>
      <w:r>
        <w:rPr>
          <w:color w:val="auto"/>
        </w:rPr>
        <w:t>）要求，厂内现有窑尾烟气采用</w:t>
      </w:r>
      <w:r>
        <w:rPr>
          <w:color w:val="auto"/>
        </w:rPr>
        <w:t>SNCR+</w:t>
      </w:r>
      <w:r>
        <w:rPr>
          <w:color w:val="auto"/>
        </w:rPr>
        <w:t>增湿塔（急冷）</w:t>
      </w:r>
      <w:r>
        <w:rPr>
          <w:color w:val="auto"/>
        </w:rPr>
        <w:t>+</w:t>
      </w:r>
      <w:r>
        <w:rPr>
          <w:color w:val="auto"/>
        </w:rPr>
        <w:t>电袋除尘，符合技术规范。本项目充分利用水泥窑的热稳定性以及碱性环境，产生的</w:t>
      </w:r>
      <w:r>
        <w:rPr>
          <w:color w:val="auto"/>
        </w:rPr>
        <w:t>SO</w:t>
      </w:r>
      <w:r>
        <w:rPr>
          <w:color w:val="auto"/>
          <w:vertAlign w:val="subscript"/>
        </w:rPr>
        <w:t>2</w:t>
      </w:r>
      <w:r>
        <w:rPr>
          <w:color w:val="auto"/>
        </w:rPr>
        <w:t>、</w:t>
      </w:r>
      <w:r>
        <w:rPr>
          <w:color w:val="auto"/>
        </w:rPr>
        <w:t>HF</w:t>
      </w:r>
      <w:r>
        <w:rPr>
          <w:color w:val="auto"/>
        </w:rPr>
        <w:t>、</w:t>
      </w:r>
      <w:r>
        <w:rPr>
          <w:color w:val="auto"/>
        </w:rPr>
        <w:t>HCl</w:t>
      </w:r>
      <w:r>
        <w:rPr>
          <w:color w:val="auto"/>
        </w:rPr>
        <w:t>等酸性气体被大量吸收，从而大大降低焚烧尾气中酸性气体浓度。废气中重金属绝大部分固化在水泥熟料中。同时利用现有</w:t>
      </w:r>
      <w:r>
        <w:rPr>
          <w:color w:val="auto"/>
        </w:rPr>
        <w:t>SNCR</w:t>
      </w:r>
      <w:r>
        <w:rPr>
          <w:color w:val="auto"/>
        </w:rPr>
        <w:t>脱硝系统和厂内正在实施的超低排放改造工程结合进一步减少</w:t>
      </w:r>
      <w:r>
        <w:rPr>
          <w:color w:val="auto"/>
        </w:rPr>
        <w:t>NOx</w:t>
      </w:r>
      <w:r>
        <w:rPr>
          <w:color w:val="auto"/>
        </w:rPr>
        <w:t>排放。</w:t>
      </w:r>
    </w:p>
    <w:p w14:paraId="0BE79C79" w14:textId="77777777" w:rsidR="002E474C" w:rsidRDefault="00000000">
      <w:pPr>
        <w:pStyle w:val="A-z"/>
        <w:rPr>
          <w:bCs/>
          <w:color w:val="auto"/>
        </w:rPr>
      </w:pPr>
      <w:r>
        <w:rPr>
          <w:bCs/>
          <w:color w:val="auto"/>
        </w:rPr>
        <w:t>（</w:t>
      </w:r>
      <w:r>
        <w:rPr>
          <w:bCs/>
          <w:color w:val="auto"/>
        </w:rPr>
        <w:t>1</w:t>
      </w:r>
      <w:r>
        <w:rPr>
          <w:bCs/>
          <w:color w:val="auto"/>
        </w:rPr>
        <w:t>）颗粒物、</w:t>
      </w:r>
      <w:r>
        <w:rPr>
          <w:bCs/>
          <w:color w:val="auto"/>
        </w:rPr>
        <w:t>SO</w:t>
      </w:r>
      <w:r>
        <w:rPr>
          <w:bCs/>
          <w:color w:val="auto"/>
          <w:vertAlign w:val="subscript"/>
        </w:rPr>
        <w:t>2</w:t>
      </w:r>
      <w:r>
        <w:rPr>
          <w:bCs/>
          <w:color w:val="auto"/>
        </w:rPr>
        <w:t>和</w:t>
      </w:r>
      <w:r>
        <w:rPr>
          <w:bCs/>
          <w:color w:val="auto"/>
        </w:rPr>
        <w:t>NOx</w:t>
      </w:r>
    </w:p>
    <w:p w14:paraId="4F6A7B96" w14:textId="77777777" w:rsidR="002E474C" w:rsidRDefault="00000000">
      <w:pPr>
        <w:pStyle w:val="A-z"/>
        <w:rPr>
          <w:color w:val="auto"/>
        </w:rPr>
      </w:pPr>
      <w:r>
        <w:rPr>
          <w:color w:val="auto"/>
        </w:rPr>
        <w:t>根据《水泥窑协同处置固体废物污染控制标准编制说明》，窑尾烟气中颗粒物、</w:t>
      </w:r>
      <w:r>
        <w:rPr>
          <w:color w:val="auto"/>
        </w:rPr>
        <w:t>SO</w:t>
      </w:r>
      <w:r>
        <w:rPr>
          <w:color w:val="auto"/>
          <w:vertAlign w:val="subscript"/>
        </w:rPr>
        <w:t>2</w:t>
      </w:r>
      <w:r>
        <w:rPr>
          <w:color w:val="auto"/>
        </w:rPr>
        <w:t>和</w:t>
      </w:r>
      <w:r>
        <w:rPr>
          <w:color w:val="auto"/>
        </w:rPr>
        <w:t>NOx</w:t>
      </w:r>
      <w:r>
        <w:rPr>
          <w:color w:val="auto"/>
        </w:rPr>
        <w:t>的排放浓度基本与水泥窑的废物协同处置过程无关。本项目实施后，窑尾颗粒物、</w:t>
      </w:r>
      <w:r>
        <w:rPr>
          <w:color w:val="auto"/>
        </w:rPr>
        <w:t>SO</w:t>
      </w:r>
      <w:r>
        <w:rPr>
          <w:color w:val="auto"/>
          <w:vertAlign w:val="subscript"/>
        </w:rPr>
        <w:t>2</w:t>
      </w:r>
      <w:r>
        <w:rPr>
          <w:color w:val="auto"/>
        </w:rPr>
        <w:t>和</w:t>
      </w:r>
      <w:r>
        <w:rPr>
          <w:color w:val="auto"/>
        </w:rPr>
        <w:t>NOx</w:t>
      </w:r>
      <w:r>
        <w:rPr>
          <w:color w:val="auto"/>
        </w:rPr>
        <w:t>排放量基本不变。</w:t>
      </w:r>
    </w:p>
    <w:p w14:paraId="43141B15" w14:textId="77777777" w:rsidR="002E474C" w:rsidRDefault="00000000">
      <w:pPr>
        <w:pStyle w:val="A-z"/>
        <w:rPr>
          <w:color w:val="auto"/>
        </w:rPr>
      </w:pPr>
      <w:r>
        <w:rPr>
          <w:color w:val="auto"/>
        </w:rPr>
        <w:t>水泥厂现窑尾烟气采用电袋除尘工艺，除尘效率大于</w:t>
      </w:r>
      <w:r>
        <w:rPr>
          <w:color w:val="auto"/>
        </w:rPr>
        <w:t>99.9%</w:t>
      </w:r>
      <w:r>
        <w:rPr>
          <w:color w:val="auto"/>
        </w:rPr>
        <w:t>，根据窑尾烟气</w:t>
      </w:r>
      <w:r>
        <w:rPr>
          <w:color w:val="auto"/>
        </w:rPr>
        <w:t>2025</w:t>
      </w:r>
      <w:r>
        <w:rPr>
          <w:color w:val="auto"/>
        </w:rPr>
        <w:t>年在线监测数据，颗粒物排放满足《水泥工业大气污染物排放标准》（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排放标准要求（颗粒物</w:t>
      </w:r>
      <w:r>
        <w:rPr>
          <w:color w:val="auto"/>
        </w:rPr>
        <w:t>≤20mg/m</w:t>
      </w:r>
      <w:r>
        <w:rPr>
          <w:color w:val="auto"/>
          <w:vertAlign w:val="superscript"/>
        </w:rPr>
        <w:t>3</w:t>
      </w:r>
      <w:r>
        <w:rPr>
          <w:color w:val="auto"/>
        </w:rPr>
        <w:t>），同时可达到《关于推进实施水泥行业超低排放的意见》附表</w:t>
      </w:r>
      <w:r>
        <w:rPr>
          <w:color w:val="auto"/>
        </w:rPr>
        <w:t>1</w:t>
      </w:r>
      <w:r>
        <w:rPr>
          <w:color w:val="auto"/>
        </w:rPr>
        <w:t>有组织排放指标限值（水泥窑及窑尾余热利用系统基准氧含量</w:t>
      </w:r>
      <w:r>
        <w:rPr>
          <w:color w:val="auto"/>
        </w:rPr>
        <w:t>10%</w:t>
      </w:r>
      <w:r>
        <w:rPr>
          <w:color w:val="auto"/>
        </w:rPr>
        <w:t>的条件下颗粒物排放限值</w:t>
      </w:r>
      <w:r>
        <w:rPr>
          <w:color w:val="auto"/>
        </w:rPr>
        <w:t>10mg/m³</w:t>
      </w:r>
      <w:r>
        <w:rPr>
          <w:color w:val="auto"/>
        </w:rPr>
        <w:t>）。</w:t>
      </w:r>
    </w:p>
    <w:p w14:paraId="755FDC8D" w14:textId="77777777" w:rsidR="002E474C" w:rsidRDefault="00000000">
      <w:pPr>
        <w:pStyle w:val="A-z"/>
        <w:rPr>
          <w:color w:val="auto"/>
        </w:rPr>
      </w:pPr>
      <w:r>
        <w:rPr>
          <w:color w:val="auto"/>
        </w:rPr>
        <w:t>烧成窑尾排放的</w:t>
      </w:r>
      <w:r>
        <w:rPr>
          <w:color w:val="auto"/>
        </w:rPr>
        <w:t>SO</w:t>
      </w:r>
      <w:r>
        <w:rPr>
          <w:color w:val="auto"/>
          <w:vertAlign w:val="subscript"/>
        </w:rPr>
        <w:t>2</w:t>
      </w:r>
      <w:r>
        <w:rPr>
          <w:color w:val="auto"/>
        </w:rPr>
        <w:t>是由于煤粉在窑内燃烧及煅烧熟料时生料带入的硫产生的。不过，由于水泥烧成过程中窑内存在大量的氧化钙和碱性氧化物，大部分产生的</w:t>
      </w:r>
      <w:r>
        <w:rPr>
          <w:color w:val="auto"/>
        </w:rPr>
        <w:t>SO</w:t>
      </w:r>
      <w:r>
        <w:rPr>
          <w:color w:val="auto"/>
          <w:vertAlign w:val="subscript"/>
        </w:rPr>
        <w:t>2</w:t>
      </w:r>
      <w:r>
        <w:rPr>
          <w:color w:val="auto"/>
        </w:rPr>
        <w:t>将被吸收形成硫酸钙以及亚硫酸钙等中间物质，窑外分解窑由于物料与气体接触充分，则吸硫率约</w:t>
      </w:r>
      <w:r>
        <w:rPr>
          <w:color w:val="auto"/>
        </w:rPr>
        <w:t>95%-100%</w:t>
      </w:r>
      <w:r>
        <w:rPr>
          <w:color w:val="auto"/>
        </w:rPr>
        <w:t>，该股废气又经增湿塔装置后可去除</w:t>
      </w:r>
      <w:r>
        <w:rPr>
          <w:color w:val="auto"/>
        </w:rPr>
        <w:t>50%</w:t>
      </w:r>
      <w:r>
        <w:rPr>
          <w:color w:val="auto"/>
        </w:rPr>
        <w:t>以上，</w:t>
      </w:r>
      <w:r>
        <w:rPr>
          <w:color w:val="auto"/>
        </w:rPr>
        <w:t>SO</w:t>
      </w:r>
      <w:r>
        <w:rPr>
          <w:color w:val="auto"/>
          <w:vertAlign w:val="subscript"/>
        </w:rPr>
        <w:t>2</w:t>
      </w:r>
      <w:r>
        <w:rPr>
          <w:color w:val="auto"/>
        </w:rPr>
        <w:t>的实际排放量甚微。根据窑尾烟气</w:t>
      </w:r>
      <w:r>
        <w:rPr>
          <w:color w:val="auto"/>
        </w:rPr>
        <w:t>2025</w:t>
      </w:r>
      <w:r>
        <w:rPr>
          <w:color w:val="auto"/>
        </w:rPr>
        <w:t>年在线监测数据，</w:t>
      </w:r>
      <w:r>
        <w:rPr>
          <w:color w:val="auto"/>
        </w:rPr>
        <w:t>SO</w:t>
      </w:r>
      <w:r>
        <w:rPr>
          <w:color w:val="auto"/>
          <w:vertAlign w:val="subscript"/>
        </w:rPr>
        <w:t>2</w:t>
      </w:r>
      <w:r>
        <w:rPr>
          <w:color w:val="auto"/>
        </w:rPr>
        <w:t>排放浓度平均值不超过</w:t>
      </w:r>
      <w:r>
        <w:rPr>
          <w:color w:val="auto"/>
        </w:rPr>
        <w:t>20mg/Nm</w:t>
      </w:r>
      <w:r>
        <w:rPr>
          <w:color w:val="auto"/>
          <w:vertAlign w:val="superscript"/>
        </w:rPr>
        <w:t>3</w:t>
      </w:r>
      <w:r>
        <w:rPr>
          <w:color w:val="auto"/>
        </w:rPr>
        <w:t>，最大值不超过</w:t>
      </w:r>
      <w:r>
        <w:rPr>
          <w:color w:val="auto"/>
        </w:rPr>
        <w:t>35mg/Nm</w:t>
      </w:r>
      <w:r>
        <w:rPr>
          <w:color w:val="auto"/>
          <w:vertAlign w:val="superscript"/>
        </w:rPr>
        <w:t>3</w:t>
      </w:r>
      <w:r>
        <w:rPr>
          <w:color w:val="auto"/>
        </w:rPr>
        <w:t>，协同处置危险废物后水</w:t>
      </w:r>
      <w:r>
        <w:rPr>
          <w:color w:val="auto"/>
        </w:rPr>
        <w:lastRenderedPageBreak/>
        <w:t>泥产量并未增加，</w:t>
      </w:r>
      <w:r>
        <w:rPr>
          <w:color w:val="auto"/>
        </w:rPr>
        <w:t>SO</w:t>
      </w:r>
      <w:r>
        <w:rPr>
          <w:color w:val="auto"/>
          <w:vertAlign w:val="subscript"/>
        </w:rPr>
        <w:t>2</w:t>
      </w:r>
      <w:r>
        <w:rPr>
          <w:color w:val="auto"/>
        </w:rPr>
        <w:t>排放可以满足《水泥工业大气污染物排放标准》（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排放标准要求（</w:t>
      </w:r>
      <w:r>
        <w:rPr>
          <w:color w:val="auto"/>
        </w:rPr>
        <w:t>SO</w:t>
      </w:r>
      <w:r>
        <w:rPr>
          <w:color w:val="auto"/>
          <w:vertAlign w:val="subscript"/>
        </w:rPr>
        <w:t>2</w:t>
      </w:r>
      <w:r>
        <w:rPr>
          <w:color w:val="auto"/>
        </w:rPr>
        <w:t>≤100mg/Nm</w:t>
      </w:r>
      <w:r>
        <w:rPr>
          <w:color w:val="auto"/>
          <w:vertAlign w:val="superscript"/>
        </w:rPr>
        <w:t>3</w:t>
      </w:r>
      <w:r>
        <w:rPr>
          <w:color w:val="auto"/>
        </w:rPr>
        <w:t>）要求，同时可达到《关于推进实施水泥行业超低排放的意见》附表</w:t>
      </w:r>
      <w:r>
        <w:rPr>
          <w:color w:val="auto"/>
        </w:rPr>
        <w:t>1</w:t>
      </w:r>
      <w:r>
        <w:rPr>
          <w:color w:val="auto"/>
        </w:rPr>
        <w:t>有组织排放指标限值（水泥窑及窑尾余热利用系统基准氧含量</w:t>
      </w:r>
      <w:r>
        <w:rPr>
          <w:color w:val="auto"/>
        </w:rPr>
        <w:t>10%</w:t>
      </w:r>
      <w:r>
        <w:rPr>
          <w:color w:val="auto"/>
        </w:rPr>
        <w:t>的条件下二氧化硫排放限值</w:t>
      </w:r>
      <w:r>
        <w:rPr>
          <w:color w:val="auto"/>
        </w:rPr>
        <w:t>35mg/m³</w:t>
      </w:r>
      <w:r>
        <w:rPr>
          <w:color w:val="auto"/>
        </w:rPr>
        <w:t>）。</w:t>
      </w:r>
    </w:p>
    <w:p w14:paraId="799D0AF3" w14:textId="77777777" w:rsidR="002E474C" w:rsidRDefault="00000000">
      <w:pPr>
        <w:pStyle w:val="A-z"/>
        <w:rPr>
          <w:color w:val="auto"/>
        </w:rPr>
      </w:pPr>
      <w:r>
        <w:rPr>
          <w:color w:val="auto"/>
        </w:rPr>
        <w:t>NOx</w:t>
      </w:r>
      <w:r>
        <w:rPr>
          <w:color w:val="auto"/>
        </w:rPr>
        <w:t>在窑尾废气中含量的多少与窑内温度、通风量关系密切，窑内温度高、通风量大、反应时间长，生成量就多。依托工程采用的是窑外预分解工艺，有</w:t>
      </w:r>
      <w:r>
        <w:rPr>
          <w:color w:val="auto"/>
        </w:rPr>
        <w:t>50%-60%</w:t>
      </w:r>
      <w:r>
        <w:rPr>
          <w:color w:val="auto"/>
        </w:rPr>
        <w:t>的煤放在温度较低的分解炉内燃烧，所以该窑型</w:t>
      </w:r>
      <w:r>
        <w:rPr>
          <w:color w:val="auto"/>
        </w:rPr>
        <w:t>NOx</w:t>
      </w:r>
      <w:r>
        <w:rPr>
          <w:color w:val="auto"/>
        </w:rPr>
        <w:t>生成量较小，国际先进水平可达</w:t>
      </w:r>
      <w:r>
        <w:rPr>
          <w:color w:val="auto"/>
        </w:rPr>
        <w:t>300ppm</w:t>
      </w:r>
      <w:r>
        <w:rPr>
          <w:color w:val="auto"/>
        </w:rPr>
        <w:t>，通常可控制在</w:t>
      </w:r>
      <w:r>
        <w:rPr>
          <w:color w:val="auto"/>
        </w:rPr>
        <w:t>300ppm-800ppm</w:t>
      </w:r>
      <w:r>
        <w:rPr>
          <w:color w:val="auto"/>
        </w:rPr>
        <w:t>之间。现有新型干法水泥回转窑烟气中</w:t>
      </w:r>
      <w:r>
        <w:rPr>
          <w:color w:val="auto"/>
        </w:rPr>
        <w:t>SO</w:t>
      </w:r>
      <w:r>
        <w:rPr>
          <w:color w:val="auto"/>
          <w:vertAlign w:val="subscript"/>
        </w:rPr>
        <w:t>2</w:t>
      </w:r>
      <w:r>
        <w:rPr>
          <w:color w:val="auto"/>
        </w:rPr>
        <w:t>的治理主要是在工艺生产中实现的，</w:t>
      </w:r>
      <w:r>
        <w:rPr>
          <w:color w:val="auto"/>
        </w:rPr>
        <w:t>NOx</w:t>
      </w:r>
      <w:r>
        <w:rPr>
          <w:color w:val="auto"/>
        </w:rPr>
        <w:t>治理主要采用</w:t>
      </w:r>
      <w:r>
        <w:rPr>
          <w:color w:val="auto"/>
        </w:rPr>
        <w:t>SNCR</w:t>
      </w:r>
      <w:r>
        <w:rPr>
          <w:color w:val="auto"/>
        </w:rPr>
        <w:t>脱硝。圣雄水泥公司现有水泥窑生产线窑尾脱硝采用</w:t>
      </w:r>
      <w:r>
        <w:rPr>
          <w:color w:val="auto"/>
        </w:rPr>
        <w:t>SNCR</w:t>
      </w:r>
      <w:r>
        <w:rPr>
          <w:color w:val="auto"/>
        </w:rPr>
        <w:t>脱硝技术。根据《</w:t>
      </w:r>
      <w:r>
        <w:rPr>
          <w:bCs/>
          <w:color w:val="auto"/>
        </w:rPr>
        <w:t>新疆圣雄能源股份有限公司废渣综合利用配套</w:t>
      </w:r>
      <w:r>
        <w:rPr>
          <w:bCs/>
          <w:color w:val="auto"/>
        </w:rPr>
        <w:t>5000</w:t>
      </w:r>
      <w:r>
        <w:rPr>
          <w:bCs/>
          <w:color w:val="auto"/>
        </w:rPr>
        <w:t>吨</w:t>
      </w:r>
      <w:r>
        <w:rPr>
          <w:bCs/>
          <w:color w:val="auto"/>
        </w:rPr>
        <w:t>/</w:t>
      </w:r>
      <w:r>
        <w:rPr>
          <w:bCs/>
          <w:color w:val="auto"/>
        </w:rPr>
        <w:t>日熟料新型干法水泥项目</w:t>
      </w:r>
      <w:r>
        <w:rPr>
          <w:color w:val="auto"/>
        </w:rPr>
        <w:t>竣工环境保护验收监测报告》（新环验〔</w:t>
      </w:r>
      <w:r>
        <w:rPr>
          <w:color w:val="auto"/>
        </w:rPr>
        <w:t>2013-HJY-119</w:t>
      </w:r>
      <w:r>
        <w:rPr>
          <w:color w:val="auto"/>
        </w:rPr>
        <w:t>〕），现有水泥窑生产线窑尾脱硝采用</w:t>
      </w:r>
      <w:r>
        <w:rPr>
          <w:color w:val="auto"/>
        </w:rPr>
        <w:t>SNCR</w:t>
      </w:r>
      <w:r>
        <w:rPr>
          <w:color w:val="auto"/>
        </w:rPr>
        <w:t>脱硝技术的脱硝效率大于</w:t>
      </w:r>
      <w:r>
        <w:rPr>
          <w:color w:val="auto"/>
        </w:rPr>
        <w:t>70%</w:t>
      </w:r>
      <w:r>
        <w:rPr>
          <w:color w:val="auto"/>
        </w:rPr>
        <w:t>。根据窑尾烟气</w:t>
      </w:r>
      <w:r>
        <w:rPr>
          <w:color w:val="auto"/>
        </w:rPr>
        <w:t>2025</w:t>
      </w:r>
      <w:r>
        <w:rPr>
          <w:color w:val="auto"/>
        </w:rPr>
        <w:t>年在线监测数据，</w:t>
      </w:r>
      <w:r>
        <w:rPr>
          <w:color w:val="auto"/>
        </w:rPr>
        <w:t>NO</w:t>
      </w:r>
      <w:r>
        <w:rPr>
          <w:color w:val="auto"/>
          <w:vertAlign w:val="subscript"/>
        </w:rPr>
        <w:t>X</w:t>
      </w:r>
      <w:r>
        <w:rPr>
          <w:color w:val="auto"/>
        </w:rPr>
        <w:t>平均排放浓度浓度小于</w:t>
      </w:r>
      <w:r>
        <w:rPr>
          <w:color w:val="auto"/>
        </w:rPr>
        <w:t>200mg/m</w:t>
      </w:r>
      <w:r>
        <w:rPr>
          <w:color w:val="auto"/>
          <w:vertAlign w:val="superscript"/>
        </w:rPr>
        <w:t>3</w:t>
      </w:r>
      <w:r>
        <w:rPr>
          <w:color w:val="auto"/>
        </w:rPr>
        <w:t>，最大值不超过</w:t>
      </w:r>
      <w:r>
        <w:rPr>
          <w:color w:val="auto"/>
        </w:rPr>
        <w:t>250mg/Nm</w:t>
      </w:r>
      <w:r>
        <w:rPr>
          <w:color w:val="auto"/>
          <w:vertAlign w:val="superscript"/>
        </w:rPr>
        <w:t>3</w:t>
      </w:r>
      <w:r>
        <w:rPr>
          <w:color w:val="auto"/>
        </w:rPr>
        <w:t>，满足《水泥工业大气污染物排放标准》（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排放标准要求（</w:t>
      </w:r>
      <w:r>
        <w:rPr>
          <w:color w:val="auto"/>
        </w:rPr>
        <w:t>NO</w:t>
      </w:r>
      <w:r>
        <w:rPr>
          <w:color w:val="auto"/>
          <w:vertAlign w:val="subscript"/>
        </w:rPr>
        <w:t>X</w:t>
      </w:r>
      <w:r>
        <w:rPr>
          <w:color w:val="auto"/>
        </w:rPr>
        <w:t>≤400mg/m</w:t>
      </w:r>
      <w:r>
        <w:rPr>
          <w:color w:val="auto"/>
          <w:vertAlign w:val="superscript"/>
        </w:rPr>
        <w:t>3</w:t>
      </w:r>
      <w:r>
        <w:rPr>
          <w:color w:val="auto"/>
        </w:rPr>
        <w:t>）要求，但不能达到《关于推进实施水泥行业超低排放的意见》附表</w:t>
      </w:r>
      <w:r>
        <w:rPr>
          <w:color w:val="auto"/>
        </w:rPr>
        <w:t>1</w:t>
      </w:r>
      <w:r>
        <w:rPr>
          <w:color w:val="auto"/>
        </w:rPr>
        <w:t>有组织排放指标限值（水泥窑及窑尾余热利用系统基准氧含量</w:t>
      </w:r>
      <w:r>
        <w:rPr>
          <w:color w:val="auto"/>
        </w:rPr>
        <w:t>10%</w:t>
      </w:r>
      <w:r>
        <w:rPr>
          <w:color w:val="auto"/>
        </w:rPr>
        <w:t>的条件下氮氧化物排放限值</w:t>
      </w:r>
      <w:r>
        <w:rPr>
          <w:color w:val="auto"/>
        </w:rPr>
        <w:t>50mg/m³</w:t>
      </w:r>
      <w:r>
        <w:rPr>
          <w:color w:val="auto"/>
        </w:rPr>
        <w:t>）。</w:t>
      </w:r>
    </w:p>
    <w:p w14:paraId="18BA04B1" w14:textId="77777777" w:rsidR="002E474C" w:rsidRDefault="00000000">
      <w:pPr>
        <w:pStyle w:val="A-z"/>
        <w:rPr>
          <w:color w:val="auto"/>
        </w:rPr>
      </w:pPr>
      <w:r>
        <w:rPr>
          <w:color w:val="auto"/>
        </w:rPr>
        <w:t>根据《水泥窑协同处置固体废物污染物控制标准编制说明》，原料带入的易挥发性硫化物是造成</w:t>
      </w:r>
      <w:r>
        <w:rPr>
          <w:color w:val="auto"/>
        </w:rPr>
        <w:t>SO</w:t>
      </w:r>
      <w:r>
        <w:rPr>
          <w:color w:val="auto"/>
          <w:vertAlign w:val="subscript"/>
        </w:rPr>
        <w:t>2</w:t>
      </w:r>
      <w:r>
        <w:rPr>
          <w:color w:val="auto"/>
        </w:rPr>
        <w:t>排放的主要根源，而从高温区投入水泥窑的废物中的</w:t>
      </w:r>
      <w:r>
        <w:rPr>
          <w:color w:val="auto"/>
        </w:rPr>
        <w:t>S</w:t>
      </w:r>
      <w:r>
        <w:rPr>
          <w:color w:val="auto"/>
        </w:rPr>
        <w:t>元素与烟气中</w:t>
      </w:r>
      <w:r>
        <w:rPr>
          <w:color w:val="auto"/>
        </w:rPr>
        <w:t>SO</w:t>
      </w:r>
      <w:r>
        <w:rPr>
          <w:color w:val="auto"/>
          <w:vertAlign w:val="subscript"/>
        </w:rPr>
        <w:t>2</w:t>
      </w:r>
      <w:r>
        <w:rPr>
          <w:color w:val="auto"/>
        </w:rPr>
        <w:t>的排放无直接关系。从</w:t>
      </w:r>
      <w:r>
        <w:rPr>
          <w:color w:val="auto"/>
        </w:rPr>
        <w:t>NOx</w:t>
      </w:r>
      <w:r>
        <w:rPr>
          <w:color w:val="auto"/>
        </w:rPr>
        <w:t>的产生来源分析来看，</w:t>
      </w:r>
      <w:r>
        <w:rPr>
          <w:color w:val="auto"/>
        </w:rPr>
        <w:t>NOx</w:t>
      </w:r>
      <w:r>
        <w:rPr>
          <w:color w:val="auto"/>
        </w:rPr>
        <w:t>的排放基本不受到焚烧危险废物的影响。根据同类污染源的监测数据，协同处置危险废物后窑尾烟气中颗粒物、</w:t>
      </w:r>
      <w:r>
        <w:rPr>
          <w:color w:val="auto"/>
        </w:rPr>
        <w:t>SO</w:t>
      </w:r>
      <w:r>
        <w:rPr>
          <w:color w:val="auto"/>
          <w:vertAlign w:val="subscript"/>
        </w:rPr>
        <w:t>2</w:t>
      </w:r>
      <w:r>
        <w:rPr>
          <w:color w:val="auto"/>
        </w:rPr>
        <w:t>和</w:t>
      </w:r>
      <w:r>
        <w:rPr>
          <w:color w:val="auto"/>
        </w:rPr>
        <w:t>NOx</w:t>
      </w:r>
      <w:r>
        <w:rPr>
          <w:color w:val="auto"/>
        </w:rPr>
        <w:t>均可达到《水泥工业大气污染物排放标准》（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排放标准要求要求。</w:t>
      </w:r>
    </w:p>
    <w:p w14:paraId="3352A9E2" w14:textId="77777777" w:rsidR="002E474C" w:rsidRDefault="00000000">
      <w:pPr>
        <w:pStyle w:val="A-z"/>
        <w:rPr>
          <w:color w:val="auto"/>
        </w:rPr>
      </w:pPr>
      <w:r>
        <w:rPr>
          <w:color w:val="auto"/>
        </w:rPr>
        <w:t>圣雄水泥公司将根据《关于推进实施水泥行业超低排放的意见》（环大气〔</w:t>
      </w:r>
      <w:r>
        <w:rPr>
          <w:color w:val="auto"/>
        </w:rPr>
        <w:t>2024</w:t>
      </w:r>
      <w:r>
        <w:rPr>
          <w:color w:val="auto"/>
        </w:rPr>
        <w:t>〕</w:t>
      </w:r>
      <w:r>
        <w:rPr>
          <w:color w:val="auto"/>
        </w:rPr>
        <w:t>5</w:t>
      </w:r>
      <w:r>
        <w:rPr>
          <w:color w:val="auto"/>
        </w:rPr>
        <w:t>号）、《新疆维吾尔自治区水泥行业超低排放改造实施计划》（新环大气发〔</w:t>
      </w:r>
      <w:r>
        <w:rPr>
          <w:color w:val="auto"/>
        </w:rPr>
        <w:t>2024</w:t>
      </w:r>
      <w:r>
        <w:rPr>
          <w:color w:val="auto"/>
        </w:rPr>
        <w:t>〕</w:t>
      </w:r>
      <w:r>
        <w:rPr>
          <w:color w:val="auto"/>
        </w:rPr>
        <w:t>117</w:t>
      </w:r>
      <w:r>
        <w:rPr>
          <w:color w:val="auto"/>
        </w:rPr>
        <w:t>号）实施超低排放改造。协同处置危险废物后，圣雄水泥公司水泥窑窑尾烟气排放将达到《关于推进实施水泥行业超低排放的意见》附表</w:t>
      </w:r>
      <w:r>
        <w:rPr>
          <w:color w:val="auto"/>
        </w:rPr>
        <w:t>1</w:t>
      </w:r>
      <w:r>
        <w:rPr>
          <w:color w:val="auto"/>
        </w:rPr>
        <w:t>有组织排放指标限值。则窑尾烟气的颗粒物和</w:t>
      </w:r>
      <w:r>
        <w:rPr>
          <w:color w:val="auto"/>
        </w:rPr>
        <w:t>SO</w:t>
      </w:r>
      <w:r>
        <w:rPr>
          <w:color w:val="auto"/>
          <w:vertAlign w:val="subscript"/>
        </w:rPr>
        <w:t>2</w:t>
      </w:r>
      <w:r>
        <w:rPr>
          <w:color w:val="auto"/>
        </w:rPr>
        <w:t>排放量基本不变，</w:t>
      </w:r>
      <w:r>
        <w:rPr>
          <w:color w:val="auto"/>
        </w:rPr>
        <w:t>NO</w:t>
      </w:r>
      <w:r>
        <w:rPr>
          <w:color w:val="auto"/>
          <w:vertAlign w:val="subscript"/>
        </w:rPr>
        <w:t>X</w:t>
      </w:r>
      <w:r>
        <w:rPr>
          <w:color w:val="auto"/>
        </w:rPr>
        <w:t>排放量会明显降低。</w:t>
      </w:r>
    </w:p>
    <w:p w14:paraId="054C03B2" w14:textId="77777777" w:rsidR="002E474C" w:rsidRDefault="00000000">
      <w:pPr>
        <w:pStyle w:val="A-z"/>
        <w:rPr>
          <w:color w:val="auto"/>
        </w:rPr>
      </w:pPr>
      <w:r>
        <w:rPr>
          <w:color w:val="auto"/>
        </w:rPr>
        <w:lastRenderedPageBreak/>
        <w:t>（</w:t>
      </w:r>
      <w:r>
        <w:rPr>
          <w:color w:val="auto"/>
        </w:rPr>
        <w:t>2</w:t>
      </w:r>
      <w:r>
        <w:rPr>
          <w:color w:val="auto"/>
        </w:rPr>
        <w:t>）</w:t>
      </w:r>
      <w:r>
        <w:rPr>
          <w:color w:val="auto"/>
        </w:rPr>
        <w:t>HCl</w:t>
      </w:r>
      <w:r>
        <w:rPr>
          <w:color w:val="auto"/>
        </w:rPr>
        <w:t>和</w:t>
      </w:r>
      <w:r>
        <w:rPr>
          <w:color w:val="auto"/>
        </w:rPr>
        <w:t>HF</w:t>
      </w:r>
    </w:p>
    <w:p w14:paraId="503666CE" w14:textId="77777777" w:rsidR="002E474C" w:rsidRDefault="00000000">
      <w:pPr>
        <w:pStyle w:val="A-z"/>
        <w:rPr>
          <w:color w:val="auto"/>
        </w:rPr>
      </w:pPr>
      <w:r>
        <w:rPr>
          <w:color w:val="auto"/>
        </w:rPr>
        <w:t>水泥窑产生的</w:t>
      </w:r>
      <w:r>
        <w:rPr>
          <w:color w:val="auto"/>
        </w:rPr>
        <w:t>HCl</w:t>
      </w:r>
      <w:r>
        <w:rPr>
          <w:color w:val="auto"/>
        </w:rPr>
        <w:t>主要来自于含氯的原燃料在烧成过程中形成的</w:t>
      </w:r>
      <w:r>
        <w:rPr>
          <w:color w:val="auto"/>
        </w:rPr>
        <w:t>HCl</w:t>
      </w:r>
      <w:r>
        <w:rPr>
          <w:color w:val="auto"/>
        </w:rPr>
        <w:t>。由于水泥窑中具有强碱性环境，</w:t>
      </w:r>
      <w:r>
        <w:rPr>
          <w:color w:val="auto"/>
        </w:rPr>
        <w:t>HCl</w:t>
      </w:r>
      <w:r>
        <w:rPr>
          <w:color w:val="auto"/>
        </w:rPr>
        <w:t>在窑内与</w:t>
      </w:r>
      <w:r>
        <w:rPr>
          <w:color w:val="auto"/>
        </w:rPr>
        <w:t>CaO</w:t>
      </w:r>
      <w:r>
        <w:rPr>
          <w:color w:val="auto"/>
        </w:rPr>
        <w:t>反应生成</w:t>
      </w:r>
      <w:r>
        <w:rPr>
          <w:color w:val="auto"/>
        </w:rPr>
        <w:t>CaCl</w:t>
      </w:r>
      <w:r>
        <w:rPr>
          <w:color w:val="auto"/>
          <w:vertAlign w:val="subscript"/>
        </w:rPr>
        <w:t>2</w:t>
      </w:r>
      <w:r>
        <w:rPr>
          <w:color w:val="auto"/>
        </w:rPr>
        <w:t>随熟料带出窑外，或与碱金属氧化物反应生成</w:t>
      </w:r>
      <w:r>
        <w:rPr>
          <w:color w:val="auto"/>
        </w:rPr>
        <w:t>NaCl</w:t>
      </w:r>
      <w:r>
        <w:rPr>
          <w:color w:val="auto"/>
        </w:rPr>
        <w:t>、</w:t>
      </w:r>
      <w:r>
        <w:rPr>
          <w:color w:val="auto"/>
        </w:rPr>
        <w:t>KCl</w:t>
      </w:r>
      <w:r>
        <w:rPr>
          <w:color w:val="auto"/>
        </w:rPr>
        <w:t>在窑内形成内循环而不断积蓄。通常情况下，</w:t>
      </w:r>
      <w:r>
        <w:rPr>
          <w:color w:val="auto"/>
        </w:rPr>
        <w:t>97%</w:t>
      </w:r>
      <w:r>
        <w:rPr>
          <w:color w:val="auto"/>
        </w:rPr>
        <w:t>以上的</w:t>
      </w:r>
      <w:r>
        <w:rPr>
          <w:color w:val="auto"/>
        </w:rPr>
        <w:t>HCl</w:t>
      </w:r>
      <w:r>
        <w:rPr>
          <w:color w:val="auto"/>
        </w:rPr>
        <w:t>在窑内会被碱性物质吸收，随尾气排放到窑外的量很少。</w:t>
      </w:r>
    </w:p>
    <w:p w14:paraId="5212CDF1" w14:textId="77777777" w:rsidR="002E474C" w:rsidRDefault="00000000">
      <w:pPr>
        <w:pStyle w:val="A-z"/>
        <w:rPr>
          <w:color w:val="auto"/>
        </w:rPr>
      </w:pPr>
      <w:r>
        <w:rPr>
          <w:color w:val="auto"/>
        </w:rPr>
        <w:t>根据同类污染源的监测数据，水泥窑协同处置危险工业废物项目</w:t>
      </w:r>
      <w:r>
        <w:rPr>
          <w:color w:val="auto"/>
        </w:rPr>
        <w:t>HCl</w:t>
      </w:r>
      <w:r>
        <w:rPr>
          <w:color w:val="auto"/>
        </w:rPr>
        <w:t>可满足《水泥窑协同处置固体废物污染控制标准》（</w:t>
      </w:r>
      <w:r>
        <w:rPr>
          <w:color w:val="auto"/>
        </w:rPr>
        <w:t>GB30485-2013</w:t>
      </w:r>
      <w:r>
        <w:rPr>
          <w:color w:val="auto"/>
        </w:rPr>
        <w:t>）中</w:t>
      </w:r>
      <w:r>
        <w:rPr>
          <w:color w:val="auto"/>
        </w:rPr>
        <w:t>HCl</w:t>
      </w:r>
      <w:r>
        <w:rPr>
          <w:color w:val="auto"/>
        </w:rPr>
        <w:t>的控制限值（</w:t>
      </w:r>
      <w:r>
        <w:rPr>
          <w:color w:val="auto"/>
        </w:rPr>
        <w:t>10mg/Nm</w:t>
      </w:r>
      <w:r>
        <w:rPr>
          <w:color w:val="auto"/>
          <w:vertAlign w:val="superscript"/>
        </w:rPr>
        <w:t>3</w:t>
      </w:r>
      <w:r>
        <w:rPr>
          <w:color w:val="auto"/>
        </w:rPr>
        <w:t>）。</w:t>
      </w:r>
    </w:p>
    <w:p w14:paraId="36737FFA" w14:textId="77777777" w:rsidR="002E474C" w:rsidRDefault="00000000">
      <w:pPr>
        <w:pStyle w:val="A-z"/>
        <w:rPr>
          <w:color w:val="auto"/>
        </w:rPr>
      </w:pPr>
      <w:r>
        <w:rPr>
          <w:color w:val="auto"/>
        </w:rPr>
        <w:t>水泥窑协同处置危险废物过程中，窑尾产生烟气中的氟化物主要为</w:t>
      </w:r>
      <w:r>
        <w:rPr>
          <w:color w:val="auto"/>
        </w:rPr>
        <w:t>HF</w:t>
      </w:r>
      <w:r>
        <w:rPr>
          <w:color w:val="auto"/>
        </w:rPr>
        <w:t>，主要来源有两个：一是危险废物中一些含氟物质在焚烧过程中分解反应生成</w:t>
      </w:r>
      <w:r>
        <w:rPr>
          <w:color w:val="auto"/>
        </w:rPr>
        <w:t>HF</w:t>
      </w:r>
      <w:r>
        <w:rPr>
          <w:color w:val="auto"/>
        </w:rPr>
        <w:t>；二是原料，如黏土中的氟及含氟矿化剂（</w:t>
      </w:r>
      <w:r>
        <w:rPr>
          <w:color w:val="auto"/>
        </w:rPr>
        <w:t>CaF</w:t>
      </w:r>
      <w:r>
        <w:rPr>
          <w:color w:val="auto"/>
          <w:vertAlign w:val="subscript"/>
        </w:rPr>
        <w:t>2</w:t>
      </w:r>
      <w:r>
        <w:rPr>
          <w:color w:val="auto"/>
        </w:rPr>
        <w:t>）等，含氟原料在烧成过程形成的</w:t>
      </w:r>
      <w:r>
        <w:rPr>
          <w:color w:val="auto"/>
        </w:rPr>
        <w:t>HF</w:t>
      </w:r>
      <w:r>
        <w:rPr>
          <w:color w:val="auto"/>
        </w:rPr>
        <w:t>会与</w:t>
      </w:r>
      <w:r>
        <w:rPr>
          <w:color w:val="auto"/>
        </w:rPr>
        <w:t>CaO</w:t>
      </w:r>
      <w:r>
        <w:rPr>
          <w:color w:val="auto"/>
        </w:rPr>
        <w:t>，</w:t>
      </w:r>
      <w:r>
        <w:rPr>
          <w:color w:val="auto"/>
        </w:rPr>
        <w:t>Al</w:t>
      </w:r>
      <w:r>
        <w:rPr>
          <w:color w:val="auto"/>
          <w:vertAlign w:val="subscript"/>
        </w:rPr>
        <w:t>2</w:t>
      </w:r>
      <w:r>
        <w:rPr>
          <w:color w:val="auto"/>
        </w:rPr>
        <w:t>O</w:t>
      </w:r>
      <w:r>
        <w:rPr>
          <w:color w:val="auto"/>
          <w:vertAlign w:val="subscript"/>
        </w:rPr>
        <w:t>3</w:t>
      </w:r>
      <w:r>
        <w:rPr>
          <w:color w:val="auto"/>
        </w:rPr>
        <w:t>形成氟铝酸钙固溶于熟料中带出窑外，</w:t>
      </w:r>
      <w:r>
        <w:rPr>
          <w:color w:val="auto"/>
        </w:rPr>
        <w:t>90~95%</w:t>
      </w:r>
      <w:r>
        <w:rPr>
          <w:color w:val="auto"/>
        </w:rPr>
        <w:t>的</w:t>
      </w:r>
      <w:r>
        <w:rPr>
          <w:color w:val="auto"/>
        </w:rPr>
        <w:t>F</w:t>
      </w:r>
      <w:r>
        <w:rPr>
          <w:color w:val="auto"/>
        </w:rPr>
        <w:t>元素会随熟料带入窑外，剩余的</w:t>
      </w:r>
      <w:r>
        <w:rPr>
          <w:color w:val="auto"/>
        </w:rPr>
        <w:t>F</w:t>
      </w:r>
      <w:r>
        <w:rPr>
          <w:color w:val="auto"/>
        </w:rPr>
        <w:t>元素以</w:t>
      </w:r>
      <w:r>
        <w:rPr>
          <w:color w:val="auto"/>
        </w:rPr>
        <w:t>CaF</w:t>
      </w:r>
      <w:r>
        <w:rPr>
          <w:color w:val="auto"/>
          <w:vertAlign w:val="subscript"/>
        </w:rPr>
        <w:t>2</w:t>
      </w:r>
      <w:r>
        <w:rPr>
          <w:color w:val="auto"/>
        </w:rPr>
        <w:t>的形式凝结在容灰中在容内进行循环，极少部分随尾气排放。</w:t>
      </w:r>
    </w:p>
    <w:p w14:paraId="0801631B" w14:textId="77777777" w:rsidR="002E474C" w:rsidRDefault="00000000">
      <w:pPr>
        <w:pStyle w:val="A-z"/>
        <w:rPr>
          <w:color w:val="auto"/>
        </w:rPr>
      </w:pPr>
      <w:r>
        <w:rPr>
          <w:color w:val="auto"/>
        </w:rPr>
        <w:t>同类项目窑尾的</w:t>
      </w:r>
      <w:r>
        <w:rPr>
          <w:color w:val="auto"/>
        </w:rPr>
        <w:t>HF</w:t>
      </w:r>
      <w:r>
        <w:rPr>
          <w:color w:val="auto"/>
        </w:rPr>
        <w:t>排放浓度不超过</w:t>
      </w:r>
      <w:r>
        <w:rPr>
          <w:color w:val="auto"/>
        </w:rPr>
        <w:t>0.2mg/Nm</w:t>
      </w:r>
      <w:r>
        <w:rPr>
          <w:color w:val="auto"/>
          <w:vertAlign w:val="superscript"/>
        </w:rPr>
        <w:t>3</w:t>
      </w:r>
      <w:r>
        <w:rPr>
          <w:color w:val="auto"/>
        </w:rPr>
        <w:t>，现窑尾除尘设施为电袋除尘器，氟尘去除效率高，</w:t>
      </w:r>
      <w:r>
        <w:rPr>
          <w:color w:val="auto"/>
        </w:rPr>
        <w:t>HF</w:t>
      </w:r>
      <w:r>
        <w:rPr>
          <w:color w:val="auto"/>
        </w:rPr>
        <w:t>排放满足《水泥窑协同处置固体废物污染控制标准》（</w:t>
      </w:r>
      <w:r>
        <w:rPr>
          <w:color w:val="auto"/>
        </w:rPr>
        <w:t>GB30485-2013</w:t>
      </w:r>
      <w:r>
        <w:rPr>
          <w:color w:val="auto"/>
        </w:rPr>
        <w:t>）中限值（</w:t>
      </w:r>
      <w:r>
        <w:rPr>
          <w:color w:val="auto"/>
        </w:rPr>
        <w:t>1mg/Nm</w:t>
      </w:r>
      <w:r>
        <w:rPr>
          <w:color w:val="auto"/>
          <w:vertAlign w:val="superscript"/>
        </w:rPr>
        <w:t>3</w:t>
      </w:r>
      <w:r>
        <w:rPr>
          <w:color w:val="auto"/>
        </w:rPr>
        <w:t>）。</w:t>
      </w:r>
    </w:p>
    <w:p w14:paraId="3843A8A6" w14:textId="77777777" w:rsidR="002E474C" w:rsidRDefault="00000000">
      <w:pPr>
        <w:pStyle w:val="A-z"/>
        <w:rPr>
          <w:bCs/>
          <w:color w:val="auto"/>
        </w:rPr>
      </w:pPr>
      <w:r>
        <w:rPr>
          <w:bCs/>
          <w:color w:val="auto"/>
        </w:rPr>
        <w:t>（</w:t>
      </w:r>
      <w:r>
        <w:rPr>
          <w:bCs/>
          <w:color w:val="auto"/>
        </w:rPr>
        <w:t>3</w:t>
      </w:r>
      <w:r>
        <w:rPr>
          <w:bCs/>
          <w:color w:val="auto"/>
        </w:rPr>
        <w:t>）二噁英类</w:t>
      </w:r>
    </w:p>
    <w:p w14:paraId="16A9B7BB" w14:textId="77777777" w:rsidR="002E474C" w:rsidRDefault="00000000">
      <w:pPr>
        <w:pStyle w:val="A-z"/>
        <w:rPr>
          <w:color w:val="auto"/>
        </w:rPr>
      </w:pPr>
      <w:r>
        <w:rPr>
          <w:color w:val="auto"/>
        </w:rPr>
        <w:t>在水泥窑内的高温氧化气氛下，由燃料带入的二噁英类会彻底分解，因此，水泥窑内的二噁英类主要来自在窑系统低温部位（预热器上部、增湿塔、磨机、除尘设备）发生的二噁英类合成反应。</w:t>
      </w:r>
    </w:p>
    <w:p w14:paraId="07FA4918" w14:textId="77777777" w:rsidR="002E474C" w:rsidRDefault="00000000">
      <w:pPr>
        <w:pStyle w:val="A-z"/>
        <w:rPr>
          <w:color w:val="auto"/>
        </w:rPr>
      </w:pPr>
      <w:r>
        <w:rPr>
          <w:color w:val="auto"/>
        </w:rPr>
        <w:t>2004</w:t>
      </w:r>
      <w:r>
        <w:rPr>
          <w:color w:val="auto"/>
        </w:rPr>
        <w:t>年</w:t>
      </w:r>
      <w:r>
        <w:rPr>
          <w:color w:val="auto"/>
        </w:rPr>
        <w:t>3</w:t>
      </w:r>
      <w:r>
        <w:rPr>
          <w:color w:val="auto"/>
        </w:rPr>
        <w:t>月</w:t>
      </w:r>
      <w:r>
        <w:rPr>
          <w:color w:val="auto"/>
        </w:rPr>
        <w:t>31</w:t>
      </w:r>
      <w:r>
        <w:rPr>
          <w:color w:val="auto"/>
        </w:rPr>
        <w:t>日联合国环境规划署和世界工商理事会公布的《有关持续性有机污染物（</w:t>
      </w:r>
      <w:r>
        <w:rPr>
          <w:color w:val="auto"/>
        </w:rPr>
        <w:t>POPs</w:t>
      </w:r>
      <w:r>
        <w:rPr>
          <w:color w:val="auto"/>
        </w:rPr>
        <w:t>）的报告》中，论述</w:t>
      </w:r>
      <w:r>
        <w:rPr>
          <w:color w:val="auto"/>
        </w:rPr>
        <w:t>“</w:t>
      </w:r>
      <w:r>
        <w:rPr>
          <w:color w:val="auto"/>
        </w:rPr>
        <w:t>水泥工业中</w:t>
      </w:r>
      <w:r>
        <w:rPr>
          <w:color w:val="auto"/>
        </w:rPr>
        <w:t>POPs</w:t>
      </w:r>
      <w:r>
        <w:rPr>
          <w:color w:val="auto"/>
        </w:rPr>
        <w:t>的形成与释放</w:t>
      </w:r>
      <w:r>
        <w:rPr>
          <w:color w:val="auto"/>
        </w:rPr>
        <w:t>”</w:t>
      </w:r>
      <w:r>
        <w:rPr>
          <w:color w:val="auto"/>
        </w:rPr>
        <w:t>内容时，认同并引用了挪威科学与工业研究基金会</w:t>
      </w:r>
      <w:r>
        <w:rPr>
          <w:color w:val="auto"/>
        </w:rPr>
        <w:t>2004</w:t>
      </w:r>
      <w:r>
        <w:rPr>
          <w:color w:val="auto"/>
        </w:rPr>
        <w:t>年初提出的《有关水泥工业</w:t>
      </w:r>
      <w:r>
        <w:rPr>
          <w:color w:val="auto"/>
        </w:rPr>
        <w:t>POPs</w:t>
      </w:r>
      <w:r>
        <w:rPr>
          <w:color w:val="auto"/>
        </w:rPr>
        <w:t>的监测综台报告》，这就是享誉于国际水泥工业焚烧可燃废物领域中的所谓</w:t>
      </w:r>
      <w:r>
        <w:rPr>
          <w:color w:val="auto"/>
        </w:rPr>
        <w:t>SINTEF</w:t>
      </w:r>
      <w:r>
        <w:rPr>
          <w:color w:val="auto"/>
        </w:rPr>
        <w:t>报告。其主要的内容和结论是：根据西欧与北欧诸国、美国、日本、澳大利亚、加拿大等国以及个别南美与东南亚国家中许多水泥企业连续</w:t>
      </w:r>
      <w:r>
        <w:rPr>
          <w:color w:val="auto"/>
        </w:rPr>
        <w:t>15</w:t>
      </w:r>
      <w:r>
        <w:rPr>
          <w:color w:val="auto"/>
        </w:rPr>
        <w:t>年采用可燃废物（包括大部分危险废物）用作水泥窑替代燃料的大量生产实践与约</w:t>
      </w:r>
      <w:r>
        <w:rPr>
          <w:color w:val="auto"/>
        </w:rPr>
        <w:t>20000</w:t>
      </w:r>
      <w:r>
        <w:rPr>
          <w:color w:val="auto"/>
        </w:rPr>
        <w:t>套次的污染物排放及浸析检测的结果证明：</w:t>
      </w:r>
    </w:p>
    <w:p w14:paraId="27D2CE20" w14:textId="77777777" w:rsidR="002E474C" w:rsidRDefault="00000000">
      <w:pPr>
        <w:pStyle w:val="A-z"/>
        <w:rPr>
          <w:color w:val="auto"/>
        </w:rPr>
      </w:pPr>
      <w:r>
        <w:rPr>
          <w:color w:val="auto"/>
        </w:rPr>
        <w:lastRenderedPageBreak/>
        <w:t>1</w:t>
      </w:r>
      <w:r>
        <w:rPr>
          <w:color w:val="auto"/>
        </w:rPr>
        <w:t>）水泥窑烧可燃废物时其废气中二噁英类</w:t>
      </w:r>
      <w:r>
        <w:rPr>
          <w:color w:val="auto"/>
        </w:rPr>
        <w:t>/</w:t>
      </w:r>
      <w:r>
        <w:rPr>
          <w:color w:val="auto"/>
        </w:rPr>
        <w:t>呋喃的排放远低于欧盟废物焚烧</w:t>
      </w:r>
      <w:r>
        <w:rPr>
          <w:color w:val="auto"/>
        </w:rPr>
        <w:t>2000/76/EC</w:t>
      </w:r>
      <w:r>
        <w:rPr>
          <w:color w:val="auto"/>
        </w:rPr>
        <w:t>指令规定的</w:t>
      </w:r>
      <w:r>
        <w:rPr>
          <w:color w:val="auto"/>
        </w:rPr>
        <w:t>&lt;0.1ngTEQ/m</w:t>
      </w:r>
      <w:r>
        <w:rPr>
          <w:color w:val="auto"/>
          <w:vertAlign w:val="superscript"/>
        </w:rPr>
        <w:t>3</w:t>
      </w:r>
      <w:r>
        <w:rPr>
          <w:color w:val="auto"/>
        </w:rPr>
        <w:t>标准，绝大多数均</w:t>
      </w:r>
      <w:r>
        <w:rPr>
          <w:color w:val="auto"/>
        </w:rPr>
        <w:t>&lt;0.02ngTEQ/m</w:t>
      </w:r>
      <w:r>
        <w:rPr>
          <w:color w:val="auto"/>
          <w:vertAlign w:val="superscript"/>
        </w:rPr>
        <w:t>3</w:t>
      </w:r>
      <w:r>
        <w:rPr>
          <w:color w:val="auto"/>
        </w:rPr>
        <w:t>。在水泥熟料煅烧的过程中水泥窑极少或不会产生二噁英类</w:t>
      </w:r>
      <w:r>
        <w:rPr>
          <w:color w:val="auto"/>
        </w:rPr>
        <w:t>/</w:t>
      </w:r>
      <w:r>
        <w:rPr>
          <w:color w:val="auto"/>
        </w:rPr>
        <w:t>呋喃。</w:t>
      </w:r>
    </w:p>
    <w:p w14:paraId="5D3A6223" w14:textId="77777777" w:rsidR="002E474C" w:rsidRDefault="00000000">
      <w:pPr>
        <w:pStyle w:val="A-z"/>
        <w:rPr>
          <w:color w:val="auto"/>
        </w:rPr>
      </w:pPr>
      <w:r>
        <w:rPr>
          <w:color w:val="auto"/>
        </w:rPr>
        <w:t>2</w:t>
      </w:r>
      <w:r>
        <w:rPr>
          <w:color w:val="auto"/>
        </w:rPr>
        <w:t>）对可燃废物中可能带入的持续性有机污染物（</w:t>
      </w:r>
      <w:r>
        <w:rPr>
          <w:color w:val="auto"/>
        </w:rPr>
        <w:t>POPs-</w:t>
      </w:r>
      <w:r>
        <w:rPr>
          <w:color w:val="auto"/>
        </w:rPr>
        <w:t>二噁英类、呋喃、多芳香核烃、多氯联苯等），在水泥窑的工艺生产过程中</w:t>
      </w:r>
      <w:r>
        <w:rPr>
          <w:color w:val="auto"/>
        </w:rPr>
        <w:t>99.999%</w:t>
      </w:r>
      <w:r>
        <w:rPr>
          <w:color w:val="auto"/>
        </w:rPr>
        <w:t>都会被氯化分解，焚毁去除。</w:t>
      </w:r>
    </w:p>
    <w:p w14:paraId="23D3C19E" w14:textId="77777777" w:rsidR="002E474C" w:rsidRDefault="00000000">
      <w:pPr>
        <w:pStyle w:val="A-z"/>
        <w:rPr>
          <w:color w:val="auto"/>
        </w:rPr>
      </w:pPr>
      <w:r>
        <w:rPr>
          <w:color w:val="auto"/>
        </w:rPr>
        <w:t>3</w:t>
      </w:r>
      <w:r>
        <w:rPr>
          <w:color w:val="auto"/>
        </w:rPr>
        <w:t>）可燃废物中带入的重金属大部分被固化在熟料矿物的晶体结构中或水泥的水化产物中，形成不溶解的矿物质，在水泥砂浆体或混凝土结构中的浸析率</w:t>
      </w:r>
      <w:r>
        <w:rPr>
          <w:color w:val="auto"/>
        </w:rPr>
        <w:t>&lt;1.5%</w:t>
      </w:r>
      <w:r>
        <w:rPr>
          <w:color w:val="auto"/>
        </w:rPr>
        <w:t>，大多数</w:t>
      </w:r>
      <w:r>
        <w:rPr>
          <w:color w:val="auto"/>
        </w:rPr>
        <w:t>&lt;1.0%</w:t>
      </w:r>
      <w:r>
        <w:rPr>
          <w:color w:val="auto"/>
        </w:rPr>
        <w:t>。</w:t>
      </w:r>
    </w:p>
    <w:p w14:paraId="0DB78944" w14:textId="77777777" w:rsidR="002E474C" w:rsidRDefault="00000000">
      <w:pPr>
        <w:pStyle w:val="A-z"/>
        <w:rPr>
          <w:color w:val="auto"/>
        </w:rPr>
      </w:pPr>
      <w:r>
        <w:rPr>
          <w:color w:val="auto"/>
        </w:rPr>
        <w:t>本项目依托水泥回转窑代替传统的危险废物焚烧炉，利用水泥回转窑的诸多优点来弥补传统危废焚烧工艺的不足。生产水泥所用的原料就是固硫、固氯剂，而且系统内的固气比和气体温度远远超过气化熔融焚烧炉，处理过程中不具备二噁英类产生的条件。针对二噁英类物质的形成机理，本项目采用新型干法水泥窑协同处置危险废物，可有效控制二噁英类的产生，主要表现在以下几个方面：</w:t>
      </w:r>
    </w:p>
    <w:p w14:paraId="5519B863" w14:textId="77777777" w:rsidR="002E474C" w:rsidRDefault="00000000">
      <w:pPr>
        <w:pStyle w:val="A-z"/>
        <w:rPr>
          <w:color w:val="auto"/>
        </w:rPr>
      </w:pPr>
      <w:r>
        <w:rPr>
          <w:color w:val="auto"/>
        </w:rPr>
        <w:t>1</w:t>
      </w:r>
      <w:r>
        <w:rPr>
          <w:color w:val="auto"/>
        </w:rPr>
        <w:t>）从源头上减少二噁英类产生所需的氯源</w:t>
      </w:r>
    </w:p>
    <w:p w14:paraId="56C3A121" w14:textId="77777777" w:rsidR="002E474C" w:rsidRDefault="00000000">
      <w:pPr>
        <w:pStyle w:val="A-z"/>
        <w:rPr>
          <w:color w:val="auto"/>
        </w:rPr>
      </w:pPr>
      <w:r>
        <w:rPr>
          <w:color w:val="auto"/>
        </w:rPr>
        <w:t>对于现代新型干法水泥生产系统，为了保证窑系统操作的稳定性和连续性，常对生料中干法生产操作的化学成分（</w:t>
      </w:r>
      <w:r>
        <w:rPr>
          <w:color w:val="auto"/>
        </w:rPr>
        <w:t>K</w:t>
      </w:r>
      <w:r>
        <w:rPr>
          <w:color w:val="auto"/>
          <w:vertAlign w:val="subscript"/>
        </w:rPr>
        <w:t>2</w:t>
      </w:r>
      <w:r>
        <w:rPr>
          <w:color w:val="auto"/>
        </w:rPr>
        <w:t>O+Na</w:t>
      </w:r>
      <w:r>
        <w:rPr>
          <w:color w:val="auto"/>
          <w:vertAlign w:val="subscript"/>
        </w:rPr>
        <w:t>2</w:t>
      </w:r>
      <w:r>
        <w:rPr>
          <w:color w:val="auto"/>
        </w:rPr>
        <w:t>O</w:t>
      </w:r>
      <w:r>
        <w:rPr>
          <w:color w:val="auto"/>
        </w:rPr>
        <w:t>，</w:t>
      </w:r>
      <w:r>
        <w:rPr>
          <w:color w:val="auto"/>
        </w:rPr>
        <w:t>SO</w:t>
      </w:r>
      <w:r>
        <w:rPr>
          <w:color w:val="auto"/>
          <w:vertAlign w:val="subscript"/>
        </w:rPr>
        <w:t>3</w:t>
      </w:r>
      <w:r>
        <w:rPr>
          <w:color w:val="auto"/>
          <w:vertAlign w:val="superscript"/>
        </w:rPr>
        <w:t>2-</w:t>
      </w:r>
      <w:r>
        <w:rPr>
          <w:color w:val="auto"/>
        </w:rPr>
        <w:t>，</w:t>
      </w:r>
      <w:r>
        <w:rPr>
          <w:color w:val="auto"/>
        </w:rPr>
        <w:t>Cl</w:t>
      </w:r>
      <w:r>
        <w:rPr>
          <w:color w:val="auto"/>
          <w:vertAlign w:val="superscript"/>
        </w:rPr>
        <w:t>-</w:t>
      </w:r>
      <w:r>
        <w:rPr>
          <w:color w:val="auto"/>
        </w:rPr>
        <w:t>）的含量进行控制。一般情况下，硫碱摩尔比接近于</w:t>
      </w:r>
      <w:r>
        <w:rPr>
          <w:color w:val="auto"/>
        </w:rPr>
        <w:t>1</w:t>
      </w:r>
      <w:r>
        <w:rPr>
          <w:color w:val="auto"/>
        </w:rPr>
        <w:t>，保持</w:t>
      </w:r>
      <w:r>
        <w:rPr>
          <w:color w:val="auto"/>
        </w:rPr>
        <w:t>Cl</w:t>
      </w:r>
      <w:r>
        <w:rPr>
          <w:color w:val="auto"/>
          <w:vertAlign w:val="superscript"/>
        </w:rPr>
        <w:t>-</w:t>
      </w:r>
      <w:r>
        <w:rPr>
          <w:color w:val="auto"/>
        </w:rPr>
        <w:t>对</w:t>
      </w:r>
      <w:r>
        <w:rPr>
          <w:color w:val="auto"/>
        </w:rPr>
        <w:t>SO</w:t>
      </w:r>
      <w:r>
        <w:rPr>
          <w:color w:val="auto"/>
          <w:vertAlign w:val="subscript"/>
        </w:rPr>
        <w:t>3</w:t>
      </w:r>
      <w:r>
        <w:rPr>
          <w:color w:val="auto"/>
          <w:vertAlign w:val="superscript"/>
        </w:rPr>
        <w:t>2-</w:t>
      </w:r>
      <w:r>
        <w:rPr>
          <w:color w:val="auto"/>
        </w:rPr>
        <w:t>的比值接近</w:t>
      </w:r>
      <w:r>
        <w:rPr>
          <w:color w:val="auto"/>
        </w:rPr>
        <w:t>1</w:t>
      </w:r>
      <w:r>
        <w:rPr>
          <w:color w:val="auto"/>
        </w:rPr>
        <w:t>。由废物带入烧成系统的</w:t>
      </w:r>
      <w:r>
        <w:rPr>
          <w:color w:val="auto"/>
        </w:rPr>
        <w:t>Cl</w:t>
      </w:r>
      <w:r>
        <w:rPr>
          <w:color w:val="auto"/>
          <w:vertAlign w:val="superscript"/>
        </w:rPr>
        <w:t>-</w:t>
      </w:r>
      <w:r>
        <w:rPr>
          <w:color w:val="auto"/>
        </w:rPr>
        <w:t>和常规生料中的</w:t>
      </w:r>
      <w:r>
        <w:rPr>
          <w:color w:val="auto"/>
        </w:rPr>
        <w:t>Cl</w:t>
      </w:r>
      <w:r>
        <w:rPr>
          <w:color w:val="auto"/>
          <w:vertAlign w:val="superscript"/>
        </w:rPr>
        <w:t>-</w:t>
      </w:r>
      <w:r>
        <w:rPr>
          <w:color w:val="auto"/>
        </w:rPr>
        <w:t>的总含量低于</w:t>
      </w:r>
      <w:r>
        <w:rPr>
          <w:color w:val="auto"/>
        </w:rPr>
        <w:t>0.015%</w:t>
      </w:r>
      <w:r>
        <w:rPr>
          <w:color w:val="auto"/>
        </w:rPr>
        <w:t>（国内一些水泥烧成系统可放宽至</w:t>
      </w:r>
      <w:r>
        <w:rPr>
          <w:color w:val="auto"/>
        </w:rPr>
        <w:t>0.02%</w:t>
      </w:r>
      <w:r>
        <w:rPr>
          <w:color w:val="auto"/>
        </w:rPr>
        <w:t>）。而这部分</w:t>
      </w:r>
      <w:r>
        <w:rPr>
          <w:color w:val="auto"/>
        </w:rPr>
        <w:t>Cl</w:t>
      </w:r>
      <w:r>
        <w:rPr>
          <w:color w:val="auto"/>
          <w:vertAlign w:val="superscript"/>
        </w:rPr>
        <w:t>-</w:t>
      </w:r>
      <w:r>
        <w:rPr>
          <w:color w:val="auto"/>
        </w:rPr>
        <w:t>在水泥煅烧系统内可以被水泥生料完全吸收，且不会对系统产生不利的影响。被吸收的</w:t>
      </w:r>
      <w:r>
        <w:rPr>
          <w:color w:val="auto"/>
        </w:rPr>
        <w:t>Cl</w:t>
      </w:r>
      <w:r>
        <w:rPr>
          <w:color w:val="auto"/>
          <w:vertAlign w:val="superscript"/>
        </w:rPr>
        <w:t>-</w:t>
      </w:r>
      <w:r>
        <w:rPr>
          <w:color w:val="auto"/>
        </w:rPr>
        <w:t>以</w:t>
      </w:r>
      <w:r>
        <w:rPr>
          <w:color w:val="auto"/>
        </w:rPr>
        <w:t>2CaO·SiO</w:t>
      </w:r>
      <w:r>
        <w:rPr>
          <w:color w:val="auto"/>
          <w:vertAlign w:val="subscript"/>
        </w:rPr>
        <w:t>2</w:t>
      </w:r>
      <w:r>
        <w:rPr>
          <w:color w:val="auto"/>
        </w:rPr>
        <w:t>·CaCl</w:t>
      </w:r>
      <w:r>
        <w:rPr>
          <w:color w:val="auto"/>
          <w:vertAlign w:val="subscript"/>
        </w:rPr>
        <w:t>2</w:t>
      </w:r>
      <w:r>
        <w:rPr>
          <w:color w:val="auto"/>
        </w:rPr>
        <w:t>（稳定温度</w:t>
      </w:r>
      <w:r>
        <w:rPr>
          <w:color w:val="auto"/>
        </w:rPr>
        <w:t>1084℃~1100℃</w:t>
      </w:r>
      <w:r>
        <w:rPr>
          <w:color w:val="auto"/>
        </w:rPr>
        <w:t>）的形式被水泥生料裹挟到回转窑内，夹带在熟料的铝酸盐和铁铝酸盐的溶剂性矿物中被带出烧成系统，减少二噁英类物质形成的氯源。</w:t>
      </w:r>
    </w:p>
    <w:p w14:paraId="2A094FCC" w14:textId="77777777" w:rsidR="002E474C" w:rsidRDefault="00000000">
      <w:pPr>
        <w:pStyle w:val="A-z"/>
        <w:rPr>
          <w:color w:val="auto"/>
        </w:rPr>
      </w:pPr>
      <w:r>
        <w:rPr>
          <w:color w:val="auto"/>
        </w:rPr>
        <w:t>2</w:t>
      </w:r>
      <w:r>
        <w:rPr>
          <w:color w:val="auto"/>
        </w:rPr>
        <w:t>）高温焚烧确保二噁英类不易产生</w:t>
      </w:r>
    </w:p>
    <w:p w14:paraId="424712A9" w14:textId="77777777" w:rsidR="002E474C" w:rsidRDefault="00000000">
      <w:pPr>
        <w:pStyle w:val="A-z"/>
        <w:rPr>
          <w:color w:val="auto"/>
        </w:rPr>
      </w:pPr>
      <w:r>
        <w:rPr>
          <w:color w:val="auto"/>
        </w:rPr>
        <w:t>根据《危险废物焚烧污染控制标准》（</w:t>
      </w:r>
      <w:r>
        <w:rPr>
          <w:color w:val="auto"/>
        </w:rPr>
        <w:t>GB18484-2001</w:t>
      </w:r>
      <w:r>
        <w:rPr>
          <w:color w:val="auto"/>
        </w:rPr>
        <w:t>）中规定的焚烧炉技术要求，烟气温度大于</w:t>
      </w:r>
      <w:r>
        <w:rPr>
          <w:color w:val="auto"/>
        </w:rPr>
        <w:t>1100℃</w:t>
      </w:r>
      <w:r>
        <w:rPr>
          <w:color w:val="auto"/>
        </w:rPr>
        <w:t>，烟气停留时间大于</w:t>
      </w:r>
      <w:r>
        <w:rPr>
          <w:color w:val="auto"/>
        </w:rPr>
        <w:t>2s</w:t>
      </w:r>
      <w:r>
        <w:rPr>
          <w:color w:val="auto"/>
        </w:rPr>
        <w:t>，燃烧效率大于</w:t>
      </w:r>
      <w:r>
        <w:rPr>
          <w:color w:val="auto"/>
        </w:rPr>
        <w:t>99.9%</w:t>
      </w:r>
      <w:r>
        <w:rPr>
          <w:color w:val="auto"/>
        </w:rPr>
        <w:t>，焚毁去除率</w:t>
      </w:r>
      <w:r>
        <w:rPr>
          <w:color w:val="auto"/>
        </w:rPr>
        <w:t>99.99%</w:t>
      </w:r>
      <w:r>
        <w:rPr>
          <w:color w:val="auto"/>
        </w:rPr>
        <w:t>。本项目窑内气相温度最高可达</w:t>
      </w:r>
      <w:r>
        <w:rPr>
          <w:color w:val="auto"/>
        </w:rPr>
        <w:t>1800℃</w:t>
      </w:r>
      <w:r>
        <w:rPr>
          <w:color w:val="auto"/>
        </w:rPr>
        <w:t>，物料温度可达</w:t>
      </w:r>
      <w:r>
        <w:rPr>
          <w:color w:val="auto"/>
        </w:rPr>
        <w:t>1450℃</w:t>
      </w:r>
      <w:r>
        <w:rPr>
          <w:color w:val="auto"/>
        </w:rPr>
        <w:t>，气体停留时间长达</w:t>
      </w:r>
      <w:r>
        <w:rPr>
          <w:color w:val="auto"/>
        </w:rPr>
        <w:t>20s</w:t>
      </w:r>
      <w:r>
        <w:rPr>
          <w:color w:val="auto"/>
        </w:rPr>
        <w:t>，物料停留时间可达</w:t>
      </w:r>
      <w:r>
        <w:rPr>
          <w:color w:val="auto"/>
        </w:rPr>
        <w:t>30min</w:t>
      </w:r>
      <w:r>
        <w:rPr>
          <w:color w:val="auto"/>
        </w:rPr>
        <w:t>以上，完全可以保证有机物的完全燃烧和彻底分解。泵入烧成系统的废物处于悬浮态，不存在不完全燃烧区域，高温下有机物和水分迅速蒸发和气化，随着烟气进入分解炉，在氧化条件下燃烧</w:t>
      </w:r>
      <w:r>
        <w:rPr>
          <w:color w:val="auto"/>
        </w:rPr>
        <w:lastRenderedPageBreak/>
        <w:t>完毕。从而使易生成</w:t>
      </w:r>
      <w:r>
        <w:rPr>
          <w:color w:val="auto"/>
        </w:rPr>
        <w:t>PCDD/PCDF</w:t>
      </w:r>
      <w:r>
        <w:rPr>
          <w:color w:val="auto"/>
        </w:rPr>
        <w:t>的有机氯化物完全燃烧，或已生成的</w:t>
      </w:r>
      <w:r>
        <w:rPr>
          <w:color w:val="auto"/>
        </w:rPr>
        <w:t>PCDD/PCDF</w:t>
      </w:r>
      <w:r>
        <w:rPr>
          <w:color w:val="auto"/>
        </w:rPr>
        <w:t>完全分解。</w:t>
      </w:r>
    </w:p>
    <w:p w14:paraId="3BA3B729" w14:textId="77777777" w:rsidR="002E474C" w:rsidRDefault="00000000">
      <w:pPr>
        <w:pStyle w:val="A-z"/>
        <w:rPr>
          <w:color w:val="auto"/>
        </w:rPr>
      </w:pPr>
      <w:r>
        <w:rPr>
          <w:color w:val="auto"/>
        </w:rPr>
        <w:t>3</w:t>
      </w:r>
      <w:r>
        <w:rPr>
          <w:color w:val="auto"/>
        </w:rPr>
        <w:t>）预热器系统内碱性物料的吸附</w:t>
      </w:r>
    </w:p>
    <w:p w14:paraId="12B66A9A" w14:textId="77777777" w:rsidR="002E474C" w:rsidRDefault="00000000">
      <w:pPr>
        <w:pStyle w:val="A-z"/>
        <w:rPr>
          <w:color w:val="auto"/>
        </w:rPr>
      </w:pPr>
      <w:r>
        <w:rPr>
          <w:color w:val="auto"/>
        </w:rPr>
        <w:t>窑尾预热器系统的气体中含有大量的生料粉，主要成分为</w:t>
      </w:r>
      <w:r>
        <w:rPr>
          <w:color w:val="auto"/>
        </w:rPr>
        <w:t>CaCO</w:t>
      </w:r>
      <w:r>
        <w:rPr>
          <w:color w:val="auto"/>
          <w:vertAlign w:val="subscript"/>
        </w:rPr>
        <w:t>3</w:t>
      </w:r>
      <w:r>
        <w:rPr>
          <w:color w:val="auto"/>
        </w:rPr>
        <w:t>、</w:t>
      </w:r>
      <w:r>
        <w:rPr>
          <w:color w:val="auto"/>
        </w:rPr>
        <w:t>MgCO</w:t>
      </w:r>
      <w:r>
        <w:rPr>
          <w:color w:val="auto"/>
          <w:vertAlign w:val="subscript"/>
        </w:rPr>
        <w:t>3</w:t>
      </w:r>
      <w:r>
        <w:rPr>
          <w:color w:val="auto"/>
        </w:rPr>
        <w:t>和</w:t>
      </w:r>
      <w:r>
        <w:rPr>
          <w:color w:val="auto"/>
        </w:rPr>
        <w:t>CaO</w:t>
      </w:r>
      <w:r>
        <w:rPr>
          <w:color w:val="auto"/>
        </w:rPr>
        <w:t>、</w:t>
      </w:r>
      <w:r>
        <w:rPr>
          <w:color w:val="auto"/>
        </w:rPr>
        <w:t>MgO</w:t>
      </w:r>
      <w:r>
        <w:rPr>
          <w:color w:val="auto"/>
        </w:rPr>
        <w:t>，可与燃烧产生的</w:t>
      </w:r>
      <w:r>
        <w:rPr>
          <w:color w:val="auto"/>
        </w:rPr>
        <w:t>Cl</w:t>
      </w:r>
      <w:r>
        <w:rPr>
          <w:color w:val="auto"/>
          <w:vertAlign w:val="superscript"/>
        </w:rPr>
        <w:t>-</w:t>
      </w:r>
      <w:r>
        <w:rPr>
          <w:color w:val="auto"/>
        </w:rPr>
        <w:t>迅速反应，从而消除二噁英类产生所需要的氯离子，抑制二噁英类物质的形成。</w:t>
      </w:r>
    </w:p>
    <w:p w14:paraId="7B244D17" w14:textId="77777777" w:rsidR="002E474C" w:rsidRDefault="00000000">
      <w:pPr>
        <w:pStyle w:val="A-z"/>
        <w:rPr>
          <w:color w:val="auto"/>
        </w:rPr>
      </w:pPr>
      <w:r>
        <w:rPr>
          <w:color w:val="auto"/>
        </w:rPr>
        <w:t>4</w:t>
      </w:r>
      <w:r>
        <w:rPr>
          <w:color w:val="auto"/>
        </w:rPr>
        <w:t>）生料中的硫分对二噁英类的产生有抑制作用</w:t>
      </w:r>
    </w:p>
    <w:p w14:paraId="3AAE5F92" w14:textId="77777777" w:rsidR="002E474C" w:rsidRDefault="00000000">
      <w:pPr>
        <w:pStyle w:val="A-z"/>
        <w:rPr>
          <w:color w:val="auto"/>
        </w:rPr>
      </w:pPr>
      <w:r>
        <w:rPr>
          <w:color w:val="auto"/>
        </w:rPr>
        <w:t>有关研究证明，燃料中或其它物料夹带的硫分对二噁英类的形成有一定的抑制作用：一则由于硫分的存在控制了</w:t>
      </w:r>
      <w:r>
        <w:rPr>
          <w:color w:val="auto"/>
        </w:rPr>
        <w:t>Cl</w:t>
      </w:r>
      <w:r>
        <w:rPr>
          <w:color w:val="auto"/>
          <w:vertAlign w:val="superscript"/>
        </w:rPr>
        <w:t>-</w:t>
      </w:r>
      <w:r>
        <w:rPr>
          <w:color w:val="auto"/>
        </w:rPr>
        <w:t>，使得</w:t>
      </w:r>
      <w:r>
        <w:rPr>
          <w:color w:val="auto"/>
        </w:rPr>
        <w:t>Cl</w:t>
      </w:r>
      <w:r>
        <w:rPr>
          <w:color w:val="auto"/>
          <w:vertAlign w:val="superscript"/>
        </w:rPr>
        <w:t>-</w:t>
      </w:r>
      <w:r>
        <w:rPr>
          <w:color w:val="auto"/>
        </w:rPr>
        <w:t>以</w:t>
      </w:r>
      <w:r>
        <w:rPr>
          <w:color w:val="auto"/>
        </w:rPr>
        <w:t>HCl</w:t>
      </w:r>
      <w:r>
        <w:rPr>
          <w:color w:val="auto"/>
        </w:rPr>
        <w:t>的形式存在，二则由于硫分的存在降低了</w:t>
      </w:r>
      <w:r>
        <w:rPr>
          <w:color w:val="auto"/>
        </w:rPr>
        <w:t>Cu</w:t>
      </w:r>
      <w:r>
        <w:rPr>
          <w:color w:val="auto"/>
        </w:rPr>
        <w:t>的催化活性，使其生成了</w:t>
      </w:r>
      <w:r>
        <w:rPr>
          <w:color w:val="auto"/>
        </w:rPr>
        <w:t>CuSO</w:t>
      </w:r>
      <w:r>
        <w:rPr>
          <w:color w:val="auto"/>
          <w:vertAlign w:val="subscript"/>
        </w:rPr>
        <w:t>4</w:t>
      </w:r>
      <w:r>
        <w:rPr>
          <w:color w:val="auto"/>
        </w:rPr>
        <w:t>；三则由于硫分的存在形成了磺酸盐酚前体物或含硫有机化合物，阻止了二噁英类的生成。</w:t>
      </w:r>
    </w:p>
    <w:p w14:paraId="4E953363" w14:textId="77777777" w:rsidR="002E474C" w:rsidRDefault="00000000">
      <w:pPr>
        <w:pStyle w:val="A-z"/>
        <w:rPr>
          <w:color w:val="auto"/>
        </w:rPr>
      </w:pPr>
      <w:r>
        <w:rPr>
          <w:color w:val="auto"/>
        </w:rPr>
        <w:t>5</w:t>
      </w:r>
      <w:r>
        <w:rPr>
          <w:color w:val="auto"/>
        </w:rPr>
        <w:t>）烟气处理系统</w:t>
      </w:r>
    </w:p>
    <w:p w14:paraId="4CE14484" w14:textId="77777777" w:rsidR="002E474C" w:rsidRDefault="00000000">
      <w:pPr>
        <w:pStyle w:val="A-z"/>
        <w:rPr>
          <w:color w:val="auto"/>
        </w:rPr>
      </w:pPr>
      <w:r>
        <w:rPr>
          <w:color w:val="auto"/>
        </w:rPr>
        <w:t>水泥窑的出口烟气要经过</w:t>
      </w:r>
      <w:r>
        <w:rPr>
          <w:color w:val="auto"/>
        </w:rPr>
        <w:t>SNCR+SCR</w:t>
      </w:r>
      <w:r>
        <w:rPr>
          <w:color w:val="auto"/>
        </w:rPr>
        <w:t>脱硝系统、增湿塔、原料磨和除尘器等构成的多级脱硝收尘系统，收集下来的物料离开回转窑系统。增湿塔在粉尘收集、酸性气体及二噁英类净化等方面，具有增湿活化急冷吸收的功能。从烧成系统排出的气体中含有飞灰，其主要成分为</w:t>
      </w:r>
      <w:r>
        <w:rPr>
          <w:color w:val="auto"/>
        </w:rPr>
        <w:t>CaO</w:t>
      </w:r>
      <w:r>
        <w:rPr>
          <w:color w:val="auto"/>
        </w:rPr>
        <w:t>和</w:t>
      </w:r>
      <w:r>
        <w:rPr>
          <w:color w:val="auto"/>
        </w:rPr>
        <w:t>MgO</w:t>
      </w:r>
      <w:r>
        <w:rPr>
          <w:color w:val="auto"/>
        </w:rPr>
        <w:t>，增湿塔内气体中的酸性物质与水结合，并与飞灰发生反应，同时增湿塔作为烟气冷却装置，烟气温度可从</w:t>
      </w:r>
      <w:r>
        <w:rPr>
          <w:color w:val="auto"/>
        </w:rPr>
        <w:t>300℃~400℃</w:t>
      </w:r>
      <w:r>
        <w:rPr>
          <w:color w:val="auto"/>
        </w:rPr>
        <w:t>迅速降至</w:t>
      </w:r>
      <w:r>
        <w:rPr>
          <w:color w:val="auto"/>
        </w:rPr>
        <w:t>220℃</w:t>
      </w:r>
      <w:r>
        <w:rPr>
          <w:color w:val="auto"/>
        </w:rPr>
        <w:t>以下。出增湿塔的气体进入原料磨，对入磨的原料进行烘干，并将粒度合格的生料带出原料磨；由气体带进的粉尘在原料磨内与大量的生料粉进行混合，其中的酸性气体和有机物进一步被吸附，经收尘器收集后物料离开回转窑系统。</w:t>
      </w:r>
    </w:p>
    <w:p w14:paraId="790E56D7" w14:textId="77777777" w:rsidR="002E474C" w:rsidRDefault="00000000">
      <w:pPr>
        <w:pStyle w:val="A-z"/>
        <w:rPr>
          <w:color w:val="auto"/>
        </w:rPr>
      </w:pPr>
      <w:r>
        <w:rPr>
          <w:color w:val="auto"/>
          <w:szCs w:val="24"/>
        </w:rPr>
        <w:t>吉木萨尔协同处置项目</w:t>
      </w:r>
      <w:r>
        <w:rPr>
          <w:color w:val="auto"/>
        </w:rPr>
        <w:t>产生的废气经同样的废气治理措施处理。根据其环保验收监测，其窑尾排放口二噁英类浓度在</w:t>
      </w:r>
      <w:r>
        <w:rPr>
          <w:color w:val="auto"/>
        </w:rPr>
        <w:t>0.042~0.065ngTEQ/Nm</w:t>
      </w:r>
      <w:r>
        <w:rPr>
          <w:color w:val="auto"/>
          <w:vertAlign w:val="superscript"/>
        </w:rPr>
        <w:t>3</w:t>
      </w:r>
      <w:r>
        <w:rPr>
          <w:color w:val="auto"/>
        </w:rPr>
        <w:t>，满足《水泥窑协同处置固体废物污染控制标准》（</w:t>
      </w:r>
      <w:r>
        <w:rPr>
          <w:color w:val="auto"/>
        </w:rPr>
        <w:t>GB30485-2013</w:t>
      </w:r>
      <w:r>
        <w:rPr>
          <w:color w:val="auto"/>
        </w:rPr>
        <w:t>）要求。结合同类污染源监测结果并基于最不利原则，本项目窑尾烟气中二噁英类可实现达标排放，满足《水泥窑协同处置固体废物污染控制标准》（</w:t>
      </w:r>
      <w:r>
        <w:rPr>
          <w:color w:val="auto"/>
        </w:rPr>
        <w:t>GB30485-2013</w:t>
      </w:r>
      <w:r>
        <w:rPr>
          <w:color w:val="auto"/>
        </w:rPr>
        <w:t>）排放要求。</w:t>
      </w:r>
    </w:p>
    <w:p w14:paraId="36265C9C" w14:textId="77777777" w:rsidR="002E474C" w:rsidRDefault="00000000">
      <w:pPr>
        <w:pStyle w:val="A-z"/>
        <w:rPr>
          <w:bCs/>
          <w:color w:val="auto"/>
        </w:rPr>
      </w:pPr>
      <w:r>
        <w:rPr>
          <w:bCs/>
          <w:color w:val="auto"/>
        </w:rPr>
        <w:t>（</w:t>
      </w:r>
      <w:r>
        <w:rPr>
          <w:bCs/>
          <w:color w:val="auto"/>
        </w:rPr>
        <w:t>4</w:t>
      </w:r>
      <w:r>
        <w:rPr>
          <w:bCs/>
          <w:color w:val="auto"/>
        </w:rPr>
        <w:t>）重金属</w:t>
      </w:r>
    </w:p>
    <w:p w14:paraId="78BB92BA" w14:textId="77777777" w:rsidR="002E474C" w:rsidRDefault="00000000">
      <w:pPr>
        <w:pStyle w:val="A-z"/>
        <w:rPr>
          <w:color w:val="auto"/>
        </w:rPr>
      </w:pPr>
      <w:r>
        <w:rPr>
          <w:color w:val="auto"/>
        </w:rPr>
        <w:t>根据《水泥窑协同处置固体废物污染物控制标准》编制说明，由水泥生产所需的常规原燃料和危险废物带入窑内的重金属在窑内部分随烟气排入大气，部分进入熟料，部分在窑内不断循环累积，根据重金属的挥发特性，可将重金属分为</w:t>
      </w:r>
      <w:r>
        <w:rPr>
          <w:color w:val="auto"/>
        </w:rPr>
        <w:lastRenderedPageBreak/>
        <w:t>不挥发、半挥发、易挥发、高挥发等四类重金属。在不同类型挥发性重金属中，不挥发类元素与熟料中的主要元素钙、硅、铝及铁和镁相似，完全被结合到熟料中，</w:t>
      </w:r>
      <w:r>
        <w:rPr>
          <w:color w:val="auto"/>
        </w:rPr>
        <w:t>99.9%</w:t>
      </w:r>
      <w:r>
        <w:rPr>
          <w:color w:val="auto"/>
        </w:rPr>
        <w:t>以上直接进入熟料；半挥发类元素在水泥熟料煅烧过程中，首先形成硫酸盐和氯化物，这类化合物在</w:t>
      </w:r>
      <w:r>
        <w:rPr>
          <w:color w:val="auto"/>
        </w:rPr>
        <w:t>700~900℃</w:t>
      </w:r>
      <w:r>
        <w:rPr>
          <w:color w:val="auto"/>
        </w:rPr>
        <w:t>温度范围内冷凝，在窑和预热器系统内形成内循环，最终几乎全部进入熟料，随烟气带入带出窑系统外的量很少；物料中易挥发的元素</w:t>
      </w:r>
      <w:r>
        <w:rPr>
          <w:color w:val="auto"/>
        </w:rPr>
        <w:t>Tl</w:t>
      </w:r>
      <w:r>
        <w:rPr>
          <w:color w:val="auto"/>
        </w:rPr>
        <w:t>，于</w:t>
      </w:r>
      <w:r>
        <w:rPr>
          <w:color w:val="auto"/>
        </w:rPr>
        <w:t>520~550℃</w:t>
      </w:r>
      <w:r>
        <w:rPr>
          <w:color w:val="auto"/>
        </w:rPr>
        <w:t>开始蒸发，蒸发的</w:t>
      </w:r>
      <w:r>
        <w:rPr>
          <w:color w:val="auto"/>
        </w:rPr>
        <w:t>Tl</w:t>
      </w:r>
      <w:r>
        <w:rPr>
          <w:color w:val="auto"/>
        </w:rPr>
        <w:t>一般在</w:t>
      </w:r>
      <w:r>
        <w:rPr>
          <w:color w:val="auto"/>
        </w:rPr>
        <w:t>450~500℃</w:t>
      </w:r>
      <w:r>
        <w:rPr>
          <w:color w:val="auto"/>
        </w:rPr>
        <w:t>的温度区冷凝，该元素随熟料带出的比例小于</w:t>
      </w:r>
      <w:r>
        <w:rPr>
          <w:color w:val="auto"/>
        </w:rPr>
        <w:t>5%</w:t>
      </w:r>
      <w:r>
        <w:rPr>
          <w:color w:val="auto"/>
        </w:rPr>
        <w:t>，</w:t>
      </w:r>
      <w:r>
        <w:rPr>
          <w:color w:val="auto"/>
        </w:rPr>
        <w:t>93%~98%</w:t>
      </w:r>
      <w:r>
        <w:rPr>
          <w:color w:val="auto"/>
        </w:rPr>
        <w:t>都滞留在预热器系统内，其余部分可随窑灰带回窑系统，随废气排放的量少；高挥发元素</w:t>
      </w:r>
      <w:r>
        <w:rPr>
          <w:color w:val="auto"/>
        </w:rPr>
        <w:t>Hg</w:t>
      </w:r>
      <w:r>
        <w:rPr>
          <w:color w:val="auto"/>
        </w:rPr>
        <w:t>在约</w:t>
      </w:r>
      <w:r>
        <w:rPr>
          <w:color w:val="auto"/>
        </w:rPr>
        <w:t>100℃</w:t>
      </w:r>
      <w:r>
        <w:rPr>
          <w:color w:val="auto"/>
        </w:rPr>
        <w:t>温度下完全蒸发，主要是凝结在窑灰上或随烟气带走形成外循环和排放，不带入熟料。</w:t>
      </w:r>
      <w:r>
        <w:rPr>
          <w:color w:val="auto"/>
          <w:lang w:val="en-US"/>
        </w:rPr>
        <w:t>在悬浮预热窑上，</w:t>
      </w:r>
      <w:r>
        <w:rPr>
          <w:color w:val="auto"/>
          <w:lang w:val="en-US"/>
        </w:rPr>
        <w:t>130℃</w:t>
      </w:r>
      <w:r>
        <w:rPr>
          <w:color w:val="auto"/>
          <w:lang w:val="en-US"/>
        </w:rPr>
        <w:t>时</w:t>
      </w:r>
      <w:r>
        <w:rPr>
          <w:color w:val="auto"/>
          <w:lang w:val="en-US"/>
        </w:rPr>
        <w:t>Hg</w:t>
      </w:r>
      <w:r>
        <w:rPr>
          <w:color w:val="auto"/>
          <w:lang w:val="en-US"/>
        </w:rPr>
        <w:t>通过凝结在窑灰上的分离率可达约</w:t>
      </w:r>
      <w:r>
        <w:rPr>
          <w:color w:val="auto"/>
          <w:lang w:val="en-US"/>
        </w:rPr>
        <w:t>90%</w:t>
      </w:r>
      <w:r>
        <w:rPr>
          <w:color w:val="auto"/>
          <w:lang w:val="en-US"/>
        </w:rPr>
        <w:t>。</w:t>
      </w:r>
    </w:p>
    <w:p w14:paraId="0CE63F36" w14:textId="77777777" w:rsidR="002E474C" w:rsidRDefault="00000000">
      <w:pPr>
        <w:pStyle w:val="A-z"/>
        <w:rPr>
          <w:color w:val="auto"/>
        </w:rPr>
      </w:pPr>
      <w:r>
        <w:rPr>
          <w:rFonts w:hint="eastAsia"/>
          <w:color w:val="auto"/>
        </w:rPr>
        <w:t>根据</w:t>
      </w:r>
      <w:r>
        <w:rPr>
          <w:color w:val="auto"/>
        </w:rPr>
        <w:t>中国环境科学研究院</w:t>
      </w:r>
      <w:r>
        <w:rPr>
          <w:rFonts w:hint="eastAsia"/>
          <w:color w:val="auto"/>
        </w:rPr>
        <w:t>编制的</w:t>
      </w:r>
      <w:r>
        <w:rPr>
          <w:color w:val="auto"/>
        </w:rPr>
        <w:t>《我国水</w:t>
      </w:r>
      <w:r>
        <w:rPr>
          <w:color w:val="auto"/>
          <w:lang w:val="en-US"/>
        </w:rPr>
        <w:t>泥行业汞排放与协同控制实测研究》（水俣公约配套课题）</w:t>
      </w:r>
      <w:r>
        <w:rPr>
          <w:rFonts w:hint="eastAsia"/>
          <w:color w:val="auto"/>
          <w:lang w:val="en-US"/>
        </w:rPr>
        <w:t>，</w:t>
      </w:r>
      <w:r>
        <w:rPr>
          <w:color w:val="auto"/>
          <w:lang w:val="en-US"/>
        </w:rPr>
        <w:t>实测</w:t>
      </w:r>
      <w:r>
        <w:rPr>
          <w:color w:val="auto"/>
          <w:lang w:val="en-US"/>
        </w:rPr>
        <w:t>17</w:t>
      </w:r>
      <w:r>
        <w:rPr>
          <w:color w:val="auto"/>
          <w:lang w:val="en-US"/>
        </w:rPr>
        <w:t>条协同</w:t>
      </w:r>
      <w:r>
        <w:rPr>
          <w:rFonts w:hint="eastAsia"/>
          <w:color w:val="auto"/>
          <w:lang w:val="en-US"/>
        </w:rPr>
        <w:t>处置危险废物</w:t>
      </w:r>
      <w:r>
        <w:rPr>
          <w:color w:val="auto"/>
          <w:lang w:val="en-US"/>
        </w:rPr>
        <w:t>水泥</w:t>
      </w:r>
      <w:r>
        <w:rPr>
          <w:rFonts w:hint="eastAsia"/>
          <w:color w:val="auto"/>
          <w:lang w:val="en-US"/>
        </w:rPr>
        <w:t>生产</w:t>
      </w:r>
      <w:r>
        <w:rPr>
          <w:color w:val="auto"/>
          <w:lang w:val="en-US"/>
        </w:rPr>
        <w:t>线</w:t>
      </w:r>
      <w:r>
        <w:rPr>
          <w:rFonts w:hint="eastAsia"/>
          <w:color w:val="auto"/>
          <w:lang w:val="en-US"/>
        </w:rPr>
        <w:t>的</w:t>
      </w:r>
      <w:r>
        <w:rPr>
          <w:color w:val="auto"/>
          <w:lang w:val="en-US"/>
        </w:rPr>
        <w:t>整套系统综合脱汞效率：</w:t>
      </w:r>
      <w:r>
        <w:rPr>
          <w:color w:val="auto"/>
          <w:lang w:val="en-US"/>
        </w:rPr>
        <w:t>51.</w:t>
      </w:r>
      <w:r>
        <w:rPr>
          <w:rFonts w:hint="eastAsia"/>
          <w:color w:val="auto"/>
          <w:lang w:val="en-US"/>
        </w:rPr>
        <w:t>7</w:t>
      </w:r>
      <w:r>
        <w:rPr>
          <w:color w:val="auto"/>
          <w:lang w:val="en-US"/>
        </w:rPr>
        <w:t>%</w:t>
      </w:r>
      <w:r>
        <w:rPr>
          <w:color w:val="auto"/>
          <w:lang w:val="en-US"/>
        </w:rPr>
        <w:t>～</w:t>
      </w:r>
      <w:r>
        <w:rPr>
          <w:rFonts w:hint="eastAsia"/>
          <w:color w:val="auto"/>
          <w:lang w:val="en-US"/>
        </w:rPr>
        <w:t>59.5</w:t>
      </w:r>
      <w:r>
        <w:rPr>
          <w:color w:val="auto"/>
          <w:lang w:val="en-US"/>
        </w:rPr>
        <w:t>%</w:t>
      </w:r>
      <w:r>
        <w:rPr>
          <w:rFonts w:hint="eastAsia"/>
          <w:color w:val="auto"/>
          <w:lang w:val="en-US"/>
        </w:rPr>
        <w:t>，脱汞</w:t>
      </w:r>
      <w:r>
        <w:rPr>
          <w:color w:val="auto"/>
          <w:lang w:val="en-US"/>
        </w:rPr>
        <w:t>机理</w:t>
      </w:r>
      <w:r>
        <w:rPr>
          <w:rFonts w:hint="eastAsia"/>
          <w:color w:val="auto"/>
          <w:lang w:val="en-US"/>
        </w:rPr>
        <w:t>为</w:t>
      </w:r>
      <w:r>
        <w:rPr>
          <w:color w:val="auto"/>
          <w:lang w:val="en-US"/>
        </w:rPr>
        <w:t>SNCR</w:t>
      </w:r>
      <w:r>
        <w:rPr>
          <w:color w:val="auto"/>
          <w:lang w:val="en-US"/>
        </w:rPr>
        <w:t>高温段氧化</w:t>
      </w:r>
      <w:r>
        <w:rPr>
          <w:color w:val="auto"/>
          <w:lang w:val="en-US"/>
        </w:rPr>
        <w:t>38%~47%</w:t>
      </w:r>
      <w:r>
        <w:rPr>
          <w:color w:val="auto"/>
          <w:lang w:val="en-US"/>
        </w:rPr>
        <w:t>单质</w:t>
      </w:r>
      <w:r>
        <w:rPr>
          <w:color w:val="auto"/>
          <w:lang w:val="en-US"/>
        </w:rPr>
        <w:t>Hg⁰→Hg²⁺</w:t>
      </w:r>
      <w:r>
        <w:rPr>
          <w:color w:val="auto"/>
          <w:lang w:val="en-US"/>
        </w:rPr>
        <w:t>；急冷低温吸附，二价汞附着飞灰变为颗粒汞；电袋捕集</w:t>
      </w:r>
      <w:r>
        <w:rPr>
          <w:color w:val="auto"/>
          <w:lang w:val="en-US"/>
        </w:rPr>
        <w:t>97%</w:t>
      </w:r>
      <w:r>
        <w:rPr>
          <w:color w:val="auto"/>
          <w:lang w:val="en-US"/>
        </w:rPr>
        <w:t>以上颗粒汞、吸附态气态二价汞。</w:t>
      </w:r>
      <w:r>
        <w:rPr>
          <w:rFonts w:hint="eastAsia"/>
          <w:color w:val="auto"/>
          <w:lang w:val="en-US"/>
        </w:rPr>
        <w:t>可保证</w:t>
      </w:r>
      <w:r>
        <w:rPr>
          <w:color w:val="auto"/>
        </w:rPr>
        <w:t>烟气中的重金属浓度满足《水泥窑协同处置固体废物污染物控制标准》（</w:t>
      </w:r>
      <w:r>
        <w:rPr>
          <w:color w:val="auto"/>
        </w:rPr>
        <w:t>GB30485-2013</w:t>
      </w:r>
      <w:r>
        <w:rPr>
          <w:color w:val="auto"/>
        </w:rPr>
        <w:t>）规定的浓度限值。</w:t>
      </w:r>
    </w:p>
    <w:p w14:paraId="4EF8E367" w14:textId="77777777" w:rsidR="002E474C" w:rsidRDefault="00000000">
      <w:pPr>
        <w:pStyle w:val="A-z"/>
        <w:rPr>
          <w:color w:val="auto"/>
        </w:rPr>
      </w:pPr>
      <w:r>
        <w:rPr>
          <w:color w:val="auto"/>
        </w:rPr>
        <w:t>烟气中重金属浓度除了与废物中重金属含量有关外，还与废物的投加速率、水泥窑产量、常规原料和燃料中重金属含量等有关。因此，通过限制重金属的投加量和投加速率控制排放烟气中的重金属浓度满足《水泥窑协同处置固体废物污染控制标准》（</w:t>
      </w:r>
      <w:r>
        <w:rPr>
          <w:color w:val="auto"/>
        </w:rPr>
        <w:t>GB30485-2013</w:t>
      </w:r>
      <w:r>
        <w:rPr>
          <w:color w:val="auto"/>
        </w:rPr>
        <w:t>）规定的浓度限值。</w:t>
      </w:r>
    </w:p>
    <w:p w14:paraId="3D38CDBF" w14:textId="77777777" w:rsidR="002E474C" w:rsidRDefault="00000000">
      <w:pPr>
        <w:pStyle w:val="A-z"/>
        <w:rPr>
          <w:color w:val="auto"/>
        </w:rPr>
      </w:pPr>
      <w:r>
        <w:rPr>
          <w:color w:val="auto"/>
        </w:rPr>
        <w:t>综上，本项目水泥窑烧成系统废气治理措施符合《排污许可证申请与核发技术规范</w:t>
      </w:r>
      <w:r>
        <w:rPr>
          <w:color w:val="auto"/>
        </w:rPr>
        <w:t xml:space="preserve"> </w:t>
      </w:r>
      <w:r>
        <w:rPr>
          <w:color w:val="auto"/>
        </w:rPr>
        <w:t>水泥工业》（</w:t>
      </w:r>
      <w:r>
        <w:rPr>
          <w:color w:val="auto"/>
        </w:rPr>
        <w:t>HJ 847-2017</w:t>
      </w:r>
      <w:r>
        <w:rPr>
          <w:color w:val="auto"/>
        </w:rPr>
        <w:t>）中</w:t>
      </w:r>
      <w:r>
        <w:rPr>
          <w:color w:val="auto"/>
        </w:rPr>
        <w:t>6.2.2</w:t>
      </w:r>
      <w:r>
        <w:rPr>
          <w:color w:val="auto"/>
        </w:rPr>
        <w:t>和附录</w:t>
      </w:r>
      <w:r>
        <w:rPr>
          <w:color w:val="auto"/>
        </w:rPr>
        <w:t>B</w:t>
      </w:r>
      <w:r>
        <w:rPr>
          <w:color w:val="auto"/>
        </w:rPr>
        <w:t>水泥工业废气污染防治可行技术、《水泥窑协同处置危险废物经营许可证审查指南（试行）》要求，窑尾烟气主要污染物排放满足《水泥窑协同处置固体废物污染控制标准》（</w:t>
      </w:r>
      <w:r>
        <w:rPr>
          <w:color w:val="auto"/>
        </w:rPr>
        <w:t>GB 30485-2013</w:t>
      </w:r>
      <w:r>
        <w:rPr>
          <w:color w:val="auto"/>
        </w:rPr>
        <w:t>）和《水泥工业大气污染物排放标准》</w:t>
      </w:r>
      <w:r>
        <w:rPr>
          <w:color w:val="auto"/>
        </w:rPr>
        <w:t>(</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w:t>
      </w:r>
      <w:r>
        <w:rPr>
          <w:color w:val="auto"/>
        </w:rPr>
        <w:t>要求。</w:t>
      </w:r>
    </w:p>
    <w:p w14:paraId="4739DE5F" w14:textId="77777777" w:rsidR="002E474C" w:rsidRDefault="00000000">
      <w:pPr>
        <w:pStyle w:val="31"/>
        <w:spacing w:before="120" w:after="120"/>
        <w:rPr>
          <w:color w:val="auto"/>
        </w:rPr>
      </w:pPr>
      <w:r>
        <w:rPr>
          <w:color w:val="auto"/>
        </w:rPr>
        <w:t>窑尾烟气处理设施超低排放改造</w:t>
      </w:r>
    </w:p>
    <w:p w14:paraId="1214AF04" w14:textId="77777777" w:rsidR="002E474C" w:rsidRDefault="00000000">
      <w:pPr>
        <w:pStyle w:val="A-z"/>
        <w:rPr>
          <w:color w:val="auto"/>
        </w:rPr>
      </w:pPr>
      <w:r>
        <w:rPr>
          <w:color w:val="auto"/>
        </w:rPr>
        <w:t>本项目依托圣雄水泥公司电石渣干法水泥生产线的排气筒主要为窑尾废气排放口。</w:t>
      </w:r>
    </w:p>
    <w:p w14:paraId="3E8AF163" w14:textId="77777777" w:rsidR="002E474C" w:rsidRDefault="00000000">
      <w:pPr>
        <w:pStyle w:val="A-z"/>
        <w:rPr>
          <w:color w:val="auto"/>
        </w:rPr>
      </w:pPr>
      <w:r>
        <w:rPr>
          <w:color w:val="auto"/>
        </w:rPr>
        <w:lastRenderedPageBreak/>
        <w:t>根据圣雄水泥公司现有水泥窑的窑尾烟气</w:t>
      </w:r>
      <w:r>
        <w:rPr>
          <w:color w:val="auto"/>
        </w:rPr>
        <w:t>2025</w:t>
      </w:r>
      <w:r>
        <w:rPr>
          <w:color w:val="auto"/>
        </w:rPr>
        <w:t>年在线监测数据，</w:t>
      </w:r>
      <w:r>
        <w:rPr>
          <w:color w:val="auto"/>
        </w:rPr>
        <w:t>NO</w:t>
      </w:r>
      <w:r>
        <w:rPr>
          <w:color w:val="auto"/>
          <w:vertAlign w:val="subscript"/>
        </w:rPr>
        <w:t>X</w:t>
      </w:r>
      <w:r>
        <w:rPr>
          <w:color w:val="auto"/>
        </w:rPr>
        <w:t>排放浓度可满足《水泥工业大气污染物排放标准》（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2</w:t>
      </w:r>
      <w:r>
        <w:rPr>
          <w:color w:val="auto"/>
        </w:rPr>
        <w:t>排放标准要求（</w:t>
      </w:r>
      <w:r>
        <w:rPr>
          <w:color w:val="auto"/>
        </w:rPr>
        <w:t>NO</w:t>
      </w:r>
      <w:r>
        <w:rPr>
          <w:color w:val="auto"/>
          <w:vertAlign w:val="subscript"/>
        </w:rPr>
        <w:t>X</w:t>
      </w:r>
      <w:r>
        <w:rPr>
          <w:color w:val="auto"/>
        </w:rPr>
        <w:t>≤400mg/m</w:t>
      </w:r>
      <w:r>
        <w:rPr>
          <w:color w:val="auto"/>
          <w:vertAlign w:val="superscript"/>
        </w:rPr>
        <w:t>3</w:t>
      </w:r>
      <w:r>
        <w:rPr>
          <w:color w:val="auto"/>
        </w:rPr>
        <w:t>）要求，但不能达到《关于推进实施水泥行业超低排放的意见》附表</w:t>
      </w:r>
      <w:r>
        <w:rPr>
          <w:color w:val="auto"/>
        </w:rPr>
        <w:t>1</w:t>
      </w:r>
      <w:r>
        <w:rPr>
          <w:color w:val="auto"/>
        </w:rPr>
        <w:t>有组织排放指标限值（水泥窑及窑尾余热利用系统基准氧含量</w:t>
      </w:r>
      <w:r>
        <w:rPr>
          <w:color w:val="auto"/>
        </w:rPr>
        <w:t>10%</w:t>
      </w:r>
      <w:r>
        <w:rPr>
          <w:color w:val="auto"/>
        </w:rPr>
        <w:t>的条件下氮氧化物排放限值</w:t>
      </w:r>
      <w:r>
        <w:rPr>
          <w:color w:val="auto"/>
        </w:rPr>
        <w:t>50mg/m³</w:t>
      </w:r>
      <w:r>
        <w:rPr>
          <w:color w:val="auto"/>
        </w:rPr>
        <w:t>）。圣雄水泥公司将根据《关于推进实施水泥行业超低排放的意见》（环大气〔</w:t>
      </w:r>
      <w:r>
        <w:rPr>
          <w:color w:val="auto"/>
        </w:rPr>
        <w:t>2024</w:t>
      </w:r>
      <w:r>
        <w:rPr>
          <w:color w:val="auto"/>
        </w:rPr>
        <w:t>〕</w:t>
      </w:r>
      <w:r>
        <w:rPr>
          <w:color w:val="auto"/>
        </w:rPr>
        <w:t>5</w:t>
      </w:r>
      <w:r>
        <w:rPr>
          <w:color w:val="auto"/>
        </w:rPr>
        <w:t>号）、《新疆维吾尔自治区水泥行业超低排放改造实施计划》（新环大气发〔</w:t>
      </w:r>
      <w:r>
        <w:rPr>
          <w:color w:val="auto"/>
        </w:rPr>
        <w:t>2024</w:t>
      </w:r>
      <w:r>
        <w:rPr>
          <w:color w:val="auto"/>
        </w:rPr>
        <w:t>〕</w:t>
      </w:r>
      <w:r>
        <w:rPr>
          <w:color w:val="auto"/>
        </w:rPr>
        <w:t>117</w:t>
      </w:r>
      <w:r>
        <w:rPr>
          <w:color w:val="auto"/>
        </w:rPr>
        <w:t>号）实施超低排放改造。</w:t>
      </w:r>
    </w:p>
    <w:p w14:paraId="735B40FF" w14:textId="77777777" w:rsidR="002E474C" w:rsidRDefault="00000000">
      <w:pPr>
        <w:pStyle w:val="A-z"/>
        <w:rPr>
          <w:color w:val="auto"/>
        </w:rPr>
      </w:pPr>
      <w:r>
        <w:rPr>
          <w:color w:val="auto"/>
        </w:rPr>
        <w:t>圣雄水泥公司目前已基本确定超低排放改造方案。根据多方论证结果，厂内已确定水泥窑窑尾烟气处理设施实施脱硝改造，在现有</w:t>
      </w:r>
      <w:r>
        <w:rPr>
          <w:color w:val="auto"/>
          <w:lang w:val="en-US"/>
        </w:rPr>
        <w:t>非选择性催化还原法（</w:t>
      </w:r>
      <w:r>
        <w:rPr>
          <w:color w:val="auto"/>
          <w:lang w:val="en-US"/>
        </w:rPr>
        <w:t>SNCR</w:t>
      </w:r>
      <w:r>
        <w:rPr>
          <w:color w:val="auto"/>
          <w:lang w:val="en-US"/>
        </w:rPr>
        <w:t>）基础上</w:t>
      </w:r>
      <w:r>
        <w:rPr>
          <w:color w:val="auto"/>
        </w:rPr>
        <w:t>增加</w:t>
      </w:r>
      <w:r>
        <w:rPr>
          <w:color w:val="auto"/>
          <w:lang w:val="en-US"/>
        </w:rPr>
        <w:t>选择性催化还原法（</w:t>
      </w:r>
      <w:r>
        <w:rPr>
          <w:color w:val="auto"/>
          <w:lang w:val="en-US"/>
        </w:rPr>
        <w:t>SCR</w:t>
      </w:r>
      <w:r>
        <w:rPr>
          <w:color w:val="auto"/>
          <w:lang w:val="en-US"/>
        </w:rPr>
        <w:t>）处理工艺设施。</w:t>
      </w:r>
    </w:p>
    <w:p w14:paraId="0ED97545" w14:textId="77777777" w:rsidR="002E474C" w:rsidRDefault="00000000">
      <w:pPr>
        <w:pStyle w:val="A-z"/>
        <w:rPr>
          <w:color w:val="auto"/>
          <w:lang w:val="en-US"/>
        </w:rPr>
      </w:pPr>
      <w:r>
        <w:rPr>
          <w:color w:val="auto"/>
          <w:lang w:val="en-US"/>
        </w:rPr>
        <w:t>SNCR</w:t>
      </w:r>
      <w:r>
        <w:rPr>
          <w:color w:val="auto"/>
          <w:lang w:val="en-US"/>
        </w:rPr>
        <w:t>脱硝技术是利用还原剂在不需要催化剂的情况下有选择性地与烟气中的</w:t>
      </w:r>
      <w:r>
        <w:rPr>
          <w:color w:val="auto"/>
          <w:lang w:val="en-US"/>
        </w:rPr>
        <w:t>NO</w:t>
      </w:r>
      <w:r>
        <w:rPr>
          <w:color w:val="auto"/>
          <w:vertAlign w:val="subscript"/>
          <w:lang w:val="en-US"/>
        </w:rPr>
        <w:t>x</w:t>
      </w:r>
      <w:r>
        <w:rPr>
          <w:color w:val="auto"/>
          <w:lang w:val="en-US"/>
        </w:rPr>
        <w:t>发生化学反应，生成氮气和水的方法。该技术成熟，采用氨水作脱硝还原剂的</w:t>
      </w:r>
      <w:r>
        <w:rPr>
          <w:color w:val="auto"/>
          <w:lang w:val="en-US"/>
        </w:rPr>
        <w:t>SNCR</w:t>
      </w:r>
      <w:r>
        <w:rPr>
          <w:color w:val="auto"/>
          <w:lang w:val="en-US"/>
        </w:rPr>
        <w:t>系统脱硝效率可达</w:t>
      </w:r>
      <w:r>
        <w:rPr>
          <w:color w:val="auto"/>
          <w:lang w:val="en-US"/>
        </w:rPr>
        <w:t>60%</w:t>
      </w:r>
      <w:r>
        <w:rPr>
          <w:color w:val="auto"/>
          <w:lang w:val="en-US"/>
        </w:rPr>
        <w:t>～</w:t>
      </w:r>
      <w:r>
        <w:rPr>
          <w:color w:val="auto"/>
          <w:lang w:val="en-US"/>
        </w:rPr>
        <w:t>70%</w:t>
      </w:r>
      <w:r>
        <w:rPr>
          <w:color w:val="auto"/>
          <w:lang w:val="en-US"/>
        </w:rPr>
        <w:t>。</w:t>
      </w:r>
    </w:p>
    <w:p w14:paraId="47748AA5" w14:textId="77777777" w:rsidR="002E474C" w:rsidRDefault="00000000">
      <w:pPr>
        <w:pStyle w:val="A-z"/>
        <w:rPr>
          <w:color w:val="auto"/>
          <w:lang w:val="en-US"/>
        </w:rPr>
      </w:pPr>
      <w:r>
        <w:rPr>
          <w:color w:val="auto"/>
          <w:lang w:val="en-US"/>
        </w:rPr>
        <w:t>SCR</w:t>
      </w:r>
      <w:r>
        <w:rPr>
          <w:color w:val="auto"/>
          <w:lang w:val="en-US"/>
        </w:rPr>
        <w:t>脱硝技术是在</w:t>
      </w:r>
      <w:r>
        <w:rPr>
          <w:color w:val="auto"/>
          <w:lang w:val="en-US"/>
        </w:rPr>
        <w:t>180℃</w:t>
      </w:r>
      <w:r>
        <w:rPr>
          <w:color w:val="auto"/>
          <w:lang w:val="en-US"/>
        </w:rPr>
        <w:t>～</w:t>
      </w:r>
      <w:r>
        <w:rPr>
          <w:color w:val="auto"/>
          <w:lang w:val="en-US"/>
        </w:rPr>
        <w:t>350℃</w:t>
      </w:r>
      <w:r>
        <w:rPr>
          <w:color w:val="auto"/>
          <w:lang w:val="en-US"/>
        </w:rPr>
        <w:t>反应温度窗口范围内，氨水或尿素等氨基还原性物质与烟气混合，在催化剂作用下，将</w:t>
      </w:r>
      <w:r>
        <w:rPr>
          <w:color w:val="auto"/>
          <w:lang w:val="en-US"/>
        </w:rPr>
        <w:t>NO</w:t>
      </w:r>
      <w:r>
        <w:rPr>
          <w:color w:val="auto"/>
          <w:vertAlign w:val="subscript"/>
          <w:lang w:val="en-US"/>
        </w:rPr>
        <w:t>x</w:t>
      </w:r>
      <w:r>
        <w:rPr>
          <w:color w:val="auto"/>
          <w:lang w:val="en-US"/>
        </w:rPr>
        <w:t>还原成为氮气的脱硝技术，其具有脱硝效率高的优势，在火电厂、锅炉、焚烧炉等行业和设备上已广泛应用。</w:t>
      </w:r>
      <w:r>
        <w:rPr>
          <w:color w:val="auto"/>
          <w:lang w:val="en-US"/>
        </w:rPr>
        <w:t>SCR</w:t>
      </w:r>
      <w:r>
        <w:rPr>
          <w:color w:val="auto"/>
          <w:lang w:val="en-US"/>
        </w:rPr>
        <w:t>脱硝技术根据反应系统的安装位置、温度窗口和颗粒物浓度，可分为高温高尘、高温中尘、高温低尘和中温中尘方式。</w:t>
      </w:r>
      <w:r>
        <w:rPr>
          <w:color w:val="auto"/>
          <w:lang w:val="en-US"/>
        </w:rPr>
        <w:t xml:space="preserve"> </w:t>
      </w:r>
    </w:p>
    <w:p w14:paraId="5CF7A6B8" w14:textId="77777777" w:rsidR="002E474C" w:rsidRDefault="00000000">
      <w:pPr>
        <w:pStyle w:val="A-z"/>
        <w:rPr>
          <w:color w:val="auto"/>
          <w:lang w:val="en-US"/>
        </w:rPr>
      </w:pPr>
      <w:r>
        <w:rPr>
          <w:color w:val="auto"/>
          <w:lang w:val="en-US"/>
        </w:rPr>
        <w:t>（</w:t>
      </w:r>
      <w:r>
        <w:rPr>
          <w:color w:val="auto"/>
          <w:lang w:val="en-US"/>
        </w:rPr>
        <w:t>1</w:t>
      </w:r>
      <w:r>
        <w:rPr>
          <w:color w:val="auto"/>
          <w:lang w:val="en-US"/>
        </w:rPr>
        <w:t>）高温高尘</w:t>
      </w:r>
      <w:r>
        <w:rPr>
          <w:color w:val="auto"/>
          <w:lang w:val="en-US"/>
        </w:rPr>
        <w:t>SCR</w:t>
      </w:r>
      <w:r>
        <w:rPr>
          <w:color w:val="auto"/>
          <w:lang w:val="en-US"/>
        </w:rPr>
        <w:t>方式将</w:t>
      </w:r>
      <w:r>
        <w:rPr>
          <w:color w:val="auto"/>
          <w:lang w:val="en-US"/>
        </w:rPr>
        <w:t>SCR</w:t>
      </w:r>
      <w:r>
        <w:rPr>
          <w:color w:val="auto"/>
          <w:lang w:val="en-US"/>
        </w:rPr>
        <w:t>反应系统安装在预热器系统出口之后、余热利用系统之前，进入</w:t>
      </w:r>
      <w:r>
        <w:rPr>
          <w:color w:val="auto"/>
          <w:lang w:val="en-US"/>
        </w:rPr>
        <w:t>SCR</w:t>
      </w:r>
      <w:r>
        <w:rPr>
          <w:color w:val="auto"/>
          <w:lang w:val="en-US"/>
        </w:rPr>
        <w:t>反应装置的烟气温度范围为</w:t>
      </w:r>
      <w:r>
        <w:rPr>
          <w:color w:val="auto"/>
          <w:lang w:val="en-US"/>
        </w:rPr>
        <w:t>280℃</w:t>
      </w:r>
      <w:r>
        <w:rPr>
          <w:color w:val="auto"/>
          <w:lang w:val="en-US"/>
        </w:rPr>
        <w:t>～</w:t>
      </w:r>
      <w:r>
        <w:rPr>
          <w:color w:val="auto"/>
          <w:lang w:val="en-US"/>
        </w:rPr>
        <w:t>350℃</w:t>
      </w:r>
      <w:r>
        <w:rPr>
          <w:color w:val="auto"/>
          <w:lang w:val="en-US"/>
        </w:rPr>
        <w:t>，颗粒物浓度范围</w:t>
      </w:r>
      <w:r>
        <w:rPr>
          <w:color w:val="auto"/>
          <w:lang w:val="en-US"/>
        </w:rPr>
        <w:t>50g/m</w:t>
      </w:r>
      <w:r>
        <w:rPr>
          <w:color w:val="auto"/>
          <w:vertAlign w:val="superscript"/>
          <w:lang w:val="en-US"/>
        </w:rPr>
        <w:t>3</w:t>
      </w:r>
      <w:r>
        <w:rPr>
          <w:color w:val="auto"/>
          <w:lang w:val="en-US"/>
        </w:rPr>
        <w:t>～</w:t>
      </w:r>
      <w:r>
        <w:rPr>
          <w:color w:val="auto"/>
          <w:lang w:val="en-US"/>
        </w:rPr>
        <w:t>100g/m</w:t>
      </w:r>
      <w:r>
        <w:rPr>
          <w:color w:val="auto"/>
          <w:vertAlign w:val="superscript"/>
          <w:lang w:val="en-US"/>
        </w:rPr>
        <w:t>3</w:t>
      </w:r>
      <w:r>
        <w:rPr>
          <w:color w:val="auto"/>
          <w:lang w:val="en-US"/>
        </w:rPr>
        <w:t>。与其他</w:t>
      </w:r>
      <w:r>
        <w:rPr>
          <w:color w:val="auto"/>
          <w:lang w:val="en-US"/>
        </w:rPr>
        <w:t>SCR</w:t>
      </w:r>
      <w:r>
        <w:rPr>
          <w:color w:val="auto"/>
          <w:lang w:val="en-US"/>
        </w:rPr>
        <w:t>方式相比，具有系统阻力增加小、运行电耗低的特点，但因烟气含尘量高，易引起催化剂磨损、堵塞以及碱金属和重金属中毒等问题，故宜选择孔径较大的催化剂，再配备高频次的声波</w:t>
      </w:r>
      <w:r>
        <w:rPr>
          <w:color w:val="auto"/>
          <w:lang w:val="en-US"/>
        </w:rPr>
        <w:t>+</w:t>
      </w:r>
      <w:r>
        <w:rPr>
          <w:color w:val="auto"/>
          <w:lang w:val="en-US"/>
        </w:rPr>
        <w:t>耙式组合方式清灰。</w:t>
      </w:r>
    </w:p>
    <w:p w14:paraId="23C3C553" w14:textId="77777777" w:rsidR="002E474C" w:rsidRDefault="00000000">
      <w:pPr>
        <w:pStyle w:val="A-z"/>
        <w:rPr>
          <w:color w:val="auto"/>
          <w:lang w:val="en-US"/>
        </w:rPr>
      </w:pPr>
      <w:r>
        <w:rPr>
          <w:color w:val="auto"/>
          <w:lang w:val="en-US"/>
        </w:rPr>
        <w:t>（</w:t>
      </w:r>
      <w:r>
        <w:rPr>
          <w:color w:val="auto"/>
          <w:lang w:val="en-US"/>
        </w:rPr>
        <w:t>2</w:t>
      </w:r>
      <w:r>
        <w:rPr>
          <w:color w:val="auto"/>
          <w:lang w:val="en-US"/>
        </w:rPr>
        <w:t>）高温中尘</w:t>
      </w:r>
      <w:r>
        <w:rPr>
          <w:color w:val="auto"/>
          <w:lang w:val="en-US"/>
        </w:rPr>
        <w:t>SCR</w:t>
      </w:r>
      <w:r>
        <w:rPr>
          <w:color w:val="auto"/>
          <w:lang w:val="en-US"/>
        </w:rPr>
        <w:t>方式将高温电除尘和</w:t>
      </w:r>
      <w:r>
        <w:rPr>
          <w:color w:val="auto"/>
          <w:lang w:val="en-US"/>
        </w:rPr>
        <w:t>SCR</w:t>
      </w:r>
      <w:r>
        <w:rPr>
          <w:color w:val="auto"/>
          <w:lang w:val="en-US"/>
        </w:rPr>
        <w:t>反应系统安装在窑尾预热器系统出口之后、余热利用系统之前，一电场或二电场高温电除尘作为脱硝反应装置预除尘设备，进入脱硝反应器的烟气温度范围为</w:t>
      </w:r>
      <w:r>
        <w:rPr>
          <w:color w:val="auto"/>
          <w:lang w:val="en-US"/>
        </w:rPr>
        <w:t>280℃</w:t>
      </w:r>
      <w:r>
        <w:rPr>
          <w:color w:val="auto"/>
          <w:lang w:val="en-US"/>
        </w:rPr>
        <w:t>～</w:t>
      </w:r>
      <w:r>
        <w:rPr>
          <w:color w:val="auto"/>
          <w:lang w:val="en-US"/>
        </w:rPr>
        <w:t>350℃</w:t>
      </w:r>
      <w:r>
        <w:rPr>
          <w:color w:val="auto"/>
          <w:lang w:val="en-US"/>
        </w:rPr>
        <w:t>，颗粒物浓度可降低至</w:t>
      </w:r>
      <w:r>
        <w:rPr>
          <w:color w:val="auto"/>
          <w:lang w:val="en-US"/>
        </w:rPr>
        <w:t>50g/m</w:t>
      </w:r>
      <w:r>
        <w:rPr>
          <w:color w:val="auto"/>
          <w:vertAlign w:val="superscript"/>
          <w:lang w:val="en-US"/>
        </w:rPr>
        <w:t>3</w:t>
      </w:r>
      <w:r>
        <w:rPr>
          <w:color w:val="auto"/>
          <w:lang w:val="en-US"/>
        </w:rPr>
        <w:t>以下，与高温高尘</w:t>
      </w:r>
      <w:r>
        <w:rPr>
          <w:color w:val="auto"/>
          <w:lang w:val="en-US"/>
        </w:rPr>
        <w:t>SCR</w:t>
      </w:r>
      <w:r>
        <w:rPr>
          <w:color w:val="auto"/>
          <w:lang w:val="en-US"/>
        </w:rPr>
        <w:t>方式相比，催化剂磨损和堵塞问题得以缓解。宜采用超声波</w:t>
      </w:r>
      <w:r>
        <w:rPr>
          <w:color w:val="auto"/>
          <w:lang w:val="en-US"/>
        </w:rPr>
        <w:t>+</w:t>
      </w:r>
      <w:r>
        <w:rPr>
          <w:color w:val="auto"/>
          <w:lang w:val="en-US"/>
        </w:rPr>
        <w:t>耙式组合方式清灰。</w:t>
      </w:r>
    </w:p>
    <w:p w14:paraId="2875CAE2" w14:textId="77777777" w:rsidR="002E474C" w:rsidRDefault="00000000">
      <w:pPr>
        <w:pStyle w:val="A-z"/>
        <w:ind w:firstLine="456"/>
        <w:rPr>
          <w:color w:val="auto"/>
          <w:spacing w:val="-6"/>
          <w:lang w:val="en-US"/>
        </w:rPr>
      </w:pPr>
      <w:r>
        <w:rPr>
          <w:color w:val="auto"/>
          <w:spacing w:val="-6"/>
          <w:lang w:val="en-US"/>
        </w:rPr>
        <w:lastRenderedPageBreak/>
        <w:t>（</w:t>
      </w:r>
      <w:r>
        <w:rPr>
          <w:color w:val="auto"/>
          <w:spacing w:val="-6"/>
          <w:lang w:val="en-US"/>
        </w:rPr>
        <w:t>3</w:t>
      </w:r>
      <w:r>
        <w:rPr>
          <w:color w:val="auto"/>
          <w:spacing w:val="-6"/>
          <w:lang w:val="en-US"/>
        </w:rPr>
        <w:t>）高温低尘</w:t>
      </w:r>
      <w:r>
        <w:rPr>
          <w:color w:val="auto"/>
          <w:spacing w:val="-6"/>
          <w:lang w:val="en-US"/>
        </w:rPr>
        <w:t>SCR</w:t>
      </w:r>
      <w:r>
        <w:rPr>
          <w:color w:val="auto"/>
          <w:spacing w:val="-6"/>
          <w:lang w:val="en-US"/>
        </w:rPr>
        <w:t>方式将除尘器和</w:t>
      </w:r>
      <w:r>
        <w:rPr>
          <w:color w:val="auto"/>
          <w:spacing w:val="-6"/>
          <w:lang w:val="en-US"/>
        </w:rPr>
        <w:t>SCR</w:t>
      </w:r>
      <w:r>
        <w:rPr>
          <w:color w:val="auto"/>
          <w:spacing w:val="-6"/>
          <w:lang w:val="en-US"/>
        </w:rPr>
        <w:t>反应系统安装在水泥窑预热器系统出口之后、余热利用系统之前，从预热器系统出口引出高温高尘烟气，经过喇叭口先进行旋风预收尘，然后进入高温电除尘器进行二级收尘，再经过高温金属滤袋进行三级收尘，在金属滤袋区净气室设置</w:t>
      </w:r>
      <w:proofErr w:type="spellStart"/>
      <w:r>
        <w:rPr>
          <w:color w:val="auto"/>
          <w:spacing w:val="-6"/>
          <w:lang w:val="en-US"/>
        </w:rPr>
        <w:t>SCR</w:t>
      </w:r>
      <w:proofErr w:type="spellEnd"/>
      <w:r>
        <w:rPr>
          <w:color w:val="auto"/>
          <w:spacing w:val="-6"/>
          <w:lang w:val="en-US"/>
        </w:rPr>
        <w:t>脱硝反应器，进入脱硝反应器的烟气温度范围为</w:t>
      </w:r>
      <w:r>
        <w:rPr>
          <w:color w:val="auto"/>
          <w:spacing w:val="-6"/>
          <w:lang w:val="en-US"/>
        </w:rPr>
        <w:t>280℃</w:t>
      </w:r>
      <w:r>
        <w:rPr>
          <w:color w:val="auto"/>
          <w:spacing w:val="-6"/>
          <w:lang w:val="en-US"/>
        </w:rPr>
        <w:t>～</w:t>
      </w:r>
      <w:r>
        <w:rPr>
          <w:color w:val="auto"/>
          <w:spacing w:val="-6"/>
          <w:lang w:val="en-US"/>
        </w:rPr>
        <w:t>350℃</w:t>
      </w:r>
      <w:r>
        <w:rPr>
          <w:color w:val="auto"/>
          <w:spacing w:val="-6"/>
          <w:lang w:val="en-US"/>
        </w:rPr>
        <w:t>，颗粒物浓度可降低至</w:t>
      </w:r>
      <w:r>
        <w:rPr>
          <w:color w:val="auto"/>
          <w:spacing w:val="-6"/>
          <w:lang w:val="en-US"/>
        </w:rPr>
        <w:t>10mg/m</w:t>
      </w:r>
      <w:r>
        <w:rPr>
          <w:color w:val="auto"/>
          <w:spacing w:val="-6"/>
          <w:vertAlign w:val="superscript"/>
          <w:lang w:val="en-US"/>
        </w:rPr>
        <w:t>3</w:t>
      </w:r>
      <w:r>
        <w:rPr>
          <w:color w:val="auto"/>
          <w:spacing w:val="-6"/>
          <w:lang w:val="en-US"/>
        </w:rPr>
        <w:t>以下。与其他</w:t>
      </w:r>
      <w:r>
        <w:rPr>
          <w:color w:val="auto"/>
          <w:spacing w:val="-6"/>
          <w:lang w:val="en-US"/>
        </w:rPr>
        <w:t>SCR</w:t>
      </w:r>
      <w:r>
        <w:rPr>
          <w:color w:val="auto"/>
          <w:spacing w:val="-6"/>
          <w:lang w:val="en-US"/>
        </w:rPr>
        <w:t>方式相比，可解决催化剂磨损和堵塞问题，脱硝效率更高，但投资成本高。</w:t>
      </w:r>
    </w:p>
    <w:p w14:paraId="49F50FC0" w14:textId="77777777" w:rsidR="002E474C" w:rsidRDefault="00000000">
      <w:pPr>
        <w:pStyle w:val="A-z"/>
        <w:rPr>
          <w:color w:val="auto"/>
          <w:lang w:val="en-US"/>
        </w:rPr>
      </w:pPr>
      <w:r>
        <w:rPr>
          <w:color w:val="auto"/>
          <w:lang w:val="en-US"/>
        </w:rPr>
        <w:t>（</w:t>
      </w:r>
      <w:r>
        <w:rPr>
          <w:color w:val="auto"/>
          <w:lang w:val="en-US"/>
        </w:rPr>
        <w:t>4</w:t>
      </w:r>
      <w:r>
        <w:rPr>
          <w:color w:val="auto"/>
          <w:lang w:val="en-US"/>
        </w:rPr>
        <w:t>）中温中尘</w:t>
      </w:r>
      <w:r>
        <w:rPr>
          <w:color w:val="auto"/>
          <w:lang w:val="en-US"/>
        </w:rPr>
        <w:t>SCR</w:t>
      </w:r>
      <w:r>
        <w:rPr>
          <w:color w:val="auto"/>
          <w:lang w:val="en-US"/>
        </w:rPr>
        <w:t>方式将</w:t>
      </w:r>
      <w:r>
        <w:rPr>
          <w:color w:val="auto"/>
          <w:lang w:val="en-US"/>
        </w:rPr>
        <w:t>SCR</w:t>
      </w:r>
      <w:r>
        <w:rPr>
          <w:color w:val="auto"/>
          <w:lang w:val="en-US"/>
        </w:rPr>
        <w:t>反应系统安装在余热利用系统与高温风机之间或增湿塔出口后，进入脱硝反应器的烟气温度为</w:t>
      </w:r>
      <w:r>
        <w:rPr>
          <w:color w:val="auto"/>
          <w:lang w:val="en-US"/>
        </w:rPr>
        <w:t>180℃</w:t>
      </w:r>
      <w:r>
        <w:rPr>
          <w:color w:val="auto"/>
          <w:lang w:val="en-US"/>
        </w:rPr>
        <w:t>～</w:t>
      </w:r>
      <w:r>
        <w:rPr>
          <w:color w:val="auto"/>
          <w:lang w:val="en-US"/>
        </w:rPr>
        <w:t>220℃</w:t>
      </w:r>
      <w:r>
        <w:rPr>
          <w:color w:val="auto"/>
          <w:lang w:val="en-US"/>
        </w:rPr>
        <w:t>，颗粒物浓度为</w:t>
      </w:r>
      <w:r>
        <w:rPr>
          <w:color w:val="auto"/>
          <w:lang w:val="en-US"/>
        </w:rPr>
        <w:t>20g/m</w:t>
      </w:r>
      <w:r>
        <w:rPr>
          <w:color w:val="auto"/>
          <w:vertAlign w:val="superscript"/>
          <w:lang w:val="en-US"/>
        </w:rPr>
        <w:t>3</w:t>
      </w:r>
      <w:r>
        <w:rPr>
          <w:color w:val="auto"/>
          <w:lang w:val="en-US"/>
        </w:rPr>
        <w:t>～</w:t>
      </w:r>
      <w:r>
        <w:rPr>
          <w:color w:val="auto"/>
          <w:lang w:val="en-US"/>
        </w:rPr>
        <w:t>50g/m</w:t>
      </w:r>
      <w:r>
        <w:rPr>
          <w:color w:val="auto"/>
          <w:vertAlign w:val="superscript"/>
          <w:lang w:val="en-US"/>
        </w:rPr>
        <w:t>3</w:t>
      </w:r>
      <w:r>
        <w:rPr>
          <w:color w:val="auto"/>
          <w:lang w:val="en-US"/>
        </w:rPr>
        <w:t>。与其他</w:t>
      </w:r>
      <w:r>
        <w:rPr>
          <w:color w:val="auto"/>
          <w:lang w:val="en-US"/>
        </w:rPr>
        <w:t>SCR</w:t>
      </w:r>
      <w:r>
        <w:rPr>
          <w:color w:val="auto"/>
          <w:lang w:val="en-US"/>
        </w:rPr>
        <w:t>方式相比，具有布置灵活的特点，但脱硝效率较低，且应选用中低温催化剂。</w:t>
      </w:r>
    </w:p>
    <w:p w14:paraId="596A15CF" w14:textId="77777777" w:rsidR="002E474C" w:rsidRDefault="00000000">
      <w:pPr>
        <w:pStyle w:val="A-z"/>
        <w:rPr>
          <w:color w:val="auto"/>
          <w:lang w:val="en-US"/>
        </w:rPr>
      </w:pPr>
      <w:r>
        <w:rPr>
          <w:color w:val="auto"/>
          <w:lang w:val="en-US"/>
        </w:rPr>
        <w:t>根据现有回转窑在线数据氮氧化物排放情况，按烟气中氮氧化物平均浓度</w:t>
      </w:r>
      <w:r>
        <w:rPr>
          <w:color w:val="auto"/>
          <w:lang w:val="en-US"/>
        </w:rPr>
        <w:t>200mg/m</w:t>
      </w:r>
      <w:r>
        <w:rPr>
          <w:color w:val="auto"/>
          <w:vertAlign w:val="superscript"/>
          <w:lang w:val="en-US"/>
        </w:rPr>
        <w:t>3</w:t>
      </w:r>
      <w:r>
        <w:rPr>
          <w:color w:val="auto"/>
          <w:lang w:val="en-US"/>
        </w:rPr>
        <w:t>，</w:t>
      </w:r>
      <w:r>
        <w:rPr>
          <w:color w:val="auto"/>
        </w:rPr>
        <w:t>最大值</w:t>
      </w:r>
      <w:r>
        <w:rPr>
          <w:color w:val="auto"/>
        </w:rPr>
        <w:t>250mg/Nm</w:t>
      </w:r>
      <w:r>
        <w:rPr>
          <w:color w:val="auto"/>
          <w:vertAlign w:val="superscript"/>
        </w:rPr>
        <w:t>3</w:t>
      </w:r>
      <w:r>
        <w:rPr>
          <w:color w:val="auto"/>
        </w:rPr>
        <w:t>计，</w:t>
      </w:r>
      <w:r>
        <w:rPr>
          <w:color w:val="auto"/>
          <w:lang w:val="en-US"/>
        </w:rPr>
        <w:t>新增</w:t>
      </w:r>
      <w:r>
        <w:rPr>
          <w:color w:val="auto"/>
          <w:lang w:val="en-US"/>
        </w:rPr>
        <w:t>SCR</w:t>
      </w:r>
      <w:r>
        <w:rPr>
          <w:color w:val="auto"/>
          <w:lang w:val="en-US"/>
        </w:rPr>
        <w:t>工艺选用高温高程</w:t>
      </w:r>
      <w:r>
        <w:rPr>
          <w:color w:val="auto"/>
          <w:lang w:val="en-US"/>
        </w:rPr>
        <w:t>SCR</w:t>
      </w:r>
      <w:r>
        <w:rPr>
          <w:color w:val="auto"/>
          <w:lang w:val="en-US"/>
        </w:rPr>
        <w:t>设计方案，在设计效率</w:t>
      </w:r>
      <w:r>
        <w:rPr>
          <w:color w:val="auto"/>
          <w:lang w:val="en-US"/>
        </w:rPr>
        <w:t>80%</w:t>
      </w:r>
      <w:r>
        <w:rPr>
          <w:color w:val="auto"/>
          <w:lang w:val="en-US"/>
        </w:rPr>
        <w:t>时，窑尾烟气中的氮氧化物排放平均浓度为</w:t>
      </w:r>
      <w:r>
        <w:rPr>
          <w:color w:val="auto"/>
          <w:lang w:val="en-US"/>
        </w:rPr>
        <w:t>40mg/m</w:t>
      </w:r>
      <w:r>
        <w:rPr>
          <w:color w:val="auto"/>
          <w:vertAlign w:val="superscript"/>
          <w:lang w:val="en-US"/>
        </w:rPr>
        <w:t>3</w:t>
      </w:r>
      <w:r>
        <w:rPr>
          <w:color w:val="auto"/>
          <w:lang w:val="en-US"/>
        </w:rPr>
        <w:t>，最大浓度不超过</w:t>
      </w:r>
      <w:r>
        <w:rPr>
          <w:color w:val="auto"/>
          <w:lang w:val="en-US"/>
        </w:rPr>
        <w:t>50mg/m</w:t>
      </w:r>
      <w:r>
        <w:rPr>
          <w:color w:val="auto"/>
          <w:vertAlign w:val="superscript"/>
          <w:lang w:val="en-US"/>
        </w:rPr>
        <w:t>3</w:t>
      </w:r>
      <w:r>
        <w:rPr>
          <w:color w:val="auto"/>
          <w:lang w:val="en-US"/>
        </w:rPr>
        <w:t>，</w:t>
      </w:r>
      <w:r>
        <w:rPr>
          <w:color w:val="auto"/>
          <w:lang w:val="en-US"/>
        </w:rPr>
        <w:t>SNCR+SCR</w:t>
      </w:r>
      <w:r>
        <w:rPr>
          <w:color w:val="auto"/>
          <w:lang w:val="en-US"/>
        </w:rPr>
        <w:t>综合脱硝效率为</w:t>
      </w:r>
      <w:r>
        <w:rPr>
          <w:color w:val="auto"/>
          <w:lang w:val="en-US"/>
        </w:rPr>
        <w:t>94%</w:t>
      </w:r>
      <w:r>
        <w:rPr>
          <w:color w:val="auto"/>
          <w:lang w:val="en-US"/>
        </w:rPr>
        <w:t>，可确保窑尾烟气稳定达到《关于推进实施水泥行业超低排放的意见》（环大气〔</w:t>
      </w:r>
      <w:r>
        <w:rPr>
          <w:color w:val="auto"/>
          <w:lang w:val="en-US"/>
        </w:rPr>
        <w:t>2024</w:t>
      </w:r>
      <w:r>
        <w:rPr>
          <w:color w:val="auto"/>
          <w:lang w:val="en-US"/>
        </w:rPr>
        <w:t>〕</w:t>
      </w:r>
      <w:r>
        <w:rPr>
          <w:color w:val="auto"/>
          <w:lang w:val="en-US"/>
        </w:rPr>
        <w:t>5</w:t>
      </w:r>
      <w:r>
        <w:rPr>
          <w:color w:val="auto"/>
          <w:lang w:val="en-US"/>
        </w:rPr>
        <w:t>号）中附表</w:t>
      </w:r>
      <w:r>
        <w:rPr>
          <w:color w:val="auto"/>
          <w:lang w:val="en-US"/>
        </w:rPr>
        <w:t>1</w:t>
      </w:r>
      <w:r>
        <w:rPr>
          <w:color w:val="auto"/>
          <w:lang w:val="en-US"/>
        </w:rPr>
        <w:t>排放控制要求。</w:t>
      </w:r>
    </w:p>
    <w:p w14:paraId="55D396F7" w14:textId="77777777" w:rsidR="002E474C" w:rsidRDefault="00000000">
      <w:pPr>
        <w:pStyle w:val="A-z"/>
        <w:rPr>
          <w:color w:val="auto"/>
          <w:lang w:val="en-US"/>
        </w:rPr>
      </w:pPr>
      <w:r>
        <w:rPr>
          <w:color w:val="auto"/>
          <w:lang w:val="en-US"/>
        </w:rPr>
        <w:t>本项目建设前后</w:t>
      </w:r>
      <w:r>
        <w:rPr>
          <w:color w:val="auto"/>
          <w:lang w:val="en-US"/>
        </w:rPr>
        <w:t>NOx</w:t>
      </w:r>
      <w:r>
        <w:rPr>
          <w:color w:val="auto"/>
          <w:lang w:val="en-US"/>
        </w:rPr>
        <w:t>污染防治措施对比情况，见表</w:t>
      </w:r>
      <w:r>
        <w:rPr>
          <w:color w:val="auto"/>
          <w:lang w:val="en-US"/>
        </w:rPr>
        <w:t>6.1-1</w:t>
      </w:r>
      <w:r>
        <w:rPr>
          <w:color w:val="auto"/>
          <w:lang w:val="en-US"/>
        </w:rPr>
        <w:t>。</w:t>
      </w:r>
    </w:p>
    <w:p w14:paraId="315369BB" w14:textId="77777777" w:rsidR="002E474C" w:rsidRDefault="00000000">
      <w:pPr>
        <w:pStyle w:val="A--"/>
        <w:rPr>
          <w:color w:val="auto"/>
        </w:rPr>
      </w:pPr>
      <w:r>
        <w:rPr>
          <w:color w:val="auto"/>
        </w:rPr>
        <w:t>表</w:t>
      </w:r>
      <w:r>
        <w:rPr>
          <w:color w:val="auto"/>
        </w:rPr>
        <w:t xml:space="preserve">6.1-1  </w:t>
      </w:r>
      <w:r>
        <w:rPr>
          <w:color w:val="auto"/>
        </w:rPr>
        <w:t>超低排放改造前后</w:t>
      </w:r>
      <w:r>
        <w:rPr>
          <w:color w:val="auto"/>
        </w:rPr>
        <w:t>NOx</w:t>
      </w:r>
      <w:r>
        <w:rPr>
          <w:color w:val="auto"/>
        </w:rPr>
        <w:t>污染防治措施对比情况</w:t>
      </w:r>
    </w:p>
    <w:tbl>
      <w:tblPr>
        <w:tblStyle w:val="affff9"/>
        <w:tblW w:w="4998"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1149"/>
        <w:gridCol w:w="2140"/>
        <w:gridCol w:w="1423"/>
        <w:gridCol w:w="2057"/>
        <w:gridCol w:w="1504"/>
      </w:tblGrid>
      <w:tr w:rsidR="002E474C" w14:paraId="0182587D" w14:textId="77777777">
        <w:tc>
          <w:tcPr>
            <w:tcW w:w="694" w:type="pct"/>
            <w:vMerge w:val="restart"/>
            <w:tcBorders>
              <w:top w:val="single" w:sz="12" w:space="0" w:color="auto"/>
              <w:left w:val="single" w:sz="12" w:space="0" w:color="auto"/>
              <w:bottom w:val="single" w:sz="12" w:space="0" w:color="auto"/>
              <w:right w:val="single" w:sz="4" w:space="0" w:color="auto"/>
            </w:tcBorders>
            <w:vAlign w:val="center"/>
          </w:tcPr>
          <w:p w14:paraId="680C0944" w14:textId="77777777" w:rsidR="002E474C" w:rsidRDefault="00000000">
            <w:pPr>
              <w:pStyle w:val="A-"/>
            </w:pPr>
            <w:r>
              <w:t>NOx</w:t>
            </w:r>
            <w:r>
              <w:t>污染</w:t>
            </w:r>
          </w:p>
          <w:p w14:paraId="30CC69D8" w14:textId="77777777" w:rsidR="002E474C" w:rsidRDefault="00000000">
            <w:pPr>
              <w:pStyle w:val="A-"/>
            </w:pPr>
            <w:r>
              <w:t>防治措施</w:t>
            </w:r>
          </w:p>
        </w:tc>
        <w:tc>
          <w:tcPr>
            <w:tcW w:w="2153" w:type="pct"/>
            <w:gridSpan w:val="2"/>
            <w:tcBorders>
              <w:top w:val="single" w:sz="12" w:space="0" w:color="auto"/>
              <w:left w:val="single" w:sz="4" w:space="0" w:color="auto"/>
              <w:bottom w:val="single" w:sz="4" w:space="0" w:color="auto"/>
              <w:right w:val="single" w:sz="4" w:space="0" w:color="auto"/>
            </w:tcBorders>
            <w:vAlign w:val="center"/>
          </w:tcPr>
          <w:p w14:paraId="2D054BC7" w14:textId="77777777" w:rsidR="002E474C" w:rsidRDefault="00000000">
            <w:pPr>
              <w:pStyle w:val="A-"/>
            </w:pPr>
            <w:r>
              <w:t>现有工程</w:t>
            </w:r>
          </w:p>
        </w:tc>
        <w:tc>
          <w:tcPr>
            <w:tcW w:w="2152" w:type="pct"/>
            <w:gridSpan w:val="2"/>
            <w:tcBorders>
              <w:top w:val="single" w:sz="12" w:space="0" w:color="auto"/>
              <w:left w:val="single" w:sz="4" w:space="0" w:color="auto"/>
              <w:bottom w:val="single" w:sz="4" w:space="0" w:color="auto"/>
              <w:right w:val="single" w:sz="12" w:space="0" w:color="auto"/>
            </w:tcBorders>
            <w:vAlign w:val="center"/>
          </w:tcPr>
          <w:p w14:paraId="3F38CFA2" w14:textId="77777777" w:rsidR="002E474C" w:rsidRDefault="00000000">
            <w:pPr>
              <w:pStyle w:val="A-"/>
            </w:pPr>
            <w:r>
              <w:t>改造后项目情况</w:t>
            </w:r>
          </w:p>
        </w:tc>
      </w:tr>
      <w:tr w:rsidR="002E474C" w14:paraId="7D81B92B" w14:textId="77777777">
        <w:tc>
          <w:tcPr>
            <w:tcW w:w="0" w:type="auto"/>
            <w:vMerge/>
            <w:tcBorders>
              <w:top w:val="single" w:sz="12" w:space="0" w:color="auto"/>
              <w:left w:val="single" w:sz="12" w:space="0" w:color="auto"/>
              <w:bottom w:val="single" w:sz="12" w:space="0" w:color="auto"/>
              <w:right w:val="single" w:sz="4" w:space="0" w:color="auto"/>
            </w:tcBorders>
            <w:vAlign w:val="center"/>
          </w:tcPr>
          <w:p w14:paraId="008976B3" w14:textId="77777777" w:rsidR="002E474C" w:rsidRDefault="002E474C">
            <w:pPr>
              <w:pStyle w:val="A-"/>
            </w:pPr>
          </w:p>
        </w:tc>
        <w:tc>
          <w:tcPr>
            <w:tcW w:w="1293" w:type="pct"/>
            <w:tcBorders>
              <w:top w:val="single" w:sz="4" w:space="0" w:color="auto"/>
              <w:left w:val="single" w:sz="4" w:space="0" w:color="auto"/>
              <w:bottom w:val="single" w:sz="4" w:space="0" w:color="auto"/>
              <w:right w:val="single" w:sz="4" w:space="0" w:color="auto"/>
            </w:tcBorders>
            <w:vAlign w:val="center"/>
          </w:tcPr>
          <w:p w14:paraId="349B68DA" w14:textId="77777777" w:rsidR="002E474C" w:rsidRDefault="00000000">
            <w:pPr>
              <w:pStyle w:val="A-"/>
            </w:pPr>
            <w:r>
              <w:t>治理措施</w:t>
            </w:r>
          </w:p>
        </w:tc>
        <w:tc>
          <w:tcPr>
            <w:tcW w:w="860" w:type="pct"/>
            <w:tcBorders>
              <w:top w:val="single" w:sz="4" w:space="0" w:color="auto"/>
              <w:left w:val="single" w:sz="4" w:space="0" w:color="auto"/>
              <w:bottom w:val="single" w:sz="4" w:space="0" w:color="auto"/>
              <w:right w:val="single" w:sz="4" w:space="0" w:color="auto"/>
            </w:tcBorders>
            <w:vAlign w:val="center"/>
          </w:tcPr>
          <w:p w14:paraId="49123E88" w14:textId="77777777" w:rsidR="002E474C" w:rsidRDefault="00000000">
            <w:pPr>
              <w:pStyle w:val="A-"/>
            </w:pPr>
            <w:r>
              <w:t>处理效率</w:t>
            </w:r>
          </w:p>
        </w:tc>
        <w:tc>
          <w:tcPr>
            <w:tcW w:w="1243" w:type="pct"/>
            <w:tcBorders>
              <w:top w:val="single" w:sz="4" w:space="0" w:color="auto"/>
              <w:left w:val="single" w:sz="4" w:space="0" w:color="auto"/>
              <w:bottom w:val="single" w:sz="4" w:space="0" w:color="auto"/>
              <w:right w:val="single" w:sz="4" w:space="0" w:color="auto"/>
            </w:tcBorders>
            <w:vAlign w:val="center"/>
          </w:tcPr>
          <w:p w14:paraId="5BF5D5F6" w14:textId="77777777" w:rsidR="002E474C" w:rsidRDefault="00000000">
            <w:pPr>
              <w:pStyle w:val="A-"/>
            </w:pPr>
            <w:r>
              <w:t>治理措施</w:t>
            </w:r>
          </w:p>
        </w:tc>
        <w:tc>
          <w:tcPr>
            <w:tcW w:w="909" w:type="pct"/>
            <w:tcBorders>
              <w:top w:val="single" w:sz="4" w:space="0" w:color="auto"/>
              <w:left w:val="single" w:sz="4" w:space="0" w:color="auto"/>
              <w:bottom w:val="single" w:sz="4" w:space="0" w:color="auto"/>
              <w:right w:val="single" w:sz="12" w:space="0" w:color="auto"/>
            </w:tcBorders>
            <w:vAlign w:val="center"/>
          </w:tcPr>
          <w:p w14:paraId="011E2BC4" w14:textId="77777777" w:rsidR="002E474C" w:rsidRDefault="00000000">
            <w:pPr>
              <w:pStyle w:val="A-"/>
            </w:pPr>
            <w:r>
              <w:t>处理效率</w:t>
            </w:r>
          </w:p>
        </w:tc>
      </w:tr>
      <w:tr w:rsidR="002E474C" w14:paraId="5969C7B7" w14:textId="77777777">
        <w:tc>
          <w:tcPr>
            <w:tcW w:w="0" w:type="auto"/>
            <w:vMerge/>
            <w:tcBorders>
              <w:top w:val="single" w:sz="12" w:space="0" w:color="auto"/>
              <w:left w:val="single" w:sz="12" w:space="0" w:color="auto"/>
              <w:bottom w:val="single" w:sz="12" w:space="0" w:color="auto"/>
              <w:right w:val="single" w:sz="4" w:space="0" w:color="auto"/>
            </w:tcBorders>
            <w:vAlign w:val="center"/>
          </w:tcPr>
          <w:p w14:paraId="74A9A4F3" w14:textId="77777777" w:rsidR="002E474C" w:rsidRDefault="002E474C">
            <w:pPr>
              <w:pStyle w:val="A-"/>
            </w:pPr>
          </w:p>
        </w:tc>
        <w:tc>
          <w:tcPr>
            <w:tcW w:w="1293" w:type="pct"/>
            <w:tcBorders>
              <w:top w:val="single" w:sz="4" w:space="0" w:color="auto"/>
              <w:left w:val="single" w:sz="4" w:space="0" w:color="auto"/>
              <w:bottom w:val="single" w:sz="12" w:space="0" w:color="auto"/>
              <w:right w:val="single" w:sz="4" w:space="0" w:color="auto"/>
            </w:tcBorders>
            <w:vAlign w:val="center"/>
          </w:tcPr>
          <w:p w14:paraId="2B29ED19" w14:textId="77777777" w:rsidR="002E474C" w:rsidRDefault="00000000">
            <w:pPr>
              <w:pStyle w:val="A-"/>
            </w:pPr>
            <w:r>
              <w:t>SNCR</w:t>
            </w:r>
          </w:p>
        </w:tc>
        <w:tc>
          <w:tcPr>
            <w:tcW w:w="860" w:type="pct"/>
            <w:tcBorders>
              <w:top w:val="single" w:sz="4" w:space="0" w:color="auto"/>
              <w:left w:val="single" w:sz="4" w:space="0" w:color="auto"/>
              <w:bottom w:val="single" w:sz="12" w:space="0" w:color="auto"/>
              <w:right w:val="single" w:sz="4" w:space="0" w:color="auto"/>
            </w:tcBorders>
            <w:vAlign w:val="center"/>
          </w:tcPr>
          <w:p w14:paraId="0279A470" w14:textId="77777777" w:rsidR="002E474C" w:rsidRDefault="00000000">
            <w:pPr>
              <w:pStyle w:val="A-"/>
            </w:pPr>
            <w:r>
              <w:t>70%</w:t>
            </w:r>
          </w:p>
        </w:tc>
        <w:tc>
          <w:tcPr>
            <w:tcW w:w="1243" w:type="pct"/>
            <w:tcBorders>
              <w:top w:val="single" w:sz="4" w:space="0" w:color="auto"/>
              <w:left w:val="single" w:sz="4" w:space="0" w:color="auto"/>
              <w:bottom w:val="single" w:sz="12" w:space="0" w:color="auto"/>
              <w:right w:val="single" w:sz="4" w:space="0" w:color="auto"/>
            </w:tcBorders>
            <w:vAlign w:val="center"/>
          </w:tcPr>
          <w:p w14:paraId="0FA613B0" w14:textId="77777777" w:rsidR="002E474C" w:rsidRDefault="00000000">
            <w:pPr>
              <w:pStyle w:val="A-"/>
            </w:pPr>
            <w:r>
              <w:t>SNCR+SCR</w:t>
            </w:r>
          </w:p>
        </w:tc>
        <w:tc>
          <w:tcPr>
            <w:tcW w:w="909" w:type="pct"/>
            <w:tcBorders>
              <w:top w:val="single" w:sz="4" w:space="0" w:color="auto"/>
              <w:left w:val="single" w:sz="4" w:space="0" w:color="auto"/>
              <w:bottom w:val="single" w:sz="12" w:space="0" w:color="auto"/>
              <w:right w:val="single" w:sz="12" w:space="0" w:color="auto"/>
            </w:tcBorders>
            <w:vAlign w:val="center"/>
          </w:tcPr>
          <w:p w14:paraId="714E06DA" w14:textId="77777777" w:rsidR="002E474C" w:rsidRDefault="00000000">
            <w:pPr>
              <w:pStyle w:val="A-"/>
            </w:pPr>
            <w:r>
              <w:t>94%</w:t>
            </w:r>
          </w:p>
        </w:tc>
      </w:tr>
    </w:tbl>
    <w:p w14:paraId="4A1F8E52" w14:textId="77777777" w:rsidR="002E474C" w:rsidRDefault="002E474C">
      <w:pPr>
        <w:pStyle w:val="w3"/>
      </w:pPr>
    </w:p>
    <w:p w14:paraId="37A3CDA3" w14:textId="77777777" w:rsidR="002E474C" w:rsidRDefault="00000000">
      <w:pPr>
        <w:pStyle w:val="31"/>
        <w:spacing w:before="120" w:after="120"/>
        <w:rPr>
          <w:color w:val="auto"/>
        </w:rPr>
      </w:pPr>
      <w:r>
        <w:rPr>
          <w:color w:val="auto"/>
        </w:rPr>
        <w:t>无组织废气控制措施</w:t>
      </w:r>
    </w:p>
    <w:p w14:paraId="2214A4A2" w14:textId="77777777" w:rsidR="002E474C" w:rsidRDefault="00000000">
      <w:pPr>
        <w:pStyle w:val="A-z"/>
        <w:rPr>
          <w:color w:val="auto"/>
        </w:rPr>
      </w:pPr>
      <w:r>
        <w:rPr>
          <w:color w:val="auto"/>
        </w:rPr>
        <w:t>项目无组织废气主要来自危废贮存库、固态危废预处理车间。</w:t>
      </w:r>
    </w:p>
    <w:p w14:paraId="0CFC9A18" w14:textId="77777777" w:rsidR="002E474C" w:rsidRDefault="00000000">
      <w:pPr>
        <w:pStyle w:val="A-z"/>
        <w:rPr>
          <w:color w:val="auto"/>
        </w:rPr>
      </w:pPr>
      <w:r>
        <w:rPr>
          <w:color w:val="auto"/>
        </w:rPr>
        <w:t>针对固态危废预处理车间内的破碎间，含尘废气采用集气罩</w:t>
      </w:r>
      <w:r>
        <w:rPr>
          <w:color w:val="auto"/>
        </w:rPr>
        <w:t>+</w:t>
      </w:r>
      <w:r>
        <w:rPr>
          <w:color w:val="auto"/>
        </w:rPr>
        <w:t>布袋除尘器处理后在车间内排放，减少颗粒物排放。</w:t>
      </w:r>
    </w:p>
    <w:p w14:paraId="51B049E2" w14:textId="77777777" w:rsidR="002E474C" w:rsidRDefault="00000000">
      <w:pPr>
        <w:pStyle w:val="A-z"/>
        <w:rPr>
          <w:color w:val="auto"/>
        </w:rPr>
      </w:pPr>
      <w:r>
        <w:rPr>
          <w:color w:val="auto"/>
        </w:rPr>
        <w:t>针对危废贮存库和固态危废预处理车间贮存区产生的恶臭气体、非甲烷总烃等污染物，合并设置一套负压集气处理系统使贮存库及车间处于微负压状态，将贮存废气引入净化系统处理后排放。</w:t>
      </w:r>
    </w:p>
    <w:p w14:paraId="730F41A9" w14:textId="77777777" w:rsidR="002E474C" w:rsidRDefault="00000000">
      <w:pPr>
        <w:pStyle w:val="A-z"/>
        <w:rPr>
          <w:color w:val="auto"/>
        </w:rPr>
      </w:pPr>
      <w:r>
        <w:rPr>
          <w:color w:val="auto"/>
        </w:rPr>
        <w:t>液态危废经预处理中心密闭桶装入厂，在危废贮存库贮存分区内贮存，无组织废气经车间负压系统收集、处理，降低无组织挥发量。</w:t>
      </w:r>
    </w:p>
    <w:p w14:paraId="2B56D314" w14:textId="77777777" w:rsidR="002E474C" w:rsidRDefault="00000000">
      <w:pPr>
        <w:pStyle w:val="A-z"/>
        <w:rPr>
          <w:color w:val="auto"/>
        </w:rPr>
      </w:pPr>
      <w:r>
        <w:rPr>
          <w:color w:val="auto"/>
        </w:rPr>
        <w:lastRenderedPageBreak/>
        <w:t>生产运行过程中尽可能优化暂存周期，减少危废暂存时间，渗滤液收集池加盖、密封，降低恶臭气味对周围环境的影响。</w:t>
      </w:r>
    </w:p>
    <w:p w14:paraId="3CEC6249" w14:textId="77777777" w:rsidR="002E474C" w:rsidRDefault="00000000">
      <w:pPr>
        <w:pStyle w:val="A-z"/>
        <w:rPr>
          <w:color w:val="auto"/>
        </w:rPr>
      </w:pPr>
      <w:r>
        <w:rPr>
          <w:color w:val="auto"/>
        </w:rPr>
        <w:t>综上，本项目无组织废气控制措施符合</w:t>
      </w:r>
      <w:r>
        <w:rPr>
          <w:color w:val="auto"/>
          <w:lang w:val="en-US"/>
        </w:rPr>
        <w:t>《关于推进实施水泥行业超低排放的意见》（环大气〔</w:t>
      </w:r>
      <w:r>
        <w:rPr>
          <w:color w:val="auto"/>
          <w:lang w:val="en-US"/>
        </w:rPr>
        <w:t>2024</w:t>
      </w:r>
      <w:r>
        <w:rPr>
          <w:color w:val="auto"/>
          <w:lang w:val="en-US"/>
        </w:rPr>
        <w:t>〕</w:t>
      </w:r>
      <w:r>
        <w:rPr>
          <w:color w:val="auto"/>
          <w:lang w:val="en-US"/>
        </w:rPr>
        <w:t>5</w:t>
      </w:r>
      <w:r>
        <w:rPr>
          <w:color w:val="auto"/>
          <w:lang w:val="en-US"/>
        </w:rPr>
        <w:t>号）</w:t>
      </w:r>
      <w:r>
        <w:rPr>
          <w:color w:val="auto"/>
        </w:rPr>
        <w:t>《排污许可证申请与核发技术规范</w:t>
      </w:r>
      <w:r>
        <w:rPr>
          <w:color w:val="auto"/>
        </w:rPr>
        <w:t xml:space="preserve"> </w:t>
      </w:r>
      <w:r>
        <w:rPr>
          <w:color w:val="auto"/>
        </w:rPr>
        <w:t>水泥工业（</w:t>
      </w:r>
      <w:r>
        <w:rPr>
          <w:color w:val="auto"/>
        </w:rPr>
        <w:t>HJ 847-2017</w:t>
      </w:r>
      <w:r>
        <w:rPr>
          <w:color w:val="auto"/>
        </w:rPr>
        <w:t>）》无组织排放控制要求。无组织排放的</w:t>
      </w:r>
      <w:r>
        <w:rPr>
          <w:color w:val="auto"/>
        </w:rPr>
        <w:t>NH</w:t>
      </w:r>
      <w:r>
        <w:rPr>
          <w:color w:val="auto"/>
          <w:vertAlign w:val="subscript"/>
        </w:rPr>
        <w:t>3</w:t>
      </w:r>
      <w:r>
        <w:rPr>
          <w:color w:val="auto"/>
        </w:rPr>
        <w:t>、</w:t>
      </w:r>
      <w:r>
        <w:rPr>
          <w:color w:val="auto"/>
        </w:rPr>
        <w:t>H</w:t>
      </w:r>
      <w:r>
        <w:rPr>
          <w:color w:val="auto"/>
          <w:vertAlign w:val="subscript"/>
        </w:rPr>
        <w:t>2</w:t>
      </w:r>
      <w:r>
        <w:rPr>
          <w:color w:val="auto"/>
        </w:rPr>
        <w:t>S</w:t>
      </w:r>
      <w:r>
        <w:rPr>
          <w:color w:val="auto"/>
        </w:rPr>
        <w:t>等恶臭废气无组织排放满足《恶臭污染物排放标准》（</w:t>
      </w:r>
      <w:r>
        <w:rPr>
          <w:color w:val="auto"/>
        </w:rPr>
        <w:t>GB14554-93</w:t>
      </w:r>
      <w:r>
        <w:rPr>
          <w:color w:val="auto"/>
        </w:rPr>
        <w:t>）表</w:t>
      </w:r>
      <w:r>
        <w:rPr>
          <w:color w:val="auto"/>
        </w:rPr>
        <w:t>1</w:t>
      </w:r>
      <w:r>
        <w:rPr>
          <w:color w:val="auto"/>
        </w:rPr>
        <w:t>二级标准；厂界</w:t>
      </w:r>
      <w:r>
        <w:rPr>
          <w:color w:val="auto"/>
        </w:rPr>
        <w:t>NMHC</w:t>
      </w:r>
      <w:r>
        <w:rPr>
          <w:color w:val="auto"/>
        </w:rPr>
        <w:t>无组织排放满足《大气污染物综合排放标准》（</w:t>
      </w:r>
      <w:r>
        <w:rPr>
          <w:color w:val="auto"/>
        </w:rPr>
        <w:t>GB16297-1996</w:t>
      </w:r>
      <w:r>
        <w:rPr>
          <w:color w:val="auto"/>
        </w:rPr>
        <w:t>）表</w:t>
      </w:r>
      <w:r>
        <w:rPr>
          <w:color w:val="auto"/>
        </w:rPr>
        <w:t>2</w:t>
      </w:r>
      <w:r>
        <w:rPr>
          <w:color w:val="auto"/>
        </w:rPr>
        <w:t>二级排放限值，厂区内</w:t>
      </w:r>
      <w:r>
        <w:rPr>
          <w:color w:val="auto"/>
        </w:rPr>
        <w:t>NMHC</w:t>
      </w:r>
      <w:r>
        <w:rPr>
          <w:color w:val="auto"/>
        </w:rPr>
        <w:t>无组织排放满足《挥发性有机物无组织排放控制标准》（</w:t>
      </w:r>
      <w:r>
        <w:rPr>
          <w:color w:val="auto"/>
        </w:rPr>
        <w:t>GB37822-2019</w:t>
      </w:r>
      <w:r>
        <w:rPr>
          <w:color w:val="auto"/>
        </w:rPr>
        <w:t>）中表</w:t>
      </w:r>
      <w:r>
        <w:rPr>
          <w:color w:val="auto"/>
        </w:rPr>
        <w:t>A.1</w:t>
      </w:r>
      <w:r>
        <w:rPr>
          <w:color w:val="auto"/>
        </w:rPr>
        <w:t>无组织排放限值。</w:t>
      </w:r>
    </w:p>
    <w:p w14:paraId="538350F4" w14:textId="77777777" w:rsidR="002E474C" w:rsidRDefault="00000000">
      <w:pPr>
        <w:pStyle w:val="21"/>
        <w:spacing w:before="240" w:after="240"/>
        <w:rPr>
          <w:color w:val="auto"/>
        </w:rPr>
      </w:pPr>
      <w:bookmarkStart w:id="340" w:name="_Toc225848874"/>
      <w:bookmarkStart w:id="341" w:name="_Toc10205"/>
      <w:r>
        <w:rPr>
          <w:color w:val="auto"/>
        </w:rPr>
        <w:t>废水治理措施及其可行性分析</w:t>
      </w:r>
      <w:bookmarkEnd w:id="340"/>
      <w:bookmarkEnd w:id="341"/>
    </w:p>
    <w:p w14:paraId="6FC57096" w14:textId="77777777" w:rsidR="002E474C" w:rsidRDefault="00000000">
      <w:pPr>
        <w:pStyle w:val="31"/>
        <w:spacing w:before="120" w:after="120"/>
        <w:rPr>
          <w:color w:val="auto"/>
        </w:rPr>
      </w:pPr>
      <w:r>
        <w:rPr>
          <w:color w:val="auto"/>
        </w:rPr>
        <w:t>生产生活废水处理措施</w:t>
      </w:r>
    </w:p>
    <w:p w14:paraId="047D236E" w14:textId="77777777" w:rsidR="002E474C" w:rsidRDefault="00000000">
      <w:pPr>
        <w:pStyle w:val="41"/>
        <w:rPr>
          <w:color w:val="auto"/>
        </w:rPr>
      </w:pPr>
      <w:r>
        <w:rPr>
          <w:color w:val="auto"/>
        </w:rPr>
        <w:t>生产废水治理措施</w:t>
      </w:r>
    </w:p>
    <w:p w14:paraId="4FC4ED08" w14:textId="77777777" w:rsidR="002E474C" w:rsidRDefault="00000000">
      <w:pPr>
        <w:pStyle w:val="A-z"/>
        <w:rPr>
          <w:color w:val="auto"/>
        </w:rPr>
      </w:pPr>
      <w:r>
        <w:rPr>
          <w:color w:val="auto"/>
        </w:rPr>
        <w:t>项目生产废水包括车辆及容器清洗废水、设备检修清洗废水和，收集后经液态危废处置系统送水泥窑焚烧处置，不外排。</w:t>
      </w:r>
    </w:p>
    <w:p w14:paraId="50C61CFA" w14:textId="77777777" w:rsidR="002E474C" w:rsidRDefault="00000000">
      <w:pPr>
        <w:pStyle w:val="A-z"/>
        <w:rPr>
          <w:color w:val="auto"/>
        </w:rPr>
      </w:pPr>
      <w:r>
        <w:rPr>
          <w:color w:val="auto"/>
        </w:rPr>
        <w:t>（</w:t>
      </w:r>
      <w:r>
        <w:rPr>
          <w:color w:val="auto"/>
        </w:rPr>
        <w:t>1</w:t>
      </w:r>
      <w:r>
        <w:rPr>
          <w:color w:val="auto"/>
        </w:rPr>
        <w:t>）车辆及容器清洗废水</w:t>
      </w:r>
    </w:p>
    <w:p w14:paraId="5B529130" w14:textId="77777777" w:rsidR="002E474C" w:rsidRDefault="00000000">
      <w:pPr>
        <w:pStyle w:val="A-z"/>
        <w:rPr>
          <w:color w:val="auto"/>
        </w:rPr>
      </w:pPr>
      <w:r>
        <w:rPr>
          <w:color w:val="auto"/>
        </w:rPr>
        <w:t>按照《水泥窑协同处置废物污染控制标准》（</w:t>
      </w:r>
      <w:r>
        <w:rPr>
          <w:color w:val="auto"/>
        </w:rPr>
        <w:t>GB30485-2013</w:t>
      </w:r>
      <w:r>
        <w:rPr>
          <w:color w:val="auto"/>
        </w:rPr>
        <w:t>）要求，在同类工程类比调查的基础上，本项目危险废物车辆需在卸载完成后进行车辆及容器清洗，清洗废水掺入危废送水泥窑焚烧处置。</w:t>
      </w:r>
    </w:p>
    <w:p w14:paraId="0998CDA2" w14:textId="77777777" w:rsidR="002E474C" w:rsidRDefault="00000000">
      <w:pPr>
        <w:pStyle w:val="A-z"/>
        <w:rPr>
          <w:color w:val="auto"/>
        </w:rPr>
      </w:pPr>
      <w:r>
        <w:rPr>
          <w:color w:val="auto"/>
        </w:rPr>
        <w:t>（</w:t>
      </w:r>
      <w:r>
        <w:rPr>
          <w:color w:val="auto"/>
        </w:rPr>
        <w:t>2</w:t>
      </w:r>
      <w:r>
        <w:rPr>
          <w:color w:val="auto"/>
        </w:rPr>
        <w:t>）设备检修清洗废水</w:t>
      </w:r>
    </w:p>
    <w:p w14:paraId="4615889B" w14:textId="77777777" w:rsidR="002E474C" w:rsidRDefault="00000000">
      <w:pPr>
        <w:pStyle w:val="A-z"/>
        <w:rPr>
          <w:color w:val="auto"/>
        </w:rPr>
      </w:pPr>
      <w:r>
        <w:rPr>
          <w:color w:val="auto"/>
        </w:rPr>
        <w:t>项目定期对生产设备进行检修时，产生设备清洗废水，采用专用容器收集，掺入危废送水泥窑焚烧处置，不外排废水。</w:t>
      </w:r>
    </w:p>
    <w:p w14:paraId="43268A76" w14:textId="77777777" w:rsidR="002E474C" w:rsidRDefault="00000000">
      <w:pPr>
        <w:pStyle w:val="A-z"/>
        <w:rPr>
          <w:color w:val="auto"/>
        </w:rPr>
      </w:pPr>
      <w:r>
        <w:rPr>
          <w:color w:val="auto"/>
        </w:rPr>
        <w:t>对照《水泥窑协同处置固体废物污染控制标准》（</w:t>
      </w:r>
      <w:r>
        <w:rPr>
          <w:color w:val="auto"/>
        </w:rPr>
        <w:t>GB30485-2013</w:t>
      </w:r>
      <w:r>
        <w:rPr>
          <w:color w:val="auto"/>
        </w:rPr>
        <w:t>）中</w:t>
      </w:r>
      <w:r>
        <w:rPr>
          <w:color w:val="auto"/>
        </w:rPr>
        <w:t>7.5</w:t>
      </w:r>
      <w:r>
        <w:rPr>
          <w:color w:val="auto"/>
        </w:rPr>
        <w:t>条，生活垃圾渗滤液、车辆清洗废水以及水泥窑协同处置危险废物过程产生的其他废水收集后可采用喷入水泥窑内焚烧处置。</w:t>
      </w:r>
    </w:p>
    <w:p w14:paraId="389A96C7" w14:textId="77777777" w:rsidR="002E474C" w:rsidRDefault="00000000">
      <w:pPr>
        <w:pStyle w:val="A-z"/>
        <w:rPr>
          <w:color w:val="auto"/>
        </w:rPr>
      </w:pPr>
      <w:bookmarkStart w:id="342" w:name="_Hlk151310300"/>
      <w:r>
        <w:rPr>
          <w:color w:val="auto"/>
        </w:rPr>
        <w:t>本项目入窑焚烧废水有车辆及容器清洗废水、设备检修清洗废水等</w:t>
      </w:r>
      <w:r>
        <w:rPr>
          <w:color w:val="auto"/>
        </w:rPr>
        <w:t>165t/a</w:t>
      </w:r>
      <w:r>
        <w:rPr>
          <w:color w:val="auto"/>
        </w:rPr>
        <w:t>，约</w:t>
      </w:r>
      <w:r>
        <w:rPr>
          <w:color w:val="auto"/>
        </w:rPr>
        <w:t>0.02t/h</w:t>
      </w:r>
      <w:r>
        <w:rPr>
          <w:color w:val="auto"/>
        </w:rPr>
        <w:t>，生产废水喷入水泥窑内焚烧不会对生产线产生明显影响，依托水泥窑处理生产废水是可行的。</w:t>
      </w:r>
      <w:bookmarkEnd w:id="342"/>
    </w:p>
    <w:p w14:paraId="1D9715D4" w14:textId="77777777" w:rsidR="002E474C" w:rsidRDefault="00000000">
      <w:pPr>
        <w:pStyle w:val="41"/>
        <w:rPr>
          <w:color w:val="auto"/>
        </w:rPr>
      </w:pPr>
      <w:r>
        <w:rPr>
          <w:color w:val="auto"/>
        </w:rPr>
        <w:lastRenderedPageBreak/>
        <w:t>生活污水治理措施</w:t>
      </w:r>
    </w:p>
    <w:p w14:paraId="482D2F12" w14:textId="77777777" w:rsidR="002E474C" w:rsidRDefault="00000000">
      <w:pPr>
        <w:pStyle w:val="A-z"/>
        <w:rPr>
          <w:color w:val="auto"/>
        </w:rPr>
      </w:pPr>
      <w:r>
        <w:rPr>
          <w:color w:val="auto"/>
        </w:rPr>
        <w:t>本项目生活污水经管网排至厂内综合污水处理站处理。</w:t>
      </w:r>
    </w:p>
    <w:p w14:paraId="0873A334" w14:textId="77777777" w:rsidR="002E474C" w:rsidRDefault="00000000">
      <w:pPr>
        <w:pStyle w:val="A-z"/>
        <w:rPr>
          <w:color w:val="auto"/>
        </w:rPr>
      </w:pPr>
      <w:r>
        <w:rPr>
          <w:color w:val="auto"/>
        </w:rPr>
        <w:t>厂内综合污水处理站处理能力为</w:t>
      </w:r>
      <w:r>
        <w:rPr>
          <w:color w:val="auto"/>
        </w:rPr>
        <w:t>100m³/h</w:t>
      </w:r>
      <w:r>
        <w:rPr>
          <w:color w:val="auto"/>
        </w:rPr>
        <w:t>，采用</w:t>
      </w:r>
      <w:r>
        <w:rPr>
          <w:color w:val="auto"/>
        </w:rPr>
        <w:t>“</w:t>
      </w:r>
      <w:bookmarkStart w:id="343" w:name="_Hlk226018523"/>
      <w:r>
        <w:rPr>
          <w:color w:val="auto"/>
        </w:rPr>
        <w:t>缺氧＋好氧生物接触氧化法＋活性炭过滤理</w:t>
      </w:r>
      <w:bookmarkEnd w:id="343"/>
      <w:r>
        <w:rPr>
          <w:color w:val="auto"/>
        </w:rPr>
        <w:t>”</w:t>
      </w:r>
      <w:r>
        <w:rPr>
          <w:color w:val="auto"/>
        </w:rPr>
        <w:t>工艺设施，完全能满足本项目生活污水的处理要求。</w:t>
      </w:r>
    </w:p>
    <w:p w14:paraId="5748B750" w14:textId="77777777" w:rsidR="002E474C" w:rsidRDefault="00000000">
      <w:pPr>
        <w:pStyle w:val="31"/>
        <w:spacing w:before="120" w:after="120"/>
        <w:rPr>
          <w:color w:val="auto"/>
        </w:rPr>
      </w:pPr>
      <w:r>
        <w:rPr>
          <w:color w:val="auto"/>
        </w:rPr>
        <w:t>地下水污染防治措施</w:t>
      </w:r>
    </w:p>
    <w:p w14:paraId="1BAD6576" w14:textId="77777777" w:rsidR="002E474C" w:rsidRDefault="00000000">
      <w:pPr>
        <w:pStyle w:val="A-z"/>
        <w:rPr>
          <w:color w:val="auto"/>
        </w:rPr>
      </w:pPr>
      <w:r>
        <w:rPr>
          <w:color w:val="auto"/>
        </w:rPr>
        <w:t>本项目采取地下水污染防治措施以防止有害污染物入渗污染地下水环境。影响地下水渗入的因素主要分为人为因素和环境因素两大类（人为因素：设计、施工、维护管理、管龄；环境因素：地质、地形、降雨、城市化程度）等。</w:t>
      </w:r>
    </w:p>
    <w:p w14:paraId="661A1AD5" w14:textId="77777777" w:rsidR="002E474C" w:rsidRDefault="00000000">
      <w:pPr>
        <w:pStyle w:val="41"/>
        <w:rPr>
          <w:color w:val="auto"/>
        </w:rPr>
      </w:pPr>
      <w:r>
        <w:rPr>
          <w:color w:val="auto"/>
        </w:rPr>
        <w:t>防渗原则</w:t>
      </w:r>
    </w:p>
    <w:p w14:paraId="12845BB6" w14:textId="77777777" w:rsidR="002E474C" w:rsidRDefault="00000000">
      <w:pPr>
        <w:pStyle w:val="A-z"/>
        <w:rPr>
          <w:color w:val="auto"/>
        </w:rPr>
      </w:pPr>
      <w:r>
        <w:rPr>
          <w:color w:val="auto"/>
        </w:rPr>
        <w:t>依据《环境影响评价技术导则</w:t>
      </w:r>
      <w:r>
        <w:rPr>
          <w:color w:val="auto"/>
        </w:rPr>
        <w:t xml:space="preserve"> </w:t>
      </w:r>
      <w:r>
        <w:rPr>
          <w:color w:val="auto"/>
        </w:rPr>
        <w:t>地下水环境》（</w:t>
      </w:r>
      <w:r>
        <w:rPr>
          <w:color w:val="auto"/>
        </w:rPr>
        <w:t>HJ610-2016</w:t>
      </w:r>
      <w:r>
        <w:rPr>
          <w:color w:val="auto"/>
        </w:rPr>
        <w:t>）的规定，地下水污染防治措施按照</w:t>
      </w:r>
      <w:r>
        <w:rPr>
          <w:color w:val="auto"/>
        </w:rPr>
        <w:t>“</w:t>
      </w:r>
      <w:r>
        <w:rPr>
          <w:color w:val="auto"/>
        </w:rPr>
        <w:t>源头控制、分区防控、污染监控、应急响应</w:t>
      </w:r>
      <w:r>
        <w:rPr>
          <w:color w:val="auto"/>
        </w:rPr>
        <w:t>”</w:t>
      </w:r>
      <w:r>
        <w:rPr>
          <w:color w:val="auto"/>
        </w:rPr>
        <w:t>相结合的原则，从污染物的产生、入渗、扩散、应急响应全阶段进行控制。</w:t>
      </w:r>
    </w:p>
    <w:p w14:paraId="7ABF1208" w14:textId="77777777" w:rsidR="002E474C" w:rsidRDefault="00000000">
      <w:pPr>
        <w:pStyle w:val="A-z"/>
        <w:rPr>
          <w:color w:val="auto"/>
        </w:rPr>
      </w:pPr>
      <w:r>
        <w:rPr>
          <w:color w:val="auto"/>
        </w:rPr>
        <w:t>（</w:t>
      </w:r>
      <w:r>
        <w:rPr>
          <w:color w:val="auto"/>
        </w:rPr>
        <w:t>1</w:t>
      </w:r>
      <w:r>
        <w:rPr>
          <w:color w:val="auto"/>
        </w:rPr>
        <w:t>）源头控制</w:t>
      </w:r>
    </w:p>
    <w:p w14:paraId="0F23B099" w14:textId="77777777" w:rsidR="002E474C" w:rsidRDefault="00000000">
      <w:pPr>
        <w:pStyle w:val="A-z"/>
        <w:rPr>
          <w:color w:val="auto"/>
        </w:rPr>
      </w:pPr>
      <w:r>
        <w:rPr>
          <w:color w:val="auto"/>
        </w:rPr>
        <w:t>主要包括在工艺、管道、设备、污水储存及处理构筑物采取相应措施，防止和降低污染物跑、冒、滴、漏，将污染物泄漏的环境风险事故降到最低程度。</w:t>
      </w:r>
    </w:p>
    <w:p w14:paraId="673AA270" w14:textId="77777777" w:rsidR="002E474C" w:rsidRDefault="00000000">
      <w:pPr>
        <w:pStyle w:val="A-z"/>
        <w:rPr>
          <w:color w:val="auto"/>
        </w:rPr>
      </w:pPr>
      <w:r>
        <w:rPr>
          <w:color w:val="auto"/>
        </w:rPr>
        <w:t>（</w:t>
      </w:r>
      <w:r>
        <w:rPr>
          <w:color w:val="auto"/>
        </w:rPr>
        <w:t>2</w:t>
      </w:r>
      <w:r>
        <w:rPr>
          <w:color w:val="auto"/>
        </w:rPr>
        <w:t>）分区防控</w:t>
      </w:r>
    </w:p>
    <w:p w14:paraId="4F76A01E" w14:textId="77777777" w:rsidR="002E474C" w:rsidRDefault="00000000">
      <w:pPr>
        <w:pStyle w:val="A-z"/>
        <w:rPr>
          <w:color w:val="auto"/>
        </w:rPr>
      </w:pPr>
      <w:r>
        <w:rPr>
          <w:color w:val="auto"/>
        </w:rPr>
        <w:t>主要包括污染区地面的防渗措施和泄漏、渗漏污染物收集措施，即在污染区地面进行防渗处理，防止洒落地面的污染物渗入地下，并把滞留在地面的污染物收集起来送回转窑焚烧；末端控制采取分区防渗，重点污染防治区、一般污染防治区和简单污染防治区防渗措施有区别的防渗原则。</w:t>
      </w:r>
    </w:p>
    <w:p w14:paraId="14E97B4A" w14:textId="77777777" w:rsidR="002E474C" w:rsidRDefault="00000000">
      <w:pPr>
        <w:pStyle w:val="A-z"/>
        <w:rPr>
          <w:color w:val="auto"/>
        </w:rPr>
      </w:pPr>
      <w:r>
        <w:rPr>
          <w:color w:val="auto"/>
        </w:rPr>
        <w:t>（</w:t>
      </w:r>
      <w:r>
        <w:rPr>
          <w:color w:val="auto"/>
        </w:rPr>
        <w:t>3</w:t>
      </w:r>
      <w:r>
        <w:rPr>
          <w:color w:val="auto"/>
        </w:rPr>
        <w:t>）污染监控体系</w:t>
      </w:r>
    </w:p>
    <w:p w14:paraId="5C2B77EF" w14:textId="77777777" w:rsidR="002E474C" w:rsidRDefault="00000000">
      <w:pPr>
        <w:pStyle w:val="A-z"/>
        <w:rPr>
          <w:color w:val="auto"/>
        </w:rPr>
      </w:pPr>
      <w:r>
        <w:rPr>
          <w:color w:val="auto"/>
        </w:rPr>
        <w:t>实施覆盖生产区的地下水污染监控系统，包括建立完善的监测制度、配备检测仪器和设备、科学、合理设置地下水污染监控井，及时发现污染、及时控制。</w:t>
      </w:r>
    </w:p>
    <w:p w14:paraId="0AA4F28E" w14:textId="77777777" w:rsidR="002E474C" w:rsidRDefault="00000000">
      <w:pPr>
        <w:pStyle w:val="A-z"/>
        <w:rPr>
          <w:color w:val="auto"/>
        </w:rPr>
      </w:pPr>
      <w:r>
        <w:rPr>
          <w:color w:val="auto"/>
        </w:rPr>
        <w:t>（</w:t>
      </w:r>
      <w:r>
        <w:rPr>
          <w:color w:val="auto"/>
        </w:rPr>
        <w:t>4</w:t>
      </w:r>
      <w:r>
        <w:rPr>
          <w:color w:val="auto"/>
        </w:rPr>
        <w:t>）应急响应措施</w:t>
      </w:r>
    </w:p>
    <w:p w14:paraId="74F9E62F" w14:textId="77777777" w:rsidR="002E474C" w:rsidRDefault="00000000">
      <w:pPr>
        <w:pStyle w:val="A-z"/>
        <w:rPr>
          <w:color w:val="auto"/>
        </w:rPr>
      </w:pPr>
      <w:r>
        <w:rPr>
          <w:color w:val="auto"/>
        </w:rPr>
        <w:t>包括一旦发现地下水污染事故，立即启动应急预案、采取应急措施控制地下水污染，并使污染得到治理。</w:t>
      </w:r>
    </w:p>
    <w:p w14:paraId="3200868C" w14:textId="77777777" w:rsidR="002E474C" w:rsidRDefault="00000000">
      <w:pPr>
        <w:pStyle w:val="A-z"/>
        <w:rPr>
          <w:color w:val="auto"/>
        </w:rPr>
      </w:pPr>
      <w:r>
        <w:rPr>
          <w:color w:val="auto"/>
        </w:rPr>
        <w:t>（</w:t>
      </w:r>
      <w:r>
        <w:rPr>
          <w:color w:val="auto"/>
        </w:rPr>
        <w:t>5</w:t>
      </w:r>
      <w:r>
        <w:rPr>
          <w:color w:val="auto"/>
        </w:rPr>
        <w:t>）坚持</w:t>
      </w:r>
      <w:r>
        <w:rPr>
          <w:color w:val="auto"/>
        </w:rPr>
        <w:t>“</w:t>
      </w:r>
      <w:r>
        <w:rPr>
          <w:color w:val="auto"/>
        </w:rPr>
        <w:t>可视化</w:t>
      </w:r>
      <w:r>
        <w:rPr>
          <w:color w:val="auto"/>
        </w:rPr>
        <w:t>”</w:t>
      </w:r>
      <w:r>
        <w:rPr>
          <w:color w:val="auto"/>
        </w:rPr>
        <w:t>原则</w:t>
      </w:r>
    </w:p>
    <w:p w14:paraId="59366ADF" w14:textId="77777777" w:rsidR="002E474C" w:rsidRDefault="00000000">
      <w:pPr>
        <w:pStyle w:val="A-z"/>
        <w:rPr>
          <w:color w:val="auto"/>
        </w:rPr>
      </w:pPr>
      <w:r>
        <w:rPr>
          <w:color w:val="auto"/>
        </w:rPr>
        <w:t>输送含有污染物的废水及废液管道尽可能地上敷设，减少由于埋地管道泄漏</w:t>
      </w:r>
      <w:r>
        <w:rPr>
          <w:color w:val="auto"/>
        </w:rPr>
        <w:lastRenderedPageBreak/>
        <w:t>而造成的地下水污染。</w:t>
      </w:r>
    </w:p>
    <w:p w14:paraId="17AEC7D4" w14:textId="77777777" w:rsidR="002E474C" w:rsidRDefault="00000000">
      <w:pPr>
        <w:pStyle w:val="41"/>
        <w:rPr>
          <w:color w:val="auto"/>
        </w:rPr>
      </w:pPr>
      <w:r>
        <w:rPr>
          <w:color w:val="auto"/>
        </w:rPr>
        <w:t>分区防渗</w:t>
      </w:r>
    </w:p>
    <w:p w14:paraId="2734C930" w14:textId="7DDDC5F3" w:rsidR="002E474C" w:rsidRDefault="00000000">
      <w:pPr>
        <w:pStyle w:val="A-z"/>
        <w:rPr>
          <w:color w:val="auto"/>
        </w:rPr>
      </w:pPr>
      <w:r>
        <w:rPr>
          <w:color w:val="auto"/>
        </w:rPr>
        <w:t>根据《环境影响评价技术导则</w:t>
      </w:r>
      <w:r>
        <w:rPr>
          <w:color w:val="auto"/>
        </w:rPr>
        <w:t xml:space="preserve"> </w:t>
      </w:r>
      <w:r>
        <w:rPr>
          <w:color w:val="auto"/>
        </w:rPr>
        <w:t>地下水环境》（</w:t>
      </w:r>
      <w:r>
        <w:rPr>
          <w:color w:val="auto"/>
        </w:rPr>
        <w:t>HJ610-2016</w:t>
      </w:r>
      <w:r>
        <w:rPr>
          <w:color w:val="auto"/>
        </w:rPr>
        <w:t>）及《危险废物贮存污染控制标准》（</w:t>
      </w:r>
      <w:r>
        <w:rPr>
          <w:color w:val="auto"/>
        </w:rPr>
        <w:t>GB18597-2023</w:t>
      </w:r>
      <w:r>
        <w:rPr>
          <w:color w:val="auto"/>
        </w:rPr>
        <w:t>）中</w:t>
      </w:r>
      <w:r w:rsidR="008F2D17">
        <w:rPr>
          <w:rFonts w:hint="eastAsia"/>
          <w:color w:val="auto"/>
        </w:rPr>
        <w:t>的</w:t>
      </w:r>
      <w:r>
        <w:rPr>
          <w:color w:val="auto"/>
        </w:rPr>
        <w:t>分区</w:t>
      </w:r>
      <w:r w:rsidR="008F2D17">
        <w:rPr>
          <w:rFonts w:hint="eastAsia"/>
          <w:color w:val="auto"/>
        </w:rPr>
        <w:t>防控措施</w:t>
      </w:r>
      <w:r>
        <w:rPr>
          <w:color w:val="auto"/>
        </w:rPr>
        <w:t>进行</w:t>
      </w:r>
      <w:r w:rsidR="008F2D17">
        <w:rPr>
          <w:rFonts w:hint="eastAsia"/>
          <w:color w:val="auto"/>
        </w:rPr>
        <w:t>分区</w:t>
      </w:r>
      <w:r>
        <w:rPr>
          <w:color w:val="auto"/>
        </w:rPr>
        <w:t>防渗。</w:t>
      </w:r>
    </w:p>
    <w:p w14:paraId="2F17009E" w14:textId="77777777" w:rsidR="002E474C" w:rsidRDefault="00000000">
      <w:pPr>
        <w:pStyle w:val="A-z"/>
        <w:rPr>
          <w:color w:val="auto"/>
        </w:rPr>
      </w:pPr>
      <w:r>
        <w:rPr>
          <w:color w:val="auto"/>
        </w:rPr>
        <w:t>污染控制难易程度分级和天然包气带防污性能分级分别参照表</w:t>
      </w:r>
      <w:r>
        <w:rPr>
          <w:color w:val="auto"/>
        </w:rPr>
        <w:t>6.2</w:t>
      </w:r>
      <w:r>
        <w:rPr>
          <w:color w:val="auto"/>
        </w:rPr>
        <w:noBreakHyphen/>
        <w:t>1</w:t>
      </w:r>
      <w:r>
        <w:rPr>
          <w:color w:val="auto"/>
        </w:rPr>
        <w:t>和表</w:t>
      </w:r>
      <w:r>
        <w:rPr>
          <w:color w:val="auto"/>
        </w:rPr>
        <w:t>6.2</w:t>
      </w:r>
      <w:r>
        <w:rPr>
          <w:color w:val="auto"/>
        </w:rPr>
        <w:noBreakHyphen/>
        <w:t>2</w:t>
      </w:r>
      <w:r>
        <w:rPr>
          <w:color w:val="auto"/>
        </w:rPr>
        <w:t>进行相关等级的确定。根据建设项目场地天然包气带防污性能、污染控制难易程度和污染物特性，按照本项目工艺、物料或者污染物泄漏的途径和生产功能单元所处位置，将厂区划分为重点防渗区、一般防渗区和简单防渗区。</w:t>
      </w:r>
    </w:p>
    <w:p w14:paraId="207F807F" w14:textId="77777777" w:rsidR="002E474C" w:rsidRDefault="00000000">
      <w:pPr>
        <w:pStyle w:val="A-z"/>
        <w:rPr>
          <w:color w:val="auto"/>
        </w:rPr>
      </w:pPr>
      <w:r>
        <w:rPr>
          <w:color w:val="auto"/>
        </w:rPr>
        <w:t>参照表</w:t>
      </w:r>
      <w:r>
        <w:rPr>
          <w:color w:val="auto"/>
        </w:rPr>
        <w:t>6.2</w:t>
      </w:r>
      <w:r>
        <w:rPr>
          <w:color w:val="auto"/>
        </w:rPr>
        <w:noBreakHyphen/>
        <w:t>3</w:t>
      </w:r>
      <w:r>
        <w:rPr>
          <w:color w:val="auto"/>
        </w:rPr>
        <w:t>提出防渗技术要求。</w:t>
      </w:r>
    </w:p>
    <w:p w14:paraId="56714C78" w14:textId="77777777" w:rsidR="002E474C" w:rsidRDefault="00000000">
      <w:pPr>
        <w:pStyle w:val="A--"/>
        <w:rPr>
          <w:color w:val="auto"/>
        </w:rPr>
      </w:pPr>
      <w:bookmarkStart w:id="344" w:name="_Ref131757527"/>
      <w:r>
        <w:rPr>
          <w:color w:val="auto"/>
        </w:rPr>
        <w:t>表</w:t>
      </w:r>
      <w:r>
        <w:rPr>
          <w:color w:val="auto"/>
        </w:rPr>
        <w:t>6.2</w:t>
      </w:r>
      <w:r>
        <w:rPr>
          <w:color w:val="auto"/>
        </w:rPr>
        <w:noBreakHyphen/>
        <w:t>1</w:t>
      </w:r>
      <w:bookmarkEnd w:id="344"/>
      <w:r>
        <w:rPr>
          <w:color w:val="auto"/>
        </w:rPr>
        <w:t xml:space="preserve">  </w:t>
      </w:r>
      <w:r>
        <w:rPr>
          <w:color w:val="auto"/>
        </w:rPr>
        <w:t>污染控制难易程度分级参照表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6396"/>
      </w:tblGrid>
      <w:tr w:rsidR="002E474C" w14:paraId="616F8B4A" w14:textId="77777777">
        <w:trPr>
          <w:trHeight w:val="328"/>
        </w:trPr>
        <w:tc>
          <w:tcPr>
            <w:tcW w:w="1145" w:type="pct"/>
            <w:vAlign w:val="center"/>
          </w:tcPr>
          <w:p w14:paraId="538F8A9C" w14:textId="77777777" w:rsidR="002E474C" w:rsidRDefault="00000000">
            <w:pPr>
              <w:pStyle w:val="A-"/>
            </w:pPr>
            <w:r>
              <w:t>污染控制难易程度</w:t>
            </w:r>
          </w:p>
        </w:tc>
        <w:tc>
          <w:tcPr>
            <w:tcW w:w="3855" w:type="pct"/>
            <w:vAlign w:val="center"/>
          </w:tcPr>
          <w:p w14:paraId="44C5558B" w14:textId="77777777" w:rsidR="002E474C" w:rsidRDefault="00000000">
            <w:pPr>
              <w:pStyle w:val="A-"/>
            </w:pPr>
            <w:r>
              <w:t>主要特征</w:t>
            </w:r>
          </w:p>
        </w:tc>
      </w:tr>
      <w:tr w:rsidR="002E474C" w14:paraId="5F1F4D54" w14:textId="77777777">
        <w:trPr>
          <w:trHeight w:val="311"/>
        </w:trPr>
        <w:tc>
          <w:tcPr>
            <w:tcW w:w="1145" w:type="pct"/>
            <w:vAlign w:val="center"/>
          </w:tcPr>
          <w:p w14:paraId="0F3F6EE7" w14:textId="77777777" w:rsidR="002E474C" w:rsidRDefault="00000000">
            <w:pPr>
              <w:pStyle w:val="A-"/>
            </w:pPr>
            <w:r>
              <w:t>难</w:t>
            </w:r>
          </w:p>
        </w:tc>
        <w:tc>
          <w:tcPr>
            <w:tcW w:w="3855" w:type="pct"/>
            <w:vAlign w:val="center"/>
          </w:tcPr>
          <w:p w14:paraId="0F8E3F4E" w14:textId="77777777" w:rsidR="002E474C" w:rsidRDefault="00000000">
            <w:pPr>
              <w:pStyle w:val="A-"/>
            </w:pPr>
            <w:r>
              <w:t>对地下水环境有污染的物料或污染物泄漏后，不能及时发现和处理</w:t>
            </w:r>
          </w:p>
        </w:tc>
      </w:tr>
      <w:tr w:rsidR="002E474C" w14:paraId="5D7B5F4D" w14:textId="77777777">
        <w:trPr>
          <w:trHeight w:val="342"/>
        </w:trPr>
        <w:tc>
          <w:tcPr>
            <w:tcW w:w="1145" w:type="pct"/>
            <w:vAlign w:val="center"/>
          </w:tcPr>
          <w:p w14:paraId="4EE67FFB" w14:textId="77777777" w:rsidR="002E474C" w:rsidRDefault="00000000">
            <w:pPr>
              <w:pStyle w:val="A-"/>
            </w:pPr>
            <w:r>
              <w:t>易</w:t>
            </w:r>
          </w:p>
        </w:tc>
        <w:tc>
          <w:tcPr>
            <w:tcW w:w="3855" w:type="pct"/>
            <w:vAlign w:val="center"/>
          </w:tcPr>
          <w:p w14:paraId="7BC8B2AC" w14:textId="77777777" w:rsidR="002E474C" w:rsidRDefault="00000000">
            <w:pPr>
              <w:pStyle w:val="A-"/>
            </w:pPr>
            <w:r>
              <w:t>对地下水环境有污染的物料或污染物泄漏后，可及时发现和处理</w:t>
            </w:r>
          </w:p>
        </w:tc>
      </w:tr>
    </w:tbl>
    <w:p w14:paraId="6103FFB0" w14:textId="77777777" w:rsidR="002E474C" w:rsidRDefault="002E474C">
      <w:pPr>
        <w:pStyle w:val="w3"/>
      </w:pPr>
      <w:bookmarkStart w:id="345" w:name="_Ref131757532"/>
    </w:p>
    <w:p w14:paraId="7174E04C" w14:textId="77777777" w:rsidR="002E474C" w:rsidRDefault="00000000">
      <w:pPr>
        <w:pStyle w:val="A--"/>
        <w:rPr>
          <w:color w:val="auto"/>
        </w:rPr>
      </w:pPr>
      <w:r>
        <w:rPr>
          <w:color w:val="auto"/>
        </w:rPr>
        <w:t>表</w:t>
      </w:r>
      <w:r>
        <w:rPr>
          <w:color w:val="auto"/>
        </w:rPr>
        <w:t>6.2</w:t>
      </w:r>
      <w:r>
        <w:rPr>
          <w:color w:val="auto"/>
        </w:rPr>
        <w:noBreakHyphen/>
        <w:t>2</w:t>
      </w:r>
      <w:bookmarkEnd w:id="345"/>
      <w:r>
        <w:rPr>
          <w:color w:val="auto"/>
        </w:rPr>
        <w:t xml:space="preserve">  </w:t>
      </w:r>
      <w:r>
        <w:rPr>
          <w:color w:val="auto"/>
        </w:rPr>
        <w:t>天然包气带防污性能分级参照表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538"/>
      </w:tblGrid>
      <w:tr w:rsidR="002E474C" w14:paraId="40FB9CE3" w14:textId="77777777">
        <w:trPr>
          <w:trHeight w:val="293"/>
        </w:trPr>
        <w:tc>
          <w:tcPr>
            <w:tcW w:w="457" w:type="pct"/>
            <w:vAlign w:val="center"/>
          </w:tcPr>
          <w:p w14:paraId="2BCDA9E3" w14:textId="77777777" w:rsidR="002E474C" w:rsidRDefault="00000000">
            <w:pPr>
              <w:pStyle w:val="A-"/>
            </w:pPr>
            <w:r>
              <w:t>分级</w:t>
            </w:r>
          </w:p>
        </w:tc>
        <w:tc>
          <w:tcPr>
            <w:tcW w:w="4543" w:type="pct"/>
            <w:vAlign w:val="center"/>
          </w:tcPr>
          <w:p w14:paraId="0BFB410F" w14:textId="77777777" w:rsidR="002E474C" w:rsidRDefault="00000000">
            <w:pPr>
              <w:pStyle w:val="A-"/>
            </w:pPr>
            <w:r>
              <w:t>包气带岩土的渗透性能</w:t>
            </w:r>
          </w:p>
        </w:tc>
      </w:tr>
      <w:tr w:rsidR="002E474C" w14:paraId="1A71664F" w14:textId="77777777">
        <w:trPr>
          <w:trHeight w:val="293"/>
        </w:trPr>
        <w:tc>
          <w:tcPr>
            <w:tcW w:w="457" w:type="pct"/>
            <w:vAlign w:val="center"/>
          </w:tcPr>
          <w:p w14:paraId="0FBE9266" w14:textId="77777777" w:rsidR="002E474C" w:rsidRDefault="00000000">
            <w:pPr>
              <w:pStyle w:val="A-"/>
            </w:pPr>
            <w:r>
              <w:t>强</w:t>
            </w:r>
          </w:p>
        </w:tc>
        <w:tc>
          <w:tcPr>
            <w:tcW w:w="4543" w:type="pct"/>
            <w:vAlign w:val="center"/>
          </w:tcPr>
          <w:p w14:paraId="1D03160B" w14:textId="77777777" w:rsidR="002E474C" w:rsidRDefault="00000000">
            <w:pPr>
              <w:pStyle w:val="A-"/>
            </w:pPr>
            <w:r>
              <w:t>岩（土）层单层厚度</w:t>
            </w:r>
            <w:r>
              <w:t>Mb≥1.0m</w:t>
            </w:r>
            <w:r>
              <w:t>，渗透系数</w:t>
            </w:r>
            <w:r>
              <w:t>K≤1×10</w:t>
            </w:r>
            <w:r>
              <w:rPr>
                <w:vertAlign w:val="superscript"/>
              </w:rPr>
              <w:t>-6</w:t>
            </w:r>
            <w:r>
              <w:t>cm/s</w:t>
            </w:r>
            <w:r>
              <w:t>，且分布连续、稳定。</w:t>
            </w:r>
          </w:p>
        </w:tc>
      </w:tr>
      <w:tr w:rsidR="002E474C" w14:paraId="387B811D" w14:textId="77777777">
        <w:trPr>
          <w:trHeight w:val="863"/>
        </w:trPr>
        <w:tc>
          <w:tcPr>
            <w:tcW w:w="457" w:type="pct"/>
            <w:vAlign w:val="center"/>
          </w:tcPr>
          <w:p w14:paraId="0B6EB507" w14:textId="77777777" w:rsidR="002E474C" w:rsidRDefault="00000000">
            <w:pPr>
              <w:pStyle w:val="A-"/>
            </w:pPr>
            <w:r>
              <w:t>中</w:t>
            </w:r>
          </w:p>
        </w:tc>
        <w:tc>
          <w:tcPr>
            <w:tcW w:w="4543" w:type="pct"/>
            <w:vAlign w:val="center"/>
          </w:tcPr>
          <w:p w14:paraId="3123763B" w14:textId="77777777" w:rsidR="002E474C" w:rsidRDefault="00000000">
            <w:pPr>
              <w:pStyle w:val="A-"/>
            </w:pPr>
            <w:r>
              <w:t>岩（土）层单层厚度</w:t>
            </w:r>
            <w:r>
              <w:t>0.5m≤Mb&lt;1.0m</w:t>
            </w:r>
            <w:r>
              <w:t>，渗透系数</w:t>
            </w:r>
            <w:r>
              <w:t>K≤1×10</w:t>
            </w:r>
            <w:r>
              <w:rPr>
                <w:vertAlign w:val="superscript"/>
              </w:rPr>
              <w:t>-6</w:t>
            </w:r>
            <w:r>
              <w:t>cm/s</w:t>
            </w:r>
            <w:r>
              <w:t>，且分布连续、稳定。岩（土）层单层厚度</w:t>
            </w:r>
            <w:r>
              <w:t>Mb≥1.0m</w:t>
            </w:r>
            <w:r>
              <w:t>，渗透系数</w:t>
            </w:r>
            <w:r>
              <w:t>1×10</w:t>
            </w:r>
            <w:r>
              <w:rPr>
                <w:vertAlign w:val="superscript"/>
              </w:rPr>
              <w:t>-6</w:t>
            </w:r>
            <w:r>
              <w:t>cm/s&lt;K≤1×10</w:t>
            </w:r>
            <w:r>
              <w:rPr>
                <w:vertAlign w:val="superscript"/>
              </w:rPr>
              <w:t>-4</w:t>
            </w:r>
            <w:r>
              <w:t>cm/s</w:t>
            </w:r>
            <w:r>
              <w:t>，且分布连续、稳定。</w:t>
            </w:r>
          </w:p>
        </w:tc>
      </w:tr>
      <w:tr w:rsidR="002E474C" w14:paraId="67E081A4" w14:textId="77777777">
        <w:trPr>
          <w:trHeight w:val="306"/>
        </w:trPr>
        <w:tc>
          <w:tcPr>
            <w:tcW w:w="457" w:type="pct"/>
            <w:vAlign w:val="center"/>
          </w:tcPr>
          <w:p w14:paraId="7514FA8B" w14:textId="77777777" w:rsidR="002E474C" w:rsidRDefault="00000000">
            <w:pPr>
              <w:pStyle w:val="A-"/>
            </w:pPr>
            <w:r>
              <w:t>弱</w:t>
            </w:r>
          </w:p>
        </w:tc>
        <w:tc>
          <w:tcPr>
            <w:tcW w:w="4543" w:type="pct"/>
            <w:vAlign w:val="center"/>
          </w:tcPr>
          <w:p w14:paraId="40DC8B80" w14:textId="77777777" w:rsidR="002E474C" w:rsidRDefault="00000000">
            <w:pPr>
              <w:pStyle w:val="A-"/>
            </w:pPr>
            <w:r>
              <w:t>岩（土）层不满足上述</w:t>
            </w:r>
            <w:r>
              <w:t>“</w:t>
            </w:r>
            <w:r>
              <w:t>强</w:t>
            </w:r>
            <w:r>
              <w:t>”</w:t>
            </w:r>
            <w:r>
              <w:t>和</w:t>
            </w:r>
            <w:r>
              <w:t>“</w:t>
            </w:r>
            <w:r>
              <w:t>中</w:t>
            </w:r>
            <w:r>
              <w:t>”</w:t>
            </w:r>
            <w:r>
              <w:t>条件</w:t>
            </w:r>
          </w:p>
        </w:tc>
      </w:tr>
    </w:tbl>
    <w:p w14:paraId="2ADA701C" w14:textId="77777777" w:rsidR="002E474C" w:rsidRDefault="002E474C">
      <w:pPr>
        <w:pStyle w:val="w3"/>
      </w:pPr>
      <w:bookmarkStart w:id="346" w:name="_Ref131757517"/>
    </w:p>
    <w:p w14:paraId="190B9B7F" w14:textId="77777777" w:rsidR="002E474C" w:rsidRDefault="00000000">
      <w:pPr>
        <w:pStyle w:val="A--"/>
        <w:rPr>
          <w:color w:val="auto"/>
        </w:rPr>
      </w:pPr>
      <w:r>
        <w:rPr>
          <w:color w:val="auto"/>
        </w:rPr>
        <w:t>表</w:t>
      </w:r>
      <w:r>
        <w:rPr>
          <w:color w:val="auto"/>
        </w:rPr>
        <w:t>6.2</w:t>
      </w:r>
      <w:r>
        <w:rPr>
          <w:color w:val="auto"/>
        </w:rPr>
        <w:noBreakHyphen/>
        <w:t>3</w:t>
      </w:r>
      <w:bookmarkEnd w:id="346"/>
      <w:r>
        <w:rPr>
          <w:color w:val="auto"/>
        </w:rPr>
        <w:t xml:space="preserve">  </w:t>
      </w:r>
      <w:r>
        <w:rPr>
          <w:color w:val="auto"/>
        </w:rPr>
        <w:t>地下水污染防渗分区参照表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442"/>
        <w:gridCol w:w="1312"/>
        <w:gridCol w:w="1706"/>
        <w:gridCol w:w="2555"/>
      </w:tblGrid>
      <w:tr w:rsidR="002E474C" w14:paraId="12686D2D" w14:textId="77777777">
        <w:trPr>
          <w:trHeight w:val="599"/>
        </w:trPr>
        <w:tc>
          <w:tcPr>
            <w:tcW w:w="772" w:type="pct"/>
            <w:vAlign w:val="center"/>
          </w:tcPr>
          <w:p w14:paraId="6D5908E3" w14:textId="77777777" w:rsidR="002E474C" w:rsidRDefault="00000000">
            <w:pPr>
              <w:pStyle w:val="A-"/>
            </w:pPr>
            <w:r>
              <w:t>防渗分区</w:t>
            </w:r>
          </w:p>
        </w:tc>
        <w:tc>
          <w:tcPr>
            <w:tcW w:w="869" w:type="pct"/>
            <w:vAlign w:val="center"/>
          </w:tcPr>
          <w:p w14:paraId="0BB6DDAF" w14:textId="77777777" w:rsidR="002E474C" w:rsidRDefault="00000000">
            <w:pPr>
              <w:pStyle w:val="A-"/>
            </w:pPr>
            <w:r>
              <w:t>天然包气带防污性能</w:t>
            </w:r>
          </w:p>
        </w:tc>
        <w:tc>
          <w:tcPr>
            <w:tcW w:w="791" w:type="pct"/>
            <w:vAlign w:val="center"/>
          </w:tcPr>
          <w:p w14:paraId="016347BD" w14:textId="77777777" w:rsidR="002E474C" w:rsidRDefault="00000000">
            <w:pPr>
              <w:pStyle w:val="A-"/>
            </w:pPr>
            <w:r>
              <w:t>污染控制难易程度</w:t>
            </w:r>
          </w:p>
        </w:tc>
        <w:tc>
          <w:tcPr>
            <w:tcW w:w="1028" w:type="pct"/>
            <w:vAlign w:val="center"/>
          </w:tcPr>
          <w:p w14:paraId="58C3C3DF" w14:textId="77777777" w:rsidR="002E474C" w:rsidRDefault="00000000">
            <w:pPr>
              <w:pStyle w:val="A-"/>
            </w:pPr>
            <w:r>
              <w:t>污染物类型</w:t>
            </w:r>
          </w:p>
        </w:tc>
        <w:tc>
          <w:tcPr>
            <w:tcW w:w="1540" w:type="pct"/>
            <w:vAlign w:val="center"/>
          </w:tcPr>
          <w:p w14:paraId="693E3447" w14:textId="77777777" w:rsidR="002E474C" w:rsidRDefault="00000000">
            <w:pPr>
              <w:pStyle w:val="A-"/>
            </w:pPr>
            <w:r>
              <w:t>防渗技术要求</w:t>
            </w:r>
          </w:p>
        </w:tc>
      </w:tr>
      <w:tr w:rsidR="002E474C" w14:paraId="22FDC8DB" w14:textId="77777777">
        <w:trPr>
          <w:trHeight w:val="285"/>
        </w:trPr>
        <w:tc>
          <w:tcPr>
            <w:tcW w:w="772" w:type="pct"/>
            <w:vMerge w:val="restart"/>
            <w:vAlign w:val="center"/>
          </w:tcPr>
          <w:p w14:paraId="4B31019B" w14:textId="77777777" w:rsidR="002E474C" w:rsidRDefault="00000000">
            <w:pPr>
              <w:pStyle w:val="A-"/>
            </w:pPr>
            <w:r>
              <w:t>重点防渗区</w:t>
            </w:r>
          </w:p>
        </w:tc>
        <w:tc>
          <w:tcPr>
            <w:tcW w:w="869" w:type="pct"/>
            <w:vAlign w:val="center"/>
          </w:tcPr>
          <w:p w14:paraId="3217823C" w14:textId="77777777" w:rsidR="002E474C" w:rsidRDefault="00000000">
            <w:pPr>
              <w:pStyle w:val="A-"/>
            </w:pPr>
            <w:r>
              <w:t>弱</w:t>
            </w:r>
          </w:p>
        </w:tc>
        <w:tc>
          <w:tcPr>
            <w:tcW w:w="791" w:type="pct"/>
            <w:vAlign w:val="center"/>
          </w:tcPr>
          <w:p w14:paraId="4AEBF2FD" w14:textId="77777777" w:rsidR="002E474C" w:rsidRDefault="00000000">
            <w:pPr>
              <w:pStyle w:val="A-"/>
            </w:pPr>
            <w:r>
              <w:t>难</w:t>
            </w:r>
          </w:p>
        </w:tc>
        <w:tc>
          <w:tcPr>
            <w:tcW w:w="1028" w:type="pct"/>
            <w:vMerge w:val="restart"/>
            <w:vAlign w:val="center"/>
          </w:tcPr>
          <w:p w14:paraId="58D5C0C8" w14:textId="77777777" w:rsidR="002E474C" w:rsidRDefault="00000000">
            <w:pPr>
              <w:pStyle w:val="A-"/>
            </w:pPr>
            <w:r>
              <w:t>重金属、持久性有机物污染物</w:t>
            </w:r>
          </w:p>
        </w:tc>
        <w:tc>
          <w:tcPr>
            <w:tcW w:w="1540" w:type="pct"/>
            <w:vMerge w:val="restart"/>
            <w:vAlign w:val="center"/>
          </w:tcPr>
          <w:p w14:paraId="1B518F93" w14:textId="77777777" w:rsidR="002E474C" w:rsidRDefault="00000000">
            <w:pPr>
              <w:pStyle w:val="A-"/>
            </w:pPr>
            <w:r>
              <w:t>等效黏土防渗层</w:t>
            </w:r>
            <w:r>
              <w:t>Mb≥6.0m</w:t>
            </w:r>
            <w:r>
              <w:t>，</w:t>
            </w:r>
            <w:r>
              <w:t>K≤1×10</w:t>
            </w:r>
            <w:r>
              <w:rPr>
                <w:vertAlign w:val="superscript"/>
              </w:rPr>
              <w:t>-7</w:t>
            </w:r>
            <w:r>
              <w:t>cm/s</w:t>
            </w:r>
            <w:r>
              <w:t>；或参照</w:t>
            </w:r>
            <w:r>
              <w:t>GB18598</w:t>
            </w:r>
            <w:r>
              <w:t>执行</w:t>
            </w:r>
          </w:p>
        </w:tc>
      </w:tr>
      <w:tr w:rsidR="002E474C" w14:paraId="6E3F5B06" w14:textId="77777777">
        <w:trPr>
          <w:trHeight w:val="285"/>
        </w:trPr>
        <w:tc>
          <w:tcPr>
            <w:tcW w:w="772" w:type="pct"/>
            <w:vMerge/>
            <w:vAlign w:val="center"/>
          </w:tcPr>
          <w:p w14:paraId="7D0F33D9" w14:textId="77777777" w:rsidR="002E474C" w:rsidRDefault="002E474C">
            <w:pPr>
              <w:pStyle w:val="A-"/>
            </w:pPr>
          </w:p>
        </w:tc>
        <w:tc>
          <w:tcPr>
            <w:tcW w:w="869" w:type="pct"/>
            <w:vAlign w:val="center"/>
          </w:tcPr>
          <w:p w14:paraId="4B45182C" w14:textId="77777777" w:rsidR="002E474C" w:rsidRDefault="00000000">
            <w:pPr>
              <w:pStyle w:val="A-"/>
            </w:pPr>
            <w:r>
              <w:t>中</w:t>
            </w:r>
            <w:r>
              <w:t>-</w:t>
            </w:r>
            <w:r>
              <w:t>强</w:t>
            </w:r>
          </w:p>
        </w:tc>
        <w:tc>
          <w:tcPr>
            <w:tcW w:w="791" w:type="pct"/>
            <w:vAlign w:val="center"/>
          </w:tcPr>
          <w:p w14:paraId="34BD3211" w14:textId="77777777" w:rsidR="002E474C" w:rsidRDefault="00000000">
            <w:pPr>
              <w:pStyle w:val="A-"/>
            </w:pPr>
            <w:r>
              <w:t>难</w:t>
            </w:r>
          </w:p>
        </w:tc>
        <w:tc>
          <w:tcPr>
            <w:tcW w:w="1028" w:type="pct"/>
            <w:vMerge/>
            <w:vAlign w:val="center"/>
          </w:tcPr>
          <w:p w14:paraId="59368719" w14:textId="77777777" w:rsidR="002E474C" w:rsidRDefault="002E474C">
            <w:pPr>
              <w:pStyle w:val="A-"/>
            </w:pPr>
          </w:p>
        </w:tc>
        <w:tc>
          <w:tcPr>
            <w:tcW w:w="1540" w:type="pct"/>
            <w:vMerge/>
            <w:vAlign w:val="center"/>
          </w:tcPr>
          <w:p w14:paraId="1BE9AA84" w14:textId="77777777" w:rsidR="002E474C" w:rsidRDefault="002E474C">
            <w:pPr>
              <w:pStyle w:val="A-"/>
            </w:pPr>
          </w:p>
        </w:tc>
      </w:tr>
      <w:tr w:rsidR="002E474C" w14:paraId="53B4BC84" w14:textId="77777777">
        <w:trPr>
          <w:trHeight w:val="299"/>
        </w:trPr>
        <w:tc>
          <w:tcPr>
            <w:tcW w:w="772" w:type="pct"/>
            <w:vMerge/>
            <w:vAlign w:val="center"/>
          </w:tcPr>
          <w:p w14:paraId="0F93E38D" w14:textId="77777777" w:rsidR="002E474C" w:rsidRDefault="002E474C">
            <w:pPr>
              <w:pStyle w:val="A-"/>
            </w:pPr>
          </w:p>
        </w:tc>
        <w:tc>
          <w:tcPr>
            <w:tcW w:w="869" w:type="pct"/>
            <w:vAlign w:val="center"/>
          </w:tcPr>
          <w:p w14:paraId="378D6121" w14:textId="77777777" w:rsidR="002E474C" w:rsidRDefault="00000000">
            <w:pPr>
              <w:pStyle w:val="A-"/>
            </w:pPr>
            <w:r>
              <w:t>弱</w:t>
            </w:r>
          </w:p>
        </w:tc>
        <w:tc>
          <w:tcPr>
            <w:tcW w:w="791" w:type="pct"/>
            <w:vAlign w:val="center"/>
          </w:tcPr>
          <w:p w14:paraId="45D3FEB6" w14:textId="77777777" w:rsidR="002E474C" w:rsidRDefault="00000000">
            <w:pPr>
              <w:pStyle w:val="A-"/>
            </w:pPr>
            <w:r>
              <w:t>易</w:t>
            </w:r>
          </w:p>
        </w:tc>
        <w:tc>
          <w:tcPr>
            <w:tcW w:w="1028" w:type="pct"/>
            <w:vMerge/>
            <w:vAlign w:val="center"/>
          </w:tcPr>
          <w:p w14:paraId="70DF7025" w14:textId="77777777" w:rsidR="002E474C" w:rsidRDefault="002E474C">
            <w:pPr>
              <w:pStyle w:val="A-"/>
            </w:pPr>
          </w:p>
        </w:tc>
        <w:tc>
          <w:tcPr>
            <w:tcW w:w="1540" w:type="pct"/>
            <w:vMerge/>
            <w:vAlign w:val="center"/>
          </w:tcPr>
          <w:p w14:paraId="46DE2816" w14:textId="77777777" w:rsidR="002E474C" w:rsidRDefault="002E474C">
            <w:pPr>
              <w:pStyle w:val="A-"/>
            </w:pPr>
          </w:p>
        </w:tc>
      </w:tr>
      <w:tr w:rsidR="002E474C" w14:paraId="6D413051" w14:textId="77777777">
        <w:trPr>
          <w:trHeight w:val="299"/>
        </w:trPr>
        <w:tc>
          <w:tcPr>
            <w:tcW w:w="772" w:type="pct"/>
            <w:vMerge w:val="restart"/>
            <w:vAlign w:val="center"/>
          </w:tcPr>
          <w:p w14:paraId="57B0FCB4" w14:textId="77777777" w:rsidR="002E474C" w:rsidRDefault="00000000">
            <w:pPr>
              <w:pStyle w:val="A-"/>
            </w:pPr>
            <w:r>
              <w:t>一般防渗区</w:t>
            </w:r>
          </w:p>
        </w:tc>
        <w:tc>
          <w:tcPr>
            <w:tcW w:w="869" w:type="pct"/>
            <w:vAlign w:val="center"/>
          </w:tcPr>
          <w:p w14:paraId="3BDB5CAF" w14:textId="77777777" w:rsidR="002E474C" w:rsidRDefault="00000000">
            <w:pPr>
              <w:pStyle w:val="A-"/>
            </w:pPr>
            <w:r>
              <w:t>弱</w:t>
            </w:r>
          </w:p>
        </w:tc>
        <w:tc>
          <w:tcPr>
            <w:tcW w:w="791" w:type="pct"/>
            <w:vAlign w:val="center"/>
          </w:tcPr>
          <w:p w14:paraId="697F7080" w14:textId="77777777" w:rsidR="002E474C" w:rsidRDefault="00000000">
            <w:pPr>
              <w:pStyle w:val="A-"/>
            </w:pPr>
            <w:r>
              <w:t>易</w:t>
            </w:r>
            <w:r>
              <w:t>-</w:t>
            </w:r>
            <w:r>
              <w:t>难</w:t>
            </w:r>
          </w:p>
        </w:tc>
        <w:tc>
          <w:tcPr>
            <w:tcW w:w="1028" w:type="pct"/>
            <w:vMerge w:val="restart"/>
            <w:vAlign w:val="center"/>
          </w:tcPr>
          <w:p w14:paraId="590BD0EA" w14:textId="77777777" w:rsidR="002E474C" w:rsidRDefault="00000000">
            <w:pPr>
              <w:pStyle w:val="A-"/>
            </w:pPr>
            <w:r>
              <w:t>其他类型</w:t>
            </w:r>
          </w:p>
        </w:tc>
        <w:tc>
          <w:tcPr>
            <w:tcW w:w="1540" w:type="pct"/>
            <w:vMerge w:val="restart"/>
            <w:vAlign w:val="center"/>
          </w:tcPr>
          <w:p w14:paraId="355A88DC" w14:textId="77777777" w:rsidR="002E474C" w:rsidRDefault="00000000">
            <w:pPr>
              <w:pStyle w:val="A-"/>
            </w:pPr>
            <w:r>
              <w:t>等效黏土防渗层</w:t>
            </w:r>
            <w:r>
              <w:t>Mb≥1.5m</w:t>
            </w:r>
            <w:r>
              <w:t>，</w:t>
            </w:r>
            <w:r>
              <w:t>K≤1×10</w:t>
            </w:r>
            <w:r>
              <w:rPr>
                <w:vertAlign w:val="superscript"/>
              </w:rPr>
              <w:t>-7</w:t>
            </w:r>
            <w:r>
              <w:t>cm/s</w:t>
            </w:r>
            <w:r>
              <w:t>；或参照</w:t>
            </w:r>
            <w:r>
              <w:t>GB16889</w:t>
            </w:r>
            <w:r>
              <w:t>执行</w:t>
            </w:r>
          </w:p>
        </w:tc>
      </w:tr>
      <w:tr w:rsidR="002E474C" w14:paraId="2B84D908" w14:textId="77777777">
        <w:trPr>
          <w:trHeight w:val="299"/>
        </w:trPr>
        <w:tc>
          <w:tcPr>
            <w:tcW w:w="772" w:type="pct"/>
            <w:vMerge/>
            <w:vAlign w:val="center"/>
          </w:tcPr>
          <w:p w14:paraId="78E78FCE" w14:textId="77777777" w:rsidR="002E474C" w:rsidRDefault="002E474C">
            <w:pPr>
              <w:pStyle w:val="A-"/>
            </w:pPr>
          </w:p>
        </w:tc>
        <w:tc>
          <w:tcPr>
            <w:tcW w:w="869" w:type="pct"/>
            <w:vAlign w:val="center"/>
          </w:tcPr>
          <w:p w14:paraId="6684BFC1" w14:textId="77777777" w:rsidR="002E474C" w:rsidRDefault="00000000">
            <w:pPr>
              <w:pStyle w:val="A-"/>
            </w:pPr>
            <w:r>
              <w:t>中</w:t>
            </w:r>
            <w:r>
              <w:t>-</w:t>
            </w:r>
            <w:r>
              <w:t>强</w:t>
            </w:r>
          </w:p>
        </w:tc>
        <w:tc>
          <w:tcPr>
            <w:tcW w:w="791" w:type="pct"/>
            <w:vAlign w:val="center"/>
          </w:tcPr>
          <w:p w14:paraId="0DBD3AF0" w14:textId="77777777" w:rsidR="002E474C" w:rsidRDefault="00000000">
            <w:pPr>
              <w:pStyle w:val="A-"/>
            </w:pPr>
            <w:r>
              <w:t>难</w:t>
            </w:r>
          </w:p>
        </w:tc>
        <w:tc>
          <w:tcPr>
            <w:tcW w:w="1028" w:type="pct"/>
            <w:vMerge/>
            <w:vAlign w:val="center"/>
          </w:tcPr>
          <w:p w14:paraId="2F8ACB47" w14:textId="77777777" w:rsidR="002E474C" w:rsidRDefault="002E474C">
            <w:pPr>
              <w:pStyle w:val="A-"/>
            </w:pPr>
          </w:p>
        </w:tc>
        <w:tc>
          <w:tcPr>
            <w:tcW w:w="1540" w:type="pct"/>
            <w:vMerge/>
            <w:vAlign w:val="center"/>
          </w:tcPr>
          <w:p w14:paraId="7AA51E35" w14:textId="77777777" w:rsidR="002E474C" w:rsidRDefault="002E474C">
            <w:pPr>
              <w:pStyle w:val="A-"/>
            </w:pPr>
          </w:p>
        </w:tc>
      </w:tr>
      <w:tr w:rsidR="002E474C" w14:paraId="1F57E5EB" w14:textId="77777777">
        <w:trPr>
          <w:trHeight w:val="299"/>
        </w:trPr>
        <w:tc>
          <w:tcPr>
            <w:tcW w:w="772" w:type="pct"/>
            <w:vMerge/>
            <w:vAlign w:val="center"/>
          </w:tcPr>
          <w:p w14:paraId="2286D276" w14:textId="77777777" w:rsidR="002E474C" w:rsidRDefault="002E474C">
            <w:pPr>
              <w:pStyle w:val="A-"/>
            </w:pPr>
          </w:p>
        </w:tc>
        <w:tc>
          <w:tcPr>
            <w:tcW w:w="869" w:type="pct"/>
            <w:vAlign w:val="center"/>
          </w:tcPr>
          <w:p w14:paraId="2944C871" w14:textId="77777777" w:rsidR="002E474C" w:rsidRDefault="00000000">
            <w:pPr>
              <w:pStyle w:val="A-"/>
            </w:pPr>
            <w:r>
              <w:t>中</w:t>
            </w:r>
          </w:p>
        </w:tc>
        <w:tc>
          <w:tcPr>
            <w:tcW w:w="791" w:type="pct"/>
            <w:vAlign w:val="center"/>
          </w:tcPr>
          <w:p w14:paraId="4ECA6D25" w14:textId="77777777" w:rsidR="002E474C" w:rsidRDefault="00000000">
            <w:pPr>
              <w:pStyle w:val="A-"/>
            </w:pPr>
            <w:r>
              <w:t>易</w:t>
            </w:r>
          </w:p>
        </w:tc>
        <w:tc>
          <w:tcPr>
            <w:tcW w:w="1028" w:type="pct"/>
            <w:vMerge w:val="restart"/>
            <w:vAlign w:val="center"/>
          </w:tcPr>
          <w:p w14:paraId="46C9F2F7" w14:textId="77777777" w:rsidR="002E474C" w:rsidRDefault="00000000">
            <w:pPr>
              <w:pStyle w:val="A-"/>
            </w:pPr>
            <w:r>
              <w:t>重金属、持久性有机物污染物</w:t>
            </w:r>
          </w:p>
        </w:tc>
        <w:tc>
          <w:tcPr>
            <w:tcW w:w="1540" w:type="pct"/>
            <w:vMerge/>
            <w:vAlign w:val="center"/>
          </w:tcPr>
          <w:p w14:paraId="4C7AD55B" w14:textId="77777777" w:rsidR="002E474C" w:rsidRDefault="002E474C">
            <w:pPr>
              <w:pStyle w:val="A-"/>
            </w:pPr>
          </w:p>
        </w:tc>
      </w:tr>
      <w:tr w:rsidR="002E474C" w14:paraId="10234E21" w14:textId="77777777">
        <w:trPr>
          <w:trHeight w:val="313"/>
        </w:trPr>
        <w:tc>
          <w:tcPr>
            <w:tcW w:w="772" w:type="pct"/>
            <w:vMerge/>
            <w:vAlign w:val="center"/>
          </w:tcPr>
          <w:p w14:paraId="0A1C2464" w14:textId="77777777" w:rsidR="002E474C" w:rsidRDefault="002E474C">
            <w:pPr>
              <w:pStyle w:val="A-"/>
            </w:pPr>
          </w:p>
        </w:tc>
        <w:tc>
          <w:tcPr>
            <w:tcW w:w="869" w:type="pct"/>
            <w:vAlign w:val="center"/>
          </w:tcPr>
          <w:p w14:paraId="74ACD6C2" w14:textId="77777777" w:rsidR="002E474C" w:rsidRDefault="00000000">
            <w:pPr>
              <w:pStyle w:val="A-"/>
            </w:pPr>
            <w:r>
              <w:t>强</w:t>
            </w:r>
          </w:p>
        </w:tc>
        <w:tc>
          <w:tcPr>
            <w:tcW w:w="791" w:type="pct"/>
            <w:vAlign w:val="center"/>
          </w:tcPr>
          <w:p w14:paraId="25B7C6CA" w14:textId="77777777" w:rsidR="002E474C" w:rsidRDefault="00000000">
            <w:pPr>
              <w:pStyle w:val="A-"/>
            </w:pPr>
            <w:r>
              <w:t>易</w:t>
            </w:r>
          </w:p>
        </w:tc>
        <w:tc>
          <w:tcPr>
            <w:tcW w:w="1028" w:type="pct"/>
            <w:vMerge/>
            <w:vAlign w:val="center"/>
          </w:tcPr>
          <w:p w14:paraId="16520608" w14:textId="77777777" w:rsidR="002E474C" w:rsidRDefault="002E474C">
            <w:pPr>
              <w:pStyle w:val="A-"/>
            </w:pPr>
          </w:p>
        </w:tc>
        <w:tc>
          <w:tcPr>
            <w:tcW w:w="1540" w:type="pct"/>
            <w:vMerge/>
            <w:vAlign w:val="center"/>
          </w:tcPr>
          <w:p w14:paraId="63BE21CB" w14:textId="77777777" w:rsidR="002E474C" w:rsidRDefault="002E474C">
            <w:pPr>
              <w:pStyle w:val="A-"/>
            </w:pPr>
          </w:p>
        </w:tc>
      </w:tr>
      <w:tr w:rsidR="002E474C" w14:paraId="6C54D476" w14:textId="77777777">
        <w:trPr>
          <w:trHeight w:val="299"/>
        </w:trPr>
        <w:tc>
          <w:tcPr>
            <w:tcW w:w="772" w:type="pct"/>
            <w:vAlign w:val="center"/>
          </w:tcPr>
          <w:p w14:paraId="3578F240" w14:textId="77777777" w:rsidR="002E474C" w:rsidRDefault="00000000">
            <w:pPr>
              <w:pStyle w:val="A-"/>
            </w:pPr>
            <w:r>
              <w:t>简单防渗区</w:t>
            </w:r>
          </w:p>
        </w:tc>
        <w:tc>
          <w:tcPr>
            <w:tcW w:w="869" w:type="pct"/>
            <w:vAlign w:val="center"/>
          </w:tcPr>
          <w:p w14:paraId="7BF245CE" w14:textId="77777777" w:rsidR="002E474C" w:rsidRDefault="00000000">
            <w:pPr>
              <w:pStyle w:val="A-"/>
            </w:pPr>
            <w:r>
              <w:t>中</w:t>
            </w:r>
            <w:r>
              <w:t>-</w:t>
            </w:r>
            <w:r>
              <w:t>强</w:t>
            </w:r>
          </w:p>
        </w:tc>
        <w:tc>
          <w:tcPr>
            <w:tcW w:w="791" w:type="pct"/>
            <w:vAlign w:val="center"/>
          </w:tcPr>
          <w:p w14:paraId="186CF7C2" w14:textId="77777777" w:rsidR="002E474C" w:rsidRDefault="00000000">
            <w:pPr>
              <w:pStyle w:val="A-"/>
            </w:pPr>
            <w:r>
              <w:t>易</w:t>
            </w:r>
          </w:p>
        </w:tc>
        <w:tc>
          <w:tcPr>
            <w:tcW w:w="1028" w:type="pct"/>
            <w:vAlign w:val="center"/>
          </w:tcPr>
          <w:p w14:paraId="27699423" w14:textId="77777777" w:rsidR="002E474C" w:rsidRDefault="00000000">
            <w:pPr>
              <w:pStyle w:val="A-"/>
            </w:pPr>
            <w:r>
              <w:t>其他类型</w:t>
            </w:r>
          </w:p>
        </w:tc>
        <w:tc>
          <w:tcPr>
            <w:tcW w:w="1540" w:type="pct"/>
            <w:vAlign w:val="center"/>
          </w:tcPr>
          <w:p w14:paraId="1864C135" w14:textId="77777777" w:rsidR="002E474C" w:rsidRDefault="00000000">
            <w:pPr>
              <w:pStyle w:val="A-"/>
            </w:pPr>
            <w:r>
              <w:t>一般地面硬化</w:t>
            </w:r>
          </w:p>
        </w:tc>
      </w:tr>
    </w:tbl>
    <w:p w14:paraId="0D679447" w14:textId="77777777" w:rsidR="002E474C" w:rsidRDefault="002E474C">
      <w:pPr>
        <w:pStyle w:val="w3"/>
      </w:pPr>
    </w:p>
    <w:p w14:paraId="59B0205D" w14:textId="77777777" w:rsidR="002E474C" w:rsidRDefault="00000000">
      <w:pPr>
        <w:pStyle w:val="A-z"/>
        <w:rPr>
          <w:color w:val="auto"/>
        </w:rPr>
      </w:pPr>
      <w:r>
        <w:rPr>
          <w:color w:val="auto"/>
        </w:rPr>
        <w:t>本项目厂区岩（土）层单层厚度</w:t>
      </w:r>
      <w:r>
        <w:rPr>
          <w:color w:val="auto"/>
        </w:rPr>
        <w:t>Mb</w:t>
      </w:r>
      <w:r>
        <w:rPr>
          <w:color w:val="auto"/>
        </w:rPr>
        <w:t>＞</w:t>
      </w:r>
      <w:r>
        <w:rPr>
          <w:color w:val="auto"/>
        </w:rPr>
        <w:t>1.0m</w:t>
      </w:r>
      <w:r>
        <w:rPr>
          <w:color w:val="auto"/>
        </w:rPr>
        <w:t>，包气带的渗透系数</w:t>
      </w:r>
      <w:r>
        <w:rPr>
          <w:color w:val="auto"/>
        </w:rPr>
        <w:t>0.035cm/s</w:t>
      </w:r>
      <w:r>
        <w:rPr>
          <w:color w:val="auto"/>
        </w:rPr>
        <w:t>之间，防污性能为弱，本项目污染防治分区见表</w:t>
      </w:r>
      <w:r>
        <w:rPr>
          <w:color w:val="auto"/>
        </w:rPr>
        <w:t>6.2</w:t>
      </w:r>
      <w:r>
        <w:rPr>
          <w:color w:val="auto"/>
        </w:rPr>
        <w:noBreakHyphen/>
        <w:t>4</w:t>
      </w:r>
      <w:r>
        <w:rPr>
          <w:color w:val="auto"/>
        </w:rPr>
        <w:t>。</w:t>
      </w:r>
    </w:p>
    <w:p w14:paraId="54D66EF1" w14:textId="77777777" w:rsidR="002E474C" w:rsidRDefault="00000000">
      <w:pPr>
        <w:pStyle w:val="A--"/>
        <w:rPr>
          <w:color w:val="auto"/>
        </w:rPr>
      </w:pPr>
      <w:bookmarkStart w:id="347" w:name="_Ref131756098"/>
      <w:r>
        <w:rPr>
          <w:color w:val="auto"/>
        </w:rPr>
        <w:t>表</w:t>
      </w:r>
      <w:r>
        <w:rPr>
          <w:color w:val="auto"/>
        </w:rPr>
        <w:t>6.2</w:t>
      </w:r>
      <w:r>
        <w:rPr>
          <w:color w:val="auto"/>
        </w:rPr>
        <w:noBreakHyphen/>
        <w:t>4</w:t>
      </w:r>
      <w:bookmarkEnd w:id="347"/>
      <w:r>
        <w:rPr>
          <w:color w:val="auto"/>
        </w:rPr>
        <w:t xml:space="preserve">  </w:t>
      </w:r>
      <w:r>
        <w:rPr>
          <w:color w:val="auto"/>
        </w:rPr>
        <w:t>项目污染防治分区表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5"/>
        <w:gridCol w:w="2179"/>
        <w:gridCol w:w="1035"/>
        <w:gridCol w:w="2102"/>
        <w:gridCol w:w="1785"/>
      </w:tblGrid>
      <w:tr w:rsidR="002E474C" w14:paraId="180517DC" w14:textId="77777777">
        <w:trPr>
          <w:jc w:val="center"/>
        </w:trPr>
        <w:tc>
          <w:tcPr>
            <w:tcW w:w="720" w:type="pct"/>
            <w:vAlign w:val="center"/>
          </w:tcPr>
          <w:p w14:paraId="416B079D" w14:textId="77777777" w:rsidR="002E474C" w:rsidRDefault="00000000">
            <w:pPr>
              <w:pStyle w:val="A-"/>
              <w:rPr>
                <w:lang w:val="zh-CN" w:bidi="zh-CN"/>
              </w:rPr>
            </w:pPr>
            <w:r>
              <w:rPr>
                <w:lang w:val="zh-CN" w:bidi="zh-CN"/>
              </w:rPr>
              <w:lastRenderedPageBreak/>
              <w:t>分区类别</w:t>
            </w:r>
          </w:p>
        </w:tc>
        <w:tc>
          <w:tcPr>
            <w:tcW w:w="1313" w:type="pct"/>
            <w:vAlign w:val="center"/>
          </w:tcPr>
          <w:p w14:paraId="420FF9BC" w14:textId="77777777" w:rsidR="002E474C" w:rsidRDefault="00000000">
            <w:pPr>
              <w:pStyle w:val="A-"/>
              <w:rPr>
                <w:lang w:val="zh-CN" w:bidi="zh-CN"/>
              </w:rPr>
            </w:pPr>
            <w:r>
              <w:rPr>
                <w:lang w:val="zh-CN" w:bidi="zh-CN"/>
              </w:rPr>
              <w:t>防渗区域</w:t>
            </w:r>
          </w:p>
        </w:tc>
        <w:tc>
          <w:tcPr>
            <w:tcW w:w="624" w:type="pct"/>
            <w:vAlign w:val="center"/>
          </w:tcPr>
          <w:p w14:paraId="79EC8A1E" w14:textId="77777777" w:rsidR="002E474C" w:rsidRDefault="00000000">
            <w:pPr>
              <w:pStyle w:val="A-"/>
              <w:rPr>
                <w:lang w:val="zh-CN" w:bidi="zh-CN"/>
              </w:rPr>
            </w:pPr>
            <w:r>
              <w:rPr>
                <w:lang w:val="zh-CN" w:bidi="zh-CN"/>
              </w:rPr>
              <w:t>污染控制</w:t>
            </w:r>
          </w:p>
          <w:p w14:paraId="027BA587" w14:textId="77777777" w:rsidR="002E474C" w:rsidRDefault="00000000">
            <w:pPr>
              <w:pStyle w:val="A-"/>
              <w:rPr>
                <w:lang w:val="zh-CN" w:bidi="zh-CN"/>
              </w:rPr>
            </w:pPr>
            <w:r>
              <w:rPr>
                <w:lang w:val="zh-CN" w:bidi="zh-CN"/>
              </w:rPr>
              <w:t>难易程度</w:t>
            </w:r>
          </w:p>
        </w:tc>
        <w:tc>
          <w:tcPr>
            <w:tcW w:w="1267" w:type="pct"/>
            <w:vAlign w:val="center"/>
          </w:tcPr>
          <w:p w14:paraId="5C89CCA3" w14:textId="77777777" w:rsidR="002E474C" w:rsidRDefault="00000000">
            <w:pPr>
              <w:pStyle w:val="A-"/>
              <w:rPr>
                <w:lang w:val="zh-CN" w:bidi="zh-CN"/>
              </w:rPr>
            </w:pPr>
            <w:r>
              <w:rPr>
                <w:lang w:val="zh-CN" w:bidi="zh-CN"/>
              </w:rPr>
              <w:t>污染物类型</w:t>
            </w:r>
          </w:p>
        </w:tc>
        <w:tc>
          <w:tcPr>
            <w:tcW w:w="1076" w:type="pct"/>
            <w:vAlign w:val="center"/>
          </w:tcPr>
          <w:p w14:paraId="2D7C6395" w14:textId="77777777" w:rsidR="002E474C" w:rsidRDefault="00000000">
            <w:pPr>
              <w:pStyle w:val="A-"/>
              <w:rPr>
                <w:lang w:val="zh-CN" w:bidi="zh-CN"/>
              </w:rPr>
            </w:pPr>
            <w:r>
              <w:rPr>
                <w:lang w:val="zh-CN" w:bidi="zh-CN"/>
              </w:rPr>
              <w:t>防渗性能要求</w:t>
            </w:r>
          </w:p>
        </w:tc>
      </w:tr>
      <w:tr w:rsidR="002E474C" w14:paraId="6405C96F" w14:textId="77777777">
        <w:trPr>
          <w:jc w:val="center"/>
        </w:trPr>
        <w:tc>
          <w:tcPr>
            <w:tcW w:w="720" w:type="pct"/>
            <w:vMerge w:val="restart"/>
            <w:vAlign w:val="center"/>
          </w:tcPr>
          <w:p w14:paraId="16710667" w14:textId="77777777" w:rsidR="002E474C" w:rsidRDefault="00000000">
            <w:pPr>
              <w:pStyle w:val="A-"/>
              <w:rPr>
                <w:lang w:val="zh-CN" w:bidi="zh-CN"/>
              </w:rPr>
            </w:pPr>
            <w:r>
              <w:rPr>
                <w:lang w:val="zh-CN" w:bidi="zh-CN"/>
              </w:rPr>
              <w:t>重点防渗区</w:t>
            </w:r>
          </w:p>
        </w:tc>
        <w:tc>
          <w:tcPr>
            <w:tcW w:w="1313" w:type="pct"/>
            <w:vAlign w:val="center"/>
          </w:tcPr>
          <w:p w14:paraId="090F48BB" w14:textId="77777777" w:rsidR="002E474C" w:rsidRDefault="00000000">
            <w:pPr>
              <w:pStyle w:val="A-"/>
              <w:rPr>
                <w:lang w:val="zh-CN" w:bidi="zh-CN"/>
              </w:rPr>
            </w:pPr>
            <w:r>
              <w:rPr>
                <w:lang w:val="zh-CN" w:bidi="zh-CN"/>
              </w:rPr>
              <w:t>危废贮存库、固态危废预处理车间、液态处置车间、清洗间</w:t>
            </w:r>
          </w:p>
        </w:tc>
        <w:tc>
          <w:tcPr>
            <w:tcW w:w="624" w:type="pct"/>
            <w:vAlign w:val="center"/>
          </w:tcPr>
          <w:p w14:paraId="2A65E0F6" w14:textId="77777777" w:rsidR="002E474C" w:rsidRDefault="00000000">
            <w:pPr>
              <w:pStyle w:val="A-"/>
              <w:rPr>
                <w:lang w:val="zh-CN" w:bidi="zh-CN"/>
              </w:rPr>
            </w:pPr>
            <w:r>
              <w:rPr>
                <w:lang w:val="zh-CN" w:bidi="zh-CN"/>
              </w:rPr>
              <w:t>难</w:t>
            </w:r>
          </w:p>
        </w:tc>
        <w:tc>
          <w:tcPr>
            <w:tcW w:w="1267" w:type="pct"/>
            <w:vAlign w:val="center"/>
          </w:tcPr>
          <w:p w14:paraId="21740B98" w14:textId="77777777" w:rsidR="002E474C" w:rsidRDefault="00000000">
            <w:pPr>
              <w:pStyle w:val="A-"/>
              <w:rPr>
                <w:lang w:val="zh-CN" w:bidi="zh-CN"/>
              </w:rPr>
            </w:pPr>
            <w:r>
              <w:rPr>
                <w:lang w:val="zh-CN" w:bidi="zh-CN"/>
              </w:rPr>
              <w:t>重金属、持久性有机物</w:t>
            </w:r>
          </w:p>
        </w:tc>
        <w:tc>
          <w:tcPr>
            <w:tcW w:w="1076" w:type="pct"/>
            <w:vMerge w:val="restart"/>
            <w:vAlign w:val="center"/>
          </w:tcPr>
          <w:p w14:paraId="7BED91F8" w14:textId="77777777" w:rsidR="002E474C" w:rsidRDefault="00000000">
            <w:pPr>
              <w:pStyle w:val="A-"/>
              <w:rPr>
                <w:rFonts w:eastAsia="Times New Roman"/>
                <w:lang w:val="zh-CN" w:bidi="zh-CN"/>
              </w:rPr>
            </w:pPr>
            <w:r>
              <w:rPr>
                <w:lang w:val="zh-CN" w:bidi="zh-CN"/>
              </w:rPr>
              <w:t>等效黏土防渗层</w:t>
            </w:r>
            <w:r>
              <w:rPr>
                <w:lang w:val="zh-CN" w:bidi="zh-CN"/>
              </w:rPr>
              <w:t>Mb≥6.0m</w:t>
            </w:r>
            <w:r>
              <w:rPr>
                <w:lang w:val="zh-CN" w:bidi="zh-CN"/>
              </w:rPr>
              <w:t>，</w:t>
            </w:r>
            <w:r>
              <w:rPr>
                <w:lang w:val="zh-CN" w:bidi="zh-CN"/>
              </w:rPr>
              <w:t>K≤1×10</w:t>
            </w:r>
            <w:r>
              <w:rPr>
                <w:vertAlign w:val="superscript"/>
                <w:lang w:val="zh-CN" w:bidi="zh-CN"/>
              </w:rPr>
              <w:t>-7</w:t>
            </w:r>
            <w:r>
              <w:rPr>
                <w:lang w:val="zh-CN" w:bidi="zh-CN"/>
              </w:rPr>
              <w:t>cm/s</w:t>
            </w:r>
            <w:r>
              <w:rPr>
                <w:lang w:val="zh-CN" w:bidi="zh-CN"/>
              </w:rPr>
              <w:t>；或参照</w:t>
            </w:r>
            <w:r>
              <w:rPr>
                <w:lang w:val="zh-CN" w:bidi="zh-CN"/>
              </w:rPr>
              <w:t>GB18598</w:t>
            </w:r>
            <w:r>
              <w:rPr>
                <w:lang w:val="zh-CN" w:bidi="zh-CN"/>
              </w:rPr>
              <w:t>执行</w:t>
            </w:r>
          </w:p>
        </w:tc>
      </w:tr>
      <w:tr w:rsidR="002E474C" w14:paraId="389C77E8" w14:textId="77777777">
        <w:trPr>
          <w:jc w:val="center"/>
        </w:trPr>
        <w:tc>
          <w:tcPr>
            <w:tcW w:w="720" w:type="pct"/>
            <w:vMerge/>
            <w:vAlign w:val="center"/>
          </w:tcPr>
          <w:p w14:paraId="4D0D885B" w14:textId="77777777" w:rsidR="002E474C" w:rsidRDefault="002E474C">
            <w:pPr>
              <w:pStyle w:val="A-"/>
              <w:rPr>
                <w:lang w:val="zh-CN" w:bidi="zh-CN"/>
              </w:rPr>
            </w:pPr>
          </w:p>
        </w:tc>
        <w:tc>
          <w:tcPr>
            <w:tcW w:w="1313" w:type="pct"/>
            <w:vAlign w:val="center"/>
          </w:tcPr>
          <w:p w14:paraId="1B34ED84" w14:textId="77777777" w:rsidR="002E474C" w:rsidRDefault="00000000">
            <w:pPr>
              <w:pStyle w:val="A-"/>
              <w:rPr>
                <w:lang w:val="zh-CN" w:bidi="zh-CN"/>
              </w:rPr>
            </w:pPr>
            <w:r>
              <w:rPr>
                <w:lang w:val="zh-CN" w:bidi="zh-CN"/>
              </w:rPr>
              <w:t>废水收集池、事故池、初期雨水池、集液池</w:t>
            </w:r>
          </w:p>
        </w:tc>
        <w:tc>
          <w:tcPr>
            <w:tcW w:w="624" w:type="pct"/>
            <w:vAlign w:val="center"/>
          </w:tcPr>
          <w:p w14:paraId="5888AE5A" w14:textId="77777777" w:rsidR="002E474C" w:rsidRDefault="00000000">
            <w:pPr>
              <w:pStyle w:val="A-"/>
              <w:rPr>
                <w:lang w:val="zh-CN" w:bidi="zh-CN"/>
              </w:rPr>
            </w:pPr>
            <w:r>
              <w:rPr>
                <w:lang w:val="zh-CN" w:bidi="zh-CN"/>
              </w:rPr>
              <w:t>难</w:t>
            </w:r>
          </w:p>
        </w:tc>
        <w:tc>
          <w:tcPr>
            <w:tcW w:w="1267" w:type="pct"/>
            <w:vAlign w:val="center"/>
          </w:tcPr>
          <w:p w14:paraId="0E95A4E4" w14:textId="77777777" w:rsidR="002E474C" w:rsidRDefault="00000000">
            <w:pPr>
              <w:pStyle w:val="A-"/>
              <w:rPr>
                <w:lang w:val="zh-CN" w:bidi="zh-CN"/>
              </w:rPr>
            </w:pPr>
            <w:r>
              <w:rPr>
                <w:lang w:val="zh-CN" w:bidi="zh-CN"/>
              </w:rPr>
              <w:t>重金属、持久性有机物</w:t>
            </w:r>
          </w:p>
        </w:tc>
        <w:tc>
          <w:tcPr>
            <w:tcW w:w="1076" w:type="pct"/>
            <w:vMerge/>
            <w:vAlign w:val="center"/>
          </w:tcPr>
          <w:p w14:paraId="1DE36B6A" w14:textId="77777777" w:rsidR="002E474C" w:rsidRDefault="002E474C">
            <w:pPr>
              <w:pStyle w:val="A-"/>
              <w:rPr>
                <w:lang w:val="zh-CN" w:bidi="zh-CN"/>
              </w:rPr>
            </w:pPr>
          </w:p>
        </w:tc>
      </w:tr>
      <w:tr w:rsidR="002E474C" w14:paraId="293C7AE1" w14:textId="77777777">
        <w:trPr>
          <w:trHeight w:val="787"/>
          <w:jc w:val="center"/>
        </w:trPr>
        <w:tc>
          <w:tcPr>
            <w:tcW w:w="720" w:type="pct"/>
            <w:vAlign w:val="center"/>
          </w:tcPr>
          <w:p w14:paraId="65B0D42C" w14:textId="77777777" w:rsidR="002E474C" w:rsidRDefault="00000000">
            <w:pPr>
              <w:pStyle w:val="A-"/>
              <w:rPr>
                <w:lang w:val="zh-CN" w:bidi="zh-CN"/>
              </w:rPr>
            </w:pPr>
            <w:r>
              <w:rPr>
                <w:lang w:val="zh-CN" w:bidi="zh-CN"/>
              </w:rPr>
              <w:t>一般防渗区</w:t>
            </w:r>
          </w:p>
        </w:tc>
        <w:tc>
          <w:tcPr>
            <w:tcW w:w="1313" w:type="pct"/>
            <w:vAlign w:val="center"/>
          </w:tcPr>
          <w:p w14:paraId="4BC89478" w14:textId="77777777" w:rsidR="002E474C" w:rsidRDefault="00000000">
            <w:pPr>
              <w:pStyle w:val="A-"/>
              <w:rPr>
                <w:lang w:val="zh-CN" w:bidi="zh-CN"/>
              </w:rPr>
            </w:pPr>
            <w:r>
              <w:rPr>
                <w:lang w:val="zh-CN" w:bidi="zh-CN"/>
              </w:rPr>
              <w:t>地磅及危废计量、提升、输送系统区域</w:t>
            </w:r>
          </w:p>
        </w:tc>
        <w:tc>
          <w:tcPr>
            <w:tcW w:w="624" w:type="pct"/>
            <w:vAlign w:val="center"/>
          </w:tcPr>
          <w:p w14:paraId="68F49C6D" w14:textId="77777777" w:rsidR="002E474C" w:rsidRDefault="00000000">
            <w:pPr>
              <w:pStyle w:val="A-"/>
              <w:rPr>
                <w:lang w:val="zh-CN" w:bidi="zh-CN"/>
              </w:rPr>
            </w:pPr>
            <w:r>
              <w:rPr>
                <w:lang w:val="zh-CN" w:bidi="zh-CN"/>
              </w:rPr>
              <w:t>易</w:t>
            </w:r>
          </w:p>
        </w:tc>
        <w:tc>
          <w:tcPr>
            <w:tcW w:w="1267" w:type="pct"/>
            <w:vAlign w:val="center"/>
          </w:tcPr>
          <w:p w14:paraId="0B2203D4" w14:textId="77777777" w:rsidR="002E474C" w:rsidRDefault="00000000">
            <w:pPr>
              <w:pStyle w:val="A-"/>
              <w:rPr>
                <w:lang w:val="zh-CN" w:bidi="zh-CN"/>
              </w:rPr>
            </w:pPr>
            <w:r>
              <w:rPr>
                <w:lang w:val="zh-CN" w:bidi="zh-CN"/>
              </w:rPr>
              <w:t>重金属、持久性有机物</w:t>
            </w:r>
          </w:p>
        </w:tc>
        <w:tc>
          <w:tcPr>
            <w:tcW w:w="1076" w:type="pct"/>
            <w:vAlign w:val="center"/>
          </w:tcPr>
          <w:p w14:paraId="32F983A7" w14:textId="77777777" w:rsidR="002E474C" w:rsidRDefault="00000000">
            <w:pPr>
              <w:pStyle w:val="A-"/>
              <w:rPr>
                <w:lang w:val="zh-CN" w:bidi="zh-CN"/>
              </w:rPr>
            </w:pPr>
            <w:r>
              <w:t>等效黏土防渗层</w:t>
            </w:r>
            <w:r>
              <w:t>Mb≥1.5m</w:t>
            </w:r>
            <w:r>
              <w:t>，</w:t>
            </w:r>
            <w:r>
              <w:t>K≤1×10</w:t>
            </w:r>
            <w:r>
              <w:rPr>
                <w:vertAlign w:val="superscript"/>
              </w:rPr>
              <w:t>-7</w:t>
            </w:r>
            <w:r>
              <w:t>cm/s</w:t>
            </w:r>
            <w:r>
              <w:t>；或参照</w:t>
            </w:r>
            <w:r>
              <w:t>GB16889</w:t>
            </w:r>
            <w:r>
              <w:t>执行</w:t>
            </w:r>
          </w:p>
        </w:tc>
      </w:tr>
      <w:tr w:rsidR="002E474C" w14:paraId="134A84C9" w14:textId="77777777">
        <w:trPr>
          <w:trHeight w:val="787"/>
          <w:jc w:val="center"/>
        </w:trPr>
        <w:tc>
          <w:tcPr>
            <w:tcW w:w="720" w:type="pct"/>
            <w:vAlign w:val="center"/>
          </w:tcPr>
          <w:p w14:paraId="1042E215" w14:textId="77777777" w:rsidR="002E474C" w:rsidRDefault="00000000">
            <w:pPr>
              <w:pStyle w:val="A-"/>
              <w:rPr>
                <w:lang w:val="zh-CN" w:bidi="zh-CN"/>
              </w:rPr>
            </w:pPr>
            <w:r>
              <w:rPr>
                <w:lang w:val="zh-CN" w:bidi="zh-CN"/>
              </w:rPr>
              <w:t>简单防渗区</w:t>
            </w:r>
          </w:p>
        </w:tc>
        <w:tc>
          <w:tcPr>
            <w:tcW w:w="1313" w:type="pct"/>
            <w:vAlign w:val="center"/>
          </w:tcPr>
          <w:p w14:paraId="70E7F905" w14:textId="77777777" w:rsidR="002E474C" w:rsidRDefault="00000000">
            <w:pPr>
              <w:pStyle w:val="A-"/>
              <w:rPr>
                <w:lang w:val="zh-CN" w:bidi="zh-CN"/>
              </w:rPr>
            </w:pPr>
            <w:r>
              <w:rPr>
                <w:lang w:val="zh-CN" w:bidi="zh-CN"/>
              </w:rPr>
              <w:t>厂区内除重点防渗区、一般防渗区和新增绿化面积以外的区域</w:t>
            </w:r>
          </w:p>
        </w:tc>
        <w:tc>
          <w:tcPr>
            <w:tcW w:w="624" w:type="pct"/>
            <w:vAlign w:val="center"/>
          </w:tcPr>
          <w:p w14:paraId="0E493A44" w14:textId="77777777" w:rsidR="002E474C" w:rsidRDefault="00000000">
            <w:pPr>
              <w:pStyle w:val="A-"/>
              <w:rPr>
                <w:lang w:val="zh-CN" w:bidi="zh-CN"/>
              </w:rPr>
            </w:pPr>
            <w:r>
              <w:rPr>
                <w:lang w:val="zh-CN" w:bidi="zh-CN"/>
              </w:rPr>
              <w:t>易</w:t>
            </w:r>
          </w:p>
        </w:tc>
        <w:tc>
          <w:tcPr>
            <w:tcW w:w="1267" w:type="pct"/>
            <w:vAlign w:val="center"/>
          </w:tcPr>
          <w:p w14:paraId="2A4D0983" w14:textId="77777777" w:rsidR="002E474C" w:rsidRDefault="00000000">
            <w:pPr>
              <w:pStyle w:val="A-"/>
              <w:rPr>
                <w:lang w:val="zh-CN" w:bidi="zh-CN"/>
              </w:rPr>
            </w:pPr>
            <w:r>
              <w:rPr>
                <w:lang w:val="zh-CN" w:bidi="zh-CN"/>
              </w:rPr>
              <w:t>其他类型</w:t>
            </w:r>
          </w:p>
        </w:tc>
        <w:tc>
          <w:tcPr>
            <w:tcW w:w="1076" w:type="pct"/>
            <w:vAlign w:val="center"/>
          </w:tcPr>
          <w:p w14:paraId="6872B304" w14:textId="77777777" w:rsidR="002E474C" w:rsidRDefault="00000000">
            <w:pPr>
              <w:pStyle w:val="A-"/>
              <w:rPr>
                <w:lang w:val="zh-CN" w:bidi="zh-CN"/>
              </w:rPr>
            </w:pPr>
            <w:r>
              <w:rPr>
                <w:lang w:val="zh-CN" w:bidi="zh-CN"/>
              </w:rPr>
              <w:t>地面硬化</w:t>
            </w:r>
          </w:p>
        </w:tc>
      </w:tr>
    </w:tbl>
    <w:p w14:paraId="2CD4CED0" w14:textId="77777777" w:rsidR="002E474C" w:rsidRDefault="00000000">
      <w:pPr>
        <w:pStyle w:val="A-"/>
        <w:jc w:val="both"/>
      </w:pPr>
      <w:r>
        <w:t>注：防渗层可由单一或多种防渗材料组成。</w:t>
      </w:r>
    </w:p>
    <w:p w14:paraId="7B0ED973" w14:textId="77777777" w:rsidR="002E474C" w:rsidRDefault="002E474C">
      <w:pPr>
        <w:pStyle w:val="w3"/>
      </w:pPr>
    </w:p>
    <w:p w14:paraId="03B91375" w14:textId="77777777" w:rsidR="002E474C" w:rsidRDefault="00000000">
      <w:pPr>
        <w:pStyle w:val="A-z"/>
        <w:rPr>
          <w:color w:val="auto"/>
        </w:rPr>
      </w:pPr>
      <w:r>
        <w:rPr>
          <w:color w:val="auto"/>
        </w:rPr>
        <w:t>（</w:t>
      </w:r>
      <w:r>
        <w:rPr>
          <w:color w:val="auto"/>
        </w:rPr>
        <w:t>1</w:t>
      </w:r>
      <w:r>
        <w:rPr>
          <w:color w:val="auto"/>
        </w:rPr>
        <w:t>）重点防渗区</w:t>
      </w:r>
    </w:p>
    <w:p w14:paraId="6E2C1A96" w14:textId="77777777" w:rsidR="002E474C" w:rsidRDefault="00000000">
      <w:pPr>
        <w:pStyle w:val="A-z"/>
        <w:rPr>
          <w:color w:val="auto"/>
        </w:rPr>
      </w:pPr>
      <w:r>
        <w:rPr>
          <w:color w:val="auto"/>
        </w:rPr>
        <w:t>固态危废预处理车间、危废贮存库、液态处置车间、清洗间、废水收集池、事故池</w:t>
      </w:r>
      <w:r>
        <w:rPr>
          <w:color w:val="auto"/>
          <w:lang w:bidi="zh-CN"/>
        </w:rPr>
        <w:t>、初期雨水池</w:t>
      </w:r>
      <w:r>
        <w:rPr>
          <w:color w:val="auto"/>
        </w:rPr>
        <w:t>按重点防渗区进行防渗处理。按照《环境影响评价技术导则</w:t>
      </w:r>
      <w:r>
        <w:rPr>
          <w:color w:val="auto"/>
        </w:rPr>
        <w:t xml:space="preserve"> </w:t>
      </w:r>
      <w:r>
        <w:rPr>
          <w:color w:val="auto"/>
        </w:rPr>
        <w:t>地下水环境》（</w:t>
      </w:r>
      <w:r>
        <w:rPr>
          <w:color w:val="auto"/>
        </w:rPr>
        <w:t>HJ610-2016</w:t>
      </w:r>
      <w:r>
        <w:rPr>
          <w:color w:val="auto"/>
        </w:rPr>
        <w:t>）及《危险废物贮存污染控制标准》（</w:t>
      </w:r>
      <w:r>
        <w:rPr>
          <w:color w:val="auto"/>
        </w:rPr>
        <w:t>GB18597-2023</w:t>
      </w:r>
      <w:r>
        <w:rPr>
          <w:color w:val="auto"/>
        </w:rPr>
        <w:t>）要求做好防渗处置，防渗技术要求：防渗基础层为</w:t>
      </w:r>
      <w:r>
        <w:rPr>
          <w:color w:val="auto"/>
        </w:rPr>
        <w:t>6m</w:t>
      </w:r>
      <w:r>
        <w:rPr>
          <w:color w:val="auto"/>
        </w:rPr>
        <w:t>厚粘土层（渗透系数</w:t>
      </w:r>
      <w:r>
        <w:rPr>
          <w:color w:val="auto"/>
        </w:rPr>
        <w:t>≤10</w:t>
      </w:r>
      <w:r>
        <w:rPr>
          <w:color w:val="auto"/>
          <w:vertAlign w:val="superscript"/>
        </w:rPr>
        <w:t>-7</w:t>
      </w:r>
      <w:r>
        <w:rPr>
          <w:color w:val="auto"/>
        </w:rPr>
        <w:t>cm/s</w:t>
      </w:r>
      <w:r>
        <w:rPr>
          <w:color w:val="auto"/>
        </w:rPr>
        <w:t>），或至少</w:t>
      </w:r>
      <w:r>
        <w:rPr>
          <w:color w:val="auto"/>
        </w:rPr>
        <w:t>2mm</w:t>
      </w:r>
      <w:r>
        <w:rPr>
          <w:color w:val="auto"/>
        </w:rPr>
        <w:t>厚高密度聚乙烯膜等人工防渗材料（渗透系数</w:t>
      </w:r>
      <w:r>
        <w:rPr>
          <w:color w:val="auto"/>
        </w:rPr>
        <w:t>≤10</w:t>
      </w:r>
      <w:r>
        <w:rPr>
          <w:color w:val="auto"/>
          <w:vertAlign w:val="superscript"/>
        </w:rPr>
        <w:t>-10</w:t>
      </w:r>
      <w:r>
        <w:rPr>
          <w:color w:val="auto"/>
        </w:rPr>
        <w:t xml:space="preserve"> cm/s</w:t>
      </w:r>
      <w:r>
        <w:rPr>
          <w:color w:val="auto"/>
        </w:rPr>
        <w:t>），或其他防渗性能等效的材料。</w:t>
      </w:r>
    </w:p>
    <w:p w14:paraId="2D04D757" w14:textId="77777777" w:rsidR="002E474C" w:rsidRDefault="00000000">
      <w:pPr>
        <w:pStyle w:val="A-z"/>
        <w:rPr>
          <w:color w:val="auto"/>
        </w:rPr>
      </w:pPr>
      <w:r>
        <w:rPr>
          <w:color w:val="auto"/>
        </w:rPr>
        <w:t>同时针对车间内涉及的不同的池体、地面以及罐区设置不同的防渗形式，详见表</w:t>
      </w:r>
      <w:r>
        <w:rPr>
          <w:color w:val="auto"/>
        </w:rPr>
        <w:t>6.2</w:t>
      </w:r>
      <w:r>
        <w:rPr>
          <w:color w:val="auto"/>
        </w:rPr>
        <w:noBreakHyphen/>
        <w:t>5</w:t>
      </w:r>
      <w:r>
        <w:rPr>
          <w:color w:val="auto"/>
        </w:rPr>
        <w:t>。典型的重点防渗结构，见图</w:t>
      </w:r>
      <w:r>
        <w:rPr>
          <w:color w:val="auto"/>
        </w:rPr>
        <w:t>6.2</w:t>
      </w:r>
      <w:r>
        <w:rPr>
          <w:color w:val="auto"/>
        </w:rPr>
        <w:noBreakHyphen/>
        <w:t>1~</w:t>
      </w:r>
      <w:r>
        <w:rPr>
          <w:color w:val="auto"/>
        </w:rPr>
        <w:t>图</w:t>
      </w:r>
      <w:r>
        <w:rPr>
          <w:color w:val="auto"/>
        </w:rPr>
        <w:t>6.2</w:t>
      </w:r>
      <w:r>
        <w:rPr>
          <w:color w:val="auto"/>
        </w:rPr>
        <w:noBreakHyphen/>
        <w:t>3</w:t>
      </w:r>
      <w:r>
        <w:rPr>
          <w:color w:val="auto"/>
        </w:rPr>
        <w:t>。</w:t>
      </w:r>
    </w:p>
    <w:p w14:paraId="2DC5FF58" w14:textId="77777777" w:rsidR="002E474C" w:rsidRDefault="00000000">
      <w:pPr>
        <w:pStyle w:val="A--"/>
        <w:rPr>
          <w:color w:val="auto"/>
        </w:rPr>
      </w:pPr>
      <w:bookmarkStart w:id="348" w:name="_Ref131757282"/>
      <w:r>
        <w:rPr>
          <w:color w:val="auto"/>
        </w:rPr>
        <w:t>表</w:t>
      </w:r>
      <w:r>
        <w:rPr>
          <w:color w:val="auto"/>
        </w:rPr>
        <w:t>6.2</w:t>
      </w:r>
      <w:r>
        <w:rPr>
          <w:color w:val="auto"/>
        </w:rPr>
        <w:noBreakHyphen/>
        <w:t>5</w:t>
      </w:r>
      <w:bookmarkEnd w:id="348"/>
      <w:r>
        <w:rPr>
          <w:color w:val="auto"/>
        </w:rPr>
        <w:t xml:space="preserve">  </w:t>
      </w:r>
      <w:r>
        <w:rPr>
          <w:color w:val="auto"/>
        </w:rPr>
        <w:t>防渗施工工艺及技术要求</w:t>
      </w:r>
    </w:p>
    <w:tbl>
      <w:tblPr>
        <w:tblStyle w:val="affff9"/>
        <w:tblW w:w="5000" w:type="pct"/>
        <w:jc w:val="center"/>
        <w:tblLook w:val="04A0" w:firstRow="1" w:lastRow="0" w:firstColumn="1" w:lastColumn="0" w:noHBand="0" w:noVBand="1"/>
      </w:tblPr>
      <w:tblGrid>
        <w:gridCol w:w="601"/>
        <w:gridCol w:w="7695"/>
      </w:tblGrid>
      <w:tr w:rsidR="002E474C" w14:paraId="215E0643" w14:textId="77777777">
        <w:trPr>
          <w:tblHeader/>
          <w:jc w:val="center"/>
        </w:trPr>
        <w:tc>
          <w:tcPr>
            <w:tcW w:w="362" w:type="pct"/>
            <w:vAlign w:val="center"/>
          </w:tcPr>
          <w:p w14:paraId="1FE1AB89" w14:textId="77777777" w:rsidR="002E474C" w:rsidRDefault="00000000">
            <w:pPr>
              <w:pStyle w:val="A-"/>
            </w:pPr>
            <w:r>
              <w:t>设施</w:t>
            </w:r>
          </w:p>
        </w:tc>
        <w:tc>
          <w:tcPr>
            <w:tcW w:w="4638" w:type="pct"/>
            <w:vAlign w:val="center"/>
          </w:tcPr>
          <w:p w14:paraId="2F7E7512" w14:textId="77777777" w:rsidR="002E474C" w:rsidRDefault="00000000">
            <w:pPr>
              <w:pStyle w:val="A-"/>
            </w:pPr>
            <w:r>
              <w:t>施工工艺</w:t>
            </w:r>
          </w:p>
        </w:tc>
      </w:tr>
      <w:tr w:rsidR="002E474C" w14:paraId="5118833B" w14:textId="77777777">
        <w:trPr>
          <w:jc w:val="center"/>
        </w:trPr>
        <w:tc>
          <w:tcPr>
            <w:tcW w:w="362" w:type="pct"/>
            <w:vAlign w:val="center"/>
          </w:tcPr>
          <w:p w14:paraId="2F230033" w14:textId="77777777" w:rsidR="002E474C" w:rsidRDefault="00000000">
            <w:pPr>
              <w:pStyle w:val="A-"/>
            </w:pPr>
            <w:r>
              <w:t>池体及导流槽</w:t>
            </w:r>
          </w:p>
        </w:tc>
        <w:tc>
          <w:tcPr>
            <w:tcW w:w="4638" w:type="pct"/>
            <w:vAlign w:val="center"/>
          </w:tcPr>
          <w:p w14:paraId="6CCB5F6B" w14:textId="77777777" w:rsidR="002E474C" w:rsidRDefault="00000000">
            <w:pPr>
              <w:pStyle w:val="A-"/>
            </w:pPr>
            <w:r>
              <w:t>①</w:t>
            </w:r>
            <w:r>
              <w:t>混凝土水池、污水沟和井的耐久性应符合《混凝土结构设计规范（</w:t>
            </w:r>
            <w:r>
              <w:t>GB50010</w:t>
            </w:r>
            <w:r>
              <w:t>）》的有关规定，混凝土强度等级不宜低于</w:t>
            </w:r>
            <w:r>
              <w:t>C30</w:t>
            </w:r>
            <w:r>
              <w:t>；</w:t>
            </w:r>
            <w:r>
              <w:t>②</w:t>
            </w:r>
            <w:r>
              <w:t>结构厚度不应小于</w:t>
            </w:r>
            <w:r>
              <w:t>250mm</w:t>
            </w:r>
            <w:r>
              <w:t>；混凝土的抗渗等级不小于</w:t>
            </w:r>
            <w:r>
              <w:t xml:space="preserve"> P8</w:t>
            </w:r>
            <w:r>
              <w:t>，且水池的内表团应涂刷水泥基渗透结晶型或喷涂等防水涂料，或在混凝土内掺加水泥基渗透结晶型防水剂。水泥基渗透结晶型防水涂料厚度不应小于</w:t>
            </w:r>
            <w:r>
              <w:t>1.0mm</w:t>
            </w:r>
            <w:r>
              <w:t>，喷涂聚脲防水涂料厚度不应小于</w:t>
            </w:r>
            <w:r>
              <w:t>1.5mm</w:t>
            </w:r>
            <w:r>
              <w:t>。当混凝土内掺加水泥基渗透结晶型防水剂时，掺量宜为胶凝材料总量的</w:t>
            </w:r>
            <w:r>
              <w:t xml:space="preserve"> 1-2%</w:t>
            </w:r>
            <w:r>
              <w:t>。</w:t>
            </w:r>
          </w:p>
        </w:tc>
      </w:tr>
      <w:tr w:rsidR="002E474C" w14:paraId="59D941EF" w14:textId="77777777">
        <w:trPr>
          <w:jc w:val="center"/>
        </w:trPr>
        <w:tc>
          <w:tcPr>
            <w:tcW w:w="362" w:type="pct"/>
            <w:vAlign w:val="center"/>
          </w:tcPr>
          <w:p w14:paraId="346F55E9" w14:textId="77777777" w:rsidR="002E474C" w:rsidRDefault="00000000">
            <w:pPr>
              <w:pStyle w:val="A-"/>
            </w:pPr>
            <w:r>
              <w:t>管线管沟</w:t>
            </w:r>
          </w:p>
        </w:tc>
        <w:tc>
          <w:tcPr>
            <w:tcW w:w="4638" w:type="pct"/>
            <w:vAlign w:val="center"/>
          </w:tcPr>
          <w:p w14:paraId="2E3F9F91" w14:textId="77777777" w:rsidR="002E474C" w:rsidRDefault="00000000">
            <w:pPr>
              <w:pStyle w:val="A-"/>
            </w:pPr>
            <w:r>
              <w:t>①</w:t>
            </w:r>
            <w:r>
              <w:t>地下污水管道一般属于非压力管道，管道连接部位是产生泄漏的薄弱环节。因此考虑到地下管道施工和工程进度等因素，同时为了提高地下污水管道防泄漏能力地下管道应符合下列规定：一级地管、二级地管宜采用钢制管道，三级地管应采用钢制管道；当管道公称直径不大于</w:t>
            </w:r>
            <w:r>
              <w:t xml:space="preserve">500mm </w:t>
            </w:r>
            <w:r>
              <w:t>时，应采用无缝钢管；当管道公称直径大于</w:t>
            </w:r>
            <w:r>
              <w:t xml:space="preserve">500mm </w:t>
            </w:r>
            <w:r>
              <w:t>时，宜采用直缝埋弧焊焊接钢管，焊缝应进行</w:t>
            </w:r>
            <w:r>
              <w:t>100%</w:t>
            </w:r>
            <w:r>
              <w:t>射线探伤；管道设计壁厚的腐蚀余量不应小于</w:t>
            </w:r>
            <w:r>
              <w:t>2mm</w:t>
            </w:r>
            <w:r>
              <w:t>或管道采用内防腐；管道的外防腐等级应采用特加强级；连接方式应采用焊接；</w:t>
            </w:r>
            <w:r>
              <w:t>②</w:t>
            </w:r>
            <w:r>
              <w:t>抗渗钢筋混凝土管沟防渗层应符合下列规定：沟底、沟壁和顶板的混凝土强度等级不宜低于</w:t>
            </w:r>
            <w:r>
              <w:t>C30</w:t>
            </w:r>
            <w:r>
              <w:t>，抗滲等级不应低</w:t>
            </w:r>
            <w:r>
              <w:t xml:space="preserve"> P8</w:t>
            </w:r>
            <w:r>
              <w:t>，混凝士垫层的强度等级不宜低于</w:t>
            </w:r>
            <w:r>
              <w:t xml:space="preserve"> C15</w:t>
            </w:r>
            <w:r>
              <w:t>；沟底和沟壁的厚度不宜小于</w:t>
            </w:r>
            <w:r>
              <w:t>200m</w:t>
            </w:r>
            <w:r>
              <w:t>；沟底、沟壁的内表面和顶板顶面应抹聚合物水泥防水砂浆，厚度不应小于</w:t>
            </w:r>
            <w:r>
              <w:t>10mm</w:t>
            </w:r>
            <w:r>
              <w:t>。渗钢筋</w:t>
            </w:r>
            <w:r>
              <w:lastRenderedPageBreak/>
              <w:t>混疑土管沟应设变形缝，变形缝间距不宜大于</w:t>
            </w:r>
            <w:r>
              <w:t xml:space="preserve"> 30mm</w:t>
            </w:r>
            <w:r>
              <w:t>。变形缝应设止水带，缝内应设置填缝板和嵌缝密封料。变形缝的构造应符合《石油化工钢筋混凝士水池结构设计规范》（</w:t>
            </w:r>
            <w:r>
              <w:t>SH/T3132</w:t>
            </w:r>
            <w:r>
              <w:t>）的有关规定。管沟结构设计应符合《混凝土结构设计规范》（</w:t>
            </w:r>
            <w:r>
              <w:t>GB50010</w:t>
            </w:r>
            <w:r>
              <w:t>）的有关规定。当地下管道防渗采用高密度聚乙烯（</w:t>
            </w:r>
            <w:r>
              <w:t>HDPE</w:t>
            </w:r>
            <w:r>
              <w:t>）膜和抗渗钢筋泥凝土管沟时，宜设置渗漏液检査井，渗漏液检査井间隔不宜大于</w:t>
            </w:r>
            <w:r>
              <w:t>100m</w:t>
            </w:r>
            <w:r>
              <w:t>。渗漏液检査井的平面尺寸宜为</w:t>
            </w:r>
            <w:r>
              <w:t>1000mm×10000mm</w:t>
            </w:r>
            <w:r>
              <w:t>，顶面高出地面不应小于</w:t>
            </w:r>
            <w:r>
              <w:t xml:space="preserve"> 100m</w:t>
            </w:r>
            <w:r>
              <w:t>，井底应低于渗漏液收集管</w:t>
            </w:r>
            <w:r>
              <w:t>300mm</w:t>
            </w:r>
            <w:r>
              <w:t>。</w:t>
            </w:r>
          </w:p>
        </w:tc>
      </w:tr>
      <w:tr w:rsidR="002E474C" w14:paraId="7FBCD6DA" w14:textId="77777777">
        <w:trPr>
          <w:jc w:val="center"/>
        </w:trPr>
        <w:tc>
          <w:tcPr>
            <w:tcW w:w="362" w:type="pct"/>
            <w:vAlign w:val="center"/>
          </w:tcPr>
          <w:p w14:paraId="7EC359DE" w14:textId="77777777" w:rsidR="002E474C" w:rsidRDefault="00000000">
            <w:pPr>
              <w:pStyle w:val="A-"/>
            </w:pPr>
            <w:r>
              <w:lastRenderedPageBreak/>
              <w:t>地面防渗</w:t>
            </w:r>
          </w:p>
        </w:tc>
        <w:tc>
          <w:tcPr>
            <w:tcW w:w="4638" w:type="pct"/>
            <w:vAlign w:val="center"/>
          </w:tcPr>
          <w:p w14:paraId="275B9701" w14:textId="77777777" w:rsidR="002E474C" w:rsidRDefault="00000000">
            <w:pPr>
              <w:pStyle w:val="A-"/>
            </w:pPr>
            <w:r>
              <w:t>①</w:t>
            </w:r>
            <w:r>
              <w:t>地面防渗可采用黏土、抗渗混凝土、高密度聚乙烯（</w:t>
            </w:r>
            <w:r>
              <w:t>HDPE</w:t>
            </w:r>
            <w:r>
              <w:t>）膜、钠基膨润土防水毯或其他防渗性能等效的材料；</w:t>
            </w:r>
            <w:r>
              <w:t>②</w:t>
            </w:r>
            <w:r>
              <w:t>当建设场地具有符合要求的黏土时，地面防渗宜采用黏土防渗层，防渗层顶面宜采用混凝土地面或设置厚度不小于</w:t>
            </w:r>
            <w:r>
              <w:t>200mm</w:t>
            </w:r>
            <w:r>
              <w:t>的砂石层</w:t>
            </w:r>
            <w:r>
              <w:t xml:space="preserve"> ③</w:t>
            </w:r>
            <w:r>
              <w:t>混凝土的等级不应低于</w:t>
            </w:r>
            <w:r>
              <w:t xml:space="preserve"> C25</w:t>
            </w:r>
            <w:r>
              <w:t>，抗渗等级不应低于</w:t>
            </w:r>
            <w:r>
              <w:t>P6</w:t>
            </w:r>
            <w:r>
              <w:t>，厚度不应小于</w:t>
            </w:r>
            <w:r>
              <w:t>100mm</w:t>
            </w:r>
            <w:r>
              <w:t>；</w:t>
            </w:r>
            <w:r>
              <w:t>④</w:t>
            </w:r>
            <w:r>
              <w:t>高密度聚乙烯（</w:t>
            </w:r>
            <w:r>
              <w:t>HDPE</w:t>
            </w:r>
            <w:r>
              <w:t>）膜厚度不宜小于</w:t>
            </w:r>
            <w:r>
              <w:t>1.5mm</w:t>
            </w:r>
            <w:r>
              <w:t>，埋深不宜小于</w:t>
            </w:r>
            <w:r>
              <w:t>300m</w:t>
            </w:r>
            <w:r>
              <w:t>，膜上膜下应设置保护层，保护层可采用长丝无纺土工布，膜下保护层也可采用不含尖锐颗粒的砂层，厚度不宜小于</w:t>
            </w:r>
            <w:r>
              <w:t>100mm</w:t>
            </w:r>
            <w:r>
              <w:t>，膜上保护层以上应设置砂土层，厚度不宜小于</w:t>
            </w:r>
            <w:r>
              <w:t>200mm</w:t>
            </w:r>
            <w:r>
              <w:t>；</w:t>
            </w:r>
            <w:r>
              <w:t>⑤</w:t>
            </w:r>
            <w:r>
              <w:t>钠基膨润土防水毯防渗层混凝土层的强度等级不宜低于</w:t>
            </w:r>
            <w:r>
              <w:t>C20</w:t>
            </w:r>
            <w:r>
              <w:t>，厚度宜为</w:t>
            </w:r>
            <w:r>
              <w:t>100mm</w:t>
            </w:r>
            <w:r>
              <w:t>，砂石垫层厚度不宜小于</w:t>
            </w:r>
            <w:r>
              <w:t>300mm</w:t>
            </w:r>
            <w:r>
              <w:t>，钠基膨润土防水毯宜选用针刺覆膜法钠基膨润土防水毯。</w:t>
            </w:r>
            <w:r>
              <w:t xml:space="preserve"> </w:t>
            </w:r>
          </w:p>
        </w:tc>
      </w:tr>
    </w:tbl>
    <w:p w14:paraId="60725AF7" w14:textId="77777777" w:rsidR="002E474C" w:rsidRDefault="002E474C">
      <w:pPr>
        <w:pStyle w:val="w3"/>
      </w:pPr>
    </w:p>
    <w:p w14:paraId="1E189BC9" w14:textId="77777777" w:rsidR="002E474C" w:rsidRDefault="00000000">
      <w:pPr>
        <w:pStyle w:val="A-z"/>
        <w:rPr>
          <w:color w:val="auto"/>
        </w:rPr>
      </w:pPr>
      <w:r>
        <w:rPr>
          <w:color w:val="auto"/>
        </w:rPr>
        <w:t>（</w:t>
      </w:r>
      <w:r>
        <w:rPr>
          <w:color w:val="auto"/>
        </w:rPr>
        <w:t>3</w:t>
      </w:r>
      <w:r>
        <w:rPr>
          <w:color w:val="auto"/>
        </w:rPr>
        <w:t>）简单防渗区</w:t>
      </w:r>
    </w:p>
    <w:p w14:paraId="311D30A2" w14:textId="77777777" w:rsidR="002E474C" w:rsidRDefault="00000000">
      <w:pPr>
        <w:pStyle w:val="A-z"/>
        <w:rPr>
          <w:color w:val="auto"/>
        </w:rPr>
      </w:pPr>
      <w:r>
        <w:rPr>
          <w:color w:val="auto"/>
        </w:rPr>
        <w:t>本项目占地中除重点防渗区、一般防渗区以外的区域均为简单防渗区。简单防渗区采取一般性的地面硬化措施。</w:t>
      </w:r>
    </w:p>
    <w:p w14:paraId="47DF7CAF" w14:textId="77777777" w:rsidR="002E474C" w:rsidRDefault="00000000">
      <w:pPr>
        <w:pStyle w:val="41"/>
        <w:rPr>
          <w:color w:val="auto"/>
        </w:rPr>
      </w:pPr>
      <w:r>
        <w:rPr>
          <w:color w:val="auto"/>
        </w:rPr>
        <w:t>地下水监控要求</w:t>
      </w:r>
    </w:p>
    <w:p w14:paraId="63BF2A80" w14:textId="77777777" w:rsidR="002E474C" w:rsidRDefault="00000000">
      <w:pPr>
        <w:pStyle w:val="A-z"/>
        <w:rPr>
          <w:color w:val="auto"/>
        </w:rPr>
      </w:pPr>
      <w:r>
        <w:rPr>
          <w:color w:val="auto"/>
        </w:rPr>
        <w:t>为掌握项目周围地下水环境质量状况和地下水体中污染物的动态变化，应对项目周围的地下水水质进行长期监测，以便及时准确地反馈地下水水质状况，为防止对地下水的污染采取相应的措施提供重要依据。</w:t>
      </w:r>
    </w:p>
    <w:p w14:paraId="37CE640A" w14:textId="77777777" w:rsidR="002E474C" w:rsidRDefault="00000000">
      <w:pPr>
        <w:pStyle w:val="A-z"/>
        <w:rPr>
          <w:color w:val="auto"/>
        </w:rPr>
      </w:pPr>
      <w:r>
        <w:rPr>
          <w:rFonts w:hint="eastAsia"/>
          <w:color w:val="auto"/>
        </w:rPr>
        <w:t>依据</w:t>
      </w:r>
      <w:r>
        <w:rPr>
          <w:color w:val="auto"/>
        </w:rPr>
        <w:t>《环境影响评价技术导则</w:t>
      </w:r>
      <w:r>
        <w:rPr>
          <w:color w:val="auto"/>
        </w:rPr>
        <w:t xml:space="preserve"> </w:t>
      </w:r>
      <w:r>
        <w:rPr>
          <w:color w:val="auto"/>
        </w:rPr>
        <w:t>地下水环境》（</w:t>
      </w:r>
      <w:r>
        <w:rPr>
          <w:color w:val="auto"/>
        </w:rPr>
        <w:t>HJ610-2016</w:t>
      </w:r>
      <w:r>
        <w:rPr>
          <w:color w:val="auto"/>
        </w:rPr>
        <w:t>）、《地下水环境监测技术规范》（</w:t>
      </w:r>
      <w:r>
        <w:rPr>
          <w:color w:val="auto"/>
        </w:rPr>
        <w:t>HJ 164-2020</w:t>
      </w:r>
      <w:r>
        <w:rPr>
          <w:color w:val="auto"/>
        </w:rPr>
        <w:t>）、《工业企业土壤和地下水自行监测技术指南（试行）》（</w:t>
      </w:r>
      <w:r>
        <w:rPr>
          <w:color w:val="auto"/>
        </w:rPr>
        <w:t>HJ 1209-2021</w:t>
      </w:r>
      <w:r>
        <w:rPr>
          <w:color w:val="auto"/>
        </w:rPr>
        <w:t>）相关要求，企业应</w:t>
      </w:r>
      <w:r>
        <w:rPr>
          <w:rFonts w:hint="eastAsia"/>
          <w:color w:val="auto"/>
        </w:rPr>
        <w:t>根据厂区周边现有地下水井分布情况，</w:t>
      </w:r>
      <w:r>
        <w:rPr>
          <w:color w:val="auto"/>
        </w:rPr>
        <w:t>在</w:t>
      </w:r>
      <w:r>
        <w:rPr>
          <w:rFonts w:hint="eastAsia"/>
          <w:color w:val="auto"/>
        </w:rPr>
        <w:t>厂区</w:t>
      </w:r>
      <w:r>
        <w:rPr>
          <w:color w:val="auto"/>
        </w:rPr>
        <w:t>地下水流向上游布设</w:t>
      </w:r>
      <w:r>
        <w:rPr>
          <w:color w:val="auto"/>
        </w:rPr>
        <w:t>1</w:t>
      </w:r>
      <w:r>
        <w:rPr>
          <w:color w:val="auto"/>
        </w:rPr>
        <w:t>个对照井，用于监测厂区上游地下水天然背景浓度</w:t>
      </w:r>
      <w:r>
        <w:rPr>
          <w:rFonts w:hint="eastAsia"/>
          <w:color w:val="auto"/>
        </w:rPr>
        <w:t>；</w:t>
      </w:r>
      <w:r>
        <w:rPr>
          <w:color w:val="auto"/>
        </w:rPr>
        <w:t>在厂区地下水流向的侧向及下游分别布设</w:t>
      </w:r>
      <w:r>
        <w:rPr>
          <w:color w:val="auto"/>
        </w:rPr>
        <w:t>1</w:t>
      </w:r>
      <w:r>
        <w:rPr>
          <w:color w:val="auto"/>
        </w:rPr>
        <w:t>个污染扩散监控井。共计</w:t>
      </w:r>
      <w:r>
        <w:rPr>
          <w:color w:val="auto"/>
        </w:rPr>
        <w:t>3</w:t>
      </w:r>
      <w:r>
        <w:rPr>
          <w:color w:val="auto"/>
        </w:rPr>
        <w:t>口监控井，定期对地下水水质进行</w:t>
      </w:r>
      <w:r>
        <w:rPr>
          <w:rFonts w:hint="eastAsia"/>
          <w:color w:val="auto"/>
        </w:rPr>
        <w:t>跟踪监测</w:t>
      </w:r>
      <w:r>
        <w:rPr>
          <w:color w:val="auto"/>
        </w:rPr>
        <w:t>，监测频率不少于每年一次。当发生泄漏事故时，应加密监测。</w:t>
      </w:r>
      <w:r>
        <w:rPr>
          <w:rFonts w:hint="eastAsia"/>
          <w:color w:val="auto"/>
        </w:rPr>
        <w:t>地下水监控井分布，见图</w:t>
      </w:r>
      <w:r>
        <w:rPr>
          <w:rFonts w:hint="eastAsia"/>
          <w:color w:val="auto"/>
        </w:rPr>
        <w:t>6.2-2</w:t>
      </w:r>
      <w:r>
        <w:rPr>
          <w:rFonts w:hint="eastAsia"/>
          <w:color w:val="auto"/>
        </w:rPr>
        <w:t>。</w:t>
      </w:r>
    </w:p>
    <w:p w14:paraId="03E0B0EC" w14:textId="77777777" w:rsidR="002E474C" w:rsidRDefault="00000000">
      <w:pPr>
        <w:pStyle w:val="A-z"/>
        <w:rPr>
          <w:color w:val="auto"/>
        </w:rPr>
      </w:pPr>
      <w:r>
        <w:rPr>
          <w:color w:val="auto"/>
        </w:rPr>
        <w:t>监测因子主要为</w:t>
      </w:r>
      <w:r>
        <w:rPr>
          <w:color w:val="auto"/>
        </w:rPr>
        <w:t>pH</w:t>
      </w:r>
      <w:r>
        <w:rPr>
          <w:color w:val="auto"/>
        </w:rPr>
        <w:t>、总硬度、硫酸盐、亚硝酸盐（以</w:t>
      </w:r>
      <w:r>
        <w:rPr>
          <w:color w:val="auto"/>
        </w:rPr>
        <w:t>N</w:t>
      </w:r>
      <w:r>
        <w:rPr>
          <w:color w:val="auto"/>
        </w:rPr>
        <w:t>计）、硝酸盐（以</w:t>
      </w:r>
      <w:r>
        <w:rPr>
          <w:color w:val="auto"/>
        </w:rPr>
        <w:t>N</w:t>
      </w:r>
      <w:r>
        <w:rPr>
          <w:color w:val="auto"/>
        </w:rPr>
        <w:t>计）、氯化物、氟化物、挥发酚、耗氧量、氨氮、总大肠菌群、</w:t>
      </w:r>
      <w:r>
        <w:rPr>
          <w:color w:val="auto"/>
        </w:rPr>
        <w:t>Hg</w:t>
      </w:r>
      <w:r>
        <w:rPr>
          <w:color w:val="auto"/>
        </w:rPr>
        <w:t>、</w:t>
      </w:r>
      <w:r>
        <w:rPr>
          <w:color w:val="auto"/>
        </w:rPr>
        <w:t>Pb</w:t>
      </w:r>
      <w:r>
        <w:rPr>
          <w:color w:val="auto"/>
        </w:rPr>
        <w:t>、</w:t>
      </w:r>
      <w:r>
        <w:rPr>
          <w:color w:val="auto"/>
        </w:rPr>
        <w:t>Ni</w:t>
      </w:r>
      <w:r>
        <w:rPr>
          <w:color w:val="auto"/>
        </w:rPr>
        <w:t>、</w:t>
      </w:r>
      <w:r>
        <w:rPr>
          <w:color w:val="auto"/>
        </w:rPr>
        <w:t>As</w:t>
      </w:r>
      <w:r>
        <w:rPr>
          <w:color w:val="auto"/>
        </w:rPr>
        <w:t>、</w:t>
      </w:r>
      <w:r>
        <w:rPr>
          <w:color w:val="auto"/>
        </w:rPr>
        <w:t>Cd</w:t>
      </w:r>
      <w:r>
        <w:rPr>
          <w:color w:val="auto"/>
        </w:rPr>
        <w:t>、</w:t>
      </w:r>
      <w:r>
        <w:rPr>
          <w:color w:val="auto"/>
        </w:rPr>
        <w:t>Cr</w:t>
      </w:r>
      <w:r>
        <w:rPr>
          <w:color w:val="auto"/>
        </w:rPr>
        <w:t>等。</w:t>
      </w:r>
      <w:r>
        <w:rPr>
          <w:color w:val="auto"/>
        </w:rPr>
        <w:t>pH</w:t>
      </w:r>
      <w:r>
        <w:rPr>
          <w:color w:val="auto"/>
        </w:rPr>
        <w:t>值的检测需在现场进行，采样时带着测试仪器现场采样进行；</w:t>
      </w:r>
      <w:r>
        <w:rPr>
          <w:color w:val="auto"/>
        </w:rPr>
        <w:lastRenderedPageBreak/>
        <w:t>其它项目的检测可先按《地下水环境监测技术规范》（</w:t>
      </w:r>
      <w:r>
        <w:rPr>
          <w:color w:val="auto"/>
        </w:rPr>
        <w:t>HJ 164-2020</w:t>
      </w:r>
      <w:r>
        <w:rPr>
          <w:color w:val="auto"/>
        </w:rPr>
        <w:t>）的采样技术要求采集水样，然后将水样送至当地的专业水质检测机构进行；或委托有资质的单位进行跟踪监测。</w:t>
      </w:r>
    </w:p>
    <w:p w14:paraId="5DF006AE" w14:textId="77777777" w:rsidR="002E474C" w:rsidRDefault="00000000">
      <w:pPr>
        <w:pStyle w:val="41"/>
        <w:rPr>
          <w:color w:val="auto"/>
        </w:rPr>
      </w:pPr>
      <w:r>
        <w:rPr>
          <w:color w:val="auto"/>
        </w:rPr>
        <w:t>日常管理措施</w:t>
      </w:r>
    </w:p>
    <w:p w14:paraId="5C3D1CD9" w14:textId="77777777" w:rsidR="002E474C" w:rsidRDefault="00000000">
      <w:pPr>
        <w:pStyle w:val="A-z"/>
        <w:rPr>
          <w:color w:val="auto"/>
        </w:rPr>
      </w:pPr>
      <w:r>
        <w:rPr>
          <w:color w:val="auto"/>
        </w:rPr>
        <w:t>（</w:t>
      </w:r>
      <w:r>
        <w:rPr>
          <w:color w:val="auto"/>
        </w:rPr>
        <w:t>1</w:t>
      </w:r>
      <w:r>
        <w:rPr>
          <w:color w:val="auto"/>
        </w:rPr>
        <w:t>）制定全厂设备安全操作规章、检修制度和设备管理考核制度、对每台设备确定责任人。定期进行设备完好率、运行率考核，实施重奖重罚，消除设备故障和地下水污染隐患。</w:t>
      </w:r>
    </w:p>
    <w:p w14:paraId="2F88904B" w14:textId="77777777" w:rsidR="002E474C" w:rsidRDefault="00000000">
      <w:pPr>
        <w:pStyle w:val="A-z"/>
        <w:rPr>
          <w:color w:val="auto"/>
        </w:rPr>
      </w:pPr>
      <w:r>
        <w:rPr>
          <w:color w:val="auto"/>
        </w:rPr>
        <w:t>（</w:t>
      </w:r>
      <w:r>
        <w:rPr>
          <w:color w:val="auto"/>
        </w:rPr>
        <w:t>2</w:t>
      </w:r>
      <w:r>
        <w:rPr>
          <w:color w:val="auto"/>
        </w:rPr>
        <w:t>）加强管理，杜绝超设计生产。</w:t>
      </w:r>
    </w:p>
    <w:p w14:paraId="25145075" w14:textId="77777777" w:rsidR="002E474C" w:rsidRDefault="00000000">
      <w:pPr>
        <w:pStyle w:val="A-z"/>
        <w:rPr>
          <w:color w:val="auto"/>
        </w:rPr>
      </w:pPr>
      <w:r>
        <w:rPr>
          <w:color w:val="auto"/>
        </w:rPr>
        <w:t>（</w:t>
      </w:r>
      <w:r>
        <w:rPr>
          <w:color w:val="auto"/>
        </w:rPr>
        <w:t>3</w:t>
      </w:r>
      <w:r>
        <w:rPr>
          <w:color w:val="auto"/>
        </w:rPr>
        <w:t>）加强对所有管道、储罐设施的维护管理，及时发现和消除污染隐患，杜绝跑、冒、滴、漏现象。一旦发现有污染物泄漏或渗漏，立即采取清理污染物和修补漏洞（缝）等补救措施。对污染源项的地下水保护设施进行采用动态检查，对发现的问题及时进行处理。</w:t>
      </w:r>
    </w:p>
    <w:p w14:paraId="175F6FB9" w14:textId="77777777" w:rsidR="002E474C" w:rsidRDefault="00000000">
      <w:pPr>
        <w:pStyle w:val="A-z"/>
        <w:rPr>
          <w:color w:val="auto"/>
        </w:rPr>
      </w:pPr>
      <w:r>
        <w:rPr>
          <w:color w:val="auto"/>
        </w:rPr>
        <w:t>（</w:t>
      </w:r>
      <w:r>
        <w:rPr>
          <w:color w:val="auto"/>
        </w:rPr>
        <w:t>4</w:t>
      </w:r>
      <w:r>
        <w:rPr>
          <w:color w:val="auto"/>
        </w:rPr>
        <w:t>）做好员工的环保和安全知识培训，提高全厂职工地下水保护意识。</w:t>
      </w:r>
    </w:p>
    <w:p w14:paraId="434DD02B" w14:textId="77777777" w:rsidR="002E474C" w:rsidRDefault="00000000">
      <w:pPr>
        <w:pStyle w:val="21"/>
        <w:spacing w:before="240" w:after="240"/>
        <w:rPr>
          <w:color w:val="auto"/>
        </w:rPr>
      </w:pPr>
      <w:bookmarkStart w:id="349" w:name="_Toc20795"/>
      <w:bookmarkStart w:id="350" w:name="_Toc225848875"/>
      <w:r>
        <w:rPr>
          <w:color w:val="auto"/>
        </w:rPr>
        <w:t>土壤污染防治措施</w:t>
      </w:r>
      <w:bookmarkEnd w:id="349"/>
      <w:bookmarkEnd w:id="350"/>
    </w:p>
    <w:p w14:paraId="1B37D1CC" w14:textId="77777777" w:rsidR="002E474C" w:rsidRDefault="00000000">
      <w:pPr>
        <w:pStyle w:val="A-z"/>
        <w:rPr>
          <w:color w:val="auto"/>
        </w:rPr>
      </w:pPr>
      <w:bookmarkStart w:id="351" w:name="_Hlk158137407"/>
      <w:r>
        <w:rPr>
          <w:color w:val="auto"/>
        </w:rPr>
        <w:t>土壤污染与地下水环境污染密不可分，且土壤污染存在隐蔽性、潜伏性、长期性，针对本项目厂区内土壤环境和地下水环境质量现状，项目在运营过程中，须同时兼顾土壤和地下水的防治措施。根据《环境影响评价技术导则</w:t>
      </w:r>
      <w:r>
        <w:rPr>
          <w:color w:val="auto"/>
        </w:rPr>
        <w:t xml:space="preserve"> </w:t>
      </w:r>
      <w:r>
        <w:rPr>
          <w:color w:val="auto"/>
        </w:rPr>
        <w:t>土壤环境（试行）》（</w:t>
      </w:r>
      <w:r>
        <w:rPr>
          <w:color w:val="auto"/>
        </w:rPr>
        <w:t>HJ964-2018</w:t>
      </w:r>
      <w:r>
        <w:rPr>
          <w:color w:val="auto"/>
        </w:rPr>
        <w:t>）采取源头控制和过程防控的措施。</w:t>
      </w:r>
    </w:p>
    <w:p w14:paraId="47784039" w14:textId="77777777" w:rsidR="002E474C" w:rsidRDefault="00000000">
      <w:pPr>
        <w:pStyle w:val="A-z"/>
        <w:rPr>
          <w:color w:val="auto"/>
        </w:rPr>
      </w:pPr>
      <w:r>
        <w:rPr>
          <w:color w:val="auto"/>
        </w:rPr>
        <w:t>（</w:t>
      </w:r>
      <w:r>
        <w:rPr>
          <w:color w:val="auto"/>
        </w:rPr>
        <w:t>1</w:t>
      </w:r>
      <w:r>
        <w:rPr>
          <w:color w:val="auto"/>
        </w:rPr>
        <w:t>）源头控制措施</w:t>
      </w:r>
    </w:p>
    <w:p w14:paraId="6B449EA0" w14:textId="77777777" w:rsidR="002E474C" w:rsidRDefault="00000000">
      <w:pPr>
        <w:pStyle w:val="A-z"/>
        <w:rPr>
          <w:color w:val="auto"/>
        </w:rPr>
      </w:pPr>
      <w:r>
        <w:rPr>
          <w:color w:val="auto"/>
        </w:rPr>
        <w:t>针对土壤污染源、污染物的迁移途径提出源头控制措施。项目在建设过程中，必须做好防渗工作，特别是厂区内重点防渗区，对照《环境影响评价技术导则</w:t>
      </w:r>
      <w:r>
        <w:rPr>
          <w:color w:val="auto"/>
        </w:rPr>
        <w:t xml:space="preserve"> </w:t>
      </w:r>
      <w:r>
        <w:rPr>
          <w:color w:val="auto"/>
        </w:rPr>
        <w:t>地下水环境》（</w:t>
      </w:r>
      <w:r>
        <w:rPr>
          <w:color w:val="auto"/>
        </w:rPr>
        <w:t>HJ 610-2016</w:t>
      </w:r>
      <w:r>
        <w:rPr>
          <w:color w:val="auto"/>
        </w:rPr>
        <w:t>），危废贮存库、固态危废预处理车间、液态处置车间、清洗间、废水收集池、事故池</w:t>
      </w:r>
      <w:r>
        <w:rPr>
          <w:color w:val="auto"/>
          <w:lang w:bidi="zh-CN"/>
        </w:rPr>
        <w:t>、初期雨水池、集液池</w:t>
      </w:r>
      <w:r>
        <w:rPr>
          <w:color w:val="auto"/>
        </w:rPr>
        <w:t>应划定为重点防渗区，防渗层的防渗性能不应低于</w:t>
      </w:r>
      <w:r>
        <w:rPr>
          <w:color w:val="auto"/>
        </w:rPr>
        <w:t>6.0m</w:t>
      </w:r>
      <w:r>
        <w:rPr>
          <w:color w:val="auto"/>
        </w:rPr>
        <w:t>厚渗透系数为</w:t>
      </w:r>
      <w:r>
        <w:rPr>
          <w:color w:val="auto"/>
        </w:rPr>
        <w:t>1.0×10</w:t>
      </w:r>
      <w:r>
        <w:rPr>
          <w:color w:val="auto"/>
          <w:vertAlign w:val="superscript"/>
        </w:rPr>
        <w:t>-7</w:t>
      </w:r>
      <w:r>
        <w:rPr>
          <w:color w:val="auto"/>
        </w:rPr>
        <w:t>cm/s</w:t>
      </w:r>
      <w:r>
        <w:rPr>
          <w:color w:val="auto"/>
        </w:rPr>
        <w:t>的黏土层的防渗性能；地磅及</w:t>
      </w:r>
      <w:r>
        <w:rPr>
          <w:color w:val="auto"/>
          <w:lang w:bidi="zh-CN"/>
        </w:rPr>
        <w:t>危废计量、提升、输送系统区域</w:t>
      </w:r>
      <w:r>
        <w:rPr>
          <w:color w:val="auto"/>
        </w:rPr>
        <w:t>等为一般防渗区，防渗层的防渗性能不应低于</w:t>
      </w:r>
      <w:r>
        <w:rPr>
          <w:color w:val="auto"/>
        </w:rPr>
        <w:t>1.5m</w:t>
      </w:r>
      <w:r>
        <w:rPr>
          <w:color w:val="auto"/>
        </w:rPr>
        <w:t>厚渗透系数为</w:t>
      </w:r>
      <w:r>
        <w:rPr>
          <w:color w:val="auto"/>
        </w:rPr>
        <w:t>1.0×10</w:t>
      </w:r>
      <w:r>
        <w:rPr>
          <w:color w:val="auto"/>
          <w:vertAlign w:val="superscript"/>
        </w:rPr>
        <w:t>-7</w:t>
      </w:r>
      <w:r>
        <w:rPr>
          <w:color w:val="auto"/>
        </w:rPr>
        <w:t>cm/s</w:t>
      </w:r>
      <w:r>
        <w:rPr>
          <w:color w:val="auto"/>
        </w:rPr>
        <w:t>的黏土层的防渗性能。</w:t>
      </w:r>
    </w:p>
    <w:p w14:paraId="42864AC0" w14:textId="77777777" w:rsidR="002E474C" w:rsidRDefault="00000000">
      <w:pPr>
        <w:pStyle w:val="A-z"/>
        <w:rPr>
          <w:color w:val="auto"/>
        </w:rPr>
      </w:pPr>
      <w:r>
        <w:rPr>
          <w:rFonts w:hint="eastAsia"/>
          <w:color w:val="auto"/>
        </w:rPr>
        <w:t>根据厂区周边现有地下水井分布情况，</w:t>
      </w:r>
      <w:r>
        <w:rPr>
          <w:color w:val="auto"/>
        </w:rPr>
        <w:t>在厂区的上游布置</w:t>
      </w:r>
      <w:r>
        <w:rPr>
          <w:color w:val="auto"/>
        </w:rPr>
        <w:t>1</w:t>
      </w:r>
      <w:r>
        <w:rPr>
          <w:color w:val="auto"/>
        </w:rPr>
        <w:t>个监控井，用于监测厂区上游地下水天然背景浓度</w:t>
      </w:r>
      <w:r>
        <w:rPr>
          <w:rFonts w:hint="eastAsia"/>
          <w:color w:val="auto"/>
        </w:rPr>
        <w:t>；</w:t>
      </w:r>
      <w:r>
        <w:rPr>
          <w:color w:val="auto"/>
        </w:rPr>
        <w:t>在</w:t>
      </w:r>
      <w:r>
        <w:rPr>
          <w:rFonts w:hint="eastAsia"/>
          <w:color w:val="auto"/>
        </w:rPr>
        <w:t>厂区</w:t>
      </w:r>
      <w:r>
        <w:rPr>
          <w:color w:val="auto"/>
        </w:rPr>
        <w:t>地下水流向的侧向及下游分别布设</w:t>
      </w:r>
      <w:r>
        <w:rPr>
          <w:color w:val="auto"/>
        </w:rPr>
        <w:t>1</w:t>
      </w:r>
      <w:r>
        <w:rPr>
          <w:color w:val="auto"/>
        </w:rPr>
        <w:lastRenderedPageBreak/>
        <w:t>个污染扩散监控井，共计</w:t>
      </w:r>
      <w:r>
        <w:rPr>
          <w:color w:val="auto"/>
        </w:rPr>
        <w:t>3</w:t>
      </w:r>
      <w:r>
        <w:rPr>
          <w:color w:val="auto"/>
        </w:rPr>
        <w:t>口监控井，定期对地下水水质进行</w:t>
      </w:r>
      <w:r>
        <w:rPr>
          <w:rFonts w:hint="eastAsia"/>
          <w:color w:val="auto"/>
        </w:rPr>
        <w:t>跟踪监测</w:t>
      </w:r>
      <w:r>
        <w:rPr>
          <w:color w:val="auto"/>
        </w:rPr>
        <w:t>。</w:t>
      </w:r>
    </w:p>
    <w:p w14:paraId="34EE6D82" w14:textId="77777777" w:rsidR="002E474C" w:rsidRDefault="00000000">
      <w:pPr>
        <w:pStyle w:val="A-z"/>
        <w:rPr>
          <w:color w:val="auto"/>
        </w:rPr>
      </w:pPr>
      <w:r>
        <w:rPr>
          <w:color w:val="auto"/>
        </w:rPr>
        <w:t>项目运行过程中确保废气、废水污染物处理设施处于正常运行状态，减少非正常工况出现频率，从源头控制污染物排放。</w:t>
      </w:r>
    </w:p>
    <w:p w14:paraId="39EBF230" w14:textId="77777777" w:rsidR="002E474C" w:rsidRDefault="00000000">
      <w:pPr>
        <w:pStyle w:val="A-z"/>
        <w:rPr>
          <w:color w:val="auto"/>
        </w:rPr>
      </w:pPr>
      <w:r>
        <w:rPr>
          <w:color w:val="auto"/>
        </w:rPr>
        <w:t>（</w:t>
      </w:r>
      <w:r>
        <w:rPr>
          <w:color w:val="auto"/>
        </w:rPr>
        <w:t>2</w:t>
      </w:r>
      <w:r>
        <w:rPr>
          <w:color w:val="auto"/>
        </w:rPr>
        <w:t>）过程防控措施</w:t>
      </w:r>
    </w:p>
    <w:p w14:paraId="2BB6ECBC" w14:textId="77777777" w:rsidR="002E474C" w:rsidRDefault="00000000">
      <w:pPr>
        <w:pStyle w:val="A-z"/>
        <w:rPr>
          <w:color w:val="auto"/>
        </w:rPr>
      </w:pPr>
      <w:r>
        <w:rPr>
          <w:color w:val="auto"/>
        </w:rPr>
        <w:t>厂区范围内应采取绿化措施，以种植具有较强吸附能力的植物为主；厂内道路进行硬化，危废贮存库、固态危废预处理车间、液态处置车间做好地面防渗、导流沟和围堰建设，防止土壤环境污染。</w:t>
      </w:r>
    </w:p>
    <w:p w14:paraId="23A4C536" w14:textId="77777777" w:rsidR="002E474C" w:rsidRDefault="00000000">
      <w:pPr>
        <w:pStyle w:val="A-z"/>
        <w:rPr>
          <w:color w:val="auto"/>
        </w:rPr>
      </w:pPr>
      <w:r>
        <w:rPr>
          <w:color w:val="auto"/>
        </w:rPr>
        <w:t>（</w:t>
      </w:r>
      <w:r>
        <w:rPr>
          <w:color w:val="auto"/>
        </w:rPr>
        <w:t>3</w:t>
      </w:r>
      <w:r>
        <w:rPr>
          <w:color w:val="auto"/>
        </w:rPr>
        <w:t>）跟踪监测</w:t>
      </w:r>
    </w:p>
    <w:p w14:paraId="032E6517" w14:textId="77777777" w:rsidR="002E474C" w:rsidRDefault="00000000">
      <w:pPr>
        <w:pStyle w:val="A-z"/>
        <w:rPr>
          <w:color w:val="auto"/>
        </w:rPr>
      </w:pPr>
      <w:r>
        <w:rPr>
          <w:rFonts w:hint="eastAsia"/>
          <w:color w:val="auto"/>
        </w:rPr>
        <w:t>本</w:t>
      </w:r>
      <w:r>
        <w:rPr>
          <w:color w:val="auto"/>
        </w:rPr>
        <w:t>项目土壤环境影响评价工作等级为二级，根据《环境影响评价技术导则</w:t>
      </w:r>
      <w:r>
        <w:rPr>
          <w:color w:val="auto"/>
        </w:rPr>
        <w:t xml:space="preserve"> </w:t>
      </w:r>
      <w:r>
        <w:rPr>
          <w:color w:val="auto"/>
        </w:rPr>
        <w:t>土壤环境（试行）》（</w:t>
      </w:r>
      <w:r>
        <w:rPr>
          <w:color w:val="auto"/>
        </w:rPr>
        <w:t>HJ964-2018</w:t>
      </w:r>
      <w:r>
        <w:rPr>
          <w:color w:val="auto"/>
        </w:rPr>
        <w:t>）的要求，本项目运行时必须提出土壤跟踪监测计划，每</w:t>
      </w:r>
      <w:r>
        <w:rPr>
          <w:color w:val="auto"/>
        </w:rPr>
        <w:t>5</w:t>
      </w:r>
      <w:r>
        <w:rPr>
          <w:color w:val="auto"/>
        </w:rPr>
        <w:t>年内开展</w:t>
      </w:r>
      <w:r>
        <w:rPr>
          <w:color w:val="auto"/>
        </w:rPr>
        <w:t>1</w:t>
      </w:r>
      <w:r>
        <w:rPr>
          <w:color w:val="auto"/>
        </w:rPr>
        <w:t>次监测工作。在厂区内土壤可能重点影响区和土壤环境敏感点布置监测点，选择项目特征因子作为监测指标，跟踪监测厂区内土壤环境质量变化情况。</w:t>
      </w:r>
    </w:p>
    <w:p w14:paraId="25E8C6E0" w14:textId="77777777" w:rsidR="002E474C" w:rsidRDefault="00000000">
      <w:pPr>
        <w:pStyle w:val="A-z"/>
        <w:rPr>
          <w:color w:val="auto"/>
        </w:rPr>
      </w:pPr>
      <w:r>
        <w:rPr>
          <w:color w:val="auto"/>
        </w:rPr>
        <w:t>（</w:t>
      </w:r>
      <w:r>
        <w:rPr>
          <w:color w:val="auto"/>
        </w:rPr>
        <w:t>4</w:t>
      </w:r>
      <w:r>
        <w:rPr>
          <w:color w:val="auto"/>
        </w:rPr>
        <w:t>）运输环节污染控制</w:t>
      </w:r>
    </w:p>
    <w:p w14:paraId="6E223699" w14:textId="77777777" w:rsidR="002E474C" w:rsidRDefault="00000000">
      <w:pPr>
        <w:pStyle w:val="A-z"/>
        <w:rPr>
          <w:color w:val="auto"/>
        </w:rPr>
      </w:pPr>
      <w:r>
        <w:rPr>
          <w:color w:val="auto"/>
        </w:rPr>
        <w:t>1</w:t>
      </w:r>
      <w:r>
        <w:rPr>
          <w:color w:val="auto"/>
        </w:rPr>
        <w:t>）危废预处理产物及进厂危废要根据其种类，用符合国家有关标准的专门容器分类收集运输。</w:t>
      </w:r>
    </w:p>
    <w:p w14:paraId="31957768" w14:textId="77777777" w:rsidR="002E474C" w:rsidRDefault="00000000">
      <w:pPr>
        <w:pStyle w:val="A-z"/>
        <w:rPr>
          <w:color w:val="auto"/>
        </w:rPr>
      </w:pPr>
      <w:r>
        <w:rPr>
          <w:color w:val="auto"/>
        </w:rPr>
        <w:t>2</w:t>
      </w:r>
      <w:r>
        <w:rPr>
          <w:color w:val="auto"/>
        </w:rPr>
        <w:t>）贮存、装运含危废的容器应根据其特性而设计，不易破损、变形，所用材料需能有效防止渗漏、扩散。装有废蓄电池的容器必须贴有国家标准所要求的分类标识。</w:t>
      </w:r>
    </w:p>
    <w:p w14:paraId="4E1292F1" w14:textId="77777777" w:rsidR="002E474C" w:rsidRDefault="00000000">
      <w:pPr>
        <w:pStyle w:val="A-z"/>
        <w:rPr>
          <w:color w:val="auto"/>
        </w:rPr>
      </w:pPr>
      <w:r>
        <w:rPr>
          <w:color w:val="auto"/>
        </w:rPr>
        <w:t>3</w:t>
      </w:r>
      <w:r>
        <w:rPr>
          <w:color w:val="auto"/>
        </w:rPr>
        <w:t>）严格控制有毒有害物质排放，按年度向生态环境主管部门报告排放情况。</w:t>
      </w:r>
    </w:p>
    <w:p w14:paraId="399C104D" w14:textId="77777777" w:rsidR="002E474C" w:rsidRDefault="00000000">
      <w:pPr>
        <w:pStyle w:val="A-z"/>
        <w:rPr>
          <w:color w:val="auto"/>
        </w:rPr>
      </w:pPr>
      <w:r>
        <w:rPr>
          <w:color w:val="auto"/>
        </w:rPr>
        <w:t>4</w:t>
      </w:r>
      <w:r>
        <w:rPr>
          <w:color w:val="auto"/>
        </w:rPr>
        <w:t>）完善全厂土壤污染隐患排查制度，保证持续有效防止有毒有害物质渗漏、流失、扬散。生产装置区和污水处理站均应采取严格的管理制度，避免液态危废及废水渗漏，严格生产台账管理，排查物料流失情况，防止造成土壤污染。</w:t>
      </w:r>
    </w:p>
    <w:p w14:paraId="332A3144" w14:textId="77777777" w:rsidR="002E474C" w:rsidRDefault="00000000">
      <w:pPr>
        <w:pStyle w:val="A-z"/>
        <w:rPr>
          <w:color w:val="auto"/>
        </w:rPr>
      </w:pPr>
      <w:r>
        <w:rPr>
          <w:color w:val="auto"/>
        </w:rPr>
        <w:t>5</w:t>
      </w:r>
      <w:r>
        <w:rPr>
          <w:color w:val="auto"/>
        </w:rPr>
        <w:t>）危险废物转移运输应委托有相应危险废物运输资质的单位运输。所有运送危废的运输车全部采用带有防治滴漏措施封闭式运输车运输确保运输过程中得到较好的保障。</w:t>
      </w:r>
    </w:p>
    <w:p w14:paraId="74B0C8A1" w14:textId="77777777" w:rsidR="002E474C" w:rsidRDefault="00000000">
      <w:pPr>
        <w:pStyle w:val="A-z"/>
        <w:rPr>
          <w:color w:val="auto"/>
        </w:rPr>
      </w:pPr>
      <w:r>
        <w:rPr>
          <w:color w:val="auto"/>
        </w:rPr>
        <w:t>6</w:t>
      </w:r>
      <w:r>
        <w:rPr>
          <w:color w:val="auto"/>
        </w:rPr>
        <w:t>）尽可能避免运输车在敏感点附近滞留，每辆运输车都配备必要的通讯工具，供应急联络用，当运输过程中发生事故，运输人员必须尽快通知有关管理部门进行妥善处理。</w:t>
      </w:r>
    </w:p>
    <w:p w14:paraId="3D0DBAE7" w14:textId="77777777" w:rsidR="002E474C" w:rsidRDefault="00000000">
      <w:pPr>
        <w:pStyle w:val="A-z"/>
        <w:rPr>
          <w:color w:val="auto"/>
        </w:rPr>
      </w:pPr>
      <w:r>
        <w:rPr>
          <w:color w:val="auto"/>
        </w:rPr>
        <w:t>7</w:t>
      </w:r>
      <w:r>
        <w:rPr>
          <w:color w:val="auto"/>
        </w:rPr>
        <w:t>）加强对运输司机的思想教育和技术培训，避免交通事故的发生。</w:t>
      </w:r>
    </w:p>
    <w:p w14:paraId="52C817D8" w14:textId="77777777" w:rsidR="002E474C" w:rsidRDefault="00000000">
      <w:pPr>
        <w:pStyle w:val="A-z"/>
        <w:rPr>
          <w:color w:val="auto"/>
        </w:rPr>
      </w:pPr>
      <w:r>
        <w:rPr>
          <w:color w:val="auto"/>
        </w:rPr>
        <w:lastRenderedPageBreak/>
        <w:t>采取上述措施，土壤污染能够有效防治，处置措施可行。</w:t>
      </w:r>
      <w:bookmarkEnd w:id="351"/>
    </w:p>
    <w:p w14:paraId="614790D5" w14:textId="77777777" w:rsidR="002E474C" w:rsidRDefault="00000000">
      <w:pPr>
        <w:pStyle w:val="21"/>
        <w:spacing w:before="240" w:after="240"/>
        <w:rPr>
          <w:color w:val="auto"/>
        </w:rPr>
      </w:pPr>
      <w:bookmarkStart w:id="352" w:name="_Toc28350"/>
      <w:bookmarkStart w:id="353" w:name="_Toc225848876"/>
      <w:r>
        <w:rPr>
          <w:color w:val="auto"/>
        </w:rPr>
        <w:t>噪声污染防治措施</w:t>
      </w:r>
      <w:bookmarkEnd w:id="352"/>
      <w:bookmarkEnd w:id="353"/>
    </w:p>
    <w:p w14:paraId="118C33A4" w14:textId="77777777" w:rsidR="002E474C" w:rsidRDefault="00000000">
      <w:pPr>
        <w:pStyle w:val="A-z"/>
        <w:rPr>
          <w:color w:val="auto"/>
        </w:rPr>
      </w:pPr>
      <w:r>
        <w:rPr>
          <w:color w:val="auto"/>
        </w:rPr>
        <w:t>本项目主要设备多数安装在车间内，主要分布在固态危废预处理车间，噪声治理主要措施如下：</w:t>
      </w:r>
    </w:p>
    <w:p w14:paraId="4AA5E282" w14:textId="77777777" w:rsidR="002E474C" w:rsidRDefault="00000000">
      <w:pPr>
        <w:pStyle w:val="A-z"/>
        <w:rPr>
          <w:color w:val="auto"/>
        </w:rPr>
      </w:pPr>
      <w:r>
        <w:rPr>
          <w:color w:val="auto"/>
        </w:rPr>
        <w:t>（</w:t>
      </w:r>
      <w:r>
        <w:rPr>
          <w:color w:val="auto"/>
        </w:rPr>
        <w:t>1</w:t>
      </w:r>
      <w:r>
        <w:rPr>
          <w:color w:val="auto"/>
        </w:rPr>
        <w:t>）设备选型：在设计中，应要求设计单位按照《工业企业噪声控制设计规范》规范要求，尽量选用技术先进、性能质量良好、同类成品中声级较低的设备，从源头上控制噪声源。</w:t>
      </w:r>
    </w:p>
    <w:p w14:paraId="58EF7D73" w14:textId="77777777" w:rsidR="002E474C" w:rsidRDefault="00000000">
      <w:pPr>
        <w:pStyle w:val="A-z"/>
        <w:rPr>
          <w:color w:val="auto"/>
        </w:rPr>
      </w:pPr>
      <w:r>
        <w:rPr>
          <w:color w:val="auto"/>
        </w:rPr>
        <w:t>（</w:t>
      </w:r>
      <w:r>
        <w:rPr>
          <w:color w:val="auto"/>
        </w:rPr>
        <w:t>2</w:t>
      </w:r>
      <w:r>
        <w:rPr>
          <w:color w:val="auto"/>
        </w:rPr>
        <w:t>）泵类噪声</w:t>
      </w:r>
    </w:p>
    <w:p w14:paraId="76AC9804" w14:textId="77777777" w:rsidR="002E474C" w:rsidRDefault="00000000">
      <w:pPr>
        <w:pStyle w:val="A-z"/>
        <w:rPr>
          <w:color w:val="auto"/>
        </w:rPr>
      </w:pPr>
      <w:r>
        <w:rPr>
          <w:color w:val="auto"/>
        </w:rPr>
        <w:t>1</w:t>
      </w:r>
      <w:r>
        <w:rPr>
          <w:color w:val="auto"/>
        </w:rPr>
        <w:t>）泵机组和电机处可设隔声罩或局部隔声罩、内衬吸声材料；</w:t>
      </w:r>
    </w:p>
    <w:p w14:paraId="5650B93A" w14:textId="77777777" w:rsidR="002E474C" w:rsidRDefault="00000000">
      <w:pPr>
        <w:pStyle w:val="A-z"/>
        <w:rPr>
          <w:color w:val="auto"/>
        </w:rPr>
      </w:pPr>
      <w:r>
        <w:rPr>
          <w:color w:val="auto"/>
        </w:rPr>
        <w:t>2</w:t>
      </w:r>
      <w:r>
        <w:rPr>
          <w:color w:val="auto"/>
        </w:rPr>
        <w:t>）电机部分可根据型号配置消声器；</w:t>
      </w:r>
    </w:p>
    <w:p w14:paraId="71DED5EF" w14:textId="77777777" w:rsidR="002E474C" w:rsidRDefault="00000000">
      <w:pPr>
        <w:pStyle w:val="A-z"/>
        <w:rPr>
          <w:color w:val="auto"/>
        </w:rPr>
      </w:pPr>
      <w:r>
        <w:rPr>
          <w:color w:val="auto"/>
        </w:rPr>
        <w:t>3</w:t>
      </w:r>
      <w:r>
        <w:rPr>
          <w:color w:val="auto"/>
        </w:rPr>
        <w:t>）泵的进出口接管做挠性连接或弹性连接；</w:t>
      </w:r>
    </w:p>
    <w:p w14:paraId="0CC2394C" w14:textId="77777777" w:rsidR="002E474C" w:rsidRDefault="00000000">
      <w:pPr>
        <w:pStyle w:val="A-z"/>
        <w:rPr>
          <w:color w:val="auto"/>
        </w:rPr>
      </w:pPr>
      <w:r>
        <w:rPr>
          <w:color w:val="auto"/>
        </w:rPr>
        <w:t>4</w:t>
      </w:r>
      <w:r>
        <w:rPr>
          <w:color w:val="auto"/>
        </w:rPr>
        <w:t>）泵机组做金属弹簧、橡胶减振器等隔振、减振处理；</w:t>
      </w:r>
    </w:p>
    <w:p w14:paraId="121CDBAC" w14:textId="77777777" w:rsidR="002E474C" w:rsidRDefault="00000000">
      <w:pPr>
        <w:pStyle w:val="A-z"/>
        <w:ind w:firstLine="456"/>
        <w:rPr>
          <w:color w:val="auto"/>
          <w:spacing w:val="-6"/>
        </w:rPr>
      </w:pPr>
      <w:r>
        <w:rPr>
          <w:color w:val="auto"/>
          <w:spacing w:val="-6"/>
        </w:rPr>
        <w:t>5</w:t>
      </w:r>
      <w:r>
        <w:rPr>
          <w:color w:val="auto"/>
          <w:spacing w:val="-6"/>
        </w:rPr>
        <w:t>）泵的进出口管尺寸要合适、匹配，避免流速过高产生气蚀而引起强烈噪声。</w:t>
      </w:r>
    </w:p>
    <w:p w14:paraId="78241EC3" w14:textId="77777777" w:rsidR="002E474C" w:rsidRDefault="00000000">
      <w:pPr>
        <w:pStyle w:val="A-z"/>
        <w:rPr>
          <w:color w:val="auto"/>
        </w:rPr>
      </w:pPr>
      <w:r>
        <w:rPr>
          <w:color w:val="auto"/>
        </w:rPr>
        <w:t>（</w:t>
      </w:r>
      <w:r>
        <w:rPr>
          <w:color w:val="auto"/>
        </w:rPr>
        <w:t>3</w:t>
      </w:r>
      <w:r>
        <w:rPr>
          <w:color w:val="auto"/>
        </w:rPr>
        <w:t>）风机类噪声</w:t>
      </w:r>
    </w:p>
    <w:p w14:paraId="1CBD1168" w14:textId="77777777" w:rsidR="002E474C" w:rsidRDefault="00000000">
      <w:pPr>
        <w:pStyle w:val="A-z"/>
        <w:rPr>
          <w:color w:val="auto"/>
        </w:rPr>
      </w:pPr>
      <w:r>
        <w:rPr>
          <w:color w:val="auto"/>
        </w:rPr>
        <w:t>1</w:t>
      </w:r>
      <w:r>
        <w:rPr>
          <w:color w:val="auto"/>
        </w:rPr>
        <w:t>）设置隔声罩，但要充分考虑通风散热问题；</w:t>
      </w:r>
    </w:p>
    <w:p w14:paraId="1C519248" w14:textId="77777777" w:rsidR="002E474C" w:rsidRDefault="00000000">
      <w:pPr>
        <w:pStyle w:val="A-z"/>
        <w:rPr>
          <w:color w:val="auto"/>
        </w:rPr>
      </w:pPr>
      <w:r>
        <w:rPr>
          <w:color w:val="auto"/>
        </w:rPr>
        <w:t>2</w:t>
      </w:r>
      <w:r>
        <w:rPr>
          <w:color w:val="auto"/>
        </w:rPr>
        <w:t>）风机进、出口加设合适型号的消声器；</w:t>
      </w:r>
    </w:p>
    <w:p w14:paraId="0065A349" w14:textId="77777777" w:rsidR="002E474C" w:rsidRDefault="00000000">
      <w:pPr>
        <w:pStyle w:val="A-z"/>
        <w:rPr>
          <w:color w:val="auto"/>
        </w:rPr>
      </w:pPr>
      <w:r>
        <w:rPr>
          <w:color w:val="auto"/>
        </w:rPr>
        <w:t>3</w:t>
      </w:r>
      <w:r>
        <w:rPr>
          <w:color w:val="auto"/>
        </w:rPr>
        <w:t>）在满足风机特性参数的前提下选用低噪声风机；</w:t>
      </w:r>
    </w:p>
    <w:p w14:paraId="5635D3CD" w14:textId="77777777" w:rsidR="002E474C" w:rsidRDefault="00000000">
      <w:pPr>
        <w:pStyle w:val="A-z"/>
        <w:rPr>
          <w:color w:val="auto"/>
        </w:rPr>
      </w:pPr>
      <w:r>
        <w:rPr>
          <w:color w:val="auto"/>
        </w:rPr>
        <w:t>4</w:t>
      </w:r>
      <w:r>
        <w:rPr>
          <w:color w:val="auto"/>
        </w:rPr>
        <w:t>）在满足工艺条件的情况下，尽量配置专用风机房，并采取相应综合治理措施；</w:t>
      </w:r>
    </w:p>
    <w:p w14:paraId="6A0B46B9" w14:textId="77777777" w:rsidR="002E474C" w:rsidRDefault="00000000">
      <w:pPr>
        <w:pStyle w:val="A-z"/>
        <w:rPr>
          <w:color w:val="auto"/>
        </w:rPr>
      </w:pPr>
      <w:r>
        <w:rPr>
          <w:color w:val="auto"/>
        </w:rPr>
        <w:t>5</w:t>
      </w:r>
      <w:r>
        <w:rPr>
          <w:color w:val="auto"/>
        </w:rPr>
        <w:t>）对震动较大风机机组基础采用隔振与减振措施，管路选用弹性软连接。</w:t>
      </w:r>
    </w:p>
    <w:p w14:paraId="4DA51AF9" w14:textId="77777777" w:rsidR="002E474C" w:rsidRDefault="00000000">
      <w:pPr>
        <w:pStyle w:val="A-z"/>
        <w:rPr>
          <w:color w:val="auto"/>
        </w:rPr>
      </w:pPr>
      <w:r>
        <w:rPr>
          <w:color w:val="auto"/>
        </w:rPr>
        <w:t>（</w:t>
      </w:r>
      <w:r>
        <w:rPr>
          <w:color w:val="auto"/>
        </w:rPr>
        <w:t>4</w:t>
      </w:r>
      <w:r>
        <w:rPr>
          <w:color w:val="auto"/>
        </w:rPr>
        <w:t>）从传播途径上控制降低噪声</w:t>
      </w:r>
    </w:p>
    <w:p w14:paraId="52088E49" w14:textId="77777777" w:rsidR="002E474C" w:rsidRDefault="00000000">
      <w:pPr>
        <w:pStyle w:val="A-z"/>
        <w:rPr>
          <w:color w:val="auto"/>
        </w:rPr>
      </w:pPr>
      <w:r>
        <w:rPr>
          <w:color w:val="auto"/>
        </w:rPr>
        <w:t>1</w:t>
      </w:r>
      <w:r>
        <w:rPr>
          <w:color w:val="auto"/>
        </w:rPr>
        <w:t>）车间墙壁采用双面粉刷，窗户采用隔音门窗进行隔音或采用吸声墙面。</w:t>
      </w:r>
    </w:p>
    <w:p w14:paraId="2D475977" w14:textId="77777777" w:rsidR="002E474C" w:rsidRDefault="00000000">
      <w:pPr>
        <w:pStyle w:val="A-z"/>
        <w:rPr>
          <w:color w:val="auto"/>
        </w:rPr>
      </w:pPr>
      <w:r>
        <w:rPr>
          <w:color w:val="auto"/>
        </w:rPr>
        <w:t>2</w:t>
      </w:r>
      <w:r>
        <w:rPr>
          <w:color w:val="auto"/>
        </w:rPr>
        <w:t>）项目高噪设备在布置时应当相对远离厂界。</w:t>
      </w:r>
    </w:p>
    <w:p w14:paraId="254006FE" w14:textId="77777777" w:rsidR="002E474C" w:rsidRDefault="00000000">
      <w:pPr>
        <w:pStyle w:val="A-z"/>
        <w:rPr>
          <w:color w:val="auto"/>
        </w:rPr>
      </w:pPr>
      <w:r>
        <w:rPr>
          <w:color w:val="auto"/>
        </w:rPr>
        <w:t>3</w:t>
      </w:r>
      <w:r>
        <w:rPr>
          <w:color w:val="auto"/>
        </w:rPr>
        <w:t>）在厂区及车间外多植密叶树木（如减噪力强的杨树、柳树、榆树），不仅可以改善环境，而且一定密度和具有一定宽度的树林具有衰减噪声的作用。</w:t>
      </w:r>
    </w:p>
    <w:p w14:paraId="2459132B" w14:textId="77777777" w:rsidR="002E474C" w:rsidRDefault="00000000">
      <w:pPr>
        <w:pStyle w:val="A-z"/>
        <w:rPr>
          <w:color w:val="auto"/>
        </w:rPr>
      </w:pPr>
      <w:r>
        <w:rPr>
          <w:color w:val="auto"/>
        </w:rPr>
        <w:t>（</w:t>
      </w:r>
      <w:r>
        <w:rPr>
          <w:color w:val="auto"/>
        </w:rPr>
        <w:t>5</w:t>
      </w:r>
      <w:r>
        <w:rPr>
          <w:color w:val="auto"/>
        </w:rPr>
        <w:t>）管理措施</w:t>
      </w:r>
    </w:p>
    <w:p w14:paraId="08412ABF" w14:textId="77777777" w:rsidR="002E474C" w:rsidRDefault="00000000">
      <w:pPr>
        <w:pStyle w:val="A-z"/>
        <w:rPr>
          <w:color w:val="auto"/>
        </w:rPr>
      </w:pPr>
      <w:r>
        <w:rPr>
          <w:color w:val="auto"/>
        </w:rPr>
        <w:t>制定噪声监测计划并执行；生产时应维持设备处于良好的运转状态，避免因设备运转不正常而引起噪声的增高。</w:t>
      </w:r>
    </w:p>
    <w:p w14:paraId="471197DC" w14:textId="77777777" w:rsidR="002E474C" w:rsidRDefault="00000000">
      <w:pPr>
        <w:pStyle w:val="A-z"/>
        <w:rPr>
          <w:color w:val="auto"/>
        </w:rPr>
      </w:pPr>
      <w:r>
        <w:rPr>
          <w:color w:val="auto"/>
        </w:rPr>
        <w:lastRenderedPageBreak/>
        <w:t>控制噪声最有效和最直接的措施是降低声源噪声，因此项目必须配置低噪声设备；其次在噪声的传播控制措施，本项目针对各种噪声源在传播途径上采取了适当控制措施，其控制措施可行。只要建设单位认真落实上述各项噪声防治与控制措施，本项目产生的噪声可得到有效的控制，可使厂界噪声满足《工业企业厂界环境噪声排放标准》（</w:t>
      </w:r>
      <w:r>
        <w:rPr>
          <w:color w:val="auto"/>
        </w:rPr>
        <w:t>12348-2008</w:t>
      </w:r>
      <w:r>
        <w:rPr>
          <w:color w:val="auto"/>
        </w:rPr>
        <w:t>）</w:t>
      </w:r>
      <w:r>
        <w:rPr>
          <w:color w:val="auto"/>
        </w:rPr>
        <w:t>3</w:t>
      </w:r>
      <w:r>
        <w:rPr>
          <w:color w:val="auto"/>
        </w:rPr>
        <w:t>类声环境功能区标准要求。</w:t>
      </w:r>
    </w:p>
    <w:p w14:paraId="08FBAECA" w14:textId="77777777" w:rsidR="002E474C" w:rsidRDefault="00000000">
      <w:pPr>
        <w:pStyle w:val="21"/>
        <w:spacing w:before="240" w:after="240"/>
        <w:rPr>
          <w:color w:val="auto"/>
        </w:rPr>
      </w:pPr>
      <w:bookmarkStart w:id="354" w:name="_Toc15375"/>
      <w:bookmarkStart w:id="355" w:name="_Toc225848877"/>
      <w:r>
        <w:rPr>
          <w:color w:val="auto"/>
        </w:rPr>
        <w:t>固体废物污染防治措施</w:t>
      </w:r>
      <w:bookmarkEnd w:id="354"/>
      <w:bookmarkEnd w:id="355"/>
    </w:p>
    <w:p w14:paraId="3A6D2305" w14:textId="77777777" w:rsidR="002E474C" w:rsidRDefault="00000000">
      <w:pPr>
        <w:pStyle w:val="A-z"/>
        <w:rPr>
          <w:color w:val="auto"/>
        </w:rPr>
      </w:pPr>
      <w:r>
        <w:rPr>
          <w:color w:val="auto"/>
        </w:rPr>
        <w:t>本项目固体废物主要为废包装物、预处理滤渣、废滤袋、废活性炭、污泥、除尘灰、废润滑油等，掺入预处理产物投入水泥窑高温区焚烧，本项目生产固废处置方式符合《水泥窑协同处置危险废物环境保护技术规范》（</w:t>
      </w:r>
      <w:r>
        <w:rPr>
          <w:color w:val="auto"/>
        </w:rPr>
        <w:t>HJ662-2013</w:t>
      </w:r>
      <w:r>
        <w:rPr>
          <w:color w:val="auto"/>
        </w:rPr>
        <w:t>）规定。新增生活垃圾运至圣雄股份公司垃圾场处理。</w:t>
      </w:r>
    </w:p>
    <w:p w14:paraId="07E55408" w14:textId="77777777" w:rsidR="002E474C" w:rsidRDefault="00000000">
      <w:pPr>
        <w:pStyle w:val="A-z"/>
        <w:rPr>
          <w:color w:val="auto"/>
        </w:rPr>
      </w:pPr>
      <w:r>
        <w:rPr>
          <w:color w:val="auto"/>
        </w:rPr>
        <w:t>本项目固体废物综合处置率达</w:t>
      </w:r>
      <w:r>
        <w:rPr>
          <w:color w:val="auto"/>
        </w:rPr>
        <w:t>100%</w:t>
      </w:r>
      <w:r>
        <w:rPr>
          <w:color w:val="auto"/>
        </w:rPr>
        <w:t>，在落实好固废安全处置的情况下，不会造成二次污染，不会对周围环境造成影响，其固废处理措施是可行的。</w:t>
      </w:r>
    </w:p>
    <w:p w14:paraId="03D568E3" w14:textId="77777777" w:rsidR="002E474C" w:rsidRDefault="00000000">
      <w:pPr>
        <w:pStyle w:val="31"/>
        <w:spacing w:before="120" w:after="120"/>
        <w:rPr>
          <w:color w:val="auto"/>
        </w:rPr>
      </w:pPr>
      <w:r>
        <w:rPr>
          <w:color w:val="auto"/>
        </w:rPr>
        <w:t>贮存设施污染防控技术要求</w:t>
      </w:r>
    </w:p>
    <w:p w14:paraId="2D2585DD" w14:textId="77777777" w:rsidR="002E474C" w:rsidRDefault="00000000">
      <w:pPr>
        <w:pStyle w:val="A-z"/>
        <w:ind w:firstLine="456"/>
        <w:rPr>
          <w:color w:val="auto"/>
          <w:spacing w:val="-6"/>
        </w:rPr>
      </w:pPr>
      <w:r>
        <w:rPr>
          <w:color w:val="auto"/>
          <w:spacing w:val="-6"/>
        </w:rPr>
        <w:t>固体废物应与水泥厂常规原料、燃料和产品分开贮存，禁止共用同一贮存设施。</w:t>
      </w:r>
    </w:p>
    <w:p w14:paraId="138D2802" w14:textId="77777777" w:rsidR="002E474C" w:rsidRDefault="00000000">
      <w:pPr>
        <w:pStyle w:val="A-z"/>
        <w:ind w:firstLine="456"/>
        <w:rPr>
          <w:color w:val="auto"/>
          <w:spacing w:val="-6"/>
        </w:rPr>
      </w:pPr>
      <w:r>
        <w:rPr>
          <w:color w:val="auto"/>
          <w:spacing w:val="-6"/>
        </w:rPr>
        <w:t>在液态废物贮存区应设置足够数量的砂土等吸附物质，以用于液态废物泄漏后阻止其向外溢出。吸附危险废物后的吸附物质应作为危险废物进行管理和处置。</w:t>
      </w:r>
      <w:r>
        <w:rPr>
          <w:color w:val="auto"/>
          <w:spacing w:val="-6"/>
        </w:rPr>
        <w:t xml:space="preserve"> </w:t>
      </w:r>
    </w:p>
    <w:p w14:paraId="29449B76" w14:textId="77777777" w:rsidR="002E474C" w:rsidRDefault="00000000">
      <w:pPr>
        <w:pStyle w:val="A-z"/>
        <w:rPr>
          <w:color w:val="auto"/>
        </w:rPr>
      </w:pPr>
      <w:r>
        <w:rPr>
          <w:color w:val="auto"/>
        </w:rPr>
        <w:t>危险废物贮存设施的操作运行和管理应满足</w:t>
      </w:r>
      <w:r>
        <w:rPr>
          <w:color w:val="auto"/>
        </w:rPr>
        <w:t>GB18597</w:t>
      </w:r>
      <w:r>
        <w:rPr>
          <w:color w:val="auto"/>
        </w:rPr>
        <w:t>和</w:t>
      </w:r>
      <w:r>
        <w:rPr>
          <w:color w:val="auto"/>
        </w:rPr>
        <w:t>HJ/T176</w:t>
      </w:r>
      <w:r>
        <w:rPr>
          <w:color w:val="auto"/>
        </w:rPr>
        <w:t>中的相关要求。</w:t>
      </w:r>
      <w:r>
        <w:rPr>
          <w:color w:val="auto"/>
        </w:rPr>
        <w:t xml:space="preserve"> </w:t>
      </w:r>
    </w:p>
    <w:p w14:paraId="480CC353" w14:textId="77777777" w:rsidR="002E474C" w:rsidRDefault="00000000">
      <w:pPr>
        <w:pStyle w:val="A-z"/>
        <w:rPr>
          <w:color w:val="auto"/>
        </w:rPr>
      </w:pPr>
      <w:r>
        <w:rPr>
          <w:color w:val="auto"/>
        </w:rPr>
        <w:t>不明性质废物在水泥厂内的暂存时间不得超过</w:t>
      </w:r>
      <w:r>
        <w:rPr>
          <w:color w:val="auto"/>
        </w:rPr>
        <w:t>1</w:t>
      </w:r>
      <w:r>
        <w:rPr>
          <w:color w:val="auto"/>
        </w:rPr>
        <w:t>周。</w:t>
      </w:r>
    </w:p>
    <w:p w14:paraId="2CAE2F9B" w14:textId="77777777" w:rsidR="002E474C" w:rsidRDefault="00000000">
      <w:pPr>
        <w:pStyle w:val="A-z"/>
        <w:rPr>
          <w:color w:val="auto"/>
        </w:rPr>
      </w:pPr>
      <w:r>
        <w:rPr>
          <w:color w:val="auto"/>
        </w:rPr>
        <w:t>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泄漏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w:t>
      </w:r>
      <w:r>
        <w:rPr>
          <w:color w:val="auto"/>
        </w:rPr>
        <w:t xml:space="preserve"> </w:t>
      </w:r>
    </w:p>
    <w:p w14:paraId="316508BA" w14:textId="77777777" w:rsidR="002E474C" w:rsidRDefault="00000000">
      <w:pPr>
        <w:pStyle w:val="A-z"/>
        <w:rPr>
          <w:color w:val="auto"/>
        </w:rPr>
      </w:pPr>
      <w:r>
        <w:rPr>
          <w:color w:val="auto"/>
        </w:rPr>
        <w:t>排污单位生产运营期间危险废物自行贮存设施的环境管理和相关设施运行</w:t>
      </w:r>
      <w:r>
        <w:rPr>
          <w:color w:val="auto"/>
        </w:rPr>
        <w:lastRenderedPageBreak/>
        <w:t>维护还应符合</w:t>
      </w:r>
      <w:r>
        <w:rPr>
          <w:color w:val="auto"/>
        </w:rPr>
        <w:t xml:space="preserve"> GB 15562.2</w:t>
      </w:r>
      <w:r>
        <w:rPr>
          <w:color w:val="auto"/>
        </w:rPr>
        <w:t>、</w:t>
      </w:r>
      <w:r>
        <w:rPr>
          <w:color w:val="auto"/>
        </w:rPr>
        <w:t>GB 18484</w:t>
      </w:r>
      <w:r>
        <w:rPr>
          <w:color w:val="auto"/>
        </w:rPr>
        <w:t>、</w:t>
      </w:r>
      <w:r>
        <w:rPr>
          <w:color w:val="auto"/>
        </w:rPr>
        <w:t>GB 18597</w:t>
      </w:r>
      <w:r>
        <w:rPr>
          <w:color w:val="auto"/>
        </w:rPr>
        <w:t>、</w:t>
      </w:r>
      <w:r>
        <w:rPr>
          <w:color w:val="auto"/>
        </w:rPr>
        <w:t>GB 30485</w:t>
      </w:r>
      <w:r>
        <w:rPr>
          <w:color w:val="auto"/>
        </w:rPr>
        <w:t>、</w:t>
      </w:r>
      <w:r>
        <w:rPr>
          <w:color w:val="auto"/>
        </w:rPr>
        <w:t xml:space="preserve">HJ 2025 </w:t>
      </w:r>
      <w:r>
        <w:rPr>
          <w:color w:val="auto"/>
        </w:rPr>
        <w:t>和</w:t>
      </w:r>
      <w:r>
        <w:rPr>
          <w:color w:val="auto"/>
        </w:rPr>
        <w:t xml:space="preserve">HJ 2042 </w:t>
      </w:r>
      <w:r>
        <w:rPr>
          <w:color w:val="auto"/>
        </w:rPr>
        <w:t>等相关标准规范要求。</w:t>
      </w:r>
    </w:p>
    <w:p w14:paraId="0C0CA2FC" w14:textId="77777777" w:rsidR="002E474C" w:rsidRDefault="00000000">
      <w:pPr>
        <w:pStyle w:val="31"/>
        <w:spacing w:before="120" w:after="120"/>
        <w:rPr>
          <w:color w:val="auto"/>
        </w:rPr>
      </w:pPr>
      <w:r>
        <w:rPr>
          <w:color w:val="auto"/>
        </w:rPr>
        <w:t>危险废物全过程管理措施</w:t>
      </w:r>
    </w:p>
    <w:p w14:paraId="5BD56819" w14:textId="77777777" w:rsidR="002E474C" w:rsidRDefault="00000000">
      <w:pPr>
        <w:pStyle w:val="A-z"/>
        <w:rPr>
          <w:color w:val="auto"/>
        </w:rPr>
      </w:pPr>
      <w:r>
        <w:rPr>
          <w:color w:val="auto"/>
        </w:rPr>
        <w:t>本项目生产原料为危险废物，其接收及在厂内的收集、贮存、转运也按照危险废物收集、贮存、运输技术规范要求采取措施。</w:t>
      </w:r>
    </w:p>
    <w:p w14:paraId="25077D05" w14:textId="77777777" w:rsidR="002E474C" w:rsidRDefault="00000000">
      <w:pPr>
        <w:pStyle w:val="A-z"/>
        <w:rPr>
          <w:color w:val="auto"/>
        </w:rPr>
      </w:pPr>
      <w:r>
        <w:rPr>
          <w:color w:val="auto"/>
        </w:rPr>
        <w:t>（</w:t>
      </w:r>
      <w:r>
        <w:rPr>
          <w:color w:val="auto"/>
        </w:rPr>
        <w:t>1</w:t>
      </w:r>
      <w:r>
        <w:rPr>
          <w:color w:val="auto"/>
        </w:rPr>
        <w:t>）接收</w:t>
      </w:r>
    </w:p>
    <w:p w14:paraId="2B53FEE9" w14:textId="77777777" w:rsidR="002E474C" w:rsidRDefault="00000000">
      <w:pPr>
        <w:pStyle w:val="A-z"/>
        <w:rPr>
          <w:color w:val="auto"/>
        </w:rPr>
      </w:pPr>
      <w:r>
        <w:rPr>
          <w:color w:val="auto"/>
        </w:rPr>
        <w:t>1</w:t>
      </w:r>
      <w:r>
        <w:rPr>
          <w:color w:val="auto"/>
        </w:rPr>
        <w:t>）核实拟接受的危险废物的种类、重量（数量）、包装、识别标志等相关信息；</w:t>
      </w:r>
    </w:p>
    <w:p w14:paraId="5066FF2B" w14:textId="77777777" w:rsidR="002E474C" w:rsidRDefault="00000000">
      <w:pPr>
        <w:pStyle w:val="A-z"/>
        <w:rPr>
          <w:color w:val="auto"/>
        </w:rPr>
      </w:pPr>
      <w:r>
        <w:rPr>
          <w:color w:val="auto"/>
        </w:rPr>
        <w:t>2</w:t>
      </w:r>
      <w:r>
        <w:rPr>
          <w:color w:val="auto"/>
        </w:rPr>
        <w:t>）填写、运行危险废物转移联单，在危险废物转移联单中如实填写是否接受的意见，以及利用、处置方式和接受量等信息；</w:t>
      </w:r>
    </w:p>
    <w:p w14:paraId="1A57FC40" w14:textId="77777777" w:rsidR="002E474C" w:rsidRDefault="00000000">
      <w:pPr>
        <w:pStyle w:val="A-z"/>
        <w:rPr>
          <w:color w:val="auto"/>
        </w:rPr>
      </w:pPr>
      <w:r>
        <w:rPr>
          <w:color w:val="auto"/>
        </w:rPr>
        <w:t>3</w:t>
      </w:r>
      <w:r>
        <w:rPr>
          <w:color w:val="auto"/>
        </w:rPr>
        <w:t>）按照国家和地方有关规定和标准，对接受的危险废物进行贮存、利用或者处置；</w:t>
      </w:r>
    </w:p>
    <w:p w14:paraId="3C74DEBE" w14:textId="77777777" w:rsidR="002E474C" w:rsidRDefault="00000000">
      <w:pPr>
        <w:pStyle w:val="A-z"/>
        <w:rPr>
          <w:color w:val="auto"/>
        </w:rPr>
      </w:pPr>
      <w:r>
        <w:rPr>
          <w:color w:val="auto"/>
        </w:rPr>
        <w:t>4</w:t>
      </w:r>
      <w:r>
        <w:rPr>
          <w:color w:val="auto"/>
        </w:rPr>
        <w:t>）将危险废物接受情况、利用或者处置结果及时告知移出人；</w:t>
      </w:r>
    </w:p>
    <w:p w14:paraId="6A920167" w14:textId="77777777" w:rsidR="002E474C" w:rsidRDefault="00000000">
      <w:pPr>
        <w:pStyle w:val="A-z"/>
        <w:rPr>
          <w:color w:val="auto"/>
        </w:rPr>
      </w:pPr>
      <w:r>
        <w:rPr>
          <w:color w:val="auto"/>
        </w:rPr>
        <w:t>5</w:t>
      </w:r>
      <w:r>
        <w:rPr>
          <w:color w:val="auto"/>
        </w:rPr>
        <w:t>）法律法规规定的其他义务。</w:t>
      </w:r>
    </w:p>
    <w:p w14:paraId="7E4CB936" w14:textId="77777777" w:rsidR="002E474C" w:rsidRDefault="00000000">
      <w:pPr>
        <w:pStyle w:val="A-z"/>
        <w:rPr>
          <w:color w:val="auto"/>
        </w:rPr>
      </w:pPr>
      <w:r>
        <w:rPr>
          <w:color w:val="auto"/>
        </w:rPr>
        <w:t>（</w:t>
      </w:r>
      <w:r>
        <w:rPr>
          <w:color w:val="auto"/>
        </w:rPr>
        <w:t>2</w:t>
      </w:r>
      <w:r>
        <w:rPr>
          <w:color w:val="auto"/>
        </w:rPr>
        <w:t>）暂存</w:t>
      </w:r>
    </w:p>
    <w:p w14:paraId="606A42ED" w14:textId="77777777" w:rsidR="002E474C" w:rsidRDefault="00000000">
      <w:pPr>
        <w:pStyle w:val="A-z"/>
        <w:rPr>
          <w:color w:val="auto"/>
        </w:rPr>
      </w:pPr>
      <w:r>
        <w:rPr>
          <w:color w:val="auto"/>
        </w:rPr>
        <w:t>1</w:t>
      </w:r>
      <w:r>
        <w:rPr>
          <w:color w:val="auto"/>
        </w:rPr>
        <w:t>）设置危险废物暂存设施，包括固态危废预处理车间、危废贮存库。暂存仓库根据危险废物的类别、数量、形态、物理化学性质和污染防治等要求设置必要的贮存分区，避免不相容的危险废物接触、混合。</w:t>
      </w:r>
    </w:p>
    <w:p w14:paraId="6796771B" w14:textId="77777777" w:rsidR="002E474C" w:rsidRDefault="00000000">
      <w:pPr>
        <w:pStyle w:val="A-z"/>
        <w:rPr>
          <w:color w:val="auto"/>
        </w:rPr>
      </w:pPr>
      <w:r>
        <w:rPr>
          <w:color w:val="auto"/>
        </w:rPr>
        <w:t>2</w:t>
      </w:r>
      <w:r>
        <w:rPr>
          <w:color w:val="auto"/>
        </w:rPr>
        <w:t>）危险废物暂存仓库内地面、墙面裙脚、堵截泄漏的围堰、接触危险废物的隔板和墙体等采用坚固的材料建造，表面无裂缝。</w:t>
      </w:r>
    </w:p>
    <w:p w14:paraId="12642E10" w14:textId="77777777" w:rsidR="002E474C" w:rsidRDefault="00000000">
      <w:pPr>
        <w:pStyle w:val="A-z"/>
        <w:rPr>
          <w:color w:val="auto"/>
        </w:rPr>
      </w:pPr>
      <w:r>
        <w:rPr>
          <w:color w:val="auto"/>
        </w:rPr>
        <w:t>3</w:t>
      </w:r>
      <w:r>
        <w:rPr>
          <w:color w:val="auto"/>
        </w:rPr>
        <w:t>）危险废物暂存仓库地面与裙脚应采取表面防渗措施；表面防渗材料与所接触的物料或污染物相容，可采用抗渗混凝土、高密度聚乙烯膜、钠基膨润土防水毯或其他防渗性能等效的材料。贮存的危险废物直接接触地面的，进行基础防渗，防渗层为至少</w:t>
      </w:r>
      <w:r>
        <w:rPr>
          <w:color w:val="auto"/>
        </w:rPr>
        <w:t>1m</w:t>
      </w:r>
      <w:r>
        <w:rPr>
          <w:color w:val="auto"/>
        </w:rPr>
        <w:t>厚黏土层（渗透系数不大于</w:t>
      </w:r>
      <w:r>
        <w:rPr>
          <w:color w:val="auto"/>
        </w:rPr>
        <w:t>10</w:t>
      </w:r>
      <w:r>
        <w:rPr>
          <w:color w:val="auto"/>
          <w:vertAlign w:val="superscript"/>
        </w:rPr>
        <w:t>-7</w:t>
      </w:r>
      <w:r>
        <w:rPr>
          <w:color w:val="auto"/>
        </w:rPr>
        <w:t>cm/s</w:t>
      </w:r>
      <w:r>
        <w:rPr>
          <w:color w:val="auto"/>
        </w:rPr>
        <w:t>），或至少</w:t>
      </w:r>
      <w:r>
        <w:rPr>
          <w:color w:val="auto"/>
        </w:rPr>
        <w:t>2mm</w:t>
      </w:r>
      <w:r>
        <w:rPr>
          <w:color w:val="auto"/>
        </w:rPr>
        <w:t>厚高密度聚乙烯膜等人工防渗材料（渗透系数不大于</w:t>
      </w:r>
      <w:r>
        <w:rPr>
          <w:color w:val="auto"/>
        </w:rPr>
        <w:t>10</w:t>
      </w:r>
      <w:r>
        <w:rPr>
          <w:color w:val="auto"/>
          <w:vertAlign w:val="superscript"/>
        </w:rPr>
        <w:t>-10</w:t>
      </w:r>
      <w:r>
        <w:rPr>
          <w:color w:val="auto"/>
        </w:rPr>
        <w:t>cm/s</w:t>
      </w:r>
      <w:r>
        <w:rPr>
          <w:color w:val="auto"/>
        </w:rPr>
        <w:t>），或其他防渗性能等效的材料。</w:t>
      </w:r>
    </w:p>
    <w:p w14:paraId="2847DAD4" w14:textId="77777777" w:rsidR="002E474C" w:rsidRDefault="00000000">
      <w:pPr>
        <w:pStyle w:val="A-z"/>
        <w:rPr>
          <w:color w:val="auto"/>
        </w:rPr>
      </w:pPr>
      <w:r>
        <w:rPr>
          <w:color w:val="auto"/>
        </w:rPr>
        <w:t>4</w:t>
      </w:r>
      <w:r>
        <w:rPr>
          <w:color w:val="auto"/>
        </w:rPr>
        <w:t>）同一座危险废物暂存仓库采用相同的防渗、防腐工艺（包括防渗、防腐结构或材料），防渗、防腐材料应覆盖所有可能与废物及其渗滤液、渗漏液等接触的构筑物表面；采用不同防渗、防腐工艺应分别建设贮存分区。</w:t>
      </w:r>
    </w:p>
    <w:p w14:paraId="67A2C7A3" w14:textId="77777777" w:rsidR="002E474C" w:rsidRDefault="00000000">
      <w:pPr>
        <w:pStyle w:val="A-z"/>
        <w:rPr>
          <w:color w:val="auto"/>
        </w:rPr>
      </w:pPr>
      <w:r>
        <w:rPr>
          <w:color w:val="auto"/>
        </w:rPr>
        <w:lastRenderedPageBreak/>
        <w:t>5</w:t>
      </w:r>
      <w:r>
        <w:rPr>
          <w:color w:val="auto"/>
        </w:rPr>
        <w:t>）采取技术和管理措施防止无关人员进入。</w:t>
      </w:r>
    </w:p>
    <w:p w14:paraId="6AD1A323" w14:textId="77777777" w:rsidR="002E474C" w:rsidRDefault="00000000">
      <w:pPr>
        <w:pStyle w:val="A-z"/>
        <w:rPr>
          <w:color w:val="auto"/>
        </w:rPr>
      </w:pPr>
      <w:r>
        <w:rPr>
          <w:color w:val="auto"/>
        </w:rPr>
        <w:t>（</w:t>
      </w:r>
      <w:r>
        <w:rPr>
          <w:color w:val="auto"/>
        </w:rPr>
        <w:t>3</w:t>
      </w:r>
      <w:r>
        <w:rPr>
          <w:color w:val="auto"/>
        </w:rPr>
        <w:t>）内部转运</w:t>
      </w:r>
    </w:p>
    <w:p w14:paraId="076C5746" w14:textId="77777777" w:rsidR="002E474C" w:rsidRDefault="00000000">
      <w:pPr>
        <w:pStyle w:val="A-z"/>
        <w:rPr>
          <w:color w:val="auto"/>
        </w:rPr>
      </w:pPr>
      <w:r>
        <w:rPr>
          <w:color w:val="auto"/>
        </w:rPr>
        <w:t>1</w:t>
      </w:r>
      <w:r>
        <w:rPr>
          <w:color w:val="auto"/>
        </w:rPr>
        <w:t>）危险废物内部转运应综合考虑厂区的实际情况确定转运路线，尽量避开办公区。</w:t>
      </w:r>
    </w:p>
    <w:p w14:paraId="625CDF16" w14:textId="77777777" w:rsidR="002E474C" w:rsidRDefault="00000000">
      <w:pPr>
        <w:pStyle w:val="A-z"/>
        <w:rPr>
          <w:color w:val="auto"/>
        </w:rPr>
      </w:pPr>
      <w:r>
        <w:rPr>
          <w:color w:val="auto"/>
        </w:rPr>
        <w:t>2</w:t>
      </w:r>
      <w:r>
        <w:rPr>
          <w:color w:val="auto"/>
        </w:rPr>
        <w:t>）危险废物内部转运作业应采用专用的工具，危险废物内部转运应填写《危险废物厂内转运记录表》。</w:t>
      </w:r>
    </w:p>
    <w:p w14:paraId="1FE733D9" w14:textId="77777777" w:rsidR="002E474C" w:rsidRDefault="00000000">
      <w:pPr>
        <w:pStyle w:val="A-z"/>
        <w:rPr>
          <w:color w:val="auto"/>
        </w:rPr>
      </w:pPr>
      <w:r>
        <w:rPr>
          <w:color w:val="auto"/>
        </w:rPr>
        <w:t>3</w:t>
      </w:r>
      <w:r>
        <w:rPr>
          <w:color w:val="auto"/>
        </w:rPr>
        <w:t>）危险废物内部转运结束后，应对转运路线进行检查和清理，确保无危险废物遗失在转运路线上，并对转运工具进行清洗。</w:t>
      </w:r>
    </w:p>
    <w:p w14:paraId="03BCD20B" w14:textId="77777777" w:rsidR="002E474C" w:rsidRDefault="00000000">
      <w:pPr>
        <w:pStyle w:val="31"/>
        <w:spacing w:before="120" w:after="120"/>
        <w:rPr>
          <w:color w:val="auto"/>
        </w:rPr>
      </w:pPr>
      <w:r>
        <w:rPr>
          <w:color w:val="auto"/>
        </w:rPr>
        <w:t>自行利用</w:t>
      </w:r>
      <w:r>
        <w:rPr>
          <w:color w:val="auto"/>
        </w:rPr>
        <w:t>/</w:t>
      </w:r>
      <w:r>
        <w:rPr>
          <w:color w:val="auto"/>
        </w:rPr>
        <w:t>处置设施污染防控技术要求</w:t>
      </w:r>
    </w:p>
    <w:p w14:paraId="7DD2AB09" w14:textId="77777777" w:rsidR="002E474C" w:rsidRDefault="00000000">
      <w:pPr>
        <w:pStyle w:val="A-z"/>
        <w:rPr>
          <w:color w:val="auto"/>
        </w:rPr>
      </w:pPr>
      <w:r>
        <w:rPr>
          <w:color w:val="auto"/>
        </w:rPr>
        <w:t>利用</w:t>
      </w:r>
      <w:r>
        <w:rPr>
          <w:color w:val="auto"/>
        </w:rPr>
        <w:t>/</w:t>
      </w:r>
      <w:r>
        <w:rPr>
          <w:color w:val="auto"/>
        </w:rPr>
        <w:t>处置设施、场所应按照规定设置危险废物识别标志等。</w:t>
      </w:r>
    </w:p>
    <w:p w14:paraId="15F87D92" w14:textId="77777777" w:rsidR="002E474C" w:rsidRDefault="00000000">
      <w:pPr>
        <w:pStyle w:val="A-z"/>
        <w:rPr>
          <w:color w:val="auto"/>
        </w:rPr>
      </w:pPr>
      <w:r>
        <w:rPr>
          <w:color w:val="auto"/>
        </w:rPr>
        <w:t>排污单位生产运营期间危险废物自行利用</w:t>
      </w:r>
      <w:r>
        <w:rPr>
          <w:color w:val="auto"/>
        </w:rPr>
        <w:t>/</w:t>
      </w:r>
      <w:r>
        <w:rPr>
          <w:color w:val="auto"/>
        </w:rPr>
        <w:t>处置设施的环境管理和相关设施运行维护还应符合</w:t>
      </w:r>
      <w:r>
        <w:rPr>
          <w:color w:val="auto"/>
        </w:rPr>
        <w:t xml:space="preserve"> GB 15562.2</w:t>
      </w:r>
      <w:r>
        <w:rPr>
          <w:color w:val="auto"/>
        </w:rPr>
        <w:t>、</w:t>
      </w:r>
      <w:r>
        <w:rPr>
          <w:color w:val="auto"/>
        </w:rPr>
        <w:t>GB 18484</w:t>
      </w:r>
      <w:r>
        <w:rPr>
          <w:color w:val="auto"/>
        </w:rPr>
        <w:t>、</w:t>
      </w:r>
      <w:r>
        <w:rPr>
          <w:color w:val="auto"/>
        </w:rPr>
        <w:t>GB 18598</w:t>
      </w:r>
      <w:r>
        <w:rPr>
          <w:color w:val="auto"/>
        </w:rPr>
        <w:t>、</w:t>
      </w:r>
      <w:r>
        <w:rPr>
          <w:color w:val="auto"/>
        </w:rPr>
        <w:t>GB 30485</w:t>
      </w:r>
      <w:r>
        <w:rPr>
          <w:color w:val="auto"/>
        </w:rPr>
        <w:t>、</w:t>
      </w:r>
      <w:r>
        <w:rPr>
          <w:color w:val="auto"/>
        </w:rPr>
        <w:t xml:space="preserve">HJ 2025 </w:t>
      </w:r>
      <w:r>
        <w:rPr>
          <w:color w:val="auto"/>
        </w:rPr>
        <w:t>和</w:t>
      </w:r>
      <w:r>
        <w:rPr>
          <w:color w:val="auto"/>
        </w:rPr>
        <w:t xml:space="preserve">HJ 2042 </w:t>
      </w:r>
      <w:r>
        <w:rPr>
          <w:color w:val="auto"/>
        </w:rPr>
        <w:t>等相关标准规范要求。</w:t>
      </w:r>
    </w:p>
    <w:p w14:paraId="78F602E8" w14:textId="77777777" w:rsidR="002E474C" w:rsidRDefault="00000000">
      <w:pPr>
        <w:pStyle w:val="21"/>
        <w:spacing w:before="240" w:after="240"/>
        <w:rPr>
          <w:color w:val="auto"/>
        </w:rPr>
      </w:pPr>
      <w:bookmarkStart w:id="356" w:name="_Toc225848878"/>
      <w:bookmarkStart w:id="357" w:name="_Toc17454"/>
      <w:r>
        <w:rPr>
          <w:color w:val="auto"/>
        </w:rPr>
        <w:t>施工期环境保护措施</w:t>
      </w:r>
      <w:bookmarkEnd w:id="356"/>
      <w:bookmarkEnd w:id="357"/>
    </w:p>
    <w:p w14:paraId="10DA7951" w14:textId="77777777" w:rsidR="002E474C" w:rsidRDefault="00000000">
      <w:pPr>
        <w:pStyle w:val="31"/>
        <w:spacing w:before="120" w:after="120"/>
        <w:rPr>
          <w:color w:val="auto"/>
        </w:rPr>
      </w:pPr>
      <w:r>
        <w:rPr>
          <w:color w:val="auto"/>
        </w:rPr>
        <w:t>施工期废气污染防治措施</w:t>
      </w:r>
    </w:p>
    <w:p w14:paraId="286CD5CB" w14:textId="77777777" w:rsidR="002E474C" w:rsidRDefault="00000000">
      <w:pPr>
        <w:pStyle w:val="A-z"/>
        <w:rPr>
          <w:color w:val="auto"/>
        </w:rPr>
      </w:pPr>
      <w:r>
        <w:rPr>
          <w:color w:val="auto"/>
        </w:rPr>
        <w:t>在整个施工过程期间，施工产生的扬尘主要集中在土建施工阶段。扬尘的大小与施工现场条件、管理水平、施工季节及天气等诸多因素有关。施工期扬尘来源主要有以下几方面：</w:t>
      </w:r>
    </w:p>
    <w:p w14:paraId="72529D84" w14:textId="77777777" w:rsidR="002E474C" w:rsidRDefault="00000000">
      <w:pPr>
        <w:pStyle w:val="A-z"/>
        <w:rPr>
          <w:color w:val="auto"/>
        </w:rPr>
      </w:pPr>
      <w:r>
        <w:rPr>
          <w:color w:val="auto"/>
        </w:rPr>
        <w:t>土方挖掘、低洼处回填土时产生的扬尘；土方及建筑材料堆放过程产生的扬尘；施工垃圾的清理及堆放过程产生的扬尘；土方运输、建筑材料的运输途中产生的扬尘。施工扬尘的大小随施工季节、气象条件、工程内容和施工管理不同差别较大，影响范围可达</w:t>
      </w:r>
      <w:r>
        <w:rPr>
          <w:color w:val="auto"/>
        </w:rPr>
        <w:t>100m</w:t>
      </w:r>
      <w:r>
        <w:rPr>
          <w:color w:val="auto"/>
        </w:rPr>
        <w:t>～</w:t>
      </w:r>
      <w:r>
        <w:rPr>
          <w:color w:val="auto"/>
        </w:rPr>
        <w:t>300m</w:t>
      </w:r>
      <w:r>
        <w:rPr>
          <w:color w:val="auto"/>
        </w:rPr>
        <w:t>。因此，在建设期应对运输的道路及时清扫和浇水，并加强施工管理，控制施工期间的粉尘，避免对周围环境产生较大的影响。施工单位应加强管理，按进度、有计划地进行文明施工，并进一步采取以下措施：</w:t>
      </w:r>
    </w:p>
    <w:p w14:paraId="6671C9CF" w14:textId="77777777" w:rsidR="002E474C" w:rsidRDefault="00000000">
      <w:pPr>
        <w:pStyle w:val="A-z"/>
        <w:rPr>
          <w:color w:val="auto"/>
        </w:rPr>
      </w:pPr>
      <w:r>
        <w:rPr>
          <w:color w:val="auto"/>
        </w:rPr>
        <w:t>（</w:t>
      </w:r>
      <w:r>
        <w:rPr>
          <w:color w:val="auto"/>
        </w:rPr>
        <w:t>1</w:t>
      </w:r>
      <w:r>
        <w:rPr>
          <w:color w:val="auto"/>
        </w:rPr>
        <w:t>）施工区域四周建设可重复利用的高围挡，减少扬尘对周边环境的影响。</w:t>
      </w:r>
    </w:p>
    <w:p w14:paraId="365809F4" w14:textId="77777777" w:rsidR="002E474C" w:rsidRDefault="00000000">
      <w:pPr>
        <w:pStyle w:val="A-z"/>
        <w:rPr>
          <w:color w:val="auto"/>
        </w:rPr>
      </w:pPr>
      <w:r>
        <w:rPr>
          <w:color w:val="auto"/>
        </w:rPr>
        <w:t>（</w:t>
      </w:r>
      <w:r>
        <w:rPr>
          <w:color w:val="auto"/>
        </w:rPr>
        <w:t>2</w:t>
      </w:r>
      <w:r>
        <w:rPr>
          <w:color w:val="auto"/>
        </w:rPr>
        <w:t>）严格控制车辆超载，尽量避免沙土洒漏，减少二次扬尘产生的来源。</w:t>
      </w:r>
    </w:p>
    <w:p w14:paraId="6A82A3DD" w14:textId="77777777" w:rsidR="002E474C" w:rsidRDefault="00000000">
      <w:pPr>
        <w:pStyle w:val="A-z"/>
        <w:rPr>
          <w:color w:val="auto"/>
        </w:rPr>
      </w:pPr>
      <w:r>
        <w:rPr>
          <w:color w:val="auto"/>
        </w:rPr>
        <w:lastRenderedPageBreak/>
        <w:t>（</w:t>
      </w:r>
      <w:r>
        <w:rPr>
          <w:color w:val="auto"/>
        </w:rPr>
        <w:t>3</w:t>
      </w:r>
      <w:r>
        <w:rPr>
          <w:color w:val="auto"/>
        </w:rPr>
        <w:t>）施工过程的渣土、垃圾、土堆必须有防尘措施并及时清运；建筑材料应存放在临时仓库内，或加盖苫布，防止风蚀扬尘。</w:t>
      </w:r>
    </w:p>
    <w:p w14:paraId="30D54767" w14:textId="77777777" w:rsidR="002E474C" w:rsidRDefault="00000000">
      <w:pPr>
        <w:pStyle w:val="A-z"/>
        <w:rPr>
          <w:color w:val="auto"/>
        </w:rPr>
      </w:pPr>
      <w:r>
        <w:rPr>
          <w:color w:val="auto"/>
        </w:rPr>
        <w:t>（</w:t>
      </w:r>
      <w:r>
        <w:rPr>
          <w:color w:val="auto"/>
        </w:rPr>
        <w:t>4</w:t>
      </w:r>
      <w:r>
        <w:rPr>
          <w:color w:val="auto"/>
        </w:rPr>
        <w:t>）基建完成应及时清理和平整场地，并立即着手项目绿化工作，绿化应与主体工程同步设计、建设和验收。</w:t>
      </w:r>
    </w:p>
    <w:p w14:paraId="01210666" w14:textId="77777777" w:rsidR="002E474C" w:rsidRDefault="00000000">
      <w:pPr>
        <w:pStyle w:val="A-z"/>
        <w:rPr>
          <w:color w:val="auto"/>
        </w:rPr>
      </w:pPr>
      <w:r>
        <w:rPr>
          <w:color w:val="auto"/>
        </w:rPr>
        <w:t>（</w:t>
      </w:r>
      <w:r>
        <w:rPr>
          <w:color w:val="auto"/>
        </w:rPr>
        <w:t>5</w:t>
      </w:r>
      <w:r>
        <w:rPr>
          <w:color w:val="auto"/>
        </w:rPr>
        <w:t>）施工现场严禁焚烧各类废弃物。</w:t>
      </w:r>
      <w:r>
        <w:rPr>
          <w:color w:val="auto"/>
        </w:rPr>
        <w:tab/>
      </w:r>
    </w:p>
    <w:p w14:paraId="6AFF3192" w14:textId="77777777" w:rsidR="002E474C" w:rsidRDefault="00000000">
      <w:pPr>
        <w:pStyle w:val="A-z"/>
        <w:rPr>
          <w:color w:val="auto"/>
        </w:rPr>
      </w:pPr>
      <w:r>
        <w:rPr>
          <w:color w:val="auto"/>
        </w:rPr>
        <w:t>（</w:t>
      </w:r>
      <w:r>
        <w:rPr>
          <w:color w:val="auto"/>
        </w:rPr>
        <w:t>6</w:t>
      </w:r>
      <w:r>
        <w:rPr>
          <w:color w:val="auto"/>
        </w:rPr>
        <w:t>）建筑施工现场在进行土方开挖、回填、转运作业前，应对可能造成的扬尘污染程度进行判定，在正常施工情况下不能有效控制扬尘的，应增加土方湿度等处理措施，以有效减少扬尘污染。施工中应采取有效降尘防尘措施，多余土方应及时清运出场。现场堆置需要回填使用的土方应进行表面固化和覆盖。</w:t>
      </w:r>
    </w:p>
    <w:p w14:paraId="5B1DA8EC" w14:textId="77777777" w:rsidR="002E474C" w:rsidRDefault="00000000">
      <w:pPr>
        <w:pStyle w:val="A-z"/>
        <w:rPr>
          <w:color w:val="auto"/>
        </w:rPr>
      </w:pPr>
      <w:r>
        <w:rPr>
          <w:color w:val="auto"/>
        </w:rPr>
        <w:t>（</w:t>
      </w:r>
      <w:r>
        <w:rPr>
          <w:color w:val="auto"/>
        </w:rPr>
        <w:t>7</w:t>
      </w:r>
      <w:r>
        <w:rPr>
          <w:color w:val="auto"/>
        </w:rPr>
        <w:t>）干旱天气、重污染天气以及需要重点防控时段要增加洒水频次；出现五级及以上大风天气，必须采取防扬尘应急措施，且不得进行土方开挖、回填、转运作业及工程拆除等作业。</w:t>
      </w:r>
    </w:p>
    <w:p w14:paraId="1BE646EB" w14:textId="77777777" w:rsidR="002E474C" w:rsidRDefault="00000000">
      <w:pPr>
        <w:pStyle w:val="A-z"/>
        <w:rPr>
          <w:color w:val="auto"/>
        </w:rPr>
      </w:pPr>
      <w:r>
        <w:rPr>
          <w:color w:val="auto"/>
        </w:rPr>
        <w:t>（</w:t>
      </w:r>
      <w:r>
        <w:rPr>
          <w:color w:val="auto"/>
        </w:rPr>
        <w:t>8</w:t>
      </w:r>
      <w:r>
        <w:rPr>
          <w:color w:val="auto"/>
        </w:rPr>
        <w:t>）另外，施工单位应按照《新疆维吾尔自治区大气污染防治条例》强化工地扬尘污染防治：</w:t>
      </w:r>
    </w:p>
    <w:p w14:paraId="6C3B6F66" w14:textId="77777777" w:rsidR="002E474C" w:rsidRDefault="00000000">
      <w:pPr>
        <w:pStyle w:val="A-z"/>
        <w:rPr>
          <w:color w:val="auto"/>
        </w:rPr>
      </w:pPr>
      <w:r>
        <w:rPr>
          <w:color w:val="auto"/>
        </w:rPr>
        <w:t>①</w:t>
      </w:r>
      <w:r>
        <w:rPr>
          <w:color w:val="auto"/>
        </w:rPr>
        <w:t>建设工程开工前，按照标准在施工现场周边设置围挡，并对围挡进行维护；</w:t>
      </w:r>
    </w:p>
    <w:p w14:paraId="3F2D8794" w14:textId="77777777" w:rsidR="002E474C" w:rsidRDefault="00000000">
      <w:pPr>
        <w:pStyle w:val="A-z"/>
        <w:rPr>
          <w:color w:val="auto"/>
        </w:rPr>
      </w:pPr>
      <w:r>
        <w:rPr>
          <w:color w:val="auto"/>
        </w:rPr>
        <w:t>②</w:t>
      </w:r>
      <w:r>
        <w:rPr>
          <w:color w:val="auto"/>
        </w:rPr>
        <w:t>在施工现场出入口公示施工现场负责人、环保监督员、扬尘污染主要控制措施、举报电话等信息；</w:t>
      </w:r>
    </w:p>
    <w:p w14:paraId="50B7056B" w14:textId="77777777" w:rsidR="002E474C" w:rsidRDefault="00000000">
      <w:pPr>
        <w:pStyle w:val="A-z"/>
        <w:rPr>
          <w:color w:val="auto"/>
        </w:rPr>
      </w:pPr>
      <w:r>
        <w:rPr>
          <w:color w:val="auto"/>
        </w:rPr>
        <w:t>③</w:t>
      </w:r>
      <w:r>
        <w:rPr>
          <w:color w:val="auto"/>
        </w:rPr>
        <w:t>对施工现场内主要道路和物料堆放场地进行硬化，对其他裸露场地进行覆盖或者临时绿化，对土方进行集中堆放，并采取覆盖或者密闭等措施；</w:t>
      </w:r>
    </w:p>
    <w:p w14:paraId="1857ACBF" w14:textId="77777777" w:rsidR="002E474C" w:rsidRDefault="00000000">
      <w:pPr>
        <w:pStyle w:val="A-z"/>
        <w:rPr>
          <w:color w:val="auto"/>
        </w:rPr>
      </w:pPr>
      <w:r>
        <w:rPr>
          <w:color w:val="auto"/>
        </w:rPr>
        <w:t>④</w:t>
      </w:r>
      <w:r>
        <w:rPr>
          <w:color w:val="auto"/>
          <w:spacing w:val="-4"/>
        </w:rPr>
        <w:t>施工现场出口处应当设置车辆冲洗设施，施工车辆冲洗干净后方可上路行驶；</w:t>
      </w:r>
    </w:p>
    <w:p w14:paraId="768ACAD0" w14:textId="77777777" w:rsidR="002E474C" w:rsidRDefault="00000000">
      <w:pPr>
        <w:pStyle w:val="A-z"/>
        <w:rPr>
          <w:color w:val="auto"/>
        </w:rPr>
      </w:pPr>
      <w:r>
        <w:rPr>
          <w:color w:val="auto"/>
        </w:rPr>
        <w:t>⑤</w:t>
      </w:r>
      <w:r>
        <w:rPr>
          <w:color w:val="auto"/>
        </w:rPr>
        <w:t>及时对施工现场进行清理和平整，不得从高处向下倾倒或者抛洒各类物料和建筑垃圾。</w:t>
      </w:r>
    </w:p>
    <w:p w14:paraId="45938CF1" w14:textId="77777777" w:rsidR="002E474C" w:rsidRDefault="00000000">
      <w:pPr>
        <w:pStyle w:val="A-z"/>
        <w:rPr>
          <w:color w:val="auto"/>
        </w:rPr>
      </w:pPr>
      <w:r>
        <w:rPr>
          <w:color w:val="auto"/>
        </w:rPr>
        <w:t>⑥</w:t>
      </w:r>
      <w:r>
        <w:rPr>
          <w:color w:val="auto"/>
        </w:rPr>
        <w:t>运输、处置建筑垃圾，应当经工程所在地的县（市、区）人民政府确定的监督管理部门同意，按照规定的运输时间、路线和要求清运到指定的场所处理；在场地内堆存的，应当有效覆盖。</w:t>
      </w:r>
    </w:p>
    <w:p w14:paraId="4892CB4C" w14:textId="77777777" w:rsidR="002E474C" w:rsidRDefault="00000000">
      <w:pPr>
        <w:pStyle w:val="A-z"/>
        <w:rPr>
          <w:color w:val="auto"/>
        </w:rPr>
      </w:pPr>
      <w:r>
        <w:rPr>
          <w:color w:val="auto"/>
        </w:rPr>
        <w:t>⑦</w:t>
      </w:r>
      <w:r>
        <w:rPr>
          <w:color w:val="auto"/>
        </w:rPr>
        <w:t>水泥、石灰、石膏、砂土等易产生扬尘的物料应当密闭存放，不能密闭的应当在其周围设置不低于堆放物高度的严密围挡，采取有效覆盖措施防止扬尘。</w:t>
      </w:r>
    </w:p>
    <w:p w14:paraId="428E02F8" w14:textId="77777777" w:rsidR="002E474C" w:rsidRDefault="00000000">
      <w:pPr>
        <w:pStyle w:val="A-z"/>
        <w:rPr>
          <w:color w:val="auto"/>
        </w:rPr>
      </w:pPr>
      <w:r>
        <w:rPr>
          <w:color w:val="auto"/>
        </w:rPr>
        <w:t>露天装卸物料应当采取密闭或者喷淋等抑尘措施；输送的物料应当在装料、卸料处配备吸尘、喷淋等防尘设施。</w:t>
      </w:r>
    </w:p>
    <w:p w14:paraId="5D14AE32" w14:textId="77777777" w:rsidR="002E474C" w:rsidRDefault="00000000">
      <w:pPr>
        <w:pStyle w:val="A-z"/>
        <w:ind w:firstLine="456"/>
        <w:rPr>
          <w:color w:val="auto"/>
          <w:spacing w:val="-6"/>
        </w:rPr>
      </w:pPr>
      <w:r>
        <w:rPr>
          <w:color w:val="auto"/>
          <w:spacing w:val="-6"/>
        </w:rPr>
        <w:t>通过加强管理，采取评价建议措施，切实落实好防尘、降尘措施，施工扬尘不会</w:t>
      </w:r>
      <w:r>
        <w:rPr>
          <w:color w:val="auto"/>
          <w:spacing w:val="-6"/>
        </w:rPr>
        <w:lastRenderedPageBreak/>
        <w:t>对周围环境产生较大影响，同时其对环境的影响也将随着施工的结束而消失。</w:t>
      </w:r>
    </w:p>
    <w:p w14:paraId="7D6BA6A7" w14:textId="77777777" w:rsidR="002E474C" w:rsidRDefault="00000000">
      <w:pPr>
        <w:pStyle w:val="31"/>
        <w:spacing w:before="120" w:after="120"/>
        <w:rPr>
          <w:color w:val="auto"/>
        </w:rPr>
      </w:pPr>
      <w:r>
        <w:rPr>
          <w:color w:val="auto"/>
        </w:rPr>
        <w:t>施工期废水污染物防治措施</w:t>
      </w:r>
    </w:p>
    <w:p w14:paraId="25E5437D" w14:textId="77777777" w:rsidR="002E474C" w:rsidRDefault="00000000">
      <w:pPr>
        <w:pStyle w:val="A-z"/>
        <w:rPr>
          <w:color w:val="auto"/>
        </w:rPr>
      </w:pPr>
      <w:r>
        <w:rPr>
          <w:color w:val="auto"/>
        </w:rPr>
        <w:t>施工期间，生产废水和生活污水若不进行妥善处理，将会对外环境造成一定污染，因此对施工期废水要求做好以下防治措施：</w:t>
      </w:r>
    </w:p>
    <w:p w14:paraId="675ADEC3" w14:textId="77777777" w:rsidR="002E474C" w:rsidRDefault="00000000">
      <w:pPr>
        <w:pStyle w:val="A-z"/>
        <w:rPr>
          <w:color w:val="auto"/>
        </w:rPr>
      </w:pPr>
      <w:r>
        <w:rPr>
          <w:color w:val="auto"/>
        </w:rPr>
        <w:t>（</w:t>
      </w:r>
      <w:r>
        <w:rPr>
          <w:color w:val="auto"/>
        </w:rPr>
        <w:t>1</w:t>
      </w:r>
      <w:r>
        <w:rPr>
          <w:color w:val="auto"/>
        </w:rPr>
        <w:t>）应对地面水的排放进行有组织设计，严禁乱排、乱流污染环境。</w:t>
      </w:r>
    </w:p>
    <w:p w14:paraId="2420BC34" w14:textId="77777777" w:rsidR="002E474C" w:rsidRDefault="00000000">
      <w:pPr>
        <w:pStyle w:val="A-z"/>
        <w:rPr>
          <w:color w:val="auto"/>
        </w:rPr>
      </w:pPr>
      <w:r>
        <w:rPr>
          <w:color w:val="auto"/>
        </w:rPr>
        <w:t>（</w:t>
      </w:r>
      <w:r>
        <w:rPr>
          <w:color w:val="auto"/>
        </w:rPr>
        <w:t>2</w:t>
      </w:r>
      <w:r>
        <w:rPr>
          <w:color w:val="auto"/>
        </w:rPr>
        <w:t>）严禁将施工废水直接排放。对施工产生的泥浆水及洗车平台废水应设置临时沉砂池，含泥沙雨水、泥浆水经沉砂池沉淀后全部回用。</w:t>
      </w:r>
    </w:p>
    <w:p w14:paraId="16E0D6CF" w14:textId="77777777" w:rsidR="002E474C" w:rsidRDefault="00000000">
      <w:pPr>
        <w:pStyle w:val="A-z"/>
        <w:rPr>
          <w:color w:val="auto"/>
        </w:rPr>
      </w:pPr>
      <w:r>
        <w:rPr>
          <w:color w:val="auto"/>
        </w:rPr>
        <w:t>（</w:t>
      </w:r>
      <w:r>
        <w:rPr>
          <w:color w:val="auto"/>
        </w:rPr>
        <w:t>3</w:t>
      </w:r>
      <w:r>
        <w:rPr>
          <w:color w:val="auto"/>
        </w:rPr>
        <w:t>）施工期生活设施依托水泥厂现有生活设施。</w:t>
      </w:r>
    </w:p>
    <w:p w14:paraId="4A9D745A" w14:textId="77777777" w:rsidR="002E474C" w:rsidRDefault="00000000">
      <w:pPr>
        <w:pStyle w:val="31"/>
        <w:spacing w:before="120" w:after="120"/>
        <w:rPr>
          <w:color w:val="auto"/>
        </w:rPr>
      </w:pPr>
      <w:r>
        <w:rPr>
          <w:color w:val="auto"/>
        </w:rPr>
        <w:t>施工期噪声防治措施</w:t>
      </w:r>
    </w:p>
    <w:p w14:paraId="15858088" w14:textId="77777777" w:rsidR="002E474C" w:rsidRDefault="00000000">
      <w:pPr>
        <w:pStyle w:val="A-z"/>
        <w:rPr>
          <w:color w:val="auto"/>
        </w:rPr>
      </w:pPr>
      <w:r>
        <w:rPr>
          <w:color w:val="auto"/>
        </w:rPr>
        <w:t>为减小施工噪声对周围环境的影响，评价建议应采取适当的措施来减轻其噪声的影响。主要包括：</w:t>
      </w:r>
    </w:p>
    <w:p w14:paraId="3DA0A119" w14:textId="77777777" w:rsidR="002E474C" w:rsidRDefault="00000000">
      <w:pPr>
        <w:pStyle w:val="A-z"/>
        <w:rPr>
          <w:color w:val="auto"/>
        </w:rPr>
      </w:pPr>
      <w:r>
        <w:rPr>
          <w:color w:val="auto"/>
        </w:rPr>
        <w:t>（</w:t>
      </w:r>
      <w:r>
        <w:rPr>
          <w:color w:val="auto"/>
        </w:rPr>
        <w:t>1</w:t>
      </w:r>
      <w:r>
        <w:rPr>
          <w:color w:val="auto"/>
        </w:rPr>
        <w:t>）尽量采用低噪声机械，施工过程中还应经常对设备进行维修保养，避免由于设备性能差而使噪声增强现象的发生。</w:t>
      </w:r>
    </w:p>
    <w:p w14:paraId="5650FEB1" w14:textId="77777777" w:rsidR="002E474C" w:rsidRDefault="00000000">
      <w:pPr>
        <w:pStyle w:val="A-z"/>
        <w:rPr>
          <w:color w:val="auto"/>
        </w:rPr>
      </w:pPr>
      <w:r>
        <w:rPr>
          <w:color w:val="auto"/>
        </w:rPr>
        <w:t>（</w:t>
      </w:r>
      <w:r>
        <w:rPr>
          <w:color w:val="auto"/>
        </w:rPr>
        <w:t>2</w:t>
      </w:r>
      <w:r>
        <w:rPr>
          <w:color w:val="auto"/>
        </w:rPr>
        <w:t>）做好施工期的噪声监理工作。应注意合理安排施工物料的运输，在途经村镇、学校时，应减速慢行、禁止鸣笛。</w:t>
      </w:r>
    </w:p>
    <w:p w14:paraId="7C47B87E" w14:textId="77777777" w:rsidR="002E474C" w:rsidRDefault="00000000">
      <w:pPr>
        <w:pStyle w:val="A-z"/>
        <w:rPr>
          <w:color w:val="auto"/>
        </w:rPr>
      </w:pPr>
      <w:r>
        <w:rPr>
          <w:color w:val="auto"/>
        </w:rPr>
        <w:t>（</w:t>
      </w:r>
      <w:r>
        <w:rPr>
          <w:color w:val="auto"/>
        </w:rPr>
        <w:t>3</w:t>
      </w:r>
      <w:r>
        <w:rPr>
          <w:color w:val="auto"/>
        </w:rPr>
        <w:t>）需要进行夜间连续施工时，应向等地生态环境部门备案。</w:t>
      </w:r>
    </w:p>
    <w:p w14:paraId="667DC510" w14:textId="77777777" w:rsidR="002E474C" w:rsidRDefault="00000000">
      <w:pPr>
        <w:pStyle w:val="A-z"/>
        <w:rPr>
          <w:color w:val="auto"/>
        </w:rPr>
      </w:pPr>
      <w:r>
        <w:rPr>
          <w:color w:val="auto"/>
        </w:rPr>
        <w:t>通过加强管理，切实落实好各项噪声防治措施，施工噪声不会对周围环境产生较大影响，同时其对环境的影响也将随着施工的结束而消失。</w:t>
      </w:r>
    </w:p>
    <w:p w14:paraId="01FDEA6E" w14:textId="77777777" w:rsidR="002E474C" w:rsidRDefault="00000000">
      <w:pPr>
        <w:pStyle w:val="31"/>
        <w:spacing w:before="120" w:after="120"/>
        <w:rPr>
          <w:color w:val="auto"/>
        </w:rPr>
      </w:pPr>
      <w:r>
        <w:rPr>
          <w:color w:val="auto"/>
        </w:rPr>
        <w:t>施工期固体废物防治措施</w:t>
      </w:r>
    </w:p>
    <w:p w14:paraId="05173BDB" w14:textId="77777777" w:rsidR="002E474C" w:rsidRDefault="00000000">
      <w:pPr>
        <w:pStyle w:val="A-z"/>
        <w:rPr>
          <w:color w:val="auto"/>
        </w:rPr>
      </w:pPr>
      <w:r>
        <w:rPr>
          <w:color w:val="auto"/>
        </w:rPr>
        <w:t>施工期产生的固体废物主要为生活垃圾和建筑垃圾。</w:t>
      </w:r>
    </w:p>
    <w:p w14:paraId="675FF562" w14:textId="77777777" w:rsidR="002E474C" w:rsidRDefault="00000000">
      <w:pPr>
        <w:pStyle w:val="A-z"/>
        <w:rPr>
          <w:color w:val="auto"/>
        </w:rPr>
      </w:pPr>
      <w:r>
        <w:rPr>
          <w:color w:val="auto"/>
        </w:rPr>
        <w:t>（</w:t>
      </w:r>
      <w:r>
        <w:rPr>
          <w:color w:val="auto"/>
        </w:rPr>
        <w:t>1</w:t>
      </w:r>
      <w:r>
        <w:rPr>
          <w:color w:val="auto"/>
        </w:rPr>
        <w:t>）生活垃圾：生活垃圾应集中收集于封闭垃圾箱内，定期清运至圣雄股份公司垃圾场处理。</w:t>
      </w:r>
    </w:p>
    <w:p w14:paraId="6755A39B" w14:textId="77777777" w:rsidR="002E474C" w:rsidRDefault="00000000">
      <w:pPr>
        <w:pStyle w:val="A-z"/>
        <w:rPr>
          <w:color w:val="auto"/>
        </w:rPr>
      </w:pPr>
      <w:r>
        <w:rPr>
          <w:color w:val="auto"/>
        </w:rPr>
        <w:t>（</w:t>
      </w:r>
      <w:r>
        <w:rPr>
          <w:color w:val="auto"/>
        </w:rPr>
        <w:t>2</w:t>
      </w:r>
      <w:r>
        <w:rPr>
          <w:color w:val="auto"/>
        </w:rPr>
        <w:t>）建筑垃圾：施工期建筑垃圾主要包括渣土、残砖断瓦、废瓷片、废玻璃、废钢筋头、废金属碎片、废包装袋等。建筑垃圾若长期堆存，会产生扬尘，影响周围环境，应由施工方清运至管理部门指定的建筑垃圾堆放场。</w:t>
      </w:r>
    </w:p>
    <w:p w14:paraId="5B725B41" w14:textId="77777777" w:rsidR="002E474C" w:rsidRDefault="00000000">
      <w:pPr>
        <w:pStyle w:val="A-z"/>
        <w:rPr>
          <w:color w:val="auto"/>
        </w:rPr>
      </w:pPr>
      <w:r>
        <w:rPr>
          <w:color w:val="auto"/>
        </w:rPr>
        <w:t>施工过程中，固体废物经过以上措施处理后，不会对环境质量造成影响。</w:t>
      </w:r>
    </w:p>
    <w:p w14:paraId="4D23C6AC" w14:textId="77777777" w:rsidR="002E474C" w:rsidRDefault="002E474C">
      <w:pPr>
        <w:pStyle w:val="A-z"/>
        <w:rPr>
          <w:color w:val="auto"/>
        </w:rPr>
      </w:pPr>
    </w:p>
    <w:p w14:paraId="70898A33" w14:textId="77777777" w:rsidR="002E474C" w:rsidRDefault="002E474C">
      <w:pPr>
        <w:pStyle w:val="A-z"/>
        <w:rPr>
          <w:color w:val="auto"/>
        </w:rPr>
        <w:sectPr w:rsidR="002E474C">
          <w:headerReference w:type="default" r:id="rId57"/>
          <w:pgSz w:w="11906" w:h="16838"/>
          <w:pgMar w:top="1440" w:right="1800" w:bottom="1440" w:left="1800" w:header="851" w:footer="992" w:gutter="0"/>
          <w:cols w:space="720"/>
          <w:docGrid w:linePitch="312"/>
        </w:sectPr>
      </w:pPr>
    </w:p>
    <w:p w14:paraId="6787BEEF" w14:textId="77777777" w:rsidR="002E474C" w:rsidRDefault="00000000">
      <w:pPr>
        <w:pStyle w:val="1"/>
        <w:spacing w:before="120" w:after="120"/>
      </w:pPr>
      <w:bookmarkStart w:id="358" w:name="_Toc3980"/>
      <w:bookmarkStart w:id="359" w:name="_Toc225848879"/>
      <w:r>
        <w:lastRenderedPageBreak/>
        <w:t>环境影响经济损益分析</w:t>
      </w:r>
      <w:bookmarkEnd w:id="358"/>
      <w:bookmarkEnd w:id="359"/>
    </w:p>
    <w:p w14:paraId="5DB4D321" w14:textId="77777777" w:rsidR="002E474C" w:rsidRDefault="00000000">
      <w:pPr>
        <w:pStyle w:val="A-z"/>
        <w:rPr>
          <w:color w:val="auto"/>
        </w:rPr>
      </w:pPr>
      <w:r>
        <w:rPr>
          <w:color w:val="auto"/>
        </w:rPr>
        <w:t>本项目评价内容主要就环境保护投资估算、投资比例、环保设施产生的经济、社会及环境效益，在一定的程度上作定性描述和简要的定量分析。</w:t>
      </w:r>
    </w:p>
    <w:p w14:paraId="7D147FF0" w14:textId="77777777" w:rsidR="002E474C" w:rsidRDefault="00000000">
      <w:pPr>
        <w:pStyle w:val="21"/>
        <w:spacing w:before="240" w:after="240"/>
        <w:rPr>
          <w:color w:val="auto"/>
        </w:rPr>
      </w:pPr>
      <w:bookmarkStart w:id="360" w:name="_Toc225848880"/>
      <w:bookmarkStart w:id="361" w:name="_Toc19951"/>
      <w:bookmarkStart w:id="362" w:name="_Toc131089646"/>
      <w:r>
        <w:rPr>
          <w:color w:val="auto"/>
        </w:rPr>
        <w:t>社会效益</w:t>
      </w:r>
      <w:bookmarkEnd w:id="360"/>
      <w:bookmarkEnd w:id="361"/>
      <w:bookmarkEnd w:id="362"/>
    </w:p>
    <w:p w14:paraId="167D0A0F" w14:textId="77777777" w:rsidR="002E474C" w:rsidRDefault="00000000">
      <w:pPr>
        <w:pStyle w:val="A-z"/>
        <w:rPr>
          <w:color w:val="auto"/>
        </w:rPr>
      </w:pPr>
      <w:r>
        <w:rPr>
          <w:color w:val="auto"/>
        </w:rPr>
        <w:t>项目通过利用水泥厂现有熟料生产线处置危险废物，填补当地水泥窑协同处置危险废物行业的空白，同时，逐步实现现有水泥厂企业功能的转型，优化当地的产业结构，社会效益和环境效益十分突出。项目利用水泥烧成系统处理危险废物，可以减少对自然资源的不可再生能源的开发，并通过废物转化为水泥生产的替代原料，达到危险废物处理的无害化、减量化和资源化的目标，实现资源的再利用和经济的可持续发展。同时，项目建成后可以增加税收、带来一定的就业机会，促进当地经济的发展。</w:t>
      </w:r>
    </w:p>
    <w:p w14:paraId="55F79C44" w14:textId="77777777" w:rsidR="002E474C" w:rsidRDefault="00000000">
      <w:pPr>
        <w:pStyle w:val="21"/>
        <w:spacing w:before="240" w:after="240"/>
        <w:rPr>
          <w:color w:val="auto"/>
        </w:rPr>
      </w:pPr>
      <w:bookmarkStart w:id="363" w:name="_Toc225848881"/>
      <w:bookmarkStart w:id="364" w:name="_Toc5186"/>
      <w:bookmarkStart w:id="365" w:name="_Toc131089647"/>
      <w:r>
        <w:rPr>
          <w:color w:val="auto"/>
        </w:rPr>
        <w:t>环境经济损益</w:t>
      </w:r>
      <w:bookmarkEnd w:id="363"/>
      <w:bookmarkEnd w:id="364"/>
      <w:bookmarkEnd w:id="365"/>
    </w:p>
    <w:p w14:paraId="1732CD19" w14:textId="77777777" w:rsidR="002E474C" w:rsidRDefault="00000000">
      <w:pPr>
        <w:pStyle w:val="A-z"/>
        <w:ind w:firstLine="456"/>
        <w:rPr>
          <w:color w:val="auto"/>
          <w:spacing w:val="-6"/>
        </w:rPr>
      </w:pPr>
      <w:r>
        <w:rPr>
          <w:color w:val="auto"/>
          <w:spacing w:val="-6"/>
        </w:rPr>
        <w:t>本项目以降低工程对环境的不利影响或恢复、补偿环境效益所采取的保护和补偿措施费用反映工程影响损失大小的尺度，计算其损失值。在本工程环境损失中可以货币化体现的主要包括环境保护措施费用。评价的方法采用</w:t>
      </w:r>
      <w:r>
        <w:rPr>
          <w:color w:val="auto"/>
          <w:spacing w:val="-6"/>
        </w:rPr>
        <w:t>“</w:t>
      </w:r>
      <w:r>
        <w:rPr>
          <w:color w:val="auto"/>
          <w:spacing w:val="-6"/>
        </w:rPr>
        <w:t>恢复费用法</w:t>
      </w:r>
      <w:r>
        <w:rPr>
          <w:color w:val="auto"/>
          <w:spacing w:val="-6"/>
        </w:rPr>
        <w:t>”</w:t>
      </w:r>
      <w:r>
        <w:rPr>
          <w:color w:val="auto"/>
          <w:spacing w:val="-6"/>
        </w:rPr>
        <w:t>。</w:t>
      </w:r>
    </w:p>
    <w:p w14:paraId="12F2FD3E" w14:textId="77777777" w:rsidR="002E474C" w:rsidRDefault="00000000">
      <w:pPr>
        <w:pStyle w:val="A-z"/>
        <w:rPr>
          <w:color w:val="auto"/>
        </w:rPr>
      </w:pPr>
      <w:bookmarkStart w:id="366" w:name="OLE_LINK61"/>
      <w:r>
        <w:rPr>
          <w:color w:val="auto"/>
        </w:rPr>
        <w:t>（</w:t>
      </w:r>
      <w:r>
        <w:rPr>
          <w:color w:val="auto"/>
        </w:rPr>
        <w:t>1</w:t>
      </w:r>
      <w:r>
        <w:rPr>
          <w:color w:val="auto"/>
        </w:rPr>
        <w:t>）环境影响损失</w:t>
      </w:r>
    </w:p>
    <w:p w14:paraId="0EEA001A" w14:textId="77777777" w:rsidR="002E474C" w:rsidRDefault="00000000">
      <w:pPr>
        <w:pStyle w:val="A-z"/>
        <w:rPr>
          <w:color w:val="auto"/>
        </w:rPr>
      </w:pPr>
      <w:r>
        <w:rPr>
          <w:color w:val="auto"/>
        </w:rPr>
        <w:t>采用</w:t>
      </w:r>
      <w:r>
        <w:rPr>
          <w:color w:val="auto"/>
        </w:rPr>
        <w:t>“</w:t>
      </w:r>
      <w:r>
        <w:rPr>
          <w:color w:val="auto"/>
        </w:rPr>
        <w:t>恢复费用法</w:t>
      </w:r>
      <w:r>
        <w:rPr>
          <w:color w:val="auto"/>
        </w:rPr>
        <w:t>”</w:t>
      </w:r>
      <w:r>
        <w:rPr>
          <w:color w:val="auto"/>
        </w:rPr>
        <w:t>，以减免不利环境影响或达到恢复、补偿效果所需费用进行计算。根据项目区域环境特点，为减免、恢复或补偿不利环境影响所采取的环境保护措施主要包括以下内容：大气污染控措施、固体废弃物处置、水污染控制、运营期环保工程运维、环境监测、环境管理等。</w:t>
      </w:r>
      <w:bookmarkEnd w:id="366"/>
    </w:p>
    <w:p w14:paraId="4212B159" w14:textId="77777777" w:rsidR="002E474C" w:rsidRDefault="00000000">
      <w:pPr>
        <w:pStyle w:val="A-z"/>
        <w:rPr>
          <w:color w:val="auto"/>
        </w:rPr>
      </w:pPr>
      <w:r>
        <w:rPr>
          <w:color w:val="auto"/>
        </w:rPr>
        <w:t>（</w:t>
      </w:r>
      <w:r>
        <w:rPr>
          <w:color w:val="auto"/>
        </w:rPr>
        <w:t>2</w:t>
      </w:r>
      <w:r>
        <w:rPr>
          <w:color w:val="auto"/>
        </w:rPr>
        <w:t>）环境损益分析结论</w:t>
      </w:r>
    </w:p>
    <w:p w14:paraId="622A7D3F" w14:textId="77777777" w:rsidR="002E474C" w:rsidRDefault="00000000">
      <w:pPr>
        <w:pStyle w:val="A-z"/>
        <w:rPr>
          <w:color w:val="auto"/>
        </w:rPr>
      </w:pPr>
      <w:r>
        <w:rPr>
          <w:color w:val="auto"/>
        </w:rPr>
        <w:t>项目环境保护工程的投资是各项环保设施的落实和投用的保障，在这些环保设施的建成和正常运行的情况下，能够带来较明显的环境效益。具体见表</w:t>
      </w:r>
      <w:r>
        <w:rPr>
          <w:color w:val="auto"/>
        </w:rPr>
        <w:t>7.2-1</w:t>
      </w:r>
      <w:r>
        <w:rPr>
          <w:color w:val="auto"/>
        </w:rPr>
        <w:t>。</w:t>
      </w:r>
    </w:p>
    <w:p w14:paraId="1313B288" w14:textId="77777777" w:rsidR="002E474C" w:rsidRDefault="002E474C">
      <w:pPr>
        <w:pStyle w:val="A-z"/>
        <w:rPr>
          <w:color w:val="auto"/>
        </w:rPr>
      </w:pPr>
    </w:p>
    <w:p w14:paraId="75B4BA4F" w14:textId="77777777" w:rsidR="002E474C" w:rsidRDefault="002E474C">
      <w:pPr>
        <w:pStyle w:val="A-z"/>
        <w:rPr>
          <w:color w:val="auto"/>
        </w:rPr>
      </w:pPr>
    </w:p>
    <w:p w14:paraId="315C5DAA" w14:textId="77777777" w:rsidR="002E474C" w:rsidRDefault="002E474C">
      <w:pPr>
        <w:pStyle w:val="A-z"/>
        <w:rPr>
          <w:color w:val="auto"/>
        </w:rPr>
      </w:pPr>
    </w:p>
    <w:p w14:paraId="3F820B10" w14:textId="77777777" w:rsidR="002E474C" w:rsidRDefault="00000000">
      <w:pPr>
        <w:pStyle w:val="A--"/>
        <w:rPr>
          <w:color w:val="auto"/>
        </w:rPr>
      </w:pPr>
      <w:r>
        <w:rPr>
          <w:color w:val="auto"/>
        </w:rPr>
        <w:lastRenderedPageBreak/>
        <w:t>表</w:t>
      </w:r>
      <w:r>
        <w:rPr>
          <w:color w:val="auto"/>
        </w:rPr>
        <w:t xml:space="preserve">7.2-1  </w:t>
      </w:r>
      <w:r>
        <w:rPr>
          <w:color w:val="auto"/>
        </w:rPr>
        <w:t>各项环保措施带来的环境效益一览表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186"/>
        <w:gridCol w:w="4256"/>
        <w:gridCol w:w="2346"/>
      </w:tblGrid>
      <w:tr w:rsidR="002E474C" w14:paraId="74690337" w14:textId="77777777">
        <w:trPr>
          <w:trHeight w:val="285"/>
          <w:tblHeader/>
        </w:trPr>
        <w:tc>
          <w:tcPr>
            <w:tcW w:w="3585" w:type="pct"/>
            <w:gridSpan w:val="3"/>
            <w:vAlign w:val="center"/>
          </w:tcPr>
          <w:p w14:paraId="7AEF4983" w14:textId="77777777" w:rsidR="002E474C" w:rsidRDefault="00000000">
            <w:pPr>
              <w:pStyle w:val="A-"/>
            </w:pPr>
            <w:r>
              <w:t>项目</w:t>
            </w:r>
          </w:p>
        </w:tc>
        <w:tc>
          <w:tcPr>
            <w:tcW w:w="1415" w:type="pct"/>
            <w:vAlign w:val="center"/>
          </w:tcPr>
          <w:p w14:paraId="48E42B96" w14:textId="77777777" w:rsidR="002E474C" w:rsidRDefault="00000000">
            <w:pPr>
              <w:pStyle w:val="A-"/>
            </w:pPr>
            <w:r>
              <w:t>环境效益</w:t>
            </w:r>
          </w:p>
        </w:tc>
      </w:tr>
      <w:tr w:rsidR="002E474C" w14:paraId="178C1929" w14:textId="77777777">
        <w:trPr>
          <w:trHeight w:val="285"/>
          <w:tblHeader/>
        </w:trPr>
        <w:tc>
          <w:tcPr>
            <w:tcW w:w="306" w:type="pct"/>
            <w:vMerge w:val="restart"/>
            <w:vAlign w:val="center"/>
          </w:tcPr>
          <w:p w14:paraId="7BAD3A21" w14:textId="77777777" w:rsidR="002E474C" w:rsidRDefault="00000000">
            <w:pPr>
              <w:pStyle w:val="A-"/>
            </w:pPr>
            <w:r>
              <w:t>施工期</w:t>
            </w:r>
          </w:p>
        </w:tc>
        <w:tc>
          <w:tcPr>
            <w:tcW w:w="715" w:type="pct"/>
            <w:vAlign w:val="center"/>
          </w:tcPr>
          <w:p w14:paraId="3F9C0C95" w14:textId="77777777" w:rsidR="002E474C" w:rsidRDefault="00000000">
            <w:pPr>
              <w:pStyle w:val="A-"/>
            </w:pPr>
            <w:r>
              <w:t>水环境</w:t>
            </w:r>
          </w:p>
        </w:tc>
        <w:tc>
          <w:tcPr>
            <w:tcW w:w="2565" w:type="pct"/>
            <w:vAlign w:val="center"/>
          </w:tcPr>
          <w:p w14:paraId="609B8F10" w14:textId="77777777" w:rsidR="002E474C" w:rsidRDefault="00000000">
            <w:pPr>
              <w:pStyle w:val="A-"/>
            </w:pPr>
            <w:r>
              <w:t>设置沉淀池</w:t>
            </w:r>
          </w:p>
        </w:tc>
        <w:tc>
          <w:tcPr>
            <w:tcW w:w="1415" w:type="pct"/>
            <w:vAlign w:val="center"/>
          </w:tcPr>
          <w:p w14:paraId="4ACC37F9" w14:textId="77777777" w:rsidR="002E474C" w:rsidRDefault="00000000">
            <w:pPr>
              <w:pStyle w:val="A-"/>
            </w:pPr>
            <w:r>
              <w:t>水资源循环利用，减少施工用水</w:t>
            </w:r>
          </w:p>
        </w:tc>
      </w:tr>
      <w:tr w:rsidR="002E474C" w14:paraId="58B65F69" w14:textId="77777777">
        <w:trPr>
          <w:trHeight w:val="285"/>
          <w:tblHeader/>
        </w:trPr>
        <w:tc>
          <w:tcPr>
            <w:tcW w:w="306" w:type="pct"/>
            <w:vMerge/>
            <w:vAlign w:val="center"/>
          </w:tcPr>
          <w:p w14:paraId="74ADFB3B" w14:textId="77777777" w:rsidR="002E474C" w:rsidRDefault="002E474C">
            <w:pPr>
              <w:pStyle w:val="A-"/>
            </w:pPr>
          </w:p>
        </w:tc>
        <w:tc>
          <w:tcPr>
            <w:tcW w:w="715" w:type="pct"/>
            <w:vAlign w:val="center"/>
          </w:tcPr>
          <w:p w14:paraId="518BEF42" w14:textId="77777777" w:rsidR="002E474C" w:rsidRDefault="00000000">
            <w:pPr>
              <w:pStyle w:val="A-"/>
            </w:pPr>
            <w:r>
              <w:t>扬尘抑制</w:t>
            </w:r>
          </w:p>
        </w:tc>
        <w:tc>
          <w:tcPr>
            <w:tcW w:w="2565" w:type="pct"/>
            <w:vAlign w:val="center"/>
          </w:tcPr>
          <w:p w14:paraId="00669551" w14:textId="77777777" w:rsidR="002E474C" w:rsidRDefault="00000000">
            <w:pPr>
              <w:pStyle w:val="A-"/>
            </w:pPr>
            <w:r>
              <w:t>使用商混，施工场地围挡、清扫、洒水抑尘、材料遮盖、封闭等</w:t>
            </w:r>
          </w:p>
        </w:tc>
        <w:tc>
          <w:tcPr>
            <w:tcW w:w="1415" w:type="pct"/>
            <w:vAlign w:val="center"/>
          </w:tcPr>
          <w:p w14:paraId="7A7AEBD6" w14:textId="77777777" w:rsidR="002E474C" w:rsidRDefault="00000000">
            <w:pPr>
              <w:pStyle w:val="A-"/>
            </w:pPr>
            <w:r>
              <w:t>减少施工扬尘</w:t>
            </w:r>
          </w:p>
        </w:tc>
      </w:tr>
      <w:tr w:rsidR="002E474C" w14:paraId="01797328" w14:textId="77777777">
        <w:trPr>
          <w:trHeight w:val="285"/>
          <w:tblHeader/>
        </w:trPr>
        <w:tc>
          <w:tcPr>
            <w:tcW w:w="306" w:type="pct"/>
            <w:vMerge/>
            <w:vAlign w:val="center"/>
          </w:tcPr>
          <w:p w14:paraId="6777324F" w14:textId="77777777" w:rsidR="002E474C" w:rsidRDefault="002E474C">
            <w:pPr>
              <w:pStyle w:val="A-"/>
            </w:pPr>
          </w:p>
        </w:tc>
        <w:tc>
          <w:tcPr>
            <w:tcW w:w="715" w:type="pct"/>
            <w:vAlign w:val="center"/>
          </w:tcPr>
          <w:p w14:paraId="62D1E181" w14:textId="77777777" w:rsidR="002E474C" w:rsidRDefault="00000000">
            <w:pPr>
              <w:pStyle w:val="A-"/>
            </w:pPr>
            <w:r>
              <w:t>固体废物</w:t>
            </w:r>
          </w:p>
        </w:tc>
        <w:tc>
          <w:tcPr>
            <w:tcW w:w="2565" w:type="pct"/>
            <w:vAlign w:val="center"/>
          </w:tcPr>
          <w:p w14:paraId="28C505C7" w14:textId="77777777" w:rsidR="002E474C" w:rsidRDefault="00000000">
            <w:pPr>
              <w:pStyle w:val="A-"/>
            </w:pPr>
            <w:r>
              <w:t>建筑垃圾收集外运</w:t>
            </w:r>
          </w:p>
        </w:tc>
        <w:tc>
          <w:tcPr>
            <w:tcW w:w="1415" w:type="pct"/>
            <w:vAlign w:val="center"/>
          </w:tcPr>
          <w:p w14:paraId="297B7D0F" w14:textId="77777777" w:rsidR="002E474C" w:rsidRDefault="00000000">
            <w:pPr>
              <w:pStyle w:val="A-"/>
            </w:pPr>
            <w:r>
              <w:t>减少扬尘及生态影响</w:t>
            </w:r>
          </w:p>
        </w:tc>
      </w:tr>
      <w:tr w:rsidR="002E474C" w14:paraId="74893C0C" w14:textId="77777777">
        <w:trPr>
          <w:trHeight w:val="555"/>
        </w:trPr>
        <w:tc>
          <w:tcPr>
            <w:tcW w:w="306" w:type="pct"/>
            <w:vMerge w:val="restart"/>
            <w:vAlign w:val="center"/>
          </w:tcPr>
          <w:p w14:paraId="2B437CAE" w14:textId="77777777" w:rsidR="002E474C" w:rsidRDefault="00000000">
            <w:pPr>
              <w:pStyle w:val="A-"/>
            </w:pPr>
            <w:r>
              <w:t>运</w:t>
            </w:r>
          </w:p>
          <w:p w14:paraId="5712ED10" w14:textId="77777777" w:rsidR="002E474C" w:rsidRDefault="00000000">
            <w:pPr>
              <w:pStyle w:val="A-"/>
            </w:pPr>
            <w:r>
              <w:t>营</w:t>
            </w:r>
          </w:p>
          <w:p w14:paraId="0C1D5997" w14:textId="77777777" w:rsidR="002E474C" w:rsidRDefault="00000000">
            <w:pPr>
              <w:pStyle w:val="A-"/>
            </w:pPr>
            <w:r>
              <w:t>期</w:t>
            </w:r>
          </w:p>
        </w:tc>
        <w:tc>
          <w:tcPr>
            <w:tcW w:w="715" w:type="pct"/>
            <w:vMerge w:val="restart"/>
            <w:vAlign w:val="center"/>
          </w:tcPr>
          <w:p w14:paraId="5D02BEAF" w14:textId="77777777" w:rsidR="002E474C" w:rsidRDefault="00000000">
            <w:pPr>
              <w:pStyle w:val="A-"/>
            </w:pPr>
            <w:r>
              <w:t>水环境</w:t>
            </w:r>
          </w:p>
        </w:tc>
        <w:tc>
          <w:tcPr>
            <w:tcW w:w="2565" w:type="pct"/>
            <w:vAlign w:val="center"/>
          </w:tcPr>
          <w:p w14:paraId="4D5A2EB1" w14:textId="77777777" w:rsidR="002E474C" w:rsidRDefault="00000000">
            <w:pPr>
              <w:pStyle w:val="A-"/>
            </w:pPr>
            <w:r>
              <w:t>生产废水废水收集池；新建初期雨水池、</w:t>
            </w:r>
            <w:r>
              <w:rPr>
                <w:szCs w:val="28"/>
              </w:rPr>
              <w:t>事故池。</w:t>
            </w:r>
          </w:p>
        </w:tc>
        <w:tc>
          <w:tcPr>
            <w:tcW w:w="1415" w:type="pct"/>
            <w:vAlign w:val="center"/>
          </w:tcPr>
          <w:p w14:paraId="17BE2474" w14:textId="77777777" w:rsidR="002E474C" w:rsidRDefault="00000000">
            <w:pPr>
              <w:pStyle w:val="A-"/>
            </w:pPr>
            <w:r>
              <w:t>避免对土壤、地下水造成污染</w:t>
            </w:r>
          </w:p>
        </w:tc>
      </w:tr>
      <w:tr w:rsidR="002E474C" w14:paraId="748FCF42" w14:textId="77777777">
        <w:trPr>
          <w:trHeight w:val="555"/>
        </w:trPr>
        <w:tc>
          <w:tcPr>
            <w:tcW w:w="306" w:type="pct"/>
            <w:vMerge/>
            <w:vAlign w:val="center"/>
          </w:tcPr>
          <w:p w14:paraId="4FD18441" w14:textId="77777777" w:rsidR="002E474C" w:rsidRDefault="002E474C">
            <w:pPr>
              <w:pStyle w:val="A-"/>
            </w:pPr>
          </w:p>
        </w:tc>
        <w:tc>
          <w:tcPr>
            <w:tcW w:w="715" w:type="pct"/>
            <w:vMerge/>
            <w:vAlign w:val="center"/>
          </w:tcPr>
          <w:p w14:paraId="33CBA108" w14:textId="77777777" w:rsidR="002E474C" w:rsidRDefault="002E474C">
            <w:pPr>
              <w:pStyle w:val="A-"/>
            </w:pPr>
          </w:p>
        </w:tc>
        <w:tc>
          <w:tcPr>
            <w:tcW w:w="2565" w:type="pct"/>
            <w:vAlign w:val="center"/>
          </w:tcPr>
          <w:p w14:paraId="25ED8D92" w14:textId="77777777" w:rsidR="002E474C" w:rsidRDefault="00000000">
            <w:pPr>
              <w:pStyle w:val="A-"/>
            </w:pPr>
            <w:r>
              <w:t>按照要求进行地下水防渗，设置地下水监控井。</w:t>
            </w:r>
          </w:p>
        </w:tc>
        <w:tc>
          <w:tcPr>
            <w:tcW w:w="1415" w:type="pct"/>
            <w:vAlign w:val="center"/>
          </w:tcPr>
          <w:p w14:paraId="255CCF77" w14:textId="77777777" w:rsidR="002E474C" w:rsidRDefault="00000000">
            <w:pPr>
              <w:pStyle w:val="A-"/>
            </w:pPr>
            <w:r>
              <w:t>避免污染地下水</w:t>
            </w:r>
          </w:p>
        </w:tc>
      </w:tr>
      <w:tr w:rsidR="002E474C" w14:paraId="76C0E041" w14:textId="77777777">
        <w:trPr>
          <w:trHeight w:val="315"/>
        </w:trPr>
        <w:tc>
          <w:tcPr>
            <w:tcW w:w="306" w:type="pct"/>
            <w:vMerge/>
            <w:vAlign w:val="center"/>
          </w:tcPr>
          <w:p w14:paraId="4C0F1EAC" w14:textId="77777777" w:rsidR="002E474C" w:rsidRDefault="002E474C">
            <w:pPr>
              <w:pStyle w:val="A-"/>
            </w:pPr>
          </w:p>
        </w:tc>
        <w:tc>
          <w:tcPr>
            <w:tcW w:w="715" w:type="pct"/>
            <w:vAlign w:val="center"/>
          </w:tcPr>
          <w:p w14:paraId="7B188486" w14:textId="77777777" w:rsidR="002E474C" w:rsidRDefault="00000000">
            <w:pPr>
              <w:pStyle w:val="A-"/>
            </w:pPr>
            <w:r>
              <w:t>环境空气</w:t>
            </w:r>
          </w:p>
        </w:tc>
        <w:tc>
          <w:tcPr>
            <w:tcW w:w="2565" w:type="pct"/>
            <w:vAlign w:val="center"/>
          </w:tcPr>
          <w:p w14:paraId="76A0F2ED" w14:textId="77777777" w:rsidR="002E474C" w:rsidRDefault="00000000">
            <w:pPr>
              <w:pStyle w:val="A-"/>
            </w:pPr>
            <w:r>
              <w:t>固态危废预处理车间内的破碎间采用集气罩</w:t>
            </w:r>
            <w:r>
              <w:t>+</w:t>
            </w:r>
            <w:r>
              <w:t>布袋除尘器处理后车间内排放。</w:t>
            </w:r>
          </w:p>
          <w:p w14:paraId="17945DD2" w14:textId="77777777" w:rsidR="002E474C" w:rsidRDefault="00000000">
            <w:pPr>
              <w:pStyle w:val="A-"/>
            </w:pPr>
            <w:r>
              <w:t>保持固态危废预处理车间和危废贮存库处于微负压状态，废气经管道进入危废贮存废气净化系统采用两级活性炭吸附后经排气筒排放。</w:t>
            </w:r>
          </w:p>
        </w:tc>
        <w:tc>
          <w:tcPr>
            <w:tcW w:w="1415" w:type="pct"/>
            <w:vAlign w:val="center"/>
          </w:tcPr>
          <w:p w14:paraId="31DFEE2C" w14:textId="77777777" w:rsidR="002E474C" w:rsidRDefault="00000000">
            <w:pPr>
              <w:pStyle w:val="A-"/>
            </w:pPr>
            <w:r>
              <w:t>减少废气对空气影响</w:t>
            </w:r>
          </w:p>
        </w:tc>
      </w:tr>
      <w:tr w:rsidR="002E474C" w14:paraId="0F8F7200" w14:textId="77777777">
        <w:trPr>
          <w:trHeight w:val="708"/>
        </w:trPr>
        <w:tc>
          <w:tcPr>
            <w:tcW w:w="306" w:type="pct"/>
            <w:vMerge/>
            <w:vAlign w:val="center"/>
          </w:tcPr>
          <w:p w14:paraId="60680862" w14:textId="77777777" w:rsidR="002E474C" w:rsidRDefault="002E474C">
            <w:pPr>
              <w:pStyle w:val="A-"/>
            </w:pPr>
          </w:p>
        </w:tc>
        <w:tc>
          <w:tcPr>
            <w:tcW w:w="715" w:type="pct"/>
            <w:vAlign w:val="center"/>
          </w:tcPr>
          <w:p w14:paraId="121691AA" w14:textId="77777777" w:rsidR="002E474C" w:rsidRDefault="00000000">
            <w:pPr>
              <w:pStyle w:val="A-"/>
            </w:pPr>
            <w:r>
              <w:t>声环境</w:t>
            </w:r>
          </w:p>
        </w:tc>
        <w:tc>
          <w:tcPr>
            <w:tcW w:w="2565" w:type="pct"/>
            <w:vAlign w:val="center"/>
          </w:tcPr>
          <w:p w14:paraId="06DED61E" w14:textId="77777777" w:rsidR="002E474C" w:rsidRDefault="00000000">
            <w:pPr>
              <w:pStyle w:val="A-"/>
            </w:pPr>
            <w:r>
              <w:t>水泵进出口设软接头、安装</w:t>
            </w:r>
            <w:bookmarkStart w:id="367" w:name="OLE_LINK62"/>
            <w:r>
              <w:t>橡胶减振接头</w:t>
            </w:r>
            <w:bookmarkEnd w:id="367"/>
            <w:r>
              <w:t>及加装减振垫等；风机设隔声罩、基座减振；其它机械设备基座减振等</w:t>
            </w:r>
          </w:p>
        </w:tc>
        <w:tc>
          <w:tcPr>
            <w:tcW w:w="1415" w:type="pct"/>
            <w:vAlign w:val="center"/>
          </w:tcPr>
          <w:p w14:paraId="2DC8E895" w14:textId="77777777" w:rsidR="002E474C" w:rsidRDefault="00000000">
            <w:pPr>
              <w:pStyle w:val="A-"/>
            </w:pPr>
            <w:r>
              <w:t>噪声厂界达标，不会造成噪声污染影响。</w:t>
            </w:r>
          </w:p>
        </w:tc>
      </w:tr>
      <w:tr w:rsidR="002E474C" w14:paraId="4935516D" w14:textId="77777777">
        <w:trPr>
          <w:trHeight w:val="570"/>
        </w:trPr>
        <w:tc>
          <w:tcPr>
            <w:tcW w:w="306" w:type="pct"/>
            <w:vMerge/>
            <w:vAlign w:val="center"/>
          </w:tcPr>
          <w:p w14:paraId="0D1523A0" w14:textId="77777777" w:rsidR="002E474C" w:rsidRDefault="002E474C">
            <w:pPr>
              <w:pStyle w:val="A-"/>
            </w:pPr>
          </w:p>
        </w:tc>
        <w:tc>
          <w:tcPr>
            <w:tcW w:w="715" w:type="pct"/>
            <w:vAlign w:val="center"/>
          </w:tcPr>
          <w:p w14:paraId="7F045862" w14:textId="77777777" w:rsidR="002E474C" w:rsidRDefault="00000000">
            <w:pPr>
              <w:pStyle w:val="A-"/>
            </w:pPr>
            <w:r>
              <w:t>固体废物</w:t>
            </w:r>
          </w:p>
        </w:tc>
        <w:tc>
          <w:tcPr>
            <w:tcW w:w="2565" w:type="pct"/>
            <w:vAlign w:val="center"/>
          </w:tcPr>
          <w:p w14:paraId="64BFAEB2" w14:textId="77777777" w:rsidR="002E474C" w:rsidRDefault="00000000">
            <w:pPr>
              <w:pStyle w:val="A-"/>
            </w:pPr>
            <w:r>
              <w:t>项目运行产生的固废均按照危险废物进行管理和处置</w:t>
            </w:r>
          </w:p>
        </w:tc>
        <w:tc>
          <w:tcPr>
            <w:tcW w:w="1415" w:type="pct"/>
            <w:vAlign w:val="center"/>
          </w:tcPr>
          <w:p w14:paraId="289DCFB0" w14:textId="77777777" w:rsidR="002E474C" w:rsidRDefault="00000000">
            <w:pPr>
              <w:pStyle w:val="A-"/>
            </w:pPr>
            <w:r>
              <w:t>避免造成二次污染。</w:t>
            </w:r>
          </w:p>
        </w:tc>
      </w:tr>
      <w:tr w:rsidR="002E474C" w14:paraId="14C31C7B" w14:textId="77777777">
        <w:trPr>
          <w:trHeight w:val="315"/>
        </w:trPr>
        <w:tc>
          <w:tcPr>
            <w:tcW w:w="1020" w:type="pct"/>
            <w:gridSpan w:val="2"/>
            <w:vAlign w:val="center"/>
          </w:tcPr>
          <w:p w14:paraId="1D81AF2C" w14:textId="77777777" w:rsidR="002E474C" w:rsidRDefault="00000000">
            <w:pPr>
              <w:pStyle w:val="A-"/>
            </w:pPr>
            <w:r>
              <w:t>环境管理与监测</w:t>
            </w:r>
          </w:p>
        </w:tc>
        <w:tc>
          <w:tcPr>
            <w:tcW w:w="2565" w:type="pct"/>
            <w:vAlign w:val="center"/>
          </w:tcPr>
          <w:p w14:paraId="1329E608" w14:textId="77777777" w:rsidR="002E474C" w:rsidRDefault="00000000">
            <w:pPr>
              <w:pStyle w:val="A-"/>
            </w:pPr>
            <w:r>
              <w:t>管理费用和监测费用</w:t>
            </w:r>
          </w:p>
        </w:tc>
        <w:tc>
          <w:tcPr>
            <w:tcW w:w="1415" w:type="pct"/>
            <w:vAlign w:val="center"/>
          </w:tcPr>
          <w:p w14:paraId="496A797A" w14:textId="77777777" w:rsidR="002E474C" w:rsidRDefault="00000000">
            <w:pPr>
              <w:pStyle w:val="A-"/>
            </w:pPr>
            <w:r>
              <w:t>环境风险管控</w:t>
            </w:r>
          </w:p>
        </w:tc>
      </w:tr>
    </w:tbl>
    <w:p w14:paraId="1C286863" w14:textId="77777777" w:rsidR="002E474C" w:rsidRDefault="002E474C">
      <w:pPr>
        <w:pStyle w:val="w3"/>
      </w:pPr>
    </w:p>
    <w:p w14:paraId="55395F4D" w14:textId="77777777" w:rsidR="002E474C" w:rsidRDefault="00000000">
      <w:pPr>
        <w:pStyle w:val="A-z"/>
        <w:rPr>
          <w:color w:val="auto"/>
        </w:rPr>
      </w:pPr>
      <w:r>
        <w:rPr>
          <w:color w:val="auto"/>
        </w:rPr>
        <w:t>环保设施落实后，生产废气、厂界噪声都实现了达标排放，生产废水和固体废物不排放，生活污水经厂内综合污水处理站处理后回用，有效减少了污染物的排放量，在落实</w:t>
      </w:r>
      <w:r>
        <w:rPr>
          <w:color w:val="auto"/>
        </w:rPr>
        <w:t>“</w:t>
      </w:r>
      <w:r>
        <w:rPr>
          <w:color w:val="auto"/>
        </w:rPr>
        <w:t>三同时</w:t>
      </w:r>
      <w:r>
        <w:rPr>
          <w:color w:val="auto"/>
        </w:rPr>
        <w:t>”</w:t>
      </w:r>
      <w:r>
        <w:rPr>
          <w:color w:val="auto"/>
        </w:rPr>
        <w:t>后，污染治理措施的运行使污染物排放量大大降低，根据污染源监测、环境影响预测评价以及环境质量现状监测结果，项目的环保设施</w:t>
      </w:r>
      <w:r>
        <w:rPr>
          <w:color w:val="auto"/>
          <w:lang w:val="en-US"/>
        </w:rPr>
        <w:t>与主体工程同时建设并投运后</w:t>
      </w:r>
      <w:r>
        <w:rPr>
          <w:color w:val="auto"/>
        </w:rPr>
        <w:t>，</w:t>
      </w:r>
      <w:r>
        <w:rPr>
          <w:color w:val="auto"/>
          <w:lang w:val="en-US"/>
        </w:rPr>
        <w:t>可有效控制和减少生产过程中污染物的排放</w:t>
      </w:r>
      <w:r>
        <w:rPr>
          <w:color w:val="auto"/>
        </w:rPr>
        <w:t>，实现了污染物的达标排放，保证项目实施后不会明显降低区域大气、水、声环境质量。同时，项目利用水泥烧成系统处置危险废物，可以减少对不可再生能源的开发，并通过废物转化为水泥生产的替代原料，达到危险废物处理的无害化、减量化和资源化的目标，实现资源的再利用和经济的可持续发展。</w:t>
      </w:r>
    </w:p>
    <w:p w14:paraId="1509F5CD" w14:textId="77777777" w:rsidR="002E474C" w:rsidRDefault="00000000">
      <w:pPr>
        <w:pStyle w:val="21"/>
        <w:spacing w:before="240" w:after="240"/>
        <w:rPr>
          <w:color w:val="auto"/>
        </w:rPr>
      </w:pPr>
      <w:bookmarkStart w:id="368" w:name="_Toc225848882"/>
      <w:bookmarkStart w:id="369" w:name="_Toc21510"/>
      <w:bookmarkStart w:id="370" w:name="_Toc131089648"/>
      <w:r>
        <w:rPr>
          <w:color w:val="auto"/>
        </w:rPr>
        <w:t>环保设施及投资</w:t>
      </w:r>
      <w:bookmarkEnd w:id="368"/>
      <w:bookmarkEnd w:id="369"/>
      <w:bookmarkEnd w:id="370"/>
    </w:p>
    <w:p w14:paraId="3A27715F" w14:textId="77777777" w:rsidR="002E474C" w:rsidRDefault="00000000">
      <w:pPr>
        <w:pStyle w:val="A-z"/>
        <w:spacing w:beforeLines="50" w:before="120"/>
        <w:rPr>
          <w:color w:val="auto"/>
        </w:rPr>
      </w:pPr>
      <w:r>
        <w:rPr>
          <w:color w:val="auto"/>
        </w:rPr>
        <w:t>本项目为危险废物治理工程，项目设备、构筑物均属于环保投资。本项目总投资</w:t>
      </w:r>
      <w:r>
        <w:rPr>
          <w:color w:val="auto"/>
        </w:rPr>
        <w:t>1500</w:t>
      </w:r>
      <w:r>
        <w:rPr>
          <w:color w:val="auto"/>
        </w:rPr>
        <w:t>万元，均作为环保投资，环保投资占项目总投资</w:t>
      </w:r>
      <w:r>
        <w:rPr>
          <w:color w:val="auto"/>
        </w:rPr>
        <w:t>100%</w:t>
      </w:r>
      <w:r>
        <w:rPr>
          <w:color w:val="auto"/>
        </w:rPr>
        <w:t>。</w:t>
      </w:r>
    </w:p>
    <w:p w14:paraId="16351052" w14:textId="77777777" w:rsidR="002E474C" w:rsidRDefault="00000000">
      <w:pPr>
        <w:pStyle w:val="A-z"/>
        <w:spacing w:beforeLines="50" w:before="120"/>
        <w:rPr>
          <w:color w:val="auto"/>
        </w:rPr>
      </w:pPr>
      <w:r>
        <w:rPr>
          <w:color w:val="auto"/>
        </w:rPr>
        <w:t>本项目具体环保设施主要包括废气处理设施、废水收集设施、地下水防渗、噪声防治、环境监测等方面。本项目具体环保设施投资为</w:t>
      </w:r>
      <w:r>
        <w:rPr>
          <w:color w:val="auto"/>
        </w:rPr>
        <w:t>338</w:t>
      </w:r>
      <w:r>
        <w:rPr>
          <w:color w:val="auto"/>
        </w:rPr>
        <w:t>万元，细化后的项</w:t>
      </w:r>
      <w:r>
        <w:rPr>
          <w:color w:val="auto"/>
        </w:rPr>
        <w:lastRenderedPageBreak/>
        <w:t>目自身二次环保投资，见表</w:t>
      </w:r>
      <w:r>
        <w:rPr>
          <w:color w:val="auto"/>
        </w:rPr>
        <w:t>7.3-1</w:t>
      </w:r>
      <w:r>
        <w:rPr>
          <w:color w:val="auto"/>
        </w:rPr>
        <w:t>。</w:t>
      </w:r>
    </w:p>
    <w:p w14:paraId="0CBFE638" w14:textId="77777777" w:rsidR="002E474C" w:rsidRDefault="00000000">
      <w:pPr>
        <w:pStyle w:val="A--"/>
        <w:rPr>
          <w:color w:val="auto"/>
        </w:rPr>
      </w:pPr>
      <w:bookmarkStart w:id="371" w:name="_Ref130311096"/>
      <w:bookmarkStart w:id="372" w:name="_Hlk151312963"/>
      <w:r>
        <w:rPr>
          <w:color w:val="auto"/>
        </w:rPr>
        <w:t>表</w:t>
      </w:r>
      <w:r>
        <w:rPr>
          <w:color w:val="auto"/>
        </w:rPr>
        <w:t>7.3</w:t>
      </w:r>
      <w:r>
        <w:rPr>
          <w:color w:val="auto"/>
        </w:rPr>
        <w:noBreakHyphen/>
        <w:t>1</w:t>
      </w:r>
      <w:bookmarkEnd w:id="371"/>
      <w:r>
        <w:rPr>
          <w:color w:val="auto"/>
        </w:rPr>
        <w:t xml:space="preserve">  </w:t>
      </w:r>
      <w:r>
        <w:rPr>
          <w:color w:val="auto"/>
        </w:rPr>
        <w:t>环保投资一览表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61"/>
        <w:gridCol w:w="522"/>
        <w:gridCol w:w="720"/>
        <w:gridCol w:w="565"/>
        <w:gridCol w:w="5007"/>
        <w:gridCol w:w="1015"/>
      </w:tblGrid>
      <w:tr w:rsidR="002E474C" w14:paraId="3F6ACF53" w14:textId="77777777">
        <w:trPr>
          <w:jc w:val="center"/>
        </w:trPr>
        <w:tc>
          <w:tcPr>
            <w:tcW w:w="278" w:type="pct"/>
            <w:tcBorders>
              <w:tl2br w:val="nil"/>
              <w:tr2bl w:val="nil"/>
            </w:tcBorders>
            <w:vAlign w:val="center"/>
          </w:tcPr>
          <w:p w14:paraId="38EFB04F" w14:textId="77777777" w:rsidR="002E474C" w:rsidRDefault="00000000">
            <w:pPr>
              <w:pStyle w:val="A-"/>
            </w:pPr>
            <w:r>
              <w:t>序</w:t>
            </w:r>
            <w:r>
              <w:rPr>
                <w:position w:val="-2"/>
              </w:rPr>
              <w:t>号</w:t>
            </w:r>
          </w:p>
        </w:tc>
        <w:tc>
          <w:tcPr>
            <w:tcW w:w="315" w:type="pct"/>
            <w:tcBorders>
              <w:tl2br w:val="nil"/>
              <w:tr2bl w:val="nil"/>
            </w:tcBorders>
            <w:vAlign w:val="center"/>
          </w:tcPr>
          <w:p w14:paraId="5E4BA8DB" w14:textId="77777777" w:rsidR="002E474C" w:rsidRDefault="00000000">
            <w:pPr>
              <w:pStyle w:val="A-"/>
            </w:pPr>
            <w:r>
              <w:t>车间</w:t>
            </w:r>
          </w:p>
        </w:tc>
        <w:tc>
          <w:tcPr>
            <w:tcW w:w="434" w:type="pct"/>
            <w:tcBorders>
              <w:tl2br w:val="nil"/>
              <w:tr2bl w:val="nil"/>
            </w:tcBorders>
            <w:vAlign w:val="center"/>
          </w:tcPr>
          <w:p w14:paraId="1799B174" w14:textId="77777777" w:rsidR="002E474C" w:rsidRDefault="00000000">
            <w:pPr>
              <w:pStyle w:val="A-"/>
            </w:pPr>
            <w:r>
              <w:t>污染源</w:t>
            </w:r>
            <w:r>
              <w:rPr>
                <w:position w:val="-2"/>
              </w:rPr>
              <w:t>名称</w:t>
            </w:r>
          </w:p>
        </w:tc>
        <w:tc>
          <w:tcPr>
            <w:tcW w:w="341" w:type="pct"/>
            <w:tcBorders>
              <w:tl2br w:val="nil"/>
              <w:tr2bl w:val="nil"/>
            </w:tcBorders>
            <w:vAlign w:val="center"/>
          </w:tcPr>
          <w:p w14:paraId="7E396516" w14:textId="77777777" w:rsidR="002E474C" w:rsidRDefault="00000000">
            <w:pPr>
              <w:pStyle w:val="A-"/>
            </w:pPr>
            <w:r>
              <w:t>数量</w:t>
            </w:r>
          </w:p>
        </w:tc>
        <w:tc>
          <w:tcPr>
            <w:tcW w:w="3020" w:type="pct"/>
            <w:tcBorders>
              <w:tl2br w:val="nil"/>
              <w:tr2bl w:val="nil"/>
            </w:tcBorders>
            <w:vAlign w:val="center"/>
          </w:tcPr>
          <w:p w14:paraId="7AE7F4CD" w14:textId="77777777" w:rsidR="002E474C" w:rsidRDefault="00000000">
            <w:pPr>
              <w:pStyle w:val="A-"/>
            </w:pPr>
            <w:r>
              <w:t>措施规模及内容</w:t>
            </w:r>
          </w:p>
        </w:tc>
        <w:tc>
          <w:tcPr>
            <w:tcW w:w="612" w:type="pct"/>
            <w:tcBorders>
              <w:tl2br w:val="nil"/>
              <w:tr2bl w:val="nil"/>
            </w:tcBorders>
            <w:vAlign w:val="center"/>
          </w:tcPr>
          <w:p w14:paraId="2FA74766" w14:textId="77777777" w:rsidR="002E474C" w:rsidRDefault="00000000">
            <w:pPr>
              <w:pStyle w:val="A-"/>
            </w:pPr>
            <w:r>
              <w:t>投资估算（万元）</w:t>
            </w:r>
          </w:p>
        </w:tc>
      </w:tr>
      <w:tr w:rsidR="002E474C" w14:paraId="03234AFB" w14:textId="77777777">
        <w:trPr>
          <w:jc w:val="center"/>
        </w:trPr>
        <w:tc>
          <w:tcPr>
            <w:tcW w:w="278" w:type="pct"/>
            <w:tcBorders>
              <w:tl2br w:val="nil"/>
              <w:tr2bl w:val="nil"/>
            </w:tcBorders>
            <w:vAlign w:val="center"/>
          </w:tcPr>
          <w:p w14:paraId="7FA070A0" w14:textId="77777777" w:rsidR="002E474C" w:rsidRDefault="00000000">
            <w:pPr>
              <w:pStyle w:val="A-"/>
            </w:pPr>
            <w:r>
              <w:t>一</w:t>
            </w:r>
          </w:p>
        </w:tc>
        <w:tc>
          <w:tcPr>
            <w:tcW w:w="4110" w:type="pct"/>
            <w:gridSpan w:val="4"/>
            <w:tcBorders>
              <w:tl2br w:val="nil"/>
              <w:tr2bl w:val="nil"/>
            </w:tcBorders>
            <w:vAlign w:val="center"/>
          </w:tcPr>
          <w:p w14:paraId="490DA349" w14:textId="77777777" w:rsidR="002E474C" w:rsidRDefault="00000000">
            <w:pPr>
              <w:pStyle w:val="A-"/>
            </w:pPr>
            <w:r>
              <w:t>废气防治设施</w:t>
            </w:r>
          </w:p>
        </w:tc>
        <w:tc>
          <w:tcPr>
            <w:tcW w:w="612" w:type="pct"/>
            <w:tcBorders>
              <w:tl2br w:val="nil"/>
              <w:tr2bl w:val="nil"/>
            </w:tcBorders>
            <w:vAlign w:val="center"/>
          </w:tcPr>
          <w:p w14:paraId="2B3DF66C" w14:textId="77777777" w:rsidR="002E474C" w:rsidRDefault="00000000">
            <w:pPr>
              <w:pStyle w:val="A-"/>
            </w:pPr>
            <w:r>
              <w:t>150</w:t>
            </w:r>
          </w:p>
        </w:tc>
      </w:tr>
      <w:tr w:rsidR="002E474C" w14:paraId="22B62E53" w14:textId="77777777">
        <w:trPr>
          <w:jc w:val="center"/>
        </w:trPr>
        <w:tc>
          <w:tcPr>
            <w:tcW w:w="278" w:type="pct"/>
            <w:tcBorders>
              <w:tl2br w:val="nil"/>
              <w:tr2bl w:val="nil"/>
            </w:tcBorders>
            <w:vAlign w:val="center"/>
          </w:tcPr>
          <w:p w14:paraId="7C002611" w14:textId="77777777" w:rsidR="002E474C" w:rsidRDefault="00000000">
            <w:pPr>
              <w:pStyle w:val="A-"/>
            </w:pPr>
            <w:r>
              <w:t>1</w:t>
            </w:r>
          </w:p>
        </w:tc>
        <w:tc>
          <w:tcPr>
            <w:tcW w:w="315" w:type="pct"/>
            <w:tcBorders>
              <w:tl2br w:val="nil"/>
              <w:tr2bl w:val="nil"/>
            </w:tcBorders>
            <w:vAlign w:val="center"/>
          </w:tcPr>
          <w:p w14:paraId="2CC164CC" w14:textId="77777777" w:rsidR="002E474C" w:rsidRDefault="00000000">
            <w:pPr>
              <w:pStyle w:val="A-"/>
            </w:pPr>
            <w:r>
              <w:t>运输</w:t>
            </w:r>
            <w:r>
              <w:t xml:space="preserve"> </w:t>
            </w:r>
            <w:r>
              <w:t>过程</w:t>
            </w:r>
          </w:p>
        </w:tc>
        <w:tc>
          <w:tcPr>
            <w:tcW w:w="434" w:type="pct"/>
            <w:tcBorders>
              <w:tl2br w:val="nil"/>
              <w:tr2bl w:val="nil"/>
            </w:tcBorders>
            <w:vAlign w:val="center"/>
          </w:tcPr>
          <w:p w14:paraId="1244B204" w14:textId="77777777" w:rsidR="002E474C" w:rsidRDefault="00000000">
            <w:pPr>
              <w:pStyle w:val="A-"/>
            </w:pPr>
            <w:r>
              <w:t>/</w:t>
            </w:r>
          </w:p>
        </w:tc>
        <w:tc>
          <w:tcPr>
            <w:tcW w:w="341" w:type="pct"/>
            <w:tcBorders>
              <w:tl2br w:val="nil"/>
              <w:tr2bl w:val="nil"/>
            </w:tcBorders>
            <w:vAlign w:val="center"/>
          </w:tcPr>
          <w:p w14:paraId="706DF700" w14:textId="77777777" w:rsidR="002E474C" w:rsidRDefault="00000000">
            <w:pPr>
              <w:pStyle w:val="A-"/>
            </w:pPr>
            <w:r>
              <w:t>/</w:t>
            </w:r>
          </w:p>
        </w:tc>
        <w:tc>
          <w:tcPr>
            <w:tcW w:w="3020" w:type="pct"/>
            <w:tcBorders>
              <w:tl2br w:val="nil"/>
              <w:tr2bl w:val="nil"/>
            </w:tcBorders>
            <w:vAlign w:val="center"/>
          </w:tcPr>
          <w:p w14:paraId="45A9BA01" w14:textId="77777777" w:rsidR="002E474C" w:rsidRDefault="00000000">
            <w:pPr>
              <w:pStyle w:val="A-"/>
            </w:pPr>
            <w:r>
              <w:t>运输车辆采用密闭且有防止废水滴漏装置的后装压缩式危废运输车，优化运输途径，避开农田区和人群密集区等。</w:t>
            </w:r>
          </w:p>
        </w:tc>
        <w:tc>
          <w:tcPr>
            <w:tcW w:w="612" w:type="pct"/>
            <w:tcBorders>
              <w:tl2br w:val="nil"/>
              <w:tr2bl w:val="nil"/>
            </w:tcBorders>
            <w:vAlign w:val="center"/>
          </w:tcPr>
          <w:p w14:paraId="1B518DB6" w14:textId="77777777" w:rsidR="002E474C" w:rsidRDefault="00000000">
            <w:pPr>
              <w:pStyle w:val="A-"/>
              <w:rPr>
                <w:rFonts w:eastAsia="Times New Roman"/>
              </w:rPr>
            </w:pPr>
            <w:r>
              <w:t>--</w:t>
            </w:r>
          </w:p>
        </w:tc>
      </w:tr>
      <w:tr w:rsidR="002E474C" w14:paraId="368E8F0A" w14:textId="77777777">
        <w:trPr>
          <w:jc w:val="center"/>
        </w:trPr>
        <w:tc>
          <w:tcPr>
            <w:tcW w:w="278" w:type="pct"/>
            <w:vMerge w:val="restart"/>
            <w:tcBorders>
              <w:tl2br w:val="nil"/>
              <w:tr2bl w:val="nil"/>
            </w:tcBorders>
            <w:vAlign w:val="center"/>
          </w:tcPr>
          <w:p w14:paraId="421BEA43" w14:textId="77777777" w:rsidR="002E474C" w:rsidRDefault="00000000">
            <w:pPr>
              <w:pStyle w:val="A-"/>
            </w:pPr>
            <w:r>
              <w:t>2</w:t>
            </w:r>
          </w:p>
        </w:tc>
        <w:tc>
          <w:tcPr>
            <w:tcW w:w="315" w:type="pct"/>
            <w:vMerge w:val="restart"/>
            <w:tcBorders>
              <w:tl2br w:val="nil"/>
              <w:tr2bl w:val="nil"/>
            </w:tcBorders>
            <w:vAlign w:val="center"/>
          </w:tcPr>
          <w:p w14:paraId="43F6EA73" w14:textId="77777777" w:rsidR="002E474C" w:rsidRDefault="00000000">
            <w:pPr>
              <w:pStyle w:val="A-"/>
            </w:pPr>
            <w:r>
              <w:t>固态危废预处理车间与危废贮存库</w:t>
            </w:r>
          </w:p>
        </w:tc>
        <w:tc>
          <w:tcPr>
            <w:tcW w:w="434" w:type="pct"/>
            <w:tcBorders>
              <w:tl2br w:val="nil"/>
              <w:tr2bl w:val="nil"/>
            </w:tcBorders>
            <w:vAlign w:val="center"/>
          </w:tcPr>
          <w:p w14:paraId="728D1D02" w14:textId="77777777" w:rsidR="002E474C" w:rsidRDefault="00000000">
            <w:pPr>
              <w:pStyle w:val="A-"/>
            </w:pPr>
            <w:r>
              <w:t>有组织</w:t>
            </w:r>
          </w:p>
        </w:tc>
        <w:tc>
          <w:tcPr>
            <w:tcW w:w="341" w:type="pct"/>
            <w:tcBorders>
              <w:tl2br w:val="nil"/>
              <w:tr2bl w:val="nil"/>
            </w:tcBorders>
            <w:vAlign w:val="center"/>
          </w:tcPr>
          <w:p w14:paraId="2A9ED0C3" w14:textId="77777777" w:rsidR="002E474C" w:rsidRDefault="00000000">
            <w:pPr>
              <w:pStyle w:val="A-"/>
            </w:pPr>
            <w:r>
              <w:rPr>
                <w:rFonts w:eastAsia="Times New Roman"/>
              </w:rPr>
              <w:t>1</w:t>
            </w:r>
            <w:r>
              <w:t>套</w:t>
            </w:r>
          </w:p>
        </w:tc>
        <w:tc>
          <w:tcPr>
            <w:tcW w:w="3020" w:type="pct"/>
            <w:tcBorders>
              <w:tl2br w:val="nil"/>
              <w:tr2bl w:val="nil"/>
            </w:tcBorders>
            <w:vAlign w:val="center"/>
          </w:tcPr>
          <w:p w14:paraId="29BB8635" w14:textId="77777777" w:rsidR="002E474C" w:rsidRDefault="00000000">
            <w:pPr>
              <w:pStyle w:val="A-"/>
            </w:pPr>
            <w:r>
              <w:t>①</w:t>
            </w:r>
            <w:r>
              <w:t>保持固态危废预处理车间和危废贮存库均处于微负压状态，车间废气经管道收集，采用两级活性炭吸附处理，经</w:t>
            </w:r>
            <w:r>
              <w:t>15m</w:t>
            </w:r>
            <w:r>
              <w:t>排气筒排放；</w:t>
            </w:r>
            <w:r>
              <w:t>②</w:t>
            </w:r>
            <w:r>
              <w:t>固态危废预处理车间内的破碎间采用集气罩</w:t>
            </w:r>
            <w:r>
              <w:t>+</w:t>
            </w:r>
            <w:r>
              <w:t>布袋除尘器处理后车间内排放；</w:t>
            </w:r>
            <w:r>
              <w:t>③</w:t>
            </w:r>
            <w:r>
              <w:t>纯无机类（不挥发）危废投料系统、固态危废投料系统及液态处置车间废气收集管网与风机。</w:t>
            </w:r>
          </w:p>
        </w:tc>
        <w:tc>
          <w:tcPr>
            <w:tcW w:w="612" w:type="pct"/>
            <w:vMerge w:val="restart"/>
            <w:tcBorders>
              <w:tl2br w:val="nil"/>
              <w:tr2bl w:val="nil"/>
            </w:tcBorders>
            <w:vAlign w:val="center"/>
          </w:tcPr>
          <w:p w14:paraId="1A187007" w14:textId="77777777" w:rsidR="002E474C" w:rsidRDefault="00000000">
            <w:pPr>
              <w:pStyle w:val="A-"/>
              <w:rPr>
                <w:spacing w:val="1"/>
              </w:rPr>
            </w:pPr>
            <w:r>
              <w:t>150</w:t>
            </w:r>
          </w:p>
        </w:tc>
      </w:tr>
      <w:tr w:rsidR="002E474C" w14:paraId="7B0A8F0D" w14:textId="77777777">
        <w:trPr>
          <w:jc w:val="center"/>
        </w:trPr>
        <w:tc>
          <w:tcPr>
            <w:tcW w:w="278" w:type="pct"/>
            <w:vMerge/>
            <w:tcBorders>
              <w:tl2br w:val="nil"/>
              <w:tr2bl w:val="nil"/>
            </w:tcBorders>
            <w:vAlign w:val="center"/>
          </w:tcPr>
          <w:p w14:paraId="16124BF3" w14:textId="77777777" w:rsidR="002E474C" w:rsidRDefault="002E474C">
            <w:pPr>
              <w:pStyle w:val="A-"/>
            </w:pPr>
          </w:p>
        </w:tc>
        <w:tc>
          <w:tcPr>
            <w:tcW w:w="315" w:type="pct"/>
            <w:vMerge/>
            <w:tcBorders>
              <w:tl2br w:val="nil"/>
              <w:tr2bl w:val="nil"/>
            </w:tcBorders>
            <w:vAlign w:val="center"/>
          </w:tcPr>
          <w:p w14:paraId="56F87088" w14:textId="77777777" w:rsidR="002E474C" w:rsidRDefault="002E474C">
            <w:pPr>
              <w:pStyle w:val="A-"/>
            </w:pPr>
          </w:p>
        </w:tc>
        <w:tc>
          <w:tcPr>
            <w:tcW w:w="434" w:type="pct"/>
            <w:tcBorders>
              <w:tl2br w:val="nil"/>
              <w:tr2bl w:val="nil"/>
            </w:tcBorders>
            <w:vAlign w:val="center"/>
          </w:tcPr>
          <w:p w14:paraId="140207A5" w14:textId="77777777" w:rsidR="002E474C" w:rsidRDefault="00000000">
            <w:pPr>
              <w:pStyle w:val="A-"/>
            </w:pPr>
            <w:r>
              <w:t>无组织废气</w:t>
            </w:r>
          </w:p>
        </w:tc>
        <w:tc>
          <w:tcPr>
            <w:tcW w:w="341" w:type="pct"/>
            <w:tcBorders>
              <w:tl2br w:val="nil"/>
              <w:tr2bl w:val="nil"/>
            </w:tcBorders>
            <w:vAlign w:val="center"/>
          </w:tcPr>
          <w:p w14:paraId="2CEC108C" w14:textId="77777777" w:rsidR="002E474C" w:rsidRDefault="00000000">
            <w:pPr>
              <w:pStyle w:val="A-"/>
            </w:pPr>
            <w:r>
              <w:t>/</w:t>
            </w:r>
          </w:p>
        </w:tc>
        <w:tc>
          <w:tcPr>
            <w:tcW w:w="3020" w:type="pct"/>
            <w:tcBorders>
              <w:tl2br w:val="nil"/>
              <w:tr2bl w:val="nil"/>
            </w:tcBorders>
            <w:vAlign w:val="center"/>
          </w:tcPr>
          <w:p w14:paraId="774388E6" w14:textId="77777777" w:rsidR="002E474C" w:rsidRDefault="00000000">
            <w:pPr>
              <w:pStyle w:val="A-"/>
            </w:pPr>
            <w:r>
              <w:t>固态危废预处理车间与危废贮存库均采用密闭设计，设微负压系统</w:t>
            </w:r>
          </w:p>
        </w:tc>
        <w:tc>
          <w:tcPr>
            <w:tcW w:w="612" w:type="pct"/>
            <w:vMerge/>
            <w:tcBorders>
              <w:tl2br w:val="nil"/>
              <w:tr2bl w:val="nil"/>
            </w:tcBorders>
            <w:vAlign w:val="center"/>
          </w:tcPr>
          <w:p w14:paraId="74E7C8AD" w14:textId="77777777" w:rsidR="002E474C" w:rsidRDefault="002E474C">
            <w:pPr>
              <w:pStyle w:val="A-"/>
            </w:pPr>
          </w:p>
        </w:tc>
      </w:tr>
      <w:tr w:rsidR="002E474C" w14:paraId="1FE263B0" w14:textId="77777777">
        <w:trPr>
          <w:jc w:val="center"/>
        </w:trPr>
        <w:tc>
          <w:tcPr>
            <w:tcW w:w="278" w:type="pct"/>
            <w:tcBorders>
              <w:tl2br w:val="nil"/>
              <w:tr2bl w:val="nil"/>
            </w:tcBorders>
            <w:vAlign w:val="center"/>
          </w:tcPr>
          <w:p w14:paraId="5F1EEFD0" w14:textId="77777777" w:rsidR="002E474C" w:rsidRDefault="00000000">
            <w:pPr>
              <w:pStyle w:val="A-"/>
            </w:pPr>
            <w:r>
              <w:t>3</w:t>
            </w:r>
          </w:p>
        </w:tc>
        <w:tc>
          <w:tcPr>
            <w:tcW w:w="315" w:type="pct"/>
            <w:tcBorders>
              <w:tl2br w:val="nil"/>
              <w:tr2bl w:val="nil"/>
            </w:tcBorders>
            <w:vAlign w:val="center"/>
          </w:tcPr>
          <w:p w14:paraId="40E2F5C6" w14:textId="77777777" w:rsidR="002E474C" w:rsidRDefault="00000000">
            <w:pPr>
              <w:pStyle w:val="A-"/>
            </w:pPr>
            <w:r>
              <w:t>水泥窑</w:t>
            </w:r>
          </w:p>
        </w:tc>
        <w:tc>
          <w:tcPr>
            <w:tcW w:w="434" w:type="pct"/>
            <w:tcBorders>
              <w:tl2br w:val="nil"/>
              <w:tr2bl w:val="nil"/>
            </w:tcBorders>
            <w:vAlign w:val="center"/>
          </w:tcPr>
          <w:p w14:paraId="5DFB8664" w14:textId="77777777" w:rsidR="002E474C" w:rsidRDefault="00000000">
            <w:pPr>
              <w:pStyle w:val="A-"/>
            </w:pPr>
            <w:r>
              <w:t>窑尾废气</w:t>
            </w:r>
          </w:p>
        </w:tc>
        <w:tc>
          <w:tcPr>
            <w:tcW w:w="341" w:type="pct"/>
            <w:tcBorders>
              <w:tl2br w:val="nil"/>
              <w:tr2bl w:val="nil"/>
            </w:tcBorders>
            <w:vAlign w:val="center"/>
          </w:tcPr>
          <w:p w14:paraId="155FA5E3" w14:textId="77777777" w:rsidR="002E474C" w:rsidRDefault="00000000">
            <w:pPr>
              <w:pStyle w:val="A-"/>
            </w:pPr>
            <w:r>
              <w:rPr>
                <w:rFonts w:eastAsia="Times New Roman"/>
              </w:rPr>
              <w:t>1</w:t>
            </w:r>
            <w:r>
              <w:t>套</w:t>
            </w:r>
          </w:p>
        </w:tc>
        <w:tc>
          <w:tcPr>
            <w:tcW w:w="3020" w:type="pct"/>
            <w:tcBorders>
              <w:tl2br w:val="nil"/>
              <w:tr2bl w:val="nil"/>
            </w:tcBorders>
            <w:vAlign w:val="center"/>
          </w:tcPr>
          <w:p w14:paraId="116BBD19" w14:textId="77777777" w:rsidR="002E474C" w:rsidRDefault="00000000">
            <w:pPr>
              <w:pStyle w:val="A-"/>
            </w:pPr>
            <w:r>
              <w:t>依托水泥厂窑尾烟气污染防治措施及烟气在线监测装置。</w:t>
            </w:r>
          </w:p>
        </w:tc>
        <w:tc>
          <w:tcPr>
            <w:tcW w:w="612" w:type="pct"/>
            <w:tcBorders>
              <w:tl2br w:val="nil"/>
              <w:tr2bl w:val="nil"/>
            </w:tcBorders>
            <w:vAlign w:val="center"/>
          </w:tcPr>
          <w:p w14:paraId="6D42346E" w14:textId="77777777" w:rsidR="002E474C" w:rsidRDefault="00000000">
            <w:pPr>
              <w:pStyle w:val="A-"/>
              <w:rPr>
                <w:rFonts w:eastAsia="Times New Roman"/>
              </w:rPr>
            </w:pPr>
            <w:r>
              <w:t>--</w:t>
            </w:r>
          </w:p>
        </w:tc>
      </w:tr>
      <w:tr w:rsidR="002E474C" w14:paraId="0535E1BD" w14:textId="77777777">
        <w:trPr>
          <w:jc w:val="center"/>
        </w:trPr>
        <w:tc>
          <w:tcPr>
            <w:tcW w:w="278" w:type="pct"/>
            <w:tcBorders>
              <w:tl2br w:val="nil"/>
              <w:tr2bl w:val="nil"/>
            </w:tcBorders>
            <w:vAlign w:val="center"/>
          </w:tcPr>
          <w:p w14:paraId="4B171700" w14:textId="77777777" w:rsidR="002E474C" w:rsidRDefault="00000000">
            <w:pPr>
              <w:pStyle w:val="A-"/>
            </w:pPr>
            <w:r>
              <w:t>二</w:t>
            </w:r>
          </w:p>
        </w:tc>
        <w:tc>
          <w:tcPr>
            <w:tcW w:w="4110" w:type="pct"/>
            <w:gridSpan w:val="4"/>
            <w:tcBorders>
              <w:tl2br w:val="nil"/>
              <w:tr2bl w:val="nil"/>
            </w:tcBorders>
            <w:vAlign w:val="center"/>
          </w:tcPr>
          <w:p w14:paraId="4FDA4074" w14:textId="77777777" w:rsidR="002E474C" w:rsidRDefault="00000000">
            <w:pPr>
              <w:pStyle w:val="A-"/>
            </w:pPr>
            <w:r>
              <w:t>废水防治设施</w:t>
            </w:r>
          </w:p>
        </w:tc>
        <w:tc>
          <w:tcPr>
            <w:tcW w:w="612" w:type="pct"/>
            <w:tcBorders>
              <w:tl2br w:val="nil"/>
              <w:tr2bl w:val="nil"/>
            </w:tcBorders>
            <w:vAlign w:val="center"/>
          </w:tcPr>
          <w:p w14:paraId="02E779BC" w14:textId="77777777" w:rsidR="002E474C" w:rsidRDefault="00000000">
            <w:pPr>
              <w:pStyle w:val="A-"/>
            </w:pPr>
            <w:r>
              <w:t>23</w:t>
            </w:r>
          </w:p>
        </w:tc>
      </w:tr>
      <w:tr w:rsidR="002E474C" w14:paraId="0EF767CB" w14:textId="77777777">
        <w:trPr>
          <w:trHeight w:val="271"/>
          <w:jc w:val="center"/>
        </w:trPr>
        <w:tc>
          <w:tcPr>
            <w:tcW w:w="278" w:type="pct"/>
            <w:tcBorders>
              <w:tl2br w:val="nil"/>
              <w:tr2bl w:val="nil"/>
            </w:tcBorders>
            <w:vAlign w:val="center"/>
          </w:tcPr>
          <w:p w14:paraId="7F21CB3A" w14:textId="77777777" w:rsidR="002E474C" w:rsidRDefault="00000000">
            <w:pPr>
              <w:pStyle w:val="A-"/>
            </w:pPr>
            <w:r>
              <w:t>1</w:t>
            </w:r>
          </w:p>
        </w:tc>
        <w:tc>
          <w:tcPr>
            <w:tcW w:w="749" w:type="pct"/>
            <w:gridSpan w:val="2"/>
            <w:tcBorders>
              <w:tl2br w:val="nil"/>
              <w:tr2bl w:val="nil"/>
            </w:tcBorders>
            <w:vAlign w:val="center"/>
          </w:tcPr>
          <w:p w14:paraId="4E7E706A" w14:textId="77777777" w:rsidR="002E474C" w:rsidRDefault="00000000">
            <w:pPr>
              <w:pStyle w:val="A-"/>
            </w:pPr>
            <w:r>
              <w:t>生产废水</w:t>
            </w:r>
          </w:p>
        </w:tc>
        <w:tc>
          <w:tcPr>
            <w:tcW w:w="341" w:type="pct"/>
            <w:tcBorders>
              <w:tl2br w:val="nil"/>
              <w:tr2bl w:val="nil"/>
            </w:tcBorders>
            <w:vAlign w:val="center"/>
          </w:tcPr>
          <w:p w14:paraId="63AB62E7" w14:textId="77777777" w:rsidR="002E474C" w:rsidRDefault="00000000">
            <w:pPr>
              <w:pStyle w:val="A-"/>
            </w:pPr>
            <w:r>
              <w:rPr>
                <w:rFonts w:eastAsia="Times New Roman"/>
              </w:rPr>
              <w:t>1</w:t>
            </w:r>
            <w:r>
              <w:t>套</w:t>
            </w:r>
          </w:p>
        </w:tc>
        <w:tc>
          <w:tcPr>
            <w:tcW w:w="3020" w:type="pct"/>
            <w:tcBorders>
              <w:tl2br w:val="nil"/>
              <w:tr2bl w:val="nil"/>
            </w:tcBorders>
            <w:vAlign w:val="center"/>
          </w:tcPr>
          <w:p w14:paraId="40FE344D" w14:textId="77777777" w:rsidR="002E474C" w:rsidRDefault="00000000">
            <w:pPr>
              <w:pStyle w:val="A-"/>
            </w:pPr>
            <w:r>
              <w:t>废水收集池，通过液态危废处置系统入水泥窑焚烧。</w:t>
            </w:r>
          </w:p>
        </w:tc>
        <w:tc>
          <w:tcPr>
            <w:tcW w:w="612" w:type="pct"/>
            <w:tcBorders>
              <w:tl2br w:val="nil"/>
              <w:tr2bl w:val="nil"/>
            </w:tcBorders>
            <w:vAlign w:val="center"/>
          </w:tcPr>
          <w:p w14:paraId="73293587" w14:textId="77777777" w:rsidR="002E474C" w:rsidRDefault="00000000">
            <w:pPr>
              <w:pStyle w:val="A-"/>
            </w:pPr>
            <w:r>
              <w:t>3</w:t>
            </w:r>
          </w:p>
        </w:tc>
      </w:tr>
      <w:tr w:rsidR="002E474C" w14:paraId="4757F61E" w14:textId="77777777">
        <w:trPr>
          <w:jc w:val="center"/>
        </w:trPr>
        <w:tc>
          <w:tcPr>
            <w:tcW w:w="278" w:type="pct"/>
            <w:tcBorders>
              <w:tl2br w:val="nil"/>
              <w:tr2bl w:val="nil"/>
            </w:tcBorders>
            <w:vAlign w:val="center"/>
          </w:tcPr>
          <w:p w14:paraId="44559204" w14:textId="77777777" w:rsidR="002E474C" w:rsidRDefault="00000000">
            <w:pPr>
              <w:pStyle w:val="A-"/>
            </w:pPr>
            <w:r>
              <w:t>2</w:t>
            </w:r>
          </w:p>
        </w:tc>
        <w:tc>
          <w:tcPr>
            <w:tcW w:w="749" w:type="pct"/>
            <w:gridSpan w:val="2"/>
            <w:tcBorders>
              <w:tl2br w:val="nil"/>
              <w:tr2bl w:val="nil"/>
            </w:tcBorders>
            <w:vAlign w:val="center"/>
          </w:tcPr>
          <w:p w14:paraId="21CF70EE" w14:textId="77777777" w:rsidR="002E474C" w:rsidRDefault="00000000">
            <w:pPr>
              <w:pStyle w:val="A-"/>
            </w:pPr>
            <w:r>
              <w:t>初期雨水池</w:t>
            </w:r>
          </w:p>
        </w:tc>
        <w:tc>
          <w:tcPr>
            <w:tcW w:w="341" w:type="pct"/>
            <w:tcBorders>
              <w:tl2br w:val="nil"/>
              <w:tr2bl w:val="nil"/>
            </w:tcBorders>
            <w:vAlign w:val="center"/>
          </w:tcPr>
          <w:p w14:paraId="2E2C2D42" w14:textId="77777777" w:rsidR="002E474C" w:rsidRDefault="00000000">
            <w:pPr>
              <w:pStyle w:val="A-"/>
            </w:pPr>
            <w:r>
              <w:t>1</w:t>
            </w:r>
            <w:r>
              <w:t>座</w:t>
            </w:r>
          </w:p>
        </w:tc>
        <w:tc>
          <w:tcPr>
            <w:tcW w:w="3020" w:type="pct"/>
            <w:tcBorders>
              <w:tl2br w:val="nil"/>
              <w:tr2bl w:val="nil"/>
            </w:tcBorders>
            <w:vAlign w:val="center"/>
          </w:tcPr>
          <w:p w14:paraId="6FD10BCC" w14:textId="77777777" w:rsidR="002E474C" w:rsidRDefault="00000000">
            <w:pPr>
              <w:pStyle w:val="A-"/>
            </w:pPr>
            <w:r>
              <w:t>初期雨水池</w:t>
            </w:r>
            <w:r>
              <w:t>21m</w:t>
            </w:r>
            <w:r>
              <w:rPr>
                <w:vertAlign w:val="superscript"/>
              </w:rPr>
              <w:t>3</w:t>
            </w:r>
            <w:r>
              <w:t>及收集管网</w:t>
            </w:r>
          </w:p>
        </w:tc>
        <w:tc>
          <w:tcPr>
            <w:tcW w:w="612" w:type="pct"/>
            <w:tcBorders>
              <w:tl2br w:val="nil"/>
              <w:tr2bl w:val="nil"/>
            </w:tcBorders>
            <w:vAlign w:val="center"/>
          </w:tcPr>
          <w:p w14:paraId="41BE949C" w14:textId="77777777" w:rsidR="002E474C" w:rsidRDefault="00000000">
            <w:pPr>
              <w:pStyle w:val="A-"/>
            </w:pPr>
            <w:r>
              <w:t>20</w:t>
            </w:r>
          </w:p>
        </w:tc>
      </w:tr>
      <w:tr w:rsidR="002E474C" w14:paraId="3A139352" w14:textId="77777777">
        <w:trPr>
          <w:jc w:val="center"/>
        </w:trPr>
        <w:tc>
          <w:tcPr>
            <w:tcW w:w="278" w:type="pct"/>
            <w:tcBorders>
              <w:tl2br w:val="nil"/>
              <w:tr2bl w:val="nil"/>
            </w:tcBorders>
            <w:vAlign w:val="center"/>
          </w:tcPr>
          <w:p w14:paraId="1489C7C0" w14:textId="77777777" w:rsidR="002E474C" w:rsidRDefault="00000000">
            <w:pPr>
              <w:pStyle w:val="A-"/>
              <w:rPr>
                <w:rFonts w:eastAsiaTheme="minorEastAsia"/>
              </w:rPr>
            </w:pPr>
            <w:r>
              <w:t>三</w:t>
            </w:r>
          </w:p>
        </w:tc>
        <w:tc>
          <w:tcPr>
            <w:tcW w:w="4110" w:type="pct"/>
            <w:gridSpan w:val="4"/>
            <w:tcBorders>
              <w:tl2br w:val="nil"/>
              <w:tr2bl w:val="nil"/>
            </w:tcBorders>
            <w:vAlign w:val="center"/>
          </w:tcPr>
          <w:p w14:paraId="04C0C4FB" w14:textId="77777777" w:rsidR="002E474C" w:rsidRDefault="00000000">
            <w:pPr>
              <w:pStyle w:val="A-"/>
            </w:pPr>
            <w:r>
              <w:t>地下水污染防范措施</w:t>
            </w:r>
          </w:p>
        </w:tc>
        <w:tc>
          <w:tcPr>
            <w:tcW w:w="612" w:type="pct"/>
            <w:tcBorders>
              <w:tl2br w:val="nil"/>
              <w:tr2bl w:val="nil"/>
            </w:tcBorders>
            <w:vAlign w:val="center"/>
          </w:tcPr>
          <w:p w14:paraId="72517572" w14:textId="77777777" w:rsidR="002E474C" w:rsidRDefault="00000000">
            <w:pPr>
              <w:pStyle w:val="A-"/>
            </w:pPr>
            <w:r>
              <w:t>100</w:t>
            </w:r>
          </w:p>
        </w:tc>
      </w:tr>
      <w:tr w:rsidR="002E474C" w14:paraId="0B0859CA" w14:textId="77777777">
        <w:trPr>
          <w:jc w:val="center"/>
        </w:trPr>
        <w:tc>
          <w:tcPr>
            <w:tcW w:w="278" w:type="pct"/>
            <w:tcBorders>
              <w:tl2br w:val="nil"/>
              <w:tr2bl w:val="nil"/>
            </w:tcBorders>
            <w:vAlign w:val="center"/>
          </w:tcPr>
          <w:p w14:paraId="1C0782D7" w14:textId="77777777" w:rsidR="002E474C" w:rsidRDefault="00000000">
            <w:pPr>
              <w:pStyle w:val="A-"/>
            </w:pPr>
            <w:r>
              <w:t>1</w:t>
            </w:r>
          </w:p>
        </w:tc>
        <w:tc>
          <w:tcPr>
            <w:tcW w:w="749" w:type="pct"/>
            <w:gridSpan w:val="2"/>
            <w:tcBorders>
              <w:tl2br w:val="nil"/>
              <w:tr2bl w:val="nil"/>
            </w:tcBorders>
            <w:vAlign w:val="center"/>
          </w:tcPr>
          <w:p w14:paraId="6733219C" w14:textId="77777777" w:rsidR="002E474C" w:rsidRDefault="00000000">
            <w:pPr>
              <w:pStyle w:val="A-"/>
            </w:pPr>
            <w:r>
              <w:t>分区防渗</w:t>
            </w:r>
          </w:p>
        </w:tc>
        <w:tc>
          <w:tcPr>
            <w:tcW w:w="341" w:type="pct"/>
            <w:tcBorders>
              <w:tl2br w:val="nil"/>
              <w:tr2bl w:val="nil"/>
            </w:tcBorders>
            <w:vAlign w:val="center"/>
          </w:tcPr>
          <w:p w14:paraId="2F9D3DA8" w14:textId="77777777" w:rsidR="002E474C" w:rsidRDefault="00000000">
            <w:pPr>
              <w:pStyle w:val="A-"/>
              <w:rPr>
                <w:rFonts w:eastAsiaTheme="minorEastAsia"/>
              </w:rPr>
            </w:pPr>
            <w:r>
              <w:t>/</w:t>
            </w:r>
          </w:p>
        </w:tc>
        <w:tc>
          <w:tcPr>
            <w:tcW w:w="3020" w:type="pct"/>
            <w:tcBorders>
              <w:tl2br w:val="nil"/>
              <w:tr2bl w:val="nil"/>
            </w:tcBorders>
            <w:vAlign w:val="center"/>
          </w:tcPr>
          <w:p w14:paraId="3E5323A8" w14:textId="77777777" w:rsidR="002E474C" w:rsidRDefault="00000000">
            <w:pPr>
              <w:pStyle w:val="A-"/>
            </w:pPr>
            <w:r>
              <w:t>项目区分区防渗。严格按照《危险废物贮存污染控制标准》（</w:t>
            </w:r>
            <w:r>
              <w:t>GB18597-2023</w:t>
            </w:r>
            <w:r>
              <w:t>）的要求做好防腐、防渗措施。</w:t>
            </w:r>
          </w:p>
        </w:tc>
        <w:tc>
          <w:tcPr>
            <w:tcW w:w="612" w:type="pct"/>
            <w:tcBorders>
              <w:tl2br w:val="nil"/>
              <w:tr2bl w:val="nil"/>
            </w:tcBorders>
            <w:vAlign w:val="center"/>
          </w:tcPr>
          <w:p w14:paraId="168BC4C4" w14:textId="77777777" w:rsidR="002E474C" w:rsidRDefault="00000000">
            <w:pPr>
              <w:pStyle w:val="A-"/>
            </w:pPr>
            <w:r>
              <w:t>100</w:t>
            </w:r>
          </w:p>
        </w:tc>
      </w:tr>
      <w:tr w:rsidR="002E474C" w14:paraId="490AEB12" w14:textId="77777777">
        <w:trPr>
          <w:jc w:val="center"/>
        </w:trPr>
        <w:tc>
          <w:tcPr>
            <w:tcW w:w="278" w:type="pct"/>
            <w:tcBorders>
              <w:tl2br w:val="nil"/>
              <w:tr2bl w:val="nil"/>
            </w:tcBorders>
            <w:vAlign w:val="center"/>
          </w:tcPr>
          <w:p w14:paraId="5A6951E7" w14:textId="77777777" w:rsidR="002E474C" w:rsidRDefault="00000000">
            <w:pPr>
              <w:pStyle w:val="A-"/>
            </w:pPr>
            <w:r>
              <w:t>2</w:t>
            </w:r>
          </w:p>
        </w:tc>
        <w:tc>
          <w:tcPr>
            <w:tcW w:w="749" w:type="pct"/>
            <w:gridSpan w:val="2"/>
            <w:tcBorders>
              <w:tl2br w:val="nil"/>
              <w:tr2bl w:val="nil"/>
            </w:tcBorders>
            <w:vAlign w:val="center"/>
          </w:tcPr>
          <w:p w14:paraId="1577FB9D" w14:textId="77777777" w:rsidR="002E474C" w:rsidRDefault="00000000">
            <w:pPr>
              <w:pStyle w:val="A-"/>
            </w:pPr>
            <w:r>
              <w:t>地下水</w:t>
            </w:r>
          </w:p>
          <w:p w14:paraId="36FC70B4" w14:textId="77777777" w:rsidR="002E474C" w:rsidRDefault="00000000">
            <w:pPr>
              <w:pStyle w:val="A-"/>
            </w:pPr>
            <w:r>
              <w:t>监控措施</w:t>
            </w:r>
          </w:p>
        </w:tc>
        <w:tc>
          <w:tcPr>
            <w:tcW w:w="341" w:type="pct"/>
            <w:tcBorders>
              <w:tl2br w:val="nil"/>
              <w:tr2bl w:val="nil"/>
            </w:tcBorders>
            <w:vAlign w:val="center"/>
          </w:tcPr>
          <w:p w14:paraId="0D7C8BDA" w14:textId="77777777" w:rsidR="002E474C" w:rsidRDefault="00000000">
            <w:pPr>
              <w:pStyle w:val="A-"/>
            </w:pPr>
            <w:r>
              <w:t>/</w:t>
            </w:r>
          </w:p>
        </w:tc>
        <w:tc>
          <w:tcPr>
            <w:tcW w:w="3020" w:type="pct"/>
            <w:tcBorders>
              <w:tl2br w:val="nil"/>
              <w:tr2bl w:val="nil"/>
            </w:tcBorders>
            <w:vAlign w:val="center"/>
          </w:tcPr>
          <w:p w14:paraId="7E0DD13B" w14:textId="77777777" w:rsidR="002E474C" w:rsidRDefault="00000000">
            <w:pPr>
              <w:pStyle w:val="A-"/>
            </w:pPr>
            <w:r>
              <w:t>为确保不发生地下水污染事故，利用项目</w:t>
            </w:r>
            <w:r>
              <w:rPr>
                <w:rFonts w:hint="eastAsia"/>
              </w:rPr>
              <w:t>区</w:t>
            </w:r>
            <w:r>
              <w:t>周边</w:t>
            </w:r>
            <w:r>
              <w:t>3</w:t>
            </w:r>
            <w:r>
              <w:t>个地下水监测井（在厂区上游区设置</w:t>
            </w:r>
            <w:r>
              <w:t>1</w:t>
            </w:r>
            <w:r>
              <w:t>个背景点；在厂区侧向及下游分别布设</w:t>
            </w:r>
            <w:r>
              <w:t>1</w:t>
            </w:r>
            <w:r>
              <w:t>个污染扩散监控井）</w:t>
            </w:r>
            <w:r>
              <w:rPr>
                <w:rFonts w:hint="eastAsia"/>
              </w:rPr>
              <w:t>进行地下水水质监控</w:t>
            </w:r>
            <w:r>
              <w:t>。</w:t>
            </w:r>
          </w:p>
        </w:tc>
        <w:tc>
          <w:tcPr>
            <w:tcW w:w="612" w:type="pct"/>
            <w:tcBorders>
              <w:tl2br w:val="nil"/>
              <w:tr2bl w:val="nil"/>
            </w:tcBorders>
            <w:vAlign w:val="center"/>
          </w:tcPr>
          <w:p w14:paraId="7320B69F" w14:textId="77777777" w:rsidR="002E474C" w:rsidRDefault="00000000">
            <w:pPr>
              <w:pStyle w:val="A-"/>
            </w:pPr>
            <w:r>
              <w:t>0</w:t>
            </w:r>
          </w:p>
        </w:tc>
      </w:tr>
      <w:tr w:rsidR="002E474C" w14:paraId="47C02B19" w14:textId="77777777">
        <w:trPr>
          <w:jc w:val="center"/>
        </w:trPr>
        <w:tc>
          <w:tcPr>
            <w:tcW w:w="278" w:type="pct"/>
            <w:tcBorders>
              <w:tl2br w:val="nil"/>
              <w:tr2bl w:val="nil"/>
            </w:tcBorders>
            <w:vAlign w:val="center"/>
          </w:tcPr>
          <w:p w14:paraId="42E8EE60" w14:textId="77777777" w:rsidR="002E474C" w:rsidRDefault="00000000">
            <w:pPr>
              <w:pStyle w:val="A-"/>
            </w:pPr>
            <w:r>
              <w:t>四</w:t>
            </w:r>
          </w:p>
        </w:tc>
        <w:tc>
          <w:tcPr>
            <w:tcW w:w="749" w:type="pct"/>
            <w:gridSpan w:val="2"/>
            <w:tcBorders>
              <w:tl2br w:val="nil"/>
              <w:tr2bl w:val="nil"/>
            </w:tcBorders>
            <w:vAlign w:val="center"/>
          </w:tcPr>
          <w:p w14:paraId="7D0DB4BC" w14:textId="77777777" w:rsidR="002E474C" w:rsidRDefault="00000000">
            <w:pPr>
              <w:pStyle w:val="A-"/>
            </w:pPr>
            <w:r>
              <w:t>固体废物</w:t>
            </w:r>
          </w:p>
          <w:p w14:paraId="11DB84AA" w14:textId="77777777" w:rsidR="002E474C" w:rsidRDefault="00000000">
            <w:pPr>
              <w:pStyle w:val="A-"/>
            </w:pPr>
            <w:r>
              <w:t>处置</w:t>
            </w:r>
          </w:p>
        </w:tc>
        <w:tc>
          <w:tcPr>
            <w:tcW w:w="341" w:type="pct"/>
            <w:tcBorders>
              <w:tl2br w:val="nil"/>
              <w:tr2bl w:val="nil"/>
            </w:tcBorders>
            <w:vAlign w:val="center"/>
          </w:tcPr>
          <w:p w14:paraId="2D7D24AF" w14:textId="77777777" w:rsidR="002E474C" w:rsidRDefault="00000000">
            <w:pPr>
              <w:pStyle w:val="A-"/>
            </w:pPr>
            <w:r>
              <w:t>/</w:t>
            </w:r>
          </w:p>
        </w:tc>
        <w:tc>
          <w:tcPr>
            <w:tcW w:w="3020" w:type="pct"/>
            <w:tcBorders>
              <w:tl2br w:val="nil"/>
              <w:tr2bl w:val="nil"/>
            </w:tcBorders>
            <w:vAlign w:val="center"/>
          </w:tcPr>
          <w:p w14:paraId="34F50685" w14:textId="77777777" w:rsidR="002E474C" w:rsidRDefault="00000000">
            <w:pPr>
              <w:pStyle w:val="A-"/>
            </w:pPr>
            <w:r>
              <w:t>运行</w:t>
            </w:r>
            <w:r>
              <w:rPr>
                <w:spacing w:val="7"/>
              </w:rPr>
              <w:t>产生</w:t>
            </w:r>
            <w:r>
              <w:rPr>
                <w:spacing w:val="9"/>
              </w:rPr>
              <w:t>固</w:t>
            </w:r>
            <w:r>
              <w:rPr>
                <w:spacing w:val="7"/>
              </w:rPr>
              <w:t>废均</w:t>
            </w:r>
            <w:r>
              <w:rPr>
                <w:spacing w:val="9"/>
              </w:rPr>
              <w:t>按</w:t>
            </w:r>
            <w:r>
              <w:rPr>
                <w:spacing w:val="7"/>
              </w:rPr>
              <w:t>照</w:t>
            </w:r>
            <w:r>
              <w:rPr>
                <w:spacing w:val="9"/>
              </w:rPr>
              <w:t>危</w:t>
            </w:r>
            <w:r>
              <w:rPr>
                <w:spacing w:val="7"/>
              </w:rPr>
              <w:t>险废物进</w:t>
            </w:r>
            <w:r>
              <w:rPr>
                <w:spacing w:val="9"/>
              </w:rPr>
              <w:t>行</w:t>
            </w:r>
            <w:r>
              <w:rPr>
                <w:spacing w:val="7"/>
              </w:rPr>
              <w:t>管理</w:t>
            </w:r>
            <w:r>
              <w:t>和</w:t>
            </w:r>
            <w:r>
              <w:rPr>
                <w:position w:val="-2"/>
              </w:rPr>
              <w:t>处置</w:t>
            </w:r>
            <w:r>
              <w:rPr>
                <w:spacing w:val="-12"/>
                <w:position w:val="-2"/>
              </w:rPr>
              <w:t>，</w:t>
            </w:r>
            <w:r>
              <w:rPr>
                <w:position w:val="-2"/>
              </w:rPr>
              <w:t>投入水泥窑焚烧</w:t>
            </w:r>
            <w:r>
              <w:rPr>
                <w:spacing w:val="-12"/>
                <w:position w:val="-2"/>
              </w:rPr>
              <w:t>；</w:t>
            </w:r>
            <w:r>
              <w:rPr>
                <w:position w:val="-2"/>
              </w:rPr>
              <w:t>生</w:t>
            </w:r>
            <w:r>
              <w:rPr>
                <w:spacing w:val="2"/>
                <w:position w:val="-2"/>
              </w:rPr>
              <w:t>活</w:t>
            </w:r>
            <w:r>
              <w:rPr>
                <w:position w:val="-2"/>
              </w:rPr>
              <w:t>垃</w:t>
            </w:r>
            <w:r>
              <w:rPr>
                <w:spacing w:val="1"/>
                <w:position w:val="-2"/>
              </w:rPr>
              <w:t>圾运至</w:t>
            </w:r>
            <w:r>
              <w:t>圣雄股份公司垃圾场处理。</w:t>
            </w:r>
          </w:p>
        </w:tc>
        <w:tc>
          <w:tcPr>
            <w:tcW w:w="612" w:type="pct"/>
            <w:tcBorders>
              <w:tl2br w:val="nil"/>
              <w:tr2bl w:val="nil"/>
            </w:tcBorders>
            <w:vAlign w:val="center"/>
          </w:tcPr>
          <w:p w14:paraId="3707F7F4" w14:textId="77777777" w:rsidR="002E474C" w:rsidRDefault="00000000">
            <w:pPr>
              <w:pStyle w:val="A-"/>
            </w:pPr>
            <w:r>
              <w:t>1</w:t>
            </w:r>
          </w:p>
        </w:tc>
      </w:tr>
      <w:tr w:rsidR="002E474C" w14:paraId="580BAC95" w14:textId="77777777">
        <w:trPr>
          <w:jc w:val="center"/>
        </w:trPr>
        <w:tc>
          <w:tcPr>
            <w:tcW w:w="278" w:type="pct"/>
            <w:tcBorders>
              <w:tl2br w:val="nil"/>
              <w:tr2bl w:val="nil"/>
            </w:tcBorders>
            <w:vAlign w:val="center"/>
          </w:tcPr>
          <w:p w14:paraId="324247A8" w14:textId="77777777" w:rsidR="002E474C" w:rsidRDefault="00000000">
            <w:pPr>
              <w:pStyle w:val="A-"/>
            </w:pPr>
            <w:r>
              <w:t>五</w:t>
            </w:r>
          </w:p>
        </w:tc>
        <w:tc>
          <w:tcPr>
            <w:tcW w:w="749" w:type="pct"/>
            <w:gridSpan w:val="2"/>
            <w:tcBorders>
              <w:tl2br w:val="nil"/>
              <w:tr2bl w:val="nil"/>
            </w:tcBorders>
            <w:vAlign w:val="center"/>
          </w:tcPr>
          <w:p w14:paraId="33C3CF40" w14:textId="77777777" w:rsidR="002E474C" w:rsidRDefault="00000000">
            <w:pPr>
              <w:pStyle w:val="A-"/>
            </w:pPr>
            <w:r>
              <w:t>噪声控制</w:t>
            </w:r>
          </w:p>
        </w:tc>
        <w:tc>
          <w:tcPr>
            <w:tcW w:w="341" w:type="pct"/>
            <w:tcBorders>
              <w:tl2br w:val="nil"/>
              <w:tr2bl w:val="nil"/>
            </w:tcBorders>
            <w:vAlign w:val="center"/>
          </w:tcPr>
          <w:p w14:paraId="79F28E35" w14:textId="77777777" w:rsidR="002E474C" w:rsidRDefault="00000000">
            <w:pPr>
              <w:pStyle w:val="A-"/>
            </w:pPr>
            <w:r>
              <w:t>/</w:t>
            </w:r>
          </w:p>
        </w:tc>
        <w:tc>
          <w:tcPr>
            <w:tcW w:w="3020" w:type="pct"/>
            <w:tcBorders>
              <w:tl2br w:val="nil"/>
              <w:tr2bl w:val="nil"/>
            </w:tcBorders>
            <w:vAlign w:val="center"/>
          </w:tcPr>
          <w:p w14:paraId="69467DCA" w14:textId="77777777" w:rsidR="002E474C" w:rsidRDefault="00000000">
            <w:pPr>
              <w:pStyle w:val="A-"/>
            </w:pPr>
            <w:r>
              <w:t>主要声源隔声、减振等措施</w:t>
            </w:r>
          </w:p>
        </w:tc>
        <w:tc>
          <w:tcPr>
            <w:tcW w:w="612" w:type="pct"/>
            <w:tcBorders>
              <w:tl2br w:val="nil"/>
              <w:tr2bl w:val="nil"/>
            </w:tcBorders>
            <w:vAlign w:val="center"/>
          </w:tcPr>
          <w:p w14:paraId="50549602" w14:textId="77777777" w:rsidR="002E474C" w:rsidRDefault="00000000">
            <w:pPr>
              <w:pStyle w:val="A-"/>
            </w:pPr>
            <w:r>
              <w:t>10</w:t>
            </w:r>
          </w:p>
        </w:tc>
      </w:tr>
      <w:tr w:rsidR="002E474C" w14:paraId="68E6048F" w14:textId="77777777">
        <w:trPr>
          <w:jc w:val="center"/>
        </w:trPr>
        <w:tc>
          <w:tcPr>
            <w:tcW w:w="278" w:type="pct"/>
            <w:tcBorders>
              <w:tl2br w:val="nil"/>
              <w:tr2bl w:val="nil"/>
            </w:tcBorders>
            <w:vAlign w:val="center"/>
          </w:tcPr>
          <w:p w14:paraId="52E8B282" w14:textId="77777777" w:rsidR="002E474C" w:rsidRDefault="00000000">
            <w:pPr>
              <w:pStyle w:val="A-"/>
            </w:pPr>
            <w:r>
              <w:t>六</w:t>
            </w:r>
          </w:p>
        </w:tc>
        <w:tc>
          <w:tcPr>
            <w:tcW w:w="4110" w:type="pct"/>
            <w:gridSpan w:val="4"/>
            <w:tcBorders>
              <w:tl2br w:val="nil"/>
              <w:tr2bl w:val="nil"/>
            </w:tcBorders>
            <w:vAlign w:val="center"/>
          </w:tcPr>
          <w:p w14:paraId="44151206" w14:textId="77777777" w:rsidR="002E474C" w:rsidRDefault="00000000">
            <w:pPr>
              <w:pStyle w:val="A-"/>
              <w:rPr>
                <w:rFonts w:eastAsia="Times New Roman"/>
              </w:rPr>
            </w:pPr>
            <w:r>
              <w:t>事故防范应急措施</w:t>
            </w:r>
          </w:p>
        </w:tc>
        <w:tc>
          <w:tcPr>
            <w:tcW w:w="612" w:type="pct"/>
            <w:tcBorders>
              <w:tl2br w:val="nil"/>
              <w:tr2bl w:val="nil"/>
            </w:tcBorders>
            <w:vAlign w:val="center"/>
          </w:tcPr>
          <w:p w14:paraId="77614020" w14:textId="77777777" w:rsidR="002E474C" w:rsidRDefault="00000000">
            <w:pPr>
              <w:pStyle w:val="A-"/>
            </w:pPr>
            <w:r>
              <w:t>39</w:t>
            </w:r>
          </w:p>
        </w:tc>
      </w:tr>
      <w:tr w:rsidR="002E474C" w14:paraId="55AE8C90" w14:textId="77777777">
        <w:trPr>
          <w:jc w:val="center"/>
        </w:trPr>
        <w:tc>
          <w:tcPr>
            <w:tcW w:w="278" w:type="pct"/>
            <w:tcBorders>
              <w:tl2br w:val="nil"/>
              <w:tr2bl w:val="nil"/>
            </w:tcBorders>
            <w:vAlign w:val="center"/>
          </w:tcPr>
          <w:p w14:paraId="5B49C261" w14:textId="77777777" w:rsidR="002E474C" w:rsidRDefault="00000000">
            <w:pPr>
              <w:pStyle w:val="A-"/>
            </w:pPr>
            <w:r>
              <w:t>1</w:t>
            </w:r>
          </w:p>
        </w:tc>
        <w:tc>
          <w:tcPr>
            <w:tcW w:w="749" w:type="pct"/>
            <w:gridSpan w:val="2"/>
            <w:vMerge w:val="restart"/>
            <w:tcBorders>
              <w:tl2br w:val="nil"/>
              <w:tr2bl w:val="nil"/>
            </w:tcBorders>
            <w:vAlign w:val="center"/>
          </w:tcPr>
          <w:p w14:paraId="37B2FAAD" w14:textId="77777777" w:rsidR="002E474C" w:rsidRDefault="00000000">
            <w:pPr>
              <w:pStyle w:val="A-"/>
            </w:pPr>
            <w:r>
              <w:t>事故应急</w:t>
            </w:r>
          </w:p>
          <w:p w14:paraId="684786DA" w14:textId="77777777" w:rsidR="002E474C" w:rsidRDefault="00000000">
            <w:pPr>
              <w:pStyle w:val="A-"/>
            </w:pPr>
            <w:r>
              <w:t>措施</w:t>
            </w:r>
          </w:p>
        </w:tc>
        <w:tc>
          <w:tcPr>
            <w:tcW w:w="341" w:type="pct"/>
            <w:tcBorders>
              <w:tl2br w:val="nil"/>
              <w:tr2bl w:val="nil"/>
            </w:tcBorders>
            <w:vAlign w:val="center"/>
          </w:tcPr>
          <w:p w14:paraId="1B0D4864" w14:textId="77777777" w:rsidR="002E474C" w:rsidRDefault="00000000">
            <w:pPr>
              <w:pStyle w:val="A-"/>
            </w:pPr>
            <w:r>
              <w:t>1</w:t>
            </w:r>
            <w:r>
              <w:t>座</w:t>
            </w:r>
          </w:p>
        </w:tc>
        <w:tc>
          <w:tcPr>
            <w:tcW w:w="3020" w:type="pct"/>
            <w:tcBorders>
              <w:tl2br w:val="nil"/>
              <w:tr2bl w:val="nil"/>
            </w:tcBorders>
            <w:vAlign w:val="center"/>
          </w:tcPr>
          <w:p w14:paraId="679EED15" w14:textId="77777777" w:rsidR="002E474C" w:rsidRDefault="00000000">
            <w:pPr>
              <w:pStyle w:val="A-"/>
            </w:pPr>
            <w:r>
              <w:t>厂区内设</w:t>
            </w:r>
            <w:r>
              <w:t>1</w:t>
            </w:r>
            <w:r>
              <w:t>座</w:t>
            </w:r>
            <w:r>
              <w:t>200m</w:t>
            </w:r>
            <w:r>
              <w:rPr>
                <w:vertAlign w:val="superscript"/>
              </w:rPr>
              <w:t>3</w:t>
            </w:r>
            <w:r>
              <w:t>应急事故池</w:t>
            </w:r>
          </w:p>
        </w:tc>
        <w:tc>
          <w:tcPr>
            <w:tcW w:w="612" w:type="pct"/>
            <w:tcBorders>
              <w:tl2br w:val="nil"/>
              <w:tr2bl w:val="nil"/>
            </w:tcBorders>
            <w:vAlign w:val="center"/>
          </w:tcPr>
          <w:p w14:paraId="56FA26C7" w14:textId="77777777" w:rsidR="002E474C" w:rsidRDefault="00000000">
            <w:pPr>
              <w:pStyle w:val="A-"/>
            </w:pPr>
            <w:r>
              <w:t>30</w:t>
            </w:r>
          </w:p>
        </w:tc>
      </w:tr>
      <w:tr w:rsidR="002E474C" w14:paraId="1EB33B91" w14:textId="77777777">
        <w:trPr>
          <w:jc w:val="center"/>
        </w:trPr>
        <w:tc>
          <w:tcPr>
            <w:tcW w:w="278" w:type="pct"/>
            <w:tcBorders>
              <w:tl2br w:val="nil"/>
              <w:tr2bl w:val="nil"/>
            </w:tcBorders>
            <w:vAlign w:val="center"/>
          </w:tcPr>
          <w:p w14:paraId="24535C36" w14:textId="77777777" w:rsidR="002E474C" w:rsidRDefault="00000000">
            <w:pPr>
              <w:pStyle w:val="A-"/>
            </w:pPr>
            <w:r>
              <w:t>2</w:t>
            </w:r>
          </w:p>
        </w:tc>
        <w:tc>
          <w:tcPr>
            <w:tcW w:w="749" w:type="pct"/>
            <w:gridSpan w:val="2"/>
            <w:vMerge/>
            <w:tcBorders>
              <w:tl2br w:val="nil"/>
              <w:tr2bl w:val="nil"/>
            </w:tcBorders>
            <w:vAlign w:val="center"/>
          </w:tcPr>
          <w:p w14:paraId="2D054CAC" w14:textId="77777777" w:rsidR="002E474C" w:rsidRDefault="002E474C">
            <w:pPr>
              <w:pStyle w:val="A-"/>
            </w:pPr>
          </w:p>
        </w:tc>
        <w:tc>
          <w:tcPr>
            <w:tcW w:w="341" w:type="pct"/>
            <w:tcBorders>
              <w:tl2br w:val="nil"/>
              <w:tr2bl w:val="nil"/>
            </w:tcBorders>
            <w:vAlign w:val="center"/>
          </w:tcPr>
          <w:p w14:paraId="3F5B4025" w14:textId="77777777" w:rsidR="002E474C" w:rsidRDefault="00000000">
            <w:pPr>
              <w:pStyle w:val="A-"/>
            </w:pPr>
            <w:r>
              <w:t>2</w:t>
            </w:r>
            <w:r>
              <w:t>座</w:t>
            </w:r>
          </w:p>
        </w:tc>
        <w:tc>
          <w:tcPr>
            <w:tcW w:w="3020" w:type="pct"/>
            <w:tcBorders>
              <w:tl2br w:val="nil"/>
              <w:tr2bl w:val="nil"/>
            </w:tcBorders>
            <w:vAlign w:val="center"/>
          </w:tcPr>
          <w:p w14:paraId="2AB8A73B" w14:textId="77777777" w:rsidR="002E474C" w:rsidRDefault="00000000">
            <w:pPr>
              <w:pStyle w:val="A-"/>
            </w:pPr>
            <w:r>
              <w:t>危废贮存库和液态处置车间各设</w:t>
            </w:r>
            <w:r>
              <w:t>1</w:t>
            </w:r>
            <w:r>
              <w:t>座</w:t>
            </w:r>
            <w:r>
              <w:t>1m³</w:t>
            </w:r>
            <w:r>
              <w:t>集液池</w:t>
            </w:r>
          </w:p>
        </w:tc>
        <w:tc>
          <w:tcPr>
            <w:tcW w:w="612" w:type="pct"/>
            <w:tcBorders>
              <w:tl2br w:val="nil"/>
              <w:tr2bl w:val="nil"/>
            </w:tcBorders>
            <w:vAlign w:val="center"/>
          </w:tcPr>
          <w:p w14:paraId="08F44978" w14:textId="77777777" w:rsidR="002E474C" w:rsidRDefault="00000000">
            <w:pPr>
              <w:pStyle w:val="A-"/>
            </w:pPr>
            <w:r>
              <w:t>2</w:t>
            </w:r>
          </w:p>
        </w:tc>
      </w:tr>
      <w:tr w:rsidR="002E474C" w14:paraId="3F19AD52" w14:textId="77777777">
        <w:trPr>
          <w:jc w:val="center"/>
        </w:trPr>
        <w:tc>
          <w:tcPr>
            <w:tcW w:w="278" w:type="pct"/>
            <w:tcBorders>
              <w:tl2br w:val="nil"/>
              <w:tr2bl w:val="nil"/>
            </w:tcBorders>
            <w:vAlign w:val="center"/>
          </w:tcPr>
          <w:p w14:paraId="5D00DB47" w14:textId="77777777" w:rsidR="002E474C" w:rsidRDefault="00000000">
            <w:pPr>
              <w:pStyle w:val="A-"/>
            </w:pPr>
            <w:r>
              <w:t>3</w:t>
            </w:r>
          </w:p>
        </w:tc>
        <w:tc>
          <w:tcPr>
            <w:tcW w:w="749" w:type="pct"/>
            <w:gridSpan w:val="2"/>
            <w:tcBorders>
              <w:tl2br w:val="nil"/>
              <w:tr2bl w:val="nil"/>
            </w:tcBorders>
            <w:vAlign w:val="center"/>
          </w:tcPr>
          <w:p w14:paraId="04E91614" w14:textId="77777777" w:rsidR="002E474C" w:rsidRDefault="00000000">
            <w:pPr>
              <w:pStyle w:val="A-"/>
            </w:pPr>
            <w:r>
              <w:t>应急设施及装备</w:t>
            </w:r>
          </w:p>
        </w:tc>
        <w:tc>
          <w:tcPr>
            <w:tcW w:w="341" w:type="pct"/>
            <w:tcBorders>
              <w:tl2br w:val="nil"/>
              <w:tr2bl w:val="nil"/>
            </w:tcBorders>
            <w:vAlign w:val="center"/>
          </w:tcPr>
          <w:p w14:paraId="7D00A43A" w14:textId="77777777" w:rsidR="002E474C" w:rsidRDefault="00000000">
            <w:pPr>
              <w:pStyle w:val="A-"/>
            </w:pPr>
            <w:r>
              <w:t>/</w:t>
            </w:r>
          </w:p>
        </w:tc>
        <w:tc>
          <w:tcPr>
            <w:tcW w:w="3020" w:type="pct"/>
            <w:tcBorders>
              <w:tl2br w:val="nil"/>
              <w:tr2bl w:val="nil"/>
            </w:tcBorders>
            <w:vAlign w:val="center"/>
          </w:tcPr>
          <w:p w14:paraId="1CA9304C" w14:textId="77777777" w:rsidR="002E474C" w:rsidRDefault="00000000">
            <w:pPr>
              <w:pStyle w:val="A-"/>
            </w:pPr>
            <w:r>
              <w:t>配备相关应急装备和消防器材等</w:t>
            </w:r>
          </w:p>
        </w:tc>
        <w:tc>
          <w:tcPr>
            <w:tcW w:w="612" w:type="pct"/>
            <w:tcBorders>
              <w:tl2br w:val="nil"/>
              <w:tr2bl w:val="nil"/>
            </w:tcBorders>
            <w:vAlign w:val="center"/>
          </w:tcPr>
          <w:p w14:paraId="21AE8464" w14:textId="77777777" w:rsidR="002E474C" w:rsidRDefault="00000000">
            <w:pPr>
              <w:pStyle w:val="A-"/>
            </w:pPr>
            <w:r>
              <w:t>7</w:t>
            </w:r>
          </w:p>
        </w:tc>
      </w:tr>
      <w:tr w:rsidR="002E474C" w14:paraId="7BBCBB0D" w14:textId="77777777">
        <w:trPr>
          <w:jc w:val="center"/>
        </w:trPr>
        <w:tc>
          <w:tcPr>
            <w:tcW w:w="278" w:type="pct"/>
            <w:tcBorders>
              <w:tl2br w:val="nil"/>
              <w:tr2bl w:val="nil"/>
            </w:tcBorders>
            <w:vAlign w:val="center"/>
          </w:tcPr>
          <w:p w14:paraId="571AF715" w14:textId="77777777" w:rsidR="002E474C" w:rsidRDefault="00000000">
            <w:pPr>
              <w:pStyle w:val="A-"/>
            </w:pPr>
            <w:r>
              <w:t>七</w:t>
            </w:r>
          </w:p>
        </w:tc>
        <w:tc>
          <w:tcPr>
            <w:tcW w:w="749" w:type="pct"/>
            <w:gridSpan w:val="2"/>
            <w:tcBorders>
              <w:tl2br w:val="nil"/>
              <w:tr2bl w:val="nil"/>
            </w:tcBorders>
            <w:vAlign w:val="center"/>
          </w:tcPr>
          <w:p w14:paraId="4085C7BB" w14:textId="77777777" w:rsidR="002E474C" w:rsidRDefault="00000000">
            <w:pPr>
              <w:pStyle w:val="A-"/>
            </w:pPr>
            <w:r>
              <w:t>环境管理及监测</w:t>
            </w:r>
          </w:p>
        </w:tc>
        <w:tc>
          <w:tcPr>
            <w:tcW w:w="341" w:type="pct"/>
            <w:tcBorders>
              <w:tl2br w:val="nil"/>
              <w:tr2bl w:val="nil"/>
            </w:tcBorders>
            <w:vAlign w:val="center"/>
          </w:tcPr>
          <w:p w14:paraId="674C285F" w14:textId="77777777" w:rsidR="002E474C" w:rsidRDefault="00000000">
            <w:pPr>
              <w:pStyle w:val="A-"/>
            </w:pPr>
            <w:r>
              <w:t>/</w:t>
            </w:r>
          </w:p>
        </w:tc>
        <w:tc>
          <w:tcPr>
            <w:tcW w:w="3020" w:type="pct"/>
            <w:tcBorders>
              <w:tl2br w:val="nil"/>
              <w:tr2bl w:val="nil"/>
            </w:tcBorders>
            <w:vAlign w:val="center"/>
          </w:tcPr>
          <w:p w14:paraId="6FB5C3BD" w14:textId="77777777" w:rsidR="002E474C" w:rsidRDefault="00000000">
            <w:pPr>
              <w:pStyle w:val="A-"/>
            </w:pPr>
            <w:r>
              <w:t>建立环境管理及监测机构</w:t>
            </w:r>
            <w:r>
              <w:rPr>
                <w:spacing w:val="-12"/>
              </w:rPr>
              <w:t>，</w:t>
            </w:r>
            <w:r>
              <w:t>配备监测仪器</w:t>
            </w:r>
            <w:r>
              <w:rPr>
                <w:spacing w:val="-12"/>
              </w:rPr>
              <w:t>、</w:t>
            </w:r>
            <w:r>
              <w:t>按监测计划开展监测</w:t>
            </w:r>
            <w:r>
              <w:rPr>
                <w:spacing w:val="-12"/>
              </w:rPr>
              <w:t>，</w:t>
            </w:r>
            <w:r>
              <w:t>窑尾设置在线监测</w:t>
            </w:r>
            <w:r>
              <w:rPr>
                <w:spacing w:val="-12"/>
              </w:rPr>
              <w:t>，</w:t>
            </w:r>
            <w:r>
              <w:t>开展排污口规范化设置等。</w:t>
            </w:r>
          </w:p>
        </w:tc>
        <w:tc>
          <w:tcPr>
            <w:tcW w:w="612" w:type="pct"/>
            <w:tcBorders>
              <w:tl2br w:val="nil"/>
              <w:tr2bl w:val="nil"/>
            </w:tcBorders>
            <w:vAlign w:val="center"/>
          </w:tcPr>
          <w:p w14:paraId="2B2313D6" w14:textId="77777777" w:rsidR="002E474C" w:rsidRDefault="00000000">
            <w:pPr>
              <w:pStyle w:val="A-"/>
            </w:pPr>
            <w:r>
              <w:t>15</w:t>
            </w:r>
          </w:p>
        </w:tc>
      </w:tr>
      <w:tr w:rsidR="002E474C" w14:paraId="469660D7" w14:textId="77777777">
        <w:trPr>
          <w:jc w:val="center"/>
        </w:trPr>
        <w:tc>
          <w:tcPr>
            <w:tcW w:w="4388" w:type="pct"/>
            <w:gridSpan w:val="5"/>
            <w:tcBorders>
              <w:tl2br w:val="nil"/>
              <w:tr2bl w:val="nil"/>
            </w:tcBorders>
            <w:vAlign w:val="center"/>
          </w:tcPr>
          <w:p w14:paraId="1260D86A" w14:textId="77777777" w:rsidR="002E474C" w:rsidRDefault="00000000">
            <w:pPr>
              <w:pStyle w:val="A-"/>
              <w:rPr>
                <w:rFonts w:eastAsia="Times New Roman"/>
              </w:rPr>
            </w:pPr>
            <w:r>
              <w:t>合计</w:t>
            </w:r>
          </w:p>
        </w:tc>
        <w:tc>
          <w:tcPr>
            <w:tcW w:w="612" w:type="pct"/>
            <w:tcBorders>
              <w:tl2br w:val="nil"/>
              <w:tr2bl w:val="nil"/>
            </w:tcBorders>
            <w:vAlign w:val="center"/>
          </w:tcPr>
          <w:p w14:paraId="285B0332" w14:textId="77777777" w:rsidR="002E474C" w:rsidRDefault="00000000">
            <w:pPr>
              <w:pStyle w:val="A-"/>
            </w:pPr>
            <w:r>
              <w:t>338</w:t>
            </w:r>
          </w:p>
        </w:tc>
      </w:tr>
      <w:bookmarkEnd w:id="372"/>
    </w:tbl>
    <w:p w14:paraId="120E037B" w14:textId="77777777" w:rsidR="002E474C" w:rsidRDefault="002E474C">
      <w:pPr>
        <w:pStyle w:val="A-z"/>
        <w:rPr>
          <w:color w:val="auto"/>
        </w:rPr>
      </w:pPr>
    </w:p>
    <w:p w14:paraId="3EA84453" w14:textId="77777777" w:rsidR="002E474C" w:rsidRDefault="00000000">
      <w:pPr>
        <w:pStyle w:val="A-z"/>
        <w:rPr>
          <w:color w:val="auto"/>
        </w:rPr>
        <w:sectPr w:rsidR="002E474C">
          <w:headerReference w:type="default" r:id="rId58"/>
          <w:pgSz w:w="11906" w:h="16838"/>
          <w:pgMar w:top="1440" w:right="1800" w:bottom="1440" w:left="1800" w:header="851" w:footer="992" w:gutter="0"/>
          <w:cols w:space="720"/>
          <w:docGrid w:linePitch="312"/>
        </w:sectPr>
      </w:pPr>
      <w:r>
        <w:rPr>
          <w:color w:val="auto"/>
        </w:rPr>
        <w:t>项目实施单位必须筹措足够的资金，</w:t>
      </w:r>
      <w:r>
        <w:rPr>
          <w:color w:val="auto"/>
          <w:lang w:val="en-US"/>
        </w:rPr>
        <w:t>确保环保资金落实到位，使环保设施与主体工程同时设计、同时施工、同时投入使用，</w:t>
      </w:r>
      <w:r>
        <w:rPr>
          <w:color w:val="auto"/>
        </w:rPr>
        <w:t>保证项目投产后产生的污染物对环境的影响降低到最小程度，满足建设项目环境保护管理的要求。</w:t>
      </w:r>
    </w:p>
    <w:p w14:paraId="5851F84C" w14:textId="77777777" w:rsidR="002E474C" w:rsidRDefault="00000000">
      <w:pPr>
        <w:pStyle w:val="1"/>
        <w:spacing w:before="120" w:after="120"/>
      </w:pPr>
      <w:r>
        <w:lastRenderedPageBreak/>
        <w:tab/>
      </w:r>
      <w:bookmarkStart w:id="373" w:name="_Toc22261"/>
      <w:bookmarkStart w:id="374" w:name="_Toc225848883"/>
      <w:r>
        <w:t>环境管理与监测计划</w:t>
      </w:r>
      <w:bookmarkEnd w:id="373"/>
      <w:bookmarkEnd w:id="374"/>
    </w:p>
    <w:p w14:paraId="5BAF54C6" w14:textId="77777777" w:rsidR="002E474C" w:rsidRDefault="00000000">
      <w:pPr>
        <w:pStyle w:val="A-z"/>
        <w:rPr>
          <w:color w:val="auto"/>
        </w:rPr>
      </w:pPr>
      <w:r>
        <w:rPr>
          <w:color w:val="auto"/>
        </w:rPr>
        <w:t>环境管理是企业管理中一项重要的内容。有效的环境管理工作，是贯彻评价提出的清洁生产措施，实行</w:t>
      </w:r>
      <w:r>
        <w:rPr>
          <w:color w:val="auto"/>
        </w:rPr>
        <w:t>“</w:t>
      </w:r>
      <w:r>
        <w:rPr>
          <w:color w:val="auto"/>
        </w:rPr>
        <w:t>生产全过程污染控制</w:t>
      </w:r>
      <w:r>
        <w:rPr>
          <w:color w:val="auto"/>
        </w:rPr>
        <w:t>”</w:t>
      </w:r>
      <w:r>
        <w:rPr>
          <w:color w:val="auto"/>
        </w:rPr>
        <w:t>的重要手段，是工程建设满足环境目标的基本保障和最大限度减小工程运行后对环境带来不利影响的有效措施。环境监测是工业污染防治的依据和环境管理的耳目，加强污染监控工作，是了解和掌握企业排污特征，研究污染发展趋势，开展环保技术研究和综合利用能源的有效途径。</w:t>
      </w:r>
    </w:p>
    <w:p w14:paraId="70540F9C" w14:textId="77777777" w:rsidR="002E474C" w:rsidRDefault="00000000">
      <w:pPr>
        <w:pStyle w:val="21"/>
        <w:spacing w:before="240" w:after="240"/>
        <w:rPr>
          <w:color w:val="auto"/>
        </w:rPr>
      </w:pPr>
      <w:bookmarkStart w:id="375" w:name="_Toc131089651"/>
      <w:bookmarkStart w:id="376" w:name="_Toc225848884"/>
      <w:bookmarkStart w:id="377" w:name="_Toc22564"/>
      <w:r>
        <w:rPr>
          <w:color w:val="auto"/>
        </w:rPr>
        <w:t>环境管理</w:t>
      </w:r>
      <w:bookmarkEnd w:id="375"/>
      <w:bookmarkEnd w:id="376"/>
      <w:bookmarkEnd w:id="377"/>
    </w:p>
    <w:p w14:paraId="63E7D226" w14:textId="77777777" w:rsidR="002E474C" w:rsidRDefault="00000000">
      <w:pPr>
        <w:pStyle w:val="31"/>
        <w:spacing w:before="120" w:after="120"/>
        <w:rPr>
          <w:color w:val="auto"/>
        </w:rPr>
      </w:pPr>
      <w:r>
        <w:rPr>
          <w:color w:val="auto"/>
        </w:rPr>
        <w:t>环境管理专员与职责</w:t>
      </w:r>
    </w:p>
    <w:p w14:paraId="4F75ED05" w14:textId="77777777" w:rsidR="002E474C" w:rsidRDefault="00000000">
      <w:pPr>
        <w:pStyle w:val="A-z"/>
        <w:rPr>
          <w:color w:val="auto"/>
        </w:rPr>
      </w:pPr>
      <w:r>
        <w:rPr>
          <w:color w:val="auto"/>
        </w:rPr>
        <w:t>（</w:t>
      </w:r>
      <w:r>
        <w:rPr>
          <w:color w:val="auto"/>
        </w:rPr>
        <w:t>1</w:t>
      </w:r>
      <w:r>
        <w:rPr>
          <w:color w:val="auto"/>
        </w:rPr>
        <w:t>）环境管理专员</w:t>
      </w:r>
    </w:p>
    <w:p w14:paraId="7A12C443" w14:textId="77777777" w:rsidR="002E474C" w:rsidRDefault="00000000">
      <w:pPr>
        <w:pStyle w:val="A-z"/>
        <w:rPr>
          <w:color w:val="auto"/>
        </w:rPr>
      </w:pPr>
      <w:r>
        <w:rPr>
          <w:color w:val="auto"/>
        </w:rPr>
        <w:t>本项目的环境保护管理工作设</w:t>
      </w:r>
      <w:r>
        <w:rPr>
          <w:color w:val="auto"/>
        </w:rPr>
        <w:t>1</w:t>
      </w:r>
      <w:r>
        <w:rPr>
          <w:rFonts w:eastAsia="宋体"/>
          <w:color w:val="auto"/>
        </w:rPr>
        <w:t>～</w:t>
      </w:r>
      <w:r>
        <w:rPr>
          <w:color w:val="auto"/>
        </w:rPr>
        <w:t>2</w:t>
      </w:r>
      <w:r>
        <w:rPr>
          <w:color w:val="auto"/>
        </w:rPr>
        <w:t>名环保专员。对本工程环境监测进行日常业务管理，通过检查、统计、分析、调查及监测，监督和指导各项环保措施的落实，解决生产运行中存在的环境问题，提出建议和解决问题的技术方案，并负责同圣雄水泥公司安环部协调生产运行。</w:t>
      </w:r>
    </w:p>
    <w:p w14:paraId="3D002A50" w14:textId="77777777" w:rsidR="002E474C" w:rsidRDefault="00000000">
      <w:pPr>
        <w:pStyle w:val="A-z"/>
        <w:rPr>
          <w:color w:val="auto"/>
        </w:rPr>
      </w:pPr>
      <w:r>
        <w:rPr>
          <w:color w:val="auto"/>
        </w:rPr>
        <w:t>（</w:t>
      </w:r>
      <w:r>
        <w:rPr>
          <w:color w:val="auto"/>
        </w:rPr>
        <w:t>2</w:t>
      </w:r>
      <w:r>
        <w:rPr>
          <w:color w:val="auto"/>
        </w:rPr>
        <w:t>）环境管理职责</w:t>
      </w:r>
    </w:p>
    <w:p w14:paraId="4A640F29" w14:textId="77777777" w:rsidR="002E474C" w:rsidRDefault="00000000">
      <w:pPr>
        <w:pStyle w:val="A-z"/>
        <w:rPr>
          <w:color w:val="auto"/>
        </w:rPr>
      </w:pPr>
      <w:r>
        <w:rPr>
          <w:color w:val="auto"/>
        </w:rPr>
        <w:t>环保专员的环境管理机构职能见表</w:t>
      </w:r>
      <w:r>
        <w:rPr>
          <w:color w:val="auto"/>
        </w:rPr>
        <w:t>8.1</w:t>
      </w:r>
      <w:r>
        <w:rPr>
          <w:color w:val="auto"/>
        </w:rPr>
        <w:noBreakHyphen/>
        <w:t>1</w:t>
      </w:r>
      <w:r>
        <w:rPr>
          <w:color w:val="auto"/>
        </w:rPr>
        <w:t>。</w:t>
      </w:r>
    </w:p>
    <w:p w14:paraId="7BA67866" w14:textId="77777777" w:rsidR="002E474C" w:rsidRDefault="00000000">
      <w:pPr>
        <w:pStyle w:val="A--"/>
        <w:rPr>
          <w:color w:val="auto"/>
        </w:rPr>
      </w:pPr>
      <w:bookmarkStart w:id="378" w:name="_Ref131761354"/>
      <w:r>
        <w:rPr>
          <w:color w:val="auto"/>
        </w:rPr>
        <w:t>表</w:t>
      </w:r>
      <w:r>
        <w:rPr>
          <w:color w:val="auto"/>
        </w:rPr>
        <w:t>8.1</w:t>
      </w:r>
      <w:r>
        <w:rPr>
          <w:color w:val="auto"/>
        </w:rPr>
        <w:noBreakHyphen/>
        <w:t>1</w:t>
      </w:r>
      <w:bookmarkEnd w:id="378"/>
      <w:r>
        <w:rPr>
          <w:color w:val="auto"/>
        </w:rPr>
        <w:t xml:space="preserve">  </w:t>
      </w:r>
      <w:r>
        <w:rPr>
          <w:color w:val="auto"/>
        </w:rPr>
        <w:t>环境管理职能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490"/>
      </w:tblGrid>
      <w:tr w:rsidR="002E474C" w14:paraId="7CC7162F" w14:textId="77777777">
        <w:trPr>
          <w:tblHeader/>
          <w:jc w:val="center"/>
        </w:trPr>
        <w:tc>
          <w:tcPr>
            <w:tcW w:w="486" w:type="pct"/>
            <w:vAlign w:val="center"/>
          </w:tcPr>
          <w:p w14:paraId="3C65DF76" w14:textId="77777777" w:rsidR="002E474C" w:rsidRDefault="00000000">
            <w:pPr>
              <w:pStyle w:val="A-"/>
            </w:pPr>
            <w:r>
              <w:t>项目</w:t>
            </w:r>
          </w:p>
        </w:tc>
        <w:tc>
          <w:tcPr>
            <w:tcW w:w="4514" w:type="pct"/>
            <w:vAlign w:val="center"/>
          </w:tcPr>
          <w:p w14:paraId="2B3A75D4" w14:textId="77777777" w:rsidR="002E474C" w:rsidRDefault="00000000">
            <w:pPr>
              <w:pStyle w:val="A-"/>
            </w:pPr>
            <w:r>
              <w:t>管理职能</w:t>
            </w:r>
          </w:p>
        </w:tc>
      </w:tr>
      <w:tr w:rsidR="002E474C" w14:paraId="3A666848" w14:textId="77777777">
        <w:trPr>
          <w:jc w:val="center"/>
        </w:trPr>
        <w:tc>
          <w:tcPr>
            <w:tcW w:w="486" w:type="pct"/>
            <w:vAlign w:val="center"/>
          </w:tcPr>
          <w:p w14:paraId="7CAB16E9" w14:textId="77777777" w:rsidR="002E474C" w:rsidRDefault="00000000">
            <w:pPr>
              <w:pStyle w:val="A-"/>
            </w:pPr>
            <w:r>
              <w:t>施工期管理</w:t>
            </w:r>
          </w:p>
        </w:tc>
        <w:tc>
          <w:tcPr>
            <w:tcW w:w="4514" w:type="pct"/>
            <w:vAlign w:val="center"/>
          </w:tcPr>
          <w:p w14:paraId="4A9AE301" w14:textId="77777777" w:rsidR="002E474C" w:rsidRDefault="00000000">
            <w:pPr>
              <w:pStyle w:val="A-"/>
            </w:pPr>
            <w:r>
              <w:t>（</w:t>
            </w:r>
            <w:r>
              <w:t>1</w:t>
            </w:r>
            <w:r>
              <w:t>）同施工单位签订合同时以国家和当地有关施工管理文件为指导，将有关内容作为合同内容明确要求，以控制建设期施工作业对环境的影响。</w:t>
            </w:r>
          </w:p>
          <w:p w14:paraId="330368AB" w14:textId="77777777" w:rsidR="002E474C" w:rsidRDefault="00000000">
            <w:pPr>
              <w:pStyle w:val="A-"/>
            </w:pPr>
            <w:r>
              <w:t>（</w:t>
            </w:r>
            <w:r>
              <w:t>2</w:t>
            </w:r>
            <w:r>
              <w:t>）负责施工过程中的日常环境管理和环境保护宣传。提高施工人员的环境保护意识，协调和督促与生产装置配套的环保设施的建设符合</w:t>
            </w:r>
            <w:r>
              <w:t>“</w:t>
            </w:r>
            <w:r>
              <w:t>三同时</w:t>
            </w:r>
            <w:r>
              <w:t>”</w:t>
            </w:r>
            <w:r>
              <w:t>要求。</w:t>
            </w:r>
          </w:p>
          <w:p w14:paraId="24D330A7" w14:textId="77777777" w:rsidR="002E474C" w:rsidRDefault="00000000">
            <w:pPr>
              <w:pStyle w:val="A-"/>
            </w:pPr>
            <w:r>
              <w:t>（</w:t>
            </w:r>
            <w:r>
              <w:t>3</w:t>
            </w:r>
            <w:r>
              <w:t>）监督建设期环保措施的落实，并注意在本工程建成投入运行之前，全面检查施工现场环境恢复情况。</w:t>
            </w:r>
          </w:p>
          <w:p w14:paraId="54FE49EA" w14:textId="77777777" w:rsidR="002E474C" w:rsidRDefault="00000000">
            <w:pPr>
              <w:pStyle w:val="A-"/>
            </w:pPr>
            <w:r>
              <w:t>（</w:t>
            </w:r>
            <w:r>
              <w:t>4</w:t>
            </w:r>
            <w:r>
              <w:t>）建设设施竣工质量验收（对不符合质量要求和达不到环保性能要求的设施，不能通过验收）。</w:t>
            </w:r>
          </w:p>
        </w:tc>
      </w:tr>
      <w:tr w:rsidR="002E474C" w14:paraId="2720F5AB" w14:textId="77777777">
        <w:trPr>
          <w:jc w:val="center"/>
        </w:trPr>
        <w:tc>
          <w:tcPr>
            <w:tcW w:w="486" w:type="pct"/>
            <w:vAlign w:val="center"/>
          </w:tcPr>
          <w:p w14:paraId="05BB5692" w14:textId="77777777" w:rsidR="002E474C" w:rsidRDefault="00000000">
            <w:pPr>
              <w:pStyle w:val="A-"/>
            </w:pPr>
            <w:r>
              <w:t>竣工</w:t>
            </w:r>
          </w:p>
          <w:p w14:paraId="7EF4CC4B" w14:textId="77777777" w:rsidR="002E474C" w:rsidRDefault="00000000">
            <w:pPr>
              <w:pStyle w:val="A-"/>
            </w:pPr>
            <w:r>
              <w:t>管理</w:t>
            </w:r>
          </w:p>
        </w:tc>
        <w:tc>
          <w:tcPr>
            <w:tcW w:w="4514" w:type="pct"/>
            <w:vAlign w:val="center"/>
          </w:tcPr>
          <w:p w14:paraId="104E4E5D" w14:textId="77777777" w:rsidR="002E474C" w:rsidRDefault="00000000">
            <w:pPr>
              <w:pStyle w:val="A-"/>
            </w:pPr>
            <w:r>
              <w:t>根据《建设项目环境保护管理条例》（国务院令第</w:t>
            </w:r>
            <w:r>
              <w:t>682</w:t>
            </w:r>
            <w:r>
              <w:t>号），建设项目竣工后，建设单位应当按照国务院生态环境主管部门规定的标准和程序，对配套建设的环境保护设施进行验收，编制验收报告。</w:t>
            </w:r>
          </w:p>
        </w:tc>
      </w:tr>
      <w:tr w:rsidR="002E474C" w14:paraId="06096CB6" w14:textId="77777777">
        <w:trPr>
          <w:jc w:val="center"/>
        </w:trPr>
        <w:tc>
          <w:tcPr>
            <w:tcW w:w="486" w:type="pct"/>
            <w:vAlign w:val="center"/>
          </w:tcPr>
          <w:p w14:paraId="367D5738" w14:textId="77777777" w:rsidR="002E474C" w:rsidRDefault="00000000">
            <w:pPr>
              <w:pStyle w:val="A-"/>
            </w:pPr>
            <w:r>
              <w:t>运行期管理</w:t>
            </w:r>
          </w:p>
        </w:tc>
        <w:tc>
          <w:tcPr>
            <w:tcW w:w="4514" w:type="pct"/>
            <w:vAlign w:val="center"/>
          </w:tcPr>
          <w:p w14:paraId="0187DEBB" w14:textId="77777777" w:rsidR="002E474C" w:rsidRDefault="00000000">
            <w:pPr>
              <w:pStyle w:val="A-"/>
            </w:pPr>
            <w:r>
              <w:t>（</w:t>
            </w:r>
            <w:r>
              <w:t>1</w:t>
            </w:r>
            <w:r>
              <w:t>）制定切实可行的环保管理制度和条例。</w:t>
            </w:r>
          </w:p>
          <w:p w14:paraId="5478682D" w14:textId="77777777" w:rsidR="002E474C" w:rsidRDefault="00000000">
            <w:pPr>
              <w:pStyle w:val="A-"/>
            </w:pPr>
            <w:r>
              <w:t>（</w:t>
            </w:r>
            <w:r>
              <w:t>2</w:t>
            </w:r>
            <w:r>
              <w:t>）负责环保设施的运行监督及污染源监测与控制，把污染源监督和</w:t>
            </w:r>
            <w:r>
              <w:t>“</w:t>
            </w:r>
            <w:r>
              <w:t>三废</w:t>
            </w:r>
            <w:r>
              <w:t>”</w:t>
            </w:r>
            <w:r>
              <w:t>排放纳入日常管理工作，并落实到车间、班组和岗位，进行全方位管理。</w:t>
            </w:r>
          </w:p>
          <w:p w14:paraId="2A4161B0" w14:textId="77777777" w:rsidR="002E474C" w:rsidRDefault="00000000">
            <w:pPr>
              <w:pStyle w:val="A-"/>
            </w:pPr>
            <w:r>
              <w:t>（</w:t>
            </w:r>
            <w:r>
              <w:t>3</w:t>
            </w:r>
            <w:r>
              <w:t>）每季度对全厂各环保设施运行情况全面检查一次，确保无重大环境污染、</w:t>
            </w:r>
            <w:r>
              <w:lastRenderedPageBreak/>
              <w:t>泄漏事故发生。</w:t>
            </w:r>
          </w:p>
          <w:p w14:paraId="294D6BFD" w14:textId="77777777" w:rsidR="002E474C" w:rsidRDefault="00000000">
            <w:pPr>
              <w:pStyle w:val="A-"/>
            </w:pPr>
            <w:r>
              <w:t>（</w:t>
            </w:r>
            <w:r>
              <w:t>4</w:t>
            </w:r>
            <w:r>
              <w:t>）对可能造成的环境污染及时向上级汇报并开展污染事故的调查，提出防治和应急措施。</w:t>
            </w:r>
          </w:p>
          <w:p w14:paraId="1A349497" w14:textId="77777777" w:rsidR="002E474C" w:rsidRDefault="00000000">
            <w:pPr>
              <w:pStyle w:val="A-"/>
            </w:pPr>
            <w:r>
              <w:t>（</w:t>
            </w:r>
            <w:r>
              <w:t>5</w:t>
            </w:r>
            <w:r>
              <w:t>）实施有效的</w:t>
            </w:r>
            <w:r>
              <w:t>“</w:t>
            </w:r>
            <w:r>
              <w:t>三废</w:t>
            </w:r>
            <w:r>
              <w:t>”</w:t>
            </w:r>
            <w:r>
              <w:t>综合利用开发措施。</w:t>
            </w:r>
          </w:p>
          <w:p w14:paraId="6E3529DD" w14:textId="77777777" w:rsidR="002E474C" w:rsidRDefault="00000000">
            <w:pPr>
              <w:pStyle w:val="A-"/>
            </w:pPr>
            <w:r>
              <w:t>（</w:t>
            </w:r>
            <w:r>
              <w:t>6</w:t>
            </w:r>
            <w:r>
              <w:t>）按照责、权、利实行奖罚制度，对违反法规和制度行为根据情节给予处理，对有功人员给予奖励。</w:t>
            </w:r>
          </w:p>
          <w:p w14:paraId="0893E84B" w14:textId="77777777" w:rsidR="002E474C" w:rsidRDefault="00000000">
            <w:pPr>
              <w:pStyle w:val="A-"/>
            </w:pPr>
            <w:r>
              <w:t>（</w:t>
            </w:r>
            <w:r>
              <w:t>7</w:t>
            </w:r>
            <w:r>
              <w:t>）收集、整理和推广环保技术和经验，对运行中出现的环保问题及时解决。</w:t>
            </w:r>
          </w:p>
          <w:p w14:paraId="2D433307" w14:textId="77777777" w:rsidR="002E474C" w:rsidRDefault="00000000">
            <w:pPr>
              <w:pStyle w:val="A-"/>
            </w:pPr>
            <w:r>
              <w:t>（</w:t>
            </w:r>
            <w:r>
              <w:t>8</w:t>
            </w:r>
            <w:r>
              <w:t>）配合当地或上级生态环境主管部门，认真贯彻落实国家有关环保法规和生态环境主管部门的环保规定。</w:t>
            </w:r>
          </w:p>
        </w:tc>
      </w:tr>
    </w:tbl>
    <w:p w14:paraId="329C3B70" w14:textId="77777777" w:rsidR="002E474C" w:rsidRDefault="002E474C">
      <w:pPr>
        <w:pStyle w:val="w3"/>
      </w:pPr>
    </w:p>
    <w:p w14:paraId="2EA10FCE" w14:textId="77777777" w:rsidR="002E474C" w:rsidRDefault="00000000">
      <w:pPr>
        <w:pStyle w:val="31"/>
        <w:spacing w:before="120" w:after="120"/>
        <w:rPr>
          <w:color w:val="auto"/>
        </w:rPr>
      </w:pPr>
      <w:r>
        <w:rPr>
          <w:color w:val="auto"/>
        </w:rPr>
        <w:t>环境管理手段和措施</w:t>
      </w:r>
    </w:p>
    <w:p w14:paraId="73E81CB0" w14:textId="77777777" w:rsidR="002E474C" w:rsidRDefault="00000000">
      <w:pPr>
        <w:pStyle w:val="A-z"/>
        <w:rPr>
          <w:color w:val="auto"/>
        </w:rPr>
      </w:pPr>
      <w:r>
        <w:rPr>
          <w:color w:val="auto"/>
        </w:rPr>
        <w:t>为了使环境管理工作科学化、规范化、合理化，确保各项污染治理措施落实到位，建设单位在环境管理方面应采取以下措施：</w:t>
      </w:r>
    </w:p>
    <w:p w14:paraId="2AA17763" w14:textId="77777777" w:rsidR="002E474C" w:rsidRDefault="00000000">
      <w:pPr>
        <w:pStyle w:val="A-z"/>
        <w:rPr>
          <w:color w:val="auto"/>
        </w:rPr>
      </w:pPr>
      <w:r>
        <w:rPr>
          <w:color w:val="auto"/>
        </w:rPr>
        <w:t>（</w:t>
      </w:r>
      <w:r>
        <w:rPr>
          <w:color w:val="auto"/>
        </w:rPr>
        <w:t>1</w:t>
      </w:r>
      <w:r>
        <w:rPr>
          <w:color w:val="auto"/>
        </w:rPr>
        <w:t>）制定环境保护岗位目标责任制，将环境管理纳入生产管理体系，环保评估与经济效益相结合，制定严格的奖惩机制；</w:t>
      </w:r>
    </w:p>
    <w:p w14:paraId="0F6DD6BA" w14:textId="77777777" w:rsidR="002E474C" w:rsidRDefault="00000000">
      <w:pPr>
        <w:pStyle w:val="A-z"/>
        <w:rPr>
          <w:color w:val="auto"/>
        </w:rPr>
      </w:pPr>
      <w:r>
        <w:rPr>
          <w:color w:val="auto"/>
        </w:rPr>
        <w:t>（</w:t>
      </w:r>
      <w:r>
        <w:rPr>
          <w:color w:val="auto"/>
        </w:rPr>
        <w:t>2</w:t>
      </w:r>
      <w:r>
        <w:rPr>
          <w:color w:val="auto"/>
        </w:rPr>
        <w:t>）加强环境保护宣传教育工作，进行岗位培训，使全体职工能够意识到环境保护的重要意义，包括与企业生产、生存和发展的关系，单位人员应有危机感和责任感，把环境保护工作落到实处；</w:t>
      </w:r>
    </w:p>
    <w:p w14:paraId="03D3552C" w14:textId="77777777" w:rsidR="002E474C" w:rsidRDefault="00000000">
      <w:pPr>
        <w:pStyle w:val="A-z"/>
        <w:rPr>
          <w:color w:val="auto"/>
        </w:rPr>
      </w:pPr>
      <w:r>
        <w:rPr>
          <w:color w:val="auto"/>
        </w:rPr>
        <w:t>（</w:t>
      </w:r>
      <w:r>
        <w:rPr>
          <w:color w:val="auto"/>
        </w:rPr>
        <w:t>3</w:t>
      </w:r>
      <w:r>
        <w:rPr>
          <w:color w:val="auto"/>
        </w:rPr>
        <w:t>）加强环境监测数据的统计工作，建立全厂完善的污染源及物料流失档案，严格控制污染物排放总量，确保污染物长期稳定达标排放和总量控制要求；</w:t>
      </w:r>
    </w:p>
    <w:p w14:paraId="5D7723EB" w14:textId="77777777" w:rsidR="002E474C" w:rsidRDefault="00000000">
      <w:pPr>
        <w:pStyle w:val="A-z"/>
        <w:rPr>
          <w:color w:val="auto"/>
        </w:rPr>
      </w:pPr>
      <w:r>
        <w:rPr>
          <w:color w:val="auto"/>
        </w:rPr>
        <w:t>（</w:t>
      </w:r>
      <w:r>
        <w:rPr>
          <w:color w:val="auto"/>
        </w:rPr>
        <w:t>4</w:t>
      </w:r>
      <w:r>
        <w:rPr>
          <w:color w:val="auto"/>
        </w:rPr>
        <w:t>）加强对污染治理设施的监督管理，建立完善的污染治理设施运行、维护、维修等档案，加强对污染治理设施运维人员的技术培训，确保污染治理设施处于正常运行状态。</w:t>
      </w:r>
    </w:p>
    <w:p w14:paraId="3EA9CB48" w14:textId="77777777" w:rsidR="002E474C" w:rsidRDefault="00000000">
      <w:pPr>
        <w:pStyle w:val="31"/>
        <w:spacing w:before="120" w:after="120"/>
        <w:rPr>
          <w:color w:val="auto"/>
        </w:rPr>
      </w:pPr>
      <w:r>
        <w:rPr>
          <w:color w:val="auto"/>
        </w:rPr>
        <w:t>不同阶段的环境管理要求</w:t>
      </w:r>
    </w:p>
    <w:p w14:paraId="12E86BFD" w14:textId="77777777" w:rsidR="002E474C" w:rsidRDefault="00000000">
      <w:pPr>
        <w:pStyle w:val="41"/>
        <w:rPr>
          <w:color w:val="auto"/>
        </w:rPr>
      </w:pPr>
      <w:r>
        <w:rPr>
          <w:color w:val="auto"/>
        </w:rPr>
        <w:t>项目审批阶段</w:t>
      </w:r>
    </w:p>
    <w:p w14:paraId="798392C9" w14:textId="77777777" w:rsidR="002E474C" w:rsidRDefault="00000000">
      <w:pPr>
        <w:pStyle w:val="A-z"/>
        <w:ind w:firstLine="456"/>
        <w:rPr>
          <w:color w:val="auto"/>
          <w:spacing w:val="-6"/>
        </w:rPr>
      </w:pPr>
      <w:r>
        <w:rPr>
          <w:color w:val="auto"/>
          <w:spacing w:val="-6"/>
        </w:rPr>
        <w:t>根据《建设项目环境影响评价分类管理目录（</w:t>
      </w:r>
      <w:r>
        <w:rPr>
          <w:color w:val="auto"/>
          <w:spacing w:val="-6"/>
        </w:rPr>
        <w:t>2021</w:t>
      </w:r>
      <w:r>
        <w:rPr>
          <w:color w:val="auto"/>
          <w:spacing w:val="-6"/>
        </w:rPr>
        <w:t>年版）》，确定本项目需编制环境影响报告书，建设单位应委托具有相应能力的机构编制本项目环评文件。</w:t>
      </w:r>
    </w:p>
    <w:p w14:paraId="47A32CF8" w14:textId="77777777" w:rsidR="002E474C" w:rsidRDefault="00000000">
      <w:pPr>
        <w:pStyle w:val="A-z"/>
        <w:rPr>
          <w:color w:val="auto"/>
        </w:rPr>
      </w:pPr>
      <w:r>
        <w:rPr>
          <w:color w:val="auto"/>
        </w:rPr>
        <w:t>建设单位在建设项目环评文件编制前应积极配合环评编制单位查勘现场，及时提供环评文件编写所需的各类资料。</w:t>
      </w:r>
    </w:p>
    <w:p w14:paraId="5A00FAFC" w14:textId="77777777" w:rsidR="002E474C" w:rsidRDefault="00000000">
      <w:pPr>
        <w:pStyle w:val="A-z"/>
        <w:rPr>
          <w:color w:val="auto"/>
        </w:rPr>
      </w:pPr>
      <w:r>
        <w:rPr>
          <w:color w:val="auto"/>
        </w:rPr>
        <w:t>在环境影响报告书编制和审批过程中，应该按规定公开有关环境影响评价的信息，征求公众意见。</w:t>
      </w:r>
    </w:p>
    <w:p w14:paraId="72A98E07" w14:textId="77777777" w:rsidR="002E474C" w:rsidRDefault="00000000">
      <w:pPr>
        <w:pStyle w:val="A-z"/>
        <w:ind w:firstLine="456"/>
        <w:rPr>
          <w:color w:val="auto"/>
          <w:spacing w:val="-6"/>
        </w:rPr>
      </w:pPr>
      <w:r>
        <w:rPr>
          <w:color w:val="auto"/>
          <w:spacing w:val="-6"/>
        </w:rPr>
        <w:lastRenderedPageBreak/>
        <w:t>企业有权要求环评文件编制及审批等单位和个人为其保守商业、技术等秘密。</w:t>
      </w:r>
    </w:p>
    <w:p w14:paraId="6DBAA5BD" w14:textId="77777777" w:rsidR="002E474C" w:rsidRDefault="00000000">
      <w:pPr>
        <w:pStyle w:val="A-z"/>
        <w:rPr>
          <w:color w:val="auto"/>
        </w:rPr>
      </w:pPr>
      <w:r>
        <w:rPr>
          <w:color w:val="auto"/>
        </w:rPr>
        <w:t>环境影响评价文件由建设单位报有审批权的生态环境行政主管部门审批，环境影响评价文件未经批准，不得开工建设，自批准之日起超过</w:t>
      </w:r>
      <w:r>
        <w:rPr>
          <w:color w:val="auto"/>
        </w:rPr>
        <w:t>5</w:t>
      </w:r>
      <w:r>
        <w:rPr>
          <w:color w:val="auto"/>
        </w:rPr>
        <w:t>年方决定项目开工建设的，其环境影响评价文件应当报原审批部门重新审批。</w:t>
      </w:r>
    </w:p>
    <w:p w14:paraId="2C7545F6" w14:textId="77777777" w:rsidR="002E474C" w:rsidRDefault="00000000">
      <w:pPr>
        <w:pStyle w:val="A-z"/>
        <w:rPr>
          <w:color w:val="auto"/>
        </w:rPr>
      </w:pPr>
      <w:r>
        <w:rPr>
          <w:color w:val="auto"/>
        </w:rPr>
        <w:t>项目的性质、规模、地点、生产工艺、生产设备等应与环境影响评价报告或环境影响评价审批等文件一致。如发生重大变动的，应当重新履行环评手续。</w:t>
      </w:r>
    </w:p>
    <w:p w14:paraId="2A09C36A" w14:textId="77777777" w:rsidR="002E474C" w:rsidRDefault="00000000">
      <w:pPr>
        <w:pStyle w:val="41"/>
        <w:rPr>
          <w:color w:val="auto"/>
        </w:rPr>
      </w:pPr>
      <w:r>
        <w:rPr>
          <w:color w:val="auto"/>
        </w:rPr>
        <w:t>建设施工阶段</w:t>
      </w:r>
    </w:p>
    <w:p w14:paraId="539A7334" w14:textId="77777777" w:rsidR="002E474C" w:rsidRDefault="00000000">
      <w:pPr>
        <w:pStyle w:val="A-z"/>
        <w:rPr>
          <w:color w:val="auto"/>
        </w:rPr>
      </w:pPr>
      <w:r>
        <w:rPr>
          <w:color w:val="auto"/>
        </w:rPr>
        <w:t>本项目施工期间，应根据环境保护设计要求，确保环境保护设施高质量的施工，并及时处理和解决临时出现的环境污染事件。</w:t>
      </w:r>
    </w:p>
    <w:p w14:paraId="6742667C" w14:textId="77777777" w:rsidR="002E474C" w:rsidRDefault="00000000">
      <w:pPr>
        <w:pStyle w:val="A-z"/>
        <w:rPr>
          <w:color w:val="auto"/>
        </w:rPr>
      </w:pPr>
      <w:r>
        <w:rPr>
          <w:color w:val="auto"/>
        </w:rPr>
        <w:t>本项目所有防渗工程应开展施工期工程监理，防渗工程完工后建设单位应组织设计单位、质检部门、工程监理单位、施工单位等进行防渗工程阶段性质量验收，并留下工程质量验收档案和相关影像资料。工程质量验收资料应作为本项目竣工环境保护验收的技术支撑材料。</w:t>
      </w:r>
    </w:p>
    <w:p w14:paraId="79627FA8" w14:textId="77777777" w:rsidR="002E474C" w:rsidRDefault="00000000">
      <w:pPr>
        <w:pStyle w:val="A-z"/>
        <w:rPr>
          <w:color w:val="auto"/>
        </w:rPr>
      </w:pPr>
      <w:r>
        <w:rPr>
          <w:color w:val="auto"/>
          <w:lang w:val="en-US"/>
        </w:rPr>
        <w:t>在</w:t>
      </w:r>
      <w:r>
        <w:rPr>
          <w:color w:val="auto"/>
        </w:rPr>
        <w:t>竣工环境保护验收</w:t>
      </w:r>
      <w:r>
        <w:rPr>
          <w:color w:val="auto"/>
          <w:lang w:val="en-US"/>
        </w:rPr>
        <w:t>前还需要完成排污许可证申领及圣雄水泥公司突发环境事件应急预案修订与备案工作。</w:t>
      </w:r>
    </w:p>
    <w:p w14:paraId="52C83D5A" w14:textId="77777777" w:rsidR="002E474C" w:rsidRDefault="00000000">
      <w:pPr>
        <w:pStyle w:val="41"/>
        <w:rPr>
          <w:color w:val="auto"/>
        </w:rPr>
      </w:pPr>
      <w:r>
        <w:rPr>
          <w:color w:val="auto"/>
        </w:rPr>
        <w:t>竣工环境保护验收阶段</w:t>
      </w:r>
    </w:p>
    <w:p w14:paraId="66E68022" w14:textId="77777777" w:rsidR="002E474C" w:rsidRDefault="00000000">
      <w:pPr>
        <w:pStyle w:val="A-z"/>
        <w:rPr>
          <w:color w:val="auto"/>
        </w:rPr>
      </w:pPr>
      <w:r>
        <w:rPr>
          <w:color w:val="auto"/>
        </w:rPr>
        <w:t>根据</w:t>
      </w:r>
      <w:bookmarkStart w:id="379" w:name="OLE_LINK64"/>
      <w:r>
        <w:rPr>
          <w:color w:val="auto"/>
        </w:rPr>
        <w:t>《建设项目竣工环境保护验收暂行办法》</w:t>
      </w:r>
      <w:bookmarkEnd w:id="379"/>
      <w:r>
        <w:rPr>
          <w:color w:val="auto"/>
        </w:rPr>
        <w:t>，建设项目竣工后建设单位自主开展环境保护验收及相关监督管理。</w:t>
      </w:r>
    </w:p>
    <w:p w14:paraId="33CE7B68" w14:textId="77777777" w:rsidR="002E474C" w:rsidRDefault="00000000">
      <w:pPr>
        <w:pStyle w:val="A-z"/>
        <w:rPr>
          <w:color w:val="auto"/>
        </w:rPr>
      </w:pPr>
      <w:r>
        <w:rPr>
          <w:color w:val="auto"/>
        </w:rPr>
        <w:t>项目建设中应配套建设废气、废水、噪声以及固体废物污染防治设施，正式投入生产或使用之前自主开展废水、废气、噪声、固废的环境保护验收工作。</w:t>
      </w:r>
    </w:p>
    <w:p w14:paraId="13612392" w14:textId="77777777" w:rsidR="002E474C" w:rsidRDefault="00000000">
      <w:pPr>
        <w:pStyle w:val="A-z"/>
        <w:rPr>
          <w:color w:val="auto"/>
        </w:rPr>
      </w:pPr>
      <w:r>
        <w:rPr>
          <w:color w:val="auto"/>
        </w:rPr>
        <w:t>建设单位是建设项目竣工环境保护验收的责任主体，应当按照</w:t>
      </w:r>
      <w:r>
        <w:rPr>
          <w:color w:val="auto"/>
          <w:lang w:val="en-US"/>
        </w:rPr>
        <w:t>《建设项目竣工环境保护验收暂行办法》</w:t>
      </w:r>
      <w:r>
        <w:rPr>
          <w:color w:val="auto"/>
        </w:rPr>
        <w:t>规定的程序和标准，组织对配套建设的环境保护设施进行验收，编制验收报告，公开相关信息，接受社会监督，确保建设项目需要配套建设的环境保护设施与主体工程</w:t>
      </w:r>
      <w:r>
        <w:rPr>
          <w:color w:val="auto"/>
          <w:lang w:val="en-US"/>
        </w:rPr>
        <w:t>同时设计、同时施工、同时投产使用</w:t>
      </w:r>
      <w:r>
        <w:rPr>
          <w:color w:val="auto"/>
        </w:rPr>
        <w:t>，并对验收内容、结论和所公开信息的真实性、准确性和完整性负责，不得在验收过程中弄虚作假。环境保护设施是指防治环境污染和生态破坏以及开展环境监测所需的装置、设备和工程设施等。</w:t>
      </w:r>
    </w:p>
    <w:p w14:paraId="109E42E7" w14:textId="77777777" w:rsidR="002E474C" w:rsidRDefault="00000000">
      <w:pPr>
        <w:pStyle w:val="A-z"/>
        <w:rPr>
          <w:color w:val="auto"/>
        </w:rPr>
      </w:pPr>
      <w:r>
        <w:rPr>
          <w:color w:val="auto"/>
        </w:rPr>
        <w:t>验收报告分为验收监测报告、验收意见和其他需要说明的事项等三项内容。</w:t>
      </w:r>
    </w:p>
    <w:p w14:paraId="22794780" w14:textId="77777777" w:rsidR="002E474C" w:rsidRDefault="00000000">
      <w:pPr>
        <w:pStyle w:val="A-z"/>
        <w:rPr>
          <w:color w:val="auto"/>
        </w:rPr>
      </w:pPr>
      <w:r>
        <w:rPr>
          <w:color w:val="auto"/>
        </w:rPr>
        <w:lastRenderedPageBreak/>
        <w:t>建设项目竣工环境保护验收的主要依据、验收的程序和内容具体详见《建设项目竣工环境保护验收暂行办法》中的相关要求。</w:t>
      </w:r>
    </w:p>
    <w:p w14:paraId="21B8BA17" w14:textId="77777777" w:rsidR="002E474C" w:rsidRDefault="00000000">
      <w:pPr>
        <w:pStyle w:val="41"/>
        <w:rPr>
          <w:color w:val="auto"/>
        </w:rPr>
      </w:pPr>
      <w:r>
        <w:rPr>
          <w:color w:val="auto"/>
        </w:rPr>
        <w:t>项目运营期环境管理</w:t>
      </w:r>
    </w:p>
    <w:p w14:paraId="46C7CDDC" w14:textId="77777777" w:rsidR="002E474C" w:rsidRDefault="00000000">
      <w:pPr>
        <w:pStyle w:val="A-z"/>
        <w:rPr>
          <w:color w:val="auto"/>
        </w:rPr>
      </w:pPr>
      <w:r>
        <w:rPr>
          <w:color w:val="auto"/>
        </w:rPr>
        <w:t>（</w:t>
      </w:r>
      <w:r>
        <w:rPr>
          <w:color w:val="auto"/>
        </w:rPr>
        <w:t>1</w:t>
      </w:r>
      <w:r>
        <w:rPr>
          <w:color w:val="auto"/>
        </w:rPr>
        <w:t>）根据国家生态环境保护政策、标准及环境监测要求，制定该项目运行期生态环境保护管理规章制度、各种污染物排放控制指标。</w:t>
      </w:r>
    </w:p>
    <w:p w14:paraId="7A315207" w14:textId="77777777" w:rsidR="002E474C" w:rsidRDefault="00000000">
      <w:pPr>
        <w:pStyle w:val="A-z"/>
        <w:rPr>
          <w:color w:val="auto"/>
        </w:rPr>
      </w:pPr>
      <w:r>
        <w:rPr>
          <w:color w:val="auto"/>
        </w:rPr>
        <w:t>（</w:t>
      </w:r>
      <w:r>
        <w:rPr>
          <w:color w:val="auto"/>
        </w:rPr>
        <w:t>2</w:t>
      </w:r>
      <w:r>
        <w:rPr>
          <w:color w:val="auto"/>
        </w:rPr>
        <w:t>）污染治理设施应与其对应的生产工艺设备同步运转，保证在生产工艺设备运行波动情况下仍能正常运转，实现达标排放。监管污染治理设施运行、操作、维护过程，确保各污染治理设施的正常运行。</w:t>
      </w:r>
    </w:p>
    <w:p w14:paraId="5124BFF7" w14:textId="77777777" w:rsidR="002E474C" w:rsidRDefault="00000000">
      <w:pPr>
        <w:pStyle w:val="A-z"/>
        <w:rPr>
          <w:color w:val="auto"/>
        </w:rPr>
      </w:pPr>
      <w:r>
        <w:rPr>
          <w:color w:val="auto"/>
        </w:rPr>
        <w:t>（</w:t>
      </w:r>
      <w:r>
        <w:rPr>
          <w:color w:val="auto"/>
        </w:rPr>
        <w:t>3</w:t>
      </w:r>
      <w:r>
        <w:rPr>
          <w:color w:val="auto"/>
        </w:rPr>
        <w:t>）加强废气有组织及无组织排放控制措施的运行管理，减少污染物排放。</w:t>
      </w:r>
    </w:p>
    <w:p w14:paraId="09E55674" w14:textId="77777777" w:rsidR="002E474C" w:rsidRDefault="00000000">
      <w:pPr>
        <w:pStyle w:val="A-z"/>
        <w:rPr>
          <w:color w:val="auto"/>
        </w:rPr>
      </w:pPr>
      <w:r>
        <w:rPr>
          <w:color w:val="auto"/>
        </w:rPr>
        <w:t>（</w:t>
      </w:r>
      <w:r>
        <w:rPr>
          <w:color w:val="auto"/>
        </w:rPr>
        <w:t>4</w:t>
      </w:r>
      <w:r>
        <w:rPr>
          <w:color w:val="auto"/>
        </w:rPr>
        <w:t>）对废水收集与输送设施的计量装置要定期校验和比对，对泵、电机等要定期检修、维护。</w:t>
      </w:r>
    </w:p>
    <w:p w14:paraId="3E324CF3" w14:textId="77777777" w:rsidR="002E474C" w:rsidRDefault="00000000">
      <w:pPr>
        <w:pStyle w:val="A-z"/>
        <w:rPr>
          <w:color w:val="auto"/>
        </w:rPr>
      </w:pPr>
      <w:r>
        <w:rPr>
          <w:color w:val="auto"/>
        </w:rPr>
        <w:t>（</w:t>
      </w:r>
      <w:r>
        <w:rPr>
          <w:color w:val="auto"/>
        </w:rPr>
        <w:t>5</w:t>
      </w:r>
      <w:r>
        <w:rPr>
          <w:color w:val="auto"/>
        </w:rPr>
        <w:t>）项目运行期的环境管理由环保专员负责，负责该项目内所有污染治理设施的日常运行管理，保障各污染治理设施的正常运行，并对污染治理设施的改进提出积极的建议。</w:t>
      </w:r>
    </w:p>
    <w:p w14:paraId="2ABED195" w14:textId="77777777" w:rsidR="002E474C" w:rsidRDefault="00000000">
      <w:pPr>
        <w:pStyle w:val="A-z"/>
        <w:rPr>
          <w:color w:val="auto"/>
        </w:rPr>
      </w:pPr>
      <w:r>
        <w:rPr>
          <w:color w:val="auto"/>
        </w:rPr>
        <w:t>（</w:t>
      </w:r>
      <w:r>
        <w:rPr>
          <w:color w:val="auto"/>
        </w:rPr>
        <w:t>6</w:t>
      </w:r>
      <w:r>
        <w:rPr>
          <w:color w:val="auto"/>
        </w:rPr>
        <w:t>）对全厂职工进行环保宣传教育工作，定期检查、监督各单位环保制度的执行情况。</w:t>
      </w:r>
    </w:p>
    <w:p w14:paraId="757B09A8" w14:textId="77777777" w:rsidR="002E474C" w:rsidRDefault="00000000">
      <w:pPr>
        <w:pStyle w:val="A-z"/>
        <w:rPr>
          <w:color w:val="auto"/>
        </w:rPr>
      </w:pPr>
      <w:r>
        <w:rPr>
          <w:color w:val="auto"/>
        </w:rPr>
        <w:t>（</w:t>
      </w:r>
      <w:r>
        <w:rPr>
          <w:color w:val="auto"/>
        </w:rPr>
        <w:t>7</w:t>
      </w:r>
      <w:r>
        <w:rPr>
          <w:color w:val="auto"/>
        </w:rPr>
        <w:t>）建立健全环境台账和环境档案管理制度、污染防治设施设计技术改进及运行资料、污染源调查技术档案、环境监测及评价资料、项目平面图和给排水管网图等。</w:t>
      </w:r>
    </w:p>
    <w:p w14:paraId="0C2E6BA5" w14:textId="77777777" w:rsidR="002E474C" w:rsidRDefault="00000000">
      <w:pPr>
        <w:pStyle w:val="31"/>
        <w:spacing w:before="120" w:after="120"/>
        <w:rPr>
          <w:color w:val="auto"/>
        </w:rPr>
      </w:pPr>
      <w:r>
        <w:rPr>
          <w:color w:val="auto"/>
        </w:rPr>
        <w:t>环境管理制度</w:t>
      </w:r>
    </w:p>
    <w:p w14:paraId="6BE444EC" w14:textId="77777777" w:rsidR="002E474C" w:rsidRDefault="00000000">
      <w:pPr>
        <w:pStyle w:val="41"/>
        <w:rPr>
          <w:color w:val="auto"/>
        </w:rPr>
      </w:pPr>
      <w:r>
        <w:rPr>
          <w:color w:val="auto"/>
        </w:rPr>
        <w:t>贯彻执行</w:t>
      </w:r>
      <w:r>
        <w:rPr>
          <w:color w:val="auto"/>
        </w:rPr>
        <w:t>“</w:t>
      </w:r>
      <w:r>
        <w:rPr>
          <w:color w:val="auto"/>
        </w:rPr>
        <w:t>三同时</w:t>
      </w:r>
      <w:r>
        <w:rPr>
          <w:color w:val="auto"/>
        </w:rPr>
        <w:t>”</w:t>
      </w:r>
      <w:r>
        <w:rPr>
          <w:color w:val="auto"/>
        </w:rPr>
        <w:t>制度</w:t>
      </w:r>
    </w:p>
    <w:p w14:paraId="2F35037A" w14:textId="77777777" w:rsidR="002E474C" w:rsidRDefault="00000000">
      <w:pPr>
        <w:pStyle w:val="A-z"/>
        <w:rPr>
          <w:color w:val="auto"/>
        </w:rPr>
      </w:pPr>
      <w:r>
        <w:rPr>
          <w:color w:val="auto"/>
        </w:rPr>
        <w:t>本项目应按要求落实污染防治设施与主体工程同时设计、同时施工、同时投入使用的</w:t>
      </w:r>
      <w:r>
        <w:rPr>
          <w:color w:val="auto"/>
        </w:rPr>
        <w:t>“</w:t>
      </w:r>
      <w:r>
        <w:rPr>
          <w:color w:val="auto"/>
        </w:rPr>
        <w:t>三同时</w:t>
      </w:r>
      <w:r>
        <w:rPr>
          <w:color w:val="auto"/>
        </w:rPr>
        <w:t>”</w:t>
      </w:r>
      <w:r>
        <w:rPr>
          <w:color w:val="auto"/>
        </w:rPr>
        <w:t>制度。</w:t>
      </w:r>
    </w:p>
    <w:p w14:paraId="1FD32EF9" w14:textId="77777777" w:rsidR="002E474C" w:rsidRDefault="00000000">
      <w:pPr>
        <w:pStyle w:val="41"/>
        <w:rPr>
          <w:color w:val="auto"/>
        </w:rPr>
      </w:pPr>
      <w:r>
        <w:rPr>
          <w:color w:val="auto"/>
        </w:rPr>
        <w:t>贯彻执行排污许可制度</w:t>
      </w:r>
    </w:p>
    <w:p w14:paraId="03BDBD29" w14:textId="77777777" w:rsidR="002E474C" w:rsidRDefault="00000000">
      <w:pPr>
        <w:pStyle w:val="A-z"/>
        <w:ind w:firstLine="456"/>
        <w:rPr>
          <w:color w:val="auto"/>
          <w:spacing w:val="-6"/>
        </w:rPr>
      </w:pPr>
      <w:r>
        <w:rPr>
          <w:color w:val="auto"/>
          <w:spacing w:val="-6"/>
        </w:rPr>
        <w:t>根据《排污许可管理办法》（生态环境部令第</w:t>
      </w:r>
      <w:r>
        <w:rPr>
          <w:color w:val="auto"/>
          <w:spacing w:val="-6"/>
        </w:rPr>
        <w:t>32</w:t>
      </w:r>
      <w:r>
        <w:rPr>
          <w:color w:val="auto"/>
          <w:spacing w:val="-6"/>
        </w:rPr>
        <w:t>号），依照法律规定实行排污许可管理的企业事业单位和其他生产经营者，应当依法申请取得排污许可证，并按照排污许可证的规定排放污染物；未取得排污许可证的，不得排放污染物。</w:t>
      </w:r>
    </w:p>
    <w:p w14:paraId="210E71F0" w14:textId="77777777" w:rsidR="002E474C" w:rsidRDefault="00000000">
      <w:pPr>
        <w:pStyle w:val="A-z"/>
        <w:rPr>
          <w:color w:val="auto"/>
        </w:rPr>
      </w:pPr>
      <w:r>
        <w:rPr>
          <w:color w:val="auto"/>
        </w:rPr>
        <w:lastRenderedPageBreak/>
        <w:t>根据《固定污染源排污许可分类管理名录（</w:t>
      </w:r>
      <w:r>
        <w:rPr>
          <w:color w:val="auto"/>
        </w:rPr>
        <w:t>2019</w:t>
      </w:r>
      <w:r>
        <w:rPr>
          <w:color w:val="auto"/>
        </w:rPr>
        <w:t>年版）》，本项目属于名录中</w:t>
      </w:r>
      <w:r>
        <w:rPr>
          <w:color w:val="auto"/>
        </w:rPr>
        <w:t xml:space="preserve">“103 </w:t>
      </w:r>
      <w:r>
        <w:rPr>
          <w:color w:val="auto"/>
        </w:rPr>
        <w:t>环境治理业</w:t>
      </w:r>
      <w:r>
        <w:rPr>
          <w:color w:val="auto"/>
        </w:rPr>
        <w:t xml:space="preserve"> 772”</w:t>
      </w:r>
      <w:r>
        <w:rPr>
          <w:color w:val="auto"/>
        </w:rPr>
        <w:t>，为重点管理单位。</w:t>
      </w:r>
    </w:p>
    <w:p w14:paraId="4235C5D3" w14:textId="77777777" w:rsidR="002E474C" w:rsidRDefault="00000000">
      <w:pPr>
        <w:pStyle w:val="A-z"/>
        <w:rPr>
          <w:bCs/>
          <w:color w:val="auto"/>
        </w:rPr>
      </w:pPr>
      <w:r>
        <w:rPr>
          <w:bCs/>
          <w:color w:val="auto"/>
        </w:rPr>
        <w:t>（</w:t>
      </w:r>
      <w:r>
        <w:rPr>
          <w:bCs/>
          <w:color w:val="auto"/>
        </w:rPr>
        <w:t>1</w:t>
      </w:r>
      <w:r>
        <w:rPr>
          <w:bCs/>
          <w:color w:val="auto"/>
        </w:rPr>
        <w:t>）年度执行报告</w:t>
      </w:r>
    </w:p>
    <w:p w14:paraId="23F30DFD" w14:textId="77777777" w:rsidR="002E474C" w:rsidRDefault="00000000">
      <w:pPr>
        <w:pStyle w:val="A-z"/>
        <w:rPr>
          <w:color w:val="auto"/>
        </w:rPr>
      </w:pPr>
      <w:r>
        <w:rPr>
          <w:color w:val="auto"/>
        </w:rPr>
        <w:t>排污单位应每自然年上报一次排污许可证年度执行报告，年报应于次年一月底前提交至排污许可证核发机关。</w:t>
      </w:r>
    </w:p>
    <w:p w14:paraId="3E6C70B0" w14:textId="77777777" w:rsidR="002E474C" w:rsidRDefault="00000000">
      <w:pPr>
        <w:pStyle w:val="A-z"/>
        <w:rPr>
          <w:bCs/>
          <w:color w:val="auto"/>
        </w:rPr>
      </w:pPr>
      <w:r>
        <w:rPr>
          <w:bCs/>
          <w:color w:val="auto"/>
        </w:rPr>
        <w:t>（</w:t>
      </w:r>
      <w:r>
        <w:rPr>
          <w:bCs/>
          <w:color w:val="auto"/>
        </w:rPr>
        <w:t>2</w:t>
      </w:r>
      <w:r>
        <w:rPr>
          <w:bCs/>
          <w:color w:val="auto"/>
        </w:rPr>
        <w:t>）月</w:t>
      </w:r>
      <w:r>
        <w:rPr>
          <w:bCs/>
          <w:color w:val="auto"/>
        </w:rPr>
        <w:t>/</w:t>
      </w:r>
      <w:r>
        <w:rPr>
          <w:bCs/>
          <w:color w:val="auto"/>
        </w:rPr>
        <w:t>季度执行报告</w:t>
      </w:r>
    </w:p>
    <w:p w14:paraId="612BD83E" w14:textId="77777777" w:rsidR="002E474C" w:rsidRDefault="00000000">
      <w:pPr>
        <w:pStyle w:val="A-z"/>
        <w:rPr>
          <w:color w:val="auto"/>
        </w:rPr>
      </w:pPr>
      <w:r>
        <w:rPr>
          <w:color w:val="auto"/>
        </w:rPr>
        <w:t>排污单位应每季度上报一次排污许可证季度执行报告。地方环境保护主管部门可按照环境管理要求，要求上报月度执行报告，并在排污许可证中明确。</w:t>
      </w:r>
    </w:p>
    <w:p w14:paraId="6A13A73A" w14:textId="77777777" w:rsidR="002E474C" w:rsidRDefault="00000000">
      <w:pPr>
        <w:pStyle w:val="A-z"/>
        <w:rPr>
          <w:color w:val="auto"/>
        </w:rPr>
      </w:pPr>
      <w:r>
        <w:rPr>
          <w:color w:val="auto"/>
        </w:rPr>
        <w:t>月</w:t>
      </w:r>
      <w:r>
        <w:rPr>
          <w:color w:val="auto"/>
        </w:rPr>
        <w:t>/</w:t>
      </w:r>
      <w:r>
        <w:rPr>
          <w:color w:val="auto"/>
        </w:rPr>
        <w:t>季度执行报告周期为自然月</w:t>
      </w:r>
      <w:r>
        <w:rPr>
          <w:color w:val="auto"/>
        </w:rPr>
        <w:t>/</w:t>
      </w:r>
      <w:r>
        <w:rPr>
          <w:color w:val="auto"/>
        </w:rPr>
        <w:t>季，于下一周期首月十五日前提交至排污许可证核发机关，提交季报或年报时，可免报当月月报。</w:t>
      </w:r>
    </w:p>
    <w:p w14:paraId="0F033AB5" w14:textId="77777777" w:rsidR="002E474C" w:rsidRDefault="00000000">
      <w:pPr>
        <w:pStyle w:val="41"/>
        <w:rPr>
          <w:color w:val="auto"/>
        </w:rPr>
      </w:pPr>
      <w:r>
        <w:rPr>
          <w:color w:val="auto"/>
        </w:rPr>
        <w:t>环境管理台账</w:t>
      </w:r>
    </w:p>
    <w:p w14:paraId="09EFF50B" w14:textId="77777777" w:rsidR="002E474C" w:rsidRDefault="00000000">
      <w:pPr>
        <w:pStyle w:val="A-z"/>
        <w:rPr>
          <w:color w:val="auto"/>
        </w:rPr>
      </w:pPr>
      <w:r>
        <w:rPr>
          <w:color w:val="auto"/>
        </w:rPr>
        <w:t>建设单位应按照《排污许可证申请与核发技术规范</w:t>
      </w:r>
      <w:r>
        <w:rPr>
          <w:color w:val="auto"/>
        </w:rPr>
        <w:t xml:space="preserve"> </w:t>
      </w:r>
      <w:r>
        <w:rPr>
          <w:color w:val="auto"/>
        </w:rPr>
        <w:t>水泥工业》（</w:t>
      </w:r>
      <w:r>
        <w:rPr>
          <w:color w:val="auto"/>
        </w:rPr>
        <w:t>HJ 847-2017</w:t>
      </w:r>
      <w:r>
        <w:rPr>
          <w:color w:val="auto"/>
        </w:rPr>
        <w:t>）</w:t>
      </w:r>
      <w:r>
        <w:rPr>
          <w:color w:val="auto"/>
          <w:lang w:val="en-US"/>
        </w:rPr>
        <w:t>、《排污许可证申请与核发技术规范</w:t>
      </w:r>
      <w:r>
        <w:rPr>
          <w:color w:val="auto"/>
          <w:lang w:val="en-US"/>
        </w:rPr>
        <w:t xml:space="preserve"> </w:t>
      </w:r>
      <w:r>
        <w:rPr>
          <w:color w:val="auto"/>
          <w:lang w:val="en-US"/>
        </w:rPr>
        <w:t>危险废物焚烧》（</w:t>
      </w:r>
      <w:r>
        <w:rPr>
          <w:color w:val="auto"/>
          <w:lang w:val="en-US"/>
        </w:rPr>
        <w:t>HJ 1038-2019</w:t>
      </w:r>
      <w:r>
        <w:rPr>
          <w:color w:val="auto"/>
          <w:lang w:val="en-US"/>
        </w:rPr>
        <w:t>）</w:t>
      </w:r>
      <w:r>
        <w:rPr>
          <w:color w:val="auto"/>
        </w:rPr>
        <w:t>要求，在申请排污许可证时，在排污许可证申请表中明确环境管理台账记录要求。排污单位应建立环境管理台账制度，设置专职人员进行台账的记录、整理、维护和管理，并对台账记录结果的真实性、准确性、完整性负责。</w:t>
      </w:r>
    </w:p>
    <w:p w14:paraId="55985ED1" w14:textId="77777777" w:rsidR="002E474C" w:rsidRDefault="00000000">
      <w:pPr>
        <w:pStyle w:val="A-z"/>
        <w:rPr>
          <w:color w:val="auto"/>
        </w:rPr>
      </w:pPr>
      <w:r>
        <w:rPr>
          <w:color w:val="auto"/>
        </w:rPr>
        <w:t>为实现台账便于携带、作为许可证执行情况佐证并长时间储存的目的以及导出原始数据，加工分析、综合判断运行情况的功能，台账应当按照电子化储存和纸质储存两种形式同步管理。</w:t>
      </w:r>
    </w:p>
    <w:p w14:paraId="517A5E21" w14:textId="77777777" w:rsidR="002E474C" w:rsidRDefault="00000000">
      <w:pPr>
        <w:pStyle w:val="A-z"/>
        <w:rPr>
          <w:color w:val="auto"/>
        </w:rPr>
      </w:pPr>
      <w:r>
        <w:rPr>
          <w:color w:val="auto"/>
        </w:rPr>
        <w:t>排污单位排污许可证台账应真实记录生产设施和污染防治设施信息，其中，生产设施信息包括基本信息和生产设施运行管理信息，污染防治设施信息包括基本信息、污染治理措施运行管理信息、监测记录信息、其他环境管理信息等内容。</w:t>
      </w:r>
    </w:p>
    <w:p w14:paraId="5E79E889" w14:textId="77777777" w:rsidR="002E474C" w:rsidRDefault="00000000">
      <w:pPr>
        <w:pStyle w:val="41"/>
        <w:rPr>
          <w:color w:val="auto"/>
        </w:rPr>
      </w:pPr>
      <w:r>
        <w:rPr>
          <w:color w:val="auto"/>
        </w:rPr>
        <w:t>操作运行记录制度</w:t>
      </w:r>
    </w:p>
    <w:p w14:paraId="05DAB3BA" w14:textId="77777777" w:rsidR="002E474C" w:rsidRDefault="00000000">
      <w:pPr>
        <w:pStyle w:val="A-z"/>
        <w:rPr>
          <w:color w:val="auto"/>
        </w:rPr>
      </w:pPr>
      <w:r>
        <w:rPr>
          <w:color w:val="auto"/>
        </w:rPr>
        <w:t>按照《水泥窑协同处置固体废物环境保护技术规范》（</w:t>
      </w:r>
      <w:r>
        <w:rPr>
          <w:color w:val="auto"/>
        </w:rPr>
        <w:t>HJ662-2013</w:t>
      </w:r>
      <w:r>
        <w:rPr>
          <w:color w:val="auto"/>
        </w:rPr>
        <w:t>）的要求建立操作运行记录制度，其中，每套投加系统的危险废物小时平均投加速率每小时记录</w:t>
      </w:r>
      <w:r>
        <w:rPr>
          <w:color w:val="auto"/>
        </w:rPr>
        <w:t>1</w:t>
      </w:r>
      <w:r>
        <w:rPr>
          <w:color w:val="auto"/>
        </w:rPr>
        <w:t>次，重金属吨熟料和吨水泥投加量每</w:t>
      </w:r>
      <w:r>
        <w:rPr>
          <w:color w:val="auto"/>
        </w:rPr>
        <w:t>8</w:t>
      </w:r>
      <w:r>
        <w:rPr>
          <w:color w:val="auto"/>
        </w:rPr>
        <w:t>小时记录</w:t>
      </w:r>
      <w:r>
        <w:rPr>
          <w:color w:val="auto"/>
        </w:rPr>
        <w:t>1</w:t>
      </w:r>
      <w:r>
        <w:rPr>
          <w:color w:val="auto"/>
        </w:rPr>
        <w:t>次。</w:t>
      </w:r>
    </w:p>
    <w:p w14:paraId="322DA5E3" w14:textId="77777777" w:rsidR="002E474C" w:rsidRDefault="00000000">
      <w:pPr>
        <w:pStyle w:val="A-z"/>
        <w:rPr>
          <w:color w:val="auto"/>
        </w:rPr>
      </w:pPr>
      <w:r>
        <w:rPr>
          <w:color w:val="auto"/>
        </w:rPr>
        <w:t>操作运行记录制度包括生产设施运行状况、设施维护和协同处置生产活动等的登记制度，主要记录内容应包括：</w:t>
      </w:r>
    </w:p>
    <w:p w14:paraId="1C41BB9A" w14:textId="77777777" w:rsidR="002E474C" w:rsidRDefault="00000000">
      <w:pPr>
        <w:pStyle w:val="A-z"/>
        <w:ind w:firstLine="456"/>
        <w:rPr>
          <w:color w:val="auto"/>
          <w:spacing w:val="-6"/>
        </w:rPr>
      </w:pPr>
      <w:r>
        <w:rPr>
          <w:color w:val="auto"/>
          <w:spacing w:val="-6"/>
        </w:rPr>
        <w:lastRenderedPageBreak/>
        <w:t>（</w:t>
      </w:r>
      <w:r>
        <w:rPr>
          <w:color w:val="auto"/>
          <w:spacing w:val="-6"/>
        </w:rPr>
        <w:t>1</w:t>
      </w:r>
      <w:r>
        <w:rPr>
          <w:color w:val="auto"/>
          <w:spacing w:val="-6"/>
        </w:rPr>
        <w:t>）性能测试记录（性能测试所用水泥基本信息，包括窑型、规模、除尘器类型等性能测试时所选择的有机有害标识物及其投加速率、投加位置；有机有害标识物的</w:t>
      </w:r>
      <w:r>
        <w:rPr>
          <w:color w:val="auto"/>
          <w:spacing w:val="-6"/>
        </w:rPr>
        <w:t>DRE</w:t>
      </w:r>
      <w:r>
        <w:rPr>
          <w:color w:val="auto"/>
          <w:spacing w:val="-6"/>
        </w:rPr>
        <w:t>；性能测试时烟气排放物浓度；性能测试时水泥生产工况基本信息，包括容头、尾温度和氧浓度，生料磨运行记录，增湿塔和主除尘器工作状况等）。</w:t>
      </w:r>
    </w:p>
    <w:p w14:paraId="20C6B706" w14:textId="77777777" w:rsidR="002E474C" w:rsidRDefault="00000000">
      <w:pPr>
        <w:pStyle w:val="A-z"/>
        <w:rPr>
          <w:color w:val="auto"/>
        </w:rPr>
      </w:pPr>
      <w:r>
        <w:rPr>
          <w:color w:val="auto"/>
        </w:rPr>
        <w:t>（</w:t>
      </w:r>
      <w:r>
        <w:rPr>
          <w:color w:val="auto"/>
        </w:rPr>
        <w:t>2</w:t>
      </w:r>
      <w:r>
        <w:rPr>
          <w:color w:val="auto"/>
        </w:rPr>
        <w:t>）危险废物的来源、重量、类别、入厂时间、运输车辆车牌号等。</w:t>
      </w:r>
    </w:p>
    <w:p w14:paraId="02681DE0" w14:textId="77777777" w:rsidR="002E474C" w:rsidRDefault="00000000">
      <w:pPr>
        <w:pStyle w:val="A-z"/>
        <w:rPr>
          <w:color w:val="auto"/>
        </w:rPr>
      </w:pPr>
      <w:r>
        <w:rPr>
          <w:color w:val="auto"/>
        </w:rPr>
        <w:t>（</w:t>
      </w:r>
      <w:r>
        <w:rPr>
          <w:color w:val="auto"/>
        </w:rPr>
        <w:t>3</w:t>
      </w:r>
      <w:r>
        <w:rPr>
          <w:color w:val="auto"/>
        </w:rPr>
        <w:t>）协同处置日记录（每日贮存、预处理和协同处置的固体废物类别、数量等；危险废物运输车辆消毒记录；预处理和协同处置设施运行工艺控制参数记录，包括有害元素投加速率、废物投加速率、投加位置等；维修情况记录和生产事故的记录；旁密灰处置记录）。</w:t>
      </w:r>
    </w:p>
    <w:p w14:paraId="6F4ED2CB" w14:textId="77777777" w:rsidR="002E474C" w:rsidRDefault="00000000">
      <w:pPr>
        <w:pStyle w:val="A-z"/>
        <w:rPr>
          <w:color w:val="auto"/>
        </w:rPr>
      </w:pPr>
      <w:r>
        <w:rPr>
          <w:color w:val="auto"/>
        </w:rPr>
        <w:t>（</w:t>
      </w:r>
      <w:r>
        <w:rPr>
          <w:color w:val="auto"/>
        </w:rPr>
        <w:t>4</w:t>
      </w:r>
      <w:r>
        <w:rPr>
          <w:color w:val="auto"/>
        </w:rPr>
        <w:t>）环境监测记录（烟气中污染物排放和水泥产品的污染控制监测结果）。</w:t>
      </w:r>
    </w:p>
    <w:p w14:paraId="3DF9AD56" w14:textId="77777777" w:rsidR="002E474C" w:rsidRDefault="00000000">
      <w:pPr>
        <w:pStyle w:val="A-z"/>
        <w:rPr>
          <w:color w:val="auto"/>
        </w:rPr>
      </w:pPr>
      <w:r>
        <w:rPr>
          <w:color w:val="auto"/>
        </w:rPr>
        <w:t>（</w:t>
      </w:r>
      <w:r>
        <w:rPr>
          <w:color w:val="auto"/>
        </w:rPr>
        <w:t>5</w:t>
      </w:r>
      <w:r>
        <w:rPr>
          <w:color w:val="auto"/>
        </w:rPr>
        <w:t>）定期检测、评价及评估情况记录（定期对固体废物协同处置效果的评价，以及相关的改进措施记录；定期对固体废物协同处置设施运行及安全情况的检测和评估记录；定期对固体废物协同处置程序和人员操作进行安全评估，以及相关的改进措施记录）。</w:t>
      </w:r>
    </w:p>
    <w:p w14:paraId="2E7B82E7" w14:textId="77777777" w:rsidR="002E474C" w:rsidRDefault="00000000">
      <w:pPr>
        <w:pStyle w:val="41"/>
        <w:rPr>
          <w:color w:val="auto"/>
        </w:rPr>
      </w:pPr>
      <w:r>
        <w:rPr>
          <w:color w:val="auto"/>
        </w:rPr>
        <w:t>环境管理台账记录制度</w:t>
      </w:r>
    </w:p>
    <w:p w14:paraId="53599668" w14:textId="77777777" w:rsidR="002E474C" w:rsidRDefault="00000000">
      <w:pPr>
        <w:pStyle w:val="A-z"/>
        <w:rPr>
          <w:color w:val="auto"/>
        </w:rPr>
      </w:pPr>
      <w:r>
        <w:rPr>
          <w:color w:val="auto"/>
        </w:rPr>
        <w:t>依据《</w:t>
      </w:r>
      <w:bookmarkStart w:id="380" w:name="OLE_LINK28"/>
      <w:r>
        <w:rPr>
          <w:color w:val="auto"/>
        </w:rPr>
        <w:t>排污许可管理</w:t>
      </w:r>
      <w:bookmarkEnd w:id="380"/>
      <w:r>
        <w:rPr>
          <w:color w:val="auto"/>
        </w:rPr>
        <w:t>办法》（</w:t>
      </w:r>
      <w:r>
        <w:rPr>
          <w:color w:val="auto"/>
          <w:lang w:val="en-US"/>
        </w:rPr>
        <w:t>生态环境部</w:t>
      </w:r>
      <w:r>
        <w:rPr>
          <w:color w:val="auto"/>
        </w:rPr>
        <w:t>令第</w:t>
      </w:r>
      <w:r>
        <w:rPr>
          <w:color w:val="auto"/>
        </w:rPr>
        <w:t>32</w:t>
      </w:r>
      <w:r>
        <w:rPr>
          <w:color w:val="auto"/>
        </w:rPr>
        <w:t>号），排污单位应当建立环境管理台账记录制度，按照排污许可证规定的格式、</w:t>
      </w:r>
      <w:bookmarkStart w:id="381" w:name="OLE_LINK33"/>
      <w:r>
        <w:rPr>
          <w:color w:val="auto"/>
        </w:rPr>
        <w:t>内容和频次</w:t>
      </w:r>
      <w:bookmarkEnd w:id="381"/>
      <w:r>
        <w:rPr>
          <w:color w:val="auto"/>
        </w:rPr>
        <w:t>，如实记录主要生产设施、污染防治设施运行情况以及污染物排放浓度、排放量。环境管理台账记录保存期限不得少于</w:t>
      </w:r>
      <w:r>
        <w:rPr>
          <w:color w:val="auto"/>
        </w:rPr>
        <w:t>5</w:t>
      </w:r>
      <w:r>
        <w:rPr>
          <w:color w:val="auto"/>
        </w:rPr>
        <w:t>年。</w:t>
      </w:r>
    </w:p>
    <w:p w14:paraId="2EEC005B" w14:textId="77777777" w:rsidR="002E474C" w:rsidRDefault="00000000">
      <w:pPr>
        <w:pStyle w:val="41"/>
        <w:rPr>
          <w:color w:val="auto"/>
        </w:rPr>
      </w:pPr>
      <w:r>
        <w:rPr>
          <w:color w:val="auto"/>
        </w:rPr>
        <w:t>土壤污染隐患排查制度</w:t>
      </w:r>
    </w:p>
    <w:p w14:paraId="2ED65E1A" w14:textId="77777777" w:rsidR="002E474C" w:rsidRDefault="00000000">
      <w:pPr>
        <w:pStyle w:val="A-z"/>
        <w:rPr>
          <w:color w:val="auto"/>
        </w:rPr>
      </w:pPr>
      <w:r>
        <w:rPr>
          <w:color w:val="auto"/>
        </w:rPr>
        <w:t>根据《中华人民共和国土壤污染防治法》、《工矿用地土壤环境管理办法（试行）》和《重点监管单位土壤污染隐患排查指南（试行）》要求，建立土壤污染隐患排查治理制度，定期对重点区域、重点设施开展隐患排查。发现污染隐患的，应当制定整改方案，及时采取技术、管理措施消除隐患。隐患排查、治理情况应当如实记录并建立档案。</w:t>
      </w:r>
    </w:p>
    <w:p w14:paraId="70E4EA60" w14:textId="77777777" w:rsidR="002E474C" w:rsidRDefault="00000000">
      <w:pPr>
        <w:pStyle w:val="41"/>
        <w:rPr>
          <w:color w:val="auto"/>
        </w:rPr>
      </w:pPr>
      <w:r>
        <w:rPr>
          <w:color w:val="auto"/>
        </w:rPr>
        <w:t>环境信息依法披露制度</w:t>
      </w:r>
    </w:p>
    <w:p w14:paraId="19006A66" w14:textId="77777777" w:rsidR="002E474C" w:rsidRDefault="00000000">
      <w:pPr>
        <w:pStyle w:val="A-z"/>
        <w:ind w:firstLine="456"/>
        <w:rPr>
          <w:color w:val="auto"/>
          <w:spacing w:val="-6"/>
        </w:rPr>
      </w:pPr>
      <w:r>
        <w:rPr>
          <w:color w:val="auto"/>
          <w:spacing w:val="-6"/>
        </w:rPr>
        <w:t>根据《环境监管重点单位名录管理办法》（生态环境部令第</w:t>
      </w:r>
      <w:r>
        <w:rPr>
          <w:color w:val="auto"/>
          <w:spacing w:val="-6"/>
        </w:rPr>
        <w:t>27</w:t>
      </w:r>
      <w:r>
        <w:rPr>
          <w:color w:val="auto"/>
          <w:spacing w:val="-6"/>
        </w:rPr>
        <w:t>号），本项目属于</w:t>
      </w:r>
      <w:r>
        <w:rPr>
          <w:color w:val="auto"/>
          <w:spacing w:val="-6"/>
        </w:rPr>
        <w:t>“</w:t>
      </w:r>
      <w:r>
        <w:rPr>
          <w:color w:val="auto"/>
          <w:spacing w:val="-6"/>
          <w:lang w:val="en-US"/>
        </w:rPr>
        <w:t>持有危险废物经营许可证的企业</w:t>
      </w:r>
      <w:r>
        <w:rPr>
          <w:color w:val="auto"/>
          <w:spacing w:val="-6"/>
        </w:rPr>
        <w:t>”</w:t>
      </w:r>
      <w:r>
        <w:rPr>
          <w:color w:val="auto"/>
          <w:spacing w:val="-6"/>
        </w:rPr>
        <w:t>，列为</w:t>
      </w:r>
      <w:bookmarkStart w:id="382" w:name="OLE_LINK35"/>
      <w:r>
        <w:rPr>
          <w:color w:val="auto"/>
          <w:spacing w:val="-6"/>
        </w:rPr>
        <w:t>环境风险重点管控单位</w:t>
      </w:r>
      <w:bookmarkEnd w:id="382"/>
      <w:r>
        <w:rPr>
          <w:color w:val="auto"/>
          <w:spacing w:val="-6"/>
        </w:rPr>
        <w:t>。环境监管重点单</w:t>
      </w:r>
      <w:r>
        <w:rPr>
          <w:color w:val="auto"/>
          <w:spacing w:val="-6"/>
        </w:rPr>
        <w:lastRenderedPageBreak/>
        <w:t>位应当依法履行自行监测、信息公开等生态环境法律义务，采取措施防治环境污染，防范环境风险。</w:t>
      </w:r>
    </w:p>
    <w:p w14:paraId="3FFE98E8" w14:textId="77777777" w:rsidR="002E474C" w:rsidRDefault="00000000">
      <w:pPr>
        <w:pStyle w:val="41"/>
        <w:rPr>
          <w:color w:val="auto"/>
        </w:rPr>
      </w:pPr>
      <w:r>
        <w:rPr>
          <w:color w:val="auto"/>
        </w:rPr>
        <w:t>其他管理制度</w:t>
      </w:r>
    </w:p>
    <w:p w14:paraId="253CCB8F" w14:textId="77777777" w:rsidR="002E474C" w:rsidRDefault="00000000">
      <w:pPr>
        <w:pStyle w:val="A-z"/>
        <w:rPr>
          <w:color w:val="auto"/>
        </w:rPr>
      </w:pPr>
      <w:r>
        <w:rPr>
          <w:color w:val="auto"/>
        </w:rPr>
        <w:t>按照《水泥窑协同处置固体废物环境保护技术规范》（</w:t>
      </w:r>
      <w:r>
        <w:rPr>
          <w:color w:val="auto"/>
        </w:rPr>
        <w:t>HJ662-2013</w:t>
      </w:r>
      <w:r>
        <w:rPr>
          <w:color w:val="auto"/>
        </w:rPr>
        <w:t>）的要求建立人员培训制度、安全管理制度、人员健康管理制度。</w:t>
      </w:r>
    </w:p>
    <w:p w14:paraId="2859E72C" w14:textId="77777777" w:rsidR="002E474C" w:rsidRDefault="00000000">
      <w:pPr>
        <w:pStyle w:val="A-z"/>
        <w:rPr>
          <w:color w:val="auto"/>
        </w:rPr>
      </w:pPr>
      <w:r>
        <w:rPr>
          <w:color w:val="auto"/>
        </w:rPr>
        <w:t>依据《中华人民共和国环境保护法》建立环境保护责任制度，明确单位负责人和相关责任人员。</w:t>
      </w:r>
    </w:p>
    <w:p w14:paraId="1C063BA2" w14:textId="77777777" w:rsidR="002E474C" w:rsidRDefault="00000000">
      <w:pPr>
        <w:pStyle w:val="A-z"/>
        <w:rPr>
          <w:color w:val="auto"/>
        </w:rPr>
      </w:pPr>
      <w:r>
        <w:rPr>
          <w:color w:val="auto"/>
        </w:rPr>
        <w:t>依据《</w:t>
      </w:r>
      <w:bookmarkStart w:id="383" w:name="OLE_LINK36"/>
      <w:r>
        <w:rPr>
          <w:color w:val="auto"/>
        </w:rPr>
        <w:t>突发环境事件</w:t>
      </w:r>
      <w:bookmarkEnd w:id="383"/>
      <w:r>
        <w:rPr>
          <w:color w:val="auto"/>
        </w:rPr>
        <w:t>应急管理办法》（环境保护部令</w:t>
      </w:r>
      <w:r>
        <w:rPr>
          <w:color w:val="auto"/>
        </w:rPr>
        <w:t>34</w:t>
      </w:r>
      <w:r>
        <w:rPr>
          <w:color w:val="auto"/>
        </w:rPr>
        <w:t>号）建立健全环境安全隐患排查治理制度，建立隐患排查治理档案，及时发现并消除环境安全隐患。</w:t>
      </w:r>
    </w:p>
    <w:p w14:paraId="362A759E" w14:textId="77777777" w:rsidR="002E474C" w:rsidRDefault="00000000">
      <w:pPr>
        <w:pStyle w:val="31"/>
        <w:spacing w:before="120" w:after="120"/>
        <w:rPr>
          <w:color w:val="auto"/>
        </w:rPr>
      </w:pPr>
      <w:r>
        <w:rPr>
          <w:color w:val="auto"/>
        </w:rPr>
        <w:t>排污口设置及规范化管理</w:t>
      </w:r>
    </w:p>
    <w:p w14:paraId="15EEF7FB" w14:textId="77777777" w:rsidR="002E474C" w:rsidRDefault="00000000">
      <w:pPr>
        <w:pStyle w:val="A-z"/>
        <w:rPr>
          <w:color w:val="auto"/>
        </w:rPr>
      </w:pPr>
      <w:r>
        <w:rPr>
          <w:color w:val="auto"/>
        </w:rPr>
        <w:t>根据国家环境保护总局《关于开展排放口规范化整治工作的通知》（环发〔</w:t>
      </w:r>
      <w:r>
        <w:rPr>
          <w:color w:val="auto"/>
        </w:rPr>
        <w:t>1999</w:t>
      </w:r>
      <w:r>
        <w:rPr>
          <w:color w:val="auto"/>
        </w:rPr>
        <w:t>〕</w:t>
      </w:r>
      <w:r>
        <w:rPr>
          <w:color w:val="auto"/>
        </w:rPr>
        <w:t>24</w:t>
      </w:r>
      <w:r>
        <w:rPr>
          <w:color w:val="auto"/>
        </w:rPr>
        <w:t>号）的要求，</w:t>
      </w:r>
      <w:r>
        <w:rPr>
          <w:color w:val="auto"/>
        </w:rPr>
        <w:t>“</w:t>
      </w:r>
      <w:r>
        <w:rPr>
          <w:color w:val="auto"/>
        </w:rPr>
        <w:t>一切新建、扩建、改建和限期治理的排污单位必须在建设污染治理设施的同时建设规范化排污口</w:t>
      </w:r>
      <w:r>
        <w:rPr>
          <w:color w:val="auto"/>
        </w:rPr>
        <w:t>”</w:t>
      </w:r>
      <w:r>
        <w:rPr>
          <w:color w:val="auto"/>
        </w:rPr>
        <w:t>，排污口是企业排放污染物进入环境的通道，强化排污口的管理是实施污染物总量控制的基础工作之一，也是区域环境管理逐步实现污染物排放科学化、定量化的重要手段。</w:t>
      </w:r>
    </w:p>
    <w:p w14:paraId="0BAC19E6" w14:textId="77777777" w:rsidR="002E474C" w:rsidRDefault="00000000">
      <w:pPr>
        <w:pStyle w:val="A-z"/>
        <w:rPr>
          <w:color w:val="auto"/>
        </w:rPr>
      </w:pPr>
      <w:r>
        <w:rPr>
          <w:color w:val="auto"/>
        </w:rPr>
        <w:t>（</w:t>
      </w:r>
      <w:r>
        <w:rPr>
          <w:color w:val="auto"/>
        </w:rPr>
        <w:t>1</w:t>
      </w:r>
      <w:r>
        <w:rPr>
          <w:color w:val="auto"/>
        </w:rPr>
        <w:t>）排污口规范化管理的基本原则</w:t>
      </w:r>
    </w:p>
    <w:p w14:paraId="646A4B7E" w14:textId="77777777" w:rsidR="002E474C" w:rsidRDefault="00000000">
      <w:pPr>
        <w:pStyle w:val="A-z"/>
        <w:rPr>
          <w:color w:val="auto"/>
        </w:rPr>
      </w:pPr>
      <w:r>
        <w:rPr>
          <w:color w:val="auto"/>
        </w:rPr>
        <w:t>1</w:t>
      </w:r>
      <w:r>
        <w:rPr>
          <w:color w:val="auto"/>
        </w:rPr>
        <w:t>）向环境排放污染物的排污口必须规范化。</w:t>
      </w:r>
    </w:p>
    <w:p w14:paraId="5CDF10CA" w14:textId="77777777" w:rsidR="002E474C" w:rsidRDefault="00000000">
      <w:pPr>
        <w:pStyle w:val="A-z"/>
        <w:rPr>
          <w:color w:val="auto"/>
        </w:rPr>
      </w:pPr>
      <w:r>
        <w:rPr>
          <w:color w:val="auto"/>
        </w:rPr>
        <w:t>2</w:t>
      </w:r>
      <w:r>
        <w:rPr>
          <w:color w:val="auto"/>
        </w:rPr>
        <w:t>）排放列入总量控制指标污染物的排污口为管理重点。</w:t>
      </w:r>
    </w:p>
    <w:p w14:paraId="7494046C" w14:textId="77777777" w:rsidR="002E474C" w:rsidRDefault="00000000">
      <w:pPr>
        <w:pStyle w:val="A-z"/>
        <w:rPr>
          <w:color w:val="auto"/>
        </w:rPr>
      </w:pPr>
      <w:r>
        <w:rPr>
          <w:color w:val="auto"/>
        </w:rPr>
        <w:t>3</w:t>
      </w:r>
      <w:r>
        <w:rPr>
          <w:color w:val="auto"/>
        </w:rPr>
        <w:t>）排污口应便于采样与计量监测，便于日常现场监督检查。</w:t>
      </w:r>
    </w:p>
    <w:p w14:paraId="6D7AAAC7" w14:textId="77777777" w:rsidR="002E474C" w:rsidRDefault="00000000">
      <w:pPr>
        <w:pStyle w:val="A-z"/>
        <w:rPr>
          <w:color w:val="auto"/>
        </w:rPr>
      </w:pPr>
      <w:r>
        <w:rPr>
          <w:color w:val="auto"/>
        </w:rPr>
        <w:t>（</w:t>
      </w:r>
      <w:r>
        <w:rPr>
          <w:color w:val="auto"/>
        </w:rPr>
        <w:t>2</w:t>
      </w:r>
      <w:r>
        <w:rPr>
          <w:color w:val="auto"/>
        </w:rPr>
        <w:t>）排污口的技术要求</w:t>
      </w:r>
    </w:p>
    <w:p w14:paraId="15F684C3" w14:textId="77777777" w:rsidR="002E474C" w:rsidRDefault="00000000">
      <w:pPr>
        <w:pStyle w:val="A-z"/>
        <w:rPr>
          <w:color w:val="auto"/>
        </w:rPr>
      </w:pPr>
      <w:r>
        <w:rPr>
          <w:color w:val="auto"/>
        </w:rPr>
        <w:t>1</w:t>
      </w:r>
      <w:r>
        <w:rPr>
          <w:color w:val="auto"/>
        </w:rPr>
        <w:t>）排污口的位置必须合理确定，按规定要求进行规范化管理。</w:t>
      </w:r>
    </w:p>
    <w:p w14:paraId="2D4FF90B" w14:textId="77777777" w:rsidR="002E474C" w:rsidRDefault="00000000">
      <w:pPr>
        <w:pStyle w:val="A-z"/>
        <w:rPr>
          <w:color w:val="auto"/>
        </w:rPr>
      </w:pPr>
      <w:r>
        <w:rPr>
          <w:color w:val="auto"/>
        </w:rPr>
        <w:t>2</w:t>
      </w:r>
      <w:r>
        <w:rPr>
          <w:color w:val="auto"/>
        </w:rPr>
        <w:t>）排放污染物的采样点设置应按国家有关污染源监测技术规范的规定执行，设置在企业污染物总排口及治理设施的进出口等处。</w:t>
      </w:r>
    </w:p>
    <w:p w14:paraId="7011EA6B" w14:textId="77777777" w:rsidR="002E474C" w:rsidRDefault="00000000">
      <w:pPr>
        <w:pStyle w:val="A-z"/>
        <w:rPr>
          <w:color w:val="auto"/>
        </w:rPr>
      </w:pPr>
      <w:r>
        <w:rPr>
          <w:color w:val="auto"/>
        </w:rPr>
        <w:t>（</w:t>
      </w:r>
      <w:r>
        <w:rPr>
          <w:color w:val="auto"/>
        </w:rPr>
        <w:t>3</w:t>
      </w:r>
      <w:r>
        <w:rPr>
          <w:color w:val="auto"/>
        </w:rPr>
        <w:t>）排污口立标管理</w:t>
      </w:r>
    </w:p>
    <w:p w14:paraId="7A5AF963" w14:textId="070081F3" w:rsidR="002E474C" w:rsidRDefault="00000000">
      <w:pPr>
        <w:pStyle w:val="A-z"/>
        <w:rPr>
          <w:color w:val="auto"/>
        </w:rPr>
      </w:pPr>
      <w:r>
        <w:rPr>
          <w:color w:val="auto"/>
        </w:rPr>
        <w:t>排污口及环境保护图形标志设置应符合《排污口规范化整治技术要求</w:t>
      </w:r>
      <w:r>
        <w:rPr>
          <w:color w:val="auto"/>
        </w:rPr>
        <w:t>(</w:t>
      </w:r>
      <w:r>
        <w:rPr>
          <w:color w:val="auto"/>
        </w:rPr>
        <w:t>试行</w:t>
      </w:r>
      <w:r>
        <w:rPr>
          <w:color w:val="auto"/>
        </w:rPr>
        <w:t>)</w:t>
      </w:r>
      <w:r>
        <w:rPr>
          <w:color w:val="auto"/>
        </w:rPr>
        <w:t>》（环监〔</w:t>
      </w:r>
      <w:r>
        <w:rPr>
          <w:color w:val="auto"/>
        </w:rPr>
        <w:t>1996</w:t>
      </w:r>
      <w:r>
        <w:rPr>
          <w:color w:val="auto"/>
        </w:rPr>
        <w:t>〕</w:t>
      </w:r>
      <w:r>
        <w:rPr>
          <w:color w:val="auto"/>
        </w:rPr>
        <w:t>470</w:t>
      </w:r>
      <w:r>
        <w:rPr>
          <w:color w:val="auto"/>
        </w:rPr>
        <w:t>号）、《关于开展排放口规范化整治工作的通知》（环发〔</w:t>
      </w:r>
      <w:r>
        <w:rPr>
          <w:color w:val="auto"/>
        </w:rPr>
        <w:t>1999</w:t>
      </w:r>
      <w:r>
        <w:rPr>
          <w:color w:val="auto"/>
        </w:rPr>
        <w:t>〕</w:t>
      </w:r>
      <w:r>
        <w:rPr>
          <w:color w:val="auto"/>
        </w:rPr>
        <w:t>24</w:t>
      </w:r>
      <w:r>
        <w:rPr>
          <w:color w:val="auto"/>
        </w:rPr>
        <w:t>号）、《环境保护图形标志</w:t>
      </w:r>
      <w:r>
        <w:rPr>
          <w:color w:val="auto"/>
        </w:rPr>
        <w:t xml:space="preserve"> </w:t>
      </w:r>
      <w:r>
        <w:rPr>
          <w:color w:val="auto"/>
        </w:rPr>
        <w:t>排放口（源）》（</w:t>
      </w:r>
      <w:r>
        <w:rPr>
          <w:color w:val="auto"/>
        </w:rPr>
        <w:t>GB15562.1-1995</w:t>
      </w:r>
      <w:r>
        <w:rPr>
          <w:color w:val="auto"/>
        </w:rPr>
        <w:t>）、《环境保护图形标志</w:t>
      </w:r>
      <w:r>
        <w:rPr>
          <w:color w:val="auto"/>
        </w:rPr>
        <w:t xml:space="preserve"> </w:t>
      </w:r>
      <w:r>
        <w:rPr>
          <w:color w:val="auto"/>
        </w:rPr>
        <w:t>固体废物贮存（处置）场》（</w:t>
      </w:r>
      <w:r>
        <w:rPr>
          <w:color w:val="auto"/>
        </w:rPr>
        <w:t>GB15562.2-1995</w:t>
      </w:r>
      <w:r>
        <w:rPr>
          <w:color w:val="auto"/>
        </w:rPr>
        <w:t>）</w:t>
      </w:r>
      <w:r w:rsidR="00694512" w:rsidRPr="00694512">
        <w:rPr>
          <w:color w:val="auto"/>
          <w:lang w:val="en-US"/>
        </w:rPr>
        <w:t>（</w:t>
      </w:r>
      <w:r w:rsidR="00694512" w:rsidRPr="00694512">
        <w:rPr>
          <w:color w:val="auto"/>
          <w:lang w:val="en-US"/>
        </w:rPr>
        <w:t>2023</w:t>
      </w:r>
      <w:r w:rsidR="00694512" w:rsidRPr="00694512">
        <w:rPr>
          <w:color w:val="auto"/>
          <w:lang w:val="en-US"/>
        </w:rPr>
        <w:t>修改单）</w:t>
      </w:r>
      <w:r>
        <w:rPr>
          <w:color w:val="auto"/>
        </w:rPr>
        <w:t>、</w:t>
      </w:r>
      <w:r>
        <w:rPr>
          <w:color w:val="auto"/>
        </w:rPr>
        <w:lastRenderedPageBreak/>
        <w:t>《固定污染源烟气（</w:t>
      </w:r>
      <w:r>
        <w:rPr>
          <w:color w:val="auto"/>
        </w:rPr>
        <w:t>SO</w:t>
      </w:r>
      <w:r>
        <w:rPr>
          <w:color w:val="auto"/>
          <w:vertAlign w:val="subscript"/>
        </w:rPr>
        <w:t>2</w:t>
      </w:r>
      <w:r>
        <w:rPr>
          <w:color w:val="auto"/>
        </w:rPr>
        <w:t>、</w:t>
      </w:r>
      <w:r>
        <w:rPr>
          <w:color w:val="auto"/>
        </w:rPr>
        <w:t>NO</w:t>
      </w:r>
      <w:r>
        <w:rPr>
          <w:color w:val="auto"/>
          <w:vertAlign w:val="subscript"/>
        </w:rPr>
        <w:t>X</w:t>
      </w:r>
      <w:r>
        <w:rPr>
          <w:color w:val="auto"/>
        </w:rPr>
        <w:t>、颗粒物）排放连续监测技术规范》（</w:t>
      </w:r>
      <w:r>
        <w:rPr>
          <w:color w:val="auto"/>
        </w:rPr>
        <w:t>HJ75-2017</w:t>
      </w:r>
      <w:r>
        <w:rPr>
          <w:color w:val="auto"/>
        </w:rPr>
        <w:t>）的规定。</w:t>
      </w:r>
    </w:p>
    <w:p w14:paraId="0F1E482C" w14:textId="64DA654F" w:rsidR="002E474C" w:rsidRDefault="00000000">
      <w:pPr>
        <w:pStyle w:val="A-z"/>
        <w:rPr>
          <w:color w:val="auto"/>
        </w:rPr>
      </w:pPr>
      <w:r>
        <w:rPr>
          <w:color w:val="auto"/>
        </w:rPr>
        <w:t>企业应按照《危险废物识别标志设置技术规范》（</w:t>
      </w:r>
      <w:r>
        <w:rPr>
          <w:color w:val="auto"/>
        </w:rPr>
        <w:t>HJ 1276-2022</w:t>
      </w:r>
      <w:r>
        <w:rPr>
          <w:color w:val="auto"/>
        </w:rPr>
        <w:t>）和《环境保护图形标志</w:t>
      </w:r>
      <w:r>
        <w:rPr>
          <w:color w:val="auto"/>
        </w:rPr>
        <w:t xml:space="preserve"> </w:t>
      </w:r>
      <w:r>
        <w:rPr>
          <w:color w:val="auto"/>
        </w:rPr>
        <w:t>固体废物贮存（处置）场》（</w:t>
      </w:r>
      <w:r>
        <w:rPr>
          <w:color w:val="auto"/>
        </w:rPr>
        <w:t>15562.2-1995</w:t>
      </w:r>
      <w:r>
        <w:rPr>
          <w:color w:val="auto"/>
        </w:rPr>
        <w:t>）</w:t>
      </w:r>
      <w:r w:rsidR="00694512" w:rsidRPr="00694512">
        <w:rPr>
          <w:color w:val="auto"/>
          <w:lang w:val="en-US"/>
        </w:rPr>
        <w:t>（</w:t>
      </w:r>
      <w:r w:rsidR="00694512" w:rsidRPr="00694512">
        <w:rPr>
          <w:color w:val="auto"/>
          <w:lang w:val="en-US"/>
        </w:rPr>
        <w:t>2023</w:t>
      </w:r>
      <w:r w:rsidR="00694512" w:rsidRPr="00694512">
        <w:rPr>
          <w:color w:val="auto"/>
          <w:lang w:val="en-US"/>
        </w:rPr>
        <w:t>修改单）</w:t>
      </w:r>
      <w:r>
        <w:rPr>
          <w:color w:val="auto"/>
        </w:rPr>
        <w:t>规范设置危险废物识别标志。</w:t>
      </w:r>
    </w:p>
    <w:p w14:paraId="17C3878B" w14:textId="77777777" w:rsidR="002E474C" w:rsidRDefault="00000000">
      <w:pPr>
        <w:pStyle w:val="A-z"/>
        <w:rPr>
          <w:color w:val="auto"/>
        </w:rPr>
      </w:pPr>
      <w:r>
        <w:rPr>
          <w:color w:val="auto"/>
        </w:rPr>
        <w:t>企业污染物排放口的标志示例见表</w:t>
      </w:r>
      <w:r>
        <w:rPr>
          <w:color w:val="auto"/>
        </w:rPr>
        <w:t>8.1</w:t>
      </w:r>
      <w:r>
        <w:rPr>
          <w:color w:val="auto"/>
        </w:rPr>
        <w:noBreakHyphen/>
        <w:t>2</w:t>
      </w:r>
      <w:r>
        <w:rPr>
          <w:color w:val="auto"/>
        </w:rPr>
        <w:t>和表</w:t>
      </w:r>
      <w:r>
        <w:rPr>
          <w:color w:val="auto"/>
        </w:rPr>
        <w:t>8.1</w:t>
      </w:r>
      <w:r>
        <w:rPr>
          <w:color w:val="auto"/>
        </w:rPr>
        <w:noBreakHyphen/>
        <w:t>3</w:t>
      </w:r>
      <w:r>
        <w:rPr>
          <w:color w:val="auto"/>
        </w:rPr>
        <w:t>。</w:t>
      </w:r>
    </w:p>
    <w:p w14:paraId="4333A4E1" w14:textId="77777777" w:rsidR="002E474C" w:rsidRDefault="00000000">
      <w:pPr>
        <w:pStyle w:val="A--"/>
        <w:rPr>
          <w:color w:val="auto"/>
        </w:rPr>
      </w:pPr>
      <w:bookmarkStart w:id="384" w:name="_Ref21511656"/>
      <w:r>
        <w:rPr>
          <w:color w:val="auto"/>
        </w:rPr>
        <w:t>表</w:t>
      </w:r>
      <w:r>
        <w:rPr>
          <w:color w:val="auto"/>
        </w:rPr>
        <w:t>8.1</w:t>
      </w:r>
      <w:r>
        <w:rPr>
          <w:color w:val="auto"/>
        </w:rPr>
        <w:noBreakHyphen/>
        <w:t>2</w:t>
      </w:r>
      <w:bookmarkEnd w:id="384"/>
      <w:r>
        <w:rPr>
          <w:color w:val="auto"/>
        </w:rPr>
        <w:t xml:space="preserve">  </w:t>
      </w:r>
      <w:r>
        <w:rPr>
          <w:color w:val="auto"/>
        </w:rPr>
        <w:t>排污口提示图形符号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9"/>
        <w:gridCol w:w="1784"/>
        <w:gridCol w:w="1784"/>
        <w:gridCol w:w="1883"/>
        <w:gridCol w:w="1686"/>
      </w:tblGrid>
      <w:tr w:rsidR="002E474C" w14:paraId="5303177A" w14:textId="77777777">
        <w:trPr>
          <w:jc w:val="center"/>
        </w:trPr>
        <w:tc>
          <w:tcPr>
            <w:tcW w:w="699" w:type="pct"/>
            <w:vAlign w:val="center"/>
          </w:tcPr>
          <w:p w14:paraId="2F492D39" w14:textId="77777777" w:rsidR="002E474C" w:rsidRDefault="00000000">
            <w:pPr>
              <w:pStyle w:val="A-"/>
            </w:pPr>
            <w:r>
              <w:t>排放口</w:t>
            </w:r>
          </w:p>
        </w:tc>
        <w:tc>
          <w:tcPr>
            <w:tcW w:w="1075" w:type="pct"/>
            <w:tcMar>
              <w:left w:w="0" w:type="dxa"/>
              <w:right w:w="0" w:type="dxa"/>
            </w:tcMar>
            <w:vAlign w:val="center"/>
          </w:tcPr>
          <w:p w14:paraId="2558A340" w14:textId="77777777" w:rsidR="002E474C" w:rsidRDefault="00000000">
            <w:pPr>
              <w:pStyle w:val="A-"/>
            </w:pPr>
            <w:r>
              <w:t>废水排口</w:t>
            </w:r>
          </w:p>
        </w:tc>
        <w:tc>
          <w:tcPr>
            <w:tcW w:w="1075" w:type="pct"/>
            <w:vAlign w:val="center"/>
          </w:tcPr>
          <w:p w14:paraId="547B82EC" w14:textId="77777777" w:rsidR="002E474C" w:rsidRDefault="00000000">
            <w:pPr>
              <w:pStyle w:val="A-"/>
            </w:pPr>
            <w:r>
              <w:t>废气排口</w:t>
            </w:r>
          </w:p>
        </w:tc>
        <w:tc>
          <w:tcPr>
            <w:tcW w:w="1135" w:type="pct"/>
            <w:vAlign w:val="center"/>
          </w:tcPr>
          <w:p w14:paraId="215A8C2D" w14:textId="77777777" w:rsidR="002E474C" w:rsidRDefault="00000000">
            <w:pPr>
              <w:pStyle w:val="A-"/>
            </w:pPr>
            <w:r>
              <w:t>一般固废贮存、处置场</w:t>
            </w:r>
          </w:p>
        </w:tc>
        <w:tc>
          <w:tcPr>
            <w:tcW w:w="1016" w:type="pct"/>
            <w:vAlign w:val="center"/>
          </w:tcPr>
          <w:p w14:paraId="29C0582A" w14:textId="77777777" w:rsidR="002E474C" w:rsidRDefault="00000000">
            <w:pPr>
              <w:pStyle w:val="A-"/>
            </w:pPr>
            <w:r>
              <w:t>噪声源</w:t>
            </w:r>
          </w:p>
        </w:tc>
      </w:tr>
      <w:tr w:rsidR="002E474C" w14:paraId="49ADE41A" w14:textId="77777777">
        <w:trPr>
          <w:jc w:val="center"/>
        </w:trPr>
        <w:tc>
          <w:tcPr>
            <w:tcW w:w="699" w:type="pct"/>
            <w:vAlign w:val="center"/>
          </w:tcPr>
          <w:p w14:paraId="38A88374" w14:textId="77777777" w:rsidR="002E474C" w:rsidRDefault="00000000">
            <w:pPr>
              <w:pStyle w:val="A-"/>
            </w:pPr>
            <w:r>
              <w:t>图形符号</w:t>
            </w:r>
          </w:p>
        </w:tc>
        <w:tc>
          <w:tcPr>
            <w:tcW w:w="1075" w:type="pct"/>
            <w:tcMar>
              <w:left w:w="0" w:type="dxa"/>
              <w:right w:w="0" w:type="dxa"/>
            </w:tcMar>
            <w:vAlign w:val="center"/>
          </w:tcPr>
          <w:p w14:paraId="33C7D4B4" w14:textId="77777777" w:rsidR="002E474C" w:rsidRDefault="00000000">
            <w:pPr>
              <w:pStyle w:val="A-"/>
            </w:pPr>
            <w:r>
              <w:rPr>
                <w:noProof/>
              </w:rPr>
              <w:drawing>
                <wp:inline distT="0" distB="0" distL="0" distR="0" wp14:anchorId="2201BD3F" wp14:editId="37C5DD2C">
                  <wp:extent cx="952500" cy="952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075" w:type="pct"/>
            <w:vAlign w:val="center"/>
          </w:tcPr>
          <w:p w14:paraId="1437D5E2" w14:textId="77777777" w:rsidR="002E474C" w:rsidRDefault="00000000">
            <w:pPr>
              <w:pStyle w:val="A-"/>
            </w:pPr>
            <w:r>
              <w:rPr>
                <w:noProof/>
              </w:rPr>
              <w:drawing>
                <wp:inline distT="0" distB="0" distL="0" distR="0" wp14:anchorId="3CC2BF2B" wp14:editId="162CBAD3">
                  <wp:extent cx="952500" cy="952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135" w:type="pct"/>
            <w:vAlign w:val="center"/>
          </w:tcPr>
          <w:p w14:paraId="3D15066F" w14:textId="77777777" w:rsidR="002E474C" w:rsidRDefault="00000000">
            <w:pPr>
              <w:pStyle w:val="A-"/>
            </w:pPr>
            <w:r>
              <w:rPr>
                <w:noProof/>
              </w:rPr>
              <w:drawing>
                <wp:inline distT="0" distB="0" distL="0" distR="0" wp14:anchorId="4D080133" wp14:editId="4722E57B">
                  <wp:extent cx="962025" cy="933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962025" cy="933450"/>
                          </a:xfrm>
                          <a:prstGeom prst="rect">
                            <a:avLst/>
                          </a:prstGeom>
                          <a:noFill/>
                          <a:ln>
                            <a:noFill/>
                          </a:ln>
                        </pic:spPr>
                      </pic:pic>
                    </a:graphicData>
                  </a:graphic>
                </wp:inline>
              </w:drawing>
            </w:r>
          </w:p>
        </w:tc>
        <w:tc>
          <w:tcPr>
            <w:tcW w:w="1016" w:type="pct"/>
            <w:vAlign w:val="center"/>
          </w:tcPr>
          <w:p w14:paraId="6AA4A72A" w14:textId="77777777" w:rsidR="002E474C" w:rsidRDefault="00000000">
            <w:pPr>
              <w:pStyle w:val="A-"/>
            </w:pPr>
            <w:r>
              <w:rPr>
                <w:noProof/>
              </w:rPr>
              <w:drawing>
                <wp:inline distT="0" distB="0" distL="0" distR="0" wp14:anchorId="20CA855D" wp14:editId="146B06EC">
                  <wp:extent cx="952500" cy="952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r>
      <w:tr w:rsidR="002E474C" w14:paraId="32587A3A" w14:textId="77777777">
        <w:trPr>
          <w:jc w:val="center"/>
        </w:trPr>
        <w:tc>
          <w:tcPr>
            <w:tcW w:w="699" w:type="pct"/>
            <w:vAlign w:val="center"/>
          </w:tcPr>
          <w:p w14:paraId="2F149E3A" w14:textId="77777777" w:rsidR="002E474C" w:rsidRDefault="00000000">
            <w:pPr>
              <w:pStyle w:val="A-"/>
            </w:pPr>
            <w:r>
              <w:t>背景颜色</w:t>
            </w:r>
          </w:p>
        </w:tc>
        <w:tc>
          <w:tcPr>
            <w:tcW w:w="4301" w:type="pct"/>
            <w:gridSpan w:val="4"/>
            <w:tcMar>
              <w:left w:w="0" w:type="dxa"/>
              <w:right w:w="0" w:type="dxa"/>
            </w:tcMar>
            <w:vAlign w:val="center"/>
          </w:tcPr>
          <w:p w14:paraId="4506D64F" w14:textId="77777777" w:rsidR="002E474C" w:rsidRDefault="00000000">
            <w:pPr>
              <w:pStyle w:val="A-"/>
            </w:pPr>
            <w:r>
              <w:t>绿色</w:t>
            </w:r>
          </w:p>
        </w:tc>
      </w:tr>
      <w:tr w:rsidR="002E474C" w14:paraId="7E8213EC" w14:textId="77777777">
        <w:trPr>
          <w:jc w:val="center"/>
        </w:trPr>
        <w:tc>
          <w:tcPr>
            <w:tcW w:w="699" w:type="pct"/>
            <w:vAlign w:val="center"/>
          </w:tcPr>
          <w:p w14:paraId="0755E1A2" w14:textId="77777777" w:rsidR="002E474C" w:rsidRDefault="00000000">
            <w:pPr>
              <w:pStyle w:val="A-"/>
            </w:pPr>
            <w:r>
              <w:t>图形颜色</w:t>
            </w:r>
          </w:p>
        </w:tc>
        <w:tc>
          <w:tcPr>
            <w:tcW w:w="4301" w:type="pct"/>
            <w:gridSpan w:val="4"/>
            <w:tcMar>
              <w:left w:w="0" w:type="dxa"/>
              <w:right w:w="0" w:type="dxa"/>
            </w:tcMar>
            <w:vAlign w:val="center"/>
          </w:tcPr>
          <w:p w14:paraId="04BDC02C" w14:textId="77777777" w:rsidR="002E474C" w:rsidRDefault="00000000">
            <w:pPr>
              <w:pStyle w:val="A-"/>
            </w:pPr>
            <w:r>
              <w:t>白色</w:t>
            </w:r>
          </w:p>
        </w:tc>
      </w:tr>
    </w:tbl>
    <w:p w14:paraId="5F4350EC" w14:textId="77777777" w:rsidR="002E474C" w:rsidRDefault="002E474C">
      <w:pPr>
        <w:pStyle w:val="w3"/>
      </w:pPr>
      <w:bookmarkStart w:id="385" w:name="_Ref111572713"/>
    </w:p>
    <w:p w14:paraId="3484683E" w14:textId="77777777" w:rsidR="002E474C" w:rsidRDefault="00000000">
      <w:pPr>
        <w:pStyle w:val="A-0"/>
        <w:rPr>
          <w:color w:val="auto"/>
        </w:rPr>
      </w:pPr>
      <w:r>
        <w:rPr>
          <w:color w:val="auto"/>
        </w:rPr>
        <w:t>表</w:t>
      </w:r>
      <w:r>
        <w:rPr>
          <w:color w:val="auto"/>
        </w:rPr>
        <w:t>8.1</w:t>
      </w:r>
      <w:r>
        <w:rPr>
          <w:color w:val="auto"/>
        </w:rPr>
        <w:noBreakHyphen/>
        <w:t>3</w:t>
      </w:r>
      <w:bookmarkEnd w:id="385"/>
      <w:r>
        <w:rPr>
          <w:color w:val="auto"/>
        </w:rPr>
        <w:t xml:space="preserve">  </w:t>
      </w:r>
      <w:r>
        <w:rPr>
          <w:color w:val="auto"/>
        </w:rPr>
        <w:t>排污口警告图形符号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578"/>
        <w:gridCol w:w="1578"/>
        <w:gridCol w:w="1578"/>
        <w:gridCol w:w="1578"/>
        <w:gridCol w:w="1578"/>
      </w:tblGrid>
      <w:tr w:rsidR="002E474C" w14:paraId="2612EBF0" w14:textId="77777777">
        <w:tc>
          <w:tcPr>
            <w:tcW w:w="242" w:type="pct"/>
            <w:vAlign w:val="center"/>
          </w:tcPr>
          <w:p w14:paraId="569FEBB0" w14:textId="77777777" w:rsidR="002E474C" w:rsidRDefault="00000000">
            <w:pPr>
              <w:pStyle w:val="A-"/>
            </w:pPr>
            <w:r>
              <w:t>排放口</w:t>
            </w:r>
          </w:p>
        </w:tc>
        <w:tc>
          <w:tcPr>
            <w:tcW w:w="952" w:type="pct"/>
            <w:vAlign w:val="center"/>
          </w:tcPr>
          <w:p w14:paraId="50219E9F" w14:textId="77777777" w:rsidR="002E474C" w:rsidRDefault="00000000">
            <w:pPr>
              <w:pStyle w:val="A-"/>
            </w:pPr>
            <w:r>
              <w:t>废水排放口</w:t>
            </w:r>
          </w:p>
        </w:tc>
        <w:tc>
          <w:tcPr>
            <w:tcW w:w="952" w:type="pct"/>
            <w:vAlign w:val="center"/>
          </w:tcPr>
          <w:p w14:paraId="34CF11E1" w14:textId="77777777" w:rsidR="002E474C" w:rsidRDefault="00000000">
            <w:pPr>
              <w:pStyle w:val="A-"/>
            </w:pPr>
            <w:r>
              <w:t>废气排放口</w:t>
            </w:r>
          </w:p>
        </w:tc>
        <w:tc>
          <w:tcPr>
            <w:tcW w:w="952" w:type="pct"/>
            <w:vAlign w:val="center"/>
          </w:tcPr>
          <w:p w14:paraId="06EDAF98" w14:textId="77777777" w:rsidR="002E474C" w:rsidRDefault="00000000">
            <w:pPr>
              <w:pStyle w:val="A-"/>
            </w:pPr>
            <w:r>
              <w:t>噪声排放源</w:t>
            </w:r>
          </w:p>
        </w:tc>
        <w:tc>
          <w:tcPr>
            <w:tcW w:w="952" w:type="pct"/>
            <w:vAlign w:val="center"/>
          </w:tcPr>
          <w:p w14:paraId="67761F4D" w14:textId="77777777" w:rsidR="002E474C" w:rsidRDefault="00000000">
            <w:pPr>
              <w:pStyle w:val="A-"/>
            </w:pPr>
            <w:r>
              <w:t>一般固废警告</w:t>
            </w:r>
          </w:p>
        </w:tc>
        <w:tc>
          <w:tcPr>
            <w:tcW w:w="952" w:type="pct"/>
            <w:vAlign w:val="center"/>
          </w:tcPr>
          <w:p w14:paraId="399BB8F2" w14:textId="77777777" w:rsidR="002E474C" w:rsidRDefault="00000000">
            <w:pPr>
              <w:pStyle w:val="A-"/>
            </w:pPr>
            <w:r>
              <w:t>危险废物警告</w:t>
            </w:r>
          </w:p>
        </w:tc>
      </w:tr>
      <w:tr w:rsidR="002E474C" w14:paraId="371BB884" w14:textId="77777777">
        <w:trPr>
          <w:trHeight w:val="1479"/>
        </w:trPr>
        <w:tc>
          <w:tcPr>
            <w:tcW w:w="242" w:type="pct"/>
            <w:vAlign w:val="center"/>
          </w:tcPr>
          <w:p w14:paraId="3EF22FBA" w14:textId="77777777" w:rsidR="002E474C" w:rsidRDefault="00000000">
            <w:pPr>
              <w:pStyle w:val="A-"/>
            </w:pPr>
            <w:r>
              <w:t>图形符号</w:t>
            </w:r>
          </w:p>
        </w:tc>
        <w:tc>
          <w:tcPr>
            <w:tcW w:w="952" w:type="pct"/>
            <w:vAlign w:val="center"/>
          </w:tcPr>
          <w:p w14:paraId="6C1DCEBB" w14:textId="77777777" w:rsidR="002E474C" w:rsidRDefault="00000000">
            <w:pPr>
              <w:pStyle w:val="A-"/>
            </w:pPr>
            <w:r>
              <w:rPr>
                <w:noProof/>
              </w:rPr>
              <w:drawing>
                <wp:inline distT="0" distB="0" distL="0" distR="0" wp14:anchorId="68F53FCF" wp14:editId="239DCB42">
                  <wp:extent cx="952500" cy="838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52" w:type="pct"/>
            <w:vAlign w:val="center"/>
          </w:tcPr>
          <w:p w14:paraId="4E90C5CF" w14:textId="77777777" w:rsidR="002E474C" w:rsidRDefault="00000000">
            <w:pPr>
              <w:pStyle w:val="A-"/>
            </w:pPr>
            <w:r>
              <w:rPr>
                <w:noProof/>
              </w:rPr>
              <w:drawing>
                <wp:inline distT="0" distB="0" distL="0" distR="0" wp14:anchorId="778B5B65" wp14:editId="383E2947">
                  <wp:extent cx="952500" cy="838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52" w:type="pct"/>
            <w:vAlign w:val="center"/>
          </w:tcPr>
          <w:p w14:paraId="23016301" w14:textId="77777777" w:rsidR="002E474C" w:rsidRDefault="00000000">
            <w:pPr>
              <w:pStyle w:val="A-"/>
            </w:pPr>
            <w:r>
              <w:rPr>
                <w:noProof/>
              </w:rPr>
              <w:drawing>
                <wp:inline distT="0" distB="0" distL="0" distR="0" wp14:anchorId="43C25EBC" wp14:editId="12B93940">
                  <wp:extent cx="952500" cy="838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52" w:type="pct"/>
            <w:vAlign w:val="center"/>
          </w:tcPr>
          <w:p w14:paraId="073FD7D0" w14:textId="77777777" w:rsidR="002E474C" w:rsidRDefault="00000000">
            <w:pPr>
              <w:pStyle w:val="A-"/>
            </w:pPr>
            <w:r>
              <w:rPr>
                <w:noProof/>
              </w:rPr>
              <w:drawing>
                <wp:inline distT="0" distB="0" distL="0" distR="0" wp14:anchorId="66D615C1" wp14:editId="3E0D6E39">
                  <wp:extent cx="952500" cy="838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52" w:type="pct"/>
            <w:vAlign w:val="center"/>
          </w:tcPr>
          <w:p w14:paraId="3746EDC0" w14:textId="77777777" w:rsidR="002E474C" w:rsidRDefault="00000000">
            <w:pPr>
              <w:pStyle w:val="A-"/>
            </w:pPr>
            <w:r>
              <w:rPr>
                <w:noProof/>
              </w:rPr>
              <w:drawing>
                <wp:inline distT="0" distB="0" distL="0" distR="0" wp14:anchorId="244A43C5" wp14:editId="5016A5D8">
                  <wp:extent cx="946150" cy="835025"/>
                  <wp:effectExtent l="0" t="0" r="6350"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7"/>
                          <a:stretch>
                            <a:fillRect/>
                          </a:stretch>
                        </pic:blipFill>
                        <pic:spPr>
                          <a:xfrm>
                            <a:off x="0" y="0"/>
                            <a:ext cx="956522" cy="843703"/>
                          </a:xfrm>
                          <a:prstGeom prst="rect">
                            <a:avLst/>
                          </a:prstGeom>
                        </pic:spPr>
                      </pic:pic>
                    </a:graphicData>
                  </a:graphic>
                </wp:inline>
              </w:drawing>
            </w:r>
          </w:p>
        </w:tc>
      </w:tr>
    </w:tbl>
    <w:p w14:paraId="3D826AA8" w14:textId="77777777" w:rsidR="002E474C" w:rsidRDefault="002E474C">
      <w:pPr>
        <w:pStyle w:val="w3"/>
      </w:pPr>
    </w:p>
    <w:p w14:paraId="4F428C8B" w14:textId="77777777" w:rsidR="002E474C" w:rsidRDefault="00000000">
      <w:pPr>
        <w:pStyle w:val="A-z"/>
        <w:rPr>
          <w:color w:val="auto"/>
        </w:rPr>
      </w:pPr>
      <w:r>
        <w:rPr>
          <w:color w:val="auto"/>
        </w:rPr>
        <w:t>（</w:t>
      </w:r>
      <w:r>
        <w:rPr>
          <w:color w:val="auto"/>
        </w:rPr>
        <w:t>4</w:t>
      </w:r>
      <w:r>
        <w:rPr>
          <w:color w:val="auto"/>
        </w:rPr>
        <w:t>）排污口建档管理</w:t>
      </w:r>
    </w:p>
    <w:p w14:paraId="47167E59" w14:textId="77777777" w:rsidR="002E474C" w:rsidRDefault="00000000">
      <w:pPr>
        <w:pStyle w:val="A-z"/>
        <w:rPr>
          <w:color w:val="auto"/>
        </w:rPr>
      </w:pPr>
      <w:r>
        <w:rPr>
          <w:color w:val="auto"/>
        </w:rPr>
        <w:t>1</w:t>
      </w:r>
      <w:r>
        <w:rPr>
          <w:color w:val="auto"/>
        </w:rPr>
        <w:t>）要求使用规范的《中华人民共和国规范化排污口标志登记证》，并按要求填写有关内容。</w:t>
      </w:r>
    </w:p>
    <w:p w14:paraId="44F9EB9B" w14:textId="77777777" w:rsidR="002E474C" w:rsidRDefault="00000000">
      <w:pPr>
        <w:pStyle w:val="A-z"/>
        <w:rPr>
          <w:color w:val="auto"/>
        </w:rPr>
      </w:pPr>
      <w:r>
        <w:rPr>
          <w:color w:val="auto"/>
        </w:rPr>
        <w:t>2</w:t>
      </w:r>
      <w:r>
        <w:rPr>
          <w:color w:val="auto"/>
        </w:rPr>
        <w:t>）根据排污口管理档案内容要求，项目建成后，应将主要污染物种类、数量、浓度、排放去向、达标情况及设施运行情况记录于档案。</w:t>
      </w:r>
    </w:p>
    <w:p w14:paraId="42D079E4" w14:textId="77777777" w:rsidR="002E474C" w:rsidRDefault="00000000">
      <w:pPr>
        <w:pStyle w:val="A-z"/>
        <w:rPr>
          <w:color w:val="auto"/>
        </w:rPr>
      </w:pPr>
      <w:r>
        <w:rPr>
          <w:color w:val="auto"/>
        </w:rPr>
        <w:t>（</w:t>
      </w:r>
      <w:r>
        <w:rPr>
          <w:color w:val="auto"/>
        </w:rPr>
        <w:t>5</w:t>
      </w:r>
      <w:r>
        <w:rPr>
          <w:color w:val="auto"/>
        </w:rPr>
        <w:t>）排放口设置及编号</w:t>
      </w:r>
    </w:p>
    <w:p w14:paraId="52E0FED6" w14:textId="77777777" w:rsidR="002E474C" w:rsidRDefault="00000000">
      <w:pPr>
        <w:pStyle w:val="A-z"/>
        <w:rPr>
          <w:color w:val="auto"/>
        </w:rPr>
      </w:pPr>
      <w:r>
        <w:rPr>
          <w:color w:val="auto"/>
        </w:rPr>
        <w:t>排放口编号应填报地方生态环境主管部门现有编号，若地方生态环境主管部门未对排放口进行编号，则根据《关于开展火电、造纸行业和</w:t>
      </w:r>
      <w:r>
        <w:rPr>
          <w:color w:val="auto"/>
          <w:lang w:val="en-US"/>
        </w:rPr>
        <w:t>京津冀</w:t>
      </w:r>
      <w:r>
        <w:rPr>
          <w:color w:val="auto"/>
        </w:rPr>
        <w:t>试点城市高架源排污许可证管理工作的通知》（环水体〔</w:t>
      </w:r>
      <w:r>
        <w:rPr>
          <w:color w:val="auto"/>
        </w:rPr>
        <w:t>2016</w:t>
      </w:r>
      <w:r>
        <w:rPr>
          <w:color w:val="auto"/>
        </w:rPr>
        <w:t>〕</w:t>
      </w:r>
      <w:r>
        <w:rPr>
          <w:color w:val="auto"/>
        </w:rPr>
        <w:t>189</w:t>
      </w:r>
      <w:r>
        <w:rPr>
          <w:color w:val="auto"/>
        </w:rPr>
        <w:t>号）附件</w:t>
      </w:r>
      <w:r>
        <w:rPr>
          <w:color w:val="auto"/>
        </w:rPr>
        <w:t>4</w:t>
      </w:r>
      <w:r>
        <w:rPr>
          <w:color w:val="auto"/>
        </w:rPr>
        <w:t>《固定污染源（水、大气）编码规则（试行）》进行编号并填报。</w:t>
      </w:r>
    </w:p>
    <w:p w14:paraId="1C9D3DDF" w14:textId="77777777" w:rsidR="002E474C" w:rsidRDefault="00000000">
      <w:pPr>
        <w:pStyle w:val="A-z"/>
        <w:rPr>
          <w:color w:val="auto"/>
        </w:rPr>
      </w:pPr>
      <w:r>
        <w:rPr>
          <w:color w:val="auto"/>
        </w:rPr>
        <w:lastRenderedPageBreak/>
        <w:t>企业应尽快按照《排污单位污染物排放口二维码标识技术规范》（</w:t>
      </w:r>
      <w:r>
        <w:rPr>
          <w:color w:val="auto"/>
        </w:rPr>
        <w:t>HJ 1297-2023</w:t>
      </w:r>
      <w:r>
        <w:rPr>
          <w:color w:val="auto"/>
        </w:rPr>
        <w:t>）开展污染物排放口二维码标识管理工作。</w:t>
      </w:r>
    </w:p>
    <w:p w14:paraId="575B5D97" w14:textId="77777777" w:rsidR="002E474C" w:rsidRDefault="00000000">
      <w:pPr>
        <w:pStyle w:val="A-z"/>
        <w:rPr>
          <w:color w:val="auto"/>
        </w:rPr>
      </w:pPr>
      <w:r>
        <w:rPr>
          <w:color w:val="auto"/>
        </w:rPr>
        <w:t>根据废气排放口污染物排放特点及排放负荷，将废气排放口分为主要排放口和一般排放口。主要排放口是指水泥窑及窑尾余热利用系统烟囱（窑尾烟囱），危废贮存废气排放口为一般排放口。</w:t>
      </w:r>
    </w:p>
    <w:p w14:paraId="672251EE" w14:textId="77777777" w:rsidR="002E474C" w:rsidRDefault="00000000">
      <w:pPr>
        <w:pStyle w:val="21"/>
        <w:spacing w:before="240" w:after="240"/>
        <w:rPr>
          <w:color w:val="auto"/>
        </w:rPr>
      </w:pPr>
      <w:bookmarkStart w:id="386" w:name="_Toc225848886"/>
      <w:bookmarkStart w:id="387" w:name="_Toc131089653"/>
      <w:bookmarkStart w:id="388" w:name="_Toc1173"/>
      <w:r>
        <w:rPr>
          <w:color w:val="auto"/>
        </w:rPr>
        <w:t>污染物排放清单</w:t>
      </w:r>
      <w:bookmarkEnd w:id="386"/>
      <w:bookmarkEnd w:id="387"/>
      <w:bookmarkEnd w:id="388"/>
    </w:p>
    <w:p w14:paraId="2AADFCC4" w14:textId="77777777" w:rsidR="002E474C" w:rsidRDefault="00000000">
      <w:pPr>
        <w:pStyle w:val="A-z"/>
        <w:rPr>
          <w:color w:val="auto"/>
        </w:rPr>
      </w:pPr>
      <w:r>
        <w:rPr>
          <w:color w:val="auto"/>
        </w:rPr>
        <w:t>根据工程分析及本项目采取的污染治理措施，对本项目污染物排放源及排放量进行梳理，形成污染物排放清单，详见表</w:t>
      </w:r>
      <w:r>
        <w:rPr>
          <w:color w:val="auto"/>
        </w:rPr>
        <w:t>8.3</w:t>
      </w:r>
      <w:r>
        <w:rPr>
          <w:color w:val="auto"/>
        </w:rPr>
        <w:noBreakHyphen/>
        <w:t>1</w:t>
      </w:r>
      <w:r>
        <w:rPr>
          <w:color w:val="auto"/>
        </w:rPr>
        <w:t>。</w:t>
      </w:r>
    </w:p>
    <w:p w14:paraId="6FC6B4DB" w14:textId="77777777" w:rsidR="002E474C" w:rsidRDefault="002E474C">
      <w:pPr>
        <w:pStyle w:val="A-z"/>
        <w:rPr>
          <w:color w:val="auto"/>
        </w:rPr>
        <w:sectPr w:rsidR="002E474C">
          <w:pgSz w:w="11906" w:h="16838"/>
          <w:pgMar w:top="1440" w:right="1800" w:bottom="1440" w:left="1800" w:header="851" w:footer="992" w:gutter="0"/>
          <w:cols w:space="720"/>
          <w:docGrid w:linePitch="312"/>
        </w:sectPr>
      </w:pPr>
    </w:p>
    <w:p w14:paraId="3515249A" w14:textId="77777777" w:rsidR="002E474C" w:rsidRDefault="00000000">
      <w:pPr>
        <w:pStyle w:val="A--"/>
        <w:rPr>
          <w:color w:val="auto"/>
        </w:rPr>
      </w:pPr>
      <w:bookmarkStart w:id="389" w:name="_Ref112673781"/>
      <w:r>
        <w:rPr>
          <w:color w:val="auto"/>
        </w:rPr>
        <w:lastRenderedPageBreak/>
        <w:t>表</w:t>
      </w:r>
      <w:r>
        <w:rPr>
          <w:color w:val="auto"/>
        </w:rPr>
        <w:t>8.3</w:t>
      </w:r>
      <w:r>
        <w:rPr>
          <w:color w:val="auto"/>
        </w:rPr>
        <w:noBreakHyphen/>
        <w:t>1</w:t>
      </w:r>
      <w:bookmarkEnd w:id="389"/>
      <w:r>
        <w:rPr>
          <w:color w:val="auto"/>
        </w:rPr>
        <w:t xml:space="preserve">  </w:t>
      </w:r>
      <w:r>
        <w:rPr>
          <w:color w:val="auto"/>
        </w:rPr>
        <w:t>污染物排放清单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193"/>
        <w:gridCol w:w="3194"/>
        <w:gridCol w:w="577"/>
        <w:gridCol w:w="1400"/>
        <w:gridCol w:w="1278"/>
        <w:gridCol w:w="1355"/>
        <w:gridCol w:w="1389"/>
        <w:gridCol w:w="1011"/>
        <w:gridCol w:w="1040"/>
      </w:tblGrid>
      <w:tr w:rsidR="002E474C" w14:paraId="665839F6" w14:textId="77777777">
        <w:trPr>
          <w:jc w:val="center"/>
        </w:trPr>
        <w:tc>
          <w:tcPr>
            <w:tcW w:w="299" w:type="pct"/>
            <w:vMerge w:val="restart"/>
            <w:vAlign w:val="center"/>
          </w:tcPr>
          <w:p w14:paraId="072A0948" w14:textId="77777777" w:rsidR="002E474C" w:rsidRDefault="00000000">
            <w:pPr>
              <w:pStyle w:val="A-"/>
            </w:pPr>
            <w:r>
              <w:t>污染物类型</w:t>
            </w:r>
          </w:p>
        </w:tc>
        <w:tc>
          <w:tcPr>
            <w:tcW w:w="451" w:type="pct"/>
            <w:vMerge w:val="restart"/>
            <w:vAlign w:val="center"/>
          </w:tcPr>
          <w:p w14:paraId="72B2C0C2" w14:textId="77777777" w:rsidR="002E474C" w:rsidRDefault="00000000">
            <w:pPr>
              <w:pStyle w:val="A-"/>
            </w:pPr>
            <w:r>
              <w:t>产污</w:t>
            </w:r>
          </w:p>
          <w:p w14:paraId="4E99B5C2" w14:textId="77777777" w:rsidR="002E474C" w:rsidRDefault="00000000">
            <w:pPr>
              <w:pStyle w:val="A-"/>
            </w:pPr>
            <w:r>
              <w:t>环节</w:t>
            </w:r>
          </w:p>
        </w:tc>
        <w:tc>
          <w:tcPr>
            <w:tcW w:w="1207" w:type="pct"/>
            <w:vMerge w:val="restart"/>
            <w:vAlign w:val="center"/>
          </w:tcPr>
          <w:p w14:paraId="79DEA0E0" w14:textId="77777777" w:rsidR="002E474C" w:rsidRDefault="00000000">
            <w:pPr>
              <w:pStyle w:val="A-"/>
            </w:pPr>
            <w:r>
              <w:t>污染物类型</w:t>
            </w:r>
          </w:p>
        </w:tc>
        <w:tc>
          <w:tcPr>
            <w:tcW w:w="218" w:type="pct"/>
            <w:vMerge w:val="restart"/>
            <w:vAlign w:val="center"/>
          </w:tcPr>
          <w:p w14:paraId="6CCEA390" w14:textId="77777777" w:rsidR="002E474C" w:rsidRDefault="00000000">
            <w:pPr>
              <w:pStyle w:val="A-"/>
            </w:pPr>
            <w:r>
              <w:t>排放形式</w:t>
            </w:r>
          </w:p>
        </w:tc>
        <w:tc>
          <w:tcPr>
            <w:tcW w:w="529" w:type="pct"/>
            <w:vMerge w:val="restart"/>
            <w:vAlign w:val="center"/>
          </w:tcPr>
          <w:p w14:paraId="4E65C49F" w14:textId="77777777" w:rsidR="002E474C" w:rsidRDefault="00000000">
            <w:pPr>
              <w:pStyle w:val="A-"/>
            </w:pPr>
            <w:r>
              <w:t>环境保护</w:t>
            </w:r>
          </w:p>
          <w:p w14:paraId="3134E499" w14:textId="77777777" w:rsidR="002E474C" w:rsidRDefault="00000000">
            <w:pPr>
              <w:pStyle w:val="A-"/>
            </w:pPr>
            <w:r>
              <w:t>措施</w:t>
            </w:r>
          </w:p>
        </w:tc>
        <w:tc>
          <w:tcPr>
            <w:tcW w:w="483" w:type="pct"/>
            <w:vMerge w:val="restart"/>
            <w:vAlign w:val="center"/>
          </w:tcPr>
          <w:p w14:paraId="55329D71" w14:textId="77777777" w:rsidR="002E474C" w:rsidRDefault="00000000">
            <w:pPr>
              <w:pStyle w:val="A-"/>
            </w:pPr>
            <w:r>
              <w:t>排放浓度</w:t>
            </w:r>
          </w:p>
          <w:p w14:paraId="11CEEC6B" w14:textId="77777777" w:rsidR="002E474C" w:rsidRDefault="00000000">
            <w:pPr>
              <w:pStyle w:val="A-"/>
            </w:pPr>
            <w:r>
              <w:t>（</w:t>
            </w:r>
            <w:r>
              <w:t>mg/m</w:t>
            </w:r>
            <w:r>
              <w:rPr>
                <w:vertAlign w:val="superscript"/>
              </w:rPr>
              <w:t>3</w:t>
            </w:r>
            <w:r>
              <w:t>）</w:t>
            </w:r>
          </w:p>
        </w:tc>
        <w:tc>
          <w:tcPr>
            <w:tcW w:w="512" w:type="pct"/>
            <w:vMerge w:val="restart"/>
            <w:vAlign w:val="center"/>
          </w:tcPr>
          <w:p w14:paraId="4A507BB8" w14:textId="77777777" w:rsidR="002E474C" w:rsidRDefault="00000000">
            <w:pPr>
              <w:pStyle w:val="A-"/>
            </w:pPr>
            <w:r>
              <w:t>排放量</w:t>
            </w:r>
          </w:p>
          <w:p w14:paraId="0CA71A30" w14:textId="77777777" w:rsidR="002E474C" w:rsidRDefault="00000000">
            <w:pPr>
              <w:pStyle w:val="A-"/>
            </w:pPr>
            <w:r>
              <w:t>（</w:t>
            </w:r>
            <w:r>
              <w:t>t/a</w:t>
            </w:r>
            <w:r>
              <w:t>）</w:t>
            </w:r>
          </w:p>
        </w:tc>
        <w:tc>
          <w:tcPr>
            <w:tcW w:w="907" w:type="pct"/>
            <w:gridSpan w:val="2"/>
            <w:vAlign w:val="center"/>
          </w:tcPr>
          <w:p w14:paraId="01A45CD6" w14:textId="77777777" w:rsidR="002E474C" w:rsidRDefault="00000000">
            <w:pPr>
              <w:pStyle w:val="A-"/>
            </w:pPr>
            <w:r>
              <w:t>排放标准限值</w:t>
            </w:r>
          </w:p>
        </w:tc>
        <w:tc>
          <w:tcPr>
            <w:tcW w:w="393" w:type="pct"/>
            <w:vMerge w:val="restart"/>
            <w:vAlign w:val="center"/>
          </w:tcPr>
          <w:p w14:paraId="198A3677" w14:textId="77777777" w:rsidR="002E474C" w:rsidRDefault="00000000">
            <w:pPr>
              <w:pStyle w:val="A-"/>
            </w:pPr>
            <w:r>
              <w:t>执行标准</w:t>
            </w:r>
          </w:p>
        </w:tc>
      </w:tr>
      <w:tr w:rsidR="002E474C" w14:paraId="682D3D44" w14:textId="77777777">
        <w:trPr>
          <w:jc w:val="center"/>
        </w:trPr>
        <w:tc>
          <w:tcPr>
            <w:tcW w:w="299" w:type="pct"/>
            <w:vMerge/>
            <w:vAlign w:val="center"/>
          </w:tcPr>
          <w:p w14:paraId="61B489B0" w14:textId="77777777" w:rsidR="002E474C" w:rsidRDefault="002E474C">
            <w:pPr>
              <w:pStyle w:val="A-"/>
            </w:pPr>
          </w:p>
        </w:tc>
        <w:tc>
          <w:tcPr>
            <w:tcW w:w="451" w:type="pct"/>
            <w:vMerge/>
            <w:vAlign w:val="center"/>
          </w:tcPr>
          <w:p w14:paraId="66131C12" w14:textId="77777777" w:rsidR="002E474C" w:rsidRDefault="002E474C">
            <w:pPr>
              <w:pStyle w:val="A-"/>
            </w:pPr>
          </w:p>
        </w:tc>
        <w:tc>
          <w:tcPr>
            <w:tcW w:w="1207" w:type="pct"/>
            <w:vMerge/>
            <w:vAlign w:val="center"/>
          </w:tcPr>
          <w:p w14:paraId="0628D767" w14:textId="77777777" w:rsidR="002E474C" w:rsidRDefault="002E474C">
            <w:pPr>
              <w:pStyle w:val="A-"/>
            </w:pPr>
          </w:p>
        </w:tc>
        <w:tc>
          <w:tcPr>
            <w:tcW w:w="218" w:type="pct"/>
            <w:vMerge/>
            <w:vAlign w:val="center"/>
          </w:tcPr>
          <w:p w14:paraId="67DC3D5E" w14:textId="77777777" w:rsidR="002E474C" w:rsidRDefault="002E474C">
            <w:pPr>
              <w:pStyle w:val="A-"/>
            </w:pPr>
          </w:p>
        </w:tc>
        <w:tc>
          <w:tcPr>
            <w:tcW w:w="529" w:type="pct"/>
            <w:vMerge/>
            <w:vAlign w:val="center"/>
          </w:tcPr>
          <w:p w14:paraId="072B2CC6" w14:textId="77777777" w:rsidR="002E474C" w:rsidRDefault="002E474C">
            <w:pPr>
              <w:pStyle w:val="A-"/>
            </w:pPr>
          </w:p>
        </w:tc>
        <w:tc>
          <w:tcPr>
            <w:tcW w:w="483" w:type="pct"/>
            <w:vMerge/>
            <w:vAlign w:val="center"/>
          </w:tcPr>
          <w:p w14:paraId="1E615171" w14:textId="77777777" w:rsidR="002E474C" w:rsidRDefault="002E474C">
            <w:pPr>
              <w:pStyle w:val="A-"/>
            </w:pPr>
          </w:p>
        </w:tc>
        <w:tc>
          <w:tcPr>
            <w:tcW w:w="512" w:type="pct"/>
            <w:vMerge/>
            <w:vAlign w:val="center"/>
          </w:tcPr>
          <w:p w14:paraId="167E27A8" w14:textId="77777777" w:rsidR="002E474C" w:rsidRDefault="002E474C">
            <w:pPr>
              <w:pStyle w:val="A-"/>
            </w:pPr>
          </w:p>
        </w:tc>
        <w:tc>
          <w:tcPr>
            <w:tcW w:w="525" w:type="pct"/>
            <w:vAlign w:val="center"/>
          </w:tcPr>
          <w:p w14:paraId="00C41613" w14:textId="77777777" w:rsidR="002E474C" w:rsidRDefault="00000000">
            <w:pPr>
              <w:pStyle w:val="A-"/>
            </w:pPr>
            <w:r>
              <w:t>排放浓度（</w:t>
            </w:r>
            <w:r>
              <w:t>mg/m</w:t>
            </w:r>
            <w:r>
              <w:rPr>
                <w:vertAlign w:val="superscript"/>
              </w:rPr>
              <w:t>3</w:t>
            </w:r>
            <w:r>
              <w:t>）</w:t>
            </w:r>
          </w:p>
        </w:tc>
        <w:tc>
          <w:tcPr>
            <w:tcW w:w="382" w:type="pct"/>
            <w:vAlign w:val="center"/>
          </w:tcPr>
          <w:p w14:paraId="7D8F99A9" w14:textId="77777777" w:rsidR="002E474C" w:rsidRDefault="00000000">
            <w:pPr>
              <w:pStyle w:val="A-"/>
            </w:pPr>
            <w:r>
              <w:t>排放量（</w:t>
            </w:r>
            <w:r>
              <w:t>kg/h</w:t>
            </w:r>
            <w:r>
              <w:t>）</w:t>
            </w:r>
          </w:p>
        </w:tc>
        <w:tc>
          <w:tcPr>
            <w:tcW w:w="393" w:type="pct"/>
            <w:vMerge/>
            <w:vAlign w:val="center"/>
          </w:tcPr>
          <w:p w14:paraId="0906E288" w14:textId="77777777" w:rsidR="002E474C" w:rsidRDefault="002E474C">
            <w:pPr>
              <w:pStyle w:val="A-"/>
            </w:pPr>
          </w:p>
        </w:tc>
      </w:tr>
      <w:tr w:rsidR="002E474C" w14:paraId="1900CE4B" w14:textId="77777777">
        <w:trPr>
          <w:jc w:val="center"/>
        </w:trPr>
        <w:tc>
          <w:tcPr>
            <w:tcW w:w="299" w:type="pct"/>
            <w:vMerge w:val="restart"/>
            <w:vAlign w:val="center"/>
          </w:tcPr>
          <w:p w14:paraId="2A944CF2" w14:textId="77777777" w:rsidR="002E474C" w:rsidRDefault="00000000">
            <w:pPr>
              <w:pStyle w:val="A-"/>
            </w:pPr>
            <w:r>
              <w:t>大气</w:t>
            </w:r>
          </w:p>
          <w:p w14:paraId="1658A154" w14:textId="77777777" w:rsidR="002E474C" w:rsidRDefault="00000000">
            <w:pPr>
              <w:pStyle w:val="A-"/>
              <w:rPr>
                <w:bCs/>
              </w:rPr>
            </w:pPr>
            <w:r>
              <w:t>污染物</w:t>
            </w:r>
          </w:p>
        </w:tc>
        <w:tc>
          <w:tcPr>
            <w:tcW w:w="451" w:type="pct"/>
            <w:vMerge w:val="restart"/>
            <w:vAlign w:val="center"/>
          </w:tcPr>
          <w:p w14:paraId="6131DCF2" w14:textId="77777777" w:rsidR="002E474C" w:rsidRDefault="00000000">
            <w:pPr>
              <w:pStyle w:val="A-"/>
            </w:pPr>
            <w:r>
              <w:t>固态危废预处理车间与危废贮存库</w:t>
            </w:r>
          </w:p>
        </w:tc>
        <w:tc>
          <w:tcPr>
            <w:tcW w:w="1207" w:type="pct"/>
            <w:vAlign w:val="center"/>
          </w:tcPr>
          <w:p w14:paraId="50F60A0D" w14:textId="77777777" w:rsidR="002E474C" w:rsidRDefault="00000000">
            <w:pPr>
              <w:pStyle w:val="A-"/>
            </w:pPr>
            <w:r>
              <w:t>H</w:t>
            </w:r>
            <w:r>
              <w:rPr>
                <w:vertAlign w:val="subscript"/>
              </w:rPr>
              <w:t>2</w:t>
            </w:r>
            <w:r>
              <w:t>S</w:t>
            </w:r>
          </w:p>
        </w:tc>
        <w:tc>
          <w:tcPr>
            <w:tcW w:w="218" w:type="pct"/>
            <w:vMerge w:val="restart"/>
            <w:vAlign w:val="center"/>
          </w:tcPr>
          <w:p w14:paraId="09EC8245" w14:textId="77777777" w:rsidR="002E474C" w:rsidRDefault="00000000">
            <w:pPr>
              <w:pStyle w:val="A-"/>
            </w:pPr>
            <w:r>
              <w:t>有组织</w:t>
            </w:r>
          </w:p>
        </w:tc>
        <w:tc>
          <w:tcPr>
            <w:tcW w:w="529" w:type="pct"/>
            <w:vMerge w:val="restart"/>
            <w:vAlign w:val="center"/>
          </w:tcPr>
          <w:p w14:paraId="514E59F9" w14:textId="77777777" w:rsidR="002E474C" w:rsidRDefault="00000000">
            <w:pPr>
              <w:pStyle w:val="A-"/>
              <w:rPr>
                <w:bCs/>
              </w:rPr>
            </w:pPr>
            <w:r>
              <w:t>两级活性炭吸附</w:t>
            </w:r>
            <w:r>
              <w:t>+15m</w:t>
            </w:r>
            <w:r>
              <w:t>排气筒</w:t>
            </w:r>
          </w:p>
        </w:tc>
        <w:tc>
          <w:tcPr>
            <w:tcW w:w="483" w:type="pct"/>
            <w:vAlign w:val="center"/>
          </w:tcPr>
          <w:p w14:paraId="45DE752E" w14:textId="77777777" w:rsidR="002E474C" w:rsidRDefault="00000000">
            <w:pPr>
              <w:pStyle w:val="A-"/>
            </w:pPr>
            <w:r>
              <w:t xml:space="preserve">0.3 </w:t>
            </w:r>
          </w:p>
        </w:tc>
        <w:tc>
          <w:tcPr>
            <w:tcW w:w="512" w:type="pct"/>
            <w:vAlign w:val="center"/>
          </w:tcPr>
          <w:p w14:paraId="024249BF" w14:textId="77777777" w:rsidR="002E474C" w:rsidRDefault="00000000">
            <w:pPr>
              <w:pStyle w:val="A-"/>
            </w:pPr>
            <w:r>
              <w:t xml:space="preserve">0.034 </w:t>
            </w:r>
          </w:p>
        </w:tc>
        <w:tc>
          <w:tcPr>
            <w:tcW w:w="525" w:type="pct"/>
            <w:vAlign w:val="center"/>
          </w:tcPr>
          <w:p w14:paraId="4413C44E" w14:textId="77777777" w:rsidR="002E474C" w:rsidRDefault="00000000">
            <w:pPr>
              <w:pStyle w:val="A-"/>
            </w:pPr>
            <w:r>
              <w:t>/</w:t>
            </w:r>
          </w:p>
        </w:tc>
        <w:tc>
          <w:tcPr>
            <w:tcW w:w="382" w:type="pct"/>
            <w:vAlign w:val="center"/>
          </w:tcPr>
          <w:p w14:paraId="455ECCB7" w14:textId="77777777" w:rsidR="002E474C" w:rsidRDefault="00000000">
            <w:pPr>
              <w:pStyle w:val="A-"/>
            </w:pPr>
            <w:r>
              <w:t>4.9</w:t>
            </w:r>
          </w:p>
        </w:tc>
        <w:tc>
          <w:tcPr>
            <w:tcW w:w="393" w:type="pct"/>
            <w:vMerge w:val="restart"/>
            <w:vAlign w:val="center"/>
          </w:tcPr>
          <w:p w14:paraId="60E053EE" w14:textId="77777777" w:rsidR="002E474C" w:rsidRDefault="00000000">
            <w:pPr>
              <w:pStyle w:val="A-"/>
              <w:rPr>
                <w:bCs/>
              </w:rPr>
            </w:pPr>
            <w:r>
              <w:t>GB14554</w:t>
            </w:r>
            <w:r>
              <w:t>表</w:t>
            </w:r>
            <w:r>
              <w:t>2</w:t>
            </w:r>
            <w:r>
              <w:rPr>
                <w:bCs/>
              </w:rPr>
              <w:t xml:space="preserve"> </w:t>
            </w:r>
          </w:p>
        </w:tc>
      </w:tr>
      <w:tr w:rsidR="002E474C" w14:paraId="1B5F40A5" w14:textId="77777777">
        <w:trPr>
          <w:jc w:val="center"/>
        </w:trPr>
        <w:tc>
          <w:tcPr>
            <w:tcW w:w="299" w:type="pct"/>
            <w:vMerge/>
            <w:vAlign w:val="center"/>
          </w:tcPr>
          <w:p w14:paraId="4EF6DE40" w14:textId="77777777" w:rsidR="002E474C" w:rsidRDefault="002E474C">
            <w:pPr>
              <w:pStyle w:val="A-"/>
            </w:pPr>
          </w:p>
        </w:tc>
        <w:tc>
          <w:tcPr>
            <w:tcW w:w="451" w:type="pct"/>
            <w:vMerge/>
            <w:vAlign w:val="center"/>
          </w:tcPr>
          <w:p w14:paraId="6FB91045" w14:textId="77777777" w:rsidR="002E474C" w:rsidRDefault="002E474C">
            <w:pPr>
              <w:pStyle w:val="A-"/>
            </w:pPr>
          </w:p>
        </w:tc>
        <w:tc>
          <w:tcPr>
            <w:tcW w:w="1207" w:type="pct"/>
            <w:vAlign w:val="center"/>
          </w:tcPr>
          <w:p w14:paraId="29B20ACC" w14:textId="77777777" w:rsidR="002E474C" w:rsidRDefault="00000000">
            <w:pPr>
              <w:pStyle w:val="A-"/>
            </w:pPr>
            <w:r>
              <w:t>NH</w:t>
            </w:r>
            <w:r>
              <w:rPr>
                <w:vertAlign w:val="subscript"/>
              </w:rPr>
              <w:t>3</w:t>
            </w:r>
          </w:p>
        </w:tc>
        <w:tc>
          <w:tcPr>
            <w:tcW w:w="218" w:type="pct"/>
            <w:vMerge/>
            <w:vAlign w:val="center"/>
          </w:tcPr>
          <w:p w14:paraId="2E5504F5" w14:textId="77777777" w:rsidR="002E474C" w:rsidRDefault="002E474C">
            <w:pPr>
              <w:pStyle w:val="A-"/>
            </w:pPr>
          </w:p>
        </w:tc>
        <w:tc>
          <w:tcPr>
            <w:tcW w:w="529" w:type="pct"/>
            <w:vMerge/>
            <w:vAlign w:val="center"/>
          </w:tcPr>
          <w:p w14:paraId="0EAC0479" w14:textId="77777777" w:rsidR="002E474C" w:rsidRDefault="002E474C">
            <w:pPr>
              <w:pStyle w:val="A-"/>
            </w:pPr>
          </w:p>
        </w:tc>
        <w:tc>
          <w:tcPr>
            <w:tcW w:w="483" w:type="pct"/>
            <w:vAlign w:val="center"/>
          </w:tcPr>
          <w:p w14:paraId="783444C9" w14:textId="77777777" w:rsidR="002E474C" w:rsidRDefault="00000000">
            <w:pPr>
              <w:pStyle w:val="A-"/>
            </w:pPr>
            <w:r>
              <w:t xml:space="preserve">3.8 </w:t>
            </w:r>
          </w:p>
        </w:tc>
        <w:tc>
          <w:tcPr>
            <w:tcW w:w="512" w:type="pct"/>
            <w:vAlign w:val="center"/>
          </w:tcPr>
          <w:p w14:paraId="083FC105" w14:textId="77777777" w:rsidR="002E474C" w:rsidRDefault="00000000">
            <w:pPr>
              <w:pStyle w:val="A-"/>
            </w:pPr>
            <w:r>
              <w:t xml:space="preserve">0.414 </w:t>
            </w:r>
          </w:p>
        </w:tc>
        <w:tc>
          <w:tcPr>
            <w:tcW w:w="525" w:type="pct"/>
            <w:vAlign w:val="center"/>
          </w:tcPr>
          <w:p w14:paraId="10DC82CF" w14:textId="77777777" w:rsidR="002E474C" w:rsidRDefault="00000000">
            <w:pPr>
              <w:pStyle w:val="A-"/>
            </w:pPr>
            <w:r>
              <w:t>/</w:t>
            </w:r>
          </w:p>
        </w:tc>
        <w:tc>
          <w:tcPr>
            <w:tcW w:w="382" w:type="pct"/>
            <w:vAlign w:val="center"/>
          </w:tcPr>
          <w:p w14:paraId="7692F632" w14:textId="77777777" w:rsidR="002E474C" w:rsidRDefault="00000000">
            <w:pPr>
              <w:pStyle w:val="A-"/>
            </w:pPr>
            <w:r>
              <w:t>0.33</w:t>
            </w:r>
          </w:p>
        </w:tc>
        <w:tc>
          <w:tcPr>
            <w:tcW w:w="393" w:type="pct"/>
            <w:vMerge/>
            <w:vAlign w:val="center"/>
          </w:tcPr>
          <w:p w14:paraId="7EFBC270" w14:textId="77777777" w:rsidR="002E474C" w:rsidRDefault="002E474C">
            <w:pPr>
              <w:pStyle w:val="A-"/>
              <w:rPr>
                <w:lang w:val="zh-CN"/>
              </w:rPr>
            </w:pPr>
          </w:p>
        </w:tc>
      </w:tr>
      <w:tr w:rsidR="002E474C" w14:paraId="31CC7BCB" w14:textId="77777777">
        <w:trPr>
          <w:jc w:val="center"/>
        </w:trPr>
        <w:tc>
          <w:tcPr>
            <w:tcW w:w="299" w:type="pct"/>
            <w:vMerge/>
            <w:vAlign w:val="center"/>
          </w:tcPr>
          <w:p w14:paraId="303FBA75" w14:textId="77777777" w:rsidR="002E474C" w:rsidRDefault="002E474C">
            <w:pPr>
              <w:pStyle w:val="A-"/>
            </w:pPr>
          </w:p>
        </w:tc>
        <w:tc>
          <w:tcPr>
            <w:tcW w:w="451" w:type="pct"/>
            <w:vMerge/>
            <w:vAlign w:val="center"/>
          </w:tcPr>
          <w:p w14:paraId="17E0DD0B" w14:textId="77777777" w:rsidR="002E474C" w:rsidRDefault="002E474C">
            <w:pPr>
              <w:pStyle w:val="A-"/>
            </w:pPr>
          </w:p>
        </w:tc>
        <w:tc>
          <w:tcPr>
            <w:tcW w:w="1207" w:type="pct"/>
            <w:vAlign w:val="center"/>
          </w:tcPr>
          <w:p w14:paraId="288CADDD" w14:textId="77777777" w:rsidR="002E474C" w:rsidRDefault="00000000">
            <w:pPr>
              <w:pStyle w:val="A-"/>
            </w:pPr>
            <w:r>
              <w:t>NMHC</w:t>
            </w:r>
          </w:p>
        </w:tc>
        <w:tc>
          <w:tcPr>
            <w:tcW w:w="218" w:type="pct"/>
            <w:vMerge/>
            <w:vAlign w:val="center"/>
          </w:tcPr>
          <w:p w14:paraId="37F6B9F9" w14:textId="77777777" w:rsidR="002E474C" w:rsidRDefault="002E474C">
            <w:pPr>
              <w:pStyle w:val="A-"/>
            </w:pPr>
          </w:p>
        </w:tc>
        <w:tc>
          <w:tcPr>
            <w:tcW w:w="529" w:type="pct"/>
            <w:vMerge/>
            <w:vAlign w:val="center"/>
          </w:tcPr>
          <w:p w14:paraId="0F495243" w14:textId="77777777" w:rsidR="002E474C" w:rsidRDefault="002E474C">
            <w:pPr>
              <w:pStyle w:val="A-"/>
            </w:pPr>
          </w:p>
        </w:tc>
        <w:tc>
          <w:tcPr>
            <w:tcW w:w="483" w:type="pct"/>
            <w:vAlign w:val="center"/>
          </w:tcPr>
          <w:p w14:paraId="0AE58ECA" w14:textId="77777777" w:rsidR="002E474C" w:rsidRDefault="00000000">
            <w:pPr>
              <w:pStyle w:val="A-"/>
            </w:pPr>
            <w:r>
              <w:t xml:space="preserve">4.17 </w:t>
            </w:r>
          </w:p>
        </w:tc>
        <w:tc>
          <w:tcPr>
            <w:tcW w:w="512" w:type="pct"/>
            <w:vAlign w:val="center"/>
          </w:tcPr>
          <w:p w14:paraId="23A38293" w14:textId="77777777" w:rsidR="002E474C" w:rsidRDefault="00000000">
            <w:pPr>
              <w:pStyle w:val="A-"/>
            </w:pPr>
            <w:r>
              <w:t xml:space="preserve">0.450 </w:t>
            </w:r>
          </w:p>
        </w:tc>
        <w:tc>
          <w:tcPr>
            <w:tcW w:w="525" w:type="pct"/>
            <w:vAlign w:val="center"/>
          </w:tcPr>
          <w:p w14:paraId="52D4F4CD" w14:textId="77777777" w:rsidR="002E474C" w:rsidRDefault="00000000">
            <w:pPr>
              <w:pStyle w:val="A-"/>
            </w:pPr>
            <w:r>
              <w:t>120</w:t>
            </w:r>
          </w:p>
        </w:tc>
        <w:tc>
          <w:tcPr>
            <w:tcW w:w="382" w:type="pct"/>
            <w:vAlign w:val="center"/>
          </w:tcPr>
          <w:p w14:paraId="4EC04D8A" w14:textId="77777777" w:rsidR="002E474C" w:rsidRDefault="00000000">
            <w:pPr>
              <w:pStyle w:val="A-"/>
            </w:pPr>
            <w:r>
              <w:t>10</w:t>
            </w:r>
          </w:p>
        </w:tc>
        <w:tc>
          <w:tcPr>
            <w:tcW w:w="393" w:type="pct"/>
            <w:vAlign w:val="center"/>
          </w:tcPr>
          <w:p w14:paraId="426B84A5" w14:textId="77777777" w:rsidR="002E474C" w:rsidRDefault="00000000">
            <w:pPr>
              <w:pStyle w:val="A-"/>
              <w:rPr>
                <w:lang w:val="zh-CN"/>
              </w:rPr>
            </w:pPr>
            <w:r>
              <w:t>GB16297</w:t>
            </w:r>
            <w:r>
              <w:t>表</w:t>
            </w:r>
            <w:r>
              <w:t>2</w:t>
            </w:r>
            <w:r>
              <w:t>二级</w:t>
            </w:r>
          </w:p>
        </w:tc>
      </w:tr>
      <w:tr w:rsidR="002E474C" w14:paraId="2CD7CFDD" w14:textId="77777777">
        <w:trPr>
          <w:jc w:val="center"/>
        </w:trPr>
        <w:tc>
          <w:tcPr>
            <w:tcW w:w="299" w:type="pct"/>
            <w:vMerge/>
            <w:vAlign w:val="center"/>
          </w:tcPr>
          <w:p w14:paraId="0CB5EA06" w14:textId="77777777" w:rsidR="002E474C" w:rsidRDefault="002E474C">
            <w:pPr>
              <w:pStyle w:val="A-"/>
            </w:pPr>
          </w:p>
        </w:tc>
        <w:tc>
          <w:tcPr>
            <w:tcW w:w="451" w:type="pct"/>
            <w:vMerge w:val="restart"/>
            <w:vAlign w:val="center"/>
          </w:tcPr>
          <w:p w14:paraId="39DFA266" w14:textId="77777777" w:rsidR="002E474C" w:rsidRDefault="00000000">
            <w:pPr>
              <w:pStyle w:val="A-"/>
            </w:pPr>
            <w:r>
              <w:t>水泥窑协同处置危废</w:t>
            </w:r>
          </w:p>
        </w:tc>
        <w:tc>
          <w:tcPr>
            <w:tcW w:w="1207" w:type="pct"/>
            <w:vAlign w:val="center"/>
          </w:tcPr>
          <w:p w14:paraId="53660210" w14:textId="77777777" w:rsidR="002E474C" w:rsidRDefault="00000000">
            <w:pPr>
              <w:pStyle w:val="A-"/>
            </w:pPr>
            <w:r>
              <w:t>HF</w:t>
            </w:r>
          </w:p>
        </w:tc>
        <w:tc>
          <w:tcPr>
            <w:tcW w:w="218" w:type="pct"/>
            <w:vMerge w:val="restart"/>
            <w:vAlign w:val="center"/>
          </w:tcPr>
          <w:p w14:paraId="0B6A05F1" w14:textId="77777777" w:rsidR="002E474C" w:rsidRDefault="00000000">
            <w:pPr>
              <w:pStyle w:val="A-"/>
            </w:pPr>
            <w:r>
              <w:t>有组织</w:t>
            </w:r>
          </w:p>
        </w:tc>
        <w:tc>
          <w:tcPr>
            <w:tcW w:w="529" w:type="pct"/>
            <w:vMerge w:val="restart"/>
            <w:vAlign w:val="center"/>
          </w:tcPr>
          <w:p w14:paraId="7D72B820" w14:textId="77777777" w:rsidR="002E474C" w:rsidRDefault="00000000">
            <w:pPr>
              <w:pStyle w:val="A-"/>
            </w:pPr>
            <w:r>
              <w:t>SNCR+SCR+</w:t>
            </w:r>
            <w:r>
              <w:t>增湿塔（急冷）</w:t>
            </w:r>
            <w:r>
              <w:t>+</w:t>
            </w:r>
            <w:r>
              <w:t>电袋除尘</w:t>
            </w:r>
            <w:r>
              <w:t>+85m</w:t>
            </w:r>
            <w:r>
              <w:t>烟囱</w:t>
            </w:r>
          </w:p>
        </w:tc>
        <w:tc>
          <w:tcPr>
            <w:tcW w:w="483" w:type="pct"/>
            <w:vAlign w:val="center"/>
          </w:tcPr>
          <w:p w14:paraId="350EB211" w14:textId="77777777" w:rsidR="002E474C" w:rsidRDefault="00000000">
            <w:pPr>
              <w:pStyle w:val="A-"/>
            </w:pPr>
            <w:r>
              <w:t xml:space="preserve">0.278 </w:t>
            </w:r>
          </w:p>
        </w:tc>
        <w:tc>
          <w:tcPr>
            <w:tcW w:w="512" w:type="pct"/>
            <w:vAlign w:val="center"/>
          </w:tcPr>
          <w:p w14:paraId="0FD1F532" w14:textId="77777777" w:rsidR="002E474C" w:rsidRDefault="00000000">
            <w:pPr>
              <w:pStyle w:val="A-"/>
            </w:pPr>
            <w:r>
              <w:t>1.371</w:t>
            </w:r>
          </w:p>
        </w:tc>
        <w:tc>
          <w:tcPr>
            <w:tcW w:w="525" w:type="pct"/>
            <w:vAlign w:val="center"/>
          </w:tcPr>
          <w:p w14:paraId="04B8296D" w14:textId="77777777" w:rsidR="002E474C" w:rsidRDefault="00000000">
            <w:pPr>
              <w:pStyle w:val="A-"/>
            </w:pPr>
            <w:r>
              <w:t>1</w:t>
            </w:r>
          </w:p>
        </w:tc>
        <w:tc>
          <w:tcPr>
            <w:tcW w:w="382" w:type="pct"/>
            <w:vAlign w:val="center"/>
          </w:tcPr>
          <w:p w14:paraId="2819FF29" w14:textId="77777777" w:rsidR="002E474C" w:rsidRDefault="00000000">
            <w:pPr>
              <w:pStyle w:val="A-"/>
            </w:pPr>
            <w:r>
              <w:t>/</w:t>
            </w:r>
          </w:p>
        </w:tc>
        <w:tc>
          <w:tcPr>
            <w:tcW w:w="393" w:type="pct"/>
            <w:vMerge w:val="restart"/>
            <w:vAlign w:val="center"/>
          </w:tcPr>
          <w:p w14:paraId="085E8317" w14:textId="77777777" w:rsidR="002E474C" w:rsidRDefault="00000000">
            <w:pPr>
              <w:pStyle w:val="A-"/>
            </w:pPr>
            <w:bookmarkStart w:id="390" w:name="OLE_LINK65"/>
            <w:r>
              <w:t>GB30485</w:t>
            </w:r>
            <w:bookmarkEnd w:id="390"/>
            <w:r>
              <w:t>表</w:t>
            </w:r>
            <w:r>
              <w:t>1</w:t>
            </w:r>
          </w:p>
        </w:tc>
      </w:tr>
      <w:tr w:rsidR="002E474C" w14:paraId="60C8A08B" w14:textId="77777777">
        <w:trPr>
          <w:jc w:val="center"/>
        </w:trPr>
        <w:tc>
          <w:tcPr>
            <w:tcW w:w="299" w:type="pct"/>
            <w:vMerge/>
            <w:vAlign w:val="center"/>
          </w:tcPr>
          <w:p w14:paraId="6E4E2833" w14:textId="77777777" w:rsidR="002E474C" w:rsidRDefault="002E474C">
            <w:pPr>
              <w:pStyle w:val="A-"/>
            </w:pPr>
          </w:p>
        </w:tc>
        <w:tc>
          <w:tcPr>
            <w:tcW w:w="451" w:type="pct"/>
            <w:vMerge/>
            <w:vAlign w:val="center"/>
          </w:tcPr>
          <w:p w14:paraId="47692157" w14:textId="77777777" w:rsidR="002E474C" w:rsidRDefault="002E474C">
            <w:pPr>
              <w:pStyle w:val="A-"/>
            </w:pPr>
          </w:p>
        </w:tc>
        <w:tc>
          <w:tcPr>
            <w:tcW w:w="1207" w:type="pct"/>
            <w:vAlign w:val="center"/>
          </w:tcPr>
          <w:p w14:paraId="2730E757" w14:textId="77777777" w:rsidR="002E474C" w:rsidRDefault="00000000">
            <w:pPr>
              <w:pStyle w:val="A-"/>
            </w:pPr>
            <w:r>
              <w:t>HCl</w:t>
            </w:r>
          </w:p>
        </w:tc>
        <w:tc>
          <w:tcPr>
            <w:tcW w:w="218" w:type="pct"/>
            <w:vMerge/>
            <w:vAlign w:val="center"/>
          </w:tcPr>
          <w:p w14:paraId="1A27BB31" w14:textId="77777777" w:rsidR="002E474C" w:rsidRDefault="002E474C">
            <w:pPr>
              <w:pStyle w:val="A-"/>
            </w:pPr>
          </w:p>
        </w:tc>
        <w:tc>
          <w:tcPr>
            <w:tcW w:w="529" w:type="pct"/>
            <w:vMerge/>
            <w:vAlign w:val="center"/>
          </w:tcPr>
          <w:p w14:paraId="0144FE54" w14:textId="77777777" w:rsidR="002E474C" w:rsidRDefault="002E474C">
            <w:pPr>
              <w:pStyle w:val="A-"/>
            </w:pPr>
          </w:p>
        </w:tc>
        <w:tc>
          <w:tcPr>
            <w:tcW w:w="483" w:type="pct"/>
            <w:vAlign w:val="center"/>
          </w:tcPr>
          <w:p w14:paraId="4EDD807B" w14:textId="77777777" w:rsidR="002E474C" w:rsidRDefault="00000000">
            <w:pPr>
              <w:pStyle w:val="A-"/>
            </w:pPr>
            <w:r>
              <w:t xml:space="preserve">4.99 </w:t>
            </w:r>
          </w:p>
        </w:tc>
        <w:tc>
          <w:tcPr>
            <w:tcW w:w="512" w:type="pct"/>
            <w:vAlign w:val="center"/>
          </w:tcPr>
          <w:p w14:paraId="2296CFB8" w14:textId="77777777" w:rsidR="002E474C" w:rsidRDefault="00000000">
            <w:pPr>
              <w:pStyle w:val="A-"/>
            </w:pPr>
            <w:r>
              <w:t>25.9</w:t>
            </w:r>
          </w:p>
        </w:tc>
        <w:tc>
          <w:tcPr>
            <w:tcW w:w="525" w:type="pct"/>
            <w:vAlign w:val="center"/>
          </w:tcPr>
          <w:p w14:paraId="0EAB8D67" w14:textId="77777777" w:rsidR="002E474C" w:rsidRDefault="00000000">
            <w:pPr>
              <w:pStyle w:val="A-"/>
            </w:pPr>
            <w:r>
              <w:t>10</w:t>
            </w:r>
          </w:p>
        </w:tc>
        <w:tc>
          <w:tcPr>
            <w:tcW w:w="382" w:type="pct"/>
            <w:vAlign w:val="center"/>
          </w:tcPr>
          <w:p w14:paraId="665C6DCD" w14:textId="77777777" w:rsidR="002E474C" w:rsidRDefault="00000000">
            <w:pPr>
              <w:pStyle w:val="A-"/>
            </w:pPr>
            <w:r>
              <w:t>/</w:t>
            </w:r>
          </w:p>
        </w:tc>
        <w:tc>
          <w:tcPr>
            <w:tcW w:w="393" w:type="pct"/>
            <w:vMerge/>
            <w:vAlign w:val="center"/>
          </w:tcPr>
          <w:p w14:paraId="02ED32F5" w14:textId="77777777" w:rsidR="002E474C" w:rsidRDefault="002E474C">
            <w:pPr>
              <w:pStyle w:val="A-"/>
            </w:pPr>
          </w:p>
        </w:tc>
      </w:tr>
      <w:tr w:rsidR="002E474C" w14:paraId="7DB013E6" w14:textId="77777777">
        <w:trPr>
          <w:jc w:val="center"/>
        </w:trPr>
        <w:tc>
          <w:tcPr>
            <w:tcW w:w="299" w:type="pct"/>
            <w:vMerge/>
            <w:vAlign w:val="center"/>
          </w:tcPr>
          <w:p w14:paraId="0BC3CF8A" w14:textId="77777777" w:rsidR="002E474C" w:rsidRDefault="002E474C">
            <w:pPr>
              <w:pStyle w:val="A-"/>
            </w:pPr>
          </w:p>
        </w:tc>
        <w:tc>
          <w:tcPr>
            <w:tcW w:w="451" w:type="pct"/>
            <w:vMerge/>
            <w:vAlign w:val="center"/>
          </w:tcPr>
          <w:p w14:paraId="71FD9FD8" w14:textId="77777777" w:rsidR="002E474C" w:rsidRDefault="002E474C">
            <w:pPr>
              <w:pStyle w:val="A-"/>
            </w:pPr>
          </w:p>
        </w:tc>
        <w:tc>
          <w:tcPr>
            <w:tcW w:w="1207" w:type="pct"/>
            <w:vAlign w:val="center"/>
          </w:tcPr>
          <w:p w14:paraId="29EA22F2" w14:textId="77777777" w:rsidR="002E474C" w:rsidRDefault="00000000">
            <w:pPr>
              <w:pStyle w:val="A-"/>
            </w:pPr>
            <w:r>
              <w:t>Cr</w:t>
            </w:r>
          </w:p>
        </w:tc>
        <w:tc>
          <w:tcPr>
            <w:tcW w:w="218" w:type="pct"/>
            <w:vMerge/>
            <w:vAlign w:val="center"/>
          </w:tcPr>
          <w:p w14:paraId="164B72F6" w14:textId="77777777" w:rsidR="002E474C" w:rsidRDefault="002E474C">
            <w:pPr>
              <w:pStyle w:val="A-"/>
            </w:pPr>
          </w:p>
        </w:tc>
        <w:tc>
          <w:tcPr>
            <w:tcW w:w="529" w:type="pct"/>
            <w:vMerge/>
            <w:vAlign w:val="center"/>
          </w:tcPr>
          <w:p w14:paraId="6786010F" w14:textId="77777777" w:rsidR="002E474C" w:rsidRDefault="002E474C">
            <w:pPr>
              <w:pStyle w:val="A-"/>
            </w:pPr>
          </w:p>
        </w:tc>
        <w:tc>
          <w:tcPr>
            <w:tcW w:w="483" w:type="pct"/>
            <w:vAlign w:val="center"/>
          </w:tcPr>
          <w:p w14:paraId="1AE39769" w14:textId="77777777" w:rsidR="002E474C" w:rsidRDefault="00000000">
            <w:pPr>
              <w:pStyle w:val="A-"/>
            </w:pPr>
            <w:r>
              <w:t>2.00E-04</w:t>
            </w:r>
          </w:p>
        </w:tc>
        <w:tc>
          <w:tcPr>
            <w:tcW w:w="512" w:type="pct"/>
            <w:vAlign w:val="center"/>
          </w:tcPr>
          <w:p w14:paraId="28344D65" w14:textId="77777777" w:rsidR="002E474C" w:rsidRDefault="00000000">
            <w:pPr>
              <w:pStyle w:val="A-"/>
            </w:pPr>
            <w:r>
              <w:t>1.036</w:t>
            </w:r>
            <w:r>
              <w:rPr>
                <w:rFonts w:eastAsia="等线"/>
              </w:rPr>
              <w:t>kg/a</w:t>
            </w:r>
          </w:p>
        </w:tc>
        <w:tc>
          <w:tcPr>
            <w:tcW w:w="525" w:type="pct"/>
            <w:vAlign w:val="center"/>
          </w:tcPr>
          <w:p w14:paraId="7989E2A5" w14:textId="77777777" w:rsidR="002E474C" w:rsidRDefault="00000000">
            <w:pPr>
              <w:pStyle w:val="A-"/>
            </w:pPr>
            <w:r>
              <w:t>/</w:t>
            </w:r>
          </w:p>
        </w:tc>
        <w:tc>
          <w:tcPr>
            <w:tcW w:w="382" w:type="pct"/>
            <w:vAlign w:val="center"/>
          </w:tcPr>
          <w:p w14:paraId="39C8D4AB" w14:textId="77777777" w:rsidR="002E474C" w:rsidRDefault="00000000">
            <w:pPr>
              <w:pStyle w:val="A-"/>
            </w:pPr>
            <w:r>
              <w:t>/</w:t>
            </w:r>
          </w:p>
        </w:tc>
        <w:tc>
          <w:tcPr>
            <w:tcW w:w="393" w:type="pct"/>
            <w:vMerge/>
            <w:vAlign w:val="center"/>
          </w:tcPr>
          <w:p w14:paraId="6893805B" w14:textId="77777777" w:rsidR="002E474C" w:rsidRDefault="002E474C">
            <w:pPr>
              <w:pStyle w:val="A-"/>
            </w:pPr>
          </w:p>
        </w:tc>
      </w:tr>
      <w:tr w:rsidR="002E474C" w14:paraId="3275C37F" w14:textId="77777777">
        <w:trPr>
          <w:jc w:val="center"/>
        </w:trPr>
        <w:tc>
          <w:tcPr>
            <w:tcW w:w="299" w:type="pct"/>
            <w:vMerge/>
            <w:vAlign w:val="center"/>
          </w:tcPr>
          <w:p w14:paraId="66F84D85" w14:textId="77777777" w:rsidR="002E474C" w:rsidRDefault="002E474C">
            <w:pPr>
              <w:pStyle w:val="A-"/>
            </w:pPr>
          </w:p>
        </w:tc>
        <w:tc>
          <w:tcPr>
            <w:tcW w:w="451" w:type="pct"/>
            <w:vMerge/>
            <w:vAlign w:val="center"/>
          </w:tcPr>
          <w:p w14:paraId="5EC2E7F7" w14:textId="77777777" w:rsidR="002E474C" w:rsidRDefault="002E474C">
            <w:pPr>
              <w:pStyle w:val="A-"/>
            </w:pPr>
          </w:p>
        </w:tc>
        <w:tc>
          <w:tcPr>
            <w:tcW w:w="1207" w:type="pct"/>
            <w:vAlign w:val="center"/>
          </w:tcPr>
          <w:p w14:paraId="7649EA36" w14:textId="77777777" w:rsidR="002E474C" w:rsidRDefault="00000000">
            <w:pPr>
              <w:pStyle w:val="A-"/>
            </w:pPr>
            <w:r>
              <w:t>Cu</w:t>
            </w:r>
          </w:p>
        </w:tc>
        <w:tc>
          <w:tcPr>
            <w:tcW w:w="218" w:type="pct"/>
            <w:vMerge/>
            <w:vAlign w:val="center"/>
          </w:tcPr>
          <w:p w14:paraId="0CAB00A6" w14:textId="77777777" w:rsidR="002E474C" w:rsidRDefault="002E474C">
            <w:pPr>
              <w:pStyle w:val="A-"/>
            </w:pPr>
          </w:p>
        </w:tc>
        <w:tc>
          <w:tcPr>
            <w:tcW w:w="529" w:type="pct"/>
            <w:vMerge/>
            <w:vAlign w:val="center"/>
          </w:tcPr>
          <w:p w14:paraId="17448A7E" w14:textId="77777777" w:rsidR="002E474C" w:rsidRDefault="002E474C">
            <w:pPr>
              <w:pStyle w:val="A-"/>
            </w:pPr>
          </w:p>
        </w:tc>
        <w:tc>
          <w:tcPr>
            <w:tcW w:w="483" w:type="pct"/>
            <w:vAlign w:val="center"/>
          </w:tcPr>
          <w:p w14:paraId="3B81C15D" w14:textId="77777777" w:rsidR="002E474C" w:rsidRDefault="00000000">
            <w:pPr>
              <w:pStyle w:val="A-"/>
            </w:pPr>
            <w:r>
              <w:t>4.22E-02</w:t>
            </w:r>
          </w:p>
        </w:tc>
        <w:tc>
          <w:tcPr>
            <w:tcW w:w="512" w:type="pct"/>
            <w:vAlign w:val="center"/>
          </w:tcPr>
          <w:p w14:paraId="7BE3F276" w14:textId="77777777" w:rsidR="002E474C" w:rsidRDefault="00000000">
            <w:pPr>
              <w:pStyle w:val="A-"/>
            </w:pPr>
            <w:r>
              <w:t>218.83</w:t>
            </w:r>
            <w:r>
              <w:rPr>
                <w:rFonts w:eastAsia="等线"/>
              </w:rPr>
              <w:t>kg/a</w:t>
            </w:r>
          </w:p>
        </w:tc>
        <w:tc>
          <w:tcPr>
            <w:tcW w:w="525" w:type="pct"/>
            <w:vAlign w:val="center"/>
          </w:tcPr>
          <w:p w14:paraId="72D9855C" w14:textId="77777777" w:rsidR="002E474C" w:rsidRDefault="00000000">
            <w:pPr>
              <w:pStyle w:val="A-"/>
            </w:pPr>
            <w:r>
              <w:t>/</w:t>
            </w:r>
          </w:p>
        </w:tc>
        <w:tc>
          <w:tcPr>
            <w:tcW w:w="382" w:type="pct"/>
            <w:vAlign w:val="center"/>
          </w:tcPr>
          <w:p w14:paraId="1DDE1B3A" w14:textId="77777777" w:rsidR="002E474C" w:rsidRDefault="00000000">
            <w:pPr>
              <w:pStyle w:val="A-"/>
            </w:pPr>
            <w:r>
              <w:t>/</w:t>
            </w:r>
          </w:p>
        </w:tc>
        <w:tc>
          <w:tcPr>
            <w:tcW w:w="393" w:type="pct"/>
            <w:vMerge/>
            <w:vAlign w:val="center"/>
          </w:tcPr>
          <w:p w14:paraId="6CC73CD6" w14:textId="77777777" w:rsidR="002E474C" w:rsidRDefault="002E474C">
            <w:pPr>
              <w:pStyle w:val="A-"/>
            </w:pPr>
          </w:p>
        </w:tc>
      </w:tr>
      <w:tr w:rsidR="002E474C" w14:paraId="52265A66" w14:textId="77777777">
        <w:trPr>
          <w:jc w:val="center"/>
        </w:trPr>
        <w:tc>
          <w:tcPr>
            <w:tcW w:w="299" w:type="pct"/>
            <w:vMerge/>
            <w:vAlign w:val="center"/>
          </w:tcPr>
          <w:p w14:paraId="6AD9AC63" w14:textId="77777777" w:rsidR="002E474C" w:rsidRDefault="002E474C">
            <w:pPr>
              <w:pStyle w:val="A-"/>
            </w:pPr>
          </w:p>
        </w:tc>
        <w:tc>
          <w:tcPr>
            <w:tcW w:w="451" w:type="pct"/>
            <w:vMerge/>
            <w:vAlign w:val="center"/>
          </w:tcPr>
          <w:p w14:paraId="3BB73638" w14:textId="77777777" w:rsidR="002E474C" w:rsidRDefault="002E474C">
            <w:pPr>
              <w:pStyle w:val="A-"/>
            </w:pPr>
          </w:p>
        </w:tc>
        <w:tc>
          <w:tcPr>
            <w:tcW w:w="1207" w:type="pct"/>
            <w:vAlign w:val="center"/>
          </w:tcPr>
          <w:p w14:paraId="7EA7DDAE" w14:textId="77777777" w:rsidR="002E474C" w:rsidRDefault="00000000">
            <w:pPr>
              <w:pStyle w:val="A-"/>
            </w:pPr>
            <w:r>
              <w:t>Cd</w:t>
            </w:r>
          </w:p>
        </w:tc>
        <w:tc>
          <w:tcPr>
            <w:tcW w:w="218" w:type="pct"/>
            <w:vMerge/>
            <w:vAlign w:val="center"/>
          </w:tcPr>
          <w:p w14:paraId="08F0462A" w14:textId="77777777" w:rsidR="002E474C" w:rsidRDefault="002E474C">
            <w:pPr>
              <w:pStyle w:val="A-"/>
            </w:pPr>
          </w:p>
        </w:tc>
        <w:tc>
          <w:tcPr>
            <w:tcW w:w="529" w:type="pct"/>
            <w:vMerge/>
            <w:vAlign w:val="center"/>
          </w:tcPr>
          <w:p w14:paraId="04C066BE" w14:textId="77777777" w:rsidR="002E474C" w:rsidRDefault="002E474C">
            <w:pPr>
              <w:pStyle w:val="A-"/>
            </w:pPr>
          </w:p>
        </w:tc>
        <w:tc>
          <w:tcPr>
            <w:tcW w:w="483" w:type="pct"/>
            <w:vAlign w:val="center"/>
          </w:tcPr>
          <w:p w14:paraId="64324450" w14:textId="77777777" w:rsidR="002E474C" w:rsidRDefault="00000000">
            <w:pPr>
              <w:pStyle w:val="A-"/>
            </w:pPr>
            <w:r>
              <w:t>2.21E-05</w:t>
            </w:r>
          </w:p>
        </w:tc>
        <w:tc>
          <w:tcPr>
            <w:tcW w:w="512" w:type="pct"/>
            <w:vAlign w:val="center"/>
          </w:tcPr>
          <w:p w14:paraId="7773A13A" w14:textId="77777777" w:rsidR="002E474C" w:rsidRDefault="00000000">
            <w:pPr>
              <w:pStyle w:val="A-"/>
            </w:pPr>
            <w:r>
              <w:t>0.115</w:t>
            </w:r>
            <w:r>
              <w:rPr>
                <w:rFonts w:eastAsia="等线"/>
              </w:rPr>
              <w:t>kg/a</w:t>
            </w:r>
          </w:p>
        </w:tc>
        <w:tc>
          <w:tcPr>
            <w:tcW w:w="525" w:type="pct"/>
            <w:vAlign w:val="center"/>
          </w:tcPr>
          <w:p w14:paraId="29FD2B0D" w14:textId="77777777" w:rsidR="002E474C" w:rsidRDefault="00000000">
            <w:pPr>
              <w:pStyle w:val="A-"/>
            </w:pPr>
            <w:r>
              <w:t>/</w:t>
            </w:r>
          </w:p>
        </w:tc>
        <w:tc>
          <w:tcPr>
            <w:tcW w:w="382" w:type="pct"/>
            <w:vAlign w:val="center"/>
          </w:tcPr>
          <w:p w14:paraId="70696AA9" w14:textId="77777777" w:rsidR="002E474C" w:rsidRDefault="00000000">
            <w:pPr>
              <w:pStyle w:val="A-"/>
            </w:pPr>
            <w:r>
              <w:t>/</w:t>
            </w:r>
          </w:p>
        </w:tc>
        <w:tc>
          <w:tcPr>
            <w:tcW w:w="393" w:type="pct"/>
            <w:vMerge/>
            <w:vAlign w:val="center"/>
          </w:tcPr>
          <w:p w14:paraId="172DC68A" w14:textId="77777777" w:rsidR="002E474C" w:rsidRDefault="002E474C">
            <w:pPr>
              <w:pStyle w:val="A-"/>
            </w:pPr>
          </w:p>
        </w:tc>
      </w:tr>
      <w:tr w:rsidR="002E474C" w14:paraId="17ADBDF5" w14:textId="77777777">
        <w:trPr>
          <w:jc w:val="center"/>
        </w:trPr>
        <w:tc>
          <w:tcPr>
            <w:tcW w:w="299" w:type="pct"/>
            <w:vMerge/>
            <w:vAlign w:val="center"/>
          </w:tcPr>
          <w:p w14:paraId="2466D2B9" w14:textId="77777777" w:rsidR="002E474C" w:rsidRDefault="002E474C">
            <w:pPr>
              <w:pStyle w:val="A-"/>
            </w:pPr>
          </w:p>
        </w:tc>
        <w:tc>
          <w:tcPr>
            <w:tcW w:w="451" w:type="pct"/>
            <w:vMerge/>
            <w:vAlign w:val="center"/>
          </w:tcPr>
          <w:p w14:paraId="17AECA9E" w14:textId="77777777" w:rsidR="002E474C" w:rsidRDefault="002E474C">
            <w:pPr>
              <w:pStyle w:val="A-"/>
            </w:pPr>
          </w:p>
        </w:tc>
        <w:tc>
          <w:tcPr>
            <w:tcW w:w="1207" w:type="pct"/>
            <w:vAlign w:val="center"/>
          </w:tcPr>
          <w:p w14:paraId="279FC6D9" w14:textId="77777777" w:rsidR="002E474C" w:rsidRDefault="00000000">
            <w:pPr>
              <w:pStyle w:val="A-"/>
            </w:pPr>
            <w:r>
              <w:t>Pb</w:t>
            </w:r>
          </w:p>
        </w:tc>
        <w:tc>
          <w:tcPr>
            <w:tcW w:w="218" w:type="pct"/>
            <w:vMerge/>
            <w:vAlign w:val="center"/>
          </w:tcPr>
          <w:p w14:paraId="379C3632" w14:textId="77777777" w:rsidR="002E474C" w:rsidRDefault="002E474C">
            <w:pPr>
              <w:pStyle w:val="A-"/>
            </w:pPr>
          </w:p>
        </w:tc>
        <w:tc>
          <w:tcPr>
            <w:tcW w:w="529" w:type="pct"/>
            <w:vMerge/>
            <w:vAlign w:val="center"/>
          </w:tcPr>
          <w:p w14:paraId="7ED7DAF3" w14:textId="77777777" w:rsidR="002E474C" w:rsidRDefault="002E474C">
            <w:pPr>
              <w:pStyle w:val="A-"/>
            </w:pPr>
          </w:p>
        </w:tc>
        <w:tc>
          <w:tcPr>
            <w:tcW w:w="483" w:type="pct"/>
            <w:vAlign w:val="center"/>
          </w:tcPr>
          <w:p w14:paraId="39F7A4B9" w14:textId="77777777" w:rsidR="002E474C" w:rsidRDefault="00000000">
            <w:pPr>
              <w:pStyle w:val="A-"/>
            </w:pPr>
            <w:r>
              <w:t>5.00E-04</w:t>
            </w:r>
          </w:p>
        </w:tc>
        <w:tc>
          <w:tcPr>
            <w:tcW w:w="512" w:type="pct"/>
            <w:vAlign w:val="center"/>
          </w:tcPr>
          <w:p w14:paraId="6C771E34" w14:textId="77777777" w:rsidR="002E474C" w:rsidRDefault="00000000">
            <w:pPr>
              <w:pStyle w:val="A-"/>
            </w:pPr>
            <w:r>
              <w:t>2.593</w:t>
            </w:r>
            <w:r>
              <w:rPr>
                <w:rFonts w:eastAsia="等线"/>
              </w:rPr>
              <w:t>kg/a</w:t>
            </w:r>
          </w:p>
        </w:tc>
        <w:tc>
          <w:tcPr>
            <w:tcW w:w="525" w:type="pct"/>
            <w:vAlign w:val="center"/>
          </w:tcPr>
          <w:p w14:paraId="30CE984B" w14:textId="77777777" w:rsidR="002E474C" w:rsidRDefault="00000000">
            <w:pPr>
              <w:pStyle w:val="A-"/>
            </w:pPr>
            <w:r>
              <w:t>/</w:t>
            </w:r>
          </w:p>
        </w:tc>
        <w:tc>
          <w:tcPr>
            <w:tcW w:w="382" w:type="pct"/>
            <w:vAlign w:val="center"/>
          </w:tcPr>
          <w:p w14:paraId="00B54234" w14:textId="77777777" w:rsidR="002E474C" w:rsidRDefault="00000000">
            <w:pPr>
              <w:pStyle w:val="A-"/>
            </w:pPr>
            <w:r>
              <w:t>/</w:t>
            </w:r>
          </w:p>
        </w:tc>
        <w:tc>
          <w:tcPr>
            <w:tcW w:w="393" w:type="pct"/>
            <w:vMerge/>
            <w:vAlign w:val="center"/>
          </w:tcPr>
          <w:p w14:paraId="44B966E8" w14:textId="77777777" w:rsidR="002E474C" w:rsidRDefault="002E474C">
            <w:pPr>
              <w:pStyle w:val="A-"/>
            </w:pPr>
          </w:p>
        </w:tc>
      </w:tr>
      <w:tr w:rsidR="002E474C" w14:paraId="0EDB768F" w14:textId="77777777">
        <w:trPr>
          <w:jc w:val="center"/>
        </w:trPr>
        <w:tc>
          <w:tcPr>
            <w:tcW w:w="299" w:type="pct"/>
            <w:vMerge/>
            <w:vAlign w:val="center"/>
          </w:tcPr>
          <w:p w14:paraId="7F5D1F9D" w14:textId="77777777" w:rsidR="002E474C" w:rsidRDefault="002E474C">
            <w:pPr>
              <w:pStyle w:val="A-"/>
            </w:pPr>
          </w:p>
        </w:tc>
        <w:tc>
          <w:tcPr>
            <w:tcW w:w="451" w:type="pct"/>
            <w:vMerge/>
            <w:vAlign w:val="center"/>
          </w:tcPr>
          <w:p w14:paraId="3292D268" w14:textId="77777777" w:rsidR="002E474C" w:rsidRDefault="002E474C">
            <w:pPr>
              <w:pStyle w:val="A-"/>
            </w:pPr>
          </w:p>
        </w:tc>
        <w:tc>
          <w:tcPr>
            <w:tcW w:w="1207" w:type="pct"/>
            <w:vAlign w:val="center"/>
          </w:tcPr>
          <w:p w14:paraId="459EA9BC" w14:textId="77777777" w:rsidR="002E474C" w:rsidRDefault="00000000">
            <w:pPr>
              <w:pStyle w:val="A-"/>
            </w:pPr>
            <w:r>
              <w:t>Ni</w:t>
            </w:r>
          </w:p>
        </w:tc>
        <w:tc>
          <w:tcPr>
            <w:tcW w:w="218" w:type="pct"/>
            <w:vMerge/>
            <w:vAlign w:val="center"/>
          </w:tcPr>
          <w:p w14:paraId="72E275D9" w14:textId="77777777" w:rsidR="002E474C" w:rsidRDefault="002E474C">
            <w:pPr>
              <w:pStyle w:val="A-"/>
            </w:pPr>
          </w:p>
        </w:tc>
        <w:tc>
          <w:tcPr>
            <w:tcW w:w="529" w:type="pct"/>
            <w:vMerge/>
            <w:vAlign w:val="center"/>
          </w:tcPr>
          <w:p w14:paraId="74CFFCE4" w14:textId="77777777" w:rsidR="002E474C" w:rsidRDefault="002E474C">
            <w:pPr>
              <w:pStyle w:val="A-"/>
            </w:pPr>
          </w:p>
        </w:tc>
        <w:tc>
          <w:tcPr>
            <w:tcW w:w="483" w:type="pct"/>
            <w:vAlign w:val="center"/>
          </w:tcPr>
          <w:p w14:paraId="6A25A8CB" w14:textId="77777777" w:rsidR="002E474C" w:rsidRDefault="00000000">
            <w:pPr>
              <w:pStyle w:val="A-"/>
            </w:pPr>
            <w:r>
              <w:t>8.47E-06</w:t>
            </w:r>
          </w:p>
        </w:tc>
        <w:tc>
          <w:tcPr>
            <w:tcW w:w="512" w:type="pct"/>
            <w:vAlign w:val="center"/>
          </w:tcPr>
          <w:p w14:paraId="41C9583A" w14:textId="77777777" w:rsidR="002E474C" w:rsidRDefault="00000000">
            <w:pPr>
              <w:pStyle w:val="A-"/>
            </w:pPr>
            <w:r>
              <w:t>0.044</w:t>
            </w:r>
            <w:r>
              <w:rPr>
                <w:rFonts w:eastAsia="等线"/>
              </w:rPr>
              <w:t>kg/a</w:t>
            </w:r>
          </w:p>
        </w:tc>
        <w:tc>
          <w:tcPr>
            <w:tcW w:w="525" w:type="pct"/>
            <w:vAlign w:val="center"/>
          </w:tcPr>
          <w:p w14:paraId="644A72CC" w14:textId="77777777" w:rsidR="002E474C" w:rsidRDefault="00000000">
            <w:pPr>
              <w:pStyle w:val="A-"/>
            </w:pPr>
            <w:r>
              <w:t>/</w:t>
            </w:r>
          </w:p>
        </w:tc>
        <w:tc>
          <w:tcPr>
            <w:tcW w:w="382" w:type="pct"/>
            <w:vAlign w:val="center"/>
          </w:tcPr>
          <w:p w14:paraId="1722F220" w14:textId="77777777" w:rsidR="002E474C" w:rsidRDefault="00000000">
            <w:pPr>
              <w:pStyle w:val="A-"/>
            </w:pPr>
            <w:r>
              <w:t>/</w:t>
            </w:r>
          </w:p>
        </w:tc>
        <w:tc>
          <w:tcPr>
            <w:tcW w:w="393" w:type="pct"/>
            <w:vMerge/>
            <w:vAlign w:val="center"/>
          </w:tcPr>
          <w:p w14:paraId="32AF6C53" w14:textId="77777777" w:rsidR="002E474C" w:rsidRDefault="002E474C">
            <w:pPr>
              <w:pStyle w:val="A-"/>
            </w:pPr>
          </w:p>
        </w:tc>
      </w:tr>
      <w:tr w:rsidR="002E474C" w14:paraId="62B0DC1C" w14:textId="77777777">
        <w:trPr>
          <w:jc w:val="center"/>
        </w:trPr>
        <w:tc>
          <w:tcPr>
            <w:tcW w:w="299" w:type="pct"/>
            <w:vMerge/>
            <w:vAlign w:val="center"/>
          </w:tcPr>
          <w:p w14:paraId="14600D97" w14:textId="77777777" w:rsidR="002E474C" w:rsidRDefault="002E474C">
            <w:pPr>
              <w:pStyle w:val="A-"/>
            </w:pPr>
          </w:p>
        </w:tc>
        <w:tc>
          <w:tcPr>
            <w:tcW w:w="451" w:type="pct"/>
            <w:vMerge/>
            <w:vAlign w:val="center"/>
          </w:tcPr>
          <w:p w14:paraId="43F611D4" w14:textId="77777777" w:rsidR="002E474C" w:rsidRDefault="002E474C">
            <w:pPr>
              <w:pStyle w:val="A-"/>
            </w:pPr>
          </w:p>
        </w:tc>
        <w:tc>
          <w:tcPr>
            <w:tcW w:w="1207" w:type="pct"/>
            <w:vAlign w:val="center"/>
          </w:tcPr>
          <w:p w14:paraId="5216BFCA" w14:textId="77777777" w:rsidR="002E474C" w:rsidRDefault="00000000">
            <w:pPr>
              <w:pStyle w:val="A-"/>
            </w:pPr>
            <w:r>
              <w:t>Mn</w:t>
            </w:r>
          </w:p>
        </w:tc>
        <w:tc>
          <w:tcPr>
            <w:tcW w:w="218" w:type="pct"/>
            <w:vMerge/>
            <w:vAlign w:val="center"/>
          </w:tcPr>
          <w:p w14:paraId="4DC8970D" w14:textId="77777777" w:rsidR="002E474C" w:rsidRDefault="002E474C">
            <w:pPr>
              <w:pStyle w:val="A-"/>
            </w:pPr>
          </w:p>
        </w:tc>
        <w:tc>
          <w:tcPr>
            <w:tcW w:w="529" w:type="pct"/>
            <w:vMerge/>
            <w:vAlign w:val="center"/>
          </w:tcPr>
          <w:p w14:paraId="2357B26E" w14:textId="77777777" w:rsidR="002E474C" w:rsidRDefault="002E474C">
            <w:pPr>
              <w:pStyle w:val="A-"/>
            </w:pPr>
          </w:p>
        </w:tc>
        <w:tc>
          <w:tcPr>
            <w:tcW w:w="483" w:type="pct"/>
            <w:vAlign w:val="center"/>
          </w:tcPr>
          <w:p w14:paraId="7664DE3B" w14:textId="77777777" w:rsidR="002E474C" w:rsidRDefault="00000000">
            <w:pPr>
              <w:pStyle w:val="A-"/>
            </w:pPr>
            <w:r>
              <w:t>1.23E-03</w:t>
            </w:r>
          </w:p>
        </w:tc>
        <w:tc>
          <w:tcPr>
            <w:tcW w:w="512" w:type="pct"/>
            <w:vAlign w:val="center"/>
          </w:tcPr>
          <w:p w14:paraId="16AE6716" w14:textId="77777777" w:rsidR="002E474C" w:rsidRDefault="00000000">
            <w:pPr>
              <w:pStyle w:val="A-"/>
            </w:pPr>
            <w:r>
              <w:t>6.382</w:t>
            </w:r>
            <w:r>
              <w:rPr>
                <w:rFonts w:eastAsia="等线"/>
              </w:rPr>
              <w:t>kg/a</w:t>
            </w:r>
          </w:p>
        </w:tc>
        <w:tc>
          <w:tcPr>
            <w:tcW w:w="525" w:type="pct"/>
            <w:vAlign w:val="center"/>
          </w:tcPr>
          <w:p w14:paraId="3BB56EF7" w14:textId="77777777" w:rsidR="002E474C" w:rsidRDefault="00000000">
            <w:pPr>
              <w:pStyle w:val="A-"/>
            </w:pPr>
            <w:r>
              <w:t>/</w:t>
            </w:r>
          </w:p>
        </w:tc>
        <w:tc>
          <w:tcPr>
            <w:tcW w:w="382" w:type="pct"/>
            <w:vAlign w:val="center"/>
          </w:tcPr>
          <w:p w14:paraId="3A6EC782" w14:textId="77777777" w:rsidR="002E474C" w:rsidRDefault="00000000">
            <w:pPr>
              <w:pStyle w:val="A-"/>
            </w:pPr>
            <w:r>
              <w:t>/</w:t>
            </w:r>
          </w:p>
        </w:tc>
        <w:tc>
          <w:tcPr>
            <w:tcW w:w="393" w:type="pct"/>
            <w:vMerge/>
            <w:vAlign w:val="center"/>
          </w:tcPr>
          <w:p w14:paraId="46E88E88" w14:textId="77777777" w:rsidR="002E474C" w:rsidRDefault="002E474C">
            <w:pPr>
              <w:pStyle w:val="A-"/>
            </w:pPr>
          </w:p>
        </w:tc>
      </w:tr>
      <w:tr w:rsidR="002E474C" w14:paraId="06CA1D77" w14:textId="77777777">
        <w:trPr>
          <w:jc w:val="center"/>
        </w:trPr>
        <w:tc>
          <w:tcPr>
            <w:tcW w:w="299" w:type="pct"/>
            <w:vMerge/>
            <w:vAlign w:val="center"/>
          </w:tcPr>
          <w:p w14:paraId="35F8FCCF" w14:textId="77777777" w:rsidR="002E474C" w:rsidRDefault="002E474C">
            <w:pPr>
              <w:pStyle w:val="A-"/>
            </w:pPr>
          </w:p>
        </w:tc>
        <w:tc>
          <w:tcPr>
            <w:tcW w:w="451" w:type="pct"/>
            <w:vMerge/>
            <w:vAlign w:val="center"/>
          </w:tcPr>
          <w:p w14:paraId="2C07547D" w14:textId="77777777" w:rsidR="002E474C" w:rsidRDefault="002E474C">
            <w:pPr>
              <w:pStyle w:val="A-"/>
            </w:pPr>
          </w:p>
        </w:tc>
        <w:tc>
          <w:tcPr>
            <w:tcW w:w="1207" w:type="pct"/>
            <w:vAlign w:val="center"/>
          </w:tcPr>
          <w:p w14:paraId="3040F73C" w14:textId="77777777" w:rsidR="002E474C" w:rsidRDefault="00000000">
            <w:pPr>
              <w:pStyle w:val="A-"/>
            </w:pPr>
            <w:r>
              <w:t>As</w:t>
            </w:r>
          </w:p>
        </w:tc>
        <w:tc>
          <w:tcPr>
            <w:tcW w:w="218" w:type="pct"/>
            <w:vMerge/>
            <w:vAlign w:val="center"/>
          </w:tcPr>
          <w:p w14:paraId="475978A3" w14:textId="77777777" w:rsidR="002E474C" w:rsidRDefault="002E474C">
            <w:pPr>
              <w:pStyle w:val="A-"/>
            </w:pPr>
          </w:p>
        </w:tc>
        <w:tc>
          <w:tcPr>
            <w:tcW w:w="529" w:type="pct"/>
            <w:vMerge/>
            <w:vAlign w:val="center"/>
          </w:tcPr>
          <w:p w14:paraId="4E75D5C3" w14:textId="77777777" w:rsidR="002E474C" w:rsidRDefault="002E474C">
            <w:pPr>
              <w:pStyle w:val="A-"/>
            </w:pPr>
          </w:p>
        </w:tc>
        <w:tc>
          <w:tcPr>
            <w:tcW w:w="483" w:type="pct"/>
            <w:vAlign w:val="center"/>
          </w:tcPr>
          <w:p w14:paraId="19967DCC" w14:textId="77777777" w:rsidR="002E474C" w:rsidRDefault="00000000">
            <w:pPr>
              <w:pStyle w:val="A-"/>
            </w:pPr>
            <w:r>
              <w:t>3.33E-05</w:t>
            </w:r>
          </w:p>
        </w:tc>
        <w:tc>
          <w:tcPr>
            <w:tcW w:w="512" w:type="pct"/>
            <w:vAlign w:val="center"/>
          </w:tcPr>
          <w:p w14:paraId="3D64BA6D" w14:textId="77777777" w:rsidR="002E474C" w:rsidRDefault="00000000">
            <w:pPr>
              <w:pStyle w:val="A-"/>
            </w:pPr>
            <w:r>
              <w:t>0.173</w:t>
            </w:r>
            <w:r>
              <w:rPr>
                <w:rFonts w:eastAsia="等线"/>
              </w:rPr>
              <w:t>kg/a</w:t>
            </w:r>
          </w:p>
        </w:tc>
        <w:tc>
          <w:tcPr>
            <w:tcW w:w="525" w:type="pct"/>
            <w:vAlign w:val="center"/>
          </w:tcPr>
          <w:p w14:paraId="5C50ADBB" w14:textId="77777777" w:rsidR="002E474C" w:rsidRDefault="00000000">
            <w:pPr>
              <w:pStyle w:val="A-"/>
            </w:pPr>
            <w:r>
              <w:t>/</w:t>
            </w:r>
          </w:p>
        </w:tc>
        <w:tc>
          <w:tcPr>
            <w:tcW w:w="382" w:type="pct"/>
            <w:vAlign w:val="center"/>
          </w:tcPr>
          <w:p w14:paraId="1E25B960" w14:textId="77777777" w:rsidR="002E474C" w:rsidRDefault="00000000">
            <w:pPr>
              <w:pStyle w:val="A-"/>
            </w:pPr>
            <w:r>
              <w:t>/</w:t>
            </w:r>
          </w:p>
        </w:tc>
        <w:tc>
          <w:tcPr>
            <w:tcW w:w="393" w:type="pct"/>
            <w:vMerge/>
            <w:vAlign w:val="center"/>
          </w:tcPr>
          <w:p w14:paraId="28455492" w14:textId="77777777" w:rsidR="002E474C" w:rsidRDefault="002E474C">
            <w:pPr>
              <w:pStyle w:val="A-"/>
            </w:pPr>
          </w:p>
        </w:tc>
      </w:tr>
      <w:tr w:rsidR="002E474C" w14:paraId="6DE1785E" w14:textId="77777777">
        <w:trPr>
          <w:jc w:val="center"/>
        </w:trPr>
        <w:tc>
          <w:tcPr>
            <w:tcW w:w="299" w:type="pct"/>
            <w:vMerge/>
            <w:vAlign w:val="center"/>
          </w:tcPr>
          <w:p w14:paraId="12D90918" w14:textId="77777777" w:rsidR="002E474C" w:rsidRDefault="002E474C">
            <w:pPr>
              <w:pStyle w:val="A-"/>
            </w:pPr>
          </w:p>
        </w:tc>
        <w:tc>
          <w:tcPr>
            <w:tcW w:w="451" w:type="pct"/>
            <w:vMerge/>
            <w:vAlign w:val="center"/>
          </w:tcPr>
          <w:p w14:paraId="2B3E8D4D" w14:textId="77777777" w:rsidR="002E474C" w:rsidRDefault="002E474C">
            <w:pPr>
              <w:pStyle w:val="A-"/>
            </w:pPr>
          </w:p>
        </w:tc>
        <w:tc>
          <w:tcPr>
            <w:tcW w:w="1207" w:type="pct"/>
            <w:vAlign w:val="center"/>
          </w:tcPr>
          <w:p w14:paraId="19BF8390" w14:textId="77777777" w:rsidR="002E474C" w:rsidRDefault="00000000">
            <w:pPr>
              <w:pStyle w:val="A-"/>
            </w:pPr>
            <w:r>
              <w:t>Hg</w:t>
            </w:r>
          </w:p>
        </w:tc>
        <w:tc>
          <w:tcPr>
            <w:tcW w:w="218" w:type="pct"/>
            <w:vMerge/>
            <w:vAlign w:val="center"/>
          </w:tcPr>
          <w:p w14:paraId="6326F4D1" w14:textId="77777777" w:rsidR="002E474C" w:rsidRDefault="002E474C">
            <w:pPr>
              <w:pStyle w:val="A-"/>
            </w:pPr>
          </w:p>
        </w:tc>
        <w:tc>
          <w:tcPr>
            <w:tcW w:w="529" w:type="pct"/>
            <w:vMerge/>
            <w:vAlign w:val="center"/>
          </w:tcPr>
          <w:p w14:paraId="688AD708" w14:textId="77777777" w:rsidR="002E474C" w:rsidRDefault="002E474C">
            <w:pPr>
              <w:pStyle w:val="A-"/>
            </w:pPr>
          </w:p>
        </w:tc>
        <w:tc>
          <w:tcPr>
            <w:tcW w:w="483" w:type="pct"/>
            <w:vAlign w:val="center"/>
          </w:tcPr>
          <w:p w14:paraId="31683755" w14:textId="77777777" w:rsidR="002E474C" w:rsidRDefault="00000000">
            <w:pPr>
              <w:pStyle w:val="A-"/>
            </w:pPr>
            <w:r>
              <w:rPr>
                <w:rFonts w:hint="eastAsia"/>
              </w:rPr>
              <w:t>9.37</w:t>
            </w:r>
            <w:r>
              <w:t>E-04</w:t>
            </w:r>
          </w:p>
        </w:tc>
        <w:tc>
          <w:tcPr>
            <w:tcW w:w="512" w:type="pct"/>
            <w:vAlign w:val="center"/>
          </w:tcPr>
          <w:p w14:paraId="061F812A" w14:textId="77777777" w:rsidR="002E474C" w:rsidRDefault="00000000">
            <w:pPr>
              <w:pStyle w:val="A-"/>
            </w:pPr>
            <w:r>
              <w:rPr>
                <w:rFonts w:hint="eastAsia"/>
              </w:rPr>
              <w:t>6.745</w:t>
            </w:r>
            <w:r>
              <w:rPr>
                <w:rFonts w:eastAsia="等线"/>
              </w:rPr>
              <w:t>kg/a</w:t>
            </w:r>
          </w:p>
        </w:tc>
        <w:tc>
          <w:tcPr>
            <w:tcW w:w="525" w:type="pct"/>
            <w:vAlign w:val="center"/>
          </w:tcPr>
          <w:p w14:paraId="01AACE1A" w14:textId="77777777" w:rsidR="002E474C" w:rsidRDefault="00000000">
            <w:pPr>
              <w:pStyle w:val="A-"/>
            </w:pPr>
            <w:r>
              <w:t>0.05</w:t>
            </w:r>
          </w:p>
        </w:tc>
        <w:tc>
          <w:tcPr>
            <w:tcW w:w="382" w:type="pct"/>
            <w:vAlign w:val="center"/>
          </w:tcPr>
          <w:p w14:paraId="10B16482" w14:textId="77777777" w:rsidR="002E474C" w:rsidRDefault="00000000">
            <w:pPr>
              <w:pStyle w:val="A-"/>
            </w:pPr>
            <w:r>
              <w:t>/</w:t>
            </w:r>
          </w:p>
        </w:tc>
        <w:tc>
          <w:tcPr>
            <w:tcW w:w="393" w:type="pct"/>
            <w:vMerge/>
            <w:vAlign w:val="center"/>
          </w:tcPr>
          <w:p w14:paraId="00699764" w14:textId="77777777" w:rsidR="002E474C" w:rsidRDefault="002E474C">
            <w:pPr>
              <w:pStyle w:val="A-"/>
            </w:pPr>
          </w:p>
        </w:tc>
      </w:tr>
      <w:tr w:rsidR="002E474C" w14:paraId="25A32D10" w14:textId="77777777">
        <w:trPr>
          <w:jc w:val="center"/>
        </w:trPr>
        <w:tc>
          <w:tcPr>
            <w:tcW w:w="299" w:type="pct"/>
            <w:vMerge/>
            <w:vAlign w:val="center"/>
          </w:tcPr>
          <w:p w14:paraId="7DD3B252" w14:textId="77777777" w:rsidR="002E474C" w:rsidRDefault="002E474C">
            <w:pPr>
              <w:pStyle w:val="A-"/>
            </w:pPr>
          </w:p>
        </w:tc>
        <w:tc>
          <w:tcPr>
            <w:tcW w:w="451" w:type="pct"/>
            <w:vMerge/>
            <w:vAlign w:val="center"/>
          </w:tcPr>
          <w:p w14:paraId="3D6CEBE6" w14:textId="77777777" w:rsidR="002E474C" w:rsidRDefault="002E474C">
            <w:pPr>
              <w:pStyle w:val="A-"/>
            </w:pPr>
          </w:p>
        </w:tc>
        <w:tc>
          <w:tcPr>
            <w:tcW w:w="1207" w:type="pct"/>
            <w:vAlign w:val="center"/>
          </w:tcPr>
          <w:p w14:paraId="16A2B6FE" w14:textId="77777777" w:rsidR="002E474C" w:rsidRDefault="00000000">
            <w:pPr>
              <w:pStyle w:val="A-"/>
            </w:pPr>
            <w:r>
              <w:t>T1+Cd+Pb+As</w:t>
            </w:r>
          </w:p>
        </w:tc>
        <w:tc>
          <w:tcPr>
            <w:tcW w:w="218" w:type="pct"/>
            <w:vMerge/>
            <w:vAlign w:val="center"/>
          </w:tcPr>
          <w:p w14:paraId="7B52D8FB" w14:textId="77777777" w:rsidR="002E474C" w:rsidRDefault="002E474C">
            <w:pPr>
              <w:pStyle w:val="A-"/>
            </w:pPr>
          </w:p>
        </w:tc>
        <w:tc>
          <w:tcPr>
            <w:tcW w:w="529" w:type="pct"/>
            <w:vMerge/>
            <w:vAlign w:val="center"/>
          </w:tcPr>
          <w:p w14:paraId="345B038E" w14:textId="77777777" w:rsidR="002E474C" w:rsidRDefault="002E474C">
            <w:pPr>
              <w:pStyle w:val="A-"/>
            </w:pPr>
          </w:p>
        </w:tc>
        <w:tc>
          <w:tcPr>
            <w:tcW w:w="483" w:type="pct"/>
            <w:vAlign w:val="center"/>
          </w:tcPr>
          <w:p w14:paraId="22A4277E" w14:textId="77777777" w:rsidR="002E474C" w:rsidRDefault="00000000">
            <w:pPr>
              <w:pStyle w:val="A-"/>
            </w:pPr>
            <w:r>
              <w:t>5.55E-04</w:t>
            </w:r>
          </w:p>
        </w:tc>
        <w:tc>
          <w:tcPr>
            <w:tcW w:w="512" w:type="pct"/>
            <w:vAlign w:val="center"/>
          </w:tcPr>
          <w:p w14:paraId="0E8BDC80" w14:textId="77777777" w:rsidR="002E474C" w:rsidRDefault="00000000">
            <w:pPr>
              <w:pStyle w:val="A-"/>
            </w:pPr>
            <w:r>
              <w:t>2.881</w:t>
            </w:r>
            <w:r>
              <w:rPr>
                <w:rFonts w:eastAsia="等线"/>
              </w:rPr>
              <w:t>kg/a</w:t>
            </w:r>
          </w:p>
        </w:tc>
        <w:tc>
          <w:tcPr>
            <w:tcW w:w="525" w:type="pct"/>
            <w:vAlign w:val="center"/>
          </w:tcPr>
          <w:p w14:paraId="2696D82B" w14:textId="77777777" w:rsidR="002E474C" w:rsidRDefault="00000000">
            <w:pPr>
              <w:pStyle w:val="A-"/>
            </w:pPr>
            <w:r>
              <w:t>1.0</w:t>
            </w:r>
          </w:p>
        </w:tc>
        <w:tc>
          <w:tcPr>
            <w:tcW w:w="382" w:type="pct"/>
            <w:vAlign w:val="center"/>
          </w:tcPr>
          <w:p w14:paraId="03EFAFE8" w14:textId="77777777" w:rsidR="002E474C" w:rsidRDefault="00000000">
            <w:pPr>
              <w:pStyle w:val="A-"/>
            </w:pPr>
            <w:r>
              <w:t>/</w:t>
            </w:r>
          </w:p>
        </w:tc>
        <w:tc>
          <w:tcPr>
            <w:tcW w:w="393" w:type="pct"/>
            <w:vMerge/>
            <w:vAlign w:val="center"/>
          </w:tcPr>
          <w:p w14:paraId="1D3C194C" w14:textId="77777777" w:rsidR="002E474C" w:rsidRDefault="002E474C">
            <w:pPr>
              <w:pStyle w:val="A-"/>
            </w:pPr>
          </w:p>
        </w:tc>
      </w:tr>
      <w:tr w:rsidR="002E474C" w14:paraId="3A74CC81" w14:textId="77777777">
        <w:trPr>
          <w:jc w:val="center"/>
        </w:trPr>
        <w:tc>
          <w:tcPr>
            <w:tcW w:w="299" w:type="pct"/>
            <w:vMerge/>
            <w:vAlign w:val="center"/>
          </w:tcPr>
          <w:p w14:paraId="000477FD" w14:textId="77777777" w:rsidR="002E474C" w:rsidRDefault="002E474C">
            <w:pPr>
              <w:pStyle w:val="A-"/>
            </w:pPr>
          </w:p>
        </w:tc>
        <w:tc>
          <w:tcPr>
            <w:tcW w:w="451" w:type="pct"/>
            <w:vMerge/>
            <w:vAlign w:val="center"/>
          </w:tcPr>
          <w:p w14:paraId="467BC8BA" w14:textId="77777777" w:rsidR="002E474C" w:rsidRDefault="002E474C">
            <w:pPr>
              <w:pStyle w:val="A-"/>
            </w:pPr>
          </w:p>
        </w:tc>
        <w:tc>
          <w:tcPr>
            <w:tcW w:w="1207" w:type="pct"/>
            <w:vAlign w:val="center"/>
          </w:tcPr>
          <w:p w14:paraId="15D05AAC" w14:textId="77777777" w:rsidR="002E474C" w:rsidRDefault="00000000">
            <w:pPr>
              <w:pStyle w:val="A-"/>
            </w:pPr>
            <w:proofErr w:type="spellStart"/>
            <w:r>
              <w:t>Be+Cr+Sn+Sb+Cu+Co+Mn+Ni+V</w:t>
            </w:r>
            <w:proofErr w:type="spellEnd"/>
          </w:p>
        </w:tc>
        <w:tc>
          <w:tcPr>
            <w:tcW w:w="218" w:type="pct"/>
            <w:vMerge/>
            <w:vAlign w:val="center"/>
          </w:tcPr>
          <w:p w14:paraId="75332451" w14:textId="77777777" w:rsidR="002E474C" w:rsidRDefault="002E474C">
            <w:pPr>
              <w:pStyle w:val="A-"/>
            </w:pPr>
          </w:p>
        </w:tc>
        <w:tc>
          <w:tcPr>
            <w:tcW w:w="529" w:type="pct"/>
            <w:vMerge/>
            <w:vAlign w:val="center"/>
          </w:tcPr>
          <w:p w14:paraId="46051B3B" w14:textId="77777777" w:rsidR="002E474C" w:rsidRDefault="002E474C">
            <w:pPr>
              <w:pStyle w:val="A-"/>
            </w:pPr>
          </w:p>
        </w:tc>
        <w:tc>
          <w:tcPr>
            <w:tcW w:w="483" w:type="pct"/>
            <w:vAlign w:val="center"/>
          </w:tcPr>
          <w:p w14:paraId="4CF27E2D" w14:textId="77777777" w:rsidR="002E474C" w:rsidRDefault="00000000">
            <w:pPr>
              <w:pStyle w:val="A-"/>
            </w:pPr>
            <w:r>
              <w:t>4.36E-02</w:t>
            </w:r>
          </w:p>
        </w:tc>
        <w:tc>
          <w:tcPr>
            <w:tcW w:w="512" w:type="pct"/>
            <w:vAlign w:val="center"/>
          </w:tcPr>
          <w:p w14:paraId="0DDF52BA" w14:textId="77777777" w:rsidR="002E474C" w:rsidRDefault="00000000">
            <w:pPr>
              <w:pStyle w:val="A-"/>
            </w:pPr>
            <w:r>
              <w:t>226.292</w:t>
            </w:r>
            <w:r>
              <w:rPr>
                <w:rFonts w:eastAsia="等线"/>
              </w:rPr>
              <w:t>kg/a</w:t>
            </w:r>
          </w:p>
        </w:tc>
        <w:tc>
          <w:tcPr>
            <w:tcW w:w="525" w:type="pct"/>
            <w:vAlign w:val="center"/>
          </w:tcPr>
          <w:p w14:paraId="4B755CE5" w14:textId="77777777" w:rsidR="002E474C" w:rsidRDefault="00000000">
            <w:pPr>
              <w:pStyle w:val="A-"/>
            </w:pPr>
            <w:r>
              <w:t>0.5</w:t>
            </w:r>
          </w:p>
        </w:tc>
        <w:tc>
          <w:tcPr>
            <w:tcW w:w="382" w:type="pct"/>
            <w:vAlign w:val="center"/>
          </w:tcPr>
          <w:p w14:paraId="7079A74A" w14:textId="77777777" w:rsidR="002E474C" w:rsidRDefault="00000000">
            <w:pPr>
              <w:pStyle w:val="A-"/>
            </w:pPr>
            <w:r>
              <w:t>/</w:t>
            </w:r>
          </w:p>
        </w:tc>
        <w:tc>
          <w:tcPr>
            <w:tcW w:w="393" w:type="pct"/>
            <w:vMerge/>
            <w:vAlign w:val="center"/>
          </w:tcPr>
          <w:p w14:paraId="0613A385" w14:textId="77777777" w:rsidR="002E474C" w:rsidRDefault="002E474C">
            <w:pPr>
              <w:pStyle w:val="A-"/>
            </w:pPr>
          </w:p>
        </w:tc>
      </w:tr>
      <w:tr w:rsidR="002E474C" w14:paraId="721D71A8" w14:textId="77777777">
        <w:trPr>
          <w:jc w:val="center"/>
        </w:trPr>
        <w:tc>
          <w:tcPr>
            <w:tcW w:w="299" w:type="pct"/>
            <w:vMerge/>
            <w:vAlign w:val="center"/>
          </w:tcPr>
          <w:p w14:paraId="2DD64AA1" w14:textId="77777777" w:rsidR="002E474C" w:rsidRDefault="002E474C">
            <w:pPr>
              <w:pStyle w:val="A-"/>
            </w:pPr>
          </w:p>
        </w:tc>
        <w:tc>
          <w:tcPr>
            <w:tcW w:w="451" w:type="pct"/>
            <w:vMerge/>
            <w:vAlign w:val="center"/>
          </w:tcPr>
          <w:p w14:paraId="10F9CD32" w14:textId="77777777" w:rsidR="002E474C" w:rsidRDefault="002E474C">
            <w:pPr>
              <w:pStyle w:val="A-"/>
            </w:pPr>
          </w:p>
        </w:tc>
        <w:tc>
          <w:tcPr>
            <w:tcW w:w="1207" w:type="pct"/>
            <w:vAlign w:val="center"/>
          </w:tcPr>
          <w:p w14:paraId="5A41AE4F" w14:textId="77777777" w:rsidR="002E474C" w:rsidRDefault="00000000">
            <w:pPr>
              <w:pStyle w:val="A-"/>
            </w:pPr>
            <w:r>
              <w:t>二噁英类</w:t>
            </w:r>
          </w:p>
        </w:tc>
        <w:tc>
          <w:tcPr>
            <w:tcW w:w="218" w:type="pct"/>
            <w:vMerge/>
            <w:vAlign w:val="center"/>
          </w:tcPr>
          <w:p w14:paraId="24C900EA" w14:textId="77777777" w:rsidR="002E474C" w:rsidRDefault="002E474C">
            <w:pPr>
              <w:pStyle w:val="A-"/>
            </w:pPr>
          </w:p>
        </w:tc>
        <w:tc>
          <w:tcPr>
            <w:tcW w:w="529" w:type="pct"/>
            <w:vMerge/>
            <w:vAlign w:val="center"/>
          </w:tcPr>
          <w:p w14:paraId="4E34E048" w14:textId="77777777" w:rsidR="002E474C" w:rsidRDefault="002E474C">
            <w:pPr>
              <w:pStyle w:val="A-"/>
            </w:pPr>
          </w:p>
        </w:tc>
        <w:tc>
          <w:tcPr>
            <w:tcW w:w="483" w:type="pct"/>
            <w:vAlign w:val="center"/>
          </w:tcPr>
          <w:p w14:paraId="5D8D0ABD" w14:textId="77777777" w:rsidR="002E474C" w:rsidRDefault="00000000">
            <w:pPr>
              <w:pStyle w:val="A-"/>
            </w:pPr>
            <w:r>
              <w:t>0.05</w:t>
            </w:r>
            <w:r>
              <w:t>（</w:t>
            </w:r>
            <w:r>
              <w:t>ng TEQ/Nm</w:t>
            </w:r>
            <w:r>
              <w:rPr>
                <w:vertAlign w:val="superscript"/>
              </w:rPr>
              <w:t>3</w:t>
            </w:r>
            <w:r>
              <w:t>）</w:t>
            </w:r>
          </w:p>
        </w:tc>
        <w:tc>
          <w:tcPr>
            <w:tcW w:w="512" w:type="pct"/>
            <w:vAlign w:val="center"/>
          </w:tcPr>
          <w:p w14:paraId="06E1D3AC" w14:textId="77777777" w:rsidR="002E474C" w:rsidRDefault="00000000">
            <w:pPr>
              <w:pStyle w:val="A-"/>
            </w:pPr>
            <w:r>
              <w:t>0.259gTEQ/a</w:t>
            </w:r>
          </w:p>
        </w:tc>
        <w:tc>
          <w:tcPr>
            <w:tcW w:w="525" w:type="pct"/>
            <w:vAlign w:val="center"/>
          </w:tcPr>
          <w:p w14:paraId="20822D40" w14:textId="77777777" w:rsidR="002E474C" w:rsidRDefault="00000000">
            <w:pPr>
              <w:pStyle w:val="A-"/>
            </w:pPr>
            <w:r>
              <w:t>0.1ngTEQ/m</w:t>
            </w:r>
            <w:r>
              <w:rPr>
                <w:vertAlign w:val="superscript"/>
              </w:rPr>
              <w:t>3</w:t>
            </w:r>
          </w:p>
        </w:tc>
        <w:tc>
          <w:tcPr>
            <w:tcW w:w="382" w:type="pct"/>
            <w:vAlign w:val="center"/>
          </w:tcPr>
          <w:p w14:paraId="3D0EB9D5" w14:textId="77777777" w:rsidR="002E474C" w:rsidRDefault="00000000">
            <w:pPr>
              <w:pStyle w:val="A-"/>
            </w:pPr>
            <w:r>
              <w:t>/</w:t>
            </w:r>
          </w:p>
        </w:tc>
        <w:tc>
          <w:tcPr>
            <w:tcW w:w="393" w:type="pct"/>
            <w:vMerge/>
            <w:vAlign w:val="center"/>
          </w:tcPr>
          <w:p w14:paraId="78FBE216" w14:textId="77777777" w:rsidR="002E474C" w:rsidRDefault="002E474C">
            <w:pPr>
              <w:pStyle w:val="A-"/>
            </w:pPr>
          </w:p>
        </w:tc>
      </w:tr>
      <w:tr w:rsidR="002E474C" w14:paraId="0D55BA65" w14:textId="77777777">
        <w:trPr>
          <w:jc w:val="center"/>
        </w:trPr>
        <w:tc>
          <w:tcPr>
            <w:tcW w:w="299" w:type="pct"/>
            <w:vMerge/>
            <w:vAlign w:val="center"/>
          </w:tcPr>
          <w:p w14:paraId="6E9E2A0C" w14:textId="77777777" w:rsidR="002E474C" w:rsidRDefault="002E474C">
            <w:pPr>
              <w:pStyle w:val="A-"/>
            </w:pPr>
          </w:p>
        </w:tc>
        <w:tc>
          <w:tcPr>
            <w:tcW w:w="451" w:type="pct"/>
            <w:vMerge w:val="restart"/>
            <w:vAlign w:val="center"/>
          </w:tcPr>
          <w:p w14:paraId="44BFFD7A" w14:textId="77777777" w:rsidR="002E474C" w:rsidRDefault="00000000">
            <w:pPr>
              <w:pStyle w:val="A-"/>
              <w:rPr>
                <w:bCs/>
              </w:rPr>
            </w:pPr>
            <w:r>
              <w:t>危废贮存及预处理过程</w:t>
            </w:r>
          </w:p>
        </w:tc>
        <w:tc>
          <w:tcPr>
            <w:tcW w:w="1207" w:type="pct"/>
            <w:vAlign w:val="center"/>
          </w:tcPr>
          <w:p w14:paraId="146C198C" w14:textId="77777777" w:rsidR="002E474C" w:rsidRDefault="00000000">
            <w:pPr>
              <w:pStyle w:val="A-"/>
            </w:pPr>
            <w:r>
              <w:t>H</w:t>
            </w:r>
            <w:r>
              <w:rPr>
                <w:vertAlign w:val="subscript"/>
              </w:rPr>
              <w:t>2</w:t>
            </w:r>
            <w:r>
              <w:t>S</w:t>
            </w:r>
          </w:p>
        </w:tc>
        <w:tc>
          <w:tcPr>
            <w:tcW w:w="218" w:type="pct"/>
            <w:vMerge w:val="restart"/>
            <w:vAlign w:val="center"/>
          </w:tcPr>
          <w:p w14:paraId="121CDCBD" w14:textId="77777777" w:rsidR="002E474C" w:rsidRDefault="00000000">
            <w:pPr>
              <w:pStyle w:val="A-"/>
            </w:pPr>
            <w:r>
              <w:t>无组织</w:t>
            </w:r>
          </w:p>
        </w:tc>
        <w:tc>
          <w:tcPr>
            <w:tcW w:w="529" w:type="pct"/>
            <w:vMerge w:val="restart"/>
            <w:vAlign w:val="center"/>
          </w:tcPr>
          <w:p w14:paraId="784D0012" w14:textId="77777777" w:rsidR="002E474C" w:rsidRDefault="00000000">
            <w:pPr>
              <w:pStyle w:val="A-"/>
              <w:rPr>
                <w:bCs/>
              </w:rPr>
            </w:pPr>
            <w:r>
              <w:t>车间密闭、负压收集</w:t>
            </w:r>
          </w:p>
        </w:tc>
        <w:tc>
          <w:tcPr>
            <w:tcW w:w="483" w:type="pct"/>
            <w:vAlign w:val="center"/>
          </w:tcPr>
          <w:p w14:paraId="3D08A255" w14:textId="77777777" w:rsidR="002E474C" w:rsidRDefault="00000000">
            <w:pPr>
              <w:pStyle w:val="A-"/>
            </w:pPr>
            <w:r>
              <w:t>/</w:t>
            </w:r>
          </w:p>
        </w:tc>
        <w:tc>
          <w:tcPr>
            <w:tcW w:w="512" w:type="pct"/>
            <w:vAlign w:val="center"/>
          </w:tcPr>
          <w:p w14:paraId="0F487105" w14:textId="77777777" w:rsidR="002E474C" w:rsidRDefault="00000000">
            <w:pPr>
              <w:pStyle w:val="A-"/>
            </w:pPr>
            <w:r>
              <w:t xml:space="preserve">0.034 </w:t>
            </w:r>
          </w:p>
        </w:tc>
        <w:tc>
          <w:tcPr>
            <w:tcW w:w="525" w:type="pct"/>
            <w:vAlign w:val="center"/>
          </w:tcPr>
          <w:p w14:paraId="692493FF" w14:textId="77777777" w:rsidR="002E474C" w:rsidRDefault="00000000">
            <w:pPr>
              <w:pStyle w:val="A-"/>
            </w:pPr>
            <w:r>
              <w:t>0.06</w:t>
            </w:r>
          </w:p>
        </w:tc>
        <w:tc>
          <w:tcPr>
            <w:tcW w:w="382" w:type="pct"/>
            <w:vAlign w:val="center"/>
          </w:tcPr>
          <w:p w14:paraId="3B4E8CE8" w14:textId="77777777" w:rsidR="002E474C" w:rsidRDefault="00000000">
            <w:pPr>
              <w:pStyle w:val="A-"/>
            </w:pPr>
            <w:r>
              <w:t>/</w:t>
            </w:r>
          </w:p>
        </w:tc>
        <w:tc>
          <w:tcPr>
            <w:tcW w:w="393" w:type="pct"/>
            <w:vAlign w:val="center"/>
          </w:tcPr>
          <w:p w14:paraId="4F807001" w14:textId="77777777" w:rsidR="002E474C" w:rsidRDefault="00000000">
            <w:pPr>
              <w:pStyle w:val="A-"/>
            </w:pPr>
            <w:r>
              <w:t>GB14554</w:t>
            </w:r>
            <w:r>
              <w:t>表</w:t>
            </w:r>
            <w:r>
              <w:t>2</w:t>
            </w:r>
            <w:r>
              <w:t>中</w:t>
            </w:r>
            <w:r>
              <w:t>2</w:t>
            </w:r>
            <w:r>
              <w:t>级</w:t>
            </w:r>
          </w:p>
        </w:tc>
      </w:tr>
      <w:tr w:rsidR="002E474C" w14:paraId="6DC22073" w14:textId="77777777">
        <w:trPr>
          <w:jc w:val="center"/>
        </w:trPr>
        <w:tc>
          <w:tcPr>
            <w:tcW w:w="299" w:type="pct"/>
            <w:vMerge/>
            <w:vAlign w:val="center"/>
          </w:tcPr>
          <w:p w14:paraId="2CDC7AFA" w14:textId="77777777" w:rsidR="002E474C" w:rsidRDefault="002E474C">
            <w:pPr>
              <w:pStyle w:val="A-"/>
            </w:pPr>
          </w:p>
        </w:tc>
        <w:tc>
          <w:tcPr>
            <w:tcW w:w="451" w:type="pct"/>
            <w:vMerge/>
            <w:vAlign w:val="center"/>
          </w:tcPr>
          <w:p w14:paraId="21668AD6" w14:textId="77777777" w:rsidR="002E474C" w:rsidRDefault="002E474C">
            <w:pPr>
              <w:pStyle w:val="A-"/>
            </w:pPr>
          </w:p>
        </w:tc>
        <w:tc>
          <w:tcPr>
            <w:tcW w:w="1207" w:type="pct"/>
            <w:vAlign w:val="center"/>
          </w:tcPr>
          <w:p w14:paraId="75E8E830" w14:textId="77777777" w:rsidR="002E474C" w:rsidRDefault="00000000">
            <w:pPr>
              <w:pStyle w:val="A-"/>
            </w:pPr>
            <w:r>
              <w:t>NH</w:t>
            </w:r>
            <w:r>
              <w:rPr>
                <w:vertAlign w:val="subscript"/>
              </w:rPr>
              <w:t>3</w:t>
            </w:r>
          </w:p>
        </w:tc>
        <w:tc>
          <w:tcPr>
            <w:tcW w:w="218" w:type="pct"/>
            <w:vMerge/>
            <w:vAlign w:val="center"/>
          </w:tcPr>
          <w:p w14:paraId="03207F57" w14:textId="77777777" w:rsidR="002E474C" w:rsidRDefault="002E474C">
            <w:pPr>
              <w:pStyle w:val="A-"/>
            </w:pPr>
          </w:p>
        </w:tc>
        <w:tc>
          <w:tcPr>
            <w:tcW w:w="529" w:type="pct"/>
            <w:vMerge/>
            <w:vAlign w:val="center"/>
          </w:tcPr>
          <w:p w14:paraId="10C1D080" w14:textId="77777777" w:rsidR="002E474C" w:rsidRDefault="002E474C">
            <w:pPr>
              <w:pStyle w:val="A-"/>
            </w:pPr>
          </w:p>
        </w:tc>
        <w:tc>
          <w:tcPr>
            <w:tcW w:w="483" w:type="pct"/>
            <w:vAlign w:val="center"/>
          </w:tcPr>
          <w:p w14:paraId="76687233" w14:textId="77777777" w:rsidR="002E474C" w:rsidRDefault="00000000">
            <w:pPr>
              <w:pStyle w:val="A-"/>
            </w:pPr>
            <w:r>
              <w:t>/</w:t>
            </w:r>
          </w:p>
        </w:tc>
        <w:tc>
          <w:tcPr>
            <w:tcW w:w="512" w:type="pct"/>
            <w:vAlign w:val="center"/>
          </w:tcPr>
          <w:p w14:paraId="1FF20C1C" w14:textId="77777777" w:rsidR="002E474C" w:rsidRDefault="00000000">
            <w:pPr>
              <w:pStyle w:val="A-"/>
            </w:pPr>
            <w:r>
              <w:t>0.414</w:t>
            </w:r>
          </w:p>
        </w:tc>
        <w:tc>
          <w:tcPr>
            <w:tcW w:w="525" w:type="pct"/>
            <w:vAlign w:val="center"/>
          </w:tcPr>
          <w:p w14:paraId="23C75222" w14:textId="77777777" w:rsidR="002E474C" w:rsidRDefault="00000000">
            <w:pPr>
              <w:pStyle w:val="A-"/>
            </w:pPr>
            <w:r>
              <w:t>1</w:t>
            </w:r>
          </w:p>
        </w:tc>
        <w:tc>
          <w:tcPr>
            <w:tcW w:w="382" w:type="pct"/>
            <w:vAlign w:val="center"/>
          </w:tcPr>
          <w:p w14:paraId="30A6B287" w14:textId="77777777" w:rsidR="002E474C" w:rsidRDefault="00000000">
            <w:pPr>
              <w:pStyle w:val="A-"/>
            </w:pPr>
            <w:r>
              <w:t>/</w:t>
            </w:r>
          </w:p>
        </w:tc>
        <w:tc>
          <w:tcPr>
            <w:tcW w:w="393" w:type="pct"/>
            <w:vAlign w:val="center"/>
          </w:tcPr>
          <w:p w14:paraId="061BA629" w14:textId="77777777" w:rsidR="002E474C" w:rsidRDefault="00000000">
            <w:pPr>
              <w:pStyle w:val="A-"/>
            </w:pPr>
            <w:r>
              <w:t>GB4915</w:t>
            </w:r>
            <w:r>
              <w:t>表</w:t>
            </w:r>
            <w:r>
              <w:t>3</w:t>
            </w:r>
          </w:p>
        </w:tc>
      </w:tr>
      <w:tr w:rsidR="002E474C" w14:paraId="7D59B02A" w14:textId="77777777">
        <w:trPr>
          <w:jc w:val="center"/>
        </w:trPr>
        <w:tc>
          <w:tcPr>
            <w:tcW w:w="299" w:type="pct"/>
            <w:vMerge/>
            <w:vAlign w:val="center"/>
          </w:tcPr>
          <w:p w14:paraId="4B63C666" w14:textId="77777777" w:rsidR="002E474C" w:rsidRDefault="002E474C">
            <w:pPr>
              <w:pStyle w:val="A-"/>
            </w:pPr>
          </w:p>
        </w:tc>
        <w:tc>
          <w:tcPr>
            <w:tcW w:w="451" w:type="pct"/>
            <w:vMerge/>
            <w:vAlign w:val="center"/>
          </w:tcPr>
          <w:p w14:paraId="4DBF232D" w14:textId="77777777" w:rsidR="002E474C" w:rsidRDefault="002E474C">
            <w:pPr>
              <w:pStyle w:val="A-"/>
            </w:pPr>
          </w:p>
        </w:tc>
        <w:tc>
          <w:tcPr>
            <w:tcW w:w="1207" w:type="pct"/>
            <w:vAlign w:val="center"/>
          </w:tcPr>
          <w:p w14:paraId="38B5534F" w14:textId="77777777" w:rsidR="002E474C" w:rsidRDefault="00000000">
            <w:pPr>
              <w:pStyle w:val="A-"/>
            </w:pPr>
            <w:r>
              <w:t>NMHC</w:t>
            </w:r>
          </w:p>
        </w:tc>
        <w:tc>
          <w:tcPr>
            <w:tcW w:w="218" w:type="pct"/>
            <w:vMerge/>
            <w:vAlign w:val="center"/>
          </w:tcPr>
          <w:p w14:paraId="1F49CF00" w14:textId="77777777" w:rsidR="002E474C" w:rsidRDefault="002E474C">
            <w:pPr>
              <w:pStyle w:val="A-"/>
            </w:pPr>
          </w:p>
        </w:tc>
        <w:tc>
          <w:tcPr>
            <w:tcW w:w="529" w:type="pct"/>
            <w:vMerge/>
            <w:vAlign w:val="center"/>
          </w:tcPr>
          <w:p w14:paraId="6D96E98C" w14:textId="77777777" w:rsidR="002E474C" w:rsidRDefault="002E474C">
            <w:pPr>
              <w:pStyle w:val="A-"/>
            </w:pPr>
          </w:p>
        </w:tc>
        <w:tc>
          <w:tcPr>
            <w:tcW w:w="483" w:type="pct"/>
            <w:vAlign w:val="center"/>
          </w:tcPr>
          <w:p w14:paraId="518A82B0" w14:textId="77777777" w:rsidR="002E474C" w:rsidRDefault="00000000">
            <w:pPr>
              <w:pStyle w:val="A-"/>
            </w:pPr>
            <w:r>
              <w:t>/</w:t>
            </w:r>
          </w:p>
        </w:tc>
        <w:tc>
          <w:tcPr>
            <w:tcW w:w="512" w:type="pct"/>
            <w:vAlign w:val="center"/>
          </w:tcPr>
          <w:p w14:paraId="49C48A41" w14:textId="77777777" w:rsidR="002E474C" w:rsidRDefault="00000000">
            <w:pPr>
              <w:pStyle w:val="A-"/>
            </w:pPr>
            <w:r>
              <w:t xml:space="preserve">0.450 </w:t>
            </w:r>
          </w:p>
        </w:tc>
        <w:tc>
          <w:tcPr>
            <w:tcW w:w="525" w:type="pct"/>
            <w:vAlign w:val="center"/>
          </w:tcPr>
          <w:p w14:paraId="13F8C42C" w14:textId="77777777" w:rsidR="002E474C" w:rsidRDefault="00000000">
            <w:pPr>
              <w:pStyle w:val="A-"/>
            </w:pPr>
            <w:r>
              <w:t>厂界：</w:t>
            </w:r>
            <w:r>
              <w:t>4</w:t>
            </w:r>
          </w:p>
          <w:p w14:paraId="498A7652" w14:textId="77777777" w:rsidR="002E474C" w:rsidRDefault="00000000">
            <w:pPr>
              <w:pStyle w:val="A-"/>
            </w:pPr>
            <w:r>
              <w:t>厂内：</w:t>
            </w:r>
            <w:r>
              <w:t>10</w:t>
            </w:r>
            <w:r>
              <w:t>、</w:t>
            </w:r>
            <w:r>
              <w:t>30</w:t>
            </w:r>
          </w:p>
        </w:tc>
        <w:tc>
          <w:tcPr>
            <w:tcW w:w="382" w:type="pct"/>
            <w:vAlign w:val="center"/>
          </w:tcPr>
          <w:p w14:paraId="5FE9F351" w14:textId="77777777" w:rsidR="002E474C" w:rsidRDefault="00000000">
            <w:pPr>
              <w:pStyle w:val="A-"/>
            </w:pPr>
            <w:r>
              <w:t>/</w:t>
            </w:r>
          </w:p>
        </w:tc>
        <w:tc>
          <w:tcPr>
            <w:tcW w:w="393" w:type="pct"/>
            <w:vAlign w:val="center"/>
          </w:tcPr>
          <w:p w14:paraId="2D2847DD" w14:textId="77777777" w:rsidR="002E474C" w:rsidRDefault="00000000">
            <w:pPr>
              <w:pStyle w:val="A-"/>
            </w:pPr>
            <w:r>
              <w:t>厂界：</w:t>
            </w:r>
            <w:r>
              <w:t>GB16297</w:t>
            </w:r>
            <w:r>
              <w:t>厂内：</w:t>
            </w:r>
            <w:r>
              <w:t>GB37822</w:t>
            </w:r>
          </w:p>
        </w:tc>
      </w:tr>
      <w:tr w:rsidR="002E474C" w14:paraId="3E96A76A" w14:textId="77777777">
        <w:trPr>
          <w:jc w:val="center"/>
        </w:trPr>
        <w:tc>
          <w:tcPr>
            <w:tcW w:w="299" w:type="pct"/>
            <w:vMerge w:val="restart"/>
            <w:vAlign w:val="center"/>
          </w:tcPr>
          <w:p w14:paraId="74C83503" w14:textId="77777777" w:rsidR="002E474C" w:rsidRDefault="00000000">
            <w:pPr>
              <w:pStyle w:val="A-"/>
            </w:pPr>
            <w:r>
              <w:t>水污</w:t>
            </w:r>
          </w:p>
          <w:p w14:paraId="3FA6BABD" w14:textId="77777777" w:rsidR="002E474C" w:rsidRDefault="00000000">
            <w:pPr>
              <w:pStyle w:val="A-"/>
            </w:pPr>
            <w:r>
              <w:lastRenderedPageBreak/>
              <w:t>染物</w:t>
            </w:r>
          </w:p>
        </w:tc>
        <w:tc>
          <w:tcPr>
            <w:tcW w:w="451" w:type="pct"/>
            <w:vAlign w:val="center"/>
          </w:tcPr>
          <w:p w14:paraId="7A56A7DE" w14:textId="77777777" w:rsidR="002E474C" w:rsidRDefault="00000000">
            <w:pPr>
              <w:pStyle w:val="A-"/>
            </w:pPr>
            <w:r>
              <w:lastRenderedPageBreak/>
              <w:t>清洗废水</w:t>
            </w:r>
          </w:p>
        </w:tc>
        <w:tc>
          <w:tcPr>
            <w:tcW w:w="1207" w:type="pct"/>
            <w:vAlign w:val="center"/>
          </w:tcPr>
          <w:p w14:paraId="6972ED3A" w14:textId="77777777" w:rsidR="002E474C" w:rsidRDefault="00000000">
            <w:pPr>
              <w:pStyle w:val="A-"/>
            </w:pPr>
            <w:r>
              <w:t>COD</w:t>
            </w:r>
            <w:r>
              <w:t>、、氨氮、石油类、重金属</w:t>
            </w:r>
          </w:p>
        </w:tc>
        <w:tc>
          <w:tcPr>
            <w:tcW w:w="218" w:type="pct"/>
            <w:vAlign w:val="center"/>
          </w:tcPr>
          <w:p w14:paraId="7903B464" w14:textId="77777777" w:rsidR="002E474C" w:rsidRDefault="00000000">
            <w:pPr>
              <w:pStyle w:val="A-"/>
            </w:pPr>
            <w:r>
              <w:t>不</w:t>
            </w:r>
            <w:r>
              <w:lastRenderedPageBreak/>
              <w:t>排放</w:t>
            </w:r>
          </w:p>
        </w:tc>
        <w:tc>
          <w:tcPr>
            <w:tcW w:w="529" w:type="pct"/>
            <w:vAlign w:val="center"/>
          </w:tcPr>
          <w:p w14:paraId="1E2C56DE" w14:textId="77777777" w:rsidR="002E474C" w:rsidRDefault="00000000">
            <w:pPr>
              <w:pStyle w:val="A-"/>
            </w:pPr>
            <w:r>
              <w:lastRenderedPageBreak/>
              <w:t>入水泥窑焚</w:t>
            </w:r>
            <w:r>
              <w:lastRenderedPageBreak/>
              <w:t>烧</w:t>
            </w:r>
          </w:p>
        </w:tc>
        <w:tc>
          <w:tcPr>
            <w:tcW w:w="483" w:type="pct"/>
            <w:vAlign w:val="center"/>
          </w:tcPr>
          <w:p w14:paraId="260D43EA" w14:textId="77777777" w:rsidR="002E474C" w:rsidRDefault="00000000">
            <w:pPr>
              <w:pStyle w:val="A-"/>
            </w:pPr>
            <w:r>
              <w:lastRenderedPageBreak/>
              <w:t>/</w:t>
            </w:r>
          </w:p>
        </w:tc>
        <w:tc>
          <w:tcPr>
            <w:tcW w:w="512" w:type="pct"/>
            <w:vAlign w:val="center"/>
          </w:tcPr>
          <w:p w14:paraId="65F32380" w14:textId="77777777" w:rsidR="002E474C" w:rsidRDefault="00000000">
            <w:pPr>
              <w:pStyle w:val="A-"/>
            </w:pPr>
            <w:r>
              <w:t>/</w:t>
            </w:r>
          </w:p>
        </w:tc>
        <w:tc>
          <w:tcPr>
            <w:tcW w:w="525" w:type="pct"/>
            <w:vAlign w:val="center"/>
          </w:tcPr>
          <w:p w14:paraId="3BA5C7E2" w14:textId="77777777" w:rsidR="002E474C" w:rsidRDefault="00000000">
            <w:pPr>
              <w:pStyle w:val="A-"/>
            </w:pPr>
            <w:r>
              <w:t>/</w:t>
            </w:r>
          </w:p>
        </w:tc>
        <w:tc>
          <w:tcPr>
            <w:tcW w:w="382" w:type="pct"/>
            <w:vAlign w:val="center"/>
          </w:tcPr>
          <w:p w14:paraId="61F1EF88" w14:textId="77777777" w:rsidR="002E474C" w:rsidRDefault="00000000">
            <w:pPr>
              <w:pStyle w:val="A-"/>
            </w:pPr>
            <w:r>
              <w:t>/</w:t>
            </w:r>
          </w:p>
        </w:tc>
        <w:tc>
          <w:tcPr>
            <w:tcW w:w="393" w:type="pct"/>
            <w:vAlign w:val="center"/>
          </w:tcPr>
          <w:p w14:paraId="197F2AB8" w14:textId="77777777" w:rsidR="002E474C" w:rsidRDefault="00000000">
            <w:pPr>
              <w:pStyle w:val="A-"/>
            </w:pPr>
            <w:r>
              <w:t>/</w:t>
            </w:r>
          </w:p>
        </w:tc>
      </w:tr>
      <w:tr w:rsidR="002E474C" w14:paraId="176E52C7" w14:textId="77777777">
        <w:trPr>
          <w:jc w:val="center"/>
        </w:trPr>
        <w:tc>
          <w:tcPr>
            <w:tcW w:w="299" w:type="pct"/>
            <w:vMerge/>
            <w:vAlign w:val="center"/>
          </w:tcPr>
          <w:p w14:paraId="34A16DCB" w14:textId="77777777" w:rsidR="002E474C" w:rsidRDefault="002E474C">
            <w:pPr>
              <w:pStyle w:val="A-"/>
            </w:pPr>
          </w:p>
        </w:tc>
        <w:tc>
          <w:tcPr>
            <w:tcW w:w="451" w:type="pct"/>
            <w:vAlign w:val="center"/>
          </w:tcPr>
          <w:p w14:paraId="2FFDC7E2" w14:textId="77777777" w:rsidR="002E474C" w:rsidRDefault="00000000">
            <w:pPr>
              <w:pStyle w:val="A-"/>
            </w:pPr>
            <w:r>
              <w:t>生活污水</w:t>
            </w:r>
          </w:p>
        </w:tc>
        <w:tc>
          <w:tcPr>
            <w:tcW w:w="1207" w:type="pct"/>
            <w:vAlign w:val="center"/>
          </w:tcPr>
          <w:p w14:paraId="35E9F95A" w14:textId="77777777" w:rsidR="002E474C" w:rsidRDefault="00000000">
            <w:pPr>
              <w:pStyle w:val="A-"/>
            </w:pPr>
            <w:r>
              <w:t>COD</w:t>
            </w:r>
            <w:r>
              <w:t>、氨氮、</w:t>
            </w:r>
            <w:r>
              <w:t>SS</w:t>
            </w:r>
          </w:p>
        </w:tc>
        <w:tc>
          <w:tcPr>
            <w:tcW w:w="218" w:type="pct"/>
            <w:vAlign w:val="center"/>
          </w:tcPr>
          <w:p w14:paraId="6C0FB9C6" w14:textId="77777777" w:rsidR="002E474C" w:rsidRDefault="00000000">
            <w:pPr>
              <w:pStyle w:val="A-"/>
            </w:pPr>
            <w:r>
              <w:t>不排放</w:t>
            </w:r>
          </w:p>
        </w:tc>
        <w:tc>
          <w:tcPr>
            <w:tcW w:w="529" w:type="pct"/>
            <w:vAlign w:val="center"/>
          </w:tcPr>
          <w:p w14:paraId="3256D718" w14:textId="77777777" w:rsidR="002E474C" w:rsidRDefault="00000000">
            <w:pPr>
              <w:pStyle w:val="A-"/>
            </w:pPr>
            <w:r>
              <w:t>厂内综合污水处理站处理后回用</w:t>
            </w:r>
          </w:p>
        </w:tc>
        <w:tc>
          <w:tcPr>
            <w:tcW w:w="483" w:type="pct"/>
            <w:vAlign w:val="center"/>
          </w:tcPr>
          <w:p w14:paraId="4886786E" w14:textId="77777777" w:rsidR="002E474C" w:rsidRDefault="00000000">
            <w:pPr>
              <w:pStyle w:val="A-"/>
            </w:pPr>
            <w:r>
              <w:t>/</w:t>
            </w:r>
          </w:p>
        </w:tc>
        <w:tc>
          <w:tcPr>
            <w:tcW w:w="512" w:type="pct"/>
            <w:vAlign w:val="center"/>
          </w:tcPr>
          <w:p w14:paraId="69C6DD17" w14:textId="77777777" w:rsidR="002E474C" w:rsidRDefault="00000000">
            <w:pPr>
              <w:pStyle w:val="A-"/>
            </w:pPr>
            <w:r>
              <w:t>/</w:t>
            </w:r>
          </w:p>
        </w:tc>
        <w:tc>
          <w:tcPr>
            <w:tcW w:w="525" w:type="pct"/>
            <w:vAlign w:val="center"/>
          </w:tcPr>
          <w:p w14:paraId="0D1C9FFD" w14:textId="77777777" w:rsidR="002E474C" w:rsidRDefault="00000000">
            <w:pPr>
              <w:pStyle w:val="A-"/>
            </w:pPr>
            <w:r>
              <w:t>/</w:t>
            </w:r>
          </w:p>
        </w:tc>
        <w:tc>
          <w:tcPr>
            <w:tcW w:w="382" w:type="pct"/>
            <w:vAlign w:val="center"/>
          </w:tcPr>
          <w:p w14:paraId="1E325E37" w14:textId="77777777" w:rsidR="002E474C" w:rsidRDefault="00000000">
            <w:pPr>
              <w:pStyle w:val="A-"/>
            </w:pPr>
            <w:r>
              <w:t>/</w:t>
            </w:r>
          </w:p>
        </w:tc>
        <w:tc>
          <w:tcPr>
            <w:tcW w:w="393" w:type="pct"/>
            <w:vAlign w:val="center"/>
          </w:tcPr>
          <w:p w14:paraId="0D552B64" w14:textId="77777777" w:rsidR="002E474C" w:rsidRDefault="00000000">
            <w:pPr>
              <w:pStyle w:val="A-"/>
            </w:pPr>
            <w:r>
              <w:t>GB8978</w:t>
            </w:r>
            <w:r>
              <w:t>二级</w:t>
            </w:r>
          </w:p>
        </w:tc>
      </w:tr>
      <w:tr w:rsidR="002E474C" w14:paraId="772D8288" w14:textId="77777777">
        <w:trPr>
          <w:jc w:val="center"/>
        </w:trPr>
        <w:tc>
          <w:tcPr>
            <w:tcW w:w="299" w:type="pct"/>
            <w:vAlign w:val="center"/>
          </w:tcPr>
          <w:p w14:paraId="7E6A5FA6" w14:textId="77777777" w:rsidR="002E474C" w:rsidRDefault="00000000">
            <w:pPr>
              <w:pStyle w:val="A-"/>
            </w:pPr>
            <w:r>
              <w:t>噪声</w:t>
            </w:r>
          </w:p>
        </w:tc>
        <w:tc>
          <w:tcPr>
            <w:tcW w:w="451" w:type="pct"/>
            <w:vAlign w:val="center"/>
          </w:tcPr>
          <w:p w14:paraId="51E46ED2" w14:textId="77777777" w:rsidR="002E474C" w:rsidRDefault="00000000">
            <w:pPr>
              <w:pStyle w:val="A-"/>
            </w:pPr>
            <w:r>
              <w:t>设备噪声</w:t>
            </w:r>
          </w:p>
        </w:tc>
        <w:tc>
          <w:tcPr>
            <w:tcW w:w="1207" w:type="pct"/>
            <w:vAlign w:val="center"/>
          </w:tcPr>
          <w:p w14:paraId="437C5085" w14:textId="77777777" w:rsidR="002E474C" w:rsidRDefault="00000000">
            <w:pPr>
              <w:pStyle w:val="A-"/>
            </w:pPr>
            <w:proofErr w:type="spellStart"/>
            <w:r>
              <w:t>Leq</w:t>
            </w:r>
            <w:proofErr w:type="spellEnd"/>
          </w:p>
        </w:tc>
        <w:tc>
          <w:tcPr>
            <w:tcW w:w="218" w:type="pct"/>
            <w:vAlign w:val="center"/>
          </w:tcPr>
          <w:p w14:paraId="1329DD2E" w14:textId="77777777" w:rsidR="002E474C" w:rsidRDefault="00000000">
            <w:pPr>
              <w:pStyle w:val="A-"/>
            </w:pPr>
            <w:r>
              <w:t>/</w:t>
            </w:r>
          </w:p>
        </w:tc>
        <w:tc>
          <w:tcPr>
            <w:tcW w:w="529" w:type="pct"/>
            <w:vAlign w:val="center"/>
          </w:tcPr>
          <w:p w14:paraId="4816DF8A" w14:textId="77777777" w:rsidR="002E474C" w:rsidRDefault="00000000">
            <w:pPr>
              <w:pStyle w:val="A-"/>
            </w:pPr>
            <w:r>
              <w:t>减振、隔声措施</w:t>
            </w:r>
          </w:p>
        </w:tc>
        <w:tc>
          <w:tcPr>
            <w:tcW w:w="483" w:type="pct"/>
            <w:vAlign w:val="center"/>
          </w:tcPr>
          <w:p w14:paraId="308A82F5" w14:textId="77777777" w:rsidR="002E474C" w:rsidRDefault="002E474C">
            <w:pPr>
              <w:pStyle w:val="A-"/>
            </w:pPr>
          </w:p>
        </w:tc>
        <w:tc>
          <w:tcPr>
            <w:tcW w:w="512" w:type="pct"/>
            <w:vAlign w:val="center"/>
          </w:tcPr>
          <w:p w14:paraId="4CCEB1F7" w14:textId="77777777" w:rsidR="002E474C" w:rsidRDefault="002E474C">
            <w:pPr>
              <w:pStyle w:val="A-"/>
            </w:pPr>
          </w:p>
        </w:tc>
        <w:tc>
          <w:tcPr>
            <w:tcW w:w="525" w:type="pct"/>
            <w:vAlign w:val="center"/>
          </w:tcPr>
          <w:p w14:paraId="308E3D14" w14:textId="77777777" w:rsidR="002E474C" w:rsidRDefault="002E474C">
            <w:pPr>
              <w:pStyle w:val="A-"/>
            </w:pPr>
          </w:p>
        </w:tc>
        <w:tc>
          <w:tcPr>
            <w:tcW w:w="382" w:type="pct"/>
            <w:vAlign w:val="center"/>
          </w:tcPr>
          <w:p w14:paraId="5BC9F4C4" w14:textId="77777777" w:rsidR="002E474C" w:rsidRDefault="002E474C">
            <w:pPr>
              <w:pStyle w:val="A-"/>
            </w:pPr>
          </w:p>
        </w:tc>
        <w:tc>
          <w:tcPr>
            <w:tcW w:w="393" w:type="pct"/>
            <w:vAlign w:val="center"/>
          </w:tcPr>
          <w:p w14:paraId="6DBFEE7F" w14:textId="77777777" w:rsidR="002E474C" w:rsidRDefault="00000000">
            <w:pPr>
              <w:pStyle w:val="A-"/>
            </w:pPr>
            <w:r>
              <w:t>GB12348</w:t>
            </w:r>
            <w:r>
              <w:t>三类</w:t>
            </w:r>
          </w:p>
        </w:tc>
      </w:tr>
      <w:tr w:rsidR="002E474C" w14:paraId="397C8E0A" w14:textId="77777777">
        <w:trPr>
          <w:jc w:val="center"/>
        </w:trPr>
        <w:tc>
          <w:tcPr>
            <w:tcW w:w="299" w:type="pct"/>
            <w:vMerge w:val="restart"/>
            <w:vAlign w:val="center"/>
          </w:tcPr>
          <w:p w14:paraId="27F59A1D" w14:textId="77777777" w:rsidR="002E474C" w:rsidRDefault="00000000">
            <w:pPr>
              <w:pStyle w:val="A-"/>
            </w:pPr>
            <w:r>
              <w:t>固体</w:t>
            </w:r>
          </w:p>
          <w:p w14:paraId="14260402" w14:textId="77777777" w:rsidR="002E474C" w:rsidRDefault="00000000">
            <w:pPr>
              <w:pStyle w:val="A-"/>
            </w:pPr>
            <w:r>
              <w:t>废物</w:t>
            </w:r>
          </w:p>
        </w:tc>
        <w:tc>
          <w:tcPr>
            <w:tcW w:w="451" w:type="pct"/>
            <w:vAlign w:val="center"/>
          </w:tcPr>
          <w:p w14:paraId="1174806B" w14:textId="77777777" w:rsidR="002E474C" w:rsidRDefault="00000000">
            <w:pPr>
              <w:pStyle w:val="A-"/>
            </w:pPr>
            <w:r>
              <w:t>生产及公辅</w:t>
            </w:r>
          </w:p>
        </w:tc>
        <w:tc>
          <w:tcPr>
            <w:tcW w:w="1207" w:type="pct"/>
            <w:vAlign w:val="center"/>
          </w:tcPr>
          <w:p w14:paraId="3D6F4B7C" w14:textId="77777777" w:rsidR="002E474C" w:rsidRDefault="00000000">
            <w:pPr>
              <w:pStyle w:val="A-"/>
            </w:pPr>
            <w:r>
              <w:t>废包装物、过滤渣、污泥、废活性炭、废润滑油、废滤袋等</w:t>
            </w:r>
          </w:p>
        </w:tc>
        <w:tc>
          <w:tcPr>
            <w:tcW w:w="218" w:type="pct"/>
            <w:vAlign w:val="center"/>
          </w:tcPr>
          <w:p w14:paraId="71AF99E1" w14:textId="77777777" w:rsidR="002E474C" w:rsidRDefault="00000000">
            <w:pPr>
              <w:pStyle w:val="A-"/>
            </w:pPr>
            <w:r>
              <w:t>不排放</w:t>
            </w:r>
          </w:p>
        </w:tc>
        <w:tc>
          <w:tcPr>
            <w:tcW w:w="529" w:type="pct"/>
            <w:vAlign w:val="center"/>
          </w:tcPr>
          <w:p w14:paraId="78AF31AA" w14:textId="77777777" w:rsidR="002E474C" w:rsidRDefault="00000000">
            <w:pPr>
              <w:pStyle w:val="A-"/>
            </w:pPr>
            <w:r>
              <w:t>入窑焚烧</w:t>
            </w:r>
          </w:p>
        </w:tc>
        <w:tc>
          <w:tcPr>
            <w:tcW w:w="483" w:type="pct"/>
            <w:vAlign w:val="center"/>
          </w:tcPr>
          <w:p w14:paraId="74113A5F" w14:textId="77777777" w:rsidR="002E474C" w:rsidRDefault="00000000">
            <w:pPr>
              <w:pStyle w:val="A-"/>
            </w:pPr>
            <w:r>
              <w:t>/</w:t>
            </w:r>
          </w:p>
        </w:tc>
        <w:tc>
          <w:tcPr>
            <w:tcW w:w="512" w:type="pct"/>
            <w:vAlign w:val="center"/>
          </w:tcPr>
          <w:p w14:paraId="53F932D7" w14:textId="77777777" w:rsidR="002E474C" w:rsidRDefault="00000000">
            <w:pPr>
              <w:pStyle w:val="A-"/>
            </w:pPr>
            <w:r>
              <w:t>/</w:t>
            </w:r>
          </w:p>
        </w:tc>
        <w:tc>
          <w:tcPr>
            <w:tcW w:w="525" w:type="pct"/>
            <w:vAlign w:val="center"/>
          </w:tcPr>
          <w:p w14:paraId="1A204457" w14:textId="77777777" w:rsidR="002E474C" w:rsidRDefault="00000000">
            <w:pPr>
              <w:pStyle w:val="A-"/>
            </w:pPr>
            <w:r>
              <w:t>/</w:t>
            </w:r>
          </w:p>
        </w:tc>
        <w:tc>
          <w:tcPr>
            <w:tcW w:w="382" w:type="pct"/>
            <w:vAlign w:val="center"/>
          </w:tcPr>
          <w:p w14:paraId="62EA7619" w14:textId="77777777" w:rsidR="002E474C" w:rsidRDefault="00000000">
            <w:pPr>
              <w:pStyle w:val="A-"/>
            </w:pPr>
            <w:r>
              <w:t>/</w:t>
            </w:r>
          </w:p>
        </w:tc>
        <w:tc>
          <w:tcPr>
            <w:tcW w:w="393" w:type="pct"/>
            <w:vAlign w:val="center"/>
          </w:tcPr>
          <w:p w14:paraId="57C19BA3" w14:textId="77777777" w:rsidR="002E474C" w:rsidRDefault="00000000">
            <w:pPr>
              <w:pStyle w:val="A-"/>
            </w:pPr>
            <w:r>
              <w:t>GB18597</w:t>
            </w:r>
          </w:p>
        </w:tc>
      </w:tr>
      <w:tr w:rsidR="002E474C" w14:paraId="6F444C10" w14:textId="77777777">
        <w:trPr>
          <w:jc w:val="center"/>
        </w:trPr>
        <w:tc>
          <w:tcPr>
            <w:tcW w:w="299" w:type="pct"/>
            <w:vMerge/>
            <w:vAlign w:val="center"/>
          </w:tcPr>
          <w:p w14:paraId="7A61D698" w14:textId="77777777" w:rsidR="002E474C" w:rsidRDefault="002E474C">
            <w:pPr>
              <w:pStyle w:val="A-"/>
            </w:pPr>
          </w:p>
        </w:tc>
        <w:tc>
          <w:tcPr>
            <w:tcW w:w="451" w:type="pct"/>
            <w:vAlign w:val="center"/>
          </w:tcPr>
          <w:p w14:paraId="16727191" w14:textId="77777777" w:rsidR="002E474C" w:rsidRDefault="00000000">
            <w:pPr>
              <w:pStyle w:val="A-"/>
            </w:pPr>
            <w:r>
              <w:t>办公生活</w:t>
            </w:r>
          </w:p>
        </w:tc>
        <w:tc>
          <w:tcPr>
            <w:tcW w:w="1207" w:type="pct"/>
            <w:vAlign w:val="center"/>
          </w:tcPr>
          <w:p w14:paraId="3F7B9454" w14:textId="77777777" w:rsidR="002E474C" w:rsidRDefault="00000000">
            <w:pPr>
              <w:pStyle w:val="A-"/>
            </w:pPr>
            <w:r>
              <w:t>生活垃圾</w:t>
            </w:r>
          </w:p>
        </w:tc>
        <w:tc>
          <w:tcPr>
            <w:tcW w:w="218" w:type="pct"/>
            <w:vAlign w:val="center"/>
          </w:tcPr>
          <w:p w14:paraId="02F62D64" w14:textId="77777777" w:rsidR="002E474C" w:rsidRDefault="00000000">
            <w:pPr>
              <w:pStyle w:val="A-"/>
            </w:pPr>
            <w:r>
              <w:t>不排放</w:t>
            </w:r>
          </w:p>
        </w:tc>
        <w:tc>
          <w:tcPr>
            <w:tcW w:w="529" w:type="pct"/>
            <w:vAlign w:val="center"/>
          </w:tcPr>
          <w:p w14:paraId="393804C2" w14:textId="77777777" w:rsidR="002E474C" w:rsidRDefault="00000000">
            <w:pPr>
              <w:pStyle w:val="A-"/>
            </w:pPr>
            <w:r>
              <w:t>圣雄股份公司垃圾场</w:t>
            </w:r>
          </w:p>
        </w:tc>
        <w:tc>
          <w:tcPr>
            <w:tcW w:w="483" w:type="pct"/>
          </w:tcPr>
          <w:p w14:paraId="351B5F7F" w14:textId="77777777" w:rsidR="002E474C" w:rsidRDefault="00000000">
            <w:pPr>
              <w:pStyle w:val="A-"/>
            </w:pPr>
            <w:r>
              <w:t>/</w:t>
            </w:r>
          </w:p>
        </w:tc>
        <w:tc>
          <w:tcPr>
            <w:tcW w:w="512" w:type="pct"/>
          </w:tcPr>
          <w:p w14:paraId="762B4D85" w14:textId="77777777" w:rsidR="002E474C" w:rsidRDefault="00000000">
            <w:pPr>
              <w:pStyle w:val="A-"/>
            </w:pPr>
            <w:r>
              <w:t>/</w:t>
            </w:r>
          </w:p>
        </w:tc>
        <w:tc>
          <w:tcPr>
            <w:tcW w:w="525" w:type="pct"/>
          </w:tcPr>
          <w:p w14:paraId="7649E4F8" w14:textId="77777777" w:rsidR="002E474C" w:rsidRDefault="00000000">
            <w:pPr>
              <w:pStyle w:val="A-"/>
            </w:pPr>
            <w:r>
              <w:t>/</w:t>
            </w:r>
          </w:p>
        </w:tc>
        <w:tc>
          <w:tcPr>
            <w:tcW w:w="382" w:type="pct"/>
          </w:tcPr>
          <w:p w14:paraId="0BE1EF77" w14:textId="77777777" w:rsidR="002E474C" w:rsidRDefault="00000000">
            <w:pPr>
              <w:pStyle w:val="A-"/>
            </w:pPr>
            <w:r>
              <w:t>/</w:t>
            </w:r>
          </w:p>
        </w:tc>
        <w:tc>
          <w:tcPr>
            <w:tcW w:w="393" w:type="pct"/>
          </w:tcPr>
          <w:p w14:paraId="75AC54F6" w14:textId="77777777" w:rsidR="002E474C" w:rsidRDefault="00000000">
            <w:pPr>
              <w:pStyle w:val="A-"/>
            </w:pPr>
            <w:r>
              <w:t>/</w:t>
            </w:r>
          </w:p>
        </w:tc>
      </w:tr>
    </w:tbl>
    <w:p w14:paraId="2A26F4D4"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338B3BF6" w14:textId="77777777" w:rsidR="002E474C" w:rsidRDefault="00000000">
      <w:pPr>
        <w:pStyle w:val="21"/>
        <w:spacing w:before="240" w:after="240"/>
        <w:rPr>
          <w:color w:val="auto"/>
        </w:rPr>
      </w:pPr>
      <w:bookmarkStart w:id="391" w:name="_Toc225848885"/>
      <w:bookmarkStart w:id="392" w:name="_Toc17778"/>
      <w:r>
        <w:rPr>
          <w:color w:val="auto"/>
        </w:rPr>
        <w:lastRenderedPageBreak/>
        <w:t>环境监测</w:t>
      </w:r>
      <w:bookmarkEnd w:id="391"/>
      <w:r>
        <w:rPr>
          <w:color w:val="auto"/>
        </w:rPr>
        <w:t>计划</w:t>
      </w:r>
      <w:bookmarkEnd w:id="392"/>
    </w:p>
    <w:p w14:paraId="7F882920" w14:textId="77777777" w:rsidR="002E474C" w:rsidRDefault="00000000">
      <w:pPr>
        <w:pStyle w:val="31"/>
        <w:spacing w:before="120" w:after="120"/>
        <w:rPr>
          <w:color w:val="auto"/>
        </w:rPr>
      </w:pPr>
      <w:r>
        <w:rPr>
          <w:color w:val="auto"/>
        </w:rPr>
        <w:t>环境质量与污染源监测计划</w:t>
      </w:r>
    </w:p>
    <w:p w14:paraId="259EABE2" w14:textId="07CA0324" w:rsidR="002E474C" w:rsidRDefault="00000000">
      <w:pPr>
        <w:pStyle w:val="A-z"/>
        <w:rPr>
          <w:color w:val="auto"/>
        </w:rPr>
      </w:pPr>
      <w:r>
        <w:rPr>
          <w:color w:val="auto"/>
        </w:rPr>
        <w:t>本项目应建立覆盖常规污染物、特征污染物的环境监测体系并与当地环境保护部门联网，按照《排污单位自行监测技术指南</w:t>
      </w:r>
      <w:r>
        <w:rPr>
          <w:color w:val="auto"/>
        </w:rPr>
        <w:t xml:space="preserve"> </w:t>
      </w:r>
      <w:r>
        <w:rPr>
          <w:color w:val="auto"/>
        </w:rPr>
        <w:t>总则》（</w:t>
      </w:r>
      <w:r>
        <w:rPr>
          <w:color w:val="auto"/>
        </w:rPr>
        <w:t>HJ819-2017</w:t>
      </w:r>
      <w:r>
        <w:rPr>
          <w:color w:val="auto"/>
        </w:rPr>
        <w:t>）、《排污单位自行监测技术指南</w:t>
      </w:r>
      <w:r>
        <w:rPr>
          <w:color w:val="auto"/>
        </w:rPr>
        <w:t xml:space="preserve"> </w:t>
      </w:r>
      <w:r>
        <w:rPr>
          <w:color w:val="auto"/>
        </w:rPr>
        <w:t>水泥工业》（</w:t>
      </w:r>
      <w:r>
        <w:rPr>
          <w:color w:val="auto"/>
        </w:rPr>
        <w:t>HJ848-2017</w:t>
      </w:r>
      <w:r>
        <w:rPr>
          <w:color w:val="auto"/>
        </w:rPr>
        <w:t>）、《排污许可证申请与核发技术规范</w:t>
      </w:r>
      <w:r>
        <w:rPr>
          <w:color w:val="auto"/>
        </w:rPr>
        <w:t xml:space="preserve"> </w:t>
      </w:r>
      <w:r>
        <w:rPr>
          <w:color w:val="auto"/>
        </w:rPr>
        <w:t>水泥工业（</w:t>
      </w:r>
      <w:r>
        <w:rPr>
          <w:color w:val="auto"/>
        </w:rPr>
        <w:t>HJ847-2017</w:t>
      </w:r>
      <w:r>
        <w:rPr>
          <w:color w:val="auto"/>
        </w:rPr>
        <w:t>）》、</w:t>
      </w:r>
      <w:r>
        <w:rPr>
          <w:color w:val="auto"/>
          <w:lang w:val="en-US"/>
        </w:rPr>
        <w:t>《工业企业土壤和地下水自行监测技术指南（试行）》</w:t>
      </w:r>
      <w:r>
        <w:rPr>
          <w:color w:val="auto"/>
        </w:rPr>
        <w:t>（</w:t>
      </w:r>
      <w:r>
        <w:rPr>
          <w:color w:val="auto"/>
        </w:rPr>
        <w:t>HJ 1209-2021</w:t>
      </w:r>
      <w:r>
        <w:rPr>
          <w:color w:val="auto"/>
        </w:rPr>
        <w:t>）、</w:t>
      </w:r>
      <w:r>
        <w:rPr>
          <w:color w:val="auto"/>
          <w:lang w:val="en-US"/>
        </w:rPr>
        <w:t>《土壤环境监测技术规范》</w:t>
      </w:r>
      <w:r>
        <w:rPr>
          <w:color w:val="auto"/>
        </w:rPr>
        <w:t>（</w:t>
      </w:r>
      <w:r>
        <w:rPr>
          <w:color w:val="auto"/>
        </w:rPr>
        <w:t>HJ/T 166 -2026</w:t>
      </w:r>
      <w:r>
        <w:rPr>
          <w:color w:val="auto"/>
        </w:rPr>
        <w:t>）、</w:t>
      </w:r>
      <w:r>
        <w:rPr>
          <w:color w:val="auto"/>
          <w:lang w:val="en-US"/>
        </w:rPr>
        <w:t>《地下水环境监测技术规范》</w:t>
      </w:r>
      <w:r>
        <w:rPr>
          <w:color w:val="auto"/>
        </w:rPr>
        <w:t>（</w:t>
      </w:r>
      <w:r>
        <w:rPr>
          <w:color w:val="auto"/>
        </w:rPr>
        <w:t>HJ 164-2020</w:t>
      </w:r>
      <w:r>
        <w:rPr>
          <w:color w:val="auto"/>
        </w:rPr>
        <w:t>）</w:t>
      </w:r>
      <w:r>
        <w:rPr>
          <w:color w:val="auto"/>
          <w:lang w:val="en-US"/>
        </w:rPr>
        <w:t>及</w:t>
      </w:r>
      <w:r>
        <w:rPr>
          <w:color w:val="auto"/>
        </w:rPr>
        <w:t>《企业环境信息依法披露管理办法》（生态环境部令第</w:t>
      </w:r>
      <w:r>
        <w:rPr>
          <w:color w:val="auto"/>
        </w:rPr>
        <w:t>24</w:t>
      </w:r>
      <w:r>
        <w:rPr>
          <w:color w:val="auto"/>
        </w:rPr>
        <w:t>号）等相关要求，进行环境质量与污染源监测计划设置和环境信息公开。</w:t>
      </w:r>
    </w:p>
    <w:p w14:paraId="5334CF4C" w14:textId="77777777" w:rsidR="002E474C" w:rsidRDefault="00000000">
      <w:pPr>
        <w:pStyle w:val="A-z"/>
        <w:rPr>
          <w:color w:val="auto"/>
        </w:rPr>
      </w:pPr>
      <w:r>
        <w:rPr>
          <w:color w:val="auto"/>
        </w:rPr>
        <w:t>项目环境质量监测计划及污染源自行监测计划，具体见表</w:t>
      </w:r>
      <w:r>
        <w:rPr>
          <w:color w:val="auto"/>
        </w:rPr>
        <w:t>8.3-1</w:t>
      </w:r>
      <w:r>
        <w:rPr>
          <w:color w:val="auto"/>
        </w:rPr>
        <w:t>、表</w:t>
      </w:r>
      <w:r>
        <w:rPr>
          <w:color w:val="auto"/>
        </w:rPr>
        <w:t>8.3-2</w:t>
      </w:r>
      <w:r>
        <w:rPr>
          <w:color w:val="auto"/>
        </w:rPr>
        <w:t>。</w:t>
      </w:r>
    </w:p>
    <w:p w14:paraId="2C017A6A" w14:textId="77777777" w:rsidR="002E474C" w:rsidRDefault="00000000">
      <w:pPr>
        <w:pStyle w:val="A--"/>
        <w:rPr>
          <w:color w:val="auto"/>
        </w:rPr>
      </w:pPr>
      <w:r>
        <w:rPr>
          <w:color w:val="auto"/>
        </w:rPr>
        <w:t>表</w:t>
      </w:r>
      <w:r>
        <w:rPr>
          <w:color w:val="auto"/>
        </w:rPr>
        <w:t>8.3</w:t>
      </w:r>
      <w:r>
        <w:rPr>
          <w:color w:val="auto"/>
        </w:rPr>
        <w:noBreakHyphen/>
        <w:t xml:space="preserve">1  </w:t>
      </w:r>
      <w:r>
        <w:rPr>
          <w:color w:val="auto"/>
        </w:rPr>
        <w:t>周边环境质量监测计划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346"/>
        <w:gridCol w:w="4417"/>
        <w:gridCol w:w="738"/>
      </w:tblGrid>
      <w:tr w:rsidR="002E474C" w14:paraId="0B66BA9E" w14:textId="77777777">
        <w:trPr>
          <w:tblHeader/>
          <w:jc w:val="center"/>
        </w:trPr>
        <w:tc>
          <w:tcPr>
            <w:tcW w:w="479" w:type="pct"/>
            <w:vAlign w:val="center"/>
          </w:tcPr>
          <w:p w14:paraId="4FC20C40" w14:textId="77777777" w:rsidR="002E474C" w:rsidRDefault="00000000">
            <w:pPr>
              <w:pStyle w:val="A-"/>
            </w:pPr>
            <w:r>
              <w:t>环境</w:t>
            </w:r>
          </w:p>
          <w:p w14:paraId="625CC1A0" w14:textId="77777777" w:rsidR="002E474C" w:rsidRDefault="00000000">
            <w:pPr>
              <w:pStyle w:val="A-"/>
            </w:pPr>
            <w:r>
              <w:t>类别</w:t>
            </w:r>
          </w:p>
        </w:tc>
        <w:tc>
          <w:tcPr>
            <w:tcW w:w="1414" w:type="pct"/>
            <w:vAlign w:val="center"/>
          </w:tcPr>
          <w:p w14:paraId="1B7CF0D1" w14:textId="77777777" w:rsidR="002E474C" w:rsidRDefault="00000000">
            <w:pPr>
              <w:pStyle w:val="A-"/>
            </w:pPr>
            <w:r>
              <w:t>监测点</w:t>
            </w:r>
          </w:p>
        </w:tc>
        <w:tc>
          <w:tcPr>
            <w:tcW w:w="2662" w:type="pct"/>
            <w:vAlign w:val="center"/>
          </w:tcPr>
          <w:p w14:paraId="232F45AA" w14:textId="77777777" w:rsidR="002E474C" w:rsidRDefault="00000000">
            <w:pPr>
              <w:pStyle w:val="A-"/>
            </w:pPr>
            <w:r>
              <w:t>监测项目</w:t>
            </w:r>
          </w:p>
        </w:tc>
        <w:tc>
          <w:tcPr>
            <w:tcW w:w="445" w:type="pct"/>
            <w:vAlign w:val="center"/>
          </w:tcPr>
          <w:p w14:paraId="67904606" w14:textId="77777777" w:rsidR="002E474C" w:rsidRDefault="00000000">
            <w:pPr>
              <w:pStyle w:val="A-"/>
            </w:pPr>
            <w:r>
              <w:t>监测</w:t>
            </w:r>
          </w:p>
          <w:p w14:paraId="24DB4805" w14:textId="77777777" w:rsidR="002E474C" w:rsidRDefault="00000000">
            <w:pPr>
              <w:pStyle w:val="A-"/>
            </w:pPr>
            <w:r>
              <w:t>频率</w:t>
            </w:r>
          </w:p>
        </w:tc>
      </w:tr>
      <w:tr w:rsidR="002E474C" w14:paraId="02A15619" w14:textId="77777777">
        <w:trPr>
          <w:jc w:val="center"/>
        </w:trPr>
        <w:tc>
          <w:tcPr>
            <w:tcW w:w="479" w:type="pct"/>
            <w:vAlign w:val="center"/>
          </w:tcPr>
          <w:p w14:paraId="7F11E7DB" w14:textId="77777777" w:rsidR="002E474C" w:rsidRDefault="00000000">
            <w:pPr>
              <w:pStyle w:val="A-"/>
            </w:pPr>
            <w:r>
              <w:t>环境空气</w:t>
            </w:r>
          </w:p>
        </w:tc>
        <w:tc>
          <w:tcPr>
            <w:tcW w:w="1414" w:type="pct"/>
            <w:vAlign w:val="center"/>
          </w:tcPr>
          <w:p w14:paraId="6CF8C00E" w14:textId="77777777" w:rsidR="002E474C" w:rsidRDefault="00000000">
            <w:pPr>
              <w:pStyle w:val="A-"/>
            </w:pPr>
            <w:r>
              <w:t>阿乐惠镇、电石公司员工公寓</w:t>
            </w:r>
          </w:p>
        </w:tc>
        <w:tc>
          <w:tcPr>
            <w:tcW w:w="2662" w:type="pct"/>
            <w:vAlign w:val="center"/>
          </w:tcPr>
          <w:p w14:paraId="1DECD0E6" w14:textId="77777777" w:rsidR="002E474C" w:rsidRDefault="00000000">
            <w:pPr>
              <w:pStyle w:val="A-"/>
            </w:pPr>
            <w:r>
              <w:t>TSP</w:t>
            </w:r>
            <w:r>
              <w:t>、</w:t>
            </w:r>
            <w:r>
              <w:t>H</w:t>
            </w:r>
            <w:r>
              <w:rPr>
                <w:vertAlign w:val="subscript"/>
              </w:rPr>
              <w:t>2</w:t>
            </w:r>
            <w:r>
              <w:t>S</w:t>
            </w:r>
            <w:r>
              <w:t>、</w:t>
            </w:r>
            <w:r>
              <w:t>NH</w:t>
            </w:r>
            <w:r>
              <w:rPr>
                <w:vertAlign w:val="subscript"/>
              </w:rPr>
              <w:t>3</w:t>
            </w:r>
            <w:r>
              <w:t>、</w:t>
            </w:r>
            <w:r>
              <w:t>HCl</w:t>
            </w:r>
            <w:r>
              <w:t>、</w:t>
            </w:r>
            <w:r>
              <w:t>HF</w:t>
            </w:r>
            <w:r>
              <w:rPr>
                <w:rFonts w:hint="eastAsia"/>
              </w:rPr>
              <w:t>、非甲烷总烃</w:t>
            </w:r>
          </w:p>
        </w:tc>
        <w:tc>
          <w:tcPr>
            <w:tcW w:w="445" w:type="pct"/>
            <w:vAlign w:val="center"/>
          </w:tcPr>
          <w:p w14:paraId="2116CC1E" w14:textId="77777777" w:rsidR="002E474C" w:rsidRDefault="00000000">
            <w:pPr>
              <w:pStyle w:val="A-"/>
            </w:pPr>
            <w:r>
              <w:t>年</w:t>
            </w:r>
          </w:p>
        </w:tc>
      </w:tr>
      <w:tr w:rsidR="002E474C" w14:paraId="4030FB15" w14:textId="77777777">
        <w:trPr>
          <w:jc w:val="center"/>
        </w:trPr>
        <w:tc>
          <w:tcPr>
            <w:tcW w:w="479" w:type="pct"/>
            <w:vAlign w:val="center"/>
          </w:tcPr>
          <w:p w14:paraId="02709D3B" w14:textId="77777777" w:rsidR="002E474C" w:rsidRDefault="00000000">
            <w:pPr>
              <w:pStyle w:val="A-"/>
            </w:pPr>
            <w:r>
              <w:t>地下水环境</w:t>
            </w:r>
          </w:p>
        </w:tc>
        <w:tc>
          <w:tcPr>
            <w:tcW w:w="1414" w:type="pct"/>
            <w:vAlign w:val="center"/>
          </w:tcPr>
          <w:p w14:paraId="354C90FE" w14:textId="77777777" w:rsidR="002E474C" w:rsidRDefault="00000000">
            <w:pPr>
              <w:pStyle w:val="A-"/>
            </w:pPr>
            <w:r>
              <w:rPr>
                <w:rFonts w:hint="eastAsia"/>
              </w:rPr>
              <w:t>利用厂区</w:t>
            </w:r>
            <w:r>
              <w:t>地下水流向上游</w:t>
            </w:r>
            <w:r>
              <w:rPr>
                <w:rFonts w:hint="eastAsia"/>
              </w:rPr>
              <w:t>、</w:t>
            </w:r>
            <w:r>
              <w:t>侧向及下游</w:t>
            </w:r>
            <w:r>
              <w:rPr>
                <w:rFonts w:hint="eastAsia"/>
              </w:rPr>
              <w:t>现有水井</w:t>
            </w:r>
            <w:r>
              <w:t>分别设</w:t>
            </w:r>
            <w:r>
              <w:t>1</w:t>
            </w:r>
            <w:r>
              <w:t>个污染扩散监测点</w:t>
            </w:r>
          </w:p>
        </w:tc>
        <w:tc>
          <w:tcPr>
            <w:tcW w:w="2662" w:type="pct"/>
            <w:shd w:val="clear" w:color="auto" w:fill="auto"/>
            <w:vAlign w:val="center"/>
          </w:tcPr>
          <w:p w14:paraId="55631F5B" w14:textId="77777777" w:rsidR="002E474C" w:rsidRDefault="00000000">
            <w:pPr>
              <w:pStyle w:val="A-"/>
              <w:rPr>
                <w:rFonts w:eastAsia="Times New Roman"/>
                <w:spacing w:val="-3"/>
                <w:position w:val="2"/>
              </w:rPr>
            </w:pPr>
            <w:r>
              <w:t>pH</w:t>
            </w:r>
            <w:r>
              <w:t>、总硬度、溶解性总固体、硫酸盐、氯化物、铁、锰、铜、锌、挥发酚、阴离子表面活性剂、硝酸盐、亚硝酸盐、氨氮、硫化物、氟化物、氰化物、汞、砷、镉、六价铬、铅、总大肠菌群等</w:t>
            </w:r>
          </w:p>
        </w:tc>
        <w:tc>
          <w:tcPr>
            <w:tcW w:w="445" w:type="pct"/>
            <w:vAlign w:val="center"/>
          </w:tcPr>
          <w:p w14:paraId="56B6DC5F" w14:textId="77777777" w:rsidR="002E474C" w:rsidRDefault="00000000">
            <w:pPr>
              <w:pStyle w:val="A-"/>
              <w:rPr>
                <w:spacing w:val="-10"/>
                <w:position w:val="2"/>
              </w:rPr>
            </w:pPr>
            <w:r>
              <w:t>年</w:t>
            </w:r>
          </w:p>
        </w:tc>
      </w:tr>
      <w:tr w:rsidR="002E474C" w14:paraId="4CE1E066" w14:textId="77777777">
        <w:trPr>
          <w:jc w:val="center"/>
        </w:trPr>
        <w:tc>
          <w:tcPr>
            <w:tcW w:w="479" w:type="pct"/>
            <w:vAlign w:val="center"/>
          </w:tcPr>
          <w:p w14:paraId="321D34EA" w14:textId="77777777" w:rsidR="002E474C" w:rsidRDefault="00000000">
            <w:pPr>
              <w:pStyle w:val="A-"/>
            </w:pPr>
            <w:r>
              <w:t>土壤环境</w:t>
            </w:r>
          </w:p>
        </w:tc>
        <w:tc>
          <w:tcPr>
            <w:tcW w:w="1414" w:type="pct"/>
            <w:vAlign w:val="center"/>
          </w:tcPr>
          <w:p w14:paraId="2583B825" w14:textId="77777777" w:rsidR="002E474C" w:rsidRDefault="00000000">
            <w:pPr>
              <w:pStyle w:val="A-"/>
            </w:pPr>
            <w:r>
              <w:t>危废贮存库下风向空地设</w:t>
            </w:r>
            <w:r>
              <w:t>1</w:t>
            </w:r>
            <w:r>
              <w:t>个监测点</w:t>
            </w:r>
          </w:p>
        </w:tc>
        <w:tc>
          <w:tcPr>
            <w:tcW w:w="2662" w:type="pct"/>
            <w:vAlign w:val="center"/>
          </w:tcPr>
          <w:p w14:paraId="493C33B0" w14:textId="77777777" w:rsidR="002E474C" w:rsidRDefault="00000000">
            <w:pPr>
              <w:pStyle w:val="A-"/>
            </w:pPr>
            <w:r>
              <w:t>汞、铊、镉、铅、砷、铍、铬、锡、锑、铜、钴、锰、镍、钒</w:t>
            </w:r>
          </w:p>
        </w:tc>
        <w:tc>
          <w:tcPr>
            <w:tcW w:w="445" w:type="pct"/>
            <w:vAlign w:val="center"/>
          </w:tcPr>
          <w:p w14:paraId="2597D562" w14:textId="77777777" w:rsidR="002E474C" w:rsidRDefault="00000000">
            <w:pPr>
              <w:pStyle w:val="A-"/>
            </w:pPr>
            <w:r>
              <w:t>年</w:t>
            </w:r>
          </w:p>
        </w:tc>
      </w:tr>
    </w:tbl>
    <w:p w14:paraId="106A940E" w14:textId="77777777" w:rsidR="002E474C" w:rsidRDefault="002E474C">
      <w:pPr>
        <w:pStyle w:val="A-z"/>
        <w:spacing w:line="240" w:lineRule="exact"/>
        <w:rPr>
          <w:color w:val="auto"/>
          <w:lang w:val="en-US"/>
        </w:rPr>
      </w:pPr>
    </w:p>
    <w:p w14:paraId="63BE9F3F" w14:textId="77777777" w:rsidR="002E474C" w:rsidRDefault="00000000">
      <w:pPr>
        <w:pStyle w:val="A--"/>
        <w:rPr>
          <w:color w:val="auto"/>
        </w:rPr>
      </w:pPr>
      <w:bookmarkStart w:id="393" w:name="_Ref111572844"/>
      <w:bookmarkStart w:id="394" w:name="_Hlk151316197"/>
      <w:bookmarkStart w:id="395" w:name="_Hlk151312806"/>
      <w:r>
        <w:rPr>
          <w:color w:val="auto"/>
        </w:rPr>
        <w:t>表</w:t>
      </w:r>
      <w:r>
        <w:rPr>
          <w:color w:val="auto"/>
        </w:rPr>
        <w:t>8.3</w:t>
      </w:r>
      <w:r>
        <w:rPr>
          <w:color w:val="auto"/>
        </w:rPr>
        <w:noBreakHyphen/>
      </w:r>
      <w:bookmarkEnd w:id="393"/>
      <w:r>
        <w:rPr>
          <w:color w:val="auto"/>
        </w:rPr>
        <w:t xml:space="preserve">2  </w:t>
      </w:r>
      <w:r>
        <w:rPr>
          <w:color w:val="auto"/>
        </w:rPr>
        <w:t>污染源监测计划</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752"/>
        <w:gridCol w:w="3724"/>
        <w:gridCol w:w="1100"/>
        <w:gridCol w:w="1011"/>
      </w:tblGrid>
      <w:tr w:rsidR="002E474C" w14:paraId="272EDE26" w14:textId="77777777">
        <w:tc>
          <w:tcPr>
            <w:tcW w:w="420" w:type="pct"/>
            <w:vAlign w:val="center"/>
          </w:tcPr>
          <w:p w14:paraId="22F01CA3" w14:textId="77777777" w:rsidR="002E474C" w:rsidRDefault="00000000">
            <w:pPr>
              <w:pStyle w:val="A-"/>
            </w:pPr>
            <w:r>
              <w:t>监测</w:t>
            </w:r>
          </w:p>
          <w:p w14:paraId="70877081" w14:textId="77777777" w:rsidR="002E474C" w:rsidRDefault="00000000">
            <w:pPr>
              <w:pStyle w:val="A-"/>
            </w:pPr>
            <w:r>
              <w:t>对象</w:t>
            </w:r>
          </w:p>
        </w:tc>
        <w:tc>
          <w:tcPr>
            <w:tcW w:w="1057" w:type="pct"/>
            <w:vAlign w:val="center"/>
          </w:tcPr>
          <w:p w14:paraId="16F3F628" w14:textId="77777777" w:rsidR="002E474C" w:rsidRDefault="00000000">
            <w:pPr>
              <w:pStyle w:val="A-"/>
            </w:pPr>
            <w:r>
              <w:t>监测点</w:t>
            </w:r>
          </w:p>
        </w:tc>
        <w:tc>
          <w:tcPr>
            <w:tcW w:w="2248" w:type="pct"/>
            <w:vAlign w:val="center"/>
          </w:tcPr>
          <w:p w14:paraId="28372896" w14:textId="77777777" w:rsidR="002E474C" w:rsidRDefault="00000000">
            <w:pPr>
              <w:pStyle w:val="A-"/>
            </w:pPr>
            <w:r>
              <w:t>监测因子</w:t>
            </w:r>
          </w:p>
        </w:tc>
        <w:tc>
          <w:tcPr>
            <w:tcW w:w="664" w:type="pct"/>
            <w:vAlign w:val="center"/>
          </w:tcPr>
          <w:p w14:paraId="671CC3FA" w14:textId="77777777" w:rsidR="002E474C" w:rsidRDefault="00000000">
            <w:pPr>
              <w:pStyle w:val="A-"/>
            </w:pPr>
            <w:r>
              <w:t>监测频次</w:t>
            </w:r>
          </w:p>
        </w:tc>
        <w:tc>
          <w:tcPr>
            <w:tcW w:w="610" w:type="pct"/>
            <w:vAlign w:val="center"/>
          </w:tcPr>
          <w:p w14:paraId="55974495" w14:textId="77777777" w:rsidR="002E474C" w:rsidRDefault="00000000">
            <w:pPr>
              <w:pStyle w:val="A-"/>
            </w:pPr>
            <w:r>
              <w:t>备注</w:t>
            </w:r>
          </w:p>
        </w:tc>
      </w:tr>
      <w:tr w:rsidR="002E474C" w14:paraId="17B65197" w14:textId="77777777">
        <w:tc>
          <w:tcPr>
            <w:tcW w:w="420" w:type="pct"/>
            <w:vMerge w:val="restart"/>
            <w:vAlign w:val="center"/>
          </w:tcPr>
          <w:p w14:paraId="4C0D1F5C" w14:textId="77777777" w:rsidR="002E474C" w:rsidRDefault="00000000">
            <w:pPr>
              <w:pStyle w:val="A-"/>
            </w:pPr>
            <w:r>
              <w:t>废气</w:t>
            </w:r>
          </w:p>
        </w:tc>
        <w:tc>
          <w:tcPr>
            <w:tcW w:w="1057" w:type="pct"/>
            <w:vAlign w:val="center"/>
          </w:tcPr>
          <w:p w14:paraId="2E78F82C" w14:textId="77777777" w:rsidR="002E474C" w:rsidRDefault="00000000">
            <w:pPr>
              <w:pStyle w:val="A-"/>
            </w:pPr>
            <w:r>
              <w:t>危废贮存废气排气筒</w:t>
            </w:r>
          </w:p>
        </w:tc>
        <w:tc>
          <w:tcPr>
            <w:tcW w:w="2248" w:type="pct"/>
            <w:vAlign w:val="center"/>
          </w:tcPr>
          <w:p w14:paraId="71D56B1A" w14:textId="77777777" w:rsidR="002E474C" w:rsidRDefault="00000000">
            <w:pPr>
              <w:pStyle w:val="A-"/>
            </w:pPr>
            <w:r>
              <w:rPr>
                <w:rFonts w:hint="eastAsia"/>
              </w:rPr>
              <w:t>颗粒物、</w:t>
            </w:r>
            <w:r>
              <w:t>氨、硫化氢、臭气浓度、非甲烷总烃</w:t>
            </w:r>
          </w:p>
        </w:tc>
        <w:tc>
          <w:tcPr>
            <w:tcW w:w="664" w:type="pct"/>
            <w:vAlign w:val="center"/>
          </w:tcPr>
          <w:p w14:paraId="237AAA5A" w14:textId="77777777" w:rsidR="002E474C" w:rsidRDefault="00000000">
            <w:pPr>
              <w:pStyle w:val="A-"/>
            </w:pPr>
            <w:r>
              <w:t>季度</w:t>
            </w:r>
          </w:p>
        </w:tc>
        <w:tc>
          <w:tcPr>
            <w:tcW w:w="610" w:type="pct"/>
            <w:vAlign w:val="center"/>
          </w:tcPr>
          <w:p w14:paraId="33E5F35F" w14:textId="77777777" w:rsidR="002E474C" w:rsidRDefault="00000000">
            <w:pPr>
              <w:pStyle w:val="A-"/>
            </w:pPr>
            <w:r>
              <w:t>/</w:t>
            </w:r>
          </w:p>
        </w:tc>
      </w:tr>
      <w:tr w:rsidR="002E474C" w14:paraId="64836DC8" w14:textId="77777777">
        <w:tc>
          <w:tcPr>
            <w:tcW w:w="420" w:type="pct"/>
            <w:vMerge/>
            <w:vAlign w:val="center"/>
          </w:tcPr>
          <w:p w14:paraId="4864CBAC" w14:textId="77777777" w:rsidR="002E474C" w:rsidRDefault="002E474C">
            <w:pPr>
              <w:pStyle w:val="A-"/>
            </w:pPr>
          </w:p>
        </w:tc>
        <w:tc>
          <w:tcPr>
            <w:tcW w:w="1057" w:type="pct"/>
            <w:vMerge w:val="restart"/>
            <w:vAlign w:val="center"/>
          </w:tcPr>
          <w:p w14:paraId="5DE659B4" w14:textId="77777777" w:rsidR="002E474C" w:rsidRDefault="00000000">
            <w:pPr>
              <w:pStyle w:val="A-"/>
            </w:pPr>
            <w:r>
              <w:t>水泥窑及窑尾余热利用系统排气筒</w:t>
            </w:r>
          </w:p>
        </w:tc>
        <w:tc>
          <w:tcPr>
            <w:tcW w:w="2248" w:type="pct"/>
            <w:vAlign w:val="center"/>
          </w:tcPr>
          <w:p w14:paraId="690C2E85" w14:textId="77777777" w:rsidR="002E474C" w:rsidRDefault="00000000">
            <w:pPr>
              <w:pStyle w:val="A-"/>
            </w:pPr>
            <w:r>
              <w:t>颗粒物、二氧化硫、氮氧化物</w:t>
            </w:r>
          </w:p>
        </w:tc>
        <w:tc>
          <w:tcPr>
            <w:tcW w:w="664" w:type="pct"/>
            <w:vAlign w:val="center"/>
          </w:tcPr>
          <w:p w14:paraId="1361A63F" w14:textId="77777777" w:rsidR="002E474C" w:rsidRDefault="00000000">
            <w:pPr>
              <w:pStyle w:val="A-"/>
            </w:pPr>
            <w:r>
              <w:t>自动监测</w:t>
            </w:r>
          </w:p>
        </w:tc>
        <w:tc>
          <w:tcPr>
            <w:tcW w:w="610" w:type="pct"/>
            <w:vMerge w:val="restart"/>
            <w:vAlign w:val="center"/>
          </w:tcPr>
          <w:p w14:paraId="24337104" w14:textId="77777777" w:rsidR="002E474C" w:rsidRDefault="00000000">
            <w:pPr>
              <w:pStyle w:val="A-"/>
            </w:pPr>
            <w:r>
              <w:t>依托现水泥厂</w:t>
            </w:r>
          </w:p>
        </w:tc>
      </w:tr>
      <w:tr w:rsidR="002E474C" w14:paraId="7ED9196A" w14:textId="77777777">
        <w:trPr>
          <w:trHeight w:val="90"/>
        </w:trPr>
        <w:tc>
          <w:tcPr>
            <w:tcW w:w="420" w:type="pct"/>
            <w:vMerge/>
            <w:vAlign w:val="center"/>
          </w:tcPr>
          <w:p w14:paraId="21178EDD" w14:textId="77777777" w:rsidR="002E474C" w:rsidRDefault="002E474C">
            <w:pPr>
              <w:pStyle w:val="A-"/>
            </w:pPr>
          </w:p>
        </w:tc>
        <w:tc>
          <w:tcPr>
            <w:tcW w:w="1057" w:type="pct"/>
            <w:vMerge/>
            <w:vAlign w:val="center"/>
          </w:tcPr>
          <w:p w14:paraId="1FD07BC5" w14:textId="77777777" w:rsidR="002E474C" w:rsidRDefault="002E474C">
            <w:pPr>
              <w:pStyle w:val="A-"/>
            </w:pPr>
          </w:p>
        </w:tc>
        <w:tc>
          <w:tcPr>
            <w:tcW w:w="2248" w:type="pct"/>
            <w:vAlign w:val="center"/>
          </w:tcPr>
          <w:p w14:paraId="1C28F2FC" w14:textId="77777777" w:rsidR="002E474C" w:rsidRDefault="00000000">
            <w:pPr>
              <w:pStyle w:val="A-"/>
            </w:pPr>
            <w:r>
              <w:t>氨</w:t>
            </w:r>
            <w:r>
              <w:rPr>
                <w:rFonts w:hint="eastAsia"/>
              </w:rPr>
              <w:t>、</w:t>
            </w:r>
            <w:r>
              <w:t>汞及其化合物</w:t>
            </w:r>
          </w:p>
        </w:tc>
        <w:tc>
          <w:tcPr>
            <w:tcW w:w="664" w:type="pct"/>
            <w:vAlign w:val="center"/>
          </w:tcPr>
          <w:p w14:paraId="69FE6CC9" w14:textId="77777777" w:rsidR="002E474C" w:rsidRDefault="00000000">
            <w:pPr>
              <w:pStyle w:val="A-"/>
            </w:pPr>
            <w:r>
              <w:t>季度</w:t>
            </w:r>
          </w:p>
        </w:tc>
        <w:tc>
          <w:tcPr>
            <w:tcW w:w="610" w:type="pct"/>
            <w:vMerge/>
            <w:vAlign w:val="center"/>
          </w:tcPr>
          <w:p w14:paraId="60A0408C" w14:textId="77777777" w:rsidR="002E474C" w:rsidRDefault="002E474C">
            <w:pPr>
              <w:pStyle w:val="A-"/>
            </w:pPr>
          </w:p>
        </w:tc>
      </w:tr>
      <w:tr w:rsidR="002E474C" w14:paraId="0ED6171A" w14:textId="77777777">
        <w:tc>
          <w:tcPr>
            <w:tcW w:w="420" w:type="pct"/>
            <w:vMerge/>
            <w:vAlign w:val="center"/>
          </w:tcPr>
          <w:p w14:paraId="04E3EE28" w14:textId="77777777" w:rsidR="002E474C" w:rsidRDefault="002E474C">
            <w:pPr>
              <w:pStyle w:val="A-"/>
            </w:pPr>
          </w:p>
        </w:tc>
        <w:tc>
          <w:tcPr>
            <w:tcW w:w="1057" w:type="pct"/>
            <w:vMerge/>
            <w:vAlign w:val="center"/>
          </w:tcPr>
          <w:p w14:paraId="37341E6B" w14:textId="77777777" w:rsidR="002E474C" w:rsidRDefault="002E474C">
            <w:pPr>
              <w:pStyle w:val="A-"/>
            </w:pPr>
          </w:p>
        </w:tc>
        <w:tc>
          <w:tcPr>
            <w:tcW w:w="2248" w:type="pct"/>
            <w:shd w:val="clear" w:color="auto" w:fill="auto"/>
            <w:vAlign w:val="center"/>
          </w:tcPr>
          <w:p w14:paraId="657FB6F3" w14:textId="77777777" w:rsidR="002E474C" w:rsidRDefault="00000000">
            <w:pPr>
              <w:pStyle w:val="A-"/>
            </w:pPr>
            <w:r>
              <w:t>氯化氢（</w:t>
            </w:r>
            <w:r>
              <w:t>HCl</w:t>
            </w:r>
            <w:r>
              <w:t>）、氟化氢（</w:t>
            </w:r>
            <w:r>
              <w:t>HF</w:t>
            </w:r>
            <w:r>
              <w:t>）、铊、镉、铅、砷及其化合物（以</w:t>
            </w:r>
            <w:proofErr w:type="spellStart"/>
            <w:r>
              <w:t>Tl+Cd+Pb+As</w:t>
            </w:r>
            <w:proofErr w:type="spellEnd"/>
            <w:r>
              <w:t>计）、铍、锡、锑、铜、钴、锰、镍、钒及其化合物（以</w:t>
            </w:r>
            <w:proofErr w:type="spellStart"/>
            <w:r>
              <w:t>Be+Cr+Sn+Sb+Cu+Co+Mn+Ni+V</w:t>
            </w:r>
            <w:proofErr w:type="spellEnd"/>
            <w:r>
              <w:t>计）、总有机碳（</w:t>
            </w:r>
            <w:r>
              <w:t>TOC</w:t>
            </w:r>
            <w:r>
              <w:t>）</w:t>
            </w:r>
          </w:p>
        </w:tc>
        <w:tc>
          <w:tcPr>
            <w:tcW w:w="664" w:type="pct"/>
            <w:vAlign w:val="center"/>
          </w:tcPr>
          <w:p w14:paraId="6F9A7E70" w14:textId="77777777" w:rsidR="002E474C" w:rsidRDefault="00000000">
            <w:pPr>
              <w:pStyle w:val="A-"/>
            </w:pPr>
            <w:r>
              <w:t>季度</w:t>
            </w:r>
          </w:p>
        </w:tc>
        <w:tc>
          <w:tcPr>
            <w:tcW w:w="610" w:type="pct"/>
            <w:vAlign w:val="center"/>
          </w:tcPr>
          <w:p w14:paraId="14F179B0" w14:textId="77777777" w:rsidR="002E474C" w:rsidRDefault="00000000">
            <w:pPr>
              <w:pStyle w:val="A-"/>
            </w:pPr>
            <w:r>
              <w:t>/</w:t>
            </w:r>
          </w:p>
        </w:tc>
      </w:tr>
      <w:tr w:rsidR="002E474C" w14:paraId="188518E0" w14:textId="77777777">
        <w:tc>
          <w:tcPr>
            <w:tcW w:w="420" w:type="pct"/>
            <w:vMerge/>
            <w:vAlign w:val="center"/>
          </w:tcPr>
          <w:p w14:paraId="464102D5" w14:textId="77777777" w:rsidR="002E474C" w:rsidRDefault="002E474C">
            <w:pPr>
              <w:pStyle w:val="A-"/>
            </w:pPr>
          </w:p>
        </w:tc>
        <w:tc>
          <w:tcPr>
            <w:tcW w:w="1057" w:type="pct"/>
            <w:vMerge/>
            <w:vAlign w:val="center"/>
          </w:tcPr>
          <w:p w14:paraId="47167CAC" w14:textId="77777777" w:rsidR="002E474C" w:rsidRDefault="002E474C">
            <w:pPr>
              <w:pStyle w:val="A-"/>
            </w:pPr>
          </w:p>
        </w:tc>
        <w:tc>
          <w:tcPr>
            <w:tcW w:w="2248" w:type="pct"/>
            <w:vAlign w:val="center"/>
          </w:tcPr>
          <w:p w14:paraId="44B99D6A" w14:textId="77777777" w:rsidR="002E474C" w:rsidRDefault="00000000">
            <w:pPr>
              <w:pStyle w:val="A-"/>
            </w:pPr>
            <w:r>
              <w:t>二噁英类</w:t>
            </w:r>
          </w:p>
        </w:tc>
        <w:tc>
          <w:tcPr>
            <w:tcW w:w="664" w:type="pct"/>
            <w:vAlign w:val="center"/>
          </w:tcPr>
          <w:p w14:paraId="1FD8B790" w14:textId="77777777" w:rsidR="002E474C" w:rsidRDefault="00000000">
            <w:pPr>
              <w:pStyle w:val="A-"/>
            </w:pPr>
            <w:r>
              <w:t>年</w:t>
            </w:r>
          </w:p>
        </w:tc>
        <w:tc>
          <w:tcPr>
            <w:tcW w:w="610" w:type="pct"/>
            <w:vAlign w:val="center"/>
          </w:tcPr>
          <w:p w14:paraId="5806D0CC" w14:textId="77777777" w:rsidR="002E474C" w:rsidRDefault="00000000">
            <w:pPr>
              <w:pStyle w:val="A-"/>
            </w:pPr>
            <w:r>
              <w:t>/</w:t>
            </w:r>
          </w:p>
        </w:tc>
      </w:tr>
      <w:tr w:rsidR="002E474C" w14:paraId="3C0DCE99" w14:textId="77777777">
        <w:trPr>
          <w:trHeight w:val="514"/>
        </w:trPr>
        <w:tc>
          <w:tcPr>
            <w:tcW w:w="420" w:type="pct"/>
            <w:vMerge/>
            <w:vAlign w:val="center"/>
          </w:tcPr>
          <w:p w14:paraId="4517F908" w14:textId="77777777" w:rsidR="002E474C" w:rsidRDefault="002E474C">
            <w:pPr>
              <w:pStyle w:val="A-"/>
            </w:pPr>
          </w:p>
        </w:tc>
        <w:tc>
          <w:tcPr>
            <w:tcW w:w="1057" w:type="pct"/>
            <w:vAlign w:val="center"/>
          </w:tcPr>
          <w:p w14:paraId="43B96F76" w14:textId="77777777" w:rsidR="002E474C" w:rsidRDefault="00000000">
            <w:pPr>
              <w:pStyle w:val="A-"/>
            </w:pPr>
            <w:r>
              <w:t>厂界无组织监控点</w:t>
            </w:r>
          </w:p>
        </w:tc>
        <w:tc>
          <w:tcPr>
            <w:tcW w:w="2248" w:type="pct"/>
            <w:vAlign w:val="center"/>
          </w:tcPr>
          <w:p w14:paraId="3E1D8DEE" w14:textId="77777777" w:rsidR="002E474C" w:rsidRDefault="00000000">
            <w:pPr>
              <w:pStyle w:val="A-"/>
            </w:pPr>
            <w:r>
              <w:t>TSP</w:t>
            </w:r>
            <w:r>
              <w:rPr>
                <w:rFonts w:hint="eastAsia"/>
              </w:rPr>
              <w:t>、</w:t>
            </w:r>
            <w:r>
              <w:t>氨、硫化氢、臭气浓度、非甲烷总烃</w:t>
            </w:r>
          </w:p>
        </w:tc>
        <w:tc>
          <w:tcPr>
            <w:tcW w:w="664" w:type="pct"/>
            <w:vAlign w:val="center"/>
          </w:tcPr>
          <w:p w14:paraId="28170481" w14:textId="77777777" w:rsidR="002E474C" w:rsidRDefault="00000000">
            <w:pPr>
              <w:pStyle w:val="A-"/>
            </w:pPr>
            <w:r>
              <w:t>季度</w:t>
            </w:r>
          </w:p>
        </w:tc>
        <w:tc>
          <w:tcPr>
            <w:tcW w:w="610" w:type="pct"/>
            <w:vAlign w:val="center"/>
          </w:tcPr>
          <w:p w14:paraId="333B5AEC" w14:textId="77777777" w:rsidR="002E474C" w:rsidRDefault="00000000">
            <w:pPr>
              <w:jc w:val="center"/>
              <w:rPr>
                <w:kern w:val="0"/>
              </w:rPr>
            </w:pPr>
            <w:r>
              <w:t>/</w:t>
            </w:r>
          </w:p>
        </w:tc>
      </w:tr>
      <w:tr w:rsidR="002E474C" w14:paraId="72A549E1" w14:textId="77777777">
        <w:tc>
          <w:tcPr>
            <w:tcW w:w="420" w:type="pct"/>
            <w:vMerge/>
            <w:vAlign w:val="center"/>
          </w:tcPr>
          <w:p w14:paraId="07D2E247" w14:textId="77777777" w:rsidR="002E474C" w:rsidRDefault="002E474C">
            <w:pPr>
              <w:pStyle w:val="A-"/>
            </w:pPr>
          </w:p>
        </w:tc>
        <w:tc>
          <w:tcPr>
            <w:tcW w:w="1057" w:type="pct"/>
            <w:vAlign w:val="center"/>
          </w:tcPr>
          <w:p w14:paraId="4ECFBE36" w14:textId="77777777" w:rsidR="002E474C" w:rsidRDefault="00000000">
            <w:pPr>
              <w:pStyle w:val="A-"/>
            </w:pPr>
            <w:r>
              <w:t>厂区内</w:t>
            </w:r>
            <w:r>
              <w:t>VOCs</w:t>
            </w:r>
            <w:r>
              <w:t>无组织排放监控点</w:t>
            </w:r>
          </w:p>
        </w:tc>
        <w:tc>
          <w:tcPr>
            <w:tcW w:w="2248" w:type="pct"/>
            <w:vAlign w:val="center"/>
          </w:tcPr>
          <w:p w14:paraId="12C0F1EA" w14:textId="77777777" w:rsidR="002E474C" w:rsidRDefault="00000000">
            <w:pPr>
              <w:pStyle w:val="A-"/>
            </w:pPr>
            <w:r>
              <w:t>非甲烷总烃</w:t>
            </w:r>
          </w:p>
        </w:tc>
        <w:tc>
          <w:tcPr>
            <w:tcW w:w="664" w:type="pct"/>
            <w:vAlign w:val="center"/>
          </w:tcPr>
          <w:p w14:paraId="0F0D5EC0" w14:textId="77777777" w:rsidR="002E474C" w:rsidRDefault="00000000">
            <w:pPr>
              <w:pStyle w:val="A-"/>
            </w:pPr>
            <w:r>
              <w:t>年</w:t>
            </w:r>
          </w:p>
        </w:tc>
        <w:tc>
          <w:tcPr>
            <w:tcW w:w="610" w:type="pct"/>
            <w:vAlign w:val="center"/>
          </w:tcPr>
          <w:p w14:paraId="0EF89CD5" w14:textId="77777777" w:rsidR="002E474C" w:rsidRDefault="00000000">
            <w:pPr>
              <w:pStyle w:val="A-"/>
            </w:pPr>
            <w:r>
              <w:t>/</w:t>
            </w:r>
          </w:p>
        </w:tc>
      </w:tr>
      <w:tr w:rsidR="002E474C" w14:paraId="5923687E" w14:textId="77777777">
        <w:tc>
          <w:tcPr>
            <w:tcW w:w="420" w:type="pct"/>
            <w:vAlign w:val="center"/>
          </w:tcPr>
          <w:p w14:paraId="4A1026E9" w14:textId="77777777" w:rsidR="002E474C" w:rsidRDefault="00000000">
            <w:pPr>
              <w:pStyle w:val="A-"/>
            </w:pPr>
            <w:r>
              <w:t>噪声</w:t>
            </w:r>
          </w:p>
        </w:tc>
        <w:tc>
          <w:tcPr>
            <w:tcW w:w="1057" w:type="pct"/>
            <w:vAlign w:val="center"/>
          </w:tcPr>
          <w:p w14:paraId="68B1A151" w14:textId="77777777" w:rsidR="002E474C" w:rsidRDefault="00000000">
            <w:pPr>
              <w:pStyle w:val="A-"/>
            </w:pPr>
            <w:r>
              <w:t>厂界四周外</w:t>
            </w:r>
            <w:r>
              <w:t>1m</w:t>
            </w:r>
          </w:p>
        </w:tc>
        <w:tc>
          <w:tcPr>
            <w:tcW w:w="2248" w:type="pct"/>
            <w:vAlign w:val="center"/>
          </w:tcPr>
          <w:p w14:paraId="0186971E" w14:textId="77777777" w:rsidR="002E474C" w:rsidRDefault="00000000">
            <w:pPr>
              <w:pStyle w:val="A-"/>
            </w:pPr>
            <w:r>
              <w:t>昼间、夜间等效连续</w:t>
            </w:r>
            <w:r>
              <w:t>A</w:t>
            </w:r>
            <w:r>
              <w:t>声级</w:t>
            </w:r>
          </w:p>
        </w:tc>
        <w:tc>
          <w:tcPr>
            <w:tcW w:w="664" w:type="pct"/>
            <w:vAlign w:val="center"/>
          </w:tcPr>
          <w:p w14:paraId="23600296" w14:textId="77777777" w:rsidR="002E474C" w:rsidRDefault="00000000">
            <w:pPr>
              <w:pStyle w:val="A-"/>
            </w:pPr>
            <w:r>
              <w:t>季度</w:t>
            </w:r>
          </w:p>
        </w:tc>
        <w:tc>
          <w:tcPr>
            <w:tcW w:w="610" w:type="pct"/>
            <w:vAlign w:val="center"/>
          </w:tcPr>
          <w:p w14:paraId="3550002C" w14:textId="77777777" w:rsidR="002E474C" w:rsidRDefault="00000000">
            <w:pPr>
              <w:pStyle w:val="A-"/>
            </w:pPr>
            <w:r>
              <w:t>/</w:t>
            </w:r>
          </w:p>
        </w:tc>
      </w:tr>
      <w:bookmarkEnd w:id="394"/>
      <w:bookmarkEnd w:id="395"/>
    </w:tbl>
    <w:p w14:paraId="301F550B" w14:textId="77777777" w:rsidR="002E474C" w:rsidRDefault="002E474C">
      <w:pPr>
        <w:pStyle w:val="A-z"/>
        <w:rPr>
          <w:color w:val="auto"/>
        </w:rPr>
      </w:pPr>
    </w:p>
    <w:p w14:paraId="67E0331D" w14:textId="77777777" w:rsidR="002E474C" w:rsidRDefault="00000000">
      <w:pPr>
        <w:pStyle w:val="31"/>
        <w:spacing w:before="120" w:after="120"/>
        <w:rPr>
          <w:color w:val="auto"/>
        </w:rPr>
      </w:pPr>
      <w:r>
        <w:rPr>
          <w:color w:val="auto"/>
        </w:rPr>
        <w:t>环境监测管理</w:t>
      </w:r>
    </w:p>
    <w:p w14:paraId="1F15DB8B" w14:textId="77777777" w:rsidR="002E474C" w:rsidRDefault="00000000">
      <w:pPr>
        <w:pStyle w:val="A-z"/>
        <w:rPr>
          <w:color w:val="auto"/>
        </w:rPr>
      </w:pPr>
      <w:r>
        <w:rPr>
          <w:color w:val="auto"/>
        </w:rPr>
        <w:t>环保专员通过对项目运行中污染治理设施进行监控，掌握废气、废水、噪声等污染源排放是否符合国家或地方排放标准的要求，做到达标排放，同时对废气、废水、固体废物及噪声防治设施进行监督检查，保证正常运行。</w:t>
      </w:r>
    </w:p>
    <w:p w14:paraId="3F60C4FA" w14:textId="77777777" w:rsidR="004B05DA" w:rsidRPr="002C56C2" w:rsidRDefault="00000000" w:rsidP="001B09D7">
      <w:pPr>
        <w:pStyle w:val="A-z"/>
        <w:rPr>
          <w:color w:val="auto"/>
        </w:rPr>
      </w:pPr>
      <w:r>
        <w:rPr>
          <w:color w:val="auto"/>
        </w:rPr>
        <w:t>为保障污染治理措施正常有效地运行，控制污染影响范围，对本项目运营期污染源及环境质</w:t>
      </w:r>
      <w:r w:rsidRPr="002C56C2">
        <w:rPr>
          <w:color w:val="auto"/>
        </w:rPr>
        <w:t>量进行监测。建设污染源自行监测及环境质量监测体系，监测结果按次、月、季、年编制报表，由环保专员管理并存档。</w:t>
      </w:r>
    </w:p>
    <w:p w14:paraId="0FC30EA4" w14:textId="4F5139F5" w:rsidR="001B09D7" w:rsidRPr="002C56C2" w:rsidRDefault="004B05DA" w:rsidP="001B09D7">
      <w:pPr>
        <w:pStyle w:val="A-z"/>
        <w:rPr>
          <w:lang w:val="en-US"/>
        </w:rPr>
      </w:pPr>
      <w:r w:rsidRPr="002C56C2">
        <w:rPr>
          <w:rFonts w:hint="eastAsia"/>
          <w:color w:val="auto"/>
        </w:rPr>
        <w:t>企业</w:t>
      </w:r>
      <w:r w:rsidR="001B09D7" w:rsidRPr="002C56C2">
        <w:rPr>
          <w:color w:val="auto"/>
        </w:rPr>
        <w:t>自行监测</w:t>
      </w:r>
      <w:r w:rsidR="001B09D7" w:rsidRPr="002C56C2">
        <w:rPr>
          <w:rFonts w:hint="eastAsia"/>
          <w:lang w:val="en-US"/>
        </w:rPr>
        <w:t>结果与监测报告归档</w:t>
      </w:r>
      <w:r w:rsidRPr="002C56C2">
        <w:rPr>
          <w:rFonts w:hint="eastAsia"/>
          <w:lang w:val="en-US"/>
        </w:rPr>
        <w:t>工作</w:t>
      </w:r>
      <w:r w:rsidR="001B09D7" w:rsidRPr="002C56C2">
        <w:rPr>
          <w:rFonts w:hint="eastAsia"/>
          <w:lang w:val="en-US"/>
        </w:rPr>
        <w:t>同时执行</w:t>
      </w:r>
      <w:r w:rsidR="001B09D7" w:rsidRPr="002C56C2">
        <w:rPr>
          <w:lang w:val="en-US"/>
        </w:rPr>
        <w:t>《排污单位自行监测技术指南</w:t>
      </w:r>
      <w:r w:rsidR="001B09D7" w:rsidRPr="002C56C2">
        <w:rPr>
          <w:lang w:val="en-US"/>
        </w:rPr>
        <w:t xml:space="preserve"> </w:t>
      </w:r>
      <w:r w:rsidR="001B09D7" w:rsidRPr="002C56C2">
        <w:rPr>
          <w:lang w:val="en-US"/>
        </w:rPr>
        <w:t>总则》（</w:t>
      </w:r>
      <w:r w:rsidR="001B09D7" w:rsidRPr="002C56C2">
        <w:rPr>
          <w:lang w:val="en-US"/>
        </w:rPr>
        <w:t>HJ819-2017</w:t>
      </w:r>
      <w:r w:rsidR="001B09D7" w:rsidRPr="002C56C2">
        <w:rPr>
          <w:lang w:val="en-US"/>
        </w:rPr>
        <w:t>）、《排污单位自行监测技术指南</w:t>
      </w:r>
      <w:r w:rsidR="001B09D7" w:rsidRPr="002C56C2">
        <w:rPr>
          <w:lang w:val="en-US"/>
        </w:rPr>
        <w:t xml:space="preserve"> </w:t>
      </w:r>
      <w:r w:rsidR="001B09D7" w:rsidRPr="002C56C2">
        <w:rPr>
          <w:lang w:val="en-US"/>
        </w:rPr>
        <w:t>水泥工业》（</w:t>
      </w:r>
      <w:r w:rsidR="001B09D7" w:rsidRPr="002C56C2">
        <w:rPr>
          <w:lang w:val="en-US"/>
        </w:rPr>
        <w:t>HJ848-2017</w:t>
      </w:r>
      <w:r w:rsidR="001B09D7" w:rsidRPr="002C56C2">
        <w:rPr>
          <w:lang w:val="en-US"/>
        </w:rPr>
        <w:t>）、《排污许可证申请与核发技术规范</w:t>
      </w:r>
      <w:r w:rsidR="001B09D7" w:rsidRPr="002C56C2">
        <w:rPr>
          <w:lang w:val="en-US"/>
        </w:rPr>
        <w:t xml:space="preserve"> </w:t>
      </w:r>
      <w:r w:rsidR="001B09D7" w:rsidRPr="002C56C2">
        <w:rPr>
          <w:lang w:val="en-US"/>
        </w:rPr>
        <w:t>水泥工业（</w:t>
      </w:r>
      <w:r w:rsidR="001B09D7" w:rsidRPr="002C56C2">
        <w:rPr>
          <w:lang w:val="en-US"/>
        </w:rPr>
        <w:t>HJ847-2017</w:t>
      </w:r>
      <w:r w:rsidR="001B09D7" w:rsidRPr="002C56C2">
        <w:rPr>
          <w:lang w:val="en-US"/>
        </w:rPr>
        <w:t>）》管理要求。</w:t>
      </w:r>
    </w:p>
    <w:p w14:paraId="63CB9764" w14:textId="77777777" w:rsidR="002E474C" w:rsidRDefault="00000000">
      <w:pPr>
        <w:pStyle w:val="A-z"/>
        <w:rPr>
          <w:color w:val="auto"/>
        </w:rPr>
      </w:pPr>
      <w:r w:rsidRPr="002C56C2">
        <w:rPr>
          <w:color w:val="auto"/>
        </w:rPr>
        <w:t>（</w:t>
      </w:r>
      <w:r w:rsidRPr="002C56C2">
        <w:rPr>
          <w:color w:val="auto"/>
        </w:rPr>
        <w:t>1</w:t>
      </w:r>
      <w:r w:rsidRPr="002C56C2">
        <w:rPr>
          <w:color w:val="auto"/>
        </w:rPr>
        <w:t>）环境监测</w:t>
      </w:r>
      <w:r>
        <w:rPr>
          <w:color w:val="auto"/>
        </w:rPr>
        <w:t>任务</w:t>
      </w:r>
    </w:p>
    <w:p w14:paraId="147BB6F1" w14:textId="77777777" w:rsidR="002E474C" w:rsidRDefault="00000000">
      <w:pPr>
        <w:pStyle w:val="A-z"/>
        <w:rPr>
          <w:color w:val="auto"/>
        </w:rPr>
      </w:pPr>
      <w:r>
        <w:rPr>
          <w:color w:val="auto"/>
        </w:rPr>
        <w:t>制定季度和年度的监测计划；根据国家环境标准，对各污染源、厂区及相关区域进行日常性监测；对本企业污染源进行调查、分析和研究，掌握各污染源污染物排放情况和排放特征；及时整理监测数据和资料，按规定时间编制各期报表和编写报告；参加本项目污染事故调查及环保设施的竣工验收工作，配合环境监督管理部门的工作和监测机构的现场工作。</w:t>
      </w:r>
    </w:p>
    <w:p w14:paraId="6925E655" w14:textId="77777777" w:rsidR="002E474C" w:rsidRDefault="00000000">
      <w:pPr>
        <w:pStyle w:val="A-z"/>
        <w:rPr>
          <w:color w:val="auto"/>
        </w:rPr>
      </w:pPr>
      <w:r>
        <w:rPr>
          <w:color w:val="auto"/>
        </w:rPr>
        <w:t>（</w:t>
      </w:r>
      <w:r>
        <w:rPr>
          <w:color w:val="auto"/>
        </w:rPr>
        <w:t>2</w:t>
      </w:r>
      <w:r>
        <w:rPr>
          <w:color w:val="auto"/>
        </w:rPr>
        <w:t>）环境监测的主要工作内容（包括委托监测）</w:t>
      </w:r>
    </w:p>
    <w:p w14:paraId="6E024037" w14:textId="77777777" w:rsidR="002E474C" w:rsidRDefault="00000000">
      <w:pPr>
        <w:pStyle w:val="A-z"/>
        <w:rPr>
          <w:color w:val="auto"/>
        </w:rPr>
      </w:pPr>
      <w:r>
        <w:rPr>
          <w:color w:val="auto"/>
        </w:rPr>
        <w:t>环境监测包括污染源监测与环境质量监测，从气、水、噪声三方面进行监控。监测点的布置要能准确反映企业的污染排放情况，企业附近地区的环境质量情况。企业所进行的监测分析工作主要为自身的环境管理、保障环保设施正常运行并实现污染物达标排放服务。依据生产特点、污染物排放特征确定项目监测内容，详见污染物排放清单。</w:t>
      </w:r>
    </w:p>
    <w:p w14:paraId="6766690D" w14:textId="77777777" w:rsidR="002E474C" w:rsidRDefault="00000000">
      <w:pPr>
        <w:pStyle w:val="A-z"/>
        <w:rPr>
          <w:color w:val="auto"/>
        </w:rPr>
      </w:pPr>
      <w:r>
        <w:rPr>
          <w:color w:val="auto"/>
        </w:rPr>
        <w:t>（</w:t>
      </w:r>
      <w:r>
        <w:rPr>
          <w:color w:val="auto"/>
        </w:rPr>
        <w:t>3</w:t>
      </w:r>
      <w:r>
        <w:rPr>
          <w:color w:val="auto"/>
        </w:rPr>
        <w:t>）环境监测单位</w:t>
      </w:r>
    </w:p>
    <w:p w14:paraId="5ED9074A" w14:textId="77777777" w:rsidR="002E474C" w:rsidRDefault="00000000">
      <w:pPr>
        <w:pStyle w:val="A-z"/>
        <w:rPr>
          <w:color w:val="auto"/>
        </w:rPr>
      </w:pPr>
      <w:r>
        <w:rPr>
          <w:color w:val="auto"/>
        </w:rPr>
        <w:t>建设单位应委托有资质的环境监测机构对项目排放的废气、噪声、固废及周</w:t>
      </w:r>
      <w:r>
        <w:rPr>
          <w:color w:val="auto"/>
        </w:rPr>
        <w:lastRenderedPageBreak/>
        <w:t>围的环境质量进行监测。</w:t>
      </w:r>
    </w:p>
    <w:p w14:paraId="46F98D7B" w14:textId="77777777" w:rsidR="002E474C" w:rsidRDefault="00000000">
      <w:pPr>
        <w:pStyle w:val="31"/>
        <w:spacing w:before="120" w:after="120"/>
        <w:rPr>
          <w:color w:val="auto"/>
          <w:lang w:val="en-US"/>
        </w:rPr>
      </w:pPr>
      <w:r>
        <w:rPr>
          <w:color w:val="auto"/>
          <w:lang w:val="en-US"/>
        </w:rPr>
        <w:t>环境管理台账与执行报告编制要求</w:t>
      </w:r>
    </w:p>
    <w:p w14:paraId="6EB57B3A" w14:textId="77777777" w:rsidR="002E474C" w:rsidRDefault="00000000">
      <w:pPr>
        <w:pStyle w:val="A-z"/>
        <w:rPr>
          <w:color w:val="auto"/>
        </w:rPr>
      </w:pPr>
      <w:r>
        <w:rPr>
          <w:color w:val="auto"/>
        </w:rPr>
        <w:t>排污单位应建立环境管理台账制度，环保专员进行台账记录、整理、维护和管理工作。排污单位对台账内容的真实性、准确性、完整性、规范性负责。排污单位应按照</w:t>
      </w:r>
      <w:r>
        <w:rPr>
          <w:color w:val="auto"/>
        </w:rPr>
        <w:t>“</w:t>
      </w:r>
      <w:r>
        <w:rPr>
          <w:color w:val="auto"/>
        </w:rPr>
        <w:t>规范、真实、全面、细致</w:t>
      </w:r>
      <w:r>
        <w:rPr>
          <w:color w:val="auto"/>
        </w:rPr>
        <w:t>”</w:t>
      </w:r>
      <w:r>
        <w:rPr>
          <w:color w:val="auto"/>
        </w:rPr>
        <w:t>的原则，依据本标准要求，确定记录内容；环境保护主管部门补充制定相关技术规范中要求增加的，在本标准基础上进行补充；排污单位还可根据自行监测管理要求补充填报管理台账内容。</w:t>
      </w:r>
    </w:p>
    <w:p w14:paraId="43454E37" w14:textId="77777777" w:rsidR="002E474C" w:rsidRDefault="00000000">
      <w:pPr>
        <w:pStyle w:val="A-z"/>
        <w:rPr>
          <w:color w:val="auto"/>
        </w:rPr>
      </w:pPr>
      <w:r>
        <w:rPr>
          <w:color w:val="auto"/>
        </w:rPr>
        <w:t>本次项目实施后，建设单位应按照自行监测计划定期开展自行监测，并将自行监测、污染物排放及落实各项环境管理要求等行为做详细记录，定期编制报告。另外，根据要求为方便实现环境管理台账的储存、分析、导出、携带等功能，环境管理记录应以电子化储存或纸质储存，妥善管理并保存三年以上备查。</w:t>
      </w:r>
    </w:p>
    <w:p w14:paraId="54D66E6B" w14:textId="77777777" w:rsidR="002E474C" w:rsidRDefault="00000000">
      <w:pPr>
        <w:pStyle w:val="31"/>
        <w:spacing w:before="120" w:after="120"/>
        <w:rPr>
          <w:color w:val="auto"/>
        </w:rPr>
      </w:pPr>
      <w:r>
        <w:rPr>
          <w:color w:val="auto"/>
          <w:lang w:val="en-US"/>
        </w:rPr>
        <w:t>事故应急调查监测方案</w:t>
      </w:r>
    </w:p>
    <w:p w14:paraId="4156E1ED" w14:textId="77777777" w:rsidR="002E474C" w:rsidRDefault="00000000">
      <w:pPr>
        <w:pStyle w:val="A-z"/>
        <w:rPr>
          <w:color w:val="auto"/>
        </w:rPr>
      </w:pPr>
      <w:r>
        <w:rPr>
          <w:color w:val="auto"/>
        </w:rPr>
        <w:t>圣雄水泥公司突发环境事件应急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w:t>
      </w:r>
      <w:r>
        <w:rPr>
          <w:color w:val="auto"/>
        </w:rPr>
        <w:t>10min</w:t>
      </w:r>
      <w:r>
        <w:rPr>
          <w:color w:val="auto"/>
        </w:rPr>
        <w:t>内、非工作时间</w:t>
      </w:r>
      <w:r>
        <w:rPr>
          <w:color w:val="auto"/>
        </w:rPr>
        <w:t>20min</w:t>
      </w:r>
      <w:r>
        <w:rPr>
          <w:color w:val="auto"/>
        </w:rPr>
        <w:t>内要到达事故现场，需实验室分析测试的项目，在采样后</w:t>
      </w:r>
      <w:r>
        <w:rPr>
          <w:color w:val="auto"/>
        </w:rPr>
        <w:t>24h</w:t>
      </w:r>
      <w:r>
        <w:rPr>
          <w:color w:val="auto"/>
        </w:rPr>
        <w:t>内必须报出，应急监测专题报告在</w:t>
      </w:r>
      <w:r>
        <w:rPr>
          <w:color w:val="auto"/>
        </w:rPr>
        <w:t>48h</w:t>
      </w:r>
      <w:r>
        <w:rPr>
          <w:color w:val="auto"/>
        </w:rPr>
        <w:t>内要报出。</w:t>
      </w:r>
      <w:r>
        <w:rPr>
          <w:color w:val="auto"/>
          <w:lang w:val="en-US"/>
        </w:rPr>
        <w:t>依据监测结果对事故性质、参数与后果进行评估，为指挥部门提供依据。</w:t>
      </w:r>
    </w:p>
    <w:p w14:paraId="3D261FE2" w14:textId="77777777" w:rsidR="002E474C" w:rsidRDefault="00000000">
      <w:pPr>
        <w:pStyle w:val="21"/>
        <w:spacing w:before="240" w:after="240"/>
        <w:rPr>
          <w:color w:val="auto"/>
        </w:rPr>
      </w:pPr>
      <w:bookmarkStart w:id="396" w:name="_Toc28090"/>
      <w:bookmarkStart w:id="397" w:name="_Toc131089654"/>
      <w:bookmarkStart w:id="398" w:name="_Toc225848887"/>
      <w:r>
        <w:rPr>
          <w:color w:val="auto"/>
        </w:rPr>
        <w:t>竣工环境保护验收</w:t>
      </w:r>
      <w:bookmarkEnd w:id="396"/>
      <w:bookmarkEnd w:id="397"/>
      <w:bookmarkEnd w:id="398"/>
    </w:p>
    <w:p w14:paraId="7AA1F252" w14:textId="77777777" w:rsidR="002E474C" w:rsidRDefault="00000000">
      <w:pPr>
        <w:pStyle w:val="A-z"/>
        <w:rPr>
          <w:color w:val="auto"/>
        </w:rPr>
      </w:pPr>
      <w:r>
        <w:rPr>
          <w:color w:val="auto"/>
          <w:lang w:val="en-US"/>
        </w:rPr>
        <w:t>根据建设项目环境管理办法，本项目污染防治设施必须与主体工程同时设计、同时施工、同时投入使用。</w:t>
      </w:r>
      <w:r>
        <w:rPr>
          <w:color w:val="auto"/>
        </w:rPr>
        <w:t>在建设项目竣工后、正式投入生产或运行前，企业按照环境影响报告书及其批复文件要求，对与主体工程配套建设的环境保护设施落实情况进行查验。</w:t>
      </w:r>
    </w:p>
    <w:p w14:paraId="31DA3019" w14:textId="77777777" w:rsidR="002E474C" w:rsidRDefault="00000000">
      <w:pPr>
        <w:pStyle w:val="31"/>
        <w:spacing w:before="120" w:after="120"/>
        <w:rPr>
          <w:color w:val="auto"/>
        </w:rPr>
      </w:pPr>
      <w:r>
        <w:rPr>
          <w:color w:val="auto"/>
        </w:rPr>
        <w:t>环境竣工验收流程</w:t>
      </w:r>
    </w:p>
    <w:p w14:paraId="1A73EFBF" w14:textId="77777777" w:rsidR="002E474C" w:rsidRDefault="00000000">
      <w:pPr>
        <w:pStyle w:val="A-z"/>
        <w:rPr>
          <w:color w:val="auto"/>
        </w:rPr>
      </w:pPr>
      <w:r>
        <w:rPr>
          <w:color w:val="auto"/>
        </w:rPr>
        <w:t>按照生态环境部制定的竣工环境保护验收技术规范，企业自行编制或委托具</w:t>
      </w:r>
      <w:r>
        <w:rPr>
          <w:color w:val="auto"/>
        </w:rPr>
        <w:lastRenderedPageBreak/>
        <w:t>备相应技术能力的机构，对建设项目环境保护设施落实情况进行调查，开展相关环境监测，编制竣工环境保护验收监测报告。</w:t>
      </w:r>
    </w:p>
    <w:p w14:paraId="6CC142DB" w14:textId="77777777" w:rsidR="002E474C" w:rsidRDefault="00000000">
      <w:pPr>
        <w:pStyle w:val="A-z"/>
        <w:rPr>
          <w:color w:val="auto"/>
        </w:rPr>
      </w:pPr>
      <w:r>
        <w:rPr>
          <w:color w:val="auto"/>
        </w:rPr>
        <w:t>企业自主验收流程示意见图</w:t>
      </w:r>
      <w:r>
        <w:rPr>
          <w:color w:val="auto"/>
        </w:rPr>
        <w:t>8.4-1</w:t>
      </w:r>
      <w:r>
        <w:rPr>
          <w:color w:val="auto"/>
        </w:rPr>
        <w:t>。</w:t>
      </w:r>
    </w:p>
    <w:p w14:paraId="4D2ECEE8" w14:textId="77777777" w:rsidR="002E474C" w:rsidRDefault="00000000">
      <w:pPr>
        <w:ind w:firstLine="480"/>
      </w:pPr>
      <w:r>
        <w:rPr>
          <w:noProof/>
        </w:rPr>
        <w:drawing>
          <wp:inline distT="0" distB="0" distL="0" distR="0" wp14:anchorId="0FE5420A" wp14:editId="692322B1">
            <wp:extent cx="4583430" cy="5610860"/>
            <wp:effectExtent l="0" t="0" r="7620" b="8890"/>
            <wp:docPr id="20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583430" cy="5610860"/>
                    </a:xfrm>
                    <a:prstGeom prst="rect">
                      <a:avLst/>
                    </a:prstGeom>
                    <a:noFill/>
                    <a:ln>
                      <a:noFill/>
                    </a:ln>
                  </pic:spPr>
                </pic:pic>
              </a:graphicData>
            </a:graphic>
          </wp:inline>
        </w:drawing>
      </w:r>
    </w:p>
    <w:p w14:paraId="17C48428" w14:textId="77777777" w:rsidR="002E474C" w:rsidRDefault="00000000">
      <w:pPr>
        <w:pStyle w:val="A--"/>
        <w:rPr>
          <w:color w:val="auto"/>
        </w:rPr>
      </w:pPr>
      <w:r>
        <w:rPr>
          <w:color w:val="auto"/>
        </w:rPr>
        <w:t>图</w:t>
      </w:r>
      <w:r>
        <w:rPr>
          <w:color w:val="auto"/>
        </w:rPr>
        <w:t xml:space="preserve">9.5-1  </w:t>
      </w:r>
      <w:r>
        <w:rPr>
          <w:color w:val="auto"/>
        </w:rPr>
        <w:t>企业自主验收流程示意图</w:t>
      </w:r>
    </w:p>
    <w:p w14:paraId="690EBF41" w14:textId="77777777" w:rsidR="002E474C" w:rsidRDefault="002E474C">
      <w:pPr>
        <w:pStyle w:val="A-z"/>
        <w:rPr>
          <w:color w:val="auto"/>
          <w:lang w:val="en-US"/>
        </w:rPr>
      </w:pPr>
    </w:p>
    <w:p w14:paraId="75CC20D0" w14:textId="77777777" w:rsidR="002E474C" w:rsidRDefault="00000000">
      <w:pPr>
        <w:pStyle w:val="31"/>
        <w:spacing w:before="120" w:after="120"/>
        <w:rPr>
          <w:color w:val="auto"/>
        </w:rPr>
      </w:pPr>
      <w:r>
        <w:rPr>
          <w:color w:val="auto"/>
        </w:rPr>
        <w:t>环境竣工验收内容</w:t>
      </w:r>
    </w:p>
    <w:p w14:paraId="3313C399" w14:textId="77777777" w:rsidR="002E474C" w:rsidRDefault="00000000">
      <w:pPr>
        <w:pStyle w:val="A-z"/>
        <w:rPr>
          <w:color w:val="auto"/>
        </w:rPr>
      </w:pPr>
      <w:r>
        <w:rPr>
          <w:color w:val="auto"/>
        </w:rPr>
        <w:t>根据《建设项目环境保护管理条例》（国务院令第</w:t>
      </w:r>
      <w:r>
        <w:rPr>
          <w:color w:val="auto"/>
        </w:rPr>
        <w:t>682</w:t>
      </w:r>
      <w:r>
        <w:rPr>
          <w:color w:val="auto"/>
        </w:rPr>
        <w:t>号），建设项目环境保护设施竣工验收由建设单位自主验收。现根据国家有关规定，提出环境保护</w:t>
      </w:r>
      <w:r>
        <w:rPr>
          <w:color w:val="auto"/>
        </w:rPr>
        <w:t>“</w:t>
      </w:r>
      <w:r>
        <w:rPr>
          <w:color w:val="auto"/>
        </w:rPr>
        <w:t>三同时</w:t>
      </w:r>
      <w:r>
        <w:rPr>
          <w:color w:val="auto"/>
        </w:rPr>
        <w:t>”</w:t>
      </w:r>
      <w:r>
        <w:rPr>
          <w:color w:val="auto"/>
        </w:rPr>
        <w:t>验收表，见表</w:t>
      </w:r>
      <w:r>
        <w:rPr>
          <w:color w:val="auto"/>
        </w:rPr>
        <w:t>8.4</w:t>
      </w:r>
      <w:r>
        <w:rPr>
          <w:color w:val="auto"/>
        </w:rPr>
        <w:noBreakHyphen/>
        <w:t>1</w:t>
      </w:r>
      <w:r>
        <w:rPr>
          <w:color w:val="auto"/>
        </w:rPr>
        <w:t>。</w:t>
      </w:r>
    </w:p>
    <w:p w14:paraId="18439E20" w14:textId="77777777" w:rsidR="002E474C" w:rsidRDefault="002E474C">
      <w:pPr>
        <w:pStyle w:val="A-z"/>
        <w:rPr>
          <w:color w:val="auto"/>
        </w:rPr>
        <w:sectPr w:rsidR="002E474C">
          <w:headerReference w:type="default" r:id="rId69"/>
          <w:pgSz w:w="11906" w:h="16838"/>
          <w:pgMar w:top="1440" w:right="1800" w:bottom="1440" w:left="1800" w:header="851" w:footer="992" w:gutter="0"/>
          <w:cols w:space="720"/>
          <w:docGrid w:linePitch="312"/>
        </w:sectPr>
      </w:pPr>
    </w:p>
    <w:p w14:paraId="7515E76C" w14:textId="77777777" w:rsidR="002E474C" w:rsidRDefault="00000000">
      <w:pPr>
        <w:pStyle w:val="A--"/>
        <w:rPr>
          <w:color w:val="auto"/>
        </w:rPr>
      </w:pPr>
      <w:bookmarkStart w:id="399" w:name="_Ref131765829"/>
      <w:bookmarkStart w:id="400" w:name="_Hlk151316177"/>
      <w:bookmarkStart w:id="401" w:name="_Hlk151312859"/>
      <w:r>
        <w:rPr>
          <w:color w:val="auto"/>
        </w:rPr>
        <w:lastRenderedPageBreak/>
        <w:t>表</w:t>
      </w:r>
      <w:r>
        <w:rPr>
          <w:color w:val="auto"/>
        </w:rPr>
        <w:t>8.4</w:t>
      </w:r>
      <w:r>
        <w:rPr>
          <w:color w:val="auto"/>
        </w:rPr>
        <w:noBreakHyphen/>
        <w:t>1</w:t>
      </w:r>
      <w:bookmarkEnd w:id="399"/>
      <w:r>
        <w:rPr>
          <w:color w:val="auto"/>
        </w:rPr>
        <w:t xml:space="preserve">  </w:t>
      </w:r>
      <w:r>
        <w:rPr>
          <w:color w:val="auto"/>
        </w:rPr>
        <w:t>项目环境保护设施</w:t>
      </w:r>
      <w:r>
        <w:rPr>
          <w:color w:val="auto"/>
        </w:rPr>
        <w:t>“</w:t>
      </w:r>
      <w:r>
        <w:rPr>
          <w:color w:val="auto"/>
        </w:rPr>
        <w:t>三同时</w:t>
      </w:r>
      <w:r>
        <w:rPr>
          <w:color w:val="auto"/>
        </w:rPr>
        <w:t>”</w:t>
      </w:r>
      <w:r>
        <w:rPr>
          <w:color w:val="auto"/>
        </w:rPr>
        <w:t>验收表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51"/>
        <w:gridCol w:w="820"/>
        <w:gridCol w:w="974"/>
        <w:gridCol w:w="3656"/>
        <w:gridCol w:w="3296"/>
        <w:gridCol w:w="3103"/>
      </w:tblGrid>
      <w:tr w:rsidR="002E474C" w14:paraId="4CBB3223" w14:textId="77777777">
        <w:trPr>
          <w:trHeight w:val="283"/>
          <w:tblHeader/>
        </w:trPr>
        <w:tc>
          <w:tcPr>
            <w:tcW w:w="237" w:type="pct"/>
            <w:vAlign w:val="center"/>
          </w:tcPr>
          <w:p w14:paraId="645C041B" w14:textId="77777777" w:rsidR="002E474C" w:rsidRDefault="00000000">
            <w:pPr>
              <w:pStyle w:val="A-"/>
            </w:pPr>
            <w:r>
              <w:t>序号</w:t>
            </w:r>
          </w:p>
        </w:tc>
        <w:tc>
          <w:tcPr>
            <w:tcW w:w="594" w:type="pct"/>
            <w:gridSpan w:val="2"/>
            <w:vAlign w:val="center"/>
          </w:tcPr>
          <w:p w14:paraId="391672F9" w14:textId="77777777" w:rsidR="002E474C" w:rsidRDefault="00000000">
            <w:pPr>
              <w:pStyle w:val="A-"/>
            </w:pPr>
            <w:r>
              <w:t>污染源名称</w:t>
            </w:r>
          </w:p>
        </w:tc>
        <w:tc>
          <w:tcPr>
            <w:tcW w:w="368" w:type="pct"/>
            <w:vAlign w:val="center"/>
          </w:tcPr>
          <w:p w14:paraId="2D459B44" w14:textId="77777777" w:rsidR="002E474C" w:rsidRDefault="00000000">
            <w:pPr>
              <w:pStyle w:val="A-"/>
            </w:pPr>
            <w:r>
              <w:t>数量</w:t>
            </w:r>
          </w:p>
        </w:tc>
        <w:tc>
          <w:tcPr>
            <w:tcW w:w="1382" w:type="pct"/>
            <w:vAlign w:val="center"/>
          </w:tcPr>
          <w:p w14:paraId="62624D41" w14:textId="77777777" w:rsidR="002E474C" w:rsidRDefault="00000000">
            <w:pPr>
              <w:pStyle w:val="A-"/>
            </w:pPr>
            <w:r>
              <w:t>措施规模及内容</w:t>
            </w:r>
          </w:p>
        </w:tc>
        <w:tc>
          <w:tcPr>
            <w:tcW w:w="1246" w:type="pct"/>
            <w:vAlign w:val="center"/>
          </w:tcPr>
          <w:p w14:paraId="703A9060" w14:textId="77777777" w:rsidR="002E474C" w:rsidRDefault="00000000">
            <w:pPr>
              <w:pStyle w:val="A-"/>
            </w:pPr>
            <w:r>
              <w:t>监测点位及监测因子</w:t>
            </w:r>
          </w:p>
        </w:tc>
        <w:tc>
          <w:tcPr>
            <w:tcW w:w="1173" w:type="pct"/>
            <w:vAlign w:val="center"/>
          </w:tcPr>
          <w:p w14:paraId="11C1A3F2" w14:textId="77777777" w:rsidR="002E474C" w:rsidRDefault="00000000">
            <w:pPr>
              <w:pStyle w:val="A-"/>
            </w:pPr>
            <w:r>
              <w:t>验收内容及要求</w:t>
            </w:r>
          </w:p>
        </w:tc>
      </w:tr>
      <w:tr w:rsidR="002E474C" w14:paraId="2366EDB2" w14:textId="77777777">
        <w:trPr>
          <w:trHeight w:val="283"/>
        </w:trPr>
        <w:tc>
          <w:tcPr>
            <w:tcW w:w="237" w:type="pct"/>
            <w:vAlign w:val="center"/>
          </w:tcPr>
          <w:p w14:paraId="447F3D89" w14:textId="77777777" w:rsidR="002E474C" w:rsidRDefault="00000000">
            <w:pPr>
              <w:pStyle w:val="A-"/>
            </w:pPr>
            <w:r>
              <w:t>一</w:t>
            </w:r>
          </w:p>
        </w:tc>
        <w:tc>
          <w:tcPr>
            <w:tcW w:w="4763" w:type="pct"/>
            <w:gridSpan w:val="6"/>
            <w:vAlign w:val="center"/>
          </w:tcPr>
          <w:p w14:paraId="60687BEC" w14:textId="77777777" w:rsidR="002E474C" w:rsidRDefault="00000000">
            <w:pPr>
              <w:pStyle w:val="A-"/>
            </w:pPr>
            <w:r>
              <w:t>废气防治设施</w:t>
            </w:r>
          </w:p>
        </w:tc>
      </w:tr>
      <w:tr w:rsidR="002E474C" w14:paraId="0B82ED0A" w14:textId="77777777">
        <w:trPr>
          <w:trHeight w:val="283"/>
        </w:trPr>
        <w:tc>
          <w:tcPr>
            <w:tcW w:w="237" w:type="pct"/>
            <w:vAlign w:val="center"/>
          </w:tcPr>
          <w:p w14:paraId="3EB97ACA" w14:textId="77777777" w:rsidR="002E474C" w:rsidRDefault="00000000">
            <w:pPr>
              <w:pStyle w:val="A-"/>
            </w:pPr>
            <w:r>
              <w:t>1</w:t>
            </w:r>
          </w:p>
        </w:tc>
        <w:tc>
          <w:tcPr>
            <w:tcW w:w="284" w:type="pct"/>
            <w:vAlign w:val="center"/>
          </w:tcPr>
          <w:p w14:paraId="6CA868E7" w14:textId="77777777" w:rsidR="002E474C" w:rsidRDefault="00000000">
            <w:pPr>
              <w:pStyle w:val="A-"/>
            </w:pPr>
            <w:r>
              <w:t>运输过程</w:t>
            </w:r>
          </w:p>
        </w:tc>
        <w:tc>
          <w:tcPr>
            <w:tcW w:w="310" w:type="pct"/>
            <w:vAlign w:val="center"/>
          </w:tcPr>
          <w:p w14:paraId="13CD57BD" w14:textId="77777777" w:rsidR="002E474C" w:rsidRDefault="00000000">
            <w:pPr>
              <w:pStyle w:val="A-"/>
            </w:pPr>
            <w:r>
              <w:t>\</w:t>
            </w:r>
          </w:p>
        </w:tc>
        <w:tc>
          <w:tcPr>
            <w:tcW w:w="368" w:type="pct"/>
            <w:vAlign w:val="center"/>
          </w:tcPr>
          <w:p w14:paraId="47AB9DD7" w14:textId="77777777" w:rsidR="002E474C" w:rsidRDefault="00000000">
            <w:pPr>
              <w:pStyle w:val="A-"/>
            </w:pPr>
            <w:r>
              <w:t>\</w:t>
            </w:r>
          </w:p>
        </w:tc>
        <w:tc>
          <w:tcPr>
            <w:tcW w:w="1382" w:type="pct"/>
            <w:vAlign w:val="center"/>
          </w:tcPr>
          <w:p w14:paraId="1DD31314" w14:textId="77777777" w:rsidR="002E474C" w:rsidRDefault="00000000">
            <w:pPr>
              <w:pStyle w:val="A-"/>
            </w:pPr>
            <w:r>
              <w:t>运输车辆采用密闭且有防止废水滴漏装置的后装压缩式危废运输车，优化运输途径，避开人群密集区</w:t>
            </w:r>
          </w:p>
        </w:tc>
        <w:tc>
          <w:tcPr>
            <w:tcW w:w="1246" w:type="pct"/>
            <w:vAlign w:val="center"/>
          </w:tcPr>
          <w:p w14:paraId="458FB52A" w14:textId="77777777" w:rsidR="002E474C" w:rsidRDefault="00000000">
            <w:pPr>
              <w:pStyle w:val="A-"/>
            </w:pPr>
            <w:r>
              <w:t>/</w:t>
            </w:r>
          </w:p>
        </w:tc>
        <w:tc>
          <w:tcPr>
            <w:tcW w:w="1173" w:type="pct"/>
            <w:vAlign w:val="center"/>
          </w:tcPr>
          <w:p w14:paraId="3525F05D" w14:textId="77777777" w:rsidR="002E474C" w:rsidRDefault="00000000">
            <w:pPr>
              <w:pStyle w:val="A-"/>
            </w:pPr>
            <w:r>
              <w:t>检查落实</w:t>
            </w:r>
          </w:p>
        </w:tc>
      </w:tr>
      <w:tr w:rsidR="002E474C" w14:paraId="5D0403F5" w14:textId="77777777">
        <w:trPr>
          <w:trHeight w:val="283"/>
        </w:trPr>
        <w:tc>
          <w:tcPr>
            <w:tcW w:w="237" w:type="pct"/>
            <w:vMerge w:val="restart"/>
            <w:vAlign w:val="center"/>
          </w:tcPr>
          <w:p w14:paraId="38CC5686" w14:textId="77777777" w:rsidR="002E474C" w:rsidRDefault="00000000">
            <w:pPr>
              <w:pStyle w:val="A-"/>
            </w:pPr>
            <w:r>
              <w:t>2</w:t>
            </w:r>
          </w:p>
        </w:tc>
        <w:tc>
          <w:tcPr>
            <w:tcW w:w="284" w:type="pct"/>
            <w:vMerge w:val="restart"/>
            <w:vAlign w:val="center"/>
          </w:tcPr>
          <w:p w14:paraId="12202DDF" w14:textId="77777777" w:rsidR="002E474C" w:rsidRDefault="00000000">
            <w:pPr>
              <w:pStyle w:val="A-"/>
            </w:pPr>
            <w:r>
              <w:t>固态危废预处理车间与危废贮存库</w:t>
            </w:r>
          </w:p>
        </w:tc>
        <w:tc>
          <w:tcPr>
            <w:tcW w:w="310" w:type="pct"/>
            <w:vAlign w:val="center"/>
          </w:tcPr>
          <w:p w14:paraId="778C79A8" w14:textId="77777777" w:rsidR="002E474C" w:rsidRDefault="00000000">
            <w:pPr>
              <w:pStyle w:val="A-"/>
            </w:pPr>
            <w:r>
              <w:t>有组织废气</w:t>
            </w:r>
          </w:p>
        </w:tc>
        <w:tc>
          <w:tcPr>
            <w:tcW w:w="368" w:type="pct"/>
            <w:vAlign w:val="center"/>
          </w:tcPr>
          <w:p w14:paraId="63242454" w14:textId="77777777" w:rsidR="002E474C" w:rsidRDefault="00000000">
            <w:pPr>
              <w:pStyle w:val="A-"/>
            </w:pPr>
            <w:r>
              <w:t>1</w:t>
            </w:r>
            <w:r>
              <w:t>套</w:t>
            </w:r>
          </w:p>
        </w:tc>
        <w:tc>
          <w:tcPr>
            <w:tcW w:w="1382" w:type="pct"/>
            <w:vAlign w:val="center"/>
          </w:tcPr>
          <w:p w14:paraId="7C92A5EB" w14:textId="77777777" w:rsidR="002E474C" w:rsidRDefault="00000000">
            <w:pPr>
              <w:pStyle w:val="A-"/>
            </w:pPr>
            <w:r>
              <w:t>保持固态危废预处理车间与危废贮存库均处于微负压状态，废气经管道收集抽至两级活性炭装置，经</w:t>
            </w:r>
            <w:r>
              <w:t>15m</w:t>
            </w:r>
            <w:r>
              <w:t>排气筒排放</w:t>
            </w:r>
          </w:p>
        </w:tc>
        <w:tc>
          <w:tcPr>
            <w:tcW w:w="1246" w:type="pct"/>
            <w:vAlign w:val="center"/>
          </w:tcPr>
          <w:p w14:paraId="20F42ECB" w14:textId="77777777" w:rsidR="002E474C" w:rsidRDefault="00000000">
            <w:pPr>
              <w:pStyle w:val="A-"/>
            </w:pPr>
            <w:r>
              <w:t>排气筒：氨、硫化氢、臭气浓度、非甲烷总烃</w:t>
            </w:r>
          </w:p>
        </w:tc>
        <w:tc>
          <w:tcPr>
            <w:tcW w:w="1173" w:type="pct"/>
            <w:vAlign w:val="center"/>
          </w:tcPr>
          <w:p w14:paraId="52B3F67D" w14:textId="77777777" w:rsidR="002E474C" w:rsidRDefault="00000000">
            <w:pPr>
              <w:pStyle w:val="A-"/>
            </w:pPr>
            <w:r>
              <w:rPr>
                <w:spacing w:val="-6"/>
              </w:rPr>
              <w:t>H</w:t>
            </w:r>
            <w:r>
              <w:rPr>
                <w:spacing w:val="-6"/>
                <w:vertAlign w:val="subscript"/>
              </w:rPr>
              <w:t>2</w:t>
            </w:r>
            <w:r>
              <w:rPr>
                <w:spacing w:val="-6"/>
              </w:rPr>
              <w:t>S</w:t>
            </w:r>
            <w:r>
              <w:rPr>
                <w:spacing w:val="-6"/>
              </w:rPr>
              <w:t>、</w:t>
            </w:r>
            <w:r>
              <w:rPr>
                <w:spacing w:val="-6"/>
              </w:rPr>
              <w:t>NH</w:t>
            </w:r>
            <w:r>
              <w:rPr>
                <w:spacing w:val="-6"/>
                <w:vertAlign w:val="subscript"/>
              </w:rPr>
              <w:t>3</w:t>
            </w:r>
            <w:r>
              <w:rPr>
                <w:spacing w:val="-6"/>
              </w:rPr>
              <w:t>执行</w:t>
            </w:r>
            <w:r>
              <w:t>《恶臭污染物排放标准》（</w:t>
            </w:r>
            <w:r>
              <w:t>GB14554-93</w:t>
            </w:r>
            <w:r>
              <w:t>）表</w:t>
            </w:r>
            <w:r>
              <w:t>2</w:t>
            </w:r>
            <w:r>
              <w:t>，</w:t>
            </w:r>
            <w:r>
              <w:rPr>
                <w:spacing w:val="-6"/>
              </w:rPr>
              <w:t>非甲烷总烃执行</w:t>
            </w:r>
            <w:r>
              <w:t>《大气污染物综合排放标准》（</w:t>
            </w:r>
            <w:r>
              <w:t>GB16297-1996</w:t>
            </w:r>
            <w:r>
              <w:t>）表</w:t>
            </w:r>
            <w:r>
              <w:t>2</w:t>
            </w:r>
            <w:r>
              <w:rPr>
                <w:spacing w:val="-6"/>
              </w:rPr>
              <w:t>。</w:t>
            </w:r>
          </w:p>
        </w:tc>
      </w:tr>
      <w:tr w:rsidR="002E474C" w14:paraId="1D860FB3" w14:textId="77777777">
        <w:trPr>
          <w:trHeight w:val="283"/>
        </w:trPr>
        <w:tc>
          <w:tcPr>
            <w:tcW w:w="237" w:type="pct"/>
            <w:vMerge/>
            <w:vAlign w:val="center"/>
          </w:tcPr>
          <w:p w14:paraId="7E18B314" w14:textId="77777777" w:rsidR="002E474C" w:rsidRDefault="002E474C">
            <w:pPr>
              <w:pStyle w:val="A-"/>
            </w:pPr>
          </w:p>
        </w:tc>
        <w:tc>
          <w:tcPr>
            <w:tcW w:w="284" w:type="pct"/>
            <w:vMerge/>
            <w:vAlign w:val="center"/>
          </w:tcPr>
          <w:p w14:paraId="149B07BF" w14:textId="77777777" w:rsidR="002E474C" w:rsidRDefault="002E474C">
            <w:pPr>
              <w:pStyle w:val="A-"/>
            </w:pPr>
          </w:p>
        </w:tc>
        <w:tc>
          <w:tcPr>
            <w:tcW w:w="310" w:type="pct"/>
            <w:vAlign w:val="center"/>
          </w:tcPr>
          <w:p w14:paraId="1A84D912" w14:textId="77777777" w:rsidR="002E474C" w:rsidRDefault="00000000">
            <w:pPr>
              <w:pStyle w:val="A-"/>
            </w:pPr>
            <w:r>
              <w:t>无组织废气</w:t>
            </w:r>
          </w:p>
        </w:tc>
        <w:tc>
          <w:tcPr>
            <w:tcW w:w="368" w:type="pct"/>
            <w:vAlign w:val="center"/>
          </w:tcPr>
          <w:p w14:paraId="7588413B" w14:textId="77777777" w:rsidR="002E474C" w:rsidRDefault="00000000">
            <w:pPr>
              <w:pStyle w:val="A-"/>
            </w:pPr>
            <w:r>
              <w:t>\</w:t>
            </w:r>
          </w:p>
        </w:tc>
        <w:tc>
          <w:tcPr>
            <w:tcW w:w="1382" w:type="pct"/>
            <w:vAlign w:val="center"/>
          </w:tcPr>
          <w:p w14:paraId="073B6F65" w14:textId="77777777" w:rsidR="002E474C" w:rsidRDefault="00000000">
            <w:pPr>
              <w:pStyle w:val="A-"/>
            </w:pPr>
            <w:r>
              <w:t>固态危废预处理车间与危废贮存库均采取密闭负压设计，设置电动卷闸门，采用机械通风；破碎间采用集气罩</w:t>
            </w:r>
            <w:r>
              <w:t>+</w:t>
            </w:r>
            <w:r>
              <w:t>布袋除尘器处理含尘废气</w:t>
            </w:r>
          </w:p>
        </w:tc>
        <w:tc>
          <w:tcPr>
            <w:tcW w:w="1246" w:type="pct"/>
            <w:vAlign w:val="center"/>
          </w:tcPr>
          <w:p w14:paraId="0E2D2C05" w14:textId="77777777" w:rsidR="002E474C" w:rsidRDefault="00000000">
            <w:pPr>
              <w:pStyle w:val="A-"/>
            </w:pPr>
            <w:r>
              <w:t>厂界：氨、硫化氢、臭气浓度、非甲烷总烃</w:t>
            </w:r>
          </w:p>
          <w:p w14:paraId="75FE6360" w14:textId="77777777" w:rsidR="002E474C" w:rsidRDefault="00000000">
            <w:pPr>
              <w:pStyle w:val="A-"/>
            </w:pPr>
            <w:r>
              <w:t>厂内：非甲烷总烃</w:t>
            </w:r>
          </w:p>
        </w:tc>
        <w:tc>
          <w:tcPr>
            <w:tcW w:w="1173" w:type="pct"/>
            <w:vAlign w:val="center"/>
          </w:tcPr>
          <w:p w14:paraId="3B37567B" w14:textId="77777777" w:rsidR="002E474C" w:rsidRDefault="00000000">
            <w:pPr>
              <w:pStyle w:val="A-"/>
            </w:pPr>
            <w:r>
              <w:rPr>
                <w:spacing w:val="-6"/>
              </w:rPr>
              <w:t>厂界</w:t>
            </w:r>
            <w:r>
              <w:rPr>
                <w:spacing w:val="-6"/>
              </w:rPr>
              <w:t>H</w:t>
            </w:r>
            <w:r>
              <w:rPr>
                <w:spacing w:val="-6"/>
                <w:vertAlign w:val="subscript"/>
              </w:rPr>
              <w:t>2</w:t>
            </w:r>
            <w:r>
              <w:rPr>
                <w:spacing w:val="-6"/>
              </w:rPr>
              <w:t>S</w:t>
            </w:r>
            <w:r>
              <w:rPr>
                <w:spacing w:val="-6"/>
              </w:rPr>
              <w:t>、臭气浓度</w:t>
            </w:r>
            <w:r>
              <w:t>执行《恶臭污染物排放标准》（</w:t>
            </w:r>
            <w:r>
              <w:t>GB14554-93</w:t>
            </w:r>
            <w:r>
              <w:t>）表</w:t>
            </w:r>
            <w:r>
              <w:t>1</w:t>
            </w:r>
            <w:r>
              <w:t>，</w:t>
            </w:r>
            <w:bookmarkStart w:id="402" w:name="OLE_LINK66"/>
            <w:r>
              <w:t>氨执行《水泥工业大气污染物排放标准》（</w:t>
            </w:r>
            <w:r>
              <w:rPr>
                <w:rFonts w:hint="eastAsia"/>
              </w:rPr>
              <w:t>GB 4915-2013</w:t>
            </w:r>
            <w:r>
              <w:rPr>
                <w:rFonts w:hint="eastAsia"/>
              </w:rPr>
              <w:t>，含</w:t>
            </w:r>
            <w:r>
              <w:rPr>
                <w:rFonts w:hint="eastAsia"/>
              </w:rPr>
              <w:t>2025</w:t>
            </w:r>
            <w:r>
              <w:rPr>
                <w:rFonts w:hint="eastAsia"/>
              </w:rPr>
              <w:t>年修改单</w:t>
            </w:r>
            <w:r>
              <w:t>）表</w:t>
            </w:r>
            <w:r>
              <w:t>3</w:t>
            </w:r>
            <w:bookmarkEnd w:id="402"/>
            <w:r>
              <w:t>，</w:t>
            </w:r>
            <w:r>
              <w:t>NMHC</w:t>
            </w:r>
            <w:r>
              <w:t>执行《大气污染物综合排放标准》（</w:t>
            </w:r>
            <w:r>
              <w:t>GB16297-1996</w:t>
            </w:r>
            <w:r>
              <w:t>）表</w:t>
            </w:r>
            <w:r>
              <w:t>2</w:t>
            </w:r>
            <w:r>
              <w:t>。</w:t>
            </w:r>
          </w:p>
          <w:p w14:paraId="54FD8938" w14:textId="77777777" w:rsidR="002E474C" w:rsidRDefault="00000000">
            <w:pPr>
              <w:pStyle w:val="A-"/>
            </w:pPr>
            <w:r>
              <w:t>厂内</w:t>
            </w:r>
            <w:r>
              <w:t>NMHC</w:t>
            </w:r>
            <w:r>
              <w:t>执行《挥发性有机物无组织排放控制标准》（</w:t>
            </w:r>
            <w:r>
              <w:t>GB 37822-2019</w:t>
            </w:r>
            <w:r>
              <w:t>）表</w:t>
            </w:r>
            <w:r>
              <w:t>A.1</w:t>
            </w:r>
          </w:p>
        </w:tc>
      </w:tr>
      <w:tr w:rsidR="002E474C" w14:paraId="42F35538" w14:textId="77777777">
        <w:trPr>
          <w:trHeight w:val="283"/>
        </w:trPr>
        <w:tc>
          <w:tcPr>
            <w:tcW w:w="237" w:type="pct"/>
            <w:vAlign w:val="center"/>
          </w:tcPr>
          <w:p w14:paraId="3B14FE26" w14:textId="77777777" w:rsidR="002E474C" w:rsidRDefault="00000000">
            <w:pPr>
              <w:pStyle w:val="A-"/>
            </w:pPr>
            <w:r>
              <w:t>3</w:t>
            </w:r>
          </w:p>
        </w:tc>
        <w:tc>
          <w:tcPr>
            <w:tcW w:w="284" w:type="pct"/>
            <w:vAlign w:val="center"/>
          </w:tcPr>
          <w:p w14:paraId="2F66D385" w14:textId="77777777" w:rsidR="002E474C" w:rsidRDefault="00000000">
            <w:pPr>
              <w:pStyle w:val="A-"/>
            </w:pPr>
            <w:r>
              <w:t>水泥窑</w:t>
            </w:r>
          </w:p>
        </w:tc>
        <w:tc>
          <w:tcPr>
            <w:tcW w:w="310" w:type="pct"/>
            <w:vAlign w:val="center"/>
          </w:tcPr>
          <w:p w14:paraId="16CD5562" w14:textId="77777777" w:rsidR="002E474C" w:rsidRDefault="00000000">
            <w:pPr>
              <w:pStyle w:val="A-"/>
            </w:pPr>
            <w:r>
              <w:t>焚烧废气</w:t>
            </w:r>
          </w:p>
        </w:tc>
        <w:tc>
          <w:tcPr>
            <w:tcW w:w="368" w:type="pct"/>
            <w:vAlign w:val="center"/>
          </w:tcPr>
          <w:p w14:paraId="5E514FB1" w14:textId="77777777" w:rsidR="002E474C" w:rsidRDefault="00000000">
            <w:pPr>
              <w:pStyle w:val="A-"/>
            </w:pPr>
            <w:r>
              <w:t>1</w:t>
            </w:r>
            <w:r>
              <w:t>套</w:t>
            </w:r>
          </w:p>
        </w:tc>
        <w:tc>
          <w:tcPr>
            <w:tcW w:w="1382" w:type="pct"/>
            <w:vAlign w:val="center"/>
          </w:tcPr>
          <w:p w14:paraId="706B10E4" w14:textId="77777777" w:rsidR="002E474C" w:rsidRDefault="00000000">
            <w:pPr>
              <w:pStyle w:val="A-"/>
            </w:pPr>
            <w:r>
              <w:t>依托现有设施，窑尾废气采用</w:t>
            </w:r>
            <w:r>
              <w:t>SNCR+SCR+</w:t>
            </w:r>
            <w:r>
              <w:t>增湿塔（急冷）</w:t>
            </w:r>
            <w:r>
              <w:t>+</w:t>
            </w:r>
            <w:r>
              <w:t>电袋除尘</w:t>
            </w:r>
            <w:r>
              <w:t>+85m</w:t>
            </w:r>
            <w:r>
              <w:t>烟囱，在线监测装置</w:t>
            </w:r>
          </w:p>
        </w:tc>
        <w:tc>
          <w:tcPr>
            <w:tcW w:w="1246" w:type="pct"/>
            <w:vAlign w:val="center"/>
          </w:tcPr>
          <w:p w14:paraId="5673E1A1" w14:textId="77777777" w:rsidR="002E474C" w:rsidRDefault="00000000">
            <w:pPr>
              <w:pStyle w:val="A-"/>
              <w:ind w:leftChars="-50" w:left="-105" w:rightChars="-50" w:right="-105"/>
            </w:pPr>
            <w:r>
              <w:t>汞及其化合物、氯化氢（</w:t>
            </w:r>
            <w:r>
              <w:t>HCl</w:t>
            </w:r>
            <w:r>
              <w:t>）、氟化氢（</w:t>
            </w:r>
            <w:r>
              <w:t>HF</w:t>
            </w:r>
            <w:r>
              <w:t>）、汞及其化合物、铊、镉、铅、砷及其化合物（以</w:t>
            </w:r>
            <w:proofErr w:type="spellStart"/>
            <w:r>
              <w:t>Tl+Cd+Pb+As</w:t>
            </w:r>
            <w:proofErr w:type="spellEnd"/>
            <w:r>
              <w:t>计）、铍、锡、锑、铜、钴、锰、镍、钒及其化合物（以</w:t>
            </w:r>
            <w:proofErr w:type="spellStart"/>
            <w:r>
              <w:t>Be+Cr+Sn+Sb+Cu+Co+Mn+Ni+V</w:t>
            </w:r>
            <w:proofErr w:type="spellEnd"/>
            <w:r>
              <w:t>计）、总有机碳（</w:t>
            </w:r>
            <w:r>
              <w:t>TOC</w:t>
            </w:r>
            <w:r>
              <w:t>）、二噁英类</w:t>
            </w:r>
          </w:p>
        </w:tc>
        <w:tc>
          <w:tcPr>
            <w:tcW w:w="1173" w:type="pct"/>
            <w:vAlign w:val="center"/>
          </w:tcPr>
          <w:p w14:paraId="36A3BF6C" w14:textId="77777777" w:rsidR="002E474C" w:rsidRDefault="00000000">
            <w:pPr>
              <w:pStyle w:val="A-"/>
            </w:pPr>
            <w:r>
              <w:t>《水泥窑协同处置固体废物污染控制标准》（</w:t>
            </w:r>
            <w:r>
              <w:t>GB30485-2013</w:t>
            </w:r>
            <w:r>
              <w:t>）表</w:t>
            </w:r>
            <w:r>
              <w:t>1</w:t>
            </w:r>
          </w:p>
        </w:tc>
      </w:tr>
      <w:tr w:rsidR="002E474C" w14:paraId="5B1AA220" w14:textId="77777777">
        <w:trPr>
          <w:trHeight w:val="283"/>
        </w:trPr>
        <w:tc>
          <w:tcPr>
            <w:tcW w:w="237" w:type="pct"/>
            <w:vAlign w:val="center"/>
          </w:tcPr>
          <w:p w14:paraId="0C192E06" w14:textId="77777777" w:rsidR="002E474C" w:rsidRDefault="00000000">
            <w:pPr>
              <w:pStyle w:val="A-"/>
            </w:pPr>
            <w:r>
              <w:lastRenderedPageBreak/>
              <w:t>二</w:t>
            </w:r>
          </w:p>
        </w:tc>
        <w:tc>
          <w:tcPr>
            <w:tcW w:w="4763" w:type="pct"/>
            <w:gridSpan w:val="6"/>
          </w:tcPr>
          <w:p w14:paraId="3D074624" w14:textId="77777777" w:rsidR="002E474C" w:rsidRDefault="00000000">
            <w:pPr>
              <w:pStyle w:val="A-"/>
            </w:pPr>
            <w:r>
              <w:t>废水防治设施</w:t>
            </w:r>
          </w:p>
        </w:tc>
      </w:tr>
      <w:tr w:rsidR="002E474C" w14:paraId="6E2B9CC1" w14:textId="77777777">
        <w:trPr>
          <w:trHeight w:val="283"/>
        </w:trPr>
        <w:tc>
          <w:tcPr>
            <w:tcW w:w="237" w:type="pct"/>
            <w:vAlign w:val="center"/>
          </w:tcPr>
          <w:p w14:paraId="27CA97AB" w14:textId="77777777" w:rsidR="002E474C" w:rsidRDefault="00000000">
            <w:pPr>
              <w:pStyle w:val="A-"/>
            </w:pPr>
            <w:r>
              <w:t>1</w:t>
            </w:r>
          </w:p>
        </w:tc>
        <w:tc>
          <w:tcPr>
            <w:tcW w:w="594" w:type="pct"/>
            <w:gridSpan w:val="2"/>
            <w:vAlign w:val="center"/>
          </w:tcPr>
          <w:p w14:paraId="22294022" w14:textId="77777777" w:rsidR="002E474C" w:rsidRDefault="00000000">
            <w:pPr>
              <w:pStyle w:val="A-"/>
            </w:pPr>
            <w:r>
              <w:t>生产废水</w:t>
            </w:r>
          </w:p>
        </w:tc>
        <w:tc>
          <w:tcPr>
            <w:tcW w:w="368" w:type="pct"/>
            <w:vAlign w:val="center"/>
          </w:tcPr>
          <w:p w14:paraId="238E16FE" w14:textId="77777777" w:rsidR="002E474C" w:rsidRDefault="00000000">
            <w:pPr>
              <w:pStyle w:val="A-"/>
            </w:pPr>
            <w:r>
              <w:t>1</w:t>
            </w:r>
            <w:r>
              <w:t>座</w:t>
            </w:r>
          </w:p>
        </w:tc>
        <w:tc>
          <w:tcPr>
            <w:tcW w:w="1382" w:type="pct"/>
            <w:vAlign w:val="center"/>
          </w:tcPr>
          <w:p w14:paraId="1D14E26C" w14:textId="77777777" w:rsidR="002E474C" w:rsidRDefault="00000000">
            <w:pPr>
              <w:pStyle w:val="A-"/>
            </w:pPr>
            <w:r>
              <w:t>1</w:t>
            </w:r>
            <w:r>
              <w:t>座</w:t>
            </w:r>
            <w:r>
              <w:t>1.5m³</w:t>
            </w:r>
            <w:r>
              <w:t>废水收集池及管网，经液态危废处置系统入窑焚烧</w:t>
            </w:r>
          </w:p>
        </w:tc>
        <w:tc>
          <w:tcPr>
            <w:tcW w:w="1246" w:type="pct"/>
            <w:vAlign w:val="center"/>
          </w:tcPr>
          <w:p w14:paraId="453EFC09" w14:textId="77777777" w:rsidR="002E474C" w:rsidRDefault="00000000">
            <w:pPr>
              <w:pStyle w:val="A-"/>
            </w:pPr>
            <w:r>
              <w:t>/</w:t>
            </w:r>
          </w:p>
        </w:tc>
        <w:tc>
          <w:tcPr>
            <w:tcW w:w="1173" w:type="pct"/>
            <w:vAlign w:val="center"/>
          </w:tcPr>
          <w:p w14:paraId="1C57C4F5" w14:textId="77777777" w:rsidR="002E474C" w:rsidRDefault="00000000">
            <w:pPr>
              <w:pStyle w:val="A-"/>
            </w:pPr>
            <w:r>
              <w:t>不外排</w:t>
            </w:r>
          </w:p>
        </w:tc>
      </w:tr>
      <w:tr w:rsidR="002E474C" w14:paraId="53E9DC2B" w14:textId="77777777">
        <w:trPr>
          <w:trHeight w:val="283"/>
        </w:trPr>
        <w:tc>
          <w:tcPr>
            <w:tcW w:w="237" w:type="pct"/>
            <w:vAlign w:val="center"/>
          </w:tcPr>
          <w:p w14:paraId="1A298955" w14:textId="77777777" w:rsidR="002E474C" w:rsidRDefault="00000000">
            <w:pPr>
              <w:pStyle w:val="A-"/>
            </w:pPr>
            <w:r>
              <w:t>2</w:t>
            </w:r>
          </w:p>
        </w:tc>
        <w:tc>
          <w:tcPr>
            <w:tcW w:w="594" w:type="pct"/>
            <w:gridSpan w:val="2"/>
            <w:vAlign w:val="center"/>
          </w:tcPr>
          <w:p w14:paraId="4686470A" w14:textId="77777777" w:rsidR="002E474C" w:rsidRDefault="00000000">
            <w:pPr>
              <w:pStyle w:val="A-"/>
            </w:pPr>
            <w:r>
              <w:t>渗滤液</w:t>
            </w:r>
          </w:p>
        </w:tc>
        <w:tc>
          <w:tcPr>
            <w:tcW w:w="368" w:type="pct"/>
            <w:vAlign w:val="center"/>
          </w:tcPr>
          <w:p w14:paraId="28601736" w14:textId="77777777" w:rsidR="002E474C" w:rsidRDefault="00000000">
            <w:pPr>
              <w:pStyle w:val="A-"/>
            </w:pPr>
            <w:r>
              <w:t>1</w:t>
            </w:r>
            <w:r>
              <w:t>座</w:t>
            </w:r>
          </w:p>
        </w:tc>
        <w:tc>
          <w:tcPr>
            <w:tcW w:w="1382" w:type="pct"/>
            <w:vAlign w:val="center"/>
          </w:tcPr>
          <w:p w14:paraId="09673E86" w14:textId="77777777" w:rsidR="002E474C" w:rsidRDefault="00000000">
            <w:pPr>
              <w:pStyle w:val="A-"/>
            </w:pPr>
            <w:r>
              <w:t>危废贮存库</w:t>
            </w:r>
            <w:r>
              <w:t>1</w:t>
            </w:r>
            <w:r>
              <w:t>座</w:t>
            </w:r>
            <w:r>
              <w:t>1m³</w:t>
            </w:r>
            <w:r>
              <w:t>集液池</w:t>
            </w:r>
          </w:p>
        </w:tc>
        <w:tc>
          <w:tcPr>
            <w:tcW w:w="1246" w:type="pct"/>
            <w:vAlign w:val="center"/>
          </w:tcPr>
          <w:p w14:paraId="58D64E3B" w14:textId="77777777" w:rsidR="002E474C" w:rsidRDefault="00000000">
            <w:pPr>
              <w:pStyle w:val="A-"/>
            </w:pPr>
            <w:r>
              <w:t>/</w:t>
            </w:r>
          </w:p>
        </w:tc>
        <w:tc>
          <w:tcPr>
            <w:tcW w:w="1173" w:type="pct"/>
            <w:vAlign w:val="center"/>
          </w:tcPr>
          <w:p w14:paraId="30840613" w14:textId="77777777" w:rsidR="002E474C" w:rsidRDefault="00000000">
            <w:pPr>
              <w:pStyle w:val="A-"/>
            </w:pPr>
            <w:r>
              <w:t>不外排</w:t>
            </w:r>
          </w:p>
        </w:tc>
      </w:tr>
      <w:tr w:rsidR="002E474C" w14:paraId="79C6745F" w14:textId="77777777">
        <w:trPr>
          <w:trHeight w:val="283"/>
        </w:trPr>
        <w:tc>
          <w:tcPr>
            <w:tcW w:w="237" w:type="pct"/>
            <w:vAlign w:val="center"/>
          </w:tcPr>
          <w:p w14:paraId="4DB05295" w14:textId="77777777" w:rsidR="002E474C" w:rsidRDefault="00000000">
            <w:pPr>
              <w:pStyle w:val="A-"/>
            </w:pPr>
            <w:r>
              <w:t>3</w:t>
            </w:r>
          </w:p>
        </w:tc>
        <w:tc>
          <w:tcPr>
            <w:tcW w:w="594" w:type="pct"/>
            <w:gridSpan w:val="2"/>
            <w:vAlign w:val="center"/>
          </w:tcPr>
          <w:p w14:paraId="005D0CBA" w14:textId="77777777" w:rsidR="002E474C" w:rsidRDefault="00000000">
            <w:pPr>
              <w:pStyle w:val="A-"/>
            </w:pPr>
            <w:r>
              <w:t>废液漏液</w:t>
            </w:r>
          </w:p>
        </w:tc>
        <w:tc>
          <w:tcPr>
            <w:tcW w:w="368" w:type="pct"/>
            <w:vAlign w:val="center"/>
          </w:tcPr>
          <w:p w14:paraId="0CBDF2F2" w14:textId="77777777" w:rsidR="002E474C" w:rsidRDefault="00000000">
            <w:pPr>
              <w:pStyle w:val="A-"/>
            </w:pPr>
            <w:r>
              <w:t>座</w:t>
            </w:r>
          </w:p>
        </w:tc>
        <w:tc>
          <w:tcPr>
            <w:tcW w:w="1382" w:type="pct"/>
            <w:vAlign w:val="center"/>
          </w:tcPr>
          <w:p w14:paraId="6E1DEA4E" w14:textId="77777777" w:rsidR="002E474C" w:rsidRDefault="00000000">
            <w:pPr>
              <w:pStyle w:val="A-"/>
            </w:pPr>
            <w:r>
              <w:t>液态处置车间</w:t>
            </w:r>
            <w:r>
              <w:t>1</w:t>
            </w:r>
            <w:r>
              <w:t>座</w:t>
            </w:r>
            <w:r>
              <w:t>1m³</w:t>
            </w:r>
            <w:r>
              <w:t>集液池，</w:t>
            </w:r>
          </w:p>
        </w:tc>
        <w:tc>
          <w:tcPr>
            <w:tcW w:w="1246" w:type="pct"/>
            <w:vAlign w:val="center"/>
          </w:tcPr>
          <w:p w14:paraId="0CB2A9FE" w14:textId="77777777" w:rsidR="002E474C" w:rsidRDefault="00000000">
            <w:pPr>
              <w:pStyle w:val="A-"/>
            </w:pPr>
            <w:r>
              <w:t>/</w:t>
            </w:r>
          </w:p>
        </w:tc>
        <w:tc>
          <w:tcPr>
            <w:tcW w:w="1173" w:type="pct"/>
            <w:vAlign w:val="center"/>
          </w:tcPr>
          <w:p w14:paraId="3D301C9C" w14:textId="77777777" w:rsidR="002E474C" w:rsidRDefault="00000000">
            <w:pPr>
              <w:pStyle w:val="A-"/>
            </w:pPr>
            <w:r>
              <w:t>不外排</w:t>
            </w:r>
          </w:p>
        </w:tc>
      </w:tr>
      <w:tr w:rsidR="002E474C" w14:paraId="54133CD5" w14:textId="77777777">
        <w:trPr>
          <w:trHeight w:val="283"/>
        </w:trPr>
        <w:tc>
          <w:tcPr>
            <w:tcW w:w="237" w:type="pct"/>
            <w:vAlign w:val="center"/>
          </w:tcPr>
          <w:p w14:paraId="4D6B4956" w14:textId="77777777" w:rsidR="002E474C" w:rsidRDefault="00000000">
            <w:pPr>
              <w:pStyle w:val="A-"/>
            </w:pPr>
            <w:r>
              <w:t>4</w:t>
            </w:r>
          </w:p>
        </w:tc>
        <w:tc>
          <w:tcPr>
            <w:tcW w:w="594" w:type="pct"/>
            <w:gridSpan w:val="2"/>
            <w:vAlign w:val="center"/>
          </w:tcPr>
          <w:p w14:paraId="27E94694" w14:textId="77777777" w:rsidR="002E474C" w:rsidRDefault="00000000">
            <w:pPr>
              <w:pStyle w:val="A-"/>
            </w:pPr>
            <w:r>
              <w:t>初期雨水</w:t>
            </w:r>
          </w:p>
        </w:tc>
        <w:tc>
          <w:tcPr>
            <w:tcW w:w="368" w:type="pct"/>
            <w:vAlign w:val="center"/>
          </w:tcPr>
          <w:p w14:paraId="3B45698B" w14:textId="77777777" w:rsidR="002E474C" w:rsidRDefault="00000000">
            <w:pPr>
              <w:pStyle w:val="A-"/>
            </w:pPr>
            <w:r>
              <w:t>1</w:t>
            </w:r>
            <w:r>
              <w:t>座</w:t>
            </w:r>
          </w:p>
        </w:tc>
        <w:tc>
          <w:tcPr>
            <w:tcW w:w="1382" w:type="pct"/>
            <w:vAlign w:val="center"/>
          </w:tcPr>
          <w:p w14:paraId="70EEC1CD" w14:textId="77777777" w:rsidR="002E474C" w:rsidRDefault="00000000">
            <w:pPr>
              <w:pStyle w:val="A-"/>
            </w:pPr>
            <w:r>
              <w:t>1</w:t>
            </w:r>
            <w:r>
              <w:t>座</w:t>
            </w:r>
            <w:r>
              <w:t>21m³</w:t>
            </w:r>
            <w:r>
              <w:t>初期雨水池及管网，经液态危废处置系统入窑焚烧</w:t>
            </w:r>
          </w:p>
        </w:tc>
        <w:tc>
          <w:tcPr>
            <w:tcW w:w="1246" w:type="pct"/>
            <w:vAlign w:val="center"/>
          </w:tcPr>
          <w:p w14:paraId="128DBA2E" w14:textId="77777777" w:rsidR="002E474C" w:rsidRDefault="00000000">
            <w:pPr>
              <w:pStyle w:val="A-"/>
            </w:pPr>
            <w:r>
              <w:t>/</w:t>
            </w:r>
          </w:p>
        </w:tc>
        <w:tc>
          <w:tcPr>
            <w:tcW w:w="1173" w:type="pct"/>
            <w:vAlign w:val="center"/>
          </w:tcPr>
          <w:p w14:paraId="622C2EFB" w14:textId="77777777" w:rsidR="002E474C" w:rsidRDefault="00000000">
            <w:pPr>
              <w:pStyle w:val="A-"/>
            </w:pPr>
            <w:r>
              <w:t>不外排</w:t>
            </w:r>
          </w:p>
        </w:tc>
      </w:tr>
      <w:tr w:rsidR="002E474C" w14:paraId="3B9556CC" w14:textId="77777777">
        <w:trPr>
          <w:trHeight w:val="283"/>
        </w:trPr>
        <w:tc>
          <w:tcPr>
            <w:tcW w:w="237" w:type="pct"/>
            <w:vAlign w:val="center"/>
          </w:tcPr>
          <w:p w14:paraId="01119591" w14:textId="77777777" w:rsidR="002E474C" w:rsidRDefault="00000000">
            <w:pPr>
              <w:pStyle w:val="A-"/>
            </w:pPr>
            <w:r>
              <w:t>5</w:t>
            </w:r>
          </w:p>
        </w:tc>
        <w:tc>
          <w:tcPr>
            <w:tcW w:w="594" w:type="pct"/>
            <w:gridSpan w:val="2"/>
            <w:vAlign w:val="center"/>
          </w:tcPr>
          <w:p w14:paraId="1AA39B84" w14:textId="77777777" w:rsidR="002E474C" w:rsidRDefault="00000000">
            <w:pPr>
              <w:pStyle w:val="A-"/>
            </w:pPr>
            <w:r>
              <w:t>生活污水</w:t>
            </w:r>
          </w:p>
        </w:tc>
        <w:tc>
          <w:tcPr>
            <w:tcW w:w="368" w:type="pct"/>
            <w:vAlign w:val="center"/>
          </w:tcPr>
          <w:p w14:paraId="1191E781" w14:textId="77777777" w:rsidR="002E474C" w:rsidRDefault="00000000">
            <w:pPr>
              <w:pStyle w:val="A-"/>
            </w:pPr>
            <w:r>
              <w:t>/</w:t>
            </w:r>
          </w:p>
        </w:tc>
        <w:tc>
          <w:tcPr>
            <w:tcW w:w="1382" w:type="pct"/>
            <w:vAlign w:val="center"/>
          </w:tcPr>
          <w:p w14:paraId="256B08F5" w14:textId="77777777" w:rsidR="002E474C" w:rsidRDefault="00000000">
            <w:pPr>
              <w:pStyle w:val="A-"/>
            </w:pPr>
            <w:r>
              <w:t>厂内综合污水处理站</w:t>
            </w:r>
          </w:p>
        </w:tc>
        <w:tc>
          <w:tcPr>
            <w:tcW w:w="1246" w:type="pct"/>
            <w:vAlign w:val="center"/>
          </w:tcPr>
          <w:p w14:paraId="16436CF8" w14:textId="77777777" w:rsidR="002E474C" w:rsidRDefault="00000000">
            <w:pPr>
              <w:pStyle w:val="A-"/>
            </w:pPr>
            <w:r>
              <w:t>回用水出口：</w:t>
            </w:r>
            <w:r>
              <w:t>pH</w:t>
            </w:r>
            <w:r>
              <w:t>、</w:t>
            </w:r>
            <w:proofErr w:type="spellStart"/>
            <w:r>
              <w:t>CODcr</w:t>
            </w:r>
            <w:proofErr w:type="spellEnd"/>
            <w:r>
              <w:t>、</w:t>
            </w:r>
            <w:r>
              <w:t>BOD</w:t>
            </w:r>
            <w:r>
              <w:rPr>
                <w:vertAlign w:val="subscript"/>
              </w:rPr>
              <w:t>5</w:t>
            </w:r>
            <w:r>
              <w:t>、氨氮、</w:t>
            </w:r>
            <w:r>
              <w:t>SS</w:t>
            </w:r>
            <w:r>
              <w:t>、石油类、氟化物</w:t>
            </w:r>
          </w:p>
        </w:tc>
        <w:tc>
          <w:tcPr>
            <w:tcW w:w="1173" w:type="pct"/>
            <w:vAlign w:val="center"/>
          </w:tcPr>
          <w:p w14:paraId="33B82CA4" w14:textId="77777777" w:rsidR="002E474C" w:rsidRDefault="00000000">
            <w:pPr>
              <w:pStyle w:val="A-"/>
            </w:pPr>
            <w:r>
              <w:t>《污水综合排放标准》（</w:t>
            </w:r>
            <w:r>
              <w:t>GB8978-1996</w:t>
            </w:r>
            <w:r>
              <w:t>）中</w:t>
            </w:r>
            <w:r>
              <w:rPr>
                <w:rFonts w:hint="eastAsia"/>
              </w:rPr>
              <w:t>表</w:t>
            </w:r>
            <w:r>
              <w:rPr>
                <w:rFonts w:hint="eastAsia"/>
              </w:rPr>
              <w:t>4</w:t>
            </w:r>
            <w:r>
              <w:t>二级标准，不外排</w:t>
            </w:r>
          </w:p>
        </w:tc>
      </w:tr>
      <w:tr w:rsidR="002E474C" w14:paraId="704F5B56" w14:textId="77777777">
        <w:trPr>
          <w:trHeight w:val="283"/>
        </w:trPr>
        <w:tc>
          <w:tcPr>
            <w:tcW w:w="237" w:type="pct"/>
            <w:vAlign w:val="center"/>
          </w:tcPr>
          <w:p w14:paraId="6B2FAFAE" w14:textId="77777777" w:rsidR="002E474C" w:rsidRDefault="00000000">
            <w:pPr>
              <w:pStyle w:val="A-"/>
            </w:pPr>
            <w:r>
              <w:t>三</w:t>
            </w:r>
          </w:p>
        </w:tc>
        <w:tc>
          <w:tcPr>
            <w:tcW w:w="594" w:type="pct"/>
            <w:gridSpan w:val="2"/>
            <w:vAlign w:val="center"/>
          </w:tcPr>
          <w:p w14:paraId="1F738705" w14:textId="77777777" w:rsidR="002E474C" w:rsidRDefault="00000000">
            <w:pPr>
              <w:pStyle w:val="A-"/>
            </w:pPr>
            <w:r>
              <w:t>地下水防渗</w:t>
            </w:r>
          </w:p>
        </w:tc>
        <w:tc>
          <w:tcPr>
            <w:tcW w:w="368" w:type="pct"/>
            <w:vAlign w:val="center"/>
          </w:tcPr>
          <w:p w14:paraId="2E0F985E" w14:textId="77777777" w:rsidR="002E474C" w:rsidRDefault="00000000">
            <w:pPr>
              <w:pStyle w:val="A-"/>
            </w:pPr>
            <w:r>
              <w:t>\</w:t>
            </w:r>
          </w:p>
        </w:tc>
        <w:tc>
          <w:tcPr>
            <w:tcW w:w="1382" w:type="pct"/>
            <w:vAlign w:val="center"/>
          </w:tcPr>
          <w:p w14:paraId="275527EA" w14:textId="77777777" w:rsidR="002E474C" w:rsidRDefault="00000000">
            <w:pPr>
              <w:pStyle w:val="A-"/>
            </w:pPr>
            <w:r>
              <w:t>按照重点、一般和简单防渗区要求进行防渗，并设置至少</w:t>
            </w:r>
            <w:r>
              <w:t>3</w:t>
            </w:r>
            <w:r>
              <w:t>眼地下水监测井</w:t>
            </w:r>
          </w:p>
        </w:tc>
        <w:tc>
          <w:tcPr>
            <w:tcW w:w="1246" w:type="pct"/>
            <w:vAlign w:val="center"/>
          </w:tcPr>
          <w:p w14:paraId="08E906B7" w14:textId="77777777" w:rsidR="002E474C" w:rsidRDefault="00000000">
            <w:pPr>
              <w:pStyle w:val="A-"/>
            </w:pPr>
            <w:r>
              <w:t>/</w:t>
            </w:r>
          </w:p>
        </w:tc>
        <w:tc>
          <w:tcPr>
            <w:tcW w:w="1173" w:type="pct"/>
            <w:vAlign w:val="center"/>
          </w:tcPr>
          <w:p w14:paraId="6EB351A0" w14:textId="77777777" w:rsidR="002E474C" w:rsidRDefault="00000000">
            <w:pPr>
              <w:pStyle w:val="A-"/>
            </w:pPr>
            <w:r>
              <w:t>检查落实防渗工程验收资料</w:t>
            </w:r>
          </w:p>
        </w:tc>
      </w:tr>
      <w:tr w:rsidR="002E474C" w14:paraId="0F9E2325" w14:textId="77777777">
        <w:trPr>
          <w:trHeight w:val="283"/>
        </w:trPr>
        <w:tc>
          <w:tcPr>
            <w:tcW w:w="237" w:type="pct"/>
            <w:vAlign w:val="center"/>
          </w:tcPr>
          <w:p w14:paraId="2F6FE7F5" w14:textId="77777777" w:rsidR="002E474C" w:rsidRDefault="00000000">
            <w:pPr>
              <w:pStyle w:val="A-"/>
            </w:pPr>
            <w:r>
              <w:t>四</w:t>
            </w:r>
          </w:p>
        </w:tc>
        <w:tc>
          <w:tcPr>
            <w:tcW w:w="594" w:type="pct"/>
            <w:gridSpan w:val="2"/>
            <w:vAlign w:val="center"/>
          </w:tcPr>
          <w:p w14:paraId="73226343" w14:textId="77777777" w:rsidR="002E474C" w:rsidRDefault="00000000">
            <w:pPr>
              <w:pStyle w:val="A-"/>
            </w:pPr>
            <w:r>
              <w:t>固体废物处置</w:t>
            </w:r>
          </w:p>
        </w:tc>
        <w:tc>
          <w:tcPr>
            <w:tcW w:w="368" w:type="pct"/>
            <w:vAlign w:val="center"/>
          </w:tcPr>
          <w:p w14:paraId="09470990" w14:textId="77777777" w:rsidR="002E474C" w:rsidRDefault="00000000">
            <w:pPr>
              <w:pStyle w:val="A-"/>
            </w:pPr>
            <w:r>
              <w:t>\</w:t>
            </w:r>
          </w:p>
        </w:tc>
        <w:tc>
          <w:tcPr>
            <w:tcW w:w="1382" w:type="pct"/>
            <w:vAlign w:val="center"/>
          </w:tcPr>
          <w:p w14:paraId="0546957C" w14:textId="77777777" w:rsidR="002E474C" w:rsidRDefault="00000000">
            <w:pPr>
              <w:pStyle w:val="A-"/>
            </w:pPr>
            <w:r>
              <w:t>项目产生固废均按照危险废物进行管理和处置，投入水泥窑焚烧；生活垃圾运至圣雄股份公司垃圾场处理</w:t>
            </w:r>
          </w:p>
        </w:tc>
        <w:tc>
          <w:tcPr>
            <w:tcW w:w="1246" w:type="pct"/>
            <w:vAlign w:val="center"/>
          </w:tcPr>
          <w:p w14:paraId="7FE1640D" w14:textId="77777777" w:rsidR="002E474C" w:rsidRDefault="00000000">
            <w:pPr>
              <w:pStyle w:val="A-"/>
            </w:pPr>
            <w:r>
              <w:t>/</w:t>
            </w:r>
          </w:p>
        </w:tc>
        <w:tc>
          <w:tcPr>
            <w:tcW w:w="1173" w:type="pct"/>
            <w:vAlign w:val="center"/>
          </w:tcPr>
          <w:p w14:paraId="04C834CC" w14:textId="77777777" w:rsidR="002E474C" w:rsidRDefault="00000000">
            <w:pPr>
              <w:pStyle w:val="A-"/>
            </w:pPr>
            <w:r>
              <w:t>检查落实</w:t>
            </w:r>
          </w:p>
        </w:tc>
      </w:tr>
      <w:tr w:rsidR="002E474C" w14:paraId="238A54B0" w14:textId="77777777">
        <w:trPr>
          <w:trHeight w:val="283"/>
        </w:trPr>
        <w:tc>
          <w:tcPr>
            <w:tcW w:w="237" w:type="pct"/>
            <w:vAlign w:val="center"/>
          </w:tcPr>
          <w:p w14:paraId="40B6FC49" w14:textId="77777777" w:rsidR="002E474C" w:rsidRDefault="00000000">
            <w:pPr>
              <w:pStyle w:val="A-"/>
            </w:pPr>
            <w:r>
              <w:t>五</w:t>
            </w:r>
          </w:p>
        </w:tc>
        <w:tc>
          <w:tcPr>
            <w:tcW w:w="594" w:type="pct"/>
            <w:gridSpan w:val="2"/>
            <w:vAlign w:val="center"/>
          </w:tcPr>
          <w:p w14:paraId="46F95F0D" w14:textId="77777777" w:rsidR="002E474C" w:rsidRDefault="00000000">
            <w:pPr>
              <w:pStyle w:val="A-"/>
            </w:pPr>
            <w:r>
              <w:t>噪声控制</w:t>
            </w:r>
          </w:p>
        </w:tc>
        <w:tc>
          <w:tcPr>
            <w:tcW w:w="368" w:type="pct"/>
            <w:vAlign w:val="center"/>
          </w:tcPr>
          <w:p w14:paraId="67C04A17" w14:textId="77777777" w:rsidR="002E474C" w:rsidRDefault="00000000">
            <w:pPr>
              <w:pStyle w:val="A-"/>
            </w:pPr>
            <w:r>
              <w:t>\</w:t>
            </w:r>
          </w:p>
        </w:tc>
        <w:tc>
          <w:tcPr>
            <w:tcW w:w="1382" w:type="pct"/>
            <w:vAlign w:val="center"/>
          </w:tcPr>
          <w:p w14:paraId="56E7426D" w14:textId="77777777" w:rsidR="002E474C" w:rsidRDefault="00000000">
            <w:pPr>
              <w:pStyle w:val="A-"/>
            </w:pPr>
            <w:r>
              <w:t>主要声源隔声、消声、吸声及减振等</w:t>
            </w:r>
          </w:p>
          <w:p w14:paraId="00EC22EC" w14:textId="77777777" w:rsidR="002E474C" w:rsidRDefault="00000000">
            <w:pPr>
              <w:pStyle w:val="A-"/>
            </w:pPr>
            <w:r>
              <w:t>措施</w:t>
            </w:r>
          </w:p>
        </w:tc>
        <w:tc>
          <w:tcPr>
            <w:tcW w:w="1246" w:type="pct"/>
            <w:vAlign w:val="center"/>
          </w:tcPr>
          <w:p w14:paraId="7E046A9B" w14:textId="77777777" w:rsidR="002E474C" w:rsidRDefault="00000000">
            <w:pPr>
              <w:pStyle w:val="A-"/>
            </w:pPr>
            <w:r>
              <w:t>/</w:t>
            </w:r>
          </w:p>
        </w:tc>
        <w:tc>
          <w:tcPr>
            <w:tcW w:w="1173" w:type="pct"/>
            <w:vAlign w:val="center"/>
          </w:tcPr>
          <w:p w14:paraId="0A7AC954" w14:textId="77777777" w:rsidR="002E474C" w:rsidRDefault="00000000">
            <w:pPr>
              <w:pStyle w:val="A-"/>
            </w:pPr>
            <w:r>
              <w:t>厂界环境噪声达到《工业企业厂界环境噪声排放标准》（</w:t>
            </w:r>
            <w:r>
              <w:t>GB12348-2008</w:t>
            </w:r>
            <w:r>
              <w:t>）</w:t>
            </w:r>
            <w:r>
              <w:t>3</w:t>
            </w:r>
            <w:r>
              <w:t>类标准</w:t>
            </w:r>
          </w:p>
        </w:tc>
      </w:tr>
      <w:tr w:rsidR="002E474C" w14:paraId="139905F9" w14:textId="77777777">
        <w:trPr>
          <w:trHeight w:val="283"/>
        </w:trPr>
        <w:tc>
          <w:tcPr>
            <w:tcW w:w="237" w:type="pct"/>
            <w:vAlign w:val="center"/>
          </w:tcPr>
          <w:p w14:paraId="0CDFAE1F" w14:textId="77777777" w:rsidR="002E474C" w:rsidRDefault="00000000">
            <w:pPr>
              <w:pStyle w:val="A-"/>
            </w:pPr>
            <w:r>
              <w:t>六</w:t>
            </w:r>
          </w:p>
        </w:tc>
        <w:tc>
          <w:tcPr>
            <w:tcW w:w="4763" w:type="pct"/>
            <w:gridSpan w:val="6"/>
          </w:tcPr>
          <w:p w14:paraId="7C2787FE" w14:textId="77777777" w:rsidR="002E474C" w:rsidRDefault="00000000">
            <w:pPr>
              <w:pStyle w:val="A-"/>
            </w:pPr>
            <w:r>
              <w:t>风险事故防范措施</w:t>
            </w:r>
          </w:p>
        </w:tc>
      </w:tr>
      <w:tr w:rsidR="002E474C" w14:paraId="6460B26F" w14:textId="77777777">
        <w:trPr>
          <w:trHeight w:val="283"/>
        </w:trPr>
        <w:tc>
          <w:tcPr>
            <w:tcW w:w="237" w:type="pct"/>
            <w:vAlign w:val="center"/>
          </w:tcPr>
          <w:p w14:paraId="7086EE1B" w14:textId="77777777" w:rsidR="002E474C" w:rsidRDefault="00000000">
            <w:pPr>
              <w:pStyle w:val="A-"/>
            </w:pPr>
            <w:r>
              <w:t>1</w:t>
            </w:r>
          </w:p>
        </w:tc>
        <w:tc>
          <w:tcPr>
            <w:tcW w:w="594" w:type="pct"/>
            <w:gridSpan w:val="2"/>
            <w:vAlign w:val="center"/>
          </w:tcPr>
          <w:p w14:paraId="03697B0C" w14:textId="77777777" w:rsidR="002E474C" w:rsidRDefault="00000000">
            <w:pPr>
              <w:pStyle w:val="A-"/>
            </w:pPr>
            <w:r>
              <w:t>事故预警措施</w:t>
            </w:r>
          </w:p>
        </w:tc>
        <w:tc>
          <w:tcPr>
            <w:tcW w:w="368" w:type="pct"/>
            <w:vAlign w:val="center"/>
          </w:tcPr>
          <w:p w14:paraId="00A22AF1" w14:textId="77777777" w:rsidR="002E474C" w:rsidRDefault="00000000">
            <w:pPr>
              <w:pStyle w:val="A-"/>
            </w:pPr>
            <w:r>
              <w:t>\</w:t>
            </w:r>
          </w:p>
        </w:tc>
        <w:tc>
          <w:tcPr>
            <w:tcW w:w="1382" w:type="pct"/>
            <w:vAlign w:val="center"/>
          </w:tcPr>
          <w:p w14:paraId="68562023" w14:textId="77777777" w:rsidR="002E474C" w:rsidRDefault="00000000">
            <w:pPr>
              <w:pStyle w:val="A-"/>
            </w:pPr>
            <w:r>
              <w:t>火灾报警系统、可燃气体报警系统、毒气报警系统</w:t>
            </w:r>
          </w:p>
        </w:tc>
        <w:tc>
          <w:tcPr>
            <w:tcW w:w="1246" w:type="pct"/>
            <w:vAlign w:val="center"/>
          </w:tcPr>
          <w:p w14:paraId="4B1BCE95" w14:textId="77777777" w:rsidR="002E474C" w:rsidRDefault="00000000">
            <w:pPr>
              <w:pStyle w:val="A-"/>
            </w:pPr>
            <w:r>
              <w:t>/</w:t>
            </w:r>
          </w:p>
        </w:tc>
        <w:tc>
          <w:tcPr>
            <w:tcW w:w="1173" w:type="pct"/>
            <w:vAlign w:val="center"/>
          </w:tcPr>
          <w:p w14:paraId="04D116B4" w14:textId="77777777" w:rsidR="002E474C" w:rsidRDefault="00000000">
            <w:pPr>
              <w:pStyle w:val="A-"/>
            </w:pPr>
            <w:r>
              <w:t>检查落实</w:t>
            </w:r>
          </w:p>
        </w:tc>
      </w:tr>
      <w:tr w:rsidR="002E474C" w14:paraId="12099B97" w14:textId="77777777">
        <w:trPr>
          <w:trHeight w:val="283"/>
        </w:trPr>
        <w:tc>
          <w:tcPr>
            <w:tcW w:w="237" w:type="pct"/>
            <w:vAlign w:val="center"/>
          </w:tcPr>
          <w:p w14:paraId="6CAA2B42" w14:textId="77777777" w:rsidR="002E474C" w:rsidRDefault="00000000">
            <w:pPr>
              <w:pStyle w:val="A-"/>
            </w:pPr>
            <w:r>
              <w:t>2</w:t>
            </w:r>
          </w:p>
        </w:tc>
        <w:tc>
          <w:tcPr>
            <w:tcW w:w="594" w:type="pct"/>
            <w:gridSpan w:val="2"/>
            <w:vAlign w:val="center"/>
          </w:tcPr>
          <w:p w14:paraId="574A6222" w14:textId="77777777" w:rsidR="002E474C" w:rsidRDefault="00000000">
            <w:pPr>
              <w:pStyle w:val="A-"/>
            </w:pPr>
            <w:r>
              <w:t>事故防范应急措施</w:t>
            </w:r>
          </w:p>
        </w:tc>
        <w:tc>
          <w:tcPr>
            <w:tcW w:w="368" w:type="pct"/>
            <w:vAlign w:val="center"/>
          </w:tcPr>
          <w:p w14:paraId="5BA3A690" w14:textId="77777777" w:rsidR="002E474C" w:rsidRDefault="00000000">
            <w:pPr>
              <w:pStyle w:val="A-"/>
            </w:pPr>
            <w:r>
              <w:t>\</w:t>
            </w:r>
          </w:p>
        </w:tc>
        <w:tc>
          <w:tcPr>
            <w:tcW w:w="1382" w:type="pct"/>
            <w:vAlign w:val="center"/>
          </w:tcPr>
          <w:p w14:paraId="3039D7F4" w14:textId="77777777" w:rsidR="002E474C" w:rsidRDefault="00000000">
            <w:pPr>
              <w:pStyle w:val="A-"/>
            </w:pPr>
            <w:r>
              <w:t>厂区内设</w:t>
            </w:r>
            <w:r>
              <w:t>1</w:t>
            </w:r>
            <w:r>
              <w:t>座</w:t>
            </w:r>
            <w:r>
              <w:t>200m</w:t>
            </w:r>
            <w:r>
              <w:rPr>
                <w:vertAlign w:val="superscript"/>
              </w:rPr>
              <w:t>3</w:t>
            </w:r>
            <w:r>
              <w:t>应急事故池、视频监控系统、危废贮存库及液态处置车间围堰</w:t>
            </w:r>
          </w:p>
        </w:tc>
        <w:tc>
          <w:tcPr>
            <w:tcW w:w="1246" w:type="pct"/>
            <w:vAlign w:val="center"/>
          </w:tcPr>
          <w:p w14:paraId="361E65DC" w14:textId="77777777" w:rsidR="002E474C" w:rsidRDefault="00000000">
            <w:pPr>
              <w:pStyle w:val="A-"/>
            </w:pPr>
            <w:r>
              <w:t>/</w:t>
            </w:r>
          </w:p>
        </w:tc>
        <w:tc>
          <w:tcPr>
            <w:tcW w:w="1173" w:type="pct"/>
            <w:vAlign w:val="center"/>
          </w:tcPr>
          <w:p w14:paraId="473687EE" w14:textId="77777777" w:rsidR="002E474C" w:rsidRDefault="00000000">
            <w:pPr>
              <w:pStyle w:val="A-"/>
            </w:pPr>
            <w:r>
              <w:t>检查落实</w:t>
            </w:r>
          </w:p>
        </w:tc>
      </w:tr>
      <w:tr w:rsidR="002E474C" w14:paraId="47C2E300" w14:textId="77777777">
        <w:trPr>
          <w:trHeight w:val="283"/>
        </w:trPr>
        <w:tc>
          <w:tcPr>
            <w:tcW w:w="237" w:type="pct"/>
            <w:vAlign w:val="center"/>
          </w:tcPr>
          <w:p w14:paraId="15A2B970" w14:textId="77777777" w:rsidR="002E474C" w:rsidRDefault="00000000">
            <w:pPr>
              <w:pStyle w:val="A-"/>
            </w:pPr>
            <w:r>
              <w:t>3</w:t>
            </w:r>
          </w:p>
        </w:tc>
        <w:tc>
          <w:tcPr>
            <w:tcW w:w="594" w:type="pct"/>
            <w:gridSpan w:val="2"/>
            <w:vAlign w:val="center"/>
          </w:tcPr>
          <w:p w14:paraId="1EB0BF67" w14:textId="77777777" w:rsidR="002E474C" w:rsidRDefault="00000000">
            <w:pPr>
              <w:pStyle w:val="A-"/>
            </w:pPr>
            <w:r>
              <w:t>应急设施及装备</w:t>
            </w:r>
          </w:p>
        </w:tc>
        <w:tc>
          <w:tcPr>
            <w:tcW w:w="368" w:type="pct"/>
            <w:vAlign w:val="center"/>
          </w:tcPr>
          <w:p w14:paraId="7DAB915B" w14:textId="77777777" w:rsidR="002E474C" w:rsidRDefault="00000000">
            <w:pPr>
              <w:pStyle w:val="A-"/>
            </w:pPr>
            <w:r>
              <w:t>\</w:t>
            </w:r>
          </w:p>
        </w:tc>
        <w:tc>
          <w:tcPr>
            <w:tcW w:w="1382" w:type="pct"/>
            <w:vAlign w:val="center"/>
          </w:tcPr>
          <w:p w14:paraId="39F44014" w14:textId="77777777" w:rsidR="002E474C" w:rsidRDefault="00000000">
            <w:pPr>
              <w:pStyle w:val="A-"/>
            </w:pPr>
            <w:r>
              <w:t>配备相关应急装备和消防器材等</w:t>
            </w:r>
          </w:p>
        </w:tc>
        <w:tc>
          <w:tcPr>
            <w:tcW w:w="1246" w:type="pct"/>
            <w:vAlign w:val="center"/>
          </w:tcPr>
          <w:p w14:paraId="6A4B0805" w14:textId="77777777" w:rsidR="002E474C" w:rsidRDefault="00000000">
            <w:pPr>
              <w:pStyle w:val="A-"/>
            </w:pPr>
            <w:r>
              <w:t>/</w:t>
            </w:r>
          </w:p>
        </w:tc>
        <w:tc>
          <w:tcPr>
            <w:tcW w:w="1173" w:type="pct"/>
            <w:vAlign w:val="center"/>
          </w:tcPr>
          <w:p w14:paraId="5B7F8FF7" w14:textId="77777777" w:rsidR="002E474C" w:rsidRDefault="00000000">
            <w:pPr>
              <w:pStyle w:val="A-"/>
            </w:pPr>
            <w:r>
              <w:t>检查落实</w:t>
            </w:r>
          </w:p>
        </w:tc>
      </w:tr>
      <w:tr w:rsidR="002E474C" w14:paraId="2DF139E0" w14:textId="77777777">
        <w:trPr>
          <w:trHeight w:val="283"/>
        </w:trPr>
        <w:tc>
          <w:tcPr>
            <w:tcW w:w="237" w:type="pct"/>
            <w:vAlign w:val="center"/>
          </w:tcPr>
          <w:p w14:paraId="1A8B62E6" w14:textId="77777777" w:rsidR="002E474C" w:rsidRDefault="00000000">
            <w:pPr>
              <w:pStyle w:val="A-"/>
            </w:pPr>
            <w:r>
              <w:t>4</w:t>
            </w:r>
          </w:p>
        </w:tc>
        <w:tc>
          <w:tcPr>
            <w:tcW w:w="594" w:type="pct"/>
            <w:gridSpan w:val="2"/>
            <w:vAlign w:val="center"/>
          </w:tcPr>
          <w:p w14:paraId="705DDA9B" w14:textId="77777777" w:rsidR="002E474C" w:rsidRDefault="00000000">
            <w:pPr>
              <w:pStyle w:val="A-"/>
            </w:pPr>
            <w:r>
              <w:t>建立应急预案</w:t>
            </w:r>
          </w:p>
        </w:tc>
        <w:tc>
          <w:tcPr>
            <w:tcW w:w="368" w:type="pct"/>
            <w:vAlign w:val="center"/>
          </w:tcPr>
          <w:p w14:paraId="5B987055" w14:textId="77777777" w:rsidR="002E474C" w:rsidRDefault="00000000">
            <w:pPr>
              <w:pStyle w:val="A-"/>
            </w:pPr>
            <w:r>
              <w:t>\</w:t>
            </w:r>
          </w:p>
        </w:tc>
        <w:tc>
          <w:tcPr>
            <w:tcW w:w="1382" w:type="pct"/>
            <w:vAlign w:val="center"/>
          </w:tcPr>
          <w:p w14:paraId="021A48D2" w14:textId="77777777" w:rsidR="002E474C" w:rsidRDefault="00000000">
            <w:pPr>
              <w:pStyle w:val="A-"/>
            </w:pPr>
            <w:r>
              <w:t>编制突发环境事件应急预案并备案</w:t>
            </w:r>
          </w:p>
        </w:tc>
        <w:tc>
          <w:tcPr>
            <w:tcW w:w="1246" w:type="pct"/>
            <w:vAlign w:val="center"/>
          </w:tcPr>
          <w:p w14:paraId="45684EE5" w14:textId="77777777" w:rsidR="002E474C" w:rsidRDefault="00000000">
            <w:pPr>
              <w:pStyle w:val="A-"/>
            </w:pPr>
            <w:r>
              <w:t>/</w:t>
            </w:r>
          </w:p>
        </w:tc>
        <w:tc>
          <w:tcPr>
            <w:tcW w:w="1173" w:type="pct"/>
            <w:vAlign w:val="center"/>
          </w:tcPr>
          <w:p w14:paraId="4DA78048" w14:textId="77777777" w:rsidR="002E474C" w:rsidRDefault="00000000">
            <w:pPr>
              <w:pStyle w:val="A-"/>
            </w:pPr>
            <w:r>
              <w:t>检查落实</w:t>
            </w:r>
          </w:p>
        </w:tc>
      </w:tr>
      <w:tr w:rsidR="002E474C" w14:paraId="00A7882C" w14:textId="77777777">
        <w:trPr>
          <w:trHeight w:val="283"/>
        </w:trPr>
        <w:tc>
          <w:tcPr>
            <w:tcW w:w="237" w:type="pct"/>
            <w:vAlign w:val="center"/>
          </w:tcPr>
          <w:p w14:paraId="1A46198C" w14:textId="77777777" w:rsidR="002E474C" w:rsidRDefault="00000000">
            <w:pPr>
              <w:pStyle w:val="A-"/>
            </w:pPr>
            <w:r>
              <w:t>七</w:t>
            </w:r>
          </w:p>
        </w:tc>
        <w:tc>
          <w:tcPr>
            <w:tcW w:w="594" w:type="pct"/>
            <w:gridSpan w:val="2"/>
            <w:vAlign w:val="center"/>
          </w:tcPr>
          <w:p w14:paraId="0E4EDB2A" w14:textId="77777777" w:rsidR="002E474C" w:rsidRDefault="00000000">
            <w:pPr>
              <w:pStyle w:val="A-"/>
            </w:pPr>
            <w:r>
              <w:t>环境管理及监测</w:t>
            </w:r>
          </w:p>
        </w:tc>
        <w:tc>
          <w:tcPr>
            <w:tcW w:w="368" w:type="pct"/>
            <w:vAlign w:val="center"/>
          </w:tcPr>
          <w:p w14:paraId="023AA2CB" w14:textId="77777777" w:rsidR="002E474C" w:rsidRDefault="00000000">
            <w:pPr>
              <w:pStyle w:val="A-"/>
            </w:pPr>
            <w:r>
              <w:t>\</w:t>
            </w:r>
          </w:p>
        </w:tc>
        <w:tc>
          <w:tcPr>
            <w:tcW w:w="1382" w:type="pct"/>
            <w:vAlign w:val="center"/>
          </w:tcPr>
          <w:p w14:paraId="1E83F2A1" w14:textId="77777777" w:rsidR="002E474C" w:rsidRDefault="00000000">
            <w:pPr>
              <w:pStyle w:val="A-"/>
            </w:pPr>
            <w:r>
              <w:t>设环境管理专员，按监测计划开展监测，排污口规范化设置。</w:t>
            </w:r>
          </w:p>
        </w:tc>
        <w:tc>
          <w:tcPr>
            <w:tcW w:w="1246" w:type="pct"/>
            <w:vAlign w:val="center"/>
          </w:tcPr>
          <w:p w14:paraId="46FFDCC3" w14:textId="77777777" w:rsidR="002E474C" w:rsidRDefault="00000000">
            <w:pPr>
              <w:pStyle w:val="A-"/>
            </w:pPr>
            <w:r>
              <w:t>/</w:t>
            </w:r>
          </w:p>
        </w:tc>
        <w:tc>
          <w:tcPr>
            <w:tcW w:w="1173" w:type="pct"/>
            <w:vAlign w:val="center"/>
          </w:tcPr>
          <w:p w14:paraId="60C50040" w14:textId="77777777" w:rsidR="002E474C" w:rsidRDefault="00000000">
            <w:pPr>
              <w:pStyle w:val="A-"/>
            </w:pPr>
            <w:r>
              <w:t>检查落实</w:t>
            </w:r>
          </w:p>
        </w:tc>
      </w:tr>
      <w:bookmarkEnd w:id="400"/>
      <w:bookmarkEnd w:id="401"/>
    </w:tbl>
    <w:p w14:paraId="77AAB941" w14:textId="77777777" w:rsidR="002E474C" w:rsidRDefault="002E474C">
      <w:pPr>
        <w:pStyle w:val="A-z"/>
        <w:rPr>
          <w:color w:val="auto"/>
        </w:rPr>
        <w:sectPr w:rsidR="002E474C">
          <w:pgSz w:w="16838" w:h="11906" w:orient="landscape"/>
          <w:pgMar w:top="1440" w:right="1800" w:bottom="1440" w:left="1800" w:header="851" w:footer="992" w:gutter="0"/>
          <w:cols w:space="720"/>
          <w:docGrid w:linePitch="312"/>
        </w:sectPr>
      </w:pPr>
    </w:p>
    <w:p w14:paraId="6B91F2F7" w14:textId="77777777" w:rsidR="002E474C" w:rsidRDefault="00000000">
      <w:pPr>
        <w:pStyle w:val="1"/>
        <w:spacing w:before="120" w:after="120"/>
      </w:pPr>
      <w:bookmarkStart w:id="403" w:name="_Toc15353"/>
      <w:bookmarkStart w:id="404" w:name="_Toc225848888"/>
      <w:r>
        <w:lastRenderedPageBreak/>
        <w:t>环境影响评价结论</w:t>
      </w:r>
      <w:bookmarkEnd w:id="403"/>
      <w:bookmarkEnd w:id="404"/>
    </w:p>
    <w:p w14:paraId="5922CD6A" w14:textId="77777777" w:rsidR="002E474C" w:rsidRDefault="00000000">
      <w:pPr>
        <w:pStyle w:val="21"/>
        <w:spacing w:before="240" w:after="240"/>
        <w:rPr>
          <w:color w:val="auto"/>
        </w:rPr>
      </w:pPr>
      <w:bookmarkStart w:id="405" w:name="_Toc225848889"/>
      <w:bookmarkStart w:id="406" w:name="_Toc131089656"/>
      <w:bookmarkStart w:id="407" w:name="_Toc9451"/>
      <w:r>
        <w:rPr>
          <w:color w:val="auto"/>
        </w:rPr>
        <w:t>建设项目概况</w:t>
      </w:r>
      <w:bookmarkEnd w:id="405"/>
      <w:bookmarkEnd w:id="406"/>
      <w:bookmarkEnd w:id="407"/>
    </w:p>
    <w:p w14:paraId="272F33B3" w14:textId="77777777" w:rsidR="002E474C" w:rsidRDefault="00000000">
      <w:pPr>
        <w:pStyle w:val="A-z"/>
        <w:rPr>
          <w:color w:val="auto"/>
        </w:rPr>
      </w:pPr>
      <w:r>
        <w:rPr>
          <w:color w:val="auto"/>
        </w:rPr>
        <w:t>新疆中建环能公司利用圣雄水泥公司水泥窑协同处置危险废物项目位于新疆托克逊县阿乐惠镇</w:t>
      </w:r>
      <w:r>
        <w:rPr>
          <w:color w:val="auto"/>
          <w:lang w:val="en-US"/>
        </w:rPr>
        <w:t>托克逊能源重化工工业园圣雄同心工业园</w:t>
      </w:r>
      <w:r>
        <w:rPr>
          <w:color w:val="auto"/>
        </w:rPr>
        <w:t>圣雄水泥公司现厂区内。主要建设内容包括进厂废物取样核验、危废贮存库、预处理</w:t>
      </w:r>
      <w:r>
        <w:rPr>
          <w:rFonts w:hint="eastAsia"/>
          <w:color w:val="auto"/>
        </w:rPr>
        <w:t>车间</w:t>
      </w:r>
      <w:r>
        <w:rPr>
          <w:color w:val="auto"/>
        </w:rPr>
        <w:t>、危险废物投料系统及其他辅助工程及环保工程等。项目占地面积</w:t>
      </w:r>
      <w:r>
        <w:rPr>
          <w:color w:val="auto"/>
        </w:rPr>
        <w:t>4500m²</w:t>
      </w:r>
      <w:r>
        <w:rPr>
          <w:color w:val="auto"/>
        </w:rPr>
        <w:t>，年运行时数</w:t>
      </w:r>
      <w:r>
        <w:rPr>
          <w:color w:val="auto"/>
        </w:rPr>
        <w:t>7200h</w:t>
      </w:r>
      <w:r>
        <w:rPr>
          <w:color w:val="auto"/>
        </w:rPr>
        <w:t>。</w:t>
      </w:r>
    </w:p>
    <w:p w14:paraId="58DF2BD9" w14:textId="77777777" w:rsidR="002E474C" w:rsidRDefault="00000000">
      <w:pPr>
        <w:pStyle w:val="A-z"/>
        <w:rPr>
          <w:color w:val="auto"/>
        </w:rPr>
      </w:pPr>
      <w:r>
        <w:rPr>
          <w:color w:val="auto"/>
        </w:rPr>
        <w:t>（</w:t>
      </w:r>
      <w:r>
        <w:rPr>
          <w:color w:val="auto"/>
        </w:rPr>
        <w:t>1</w:t>
      </w:r>
      <w:r>
        <w:rPr>
          <w:color w:val="auto"/>
        </w:rPr>
        <w:t>）本项目依托圣雄水泥公司新型干法水泥窑协同处置</w:t>
      </w:r>
      <w:r>
        <w:rPr>
          <w:color w:val="auto"/>
        </w:rPr>
        <w:t>5</w:t>
      </w:r>
      <w:r>
        <w:rPr>
          <w:color w:val="auto"/>
        </w:rPr>
        <w:t>万</w:t>
      </w:r>
      <w:r>
        <w:rPr>
          <w:color w:val="auto"/>
        </w:rPr>
        <w:t>t/a</w:t>
      </w:r>
      <w:r>
        <w:rPr>
          <w:color w:val="auto"/>
        </w:rPr>
        <w:t>危险废物，其中固态危废</w:t>
      </w:r>
      <w:r>
        <w:rPr>
          <w:color w:val="auto"/>
        </w:rPr>
        <w:t>4.5</w:t>
      </w:r>
      <w:r>
        <w:rPr>
          <w:color w:val="auto"/>
        </w:rPr>
        <w:t>万</w:t>
      </w:r>
      <w:r>
        <w:rPr>
          <w:color w:val="auto"/>
        </w:rPr>
        <w:t>t/a</w:t>
      </w:r>
      <w:r>
        <w:rPr>
          <w:color w:val="auto"/>
        </w:rPr>
        <w:t>、液态危废</w:t>
      </w:r>
      <w:r>
        <w:rPr>
          <w:color w:val="auto"/>
        </w:rPr>
        <w:t>0.5</w:t>
      </w:r>
      <w:r>
        <w:rPr>
          <w:color w:val="auto"/>
        </w:rPr>
        <w:t>万</w:t>
      </w:r>
      <w:r>
        <w:rPr>
          <w:color w:val="auto"/>
        </w:rPr>
        <w:t>t/a</w:t>
      </w:r>
      <w:r>
        <w:rPr>
          <w:color w:val="auto"/>
        </w:rPr>
        <w:t>；协同处置的危废涉及《国家危险废物名录（</w:t>
      </w:r>
      <w:r>
        <w:rPr>
          <w:color w:val="auto"/>
        </w:rPr>
        <w:t>2025</w:t>
      </w:r>
      <w:r>
        <w:rPr>
          <w:color w:val="auto"/>
        </w:rPr>
        <w:t>年版）》中的</w:t>
      </w:r>
      <w:r>
        <w:rPr>
          <w:color w:val="auto"/>
        </w:rPr>
        <w:t>36</w:t>
      </w:r>
      <w:r>
        <w:rPr>
          <w:color w:val="auto"/>
        </w:rPr>
        <w:t>种类别</w:t>
      </w:r>
      <w:r>
        <w:rPr>
          <w:color w:val="auto"/>
        </w:rPr>
        <w:t>41</w:t>
      </w:r>
      <w:r>
        <w:rPr>
          <w:rFonts w:hint="eastAsia"/>
          <w:color w:val="auto"/>
        </w:rPr>
        <w:t>7</w:t>
      </w:r>
      <w:r>
        <w:rPr>
          <w:rFonts w:hint="eastAsia"/>
          <w:color w:val="auto"/>
        </w:rPr>
        <w:t>个</w:t>
      </w:r>
      <w:r>
        <w:rPr>
          <w:color w:val="auto"/>
        </w:rPr>
        <w:t>代码。</w:t>
      </w:r>
    </w:p>
    <w:p w14:paraId="04A20B29" w14:textId="77777777" w:rsidR="002E474C" w:rsidRDefault="00000000">
      <w:pPr>
        <w:pStyle w:val="A-z"/>
        <w:rPr>
          <w:color w:val="auto"/>
        </w:rPr>
      </w:pPr>
      <w:r>
        <w:rPr>
          <w:color w:val="auto"/>
        </w:rPr>
        <w:t>（</w:t>
      </w:r>
      <w:r>
        <w:rPr>
          <w:color w:val="auto"/>
        </w:rPr>
        <w:t>2</w:t>
      </w:r>
      <w:r>
        <w:rPr>
          <w:color w:val="auto"/>
        </w:rPr>
        <w:t>）本项目符合《产业结构调整指导目录（</w:t>
      </w:r>
      <w:r>
        <w:rPr>
          <w:color w:val="auto"/>
        </w:rPr>
        <w:t>2024</w:t>
      </w:r>
      <w:r>
        <w:rPr>
          <w:color w:val="auto"/>
        </w:rPr>
        <w:t>年本）》</w:t>
      </w:r>
      <w:r>
        <w:rPr>
          <w:color w:val="auto"/>
          <w:lang w:val="en-US"/>
        </w:rPr>
        <w:t>《绿色低碳转型产业指导目录（</w:t>
      </w:r>
      <w:r>
        <w:rPr>
          <w:color w:val="auto"/>
          <w:lang w:val="en-US"/>
        </w:rPr>
        <w:t>2024</w:t>
      </w:r>
      <w:r>
        <w:rPr>
          <w:color w:val="auto"/>
          <w:lang w:val="en-US"/>
        </w:rPr>
        <w:t>年版）》《市场准入负面清单（</w:t>
      </w:r>
      <w:r>
        <w:rPr>
          <w:color w:val="auto"/>
          <w:lang w:val="en-US"/>
        </w:rPr>
        <w:t>2025</w:t>
      </w:r>
      <w:r>
        <w:rPr>
          <w:color w:val="auto"/>
          <w:lang w:val="en-US"/>
        </w:rPr>
        <w:t>年版）》《环境保护综合名录（</w:t>
      </w:r>
      <w:r>
        <w:rPr>
          <w:color w:val="auto"/>
          <w:lang w:val="en-US"/>
        </w:rPr>
        <w:t>2021</w:t>
      </w:r>
      <w:r>
        <w:rPr>
          <w:color w:val="auto"/>
          <w:lang w:val="en-US"/>
        </w:rPr>
        <w:t>年版）》等产业政策要求，符合</w:t>
      </w:r>
      <w:r>
        <w:rPr>
          <w:color w:val="auto"/>
        </w:rPr>
        <w:t>《水泥行业规范条件（</w:t>
      </w:r>
      <w:r>
        <w:rPr>
          <w:color w:val="auto"/>
        </w:rPr>
        <w:t>2015</w:t>
      </w:r>
      <w:r>
        <w:rPr>
          <w:color w:val="auto"/>
        </w:rPr>
        <w:t>年本）》《水泥工业污染防治技术政策》《水泥窑协同处置危险废物经营许可证审查指南（试行）》《自治区危险废物处置利用设施建设布局指导意见》《水泥窑协同处置固体废物污染防治技术政策》等水泥工业及水泥窑协同处置工业环保政策要求，符合</w:t>
      </w:r>
      <w:r>
        <w:rPr>
          <w:color w:val="auto"/>
          <w:lang w:val="en-US"/>
        </w:rPr>
        <w:t>《中华人民共和国国民经济和社会发展第十五个五年规划纲要》《新疆维吾尔自治区国民经济和社会发展第十五个五年规划纲要》《</w:t>
      </w:r>
      <w:r>
        <w:rPr>
          <w:color w:val="auto"/>
          <w:lang w:val="en-US"/>
        </w:rPr>
        <w:t>“</w:t>
      </w:r>
      <w:r>
        <w:rPr>
          <w:color w:val="auto"/>
          <w:lang w:val="en-US"/>
        </w:rPr>
        <w:t>十四五</w:t>
      </w:r>
      <w:r>
        <w:rPr>
          <w:color w:val="auto"/>
          <w:lang w:val="en-US"/>
        </w:rPr>
        <w:t>”</w:t>
      </w:r>
      <w:r>
        <w:rPr>
          <w:color w:val="auto"/>
          <w:lang w:val="en-US"/>
        </w:rPr>
        <w:t>原材料工业发展规划》《</w:t>
      </w:r>
      <w:r>
        <w:rPr>
          <w:color w:val="auto"/>
          <w:lang w:val="en-US"/>
        </w:rPr>
        <w:t>“</w:t>
      </w:r>
      <w:r>
        <w:rPr>
          <w:color w:val="auto"/>
          <w:lang w:val="en-US"/>
        </w:rPr>
        <w:t>十四五</w:t>
      </w:r>
      <w:r>
        <w:rPr>
          <w:color w:val="auto"/>
          <w:lang w:val="en-US"/>
        </w:rPr>
        <w:t>”</w:t>
      </w:r>
      <w:r>
        <w:rPr>
          <w:color w:val="auto"/>
          <w:lang w:val="en-US"/>
        </w:rPr>
        <w:t>工业绿色发展规划》</w:t>
      </w:r>
      <w:r>
        <w:rPr>
          <w:color w:val="auto"/>
        </w:rPr>
        <w:t>《</w:t>
      </w:r>
      <w:r>
        <w:rPr>
          <w:color w:val="auto"/>
        </w:rPr>
        <w:t>“</w:t>
      </w:r>
      <w:r>
        <w:rPr>
          <w:color w:val="auto"/>
        </w:rPr>
        <w:t>十四五</w:t>
      </w:r>
      <w:r>
        <w:rPr>
          <w:color w:val="auto"/>
        </w:rPr>
        <w:t>”</w:t>
      </w:r>
      <w:r>
        <w:rPr>
          <w:color w:val="auto"/>
        </w:rPr>
        <w:t>循环经济发展规划》《新疆维吾尔自治区</w:t>
      </w:r>
      <w:r>
        <w:rPr>
          <w:color w:val="auto"/>
          <w:lang w:val="en-US"/>
        </w:rPr>
        <w:t>主体功能区规划</w:t>
      </w:r>
      <w:r>
        <w:rPr>
          <w:color w:val="auto"/>
        </w:rPr>
        <w:t>》等国家与自治区产业发展规划和主体功能区划，符合</w:t>
      </w:r>
      <w:r>
        <w:rPr>
          <w:color w:val="auto"/>
          <w:lang w:val="en-US"/>
        </w:rPr>
        <w:t>《新疆生态环境保护</w:t>
      </w:r>
      <w:r>
        <w:rPr>
          <w:color w:val="auto"/>
          <w:lang w:val="en-US"/>
        </w:rPr>
        <w:t>“</w:t>
      </w:r>
      <w:r>
        <w:rPr>
          <w:color w:val="auto"/>
          <w:lang w:val="en-US"/>
        </w:rPr>
        <w:t>十四五</w:t>
      </w:r>
      <w:r>
        <w:rPr>
          <w:color w:val="auto"/>
          <w:lang w:val="en-US"/>
        </w:rPr>
        <w:t>”</w:t>
      </w:r>
      <w:r>
        <w:rPr>
          <w:color w:val="auto"/>
          <w:lang w:val="en-US"/>
        </w:rPr>
        <w:t>规划》《吐鲁番市生态环境保护</w:t>
      </w:r>
      <w:r>
        <w:rPr>
          <w:color w:val="auto"/>
          <w:lang w:val="en-US"/>
        </w:rPr>
        <w:t>“</w:t>
      </w:r>
      <w:r>
        <w:rPr>
          <w:color w:val="auto"/>
          <w:lang w:val="en-US"/>
        </w:rPr>
        <w:t>十四五</w:t>
      </w:r>
      <w:r>
        <w:rPr>
          <w:color w:val="auto"/>
          <w:lang w:val="en-US"/>
        </w:rPr>
        <w:t>”</w:t>
      </w:r>
      <w:r>
        <w:rPr>
          <w:color w:val="auto"/>
          <w:lang w:val="en-US"/>
        </w:rPr>
        <w:t>规划》等环境保护规划，符合</w:t>
      </w:r>
      <w:r>
        <w:rPr>
          <w:color w:val="auto"/>
        </w:rPr>
        <w:t>《水泥窑协同处置固体废物污染控制标准》《水泥窑协同处置固体废物污染控制标准》，符合《水泥窑协同处置工业废物设计规范》《水泥窑协同处置固体废物环境保护技术规范》《水泥窑协同处置固体废物技术规范》《</w:t>
      </w:r>
      <w:r>
        <w:rPr>
          <w:color w:val="auto"/>
          <w:lang w:val="en-US"/>
        </w:rPr>
        <w:t>危险废物集中焚烧处置工程建设技术规范</w:t>
      </w:r>
      <w:r>
        <w:rPr>
          <w:color w:val="auto"/>
        </w:rPr>
        <w:t>》等技术规范，符合《中共中央国务院关于深入打好污染防治攻坚战的意见》《空气质量持续改善行动计划》《关于全面推进美丽中国建设的意见》《关于加强重点行业建设项目区域消减措</w:t>
      </w:r>
      <w:r>
        <w:rPr>
          <w:color w:val="auto"/>
        </w:rPr>
        <w:lastRenderedPageBreak/>
        <w:t>施监督管理的通知》《环境影响评价与排污许可领域协同推进碳减排工作方案》《国务院办公厅关于印发强化危险废物监管和利用处置能力改革实施方案的通知》《关于进一步加强危险废物规范化环境管理有关工作的通知》</w:t>
      </w:r>
      <w:r>
        <w:rPr>
          <w:bCs/>
          <w:color w:val="auto"/>
        </w:rPr>
        <w:t>《关于进一步加强危险废物环境治理</w:t>
      </w:r>
      <w:r>
        <w:rPr>
          <w:bCs/>
          <w:color w:val="auto"/>
        </w:rPr>
        <w:t xml:space="preserve"> </w:t>
      </w:r>
      <w:r>
        <w:rPr>
          <w:bCs/>
          <w:color w:val="auto"/>
        </w:rPr>
        <w:t>严密防控环境风险的指导意见》</w:t>
      </w:r>
      <w:r>
        <w:rPr>
          <w:color w:val="auto"/>
        </w:rPr>
        <w:t>《固体废物综合治理行动计划》《新疆维吾尔自治区土壤污染防治工作方案》《新疆维吾尔自治区</w:t>
      </w:r>
      <w:r>
        <w:rPr>
          <w:color w:val="auto"/>
        </w:rPr>
        <w:t>2025</w:t>
      </w:r>
      <w:r>
        <w:rPr>
          <w:color w:val="auto"/>
        </w:rPr>
        <w:t>年空气质量持续改善行动实施方案》《关于新疆维吾尔自治区</w:t>
      </w:r>
      <w:r>
        <w:rPr>
          <w:color w:val="auto"/>
        </w:rPr>
        <w:t>2026</w:t>
      </w:r>
      <w:r>
        <w:rPr>
          <w:color w:val="auto"/>
        </w:rPr>
        <w:t>年危险废物利用处置设施投资建设引导性公告》等国家与地方环境管理要求，符合《托克逊能源重化工工业园区总体规划（</w:t>
      </w:r>
      <w:r>
        <w:rPr>
          <w:color w:val="auto"/>
        </w:rPr>
        <w:t>2023-2035</w:t>
      </w:r>
      <w:r>
        <w:rPr>
          <w:color w:val="auto"/>
        </w:rPr>
        <w:t>年）》及其规划环评要求，符合《托克逊能源重化工工业园区化工产业集中区总体规划（</w:t>
      </w:r>
      <w:r>
        <w:rPr>
          <w:color w:val="auto"/>
        </w:rPr>
        <w:t>2023-2035</w:t>
      </w:r>
      <w:r>
        <w:rPr>
          <w:color w:val="auto"/>
        </w:rPr>
        <w:t>年）》及其规划环评要求，符合《新疆维吾尔自治区生态环境分区管控动态更新成果》《吐鲁番市生态环境分区管控成果动态更新情况说明》。</w:t>
      </w:r>
    </w:p>
    <w:p w14:paraId="5792E9E0" w14:textId="77777777" w:rsidR="002E474C" w:rsidRDefault="00000000">
      <w:pPr>
        <w:pStyle w:val="A-z"/>
        <w:rPr>
          <w:color w:val="auto"/>
        </w:rPr>
      </w:pPr>
      <w:r>
        <w:rPr>
          <w:color w:val="auto"/>
        </w:rPr>
        <w:t>（</w:t>
      </w:r>
      <w:r>
        <w:rPr>
          <w:color w:val="auto"/>
        </w:rPr>
        <w:t>3</w:t>
      </w:r>
      <w:r>
        <w:rPr>
          <w:color w:val="auto"/>
        </w:rPr>
        <w:t>）本项目采取的大气污染防治措施可行，新增危废贮存废气排放口及依托的回转窑窑尾废气排放口各类污染物排放可达到《水泥工业大气污染物排放标准》（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）、《关于推进实施水泥行业超低排放的意见》（环大气〔</w:t>
      </w:r>
      <w:r>
        <w:rPr>
          <w:color w:val="auto"/>
        </w:rPr>
        <w:t>2024</w:t>
      </w:r>
      <w:r>
        <w:rPr>
          <w:color w:val="auto"/>
        </w:rPr>
        <w:t>〕</w:t>
      </w:r>
      <w:r>
        <w:rPr>
          <w:color w:val="auto"/>
        </w:rPr>
        <w:t>5</w:t>
      </w:r>
      <w:r>
        <w:rPr>
          <w:color w:val="auto"/>
        </w:rPr>
        <w:t>号）、《大气污染物综合排放标准》（</w:t>
      </w:r>
      <w:r>
        <w:rPr>
          <w:color w:val="auto"/>
        </w:rPr>
        <w:t>GB16297-1996</w:t>
      </w:r>
      <w:r>
        <w:rPr>
          <w:color w:val="auto"/>
        </w:rPr>
        <w:t>）、《恶臭污染物排放标准》（</w:t>
      </w:r>
      <w:r>
        <w:rPr>
          <w:color w:val="auto"/>
        </w:rPr>
        <w:t>GB14554-93</w:t>
      </w:r>
      <w:r>
        <w:rPr>
          <w:color w:val="auto"/>
        </w:rPr>
        <w:t>）及</w:t>
      </w:r>
      <w:r>
        <w:rPr>
          <w:color w:val="auto"/>
          <w:kern w:val="0"/>
        </w:rPr>
        <w:t>《水泥窑协同处置固体废物污染控制标准》（</w:t>
      </w:r>
      <w:r>
        <w:rPr>
          <w:color w:val="auto"/>
          <w:kern w:val="0"/>
        </w:rPr>
        <w:t>GB30485-2013</w:t>
      </w:r>
      <w:r>
        <w:rPr>
          <w:color w:val="auto"/>
          <w:kern w:val="0"/>
        </w:rPr>
        <w:t>）控制要求</w:t>
      </w:r>
      <w:r>
        <w:rPr>
          <w:color w:val="auto"/>
        </w:rPr>
        <w:t>。本项目生产废水和生产固废均送回转窑焚烧，</w:t>
      </w:r>
      <w:r>
        <w:rPr>
          <w:color w:val="auto"/>
          <w:spacing w:val="-4"/>
        </w:rPr>
        <w:t>确保生产废水及危险废物安全处置</w:t>
      </w:r>
      <w:r>
        <w:rPr>
          <w:color w:val="auto"/>
        </w:rPr>
        <w:t>。</w:t>
      </w:r>
    </w:p>
    <w:p w14:paraId="3A23293E" w14:textId="77777777" w:rsidR="002E474C" w:rsidRDefault="00000000">
      <w:pPr>
        <w:pStyle w:val="A-z"/>
        <w:rPr>
          <w:color w:val="auto"/>
        </w:rPr>
      </w:pPr>
      <w:r>
        <w:rPr>
          <w:color w:val="auto"/>
        </w:rPr>
        <w:t>（</w:t>
      </w:r>
      <w:r>
        <w:rPr>
          <w:color w:val="auto"/>
        </w:rPr>
        <w:t>4</w:t>
      </w:r>
      <w:r>
        <w:rPr>
          <w:color w:val="auto"/>
        </w:rPr>
        <w:t>）根据环境影响预测与分析，本项目运行对大气环境、水环境、声环境、土壤环境及生态环境不会造成明显影响，环境风险可接受。</w:t>
      </w:r>
    </w:p>
    <w:p w14:paraId="71F1F474" w14:textId="77777777" w:rsidR="002E474C" w:rsidRDefault="00000000">
      <w:pPr>
        <w:pStyle w:val="21"/>
        <w:spacing w:before="240" w:after="240"/>
        <w:rPr>
          <w:color w:val="auto"/>
        </w:rPr>
      </w:pPr>
      <w:bookmarkStart w:id="408" w:name="_Toc13366"/>
      <w:bookmarkStart w:id="409" w:name="_Toc131089657"/>
      <w:bookmarkStart w:id="410" w:name="_Toc225848890"/>
      <w:r>
        <w:rPr>
          <w:color w:val="auto"/>
        </w:rPr>
        <w:t>环境质量现状</w:t>
      </w:r>
      <w:bookmarkEnd w:id="408"/>
      <w:bookmarkEnd w:id="409"/>
      <w:bookmarkEnd w:id="410"/>
    </w:p>
    <w:p w14:paraId="6A3C0A89" w14:textId="77777777" w:rsidR="002E474C" w:rsidRDefault="00000000">
      <w:pPr>
        <w:pStyle w:val="A-z"/>
        <w:rPr>
          <w:color w:val="auto"/>
        </w:rPr>
      </w:pPr>
      <w:r>
        <w:rPr>
          <w:color w:val="auto"/>
        </w:rPr>
        <w:t>（</w:t>
      </w:r>
      <w:r>
        <w:rPr>
          <w:color w:val="auto"/>
        </w:rPr>
        <w:t>1</w:t>
      </w:r>
      <w:r>
        <w:rPr>
          <w:color w:val="auto"/>
        </w:rPr>
        <w:t>）环境空气</w:t>
      </w:r>
    </w:p>
    <w:p w14:paraId="1C6D287A" w14:textId="77777777" w:rsidR="002E474C" w:rsidRDefault="00000000">
      <w:pPr>
        <w:pStyle w:val="A-z"/>
        <w:rPr>
          <w:color w:val="auto"/>
        </w:rPr>
      </w:pPr>
      <w:r>
        <w:rPr>
          <w:color w:val="auto"/>
        </w:rPr>
        <w:t>项目所在区域为不达标区。</w:t>
      </w:r>
    </w:p>
    <w:p w14:paraId="22B689B8" w14:textId="77777777" w:rsidR="002E474C" w:rsidRDefault="00000000">
      <w:pPr>
        <w:pStyle w:val="A-z"/>
        <w:rPr>
          <w:color w:val="auto"/>
        </w:rPr>
      </w:pPr>
      <w:r>
        <w:rPr>
          <w:color w:val="auto"/>
        </w:rPr>
        <w:t>区域基本污染物</w:t>
      </w:r>
      <w:r>
        <w:rPr>
          <w:color w:val="auto"/>
        </w:rPr>
        <w:t>SO</w:t>
      </w:r>
      <w:r>
        <w:rPr>
          <w:color w:val="auto"/>
          <w:vertAlign w:val="subscript"/>
        </w:rPr>
        <w:t>2</w:t>
      </w:r>
      <w:r>
        <w:rPr>
          <w:color w:val="auto"/>
        </w:rPr>
        <w:t>、</w:t>
      </w:r>
      <w:r>
        <w:rPr>
          <w:color w:val="auto"/>
        </w:rPr>
        <w:t>NO</w:t>
      </w:r>
      <w:r>
        <w:rPr>
          <w:color w:val="auto"/>
          <w:vertAlign w:val="subscript"/>
        </w:rPr>
        <w:t>2</w:t>
      </w:r>
      <w:r>
        <w:rPr>
          <w:color w:val="auto"/>
        </w:rPr>
        <w:t>的年平均浓度与日平均浓度、</w:t>
      </w:r>
      <w:r>
        <w:rPr>
          <w:color w:val="auto"/>
        </w:rPr>
        <w:t>CO</w:t>
      </w:r>
      <w:r>
        <w:rPr>
          <w:color w:val="auto"/>
        </w:rPr>
        <w:t>日最大</w:t>
      </w:r>
      <w:r>
        <w:rPr>
          <w:color w:val="auto"/>
        </w:rPr>
        <w:t>8h</w:t>
      </w:r>
      <w:r>
        <w:rPr>
          <w:color w:val="auto"/>
        </w:rPr>
        <w:t>平均浓度和</w:t>
      </w:r>
      <w:r>
        <w:rPr>
          <w:color w:val="auto"/>
        </w:rPr>
        <w:t>O</w:t>
      </w:r>
      <w:r>
        <w:rPr>
          <w:color w:val="auto"/>
          <w:vertAlign w:val="subscript"/>
        </w:rPr>
        <w:t>3</w:t>
      </w:r>
      <w:r>
        <w:rPr>
          <w:color w:val="auto"/>
        </w:rPr>
        <w:t>日平均浓度均满足《环境空气质量标准》（</w:t>
      </w:r>
      <w:r>
        <w:rPr>
          <w:color w:val="auto"/>
        </w:rPr>
        <w:t>GB3095-2026</w:t>
      </w:r>
      <w:r>
        <w:rPr>
          <w:color w:val="auto"/>
        </w:rPr>
        <w:t>）过渡阶段二级浓度限值；</w:t>
      </w:r>
      <w:r>
        <w:rPr>
          <w:color w:val="auto"/>
        </w:rPr>
        <w:t>PM</w:t>
      </w:r>
      <w:r>
        <w:rPr>
          <w:color w:val="auto"/>
          <w:vertAlign w:val="subscript"/>
        </w:rPr>
        <w:t>10</w:t>
      </w:r>
      <w:r>
        <w:rPr>
          <w:color w:val="auto"/>
        </w:rPr>
        <w:t>、</w:t>
      </w:r>
      <w:r>
        <w:rPr>
          <w:color w:val="auto"/>
        </w:rPr>
        <w:t>PM</w:t>
      </w:r>
      <w:r>
        <w:rPr>
          <w:color w:val="auto"/>
          <w:vertAlign w:val="subscript"/>
        </w:rPr>
        <w:t>2.5</w:t>
      </w:r>
      <w:r>
        <w:rPr>
          <w:color w:val="auto"/>
        </w:rPr>
        <w:t>年平均浓度与日平均浓度均超过《环境空气质量标准》（</w:t>
      </w:r>
      <w:r>
        <w:rPr>
          <w:color w:val="auto"/>
        </w:rPr>
        <w:t>GB3095-2026</w:t>
      </w:r>
      <w:r>
        <w:rPr>
          <w:color w:val="auto"/>
        </w:rPr>
        <w:t>）过渡阶段二级浓度限值。颗粒物超标主要是由于当地气候干燥、沙尘较多所致。</w:t>
      </w:r>
    </w:p>
    <w:p w14:paraId="4FCE1090" w14:textId="77777777" w:rsidR="002E474C" w:rsidRDefault="00000000">
      <w:pPr>
        <w:pStyle w:val="A-z"/>
        <w:rPr>
          <w:color w:val="auto"/>
        </w:rPr>
      </w:pPr>
      <w:r>
        <w:rPr>
          <w:color w:val="auto"/>
        </w:rPr>
        <w:lastRenderedPageBreak/>
        <w:t>区域</w:t>
      </w:r>
      <w:r>
        <w:rPr>
          <w:color w:val="auto"/>
        </w:rPr>
        <w:t>PM</w:t>
      </w:r>
      <w:r>
        <w:rPr>
          <w:color w:val="auto"/>
          <w:vertAlign w:val="subscript"/>
        </w:rPr>
        <w:t>10</w:t>
      </w:r>
      <w:r>
        <w:rPr>
          <w:color w:val="auto"/>
        </w:rPr>
        <w:t>浓度满足《环境空气质量标准》（</w:t>
      </w:r>
      <w:r>
        <w:rPr>
          <w:color w:val="auto"/>
        </w:rPr>
        <w:t>GB3095-2026</w:t>
      </w:r>
      <w:r>
        <w:rPr>
          <w:color w:val="auto"/>
        </w:rPr>
        <w:t>）过渡阶段二级浓度限值，</w:t>
      </w:r>
      <w:r>
        <w:rPr>
          <w:color w:val="auto"/>
        </w:rPr>
        <w:t>TSP</w:t>
      </w:r>
      <w:r>
        <w:rPr>
          <w:color w:val="auto"/>
        </w:rPr>
        <w:t>、氟化物、铅、镉、砷、汞及其化合物、六价铬浓度满足《环境空气质量标准》（</w:t>
      </w:r>
      <w:r>
        <w:rPr>
          <w:color w:val="auto"/>
        </w:rPr>
        <w:t>GB3095-2026</w:t>
      </w:r>
      <w:r>
        <w:rPr>
          <w:color w:val="auto"/>
        </w:rPr>
        <w:t>）二级浓度限值，氯化氢、氨、硫化氢、锰及其化合物浓度满足《环境影响评价技术导则</w:t>
      </w:r>
      <w:r>
        <w:rPr>
          <w:color w:val="auto"/>
        </w:rPr>
        <w:t xml:space="preserve"> </w:t>
      </w:r>
      <w:r>
        <w:rPr>
          <w:color w:val="auto"/>
        </w:rPr>
        <w:t>大气环境》（</w:t>
      </w:r>
      <w:r>
        <w:rPr>
          <w:color w:val="auto"/>
        </w:rPr>
        <w:t>HJ2.2-2018</w:t>
      </w:r>
      <w:r>
        <w:rPr>
          <w:color w:val="auto"/>
        </w:rPr>
        <w:t>）附录</w:t>
      </w:r>
      <w:r>
        <w:rPr>
          <w:color w:val="auto"/>
        </w:rPr>
        <w:t>D</w:t>
      </w:r>
      <w:r>
        <w:rPr>
          <w:color w:val="auto"/>
        </w:rPr>
        <w:t>限值，二噁英类满足日本环境标准限值，非甲烷总烃、镍及其化合物浓度满足《大气污染物综合排放标准详解》限值。</w:t>
      </w:r>
    </w:p>
    <w:p w14:paraId="2F5E5169" w14:textId="77777777" w:rsidR="002E474C" w:rsidRDefault="00000000">
      <w:pPr>
        <w:pStyle w:val="A-z"/>
        <w:rPr>
          <w:color w:val="auto"/>
        </w:rPr>
      </w:pPr>
      <w:r>
        <w:rPr>
          <w:color w:val="auto"/>
        </w:rPr>
        <w:t>（</w:t>
      </w:r>
      <w:r>
        <w:rPr>
          <w:color w:val="auto"/>
        </w:rPr>
        <w:t>2</w:t>
      </w:r>
      <w:r>
        <w:rPr>
          <w:color w:val="auto"/>
        </w:rPr>
        <w:t>）地下水环境</w:t>
      </w:r>
    </w:p>
    <w:p w14:paraId="5065EE9A" w14:textId="77777777" w:rsidR="002E474C" w:rsidRDefault="00000000">
      <w:pPr>
        <w:pStyle w:val="A-z"/>
        <w:rPr>
          <w:color w:val="auto"/>
          <w:lang w:val="en-US"/>
        </w:rPr>
      </w:pPr>
      <w:r>
        <w:rPr>
          <w:color w:val="auto"/>
        </w:rPr>
        <w:t>区域地下水监测井中</w:t>
      </w:r>
      <w:r>
        <w:rPr>
          <w:color w:val="auto"/>
        </w:rPr>
        <w:t>D1</w:t>
      </w:r>
      <w:r>
        <w:rPr>
          <w:color w:val="auto"/>
        </w:rPr>
        <w:t>、</w:t>
      </w:r>
      <w:r>
        <w:rPr>
          <w:color w:val="auto"/>
        </w:rPr>
        <w:t>D2</w:t>
      </w:r>
      <w:r>
        <w:rPr>
          <w:color w:val="auto"/>
        </w:rPr>
        <w:t>、</w:t>
      </w:r>
      <w:r>
        <w:rPr>
          <w:color w:val="auto"/>
        </w:rPr>
        <w:t>D3</w:t>
      </w:r>
      <w:r>
        <w:rPr>
          <w:color w:val="auto"/>
        </w:rPr>
        <w:t>各监测因子出现总硬度与氯化物超过《地下水质量标准》（</w:t>
      </w:r>
      <w:r>
        <w:rPr>
          <w:color w:val="auto"/>
        </w:rPr>
        <w:t>GB/T14848-2017</w:t>
      </w:r>
      <w:r>
        <w:rPr>
          <w:color w:val="auto"/>
        </w:rPr>
        <w:t>）</w:t>
      </w:r>
      <w:r>
        <w:rPr>
          <w:color w:val="auto"/>
        </w:rPr>
        <w:t>Ⅲ</w:t>
      </w:r>
      <w:r>
        <w:rPr>
          <w:color w:val="auto"/>
        </w:rPr>
        <w:t>类标准。</w:t>
      </w:r>
      <w:r>
        <w:rPr>
          <w:color w:val="auto"/>
        </w:rPr>
        <w:t>D1</w:t>
      </w:r>
      <w:r>
        <w:rPr>
          <w:color w:val="auto"/>
        </w:rPr>
        <w:t>、</w:t>
      </w:r>
      <w:r>
        <w:rPr>
          <w:color w:val="auto"/>
        </w:rPr>
        <w:t>D2</w:t>
      </w:r>
      <w:r>
        <w:rPr>
          <w:color w:val="auto"/>
        </w:rPr>
        <w:t>、</w:t>
      </w:r>
      <w:r>
        <w:rPr>
          <w:color w:val="auto"/>
        </w:rPr>
        <w:t>D3</w:t>
      </w:r>
      <w:r>
        <w:rPr>
          <w:color w:val="auto"/>
        </w:rPr>
        <w:t>除总硬度与氯化物以外的监测因子及</w:t>
      </w:r>
      <w:r>
        <w:rPr>
          <w:color w:val="auto"/>
        </w:rPr>
        <w:t>D4</w:t>
      </w:r>
      <w:r>
        <w:rPr>
          <w:color w:val="auto"/>
        </w:rPr>
        <w:t>、</w:t>
      </w:r>
      <w:r>
        <w:rPr>
          <w:color w:val="auto"/>
        </w:rPr>
        <w:t>D5</w:t>
      </w:r>
      <w:r>
        <w:rPr>
          <w:color w:val="auto"/>
        </w:rPr>
        <w:t>全部监测因子均达到《地下水质量标准》（</w:t>
      </w:r>
      <w:r>
        <w:rPr>
          <w:color w:val="auto"/>
        </w:rPr>
        <w:t>GB/T14848-2017</w:t>
      </w:r>
      <w:r>
        <w:rPr>
          <w:color w:val="auto"/>
        </w:rPr>
        <w:t>）</w:t>
      </w:r>
      <w:r>
        <w:rPr>
          <w:color w:val="auto"/>
        </w:rPr>
        <w:t>Ⅲ</w:t>
      </w:r>
      <w:r>
        <w:rPr>
          <w:color w:val="auto"/>
        </w:rPr>
        <w:t>类标准。考虑到监测井的井深与水位较深，地下水质量超标的总硬度与氯化物</w:t>
      </w:r>
      <w:r>
        <w:rPr>
          <w:color w:val="auto"/>
          <w:lang w:val="en-US"/>
        </w:rPr>
        <w:t>可能与所在区域的地质环境有关。</w:t>
      </w:r>
    </w:p>
    <w:p w14:paraId="717F7265" w14:textId="77777777" w:rsidR="002E474C" w:rsidRDefault="00000000">
      <w:pPr>
        <w:pStyle w:val="A-z"/>
        <w:ind w:firstLine="456"/>
        <w:rPr>
          <w:color w:val="auto"/>
          <w:spacing w:val="-6"/>
        </w:rPr>
      </w:pPr>
      <w:r>
        <w:rPr>
          <w:color w:val="auto"/>
          <w:spacing w:val="-6"/>
        </w:rPr>
        <w:t>厂区及附近区域的包气带未受到污染。</w:t>
      </w:r>
    </w:p>
    <w:p w14:paraId="41546E79" w14:textId="77777777" w:rsidR="002E474C" w:rsidRDefault="00000000">
      <w:pPr>
        <w:pStyle w:val="A-z"/>
        <w:rPr>
          <w:color w:val="auto"/>
          <w:lang w:val="en-US"/>
        </w:rPr>
      </w:pPr>
      <w:r>
        <w:rPr>
          <w:color w:val="auto"/>
          <w:lang w:val="en-US"/>
        </w:rPr>
        <w:t>（</w:t>
      </w:r>
      <w:r>
        <w:rPr>
          <w:color w:val="auto"/>
          <w:lang w:val="en-US"/>
        </w:rPr>
        <w:t>3</w:t>
      </w:r>
      <w:r>
        <w:rPr>
          <w:color w:val="auto"/>
          <w:lang w:val="en-US"/>
        </w:rPr>
        <w:t>）声环境</w:t>
      </w:r>
    </w:p>
    <w:p w14:paraId="5F1EF371" w14:textId="77777777" w:rsidR="002E474C" w:rsidRDefault="00000000">
      <w:pPr>
        <w:pStyle w:val="A-z"/>
        <w:rPr>
          <w:color w:val="auto"/>
        </w:rPr>
      </w:pPr>
      <w:r>
        <w:rPr>
          <w:color w:val="auto"/>
        </w:rPr>
        <w:t>评价区昼间等效</w:t>
      </w:r>
      <w:r>
        <w:rPr>
          <w:color w:val="auto"/>
        </w:rPr>
        <w:t>A</w:t>
      </w:r>
      <w:r>
        <w:rPr>
          <w:color w:val="auto"/>
        </w:rPr>
        <w:t>声级（</w:t>
      </w:r>
      <w:r>
        <w:rPr>
          <w:color w:val="auto"/>
        </w:rPr>
        <w:t>L</w:t>
      </w:r>
      <w:r>
        <w:rPr>
          <w:color w:val="auto"/>
          <w:vertAlign w:val="subscript"/>
        </w:rPr>
        <w:t>d</w:t>
      </w:r>
      <w:r>
        <w:rPr>
          <w:color w:val="auto"/>
        </w:rPr>
        <w:t>）、夜间等效</w:t>
      </w:r>
      <w:r>
        <w:rPr>
          <w:color w:val="auto"/>
        </w:rPr>
        <w:t>A</w:t>
      </w:r>
      <w:r>
        <w:rPr>
          <w:color w:val="auto"/>
        </w:rPr>
        <w:t>声级（</w:t>
      </w:r>
      <w:r>
        <w:rPr>
          <w:color w:val="auto"/>
        </w:rPr>
        <w:t>L</w:t>
      </w:r>
      <w:r>
        <w:rPr>
          <w:color w:val="auto"/>
          <w:vertAlign w:val="subscript"/>
        </w:rPr>
        <w:t>n</w:t>
      </w:r>
      <w:r>
        <w:rPr>
          <w:color w:val="auto"/>
        </w:rPr>
        <w:t>）均满足《声环境质量标准》（</w:t>
      </w:r>
      <w:r>
        <w:rPr>
          <w:color w:val="auto"/>
        </w:rPr>
        <w:t>GB3096-2008</w:t>
      </w:r>
      <w:r>
        <w:rPr>
          <w:color w:val="auto"/>
        </w:rPr>
        <w:t>）</w:t>
      </w:r>
      <w:r>
        <w:rPr>
          <w:color w:val="auto"/>
        </w:rPr>
        <w:t>3</w:t>
      </w:r>
      <w:r>
        <w:rPr>
          <w:color w:val="auto"/>
        </w:rPr>
        <w:t>类标准。</w:t>
      </w:r>
    </w:p>
    <w:p w14:paraId="416E2DF0" w14:textId="77777777" w:rsidR="002E474C" w:rsidRDefault="00000000">
      <w:pPr>
        <w:pStyle w:val="A-z"/>
        <w:rPr>
          <w:color w:val="auto"/>
        </w:rPr>
      </w:pPr>
      <w:r>
        <w:rPr>
          <w:color w:val="auto"/>
        </w:rPr>
        <w:t>（</w:t>
      </w:r>
      <w:r>
        <w:rPr>
          <w:color w:val="auto"/>
        </w:rPr>
        <w:t>4</w:t>
      </w:r>
      <w:r>
        <w:rPr>
          <w:color w:val="auto"/>
        </w:rPr>
        <w:t>）土壤环境</w:t>
      </w:r>
    </w:p>
    <w:p w14:paraId="3AE51BA4" w14:textId="77777777" w:rsidR="002E474C" w:rsidRDefault="00000000">
      <w:pPr>
        <w:pStyle w:val="A-z"/>
        <w:ind w:firstLine="456"/>
        <w:rPr>
          <w:color w:val="auto"/>
          <w:spacing w:val="-6"/>
        </w:rPr>
      </w:pPr>
      <w:r>
        <w:rPr>
          <w:color w:val="auto"/>
          <w:spacing w:val="-6"/>
          <w:lang w:val="en-US"/>
        </w:rPr>
        <w:t>项目场地及周边主要为灰漠土。</w:t>
      </w:r>
      <w:r>
        <w:rPr>
          <w:color w:val="auto"/>
          <w:spacing w:val="-6"/>
        </w:rPr>
        <w:t>评价区各监测因子均满足《土壤环境质量</w:t>
      </w:r>
      <w:r>
        <w:rPr>
          <w:color w:val="auto"/>
          <w:spacing w:val="-6"/>
          <w:lang w:val="en-US"/>
        </w:rPr>
        <w:t xml:space="preserve"> </w:t>
      </w:r>
      <w:r>
        <w:rPr>
          <w:color w:val="auto"/>
          <w:spacing w:val="-6"/>
        </w:rPr>
        <w:t>建设用地土壤污染风险管控标准（试行）》（</w:t>
      </w:r>
      <w:r>
        <w:rPr>
          <w:color w:val="auto"/>
          <w:spacing w:val="-6"/>
        </w:rPr>
        <w:t>GB36600-2018</w:t>
      </w:r>
      <w:r>
        <w:rPr>
          <w:color w:val="auto"/>
          <w:spacing w:val="-6"/>
        </w:rPr>
        <w:t>）中第二类用地筛选值。</w:t>
      </w:r>
    </w:p>
    <w:p w14:paraId="0262390D" w14:textId="77777777" w:rsidR="002E474C" w:rsidRDefault="00000000">
      <w:pPr>
        <w:pStyle w:val="21"/>
        <w:spacing w:before="240" w:after="240"/>
        <w:rPr>
          <w:color w:val="auto"/>
        </w:rPr>
      </w:pPr>
      <w:bookmarkStart w:id="411" w:name="_Toc131089658"/>
      <w:bookmarkStart w:id="412" w:name="_Toc225848891"/>
      <w:bookmarkStart w:id="413" w:name="_Toc6240"/>
      <w:r>
        <w:rPr>
          <w:color w:val="auto"/>
        </w:rPr>
        <w:t>污染物排放</w:t>
      </w:r>
      <w:bookmarkEnd w:id="411"/>
      <w:bookmarkEnd w:id="412"/>
      <w:r>
        <w:rPr>
          <w:color w:val="auto"/>
        </w:rPr>
        <w:t>及总量控制</w:t>
      </w:r>
      <w:bookmarkEnd w:id="413"/>
    </w:p>
    <w:p w14:paraId="0D334C5E" w14:textId="77777777" w:rsidR="002E474C" w:rsidRDefault="00000000">
      <w:pPr>
        <w:pStyle w:val="A-z"/>
        <w:rPr>
          <w:color w:val="auto"/>
        </w:rPr>
      </w:pPr>
      <w:r>
        <w:rPr>
          <w:color w:val="auto"/>
        </w:rPr>
        <w:t>（</w:t>
      </w:r>
      <w:r>
        <w:rPr>
          <w:color w:val="auto"/>
        </w:rPr>
        <w:t>1</w:t>
      </w:r>
      <w:r>
        <w:rPr>
          <w:color w:val="auto"/>
        </w:rPr>
        <w:t>）大气污染物排放</w:t>
      </w:r>
    </w:p>
    <w:p w14:paraId="04055ED0" w14:textId="77777777" w:rsidR="002E474C" w:rsidRDefault="00000000">
      <w:pPr>
        <w:pStyle w:val="A-z"/>
        <w:rPr>
          <w:color w:val="auto"/>
        </w:rPr>
      </w:pPr>
      <w:r>
        <w:rPr>
          <w:color w:val="auto"/>
        </w:rPr>
        <w:t>1</w:t>
      </w:r>
      <w:r>
        <w:rPr>
          <w:color w:val="auto"/>
        </w:rPr>
        <w:t>）回转窑窑尾废气</w:t>
      </w:r>
    </w:p>
    <w:p w14:paraId="5D12FF8F" w14:textId="77777777" w:rsidR="002E474C" w:rsidRDefault="00000000">
      <w:pPr>
        <w:pStyle w:val="A-z"/>
        <w:rPr>
          <w:color w:val="auto"/>
        </w:rPr>
      </w:pPr>
      <w:r>
        <w:rPr>
          <w:color w:val="auto"/>
        </w:rPr>
        <w:t>回转窑窑尾烟气作为协同处置危险废物的主要污染源项，其排放主要污染物包括烟尘、</w:t>
      </w:r>
      <w:r>
        <w:rPr>
          <w:color w:val="auto"/>
        </w:rPr>
        <w:t>SO</w:t>
      </w:r>
      <w:r>
        <w:rPr>
          <w:color w:val="auto"/>
          <w:vertAlign w:val="subscript"/>
        </w:rPr>
        <w:t>2</w:t>
      </w:r>
      <w:r>
        <w:rPr>
          <w:color w:val="auto"/>
        </w:rPr>
        <w:t>、</w:t>
      </w:r>
      <w:r>
        <w:rPr>
          <w:color w:val="auto"/>
        </w:rPr>
        <w:t>NOx</w:t>
      </w:r>
      <w:r>
        <w:rPr>
          <w:color w:val="auto"/>
        </w:rPr>
        <w:t>、</w:t>
      </w:r>
      <w:r>
        <w:rPr>
          <w:color w:val="auto"/>
        </w:rPr>
        <w:t>HCl</w:t>
      </w:r>
      <w:r>
        <w:rPr>
          <w:color w:val="auto"/>
        </w:rPr>
        <w:t>、</w:t>
      </w:r>
      <w:r>
        <w:rPr>
          <w:color w:val="auto"/>
        </w:rPr>
        <w:t>HF</w:t>
      </w:r>
      <w:r>
        <w:rPr>
          <w:color w:val="auto"/>
        </w:rPr>
        <w:t>、重金属、二噁英类等。主要防治措施为</w:t>
      </w:r>
      <w:r>
        <w:rPr>
          <w:color w:val="auto"/>
        </w:rPr>
        <w:t>SNCR+SCR+</w:t>
      </w:r>
      <w:r>
        <w:rPr>
          <w:color w:val="auto"/>
        </w:rPr>
        <w:t>增湿塔（急冷）</w:t>
      </w:r>
      <w:r>
        <w:rPr>
          <w:color w:val="auto"/>
        </w:rPr>
        <w:t>+</w:t>
      </w:r>
      <w:r>
        <w:rPr>
          <w:color w:val="auto"/>
        </w:rPr>
        <w:t>电袋除尘处理后经</w:t>
      </w:r>
      <w:r>
        <w:rPr>
          <w:color w:val="auto"/>
        </w:rPr>
        <w:t>85m</w:t>
      </w:r>
      <w:r>
        <w:rPr>
          <w:color w:val="auto"/>
        </w:rPr>
        <w:t>烟囱高空排放。协同处置危废前后，水泥窑窑尾的烟气量以及颗粒物、</w:t>
      </w:r>
      <w:r>
        <w:rPr>
          <w:color w:val="auto"/>
        </w:rPr>
        <w:t>SO</w:t>
      </w:r>
      <w:r>
        <w:rPr>
          <w:color w:val="auto"/>
          <w:vertAlign w:val="subscript"/>
        </w:rPr>
        <w:t>2</w:t>
      </w:r>
      <w:r>
        <w:rPr>
          <w:color w:val="auto"/>
        </w:rPr>
        <w:t>、</w:t>
      </w:r>
      <w:r>
        <w:rPr>
          <w:color w:val="auto"/>
        </w:rPr>
        <w:t>NOx</w:t>
      </w:r>
      <w:r>
        <w:rPr>
          <w:color w:val="auto"/>
        </w:rPr>
        <w:t>、</w:t>
      </w:r>
      <w:r>
        <w:rPr>
          <w:color w:val="auto"/>
        </w:rPr>
        <w:t>NH</w:t>
      </w:r>
      <w:r>
        <w:rPr>
          <w:color w:val="auto"/>
          <w:vertAlign w:val="subscript"/>
        </w:rPr>
        <w:t>3</w:t>
      </w:r>
      <w:r>
        <w:rPr>
          <w:color w:val="auto"/>
        </w:rPr>
        <w:t>排放情况变化不大。窑尾烟气中颗粒物、</w:t>
      </w:r>
      <w:r>
        <w:rPr>
          <w:color w:val="auto"/>
        </w:rPr>
        <w:t>SO</w:t>
      </w:r>
      <w:r>
        <w:rPr>
          <w:color w:val="auto"/>
          <w:vertAlign w:val="subscript"/>
        </w:rPr>
        <w:t>2</w:t>
      </w:r>
      <w:r>
        <w:rPr>
          <w:color w:val="auto"/>
        </w:rPr>
        <w:t>及</w:t>
      </w:r>
      <w:r>
        <w:rPr>
          <w:color w:val="auto"/>
        </w:rPr>
        <w:t>NO</w:t>
      </w:r>
      <w:r>
        <w:rPr>
          <w:color w:val="auto"/>
          <w:vertAlign w:val="subscript"/>
        </w:rPr>
        <w:t>X</w:t>
      </w:r>
      <w:r>
        <w:rPr>
          <w:color w:val="auto"/>
        </w:rPr>
        <w:t>排放浓度均满足《水泥工业大气污染物排放标准》（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），同时可达到《关于推进实施水泥</w:t>
      </w:r>
      <w:r>
        <w:rPr>
          <w:color w:val="auto"/>
        </w:rPr>
        <w:lastRenderedPageBreak/>
        <w:t>行业超低排放的意见》（环大气〔</w:t>
      </w:r>
      <w:r>
        <w:rPr>
          <w:color w:val="auto"/>
        </w:rPr>
        <w:t>2024</w:t>
      </w:r>
      <w:r>
        <w:rPr>
          <w:color w:val="auto"/>
        </w:rPr>
        <w:t>〕</w:t>
      </w:r>
      <w:r>
        <w:rPr>
          <w:color w:val="auto"/>
        </w:rPr>
        <w:t>5</w:t>
      </w:r>
      <w:r>
        <w:rPr>
          <w:color w:val="auto"/>
        </w:rPr>
        <w:t>号）控制要求；</w:t>
      </w:r>
      <w:r>
        <w:rPr>
          <w:color w:val="auto"/>
        </w:rPr>
        <w:t>NH</w:t>
      </w:r>
      <w:r>
        <w:rPr>
          <w:color w:val="auto"/>
          <w:vertAlign w:val="subscript"/>
        </w:rPr>
        <w:t>3</w:t>
      </w:r>
      <w:r>
        <w:rPr>
          <w:color w:val="auto"/>
        </w:rPr>
        <w:t>、</w:t>
      </w:r>
      <w:r>
        <w:rPr>
          <w:color w:val="auto"/>
        </w:rPr>
        <w:t>HF</w:t>
      </w:r>
      <w:r>
        <w:rPr>
          <w:color w:val="auto"/>
        </w:rPr>
        <w:t>、</w:t>
      </w:r>
      <w:r>
        <w:rPr>
          <w:color w:val="auto"/>
        </w:rPr>
        <w:t>HCl</w:t>
      </w:r>
      <w:r>
        <w:rPr>
          <w:color w:val="auto"/>
        </w:rPr>
        <w:t>、</w:t>
      </w:r>
      <w:r>
        <w:rPr>
          <w:color w:val="auto"/>
        </w:rPr>
        <w:t>Cr</w:t>
      </w:r>
      <w:r>
        <w:rPr>
          <w:color w:val="auto"/>
        </w:rPr>
        <w:t>、</w:t>
      </w:r>
      <w:r>
        <w:rPr>
          <w:color w:val="auto"/>
        </w:rPr>
        <w:t>Cu</w:t>
      </w:r>
      <w:r>
        <w:rPr>
          <w:color w:val="auto"/>
        </w:rPr>
        <w:t>、</w:t>
      </w:r>
      <w:r>
        <w:rPr>
          <w:color w:val="auto"/>
        </w:rPr>
        <w:t>Cd</w:t>
      </w:r>
      <w:r>
        <w:rPr>
          <w:color w:val="auto"/>
        </w:rPr>
        <w:t>、</w:t>
      </w:r>
      <w:r>
        <w:rPr>
          <w:color w:val="auto"/>
        </w:rPr>
        <w:t>Pb</w:t>
      </w:r>
      <w:r>
        <w:rPr>
          <w:color w:val="auto"/>
        </w:rPr>
        <w:t>、</w:t>
      </w:r>
      <w:r>
        <w:rPr>
          <w:color w:val="auto"/>
        </w:rPr>
        <w:t>Ni</w:t>
      </w:r>
      <w:r>
        <w:rPr>
          <w:color w:val="auto"/>
        </w:rPr>
        <w:t>、</w:t>
      </w:r>
      <w:r>
        <w:rPr>
          <w:color w:val="auto"/>
        </w:rPr>
        <w:t>Mn</w:t>
      </w:r>
      <w:r>
        <w:rPr>
          <w:color w:val="auto"/>
        </w:rPr>
        <w:t>、</w:t>
      </w:r>
      <w:r>
        <w:rPr>
          <w:color w:val="auto"/>
        </w:rPr>
        <w:t>As</w:t>
      </w:r>
      <w:r>
        <w:rPr>
          <w:color w:val="auto"/>
        </w:rPr>
        <w:t>、</w:t>
      </w:r>
      <w:r>
        <w:rPr>
          <w:color w:val="auto"/>
        </w:rPr>
        <w:t>Hg</w:t>
      </w:r>
      <w:r>
        <w:rPr>
          <w:color w:val="auto"/>
        </w:rPr>
        <w:t>、</w:t>
      </w:r>
      <w:r>
        <w:rPr>
          <w:color w:val="auto"/>
        </w:rPr>
        <w:t>T1+Cd+Pb+As</w:t>
      </w:r>
      <w:r>
        <w:rPr>
          <w:color w:val="auto"/>
        </w:rPr>
        <w:t>、</w:t>
      </w:r>
      <w:r>
        <w:rPr>
          <w:color w:val="auto"/>
        </w:rPr>
        <w:t>Be+Cr+Sn+Sb+Cu+Co+Mn+Ni+V</w:t>
      </w:r>
      <w:r>
        <w:rPr>
          <w:color w:val="auto"/>
        </w:rPr>
        <w:t>、二噁英类排放浓度均</w:t>
      </w:r>
      <w:r>
        <w:rPr>
          <w:color w:val="auto"/>
          <w:kern w:val="0"/>
        </w:rPr>
        <w:t>满足《水泥窑协同处置固体废物污染控制标准》（</w:t>
      </w:r>
      <w:r>
        <w:rPr>
          <w:color w:val="auto"/>
          <w:kern w:val="0"/>
        </w:rPr>
        <w:t>GB30485-2013</w:t>
      </w:r>
      <w:r>
        <w:rPr>
          <w:color w:val="auto"/>
          <w:kern w:val="0"/>
        </w:rPr>
        <w:t>）。</w:t>
      </w:r>
    </w:p>
    <w:p w14:paraId="3CE2EFC3" w14:textId="77777777" w:rsidR="002E474C" w:rsidRDefault="00000000">
      <w:pPr>
        <w:pStyle w:val="A-z"/>
        <w:rPr>
          <w:color w:val="auto"/>
        </w:rPr>
      </w:pPr>
      <w:r>
        <w:rPr>
          <w:color w:val="auto"/>
        </w:rPr>
        <w:t>2</w:t>
      </w:r>
      <w:r>
        <w:rPr>
          <w:color w:val="auto"/>
        </w:rPr>
        <w:t>）危废贮存废气</w:t>
      </w:r>
    </w:p>
    <w:p w14:paraId="6914E47A" w14:textId="77777777" w:rsidR="002E474C" w:rsidRDefault="00000000">
      <w:pPr>
        <w:pStyle w:val="A-z"/>
        <w:rPr>
          <w:color w:val="auto"/>
          <w:lang w:val="en-US"/>
        </w:rPr>
      </w:pPr>
      <w:r>
        <w:rPr>
          <w:color w:val="auto"/>
        </w:rPr>
        <w:t>危废贮存库和固态危废预处理车间设置一套负压系统，收集的废气送至</w:t>
      </w:r>
      <w:r>
        <w:rPr>
          <w:color w:val="auto"/>
          <w:lang w:val="en-US"/>
        </w:rPr>
        <w:t>活性炭吸附装置（两级活性炭）</w:t>
      </w:r>
    </w:p>
    <w:p w14:paraId="618E17F3" w14:textId="77777777" w:rsidR="002E474C" w:rsidRDefault="00000000">
      <w:pPr>
        <w:pStyle w:val="A-z"/>
        <w:rPr>
          <w:color w:val="auto"/>
        </w:rPr>
      </w:pPr>
      <w:r>
        <w:rPr>
          <w:color w:val="auto"/>
        </w:rPr>
        <w:t>处理后经</w:t>
      </w:r>
      <w:r>
        <w:rPr>
          <w:color w:val="auto"/>
        </w:rPr>
        <w:t>15m</w:t>
      </w:r>
      <w:r>
        <w:rPr>
          <w:color w:val="auto"/>
        </w:rPr>
        <w:t>排气筒排放，非甲烷总烃排放满足《大气污染物综合排放标准》（</w:t>
      </w:r>
      <w:r>
        <w:rPr>
          <w:color w:val="auto"/>
        </w:rPr>
        <w:t>GB16297-1996</w:t>
      </w:r>
      <w:r>
        <w:rPr>
          <w:color w:val="auto"/>
        </w:rPr>
        <w:t>）表</w:t>
      </w:r>
      <w:r>
        <w:rPr>
          <w:color w:val="auto"/>
        </w:rPr>
        <w:t>2</w:t>
      </w:r>
      <w:r>
        <w:rPr>
          <w:color w:val="auto"/>
        </w:rPr>
        <w:t>中新污染源二级排放限值；</w:t>
      </w:r>
      <w:r>
        <w:rPr>
          <w:color w:val="auto"/>
        </w:rPr>
        <w:t>H</w:t>
      </w:r>
      <w:r>
        <w:rPr>
          <w:color w:val="auto"/>
          <w:vertAlign w:val="subscript"/>
        </w:rPr>
        <w:t>2</w:t>
      </w:r>
      <w:r>
        <w:rPr>
          <w:color w:val="auto"/>
        </w:rPr>
        <w:t>S</w:t>
      </w:r>
      <w:r>
        <w:rPr>
          <w:color w:val="auto"/>
        </w:rPr>
        <w:t>、</w:t>
      </w:r>
      <w:r>
        <w:rPr>
          <w:color w:val="auto"/>
        </w:rPr>
        <w:t>NH</w:t>
      </w:r>
      <w:r>
        <w:rPr>
          <w:color w:val="auto"/>
          <w:vertAlign w:val="subscript"/>
        </w:rPr>
        <w:t>3</w:t>
      </w:r>
      <w:r>
        <w:rPr>
          <w:color w:val="auto"/>
        </w:rPr>
        <w:t>排放速率满足《恶臭污染物排放标准》（</w:t>
      </w:r>
      <w:r>
        <w:rPr>
          <w:color w:val="auto"/>
        </w:rPr>
        <w:t>GB14554-93</w:t>
      </w:r>
      <w:r>
        <w:rPr>
          <w:color w:val="auto"/>
        </w:rPr>
        <w:t>）表</w:t>
      </w:r>
      <w:r>
        <w:rPr>
          <w:color w:val="auto"/>
        </w:rPr>
        <w:t>2</w:t>
      </w:r>
      <w:r>
        <w:rPr>
          <w:color w:val="auto"/>
        </w:rPr>
        <w:t>排放限值。</w:t>
      </w:r>
    </w:p>
    <w:p w14:paraId="2339BA3E" w14:textId="77777777" w:rsidR="002E474C" w:rsidRDefault="00000000">
      <w:pPr>
        <w:pStyle w:val="A-z"/>
        <w:rPr>
          <w:color w:val="auto"/>
        </w:rPr>
      </w:pPr>
      <w:r>
        <w:rPr>
          <w:color w:val="auto"/>
        </w:rPr>
        <w:t>3</w:t>
      </w:r>
      <w:r>
        <w:rPr>
          <w:color w:val="auto"/>
        </w:rPr>
        <w:t>）无组织废气</w:t>
      </w:r>
    </w:p>
    <w:p w14:paraId="78AAA4C0" w14:textId="77777777" w:rsidR="002E474C" w:rsidRDefault="00000000">
      <w:pPr>
        <w:pStyle w:val="A-z"/>
        <w:rPr>
          <w:color w:val="auto"/>
        </w:rPr>
      </w:pPr>
      <w:r>
        <w:rPr>
          <w:color w:val="auto"/>
        </w:rPr>
        <w:t>固态危废预处理车间内的破碎间采用集气罩</w:t>
      </w:r>
      <w:r>
        <w:rPr>
          <w:color w:val="auto"/>
        </w:rPr>
        <w:t>+</w:t>
      </w:r>
      <w:r>
        <w:rPr>
          <w:color w:val="auto"/>
        </w:rPr>
        <w:t>布袋除尘器处理后车间内排放。危废贮存库和固态危废预处理车间贮存区产生的废气，主要污染物为氨气、硫化氢、挥发性有机物（以非甲烷总烃计）。危废贮存库和固态危废预处理车间产生的废气经负压集气后采用两级活性炭吸附装置处理后经</w:t>
      </w:r>
      <w:r>
        <w:rPr>
          <w:color w:val="auto"/>
        </w:rPr>
        <w:t>15m</w:t>
      </w:r>
      <w:r>
        <w:rPr>
          <w:color w:val="auto"/>
        </w:rPr>
        <w:t>排气筒排放。危废贮存库和固态危废预处理车间仅存在少量无组织有害气体排放。厂界无组织</w:t>
      </w:r>
      <w:r>
        <w:rPr>
          <w:color w:val="auto"/>
        </w:rPr>
        <w:t>H</w:t>
      </w:r>
      <w:r>
        <w:rPr>
          <w:color w:val="auto"/>
          <w:vertAlign w:val="subscript"/>
        </w:rPr>
        <w:t>2</w:t>
      </w:r>
      <w:r>
        <w:rPr>
          <w:color w:val="auto"/>
        </w:rPr>
        <w:t>S</w:t>
      </w:r>
      <w:r>
        <w:rPr>
          <w:color w:val="auto"/>
        </w:rPr>
        <w:t>、臭气浓度排放满足《恶臭污染物排放标准》（</w:t>
      </w:r>
      <w:r>
        <w:rPr>
          <w:color w:val="auto"/>
        </w:rPr>
        <w:t>GB14554-93</w:t>
      </w:r>
      <w:r>
        <w:rPr>
          <w:color w:val="auto"/>
        </w:rPr>
        <w:t>）表</w:t>
      </w:r>
      <w:r>
        <w:rPr>
          <w:color w:val="auto"/>
        </w:rPr>
        <w:t>1</w:t>
      </w:r>
      <w:r>
        <w:rPr>
          <w:color w:val="auto"/>
        </w:rPr>
        <w:t>新扩改建二级标准，</w:t>
      </w:r>
      <w:r>
        <w:rPr>
          <w:color w:val="auto"/>
        </w:rPr>
        <w:t>NH</w:t>
      </w:r>
      <w:r>
        <w:rPr>
          <w:color w:val="auto"/>
          <w:vertAlign w:val="subscript"/>
        </w:rPr>
        <w:t>3</w:t>
      </w:r>
      <w:r>
        <w:rPr>
          <w:color w:val="auto"/>
        </w:rPr>
        <w:t>排放满足《水泥工业大气污染物排放标准》（</w:t>
      </w:r>
      <w:r>
        <w:rPr>
          <w:rFonts w:hint="eastAsia"/>
          <w:color w:val="auto"/>
          <w:lang w:val="en-US"/>
        </w:rPr>
        <w:t>GB 4915-2013</w:t>
      </w:r>
      <w:r>
        <w:rPr>
          <w:rFonts w:hint="eastAsia"/>
          <w:color w:val="auto"/>
          <w:lang w:val="en-US"/>
        </w:rPr>
        <w:t>，含</w:t>
      </w:r>
      <w:r>
        <w:rPr>
          <w:rFonts w:hint="eastAsia"/>
          <w:color w:val="auto"/>
          <w:lang w:val="en-US"/>
        </w:rPr>
        <w:t>2025</w:t>
      </w:r>
      <w:r>
        <w:rPr>
          <w:rFonts w:hint="eastAsia"/>
          <w:color w:val="auto"/>
          <w:lang w:val="en-US"/>
        </w:rPr>
        <w:t>年修改单</w:t>
      </w:r>
      <w:r>
        <w:rPr>
          <w:color w:val="auto"/>
        </w:rPr>
        <w:t>）表</w:t>
      </w:r>
      <w:r>
        <w:rPr>
          <w:color w:val="auto"/>
        </w:rPr>
        <w:t>3</w:t>
      </w:r>
      <w:r>
        <w:rPr>
          <w:color w:val="auto"/>
        </w:rPr>
        <w:t>限值，</w:t>
      </w:r>
      <w:r>
        <w:rPr>
          <w:color w:val="auto"/>
        </w:rPr>
        <w:t>NMHC</w:t>
      </w:r>
      <w:r>
        <w:rPr>
          <w:color w:val="auto"/>
        </w:rPr>
        <w:t>排放满足《大气污染物综合排放标准》（</w:t>
      </w:r>
      <w:r>
        <w:rPr>
          <w:color w:val="auto"/>
        </w:rPr>
        <w:t>GB16297-1996</w:t>
      </w:r>
      <w:r>
        <w:rPr>
          <w:color w:val="auto"/>
        </w:rPr>
        <w:t>）表</w:t>
      </w:r>
      <w:r>
        <w:rPr>
          <w:color w:val="auto"/>
        </w:rPr>
        <w:t>2</w:t>
      </w:r>
      <w:r>
        <w:rPr>
          <w:color w:val="auto"/>
        </w:rPr>
        <w:t>限值。厂区内</w:t>
      </w:r>
      <w:r>
        <w:rPr>
          <w:color w:val="auto"/>
        </w:rPr>
        <w:t>NMHC</w:t>
      </w:r>
      <w:r>
        <w:rPr>
          <w:color w:val="auto"/>
        </w:rPr>
        <w:t>无组织排放满足《挥发性有机物无组织排放控制标准》（</w:t>
      </w:r>
      <w:r>
        <w:rPr>
          <w:color w:val="auto"/>
        </w:rPr>
        <w:t>GB37822-2019</w:t>
      </w:r>
      <w:r>
        <w:rPr>
          <w:color w:val="auto"/>
        </w:rPr>
        <w:t>）中表</w:t>
      </w:r>
      <w:r>
        <w:rPr>
          <w:color w:val="auto"/>
        </w:rPr>
        <w:t>A.1</w:t>
      </w:r>
      <w:r>
        <w:rPr>
          <w:color w:val="auto"/>
        </w:rPr>
        <w:t>排放限值。</w:t>
      </w:r>
    </w:p>
    <w:p w14:paraId="457F5DD9" w14:textId="77777777" w:rsidR="002E474C" w:rsidRDefault="00000000">
      <w:pPr>
        <w:pStyle w:val="A-z"/>
        <w:rPr>
          <w:color w:val="auto"/>
        </w:rPr>
      </w:pPr>
      <w:r>
        <w:rPr>
          <w:color w:val="auto"/>
        </w:rPr>
        <w:t>（</w:t>
      </w:r>
      <w:r>
        <w:rPr>
          <w:color w:val="auto"/>
        </w:rPr>
        <w:t>2</w:t>
      </w:r>
      <w:r>
        <w:rPr>
          <w:color w:val="auto"/>
        </w:rPr>
        <w:t>）水污染物排放</w:t>
      </w:r>
    </w:p>
    <w:p w14:paraId="424030AA" w14:textId="77777777" w:rsidR="002E474C" w:rsidRDefault="00000000">
      <w:pPr>
        <w:pStyle w:val="A-z"/>
        <w:rPr>
          <w:color w:val="auto"/>
        </w:rPr>
      </w:pPr>
      <w:r>
        <w:rPr>
          <w:color w:val="auto"/>
        </w:rPr>
        <w:t>本项目车辆及容器清洗废水、设备检修清洗废水量，收集后经液态危废处置系统喷入回转窑焚烧处置，不外排。</w:t>
      </w:r>
    </w:p>
    <w:p w14:paraId="3397B3A3" w14:textId="77777777" w:rsidR="002E474C" w:rsidRDefault="00000000">
      <w:pPr>
        <w:pStyle w:val="A-z"/>
        <w:rPr>
          <w:color w:val="auto"/>
        </w:rPr>
      </w:pPr>
      <w:r>
        <w:rPr>
          <w:color w:val="auto"/>
        </w:rPr>
        <w:t>本项目新增生活污水由厂区现有管网排入厂内综合污水处理站处理后回用于循环水系统补水，不外排。</w:t>
      </w:r>
    </w:p>
    <w:p w14:paraId="5DD351CC" w14:textId="77777777" w:rsidR="002E474C" w:rsidRDefault="00000000">
      <w:pPr>
        <w:pStyle w:val="A-z"/>
        <w:rPr>
          <w:color w:val="auto"/>
        </w:rPr>
      </w:pPr>
      <w:r>
        <w:rPr>
          <w:color w:val="auto"/>
        </w:rPr>
        <w:t>（</w:t>
      </w:r>
      <w:r>
        <w:rPr>
          <w:color w:val="auto"/>
        </w:rPr>
        <w:t>3</w:t>
      </w:r>
      <w:r>
        <w:rPr>
          <w:color w:val="auto"/>
        </w:rPr>
        <w:t>）噪声排放</w:t>
      </w:r>
    </w:p>
    <w:p w14:paraId="0EF5FA4B" w14:textId="77777777" w:rsidR="002E474C" w:rsidRDefault="00000000">
      <w:pPr>
        <w:pStyle w:val="A-z"/>
        <w:rPr>
          <w:color w:val="auto"/>
        </w:rPr>
      </w:pPr>
      <w:r>
        <w:rPr>
          <w:color w:val="auto"/>
        </w:rPr>
        <w:t>本项目新增噪声源主要包括破碎机、泵类、风机等工作时产生噪声。各类声源的噪声级在</w:t>
      </w:r>
      <w:r>
        <w:rPr>
          <w:color w:val="auto"/>
        </w:rPr>
        <w:t>75</w:t>
      </w:r>
      <w:r>
        <w:rPr>
          <w:color w:val="auto"/>
        </w:rPr>
        <w:t>～</w:t>
      </w:r>
      <w:r>
        <w:rPr>
          <w:color w:val="auto"/>
        </w:rPr>
        <w:t>90dB</w:t>
      </w:r>
      <w:r>
        <w:rPr>
          <w:color w:val="auto"/>
        </w:rPr>
        <w:t>（</w:t>
      </w:r>
      <w:r>
        <w:rPr>
          <w:color w:val="auto"/>
        </w:rPr>
        <w:t>A</w:t>
      </w:r>
      <w:r>
        <w:rPr>
          <w:color w:val="auto"/>
        </w:rPr>
        <w:t>）之间。预测结果表明，厂界噪声满足《工业企业厂界环境噪声排放标准》（</w:t>
      </w:r>
      <w:r>
        <w:rPr>
          <w:color w:val="auto"/>
        </w:rPr>
        <w:t>GB12348-2008</w:t>
      </w:r>
      <w:r>
        <w:rPr>
          <w:color w:val="auto"/>
        </w:rPr>
        <w:t>）中</w:t>
      </w:r>
      <w:r>
        <w:rPr>
          <w:color w:val="auto"/>
        </w:rPr>
        <w:t>3</w:t>
      </w:r>
      <w:r>
        <w:rPr>
          <w:color w:val="auto"/>
        </w:rPr>
        <w:t>类区环境噪声排放限值。</w:t>
      </w:r>
    </w:p>
    <w:p w14:paraId="0D8FDA67" w14:textId="77777777" w:rsidR="002E474C" w:rsidRDefault="00000000">
      <w:pPr>
        <w:pStyle w:val="A-z"/>
        <w:rPr>
          <w:color w:val="auto"/>
        </w:rPr>
      </w:pPr>
      <w:r>
        <w:rPr>
          <w:color w:val="auto"/>
        </w:rPr>
        <w:lastRenderedPageBreak/>
        <w:t>（</w:t>
      </w:r>
      <w:r>
        <w:rPr>
          <w:color w:val="auto"/>
        </w:rPr>
        <w:t>4</w:t>
      </w:r>
      <w:r>
        <w:rPr>
          <w:color w:val="auto"/>
        </w:rPr>
        <w:t>）固体废物产生与处置情况</w:t>
      </w:r>
    </w:p>
    <w:p w14:paraId="62BA5C03" w14:textId="77777777" w:rsidR="002E474C" w:rsidRDefault="00000000">
      <w:pPr>
        <w:pStyle w:val="A-z"/>
        <w:rPr>
          <w:color w:val="auto"/>
        </w:rPr>
      </w:pPr>
      <w:r>
        <w:rPr>
          <w:color w:val="auto"/>
        </w:rPr>
        <w:t>本项目产生的废包装物、预处理滤渣、污水污泥、废活性炭、废滤袋、废润滑油等固体废物，投入水泥窑处置。生活垃圾运至圣雄股份公司垃圾场处理。</w:t>
      </w:r>
    </w:p>
    <w:p w14:paraId="2268BA94" w14:textId="77777777" w:rsidR="002E474C" w:rsidRDefault="00000000">
      <w:pPr>
        <w:pStyle w:val="A-z"/>
        <w:rPr>
          <w:color w:val="auto"/>
        </w:rPr>
      </w:pPr>
      <w:r>
        <w:rPr>
          <w:color w:val="auto"/>
        </w:rPr>
        <w:t>（</w:t>
      </w:r>
      <w:r>
        <w:rPr>
          <w:color w:val="auto"/>
        </w:rPr>
        <w:t>5</w:t>
      </w:r>
      <w:r>
        <w:rPr>
          <w:color w:val="auto"/>
        </w:rPr>
        <w:t>）总量控制</w:t>
      </w:r>
    </w:p>
    <w:p w14:paraId="26CA914A" w14:textId="77777777" w:rsidR="002E474C" w:rsidRDefault="00000000">
      <w:pPr>
        <w:pStyle w:val="A-z"/>
        <w:rPr>
          <w:color w:val="auto"/>
        </w:rPr>
      </w:pPr>
      <w:r>
        <w:rPr>
          <w:color w:val="auto"/>
        </w:rPr>
        <w:t>危废贮存库及固态危废预处理车间有组织废气排放</w:t>
      </w:r>
      <w:r>
        <w:rPr>
          <w:color w:val="auto"/>
        </w:rPr>
        <w:t>VOCs0.45t/a</w:t>
      </w:r>
      <w:r>
        <w:rPr>
          <w:color w:val="auto"/>
        </w:rPr>
        <w:t>，无组织废气排放</w:t>
      </w:r>
      <w:r>
        <w:rPr>
          <w:color w:val="auto"/>
        </w:rPr>
        <w:t>VOCs0.</w:t>
      </w:r>
      <w:r>
        <w:rPr>
          <w:rFonts w:hint="eastAsia"/>
          <w:color w:val="auto"/>
        </w:rPr>
        <w:t>500</w:t>
      </w:r>
      <w:r>
        <w:rPr>
          <w:color w:val="auto"/>
        </w:rPr>
        <w:t>t/a</w:t>
      </w:r>
      <w:r>
        <w:rPr>
          <w:color w:val="auto"/>
        </w:rPr>
        <w:t>，合计</w:t>
      </w:r>
      <w:r>
        <w:rPr>
          <w:color w:val="auto"/>
        </w:rPr>
        <w:t>0.</w:t>
      </w:r>
      <w:r>
        <w:rPr>
          <w:rFonts w:hint="eastAsia"/>
          <w:color w:val="auto"/>
        </w:rPr>
        <w:t>950</w:t>
      </w:r>
      <w:r>
        <w:rPr>
          <w:color w:val="auto"/>
        </w:rPr>
        <w:t>t/a</w:t>
      </w:r>
      <w:r>
        <w:rPr>
          <w:color w:val="auto"/>
        </w:rPr>
        <w:t>。本项目大气污染物排放总量控制指标为</w:t>
      </w:r>
      <w:r>
        <w:rPr>
          <w:color w:val="auto"/>
        </w:rPr>
        <w:t>VOCs0.</w:t>
      </w:r>
      <w:r>
        <w:rPr>
          <w:rFonts w:hint="eastAsia"/>
          <w:color w:val="auto"/>
        </w:rPr>
        <w:t>950</w:t>
      </w:r>
      <w:r>
        <w:rPr>
          <w:color w:val="auto"/>
        </w:rPr>
        <w:t>t/a</w:t>
      </w:r>
      <w:r>
        <w:rPr>
          <w:color w:val="auto"/>
        </w:rPr>
        <w:t>。</w:t>
      </w:r>
    </w:p>
    <w:p w14:paraId="44348F56" w14:textId="77777777" w:rsidR="002E474C" w:rsidRDefault="00000000">
      <w:pPr>
        <w:pStyle w:val="21"/>
        <w:spacing w:before="240" w:after="240"/>
        <w:rPr>
          <w:color w:val="auto"/>
        </w:rPr>
      </w:pPr>
      <w:bookmarkStart w:id="414" w:name="_Toc78482208"/>
      <w:bookmarkStart w:id="415" w:name="_Toc225848892"/>
      <w:bookmarkStart w:id="416" w:name="_Toc131089661"/>
      <w:bookmarkStart w:id="417" w:name="_Toc9327"/>
      <w:bookmarkStart w:id="418" w:name="_Toc109829222"/>
      <w:r>
        <w:rPr>
          <w:color w:val="auto"/>
        </w:rPr>
        <w:t>环境保护措施</w:t>
      </w:r>
      <w:bookmarkEnd w:id="414"/>
      <w:bookmarkEnd w:id="415"/>
      <w:bookmarkEnd w:id="416"/>
      <w:bookmarkEnd w:id="417"/>
      <w:bookmarkEnd w:id="418"/>
    </w:p>
    <w:p w14:paraId="2F6BACB6" w14:textId="77777777" w:rsidR="002E474C" w:rsidRDefault="00000000">
      <w:pPr>
        <w:pStyle w:val="A-z"/>
        <w:rPr>
          <w:color w:val="auto"/>
        </w:rPr>
      </w:pPr>
      <w:r>
        <w:rPr>
          <w:color w:val="auto"/>
        </w:rPr>
        <w:t>（</w:t>
      </w:r>
      <w:r>
        <w:rPr>
          <w:color w:val="auto"/>
        </w:rPr>
        <w:t>1</w:t>
      </w:r>
      <w:r>
        <w:rPr>
          <w:color w:val="auto"/>
        </w:rPr>
        <w:t>）环境空气保护措施</w:t>
      </w:r>
    </w:p>
    <w:p w14:paraId="50CD8D1F" w14:textId="77777777" w:rsidR="002E474C" w:rsidRDefault="00000000">
      <w:pPr>
        <w:pStyle w:val="A-z"/>
        <w:rPr>
          <w:color w:val="auto"/>
        </w:rPr>
      </w:pPr>
      <w:r>
        <w:rPr>
          <w:color w:val="auto"/>
        </w:rPr>
        <w:t>1</w:t>
      </w:r>
      <w:r>
        <w:rPr>
          <w:color w:val="auto"/>
        </w:rPr>
        <w:t>）水泥窑窑尾废气</w:t>
      </w:r>
    </w:p>
    <w:p w14:paraId="78ABB147" w14:textId="77777777" w:rsidR="002E474C" w:rsidRDefault="00000000">
      <w:pPr>
        <w:pStyle w:val="A-z"/>
        <w:rPr>
          <w:color w:val="auto"/>
        </w:rPr>
      </w:pPr>
      <w:r>
        <w:rPr>
          <w:color w:val="auto"/>
        </w:rPr>
        <w:t>烧成系统水泥窑窑尾废气治理措施为</w:t>
      </w:r>
      <w:r>
        <w:rPr>
          <w:color w:val="auto"/>
        </w:rPr>
        <w:t>SNCR+SCR+</w:t>
      </w:r>
      <w:r>
        <w:rPr>
          <w:color w:val="auto"/>
        </w:rPr>
        <w:t>增湿塔（急冷）</w:t>
      </w:r>
      <w:r>
        <w:rPr>
          <w:color w:val="auto"/>
        </w:rPr>
        <w:t>+</w:t>
      </w:r>
      <w:r>
        <w:rPr>
          <w:color w:val="auto"/>
        </w:rPr>
        <w:t>电袋除尘器处理后经</w:t>
      </w:r>
      <w:r>
        <w:rPr>
          <w:color w:val="auto"/>
        </w:rPr>
        <w:t>85m</w:t>
      </w:r>
      <w:r>
        <w:rPr>
          <w:color w:val="auto"/>
        </w:rPr>
        <w:t>烟囱高空排放。</w:t>
      </w:r>
    </w:p>
    <w:p w14:paraId="6DBCFAE2" w14:textId="77777777" w:rsidR="002E474C" w:rsidRDefault="00000000">
      <w:pPr>
        <w:pStyle w:val="A-z"/>
        <w:rPr>
          <w:color w:val="auto"/>
        </w:rPr>
      </w:pPr>
      <w:r>
        <w:rPr>
          <w:color w:val="auto"/>
        </w:rPr>
        <w:t>2</w:t>
      </w:r>
      <w:r>
        <w:rPr>
          <w:color w:val="auto"/>
        </w:rPr>
        <w:t>）危废贮存废气</w:t>
      </w:r>
    </w:p>
    <w:p w14:paraId="05F1A751" w14:textId="77777777" w:rsidR="002E474C" w:rsidRDefault="00000000">
      <w:pPr>
        <w:pStyle w:val="A-z"/>
        <w:rPr>
          <w:color w:val="auto"/>
        </w:rPr>
      </w:pPr>
      <w:r>
        <w:rPr>
          <w:color w:val="auto"/>
        </w:rPr>
        <w:t>固态危废预处理车间内的破碎间采用集气罩</w:t>
      </w:r>
      <w:r>
        <w:rPr>
          <w:color w:val="auto"/>
        </w:rPr>
        <w:t>+</w:t>
      </w:r>
      <w:r>
        <w:rPr>
          <w:color w:val="auto"/>
        </w:rPr>
        <w:t>布袋除尘器处理后车间内排放。危废贮存库和固态危废预处理车间设置设一套负压系统，废气送两级活性炭吸附处理后经</w:t>
      </w:r>
      <w:r>
        <w:rPr>
          <w:color w:val="auto"/>
        </w:rPr>
        <w:t>15m</w:t>
      </w:r>
      <w:r>
        <w:rPr>
          <w:color w:val="auto"/>
        </w:rPr>
        <w:t>排气筒排放。</w:t>
      </w:r>
    </w:p>
    <w:p w14:paraId="22AC819B" w14:textId="77777777" w:rsidR="002E474C" w:rsidRDefault="00000000">
      <w:pPr>
        <w:pStyle w:val="A-z"/>
        <w:rPr>
          <w:color w:val="auto"/>
        </w:rPr>
      </w:pPr>
      <w:r>
        <w:rPr>
          <w:color w:val="auto"/>
        </w:rPr>
        <w:t>（</w:t>
      </w:r>
      <w:r>
        <w:rPr>
          <w:color w:val="auto"/>
        </w:rPr>
        <w:t>2</w:t>
      </w:r>
      <w:r>
        <w:rPr>
          <w:color w:val="auto"/>
        </w:rPr>
        <w:t>）水环境保护措施</w:t>
      </w:r>
    </w:p>
    <w:p w14:paraId="4EF4CD1B" w14:textId="77777777" w:rsidR="002E474C" w:rsidRDefault="00000000">
      <w:pPr>
        <w:pStyle w:val="A-z"/>
        <w:rPr>
          <w:color w:val="auto"/>
        </w:rPr>
      </w:pPr>
      <w:r>
        <w:rPr>
          <w:color w:val="auto"/>
        </w:rPr>
        <w:t>项目生产废水包括车辆及容器清洗废水、设备检修清洗废水，送入水泥窑焚烧处置，不外排。</w:t>
      </w:r>
    </w:p>
    <w:p w14:paraId="206D6EAF" w14:textId="77777777" w:rsidR="002E474C" w:rsidRDefault="00000000">
      <w:pPr>
        <w:pStyle w:val="A-z"/>
        <w:rPr>
          <w:color w:val="auto"/>
        </w:rPr>
      </w:pPr>
      <w:r>
        <w:rPr>
          <w:color w:val="auto"/>
        </w:rPr>
        <w:t>为防止项目产生的废水、废液下渗对地下水造成污染，企业拟采取严格的分区防渗措施。危废贮存库、固态危废预处理车间、车辆清洗场所、污水收集系统等场地均为重点污染防治区，严格按照《危险废物贮存污染控制标准》（</w:t>
      </w:r>
      <w:r>
        <w:rPr>
          <w:color w:val="auto"/>
        </w:rPr>
        <w:t>GB18597-2023</w:t>
      </w:r>
      <w:r>
        <w:rPr>
          <w:color w:val="auto"/>
        </w:rPr>
        <w:t>）的要求采取防腐、防渗措施。</w:t>
      </w:r>
    </w:p>
    <w:p w14:paraId="213BFC4E" w14:textId="77777777" w:rsidR="002E474C" w:rsidRDefault="00000000">
      <w:pPr>
        <w:pStyle w:val="A-z"/>
        <w:rPr>
          <w:color w:val="auto"/>
        </w:rPr>
      </w:pPr>
      <w:r>
        <w:rPr>
          <w:color w:val="auto"/>
        </w:rPr>
        <w:t>本评价要求，企业应根据《环境影响评价技术导则</w:t>
      </w:r>
      <w:r>
        <w:rPr>
          <w:color w:val="auto"/>
        </w:rPr>
        <w:t xml:space="preserve"> </w:t>
      </w:r>
      <w:r>
        <w:rPr>
          <w:color w:val="auto"/>
        </w:rPr>
        <w:t>地下水环境》（</w:t>
      </w:r>
      <w:r>
        <w:rPr>
          <w:color w:val="auto"/>
        </w:rPr>
        <w:t>HJ610-2016</w:t>
      </w:r>
      <w:r>
        <w:rPr>
          <w:color w:val="auto"/>
        </w:rPr>
        <w:t>）、《地下水环境监测技术规范》（</w:t>
      </w:r>
      <w:r>
        <w:rPr>
          <w:color w:val="auto"/>
        </w:rPr>
        <w:t>HJ 164-2020</w:t>
      </w:r>
      <w:r>
        <w:rPr>
          <w:color w:val="auto"/>
        </w:rPr>
        <w:t>）、《工业企业土壤和地下水自行监测技术指南（试行）》（</w:t>
      </w:r>
      <w:r>
        <w:rPr>
          <w:color w:val="auto"/>
        </w:rPr>
        <w:t>HJ 1209-2021</w:t>
      </w:r>
      <w:r>
        <w:rPr>
          <w:color w:val="auto"/>
        </w:rPr>
        <w:t>）相关要求，</w:t>
      </w:r>
      <w:r>
        <w:rPr>
          <w:rFonts w:hint="eastAsia"/>
          <w:color w:val="auto"/>
        </w:rPr>
        <w:t>根据厂区周边现有地下水井分布情况，</w:t>
      </w:r>
      <w:r>
        <w:rPr>
          <w:color w:val="auto"/>
        </w:rPr>
        <w:t>在企业地下水流向上游布设</w:t>
      </w:r>
      <w:r>
        <w:rPr>
          <w:color w:val="auto"/>
        </w:rPr>
        <w:t>1</w:t>
      </w:r>
      <w:r>
        <w:rPr>
          <w:color w:val="auto"/>
        </w:rPr>
        <w:t>个对照监测点，在厂区地下水流向的侧向及下游分别布设</w:t>
      </w:r>
      <w:r>
        <w:rPr>
          <w:color w:val="auto"/>
        </w:rPr>
        <w:t>1</w:t>
      </w:r>
      <w:r>
        <w:rPr>
          <w:color w:val="auto"/>
        </w:rPr>
        <w:t>个污染扩散监控井，共设不少于</w:t>
      </w:r>
      <w:r>
        <w:rPr>
          <w:color w:val="auto"/>
        </w:rPr>
        <w:t>3</w:t>
      </w:r>
      <w:r>
        <w:rPr>
          <w:color w:val="auto"/>
        </w:rPr>
        <w:t>个地下水跟踪监</w:t>
      </w:r>
      <w:r>
        <w:rPr>
          <w:color w:val="auto"/>
        </w:rPr>
        <w:lastRenderedPageBreak/>
        <w:t>测点，监测频率不少于每年一次，对项目周围的地下水水质进行长期监测，以便及时准确地反馈地下水水质状况，为防止地下水污染采取相应的措施提供重要依据。</w:t>
      </w:r>
    </w:p>
    <w:p w14:paraId="154AEFD1" w14:textId="77777777" w:rsidR="002E474C" w:rsidRDefault="00000000">
      <w:pPr>
        <w:pStyle w:val="A-z"/>
        <w:rPr>
          <w:color w:val="auto"/>
        </w:rPr>
      </w:pPr>
      <w:r>
        <w:rPr>
          <w:color w:val="auto"/>
        </w:rPr>
        <w:t>（</w:t>
      </w:r>
      <w:r>
        <w:rPr>
          <w:color w:val="auto"/>
        </w:rPr>
        <w:t>3</w:t>
      </w:r>
      <w:r>
        <w:rPr>
          <w:color w:val="auto"/>
        </w:rPr>
        <w:t>）声环境保护措施</w:t>
      </w:r>
    </w:p>
    <w:p w14:paraId="76DED03B" w14:textId="77777777" w:rsidR="002E474C" w:rsidRDefault="00000000">
      <w:pPr>
        <w:pStyle w:val="A-z"/>
        <w:rPr>
          <w:color w:val="auto"/>
        </w:rPr>
      </w:pPr>
      <w:r>
        <w:rPr>
          <w:color w:val="auto"/>
        </w:rPr>
        <w:t>本项目噪声防治主要从三方面着手：一是从噪声源上控制降低噪声，二是从传播途径上控制降低噪声，三是采取管理措施控制降低噪声。建设单位应认真落实上述各项噪声防治与控制措施，使本项目产生的噪声可得到有效控制。</w:t>
      </w:r>
    </w:p>
    <w:p w14:paraId="5CE7672F" w14:textId="77777777" w:rsidR="002E474C" w:rsidRDefault="00000000">
      <w:pPr>
        <w:pStyle w:val="A-z"/>
        <w:rPr>
          <w:color w:val="auto"/>
        </w:rPr>
      </w:pPr>
      <w:r>
        <w:rPr>
          <w:color w:val="auto"/>
        </w:rPr>
        <w:t>（</w:t>
      </w:r>
      <w:r>
        <w:rPr>
          <w:color w:val="auto"/>
        </w:rPr>
        <w:t>4</w:t>
      </w:r>
      <w:r>
        <w:rPr>
          <w:color w:val="auto"/>
        </w:rPr>
        <w:t>）固体废物处置措施</w:t>
      </w:r>
    </w:p>
    <w:p w14:paraId="346E6ABD" w14:textId="77777777" w:rsidR="002E474C" w:rsidRDefault="00000000">
      <w:pPr>
        <w:pStyle w:val="A-z"/>
        <w:rPr>
          <w:color w:val="auto"/>
        </w:rPr>
      </w:pPr>
      <w:r>
        <w:rPr>
          <w:color w:val="auto"/>
        </w:rPr>
        <w:t>本项目固体废物主要为废包装物、预处理滤渣、污水污泥、废活性炭、废润滑油、废滤袋、除尘灰等，符合《水泥窑协同处置危险废物环境保护技术规范》（</w:t>
      </w:r>
      <w:r>
        <w:rPr>
          <w:color w:val="auto"/>
        </w:rPr>
        <w:t>HJ662-2013</w:t>
      </w:r>
      <w:r>
        <w:rPr>
          <w:color w:val="auto"/>
        </w:rPr>
        <w:t>）规定。</w:t>
      </w:r>
    </w:p>
    <w:p w14:paraId="0B01A762" w14:textId="77777777" w:rsidR="002E474C" w:rsidRDefault="00000000">
      <w:pPr>
        <w:pStyle w:val="A-z"/>
        <w:rPr>
          <w:color w:val="auto"/>
        </w:rPr>
      </w:pPr>
      <w:r>
        <w:rPr>
          <w:color w:val="auto"/>
        </w:rPr>
        <w:t>（</w:t>
      </w:r>
      <w:r>
        <w:rPr>
          <w:color w:val="auto"/>
        </w:rPr>
        <w:t>5</w:t>
      </w:r>
      <w:r>
        <w:rPr>
          <w:color w:val="auto"/>
        </w:rPr>
        <w:t>）土壤环境保护措施</w:t>
      </w:r>
    </w:p>
    <w:p w14:paraId="597F2275" w14:textId="77777777" w:rsidR="002E474C" w:rsidRDefault="00000000">
      <w:pPr>
        <w:pStyle w:val="A-z"/>
        <w:rPr>
          <w:color w:val="auto"/>
        </w:rPr>
      </w:pPr>
      <w:r>
        <w:rPr>
          <w:color w:val="auto"/>
        </w:rPr>
        <w:t>采取分区防渗；选则吸附能力强的树种进行绿化；在危废贮存库下风向空地设</w:t>
      </w:r>
      <w:r>
        <w:rPr>
          <w:color w:val="auto"/>
        </w:rPr>
        <w:t>1</w:t>
      </w:r>
      <w:r>
        <w:rPr>
          <w:color w:val="auto"/>
        </w:rPr>
        <w:t>个土壤环境跟踪监测点，定期开展监测。</w:t>
      </w:r>
    </w:p>
    <w:p w14:paraId="7D59C3C2" w14:textId="77777777" w:rsidR="002E474C" w:rsidRDefault="00000000">
      <w:pPr>
        <w:pStyle w:val="21"/>
        <w:spacing w:before="240" w:after="240"/>
        <w:rPr>
          <w:color w:val="auto"/>
        </w:rPr>
      </w:pPr>
      <w:bookmarkStart w:id="419" w:name="_Toc131089659"/>
      <w:bookmarkStart w:id="420" w:name="_Toc225848893"/>
      <w:bookmarkStart w:id="421" w:name="_Toc19086"/>
      <w:r>
        <w:rPr>
          <w:color w:val="auto"/>
        </w:rPr>
        <w:t>主要环境影响</w:t>
      </w:r>
      <w:bookmarkEnd w:id="419"/>
      <w:bookmarkEnd w:id="420"/>
      <w:bookmarkEnd w:id="421"/>
    </w:p>
    <w:p w14:paraId="77B7E0D6" w14:textId="77777777" w:rsidR="002E474C" w:rsidRDefault="00000000">
      <w:pPr>
        <w:pStyle w:val="A-z"/>
        <w:rPr>
          <w:color w:val="auto"/>
        </w:rPr>
      </w:pPr>
      <w:r>
        <w:rPr>
          <w:color w:val="auto"/>
        </w:rPr>
        <w:t>（</w:t>
      </w:r>
      <w:r>
        <w:rPr>
          <w:color w:val="auto"/>
        </w:rPr>
        <w:t>1</w:t>
      </w:r>
      <w:r>
        <w:rPr>
          <w:color w:val="auto"/>
        </w:rPr>
        <w:t>）大气</w:t>
      </w:r>
    </w:p>
    <w:p w14:paraId="64395937" w14:textId="77777777" w:rsidR="002E474C" w:rsidRDefault="00000000">
      <w:pPr>
        <w:pStyle w:val="A-z"/>
        <w:rPr>
          <w:color w:val="auto"/>
        </w:rPr>
      </w:pPr>
      <w:r>
        <w:rPr>
          <w:color w:val="auto"/>
        </w:rPr>
        <w:t>环境影响预测与评价结果表明，本项目废气污染物最大浓度占标率小于</w:t>
      </w:r>
      <w:r>
        <w:rPr>
          <w:color w:val="auto"/>
        </w:rPr>
        <w:t>10%</w:t>
      </w:r>
      <w:r>
        <w:rPr>
          <w:color w:val="auto"/>
        </w:rPr>
        <w:t>，不会对周围环境空气造成明显影响。</w:t>
      </w:r>
    </w:p>
    <w:p w14:paraId="07208D58" w14:textId="77777777" w:rsidR="002E474C" w:rsidRDefault="00000000">
      <w:pPr>
        <w:pStyle w:val="A-z"/>
        <w:rPr>
          <w:color w:val="auto"/>
        </w:rPr>
      </w:pPr>
      <w:r>
        <w:rPr>
          <w:color w:val="auto"/>
        </w:rPr>
        <w:t>（</w:t>
      </w:r>
      <w:r>
        <w:rPr>
          <w:color w:val="auto"/>
        </w:rPr>
        <w:t>2</w:t>
      </w:r>
      <w:r>
        <w:rPr>
          <w:color w:val="auto"/>
        </w:rPr>
        <w:t>）地下水</w:t>
      </w:r>
    </w:p>
    <w:p w14:paraId="06DB0DD6" w14:textId="77777777" w:rsidR="002E474C" w:rsidRDefault="00000000">
      <w:pPr>
        <w:pStyle w:val="A-z"/>
        <w:rPr>
          <w:color w:val="auto"/>
        </w:rPr>
      </w:pPr>
      <w:r>
        <w:rPr>
          <w:color w:val="auto"/>
        </w:rPr>
        <w:t>①</w:t>
      </w:r>
      <w:r>
        <w:rPr>
          <w:color w:val="auto"/>
        </w:rPr>
        <w:t>在正常情况下，项目对厂区内各主要生产管道、设备采取了防腐措施，管道全部密闭，同时还采取了地面硬化措施和分区防渗措施，污染物渗入到地下水中的量极少，不会对区域地下水环境造成明显影响。</w:t>
      </w:r>
    </w:p>
    <w:p w14:paraId="1CAE8C4F" w14:textId="77777777" w:rsidR="002E474C" w:rsidRDefault="00000000">
      <w:pPr>
        <w:pStyle w:val="A-z"/>
        <w:rPr>
          <w:color w:val="auto"/>
        </w:rPr>
      </w:pPr>
      <w:r>
        <w:rPr>
          <w:color w:val="auto"/>
        </w:rPr>
        <w:t>②</w:t>
      </w:r>
      <w:r>
        <w:rPr>
          <w:color w:val="auto"/>
        </w:rPr>
        <w:t>非正常工况发生后，废水收集池长期泄漏情况下，废水收集池破损污水长期渗漏情况下，污染物的入渗深度不断加深，但废水将不会达到含水层。企业日常应加强对各隐蔽工程的防渗漏检查，发现泄漏及时采取应急处置措施，减小非正常状况的泄漏风险。</w:t>
      </w:r>
    </w:p>
    <w:p w14:paraId="6F4963B3" w14:textId="77777777" w:rsidR="002E474C" w:rsidRDefault="00000000">
      <w:pPr>
        <w:pStyle w:val="A-z"/>
        <w:rPr>
          <w:color w:val="auto"/>
        </w:rPr>
      </w:pPr>
      <w:r>
        <w:rPr>
          <w:color w:val="auto"/>
        </w:rPr>
        <w:t>（</w:t>
      </w:r>
      <w:r>
        <w:rPr>
          <w:color w:val="auto"/>
        </w:rPr>
        <w:t>3</w:t>
      </w:r>
      <w:r>
        <w:rPr>
          <w:color w:val="auto"/>
        </w:rPr>
        <w:t>）噪声</w:t>
      </w:r>
    </w:p>
    <w:p w14:paraId="6D82C249" w14:textId="77777777" w:rsidR="002E474C" w:rsidRDefault="00000000">
      <w:pPr>
        <w:pStyle w:val="A-z"/>
        <w:rPr>
          <w:color w:val="auto"/>
        </w:rPr>
      </w:pPr>
      <w:r>
        <w:rPr>
          <w:color w:val="auto"/>
        </w:rPr>
        <w:t>本项目各厂界噪声贡献值全部达标，叠加现水泥厂噪声贡献值后的厂界噪声</w:t>
      </w:r>
      <w:r>
        <w:rPr>
          <w:color w:val="auto"/>
        </w:rPr>
        <w:lastRenderedPageBreak/>
        <w:t>预测值也达标，对周围声环境影响很小。</w:t>
      </w:r>
    </w:p>
    <w:p w14:paraId="4C6458E3" w14:textId="77777777" w:rsidR="002E474C" w:rsidRDefault="00000000">
      <w:pPr>
        <w:pStyle w:val="A-z"/>
        <w:rPr>
          <w:color w:val="auto"/>
        </w:rPr>
      </w:pPr>
      <w:r>
        <w:rPr>
          <w:color w:val="auto"/>
        </w:rPr>
        <w:t>（</w:t>
      </w:r>
      <w:r>
        <w:rPr>
          <w:color w:val="auto"/>
        </w:rPr>
        <w:t>4</w:t>
      </w:r>
      <w:r>
        <w:rPr>
          <w:color w:val="auto"/>
        </w:rPr>
        <w:t>）固废</w:t>
      </w:r>
    </w:p>
    <w:p w14:paraId="40B2EBBC" w14:textId="77777777" w:rsidR="002E474C" w:rsidRDefault="00000000">
      <w:pPr>
        <w:pStyle w:val="A-z"/>
        <w:rPr>
          <w:color w:val="auto"/>
        </w:rPr>
      </w:pPr>
      <w:r>
        <w:rPr>
          <w:color w:val="auto"/>
        </w:rPr>
        <w:t>项目产生的固体废物主要包括：废包装物、预处理滤渣、污水收集池污泥、废活性炭、废润滑油、废滤袋等，全部按照固态入窑废物的预处理方式预处理后投入水泥窑处置。新增生活垃圾运至圣雄股份公司垃圾场处理。本项目生产固废与生活垃圾对周边环境影响很小。</w:t>
      </w:r>
    </w:p>
    <w:p w14:paraId="2B0A5B06" w14:textId="77777777" w:rsidR="002E474C" w:rsidRDefault="00000000">
      <w:pPr>
        <w:pStyle w:val="A-z"/>
        <w:rPr>
          <w:color w:val="auto"/>
        </w:rPr>
      </w:pPr>
      <w:r>
        <w:rPr>
          <w:color w:val="auto"/>
        </w:rPr>
        <w:t>（</w:t>
      </w:r>
      <w:r>
        <w:rPr>
          <w:color w:val="auto"/>
        </w:rPr>
        <w:t>5</w:t>
      </w:r>
      <w:r>
        <w:rPr>
          <w:color w:val="auto"/>
        </w:rPr>
        <w:t>）土壤</w:t>
      </w:r>
    </w:p>
    <w:p w14:paraId="4752B2D8" w14:textId="77777777" w:rsidR="002E474C" w:rsidRDefault="00000000">
      <w:pPr>
        <w:pStyle w:val="A-z"/>
        <w:rPr>
          <w:color w:val="auto"/>
        </w:rPr>
      </w:pPr>
      <w:r>
        <w:rPr>
          <w:color w:val="auto"/>
        </w:rPr>
        <w:t>根据预测，项目事故状况下废水收集池泄漏同时防渗层破损情况下，废水垂直入渗进入土壤环境，砂土吸附污染物能力有限，随着渗漏时间的增加，污染物持续在土壤内部聚集。企业应做好分区防渗和应急处置等措施，施工中注意防渗层、防渗措施等隐蔽工程的施工，同时在尽可能加大防渗层的厚度和降低其渗透系数的同时，采用柔性</w:t>
      </w:r>
      <w:r>
        <w:rPr>
          <w:color w:val="auto"/>
        </w:rPr>
        <w:t>+</w:t>
      </w:r>
      <w:r>
        <w:rPr>
          <w:color w:val="auto"/>
        </w:rPr>
        <w:t>刚性复合防渗结构设置防渗，增加防渗措施的可靠性，减小污染物迅速穿过防渗层</w:t>
      </w:r>
      <w:r>
        <w:rPr>
          <w:color w:val="auto"/>
          <w:lang w:val="en-US"/>
        </w:rPr>
        <w:t>土壤进入地下水</w:t>
      </w:r>
      <w:r>
        <w:rPr>
          <w:color w:val="auto"/>
        </w:rPr>
        <w:t>污染地下水的风险。</w:t>
      </w:r>
    </w:p>
    <w:p w14:paraId="4AA3F51D" w14:textId="77777777" w:rsidR="002E474C" w:rsidRDefault="00000000">
      <w:pPr>
        <w:pStyle w:val="A-z"/>
        <w:rPr>
          <w:color w:val="auto"/>
        </w:rPr>
      </w:pPr>
      <w:r>
        <w:rPr>
          <w:color w:val="auto"/>
        </w:rPr>
        <w:t>（</w:t>
      </w:r>
      <w:r>
        <w:rPr>
          <w:color w:val="auto"/>
        </w:rPr>
        <w:t>6</w:t>
      </w:r>
      <w:r>
        <w:rPr>
          <w:color w:val="auto"/>
        </w:rPr>
        <w:t>）生态</w:t>
      </w:r>
    </w:p>
    <w:p w14:paraId="0EFF41EA" w14:textId="77777777" w:rsidR="002E474C" w:rsidRDefault="00000000">
      <w:pPr>
        <w:pStyle w:val="A-z"/>
        <w:rPr>
          <w:color w:val="auto"/>
        </w:rPr>
      </w:pPr>
      <w:r>
        <w:rPr>
          <w:color w:val="auto"/>
        </w:rPr>
        <w:t>本项目不涉及新增占地、施工活动干扰等直接或间接导致物种、种群、生物群落、生境、生态系统以及自然景观等发生的变化，无生态影响。</w:t>
      </w:r>
    </w:p>
    <w:p w14:paraId="71906274" w14:textId="77777777" w:rsidR="002E474C" w:rsidRDefault="00000000">
      <w:pPr>
        <w:pStyle w:val="A-z"/>
        <w:rPr>
          <w:color w:val="auto"/>
        </w:rPr>
      </w:pPr>
      <w:r>
        <w:rPr>
          <w:color w:val="auto"/>
        </w:rPr>
        <w:t>（</w:t>
      </w:r>
      <w:r>
        <w:rPr>
          <w:color w:val="auto"/>
        </w:rPr>
        <w:t>7</w:t>
      </w:r>
      <w:r>
        <w:rPr>
          <w:color w:val="auto"/>
        </w:rPr>
        <w:t>）环境风险</w:t>
      </w:r>
    </w:p>
    <w:p w14:paraId="4B1E020A" w14:textId="77777777" w:rsidR="002E474C" w:rsidRDefault="00000000">
      <w:pPr>
        <w:pStyle w:val="A-z"/>
        <w:rPr>
          <w:color w:val="auto"/>
        </w:rPr>
      </w:pPr>
      <w:r>
        <w:rPr>
          <w:color w:val="auto"/>
        </w:rPr>
        <w:t>项目主要风险物质为处置的危险废物，主要事故类型为危险废物储存、转运的泄漏事故。企业应完善物料贮存设施、加强安全检查及职工安全教育，在做好各项风险防范措施、应急预案和应急处置措施的情况下，项目环境风险事故对周围环境影响较小，环境风险属可接受水平。</w:t>
      </w:r>
    </w:p>
    <w:p w14:paraId="594103E3" w14:textId="77777777" w:rsidR="002E474C" w:rsidRDefault="00000000">
      <w:pPr>
        <w:pStyle w:val="21"/>
        <w:spacing w:before="240" w:after="240"/>
        <w:rPr>
          <w:color w:val="auto"/>
        </w:rPr>
      </w:pPr>
      <w:bookmarkStart w:id="422" w:name="_Toc23934"/>
      <w:r>
        <w:rPr>
          <w:color w:val="auto"/>
        </w:rPr>
        <w:t>公众意见采纳情况</w:t>
      </w:r>
      <w:bookmarkEnd w:id="422"/>
    </w:p>
    <w:p w14:paraId="2E3EF588" w14:textId="77777777" w:rsidR="002E474C" w:rsidRDefault="00000000">
      <w:pPr>
        <w:pStyle w:val="A-z"/>
        <w:rPr>
          <w:color w:val="auto"/>
          <w:lang w:val="en-US"/>
        </w:rPr>
      </w:pPr>
      <w:r>
        <w:rPr>
          <w:color w:val="auto"/>
          <w:lang w:val="en-US"/>
        </w:rPr>
        <w:t>2026</w:t>
      </w:r>
      <w:r>
        <w:rPr>
          <w:color w:val="auto"/>
          <w:lang w:val="en-US"/>
        </w:rPr>
        <w:t>年</w:t>
      </w:r>
      <w:r>
        <w:rPr>
          <w:rFonts w:hint="eastAsia"/>
          <w:color w:val="auto"/>
          <w:lang w:val="en-US"/>
        </w:rPr>
        <w:t>5</w:t>
      </w:r>
      <w:r>
        <w:rPr>
          <w:color w:val="auto"/>
          <w:lang w:val="en-US"/>
        </w:rPr>
        <w:t>月</w:t>
      </w:r>
      <w:r>
        <w:rPr>
          <w:color w:val="auto"/>
          <w:lang w:val="en-US"/>
        </w:rPr>
        <w:t>1</w:t>
      </w:r>
      <w:r>
        <w:rPr>
          <w:rFonts w:hint="eastAsia"/>
          <w:color w:val="auto"/>
          <w:lang w:val="en-US"/>
        </w:rPr>
        <w:t>8</w:t>
      </w:r>
      <w:r>
        <w:rPr>
          <w:color w:val="auto"/>
          <w:lang w:val="en-US"/>
        </w:rPr>
        <w:t>日在</w:t>
      </w:r>
      <w:r>
        <w:rPr>
          <w:rFonts w:hint="eastAsia"/>
          <w:color w:val="auto"/>
          <w:lang w:val="en-US"/>
        </w:rPr>
        <w:t>环境影响评价信息公示平台</w:t>
      </w:r>
      <w:r>
        <w:rPr>
          <w:color w:val="auto"/>
          <w:lang w:val="en-US"/>
        </w:rPr>
        <w:t>进行了第一次网络公示。</w:t>
      </w:r>
      <w:r>
        <w:rPr>
          <w:color w:val="auto"/>
          <w:lang w:val="en-US"/>
        </w:rPr>
        <w:t>2026</w:t>
      </w:r>
      <w:r>
        <w:rPr>
          <w:color w:val="auto"/>
          <w:lang w:val="en-US"/>
        </w:rPr>
        <w:t>年</w:t>
      </w:r>
      <w:r>
        <w:rPr>
          <w:rFonts w:hint="eastAsia"/>
          <w:color w:val="auto"/>
          <w:lang w:val="en-US"/>
        </w:rPr>
        <w:t>5</w:t>
      </w:r>
      <w:r>
        <w:rPr>
          <w:color w:val="auto"/>
          <w:lang w:val="en-US"/>
        </w:rPr>
        <w:t>月</w:t>
      </w:r>
      <w:r>
        <w:rPr>
          <w:rFonts w:hint="eastAsia"/>
          <w:color w:val="auto"/>
          <w:lang w:val="en-US"/>
        </w:rPr>
        <w:t>22</w:t>
      </w:r>
      <w:r>
        <w:rPr>
          <w:color w:val="auto"/>
          <w:lang w:val="en-US"/>
        </w:rPr>
        <w:t>日，该项目环境影响评价公众参与第二次信息公示在</w:t>
      </w:r>
      <w:r>
        <w:rPr>
          <w:rFonts w:hint="eastAsia"/>
          <w:color w:val="auto"/>
          <w:lang w:val="en-US"/>
        </w:rPr>
        <w:t>环境影响评价信息公示平台</w:t>
      </w:r>
      <w:r>
        <w:rPr>
          <w:color w:val="auto"/>
          <w:lang w:val="en-US"/>
        </w:rPr>
        <w:t>进行环境影响报告书（征求意见稿）及其网络公众意见调查表的公示，向公众告知本项目的建设内容及环境影响评价情况。同期在新疆法制报对项目环境影响报告书的环境影响评价信息进行了两次公告，在阿乐惠镇政府公告栏进行张贴公告。</w:t>
      </w:r>
      <w:r>
        <w:rPr>
          <w:rFonts w:hint="eastAsia"/>
          <w:color w:val="auto"/>
          <w:lang w:val="en-US"/>
        </w:rPr>
        <w:t>2026</w:t>
      </w:r>
      <w:r>
        <w:rPr>
          <w:rFonts w:hint="eastAsia"/>
          <w:color w:val="auto"/>
          <w:lang w:val="en-US"/>
        </w:rPr>
        <w:t>年</w:t>
      </w:r>
      <w:r>
        <w:rPr>
          <w:rFonts w:hint="eastAsia"/>
          <w:color w:val="auto"/>
          <w:lang w:val="en-US"/>
        </w:rPr>
        <w:t>6</w:t>
      </w:r>
      <w:r>
        <w:rPr>
          <w:rFonts w:hint="eastAsia"/>
          <w:color w:val="auto"/>
          <w:lang w:val="en-US"/>
        </w:rPr>
        <w:t>月</w:t>
      </w:r>
      <w:r>
        <w:rPr>
          <w:rFonts w:hint="eastAsia"/>
          <w:color w:val="auto"/>
          <w:lang w:val="en-US"/>
        </w:rPr>
        <w:t>5</w:t>
      </w:r>
      <w:r>
        <w:rPr>
          <w:rFonts w:hint="eastAsia"/>
          <w:color w:val="auto"/>
          <w:lang w:val="en-US"/>
        </w:rPr>
        <w:t>日</w:t>
      </w:r>
      <w:r>
        <w:rPr>
          <w:color w:val="auto"/>
          <w:lang w:val="en-US"/>
        </w:rPr>
        <w:t>在</w:t>
      </w:r>
      <w:r>
        <w:rPr>
          <w:rFonts w:hint="eastAsia"/>
          <w:color w:val="auto"/>
          <w:lang w:val="en-US"/>
        </w:rPr>
        <w:t>环境影响评价信息公示平台</w:t>
      </w:r>
      <w:r>
        <w:rPr>
          <w:color w:val="auto"/>
          <w:lang w:val="en-US"/>
        </w:rPr>
        <w:t>进行了</w:t>
      </w:r>
      <w:r>
        <w:rPr>
          <w:rFonts w:hint="eastAsia"/>
          <w:color w:val="auto"/>
          <w:lang w:val="en-US"/>
        </w:rPr>
        <w:t>拟报批</w:t>
      </w:r>
      <w:r>
        <w:rPr>
          <w:rFonts w:hint="eastAsia"/>
          <w:color w:val="auto"/>
          <w:lang w:val="en-US"/>
        </w:rPr>
        <w:lastRenderedPageBreak/>
        <w:t>公示。</w:t>
      </w:r>
      <w:r>
        <w:rPr>
          <w:color w:val="auto"/>
          <w:lang w:val="en-US"/>
        </w:rPr>
        <w:t>项目公示期间无群众或单位对项目有反对意见。</w:t>
      </w:r>
    </w:p>
    <w:p w14:paraId="405E229F" w14:textId="77777777" w:rsidR="002E474C" w:rsidRDefault="00000000">
      <w:pPr>
        <w:pStyle w:val="21"/>
        <w:spacing w:before="240" w:after="240"/>
        <w:rPr>
          <w:color w:val="auto"/>
        </w:rPr>
      </w:pPr>
      <w:bookmarkStart w:id="423" w:name="_Toc152320443"/>
      <w:bookmarkStart w:id="424" w:name="_Toc109829223"/>
      <w:bookmarkStart w:id="425" w:name="_Toc131089662"/>
      <w:bookmarkStart w:id="426" w:name="_Toc10292"/>
      <w:bookmarkStart w:id="427" w:name="_Toc78482209"/>
      <w:r>
        <w:rPr>
          <w:color w:val="auto"/>
        </w:rPr>
        <w:t>环境影响经济损益分析</w:t>
      </w:r>
      <w:bookmarkEnd w:id="423"/>
      <w:bookmarkEnd w:id="424"/>
      <w:bookmarkEnd w:id="425"/>
      <w:bookmarkEnd w:id="426"/>
      <w:bookmarkEnd w:id="427"/>
    </w:p>
    <w:p w14:paraId="7662FAC9" w14:textId="77777777" w:rsidR="002E474C" w:rsidRDefault="00000000">
      <w:pPr>
        <w:pStyle w:val="A-z"/>
        <w:rPr>
          <w:color w:val="auto"/>
        </w:rPr>
      </w:pPr>
      <w:r>
        <w:rPr>
          <w:color w:val="auto"/>
        </w:rPr>
        <w:t>本项目为危险废物治理工程，项目设备、构筑物均属于环保投资。本项目总投资</w:t>
      </w:r>
      <w:r>
        <w:rPr>
          <w:color w:val="auto"/>
        </w:rPr>
        <w:t>1500</w:t>
      </w:r>
      <w:r>
        <w:rPr>
          <w:color w:val="auto"/>
        </w:rPr>
        <w:t>万元，均作为环保投资，环保投资占项目总投资</w:t>
      </w:r>
      <w:r>
        <w:rPr>
          <w:color w:val="auto"/>
        </w:rPr>
        <w:t>100%</w:t>
      </w:r>
      <w:r>
        <w:rPr>
          <w:color w:val="auto"/>
        </w:rPr>
        <w:t>。</w:t>
      </w:r>
    </w:p>
    <w:p w14:paraId="4E3BE6BB" w14:textId="77777777" w:rsidR="002E474C" w:rsidRDefault="00000000">
      <w:pPr>
        <w:pStyle w:val="A-z"/>
        <w:rPr>
          <w:color w:val="auto"/>
        </w:rPr>
      </w:pPr>
      <w:r>
        <w:rPr>
          <w:color w:val="auto"/>
        </w:rPr>
        <w:t>由环境经济效益分析可知，项目采取的各种污染防治措施合理可行，可使项目生产过程中产生的污染物得到较大程度的削减，同时项目的建设将会促进当地经济发展，具有较好的经济效益、社会效益和环境效益。</w:t>
      </w:r>
    </w:p>
    <w:p w14:paraId="6B0F7B8F" w14:textId="77777777" w:rsidR="002E474C" w:rsidRDefault="00000000">
      <w:pPr>
        <w:pStyle w:val="21"/>
        <w:spacing w:before="240" w:after="240"/>
        <w:rPr>
          <w:color w:val="auto"/>
        </w:rPr>
      </w:pPr>
      <w:bookmarkStart w:id="428" w:name="_Toc17201"/>
      <w:bookmarkStart w:id="429" w:name="_Toc109829224"/>
      <w:bookmarkStart w:id="430" w:name="_Toc131089663"/>
      <w:bookmarkStart w:id="431" w:name="_Toc78482210"/>
      <w:bookmarkStart w:id="432" w:name="_Toc152320444"/>
      <w:r>
        <w:rPr>
          <w:color w:val="auto"/>
        </w:rPr>
        <w:t>环境管理与监测计划</w:t>
      </w:r>
      <w:bookmarkEnd w:id="428"/>
      <w:bookmarkEnd w:id="429"/>
      <w:bookmarkEnd w:id="430"/>
      <w:bookmarkEnd w:id="431"/>
      <w:bookmarkEnd w:id="432"/>
    </w:p>
    <w:p w14:paraId="4C03FECE" w14:textId="77777777" w:rsidR="002E474C" w:rsidRDefault="00000000">
      <w:pPr>
        <w:pStyle w:val="A-z"/>
        <w:rPr>
          <w:color w:val="auto"/>
        </w:rPr>
      </w:pPr>
      <w:r>
        <w:rPr>
          <w:color w:val="auto"/>
        </w:rPr>
        <w:t>本评价提出了完善的环境管理计划，能够确保项目在运行期间各项环保治理措施稳定达标运行，做到最大限度地减少污染。同时制定了完善的环境监测计划，能够满足项目运行后环境管理需求，为污染源治理，掌握污染物排放变化规律提供依据，为生态环境主管部门进行区域环境规划、管理执法提供依据。</w:t>
      </w:r>
    </w:p>
    <w:p w14:paraId="5053075E" w14:textId="77777777" w:rsidR="002E474C" w:rsidRDefault="00000000">
      <w:pPr>
        <w:pStyle w:val="21"/>
        <w:spacing w:before="240" w:after="240"/>
        <w:rPr>
          <w:color w:val="auto"/>
        </w:rPr>
      </w:pPr>
      <w:bookmarkStart w:id="433" w:name="_Toc225848894"/>
      <w:bookmarkStart w:id="434" w:name="_Toc131089664"/>
      <w:bookmarkStart w:id="435" w:name="_Toc12236"/>
      <w:r>
        <w:rPr>
          <w:color w:val="auto"/>
        </w:rPr>
        <w:t>评价总体结论</w:t>
      </w:r>
      <w:bookmarkEnd w:id="433"/>
      <w:bookmarkEnd w:id="434"/>
      <w:bookmarkEnd w:id="435"/>
    </w:p>
    <w:p w14:paraId="1C4E7585" w14:textId="77777777" w:rsidR="002E474C" w:rsidRDefault="00000000">
      <w:pPr>
        <w:pStyle w:val="A-z"/>
        <w:rPr>
          <w:color w:val="auto"/>
        </w:rPr>
      </w:pPr>
      <w:r>
        <w:rPr>
          <w:color w:val="auto"/>
        </w:rPr>
        <w:t>新疆中建环能公司利用圣雄水泥公司水泥窑协同处置危险废物项目位于托克逊县阿乐惠镇，符合区域环境功能区划和生态功能区划的要求，选址及总平面布局合理可行。项目符合国家、自治区以及地方产业政策，属于鼓励类项目。在按</w:t>
      </w:r>
      <w:r>
        <w:rPr>
          <w:color w:val="auto"/>
        </w:rPr>
        <w:t>“</w:t>
      </w:r>
      <w:r>
        <w:rPr>
          <w:color w:val="auto"/>
        </w:rPr>
        <w:t>三同时</w:t>
      </w:r>
      <w:r>
        <w:rPr>
          <w:color w:val="auto"/>
        </w:rPr>
        <w:t>”</w:t>
      </w:r>
      <w:r>
        <w:rPr>
          <w:color w:val="auto"/>
        </w:rPr>
        <w:t>要求，严格落实各项污染防控措施和对策条件下，项目建设可以有效处置区域的危险废物，解决了区域现有危险废物处置能力的矛盾，也可实现水泥生产企业的可持续发展，可以有效解决区域危险废物处置缺口的环境问题。建设单位开展建设项目环境影响评价公众参与时，公示期满未收到任何公众意见及反馈。项目的建设对于区域的环境保护总体上是有正面、积极意义的，从环保角度分析，本项目建设具有环境可行性。</w:t>
      </w:r>
    </w:p>
    <w:p w14:paraId="4811AAB0" w14:textId="77777777" w:rsidR="002E474C" w:rsidRDefault="002E474C">
      <w:pPr>
        <w:pStyle w:val="A-z"/>
        <w:rPr>
          <w:color w:val="auto"/>
        </w:rPr>
      </w:pPr>
    </w:p>
    <w:sectPr w:rsidR="002E474C">
      <w:headerReference w:type="default" r:id="rId70"/>
      <w:pgSz w:w="11906" w:h="16838"/>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9DE38" w14:textId="77777777" w:rsidR="003F01E3" w:rsidRDefault="003F01E3">
      <w:r>
        <w:separator/>
      </w:r>
    </w:p>
  </w:endnote>
  <w:endnote w:type="continuationSeparator" w:id="0">
    <w:p w14:paraId="78C8B4E2" w14:textId="77777777" w:rsidR="003F01E3" w:rsidRDefault="003F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方正大黑简体">
    <w:altName w:val="黑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onospace">
    <w:altName w:val="宋体"/>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usic">
    <w:panose1 w:val="00000400000000000000"/>
    <w:charset w:val="00"/>
    <w:family w:val="auto"/>
    <w:pitch w:val="variable"/>
    <w:sig w:usb0="20002A87" w:usb1="00000000" w:usb2="00000000" w:usb3="00000000" w:csb0="000001F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仿宋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汉鼎简书宋">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方正宋三简体">
    <w:altName w:val="微软雅黑"/>
    <w:charset w:val="86"/>
    <w:family w:val="auto"/>
    <w:pitch w:val="default"/>
    <w:sig w:usb0="00000000" w:usb1="00000000" w:usb2="00000010" w:usb3="00000000" w:csb0="00040000" w:csb1="00000000"/>
  </w:font>
  <w:font w:name="DFKai-SB">
    <w:altName w:val="Microsoft JhengHei Light"/>
    <w:charset w:val="88"/>
    <w:family w:val="script"/>
    <w:pitch w:val="default"/>
    <w:sig w:usb0="00000000" w:usb1="00000000" w:usb2="00000016" w:usb3="00000000" w:csb0="00100001" w:csb1="00000000"/>
  </w:font>
  <w:font w:name="隶书">
    <w:panose1 w:val="02010509060101010101"/>
    <w:charset w:val="86"/>
    <w:family w:val="modern"/>
    <w:pitch w:val="fixed"/>
    <w:sig w:usb0="00000001" w:usb1="080E0000" w:usb2="00000010" w:usb3="00000000" w:csb0="00040000" w:csb1="00000000"/>
  </w:font>
  <w:font w:name="Adobe 仿宋 Std R">
    <w:altName w:val="仿宋"/>
    <w:charset w:val="86"/>
    <w:family w:val="auto"/>
    <w:pitch w:val="default"/>
    <w:sig w:usb0="00000001" w:usb1="0A0F1810" w:usb2="00000016" w:usb3="00000000" w:csb0="00060007" w:csb1="00000000"/>
  </w:font>
  <w:font w:name="ST Kaiti">
    <w:altName w:val="宋体"/>
    <w:charset w:val="86"/>
    <w:family w:val="auto"/>
    <w:pitch w:val="default"/>
    <w:sig w:usb0="00000000" w:usb1="00000000" w:usb2="00000010" w:usb3="00000000" w:csb0="00040000" w:csb1="00000000"/>
  </w:font>
  <w:font w:name="華康細圓體">
    <w:altName w:val="Microsoft JhengHei"/>
    <w:charset w:val="88"/>
    <w:family w:val="modern"/>
    <w:pitch w:val="default"/>
    <w:sig w:usb0="00000000" w:usb1="00000000" w:usb2="00000010" w:usb3="00000000" w:csb0="00100000" w:csb1="00000000"/>
  </w:font>
  <w:font w:name="華康中楷體">
    <w:altName w:val="Microsoft JhengHei"/>
    <w:charset w:val="88"/>
    <w:family w:val="modern"/>
    <w:pitch w:val="default"/>
    <w:sig w:usb0="00000000" w:usb1="00000000" w:usb2="00000010" w:usb3="00000000" w:csb0="00100000" w:csb1="00000000"/>
  </w:font>
  <w:font w:name="仿宋体">
    <w:altName w:val="宋体"/>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auto"/>
    <w:pitch w:val="default"/>
    <w:sig w:usb0="00000000" w:usb1="00000000" w:usb2="00000000" w:usb3="00000000" w:csb0="00000001" w:csb1="00000000"/>
  </w:font>
  <w:font w:name="MS Shell Dlg">
    <w:altName w:val="Microsoft Sans Serif"/>
    <w:panose1 w:val="020B0604020202020204"/>
    <w:charset w:val="00"/>
    <w:family w:val="auto"/>
    <w:pitch w:val="default"/>
    <w:sig w:usb0="00000000" w:usb1="00000000" w:usb2="00000029" w:usb3="00000000" w:csb0="000101FF" w:csb1="00000000"/>
  </w:font>
  <w:font w:name="五">
    <w:altName w:val="黑体"/>
    <w:charset w:val="86"/>
    <w:family w:val="auto"/>
    <w:pitch w:val="default"/>
    <w:sig w:usb0="00000000" w:usb1="00000000" w:usb2="00000010" w:usb3="00000000" w:csb0="00040000" w:csb1="00000000"/>
  </w:font>
  <w:font w:name="??">
    <w:altName w:val="Times New Roman"/>
    <w:charset w:val="00"/>
    <w:family w:val="auto"/>
    <w:pitch w:val="default"/>
    <w:sig w:usb0="00000000" w:usb1="00000000" w:usb2="00000000" w:usb3="00000000" w:csb0="00000001" w:csb1="00000000"/>
  </w:font>
  <w:font w:name="CG Times">
    <w:altName w:val="Segoe Print"/>
    <w:charset w:val="00"/>
    <w:family w:val="auto"/>
    <w:pitch w:val="default"/>
    <w:sig w:usb0="00000000" w:usb1="00000000" w:usb2="00000000" w:usb3="00000000" w:csb0="00000001" w:csb1="00000000"/>
  </w:font>
  <w:font w:name="黑体,Bold">
    <w:altName w:val="黑体"/>
    <w:charset w:val="86"/>
    <w:family w:val="auto"/>
    <w:pitch w:val="default"/>
    <w:sig w:usb0="00000000" w:usb1="00000000" w:usb2="00000010" w:usb3="00000000" w:csb0="00040000" w:csb1="00000000"/>
  </w:font>
  <w:font w:name="汉鼎简特宋">
    <w:altName w:val="宋体"/>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ZapfDingbats BT">
    <w:altName w:val="Arial"/>
    <w:charset w:val="00"/>
    <w:family w:val="auto"/>
    <w:pitch w:val="default"/>
    <w:sig w:usb0="00000000" w:usb1="00000000" w:usb2="00000000" w:usb3="00000000" w:csb0="00000001" w:csb1="00000000"/>
  </w:font>
  <w:font w:name="Bodoni PosterCompressed">
    <w:altName w:val="Segoe Print"/>
    <w:charset w:val="00"/>
    <w:family w:val="auto"/>
    <w:pitch w:val="default"/>
    <w:sig w:usb0="00000000"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文鼎大标宋简">
    <w:altName w:val="宋体"/>
    <w:charset w:val="86"/>
    <w:family w:val="auto"/>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Romantic">
    <w:panose1 w:val="00000400000000000000"/>
    <w:charset w:val="02"/>
    <w:family w:val="auto"/>
    <w:pitch w:val="variable"/>
    <w:sig w:usb0="00000000" w:usb1="10000000" w:usb2="00000000" w:usb3="00000000" w:csb0="80000000" w:csb1="00000000"/>
  </w:font>
  <w:font w:name="方正小标宋_GBK">
    <w:charset w:val="86"/>
    <w:family w:val="auto"/>
    <w:pitch w:val="default"/>
    <w:sig w:usb0="A00002BF" w:usb1="38CF7CFA" w:usb2="00082016" w:usb3="00000000" w:csb0="00040001" w:csb1="00000000"/>
  </w:font>
  <w:font w:name="方正书宋简体">
    <w:altName w:val="宋体"/>
    <w:charset w:val="86"/>
    <w:family w:val="auto"/>
    <w:pitch w:val="default"/>
    <w:sig w:usb0="00000001" w:usb1="080E0000" w:usb2="00000000" w:usb3="00000000" w:csb0="00040000" w:csb1="00000000"/>
  </w:font>
  <w:font w:name="长城楷体">
    <w:altName w:val="黑体"/>
    <w:charset w:val="86"/>
    <w:family w:val="auto"/>
    <w:pitch w:val="default"/>
    <w:sig w:usb0="00000000" w:usb1="00000000" w:usb2="00000010" w:usb3="00000000" w:csb0="00040000" w:csb1="00000000"/>
  </w:font>
  <w:font w:name="方正小标宋简体">
    <w:altName w:val="微软雅黑"/>
    <w:charset w:val="86"/>
    <w:family w:val="auto"/>
    <w:pitch w:val="default"/>
    <w:sig w:usb0="A00002BF" w:usb1="184F6CFA" w:usb2="00000012" w:usb3="00000000" w:csb0="00040001" w:csb1="00000000"/>
  </w:font>
  <w:font w:name="隶书_GB2312">
    <w:altName w:val="黑体"/>
    <w:charset w:val="86"/>
    <w:family w:val="auto"/>
    <w:pitch w:val="default"/>
    <w:sig w:usb0="00000000" w:usb1="00000000" w:usb2="00000010" w:usb3="00000000" w:csb0="00040000" w:csb1="00000000"/>
  </w:font>
  <w:font w:name="”“Times New Roman”“">
    <w:altName w:val="宋体"/>
    <w:charset w:val="86"/>
    <w:family w:val="roman"/>
    <w:pitch w:val="default"/>
    <w:sig w:usb0="00000001" w:usb1="080E0000" w:usb2="00000010" w:usb3="00000000" w:csb0="00040000" w:csb1="00000000"/>
  </w:font>
  <w:font w:name="..ì.">
    <w:altName w:val="宋体"/>
    <w:charset w:val="86"/>
    <w:family w:val="auto"/>
    <w:pitch w:val="default"/>
    <w:sig w:usb0="00000000" w:usb1="0000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ΟGB2312">
    <w:altName w:val="宋体"/>
    <w:charset w:val="86"/>
    <w:family w:val="auto"/>
    <w:pitch w:val="default"/>
    <w:sig w:usb0="00000000" w:usb1="00000000" w:usb2="00000010" w:usb3="00000000" w:csb0="00040000" w:csb1="00000000"/>
  </w:font>
  <w:font w:name="_x0002_ _GB2312">
    <w:altName w:val="Segoe Print"/>
    <w:charset w:val="00"/>
    <w:family w:val="auto"/>
    <w:pitch w:val="default"/>
    <w:sig w:usb0="00000000" w:usb1="00000000" w:usb2="00000000" w:usb3="00000000" w:csb0="00000001" w:csb1="00000000"/>
  </w:font>
  <w:font w:name="_x0002__GB2312">
    <w:altName w:val="Segoe Print"/>
    <w:charset w:val="00"/>
    <w:family w:val="auto"/>
    <w:pitch w:val="default"/>
    <w:sig w:usb0="00000000"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新宋体">
    <w:panose1 w:val="02010609030101010101"/>
    <w:charset w:val="86"/>
    <w:family w:val="modern"/>
    <w:pitch w:val="fixed"/>
    <w:sig w:usb0="00000203" w:usb1="288F0000" w:usb2="00000016" w:usb3="00000000" w:csb0="00040001" w:csb1="00000000"/>
  </w:font>
  <w:font w:name="宋">
    <w:altName w:val="宋体"/>
    <w:charset w:val="86"/>
    <w:family w:val="auto"/>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TimesNewRomanPSMT">
    <w:altName w:val="Yu Gothic"/>
    <w:charset w:val="00"/>
    <w:family w:val="roman"/>
    <w:pitch w:val="default"/>
    <w:sig w:usb0="00000003" w:usb1="080F0000" w:usb2="00000010" w:usb3="00000000" w:csb0="00060001" w:csb1="00000000"/>
  </w:font>
  <w:font w:name="Microsoft Sans Serif">
    <w:panose1 w:val="020B0604020202020204"/>
    <w:charset w:val="00"/>
    <w:family w:val="swiss"/>
    <w:pitch w:val="variable"/>
    <w:sig w:usb0="E5002EFF" w:usb1="C000605B" w:usb2="00000029" w:usb3="00000000" w:csb0="000101FF" w:csb1="00000000"/>
  </w:font>
  <w:font w:name="serif mso-ascii-font-family :">
    <w:altName w:val="Segoe Print"/>
    <w:charset w:val="00"/>
    <w:family w:val="auto"/>
    <w:pitch w:val="default"/>
    <w:sig w:usb0="00000000" w:usb1="00000000" w:usb2="00000000" w:usb3="00000000" w:csb0="00000001" w:csb1="00000000"/>
  </w:font>
  <w:font w:name="_x000B__x000C_">
    <w:altName w:val="微软雅黑"/>
    <w:charset w:val="00"/>
    <w:family w:val="auto"/>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
    <w:altName w:val="Yu Gothic"/>
    <w:charset w:val="00"/>
    <w:family w:val="auto"/>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1DD" w14:textId="77777777" w:rsidR="002E474C" w:rsidRDefault="00000000">
    <w:pPr>
      <w:pStyle w:val="A-2"/>
      <w:tabs>
        <w:tab w:val="clear" w:pos="4153"/>
        <w:tab w:val="left" w:pos="3990"/>
        <w:tab w:val="center" w:pos="4156"/>
      </w:tabs>
      <w:jc w:val="center"/>
    </w:pPr>
    <w:r>
      <w:fldChar w:fldCharType="begin"/>
    </w:r>
    <w:r>
      <w:instrText>PAGE   \* MERGEFORMAT</w:instrText>
    </w:r>
    <w:r>
      <w:fldChar w:fldCharType="separate"/>
    </w:r>
    <w:r>
      <w:rPr>
        <w:lang w:val="zh-CN"/>
      </w:rPr>
      <w:t>240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B0B9" w14:textId="77777777" w:rsidR="002E474C" w:rsidRDefault="00000000">
    <w:pPr>
      <w:framePr w:wrap="around" w:vAnchor="text" w:hAnchor="margin" w:xAlign="center" w:y="1"/>
    </w:pPr>
    <w:r>
      <w:fldChar w:fldCharType="begin"/>
    </w:r>
    <w:r>
      <w:instrText xml:space="preserve">PAGE  </w:instrText>
    </w:r>
    <w:r>
      <w:fldChar w:fldCharType="end"/>
    </w:r>
  </w:p>
  <w:p w14:paraId="409368F9" w14:textId="77777777" w:rsidR="002E474C" w:rsidRDefault="002E474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5AF7" w14:textId="77777777" w:rsidR="002E474C" w:rsidRDefault="00000000">
    <w:pPr>
      <w:pStyle w:val="A-2"/>
      <w:tabs>
        <w:tab w:val="clear" w:pos="4153"/>
        <w:tab w:val="left" w:pos="3990"/>
        <w:tab w:val="center" w:pos="4156"/>
      </w:tabs>
      <w:jc w:val="center"/>
    </w:pPr>
    <w:r>
      <w:fldChar w:fldCharType="begin"/>
    </w:r>
    <w:r>
      <w:instrText>PAGE   \* MERGEFORMAT</w:instrText>
    </w:r>
    <w:r>
      <w:fldChar w:fldCharType="separate"/>
    </w:r>
    <w:r>
      <w:rPr>
        <w:lang w:val="zh-CN"/>
      </w:rPr>
      <w:t>240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14FB" w14:textId="77777777" w:rsidR="003F01E3" w:rsidRDefault="003F01E3">
      <w:r>
        <w:separator/>
      </w:r>
    </w:p>
  </w:footnote>
  <w:footnote w:type="continuationSeparator" w:id="0">
    <w:p w14:paraId="75ACBED2" w14:textId="77777777" w:rsidR="003F01E3" w:rsidRDefault="003F0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CDB6" w14:textId="77777777" w:rsidR="002E474C" w:rsidRDefault="00000000">
    <w:pPr>
      <w:pStyle w:val="A-3"/>
    </w:pPr>
    <w:r>
      <w:rPr>
        <w:rFonts w:hint="eastAsia"/>
      </w:rPr>
      <w:t>1</w:t>
    </w:r>
    <w:r>
      <w:rPr>
        <w:rFonts w:hint="eastAsia"/>
      </w:rPr>
      <w:t>概述</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6E34" w14:textId="77777777" w:rsidR="002E474C" w:rsidRDefault="00000000">
    <w:pPr>
      <w:pStyle w:val="A-3"/>
    </w:pPr>
    <w:r>
      <w:t>6</w:t>
    </w:r>
    <w:r>
      <w:rPr>
        <w:rFonts w:hint="eastAsia"/>
      </w:rPr>
      <w:t>环境保护措施及其可行性论证</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4F7B" w14:textId="77777777" w:rsidR="002E474C" w:rsidRDefault="00000000">
    <w:pPr>
      <w:pStyle w:val="A-3"/>
    </w:pPr>
    <w:r>
      <w:t>8</w:t>
    </w:r>
    <w:r>
      <w:rPr>
        <w:rFonts w:hint="eastAsia"/>
      </w:rPr>
      <w:t>环境管理与监测计划</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BE63" w14:textId="77777777" w:rsidR="002E474C" w:rsidRDefault="00000000">
    <w:pPr>
      <w:pStyle w:val="A-3"/>
    </w:pPr>
    <w:r>
      <w:t>8</w:t>
    </w:r>
    <w:r>
      <w:rPr>
        <w:rFonts w:hint="eastAsia"/>
      </w:rPr>
      <w:t>环境管理与监测计划</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FB64" w14:textId="77777777" w:rsidR="002E474C" w:rsidRDefault="00000000">
    <w:pPr>
      <w:pStyle w:val="A-3"/>
    </w:pPr>
    <w:r>
      <w:t>9</w:t>
    </w:r>
    <w:r>
      <w:rPr>
        <w:rFonts w:hint="eastAsia"/>
      </w:rPr>
      <w:t>环境影响评价结论</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1ACC" w14:textId="77777777" w:rsidR="002E474C" w:rsidRDefault="00000000">
    <w:pPr>
      <w:pStyle w:val="A-3"/>
    </w:pPr>
    <w:r>
      <w:rPr>
        <w:rFonts w:hint="eastAsia"/>
      </w:rPr>
      <w:t>1</w:t>
    </w:r>
    <w:r>
      <w:rPr>
        <w:rFonts w:hint="eastAsia"/>
      </w:rPr>
      <w:t>概述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576D" w14:textId="77777777" w:rsidR="002E474C" w:rsidRDefault="00000000">
    <w:pPr>
      <w:pStyle w:val="A-3"/>
    </w:pPr>
    <w:r>
      <w:rPr>
        <w:rFonts w:hint="eastAsia"/>
      </w:rPr>
      <w:t>1</w:t>
    </w:r>
    <w:r>
      <w:rPr>
        <w:rFonts w:hint="eastAsia"/>
      </w:rPr>
      <w:t>概述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5B59" w14:textId="77777777" w:rsidR="002E474C" w:rsidRDefault="00000000">
    <w:pPr>
      <w:pStyle w:val="A-3"/>
    </w:pPr>
    <w:r>
      <w:rPr>
        <w:rFonts w:hint="eastAsia"/>
      </w:rPr>
      <w:t>2</w:t>
    </w:r>
    <w:r>
      <w:rPr>
        <w:rFonts w:hint="eastAsia"/>
      </w:rPr>
      <w:t>总则</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3AF5" w14:textId="77777777" w:rsidR="002E474C" w:rsidRDefault="00000000">
    <w:pPr>
      <w:pStyle w:val="A-3"/>
    </w:pPr>
    <w:r>
      <w:rPr>
        <w:rFonts w:hint="eastAsia"/>
      </w:rPr>
      <w:t>3</w:t>
    </w:r>
    <w:r>
      <w:rPr>
        <w:rFonts w:hint="eastAsia"/>
      </w:rPr>
      <w:t>建设项目工程分析</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B8B7" w14:textId="77777777" w:rsidR="002E474C" w:rsidRDefault="00000000">
    <w:pPr>
      <w:pStyle w:val="A-3"/>
    </w:pPr>
    <w:r>
      <w:rPr>
        <w:rFonts w:hint="eastAsia"/>
      </w:rPr>
      <w:t>3</w:t>
    </w:r>
    <w:r>
      <w:rPr>
        <w:rFonts w:hint="eastAsia"/>
      </w:rPr>
      <w:t>建设项目工程分析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303C" w14:textId="77777777" w:rsidR="002E474C" w:rsidRDefault="00000000">
    <w:pPr>
      <w:pStyle w:val="A-3"/>
    </w:pPr>
    <w:r>
      <w:rPr>
        <w:rFonts w:hint="eastAsia"/>
      </w:rPr>
      <w:t>4</w:t>
    </w:r>
    <w:r>
      <w:rPr>
        <w:rFonts w:hint="eastAsia"/>
      </w:rPr>
      <w:t>环境现状调查与评价</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1D8B" w14:textId="77777777" w:rsidR="002E474C" w:rsidRDefault="00000000">
    <w:pPr>
      <w:pStyle w:val="A-3"/>
    </w:pPr>
    <w:r>
      <w:rPr>
        <w:rFonts w:hint="eastAsia"/>
      </w:rPr>
      <w:t>5</w:t>
    </w:r>
    <w:r>
      <w:rPr>
        <w:rFonts w:hint="eastAsia"/>
      </w:rPr>
      <w:t>环境影响预测与评价</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4120" w14:textId="77777777" w:rsidR="002E474C" w:rsidRDefault="00000000">
    <w:pPr>
      <w:pStyle w:val="A-3"/>
    </w:pPr>
    <w:r>
      <w:t>5</w:t>
    </w:r>
    <w:r>
      <w:rPr>
        <w:rFonts w:hint="eastAsia"/>
      </w:rPr>
      <w:t>环境影响预测与评价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2BF0F9"/>
    <w:multiLevelType w:val="singleLevel"/>
    <w:tmpl w:val="D12BF0F9"/>
    <w:lvl w:ilvl="0">
      <w:start w:val="1"/>
      <w:numFmt w:val="decimal"/>
      <w:pStyle w:val="5"/>
      <w:suff w:val="nothing"/>
      <w:lvlText w:val="（%1）"/>
      <w:lvlJc w:val="left"/>
    </w:lvl>
  </w:abstractNum>
  <w:abstractNum w:abstractNumId="1" w15:restartNumberingAfterBreak="0">
    <w:nsid w:val="FFFFFF7C"/>
    <w:multiLevelType w:val="singleLevel"/>
    <w:tmpl w:val="FFFFFF7C"/>
    <w:lvl w:ilvl="0">
      <w:start w:val="1"/>
      <w:numFmt w:val="decimal"/>
      <w:pStyle w:val="50"/>
      <w:lvlText w:val="%1."/>
      <w:lvlJc w:val="left"/>
      <w:pPr>
        <w:tabs>
          <w:tab w:val="left" w:pos="2040"/>
        </w:tabs>
        <w:ind w:left="2040"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620"/>
        </w:tabs>
        <w:ind w:left="162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4" w15:restartNumberingAfterBreak="0">
    <w:nsid w:val="FFFFFF80"/>
    <w:multiLevelType w:val="singleLevel"/>
    <w:tmpl w:val="FFFFFF80"/>
    <w:lvl w:ilvl="0">
      <w:start w:val="1"/>
      <w:numFmt w:val="bullet"/>
      <w:pStyle w:val="51"/>
      <w:lvlText w:val=""/>
      <w:lvlJc w:val="left"/>
      <w:pPr>
        <w:tabs>
          <w:tab w:val="left"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8" w15:restartNumberingAfterBreak="0">
    <w:nsid w:val="00000002"/>
    <w:multiLevelType w:val="multilevel"/>
    <w:tmpl w:val="00000002"/>
    <w:lvl w:ilvl="0">
      <w:start w:val="1"/>
      <w:numFmt w:val="upperLetter"/>
      <w:pStyle w:val="a"/>
      <w:lvlText w:val="%1."/>
      <w:lvlJc w:val="left"/>
      <w:pPr>
        <w:ind w:left="630" w:hanging="425"/>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00000003"/>
    <w:multiLevelType w:val="singleLevel"/>
    <w:tmpl w:val="00000003"/>
    <w:lvl w:ilvl="0">
      <w:start w:val="1"/>
      <w:numFmt w:val="bullet"/>
      <w:pStyle w:val="GY5"/>
      <w:lvlText w:val=""/>
      <w:lvlJc w:val="left"/>
      <w:pPr>
        <w:tabs>
          <w:tab w:val="left" w:pos="504"/>
        </w:tabs>
        <w:ind w:left="72" w:firstLine="72"/>
      </w:pPr>
      <w:rPr>
        <w:rFonts w:ascii="Wingdings" w:hAnsi="Wingdings" w:hint="default"/>
        <w:spacing w:val="0"/>
        <w:w w:val="100"/>
        <w:kern w:val="0"/>
        <w:position w:val="0"/>
        <w:sz w:val="28"/>
      </w:rPr>
    </w:lvl>
  </w:abstractNum>
  <w:abstractNum w:abstractNumId="10" w15:restartNumberingAfterBreak="0">
    <w:nsid w:val="1D451599"/>
    <w:multiLevelType w:val="multilevel"/>
    <w:tmpl w:val="1D451599"/>
    <w:lvl w:ilvl="0">
      <w:start w:val="1"/>
      <w:numFmt w:val="decimal"/>
      <w:lvlText w:val="%1."/>
      <w:lvlJc w:val="left"/>
      <w:pPr>
        <w:tabs>
          <w:tab w:val="left" w:pos="420"/>
        </w:tabs>
        <w:ind w:left="420" w:hanging="420"/>
      </w:pPr>
    </w:lvl>
    <w:lvl w:ilvl="1">
      <w:start w:val="1"/>
      <w:numFmt w:val="lowerLetter"/>
      <w:pStyle w:val="20"/>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BB91DD9"/>
    <w:multiLevelType w:val="multilevel"/>
    <w:tmpl w:val="2BB91DD9"/>
    <w:lvl w:ilvl="0">
      <w:start w:val="2"/>
      <w:numFmt w:val="upperLetter"/>
      <w:pStyle w:val="a0"/>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2" w15:restartNumberingAfterBreak="0">
    <w:nsid w:val="2EB22B70"/>
    <w:multiLevelType w:val="multilevel"/>
    <w:tmpl w:val="2EB22B70"/>
    <w:lvl w:ilvl="0">
      <w:start w:val="1"/>
      <w:numFmt w:val="decimal"/>
      <w:pStyle w:val="1"/>
      <w:lvlText w:val="%1"/>
      <w:lvlJc w:val="left"/>
      <w:pPr>
        <w:ind w:left="425" w:hanging="425"/>
      </w:pPr>
      <w:rPr>
        <w:rFonts w:ascii="方正大黑简体" w:hint="eastAsia"/>
      </w:rPr>
    </w:lvl>
    <w:lvl w:ilvl="1">
      <w:start w:val="1"/>
      <w:numFmt w:val="decimal"/>
      <w:pStyle w:val="21"/>
      <w:lvlText w:val="%1.%2"/>
      <w:lvlJc w:val="left"/>
      <w:pPr>
        <w:tabs>
          <w:tab w:val="left" w:pos="567"/>
        </w:tabs>
        <w:ind w:left="425" w:hanging="425"/>
      </w:pPr>
      <w:rPr>
        <w:rFonts w:ascii="黑体" w:hint="eastAsia"/>
      </w:rPr>
    </w:lvl>
    <w:lvl w:ilvl="2">
      <w:start w:val="1"/>
      <w:numFmt w:val="decimal"/>
      <w:pStyle w:val="31"/>
      <w:lvlText w:val="%1.%2.%3"/>
      <w:lvlJc w:val="left"/>
      <w:pPr>
        <w:tabs>
          <w:tab w:val="left" w:pos="567"/>
        </w:tabs>
        <w:ind w:left="425" w:hanging="425"/>
      </w:pPr>
      <w:rPr>
        <w:rFonts w:ascii="黑体" w:cs="Times New Roman" w:hint="eastAsia"/>
        <w:b/>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3">
      <w:start w:val="1"/>
      <w:numFmt w:val="decimal"/>
      <w:pStyle w:val="41"/>
      <w:lvlText w:val="%1.%2.%3.%4"/>
      <w:lvlJc w:val="left"/>
      <w:pPr>
        <w:tabs>
          <w:tab w:val="left" w:pos="567"/>
        </w:tabs>
        <w:ind w:left="425" w:hanging="425"/>
      </w:pPr>
      <w:rPr>
        <w:rFonts w:asciiTheme="majorEastAsia" w:hAnsi="Times New Roman" w:hint="default"/>
        <w:b/>
        <w:i w:val="0"/>
        <w:sz w:val="28"/>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 w15:restartNumberingAfterBreak="0">
    <w:nsid w:val="39B80602"/>
    <w:multiLevelType w:val="multilevel"/>
    <w:tmpl w:val="39B80602"/>
    <w:lvl w:ilvl="0">
      <w:start w:val="1"/>
      <w:numFmt w:val="bullet"/>
      <w:pStyle w:val="Bulletlevel1"/>
      <w:lvlText w:val=""/>
      <w:lvlJc w:val="left"/>
      <w:pPr>
        <w:tabs>
          <w:tab w:val="left" w:pos="360"/>
        </w:tabs>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BAF768C"/>
    <w:multiLevelType w:val="multilevel"/>
    <w:tmpl w:val="3BAF768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41120F88"/>
    <w:multiLevelType w:val="multilevel"/>
    <w:tmpl w:val="41120F88"/>
    <w:lvl w:ilvl="0">
      <w:start w:val="1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0" w:firstLine="0"/>
      </w:pPr>
      <w:rPr>
        <w:rFonts w:hint="eastAsia"/>
      </w:rPr>
    </w:lvl>
    <w:lvl w:ilvl="2">
      <w:start w:val="1"/>
      <w:numFmt w:val="decimal"/>
      <w:pStyle w:val="33H3h33rdlevelReHead3WSA033"/>
      <w:lvlText w:val="%1.%2.%3"/>
      <w:lvlJc w:val="left"/>
      <w:pPr>
        <w:tabs>
          <w:tab w:val="left" w:pos="2291"/>
        </w:tabs>
        <w:ind w:left="1418" w:hanging="567"/>
      </w:pPr>
      <w:rPr>
        <w:rFonts w:hint="eastAsia"/>
      </w:rPr>
    </w:lvl>
    <w:lvl w:ilvl="3">
      <w:start w:val="1"/>
      <w:numFmt w:val="decimal"/>
      <w:lvlText w:val="%1.%2.%3.%4"/>
      <w:lvlJc w:val="left"/>
      <w:pPr>
        <w:tabs>
          <w:tab w:val="left" w:pos="3076"/>
        </w:tabs>
        <w:ind w:left="1984" w:hanging="708"/>
      </w:pPr>
      <w:rPr>
        <w:rFonts w:hint="eastAsia"/>
      </w:rPr>
    </w:lvl>
    <w:lvl w:ilvl="4">
      <w:start w:val="1"/>
      <w:numFmt w:val="decimal"/>
      <w:lvlText w:val="%1.%2.%3.%4.%5"/>
      <w:lvlJc w:val="left"/>
      <w:pPr>
        <w:tabs>
          <w:tab w:val="left" w:pos="4221"/>
        </w:tabs>
        <w:ind w:left="2551" w:hanging="850"/>
      </w:pPr>
      <w:rPr>
        <w:rFonts w:hint="eastAsia"/>
      </w:rPr>
    </w:lvl>
    <w:lvl w:ilvl="5">
      <w:start w:val="1"/>
      <w:numFmt w:val="decimal"/>
      <w:lvlText w:val="%1.%2.%3.%4.%5.%6"/>
      <w:lvlJc w:val="left"/>
      <w:pPr>
        <w:tabs>
          <w:tab w:val="left" w:pos="5006"/>
        </w:tabs>
        <w:ind w:left="3260" w:hanging="1134"/>
      </w:pPr>
      <w:rPr>
        <w:rFonts w:hint="eastAsia"/>
      </w:rPr>
    </w:lvl>
    <w:lvl w:ilvl="6">
      <w:start w:val="1"/>
      <w:numFmt w:val="decimal"/>
      <w:lvlText w:val="%1.%2.%3.%4.%5.%6.%7"/>
      <w:lvlJc w:val="left"/>
      <w:pPr>
        <w:tabs>
          <w:tab w:val="left" w:pos="5791"/>
        </w:tabs>
        <w:ind w:left="3827" w:hanging="1276"/>
      </w:pPr>
      <w:rPr>
        <w:rFonts w:hint="eastAsia"/>
      </w:rPr>
    </w:lvl>
    <w:lvl w:ilvl="7">
      <w:start w:val="1"/>
      <w:numFmt w:val="decimal"/>
      <w:lvlText w:val="%1.%2.%3.%4.%5.%6.%7.%8"/>
      <w:lvlJc w:val="left"/>
      <w:pPr>
        <w:tabs>
          <w:tab w:val="left" w:pos="6936"/>
        </w:tabs>
        <w:ind w:left="4394" w:hanging="1418"/>
      </w:pPr>
      <w:rPr>
        <w:rFonts w:hint="eastAsia"/>
      </w:rPr>
    </w:lvl>
    <w:lvl w:ilvl="8">
      <w:start w:val="1"/>
      <w:numFmt w:val="decimal"/>
      <w:lvlText w:val="%1.%2.%3.%4.%5.%6.%7.%8.%9"/>
      <w:lvlJc w:val="left"/>
      <w:pPr>
        <w:tabs>
          <w:tab w:val="left" w:pos="7722"/>
        </w:tabs>
        <w:ind w:left="5102" w:hanging="1700"/>
      </w:pPr>
      <w:rPr>
        <w:rFonts w:hint="eastAsia"/>
      </w:rPr>
    </w:lvl>
  </w:abstractNum>
  <w:abstractNum w:abstractNumId="16" w15:restartNumberingAfterBreak="0">
    <w:nsid w:val="46574AE9"/>
    <w:multiLevelType w:val="multilevel"/>
    <w:tmpl w:val="46574AE9"/>
    <w:lvl w:ilvl="0">
      <w:start w:val="1"/>
      <w:numFmt w:val="decimal"/>
      <w:pStyle w:val="a1"/>
      <w:lvlText w:val="%1"/>
      <w:lvlJc w:val="left"/>
      <w:pPr>
        <w:ind w:left="425" w:hanging="425"/>
      </w:pPr>
    </w:lvl>
    <w:lvl w:ilvl="1">
      <w:start w:val="1"/>
      <w:numFmt w:val="decimal"/>
      <w:pStyle w:val="a2"/>
      <w:lvlText w:val="%1.%2"/>
      <w:lvlJc w:val="left"/>
      <w:pPr>
        <w:ind w:left="992" w:hanging="567"/>
      </w:pPr>
      <w:rPr>
        <w:b w:val="0"/>
        <w:bCs w:val="0"/>
        <w:i w:val="0"/>
        <w:iCs w:val="0"/>
        <w:caps w:val="0"/>
        <w:smallCaps w:val="0"/>
        <w:strike w:val="0"/>
        <w:dstrike w:val="0"/>
        <w:vanish w:val="0"/>
        <w:color w:val="000000"/>
        <w:spacing w:val="0"/>
        <w:position w:val="0"/>
        <w:u w:val="none"/>
        <w:vertAlign w:val="baseline"/>
      </w:rPr>
    </w:lvl>
    <w:lvl w:ilvl="2">
      <w:start w:val="1"/>
      <w:numFmt w:val="decimal"/>
      <w:pStyle w:val="a3"/>
      <w:lvlText w:val="%1.%2.%3"/>
      <w:lvlJc w:val="left"/>
      <w:pPr>
        <w:ind w:left="1418" w:hanging="567"/>
      </w:pPr>
    </w:lvl>
    <w:lvl w:ilvl="3">
      <w:start w:val="1"/>
      <w:numFmt w:val="decimal"/>
      <w:pStyle w:v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FAB09F3"/>
    <w:multiLevelType w:val="multilevel"/>
    <w:tmpl w:val="4FAB09F3"/>
    <w:lvl w:ilvl="0">
      <w:start w:val="2"/>
      <w:numFmt w:val="decimal"/>
      <w:pStyle w:val="05"/>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8" w15:restartNumberingAfterBreak="0">
    <w:nsid w:val="575B00DC"/>
    <w:multiLevelType w:val="multilevel"/>
    <w:tmpl w:val="575B00DC"/>
    <w:lvl w:ilvl="0">
      <w:start w:val="1"/>
      <w:numFmt w:val="decimal"/>
      <w:suff w:val="space"/>
      <w:lvlText w:val="第%1章"/>
      <w:lvlJc w:val="left"/>
      <w:pPr>
        <w:ind w:left="1619" w:hanging="1619"/>
      </w:pPr>
      <w:rPr>
        <w:rFonts w:hint="eastAsia"/>
        <w:b/>
        <w:i w:val="0"/>
        <w:sz w:val="44"/>
        <w:szCs w:val="44"/>
      </w:rPr>
    </w:lvl>
    <w:lvl w:ilvl="1">
      <w:start w:val="1"/>
      <w:numFmt w:val="decimal"/>
      <w:isLgl/>
      <w:suff w:val="space"/>
      <w:lvlText w:val="%1.%2"/>
      <w:lvlJc w:val="left"/>
      <w:pPr>
        <w:ind w:left="1036" w:hanging="1036"/>
      </w:pPr>
      <w:rPr>
        <w:rFonts w:hAnsi="Times New Roman" w:cs="Times New Roman" w:hint="eastAsia"/>
        <w:b/>
        <w:iCs w:val="0"/>
        <w:caps w:val="0"/>
        <w:smallCaps w:val="0"/>
        <w:strike w:val="0"/>
        <w:dstrike w:val="0"/>
        <w:color w:val="000000"/>
        <w:spacing w:val="0"/>
        <w:position w:val="0"/>
        <w:u w:val="none"/>
        <w14:shadow w14:blurRad="0" w14:dist="0" w14:dir="0" w14:sx="0" w14:sy="0" w14:kx="0" w14:ky="0" w14:algn="none">
          <w14:srgbClr w14:val="000000"/>
        </w14:shadow>
      </w:rPr>
    </w:lvl>
    <w:lvl w:ilvl="2">
      <w:start w:val="1"/>
      <w:numFmt w:val="decimal"/>
      <w:pStyle w:val="111"/>
      <w:isLgl/>
      <w:suff w:val="space"/>
      <w:lvlText w:val="%1.%2.%3"/>
      <w:lvlJc w:val="left"/>
      <w:pPr>
        <w:ind w:left="248" w:firstLine="0"/>
      </w:pPr>
    </w:lvl>
    <w:lvl w:ilvl="3">
      <w:start w:val="1"/>
      <w:numFmt w:val="decimal"/>
      <w:isLgl/>
      <w:suff w:val="space"/>
      <w:lvlText w:val="%1.%2.%3.%4"/>
      <w:lvlJc w:val="left"/>
      <w:pPr>
        <w:ind w:left="900" w:firstLine="0"/>
      </w:pPr>
      <w:rPr>
        <w:rFonts w:ascii="宋体" w:eastAsia="宋体" w:hint="eastAsia"/>
        <w:b/>
        <w:i w:val="0"/>
        <w:sz w:val="24"/>
        <w:szCs w:val="24"/>
      </w:rPr>
    </w:lvl>
    <w:lvl w:ilvl="4">
      <w:start w:val="1"/>
      <w:numFmt w:val="none"/>
      <w:suff w:val="nothing"/>
      <w:lvlText w:val=""/>
      <w:lvlJc w:val="left"/>
      <w:pPr>
        <w:ind w:left="-1247" w:firstLine="0"/>
      </w:pPr>
      <w:rPr>
        <w:rFonts w:hint="eastAsia"/>
      </w:rPr>
    </w:lvl>
    <w:lvl w:ilvl="5">
      <w:start w:val="1"/>
      <w:numFmt w:val="none"/>
      <w:suff w:val="nothing"/>
      <w:lvlText w:val=""/>
      <w:lvlJc w:val="left"/>
      <w:pPr>
        <w:ind w:left="-1247" w:firstLine="0"/>
      </w:pPr>
      <w:rPr>
        <w:rFonts w:hint="eastAsia"/>
      </w:rPr>
    </w:lvl>
    <w:lvl w:ilvl="6">
      <w:start w:val="1"/>
      <w:numFmt w:val="none"/>
      <w:suff w:val="nothing"/>
      <w:lvlText w:val=""/>
      <w:lvlJc w:val="left"/>
      <w:pPr>
        <w:ind w:left="-1247" w:firstLine="0"/>
      </w:pPr>
      <w:rPr>
        <w:rFonts w:hint="eastAsia"/>
      </w:rPr>
    </w:lvl>
    <w:lvl w:ilvl="7">
      <w:start w:val="1"/>
      <w:numFmt w:val="none"/>
      <w:suff w:val="nothing"/>
      <w:lvlText w:val=""/>
      <w:lvlJc w:val="left"/>
      <w:pPr>
        <w:ind w:left="-1247" w:firstLine="0"/>
      </w:pPr>
      <w:rPr>
        <w:rFonts w:hint="eastAsia"/>
      </w:rPr>
    </w:lvl>
    <w:lvl w:ilvl="8">
      <w:start w:val="1"/>
      <w:numFmt w:val="none"/>
      <w:suff w:val="nothing"/>
      <w:lvlText w:val=""/>
      <w:lvlJc w:val="left"/>
      <w:pPr>
        <w:ind w:left="-1247" w:firstLine="0"/>
      </w:pPr>
      <w:rPr>
        <w:rFonts w:hint="eastAsia"/>
      </w:rPr>
    </w:lvl>
  </w:abstractNum>
  <w:abstractNum w:abstractNumId="19" w15:restartNumberingAfterBreak="0">
    <w:nsid w:val="5DF142B2"/>
    <w:multiLevelType w:val="multilevel"/>
    <w:tmpl w:val="5DF142B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629653DC"/>
    <w:multiLevelType w:val="singleLevel"/>
    <w:tmpl w:val="629653DC"/>
    <w:lvl w:ilvl="0">
      <w:start w:val="1"/>
      <w:numFmt w:val="bullet"/>
      <w:pStyle w:val="Bullet3"/>
      <w:lvlText w:val=""/>
      <w:lvlJc w:val="left"/>
      <w:pPr>
        <w:tabs>
          <w:tab w:val="left" w:pos="720"/>
        </w:tabs>
        <w:ind w:left="720" w:hanging="720"/>
      </w:pPr>
      <w:rPr>
        <w:rFonts w:ascii="Symbol" w:hAnsi="Symbol" w:hint="default"/>
      </w:rPr>
    </w:lvl>
  </w:abstractNum>
  <w:abstractNum w:abstractNumId="21" w15:restartNumberingAfterBreak="0">
    <w:nsid w:val="66410DCE"/>
    <w:multiLevelType w:val="multilevel"/>
    <w:tmpl w:val="66410DCE"/>
    <w:lvl w:ilvl="0">
      <w:start w:val="1"/>
      <w:numFmt w:val="bullet"/>
      <w:pStyle w:val="a4"/>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2" w15:restartNumberingAfterBreak="0">
    <w:nsid w:val="66A8057E"/>
    <w:multiLevelType w:val="singleLevel"/>
    <w:tmpl w:val="66A8057E"/>
    <w:lvl w:ilvl="0">
      <w:start w:val="1"/>
      <w:numFmt w:val="decimal"/>
      <w:pStyle w:val="a5"/>
      <w:suff w:val="nothing"/>
      <w:lvlText w:val="（%1）"/>
      <w:lvlJc w:val="left"/>
    </w:lvl>
  </w:abstractNum>
  <w:abstractNum w:abstractNumId="23" w15:restartNumberingAfterBreak="0">
    <w:nsid w:val="6F8E7232"/>
    <w:multiLevelType w:val="multilevel"/>
    <w:tmpl w:val="6F8E7232"/>
    <w:lvl w:ilvl="0">
      <w:start w:val="1"/>
      <w:numFmt w:val="decimal"/>
      <w:pStyle w:val="09"/>
      <w:lvlText w:val="表%1、"/>
      <w:lvlJc w:val="left"/>
      <w:pPr>
        <w:tabs>
          <w:tab w:val="left" w:pos="720"/>
        </w:tabs>
        <w:ind w:left="-32767" w:firstLine="32767"/>
      </w:pPr>
      <w:rPr>
        <w:rFonts w:eastAsia="幼圆"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76933334"/>
    <w:multiLevelType w:val="multilevel"/>
    <w:tmpl w:val="76933334"/>
    <w:lvl w:ilvl="0">
      <w:start w:val="1"/>
      <w:numFmt w:val="none"/>
      <w:pStyle w:val="a6"/>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319723900">
    <w:abstractNumId w:val="12"/>
  </w:num>
  <w:num w:numId="2" w16cid:durableId="653725483">
    <w:abstractNumId w:val="5"/>
  </w:num>
  <w:num w:numId="3" w16cid:durableId="1662082369">
    <w:abstractNumId w:val="6"/>
  </w:num>
  <w:num w:numId="4" w16cid:durableId="1743404058">
    <w:abstractNumId w:val="3"/>
  </w:num>
  <w:num w:numId="5" w16cid:durableId="1560944078">
    <w:abstractNumId w:val="7"/>
  </w:num>
  <w:num w:numId="6" w16cid:durableId="2002465276">
    <w:abstractNumId w:val="4"/>
  </w:num>
  <w:num w:numId="7" w16cid:durableId="201023509">
    <w:abstractNumId w:val="2"/>
  </w:num>
  <w:num w:numId="8" w16cid:durableId="2142965246">
    <w:abstractNumId w:val="1"/>
  </w:num>
  <w:num w:numId="9" w16cid:durableId="1064527377">
    <w:abstractNumId w:val="8"/>
  </w:num>
  <w:num w:numId="10" w16cid:durableId="1483741916">
    <w:abstractNumId w:val="22"/>
  </w:num>
  <w:num w:numId="11" w16cid:durableId="8995465">
    <w:abstractNumId w:val="18"/>
  </w:num>
  <w:num w:numId="12" w16cid:durableId="1347826771">
    <w:abstractNumId w:val="11"/>
  </w:num>
  <w:num w:numId="13" w16cid:durableId="1820730284">
    <w:abstractNumId w:val="15"/>
  </w:num>
  <w:num w:numId="14" w16cid:durableId="696538991">
    <w:abstractNumId w:val="16"/>
  </w:num>
  <w:num w:numId="15" w16cid:durableId="2145198141">
    <w:abstractNumId w:val="0"/>
  </w:num>
  <w:num w:numId="16" w16cid:durableId="306667847">
    <w:abstractNumId w:val="24"/>
  </w:num>
  <w:num w:numId="17" w16cid:durableId="1264797773">
    <w:abstractNumId w:val="21"/>
  </w:num>
  <w:num w:numId="18" w16cid:durableId="1601572004">
    <w:abstractNumId w:val="23"/>
  </w:num>
  <w:num w:numId="19" w16cid:durableId="587543640">
    <w:abstractNumId w:val="13"/>
  </w:num>
  <w:num w:numId="20" w16cid:durableId="795414510">
    <w:abstractNumId w:val="17"/>
  </w:num>
  <w:num w:numId="21" w16cid:durableId="1622958766">
    <w:abstractNumId w:val="20"/>
  </w:num>
  <w:num w:numId="22" w16cid:durableId="338001370">
    <w:abstractNumId w:val="10"/>
  </w:num>
  <w:num w:numId="23" w16cid:durableId="1286424214">
    <w:abstractNumId w:val="9"/>
  </w:num>
  <w:num w:numId="24" w16cid:durableId="1264335606">
    <w:abstractNumId w:val="14"/>
  </w:num>
  <w:num w:numId="25" w16cid:durableId="13556962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bordersDoNotSurroundHeader/>
  <w:bordersDoNotSurroundFooter/>
  <w:hideSpellingErrors/>
  <w:proofState w:spelling="clean"/>
  <w:documentProtection w:edit="forms" w:enforcement="0"/>
  <w:defaultTabStop w:val="0"/>
  <w:drawingGridHorizontalSpacing w:val="105"/>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393"/>
    <w:rsid w:val="000001AB"/>
    <w:rsid w:val="000003B3"/>
    <w:rsid w:val="00000629"/>
    <w:rsid w:val="00000996"/>
    <w:rsid w:val="0000099F"/>
    <w:rsid w:val="00000FD6"/>
    <w:rsid w:val="00001087"/>
    <w:rsid w:val="00001318"/>
    <w:rsid w:val="000013AA"/>
    <w:rsid w:val="0000141F"/>
    <w:rsid w:val="00001AD5"/>
    <w:rsid w:val="00001B6B"/>
    <w:rsid w:val="00001BAC"/>
    <w:rsid w:val="00001D64"/>
    <w:rsid w:val="00001DCD"/>
    <w:rsid w:val="000020B1"/>
    <w:rsid w:val="00002184"/>
    <w:rsid w:val="00002631"/>
    <w:rsid w:val="000029AE"/>
    <w:rsid w:val="00002D0E"/>
    <w:rsid w:val="000035AA"/>
    <w:rsid w:val="000035F2"/>
    <w:rsid w:val="000036F8"/>
    <w:rsid w:val="0000374A"/>
    <w:rsid w:val="000037BC"/>
    <w:rsid w:val="00003994"/>
    <w:rsid w:val="00003AD3"/>
    <w:rsid w:val="00003DED"/>
    <w:rsid w:val="000040CE"/>
    <w:rsid w:val="0000417C"/>
    <w:rsid w:val="000042A5"/>
    <w:rsid w:val="00004594"/>
    <w:rsid w:val="00004742"/>
    <w:rsid w:val="00004768"/>
    <w:rsid w:val="00004864"/>
    <w:rsid w:val="000048FB"/>
    <w:rsid w:val="00004AFC"/>
    <w:rsid w:val="00004BBD"/>
    <w:rsid w:val="00004BE6"/>
    <w:rsid w:val="00004D29"/>
    <w:rsid w:val="00005150"/>
    <w:rsid w:val="000056DE"/>
    <w:rsid w:val="00005A29"/>
    <w:rsid w:val="00005C84"/>
    <w:rsid w:val="00005D63"/>
    <w:rsid w:val="0000601B"/>
    <w:rsid w:val="0000615D"/>
    <w:rsid w:val="0000647D"/>
    <w:rsid w:val="000064B7"/>
    <w:rsid w:val="000065D3"/>
    <w:rsid w:val="000066BB"/>
    <w:rsid w:val="00006E79"/>
    <w:rsid w:val="00007000"/>
    <w:rsid w:val="000070B6"/>
    <w:rsid w:val="00007235"/>
    <w:rsid w:val="00007388"/>
    <w:rsid w:val="000074E4"/>
    <w:rsid w:val="0000754A"/>
    <w:rsid w:val="0000755A"/>
    <w:rsid w:val="0000769F"/>
    <w:rsid w:val="000078F4"/>
    <w:rsid w:val="00007A72"/>
    <w:rsid w:val="00007A9F"/>
    <w:rsid w:val="00007CF7"/>
    <w:rsid w:val="00010200"/>
    <w:rsid w:val="0001032C"/>
    <w:rsid w:val="0001087E"/>
    <w:rsid w:val="00010915"/>
    <w:rsid w:val="00010A88"/>
    <w:rsid w:val="00010B36"/>
    <w:rsid w:val="00010C0C"/>
    <w:rsid w:val="00010C7F"/>
    <w:rsid w:val="00010D28"/>
    <w:rsid w:val="00010D5D"/>
    <w:rsid w:val="00010F9D"/>
    <w:rsid w:val="000110D7"/>
    <w:rsid w:val="00011106"/>
    <w:rsid w:val="00011246"/>
    <w:rsid w:val="00011282"/>
    <w:rsid w:val="0001128F"/>
    <w:rsid w:val="000113D1"/>
    <w:rsid w:val="0001170F"/>
    <w:rsid w:val="0001187C"/>
    <w:rsid w:val="00011CCC"/>
    <w:rsid w:val="00011D4D"/>
    <w:rsid w:val="00012134"/>
    <w:rsid w:val="000121D2"/>
    <w:rsid w:val="0001294F"/>
    <w:rsid w:val="00012FC5"/>
    <w:rsid w:val="00013132"/>
    <w:rsid w:val="0001331A"/>
    <w:rsid w:val="0001339E"/>
    <w:rsid w:val="0001340C"/>
    <w:rsid w:val="0001354A"/>
    <w:rsid w:val="000136C1"/>
    <w:rsid w:val="00013942"/>
    <w:rsid w:val="00013BC9"/>
    <w:rsid w:val="00013EC7"/>
    <w:rsid w:val="000140CB"/>
    <w:rsid w:val="00014112"/>
    <w:rsid w:val="000141DD"/>
    <w:rsid w:val="00014467"/>
    <w:rsid w:val="00014AB6"/>
    <w:rsid w:val="00014C0C"/>
    <w:rsid w:val="00014DA6"/>
    <w:rsid w:val="0001554F"/>
    <w:rsid w:val="000155E1"/>
    <w:rsid w:val="00015946"/>
    <w:rsid w:val="00015A8E"/>
    <w:rsid w:val="00015AC6"/>
    <w:rsid w:val="00015AE5"/>
    <w:rsid w:val="00015D39"/>
    <w:rsid w:val="00016146"/>
    <w:rsid w:val="000162BE"/>
    <w:rsid w:val="000162F0"/>
    <w:rsid w:val="000164FA"/>
    <w:rsid w:val="00016635"/>
    <w:rsid w:val="00016C41"/>
    <w:rsid w:val="00016C64"/>
    <w:rsid w:val="00016DA2"/>
    <w:rsid w:val="00017161"/>
    <w:rsid w:val="00017D3F"/>
    <w:rsid w:val="00017DE4"/>
    <w:rsid w:val="00017FB5"/>
    <w:rsid w:val="00017FC9"/>
    <w:rsid w:val="00020223"/>
    <w:rsid w:val="00020266"/>
    <w:rsid w:val="000206BF"/>
    <w:rsid w:val="000208DA"/>
    <w:rsid w:val="00020930"/>
    <w:rsid w:val="000209DE"/>
    <w:rsid w:val="00021304"/>
    <w:rsid w:val="00021353"/>
    <w:rsid w:val="00021416"/>
    <w:rsid w:val="00021958"/>
    <w:rsid w:val="00021C0F"/>
    <w:rsid w:val="00021C95"/>
    <w:rsid w:val="00021D79"/>
    <w:rsid w:val="00021FC5"/>
    <w:rsid w:val="000223BE"/>
    <w:rsid w:val="000225C3"/>
    <w:rsid w:val="00023351"/>
    <w:rsid w:val="000234F1"/>
    <w:rsid w:val="00023522"/>
    <w:rsid w:val="0002357E"/>
    <w:rsid w:val="00023638"/>
    <w:rsid w:val="000236F0"/>
    <w:rsid w:val="00023721"/>
    <w:rsid w:val="00023B4A"/>
    <w:rsid w:val="00023BA8"/>
    <w:rsid w:val="00023BD3"/>
    <w:rsid w:val="00023C8C"/>
    <w:rsid w:val="00023CA9"/>
    <w:rsid w:val="00023D61"/>
    <w:rsid w:val="00024660"/>
    <w:rsid w:val="000246BE"/>
    <w:rsid w:val="0002487E"/>
    <w:rsid w:val="0002498B"/>
    <w:rsid w:val="00024B8C"/>
    <w:rsid w:val="00024CED"/>
    <w:rsid w:val="00024D12"/>
    <w:rsid w:val="00024FF8"/>
    <w:rsid w:val="000250B8"/>
    <w:rsid w:val="0002522C"/>
    <w:rsid w:val="00025511"/>
    <w:rsid w:val="00025F3F"/>
    <w:rsid w:val="000260CD"/>
    <w:rsid w:val="00026234"/>
    <w:rsid w:val="00026552"/>
    <w:rsid w:val="0002694F"/>
    <w:rsid w:val="00026A38"/>
    <w:rsid w:val="00026B0D"/>
    <w:rsid w:val="00026B60"/>
    <w:rsid w:val="00026DD0"/>
    <w:rsid w:val="00026F61"/>
    <w:rsid w:val="0002707D"/>
    <w:rsid w:val="00027217"/>
    <w:rsid w:val="00027250"/>
    <w:rsid w:val="0002746B"/>
    <w:rsid w:val="0002776D"/>
    <w:rsid w:val="00027944"/>
    <w:rsid w:val="00027EBC"/>
    <w:rsid w:val="0003012C"/>
    <w:rsid w:val="00030210"/>
    <w:rsid w:val="000302E9"/>
    <w:rsid w:val="0003063D"/>
    <w:rsid w:val="000306C6"/>
    <w:rsid w:val="000306D3"/>
    <w:rsid w:val="00030747"/>
    <w:rsid w:val="000309A5"/>
    <w:rsid w:val="000309DB"/>
    <w:rsid w:val="00030B54"/>
    <w:rsid w:val="00030E36"/>
    <w:rsid w:val="0003101C"/>
    <w:rsid w:val="00031226"/>
    <w:rsid w:val="000314E6"/>
    <w:rsid w:val="00031727"/>
    <w:rsid w:val="000319AD"/>
    <w:rsid w:val="00031B60"/>
    <w:rsid w:val="00031C39"/>
    <w:rsid w:val="00031E41"/>
    <w:rsid w:val="00031E63"/>
    <w:rsid w:val="000323DC"/>
    <w:rsid w:val="000324D0"/>
    <w:rsid w:val="00032582"/>
    <w:rsid w:val="000325E7"/>
    <w:rsid w:val="0003266C"/>
    <w:rsid w:val="00032763"/>
    <w:rsid w:val="00032799"/>
    <w:rsid w:val="00032899"/>
    <w:rsid w:val="00032E60"/>
    <w:rsid w:val="00033028"/>
    <w:rsid w:val="000331C0"/>
    <w:rsid w:val="0003320A"/>
    <w:rsid w:val="0003332C"/>
    <w:rsid w:val="00033696"/>
    <w:rsid w:val="000338AD"/>
    <w:rsid w:val="000339DE"/>
    <w:rsid w:val="00033A09"/>
    <w:rsid w:val="00033E7C"/>
    <w:rsid w:val="00033EFE"/>
    <w:rsid w:val="00034053"/>
    <w:rsid w:val="00034074"/>
    <w:rsid w:val="000341C0"/>
    <w:rsid w:val="0003455E"/>
    <w:rsid w:val="0003475A"/>
    <w:rsid w:val="00034A4E"/>
    <w:rsid w:val="00034EBC"/>
    <w:rsid w:val="000352B1"/>
    <w:rsid w:val="00035502"/>
    <w:rsid w:val="00035DF2"/>
    <w:rsid w:val="00035E70"/>
    <w:rsid w:val="000360DB"/>
    <w:rsid w:val="0003614F"/>
    <w:rsid w:val="0003623F"/>
    <w:rsid w:val="00036278"/>
    <w:rsid w:val="0003631F"/>
    <w:rsid w:val="000367CC"/>
    <w:rsid w:val="00036D89"/>
    <w:rsid w:val="00036E6D"/>
    <w:rsid w:val="00037006"/>
    <w:rsid w:val="00037380"/>
    <w:rsid w:val="00037400"/>
    <w:rsid w:val="0003768C"/>
    <w:rsid w:val="00037755"/>
    <w:rsid w:val="00037765"/>
    <w:rsid w:val="000377BC"/>
    <w:rsid w:val="000378E4"/>
    <w:rsid w:val="0003790F"/>
    <w:rsid w:val="00037C31"/>
    <w:rsid w:val="00037F31"/>
    <w:rsid w:val="00040034"/>
    <w:rsid w:val="0004011E"/>
    <w:rsid w:val="000401DB"/>
    <w:rsid w:val="000403A1"/>
    <w:rsid w:val="00040512"/>
    <w:rsid w:val="000407C9"/>
    <w:rsid w:val="00040AE2"/>
    <w:rsid w:val="00040B97"/>
    <w:rsid w:val="00040BDC"/>
    <w:rsid w:val="00040CB6"/>
    <w:rsid w:val="00041229"/>
    <w:rsid w:val="0004153C"/>
    <w:rsid w:val="000417DF"/>
    <w:rsid w:val="000418C4"/>
    <w:rsid w:val="00041A3B"/>
    <w:rsid w:val="00041C28"/>
    <w:rsid w:val="00041C40"/>
    <w:rsid w:val="00041E00"/>
    <w:rsid w:val="0004271A"/>
    <w:rsid w:val="00042833"/>
    <w:rsid w:val="00042A74"/>
    <w:rsid w:val="00042D86"/>
    <w:rsid w:val="00042E06"/>
    <w:rsid w:val="00042F49"/>
    <w:rsid w:val="00042FB7"/>
    <w:rsid w:val="00043179"/>
    <w:rsid w:val="000436F2"/>
    <w:rsid w:val="00043932"/>
    <w:rsid w:val="00043A70"/>
    <w:rsid w:val="00043AE7"/>
    <w:rsid w:val="00043C02"/>
    <w:rsid w:val="000445B8"/>
    <w:rsid w:val="00044682"/>
    <w:rsid w:val="000446A1"/>
    <w:rsid w:val="000446A7"/>
    <w:rsid w:val="0004473C"/>
    <w:rsid w:val="000448EC"/>
    <w:rsid w:val="00044EC0"/>
    <w:rsid w:val="00045184"/>
    <w:rsid w:val="0004519D"/>
    <w:rsid w:val="000457D6"/>
    <w:rsid w:val="00045920"/>
    <w:rsid w:val="00045A87"/>
    <w:rsid w:val="00045E21"/>
    <w:rsid w:val="0004600D"/>
    <w:rsid w:val="00046158"/>
    <w:rsid w:val="000465A8"/>
    <w:rsid w:val="0004678A"/>
    <w:rsid w:val="00046813"/>
    <w:rsid w:val="00046A11"/>
    <w:rsid w:val="00046B3A"/>
    <w:rsid w:val="00046D06"/>
    <w:rsid w:val="000470EB"/>
    <w:rsid w:val="00047625"/>
    <w:rsid w:val="0004786C"/>
    <w:rsid w:val="00047939"/>
    <w:rsid w:val="00047B5A"/>
    <w:rsid w:val="00047C2E"/>
    <w:rsid w:val="00047EA5"/>
    <w:rsid w:val="00047ED4"/>
    <w:rsid w:val="00047F43"/>
    <w:rsid w:val="000504DE"/>
    <w:rsid w:val="00050605"/>
    <w:rsid w:val="000508EC"/>
    <w:rsid w:val="00050925"/>
    <w:rsid w:val="000509B1"/>
    <w:rsid w:val="00050B47"/>
    <w:rsid w:val="0005102B"/>
    <w:rsid w:val="00051177"/>
    <w:rsid w:val="00051938"/>
    <w:rsid w:val="00051AEE"/>
    <w:rsid w:val="00051B87"/>
    <w:rsid w:val="00051C65"/>
    <w:rsid w:val="00051DC4"/>
    <w:rsid w:val="00052533"/>
    <w:rsid w:val="00052599"/>
    <w:rsid w:val="000527D9"/>
    <w:rsid w:val="00052909"/>
    <w:rsid w:val="00052A25"/>
    <w:rsid w:val="00052BD4"/>
    <w:rsid w:val="00052E50"/>
    <w:rsid w:val="000530EB"/>
    <w:rsid w:val="000531E4"/>
    <w:rsid w:val="000532BB"/>
    <w:rsid w:val="000532EE"/>
    <w:rsid w:val="00053953"/>
    <w:rsid w:val="00053990"/>
    <w:rsid w:val="00053ABB"/>
    <w:rsid w:val="00053AC7"/>
    <w:rsid w:val="00053B45"/>
    <w:rsid w:val="00053B9B"/>
    <w:rsid w:val="00053C10"/>
    <w:rsid w:val="00053DB9"/>
    <w:rsid w:val="00053E1E"/>
    <w:rsid w:val="00053E87"/>
    <w:rsid w:val="00054122"/>
    <w:rsid w:val="0005455E"/>
    <w:rsid w:val="0005464C"/>
    <w:rsid w:val="000546FA"/>
    <w:rsid w:val="000548DC"/>
    <w:rsid w:val="00054C40"/>
    <w:rsid w:val="00054D2F"/>
    <w:rsid w:val="00054EDF"/>
    <w:rsid w:val="00054EE8"/>
    <w:rsid w:val="00055232"/>
    <w:rsid w:val="00055615"/>
    <w:rsid w:val="000556F6"/>
    <w:rsid w:val="00055791"/>
    <w:rsid w:val="00055C73"/>
    <w:rsid w:val="00055F32"/>
    <w:rsid w:val="0005623C"/>
    <w:rsid w:val="000562AD"/>
    <w:rsid w:val="00056414"/>
    <w:rsid w:val="00056423"/>
    <w:rsid w:val="00056B74"/>
    <w:rsid w:val="00056B7E"/>
    <w:rsid w:val="00056B9E"/>
    <w:rsid w:val="00056CE5"/>
    <w:rsid w:val="0005738A"/>
    <w:rsid w:val="000574ED"/>
    <w:rsid w:val="000575EB"/>
    <w:rsid w:val="000577E6"/>
    <w:rsid w:val="0005786E"/>
    <w:rsid w:val="00057939"/>
    <w:rsid w:val="0005793B"/>
    <w:rsid w:val="00057B95"/>
    <w:rsid w:val="000603FC"/>
    <w:rsid w:val="000605F9"/>
    <w:rsid w:val="00060E7E"/>
    <w:rsid w:val="00060F38"/>
    <w:rsid w:val="000612BC"/>
    <w:rsid w:val="00061BFF"/>
    <w:rsid w:val="00061E9B"/>
    <w:rsid w:val="00061ED1"/>
    <w:rsid w:val="00061F57"/>
    <w:rsid w:val="00062181"/>
    <w:rsid w:val="00062197"/>
    <w:rsid w:val="000629B4"/>
    <w:rsid w:val="000629B7"/>
    <w:rsid w:val="00062AEA"/>
    <w:rsid w:val="00062DF1"/>
    <w:rsid w:val="00062F97"/>
    <w:rsid w:val="0006300B"/>
    <w:rsid w:val="0006308D"/>
    <w:rsid w:val="0006322F"/>
    <w:rsid w:val="000636E8"/>
    <w:rsid w:val="00063AEA"/>
    <w:rsid w:val="00063DC6"/>
    <w:rsid w:val="00063DD1"/>
    <w:rsid w:val="00063F44"/>
    <w:rsid w:val="00063FC1"/>
    <w:rsid w:val="000644F2"/>
    <w:rsid w:val="00064665"/>
    <w:rsid w:val="000646E4"/>
    <w:rsid w:val="00064AA6"/>
    <w:rsid w:val="00064C11"/>
    <w:rsid w:val="00064C83"/>
    <w:rsid w:val="00064D1B"/>
    <w:rsid w:val="00065126"/>
    <w:rsid w:val="00065388"/>
    <w:rsid w:val="0006565D"/>
    <w:rsid w:val="00065766"/>
    <w:rsid w:val="00065C80"/>
    <w:rsid w:val="000660AE"/>
    <w:rsid w:val="00066373"/>
    <w:rsid w:val="0006651B"/>
    <w:rsid w:val="00066605"/>
    <w:rsid w:val="00066C95"/>
    <w:rsid w:val="00066D10"/>
    <w:rsid w:val="00066FB9"/>
    <w:rsid w:val="00067046"/>
    <w:rsid w:val="00067138"/>
    <w:rsid w:val="000673DC"/>
    <w:rsid w:val="00067846"/>
    <w:rsid w:val="000678FD"/>
    <w:rsid w:val="00067928"/>
    <w:rsid w:val="00067C40"/>
    <w:rsid w:val="00067D0C"/>
    <w:rsid w:val="00067D2E"/>
    <w:rsid w:val="00067D69"/>
    <w:rsid w:val="00067DF1"/>
    <w:rsid w:val="00070055"/>
    <w:rsid w:val="000707B1"/>
    <w:rsid w:val="00070843"/>
    <w:rsid w:val="00070AA2"/>
    <w:rsid w:val="00070F37"/>
    <w:rsid w:val="00070F60"/>
    <w:rsid w:val="00070F63"/>
    <w:rsid w:val="00070FCD"/>
    <w:rsid w:val="00071030"/>
    <w:rsid w:val="00071182"/>
    <w:rsid w:val="0007135D"/>
    <w:rsid w:val="00071AE8"/>
    <w:rsid w:val="00071AFE"/>
    <w:rsid w:val="00071C5D"/>
    <w:rsid w:val="00071C86"/>
    <w:rsid w:val="00071EF5"/>
    <w:rsid w:val="00072050"/>
    <w:rsid w:val="000723AD"/>
    <w:rsid w:val="000727F4"/>
    <w:rsid w:val="00072C8B"/>
    <w:rsid w:val="00073289"/>
    <w:rsid w:val="00073447"/>
    <w:rsid w:val="00073536"/>
    <w:rsid w:val="00073584"/>
    <w:rsid w:val="0007365E"/>
    <w:rsid w:val="00073795"/>
    <w:rsid w:val="000739C7"/>
    <w:rsid w:val="00073C4D"/>
    <w:rsid w:val="00073C4F"/>
    <w:rsid w:val="00073C5D"/>
    <w:rsid w:val="00073D27"/>
    <w:rsid w:val="0007402F"/>
    <w:rsid w:val="0007415E"/>
    <w:rsid w:val="0007423A"/>
    <w:rsid w:val="00074585"/>
    <w:rsid w:val="000749FE"/>
    <w:rsid w:val="00074E04"/>
    <w:rsid w:val="00074FA9"/>
    <w:rsid w:val="0007507B"/>
    <w:rsid w:val="00075090"/>
    <w:rsid w:val="00075618"/>
    <w:rsid w:val="00075799"/>
    <w:rsid w:val="00075956"/>
    <w:rsid w:val="00075D2C"/>
    <w:rsid w:val="00075E1E"/>
    <w:rsid w:val="000760BD"/>
    <w:rsid w:val="000760D0"/>
    <w:rsid w:val="00076176"/>
    <w:rsid w:val="00076324"/>
    <w:rsid w:val="00076741"/>
    <w:rsid w:val="000767DD"/>
    <w:rsid w:val="0007680E"/>
    <w:rsid w:val="00076B6C"/>
    <w:rsid w:val="00076B8F"/>
    <w:rsid w:val="00076DA2"/>
    <w:rsid w:val="00076E18"/>
    <w:rsid w:val="00076EFD"/>
    <w:rsid w:val="0007739C"/>
    <w:rsid w:val="00077685"/>
    <w:rsid w:val="0007773F"/>
    <w:rsid w:val="000777AF"/>
    <w:rsid w:val="0007798F"/>
    <w:rsid w:val="00077E6F"/>
    <w:rsid w:val="00080094"/>
    <w:rsid w:val="00080362"/>
    <w:rsid w:val="00080480"/>
    <w:rsid w:val="000804D8"/>
    <w:rsid w:val="00080636"/>
    <w:rsid w:val="0008067B"/>
    <w:rsid w:val="000806A9"/>
    <w:rsid w:val="0008086E"/>
    <w:rsid w:val="00080B41"/>
    <w:rsid w:val="00080D42"/>
    <w:rsid w:val="00080EB2"/>
    <w:rsid w:val="0008172D"/>
    <w:rsid w:val="00081863"/>
    <w:rsid w:val="00081977"/>
    <w:rsid w:val="000819EA"/>
    <w:rsid w:val="00081DF7"/>
    <w:rsid w:val="000821F5"/>
    <w:rsid w:val="0008226D"/>
    <w:rsid w:val="00082B29"/>
    <w:rsid w:val="00082E67"/>
    <w:rsid w:val="00082F33"/>
    <w:rsid w:val="0008312C"/>
    <w:rsid w:val="00083367"/>
    <w:rsid w:val="00083673"/>
    <w:rsid w:val="000837F9"/>
    <w:rsid w:val="000838D6"/>
    <w:rsid w:val="0008396A"/>
    <w:rsid w:val="00083BB3"/>
    <w:rsid w:val="00083D82"/>
    <w:rsid w:val="00083E58"/>
    <w:rsid w:val="00083FBA"/>
    <w:rsid w:val="00084089"/>
    <w:rsid w:val="000840BC"/>
    <w:rsid w:val="000841AF"/>
    <w:rsid w:val="000841B6"/>
    <w:rsid w:val="000846E9"/>
    <w:rsid w:val="00084A95"/>
    <w:rsid w:val="00084B03"/>
    <w:rsid w:val="00084DB0"/>
    <w:rsid w:val="00085030"/>
    <w:rsid w:val="0008516D"/>
    <w:rsid w:val="000852CC"/>
    <w:rsid w:val="00085707"/>
    <w:rsid w:val="000859C0"/>
    <w:rsid w:val="00085AE3"/>
    <w:rsid w:val="00085BA8"/>
    <w:rsid w:val="00085C6A"/>
    <w:rsid w:val="00085EAC"/>
    <w:rsid w:val="000860E1"/>
    <w:rsid w:val="0008616B"/>
    <w:rsid w:val="000863A0"/>
    <w:rsid w:val="00086606"/>
    <w:rsid w:val="0008692C"/>
    <w:rsid w:val="00086F09"/>
    <w:rsid w:val="0008703F"/>
    <w:rsid w:val="00087108"/>
    <w:rsid w:val="000875AD"/>
    <w:rsid w:val="0008782D"/>
    <w:rsid w:val="00087915"/>
    <w:rsid w:val="00087BBC"/>
    <w:rsid w:val="00087BF5"/>
    <w:rsid w:val="0009028C"/>
    <w:rsid w:val="000903D8"/>
    <w:rsid w:val="000904C1"/>
    <w:rsid w:val="00090583"/>
    <w:rsid w:val="0009066D"/>
    <w:rsid w:val="000909B0"/>
    <w:rsid w:val="000910CE"/>
    <w:rsid w:val="000911C7"/>
    <w:rsid w:val="0009131F"/>
    <w:rsid w:val="00091918"/>
    <w:rsid w:val="00091D0E"/>
    <w:rsid w:val="00091D64"/>
    <w:rsid w:val="00091E1A"/>
    <w:rsid w:val="0009249B"/>
    <w:rsid w:val="0009272E"/>
    <w:rsid w:val="00092812"/>
    <w:rsid w:val="00092ADF"/>
    <w:rsid w:val="00092B5E"/>
    <w:rsid w:val="00092C25"/>
    <w:rsid w:val="00092E48"/>
    <w:rsid w:val="000934A2"/>
    <w:rsid w:val="000934B8"/>
    <w:rsid w:val="0009396D"/>
    <w:rsid w:val="000941DB"/>
    <w:rsid w:val="000944F4"/>
    <w:rsid w:val="00094592"/>
    <w:rsid w:val="000945D6"/>
    <w:rsid w:val="000947F8"/>
    <w:rsid w:val="000949A2"/>
    <w:rsid w:val="00094F39"/>
    <w:rsid w:val="000951A8"/>
    <w:rsid w:val="000952C4"/>
    <w:rsid w:val="00095672"/>
    <w:rsid w:val="0009570C"/>
    <w:rsid w:val="000958E3"/>
    <w:rsid w:val="00095A44"/>
    <w:rsid w:val="00095B24"/>
    <w:rsid w:val="00095B68"/>
    <w:rsid w:val="00095F88"/>
    <w:rsid w:val="00096007"/>
    <w:rsid w:val="00096200"/>
    <w:rsid w:val="00096A20"/>
    <w:rsid w:val="00096AD7"/>
    <w:rsid w:val="00096FDE"/>
    <w:rsid w:val="00097233"/>
    <w:rsid w:val="00097535"/>
    <w:rsid w:val="00097A17"/>
    <w:rsid w:val="00097B60"/>
    <w:rsid w:val="00097E49"/>
    <w:rsid w:val="000A04F7"/>
    <w:rsid w:val="000A06FA"/>
    <w:rsid w:val="000A0767"/>
    <w:rsid w:val="000A0AF4"/>
    <w:rsid w:val="000A0D25"/>
    <w:rsid w:val="000A0F27"/>
    <w:rsid w:val="000A11AF"/>
    <w:rsid w:val="000A12B1"/>
    <w:rsid w:val="000A18F6"/>
    <w:rsid w:val="000A1A47"/>
    <w:rsid w:val="000A1AB8"/>
    <w:rsid w:val="000A1BDB"/>
    <w:rsid w:val="000A1D6C"/>
    <w:rsid w:val="000A222B"/>
    <w:rsid w:val="000A22C7"/>
    <w:rsid w:val="000A24B4"/>
    <w:rsid w:val="000A24DF"/>
    <w:rsid w:val="000A2583"/>
    <w:rsid w:val="000A2605"/>
    <w:rsid w:val="000A2671"/>
    <w:rsid w:val="000A2DE1"/>
    <w:rsid w:val="000A2F81"/>
    <w:rsid w:val="000A2FAF"/>
    <w:rsid w:val="000A39C0"/>
    <w:rsid w:val="000A3C87"/>
    <w:rsid w:val="000A3CDB"/>
    <w:rsid w:val="000A3F4A"/>
    <w:rsid w:val="000A3FD0"/>
    <w:rsid w:val="000A4208"/>
    <w:rsid w:val="000A4B04"/>
    <w:rsid w:val="000A4E4F"/>
    <w:rsid w:val="000A4E97"/>
    <w:rsid w:val="000A5301"/>
    <w:rsid w:val="000A55B9"/>
    <w:rsid w:val="000A5689"/>
    <w:rsid w:val="000A5901"/>
    <w:rsid w:val="000A5988"/>
    <w:rsid w:val="000A5BC1"/>
    <w:rsid w:val="000A5ECE"/>
    <w:rsid w:val="000A5EF0"/>
    <w:rsid w:val="000A62A6"/>
    <w:rsid w:val="000A62F0"/>
    <w:rsid w:val="000A6406"/>
    <w:rsid w:val="000A64FC"/>
    <w:rsid w:val="000A66A0"/>
    <w:rsid w:val="000A678C"/>
    <w:rsid w:val="000A69EB"/>
    <w:rsid w:val="000A6B05"/>
    <w:rsid w:val="000A6B69"/>
    <w:rsid w:val="000A6CC3"/>
    <w:rsid w:val="000A6DBA"/>
    <w:rsid w:val="000A6E81"/>
    <w:rsid w:val="000A6EF4"/>
    <w:rsid w:val="000A7553"/>
    <w:rsid w:val="000A75F2"/>
    <w:rsid w:val="000A79A4"/>
    <w:rsid w:val="000A79B8"/>
    <w:rsid w:val="000A7DEB"/>
    <w:rsid w:val="000A7E7E"/>
    <w:rsid w:val="000A7FBC"/>
    <w:rsid w:val="000B00EA"/>
    <w:rsid w:val="000B08E9"/>
    <w:rsid w:val="000B0914"/>
    <w:rsid w:val="000B0A14"/>
    <w:rsid w:val="000B0C8D"/>
    <w:rsid w:val="000B0D2F"/>
    <w:rsid w:val="000B0ECF"/>
    <w:rsid w:val="000B1018"/>
    <w:rsid w:val="000B11FA"/>
    <w:rsid w:val="000B1286"/>
    <w:rsid w:val="000B1291"/>
    <w:rsid w:val="000B1375"/>
    <w:rsid w:val="000B1610"/>
    <w:rsid w:val="000B1675"/>
    <w:rsid w:val="000B1747"/>
    <w:rsid w:val="000B17A3"/>
    <w:rsid w:val="000B19A4"/>
    <w:rsid w:val="000B2036"/>
    <w:rsid w:val="000B22A5"/>
    <w:rsid w:val="000B2461"/>
    <w:rsid w:val="000B258F"/>
    <w:rsid w:val="000B25F7"/>
    <w:rsid w:val="000B27E2"/>
    <w:rsid w:val="000B2B65"/>
    <w:rsid w:val="000B2C45"/>
    <w:rsid w:val="000B2D3D"/>
    <w:rsid w:val="000B303D"/>
    <w:rsid w:val="000B31B8"/>
    <w:rsid w:val="000B34BE"/>
    <w:rsid w:val="000B35ED"/>
    <w:rsid w:val="000B36B5"/>
    <w:rsid w:val="000B3787"/>
    <w:rsid w:val="000B38C0"/>
    <w:rsid w:val="000B3B76"/>
    <w:rsid w:val="000B3EA8"/>
    <w:rsid w:val="000B3F88"/>
    <w:rsid w:val="000B40E9"/>
    <w:rsid w:val="000B4312"/>
    <w:rsid w:val="000B450B"/>
    <w:rsid w:val="000B4511"/>
    <w:rsid w:val="000B4706"/>
    <w:rsid w:val="000B5122"/>
    <w:rsid w:val="000B5493"/>
    <w:rsid w:val="000B583B"/>
    <w:rsid w:val="000B5859"/>
    <w:rsid w:val="000B595A"/>
    <w:rsid w:val="000B5966"/>
    <w:rsid w:val="000B596F"/>
    <w:rsid w:val="000B59E9"/>
    <w:rsid w:val="000B5BDD"/>
    <w:rsid w:val="000B5C07"/>
    <w:rsid w:val="000B5E1A"/>
    <w:rsid w:val="000B5EBB"/>
    <w:rsid w:val="000B5F3B"/>
    <w:rsid w:val="000B6399"/>
    <w:rsid w:val="000B639B"/>
    <w:rsid w:val="000B6428"/>
    <w:rsid w:val="000B67A6"/>
    <w:rsid w:val="000B6AC4"/>
    <w:rsid w:val="000B6B03"/>
    <w:rsid w:val="000B6B50"/>
    <w:rsid w:val="000B6DAE"/>
    <w:rsid w:val="000B716E"/>
    <w:rsid w:val="000B7191"/>
    <w:rsid w:val="000B7197"/>
    <w:rsid w:val="000B73CB"/>
    <w:rsid w:val="000B7507"/>
    <w:rsid w:val="000B76E0"/>
    <w:rsid w:val="000B7980"/>
    <w:rsid w:val="000B799B"/>
    <w:rsid w:val="000B7A75"/>
    <w:rsid w:val="000C0401"/>
    <w:rsid w:val="000C0418"/>
    <w:rsid w:val="000C0754"/>
    <w:rsid w:val="000C07F6"/>
    <w:rsid w:val="000C08BC"/>
    <w:rsid w:val="000C0A74"/>
    <w:rsid w:val="000C0A7B"/>
    <w:rsid w:val="000C0B4E"/>
    <w:rsid w:val="000C0E93"/>
    <w:rsid w:val="000C1182"/>
    <w:rsid w:val="000C13C0"/>
    <w:rsid w:val="000C147E"/>
    <w:rsid w:val="000C168C"/>
    <w:rsid w:val="000C17E4"/>
    <w:rsid w:val="000C19F0"/>
    <w:rsid w:val="000C22BE"/>
    <w:rsid w:val="000C266E"/>
    <w:rsid w:val="000C26E3"/>
    <w:rsid w:val="000C26EA"/>
    <w:rsid w:val="000C2C58"/>
    <w:rsid w:val="000C2EED"/>
    <w:rsid w:val="000C3239"/>
    <w:rsid w:val="000C327B"/>
    <w:rsid w:val="000C33CE"/>
    <w:rsid w:val="000C38C4"/>
    <w:rsid w:val="000C3A23"/>
    <w:rsid w:val="000C4060"/>
    <w:rsid w:val="000C4124"/>
    <w:rsid w:val="000C458C"/>
    <w:rsid w:val="000C4852"/>
    <w:rsid w:val="000C49BD"/>
    <w:rsid w:val="000C49E5"/>
    <w:rsid w:val="000C4D83"/>
    <w:rsid w:val="000C4FF2"/>
    <w:rsid w:val="000C5038"/>
    <w:rsid w:val="000C50BA"/>
    <w:rsid w:val="000C5108"/>
    <w:rsid w:val="000C5223"/>
    <w:rsid w:val="000C53BF"/>
    <w:rsid w:val="000C53FC"/>
    <w:rsid w:val="000C54DE"/>
    <w:rsid w:val="000C550E"/>
    <w:rsid w:val="000C5A7D"/>
    <w:rsid w:val="000C5BCE"/>
    <w:rsid w:val="000C5E69"/>
    <w:rsid w:val="000C603F"/>
    <w:rsid w:val="000C60BE"/>
    <w:rsid w:val="000C6347"/>
    <w:rsid w:val="000C645A"/>
    <w:rsid w:val="000C65E0"/>
    <w:rsid w:val="000C6864"/>
    <w:rsid w:val="000C69D5"/>
    <w:rsid w:val="000C6AA7"/>
    <w:rsid w:val="000C6AFC"/>
    <w:rsid w:val="000C6CF3"/>
    <w:rsid w:val="000C6F0B"/>
    <w:rsid w:val="000C6FD6"/>
    <w:rsid w:val="000C6FDE"/>
    <w:rsid w:val="000C7037"/>
    <w:rsid w:val="000C722B"/>
    <w:rsid w:val="000C73DC"/>
    <w:rsid w:val="000C73F7"/>
    <w:rsid w:val="000C7575"/>
    <w:rsid w:val="000C75D4"/>
    <w:rsid w:val="000C7CC1"/>
    <w:rsid w:val="000C7D9F"/>
    <w:rsid w:val="000C7DD8"/>
    <w:rsid w:val="000C7E32"/>
    <w:rsid w:val="000D0256"/>
    <w:rsid w:val="000D02D5"/>
    <w:rsid w:val="000D0720"/>
    <w:rsid w:val="000D0A06"/>
    <w:rsid w:val="000D0B52"/>
    <w:rsid w:val="000D0D65"/>
    <w:rsid w:val="000D0E93"/>
    <w:rsid w:val="000D0ED1"/>
    <w:rsid w:val="000D10BA"/>
    <w:rsid w:val="000D14E6"/>
    <w:rsid w:val="000D1768"/>
    <w:rsid w:val="000D1922"/>
    <w:rsid w:val="000D1965"/>
    <w:rsid w:val="000D2244"/>
    <w:rsid w:val="000D23E6"/>
    <w:rsid w:val="000D269C"/>
    <w:rsid w:val="000D2722"/>
    <w:rsid w:val="000D2A8C"/>
    <w:rsid w:val="000D2D17"/>
    <w:rsid w:val="000D2E3B"/>
    <w:rsid w:val="000D2F81"/>
    <w:rsid w:val="000D2FAB"/>
    <w:rsid w:val="000D2FCF"/>
    <w:rsid w:val="000D32AD"/>
    <w:rsid w:val="000D36DC"/>
    <w:rsid w:val="000D37E1"/>
    <w:rsid w:val="000D380A"/>
    <w:rsid w:val="000D3FFA"/>
    <w:rsid w:val="000D408B"/>
    <w:rsid w:val="000D445F"/>
    <w:rsid w:val="000D45CC"/>
    <w:rsid w:val="000D4C04"/>
    <w:rsid w:val="000D4D73"/>
    <w:rsid w:val="000D5486"/>
    <w:rsid w:val="000D573F"/>
    <w:rsid w:val="000D5C0A"/>
    <w:rsid w:val="000D5E56"/>
    <w:rsid w:val="000D6006"/>
    <w:rsid w:val="000D6242"/>
    <w:rsid w:val="000D633C"/>
    <w:rsid w:val="000D63F2"/>
    <w:rsid w:val="000D640B"/>
    <w:rsid w:val="000D6495"/>
    <w:rsid w:val="000D652F"/>
    <w:rsid w:val="000D688E"/>
    <w:rsid w:val="000D68A2"/>
    <w:rsid w:val="000D6956"/>
    <w:rsid w:val="000D6B0C"/>
    <w:rsid w:val="000D6FBA"/>
    <w:rsid w:val="000D7152"/>
    <w:rsid w:val="000D7280"/>
    <w:rsid w:val="000D732F"/>
    <w:rsid w:val="000D737A"/>
    <w:rsid w:val="000D74FA"/>
    <w:rsid w:val="000D7D1B"/>
    <w:rsid w:val="000D7F69"/>
    <w:rsid w:val="000E01D2"/>
    <w:rsid w:val="000E01D5"/>
    <w:rsid w:val="000E02CD"/>
    <w:rsid w:val="000E039D"/>
    <w:rsid w:val="000E0AC7"/>
    <w:rsid w:val="000E0CD7"/>
    <w:rsid w:val="000E0D23"/>
    <w:rsid w:val="000E0F03"/>
    <w:rsid w:val="000E0F56"/>
    <w:rsid w:val="000E0FBB"/>
    <w:rsid w:val="000E10AF"/>
    <w:rsid w:val="000E1152"/>
    <w:rsid w:val="000E125A"/>
    <w:rsid w:val="000E1723"/>
    <w:rsid w:val="000E180B"/>
    <w:rsid w:val="000E19A6"/>
    <w:rsid w:val="000E1A0E"/>
    <w:rsid w:val="000E1B05"/>
    <w:rsid w:val="000E1B58"/>
    <w:rsid w:val="000E2163"/>
    <w:rsid w:val="000E2229"/>
    <w:rsid w:val="000E2440"/>
    <w:rsid w:val="000E2491"/>
    <w:rsid w:val="000E2606"/>
    <w:rsid w:val="000E2A30"/>
    <w:rsid w:val="000E2B75"/>
    <w:rsid w:val="000E2CB0"/>
    <w:rsid w:val="000E3435"/>
    <w:rsid w:val="000E3538"/>
    <w:rsid w:val="000E3776"/>
    <w:rsid w:val="000E37C7"/>
    <w:rsid w:val="000E3813"/>
    <w:rsid w:val="000E3973"/>
    <w:rsid w:val="000E3A02"/>
    <w:rsid w:val="000E3B22"/>
    <w:rsid w:val="000E402A"/>
    <w:rsid w:val="000E405A"/>
    <w:rsid w:val="000E4669"/>
    <w:rsid w:val="000E49D9"/>
    <w:rsid w:val="000E4A9F"/>
    <w:rsid w:val="000E4AF5"/>
    <w:rsid w:val="000E4BFC"/>
    <w:rsid w:val="000E4C8E"/>
    <w:rsid w:val="000E4F97"/>
    <w:rsid w:val="000E5142"/>
    <w:rsid w:val="000E51AA"/>
    <w:rsid w:val="000E535B"/>
    <w:rsid w:val="000E54D1"/>
    <w:rsid w:val="000E5537"/>
    <w:rsid w:val="000E56DB"/>
    <w:rsid w:val="000E56E2"/>
    <w:rsid w:val="000E5ACE"/>
    <w:rsid w:val="000E5B6F"/>
    <w:rsid w:val="000E5E8C"/>
    <w:rsid w:val="000E5F73"/>
    <w:rsid w:val="000E5FFA"/>
    <w:rsid w:val="000E6047"/>
    <w:rsid w:val="000E60E1"/>
    <w:rsid w:val="000E643C"/>
    <w:rsid w:val="000E6A86"/>
    <w:rsid w:val="000E6D4E"/>
    <w:rsid w:val="000E6EFA"/>
    <w:rsid w:val="000E70C1"/>
    <w:rsid w:val="000E726E"/>
    <w:rsid w:val="000E73D0"/>
    <w:rsid w:val="000E749F"/>
    <w:rsid w:val="000E75AD"/>
    <w:rsid w:val="000E778E"/>
    <w:rsid w:val="000E7960"/>
    <w:rsid w:val="000E7962"/>
    <w:rsid w:val="000E7964"/>
    <w:rsid w:val="000E7D15"/>
    <w:rsid w:val="000E7D4D"/>
    <w:rsid w:val="000E7D92"/>
    <w:rsid w:val="000E7EA0"/>
    <w:rsid w:val="000E7F94"/>
    <w:rsid w:val="000F04C7"/>
    <w:rsid w:val="000F05B6"/>
    <w:rsid w:val="000F0BC3"/>
    <w:rsid w:val="000F0CDE"/>
    <w:rsid w:val="000F0D38"/>
    <w:rsid w:val="000F0EF4"/>
    <w:rsid w:val="000F119B"/>
    <w:rsid w:val="000F14F0"/>
    <w:rsid w:val="000F1718"/>
    <w:rsid w:val="000F176F"/>
    <w:rsid w:val="000F195C"/>
    <w:rsid w:val="000F1A09"/>
    <w:rsid w:val="000F1A21"/>
    <w:rsid w:val="000F1A98"/>
    <w:rsid w:val="000F1AE8"/>
    <w:rsid w:val="000F1C14"/>
    <w:rsid w:val="000F1EA2"/>
    <w:rsid w:val="000F2082"/>
    <w:rsid w:val="000F23A4"/>
    <w:rsid w:val="000F243D"/>
    <w:rsid w:val="000F2810"/>
    <w:rsid w:val="000F2985"/>
    <w:rsid w:val="000F2F3A"/>
    <w:rsid w:val="000F32F3"/>
    <w:rsid w:val="000F352E"/>
    <w:rsid w:val="000F37AC"/>
    <w:rsid w:val="000F3B1D"/>
    <w:rsid w:val="000F3B77"/>
    <w:rsid w:val="000F3BCD"/>
    <w:rsid w:val="000F4036"/>
    <w:rsid w:val="000F4350"/>
    <w:rsid w:val="000F4413"/>
    <w:rsid w:val="000F446A"/>
    <w:rsid w:val="000F450C"/>
    <w:rsid w:val="000F4613"/>
    <w:rsid w:val="000F4F67"/>
    <w:rsid w:val="000F4FE3"/>
    <w:rsid w:val="000F4FED"/>
    <w:rsid w:val="000F535A"/>
    <w:rsid w:val="000F5526"/>
    <w:rsid w:val="000F582C"/>
    <w:rsid w:val="000F591B"/>
    <w:rsid w:val="000F5EAF"/>
    <w:rsid w:val="000F6069"/>
    <w:rsid w:val="000F613D"/>
    <w:rsid w:val="000F6278"/>
    <w:rsid w:val="000F640D"/>
    <w:rsid w:val="000F656C"/>
    <w:rsid w:val="000F6819"/>
    <w:rsid w:val="000F687D"/>
    <w:rsid w:val="000F68FD"/>
    <w:rsid w:val="000F693A"/>
    <w:rsid w:val="000F7547"/>
    <w:rsid w:val="000F788F"/>
    <w:rsid w:val="000F79C4"/>
    <w:rsid w:val="000F7B67"/>
    <w:rsid w:val="000F7D5F"/>
    <w:rsid w:val="000F7F3A"/>
    <w:rsid w:val="0010008F"/>
    <w:rsid w:val="0010012C"/>
    <w:rsid w:val="00100259"/>
    <w:rsid w:val="001003FB"/>
    <w:rsid w:val="0010042A"/>
    <w:rsid w:val="001005A5"/>
    <w:rsid w:val="00100A65"/>
    <w:rsid w:val="00100B51"/>
    <w:rsid w:val="00100C19"/>
    <w:rsid w:val="00100D25"/>
    <w:rsid w:val="00100E2B"/>
    <w:rsid w:val="0010102F"/>
    <w:rsid w:val="00101030"/>
    <w:rsid w:val="00101283"/>
    <w:rsid w:val="00101768"/>
    <w:rsid w:val="00101B66"/>
    <w:rsid w:val="00101C91"/>
    <w:rsid w:val="00101CDB"/>
    <w:rsid w:val="00101D35"/>
    <w:rsid w:val="00101F2E"/>
    <w:rsid w:val="00102192"/>
    <w:rsid w:val="00102543"/>
    <w:rsid w:val="00102599"/>
    <w:rsid w:val="001026D9"/>
    <w:rsid w:val="00102A10"/>
    <w:rsid w:val="00102A60"/>
    <w:rsid w:val="00102AB7"/>
    <w:rsid w:val="00102CC0"/>
    <w:rsid w:val="00102DA1"/>
    <w:rsid w:val="001031DC"/>
    <w:rsid w:val="00103424"/>
    <w:rsid w:val="0010344B"/>
    <w:rsid w:val="00103482"/>
    <w:rsid w:val="00103506"/>
    <w:rsid w:val="001036F4"/>
    <w:rsid w:val="00103805"/>
    <w:rsid w:val="00103907"/>
    <w:rsid w:val="00103A4A"/>
    <w:rsid w:val="00103B20"/>
    <w:rsid w:val="00103BD8"/>
    <w:rsid w:val="00103BE4"/>
    <w:rsid w:val="00103DA0"/>
    <w:rsid w:val="00103EBA"/>
    <w:rsid w:val="00103FB2"/>
    <w:rsid w:val="00104123"/>
    <w:rsid w:val="00104198"/>
    <w:rsid w:val="00104407"/>
    <w:rsid w:val="001046F7"/>
    <w:rsid w:val="0010494C"/>
    <w:rsid w:val="00104B11"/>
    <w:rsid w:val="001051A2"/>
    <w:rsid w:val="001051F2"/>
    <w:rsid w:val="00105403"/>
    <w:rsid w:val="00105776"/>
    <w:rsid w:val="0010582A"/>
    <w:rsid w:val="001058D7"/>
    <w:rsid w:val="00105902"/>
    <w:rsid w:val="001059F7"/>
    <w:rsid w:val="00105A82"/>
    <w:rsid w:val="00105E97"/>
    <w:rsid w:val="00105F89"/>
    <w:rsid w:val="00106028"/>
    <w:rsid w:val="00106770"/>
    <w:rsid w:val="001069EE"/>
    <w:rsid w:val="00106BC9"/>
    <w:rsid w:val="00106C36"/>
    <w:rsid w:val="00106C8D"/>
    <w:rsid w:val="00107180"/>
    <w:rsid w:val="001073AC"/>
    <w:rsid w:val="0010768C"/>
    <w:rsid w:val="00107694"/>
    <w:rsid w:val="001076CA"/>
    <w:rsid w:val="00107781"/>
    <w:rsid w:val="00107872"/>
    <w:rsid w:val="00107896"/>
    <w:rsid w:val="00107983"/>
    <w:rsid w:val="00107A21"/>
    <w:rsid w:val="00107AAC"/>
    <w:rsid w:val="00107C74"/>
    <w:rsid w:val="00107D23"/>
    <w:rsid w:val="00107E6E"/>
    <w:rsid w:val="00107EA4"/>
    <w:rsid w:val="00107EDC"/>
    <w:rsid w:val="00107FCF"/>
    <w:rsid w:val="001106CA"/>
    <w:rsid w:val="00110779"/>
    <w:rsid w:val="001109AB"/>
    <w:rsid w:val="001109DB"/>
    <w:rsid w:val="00110B39"/>
    <w:rsid w:val="00110C8E"/>
    <w:rsid w:val="00110F13"/>
    <w:rsid w:val="00111090"/>
    <w:rsid w:val="0011113B"/>
    <w:rsid w:val="0011138C"/>
    <w:rsid w:val="001117C9"/>
    <w:rsid w:val="0011194C"/>
    <w:rsid w:val="00111AC8"/>
    <w:rsid w:val="00111C35"/>
    <w:rsid w:val="00111D15"/>
    <w:rsid w:val="00111DA4"/>
    <w:rsid w:val="00111E0C"/>
    <w:rsid w:val="0011261D"/>
    <w:rsid w:val="0011280E"/>
    <w:rsid w:val="00112901"/>
    <w:rsid w:val="00112A64"/>
    <w:rsid w:val="00112EDA"/>
    <w:rsid w:val="00112F05"/>
    <w:rsid w:val="00113A3F"/>
    <w:rsid w:val="00113CF7"/>
    <w:rsid w:val="00114015"/>
    <w:rsid w:val="00114046"/>
    <w:rsid w:val="00114059"/>
    <w:rsid w:val="00114458"/>
    <w:rsid w:val="0011472C"/>
    <w:rsid w:val="00114788"/>
    <w:rsid w:val="0011495E"/>
    <w:rsid w:val="0011496F"/>
    <w:rsid w:val="00114A65"/>
    <w:rsid w:val="00114B66"/>
    <w:rsid w:val="00114B9B"/>
    <w:rsid w:val="00114BC4"/>
    <w:rsid w:val="00114C0C"/>
    <w:rsid w:val="00114D41"/>
    <w:rsid w:val="00115168"/>
    <w:rsid w:val="00115529"/>
    <w:rsid w:val="00115BE8"/>
    <w:rsid w:val="00115CA2"/>
    <w:rsid w:val="00115D7F"/>
    <w:rsid w:val="00115DBF"/>
    <w:rsid w:val="0011654E"/>
    <w:rsid w:val="00116864"/>
    <w:rsid w:val="00116971"/>
    <w:rsid w:val="0011722C"/>
    <w:rsid w:val="00117AC9"/>
    <w:rsid w:val="00117B9C"/>
    <w:rsid w:val="00120254"/>
    <w:rsid w:val="001203EF"/>
    <w:rsid w:val="00120452"/>
    <w:rsid w:val="001204E8"/>
    <w:rsid w:val="00120872"/>
    <w:rsid w:val="00120C6C"/>
    <w:rsid w:val="00120CF2"/>
    <w:rsid w:val="00120D84"/>
    <w:rsid w:val="00121040"/>
    <w:rsid w:val="00121727"/>
    <w:rsid w:val="00121F39"/>
    <w:rsid w:val="0012212B"/>
    <w:rsid w:val="00122143"/>
    <w:rsid w:val="001222BF"/>
    <w:rsid w:val="001222CA"/>
    <w:rsid w:val="00122366"/>
    <w:rsid w:val="001226C2"/>
    <w:rsid w:val="001227D8"/>
    <w:rsid w:val="00122ACC"/>
    <w:rsid w:val="00123112"/>
    <w:rsid w:val="0012312C"/>
    <w:rsid w:val="00123159"/>
    <w:rsid w:val="001235E6"/>
    <w:rsid w:val="0012373E"/>
    <w:rsid w:val="00123AE0"/>
    <w:rsid w:val="00123C5A"/>
    <w:rsid w:val="00123CD7"/>
    <w:rsid w:val="00124186"/>
    <w:rsid w:val="001247FD"/>
    <w:rsid w:val="00124830"/>
    <w:rsid w:val="00124C7C"/>
    <w:rsid w:val="00124E78"/>
    <w:rsid w:val="00124FA2"/>
    <w:rsid w:val="00125018"/>
    <w:rsid w:val="00125060"/>
    <w:rsid w:val="00125230"/>
    <w:rsid w:val="00125377"/>
    <w:rsid w:val="0012590F"/>
    <w:rsid w:val="00125975"/>
    <w:rsid w:val="00125E09"/>
    <w:rsid w:val="00126312"/>
    <w:rsid w:val="00126390"/>
    <w:rsid w:val="001265C9"/>
    <w:rsid w:val="00126E51"/>
    <w:rsid w:val="00126F10"/>
    <w:rsid w:val="001274BA"/>
    <w:rsid w:val="001274F9"/>
    <w:rsid w:val="00127A4E"/>
    <w:rsid w:val="00127B63"/>
    <w:rsid w:val="00127CB8"/>
    <w:rsid w:val="00130008"/>
    <w:rsid w:val="00130267"/>
    <w:rsid w:val="001303FA"/>
    <w:rsid w:val="001306C1"/>
    <w:rsid w:val="00130A9C"/>
    <w:rsid w:val="00130BE5"/>
    <w:rsid w:val="00130FFD"/>
    <w:rsid w:val="0013131A"/>
    <w:rsid w:val="001319AA"/>
    <w:rsid w:val="00131E59"/>
    <w:rsid w:val="00131F69"/>
    <w:rsid w:val="00131FE1"/>
    <w:rsid w:val="0013204B"/>
    <w:rsid w:val="00132551"/>
    <w:rsid w:val="0013298E"/>
    <w:rsid w:val="00132F4A"/>
    <w:rsid w:val="001331ED"/>
    <w:rsid w:val="00133651"/>
    <w:rsid w:val="001336D4"/>
    <w:rsid w:val="0013373C"/>
    <w:rsid w:val="00133B1C"/>
    <w:rsid w:val="001347DC"/>
    <w:rsid w:val="00134AB1"/>
    <w:rsid w:val="00134D77"/>
    <w:rsid w:val="00134D93"/>
    <w:rsid w:val="001355C3"/>
    <w:rsid w:val="00135688"/>
    <w:rsid w:val="00135E4A"/>
    <w:rsid w:val="001360A1"/>
    <w:rsid w:val="001362BB"/>
    <w:rsid w:val="00136ABA"/>
    <w:rsid w:val="00136ACC"/>
    <w:rsid w:val="00136F02"/>
    <w:rsid w:val="001370EC"/>
    <w:rsid w:val="00137705"/>
    <w:rsid w:val="001379C2"/>
    <w:rsid w:val="00137B4D"/>
    <w:rsid w:val="00137B99"/>
    <w:rsid w:val="00137D11"/>
    <w:rsid w:val="0014002E"/>
    <w:rsid w:val="00140086"/>
    <w:rsid w:val="00140709"/>
    <w:rsid w:val="00140729"/>
    <w:rsid w:val="0014077E"/>
    <w:rsid w:val="00140846"/>
    <w:rsid w:val="00140942"/>
    <w:rsid w:val="00140A88"/>
    <w:rsid w:val="00140C4C"/>
    <w:rsid w:val="00140CC9"/>
    <w:rsid w:val="00140EA2"/>
    <w:rsid w:val="00140F77"/>
    <w:rsid w:val="00141162"/>
    <w:rsid w:val="00141398"/>
    <w:rsid w:val="001414EF"/>
    <w:rsid w:val="00141A6C"/>
    <w:rsid w:val="00141C1D"/>
    <w:rsid w:val="00141CC3"/>
    <w:rsid w:val="001421D1"/>
    <w:rsid w:val="001422C2"/>
    <w:rsid w:val="0014234F"/>
    <w:rsid w:val="00142BB0"/>
    <w:rsid w:val="00142BDB"/>
    <w:rsid w:val="00142DE6"/>
    <w:rsid w:val="00143110"/>
    <w:rsid w:val="00143390"/>
    <w:rsid w:val="001438AE"/>
    <w:rsid w:val="00143B93"/>
    <w:rsid w:val="001440C6"/>
    <w:rsid w:val="0014432C"/>
    <w:rsid w:val="001447BE"/>
    <w:rsid w:val="00144806"/>
    <w:rsid w:val="00144863"/>
    <w:rsid w:val="00144AE2"/>
    <w:rsid w:val="00144CC2"/>
    <w:rsid w:val="00144D21"/>
    <w:rsid w:val="00144D42"/>
    <w:rsid w:val="00144FE5"/>
    <w:rsid w:val="00145079"/>
    <w:rsid w:val="001450F3"/>
    <w:rsid w:val="001453B5"/>
    <w:rsid w:val="001454A3"/>
    <w:rsid w:val="0014550A"/>
    <w:rsid w:val="00145564"/>
    <w:rsid w:val="001455ED"/>
    <w:rsid w:val="001458DB"/>
    <w:rsid w:val="0014591C"/>
    <w:rsid w:val="00145B54"/>
    <w:rsid w:val="00145C1A"/>
    <w:rsid w:val="0014602B"/>
    <w:rsid w:val="001461F4"/>
    <w:rsid w:val="001462C3"/>
    <w:rsid w:val="001463E8"/>
    <w:rsid w:val="0014644E"/>
    <w:rsid w:val="00146477"/>
    <w:rsid w:val="00146779"/>
    <w:rsid w:val="00146884"/>
    <w:rsid w:val="001468B9"/>
    <w:rsid w:val="00146B16"/>
    <w:rsid w:val="00146E5C"/>
    <w:rsid w:val="001472F0"/>
    <w:rsid w:val="00147443"/>
    <w:rsid w:val="001474D8"/>
    <w:rsid w:val="001476A4"/>
    <w:rsid w:val="001477AB"/>
    <w:rsid w:val="00147854"/>
    <w:rsid w:val="0014793F"/>
    <w:rsid w:val="0014795B"/>
    <w:rsid w:val="00147A34"/>
    <w:rsid w:val="00147D02"/>
    <w:rsid w:val="00150043"/>
    <w:rsid w:val="001500B0"/>
    <w:rsid w:val="00150311"/>
    <w:rsid w:val="00150424"/>
    <w:rsid w:val="00150AF1"/>
    <w:rsid w:val="00150B7F"/>
    <w:rsid w:val="00150F06"/>
    <w:rsid w:val="00150FD1"/>
    <w:rsid w:val="00151020"/>
    <w:rsid w:val="00151120"/>
    <w:rsid w:val="00151698"/>
    <w:rsid w:val="00151937"/>
    <w:rsid w:val="00151A9F"/>
    <w:rsid w:val="00151BA0"/>
    <w:rsid w:val="00151E3B"/>
    <w:rsid w:val="00151FFA"/>
    <w:rsid w:val="00152125"/>
    <w:rsid w:val="001522D4"/>
    <w:rsid w:val="001528E8"/>
    <w:rsid w:val="00152A17"/>
    <w:rsid w:val="00152B35"/>
    <w:rsid w:val="00152CD4"/>
    <w:rsid w:val="00152FAC"/>
    <w:rsid w:val="00153146"/>
    <w:rsid w:val="00153346"/>
    <w:rsid w:val="0015366C"/>
    <w:rsid w:val="001537CB"/>
    <w:rsid w:val="0015390D"/>
    <w:rsid w:val="00153D13"/>
    <w:rsid w:val="0015415E"/>
    <w:rsid w:val="0015463C"/>
    <w:rsid w:val="001546D2"/>
    <w:rsid w:val="0015474D"/>
    <w:rsid w:val="00154777"/>
    <w:rsid w:val="00154797"/>
    <w:rsid w:val="00154813"/>
    <w:rsid w:val="00154C4E"/>
    <w:rsid w:val="0015508E"/>
    <w:rsid w:val="001555A2"/>
    <w:rsid w:val="00155713"/>
    <w:rsid w:val="0015576C"/>
    <w:rsid w:val="00155C8E"/>
    <w:rsid w:val="00155C96"/>
    <w:rsid w:val="00155D83"/>
    <w:rsid w:val="00155FE9"/>
    <w:rsid w:val="00156022"/>
    <w:rsid w:val="00156077"/>
    <w:rsid w:val="0015609B"/>
    <w:rsid w:val="001560B2"/>
    <w:rsid w:val="00156609"/>
    <w:rsid w:val="001568C1"/>
    <w:rsid w:val="0015692A"/>
    <w:rsid w:val="0015695A"/>
    <w:rsid w:val="00156F91"/>
    <w:rsid w:val="00157013"/>
    <w:rsid w:val="0015701A"/>
    <w:rsid w:val="00157075"/>
    <w:rsid w:val="001572BE"/>
    <w:rsid w:val="00157447"/>
    <w:rsid w:val="0015747E"/>
    <w:rsid w:val="001576CC"/>
    <w:rsid w:val="001577AD"/>
    <w:rsid w:val="001577FF"/>
    <w:rsid w:val="00157C3F"/>
    <w:rsid w:val="001601A0"/>
    <w:rsid w:val="001601E3"/>
    <w:rsid w:val="0016047B"/>
    <w:rsid w:val="0016053A"/>
    <w:rsid w:val="00160616"/>
    <w:rsid w:val="00160729"/>
    <w:rsid w:val="0016086C"/>
    <w:rsid w:val="00160B39"/>
    <w:rsid w:val="00160BC9"/>
    <w:rsid w:val="001610B9"/>
    <w:rsid w:val="00161155"/>
    <w:rsid w:val="00161B02"/>
    <w:rsid w:val="00161D6F"/>
    <w:rsid w:val="00162097"/>
    <w:rsid w:val="00162184"/>
    <w:rsid w:val="00162347"/>
    <w:rsid w:val="00162576"/>
    <w:rsid w:val="001627A1"/>
    <w:rsid w:val="00162BAF"/>
    <w:rsid w:val="00162E6E"/>
    <w:rsid w:val="00162E74"/>
    <w:rsid w:val="00162F4C"/>
    <w:rsid w:val="00163194"/>
    <w:rsid w:val="0016344D"/>
    <w:rsid w:val="00163688"/>
    <w:rsid w:val="0016392C"/>
    <w:rsid w:val="00163CAD"/>
    <w:rsid w:val="00163E2A"/>
    <w:rsid w:val="00163E47"/>
    <w:rsid w:val="00163F04"/>
    <w:rsid w:val="001643C4"/>
    <w:rsid w:val="0016446A"/>
    <w:rsid w:val="00164708"/>
    <w:rsid w:val="0016474C"/>
    <w:rsid w:val="001649DA"/>
    <w:rsid w:val="001649FD"/>
    <w:rsid w:val="00164B46"/>
    <w:rsid w:val="00164BEC"/>
    <w:rsid w:val="00164C1C"/>
    <w:rsid w:val="00164ED0"/>
    <w:rsid w:val="00165074"/>
    <w:rsid w:val="00165100"/>
    <w:rsid w:val="00165388"/>
    <w:rsid w:val="00165437"/>
    <w:rsid w:val="001655C0"/>
    <w:rsid w:val="0016584A"/>
    <w:rsid w:val="0016591E"/>
    <w:rsid w:val="00165AAC"/>
    <w:rsid w:val="00166202"/>
    <w:rsid w:val="00166430"/>
    <w:rsid w:val="00166558"/>
    <w:rsid w:val="00166E3F"/>
    <w:rsid w:val="00166E9F"/>
    <w:rsid w:val="001675C0"/>
    <w:rsid w:val="00167712"/>
    <w:rsid w:val="00167D4E"/>
    <w:rsid w:val="00167DA2"/>
    <w:rsid w:val="00167DC6"/>
    <w:rsid w:val="00167F8E"/>
    <w:rsid w:val="00170164"/>
    <w:rsid w:val="001706BD"/>
    <w:rsid w:val="00170838"/>
    <w:rsid w:val="00170BE2"/>
    <w:rsid w:val="00170C6B"/>
    <w:rsid w:val="001711BB"/>
    <w:rsid w:val="001714AD"/>
    <w:rsid w:val="001715EF"/>
    <w:rsid w:val="00171700"/>
    <w:rsid w:val="001722B2"/>
    <w:rsid w:val="001726B1"/>
    <w:rsid w:val="00172C66"/>
    <w:rsid w:val="00172D84"/>
    <w:rsid w:val="00172F93"/>
    <w:rsid w:val="001732AD"/>
    <w:rsid w:val="001732AE"/>
    <w:rsid w:val="0017338C"/>
    <w:rsid w:val="00173A42"/>
    <w:rsid w:val="00173B77"/>
    <w:rsid w:val="00173BDA"/>
    <w:rsid w:val="00174080"/>
    <w:rsid w:val="001740C3"/>
    <w:rsid w:val="0017436D"/>
    <w:rsid w:val="0017452E"/>
    <w:rsid w:val="0017460C"/>
    <w:rsid w:val="00174954"/>
    <w:rsid w:val="00174A49"/>
    <w:rsid w:val="00174D68"/>
    <w:rsid w:val="00174E77"/>
    <w:rsid w:val="0017501C"/>
    <w:rsid w:val="00175025"/>
    <w:rsid w:val="00175423"/>
    <w:rsid w:val="0017567E"/>
    <w:rsid w:val="001756D1"/>
    <w:rsid w:val="00175853"/>
    <w:rsid w:val="00175A93"/>
    <w:rsid w:val="00175DEA"/>
    <w:rsid w:val="00176097"/>
    <w:rsid w:val="001764DB"/>
    <w:rsid w:val="001765A9"/>
    <w:rsid w:val="001766FF"/>
    <w:rsid w:val="00176748"/>
    <w:rsid w:val="00176760"/>
    <w:rsid w:val="0017684B"/>
    <w:rsid w:val="00176B0E"/>
    <w:rsid w:val="00176CCF"/>
    <w:rsid w:val="0017709B"/>
    <w:rsid w:val="0017710F"/>
    <w:rsid w:val="00177237"/>
    <w:rsid w:val="00177598"/>
    <w:rsid w:val="00177FC4"/>
    <w:rsid w:val="00180045"/>
    <w:rsid w:val="001800CE"/>
    <w:rsid w:val="00180387"/>
    <w:rsid w:val="00180529"/>
    <w:rsid w:val="001807F4"/>
    <w:rsid w:val="0018096E"/>
    <w:rsid w:val="00180BC1"/>
    <w:rsid w:val="00180BF1"/>
    <w:rsid w:val="00180C17"/>
    <w:rsid w:val="00181231"/>
    <w:rsid w:val="001817D0"/>
    <w:rsid w:val="00181850"/>
    <w:rsid w:val="0018189D"/>
    <w:rsid w:val="0018203F"/>
    <w:rsid w:val="001824F8"/>
    <w:rsid w:val="00182613"/>
    <w:rsid w:val="001826DE"/>
    <w:rsid w:val="00182837"/>
    <w:rsid w:val="00182A22"/>
    <w:rsid w:val="00182A4B"/>
    <w:rsid w:val="00182F08"/>
    <w:rsid w:val="00183046"/>
    <w:rsid w:val="00183843"/>
    <w:rsid w:val="00183C87"/>
    <w:rsid w:val="00184388"/>
    <w:rsid w:val="00184A0B"/>
    <w:rsid w:val="00184F4A"/>
    <w:rsid w:val="0018505D"/>
    <w:rsid w:val="00185642"/>
    <w:rsid w:val="001857DE"/>
    <w:rsid w:val="001857EA"/>
    <w:rsid w:val="00185842"/>
    <w:rsid w:val="001858FC"/>
    <w:rsid w:val="00185941"/>
    <w:rsid w:val="00185CD9"/>
    <w:rsid w:val="00185EC7"/>
    <w:rsid w:val="001860B1"/>
    <w:rsid w:val="001863D5"/>
    <w:rsid w:val="0018643A"/>
    <w:rsid w:val="001864E6"/>
    <w:rsid w:val="001865ED"/>
    <w:rsid w:val="00186715"/>
    <w:rsid w:val="00186799"/>
    <w:rsid w:val="00186BC3"/>
    <w:rsid w:val="00186CC6"/>
    <w:rsid w:val="00186DBC"/>
    <w:rsid w:val="00186E7E"/>
    <w:rsid w:val="00187073"/>
    <w:rsid w:val="00187275"/>
    <w:rsid w:val="0018738A"/>
    <w:rsid w:val="001878F8"/>
    <w:rsid w:val="00187AA0"/>
    <w:rsid w:val="00187CA0"/>
    <w:rsid w:val="00187CDD"/>
    <w:rsid w:val="00187D1C"/>
    <w:rsid w:val="001900FA"/>
    <w:rsid w:val="0019010D"/>
    <w:rsid w:val="0019035B"/>
    <w:rsid w:val="001904E6"/>
    <w:rsid w:val="0019074F"/>
    <w:rsid w:val="0019097C"/>
    <w:rsid w:val="00190980"/>
    <w:rsid w:val="00190A71"/>
    <w:rsid w:val="00190E86"/>
    <w:rsid w:val="00190EB2"/>
    <w:rsid w:val="001910E6"/>
    <w:rsid w:val="00191130"/>
    <w:rsid w:val="001915E6"/>
    <w:rsid w:val="00191902"/>
    <w:rsid w:val="00191ADA"/>
    <w:rsid w:val="00191B41"/>
    <w:rsid w:val="00191D90"/>
    <w:rsid w:val="00191DD3"/>
    <w:rsid w:val="00191F13"/>
    <w:rsid w:val="0019265D"/>
    <w:rsid w:val="00192918"/>
    <w:rsid w:val="00192B08"/>
    <w:rsid w:val="00192C73"/>
    <w:rsid w:val="00192EA4"/>
    <w:rsid w:val="00192F48"/>
    <w:rsid w:val="00193172"/>
    <w:rsid w:val="00193385"/>
    <w:rsid w:val="00193494"/>
    <w:rsid w:val="001935F1"/>
    <w:rsid w:val="001938E6"/>
    <w:rsid w:val="00193994"/>
    <w:rsid w:val="00193E53"/>
    <w:rsid w:val="00193E77"/>
    <w:rsid w:val="00194262"/>
    <w:rsid w:val="00194619"/>
    <w:rsid w:val="001949A2"/>
    <w:rsid w:val="00194ED2"/>
    <w:rsid w:val="00195413"/>
    <w:rsid w:val="00195583"/>
    <w:rsid w:val="0019570E"/>
    <w:rsid w:val="00195787"/>
    <w:rsid w:val="0019595D"/>
    <w:rsid w:val="00195973"/>
    <w:rsid w:val="00195AF5"/>
    <w:rsid w:val="001960E8"/>
    <w:rsid w:val="00196422"/>
    <w:rsid w:val="001969F1"/>
    <w:rsid w:val="00196B3A"/>
    <w:rsid w:val="00196BAC"/>
    <w:rsid w:val="00196C58"/>
    <w:rsid w:val="00196CED"/>
    <w:rsid w:val="00196CF0"/>
    <w:rsid w:val="00196D79"/>
    <w:rsid w:val="00196E5D"/>
    <w:rsid w:val="00196F70"/>
    <w:rsid w:val="00197279"/>
    <w:rsid w:val="001973BA"/>
    <w:rsid w:val="001973D1"/>
    <w:rsid w:val="00197B67"/>
    <w:rsid w:val="00197D51"/>
    <w:rsid w:val="00197EF2"/>
    <w:rsid w:val="00197F49"/>
    <w:rsid w:val="001A0353"/>
    <w:rsid w:val="001A039B"/>
    <w:rsid w:val="001A05EC"/>
    <w:rsid w:val="001A0658"/>
    <w:rsid w:val="001A0710"/>
    <w:rsid w:val="001A07F3"/>
    <w:rsid w:val="001A08D2"/>
    <w:rsid w:val="001A0AA2"/>
    <w:rsid w:val="001A0ECE"/>
    <w:rsid w:val="001A1119"/>
    <w:rsid w:val="001A1180"/>
    <w:rsid w:val="001A16C0"/>
    <w:rsid w:val="001A17E7"/>
    <w:rsid w:val="001A1BF5"/>
    <w:rsid w:val="001A1DD2"/>
    <w:rsid w:val="001A220C"/>
    <w:rsid w:val="001A238C"/>
    <w:rsid w:val="001A2AF9"/>
    <w:rsid w:val="001A2C95"/>
    <w:rsid w:val="001A2C97"/>
    <w:rsid w:val="001A2F1F"/>
    <w:rsid w:val="001A2FFE"/>
    <w:rsid w:val="001A3112"/>
    <w:rsid w:val="001A3428"/>
    <w:rsid w:val="001A39C6"/>
    <w:rsid w:val="001A3A19"/>
    <w:rsid w:val="001A3A99"/>
    <w:rsid w:val="001A3AA2"/>
    <w:rsid w:val="001A3B86"/>
    <w:rsid w:val="001A3C2A"/>
    <w:rsid w:val="001A3E5C"/>
    <w:rsid w:val="001A3FC7"/>
    <w:rsid w:val="001A43BA"/>
    <w:rsid w:val="001A5005"/>
    <w:rsid w:val="001A509E"/>
    <w:rsid w:val="001A51AA"/>
    <w:rsid w:val="001A5337"/>
    <w:rsid w:val="001A54C4"/>
    <w:rsid w:val="001A5664"/>
    <w:rsid w:val="001A591B"/>
    <w:rsid w:val="001A5C2C"/>
    <w:rsid w:val="001A5EFD"/>
    <w:rsid w:val="001A6069"/>
    <w:rsid w:val="001A6361"/>
    <w:rsid w:val="001A6483"/>
    <w:rsid w:val="001A665A"/>
    <w:rsid w:val="001A66BB"/>
    <w:rsid w:val="001A6C55"/>
    <w:rsid w:val="001A6F5A"/>
    <w:rsid w:val="001A703B"/>
    <w:rsid w:val="001A7236"/>
    <w:rsid w:val="001A7311"/>
    <w:rsid w:val="001A73A2"/>
    <w:rsid w:val="001A74AD"/>
    <w:rsid w:val="001A74CA"/>
    <w:rsid w:val="001A76D3"/>
    <w:rsid w:val="001A787E"/>
    <w:rsid w:val="001A79C5"/>
    <w:rsid w:val="001B0191"/>
    <w:rsid w:val="001B020B"/>
    <w:rsid w:val="001B0271"/>
    <w:rsid w:val="001B0477"/>
    <w:rsid w:val="001B04B1"/>
    <w:rsid w:val="001B080C"/>
    <w:rsid w:val="001B087B"/>
    <w:rsid w:val="001B09D7"/>
    <w:rsid w:val="001B0A37"/>
    <w:rsid w:val="001B1070"/>
    <w:rsid w:val="001B1176"/>
    <w:rsid w:val="001B1309"/>
    <w:rsid w:val="001B138D"/>
    <w:rsid w:val="001B1460"/>
    <w:rsid w:val="001B18C1"/>
    <w:rsid w:val="001B18DA"/>
    <w:rsid w:val="001B1B17"/>
    <w:rsid w:val="001B1EBB"/>
    <w:rsid w:val="001B1FAE"/>
    <w:rsid w:val="001B21C1"/>
    <w:rsid w:val="001B233C"/>
    <w:rsid w:val="001B2593"/>
    <w:rsid w:val="001B2AEC"/>
    <w:rsid w:val="001B2F3D"/>
    <w:rsid w:val="001B31F0"/>
    <w:rsid w:val="001B3347"/>
    <w:rsid w:val="001B339D"/>
    <w:rsid w:val="001B3469"/>
    <w:rsid w:val="001B347B"/>
    <w:rsid w:val="001B3481"/>
    <w:rsid w:val="001B34F0"/>
    <w:rsid w:val="001B36EC"/>
    <w:rsid w:val="001B3BA7"/>
    <w:rsid w:val="001B3EB2"/>
    <w:rsid w:val="001B4091"/>
    <w:rsid w:val="001B41E8"/>
    <w:rsid w:val="001B444C"/>
    <w:rsid w:val="001B46CA"/>
    <w:rsid w:val="001B4819"/>
    <w:rsid w:val="001B48CF"/>
    <w:rsid w:val="001B4994"/>
    <w:rsid w:val="001B4FDB"/>
    <w:rsid w:val="001B50C1"/>
    <w:rsid w:val="001B50CA"/>
    <w:rsid w:val="001B514A"/>
    <w:rsid w:val="001B51D4"/>
    <w:rsid w:val="001B52A7"/>
    <w:rsid w:val="001B5811"/>
    <w:rsid w:val="001B58B5"/>
    <w:rsid w:val="001B59B1"/>
    <w:rsid w:val="001B59FF"/>
    <w:rsid w:val="001B5A09"/>
    <w:rsid w:val="001B5E47"/>
    <w:rsid w:val="001B691B"/>
    <w:rsid w:val="001B69DE"/>
    <w:rsid w:val="001B6A64"/>
    <w:rsid w:val="001B6B00"/>
    <w:rsid w:val="001B6F5E"/>
    <w:rsid w:val="001B731A"/>
    <w:rsid w:val="001B73D2"/>
    <w:rsid w:val="001B7467"/>
    <w:rsid w:val="001B77BE"/>
    <w:rsid w:val="001B7801"/>
    <w:rsid w:val="001B7910"/>
    <w:rsid w:val="001B7C4D"/>
    <w:rsid w:val="001B7CD8"/>
    <w:rsid w:val="001B7DA8"/>
    <w:rsid w:val="001B7E27"/>
    <w:rsid w:val="001C021D"/>
    <w:rsid w:val="001C0262"/>
    <w:rsid w:val="001C0494"/>
    <w:rsid w:val="001C0A52"/>
    <w:rsid w:val="001C0D81"/>
    <w:rsid w:val="001C11BA"/>
    <w:rsid w:val="001C11F2"/>
    <w:rsid w:val="001C19E0"/>
    <w:rsid w:val="001C1AD7"/>
    <w:rsid w:val="001C20DC"/>
    <w:rsid w:val="001C23AF"/>
    <w:rsid w:val="001C23F2"/>
    <w:rsid w:val="001C2A94"/>
    <w:rsid w:val="001C2AD9"/>
    <w:rsid w:val="001C2BF3"/>
    <w:rsid w:val="001C2C76"/>
    <w:rsid w:val="001C2DF4"/>
    <w:rsid w:val="001C2FF0"/>
    <w:rsid w:val="001C3016"/>
    <w:rsid w:val="001C311B"/>
    <w:rsid w:val="001C32F4"/>
    <w:rsid w:val="001C3400"/>
    <w:rsid w:val="001C341C"/>
    <w:rsid w:val="001C345B"/>
    <w:rsid w:val="001C3460"/>
    <w:rsid w:val="001C38D0"/>
    <w:rsid w:val="001C3A10"/>
    <w:rsid w:val="001C3EBC"/>
    <w:rsid w:val="001C419F"/>
    <w:rsid w:val="001C426C"/>
    <w:rsid w:val="001C45C6"/>
    <w:rsid w:val="001C46CE"/>
    <w:rsid w:val="001C4CAD"/>
    <w:rsid w:val="001C4D5E"/>
    <w:rsid w:val="001C4D72"/>
    <w:rsid w:val="001C5003"/>
    <w:rsid w:val="001C5059"/>
    <w:rsid w:val="001C5B09"/>
    <w:rsid w:val="001C5B1E"/>
    <w:rsid w:val="001C5CD2"/>
    <w:rsid w:val="001C5D07"/>
    <w:rsid w:val="001C5D11"/>
    <w:rsid w:val="001C5E26"/>
    <w:rsid w:val="001C5F75"/>
    <w:rsid w:val="001C61AD"/>
    <w:rsid w:val="001C624A"/>
    <w:rsid w:val="001C6830"/>
    <w:rsid w:val="001C73C6"/>
    <w:rsid w:val="001C778A"/>
    <w:rsid w:val="001C796B"/>
    <w:rsid w:val="001C7D37"/>
    <w:rsid w:val="001C7E1C"/>
    <w:rsid w:val="001D023F"/>
    <w:rsid w:val="001D0279"/>
    <w:rsid w:val="001D0379"/>
    <w:rsid w:val="001D0473"/>
    <w:rsid w:val="001D05AB"/>
    <w:rsid w:val="001D05CE"/>
    <w:rsid w:val="001D0665"/>
    <w:rsid w:val="001D0988"/>
    <w:rsid w:val="001D0C38"/>
    <w:rsid w:val="001D0D6E"/>
    <w:rsid w:val="001D0DA8"/>
    <w:rsid w:val="001D0DBF"/>
    <w:rsid w:val="001D0F78"/>
    <w:rsid w:val="001D1146"/>
    <w:rsid w:val="001D119B"/>
    <w:rsid w:val="001D123D"/>
    <w:rsid w:val="001D12D4"/>
    <w:rsid w:val="001D12DD"/>
    <w:rsid w:val="001D1396"/>
    <w:rsid w:val="001D14EF"/>
    <w:rsid w:val="001D195B"/>
    <w:rsid w:val="001D1BA0"/>
    <w:rsid w:val="001D1F87"/>
    <w:rsid w:val="001D205B"/>
    <w:rsid w:val="001D2307"/>
    <w:rsid w:val="001D23F2"/>
    <w:rsid w:val="001D24D5"/>
    <w:rsid w:val="001D2611"/>
    <w:rsid w:val="001D2692"/>
    <w:rsid w:val="001D31C1"/>
    <w:rsid w:val="001D3363"/>
    <w:rsid w:val="001D339C"/>
    <w:rsid w:val="001D3D6C"/>
    <w:rsid w:val="001D3E41"/>
    <w:rsid w:val="001D3F26"/>
    <w:rsid w:val="001D4064"/>
    <w:rsid w:val="001D4537"/>
    <w:rsid w:val="001D4B0F"/>
    <w:rsid w:val="001D4CCF"/>
    <w:rsid w:val="001D4DE0"/>
    <w:rsid w:val="001D5121"/>
    <w:rsid w:val="001D53AD"/>
    <w:rsid w:val="001D5B3A"/>
    <w:rsid w:val="001D5BD7"/>
    <w:rsid w:val="001D5C18"/>
    <w:rsid w:val="001D5D54"/>
    <w:rsid w:val="001D5F9C"/>
    <w:rsid w:val="001D6010"/>
    <w:rsid w:val="001D62DC"/>
    <w:rsid w:val="001D63AD"/>
    <w:rsid w:val="001D66DD"/>
    <w:rsid w:val="001D674F"/>
    <w:rsid w:val="001D693D"/>
    <w:rsid w:val="001D6A98"/>
    <w:rsid w:val="001D7052"/>
    <w:rsid w:val="001D763F"/>
    <w:rsid w:val="001D78C0"/>
    <w:rsid w:val="001D7B39"/>
    <w:rsid w:val="001E03CA"/>
    <w:rsid w:val="001E0619"/>
    <w:rsid w:val="001E0824"/>
    <w:rsid w:val="001E0835"/>
    <w:rsid w:val="001E0928"/>
    <w:rsid w:val="001E0B02"/>
    <w:rsid w:val="001E0D9D"/>
    <w:rsid w:val="001E11E9"/>
    <w:rsid w:val="001E1384"/>
    <w:rsid w:val="001E13DC"/>
    <w:rsid w:val="001E1628"/>
    <w:rsid w:val="001E162E"/>
    <w:rsid w:val="001E164E"/>
    <w:rsid w:val="001E1809"/>
    <w:rsid w:val="001E1A4F"/>
    <w:rsid w:val="001E1B0D"/>
    <w:rsid w:val="001E1B5A"/>
    <w:rsid w:val="001E1E06"/>
    <w:rsid w:val="001E1E2C"/>
    <w:rsid w:val="001E1ECD"/>
    <w:rsid w:val="001E1FE5"/>
    <w:rsid w:val="001E2038"/>
    <w:rsid w:val="001E20CE"/>
    <w:rsid w:val="001E2340"/>
    <w:rsid w:val="001E251E"/>
    <w:rsid w:val="001E280D"/>
    <w:rsid w:val="001E31AA"/>
    <w:rsid w:val="001E31FC"/>
    <w:rsid w:val="001E32D5"/>
    <w:rsid w:val="001E336B"/>
    <w:rsid w:val="001E3597"/>
    <w:rsid w:val="001E35EE"/>
    <w:rsid w:val="001E389A"/>
    <w:rsid w:val="001E3951"/>
    <w:rsid w:val="001E3F2B"/>
    <w:rsid w:val="001E4176"/>
    <w:rsid w:val="001E420F"/>
    <w:rsid w:val="001E456B"/>
    <w:rsid w:val="001E4DBD"/>
    <w:rsid w:val="001E4EAF"/>
    <w:rsid w:val="001E5555"/>
    <w:rsid w:val="001E57A3"/>
    <w:rsid w:val="001E57C5"/>
    <w:rsid w:val="001E5802"/>
    <w:rsid w:val="001E612E"/>
    <w:rsid w:val="001E613F"/>
    <w:rsid w:val="001E6332"/>
    <w:rsid w:val="001E6515"/>
    <w:rsid w:val="001E665F"/>
    <w:rsid w:val="001E66ED"/>
    <w:rsid w:val="001E6710"/>
    <w:rsid w:val="001E6742"/>
    <w:rsid w:val="001E67D5"/>
    <w:rsid w:val="001E67EB"/>
    <w:rsid w:val="001E68F9"/>
    <w:rsid w:val="001E6999"/>
    <w:rsid w:val="001E6FBA"/>
    <w:rsid w:val="001E70E8"/>
    <w:rsid w:val="001E757F"/>
    <w:rsid w:val="001E777F"/>
    <w:rsid w:val="001E795F"/>
    <w:rsid w:val="001E7A6D"/>
    <w:rsid w:val="001E7A73"/>
    <w:rsid w:val="001E7DDE"/>
    <w:rsid w:val="001E7F20"/>
    <w:rsid w:val="001F0135"/>
    <w:rsid w:val="001F02A5"/>
    <w:rsid w:val="001F038E"/>
    <w:rsid w:val="001F03E1"/>
    <w:rsid w:val="001F041A"/>
    <w:rsid w:val="001F0514"/>
    <w:rsid w:val="001F08C2"/>
    <w:rsid w:val="001F0CF2"/>
    <w:rsid w:val="001F0E2B"/>
    <w:rsid w:val="001F0F72"/>
    <w:rsid w:val="001F119D"/>
    <w:rsid w:val="001F17E3"/>
    <w:rsid w:val="001F17F3"/>
    <w:rsid w:val="001F1A99"/>
    <w:rsid w:val="001F1C0E"/>
    <w:rsid w:val="001F1D9A"/>
    <w:rsid w:val="001F222A"/>
    <w:rsid w:val="001F240F"/>
    <w:rsid w:val="001F2472"/>
    <w:rsid w:val="001F265D"/>
    <w:rsid w:val="001F2A7A"/>
    <w:rsid w:val="001F2B24"/>
    <w:rsid w:val="001F2D6B"/>
    <w:rsid w:val="001F2DD3"/>
    <w:rsid w:val="001F308C"/>
    <w:rsid w:val="001F3101"/>
    <w:rsid w:val="001F3761"/>
    <w:rsid w:val="001F384E"/>
    <w:rsid w:val="001F3899"/>
    <w:rsid w:val="001F3B9C"/>
    <w:rsid w:val="001F3C68"/>
    <w:rsid w:val="001F3D99"/>
    <w:rsid w:val="001F4016"/>
    <w:rsid w:val="001F4129"/>
    <w:rsid w:val="001F4167"/>
    <w:rsid w:val="001F41DF"/>
    <w:rsid w:val="001F423A"/>
    <w:rsid w:val="001F4351"/>
    <w:rsid w:val="001F43BB"/>
    <w:rsid w:val="001F4407"/>
    <w:rsid w:val="001F48E5"/>
    <w:rsid w:val="001F48F8"/>
    <w:rsid w:val="001F4C61"/>
    <w:rsid w:val="001F4F94"/>
    <w:rsid w:val="001F521B"/>
    <w:rsid w:val="001F5AB9"/>
    <w:rsid w:val="001F5CBD"/>
    <w:rsid w:val="001F6383"/>
    <w:rsid w:val="001F647C"/>
    <w:rsid w:val="001F6623"/>
    <w:rsid w:val="001F66A5"/>
    <w:rsid w:val="001F6905"/>
    <w:rsid w:val="001F69ED"/>
    <w:rsid w:val="001F6CA4"/>
    <w:rsid w:val="001F701E"/>
    <w:rsid w:val="001F7205"/>
    <w:rsid w:val="001F72C3"/>
    <w:rsid w:val="001F72C5"/>
    <w:rsid w:val="001F7429"/>
    <w:rsid w:val="001F7478"/>
    <w:rsid w:val="001F75F0"/>
    <w:rsid w:val="001F7A09"/>
    <w:rsid w:val="001F7B55"/>
    <w:rsid w:val="001F7F33"/>
    <w:rsid w:val="001F7FC7"/>
    <w:rsid w:val="002001C9"/>
    <w:rsid w:val="00200251"/>
    <w:rsid w:val="002005B3"/>
    <w:rsid w:val="00200BDD"/>
    <w:rsid w:val="00200F99"/>
    <w:rsid w:val="00200FD1"/>
    <w:rsid w:val="00201390"/>
    <w:rsid w:val="002014E4"/>
    <w:rsid w:val="002016C4"/>
    <w:rsid w:val="002018D7"/>
    <w:rsid w:val="0020195A"/>
    <w:rsid w:val="00201A3F"/>
    <w:rsid w:val="00201AFE"/>
    <w:rsid w:val="00201D49"/>
    <w:rsid w:val="00201EAB"/>
    <w:rsid w:val="00201F31"/>
    <w:rsid w:val="002020DE"/>
    <w:rsid w:val="0020221B"/>
    <w:rsid w:val="0020240C"/>
    <w:rsid w:val="00202700"/>
    <w:rsid w:val="0020283D"/>
    <w:rsid w:val="00202891"/>
    <w:rsid w:val="00202914"/>
    <w:rsid w:val="00202B3D"/>
    <w:rsid w:val="00202BC2"/>
    <w:rsid w:val="00203501"/>
    <w:rsid w:val="00203760"/>
    <w:rsid w:val="0020397F"/>
    <w:rsid w:val="002039E1"/>
    <w:rsid w:val="002039F0"/>
    <w:rsid w:val="00203AF4"/>
    <w:rsid w:val="00203DAC"/>
    <w:rsid w:val="00203E9A"/>
    <w:rsid w:val="0020406A"/>
    <w:rsid w:val="00204189"/>
    <w:rsid w:val="002041DF"/>
    <w:rsid w:val="00204426"/>
    <w:rsid w:val="00204842"/>
    <w:rsid w:val="00204A87"/>
    <w:rsid w:val="00204FAD"/>
    <w:rsid w:val="00205174"/>
    <w:rsid w:val="002053AA"/>
    <w:rsid w:val="002055D5"/>
    <w:rsid w:val="0020563D"/>
    <w:rsid w:val="002057AF"/>
    <w:rsid w:val="00205A2C"/>
    <w:rsid w:val="00205DAE"/>
    <w:rsid w:val="002061C5"/>
    <w:rsid w:val="002063D5"/>
    <w:rsid w:val="0020667B"/>
    <w:rsid w:val="002067F7"/>
    <w:rsid w:val="00206E82"/>
    <w:rsid w:val="00207255"/>
    <w:rsid w:val="002075E1"/>
    <w:rsid w:val="002078C7"/>
    <w:rsid w:val="0020794C"/>
    <w:rsid w:val="00207A32"/>
    <w:rsid w:val="00207A6A"/>
    <w:rsid w:val="00207AC0"/>
    <w:rsid w:val="002103BE"/>
    <w:rsid w:val="002103E5"/>
    <w:rsid w:val="0021054A"/>
    <w:rsid w:val="002105C7"/>
    <w:rsid w:val="002107F5"/>
    <w:rsid w:val="0021082F"/>
    <w:rsid w:val="002109CD"/>
    <w:rsid w:val="00210B42"/>
    <w:rsid w:val="00211024"/>
    <w:rsid w:val="002110D1"/>
    <w:rsid w:val="002115F8"/>
    <w:rsid w:val="00211602"/>
    <w:rsid w:val="0021170C"/>
    <w:rsid w:val="00211763"/>
    <w:rsid w:val="002118B8"/>
    <w:rsid w:val="00211B63"/>
    <w:rsid w:val="00211C4C"/>
    <w:rsid w:val="0021231A"/>
    <w:rsid w:val="00212643"/>
    <w:rsid w:val="002126E9"/>
    <w:rsid w:val="0021276D"/>
    <w:rsid w:val="0021277D"/>
    <w:rsid w:val="002128D7"/>
    <w:rsid w:val="00212A00"/>
    <w:rsid w:val="00212A69"/>
    <w:rsid w:val="00212BBF"/>
    <w:rsid w:val="00212BE5"/>
    <w:rsid w:val="00212E08"/>
    <w:rsid w:val="00212F2B"/>
    <w:rsid w:val="002130B4"/>
    <w:rsid w:val="00213597"/>
    <w:rsid w:val="00213949"/>
    <w:rsid w:val="00213AA5"/>
    <w:rsid w:val="00213BF0"/>
    <w:rsid w:val="00213EEE"/>
    <w:rsid w:val="002140F2"/>
    <w:rsid w:val="002141CD"/>
    <w:rsid w:val="00214256"/>
    <w:rsid w:val="0021431A"/>
    <w:rsid w:val="002143BE"/>
    <w:rsid w:val="002143FD"/>
    <w:rsid w:val="0021440B"/>
    <w:rsid w:val="00214598"/>
    <w:rsid w:val="00214926"/>
    <w:rsid w:val="002149C8"/>
    <w:rsid w:val="00214F61"/>
    <w:rsid w:val="002153F3"/>
    <w:rsid w:val="002157D6"/>
    <w:rsid w:val="002158DD"/>
    <w:rsid w:val="00215A51"/>
    <w:rsid w:val="00215E67"/>
    <w:rsid w:val="00215EFD"/>
    <w:rsid w:val="00216711"/>
    <w:rsid w:val="002168E3"/>
    <w:rsid w:val="0021691D"/>
    <w:rsid w:val="00216C11"/>
    <w:rsid w:val="00216F4D"/>
    <w:rsid w:val="00217008"/>
    <w:rsid w:val="002172AA"/>
    <w:rsid w:val="00217861"/>
    <w:rsid w:val="00217C7F"/>
    <w:rsid w:val="00217CAD"/>
    <w:rsid w:val="00217D70"/>
    <w:rsid w:val="00217DE5"/>
    <w:rsid w:val="00217E84"/>
    <w:rsid w:val="00217F0B"/>
    <w:rsid w:val="00217FA6"/>
    <w:rsid w:val="002205A4"/>
    <w:rsid w:val="0022071E"/>
    <w:rsid w:val="00220861"/>
    <w:rsid w:val="00220B75"/>
    <w:rsid w:val="002211C4"/>
    <w:rsid w:val="002213BA"/>
    <w:rsid w:val="002214BE"/>
    <w:rsid w:val="002217C4"/>
    <w:rsid w:val="00221968"/>
    <w:rsid w:val="00221ACC"/>
    <w:rsid w:val="00221D14"/>
    <w:rsid w:val="00221DAC"/>
    <w:rsid w:val="00221EA4"/>
    <w:rsid w:val="002221CB"/>
    <w:rsid w:val="002221DF"/>
    <w:rsid w:val="00222259"/>
    <w:rsid w:val="00222519"/>
    <w:rsid w:val="00222534"/>
    <w:rsid w:val="002234EB"/>
    <w:rsid w:val="00223577"/>
    <w:rsid w:val="002238F8"/>
    <w:rsid w:val="0022390A"/>
    <w:rsid w:val="00223EFA"/>
    <w:rsid w:val="00223FA2"/>
    <w:rsid w:val="00223FDB"/>
    <w:rsid w:val="002243FD"/>
    <w:rsid w:val="002244C0"/>
    <w:rsid w:val="002246F2"/>
    <w:rsid w:val="00224A36"/>
    <w:rsid w:val="00224C82"/>
    <w:rsid w:val="00224CF7"/>
    <w:rsid w:val="0022530C"/>
    <w:rsid w:val="002253BB"/>
    <w:rsid w:val="002256B7"/>
    <w:rsid w:val="00225813"/>
    <w:rsid w:val="00225914"/>
    <w:rsid w:val="0022592E"/>
    <w:rsid w:val="00225A69"/>
    <w:rsid w:val="00225B00"/>
    <w:rsid w:val="00225CB2"/>
    <w:rsid w:val="00225CFD"/>
    <w:rsid w:val="00225F2C"/>
    <w:rsid w:val="002262C8"/>
    <w:rsid w:val="00226596"/>
    <w:rsid w:val="00226B02"/>
    <w:rsid w:val="00226B49"/>
    <w:rsid w:val="00226D10"/>
    <w:rsid w:val="002270C4"/>
    <w:rsid w:val="002270C5"/>
    <w:rsid w:val="00227406"/>
    <w:rsid w:val="0022743C"/>
    <w:rsid w:val="0022748A"/>
    <w:rsid w:val="00227B83"/>
    <w:rsid w:val="00227CDA"/>
    <w:rsid w:val="00227EC9"/>
    <w:rsid w:val="002302D6"/>
    <w:rsid w:val="00230363"/>
    <w:rsid w:val="00230464"/>
    <w:rsid w:val="00230473"/>
    <w:rsid w:val="0023077C"/>
    <w:rsid w:val="002309F9"/>
    <w:rsid w:val="00230BB6"/>
    <w:rsid w:val="00230C52"/>
    <w:rsid w:val="00230C5A"/>
    <w:rsid w:val="00230F80"/>
    <w:rsid w:val="0023102C"/>
    <w:rsid w:val="002310FE"/>
    <w:rsid w:val="00231131"/>
    <w:rsid w:val="00231322"/>
    <w:rsid w:val="0023133C"/>
    <w:rsid w:val="002313B8"/>
    <w:rsid w:val="0023164B"/>
    <w:rsid w:val="002318FB"/>
    <w:rsid w:val="00231A4F"/>
    <w:rsid w:val="00231B21"/>
    <w:rsid w:val="00231D91"/>
    <w:rsid w:val="00231DC4"/>
    <w:rsid w:val="00231E9F"/>
    <w:rsid w:val="002324B1"/>
    <w:rsid w:val="00232A0A"/>
    <w:rsid w:val="00232B79"/>
    <w:rsid w:val="00232C3F"/>
    <w:rsid w:val="00232D27"/>
    <w:rsid w:val="00232D95"/>
    <w:rsid w:val="00232E34"/>
    <w:rsid w:val="00232F95"/>
    <w:rsid w:val="00233779"/>
    <w:rsid w:val="00233950"/>
    <w:rsid w:val="00233962"/>
    <w:rsid w:val="00233CBA"/>
    <w:rsid w:val="00233D11"/>
    <w:rsid w:val="00233D50"/>
    <w:rsid w:val="0023403D"/>
    <w:rsid w:val="00234139"/>
    <w:rsid w:val="0023431F"/>
    <w:rsid w:val="0023432C"/>
    <w:rsid w:val="002343F1"/>
    <w:rsid w:val="0023455F"/>
    <w:rsid w:val="00234729"/>
    <w:rsid w:val="0023472C"/>
    <w:rsid w:val="0023491E"/>
    <w:rsid w:val="002349A8"/>
    <w:rsid w:val="00234AEB"/>
    <w:rsid w:val="00234B13"/>
    <w:rsid w:val="00234CD7"/>
    <w:rsid w:val="00234D5C"/>
    <w:rsid w:val="00234D6A"/>
    <w:rsid w:val="00234E83"/>
    <w:rsid w:val="00234F18"/>
    <w:rsid w:val="002352C4"/>
    <w:rsid w:val="0023530D"/>
    <w:rsid w:val="00235549"/>
    <w:rsid w:val="00235872"/>
    <w:rsid w:val="00235A12"/>
    <w:rsid w:val="00235C06"/>
    <w:rsid w:val="00235C73"/>
    <w:rsid w:val="00235F25"/>
    <w:rsid w:val="002360D0"/>
    <w:rsid w:val="002360F2"/>
    <w:rsid w:val="0023653D"/>
    <w:rsid w:val="0023657F"/>
    <w:rsid w:val="002365DA"/>
    <w:rsid w:val="00236986"/>
    <w:rsid w:val="00236A30"/>
    <w:rsid w:val="00236B2D"/>
    <w:rsid w:val="00236E93"/>
    <w:rsid w:val="00236FF5"/>
    <w:rsid w:val="002370D2"/>
    <w:rsid w:val="00237180"/>
    <w:rsid w:val="00237397"/>
    <w:rsid w:val="002374D5"/>
    <w:rsid w:val="00237804"/>
    <w:rsid w:val="00237CC4"/>
    <w:rsid w:val="002403F0"/>
    <w:rsid w:val="002405EF"/>
    <w:rsid w:val="0024072F"/>
    <w:rsid w:val="00240745"/>
    <w:rsid w:val="00240963"/>
    <w:rsid w:val="00240968"/>
    <w:rsid w:val="00240A1B"/>
    <w:rsid w:val="00241128"/>
    <w:rsid w:val="00241877"/>
    <w:rsid w:val="00241878"/>
    <w:rsid w:val="00241969"/>
    <w:rsid w:val="00241E93"/>
    <w:rsid w:val="00241F28"/>
    <w:rsid w:val="002420EE"/>
    <w:rsid w:val="002422BC"/>
    <w:rsid w:val="0024272A"/>
    <w:rsid w:val="00242907"/>
    <w:rsid w:val="00242D76"/>
    <w:rsid w:val="00242FBA"/>
    <w:rsid w:val="002430DD"/>
    <w:rsid w:val="0024323F"/>
    <w:rsid w:val="0024332D"/>
    <w:rsid w:val="002438CA"/>
    <w:rsid w:val="002439BF"/>
    <w:rsid w:val="00243AF0"/>
    <w:rsid w:val="00243ED4"/>
    <w:rsid w:val="00243FB1"/>
    <w:rsid w:val="00243FED"/>
    <w:rsid w:val="00244119"/>
    <w:rsid w:val="0024431B"/>
    <w:rsid w:val="002443F1"/>
    <w:rsid w:val="002444F2"/>
    <w:rsid w:val="002444F4"/>
    <w:rsid w:val="002448BE"/>
    <w:rsid w:val="002448EF"/>
    <w:rsid w:val="002449B3"/>
    <w:rsid w:val="00244E58"/>
    <w:rsid w:val="002453C9"/>
    <w:rsid w:val="002456C6"/>
    <w:rsid w:val="00245717"/>
    <w:rsid w:val="002458DD"/>
    <w:rsid w:val="002458E7"/>
    <w:rsid w:val="00245907"/>
    <w:rsid w:val="00245908"/>
    <w:rsid w:val="00245AC8"/>
    <w:rsid w:val="0024602D"/>
    <w:rsid w:val="0024643E"/>
    <w:rsid w:val="002464CC"/>
    <w:rsid w:val="00246BBD"/>
    <w:rsid w:val="00246F8B"/>
    <w:rsid w:val="00247125"/>
    <w:rsid w:val="0024734F"/>
    <w:rsid w:val="00247389"/>
    <w:rsid w:val="0024738C"/>
    <w:rsid w:val="002473B8"/>
    <w:rsid w:val="002473DF"/>
    <w:rsid w:val="002474CF"/>
    <w:rsid w:val="002475E9"/>
    <w:rsid w:val="002475EC"/>
    <w:rsid w:val="00247659"/>
    <w:rsid w:val="00247720"/>
    <w:rsid w:val="002477EE"/>
    <w:rsid w:val="00247C13"/>
    <w:rsid w:val="00247E0D"/>
    <w:rsid w:val="0025073F"/>
    <w:rsid w:val="00251485"/>
    <w:rsid w:val="002514A8"/>
    <w:rsid w:val="00251628"/>
    <w:rsid w:val="0025166E"/>
    <w:rsid w:val="0025167A"/>
    <w:rsid w:val="00251D0D"/>
    <w:rsid w:val="00251EE0"/>
    <w:rsid w:val="00251FD5"/>
    <w:rsid w:val="0025212F"/>
    <w:rsid w:val="00252164"/>
    <w:rsid w:val="00252237"/>
    <w:rsid w:val="002524B3"/>
    <w:rsid w:val="002524CF"/>
    <w:rsid w:val="0025252F"/>
    <w:rsid w:val="0025257C"/>
    <w:rsid w:val="002527A6"/>
    <w:rsid w:val="00252B13"/>
    <w:rsid w:val="00252D28"/>
    <w:rsid w:val="00252D6C"/>
    <w:rsid w:val="00252EA7"/>
    <w:rsid w:val="00252EDF"/>
    <w:rsid w:val="00252EE1"/>
    <w:rsid w:val="00252F1E"/>
    <w:rsid w:val="00253011"/>
    <w:rsid w:val="00253093"/>
    <w:rsid w:val="0025354E"/>
    <w:rsid w:val="002535D8"/>
    <w:rsid w:val="002536F1"/>
    <w:rsid w:val="00253B20"/>
    <w:rsid w:val="00253D0A"/>
    <w:rsid w:val="0025429C"/>
    <w:rsid w:val="002543C9"/>
    <w:rsid w:val="0025441C"/>
    <w:rsid w:val="002544FB"/>
    <w:rsid w:val="0025450D"/>
    <w:rsid w:val="00254828"/>
    <w:rsid w:val="00254847"/>
    <w:rsid w:val="0025494E"/>
    <w:rsid w:val="00254B22"/>
    <w:rsid w:val="00254C68"/>
    <w:rsid w:val="00254D15"/>
    <w:rsid w:val="00254DE3"/>
    <w:rsid w:val="002553F8"/>
    <w:rsid w:val="00255464"/>
    <w:rsid w:val="00255836"/>
    <w:rsid w:val="00255D24"/>
    <w:rsid w:val="00255F84"/>
    <w:rsid w:val="00256045"/>
    <w:rsid w:val="00256126"/>
    <w:rsid w:val="00256253"/>
    <w:rsid w:val="002563BA"/>
    <w:rsid w:val="002565B7"/>
    <w:rsid w:val="00256756"/>
    <w:rsid w:val="00256814"/>
    <w:rsid w:val="002569C0"/>
    <w:rsid w:val="00256A11"/>
    <w:rsid w:val="00256A7B"/>
    <w:rsid w:val="00256C1B"/>
    <w:rsid w:val="00256C4F"/>
    <w:rsid w:val="00256D90"/>
    <w:rsid w:val="00256E34"/>
    <w:rsid w:val="00256E93"/>
    <w:rsid w:val="00256F77"/>
    <w:rsid w:val="00256FE8"/>
    <w:rsid w:val="002575C3"/>
    <w:rsid w:val="002575E4"/>
    <w:rsid w:val="00257737"/>
    <w:rsid w:val="00257881"/>
    <w:rsid w:val="00257B64"/>
    <w:rsid w:val="00257B9E"/>
    <w:rsid w:val="00257BAC"/>
    <w:rsid w:val="00257C29"/>
    <w:rsid w:val="00257C5D"/>
    <w:rsid w:val="002601AB"/>
    <w:rsid w:val="002602E3"/>
    <w:rsid w:val="002603B5"/>
    <w:rsid w:val="0026044F"/>
    <w:rsid w:val="00260512"/>
    <w:rsid w:val="00260686"/>
    <w:rsid w:val="00260808"/>
    <w:rsid w:val="00260AA0"/>
    <w:rsid w:val="00260AA6"/>
    <w:rsid w:val="00261174"/>
    <w:rsid w:val="002611F0"/>
    <w:rsid w:val="00261838"/>
    <w:rsid w:val="00261B05"/>
    <w:rsid w:val="00261D74"/>
    <w:rsid w:val="00261DB0"/>
    <w:rsid w:val="00262391"/>
    <w:rsid w:val="002627A6"/>
    <w:rsid w:val="00262E81"/>
    <w:rsid w:val="00263309"/>
    <w:rsid w:val="00263448"/>
    <w:rsid w:val="002636D4"/>
    <w:rsid w:val="002637A9"/>
    <w:rsid w:val="0026387E"/>
    <w:rsid w:val="002647A9"/>
    <w:rsid w:val="0026491C"/>
    <w:rsid w:val="00264D9E"/>
    <w:rsid w:val="00264FD0"/>
    <w:rsid w:val="0026500F"/>
    <w:rsid w:val="002651A6"/>
    <w:rsid w:val="0026537F"/>
    <w:rsid w:val="0026548D"/>
    <w:rsid w:val="00265C52"/>
    <w:rsid w:val="00265DCA"/>
    <w:rsid w:val="00265DFF"/>
    <w:rsid w:val="0026609C"/>
    <w:rsid w:val="002664CF"/>
    <w:rsid w:val="00266B76"/>
    <w:rsid w:val="00266C1D"/>
    <w:rsid w:val="002673EC"/>
    <w:rsid w:val="00267892"/>
    <w:rsid w:val="00267921"/>
    <w:rsid w:val="002679CE"/>
    <w:rsid w:val="00267BC0"/>
    <w:rsid w:val="002704D3"/>
    <w:rsid w:val="002706FD"/>
    <w:rsid w:val="00270A59"/>
    <w:rsid w:val="00270C4F"/>
    <w:rsid w:val="00270E1C"/>
    <w:rsid w:val="00270F85"/>
    <w:rsid w:val="00271062"/>
    <w:rsid w:val="0027112F"/>
    <w:rsid w:val="0027117A"/>
    <w:rsid w:val="00271280"/>
    <w:rsid w:val="002714BF"/>
    <w:rsid w:val="00271523"/>
    <w:rsid w:val="00271583"/>
    <w:rsid w:val="00271652"/>
    <w:rsid w:val="00271708"/>
    <w:rsid w:val="00271AD7"/>
    <w:rsid w:val="00271DE0"/>
    <w:rsid w:val="00271E75"/>
    <w:rsid w:val="00271F7B"/>
    <w:rsid w:val="00272032"/>
    <w:rsid w:val="002720F5"/>
    <w:rsid w:val="0027246F"/>
    <w:rsid w:val="002724F9"/>
    <w:rsid w:val="0027254D"/>
    <w:rsid w:val="002726B1"/>
    <w:rsid w:val="002727A0"/>
    <w:rsid w:val="0027322E"/>
    <w:rsid w:val="00273250"/>
    <w:rsid w:val="00273257"/>
    <w:rsid w:val="00273358"/>
    <w:rsid w:val="002736B9"/>
    <w:rsid w:val="0027370B"/>
    <w:rsid w:val="00273B4D"/>
    <w:rsid w:val="00273BCC"/>
    <w:rsid w:val="00273D43"/>
    <w:rsid w:val="00273DB4"/>
    <w:rsid w:val="00273EAB"/>
    <w:rsid w:val="0027453D"/>
    <w:rsid w:val="0027460E"/>
    <w:rsid w:val="002747BF"/>
    <w:rsid w:val="0027488B"/>
    <w:rsid w:val="002749A5"/>
    <w:rsid w:val="00274DAF"/>
    <w:rsid w:val="00274F93"/>
    <w:rsid w:val="002754D6"/>
    <w:rsid w:val="00275661"/>
    <w:rsid w:val="00275765"/>
    <w:rsid w:val="00275896"/>
    <w:rsid w:val="0027590A"/>
    <w:rsid w:val="002759A2"/>
    <w:rsid w:val="002759E2"/>
    <w:rsid w:val="00275BAF"/>
    <w:rsid w:val="00275F8D"/>
    <w:rsid w:val="0027625F"/>
    <w:rsid w:val="002764EA"/>
    <w:rsid w:val="00276969"/>
    <w:rsid w:val="002769B7"/>
    <w:rsid w:val="00276A39"/>
    <w:rsid w:val="00276CDF"/>
    <w:rsid w:val="0027703B"/>
    <w:rsid w:val="002770F2"/>
    <w:rsid w:val="002771BD"/>
    <w:rsid w:val="00277326"/>
    <w:rsid w:val="00277434"/>
    <w:rsid w:val="00277487"/>
    <w:rsid w:val="002774DC"/>
    <w:rsid w:val="002776F1"/>
    <w:rsid w:val="0027773C"/>
    <w:rsid w:val="0027775C"/>
    <w:rsid w:val="002777FC"/>
    <w:rsid w:val="00277972"/>
    <w:rsid w:val="00277AFF"/>
    <w:rsid w:val="00277D84"/>
    <w:rsid w:val="00277DA1"/>
    <w:rsid w:val="00277F24"/>
    <w:rsid w:val="002801B9"/>
    <w:rsid w:val="0028048E"/>
    <w:rsid w:val="002805A6"/>
    <w:rsid w:val="0028068B"/>
    <w:rsid w:val="002806CF"/>
    <w:rsid w:val="00280933"/>
    <w:rsid w:val="002809B1"/>
    <w:rsid w:val="00280A7C"/>
    <w:rsid w:val="00280B44"/>
    <w:rsid w:val="00280BDD"/>
    <w:rsid w:val="00280C13"/>
    <w:rsid w:val="00280D90"/>
    <w:rsid w:val="002812AB"/>
    <w:rsid w:val="00281377"/>
    <w:rsid w:val="002813AE"/>
    <w:rsid w:val="002817F3"/>
    <w:rsid w:val="00281CCA"/>
    <w:rsid w:val="00281D06"/>
    <w:rsid w:val="00281D48"/>
    <w:rsid w:val="00281F7B"/>
    <w:rsid w:val="002820E4"/>
    <w:rsid w:val="00282320"/>
    <w:rsid w:val="0028244F"/>
    <w:rsid w:val="002827E1"/>
    <w:rsid w:val="00282DBA"/>
    <w:rsid w:val="00282F7A"/>
    <w:rsid w:val="002830EC"/>
    <w:rsid w:val="0028362B"/>
    <w:rsid w:val="00283921"/>
    <w:rsid w:val="002839F7"/>
    <w:rsid w:val="00283A03"/>
    <w:rsid w:val="00283AA1"/>
    <w:rsid w:val="00283AB5"/>
    <w:rsid w:val="00283E24"/>
    <w:rsid w:val="0028428B"/>
    <w:rsid w:val="00284415"/>
    <w:rsid w:val="00284437"/>
    <w:rsid w:val="002847DE"/>
    <w:rsid w:val="00284A7A"/>
    <w:rsid w:val="00284F07"/>
    <w:rsid w:val="00284F15"/>
    <w:rsid w:val="0028509B"/>
    <w:rsid w:val="002851AF"/>
    <w:rsid w:val="00285347"/>
    <w:rsid w:val="002853A5"/>
    <w:rsid w:val="0028550B"/>
    <w:rsid w:val="0028563D"/>
    <w:rsid w:val="0028569B"/>
    <w:rsid w:val="00285790"/>
    <w:rsid w:val="002859F9"/>
    <w:rsid w:val="00285DBA"/>
    <w:rsid w:val="00285DFF"/>
    <w:rsid w:val="00285E6D"/>
    <w:rsid w:val="00286451"/>
    <w:rsid w:val="0028660A"/>
    <w:rsid w:val="0028667C"/>
    <w:rsid w:val="00286C88"/>
    <w:rsid w:val="00286F92"/>
    <w:rsid w:val="00287292"/>
    <w:rsid w:val="002874AC"/>
    <w:rsid w:val="00287545"/>
    <w:rsid w:val="0028771F"/>
    <w:rsid w:val="00287793"/>
    <w:rsid w:val="00287BE5"/>
    <w:rsid w:val="00287CFD"/>
    <w:rsid w:val="0029035E"/>
    <w:rsid w:val="002904B1"/>
    <w:rsid w:val="0029067A"/>
    <w:rsid w:val="00290711"/>
    <w:rsid w:val="00290BB1"/>
    <w:rsid w:val="00290E4D"/>
    <w:rsid w:val="002910CE"/>
    <w:rsid w:val="0029118C"/>
    <w:rsid w:val="0029181A"/>
    <w:rsid w:val="00291AD0"/>
    <w:rsid w:val="00291B1B"/>
    <w:rsid w:val="00291E06"/>
    <w:rsid w:val="00291EF5"/>
    <w:rsid w:val="00292143"/>
    <w:rsid w:val="002922BB"/>
    <w:rsid w:val="00292642"/>
    <w:rsid w:val="002928F1"/>
    <w:rsid w:val="00292C8C"/>
    <w:rsid w:val="00292D24"/>
    <w:rsid w:val="002930E1"/>
    <w:rsid w:val="00293194"/>
    <w:rsid w:val="0029329D"/>
    <w:rsid w:val="002932DB"/>
    <w:rsid w:val="0029364E"/>
    <w:rsid w:val="00293D6D"/>
    <w:rsid w:val="00293E66"/>
    <w:rsid w:val="00293FDF"/>
    <w:rsid w:val="00294050"/>
    <w:rsid w:val="00294288"/>
    <w:rsid w:val="002943B1"/>
    <w:rsid w:val="00294463"/>
    <w:rsid w:val="00294468"/>
    <w:rsid w:val="002944B2"/>
    <w:rsid w:val="00294649"/>
    <w:rsid w:val="002948D0"/>
    <w:rsid w:val="00294A78"/>
    <w:rsid w:val="00294C77"/>
    <w:rsid w:val="00294D40"/>
    <w:rsid w:val="00294D43"/>
    <w:rsid w:val="00294EB9"/>
    <w:rsid w:val="00295002"/>
    <w:rsid w:val="0029526A"/>
    <w:rsid w:val="00295478"/>
    <w:rsid w:val="00295862"/>
    <w:rsid w:val="00295A1B"/>
    <w:rsid w:val="00295ACE"/>
    <w:rsid w:val="00295B29"/>
    <w:rsid w:val="00295B36"/>
    <w:rsid w:val="00295BB0"/>
    <w:rsid w:val="00295F9A"/>
    <w:rsid w:val="0029632A"/>
    <w:rsid w:val="00296510"/>
    <w:rsid w:val="002967AB"/>
    <w:rsid w:val="002968CE"/>
    <w:rsid w:val="00296967"/>
    <w:rsid w:val="00296BE6"/>
    <w:rsid w:val="00296C03"/>
    <w:rsid w:val="00296DDA"/>
    <w:rsid w:val="00296EB8"/>
    <w:rsid w:val="00296FEC"/>
    <w:rsid w:val="0029709F"/>
    <w:rsid w:val="002972A1"/>
    <w:rsid w:val="002974E0"/>
    <w:rsid w:val="002979FC"/>
    <w:rsid w:val="00297A86"/>
    <w:rsid w:val="00297BA7"/>
    <w:rsid w:val="00297CEC"/>
    <w:rsid w:val="00297F76"/>
    <w:rsid w:val="002A0000"/>
    <w:rsid w:val="002A07F5"/>
    <w:rsid w:val="002A08F6"/>
    <w:rsid w:val="002A09F4"/>
    <w:rsid w:val="002A0DA7"/>
    <w:rsid w:val="002A1117"/>
    <w:rsid w:val="002A11F7"/>
    <w:rsid w:val="002A126B"/>
    <w:rsid w:val="002A133F"/>
    <w:rsid w:val="002A16BF"/>
    <w:rsid w:val="002A183A"/>
    <w:rsid w:val="002A1978"/>
    <w:rsid w:val="002A1CF3"/>
    <w:rsid w:val="002A1DF8"/>
    <w:rsid w:val="002A215A"/>
    <w:rsid w:val="002A26A3"/>
    <w:rsid w:val="002A26AF"/>
    <w:rsid w:val="002A28B4"/>
    <w:rsid w:val="002A2A8A"/>
    <w:rsid w:val="002A2C46"/>
    <w:rsid w:val="002A2C9B"/>
    <w:rsid w:val="002A2E2A"/>
    <w:rsid w:val="002A3015"/>
    <w:rsid w:val="002A30C5"/>
    <w:rsid w:val="002A3219"/>
    <w:rsid w:val="002A32E7"/>
    <w:rsid w:val="002A3841"/>
    <w:rsid w:val="002A3A02"/>
    <w:rsid w:val="002A3F35"/>
    <w:rsid w:val="002A40DF"/>
    <w:rsid w:val="002A4287"/>
    <w:rsid w:val="002A4785"/>
    <w:rsid w:val="002A4802"/>
    <w:rsid w:val="002A48D2"/>
    <w:rsid w:val="002A4A7A"/>
    <w:rsid w:val="002A4AD0"/>
    <w:rsid w:val="002A4BC0"/>
    <w:rsid w:val="002A53F2"/>
    <w:rsid w:val="002A555C"/>
    <w:rsid w:val="002A572B"/>
    <w:rsid w:val="002A5A04"/>
    <w:rsid w:val="002A5AD3"/>
    <w:rsid w:val="002A5D9A"/>
    <w:rsid w:val="002A5E91"/>
    <w:rsid w:val="002A614D"/>
    <w:rsid w:val="002A6241"/>
    <w:rsid w:val="002A62CA"/>
    <w:rsid w:val="002A630B"/>
    <w:rsid w:val="002A6551"/>
    <w:rsid w:val="002A6642"/>
    <w:rsid w:val="002A697E"/>
    <w:rsid w:val="002A6B96"/>
    <w:rsid w:val="002A6D5F"/>
    <w:rsid w:val="002A6D62"/>
    <w:rsid w:val="002A73B9"/>
    <w:rsid w:val="002A76DF"/>
    <w:rsid w:val="002A76E2"/>
    <w:rsid w:val="002A7800"/>
    <w:rsid w:val="002A7BCC"/>
    <w:rsid w:val="002A7DC6"/>
    <w:rsid w:val="002A7DD1"/>
    <w:rsid w:val="002A7E2F"/>
    <w:rsid w:val="002A7E30"/>
    <w:rsid w:val="002B01D8"/>
    <w:rsid w:val="002B0403"/>
    <w:rsid w:val="002B046D"/>
    <w:rsid w:val="002B072C"/>
    <w:rsid w:val="002B08CD"/>
    <w:rsid w:val="002B090E"/>
    <w:rsid w:val="002B09DD"/>
    <w:rsid w:val="002B0F34"/>
    <w:rsid w:val="002B0F6D"/>
    <w:rsid w:val="002B0FD8"/>
    <w:rsid w:val="002B19CF"/>
    <w:rsid w:val="002B1D2F"/>
    <w:rsid w:val="002B20C0"/>
    <w:rsid w:val="002B2215"/>
    <w:rsid w:val="002B251A"/>
    <w:rsid w:val="002B25A6"/>
    <w:rsid w:val="002B27AC"/>
    <w:rsid w:val="002B2B98"/>
    <w:rsid w:val="002B2BBF"/>
    <w:rsid w:val="002B2D79"/>
    <w:rsid w:val="002B330D"/>
    <w:rsid w:val="002B33B2"/>
    <w:rsid w:val="002B33DB"/>
    <w:rsid w:val="002B3421"/>
    <w:rsid w:val="002B3740"/>
    <w:rsid w:val="002B3AD7"/>
    <w:rsid w:val="002B3BFC"/>
    <w:rsid w:val="002B3CE6"/>
    <w:rsid w:val="002B3CF4"/>
    <w:rsid w:val="002B405C"/>
    <w:rsid w:val="002B41C2"/>
    <w:rsid w:val="002B453F"/>
    <w:rsid w:val="002B4926"/>
    <w:rsid w:val="002B4930"/>
    <w:rsid w:val="002B4BCF"/>
    <w:rsid w:val="002B55AD"/>
    <w:rsid w:val="002B55FC"/>
    <w:rsid w:val="002B56E9"/>
    <w:rsid w:val="002B5B3B"/>
    <w:rsid w:val="002B5B71"/>
    <w:rsid w:val="002B5BD0"/>
    <w:rsid w:val="002B5C9F"/>
    <w:rsid w:val="002B5CA6"/>
    <w:rsid w:val="002B5D29"/>
    <w:rsid w:val="002B5D6F"/>
    <w:rsid w:val="002B60B3"/>
    <w:rsid w:val="002B60B6"/>
    <w:rsid w:val="002B62AF"/>
    <w:rsid w:val="002B6488"/>
    <w:rsid w:val="002B65D0"/>
    <w:rsid w:val="002B66C9"/>
    <w:rsid w:val="002B67E9"/>
    <w:rsid w:val="002B6995"/>
    <w:rsid w:val="002B6C83"/>
    <w:rsid w:val="002B701B"/>
    <w:rsid w:val="002B70A6"/>
    <w:rsid w:val="002B7B23"/>
    <w:rsid w:val="002B7B54"/>
    <w:rsid w:val="002C0618"/>
    <w:rsid w:val="002C069F"/>
    <w:rsid w:val="002C06B8"/>
    <w:rsid w:val="002C0905"/>
    <w:rsid w:val="002C09AD"/>
    <w:rsid w:val="002C0BB1"/>
    <w:rsid w:val="002C0CC1"/>
    <w:rsid w:val="002C0D17"/>
    <w:rsid w:val="002C0F18"/>
    <w:rsid w:val="002C0F8F"/>
    <w:rsid w:val="002C0FB0"/>
    <w:rsid w:val="002C1386"/>
    <w:rsid w:val="002C16B2"/>
    <w:rsid w:val="002C173E"/>
    <w:rsid w:val="002C1BE4"/>
    <w:rsid w:val="002C1FC2"/>
    <w:rsid w:val="002C20EE"/>
    <w:rsid w:val="002C24E6"/>
    <w:rsid w:val="002C2743"/>
    <w:rsid w:val="002C29F4"/>
    <w:rsid w:val="002C2A91"/>
    <w:rsid w:val="002C2AE8"/>
    <w:rsid w:val="002C2B6E"/>
    <w:rsid w:val="002C2C0D"/>
    <w:rsid w:val="002C2D4F"/>
    <w:rsid w:val="002C2D76"/>
    <w:rsid w:val="002C3186"/>
    <w:rsid w:val="002C31D2"/>
    <w:rsid w:val="002C32CD"/>
    <w:rsid w:val="002C3A1A"/>
    <w:rsid w:val="002C3A2A"/>
    <w:rsid w:val="002C3E0D"/>
    <w:rsid w:val="002C3F3A"/>
    <w:rsid w:val="002C4003"/>
    <w:rsid w:val="002C4558"/>
    <w:rsid w:val="002C4E7C"/>
    <w:rsid w:val="002C5030"/>
    <w:rsid w:val="002C56C2"/>
    <w:rsid w:val="002C56E8"/>
    <w:rsid w:val="002C5F3D"/>
    <w:rsid w:val="002C5F6D"/>
    <w:rsid w:val="002C61C0"/>
    <w:rsid w:val="002C65E6"/>
    <w:rsid w:val="002C6B73"/>
    <w:rsid w:val="002C6C8F"/>
    <w:rsid w:val="002C6E2D"/>
    <w:rsid w:val="002C6EDD"/>
    <w:rsid w:val="002C6FBD"/>
    <w:rsid w:val="002C70FE"/>
    <w:rsid w:val="002C715C"/>
    <w:rsid w:val="002C7374"/>
    <w:rsid w:val="002C7411"/>
    <w:rsid w:val="002C75C3"/>
    <w:rsid w:val="002C7AB8"/>
    <w:rsid w:val="002C7B72"/>
    <w:rsid w:val="002C7BC3"/>
    <w:rsid w:val="002D0318"/>
    <w:rsid w:val="002D0766"/>
    <w:rsid w:val="002D07E8"/>
    <w:rsid w:val="002D094C"/>
    <w:rsid w:val="002D09AA"/>
    <w:rsid w:val="002D0A39"/>
    <w:rsid w:val="002D0B25"/>
    <w:rsid w:val="002D0BBF"/>
    <w:rsid w:val="002D0D6B"/>
    <w:rsid w:val="002D0E83"/>
    <w:rsid w:val="002D0F6C"/>
    <w:rsid w:val="002D1010"/>
    <w:rsid w:val="002D10F0"/>
    <w:rsid w:val="002D1376"/>
    <w:rsid w:val="002D1421"/>
    <w:rsid w:val="002D150E"/>
    <w:rsid w:val="002D18B0"/>
    <w:rsid w:val="002D18D4"/>
    <w:rsid w:val="002D19BC"/>
    <w:rsid w:val="002D1B0E"/>
    <w:rsid w:val="002D1D22"/>
    <w:rsid w:val="002D20CC"/>
    <w:rsid w:val="002D2543"/>
    <w:rsid w:val="002D26A5"/>
    <w:rsid w:val="002D26AC"/>
    <w:rsid w:val="002D2796"/>
    <w:rsid w:val="002D2813"/>
    <w:rsid w:val="002D2925"/>
    <w:rsid w:val="002D2B88"/>
    <w:rsid w:val="002D31B8"/>
    <w:rsid w:val="002D33EA"/>
    <w:rsid w:val="002D3BF8"/>
    <w:rsid w:val="002D3C1D"/>
    <w:rsid w:val="002D464F"/>
    <w:rsid w:val="002D4743"/>
    <w:rsid w:val="002D489C"/>
    <w:rsid w:val="002D4994"/>
    <w:rsid w:val="002D4BE4"/>
    <w:rsid w:val="002D4CF0"/>
    <w:rsid w:val="002D51AF"/>
    <w:rsid w:val="002D52A2"/>
    <w:rsid w:val="002D5479"/>
    <w:rsid w:val="002D5AB0"/>
    <w:rsid w:val="002D5E4B"/>
    <w:rsid w:val="002D5E95"/>
    <w:rsid w:val="002D60A2"/>
    <w:rsid w:val="002D60D0"/>
    <w:rsid w:val="002D61C0"/>
    <w:rsid w:val="002D61E9"/>
    <w:rsid w:val="002D6229"/>
    <w:rsid w:val="002D63A0"/>
    <w:rsid w:val="002D6475"/>
    <w:rsid w:val="002D67A4"/>
    <w:rsid w:val="002D6FBA"/>
    <w:rsid w:val="002D6FF3"/>
    <w:rsid w:val="002D7194"/>
    <w:rsid w:val="002D75A8"/>
    <w:rsid w:val="002D76BB"/>
    <w:rsid w:val="002D7EF7"/>
    <w:rsid w:val="002D7FD2"/>
    <w:rsid w:val="002E0211"/>
    <w:rsid w:val="002E0263"/>
    <w:rsid w:val="002E08B0"/>
    <w:rsid w:val="002E08D3"/>
    <w:rsid w:val="002E09DE"/>
    <w:rsid w:val="002E0A15"/>
    <w:rsid w:val="002E0A9D"/>
    <w:rsid w:val="002E112A"/>
    <w:rsid w:val="002E1237"/>
    <w:rsid w:val="002E143F"/>
    <w:rsid w:val="002E1758"/>
    <w:rsid w:val="002E1765"/>
    <w:rsid w:val="002E1907"/>
    <w:rsid w:val="002E19DE"/>
    <w:rsid w:val="002E1BFB"/>
    <w:rsid w:val="002E1F2C"/>
    <w:rsid w:val="002E2369"/>
    <w:rsid w:val="002E25F0"/>
    <w:rsid w:val="002E261A"/>
    <w:rsid w:val="002E2642"/>
    <w:rsid w:val="002E2977"/>
    <w:rsid w:val="002E2A71"/>
    <w:rsid w:val="002E2FD5"/>
    <w:rsid w:val="002E3074"/>
    <w:rsid w:val="002E3122"/>
    <w:rsid w:val="002E3498"/>
    <w:rsid w:val="002E3564"/>
    <w:rsid w:val="002E39D4"/>
    <w:rsid w:val="002E3D9F"/>
    <w:rsid w:val="002E3DE0"/>
    <w:rsid w:val="002E3FC2"/>
    <w:rsid w:val="002E415A"/>
    <w:rsid w:val="002E433D"/>
    <w:rsid w:val="002E474C"/>
    <w:rsid w:val="002E49EA"/>
    <w:rsid w:val="002E4AD7"/>
    <w:rsid w:val="002E4DD0"/>
    <w:rsid w:val="002E513D"/>
    <w:rsid w:val="002E5496"/>
    <w:rsid w:val="002E5591"/>
    <w:rsid w:val="002E57EC"/>
    <w:rsid w:val="002E5A9F"/>
    <w:rsid w:val="002E616A"/>
    <w:rsid w:val="002E62B6"/>
    <w:rsid w:val="002E631F"/>
    <w:rsid w:val="002E68F6"/>
    <w:rsid w:val="002E6958"/>
    <w:rsid w:val="002E7344"/>
    <w:rsid w:val="002E7435"/>
    <w:rsid w:val="002E77AC"/>
    <w:rsid w:val="002E77EC"/>
    <w:rsid w:val="002E7E05"/>
    <w:rsid w:val="002E7E53"/>
    <w:rsid w:val="002E7F43"/>
    <w:rsid w:val="002F05ED"/>
    <w:rsid w:val="002F077F"/>
    <w:rsid w:val="002F08AD"/>
    <w:rsid w:val="002F0E90"/>
    <w:rsid w:val="002F1163"/>
    <w:rsid w:val="002F119C"/>
    <w:rsid w:val="002F163C"/>
    <w:rsid w:val="002F168E"/>
    <w:rsid w:val="002F1B6A"/>
    <w:rsid w:val="002F1DF6"/>
    <w:rsid w:val="002F209E"/>
    <w:rsid w:val="002F2132"/>
    <w:rsid w:val="002F2280"/>
    <w:rsid w:val="002F2762"/>
    <w:rsid w:val="002F290B"/>
    <w:rsid w:val="002F2B2B"/>
    <w:rsid w:val="002F2D6D"/>
    <w:rsid w:val="002F2F30"/>
    <w:rsid w:val="002F2F45"/>
    <w:rsid w:val="002F2F50"/>
    <w:rsid w:val="002F2FF6"/>
    <w:rsid w:val="002F33D9"/>
    <w:rsid w:val="002F34FD"/>
    <w:rsid w:val="002F353B"/>
    <w:rsid w:val="002F376A"/>
    <w:rsid w:val="002F386A"/>
    <w:rsid w:val="002F3AE4"/>
    <w:rsid w:val="002F3B42"/>
    <w:rsid w:val="002F3D8A"/>
    <w:rsid w:val="002F3DCE"/>
    <w:rsid w:val="002F4110"/>
    <w:rsid w:val="002F42A4"/>
    <w:rsid w:val="002F4327"/>
    <w:rsid w:val="002F435D"/>
    <w:rsid w:val="002F4515"/>
    <w:rsid w:val="002F46EF"/>
    <w:rsid w:val="002F4A96"/>
    <w:rsid w:val="002F4C76"/>
    <w:rsid w:val="002F4D29"/>
    <w:rsid w:val="002F4F47"/>
    <w:rsid w:val="002F507F"/>
    <w:rsid w:val="002F5260"/>
    <w:rsid w:val="002F53E0"/>
    <w:rsid w:val="002F5722"/>
    <w:rsid w:val="002F57B1"/>
    <w:rsid w:val="002F588F"/>
    <w:rsid w:val="002F598E"/>
    <w:rsid w:val="002F5AC7"/>
    <w:rsid w:val="002F5B84"/>
    <w:rsid w:val="002F62FA"/>
    <w:rsid w:val="002F691B"/>
    <w:rsid w:val="002F6AD3"/>
    <w:rsid w:val="002F6BD1"/>
    <w:rsid w:val="002F6CF6"/>
    <w:rsid w:val="002F6D4B"/>
    <w:rsid w:val="002F6F6D"/>
    <w:rsid w:val="002F70B7"/>
    <w:rsid w:val="002F73AD"/>
    <w:rsid w:val="002F77E6"/>
    <w:rsid w:val="002F782E"/>
    <w:rsid w:val="002F7ED7"/>
    <w:rsid w:val="002F7FD9"/>
    <w:rsid w:val="003000DB"/>
    <w:rsid w:val="0030030C"/>
    <w:rsid w:val="003005DB"/>
    <w:rsid w:val="00300673"/>
    <w:rsid w:val="003008E4"/>
    <w:rsid w:val="0030094B"/>
    <w:rsid w:val="00300A22"/>
    <w:rsid w:val="00300B40"/>
    <w:rsid w:val="00300B41"/>
    <w:rsid w:val="00300C58"/>
    <w:rsid w:val="00300D8F"/>
    <w:rsid w:val="00300D92"/>
    <w:rsid w:val="00300EC3"/>
    <w:rsid w:val="00301167"/>
    <w:rsid w:val="0030125B"/>
    <w:rsid w:val="0030177A"/>
    <w:rsid w:val="00301D25"/>
    <w:rsid w:val="00301E03"/>
    <w:rsid w:val="00301F88"/>
    <w:rsid w:val="00302101"/>
    <w:rsid w:val="00302108"/>
    <w:rsid w:val="0030219C"/>
    <w:rsid w:val="003025A3"/>
    <w:rsid w:val="003025DB"/>
    <w:rsid w:val="003027AA"/>
    <w:rsid w:val="00303163"/>
    <w:rsid w:val="003035E8"/>
    <w:rsid w:val="00303862"/>
    <w:rsid w:val="003038AB"/>
    <w:rsid w:val="00303A64"/>
    <w:rsid w:val="00303BCD"/>
    <w:rsid w:val="0030440A"/>
    <w:rsid w:val="00304793"/>
    <w:rsid w:val="003049FF"/>
    <w:rsid w:val="00304BBB"/>
    <w:rsid w:val="00304DB0"/>
    <w:rsid w:val="00304E31"/>
    <w:rsid w:val="00305198"/>
    <w:rsid w:val="00305251"/>
    <w:rsid w:val="003056CA"/>
    <w:rsid w:val="00305824"/>
    <w:rsid w:val="00305990"/>
    <w:rsid w:val="00305A83"/>
    <w:rsid w:val="00305AC5"/>
    <w:rsid w:val="00305BD2"/>
    <w:rsid w:val="00305CA7"/>
    <w:rsid w:val="00305E83"/>
    <w:rsid w:val="003061D8"/>
    <w:rsid w:val="003061ED"/>
    <w:rsid w:val="003063A2"/>
    <w:rsid w:val="003064B5"/>
    <w:rsid w:val="0030660E"/>
    <w:rsid w:val="0030685D"/>
    <w:rsid w:val="00306E4F"/>
    <w:rsid w:val="00307015"/>
    <w:rsid w:val="003070D1"/>
    <w:rsid w:val="00307714"/>
    <w:rsid w:val="003077C6"/>
    <w:rsid w:val="00307920"/>
    <w:rsid w:val="003079CA"/>
    <w:rsid w:val="00307AB9"/>
    <w:rsid w:val="00307BDA"/>
    <w:rsid w:val="00307E34"/>
    <w:rsid w:val="00307E95"/>
    <w:rsid w:val="00307F12"/>
    <w:rsid w:val="00310136"/>
    <w:rsid w:val="003108F1"/>
    <w:rsid w:val="00310915"/>
    <w:rsid w:val="00310D1D"/>
    <w:rsid w:val="00310E1A"/>
    <w:rsid w:val="0031114E"/>
    <w:rsid w:val="003114B7"/>
    <w:rsid w:val="003115A8"/>
    <w:rsid w:val="00311795"/>
    <w:rsid w:val="003118A5"/>
    <w:rsid w:val="00311949"/>
    <w:rsid w:val="00311C8D"/>
    <w:rsid w:val="00311D57"/>
    <w:rsid w:val="00311E5C"/>
    <w:rsid w:val="00311F11"/>
    <w:rsid w:val="0031201A"/>
    <w:rsid w:val="00312024"/>
    <w:rsid w:val="00312176"/>
    <w:rsid w:val="0031229E"/>
    <w:rsid w:val="003122BB"/>
    <w:rsid w:val="0031254D"/>
    <w:rsid w:val="003127F6"/>
    <w:rsid w:val="00312A8B"/>
    <w:rsid w:val="00312DED"/>
    <w:rsid w:val="00312E40"/>
    <w:rsid w:val="0031313E"/>
    <w:rsid w:val="0031317A"/>
    <w:rsid w:val="0031318D"/>
    <w:rsid w:val="00313250"/>
    <w:rsid w:val="003135C7"/>
    <w:rsid w:val="00313983"/>
    <w:rsid w:val="00313997"/>
    <w:rsid w:val="00313A09"/>
    <w:rsid w:val="00313B56"/>
    <w:rsid w:val="00313E8A"/>
    <w:rsid w:val="00313EF2"/>
    <w:rsid w:val="00313FBF"/>
    <w:rsid w:val="0031413F"/>
    <w:rsid w:val="00314418"/>
    <w:rsid w:val="00314505"/>
    <w:rsid w:val="00314507"/>
    <w:rsid w:val="003146D4"/>
    <w:rsid w:val="0031494C"/>
    <w:rsid w:val="00314BBF"/>
    <w:rsid w:val="00314BE7"/>
    <w:rsid w:val="00314C0D"/>
    <w:rsid w:val="003150D9"/>
    <w:rsid w:val="00315294"/>
    <w:rsid w:val="003154A8"/>
    <w:rsid w:val="003155C7"/>
    <w:rsid w:val="00315B32"/>
    <w:rsid w:val="00315BC1"/>
    <w:rsid w:val="00315BEC"/>
    <w:rsid w:val="00315CB1"/>
    <w:rsid w:val="00315DF4"/>
    <w:rsid w:val="00315EBB"/>
    <w:rsid w:val="00316007"/>
    <w:rsid w:val="003162C6"/>
    <w:rsid w:val="003164B8"/>
    <w:rsid w:val="003164C1"/>
    <w:rsid w:val="003164DA"/>
    <w:rsid w:val="003165C0"/>
    <w:rsid w:val="00316704"/>
    <w:rsid w:val="00316914"/>
    <w:rsid w:val="00316A43"/>
    <w:rsid w:val="00316B26"/>
    <w:rsid w:val="00316BF2"/>
    <w:rsid w:val="00317054"/>
    <w:rsid w:val="0031715B"/>
    <w:rsid w:val="003173E0"/>
    <w:rsid w:val="00317439"/>
    <w:rsid w:val="00317549"/>
    <w:rsid w:val="003177AF"/>
    <w:rsid w:val="003177D0"/>
    <w:rsid w:val="00317BD2"/>
    <w:rsid w:val="00320077"/>
    <w:rsid w:val="00320247"/>
    <w:rsid w:val="003207B8"/>
    <w:rsid w:val="00320881"/>
    <w:rsid w:val="00320A5D"/>
    <w:rsid w:val="00320A92"/>
    <w:rsid w:val="00320C09"/>
    <w:rsid w:val="00320C6C"/>
    <w:rsid w:val="00320D23"/>
    <w:rsid w:val="00321001"/>
    <w:rsid w:val="003212FC"/>
    <w:rsid w:val="003212FE"/>
    <w:rsid w:val="0032147F"/>
    <w:rsid w:val="00321493"/>
    <w:rsid w:val="003218D6"/>
    <w:rsid w:val="00321E05"/>
    <w:rsid w:val="0032209A"/>
    <w:rsid w:val="0032255C"/>
    <w:rsid w:val="00322562"/>
    <w:rsid w:val="003225AE"/>
    <w:rsid w:val="003226F4"/>
    <w:rsid w:val="003228AC"/>
    <w:rsid w:val="003228F6"/>
    <w:rsid w:val="00322B6F"/>
    <w:rsid w:val="00322BAE"/>
    <w:rsid w:val="00322C33"/>
    <w:rsid w:val="00322CD2"/>
    <w:rsid w:val="00322D49"/>
    <w:rsid w:val="00322EAC"/>
    <w:rsid w:val="00323044"/>
    <w:rsid w:val="003230FB"/>
    <w:rsid w:val="00323294"/>
    <w:rsid w:val="00323322"/>
    <w:rsid w:val="00323357"/>
    <w:rsid w:val="0032349D"/>
    <w:rsid w:val="0032362C"/>
    <w:rsid w:val="00323B6D"/>
    <w:rsid w:val="003240FE"/>
    <w:rsid w:val="0032420D"/>
    <w:rsid w:val="00324604"/>
    <w:rsid w:val="003246F9"/>
    <w:rsid w:val="00324ACC"/>
    <w:rsid w:val="00324F30"/>
    <w:rsid w:val="00325034"/>
    <w:rsid w:val="0032524F"/>
    <w:rsid w:val="0032551B"/>
    <w:rsid w:val="00325724"/>
    <w:rsid w:val="003257F1"/>
    <w:rsid w:val="003259A3"/>
    <w:rsid w:val="00325C99"/>
    <w:rsid w:val="00325E30"/>
    <w:rsid w:val="00325E4A"/>
    <w:rsid w:val="00325F0C"/>
    <w:rsid w:val="0032625C"/>
    <w:rsid w:val="00326571"/>
    <w:rsid w:val="00326825"/>
    <w:rsid w:val="00326896"/>
    <w:rsid w:val="003268DE"/>
    <w:rsid w:val="0032699A"/>
    <w:rsid w:val="00326CF1"/>
    <w:rsid w:val="00326D1D"/>
    <w:rsid w:val="00326FBA"/>
    <w:rsid w:val="0032733B"/>
    <w:rsid w:val="00327660"/>
    <w:rsid w:val="003276EF"/>
    <w:rsid w:val="00327A99"/>
    <w:rsid w:val="00330055"/>
    <w:rsid w:val="0033027D"/>
    <w:rsid w:val="003304D2"/>
    <w:rsid w:val="00330749"/>
    <w:rsid w:val="00330987"/>
    <w:rsid w:val="00330BE2"/>
    <w:rsid w:val="00330E5E"/>
    <w:rsid w:val="00330F43"/>
    <w:rsid w:val="00330FE3"/>
    <w:rsid w:val="003310F3"/>
    <w:rsid w:val="00331127"/>
    <w:rsid w:val="00331197"/>
    <w:rsid w:val="003311DA"/>
    <w:rsid w:val="003311FE"/>
    <w:rsid w:val="00331258"/>
    <w:rsid w:val="0033155C"/>
    <w:rsid w:val="003315DA"/>
    <w:rsid w:val="00331611"/>
    <w:rsid w:val="00331832"/>
    <w:rsid w:val="00331B19"/>
    <w:rsid w:val="00331DA1"/>
    <w:rsid w:val="003320BE"/>
    <w:rsid w:val="00332402"/>
    <w:rsid w:val="0033249B"/>
    <w:rsid w:val="003327C5"/>
    <w:rsid w:val="00332D9A"/>
    <w:rsid w:val="003334C1"/>
    <w:rsid w:val="003335ED"/>
    <w:rsid w:val="00333BA7"/>
    <w:rsid w:val="00333D72"/>
    <w:rsid w:val="00333E54"/>
    <w:rsid w:val="00333EF1"/>
    <w:rsid w:val="00333EF8"/>
    <w:rsid w:val="003341AE"/>
    <w:rsid w:val="0033427B"/>
    <w:rsid w:val="003345BB"/>
    <w:rsid w:val="00334859"/>
    <w:rsid w:val="00334A4E"/>
    <w:rsid w:val="00334BD3"/>
    <w:rsid w:val="00334D51"/>
    <w:rsid w:val="00335C82"/>
    <w:rsid w:val="00335CDC"/>
    <w:rsid w:val="00335DB3"/>
    <w:rsid w:val="0033600D"/>
    <w:rsid w:val="00336047"/>
    <w:rsid w:val="003361D5"/>
    <w:rsid w:val="0033622D"/>
    <w:rsid w:val="00336A06"/>
    <w:rsid w:val="00336A17"/>
    <w:rsid w:val="00336AFD"/>
    <w:rsid w:val="00336E9D"/>
    <w:rsid w:val="00336F82"/>
    <w:rsid w:val="00337476"/>
    <w:rsid w:val="0033753C"/>
    <w:rsid w:val="00337590"/>
    <w:rsid w:val="003375DD"/>
    <w:rsid w:val="003377A8"/>
    <w:rsid w:val="0033786E"/>
    <w:rsid w:val="00337B4C"/>
    <w:rsid w:val="00337B5F"/>
    <w:rsid w:val="00337C07"/>
    <w:rsid w:val="00337C80"/>
    <w:rsid w:val="00337CCD"/>
    <w:rsid w:val="0034018C"/>
    <w:rsid w:val="00340B14"/>
    <w:rsid w:val="00340D10"/>
    <w:rsid w:val="00340E71"/>
    <w:rsid w:val="00340EF8"/>
    <w:rsid w:val="003411DB"/>
    <w:rsid w:val="003415BE"/>
    <w:rsid w:val="003415CD"/>
    <w:rsid w:val="003416AC"/>
    <w:rsid w:val="003416BD"/>
    <w:rsid w:val="003418D7"/>
    <w:rsid w:val="003419FB"/>
    <w:rsid w:val="00341ACC"/>
    <w:rsid w:val="00341B14"/>
    <w:rsid w:val="00341E5F"/>
    <w:rsid w:val="003420C2"/>
    <w:rsid w:val="003426CF"/>
    <w:rsid w:val="00342898"/>
    <w:rsid w:val="00342B9C"/>
    <w:rsid w:val="00342D22"/>
    <w:rsid w:val="00342FCC"/>
    <w:rsid w:val="00343061"/>
    <w:rsid w:val="0034318C"/>
    <w:rsid w:val="00343193"/>
    <w:rsid w:val="003431AB"/>
    <w:rsid w:val="003435E8"/>
    <w:rsid w:val="00343756"/>
    <w:rsid w:val="00343822"/>
    <w:rsid w:val="00343A0D"/>
    <w:rsid w:val="00343B3B"/>
    <w:rsid w:val="00343C23"/>
    <w:rsid w:val="00343D56"/>
    <w:rsid w:val="00343F79"/>
    <w:rsid w:val="00344028"/>
    <w:rsid w:val="00344136"/>
    <w:rsid w:val="0034424B"/>
    <w:rsid w:val="00344371"/>
    <w:rsid w:val="0034449F"/>
    <w:rsid w:val="003445B1"/>
    <w:rsid w:val="003448DD"/>
    <w:rsid w:val="003449CE"/>
    <w:rsid w:val="003449EA"/>
    <w:rsid w:val="00344D7E"/>
    <w:rsid w:val="003451CD"/>
    <w:rsid w:val="00345445"/>
    <w:rsid w:val="00345983"/>
    <w:rsid w:val="00345E30"/>
    <w:rsid w:val="00345EC3"/>
    <w:rsid w:val="00345FDC"/>
    <w:rsid w:val="003463EF"/>
    <w:rsid w:val="0034650E"/>
    <w:rsid w:val="0034650F"/>
    <w:rsid w:val="003465F7"/>
    <w:rsid w:val="0034676F"/>
    <w:rsid w:val="003467A1"/>
    <w:rsid w:val="00347325"/>
    <w:rsid w:val="00347559"/>
    <w:rsid w:val="00347613"/>
    <w:rsid w:val="00347689"/>
    <w:rsid w:val="00347774"/>
    <w:rsid w:val="0034797C"/>
    <w:rsid w:val="00347C6F"/>
    <w:rsid w:val="00347EC8"/>
    <w:rsid w:val="00347F27"/>
    <w:rsid w:val="00347FCA"/>
    <w:rsid w:val="00350005"/>
    <w:rsid w:val="00350599"/>
    <w:rsid w:val="003505DD"/>
    <w:rsid w:val="00350747"/>
    <w:rsid w:val="003507B3"/>
    <w:rsid w:val="0035086B"/>
    <w:rsid w:val="00350A5B"/>
    <w:rsid w:val="00350A89"/>
    <w:rsid w:val="00350BAF"/>
    <w:rsid w:val="00350E5A"/>
    <w:rsid w:val="0035141C"/>
    <w:rsid w:val="0035151B"/>
    <w:rsid w:val="003515A6"/>
    <w:rsid w:val="0035167D"/>
    <w:rsid w:val="003518C9"/>
    <w:rsid w:val="00351B3E"/>
    <w:rsid w:val="00351C1C"/>
    <w:rsid w:val="00351C1D"/>
    <w:rsid w:val="00351DE1"/>
    <w:rsid w:val="003522DA"/>
    <w:rsid w:val="00352361"/>
    <w:rsid w:val="003524AD"/>
    <w:rsid w:val="00352672"/>
    <w:rsid w:val="0035279F"/>
    <w:rsid w:val="00352E3E"/>
    <w:rsid w:val="003531BC"/>
    <w:rsid w:val="00353390"/>
    <w:rsid w:val="00353437"/>
    <w:rsid w:val="00353691"/>
    <w:rsid w:val="003537B2"/>
    <w:rsid w:val="00353970"/>
    <w:rsid w:val="00353DA7"/>
    <w:rsid w:val="00353DAB"/>
    <w:rsid w:val="00354651"/>
    <w:rsid w:val="00354890"/>
    <w:rsid w:val="00354995"/>
    <w:rsid w:val="00354A44"/>
    <w:rsid w:val="00354BB5"/>
    <w:rsid w:val="003551FB"/>
    <w:rsid w:val="003553CD"/>
    <w:rsid w:val="0035542F"/>
    <w:rsid w:val="003554A9"/>
    <w:rsid w:val="003554BB"/>
    <w:rsid w:val="0035598E"/>
    <w:rsid w:val="00355C4E"/>
    <w:rsid w:val="00355DC6"/>
    <w:rsid w:val="00355EBB"/>
    <w:rsid w:val="00355FD2"/>
    <w:rsid w:val="0035652E"/>
    <w:rsid w:val="003568DF"/>
    <w:rsid w:val="003569BB"/>
    <w:rsid w:val="00356AA3"/>
    <w:rsid w:val="00356ACF"/>
    <w:rsid w:val="00356BD7"/>
    <w:rsid w:val="00356D1F"/>
    <w:rsid w:val="00356E61"/>
    <w:rsid w:val="00356E81"/>
    <w:rsid w:val="00356EA3"/>
    <w:rsid w:val="003571B6"/>
    <w:rsid w:val="00357779"/>
    <w:rsid w:val="00357863"/>
    <w:rsid w:val="00357B5B"/>
    <w:rsid w:val="00357C05"/>
    <w:rsid w:val="00357E8F"/>
    <w:rsid w:val="00360302"/>
    <w:rsid w:val="0036045E"/>
    <w:rsid w:val="003609FC"/>
    <w:rsid w:val="00360DA0"/>
    <w:rsid w:val="00360EF1"/>
    <w:rsid w:val="00361063"/>
    <w:rsid w:val="0036113D"/>
    <w:rsid w:val="003613DA"/>
    <w:rsid w:val="00361474"/>
    <w:rsid w:val="0036167E"/>
    <w:rsid w:val="00361B69"/>
    <w:rsid w:val="00361BB9"/>
    <w:rsid w:val="0036213D"/>
    <w:rsid w:val="00362334"/>
    <w:rsid w:val="003625A8"/>
    <w:rsid w:val="00362738"/>
    <w:rsid w:val="003628FE"/>
    <w:rsid w:val="00362F1C"/>
    <w:rsid w:val="00362F75"/>
    <w:rsid w:val="00362FD8"/>
    <w:rsid w:val="00363088"/>
    <w:rsid w:val="00363193"/>
    <w:rsid w:val="003631DD"/>
    <w:rsid w:val="003639C5"/>
    <w:rsid w:val="00363A20"/>
    <w:rsid w:val="00363A54"/>
    <w:rsid w:val="00363B1B"/>
    <w:rsid w:val="00363C9F"/>
    <w:rsid w:val="00364029"/>
    <w:rsid w:val="0036410A"/>
    <w:rsid w:val="00364283"/>
    <w:rsid w:val="003644D5"/>
    <w:rsid w:val="00364596"/>
    <w:rsid w:val="00364E6C"/>
    <w:rsid w:val="003650D9"/>
    <w:rsid w:val="00365120"/>
    <w:rsid w:val="003651E1"/>
    <w:rsid w:val="0036532A"/>
    <w:rsid w:val="003654B4"/>
    <w:rsid w:val="00365983"/>
    <w:rsid w:val="00365B27"/>
    <w:rsid w:val="00365CF2"/>
    <w:rsid w:val="00366432"/>
    <w:rsid w:val="00366456"/>
    <w:rsid w:val="00366570"/>
    <w:rsid w:val="0036663A"/>
    <w:rsid w:val="0036667B"/>
    <w:rsid w:val="0036674F"/>
    <w:rsid w:val="00366878"/>
    <w:rsid w:val="00366D66"/>
    <w:rsid w:val="003670EC"/>
    <w:rsid w:val="003671C6"/>
    <w:rsid w:val="003673E6"/>
    <w:rsid w:val="00367BC0"/>
    <w:rsid w:val="00367BE5"/>
    <w:rsid w:val="0037042C"/>
    <w:rsid w:val="003704BA"/>
    <w:rsid w:val="00370695"/>
    <w:rsid w:val="00370702"/>
    <w:rsid w:val="00370B04"/>
    <w:rsid w:val="00370F8A"/>
    <w:rsid w:val="0037159A"/>
    <w:rsid w:val="003717C9"/>
    <w:rsid w:val="00371897"/>
    <w:rsid w:val="003718C5"/>
    <w:rsid w:val="003718F3"/>
    <w:rsid w:val="00371B68"/>
    <w:rsid w:val="00371BC3"/>
    <w:rsid w:val="00371D5B"/>
    <w:rsid w:val="00371EB3"/>
    <w:rsid w:val="003720F5"/>
    <w:rsid w:val="003721E4"/>
    <w:rsid w:val="00372425"/>
    <w:rsid w:val="00372580"/>
    <w:rsid w:val="00372616"/>
    <w:rsid w:val="003726DD"/>
    <w:rsid w:val="003726F4"/>
    <w:rsid w:val="00372726"/>
    <w:rsid w:val="003728C4"/>
    <w:rsid w:val="00372D9F"/>
    <w:rsid w:val="00372DC5"/>
    <w:rsid w:val="00372EA3"/>
    <w:rsid w:val="0037330F"/>
    <w:rsid w:val="003735B4"/>
    <w:rsid w:val="00373799"/>
    <w:rsid w:val="00373951"/>
    <w:rsid w:val="00373BEC"/>
    <w:rsid w:val="00373C3A"/>
    <w:rsid w:val="00373C67"/>
    <w:rsid w:val="00374650"/>
    <w:rsid w:val="003746EC"/>
    <w:rsid w:val="00374893"/>
    <w:rsid w:val="003748B1"/>
    <w:rsid w:val="00374FBE"/>
    <w:rsid w:val="0037558B"/>
    <w:rsid w:val="0037568F"/>
    <w:rsid w:val="00375727"/>
    <w:rsid w:val="003759AF"/>
    <w:rsid w:val="00375E41"/>
    <w:rsid w:val="00375F83"/>
    <w:rsid w:val="00376089"/>
    <w:rsid w:val="003760C9"/>
    <w:rsid w:val="003767DF"/>
    <w:rsid w:val="00376832"/>
    <w:rsid w:val="00376C38"/>
    <w:rsid w:val="00376CB5"/>
    <w:rsid w:val="00376D4A"/>
    <w:rsid w:val="00376D5E"/>
    <w:rsid w:val="00376F86"/>
    <w:rsid w:val="00376FF7"/>
    <w:rsid w:val="003772B4"/>
    <w:rsid w:val="003775B6"/>
    <w:rsid w:val="00377876"/>
    <w:rsid w:val="00377978"/>
    <w:rsid w:val="0038059B"/>
    <w:rsid w:val="00380733"/>
    <w:rsid w:val="00380770"/>
    <w:rsid w:val="00380868"/>
    <w:rsid w:val="00380FEA"/>
    <w:rsid w:val="00381342"/>
    <w:rsid w:val="00381499"/>
    <w:rsid w:val="003814E5"/>
    <w:rsid w:val="00381D26"/>
    <w:rsid w:val="0038269B"/>
    <w:rsid w:val="00382A7B"/>
    <w:rsid w:val="00382C83"/>
    <w:rsid w:val="00382D2C"/>
    <w:rsid w:val="00383029"/>
    <w:rsid w:val="00383047"/>
    <w:rsid w:val="00383554"/>
    <w:rsid w:val="003835E7"/>
    <w:rsid w:val="00383709"/>
    <w:rsid w:val="00383877"/>
    <w:rsid w:val="0038398E"/>
    <w:rsid w:val="00383BA8"/>
    <w:rsid w:val="00383DA8"/>
    <w:rsid w:val="00383DE5"/>
    <w:rsid w:val="003841E2"/>
    <w:rsid w:val="003842AE"/>
    <w:rsid w:val="0038449F"/>
    <w:rsid w:val="00384610"/>
    <w:rsid w:val="00384B28"/>
    <w:rsid w:val="00384BC6"/>
    <w:rsid w:val="00384E31"/>
    <w:rsid w:val="00384F7A"/>
    <w:rsid w:val="0038512F"/>
    <w:rsid w:val="003851C4"/>
    <w:rsid w:val="003851EA"/>
    <w:rsid w:val="003853B7"/>
    <w:rsid w:val="003853F6"/>
    <w:rsid w:val="003854FD"/>
    <w:rsid w:val="00385751"/>
    <w:rsid w:val="003859CE"/>
    <w:rsid w:val="00385A25"/>
    <w:rsid w:val="00385BEB"/>
    <w:rsid w:val="00385E81"/>
    <w:rsid w:val="003860FF"/>
    <w:rsid w:val="003863BA"/>
    <w:rsid w:val="00386657"/>
    <w:rsid w:val="00386A52"/>
    <w:rsid w:val="00386B19"/>
    <w:rsid w:val="00386C97"/>
    <w:rsid w:val="00386C99"/>
    <w:rsid w:val="00386D0D"/>
    <w:rsid w:val="00386E80"/>
    <w:rsid w:val="003872B9"/>
    <w:rsid w:val="0038741F"/>
    <w:rsid w:val="003875D4"/>
    <w:rsid w:val="003877BB"/>
    <w:rsid w:val="003879AF"/>
    <w:rsid w:val="00387D86"/>
    <w:rsid w:val="003904D8"/>
    <w:rsid w:val="00390555"/>
    <w:rsid w:val="00390CB3"/>
    <w:rsid w:val="00390EA0"/>
    <w:rsid w:val="00391130"/>
    <w:rsid w:val="0039185F"/>
    <w:rsid w:val="0039188E"/>
    <w:rsid w:val="00391F38"/>
    <w:rsid w:val="003921D2"/>
    <w:rsid w:val="003925F3"/>
    <w:rsid w:val="0039287E"/>
    <w:rsid w:val="003928C8"/>
    <w:rsid w:val="00392C43"/>
    <w:rsid w:val="00392CF6"/>
    <w:rsid w:val="00392F4A"/>
    <w:rsid w:val="00393322"/>
    <w:rsid w:val="00393426"/>
    <w:rsid w:val="00393493"/>
    <w:rsid w:val="003936C3"/>
    <w:rsid w:val="00393C0C"/>
    <w:rsid w:val="00393F20"/>
    <w:rsid w:val="003941F9"/>
    <w:rsid w:val="003943CD"/>
    <w:rsid w:val="00394491"/>
    <w:rsid w:val="00394550"/>
    <w:rsid w:val="003946A0"/>
    <w:rsid w:val="00394B1A"/>
    <w:rsid w:val="00394D80"/>
    <w:rsid w:val="00394DE2"/>
    <w:rsid w:val="00394F04"/>
    <w:rsid w:val="00394F5D"/>
    <w:rsid w:val="00395373"/>
    <w:rsid w:val="003955C3"/>
    <w:rsid w:val="003956DC"/>
    <w:rsid w:val="00395967"/>
    <w:rsid w:val="00395B45"/>
    <w:rsid w:val="00395B53"/>
    <w:rsid w:val="00395BBE"/>
    <w:rsid w:val="00395D23"/>
    <w:rsid w:val="00395DBE"/>
    <w:rsid w:val="00395F97"/>
    <w:rsid w:val="00396189"/>
    <w:rsid w:val="00396530"/>
    <w:rsid w:val="003966DA"/>
    <w:rsid w:val="003969B3"/>
    <w:rsid w:val="00396C1F"/>
    <w:rsid w:val="00396CF7"/>
    <w:rsid w:val="00396E8D"/>
    <w:rsid w:val="00396E96"/>
    <w:rsid w:val="003972D9"/>
    <w:rsid w:val="00397473"/>
    <w:rsid w:val="0039757A"/>
    <w:rsid w:val="003976DA"/>
    <w:rsid w:val="00397887"/>
    <w:rsid w:val="00397AB1"/>
    <w:rsid w:val="00397F8F"/>
    <w:rsid w:val="00397F90"/>
    <w:rsid w:val="003A0095"/>
    <w:rsid w:val="003A04ED"/>
    <w:rsid w:val="003A0618"/>
    <w:rsid w:val="003A0751"/>
    <w:rsid w:val="003A0905"/>
    <w:rsid w:val="003A0B02"/>
    <w:rsid w:val="003A0BC1"/>
    <w:rsid w:val="003A1522"/>
    <w:rsid w:val="003A174B"/>
    <w:rsid w:val="003A17E7"/>
    <w:rsid w:val="003A1821"/>
    <w:rsid w:val="003A194A"/>
    <w:rsid w:val="003A195E"/>
    <w:rsid w:val="003A1B3A"/>
    <w:rsid w:val="003A1E4F"/>
    <w:rsid w:val="003A1F1C"/>
    <w:rsid w:val="003A233C"/>
    <w:rsid w:val="003A2887"/>
    <w:rsid w:val="003A2891"/>
    <w:rsid w:val="003A2B98"/>
    <w:rsid w:val="003A2C35"/>
    <w:rsid w:val="003A2E18"/>
    <w:rsid w:val="003A314D"/>
    <w:rsid w:val="003A31DE"/>
    <w:rsid w:val="003A3525"/>
    <w:rsid w:val="003A3529"/>
    <w:rsid w:val="003A36AD"/>
    <w:rsid w:val="003A382B"/>
    <w:rsid w:val="003A384E"/>
    <w:rsid w:val="003A3857"/>
    <w:rsid w:val="003A4314"/>
    <w:rsid w:val="003A44F2"/>
    <w:rsid w:val="003A45D4"/>
    <w:rsid w:val="003A476B"/>
    <w:rsid w:val="003A4919"/>
    <w:rsid w:val="003A4AEE"/>
    <w:rsid w:val="003A591E"/>
    <w:rsid w:val="003A5C59"/>
    <w:rsid w:val="003A5E96"/>
    <w:rsid w:val="003A6022"/>
    <w:rsid w:val="003A65A5"/>
    <w:rsid w:val="003A6947"/>
    <w:rsid w:val="003A6A72"/>
    <w:rsid w:val="003A6A89"/>
    <w:rsid w:val="003A6ABC"/>
    <w:rsid w:val="003A6AE9"/>
    <w:rsid w:val="003A6BE8"/>
    <w:rsid w:val="003A6CB1"/>
    <w:rsid w:val="003A6DBA"/>
    <w:rsid w:val="003A7531"/>
    <w:rsid w:val="003A76A5"/>
    <w:rsid w:val="003A76D5"/>
    <w:rsid w:val="003A78AF"/>
    <w:rsid w:val="003A7C10"/>
    <w:rsid w:val="003A7C16"/>
    <w:rsid w:val="003A7C9A"/>
    <w:rsid w:val="003A7D5E"/>
    <w:rsid w:val="003A7D9F"/>
    <w:rsid w:val="003A7EE2"/>
    <w:rsid w:val="003B0227"/>
    <w:rsid w:val="003B0298"/>
    <w:rsid w:val="003B030C"/>
    <w:rsid w:val="003B034B"/>
    <w:rsid w:val="003B03AF"/>
    <w:rsid w:val="003B03C9"/>
    <w:rsid w:val="003B05CD"/>
    <w:rsid w:val="003B0920"/>
    <w:rsid w:val="003B093C"/>
    <w:rsid w:val="003B0FF3"/>
    <w:rsid w:val="003B1353"/>
    <w:rsid w:val="003B14B3"/>
    <w:rsid w:val="003B14DF"/>
    <w:rsid w:val="003B1591"/>
    <w:rsid w:val="003B19F0"/>
    <w:rsid w:val="003B1A82"/>
    <w:rsid w:val="003B1F94"/>
    <w:rsid w:val="003B2458"/>
    <w:rsid w:val="003B27E9"/>
    <w:rsid w:val="003B2863"/>
    <w:rsid w:val="003B2E1E"/>
    <w:rsid w:val="003B2FCA"/>
    <w:rsid w:val="003B3220"/>
    <w:rsid w:val="003B34E6"/>
    <w:rsid w:val="003B3828"/>
    <w:rsid w:val="003B3F47"/>
    <w:rsid w:val="003B4231"/>
    <w:rsid w:val="003B42D3"/>
    <w:rsid w:val="003B432F"/>
    <w:rsid w:val="003B44E9"/>
    <w:rsid w:val="003B470F"/>
    <w:rsid w:val="003B4768"/>
    <w:rsid w:val="003B48B5"/>
    <w:rsid w:val="003B49BF"/>
    <w:rsid w:val="003B49CF"/>
    <w:rsid w:val="003B4A5B"/>
    <w:rsid w:val="003B4BB2"/>
    <w:rsid w:val="003B4E0D"/>
    <w:rsid w:val="003B4EA8"/>
    <w:rsid w:val="003B51BF"/>
    <w:rsid w:val="003B5259"/>
    <w:rsid w:val="003B526C"/>
    <w:rsid w:val="003B534E"/>
    <w:rsid w:val="003B5467"/>
    <w:rsid w:val="003B597D"/>
    <w:rsid w:val="003B59AC"/>
    <w:rsid w:val="003B5C28"/>
    <w:rsid w:val="003B5FEB"/>
    <w:rsid w:val="003B6098"/>
    <w:rsid w:val="003B60B7"/>
    <w:rsid w:val="003B6255"/>
    <w:rsid w:val="003B64BA"/>
    <w:rsid w:val="003B64BF"/>
    <w:rsid w:val="003B65EB"/>
    <w:rsid w:val="003B66A6"/>
    <w:rsid w:val="003B66E1"/>
    <w:rsid w:val="003B671B"/>
    <w:rsid w:val="003B6861"/>
    <w:rsid w:val="003B68DF"/>
    <w:rsid w:val="003B6988"/>
    <w:rsid w:val="003B69E9"/>
    <w:rsid w:val="003B6C7C"/>
    <w:rsid w:val="003B6E99"/>
    <w:rsid w:val="003B6EC1"/>
    <w:rsid w:val="003B6F81"/>
    <w:rsid w:val="003B7181"/>
    <w:rsid w:val="003B7205"/>
    <w:rsid w:val="003B7348"/>
    <w:rsid w:val="003B73E6"/>
    <w:rsid w:val="003B747B"/>
    <w:rsid w:val="003B7780"/>
    <w:rsid w:val="003B792D"/>
    <w:rsid w:val="003B7964"/>
    <w:rsid w:val="003B7DDF"/>
    <w:rsid w:val="003B7E02"/>
    <w:rsid w:val="003B7E33"/>
    <w:rsid w:val="003C00F5"/>
    <w:rsid w:val="003C07CF"/>
    <w:rsid w:val="003C08DC"/>
    <w:rsid w:val="003C0A4E"/>
    <w:rsid w:val="003C0B98"/>
    <w:rsid w:val="003C0E61"/>
    <w:rsid w:val="003C0ECD"/>
    <w:rsid w:val="003C0F3F"/>
    <w:rsid w:val="003C0F44"/>
    <w:rsid w:val="003C0FD8"/>
    <w:rsid w:val="003C1121"/>
    <w:rsid w:val="003C1199"/>
    <w:rsid w:val="003C131F"/>
    <w:rsid w:val="003C1379"/>
    <w:rsid w:val="003C188A"/>
    <w:rsid w:val="003C1B3C"/>
    <w:rsid w:val="003C1BAB"/>
    <w:rsid w:val="003C1BD9"/>
    <w:rsid w:val="003C1D58"/>
    <w:rsid w:val="003C21F2"/>
    <w:rsid w:val="003C2328"/>
    <w:rsid w:val="003C233C"/>
    <w:rsid w:val="003C270E"/>
    <w:rsid w:val="003C287D"/>
    <w:rsid w:val="003C288C"/>
    <w:rsid w:val="003C2AB7"/>
    <w:rsid w:val="003C2AB8"/>
    <w:rsid w:val="003C3062"/>
    <w:rsid w:val="003C31D0"/>
    <w:rsid w:val="003C32FA"/>
    <w:rsid w:val="003C3887"/>
    <w:rsid w:val="003C3A82"/>
    <w:rsid w:val="003C3B3D"/>
    <w:rsid w:val="003C3E2A"/>
    <w:rsid w:val="003C4271"/>
    <w:rsid w:val="003C4341"/>
    <w:rsid w:val="003C4386"/>
    <w:rsid w:val="003C4398"/>
    <w:rsid w:val="003C448D"/>
    <w:rsid w:val="003C47BC"/>
    <w:rsid w:val="003C47C9"/>
    <w:rsid w:val="003C4A5D"/>
    <w:rsid w:val="003C4C34"/>
    <w:rsid w:val="003C51F1"/>
    <w:rsid w:val="003C5312"/>
    <w:rsid w:val="003C53AF"/>
    <w:rsid w:val="003C54F2"/>
    <w:rsid w:val="003C5B23"/>
    <w:rsid w:val="003C5B89"/>
    <w:rsid w:val="003C5D0B"/>
    <w:rsid w:val="003C5FCD"/>
    <w:rsid w:val="003C6153"/>
    <w:rsid w:val="003C6218"/>
    <w:rsid w:val="003C6494"/>
    <w:rsid w:val="003C664A"/>
    <w:rsid w:val="003C675D"/>
    <w:rsid w:val="003C6EBD"/>
    <w:rsid w:val="003C717A"/>
    <w:rsid w:val="003C72A3"/>
    <w:rsid w:val="003C746E"/>
    <w:rsid w:val="003C74C5"/>
    <w:rsid w:val="003C7524"/>
    <w:rsid w:val="003C7AC4"/>
    <w:rsid w:val="003C7BE0"/>
    <w:rsid w:val="003C7BEC"/>
    <w:rsid w:val="003C7D1E"/>
    <w:rsid w:val="003C7DCD"/>
    <w:rsid w:val="003C7EA3"/>
    <w:rsid w:val="003D0072"/>
    <w:rsid w:val="003D0191"/>
    <w:rsid w:val="003D0461"/>
    <w:rsid w:val="003D08A4"/>
    <w:rsid w:val="003D110F"/>
    <w:rsid w:val="003D115E"/>
    <w:rsid w:val="003D152E"/>
    <w:rsid w:val="003D1800"/>
    <w:rsid w:val="003D193F"/>
    <w:rsid w:val="003D1A5A"/>
    <w:rsid w:val="003D1D46"/>
    <w:rsid w:val="003D2025"/>
    <w:rsid w:val="003D20DC"/>
    <w:rsid w:val="003D2216"/>
    <w:rsid w:val="003D2294"/>
    <w:rsid w:val="003D2444"/>
    <w:rsid w:val="003D253B"/>
    <w:rsid w:val="003D269B"/>
    <w:rsid w:val="003D2702"/>
    <w:rsid w:val="003D2A08"/>
    <w:rsid w:val="003D2C83"/>
    <w:rsid w:val="003D2CF6"/>
    <w:rsid w:val="003D2D66"/>
    <w:rsid w:val="003D3028"/>
    <w:rsid w:val="003D31CA"/>
    <w:rsid w:val="003D32DF"/>
    <w:rsid w:val="003D36F4"/>
    <w:rsid w:val="003D3F3A"/>
    <w:rsid w:val="003D41A3"/>
    <w:rsid w:val="003D41BF"/>
    <w:rsid w:val="003D42A4"/>
    <w:rsid w:val="003D4303"/>
    <w:rsid w:val="003D43A6"/>
    <w:rsid w:val="003D443F"/>
    <w:rsid w:val="003D4661"/>
    <w:rsid w:val="003D469E"/>
    <w:rsid w:val="003D4989"/>
    <w:rsid w:val="003D4CA6"/>
    <w:rsid w:val="003D4EE9"/>
    <w:rsid w:val="003D5072"/>
    <w:rsid w:val="003D52AC"/>
    <w:rsid w:val="003D57B0"/>
    <w:rsid w:val="003D584A"/>
    <w:rsid w:val="003D5965"/>
    <w:rsid w:val="003D59BD"/>
    <w:rsid w:val="003D5A6B"/>
    <w:rsid w:val="003D5DCF"/>
    <w:rsid w:val="003D5E1C"/>
    <w:rsid w:val="003D6447"/>
    <w:rsid w:val="003D6461"/>
    <w:rsid w:val="003D6578"/>
    <w:rsid w:val="003D669C"/>
    <w:rsid w:val="003D69FE"/>
    <w:rsid w:val="003D6C1C"/>
    <w:rsid w:val="003D6C83"/>
    <w:rsid w:val="003D6DC1"/>
    <w:rsid w:val="003D7978"/>
    <w:rsid w:val="003D798B"/>
    <w:rsid w:val="003D7D0B"/>
    <w:rsid w:val="003E01C2"/>
    <w:rsid w:val="003E0498"/>
    <w:rsid w:val="003E04B9"/>
    <w:rsid w:val="003E066C"/>
    <w:rsid w:val="003E06F3"/>
    <w:rsid w:val="003E0830"/>
    <w:rsid w:val="003E09EB"/>
    <w:rsid w:val="003E0D29"/>
    <w:rsid w:val="003E0E2B"/>
    <w:rsid w:val="003E0FDE"/>
    <w:rsid w:val="003E114A"/>
    <w:rsid w:val="003E1555"/>
    <w:rsid w:val="003E1602"/>
    <w:rsid w:val="003E1887"/>
    <w:rsid w:val="003E195D"/>
    <w:rsid w:val="003E196E"/>
    <w:rsid w:val="003E1AFD"/>
    <w:rsid w:val="003E1BEE"/>
    <w:rsid w:val="003E2083"/>
    <w:rsid w:val="003E20B8"/>
    <w:rsid w:val="003E2229"/>
    <w:rsid w:val="003E25D4"/>
    <w:rsid w:val="003E2B57"/>
    <w:rsid w:val="003E2C4A"/>
    <w:rsid w:val="003E2F4D"/>
    <w:rsid w:val="003E301E"/>
    <w:rsid w:val="003E31DC"/>
    <w:rsid w:val="003E3730"/>
    <w:rsid w:val="003E37C4"/>
    <w:rsid w:val="003E3B1D"/>
    <w:rsid w:val="003E470A"/>
    <w:rsid w:val="003E490B"/>
    <w:rsid w:val="003E4AD7"/>
    <w:rsid w:val="003E4B94"/>
    <w:rsid w:val="003E4C14"/>
    <w:rsid w:val="003E4CD5"/>
    <w:rsid w:val="003E4D34"/>
    <w:rsid w:val="003E4F89"/>
    <w:rsid w:val="003E523C"/>
    <w:rsid w:val="003E5254"/>
    <w:rsid w:val="003E5364"/>
    <w:rsid w:val="003E538C"/>
    <w:rsid w:val="003E55CA"/>
    <w:rsid w:val="003E5861"/>
    <w:rsid w:val="003E5877"/>
    <w:rsid w:val="003E58B5"/>
    <w:rsid w:val="003E6103"/>
    <w:rsid w:val="003E659D"/>
    <w:rsid w:val="003E6641"/>
    <w:rsid w:val="003E6661"/>
    <w:rsid w:val="003E69A2"/>
    <w:rsid w:val="003E6BEB"/>
    <w:rsid w:val="003E6D5C"/>
    <w:rsid w:val="003E6E33"/>
    <w:rsid w:val="003E7433"/>
    <w:rsid w:val="003E7479"/>
    <w:rsid w:val="003E76AA"/>
    <w:rsid w:val="003E7761"/>
    <w:rsid w:val="003E7835"/>
    <w:rsid w:val="003E7CD9"/>
    <w:rsid w:val="003E7DD3"/>
    <w:rsid w:val="003E7E95"/>
    <w:rsid w:val="003E7F3B"/>
    <w:rsid w:val="003F01B5"/>
    <w:rsid w:val="003F01E3"/>
    <w:rsid w:val="003F0422"/>
    <w:rsid w:val="003F051E"/>
    <w:rsid w:val="003F0527"/>
    <w:rsid w:val="003F06AE"/>
    <w:rsid w:val="003F0BDD"/>
    <w:rsid w:val="003F1367"/>
    <w:rsid w:val="003F17BE"/>
    <w:rsid w:val="003F1A9E"/>
    <w:rsid w:val="003F1ADE"/>
    <w:rsid w:val="003F1CD1"/>
    <w:rsid w:val="003F1D67"/>
    <w:rsid w:val="003F1FFD"/>
    <w:rsid w:val="003F27E6"/>
    <w:rsid w:val="003F28FD"/>
    <w:rsid w:val="003F2915"/>
    <w:rsid w:val="003F29C3"/>
    <w:rsid w:val="003F2C45"/>
    <w:rsid w:val="003F3042"/>
    <w:rsid w:val="003F3207"/>
    <w:rsid w:val="003F34D5"/>
    <w:rsid w:val="003F3804"/>
    <w:rsid w:val="003F3A6B"/>
    <w:rsid w:val="003F3A84"/>
    <w:rsid w:val="003F3AE6"/>
    <w:rsid w:val="003F3C88"/>
    <w:rsid w:val="003F3C8E"/>
    <w:rsid w:val="003F3E74"/>
    <w:rsid w:val="003F4598"/>
    <w:rsid w:val="003F47B6"/>
    <w:rsid w:val="003F4816"/>
    <w:rsid w:val="003F4855"/>
    <w:rsid w:val="003F4AD0"/>
    <w:rsid w:val="003F4B79"/>
    <w:rsid w:val="003F4CC2"/>
    <w:rsid w:val="003F4E83"/>
    <w:rsid w:val="003F5183"/>
    <w:rsid w:val="003F5431"/>
    <w:rsid w:val="003F543F"/>
    <w:rsid w:val="003F5632"/>
    <w:rsid w:val="003F56F2"/>
    <w:rsid w:val="003F57C3"/>
    <w:rsid w:val="003F5B9A"/>
    <w:rsid w:val="003F5E0C"/>
    <w:rsid w:val="003F6A63"/>
    <w:rsid w:val="003F6AE9"/>
    <w:rsid w:val="003F6C49"/>
    <w:rsid w:val="003F6CC0"/>
    <w:rsid w:val="003F6D25"/>
    <w:rsid w:val="003F700E"/>
    <w:rsid w:val="003F7466"/>
    <w:rsid w:val="003F760D"/>
    <w:rsid w:val="003F7709"/>
    <w:rsid w:val="003F7818"/>
    <w:rsid w:val="003F7B66"/>
    <w:rsid w:val="003F7CA4"/>
    <w:rsid w:val="003F7DF4"/>
    <w:rsid w:val="003F7F4D"/>
    <w:rsid w:val="00400224"/>
    <w:rsid w:val="0040026C"/>
    <w:rsid w:val="004004A3"/>
    <w:rsid w:val="004005F7"/>
    <w:rsid w:val="00400ADD"/>
    <w:rsid w:val="00400FBA"/>
    <w:rsid w:val="004011D2"/>
    <w:rsid w:val="00401351"/>
    <w:rsid w:val="00401453"/>
    <w:rsid w:val="0040147D"/>
    <w:rsid w:val="00401505"/>
    <w:rsid w:val="00401694"/>
    <w:rsid w:val="00401728"/>
    <w:rsid w:val="004017C6"/>
    <w:rsid w:val="004017FD"/>
    <w:rsid w:val="00401B15"/>
    <w:rsid w:val="00401B67"/>
    <w:rsid w:val="004027D6"/>
    <w:rsid w:val="00402A42"/>
    <w:rsid w:val="00402A5B"/>
    <w:rsid w:val="00403022"/>
    <w:rsid w:val="00403109"/>
    <w:rsid w:val="0040312D"/>
    <w:rsid w:val="0040345D"/>
    <w:rsid w:val="004034BA"/>
    <w:rsid w:val="0040389E"/>
    <w:rsid w:val="00403AF6"/>
    <w:rsid w:val="004042EA"/>
    <w:rsid w:val="00404496"/>
    <w:rsid w:val="004045DC"/>
    <w:rsid w:val="0040469C"/>
    <w:rsid w:val="004047E9"/>
    <w:rsid w:val="00404B8C"/>
    <w:rsid w:val="00404B9D"/>
    <w:rsid w:val="00404DF5"/>
    <w:rsid w:val="00405160"/>
    <w:rsid w:val="00405209"/>
    <w:rsid w:val="004056B0"/>
    <w:rsid w:val="0040583B"/>
    <w:rsid w:val="00405861"/>
    <w:rsid w:val="00405B1D"/>
    <w:rsid w:val="00406486"/>
    <w:rsid w:val="0040678D"/>
    <w:rsid w:val="00406921"/>
    <w:rsid w:val="00406BAA"/>
    <w:rsid w:val="00406CFC"/>
    <w:rsid w:val="00406F71"/>
    <w:rsid w:val="004070DF"/>
    <w:rsid w:val="00407211"/>
    <w:rsid w:val="00407323"/>
    <w:rsid w:val="00407657"/>
    <w:rsid w:val="00407675"/>
    <w:rsid w:val="00407677"/>
    <w:rsid w:val="0040785F"/>
    <w:rsid w:val="0040791D"/>
    <w:rsid w:val="00407C06"/>
    <w:rsid w:val="00407C8B"/>
    <w:rsid w:val="00407CEA"/>
    <w:rsid w:val="00407D8F"/>
    <w:rsid w:val="00410115"/>
    <w:rsid w:val="00410324"/>
    <w:rsid w:val="004104B3"/>
    <w:rsid w:val="00410552"/>
    <w:rsid w:val="004105DE"/>
    <w:rsid w:val="00410B5A"/>
    <w:rsid w:val="00410C9D"/>
    <w:rsid w:val="00410D2A"/>
    <w:rsid w:val="00410E81"/>
    <w:rsid w:val="00410FB0"/>
    <w:rsid w:val="004115CA"/>
    <w:rsid w:val="0041164E"/>
    <w:rsid w:val="0041173A"/>
    <w:rsid w:val="0041187D"/>
    <w:rsid w:val="00411964"/>
    <w:rsid w:val="00411E54"/>
    <w:rsid w:val="00411FB0"/>
    <w:rsid w:val="00412155"/>
    <w:rsid w:val="00412160"/>
    <w:rsid w:val="004123FB"/>
    <w:rsid w:val="0041240A"/>
    <w:rsid w:val="004124E1"/>
    <w:rsid w:val="004129F8"/>
    <w:rsid w:val="00412A0B"/>
    <w:rsid w:val="00412B3D"/>
    <w:rsid w:val="00412BE8"/>
    <w:rsid w:val="00412C08"/>
    <w:rsid w:val="00412DEF"/>
    <w:rsid w:val="00413057"/>
    <w:rsid w:val="00413177"/>
    <w:rsid w:val="00413189"/>
    <w:rsid w:val="00413376"/>
    <w:rsid w:val="004134D2"/>
    <w:rsid w:val="004135B9"/>
    <w:rsid w:val="00413A53"/>
    <w:rsid w:val="00413BAF"/>
    <w:rsid w:val="00413C34"/>
    <w:rsid w:val="004140B4"/>
    <w:rsid w:val="004140ED"/>
    <w:rsid w:val="0041421E"/>
    <w:rsid w:val="00414297"/>
    <w:rsid w:val="0041429A"/>
    <w:rsid w:val="00414361"/>
    <w:rsid w:val="00414381"/>
    <w:rsid w:val="00414559"/>
    <w:rsid w:val="004146A5"/>
    <w:rsid w:val="00414C79"/>
    <w:rsid w:val="00414F42"/>
    <w:rsid w:val="00414F99"/>
    <w:rsid w:val="0041526F"/>
    <w:rsid w:val="00415284"/>
    <w:rsid w:val="0041532E"/>
    <w:rsid w:val="00415530"/>
    <w:rsid w:val="00415603"/>
    <w:rsid w:val="004157E6"/>
    <w:rsid w:val="00415906"/>
    <w:rsid w:val="004159BA"/>
    <w:rsid w:val="00415A45"/>
    <w:rsid w:val="00415AB4"/>
    <w:rsid w:val="00415C8D"/>
    <w:rsid w:val="00416115"/>
    <w:rsid w:val="00416387"/>
    <w:rsid w:val="004165E7"/>
    <w:rsid w:val="00416964"/>
    <w:rsid w:val="00416B40"/>
    <w:rsid w:val="00416E93"/>
    <w:rsid w:val="00417087"/>
    <w:rsid w:val="00417321"/>
    <w:rsid w:val="00420217"/>
    <w:rsid w:val="00420249"/>
    <w:rsid w:val="00420421"/>
    <w:rsid w:val="004206A6"/>
    <w:rsid w:val="0042074A"/>
    <w:rsid w:val="0042094A"/>
    <w:rsid w:val="00420991"/>
    <w:rsid w:val="00420A17"/>
    <w:rsid w:val="00420A8B"/>
    <w:rsid w:val="00420C99"/>
    <w:rsid w:val="00420CEA"/>
    <w:rsid w:val="00420D1D"/>
    <w:rsid w:val="00421354"/>
    <w:rsid w:val="0042154B"/>
    <w:rsid w:val="00421848"/>
    <w:rsid w:val="00421A54"/>
    <w:rsid w:val="00422291"/>
    <w:rsid w:val="004224E6"/>
    <w:rsid w:val="0042273B"/>
    <w:rsid w:val="0042277F"/>
    <w:rsid w:val="00422833"/>
    <w:rsid w:val="004229C1"/>
    <w:rsid w:val="00422BF5"/>
    <w:rsid w:val="00422F5E"/>
    <w:rsid w:val="00423293"/>
    <w:rsid w:val="004233E7"/>
    <w:rsid w:val="004239F4"/>
    <w:rsid w:val="00423AF6"/>
    <w:rsid w:val="00423B27"/>
    <w:rsid w:val="00423E38"/>
    <w:rsid w:val="00423E61"/>
    <w:rsid w:val="0042403D"/>
    <w:rsid w:val="00424088"/>
    <w:rsid w:val="00424207"/>
    <w:rsid w:val="0042428D"/>
    <w:rsid w:val="00424664"/>
    <w:rsid w:val="00424C31"/>
    <w:rsid w:val="00424D7E"/>
    <w:rsid w:val="00424E84"/>
    <w:rsid w:val="00424F4B"/>
    <w:rsid w:val="004250D4"/>
    <w:rsid w:val="0042518F"/>
    <w:rsid w:val="004253C4"/>
    <w:rsid w:val="004253E3"/>
    <w:rsid w:val="00425422"/>
    <w:rsid w:val="00425518"/>
    <w:rsid w:val="0042562A"/>
    <w:rsid w:val="0042568D"/>
    <w:rsid w:val="00425A1C"/>
    <w:rsid w:val="00425DF1"/>
    <w:rsid w:val="00426553"/>
    <w:rsid w:val="00426AC9"/>
    <w:rsid w:val="00426BD1"/>
    <w:rsid w:val="00426D76"/>
    <w:rsid w:val="00426DD9"/>
    <w:rsid w:val="00426E3A"/>
    <w:rsid w:val="00426FCD"/>
    <w:rsid w:val="004278BA"/>
    <w:rsid w:val="0042796C"/>
    <w:rsid w:val="00427AD2"/>
    <w:rsid w:val="00427DF0"/>
    <w:rsid w:val="00430066"/>
    <w:rsid w:val="00430115"/>
    <w:rsid w:val="0043013D"/>
    <w:rsid w:val="004302AF"/>
    <w:rsid w:val="004305D0"/>
    <w:rsid w:val="004307E5"/>
    <w:rsid w:val="00430857"/>
    <w:rsid w:val="00430966"/>
    <w:rsid w:val="00430CE9"/>
    <w:rsid w:val="00430D2D"/>
    <w:rsid w:val="00430EAC"/>
    <w:rsid w:val="00431114"/>
    <w:rsid w:val="00431521"/>
    <w:rsid w:val="004315C6"/>
    <w:rsid w:val="00431717"/>
    <w:rsid w:val="0043191D"/>
    <w:rsid w:val="00431C6D"/>
    <w:rsid w:val="00432049"/>
    <w:rsid w:val="0043221C"/>
    <w:rsid w:val="004322EC"/>
    <w:rsid w:val="004322FC"/>
    <w:rsid w:val="0043288A"/>
    <w:rsid w:val="00432997"/>
    <w:rsid w:val="00432C81"/>
    <w:rsid w:val="00432D17"/>
    <w:rsid w:val="0043302D"/>
    <w:rsid w:val="004330F3"/>
    <w:rsid w:val="004331BE"/>
    <w:rsid w:val="00433287"/>
    <w:rsid w:val="0043344E"/>
    <w:rsid w:val="00433462"/>
    <w:rsid w:val="00433597"/>
    <w:rsid w:val="00433672"/>
    <w:rsid w:val="0043368F"/>
    <w:rsid w:val="00433A46"/>
    <w:rsid w:val="00433AF1"/>
    <w:rsid w:val="00433D5B"/>
    <w:rsid w:val="0043425D"/>
    <w:rsid w:val="00434440"/>
    <w:rsid w:val="004345DB"/>
    <w:rsid w:val="0043481F"/>
    <w:rsid w:val="00434866"/>
    <w:rsid w:val="004348CE"/>
    <w:rsid w:val="00435590"/>
    <w:rsid w:val="00435625"/>
    <w:rsid w:val="0043603A"/>
    <w:rsid w:val="004364DC"/>
    <w:rsid w:val="0043660E"/>
    <w:rsid w:val="0043661A"/>
    <w:rsid w:val="00436937"/>
    <w:rsid w:val="00436980"/>
    <w:rsid w:val="00436F36"/>
    <w:rsid w:val="00436FB2"/>
    <w:rsid w:val="00437665"/>
    <w:rsid w:val="00437921"/>
    <w:rsid w:val="00437C93"/>
    <w:rsid w:val="00437D02"/>
    <w:rsid w:val="00437D37"/>
    <w:rsid w:val="00437E27"/>
    <w:rsid w:val="00437EA6"/>
    <w:rsid w:val="0044010D"/>
    <w:rsid w:val="00440518"/>
    <w:rsid w:val="004405D7"/>
    <w:rsid w:val="0044096C"/>
    <w:rsid w:val="00440A4B"/>
    <w:rsid w:val="00440E60"/>
    <w:rsid w:val="004412ED"/>
    <w:rsid w:val="00441578"/>
    <w:rsid w:val="00441B4B"/>
    <w:rsid w:val="00441B61"/>
    <w:rsid w:val="00441FB4"/>
    <w:rsid w:val="00442186"/>
    <w:rsid w:val="00442385"/>
    <w:rsid w:val="004424F0"/>
    <w:rsid w:val="00442726"/>
    <w:rsid w:val="004428C3"/>
    <w:rsid w:val="00442BA1"/>
    <w:rsid w:val="00442BF7"/>
    <w:rsid w:val="00442C86"/>
    <w:rsid w:val="00442E37"/>
    <w:rsid w:val="0044310F"/>
    <w:rsid w:val="004434E9"/>
    <w:rsid w:val="0044371B"/>
    <w:rsid w:val="004439C7"/>
    <w:rsid w:val="00443A8E"/>
    <w:rsid w:val="00443C77"/>
    <w:rsid w:val="00443D59"/>
    <w:rsid w:val="0044409C"/>
    <w:rsid w:val="00444527"/>
    <w:rsid w:val="004447A3"/>
    <w:rsid w:val="0044486D"/>
    <w:rsid w:val="00444980"/>
    <w:rsid w:val="00444FCA"/>
    <w:rsid w:val="004450F3"/>
    <w:rsid w:val="00445549"/>
    <w:rsid w:val="00445FC1"/>
    <w:rsid w:val="004462E2"/>
    <w:rsid w:val="0044660E"/>
    <w:rsid w:val="0044680D"/>
    <w:rsid w:val="004469CC"/>
    <w:rsid w:val="00446C1B"/>
    <w:rsid w:val="00446EA4"/>
    <w:rsid w:val="004472C8"/>
    <w:rsid w:val="00447373"/>
    <w:rsid w:val="004479A4"/>
    <w:rsid w:val="00450061"/>
    <w:rsid w:val="00450381"/>
    <w:rsid w:val="00450752"/>
    <w:rsid w:val="004508CE"/>
    <w:rsid w:val="00450A23"/>
    <w:rsid w:val="00450AD6"/>
    <w:rsid w:val="00450B6B"/>
    <w:rsid w:val="00450DA3"/>
    <w:rsid w:val="00451090"/>
    <w:rsid w:val="004511A2"/>
    <w:rsid w:val="004511D4"/>
    <w:rsid w:val="00451371"/>
    <w:rsid w:val="004515B1"/>
    <w:rsid w:val="004515CB"/>
    <w:rsid w:val="004517AA"/>
    <w:rsid w:val="00451832"/>
    <w:rsid w:val="00451B00"/>
    <w:rsid w:val="00451D8A"/>
    <w:rsid w:val="00451D98"/>
    <w:rsid w:val="00451DCE"/>
    <w:rsid w:val="00452024"/>
    <w:rsid w:val="00452489"/>
    <w:rsid w:val="00452528"/>
    <w:rsid w:val="0045283B"/>
    <w:rsid w:val="004528A7"/>
    <w:rsid w:val="00452991"/>
    <w:rsid w:val="00453253"/>
    <w:rsid w:val="004534EA"/>
    <w:rsid w:val="00453532"/>
    <w:rsid w:val="004538AD"/>
    <w:rsid w:val="00453C40"/>
    <w:rsid w:val="00453F40"/>
    <w:rsid w:val="00453F55"/>
    <w:rsid w:val="00453F92"/>
    <w:rsid w:val="0045412C"/>
    <w:rsid w:val="00454362"/>
    <w:rsid w:val="004543C3"/>
    <w:rsid w:val="004543E9"/>
    <w:rsid w:val="0045459E"/>
    <w:rsid w:val="0045469D"/>
    <w:rsid w:val="00454923"/>
    <w:rsid w:val="00454B33"/>
    <w:rsid w:val="00454C54"/>
    <w:rsid w:val="00454D6F"/>
    <w:rsid w:val="00454DA5"/>
    <w:rsid w:val="00454F17"/>
    <w:rsid w:val="00454FA8"/>
    <w:rsid w:val="00455066"/>
    <w:rsid w:val="0045515D"/>
    <w:rsid w:val="00455327"/>
    <w:rsid w:val="004555F9"/>
    <w:rsid w:val="00455678"/>
    <w:rsid w:val="00455AB0"/>
    <w:rsid w:val="00456072"/>
    <w:rsid w:val="004560A3"/>
    <w:rsid w:val="004562C2"/>
    <w:rsid w:val="004562E1"/>
    <w:rsid w:val="0045630E"/>
    <w:rsid w:val="00456E07"/>
    <w:rsid w:val="004570FC"/>
    <w:rsid w:val="0045755E"/>
    <w:rsid w:val="004577ED"/>
    <w:rsid w:val="0045792A"/>
    <w:rsid w:val="00457EEE"/>
    <w:rsid w:val="00460061"/>
    <w:rsid w:val="0046012A"/>
    <w:rsid w:val="004601E1"/>
    <w:rsid w:val="004602C5"/>
    <w:rsid w:val="004602F0"/>
    <w:rsid w:val="004603BB"/>
    <w:rsid w:val="00460981"/>
    <w:rsid w:val="00460A60"/>
    <w:rsid w:val="004610A1"/>
    <w:rsid w:val="004610BC"/>
    <w:rsid w:val="00461249"/>
    <w:rsid w:val="00461379"/>
    <w:rsid w:val="00461434"/>
    <w:rsid w:val="00461561"/>
    <w:rsid w:val="004616A9"/>
    <w:rsid w:val="0046189B"/>
    <w:rsid w:val="0046194B"/>
    <w:rsid w:val="00461F46"/>
    <w:rsid w:val="0046225D"/>
    <w:rsid w:val="00462743"/>
    <w:rsid w:val="00462B2F"/>
    <w:rsid w:val="00462B87"/>
    <w:rsid w:val="00462D07"/>
    <w:rsid w:val="00462D41"/>
    <w:rsid w:val="00462EA2"/>
    <w:rsid w:val="00463308"/>
    <w:rsid w:val="004633B0"/>
    <w:rsid w:val="0046361F"/>
    <w:rsid w:val="0046367E"/>
    <w:rsid w:val="004636A9"/>
    <w:rsid w:val="00463A54"/>
    <w:rsid w:val="00463E2D"/>
    <w:rsid w:val="00463F20"/>
    <w:rsid w:val="00463F43"/>
    <w:rsid w:val="00464422"/>
    <w:rsid w:val="00464449"/>
    <w:rsid w:val="00464737"/>
    <w:rsid w:val="0046476B"/>
    <w:rsid w:val="004649A5"/>
    <w:rsid w:val="00464C1C"/>
    <w:rsid w:val="00464D0F"/>
    <w:rsid w:val="00464F51"/>
    <w:rsid w:val="004659E0"/>
    <w:rsid w:val="00465B2E"/>
    <w:rsid w:val="00465DC7"/>
    <w:rsid w:val="00466037"/>
    <w:rsid w:val="00466204"/>
    <w:rsid w:val="00466399"/>
    <w:rsid w:val="00466491"/>
    <w:rsid w:val="00466621"/>
    <w:rsid w:val="00466799"/>
    <w:rsid w:val="0046684B"/>
    <w:rsid w:val="004668EB"/>
    <w:rsid w:val="0046692B"/>
    <w:rsid w:val="00466AA5"/>
    <w:rsid w:val="00466BD0"/>
    <w:rsid w:val="00466D8F"/>
    <w:rsid w:val="00466F82"/>
    <w:rsid w:val="0046706A"/>
    <w:rsid w:val="0046708B"/>
    <w:rsid w:val="00467347"/>
    <w:rsid w:val="0046791A"/>
    <w:rsid w:val="00467928"/>
    <w:rsid w:val="00467F44"/>
    <w:rsid w:val="00470092"/>
    <w:rsid w:val="00470125"/>
    <w:rsid w:val="0047019C"/>
    <w:rsid w:val="004703EC"/>
    <w:rsid w:val="00470441"/>
    <w:rsid w:val="004704AE"/>
    <w:rsid w:val="004704C4"/>
    <w:rsid w:val="004705A1"/>
    <w:rsid w:val="00470B83"/>
    <w:rsid w:val="00470EB1"/>
    <w:rsid w:val="00471167"/>
    <w:rsid w:val="004713E6"/>
    <w:rsid w:val="00471977"/>
    <w:rsid w:val="00471CD1"/>
    <w:rsid w:val="00472033"/>
    <w:rsid w:val="004722D1"/>
    <w:rsid w:val="004723F5"/>
    <w:rsid w:val="00472552"/>
    <w:rsid w:val="00472822"/>
    <w:rsid w:val="004728D4"/>
    <w:rsid w:val="004728D8"/>
    <w:rsid w:val="00472A0A"/>
    <w:rsid w:val="00472B06"/>
    <w:rsid w:val="00472DD1"/>
    <w:rsid w:val="00472DD2"/>
    <w:rsid w:val="00472E4E"/>
    <w:rsid w:val="00473070"/>
    <w:rsid w:val="00473154"/>
    <w:rsid w:val="0047324B"/>
    <w:rsid w:val="00473311"/>
    <w:rsid w:val="004734C0"/>
    <w:rsid w:val="0047351B"/>
    <w:rsid w:val="00473DC4"/>
    <w:rsid w:val="0047410D"/>
    <w:rsid w:val="004741DA"/>
    <w:rsid w:val="0047435A"/>
    <w:rsid w:val="00474505"/>
    <w:rsid w:val="004746FD"/>
    <w:rsid w:val="004747D8"/>
    <w:rsid w:val="0047483D"/>
    <w:rsid w:val="00474C9C"/>
    <w:rsid w:val="004754AA"/>
    <w:rsid w:val="004754BA"/>
    <w:rsid w:val="004756C4"/>
    <w:rsid w:val="0047572C"/>
    <w:rsid w:val="0047597B"/>
    <w:rsid w:val="00475B83"/>
    <w:rsid w:val="00475C0E"/>
    <w:rsid w:val="00475E3F"/>
    <w:rsid w:val="0047604E"/>
    <w:rsid w:val="00476072"/>
    <w:rsid w:val="004761D7"/>
    <w:rsid w:val="004762C3"/>
    <w:rsid w:val="004764F5"/>
    <w:rsid w:val="00476752"/>
    <w:rsid w:val="004768DE"/>
    <w:rsid w:val="00476ABA"/>
    <w:rsid w:val="00476B75"/>
    <w:rsid w:val="00476E5F"/>
    <w:rsid w:val="00476F5B"/>
    <w:rsid w:val="0047702C"/>
    <w:rsid w:val="004778DA"/>
    <w:rsid w:val="004778FF"/>
    <w:rsid w:val="00477A3B"/>
    <w:rsid w:val="00477C05"/>
    <w:rsid w:val="00477E29"/>
    <w:rsid w:val="00480498"/>
    <w:rsid w:val="004804F8"/>
    <w:rsid w:val="0048082C"/>
    <w:rsid w:val="004808AF"/>
    <w:rsid w:val="00480AD5"/>
    <w:rsid w:val="00480BFB"/>
    <w:rsid w:val="00481EA7"/>
    <w:rsid w:val="004821C0"/>
    <w:rsid w:val="00482906"/>
    <w:rsid w:val="00482B4D"/>
    <w:rsid w:val="00482BB8"/>
    <w:rsid w:val="00482BE4"/>
    <w:rsid w:val="00482F46"/>
    <w:rsid w:val="00483070"/>
    <w:rsid w:val="004831D9"/>
    <w:rsid w:val="00483219"/>
    <w:rsid w:val="00483C51"/>
    <w:rsid w:val="00483E15"/>
    <w:rsid w:val="0048409F"/>
    <w:rsid w:val="0048452B"/>
    <w:rsid w:val="004848C5"/>
    <w:rsid w:val="00484C8E"/>
    <w:rsid w:val="00484E0B"/>
    <w:rsid w:val="00484FF2"/>
    <w:rsid w:val="00485033"/>
    <w:rsid w:val="0048528D"/>
    <w:rsid w:val="00485441"/>
    <w:rsid w:val="004854B9"/>
    <w:rsid w:val="004856F8"/>
    <w:rsid w:val="00485936"/>
    <w:rsid w:val="00485CB3"/>
    <w:rsid w:val="00485CE5"/>
    <w:rsid w:val="00485E94"/>
    <w:rsid w:val="00486013"/>
    <w:rsid w:val="004860D1"/>
    <w:rsid w:val="0048629F"/>
    <w:rsid w:val="004862DC"/>
    <w:rsid w:val="0048697B"/>
    <w:rsid w:val="00486AAE"/>
    <w:rsid w:val="00486AC9"/>
    <w:rsid w:val="004870E1"/>
    <w:rsid w:val="0048744A"/>
    <w:rsid w:val="004875B7"/>
    <w:rsid w:val="004875DB"/>
    <w:rsid w:val="00487847"/>
    <w:rsid w:val="00487B10"/>
    <w:rsid w:val="00487B67"/>
    <w:rsid w:val="00490386"/>
    <w:rsid w:val="0049046C"/>
    <w:rsid w:val="00490584"/>
    <w:rsid w:val="004906F7"/>
    <w:rsid w:val="00490733"/>
    <w:rsid w:val="0049083D"/>
    <w:rsid w:val="00490843"/>
    <w:rsid w:val="00490B4C"/>
    <w:rsid w:val="00490D1F"/>
    <w:rsid w:val="00490F39"/>
    <w:rsid w:val="004911ED"/>
    <w:rsid w:val="004913A4"/>
    <w:rsid w:val="00491662"/>
    <w:rsid w:val="00491814"/>
    <w:rsid w:val="00491D3A"/>
    <w:rsid w:val="00492282"/>
    <w:rsid w:val="004922D7"/>
    <w:rsid w:val="004923C0"/>
    <w:rsid w:val="0049267E"/>
    <w:rsid w:val="004928A1"/>
    <w:rsid w:val="00492B3F"/>
    <w:rsid w:val="00492CF9"/>
    <w:rsid w:val="00492D9C"/>
    <w:rsid w:val="00492E83"/>
    <w:rsid w:val="004930BB"/>
    <w:rsid w:val="00493132"/>
    <w:rsid w:val="004931B9"/>
    <w:rsid w:val="004932D6"/>
    <w:rsid w:val="004937F8"/>
    <w:rsid w:val="00493840"/>
    <w:rsid w:val="00493EA4"/>
    <w:rsid w:val="004940E2"/>
    <w:rsid w:val="004947BE"/>
    <w:rsid w:val="004949ED"/>
    <w:rsid w:val="00494AB5"/>
    <w:rsid w:val="00494B14"/>
    <w:rsid w:val="00494C4A"/>
    <w:rsid w:val="00494D3E"/>
    <w:rsid w:val="00495093"/>
    <w:rsid w:val="004953B3"/>
    <w:rsid w:val="00495552"/>
    <w:rsid w:val="004957B7"/>
    <w:rsid w:val="004958F3"/>
    <w:rsid w:val="004959CC"/>
    <w:rsid w:val="00495BC8"/>
    <w:rsid w:val="00495F89"/>
    <w:rsid w:val="004962E0"/>
    <w:rsid w:val="004964D2"/>
    <w:rsid w:val="004964FF"/>
    <w:rsid w:val="0049691D"/>
    <w:rsid w:val="00496C2D"/>
    <w:rsid w:val="00496CE3"/>
    <w:rsid w:val="00496E3B"/>
    <w:rsid w:val="00496F1D"/>
    <w:rsid w:val="004972E2"/>
    <w:rsid w:val="00497452"/>
    <w:rsid w:val="004976C4"/>
    <w:rsid w:val="00497756"/>
    <w:rsid w:val="00497BA4"/>
    <w:rsid w:val="00497C91"/>
    <w:rsid w:val="00497F53"/>
    <w:rsid w:val="004A041F"/>
    <w:rsid w:val="004A0523"/>
    <w:rsid w:val="004A0637"/>
    <w:rsid w:val="004A06AC"/>
    <w:rsid w:val="004A08A8"/>
    <w:rsid w:val="004A0933"/>
    <w:rsid w:val="004A0C3C"/>
    <w:rsid w:val="004A0CB7"/>
    <w:rsid w:val="004A0CC3"/>
    <w:rsid w:val="004A1028"/>
    <w:rsid w:val="004A10A6"/>
    <w:rsid w:val="004A10C5"/>
    <w:rsid w:val="004A10ED"/>
    <w:rsid w:val="004A131A"/>
    <w:rsid w:val="004A16BC"/>
    <w:rsid w:val="004A18D3"/>
    <w:rsid w:val="004A1A11"/>
    <w:rsid w:val="004A1B41"/>
    <w:rsid w:val="004A1B93"/>
    <w:rsid w:val="004A1BD8"/>
    <w:rsid w:val="004A1D00"/>
    <w:rsid w:val="004A1E63"/>
    <w:rsid w:val="004A20D1"/>
    <w:rsid w:val="004A21D3"/>
    <w:rsid w:val="004A234C"/>
    <w:rsid w:val="004A249A"/>
    <w:rsid w:val="004A256B"/>
    <w:rsid w:val="004A27F1"/>
    <w:rsid w:val="004A2A77"/>
    <w:rsid w:val="004A2BF5"/>
    <w:rsid w:val="004A2C8F"/>
    <w:rsid w:val="004A2D2F"/>
    <w:rsid w:val="004A2EF0"/>
    <w:rsid w:val="004A2EF3"/>
    <w:rsid w:val="004A3468"/>
    <w:rsid w:val="004A35FF"/>
    <w:rsid w:val="004A361C"/>
    <w:rsid w:val="004A38ED"/>
    <w:rsid w:val="004A3948"/>
    <w:rsid w:val="004A3C60"/>
    <w:rsid w:val="004A3DAF"/>
    <w:rsid w:val="004A3E13"/>
    <w:rsid w:val="004A41F4"/>
    <w:rsid w:val="004A450F"/>
    <w:rsid w:val="004A4603"/>
    <w:rsid w:val="004A52CD"/>
    <w:rsid w:val="004A549E"/>
    <w:rsid w:val="004A5616"/>
    <w:rsid w:val="004A58DF"/>
    <w:rsid w:val="004A5911"/>
    <w:rsid w:val="004A5A29"/>
    <w:rsid w:val="004A5E27"/>
    <w:rsid w:val="004A5F06"/>
    <w:rsid w:val="004A5FEE"/>
    <w:rsid w:val="004A6091"/>
    <w:rsid w:val="004A685A"/>
    <w:rsid w:val="004A688B"/>
    <w:rsid w:val="004A7096"/>
    <w:rsid w:val="004A71DA"/>
    <w:rsid w:val="004A7286"/>
    <w:rsid w:val="004A73DE"/>
    <w:rsid w:val="004A74B1"/>
    <w:rsid w:val="004A74C4"/>
    <w:rsid w:val="004A76AD"/>
    <w:rsid w:val="004A7830"/>
    <w:rsid w:val="004A787E"/>
    <w:rsid w:val="004A792E"/>
    <w:rsid w:val="004A7BE9"/>
    <w:rsid w:val="004A7E07"/>
    <w:rsid w:val="004B05DA"/>
    <w:rsid w:val="004B07BC"/>
    <w:rsid w:val="004B07D2"/>
    <w:rsid w:val="004B0F92"/>
    <w:rsid w:val="004B12F9"/>
    <w:rsid w:val="004B13DA"/>
    <w:rsid w:val="004B154F"/>
    <w:rsid w:val="004B1BD3"/>
    <w:rsid w:val="004B1C56"/>
    <w:rsid w:val="004B1C96"/>
    <w:rsid w:val="004B1CA2"/>
    <w:rsid w:val="004B1CCA"/>
    <w:rsid w:val="004B1D15"/>
    <w:rsid w:val="004B2147"/>
    <w:rsid w:val="004B26A1"/>
    <w:rsid w:val="004B271B"/>
    <w:rsid w:val="004B2AA9"/>
    <w:rsid w:val="004B2B69"/>
    <w:rsid w:val="004B2EF4"/>
    <w:rsid w:val="004B30F6"/>
    <w:rsid w:val="004B3831"/>
    <w:rsid w:val="004B391F"/>
    <w:rsid w:val="004B3A02"/>
    <w:rsid w:val="004B3ACC"/>
    <w:rsid w:val="004B42B9"/>
    <w:rsid w:val="004B42D8"/>
    <w:rsid w:val="004B45BF"/>
    <w:rsid w:val="004B46C0"/>
    <w:rsid w:val="004B4D0F"/>
    <w:rsid w:val="004B53E9"/>
    <w:rsid w:val="004B54B0"/>
    <w:rsid w:val="004B5843"/>
    <w:rsid w:val="004B5ADB"/>
    <w:rsid w:val="004B5F45"/>
    <w:rsid w:val="004B5F98"/>
    <w:rsid w:val="004B5FA9"/>
    <w:rsid w:val="004B6458"/>
    <w:rsid w:val="004B676E"/>
    <w:rsid w:val="004B6BF4"/>
    <w:rsid w:val="004B6C86"/>
    <w:rsid w:val="004B700B"/>
    <w:rsid w:val="004B70DE"/>
    <w:rsid w:val="004B7467"/>
    <w:rsid w:val="004B75AB"/>
    <w:rsid w:val="004B7763"/>
    <w:rsid w:val="004B797D"/>
    <w:rsid w:val="004B7FD1"/>
    <w:rsid w:val="004C0384"/>
    <w:rsid w:val="004C05EF"/>
    <w:rsid w:val="004C074D"/>
    <w:rsid w:val="004C0D4C"/>
    <w:rsid w:val="004C0FD9"/>
    <w:rsid w:val="004C1015"/>
    <w:rsid w:val="004C1089"/>
    <w:rsid w:val="004C119C"/>
    <w:rsid w:val="004C119D"/>
    <w:rsid w:val="004C11C0"/>
    <w:rsid w:val="004C1289"/>
    <w:rsid w:val="004C1292"/>
    <w:rsid w:val="004C12F0"/>
    <w:rsid w:val="004C14D8"/>
    <w:rsid w:val="004C17AB"/>
    <w:rsid w:val="004C17BC"/>
    <w:rsid w:val="004C17CF"/>
    <w:rsid w:val="004C1F64"/>
    <w:rsid w:val="004C228B"/>
    <w:rsid w:val="004C22C0"/>
    <w:rsid w:val="004C237E"/>
    <w:rsid w:val="004C2945"/>
    <w:rsid w:val="004C2B16"/>
    <w:rsid w:val="004C3056"/>
    <w:rsid w:val="004C321E"/>
    <w:rsid w:val="004C3246"/>
    <w:rsid w:val="004C3569"/>
    <w:rsid w:val="004C37A7"/>
    <w:rsid w:val="004C382F"/>
    <w:rsid w:val="004C3A18"/>
    <w:rsid w:val="004C3A3B"/>
    <w:rsid w:val="004C3EA9"/>
    <w:rsid w:val="004C412F"/>
    <w:rsid w:val="004C47B6"/>
    <w:rsid w:val="004C491A"/>
    <w:rsid w:val="004C49D6"/>
    <w:rsid w:val="004C4AF1"/>
    <w:rsid w:val="004C4EEC"/>
    <w:rsid w:val="004C4F8B"/>
    <w:rsid w:val="004C4FC2"/>
    <w:rsid w:val="004C51AB"/>
    <w:rsid w:val="004C5282"/>
    <w:rsid w:val="004C52B4"/>
    <w:rsid w:val="004C52D0"/>
    <w:rsid w:val="004C5433"/>
    <w:rsid w:val="004C5537"/>
    <w:rsid w:val="004C56F7"/>
    <w:rsid w:val="004C5BF8"/>
    <w:rsid w:val="004C5F76"/>
    <w:rsid w:val="004C6492"/>
    <w:rsid w:val="004C67B4"/>
    <w:rsid w:val="004C6A4F"/>
    <w:rsid w:val="004C6C0C"/>
    <w:rsid w:val="004C6F0D"/>
    <w:rsid w:val="004C7064"/>
    <w:rsid w:val="004C7199"/>
    <w:rsid w:val="004C76C4"/>
    <w:rsid w:val="004C7A9E"/>
    <w:rsid w:val="004C7B0E"/>
    <w:rsid w:val="004C7BF5"/>
    <w:rsid w:val="004D0074"/>
    <w:rsid w:val="004D0553"/>
    <w:rsid w:val="004D07D0"/>
    <w:rsid w:val="004D08E4"/>
    <w:rsid w:val="004D090B"/>
    <w:rsid w:val="004D0A73"/>
    <w:rsid w:val="004D0E38"/>
    <w:rsid w:val="004D0E95"/>
    <w:rsid w:val="004D1095"/>
    <w:rsid w:val="004D12D7"/>
    <w:rsid w:val="004D12FE"/>
    <w:rsid w:val="004D1344"/>
    <w:rsid w:val="004D1416"/>
    <w:rsid w:val="004D166B"/>
    <w:rsid w:val="004D16BF"/>
    <w:rsid w:val="004D1731"/>
    <w:rsid w:val="004D17D9"/>
    <w:rsid w:val="004D1901"/>
    <w:rsid w:val="004D1973"/>
    <w:rsid w:val="004D1DB2"/>
    <w:rsid w:val="004D21AB"/>
    <w:rsid w:val="004D2240"/>
    <w:rsid w:val="004D237D"/>
    <w:rsid w:val="004D2690"/>
    <w:rsid w:val="004D2C42"/>
    <w:rsid w:val="004D2C59"/>
    <w:rsid w:val="004D2E35"/>
    <w:rsid w:val="004D361E"/>
    <w:rsid w:val="004D374A"/>
    <w:rsid w:val="004D3942"/>
    <w:rsid w:val="004D3A09"/>
    <w:rsid w:val="004D3AE0"/>
    <w:rsid w:val="004D3AFF"/>
    <w:rsid w:val="004D4010"/>
    <w:rsid w:val="004D4214"/>
    <w:rsid w:val="004D444B"/>
    <w:rsid w:val="004D4461"/>
    <w:rsid w:val="004D44BF"/>
    <w:rsid w:val="004D44C3"/>
    <w:rsid w:val="004D45DD"/>
    <w:rsid w:val="004D4689"/>
    <w:rsid w:val="004D4748"/>
    <w:rsid w:val="004D4810"/>
    <w:rsid w:val="004D4B54"/>
    <w:rsid w:val="004D501C"/>
    <w:rsid w:val="004D5506"/>
    <w:rsid w:val="004D5719"/>
    <w:rsid w:val="004D5BBB"/>
    <w:rsid w:val="004D5C31"/>
    <w:rsid w:val="004D5CAB"/>
    <w:rsid w:val="004D5CEA"/>
    <w:rsid w:val="004D5E6A"/>
    <w:rsid w:val="004D5EBA"/>
    <w:rsid w:val="004D6010"/>
    <w:rsid w:val="004D63A1"/>
    <w:rsid w:val="004D65D8"/>
    <w:rsid w:val="004D6768"/>
    <w:rsid w:val="004D6BF5"/>
    <w:rsid w:val="004D6E01"/>
    <w:rsid w:val="004D6E3A"/>
    <w:rsid w:val="004D717D"/>
    <w:rsid w:val="004D79CD"/>
    <w:rsid w:val="004D7E69"/>
    <w:rsid w:val="004E03C1"/>
    <w:rsid w:val="004E08C3"/>
    <w:rsid w:val="004E0955"/>
    <w:rsid w:val="004E0AAC"/>
    <w:rsid w:val="004E0BC3"/>
    <w:rsid w:val="004E0C9A"/>
    <w:rsid w:val="004E0E7C"/>
    <w:rsid w:val="004E1245"/>
    <w:rsid w:val="004E12E1"/>
    <w:rsid w:val="004E1713"/>
    <w:rsid w:val="004E1CE7"/>
    <w:rsid w:val="004E1F2B"/>
    <w:rsid w:val="004E2079"/>
    <w:rsid w:val="004E21D3"/>
    <w:rsid w:val="004E272C"/>
    <w:rsid w:val="004E27C7"/>
    <w:rsid w:val="004E2A46"/>
    <w:rsid w:val="004E2C93"/>
    <w:rsid w:val="004E3187"/>
    <w:rsid w:val="004E3227"/>
    <w:rsid w:val="004E328F"/>
    <w:rsid w:val="004E344A"/>
    <w:rsid w:val="004E363F"/>
    <w:rsid w:val="004E3DAF"/>
    <w:rsid w:val="004E3EB4"/>
    <w:rsid w:val="004E40F0"/>
    <w:rsid w:val="004E41BE"/>
    <w:rsid w:val="004E4570"/>
    <w:rsid w:val="004E461E"/>
    <w:rsid w:val="004E482C"/>
    <w:rsid w:val="004E4995"/>
    <w:rsid w:val="004E4BAF"/>
    <w:rsid w:val="004E4C0D"/>
    <w:rsid w:val="004E4DBF"/>
    <w:rsid w:val="004E4FC1"/>
    <w:rsid w:val="004E500F"/>
    <w:rsid w:val="004E5513"/>
    <w:rsid w:val="004E5749"/>
    <w:rsid w:val="004E5876"/>
    <w:rsid w:val="004E5933"/>
    <w:rsid w:val="004E5A3B"/>
    <w:rsid w:val="004E5DC3"/>
    <w:rsid w:val="004E60F4"/>
    <w:rsid w:val="004E64FD"/>
    <w:rsid w:val="004E6668"/>
    <w:rsid w:val="004E67FC"/>
    <w:rsid w:val="004E68EC"/>
    <w:rsid w:val="004E6D2D"/>
    <w:rsid w:val="004E6F64"/>
    <w:rsid w:val="004E7173"/>
    <w:rsid w:val="004E71D1"/>
    <w:rsid w:val="004E770F"/>
    <w:rsid w:val="004E7957"/>
    <w:rsid w:val="004E79A7"/>
    <w:rsid w:val="004E7ABC"/>
    <w:rsid w:val="004E7D0A"/>
    <w:rsid w:val="004E7D1A"/>
    <w:rsid w:val="004F0140"/>
    <w:rsid w:val="004F029B"/>
    <w:rsid w:val="004F0582"/>
    <w:rsid w:val="004F08CF"/>
    <w:rsid w:val="004F08E0"/>
    <w:rsid w:val="004F0979"/>
    <w:rsid w:val="004F0CEB"/>
    <w:rsid w:val="004F10E0"/>
    <w:rsid w:val="004F1247"/>
    <w:rsid w:val="004F1703"/>
    <w:rsid w:val="004F19F0"/>
    <w:rsid w:val="004F1A36"/>
    <w:rsid w:val="004F1CE6"/>
    <w:rsid w:val="004F1D10"/>
    <w:rsid w:val="004F1E7D"/>
    <w:rsid w:val="004F286E"/>
    <w:rsid w:val="004F2C79"/>
    <w:rsid w:val="004F33D7"/>
    <w:rsid w:val="004F3545"/>
    <w:rsid w:val="004F3889"/>
    <w:rsid w:val="004F388D"/>
    <w:rsid w:val="004F39D6"/>
    <w:rsid w:val="004F3AF6"/>
    <w:rsid w:val="004F4267"/>
    <w:rsid w:val="004F43FA"/>
    <w:rsid w:val="004F4631"/>
    <w:rsid w:val="004F485B"/>
    <w:rsid w:val="004F4930"/>
    <w:rsid w:val="004F4947"/>
    <w:rsid w:val="004F4992"/>
    <w:rsid w:val="004F4A59"/>
    <w:rsid w:val="004F4D84"/>
    <w:rsid w:val="004F523F"/>
    <w:rsid w:val="004F5294"/>
    <w:rsid w:val="004F52E1"/>
    <w:rsid w:val="004F5404"/>
    <w:rsid w:val="004F545A"/>
    <w:rsid w:val="004F57A7"/>
    <w:rsid w:val="004F5882"/>
    <w:rsid w:val="004F59DD"/>
    <w:rsid w:val="004F5A1E"/>
    <w:rsid w:val="004F5BD8"/>
    <w:rsid w:val="004F5C08"/>
    <w:rsid w:val="004F5DA3"/>
    <w:rsid w:val="004F5F78"/>
    <w:rsid w:val="004F600F"/>
    <w:rsid w:val="004F63B1"/>
    <w:rsid w:val="004F648C"/>
    <w:rsid w:val="004F69B6"/>
    <w:rsid w:val="004F6ABD"/>
    <w:rsid w:val="004F6CB2"/>
    <w:rsid w:val="004F6CE3"/>
    <w:rsid w:val="004F7639"/>
    <w:rsid w:val="004F787D"/>
    <w:rsid w:val="004F7946"/>
    <w:rsid w:val="004F7AE5"/>
    <w:rsid w:val="004F7EAB"/>
    <w:rsid w:val="00500102"/>
    <w:rsid w:val="005002F7"/>
    <w:rsid w:val="0050062F"/>
    <w:rsid w:val="00500696"/>
    <w:rsid w:val="005007A8"/>
    <w:rsid w:val="00500A62"/>
    <w:rsid w:val="00500A7B"/>
    <w:rsid w:val="00500DBA"/>
    <w:rsid w:val="005012A2"/>
    <w:rsid w:val="00501800"/>
    <w:rsid w:val="00501894"/>
    <w:rsid w:val="00501C63"/>
    <w:rsid w:val="00501D9E"/>
    <w:rsid w:val="00501DEF"/>
    <w:rsid w:val="00501EB7"/>
    <w:rsid w:val="005021E2"/>
    <w:rsid w:val="005022F2"/>
    <w:rsid w:val="005023CA"/>
    <w:rsid w:val="00502514"/>
    <w:rsid w:val="00502A04"/>
    <w:rsid w:val="00502A82"/>
    <w:rsid w:val="00502E34"/>
    <w:rsid w:val="00502F5F"/>
    <w:rsid w:val="00503155"/>
    <w:rsid w:val="00503242"/>
    <w:rsid w:val="00503458"/>
    <w:rsid w:val="005034DA"/>
    <w:rsid w:val="005037F3"/>
    <w:rsid w:val="005039B6"/>
    <w:rsid w:val="005039B7"/>
    <w:rsid w:val="00503C1F"/>
    <w:rsid w:val="00504229"/>
    <w:rsid w:val="00504303"/>
    <w:rsid w:val="0050456C"/>
    <w:rsid w:val="00504621"/>
    <w:rsid w:val="0050462B"/>
    <w:rsid w:val="0050478F"/>
    <w:rsid w:val="005048F7"/>
    <w:rsid w:val="00504A25"/>
    <w:rsid w:val="00504AF0"/>
    <w:rsid w:val="00504EF5"/>
    <w:rsid w:val="005052B6"/>
    <w:rsid w:val="00505597"/>
    <w:rsid w:val="0050567F"/>
    <w:rsid w:val="005056BB"/>
    <w:rsid w:val="005057BD"/>
    <w:rsid w:val="0050594A"/>
    <w:rsid w:val="005059CC"/>
    <w:rsid w:val="00505A27"/>
    <w:rsid w:val="00505A4F"/>
    <w:rsid w:val="00505B28"/>
    <w:rsid w:val="00505FFF"/>
    <w:rsid w:val="00506291"/>
    <w:rsid w:val="00506383"/>
    <w:rsid w:val="00506789"/>
    <w:rsid w:val="00506B08"/>
    <w:rsid w:val="00506B38"/>
    <w:rsid w:val="00506D61"/>
    <w:rsid w:val="00506F64"/>
    <w:rsid w:val="005071E3"/>
    <w:rsid w:val="00507251"/>
    <w:rsid w:val="0050759F"/>
    <w:rsid w:val="005075C1"/>
    <w:rsid w:val="0050766E"/>
    <w:rsid w:val="005076E6"/>
    <w:rsid w:val="00507899"/>
    <w:rsid w:val="00507962"/>
    <w:rsid w:val="00507A79"/>
    <w:rsid w:val="005100FB"/>
    <w:rsid w:val="0051029A"/>
    <w:rsid w:val="00510447"/>
    <w:rsid w:val="005108EA"/>
    <w:rsid w:val="00510BC6"/>
    <w:rsid w:val="00510F1E"/>
    <w:rsid w:val="005110C9"/>
    <w:rsid w:val="005111C3"/>
    <w:rsid w:val="005112FE"/>
    <w:rsid w:val="005115C9"/>
    <w:rsid w:val="00511AA2"/>
    <w:rsid w:val="00511DB7"/>
    <w:rsid w:val="00512055"/>
    <w:rsid w:val="005120A1"/>
    <w:rsid w:val="0051223D"/>
    <w:rsid w:val="00512409"/>
    <w:rsid w:val="005125D5"/>
    <w:rsid w:val="005125FA"/>
    <w:rsid w:val="00512832"/>
    <w:rsid w:val="0051284B"/>
    <w:rsid w:val="005129D0"/>
    <w:rsid w:val="00512AEA"/>
    <w:rsid w:val="00512B07"/>
    <w:rsid w:val="00512B19"/>
    <w:rsid w:val="0051336F"/>
    <w:rsid w:val="005137A3"/>
    <w:rsid w:val="00513805"/>
    <w:rsid w:val="00513912"/>
    <w:rsid w:val="00513A15"/>
    <w:rsid w:val="00513BD0"/>
    <w:rsid w:val="005140EA"/>
    <w:rsid w:val="0051439D"/>
    <w:rsid w:val="0051449F"/>
    <w:rsid w:val="0051454D"/>
    <w:rsid w:val="00514BAC"/>
    <w:rsid w:val="00514F26"/>
    <w:rsid w:val="00515357"/>
    <w:rsid w:val="005155E7"/>
    <w:rsid w:val="00515660"/>
    <w:rsid w:val="005157EC"/>
    <w:rsid w:val="00515CDE"/>
    <w:rsid w:val="00515E90"/>
    <w:rsid w:val="0051635F"/>
    <w:rsid w:val="0051637A"/>
    <w:rsid w:val="00516ADA"/>
    <w:rsid w:val="00516B3F"/>
    <w:rsid w:val="00516DCD"/>
    <w:rsid w:val="0051718D"/>
    <w:rsid w:val="0051725A"/>
    <w:rsid w:val="005172C4"/>
    <w:rsid w:val="005176F1"/>
    <w:rsid w:val="00517763"/>
    <w:rsid w:val="005177B6"/>
    <w:rsid w:val="00517D76"/>
    <w:rsid w:val="00517E30"/>
    <w:rsid w:val="00517EAD"/>
    <w:rsid w:val="00517FD7"/>
    <w:rsid w:val="005200AC"/>
    <w:rsid w:val="005202F3"/>
    <w:rsid w:val="005205CC"/>
    <w:rsid w:val="005206FA"/>
    <w:rsid w:val="00520817"/>
    <w:rsid w:val="005208AF"/>
    <w:rsid w:val="00520C78"/>
    <w:rsid w:val="00520D49"/>
    <w:rsid w:val="00521038"/>
    <w:rsid w:val="0052113A"/>
    <w:rsid w:val="005212EF"/>
    <w:rsid w:val="0052141D"/>
    <w:rsid w:val="00521549"/>
    <w:rsid w:val="0052179F"/>
    <w:rsid w:val="005217AE"/>
    <w:rsid w:val="00521C7C"/>
    <w:rsid w:val="00521DB8"/>
    <w:rsid w:val="00521E94"/>
    <w:rsid w:val="005221A5"/>
    <w:rsid w:val="0052243B"/>
    <w:rsid w:val="00522941"/>
    <w:rsid w:val="005229F4"/>
    <w:rsid w:val="00522BB9"/>
    <w:rsid w:val="0052303B"/>
    <w:rsid w:val="0052305F"/>
    <w:rsid w:val="0052308E"/>
    <w:rsid w:val="005230AB"/>
    <w:rsid w:val="005231C5"/>
    <w:rsid w:val="0052335D"/>
    <w:rsid w:val="00523383"/>
    <w:rsid w:val="0052340D"/>
    <w:rsid w:val="00523452"/>
    <w:rsid w:val="005234C4"/>
    <w:rsid w:val="00523660"/>
    <w:rsid w:val="005236CD"/>
    <w:rsid w:val="0052384D"/>
    <w:rsid w:val="00523C7E"/>
    <w:rsid w:val="00523D45"/>
    <w:rsid w:val="00524192"/>
    <w:rsid w:val="00524218"/>
    <w:rsid w:val="00524375"/>
    <w:rsid w:val="00524495"/>
    <w:rsid w:val="0052462B"/>
    <w:rsid w:val="0052485F"/>
    <w:rsid w:val="00524B3E"/>
    <w:rsid w:val="00524CA8"/>
    <w:rsid w:val="00524DA8"/>
    <w:rsid w:val="00524F0E"/>
    <w:rsid w:val="005250B5"/>
    <w:rsid w:val="005250D8"/>
    <w:rsid w:val="00525118"/>
    <w:rsid w:val="0052514A"/>
    <w:rsid w:val="0052514B"/>
    <w:rsid w:val="005251D8"/>
    <w:rsid w:val="005252D8"/>
    <w:rsid w:val="00525793"/>
    <w:rsid w:val="005257E9"/>
    <w:rsid w:val="00525895"/>
    <w:rsid w:val="00525AE8"/>
    <w:rsid w:val="00525AF2"/>
    <w:rsid w:val="00525B36"/>
    <w:rsid w:val="00525D1A"/>
    <w:rsid w:val="0052600D"/>
    <w:rsid w:val="0052602E"/>
    <w:rsid w:val="00526741"/>
    <w:rsid w:val="00526797"/>
    <w:rsid w:val="00526B20"/>
    <w:rsid w:val="00526C36"/>
    <w:rsid w:val="00526CE4"/>
    <w:rsid w:val="00526DC6"/>
    <w:rsid w:val="00527572"/>
    <w:rsid w:val="005276FF"/>
    <w:rsid w:val="00527753"/>
    <w:rsid w:val="0052783E"/>
    <w:rsid w:val="00527842"/>
    <w:rsid w:val="00527AF8"/>
    <w:rsid w:val="00527DE3"/>
    <w:rsid w:val="0053002C"/>
    <w:rsid w:val="0053021B"/>
    <w:rsid w:val="00530708"/>
    <w:rsid w:val="0053095F"/>
    <w:rsid w:val="00530C05"/>
    <w:rsid w:val="00530EFE"/>
    <w:rsid w:val="005310B5"/>
    <w:rsid w:val="005319DD"/>
    <w:rsid w:val="00532020"/>
    <w:rsid w:val="00532192"/>
    <w:rsid w:val="0053254D"/>
    <w:rsid w:val="00532A7D"/>
    <w:rsid w:val="00532FE3"/>
    <w:rsid w:val="005333E8"/>
    <w:rsid w:val="00533569"/>
    <w:rsid w:val="00533A9B"/>
    <w:rsid w:val="00533EE6"/>
    <w:rsid w:val="00533F9A"/>
    <w:rsid w:val="00533FF2"/>
    <w:rsid w:val="00534103"/>
    <w:rsid w:val="005341EB"/>
    <w:rsid w:val="005342C7"/>
    <w:rsid w:val="005342E1"/>
    <w:rsid w:val="005342F7"/>
    <w:rsid w:val="0053465C"/>
    <w:rsid w:val="00534971"/>
    <w:rsid w:val="00534A26"/>
    <w:rsid w:val="00534B51"/>
    <w:rsid w:val="00534DF9"/>
    <w:rsid w:val="00535036"/>
    <w:rsid w:val="00535224"/>
    <w:rsid w:val="00535280"/>
    <w:rsid w:val="0053561E"/>
    <w:rsid w:val="00535620"/>
    <w:rsid w:val="00535740"/>
    <w:rsid w:val="00535B9C"/>
    <w:rsid w:val="00535BA7"/>
    <w:rsid w:val="00535CC4"/>
    <w:rsid w:val="00535D2E"/>
    <w:rsid w:val="00535D9B"/>
    <w:rsid w:val="00536139"/>
    <w:rsid w:val="00536330"/>
    <w:rsid w:val="00536BAF"/>
    <w:rsid w:val="00536DE4"/>
    <w:rsid w:val="0053700F"/>
    <w:rsid w:val="00537288"/>
    <w:rsid w:val="005373D9"/>
    <w:rsid w:val="005378A9"/>
    <w:rsid w:val="00537986"/>
    <w:rsid w:val="00537AC4"/>
    <w:rsid w:val="00537BBA"/>
    <w:rsid w:val="00540784"/>
    <w:rsid w:val="00540E2E"/>
    <w:rsid w:val="00541021"/>
    <w:rsid w:val="00541419"/>
    <w:rsid w:val="005415A1"/>
    <w:rsid w:val="00541AF5"/>
    <w:rsid w:val="00541C93"/>
    <w:rsid w:val="00541D8A"/>
    <w:rsid w:val="00541DE5"/>
    <w:rsid w:val="00542037"/>
    <w:rsid w:val="0054212E"/>
    <w:rsid w:val="005422CF"/>
    <w:rsid w:val="005425A7"/>
    <w:rsid w:val="00542794"/>
    <w:rsid w:val="00542B70"/>
    <w:rsid w:val="00542BB2"/>
    <w:rsid w:val="00542C88"/>
    <w:rsid w:val="00542CB0"/>
    <w:rsid w:val="00543207"/>
    <w:rsid w:val="005433F5"/>
    <w:rsid w:val="00543666"/>
    <w:rsid w:val="00543760"/>
    <w:rsid w:val="00543EFB"/>
    <w:rsid w:val="00544019"/>
    <w:rsid w:val="005442A3"/>
    <w:rsid w:val="00544558"/>
    <w:rsid w:val="00544E61"/>
    <w:rsid w:val="00544F44"/>
    <w:rsid w:val="00545082"/>
    <w:rsid w:val="005450B8"/>
    <w:rsid w:val="005450BD"/>
    <w:rsid w:val="005451D0"/>
    <w:rsid w:val="00545AD1"/>
    <w:rsid w:val="00545C5E"/>
    <w:rsid w:val="00545D04"/>
    <w:rsid w:val="00545D41"/>
    <w:rsid w:val="00545F75"/>
    <w:rsid w:val="005464F2"/>
    <w:rsid w:val="00546504"/>
    <w:rsid w:val="00546566"/>
    <w:rsid w:val="005467BE"/>
    <w:rsid w:val="00546864"/>
    <w:rsid w:val="00546EF1"/>
    <w:rsid w:val="00546F8A"/>
    <w:rsid w:val="00547126"/>
    <w:rsid w:val="00547183"/>
    <w:rsid w:val="005471B4"/>
    <w:rsid w:val="00547496"/>
    <w:rsid w:val="005475A8"/>
    <w:rsid w:val="005476E7"/>
    <w:rsid w:val="00547D38"/>
    <w:rsid w:val="00547DB7"/>
    <w:rsid w:val="00547ECC"/>
    <w:rsid w:val="00547F32"/>
    <w:rsid w:val="00547FC9"/>
    <w:rsid w:val="0055014C"/>
    <w:rsid w:val="005501EA"/>
    <w:rsid w:val="00550276"/>
    <w:rsid w:val="005502AC"/>
    <w:rsid w:val="00550304"/>
    <w:rsid w:val="00550656"/>
    <w:rsid w:val="00550AB1"/>
    <w:rsid w:val="00550E44"/>
    <w:rsid w:val="00550F9A"/>
    <w:rsid w:val="0055115A"/>
    <w:rsid w:val="0055135A"/>
    <w:rsid w:val="00551613"/>
    <w:rsid w:val="00551A13"/>
    <w:rsid w:val="00551A3C"/>
    <w:rsid w:val="00551A4C"/>
    <w:rsid w:val="00551D9E"/>
    <w:rsid w:val="00551E25"/>
    <w:rsid w:val="005522B6"/>
    <w:rsid w:val="0055243B"/>
    <w:rsid w:val="0055256B"/>
    <w:rsid w:val="0055270C"/>
    <w:rsid w:val="00552903"/>
    <w:rsid w:val="00552BEB"/>
    <w:rsid w:val="00552F2D"/>
    <w:rsid w:val="00553495"/>
    <w:rsid w:val="00553563"/>
    <w:rsid w:val="00553D7C"/>
    <w:rsid w:val="00554150"/>
    <w:rsid w:val="005545EA"/>
    <w:rsid w:val="0055464C"/>
    <w:rsid w:val="00554A95"/>
    <w:rsid w:val="00554AA0"/>
    <w:rsid w:val="00554C60"/>
    <w:rsid w:val="00554CC0"/>
    <w:rsid w:val="00554EED"/>
    <w:rsid w:val="005555E4"/>
    <w:rsid w:val="00555768"/>
    <w:rsid w:val="00555C5B"/>
    <w:rsid w:val="00555CCB"/>
    <w:rsid w:val="00555CFE"/>
    <w:rsid w:val="00555D6F"/>
    <w:rsid w:val="00555E37"/>
    <w:rsid w:val="00556182"/>
    <w:rsid w:val="0055633F"/>
    <w:rsid w:val="005563B8"/>
    <w:rsid w:val="005563C0"/>
    <w:rsid w:val="005569DF"/>
    <w:rsid w:val="00556BAB"/>
    <w:rsid w:val="00557044"/>
    <w:rsid w:val="00557B92"/>
    <w:rsid w:val="00557CD9"/>
    <w:rsid w:val="00557F27"/>
    <w:rsid w:val="00557F38"/>
    <w:rsid w:val="00560051"/>
    <w:rsid w:val="0056015E"/>
    <w:rsid w:val="005602ED"/>
    <w:rsid w:val="00560324"/>
    <w:rsid w:val="00560500"/>
    <w:rsid w:val="005606AB"/>
    <w:rsid w:val="005608E3"/>
    <w:rsid w:val="00560979"/>
    <w:rsid w:val="00560AB0"/>
    <w:rsid w:val="00560FC2"/>
    <w:rsid w:val="005612CF"/>
    <w:rsid w:val="0056140A"/>
    <w:rsid w:val="005616B9"/>
    <w:rsid w:val="00561866"/>
    <w:rsid w:val="00561ABC"/>
    <w:rsid w:val="00561BC0"/>
    <w:rsid w:val="00562853"/>
    <w:rsid w:val="0056286B"/>
    <w:rsid w:val="00562B45"/>
    <w:rsid w:val="00562D10"/>
    <w:rsid w:val="0056313D"/>
    <w:rsid w:val="00563622"/>
    <w:rsid w:val="0056370F"/>
    <w:rsid w:val="00563847"/>
    <w:rsid w:val="005638FE"/>
    <w:rsid w:val="00563A45"/>
    <w:rsid w:val="00563DA2"/>
    <w:rsid w:val="00563FD2"/>
    <w:rsid w:val="0056422D"/>
    <w:rsid w:val="00564485"/>
    <w:rsid w:val="005647F7"/>
    <w:rsid w:val="00564BD2"/>
    <w:rsid w:val="005650F0"/>
    <w:rsid w:val="0056540C"/>
    <w:rsid w:val="005656FC"/>
    <w:rsid w:val="00565708"/>
    <w:rsid w:val="00565805"/>
    <w:rsid w:val="00565899"/>
    <w:rsid w:val="005661DA"/>
    <w:rsid w:val="005663A0"/>
    <w:rsid w:val="00566471"/>
    <w:rsid w:val="00566884"/>
    <w:rsid w:val="00566E47"/>
    <w:rsid w:val="00566F3B"/>
    <w:rsid w:val="00566F69"/>
    <w:rsid w:val="00567039"/>
    <w:rsid w:val="00567205"/>
    <w:rsid w:val="00567248"/>
    <w:rsid w:val="0056765D"/>
    <w:rsid w:val="00567E90"/>
    <w:rsid w:val="00567EB8"/>
    <w:rsid w:val="00567F16"/>
    <w:rsid w:val="005702EF"/>
    <w:rsid w:val="005703A9"/>
    <w:rsid w:val="00570727"/>
    <w:rsid w:val="00570D57"/>
    <w:rsid w:val="00570D6F"/>
    <w:rsid w:val="005711A4"/>
    <w:rsid w:val="0057126D"/>
    <w:rsid w:val="00571619"/>
    <w:rsid w:val="00571632"/>
    <w:rsid w:val="005716B1"/>
    <w:rsid w:val="00571898"/>
    <w:rsid w:val="005719A2"/>
    <w:rsid w:val="00571ACA"/>
    <w:rsid w:val="00572022"/>
    <w:rsid w:val="005724AA"/>
    <w:rsid w:val="0057250F"/>
    <w:rsid w:val="005726F8"/>
    <w:rsid w:val="005727EB"/>
    <w:rsid w:val="0057298B"/>
    <w:rsid w:val="00572B39"/>
    <w:rsid w:val="00572D9B"/>
    <w:rsid w:val="00572DD3"/>
    <w:rsid w:val="00572FD4"/>
    <w:rsid w:val="00573001"/>
    <w:rsid w:val="00573517"/>
    <w:rsid w:val="00573566"/>
    <w:rsid w:val="005737D1"/>
    <w:rsid w:val="005738FE"/>
    <w:rsid w:val="005739B1"/>
    <w:rsid w:val="00573AC6"/>
    <w:rsid w:val="00573E93"/>
    <w:rsid w:val="0057412D"/>
    <w:rsid w:val="00574157"/>
    <w:rsid w:val="0057425D"/>
    <w:rsid w:val="00574273"/>
    <w:rsid w:val="005742B2"/>
    <w:rsid w:val="005746DB"/>
    <w:rsid w:val="0057470B"/>
    <w:rsid w:val="00574C6F"/>
    <w:rsid w:val="00574DD9"/>
    <w:rsid w:val="00574F46"/>
    <w:rsid w:val="005753A5"/>
    <w:rsid w:val="005754E0"/>
    <w:rsid w:val="00575530"/>
    <w:rsid w:val="00575552"/>
    <w:rsid w:val="0057556E"/>
    <w:rsid w:val="00575664"/>
    <w:rsid w:val="00575B78"/>
    <w:rsid w:val="00575C6A"/>
    <w:rsid w:val="00576185"/>
    <w:rsid w:val="005762AB"/>
    <w:rsid w:val="0057657F"/>
    <w:rsid w:val="0057673B"/>
    <w:rsid w:val="00576C16"/>
    <w:rsid w:val="00576FD3"/>
    <w:rsid w:val="00577081"/>
    <w:rsid w:val="005771DF"/>
    <w:rsid w:val="005773AD"/>
    <w:rsid w:val="00577955"/>
    <w:rsid w:val="005779BE"/>
    <w:rsid w:val="00577A73"/>
    <w:rsid w:val="00577B5C"/>
    <w:rsid w:val="00577C0F"/>
    <w:rsid w:val="00577C17"/>
    <w:rsid w:val="005800FB"/>
    <w:rsid w:val="005801A5"/>
    <w:rsid w:val="005803E1"/>
    <w:rsid w:val="005805E9"/>
    <w:rsid w:val="00580F24"/>
    <w:rsid w:val="00581251"/>
    <w:rsid w:val="00581344"/>
    <w:rsid w:val="0058152F"/>
    <w:rsid w:val="00581F6F"/>
    <w:rsid w:val="00582016"/>
    <w:rsid w:val="005820F1"/>
    <w:rsid w:val="005824CC"/>
    <w:rsid w:val="005826AA"/>
    <w:rsid w:val="00582835"/>
    <w:rsid w:val="00582BF2"/>
    <w:rsid w:val="0058313D"/>
    <w:rsid w:val="00583252"/>
    <w:rsid w:val="005833EA"/>
    <w:rsid w:val="005835DC"/>
    <w:rsid w:val="00583706"/>
    <w:rsid w:val="00583808"/>
    <w:rsid w:val="00583882"/>
    <w:rsid w:val="00583955"/>
    <w:rsid w:val="00583CC3"/>
    <w:rsid w:val="00583DEE"/>
    <w:rsid w:val="00583E2B"/>
    <w:rsid w:val="005841D2"/>
    <w:rsid w:val="005841ED"/>
    <w:rsid w:val="0058448B"/>
    <w:rsid w:val="00584561"/>
    <w:rsid w:val="0058472B"/>
    <w:rsid w:val="00584B86"/>
    <w:rsid w:val="00584BF0"/>
    <w:rsid w:val="00584DAD"/>
    <w:rsid w:val="00585187"/>
    <w:rsid w:val="00585263"/>
    <w:rsid w:val="0058527B"/>
    <w:rsid w:val="005854D0"/>
    <w:rsid w:val="005855C7"/>
    <w:rsid w:val="00585ADD"/>
    <w:rsid w:val="00585E53"/>
    <w:rsid w:val="00585F8D"/>
    <w:rsid w:val="00586068"/>
    <w:rsid w:val="0058612D"/>
    <w:rsid w:val="0058621E"/>
    <w:rsid w:val="00586222"/>
    <w:rsid w:val="0058631C"/>
    <w:rsid w:val="00586407"/>
    <w:rsid w:val="00586602"/>
    <w:rsid w:val="00586ABD"/>
    <w:rsid w:val="00586C83"/>
    <w:rsid w:val="00586EAF"/>
    <w:rsid w:val="00586F9F"/>
    <w:rsid w:val="0058715A"/>
    <w:rsid w:val="0058731E"/>
    <w:rsid w:val="005873FA"/>
    <w:rsid w:val="005876CB"/>
    <w:rsid w:val="0058782D"/>
    <w:rsid w:val="00587AC0"/>
    <w:rsid w:val="00587C1D"/>
    <w:rsid w:val="00587C33"/>
    <w:rsid w:val="00587D78"/>
    <w:rsid w:val="0059001B"/>
    <w:rsid w:val="005904E3"/>
    <w:rsid w:val="0059069D"/>
    <w:rsid w:val="00590FE7"/>
    <w:rsid w:val="00591221"/>
    <w:rsid w:val="005913CD"/>
    <w:rsid w:val="00591417"/>
    <w:rsid w:val="005914D7"/>
    <w:rsid w:val="005917BC"/>
    <w:rsid w:val="005919DD"/>
    <w:rsid w:val="00591A36"/>
    <w:rsid w:val="00591ADA"/>
    <w:rsid w:val="005923C6"/>
    <w:rsid w:val="00592595"/>
    <w:rsid w:val="005925EE"/>
    <w:rsid w:val="0059263C"/>
    <w:rsid w:val="005928FA"/>
    <w:rsid w:val="00592996"/>
    <w:rsid w:val="00592E14"/>
    <w:rsid w:val="00592F38"/>
    <w:rsid w:val="00593166"/>
    <w:rsid w:val="005934B2"/>
    <w:rsid w:val="00593B5F"/>
    <w:rsid w:val="00593E91"/>
    <w:rsid w:val="00593FBD"/>
    <w:rsid w:val="00594508"/>
    <w:rsid w:val="00594BF6"/>
    <w:rsid w:val="00594D03"/>
    <w:rsid w:val="00594D36"/>
    <w:rsid w:val="0059505E"/>
    <w:rsid w:val="0059520F"/>
    <w:rsid w:val="00595307"/>
    <w:rsid w:val="00595329"/>
    <w:rsid w:val="00595667"/>
    <w:rsid w:val="005957E3"/>
    <w:rsid w:val="005959C4"/>
    <w:rsid w:val="00595A0F"/>
    <w:rsid w:val="00595B12"/>
    <w:rsid w:val="00595D86"/>
    <w:rsid w:val="00595FFF"/>
    <w:rsid w:val="0059603A"/>
    <w:rsid w:val="00596067"/>
    <w:rsid w:val="00596328"/>
    <w:rsid w:val="0059675A"/>
    <w:rsid w:val="00596778"/>
    <w:rsid w:val="005967A1"/>
    <w:rsid w:val="00596DD2"/>
    <w:rsid w:val="00596DF8"/>
    <w:rsid w:val="00597073"/>
    <w:rsid w:val="00597394"/>
    <w:rsid w:val="00597591"/>
    <w:rsid w:val="005975DD"/>
    <w:rsid w:val="0059780F"/>
    <w:rsid w:val="00597B32"/>
    <w:rsid w:val="00597E5A"/>
    <w:rsid w:val="005A007C"/>
    <w:rsid w:val="005A04CB"/>
    <w:rsid w:val="005A0AC1"/>
    <w:rsid w:val="005A0EDE"/>
    <w:rsid w:val="005A1387"/>
    <w:rsid w:val="005A153D"/>
    <w:rsid w:val="005A19AF"/>
    <w:rsid w:val="005A1B69"/>
    <w:rsid w:val="005A1CDF"/>
    <w:rsid w:val="005A1E37"/>
    <w:rsid w:val="005A1FC3"/>
    <w:rsid w:val="005A2176"/>
    <w:rsid w:val="005A287C"/>
    <w:rsid w:val="005A2CD2"/>
    <w:rsid w:val="005A2D23"/>
    <w:rsid w:val="005A3111"/>
    <w:rsid w:val="005A3244"/>
    <w:rsid w:val="005A3262"/>
    <w:rsid w:val="005A33C9"/>
    <w:rsid w:val="005A34CF"/>
    <w:rsid w:val="005A369E"/>
    <w:rsid w:val="005A37DC"/>
    <w:rsid w:val="005A3A57"/>
    <w:rsid w:val="005A3AF1"/>
    <w:rsid w:val="005A3B90"/>
    <w:rsid w:val="005A3BB0"/>
    <w:rsid w:val="005A3FEC"/>
    <w:rsid w:val="005A406D"/>
    <w:rsid w:val="005A41B1"/>
    <w:rsid w:val="005A4533"/>
    <w:rsid w:val="005A4946"/>
    <w:rsid w:val="005A4A15"/>
    <w:rsid w:val="005A4B26"/>
    <w:rsid w:val="005A4E2F"/>
    <w:rsid w:val="005A50A4"/>
    <w:rsid w:val="005A5472"/>
    <w:rsid w:val="005A567A"/>
    <w:rsid w:val="005A597C"/>
    <w:rsid w:val="005A597E"/>
    <w:rsid w:val="005A5C96"/>
    <w:rsid w:val="005A5D9A"/>
    <w:rsid w:val="005A5DE1"/>
    <w:rsid w:val="005A5EF6"/>
    <w:rsid w:val="005A6055"/>
    <w:rsid w:val="005A64BC"/>
    <w:rsid w:val="005A6B1C"/>
    <w:rsid w:val="005A6C6E"/>
    <w:rsid w:val="005A70CD"/>
    <w:rsid w:val="005A70E1"/>
    <w:rsid w:val="005A70EF"/>
    <w:rsid w:val="005A72FF"/>
    <w:rsid w:val="005A7349"/>
    <w:rsid w:val="005A738F"/>
    <w:rsid w:val="005A74A8"/>
    <w:rsid w:val="005A753C"/>
    <w:rsid w:val="005A76D2"/>
    <w:rsid w:val="005A7915"/>
    <w:rsid w:val="005A79B5"/>
    <w:rsid w:val="005A79CE"/>
    <w:rsid w:val="005A7B23"/>
    <w:rsid w:val="005A7CF7"/>
    <w:rsid w:val="005A7DC3"/>
    <w:rsid w:val="005A7DCA"/>
    <w:rsid w:val="005A7FC2"/>
    <w:rsid w:val="005B0312"/>
    <w:rsid w:val="005B0BC9"/>
    <w:rsid w:val="005B0CE3"/>
    <w:rsid w:val="005B0E1F"/>
    <w:rsid w:val="005B0FF4"/>
    <w:rsid w:val="005B1129"/>
    <w:rsid w:val="005B1222"/>
    <w:rsid w:val="005B1367"/>
    <w:rsid w:val="005B1EF9"/>
    <w:rsid w:val="005B2276"/>
    <w:rsid w:val="005B2278"/>
    <w:rsid w:val="005B228A"/>
    <w:rsid w:val="005B26D9"/>
    <w:rsid w:val="005B2892"/>
    <w:rsid w:val="005B2AC7"/>
    <w:rsid w:val="005B2B69"/>
    <w:rsid w:val="005B2C84"/>
    <w:rsid w:val="005B30F7"/>
    <w:rsid w:val="005B3149"/>
    <w:rsid w:val="005B3408"/>
    <w:rsid w:val="005B37AA"/>
    <w:rsid w:val="005B3A45"/>
    <w:rsid w:val="005B3A48"/>
    <w:rsid w:val="005B3B0E"/>
    <w:rsid w:val="005B3B14"/>
    <w:rsid w:val="005B4052"/>
    <w:rsid w:val="005B4188"/>
    <w:rsid w:val="005B4478"/>
    <w:rsid w:val="005B447E"/>
    <w:rsid w:val="005B48D9"/>
    <w:rsid w:val="005B4B6F"/>
    <w:rsid w:val="005B4BD1"/>
    <w:rsid w:val="005B4EDD"/>
    <w:rsid w:val="005B510A"/>
    <w:rsid w:val="005B5308"/>
    <w:rsid w:val="005B581F"/>
    <w:rsid w:val="005B5B0E"/>
    <w:rsid w:val="005B5C6D"/>
    <w:rsid w:val="005B5E03"/>
    <w:rsid w:val="005B5F38"/>
    <w:rsid w:val="005B6139"/>
    <w:rsid w:val="005B6249"/>
    <w:rsid w:val="005B6431"/>
    <w:rsid w:val="005B659B"/>
    <w:rsid w:val="005B65D4"/>
    <w:rsid w:val="005B6665"/>
    <w:rsid w:val="005B66B5"/>
    <w:rsid w:val="005B69A7"/>
    <w:rsid w:val="005B6C1A"/>
    <w:rsid w:val="005B6D49"/>
    <w:rsid w:val="005B6F4D"/>
    <w:rsid w:val="005B758F"/>
    <w:rsid w:val="005B7611"/>
    <w:rsid w:val="005B7623"/>
    <w:rsid w:val="005B7BBB"/>
    <w:rsid w:val="005B7BD2"/>
    <w:rsid w:val="005B7C8B"/>
    <w:rsid w:val="005C002B"/>
    <w:rsid w:val="005C03B3"/>
    <w:rsid w:val="005C0620"/>
    <w:rsid w:val="005C07D7"/>
    <w:rsid w:val="005C09E6"/>
    <w:rsid w:val="005C0A1E"/>
    <w:rsid w:val="005C0AF4"/>
    <w:rsid w:val="005C0B7F"/>
    <w:rsid w:val="005C0E71"/>
    <w:rsid w:val="005C1212"/>
    <w:rsid w:val="005C1518"/>
    <w:rsid w:val="005C161E"/>
    <w:rsid w:val="005C1691"/>
    <w:rsid w:val="005C1731"/>
    <w:rsid w:val="005C17AF"/>
    <w:rsid w:val="005C1806"/>
    <w:rsid w:val="005C1879"/>
    <w:rsid w:val="005C1B24"/>
    <w:rsid w:val="005C1BB5"/>
    <w:rsid w:val="005C2243"/>
    <w:rsid w:val="005C2281"/>
    <w:rsid w:val="005C24C4"/>
    <w:rsid w:val="005C277E"/>
    <w:rsid w:val="005C27F8"/>
    <w:rsid w:val="005C2992"/>
    <w:rsid w:val="005C2A98"/>
    <w:rsid w:val="005C2BDE"/>
    <w:rsid w:val="005C2CCA"/>
    <w:rsid w:val="005C2DAD"/>
    <w:rsid w:val="005C32C0"/>
    <w:rsid w:val="005C370E"/>
    <w:rsid w:val="005C389C"/>
    <w:rsid w:val="005C3A3E"/>
    <w:rsid w:val="005C3A57"/>
    <w:rsid w:val="005C3ACF"/>
    <w:rsid w:val="005C3CE8"/>
    <w:rsid w:val="005C3DA2"/>
    <w:rsid w:val="005C3E03"/>
    <w:rsid w:val="005C3F89"/>
    <w:rsid w:val="005C41E7"/>
    <w:rsid w:val="005C41F4"/>
    <w:rsid w:val="005C4384"/>
    <w:rsid w:val="005C46A7"/>
    <w:rsid w:val="005C4BD3"/>
    <w:rsid w:val="005C4CFF"/>
    <w:rsid w:val="005C4F4F"/>
    <w:rsid w:val="005C50C3"/>
    <w:rsid w:val="005C5114"/>
    <w:rsid w:val="005C5150"/>
    <w:rsid w:val="005C5174"/>
    <w:rsid w:val="005C51AA"/>
    <w:rsid w:val="005C548C"/>
    <w:rsid w:val="005C5AB7"/>
    <w:rsid w:val="005C5E53"/>
    <w:rsid w:val="005C60FA"/>
    <w:rsid w:val="005C61A5"/>
    <w:rsid w:val="005C61D0"/>
    <w:rsid w:val="005C6489"/>
    <w:rsid w:val="005C6539"/>
    <w:rsid w:val="005C66A5"/>
    <w:rsid w:val="005C6A45"/>
    <w:rsid w:val="005C6AE9"/>
    <w:rsid w:val="005C6E5D"/>
    <w:rsid w:val="005C6FCD"/>
    <w:rsid w:val="005C74DF"/>
    <w:rsid w:val="005C78AD"/>
    <w:rsid w:val="005C7B79"/>
    <w:rsid w:val="005D00A1"/>
    <w:rsid w:val="005D010D"/>
    <w:rsid w:val="005D0162"/>
    <w:rsid w:val="005D0642"/>
    <w:rsid w:val="005D08AE"/>
    <w:rsid w:val="005D0A9B"/>
    <w:rsid w:val="005D0B36"/>
    <w:rsid w:val="005D0B92"/>
    <w:rsid w:val="005D1487"/>
    <w:rsid w:val="005D1683"/>
    <w:rsid w:val="005D1996"/>
    <w:rsid w:val="005D1BBB"/>
    <w:rsid w:val="005D1CA6"/>
    <w:rsid w:val="005D1D4D"/>
    <w:rsid w:val="005D21DE"/>
    <w:rsid w:val="005D2278"/>
    <w:rsid w:val="005D2738"/>
    <w:rsid w:val="005D276E"/>
    <w:rsid w:val="005D28B2"/>
    <w:rsid w:val="005D2CD7"/>
    <w:rsid w:val="005D2DFF"/>
    <w:rsid w:val="005D30DD"/>
    <w:rsid w:val="005D3282"/>
    <w:rsid w:val="005D32BB"/>
    <w:rsid w:val="005D333B"/>
    <w:rsid w:val="005D3787"/>
    <w:rsid w:val="005D37C4"/>
    <w:rsid w:val="005D38B6"/>
    <w:rsid w:val="005D3CA3"/>
    <w:rsid w:val="005D3D9E"/>
    <w:rsid w:val="005D3E8F"/>
    <w:rsid w:val="005D42D7"/>
    <w:rsid w:val="005D4862"/>
    <w:rsid w:val="005D4A38"/>
    <w:rsid w:val="005D4A62"/>
    <w:rsid w:val="005D4B85"/>
    <w:rsid w:val="005D4CC3"/>
    <w:rsid w:val="005D5042"/>
    <w:rsid w:val="005D5077"/>
    <w:rsid w:val="005D5374"/>
    <w:rsid w:val="005D5442"/>
    <w:rsid w:val="005D55B5"/>
    <w:rsid w:val="005D56AF"/>
    <w:rsid w:val="005D56D0"/>
    <w:rsid w:val="005D5C98"/>
    <w:rsid w:val="005D5CA8"/>
    <w:rsid w:val="005D5E91"/>
    <w:rsid w:val="005D601F"/>
    <w:rsid w:val="005D645F"/>
    <w:rsid w:val="005D6578"/>
    <w:rsid w:val="005D66CB"/>
    <w:rsid w:val="005D68CA"/>
    <w:rsid w:val="005D6A85"/>
    <w:rsid w:val="005D6E0C"/>
    <w:rsid w:val="005D7094"/>
    <w:rsid w:val="005D7487"/>
    <w:rsid w:val="005D74F1"/>
    <w:rsid w:val="005D7571"/>
    <w:rsid w:val="005D76B9"/>
    <w:rsid w:val="005D7751"/>
    <w:rsid w:val="005D7940"/>
    <w:rsid w:val="005D7AB7"/>
    <w:rsid w:val="005D7B8D"/>
    <w:rsid w:val="005E0908"/>
    <w:rsid w:val="005E0BB5"/>
    <w:rsid w:val="005E0BDB"/>
    <w:rsid w:val="005E0C9E"/>
    <w:rsid w:val="005E0CFC"/>
    <w:rsid w:val="005E0F82"/>
    <w:rsid w:val="005E0FF6"/>
    <w:rsid w:val="005E10FF"/>
    <w:rsid w:val="005E1100"/>
    <w:rsid w:val="005E1156"/>
    <w:rsid w:val="005E130D"/>
    <w:rsid w:val="005E136F"/>
    <w:rsid w:val="005E140B"/>
    <w:rsid w:val="005E1731"/>
    <w:rsid w:val="005E1809"/>
    <w:rsid w:val="005E197B"/>
    <w:rsid w:val="005E1FAE"/>
    <w:rsid w:val="005E2150"/>
    <w:rsid w:val="005E2351"/>
    <w:rsid w:val="005E23A4"/>
    <w:rsid w:val="005E23F7"/>
    <w:rsid w:val="005E2912"/>
    <w:rsid w:val="005E2AF8"/>
    <w:rsid w:val="005E2F79"/>
    <w:rsid w:val="005E322E"/>
    <w:rsid w:val="005E366E"/>
    <w:rsid w:val="005E36A1"/>
    <w:rsid w:val="005E36EB"/>
    <w:rsid w:val="005E3B46"/>
    <w:rsid w:val="005E4221"/>
    <w:rsid w:val="005E43FC"/>
    <w:rsid w:val="005E44D0"/>
    <w:rsid w:val="005E44E1"/>
    <w:rsid w:val="005E453D"/>
    <w:rsid w:val="005E4879"/>
    <w:rsid w:val="005E4884"/>
    <w:rsid w:val="005E4974"/>
    <w:rsid w:val="005E498C"/>
    <w:rsid w:val="005E4A43"/>
    <w:rsid w:val="005E4CEA"/>
    <w:rsid w:val="005E4D43"/>
    <w:rsid w:val="005E4FA0"/>
    <w:rsid w:val="005E521F"/>
    <w:rsid w:val="005E5303"/>
    <w:rsid w:val="005E54EE"/>
    <w:rsid w:val="005E57F4"/>
    <w:rsid w:val="005E5C65"/>
    <w:rsid w:val="005E5CD6"/>
    <w:rsid w:val="005E5D2A"/>
    <w:rsid w:val="005E6422"/>
    <w:rsid w:val="005E6968"/>
    <w:rsid w:val="005E6C87"/>
    <w:rsid w:val="005E6CA6"/>
    <w:rsid w:val="005E6D27"/>
    <w:rsid w:val="005E6FE7"/>
    <w:rsid w:val="005E72E0"/>
    <w:rsid w:val="005E73F5"/>
    <w:rsid w:val="005E74E1"/>
    <w:rsid w:val="005E7868"/>
    <w:rsid w:val="005E7877"/>
    <w:rsid w:val="005E7979"/>
    <w:rsid w:val="005E7A24"/>
    <w:rsid w:val="005E7C5F"/>
    <w:rsid w:val="005E7D63"/>
    <w:rsid w:val="005E7E27"/>
    <w:rsid w:val="005E7EF8"/>
    <w:rsid w:val="005F01FE"/>
    <w:rsid w:val="005F020C"/>
    <w:rsid w:val="005F0303"/>
    <w:rsid w:val="005F0383"/>
    <w:rsid w:val="005F043A"/>
    <w:rsid w:val="005F067D"/>
    <w:rsid w:val="005F0799"/>
    <w:rsid w:val="005F07B3"/>
    <w:rsid w:val="005F09F7"/>
    <w:rsid w:val="005F0D70"/>
    <w:rsid w:val="005F0DF6"/>
    <w:rsid w:val="005F10F3"/>
    <w:rsid w:val="005F1104"/>
    <w:rsid w:val="005F11AB"/>
    <w:rsid w:val="005F15AE"/>
    <w:rsid w:val="005F1616"/>
    <w:rsid w:val="005F1673"/>
    <w:rsid w:val="005F1736"/>
    <w:rsid w:val="005F1910"/>
    <w:rsid w:val="005F19E8"/>
    <w:rsid w:val="005F1D59"/>
    <w:rsid w:val="005F1E3A"/>
    <w:rsid w:val="005F1F05"/>
    <w:rsid w:val="005F1F36"/>
    <w:rsid w:val="005F1F37"/>
    <w:rsid w:val="005F1F68"/>
    <w:rsid w:val="005F1FBB"/>
    <w:rsid w:val="005F20E0"/>
    <w:rsid w:val="005F2304"/>
    <w:rsid w:val="005F231B"/>
    <w:rsid w:val="005F2401"/>
    <w:rsid w:val="005F265B"/>
    <w:rsid w:val="005F274F"/>
    <w:rsid w:val="005F2D31"/>
    <w:rsid w:val="005F2EA8"/>
    <w:rsid w:val="005F302B"/>
    <w:rsid w:val="005F3400"/>
    <w:rsid w:val="005F3652"/>
    <w:rsid w:val="005F36D2"/>
    <w:rsid w:val="005F3A56"/>
    <w:rsid w:val="005F3B18"/>
    <w:rsid w:val="005F3EDA"/>
    <w:rsid w:val="005F4011"/>
    <w:rsid w:val="005F42C8"/>
    <w:rsid w:val="005F43AC"/>
    <w:rsid w:val="005F4530"/>
    <w:rsid w:val="005F4710"/>
    <w:rsid w:val="005F4E56"/>
    <w:rsid w:val="005F4E74"/>
    <w:rsid w:val="005F4F9D"/>
    <w:rsid w:val="005F5128"/>
    <w:rsid w:val="005F51D4"/>
    <w:rsid w:val="005F522E"/>
    <w:rsid w:val="005F52C7"/>
    <w:rsid w:val="005F5372"/>
    <w:rsid w:val="005F5795"/>
    <w:rsid w:val="005F5919"/>
    <w:rsid w:val="005F5A01"/>
    <w:rsid w:val="005F5AF5"/>
    <w:rsid w:val="005F5B45"/>
    <w:rsid w:val="005F5D0F"/>
    <w:rsid w:val="005F5F0C"/>
    <w:rsid w:val="005F636A"/>
    <w:rsid w:val="005F6373"/>
    <w:rsid w:val="005F668D"/>
    <w:rsid w:val="005F6A71"/>
    <w:rsid w:val="005F6B32"/>
    <w:rsid w:val="005F7401"/>
    <w:rsid w:val="005F7933"/>
    <w:rsid w:val="005F7B16"/>
    <w:rsid w:val="005F7BFF"/>
    <w:rsid w:val="005F7D09"/>
    <w:rsid w:val="00600087"/>
    <w:rsid w:val="00600229"/>
    <w:rsid w:val="006003E3"/>
    <w:rsid w:val="006009CD"/>
    <w:rsid w:val="00600B04"/>
    <w:rsid w:val="00600BDA"/>
    <w:rsid w:val="00600C4A"/>
    <w:rsid w:val="00600D7C"/>
    <w:rsid w:val="00601145"/>
    <w:rsid w:val="006011D7"/>
    <w:rsid w:val="006012AE"/>
    <w:rsid w:val="00601919"/>
    <w:rsid w:val="0060192E"/>
    <w:rsid w:val="00601D1D"/>
    <w:rsid w:val="00601D7B"/>
    <w:rsid w:val="006025E3"/>
    <w:rsid w:val="00602A95"/>
    <w:rsid w:val="00602AEB"/>
    <w:rsid w:val="00602B39"/>
    <w:rsid w:val="00602DA9"/>
    <w:rsid w:val="0060349E"/>
    <w:rsid w:val="006034BE"/>
    <w:rsid w:val="006036ED"/>
    <w:rsid w:val="0060372C"/>
    <w:rsid w:val="00603862"/>
    <w:rsid w:val="00603A0F"/>
    <w:rsid w:val="00603D7E"/>
    <w:rsid w:val="00603EB0"/>
    <w:rsid w:val="00603EB1"/>
    <w:rsid w:val="00603EE7"/>
    <w:rsid w:val="00603EEB"/>
    <w:rsid w:val="00603FD8"/>
    <w:rsid w:val="00603FF8"/>
    <w:rsid w:val="00604228"/>
    <w:rsid w:val="006042AF"/>
    <w:rsid w:val="0060474A"/>
    <w:rsid w:val="0060479B"/>
    <w:rsid w:val="00604ADB"/>
    <w:rsid w:val="00604B04"/>
    <w:rsid w:val="00605000"/>
    <w:rsid w:val="006051FC"/>
    <w:rsid w:val="0060536E"/>
    <w:rsid w:val="006055A1"/>
    <w:rsid w:val="006059DB"/>
    <w:rsid w:val="00605A34"/>
    <w:rsid w:val="00605BBB"/>
    <w:rsid w:val="00605BE4"/>
    <w:rsid w:val="00605DD5"/>
    <w:rsid w:val="0060632B"/>
    <w:rsid w:val="00606831"/>
    <w:rsid w:val="00606AD5"/>
    <w:rsid w:val="00606C17"/>
    <w:rsid w:val="00606DE1"/>
    <w:rsid w:val="00606F4F"/>
    <w:rsid w:val="00606F8E"/>
    <w:rsid w:val="00607380"/>
    <w:rsid w:val="0060746B"/>
    <w:rsid w:val="006074DB"/>
    <w:rsid w:val="00607CB7"/>
    <w:rsid w:val="006102DC"/>
    <w:rsid w:val="00610499"/>
    <w:rsid w:val="00610880"/>
    <w:rsid w:val="00610D2D"/>
    <w:rsid w:val="00610EAA"/>
    <w:rsid w:val="0061115B"/>
    <w:rsid w:val="006112AC"/>
    <w:rsid w:val="00611538"/>
    <w:rsid w:val="006115C3"/>
    <w:rsid w:val="00611684"/>
    <w:rsid w:val="00611FAA"/>
    <w:rsid w:val="00612141"/>
    <w:rsid w:val="0061217E"/>
    <w:rsid w:val="006127E5"/>
    <w:rsid w:val="0061287E"/>
    <w:rsid w:val="0061288D"/>
    <w:rsid w:val="00612E43"/>
    <w:rsid w:val="00612EF5"/>
    <w:rsid w:val="00613487"/>
    <w:rsid w:val="006134D5"/>
    <w:rsid w:val="00613661"/>
    <w:rsid w:val="0061372C"/>
    <w:rsid w:val="00613796"/>
    <w:rsid w:val="006139A9"/>
    <w:rsid w:val="00613EEC"/>
    <w:rsid w:val="00614085"/>
    <w:rsid w:val="006140EE"/>
    <w:rsid w:val="0061439A"/>
    <w:rsid w:val="0061444D"/>
    <w:rsid w:val="00614668"/>
    <w:rsid w:val="00614685"/>
    <w:rsid w:val="006146FA"/>
    <w:rsid w:val="006149B6"/>
    <w:rsid w:val="00614BA3"/>
    <w:rsid w:val="00614FC5"/>
    <w:rsid w:val="006150F3"/>
    <w:rsid w:val="00615175"/>
    <w:rsid w:val="006151B0"/>
    <w:rsid w:val="006151D6"/>
    <w:rsid w:val="00615658"/>
    <w:rsid w:val="006156E2"/>
    <w:rsid w:val="006157C2"/>
    <w:rsid w:val="006157C3"/>
    <w:rsid w:val="0061580D"/>
    <w:rsid w:val="00615820"/>
    <w:rsid w:val="00615A03"/>
    <w:rsid w:val="00615A16"/>
    <w:rsid w:val="00615E8A"/>
    <w:rsid w:val="00615E9A"/>
    <w:rsid w:val="00615EAD"/>
    <w:rsid w:val="0061608C"/>
    <w:rsid w:val="00616092"/>
    <w:rsid w:val="0061619A"/>
    <w:rsid w:val="00616DF3"/>
    <w:rsid w:val="00616F85"/>
    <w:rsid w:val="006173D6"/>
    <w:rsid w:val="00617411"/>
    <w:rsid w:val="0061741D"/>
    <w:rsid w:val="006175A1"/>
    <w:rsid w:val="00617908"/>
    <w:rsid w:val="00617B03"/>
    <w:rsid w:val="00617B7C"/>
    <w:rsid w:val="00617CA4"/>
    <w:rsid w:val="00617D44"/>
    <w:rsid w:val="006200EF"/>
    <w:rsid w:val="00620185"/>
    <w:rsid w:val="00620606"/>
    <w:rsid w:val="0062062C"/>
    <w:rsid w:val="006207DF"/>
    <w:rsid w:val="00620913"/>
    <w:rsid w:val="00620917"/>
    <w:rsid w:val="00620AB0"/>
    <w:rsid w:val="00620B6F"/>
    <w:rsid w:val="00620C3A"/>
    <w:rsid w:val="00621152"/>
    <w:rsid w:val="006212B6"/>
    <w:rsid w:val="0062144B"/>
    <w:rsid w:val="00621565"/>
    <w:rsid w:val="006217C2"/>
    <w:rsid w:val="00621D5D"/>
    <w:rsid w:val="00621E08"/>
    <w:rsid w:val="0062214F"/>
    <w:rsid w:val="0062240C"/>
    <w:rsid w:val="006226C6"/>
    <w:rsid w:val="00622851"/>
    <w:rsid w:val="0062289D"/>
    <w:rsid w:val="00622C0C"/>
    <w:rsid w:val="00622CB8"/>
    <w:rsid w:val="0062363E"/>
    <w:rsid w:val="0062399A"/>
    <w:rsid w:val="00623A86"/>
    <w:rsid w:val="00623CF5"/>
    <w:rsid w:val="006240FA"/>
    <w:rsid w:val="0062415D"/>
    <w:rsid w:val="00624D0B"/>
    <w:rsid w:val="00624D5F"/>
    <w:rsid w:val="006250CC"/>
    <w:rsid w:val="00625327"/>
    <w:rsid w:val="006253FE"/>
    <w:rsid w:val="00625595"/>
    <w:rsid w:val="00625722"/>
    <w:rsid w:val="006257FE"/>
    <w:rsid w:val="00625DAE"/>
    <w:rsid w:val="00625DBE"/>
    <w:rsid w:val="00626463"/>
    <w:rsid w:val="006267CF"/>
    <w:rsid w:val="00626ACD"/>
    <w:rsid w:val="00626B1C"/>
    <w:rsid w:val="0062734F"/>
    <w:rsid w:val="00627A93"/>
    <w:rsid w:val="00627ECA"/>
    <w:rsid w:val="00630180"/>
    <w:rsid w:val="0063023D"/>
    <w:rsid w:val="006302C5"/>
    <w:rsid w:val="006307DA"/>
    <w:rsid w:val="0063097F"/>
    <w:rsid w:val="00630CB0"/>
    <w:rsid w:val="00630D45"/>
    <w:rsid w:val="00630DA6"/>
    <w:rsid w:val="00630DEA"/>
    <w:rsid w:val="0063169E"/>
    <w:rsid w:val="00631867"/>
    <w:rsid w:val="006319BB"/>
    <w:rsid w:val="00631B81"/>
    <w:rsid w:val="00631C9A"/>
    <w:rsid w:val="00631D2D"/>
    <w:rsid w:val="00632530"/>
    <w:rsid w:val="00632576"/>
    <w:rsid w:val="0063263B"/>
    <w:rsid w:val="006326D5"/>
    <w:rsid w:val="0063295E"/>
    <w:rsid w:val="006329B1"/>
    <w:rsid w:val="00632B53"/>
    <w:rsid w:val="00632C72"/>
    <w:rsid w:val="00632D7B"/>
    <w:rsid w:val="00632EFF"/>
    <w:rsid w:val="00632FCB"/>
    <w:rsid w:val="00633360"/>
    <w:rsid w:val="006333D8"/>
    <w:rsid w:val="00633519"/>
    <w:rsid w:val="00633889"/>
    <w:rsid w:val="00633924"/>
    <w:rsid w:val="00633927"/>
    <w:rsid w:val="00633F0F"/>
    <w:rsid w:val="00634088"/>
    <w:rsid w:val="0063418F"/>
    <w:rsid w:val="00634294"/>
    <w:rsid w:val="006343F2"/>
    <w:rsid w:val="00634595"/>
    <w:rsid w:val="00634697"/>
    <w:rsid w:val="00634701"/>
    <w:rsid w:val="00634AE1"/>
    <w:rsid w:val="00634BA2"/>
    <w:rsid w:val="00634E02"/>
    <w:rsid w:val="00635008"/>
    <w:rsid w:val="0063530C"/>
    <w:rsid w:val="00635641"/>
    <w:rsid w:val="006362A3"/>
    <w:rsid w:val="00636363"/>
    <w:rsid w:val="0063642D"/>
    <w:rsid w:val="006367C5"/>
    <w:rsid w:val="00636880"/>
    <w:rsid w:val="00636CA2"/>
    <w:rsid w:val="00636D2D"/>
    <w:rsid w:val="00636EB6"/>
    <w:rsid w:val="00636EE9"/>
    <w:rsid w:val="00637132"/>
    <w:rsid w:val="006373DC"/>
    <w:rsid w:val="00637474"/>
    <w:rsid w:val="00637493"/>
    <w:rsid w:val="00637530"/>
    <w:rsid w:val="006378BB"/>
    <w:rsid w:val="00637A60"/>
    <w:rsid w:val="00637A9C"/>
    <w:rsid w:val="00637EC1"/>
    <w:rsid w:val="00637EC4"/>
    <w:rsid w:val="00637ECC"/>
    <w:rsid w:val="006400BE"/>
    <w:rsid w:val="00640322"/>
    <w:rsid w:val="006404B5"/>
    <w:rsid w:val="006404D2"/>
    <w:rsid w:val="006406B3"/>
    <w:rsid w:val="006408CD"/>
    <w:rsid w:val="006408E7"/>
    <w:rsid w:val="00640B93"/>
    <w:rsid w:val="00640C1A"/>
    <w:rsid w:val="00640D3C"/>
    <w:rsid w:val="00640F8C"/>
    <w:rsid w:val="00641191"/>
    <w:rsid w:val="0064144C"/>
    <w:rsid w:val="00641639"/>
    <w:rsid w:val="0064175E"/>
    <w:rsid w:val="0064186C"/>
    <w:rsid w:val="00641BA8"/>
    <w:rsid w:val="00641BF4"/>
    <w:rsid w:val="00641D5F"/>
    <w:rsid w:val="00641EFA"/>
    <w:rsid w:val="006421A1"/>
    <w:rsid w:val="006422BF"/>
    <w:rsid w:val="00642355"/>
    <w:rsid w:val="006424B5"/>
    <w:rsid w:val="006425BE"/>
    <w:rsid w:val="0064291A"/>
    <w:rsid w:val="00642A1C"/>
    <w:rsid w:val="00642BC7"/>
    <w:rsid w:val="00643061"/>
    <w:rsid w:val="006431EC"/>
    <w:rsid w:val="006433C7"/>
    <w:rsid w:val="006436B9"/>
    <w:rsid w:val="00643740"/>
    <w:rsid w:val="0064382A"/>
    <w:rsid w:val="0064386A"/>
    <w:rsid w:val="00644313"/>
    <w:rsid w:val="00644810"/>
    <w:rsid w:val="00644C67"/>
    <w:rsid w:val="00644D55"/>
    <w:rsid w:val="00645695"/>
    <w:rsid w:val="006457D8"/>
    <w:rsid w:val="00645EAA"/>
    <w:rsid w:val="00646E0A"/>
    <w:rsid w:val="00646E11"/>
    <w:rsid w:val="0064721A"/>
    <w:rsid w:val="0064722C"/>
    <w:rsid w:val="00647537"/>
    <w:rsid w:val="006475EB"/>
    <w:rsid w:val="0064774E"/>
    <w:rsid w:val="0064780E"/>
    <w:rsid w:val="0064787A"/>
    <w:rsid w:val="00647AEC"/>
    <w:rsid w:val="00647BF6"/>
    <w:rsid w:val="00647C9E"/>
    <w:rsid w:val="00650242"/>
    <w:rsid w:val="00650BE5"/>
    <w:rsid w:val="00650C04"/>
    <w:rsid w:val="00650CA5"/>
    <w:rsid w:val="00650DA3"/>
    <w:rsid w:val="00650DF5"/>
    <w:rsid w:val="00650ECF"/>
    <w:rsid w:val="0065117A"/>
    <w:rsid w:val="006514C8"/>
    <w:rsid w:val="006515DC"/>
    <w:rsid w:val="00651C83"/>
    <w:rsid w:val="00651C99"/>
    <w:rsid w:val="00651F58"/>
    <w:rsid w:val="00651FA6"/>
    <w:rsid w:val="00652220"/>
    <w:rsid w:val="006526E5"/>
    <w:rsid w:val="00652777"/>
    <w:rsid w:val="00652972"/>
    <w:rsid w:val="00652E1C"/>
    <w:rsid w:val="00652E25"/>
    <w:rsid w:val="00652F1F"/>
    <w:rsid w:val="00652FAF"/>
    <w:rsid w:val="00652FFC"/>
    <w:rsid w:val="006530BD"/>
    <w:rsid w:val="006530F9"/>
    <w:rsid w:val="0065327F"/>
    <w:rsid w:val="006533F2"/>
    <w:rsid w:val="00653400"/>
    <w:rsid w:val="00653E33"/>
    <w:rsid w:val="00653F9A"/>
    <w:rsid w:val="006540F9"/>
    <w:rsid w:val="00654312"/>
    <w:rsid w:val="006544F4"/>
    <w:rsid w:val="006547E0"/>
    <w:rsid w:val="00654CB9"/>
    <w:rsid w:val="00654DC7"/>
    <w:rsid w:val="00654EE4"/>
    <w:rsid w:val="00654F9C"/>
    <w:rsid w:val="00655659"/>
    <w:rsid w:val="0065567B"/>
    <w:rsid w:val="00655866"/>
    <w:rsid w:val="00655B68"/>
    <w:rsid w:val="00655C7E"/>
    <w:rsid w:val="0065618E"/>
    <w:rsid w:val="00656205"/>
    <w:rsid w:val="00656C00"/>
    <w:rsid w:val="00656C0B"/>
    <w:rsid w:val="00656F11"/>
    <w:rsid w:val="00656F6A"/>
    <w:rsid w:val="00657316"/>
    <w:rsid w:val="00657386"/>
    <w:rsid w:val="0065749A"/>
    <w:rsid w:val="006575BC"/>
    <w:rsid w:val="00657984"/>
    <w:rsid w:val="00657CE8"/>
    <w:rsid w:val="00657E71"/>
    <w:rsid w:val="00660091"/>
    <w:rsid w:val="00660217"/>
    <w:rsid w:val="00660508"/>
    <w:rsid w:val="00660636"/>
    <w:rsid w:val="006607C3"/>
    <w:rsid w:val="00660961"/>
    <w:rsid w:val="00660B7F"/>
    <w:rsid w:val="00660CC3"/>
    <w:rsid w:val="0066115F"/>
    <w:rsid w:val="006614A2"/>
    <w:rsid w:val="0066157A"/>
    <w:rsid w:val="0066190A"/>
    <w:rsid w:val="00661A89"/>
    <w:rsid w:val="00661B4B"/>
    <w:rsid w:val="00661BBA"/>
    <w:rsid w:val="00661BEF"/>
    <w:rsid w:val="00662079"/>
    <w:rsid w:val="00662270"/>
    <w:rsid w:val="00662425"/>
    <w:rsid w:val="006624A2"/>
    <w:rsid w:val="00662577"/>
    <w:rsid w:val="006625C1"/>
    <w:rsid w:val="006626DE"/>
    <w:rsid w:val="00662C3E"/>
    <w:rsid w:val="00662DFF"/>
    <w:rsid w:val="00662F3C"/>
    <w:rsid w:val="00662FB3"/>
    <w:rsid w:val="006631F8"/>
    <w:rsid w:val="0066326E"/>
    <w:rsid w:val="0066328C"/>
    <w:rsid w:val="006632E8"/>
    <w:rsid w:val="0066345F"/>
    <w:rsid w:val="00663479"/>
    <w:rsid w:val="00663C07"/>
    <w:rsid w:val="00663C24"/>
    <w:rsid w:val="0066407B"/>
    <w:rsid w:val="006640A6"/>
    <w:rsid w:val="00664591"/>
    <w:rsid w:val="00664641"/>
    <w:rsid w:val="006652B8"/>
    <w:rsid w:val="00665302"/>
    <w:rsid w:val="00665A3D"/>
    <w:rsid w:val="00665B30"/>
    <w:rsid w:val="00665C5A"/>
    <w:rsid w:val="00665DBF"/>
    <w:rsid w:val="00665FC6"/>
    <w:rsid w:val="006662A4"/>
    <w:rsid w:val="006662C3"/>
    <w:rsid w:val="006663BE"/>
    <w:rsid w:val="0066662C"/>
    <w:rsid w:val="0066668D"/>
    <w:rsid w:val="006667D8"/>
    <w:rsid w:val="00666A2F"/>
    <w:rsid w:val="00666C4E"/>
    <w:rsid w:val="00666DC4"/>
    <w:rsid w:val="00666DD5"/>
    <w:rsid w:val="0066717B"/>
    <w:rsid w:val="0066738C"/>
    <w:rsid w:val="00667443"/>
    <w:rsid w:val="00667490"/>
    <w:rsid w:val="00667692"/>
    <w:rsid w:val="00667793"/>
    <w:rsid w:val="006679F4"/>
    <w:rsid w:val="00667A98"/>
    <w:rsid w:val="00667AA8"/>
    <w:rsid w:val="00667C7A"/>
    <w:rsid w:val="00667C83"/>
    <w:rsid w:val="00667FE0"/>
    <w:rsid w:val="00670134"/>
    <w:rsid w:val="00670693"/>
    <w:rsid w:val="00670999"/>
    <w:rsid w:val="00670C2D"/>
    <w:rsid w:val="00670F2F"/>
    <w:rsid w:val="0067142B"/>
    <w:rsid w:val="00671537"/>
    <w:rsid w:val="00671658"/>
    <w:rsid w:val="006716F5"/>
    <w:rsid w:val="006717B5"/>
    <w:rsid w:val="006719C1"/>
    <w:rsid w:val="00671F9B"/>
    <w:rsid w:val="0067206A"/>
    <w:rsid w:val="00672255"/>
    <w:rsid w:val="006722ED"/>
    <w:rsid w:val="0067251D"/>
    <w:rsid w:val="0067262B"/>
    <w:rsid w:val="0067278F"/>
    <w:rsid w:val="006729A8"/>
    <w:rsid w:val="006729EE"/>
    <w:rsid w:val="00672BEA"/>
    <w:rsid w:val="00672D22"/>
    <w:rsid w:val="006737B8"/>
    <w:rsid w:val="00673951"/>
    <w:rsid w:val="00673AA9"/>
    <w:rsid w:val="00673F06"/>
    <w:rsid w:val="006740C2"/>
    <w:rsid w:val="006741E3"/>
    <w:rsid w:val="006745E3"/>
    <w:rsid w:val="0067492B"/>
    <w:rsid w:val="00674A6C"/>
    <w:rsid w:val="00674D1F"/>
    <w:rsid w:val="00674E2A"/>
    <w:rsid w:val="00675413"/>
    <w:rsid w:val="00675572"/>
    <w:rsid w:val="006756B4"/>
    <w:rsid w:val="00675874"/>
    <w:rsid w:val="0067592E"/>
    <w:rsid w:val="00675CCF"/>
    <w:rsid w:val="00675DAB"/>
    <w:rsid w:val="00675F65"/>
    <w:rsid w:val="00676149"/>
    <w:rsid w:val="0067615D"/>
    <w:rsid w:val="006761E5"/>
    <w:rsid w:val="006765BA"/>
    <w:rsid w:val="00676784"/>
    <w:rsid w:val="00676835"/>
    <w:rsid w:val="00676874"/>
    <w:rsid w:val="006768CF"/>
    <w:rsid w:val="006769DC"/>
    <w:rsid w:val="00676E42"/>
    <w:rsid w:val="00677029"/>
    <w:rsid w:val="00677279"/>
    <w:rsid w:val="00677834"/>
    <w:rsid w:val="00677856"/>
    <w:rsid w:val="00677D1C"/>
    <w:rsid w:val="00677DC9"/>
    <w:rsid w:val="00677E93"/>
    <w:rsid w:val="00680055"/>
    <w:rsid w:val="006800E1"/>
    <w:rsid w:val="00680100"/>
    <w:rsid w:val="00680116"/>
    <w:rsid w:val="006802BC"/>
    <w:rsid w:val="00680528"/>
    <w:rsid w:val="0068061A"/>
    <w:rsid w:val="00680624"/>
    <w:rsid w:val="00680982"/>
    <w:rsid w:val="00680ADE"/>
    <w:rsid w:val="00680B97"/>
    <w:rsid w:val="00680D4C"/>
    <w:rsid w:val="00680DAA"/>
    <w:rsid w:val="00680E83"/>
    <w:rsid w:val="0068112F"/>
    <w:rsid w:val="006815FB"/>
    <w:rsid w:val="00681E31"/>
    <w:rsid w:val="006821B2"/>
    <w:rsid w:val="0068224F"/>
    <w:rsid w:val="00682393"/>
    <w:rsid w:val="006825D0"/>
    <w:rsid w:val="006826C0"/>
    <w:rsid w:val="00682BCD"/>
    <w:rsid w:val="00682C9F"/>
    <w:rsid w:val="00682DBA"/>
    <w:rsid w:val="00683079"/>
    <w:rsid w:val="0068320E"/>
    <w:rsid w:val="00683577"/>
    <w:rsid w:val="00683959"/>
    <w:rsid w:val="00683A2E"/>
    <w:rsid w:val="00683A89"/>
    <w:rsid w:val="00683AEA"/>
    <w:rsid w:val="00683B6D"/>
    <w:rsid w:val="00683D2D"/>
    <w:rsid w:val="00684873"/>
    <w:rsid w:val="00684A5E"/>
    <w:rsid w:val="006851D8"/>
    <w:rsid w:val="00685536"/>
    <w:rsid w:val="00685B47"/>
    <w:rsid w:val="00685C06"/>
    <w:rsid w:val="00685C8E"/>
    <w:rsid w:val="00685E03"/>
    <w:rsid w:val="006862D4"/>
    <w:rsid w:val="00686367"/>
    <w:rsid w:val="006864BE"/>
    <w:rsid w:val="00686B4D"/>
    <w:rsid w:val="00686E29"/>
    <w:rsid w:val="0068737C"/>
    <w:rsid w:val="00687528"/>
    <w:rsid w:val="00687BFE"/>
    <w:rsid w:val="00687DAD"/>
    <w:rsid w:val="00687ED4"/>
    <w:rsid w:val="00690138"/>
    <w:rsid w:val="006902D5"/>
    <w:rsid w:val="0069039E"/>
    <w:rsid w:val="0069084D"/>
    <w:rsid w:val="0069112D"/>
    <w:rsid w:val="0069134D"/>
    <w:rsid w:val="006914B4"/>
    <w:rsid w:val="006916B2"/>
    <w:rsid w:val="0069194B"/>
    <w:rsid w:val="00691BE1"/>
    <w:rsid w:val="00691EA6"/>
    <w:rsid w:val="006920D6"/>
    <w:rsid w:val="00692909"/>
    <w:rsid w:val="00692AC5"/>
    <w:rsid w:val="00692EDD"/>
    <w:rsid w:val="0069315E"/>
    <w:rsid w:val="0069319D"/>
    <w:rsid w:val="006934E6"/>
    <w:rsid w:val="006935A1"/>
    <w:rsid w:val="00693983"/>
    <w:rsid w:val="00693B6E"/>
    <w:rsid w:val="00693EFE"/>
    <w:rsid w:val="0069403D"/>
    <w:rsid w:val="006940B4"/>
    <w:rsid w:val="006941BF"/>
    <w:rsid w:val="00694512"/>
    <w:rsid w:val="0069489E"/>
    <w:rsid w:val="006949B2"/>
    <w:rsid w:val="00694E88"/>
    <w:rsid w:val="00694FE9"/>
    <w:rsid w:val="0069505F"/>
    <w:rsid w:val="00695259"/>
    <w:rsid w:val="00695399"/>
    <w:rsid w:val="006953CA"/>
    <w:rsid w:val="006954E6"/>
    <w:rsid w:val="00695DB3"/>
    <w:rsid w:val="00695E4B"/>
    <w:rsid w:val="00695EA3"/>
    <w:rsid w:val="0069612C"/>
    <w:rsid w:val="0069614C"/>
    <w:rsid w:val="006964BF"/>
    <w:rsid w:val="006966A1"/>
    <w:rsid w:val="0069677B"/>
    <w:rsid w:val="006968B4"/>
    <w:rsid w:val="006969FB"/>
    <w:rsid w:val="00696B22"/>
    <w:rsid w:val="00696B45"/>
    <w:rsid w:val="00696E97"/>
    <w:rsid w:val="00696EF7"/>
    <w:rsid w:val="00697061"/>
    <w:rsid w:val="00697075"/>
    <w:rsid w:val="0069731C"/>
    <w:rsid w:val="00697347"/>
    <w:rsid w:val="006973AD"/>
    <w:rsid w:val="00697400"/>
    <w:rsid w:val="006976BE"/>
    <w:rsid w:val="0069787F"/>
    <w:rsid w:val="006978F7"/>
    <w:rsid w:val="00697D22"/>
    <w:rsid w:val="006A00A1"/>
    <w:rsid w:val="006A00B0"/>
    <w:rsid w:val="006A05E1"/>
    <w:rsid w:val="006A06BC"/>
    <w:rsid w:val="006A083D"/>
    <w:rsid w:val="006A097D"/>
    <w:rsid w:val="006A09BC"/>
    <w:rsid w:val="006A0B9A"/>
    <w:rsid w:val="006A1084"/>
    <w:rsid w:val="006A128E"/>
    <w:rsid w:val="006A13C6"/>
    <w:rsid w:val="006A13F2"/>
    <w:rsid w:val="006A1644"/>
    <w:rsid w:val="006A1709"/>
    <w:rsid w:val="006A2249"/>
    <w:rsid w:val="006A22D0"/>
    <w:rsid w:val="006A262F"/>
    <w:rsid w:val="006A263D"/>
    <w:rsid w:val="006A2942"/>
    <w:rsid w:val="006A2A46"/>
    <w:rsid w:val="006A2C93"/>
    <w:rsid w:val="006A3046"/>
    <w:rsid w:val="006A33B6"/>
    <w:rsid w:val="006A3413"/>
    <w:rsid w:val="006A3891"/>
    <w:rsid w:val="006A389D"/>
    <w:rsid w:val="006A3BDC"/>
    <w:rsid w:val="006A3BF7"/>
    <w:rsid w:val="006A3C84"/>
    <w:rsid w:val="006A3DA4"/>
    <w:rsid w:val="006A3F67"/>
    <w:rsid w:val="006A486E"/>
    <w:rsid w:val="006A496D"/>
    <w:rsid w:val="006A4AE2"/>
    <w:rsid w:val="006A4DC5"/>
    <w:rsid w:val="006A5166"/>
    <w:rsid w:val="006A51B2"/>
    <w:rsid w:val="006A5331"/>
    <w:rsid w:val="006A5521"/>
    <w:rsid w:val="006A57E2"/>
    <w:rsid w:val="006A5845"/>
    <w:rsid w:val="006A58F8"/>
    <w:rsid w:val="006A59EA"/>
    <w:rsid w:val="006A5D17"/>
    <w:rsid w:val="006A5EF4"/>
    <w:rsid w:val="006A6207"/>
    <w:rsid w:val="006A63AE"/>
    <w:rsid w:val="006A65C5"/>
    <w:rsid w:val="006A6764"/>
    <w:rsid w:val="006A678C"/>
    <w:rsid w:val="006A67FA"/>
    <w:rsid w:val="006A6877"/>
    <w:rsid w:val="006A6953"/>
    <w:rsid w:val="006A6C31"/>
    <w:rsid w:val="006A6CB1"/>
    <w:rsid w:val="006A7008"/>
    <w:rsid w:val="006A7064"/>
    <w:rsid w:val="006A71AD"/>
    <w:rsid w:val="006A722A"/>
    <w:rsid w:val="006A744B"/>
    <w:rsid w:val="006A74ED"/>
    <w:rsid w:val="006A75AA"/>
    <w:rsid w:val="006A7ECE"/>
    <w:rsid w:val="006B0175"/>
    <w:rsid w:val="006B0300"/>
    <w:rsid w:val="006B03B3"/>
    <w:rsid w:val="006B0546"/>
    <w:rsid w:val="006B068B"/>
    <w:rsid w:val="006B07AB"/>
    <w:rsid w:val="006B07E9"/>
    <w:rsid w:val="006B0986"/>
    <w:rsid w:val="006B0BDA"/>
    <w:rsid w:val="006B0BFD"/>
    <w:rsid w:val="006B0D01"/>
    <w:rsid w:val="006B0F17"/>
    <w:rsid w:val="006B1390"/>
    <w:rsid w:val="006B1933"/>
    <w:rsid w:val="006B2361"/>
    <w:rsid w:val="006B23E0"/>
    <w:rsid w:val="006B27CC"/>
    <w:rsid w:val="006B2BE9"/>
    <w:rsid w:val="006B2D3F"/>
    <w:rsid w:val="006B2F6B"/>
    <w:rsid w:val="006B3013"/>
    <w:rsid w:val="006B325B"/>
    <w:rsid w:val="006B32DC"/>
    <w:rsid w:val="006B33AE"/>
    <w:rsid w:val="006B38AA"/>
    <w:rsid w:val="006B395F"/>
    <w:rsid w:val="006B3AA9"/>
    <w:rsid w:val="006B3F5D"/>
    <w:rsid w:val="006B3FED"/>
    <w:rsid w:val="006B4094"/>
    <w:rsid w:val="006B42A1"/>
    <w:rsid w:val="006B451E"/>
    <w:rsid w:val="006B453F"/>
    <w:rsid w:val="006B4A92"/>
    <w:rsid w:val="006B4C3B"/>
    <w:rsid w:val="006B4EE6"/>
    <w:rsid w:val="006B505F"/>
    <w:rsid w:val="006B52B7"/>
    <w:rsid w:val="006B537F"/>
    <w:rsid w:val="006B5387"/>
    <w:rsid w:val="006B540A"/>
    <w:rsid w:val="006B556E"/>
    <w:rsid w:val="006B581E"/>
    <w:rsid w:val="006B59F4"/>
    <w:rsid w:val="006B5EC0"/>
    <w:rsid w:val="006B5F47"/>
    <w:rsid w:val="006B5F8D"/>
    <w:rsid w:val="006B6053"/>
    <w:rsid w:val="006B60F7"/>
    <w:rsid w:val="006B621E"/>
    <w:rsid w:val="006B6263"/>
    <w:rsid w:val="006B64C2"/>
    <w:rsid w:val="006B661B"/>
    <w:rsid w:val="006B66C7"/>
    <w:rsid w:val="006B6801"/>
    <w:rsid w:val="006B6B3D"/>
    <w:rsid w:val="006B6F54"/>
    <w:rsid w:val="006B718E"/>
    <w:rsid w:val="006B78F2"/>
    <w:rsid w:val="006B7943"/>
    <w:rsid w:val="006B7B84"/>
    <w:rsid w:val="006B7C08"/>
    <w:rsid w:val="006B7E08"/>
    <w:rsid w:val="006C013E"/>
    <w:rsid w:val="006C0173"/>
    <w:rsid w:val="006C0A88"/>
    <w:rsid w:val="006C0BE2"/>
    <w:rsid w:val="006C0DC3"/>
    <w:rsid w:val="006C0E1D"/>
    <w:rsid w:val="006C1013"/>
    <w:rsid w:val="006C14B2"/>
    <w:rsid w:val="006C1619"/>
    <w:rsid w:val="006C165D"/>
    <w:rsid w:val="006C1CA4"/>
    <w:rsid w:val="006C1F63"/>
    <w:rsid w:val="006C1F78"/>
    <w:rsid w:val="006C201F"/>
    <w:rsid w:val="006C2192"/>
    <w:rsid w:val="006C2250"/>
    <w:rsid w:val="006C23D6"/>
    <w:rsid w:val="006C259A"/>
    <w:rsid w:val="006C25F1"/>
    <w:rsid w:val="006C2844"/>
    <w:rsid w:val="006C2917"/>
    <w:rsid w:val="006C2C93"/>
    <w:rsid w:val="006C2CC4"/>
    <w:rsid w:val="006C2E1E"/>
    <w:rsid w:val="006C2F32"/>
    <w:rsid w:val="006C2F96"/>
    <w:rsid w:val="006C3031"/>
    <w:rsid w:val="006C31B9"/>
    <w:rsid w:val="006C31E1"/>
    <w:rsid w:val="006C3461"/>
    <w:rsid w:val="006C34A6"/>
    <w:rsid w:val="006C34F9"/>
    <w:rsid w:val="006C3742"/>
    <w:rsid w:val="006C37A1"/>
    <w:rsid w:val="006C38F6"/>
    <w:rsid w:val="006C3929"/>
    <w:rsid w:val="006C3F24"/>
    <w:rsid w:val="006C44D2"/>
    <w:rsid w:val="006C4616"/>
    <w:rsid w:val="006C472E"/>
    <w:rsid w:val="006C4840"/>
    <w:rsid w:val="006C4A6A"/>
    <w:rsid w:val="006C4AB4"/>
    <w:rsid w:val="006C4BC2"/>
    <w:rsid w:val="006C4C47"/>
    <w:rsid w:val="006C4D59"/>
    <w:rsid w:val="006C4E06"/>
    <w:rsid w:val="006C4F31"/>
    <w:rsid w:val="006C4F43"/>
    <w:rsid w:val="006C501F"/>
    <w:rsid w:val="006C5037"/>
    <w:rsid w:val="006C5057"/>
    <w:rsid w:val="006C508A"/>
    <w:rsid w:val="006C52FC"/>
    <w:rsid w:val="006C5354"/>
    <w:rsid w:val="006C5738"/>
    <w:rsid w:val="006C5868"/>
    <w:rsid w:val="006C5AEE"/>
    <w:rsid w:val="006C5D14"/>
    <w:rsid w:val="006C5F63"/>
    <w:rsid w:val="006C5FB5"/>
    <w:rsid w:val="006C60E5"/>
    <w:rsid w:val="006C669F"/>
    <w:rsid w:val="006C6814"/>
    <w:rsid w:val="006C68C8"/>
    <w:rsid w:val="006C69D3"/>
    <w:rsid w:val="006C7009"/>
    <w:rsid w:val="006C7180"/>
    <w:rsid w:val="006C7687"/>
    <w:rsid w:val="006C7A65"/>
    <w:rsid w:val="006C7ABB"/>
    <w:rsid w:val="006C7F30"/>
    <w:rsid w:val="006D04E9"/>
    <w:rsid w:val="006D0563"/>
    <w:rsid w:val="006D0702"/>
    <w:rsid w:val="006D0740"/>
    <w:rsid w:val="006D0D36"/>
    <w:rsid w:val="006D0E2A"/>
    <w:rsid w:val="006D0F7C"/>
    <w:rsid w:val="006D190D"/>
    <w:rsid w:val="006D1A8F"/>
    <w:rsid w:val="006D1ECF"/>
    <w:rsid w:val="006D214A"/>
    <w:rsid w:val="006D233F"/>
    <w:rsid w:val="006D235C"/>
    <w:rsid w:val="006D23F0"/>
    <w:rsid w:val="006D2562"/>
    <w:rsid w:val="006D29B5"/>
    <w:rsid w:val="006D2C7C"/>
    <w:rsid w:val="006D31C8"/>
    <w:rsid w:val="006D32AF"/>
    <w:rsid w:val="006D3546"/>
    <w:rsid w:val="006D358E"/>
    <w:rsid w:val="006D3E55"/>
    <w:rsid w:val="006D3F87"/>
    <w:rsid w:val="006D3FBD"/>
    <w:rsid w:val="006D43F1"/>
    <w:rsid w:val="006D46F4"/>
    <w:rsid w:val="006D489D"/>
    <w:rsid w:val="006D48D0"/>
    <w:rsid w:val="006D4B4C"/>
    <w:rsid w:val="006D4C7D"/>
    <w:rsid w:val="006D4CFE"/>
    <w:rsid w:val="006D4D7D"/>
    <w:rsid w:val="006D4EBA"/>
    <w:rsid w:val="006D538C"/>
    <w:rsid w:val="006D54B0"/>
    <w:rsid w:val="006D5509"/>
    <w:rsid w:val="006D57D4"/>
    <w:rsid w:val="006D5868"/>
    <w:rsid w:val="006D5C47"/>
    <w:rsid w:val="006D5C7F"/>
    <w:rsid w:val="006D5DDA"/>
    <w:rsid w:val="006D5E6F"/>
    <w:rsid w:val="006D6081"/>
    <w:rsid w:val="006D61CE"/>
    <w:rsid w:val="006D61F0"/>
    <w:rsid w:val="006D6857"/>
    <w:rsid w:val="006D6A67"/>
    <w:rsid w:val="006D6D04"/>
    <w:rsid w:val="006D71FB"/>
    <w:rsid w:val="006D742D"/>
    <w:rsid w:val="006D7851"/>
    <w:rsid w:val="006D7870"/>
    <w:rsid w:val="006D7921"/>
    <w:rsid w:val="006D7BFA"/>
    <w:rsid w:val="006D7E42"/>
    <w:rsid w:val="006D7EB3"/>
    <w:rsid w:val="006D7F57"/>
    <w:rsid w:val="006D7FAB"/>
    <w:rsid w:val="006E019A"/>
    <w:rsid w:val="006E023E"/>
    <w:rsid w:val="006E0371"/>
    <w:rsid w:val="006E048C"/>
    <w:rsid w:val="006E07D1"/>
    <w:rsid w:val="006E0A60"/>
    <w:rsid w:val="006E0A78"/>
    <w:rsid w:val="006E0C6F"/>
    <w:rsid w:val="006E0CD7"/>
    <w:rsid w:val="006E0D2C"/>
    <w:rsid w:val="006E0EE8"/>
    <w:rsid w:val="006E11B3"/>
    <w:rsid w:val="006E124E"/>
    <w:rsid w:val="006E1399"/>
    <w:rsid w:val="006E13EF"/>
    <w:rsid w:val="006E1D9C"/>
    <w:rsid w:val="006E1E4C"/>
    <w:rsid w:val="006E1F3F"/>
    <w:rsid w:val="006E20D2"/>
    <w:rsid w:val="006E2213"/>
    <w:rsid w:val="006E2515"/>
    <w:rsid w:val="006E29FD"/>
    <w:rsid w:val="006E2D0A"/>
    <w:rsid w:val="006E2D57"/>
    <w:rsid w:val="006E319C"/>
    <w:rsid w:val="006E333B"/>
    <w:rsid w:val="006E35C9"/>
    <w:rsid w:val="006E3772"/>
    <w:rsid w:val="006E37D7"/>
    <w:rsid w:val="006E398D"/>
    <w:rsid w:val="006E3A30"/>
    <w:rsid w:val="006E3B04"/>
    <w:rsid w:val="006E3B21"/>
    <w:rsid w:val="006E3BE0"/>
    <w:rsid w:val="006E3D79"/>
    <w:rsid w:val="006E3DDC"/>
    <w:rsid w:val="006E4139"/>
    <w:rsid w:val="006E4DD4"/>
    <w:rsid w:val="006E51DF"/>
    <w:rsid w:val="006E539E"/>
    <w:rsid w:val="006E53C6"/>
    <w:rsid w:val="006E53F2"/>
    <w:rsid w:val="006E563B"/>
    <w:rsid w:val="006E56A5"/>
    <w:rsid w:val="006E5726"/>
    <w:rsid w:val="006E5861"/>
    <w:rsid w:val="006E5C6B"/>
    <w:rsid w:val="006E600F"/>
    <w:rsid w:val="006E60F5"/>
    <w:rsid w:val="006E633A"/>
    <w:rsid w:val="006E6347"/>
    <w:rsid w:val="006E6453"/>
    <w:rsid w:val="006E659A"/>
    <w:rsid w:val="006E65C7"/>
    <w:rsid w:val="006E6628"/>
    <w:rsid w:val="006E67C2"/>
    <w:rsid w:val="006E69C1"/>
    <w:rsid w:val="006E6BE4"/>
    <w:rsid w:val="006E6BE7"/>
    <w:rsid w:val="006E6BEA"/>
    <w:rsid w:val="006E6D12"/>
    <w:rsid w:val="006E6FDD"/>
    <w:rsid w:val="006E716C"/>
    <w:rsid w:val="006E7555"/>
    <w:rsid w:val="006E759E"/>
    <w:rsid w:val="006E75AB"/>
    <w:rsid w:val="006E7838"/>
    <w:rsid w:val="006E7A70"/>
    <w:rsid w:val="006E7B96"/>
    <w:rsid w:val="006E7CA7"/>
    <w:rsid w:val="006F000A"/>
    <w:rsid w:val="006F02C7"/>
    <w:rsid w:val="006F047D"/>
    <w:rsid w:val="006F0983"/>
    <w:rsid w:val="006F0A5D"/>
    <w:rsid w:val="006F0FCA"/>
    <w:rsid w:val="006F11AA"/>
    <w:rsid w:val="006F1350"/>
    <w:rsid w:val="006F14A7"/>
    <w:rsid w:val="006F1592"/>
    <w:rsid w:val="006F165C"/>
    <w:rsid w:val="006F1830"/>
    <w:rsid w:val="006F1A87"/>
    <w:rsid w:val="006F1D0E"/>
    <w:rsid w:val="006F1EE7"/>
    <w:rsid w:val="006F2381"/>
    <w:rsid w:val="006F24E7"/>
    <w:rsid w:val="006F2A3B"/>
    <w:rsid w:val="006F2B3A"/>
    <w:rsid w:val="006F2BB7"/>
    <w:rsid w:val="006F2C67"/>
    <w:rsid w:val="006F2ED3"/>
    <w:rsid w:val="006F30B7"/>
    <w:rsid w:val="006F3122"/>
    <w:rsid w:val="006F3128"/>
    <w:rsid w:val="006F3255"/>
    <w:rsid w:val="006F3608"/>
    <w:rsid w:val="006F39DB"/>
    <w:rsid w:val="006F3F42"/>
    <w:rsid w:val="006F3FA2"/>
    <w:rsid w:val="006F47F5"/>
    <w:rsid w:val="006F4809"/>
    <w:rsid w:val="006F48CB"/>
    <w:rsid w:val="006F4928"/>
    <w:rsid w:val="006F4B5B"/>
    <w:rsid w:val="006F4D5B"/>
    <w:rsid w:val="006F4EB6"/>
    <w:rsid w:val="006F5065"/>
    <w:rsid w:val="006F517B"/>
    <w:rsid w:val="006F5485"/>
    <w:rsid w:val="006F54C6"/>
    <w:rsid w:val="006F5523"/>
    <w:rsid w:val="006F55BF"/>
    <w:rsid w:val="006F5602"/>
    <w:rsid w:val="006F5619"/>
    <w:rsid w:val="006F59F7"/>
    <w:rsid w:val="006F5A21"/>
    <w:rsid w:val="006F5AF6"/>
    <w:rsid w:val="006F5DCC"/>
    <w:rsid w:val="006F5FAE"/>
    <w:rsid w:val="006F5FFF"/>
    <w:rsid w:val="006F6092"/>
    <w:rsid w:val="006F6267"/>
    <w:rsid w:val="006F6277"/>
    <w:rsid w:val="006F6325"/>
    <w:rsid w:val="006F6396"/>
    <w:rsid w:val="006F63EE"/>
    <w:rsid w:val="006F6422"/>
    <w:rsid w:val="006F66F8"/>
    <w:rsid w:val="006F6813"/>
    <w:rsid w:val="006F6C0B"/>
    <w:rsid w:val="006F6F54"/>
    <w:rsid w:val="006F7048"/>
    <w:rsid w:val="006F7715"/>
    <w:rsid w:val="006F779D"/>
    <w:rsid w:val="006F78FC"/>
    <w:rsid w:val="006F79D8"/>
    <w:rsid w:val="006F7C83"/>
    <w:rsid w:val="006F7CA7"/>
    <w:rsid w:val="006F7EDE"/>
    <w:rsid w:val="006F7FD1"/>
    <w:rsid w:val="00700019"/>
    <w:rsid w:val="0070068D"/>
    <w:rsid w:val="007007DE"/>
    <w:rsid w:val="00700899"/>
    <w:rsid w:val="00700CA6"/>
    <w:rsid w:val="00701091"/>
    <w:rsid w:val="007011AF"/>
    <w:rsid w:val="00701355"/>
    <w:rsid w:val="007013AD"/>
    <w:rsid w:val="00701614"/>
    <w:rsid w:val="00701BA7"/>
    <w:rsid w:val="00701EDE"/>
    <w:rsid w:val="00702082"/>
    <w:rsid w:val="00702238"/>
    <w:rsid w:val="007022AC"/>
    <w:rsid w:val="00702957"/>
    <w:rsid w:val="00702ACD"/>
    <w:rsid w:val="00702ADE"/>
    <w:rsid w:val="00702C22"/>
    <w:rsid w:val="00703085"/>
    <w:rsid w:val="0070316C"/>
    <w:rsid w:val="007032D1"/>
    <w:rsid w:val="00703837"/>
    <w:rsid w:val="00703904"/>
    <w:rsid w:val="00703905"/>
    <w:rsid w:val="00703C60"/>
    <w:rsid w:val="007042C2"/>
    <w:rsid w:val="00704751"/>
    <w:rsid w:val="0070493D"/>
    <w:rsid w:val="00704978"/>
    <w:rsid w:val="00704A66"/>
    <w:rsid w:val="00704D11"/>
    <w:rsid w:val="00704DB6"/>
    <w:rsid w:val="00704DD0"/>
    <w:rsid w:val="00704FEE"/>
    <w:rsid w:val="0070512A"/>
    <w:rsid w:val="00705193"/>
    <w:rsid w:val="00705243"/>
    <w:rsid w:val="00705493"/>
    <w:rsid w:val="007057CC"/>
    <w:rsid w:val="007058BD"/>
    <w:rsid w:val="00705B06"/>
    <w:rsid w:val="0070613B"/>
    <w:rsid w:val="00706277"/>
    <w:rsid w:val="00706583"/>
    <w:rsid w:val="007065FE"/>
    <w:rsid w:val="00706605"/>
    <w:rsid w:val="00706905"/>
    <w:rsid w:val="007071AF"/>
    <w:rsid w:val="0070734B"/>
    <w:rsid w:val="0070767F"/>
    <w:rsid w:val="007076BD"/>
    <w:rsid w:val="007079CE"/>
    <w:rsid w:val="007079F4"/>
    <w:rsid w:val="00707CFD"/>
    <w:rsid w:val="00707E56"/>
    <w:rsid w:val="00707EA4"/>
    <w:rsid w:val="00710349"/>
    <w:rsid w:val="0071042E"/>
    <w:rsid w:val="0071047B"/>
    <w:rsid w:val="007108EB"/>
    <w:rsid w:val="00710957"/>
    <w:rsid w:val="00710A69"/>
    <w:rsid w:val="00710C77"/>
    <w:rsid w:val="00710D4D"/>
    <w:rsid w:val="00710DB4"/>
    <w:rsid w:val="00711128"/>
    <w:rsid w:val="00711202"/>
    <w:rsid w:val="00711203"/>
    <w:rsid w:val="0071122F"/>
    <w:rsid w:val="007113A8"/>
    <w:rsid w:val="007114B1"/>
    <w:rsid w:val="007114E4"/>
    <w:rsid w:val="007114F1"/>
    <w:rsid w:val="00711635"/>
    <w:rsid w:val="0071168E"/>
    <w:rsid w:val="007118F1"/>
    <w:rsid w:val="007118FA"/>
    <w:rsid w:val="007119A5"/>
    <w:rsid w:val="007119A6"/>
    <w:rsid w:val="00711BA3"/>
    <w:rsid w:val="00711C20"/>
    <w:rsid w:val="00711F30"/>
    <w:rsid w:val="007120E1"/>
    <w:rsid w:val="0071220C"/>
    <w:rsid w:val="00712536"/>
    <w:rsid w:val="0071255A"/>
    <w:rsid w:val="007125CF"/>
    <w:rsid w:val="00712905"/>
    <w:rsid w:val="007129F5"/>
    <w:rsid w:val="00712A44"/>
    <w:rsid w:val="00712F5D"/>
    <w:rsid w:val="00713130"/>
    <w:rsid w:val="00713336"/>
    <w:rsid w:val="007134FD"/>
    <w:rsid w:val="007138B5"/>
    <w:rsid w:val="00713C32"/>
    <w:rsid w:val="00713F3C"/>
    <w:rsid w:val="0071415C"/>
    <w:rsid w:val="007144AC"/>
    <w:rsid w:val="007148B8"/>
    <w:rsid w:val="00714A19"/>
    <w:rsid w:val="00714A62"/>
    <w:rsid w:val="00714F50"/>
    <w:rsid w:val="00714FD8"/>
    <w:rsid w:val="00715062"/>
    <w:rsid w:val="007153F5"/>
    <w:rsid w:val="00715447"/>
    <w:rsid w:val="00715B6A"/>
    <w:rsid w:val="00715B80"/>
    <w:rsid w:val="00715D57"/>
    <w:rsid w:val="00715E5C"/>
    <w:rsid w:val="00715FAB"/>
    <w:rsid w:val="00716072"/>
    <w:rsid w:val="007160AA"/>
    <w:rsid w:val="00716130"/>
    <w:rsid w:val="00716143"/>
    <w:rsid w:val="0071617C"/>
    <w:rsid w:val="007162D2"/>
    <w:rsid w:val="007164B0"/>
    <w:rsid w:val="007167C9"/>
    <w:rsid w:val="00716A54"/>
    <w:rsid w:val="00716AE6"/>
    <w:rsid w:val="00716B8B"/>
    <w:rsid w:val="00716EFB"/>
    <w:rsid w:val="00716F6A"/>
    <w:rsid w:val="0071702E"/>
    <w:rsid w:val="007174E4"/>
    <w:rsid w:val="007174EC"/>
    <w:rsid w:val="00717534"/>
    <w:rsid w:val="0071781A"/>
    <w:rsid w:val="00717835"/>
    <w:rsid w:val="007178FB"/>
    <w:rsid w:val="0071790C"/>
    <w:rsid w:val="00717ACF"/>
    <w:rsid w:val="00717BDF"/>
    <w:rsid w:val="00717D3B"/>
    <w:rsid w:val="00717DAA"/>
    <w:rsid w:val="007201A6"/>
    <w:rsid w:val="007203B7"/>
    <w:rsid w:val="007205D4"/>
    <w:rsid w:val="0072085D"/>
    <w:rsid w:val="007209F1"/>
    <w:rsid w:val="00720B21"/>
    <w:rsid w:val="00720B84"/>
    <w:rsid w:val="00720D2D"/>
    <w:rsid w:val="00720E25"/>
    <w:rsid w:val="00720F34"/>
    <w:rsid w:val="007219C1"/>
    <w:rsid w:val="00722157"/>
    <w:rsid w:val="00722505"/>
    <w:rsid w:val="00722687"/>
    <w:rsid w:val="00722757"/>
    <w:rsid w:val="00722ADB"/>
    <w:rsid w:val="00722C07"/>
    <w:rsid w:val="0072345D"/>
    <w:rsid w:val="007234F3"/>
    <w:rsid w:val="007235CC"/>
    <w:rsid w:val="0072391B"/>
    <w:rsid w:val="00723E10"/>
    <w:rsid w:val="00724006"/>
    <w:rsid w:val="00724034"/>
    <w:rsid w:val="00724233"/>
    <w:rsid w:val="0072444C"/>
    <w:rsid w:val="00724531"/>
    <w:rsid w:val="0072454C"/>
    <w:rsid w:val="00724BA4"/>
    <w:rsid w:val="00724F24"/>
    <w:rsid w:val="00725141"/>
    <w:rsid w:val="007254D1"/>
    <w:rsid w:val="00725B2C"/>
    <w:rsid w:val="00725FBE"/>
    <w:rsid w:val="00726214"/>
    <w:rsid w:val="0072626F"/>
    <w:rsid w:val="0072629D"/>
    <w:rsid w:val="0072650C"/>
    <w:rsid w:val="007265B3"/>
    <w:rsid w:val="0072683C"/>
    <w:rsid w:val="00726913"/>
    <w:rsid w:val="00726D73"/>
    <w:rsid w:val="007275A6"/>
    <w:rsid w:val="007275EA"/>
    <w:rsid w:val="0072797A"/>
    <w:rsid w:val="0072798F"/>
    <w:rsid w:val="00727A1B"/>
    <w:rsid w:val="00727A9E"/>
    <w:rsid w:val="00727B83"/>
    <w:rsid w:val="00727FB1"/>
    <w:rsid w:val="0073077A"/>
    <w:rsid w:val="00730A10"/>
    <w:rsid w:val="00730B40"/>
    <w:rsid w:val="00730C7A"/>
    <w:rsid w:val="00730E0F"/>
    <w:rsid w:val="00730FC7"/>
    <w:rsid w:val="007310E7"/>
    <w:rsid w:val="007311CD"/>
    <w:rsid w:val="00731404"/>
    <w:rsid w:val="007318B0"/>
    <w:rsid w:val="00731964"/>
    <w:rsid w:val="007319DF"/>
    <w:rsid w:val="00731A36"/>
    <w:rsid w:val="00731BDD"/>
    <w:rsid w:val="007322C4"/>
    <w:rsid w:val="007323A0"/>
    <w:rsid w:val="00732637"/>
    <w:rsid w:val="0073269F"/>
    <w:rsid w:val="00732773"/>
    <w:rsid w:val="007327EE"/>
    <w:rsid w:val="0073282A"/>
    <w:rsid w:val="00732BDA"/>
    <w:rsid w:val="00732D2D"/>
    <w:rsid w:val="00732FBF"/>
    <w:rsid w:val="00733085"/>
    <w:rsid w:val="00733159"/>
    <w:rsid w:val="0073342B"/>
    <w:rsid w:val="00733523"/>
    <w:rsid w:val="00733989"/>
    <w:rsid w:val="00733D15"/>
    <w:rsid w:val="00733E9F"/>
    <w:rsid w:val="00733F66"/>
    <w:rsid w:val="007342D0"/>
    <w:rsid w:val="007344AF"/>
    <w:rsid w:val="0073467E"/>
    <w:rsid w:val="007348AD"/>
    <w:rsid w:val="007348DF"/>
    <w:rsid w:val="00734C97"/>
    <w:rsid w:val="00734D96"/>
    <w:rsid w:val="00734E88"/>
    <w:rsid w:val="007352CF"/>
    <w:rsid w:val="00735415"/>
    <w:rsid w:val="00735548"/>
    <w:rsid w:val="00735EA0"/>
    <w:rsid w:val="007364AD"/>
    <w:rsid w:val="00736975"/>
    <w:rsid w:val="0073714B"/>
    <w:rsid w:val="0073759B"/>
    <w:rsid w:val="00737753"/>
    <w:rsid w:val="00737B25"/>
    <w:rsid w:val="00737B48"/>
    <w:rsid w:val="00737F33"/>
    <w:rsid w:val="007405EC"/>
    <w:rsid w:val="00740610"/>
    <w:rsid w:val="00740BAA"/>
    <w:rsid w:val="00740DF6"/>
    <w:rsid w:val="00740EFE"/>
    <w:rsid w:val="00740F41"/>
    <w:rsid w:val="00740FA2"/>
    <w:rsid w:val="007412A2"/>
    <w:rsid w:val="0074143C"/>
    <w:rsid w:val="007415BF"/>
    <w:rsid w:val="007415E3"/>
    <w:rsid w:val="00741708"/>
    <w:rsid w:val="007418B7"/>
    <w:rsid w:val="00741969"/>
    <w:rsid w:val="00741A70"/>
    <w:rsid w:val="00741C90"/>
    <w:rsid w:val="00741CCC"/>
    <w:rsid w:val="0074256B"/>
    <w:rsid w:val="007427B5"/>
    <w:rsid w:val="007427F5"/>
    <w:rsid w:val="0074294A"/>
    <w:rsid w:val="00742C51"/>
    <w:rsid w:val="00742D41"/>
    <w:rsid w:val="00742D4D"/>
    <w:rsid w:val="00742E8B"/>
    <w:rsid w:val="00742EB3"/>
    <w:rsid w:val="0074301D"/>
    <w:rsid w:val="00743160"/>
    <w:rsid w:val="00743230"/>
    <w:rsid w:val="007432BC"/>
    <w:rsid w:val="00743357"/>
    <w:rsid w:val="00743858"/>
    <w:rsid w:val="00743896"/>
    <w:rsid w:val="00743BD3"/>
    <w:rsid w:val="007441C7"/>
    <w:rsid w:val="00744328"/>
    <w:rsid w:val="00744499"/>
    <w:rsid w:val="007445F7"/>
    <w:rsid w:val="00744795"/>
    <w:rsid w:val="00744901"/>
    <w:rsid w:val="00745016"/>
    <w:rsid w:val="0074525A"/>
    <w:rsid w:val="00745445"/>
    <w:rsid w:val="00745790"/>
    <w:rsid w:val="00745AD6"/>
    <w:rsid w:val="00745B68"/>
    <w:rsid w:val="00745BC8"/>
    <w:rsid w:val="00745ECD"/>
    <w:rsid w:val="00746643"/>
    <w:rsid w:val="00746A66"/>
    <w:rsid w:val="00746B1C"/>
    <w:rsid w:val="00746BDE"/>
    <w:rsid w:val="007470AF"/>
    <w:rsid w:val="00747126"/>
    <w:rsid w:val="0074726A"/>
    <w:rsid w:val="007473AC"/>
    <w:rsid w:val="00747548"/>
    <w:rsid w:val="00747F1D"/>
    <w:rsid w:val="007503D8"/>
    <w:rsid w:val="007506E2"/>
    <w:rsid w:val="0075082F"/>
    <w:rsid w:val="00750DD0"/>
    <w:rsid w:val="00750E40"/>
    <w:rsid w:val="00750E4E"/>
    <w:rsid w:val="00750ECC"/>
    <w:rsid w:val="00751345"/>
    <w:rsid w:val="00751470"/>
    <w:rsid w:val="00751499"/>
    <w:rsid w:val="007515A7"/>
    <w:rsid w:val="0075169C"/>
    <w:rsid w:val="0075179F"/>
    <w:rsid w:val="00751875"/>
    <w:rsid w:val="00751942"/>
    <w:rsid w:val="00751A2F"/>
    <w:rsid w:val="00751D76"/>
    <w:rsid w:val="00751E87"/>
    <w:rsid w:val="00752162"/>
    <w:rsid w:val="0075219F"/>
    <w:rsid w:val="007521AF"/>
    <w:rsid w:val="00752215"/>
    <w:rsid w:val="00752273"/>
    <w:rsid w:val="0075231E"/>
    <w:rsid w:val="0075238A"/>
    <w:rsid w:val="007524C5"/>
    <w:rsid w:val="00752687"/>
    <w:rsid w:val="007527C3"/>
    <w:rsid w:val="00752908"/>
    <w:rsid w:val="00752D80"/>
    <w:rsid w:val="00752DB2"/>
    <w:rsid w:val="00753025"/>
    <w:rsid w:val="00753328"/>
    <w:rsid w:val="007535D8"/>
    <w:rsid w:val="00753642"/>
    <w:rsid w:val="0075370C"/>
    <w:rsid w:val="007537D4"/>
    <w:rsid w:val="00753891"/>
    <w:rsid w:val="0075396F"/>
    <w:rsid w:val="00753A9B"/>
    <w:rsid w:val="00753CF0"/>
    <w:rsid w:val="00753E0D"/>
    <w:rsid w:val="00753EA3"/>
    <w:rsid w:val="00753EED"/>
    <w:rsid w:val="0075413F"/>
    <w:rsid w:val="0075426C"/>
    <w:rsid w:val="007544B6"/>
    <w:rsid w:val="007547B8"/>
    <w:rsid w:val="00754B47"/>
    <w:rsid w:val="00754E20"/>
    <w:rsid w:val="007550A9"/>
    <w:rsid w:val="007553C7"/>
    <w:rsid w:val="007558A0"/>
    <w:rsid w:val="00755A71"/>
    <w:rsid w:val="00755B3D"/>
    <w:rsid w:val="00755C23"/>
    <w:rsid w:val="0075612A"/>
    <w:rsid w:val="00756555"/>
    <w:rsid w:val="0075677E"/>
    <w:rsid w:val="007568CE"/>
    <w:rsid w:val="00756F2D"/>
    <w:rsid w:val="00756FC3"/>
    <w:rsid w:val="0075711E"/>
    <w:rsid w:val="0075790B"/>
    <w:rsid w:val="00757B89"/>
    <w:rsid w:val="00757E7B"/>
    <w:rsid w:val="00757ED7"/>
    <w:rsid w:val="0076011E"/>
    <w:rsid w:val="00760586"/>
    <w:rsid w:val="007605D3"/>
    <w:rsid w:val="0076064D"/>
    <w:rsid w:val="007606A6"/>
    <w:rsid w:val="00760BE0"/>
    <w:rsid w:val="00760D6C"/>
    <w:rsid w:val="00760E5B"/>
    <w:rsid w:val="007613BC"/>
    <w:rsid w:val="0076172A"/>
    <w:rsid w:val="007617D8"/>
    <w:rsid w:val="007621FA"/>
    <w:rsid w:val="007626EE"/>
    <w:rsid w:val="00762715"/>
    <w:rsid w:val="00762C5C"/>
    <w:rsid w:val="00762E39"/>
    <w:rsid w:val="00762F5D"/>
    <w:rsid w:val="007633B7"/>
    <w:rsid w:val="007634E6"/>
    <w:rsid w:val="00763798"/>
    <w:rsid w:val="00763B0C"/>
    <w:rsid w:val="00763BAC"/>
    <w:rsid w:val="00764174"/>
    <w:rsid w:val="00764457"/>
    <w:rsid w:val="007648BA"/>
    <w:rsid w:val="00764A97"/>
    <w:rsid w:val="00764D41"/>
    <w:rsid w:val="0076504A"/>
    <w:rsid w:val="0076507A"/>
    <w:rsid w:val="00765254"/>
    <w:rsid w:val="007652B6"/>
    <w:rsid w:val="007655E4"/>
    <w:rsid w:val="00765698"/>
    <w:rsid w:val="007656A2"/>
    <w:rsid w:val="00765918"/>
    <w:rsid w:val="00765C0C"/>
    <w:rsid w:val="00765EB7"/>
    <w:rsid w:val="0076675D"/>
    <w:rsid w:val="00766886"/>
    <w:rsid w:val="007668A4"/>
    <w:rsid w:val="00766960"/>
    <w:rsid w:val="00766A9D"/>
    <w:rsid w:val="00766CE6"/>
    <w:rsid w:val="00766D3B"/>
    <w:rsid w:val="00766DBE"/>
    <w:rsid w:val="00766E72"/>
    <w:rsid w:val="00767162"/>
    <w:rsid w:val="0076723E"/>
    <w:rsid w:val="0076726B"/>
    <w:rsid w:val="007672BE"/>
    <w:rsid w:val="007673FE"/>
    <w:rsid w:val="0076765A"/>
    <w:rsid w:val="0076777D"/>
    <w:rsid w:val="00767780"/>
    <w:rsid w:val="007678FE"/>
    <w:rsid w:val="00767932"/>
    <w:rsid w:val="00767AA0"/>
    <w:rsid w:val="00767B6D"/>
    <w:rsid w:val="00767C99"/>
    <w:rsid w:val="00770108"/>
    <w:rsid w:val="00770466"/>
    <w:rsid w:val="00770479"/>
    <w:rsid w:val="007704C5"/>
    <w:rsid w:val="00770803"/>
    <w:rsid w:val="00770900"/>
    <w:rsid w:val="00770B68"/>
    <w:rsid w:val="00770CBC"/>
    <w:rsid w:val="00770E36"/>
    <w:rsid w:val="00770ED7"/>
    <w:rsid w:val="00771061"/>
    <w:rsid w:val="00771183"/>
    <w:rsid w:val="00771645"/>
    <w:rsid w:val="00771860"/>
    <w:rsid w:val="00771B78"/>
    <w:rsid w:val="00771E5C"/>
    <w:rsid w:val="00771F9F"/>
    <w:rsid w:val="00772144"/>
    <w:rsid w:val="007721A2"/>
    <w:rsid w:val="007727F2"/>
    <w:rsid w:val="00772A87"/>
    <w:rsid w:val="00772D17"/>
    <w:rsid w:val="00773093"/>
    <w:rsid w:val="007731DA"/>
    <w:rsid w:val="007736F1"/>
    <w:rsid w:val="00773754"/>
    <w:rsid w:val="00773849"/>
    <w:rsid w:val="00774044"/>
    <w:rsid w:val="007743B8"/>
    <w:rsid w:val="0077475E"/>
    <w:rsid w:val="00774915"/>
    <w:rsid w:val="00774AFD"/>
    <w:rsid w:val="00774DF8"/>
    <w:rsid w:val="00774ED8"/>
    <w:rsid w:val="00774EE4"/>
    <w:rsid w:val="007750F5"/>
    <w:rsid w:val="00775815"/>
    <w:rsid w:val="00775866"/>
    <w:rsid w:val="007759D0"/>
    <w:rsid w:val="00775AFB"/>
    <w:rsid w:val="00775BF9"/>
    <w:rsid w:val="00775C07"/>
    <w:rsid w:val="00775C7E"/>
    <w:rsid w:val="00775CFF"/>
    <w:rsid w:val="00775D2B"/>
    <w:rsid w:val="00776089"/>
    <w:rsid w:val="0077647C"/>
    <w:rsid w:val="00776733"/>
    <w:rsid w:val="007767DB"/>
    <w:rsid w:val="00776AC2"/>
    <w:rsid w:val="00776E8C"/>
    <w:rsid w:val="0077705B"/>
    <w:rsid w:val="007773DF"/>
    <w:rsid w:val="00777412"/>
    <w:rsid w:val="007774F4"/>
    <w:rsid w:val="00777641"/>
    <w:rsid w:val="00777739"/>
    <w:rsid w:val="007777C6"/>
    <w:rsid w:val="00777868"/>
    <w:rsid w:val="0077792E"/>
    <w:rsid w:val="007779D6"/>
    <w:rsid w:val="00777B8D"/>
    <w:rsid w:val="00777E60"/>
    <w:rsid w:val="00777F1D"/>
    <w:rsid w:val="00777FA2"/>
    <w:rsid w:val="00780169"/>
    <w:rsid w:val="0078038A"/>
    <w:rsid w:val="007805A0"/>
    <w:rsid w:val="00780675"/>
    <w:rsid w:val="00780685"/>
    <w:rsid w:val="007809AE"/>
    <w:rsid w:val="00780B0A"/>
    <w:rsid w:val="00780B29"/>
    <w:rsid w:val="00780B3F"/>
    <w:rsid w:val="00780B7D"/>
    <w:rsid w:val="00781018"/>
    <w:rsid w:val="007810E1"/>
    <w:rsid w:val="00781147"/>
    <w:rsid w:val="0078131F"/>
    <w:rsid w:val="00781438"/>
    <w:rsid w:val="007814A0"/>
    <w:rsid w:val="007815A9"/>
    <w:rsid w:val="007816DB"/>
    <w:rsid w:val="007818A8"/>
    <w:rsid w:val="007819B3"/>
    <w:rsid w:val="00781B89"/>
    <w:rsid w:val="007820FA"/>
    <w:rsid w:val="0078231E"/>
    <w:rsid w:val="0078278E"/>
    <w:rsid w:val="00782AD7"/>
    <w:rsid w:val="0078308D"/>
    <w:rsid w:val="007837D4"/>
    <w:rsid w:val="00783903"/>
    <w:rsid w:val="00783B4D"/>
    <w:rsid w:val="00783F69"/>
    <w:rsid w:val="007841D5"/>
    <w:rsid w:val="00784245"/>
    <w:rsid w:val="00784252"/>
    <w:rsid w:val="00784323"/>
    <w:rsid w:val="007844C2"/>
    <w:rsid w:val="00784A05"/>
    <w:rsid w:val="00784C5A"/>
    <w:rsid w:val="00784EC6"/>
    <w:rsid w:val="00784F0F"/>
    <w:rsid w:val="0078525C"/>
    <w:rsid w:val="007854AE"/>
    <w:rsid w:val="0078578A"/>
    <w:rsid w:val="007858D5"/>
    <w:rsid w:val="00786245"/>
    <w:rsid w:val="007862B9"/>
    <w:rsid w:val="007863AF"/>
    <w:rsid w:val="007863C9"/>
    <w:rsid w:val="0078650D"/>
    <w:rsid w:val="00786610"/>
    <w:rsid w:val="0078682D"/>
    <w:rsid w:val="00786972"/>
    <w:rsid w:val="00786AA7"/>
    <w:rsid w:val="00786D7A"/>
    <w:rsid w:val="00786FDA"/>
    <w:rsid w:val="00787029"/>
    <w:rsid w:val="00787181"/>
    <w:rsid w:val="0078739C"/>
    <w:rsid w:val="007876CE"/>
    <w:rsid w:val="007877D4"/>
    <w:rsid w:val="007879CB"/>
    <w:rsid w:val="00787A5D"/>
    <w:rsid w:val="00787EA6"/>
    <w:rsid w:val="00787FE1"/>
    <w:rsid w:val="00790042"/>
    <w:rsid w:val="00790051"/>
    <w:rsid w:val="00790368"/>
    <w:rsid w:val="00790495"/>
    <w:rsid w:val="007909C3"/>
    <w:rsid w:val="00790ABE"/>
    <w:rsid w:val="00790D63"/>
    <w:rsid w:val="00790E0B"/>
    <w:rsid w:val="00790EB4"/>
    <w:rsid w:val="007910CB"/>
    <w:rsid w:val="00791195"/>
    <w:rsid w:val="0079120F"/>
    <w:rsid w:val="007914A6"/>
    <w:rsid w:val="00791B53"/>
    <w:rsid w:val="00791C64"/>
    <w:rsid w:val="00792126"/>
    <w:rsid w:val="00792170"/>
    <w:rsid w:val="007923D9"/>
    <w:rsid w:val="007927BC"/>
    <w:rsid w:val="00792A65"/>
    <w:rsid w:val="00792E62"/>
    <w:rsid w:val="00792EC0"/>
    <w:rsid w:val="007930F6"/>
    <w:rsid w:val="00793132"/>
    <w:rsid w:val="007934A2"/>
    <w:rsid w:val="0079377E"/>
    <w:rsid w:val="00793B7F"/>
    <w:rsid w:val="00793D30"/>
    <w:rsid w:val="00793E21"/>
    <w:rsid w:val="00793E94"/>
    <w:rsid w:val="00793EC1"/>
    <w:rsid w:val="00793EC8"/>
    <w:rsid w:val="007941D3"/>
    <w:rsid w:val="007941DB"/>
    <w:rsid w:val="0079467B"/>
    <w:rsid w:val="00794769"/>
    <w:rsid w:val="00794912"/>
    <w:rsid w:val="00794A71"/>
    <w:rsid w:val="00794B62"/>
    <w:rsid w:val="00794E4B"/>
    <w:rsid w:val="00794EAF"/>
    <w:rsid w:val="00794F4D"/>
    <w:rsid w:val="00794F51"/>
    <w:rsid w:val="00795065"/>
    <w:rsid w:val="0079513B"/>
    <w:rsid w:val="007953A1"/>
    <w:rsid w:val="0079560A"/>
    <w:rsid w:val="0079572A"/>
    <w:rsid w:val="007958B8"/>
    <w:rsid w:val="00795BB6"/>
    <w:rsid w:val="00795CA4"/>
    <w:rsid w:val="0079602B"/>
    <w:rsid w:val="00796175"/>
    <w:rsid w:val="007962D9"/>
    <w:rsid w:val="007963E2"/>
    <w:rsid w:val="007967F9"/>
    <w:rsid w:val="00796AB4"/>
    <w:rsid w:val="00796ACD"/>
    <w:rsid w:val="00796C88"/>
    <w:rsid w:val="00796D13"/>
    <w:rsid w:val="00796F3A"/>
    <w:rsid w:val="00797024"/>
    <w:rsid w:val="0079734E"/>
    <w:rsid w:val="00797391"/>
    <w:rsid w:val="007975BF"/>
    <w:rsid w:val="007976C9"/>
    <w:rsid w:val="0079799A"/>
    <w:rsid w:val="00797A26"/>
    <w:rsid w:val="007A0123"/>
    <w:rsid w:val="007A04BD"/>
    <w:rsid w:val="007A06E6"/>
    <w:rsid w:val="007A079D"/>
    <w:rsid w:val="007A0AF9"/>
    <w:rsid w:val="007A0D90"/>
    <w:rsid w:val="007A1218"/>
    <w:rsid w:val="007A1665"/>
    <w:rsid w:val="007A1792"/>
    <w:rsid w:val="007A17FF"/>
    <w:rsid w:val="007A18DF"/>
    <w:rsid w:val="007A1F77"/>
    <w:rsid w:val="007A20E9"/>
    <w:rsid w:val="007A2223"/>
    <w:rsid w:val="007A2325"/>
    <w:rsid w:val="007A23AD"/>
    <w:rsid w:val="007A26E8"/>
    <w:rsid w:val="007A2B41"/>
    <w:rsid w:val="007A3237"/>
    <w:rsid w:val="007A390B"/>
    <w:rsid w:val="007A3A41"/>
    <w:rsid w:val="007A3E76"/>
    <w:rsid w:val="007A3FB5"/>
    <w:rsid w:val="007A4155"/>
    <w:rsid w:val="007A45A1"/>
    <w:rsid w:val="007A4805"/>
    <w:rsid w:val="007A48DE"/>
    <w:rsid w:val="007A51E7"/>
    <w:rsid w:val="007A55D7"/>
    <w:rsid w:val="007A5689"/>
    <w:rsid w:val="007A5B30"/>
    <w:rsid w:val="007A62EB"/>
    <w:rsid w:val="007A657A"/>
    <w:rsid w:val="007A6637"/>
    <w:rsid w:val="007A6711"/>
    <w:rsid w:val="007A6985"/>
    <w:rsid w:val="007A6C6A"/>
    <w:rsid w:val="007A6F1A"/>
    <w:rsid w:val="007A6FCC"/>
    <w:rsid w:val="007A7161"/>
    <w:rsid w:val="007A71D7"/>
    <w:rsid w:val="007A72A7"/>
    <w:rsid w:val="007A738A"/>
    <w:rsid w:val="007A7395"/>
    <w:rsid w:val="007A78ED"/>
    <w:rsid w:val="007A7D8A"/>
    <w:rsid w:val="007A7DC9"/>
    <w:rsid w:val="007B012C"/>
    <w:rsid w:val="007B01DE"/>
    <w:rsid w:val="007B0298"/>
    <w:rsid w:val="007B0327"/>
    <w:rsid w:val="007B0351"/>
    <w:rsid w:val="007B041B"/>
    <w:rsid w:val="007B0430"/>
    <w:rsid w:val="007B0445"/>
    <w:rsid w:val="007B06F9"/>
    <w:rsid w:val="007B0B23"/>
    <w:rsid w:val="007B0CBF"/>
    <w:rsid w:val="007B0D48"/>
    <w:rsid w:val="007B0E31"/>
    <w:rsid w:val="007B0EB8"/>
    <w:rsid w:val="007B0ECB"/>
    <w:rsid w:val="007B120D"/>
    <w:rsid w:val="007B1B11"/>
    <w:rsid w:val="007B1B94"/>
    <w:rsid w:val="007B1E57"/>
    <w:rsid w:val="007B1EF7"/>
    <w:rsid w:val="007B21CF"/>
    <w:rsid w:val="007B2246"/>
    <w:rsid w:val="007B2400"/>
    <w:rsid w:val="007B24D2"/>
    <w:rsid w:val="007B2938"/>
    <w:rsid w:val="007B29AA"/>
    <w:rsid w:val="007B2D68"/>
    <w:rsid w:val="007B3014"/>
    <w:rsid w:val="007B3078"/>
    <w:rsid w:val="007B312C"/>
    <w:rsid w:val="007B3258"/>
    <w:rsid w:val="007B3700"/>
    <w:rsid w:val="007B3968"/>
    <w:rsid w:val="007B3975"/>
    <w:rsid w:val="007B3D2B"/>
    <w:rsid w:val="007B3D8D"/>
    <w:rsid w:val="007B3E38"/>
    <w:rsid w:val="007B444D"/>
    <w:rsid w:val="007B46C4"/>
    <w:rsid w:val="007B4753"/>
    <w:rsid w:val="007B4772"/>
    <w:rsid w:val="007B48CD"/>
    <w:rsid w:val="007B4C04"/>
    <w:rsid w:val="007B4DC2"/>
    <w:rsid w:val="007B5050"/>
    <w:rsid w:val="007B513E"/>
    <w:rsid w:val="007B5254"/>
    <w:rsid w:val="007B5280"/>
    <w:rsid w:val="007B536E"/>
    <w:rsid w:val="007B54C5"/>
    <w:rsid w:val="007B54C7"/>
    <w:rsid w:val="007B5619"/>
    <w:rsid w:val="007B570E"/>
    <w:rsid w:val="007B58FF"/>
    <w:rsid w:val="007B59D3"/>
    <w:rsid w:val="007B5B54"/>
    <w:rsid w:val="007B6073"/>
    <w:rsid w:val="007B632C"/>
    <w:rsid w:val="007B6A9A"/>
    <w:rsid w:val="007B6B68"/>
    <w:rsid w:val="007B6D63"/>
    <w:rsid w:val="007B6D7D"/>
    <w:rsid w:val="007B6DB2"/>
    <w:rsid w:val="007B6F17"/>
    <w:rsid w:val="007B6FC0"/>
    <w:rsid w:val="007B706D"/>
    <w:rsid w:val="007B727C"/>
    <w:rsid w:val="007B76D7"/>
    <w:rsid w:val="007B7879"/>
    <w:rsid w:val="007B789B"/>
    <w:rsid w:val="007B78FD"/>
    <w:rsid w:val="007B7BAF"/>
    <w:rsid w:val="007B7D40"/>
    <w:rsid w:val="007B7D9A"/>
    <w:rsid w:val="007C00E6"/>
    <w:rsid w:val="007C07C4"/>
    <w:rsid w:val="007C08AF"/>
    <w:rsid w:val="007C095B"/>
    <w:rsid w:val="007C09FA"/>
    <w:rsid w:val="007C0AB8"/>
    <w:rsid w:val="007C0D79"/>
    <w:rsid w:val="007C0DEE"/>
    <w:rsid w:val="007C0E20"/>
    <w:rsid w:val="007C0FF1"/>
    <w:rsid w:val="007C1047"/>
    <w:rsid w:val="007C112A"/>
    <w:rsid w:val="007C122D"/>
    <w:rsid w:val="007C13AC"/>
    <w:rsid w:val="007C166E"/>
    <w:rsid w:val="007C1784"/>
    <w:rsid w:val="007C1A0B"/>
    <w:rsid w:val="007C1B21"/>
    <w:rsid w:val="007C1B44"/>
    <w:rsid w:val="007C1BC7"/>
    <w:rsid w:val="007C1DD4"/>
    <w:rsid w:val="007C1FAA"/>
    <w:rsid w:val="007C21A5"/>
    <w:rsid w:val="007C2232"/>
    <w:rsid w:val="007C230A"/>
    <w:rsid w:val="007C23E7"/>
    <w:rsid w:val="007C2BEC"/>
    <w:rsid w:val="007C2DD8"/>
    <w:rsid w:val="007C2F8A"/>
    <w:rsid w:val="007C310A"/>
    <w:rsid w:val="007C310D"/>
    <w:rsid w:val="007C33A8"/>
    <w:rsid w:val="007C33EB"/>
    <w:rsid w:val="007C34A0"/>
    <w:rsid w:val="007C3580"/>
    <w:rsid w:val="007C364F"/>
    <w:rsid w:val="007C36DB"/>
    <w:rsid w:val="007C36E2"/>
    <w:rsid w:val="007C3870"/>
    <w:rsid w:val="007C3911"/>
    <w:rsid w:val="007C3A7D"/>
    <w:rsid w:val="007C3BD0"/>
    <w:rsid w:val="007C3D5F"/>
    <w:rsid w:val="007C3F12"/>
    <w:rsid w:val="007C3F84"/>
    <w:rsid w:val="007C43DF"/>
    <w:rsid w:val="007C45D8"/>
    <w:rsid w:val="007C4650"/>
    <w:rsid w:val="007C4A14"/>
    <w:rsid w:val="007C4BEF"/>
    <w:rsid w:val="007C4E21"/>
    <w:rsid w:val="007C5366"/>
    <w:rsid w:val="007C536F"/>
    <w:rsid w:val="007C5773"/>
    <w:rsid w:val="007C5B0A"/>
    <w:rsid w:val="007C5E01"/>
    <w:rsid w:val="007C5E73"/>
    <w:rsid w:val="007C5F11"/>
    <w:rsid w:val="007C6084"/>
    <w:rsid w:val="007C6731"/>
    <w:rsid w:val="007C6912"/>
    <w:rsid w:val="007C6C77"/>
    <w:rsid w:val="007C705F"/>
    <w:rsid w:val="007C75DD"/>
    <w:rsid w:val="007C7905"/>
    <w:rsid w:val="007C7C3D"/>
    <w:rsid w:val="007C7EE5"/>
    <w:rsid w:val="007D0240"/>
    <w:rsid w:val="007D0672"/>
    <w:rsid w:val="007D0C7B"/>
    <w:rsid w:val="007D0F6B"/>
    <w:rsid w:val="007D1153"/>
    <w:rsid w:val="007D12E9"/>
    <w:rsid w:val="007D1527"/>
    <w:rsid w:val="007D19A5"/>
    <w:rsid w:val="007D19ED"/>
    <w:rsid w:val="007D1A66"/>
    <w:rsid w:val="007D1A88"/>
    <w:rsid w:val="007D1B9A"/>
    <w:rsid w:val="007D1BDD"/>
    <w:rsid w:val="007D1D07"/>
    <w:rsid w:val="007D1E6D"/>
    <w:rsid w:val="007D1FB9"/>
    <w:rsid w:val="007D2439"/>
    <w:rsid w:val="007D2466"/>
    <w:rsid w:val="007D27E6"/>
    <w:rsid w:val="007D2846"/>
    <w:rsid w:val="007D2935"/>
    <w:rsid w:val="007D2A75"/>
    <w:rsid w:val="007D2A76"/>
    <w:rsid w:val="007D2BE6"/>
    <w:rsid w:val="007D3007"/>
    <w:rsid w:val="007D4B14"/>
    <w:rsid w:val="007D4DC1"/>
    <w:rsid w:val="007D4E55"/>
    <w:rsid w:val="007D4EB6"/>
    <w:rsid w:val="007D4F27"/>
    <w:rsid w:val="007D538A"/>
    <w:rsid w:val="007D632D"/>
    <w:rsid w:val="007D64E2"/>
    <w:rsid w:val="007D6866"/>
    <w:rsid w:val="007D68CE"/>
    <w:rsid w:val="007D697B"/>
    <w:rsid w:val="007D6D12"/>
    <w:rsid w:val="007D6D48"/>
    <w:rsid w:val="007D701D"/>
    <w:rsid w:val="007D7344"/>
    <w:rsid w:val="007D77BA"/>
    <w:rsid w:val="007D7891"/>
    <w:rsid w:val="007D7D8B"/>
    <w:rsid w:val="007D7ED7"/>
    <w:rsid w:val="007D7F90"/>
    <w:rsid w:val="007E05A8"/>
    <w:rsid w:val="007E0672"/>
    <w:rsid w:val="007E0791"/>
    <w:rsid w:val="007E0B20"/>
    <w:rsid w:val="007E0BB8"/>
    <w:rsid w:val="007E0E0E"/>
    <w:rsid w:val="007E1448"/>
    <w:rsid w:val="007E14F1"/>
    <w:rsid w:val="007E16E2"/>
    <w:rsid w:val="007E1A79"/>
    <w:rsid w:val="007E1C5E"/>
    <w:rsid w:val="007E1C71"/>
    <w:rsid w:val="007E1F1E"/>
    <w:rsid w:val="007E1F44"/>
    <w:rsid w:val="007E2178"/>
    <w:rsid w:val="007E22E4"/>
    <w:rsid w:val="007E2352"/>
    <w:rsid w:val="007E2528"/>
    <w:rsid w:val="007E277A"/>
    <w:rsid w:val="007E29D8"/>
    <w:rsid w:val="007E2AE7"/>
    <w:rsid w:val="007E2B8E"/>
    <w:rsid w:val="007E2BD3"/>
    <w:rsid w:val="007E311B"/>
    <w:rsid w:val="007E3283"/>
    <w:rsid w:val="007E3B3A"/>
    <w:rsid w:val="007E3C4A"/>
    <w:rsid w:val="007E3C8F"/>
    <w:rsid w:val="007E3D13"/>
    <w:rsid w:val="007E40C8"/>
    <w:rsid w:val="007E4C58"/>
    <w:rsid w:val="007E5436"/>
    <w:rsid w:val="007E547F"/>
    <w:rsid w:val="007E55E9"/>
    <w:rsid w:val="007E5AFB"/>
    <w:rsid w:val="007E5B1D"/>
    <w:rsid w:val="007E5D82"/>
    <w:rsid w:val="007E5DB5"/>
    <w:rsid w:val="007E5DC1"/>
    <w:rsid w:val="007E5E7D"/>
    <w:rsid w:val="007E5F60"/>
    <w:rsid w:val="007E62E6"/>
    <w:rsid w:val="007E6322"/>
    <w:rsid w:val="007E64BD"/>
    <w:rsid w:val="007E6629"/>
    <w:rsid w:val="007E680D"/>
    <w:rsid w:val="007E6B1B"/>
    <w:rsid w:val="007E6B44"/>
    <w:rsid w:val="007E6D47"/>
    <w:rsid w:val="007E6EBC"/>
    <w:rsid w:val="007E712C"/>
    <w:rsid w:val="007E74ED"/>
    <w:rsid w:val="007E7513"/>
    <w:rsid w:val="007E7596"/>
    <w:rsid w:val="007E7723"/>
    <w:rsid w:val="007E7724"/>
    <w:rsid w:val="007E781D"/>
    <w:rsid w:val="007E7A06"/>
    <w:rsid w:val="007E7B19"/>
    <w:rsid w:val="007E7B50"/>
    <w:rsid w:val="007E7C45"/>
    <w:rsid w:val="007E7EE6"/>
    <w:rsid w:val="007E7F7E"/>
    <w:rsid w:val="007F0005"/>
    <w:rsid w:val="007F025F"/>
    <w:rsid w:val="007F026A"/>
    <w:rsid w:val="007F02B4"/>
    <w:rsid w:val="007F0397"/>
    <w:rsid w:val="007F03A8"/>
    <w:rsid w:val="007F03C3"/>
    <w:rsid w:val="007F04F6"/>
    <w:rsid w:val="007F07DD"/>
    <w:rsid w:val="007F0881"/>
    <w:rsid w:val="007F0DDD"/>
    <w:rsid w:val="007F0E02"/>
    <w:rsid w:val="007F10B9"/>
    <w:rsid w:val="007F10E3"/>
    <w:rsid w:val="007F144A"/>
    <w:rsid w:val="007F17D0"/>
    <w:rsid w:val="007F18D3"/>
    <w:rsid w:val="007F1A0A"/>
    <w:rsid w:val="007F1EDD"/>
    <w:rsid w:val="007F206A"/>
    <w:rsid w:val="007F2334"/>
    <w:rsid w:val="007F26F2"/>
    <w:rsid w:val="007F280E"/>
    <w:rsid w:val="007F2C62"/>
    <w:rsid w:val="007F3615"/>
    <w:rsid w:val="007F36AC"/>
    <w:rsid w:val="007F3807"/>
    <w:rsid w:val="007F3C6F"/>
    <w:rsid w:val="007F4027"/>
    <w:rsid w:val="007F4129"/>
    <w:rsid w:val="007F4159"/>
    <w:rsid w:val="007F4230"/>
    <w:rsid w:val="007F4585"/>
    <w:rsid w:val="007F4629"/>
    <w:rsid w:val="007F47B4"/>
    <w:rsid w:val="007F4AEC"/>
    <w:rsid w:val="007F4C16"/>
    <w:rsid w:val="007F4E84"/>
    <w:rsid w:val="007F5208"/>
    <w:rsid w:val="007F55E1"/>
    <w:rsid w:val="007F566D"/>
    <w:rsid w:val="007F5677"/>
    <w:rsid w:val="007F5BC7"/>
    <w:rsid w:val="007F5BF1"/>
    <w:rsid w:val="007F5CD1"/>
    <w:rsid w:val="007F5D92"/>
    <w:rsid w:val="007F6141"/>
    <w:rsid w:val="007F61C8"/>
    <w:rsid w:val="007F62F7"/>
    <w:rsid w:val="007F632C"/>
    <w:rsid w:val="007F679B"/>
    <w:rsid w:val="007F6948"/>
    <w:rsid w:val="007F6DB0"/>
    <w:rsid w:val="007F6E06"/>
    <w:rsid w:val="007F7879"/>
    <w:rsid w:val="008000E8"/>
    <w:rsid w:val="008004B8"/>
    <w:rsid w:val="00800554"/>
    <w:rsid w:val="0080059F"/>
    <w:rsid w:val="0080094C"/>
    <w:rsid w:val="00800B68"/>
    <w:rsid w:val="00800C18"/>
    <w:rsid w:val="00800DEB"/>
    <w:rsid w:val="008012C0"/>
    <w:rsid w:val="00801430"/>
    <w:rsid w:val="0080162C"/>
    <w:rsid w:val="0080199C"/>
    <w:rsid w:val="008019C1"/>
    <w:rsid w:val="00801BDF"/>
    <w:rsid w:val="00801C45"/>
    <w:rsid w:val="00801C9D"/>
    <w:rsid w:val="00801D23"/>
    <w:rsid w:val="00801DEC"/>
    <w:rsid w:val="00801F22"/>
    <w:rsid w:val="00801F50"/>
    <w:rsid w:val="0080200E"/>
    <w:rsid w:val="008021AF"/>
    <w:rsid w:val="0080220E"/>
    <w:rsid w:val="00802837"/>
    <w:rsid w:val="00802B1B"/>
    <w:rsid w:val="00802B9B"/>
    <w:rsid w:val="00802CBE"/>
    <w:rsid w:val="0080312A"/>
    <w:rsid w:val="00803368"/>
    <w:rsid w:val="008033D3"/>
    <w:rsid w:val="008035D4"/>
    <w:rsid w:val="00803A29"/>
    <w:rsid w:val="00803CC3"/>
    <w:rsid w:val="0080413D"/>
    <w:rsid w:val="00804420"/>
    <w:rsid w:val="008046F4"/>
    <w:rsid w:val="008047D0"/>
    <w:rsid w:val="008047E6"/>
    <w:rsid w:val="00804B04"/>
    <w:rsid w:val="00804BE0"/>
    <w:rsid w:val="00804BF0"/>
    <w:rsid w:val="00804C36"/>
    <w:rsid w:val="00804C59"/>
    <w:rsid w:val="00804DFE"/>
    <w:rsid w:val="00804F34"/>
    <w:rsid w:val="00804FA6"/>
    <w:rsid w:val="008052DD"/>
    <w:rsid w:val="00805306"/>
    <w:rsid w:val="00805554"/>
    <w:rsid w:val="008059AE"/>
    <w:rsid w:val="00805E67"/>
    <w:rsid w:val="00805E97"/>
    <w:rsid w:val="00805EB7"/>
    <w:rsid w:val="00805F3A"/>
    <w:rsid w:val="00805F79"/>
    <w:rsid w:val="008060BE"/>
    <w:rsid w:val="0080617B"/>
    <w:rsid w:val="008064A0"/>
    <w:rsid w:val="008068F6"/>
    <w:rsid w:val="00806A5B"/>
    <w:rsid w:val="00806F02"/>
    <w:rsid w:val="00806F08"/>
    <w:rsid w:val="008070D0"/>
    <w:rsid w:val="008077C5"/>
    <w:rsid w:val="00807A31"/>
    <w:rsid w:val="00807C4A"/>
    <w:rsid w:val="00807D31"/>
    <w:rsid w:val="00807DE8"/>
    <w:rsid w:val="00810838"/>
    <w:rsid w:val="00810BD7"/>
    <w:rsid w:val="00810E9D"/>
    <w:rsid w:val="00811023"/>
    <w:rsid w:val="008112C5"/>
    <w:rsid w:val="008114C0"/>
    <w:rsid w:val="0081155C"/>
    <w:rsid w:val="00811701"/>
    <w:rsid w:val="00811911"/>
    <w:rsid w:val="00811CC3"/>
    <w:rsid w:val="00811E1D"/>
    <w:rsid w:val="00812311"/>
    <w:rsid w:val="0081261E"/>
    <w:rsid w:val="008127CA"/>
    <w:rsid w:val="00812C48"/>
    <w:rsid w:val="00812D7C"/>
    <w:rsid w:val="00812DDE"/>
    <w:rsid w:val="00813267"/>
    <w:rsid w:val="00813339"/>
    <w:rsid w:val="0081349C"/>
    <w:rsid w:val="008135B4"/>
    <w:rsid w:val="00813932"/>
    <w:rsid w:val="00813A65"/>
    <w:rsid w:val="00813CB2"/>
    <w:rsid w:val="00813E41"/>
    <w:rsid w:val="00813E70"/>
    <w:rsid w:val="00814232"/>
    <w:rsid w:val="008142F3"/>
    <w:rsid w:val="00814325"/>
    <w:rsid w:val="0081442D"/>
    <w:rsid w:val="008146D9"/>
    <w:rsid w:val="00814971"/>
    <w:rsid w:val="00814D86"/>
    <w:rsid w:val="00814ECF"/>
    <w:rsid w:val="0081538E"/>
    <w:rsid w:val="008153AA"/>
    <w:rsid w:val="008154DF"/>
    <w:rsid w:val="00815760"/>
    <w:rsid w:val="00815814"/>
    <w:rsid w:val="00815BD7"/>
    <w:rsid w:val="00815C41"/>
    <w:rsid w:val="00815C78"/>
    <w:rsid w:val="00815D92"/>
    <w:rsid w:val="00815E98"/>
    <w:rsid w:val="0081605F"/>
    <w:rsid w:val="0081618A"/>
    <w:rsid w:val="008162BC"/>
    <w:rsid w:val="008166C6"/>
    <w:rsid w:val="008169E5"/>
    <w:rsid w:val="00816B32"/>
    <w:rsid w:val="00816E12"/>
    <w:rsid w:val="0081715C"/>
    <w:rsid w:val="00817495"/>
    <w:rsid w:val="008178FF"/>
    <w:rsid w:val="00817BFD"/>
    <w:rsid w:val="00820012"/>
    <w:rsid w:val="008200CD"/>
    <w:rsid w:val="00820129"/>
    <w:rsid w:val="008207C8"/>
    <w:rsid w:val="008208B2"/>
    <w:rsid w:val="00820B84"/>
    <w:rsid w:val="00820E6C"/>
    <w:rsid w:val="00820FD3"/>
    <w:rsid w:val="0082160D"/>
    <w:rsid w:val="0082175C"/>
    <w:rsid w:val="0082194A"/>
    <w:rsid w:val="00821A92"/>
    <w:rsid w:val="00821B3B"/>
    <w:rsid w:val="00821BCB"/>
    <w:rsid w:val="00821BEC"/>
    <w:rsid w:val="00821CF7"/>
    <w:rsid w:val="00821E08"/>
    <w:rsid w:val="00822124"/>
    <w:rsid w:val="0082220D"/>
    <w:rsid w:val="00822441"/>
    <w:rsid w:val="008224C7"/>
    <w:rsid w:val="0082261C"/>
    <w:rsid w:val="008227BA"/>
    <w:rsid w:val="0082299D"/>
    <w:rsid w:val="00822B6E"/>
    <w:rsid w:val="00823202"/>
    <w:rsid w:val="0082350F"/>
    <w:rsid w:val="00823513"/>
    <w:rsid w:val="0082358A"/>
    <w:rsid w:val="0082364C"/>
    <w:rsid w:val="008239AE"/>
    <w:rsid w:val="00823C1C"/>
    <w:rsid w:val="00823DA1"/>
    <w:rsid w:val="00823F04"/>
    <w:rsid w:val="00824048"/>
    <w:rsid w:val="0082431D"/>
    <w:rsid w:val="008245CA"/>
    <w:rsid w:val="00824CA2"/>
    <w:rsid w:val="00824DDE"/>
    <w:rsid w:val="00824EB1"/>
    <w:rsid w:val="00825364"/>
    <w:rsid w:val="008253E7"/>
    <w:rsid w:val="008254B0"/>
    <w:rsid w:val="00825640"/>
    <w:rsid w:val="00825655"/>
    <w:rsid w:val="0082589D"/>
    <w:rsid w:val="00825A18"/>
    <w:rsid w:val="00825AE4"/>
    <w:rsid w:val="00825B24"/>
    <w:rsid w:val="00825BC7"/>
    <w:rsid w:val="0082637B"/>
    <w:rsid w:val="008264BD"/>
    <w:rsid w:val="0082676E"/>
    <w:rsid w:val="00826911"/>
    <w:rsid w:val="008269C3"/>
    <w:rsid w:val="00826C21"/>
    <w:rsid w:val="00826D23"/>
    <w:rsid w:val="00827040"/>
    <w:rsid w:val="00827508"/>
    <w:rsid w:val="008276FC"/>
    <w:rsid w:val="0082783D"/>
    <w:rsid w:val="008278A1"/>
    <w:rsid w:val="008279F4"/>
    <w:rsid w:val="00830100"/>
    <w:rsid w:val="008301CA"/>
    <w:rsid w:val="00830277"/>
    <w:rsid w:val="0083062D"/>
    <w:rsid w:val="008307CD"/>
    <w:rsid w:val="00830806"/>
    <w:rsid w:val="00830923"/>
    <w:rsid w:val="00830A39"/>
    <w:rsid w:val="00830A72"/>
    <w:rsid w:val="00830C1D"/>
    <w:rsid w:val="00830C94"/>
    <w:rsid w:val="00830CF8"/>
    <w:rsid w:val="00830F07"/>
    <w:rsid w:val="00830F3A"/>
    <w:rsid w:val="00830FC4"/>
    <w:rsid w:val="00831091"/>
    <w:rsid w:val="00831118"/>
    <w:rsid w:val="00831130"/>
    <w:rsid w:val="008312DD"/>
    <w:rsid w:val="008315B8"/>
    <w:rsid w:val="0083172C"/>
    <w:rsid w:val="00831771"/>
    <w:rsid w:val="00831915"/>
    <w:rsid w:val="0083193F"/>
    <w:rsid w:val="00831B95"/>
    <w:rsid w:val="00831D7E"/>
    <w:rsid w:val="00831E17"/>
    <w:rsid w:val="0083255C"/>
    <w:rsid w:val="008325C6"/>
    <w:rsid w:val="00832616"/>
    <w:rsid w:val="00832960"/>
    <w:rsid w:val="00832B90"/>
    <w:rsid w:val="00832C24"/>
    <w:rsid w:val="00832C8F"/>
    <w:rsid w:val="00832EAF"/>
    <w:rsid w:val="00832EBB"/>
    <w:rsid w:val="00832F04"/>
    <w:rsid w:val="00833098"/>
    <w:rsid w:val="00833420"/>
    <w:rsid w:val="00833652"/>
    <w:rsid w:val="00833B4F"/>
    <w:rsid w:val="00834246"/>
    <w:rsid w:val="0083468B"/>
    <w:rsid w:val="00834752"/>
    <w:rsid w:val="00834AC2"/>
    <w:rsid w:val="00834C84"/>
    <w:rsid w:val="00834E4C"/>
    <w:rsid w:val="00834E61"/>
    <w:rsid w:val="00834F4F"/>
    <w:rsid w:val="00834FD4"/>
    <w:rsid w:val="00835447"/>
    <w:rsid w:val="00835576"/>
    <w:rsid w:val="008356F1"/>
    <w:rsid w:val="00835728"/>
    <w:rsid w:val="00835D2C"/>
    <w:rsid w:val="00835F75"/>
    <w:rsid w:val="008360B9"/>
    <w:rsid w:val="008362A2"/>
    <w:rsid w:val="00836684"/>
    <w:rsid w:val="00836AEE"/>
    <w:rsid w:val="00836E45"/>
    <w:rsid w:val="008374D7"/>
    <w:rsid w:val="00837782"/>
    <w:rsid w:val="00837A35"/>
    <w:rsid w:val="00837BC8"/>
    <w:rsid w:val="00837C11"/>
    <w:rsid w:val="00837CA9"/>
    <w:rsid w:val="00837E94"/>
    <w:rsid w:val="008401DD"/>
    <w:rsid w:val="008402EE"/>
    <w:rsid w:val="00840340"/>
    <w:rsid w:val="0084035E"/>
    <w:rsid w:val="008404B8"/>
    <w:rsid w:val="00840A25"/>
    <w:rsid w:val="00840A72"/>
    <w:rsid w:val="00840C65"/>
    <w:rsid w:val="00840FC9"/>
    <w:rsid w:val="008411C0"/>
    <w:rsid w:val="00841230"/>
    <w:rsid w:val="008412BC"/>
    <w:rsid w:val="0084144A"/>
    <w:rsid w:val="0084182B"/>
    <w:rsid w:val="008418BA"/>
    <w:rsid w:val="00841959"/>
    <w:rsid w:val="00841980"/>
    <w:rsid w:val="008420A8"/>
    <w:rsid w:val="00842269"/>
    <w:rsid w:val="00842473"/>
    <w:rsid w:val="0084284E"/>
    <w:rsid w:val="00842966"/>
    <w:rsid w:val="00842DBF"/>
    <w:rsid w:val="00843205"/>
    <w:rsid w:val="0084355A"/>
    <w:rsid w:val="00843721"/>
    <w:rsid w:val="00843A67"/>
    <w:rsid w:val="00843A77"/>
    <w:rsid w:val="00843A92"/>
    <w:rsid w:val="00843E08"/>
    <w:rsid w:val="008447A3"/>
    <w:rsid w:val="008448CC"/>
    <w:rsid w:val="00844B76"/>
    <w:rsid w:val="00845182"/>
    <w:rsid w:val="0084555C"/>
    <w:rsid w:val="00845759"/>
    <w:rsid w:val="0084585A"/>
    <w:rsid w:val="00845B02"/>
    <w:rsid w:val="00845DC1"/>
    <w:rsid w:val="00846086"/>
    <w:rsid w:val="008460B6"/>
    <w:rsid w:val="008460CA"/>
    <w:rsid w:val="0084615A"/>
    <w:rsid w:val="00846236"/>
    <w:rsid w:val="0084667C"/>
    <w:rsid w:val="0084671C"/>
    <w:rsid w:val="0084680B"/>
    <w:rsid w:val="0084684D"/>
    <w:rsid w:val="00846BB5"/>
    <w:rsid w:val="00846E1B"/>
    <w:rsid w:val="00846F7C"/>
    <w:rsid w:val="00847156"/>
    <w:rsid w:val="0084727D"/>
    <w:rsid w:val="00847437"/>
    <w:rsid w:val="008477E5"/>
    <w:rsid w:val="00847817"/>
    <w:rsid w:val="0084795A"/>
    <w:rsid w:val="00847A0C"/>
    <w:rsid w:val="00847C53"/>
    <w:rsid w:val="00850720"/>
    <w:rsid w:val="0085088E"/>
    <w:rsid w:val="00850B94"/>
    <w:rsid w:val="00850E24"/>
    <w:rsid w:val="00850F51"/>
    <w:rsid w:val="00850F96"/>
    <w:rsid w:val="0085101C"/>
    <w:rsid w:val="00851507"/>
    <w:rsid w:val="008517E3"/>
    <w:rsid w:val="008518E8"/>
    <w:rsid w:val="008519D2"/>
    <w:rsid w:val="008519EC"/>
    <w:rsid w:val="00851AC6"/>
    <w:rsid w:val="00851D85"/>
    <w:rsid w:val="00852140"/>
    <w:rsid w:val="00852669"/>
    <w:rsid w:val="0085278D"/>
    <w:rsid w:val="0085286E"/>
    <w:rsid w:val="008528B9"/>
    <w:rsid w:val="00852981"/>
    <w:rsid w:val="00852B55"/>
    <w:rsid w:val="00852C37"/>
    <w:rsid w:val="00852CF6"/>
    <w:rsid w:val="00852DF1"/>
    <w:rsid w:val="00853049"/>
    <w:rsid w:val="00853065"/>
    <w:rsid w:val="00853397"/>
    <w:rsid w:val="00853441"/>
    <w:rsid w:val="00853E19"/>
    <w:rsid w:val="0085401D"/>
    <w:rsid w:val="00854047"/>
    <w:rsid w:val="00854148"/>
    <w:rsid w:val="00854202"/>
    <w:rsid w:val="00854335"/>
    <w:rsid w:val="008543D6"/>
    <w:rsid w:val="00854484"/>
    <w:rsid w:val="008545A0"/>
    <w:rsid w:val="00854AA4"/>
    <w:rsid w:val="00854BDE"/>
    <w:rsid w:val="00854D42"/>
    <w:rsid w:val="008551AF"/>
    <w:rsid w:val="00855278"/>
    <w:rsid w:val="0085583A"/>
    <w:rsid w:val="00855BF0"/>
    <w:rsid w:val="00855D6A"/>
    <w:rsid w:val="00855DCE"/>
    <w:rsid w:val="00855EF3"/>
    <w:rsid w:val="00855F1F"/>
    <w:rsid w:val="00855F8B"/>
    <w:rsid w:val="008561DE"/>
    <w:rsid w:val="008562A6"/>
    <w:rsid w:val="00856324"/>
    <w:rsid w:val="00856372"/>
    <w:rsid w:val="00856478"/>
    <w:rsid w:val="00856560"/>
    <w:rsid w:val="00856AA9"/>
    <w:rsid w:val="00856C2E"/>
    <w:rsid w:val="00856CB1"/>
    <w:rsid w:val="00856F52"/>
    <w:rsid w:val="008571C8"/>
    <w:rsid w:val="0085733A"/>
    <w:rsid w:val="00857619"/>
    <w:rsid w:val="00857A3F"/>
    <w:rsid w:val="00857C32"/>
    <w:rsid w:val="00857D15"/>
    <w:rsid w:val="0086027B"/>
    <w:rsid w:val="008604B6"/>
    <w:rsid w:val="008605A5"/>
    <w:rsid w:val="0086065B"/>
    <w:rsid w:val="008606AB"/>
    <w:rsid w:val="00860A93"/>
    <w:rsid w:val="00860CB7"/>
    <w:rsid w:val="00860D68"/>
    <w:rsid w:val="00860F4E"/>
    <w:rsid w:val="008610AB"/>
    <w:rsid w:val="008614D6"/>
    <w:rsid w:val="0086174F"/>
    <w:rsid w:val="008618F1"/>
    <w:rsid w:val="00861AEE"/>
    <w:rsid w:val="008621FA"/>
    <w:rsid w:val="0086233D"/>
    <w:rsid w:val="008628EB"/>
    <w:rsid w:val="00862AB9"/>
    <w:rsid w:val="00862B6A"/>
    <w:rsid w:val="0086315A"/>
    <w:rsid w:val="00863269"/>
    <w:rsid w:val="008632E0"/>
    <w:rsid w:val="008634D9"/>
    <w:rsid w:val="00863F4D"/>
    <w:rsid w:val="008640F1"/>
    <w:rsid w:val="0086442E"/>
    <w:rsid w:val="00864435"/>
    <w:rsid w:val="008644B2"/>
    <w:rsid w:val="00864803"/>
    <w:rsid w:val="00865594"/>
    <w:rsid w:val="00865C7B"/>
    <w:rsid w:val="00865D20"/>
    <w:rsid w:val="00865D62"/>
    <w:rsid w:val="00866105"/>
    <w:rsid w:val="0086632A"/>
    <w:rsid w:val="00866748"/>
    <w:rsid w:val="00866796"/>
    <w:rsid w:val="00866F45"/>
    <w:rsid w:val="00867123"/>
    <w:rsid w:val="00867231"/>
    <w:rsid w:val="00867329"/>
    <w:rsid w:val="00867354"/>
    <w:rsid w:val="008673FF"/>
    <w:rsid w:val="008676C9"/>
    <w:rsid w:val="0086771D"/>
    <w:rsid w:val="00867A80"/>
    <w:rsid w:val="008701CD"/>
    <w:rsid w:val="008705FC"/>
    <w:rsid w:val="008708D7"/>
    <w:rsid w:val="00870AF0"/>
    <w:rsid w:val="00870B2A"/>
    <w:rsid w:val="00870C19"/>
    <w:rsid w:val="00870CC0"/>
    <w:rsid w:val="00870D2D"/>
    <w:rsid w:val="00870D86"/>
    <w:rsid w:val="00870E99"/>
    <w:rsid w:val="0087125C"/>
    <w:rsid w:val="008715F8"/>
    <w:rsid w:val="0087173E"/>
    <w:rsid w:val="0087186A"/>
    <w:rsid w:val="00871FD8"/>
    <w:rsid w:val="00872583"/>
    <w:rsid w:val="00872619"/>
    <w:rsid w:val="00872A42"/>
    <w:rsid w:val="00872D48"/>
    <w:rsid w:val="00872E26"/>
    <w:rsid w:val="00872EAA"/>
    <w:rsid w:val="00873256"/>
    <w:rsid w:val="008732AF"/>
    <w:rsid w:val="00873406"/>
    <w:rsid w:val="00873629"/>
    <w:rsid w:val="008736E6"/>
    <w:rsid w:val="00873D03"/>
    <w:rsid w:val="00873D8C"/>
    <w:rsid w:val="00873E4F"/>
    <w:rsid w:val="00874053"/>
    <w:rsid w:val="00874167"/>
    <w:rsid w:val="00874209"/>
    <w:rsid w:val="008742AF"/>
    <w:rsid w:val="00874382"/>
    <w:rsid w:val="00874570"/>
    <w:rsid w:val="008745F2"/>
    <w:rsid w:val="00874692"/>
    <w:rsid w:val="00874B67"/>
    <w:rsid w:val="00874BF7"/>
    <w:rsid w:val="00874DA7"/>
    <w:rsid w:val="00875450"/>
    <w:rsid w:val="00875503"/>
    <w:rsid w:val="00875538"/>
    <w:rsid w:val="00875876"/>
    <w:rsid w:val="00875BEE"/>
    <w:rsid w:val="00875C6E"/>
    <w:rsid w:val="00875CF2"/>
    <w:rsid w:val="00875E2C"/>
    <w:rsid w:val="0087622E"/>
    <w:rsid w:val="0087625A"/>
    <w:rsid w:val="00876292"/>
    <w:rsid w:val="0087635F"/>
    <w:rsid w:val="008763D2"/>
    <w:rsid w:val="00876995"/>
    <w:rsid w:val="00876C06"/>
    <w:rsid w:val="00876C7C"/>
    <w:rsid w:val="00876DAB"/>
    <w:rsid w:val="0087732A"/>
    <w:rsid w:val="008773D2"/>
    <w:rsid w:val="0087747A"/>
    <w:rsid w:val="008779FE"/>
    <w:rsid w:val="00877B15"/>
    <w:rsid w:val="00877B8A"/>
    <w:rsid w:val="00877F05"/>
    <w:rsid w:val="00877FC3"/>
    <w:rsid w:val="00877FC8"/>
    <w:rsid w:val="0088000F"/>
    <w:rsid w:val="008800B5"/>
    <w:rsid w:val="00880102"/>
    <w:rsid w:val="00880167"/>
    <w:rsid w:val="00880271"/>
    <w:rsid w:val="008804DE"/>
    <w:rsid w:val="008809B3"/>
    <w:rsid w:val="008809E0"/>
    <w:rsid w:val="00880ACB"/>
    <w:rsid w:val="00880AF0"/>
    <w:rsid w:val="00880DA8"/>
    <w:rsid w:val="00880DE5"/>
    <w:rsid w:val="00880DE6"/>
    <w:rsid w:val="00880DE8"/>
    <w:rsid w:val="00880E53"/>
    <w:rsid w:val="00880F70"/>
    <w:rsid w:val="00880FDE"/>
    <w:rsid w:val="00881011"/>
    <w:rsid w:val="00881251"/>
    <w:rsid w:val="00881313"/>
    <w:rsid w:val="0088146E"/>
    <w:rsid w:val="008818BA"/>
    <w:rsid w:val="00881AA9"/>
    <w:rsid w:val="00881AAB"/>
    <w:rsid w:val="00881B90"/>
    <w:rsid w:val="00881CFA"/>
    <w:rsid w:val="00882044"/>
    <w:rsid w:val="008823F9"/>
    <w:rsid w:val="00882414"/>
    <w:rsid w:val="008825B6"/>
    <w:rsid w:val="008826E4"/>
    <w:rsid w:val="0088270C"/>
    <w:rsid w:val="0088270E"/>
    <w:rsid w:val="0088287E"/>
    <w:rsid w:val="00882BEE"/>
    <w:rsid w:val="00882BEF"/>
    <w:rsid w:val="00882C94"/>
    <w:rsid w:val="00882DAC"/>
    <w:rsid w:val="00882E95"/>
    <w:rsid w:val="00882E96"/>
    <w:rsid w:val="00882E9B"/>
    <w:rsid w:val="00882FEC"/>
    <w:rsid w:val="00883206"/>
    <w:rsid w:val="008834F9"/>
    <w:rsid w:val="00883975"/>
    <w:rsid w:val="00883A06"/>
    <w:rsid w:val="00883B02"/>
    <w:rsid w:val="00883E4E"/>
    <w:rsid w:val="0088442C"/>
    <w:rsid w:val="008844A8"/>
    <w:rsid w:val="008845AB"/>
    <w:rsid w:val="008848D9"/>
    <w:rsid w:val="008849DB"/>
    <w:rsid w:val="00884CCD"/>
    <w:rsid w:val="00884D8E"/>
    <w:rsid w:val="00884DAA"/>
    <w:rsid w:val="00884EF2"/>
    <w:rsid w:val="00884FDC"/>
    <w:rsid w:val="00885328"/>
    <w:rsid w:val="0088583D"/>
    <w:rsid w:val="00885AE9"/>
    <w:rsid w:val="00885B5C"/>
    <w:rsid w:val="00885D3F"/>
    <w:rsid w:val="00885ED4"/>
    <w:rsid w:val="008867B0"/>
    <w:rsid w:val="0088691A"/>
    <w:rsid w:val="008869C0"/>
    <w:rsid w:val="00886BA0"/>
    <w:rsid w:val="00886DC8"/>
    <w:rsid w:val="00886EB5"/>
    <w:rsid w:val="00886F2E"/>
    <w:rsid w:val="008874A8"/>
    <w:rsid w:val="0088781A"/>
    <w:rsid w:val="0088783D"/>
    <w:rsid w:val="00887E3A"/>
    <w:rsid w:val="00887F3F"/>
    <w:rsid w:val="00887FE5"/>
    <w:rsid w:val="008901BF"/>
    <w:rsid w:val="00890442"/>
    <w:rsid w:val="0089049E"/>
    <w:rsid w:val="00890541"/>
    <w:rsid w:val="00890733"/>
    <w:rsid w:val="00890CDA"/>
    <w:rsid w:val="00890D53"/>
    <w:rsid w:val="00890D74"/>
    <w:rsid w:val="00890EED"/>
    <w:rsid w:val="008913FD"/>
    <w:rsid w:val="00891412"/>
    <w:rsid w:val="00891557"/>
    <w:rsid w:val="00891753"/>
    <w:rsid w:val="00891901"/>
    <w:rsid w:val="00891B9B"/>
    <w:rsid w:val="00891C8E"/>
    <w:rsid w:val="00891D8C"/>
    <w:rsid w:val="00891ED3"/>
    <w:rsid w:val="0089224F"/>
    <w:rsid w:val="00892339"/>
    <w:rsid w:val="0089233B"/>
    <w:rsid w:val="00892448"/>
    <w:rsid w:val="00892682"/>
    <w:rsid w:val="00892899"/>
    <w:rsid w:val="00892AFA"/>
    <w:rsid w:val="00892B5F"/>
    <w:rsid w:val="00892F79"/>
    <w:rsid w:val="0089309F"/>
    <w:rsid w:val="008930EA"/>
    <w:rsid w:val="0089333D"/>
    <w:rsid w:val="008933D9"/>
    <w:rsid w:val="0089344A"/>
    <w:rsid w:val="00893968"/>
    <w:rsid w:val="00893992"/>
    <w:rsid w:val="00893EF5"/>
    <w:rsid w:val="0089411A"/>
    <w:rsid w:val="00894318"/>
    <w:rsid w:val="008948BE"/>
    <w:rsid w:val="00894916"/>
    <w:rsid w:val="00894948"/>
    <w:rsid w:val="00894A80"/>
    <w:rsid w:val="00894C91"/>
    <w:rsid w:val="00894ED4"/>
    <w:rsid w:val="00894F69"/>
    <w:rsid w:val="00894F79"/>
    <w:rsid w:val="00895002"/>
    <w:rsid w:val="008952FD"/>
    <w:rsid w:val="00895413"/>
    <w:rsid w:val="00895710"/>
    <w:rsid w:val="00895B49"/>
    <w:rsid w:val="00895E44"/>
    <w:rsid w:val="008962AA"/>
    <w:rsid w:val="008963E0"/>
    <w:rsid w:val="00896BFD"/>
    <w:rsid w:val="00896E7C"/>
    <w:rsid w:val="00896F61"/>
    <w:rsid w:val="0089704A"/>
    <w:rsid w:val="008973BD"/>
    <w:rsid w:val="0089745A"/>
    <w:rsid w:val="00897745"/>
    <w:rsid w:val="0089792B"/>
    <w:rsid w:val="008979E5"/>
    <w:rsid w:val="00897B0B"/>
    <w:rsid w:val="00897C5D"/>
    <w:rsid w:val="00897DDD"/>
    <w:rsid w:val="008A01BE"/>
    <w:rsid w:val="008A020D"/>
    <w:rsid w:val="008A028C"/>
    <w:rsid w:val="008A063F"/>
    <w:rsid w:val="008A0658"/>
    <w:rsid w:val="008A0672"/>
    <w:rsid w:val="008A06C3"/>
    <w:rsid w:val="008A0A2C"/>
    <w:rsid w:val="008A0AE8"/>
    <w:rsid w:val="008A0B83"/>
    <w:rsid w:val="008A0F00"/>
    <w:rsid w:val="008A1358"/>
    <w:rsid w:val="008A1491"/>
    <w:rsid w:val="008A15AF"/>
    <w:rsid w:val="008A169D"/>
    <w:rsid w:val="008A195F"/>
    <w:rsid w:val="008A1BF9"/>
    <w:rsid w:val="008A1D61"/>
    <w:rsid w:val="008A1E6F"/>
    <w:rsid w:val="008A212B"/>
    <w:rsid w:val="008A21F8"/>
    <w:rsid w:val="008A24ED"/>
    <w:rsid w:val="008A2630"/>
    <w:rsid w:val="008A28B8"/>
    <w:rsid w:val="008A2967"/>
    <w:rsid w:val="008A2D9A"/>
    <w:rsid w:val="008A3192"/>
    <w:rsid w:val="008A3271"/>
    <w:rsid w:val="008A33B1"/>
    <w:rsid w:val="008A33EC"/>
    <w:rsid w:val="008A36A0"/>
    <w:rsid w:val="008A36F9"/>
    <w:rsid w:val="008A3734"/>
    <w:rsid w:val="008A3781"/>
    <w:rsid w:val="008A3782"/>
    <w:rsid w:val="008A37A9"/>
    <w:rsid w:val="008A3BA1"/>
    <w:rsid w:val="008A40A7"/>
    <w:rsid w:val="008A40B1"/>
    <w:rsid w:val="008A41B2"/>
    <w:rsid w:val="008A430C"/>
    <w:rsid w:val="008A4314"/>
    <w:rsid w:val="008A44D9"/>
    <w:rsid w:val="008A4844"/>
    <w:rsid w:val="008A4C9B"/>
    <w:rsid w:val="008A5239"/>
    <w:rsid w:val="008A52D7"/>
    <w:rsid w:val="008A52DE"/>
    <w:rsid w:val="008A5524"/>
    <w:rsid w:val="008A55E2"/>
    <w:rsid w:val="008A56C7"/>
    <w:rsid w:val="008A5CBE"/>
    <w:rsid w:val="008A5E43"/>
    <w:rsid w:val="008A6195"/>
    <w:rsid w:val="008A647E"/>
    <w:rsid w:val="008A67A7"/>
    <w:rsid w:val="008A6B19"/>
    <w:rsid w:val="008A6C00"/>
    <w:rsid w:val="008A7184"/>
    <w:rsid w:val="008A71F5"/>
    <w:rsid w:val="008A778B"/>
    <w:rsid w:val="008A77F3"/>
    <w:rsid w:val="008A7C75"/>
    <w:rsid w:val="008B0000"/>
    <w:rsid w:val="008B018C"/>
    <w:rsid w:val="008B02F8"/>
    <w:rsid w:val="008B0F38"/>
    <w:rsid w:val="008B0F3D"/>
    <w:rsid w:val="008B0F78"/>
    <w:rsid w:val="008B11D8"/>
    <w:rsid w:val="008B13BD"/>
    <w:rsid w:val="008B1693"/>
    <w:rsid w:val="008B1A29"/>
    <w:rsid w:val="008B1B48"/>
    <w:rsid w:val="008B1C3E"/>
    <w:rsid w:val="008B1CF7"/>
    <w:rsid w:val="008B1D69"/>
    <w:rsid w:val="008B2104"/>
    <w:rsid w:val="008B2252"/>
    <w:rsid w:val="008B254E"/>
    <w:rsid w:val="008B257B"/>
    <w:rsid w:val="008B2598"/>
    <w:rsid w:val="008B2655"/>
    <w:rsid w:val="008B2ACC"/>
    <w:rsid w:val="008B2C6A"/>
    <w:rsid w:val="008B2FF0"/>
    <w:rsid w:val="008B34A2"/>
    <w:rsid w:val="008B36A1"/>
    <w:rsid w:val="008B37A7"/>
    <w:rsid w:val="008B3967"/>
    <w:rsid w:val="008B39C1"/>
    <w:rsid w:val="008B3CDE"/>
    <w:rsid w:val="008B3D45"/>
    <w:rsid w:val="008B3E15"/>
    <w:rsid w:val="008B3F2C"/>
    <w:rsid w:val="008B403D"/>
    <w:rsid w:val="008B432F"/>
    <w:rsid w:val="008B4ADB"/>
    <w:rsid w:val="008B5120"/>
    <w:rsid w:val="008B5265"/>
    <w:rsid w:val="008B5316"/>
    <w:rsid w:val="008B555A"/>
    <w:rsid w:val="008B579A"/>
    <w:rsid w:val="008B57A5"/>
    <w:rsid w:val="008B5903"/>
    <w:rsid w:val="008B5978"/>
    <w:rsid w:val="008B59B6"/>
    <w:rsid w:val="008B5C33"/>
    <w:rsid w:val="008B5C9D"/>
    <w:rsid w:val="008B5F49"/>
    <w:rsid w:val="008B5FD7"/>
    <w:rsid w:val="008B6035"/>
    <w:rsid w:val="008B62FC"/>
    <w:rsid w:val="008B634A"/>
    <w:rsid w:val="008B6598"/>
    <w:rsid w:val="008B6809"/>
    <w:rsid w:val="008B68D0"/>
    <w:rsid w:val="008B7C99"/>
    <w:rsid w:val="008B7D02"/>
    <w:rsid w:val="008B7E53"/>
    <w:rsid w:val="008B7EFD"/>
    <w:rsid w:val="008B7F8E"/>
    <w:rsid w:val="008B7FA4"/>
    <w:rsid w:val="008C01A7"/>
    <w:rsid w:val="008C02CC"/>
    <w:rsid w:val="008C02EC"/>
    <w:rsid w:val="008C04D7"/>
    <w:rsid w:val="008C0601"/>
    <w:rsid w:val="008C063A"/>
    <w:rsid w:val="008C0764"/>
    <w:rsid w:val="008C08D7"/>
    <w:rsid w:val="008C0B94"/>
    <w:rsid w:val="008C0E09"/>
    <w:rsid w:val="008C0F9F"/>
    <w:rsid w:val="008C130A"/>
    <w:rsid w:val="008C1461"/>
    <w:rsid w:val="008C1571"/>
    <w:rsid w:val="008C1721"/>
    <w:rsid w:val="008C18C1"/>
    <w:rsid w:val="008C1B02"/>
    <w:rsid w:val="008C1CC7"/>
    <w:rsid w:val="008C243C"/>
    <w:rsid w:val="008C2509"/>
    <w:rsid w:val="008C25C3"/>
    <w:rsid w:val="008C2A00"/>
    <w:rsid w:val="008C2ACA"/>
    <w:rsid w:val="008C2C41"/>
    <w:rsid w:val="008C2C4F"/>
    <w:rsid w:val="008C2D23"/>
    <w:rsid w:val="008C2F85"/>
    <w:rsid w:val="008C3339"/>
    <w:rsid w:val="008C335D"/>
    <w:rsid w:val="008C3832"/>
    <w:rsid w:val="008C3FA6"/>
    <w:rsid w:val="008C4037"/>
    <w:rsid w:val="008C412D"/>
    <w:rsid w:val="008C4516"/>
    <w:rsid w:val="008C454B"/>
    <w:rsid w:val="008C46A7"/>
    <w:rsid w:val="008C4836"/>
    <w:rsid w:val="008C4864"/>
    <w:rsid w:val="008C4A38"/>
    <w:rsid w:val="008C4A73"/>
    <w:rsid w:val="008C4B87"/>
    <w:rsid w:val="008C4CA6"/>
    <w:rsid w:val="008C4F39"/>
    <w:rsid w:val="008C53F1"/>
    <w:rsid w:val="008C5803"/>
    <w:rsid w:val="008C5A03"/>
    <w:rsid w:val="008C5B14"/>
    <w:rsid w:val="008C5B6F"/>
    <w:rsid w:val="008C5F5F"/>
    <w:rsid w:val="008C6729"/>
    <w:rsid w:val="008C6773"/>
    <w:rsid w:val="008C6985"/>
    <w:rsid w:val="008C699F"/>
    <w:rsid w:val="008C6A7B"/>
    <w:rsid w:val="008C6C74"/>
    <w:rsid w:val="008C6CF7"/>
    <w:rsid w:val="008C6D7B"/>
    <w:rsid w:val="008C7501"/>
    <w:rsid w:val="008C7723"/>
    <w:rsid w:val="008C779E"/>
    <w:rsid w:val="008C788C"/>
    <w:rsid w:val="008C78FB"/>
    <w:rsid w:val="008C7B57"/>
    <w:rsid w:val="008C7F41"/>
    <w:rsid w:val="008C7F70"/>
    <w:rsid w:val="008D0045"/>
    <w:rsid w:val="008D0187"/>
    <w:rsid w:val="008D04EA"/>
    <w:rsid w:val="008D05FC"/>
    <w:rsid w:val="008D067B"/>
    <w:rsid w:val="008D094A"/>
    <w:rsid w:val="008D0977"/>
    <w:rsid w:val="008D0AA3"/>
    <w:rsid w:val="008D0AA8"/>
    <w:rsid w:val="008D0DA4"/>
    <w:rsid w:val="008D0FB9"/>
    <w:rsid w:val="008D0FC7"/>
    <w:rsid w:val="008D107D"/>
    <w:rsid w:val="008D1139"/>
    <w:rsid w:val="008D117B"/>
    <w:rsid w:val="008D16CF"/>
    <w:rsid w:val="008D1C50"/>
    <w:rsid w:val="008D1D1C"/>
    <w:rsid w:val="008D2161"/>
    <w:rsid w:val="008D23FE"/>
    <w:rsid w:val="008D24EB"/>
    <w:rsid w:val="008D2566"/>
    <w:rsid w:val="008D27A1"/>
    <w:rsid w:val="008D28C2"/>
    <w:rsid w:val="008D2931"/>
    <w:rsid w:val="008D2CA1"/>
    <w:rsid w:val="008D2DB9"/>
    <w:rsid w:val="008D2F60"/>
    <w:rsid w:val="008D3020"/>
    <w:rsid w:val="008D345A"/>
    <w:rsid w:val="008D363D"/>
    <w:rsid w:val="008D3DEC"/>
    <w:rsid w:val="008D41E9"/>
    <w:rsid w:val="008D43F2"/>
    <w:rsid w:val="008D489B"/>
    <w:rsid w:val="008D4AE2"/>
    <w:rsid w:val="008D4BB4"/>
    <w:rsid w:val="008D4D08"/>
    <w:rsid w:val="008D4DE8"/>
    <w:rsid w:val="008D4E63"/>
    <w:rsid w:val="008D4E7F"/>
    <w:rsid w:val="008D50C0"/>
    <w:rsid w:val="008D51F8"/>
    <w:rsid w:val="008D5292"/>
    <w:rsid w:val="008D55A1"/>
    <w:rsid w:val="008D5665"/>
    <w:rsid w:val="008D5733"/>
    <w:rsid w:val="008D5A66"/>
    <w:rsid w:val="008D5CEB"/>
    <w:rsid w:val="008D5EA6"/>
    <w:rsid w:val="008D6362"/>
    <w:rsid w:val="008D6478"/>
    <w:rsid w:val="008D64FA"/>
    <w:rsid w:val="008D687C"/>
    <w:rsid w:val="008D6914"/>
    <w:rsid w:val="008D6C0A"/>
    <w:rsid w:val="008D6EF7"/>
    <w:rsid w:val="008D7225"/>
    <w:rsid w:val="008D78A8"/>
    <w:rsid w:val="008D7AB7"/>
    <w:rsid w:val="008D7B5F"/>
    <w:rsid w:val="008D7CD7"/>
    <w:rsid w:val="008E004C"/>
    <w:rsid w:val="008E0079"/>
    <w:rsid w:val="008E023C"/>
    <w:rsid w:val="008E0283"/>
    <w:rsid w:val="008E0492"/>
    <w:rsid w:val="008E076C"/>
    <w:rsid w:val="008E08D1"/>
    <w:rsid w:val="008E091D"/>
    <w:rsid w:val="008E0A87"/>
    <w:rsid w:val="008E0B81"/>
    <w:rsid w:val="008E0CEB"/>
    <w:rsid w:val="008E0F01"/>
    <w:rsid w:val="008E1070"/>
    <w:rsid w:val="008E1367"/>
    <w:rsid w:val="008E148D"/>
    <w:rsid w:val="008E14D7"/>
    <w:rsid w:val="008E14D9"/>
    <w:rsid w:val="008E1565"/>
    <w:rsid w:val="008E15A2"/>
    <w:rsid w:val="008E16CB"/>
    <w:rsid w:val="008E1800"/>
    <w:rsid w:val="008E195F"/>
    <w:rsid w:val="008E1A23"/>
    <w:rsid w:val="008E1BC0"/>
    <w:rsid w:val="008E1C4C"/>
    <w:rsid w:val="008E1CB0"/>
    <w:rsid w:val="008E1DDA"/>
    <w:rsid w:val="008E2065"/>
    <w:rsid w:val="008E232B"/>
    <w:rsid w:val="008E25FB"/>
    <w:rsid w:val="008E2931"/>
    <w:rsid w:val="008E2A59"/>
    <w:rsid w:val="008E2AB1"/>
    <w:rsid w:val="008E2B2E"/>
    <w:rsid w:val="008E2BC5"/>
    <w:rsid w:val="008E2D96"/>
    <w:rsid w:val="008E2EC9"/>
    <w:rsid w:val="008E36DB"/>
    <w:rsid w:val="008E37F1"/>
    <w:rsid w:val="008E3BCC"/>
    <w:rsid w:val="008E3D42"/>
    <w:rsid w:val="008E3FA7"/>
    <w:rsid w:val="008E41CF"/>
    <w:rsid w:val="008E424F"/>
    <w:rsid w:val="008E43D4"/>
    <w:rsid w:val="008E44A5"/>
    <w:rsid w:val="008E44BE"/>
    <w:rsid w:val="008E45E8"/>
    <w:rsid w:val="008E462F"/>
    <w:rsid w:val="008E4897"/>
    <w:rsid w:val="008E4F2A"/>
    <w:rsid w:val="008E4F6D"/>
    <w:rsid w:val="008E5097"/>
    <w:rsid w:val="008E510D"/>
    <w:rsid w:val="008E539C"/>
    <w:rsid w:val="008E5438"/>
    <w:rsid w:val="008E5484"/>
    <w:rsid w:val="008E559C"/>
    <w:rsid w:val="008E56FE"/>
    <w:rsid w:val="008E5707"/>
    <w:rsid w:val="008E597C"/>
    <w:rsid w:val="008E5DB7"/>
    <w:rsid w:val="008E5DC9"/>
    <w:rsid w:val="008E6065"/>
    <w:rsid w:val="008E6317"/>
    <w:rsid w:val="008E66D3"/>
    <w:rsid w:val="008E6941"/>
    <w:rsid w:val="008E6AB1"/>
    <w:rsid w:val="008E6BA1"/>
    <w:rsid w:val="008E6BE6"/>
    <w:rsid w:val="008E6D2B"/>
    <w:rsid w:val="008E706F"/>
    <w:rsid w:val="008E70B7"/>
    <w:rsid w:val="008E7690"/>
    <w:rsid w:val="008E76BE"/>
    <w:rsid w:val="008F0055"/>
    <w:rsid w:val="008F02F9"/>
    <w:rsid w:val="008F099B"/>
    <w:rsid w:val="008F0A4E"/>
    <w:rsid w:val="008F0BC9"/>
    <w:rsid w:val="008F0E2B"/>
    <w:rsid w:val="008F104E"/>
    <w:rsid w:val="008F11BA"/>
    <w:rsid w:val="008F13D6"/>
    <w:rsid w:val="008F13F5"/>
    <w:rsid w:val="008F145D"/>
    <w:rsid w:val="008F158C"/>
    <w:rsid w:val="008F1754"/>
    <w:rsid w:val="008F17A8"/>
    <w:rsid w:val="008F17D4"/>
    <w:rsid w:val="008F1908"/>
    <w:rsid w:val="008F199F"/>
    <w:rsid w:val="008F1ACB"/>
    <w:rsid w:val="008F1E16"/>
    <w:rsid w:val="008F20FE"/>
    <w:rsid w:val="008F240F"/>
    <w:rsid w:val="008F2620"/>
    <w:rsid w:val="008F2875"/>
    <w:rsid w:val="008F299C"/>
    <w:rsid w:val="008F2BC2"/>
    <w:rsid w:val="008F2D03"/>
    <w:rsid w:val="008F2D17"/>
    <w:rsid w:val="008F305A"/>
    <w:rsid w:val="008F313D"/>
    <w:rsid w:val="008F3214"/>
    <w:rsid w:val="008F34A3"/>
    <w:rsid w:val="008F34B4"/>
    <w:rsid w:val="008F365D"/>
    <w:rsid w:val="008F3859"/>
    <w:rsid w:val="008F3912"/>
    <w:rsid w:val="008F3A91"/>
    <w:rsid w:val="008F3E1E"/>
    <w:rsid w:val="008F4235"/>
    <w:rsid w:val="008F4382"/>
    <w:rsid w:val="008F4411"/>
    <w:rsid w:val="008F457F"/>
    <w:rsid w:val="008F47F6"/>
    <w:rsid w:val="008F481D"/>
    <w:rsid w:val="008F48B9"/>
    <w:rsid w:val="008F4D11"/>
    <w:rsid w:val="008F4FFF"/>
    <w:rsid w:val="008F50BE"/>
    <w:rsid w:val="008F5AA0"/>
    <w:rsid w:val="008F5AFE"/>
    <w:rsid w:val="008F5C34"/>
    <w:rsid w:val="008F5CEF"/>
    <w:rsid w:val="008F5E26"/>
    <w:rsid w:val="008F5F89"/>
    <w:rsid w:val="008F63B4"/>
    <w:rsid w:val="008F64F1"/>
    <w:rsid w:val="008F65E1"/>
    <w:rsid w:val="008F68E7"/>
    <w:rsid w:val="008F6B28"/>
    <w:rsid w:val="008F6FBE"/>
    <w:rsid w:val="008F75BD"/>
    <w:rsid w:val="008F7BBA"/>
    <w:rsid w:val="008F7CE1"/>
    <w:rsid w:val="008F7D80"/>
    <w:rsid w:val="0090007B"/>
    <w:rsid w:val="009001C5"/>
    <w:rsid w:val="009008CB"/>
    <w:rsid w:val="00900A75"/>
    <w:rsid w:val="00900CB6"/>
    <w:rsid w:val="00900D14"/>
    <w:rsid w:val="00901270"/>
    <w:rsid w:val="00901289"/>
    <w:rsid w:val="0090137F"/>
    <w:rsid w:val="00901466"/>
    <w:rsid w:val="0090190E"/>
    <w:rsid w:val="00901A73"/>
    <w:rsid w:val="00901F5E"/>
    <w:rsid w:val="00902622"/>
    <w:rsid w:val="0090273F"/>
    <w:rsid w:val="00902742"/>
    <w:rsid w:val="00902783"/>
    <w:rsid w:val="00903750"/>
    <w:rsid w:val="00903E9F"/>
    <w:rsid w:val="009042FA"/>
    <w:rsid w:val="009045B3"/>
    <w:rsid w:val="00904619"/>
    <w:rsid w:val="00904780"/>
    <w:rsid w:val="00904826"/>
    <w:rsid w:val="009048F9"/>
    <w:rsid w:val="00904A45"/>
    <w:rsid w:val="00904B48"/>
    <w:rsid w:val="00904BD3"/>
    <w:rsid w:val="00904BDE"/>
    <w:rsid w:val="009050C7"/>
    <w:rsid w:val="00905175"/>
    <w:rsid w:val="00905225"/>
    <w:rsid w:val="00905420"/>
    <w:rsid w:val="00905424"/>
    <w:rsid w:val="00905644"/>
    <w:rsid w:val="00905743"/>
    <w:rsid w:val="00905802"/>
    <w:rsid w:val="00905890"/>
    <w:rsid w:val="00905AAD"/>
    <w:rsid w:val="00905B42"/>
    <w:rsid w:val="00905C41"/>
    <w:rsid w:val="00905C8F"/>
    <w:rsid w:val="00905CE1"/>
    <w:rsid w:val="00905DF0"/>
    <w:rsid w:val="00906082"/>
    <w:rsid w:val="009060AA"/>
    <w:rsid w:val="0090620D"/>
    <w:rsid w:val="00906603"/>
    <w:rsid w:val="00906770"/>
    <w:rsid w:val="009069CE"/>
    <w:rsid w:val="00906BA7"/>
    <w:rsid w:val="00906C59"/>
    <w:rsid w:val="00906D6F"/>
    <w:rsid w:val="00906D7E"/>
    <w:rsid w:val="00906ECB"/>
    <w:rsid w:val="009070B5"/>
    <w:rsid w:val="009072A1"/>
    <w:rsid w:val="00907361"/>
    <w:rsid w:val="0090779B"/>
    <w:rsid w:val="0090789C"/>
    <w:rsid w:val="009079AC"/>
    <w:rsid w:val="00907BC4"/>
    <w:rsid w:val="00907BF3"/>
    <w:rsid w:val="00907C70"/>
    <w:rsid w:val="00910175"/>
    <w:rsid w:val="0091031A"/>
    <w:rsid w:val="00910A31"/>
    <w:rsid w:val="00910ABB"/>
    <w:rsid w:val="00910B69"/>
    <w:rsid w:val="00910C04"/>
    <w:rsid w:val="00910E87"/>
    <w:rsid w:val="00910F97"/>
    <w:rsid w:val="009112FF"/>
    <w:rsid w:val="009113E1"/>
    <w:rsid w:val="00911523"/>
    <w:rsid w:val="0091163A"/>
    <w:rsid w:val="009116E9"/>
    <w:rsid w:val="00911BBC"/>
    <w:rsid w:val="00911BF9"/>
    <w:rsid w:val="00911C0C"/>
    <w:rsid w:val="00911E9D"/>
    <w:rsid w:val="00911F11"/>
    <w:rsid w:val="0091200D"/>
    <w:rsid w:val="0091230D"/>
    <w:rsid w:val="0091237C"/>
    <w:rsid w:val="009123FB"/>
    <w:rsid w:val="00912410"/>
    <w:rsid w:val="00912645"/>
    <w:rsid w:val="0091297E"/>
    <w:rsid w:val="00912C16"/>
    <w:rsid w:val="00912EC9"/>
    <w:rsid w:val="00912FA1"/>
    <w:rsid w:val="009132F6"/>
    <w:rsid w:val="00913318"/>
    <w:rsid w:val="009133EC"/>
    <w:rsid w:val="009139F4"/>
    <w:rsid w:val="00913B8C"/>
    <w:rsid w:val="00913E56"/>
    <w:rsid w:val="00913F17"/>
    <w:rsid w:val="0091403B"/>
    <w:rsid w:val="00914143"/>
    <w:rsid w:val="00914723"/>
    <w:rsid w:val="0091486F"/>
    <w:rsid w:val="00914896"/>
    <w:rsid w:val="0091494C"/>
    <w:rsid w:val="00914986"/>
    <w:rsid w:val="0091499A"/>
    <w:rsid w:val="00914B6D"/>
    <w:rsid w:val="00914FA9"/>
    <w:rsid w:val="00915596"/>
    <w:rsid w:val="00915856"/>
    <w:rsid w:val="00915A0C"/>
    <w:rsid w:val="00915FBE"/>
    <w:rsid w:val="00916075"/>
    <w:rsid w:val="009164F1"/>
    <w:rsid w:val="00916595"/>
    <w:rsid w:val="0091686E"/>
    <w:rsid w:val="00916EC3"/>
    <w:rsid w:val="00916F0D"/>
    <w:rsid w:val="009170A1"/>
    <w:rsid w:val="0091735F"/>
    <w:rsid w:val="009174D1"/>
    <w:rsid w:val="00917DAD"/>
    <w:rsid w:val="00917E55"/>
    <w:rsid w:val="0092042D"/>
    <w:rsid w:val="00920852"/>
    <w:rsid w:val="00921001"/>
    <w:rsid w:val="00921217"/>
    <w:rsid w:val="00921686"/>
    <w:rsid w:val="009217CD"/>
    <w:rsid w:val="0092194C"/>
    <w:rsid w:val="00921953"/>
    <w:rsid w:val="00921A2E"/>
    <w:rsid w:val="00921BCF"/>
    <w:rsid w:val="00921FA1"/>
    <w:rsid w:val="009220BC"/>
    <w:rsid w:val="0092214E"/>
    <w:rsid w:val="00922438"/>
    <w:rsid w:val="0092245B"/>
    <w:rsid w:val="009227EA"/>
    <w:rsid w:val="009228DD"/>
    <w:rsid w:val="00922AAE"/>
    <w:rsid w:val="00922BE8"/>
    <w:rsid w:val="00922CAD"/>
    <w:rsid w:val="0092301F"/>
    <w:rsid w:val="00923BC7"/>
    <w:rsid w:val="00923DC1"/>
    <w:rsid w:val="00923E9C"/>
    <w:rsid w:val="00923EE0"/>
    <w:rsid w:val="00923FE1"/>
    <w:rsid w:val="009249EC"/>
    <w:rsid w:val="00924E9D"/>
    <w:rsid w:val="00925069"/>
    <w:rsid w:val="0092533E"/>
    <w:rsid w:val="0092539B"/>
    <w:rsid w:val="00925515"/>
    <w:rsid w:val="00925561"/>
    <w:rsid w:val="009259D1"/>
    <w:rsid w:val="00925AA2"/>
    <w:rsid w:val="00925CC1"/>
    <w:rsid w:val="00925EA7"/>
    <w:rsid w:val="00925F0C"/>
    <w:rsid w:val="0092624E"/>
    <w:rsid w:val="009262C5"/>
    <w:rsid w:val="0092630D"/>
    <w:rsid w:val="00926385"/>
    <w:rsid w:val="00926556"/>
    <w:rsid w:val="00926774"/>
    <w:rsid w:val="00926963"/>
    <w:rsid w:val="00926AD7"/>
    <w:rsid w:val="00926B18"/>
    <w:rsid w:val="00926FE0"/>
    <w:rsid w:val="00927109"/>
    <w:rsid w:val="009274C4"/>
    <w:rsid w:val="0092753E"/>
    <w:rsid w:val="00927556"/>
    <w:rsid w:val="00927891"/>
    <w:rsid w:val="00927CD0"/>
    <w:rsid w:val="00927DDF"/>
    <w:rsid w:val="009302F4"/>
    <w:rsid w:val="0093050E"/>
    <w:rsid w:val="009309A8"/>
    <w:rsid w:val="00930D54"/>
    <w:rsid w:val="00930E55"/>
    <w:rsid w:val="009310DC"/>
    <w:rsid w:val="00931117"/>
    <w:rsid w:val="0093111D"/>
    <w:rsid w:val="00931E68"/>
    <w:rsid w:val="00931EAF"/>
    <w:rsid w:val="00931F49"/>
    <w:rsid w:val="009321AF"/>
    <w:rsid w:val="009321E6"/>
    <w:rsid w:val="00932260"/>
    <w:rsid w:val="00932502"/>
    <w:rsid w:val="00932519"/>
    <w:rsid w:val="00932C60"/>
    <w:rsid w:val="009330BF"/>
    <w:rsid w:val="0093313B"/>
    <w:rsid w:val="00933213"/>
    <w:rsid w:val="00933464"/>
    <w:rsid w:val="00933687"/>
    <w:rsid w:val="0093378D"/>
    <w:rsid w:val="009338FB"/>
    <w:rsid w:val="009339C0"/>
    <w:rsid w:val="00933A98"/>
    <w:rsid w:val="00933C61"/>
    <w:rsid w:val="00933DC1"/>
    <w:rsid w:val="00933FA3"/>
    <w:rsid w:val="00934044"/>
    <w:rsid w:val="00934067"/>
    <w:rsid w:val="00934250"/>
    <w:rsid w:val="0093429A"/>
    <w:rsid w:val="009342BF"/>
    <w:rsid w:val="0093454F"/>
    <w:rsid w:val="009345E2"/>
    <w:rsid w:val="009347C2"/>
    <w:rsid w:val="00934937"/>
    <w:rsid w:val="00934D85"/>
    <w:rsid w:val="00935756"/>
    <w:rsid w:val="00935AE6"/>
    <w:rsid w:val="00935B59"/>
    <w:rsid w:val="00935CAA"/>
    <w:rsid w:val="00935D02"/>
    <w:rsid w:val="00935D23"/>
    <w:rsid w:val="00935E1F"/>
    <w:rsid w:val="00935ED1"/>
    <w:rsid w:val="00936183"/>
    <w:rsid w:val="009362A7"/>
    <w:rsid w:val="00936493"/>
    <w:rsid w:val="00936C88"/>
    <w:rsid w:val="00936FCA"/>
    <w:rsid w:val="0093706E"/>
    <w:rsid w:val="0093778B"/>
    <w:rsid w:val="0093782F"/>
    <w:rsid w:val="00937A15"/>
    <w:rsid w:val="00937B0C"/>
    <w:rsid w:val="00937BDD"/>
    <w:rsid w:val="00937DC8"/>
    <w:rsid w:val="00940264"/>
    <w:rsid w:val="00940A8A"/>
    <w:rsid w:val="00940A9E"/>
    <w:rsid w:val="00940FCA"/>
    <w:rsid w:val="0094123C"/>
    <w:rsid w:val="0094161B"/>
    <w:rsid w:val="00941AE0"/>
    <w:rsid w:val="00941E9F"/>
    <w:rsid w:val="00941F02"/>
    <w:rsid w:val="00941F51"/>
    <w:rsid w:val="009422D7"/>
    <w:rsid w:val="009423D2"/>
    <w:rsid w:val="00942454"/>
    <w:rsid w:val="00942547"/>
    <w:rsid w:val="009425D4"/>
    <w:rsid w:val="00942A49"/>
    <w:rsid w:val="00942D30"/>
    <w:rsid w:val="00942E18"/>
    <w:rsid w:val="00942EAB"/>
    <w:rsid w:val="00942F04"/>
    <w:rsid w:val="00943161"/>
    <w:rsid w:val="00943407"/>
    <w:rsid w:val="0094375C"/>
    <w:rsid w:val="00943803"/>
    <w:rsid w:val="009438A4"/>
    <w:rsid w:val="00943B4C"/>
    <w:rsid w:val="00943C7E"/>
    <w:rsid w:val="00943D42"/>
    <w:rsid w:val="00943EF3"/>
    <w:rsid w:val="00944061"/>
    <w:rsid w:val="0094407C"/>
    <w:rsid w:val="0094429F"/>
    <w:rsid w:val="0094435D"/>
    <w:rsid w:val="00944554"/>
    <w:rsid w:val="00944698"/>
    <w:rsid w:val="0094476F"/>
    <w:rsid w:val="009448AC"/>
    <w:rsid w:val="00944D30"/>
    <w:rsid w:val="00944D7F"/>
    <w:rsid w:val="00944FC7"/>
    <w:rsid w:val="0094502C"/>
    <w:rsid w:val="00945262"/>
    <w:rsid w:val="009455E9"/>
    <w:rsid w:val="00945809"/>
    <w:rsid w:val="0094589B"/>
    <w:rsid w:val="0094596E"/>
    <w:rsid w:val="00945A22"/>
    <w:rsid w:val="00945B59"/>
    <w:rsid w:val="00945D3E"/>
    <w:rsid w:val="00945FEF"/>
    <w:rsid w:val="00946132"/>
    <w:rsid w:val="009462C7"/>
    <w:rsid w:val="00946617"/>
    <w:rsid w:val="009468B7"/>
    <w:rsid w:val="009468F8"/>
    <w:rsid w:val="00946A1D"/>
    <w:rsid w:val="00946A5C"/>
    <w:rsid w:val="00946BA1"/>
    <w:rsid w:val="00946DB6"/>
    <w:rsid w:val="00946E1D"/>
    <w:rsid w:val="00946E24"/>
    <w:rsid w:val="00946E61"/>
    <w:rsid w:val="00946EB7"/>
    <w:rsid w:val="00947460"/>
    <w:rsid w:val="009474AD"/>
    <w:rsid w:val="009474EE"/>
    <w:rsid w:val="0094756D"/>
    <w:rsid w:val="009475FD"/>
    <w:rsid w:val="0094766A"/>
    <w:rsid w:val="009476CA"/>
    <w:rsid w:val="0094776E"/>
    <w:rsid w:val="0094795D"/>
    <w:rsid w:val="00947B35"/>
    <w:rsid w:val="00947B43"/>
    <w:rsid w:val="009500A0"/>
    <w:rsid w:val="00950596"/>
    <w:rsid w:val="00950728"/>
    <w:rsid w:val="00950AF5"/>
    <w:rsid w:val="00950EB2"/>
    <w:rsid w:val="00950FF5"/>
    <w:rsid w:val="00951158"/>
    <w:rsid w:val="0095115E"/>
    <w:rsid w:val="00951A78"/>
    <w:rsid w:val="009520EC"/>
    <w:rsid w:val="009522E9"/>
    <w:rsid w:val="00953085"/>
    <w:rsid w:val="00953093"/>
    <w:rsid w:val="009533C2"/>
    <w:rsid w:val="00953671"/>
    <w:rsid w:val="00953A24"/>
    <w:rsid w:val="00953B1C"/>
    <w:rsid w:val="00953CB4"/>
    <w:rsid w:val="00953DFF"/>
    <w:rsid w:val="009541CB"/>
    <w:rsid w:val="00954792"/>
    <w:rsid w:val="009547D4"/>
    <w:rsid w:val="00954BD3"/>
    <w:rsid w:val="00954CA1"/>
    <w:rsid w:val="00954CB6"/>
    <w:rsid w:val="00954EF8"/>
    <w:rsid w:val="00954FE1"/>
    <w:rsid w:val="00955035"/>
    <w:rsid w:val="00955155"/>
    <w:rsid w:val="00955531"/>
    <w:rsid w:val="009558E1"/>
    <w:rsid w:val="00955A2C"/>
    <w:rsid w:val="00955A53"/>
    <w:rsid w:val="00955A8C"/>
    <w:rsid w:val="00955AF7"/>
    <w:rsid w:val="00955B6E"/>
    <w:rsid w:val="00955DEB"/>
    <w:rsid w:val="0095611A"/>
    <w:rsid w:val="009564DC"/>
    <w:rsid w:val="00956609"/>
    <w:rsid w:val="00956705"/>
    <w:rsid w:val="0095686C"/>
    <w:rsid w:val="009568C4"/>
    <w:rsid w:val="00956DD6"/>
    <w:rsid w:val="00956EB5"/>
    <w:rsid w:val="00957146"/>
    <w:rsid w:val="00957416"/>
    <w:rsid w:val="00957428"/>
    <w:rsid w:val="00957586"/>
    <w:rsid w:val="009575A9"/>
    <w:rsid w:val="0095766F"/>
    <w:rsid w:val="009576BC"/>
    <w:rsid w:val="009577FC"/>
    <w:rsid w:val="00957888"/>
    <w:rsid w:val="009578CA"/>
    <w:rsid w:val="00960131"/>
    <w:rsid w:val="009602DF"/>
    <w:rsid w:val="00960332"/>
    <w:rsid w:val="009604A7"/>
    <w:rsid w:val="00960621"/>
    <w:rsid w:val="009607CF"/>
    <w:rsid w:val="00960845"/>
    <w:rsid w:val="00960872"/>
    <w:rsid w:val="00960985"/>
    <w:rsid w:val="00960B02"/>
    <w:rsid w:val="0096118D"/>
    <w:rsid w:val="009611CD"/>
    <w:rsid w:val="0096135A"/>
    <w:rsid w:val="0096147F"/>
    <w:rsid w:val="00961586"/>
    <w:rsid w:val="009617E8"/>
    <w:rsid w:val="009619ED"/>
    <w:rsid w:val="00961EE8"/>
    <w:rsid w:val="009621AA"/>
    <w:rsid w:val="00962233"/>
    <w:rsid w:val="0096247F"/>
    <w:rsid w:val="0096255E"/>
    <w:rsid w:val="009625A8"/>
    <w:rsid w:val="00962C4E"/>
    <w:rsid w:val="00962C9B"/>
    <w:rsid w:val="00962D8F"/>
    <w:rsid w:val="00962DAB"/>
    <w:rsid w:val="00962F3D"/>
    <w:rsid w:val="00962F7C"/>
    <w:rsid w:val="0096304A"/>
    <w:rsid w:val="009630EC"/>
    <w:rsid w:val="009636EF"/>
    <w:rsid w:val="00963793"/>
    <w:rsid w:val="00963B75"/>
    <w:rsid w:val="00963C32"/>
    <w:rsid w:val="00963E75"/>
    <w:rsid w:val="00963F59"/>
    <w:rsid w:val="009641E8"/>
    <w:rsid w:val="009642C9"/>
    <w:rsid w:val="00964707"/>
    <w:rsid w:val="009649F6"/>
    <w:rsid w:val="00964E04"/>
    <w:rsid w:val="009650DC"/>
    <w:rsid w:val="009653D3"/>
    <w:rsid w:val="00965507"/>
    <w:rsid w:val="00965638"/>
    <w:rsid w:val="00965B45"/>
    <w:rsid w:val="00965CD7"/>
    <w:rsid w:val="00965DB3"/>
    <w:rsid w:val="00965E02"/>
    <w:rsid w:val="009660F5"/>
    <w:rsid w:val="0096654C"/>
    <w:rsid w:val="00966769"/>
    <w:rsid w:val="00966794"/>
    <w:rsid w:val="00966F84"/>
    <w:rsid w:val="009670A8"/>
    <w:rsid w:val="00967129"/>
    <w:rsid w:val="00967145"/>
    <w:rsid w:val="0096721D"/>
    <w:rsid w:val="009672F2"/>
    <w:rsid w:val="009674AD"/>
    <w:rsid w:val="0096754C"/>
    <w:rsid w:val="009679AF"/>
    <w:rsid w:val="00967AC9"/>
    <w:rsid w:val="00967C48"/>
    <w:rsid w:val="00967C5F"/>
    <w:rsid w:val="00967DB8"/>
    <w:rsid w:val="00967E23"/>
    <w:rsid w:val="00967F52"/>
    <w:rsid w:val="00970014"/>
    <w:rsid w:val="00970F27"/>
    <w:rsid w:val="0097104C"/>
    <w:rsid w:val="00971052"/>
    <w:rsid w:val="0097126D"/>
    <w:rsid w:val="0097130D"/>
    <w:rsid w:val="0097170D"/>
    <w:rsid w:val="00971E97"/>
    <w:rsid w:val="009721C8"/>
    <w:rsid w:val="0097251A"/>
    <w:rsid w:val="009729AE"/>
    <w:rsid w:val="00972B27"/>
    <w:rsid w:val="00972E01"/>
    <w:rsid w:val="0097324E"/>
    <w:rsid w:val="00973272"/>
    <w:rsid w:val="0097329F"/>
    <w:rsid w:val="009732ED"/>
    <w:rsid w:val="00973407"/>
    <w:rsid w:val="009734CE"/>
    <w:rsid w:val="009735D0"/>
    <w:rsid w:val="009736E8"/>
    <w:rsid w:val="009737AB"/>
    <w:rsid w:val="00973837"/>
    <w:rsid w:val="00973D2C"/>
    <w:rsid w:val="00974065"/>
    <w:rsid w:val="00974138"/>
    <w:rsid w:val="0097423A"/>
    <w:rsid w:val="009743D7"/>
    <w:rsid w:val="00974735"/>
    <w:rsid w:val="009747E3"/>
    <w:rsid w:val="009749F0"/>
    <w:rsid w:val="00974A2B"/>
    <w:rsid w:val="00974AAD"/>
    <w:rsid w:val="00974C4A"/>
    <w:rsid w:val="00974C99"/>
    <w:rsid w:val="00975148"/>
    <w:rsid w:val="0097522C"/>
    <w:rsid w:val="009756E8"/>
    <w:rsid w:val="009757C4"/>
    <w:rsid w:val="009757C8"/>
    <w:rsid w:val="00975A00"/>
    <w:rsid w:val="00975B75"/>
    <w:rsid w:val="00975BD3"/>
    <w:rsid w:val="00975DA8"/>
    <w:rsid w:val="00976408"/>
    <w:rsid w:val="00976547"/>
    <w:rsid w:val="009765D2"/>
    <w:rsid w:val="009765F0"/>
    <w:rsid w:val="00976748"/>
    <w:rsid w:val="0097715D"/>
    <w:rsid w:val="00977294"/>
    <w:rsid w:val="009773C5"/>
    <w:rsid w:val="00977447"/>
    <w:rsid w:val="0097747A"/>
    <w:rsid w:val="0097748A"/>
    <w:rsid w:val="009774BB"/>
    <w:rsid w:val="00977541"/>
    <w:rsid w:val="009777AE"/>
    <w:rsid w:val="009777D2"/>
    <w:rsid w:val="00977A08"/>
    <w:rsid w:val="00977D0D"/>
    <w:rsid w:val="00977E27"/>
    <w:rsid w:val="00977EA1"/>
    <w:rsid w:val="0098000D"/>
    <w:rsid w:val="00980237"/>
    <w:rsid w:val="00980242"/>
    <w:rsid w:val="009803D4"/>
    <w:rsid w:val="009807DA"/>
    <w:rsid w:val="00980E66"/>
    <w:rsid w:val="00981291"/>
    <w:rsid w:val="00981635"/>
    <w:rsid w:val="009817CB"/>
    <w:rsid w:val="00982228"/>
    <w:rsid w:val="009822C0"/>
    <w:rsid w:val="009823A0"/>
    <w:rsid w:val="009826BC"/>
    <w:rsid w:val="009826FF"/>
    <w:rsid w:val="009827E7"/>
    <w:rsid w:val="00982967"/>
    <w:rsid w:val="00982A35"/>
    <w:rsid w:val="00982C9B"/>
    <w:rsid w:val="00982EA1"/>
    <w:rsid w:val="00983669"/>
    <w:rsid w:val="0098383E"/>
    <w:rsid w:val="009838A8"/>
    <w:rsid w:val="00983D2F"/>
    <w:rsid w:val="00983F6E"/>
    <w:rsid w:val="0098476D"/>
    <w:rsid w:val="0098491A"/>
    <w:rsid w:val="00984CB0"/>
    <w:rsid w:val="00984EDD"/>
    <w:rsid w:val="009852AF"/>
    <w:rsid w:val="009853C5"/>
    <w:rsid w:val="009854A7"/>
    <w:rsid w:val="00985573"/>
    <w:rsid w:val="009855D6"/>
    <w:rsid w:val="009857ED"/>
    <w:rsid w:val="0098587A"/>
    <w:rsid w:val="00985912"/>
    <w:rsid w:val="00986B91"/>
    <w:rsid w:val="00986BFF"/>
    <w:rsid w:val="00986C0C"/>
    <w:rsid w:val="009871C7"/>
    <w:rsid w:val="009872A0"/>
    <w:rsid w:val="00987524"/>
    <w:rsid w:val="00987526"/>
    <w:rsid w:val="009876D1"/>
    <w:rsid w:val="0098774E"/>
    <w:rsid w:val="00987978"/>
    <w:rsid w:val="0098798E"/>
    <w:rsid w:val="00987B02"/>
    <w:rsid w:val="00987B36"/>
    <w:rsid w:val="00987BA0"/>
    <w:rsid w:val="00987CE7"/>
    <w:rsid w:val="00987FE7"/>
    <w:rsid w:val="009901D0"/>
    <w:rsid w:val="009904C1"/>
    <w:rsid w:val="009907DF"/>
    <w:rsid w:val="00990815"/>
    <w:rsid w:val="00990D94"/>
    <w:rsid w:val="00990E17"/>
    <w:rsid w:val="00990ECB"/>
    <w:rsid w:val="0099100E"/>
    <w:rsid w:val="009911D2"/>
    <w:rsid w:val="00991406"/>
    <w:rsid w:val="00991554"/>
    <w:rsid w:val="009917E8"/>
    <w:rsid w:val="00991D91"/>
    <w:rsid w:val="009922C8"/>
    <w:rsid w:val="009927DD"/>
    <w:rsid w:val="00992898"/>
    <w:rsid w:val="00992ACA"/>
    <w:rsid w:val="00992B8C"/>
    <w:rsid w:val="00992DE6"/>
    <w:rsid w:val="00992EDB"/>
    <w:rsid w:val="00992F5C"/>
    <w:rsid w:val="00993202"/>
    <w:rsid w:val="0099365E"/>
    <w:rsid w:val="00993A22"/>
    <w:rsid w:val="00993A6A"/>
    <w:rsid w:val="00993A9C"/>
    <w:rsid w:val="00993F8B"/>
    <w:rsid w:val="00994079"/>
    <w:rsid w:val="0099409A"/>
    <w:rsid w:val="00994517"/>
    <w:rsid w:val="00994842"/>
    <w:rsid w:val="009949F8"/>
    <w:rsid w:val="00994C75"/>
    <w:rsid w:val="00994FFE"/>
    <w:rsid w:val="0099539A"/>
    <w:rsid w:val="009958FD"/>
    <w:rsid w:val="00995C4D"/>
    <w:rsid w:val="00996206"/>
    <w:rsid w:val="00996583"/>
    <w:rsid w:val="00996776"/>
    <w:rsid w:val="0099694C"/>
    <w:rsid w:val="00996DA3"/>
    <w:rsid w:val="00996DAF"/>
    <w:rsid w:val="00996F02"/>
    <w:rsid w:val="00996F2A"/>
    <w:rsid w:val="009975DC"/>
    <w:rsid w:val="0099773A"/>
    <w:rsid w:val="00997748"/>
    <w:rsid w:val="009977A3"/>
    <w:rsid w:val="009977FF"/>
    <w:rsid w:val="00997A7C"/>
    <w:rsid w:val="00997B74"/>
    <w:rsid w:val="00997B95"/>
    <w:rsid w:val="00997EF0"/>
    <w:rsid w:val="009A0303"/>
    <w:rsid w:val="009A0392"/>
    <w:rsid w:val="009A044C"/>
    <w:rsid w:val="009A05F9"/>
    <w:rsid w:val="009A0744"/>
    <w:rsid w:val="009A085C"/>
    <w:rsid w:val="009A08F6"/>
    <w:rsid w:val="009A0B80"/>
    <w:rsid w:val="009A0DFD"/>
    <w:rsid w:val="009A0F38"/>
    <w:rsid w:val="009A1399"/>
    <w:rsid w:val="009A1527"/>
    <w:rsid w:val="009A15B4"/>
    <w:rsid w:val="009A1A2A"/>
    <w:rsid w:val="009A1E3B"/>
    <w:rsid w:val="009A1E8E"/>
    <w:rsid w:val="009A1FA7"/>
    <w:rsid w:val="009A24D2"/>
    <w:rsid w:val="009A2891"/>
    <w:rsid w:val="009A2965"/>
    <w:rsid w:val="009A2B12"/>
    <w:rsid w:val="009A3284"/>
    <w:rsid w:val="009A3440"/>
    <w:rsid w:val="009A3583"/>
    <w:rsid w:val="009A3985"/>
    <w:rsid w:val="009A3B38"/>
    <w:rsid w:val="009A3D3E"/>
    <w:rsid w:val="009A415E"/>
    <w:rsid w:val="009A4235"/>
    <w:rsid w:val="009A4413"/>
    <w:rsid w:val="009A448B"/>
    <w:rsid w:val="009A4B05"/>
    <w:rsid w:val="009A4B8B"/>
    <w:rsid w:val="009A4E18"/>
    <w:rsid w:val="009A4F9E"/>
    <w:rsid w:val="009A543C"/>
    <w:rsid w:val="009A5D61"/>
    <w:rsid w:val="009A5DF3"/>
    <w:rsid w:val="009A600D"/>
    <w:rsid w:val="009A641A"/>
    <w:rsid w:val="009A6B9D"/>
    <w:rsid w:val="009A6DBD"/>
    <w:rsid w:val="009A6FAC"/>
    <w:rsid w:val="009A6FE9"/>
    <w:rsid w:val="009A70B0"/>
    <w:rsid w:val="009A7253"/>
    <w:rsid w:val="009A75D5"/>
    <w:rsid w:val="009A7F13"/>
    <w:rsid w:val="009A7F69"/>
    <w:rsid w:val="009B0148"/>
    <w:rsid w:val="009B0256"/>
    <w:rsid w:val="009B062E"/>
    <w:rsid w:val="009B06D0"/>
    <w:rsid w:val="009B0B53"/>
    <w:rsid w:val="009B0BCD"/>
    <w:rsid w:val="009B0D58"/>
    <w:rsid w:val="009B0D62"/>
    <w:rsid w:val="009B0EDB"/>
    <w:rsid w:val="009B0F53"/>
    <w:rsid w:val="009B14D4"/>
    <w:rsid w:val="009B1822"/>
    <w:rsid w:val="009B1889"/>
    <w:rsid w:val="009B1CE8"/>
    <w:rsid w:val="009B1D72"/>
    <w:rsid w:val="009B2127"/>
    <w:rsid w:val="009B2140"/>
    <w:rsid w:val="009B219A"/>
    <w:rsid w:val="009B23D1"/>
    <w:rsid w:val="009B24B3"/>
    <w:rsid w:val="009B25BA"/>
    <w:rsid w:val="009B25E7"/>
    <w:rsid w:val="009B2916"/>
    <w:rsid w:val="009B2C3E"/>
    <w:rsid w:val="009B2CBC"/>
    <w:rsid w:val="009B2DD4"/>
    <w:rsid w:val="009B3170"/>
    <w:rsid w:val="009B3196"/>
    <w:rsid w:val="009B34F3"/>
    <w:rsid w:val="009B3513"/>
    <w:rsid w:val="009B3586"/>
    <w:rsid w:val="009B36C1"/>
    <w:rsid w:val="009B3A6B"/>
    <w:rsid w:val="009B3B04"/>
    <w:rsid w:val="009B3F23"/>
    <w:rsid w:val="009B3F2C"/>
    <w:rsid w:val="009B4058"/>
    <w:rsid w:val="009B4087"/>
    <w:rsid w:val="009B4112"/>
    <w:rsid w:val="009B4151"/>
    <w:rsid w:val="009B41E3"/>
    <w:rsid w:val="009B4499"/>
    <w:rsid w:val="009B486D"/>
    <w:rsid w:val="009B49EF"/>
    <w:rsid w:val="009B49FF"/>
    <w:rsid w:val="009B4B14"/>
    <w:rsid w:val="009B4C9B"/>
    <w:rsid w:val="009B5419"/>
    <w:rsid w:val="009B54E2"/>
    <w:rsid w:val="009B555B"/>
    <w:rsid w:val="009B5589"/>
    <w:rsid w:val="009B5610"/>
    <w:rsid w:val="009B5691"/>
    <w:rsid w:val="009B5A45"/>
    <w:rsid w:val="009B5CEC"/>
    <w:rsid w:val="009B5E7B"/>
    <w:rsid w:val="009B612F"/>
    <w:rsid w:val="009B615B"/>
    <w:rsid w:val="009B6284"/>
    <w:rsid w:val="009B62F1"/>
    <w:rsid w:val="009B635B"/>
    <w:rsid w:val="009B651C"/>
    <w:rsid w:val="009B6728"/>
    <w:rsid w:val="009B6736"/>
    <w:rsid w:val="009B6AC4"/>
    <w:rsid w:val="009B6C23"/>
    <w:rsid w:val="009B6C2F"/>
    <w:rsid w:val="009B7244"/>
    <w:rsid w:val="009B72C6"/>
    <w:rsid w:val="009B77F9"/>
    <w:rsid w:val="009C0001"/>
    <w:rsid w:val="009C004B"/>
    <w:rsid w:val="009C020C"/>
    <w:rsid w:val="009C0529"/>
    <w:rsid w:val="009C05D9"/>
    <w:rsid w:val="009C08F7"/>
    <w:rsid w:val="009C0908"/>
    <w:rsid w:val="009C0A8C"/>
    <w:rsid w:val="009C0BC4"/>
    <w:rsid w:val="009C0EBE"/>
    <w:rsid w:val="009C14D3"/>
    <w:rsid w:val="009C18D6"/>
    <w:rsid w:val="009C1D64"/>
    <w:rsid w:val="009C1EB5"/>
    <w:rsid w:val="009C2034"/>
    <w:rsid w:val="009C223C"/>
    <w:rsid w:val="009C2535"/>
    <w:rsid w:val="009C25E1"/>
    <w:rsid w:val="009C27B5"/>
    <w:rsid w:val="009C2C61"/>
    <w:rsid w:val="009C311C"/>
    <w:rsid w:val="009C3171"/>
    <w:rsid w:val="009C352A"/>
    <w:rsid w:val="009C37A2"/>
    <w:rsid w:val="009C38BB"/>
    <w:rsid w:val="009C3A0E"/>
    <w:rsid w:val="009C3D35"/>
    <w:rsid w:val="009C40D5"/>
    <w:rsid w:val="009C44D1"/>
    <w:rsid w:val="009C46B5"/>
    <w:rsid w:val="009C48C4"/>
    <w:rsid w:val="009C49B3"/>
    <w:rsid w:val="009C4A34"/>
    <w:rsid w:val="009C4C20"/>
    <w:rsid w:val="009C4E01"/>
    <w:rsid w:val="009C4FD5"/>
    <w:rsid w:val="009C50E7"/>
    <w:rsid w:val="009C5440"/>
    <w:rsid w:val="009C5733"/>
    <w:rsid w:val="009C5B7D"/>
    <w:rsid w:val="009C5C27"/>
    <w:rsid w:val="009C5CD8"/>
    <w:rsid w:val="009C5F1A"/>
    <w:rsid w:val="009C5FFE"/>
    <w:rsid w:val="009C625E"/>
    <w:rsid w:val="009C6360"/>
    <w:rsid w:val="009C6563"/>
    <w:rsid w:val="009C6859"/>
    <w:rsid w:val="009C6865"/>
    <w:rsid w:val="009C68C4"/>
    <w:rsid w:val="009C6B03"/>
    <w:rsid w:val="009C6BC8"/>
    <w:rsid w:val="009C6CA4"/>
    <w:rsid w:val="009C6E23"/>
    <w:rsid w:val="009C71F3"/>
    <w:rsid w:val="009C74E2"/>
    <w:rsid w:val="009C7516"/>
    <w:rsid w:val="009C7936"/>
    <w:rsid w:val="009C7E5E"/>
    <w:rsid w:val="009C7F10"/>
    <w:rsid w:val="009D0152"/>
    <w:rsid w:val="009D01B5"/>
    <w:rsid w:val="009D02BF"/>
    <w:rsid w:val="009D069E"/>
    <w:rsid w:val="009D0881"/>
    <w:rsid w:val="009D0938"/>
    <w:rsid w:val="009D09B7"/>
    <w:rsid w:val="009D0BAB"/>
    <w:rsid w:val="009D1050"/>
    <w:rsid w:val="009D10A6"/>
    <w:rsid w:val="009D13B7"/>
    <w:rsid w:val="009D1894"/>
    <w:rsid w:val="009D1948"/>
    <w:rsid w:val="009D1C54"/>
    <w:rsid w:val="009D1D19"/>
    <w:rsid w:val="009D1D1E"/>
    <w:rsid w:val="009D1DBD"/>
    <w:rsid w:val="009D1DE4"/>
    <w:rsid w:val="009D206F"/>
    <w:rsid w:val="009D2143"/>
    <w:rsid w:val="009D2305"/>
    <w:rsid w:val="009D234F"/>
    <w:rsid w:val="009D262B"/>
    <w:rsid w:val="009D2893"/>
    <w:rsid w:val="009D2A5E"/>
    <w:rsid w:val="009D2B3F"/>
    <w:rsid w:val="009D2CB8"/>
    <w:rsid w:val="009D2F3D"/>
    <w:rsid w:val="009D3088"/>
    <w:rsid w:val="009D3261"/>
    <w:rsid w:val="009D36B1"/>
    <w:rsid w:val="009D3910"/>
    <w:rsid w:val="009D39B4"/>
    <w:rsid w:val="009D3C0C"/>
    <w:rsid w:val="009D3C8E"/>
    <w:rsid w:val="009D3F97"/>
    <w:rsid w:val="009D426E"/>
    <w:rsid w:val="009D42F8"/>
    <w:rsid w:val="009D454E"/>
    <w:rsid w:val="009D4556"/>
    <w:rsid w:val="009D4899"/>
    <w:rsid w:val="009D4940"/>
    <w:rsid w:val="009D4965"/>
    <w:rsid w:val="009D4DB2"/>
    <w:rsid w:val="009D4F01"/>
    <w:rsid w:val="009D4F46"/>
    <w:rsid w:val="009D4FCC"/>
    <w:rsid w:val="009D52EF"/>
    <w:rsid w:val="009D534B"/>
    <w:rsid w:val="009D5742"/>
    <w:rsid w:val="009D57AF"/>
    <w:rsid w:val="009D59CD"/>
    <w:rsid w:val="009D5AD0"/>
    <w:rsid w:val="009D5C30"/>
    <w:rsid w:val="009D5C89"/>
    <w:rsid w:val="009D5DD8"/>
    <w:rsid w:val="009D5DF2"/>
    <w:rsid w:val="009D60D8"/>
    <w:rsid w:val="009D6331"/>
    <w:rsid w:val="009D6854"/>
    <w:rsid w:val="009D6A50"/>
    <w:rsid w:val="009D6B2B"/>
    <w:rsid w:val="009D6F36"/>
    <w:rsid w:val="009D6FC0"/>
    <w:rsid w:val="009D721D"/>
    <w:rsid w:val="009D7448"/>
    <w:rsid w:val="009D77BC"/>
    <w:rsid w:val="009D7872"/>
    <w:rsid w:val="009D79DA"/>
    <w:rsid w:val="009D7CCB"/>
    <w:rsid w:val="009D7DE1"/>
    <w:rsid w:val="009E0362"/>
    <w:rsid w:val="009E051D"/>
    <w:rsid w:val="009E0875"/>
    <w:rsid w:val="009E0BB2"/>
    <w:rsid w:val="009E0E91"/>
    <w:rsid w:val="009E0EB5"/>
    <w:rsid w:val="009E0F14"/>
    <w:rsid w:val="009E0F9B"/>
    <w:rsid w:val="009E1136"/>
    <w:rsid w:val="009E11D6"/>
    <w:rsid w:val="009E12FE"/>
    <w:rsid w:val="009E13F0"/>
    <w:rsid w:val="009E14F4"/>
    <w:rsid w:val="009E1841"/>
    <w:rsid w:val="009E1A0F"/>
    <w:rsid w:val="009E1B17"/>
    <w:rsid w:val="009E1B42"/>
    <w:rsid w:val="009E1CEC"/>
    <w:rsid w:val="009E2171"/>
    <w:rsid w:val="009E2321"/>
    <w:rsid w:val="009E234D"/>
    <w:rsid w:val="009E24D5"/>
    <w:rsid w:val="009E254D"/>
    <w:rsid w:val="009E27C3"/>
    <w:rsid w:val="009E29E7"/>
    <w:rsid w:val="009E2B12"/>
    <w:rsid w:val="009E2BAC"/>
    <w:rsid w:val="009E2CB1"/>
    <w:rsid w:val="009E2DE3"/>
    <w:rsid w:val="009E2E70"/>
    <w:rsid w:val="009E2F62"/>
    <w:rsid w:val="009E2FEE"/>
    <w:rsid w:val="009E30F9"/>
    <w:rsid w:val="009E3164"/>
    <w:rsid w:val="009E3281"/>
    <w:rsid w:val="009E359F"/>
    <w:rsid w:val="009E3D2E"/>
    <w:rsid w:val="009E447C"/>
    <w:rsid w:val="009E459E"/>
    <w:rsid w:val="009E4B00"/>
    <w:rsid w:val="009E4C05"/>
    <w:rsid w:val="009E5150"/>
    <w:rsid w:val="009E538A"/>
    <w:rsid w:val="009E5499"/>
    <w:rsid w:val="009E5AF3"/>
    <w:rsid w:val="009E5B8C"/>
    <w:rsid w:val="009E5BA6"/>
    <w:rsid w:val="009E5F4E"/>
    <w:rsid w:val="009E60A9"/>
    <w:rsid w:val="009E63F6"/>
    <w:rsid w:val="009E67CB"/>
    <w:rsid w:val="009E68A2"/>
    <w:rsid w:val="009E6D12"/>
    <w:rsid w:val="009E74F0"/>
    <w:rsid w:val="009E74FE"/>
    <w:rsid w:val="009E75B5"/>
    <w:rsid w:val="009E7870"/>
    <w:rsid w:val="009E787E"/>
    <w:rsid w:val="009E7B1B"/>
    <w:rsid w:val="009E7BCB"/>
    <w:rsid w:val="009E7CB7"/>
    <w:rsid w:val="009E7FEF"/>
    <w:rsid w:val="009F00BB"/>
    <w:rsid w:val="009F01A1"/>
    <w:rsid w:val="009F0446"/>
    <w:rsid w:val="009F0697"/>
    <w:rsid w:val="009F09C1"/>
    <w:rsid w:val="009F0C0B"/>
    <w:rsid w:val="009F0C60"/>
    <w:rsid w:val="009F0D34"/>
    <w:rsid w:val="009F0DFA"/>
    <w:rsid w:val="009F1083"/>
    <w:rsid w:val="009F13AD"/>
    <w:rsid w:val="009F1440"/>
    <w:rsid w:val="009F15DD"/>
    <w:rsid w:val="009F1690"/>
    <w:rsid w:val="009F172C"/>
    <w:rsid w:val="009F1D9E"/>
    <w:rsid w:val="009F1E01"/>
    <w:rsid w:val="009F1E29"/>
    <w:rsid w:val="009F2045"/>
    <w:rsid w:val="009F2160"/>
    <w:rsid w:val="009F2640"/>
    <w:rsid w:val="009F26DB"/>
    <w:rsid w:val="009F294D"/>
    <w:rsid w:val="009F2A13"/>
    <w:rsid w:val="009F2CD7"/>
    <w:rsid w:val="009F3152"/>
    <w:rsid w:val="009F32C9"/>
    <w:rsid w:val="009F36C2"/>
    <w:rsid w:val="009F37F9"/>
    <w:rsid w:val="009F380B"/>
    <w:rsid w:val="009F3AC9"/>
    <w:rsid w:val="009F40D1"/>
    <w:rsid w:val="009F41B6"/>
    <w:rsid w:val="009F48EF"/>
    <w:rsid w:val="009F4A44"/>
    <w:rsid w:val="009F4E18"/>
    <w:rsid w:val="009F50CB"/>
    <w:rsid w:val="009F5B5A"/>
    <w:rsid w:val="009F5EA9"/>
    <w:rsid w:val="009F5FEC"/>
    <w:rsid w:val="009F628B"/>
    <w:rsid w:val="009F62B8"/>
    <w:rsid w:val="009F6C35"/>
    <w:rsid w:val="009F6DF8"/>
    <w:rsid w:val="009F6E5C"/>
    <w:rsid w:val="009F703D"/>
    <w:rsid w:val="009F7393"/>
    <w:rsid w:val="009F79C4"/>
    <w:rsid w:val="009F7B57"/>
    <w:rsid w:val="009F7BCE"/>
    <w:rsid w:val="009F7E82"/>
    <w:rsid w:val="00A00245"/>
    <w:rsid w:val="00A00280"/>
    <w:rsid w:val="00A00316"/>
    <w:rsid w:val="00A006D2"/>
    <w:rsid w:val="00A0093E"/>
    <w:rsid w:val="00A00AC6"/>
    <w:rsid w:val="00A00B1F"/>
    <w:rsid w:val="00A00ED4"/>
    <w:rsid w:val="00A0106C"/>
    <w:rsid w:val="00A01089"/>
    <w:rsid w:val="00A014D2"/>
    <w:rsid w:val="00A0163C"/>
    <w:rsid w:val="00A0171A"/>
    <w:rsid w:val="00A017AD"/>
    <w:rsid w:val="00A01819"/>
    <w:rsid w:val="00A0191A"/>
    <w:rsid w:val="00A01BA2"/>
    <w:rsid w:val="00A01C3D"/>
    <w:rsid w:val="00A01C8A"/>
    <w:rsid w:val="00A01DE8"/>
    <w:rsid w:val="00A01E5D"/>
    <w:rsid w:val="00A0266C"/>
    <w:rsid w:val="00A02737"/>
    <w:rsid w:val="00A02FB6"/>
    <w:rsid w:val="00A031E4"/>
    <w:rsid w:val="00A0328F"/>
    <w:rsid w:val="00A035B5"/>
    <w:rsid w:val="00A0390F"/>
    <w:rsid w:val="00A03AB0"/>
    <w:rsid w:val="00A03E99"/>
    <w:rsid w:val="00A03EC1"/>
    <w:rsid w:val="00A03F46"/>
    <w:rsid w:val="00A04221"/>
    <w:rsid w:val="00A04B28"/>
    <w:rsid w:val="00A04E30"/>
    <w:rsid w:val="00A053B9"/>
    <w:rsid w:val="00A054A5"/>
    <w:rsid w:val="00A058D7"/>
    <w:rsid w:val="00A059A0"/>
    <w:rsid w:val="00A05A11"/>
    <w:rsid w:val="00A05A39"/>
    <w:rsid w:val="00A05C5A"/>
    <w:rsid w:val="00A05D6E"/>
    <w:rsid w:val="00A05E6C"/>
    <w:rsid w:val="00A05EB5"/>
    <w:rsid w:val="00A05EE7"/>
    <w:rsid w:val="00A05FE5"/>
    <w:rsid w:val="00A05FE9"/>
    <w:rsid w:val="00A0611B"/>
    <w:rsid w:val="00A06A13"/>
    <w:rsid w:val="00A06D09"/>
    <w:rsid w:val="00A06D9A"/>
    <w:rsid w:val="00A06F66"/>
    <w:rsid w:val="00A07310"/>
    <w:rsid w:val="00A07C4D"/>
    <w:rsid w:val="00A07C6A"/>
    <w:rsid w:val="00A07CC7"/>
    <w:rsid w:val="00A07FA5"/>
    <w:rsid w:val="00A10142"/>
    <w:rsid w:val="00A10632"/>
    <w:rsid w:val="00A106AA"/>
    <w:rsid w:val="00A106F4"/>
    <w:rsid w:val="00A107D7"/>
    <w:rsid w:val="00A10992"/>
    <w:rsid w:val="00A10AD2"/>
    <w:rsid w:val="00A10E3A"/>
    <w:rsid w:val="00A10E4C"/>
    <w:rsid w:val="00A11129"/>
    <w:rsid w:val="00A11516"/>
    <w:rsid w:val="00A117C1"/>
    <w:rsid w:val="00A1196E"/>
    <w:rsid w:val="00A120D8"/>
    <w:rsid w:val="00A12128"/>
    <w:rsid w:val="00A122F1"/>
    <w:rsid w:val="00A1238D"/>
    <w:rsid w:val="00A1260B"/>
    <w:rsid w:val="00A127BA"/>
    <w:rsid w:val="00A12914"/>
    <w:rsid w:val="00A1292B"/>
    <w:rsid w:val="00A12A2F"/>
    <w:rsid w:val="00A12BA9"/>
    <w:rsid w:val="00A12BAB"/>
    <w:rsid w:val="00A12E62"/>
    <w:rsid w:val="00A12E8E"/>
    <w:rsid w:val="00A12FFE"/>
    <w:rsid w:val="00A135D4"/>
    <w:rsid w:val="00A13863"/>
    <w:rsid w:val="00A138E5"/>
    <w:rsid w:val="00A13A1A"/>
    <w:rsid w:val="00A13BE6"/>
    <w:rsid w:val="00A13C3C"/>
    <w:rsid w:val="00A13CC2"/>
    <w:rsid w:val="00A142EF"/>
    <w:rsid w:val="00A1460C"/>
    <w:rsid w:val="00A1461C"/>
    <w:rsid w:val="00A14657"/>
    <w:rsid w:val="00A14B43"/>
    <w:rsid w:val="00A15083"/>
    <w:rsid w:val="00A1511C"/>
    <w:rsid w:val="00A15265"/>
    <w:rsid w:val="00A152B7"/>
    <w:rsid w:val="00A1542A"/>
    <w:rsid w:val="00A1542B"/>
    <w:rsid w:val="00A1551F"/>
    <w:rsid w:val="00A1569D"/>
    <w:rsid w:val="00A156EA"/>
    <w:rsid w:val="00A157DC"/>
    <w:rsid w:val="00A15B04"/>
    <w:rsid w:val="00A16050"/>
    <w:rsid w:val="00A1607D"/>
    <w:rsid w:val="00A161CD"/>
    <w:rsid w:val="00A1684D"/>
    <w:rsid w:val="00A16987"/>
    <w:rsid w:val="00A16D9B"/>
    <w:rsid w:val="00A173D6"/>
    <w:rsid w:val="00A175A1"/>
    <w:rsid w:val="00A17629"/>
    <w:rsid w:val="00A17734"/>
    <w:rsid w:val="00A17AF9"/>
    <w:rsid w:val="00A17D50"/>
    <w:rsid w:val="00A20AE7"/>
    <w:rsid w:val="00A20AFB"/>
    <w:rsid w:val="00A210C5"/>
    <w:rsid w:val="00A21576"/>
    <w:rsid w:val="00A2171E"/>
    <w:rsid w:val="00A21BFA"/>
    <w:rsid w:val="00A21D21"/>
    <w:rsid w:val="00A22244"/>
    <w:rsid w:val="00A225E6"/>
    <w:rsid w:val="00A22618"/>
    <w:rsid w:val="00A226AE"/>
    <w:rsid w:val="00A227DB"/>
    <w:rsid w:val="00A22B50"/>
    <w:rsid w:val="00A22E69"/>
    <w:rsid w:val="00A2301A"/>
    <w:rsid w:val="00A23157"/>
    <w:rsid w:val="00A2320F"/>
    <w:rsid w:val="00A232E9"/>
    <w:rsid w:val="00A23632"/>
    <w:rsid w:val="00A23702"/>
    <w:rsid w:val="00A237D3"/>
    <w:rsid w:val="00A238E4"/>
    <w:rsid w:val="00A23A7A"/>
    <w:rsid w:val="00A23D83"/>
    <w:rsid w:val="00A23F79"/>
    <w:rsid w:val="00A2413B"/>
    <w:rsid w:val="00A24836"/>
    <w:rsid w:val="00A24844"/>
    <w:rsid w:val="00A24A14"/>
    <w:rsid w:val="00A24A5B"/>
    <w:rsid w:val="00A24B41"/>
    <w:rsid w:val="00A25121"/>
    <w:rsid w:val="00A252F6"/>
    <w:rsid w:val="00A25312"/>
    <w:rsid w:val="00A25518"/>
    <w:rsid w:val="00A25603"/>
    <w:rsid w:val="00A256D6"/>
    <w:rsid w:val="00A25737"/>
    <w:rsid w:val="00A258E5"/>
    <w:rsid w:val="00A25D3F"/>
    <w:rsid w:val="00A25E3D"/>
    <w:rsid w:val="00A2626F"/>
    <w:rsid w:val="00A2628A"/>
    <w:rsid w:val="00A268C3"/>
    <w:rsid w:val="00A26984"/>
    <w:rsid w:val="00A269FF"/>
    <w:rsid w:val="00A26B6F"/>
    <w:rsid w:val="00A26ED2"/>
    <w:rsid w:val="00A26F14"/>
    <w:rsid w:val="00A27009"/>
    <w:rsid w:val="00A27181"/>
    <w:rsid w:val="00A27220"/>
    <w:rsid w:val="00A27791"/>
    <w:rsid w:val="00A2797E"/>
    <w:rsid w:val="00A27B5D"/>
    <w:rsid w:val="00A27D0B"/>
    <w:rsid w:val="00A27D33"/>
    <w:rsid w:val="00A30058"/>
    <w:rsid w:val="00A3027B"/>
    <w:rsid w:val="00A306B9"/>
    <w:rsid w:val="00A3074F"/>
    <w:rsid w:val="00A3076B"/>
    <w:rsid w:val="00A3096E"/>
    <w:rsid w:val="00A30ADC"/>
    <w:rsid w:val="00A30D07"/>
    <w:rsid w:val="00A31023"/>
    <w:rsid w:val="00A31069"/>
    <w:rsid w:val="00A31382"/>
    <w:rsid w:val="00A316CA"/>
    <w:rsid w:val="00A31811"/>
    <w:rsid w:val="00A31B79"/>
    <w:rsid w:val="00A3211C"/>
    <w:rsid w:val="00A3253F"/>
    <w:rsid w:val="00A32944"/>
    <w:rsid w:val="00A329F8"/>
    <w:rsid w:val="00A32CC6"/>
    <w:rsid w:val="00A33138"/>
    <w:rsid w:val="00A3316D"/>
    <w:rsid w:val="00A331C1"/>
    <w:rsid w:val="00A3334E"/>
    <w:rsid w:val="00A33890"/>
    <w:rsid w:val="00A338AF"/>
    <w:rsid w:val="00A33C0D"/>
    <w:rsid w:val="00A33F21"/>
    <w:rsid w:val="00A33FCC"/>
    <w:rsid w:val="00A3438F"/>
    <w:rsid w:val="00A346B9"/>
    <w:rsid w:val="00A34858"/>
    <w:rsid w:val="00A34B03"/>
    <w:rsid w:val="00A34BF9"/>
    <w:rsid w:val="00A34D90"/>
    <w:rsid w:val="00A3521F"/>
    <w:rsid w:val="00A352B3"/>
    <w:rsid w:val="00A3541A"/>
    <w:rsid w:val="00A3544B"/>
    <w:rsid w:val="00A35719"/>
    <w:rsid w:val="00A359EE"/>
    <w:rsid w:val="00A35C6B"/>
    <w:rsid w:val="00A35F0D"/>
    <w:rsid w:val="00A36149"/>
    <w:rsid w:val="00A361D7"/>
    <w:rsid w:val="00A3663B"/>
    <w:rsid w:val="00A36665"/>
    <w:rsid w:val="00A36898"/>
    <w:rsid w:val="00A36AB6"/>
    <w:rsid w:val="00A36D8E"/>
    <w:rsid w:val="00A37019"/>
    <w:rsid w:val="00A370D5"/>
    <w:rsid w:val="00A372E4"/>
    <w:rsid w:val="00A3766A"/>
    <w:rsid w:val="00A37A13"/>
    <w:rsid w:val="00A37B69"/>
    <w:rsid w:val="00A37E09"/>
    <w:rsid w:val="00A37E6E"/>
    <w:rsid w:val="00A404D1"/>
    <w:rsid w:val="00A40530"/>
    <w:rsid w:val="00A40599"/>
    <w:rsid w:val="00A40646"/>
    <w:rsid w:val="00A406C9"/>
    <w:rsid w:val="00A40898"/>
    <w:rsid w:val="00A40F4B"/>
    <w:rsid w:val="00A410B9"/>
    <w:rsid w:val="00A41506"/>
    <w:rsid w:val="00A415F2"/>
    <w:rsid w:val="00A41965"/>
    <w:rsid w:val="00A41ACC"/>
    <w:rsid w:val="00A41B74"/>
    <w:rsid w:val="00A42015"/>
    <w:rsid w:val="00A42102"/>
    <w:rsid w:val="00A42236"/>
    <w:rsid w:val="00A4254E"/>
    <w:rsid w:val="00A427EC"/>
    <w:rsid w:val="00A42826"/>
    <w:rsid w:val="00A42872"/>
    <w:rsid w:val="00A42A76"/>
    <w:rsid w:val="00A42D43"/>
    <w:rsid w:val="00A42F69"/>
    <w:rsid w:val="00A43155"/>
    <w:rsid w:val="00A433BD"/>
    <w:rsid w:val="00A436CC"/>
    <w:rsid w:val="00A43937"/>
    <w:rsid w:val="00A43A9E"/>
    <w:rsid w:val="00A43F6A"/>
    <w:rsid w:val="00A442BB"/>
    <w:rsid w:val="00A44424"/>
    <w:rsid w:val="00A44564"/>
    <w:rsid w:val="00A4495B"/>
    <w:rsid w:val="00A44A63"/>
    <w:rsid w:val="00A44CF2"/>
    <w:rsid w:val="00A44D79"/>
    <w:rsid w:val="00A45081"/>
    <w:rsid w:val="00A45363"/>
    <w:rsid w:val="00A454CF"/>
    <w:rsid w:val="00A456E5"/>
    <w:rsid w:val="00A45A3C"/>
    <w:rsid w:val="00A45BAC"/>
    <w:rsid w:val="00A45E40"/>
    <w:rsid w:val="00A45EF2"/>
    <w:rsid w:val="00A45FB4"/>
    <w:rsid w:val="00A461E9"/>
    <w:rsid w:val="00A462C8"/>
    <w:rsid w:val="00A462D0"/>
    <w:rsid w:val="00A464DC"/>
    <w:rsid w:val="00A465F5"/>
    <w:rsid w:val="00A46913"/>
    <w:rsid w:val="00A46DEE"/>
    <w:rsid w:val="00A46EC4"/>
    <w:rsid w:val="00A46F22"/>
    <w:rsid w:val="00A476A8"/>
    <w:rsid w:val="00A479E1"/>
    <w:rsid w:val="00A479F2"/>
    <w:rsid w:val="00A47BE7"/>
    <w:rsid w:val="00A47ED7"/>
    <w:rsid w:val="00A50086"/>
    <w:rsid w:val="00A50090"/>
    <w:rsid w:val="00A50116"/>
    <w:rsid w:val="00A50132"/>
    <w:rsid w:val="00A50342"/>
    <w:rsid w:val="00A5045F"/>
    <w:rsid w:val="00A50523"/>
    <w:rsid w:val="00A505C7"/>
    <w:rsid w:val="00A5063A"/>
    <w:rsid w:val="00A50800"/>
    <w:rsid w:val="00A50852"/>
    <w:rsid w:val="00A509F1"/>
    <w:rsid w:val="00A50A58"/>
    <w:rsid w:val="00A50B25"/>
    <w:rsid w:val="00A50B37"/>
    <w:rsid w:val="00A51217"/>
    <w:rsid w:val="00A516C9"/>
    <w:rsid w:val="00A51844"/>
    <w:rsid w:val="00A5184B"/>
    <w:rsid w:val="00A51AC8"/>
    <w:rsid w:val="00A52880"/>
    <w:rsid w:val="00A52913"/>
    <w:rsid w:val="00A52D05"/>
    <w:rsid w:val="00A5307A"/>
    <w:rsid w:val="00A53128"/>
    <w:rsid w:val="00A53296"/>
    <w:rsid w:val="00A533F7"/>
    <w:rsid w:val="00A53477"/>
    <w:rsid w:val="00A53714"/>
    <w:rsid w:val="00A537BE"/>
    <w:rsid w:val="00A5394A"/>
    <w:rsid w:val="00A53F5C"/>
    <w:rsid w:val="00A54066"/>
    <w:rsid w:val="00A5410D"/>
    <w:rsid w:val="00A5445C"/>
    <w:rsid w:val="00A5449B"/>
    <w:rsid w:val="00A544F5"/>
    <w:rsid w:val="00A54594"/>
    <w:rsid w:val="00A546A5"/>
    <w:rsid w:val="00A5496B"/>
    <w:rsid w:val="00A54A61"/>
    <w:rsid w:val="00A54B64"/>
    <w:rsid w:val="00A54C32"/>
    <w:rsid w:val="00A54D1C"/>
    <w:rsid w:val="00A54D33"/>
    <w:rsid w:val="00A54F06"/>
    <w:rsid w:val="00A54F1A"/>
    <w:rsid w:val="00A55442"/>
    <w:rsid w:val="00A55549"/>
    <w:rsid w:val="00A55A11"/>
    <w:rsid w:val="00A55F64"/>
    <w:rsid w:val="00A55FBA"/>
    <w:rsid w:val="00A55FBD"/>
    <w:rsid w:val="00A56017"/>
    <w:rsid w:val="00A56176"/>
    <w:rsid w:val="00A563CF"/>
    <w:rsid w:val="00A56931"/>
    <w:rsid w:val="00A56AB8"/>
    <w:rsid w:val="00A572D8"/>
    <w:rsid w:val="00A573CF"/>
    <w:rsid w:val="00A57670"/>
    <w:rsid w:val="00A57776"/>
    <w:rsid w:val="00A57EE2"/>
    <w:rsid w:val="00A60447"/>
    <w:rsid w:val="00A605E8"/>
    <w:rsid w:val="00A60621"/>
    <w:rsid w:val="00A60C05"/>
    <w:rsid w:val="00A60C08"/>
    <w:rsid w:val="00A60CF0"/>
    <w:rsid w:val="00A60DA1"/>
    <w:rsid w:val="00A610E3"/>
    <w:rsid w:val="00A61421"/>
    <w:rsid w:val="00A614CA"/>
    <w:rsid w:val="00A61613"/>
    <w:rsid w:val="00A61690"/>
    <w:rsid w:val="00A616EA"/>
    <w:rsid w:val="00A617DF"/>
    <w:rsid w:val="00A61821"/>
    <w:rsid w:val="00A61AFC"/>
    <w:rsid w:val="00A61B20"/>
    <w:rsid w:val="00A61B3C"/>
    <w:rsid w:val="00A61E74"/>
    <w:rsid w:val="00A62180"/>
    <w:rsid w:val="00A621F4"/>
    <w:rsid w:val="00A6234A"/>
    <w:rsid w:val="00A6240C"/>
    <w:rsid w:val="00A62438"/>
    <w:rsid w:val="00A62525"/>
    <w:rsid w:val="00A626F4"/>
    <w:rsid w:val="00A6272F"/>
    <w:rsid w:val="00A6274B"/>
    <w:rsid w:val="00A62925"/>
    <w:rsid w:val="00A62BED"/>
    <w:rsid w:val="00A6304B"/>
    <w:rsid w:val="00A631BA"/>
    <w:rsid w:val="00A6343B"/>
    <w:rsid w:val="00A63836"/>
    <w:rsid w:val="00A63AFA"/>
    <w:rsid w:val="00A640E9"/>
    <w:rsid w:val="00A641F7"/>
    <w:rsid w:val="00A642C7"/>
    <w:rsid w:val="00A64300"/>
    <w:rsid w:val="00A64324"/>
    <w:rsid w:val="00A6443E"/>
    <w:rsid w:val="00A64AB3"/>
    <w:rsid w:val="00A64C5E"/>
    <w:rsid w:val="00A64C69"/>
    <w:rsid w:val="00A64F96"/>
    <w:rsid w:val="00A65404"/>
    <w:rsid w:val="00A6576E"/>
    <w:rsid w:val="00A65E55"/>
    <w:rsid w:val="00A65EAD"/>
    <w:rsid w:val="00A660DA"/>
    <w:rsid w:val="00A66521"/>
    <w:rsid w:val="00A669FE"/>
    <w:rsid w:val="00A670E8"/>
    <w:rsid w:val="00A672B9"/>
    <w:rsid w:val="00A672F4"/>
    <w:rsid w:val="00A67491"/>
    <w:rsid w:val="00A67899"/>
    <w:rsid w:val="00A67935"/>
    <w:rsid w:val="00A67979"/>
    <w:rsid w:val="00A67C3C"/>
    <w:rsid w:val="00A67D8B"/>
    <w:rsid w:val="00A70312"/>
    <w:rsid w:val="00A705CE"/>
    <w:rsid w:val="00A70777"/>
    <w:rsid w:val="00A708EE"/>
    <w:rsid w:val="00A709AA"/>
    <w:rsid w:val="00A70AD5"/>
    <w:rsid w:val="00A70C15"/>
    <w:rsid w:val="00A70E21"/>
    <w:rsid w:val="00A710CB"/>
    <w:rsid w:val="00A710FC"/>
    <w:rsid w:val="00A7133F"/>
    <w:rsid w:val="00A7155E"/>
    <w:rsid w:val="00A71590"/>
    <w:rsid w:val="00A71692"/>
    <w:rsid w:val="00A71B8F"/>
    <w:rsid w:val="00A71E06"/>
    <w:rsid w:val="00A71EBC"/>
    <w:rsid w:val="00A71F91"/>
    <w:rsid w:val="00A72044"/>
    <w:rsid w:val="00A7230C"/>
    <w:rsid w:val="00A72588"/>
    <w:rsid w:val="00A726D6"/>
    <w:rsid w:val="00A7273F"/>
    <w:rsid w:val="00A72962"/>
    <w:rsid w:val="00A72A20"/>
    <w:rsid w:val="00A72AD5"/>
    <w:rsid w:val="00A72B84"/>
    <w:rsid w:val="00A72E76"/>
    <w:rsid w:val="00A72F35"/>
    <w:rsid w:val="00A73127"/>
    <w:rsid w:val="00A732A9"/>
    <w:rsid w:val="00A7340D"/>
    <w:rsid w:val="00A7360A"/>
    <w:rsid w:val="00A73D5A"/>
    <w:rsid w:val="00A73DAE"/>
    <w:rsid w:val="00A73EDB"/>
    <w:rsid w:val="00A745AE"/>
    <w:rsid w:val="00A747E8"/>
    <w:rsid w:val="00A7485E"/>
    <w:rsid w:val="00A74B7B"/>
    <w:rsid w:val="00A74EC1"/>
    <w:rsid w:val="00A75158"/>
    <w:rsid w:val="00A75925"/>
    <w:rsid w:val="00A75A68"/>
    <w:rsid w:val="00A75FB1"/>
    <w:rsid w:val="00A7636A"/>
    <w:rsid w:val="00A76686"/>
    <w:rsid w:val="00A767F9"/>
    <w:rsid w:val="00A76ABA"/>
    <w:rsid w:val="00A76B01"/>
    <w:rsid w:val="00A76F52"/>
    <w:rsid w:val="00A77338"/>
    <w:rsid w:val="00A77545"/>
    <w:rsid w:val="00A80418"/>
    <w:rsid w:val="00A8049B"/>
    <w:rsid w:val="00A80532"/>
    <w:rsid w:val="00A80615"/>
    <w:rsid w:val="00A80627"/>
    <w:rsid w:val="00A80A96"/>
    <w:rsid w:val="00A81067"/>
    <w:rsid w:val="00A8110B"/>
    <w:rsid w:val="00A81173"/>
    <w:rsid w:val="00A8126C"/>
    <w:rsid w:val="00A8154F"/>
    <w:rsid w:val="00A81593"/>
    <w:rsid w:val="00A819CD"/>
    <w:rsid w:val="00A81E7F"/>
    <w:rsid w:val="00A82104"/>
    <w:rsid w:val="00A821C0"/>
    <w:rsid w:val="00A8227F"/>
    <w:rsid w:val="00A82652"/>
    <w:rsid w:val="00A82686"/>
    <w:rsid w:val="00A832A7"/>
    <w:rsid w:val="00A83469"/>
    <w:rsid w:val="00A83966"/>
    <w:rsid w:val="00A83EE2"/>
    <w:rsid w:val="00A843D8"/>
    <w:rsid w:val="00A84405"/>
    <w:rsid w:val="00A84617"/>
    <w:rsid w:val="00A8481E"/>
    <w:rsid w:val="00A8498B"/>
    <w:rsid w:val="00A84A6E"/>
    <w:rsid w:val="00A84DFD"/>
    <w:rsid w:val="00A85060"/>
    <w:rsid w:val="00A85497"/>
    <w:rsid w:val="00A854DE"/>
    <w:rsid w:val="00A8569D"/>
    <w:rsid w:val="00A857B8"/>
    <w:rsid w:val="00A857FD"/>
    <w:rsid w:val="00A85926"/>
    <w:rsid w:val="00A85B46"/>
    <w:rsid w:val="00A85CF5"/>
    <w:rsid w:val="00A8601D"/>
    <w:rsid w:val="00A86428"/>
    <w:rsid w:val="00A86430"/>
    <w:rsid w:val="00A8646F"/>
    <w:rsid w:val="00A86D92"/>
    <w:rsid w:val="00A86E09"/>
    <w:rsid w:val="00A87868"/>
    <w:rsid w:val="00A8789C"/>
    <w:rsid w:val="00A9002F"/>
    <w:rsid w:val="00A900E5"/>
    <w:rsid w:val="00A900FA"/>
    <w:rsid w:val="00A90745"/>
    <w:rsid w:val="00A907C0"/>
    <w:rsid w:val="00A909CA"/>
    <w:rsid w:val="00A90B2A"/>
    <w:rsid w:val="00A90BEC"/>
    <w:rsid w:val="00A91123"/>
    <w:rsid w:val="00A91222"/>
    <w:rsid w:val="00A9153E"/>
    <w:rsid w:val="00A915C9"/>
    <w:rsid w:val="00A918A0"/>
    <w:rsid w:val="00A91A00"/>
    <w:rsid w:val="00A91CE2"/>
    <w:rsid w:val="00A921E1"/>
    <w:rsid w:val="00A9224F"/>
    <w:rsid w:val="00A92446"/>
    <w:rsid w:val="00A9284A"/>
    <w:rsid w:val="00A92B7E"/>
    <w:rsid w:val="00A92B89"/>
    <w:rsid w:val="00A92C8E"/>
    <w:rsid w:val="00A92DE5"/>
    <w:rsid w:val="00A92F5A"/>
    <w:rsid w:val="00A93124"/>
    <w:rsid w:val="00A93159"/>
    <w:rsid w:val="00A938DE"/>
    <w:rsid w:val="00A93F14"/>
    <w:rsid w:val="00A93FB0"/>
    <w:rsid w:val="00A9426F"/>
    <w:rsid w:val="00A94588"/>
    <w:rsid w:val="00A946F2"/>
    <w:rsid w:val="00A94954"/>
    <w:rsid w:val="00A94A39"/>
    <w:rsid w:val="00A94AB4"/>
    <w:rsid w:val="00A94B73"/>
    <w:rsid w:val="00A94F5D"/>
    <w:rsid w:val="00A950BF"/>
    <w:rsid w:val="00A951C5"/>
    <w:rsid w:val="00A952BA"/>
    <w:rsid w:val="00A955FF"/>
    <w:rsid w:val="00A95692"/>
    <w:rsid w:val="00A956B6"/>
    <w:rsid w:val="00A95764"/>
    <w:rsid w:val="00A9590C"/>
    <w:rsid w:val="00A95D24"/>
    <w:rsid w:val="00A9671A"/>
    <w:rsid w:val="00A9684A"/>
    <w:rsid w:val="00A96920"/>
    <w:rsid w:val="00A96A79"/>
    <w:rsid w:val="00A96C70"/>
    <w:rsid w:val="00A97045"/>
    <w:rsid w:val="00A972A6"/>
    <w:rsid w:val="00A975AD"/>
    <w:rsid w:val="00A97AA9"/>
    <w:rsid w:val="00A97C80"/>
    <w:rsid w:val="00A97D03"/>
    <w:rsid w:val="00A97FFC"/>
    <w:rsid w:val="00AA0089"/>
    <w:rsid w:val="00AA0687"/>
    <w:rsid w:val="00AA08DE"/>
    <w:rsid w:val="00AA0C1A"/>
    <w:rsid w:val="00AA0EF6"/>
    <w:rsid w:val="00AA11E7"/>
    <w:rsid w:val="00AA15A6"/>
    <w:rsid w:val="00AA16A9"/>
    <w:rsid w:val="00AA17C1"/>
    <w:rsid w:val="00AA1BC5"/>
    <w:rsid w:val="00AA1F7F"/>
    <w:rsid w:val="00AA244A"/>
    <w:rsid w:val="00AA2456"/>
    <w:rsid w:val="00AA25CC"/>
    <w:rsid w:val="00AA2AC3"/>
    <w:rsid w:val="00AA2C6A"/>
    <w:rsid w:val="00AA2C9F"/>
    <w:rsid w:val="00AA2F2D"/>
    <w:rsid w:val="00AA2F57"/>
    <w:rsid w:val="00AA2F77"/>
    <w:rsid w:val="00AA36A7"/>
    <w:rsid w:val="00AA38D9"/>
    <w:rsid w:val="00AA3905"/>
    <w:rsid w:val="00AA39AA"/>
    <w:rsid w:val="00AA3BDC"/>
    <w:rsid w:val="00AA3D0B"/>
    <w:rsid w:val="00AA40CB"/>
    <w:rsid w:val="00AA40FD"/>
    <w:rsid w:val="00AA45F5"/>
    <w:rsid w:val="00AA48F3"/>
    <w:rsid w:val="00AA4D46"/>
    <w:rsid w:val="00AA4DE8"/>
    <w:rsid w:val="00AA5279"/>
    <w:rsid w:val="00AA5344"/>
    <w:rsid w:val="00AA53F2"/>
    <w:rsid w:val="00AA565B"/>
    <w:rsid w:val="00AA56AA"/>
    <w:rsid w:val="00AA5A02"/>
    <w:rsid w:val="00AA5A12"/>
    <w:rsid w:val="00AA5BB2"/>
    <w:rsid w:val="00AA5DCF"/>
    <w:rsid w:val="00AA5DFC"/>
    <w:rsid w:val="00AA5E52"/>
    <w:rsid w:val="00AA5F4F"/>
    <w:rsid w:val="00AA6405"/>
    <w:rsid w:val="00AA6623"/>
    <w:rsid w:val="00AA674F"/>
    <w:rsid w:val="00AA68A0"/>
    <w:rsid w:val="00AA68C9"/>
    <w:rsid w:val="00AA6904"/>
    <w:rsid w:val="00AA720F"/>
    <w:rsid w:val="00AA73A9"/>
    <w:rsid w:val="00AA775E"/>
    <w:rsid w:val="00AA7871"/>
    <w:rsid w:val="00AA78EC"/>
    <w:rsid w:val="00AA79F4"/>
    <w:rsid w:val="00AA7C8A"/>
    <w:rsid w:val="00AA7DB5"/>
    <w:rsid w:val="00AA7EFE"/>
    <w:rsid w:val="00AA7F5A"/>
    <w:rsid w:val="00AB01E2"/>
    <w:rsid w:val="00AB0E83"/>
    <w:rsid w:val="00AB10FD"/>
    <w:rsid w:val="00AB14A5"/>
    <w:rsid w:val="00AB1562"/>
    <w:rsid w:val="00AB158C"/>
    <w:rsid w:val="00AB1680"/>
    <w:rsid w:val="00AB16D1"/>
    <w:rsid w:val="00AB16D8"/>
    <w:rsid w:val="00AB1DAB"/>
    <w:rsid w:val="00AB1E50"/>
    <w:rsid w:val="00AB1F1C"/>
    <w:rsid w:val="00AB1F4D"/>
    <w:rsid w:val="00AB2350"/>
    <w:rsid w:val="00AB262D"/>
    <w:rsid w:val="00AB2650"/>
    <w:rsid w:val="00AB271B"/>
    <w:rsid w:val="00AB2A2F"/>
    <w:rsid w:val="00AB2A97"/>
    <w:rsid w:val="00AB2EEC"/>
    <w:rsid w:val="00AB30E3"/>
    <w:rsid w:val="00AB3213"/>
    <w:rsid w:val="00AB381B"/>
    <w:rsid w:val="00AB39A0"/>
    <w:rsid w:val="00AB3AC7"/>
    <w:rsid w:val="00AB3AC8"/>
    <w:rsid w:val="00AB3D72"/>
    <w:rsid w:val="00AB3E19"/>
    <w:rsid w:val="00AB4045"/>
    <w:rsid w:val="00AB422B"/>
    <w:rsid w:val="00AB44CC"/>
    <w:rsid w:val="00AB461E"/>
    <w:rsid w:val="00AB4B83"/>
    <w:rsid w:val="00AB4E25"/>
    <w:rsid w:val="00AB5435"/>
    <w:rsid w:val="00AB5688"/>
    <w:rsid w:val="00AB56B9"/>
    <w:rsid w:val="00AB57BE"/>
    <w:rsid w:val="00AB58AB"/>
    <w:rsid w:val="00AB58D8"/>
    <w:rsid w:val="00AB592F"/>
    <w:rsid w:val="00AB5A50"/>
    <w:rsid w:val="00AB5B7B"/>
    <w:rsid w:val="00AB5BC6"/>
    <w:rsid w:val="00AB5D91"/>
    <w:rsid w:val="00AB5EAA"/>
    <w:rsid w:val="00AB6060"/>
    <w:rsid w:val="00AB60E1"/>
    <w:rsid w:val="00AB61B5"/>
    <w:rsid w:val="00AB6433"/>
    <w:rsid w:val="00AB64B1"/>
    <w:rsid w:val="00AB66BD"/>
    <w:rsid w:val="00AB6ABB"/>
    <w:rsid w:val="00AB6C82"/>
    <w:rsid w:val="00AB7254"/>
    <w:rsid w:val="00AB72E4"/>
    <w:rsid w:val="00AB7327"/>
    <w:rsid w:val="00AB74FD"/>
    <w:rsid w:val="00AB75F1"/>
    <w:rsid w:val="00AB77C5"/>
    <w:rsid w:val="00AB78E8"/>
    <w:rsid w:val="00AB79AD"/>
    <w:rsid w:val="00AB7AA0"/>
    <w:rsid w:val="00AB7D7E"/>
    <w:rsid w:val="00AC0240"/>
    <w:rsid w:val="00AC0731"/>
    <w:rsid w:val="00AC096E"/>
    <w:rsid w:val="00AC097D"/>
    <w:rsid w:val="00AC0B1E"/>
    <w:rsid w:val="00AC13A6"/>
    <w:rsid w:val="00AC1938"/>
    <w:rsid w:val="00AC194B"/>
    <w:rsid w:val="00AC1EF0"/>
    <w:rsid w:val="00AC220C"/>
    <w:rsid w:val="00AC28FA"/>
    <w:rsid w:val="00AC2978"/>
    <w:rsid w:val="00AC2EA8"/>
    <w:rsid w:val="00AC2F87"/>
    <w:rsid w:val="00AC3142"/>
    <w:rsid w:val="00AC32A2"/>
    <w:rsid w:val="00AC35D0"/>
    <w:rsid w:val="00AC36A4"/>
    <w:rsid w:val="00AC36E9"/>
    <w:rsid w:val="00AC37DD"/>
    <w:rsid w:val="00AC39E5"/>
    <w:rsid w:val="00AC39E9"/>
    <w:rsid w:val="00AC3BE5"/>
    <w:rsid w:val="00AC3ED2"/>
    <w:rsid w:val="00AC4072"/>
    <w:rsid w:val="00AC411A"/>
    <w:rsid w:val="00AC419E"/>
    <w:rsid w:val="00AC4288"/>
    <w:rsid w:val="00AC44A3"/>
    <w:rsid w:val="00AC4576"/>
    <w:rsid w:val="00AC4584"/>
    <w:rsid w:val="00AC4777"/>
    <w:rsid w:val="00AC4BAE"/>
    <w:rsid w:val="00AC4CD8"/>
    <w:rsid w:val="00AC5373"/>
    <w:rsid w:val="00AC54BB"/>
    <w:rsid w:val="00AC5586"/>
    <w:rsid w:val="00AC55C7"/>
    <w:rsid w:val="00AC5613"/>
    <w:rsid w:val="00AC5668"/>
    <w:rsid w:val="00AC5699"/>
    <w:rsid w:val="00AC572D"/>
    <w:rsid w:val="00AC5767"/>
    <w:rsid w:val="00AC5A87"/>
    <w:rsid w:val="00AC60B3"/>
    <w:rsid w:val="00AC6390"/>
    <w:rsid w:val="00AC6405"/>
    <w:rsid w:val="00AC6587"/>
    <w:rsid w:val="00AC65DE"/>
    <w:rsid w:val="00AC6CB1"/>
    <w:rsid w:val="00AC6D2D"/>
    <w:rsid w:val="00AC6DE4"/>
    <w:rsid w:val="00AC6F38"/>
    <w:rsid w:val="00AC7054"/>
    <w:rsid w:val="00AC7611"/>
    <w:rsid w:val="00AC7AB9"/>
    <w:rsid w:val="00AC7B30"/>
    <w:rsid w:val="00AC7D0E"/>
    <w:rsid w:val="00AC7DB1"/>
    <w:rsid w:val="00AD04B1"/>
    <w:rsid w:val="00AD04BF"/>
    <w:rsid w:val="00AD09D5"/>
    <w:rsid w:val="00AD0B02"/>
    <w:rsid w:val="00AD0B8D"/>
    <w:rsid w:val="00AD10B9"/>
    <w:rsid w:val="00AD1153"/>
    <w:rsid w:val="00AD11C3"/>
    <w:rsid w:val="00AD12A2"/>
    <w:rsid w:val="00AD193E"/>
    <w:rsid w:val="00AD1ABE"/>
    <w:rsid w:val="00AD1CD8"/>
    <w:rsid w:val="00AD1E0A"/>
    <w:rsid w:val="00AD2157"/>
    <w:rsid w:val="00AD21CC"/>
    <w:rsid w:val="00AD22E5"/>
    <w:rsid w:val="00AD266A"/>
    <w:rsid w:val="00AD2A33"/>
    <w:rsid w:val="00AD2A50"/>
    <w:rsid w:val="00AD2A92"/>
    <w:rsid w:val="00AD301B"/>
    <w:rsid w:val="00AD327B"/>
    <w:rsid w:val="00AD358B"/>
    <w:rsid w:val="00AD3663"/>
    <w:rsid w:val="00AD3970"/>
    <w:rsid w:val="00AD39EF"/>
    <w:rsid w:val="00AD40D4"/>
    <w:rsid w:val="00AD415C"/>
    <w:rsid w:val="00AD426B"/>
    <w:rsid w:val="00AD43AE"/>
    <w:rsid w:val="00AD4774"/>
    <w:rsid w:val="00AD47C3"/>
    <w:rsid w:val="00AD49B7"/>
    <w:rsid w:val="00AD4CAE"/>
    <w:rsid w:val="00AD4DE4"/>
    <w:rsid w:val="00AD4FBE"/>
    <w:rsid w:val="00AD502A"/>
    <w:rsid w:val="00AD50E8"/>
    <w:rsid w:val="00AD53AB"/>
    <w:rsid w:val="00AD5641"/>
    <w:rsid w:val="00AD5669"/>
    <w:rsid w:val="00AD574B"/>
    <w:rsid w:val="00AD57A8"/>
    <w:rsid w:val="00AD58BF"/>
    <w:rsid w:val="00AD5FBA"/>
    <w:rsid w:val="00AD62C6"/>
    <w:rsid w:val="00AD64B4"/>
    <w:rsid w:val="00AD64EE"/>
    <w:rsid w:val="00AD6599"/>
    <w:rsid w:val="00AD66A4"/>
    <w:rsid w:val="00AD66EA"/>
    <w:rsid w:val="00AD6A38"/>
    <w:rsid w:val="00AD6DAF"/>
    <w:rsid w:val="00AD6ECC"/>
    <w:rsid w:val="00AD7260"/>
    <w:rsid w:val="00AD76CF"/>
    <w:rsid w:val="00AD7762"/>
    <w:rsid w:val="00AD7767"/>
    <w:rsid w:val="00AD776D"/>
    <w:rsid w:val="00AD7794"/>
    <w:rsid w:val="00AD7895"/>
    <w:rsid w:val="00AD7926"/>
    <w:rsid w:val="00AD7929"/>
    <w:rsid w:val="00AD7FD2"/>
    <w:rsid w:val="00AE0061"/>
    <w:rsid w:val="00AE01E8"/>
    <w:rsid w:val="00AE03CE"/>
    <w:rsid w:val="00AE0709"/>
    <w:rsid w:val="00AE0AAA"/>
    <w:rsid w:val="00AE0DEC"/>
    <w:rsid w:val="00AE0F18"/>
    <w:rsid w:val="00AE1612"/>
    <w:rsid w:val="00AE170D"/>
    <w:rsid w:val="00AE19DA"/>
    <w:rsid w:val="00AE1A9A"/>
    <w:rsid w:val="00AE1CB6"/>
    <w:rsid w:val="00AE200E"/>
    <w:rsid w:val="00AE2101"/>
    <w:rsid w:val="00AE2640"/>
    <w:rsid w:val="00AE26AE"/>
    <w:rsid w:val="00AE2946"/>
    <w:rsid w:val="00AE2AB6"/>
    <w:rsid w:val="00AE2B1A"/>
    <w:rsid w:val="00AE2B5B"/>
    <w:rsid w:val="00AE2F35"/>
    <w:rsid w:val="00AE2F61"/>
    <w:rsid w:val="00AE3610"/>
    <w:rsid w:val="00AE3B00"/>
    <w:rsid w:val="00AE3BCB"/>
    <w:rsid w:val="00AE425A"/>
    <w:rsid w:val="00AE4287"/>
    <w:rsid w:val="00AE44FA"/>
    <w:rsid w:val="00AE460C"/>
    <w:rsid w:val="00AE493A"/>
    <w:rsid w:val="00AE4CBA"/>
    <w:rsid w:val="00AE4D8A"/>
    <w:rsid w:val="00AE511E"/>
    <w:rsid w:val="00AE52AC"/>
    <w:rsid w:val="00AE571E"/>
    <w:rsid w:val="00AE5761"/>
    <w:rsid w:val="00AE5B60"/>
    <w:rsid w:val="00AE5C11"/>
    <w:rsid w:val="00AE5D0C"/>
    <w:rsid w:val="00AE6050"/>
    <w:rsid w:val="00AE61B5"/>
    <w:rsid w:val="00AE62FD"/>
    <w:rsid w:val="00AE63BC"/>
    <w:rsid w:val="00AE658B"/>
    <w:rsid w:val="00AE70C5"/>
    <w:rsid w:val="00AE7523"/>
    <w:rsid w:val="00AE75E6"/>
    <w:rsid w:val="00AE77A5"/>
    <w:rsid w:val="00AE7866"/>
    <w:rsid w:val="00AE7BBA"/>
    <w:rsid w:val="00AE7C21"/>
    <w:rsid w:val="00AE7C6A"/>
    <w:rsid w:val="00AE7E5C"/>
    <w:rsid w:val="00AF0272"/>
    <w:rsid w:val="00AF03A1"/>
    <w:rsid w:val="00AF06AB"/>
    <w:rsid w:val="00AF088D"/>
    <w:rsid w:val="00AF0935"/>
    <w:rsid w:val="00AF0ECE"/>
    <w:rsid w:val="00AF11FE"/>
    <w:rsid w:val="00AF1235"/>
    <w:rsid w:val="00AF1414"/>
    <w:rsid w:val="00AF1B4E"/>
    <w:rsid w:val="00AF21C9"/>
    <w:rsid w:val="00AF227E"/>
    <w:rsid w:val="00AF22FC"/>
    <w:rsid w:val="00AF234A"/>
    <w:rsid w:val="00AF23C6"/>
    <w:rsid w:val="00AF24B6"/>
    <w:rsid w:val="00AF26C4"/>
    <w:rsid w:val="00AF27A3"/>
    <w:rsid w:val="00AF29C6"/>
    <w:rsid w:val="00AF2D1A"/>
    <w:rsid w:val="00AF2D97"/>
    <w:rsid w:val="00AF2ED5"/>
    <w:rsid w:val="00AF3006"/>
    <w:rsid w:val="00AF33E2"/>
    <w:rsid w:val="00AF3684"/>
    <w:rsid w:val="00AF36D6"/>
    <w:rsid w:val="00AF3729"/>
    <w:rsid w:val="00AF3822"/>
    <w:rsid w:val="00AF3CCC"/>
    <w:rsid w:val="00AF3DFE"/>
    <w:rsid w:val="00AF4120"/>
    <w:rsid w:val="00AF41BA"/>
    <w:rsid w:val="00AF42F8"/>
    <w:rsid w:val="00AF4397"/>
    <w:rsid w:val="00AF46C6"/>
    <w:rsid w:val="00AF48EF"/>
    <w:rsid w:val="00AF5046"/>
    <w:rsid w:val="00AF525D"/>
    <w:rsid w:val="00AF53ED"/>
    <w:rsid w:val="00AF552C"/>
    <w:rsid w:val="00AF5570"/>
    <w:rsid w:val="00AF5742"/>
    <w:rsid w:val="00AF5940"/>
    <w:rsid w:val="00AF5B88"/>
    <w:rsid w:val="00AF5D73"/>
    <w:rsid w:val="00AF5D89"/>
    <w:rsid w:val="00AF659B"/>
    <w:rsid w:val="00AF6751"/>
    <w:rsid w:val="00AF684D"/>
    <w:rsid w:val="00AF69C0"/>
    <w:rsid w:val="00AF6A2D"/>
    <w:rsid w:val="00AF6A94"/>
    <w:rsid w:val="00AF6B92"/>
    <w:rsid w:val="00AF6C3E"/>
    <w:rsid w:val="00AF703E"/>
    <w:rsid w:val="00AF719F"/>
    <w:rsid w:val="00AF75FB"/>
    <w:rsid w:val="00AF7969"/>
    <w:rsid w:val="00AF7A03"/>
    <w:rsid w:val="00AF7A9A"/>
    <w:rsid w:val="00AF7C43"/>
    <w:rsid w:val="00AF7C9F"/>
    <w:rsid w:val="00AF7EB4"/>
    <w:rsid w:val="00AF7F9E"/>
    <w:rsid w:val="00B0008F"/>
    <w:rsid w:val="00B003E6"/>
    <w:rsid w:val="00B0057E"/>
    <w:rsid w:val="00B006AD"/>
    <w:rsid w:val="00B00B69"/>
    <w:rsid w:val="00B00D2B"/>
    <w:rsid w:val="00B00DAC"/>
    <w:rsid w:val="00B00DD2"/>
    <w:rsid w:val="00B010F1"/>
    <w:rsid w:val="00B011FE"/>
    <w:rsid w:val="00B012DF"/>
    <w:rsid w:val="00B01437"/>
    <w:rsid w:val="00B0154E"/>
    <w:rsid w:val="00B015CB"/>
    <w:rsid w:val="00B0172A"/>
    <w:rsid w:val="00B01732"/>
    <w:rsid w:val="00B0179B"/>
    <w:rsid w:val="00B01889"/>
    <w:rsid w:val="00B01DD9"/>
    <w:rsid w:val="00B0214E"/>
    <w:rsid w:val="00B0263B"/>
    <w:rsid w:val="00B0271D"/>
    <w:rsid w:val="00B02836"/>
    <w:rsid w:val="00B028AF"/>
    <w:rsid w:val="00B029EB"/>
    <w:rsid w:val="00B02F98"/>
    <w:rsid w:val="00B02FB7"/>
    <w:rsid w:val="00B0329A"/>
    <w:rsid w:val="00B032BD"/>
    <w:rsid w:val="00B03378"/>
    <w:rsid w:val="00B03623"/>
    <w:rsid w:val="00B03651"/>
    <w:rsid w:val="00B03769"/>
    <w:rsid w:val="00B038A7"/>
    <w:rsid w:val="00B039DD"/>
    <w:rsid w:val="00B03F72"/>
    <w:rsid w:val="00B043F4"/>
    <w:rsid w:val="00B04513"/>
    <w:rsid w:val="00B04672"/>
    <w:rsid w:val="00B048B4"/>
    <w:rsid w:val="00B04AFA"/>
    <w:rsid w:val="00B04C9B"/>
    <w:rsid w:val="00B051DE"/>
    <w:rsid w:val="00B05224"/>
    <w:rsid w:val="00B053C7"/>
    <w:rsid w:val="00B0587C"/>
    <w:rsid w:val="00B05A21"/>
    <w:rsid w:val="00B05CBB"/>
    <w:rsid w:val="00B05CCA"/>
    <w:rsid w:val="00B05E9D"/>
    <w:rsid w:val="00B05EC4"/>
    <w:rsid w:val="00B05EF4"/>
    <w:rsid w:val="00B060F1"/>
    <w:rsid w:val="00B0642D"/>
    <w:rsid w:val="00B064FE"/>
    <w:rsid w:val="00B06A27"/>
    <w:rsid w:val="00B06AE0"/>
    <w:rsid w:val="00B06F18"/>
    <w:rsid w:val="00B0722F"/>
    <w:rsid w:val="00B07642"/>
    <w:rsid w:val="00B07B95"/>
    <w:rsid w:val="00B07D6F"/>
    <w:rsid w:val="00B07EC8"/>
    <w:rsid w:val="00B101A9"/>
    <w:rsid w:val="00B101E2"/>
    <w:rsid w:val="00B10210"/>
    <w:rsid w:val="00B1049E"/>
    <w:rsid w:val="00B10636"/>
    <w:rsid w:val="00B1063C"/>
    <w:rsid w:val="00B10884"/>
    <w:rsid w:val="00B10AFA"/>
    <w:rsid w:val="00B10B47"/>
    <w:rsid w:val="00B10D74"/>
    <w:rsid w:val="00B10DC1"/>
    <w:rsid w:val="00B10DD1"/>
    <w:rsid w:val="00B10E6F"/>
    <w:rsid w:val="00B10E72"/>
    <w:rsid w:val="00B10EA0"/>
    <w:rsid w:val="00B10F7C"/>
    <w:rsid w:val="00B10FED"/>
    <w:rsid w:val="00B1115D"/>
    <w:rsid w:val="00B11221"/>
    <w:rsid w:val="00B11344"/>
    <w:rsid w:val="00B11382"/>
    <w:rsid w:val="00B1165D"/>
    <w:rsid w:val="00B1178E"/>
    <w:rsid w:val="00B11BFA"/>
    <w:rsid w:val="00B11CE6"/>
    <w:rsid w:val="00B11F41"/>
    <w:rsid w:val="00B12312"/>
    <w:rsid w:val="00B125BF"/>
    <w:rsid w:val="00B12867"/>
    <w:rsid w:val="00B12ADA"/>
    <w:rsid w:val="00B12B98"/>
    <w:rsid w:val="00B12E26"/>
    <w:rsid w:val="00B1356D"/>
    <w:rsid w:val="00B135BA"/>
    <w:rsid w:val="00B13B45"/>
    <w:rsid w:val="00B13C09"/>
    <w:rsid w:val="00B13EA3"/>
    <w:rsid w:val="00B13FD3"/>
    <w:rsid w:val="00B14072"/>
    <w:rsid w:val="00B141D5"/>
    <w:rsid w:val="00B142FE"/>
    <w:rsid w:val="00B143D8"/>
    <w:rsid w:val="00B148AF"/>
    <w:rsid w:val="00B14A1F"/>
    <w:rsid w:val="00B14A44"/>
    <w:rsid w:val="00B14CAB"/>
    <w:rsid w:val="00B14CED"/>
    <w:rsid w:val="00B14DAF"/>
    <w:rsid w:val="00B14EBB"/>
    <w:rsid w:val="00B1574B"/>
    <w:rsid w:val="00B1586D"/>
    <w:rsid w:val="00B1587D"/>
    <w:rsid w:val="00B15C56"/>
    <w:rsid w:val="00B15EDC"/>
    <w:rsid w:val="00B1631B"/>
    <w:rsid w:val="00B16339"/>
    <w:rsid w:val="00B16462"/>
    <w:rsid w:val="00B16845"/>
    <w:rsid w:val="00B16955"/>
    <w:rsid w:val="00B16B6C"/>
    <w:rsid w:val="00B16D24"/>
    <w:rsid w:val="00B16DF4"/>
    <w:rsid w:val="00B1737A"/>
    <w:rsid w:val="00B1755E"/>
    <w:rsid w:val="00B1788A"/>
    <w:rsid w:val="00B179E7"/>
    <w:rsid w:val="00B17D8D"/>
    <w:rsid w:val="00B17E14"/>
    <w:rsid w:val="00B20351"/>
    <w:rsid w:val="00B20366"/>
    <w:rsid w:val="00B20414"/>
    <w:rsid w:val="00B20783"/>
    <w:rsid w:val="00B207AF"/>
    <w:rsid w:val="00B20B65"/>
    <w:rsid w:val="00B213CA"/>
    <w:rsid w:val="00B213DF"/>
    <w:rsid w:val="00B2150C"/>
    <w:rsid w:val="00B217DD"/>
    <w:rsid w:val="00B21A30"/>
    <w:rsid w:val="00B21AEA"/>
    <w:rsid w:val="00B21D1E"/>
    <w:rsid w:val="00B220A5"/>
    <w:rsid w:val="00B222C6"/>
    <w:rsid w:val="00B22307"/>
    <w:rsid w:val="00B22773"/>
    <w:rsid w:val="00B227FA"/>
    <w:rsid w:val="00B2285F"/>
    <w:rsid w:val="00B2289D"/>
    <w:rsid w:val="00B22A4F"/>
    <w:rsid w:val="00B22A7E"/>
    <w:rsid w:val="00B22D19"/>
    <w:rsid w:val="00B22F09"/>
    <w:rsid w:val="00B23037"/>
    <w:rsid w:val="00B23922"/>
    <w:rsid w:val="00B23B49"/>
    <w:rsid w:val="00B23BDD"/>
    <w:rsid w:val="00B23F08"/>
    <w:rsid w:val="00B23F9D"/>
    <w:rsid w:val="00B23FB5"/>
    <w:rsid w:val="00B2416E"/>
    <w:rsid w:val="00B242DD"/>
    <w:rsid w:val="00B245D2"/>
    <w:rsid w:val="00B2487A"/>
    <w:rsid w:val="00B24ACA"/>
    <w:rsid w:val="00B24D4B"/>
    <w:rsid w:val="00B24E6D"/>
    <w:rsid w:val="00B2550E"/>
    <w:rsid w:val="00B25784"/>
    <w:rsid w:val="00B25BBA"/>
    <w:rsid w:val="00B25D09"/>
    <w:rsid w:val="00B25E6D"/>
    <w:rsid w:val="00B2615A"/>
    <w:rsid w:val="00B261D8"/>
    <w:rsid w:val="00B2620D"/>
    <w:rsid w:val="00B2628B"/>
    <w:rsid w:val="00B26300"/>
    <w:rsid w:val="00B26321"/>
    <w:rsid w:val="00B264C6"/>
    <w:rsid w:val="00B266CA"/>
    <w:rsid w:val="00B267DD"/>
    <w:rsid w:val="00B26A7A"/>
    <w:rsid w:val="00B26F0D"/>
    <w:rsid w:val="00B27132"/>
    <w:rsid w:val="00B276EB"/>
    <w:rsid w:val="00B2778F"/>
    <w:rsid w:val="00B27A9B"/>
    <w:rsid w:val="00B27D8B"/>
    <w:rsid w:val="00B27F30"/>
    <w:rsid w:val="00B30072"/>
    <w:rsid w:val="00B30104"/>
    <w:rsid w:val="00B3068B"/>
    <w:rsid w:val="00B306E2"/>
    <w:rsid w:val="00B307A1"/>
    <w:rsid w:val="00B30800"/>
    <w:rsid w:val="00B30948"/>
    <w:rsid w:val="00B30964"/>
    <w:rsid w:val="00B30AFD"/>
    <w:rsid w:val="00B30F98"/>
    <w:rsid w:val="00B31085"/>
    <w:rsid w:val="00B311C8"/>
    <w:rsid w:val="00B3125C"/>
    <w:rsid w:val="00B31352"/>
    <w:rsid w:val="00B31560"/>
    <w:rsid w:val="00B31857"/>
    <w:rsid w:val="00B31AB7"/>
    <w:rsid w:val="00B31B58"/>
    <w:rsid w:val="00B32007"/>
    <w:rsid w:val="00B321AC"/>
    <w:rsid w:val="00B32781"/>
    <w:rsid w:val="00B327D0"/>
    <w:rsid w:val="00B331F9"/>
    <w:rsid w:val="00B33B4B"/>
    <w:rsid w:val="00B33C07"/>
    <w:rsid w:val="00B33F43"/>
    <w:rsid w:val="00B33FE0"/>
    <w:rsid w:val="00B34234"/>
    <w:rsid w:val="00B348DC"/>
    <w:rsid w:val="00B34D09"/>
    <w:rsid w:val="00B34EBC"/>
    <w:rsid w:val="00B34EF5"/>
    <w:rsid w:val="00B35042"/>
    <w:rsid w:val="00B3519F"/>
    <w:rsid w:val="00B3520D"/>
    <w:rsid w:val="00B3522B"/>
    <w:rsid w:val="00B35236"/>
    <w:rsid w:val="00B35436"/>
    <w:rsid w:val="00B359C7"/>
    <w:rsid w:val="00B35C40"/>
    <w:rsid w:val="00B35C50"/>
    <w:rsid w:val="00B35C54"/>
    <w:rsid w:val="00B36147"/>
    <w:rsid w:val="00B3621D"/>
    <w:rsid w:val="00B3624B"/>
    <w:rsid w:val="00B36803"/>
    <w:rsid w:val="00B36866"/>
    <w:rsid w:val="00B36D34"/>
    <w:rsid w:val="00B374CC"/>
    <w:rsid w:val="00B37C0E"/>
    <w:rsid w:val="00B37ED1"/>
    <w:rsid w:val="00B37F7C"/>
    <w:rsid w:val="00B40058"/>
    <w:rsid w:val="00B40139"/>
    <w:rsid w:val="00B4028C"/>
    <w:rsid w:val="00B40451"/>
    <w:rsid w:val="00B40749"/>
    <w:rsid w:val="00B40907"/>
    <w:rsid w:val="00B40928"/>
    <w:rsid w:val="00B40B1D"/>
    <w:rsid w:val="00B40EAC"/>
    <w:rsid w:val="00B40EB1"/>
    <w:rsid w:val="00B40F7D"/>
    <w:rsid w:val="00B40FEA"/>
    <w:rsid w:val="00B410E6"/>
    <w:rsid w:val="00B41442"/>
    <w:rsid w:val="00B4156D"/>
    <w:rsid w:val="00B41752"/>
    <w:rsid w:val="00B41BFC"/>
    <w:rsid w:val="00B41D1B"/>
    <w:rsid w:val="00B41D3F"/>
    <w:rsid w:val="00B41EDE"/>
    <w:rsid w:val="00B41FAA"/>
    <w:rsid w:val="00B429D0"/>
    <w:rsid w:val="00B42C0B"/>
    <w:rsid w:val="00B42EE1"/>
    <w:rsid w:val="00B431DF"/>
    <w:rsid w:val="00B43286"/>
    <w:rsid w:val="00B432E4"/>
    <w:rsid w:val="00B437AA"/>
    <w:rsid w:val="00B4397E"/>
    <w:rsid w:val="00B43A41"/>
    <w:rsid w:val="00B43BE1"/>
    <w:rsid w:val="00B43C48"/>
    <w:rsid w:val="00B442BE"/>
    <w:rsid w:val="00B4438C"/>
    <w:rsid w:val="00B44492"/>
    <w:rsid w:val="00B446A0"/>
    <w:rsid w:val="00B446B8"/>
    <w:rsid w:val="00B44824"/>
    <w:rsid w:val="00B449BB"/>
    <w:rsid w:val="00B44CF8"/>
    <w:rsid w:val="00B44E5D"/>
    <w:rsid w:val="00B450C5"/>
    <w:rsid w:val="00B450E6"/>
    <w:rsid w:val="00B4510E"/>
    <w:rsid w:val="00B45764"/>
    <w:rsid w:val="00B45A1F"/>
    <w:rsid w:val="00B45FA3"/>
    <w:rsid w:val="00B4610B"/>
    <w:rsid w:val="00B4610E"/>
    <w:rsid w:val="00B465F5"/>
    <w:rsid w:val="00B467E1"/>
    <w:rsid w:val="00B46841"/>
    <w:rsid w:val="00B46A29"/>
    <w:rsid w:val="00B46B89"/>
    <w:rsid w:val="00B46CFD"/>
    <w:rsid w:val="00B46DB9"/>
    <w:rsid w:val="00B46ECC"/>
    <w:rsid w:val="00B46FAC"/>
    <w:rsid w:val="00B470A4"/>
    <w:rsid w:val="00B4745D"/>
    <w:rsid w:val="00B478FD"/>
    <w:rsid w:val="00B47A7E"/>
    <w:rsid w:val="00B47BA8"/>
    <w:rsid w:val="00B47CEE"/>
    <w:rsid w:val="00B47CF4"/>
    <w:rsid w:val="00B47DA3"/>
    <w:rsid w:val="00B47F84"/>
    <w:rsid w:val="00B501DB"/>
    <w:rsid w:val="00B5047D"/>
    <w:rsid w:val="00B504C3"/>
    <w:rsid w:val="00B50674"/>
    <w:rsid w:val="00B5075F"/>
    <w:rsid w:val="00B50854"/>
    <w:rsid w:val="00B50991"/>
    <w:rsid w:val="00B50C95"/>
    <w:rsid w:val="00B50D15"/>
    <w:rsid w:val="00B50E11"/>
    <w:rsid w:val="00B50F24"/>
    <w:rsid w:val="00B51198"/>
    <w:rsid w:val="00B51239"/>
    <w:rsid w:val="00B5128B"/>
    <w:rsid w:val="00B512DE"/>
    <w:rsid w:val="00B513D7"/>
    <w:rsid w:val="00B51928"/>
    <w:rsid w:val="00B51FB8"/>
    <w:rsid w:val="00B52827"/>
    <w:rsid w:val="00B52BBF"/>
    <w:rsid w:val="00B52FB7"/>
    <w:rsid w:val="00B52FE8"/>
    <w:rsid w:val="00B53084"/>
    <w:rsid w:val="00B53824"/>
    <w:rsid w:val="00B53CEE"/>
    <w:rsid w:val="00B53D8E"/>
    <w:rsid w:val="00B53E43"/>
    <w:rsid w:val="00B53FFF"/>
    <w:rsid w:val="00B54A20"/>
    <w:rsid w:val="00B54B19"/>
    <w:rsid w:val="00B54BC4"/>
    <w:rsid w:val="00B54F19"/>
    <w:rsid w:val="00B55669"/>
    <w:rsid w:val="00B556CA"/>
    <w:rsid w:val="00B558A3"/>
    <w:rsid w:val="00B558BC"/>
    <w:rsid w:val="00B558EF"/>
    <w:rsid w:val="00B559F4"/>
    <w:rsid w:val="00B55A7F"/>
    <w:rsid w:val="00B55D7F"/>
    <w:rsid w:val="00B55E88"/>
    <w:rsid w:val="00B55E91"/>
    <w:rsid w:val="00B56300"/>
    <w:rsid w:val="00B568D1"/>
    <w:rsid w:val="00B56A73"/>
    <w:rsid w:val="00B56C40"/>
    <w:rsid w:val="00B56D2B"/>
    <w:rsid w:val="00B56D41"/>
    <w:rsid w:val="00B56F82"/>
    <w:rsid w:val="00B57300"/>
    <w:rsid w:val="00B57663"/>
    <w:rsid w:val="00B576EF"/>
    <w:rsid w:val="00B577F8"/>
    <w:rsid w:val="00B57CD6"/>
    <w:rsid w:val="00B57DF7"/>
    <w:rsid w:val="00B57FE2"/>
    <w:rsid w:val="00B601C1"/>
    <w:rsid w:val="00B6020F"/>
    <w:rsid w:val="00B60265"/>
    <w:rsid w:val="00B6055E"/>
    <w:rsid w:val="00B6098D"/>
    <w:rsid w:val="00B60ED3"/>
    <w:rsid w:val="00B60FA4"/>
    <w:rsid w:val="00B6103B"/>
    <w:rsid w:val="00B61380"/>
    <w:rsid w:val="00B61485"/>
    <w:rsid w:val="00B61DEF"/>
    <w:rsid w:val="00B6213F"/>
    <w:rsid w:val="00B62310"/>
    <w:rsid w:val="00B62722"/>
    <w:rsid w:val="00B62723"/>
    <w:rsid w:val="00B62DB1"/>
    <w:rsid w:val="00B62FEA"/>
    <w:rsid w:val="00B6341A"/>
    <w:rsid w:val="00B634E0"/>
    <w:rsid w:val="00B6353D"/>
    <w:rsid w:val="00B63997"/>
    <w:rsid w:val="00B63A00"/>
    <w:rsid w:val="00B63F5C"/>
    <w:rsid w:val="00B64218"/>
    <w:rsid w:val="00B64319"/>
    <w:rsid w:val="00B644A9"/>
    <w:rsid w:val="00B64616"/>
    <w:rsid w:val="00B64A86"/>
    <w:rsid w:val="00B64BAF"/>
    <w:rsid w:val="00B64D51"/>
    <w:rsid w:val="00B64E2D"/>
    <w:rsid w:val="00B6506A"/>
    <w:rsid w:val="00B65705"/>
    <w:rsid w:val="00B65897"/>
    <w:rsid w:val="00B659AF"/>
    <w:rsid w:val="00B65B75"/>
    <w:rsid w:val="00B65D70"/>
    <w:rsid w:val="00B65E69"/>
    <w:rsid w:val="00B65E8D"/>
    <w:rsid w:val="00B664EB"/>
    <w:rsid w:val="00B66696"/>
    <w:rsid w:val="00B666F0"/>
    <w:rsid w:val="00B6690A"/>
    <w:rsid w:val="00B66997"/>
    <w:rsid w:val="00B66A4F"/>
    <w:rsid w:val="00B66AA8"/>
    <w:rsid w:val="00B66CBD"/>
    <w:rsid w:val="00B66DAB"/>
    <w:rsid w:val="00B66F5E"/>
    <w:rsid w:val="00B672FA"/>
    <w:rsid w:val="00B67405"/>
    <w:rsid w:val="00B67536"/>
    <w:rsid w:val="00B676C0"/>
    <w:rsid w:val="00B678B2"/>
    <w:rsid w:val="00B6796C"/>
    <w:rsid w:val="00B679AA"/>
    <w:rsid w:val="00B679D5"/>
    <w:rsid w:val="00B67BD9"/>
    <w:rsid w:val="00B67CA5"/>
    <w:rsid w:val="00B67F1E"/>
    <w:rsid w:val="00B70421"/>
    <w:rsid w:val="00B70475"/>
    <w:rsid w:val="00B70818"/>
    <w:rsid w:val="00B709B7"/>
    <w:rsid w:val="00B70ABC"/>
    <w:rsid w:val="00B70EAB"/>
    <w:rsid w:val="00B70EC7"/>
    <w:rsid w:val="00B7119D"/>
    <w:rsid w:val="00B711E5"/>
    <w:rsid w:val="00B7136A"/>
    <w:rsid w:val="00B7145F"/>
    <w:rsid w:val="00B71898"/>
    <w:rsid w:val="00B71F16"/>
    <w:rsid w:val="00B71F69"/>
    <w:rsid w:val="00B72293"/>
    <w:rsid w:val="00B72539"/>
    <w:rsid w:val="00B7283B"/>
    <w:rsid w:val="00B72C82"/>
    <w:rsid w:val="00B72D26"/>
    <w:rsid w:val="00B73006"/>
    <w:rsid w:val="00B735A3"/>
    <w:rsid w:val="00B738EA"/>
    <w:rsid w:val="00B73B11"/>
    <w:rsid w:val="00B73B84"/>
    <w:rsid w:val="00B73CF0"/>
    <w:rsid w:val="00B740AD"/>
    <w:rsid w:val="00B741CD"/>
    <w:rsid w:val="00B74696"/>
    <w:rsid w:val="00B747B5"/>
    <w:rsid w:val="00B74937"/>
    <w:rsid w:val="00B7493F"/>
    <w:rsid w:val="00B74A87"/>
    <w:rsid w:val="00B74BBA"/>
    <w:rsid w:val="00B74C50"/>
    <w:rsid w:val="00B74CF6"/>
    <w:rsid w:val="00B74F36"/>
    <w:rsid w:val="00B7508C"/>
    <w:rsid w:val="00B750CA"/>
    <w:rsid w:val="00B75141"/>
    <w:rsid w:val="00B7540B"/>
    <w:rsid w:val="00B7553D"/>
    <w:rsid w:val="00B755B9"/>
    <w:rsid w:val="00B75728"/>
    <w:rsid w:val="00B757A5"/>
    <w:rsid w:val="00B759F9"/>
    <w:rsid w:val="00B75CEB"/>
    <w:rsid w:val="00B75FF2"/>
    <w:rsid w:val="00B76181"/>
    <w:rsid w:val="00B76252"/>
    <w:rsid w:val="00B76496"/>
    <w:rsid w:val="00B76571"/>
    <w:rsid w:val="00B766C6"/>
    <w:rsid w:val="00B76718"/>
    <w:rsid w:val="00B76A17"/>
    <w:rsid w:val="00B76CBB"/>
    <w:rsid w:val="00B76E34"/>
    <w:rsid w:val="00B76F93"/>
    <w:rsid w:val="00B7708F"/>
    <w:rsid w:val="00B770C0"/>
    <w:rsid w:val="00B7738F"/>
    <w:rsid w:val="00B77911"/>
    <w:rsid w:val="00B77B41"/>
    <w:rsid w:val="00B77C10"/>
    <w:rsid w:val="00B77CB6"/>
    <w:rsid w:val="00B77F72"/>
    <w:rsid w:val="00B8014F"/>
    <w:rsid w:val="00B80404"/>
    <w:rsid w:val="00B80691"/>
    <w:rsid w:val="00B80870"/>
    <w:rsid w:val="00B809BD"/>
    <w:rsid w:val="00B80D0A"/>
    <w:rsid w:val="00B8121E"/>
    <w:rsid w:val="00B81543"/>
    <w:rsid w:val="00B8171B"/>
    <w:rsid w:val="00B81733"/>
    <w:rsid w:val="00B81A60"/>
    <w:rsid w:val="00B81C1F"/>
    <w:rsid w:val="00B81F5B"/>
    <w:rsid w:val="00B81FAD"/>
    <w:rsid w:val="00B81FEF"/>
    <w:rsid w:val="00B82028"/>
    <w:rsid w:val="00B820A2"/>
    <w:rsid w:val="00B822B7"/>
    <w:rsid w:val="00B828F2"/>
    <w:rsid w:val="00B82CCA"/>
    <w:rsid w:val="00B82D36"/>
    <w:rsid w:val="00B82F3E"/>
    <w:rsid w:val="00B83185"/>
    <w:rsid w:val="00B833F4"/>
    <w:rsid w:val="00B834BB"/>
    <w:rsid w:val="00B834C3"/>
    <w:rsid w:val="00B83516"/>
    <w:rsid w:val="00B835C9"/>
    <w:rsid w:val="00B837FB"/>
    <w:rsid w:val="00B8385E"/>
    <w:rsid w:val="00B83A6C"/>
    <w:rsid w:val="00B83B0C"/>
    <w:rsid w:val="00B83CBC"/>
    <w:rsid w:val="00B83D33"/>
    <w:rsid w:val="00B83FBC"/>
    <w:rsid w:val="00B840B4"/>
    <w:rsid w:val="00B8420D"/>
    <w:rsid w:val="00B843A4"/>
    <w:rsid w:val="00B8455D"/>
    <w:rsid w:val="00B84976"/>
    <w:rsid w:val="00B84984"/>
    <w:rsid w:val="00B84AA0"/>
    <w:rsid w:val="00B84BD5"/>
    <w:rsid w:val="00B85535"/>
    <w:rsid w:val="00B8554A"/>
    <w:rsid w:val="00B85A49"/>
    <w:rsid w:val="00B85CB5"/>
    <w:rsid w:val="00B85DA6"/>
    <w:rsid w:val="00B861B3"/>
    <w:rsid w:val="00B862A0"/>
    <w:rsid w:val="00B86B97"/>
    <w:rsid w:val="00B86F51"/>
    <w:rsid w:val="00B87232"/>
    <w:rsid w:val="00B87356"/>
    <w:rsid w:val="00B87553"/>
    <w:rsid w:val="00B87F28"/>
    <w:rsid w:val="00B87FFC"/>
    <w:rsid w:val="00B90108"/>
    <w:rsid w:val="00B90122"/>
    <w:rsid w:val="00B90194"/>
    <w:rsid w:val="00B90285"/>
    <w:rsid w:val="00B90404"/>
    <w:rsid w:val="00B90648"/>
    <w:rsid w:val="00B90A0B"/>
    <w:rsid w:val="00B90BE1"/>
    <w:rsid w:val="00B90C29"/>
    <w:rsid w:val="00B90D71"/>
    <w:rsid w:val="00B90DFC"/>
    <w:rsid w:val="00B91065"/>
    <w:rsid w:val="00B912F6"/>
    <w:rsid w:val="00B91410"/>
    <w:rsid w:val="00B91672"/>
    <w:rsid w:val="00B91685"/>
    <w:rsid w:val="00B91968"/>
    <w:rsid w:val="00B91CBB"/>
    <w:rsid w:val="00B91D05"/>
    <w:rsid w:val="00B91DAF"/>
    <w:rsid w:val="00B9208D"/>
    <w:rsid w:val="00B92189"/>
    <w:rsid w:val="00B92256"/>
    <w:rsid w:val="00B924B8"/>
    <w:rsid w:val="00B9292B"/>
    <w:rsid w:val="00B92D8D"/>
    <w:rsid w:val="00B92E32"/>
    <w:rsid w:val="00B92FA2"/>
    <w:rsid w:val="00B93156"/>
    <w:rsid w:val="00B93260"/>
    <w:rsid w:val="00B933E4"/>
    <w:rsid w:val="00B9379A"/>
    <w:rsid w:val="00B93882"/>
    <w:rsid w:val="00B93A07"/>
    <w:rsid w:val="00B93C67"/>
    <w:rsid w:val="00B93D83"/>
    <w:rsid w:val="00B93DD8"/>
    <w:rsid w:val="00B93E07"/>
    <w:rsid w:val="00B94448"/>
    <w:rsid w:val="00B94718"/>
    <w:rsid w:val="00B949F8"/>
    <w:rsid w:val="00B94F5B"/>
    <w:rsid w:val="00B95162"/>
    <w:rsid w:val="00B951A8"/>
    <w:rsid w:val="00B95469"/>
    <w:rsid w:val="00B9567A"/>
    <w:rsid w:val="00B956BC"/>
    <w:rsid w:val="00B959CF"/>
    <w:rsid w:val="00B95A46"/>
    <w:rsid w:val="00B95B00"/>
    <w:rsid w:val="00B95CAA"/>
    <w:rsid w:val="00B95D39"/>
    <w:rsid w:val="00B96088"/>
    <w:rsid w:val="00B96091"/>
    <w:rsid w:val="00B9619B"/>
    <w:rsid w:val="00B96275"/>
    <w:rsid w:val="00B9632E"/>
    <w:rsid w:val="00B96506"/>
    <w:rsid w:val="00B9693F"/>
    <w:rsid w:val="00B96954"/>
    <w:rsid w:val="00B96C03"/>
    <w:rsid w:val="00B96D1E"/>
    <w:rsid w:val="00B96EE7"/>
    <w:rsid w:val="00B96FC5"/>
    <w:rsid w:val="00B96FC7"/>
    <w:rsid w:val="00B9723E"/>
    <w:rsid w:val="00B974F4"/>
    <w:rsid w:val="00B9757C"/>
    <w:rsid w:val="00B976C0"/>
    <w:rsid w:val="00B97975"/>
    <w:rsid w:val="00B97C7E"/>
    <w:rsid w:val="00BA0124"/>
    <w:rsid w:val="00BA06A0"/>
    <w:rsid w:val="00BA0B25"/>
    <w:rsid w:val="00BA0DAB"/>
    <w:rsid w:val="00BA0FCA"/>
    <w:rsid w:val="00BA1018"/>
    <w:rsid w:val="00BA122C"/>
    <w:rsid w:val="00BA14FD"/>
    <w:rsid w:val="00BA156A"/>
    <w:rsid w:val="00BA15A9"/>
    <w:rsid w:val="00BA1A69"/>
    <w:rsid w:val="00BA1FB3"/>
    <w:rsid w:val="00BA1FCD"/>
    <w:rsid w:val="00BA2019"/>
    <w:rsid w:val="00BA210F"/>
    <w:rsid w:val="00BA221E"/>
    <w:rsid w:val="00BA2746"/>
    <w:rsid w:val="00BA2C58"/>
    <w:rsid w:val="00BA2E0A"/>
    <w:rsid w:val="00BA3091"/>
    <w:rsid w:val="00BA31B3"/>
    <w:rsid w:val="00BA3296"/>
    <w:rsid w:val="00BA37F9"/>
    <w:rsid w:val="00BA3B13"/>
    <w:rsid w:val="00BA3BDC"/>
    <w:rsid w:val="00BA3E5F"/>
    <w:rsid w:val="00BA46E1"/>
    <w:rsid w:val="00BA475F"/>
    <w:rsid w:val="00BA4898"/>
    <w:rsid w:val="00BA4A19"/>
    <w:rsid w:val="00BA5045"/>
    <w:rsid w:val="00BA531B"/>
    <w:rsid w:val="00BA53AF"/>
    <w:rsid w:val="00BA54E7"/>
    <w:rsid w:val="00BA564A"/>
    <w:rsid w:val="00BA5A43"/>
    <w:rsid w:val="00BA5DE9"/>
    <w:rsid w:val="00BA6031"/>
    <w:rsid w:val="00BA6051"/>
    <w:rsid w:val="00BA60DE"/>
    <w:rsid w:val="00BA6123"/>
    <w:rsid w:val="00BA6366"/>
    <w:rsid w:val="00BA6477"/>
    <w:rsid w:val="00BA6AC2"/>
    <w:rsid w:val="00BA6D69"/>
    <w:rsid w:val="00BA6F59"/>
    <w:rsid w:val="00BA6F6D"/>
    <w:rsid w:val="00BA721F"/>
    <w:rsid w:val="00BA76B0"/>
    <w:rsid w:val="00BA7784"/>
    <w:rsid w:val="00BA77FC"/>
    <w:rsid w:val="00BA7835"/>
    <w:rsid w:val="00BB0203"/>
    <w:rsid w:val="00BB0314"/>
    <w:rsid w:val="00BB0377"/>
    <w:rsid w:val="00BB04EE"/>
    <w:rsid w:val="00BB0558"/>
    <w:rsid w:val="00BB055A"/>
    <w:rsid w:val="00BB05A8"/>
    <w:rsid w:val="00BB05D0"/>
    <w:rsid w:val="00BB0785"/>
    <w:rsid w:val="00BB0B18"/>
    <w:rsid w:val="00BB0B9B"/>
    <w:rsid w:val="00BB0D9B"/>
    <w:rsid w:val="00BB0F9C"/>
    <w:rsid w:val="00BB1487"/>
    <w:rsid w:val="00BB1842"/>
    <w:rsid w:val="00BB18D0"/>
    <w:rsid w:val="00BB19BC"/>
    <w:rsid w:val="00BB1F07"/>
    <w:rsid w:val="00BB1FC3"/>
    <w:rsid w:val="00BB2223"/>
    <w:rsid w:val="00BB2446"/>
    <w:rsid w:val="00BB26DC"/>
    <w:rsid w:val="00BB2883"/>
    <w:rsid w:val="00BB2AE1"/>
    <w:rsid w:val="00BB3075"/>
    <w:rsid w:val="00BB32A1"/>
    <w:rsid w:val="00BB3347"/>
    <w:rsid w:val="00BB337E"/>
    <w:rsid w:val="00BB35F9"/>
    <w:rsid w:val="00BB3B06"/>
    <w:rsid w:val="00BB3BDA"/>
    <w:rsid w:val="00BB3CFF"/>
    <w:rsid w:val="00BB3F54"/>
    <w:rsid w:val="00BB4115"/>
    <w:rsid w:val="00BB4121"/>
    <w:rsid w:val="00BB43DD"/>
    <w:rsid w:val="00BB4454"/>
    <w:rsid w:val="00BB4C37"/>
    <w:rsid w:val="00BB4CF2"/>
    <w:rsid w:val="00BB4E38"/>
    <w:rsid w:val="00BB4E86"/>
    <w:rsid w:val="00BB53AE"/>
    <w:rsid w:val="00BB53B0"/>
    <w:rsid w:val="00BB53D7"/>
    <w:rsid w:val="00BB5637"/>
    <w:rsid w:val="00BB5BB8"/>
    <w:rsid w:val="00BB62AC"/>
    <w:rsid w:val="00BB6403"/>
    <w:rsid w:val="00BB67ED"/>
    <w:rsid w:val="00BB6952"/>
    <w:rsid w:val="00BB6B1C"/>
    <w:rsid w:val="00BB6D93"/>
    <w:rsid w:val="00BB6DF7"/>
    <w:rsid w:val="00BB7676"/>
    <w:rsid w:val="00BB76B6"/>
    <w:rsid w:val="00BB76C7"/>
    <w:rsid w:val="00BB7719"/>
    <w:rsid w:val="00BB779B"/>
    <w:rsid w:val="00BB7827"/>
    <w:rsid w:val="00BB78B0"/>
    <w:rsid w:val="00BB79D1"/>
    <w:rsid w:val="00BB7D68"/>
    <w:rsid w:val="00BC05EC"/>
    <w:rsid w:val="00BC0747"/>
    <w:rsid w:val="00BC0D85"/>
    <w:rsid w:val="00BC0EE0"/>
    <w:rsid w:val="00BC1299"/>
    <w:rsid w:val="00BC1484"/>
    <w:rsid w:val="00BC164C"/>
    <w:rsid w:val="00BC1698"/>
    <w:rsid w:val="00BC1826"/>
    <w:rsid w:val="00BC1E1B"/>
    <w:rsid w:val="00BC2001"/>
    <w:rsid w:val="00BC21CE"/>
    <w:rsid w:val="00BC226A"/>
    <w:rsid w:val="00BC23A2"/>
    <w:rsid w:val="00BC23F6"/>
    <w:rsid w:val="00BC264C"/>
    <w:rsid w:val="00BC2735"/>
    <w:rsid w:val="00BC27EA"/>
    <w:rsid w:val="00BC27FC"/>
    <w:rsid w:val="00BC2907"/>
    <w:rsid w:val="00BC2E24"/>
    <w:rsid w:val="00BC30E1"/>
    <w:rsid w:val="00BC317B"/>
    <w:rsid w:val="00BC3394"/>
    <w:rsid w:val="00BC34AD"/>
    <w:rsid w:val="00BC3530"/>
    <w:rsid w:val="00BC35D8"/>
    <w:rsid w:val="00BC395D"/>
    <w:rsid w:val="00BC3A67"/>
    <w:rsid w:val="00BC3A93"/>
    <w:rsid w:val="00BC3B62"/>
    <w:rsid w:val="00BC3C34"/>
    <w:rsid w:val="00BC3F9B"/>
    <w:rsid w:val="00BC424B"/>
    <w:rsid w:val="00BC437F"/>
    <w:rsid w:val="00BC4399"/>
    <w:rsid w:val="00BC4567"/>
    <w:rsid w:val="00BC46B2"/>
    <w:rsid w:val="00BC4866"/>
    <w:rsid w:val="00BC4A3A"/>
    <w:rsid w:val="00BC4ACA"/>
    <w:rsid w:val="00BC4B09"/>
    <w:rsid w:val="00BC4CC9"/>
    <w:rsid w:val="00BC4FAE"/>
    <w:rsid w:val="00BC5273"/>
    <w:rsid w:val="00BC5443"/>
    <w:rsid w:val="00BC5553"/>
    <w:rsid w:val="00BC58D2"/>
    <w:rsid w:val="00BC5D7F"/>
    <w:rsid w:val="00BC604D"/>
    <w:rsid w:val="00BC63B5"/>
    <w:rsid w:val="00BC6673"/>
    <w:rsid w:val="00BC6D40"/>
    <w:rsid w:val="00BC6F14"/>
    <w:rsid w:val="00BC7105"/>
    <w:rsid w:val="00BC7145"/>
    <w:rsid w:val="00BC71E4"/>
    <w:rsid w:val="00BC7310"/>
    <w:rsid w:val="00BC752E"/>
    <w:rsid w:val="00BC7801"/>
    <w:rsid w:val="00BC79C9"/>
    <w:rsid w:val="00BC7A93"/>
    <w:rsid w:val="00BC7B11"/>
    <w:rsid w:val="00BD02FC"/>
    <w:rsid w:val="00BD03C1"/>
    <w:rsid w:val="00BD06BE"/>
    <w:rsid w:val="00BD071B"/>
    <w:rsid w:val="00BD0877"/>
    <w:rsid w:val="00BD08AE"/>
    <w:rsid w:val="00BD0CCA"/>
    <w:rsid w:val="00BD0ED2"/>
    <w:rsid w:val="00BD1403"/>
    <w:rsid w:val="00BD16CE"/>
    <w:rsid w:val="00BD175D"/>
    <w:rsid w:val="00BD1C2A"/>
    <w:rsid w:val="00BD1E5E"/>
    <w:rsid w:val="00BD2068"/>
    <w:rsid w:val="00BD253C"/>
    <w:rsid w:val="00BD2669"/>
    <w:rsid w:val="00BD2D4A"/>
    <w:rsid w:val="00BD3161"/>
    <w:rsid w:val="00BD33C0"/>
    <w:rsid w:val="00BD3641"/>
    <w:rsid w:val="00BD36E8"/>
    <w:rsid w:val="00BD38D7"/>
    <w:rsid w:val="00BD3A01"/>
    <w:rsid w:val="00BD3A04"/>
    <w:rsid w:val="00BD3AF1"/>
    <w:rsid w:val="00BD3C28"/>
    <w:rsid w:val="00BD3CBC"/>
    <w:rsid w:val="00BD3CE9"/>
    <w:rsid w:val="00BD3DCA"/>
    <w:rsid w:val="00BD4188"/>
    <w:rsid w:val="00BD45EF"/>
    <w:rsid w:val="00BD4869"/>
    <w:rsid w:val="00BD48B8"/>
    <w:rsid w:val="00BD5025"/>
    <w:rsid w:val="00BD53A5"/>
    <w:rsid w:val="00BD53F6"/>
    <w:rsid w:val="00BD580C"/>
    <w:rsid w:val="00BD5841"/>
    <w:rsid w:val="00BD59E8"/>
    <w:rsid w:val="00BD5AF4"/>
    <w:rsid w:val="00BD5C1F"/>
    <w:rsid w:val="00BD5D91"/>
    <w:rsid w:val="00BD5F29"/>
    <w:rsid w:val="00BD60A6"/>
    <w:rsid w:val="00BD6279"/>
    <w:rsid w:val="00BD6531"/>
    <w:rsid w:val="00BD6598"/>
    <w:rsid w:val="00BD66CA"/>
    <w:rsid w:val="00BD721D"/>
    <w:rsid w:val="00BD7333"/>
    <w:rsid w:val="00BD772A"/>
    <w:rsid w:val="00BD77B3"/>
    <w:rsid w:val="00BD7A9B"/>
    <w:rsid w:val="00BD7D5E"/>
    <w:rsid w:val="00BD7F59"/>
    <w:rsid w:val="00BE001B"/>
    <w:rsid w:val="00BE0121"/>
    <w:rsid w:val="00BE03B4"/>
    <w:rsid w:val="00BE04F3"/>
    <w:rsid w:val="00BE050B"/>
    <w:rsid w:val="00BE091F"/>
    <w:rsid w:val="00BE0A42"/>
    <w:rsid w:val="00BE0E30"/>
    <w:rsid w:val="00BE0EFE"/>
    <w:rsid w:val="00BE1490"/>
    <w:rsid w:val="00BE16C7"/>
    <w:rsid w:val="00BE16EC"/>
    <w:rsid w:val="00BE17CC"/>
    <w:rsid w:val="00BE1CCD"/>
    <w:rsid w:val="00BE1CE9"/>
    <w:rsid w:val="00BE1E73"/>
    <w:rsid w:val="00BE1EA0"/>
    <w:rsid w:val="00BE232A"/>
    <w:rsid w:val="00BE2382"/>
    <w:rsid w:val="00BE2819"/>
    <w:rsid w:val="00BE2956"/>
    <w:rsid w:val="00BE2DAC"/>
    <w:rsid w:val="00BE32D7"/>
    <w:rsid w:val="00BE344A"/>
    <w:rsid w:val="00BE3471"/>
    <w:rsid w:val="00BE35E2"/>
    <w:rsid w:val="00BE3C7E"/>
    <w:rsid w:val="00BE3D5E"/>
    <w:rsid w:val="00BE43C5"/>
    <w:rsid w:val="00BE44F3"/>
    <w:rsid w:val="00BE451C"/>
    <w:rsid w:val="00BE45F4"/>
    <w:rsid w:val="00BE4A69"/>
    <w:rsid w:val="00BE50D7"/>
    <w:rsid w:val="00BE5108"/>
    <w:rsid w:val="00BE514C"/>
    <w:rsid w:val="00BE5651"/>
    <w:rsid w:val="00BE572F"/>
    <w:rsid w:val="00BE5A9E"/>
    <w:rsid w:val="00BE5AE7"/>
    <w:rsid w:val="00BE5BC0"/>
    <w:rsid w:val="00BE5C7D"/>
    <w:rsid w:val="00BE5CFA"/>
    <w:rsid w:val="00BE5EAF"/>
    <w:rsid w:val="00BE5ED4"/>
    <w:rsid w:val="00BE6015"/>
    <w:rsid w:val="00BE626F"/>
    <w:rsid w:val="00BE6283"/>
    <w:rsid w:val="00BE6503"/>
    <w:rsid w:val="00BE65D6"/>
    <w:rsid w:val="00BE678E"/>
    <w:rsid w:val="00BE68E4"/>
    <w:rsid w:val="00BE69DF"/>
    <w:rsid w:val="00BE6EC5"/>
    <w:rsid w:val="00BE711D"/>
    <w:rsid w:val="00BE7253"/>
    <w:rsid w:val="00BE72C0"/>
    <w:rsid w:val="00BE72F0"/>
    <w:rsid w:val="00BE7350"/>
    <w:rsid w:val="00BE7543"/>
    <w:rsid w:val="00BE7AD3"/>
    <w:rsid w:val="00BE7DC5"/>
    <w:rsid w:val="00BF02D0"/>
    <w:rsid w:val="00BF041E"/>
    <w:rsid w:val="00BF0486"/>
    <w:rsid w:val="00BF0690"/>
    <w:rsid w:val="00BF0DA0"/>
    <w:rsid w:val="00BF0FA9"/>
    <w:rsid w:val="00BF1344"/>
    <w:rsid w:val="00BF1359"/>
    <w:rsid w:val="00BF161D"/>
    <w:rsid w:val="00BF1DB0"/>
    <w:rsid w:val="00BF1E8E"/>
    <w:rsid w:val="00BF22FB"/>
    <w:rsid w:val="00BF2505"/>
    <w:rsid w:val="00BF2BA6"/>
    <w:rsid w:val="00BF2E92"/>
    <w:rsid w:val="00BF30A6"/>
    <w:rsid w:val="00BF32ED"/>
    <w:rsid w:val="00BF34F0"/>
    <w:rsid w:val="00BF3D6C"/>
    <w:rsid w:val="00BF3FB1"/>
    <w:rsid w:val="00BF432E"/>
    <w:rsid w:val="00BF45CC"/>
    <w:rsid w:val="00BF4707"/>
    <w:rsid w:val="00BF4711"/>
    <w:rsid w:val="00BF478B"/>
    <w:rsid w:val="00BF4828"/>
    <w:rsid w:val="00BF484D"/>
    <w:rsid w:val="00BF4885"/>
    <w:rsid w:val="00BF4A85"/>
    <w:rsid w:val="00BF4BEC"/>
    <w:rsid w:val="00BF4C0A"/>
    <w:rsid w:val="00BF4ED5"/>
    <w:rsid w:val="00BF4FE4"/>
    <w:rsid w:val="00BF503B"/>
    <w:rsid w:val="00BF5040"/>
    <w:rsid w:val="00BF51A9"/>
    <w:rsid w:val="00BF52F0"/>
    <w:rsid w:val="00BF53D0"/>
    <w:rsid w:val="00BF53D9"/>
    <w:rsid w:val="00BF54F8"/>
    <w:rsid w:val="00BF54F9"/>
    <w:rsid w:val="00BF57AB"/>
    <w:rsid w:val="00BF57B8"/>
    <w:rsid w:val="00BF57FC"/>
    <w:rsid w:val="00BF5986"/>
    <w:rsid w:val="00BF5B74"/>
    <w:rsid w:val="00BF5C6A"/>
    <w:rsid w:val="00BF5C8C"/>
    <w:rsid w:val="00BF5E13"/>
    <w:rsid w:val="00BF6232"/>
    <w:rsid w:val="00BF6646"/>
    <w:rsid w:val="00BF686A"/>
    <w:rsid w:val="00BF6966"/>
    <w:rsid w:val="00BF6ADC"/>
    <w:rsid w:val="00BF6B2A"/>
    <w:rsid w:val="00BF6B90"/>
    <w:rsid w:val="00BF6DEF"/>
    <w:rsid w:val="00BF6E49"/>
    <w:rsid w:val="00BF6E8A"/>
    <w:rsid w:val="00BF7070"/>
    <w:rsid w:val="00BF7095"/>
    <w:rsid w:val="00BF7130"/>
    <w:rsid w:val="00BF7360"/>
    <w:rsid w:val="00BF74F6"/>
    <w:rsid w:val="00BF79EC"/>
    <w:rsid w:val="00BF7AF9"/>
    <w:rsid w:val="00BF7EF0"/>
    <w:rsid w:val="00C00417"/>
    <w:rsid w:val="00C00495"/>
    <w:rsid w:val="00C0099F"/>
    <w:rsid w:val="00C009BF"/>
    <w:rsid w:val="00C00BD3"/>
    <w:rsid w:val="00C00CFC"/>
    <w:rsid w:val="00C00D41"/>
    <w:rsid w:val="00C00F28"/>
    <w:rsid w:val="00C00FC7"/>
    <w:rsid w:val="00C0110A"/>
    <w:rsid w:val="00C0138E"/>
    <w:rsid w:val="00C014A8"/>
    <w:rsid w:val="00C01A7D"/>
    <w:rsid w:val="00C01FE4"/>
    <w:rsid w:val="00C0225E"/>
    <w:rsid w:val="00C02713"/>
    <w:rsid w:val="00C02A03"/>
    <w:rsid w:val="00C02E5D"/>
    <w:rsid w:val="00C03072"/>
    <w:rsid w:val="00C03256"/>
    <w:rsid w:val="00C03257"/>
    <w:rsid w:val="00C032AD"/>
    <w:rsid w:val="00C032DC"/>
    <w:rsid w:val="00C033E4"/>
    <w:rsid w:val="00C035E3"/>
    <w:rsid w:val="00C036DA"/>
    <w:rsid w:val="00C0371B"/>
    <w:rsid w:val="00C0380C"/>
    <w:rsid w:val="00C03D94"/>
    <w:rsid w:val="00C040C0"/>
    <w:rsid w:val="00C04707"/>
    <w:rsid w:val="00C049ED"/>
    <w:rsid w:val="00C04A43"/>
    <w:rsid w:val="00C04DF8"/>
    <w:rsid w:val="00C0534B"/>
    <w:rsid w:val="00C053FE"/>
    <w:rsid w:val="00C054F5"/>
    <w:rsid w:val="00C0564D"/>
    <w:rsid w:val="00C05686"/>
    <w:rsid w:val="00C05AD0"/>
    <w:rsid w:val="00C05BCA"/>
    <w:rsid w:val="00C05CA2"/>
    <w:rsid w:val="00C05DBE"/>
    <w:rsid w:val="00C06136"/>
    <w:rsid w:val="00C063DA"/>
    <w:rsid w:val="00C06845"/>
    <w:rsid w:val="00C069AC"/>
    <w:rsid w:val="00C06AFE"/>
    <w:rsid w:val="00C06D5C"/>
    <w:rsid w:val="00C06F76"/>
    <w:rsid w:val="00C07204"/>
    <w:rsid w:val="00C076B3"/>
    <w:rsid w:val="00C0787C"/>
    <w:rsid w:val="00C079EC"/>
    <w:rsid w:val="00C1016F"/>
    <w:rsid w:val="00C10201"/>
    <w:rsid w:val="00C10531"/>
    <w:rsid w:val="00C1073B"/>
    <w:rsid w:val="00C1087D"/>
    <w:rsid w:val="00C10995"/>
    <w:rsid w:val="00C10CE3"/>
    <w:rsid w:val="00C10D1E"/>
    <w:rsid w:val="00C10E52"/>
    <w:rsid w:val="00C11021"/>
    <w:rsid w:val="00C110CE"/>
    <w:rsid w:val="00C111FC"/>
    <w:rsid w:val="00C11454"/>
    <w:rsid w:val="00C115DE"/>
    <w:rsid w:val="00C1162A"/>
    <w:rsid w:val="00C1182F"/>
    <w:rsid w:val="00C119B4"/>
    <w:rsid w:val="00C11A55"/>
    <w:rsid w:val="00C11D8A"/>
    <w:rsid w:val="00C11DA1"/>
    <w:rsid w:val="00C11EC5"/>
    <w:rsid w:val="00C11F6A"/>
    <w:rsid w:val="00C124A5"/>
    <w:rsid w:val="00C127BF"/>
    <w:rsid w:val="00C12CA3"/>
    <w:rsid w:val="00C12D5E"/>
    <w:rsid w:val="00C12DEE"/>
    <w:rsid w:val="00C131D1"/>
    <w:rsid w:val="00C132ED"/>
    <w:rsid w:val="00C137F7"/>
    <w:rsid w:val="00C13914"/>
    <w:rsid w:val="00C13A23"/>
    <w:rsid w:val="00C13A8A"/>
    <w:rsid w:val="00C13BEF"/>
    <w:rsid w:val="00C13C28"/>
    <w:rsid w:val="00C13E02"/>
    <w:rsid w:val="00C13EA0"/>
    <w:rsid w:val="00C14494"/>
    <w:rsid w:val="00C1479F"/>
    <w:rsid w:val="00C149B4"/>
    <w:rsid w:val="00C14A13"/>
    <w:rsid w:val="00C14CB1"/>
    <w:rsid w:val="00C14D81"/>
    <w:rsid w:val="00C14DA5"/>
    <w:rsid w:val="00C14EA1"/>
    <w:rsid w:val="00C15192"/>
    <w:rsid w:val="00C153E7"/>
    <w:rsid w:val="00C15CA7"/>
    <w:rsid w:val="00C15CD2"/>
    <w:rsid w:val="00C15F20"/>
    <w:rsid w:val="00C16461"/>
    <w:rsid w:val="00C164D9"/>
    <w:rsid w:val="00C164F8"/>
    <w:rsid w:val="00C16718"/>
    <w:rsid w:val="00C16863"/>
    <w:rsid w:val="00C16869"/>
    <w:rsid w:val="00C16AE4"/>
    <w:rsid w:val="00C16CA4"/>
    <w:rsid w:val="00C16E80"/>
    <w:rsid w:val="00C170AE"/>
    <w:rsid w:val="00C1716A"/>
    <w:rsid w:val="00C171B8"/>
    <w:rsid w:val="00C17441"/>
    <w:rsid w:val="00C17AE5"/>
    <w:rsid w:val="00C17DF2"/>
    <w:rsid w:val="00C202A9"/>
    <w:rsid w:val="00C208F3"/>
    <w:rsid w:val="00C20989"/>
    <w:rsid w:val="00C209B5"/>
    <w:rsid w:val="00C20BAB"/>
    <w:rsid w:val="00C20E06"/>
    <w:rsid w:val="00C20FA1"/>
    <w:rsid w:val="00C2105F"/>
    <w:rsid w:val="00C211C4"/>
    <w:rsid w:val="00C212AB"/>
    <w:rsid w:val="00C214D2"/>
    <w:rsid w:val="00C2153E"/>
    <w:rsid w:val="00C21545"/>
    <w:rsid w:val="00C21607"/>
    <w:rsid w:val="00C21644"/>
    <w:rsid w:val="00C21833"/>
    <w:rsid w:val="00C21914"/>
    <w:rsid w:val="00C21C7B"/>
    <w:rsid w:val="00C21D88"/>
    <w:rsid w:val="00C21F72"/>
    <w:rsid w:val="00C22029"/>
    <w:rsid w:val="00C22034"/>
    <w:rsid w:val="00C22064"/>
    <w:rsid w:val="00C22899"/>
    <w:rsid w:val="00C2292A"/>
    <w:rsid w:val="00C2296F"/>
    <w:rsid w:val="00C22A80"/>
    <w:rsid w:val="00C22B01"/>
    <w:rsid w:val="00C22EE9"/>
    <w:rsid w:val="00C23267"/>
    <w:rsid w:val="00C23452"/>
    <w:rsid w:val="00C237E0"/>
    <w:rsid w:val="00C239C9"/>
    <w:rsid w:val="00C239DD"/>
    <w:rsid w:val="00C23B2B"/>
    <w:rsid w:val="00C23B97"/>
    <w:rsid w:val="00C24047"/>
    <w:rsid w:val="00C246DF"/>
    <w:rsid w:val="00C2479E"/>
    <w:rsid w:val="00C2480D"/>
    <w:rsid w:val="00C24A5C"/>
    <w:rsid w:val="00C24C38"/>
    <w:rsid w:val="00C25182"/>
    <w:rsid w:val="00C253F4"/>
    <w:rsid w:val="00C256A5"/>
    <w:rsid w:val="00C258D4"/>
    <w:rsid w:val="00C25A4C"/>
    <w:rsid w:val="00C25B35"/>
    <w:rsid w:val="00C25BE5"/>
    <w:rsid w:val="00C25F59"/>
    <w:rsid w:val="00C261B4"/>
    <w:rsid w:val="00C263FA"/>
    <w:rsid w:val="00C264BC"/>
    <w:rsid w:val="00C26826"/>
    <w:rsid w:val="00C26846"/>
    <w:rsid w:val="00C26918"/>
    <w:rsid w:val="00C2692B"/>
    <w:rsid w:val="00C26AA9"/>
    <w:rsid w:val="00C26B7D"/>
    <w:rsid w:val="00C26CB3"/>
    <w:rsid w:val="00C27399"/>
    <w:rsid w:val="00C273CC"/>
    <w:rsid w:val="00C27473"/>
    <w:rsid w:val="00C27586"/>
    <w:rsid w:val="00C275BD"/>
    <w:rsid w:val="00C27C12"/>
    <w:rsid w:val="00C27C3A"/>
    <w:rsid w:val="00C300FF"/>
    <w:rsid w:val="00C30243"/>
    <w:rsid w:val="00C30485"/>
    <w:rsid w:val="00C30971"/>
    <w:rsid w:val="00C30A76"/>
    <w:rsid w:val="00C30B4A"/>
    <w:rsid w:val="00C30C93"/>
    <w:rsid w:val="00C30CAC"/>
    <w:rsid w:val="00C30CE9"/>
    <w:rsid w:val="00C30E03"/>
    <w:rsid w:val="00C3120C"/>
    <w:rsid w:val="00C316C5"/>
    <w:rsid w:val="00C31BE2"/>
    <w:rsid w:val="00C31E49"/>
    <w:rsid w:val="00C31EF6"/>
    <w:rsid w:val="00C3208F"/>
    <w:rsid w:val="00C32219"/>
    <w:rsid w:val="00C3271A"/>
    <w:rsid w:val="00C32745"/>
    <w:rsid w:val="00C329FC"/>
    <w:rsid w:val="00C32A48"/>
    <w:rsid w:val="00C32A51"/>
    <w:rsid w:val="00C32CE2"/>
    <w:rsid w:val="00C32D99"/>
    <w:rsid w:val="00C32FA0"/>
    <w:rsid w:val="00C33018"/>
    <w:rsid w:val="00C3325E"/>
    <w:rsid w:val="00C33579"/>
    <w:rsid w:val="00C335DE"/>
    <w:rsid w:val="00C33760"/>
    <w:rsid w:val="00C3382D"/>
    <w:rsid w:val="00C33962"/>
    <w:rsid w:val="00C339AE"/>
    <w:rsid w:val="00C33F71"/>
    <w:rsid w:val="00C33F73"/>
    <w:rsid w:val="00C34154"/>
    <w:rsid w:val="00C34292"/>
    <w:rsid w:val="00C3438A"/>
    <w:rsid w:val="00C343E8"/>
    <w:rsid w:val="00C34490"/>
    <w:rsid w:val="00C34627"/>
    <w:rsid w:val="00C34731"/>
    <w:rsid w:val="00C3488B"/>
    <w:rsid w:val="00C34F3F"/>
    <w:rsid w:val="00C34FA3"/>
    <w:rsid w:val="00C3522C"/>
    <w:rsid w:val="00C35281"/>
    <w:rsid w:val="00C352C0"/>
    <w:rsid w:val="00C3530A"/>
    <w:rsid w:val="00C35322"/>
    <w:rsid w:val="00C35AA3"/>
    <w:rsid w:val="00C35AA6"/>
    <w:rsid w:val="00C35D72"/>
    <w:rsid w:val="00C35E5D"/>
    <w:rsid w:val="00C35EDE"/>
    <w:rsid w:val="00C35FED"/>
    <w:rsid w:val="00C3603D"/>
    <w:rsid w:val="00C3616F"/>
    <w:rsid w:val="00C36249"/>
    <w:rsid w:val="00C362C1"/>
    <w:rsid w:val="00C362EF"/>
    <w:rsid w:val="00C36535"/>
    <w:rsid w:val="00C365F6"/>
    <w:rsid w:val="00C36660"/>
    <w:rsid w:val="00C36680"/>
    <w:rsid w:val="00C36B07"/>
    <w:rsid w:val="00C36D0C"/>
    <w:rsid w:val="00C36DA5"/>
    <w:rsid w:val="00C36E46"/>
    <w:rsid w:val="00C373EC"/>
    <w:rsid w:val="00C37414"/>
    <w:rsid w:val="00C3747E"/>
    <w:rsid w:val="00C37B7A"/>
    <w:rsid w:val="00C37E09"/>
    <w:rsid w:val="00C37E56"/>
    <w:rsid w:val="00C40665"/>
    <w:rsid w:val="00C408C7"/>
    <w:rsid w:val="00C408FD"/>
    <w:rsid w:val="00C4091B"/>
    <w:rsid w:val="00C40F30"/>
    <w:rsid w:val="00C410DC"/>
    <w:rsid w:val="00C412E2"/>
    <w:rsid w:val="00C415E3"/>
    <w:rsid w:val="00C416EC"/>
    <w:rsid w:val="00C42418"/>
    <w:rsid w:val="00C42A94"/>
    <w:rsid w:val="00C42CB5"/>
    <w:rsid w:val="00C42D77"/>
    <w:rsid w:val="00C43050"/>
    <w:rsid w:val="00C431E9"/>
    <w:rsid w:val="00C432FA"/>
    <w:rsid w:val="00C4359F"/>
    <w:rsid w:val="00C43661"/>
    <w:rsid w:val="00C43873"/>
    <w:rsid w:val="00C438A6"/>
    <w:rsid w:val="00C4408E"/>
    <w:rsid w:val="00C440E7"/>
    <w:rsid w:val="00C4427D"/>
    <w:rsid w:val="00C44863"/>
    <w:rsid w:val="00C4494C"/>
    <w:rsid w:val="00C44A6A"/>
    <w:rsid w:val="00C44FD6"/>
    <w:rsid w:val="00C450B3"/>
    <w:rsid w:val="00C450BF"/>
    <w:rsid w:val="00C45190"/>
    <w:rsid w:val="00C45354"/>
    <w:rsid w:val="00C45621"/>
    <w:rsid w:val="00C456D1"/>
    <w:rsid w:val="00C45762"/>
    <w:rsid w:val="00C46459"/>
    <w:rsid w:val="00C466B1"/>
    <w:rsid w:val="00C46AB9"/>
    <w:rsid w:val="00C46C81"/>
    <w:rsid w:val="00C46D99"/>
    <w:rsid w:val="00C46DFA"/>
    <w:rsid w:val="00C47101"/>
    <w:rsid w:val="00C47336"/>
    <w:rsid w:val="00C474AA"/>
    <w:rsid w:val="00C4765A"/>
    <w:rsid w:val="00C47977"/>
    <w:rsid w:val="00C47BDC"/>
    <w:rsid w:val="00C47C94"/>
    <w:rsid w:val="00C47E71"/>
    <w:rsid w:val="00C47F32"/>
    <w:rsid w:val="00C500A3"/>
    <w:rsid w:val="00C501B3"/>
    <w:rsid w:val="00C503C8"/>
    <w:rsid w:val="00C50568"/>
    <w:rsid w:val="00C50892"/>
    <w:rsid w:val="00C50ADF"/>
    <w:rsid w:val="00C50B22"/>
    <w:rsid w:val="00C50C85"/>
    <w:rsid w:val="00C50DC9"/>
    <w:rsid w:val="00C50DD4"/>
    <w:rsid w:val="00C50E1C"/>
    <w:rsid w:val="00C50F9B"/>
    <w:rsid w:val="00C50FBE"/>
    <w:rsid w:val="00C510D5"/>
    <w:rsid w:val="00C511ED"/>
    <w:rsid w:val="00C51331"/>
    <w:rsid w:val="00C5147B"/>
    <w:rsid w:val="00C519A6"/>
    <w:rsid w:val="00C519A9"/>
    <w:rsid w:val="00C51D33"/>
    <w:rsid w:val="00C5202A"/>
    <w:rsid w:val="00C5237F"/>
    <w:rsid w:val="00C524D4"/>
    <w:rsid w:val="00C5250B"/>
    <w:rsid w:val="00C52599"/>
    <w:rsid w:val="00C52770"/>
    <w:rsid w:val="00C529C8"/>
    <w:rsid w:val="00C52A50"/>
    <w:rsid w:val="00C52A65"/>
    <w:rsid w:val="00C52D72"/>
    <w:rsid w:val="00C52D91"/>
    <w:rsid w:val="00C531A8"/>
    <w:rsid w:val="00C531C8"/>
    <w:rsid w:val="00C53265"/>
    <w:rsid w:val="00C532BD"/>
    <w:rsid w:val="00C534BF"/>
    <w:rsid w:val="00C5354D"/>
    <w:rsid w:val="00C53888"/>
    <w:rsid w:val="00C53B1A"/>
    <w:rsid w:val="00C53C01"/>
    <w:rsid w:val="00C53C37"/>
    <w:rsid w:val="00C53E4D"/>
    <w:rsid w:val="00C54313"/>
    <w:rsid w:val="00C54646"/>
    <w:rsid w:val="00C549BF"/>
    <w:rsid w:val="00C54BE1"/>
    <w:rsid w:val="00C54F5E"/>
    <w:rsid w:val="00C55066"/>
    <w:rsid w:val="00C551B1"/>
    <w:rsid w:val="00C55332"/>
    <w:rsid w:val="00C55A7F"/>
    <w:rsid w:val="00C55CA8"/>
    <w:rsid w:val="00C55F16"/>
    <w:rsid w:val="00C560C0"/>
    <w:rsid w:val="00C560C6"/>
    <w:rsid w:val="00C560DB"/>
    <w:rsid w:val="00C56689"/>
    <w:rsid w:val="00C5674B"/>
    <w:rsid w:val="00C5678F"/>
    <w:rsid w:val="00C5680C"/>
    <w:rsid w:val="00C568C0"/>
    <w:rsid w:val="00C5691D"/>
    <w:rsid w:val="00C56A7C"/>
    <w:rsid w:val="00C56B47"/>
    <w:rsid w:val="00C56C46"/>
    <w:rsid w:val="00C56F02"/>
    <w:rsid w:val="00C56F9D"/>
    <w:rsid w:val="00C56FDB"/>
    <w:rsid w:val="00C5702C"/>
    <w:rsid w:val="00C578D3"/>
    <w:rsid w:val="00C578F7"/>
    <w:rsid w:val="00C57AC3"/>
    <w:rsid w:val="00C57D49"/>
    <w:rsid w:val="00C57D62"/>
    <w:rsid w:val="00C60095"/>
    <w:rsid w:val="00C60733"/>
    <w:rsid w:val="00C60774"/>
    <w:rsid w:val="00C60B16"/>
    <w:rsid w:val="00C60BA9"/>
    <w:rsid w:val="00C60D77"/>
    <w:rsid w:val="00C60ED4"/>
    <w:rsid w:val="00C6108E"/>
    <w:rsid w:val="00C6116F"/>
    <w:rsid w:val="00C613E9"/>
    <w:rsid w:val="00C6170C"/>
    <w:rsid w:val="00C617BF"/>
    <w:rsid w:val="00C619DE"/>
    <w:rsid w:val="00C61B1A"/>
    <w:rsid w:val="00C61B3E"/>
    <w:rsid w:val="00C61F3E"/>
    <w:rsid w:val="00C62054"/>
    <w:rsid w:val="00C6212C"/>
    <w:rsid w:val="00C625AF"/>
    <w:rsid w:val="00C628A9"/>
    <w:rsid w:val="00C6291C"/>
    <w:rsid w:val="00C629BC"/>
    <w:rsid w:val="00C629EF"/>
    <w:rsid w:val="00C62B0B"/>
    <w:rsid w:val="00C62B35"/>
    <w:rsid w:val="00C62C21"/>
    <w:rsid w:val="00C62D43"/>
    <w:rsid w:val="00C62D50"/>
    <w:rsid w:val="00C62EE4"/>
    <w:rsid w:val="00C63103"/>
    <w:rsid w:val="00C631EF"/>
    <w:rsid w:val="00C638EF"/>
    <w:rsid w:val="00C63B69"/>
    <w:rsid w:val="00C63CEE"/>
    <w:rsid w:val="00C63CF7"/>
    <w:rsid w:val="00C63E43"/>
    <w:rsid w:val="00C640B1"/>
    <w:rsid w:val="00C640B3"/>
    <w:rsid w:val="00C640DA"/>
    <w:rsid w:val="00C643DC"/>
    <w:rsid w:val="00C64410"/>
    <w:rsid w:val="00C6474D"/>
    <w:rsid w:val="00C64C40"/>
    <w:rsid w:val="00C64CA6"/>
    <w:rsid w:val="00C64DFD"/>
    <w:rsid w:val="00C65120"/>
    <w:rsid w:val="00C651F8"/>
    <w:rsid w:val="00C6537D"/>
    <w:rsid w:val="00C65444"/>
    <w:rsid w:val="00C65647"/>
    <w:rsid w:val="00C65892"/>
    <w:rsid w:val="00C65AC4"/>
    <w:rsid w:val="00C65CED"/>
    <w:rsid w:val="00C65DDA"/>
    <w:rsid w:val="00C6601F"/>
    <w:rsid w:val="00C66024"/>
    <w:rsid w:val="00C660C0"/>
    <w:rsid w:val="00C660E5"/>
    <w:rsid w:val="00C662A5"/>
    <w:rsid w:val="00C6646F"/>
    <w:rsid w:val="00C6657F"/>
    <w:rsid w:val="00C6691F"/>
    <w:rsid w:val="00C66A4C"/>
    <w:rsid w:val="00C66D07"/>
    <w:rsid w:val="00C67042"/>
    <w:rsid w:val="00C6780A"/>
    <w:rsid w:val="00C67854"/>
    <w:rsid w:val="00C67A19"/>
    <w:rsid w:val="00C67A1C"/>
    <w:rsid w:val="00C67DD0"/>
    <w:rsid w:val="00C67EA6"/>
    <w:rsid w:val="00C67F82"/>
    <w:rsid w:val="00C703A2"/>
    <w:rsid w:val="00C7062A"/>
    <w:rsid w:val="00C708C9"/>
    <w:rsid w:val="00C70C01"/>
    <w:rsid w:val="00C70CE3"/>
    <w:rsid w:val="00C70D62"/>
    <w:rsid w:val="00C70E24"/>
    <w:rsid w:val="00C71060"/>
    <w:rsid w:val="00C71169"/>
    <w:rsid w:val="00C7125C"/>
    <w:rsid w:val="00C713A1"/>
    <w:rsid w:val="00C71590"/>
    <w:rsid w:val="00C718E6"/>
    <w:rsid w:val="00C71A4C"/>
    <w:rsid w:val="00C71AC9"/>
    <w:rsid w:val="00C721D5"/>
    <w:rsid w:val="00C72214"/>
    <w:rsid w:val="00C726DF"/>
    <w:rsid w:val="00C729BE"/>
    <w:rsid w:val="00C72B4E"/>
    <w:rsid w:val="00C72E5C"/>
    <w:rsid w:val="00C72F21"/>
    <w:rsid w:val="00C72FDB"/>
    <w:rsid w:val="00C73243"/>
    <w:rsid w:val="00C7343E"/>
    <w:rsid w:val="00C73534"/>
    <w:rsid w:val="00C7359C"/>
    <w:rsid w:val="00C735AA"/>
    <w:rsid w:val="00C737E0"/>
    <w:rsid w:val="00C73916"/>
    <w:rsid w:val="00C73A2E"/>
    <w:rsid w:val="00C73A92"/>
    <w:rsid w:val="00C73B2C"/>
    <w:rsid w:val="00C74066"/>
    <w:rsid w:val="00C74387"/>
    <w:rsid w:val="00C74722"/>
    <w:rsid w:val="00C74BA8"/>
    <w:rsid w:val="00C74C8B"/>
    <w:rsid w:val="00C74FFD"/>
    <w:rsid w:val="00C75176"/>
    <w:rsid w:val="00C75178"/>
    <w:rsid w:val="00C751F3"/>
    <w:rsid w:val="00C75599"/>
    <w:rsid w:val="00C7559A"/>
    <w:rsid w:val="00C756A3"/>
    <w:rsid w:val="00C75A60"/>
    <w:rsid w:val="00C75AED"/>
    <w:rsid w:val="00C75C92"/>
    <w:rsid w:val="00C75DFD"/>
    <w:rsid w:val="00C75E8D"/>
    <w:rsid w:val="00C75FA3"/>
    <w:rsid w:val="00C761E4"/>
    <w:rsid w:val="00C76313"/>
    <w:rsid w:val="00C767FD"/>
    <w:rsid w:val="00C76AF5"/>
    <w:rsid w:val="00C76B62"/>
    <w:rsid w:val="00C76BD6"/>
    <w:rsid w:val="00C76E4F"/>
    <w:rsid w:val="00C76EA1"/>
    <w:rsid w:val="00C77246"/>
    <w:rsid w:val="00C7754C"/>
    <w:rsid w:val="00C77C93"/>
    <w:rsid w:val="00C805A2"/>
    <w:rsid w:val="00C8060C"/>
    <w:rsid w:val="00C808BB"/>
    <w:rsid w:val="00C80B74"/>
    <w:rsid w:val="00C80CBC"/>
    <w:rsid w:val="00C80CBF"/>
    <w:rsid w:val="00C80D38"/>
    <w:rsid w:val="00C80ED2"/>
    <w:rsid w:val="00C81081"/>
    <w:rsid w:val="00C8112E"/>
    <w:rsid w:val="00C81187"/>
    <w:rsid w:val="00C81458"/>
    <w:rsid w:val="00C819A4"/>
    <w:rsid w:val="00C81D3B"/>
    <w:rsid w:val="00C81D99"/>
    <w:rsid w:val="00C820D5"/>
    <w:rsid w:val="00C821F7"/>
    <w:rsid w:val="00C82381"/>
    <w:rsid w:val="00C824EA"/>
    <w:rsid w:val="00C82637"/>
    <w:rsid w:val="00C82643"/>
    <w:rsid w:val="00C8276A"/>
    <w:rsid w:val="00C82AC0"/>
    <w:rsid w:val="00C82ACD"/>
    <w:rsid w:val="00C82C16"/>
    <w:rsid w:val="00C82D6B"/>
    <w:rsid w:val="00C8302B"/>
    <w:rsid w:val="00C831F1"/>
    <w:rsid w:val="00C83AFB"/>
    <w:rsid w:val="00C840F3"/>
    <w:rsid w:val="00C841A8"/>
    <w:rsid w:val="00C84989"/>
    <w:rsid w:val="00C84ACA"/>
    <w:rsid w:val="00C84E62"/>
    <w:rsid w:val="00C85064"/>
    <w:rsid w:val="00C850FF"/>
    <w:rsid w:val="00C85A65"/>
    <w:rsid w:val="00C85CC7"/>
    <w:rsid w:val="00C85D6C"/>
    <w:rsid w:val="00C85F4D"/>
    <w:rsid w:val="00C86017"/>
    <w:rsid w:val="00C8602C"/>
    <w:rsid w:val="00C86248"/>
    <w:rsid w:val="00C8638F"/>
    <w:rsid w:val="00C8663F"/>
    <w:rsid w:val="00C86A82"/>
    <w:rsid w:val="00C86B8A"/>
    <w:rsid w:val="00C86C6C"/>
    <w:rsid w:val="00C86CED"/>
    <w:rsid w:val="00C86E5B"/>
    <w:rsid w:val="00C87326"/>
    <w:rsid w:val="00C87358"/>
    <w:rsid w:val="00C87775"/>
    <w:rsid w:val="00C8794F"/>
    <w:rsid w:val="00C87B6E"/>
    <w:rsid w:val="00C87B97"/>
    <w:rsid w:val="00C87D4D"/>
    <w:rsid w:val="00C87EB0"/>
    <w:rsid w:val="00C900C5"/>
    <w:rsid w:val="00C9053D"/>
    <w:rsid w:val="00C9074A"/>
    <w:rsid w:val="00C907C4"/>
    <w:rsid w:val="00C9109D"/>
    <w:rsid w:val="00C9121B"/>
    <w:rsid w:val="00C91296"/>
    <w:rsid w:val="00C9150F"/>
    <w:rsid w:val="00C91722"/>
    <w:rsid w:val="00C9177E"/>
    <w:rsid w:val="00C918D7"/>
    <w:rsid w:val="00C91B08"/>
    <w:rsid w:val="00C91C8F"/>
    <w:rsid w:val="00C91DE1"/>
    <w:rsid w:val="00C91DF1"/>
    <w:rsid w:val="00C91FFA"/>
    <w:rsid w:val="00C9202F"/>
    <w:rsid w:val="00C922F9"/>
    <w:rsid w:val="00C924CD"/>
    <w:rsid w:val="00C926D0"/>
    <w:rsid w:val="00C92D47"/>
    <w:rsid w:val="00C92E8E"/>
    <w:rsid w:val="00C93283"/>
    <w:rsid w:val="00C9335B"/>
    <w:rsid w:val="00C933E0"/>
    <w:rsid w:val="00C9397F"/>
    <w:rsid w:val="00C939AA"/>
    <w:rsid w:val="00C93C37"/>
    <w:rsid w:val="00C93D58"/>
    <w:rsid w:val="00C943EE"/>
    <w:rsid w:val="00C94BB7"/>
    <w:rsid w:val="00C94D95"/>
    <w:rsid w:val="00C94E2A"/>
    <w:rsid w:val="00C94EFF"/>
    <w:rsid w:val="00C9509B"/>
    <w:rsid w:val="00C952C5"/>
    <w:rsid w:val="00C95500"/>
    <w:rsid w:val="00C9576A"/>
    <w:rsid w:val="00C95790"/>
    <w:rsid w:val="00C95810"/>
    <w:rsid w:val="00C95C04"/>
    <w:rsid w:val="00C9622F"/>
    <w:rsid w:val="00C9634F"/>
    <w:rsid w:val="00C96389"/>
    <w:rsid w:val="00C96471"/>
    <w:rsid w:val="00C967AA"/>
    <w:rsid w:val="00C96886"/>
    <w:rsid w:val="00C96B5A"/>
    <w:rsid w:val="00C96BDD"/>
    <w:rsid w:val="00C96D52"/>
    <w:rsid w:val="00C96F14"/>
    <w:rsid w:val="00C9711C"/>
    <w:rsid w:val="00C97134"/>
    <w:rsid w:val="00C97185"/>
    <w:rsid w:val="00C972AF"/>
    <w:rsid w:val="00C9741C"/>
    <w:rsid w:val="00C97990"/>
    <w:rsid w:val="00C97A72"/>
    <w:rsid w:val="00C97CCC"/>
    <w:rsid w:val="00C97D55"/>
    <w:rsid w:val="00C97EFC"/>
    <w:rsid w:val="00CA06E2"/>
    <w:rsid w:val="00CA06F3"/>
    <w:rsid w:val="00CA0C21"/>
    <w:rsid w:val="00CA15B6"/>
    <w:rsid w:val="00CA168C"/>
    <w:rsid w:val="00CA16C2"/>
    <w:rsid w:val="00CA17A2"/>
    <w:rsid w:val="00CA1D9D"/>
    <w:rsid w:val="00CA1EEF"/>
    <w:rsid w:val="00CA226D"/>
    <w:rsid w:val="00CA240B"/>
    <w:rsid w:val="00CA2420"/>
    <w:rsid w:val="00CA24A1"/>
    <w:rsid w:val="00CA2A4D"/>
    <w:rsid w:val="00CA2C0D"/>
    <w:rsid w:val="00CA314C"/>
    <w:rsid w:val="00CA3335"/>
    <w:rsid w:val="00CA3525"/>
    <w:rsid w:val="00CA3659"/>
    <w:rsid w:val="00CA4088"/>
    <w:rsid w:val="00CA41AD"/>
    <w:rsid w:val="00CA4534"/>
    <w:rsid w:val="00CA45E4"/>
    <w:rsid w:val="00CA48F1"/>
    <w:rsid w:val="00CA4BE2"/>
    <w:rsid w:val="00CA4D83"/>
    <w:rsid w:val="00CA4DC3"/>
    <w:rsid w:val="00CA509F"/>
    <w:rsid w:val="00CA54A2"/>
    <w:rsid w:val="00CA58B7"/>
    <w:rsid w:val="00CA5AE8"/>
    <w:rsid w:val="00CA5B27"/>
    <w:rsid w:val="00CA5BF4"/>
    <w:rsid w:val="00CA5C69"/>
    <w:rsid w:val="00CA5D2B"/>
    <w:rsid w:val="00CA64A9"/>
    <w:rsid w:val="00CA66AA"/>
    <w:rsid w:val="00CA69AD"/>
    <w:rsid w:val="00CA6AF2"/>
    <w:rsid w:val="00CA6D6D"/>
    <w:rsid w:val="00CA6E0A"/>
    <w:rsid w:val="00CA6E8B"/>
    <w:rsid w:val="00CA6F05"/>
    <w:rsid w:val="00CA6F23"/>
    <w:rsid w:val="00CA7331"/>
    <w:rsid w:val="00CA77A4"/>
    <w:rsid w:val="00CA79BB"/>
    <w:rsid w:val="00CA7F89"/>
    <w:rsid w:val="00CB0264"/>
    <w:rsid w:val="00CB055A"/>
    <w:rsid w:val="00CB07E1"/>
    <w:rsid w:val="00CB0827"/>
    <w:rsid w:val="00CB0D2D"/>
    <w:rsid w:val="00CB0F14"/>
    <w:rsid w:val="00CB100D"/>
    <w:rsid w:val="00CB103F"/>
    <w:rsid w:val="00CB11E2"/>
    <w:rsid w:val="00CB126A"/>
    <w:rsid w:val="00CB1521"/>
    <w:rsid w:val="00CB15F7"/>
    <w:rsid w:val="00CB1644"/>
    <w:rsid w:val="00CB1676"/>
    <w:rsid w:val="00CB1712"/>
    <w:rsid w:val="00CB1856"/>
    <w:rsid w:val="00CB1AEF"/>
    <w:rsid w:val="00CB1D0A"/>
    <w:rsid w:val="00CB1E0F"/>
    <w:rsid w:val="00CB215B"/>
    <w:rsid w:val="00CB2169"/>
    <w:rsid w:val="00CB25E6"/>
    <w:rsid w:val="00CB29D6"/>
    <w:rsid w:val="00CB2E82"/>
    <w:rsid w:val="00CB3042"/>
    <w:rsid w:val="00CB326B"/>
    <w:rsid w:val="00CB359C"/>
    <w:rsid w:val="00CB3623"/>
    <w:rsid w:val="00CB37A1"/>
    <w:rsid w:val="00CB380A"/>
    <w:rsid w:val="00CB388D"/>
    <w:rsid w:val="00CB39BC"/>
    <w:rsid w:val="00CB3A44"/>
    <w:rsid w:val="00CB3B3B"/>
    <w:rsid w:val="00CB3B63"/>
    <w:rsid w:val="00CB3C59"/>
    <w:rsid w:val="00CB3F70"/>
    <w:rsid w:val="00CB43FE"/>
    <w:rsid w:val="00CB44F3"/>
    <w:rsid w:val="00CB456A"/>
    <w:rsid w:val="00CB477D"/>
    <w:rsid w:val="00CB47F5"/>
    <w:rsid w:val="00CB4C80"/>
    <w:rsid w:val="00CB4CD5"/>
    <w:rsid w:val="00CB50E2"/>
    <w:rsid w:val="00CB5148"/>
    <w:rsid w:val="00CB52D8"/>
    <w:rsid w:val="00CB5328"/>
    <w:rsid w:val="00CB549C"/>
    <w:rsid w:val="00CB54ED"/>
    <w:rsid w:val="00CB576A"/>
    <w:rsid w:val="00CB584A"/>
    <w:rsid w:val="00CB5954"/>
    <w:rsid w:val="00CB5EA2"/>
    <w:rsid w:val="00CB5F12"/>
    <w:rsid w:val="00CB65AC"/>
    <w:rsid w:val="00CB661D"/>
    <w:rsid w:val="00CB6F3C"/>
    <w:rsid w:val="00CB75F4"/>
    <w:rsid w:val="00CB7B8F"/>
    <w:rsid w:val="00CB7D0B"/>
    <w:rsid w:val="00CB7E9F"/>
    <w:rsid w:val="00CC0221"/>
    <w:rsid w:val="00CC028A"/>
    <w:rsid w:val="00CC05BC"/>
    <w:rsid w:val="00CC05EC"/>
    <w:rsid w:val="00CC07B2"/>
    <w:rsid w:val="00CC113C"/>
    <w:rsid w:val="00CC135B"/>
    <w:rsid w:val="00CC139C"/>
    <w:rsid w:val="00CC1694"/>
    <w:rsid w:val="00CC1728"/>
    <w:rsid w:val="00CC1730"/>
    <w:rsid w:val="00CC1799"/>
    <w:rsid w:val="00CC1884"/>
    <w:rsid w:val="00CC18D4"/>
    <w:rsid w:val="00CC213C"/>
    <w:rsid w:val="00CC2983"/>
    <w:rsid w:val="00CC2B01"/>
    <w:rsid w:val="00CC2C43"/>
    <w:rsid w:val="00CC31D4"/>
    <w:rsid w:val="00CC31F0"/>
    <w:rsid w:val="00CC347C"/>
    <w:rsid w:val="00CC3515"/>
    <w:rsid w:val="00CC351C"/>
    <w:rsid w:val="00CC3719"/>
    <w:rsid w:val="00CC3919"/>
    <w:rsid w:val="00CC4103"/>
    <w:rsid w:val="00CC41D3"/>
    <w:rsid w:val="00CC4902"/>
    <w:rsid w:val="00CC4A3B"/>
    <w:rsid w:val="00CC4A9E"/>
    <w:rsid w:val="00CC4B4A"/>
    <w:rsid w:val="00CC4BDD"/>
    <w:rsid w:val="00CC4D8D"/>
    <w:rsid w:val="00CC4EBC"/>
    <w:rsid w:val="00CC4F6B"/>
    <w:rsid w:val="00CC5125"/>
    <w:rsid w:val="00CC55B9"/>
    <w:rsid w:val="00CC5C94"/>
    <w:rsid w:val="00CC5FB3"/>
    <w:rsid w:val="00CC64CD"/>
    <w:rsid w:val="00CC660E"/>
    <w:rsid w:val="00CC6737"/>
    <w:rsid w:val="00CC67A1"/>
    <w:rsid w:val="00CC6848"/>
    <w:rsid w:val="00CC6A04"/>
    <w:rsid w:val="00CC6A1B"/>
    <w:rsid w:val="00CC6B92"/>
    <w:rsid w:val="00CC7024"/>
    <w:rsid w:val="00CC7134"/>
    <w:rsid w:val="00CC75CE"/>
    <w:rsid w:val="00CC75EB"/>
    <w:rsid w:val="00CC7628"/>
    <w:rsid w:val="00CC7C1D"/>
    <w:rsid w:val="00CC7CDB"/>
    <w:rsid w:val="00CC7D83"/>
    <w:rsid w:val="00CC7E59"/>
    <w:rsid w:val="00CD0226"/>
    <w:rsid w:val="00CD0717"/>
    <w:rsid w:val="00CD0869"/>
    <w:rsid w:val="00CD091D"/>
    <w:rsid w:val="00CD09E1"/>
    <w:rsid w:val="00CD0CA0"/>
    <w:rsid w:val="00CD0DFF"/>
    <w:rsid w:val="00CD0FB2"/>
    <w:rsid w:val="00CD101D"/>
    <w:rsid w:val="00CD11A2"/>
    <w:rsid w:val="00CD11C3"/>
    <w:rsid w:val="00CD11FB"/>
    <w:rsid w:val="00CD1674"/>
    <w:rsid w:val="00CD1682"/>
    <w:rsid w:val="00CD16A3"/>
    <w:rsid w:val="00CD1761"/>
    <w:rsid w:val="00CD18E4"/>
    <w:rsid w:val="00CD1A5D"/>
    <w:rsid w:val="00CD1A69"/>
    <w:rsid w:val="00CD1BBB"/>
    <w:rsid w:val="00CD1EAE"/>
    <w:rsid w:val="00CD1F78"/>
    <w:rsid w:val="00CD22BA"/>
    <w:rsid w:val="00CD24CB"/>
    <w:rsid w:val="00CD2753"/>
    <w:rsid w:val="00CD2774"/>
    <w:rsid w:val="00CD27E6"/>
    <w:rsid w:val="00CD2951"/>
    <w:rsid w:val="00CD2D17"/>
    <w:rsid w:val="00CD2DE9"/>
    <w:rsid w:val="00CD325F"/>
    <w:rsid w:val="00CD3342"/>
    <w:rsid w:val="00CD364B"/>
    <w:rsid w:val="00CD3834"/>
    <w:rsid w:val="00CD392C"/>
    <w:rsid w:val="00CD3AAB"/>
    <w:rsid w:val="00CD411B"/>
    <w:rsid w:val="00CD4190"/>
    <w:rsid w:val="00CD43CE"/>
    <w:rsid w:val="00CD45B6"/>
    <w:rsid w:val="00CD4C01"/>
    <w:rsid w:val="00CD4E0E"/>
    <w:rsid w:val="00CD4EDE"/>
    <w:rsid w:val="00CD4F0C"/>
    <w:rsid w:val="00CD5011"/>
    <w:rsid w:val="00CD581C"/>
    <w:rsid w:val="00CD583D"/>
    <w:rsid w:val="00CD5891"/>
    <w:rsid w:val="00CD58AA"/>
    <w:rsid w:val="00CD5A52"/>
    <w:rsid w:val="00CD5A6B"/>
    <w:rsid w:val="00CD5B25"/>
    <w:rsid w:val="00CD5C31"/>
    <w:rsid w:val="00CD6049"/>
    <w:rsid w:val="00CD610F"/>
    <w:rsid w:val="00CD61AB"/>
    <w:rsid w:val="00CD61D8"/>
    <w:rsid w:val="00CD621F"/>
    <w:rsid w:val="00CD627F"/>
    <w:rsid w:val="00CD64EC"/>
    <w:rsid w:val="00CD659F"/>
    <w:rsid w:val="00CD65D1"/>
    <w:rsid w:val="00CD6705"/>
    <w:rsid w:val="00CD67D1"/>
    <w:rsid w:val="00CD6843"/>
    <w:rsid w:val="00CD6C6A"/>
    <w:rsid w:val="00CD733F"/>
    <w:rsid w:val="00CD7370"/>
    <w:rsid w:val="00CD788D"/>
    <w:rsid w:val="00CD7B29"/>
    <w:rsid w:val="00CD7B5A"/>
    <w:rsid w:val="00CD7DE3"/>
    <w:rsid w:val="00CD7E66"/>
    <w:rsid w:val="00CD7E8C"/>
    <w:rsid w:val="00CD7FDA"/>
    <w:rsid w:val="00CE0056"/>
    <w:rsid w:val="00CE0410"/>
    <w:rsid w:val="00CE04D2"/>
    <w:rsid w:val="00CE087F"/>
    <w:rsid w:val="00CE09D8"/>
    <w:rsid w:val="00CE0C60"/>
    <w:rsid w:val="00CE0D23"/>
    <w:rsid w:val="00CE12FE"/>
    <w:rsid w:val="00CE136C"/>
    <w:rsid w:val="00CE1532"/>
    <w:rsid w:val="00CE1536"/>
    <w:rsid w:val="00CE172F"/>
    <w:rsid w:val="00CE1899"/>
    <w:rsid w:val="00CE18A5"/>
    <w:rsid w:val="00CE1BC4"/>
    <w:rsid w:val="00CE1EDE"/>
    <w:rsid w:val="00CE2019"/>
    <w:rsid w:val="00CE2188"/>
    <w:rsid w:val="00CE21B7"/>
    <w:rsid w:val="00CE2207"/>
    <w:rsid w:val="00CE2285"/>
    <w:rsid w:val="00CE2716"/>
    <w:rsid w:val="00CE27A2"/>
    <w:rsid w:val="00CE2A09"/>
    <w:rsid w:val="00CE2B3B"/>
    <w:rsid w:val="00CE3022"/>
    <w:rsid w:val="00CE30C0"/>
    <w:rsid w:val="00CE3458"/>
    <w:rsid w:val="00CE3493"/>
    <w:rsid w:val="00CE357F"/>
    <w:rsid w:val="00CE35D3"/>
    <w:rsid w:val="00CE36FB"/>
    <w:rsid w:val="00CE373C"/>
    <w:rsid w:val="00CE3842"/>
    <w:rsid w:val="00CE393E"/>
    <w:rsid w:val="00CE3A32"/>
    <w:rsid w:val="00CE3FC3"/>
    <w:rsid w:val="00CE40C2"/>
    <w:rsid w:val="00CE40FF"/>
    <w:rsid w:val="00CE4452"/>
    <w:rsid w:val="00CE4635"/>
    <w:rsid w:val="00CE46BA"/>
    <w:rsid w:val="00CE48C5"/>
    <w:rsid w:val="00CE49A3"/>
    <w:rsid w:val="00CE49D4"/>
    <w:rsid w:val="00CE4D3D"/>
    <w:rsid w:val="00CE5188"/>
    <w:rsid w:val="00CE5244"/>
    <w:rsid w:val="00CE525D"/>
    <w:rsid w:val="00CE52BE"/>
    <w:rsid w:val="00CE568A"/>
    <w:rsid w:val="00CE56E1"/>
    <w:rsid w:val="00CE5C4D"/>
    <w:rsid w:val="00CE5FCC"/>
    <w:rsid w:val="00CE6039"/>
    <w:rsid w:val="00CE60E8"/>
    <w:rsid w:val="00CE6113"/>
    <w:rsid w:val="00CE61EE"/>
    <w:rsid w:val="00CE6511"/>
    <w:rsid w:val="00CE65AD"/>
    <w:rsid w:val="00CE680F"/>
    <w:rsid w:val="00CE6976"/>
    <w:rsid w:val="00CE6D4E"/>
    <w:rsid w:val="00CE6E92"/>
    <w:rsid w:val="00CE6E96"/>
    <w:rsid w:val="00CE70E1"/>
    <w:rsid w:val="00CE7116"/>
    <w:rsid w:val="00CE7192"/>
    <w:rsid w:val="00CE738E"/>
    <w:rsid w:val="00CE73B4"/>
    <w:rsid w:val="00CE7593"/>
    <w:rsid w:val="00CE75BB"/>
    <w:rsid w:val="00CE75EE"/>
    <w:rsid w:val="00CE7646"/>
    <w:rsid w:val="00CE7807"/>
    <w:rsid w:val="00CE7DBC"/>
    <w:rsid w:val="00CE7FFD"/>
    <w:rsid w:val="00CF0151"/>
    <w:rsid w:val="00CF0165"/>
    <w:rsid w:val="00CF03CF"/>
    <w:rsid w:val="00CF041F"/>
    <w:rsid w:val="00CF04EE"/>
    <w:rsid w:val="00CF051C"/>
    <w:rsid w:val="00CF06B0"/>
    <w:rsid w:val="00CF0B00"/>
    <w:rsid w:val="00CF0B73"/>
    <w:rsid w:val="00CF0E6C"/>
    <w:rsid w:val="00CF0EF4"/>
    <w:rsid w:val="00CF0F2E"/>
    <w:rsid w:val="00CF0FE1"/>
    <w:rsid w:val="00CF10C3"/>
    <w:rsid w:val="00CF1296"/>
    <w:rsid w:val="00CF186F"/>
    <w:rsid w:val="00CF20E0"/>
    <w:rsid w:val="00CF237E"/>
    <w:rsid w:val="00CF25E7"/>
    <w:rsid w:val="00CF276E"/>
    <w:rsid w:val="00CF2775"/>
    <w:rsid w:val="00CF28A6"/>
    <w:rsid w:val="00CF2BAE"/>
    <w:rsid w:val="00CF2E40"/>
    <w:rsid w:val="00CF2E87"/>
    <w:rsid w:val="00CF2F60"/>
    <w:rsid w:val="00CF3333"/>
    <w:rsid w:val="00CF3880"/>
    <w:rsid w:val="00CF3D54"/>
    <w:rsid w:val="00CF3DE5"/>
    <w:rsid w:val="00CF3EB4"/>
    <w:rsid w:val="00CF4194"/>
    <w:rsid w:val="00CF41B1"/>
    <w:rsid w:val="00CF428F"/>
    <w:rsid w:val="00CF43BF"/>
    <w:rsid w:val="00CF468A"/>
    <w:rsid w:val="00CF4790"/>
    <w:rsid w:val="00CF493B"/>
    <w:rsid w:val="00CF4CEF"/>
    <w:rsid w:val="00CF4DD6"/>
    <w:rsid w:val="00CF527B"/>
    <w:rsid w:val="00CF52F4"/>
    <w:rsid w:val="00CF52FD"/>
    <w:rsid w:val="00CF58B2"/>
    <w:rsid w:val="00CF5CC7"/>
    <w:rsid w:val="00CF66E8"/>
    <w:rsid w:val="00CF672D"/>
    <w:rsid w:val="00CF67D6"/>
    <w:rsid w:val="00CF6A3C"/>
    <w:rsid w:val="00CF6A5C"/>
    <w:rsid w:val="00CF6AA1"/>
    <w:rsid w:val="00CF6BE0"/>
    <w:rsid w:val="00CF6C76"/>
    <w:rsid w:val="00CF6FF4"/>
    <w:rsid w:val="00CF7016"/>
    <w:rsid w:val="00CF7047"/>
    <w:rsid w:val="00CF7377"/>
    <w:rsid w:val="00CF7650"/>
    <w:rsid w:val="00CF7836"/>
    <w:rsid w:val="00CF7994"/>
    <w:rsid w:val="00D0003A"/>
    <w:rsid w:val="00D00248"/>
    <w:rsid w:val="00D002C3"/>
    <w:rsid w:val="00D002D1"/>
    <w:rsid w:val="00D00361"/>
    <w:rsid w:val="00D00395"/>
    <w:rsid w:val="00D0049F"/>
    <w:rsid w:val="00D004F9"/>
    <w:rsid w:val="00D00561"/>
    <w:rsid w:val="00D005AE"/>
    <w:rsid w:val="00D00716"/>
    <w:rsid w:val="00D007B7"/>
    <w:rsid w:val="00D00AD5"/>
    <w:rsid w:val="00D00D95"/>
    <w:rsid w:val="00D01253"/>
    <w:rsid w:val="00D01C4E"/>
    <w:rsid w:val="00D02106"/>
    <w:rsid w:val="00D02425"/>
    <w:rsid w:val="00D024E5"/>
    <w:rsid w:val="00D02738"/>
    <w:rsid w:val="00D02CE3"/>
    <w:rsid w:val="00D02D32"/>
    <w:rsid w:val="00D03B40"/>
    <w:rsid w:val="00D03C0B"/>
    <w:rsid w:val="00D03C49"/>
    <w:rsid w:val="00D04157"/>
    <w:rsid w:val="00D04208"/>
    <w:rsid w:val="00D042E2"/>
    <w:rsid w:val="00D044E5"/>
    <w:rsid w:val="00D04CA1"/>
    <w:rsid w:val="00D04F58"/>
    <w:rsid w:val="00D05613"/>
    <w:rsid w:val="00D056CD"/>
    <w:rsid w:val="00D056DE"/>
    <w:rsid w:val="00D05A40"/>
    <w:rsid w:val="00D05BAB"/>
    <w:rsid w:val="00D05D6E"/>
    <w:rsid w:val="00D05E7C"/>
    <w:rsid w:val="00D05EDB"/>
    <w:rsid w:val="00D060C1"/>
    <w:rsid w:val="00D0673F"/>
    <w:rsid w:val="00D068A2"/>
    <w:rsid w:val="00D06A5F"/>
    <w:rsid w:val="00D06E0F"/>
    <w:rsid w:val="00D07295"/>
    <w:rsid w:val="00D0733B"/>
    <w:rsid w:val="00D07552"/>
    <w:rsid w:val="00D07589"/>
    <w:rsid w:val="00D075FE"/>
    <w:rsid w:val="00D0771C"/>
    <w:rsid w:val="00D07869"/>
    <w:rsid w:val="00D07E20"/>
    <w:rsid w:val="00D10036"/>
    <w:rsid w:val="00D100BA"/>
    <w:rsid w:val="00D100BE"/>
    <w:rsid w:val="00D10220"/>
    <w:rsid w:val="00D1053F"/>
    <w:rsid w:val="00D10A5D"/>
    <w:rsid w:val="00D10CFC"/>
    <w:rsid w:val="00D10D06"/>
    <w:rsid w:val="00D10EB6"/>
    <w:rsid w:val="00D110EC"/>
    <w:rsid w:val="00D11521"/>
    <w:rsid w:val="00D11A1B"/>
    <w:rsid w:val="00D11ADC"/>
    <w:rsid w:val="00D11C01"/>
    <w:rsid w:val="00D11D14"/>
    <w:rsid w:val="00D11D1A"/>
    <w:rsid w:val="00D11DCD"/>
    <w:rsid w:val="00D11DEE"/>
    <w:rsid w:val="00D11F26"/>
    <w:rsid w:val="00D12017"/>
    <w:rsid w:val="00D12155"/>
    <w:rsid w:val="00D121BC"/>
    <w:rsid w:val="00D124B0"/>
    <w:rsid w:val="00D12992"/>
    <w:rsid w:val="00D12A3D"/>
    <w:rsid w:val="00D12B0A"/>
    <w:rsid w:val="00D12BE9"/>
    <w:rsid w:val="00D12D55"/>
    <w:rsid w:val="00D12EDA"/>
    <w:rsid w:val="00D12F3B"/>
    <w:rsid w:val="00D1309E"/>
    <w:rsid w:val="00D131C9"/>
    <w:rsid w:val="00D13328"/>
    <w:rsid w:val="00D137C4"/>
    <w:rsid w:val="00D138C2"/>
    <w:rsid w:val="00D13A65"/>
    <w:rsid w:val="00D13B2D"/>
    <w:rsid w:val="00D1402E"/>
    <w:rsid w:val="00D140C8"/>
    <w:rsid w:val="00D1412E"/>
    <w:rsid w:val="00D143B3"/>
    <w:rsid w:val="00D144F5"/>
    <w:rsid w:val="00D14586"/>
    <w:rsid w:val="00D1474F"/>
    <w:rsid w:val="00D149DE"/>
    <w:rsid w:val="00D14BA8"/>
    <w:rsid w:val="00D14C20"/>
    <w:rsid w:val="00D14E0B"/>
    <w:rsid w:val="00D14E5C"/>
    <w:rsid w:val="00D1511F"/>
    <w:rsid w:val="00D1549B"/>
    <w:rsid w:val="00D156D6"/>
    <w:rsid w:val="00D157C0"/>
    <w:rsid w:val="00D157FF"/>
    <w:rsid w:val="00D15B18"/>
    <w:rsid w:val="00D15C24"/>
    <w:rsid w:val="00D15EB0"/>
    <w:rsid w:val="00D15F1D"/>
    <w:rsid w:val="00D161F2"/>
    <w:rsid w:val="00D165AA"/>
    <w:rsid w:val="00D1661E"/>
    <w:rsid w:val="00D167AA"/>
    <w:rsid w:val="00D169E7"/>
    <w:rsid w:val="00D16E8E"/>
    <w:rsid w:val="00D16F29"/>
    <w:rsid w:val="00D16FF4"/>
    <w:rsid w:val="00D17161"/>
    <w:rsid w:val="00D17174"/>
    <w:rsid w:val="00D171DF"/>
    <w:rsid w:val="00D17240"/>
    <w:rsid w:val="00D1747C"/>
    <w:rsid w:val="00D178A5"/>
    <w:rsid w:val="00D17959"/>
    <w:rsid w:val="00D17C75"/>
    <w:rsid w:val="00D17D8D"/>
    <w:rsid w:val="00D17DC5"/>
    <w:rsid w:val="00D17F95"/>
    <w:rsid w:val="00D20329"/>
    <w:rsid w:val="00D203E4"/>
    <w:rsid w:val="00D207F0"/>
    <w:rsid w:val="00D20A10"/>
    <w:rsid w:val="00D20E0F"/>
    <w:rsid w:val="00D212C0"/>
    <w:rsid w:val="00D218F4"/>
    <w:rsid w:val="00D21917"/>
    <w:rsid w:val="00D219DD"/>
    <w:rsid w:val="00D21C98"/>
    <w:rsid w:val="00D21D28"/>
    <w:rsid w:val="00D21EF1"/>
    <w:rsid w:val="00D21F32"/>
    <w:rsid w:val="00D21F67"/>
    <w:rsid w:val="00D2202A"/>
    <w:rsid w:val="00D220A1"/>
    <w:rsid w:val="00D22322"/>
    <w:rsid w:val="00D22402"/>
    <w:rsid w:val="00D2283D"/>
    <w:rsid w:val="00D22E0C"/>
    <w:rsid w:val="00D22ED9"/>
    <w:rsid w:val="00D23013"/>
    <w:rsid w:val="00D23032"/>
    <w:rsid w:val="00D230EF"/>
    <w:rsid w:val="00D232DA"/>
    <w:rsid w:val="00D23509"/>
    <w:rsid w:val="00D23BB0"/>
    <w:rsid w:val="00D23EA4"/>
    <w:rsid w:val="00D24318"/>
    <w:rsid w:val="00D243E0"/>
    <w:rsid w:val="00D244B3"/>
    <w:rsid w:val="00D2465F"/>
    <w:rsid w:val="00D24695"/>
    <w:rsid w:val="00D24783"/>
    <w:rsid w:val="00D24832"/>
    <w:rsid w:val="00D24A00"/>
    <w:rsid w:val="00D24AFA"/>
    <w:rsid w:val="00D24BEB"/>
    <w:rsid w:val="00D2526F"/>
    <w:rsid w:val="00D25346"/>
    <w:rsid w:val="00D25C96"/>
    <w:rsid w:val="00D25CFC"/>
    <w:rsid w:val="00D25D43"/>
    <w:rsid w:val="00D25E99"/>
    <w:rsid w:val="00D2639C"/>
    <w:rsid w:val="00D266BB"/>
    <w:rsid w:val="00D26A07"/>
    <w:rsid w:val="00D26A08"/>
    <w:rsid w:val="00D26B12"/>
    <w:rsid w:val="00D26D2C"/>
    <w:rsid w:val="00D26DCA"/>
    <w:rsid w:val="00D26ED7"/>
    <w:rsid w:val="00D27087"/>
    <w:rsid w:val="00D27104"/>
    <w:rsid w:val="00D273C5"/>
    <w:rsid w:val="00D273D6"/>
    <w:rsid w:val="00D27909"/>
    <w:rsid w:val="00D27976"/>
    <w:rsid w:val="00D27DEB"/>
    <w:rsid w:val="00D27E8E"/>
    <w:rsid w:val="00D27F78"/>
    <w:rsid w:val="00D301A1"/>
    <w:rsid w:val="00D30260"/>
    <w:rsid w:val="00D30429"/>
    <w:rsid w:val="00D3070A"/>
    <w:rsid w:val="00D309DE"/>
    <w:rsid w:val="00D30A2F"/>
    <w:rsid w:val="00D30E17"/>
    <w:rsid w:val="00D30E9F"/>
    <w:rsid w:val="00D316DC"/>
    <w:rsid w:val="00D31C3C"/>
    <w:rsid w:val="00D32215"/>
    <w:rsid w:val="00D32264"/>
    <w:rsid w:val="00D322E9"/>
    <w:rsid w:val="00D32446"/>
    <w:rsid w:val="00D32571"/>
    <w:rsid w:val="00D32AE4"/>
    <w:rsid w:val="00D334A4"/>
    <w:rsid w:val="00D33A3F"/>
    <w:rsid w:val="00D33D70"/>
    <w:rsid w:val="00D33E15"/>
    <w:rsid w:val="00D33F3E"/>
    <w:rsid w:val="00D34345"/>
    <w:rsid w:val="00D346E9"/>
    <w:rsid w:val="00D34712"/>
    <w:rsid w:val="00D34752"/>
    <w:rsid w:val="00D3475B"/>
    <w:rsid w:val="00D3486F"/>
    <w:rsid w:val="00D34A42"/>
    <w:rsid w:val="00D350C1"/>
    <w:rsid w:val="00D3513F"/>
    <w:rsid w:val="00D3557A"/>
    <w:rsid w:val="00D3569E"/>
    <w:rsid w:val="00D35A46"/>
    <w:rsid w:val="00D35CB3"/>
    <w:rsid w:val="00D36085"/>
    <w:rsid w:val="00D36510"/>
    <w:rsid w:val="00D368A2"/>
    <w:rsid w:val="00D36915"/>
    <w:rsid w:val="00D36AC1"/>
    <w:rsid w:val="00D36D2A"/>
    <w:rsid w:val="00D36E22"/>
    <w:rsid w:val="00D37806"/>
    <w:rsid w:val="00D37954"/>
    <w:rsid w:val="00D37B2B"/>
    <w:rsid w:val="00D37DB7"/>
    <w:rsid w:val="00D37FA8"/>
    <w:rsid w:val="00D40690"/>
    <w:rsid w:val="00D40A69"/>
    <w:rsid w:val="00D41135"/>
    <w:rsid w:val="00D411D2"/>
    <w:rsid w:val="00D414F0"/>
    <w:rsid w:val="00D416FB"/>
    <w:rsid w:val="00D41727"/>
    <w:rsid w:val="00D41852"/>
    <w:rsid w:val="00D41A79"/>
    <w:rsid w:val="00D41C01"/>
    <w:rsid w:val="00D41E34"/>
    <w:rsid w:val="00D4216C"/>
    <w:rsid w:val="00D4233B"/>
    <w:rsid w:val="00D42801"/>
    <w:rsid w:val="00D42DA0"/>
    <w:rsid w:val="00D43054"/>
    <w:rsid w:val="00D4344D"/>
    <w:rsid w:val="00D43494"/>
    <w:rsid w:val="00D43B50"/>
    <w:rsid w:val="00D44206"/>
    <w:rsid w:val="00D4452D"/>
    <w:rsid w:val="00D446A1"/>
    <w:rsid w:val="00D447CC"/>
    <w:rsid w:val="00D447ED"/>
    <w:rsid w:val="00D4484D"/>
    <w:rsid w:val="00D44A65"/>
    <w:rsid w:val="00D44B78"/>
    <w:rsid w:val="00D44C07"/>
    <w:rsid w:val="00D44D71"/>
    <w:rsid w:val="00D44FA2"/>
    <w:rsid w:val="00D45419"/>
    <w:rsid w:val="00D4550F"/>
    <w:rsid w:val="00D45801"/>
    <w:rsid w:val="00D4591C"/>
    <w:rsid w:val="00D45EC2"/>
    <w:rsid w:val="00D45F29"/>
    <w:rsid w:val="00D45F7D"/>
    <w:rsid w:val="00D460C6"/>
    <w:rsid w:val="00D461BC"/>
    <w:rsid w:val="00D463AC"/>
    <w:rsid w:val="00D465E3"/>
    <w:rsid w:val="00D46611"/>
    <w:rsid w:val="00D4664F"/>
    <w:rsid w:val="00D468AB"/>
    <w:rsid w:val="00D4696C"/>
    <w:rsid w:val="00D469C1"/>
    <w:rsid w:val="00D46ADF"/>
    <w:rsid w:val="00D46C58"/>
    <w:rsid w:val="00D47346"/>
    <w:rsid w:val="00D47B30"/>
    <w:rsid w:val="00D47B33"/>
    <w:rsid w:val="00D47BEB"/>
    <w:rsid w:val="00D47D40"/>
    <w:rsid w:val="00D47DBA"/>
    <w:rsid w:val="00D50289"/>
    <w:rsid w:val="00D50303"/>
    <w:rsid w:val="00D50398"/>
    <w:rsid w:val="00D503AA"/>
    <w:rsid w:val="00D50433"/>
    <w:rsid w:val="00D50541"/>
    <w:rsid w:val="00D50589"/>
    <w:rsid w:val="00D505A5"/>
    <w:rsid w:val="00D50631"/>
    <w:rsid w:val="00D506C7"/>
    <w:rsid w:val="00D5092C"/>
    <w:rsid w:val="00D50D6D"/>
    <w:rsid w:val="00D50DFC"/>
    <w:rsid w:val="00D51051"/>
    <w:rsid w:val="00D51120"/>
    <w:rsid w:val="00D51806"/>
    <w:rsid w:val="00D5194F"/>
    <w:rsid w:val="00D51AA1"/>
    <w:rsid w:val="00D52007"/>
    <w:rsid w:val="00D520B5"/>
    <w:rsid w:val="00D520F8"/>
    <w:rsid w:val="00D5212F"/>
    <w:rsid w:val="00D527B1"/>
    <w:rsid w:val="00D52880"/>
    <w:rsid w:val="00D52B4A"/>
    <w:rsid w:val="00D52D01"/>
    <w:rsid w:val="00D5344A"/>
    <w:rsid w:val="00D5370A"/>
    <w:rsid w:val="00D53722"/>
    <w:rsid w:val="00D53939"/>
    <w:rsid w:val="00D53998"/>
    <w:rsid w:val="00D53CE3"/>
    <w:rsid w:val="00D53F4D"/>
    <w:rsid w:val="00D542AC"/>
    <w:rsid w:val="00D542F1"/>
    <w:rsid w:val="00D54BFF"/>
    <w:rsid w:val="00D54F6C"/>
    <w:rsid w:val="00D55585"/>
    <w:rsid w:val="00D55D39"/>
    <w:rsid w:val="00D55FB7"/>
    <w:rsid w:val="00D561E7"/>
    <w:rsid w:val="00D56505"/>
    <w:rsid w:val="00D565C8"/>
    <w:rsid w:val="00D5673C"/>
    <w:rsid w:val="00D56862"/>
    <w:rsid w:val="00D5695B"/>
    <w:rsid w:val="00D56B1F"/>
    <w:rsid w:val="00D56D90"/>
    <w:rsid w:val="00D56DA1"/>
    <w:rsid w:val="00D56E33"/>
    <w:rsid w:val="00D56E91"/>
    <w:rsid w:val="00D57388"/>
    <w:rsid w:val="00D57580"/>
    <w:rsid w:val="00D57767"/>
    <w:rsid w:val="00D579F5"/>
    <w:rsid w:val="00D57B4E"/>
    <w:rsid w:val="00D57E30"/>
    <w:rsid w:val="00D57FD5"/>
    <w:rsid w:val="00D60534"/>
    <w:rsid w:val="00D60C02"/>
    <w:rsid w:val="00D60C13"/>
    <w:rsid w:val="00D60C5E"/>
    <w:rsid w:val="00D60DDF"/>
    <w:rsid w:val="00D6138F"/>
    <w:rsid w:val="00D6150B"/>
    <w:rsid w:val="00D6159E"/>
    <w:rsid w:val="00D6168F"/>
    <w:rsid w:val="00D61789"/>
    <w:rsid w:val="00D61A2B"/>
    <w:rsid w:val="00D61B34"/>
    <w:rsid w:val="00D61D7B"/>
    <w:rsid w:val="00D6237B"/>
    <w:rsid w:val="00D6264F"/>
    <w:rsid w:val="00D62A72"/>
    <w:rsid w:val="00D62AEB"/>
    <w:rsid w:val="00D62E19"/>
    <w:rsid w:val="00D62E25"/>
    <w:rsid w:val="00D62F6C"/>
    <w:rsid w:val="00D63243"/>
    <w:rsid w:val="00D6359F"/>
    <w:rsid w:val="00D63C91"/>
    <w:rsid w:val="00D63F2A"/>
    <w:rsid w:val="00D63F44"/>
    <w:rsid w:val="00D642F1"/>
    <w:rsid w:val="00D643A9"/>
    <w:rsid w:val="00D644A4"/>
    <w:rsid w:val="00D64564"/>
    <w:rsid w:val="00D645D2"/>
    <w:rsid w:val="00D64693"/>
    <w:rsid w:val="00D64765"/>
    <w:rsid w:val="00D64AA5"/>
    <w:rsid w:val="00D64DFA"/>
    <w:rsid w:val="00D64F83"/>
    <w:rsid w:val="00D64F91"/>
    <w:rsid w:val="00D650AF"/>
    <w:rsid w:val="00D6552C"/>
    <w:rsid w:val="00D65592"/>
    <w:rsid w:val="00D655C7"/>
    <w:rsid w:val="00D65AF4"/>
    <w:rsid w:val="00D65B36"/>
    <w:rsid w:val="00D65BD4"/>
    <w:rsid w:val="00D65C17"/>
    <w:rsid w:val="00D6629B"/>
    <w:rsid w:val="00D66331"/>
    <w:rsid w:val="00D664D9"/>
    <w:rsid w:val="00D66848"/>
    <w:rsid w:val="00D669B2"/>
    <w:rsid w:val="00D66A8E"/>
    <w:rsid w:val="00D66CF0"/>
    <w:rsid w:val="00D67041"/>
    <w:rsid w:val="00D67082"/>
    <w:rsid w:val="00D6760D"/>
    <w:rsid w:val="00D67C22"/>
    <w:rsid w:val="00D67C26"/>
    <w:rsid w:val="00D67C3A"/>
    <w:rsid w:val="00D67D81"/>
    <w:rsid w:val="00D70082"/>
    <w:rsid w:val="00D700E7"/>
    <w:rsid w:val="00D7010B"/>
    <w:rsid w:val="00D702F8"/>
    <w:rsid w:val="00D703D3"/>
    <w:rsid w:val="00D70492"/>
    <w:rsid w:val="00D704FC"/>
    <w:rsid w:val="00D707A8"/>
    <w:rsid w:val="00D70903"/>
    <w:rsid w:val="00D70A3E"/>
    <w:rsid w:val="00D70BBF"/>
    <w:rsid w:val="00D70EE8"/>
    <w:rsid w:val="00D71083"/>
    <w:rsid w:val="00D71D64"/>
    <w:rsid w:val="00D71E51"/>
    <w:rsid w:val="00D721A5"/>
    <w:rsid w:val="00D72437"/>
    <w:rsid w:val="00D7243A"/>
    <w:rsid w:val="00D7244A"/>
    <w:rsid w:val="00D7252F"/>
    <w:rsid w:val="00D726D1"/>
    <w:rsid w:val="00D72825"/>
    <w:rsid w:val="00D72CED"/>
    <w:rsid w:val="00D72D0A"/>
    <w:rsid w:val="00D72DB9"/>
    <w:rsid w:val="00D72FBB"/>
    <w:rsid w:val="00D730F5"/>
    <w:rsid w:val="00D73273"/>
    <w:rsid w:val="00D734AC"/>
    <w:rsid w:val="00D7358E"/>
    <w:rsid w:val="00D73658"/>
    <w:rsid w:val="00D73A67"/>
    <w:rsid w:val="00D74034"/>
    <w:rsid w:val="00D7422B"/>
    <w:rsid w:val="00D7462C"/>
    <w:rsid w:val="00D747FD"/>
    <w:rsid w:val="00D748A0"/>
    <w:rsid w:val="00D74A77"/>
    <w:rsid w:val="00D74ADA"/>
    <w:rsid w:val="00D74E43"/>
    <w:rsid w:val="00D74EBD"/>
    <w:rsid w:val="00D7520A"/>
    <w:rsid w:val="00D7532B"/>
    <w:rsid w:val="00D75427"/>
    <w:rsid w:val="00D75455"/>
    <w:rsid w:val="00D757C8"/>
    <w:rsid w:val="00D758B4"/>
    <w:rsid w:val="00D7593F"/>
    <w:rsid w:val="00D7598F"/>
    <w:rsid w:val="00D75D98"/>
    <w:rsid w:val="00D75E5C"/>
    <w:rsid w:val="00D76269"/>
    <w:rsid w:val="00D764DF"/>
    <w:rsid w:val="00D768EC"/>
    <w:rsid w:val="00D769DD"/>
    <w:rsid w:val="00D76A2D"/>
    <w:rsid w:val="00D76FE8"/>
    <w:rsid w:val="00D7709E"/>
    <w:rsid w:val="00D771F6"/>
    <w:rsid w:val="00D772D7"/>
    <w:rsid w:val="00D77322"/>
    <w:rsid w:val="00D77329"/>
    <w:rsid w:val="00D773A3"/>
    <w:rsid w:val="00D775C5"/>
    <w:rsid w:val="00D7781A"/>
    <w:rsid w:val="00D7783E"/>
    <w:rsid w:val="00D77C5E"/>
    <w:rsid w:val="00D77CEB"/>
    <w:rsid w:val="00D77D3C"/>
    <w:rsid w:val="00D77EC8"/>
    <w:rsid w:val="00D77FCF"/>
    <w:rsid w:val="00D80158"/>
    <w:rsid w:val="00D8029B"/>
    <w:rsid w:val="00D80F72"/>
    <w:rsid w:val="00D81174"/>
    <w:rsid w:val="00D812F8"/>
    <w:rsid w:val="00D81844"/>
    <w:rsid w:val="00D82160"/>
    <w:rsid w:val="00D8220C"/>
    <w:rsid w:val="00D82246"/>
    <w:rsid w:val="00D824BD"/>
    <w:rsid w:val="00D8267C"/>
    <w:rsid w:val="00D82728"/>
    <w:rsid w:val="00D8275F"/>
    <w:rsid w:val="00D82A57"/>
    <w:rsid w:val="00D82BC3"/>
    <w:rsid w:val="00D82C3E"/>
    <w:rsid w:val="00D82E7F"/>
    <w:rsid w:val="00D82F50"/>
    <w:rsid w:val="00D82F9C"/>
    <w:rsid w:val="00D8300C"/>
    <w:rsid w:val="00D835F1"/>
    <w:rsid w:val="00D83911"/>
    <w:rsid w:val="00D8391E"/>
    <w:rsid w:val="00D83A9C"/>
    <w:rsid w:val="00D83C7E"/>
    <w:rsid w:val="00D83D06"/>
    <w:rsid w:val="00D84015"/>
    <w:rsid w:val="00D8402D"/>
    <w:rsid w:val="00D840EA"/>
    <w:rsid w:val="00D841BD"/>
    <w:rsid w:val="00D84215"/>
    <w:rsid w:val="00D84340"/>
    <w:rsid w:val="00D8438C"/>
    <w:rsid w:val="00D84494"/>
    <w:rsid w:val="00D84B77"/>
    <w:rsid w:val="00D84CD8"/>
    <w:rsid w:val="00D84D38"/>
    <w:rsid w:val="00D84D54"/>
    <w:rsid w:val="00D84DF5"/>
    <w:rsid w:val="00D8509A"/>
    <w:rsid w:val="00D85153"/>
    <w:rsid w:val="00D8538B"/>
    <w:rsid w:val="00D853A5"/>
    <w:rsid w:val="00D854B0"/>
    <w:rsid w:val="00D8552C"/>
    <w:rsid w:val="00D8587D"/>
    <w:rsid w:val="00D85A1C"/>
    <w:rsid w:val="00D85A9E"/>
    <w:rsid w:val="00D85E57"/>
    <w:rsid w:val="00D85FE3"/>
    <w:rsid w:val="00D861F6"/>
    <w:rsid w:val="00D8642A"/>
    <w:rsid w:val="00D86847"/>
    <w:rsid w:val="00D869A8"/>
    <w:rsid w:val="00D86AEA"/>
    <w:rsid w:val="00D86B00"/>
    <w:rsid w:val="00D86B4A"/>
    <w:rsid w:val="00D86BB3"/>
    <w:rsid w:val="00D86BE3"/>
    <w:rsid w:val="00D86E6E"/>
    <w:rsid w:val="00D86FFC"/>
    <w:rsid w:val="00D87191"/>
    <w:rsid w:val="00D871AF"/>
    <w:rsid w:val="00D876CD"/>
    <w:rsid w:val="00D87700"/>
    <w:rsid w:val="00D87872"/>
    <w:rsid w:val="00D87B9D"/>
    <w:rsid w:val="00D87CB5"/>
    <w:rsid w:val="00D90528"/>
    <w:rsid w:val="00D90936"/>
    <w:rsid w:val="00D9099A"/>
    <w:rsid w:val="00D90B73"/>
    <w:rsid w:val="00D90C4E"/>
    <w:rsid w:val="00D90F60"/>
    <w:rsid w:val="00D91524"/>
    <w:rsid w:val="00D91528"/>
    <w:rsid w:val="00D9179D"/>
    <w:rsid w:val="00D91829"/>
    <w:rsid w:val="00D91ABF"/>
    <w:rsid w:val="00D91B24"/>
    <w:rsid w:val="00D91CAE"/>
    <w:rsid w:val="00D92488"/>
    <w:rsid w:val="00D927F5"/>
    <w:rsid w:val="00D92866"/>
    <w:rsid w:val="00D92CED"/>
    <w:rsid w:val="00D92ED2"/>
    <w:rsid w:val="00D92F3C"/>
    <w:rsid w:val="00D93269"/>
    <w:rsid w:val="00D9339F"/>
    <w:rsid w:val="00D9362F"/>
    <w:rsid w:val="00D93BC6"/>
    <w:rsid w:val="00D93BCE"/>
    <w:rsid w:val="00D93EEF"/>
    <w:rsid w:val="00D9417B"/>
    <w:rsid w:val="00D94201"/>
    <w:rsid w:val="00D944B3"/>
    <w:rsid w:val="00D9482E"/>
    <w:rsid w:val="00D949D7"/>
    <w:rsid w:val="00D94ED0"/>
    <w:rsid w:val="00D9517F"/>
    <w:rsid w:val="00D95656"/>
    <w:rsid w:val="00D956E6"/>
    <w:rsid w:val="00D9576A"/>
    <w:rsid w:val="00D95BC8"/>
    <w:rsid w:val="00D95CA3"/>
    <w:rsid w:val="00D9613C"/>
    <w:rsid w:val="00D962CA"/>
    <w:rsid w:val="00D96621"/>
    <w:rsid w:val="00D96839"/>
    <w:rsid w:val="00D96C61"/>
    <w:rsid w:val="00D96D34"/>
    <w:rsid w:val="00D96DAC"/>
    <w:rsid w:val="00D96ECA"/>
    <w:rsid w:val="00D970BB"/>
    <w:rsid w:val="00D970FB"/>
    <w:rsid w:val="00D971FC"/>
    <w:rsid w:val="00D97391"/>
    <w:rsid w:val="00D97412"/>
    <w:rsid w:val="00D9779C"/>
    <w:rsid w:val="00D97835"/>
    <w:rsid w:val="00D97B13"/>
    <w:rsid w:val="00D97B77"/>
    <w:rsid w:val="00D97C09"/>
    <w:rsid w:val="00D97C83"/>
    <w:rsid w:val="00D97D8D"/>
    <w:rsid w:val="00D97EE9"/>
    <w:rsid w:val="00D97FCC"/>
    <w:rsid w:val="00DA0311"/>
    <w:rsid w:val="00DA057A"/>
    <w:rsid w:val="00DA0582"/>
    <w:rsid w:val="00DA05A8"/>
    <w:rsid w:val="00DA061C"/>
    <w:rsid w:val="00DA06B8"/>
    <w:rsid w:val="00DA075D"/>
    <w:rsid w:val="00DA07D4"/>
    <w:rsid w:val="00DA0BFB"/>
    <w:rsid w:val="00DA0E6A"/>
    <w:rsid w:val="00DA0F16"/>
    <w:rsid w:val="00DA13B2"/>
    <w:rsid w:val="00DA1816"/>
    <w:rsid w:val="00DA18FA"/>
    <w:rsid w:val="00DA1A83"/>
    <w:rsid w:val="00DA1A98"/>
    <w:rsid w:val="00DA1F8F"/>
    <w:rsid w:val="00DA20A7"/>
    <w:rsid w:val="00DA246D"/>
    <w:rsid w:val="00DA256C"/>
    <w:rsid w:val="00DA264C"/>
    <w:rsid w:val="00DA2768"/>
    <w:rsid w:val="00DA2C0B"/>
    <w:rsid w:val="00DA302D"/>
    <w:rsid w:val="00DA305C"/>
    <w:rsid w:val="00DA31B4"/>
    <w:rsid w:val="00DA32B0"/>
    <w:rsid w:val="00DA33F0"/>
    <w:rsid w:val="00DA357A"/>
    <w:rsid w:val="00DA37F0"/>
    <w:rsid w:val="00DA3AF5"/>
    <w:rsid w:val="00DA3C6F"/>
    <w:rsid w:val="00DA3D10"/>
    <w:rsid w:val="00DA41B9"/>
    <w:rsid w:val="00DA4364"/>
    <w:rsid w:val="00DA4597"/>
    <w:rsid w:val="00DA46A9"/>
    <w:rsid w:val="00DA477E"/>
    <w:rsid w:val="00DA4837"/>
    <w:rsid w:val="00DA4E15"/>
    <w:rsid w:val="00DA4F00"/>
    <w:rsid w:val="00DA4FB4"/>
    <w:rsid w:val="00DA4FFB"/>
    <w:rsid w:val="00DA50DE"/>
    <w:rsid w:val="00DA544C"/>
    <w:rsid w:val="00DA57F4"/>
    <w:rsid w:val="00DA5A33"/>
    <w:rsid w:val="00DA5AA9"/>
    <w:rsid w:val="00DA5C39"/>
    <w:rsid w:val="00DA5C80"/>
    <w:rsid w:val="00DA5D3E"/>
    <w:rsid w:val="00DA5EFF"/>
    <w:rsid w:val="00DA5F9D"/>
    <w:rsid w:val="00DA5FB5"/>
    <w:rsid w:val="00DA6216"/>
    <w:rsid w:val="00DA62B4"/>
    <w:rsid w:val="00DA6B1A"/>
    <w:rsid w:val="00DA6B2D"/>
    <w:rsid w:val="00DA6DCF"/>
    <w:rsid w:val="00DA6ED7"/>
    <w:rsid w:val="00DA6F35"/>
    <w:rsid w:val="00DA6F9F"/>
    <w:rsid w:val="00DA73E7"/>
    <w:rsid w:val="00DA73EA"/>
    <w:rsid w:val="00DA7462"/>
    <w:rsid w:val="00DA7521"/>
    <w:rsid w:val="00DA7574"/>
    <w:rsid w:val="00DA7D32"/>
    <w:rsid w:val="00DA7DD9"/>
    <w:rsid w:val="00DB02A9"/>
    <w:rsid w:val="00DB0343"/>
    <w:rsid w:val="00DB050C"/>
    <w:rsid w:val="00DB0669"/>
    <w:rsid w:val="00DB074D"/>
    <w:rsid w:val="00DB07C3"/>
    <w:rsid w:val="00DB0871"/>
    <w:rsid w:val="00DB1325"/>
    <w:rsid w:val="00DB1339"/>
    <w:rsid w:val="00DB13B9"/>
    <w:rsid w:val="00DB1553"/>
    <w:rsid w:val="00DB15DD"/>
    <w:rsid w:val="00DB18A0"/>
    <w:rsid w:val="00DB19AD"/>
    <w:rsid w:val="00DB1EDC"/>
    <w:rsid w:val="00DB24E4"/>
    <w:rsid w:val="00DB2A8E"/>
    <w:rsid w:val="00DB2C06"/>
    <w:rsid w:val="00DB2C3B"/>
    <w:rsid w:val="00DB2D05"/>
    <w:rsid w:val="00DB2F54"/>
    <w:rsid w:val="00DB2FFF"/>
    <w:rsid w:val="00DB35BC"/>
    <w:rsid w:val="00DB364C"/>
    <w:rsid w:val="00DB36FA"/>
    <w:rsid w:val="00DB3B69"/>
    <w:rsid w:val="00DB3B76"/>
    <w:rsid w:val="00DB3CC6"/>
    <w:rsid w:val="00DB4455"/>
    <w:rsid w:val="00DB4484"/>
    <w:rsid w:val="00DB4818"/>
    <w:rsid w:val="00DB4879"/>
    <w:rsid w:val="00DB49CC"/>
    <w:rsid w:val="00DB4B86"/>
    <w:rsid w:val="00DB4DD3"/>
    <w:rsid w:val="00DB4EAC"/>
    <w:rsid w:val="00DB4EDA"/>
    <w:rsid w:val="00DB4EEC"/>
    <w:rsid w:val="00DB50D8"/>
    <w:rsid w:val="00DB5119"/>
    <w:rsid w:val="00DB51C8"/>
    <w:rsid w:val="00DB528B"/>
    <w:rsid w:val="00DB5511"/>
    <w:rsid w:val="00DB5533"/>
    <w:rsid w:val="00DB586B"/>
    <w:rsid w:val="00DB5988"/>
    <w:rsid w:val="00DB5D98"/>
    <w:rsid w:val="00DB6694"/>
    <w:rsid w:val="00DB66E6"/>
    <w:rsid w:val="00DB6712"/>
    <w:rsid w:val="00DB672B"/>
    <w:rsid w:val="00DB6B18"/>
    <w:rsid w:val="00DB6B83"/>
    <w:rsid w:val="00DB6E51"/>
    <w:rsid w:val="00DB7555"/>
    <w:rsid w:val="00DB7B9D"/>
    <w:rsid w:val="00DC00B9"/>
    <w:rsid w:val="00DC026C"/>
    <w:rsid w:val="00DC0459"/>
    <w:rsid w:val="00DC08CB"/>
    <w:rsid w:val="00DC09E9"/>
    <w:rsid w:val="00DC0BFC"/>
    <w:rsid w:val="00DC115A"/>
    <w:rsid w:val="00DC1533"/>
    <w:rsid w:val="00DC1D57"/>
    <w:rsid w:val="00DC1DD9"/>
    <w:rsid w:val="00DC2007"/>
    <w:rsid w:val="00DC209E"/>
    <w:rsid w:val="00DC217D"/>
    <w:rsid w:val="00DC21A2"/>
    <w:rsid w:val="00DC24AF"/>
    <w:rsid w:val="00DC260E"/>
    <w:rsid w:val="00DC29ED"/>
    <w:rsid w:val="00DC2B0D"/>
    <w:rsid w:val="00DC2B10"/>
    <w:rsid w:val="00DC2C12"/>
    <w:rsid w:val="00DC308C"/>
    <w:rsid w:val="00DC3185"/>
    <w:rsid w:val="00DC31AE"/>
    <w:rsid w:val="00DC31B6"/>
    <w:rsid w:val="00DC32A3"/>
    <w:rsid w:val="00DC32DC"/>
    <w:rsid w:val="00DC34A9"/>
    <w:rsid w:val="00DC34CB"/>
    <w:rsid w:val="00DC389E"/>
    <w:rsid w:val="00DC38A1"/>
    <w:rsid w:val="00DC38A5"/>
    <w:rsid w:val="00DC3D3B"/>
    <w:rsid w:val="00DC3E38"/>
    <w:rsid w:val="00DC3EF7"/>
    <w:rsid w:val="00DC3F22"/>
    <w:rsid w:val="00DC46B3"/>
    <w:rsid w:val="00DC46BF"/>
    <w:rsid w:val="00DC4788"/>
    <w:rsid w:val="00DC4870"/>
    <w:rsid w:val="00DC49DE"/>
    <w:rsid w:val="00DC4A40"/>
    <w:rsid w:val="00DC4D8E"/>
    <w:rsid w:val="00DC4FC3"/>
    <w:rsid w:val="00DC5034"/>
    <w:rsid w:val="00DC5210"/>
    <w:rsid w:val="00DC5420"/>
    <w:rsid w:val="00DC5583"/>
    <w:rsid w:val="00DC56D5"/>
    <w:rsid w:val="00DC5799"/>
    <w:rsid w:val="00DC5A15"/>
    <w:rsid w:val="00DC5F40"/>
    <w:rsid w:val="00DC611E"/>
    <w:rsid w:val="00DC612C"/>
    <w:rsid w:val="00DC614C"/>
    <w:rsid w:val="00DC69C9"/>
    <w:rsid w:val="00DC6A7A"/>
    <w:rsid w:val="00DC6BE2"/>
    <w:rsid w:val="00DC7037"/>
    <w:rsid w:val="00DC727B"/>
    <w:rsid w:val="00DC72F2"/>
    <w:rsid w:val="00DC7359"/>
    <w:rsid w:val="00DC73D8"/>
    <w:rsid w:val="00DC7672"/>
    <w:rsid w:val="00DC7E8B"/>
    <w:rsid w:val="00DD013E"/>
    <w:rsid w:val="00DD04D7"/>
    <w:rsid w:val="00DD054D"/>
    <w:rsid w:val="00DD05EC"/>
    <w:rsid w:val="00DD0A0F"/>
    <w:rsid w:val="00DD105D"/>
    <w:rsid w:val="00DD1122"/>
    <w:rsid w:val="00DD149E"/>
    <w:rsid w:val="00DD1DE8"/>
    <w:rsid w:val="00DD1EEE"/>
    <w:rsid w:val="00DD2014"/>
    <w:rsid w:val="00DD23F6"/>
    <w:rsid w:val="00DD2467"/>
    <w:rsid w:val="00DD24B4"/>
    <w:rsid w:val="00DD2700"/>
    <w:rsid w:val="00DD272F"/>
    <w:rsid w:val="00DD2887"/>
    <w:rsid w:val="00DD2983"/>
    <w:rsid w:val="00DD2C38"/>
    <w:rsid w:val="00DD2CB9"/>
    <w:rsid w:val="00DD2E3D"/>
    <w:rsid w:val="00DD30AC"/>
    <w:rsid w:val="00DD3426"/>
    <w:rsid w:val="00DD39DC"/>
    <w:rsid w:val="00DD39FE"/>
    <w:rsid w:val="00DD3A8A"/>
    <w:rsid w:val="00DD4037"/>
    <w:rsid w:val="00DD448E"/>
    <w:rsid w:val="00DD45A9"/>
    <w:rsid w:val="00DD4669"/>
    <w:rsid w:val="00DD4822"/>
    <w:rsid w:val="00DD4874"/>
    <w:rsid w:val="00DD4879"/>
    <w:rsid w:val="00DD49E6"/>
    <w:rsid w:val="00DD4C54"/>
    <w:rsid w:val="00DD4F46"/>
    <w:rsid w:val="00DD51E8"/>
    <w:rsid w:val="00DD538B"/>
    <w:rsid w:val="00DD560E"/>
    <w:rsid w:val="00DD57C1"/>
    <w:rsid w:val="00DD581D"/>
    <w:rsid w:val="00DD5C15"/>
    <w:rsid w:val="00DD5D71"/>
    <w:rsid w:val="00DD5F83"/>
    <w:rsid w:val="00DD644A"/>
    <w:rsid w:val="00DD648B"/>
    <w:rsid w:val="00DD66C2"/>
    <w:rsid w:val="00DD66D5"/>
    <w:rsid w:val="00DD6A3C"/>
    <w:rsid w:val="00DD72AB"/>
    <w:rsid w:val="00DD765A"/>
    <w:rsid w:val="00DD77C3"/>
    <w:rsid w:val="00DD78D7"/>
    <w:rsid w:val="00DD7B7D"/>
    <w:rsid w:val="00DD7B89"/>
    <w:rsid w:val="00DE0074"/>
    <w:rsid w:val="00DE0298"/>
    <w:rsid w:val="00DE03ED"/>
    <w:rsid w:val="00DE05E2"/>
    <w:rsid w:val="00DE0621"/>
    <w:rsid w:val="00DE0AC1"/>
    <w:rsid w:val="00DE0D6D"/>
    <w:rsid w:val="00DE0E59"/>
    <w:rsid w:val="00DE0E95"/>
    <w:rsid w:val="00DE145D"/>
    <w:rsid w:val="00DE1489"/>
    <w:rsid w:val="00DE14F3"/>
    <w:rsid w:val="00DE1AFE"/>
    <w:rsid w:val="00DE1C2F"/>
    <w:rsid w:val="00DE1CF3"/>
    <w:rsid w:val="00DE1F90"/>
    <w:rsid w:val="00DE20BA"/>
    <w:rsid w:val="00DE20EE"/>
    <w:rsid w:val="00DE21E0"/>
    <w:rsid w:val="00DE25CB"/>
    <w:rsid w:val="00DE274E"/>
    <w:rsid w:val="00DE27A3"/>
    <w:rsid w:val="00DE280D"/>
    <w:rsid w:val="00DE2B23"/>
    <w:rsid w:val="00DE2BAA"/>
    <w:rsid w:val="00DE307A"/>
    <w:rsid w:val="00DE317C"/>
    <w:rsid w:val="00DE35DF"/>
    <w:rsid w:val="00DE384B"/>
    <w:rsid w:val="00DE3B9A"/>
    <w:rsid w:val="00DE3C62"/>
    <w:rsid w:val="00DE3D25"/>
    <w:rsid w:val="00DE4067"/>
    <w:rsid w:val="00DE43D4"/>
    <w:rsid w:val="00DE4422"/>
    <w:rsid w:val="00DE48BB"/>
    <w:rsid w:val="00DE4A19"/>
    <w:rsid w:val="00DE4CAE"/>
    <w:rsid w:val="00DE4DD5"/>
    <w:rsid w:val="00DE4E58"/>
    <w:rsid w:val="00DE53B2"/>
    <w:rsid w:val="00DE5A14"/>
    <w:rsid w:val="00DE5B4D"/>
    <w:rsid w:val="00DE5C73"/>
    <w:rsid w:val="00DE624D"/>
    <w:rsid w:val="00DE6394"/>
    <w:rsid w:val="00DE63BC"/>
    <w:rsid w:val="00DE6D81"/>
    <w:rsid w:val="00DE6D95"/>
    <w:rsid w:val="00DE700F"/>
    <w:rsid w:val="00DE70FB"/>
    <w:rsid w:val="00DE7450"/>
    <w:rsid w:val="00DE7525"/>
    <w:rsid w:val="00DE7975"/>
    <w:rsid w:val="00DE7C21"/>
    <w:rsid w:val="00DF0198"/>
    <w:rsid w:val="00DF0297"/>
    <w:rsid w:val="00DF05A2"/>
    <w:rsid w:val="00DF0702"/>
    <w:rsid w:val="00DF09A6"/>
    <w:rsid w:val="00DF0A9A"/>
    <w:rsid w:val="00DF0EC3"/>
    <w:rsid w:val="00DF112E"/>
    <w:rsid w:val="00DF12D2"/>
    <w:rsid w:val="00DF16A3"/>
    <w:rsid w:val="00DF17E4"/>
    <w:rsid w:val="00DF1990"/>
    <w:rsid w:val="00DF1A84"/>
    <w:rsid w:val="00DF1AF9"/>
    <w:rsid w:val="00DF1B6E"/>
    <w:rsid w:val="00DF1BB8"/>
    <w:rsid w:val="00DF1E0C"/>
    <w:rsid w:val="00DF1F1D"/>
    <w:rsid w:val="00DF2223"/>
    <w:rsid w:val="00DF2451"/>
    <w:rsid w:val="00DF24E6"/>
    <w:rsid w:val="00DF287B"/>
    <w:rsid w:val="00DF2967"/>
    <w:rsid w:val="00DF2B8C"/>
    <w:rsid w:val="00DF2C0A"/>
    <w:rsid w:val="00DF2C92"/>
    <w:rsid w:val="00DF2FAA"/>
    <w:rsid w:val="00DF30D1"/>
    <w:rsid w:val="00DF312F"/>
    <w:rsid w:val="00DF3508"/>
    <w:rsid w:val="00DF35CA"/>
    <w:rsid w:val="00DF38C9"/>
    <w:rsid w:val="00DF3AF9"/>
    <w:rsid w:val="00DF3CF6"/>
    <w:rsid w:val="00DF3D2F"/>
    <w:rsid w:val="00DF44E5"/>
    <w:rsid w:val="00DF46D6"/>
    <w:rsid w:val="00DF4716"/>
    <w:rsid w:val="00DF4744"/>
    <w:rsid w:val="00DF4964"/>
    <w:rsid w:val="00DF49E2"/>
    <w:rsid w:val="00DF4A80"/>
    <w:rsid w:val="00DF4ADA"/>
    <w:rsid w:val="00DF4B1E"/>
    <w:rsid w:val="00DF4C80"/>
    <w:rsid w:val="00DF4CB2"/>
    <w:rsid w:val="00DF4F20"/>
    <w:rsid w:val="00DF51FC"/>
    <w:rsid w:val="00DF59FF"/>
    <w:rsid w:val="00DF5B25"/>
    <w:rsid w:val="00DF5D55"/>
    <w:rsid w:val="00DF5E9C"/>
    <w:rsid w:val="00DF5FBC"/>
    <w:rsid w:val="00DF6078"/>
    <w:rsid w:val="00DF610D"/>
    <w:rsid w:val="00DF64B3"/>
    <w:rsid w:val="00DF6608"/>
    <w:rsid w:val="00DF6A6F"/>
    <w:rsid w:val="00DF6C26"/>
    <w:rsid w:val="00DF6E7A"/>
    <w:rsid w:val="00DF7572"/>
    <w:rsid w:val="00DF7608"/>
    <w:rsid w:val="00DF7616"/>
    <w:rsid w:val="00DF77A5"/>
    <w:rsid w:val="00DF79EC"/>
    <w:rsid w:val="00DF7B47"/>
    <w:rsid w:val="00DF7C27"/>
    <w:rsid w:val="00DF7C33"/>
    <w:rsid w:val="00DF7DAF"/>
    <w:rsid w:val="00E00125"/>
    <w:rsid w:val="00E00210"/>
    <w:rsid w:val="00E0096C"/>
    <w:rsid w:val="00E00D56"/>
    <w:rsid w:val="00E01058"/>
    <w:rsid w:val="00E01139"/>
    <w:rsid w:val="00E01184"/>
    <w:rsid w:val="00E014A0"/>
    <w:rsid w:val="00E014F9"/>
    <w:rsid w:val="00E01619"/>
    <w:rsid w:val="00E01637"/>
    <w:rsid w:val="00E01659"/>
    <w:rsid w:val="00E0189E"/>
    <w:rsid w:val="00E01C92"/>
    <w:rsid w:val="00E01D19"/>
    <w:rsid w:val="00E01D72"/>
    <w:rsid w:val="00E01DAA"/>
    <w:rsid w:val="00E01F66"/>
    <w:rsid w:val="00E020A1"/>
    <w:rsid w:val="00E022CD"/>
    <w:rsid w:val="00E02429"/>
    <w:rsid w:val="00E02458"/>
    <w:rsid w:val="00E028D0"/>
    <w:rsid w:val="00E02BE6"/>
    <w:rsid w:val="00E02D03"/>
    <w:rsid w:val="00E02DE3"/>
    <w:rsid w:val="00E02FF0"/>
    <w:rsid w:val="00E0320F"/>
    <w:rsid w:val="00E03492"/>
    <w:rsid w:val="00E03546"/>
    <w:rsid w:val="00E035F5"/>
    <w:rsid w:val="00E03838"/>
    <w:rsid w:val="00E03A30"/>
    <w:rsid w:val="00E03C05"/>
    <w:rsid w:val="00E03D62"/>
    <w:rsid w:val="00E0407E"/>
    <w:rsid w:val="00E0424F"/>
    <w:rsid w:val="00E042B8"/>
    <w:rsid w:val="00E0473A"/>
    <w:rsid w:val="00E047BD"/>
    <w:rsid w:val="00E04A99"/>
    <w:rsid w:val="00E04B13"/>
    <w:rsid w:val="00E05434"/>
    <w:rsid w:val="00E055A8"/>
    <w:rsid w:val="00E055BB"/>
    <w:rsid w:val="00E05727"/>
    <w:rsid w:val="00E057A9"/>
    <w:rsid w:val="00E057BE"/>
    <w:rsid w:val="00E05843"/>
    <w:rsid w:val="00E05B64"/>
    <w:rsid w:val="00E05C7E"/>
    <w:rsid w:val="00E05E76"/>
    <w:rsid w:val="00E05E91"/>
    <w:rsid w:val="00E05F3C"/>
    <w:rsid w:val="00E06084"/>
    <w:rsid w:val="00E0610E"/>
    <w:rsid w:val="00E06126"/>
    <w:rsid w:val="00E0630B"/>
    <w:rsid w:val="00E067B4"/>
    <w:rsid w:val="00E067D9"/>
    <w:rsid w:val="00E06C7E"/>
    <w:rsid w:val="00E06DE7"/>
    <w:rsid w:val="00E06EE6"/>
    <w:rsid w:val="00E06FEB"/>
    <w:rsid w:val="00E0712D"/>
    <w:rsid w:val="00E0723A"/>
    <w:rsid w:val="00E07564"/>
    <w:rsid w:val="00E0767B"/>
    <w:rsid w:val="00E07A04"/>
    <w:rsid w:val="00E07B77"/>
    <w:rsid w:val="00E07C60"/>
    <w:rsid w:val="00E1009D"/>
    <w:rsid w:val="00E10231"/>
    <w:rsid w:val="00E10418"/>
    <w:rsid w:val="00E106C1"/>
    <w:rsid w:val="00E107BF"/>
    <w:rsid w:val="00E10961"/>
    <w:rsid w:val="00E10A90"/>
    <w:rsid w:val="00E10E47"/>
    <w:rsid w:val="00E10F65"/>
    <w:rsid w:val="00E11535"/>
    <w:rsid w:val="00E1180E"/>
    <w:rsid w:val="00E11B5E"/>
    <w:rsid w:val="00E11BA5"/>
    <w:rsid w:val="00E11C94"/>
    <w:rsid w:val="00E11E5D"/>
    <w:rsid w:val="00E11EB2"/>
    <w:rsid w:val="00E12080"/>
    <w:rsid w:val="00E120A8"/>
    <w:rsid w:val="00E1218C"/>
    <w:rsid w:val="00E12C6E"/>
    <w:rsid w:val="00E12F1D"/>
    <w:rsid w:val="00E1338F"/>
    <w:rsid w:val="00E13414"/>
    <w:rsid w:val="00E1350A"/>
    <w:rsid w:val="00E136FC"/>
    <w:rsid w:val="00E13AC2"/>
    <w:rsid w:val="00E13DD5"/>
    <w:rsid w:val="00E13EFC"/>
    <w:rsid w:val="00E13F39"/>
    <w:rsid w:val="00E1405B"/>
    <w:rsid w:val="00E14332"/>
    <w:rsid w:val="00E14382"/>
    <w:rsid w:val="00E144C3"/>
    <w:rsid w:val="00E145E9"/>
    <w:rsid w:val="00E14741"/>
    <w:rsid w:val="00E147B4"/>
    <w:rsid w:val="00E1483E"/>
    <w:rsid w:val="00E14B75"/>
    <w:rsid w:val="00E14CA3"/>
    <w:rsid w:val="00E14E03"/>
    <w:rsid w:val="00E150A5"/>
    <w:rsid w:val="00E1564D"/>
    <w:rsid w:val="00E15891"/>
    <w:rsid w:val="00E15917"/>
    <w:rsid w:val="00E15D32"/>
    <w:rsid w:val="00E162D4"/>
    <w:rsid w:val="00E1638E"/>
    <w:rsid w:val="00E167FF"/>
    <w:rsid w:val="00E168FA"/>
    <w:rsid w:val="00E16A22"/>
    <w:rsid w:val="00E16C53"/>
    <w:rsid w:val="00E16DE7"/>
    <w:rsid w:val="00E16E47"/>
    <w:rsid w:val="00E16FAB"/>
    <w:rsid w:val="00E17225"/>
    <w:rsid w:val="00E172FA"/>
    <w:rsid w:val="00E1736C"/>
    <w:rsid w:val="00E17482"/>
    <w:rsid w:val="00E17507"/>
    <w:rsid w:val="00E1775E"/>
    <w:rsid w:val="00E17B64"/>
    <w:rsid w:val="00E17B82"/>
    <w:rsid w:val="00E17F50"/>
    <w:rsid w:val="00E20022"/>
    <w:rsid w:val="00E20201"/>
    <w:rsid w:val="00E203EA"/>
    <w:rsid w:val="00E20467"/>
    <w:rsid w:val="00E2077B"/>
    <w:rsid w:val="00E207E3"/>
    <w:rsid w:val="00E209E8"/>
    <w:rsid w:val="00E20D00"/>
    <w:rsid w:val="00E20EA4"/>
    <w:rsid w:val="00E21145"/>
    <w:rsid w:val="00E21894"/>
    <w:rsid w:val="00E21D13"/>
    <w:rsid w:val="00E22093"/>
    <w:rsid w:val="00E22110"/>
    <w:rsid w:val="00E225DF"/>
    <w:rsid w:val="00E228C6"/>
    <w:rsid w:val="00E22A12"/>
    <w:rsid w:val="00E22D9F"/>
    <w:rsid w:val="00E22E14"/>
    <w:rsid w:val="00E22E7A"/>
    <w:rsid w:val="00E22E7D"/>
    <w:rsid w:val="00E23069"/>
    <w:rsid w:val="00E23125"/>
    <w:rsid w:val="00E231EC"/>
    <w:rsid w:val="00E234C8"/>
    <w:rsid w:val="00E236D8"/>
    <w:rsid w:val="00E2372D"/>
    <w:rsid w:val="00E23B81"/>
    <w:rsid w:val="00E23C6A"/>
    <w:rsid w:val="00E23F39"/>
    <w:rsid w:val="00E24123"/>
    <w:rsid w:val="00E24219"/>
    <w:rsid w:val="00E242D5"/>
    <w:rsid w:val="00E24453"/>
    <w:rsid w:val="00E24684"/>
    <w:rsid w:val="00E2471E"/>
    <w:rsid w:val="00E24803"/>
    <w:rsid w:val="00E248D0"/>
    <w:rsid w:val="00E249EB"/>
    <w:rsid w:val="00E24D50"/>
    <w:rsid w:val="00E2509E"/>
    <w:rsid w:val="00E25110"/>
    <w:rsid w:val="00E25152"/>
    <w:rsid w:val="00E2517E"/>
    <w:rsid w:val="00E254AC"/>
    <w:rsid w:val="00E25537"/>
    <w:rsid w:val="00E25661"/>
    <w:rsid w:val="00E25710"/>
    <w:rsid w:val="00E25FF4"/>
    <w:rsid w:val="00E2601B"/>
    <w:rsid w:val="00E263D8"/>
    <w:rsid w:val="00E26527"/>
    <w:rsid w:val="00E26AAE"/>
    <w:rsid w:val="00E27224"/>
    <w:rsid w:val="00E272F1"/>
    <w:rsid w:val="00E27327"/>
    <w:rsid w:val="00E27404"/>
    <w:rsid w:val="00E2773D"/>
    <w:rsid w:val="00E279CD"/>
    <w:rsid w:val="00E27B23"/>
    <w:rsid w:val="00E27E8C"/>
    <w:rsid w:val="00E27FF8"/>
    <w:rsid w:val="00E30572"/>
    <w:rsid w:val="00E306D8"/>
    <w:rsid w:val="00E307DE"/>
    <w:rsid w:val="00E30B0A"/>
    <w:rsid w:val="00E30D98"/>
    <w:rsid w:val="00E310C5"/>
    <w:rsid w:val="00E310F9"/>
    <w:rsid w:val="00E3137C"/>
    <w:rsid w:val="00E313AC"/>
    <w:rsid w:val="00E3145F"/>
    <w:rsid w:val="00E31477"/>
    <w:rsid w:val="00E315B3"/>
    <w:rsid w:val="00E31669"/>
    <w:rsid w:val="00E3166B"/>
    <w:rsid w:val="00E318BF"/>
    <w:rsid w:val="00E31C4B"/>
    <w:rsid w:val="00E31D09"/>
    <w:rsid w:val="00E32070"/>
    <w:rsid w:val="00E32077"/>
    <w:rsid w:val="00E32265"/>
    <w:rsid w:val="00E3249A"/>
    <w:rsid w:val="00E325CF"/>
    <w:rsid w:val="00E330E7"/>
    <w:rsid w:val="00E3321D"/>
    <w:rsid w:val="00E335F1"/>
    <w:rsid w:val="00E33962"/>
    <w:rsid w:val="00E33CD6"/>
    <w:rsid w:val="00E33D58"/>
    <w:rsid w:val="00E34189"/>
    <w:rsid w:val="00E341AD"/>
    <w:rsid w:val="00E34480"/>
    <w:rsid w:val="00E3488A"/>
    <w:rsid w:val="00E3488E"/>
    <w:rsid w:val="00E34B05"/>
    <w:rsid w:val="00E34D01"/>
    <w:rsid w:val="00E3512D"/>
    <w:rsid w:val="00E3553A"/>
    <w:rsid w:val="00E3578D"/>
    <w:rsid w:val="00E35C94"/>
    <w:rsid w:val="00E35F75"/>
    <w:rsid w:val="00E35FBE"/>
    <w:rsid w:val="00E36029"/>
    <w:rsid w:val="00E36165"/>
    <w:rsid w:val="00E3638F"/>
    <w:rsid w:val="00E3641D"/>
    <w:rsid w:val="00E36837"/>
    <w:rsid w:val="00E3698A"/>
    <w:rsid w:val="00E36BA5"/>
    <w:rsid w:val="00E36C18"/>
    <w:rsid w:val="00E37445"/>
    <w:rsid w:val="00E37472"/>
    <w:rsid w:val="00E37640"/>
    <w:rsid w:val="00E376BD"/>
    <w:rsid w:val="00E376CF"/>
    <w:rsid w:val="00E37FD9"/>
    <w:rsid w:val="00E40351"/>
    <w:rsid w:val="00E40509"/>
    <w:rsid w:val="00E4093B"/>
    <w:rsid w:val="00E40B69"/>
    <w:rsid w:val="00E40CE0"/>
    <w:rsid w:val="00E40CF2"/>
    <w:rsid w:val="00E40E1D"/>
    <w:rsid w:val="00E40EC0"/>
    <w:rsid w:val="00E41010"/>
    <w:rsid w:val="00E41305"/>
    <w:rsid w:val="00E413A8"/>
    <w:rsid w:val="00E414A3"/>
    <w:rsid w:val="00E41522"/>
    <w:rsid w:val="00E4154B"/>
    <w:rsid w:val="00E4162C"/>
    <w:rsid w:val="00E4163C"/>
    <w:rsid w:val="00E41740"/>
    <w:rsid w:val="00E41ADF"/>
    <w:rsid w:val="00E41B06"/>
    <w:rsid w:val="00E41DFD"/>
    <w:rsid w:val="00E4208B"/>
    <w:rsid w:val="00E42239"/>
    <w:rsid w:val="00E42889"/>
    <w:rsid w:val="00E42B24"/>
    <w:rsid w:val="00E42E50"/>
    <w:rsid w:val="00E42E9E"/>
    <w:rsid w:val="00E42F68"/>
    <w:rsid w:val="00E42FAD"/>
    <w:rsid w:val="00E43002"/>
    <w:rsid w:val="00E432A6"/>
    <w:rsid w:val="00E432FB"/>
    <w:rsid w:val="00E43476"/>
    <w:rsid w:val="00E4367A"/>
    <w:rsid w:val="00E439B7"/>
    <w:rsid w:val="00E43ABC"/>
    <w:rsid w:val="00E43AE6"/>
    <w:rsid w:val="00E43B59"/>
    <w:rsid w:val="00E43CFE"/>
    <w:rsid w:val="00E43DEE"/>
    <w:rsid w:val="00E43DFE"/>
    <w:rsid w:val="00E43E24"/>
    <w:rsid w:val="00E43F2E"/>
    <w:rsid w:val="00E44180"/>
    <w:rsid w:val="00E445E6"/>
    <w:rsid w:val="00E446D2"/>
    <w:rsid w:val="00E44991"/>
    <w:rsid w:val="00E44B9E"/>
    <w:rsid w:val="00E44CC6"/>
    <w:rsid w:val="00E44E75"/>
    <w:rsid w:val="00E44E7E"/>
    <w:rsid w:val="00E452E9"/>
    <w:rsid w:val="00E45360"/>
    <w:rsid w:val="00E4562B"/>
    <w:rsid w:val="00E456A9"/>
    <w:rsid w:val="00E45827"/>
    <w:rsid w:val="00E45D20"/>
    <w:rsid w:val="00E45DF6"/>
    <w:rsid w:val="00E45EF5"/>
    <w:rsid w:val="00E462A7"/>
    <w:rsid w:val="00E46477"/>
    <w:rsid w:val="00E46545"/>
    <w:rsid w:val="00E46C3E"/>
    <w:rsid w:val="00E46EF4"/>
    <w:rsid w:val="00E47151"/>
    <w:rsid w:val="00E47515"/>
    <w:rsid w:val="00E475F8"/>
    <w:rsid w:val="00E47727"/>
    <w:rsid w:val="00E478CA"/>
    <w:rsid w:val="00E478FA"/>
    <w:rsid w:val="00E47B8D"/>
    <w:rsid w:val="00E47D30"/>
    <w:rsid w:val="00E47D6D"/>
    <w:rsid w:val="00E47D7C"/>
    <w:rsid w:val="00E503E1"/>
    <w:rsid w:val="00E504E0"/>
    <w:rsid w:val="00E505D9"/>
    <w:rsid w:val="00E507FA"/>
    <w:rsid w:val="00E50AE9"/>
    <w:rsid w:val="00E50B83"/>
    <w:rsid w:val="00E50B99"/>
    <w:rsid w:val="00E51686"/>
    <w:rsid w:val="00E517FB"/>
    <w:rsid w:val="00E51875"/>
    <w:rsid w:val="00E519D1"/>
    <w:rsid w:val="00E52266"/>
    <w:rsid w:val="00E52501"/>
    <w:rsid w:val="00E5250A"/>
    <w:rsid w:val="00E5281C"/>
    <w:rsid w:val="00E528FB"/>
    <w:rsid w:val="00E530AB"/>
    <w:rsid w:val="00E53206"/>
    <w:rsid w:val="00E538D4"/>
    <w:rsid w:val="00E539C5"/>
    <w:rsid w:val="00E539F8"/>
    <w:rsid w:val="00E5411B"/>
    <w:rsid w:val="00E5421A"/>
    <w:rsid w:val="00E54291"/>
    <w:rsid w:val="00E54628"/>
    <w:rsid w:val="00E546AF"/>
    <w:rsid w:val="00E5477B"/>
    <w:rsid w:val="00E54940"/>
    <w:rsid w:val="00E54AD6"/>
    <w:rsid w:val="00E54F81"/>
    <w:rsid w:val="00E55035"/>
    <w:rsid w:val="00E550EE"/>
    <w:rsid w:val="00E55120"/>
    <w:rsid w:val="00E556EB"/>
    <w:rsid w:val="00E557E7"/>
    <w:rsid w:val="00E5590E"/>
    <w:rsid w:val="00E5595A"/>
    <w:rsid w:val="00E55F0F"/>
    <w:rsid w:val="00E55FAC"/>
    <w:rsid w:val="00E5621E"/>
    <w:rsid w:val="00E56305"/>
    <w:rsid w:val="00E5659E"/>
    <w:rsid w:val="00E569EA"/>
    <w:rsid w:val="00E56A35"/>
    <w:rsid w:val="00E57167"/>
    <w:rsid w:val="00E5720E"/>
    <w:rsid w:val="00E57251"/>
    <w:rsid w:val="00E572C4"/>
    <w:rsid w:val="00E57486"/>
    <w:rsid w:val="00E579BD"/>
    <w:rsid w:val="00E57A3D"/>
    <w:rsid w:val="00E57D92"/>
    <w:rsid w:val="00E57E5C"/>
    <w:rsid w:val="00E57E9E"/>
    <w:rsid w:val="00E60244"/>
    <w:rsid w:val="00E604DB"/>
    <w:rsid w:val="00E60563"/>
    <w:rsid w:val="00E6068A"/>
    <w:rsid w:val="00E606C8"/>
    <w:rsid w:val="00E606F6"/>
    <w:rsid w:val="00E60C74"/>
    <w:rsid w:val="00E60CA4"/>
    <w:rsid w:val="00E60EBD"/>
    <w:rsid w:val="00E61036"/>
    <w:rsid w:val="00E615F3"/>
    <w:rsid w:val="00E616FF"/>
    <w:rsid w:val="00E61B2D"/>
    <w:rsid w:val="00E61D10"/>
    <w:rsid w:val="00E61D6E"/>
    <w:rsid w:val="00E61F48"/>
    <w:rsid w:val="00E62050"/>
    <w:rsid w:val="00E62100"/>
    <w:rsid w:val="00E621DA"/>
    <w:rsid w:val="00E621F0"/>
    <w:rsid w:val="00E6317D"/>
    <w:rsid w:val="00E63535"/>
    <w:rsid w:val="00E63553"/>
    <w:rsid w:val="00E63591"/>
    <w:rsid w:val="00E6369A"/>
    <w:rsid w:val="00E6386F"/>
    <w:rsid w:val="00E63B84"/>
    <w:rsid w:val="00E63DCF"/>
    <w:rsid w:val="00E63F52"/>
    <w:rsid w:val="00E64296"/>
    <w:rsid w:val="00E644CD"/>
    <w:rsid w:val="00E646CC"/>
    <w:rsid w:val="00E646F9"/>
    <w:rsid w:val="00E6472D"/>
    <w:rsid w:val="00E64734"/>
    <w:rsid w:val="00E64A65"/>
    <w:rsid w:val="00E64C42"/>
    <w:rsid w:val="00E64DFB"/>
    <w:rsid w:val="00E6515F"/>
    <w:rsid w:val="00E651E8"/>
    <w:rsid w:val="00E653DE"/>
    <w:rsid w:val="00E65607"/>
    <w:rsid w:val="00E656F6"/>
    <w:rsid w:val="00E6588A"/>
    <w:rsid w:val="00E65B8F"/>
    <w:rsid w:val="00E66056"/>
    <w:rsid w:val="00E660BE"/>
    <w:rsid w:val="00E66570"/>
    <w:rsid w:val="00E665D8"/>
    <w:rsid w:val="00E66E68"/>
    <w:rsid w:val="00E66E81"/>
    <w:rsid w:val="00E66F64"/>
    <w:rsid w:val="00E67506"/>
    <w:rsid w:val="00E67527"/>
    <w:rsid w:val="00E67AE3"/>
    <w:rsid w:val="00E67BE2"/>
    <w:rsid w:val="00E67CCC"/>
    <w:rsid w:val="00E67CE7"/>
    <w:rsid w:val="00E67D69"/>
    <w:rsid w:val="00E70128"/>
    <w:rsid w:val="00E702F1"/>
    <w:rsid w:val="00E70593"/>
    <w:rsid w:val="00E706B5"/>
    <w:rsid w:val="00E706DE"/>
    <w:rsid w:val="00E70763"/>
    <w:rsid w:val="00E708D1"/>
    <w:rsid w:val="00E70AA6"/>
    <w:rsid w:val="00E710E8"/>
    <w:rsid w:val="00E714C4"/>
    <w:rsid w:val="00E7157E"/>
    <w:rsid w:val="00E71661"/>
    <w:rsid w:val="00E71EA5"/>
    <w:rsid w:val="00E72146"/>
    <w:rsid w:val="00E7216F"/>
    <w:rsid w:val="00E721AB"/>
    <w:rsid w:val="00E722CC"/>
    <w:rsid w:val="00E725CF"/>
    <w:rsid w:val="00E728E1"/>
    <w:rsid w:val="00E728FD"/>
    <w:rsid w:val="00E72B4F"/>
    <w:rsid w:val="00E72B85"/>
    <w:rsid w:val="00E72BB2"/>
    <w:rsid w:val="00E72F0B"/>
    <w:rsid w:val="00E734F5"/>
    <w:rsid w:val="00E73743"/>
    <w:rsid w:val="00E739BB"/>
    <w:rsid w:val="00E73BBF"/>
    <w:rsid w:val="00E73C7F"/>
    <w:rsid w:val="00E73E91"/>
    <w:rsid w:val="00E73EFF"/>
    <w:rsid w:val="00E7406B"/>
    <w:rsid w:val="00E74342"/>
    <w:rsid w:val="00E7445C"/>
    <w:rsid w:val="00E7445D"/>
    <w:rsid w:val="00E74484"/>
    <w:rsid w:val="00E74570"/>
    <w:rsid w:val="00E745CA"/>
    <w:rsid w:val="00E74633"/>
    <w:rsid w:val="00E74670"/>
    <w:rsid w:val="00E74954"/>
    <w:rsid w:val="00E74957"/>
    <w:rsid w:val="00E74A17"/>
    <w:rsid w:val="00E74F92"/>
    <w:rsid w:val="00E75033"/>
    <w:rsid w:val="00E7517E"/>
    <w:rsid w:val="00E751A8"/>
    <w:rsid w:val="00E7526A"/>
    <w:rsid w:val="00E755C3"/>
    <w:rsid w:val="00E75B98"/>
    <w:rsid w:val="00E75F5E"/>
    <w:rsid w:val="00E7609D"/>
    <w:rsid w:val="00E76306"/>
    <w:rsid w:val="00E76726"/>
    <w:rsid w:val="00E76785"/>
    <w:rsid w:val="00E767B0"/>
    <w:rsid w:val="00E76D31"/>
    <w:rsid w:val="00E7710C"/>
    <w:rsid w:val="00E773D0"/>
    <w:rsid w:val="00E7741A"/>
    <w:rsid w:val="00E7749F"/>
    <w:rsid w:val="00E7757F"/>
    <w:rsid w:val="00E777E8"/>
    <w:rsid w:val="00E778B5"/>
    <w:rsid w:val="00E77C12"/>
    <w:rsid w:val="00E77E20"/>
    <w:rsid w:val="00E77EF6"/>
    <w:rsid w:val="00E8008E"/>
    <w:rsid w:val="00E80362"/>
    <w:rsid w:val="00E809AA"/>
    <w:rsid w:val="00E80A0F"/>
    <w:rsid w:val="00E80B4A"/>
    <w:rsid w:val="00E80B70"/>
    <w:rsid w:val="00E80E1E"/>
    <w:rsid w:val="00E80E57"/>
    <w:rsid w:val="00E80F8A"/>
    <w:rsid w:val="00E80FCD"/>
    <w:rsid w:val="00E81206"/>
    <w:rsid w:val="00E81237"/>
    <w:rsid w:val="00E814E9"/>
    <w:rsid w:val="00E815A4"/>
    <w:rsid w:val="00E815CB"/>
    <w:rsid w:val="00E81AB5"/>
    <w:rsid w:val="00E81C8D"/>
    <w:rsid w:val="00E82447"/>
    <w:rsid w:val="00E825C2"/>
    <w:rsid w:val="00E828C2"/>
    <w:rsid w:val="00E829C8"/>
    <w:rsid w:val="00E82AB3"/>
    <w:rsid w:val="00E82C6F"/>
    <w:rsid w:val="00E82F72"/>
    <w:rsid w:val="00E835CF"/>
    <w:rsid w:val="00E83757"/>
    <w:rsid w:val="00E839B2"/>
    <w:rsid w:val="00E839D4"/>
    <w:rsid w:val="00E83B52"/>
    <w:rsid w:val="00E83DFC"/>
    <w:rsid w:val="00E83E58"/>
    <w:rsid w:val="00E83E69"/>
    <w:rsid w:val="00E83EB6"/>
    <w:rsid w:val="00E84064"/>
    <w:rsid w:val="00E840E7"/>
    <w:rsid w:val="00E84213"/>
    <w:rsid w:val="00E842D0"/>
    <w:rsid w:val="00E846CD"/>
    <w:rsid w:val="00E8475E"/>
    <w:rsid w:val="00E847FD"/>
    <w:rsid w:val="00E848DD"/>
    <w:rsid w:val="00E84A33"/>
    <w:rsid w:val="00E84BFA"/>
    <w:rsid w:val="00E84CE4"/>
    <w:rsid w:val="00E84EE1"/>
    <w:rsid w:val="00E850B5"/>
    <w:rsid w:val="00E85270"/>
    <w:rsid w:val="00E852CA"/>
    <w:rsid w:val="00E853F7"/>
    <w:rsid w:val="00E854F3"/>
    <w:rsid w:val="00E8563D"/>
    <w:rsid w:val="00E85BA4"/>
    <w:rsid w:val="00E85D14"/>
    <w:rsid w:val="00E8604C"/>
    <w:rsid w:val="00E86255"/>
    <w:rsid w:val="00E867AE"/>
    <w:rsid w:val="00E86AF2"/>
    <w:rsid w:val="00E86B05"/>
    <w:rsid w:val="00E86C98"/>
    <w:rsid w:val="00E86DB3"/>
    <w:rsid w:val="00E86EB5"/>
    <w:rsid w:val="00E86F1C"/>
    <w:rsid w:val="00E86FC2"/>
    <w:rsid w:val="00E872DC"/>
    <w:rsid w:val="00E8736D"/>
    <w:rsid w:val="00E8760F"/>
    <w:rsid w:val="00E878C2"/>
    <w:rsid w:val="00E87BB2"/>
    <w:rsid w:val="00E87BDE"/>
    <w:rsid w:val="00E87C6C"/>
    <w:rsid w:val="00E87C72"/>
    <w:rsid w:val="00E87FA1"/>
    <w:rsid w:val="00E87FB0"/>
    <w:rsid w:val="00E90672"/>
    <w:rsid w:val="00E90AC5"/>
    <w:rsid w:val="00E90D06"/>
    <w:rsid w:val="00E90E72"/>
    <w:rsid w:val="00E90F01"/>
    <w:rsid w:val="00E90F3C"/>
    <w:rsid w:val="00E912C7"/>
    <w:rsid w:val="00E9135D"/>
    <w:rsid w:val="00E91AD6"/>
    <w:rsid w:val="00E91C78"/>
    <w:rsid w:val="00E91F84"/>
    <w:rsid w:val="00E921AB"/>
    <w:rsid w:val="00E924B4"/>
    <w:rsid w:val="00E92678"/>
    <w:rsid w:val="00E92797"/>
    <w:rsid w:val="00E9311E"/>
    <w:rsid w:val="00E9319E"/>
    <w:rsid w:val="00E932EE"/>
    <w:rsid w:val="00E933F6"/>
    <w:rsid w:val="00E93429"/>
    <w:rsid w:val="00E93B15"/>
    <w:rsid w:val="00E93E04"/>
    <w:rsid w:val="00E93E93"/>
    <w:rsid w:val="00E940B3"/>
    <w:rsid w:val="00E942DE"/>
    <w:rsid w:val="00E9456A"/>
    <w:rsid w:val="00E94683"/>
    <w:rsid w:val="00E94B48"/>
    <w:rsid w:val="00E94C8F"/>
    <w:rsid w:val="00E94DB2"/>
    <w:rsid w:val="00E9523B"/>
    <w:rsid w:val="00E9541C"/>
    <w:rsid w:val="00E954FA"/>
    <w:rsid w:val="00E95535"/>
    <w:rsid w:val="00E958CF"/>
    <w:rsid w:val="00E95922"/>
    <w:rsid w:val="00E95971"/>
    <w:rsid w:val="00E95F68"/>
    <w:rsid w:val="00E963C6"/>
    <w:rsid w:val="00E96A3A"/>
    <w:rsid w:val="00E96C7D"/>
    <w:rsid w:val="00E96F9D"/>
    <w:rsid w:val="00E972DD"/>
    <w:rsid w:val="00E97971"/>
    <w:rsid w:val="00E97AFB"/>
    <w:rsid w:val="00E97B14"/>
    <w:rsid w:val="00E97DBE"/>
    <w:rsid w:val="00E97EE2"/>
    <w:rsid w:val="00EA0290"/>
    <w:rsid w:val="00EA02E9"/>
    <w:rsid w:val="00EA05D6"/>
    <w:rsid w:val="00EA06A1"/>
    <w:rsid w:val="00EA088C"/>
    <w:rsid w:val="00EA0897"/>
    <w:rsid w:val="00EA0A02"/>
    <w:rsid w:val="00EA0B71"/>
    <w:rsid w:val="00EA0E78"/>
    <w:rsid w:val="00EA12D4"/>
    <w:rsid w:val="00EA13DC"/>
    <w:rsid w:val="00EA15C9"/>
    <w:rsid w:val="00EA1767"/>
    <w:rsid w:val="00EA18B1"/>
    <w:rsid w:val="00EA1AF4"/>
    <w:rsid w:val="00EA1C78"/>
    <w:rsid w:val="00EA1EB6"/>
    <w:rsid w:val="00EA1F61"/>
    <w:rsid w:val="00EA1FD8"/>
    <w:rsid w:val="00EA21B5"/>
    <w:rsid w:val="00EA2586"/>
    <w:rsid w:val="00EA2946"/>
    <w:rsid w:val="00EA2A1C"/>
    <w:rsid w:val="00EA2CAB"/>
    <w:rsid w:val="00EA2D4E"/>
    <w:rsid w:val="00EA2E98"/>
    <w:rsid w:val="00EA3247"/>
    <w:rsid w:val="00EA33E8"/>
    <w:rsid w:val="00EA3788"/>
    <w:rsid w:val="00EA3861"/>
    <w:rsid w:val="00EA3A24"/>
    <w:rsid w:val="00EA3A33"/>
    <w:rsid w:val="00EA3A3F"/>
    <w:rsid w:val="00EA3C15"/>
    <w:rsid w:val="00EA40AD"/>
    <w:rsid w:val="00EA4117"/>
    <w:rsid w:val="00EA4669"/>
    <w:rsid w:val="00EA472C"/>
    <w:rsid w:val="00EA4D13"/>
    <w:rsid w:val="00EA4DD9"/>
    <w:rsid w:val="00EA4E32"/>
    <w:rsid w:val="00EA4FB7"/>
    <w:rsid w:val="00EA523E"/>
    <w:rsid w:val="00EA542F"/>
    <w:rsid w:val="00EA554A"/>
    <w:rsid w:val="00EA557A"/>
    <w:rsid w:val="00EA55C5"/>
    <w:rsid w:val="00EA56FC"/>
    <w:rsid w:val="00EA585A"/>
    <w:rsid w:val="00EA59E0"/>
    <w:rsid w:val="00EA59F4"/>
    <w:rsid w:val="00EA5ABF"/>
    <w:rsid w:val="00EA60D4"/>
    <w:rsid w:val="00EA612A"/>
    <w:rsid w:val="00EA670A"/>
    <w:rsid w:val="00EA678F"/>
    <w:rsid w:val="00EA6CB9"/>
    <w:rsid w:val="00EA73F0"/>
    <w:rsid w:val="00EA773B"/>
    <w:rsid w:val="00EA7755"/>
    <w:rsid w:val="00EA7965"/>
    <w:rsid w:val="00EA7C0C"/>
    <w:rsid w:val="00EA7F8C"/>
    <w:rsid w:val="00EB00AE"/>
    <w:rsid w:val="00EB03BC"/>
    <w:rsid w:val="00EB0445"/>
    <w:rsid w:val="00EB044F"/>
    <w:rsid w:val="00EB07D5"/>
    <w:rsid w:val="00EB0C07"/>
    <w:rsid w:val="00EB0D87"/>
    <w:rsid w:val="00EB0F3A"/>
    <w:rsid w:val="00EB1007"/>
    <w:rsid w:val="00EB1010"/>
    <w:rsid w:val="00EB162A"/>
    <w:rsid w:val="00EB1681"/>
    <w:rsid w:val="00EB190D"/>
    <w:rsid w:val="00EB1A2F"/>
    <w:rsid w:val="00EB1B4A"/>
    <w:rsid w:val="00EB1BB9"/>
    <w:rsid w:val="00EB272C"/>
    <w:rsid w:val="00EB2D05"/>
    <w:rsid w:val="00EB3977"/>
    <w:rsid w:val="00EB3DCE"/>
    <w:rsid w:val="00EB3E7C"/>
    <w:rsid w:val="00EB4242"/>
    <w:rsid w:val="00EB4520"/>
    <w:rsid w:val="00EB45B6"/>
    <w:rsid w:val="00EB45D5"/>
    <w:rsid w:val="00EB4700"/>
    <w:rsid w:val="00EB4827"/>
    <w:rsid w:val="00EB4D9E"/>
    <w:rsid w:val="00EB4E44"/>
    <w:rsid w:val="00EB4F2E"/>
    <w:rsid w:val="00EB4FD1"/>
    <w:rsid w:val="00EB50E7"/>
    <w:rsid w:val="00EB51A6"/>
    <w:rsid w:val="00EB5257"/>
    <w:rsid w:val="00EB52AF"/>
    <w:rsid w:val="00EB53A2"/>
    <w:rsid w:val="00EB543F"/>
    <w:rsid w:val="00EB55EB"/>
    <w:rsid w:val="00EB581F"/>
    <w:rsid w:val="00EB64A5"/>
    <w:rsid w:val="00EB65E7"/>
    <w:rsid w:val="00EB6976"/>
    <w:rsid w:val="00EB69D4"/>
    <w:rsid w:val="00EB6C62"/>
    <w:rsid w:val="00EB6C63"/>
    <w:rsid w:val="00EB6C9A"/>
    <w:rsid w:val="00EB6D16"/>
    <w:rsid w:val="00EB6D5E"/>
    <w:rsid w:val="00EB706C"/>
    <w:rsid w:val="00EB70FB"/>
    <w:rsid w:val="00EB72AA"/>
    <w:rsid w:val="00EB744D"/>
    <w:rsid w:val="00EB74D3"/>
    <w:rsid w:val="00EB787C"/>
    <w:rsid w:val="00EB7939"/>
    <w:rsid w:val="00EB799A"/>
    <w:rsid w:val="00EB7B3A"/>
    <w:rsid w:val="00EB7DA8"/>
    <w:rsid w:val="00EC0206"/>
    <w:rsid w:val="00EC0309"/>
    <w:rsid w:val="00EC0442"/>
    <w:rsid w:val="00EC08D9"/>
    <w:rsid w:val="00EC0A1B"/>
    <w:rsid w:val="00EC0C4B"/>
    <w:rsid w:val="00EC0D99"/>
    <w:rsid w:val="00EC0FF7"/>
    <w:rsid w:val="00EC116E"/>
    <w:rsid w:val="00EC156B"/>
    <w:rsid w:val="00EC1686"/>
    <w:rsid w:val="00EC172D"/>
    <w:rsid w:val="00EC1836"/>
    <w:rsid w:val="00EC1C8F"/>
    <w:rsid w:val="00EC1F13"/>
    <w:rsid w:val="00EC21FF"/>
    <w:rsid w:val="00EC22FE"/>
    <w:rsid w:val="00EC23A7"/>
    <w:rsid w:val="00EC2422"/>
    <w:rsid w:val="00EC2496"/>
    <w:rsid w:val="00EC249F"/>
    <w:rsid w:val="00EC251F"/>
    <w:rsid w:val="00EC26C3"/>
    <w:rsid w:val="00EC2759"/>
    <w:rsid w:val="00EC2822"/>
    <w:rsid w:val="00EC2D67"/>
    <w:rsid w:val="00EC306B"/>
    <w:rsid w:val="00EC3284"/>
    <w:rsid w:val="00EC3429"/>
    <w:rsid w:val="00EC3632"/>
    <w:rsid w:val="00EC363B"/>
    <w:rsid w:val="00EC3B51"/>
    <w:rsid w:val="00EC3BA5"/>
    <w:rsid w:val="00EC3C23"/>
    <w:rsid w:val="00EC3E85"/>
    <w:rsid w:val="00EC3FE4"/>
    <w:rsid w:val="00EC4044"/>
    <w:rsid w:val="00EC4062"/>
    <w:rsid w:val="00EC42E5"/>
    <w:rsid w:val="00EC4663"/>
    <w:rsid w:val="00EC46CD"/>
    <w:rsid w:val="00EC494F"/>
    <w:rsid w:val="00EC49EA"/>
    <w:rsid w:val="00EC4A36"/>
    <w:rsid w:val="00EC4FDE"/>
    <w:rsid w:val="00EC5014"/>
    <w:rsid w:val="00EC50E1"/>
    <w:rsid w:val="00EC5163"/>
    <w:rsid w:val="00EC52FC"/>
    <w:rsid w:val="00EC545E"/>
    <w:rsid w:val="00EC5517"/>
    <w:rsid w:val="00EC594A"/>
    <w:rsid w:val="00EC5DB6"/>
    <w:rsid w:val="00EC5EBE"/>
    <w:rsid w:val="00EC5F2E"/>
    <w:rsid w:val="00EC5F43"/>
    <w:rsid w:val="00EC615D"/>
    <w:rsid w:val="00EC6769"/>
    <w:rsid w:val="00EC6782"/>
    <w:rsid w:val="00EC67AE"/>
    <w:rsid w:val="00EC6869"/>
    <w:rsid w:val="00EC6925"/>
    <w:rsid w:val="00EC69F6"/>
    <w:rsid w:val="00EC6C70"/>
    <w:rsid w:val="00EC6E35"/>
    <w:rsid w:val="00EC6EB8"/>
    <w:rsid w:val="00EC6F92"/>
    <w:rsid w:val="00EC7106"/>
    <w:rsid w:val="00EC71B9"/>
    <w:rsid w:val="00EC7349"/>
    <w:rsid w:val="00EC7368"/>
    <w:rsid w:val="00EC7443"/>
    <w:rsid w:val="00EC74C4"/>
    <w:rsid w:val="00EC74E5"/>
    <w:rsid w:val="00EC76E0"/>
    <w:rsid w:val="00EC77B6"/>
    <w:rsid w:val="00EC7B01"/>
    <w:rsid w:val="00EC7B0C"/>
    <w:rsid w:val="00EC7B4C"/>
    <w:rsid w:val="00EC7CC5"/>
    <w:rsid w:val="00EC7F04"/>
    <w:rsid w:val="00ED00FE"/>
    <w:rsid w:val="00ED0362"/>
    <w:rsid w:val="00ED0934"/>
    <w:rsid w:val="00ED0A9D"/>
    <w:rsid w:val="00ED0AB8"/>
    <w:rsid w:val="00ED0B15"/>
    <w:rsid w:val="00ED0C55"/>
    <w:rsid w:val="00ED0D6B"/>
    <w:rsid w:val="00ED13E8"/>
    <w:rsid w:val="00ED1620"/>
    <w:rsid w:val="00ED17C3"/>
    <w:rsid w:val="00ED1942"/>
    <w:rsid w:val="00ED1999"/>
    <w:rsid w:val="00ED1C61"/>
    <w:rsid w:val="00ED1D8A"/>
    <w:rsid w:val="00ED1DF7"/>
    <w:rsid w:val="00ED1E41"/>
    <w:rsid w:val="00ED2147"/>
    <w:rsid w:val="00ED217B"/>
    <w:rsid w:val="00ED2206"/>
    <w:rsid w:val="00ED235A"/>
    <w:rsid w:val="00ED27EB"/>
    <w:rsid w:val="00ED291D"/>
    <w:rsid w:val="00ED29D0"/>
    <w:rsid w:val="00ED2FA2"/>
    <w:rsid w:val="00ED32A0"/>
    <w:rsid w:val="00ED3354"/>
    <w:rsid w:val="00ED3806"/>
    <w:rsid w:val="00ED387C"/>
    <w:rsid w:val="00ED3980"/>
    <w:rsid w:val="00ED3AFA"/>
    <w:rsid w:val="00ED3CBD"/>
    <w:rsid w:val="00ED3E42"/>
    <w:rsid w:val="00ED3E54"/>
    <w:rsid w:val="00ED3EE9"/>
    <w:rsid w:val="00ED3F29"/>
    <w:rsid w:val="00ED418B"/>
    <w:rsid w:val="00ED4230"/>
    <w:rsid w:val="00ED423B"/>
    <w:rsid w:val="00ED4400"/>
    <w:rsid w:val="00ED4753"/>
    <w:rsid w:val="00ED5197"/>
    <w:rsid w:val="00ED520B"/>
    <w:rsid w:val="00ED52D9"/>
    <w:rsid w:val="00ED52DA"/>
    <w:rsid w:val="00ED530A"/>
    <w:rsid w:val="00ED5528"/>
    <w:rsid w:val="00ED5799"/>
    <w:rsid w:val="00ED5B39"/>
    <w:rsid w:val="00ED5EA1"/>
    <w:rsid w:val="00ED627D"/>
    <w:rsid w:val="00ED65C7"/>
    <w:rsid w:val="00ED6832"/>
    <w:rsid w:val="00ED6850"/>
    <w:rsid w:val="00ED686D"/>
    <w:rsid w:val="00ED6923"/>
    <w:rsid w:val="00ED69EC"/>
    <w:rsid w:val="00ED6AD6"/>
    <w:rsid w:val="00ED6C07"/>
    <w:rsid w:val="00ED6DB2"/>
    <w:rsid w:val="00ED6E45"/>
    <w:rsid w:val="00ED713D"/>
    <w:rsid w:val="00ED718A"/>
    <w:rsid w:val="00ED7217"/>
    <w:rsid w:val="00ED7247"/>
    <w:rsid w:val="00ED755E"/>
    <w:rsid w:val="00ED76AF"/>
    <w:rsid w:val="00ED77C5"/>
    <w:rsid w:val="00ED7CD3"/>
    <w:rsid w:val="00ED7D2A"/>
    <w:rsid w:val="00EE003B"/>
    <w:rsid w:val="00EE030C"/>
    <w:rsid w:val="00EE08A9"/>
    <w:rsid w:val="00EE0B53"/>
    <w:rsid w:val="00EE14E3"/>
    <w:rsid w:val="00EE1502"/>
    <w:rsid w:val="00EE16AB"/>
    <w:rsid w:val="00EE16E1"/>
    <w:rsid w:val="00EE1A68"/>
    <w:rsid w:val="00EE1AD4"/>
    <w:rsid w:val="00EE1DB3"/>
    <w:rsid w:val="00EE1F01"/>
    <w:rsid w:val="00EE23F0"/>
    <w:rsid w:val="00EE2645"/>
    <w:rsid w:val="00EE26B7"/>
    <w:rsid w:val="00EE272A"/>
    <w:rsid w:val="00EE2BE8"/>
    <w:rsid w:val="00EE2DD8"/>
    <w:rsid w:val="00EE2DDD"/>
    <w:rsid w:val="00EE2FC4"/>
    <w:rsid w:val="00EE31C2"/>
    <w:rsid w:val="00EE3291"/>
    <w:rsid w:val="00EE3341"/>
    <w:rsid w:val="00EE3496"/>
    <w:rsid w:val="00EE35E2"/>
    <w:rsid w:val="00EE378B"/>
    <w:rsid w:val="00EE37AD"/>
    <w:rsid w:val="00EE3BD5"/>
    <w:rsid w:val="00EE3EDC"/>
    <w:rsid w:val="00EE4366"/>
    <w:rsid w:val="00EE4455"/>
    <w:rsid w:val="00EE44B4"/>
    <w:rsid w:val="00EE491B"/>
    <w:rsid w:val="00EE4BDE"/>
    <w:rsid w:val="00EE4C79"/>
    <w:rsid w:val="00EE4EB9"/>
    <w:rsid w:val="00EE4F2C"/>
    <w:rsid w:val="00EE4F41"/>
    <w:rsid w:val="00EE5062"/>
    <w:rsid w:val="00EE518B"/>
    <w:rsid w:val="00EE576A"/>
    <w:rsid w:val="00EE5B4A"/>
    <w:rsid w:val="00EE5C13"/>
    <w:rsid w:val="00EE5F8F"/>
    <w:rsid w:val="00EE6099"/>
    <w:rsid w:val="00EE618A"/>
    <w:rsid w:val="00EE6435"/>
    <w:rsid w:val="00EE6534"/>
    <w:rsid w:val="00EE67A6"/>
    <w:rsid w:val="00EE6A17"/>
    <w:rsid w:val="00EE6B65"/>
    <w:rsid w:val="00EE6DE1"/>
    <w:rsid w:val="00EE73CB"/>
    <w:rsid w:val="00EE746E"/>
    <w:rsid w:val="00EE75DC"/>
    <w:rsid w:val="00EE7613"/>
    <w:rsid w:val="00EE7929"/>
    <w:rsid w:val="00EE7ABD"/>
    <w:rsid w:val="00EE7B7D"/>
    <w:rsid w:val="00EE7D68"/>
    <w:rsid w:val="00EE7DD9"/>
    <w:rsid w:val="00EF009A"/>
    <w:rsid w:val="00EF0175"/>
    <w:rsid w:val="00EF01B4"/>
    <w:rsid w:val="00EF023E"/>
    <w:rsid w:val="00EF0248"/>
    <w:rsid w:val="00EF02FE"/>
    <w:rsid w:val="00EF031B"/>
    <w:rsid w:val="00EF042A"/>
    <w:rsid w:val="00EF04E7"/>
    <w:rsid w:val="00EF0874"/>
    <w:rsid w:val="00EF08A9"/>
    <w:rsid w:val="00EF0C93"/>
    <w:rsid w:val="00EF0D58"/>
    <w:rsid w:val="00EF1090"/>
    <w:rsid w:val="00EF1226"/>
    <w:rsid w:val="00EF1314"/>
    <w:rsid w:val="00EF1656"/>
    <w:rsid w:val="00EF16C8"/>
    <w:rsid w:val="00EF1851"/>
    <w:rsid w:val="00EF1A14"/>
    <w:rsid w:val="00EF1F2D"/>
    <w:rsid w:val="00EF1F2E"/>
    <w:rsid w:val="00EF22CE"/>
    <w:rsid w:val="00EF2406"/>
    <w:rsid w:val="00EF24AC"/>
    <w:rsid w:val="00EF2564"/>
    <w:rsid w:val="00EF257B"/>
    <w:rsid w:val="00EF26FC"/>
    <w:rsid w:val="00EF2781"/>
    <w:rsid w:val="00EF2A8C"/>
    <w:rsid w:val="00EF2C0E"/>
    <w:rsid w:val="00EF2CC8"/>
    <w:rsid w:val="00EF30D3"/>
    <w:rsid w:val="00EF3334"/>
    <w:rsid w:val="00EF33DC"/>
    <w:rsid w:val="00EF3842"/>
    <w:rsid w:val="00EF3AD1"/>
    <w:rsid w:val="00EF3D4A"/>
    <w:rsid w:val="00EF3D51"/>
    <w:rsid w:val="00EF3E63"/>
    <w:rsid w:val="00EF48D7"/>
    <w:rsid w:val="00EF4969"/>
    <w:rsid w:val="00EF55DD"/>
    <w:rsid w:val="00EF5630"/>
    <w:rsid w:val="00EF57F9"/>
    <w:rsid w:val="00EF5820"/>
    <w:rsid w:val="00EF5C51"/>
    <w:rsid w:val="00EF5CEF"/>
    <w:rsid w:val="00EF5EF2"/>
    <w:rsid w:val="00EF5F0D"/>
    <w:rsid w:val="00EF66A0"/>
    <w:rsid w:val="00EF67FA"/>
    <w:rsid w:val="00EF68DD"/>
    <w:rsid w:val="00EF6972"/>
    <w:rsid w:val="00EF6A57"/>
    <w:rsid w:val="00EF6BD5"/>
    <w:rsid w:val="00EF7047"/>
    <w:rsid w:val="00EF7394"/>
    <w:rsid w:val="00EF7582"/>
    <w:rsid w:val="00EF796D"/>
    <w:rsid w:val="00EF7D2B"/>
    <w:rsid w:val="00F0006F"/>
    <w:rsid w:val="00F001DF"/>
    <w:rsid w:val="00F0058B"/>
    <w:rsid w:val="00F00879"/>
    <w:rsid w:val="00F00DB6"/>
    <w:rsid w:val="00F00F66"/>
    <w:rsid w:val="00F0106E"/>
    <w:rsid w:val="00F01272"/>
    <w:rsid w:val="00F013C8"/>
    <w:rsid w:val="00F01437"/>
    <w:rsid w:val="00F014B8"/>
    <w:rsid w:val="00F018C5"/>
    <w:rsid w:val="00F019F1"/>
    <w:rsid w:val="00F01A89"/>
    <w:rsid w:val="00F01AF4"/>
    <w:rsid w:val="00F01F8F"/>
    <w:rsid w:val="00F01FCE"/>
    <w:rsid w:val="00F02183"/>
    <w:rsid w:val="00F02694"/>
    <w:rsid w:val="00F02999"/>
    <w:rsid w:val="00F02B9D"/>
    <w:rsid w:val="00F032B4"/>
    <w:rsid w:val="00F033E7"/>
    <w:rsid w:val="00F03610"/>
    <w:rsid w:val="00F0364F"/>
    <w:rsid w:val="00F037D3"/>
    <w:rsid w:val="00F03CBE"/>
    <w:rsid w:val="00F04397"/>
    <w:rsid w:val="00F048AD"/>
    <w:rsid w:val="00F049E3"/>
    <w:rsid w:val="00F05038"/>
    <w:rsid w:val="00F05092"/>
    <w:rsid w:val="00F0514A"/>
    <w:rsid w:val="00F0521F"/>
    <w:rsid w:val="00F05264"/>
    <w:rsid w:val="00F052C0"/>
    <w:rsid w:val="00F05369"/>
    <w:rsid w:val="00F054A0"/>
    <w:rsid w:val="00F0586F"/>
    <w:rsid w:val="00F060A3"/>
    <w:rsid w:val="00F06161"/>
    <w:rsid w:val="00F062DD"/>
    <w:rsid w:val="00F0633B"/>
    <w:rsid w:val="00F06761"/>
    <w:rsid w:val="00F06AB7"/>
    <w:rsid w:val="00F06C48"/>
    <w:rsid w:val="00F06CC2"/>
    <w:rsid w:val="00F06ED3"/>
    <w:rsid w:val="00F071A8"/>
    <w:rsid w:val="00F07222"/>
    <w:rsid w:val="00F07309"/>
    <w:rsid w:val="00F075B1"/>
    <w:rsid w:val="00F07A69"/>
    <w:rsid w:val="00F07C2A"/>
    <w:rsid w:val="00F07F35"/>
    <w:rsid w:val="00F07F8C"/>
    <w:rsid w:val="00F07FB5"/>
    <w:rsid w:val="00F101A6"/>
    <w:rsid w:val="00F102AE"/>
    <w:rsid w:val="00F10462"/>
    <w:rsid w:val="00F104AE"/>
    <w:rsid w:val="00F1061E"/>
    <w:rsid w:val="00F10A79"/>
    <w:rsid w:val="00F10B2B"/>
    <w:rsid w:val="00F10B8C"/>
    <w:rsid w:val="00F10CD9"/>
    <w:rsid w:val="00F10DC7"/>
    <w:rsid w:val="00F111DA"/>
    <w:rsid w:val="00F1165A"/>
    <w:rsid w:val="00F116C0"/>
    <w:rsid w:val="00F116F2"/>
    <w:rsid w:val="00F11A63"/>
    <w:rsid w:val="00F11DC7"/>
    <w:rsid w:val="00F11F57"/>
    <w:rsid w:val="00F120F6"/>
    <w:rsid w:val="00F12111"/>
    <w:rsid w:val="00F12428"/>
    <w:rsid w:val="00F128D2"/>
    <w:rsid w:val="00F129E0"/>
    <w:rsid w:val="00F12BE0"/>
    <w:rsid w:val="00F12BFC"/>
    <w:rsid w:val="00F12DCF"/>
    <w:rsid w:val="00F12EB0"/>
    <w:rsid w:val="00F13373"/>
    <w:rsid w:val="00F13387"/>
    <w:rsid w:val="00F138A4"/>
    <w:rsid w:val="00F13978"/>
    <w:rsid w:val="00F13AE0"/>
    <w:rsid w:val="00F13C33"/>
    <w:rsid w:val="00F13E6B"/>
    <w:rsid w:val="00F1412B"/>
    <w:rsid w:val="00F14429"/>
    <w:rsid w:val="00F14469"/>
    <w:rsid w:val="00F144ED"/>
    <w:rsid w:val="00F145C4"/>
    <w:rsid w:val="00F14620"/>
    <w:rsid w:val="00F146BF"/>
    <w:rsid w:val="00F146D7"/>
    <w:rsid w:val="00F1474E"/>
    <w:rsid w:val="00F14D59"/>
    <w:rsid w:val="00F14ED1"/>
    <w:rsid w:val="00F1518C"/>
    <w:rsid w:val="00F15239"/>
    <w:rsid w:val="00F152A0"/>
    <w:rsid w:val="00F1550A"/>
    <w:rsid w:val="00F15779"/>
    <w:rsid w:val="00F1590E"/>
    <w:rsid w:val="00F15B07"/>
    <w:rsid w:val="00F15BF2"/>
    <w:rsid w:val="00F15EBE"/>
    <w:rsid w:val="00F16086"/>
    <w:rsid w:val="00F1613A"/>
    <w:rsid w:val="00F161A1"/>
    <w:rsid w:val="00F162C0"/>
    <w:rsid w:val="00F16A07"/>
    <w:rsid w:val="00F16B5F"/>
    <w:rsid w:val="00F16BAF"/>
    <w:rsid w:val="00F16D41"/>
    <w:rsid w:val="00F17367"/>
    <w:rsid w:val="00F174F2"/>
    <w:rsid w:val="00F17A96"/>
    <w:rsid w:val="00F17C3A"/>
    <w:rsid w:val="00F17DDE"/>
    <w:rsid w:val="00F17F42"/>
    <w:rsid w:val="00F20560"/>
    <w:rsid w:val="00F207D8"/>
    <w:rsid w:val="00F20C06"/>
    <w:rsid w:val="00F20C9E"/>
    <w:rsid w:val="00F20CCD"/>
    <w:rsid w:val="00F20D4F"/>
    <w:rsid w:val="00F20DA1"/>
    <w:rsid w:val="00F20EF8"/>
    <w:rsid w:val="00F21063"/>
    <w:rsid w:val="00F2121F"/>
    <w:rsid w:val="00F2146C"/>
    <w:rsid w:val="00F2162E"/>
    <w:rsid w:val="00F2176B"/>
    <w:rsid w:val="00F21997"/>
    <w:rsid w:val="00F21BCF"/>
    <w:rsid w:val="00F22020"/>
    <w:rsid w:val="00F221E4"/>
    <w:rsid w:val="00F223BA"/>
    <w:rsid w:val="00F225AF"/>
    <w:rsid w:val="00F227AC"/>
    <w:rsid w:val="00F22BEE"/>
    <w:rsid w:val="00F22EE1"/>
    <w:rsid w:val="00F22F6E"/>
    <w:rsid w:val="00F239DA"/>
    <w:rsid w:val="00F23A65"/>
    <w:rsid w:val="00F24061"/>
    <w:rsid w:val="00F241B6"/>
    <w:rsid w:val="00F244B8"/>
    <w:rsid w:val="00F24805"/>
    <w:rsid w:val="00F24F64"/>
    <w:rsid w:val="00F25064"/>
    <w:rsid w:val="00F2521D"/>
    <w:rsid w:val="00F252C3"/>
    <w:rsid w:val="00F255B3"/>
    <w:rsid w:val="00F255C8"/>
    <w:rsid w:val="00F25601"/>
    <w:rsid w:val="00F25861"/>
    <w:rsid w:val="00F2598C"/>
    <w:rsid w:val="00F25DA5"/>
    <w:rsid w:val="00F25DD7"/>
    <w:rsid w:val="00F25DED"/>
    <w:rsid w:val="00F25F43"/>
    <w:rsid w:val="00F2610F"/>
    <w:rsid w:val="00F2620D"/>
    <w:rsid w:val="00F262BE"/>
    <w:rsid w:val="00F26388"/>
    <w:rsid w:val="00F26448"/>
    <w:rsid w:val="00F266E2"/>
    <w:rsid w:val="00F267D5"/>
    <w:rsid w:val="00F26809"/>
    <w:rsid w:val="00F269A2"/>
    <w:rsid w:val="00F26A6A"/>
    <w:rsid w:val="00F26C1B"/>
    <w:rsid w:val="00F26D10"/>
    <w:rsid w:val="00F26D3B"/>
    <w:rsid w:val="00F26F9F"/>
    <w:rsid w:val="00F27054"/>
    <w:rsid w:val="00F272F6"/>
    <w:rsid w:val="00F27334"/>
    <w:rsid w:val="00F274C4"/>
    <w:rsid w:val="00F27650"/>
    <w:rsid w:val="00F27676"/>
    <w:rsid w:val="00F27788"/>
    <w:rsid w:val="00F27F56"/>
    <w:rsid w:val="00F30107"/>
    <w:rsid w:val="00F301B9"/>
    <w:rsid w:val="00F301C8"/>
    <w:rsid w:val="00F301CD"/>
    <w:rsid w:val="00F3021F"/>
    <w:rsid w:val="00F30386"/>
    <w:rsid w:val="00F3041B"/>
    <w:rsid w:val="00F30596"/>
    <w:rsid w:val="00F30730"/>
    <w:rsid w:val="00F308B6"/>
    <w:rsid w:val="00F30C1E"/>
    <w:rsid w:val="00F30CAE"/>
    <w:rsid w:val="00F30D2F"/>
    <w:rsid w:val="00F310D3"/>
    <w:rsid w:val="00F31468"/>
    <w:rsid w:val="00F31518"/>
    <w:rsid w:val="00F31B4F"/>
    <w:rsid w:val="00F31BFE"/>
    <w:rsid w:val="00F31C5C"/>
    <w:rsid w:val="00F3202A"/>
    <w:rsid w:val="00F3238C"/>
    <w:rsid w:val="00F323E2"/>
    <w:rsid w:val="00F3267D"/>
    <w:rsid w:val="00F32709"/>
    <w:rsid w:val="00F32A70"/>
    <w:rsid w:val="00F32B7D"/>
    <w:rsid w:val="00F32DA7"/>
    <w:rsid w:val="00F3308C"/>
    <w:rsid w:val="00F330E0"/>
    <w:rsid w:val="00F33223"/>
    <w:rsid w:val="00F332F7"/>
    <w:rsid w:val="00F3339E"/>
    <w:rsid w:val="00F33477"/>
    <w:rsid w:val="00F33590"/>
    <w:rsid w:val="00F3365D"/>
    <w:rsid w:val="00F339B6"/>
    <w:rsid w:val="00F33DFF"/>
    <w:rsid w:val="00F33ED9"/>
    <w:rsid w:val="00F340AD"/>
    <w:rsid w:val="00F342A9"/>
    <w:rsid w:val="00F345D6"/>
    <w:rsid w:val="00F346C2"/>
    <w:rsid w:val="00F34748"/>
    <w:rsid w:val="00F34759"/>
    <w:rsid w:val="00F348C4"/>
    <w:rsid w:val="00F34B34"/>
    <w:rsid w:val="00F34C8A"/>
    <w:rsid w:val="00F3514E"/>
    <w:rsid w:val="00F353A1"/>
    <w:rsid w:val="00F35420"/>
    <w:rsid w:val="00F35614"/>
    <w:rsid w:val="00F3575F"/>
    <w:rsid w:val="00F35771"/>
    <w:rsid w:val="00F359E2"/>
    <w:rsid w:val="00F35BFA"/>
    <w:rsid w:val="00F35CD9"/>
    <w:rsid w:val="00F35DF6"/>
    <w:rsid w:val="00F35EAD"/>
    <w:rsid w:val="00F3609A"/>
    <w:rsid w:val="00F36137"/>
    <w:rsid w:val="00F361DE"/>
    <w:rsid w:val="00F3620A"/>
    <w:rsid w:val="00F363CA"/>
    <w:rsid w:val="00F36568"/>
    <w:rsid w:val="00F3665C"/>
    <w:rsid w:val="00F36924"/>
    <w:rsid w:val="00F36AAF"/>
    <w:rsid w:val="00F36BB7"/>
    <w:rsid w:val="00F36D44"/>
    <w:rsid w:val="00F37046"/>
    <w:rsid w:val="00F37369"/>
    <w:rsid w:val="00F376B7"/>
    <w:rsid w:val="00F3771C"/>
    <w:rsid w:val="00F37806"/>
    <w:rsid w:val="00F37A73"/>
    <w:rsid w:val="00F37AC8"/>
    <w:rsid w:val="00F37E98"/>
    <w:rsid w:val="00F402F4"/>
    <w:rsid w:val="00F4065A"/>
    <w:rsid w:val="00F406FE"/>
    <w:rsid w:val="00F40860"/>
    <w:rsid w:val="00F408B5"/>
    <w:rsid w:val="00F408B6"/>
    <w:rsid w:val="00F408FD"/>
    <w:rsid w:val="00F40F51"/>
    <w:rsid w:val="00F40FEA"/>
    <w:rsid w:val="00F411D4"/>
    <w:rsid w:val="00F415F0"/>
    <w:rsid w:val="00F4163E"/>
    <w:rsid w:val="00F4167D"/>
    <w:rsid w:val="00F417AD"/>
    <w:rsid w:val="00F41E93"/>
    <w:rsid w:val="00F41EDD"/>
    <w:rsid w:val="00F41F0A"/>
    <w:rsid w:val="00F42585"/>
    <w:rsid w:val="00F4264C"/>
    <w:rsid w:val="00F4282B"/>
    <w:rsid w:val="00F43169"/>
    <w:rsid w:val="00F43322"/>
    <w:rsid w:val="00F43456"/>
    <w:rsid w:val="00F436B8"/>
    <w:rsid w:val="00F439CF"/>
    <w:rsid w:val="00F44007"/>
    <w:rsid w:val="00F440A0"/>
    <w:rsid w:val="00F44104"/>
    <w:rsid w:val="00F44256"/>
    <w:rsid w:val="00F442C7"/>
    <w:rsid w:val="00F446F4"/>
    <w:rsid w:val="00F44761"/>
    <w:rsid w:val="00F447EA"/>
    <w:rsid w:val="00F4484F"/>
    <w:rsid w:val="00F44B41"/>
    <w:rsid w:val="00F44B74"/>
    <w:rsid w:val="00F453D5"/>
    <w:rsid w:val="00F455BC"/>
    <w:rsid w:val="00F45775"/>
    <w:rsid w:val="00F459AF"/>
    <w:rsid w:val="00F45AD8"/>
    <w:rsid w:val="00F45BD1"/>
    <w:rsid w:val="00F45C55"/>
    <w:rsid w:val="00F45D7C"/>
    <w:rsid w:val="00F461C5"/>
    <w:rsid w:val="00F46641"/>
    <w:rsid w:val="00F46768"/>
    <w:rsid w:val="00F4686B"/>
    <w:rsid w:val="00F468EB"/>
    <w:rsid w:val="00F46BD9"/>
    <w:rsid w:val="00F46E94"/>
    <w:rsid w:val="00F4714F"/>
    <w:rsid w:val="00F4747F"/>
    <w:rsid w:val="00F479C8"/>
    <w:rsid w:val="00F47C0C"/>
    <w:rsid w:val="00F47F2C"/>
    <w:rsid w:val="00F5028C"/>
    <w:rsid w:val="00F502E2"/>
    <w:rsid w:val="00F503F7"/>
    <w:rsid w:val="00F50597"/>
    <w:rsid w:val="00F50BC2"/>
    <w:rsid w:val="00F50CF2"/>
    <w:rsid w:val="00F51061"/>
    <w:rsid w:val="00F51210"/>
    <w:rsid w:val="00F5122D"/>
    <w:rsid w:val="00F512D5"/>
    <w:rsid w:val="00F512DE"/>
    <w:rsid w:val="00F513B5"/>
    <w:rsid w:val="00F517E2"/>
    <w:rsid w:val="00F51A5B"/>
    <w:rsid w:val="00F51DB5"/>
    <w:rsid w:val="00F52019"/>
    <w:rsid w:val="00F523FA"/>
    <w:rsid w:val="00F52467"/>
    <w:rsid w:val="00F52549"/>
    <w:rsid w:val="00F52692"/>
    <w:rsid w:val="00F52A9C"/>
    <w:rsid w:val="00F52DCD"/>
    <w:rsid w:val="00F52E4D"/>
    <w:rsid w:val="00F52F10"/>
    <w:rsid w:val="00F531DE"/>
    <w:rsid w:val="00F53279"/>
    <w:rsid w:val="00F53B4B"/>
    <w:rsid w:val="00F53EEC"/>
    <w:rsid w:val="00F53F87"/>
    <w:rsid w:val="00F54062"/>
    <w:rsid w:val="00F5408A"/>
    <w:rsid w:val="00F5425A"/>
    <w:rsid w:val="00F54862"/>
    <w:rsid w:val="00F5497F"/>
    <w:rsid w:val="00F54F57"/>
    <w:rsid w:val="00F55179"/>
    <w:rsid w:val="00F55215"/>
    <w:rsid w:val="00F552AD"/>
    <w:rsid w:val="00F557AD"/>
    <w:rsid w:val="00F55CF1"/>
    <w:rsid w:val="00F55EBF"/>
    <w:rsid w:val="00F55FF5"/>
    <w:rsid w:val="00F56147"/>
    <w:rsid w:val="00F562E5"/>
    <w:rsid w:val="00F564D4"/>
    <w:rsid w:val="00F56599"/>
    <w:rsid w:val="00F56BB8"/>
    <w:rsid w:val="00F56C64"/>
    <w:rsid w:val="00F56FC5"/>
    <w:rsid w:val="00F572D5"/>
    <w:rsid w:val="00F573BE"/>
    <w:rsid w:val="00F573DA"/>
    <w:rsid w:val="00F577B3"/>
    <w:rsid w:val="00F57A2B"/>
    <w:rsid w:val="00F57A30"/>
    <w:rsid w:val="00F57B46"/>
    <w:rsid w:val="00F603AA"/>
    <w:rsid w:val="00F603E3"/>
    <w:rsid w:val="00F60684"/>
    <w:rsid w:val="00F60755"/>
    <w:rsid w:val="00F60996"/>
    <w:rsid w:val="00F60CC4"/>
    <w:rsid w:val="00F60EB5"/>
    <w:rsid w:val="00F61108"/>
    <w:rsid w:val="00F615B0"/>
    <w:rsid w:val="00F615D5"/>
    <w:rsid w:val="00F615D9"/>
    <w:rsid w:val="00F61607"/>
    <w:rsid w:val="00F61BC8"/>
    <w:rsid w:val="00F61CB9"/>
    <w:rsid w:val="00F62331"/>
    <w:rsid w:val="00F625C1"/>
    <w:rsid w:val="00F62877"/>
    <w:rsid w:val="00F62987"/>
    <w:rsid w:val="00F634AF"/>
    <w:rsid w:val="00F63570"/>
    <w:rsid w:val="00F639E5"/>
    <w:rsid w:val="00F63B02"/>
    <w:rsid w:val="00F63B8C"/>
    <w:rsid w:val="00F63EDC"/>
    <w:rsid w:val="00F64035"/>
    <w:rsid w:val="00F64097"/>
    <w:rsid w:val="00F6446A"/>
    <w:rsid w:val="00F6451F"/>
    <w:rsid w:val="00F64A9D"/>
    <w:rsid w:val="00F64B4F"/>
    <w:rsid w:val="00F64BB1"/>
    <w:rsid w:val="00F650F1"/>
    <w:rsid w:val="00F651D0"/>
    <w:rsid w:val="00F6569D"/>
    <w:rsid w:val="00F65B5C"/>
    <w:rsid w:val="00F65F9B"/>
    <w:rsid w:val="00F66122"/>
    <w:rsid w:val="00F6631B"/>
    <w:rsid w:val="00F666B6"/>
    <w:rsid w:val="00F6672D"/>
    <w:rsid w:val="00F66B42"/>
    <w:rsid w:val="00F66D07"/>
    <w:rsid w:val="00F66DF1"/>
    <w:rsid w:val="00F66F3F"/>
    <w:rsid w:val="00F67341"/>
    <w:rsid w:val="00F6734F"/>
    <w:rsid w:val="00F67379"/>
    <w:rsid w:val="00F67564"/>
    <w:rsid w:val="00F67571"/>
    <w:rsid w:val="00F67AA2"/>
    <w:rsid w:val="00F70029"/>
    <w:rsid w:val="00F702BA"/>
    <w:rsid w:val="00F70490"/>
    <w:rsid w:val="00F7055C"/>
    <w:rsid w:val="00F7078F"/>
    <w:rsid w:val="00F70796"/>
    <w:rsid w:val="00F707B4"/>
    <w:rsid w:val="00F70823"/>
    <w:rsid w:val="00F708D3"/>
    <w:rsid w:val="00F70B24"/>
    <w:rsid w:val="00F70CF1"/>
    <w:rsid w:val="00F70F9B"/>
    <w:rsid w:val="00F70FE0"/>
    <w:rsid w:val="00F7118D"/>
    <w:rsid w:val="00F7129A"/>
    <w:rsid w:val="00F71392"/>
    <w:rsid w:val="00F715E3"/>
    <w:rsid w:val="00F717E8"/>
    <w:rsid w:val="00F71A5F"/>
    <w:rsid w:val="00F71CFC"/>
    <w:rsid w:val="00F71D1D"/>
    <w:rsid w:val="00F71DB0"/>
    <w:rsid w:val="00F71E10"/>
    <w:rsid w:val="00F71E48"/>
    <w:rsid w:val="00F7225A"/>
    <w:rsid w:val="00F7268E"/>
    <w:rsid w:val="00F7271A"/>
    <w:rsid w:val="00F728C2"/>
    <w:rsid w:val="00F729A8"/>
    <w:rsid w:val="00F729ED"/>
    <w:rsid w:val="00F73304"/>
    <w:rsid w:val="00F73653"/>
    <w:rsid w:val="00F73703"/>
    <w:rsid w:val="00F7381B"/>
    <w:rsid w:val="00F7397D"/>
    <w:rsid w:val="00F73D04"/>
    <w:rsid w:val="00F740FA"/>
    <w:rsid w:val="00F7428C"/>
    <w:rsid w:val="00F74405"/>
    <w:rsid w:val="00F74519"/>
    <w:rsid w:val="00F747D3"/>
    <w:rsid w:val="00F74AE9"/>
    <w:rsid w:val="00F74D1A"/>
    <w:rsid w:val="00F74D57"/>
    <w:rsid w:val="00F74D88"/>
    <w:rsid w:val="00F74E1F"/>
    <w:rsid w:val="00F74E70"/>
    <w:rsid w:val="00F74EA3"/>
    <w:rsid w:val="00F74FB6"/>
    <w:rsid w:val="00F750C6"/>
    <w:rsid w:val="00F75280"/>
    <w:rsid w:val="00F752AB"/>
    <w:rsid w:val="00F753AE"/>
    <w:rsid w:val="00F7544C"/>
    <w:rsid w:val="00F75561"/>
    <w:rsid w:val="00F755AF"/>
    <w:rsid w:val="00F7567C"/>
    <w:rsid w:val="00F757FE"/>
    <w:rsid w:val="00F75876"/>
    <w:rsid w:val="00F75CDA"/>
    <w:rsid w:val="00F75EA3"/>
    <w:rsid w:val="00F7615F"/>
    <w:rsid w:val="00F7634D"/>
    <w:rsid w:val="00F763F3"/>
    <w:rsid w:val="00F76623"/>
    <w:rsid w:val="00F76793"/>
    <w:rsid w:val="00F76A4A"/>
    <w:rsid w:val="00F76E72"/>
    <w:rsid w:val="00F77755"/>
    <w:rsid w:val="00F777D7"/>
    <w:rsid w:val="00F778F0"/>
    <w:rsid w:val="00F77A74"/>
    <w:rsid w:val="00F77C0A"/>
    <w:rsid w:val="00F77DF9"/>
    <w:rsid w:val="00F77F62"/>
    <w:rsid w:val="00F80026"/>
    <w:rsid w:val="00F8021F"/>
    <w:rsid w:val="00F8063E"/>
    <w:rsid w:val="00F806BD"/>
    <w:rsid w:val="00F80B5F"/>
    <w:rsid w:val="00F80EDF"/>
    <w:rsid w:val="00F80F11"/>
    <w:rsid w:val="00F80FBD"/>
    <w:rsid w:val="00F8113C"/>
    <w:rsid w:val="00F81226"/>
    <w:rsid w:val="00F8133B"/>
    <w:rsid w:val="00F8141A"/>
    <w:rsid w:val="00F814EC"/>
    <w:rsid w:val="00F81603"/>
    <w:rsid w:val="00F816FA"/>
    <w:rsid w:val="00F81812"/>
    <w:rsid w:val="00F81B27"/>
    <w:rsid w:val="00F81D7A"/>
    <w:rsid w:val="00F82041"/>
    <w:rsid w:val="00F8205C"/>
    <w:rsid w:val="00F82282"/>
    <w:rsid w:val="00F823B4"/>
    <w:rsid w:val="00F82833"/>
    <w:rsid w:val="00F828BB"/>
    <w:rsid w:val="00F82CE0"/>
    <w:rsid w:val="00F82D79"/>
    <w:rsid w:val="00F82E46"/>
    <w:rsid w:val="00F82E97"/>
    <w:rsid w:val="00F82FB8"/>
    <w:rsid w:val="00F8312F"/>
    <w:rsid w:val="00F8318B"/>
    <w:rsid w:val="00F83467"/>
    <w:rsid w:val="00F8347C"/>
    <w:rsid w:val="00F83C91"/>
    <w:rsid w:val="00F83D6B"/>
    <w:rsid w:val="00F83DC9"/>
    <w:rsid w:val="00F83E68"/>
    <w:rsid w:val="00F8402F"/>
    <w:rsid w:val="00F844EF"/>
    <w:rsid w:val="00F848A5"/>
    <w:rsid w:val="00F84BC8"/>
    <w:rsid w:val="00F850B9"/>
    <w:rsid w:val="00F85245"/>
    <w:rsid w:val="00F854AC"/>
    <w:rsid w:val="00F8578E"/>
    <w:rsid w:val="00F85800"/>
    <w:rsid w:val="00F85803"/>
    <w:rsid w:val="00F85B7C"/>
    <w:rsid w:val="00F85CAE"/>
    <w:rsid w:val="00F85DCA"/>
    <w:rsid w:val="00F8614F"/>
    <w:rsid w:val="00F86387"/>
    <w:rsid w:val="00F8664D"/>
    <w:rsid w:val="00F868D9"/>
    <w:rsid w:val="00F86A9F"/>
    <w:rsid w:val="00F86DA0"/>
    <w:rsid w:val="00F872AF"/>
    <w:rsid w:val="00F87A60"/>
    <w:rsid w:val="00F87A6E"/>
    <w:rsid w:val="00F87BDC"/>
    <w:rsid w:val="00F87CF1"/>
    <w:rsid w:val="00F87D80"/>
    <w:rsid w:val="00F87F82"/>
    <w:rsid w:val="00F87F8B"/>
    <w:rsid w:val="00F90231"/>
    <w:rsid w:val="00F90327"/>
    <w:rsid w:val="00F908E4"/>
    <w:rsid w:val="00F90A62"/>
    <w:rsid w:val="00F90AEF"/>
    <w:rsid w:val="00F90DB7"/>
    <w:rsid w:val="00F91269"/>
    <w:rsid w:val="00F915AB"/>
    <w:rsid w:val="00F916E9"/>
    <w:rsid w:val="00F91833"/>
    <w:rsid w:val="00F918AE"/>
    <w:rsid w:val="00F919F5"/>
    <w:rsid w:val="00F91C82"/>
    <w:rsid w:val="00F91D70"/>
    <w:rsid w:val="00F91FF1"/>
    <w:rsid w:val="00F920DC"/>
    <w:rsid w:val="00F9259E"/>
    <w:rsid w:val="00F925ED"/>
    <w:rsid w:val="00F92658"/>
    <w:rsid w:val="00F92D55"/>
    <w:rsid w:val="00F92D72"/>
    <w:rsid w:val="00F92F63"/>
    <w:rsid w:val="00F932F9"/>
    <w:rsid w:val="00F933E4"/>
    <w:rsid w:val="00F9354A"/>
    <w:rsid w:val="00F93ADE"/>
    <w:rsid w:val="00F93D07"/>
    <w:rsid w:val="00F93EB3"/>
    <w:rsid w:val="00F944D2"/>
    <w:rsid w:val="00F9466B"/>
    <w:rsid w:val="00F9467E"/>
    <w:rsid w:val="00F9469E"/>
    <w:rsid w:val="00F949BA"/>
    <w:rsid w:val="00F94B16"/>
    <w:rsid w:val="00F94C87"/>
    <w:rsid w:val="00F94CD4"/>
    <w:rsid w:val="00F94D35"/>
    <w:rsid w:val="00F9566C"/>
    <w:rsid w:val="00F957E1"/>
    <w:rsid w:val="00F95933"/>
    <w:rsid w:val="00F959EB"/>
    <w:rsid w:val="00F95AEF"/>
    <w:rsid w:val="00F95CB9"/>
    <w:rsid w:val="00F9629B"/>
    <w:rsid w:val="00F964D5"/>
    <w:rsid w:val="00F9696E"/>
    <w:rsid w:val="00F969A9"/>
    <w:rsid w:val="00F96A7A"/>
    <w:rsid w:val="00F96FBD"/>
    <w:rsid w:val="00F96FC8"/>
    <w:rsid w:val="00F97CA7"/>
    <w:rsid w:val="00F97DF1"/>
    <w:rsid w:val="00F97F26"/>
    <w:rsid w:val="00F97FA8"/>
    <w:rsid w:val="00FA00B5"/>
    <w:rsid w:val="00FA0116"/>
    <w:rsid w:val="00FA0953"/>
    <w:rsid w:val="00FA0BCA"/>
    <w:rsid w:val="00FA0D54"/>
    <w:rsid w:val="00FA1406"/>
    <w:rsid w:val="00FA1447"/>
    <w:rsid w:val="00FA1803"/>
    <w:rsid w:val="00FA1840"/>
    <w:rsid w:val="00FA1A80"/>
    <w:rsid w:val="00FA1D55"/>
    <w:rsid w:val="00FA1E9E"/>
    <w:rsid w:val="00FA21FD"/>
    <w:rsid w:val="00FA2345"/>
    <w:rsid w:val="00FA26AF"/>
    <w:rsid w:val="00FA297E"/>
    <w:rsid w:val="00FA2A7D"/>
    <w:rsid w:val="00FA2D14"/>
    <w:rsid w:val="00FA2D3A"/>
    <w:rsid w:val="00FA2EF5"/>
    <w:rsid w:val="00FA2F0A"/>
    <w:rsid w:val="00FA31FB"/>
    <w:rsid w:val="00FA3244"/>
    <w:rsid w:val="00FA345C"/>
    <w:rsid w:val="00FA36BF"/>
    <w:rsid w:val="00FA3888"/>
    <w:rsid w:val="00FA3A85"/>
    <w:rsid w:val="00FA3CB8"/>
    <w:rsid w:val="00FA3D8C"/>
    <w:rsid w:val="00FA3FC4"/>
    <w:rsid w:val="00FA4169"/>
    <w:rsid w:val="00FA4292"/>
    <w:rsid w:val="00FA467A"/>
    <w:rsid w:val="00FA4CED"/>
    <w:rsid w:val="00FA4D35"/>
    <w:rsid w:val="00FA4E82"/>
    <w:rsid w:val="00FA4EAB"/>
    <w:rsid w:val="00FA51CA"/>
    <w:rsid w:val="00FA52F8"/>
    <w:rsid w:val="00FA562F"/>
    <w:rsid w:val="00FA5D25"/>
    <w:rsid w:val="00FA5E79"/>
    <w:rsid w:val="00FA62B5"/>
    <w:rsid w:val="00FA657D"/>
    <w:rsid w:val="00FA6914"/>
    <w:rsid w:val="00FA69A8"/>
    <w:rsid w:val="00FA6B88"/>
    <w:rsid w:val="00FA6F5D"/>
    <w:rsid w:val="00FA71EF"/>
    <w:rsid w:val="00FA733B"/>
    <w:rsid w:val="00FA7661"/>
    <w:rsid w:val="00FA78CA"/>
    <w:rsid w:val="00FA79C9"/>
    <w:rsid w:val="00FA7CBE"/>
    <w:rsid w:val="00FA7ECD"/>
    <w:rsid w:val="00FA7EE9"/>
    <w:rsid w:val="00FA7F32"/>
    <w:rsid w:val="00FB01C6"/>
    <w:rsid w:val="00FB02C9"/>
    <w:rsid w:val="00FB02E2"/>
    <w:rsid w:val="00FB0B3B"/>
    <w:rsid w:val="00FB0C61"/>
    <w:rsid w:val="00FB0F03"/>
    <w:rsid w:val="00FB0FE2"/>
    <w:rsid w:val="00FB1030"/>
    <w:rsid w:val="00FB104A"/>
    <w:rsid w:val="00FB11F6"/>
    <w:rsid w:val="00FB12DD"/>
    <w:rsid w:val="00FB169C"/>
    <w:rsid w:val="00FB1747"/>
    <w:rsid w:val="00FB1B63"/>
    <w:rsid w:val="00FB1D3F"/>
    <w:rsid w:val="00FB1E65"/>
    <w:rsid w:val="00FB2439"/>
    <w:rsid w:val="00FB2682"/>
    <w:rsid w:val="00FB26D6"/>
    <w:rsid w:val="00FB2731"/>
    <w:rsid w:val="00FB29B4"/>
    <w:rsid w:val="00FB2C86"/>
    <w:rsid w:val="00FB2CAA"/>
    <w:rsid w:val="00FB2DE4"/>
    <w:rsid w:val="00FB3613"/>
    <w:rsid w:val="00FB389A"/>
    <w:rsid w:val="00FB3BA2"/>
    <w:rsid w:val="00FB3C94"/>
    <w:rsid w:val="00FB4079"/>
    <w:rsid w:val="00FB40EE"/>
    <w:rsid w:val="00FB4101"/>
    <w:rsid w:val="00FB4416"/>
    <w:rsid w:val="00FB47DE"/>
    <w:rsid w:val="00FB4A25"/>
    <w:rsid w:val="00FB54D7"/>
    <w:rsid w:val="00FB55AD"/>
    <w:rsid w:val="00FB568D"/>
    <w:rsid w:val="00FB5A64"/>
    <w:rsid w:val="00FB5F72"/>
    <w:rsid w:val="00FB6000"/>
    <w:rsid w:val="00FB6112"/>
    <w:rsid w:val="00FB6364"/>
    <w:rsid w:val="00FB66B3"/>
    <w:rsid w:val="00FB6923"/>
    <w:rsid w:val="00FB6A3F"/>
    <w:rsid w:val="00FB6A84"/>
    <w:rsid w:val="00FB6A8A"/>
    <w:rsid w:val="00FB6AD1"/>
    <w:rsid w:val="00FB72C0"/>
    <w:rsid w:val="00FB741E"/>
    <w:rsid w:val="00FB7602"/>
    <w:rsid w:val="00FB77AE"/>
    <w:rsid w:val="00FB77E7"/>
    <w:rsid w:val="00FB7887"/>
    <w:rsid w:val="00FB7AFD"/>
    <w:rsid w:val="00FC01E9"/>
    <w:rsid w:val="00FC0278"/>
    <w:rsid w:val="00FC040E"/>
    <w:rsid w:val="00FC0868"/>
    <w:rsid w:val="00FC0890"/>
    <w:rsid w:val="00FC1174"/>
    <w:rsid w:val="00FC129D"/>
    <w:rsid w:val="00FC1736"/>
    <w:rsid w:val="00FC19F7"/>
    <w:rsid w:val="00FC1BF5"/>
    <w:rsid w:val="00FC1FA5"/>
    <w:rsid w:val="00FC2549"/>
    <w:rsid w:val="00FC25A8"/>
    <w:rsid w:val="00FC28C2"/>
    <w:rsid w:val="00FC295D"/>
    <w:rsid w:val="00FC2999"/>
    <w:rsid w:val="00FC2B15"/>
    <w:rsid w:val="00FC2B2C"/>
    <w:rsid w:val="00FC2BAE"/>
    <w:rsid w:val="00FC2DC1"/>
    <w:rsid w:val="00FC3064"/>
    <w:rsid w:val="00FC3165"/>
    <w:rsid w:val="00FC3397"/>
    <w:rsid w:val="00FC36B5"/>
    <w:rsid w:val="00FC374F"/>
    <w:rsid w:val="00FC384B"/>
    <w:rsid w:val="00FC390E"/>
    <w:rsid w:val="00FC39B5"/>
    <w:rsid w:val="00FC3A7B"/>
    <w:rsid w:val="00FC3B8E"/>
    <w:rsid w:val="00FC3CDD"/>
    <w:rsid w:val="00FC4029"/>
    <w:rsid w:val="00FC4053"/>
    <w:rsid w:val="00FC431F"/>
    <w:rsid w:val="00FC437B"/>
    <w:rsid w:val="00FC43A5"/>
    <w:rsid w:val="00FC4A41"/>
    <w:rsid w:val="00FC4C18"/>
    <w:rsid w:val="00FC4CFC"/>
    <w:rsid w:val="00FC4F5D"/>
    <w:rsid w:val="00FC5043"/>
    <w:rsid w:val="00FC5093"/>
    <w:rsid w:val="00FC515D"/>
    <w:rsid w:val="00FC52FE"/>
    <w:rsid w:val="00FC5388"/>
    <w:rsid w:val="00FC54B1"/>
    <w:rsid w:val="00FC5537"/>
    <w:rsid w:val="00FC58AB"/>
    <w:rsid w:val="00FC5A29"/>
    <w:rsid w:val="00FC61E5"/>
    <w:rsid w:val="00FC6843"/>
    <w:rsid w:val="00FC694C"/>
    <w:rsid w:val="00FC6A01"/>
    <w:rsid w:val="00FC6A4E"/>
    <w:rsid w:val="00FC6ACA"/>
    <w:rsid w:val="00FC7046"/>
    <w:rsid w:val="00FC7169"/>
    <w:rsid w:val="00FC7194"/>
    <w:rsid w:val="00FC7477"/>
    <w:rsid w:val="00FC76BF"/>
    <w:rsid w:val="00FC777C"/>
    <w:rsid w:val="00FC7DF6"/>
    <w:rsid w:val="00FC7FCF"/>
    <w:rsid w:val="00FD0155"/>
    <w:rsid w:val="00FD0223"/>
    <w:rsid w:val="00FD0254"/>
    <w:rsid w:val="00FD035F"/>
    <w:rsid w:val="00FD038C"/>
    <w:rsid w:val="00FD0535"/>
    <w:rsid w:val="00FD0662"/>
    <w:rsid w:val="00FD0893"/>
    <w:rsid w:val="00FD0E77"/>
    <w:rsid w:val="00FD13FD"/>
    <w:rsid w:val="00FD1881"/>
    <w:rsid w:val="00FD1D39"/>
    <w:rsid w:val="00FD1D89"/>
    <w:rsid w:val="00FD1F6F"/>
    <w:rsid w:val="00FD2034"/>
    <w:rsid w:val="00FD20B1"/>
    <w:rsid w:val="00FD2118"/>
    <w:rsid w:val="00FD243E"/>
    <w:rsid w:val="00FD2588"/>
    <w:rsid w:val="00FD279F"/>
    <w:rsid w:val="00FD2A1A"/>
    <w:rsid w:val="00FD2BAA"/>
    <w:rsid w:val="00FD311B"/>
    <w:rsid w:val="00FD3316"/>
    <w:rsid w:val="00FD38CB"/>
    <w:rsid w:val="00FD39CE"/>
    <w:rsid w:val="00FD3BD4"/>
    <w:rsid w:val="00FD3BE8"/>
    <w:rsid w:val="00FD3CC6"/>
    <w:rsid w:val="00FD3F1C"/>
    <w:rsid w:val="00FD40CB"/>
    <w:rsid w:val="00FD4189"/>
    <w:rsid w:val="00FD4304"/>
    <w:rsid w:val="00FD4515"/>
    <w:rsid w:val="00FD4547"/>
    <w:rsid w:val="00FD4630"/>
    <w:rsid w:val="00FD47B0"/>
    <w:rsid w:val="00FD48D0"/>
    <w:rsid w:val="00FD48E7"/>
    <w:rsid w:val="00FD4CAF"/>
    <w:rsid w:val="00FD505A"/>
    <w:rsid w:val="00FD53CD"/>
    <w:rsid w:val="00FD558C"/>
    <w:rsid w:val="00FD5D6C"/>
    <w:rsid w:val="00FD5D71"/>
    <w:rsid w:val="00FD5D8B"/>
    <w:rsid w:val="00FD607F"/>
    <w:rsid w:val="00FD6676"/>
    <w:rsid w:val="00FD6DBE"/>
    <w:rsid w:val="00FD6DFF"/>
    <w:rsid w:val="00FD7147"/>
    <w:rsid w:val="00FD721D"/>
    <w:rsid w:val="00FD7550"/>
    <w:rsid w:val="00FD785E"/>
    <w:rsid w:val="00FD78ED"/>
    <w:rsid w:val="00FD79CD"/>
    <w:rsid w:val="00FD79F6"/>
    <w:rsid w:val="00FD7AC6"/>
    <w:rsid w:val="00FD7B82"/>
    <w:rsid w:val="00FD7D4E"/>
    <w:rsid w:val="00FE00D0"/>
    <w:rsid w:val="00FE01FB"/>
    <w:rsid w:val="00FE0411"/>
    <w:rsid w:val="00FE0419"/>
    <w:rsid w:val="00FE04A8"/>
    <w:rsid w:val="00FE0935"/>
    <w:rsid w:val="00FE0940"/>
    <w:rsid w:val="00FE0E3A"/>
    <w:rsid w:val="00FE0FE5"/>
    <w:rsid w:val="00FE102E"/>
    <w:rsid w:val="00FE1039"/>
    <w:rsid w:val="00FE1642"/>
    <w:rsid w:val="00FE177E"/>
    <w:rsid w:val="00FE1790"/>
    <w:rsid w:val="00FE1BDA"/>
    <w:rsid w:val="00FE1BE1"/>
    <w:rsid w:val="00FE1ED9"/>
    <w:rsid w:val="00FE1FC2"/>
    <w:rsid w:val="00FE21DF"/>
    <w:rsid w:val="00FE23D9"/>
    <w:rsid w:val="00FE24CE"/>
    <w:rsid w:val="00FE2826"/>
    <w:rsid w:val="00FE2891"/>
    <w:rsid w:val="00FE299B"/>
    <w:rsid w:val="00FE2AA6"/>
    <w:rsid w:val="00FE2BF7"/>
    <w:rsid w:val="00FE2C10"/>
    <w:rsid w:val="00FE2E44"/>
    <w:rsid w:val="00FE3364"/>
    <w:rsid w:val="00FE339E"/>
    <w:rsid w:val="00FE33D5"/>
    <w:rsid w:val="00FE3680"/>
    <w:rsid w:val="00FE38D4"/>
    <w:rsid w:val="00FE3B31"/>
    <w:rsid w:val="00FE3DF1"/>
    <w:rsid w:val="00FE3F85"/>
    <w:rsid w:val="00FE43BD"/>
    <w:rsid w:val="00FE43F1"/>
    <w:rsid w:val="00FE44B9"/>
    <w:rsid w:val="00FE46BC"/>
    <w:rsid w:val="00FE490C"/>
    <w:rsid w:val="00FE507C"/>
    <w:rsid w:val="00FE5594"/>
    <w:rsid w:val="00FE55B9"/>
    <w:rsid w:val="00FE60AF"/>
    <w:rsid w:val="00FE6439"/>
    <w:rsid w:val="00FE6447"/>
    <w:rsid w:val="00FE649F"/>
    <w:rsid w:val="00FE64EE"/>
    <w:rsid w:val="00FE6945"/>
    <w:rsid w:val="00FE6C10"/>
    <w:rsid w:val="00FE71B2"/>
    <w:rsid w:val="00FE741D"/>
    <w:rsid w:val="00FE7778"/>
    <w:rsid w:val="00FE7A13"/>
    <w:rsid w:val="00FE7BCA"/>
    <w:rsid w:val="00FE7CE4"/>
    <w:rsid w:val="00FE7D9F"/>
    <w:rsid w:val="00FE7F2D"/>
    <w:rsid w:val="00FF0073"/>
    <w:rsid w:val="00FF03BB"/>
    <w:rsid w:val="00FF0A3E"/>
    <w:rsid w:val="00FF10D8"/>
    <w:rsid w:val="00FF1583"/>
    <w:rsid w:val="00FF15D4"/>
    <w:rsid w:val="00FF17BC"/>
    <w:rsid w:val="00FF19C6"/>
    <w:rsid w:val="00FF1C2B"/>
    <w:rsid w:val="00FF1CE6"/>
    <w:rsid w:val="00FF1E0C"/>
    <w:rsid w:val="00FF2130"/>
    <w:rsid w:val="00FF2861"/>
    <w:rsid w:val="00FF2962"/>
    <w:rsid w:val="00FF2B07"/>
    <w:rsid w:val="00FF2D10"/>
    <w:rsid w:val="00FF2DB5"/>
    <w:rsid w:val="00FF2E10"/>
    <w:rsid w:val="00FF2E3F"/>
    <w:rsid w:val="00FF3396"/>
    <w:rsid w:val="00FF3533"/>
    <w:rsid w:val="00FF35D4"/>
    <w:rsid w:val="00FF3609"/>
    <w:rsid w:val="00FF36BC"/>
    <w:rsid w:val="00FF36F5"/>
    <w:rsid w:val="00FF3893"/>
    <w:rsid w:val="00FF38F6"/>
    <w:rsid w:val="00FF3A19"/>
    <w:rsid w:val="00FF3BB1"/>
    <w:rsid w:val="00FF3C7A"/>
    <w:rsid w:val="00FF3C90"/>
    <w:rsid w:val="00FF4153"/>
    <w:rsid w:val="00FF41EF"/>
    <w:rsid w:val="00FF420C"/>
    <w:rsid w:val="00FF4550"/>
    <w:rsid w:val="00FF4969"/>
    <w:rsid w:val="00FF49EE"/>
    <w:rsid w:val="00FF49F1"/>
    <w:rsid w:val="00FF52B2"/>
    <w:rsid w:val="00FF5301"/>
    <w:rsid w:val="00FF57A7"/>
    <w:rsid w:val="00FF57EA"/>
    <w:rsid w:val="00FF5EBD"/>
    <w:rsid w:val="00FF602E"/>
    <w:rsid w:val="00FF6350"/>
    <w:rsid w:val="00FF6453"/>
    <w:rsid w:val="00FF669D"/>
    <w:rsid w:val="00FF66DB"/>
    <w:rsid w:val="00FF682D"/>
    <w:rsid w:val="00FF68B7"/>
    <w:rsid w:val="00FF6A62"/>
    <w:rsid w:val="00FF6ABE"/>
    <w:rsid w:val="00FF6BC5"/>
    <w:rsid w:val="00FF6C0C"/>
    <w:rsid w:val="00FF6C68"/>
    <w:rsid w:val="00FF7049"/>
    <w:rsid w:val="00FF76C1"/>
    <w:rsid w:val="00FF7AA0"/>
    <w:rsid w:val="00FF7B36"/>
    <w:rsid w:val="00FF7B90"/>
    <w:rsid w:val="012B43C0"/>
    <w:rsid w:val="016D1A95"/>
    <w:rsid w:val="018854A2"/>
    <w:rsid w:val="01B32896"/>
    <w:rsid w:val="027F5AC8"/>
    <w:rsid w:val="02B41CA0"/>
    <w:rsid w:val="02C4519A"/>
    <w:rsid w:val="032609B7"/>
    <w:rsid w:val="040F6EB0"/>
    <w:rsid w:val="043E727A"/>
    <w:rsid w:val="045B750D"/>
    <w:rsid w:val="04866CC1"/>
    <w:rsid w:val="048B67A1"/>
    <w:rsid w:val="0493750E"/>
    <w:rsid w:val="04DC2508"/>
    <w:rsid w:val="04E70D14"/>
    <w:rsid w:val="050711E9"/>
    <w:rsid w:val="05101664"/>
    <w:rsid w:val="05C01560"/>
    <w:rsid w:val="066F18FD"/>
    <w:rsid w:val="068D4151"/>
    <w:rsid w:val="06B038FE"/>
    <w:rsid w:val="06D76610"/>
    <w:rsid w:val="072F5F47"/>
    <w:rsid w:val="073216E4"/>
    <w:rsid w:val="075A7A61"/>
    <w:rsid w:val="08106AB3"/>
    <w:rsid w:val="08142EE2"/>
    <w:rsid w:val="08CD24A7"/>
    <w:rsid w:val="08E542E7"/>
    <w:rsid w:val="08FA0910"/>
    <w:rsid w:val="09064266"/>
    <w:rsid w:val="091C2551"/>
    <w:rsid w:val="09254FEA"/>
    <w:rsid w:val="09E22451"/>
    <w:rsid w:val="09ED5495"/>
    <w:rsid w:val="09FD63B0"/>
    <w:rsid w:val="0A1F1766"/>
    <w:rsid w:val="0A4F5915"/>
    <w:rsid w:val="0A8A29A2"/>
    <w:rsid w:val="0A932A2B"/>
    <w:rsid w:val="0AD400E0"/>
    <w:rsid w:val="0AE43A3B"/>
    <w:rsid w:val="0B0B5F91"/>
    <w:rsid w:val="0B490C17"/>
    <w:rsid w:val="0B5F7586"/>
    <w:rsid w:val="0B94397A"/>
    <w:rsid w:val="0C955E82"/>
    <w:rsid w:val="0D68573C"/>
    <w:rsid w:val="0DF05B36"/>
    <w:rsid w:val="0DF60087"/>
    <w:rsid w:val="0E0E14EF"/>
    <w:rsid w:val="0E1515DC"/>
    <w:rsid w:val="0E3E5F0B"/>
    <w:rsid w:val="0E526084"/>
    <w:rsid w:val="0E9A3FEF"/>
    <w:rsid w:val="0F2E5839"/>
    <w:rsid w:val="0F556D11"/>
    <w:rsid w:val="0FD73142"/>
    <w:rsid w:val="107C644B"/>
    <w:rsid w:val="108E2653"/>
    <w:rsid w:val="10E0469F"/>
    <w:rsid w:val="113604BD"/>
    <w:rsid w:val="114E772A"/>
    <w:rsid w:val="11AE7C62"/>
    <w:rsid w:val="11F4071E"/>
    <w:rsid w:val="12421F5F"/>
    <w:rsid w:val="12596B50"/>
    <w:rsid w:val="12A6739B"/>
    <w:rsid w:val="12AF4E3A"/>
    <w:rsid w:val="12FA1777"/>
    <w:rsid w:val="12FF209B"/>
    <w:rsid w:val="13084094"/>
    <w:rsid w:val="133930A1"/>
    <w:rsid w:val="13816320"/>
    <w:rsid w:val="13DD6389"/>
    <w:rsid w:val="14096850"/>
    <w:rsid w:val="1429340E"/>
    <w:rsid w:val="1450744A"/>
    <w:rsid w:val="14854A64"/>
    <w:rsid w:val="1527628F"/>
    <w:rsid w:val="15827AA1"/>
    <w:rsid w:val="15B31132"/>
    <w:rsid w:val="15EE79FF"/>
    <w:rsid w:val="161E7D4A"/>
    <w:rsid w:val="1651506F"/>
    <w:rsid w:val="16585F13"/>
    <w:rsid w:val="167825C5"/>
    <w:rsid w:val="16D6711A"/>
    <w:rsid w:val="176B70A2"/>
    <w:rsid w:val="177D3B66"/>
    <w:rsid w:val="17CA4F4E"/>
    <w:rsid w:val="17DC3D3D"/>
    <w:rsid w:val="181D6F4F"/>
    <w:rsid w:val="187B3099"/>
    <w:rsid w:val="187C7B6B"/>
    <w:rsid w:val="188E4499"/>
    <w:rsid w:val="195758FF"/>
    <w:rsid w:val="196A3E46"/>
    <w:rsid w:val="19801317"/>
    <w:rsid w:val="198C7AA8"/>
    <w:rsid w:val="19F22C84"/>
    <w:rsid w:val="1AAE2BB9"/>
    <w:rsid w:val="1AB168AF"/>
    <w:rsid w:val="1B433918"/>
    <w:rsid w:val="1B672D43"/>
    <w:rsid w:val="1B9E2D93"/>
    <w:rsid w:val="1BD712B5"/>
    <w:rsid w:val="1C005886"/>
    <w:rsid w:val="1C47666C"/>
    <w:rsid w:val="1C7D2E59"/>
    <w:rsid w:val="1C897BBD"/>
    <w:rsid w:val="1C9B5EF5"/>
    <w:rsid w:val="1D096824"/>
    <w:rsid w:val="1D11495B"/>
    <w:rsid w:val="1D2034FA"/>
    <w:rsid w:val="1D533A84"/>
    <w:rsid w:val="1E0C0A3F"/>
    <w:rsid w:val="1E1B6A43"/>
    <w:rsid w:val="1E31607E"/>
    <w:rsid w:val="1E6C41D4"/>
    <w:rsid w:val="1E7868B4"/>
    <w:rsid w:val="1E915687"/>
    <w:rsid w:val="1E993153"/>
    <w:rsid w:val="1EB47D91"/>
    <w:rsid w:val="1F9E723F"/>
    <w:rsid w:val="1FA4237F"/>
    <w:rsid w:val="1FBD3A6A"/>
    <w:rsid w:val="204855D9"/>
    <w:rsid w:val="20C64960"/>
    <w:rsid w:val="20D56338"/>
    <w:rsid w:val="211D7779"/>
    <w:rsid w:val="211E16A3"/>
    <w:rsid w:val="213B0717"/>
    <w:rsid w:val="21816F48"/>
    <w:rsid w:val="21C6742F"/>
    <w:rsid w:val="220660F9"/>
    <w:rsid w:val="22100275"/>
    <w:rsid w:val="224669C8"/>
    <w:rsid w:val="224F55E0"/>
    <w:rsid w:val="227F31A4"/>
    <w:rsid w:val="22885D49"/>
    <w:rsid w:val="22B50847"/>
    <w:rsid w:val="22EF385E"/>
    <w:rsid w:val="24260834"/>
    <w:rsid w:val="24694310"/>
    <w:rsid w:val="24C640B7"/>
    <w:rsid w:val="24C66BF9"/>
    <w:rsid w:val="24D70D2A"/>
    <w:rsid w:val="24DE59DF"/>
    <w:rsid w:val="24DF291C"/>
    <w:rsid w:val="254456DB"/>
    <w:rsid w:val="25864B02"/>
    <w:rsid w:val="25986AD7"/>
    <w:rsid w:val="25BF7AC5"/>
    <w:rsid w:val="262C1161"/>
    <w:rsid w:val="266D01FC"/>
    <w:rsid w:val="26F5064C"/>
    <w:rsid w:val="2772050D"/>
    <w:rsid w:val="278368D7"/>
    <w:rsid w:val="280332F2"/>
    <w:rsid w:val="2811707B"/>
    <w:rsid w:val="282B00CA"/>
    <w:rsid w:val="284D3BAA"/>
    <w:rsid w:val="28695180"/>
    <w:rsid w:val="28905E6A"/>
    <w:rsid w:val="28A4316E"/>
    <w:rsid w:val="28B77F4F"/>
    <w:rsid w:val="28EF4CAD"/>
    <w:rsid w:val="2954460B"/>
    <w:rsid w:val="297C748F"/>
    <w:rsid w:val="297D4CE4"/>
    <w:rsid w:val="2993158A"/>
    <w:rsid w:val="29980511"/>
    <w:rsid w:val="29C252E5"/>
    <w:rsid w:val="2A115251"/>
    <w:rsid w:val="2A204BF5"/>
    <w:rsid w:val="2AC26A40"/>
    <w:rsid w:val="2B1C3785"/>
    <w:rsid w:val="2B3B1B11"/>
    <w:rsid w:val="2B4A0743"/>
    <w:rsid w:val="2BBF4C1E"/>
    <w:rsid w:val="2BDB5DF0"/>
    <w:rsid w:val="2BF66AE3"/>
    <w:rsid w:val="2CC94E3E"/>
    <w:rsid w:val="2D3E23E0"/>
    <w:rsid w:val="2D59061B"/>
    <w:rsid w:val="2D712627"/>
    <w:rsid w:val="2D8720AA"/>
    <w:rsid w:val="2D8D6592"/>
    <w:rsid w:val="2DD44907"/>
    <w:rsid w:val="2DE066F3"/>
    <w:rsid w:val="2E1168FD"/>
    <w:rsid w:val="2E257E35"/>
    <w:rsid w:val="2E2D6DDD"/>
    <w:rsid w:val="2E303D80"/>
    <w:rsid w:val="2E8D0902"/>
    <w:rsid w:val="2EC513B3"/>
    <w:rsid w:val="2ECE61C5"/>
    <w:rsid w:val="2F520A9E"/>
    <w:rsid w:val="2F74449D"/>
    <w:rsid w:val="2FC57A38"/>
    <w:rsid w:val="2FF21EEE"/>
    <w:rsid w:val="304729C9"/>
    <w:rsid w:val="304B30E8"/>
    <w:rsid w:val="308C034E"/>
    <w:rsid w:val="30962672"/>
    <w:rsid w:val="30CE3B8B"/>
    <w:rsid w:val="31D30547"/>
    <w:rsid w:val="31D46138"/>
    <w:rsid w:val="31DC081A"/>
    <w:rsid w:val="31DD4020"/>
    <w:rsid w:val="32004F97"/>
    <w:rsid w:val="324F25BD"/>
    <w:rsid w:val="325B297A"/>
    <w:rsid w:val="327646CA"/>
    <w:rsid w:val="3292430F"/>
    <w:rsid w:val="32947604"/>
    <w:rsid w:val="32955744"/>
    <w:rsid w:val="32CF0616"/>
    <w:rsid w:val="33685137"/>
    <w:rsid w:val="33952C78"/>
    <w:rsid w:val="33B320FB"/>
    <w:rsid w:val="33CB6053"/>
    <w:rsid w:val="33D91BED"/>
    <w:rsid w:val="340234C8"/>
    <w:rsid w:val="3402352B"/>
    <w:rsid w:val="34385C46"/>
    <w:rsid w:val="348F5CCA"/>
    <w:rsid w:val="34B65DD9"/>
    <w:rsid w:val="353A2C3F"/>
    <w:rsid w:val="359D6BAA"/>
    <w:rsid w:val="36332AE2"/>
    <w:rsid w:val="36510498"/>
    <w:rsid w:val="3656054B"/>
    <w:rsid w:val="367067EB"/>
    <w:rsid w:val="3675673F"/>
    <w:rsid w:val="36F409FF"/>
    <w:rsid w:val="371F5355"/>
    <w:rsid w:val="37245315"/>
    <w:rsid w:val="37EF02B3"/>
    <w:rsid w:val="37F03C35"/>
    <w:rsid w:val="37F90E32"/>
    <w:rsid w:val="381B7CE5"/>
    <w:rsid w:val="388807E1"/>
    <w:rsid w:val="38890E55"/>
    <w:rsid w:val="38996974"/>
    <w:rsid w:val="390B729C"/>
    <w:rsid w:val="3918095B"/>
    <w:rsid w:val="39185644"/>
    <w:rsid w:val="394301E7"/>
    <w:rsid w:val="39CB41E7"/>
    <w:rsid w:val="39F6766B"/>
    <w:rsid w:val="39FF7118"/>
    <w:rsid w:val="3A112093"/>
    <w:rsid w:val="3B0448B1"/>
    <w:rsid w:val="3B127056"/>
    <w:rsid w:val="3B955CEA"/>
    <w:rsid w:val="3BB43FF2"/>
    <w:rsid w:val="3BC20BB5"/>
    <w:rsid w:val="3D2F6C50"/>
    <w:rsid w:val="3D506CAD"/>
    <w:rsid w:val="3D563A1A"/>
    <w:rsid w:val="3D65235E"/>
    <w:rsid w:val="3D7D3F52"/>
    <w:rsid w:val="3E1433FF"/>
    <w:rsid w:val="3E253377"/>
    <w:rsid w:val="3E8131BC"/>
    <w:rsid w:val="3EAA3ECA"/>
    <w:rsid w:val="3EB624B7"/>
    <w:rsid w:val="3EB77F16"/>
    <w:rsid w:val="3EBA6B6C"/>
    <w:rsid w:val="3EBE457A"/>
    <w:rsid w:val="3EDB6167"/>
    <w:rsid w:val="3F50295E"/>
    <w:rsid w:val="3FAE7DC9"/>
    <w:rsid w:val="3FB91203"/>
    <w:rsid w:val="3FC81338"/>
    <w:rsid w:val="40000AF5"/>
    <w:rsid w:val="40652D2D"/>
    <w:rsid w:val="40832FD9"/>
    <w:rsid w:val="40BF41FB"/>
    <w:rsid w:val="41244F19"/>
    <w:rsid w:val="413015F5"/>
    <w:rsid w:val="415453FB"/>
    <w:rsid w:val="41724065"/>
    <w:rsid w:val="41AA1D3D"/>
    <w:rsid w:val="41C0182E"/>
    <w:rsid w:val="420B1DE1"/>
    <w:rsid w:val="420C7341"/>
    <w:rsid w:val="429B3F9E"/>
    <w:rsid w:val="42B22067"/>
    <w:rsid w:val="42C27BF0"/>
    <w:rsid w:val="42CE6F18"/>
    <w:rsid w:val="42FD64BD"/>
    <w:rsid w:val="43525240"/>
    <w:rsid w:val="43670613"/>
    <w:rsid w:val="43BF4CBE"/>
    <w:rsid w:val="43DE6469"/>
    <w:rsid w:val="441C12F6"/>
    <w:rsid w:val="44521BBF"/>
    <w:rsid w:val="44587B40"/>
    <w:rsid w:val="44BB5506"/>
    <w:rsid w:val="44E3042C"/>
    <w:rsid w:val="44EA3C0D"/>
    <w:rsid w:val="44EC2138"/>
    <w:rsid w:val="45123290"/>
    <w:rsid w:val="45371A08"/>
    <w:rsid w:val="455E64D6"/>
    <w:rsid w:val="45F82D3C"/>
    <w:rsid w:val="46460B59"/>
    <w:rsid w:val="46994E05"/>
    <w:rsid w:val="469B0DE8"/>
    <w:rsid w:val="46A30787"/>
    <w:rsid w:val="46F44F55"/>
    <w:rsid w:val="472653D0"/>
    <w:rsid w:val="47286D9B"/>
    <w:rsid w:val="47627759"/>
    <w:rsid w:val="477269F4"/>
    <w:rsid w:val="478319BC"/>
    <w:rsid w:val="47E91774"/>
    <w:rsid w:val="480E2E23"/>
    <w:rsid w:val="481352E8"/>
    <w:rsid w:val="481A5D47"/>
    <w:rsid w:val="484D50CB"/>
    <w:rsid w:val="48642A6E"/>
    <w:rsid w:val="48715233"/>
    <w:rsid w:val="497777FB"/>
    <w:rsid w:val="4981062B"/>
    <w:rsid w:val="49AB3D8F"/>
    <w:rsid w:val="4A372A5F"/>
    <w:rsid w:val="4A7333EB"/>
    <w:rsid w:val="4B2E35E8"/>
    <w:rsid w:val="4B356404"/>
    <w:rsid w:val="4B3E2D0F"/>
    <w:rsid w:val="4B64411A"/>
    <w:rsid w:val="4B9F78B6"/>
    <w:rsid w:val="4BB83042"/>
    <w:rsid w:val="4BC45AB2"/>
    <w:rsid w:val="4BEC5019"/>
    <w:rsid w:val="4C177A0F"/>
    <w:rsid w:val="4C46679E"/>
    <w:rsid w:val="4C576AD3"/>
    <w:rsid w:val="4C654BD9"/>
    <w:rsid w:val="4C8355CC"/>
    <w:rsid w:val="4C85528F"/>
    <w:rsid w:val="4C896215"/>
    <w:rsid w:val="4CB035DD"/>
    <w:rsid w:val="4D2C5B24"/>
    <w:rsid w:val="4D3A3A7A"/>
    <w:rsid w:val="4D507C8C"/>
    <w:rsid w:val="4D760707"/>
    <w:rsid w:val="4D955729"/>
    <w:rsid w:val="4DE24D79"/>
    <w:rsid w:val="4DED0506"/>
    <w:rsid w:val="4E357891"/>
    <w:rsid w:val="4E3978B1"/>
    <w:rsid w:val="4E496916"/>
    <w:rsid w:val="4E6F66A6"/>
    <w:rsid w:val="4E75009E"/>
    <w:rsid w:val="4E9D3046"/>
    <w:rsid w:val="4F287420"/>
    <w:rsid w:val="4F3F1013"/>
    <w:rsid w:val="4F661E47"/>
    <w:rsid w:val="4F8134EC"/>
    <w:rsid w:val="4F886629"/>
    <w:rsid w:val="4FAD6070"/>
    <w:rsid w:val="4FE11813"/>
    <w:rsid w:val="4FF45071"/>
    <w:rsid w:val="5025576C"/>
    <w:rsid w:val="504470D9"/>
    <w:rsid w:val="50FB72CF"/>
    <w:rsid w:val="51045956"/>
    <w:rsid w:val="51184451"/>
    <w:rsid w:val="511B61C1"/>
    <w:rsid w:val="51516D7F"/>
    <w:rsid w:val="51904FD5"/>
    <w:rsid w:val="521F3148"/>
    <w:rsid w:val="52327F01"/>
    <w:rsid w:val="52792243"/>
    <w:rsid w:val="52887A30"/>
    <w:rsid w:val="52891F03"/>
    <w:rsid w:val="53381FC6"/>
    <w:rsid w:val="53443098"/>
    <w:rsid w:val="535B6401"/>
    <w:rsid w:val="537B747B"/>
    <w:rsid w:val="53AC0A0E"/>
    <w:rsid w:val="53C16958"/>
    <w:rsid w:val="53E16D93"/>
    <w:rsid w:val="541A5376"/>
    <w:rsid w:val="544363CF"/>
    <w:rsid w:val="54C52BBA"/>
    <w:rsid w:val="54D33031"/>
    <w:rsid w:val="54EB4B72"/>
    <w:rsid w:val="54FE30B7"/>
    <w:rsid w:val="55203910"/>
    <w:rsid w:val="55295351"/>
    <w:rsid w:val="55A053A5"/>
    <w:rsid w:val="55CB602B"/>
    <w:rsid w:val="561B7056"/>
    <w:rsid w:val="56466503"/>
    <w:rsid w:val="56945133"/>
    <w:rsid w:val="56AA70E0"/>
    <w:rsid w:val="56D0007E"/>
    <w:rsid w:val="5725049E"/>
    <w:rsid w:val="573D4070"/>
    <w:rsid w:val="57AD2336"/>
    <w:rsid w:val="57C31FC6"/>
    <w:rsid w:val="57FA34CB"/>
    <w:rsid w:val="581D0A71"/>
    <w:rsid w:val="58287BFC"/>
    <w:rsid w:val="58370313"/>
    <w:rsid w:val="584E6736"/>
    <w:rsid w:val="58530AFA"/>
    <w:rsid w:val="58964B9E"/>
    <w:rsid w:val="59076765"/>
    <w:rsid w:val="591D25A2"/>
    <w:rsid w:val="592B600B"/>
    <w:rsid w:val="596E26F9"/>
    <w:rsid w:val="5A194C76"/>
    <w:rsid w:val="5A475EC1"/>
    <w:rsid w:val="5A4B3FA1"/>
    <w:rsid w:val="5A512C54"/>
    <w:rsid w:val="5AB751AD"/>
    <w:rsid w:val="5ABC6692"/>
    <w:rsid w:val="5AC81C5C"/>
    <w:rsid w:val="5AD049B1"/>
    <w:rsid w:val="5B114DE2"/>
    <w:rsid w:val="5B3F4DE0"/>
    <w:rsid w:val="5B581EA0"/>
    <w:rsid w:val="5B8167AD"/>
    <w:rsid w:val="5BAB1113"/>
    <w:rsid w:val="5BD61C93"/>
    <w:rsid w:val="5C0840A6"/>
    <w:rsid w:val="5C17623D"/>
    <w:rsid w:val="5C582223"/>
    <w:rsid w:val="5CCC14A2"/>
    <w:rsid w:val="5CF4051D"/>
    <w:rsid w:val="5D792BB9"/>
    <w:rsid w:val="5D85364E"/>
    <w:rsid w:val="5DA827D0"/>
    <w:rsid w:val="5E03404C"/>
    <w:rsid w:val="5E3F6EF0"/>
    <w:rsid w:val="5E4B3F5A"/>
    <w:rsid w:val="5ED97C7A"/>
    <w:rsid w:val="5EEC3098"/>
    <w:rsid w:val="5EED50EB"/>
    <w:rsid w:val="5F2839F7"/>
    <w:rsid w:val="5F41014A"/>
    <w:rsid w:val="5F68432D"/>
    <w:rsid w:val="5F8A046E"/>
    <w:rsid w:val="5FFD1052"/>
    <w:rsid w:val="60063619"/>
    <w:rsid w:val="60406ED1"/>
    <w:rsid w:val="607466A0"/>
    <w:rsid w:val="60D513CF"/>
    <w:rsid w:val="60E8467E"/>
    <w:rsid w:val="60F641C9"/>
    <w:rsid w:val="6170100D"/>
    <w:rsid w:val="619E7B49"/>
    <w:rsid w:val="61C275CE"/>
    <w:rsid w:val="627F3D75"/>
    <w:rsid w:val="6284758B"/>
    <w:rsid w:val="62A07156"/>
    <w:rsid w:val="6392171F"/>
    <w:rsid w:val="642047A1"/>
    <w:rsid w:val="643C7B89"/>
    <w:rsid w:val="64703171"/>
    <w:rsid w:val="649B3FC0"/>
    <w:rsid w:val="658B0AA7"/>
    <w:rsid w:val="65AF67D0"/>
    <w:rsid w:val="65FB6AAB"/>
    <w:rsid w:val="663B60AB"/>
    <w:rsid w:val="66B01C37"/>
    <w:rsid w:val="66B360D3"/>
    <w:rsid w:val="66D21F3D"/>
    <w:rsid w:val="67521025"/>
    <w:rsid w:val="67B36458"/>
    <w:rsid w:val="67D477A0"/>
    <w:rsid w:val="67F51EF5"/>
    <w:rsid w:val="68111442"/>
    <w:rsid w:val="681153E1"/>
    <w:rsid w:val="684C3D90"/>
    <w:rsid w:val="68697907"/>
    <w:rsid w:val="68E93F2F"/>
    <w:rsid w:val="69026C71"/>
    <w:rsid w:val="69A960B3"/>
    <w:rsid w:val="69B74A23"/>
    <w:rsid w:val="69F66A2C"/>
    <w:rsid w:val="6A261A07"/>
    <w:rsid w:val="6A4B25C1"/>
    <w:rsid w:val="6A895796"/>
    <w:rsid w:val="6AB7748A"/>
    <w:rsid w:val="6B097D94"/>
    <w:rsid w:val="6B0A1DC5"/>
    <w:rsid w:val="6BC5236B"/>
    <w:rsid w:val="6BEA41E9"/>
    <w:rsid w:val="6C0871C8"/>
    <w:rsid w:val="6C3022DF"/>
    <w:rsid w:val="6C3762BE"/>
    <w:rsid w:val="6C606F3F"/>
    <w:rsid w:val="6CCE4083"/>
    <w:rsid w:val="6E7C73CB"/>
    <w:rsid w:val="6EB23D75"/>
    <w:rsid w:val="6EB371D1"/>
    <w:rsid w:val="6EC25CB9"/>
    <w:rsid w:val="6F3A59B7"/>
    <w:rsid w:val="6F7C0293"/>
    <w:rsid w:val="6F9F3688"/>
    <w:rsid w:val="701D453F"/>
    <w:rsid w:val="70262053"/>
    <w:rsid w:val="70383583"/>
    <w:rsid w:val="70B95E53"/>
    <w:rsid w:val="713E3405"/>
    <w:rsid w:val="71453BC8"/>
    <w:rsid w:val="715F2D85"/>
    <w:rsid w:val="71916BE3"/>
    <w:rsid w:val="719F31AF"/>
    <w:rsid w:val="71B35203"/>
    <w:rsid w:val="71D10B07"/>
    <w:rsid w:val="72016D5A"/>
    <w:rsid w:val="72142B69"/>
    <w:rsid w:val="721E06A8"/>
    <w:rsid w:val="72424B74"/>
    <w:rsid w:val="72453F07"/>
    <w:rsid w:val="725970AD"/>
    <w:rsid w:val="725F26A1"/>
    <w:rsid w:val="728E38B3"/>
    <w:rsid w:val="72B868AA"/>
    <w:rsid w:val="73051A8E"/>
    <w:rsid w:val="730C7290"/>
    <w:rsid w:val="734F2BE9"/>
    <w:rsid w:val="73753322"/>
    <w:rsid w:val="73C51B4A"/>
    <w:rsid w:val="74951C63"/>
    <w:rsid w:val="74C47854"/>
    <w:rsid w:val="74C71148"/>
    <w:rsid w:val="751F06AD"/>
    <w:rsid w:val="75243823"/>
    <w:rsid w:val="75397EDA"/>
    <w:rsid w:val="75A91B22"/>
    <w:rsid w:val="75AE296C"/>
    <w:rsid w:val="75BB51F6"/>
    <w:rsid w:val="75C75F26"/>
    <w:rsid w:val="75DF6BAD"/>
    <w:rsid w:val="760B0D1A"/>
    <w:rsid w:val="760F66EB"/>
    <w:rsid w:val="765F54BC"/>
    <w:rsid w:val="76916D6F"/>
    <w:rsid w:val="76A0243B"/>
    <w:rsid w:val="76BA1C81"/>
    <w:rsid w:val="76C91F27"/>
    <w:rsid w:val="773429E5"/>
    <w:rsid w:val="7747120F"/>
    <w:rsid w:val="777E7183"/>
    <w:rsid w:val="77A31E4F"/>
    <w:rsid w:val="77F0356F"/>
    <w:rsid w:val="781A286A"/>
    <w:rsid w:val="782C56E9"/>
    <w:rsid w:val="78972A16"/>
    <w:rsid w:val="79026E68"/>
    <w:rsid w:val="793D1455"/>
    <w:rsid w:val="795E7140"/>
    <w:rsid w:val="79B73A71"/>
    <w:rsid w:val="79BD30C2"/>
    <w:rsid w:val="79D62235"/>
    <w:rsid w:val="7A1C2949"/>
    <w:rsid w:val="7A20309E"/>
    <w:rsid w:val="7A326439"/>
    <w:rsid w:val="7A5903D1"/>
    <w:rsid w:val="7A5B6CAA"/>
    <w:rsid w:val="7A627F22"/>
    <w:rsid w:val="7A936298"/>
    <w:rsid w:val="7AAA52A1"/>
    <w:rsid w:val="7AC5363B"/>
    <w:rsid w:val="7ADE2223"/>
    <w:rsid w:val="7B4C3325"/>
    <w:rsid w:val="7B845D97"/>
    <w:rsid w:val="7BF40427"/>
    <w:rsid w:val="7BFF5403"/>
    <w:rsid w:val="7C145481"/>
    <w:rsid w:val="7C273FAE"/>
    <w:rsid w:val="7C664B8F"/>
    <w:rsid w:val="7CC357FA"/>
    <w:rsid w:val="7CE56593"/>
    <w:rsid w:val="7D820CBF"/>
    <w:rsid w:val="7DAC1CC0"/>
    <w:rsid w:val="7DCA71EC"/>
    <w:rsid w:val="7E192954"/>
    <w:rsid w:val="7E2E2271"/>
    <w:rsid w:val="7E863F65"/>
    <w:rsid w:val="7EBE4C0F"/>
    <w:rsid w:val="7EC426B0"/>
    <w:rsid w:val="7EDA5A44"/>
    <w:rsid w:val="7F0F1BE3"/>
    <w:rsid w:val="7F1359FA"/>
    <w:rsid w:val="7F231523"/>
    <w:rsid w:val="7F3D01DA"/>
    <w:rsid w:val="7F40145F"/>
    <w:rsid w:val="7F427917"/>
    <w:rsid w:val="7F6D00E6"/>
    <w:rsid w:val="7F913AFB"/>
    <w:rsid w:val="7FB47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7C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qFormat="1"/>
    <w:lsdException w:name="footnote text" w:qFormat="1"/>
    <w:lsdException w:name="annotation text" w:uiPriority="99" w:qFormat="1"/>
    <w:lsdException w:name="header" w:unhideWhenUsed="1" w:qFormat="1"/>
    <w:lsdException w:name="footer" w:unhideWhenUsed="1" w:qFormat="1"/>
    <w:lsdException w:name="index heading" w:qFormat="1"/>
    <w:lsdException w:name="caption" w:unhideWhenUsed="1" w:qFormat="1"/>
    <w:lsdException w:name="table of figures" w:qFormat="1"/>
    <w:lsdException w:name="envelope address" w:qFormat="1"/>
    <w:lsdException w:name="envelope return" w:qFormat="1"/>
    <w:lsdException w:name="footnote reference" w:uiPriority="99" w:qFormat="1"/>
    <w:lsdException w:name="annotation reference" w:qFormat="1"/>
    <w:lsdException w:name="line number" w:qFormat="1"/>
    <w:lsdException w:name="page number" w:qFormat="1"/>
    <w:lsdException w:name="endnote reference" w:uiPriority="99" w:qFormat="1"/>
    <w:lsdException w:name="endnote text" w:uiPriority="99" w:qFormat="1"/>
    <w:lsdException w:name="table of authorities" w:qFormat="1"/>
    <w:lsdException w:name="macro" w:unhideWhenUsed="1" w:qFormat="1"/>
    <w:lsdException w:name="toa heading" w:qFormat="1"/>
    <w:lsdException w:name="List" w:qFormat="1"/>
    <w:lsdException w:name="List Bullet" w:uiPriority="4" w:qFormat="1"/>
    <w:lsdException w:name="List Number" w:qFormat="1"/>
    <w:lsdException w:name="List 2" w:qFormat="1"/>
    <w:lsdException w:name="List 3" w:qFormat="1"/>
    <w:lsdException w:name="List 4" w:qFormat="1"/>
    <w:lsdException w:name="List 5" w:uiPriority="99"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unhideWhenUsed="1" w:qFormat="1"/>
    <w:lsdException w:name="List Continue" w:uiPriority="99"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iPriority="99" w:qFormat="1"/>
    <w:lsdException w:name="Hyperlink" w:uiPriority="99" w:unhideWhenUsed="1"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uiPriority="99"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uiPriority="99"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39" w:qFormat="1"/>
    <w:lsdException w:name="Table Theme" w:semiHidden="1" w:unhideWhenUsed="1" w:qFormat="1"/>
    <w:lsdException w:name="Placeholder Text" w:uiPriority="99"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pPr>
      <w:widowControl w:val="0"/>
      <w:jc w:val="both"/>
    </w:pPr>
    <w:rPr>
      <w:kern w:val="2"/>
      <w:sz w:val="21"/>
      <w:szCs w:val="21"/>
    </w:rPr>
  </w:style>
  <w:style w:type="paragraph" w:styleId="1">
    <w:name w:val="heading 1"/>
    <w:basedOn w:val="a7"/>
    <w:next w:val="a7"/>
    <w:link w:val="10"/>
    <w:qFormat/>
    <w:pPr>
      <w:numPr>
        <w:numId w:val="1"/>
      </w:numPr>
      <w:snapToGrid w:val="0"/>
      <w:spacing w:beforeLines="50" w:before="50" w:line="360" w:lineRule="auto"/>
      <w:ind w:left="0" w:firstLine="0"/>
      <w:outlineLvl w:val="0"/>
    </w:pPr>
    <w:rPr>
      <w:rFonts w:eastAsia="方正大黑简体"/>
      <w:kern w:val="44"/>
      <w:sz w:val="44"/>
    </w:rPr>
  </w:style>
  <w:style w:type="paragraph" w:styleId="21">
    <w:name w:val="heading 2"/>
    <w:basedOn w:val="a7"/>
    <w:next w:val="a7"/>
    <w:link w:val="22"/>
    <w:qFormat/>
    <w:pPr>
      <w:numPr>
        <w:ilvl w:val="1"/>
        <w:numId w:val="1"/>
      </w:numPr>
      <w:snapToGrid w:val="0"/>
      <w:spacing w:beforeLines="100" w:before="100" w:afterLines="100" w:after="100" w:line="360" w:lineRule="auto"/>
      <w:jc w:val="left"/>
      <w:outlineLvl w:val="1"/>
    </w:pPr>
    <w:rPr>
      <w:rFonts w:eastAsia="黑体"/>
      <w:b/>
      <w:bCs/>
      <w:smallCaps/>
      <w:color w:val="000000" w:themeColor="text1"/>
      <w:sz w:val="32"/>
      <w:szCs w:val="28"/>
    </w:rPr>
  </w:style>
  <w:style w:type="paragraph" w:styleId="31">
    <w:name w:val="heading 3"/>
    <w:basedOn w:val="41"/>
    <w:next w:val="A-z"/>
    <w:link w:val="32"/>
    <w:qFormat/>
    <w:pPr>
      <w:numPr>
        <w:ilvl w:val="2"/>
      </w:numPr>
      <w:spacing w:before="50" w:after="50"/>
      <w:outlineLvl w:val="2"/>
    </w:pPr>
    <w:rPr>
      <w:rFonts w:eastAsia="黑体"/>
      <w:sz w:val="30"/>
    </w:rPr>
  </w:style>
  <w:style w:type="paragraph" w:styleId="41">
    <w:name w:val="heading 4"/>
    <w:basedOn w:val="a7"/>
    <w:next w:val="a7"/>
    <w:link w:val="42"/>
    <w:qFormat/>
    <w:pPr>
      <w:numPr>
        <w:ilvl w:val="3"/>
        <w:numId w:val="1"/>
      </w:numPr>
      <w:tabs>
        <w:tab w:val="left" w:pos="864"/>
      </w:tabs>
      <w:adjustRightInd w:val="0"/>
      <w:snapToGrid w:val="0"/>
      <w:spacing w:beforeLines="50" w:before="120" w:afterLines="50" w:after="120" w:line="360" w:lineRule="auto"/>
      <w:jc w:val="left"/>
      <w:textAlignment w:val="baseline"/>
      <w:outlineLvl w:val="3"/>
    </w:pPr>
    <w:rPr>
      <w:rFonts w:eastAsiaTheme="majorEastAsia"/>
      <w:b/>
      <w:bCs/>
      <w:color w:val="000000" w:themeColor="text1"/>
      <w:sz w:val="28"/>
      <w:szCs w:val="24"/>
      <w:lang w:val="zh-CN"/>
    </w:rPr>
  </w:style>
  <w:style w:type="paragraph" w:styleId="52">
    <w:name w:val="heading 5"/>
    <w:basedOn w:val="a7"/>
    <w:next w:val="a7"/>
    <w:link w:val="53"/>
    <w:qFormat/>
    <w:pPr>
      <w:keepNext/>
      <w:keepLines/>
      <w:spacing w:before="280" w:after="290" w:line="372" w:lineRule="auto"/>
      <w:outlineLvl w:val="4"/>
    </w:pPr>
    <w:rPr>
      <w:b/>
      <w:kern w:val="0"/>
      <w:sz w:val="28"/>
      <w:szCs w:val="20"/>
      <w:lang w:val="zh-CN"/>
    </w:rPr>
  </w:style>
  <w:style w:type="paragraph" w:styleId="6">
    <w:name w:val="heading 6"/>
    <w:basedOn w:val="a7"/>
    <w:next w:val="a7"/>
    <w:link w:val="60"/>
    <w:qFormat/>
    <w:pPr>
      <w:keepNext/>
      <w:keepLines/>
      <w:spacing w:before="240" w:after="64" w:line="320" w:lineRule="auto"/>
      <w:outlineLvl w:val="5"/>
    </w:pPr>
    <w:rPr>
      <w:rFonts w:ascii="Calibri Light" w:hAnsi="Calibri Light"/>
      <w:b/>
      <w:bCs/>
      <w:kern w:val="0"/>
      <w:sz w:val="24"/>
      <w:szCs w:val="24"/>
      <w:lang w:val="zh-CN"/>
    </w:rPr>
  </w:style>
  <w:style w:type="paragraph" w:styleId="7">
    <w:name w:val="heading 7"/>
    <w:basedOn w:val="a7"/>
    <w:next w:val="a7"/>
    <w:link w:val="70"/>
    <w:qFormat/>
    <w:pPr>
      <w:keepNext/>
      <w:keepLines/>
      <w:tabs>
        <w:tab w:val="left" w:pos="1296"/>
      </w:tabs>
      <w:spacing w:before="240" w:after="64" w:line="320" w:lineRule="atLeast"/>
      <w:ind w:left="1296" w:hanging="1296"/>
      <w:outlineLvl w:val="6"/>
    </w:pPr>
    <w:rPr>
      <w:b/>
      <w:bCs/>
      <w:sz w:val="24"/>
      <w:szCs w:val="24"/>
    </w:rPr>
  </w:style>
  <w:style w:type="paragraph" w:styleId="8">
    <w:name w:val="heading 8"/>
    <w:basedOn w:val="a7"/>
    <w:next w:val="a7"/>
    <w:link w:val="80"/>
    <w:qFormat/>
    <w:pPr>
      <w:keepNext/>
      <w:keepLines/>
      <w:tabs>
        <w:tab w:val="left" w:pos="1440"/>
      </w:tabs>
      <w:spacing w:before="240" w:after="64" w:line="320" w:lineRule="atLeast"/>
      <w:ind w:left="1440" w:hanging="1440"/>
      <w:outlineLvl w:val="7"/>
    </w:pPr>
    <w:rPr>
      <w:rFonts w:ascii="Arial" w:eastAsia="黑体" w:hAnsi="Arial"/>
      <w:sz w:val="24"/>
      <w:szCs w:val="24"/>
    </w:rPr>
  </w:style>
  <w:style w:type="paragraph" w:styleId="9">
    <w:name w:val="heading 9"/>
    <w:basedOn w:val="a7"/>
    <w:next w:val="a7"/>
    <w:link w:val="90"/>
    <w:qFormat/>
    <w:pPr>
      <w:keepNext/>
      <w:keepLines/>
      <w:tabs>
        <w:tab w:val="left" w:pos="1584"/>
      </w:tabs>
      <w:spacing w:before="240" w:after="64" w:line="320" w:lineRule="atLeast"/>
      <w:ind w:left="1584" w:hanging="1584"/>
      <w:outlineLvl w:val="8"/>
    </w:pPr>
    <w:rPr>
      <w:rFonts w:ascii="Arial" w:eastAsia="黑体"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macro"/>
    <w:link w:val="ac"/>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rPr>
  </w:style>
  <w:style w:type="paragraph" w:customStyle="1" w:styleId="A-z">
    <w:name w:val="A-z正文"/>
    <w:basedOn w:val="a7"/>
    <w:link w:val="A-zChar"/>
    <w:qFormat/>
    <w:pPr>
      <w:adjustRightInd w:val="0"/>
      <w:snapToGrid w:val="0"/>
      <w:spacing w:line="360" w:lineRule="auto"/>
      <w:ind w:firstLineChars="200" w:firstLine="480"/>
    </w:pPr>
    <w:rPr>
      <w:rFonts w:eastAsiaTheme="minorEastAsia"/>
      <w:color w:val="000000" w:themeColor="text1"/>
      <w:sz w:val="24"/>
      <w:szCs w:val="20"/>
      <w:lang w:val="zh-CN"/>
    </w:rPr>
  </w:style>
  <w:style w:type="paragraph" w:styleId="33">
    <w:name w:val="List 3"/>
    <w:basedOn w:val="a7"/>
    <w:qFormat/>
    <w:pPr>
      <w:ind w:leftChars="400" w:left="100" w:hangingChars="200" w:hanging="200"/>
    </w:pPr>
    <w:rPr>
      <w:szCs w:val="24"/>
    </w:rPr>
  </w:style>
  <w:style w:type="paragraph" w:styleId="TOC7">
    <w:name w:val="toc 7"/>
    <w:basedOn w:val="a7"/>
    <w:next w:val="a7"/>
    <w:uiPriority w:val="39"/>
    <w:unhideWhenUsed/>
    <w:qFormat/>
    <w:pPr>
      <w:ind w:left="1260"/>
      <w:jc w:val="left"/>
    </w:pPr>
    <w:rPr>
      <w:sz w:val="18"/>
      <w:szCs w:val="18"/>
    </w:rPr>
  </w:style>
  <w:style w:type="paragraph" w:styleId="23">
    <w:name w:val="List Number 2"/>
    <w:basedOn w:val="a7"/>
    <w:qFormat/>
    <w:pPr>
      <w:tabs>
        <w:tab w:val="left" w:pos="360"/>
      </w:tabs>
      <w:ind w:firstLineChars="200" w:firstLine="480"/>
    </w:pPr>
    <w:rPr>
      <w:szCs w:val="24"/>
    </w:rPr>
  </w:style>
  <w:style w:type="paragraph" w:styleId="ad">
    <w:name w:val="table of authorities"/>
    <w:basedOn w:val="a7"/>
    <w:next w:val="a7"/>
    <w:qFormat/>
    <w:pPr>
      <w:ind w:leftChars="200" w:left="420" w:firstLineChars="200" w:firstLine="480"/>
    </w:pPr>
    <w:rPr>
      <w:szCs w:val="24"/>
    </w:rPr>
  </w:style>
  <w:style w:type="paragraph" w:styleId="ae">
    <w:name w:val="Note Heading"/>
    <w:basedOn w:val="a7"/>
    <w:next w:val="a7"/>
    <w:link w:val="af"/>
    <w:qFormat/>
    <w:pPr>
      <w:ind w:firstLineChars="200" w:firstLine="480"/>
      <w:jc w:val="center"/>
    </w:pPr>
    <w:rPr>
      <w:szCs w:val="24"/>
    </w:rPr>
  </w:style>
  <w:style w:type="paragraph" w:styleId="40">
    <w:name w:val="List Bullet 4"/>
    <w:basedOn w:val="a7"/>
    <w:qFormat/>
    <w:pPr>
      <w:numPr>
        <w:numId w:val="2"/>
      </w:numPr>
      <w:tabs>
        <w:tab w:val="clear" w:pos="1620"/>
        <w:tab w:val="left" w:pos="840"/>
      </w:tabs>
      <w:ind w:left="420" w:firstLineChars="200" w:firstLine="200"/>
    </w:pPr>
    <w:rPr>
      <w:szCs w:val="24"/>
    </w:rPr>
  </w:style>
  <w:style w:type="paragraph" w:styleId="81">
    <w:name w:val="index 8"/>
    <w:basedOn w:val="a7"/>
    <w:next w:val="a7"/>
    <w:qFormat/>
    <w:pPr>
      <w:spacing w:after="160" w:line="278" w:lineRule="auto"/>
      <w:ind w:left="1680" w:hanging="210"/>
      <w:jc w:val="left"/>
    </w:pPr>
    <w:rPr>
      <w:sz w:val="18"/>
      <w:szCs w:val="18"/>
    </w:rPr>
  </w:style>
  <w:style w:type="paragraph" w:styleId="af0">
    <w:name w:val="E-mail Signature"/>
    <w:basedOn w:val="a7"/>
    <w:link w:val="af1"/>
    <w:qFormat/>
    <w:pPr>
      <w:ind w:firstLineChars="200" w:firstLine="480"/>
    </w:pPr>
    <w:rPr>
      <w:szCs w:val="24"/>
    </w:rPr>
  </w:style>
  <w:style w:type="paragraph" w:styleId="af2">
    <w:name w:val="List Number"/>
    <w:basedOn w:val="a7"/>
    <w:qFormat/>
    <w:pPr>
      <w:tabs>
        <w:tab w:val="left" w:pos="360"/>
      </w:tabs>
      <w:ind w:left="360" w:hangingChars="200" w:hanging="360"/>
    </w:pPr>
    <w:rPr>
      <w:szCs w:val="24"/>
    </w:rPr>
  </w:style>
  <w:style w:type="paragraph" w:styleId="af3">
    <w:name w:val="Normal Indent"/>
    <w:basedOn w:val="a7"/>
    <w:link w:val="af4"/>
    <w:uiPriority w:val="99"/>
    <w:qFormat/>
    <w:pPr>
      <w:spacing w:line="360" w:lineRule="auto"/>
      <w:ind w:firstLineChars="200" w:firstLine="420"/>
    </w:pPr>
    <w:rPr>
      <w:rFonts w:cs="黑体"/>
      <w:szCs w:val="24"/>
    </w:rPr>
  </w:style>
  <w:style w:type="paragraph" w:styleId="af5">
    <w:name w:val="caption"/>
    <w:basedOn w:val="a7"/>
    <w:next w:val="a7"/>
    <w:link w:val="af6"/>
    <w:unhideWhenUsed/>
    <w:qFormat/>
    <w:rPr>
      <w:rFonts w:ascii="Calibri Light" w:eastAsia="黑体" w:hAnsi="Calibri Light"/>
      <w:sz w:val="20"/>
      <w:szCs w:val="20"/>
    </w:rPr>
  </w:style>
  <w:style w:type="paragraph" w:styleId="54">
    <w:name w:val="index 5"/>
    <w:basedOn w:val="a7"/>
    <w:next w:val="a7"/>
    <w:qFormat/>
    <w:pPr>
      <w:spacing w:after="160" w:line="360" w:lineRule="auto"/>
      <w:ind w:leftChars="800" w:left="800" w:firstLine="482"/>
    </w:pPr>
    <w:rPr>
      <w:kern w:val="0"/>
      <w:sz w:val="24"/>
    </w:rPr>
  </w:style>
  <w:style w:type="paragraph" w:styleId="af7">
    <w:name w:val="List Bullet"/>
    <w:basedOn w:val="a7"/>
    <w:uiPriority w:val="4"/>
    <w:qFormat/>
    <w:pPr>
      <w:tabs>
        <w:tab w:val="left" w:pos="360"/>
      </w:tabs>
      <w:ind w:left="360" w:firstLineChars="200" w:hanging="360"/>
    </w:pPr>
    <w:rPr>
      <w:szCs w:val="24"/>
    </w:rPr>
  </w:style>
  <w:style w:type="paragraph" w:styleId="af8">
    <w:name w:val="envelope address"/>
    <w:basedOn w:val="a7"/>
    <w:qFormat/>
    <w:pPr>
      <w:framePr w:w="7920" w:h="1980" w:hRule="exact" w:hSpace="180" w:wrap="around" w:hAnchor="page" w:xAlign="center" w:yAlign="bottom"/>
      <w:snapToGrid w:val="0"/>
      <w:ind w:leftChars="1400" w:left="100" w:firstLineChars="200" w:firstLine="480"/>
    </w:pPr>
    <w:rPr>
      <w:rFonts w:ascii="Arial" w:hAnsi="Arial" w:cs="Arial"/>
      <w:sz w:val="24"/>
      <w:szCs w:val="24"/>
    </w:rPr>
  </w:style>
  <w:style w:type="paragraph" w:styleId="af9">
    <w:name w:val="Document Map"/>
    <w:basedOn w:val="a7"/>
    <w:link w:val="afa"/>
    <w:qFormat/>
    <w:pPr>
      <w:shd w:val="clear" w:color="auto" w:fill="000080"/>
      <w:spacing w:line="360" w:lineRule="auto"/>
      <w:ind w:firstLineChars="200" w:firstLine="480"/>
    </w:pPr>
    <w:rPr>
      <w:sz w:val="24"/>
      <w:szCs w:val="20"/>
    </w:rPr>
  </w:style>
  <w:style w:type="paragraph" w:styleId="afb">
    <w:name w:val="toa heading"/>
    <w:basedOn w:val="a7"/>
    <w:next w:val="a7"/>
    <w:qFormat/>
    <w:pPr>
      <w:spacing w:before="120"/>
      <w:ind w:firstLineChars="200" w:firstLine="480"/>
    </w:pPr>
    <w:rPr>
      <w:rFonts w:ascii="Arial" w:hAnsi="Arial"/>
      <w:sz w:val="24"/>
      <w:szCs w:val="20"/>
    </w:rPr>
  </w:style>
  <w:style w:type="paragraph" w:styleId="afc">
    <w:name w:val="annotation text"/>
    <w:basedOn w:val="a7"/>
    <w:link w:val="afd"/>
    <w:uiPriority w:val="99"/>
    <w:qFormat/>
    <w:pPr>
      <w:jc w:val="left"/>
    </w:pPr>
  </w:style>
  <w:style w:type="paragraph" w:styleId="61">
    <w:name w:val="index 6"/>
    <w:basedOn w:val="a7"/>
    <w:next w:val="a7"/>
    <w:qFormat/>
    <w:pPr>
      <w:spacing w:after="160" w:line="278" w:lineRule="auto"/>
      <w:ind w:left="1260" w:hanging="210"/>
      <w:jc w:val="left"/>
    </w:pPr>
    <w:rPr>
      <w:sz w:val="18"/>
      <w:szCs w:val="18"/>
    </w:rPr>
  </w:style>
  <w:style w:type="paragraph" w:styleId="afe">
    <w:name w:val="Salutation"/>
    <w:basedOn w:val="a7"/>
    <w:next w:val="a7"/>
    <w:link w:val="aff"/>
    <w:qFormat/>
    <w:pPr>
      <w:ind w:firstLineChars="200" w:firstLine="480"/>
    </w:pPr>
    <w:rPr>
      <w:szCs w:val="24"/>
    </w:rPr>
  </w:style>
  <w:style w:type="paragraph" w:styleId="34">
    <w:name w:val="Body Text 3"/>
    <w:basedOn w:val="a7"/>
    <w:link w:val="35"/>
    <w:qFormat/>
    <w:pPr>
      <w:spacing w:after="120" w:line="360" w:lineRule="auto"/>
      <w:ind w:firstLineChars="200" w:firstLine="480"/>
    </w:pPr>
    <w:rPr>
      <w:sz w:val="16"/>
      <w:szCs w:val="16"/>
    </w:rPr>
  </w:style>
  <w:style w:type="paragraph" w:styleId="aff0">
    <w:name w:val="Closing"/>
    <w:basedOn w:val="a7"/>
    <w:link w:val="aff1"/>
    <w:qFormat/>
    <w:pPr>
      <w:ind w:leftChars="2100" w:left="100" w:firstLineChars="200" w:firstLine="480"/>
    </w:pPr>
    <w:rPr>
      <w:szCs w:val="24"/>
    </w:rPr>
  </w:style>
  <w:style w:type="paragraph" w:styleId="30">
    <w:name w:val="List Bullet 3"/>
    <w:basedOn w:val="a7"/>
    <w:qFormat/>
    <w:pPr>
      <w:numPr>
        <w:numId w:val="3"/>
      </w:numPr>
      <w:ind w:firstLineChars="200" w:firstLine="200"/>
    </w:pPr>
    <w:rPr>
      <w:szCs w:val="24"/>
    </w:rPr>
  </w:style>
  <w:style w:type="paragraph" w:styleId="aff2">
    <w:name w:val="Body Text"/>
    <w:basedOn w:val="a7"/>
    <w:link w:val="aff3"/>
    <w:qFormat/>
    <w:pPr>
      <w:spacing w:before="139"/>
      <w:ind w:left="138"/>
      <w:jc w:val="left"/>
    </w:pPr>
    <w:rPr>
      <w:rFonts w:ascii="宋体" w:hAnsi="宋体"/>
      <w:kern w:val="0"/>
      <w:sz w:val="24"/>
      <w:szCs w:val="24"/>
      <w:lang w:eastAsia="en-US"/>
    </w:rPr>
  </w:style>
  <w:style w:type="paragraph" w:styleId="aff4">
    <w:name w:val="Body Text Indent"/>
    <w:basedOn w:val="a7"/>
    <w:link w:val="aff5"/>
    <w:unhideWhenUsed/>
    <w:qFormat/>
    <w:pPr>
      <w:spacing w:after="120" w:line="360" w:lineRule="auto"/>
      <w:ind w:leftChars="200" w:left="420" w:firstLineChars="200" w:firstLine="480"/>
    </w:pPr>
    <w:rPr>
      <w:sz w:val="24"/>
      <w:szCs w:val="20"/>
    </w:rPr>
  </w:style>
  <w:style w:type="paragraph" w:styleId="3">
    <w:name w:val="List Number 3"/>
    <w:basedOn w:val="a7"/>
    <w:qFormat/>
    <w:pPr>
      <w:numPr>
        <w:numId w:val="4"/>
      </w:numPr>
      <w:ind w:firstLineChars="200" w:firstLine="200"/>
    </w:pPr>
    <w:rPr>
      <w:szCs w:val="24"/>
    </w:rPr>
  </w:style>
  <w:style w:type="paragraph" w:styleId="24">
    <w:name w:val="List 2"/>
    <w:basedOn w:val="a7"/>
    <w:qFormat/>
    <w:pPr>
      <w:ind w:leftChars="200" w:left="100" w:hangingChars="200" w:hanging="200"/>
    </w:pPr>
    <w:rPr>
      <w:szCs w:val="24"/>
    </w:rPr>
  </w:style>
  <w:style w:type="paragraph" w:styleId="aff6">
    <w:name w:val="List Continue"/>
    <w:basedOn w:val="a7"/>
    <w:uiPriority w:val="99"/>
    <w:qFormat/>
    <w:pPr>
      <w:spacing w:after="120"/>
      <w:ind w:leftChars="200" w:left="420" w:firstLineChars="200" w:firstLine="480"/>
    </w:pPr>
    <w:rPr>
      <w:szCs w:val="24"/>
    </w:rPr>
  </w:style>
  <w:style w:type="paragraph" w:styleId="aff7">
    <w:name w:val="Block Text"/>
    <w:basedOn w:val="a7"/>
    <w:uiPriority w:val="99"/>
    <w:qFormat/>
    <w:pPr>
      <w:spacing w:after="120"/>
      <w:ind w:leftChars="700" w:left="1440" w:rightChars="700" w:right="1440" w:firstLineChars="200" w:firstLine="480"/>
    </w:pPr>
    <w:rPr>
      <w:szCs w:val="24"/>
    </w:rPr>
  </w:style>
  <w:style w:type="paragraph" w:styleId="2">
    <w:name w:val="List Bullet 2"/>
    <w:basedOn w:val="a7"/>
    <w:qFormat/>
    <w:pPr>
      <w:numPr>
        <w:numId w:val="5"/>
      </w:numPr>
      <w:ind w:firstLineChars="200" w:firstLine="200"/>
    </w:pPr>
    <w:rPr>
      <w:szCs w:val="24"/>
    </w:rPr>
  </w:style>
  <w:style w:type="paragraph" w:styleId="HTML">
    <w:name w:val="HTML Address"/>
    <w:basedOn w:val="a7"/>
    <w:link w:val="HTML0"/>
    <w:qFormat/>
    <w:pPr>
      <w:spacing w:after="160" w:line="360" w:lineRule="auto"/>
      <w:ind w:firstLineChars="200" w:firstLine="200"/>
    </w:pPr>
    <w:rPr>
      <w:rFonts w:ascii="仿宋_GB2312" w:eastAsia="仿宋_GB2312"/>
      <w:i/>
      <w:iCs/>
      <w:sz w:val="28"/>
    </w:rPr>
  </w:style>
  <w:style w:type="paragraph" w:styleId="43">
    <w:name w:val="index 4"/>
    <w:basedOn w:val="a7"/>
    <w:next w:val="a7"/>
    <w:qFormat/>
    <w:pPr>
      <w:spacing w:after="160" w:line="278" w:lineRule="auto"/>
      <w:ind w:left="840" w:hanging="210"/>
      <w:jc w:val="left"/>
    </w:pPr>
    <w:rPr>
      <w:sz w:val="18"/>
      <w:szCs w:val="18"/>
    </w:rPr>
  </w:style>
  <w:style w:type="paragraph" w:styleId="TOC5">
    <w:name w:val="toc 5"/>
    <w:basedOn w:val="a7"/>
    <w:next w:val="a7"/>
    <w:uiPriority w:val="39"/>
    <w:unhideWhenUsed/>
    <w:qFormat/>
    <w:pPr>
      <w:ind w:left="840"/>
      <w:jc w:val="left"/>
    </w:pPr>
    <w:rPr>
      <w:sz w:val="18"/>
      <w:szCs w:val="18"/>
    </w:rPr>
  </w:style>
  <w:style w:type="paragraph" w:styleId="TOC3">
    <w:name w:val="toc 3"/>
    <w:basedOn w:val="a7"/>
    <w:next w:val="a7"/>
    <w:uiPriority w:val="39"/>
    <w:qFormat/>
    <w:pPr>
      <w:ind w:left="420"/>
      <w:jc w:val="left"/>
    </w:pPr>
    <w:rPr>
      <w:i/>
      <w:iCs/>
      <w:sz w:val="20"/>
      <w:szCs w:val="20"/>
    </w:rPr>
  </w:style>
  <w:style w:type="paragraph" w:styleId="aff8">
    <w:name w:val="Plain Text"/>
    <w:basedOn w:val="a7"/>
    <w:link w:val="aff9"/>
    <w:qFormat/>
    <w:rPr>
      <w:rFonts w:ascii="宋体" w:hAnsi="Courier New" w:cs="Courier New"/>
    </w:rPr>
  </w:style>
  <w:style w:type="paragraph" w:styleId="51">
    <w:name w:val="List Bullet 5"/>
    <w:basedOn w:val="a7"/>
    <w:qFormat/>
    <w:pPr>
      <w:numPr>
        <w:numId w:val="6"/>
      </w:numPr>
      <w:ind w:firstLineChars="200" w:firstLine="200"/>
    </w:pPr>
    <w:rPr>
      <w:szCs w:val="24"/>
    </w:rPr>
  </w:style>
  <w:style w:type="paragraph" w:styleId="4">
    <w:name w:val="List Number 4"/>
    <w:basedOn w:val="a7"/>
    <w:qFormat/>
    <w:pPr>
      <w:numPr>
        <w:numId w:val="7"/>
      </w:numPr>
      <w:ind w:firstLineChars="200" w:firstLine="200"/>
    </w:pPr>
    <w:rPr>
      <w:szCs w:val="24"/>
    </w:rPr>
  </w:style>
  <w:style w:type="paragraph" w:styleId="TOC8">
    <w:name w:val="toc 8"/>
    <w:basedOn w:val="a7"/>
    <w:next w:val="a7"/>
    <w:uiPriority w:val="39"/>
    <w:unhideWhenUsed/>
    <w:qFormat/>
    <w:pPr>
      <w:ind w:left="1470"/>
      <w:jc w:val="left"/>
    </w:pPr>
    <w:rPr>
      <w:sz w:val="18"/>
      <w:szCs w:val="18"/>
    </w:rPr>
  </w:style>
  <w:style w:type="paragraph" w:styleId="36">
    <w:name w:val="index 3"/>
    <w:basedOn w:val="a7"/>
    <w:next w:val="a7"/>
    <w:qFormat/>
    <w:pPr>
      <w:spacing w:after="160" w:line="278" w:lineRule="auto"/>
      <w:ind w:left="630" w:hanging="210"/>
      <w:jc w:val="left"/>
    </w:pPr>
    <w:rPr>
      <w:sz w:val="18"/>
      <w:szCs w:val="18"/>
    </w:rPr>
  </w:style>
  <w:style w:type="paragraph" w:styleId="affa">
    <w:name w:val="Date"/>
    <w:basedOn w:val="a7"/>
    <w:next w:val="a7"/>
    <w:link w:val="affb"/>
    <w:qFormat/>
    <w:pPr>
      <w:spacing w:line="360" w:lineRule="auto"/>
      <w:ind w:leftChars="2500" w:left="100" w:firstLineChars="200" w:firstLine="480"/>
    </w:pPr>
    <w:rPr>
      <w:rFonts w:cs="黑体"/>
      <w:sz w:val="24"/>
      <w:szCs w:val="24"/>
    </w:rPr>
  </w:style>
  <w:style w:type="paragraph" w:styleId="25">
    <w:name w:val="Body Text Indent 2"/>
    <w:basedOn w:val="a7"/>
    <w:link w:val="26"/>
    <w:qFormat/>
    <w:pPr>
      <w:spacing w:after="120" w:line="480" w:lineRule="auto"/>
      <w:ind w:leftChars="200" w:left="420" w:firstLineChars="200" w:firstLine="480"/>
    </w:pPr>
    <w:rPr>
      <w:sz w:val="24"/>
      <w:szCs w:val="20"/>
    </w:rPr>
  </w:style>
  <w:style w:type="paragraph" w:styleId="affc">
    <w:name w:val="endnote text"/>
    <w:basedOn w:val="a7"/>
    <w:link w:val="affd"/>
    <w:uiPriority w:val="99"/>
    <w:qFormat/>
    <w:pPr>
      <w:snapToGrid w:val="0"/>
      <w:spacing w:after="160" w:line="360" w:lineRule="auto"/>
      <w:ind w:firstLine="482"/>
      <w:jc w:val="left"/>
    </w:pPr>
    <w:rPr>
      <w:sz w:val="18"/>
      <w:szCs w:val="18"/>
    </w:rPr>
  </w:style>
  <w:style w:type="paragraph" w:styleId="55">
    <w:name w:val="List Continue 5"/>
    <w:basedOn w:val="a7"/>
    <w:qFormat/>
    <w:pPr>
      <w:spacing w:after="120"/>
      <w:ind w:leftChars="1000" w:left="2100" w:firstLineChars="200" w:firstLine="480"/>
    </w:pPr>
    <w:rPr>
      <w:szCs w:val="24"/>
    </w:rPr>
  </w:style>
  <w:style w:type="paragraph" w:styleId="affe">
    <w:name w:val="Balloon Text"/>
    <w:basedOn w:val="a7"/>
    <w:link w:val="afff"/>
    <w:qFormat/>
    <w:rPr>
      <w:sz w:val="18"/>
      <w:szCs w:val="18"/>
    </w:rPr>
  </w:style>
  <w:style w:type="paragraph" w:styleId="afff0">
    <w:name w:val="footer"/>
    <w:basedOn w:val="a7"/>
    <w:link w:val="afff1"/>
    <w:unhideWhenUsed/>
    <w:qFormat/>
    <w:pPr>
      <w:tabs>
        <w:tab w:val="center" w:pos="4153"/>
        <w:tab w:val="right" w:pos="8306"/>
      </w:tabs>
      <w:snapToGrid w:val="0"/>
      <w:jc w:val="left"/>
    </w:pPr>
    <w:rPr>
      <w:sz w:val="18"/>
      <w:szCs w:val="18"/>
    </w:rPr>
  </w:style>
  <w:style w:type="paragraph" w:styleId="afff2">
    <w:name w:val="envelope return"/>
    <w:basedOn w:val="a7"/>
    <w:qFormat/>
    <w:pPr>
      <w:snapToGrid w:val="0"/>
      <w:ind w:firstLineChars="200" w:firstLine="480"/>
    </w:pPr>
    <w:rPr>
      <w:rFonts w:ascii="Arial" w:hAnsi="Arial" w:cs="Arial"/>
      <w:szCs w:val="24"/>
    </w:rPr>
  </w:style>
  <w:style w:type="paragraph" w:styleId="afff3">
    <w:name w:val="header"/>
    <w:basedOn w:val="a7"/>
    <w:link w:val="afff4"/>
    <w:unhideWhenUsed/>
    <w:qFormat/>
    <w:pPr>
      <w:pBdr>
        <w:bottom w:val="single" w:sz="6" w:space="1" w:color="auto"/>
      </w:pBdr>
      <w:tabs>
        <w:tab w:val="center" w:pos="4153"/>
        <w:tab w:val="right" w:pos="8306"/>
      </w:tabs>
      <w:snapToGrid w:val="0"/>
      <w:jc w:val="center"/>
    </w:pPr>
    <w:rPr>
      <w:sz w:val="18"/>
      <w:szCs w:val="18"/>
    </w:rPr>
  </w:style>
  <w:style w:type="paragraph" w:styleId="afff5">
    <w:name w:val="Signature"/>
    <w:basedOn w:val="a7"/>
    <w:link w:val="afff6"/>
    <w:qFormat/>
    <w:pPr>
      <w:ind w:leftChars="2100" w:left="100" w:firstLineChars="200" w:firstLine="480"/>
    </w:pPr>
    <w:rPr>
      <w:szCs w:val="24"/>
    </w:rPr>
  </w:style>
  <w:style w:type="paragraph" w:styleId="TOC1">
    <w:name w:val="toc 1"/>
    <w:basedOn w:val="a7"/>
    <w:next w:val="a7"/>
    <w:uiPriority w:val="39"/>
    <w:qFormat/>
    <w:pPr>
      <w:spacing w:before="120" w:after="120" w:line="360" w:lineRule="auto"/>
      <w:jc w:val="left"/>
    </w:pPr>
    <w:rPr>
      <w:rFonts w:eastAsia="黑体"/>
      <w:b/>
      <w:bCs/>
      <w:caps/>
      <w:sz w:val="28"/>
      <w:szCs w:val="20"/>
    </w:rPr>
  </w:style>
  <w:style w:type="paragraph" w:styleId="44">
    <w:name w:val="List Continue 4"/>
    <w:basedOn w:val="a7"/>
    <w:qFormat/>
    <w:pPr>
      <w:spacing w:after="120"/>
      <w:ind w:leftChars="800" w:left="1680" w:firstLineChars="200" w:firstLine="480"/>
    </w:pPr>
    <w:rPr>
      <w:szCs w:val="24"/>
    </w:rPr>
  </w:style>
  <w:style w:type="paragraph" w:styleId="TOC4">
    <w:name w:val="toc 4"/>
    <w:basedOn w:val="a7"/>
    <w:next w:val="a7"/>
    <w:uiPriority w:val="39"/>
    <w:unhideWhenUsed/>
    <w:qFormat/>
    <w:pPr>
      <w:ind w:left="630"/>
      <w:jc w:val="left"/>
    </w:pPr>
    <w:rPr>
      <w:sz w:val="18"/>
      <w:szCs w:val="18"/>
    </w:rPr>
  </w:style>
  <w:style w:type="paragraph" w:styleId="afff7">
    <w:name w:val="index heading"/>
    <w:basedOn w:val="a7"/>
    <w:next w:val="11"/>
    <w:qFormat/>
    <w:rPr>
      <w:kern w:val="0"/>
      <w:szCs w:val="20"/>
    </w:rPr>
  </w:style>
  <w:style w:type="paragraph" w:styleId="11">
    <w:name w:val="index 1"/>
    <w:basedOn w:val="a7"/>
    <w:next w:val="a7"/>
    <w:qFormat/>
    <w:pPr>
      <w:tabs>
        <w:tab w:val="left" w:pos="360"/>
      </w:tabs>
      <w:adjustRightInd w:val="0"/>
      <w:snapToGrid w:val="0"/>
      <w:ind w:left="360" w:hangingChars="200" w:hanging="360"/>
    </w:pPr>
    <w:rPr>
      <w:sz w:val="24"/>
      <w:szCs w:val="24"/>
    </w:rPr>
  </w:style>
  <w:style w:type="paragraph" w:styleId="afff8">
    <w:name w:val="Subtitle"/>
    <w:basedOn w:val="a7"/>
    <w:link w:val="afff9"/>
    <w:uiPriority w:val="11"/>
    <w:qFormat/>
    <w:pPr>
      <w:spacing w:before="240" w:after="60" w:line="312" w:lineRule="auto"/>
      <w:ind w:firstLineChars="200" w:firstLine="480"/>
      <w:jc w:val="center"/>
      <w:outlineLvl w:val="1"/>
    </w:pPr>
    <w:rPr>
      <w:rFonts w:ascii="Arial" w:hAnsi="Arial" w:cs="Arial"/>
      <w:b/>
      <w:bCs/>
      <w:kern w:val="28"/>
      <w:sz w:val="32"/>
      <w:szCs w:val="32"/>
    </w:rPr>
  </w:style>
  <w:style w:type="paragraph" w:styleId="50">
    <w:name w:val="List Number 5"/>
    <w:basedOn w:val="a7"/>
    <w:qFormat/>
    <w:pPr>
      <w:numPr>
        <w:numId w:val="8"/>
      </w:numPr>
      <w:ind w:firstLineChars="200" w:firstLine="200"/>
    </w:pPr>
    <w:rPr>
      <w:szCs w:val="24"/>
    </w:rPr>
  </w:style>
  <w:style w:type="paragraph" w:styleId="afffa">
    <w:name w:val="List"/>
    <w:basedOn w:val="a7"/>
    <w:link w:val="afffb"/>
    <w:qFormat/>
    <w:pPr>
      <w:adjustRightInd w:val="0"/>
      <w:spacing w:line="360" w:lineRule="auto"/>
      <w:ind w:left="420" w:firstLineChars="200" w:hanging="420"/>
      <w:jc w:val="left"/>
      <w:textAlignment w:val="baseline"/>
    </w:pPr>
    <w:rPr>
      <w:kern w:val="0"/>
      <w:sz w:val="28"/>
      <w:szCs w:val="20"/>
    </w:rPr>
  </w:style>
  <w:style w:type="paragraph" w:styleId="afffc">
    <w:name w:val="footnote text"/>
    <w:basedOn w:val="a7"/>
    <w:link w:val="afffd"/>
    <w:qFormat/>
    <w:pPr>
      <w:adjustRightInd w:val="0"/>
      <w:spacing w:line="312" w:lineRule="atLeast"/>
      <w:ind w:firstLineChars="200" w:firstLine="480"/>
      <w:jc w:val="left"/>
      <w:textAlignment w:val="baseline"/>
    </w:pPr>
    <w:rPr>
      <w:kern w:val="0"/>
      <w:sz w:val="18"/>
      <w:szCs w:val="20"/>
    </w:rPr>
  </w:style>
  <w:style w:type="paragraph" w:styleId="TOC6">
    <w:name w:val="toc 6"/>
    <w:basedOn w:val="a7"/>
    <w:next w:val="a7"/>
    <w:uiPriority w:val="39"/>
    <w:unhideWhenUsed/>
    <w:qFormat/>
    <w:pPr>
      <w:ind w:left="1050"/>
      <w:jc w:val="left"/>
    </w:pPr>
    <w:rPr>
      <w:sz w:val="18"/>
      <w:szCs w:val="18"/>
    </w:rPr>
  </w:style>
  <w:style w:type="paragraph" w:styleId="56">
    <w:name w:val="List 5"/>
    <w:basedOn w:val="a7"/>
    <w:uiPriority w:val="99"/>
    <w:qFormat/>
    <w:pPr>
      <w:ind w:leftChars="800" w:left="100" w:hangingChars="200" w:hanging="200"/>
    </w:pPr>
    <w:rPr>
      <w:szCs w:val="24"/>
    </w:rPr>
  </w:style>
  <w:style w:type="paragraph" w:styleId="37">
    <w:name w:val="Body Text Indent 3"/>
    <w:basedOn w:val="a7"/>
    <w:link w:val="38"/>
    <w:qFormat/>
    <w:pPr>
      <w:adjustRightInd w:val="0"/>
      <w:snapToGrid w:val="0"/>
      <w:spacing w:line="360" w:lineRule="auto"/>
      <w:ind w:firstLineChars="200" w:firstLine="560"/>
      <w:textAlignment w:val="baseline"/>
    </w:pPr>
    <w:rPr>
      <w:kern w:val="0"/>
      <w:sz w:val="28"/>
      <w:szCs w:val="20"/>
    </w:rPr>
  </w:style>
  <w:style w:type="paragraph" w:styleId="71">
    <w:name w:val="index 7"/>
    <w:basedOn w:val="a7"/>
    <w:next w:val="a7"/>
    <w:qFormat/>
    <w:pPr>
      <w:snapToGrid w:val="0"/>
      <w:spacing w:after="160" w:line="278" w:lineRule="auto"/>
      <w:ind w:left="1960" w:hanging="280"/>
      <w:jc w:val="left"/>
    </w:pPr>
    <w:rPr>
      <w:sz w:val="18"/>
      <w:szCs w:val="18"/>
    </w:rPr>
  </w:style>
  <w:style w:type="paragraph" w:styleId="91">
    <w:name w:val="index 9"/>
    <w:basedOn w:val="a7"/>
    <w:next w:val="a7"/>
    <w:qFormat/>
    <w:pPr>
      <w:spacing w:after="160" w:line="278" w:lineRule="auto"/>
      <w:ind w:left="1890" w:hanging="210"/>
      <w:jc w:val="left"/>
    </w:pPr>
    <w:rPr>
      <w:sz w:val="18"/>
      <w:szCs w:val="18"/>
    </w:rPr>
  </w:style>
  <w:style w:type="paragraph" w:styleId="afffe">
    <w:name w:val="table of figures"/>
    <w:basedOn w:val="a7"/>
    <w:next w:val="a7"/>
    <w:link w:val="affff"/>
    <w:qFormat/>
    <w:pPr>
      <w:ind w:firstLineChars="200" w:firstLine="480"/>
      <w:jc w:val="center"/>
    </w:pPr>
    <w:rPr>
      <w:rFonts w:eastAsia="楷体_GB2312"/>
      <w:color w:val="000000"/>
      <w:spacing w:val="-4"/>
      <w:szCs w:val="20"/>
    </w:rPr>
  </w:style>
  <w:style w:type="paragraph" w:styleId="TOC2">
    <w:name w:val="toc 2"/>
    <w:basedOn w:val="a7"/>
    <w:next w:val="a7"/>
    <w:link w:val="TOC22"/>
    <w:uiPriority w:val="39"/>
    <w:qFormat/>
    <w:pPr>
      <w:spacing w:line="360" w:lineRule="auto"/>
      <w:ind w:left="210"/>
      <w:jc w:val="left"/>
    </w:pPr>
    <w:rPr>
      <w:smallCaps/>
      <w:sz w:val="24"/>
      <w:szCs w:val="20"/>
    </w:rPr>
  </w:style>
  <w:style w:type="paragraph" w:styleId="TOC9">
    <w:name w:val="toc 9"/>
    <w:basedOn w:val="a7"/>
    <w:next w:val="a7"/>
    <w:uiPriority w:val="39"/>
    <w:unhideWhenUsed/>
    <w:qFormat/>
    <w:pPr>
      <w:ind w:left="1680"/>
      <w:jc w:val="left"/>
    </w:pPr>
    <w:rPr>
      <w:sz w:val="18"/>
      <w:szCs w:val="18"/>
    </w:rPr>
  </w:style>
  <w:style w:type="paragraph" w:styleId="27">
    <w:name w:val="Body Text 2"/>
    <w:basedOn w:val="a7"/>
    <w:link w:val="28"/>
    <w:qFormat/>
    <w:pPr>
      <w:spacing w:after="120" w:line="480" w:lineRule="auto"/>
      <w:ind w:firstLineChars="200" w:firstLine="480"/>
    </w:pPr>
    <w:rPr>
      <w:rFonts w:cs="黑体"/>
      <w:szCs w:val="24"/>
    </w:rPr>
  </w:style>
  <w:style w:type="paragraph" w:styleId="45">
    <w:name w:val="List 4"/>
    <w:basedOn w:val="a7"/>
    <w:qFormat/>
    <w:pPr>
      <w:ind w:leftChars="600" w:left="100" w:hangingChars="200" w:hanging="200"/>
    </w:pPr>
    <w:rPr>
      <w:szCs w:val="24"/>
    </w:rPr>
  </w:style>
  <w:style w:type="paragraph" w:styleId="29">
    <w:name w:val="List Continue 2"/>
    <w:basedOn w:val="a7"/>
    <w:qFormat/>
    <w:pPr>
      <w:spacing w:after="120"/>
      <w:ind w:leftChars="400" w:left="840" w:firstLineChars="200" w:firstLine="480"/>
    </w:pPr>
    <w:rPr>
      <w:szCs w:val="24"/>
    </w:rPr>
  </w:style>
  <w:style w:type="paragraph" w:styleId="affff0">
    <w:name w:val="Message Header"/>
    <w:basedOn w:val="a7"/>
    <w:link w:val="afff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HTML1">
    <w:name w:val="HTML Preformatted"/>
    <w:basedOn w:val="a7"/>
    <w:link w:val="HTML2"/>
    <w:uiPriority w:val="99"/>
    <w:qFormat/>
    <w:pPr>
      <w:spacing w:after="160" w:line="278" w:lineRule="auto"/>
    </w:pPr>
    <w:rPr>
      <w:rFonts w:ascii="Courier New" w:hAnsi="Courier New"/>
      <w:sz w:val="20"/>
      <w:szCs w:val="20"/>
    </w:rPr>
  </w:style>
  <w:style w:type="paragraph" w:styleId="affff2">
    <w:name w:val="Normal (Web)"/>
    <w:basedOn w:val="a7"/>
    <w:link w:val="affff3"/>
    <w:uiPriority w:val="99"/>
    <w:qFormat/>
    <w:pPr>
      <w:widowControl/>
      <w:spacing w:before="100" w:beforeAutospacing="1" w:after="100" w:afterAutospacing="1"/>
      <w:ind w:firstLineChars="200" w:firstLine="480"/>
      <w:jc w:val="left"/>
    </w:pPr>
    <w:rPr>
      <w:rFonts w:cs="宋体"/>
      <w:kern w:val="0"/>
      <w:sz w:val="24"/>
      <w:szCs w:val="24"/>
    </w:rPr>
  </w:style>
  <w:style w:type="paragraph" w:styleId="39">
    <w:name w:val="List Continue 3"/>
    <w:basedOn w:val="a7"/>
    <w:qFormat/>
    <w:pPr>
      <w:spacing w:after="120"/>
      <w:ind w:leftChars="600" w:left="1260" w:firstLineChars="200" w:firstLine="480"/>
    </w:pPr>
    <w:rPr>
      <w:szCs w:val="24"/>
    </w:rPr>
  </w:style>
  <w:style w:type="paragraph" w:styleId="2a">
    <w:name w:val="index 2"/>
    <w:basedOn w:val="a7"/>
    <w:next w:val="a7"/>
    <w:qFormat/>
    <w:pPr>
      <w:spacing w:after="160" w:line="278" w:lineRule="auto"/>
      <w:ind w:left="420" w:hanging="210"/>
      <w:jc w:val="left"/>
    </w:pPr>
    <w:rPr>
      <w:sz w:val="18"/>
      <w:szCs w:val="18"/>
    </w:rPr>
  </w:style>
  <w:style w:type="paragraph" w:styleId="a">
    <w:name w:val="Title"/>
    <w:basedOn w:val="a7"/>
    <w:link w:val="affff4"/>
    <w:qFormat/>
    <w:pPr>
      <w:numPr>
        <w:numId w:val="9"/>
      </w:numPr>
      <w:spacing w:before="240" w:after="60" w:line="360" w:lineRule="auto"/>
      <w:ind w:firstLineChars="200" w:firstLine="200"/>
      <w:jc w:val="center"/>
      <w:outlineLvl w:val="0"/>
    </w:pPr>
    <w:rPr>
      <w:rFonts w:ascii="Arial" w:eastAsia="黑体" w:hAnsi="Arial" w:cs="Arial"/>
      <w:b/>
      <w:bCs/>
      <w:sz w:val="32"/>
      <w:szCs w:val="32"/>
    </w:rPr>
  </w:style>
  <w:style w:type="paragraph" w:styleId="affff5">
    <w:name w:val="annotation subject"/>
    <w:basedOn w:val="afc"/>
    <w:next w:val="afc"/>
    <w:link w:val="affff6"/>
    <w:uiPriority w:val="99"/>
    <w:unhideWhenUsed/>
    <w:qFormat/>
    <w:pPr>
      <w:spacing w:line="360" w:lineRule="auto"/>
      <w:ind w:firstLineChars="200" w:firstLine="200"/>
    </w:pPr>
    <w:rPr>
      <w:b/>
      <w:bCs/>
      <w:sz w:val="24"/>
    </w:rPr>
  </w:style>
  <w:style w:type="paragraph" w:styleId="affff7">
    <w:name w:val="Body Text First Indent"/>
    <w:basedOn w:val="aff2"/>
    <w:link w:val="affff8"/>
    <w:qFormat/>
    <w:pPr>
      <w:spacing w:before="0" w:after="120" w:line="360" w:lineRule="auto"/>
      <w:ind w:left="0" w:firstLineChars="100" w:firstLine="420"/>
      <w:jc w:val="both"/>
    </w:pPr>
    <w:rPr>
      <w:rFonts w:ascii="Calibri" w:hAnsi="Calibri" w:cs="黑体"/>
      <w:kern w:val="2"/>
      <w:lang w:eastAsia="zh-CN"/>
    </w:rPr>
  </w:style>
  <w:style w:type="paragraph" w:styleId="2b">
    <w:name w:val="Body Text First Indent 2"/>
    <w:basedOn w:val="aff4"/>
    <w:link w:val="2c"/>
    <w:qFormat/>
    <w:pPr>
      <w:ind w:firstLine="420"/>
    </w:pPr>
  </w:style>
  <w:style w:type="table" w:styleId="affff9">
    <w:name w:val="Table Grid"/>
    <w:basedOn w:val="a9"/>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a">
    <w:name w:val="Table Theme"/>
    <w:basedOn w:val="a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9"/>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d">
    <w:name w:val="Table Colorful 2"/>
    <w:basedOn w:val="a9"/>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a">
    <w:name w:val="Table Colorful 3"/>
    <w:basedOn w:val="a9"/>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b">
    <w:name w:val="Table Elegant"/>
    <w:basedOn w:val="a9"/>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9"/>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Classic 2"/>
    <w:basedOn w:val="a9"/>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b">
    <w:name w:val="Table Classic 3"/>
    <w:basedOn w:val="a9"/>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9"/>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9"/>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
    <w:name w:val="Table Simple 2"/>
    <w:basedOn w:val="a9"/>
    <w:qFormat/>
    <w:pPr>
      <w:widowControl w:val="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Simple 3"/>
    <w:basedOn w:val="a9"/>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9"/>
    <w:qFormat/>
    <w:pPr>
      <w:widowControl w:val="0"/>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Subtle 2"/>
    <w:basedOn w:val="a9"/>
    <w:qFormat/>
    <w:pPr>
      <w:widowControl w:val="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9"/>
    <w:qFormat/>
    <w:pPr>
      <w:widowControl w:val="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1">
    <w:name w:val="Table 3D effects 2"/>
    <w:basedOn w:val="a9"/>
    <w:qFormat/>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3D effects 3"/>
    <w:basedOn w:val="a9"/>
    <w:qFormat/>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9"/>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List 2"/>
    <w:basedOn w:val="a9"/>
    <w:qFormat/>
    <w:pPr>
      <w:widowControl w:val="0"/>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List 3"/>
    <w:basedOn w:val="a9"/>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9"/>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7">
    <w:name w:val="Table List 5"/>
    <w:basedOn w:val="a9"/>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9"/>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9"/>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9"/>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c">
    <w:name w:val="Table Contemporary"/>
    <w:basedOn w:val="a9"/>
    <w:qFormat/>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9"/>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3">
    <w:name w:val="Table Columns 2"/>
    <w:basedOn w:val="a9"/>
    <w:qFormat/>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Columns 3"/>
    <w:basedOn w:val="a9"/>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9"/>
    <w:qFormat/>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9"/>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9"/>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4">
    <w:name w:val="Table Grid 2"/>
    <w:basedOn w:val="a9"/>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0">
    <w:name w:val="Table Grid 3"/>
    <w:basedOn w:val="a9"/>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9"/>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9">
    <w:name w:val="Table Grid 5"/>
    <w:basedOn w:val="a9"/>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9"/>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9"/>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9"/>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9"/>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5">
    <w:name w:val="Table Web 2"/>
    <w:basedOn w:val="a9"/>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1">
    <w:name w:val="Table Web 3"/>
    <w:basedOn w:val="a9"/>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d">
    <w:name w:val="Table Professional"/>
    <w:basedOn w:val="a9"/>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e">
    <w:name w:val="Strong"/>
    <w:uiPriority w:val="22"/>
    <w:qFormat/>
    <w:rPr>
      <w:b/>
      <w:bCs/>
      <w:sz w:val="21"/>
      <w:szCs w:val="24"/>
    </w:rPr>
  </w:style>
  <w:style w:type="character" w:styleId="afffff">
    <w:name w:val="endnote reference"/>
    <w:uiPriority w:val="99"/>
    <w:qFormat/>
    <w:rPr>
      <w:shd w:val="clear" w:color="auto" w:fill="FFFFFF"/>
      <w:vertAlign w:val="superscript"/>
    </w:rPr>
  </w:style>
  <w:style w:type="character" w:styleId="afffff0">
    <w:name w:val="page number"/>
    <w:qFormat/>
    <w:rPr>
      <w:sz w:val="21"/>
      <w:szCs w:val="24"/>
    </w:rPr>
  </w:style>
  <w:style w:type="character" w:styleId="afffff1">
    <w:name w:val="FollowedHyperlink"/>
    <w:uiPriority w:val="99"/>
    <w:qFormat/>
    <w:rPr>
      <w:color w:val="555555"/>
      <w:sz w:val="21"/>
      <w:szCs w:val="24"/>
      <w:u w:val="none"/>
    </w:rPr>
  </w:style>
  <w:style w:type="character" w:styleId="afffff2">
    <w:name w:val="Emphasis"/>
    <w:uiPriority w:val="20"/>
    <w:qFormat/>
    <w:rPr>
      <w:color w:val="CC0033"/>
      <w:sz w:val="21"/>
      <w:szCs w:val="24"/>
    </w:rPr>
  </w:style>
  <w:style w:type="character" w:styleId="afffff3">
    <w:name w:val="line number"/>
    <w:qFormat/>
    <w:rPr>
      <w:rFonts w:ascii="宋体" w:eastAsia="宋体" w:hAnsi="宋体" w:cs="Courier New"/>
      <w:kern w:val="2"/>
      <w:sz w:val="32"/>
      <w:szCs w:val="32"/>
      <w:lang w:val="en-US" w:eastAsia="zh-CN" w:bidi="ar-SA"/>
    </w:rPr>
  </w:style>
  <w:style w:type="character" w:styleId="HTML3">
    <w:name w:val="HTML Definition"/>
    <w:qFormat/>
    <w:rPr>
      <w:shd w:val="clear" w:color="auto" w:fill="FFFFFF"/>
    </w:rPr>
  </w:style>
  <w:style w:type="character" w:styleId="HTML4">
    <w:name w:val="HTML Typewriter"/>
    <w:qFormat/>
    <w:rPr>
      <w:rFonts w:ascii="Arial Unicode MS" w:eastAsia="Arial Unicode MS" w:hAnsi="Arial Unicode MS" w:cs="Arial Unicode MS" w:hint="eastAsia"/>
      <w:sz w:val="20"/>
      <w:shd w:val="clear" w:color="auto" w:fill="FFFFFF"/>
    </w:rPr>
  </w:style>
  <w:style w:type="character" w:styleId="HTML5">
    <w:name w:val="HTML Acronym"/>
    <w:qFormat/>
    <w:rPr>
      <w:rFonts w:eastAsia="仿宋_GB2312"/>
      <w:kern w:val="2"/>
      <w:sz w:val="24"/>
      <w:szCs w:val="24"/>
      <w:shd w:val="clear" w:color="auto" w:fill="FFFFFF"/>
      <w:lang w:val="en-US" w:eastAsia="zh-CN" w:bidi="ar-SA"/>
    </w:rPr>
  </w:style>
  <w:style w:type="character" w:styleId="HTML6">
    <w:name w:val="HTML Variable"/>
    <w:uiPriority w:val="99"/>
    <w:qFormat/>
    <w:rPr>
      <w:shd w:val="clear" w:color="auto" w:fill="FFFFFF"/>
    </w:rPr>
  </w:style>
  <w:style w:type="character" w:styleId="afffff4">
    <w:name w:val="Hyperlink"/>
    <w:uiPriority w:val="99"/>
    <w:unhideWhenUsed/>
    <w:qFormat/>
    <w:rPr>
      <w:color w:val="0563C1"/>
      <w:u w:val="single"/>
    </w:rPr>
  </w:style>
  <w:style w:type="character" w:styleId="HTML7">
    <w:name w:val="HTML Code"/>
    <w:qFormat/>
    <w:rPr>
      <w:rFonts w:ascii="monospace" w:eastAsia="monospace" w:hAnsi="monospace" w:cs="monospace" w:hint="default"/>
      <w:sz w:val="21"/>
      <w:szCs w:val="21"/>
      <w:shd w:val="clear" w:color="auto" w:fill="FFFFFF"/>
    </w:rPr>
  </w:style>
  <w:style w:type="character" w:styleId="afffff5">
    <w:name w:val="annotation reference"/>
    <w:qFormat/>
    <w:rPr>
      <w:sz w:val="21"/>
      <w:szCs w:val="21"/>
    </w:rPr>
  </w:style>
  <w:style w:type="character" w:styleId="HTML8">
    <w:name w:val="HTML Cite"/>
    <w:uiPriority w:val="99"/>
    <w:qFormat/>
    <w:rPr>
      <w:shd w:val="clear" w:color="auto" w:fill="FFFFFF"/>
    </w:rPr>
  </w:style>
  <w:style w:type="character" w:styleId="afffff6">
    <w:name w:val="footnote reference"/>
    <w:uiPriority w:val="99"/>
    <w:qFormat/>
    <w:rPr>
      <w:rFonts w:ascii="宋体" w:eastAsia="宋体" w:hAnsi="宋体" w:cs="Courier New"/>
      <w:kern w:val="2"/>
      <w:sz w:val="32"/>
      <w:szCs w:val="32"/>
      <w:vertAlign w:val="superscript"/>
      <w:lang w:val="en-US" w:eastAsia="zh-CN" w:bidi="ar-SA"/>
    </w:rPr>
  </w:style>
  <w:style w:type="character" w:styleId="HTML9">
    <w:name w:val="HTML Keyboard"/>
    <w:qFormat/>
    <w:rPr>
      <w:rFonts w:ascii="monospace" w:eastAsia="monospace" w:hAnsi="monospace" w:cs="monospace" w:hint="default"/>
      <w:sz w:val="21"/>
      <w:szCs w:val="21"/>
      <w:shd w:val="clear" w:color="auto" w:fill="FFFFFF"/>
    </w:rPr>
  </w:style>
  <w:style w:type="character" w:styleId="HTMLa">
    <w:name w:val="HTML Sample"/>
    <w:qFormat/>
    <w:rPr>
      <w:rFonts w:ascii="monospace" w:eastAsia="monospace" w:hAnsi="monospace" w:cs="monospace" w:hint="default"/>
      <w:sz w:val="21"/>
      <w:szCs w:val="21"/>
      <w:shd w:val="clear" w:color="auto" w:fill="FFFFFF"/>
    </w:rPr>
  </w:style>
  <w:style w:type="character" w:customStyle="1" w:styleId="10">
    <w:name w:val="标题 1 字符"/>
    <w:link w:val="1"/>
    <w:uiPriority w:val="9"/>
    <w:qFormat/>
    <w:rPr>
      <w:rFonts w:eastAsia="方正大黑简体"/>
      <w:kern w:val="44"/>
      <w:sz w:val="44"/>
      <w:szCs w:val="21"/>
    </w:rPr>
  </w:style>
  <w:style w:type="character" w:customStyle="1" w:styleId="22">
    <w:name w:val="标题 2 字符"/>
    <w:link w:val="21"/>
    <w:uiPriority w:val="9"/>
    <w:qFormat/>
    <w:rPr>
      <w:rFonts w:eastAsia="黑体"/>
      <w:b/>
      <w:bCs/>
      <w:smallCaps/>
      <w:color w:val="000000" w:themeColor="text1"/>
      <w:kern w:val="2"/>
      <w:sz w:val="32"/>
      <w:szCs w:val="28"/>
    </w:rPr>
  </w:style>
  <w:style w:type="character" w:customStyle="1" w:styleId="32">
    <w:name w:val="标题 3 字符"/>
    <w:link w:val="31"/>
    <w:qFormat/>
    <w:rPr>
      <w:rFonts w:eastAsia="黑体"/>
      <w:b/>
      <w:bCs/>
      <w:color w:val="000000" w:themeColor="text1"/>
      <w:kern w:val="2"/>
      <w:sz w:val="30"/>
      <w:szCs w:val="24"/>
      <w:lang w:val="zh-CN"/>
    </w:rPr>
  </w:style>
  <w:style w:type="character" w:customStyle="1" w:styleId="42">
    <w:name w:val="标题 4 字符"/>
    <w:link w:val="41"/>
    <w:uiPriority w:val="1"/>
    <w:qFormat/>
    <w:rPr>
      <w:rFonts w:eastAsiaTheme="majorEastAsia"/>
      <w:b/>
      <w:bCs/>
      <w:color w:val="000000" w:themeColor="text1"/>
      <w:kern w:val="2"/>
      <w:sz w:val="28"/>
      <w:szCs w:val="24"/>
      <w:lang w:val="zh-CN"/>
    </w:rPr>
  </w:style>
  <w:style w:type="character" w:customStyle="1" w:styleId="53">
    <w:name w:val="标题 5 字符"/>
    <w:link w:val="52"/>
    <w:qFormat/>
    <w:rPr>
      <w:b/>
      <w:sz w:val="28"/>
      <w:lang w:val="zh-CN"/>
    </w:rPr>
  </w:style>
  <w:style w:type="character" w:customStyle="1" w:styleId="60">
    <w:name w:val="标题 6 字符"/>
    <w:link w:val="6"/>
    <w:qFormat/>
    <w:rPr>
      <w:rFonts w:ascii="Calibri Light" w:hAnsi="Calibri Light"/>
      <w:b/>
      <w:bCs/>
      <w:sz w:val="24"/>
      <w:szCs w:val="24"/>
      <w:lang w:val="zh-CN"/>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zChar">
    <w:name w:val="A-z正文 Char"/>
    <w:link w:val="A-z"/>
    <w:qFormat/>
    <w:rPr>
      <w:rFonts w:eastAsiaTheme="minorEastAsia"/>
      <w:color w:val="000000" w:themeColor="text1"/>
      <w:kern w:val="2"/>
      <w:sz w:val="24"/>
      <w:lang w:val="zh-CN"/>
    </w:rPr>
  </w:style>
  <w:style w:type="character" w:customStyle="1" w:styleId="bt21">
    <w:name w:val="bt21"/>
    <w:qFormat/>
    <w:rPr>
      <w:rFonts w:ascii="黑体" w:eastAsia="黑体" w:hAnsi="黑体" w:hint="eastAsia"/>
      <w:sz w:val="24"/>
    </w:rPr>
  </w:style>
  <w:style w:type="character" w:customStyle="1" w:styleId="zw1">
    <w:name w:val="zw1"/>
    <w:qFormat/>
    <w:rPr>
      <w:rFonts w:ascii="宋体" w:eastAsia="宋体" w:hAnsi="宋体" w:hint="eastAsia"/>
      <w:sz w:val="22"/>
    </w:rPr>
  </w:style>
  <w:style w:type="paragraph" w:customStyle="1" w:styleId="afffff7">
    <w:name w:val="鸿达表格文字"/>
    <w:basedOn w:val="a7"/>
    <w:qFormat/>
    <w:pPr>
      <w:contextualSpacing/>
      <w:jc w:val="center"/>
      <w:textAlignment w:val="baseline"/>
    </w:pPr>
    <w:rPr>
      <w:kern w:val="0"/>
    </w:rPr>
  </w:style>
  <w:style w:type="paragraph" w:customStyle="1" w:styleId="A-">
    <w:name w:val="A-表格文字"/>
    <w:basedOn w:val="a7"/>
    <w:link w:val="A-Char"/>
    <w:qFormat/>
    <w:pPr>
      <w:autoSpaceDE w:val="0"/>
      <w:autoSpaceDN w:val="0"/>
      <w:adjustRightInd w:val="0"/>
      <w:snapToGrid w:val="0"/>
      <w:jc w:val="center"/>
      <w:textAlignment w:val="center"/>
    </w:pPr>
    <w:rPr>
      <w:kern w:val="0"/>
    </w:rPr>
  </w:style>
  <w:style w:type="character" w:customStyle="1" w:styleId="A-Char">
    <w:name w:val="A-表格文字 Char"/>
    <w:link w:val="A-"/>
    <w:qFormat/>
    <w:rPr>
      <w:sz w:val="21"/>
      <w:szCs w:val="21"/>
    </w:rPr>
  </w:style>
  <w:style w:type="paragraph" w:customStyle="1" w:styleId="A-0">
    <w:name w:val="A-表格名"/>
    <w:basedOn w:val="a7"/>
    <w:link w:val="A-Char0"/>
    <w:qFormat/>
    <w:pPr>
      <w:adjustRightInd w:val="0"/>
      <w:snapToGrid w:val="0"/>
      <w:spacing w:beforeLines="50" w:before="120"/>
      <w:jc w:val="center"/>
    </w:pPr>
    <w:rPr>
      <w:rFonts w:eastAsia="黑体"/>
      <w:color w:val="000000" w:themeColor="text1"/>
      <w:sz w:val="24"/>
      <w:szCs w:val="20"/>
    </w:rPr>
  </w:style>
  <w:style w:type="character" w:customStyle="1" w:styleId="A-Char0">
    <w:name w:val="A-表格名 Char"/>
    <w:link w:val="A-0"/>
    <w:qFormat/>
    <w:rPr>
      <w:rFonts w:eastAsia="黑体"/>
      <w:color w:val="000000" w:themeColor="text1"/>
      <w:kern w:val="2"/>
      <w:sz w:val="24"/>
    </w:rPr>
  </w:style>
  <w:style w:type="paragraph" w:customStyle="1" w:styleId="A--">
    <w:name w:val="A-题注-图"/>
    <w:basedOn w:val="A-0"/>
    <w:link w:val="A--Char"/>
    <w:qFormat/>
    <w:pPr>
      <w:ind w:leftChars="100" w:left="210" w:rightChars="100" w:right="210"/>
    </w:pPr>
    <w:rPr>
      <w:szCs w:val="28"/>
    </w:rPr>
  </w:style>
  <w:style w:type="character" w:customStyle="1" w:styleId="A--Char">
    <w:name w:val="A-题注-图 Char"/>
    <w:link w:val="A--"/>
    <w:qFormat/>
    <w:rPr>
      <w:rFonts w:eastAsia="黑体"/>
      <w:color w:val="000000" w:themeColor="text1"/>
      <w:kern w:val="2"/>
      <w:sz w:val="24"/>
      <w:szCs w:val="28"/>
    </w:rPr>
  </w:style>
  <w:style w:type="paragraph" w:customStyle="1" w:styleId="A-1">
    <w:name w:val="A-尾注"/>
    <w:basedOn w:val="A-z"/>
    <w:link w:val="A-Char1"/>
    <w:qFormat/>
    <w:pPr>
      <w:spacing w:line="240" w:lineRule="auto"/>
      <w:ind w:firstLineChars="0" w:firstLine="0"/>
      <w:jc w:val="left"/>
    </w:pPr>
    <w:rPr>
      <w:sz w:val="18"/>
    </w:rPr>
  </w:style>
  <w:style w:type="character" w:customStyle="1" w:styleId="A-Char1">
    <w:name w:val="A-尾注 Char"/>
    <w:link w:val="A-1"/>
    <w:qFormat/>
    <w:rPr>
      <w:rFonts w:cs="宋体"/>
      <w:kern w:val="2"/>
      <w:sz w:val="18"/>
    </w:rPr>
  </w:style>
  <w:style w:type="paragraph" w:customStyle="1" w:styleId="A-2">
    <w:name w:val="A-页脚"/>
    <w:basedOn w:val="a7"/>
    <w:link w:val="A-Char2"/>
    <w:qFormat/>
    <w:pPr>
      <w:pBdr>
        <w:top w:val="single" w:sz="4" w:space="1" w:color="auto"/>
      </w:pBdr>
      <w:tabs>
        <w:tab w:val="center" w:pos="4153"/>
        <w:tab w:val="right" w:pos="8306"/>
      </w:tabs>
      <w:snapToGrid w:val="0"/>
      <w:jc w:val="left"/>
    </w:pPr>
    <w:rPr>
      <w:sz w:val="18"/>
      <w:szCs w:val="18"/>
    </w:rPr>
  </w:style>
  <w:style w:type="character" w:customStyle="1" w:styleId="A-Char2">
    <w:name w:val="A-页脚 Char"/>
    <w:link w:val="A-2"/>
    <w:qFormat/>
    <w:rPr>
      <w:kern w:val="2"/>
      <w:sz w:val="18"/>
      <w:szCs w:val="18"/>
    </w:rPr>
  </w:style>
  <w:style w:type="paragraph" w:customStyle="1" w:styleId="A-3">
    <w:name w:val="A-页眉"/>
    <w:basedOn w:val="a7"/>
    <w:link w:val="A-Char3"/>
    <w:qFormat/>
    <w:pPr>
      <w:pBdr>
        <w:bottom w:val="single" w:sz="6" w:space="1" w:color="auto"/>
      </w:pBdr>
      <w:tabs>
        <w:tab w:val="center" w:pos="4153"/>
        <w:tab w:val="right" w:pos="8306"/>
      </w:tabs>
      <w:snapToGrid w:val="0"/>
      <w:jc w:val="center"/>
    </w:pPr>
    <w:rPr>
      <w:rFonts w:eastAsia="楷体_GB2312"/>
      <w:sz w:val="18"/>
      <w:szCs w:val="18"/>
      <w:lang w:val="zh-CN"/>
    </w:rPr>
  </w:style>
  <w:style w:type="character" w:customStyle="1" w:styleId="A-Char3">
    <w:name w:val="A-页眉 Char"/>
    <w:link w:val="A-3"/>
    <w:qFormat/>
    <w:rPr>
      <w:rFonts w:eastAsia="楷体_GB2312"/>
      <w:kern w:val="2"/>
      <w:sz w:val="18"/>
      <w:szCs w:val="18"/>
      <w:lang w:val="zh-CN"/>
    </w:rPr>
  </w:style>
  <w:style w:type="paragraph" w:customStyle="1" w:styleId="3f2">
    <w:name w:val="目录3"/>
    <w:basedOn w:val="a7"/>
    <w:next w:val="a7"/>
    <w:qFormat/>
    <w:pPr>
      <w:widowControl/>
      <w:tabs>
        <w:tab w:val="left" w:leader="dot" w:pos="8503"/>
      </w:tabs>
      <w:spacing w:line="317" w:lineRule="atLeast"/>
      <w:ind w:firstLine="419"/>
      <w:textAlignment w:val="baseline"/>
    </w:pPr>
    <w:rPr>
      <w:color w:val="000000"/>
      <w:kern w:val="0"/>
      <w:szCs w:val="20"/>
    </w:rPr>
  </w:style>
  <w:style w:type="paragraph" w:customStyle="1" w:styleId="2f6">
    <w:name w:val="目录2"/>
    <w:basedOn w:val="a7"/>
    <w:next w:val="a7"/>
    <w:uiPriority w:val="99"/>
    <w:qFormat/>
    <w:pPr>
      <w:widowControl/>
      <w:tabs>
        <w:tab w:val="left" w:leader="dot" w:pos="8503"/>
      </w:tabs>
      <w:spacing w:line="317" w:lineRule="atLeast"/>
      <w:ind w:firstLine="209"/>
      <w:textAlignment w:val="baseline"/>
    </w:pPr>
    <w:rPr>
      <w:color w:val="000000"/>
      <w:kern w:val="0"/>
      <w:szCs w:val="20"/>
    </w:rPr>
  </w:style>
  <w:style w:type="paragraph" w:customStyle="1" w:styleId="4a">
    <w:name w:val="目录4"/>
    <w:basedOn w:val="a7"/>
    <w:next w:val="a7"/>
    <w:uiPriority w:val="99"/>
    <w:qFormat/>
    <w:pPr>
      <w:widowControl/>
      <w:tabs>
        <w:tab w:val="left" w:leader="dot" w:pos="8503"/>
      </w:tabs>
      <w:spacing w:line="317" w:lineRule="atLeast"/>
      <w:ind w:firstLine="629"/>
      <w:textAlignment w:val="baseline"/>
    </w:pPr>
    <w:rPr>
      <w:color w:val="000000"/>
      <w:kern w:val="0"/>
      <w:szCs w:val="20"/>
    </w:rPr>
  </w:style>
  <w:style w:type="paragraph" w:customStyle="1" w:styleId="1b">
    <w:name w:val="目录1"/>
    <w:basedOn w:val="a7"/>
    <w:next w:val="a7"/>
    <w:uiPriority w:val="99"/>
    <w:qFormat/>
    <w:pPr>
      <w:widowControl/>
      <w:tabs>
        <w:tab w:val="left" w:leader="dot" w:pos="8503"/>
      </w:tabs>
      <w:spacing w:after="136" w:line="289" w:lineRule="atLeast"/>
      <w:jc w:val="left"/>
      <w:textAlignment w:val="baseline"/>
    </w:pPr>
    <w:rPr>
      <w:rFonts w:ascii="Arial" w:eastAsia="黑体"/>
      <w:color w:val="000000"/>
      <w:kern w:val="0"/>
      <w:sz w:val="28"/>
      <w:szCs w:val="20"/>
    </w:rPr>
  </w:style>
  <w:style w:type="character" w:customStyle="1" w:styleId="afff">
    <w:name w:val="批注框文本 字符"/>
    <w:link w:val="affe"/>
    <w:qFormat/>
    <w:rPr>
      <w:rFonts w:ascii="Calibri" w:hAnsi="Calibri"/>
      <w:kern w:val="2"/>
      <w:sz w:val="18"/>
      <w:szCs w:val="18"/>
    </w:rPr>
  </w:style>
  <w:style w:type="character" w:customStyle="1" w:styleId="afff4">
    <w:name w:val="页眉 字符"/>
    <w:link w:val="afff3"/>
    <w:qFormat/>
    <w:rPr>
      <w:rFonts w:ascii="Calibri" w:hAnsi="Calibri"/>
      <w:kern w:val="2"/>
      <w:sz w:val="18"/>
      <w:szCs w:val="18"/>
    </w:rPr>
  </w:style>
  <w:style w:type="character" w:customStyle="1" w:styleId="afff1">
    <w:name w:val="页脚 字符"/>
    <w:link w:val="afff0"/>
    <w:qFormat/>
    <w:rPr>
      <w:rFonts w:ascii="Calibri" w:hAnsi="Calibri"/>
      <w:kern w:val="2"/>
      <w:sz w:val="18"/>
      <w:szCs w:val="18"/>
    </w:rPr>
  </w:style>
  <w:style w:type="paragraph" w:customStyle="1" w:styleId="afffff8">
    <w:name w:val="鸿达表格段落"/>
    <w:basedOn w:val="a7"/>
    <w:qFormat/>
    <w:pPr>
      <w:adjustRightInd w:val="0"/>
      <w:snapToGrid w:val="0"/>
      <w:ind w:firstLineChars="100" w:firstLine="100"/>
      <w:jc w:val="left"/>
    </w:pPr>
    <w:rPr>
      <w:snapToGrid w:val="0"/>
      <w:kern w:val="0"/>
      <w:szCs w:val="24"/>
    </w:rPr>
  </w:style>
  <w:style w:type="paragraph" w:customStyle="1" w:styleId="TOC10">
    <w:name w:val="TOC 标题1"/>
    <w:basedOn w:val="1"/>
    <w:next w:val="a7"/>
    <w:unhideWhenUsed/>
    <w:qFormat/>
    <w:pPr>
      <w:keepNext/>
      <w:keepLines/>
      <w:widowControl/>
      <w:numPr>
        <w:numId w:val="0"/>
      </w:numPr>
      <w:spacing w:beforeLines="0" w:before="480" w:line="276" w:lineRule="auto"/>
      <w:jc w:val="left"/>
      <w:outlineLvl w:val="9"/>
    </w:pPr>
    <w:rPr>
      <w:rFonts w:ascii="Calibri Light" w:eastAsia="宋体" w:hAnsi="Calibri Light"/>
      <w:bCs/>
      <w:color w:val="2E74B5"/>
      <w:kern w:val="0"/>
      <w:sz w:val="28"/>
      <w:szCs w:val="28"/>
    </w:rPr>
  </w:style>
  <w:style w:type="paragraph" w:customStyle="1" w:styleId="TableParagraph">
    <w:name w:val="Table Paragraph"/>
    <w:basedOn w:val="a7"/>
    <w:uiPriority w:val="1"/>
    <w:qFormat/>
    <w:pPr>
      <w:jc w:val="left"/>
    </w:pPr>
    <w:rPr>
      <w:kern w:val="0"/>
      <w:sz w:val="22"/>
      <w:szCs w:val="22"/>
      <w:lang w:eastAsia="en-US"/>
    </w:r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afd">
    <w:name w:val="批注文字 字符"/>
    <w:link w:val="afc"/>
    <w:uiPriority w:val="99"/>
    <w:qFormat/>
    <w:rPr>
      <w:rFonts w:ascii="Calibri" w:hAnsi="Calibri"/>
      <w:kern w:val="2"/>
      <w:sz w:val="21"/>
      <w:szCs w:val="21"/>
    </w:rPr>
  </w:style>
  <w:style w:type="character" w:customStyle="1" w:styleId="affff6">
    <w:name w:val="批注主题 字符"/>
    <w:link w:val="affff5"/>
    <w:uiPriority w:val="99"/>
    <w:qFormat/>
    <w:rPr>
      <w:rFonts w:ascii="Calibri" w:hAnsi="Calibri"/>
      <w:b/>
      <w:bCs/>
      <w:kern w:val="2"/>
      <w:sz w:val="24"/>
      <w:szCs w:val="21"/>
    </w:rPr>
  </w:style>
  <w:style w:type="character" w:customStyle="1" w:styleId="Char1">
    <w:name w:val="表中文字 Char1"/>
    <w:link w:val="afffff9"/>
    <w:qFormat/>
    <w:locked/>
    <w:rPr>
      <w:rFonts w:ascii="黑体" w:eastAsia="黑体" w:hAnsi="黑体" w:cs="黑体"/>
      <w:kern w:val="2"/>
      <w:sz w:val="21"/>
      <w:szCs w:val="24"/>
    </w:rPr>
  </w:style>
  <w:style w:type="paragraph" w:customStyle="1" w:styleId="afffff9">
    <w:name w:val="表中文字"/>
    <w:basedOn w:val="a7"/>
    <w:link w:val="Char1"/>
    <w:qFormat/>
    <w:pPr>
      <w:snapToGrid w:val="0"/>
      <w:jc w:val="center"/>
    </w:pPr>
    <w:rPr>
      <w:rFonts w:ascii="黑体" w:eastAsia="黑体" w:hAnsi="黑体" w:cs="黑体"/>
      <w:szCs w:val="24"/>
    </w:rPr>
  </w:style>
  <w:style w:type="paragraph" w:customStyle="1" w:styleId="afffffa">
    <w:name w:val="表后空行格式"/>
    <w:basedOn w:val="a7"/>
    <w:uiPriority w:val="99"/>
    <w:qFormat/>
    <w:pPr>
      <w:widowControl/>
      <w:adjustRightInd w:val="0"/>
      <w:snapToGrid w:val="0"/>
      <w:ind w:firstLineChars="200" w:firstLine="392"/>
      <w:jc w:val="left"/>
    </w:pPr>
    <w:rPr>
      <w:rFonts w:cs="黑体"/>
      <w:spacing w:val="8"/>
      <w:sz w:val="18"/>
      <w:szCs w:val="24"/>
    </w:rPr>
  </w:style>
  <w:style w:type="character" w:customStyle="1" w:styleId="aff3">
    <w:name w:val="正文文本 字符"/>
    <w:link w:val="aff2"/>
    <w:qFormat/>
    <w:rPr>
      <w:rFonts w:ascii="宋体" w:hAnsi="宋体" w:cs="Times New Roman"/>
      <w:sz w:val="24"/>
      <w:szCs w:val="24"/>
      <w:lang w:eastAsia="en-US"/>
    </w:rPr>
  </w:style>
  <w:style w:type="paragraph" w:customStyle="1" w:styleId="afffffb">
    <w:name w:val="表格内容"/>
    <w:basedOn w:val="a7"/>
    <w:next w:val="a7"/>
    <w:link w:val="Char"/>
    <w:qFormat/>
    <w:pPr>
      <w:jc w:val="center"/>
    </w:pPr>
    <w:rPr>
      <w:color w:val="000000"/>
    </w:rPr>
  </w:style>
  <w:style w:type="character" w:customStyle="1" w:styleId="Char">
    <w:name w:val="表格内容 Char"/>
    <w:link w:val="afffffb"/>
    <w:qFormat/>
    <w:rPr>
      <w:rFonts w:eastAsia="宋体"/>
      <w:color w:val="000000"/>
      <w:kern w:val="2"/>
      <w:sz w:val="21"/>
      <w:szCs w:val="21"/>
    </w:rPr>
  </w:style>
  <w:style w:type="paragraph" w:customStyle="1" w:styleId="afffffc">
    <w:name w:val="表标题"/>
    <w:basedOn w:val="a7"/>
    <w:next w:val="a7"/>
    <w:link w:val="Char0"/>
    <w:qFormat/>
    <w:pPr>
      <w:spacing w:beforeLines="50" w:line="360" w:lineRule="auto"/>
      <w:jc w:val="center"/>
    </w:pPr>
    <w:rPr>
      <w:b/>
    </w:rPr>
  </w:style>
  <w:style w:type="character" w:customStyle="1" w:styleId="Char0">
    <w:name w:val="表标题 Char"/>
    <w:link w:val="afffffc"/>
    <w:qFormat/>
    <w:rPr>
      <w:rFonts w:eastAsia="宋体" w:cs="Times New Roman"/>
      <w:b/>
      <w:kern w:val="2"/>
      <w:sz w:val="21"/>
      <w:szCs w:val="21"/>
    </w:rPr>
  </w:style>
  <w:style w:type="paragraph" w:customStyle="1" w:styleId="afffffd">
    <w:name w:val="鸿达表加粗"/>
    <w:basedOn w:val="a7"/>
    <w:qFormat/>
    <w:pPr>
      <w:jc w:val="center"/>
    </w:pPr>
    <w:rPr>
      <w:rFonts w:cs="宋体"/>
      <w:b/>
      <w:color w:val="000000"/>
      <w:szCs w:val="20"/>
    </w:rPr>
  </w:style>
  <w:style w:type="paragraph" w:customStyle="1" w:styleId="afffffe">
    <w:name w:val="表"/>
    <w:basedOn w:val="a7"/>
    <w:link w:val="Char10"/>
    <w:qFormat/>
    <w:pPr>
      <w:adjustRightInd w:val="0"/>
      <w:spacing w:beforeLines="50"/>
      <w:jc w:val="center"/>
      <w:textAlignment w:val="baseline"/>
    </w:pPr>
    <w:rPr>
      <w:rFonts w:ascii="黑体" w:eastAsia="黑体" w:hAnsi="黑体" w:cs="黑体"/>
      <w:b/>
      <w:bCs/>
      <w:kern w:val="0"/>
      <w:sz w:val="24"/>
    </w:rPr>
  </w:style>
  <w:style w:type="paragraph" w:styleId="affffff">
    <w:name w:val="List Paragraph"/>
    <w:basedOn w:val="a7"/>
    <w:link w:val="affffff0"/>
    <w:uiPriority w:val="34"/>
    <w:unhideWhenUsed/>
    <w:qFormat/>
    <w:pPr>
      <w:spacing w:line="360" w:lineRule="auto"/>
      <w:ind w:firstLineChars="200" w:firstLine="420"/>
    </w:pPr>
    <w:rPr>
      <w:sz w:val="24"/>
      <w:szCs w:val="20"/>
    </w:rPr>
  </w:style>
  <w:style w:type="character" w:customStyle="1" w:styleId="af">
    <w:name w:val="注释标题 字符"/>
    <w:link w:val="ae"/>
    <w:qFormat/>
    <w:rPr>
      <w:kern w:val="2"/>
      <w:sz w:val="21"/>
      <w:szCs w:val="24"/>
    </w:rPr>
  </w:style>
  <w:style w:type="character" w:customStyle="1" w:styleId="af1">
    <w:name w:val="电子邮件签名 字符"/>
    <w:link w:val="af0"/>
    <w:qFormat/>
    <w:rPr>
      <w:kern w:val="2"/>
      <w:sz w:val="21"/>
      <w:szCs w:val="24"/>
    </w:rPr>
  </w:style>
  <w:style w:type="character" w:customStyle="1" w:styleId="afa">
    <w:name w:val="文档结构图 字符"/>
    <w:link w:val="af9"/>
    <w:qFormat/>
    <w:rPr>
      <w:kern w:val="2"/>
      <w:sz w:val="24"/>
      <w:shd w:val="clear" w:color="auto" w:fill="000080"/>
    </w:rPr>
  </w:style>
  <w:style w:type="character" w:customStyle="1" w:styleId="aff">
    <w:name w:val="称呼 字符"/>
    <w:link w:val="afe"/>
    <w:qFormat/>
    <w:rPr>
      <w:kern w:val="2"/>
      <w:sz w:val="21"/>
      <w:szCs w:val="24"/>
    </w:rPr>
  </w:style>
  <w:style w:type="character" w:customStyle="1" w:styleId="35">
    <w:name w:val="正文文本 3 字符"/>
    <w:link w:val="34"/>
    <w:qFormat/>
    <w:rPr>
      <w:kern w:val="2"/>
      <w:sz w:val="16"/>
      <w:szCs w:val="16"/>
    </w:rPr>
  </w:style>
  <w:style w:type="character" w:customStyle="1" w:styleId="aff1">
    <w:name w:val="结束语 字符"/>
    <w:link w:val="aff0"/>
    <w:qFormat/>
    <w:rPr>
      <w:kern w:val="2"/>
      <w:sz w:val="21"/>
      <w:szCs w:val="24"/>
    </w:rPr>
  </w:style>
  <w:style w:type="character" w:customStyle="1" w:styleId="Char2">
    <w:name w:val="正文文本缩进 Char"/>
    <w:semiHidden/>
    <w:qFormat/>
    <w:rPr>
      <w:rFonts w:ascii="Calibri" w:hAnsi="Calibri"/>
      <w:kern w:val="2"/>
      <w:sz w:val="21"/>
      <w:szCs w:val="21"/>
    </w:rPr>
  </w:style>
  <w:style w:type="character" w:customStyle="1" w:styleId="Char3">
    <w:name w:val="日期 Char"/>
    <w:qFormat/>
    <w:rPr>
      <w:rFonts w:ascii="Calibri" w:hAnsi="Calibri"/>
      <w:kern w:val="2"/>
      <w:sz w:val="21"/>
      <w:szCs w:val="21"/>
    </w:rPr>
  </w:style>
  <w:style w:type="character" w:customStyle="1" w:styleId="26">
    <w:name w:val="正文文本缩进 2 字符"/>
    <w:link w:val="25"/>
    <w:qFormat/>
    <w:rPr>
      <w:kern w:val="2"/>
      <w:sz w:val="24"/>
    </w:rPr>
  </w:style>
  <w:style w:type="character" w:customStyle="1" w:styleId="afff6">
    <w:name w:val="签名 字符"/>
    <w:link w:val="afff5"/>
    <w:qFormat/>
    <w:rPr>
      <w:kern w:val="2"/>
      <w:sz w:val="21"/>
      <w:szCs w:val="24"/>
    </w:rPr>
  </w:style>
  <w:style w:type="character" w:customStyle="1" w:styleId="afff9">
    <w:name w:val="副标题 字符"/>
    <w:link w:val="afff8"/>
    <w:uiPriority w:val="11"/>
    <w:qFormat/>
    <w:rPr>
      <w:rFonts w:ascii="Arial" w:hAnsi="Arial" w:cs="Arial"/>
      <w:b/>
      <w:bCs/>
      <w:kern w:val="28"/>
      <w:sz w:val="32"/>
      <w:szCs w:val="32"/>
    </w:rPr>
  </w:style>
  <w:style w:type="character" w:customStyle="1" w:styleId="afffd">
    <w:name w:val="脚注文本 字符"/>
    <w:link w:val="afffc"/>
    <w:qFormat/>
    <w:rPr>
      <w:sz w:val="18"/>
    </w:rPr>
  </w:style>
  <w:style w:type="character" w:customStyle="1" w:styleId="38">
    <w:name w:val="正文文本缩进 3 字符"/>
    <w:link w:val="37"/>
    <w:qFormat/>
    <w:rPr>
      <w:sz w:val="28"/>
    </w:rPr>
  </w:style>
  <w:style w:type="character" w:customStyle="1" w:styleId="2Char">
    <w:name w:val="正文文本 2 Char"/>
    <w:qFormat/>
    <w:rPr>
      <w:rFonts w:ascii="Calibri" w:hAnsi="Calibri"/>
      <w:kern w:val="2"/>
      <w:sz w:val="21"/>
      <w:szCs w:val="21"/>
    </w:rPr>
  </w:style>
  <w:style w:type="character" w:customStyle="1" w:styleId="affff1">
    <w:name w:val="信息标题 字符"/>
    <w:link w:val="affff0"/>
    <w:qFormat/>
    <w:rPr>
      <w:rFonts w:ascii="Arial" w:hAnsi="Arial" w:cs="Arial"/>
      <w:kern w:val="2"/>
      <w:sz w:val="24"/>
      <w:szCs w:val="24"/>
      <w:shd w:val="pct20" w:color="auto" w:fill="auto"/>
    </w:rPr>
  </w:style>
  <w:style w:type="character" w:customStyle="1" w:styleId="affff4">
    <w:name w:val="标题 字符"/>
    <w:link w:val="a"/>
    <w:qFormat/>
    <w:rPr>
      <w:rFonts w:ascii="Arial" w:eastAsia="黑体" w:hAnsi="Arial" w:cs="Arial"/>
      <w:b/>
      <w:bCs/>
      <w:kern w:val="2"/>
      <w:sz w:val="32"/>
      <w:szCs w:val="32"/>
    </w:rPr>
  </w:style>
  <w:style w:type="character" w:customStyle="1" w:styleId="affff8">
    <w:name w:val="正文文本首行缩进 字符"/>
    <w:link w:val="affff7"/>
    <w:qFormat/>
    <w:rPr>
      <w:rFonts w:ascii="Calibri" w:hAnsi="Calibri" w:cs="黑体"/>
      <w:kern w:val="2"/>
      <w:sz w:val="24"/>
      <w:szCs w:val="24"/>
      <w:lang w:eastAsia="en-US"/>
    </w:rPr>
  </w:style>
  <w:style w:type="character" w:customStyle="1" w:styleId="2Char0">
    <w:name w:val="正文首行缩进 2 Char"/>
    <w:qFormat/>
    <w:rPr>
      <w:rFonts w:ascii="Calibri" w:hAnsi="Calibri"/>
      <w:kern w:val="2"/>
      <w:sz w:val="21"/>
      <w:szCs w:val="21"/>
    </w:rPr>
  </w:style>
  <w:style w:type="paragraph" w:customStyle="1" w:styleId="affffff1">
    <w:name w:val="表格文字"/>
    <w:basedOn w:val="af3"/>
    <w:link w:val="Char4"/>
    <w:qFormat/>
    <w:pPr>
      <w:tabs>
        <w:tab w:val="left" w:pos="5738"/>
        <w:tab w:val="left" w:pos="5902"/>
      </w:tabs>
      <w:autoSpaceDE w:val="0"/>
      <w:autoSpaceDN w:val="0"/>
      <w:adjustRightInd w:val="0"/>
      <w:snapToGrid w:val="0"/>
      <w:spacing w:line="240" w:lineRule="auto"/>
      <w:ind w:firstLineChars="0" w:firstLine="0"/>
      <w:jc w:val="center"/>
    </w:pPr>
    <w:rPr>
      <w:szCs w:val="21"/>
    </w:rPr>
  </w:style>
  <w:style w:type="character" w:customStyle="1" w:styleId="3Char1">
    <w:name w:val="标题 3 Char1"/>
    <w:qFormat/>
    <w:rPr>
      <w:rFonts w:ascii="Times New Roman" w:eastAsia="黑体" w:hAnsi="Times New Roman" w:cs="Times New Roman"/>
      <w:b/>
      <w:bCs/>
      <w:sz w:val="24"/>
      <w:szCs w:val="32"/>
    </w:rPr>
  </w:style>
  <w:style w:type="paragraph" w:customStyle="1" w:styleId="1c">
    <w:name w:val="表头1"/>
    <w:basedOn w:val="a7"/>
    <w:next w:val="a7"/>
    <w:link w:val="1Char"/>
    <w:qFormat/>
    <w:pPr>
      <w:tabs>
        <w:tab w:val="left" w:pos="605"/>
      </w:tabs>
      <w:adjustRightInd w:val="0"/>
      <w:snapToGrid w:val="0"/>
      <w:spacing w:line="360" w:lineRule="auto"/>
      <w:ind w:firstLineChars="200" w:firstLine="480"/>
      <w:jc w:val="center"/>
    </w:pPr>
    <w:rPr>
      <w:rFonts w:eastAsia="黑体" w:cs="黑体"/>
    </w:rPr>
  </w:style>
  <w:style w:type="paragraph" w:customStyle="1" w:styleId="affffff2">
    <w:name w:val="表格内文字"/>
    <w:qFormat/>
    <w:pPr>
      <w:keepNext/>
      <w:widowControl w:val="0"/>
      <w:spacing w:beforeLines="50" w:line="240" w:lineRule="atLeast"/>
      <w:jc w:val="center"/>
    </w:pPr>
    <w:rPr>
      <w:rFonts w:ascii="宋体" w:hAnsi="宋体"/>
      <w:w w:val="90"/>
    </w:rPr>
  </w:style>
  <w:style w:type="paragraph" w:customStyle="1" w:styleId="affffff3">
    <w:name w:val="正文样式一"/>
    <w:basedOn w:val="a7"/>
    <w:qFormat/>
    <w:pPr>
      <w:adjustRightInd w:val="0"/>
      <w:spacing w:line="400" w:lineRule="atLeast"/>
      <w:ind w:firstLineChars="200" w:firstLine="510"/>
      <w:textAlignment w:val="baseline"/>
    </w:pPr>
    <w:rPr>
      <w:kern w:val="0"/>
      <w:sz w:val="24"/>
      <w:szCs w:val="20"/>
    </w:rPr>
  </w:style>
  <w:style w:type="paragraph" w:customStyle="1" w:styleId="150">
    <w:name w:val="正文 小四 行距: 1.5 倍行距"/>
    <w:basedOn w:val="a7"/>
    <w:qFormat/>
    <w:pPr>
      <w:spacing w:line="360" w:lineRule="auto"/>
      <w:ind w:firstLineChars="200" w:firstLine="480"/>
    </w:pPr>
    <w:rPr>
      <w:rFonts w:cs="宋体"/>
      <w:sz w:val="24"/>
      <w:szCs w:val="20"/>
    </w:rPr>
  </w:style>
  <w:style w:type="paragraph" w:customStyle="1" w:styleId="affffff4">
    <w:name w:val="表体宋旭峰"/>
    <w:basedOn w:val="a7"/>
    <w:link w:val="Char5"/>
    <w:qFormat/>
    <w:pPr>
      <w:overflowPunct w:val="0"/>
      <w:spacing w:line="280" w:lineRule="atLeast"/>
      <w:ind w:firstLineChars="200" w:firstLine="480"/>
      <w:jc w:val="center"/>
      <w:textAlignment w:val="baseline"/>
    </w:pPr>
    <w:rPr>
      <w:rFonts w:cs="Courier New"/>
      <w:snapToGrid w:val="0"/>
      <w:kern w:val="24"/>
      <w:sz w:val="18"/>
      <w:szCs w:val="20"/>
    </w:rPr>
  </w:style>
  <w:style w:type="paragraph" w:customStyle="1" w:styleId="affffff5">
    <w:name w:val="样式"/>
    <w:basedOn w:val="a7"/>
    <w:qFormat/>
    <w:pPr>
      <w:ind w:firstLineChars="200" w:firstLine="480"/>
    </w:pPr>
    <w:rPr>
      <w:rFonts w:hAnsi="Courier New"/>
    </w:rPr>
  </w:style>
  <w:style w:type="paragraph" w:customStyle="1" w:styleId="affffff6">
    <w:name w:val="缩进"/>
    <w:basedOn w:val="a7"/>
    <w:link w:val="Char6"/>
    <w:qFormat/>
    <w:pPr>
      <w:spacing w:line="360" w:lineRule="auto"/>
      <w:ind w:firstLineChars="200" w:firstLine="480"/>
    </w:pPr>
    <w:rPr>
      <w:rFonts w:cs="黑体"/>
      <w:sz w:val="24"/>
      <w:szCs w:val="24"/>
    </w:rPr>
  </w:style>
  <w:style w:type="paragraph" w:customStyle="1" w:styleId="110">
    <w:name w:val="正文11"/>
    <w:basedOn w:val="a7"/>
    <w:link w:val="1Char1"/>
    <w:qFormat/>
    <w:pPr>
      <w:adjustRightInd w:val="0"/>
      <w:spacing w:line="360" w:lineRule="atLeast"/>
      <w:ind w:firstLineChars="200" w:firstLine="480"/>
      <w:jc w:val="left"/>
      <w:textAlignment w:val="baseline"/>
    </w:pPr>
    <w:rPr>
      <w:kern w:val="0"/>
      <w:sz w:val="24"/>
      <w:szCs w:val="20"/>
    </w:rPr>
  </w:style>
  <w:style w:type="paragraph" w:customStyle="1" w:styleId="affffff7">
    <w:name w:val="流程图"/>
    <w:basedOn w:val="a7"/>
    <w:semiHidden/>
    <w:qFormat/>
    <w:pPr>
      <w:ind w:firstLineChars="200" w:firstLine="480"/>
    </w:pPr>
    <w:rPr>
      <w:szCs w:val="18"/>
    </w:rPr>
  </w:style>
  <w:style w:type="paragraph" w:customStyle="1" w:styleId="5a">
    <w:name w:val="文本框5号两端齐"/>
    <w:basedOn w:val="a7"/>
    <w:semiHidden/>
    <w:qFormat/>
    <w:pPr>
      <w:widowControl/>
      <w:ind w:firstLineChars="200" w:firstLine="480"/>
    </w:pPr>
    <w:rPr>
      <w:rFonts w:eastAsia="仿宋_GB2312"/>
    </w:rPr>
  </w:style>
  <w:style w:type="paragraph" w:customStyle="1" w:styleId="Affffff8">
    <w:name w:val="样式A"/>
    <w:basedOn w:val="a7"/>
    <w:link w:val="AChar"/>
    <w:qFormat/>
    <w:pPr>
      <w:topLinePunct/>
      <w:adjustRightInd w:val="0"/>
      <w:spacing w:line="530" w:lineRule="exact"/>
      <w:ind w:firstLineChars="200" w:firstLine="520"/>
      <w:jc w:val="left"/>
      <w:textAlignment w:val="baseline"/>
    </w:pPr>
    <w:rPr>
      <w:rFonts w:eastAsia="幼圆" w:cs="黑体"/>
      <w:sz w:val="26"/>
      <w:szCs w:val="26"/>
    </w:rPr>
  </w:style>
  <w:style w:type="paragraph" w:customStyle="1" w:styleId="affffff9">
    <w:name w:val="正文仿宋小四"/>
    <w:basedOn w:val="a7"/>
    <w:semiHidden/>
    <w:qFormat/>
    <w:pPr>
      <w:adjustRightInd w:val="0"/>
      <w:snapToGrid w:val="0"/>
      <w:spacing w:line="360" w:lineRule="auto"/>
      <w:ind w:firstLineChars="200" w:firstLine="480"/>
    </w:pPr>
    <w:rPr>
      <w:rFonts w:eastAsia="仿宋_GB2312"/>
      <w:sz w:val="24"/>
      <w:szCs w:val="24"/>
    </w:rPr>
  </w:style>
  <w:style w:type="paragraph" w:customStyle="1" w:styleId="affffffa">
    <w:name w:val="正文图五"/>
    <w:basedOn w:val="a7"/>
    <w:qFormat/>
    <w:pPr>
      <w:adjustRightInd w:val="0"/>
      <w:snapToGrid w:val="0"/>
      <w:ind w:firstLineChars="200" w:firstLine="480"/>
      <w:jc w:val="center"/>
    </w:pPr>
    <w:rPr>
      <w:rFonts w:eastAsia="仿宋_GB2312"/>
      <w:snapToGrid w:val="0"/>
      <w:spacing w:val="6"/>
      <w:szCs w:val="20"/>
    </w:rPr>
  </w:style>
  <w:style w:type="paragraph" w:customStyle="1" w:styleId="affffffb">
    <w:name w:val="正文表格"/>
    <w:basedOn w:val="a7"/>
    <w:link w:val="Char7"/>
    <w:qFormat/>
    <w:pPr>
      <w:keepNext/>
      <w:keepLines/>
      <w:overflowPunct w:val="0"/>
      <w:adjustRightInd w:val="0"/>
      <w:spacing w:before="80" w:line="360" w:lineRule="auto"/>
      <w:ind w:firstLineChars="200" w:firstLine="480"/>
      <w:jc w:val="center"/>
      <w:textAlignment w:val="bottom"/>
    </w:pPr>
    <w:rPr>
      <w:kern w:val="0"/>
      <w:sz w:val="28"/>
      <w:szCs w:val="20"/>
    </w:rPr>
  </w:style>
  <w:style w:type="paragraph" w:customStyle="1" w:styleId="2f7">
    <w:name w:val="样式 首行缩进:  2 字符"/>
    <w:basedOn w:val="a7"/>
    <w:link w:val="2Char1"/>
    <w:qFormat/>
    <w:pPr>
      <w:ind w:firstLineChars="200" w:firstLine="420"/>
    </w:pPr>
    <w:rPr>
      <w:rFonts w:cs="宋体"/>
      <w:szCs w:val="20"/>
    </w:rPr>
  </w:style>
  <w:style w:type="paragraph" w:customStyle="1" w:styleId="affffffc">
    <w:name w:val="图表名"/>
    <w:basedOn w:val="a7"/>
    <w:link w:val="Char8"/>
    <w:qFormat/>
    <w:pPr>
      <w:adjustRightInd w:val="0"/>
      <w:snapToGrid w:val="0"/>
      <w:spacing w:line="360" w:lineRule="auto"/>
      <w:ind w:firstLineChars="200" w:firstLine="480"/>
      <w:jc w:val="center"/>
    </w:pPr>
    <w:rPr>
      <w:rFonts w:eastAsia="黑体"/>
      <w:snapToGrid w:val="0"/>
      <w:color w:val="000000"/>
      <w:kern w:val="0"/>
      <w:sz w:val="28"/>
      <w:szCs w:val="28"/>
    </w:rPr>
  </w:style>
  <w:style w:type="paragraph" w:customStyle="1" w:styleId="210">
    <w:name w:val="样式 首行缩进:  2 字符1"/>
    <w:basedOn w:val="a7"/>
    <w:qFormat/>
    <w:pPr>
      <w:adjustRightInd w:val="0"/>
      <w:snapToGrid w:val="0"/>
      <w:spacing w:line="360" w:lineRule="auto"/>
      <w:ind w:firstLineChars="200" w:firstLine="480"/>
    </w:pPr>
    <w:rPr>
      <w:rFonts w:cs="宋体"/>
      <w:sz w:val="24"/>
      <w:szCs w:val="20"/>
    </w:rPr>
  </w:style>
  <w:style w:type="paragraph" w:customStyle="1" w:styleId="xl64">
    <w:name w:val="xl64"/>
    <w:basedOn w:val="a7"/>
    <w:qFormat/>
    <w:pPr>
      <w:widowControl/>
      <w:pBdr>
        <w:top w:val="single" w:sz="4" w:space="0" w:color="auto"/>
        <w:left w:val="single" w:sz="4" w:space="0" w:color="auto"/>
        <w:bottom w:val="single" w:sz="4" w:space="0" w:color="auto"/>
      </w:pBdr>
      <w:spacing w:before="100" w:beforeAutospacing="1" w:after="100" w:afterAutospacing="1"/>
      <w:ind w:firstLineChars="200" w:firstLine="480"/>
      <w:jc w:val="left"/>
      <w:textAlignment w:val="center"/>
    </w:pPr>
    <w:rPr>
      <w:rFonts w:ascii="Arial Unicode MS" w:eastAsia="Arial Unicode MS" w:hAnsi="Arial Unicode MS" w:cs="Arial Unicode MS"/>
      <w:kern w:val="0"/>
      <w:sz w:val="22"/>
      <w:szCs w:val="22"/>
    </w:rPr>
  </w:style>
  <w:style w:type="paragraph" w:customStyle="1" w:styleId="211">
    <w:name w:val="样式 正文首行缩进 + 首行缩进:  2 字符1"/>
    <w:basedOn w:val="affff7"/>
    <w:uiPriority w:val="99"/>
    <w:qFormat/>
    <w:pPr>
      <w:spacing w:after="0"/>
      <w:ind w:firstLineChars="200" w:firstLine="480"/>
    </w:pPr>
  </w:style>
  <w:style w:type="paragraph" w:customStyle="1" w:styleId="affffffd">
    <w:name w:val="正文仿宋"/>
    <w:basedOn w:val="a7"/>
    <w:semiHidden/>
    <w:qFormat/>
    <w:pPr>
      <w:adjustRightInd w:val="0"/>
      <w:snapToGrid w:val="0"/>
      <w:spacing w:line="360" w:lineRule="auto"/>
      <w:ind w:firstLineChars="200" w:firstLine="567"/>
    </w:pPr>
    <w:rPr>
      <w:rFonts w:eastAsia="仿宋_GB2312"/>
      <w:snapToGrid w:val="0"/>
      <w:kern w:val="0"/>
      <w:sz w:val="24"/>
      <w:szCs w:val="20"/>
    </w:rPr>
  </w:style>
  <w:style w:type="paragraph" w:customStyle="1" w:styleId="affffffe">
    <w:name w:val="水印"/>
    <w:basedOn w:val="a7"/>
    <w:qFormat/>
    <w:pPr>
      <w:adjustRightInd w:val="0"/>
      <w:spacing w:line="240" w:lineRule="atLeast"/>
      <w:ind w:firstLineChars="200" w:firstLine="480"/>
      <w:textAlignment w:val="baseline"/>
    </w:pPr>
    <w:rPr>
      <w:kern w:val="0"/>
      <w:szCs w:val="20"/>
    </w:rPr>
  </w:style>
  <w:style w:type="paragraph" w:customStyle="1" w:styleId="afffffff">
    <w:name w:val="环正文"/>
    <w:basedOn w:val="a7"/>
    <w:qFormat/>
    <w:pPr>
      <w:widowControl/>
      <w:tabs>
        <w:tab w:val="left" w:pos="5094"/>
      </w:tabs>
      <w:adjustRightInd w:val="0"/>
      <w:spacing w:line="312" w:lineRule="atLeast"/>
      <w:ind w:firstLineChars="232" w:firstLine="637"/>
      <w:textAlignment w:val="baseline"/>
    </w:pPr>
    <w:rPr>
      <w:kern w:val="0"/>
      <w:sz w:val="24"/>
      <w:szCs w:val="20"/>
    </w:rPr>
  </w:style>
  <w:style w:type="paragraph" w:customStyle="1" w:styleId="xl67">
    <w:name w:val="xl6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Arial Unicode MS" w:eastAsia="Arial Unicode MS" w:hAnsi="Arial Unicode MS" w:cs="Arial Unicode MS"/>
      <w:kern w:val="0"/>
      <w:sz w:val="22"/>
      <w:szCs w:val="22"/>
    </w:rPr>
  </w:style>
  <w:style w:type="paragraph" w:customStyle="1" w:styleId="100">
    <w:name w:val="样式10"/>
    <w:basedOn w:val="31"/>
    <w:semiHidden/>
    <w:qFormat/>
    <w:pPr>
      <w:tabs>
        <w:tab w:val="left" w:pos="0"/>
        <w:tab w:val="left" w:pos="432"/>
      </w:tabs>
      <w:spacing w:before="0" w:afterLines="0" w:after="0"/>
      <w:jc w:val="both"/>
      <w:textAlignment w:val="auto"/>
    </w:pPr>
    <w:rPr>
      <w:b w:val="0"/>
      <w:smallCaps/>
      <w:kern w:val="0"/>
      <w:sz w:val="24"/>
      <w:lang w:val="en-US"/>
    </w:rPr>
  </w:style>
  <w:style w:type="paragraph" w:customStyle="1" w:styleId="afffffff0">
    <w:name w:val="报告书正文"/>
    <w:basedOn w:val="a7"/>
    <w:link w:val="Char9"/>
    <w:qFormat/>
    <w:pPr>
      <w:spacing w:line="360" w:lineRule="auto"/>
      <w:ind w:firstLineChars="200" w:firstLine="480"/>
    </w:pPr>
    <w:rPr>
      <w:rFonts w:cs="黑体"/>
      <w:sz w:val="24"/>
      <w:szCs w:val="24"/>
    </w:rPr>
  </w:style>
  <w:style w:type="paragraph" w:customStyle="1" w:styleId="afffffff1">
    <w:name w:val="注："/>
    <w:next w:val="a7"/>
    <w:semiHidden/>
    <w:qFormat/>
    <w:pPr>
      <w:widowControl w:val="0"/>
      <w:tabs>
        <w:tab w:val="left" w:pos="895"/>
      </w:tabs>
      <w:autoSpaceDE w:val="0"/>
      <w:autoSpaceDN w:val="0"/>
      <w:spacing w:beforeLines="50" w:line="360" w:lineRule="auto"/>
      <w:ind w:left="895" w:hanging="420"/>
      <w:jc w:val="both"/>
    </w:pPr>
    <w:rPr>
      <w:rFonts w:ascii="宋体"/>
      <w:sz w:val="18"/>
    </w:rPr>
  </w:style>
  <w:style w:type="paragraph" w:customStyle="1" w:styleId="afffffff2">
    <w:name w:val="正文格式"/>
    <w:basedOn w:val="affff7"/>
    <w:link w:val="Chara"/>
    <w:qFormat/>
    <w:pPr>
      <w:widowControl/>
      <w:spacing w:after="0"/>
      <w:ind w:firstLineChars="200" w:firstLine="200"/>
      <w:jc w:val="left"/>
    </w:pPr>
    <w:rPr>
      <w:rFonts w:ascii="宋体"/>
    </w:rPr>
  </w:style>
  <w:style w:type="paragraph" w:customStyle="1" w:styleId="xl73">
    <w:name w:val="xl73"/>
    <w:basedOn w:val="a7"/>
    <w:qFormat/>
    <w:pPr>
      <w:widowControl/>
      <w:pBdr>
        <w:top w:val="single" w:sz="4" w:space="0" w:color="auto"/>
        <w:left w:val="single" w:sz="4" w:space="0" w:color="auto"/>
        <w:bottom w:val="single" w:sz="4" w:space="0" w:color="auto"/>
      </w:pBdr>
      <w:spacing w:before="100" w:beforeAutospacing="1" w:after="100" w:afterAutospacing="1"/>
      <w:ind w:firstLineChars="200" w:firstLine="480"/>
      <w:jc w:val="center"/>
      <w:textAlignment w:val="center"/>
    </w:pPr>
    <w:rPr>
      <w:rFonts w:eastAsia="Arial Unicode MS"/>
      <w:kern w:val="0"/>
      <w:sz w:val="22"/>
      <w:szCs w:val="22"/>
    </w:rPr>
  </w:style>
  <w:style w:type="paragraph" w:customStyle="1" w:styleId="999">
    <w:name w:val="正文999"/>
    <w:basedOn w:val="a7"/>
    <w:qFormat/>
    <w:pPr>
      <w:spacing w:line="360" w:lineRule="auto"/>
      <w:ind w:firstLineChars="200" w:firstLine="480"/>
    </w:pPr>
    <w:rPr>
      <w:sz w:val="24"/>
      <w:szCs w:val="24"/>
    </w:rPr>
  </w:style>
  <w:style w:type="paragraph" w:customStyle="1" w:styleId="1d">
    <w:name w:val="日期1"/>
    <w:basedOn w:val="a7"/>
    <w:next w:val="a7"/>
    <w:qFormat/>
    <w:pPr>
      <w:adjustRightInd w:val="0"/>
      <w:spacing w:line="312" w:lineRule="atLeast"/>
      <w:ind w:firstLineChars="200" w:firstLine="480"/>
      <w:textAlignment w:val="baseline"/>
    </w:pPr>
    <w:rPr>
      <w:kern w:val="0"/>
      <w:sz w:val="28"/>
      <w:szCs w:val="20"/>
    </w:rPr>
  </w:style>
  <w:style w:type="paragraph" w:customStyle="1" w:styleId="1e">
    <w:name w:val="表名1"/>
    <w:basedOn w:val="afffffff3"/>
    <w:semiHidden/>
    <w:qFormat/>
    <w:pPr>
      <w:overflowPunct w:val="0"/>
      <w:adjustRightInd w:val="0"/>
      <w:snapToGrid w:val="0"/>
      <w:spacing w:line="240" w:lineRule="auto"/>
      <w:textAlignment w:val="baseline"/>
    </w:pPr>
    <w:rPr>
      <w:rFonts w:eastAsia="黑体"/>
      <w:b w:val="0"/>
      <w:kern w:val="24"/>
      <w:sz w:val="21"/>
      <w:szCs w:val="21"/>
    </w:rPr>
  </w:style>
  <w:style w:type="paragraph" w:customStyle="1" w:styleId="afffffff3">
    <w:name w:val="表名"/>
    <w:basedOn w:val="a7"/>
    <w:link w:val="Charb"/>
    <w:qFormat/>
    <w:pPr>
      <w:keepNext/>
      <w:spacing w:line="360" w:lineRule="auto"/>
      <w:ind w:firstLineChars="200" w:firstLine="480"/>
      <w:jc w:val="center"/>
    </w:pPr>
    <w:rPr>
      <w:rFonts w:cs="黑体"/>
      <w:b/>
      <w:sz w:val="24"/>
      <w:szCs w:val="24"/>
    </w:rPr>
  </w:style>
  <w:style w:type="paragraph" w:customStyle="1" w:styleId="afffffff4">
    <w:name w:val="右侧"/>
    <w:semiHidden/>
    <w:qFormat/>
    <w:pPr>
      <w:spacing w:beforeLines="50" w:line="280" w:lineRule="exact"/>
      <w:jc w:val="right"/>
    </w:pPr>
    <w:rPr>
      <w:rFonts w:ascii="Batang" w:hAnsi="Batang"/>
      <w:color w:val="000000"/>
      <w:sz w:val="18"/>
    </w:rPr>
  </w:style>
  <w:style w:type="paragraph" w:customStyle="1" w:styleId="afffffff5">
    <w:name w:val="正文居中"/>
    <w:basedOn w:val="affff7"/>
    <w:semiHidden/>
    <w:qFormat/>
    <w:pPr>
      <w:adjustRightInd w:val="0"/>
      <w:spacing w:before="48" w:after="0"/>
      <w:ind w:firstLineChars="200" w:firstLine="480"/>
      <w:textAlignment w:val="baseline"/>
    </w:pPr>
    <w:rPr>
      <w:kern w:val="0"/>
      <w:lang w:val="zh-CN"/>
    </w:rPr>
  </w:style>
  <w:style w:type="paragraph" w:customStyle="1" w:styleId="xl65">
    <w:name w:val="xl65"/>
    <w:basedOn w:val="a7"/>
    <w:qFormat/>
    <w:pPr>
      <w:widowControl/>
      <w:pBdr>
        <w:left w:val="single" w:sz="8" w:space="0" w:color="auto"/>
        <w:bottom w:val="single" w:sz="4" w:space="0" w:color="auto"/>
      </w:pBdr>
      <w:spacing w:before="100" w:beforeAutospacing="1" w:after="100" w:afterAutospacing="1"/>
      <w:ind w:firstLineChars="200" w:firstLine="480"/>
      <w:jc w:val="center"/>
      <w:textAlignment w:val="center"/>
    </w:pPr>
    <w:rPr>
      <w:rFonts w:eastAsia="Arial Unicode MS"/>
      <w:kern w:val="0"/>
      <w:sz w:val="22"/>
      <w:szCs w:val="22"/>
    </w:rPr>
  </w:style>
  <w:style w:type="paragraph" w:customStyle="1" w:styleId="afffffff6">
    <w:name w:val="文本框五号"/>
    <w:semiHidden/>
    <w:qFormat/>
    <w:pPr>
      <w:adjustRightInd w:val="0"/>
      <w:spacing w:beforeLines="50" w:line="240" w:lineRule="atLeast"/>
      <w:jc w:val="center"/>
    </w:pPr>
    <w:rPr>
      <w:rFonts w:eastAsia="仿宋_GB2312"/>
      <w:snapToGrid w:val="0"/>
      <w:kern w:val="2"/>
      <w:sz w:val="21"/>
      <w:szCs w:val="21"/>
    </w:rPr>
  </w:style>
  <w:style w:type="paragraph" w:customStyle="1" w:styleId="a5">
    <w:name w:val="注×："/>
    <w:qFormat/>
    <w:pPr>
      <w:widowControl w:val="0"/>
      <w:numPr>
        <w:numId w:val="10"/>
      </w:numPr>
      <w:tabs>
        <w:tab w:val="left" w:pos="630"/>
      </w:tabs>
      <w:autoSpaceDE w:val="0"/>
      <w:autoSpaceDN w:val="0"/>
      <w:spacing w:beforeLines="50" w:line="360" w:lineRule="auto"/>
      <w:jc w:val="both"/>
    </w:pPr>
    <w:rPr>
      <w:rFonts w:ascii="宋体"/>
      <w:sz w:val="18"/>
    </w:rPr>
  </w:style>
  <w:style w:type="paragraph" w:customStyle="1" w:styleId="afffffff7">
    <w:name w:val="左五"/>
    <w:basedOn w:val="a7"/>
    <w:semiHidden/>
    <w:qFormat/>
    <w:pPr>
      <w:adjustRightInd w:val="0"/>
      <w:snapToGrid w:val="0"/>
      <w:spacing w:line="280" w:lineRule="exact"/>
      <w:ind w:firstLineChars="200" w:firstLine="480"/>
      <w:jc w:val="left"/>
    </w:pPr>
    <w:rPr>
      <w:rFonts w:hAnsi="Symusic"/>
      <w:color w:val="000000"/>
      <w:sz w:val="18"/>
      <w:szCs w:val="24"/>
    </w:rPr>
  </w:style>
  <w:style w:type="paragraph" w:customStyle="1" w:styleId="afffffff8">
    <w:name w:val="目录"/>
    <w:basedOn w:val="a7"/>
    <w:link w:val="Charc"/>
    <w:qFormat/>
    <w:pPr>
      <w:tabs>
        <w:tab w:val="right" w:leader="dot" w:pos="8505"/>
      </w:tabs>
      <w:overflowPunct w:val="0"/>
      <w:adjustRightInd w:val="0"/>
      <w:spacing w:line="360" w:lineRule="auto"/>
      <w:ind w:left="568" w:right="851" w:firstLineChars="200" w:hanging="284"/>
      <w:textAlignment w:val="baseline"/>
    </w:pPr>
    <w:rPr>
      <w:kern w:val="0"/>
      <w:sz w:val="28"/>
      <w:szCs w:val="20"/>
    </w:rPr>
  </w:style>
  <w:style w:type="paragraph" w:customStyle="1" w:styleId="afffffff9">
    <w:name w:val="样式 表格 + 居中"/>
    <w:basedOn w:val="a7"/>
    <w:qFormat/>
    <w:pPr>
      <w:kinsoku w:val="0"/>
      <w:overflowPunct w:val="0"/>
      <w:adjustRightInd w:val="0"/>
      <w:snapToGrid w:val="0"/>
      <w:ind w:firstLineChars="200" w:firstLine="480"/>
      <w:jc w:val="center"/>
    </w:pPr>
    <w:rPr>
      <w:snapToGrid w:val="0"/>
      <w:color w:val="000000"/>
      <w:kern w:val="0"/>
      <w:sz w:val="24"/>
      <w:szCs w:val="24"/>
    </w:rPr>
  </w:style>
  <w:style w:type="paragraph" w:customStyle="1" w:styleId="-5">
    <w:name w:val="文-5"/>
    <w:basedOn w:val="a7"/>
    <w:semiHidden/>
    <w:qFormat/>
    <w:pPr>
      <w:tabs>
        <w:tab w:val="right" w:leader="dot" w:pos="8789"/>
      </w:tabs>
      <w:spacing w:before="120"/>
      <w:ind w:left="1276" w:firstLineChars="200" w:firstLine="482"/>
    </w:pPr>
    <w:rPr>
      <w:sz w:val="24"/>
      <w:szCs w:val="20"/>
    </w:rPr>
  </w:style>
  <w:style w:type="paragraph" w:customStyle="1" w:styleId="afffffffa">
    <w:name w:val="正文样式"/>
    <w:basedOn w:val="a7"/>
    <w:link w:val="Chard"/>
    <w:qFormat/>
    <w:pPr>
      <w:spacing w:line="360" w:lineRule="auto"/>
      <w:ind w:firstLineChars="200" w:firstLine="480"/>
    </w:pPr>
    <w:rPr>
      <w:rFonts w:cs="黑体"/>
      <w:color w:val="000000"/>
      <w:sz w:val="24"/>
      <w:szCs w:val="24"/>
    </w:rPr>
  </w:style>
  <w:style w:type="paragraph" w:customStyle="1" w:styleId="1f">
    <w:name w:val="正文1"/>
    <w:link w:val="1Char0"/>
    <w:uiPriority w:val="99"/>
    <w:qFormat/>
    <w:pPr>
      <w:widowControl w:val="0"/>
      <w:adjustRightInd w:val="0"/>
      <w:spacing w:beforeLines="50" w:line="312" w:lineRule="atLeast"/>
      <w:jc w:val="both"/>
      <w:textAlignment w:val="baseline"/>
    </w:pPr>
    <w:rPr>
      <w:rFonts w:ascii="宋体"/>
      <w:sz w:val="34"/>
    </w:rPr>
  </w:style>
  <w:style w:type="paragraph" w:customStyle="1" w:styleId="afffffffb">
    <w:name w:val="表题"/>
    <w:basedOn w:val="aff4"/>
    <w:link w:val="CharChar"/>
    <w:qFormat/>
    <w:pPr>
      <w:tabs>
        <w:tab w:val="left" w:pos="4305"/>
      </w:tabs>
      <w:adjustRightInd w:val="0"/>
      <w:snapToGrid w:val="0"/>
      <w:spacing w:after="0" w:line="240" w:lineRule="auto"/>
      <w:ind w:leftChars="0" w:left="0"/>
      <w:jc w:val="center"/>
    </w:pPr>
    <w:rPr>
      <w:rFonts w:ascii="黑体" w:eastAsia="黑体"/>
      <w:snapToGrid w:val="0"/>
      <w:kern w:val="0"/>
      <w:sz w:val="21"/>
      <w:szCs w:val="21"/>
    </w:rPr>
  </w:style>
  <w:style w:type="paragraph" w:customStyle="1" w:styleId="-4">
    <w:name w:val="标-4"/>
    <w:basedOn w:val="a7"/>
    <w:semiHidden/>
    <w:qFormat/>
    <w:pPr>
      <w:spacing w:before="120"/>
      <w:ind w:left="851" w:firstLineChars="200" w:hanging="851"/>
    </w:pPr>
    <w:rPr>
      <w:sz w:val="24"/>
      <w:szCs w:val="20"/>
    </w:rPr>
  </w:style>
  <w:style w:type="paragraph" w:customStyle="1" w:styleId="xl70">
    <w:name w:val="xl70"/>
    <w:basedOn w:val="a7"/>
    <w:qFormat/>
    <w:pPr>
      <w:widowControl/>
      <w:pBdr>
        <w:top w:val="single" w:sz="4" w:space="0" w:color="auto"/>
        <w:left w:val="single" w:sz="4" w:space="0" w:color="auto"/>
        <w:bottom w:val="single" w:sz="4" w:space="0" w:color="auto"/>
      </w:pBdr>
      <w:shd w:val="clear" w:color="auto" w:fill="FFFFFF"/>
      <w:spacing w:before="100" w:beforeAutospacing="1" w:after="100" w:afterAutospacing="1"/>
      <w:ind w:firstLineChars="200" w:firstLine="480"/>
      <w:jc w:val="center"/>
      <w:textAlignment w:val="center"/>
    </w:pPr>
    <w:rPr>
      <w:rFonts w:eastAsia="Arial Unicode MS"/>
      <w:kern w:val="0"/>
      <w:sz w:val="22"/>
      <w:szCs w:val="22"/>
    </w:rPr>
  </w:style>
  <w:style w:type="paragraph" w:customStyle="1" w:styleId="afffffffc">
    <w:name w:val="图标"/>
    <w:basedOn w:val="a7"/>
    <w:qFormat/>
    <w:pPr>
      <w:spacing w:line="440" w:lineRule="exact"/>
      <w:ind w:firstLineChars="200" w:firstLine="480"/>
      <w:jc w:val="center"/>
    </w:pPr>
    <w:rPr>
      <w:rFonts w:ascii="黑体" w:eastAsia="黑体"/>
      <w:sz w:val="28"/>
      <w:szCs w:val="20"/>
    </w:rPr>
  </w:style>
  <w:style w:type="paragraph" w:customStyle="1" w:styleId="afffffffd">
    <w:name w:val="封面正文"/>
    <w:qFormat/>
    <w:pPr>
      <w:spacing w:beforeLines="50" w:line="360" w:lineRule="auto"/>
      <w:jc w:val="both"/>
    </w:pPr>
  </w:style>
  <w:style w:type="paragraph" w:customStyle="1" w:styleId="111">
    <w:name w:val="样式1.1.1三级标题"/>
    <w:basedOn w:val="a7"/>
    <w:next w:val="a7"/>
    <w:qFormat/>
    <w:pPr>
      <w:numPr>
        <w:ilvl w:val="2"/>
        <w:numId w:val="11"/>
      </w:numPr>
      <w:snapToGrid w:val="0"/>
      <w:spacing w:line="360" w:lineRule="auto"/>
      <w:ind w:firstLineChars="200" w:firstLine="200"/>
      <w:outlineLvl w:val="2"/>
    </w:pPr>
    <w:rPr>
      <w:b/>
      <w:sz w:val="28"/>
      <w:szCs w:val="20"/>
    </w:rPr>
  </w:style>
  <w:style w:type="paragraph" w:customStyle="1" w:styleId="2lxb2211H2h2Char41SeHea">
    <w:name w:val="样式 标题 2二级标题标题 lxb2标题21.1H2h2第一层条二级标题 Char单位名4.1SeHea..."/>
    <w:basedOn w:val="afffffff0"/>
    <w:next w:val="afffffff0"/>
    <w:semiHidden/>
    <w:qFormat/>
    <w:pPr>
      <w:ind w:firstLineChars="0" w:firstLine="0"/>
    </w:pPr>
    <w:rPr>
      <w:rFonts w:eastAsia="黑体" w:cs="宋体"/>
      <w:b/>
    </w:rPr>
  </w:style>
  <w:style w:type="paragraph" w:customStyle="1" w:styleId="4b">
    <w:name w:val="样式4"/>
    <w:basedOn w:val="aff2"/>
    <w:link w:val="4Char"/>
    <w:qFormat/>
    <w:pPr>
      <w:spacing w:before="0" w:line="600" w:lineRule="exact"/>
      <w:ind w:left="0" w:firstLineChars="200" w:firstLine="480"/>
      <w:jc w:val="both"/>
    </w:pPr>
    <w:rPr>
      <w:rFonts w:ascii="Calibri" w:hAnsi="Calibri" w:cs="黑体"/>
      <w:kern w:val="2"/>
      <w:sz w:val="28"/>
      <w:lang w:eastAsia="zh-CN"/>
    </w:rPr>
  </w:style>
  <w:style w:type="paragraph" w:customStyle="1" w:styleId="afffffffe">
    <w:name w:val="正文图"/>
    <w:basedOn w:val="a7"/>
    <w:semiHidden/>
    <w:qFormat/>
    <w:pPr>
      <w:adjustRightInd w:val="0"/>
      <w:snapToGrid w:val="0"/>
      <w:spacing w:before="40"/>
      <w:ind w:firstLineChars="200" w:firstLine="480"/>
      <w:jc w:val="center"/>
      <w:textAlignment w:val="baseline"/>
    </w:pPr>
    <w:rPr>
      <w:kern w:val="0"/>
      <w:sz w:val="24"/>
      <w:szCs w:val="20"/>
    </w:rPr>
  </w:style>
  <w:style w:type="paragraph" w:customStyle="1" w:styleId="affffffff">
    <w:name w:val="表中"/>
    <w:qFormat/>
    <w:pPr>
      <w:spacing w:beforeLines="50" w:line="360" w:lineRule="auto"/>
      <w:jc w:val="center"/>
    </w:pPr>
    <w:rPr>
      <w:color w:val="000000"/>
      <w:kern w:val="44"/>
      <w:sz w:val="18"/>
    </w:rPr>
  </w:style>
  <w:style w:type="paragraph" w:customStyle="1" w:styleId="2TimesNewRoman">
    <w:name w:val="正文首行缩进 2 + Times New Roman"/>
    <w:basedOn w:val="a7"/>
    <w:link w:val="2TimesNewRomanChar"/>
    <w:qFormat/>
    <w:pPr>
      <w:tabs>
        <w:tab w:val="left" w:pos="0"/>
        <w:tab w:val="left" w:pos="870"/>
        <w:tab w:val="left" w:pos="3150"/>
      </w:tabs>
      <w:autoSpaceDE w:val="0"/>
      <w:autoSpaceDN w:val="0"/>
      <w:spacing w:line="312" w:lineRule="auto"/>
      <w:ind w:firstLineChars="200" w:firstLine="480"/>
    </w:pPr>
    <w:rPr>
      <w:kern w:val="0"/>
      <w:sz w:val="24"/>
      <w:szCs w:val="24"/>
    </w:rPr>
  </w:style>
  <w:style w:type="paragraph" w:customStyle="1" w:styleId="affffffff0">
    <w:name w:val="我的正文"/>
    <w:basedOn w:val="a7"/>
    <w:link w:val="Chare"/>
    <w:qFormat/>
    <w:pPr>
      <w:spacing w:line="480" w:lineRule="auto"/>
      <w:ind w:firstLineChars="200" w:firstLine="480"/>
    </w:pPr>
    <w:rPr>
      <w:rFonts w:cs="黑体"/>
      <w:color w:val="000000"/>
      <w:sz w:val="24"/>
      <w:szCs w:val="24"/>
    </w:rPr>
  </w:style>
  <w:style w:type="paragraph" w:customStyle="1" w:styleId="affffffff1">
    <w:name w:val="右五"/>
    <w:basedOn w:val="afffffff7"/>
    <w:next w:val="a7"/>
    <w:semiHidden/>
    <w:qFormat/>
    <w:pPr>
      <w:jc w:val="right"/>
    </w:pPr>
  </w:style>
  <w:style w:type="paragraph" w:customStyle="1" w:styleId="affffffff2">
    <w:name w:val="正文图竖五"/>
    <w:basedOn w:val="a7"/>
    <w:semiHidden/>
    <w:qFormat/>
    <w:pPr>
      <w:ind w:firstLineChars="200" w:firstLine="480"/>
      <w:jc w:val="center"/>
    </w:pPr>
    <w:rPr>
      <w:rFonts w:eastAsia="仿宋_GB2312"/>
      <w:color w:val="000000"/>
      <w:kern w:val="0"/>
    </w:rPr>
  </w:style>
  <w:style w:type="paragraph" w:customStyle="1" w:styleId="affffffff3">
    <w:name w:val="样式 样式 表格 + (符号) 宋体 五号 居中 + 小五"/>
    <w:basedOn w:val="a7"/>
    <w:qFormat/>
    <w:pPr>
      <w:kinsoku w:val="0"/>
      <w:overflowPunct w:val="0"/>
      <w:adjustRightInd w:val="0"/>
      <w:snapToGrid w:val="0"/>
      <w:ind w:firstLineChars="200" w:firstLine="480"/>
      <w:jc w:val="center"/>
    </w:pPr>
    <w:rPr>
      <w:snapToGrid w:val="0"/>
      <w:kern w:val="0"/>
      <w:sz w:val="18"/>
    </w:rPr>
  </w:style>
  <w:style w:type="paragraph" w:customStyle="1" w:styleId="xl68">
    <w:name w:val="xl68"/>
    <w:basedOn w:val="a7"/>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Chars="200" w:firstLine="480"/>
      <w:jc w:val="center"/>
      <w:textAlignment w:val="center"/>
    </w:pPr>
    <w:rPr>
      <w:rFonts w:ascii="Arial Unicode MS" w:eastAsia="Arial Unicode MS" w:hAnsi="Arial Unicode MS" w:cs="Arial Unicode MS"/>
      <w:kern w:val="0"/>
      <w:sz w:val="22"/>
      <w:szCs w:val="22"/>
    </w:rPr>
  </w:style>
  <w:style w:type="paragraph" w:customStyle="1" w:styleId="affffffff4">
    <w:name w:val="我的二级"/>
    <w:basedOn w:val="21"/>
    <w:link w:val="Charf"/>
    <w:qFormat/>
    <w:pPr>
      <w:widowControl/>
      <w:numPr>
        <w:numId w:val="0"/>
      </w:numPr>
      <w:tabs>
        <w:tab w:val="clear" w:pos="567"/>
        <w:tab w:val="left" w:pos="0"/>
        <w:tab w:val="left" w:pos="576"/>
        <w:tab w:val="left" w:pos="2133"/>
      </w:tabs>
      <w:adjustRightInd w:val="0"/>
      <w:spacing w:before="0" w:after="0"/>
      <w:ind w:left="576" w:hanging="576"/>
    </w:pPr>
    <w:rPr>
      <w:rFonts w:ascii="Calibri" w:hAnsi="Arial" w:cs="黑体"/>
      <w:b w:val="0"/>
      <w:smallCaps w:val="0"/>
      <w:color w:val="000000"/>
      <w:sz w:val="30"/>
      <w:szCs w:val="32"/>
    </w:rPr>
  </w:style>
  <w:style w:type="paragraph" w:customStyle="1" w:styleId="affffffff5">
    <w:name w:val="框图内容"/>
    <w:basedOn w:val="a7"/>
    <w:semiHidden/>
    <w:qFormat/>
    <w:pPr>
      <w:ind w:firstLineChars="200" w:firstLine="480"/>
      <w:jc w:val="center"/>
    </w:pPr>
    <w:rPr>
      <w:szCs w:val="24"/>
    </w:rPr>
  </w:style>
  <w:style w:type="paragraph" w:customStyle="1" w:styleId="151">
    <w:name w:val="文本框五号1.5倍行距"/>
    <w:basedOn w:val="Charf0"/>
    <w:semiHidden/>
    <w:qFormat/>
  </w:style>
  <w:style w:type="paragraph" w:customStyle="1" w:styleId="Charf0">
    <w:name w:val="文本框五号 Char"/>
    <w:semiHidden/>
    <w:qFormat/>
    <w:pPr>
      <w:spacing w:beforeLines="50" w:line="360" w:lineRule="auto"/>
      <w:jc w:val="center"/>
    </w:pPr>
    <w:rPr>
      <w:rFonts w:eastAsia="仿宋_GB2312"/>
      <w:kern w:val="2"/>
      <w:sz w:val="21"/>
      <w:szCs w:val="21"/>
    </w:rPr>
  </w:style>
  <w:style w:type="paragraph" w:customStyle="1" w:styleId="affffffff6">
    <w:name w:val="段落"/>
    <w:basedOn w:val="a7"/>
    <w:link w:val="CharCharChar"/>
    <w:qFormat/>
    <w:pPr>
      <w:spacing w:line="360" w:lineRule="auto"/>
      <w:ind w:firstLineChars="200" w:firstLine="480"/>
    </w:pPr>
    <w:rPr>
      <w:sz w:val="24"/>
      <w:szCs w:val="24"/>
    </w:rPr>
  </w:style>
  <w:style w:type="paragraph" w:customStyle="1" w:styleId="affffffff7">
    <w:name w:val="表号"/>
    <w:basedOn w:val="a7"/>
    <w:link w:val="Char11"/>
    <w:qFormat/>
    <w:pPr>
      <w:adjustRightInd w:val="0"/>
      <w:snapToGrid w:val="0"/>
      <w:ind w:firstLineChars="200" w:firstLine="480"/>
    </w:pPr>
    <w:rPr>
      <w:snapToGrid w:val="0"/>
      <w:color w:val="000000"/>
      <w:kern w:val="0"/>
      <w:sz w:val="24"/>
      <w:szCs w:val="24"/>
    </w:rPr>
  </w:style>
  <w:style w:type="paragraph" w:customStyle="1" w:styleId="2f8">
    <w:name w:val="正文2"/>
    <w:uiPriority w:val="99"/>
    <w:qFormat/>
    <w:pPr>
      <w:spacing w:beforeLines="50" w:line="360" w:lineRule="auto"/>
      <w:jc w:val="both"/>
    </w:pPr>
    <w:rPr>
      <w:kern w:val="2"/>
      <w:sz w:val="21"/>
      <w:szCs w:val="21"/>
    </w:rPr>
  </w:style>
  <w:style w:type="paragraph" w:customStyle="1" w:styleId="affffffff8">
    <w:name w:val="小节标题"/>
    <w:basedOn w:val="a7"/>
    <w:next w:val="a7"/>
    <w:uiPriority w:val="99"/>
    <w:qFormat/>
    <w:pPr>
      <w:widowControl/>
      <w:spacing w:before="175" w:after="102" w:line="782" w:lineRule="atLeast"/>
      <w:ind w:firstLineChars="200" w:firstLine="480"/>
    </w:pPr>
    <w:rPr>
      <w:rFonts w:eastAsia="黑体"/>
      <w:color w:val="000000"/>
      <w:kern w:val="0"/>
      <w:szCs w:val="20"/>
      <w:u w:color="000000"/>
    </w:rPr>
  </w:style>
  <w:style w:type="paragraph" w:customStyle="1" w:styleId="GB23121">
    <w:name w:val="样式 仿宋_GB2312 小四1"/>
    <w:basedOn w:val="a7"/>
    <w:qFormat/>
    <w:pPr>
      <w:adjustRightInd w:val="0"/>
      <w:spacing w:line="360" w:lineRule="auto"/>
      <w:ind w:firstLineChars="200" w:firstLine="480"/>
      <w:textAlignment w:val="baseline"/>
    </w:pPr>
    <w:rPr>
      <w:rFonts w:eastAsia="仿宋_GB2312"/>
      <w:kern w:val="0"/>
      <w:sz w:val="24"/>
      <w:szCs w:val="24"/>
    </w:rPr>
  </w:style>
  <w:style w:type="paragraph" w:customStyle="1" w:styleId="affffffff9">
    <w:name w:val="正文图小四"/>
    <w:basedOn w:val="a7"/>
    <w:qFormat/>
    <w:pPr>
      <w:adjustRightInd w:val="0"/>
      <w:snapToGrid w:val="0"/>
      <w:ind w:firstLineChars="200" w:firstLine="480"/>
      <w:jc w:val="center"/>
      <w:textAlignment w:val="baseline"/>
    </w:pPr>
    <w:rPr>
      <w:kern w:val="0"/>
      <w:sz w:val="24"/>
      <w:szCs w:val="24"/>
    </w:rPr>
  </w:style>
  <w:style w:type="paragraph" w:customStyle="1" w:styleId="CharChar0">
    <w:name w:val="文本匡小五号 Char Char"/>
    <w:semiHidden/>
    <w:qFormat/>
    <w:pPr>
      <w:spacing w:beforeLines="50" w:line="360" w:lineRule="auto"/>
      <w:jc w:val="center"/>
    </w:pPr>
    <w:rPr>
      <w:rFonts w:eastAsia="仿宋_GB2312"/>
      <w:sz w:val="18"/>
      <w:szCs w:val="24"/>
    </w:rPr>
  </w:style>
  <w:style w:type="paragraph" w:customStyle="1" w:styleId="affffffffa">
    <w:name w:val="左侧"/>
    <w:semiHidden/>
    <w:qFormat/>
    <w:pPr>
      <w:spacing w:beforeLines="50" w:line="280" w:lineRule="exact"/>
      <w:jc w:val="center"/>
    </w:pPr>
    <w:rPr>
      <w:rFonts w:ascii="Batang" w:hAnsi="Batang"/>
      <w:color w:val="000000"/>
      <w:sz w:val="21"/>
    </w:rPr>
  </w:style>
  <w:style w:type="paragraph" w:customStyle="1" w:styleId="CharCharCharCharCharCharChar">
    <w:name w:val="样式 正文缩进正文（首行缩进两字）正文（首行缩进两字） Char Char Char Char Char Char Char..."/>
    <w:basedOn w:val="af3"/>
    <w:qFormat/>
    <w:pPr>
      <w:tabs>
        <w:tab w:val="left" w:pos="3360"/>
      </w:tabs>
      <w:adjustRightInd w:val="0"/>
      <w:snapToGrid w:val="0"/>
      <w:ind w:firstLine="480"/>
      <w:textAlignment w:val="baseline"/>
    </w:pPr>
    <w:rPr>
      <w:rFonts w:ascii="楷体_GB2312" w:eastAsia="楷体_GB2312"/>
      <w:snapToGrid w:val="0"/>
      <w:kern w:val="0"/>
      <w:sz w:val="24"/>
    </w:rPr>
  </w:style>
  <w:style w:type="paragraph" w:customStyle="1" w:styleId="212">
    <w:name w:val="正文文本 21"/>
    <w:basedOn w:val="a7"/>
    <w:next w:val="a7"/>
    <w:qFormat/>
    <w:pPr>
      <w:spacing w:line="360" w:lineRule="auto"/>
      <w:ind w:firstLineChars="200" w:firstLine="480"/>
      <w:jc w:val="left"/>
    </w:pPr>
    <w:rPr>
      <w:sz w:val="24"/>
      <w:szCs w:val="24"/>
    </w:rPr>
  </w:style>
  <w:style w:type="paragraph" w:customStyle="1" w:styleId="213">
    <w:name w:val="样式 图表 + 首行缩进:  2 字符1"/>
    <w:basedOn w:val="a7"/>
    <w:qFormat/>
    <w:pPr>
      <w:adjustRightInd w:val="0"/>
      <w:snapToGrid w:val="0"/>
      <w:spacing w:beforeLines="20" w:afterLines="20"/>
      <w:ind w:leftChars="-50" w:left="-102" w:rightChars="-50" w:right="-105" w:firstLineChars="200" w:hanging="3"/>
      <w:jc w:val="center"/>
    </w:pPr>
    <w:rPr>
      <w:rFonts w:eastAsia="仿宋_GB2312"/>
      <w:color w:val="000000"/>
      <w:szCs w:val="24"/>
    </w:rPr>
  </w:style>
  <w:style w:type="paragraph" w:customStyle="1" w:styleId="affffffffb">
    <w:name w:val="正文(首行缩进)宋旭峰"/>
    <w:basedOn w:val="af3"/>
    <w:link w:val="CharChar1"/>
    <w:qFormat/>
    <w:pPr>
      <w:spacing w:beforeLines="50" w:afterLines="50"/>
      <w:ind w:firstLine="440"/>
      <w:contextualSpacing/>
    </w:pPr>
    <w:rPr>
      <w:snapToGrid w:val="0"/>
      <w:sz w:val="24"/>
    </w:rPr>
  </w:style>
  <w:style w:type="paragraph" w:customStyle="1" w:styleId="5b">
    <w:name w:val="样式5"/>
    <w:basedOn w:val="a7"/>
    <w:link w:val="5Char1"/>
    <w:qFormat/>
    <w:pPr>
      <w:ind w:firstLineChars="200" w:firstLine="420"/>
      <w:textAlignment w:val="baseline"/>
    </w:pPr>
    <w:rPr>
      <w:rFonts w:cs="黑体"/>
      <w:sz w:val="24"/>
      <w:szCs w:val="24"/>
    </w:rPr>
  </w:style>
  <w:style w:type="paragraph" w:customStyle="1" w:styleId="-ls">
    <w:name w:val="正文-ls"/>
    <w:basedOn w:val="a7"/>
    <w:link w:val="-lsChar"/>
    <w:qFormat/>
    <w:pPr>
      <w:spacing w:line="360" w:lineRule="auto"/>
      <w:ind w:firstLineChars="200" w:firstLine="480"/>
    </w:pPr>
    <w:rPr>
      <w:rFonts w:cs="宋体"/>
      <w:sz w:val="24"/>
      <w:szCs w:val="20"/>
    </w:rPr>
  </w:style>
  <w:style w:type="paragraph" w:customStyle="1" w:styleId="xl72">
    <w:name w:val="xl72"/>
    <w:basedOn w:val="a7"/>
    <w:qFormat/>
    <w:pPr>
      <w:widowControl/>
      <w:pBdr>
        <w:top w:val="single" w:sz="4" w:space="0" w:color="auto"/>
        <w:left w:val="single" w:sz="4" w:space="0" w:color="auto"/>
        <w:bottom w:val="single" w:sz="4" w:space="0" w:color="auto"/>
      </w:pBdr>
      <w:shd w:val="clear" w:color="auto" w:fill="FFFFFF"/>
      <w:spacing w:before="100" w:beforeAutospacing="1" w:after="100" w:afterAutospacing="1"/>
      <w:ind w:firstLineChars="200" w:firstLine="480"/>
      <w:jc w:val="center"/>
      <w:textAlignment w:val="center"/>
    </w:pPr>
    <w:rPr>
      <w:rFonts w:eastAsia="Arial Unicode MS"/>
      <w:kern w:val="0"/>
      <w:sz w:val="22"/>
      <w:szCs w:val="22"/>
    </w:rPr>
  </w:style>
  <w:style w:type="paragraph" w:customStyle="1" w:styleId="2f9">
    <w:name w:val="样式 红色 首行缩进:  2 字符"/>
    <w:basedOn w:val="a7"/>
    <w:qFormat/>
    <w:pPr>
      <w:adjustRightInd w:val="0"/>
      <w:snapToGrid w:val="0"/>
      <w:spacing w:line="360" w:lineRule="auto"/>
      <w:ind w:firstLineChars="200" w:firstLine="480"/>
    </w:pPr>
    <w:rPr>
      <w:rFonts w:cs="宋体"/>
      <w:sz w:val="24"/>
      <w:szCs w:val="20"/>
    </w:rPr>
  </w:style>
  <w:style w:type="paragraph" w:customStyle="1" w:styleId="affffffffc">
    <w:name w:val="正文（缩进）"/>
    <w:basedOn w:val="a7"/>
    <w:qFormat/>
    <w:pPr>
      <w:adjustRightInd w:val="0"/>
      <w:snapToGrid w:val="0"/>
      <w:spacing w:line="360" w:lineRule="auto"/>
      <w:ind w:firstLineChars="200" w:firstLine="480"/>
    </w:pPr>
    <w:rPr>
      <w:snapToGrid w:val="0"/>
      <w:kern w:val="0"/>
      <w:sz w:val="24"/>
      <w:szCs w:val="24"/>
    </w:rPr>
  </w:style>
  <w:style w:type="paragraph" w:customStyle="1" w:styleId="affffffffd">
    <w:name w:val="依据文字"/>
    <w:basedOn w:val="2b"/>
    <w:qFormat/>
    <w:pPr>
      <w:tabs>
        <w:tab w:val="left" w:pos="420"/>
        <w:tab w:val="left" w:pos="870"/>
        <w:tab w:val="left" w:pos="3150"/>
      </w:tabs>
      <w:autoSpaceDE w:val="0"/>
      <w:autoSpaceDN w:val="0"/>
      <w:adjustRightInd w:val="0"/>
      <w:snapToGrid w:val="0"/>
      <w:spacing w:before="60" w:after="0" w:line="336" w:lineRule="auto"/>
      <w:ind w:leftChars="0" w:left="0" w:firstLineChars="0" w:firstLine="527"/>
      <w:textAlignment w:val="baseline"/>
    </w:pPr>
  </w:style>
  <w:style w:type="paragraph" w:customStyle="1" w:styleId="4TimesNewRomanGB2312">
    <w:name w:val="样式 标题 4 + (西文) Times New Roman (中文) 楷体_GB2312 非加粗 黑色 首行缩进:  ..."/>
    <w:basedOn w:val="41"/>
    <w:qFormat/>
    <w:pPr>
      <w:tabs>
        <w:tab w:val="clear" w:pos="864"/>
        <w:tab w:val="left" w:pos="0"/>
        <w:tab w:val="left" w:pos="432"/>
        <w:tab w:val="left" w:pos="1855"/>
      </w:tabs>
      <w:adjustRightInd/>
      <w:spacing w:beforeLines="0" w:before="0" w:afterLines="0" w:after="0"/>
      <w:textAlignment w:val="auto"/>
    </w:pPr>
    <w:rPr>
      <w:b w:val="0"/>
      <w:bCs w:val="0"/>
      <w:smallCaps/>
      <w:color w:val="000000"/>
      <w:kern w:val="0"/>
      <w:sz w:val="24"/>
      <w:szCs w:val="20"/>
      <w:lang w:val="en-US"/>
    </w:rPr>
  </w:style>
  <w:style w:type="paragraph" w:customStyle="1" w:styleId="2211H2h22Header2ndPageABCh2mainhead">
    <w:name w:val="样式 标题 2标题21.1H2h2第一层条2Header 2nd PageA.B.C.h2 main head..."/>
    <w:basedOn w:val="21"/>
    <w:semiHidden/>
    <w:qFormat/>
    <w:pPr>
      <w:tabs>
        <w:tab w:val="left" w:pos="0"/>
        <w:tab w:val="left" w:pos="2133"/>
      </w:tabs>
      <w:spacing w:before="0" w:afterLines="0" w:after="0"/>
      <w:jc w:val="both"/>
    </w:pPr>
    <w:rPr>
      <w:bCs w:val="0"/>
      <w:smallCaps w:val="0"/>
      <w:sz w:val="30"/>
      <w:szCs w:val="30"/>
    </w:rPr>
  </w:style>
  <w:style w:type="paragraph" w:customStyle="1" w:styleId="92">
    <w:name w:val="样式9"/>
    <w:basedOn w:val="31"/>
    <w:semiHidden/>
    <w:qFormat/>
    <w:pPr>
      <w:tabs>
        <w:tab w:val="left" w:pos="0"/>
        <w:tab w:val="left" w:pos="432"/>
      </w:tabs>
      <w:spacing w:before="0" w:afterLines="0" w:after="0"/>
      <w:jc w:val="both"/>
      <w:textAlignment w:val="auto"/>
    </w:pPr>
    <w:rPr>
      <w:smallCaps/>
      <w:kern w:val="0"/>
      <w:sz w:val="24"/>
      <w:szCs w:val="28"/>
      <w:lang w:val="en-US"/>
    </w:rPr>
  </w:style>
  <w:style w:type="paragraph" w:customStyle="1" w:styleId="affffffffe">
    <w:name w:val="封面标题"/>
    <w:basedOn w:val="a7"/>
    <w:next w:val="a7"/>
    <w:link w:val="Charf1"/>
    <w:qFormat/>
    <w:pPr>
      <w:spacing w:line="360" w:lineRule="auto"/>
      <w:jc w:val="center"/>
    </w:pPr>
    <w:rPr>
      <w:rFonts w:ascii="黑体" w:eastAsia="楷体" w:cs="黑体"/>
      <w:sz w:val="28"/>
      <w:szCs w:val="24"/>
    </w:rPr>
  </w:style>
  <w:style w:type="paragraph" w:customStyle="1" w:styleId="205">
    <w:name w:val="样式 标题 2 + 段后: 0.5 行"/>
    <w:basedOn w:val="21"/>
    <w:qFormat/>
    <w:pPr>
      <w:tabs>
        <w:tab w:val="left" w:pos="0"/>
        <w:tab w:val="left" w:pos="630"/>
        <w:tab w:val="left" w:pos="840"/>
        <w:tab w:val="left" w:pos="1287"/>
        <w:tab w:val="left" w:pos="2133"/>
        <w:tab w:val="left" w:pos="3920"/>
        <w:tab w:val="left" w:pos="5670"/>
      </w:tabs>
      <w:adjustRightInd w:val="0"/>
      <w:spacing w:before="60" w:afterLines="0" w:after="0" w:line="240" w:lineRule="auto"/>
      <w:ind w:firstLine="567"/>
      <w:jc w:val="both"/>
    </w:pPr>
    <w:rPr>
      <w:rFonts w:eastAsia="仿宋_GB2312"/>
      <w:bCs w:val="0"/>
      <w:smallCaps w:val="0"/>
      <w:color w:val="000000"/>
      <w:sz w:val="30"/>
      <w:szCs w:val="32"/>
    </w:rPr>
  </w:style>
  <w:style w:type="paragraph" w:customStyle="1" w:styleId="1f0">
    <w:name w:val="正文样式1"/>
    <w:basedOn w:val="a7"/>
    <w:link w:val="1Char2"/>
    <w:qFormat/>
    <w:pPr>
      <w:adjustRightInd w:val="0"/>
      <w:spacing w:line="400" w:lineRule="atLeast"/>
      <w:ind w:firstLineChars="200" w:firstLine="454"/>
      <w:textAlignment w:val="baseline"/>
    </w:pPr>
    <w:rPr>
      <w:b/>
      <w:kern w:val="24"/>
      <w:sz w:val="24"/>
      <w:szCs w:val="20"/>
    </w:rPr>
  </w:style>
  <w:style w:type="paragraph" w:customStyle="1" w:styleId="251">
    <w:name w:val="样式 表格 + 左  25 字符1"/>
    <w:semiHidden/>
    <w:qFormat/>
    <w:pPr>
      <w:spacing w:beforeLines="50"/>
      <w:jc w:val="center"/>
    </w:pPr>
    <w:rPr>
      <w:rFonts w:hAnsi="宋体" w:cs="宋体"/>
      <w:sz w:val="18"/>
    </w:rPr>
  </w:style>
  <w:style w:type="paragraph" w:customStyle="1" w:styleId="3f3">
    <w:name w:val="样式3"/>
    <w:basedOn w:val="a7"/>
    <w:link w:val="3Char"/>
    <w:qFormat/>
    <w:pPr>
      <w:autoSpaceDE w:val="0"/>
      <w:autoSpaceDN w:val="0"/>
      <w:snapToGrid w:val="0"/>
      <w:spacing w:before="120" w:line="460" w:lineRule="atLeast"/>
      <w:ind w:firstLineChars="200" w:firstLine="480"/>
      <w:jc w:val="center"/>
    </w:pPr>
    <w:rPr>
      <w:rFonts w:eastAsia="黑体"/>
      <w:sz w:val="28"/>
      <w:szCs w:val="24"/>
    </w:rPr>
  </w:style>
  <w:style w:type="paragraph" w:customStyle="1" w:styleId="821">
    <w:name w:val="样式 正文(首行缩进) + 8 磅 加粗 首行缩进:  2 字符1"/>
    <w:basedOn w:val="a7"/>
    <w:semiHidden/>
    <w:qFormat/>
    <w:pPr>
      <w:adjustRightInd w:val="0"/>
      <w:snapToGrid w:val="0"/>
      <w:ind w:firstLineChars="200" w:firstLine="480"/>
    </w:pPr>
    <w:rPr>
      <w:rFonts w:cs="宋体"/>
      <w:b/>
      <w:bCs/>
      <w:snapToGrid w:val="0"/>
      <w:kern w:val="0"/>
      <w:sz w:val="16"/>
      <w:szCs w:val="20"/>
    </w:rPr>
  </w:style>
  <w:style w:type="paragraph" w:customStyle="1" w:styleId="xl71">
    <w:name w:val="xl71"/>
    <w:basedOn w:val="a7"/>
    <w:qFormat/>
    <w:pPr>
      <w:widowControl/>
      <w:pBdr>
        <w:top w:val="single" w:sz="4" w:space="0" w:color="auto"/>
        <w:left w:val="single" w:sz="4" w:space="0" w:color="auto"/>
        <w:bottom w:val="single" w:sz="4" w:space="0" w:color="auto"/>
      </w:pBdr>
      <w:spacing w:before="100" w:beforeAutospacing="1" w:after="100" w:afterAutospacing="1"/>
      <w:ind w:firstLineChars="200" w:firstLine="480"/>
      <w:jc w:val="center"/>
      <w:textAlignment w:val="center"/>
    </w:pPr>
    <w:rPr>
      <w:rFonts w:eastAsia="Arial Unicode MS"/>
      <w:kern w:val="0"/>
      <w:sz w:val="22"/>
      <w:szCs w:val="22"/>
    </w:rPr>
  </w:style>
  <w:style w:type="paragraph" w:customStyle="1" w:styleId="74">
    <w:name w:val="样式7"/>
    <w:basedOn w:val="a7"/>
    <w:link w:val="7Char"/>
    <w:qFormat/>
    <w:pPr>
      <w:spacing w:line="620" w:lineRule="exact"/>
      <w:ind w:firstLineChars="200" w:firstLine="480"/>
    </w:pPr>
    <w:rPr>
      <w:rFonts w:cs="黑体"/>
      <w:sz w:val="28"/>
      <w:szCs w:val="28"/>
    </w:rPr>
  </w:style>
  <w:style w:type="paragraph" w:customStyle="1" w:styleId="xl69">
    <w:name w:val="xl69"/>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Arial Unicode MS" w:eastAsia="Arial Unicode MS" w:hAnsi="Arial Unicode MS" w:cs="Arial Unicode MS"/>
      <w:kern w:val="0"/>
      <w:sz w:val="22"/>
      <w:szCs w:val="22"/>
    </w:rPr>
  </w:style>
  <w:style w:type="paragraph" w:customStyle="1" w:styleId="Charf2">
    <w:name w:val="文本匡小五号 Char"/>
    <w:semiHidden/>
    <w:qFormat/>
    <w:pPr>
      <w:snapToGrid w:val="0"/>
      <w:spacing w:beforeLines="50" w:line="100" w:lineRule="atLeast"/>
      <w:jc w:val="center"/>
    </w:pPr>
    <w:rPr>
      <w:rFonts w:eastAsia="仿宋_GB2312"/>
      <w:snapToGrid w:val="0"/>
      <w:sz w:val="21"/>
      <w:szCs w:val="21"/>
    </w:rPr>
  </w:style>
  <w:style w:type="paragraph" w:customStyle="1" w:styleId="152">
    <w:name w:val="样式 小四 加粗 行距: 1.5 倍行距"/>
    <w:basedOn w:val="a7"/>
    <w:semiHidden/>
    <w:qFormat/>
    <w:pPr>
      <w:spacing w:line="360" w:lineRule="auto"/>
      <w:ind w:firstLineChars="200" w:firstLine="480"/>
    </w:pPr>
    <w:rPr>
      <w:rFonts w:cs="宋体"/>
      <w:b/>
      <w:bCs/>
      <w:sz w:val="24"/>
      <w:szCs w:val="20"/>
    </w:rPr>
  </w:style>
  <w:style w:type="paragraph" w:customStyle="1" w:styleId="217">
    <w:name w:val="样式 样式 样式 首行缩进:  2 字符 + 居中 + 行距: 固定值 17 磅"/>
    <w:basedOn w:val="a7"/>
    <w:qFormat/>
    <w:pPr>
      <w:adjustRightInd w:val="0"/>
      <w:snapToGrid w:val="0"/>
      <w:spacing w:line="340" w:lineRule="exact"/>
      <w:ind w:firstLineChars="200" w:firstLine="480"/>
      <w:jc w:val="center"/>
    </w:pPr>
    <w:rPr>
      <w:rFonts w:cs="宋体"/>
      <w:color w:val="000000"/>
      <w:szCs w:val="20"/>
    </w:rPr>
  </w:style>
  <w:style w:type="paragraph" w:customStyle="1" w:styleId="afffffffff">
    <w:name w:val="湛江码头表"/>
    <w:basedOn w:val="a7"/>
    <w:qFormat/>
    <w:pPr>
      <w:ind w:firstLineChars="200" w:firstLine="480"/>
      <w:jc w:val="center"/>
    </w:pPr>
    <w:rPr>
      <w:rFonts w:eastAsia="仿宋_GB2312"/>
      <w:kern w:val="0"/>
      <w:szCs w:val="24"/>
      <w:lang w:eastAsia="zh-TW"/>
    </w:rPr>
  </w:style>
  <w:style w:type="paragraph" w:customStyle="1" w:styleId="zhang">
    <w:name w:val="zhang正文"/>
    <w:basedOn w:val="aff4"/>
    <w:qFormat/>
    <w:pPr>
      <w:autoSpaceDE w:val="0"/>
      <w:autoSpaceDN w:val="0"/>
      <w:adjustRightInd w:val="0"/>
      <w:snapToGrid w:val="0"/>
      <w:spacing w:after="0"/>
      <w:ind w:leftChars="0" w:left="0" w:firstLine="539"/>
      <w:textAlignment w:val="baseline"/>
    </w:pPr>
    <w:rPr>
      <w:rFonts w:eastAsia="楷体_GB2312"/>
      <w:kern w:val="0"/>
      <w:sz w:val="28"/>
    </w:rPr>
  </w:style>
  <w:style w:type="paragraph" w:customStyle="1" w:styleId="a0">
    <w:name w:val="正文王"/>
    <w:basedOn w:val="a7"/>
    <w:qFormat/>
    <w:pPr>
      <w:numPr>
        <w:numId w:val="12"/>
      </w:numPr>
      <w:spacing w:line="440" w:lineRule="exact"/>
      <w:ind w:left="0" w:firstLineChars="200" w:firstLine="0"/>
    </w:pPr>
    <w:rPr>
      <w:rFonts w:ascii="Arial" w:hAnsi="Arial"/>
      <w:snapToGrid w:val="0"/>
      <w:kern w:val="0"/>
      <w:sz w:val="24"/>
      <w:szCs w:val="20"/>
    </w:rPr>
  </w:style>
  <w:style w:type="paragraph" w:customStyle="1" w:styleId="2fa">
    <w:name w:val="框图格式2"/>
    <w:basedOn w:val="a7"/>
    <w:semiHidden/>
    <w:qFormat/>
    <w:pPr>
      <w:ind w:firstLineChars="200" w:firstLine="480"/>
    </w:pPr>
    <w:rPr>
      <w:sz w:val="18"/>
      <w:szCs w:val="24"/>
    </w:rPr>
  </w:style>
  <w:style w:type="paragraph" w:customStyle="1" w:styleId="afffffffff0">
    <w:name w:val="表左"/>
    <w:basedOn w:val="a7"/>
    <w:semiHidden/>
    <w:qFormat/>
    <w:pPr>
      <w:spacing w:line="280" w:lineRule="exact"/>
      <w:ind w:firstLineChars="200" w:firstLine="480"/>
      <w:jc w:val="left"/>
    </w:pPr>
    <w:rPr>
      <w:color w:val="000000"/>
      <w:sz w:val="18"/>
      <w:szCs w:val="24"/>
    </w:rPr>
  </w:style>
  <w:style w:type="paragraph" w:customStyle="1" w:styleId="2fb">
    <w:name w:val="样式2"/>
    <w:basedOn w:val="a7"/>
    <w:link w:val="2Char2"/>
    <w:qFormat/>
    <w:pPr>
      <w:topLinePunct/>
      <w:adjustRightInd w:val="0"/>
      <w:spacing w:line="420" w:lineRule="exact"/>
      <w:ind w:firstLineChars="200" w:firstLine="480"/>
      <w:jc w:val="center"/>
      <w:textAlignment w:val="center"/>
    </w:pPr>
    <w:rPr>
      <w:rFonts w:cs="黑体"/>
      <w:bCs/>
      <w:szCs w:val="24"/>
    </w:rPr>
  </w:style>
  <w:style w:type="paragraph" w:customStyle="1" w:styleId="820">
    <w:name w:val="样式 正文(首行缩进) + 8 磅 加粗 首行缩进:  2 字符"/>
    <w:basedOn w:val="a7"/>
    <w:semiHidden/>
    <w:qFormat/>
    <w:pPr>
      <w:adjustRightInd w:val="0"/>
      <w:snapToGrid w:val="0"/>
      <w:ind w:firstLineChars="200" w:firstLine="480"/>
    </w:pPr>
    <w:rPr>
      <w:rFonts w:cs="宋体"/>
      <w:b/>
      <w:bCs/>
      <w:snapToGrid w:val="0"/>
      <w:kern w:val="0"/>
      <w:sz w:val="16"/>
      <w:szCs w:val="20"/>
    </w:rPr>
  </w:style>
  <w:style w:type="paragraph" w:customStyle="1" w:styleId="111H1h11headingHeader1stPageh1chapte">
    <w:name w:val="样式 标题 1标题 1宋旭峰标题1章节H1h11headingHeader 1st Pageh1 chapte..."/>
    <w:basedOn w:val="1"/>
    <w:semiHidden/>
    <w:qFormat/>
    <w:pPr>
      <w:keepNext/>
      <w:keepLines/>
      <w:tabs>
        <w:tab w:val="left" w:pos="0"/>
        <w:tab w:val="left" w:pos="432"/>
      </w:tabs>
      <w:adjustRightInd w:val="0"/>
      <w:spacing w:beforeLines="0" w:before="0" w:afterLines="100" w:after="156"/>
      <w:jc w:val="left"/>
    </w:pPr>
    <w:rPr>
      <w:rFonts w:ascii="黑体" w:eastAsia="黑体" w:hAnsi="黑体"/>
      <w:bCs/>
      <w:kern w:val="2"/>
      <w:sz w:val="36"/>
      <w:szCs w:val="30"/>
    </w:rPr>
  </w:style>
  <w:style w:type="paragraph" w:customStyle="1" w:styleId="afffffffff1">
    <w:name w:val="正文单倍行距"/>
    <w:basedOn w:val="a7"/>
    <w:qFormat/>
    <w:pPr>
      <w:tabs>
        <w:tab w:val="left" w:pos="8640"/>
      </w:tabs>
      <w:snapToGrid w:val="0"/>
      <w:ind w:firstLineChars="200" w:firstLine="480"/>
    </w:pPr>
    <w:rPr>
      <w:rFonts w:eastAsia="仿宋_GB2312"/>
      <w:sz w:val="24"/>
      <w:szCs w:val="24"/>
    </w:rPr>
  </w:style>
  <w:style w:type="paragraph" w:customStyle="1" w:styleId="xl66">
    <w:name w:val="xl66"/>
    <w:basedOn w:val="a7"/>
    <w:qFormat/>
    <w:pPr>
      <w:widowControl/>
      <w:pBdr>
        <w:top w:val="single" w:sz="4" w:space="0" w:color="auto"/>
        <w:left w:val="single" w:sz="8" w:space="0" w:color="auto"/>
        <w:bottom w:val="single" w:sz="4" w:space="0" w:color="auto"/>
      </w:pBdr>
      <w:spacing w:before="100" w:beforeAutospacing="1" w:after="100" w:afterAutospacing="1"/>
      <w:ind w:firstLineChars="200" w:firstLine="480"/>
      <w:jc w:val="left"/>
      <w:textAlignment w:val="center"/>
    </w:pPr>
    <w:rPr>
      <w:rFonts w:eastAsia="Arial Unicode MS"/>
      <w:kern w:val="0"/>
      <w:sz w:val="22"/>
      <w:szCs w:val="22"/>
    </w:rPr>
  </w:style>
  <w:style w:type="paragraph" w:customStyle="1" w:styleId="afffffffff2">
    <w:name w:val="表内式样"/>
    <w:qFormat/>
    <w:pPr>
      <w:keepLines/>
      <w:widowControl w:val="0"/>
      <w:kinsoku w:val="0"/>
      <w:overflowPunct w:val="0"/>
      <w:adjustRightInd w:val="0"/>
      <w:spacing w:beforeLines="50" w:line="360" w:lineRule="atLeast"/>
      <w:jc w:val="center"/>
    </w:pPr>
    <w:rPr>
      <w:rFonts w:ascii="宋体"/>
      <w:kern w:val="21"/>
      <w:sz w:val="21"/>
    </w:rPr>
  </w:style>
  <w:style w:type="paragraph" w:customStyle="1" w:styleId="afffffffff3">
    <w:name w:val="文本框文字"/>
    <w:basedOn w:val="a7"/>
    <w:semiHidden/>
    <w:qFormat/>
    <w:pPr>
      <w:adjustRightInd w:val="0"/>
      <w:ind w:firstLineChars="200" w:firstLine="480"/>
      <w:jc w:val="center"/>
      <w:textAlignment w:val="baseline"/>
    </w:pPr>
    <w:rPr>
      <w:kern w:val="0"/>
      <w:szCs w:val="20"/>
    </w:rPr>
  </w:style>
  <w:style w:type="paragraph" w:customStyle="1" w:styleId="190">
    <w:name w:val="样式19"/>
    <w:basedOn w:val="21"/>
    <w:qFormat/>
    <w:pPr>
      <w:tabs>
        <w:tab w:val="left" w:pos="0"/>
        <w:tab w:val="left" w:pos="630"/>
        <w:tab w:val="left" w:pos="840"/>
        <w:tab w:val="left" w:pos="1287"/>
        <w:tab w:val="left" w:pos="2133"/>
        <w:tab w:val="left" w:pos="3920"/>
        <w:tab w:val="left" w:pos="5670"/>
      </w:tabs>
      <w:spacing w:before="60" w:afterLines="0" w:after="60" w:line="520" w:lineRule="exact"/>
      <w:ind w:firstLine="567"/>
      <w:jc w:val="both"/>
    </w:pPr>
    <w:rPr>
      <w:rFonts w:eastAsia="华文行楷"/>
      <w:smallCaps w:val="0"/>
      <w:color w:val="000000"/>
      <w:kern w:val="0"/>
      <w:sz w:val="30"/>
      <w:szCs w:val="30"/>
    </w:rPr>
  </w:style>
  <w:style w:type="paragraph" w:customStyle="1" w:styleId="-1">
    <w:name w:val="文-1"/>
    <w:basedOn w:val="a7"/>
    <w:semiHidden/>
    <w:qFormat/>
    <w:pPr>
      <w:spacing w:before="120"/>
      <w:ind w:left="851" w:firstLineChars="200" w:firstLine="482"/>
    </w:pPr>
    <w:rPr>
      <w:sz w:val="24"/>
      <w:szCs w:val="20"/>
    </w:rPr>
  </w:style>
  <w:style w:type="paragraph" w:customStyle="1" w:styleId="afffffffff4">
    <w:name w:val="表格中"/>
    <w:basedOn w:val="a7"/>
    <w:semiHidden/>
    <w:qFormat/>
    <w:pPr>
      <w:spacing w:line="280" w:lineRule="exact"/>
      <w:ind w:firstLineChars="200" w:firstLine="480"/>
      <w:jc w:val="center"/>
    </w:pPr>
    <w:rPr>
      <w:sz w:val="18"/>
      <w:szCs w:val="24"/>
    </w:rPr>
  </w:style>
  <w:style w:type="paragraph" w:customStyle="1" w:styleId="1f1">
    <w:name w:val="列出段落1"/>
    <w:basedOn w:val="a7"/>
    <w:uiPriority w:val="99"/>
    <w:qFormat/>
    <w:pPr>
      <w:spacing w:line="360" w:lineRule="auto"/>
      <w:ind w:firstLineChars="200" w:firstLine="420"/>
    </w:pPr>
    <w:rPr>
      <w:sz w:val="24"/>
      <w:szCs w:val="20"/>
    </w:rPr>
  </w:style>
  <w:style w:type="character" w:customStyle="1" w:styleId="1Char">
    <w:name w:val="表头1 Char"/>
    <w:link w:val="1c"/>
    <w:qFormat/>
    <w:rPr>
      <w:rFonts w:ascii="Calibri" w:eastAsia="黑体" w:hAnsi="Calibri" w:cs="黑体"/>
      <w:kern w:val="2"/>
      <w:sz w:val="21"/>
      <w:szCs w:val="21"/>
    </w:rPr>
  </w:style>
  <w:style w:type="character" w:customStyle="1" w:styleId="7Char">
    <w:name w:val="样式7 Char"/>
    <w:link w:val="74"/>
    <w:qFormat/>
    <w:rPr>
      <w:rFonts w:cs="黑体"/>
      <w:kern w:val="2"/>
      <w:sz w:val="28"/>
      <w:szCs w:val="28"/>
    </w:rPr>
  </w:style>
  <w:style w:type="character" w:customStyle="1" w:styleId="Char6">
    <w:name w:val="缩进 Char"/>
    <w:link w:val="affffff6"/>
    <w:qFormat/>
    <w:rPr>
      <w:rFonts w:ascii="Calibri" w:hAnsi="Calibri" w:cs="黑体"/>
      <w:kern w:val="2"/>
      <w:sz w:val="24"/>
      <w:szCs w:val="24"/>
    </w:rPr>
  </w:style>
  <w:style w:type="character" w:customStyle="1" w:styleId="GB2312">
    <w:name w:val="样式 (西文) 宋体 (中文) 仿宋_GB2312 黑色"/>
    <w:qFormat/>
    <w:rPr>
      <w:rFonts w:ascii="Times New Roman" w:eastAsia="仿宋_GB2312" w:hAnsi="Times New Roman" w:cs="Courier New"/>
      <w:color w:val="000000"/>
      <w:kern w:val="2"/>
      <w:sz w:val="32"/>
      <w:szCs w:val="32"/>
      <w:lang w:val="en-US" w:eastAsia="zh-CN" w:bidi="ar-SA"/>
    </w:rPr>
  </w:style>
  <w:style w:type="character" w:customStyle="1" w:styleId="CharCharCharChar">
    <w:name w:val="文本框五号 Char Char Char Char"/>
    <w:semiHidden/>
    <w:qFormat/>
    <w:rPr>
      <w:rFonts w:ascii="宋体" w:eastAsia="仿宋_GB2312" w:hAnsi="宋体" w:cs="Courier New"/>
      <w:kern w:val="2"/>
      <w:sz w:val="21"/>
      <w:szCs w:val="21"/>
      <w:lang w:val="en-US" w:eastAsia="zh-CN" w:bidi="ar-SA"/>
    </w:rPr>
  </w:style>
  <w:style w:type="character" w:customStyle="1" w:styleId="Char12">
    <w:name w:val="批注文字 Char1"/>
    <w:qFormat/>
    <w:rPr>
      <w:rFonts w:ascii="Times New Roman" w:eastAsia="宋体" w:hAnsi="Times New Roman" w:cs="Times New Roman"/>
      <w:sz w:val="24"/>
      <w:szCs w:val="20"/>
    </w:rPr>
  </w:style>
  <w:style w:type="character" w:customStyle="1" w:styleId="Charf">
    <w:name w:val="我的二级 Char"/>
    <w:link w:val="affffffff4"/>
    <w:qFormat/>
    <w:rPr>
      <w:rFonts w:ascii="Calibri" w:eastAsia="黑体" w:hAnsi="Arial" w:cs="黑体"/>
      <w:bCs/>
      <w:color w:val="000000"/>
      <w:kern w:val="2"/>
      <w:sz w:val="30"/>
      <w:szCs w:val="32"/>
    </w:rPr>
  </w:style>
  <w:style w:type="character" w:customStyle="1" w:styleId="afffffffff5">
    <w:name w:val="样式 黑体 小四"/>
    <w:semiHidden/>
    <w:qFormat/>
    <w:rPr>
      <w:rFonts w:ascii="黑体" w:eastAsia="黑体" w:hAnsi="黑体"/>
      <w:sz w:val="24"/>
      <w:szCs w:val="24"/>
    </w:rPr>
  </w:style>
  <w:style w:type="character" w:customStyle="1" w:styleId="CharCharChar0">
    <w:name w:val="文本匡小五号 Char Char Char"/>
    <w:semiHidden/>
    <w:qFormat/>
    <w:rPr>
      <w:rFonts w:ascii="宋体" w:eastAsia="仿宋_GB2312" w:hAnsi="宋体" w:cs="Courier New"/>
      <w:kern w:val="2"/>
      <w:sz w:val="18"/>
      <w:szCs w:val="24"/>
      <w:lang w:val="en-US" w:eastAsia="zh-CN" w:bidi="ar-SA"/>
    </w:rPr>
  </w:style>
  <w:style w:type="character" w:customStyle="1" w:styleId="Char4">
    <w:name w:val="表格文字 Char"/>
    <w:link w:val="affffff1"/>
    <w:qFormat/>
    <w:rPr>
      <w:rFonts w:ascii="Calibri" w:hAnsi="Calibri" w:cs="黑体"/>
      <w:kern w:val="2"/>
      <w:sz w:val="21"/>
      <w:szCs w:val="21"/>
    </w:rPr>
  </w:style>
  <w:style w:type="character" w:customStyle="1" w:styleId="CharChar2">
    <w:name w:val="文本框小四 Char Char"/>
    <w:qFormat/>
    <w:rPr>
      <w:rFonts w:ascii="宋体" w:eastAsia="仿宋_GB2312" w:hAnsi="宋体" w:cs="Courier New"/>
      <w:kern w:val="2"/>
      <w:sz w:val="24"/>
      <w:szCs w:val="24"/>
      <w:lang w:val="en-US" w:eastAsia="zh-CN" w:bidi="ar-SA"/>
    </w:rPr>
  </w:style>
  <w:style w:type="character" w:customStyle="1" w:styleId="AChar">
    <w:name w:val="样式A Char"/>
    <w:link w:val="Affffff8"/>
    <w:qFormat/>
    <w:rPr>
      <w:rFonts w:ascii="Calibri" w:eastAsia="幼圆" w:hAnsi="Calibri" w:cs="黑体"/>
      <w:kern w:val="2"/>
      <w:sz w:val="26"/>
      <w:szCs w:val="26"/>
    </w:rPr>
  </w:style>
  <w:style w:type="character" w:customStyle="1" w:styleId="Char13">
    <w:name w:val="正文(首行缩进) Char1"/>
    <w:qFormat/>
    <w:rPr>
      <w:rFonts w:eastAsia="宋体"/>
      <w:snapToGrid w:val="0"/>
      <w:color w:val="000000"/>
      <w:sz w:val="24"/>
      <w:szCs w:val="24"/>
      <w:lang w:val="en-US" w:eastAsia="zh-CN" w:bidi="ar-SA"/>
    </w:rPr>
  </w:style>
  <w:style w:type="character" w:customStyle="1" w:styleId="CharCharCharCharCharCCharCharCharCharCharCharChar">
    <w:name w:val="普通文字 Char Char Char Char Char C Char Char Char Char Char Char Char"/>
    <w:qFormat/>
    <w:rPr>
      <w:rFonts w:ascii="宋体" w:eastAsia="宋体" w:hAnsi="Courier New" w:cs="宋体"/>
      <w:kern w:val="2"/>
      <w:sz w:val="28"/>
      <w:szCs w:val="24"/>
      <w:lang w:val="en-US" w:eastAsia="zh-CN" w:bidi="ar-SA"/>
    </w:rPr>
  </w:style>
  <w:style w:type="character" w:customStyle="1" w:styleId="Charf3">
    <w:name w:val="正文(首行缩进) Char"/>
    <w:qFormat/>
    <w:rPr>
      <w:rFonts w:eastAsia="宋体"/>
      <w:snapToGrid w:val="0"/>
      <w:color w:val="000000"/>
      <w:sz w:val="24"/>
      <w:szCs w:val="24"/>
      <w:lang w:val="en-US" w:eastAsia="zh-CN" w:bidi="ar-SA"/>
    </w:rPr>
  </w:style>
  <w:style w:type="character" w:customStyle="1" w:styleId="Charf4">
    <w:name w:val="表格标题 Char"/>
    <w:qFormat/>
    <w:rPr>
      <w:rFonts w:ascii="Arial" w:eastAsia="黑体" w:hAnsi="Arial"/>
      <w:sz w:val="24"/>
      <w:szCs w:val="24"/>
      <w:lang w:val="en-US" w:eastAsia="zh-CN" w:bidi="ar-SA"/>
    </w:rPr>
  </w:style>
  <w:style w:type="character" w:customStyle="1" w:styleId="4Char1">
    <w:name w:val="标题 4 Char1"/>
    <w:qFormat/>
    <w:rPr>
      <w:rFonts w:eastAsia="黑体"/>
      <w:bCs/>
      <w:sz w:val="24"/>
      <w:szCs w:val="28"/>
    </w:rPr>
  </w:style>
  <w:style w:type="character" w:customStyle="1" w:styleId="CharChar1">
    <w:name w:val="正文(首行缩进)宋旭峰 Char Char"/>
    <w:link w:val="affffffffb"/>
    <w:qFormat/>
    <w:rPr>
      <w:rFonts w:ascii="Calibri" w:hAnsi="Calibri" w:cs="黑体"/>
      <w:snapToGrid w:val="0"/>
      <w:kern w:val="2"/>
      <w:sz w:val="24"/>
      <w:szCs w:val="24"/>
    </w:rPr>
  </w:style>
  <w:style w:type="character" w:customStyle="1" w:styleId="Chare">
    <w:name w:val="我的正文 Char"/>
    <w:link w:val="affffffff0"/>
    <w:qFormat/>
    <w:rPr>
      <w:rFonts w:ascii="Calibri" w:hAnsi="Calibri" w:cs="黑体"/>
      <w:color w:val="000000"/>
      <w:kern w:val="2"/>
      <w:sz w:val="24"/>
      <w:szCs w:val="24"/>
    </w:rPr>
  </w:style>
  <w:style w:type="character" w:customStyle="1" w:styleId="1858D7CFB-ED40-4347-BF05-701D383B685F">
    <w:name w:val="标题 1[858D7CFB-ED40-4347-BF05-701D383B685F]"/>
    <w:qFormat/>
    <w:rPr>
      <w:rFonts w:eastAsia="黑体"/>
      <w:b/>
      <w:bCs/>
      <w:kern w:val="44"/>
      <w:sz w:val="32"/>
      <w:szCs w:val="44"/>
      <w:lang w:bidi="ar-SA"/>
    </w:rPr>
  </w:style>
  <w:style w:type="character" w:customStyle="1" w:styleId="1Char3">
    <w:name w:val="纯文本1 Char"/>
    <w:semiHidden/>
    <w:qFormat/>
    <w:rPr>
      <w:rFonts w:ascii="宋体" w:eastAsia="宋体" w:hAnsi="Courier New"/>
      <w:kern w:val="2"/>
      <w:sz w:val="21"/>
      <w:szCs w:val="24"/>
      <w:lang w:val="en-US" w:eastAsia="zh-CN" w:bidi="ar-SA"/>
    </w:rPr>
  </w:style>
  <w:style w:type="character" w:customStyle="1" w:styleId="GB23122">
    <w:name w:val="样式 仿宋_GB2312 小四2"/>
    <w:qFormat/>
    <w:rPr>
      <w:rFonts w:ascii="Times New Roman" w:eastAsia="仿宋_GB2312" w:hAnsi="Times New Roman" w:cs="Courier New"/>
      <w:kern w:val="2"/>
      <w:sz w:val="24"/>
      <w:szCs w:val="24"/>
      <w:lang w:val="en-US" w:eastAsia="zh-CN" w:bidi="ar-SA"/>
    </w:rPr>
  </w:style>
  <w:style w:type="character" w:customStyle="1" w:styleId="4Char">
    <w:name w:val="样式4 Char"/>
    <w:link w:val="4b"/>
    <w:qFormat/>
    <w:rPr>
      <w:rFonts w:ascii="Calibri" w:hAnsi="Calibri" w:cs="黑体"/>
      <w:kern w:val="2"/>
      <w:sz w:val="28"/>
      <w:szCs w:val="24"/>
    </w:rPr>
  </w:style>
  <w:style w:type="character" w:customStyle="1" w:styleId="Char20">
    <w:name w:val="正文(首行缩进) Char2"/>
    <w:semiHidden/>
    <w:qFormat/>
    <w:rPr>
      <w:rFonts w:eastAsia="黑体"/>
      <w:bCs/>
      <w:snapToGrid w:val="0"/>
      <w:color w:val="000000"/>
      <w:kern w:val="2"/>
      <w:sz w:val="24"/>
      <w:szCs w:val="24"/>
      <w:lang w:val="en-US" w:eastAsia="zh-CN" w:bidi="ar-SA"/>
    </w:rPr>
  </w:style>
  <w:style w:type="character" w:customStyle="1" w:styleId="CharCharChar1">
    <w:name w:val="文本框五号 Char Char Char"/>
    <w:semiHidden/>
    <w:qFormat/>
    <w:rPr>
      <w:rFonts w:ascii="宋体" w:eastAsia="仿宋_GB2312" w:hAnsi="宋体" w:cs="Courier New"/>
      <w:kern w:val="2"/>
      <w:sz w:val="21"/>
      <w:szCs w:val="21"/>
      <w:lang w:val="en-US" w:eastAsia="zh-CN" w:bidi="ar-SA"/>
    </w:rPr>
  </w:style>
  <w:style w:type="character" w:customStyle="1" w:styleId="28">
    <w:name w:val="正文文本 2 字符"/>
    <w:link w:val="27"/>
    <w:qFormat/>
    <w:rPr>
      <w:rFonts w:ascii="Calibri" w:hAnsi="Calibri" w:cs="黑体"/>
      <w:kern w:val="2"/>
      <w:sz w:val="21"/>
      <w:szCs w:val="24"/>
    </w:rPr>
  </w:style>
  <w:style w:type="character" w:customStyle="1" w:styleId="858D7CFB-ED40-4347-BF05-701D383B685F">
    <w:name w:val="页眉[858D7CFB-ED40-4347-BF05-701D383B685F]"/>
    <w:qFormat/>
    <w:rPr>
      <w:rFonts w:ascii="Times New Roman" w:hAnsi="Times New Roman"/>
      <w:sz w:val="18"/>
    </w:rPr>
  </w:style>
  <w:style w:type="character" w:customStyle="1" w:styleId="15CharChar">
    <w:name w:val="文本框五号1.5倍行距 Char Char"/>
    <w:semiHidden/>
    <w:qFormat/>
    <w:rPr>
      <w:rFonts w:ascii="宋体" w:eastAsia="仿宋_GB2312" w:hAnsi="宋体" w:cs="Courier New"/>
      <w:kern w:val="2"/>
      <w:sz w:val="21"/>
      <w:szCs w:val="21"/>
      <w:lang w:val="en-US" w:eastAsia="zh-CN" w:bidi="ar-SA"/>
    </w:rPr>
  </w:style>
  <w:style w:type="character" w:customStyle="1" w:styleId="Char14">
    <w:name w:val="页眉 Char1"/>
    <w:qFormat/>
    <w:rPr>
      <w:rFonts w:ascii="Times New Roman" w:eastAsia="宋体" w:hAnsi="Times New Roman" w:cs="Times New Roman"/>
      <w:sz w:val="18"/>
      <w:szCs w:val="18"/>
    </w:rPr>
  </w:style>
  <w:style w:type="character" w:customStyle="1" w:styleId="Char15">
    <w:name w:val="正文首行缩进 Char1"/>
    <w:qFormat/>
    <w:rPr>
      <w:rFonts w:ascii="Times New Roman" w:eastAsia="宋体" w:hAnsi="Times New Roman" w:cs="Times New Roman"/>
      <w:sz w:val="24"/>
      <w:szCs w:val="20"/>
      <w:lang w:eastAsia="en-US"/>
    </w:rPr>
  </w:style>
  <w:style w:type="character" w:customStyle="1" w:styleId="Charb">
    <w:name w:val="表名 Char"/>
    <w:link w:val="afffffff3"/>
    <w:qFormat/>
    <w:rPr>
      <w:rFonts w:hAnsi="Calibri" w:cs="黑体"/>
      <w:b/>
      <w:kern w:val="2"/>
      <w:sz w:val="24"/>
      <w:szCs w:val="24"/>
    </w:rPr>
  </w:style>
  <w:style w:type="character" w:customStyle="1" w:styleId="2c">
    <w:name w:val="正文文本首行缩进 2 字符"/>
    <w:link w:val="2b"/>
    <w:qFormat/>
    <w:rPr>
      <w:kern w:val="2"/>
      <w:sz w:val="24"/>
    </w:rPr>
  </w:style>
  <w:style w:type="character" w:customStyle="1" w:styleId="aff5">
    <w:name w:val="正文文本缩进 字符"/>
    <w:link w:val="aff4"/>
    <w:qFormat/>
    <w:rPr>
      <w:kern w:val="2"/>
      <w:sz w:val="24"/>
    </w:rPr>
  </w:style>
  <w:style w:type="character" w:customStyle="1" w:styleId="1Char10">
    <w:name w:val="标题 1 Char1"/>
    <w:uiPriority w:val="99"/>
    <w:qFormat/>
    <w:rPr>
      <w:rFonts w:ascii="黑体" w:eastAsia="黑体" w:hAnsi="黑体"/>
      <w:b/>
      <w:bCs/>
      <w:kern w:val="44"/>
      <w:sz w:val="36"/>
      <w:szCs w:val="44"/>
    </w:rPr>
  </w:style>
  <w:style w:type="character" w:customStyle="1" w:styleId="Char16">
    <w:name w:val="页脚 Char1"/>
    <w:uiPriority w:val="99"/>
    <w:qFormat/>
    <w:rPr>
      <w:rFonts w:ascii="Times New Roman" w:eastAsia="宋体" w:hAnsi="Times New Roman" w:cs="Times New Roman"/>
      <w:sz w:val="18"/>
      <w:szCs w:val="18"/>
    </w:rPr>
  </w:style>
  <w:style w:type="character" w:customStyle="1" w:styleId="Char17">
    <w:name w:val="纯文本 Char1"/>
    <w:qFormat/>
    <w:rPr>
      <w:rFonts w:ascii="宋体" w:eastAsia="宋体" w:hAnsi="Courier New" w:cs="Courier New"/>
      <w:szCs w:val="21"/>
    </w:rPr>
  </w:style>
  <w:style w:type="character" w:customStyle="1" w:styleId="2Char2">
    <w:name w:val="样式2 Char"/>
    <w:link w:val="2fb"/>
    <w:qFormat/>
    <w:rPr>
      <w:rFonts w:ascii="Calibri" w:hAnsi="Calibri" w:cs="黑体"/>
      <w:bCs/>
      <w:kern w:val="2"/>
      <w:sz w:val="21"/>
      <w:szCs w:val="24"/>
    </w:rPr>
  </w:style>
  <w:style w:type="character" w:customStyle="1" w:styleId="5Char1">
    <w:name w:val="样式5 Char1"/>
    <w:link w:val="5b"/>
    <w:qFormat/>
    <w:rPr>
      <w:rFonts w:ascii="Calibri" w:hAnsi="Calibri" w:cs="黑体"/>
      <w:kern w:val="2"/>
      <w:sz w:val="24"/>
      <w:szCs w:val="24"/>
    </w:rPr>
  </w:style>
  <w:style w:type="character" w:customStyle="1" w:styleId="Chard">
    <w:name w:val="正文样式 Char"/>
    <w:link w:val="afffffffa"/>
    <w:qFormat/>
    <w:rPr>
      <w:rFonts w:cs="黑体"/>
      <w:color w:val="000000"/>
      <w:kern w:val="2"/>
      <w:sz w:val="24"/>
      <w:szCs w:val="24"/>
    </w:rPr>
  </w:style>
  <w:style w:type="character" w:customStyle="1" w:styleId="Charf5">
    <w:name w:val="章节标题 Char"/>
    <w:semiHidden/>
    <w:qFormat/>
    <w:rPr>
      <w:rFonts w:ascii="黑体" w:eastAsia="黑体" w:hAnsi="宋体" w:cs="宋体"/>
      <w:kern w:val="2"/>
      <w:sz w:val="32"/>
      <w:szCs w:val="24"/>
      <w:lang w:val="en-US" w:eastAsia="zh-CN" w:bidi="ar-SA"/>
    </w:rPr>
  </w:style>
  <w:style w:type="character" w:customStyle="1" w:styleId="Char9">
    <w:name w:val="报告书正文 Char"/>
    <w:link w:val="afffffff0"/>
    <w:qFormat/>
    <w:rPr>
      <w:rFonts w:ascii="Calibri" w:hAnsi="Calibri" w:cs="黑体"/>
      <w:kern w:val="2"/>
      <w:sz w:val="24"/>
      <w:szCs w:val="24"/>
    </w:rPr>
  </w:style>
  <w:style w:type="character" w:customStyle="1" w:styleId="GB23120">
    <w:name w:val="样式 仿宋_GB2312 小四 黑色"/>
    <w:qFormat/>
    <w:rPr>
      <w:rFonts w:ascii="Times New Roman" w:eastAsia="仿宋_GB2312" w:hAnsi="Times New Roman" w:cs="Courier New"/>
      <w:color w:val="000000"/>
      <w:kern w:val="2"/>
      <w:sz w:val="24"/>
      <w:szCs w:val="24"/>
      <w:lang w:val="en-US" w:eastAsia="zh-CN" w:bidi="ar-SA"/>
    </w:rPr>
  </w:style>
  <w:style w:type="character" w:customStyle="1" w:styleId="CharChar3">
    <w:name w:val="正文(首行缩进) Char Char"/>
    <w:link w:val="afffffffff6"/>
    <w:qFormat/>
    <w:rPr>
      <w:rFonts w:eastAsia="宋体"/>
      <w:snapToGrid w:val="0"/>
      <w:color w:val="000000"/>
      <w:sz w:val="24"/>
      <w:szCs w:val="24"/>
      <w:lang w:val="en-US" w:eastAsia="zh-CN" w:bidi="ar-SA"/>
    </w:rPr>
  </w:style>
  <w:style w:type="paragraph" w:customStyle="1" w:styleId="afffffffff6">
    <w:name w:val="正文(首行缩进)"/>
    <w:basedOn w:val="a7"/>
    <w:next w:val="a7"/>
    <w:link w:val="CharChar3"/>
    <w:qFormat/>
    <w:pPr>
      <w:spacing w:line="360" w:lineRule="auto"/>
      <w:ind w:firstLineChars="225" w:firstLine="540"/>
    </w:pPr>
    <w:rPr>
      <w:snapToGrid w:val="0"/>
      <w:color w:val="000000"/>
      <w:kern w:val="0"/>
      <w:sz w:val="24"/>
      <w:szCs w:val="24"/>
    </w:rPr>
  </w:style>
  <w:style w:type="character" w:customStyle="1" w:styleId="affb">
    <w:name w:val="日期 字符"/>
    <w:link w:val="affa"/>
    <w:qFormat/>
    <w:rPr>
      <w:rFonts w:ascii="Calibri" w:hAnsi="Calibri" w:cs="黑体"/>
      <w:kern w:val="2"/>
      <w:sz w:val="24"/>
      <w:szCs w:val="24"/>
    </w:rPr>
  </w:style>
  <w:style w:type="character" w:customStyle="1" w:styleId="af4">
    <w:name w:val="正文缩进 字符"/>
    <w:link w:val="af3"/>
    <w:qFormat/>
    <w:rPr>
      <w:rFonts w:ascii="Calibri" w:hAnsi="Calibri" w:cs="黑体"/>
      <w:kern w:val="2"/>
      <w:sz w:val="21"/>
      <w:szCs w:val="24"/>
    </w:rPr>
  </w:style>
  <w:style w:type="character" w:customStyle="1" w:styleId="Charf6">
    <w:name w:val="正文（首行缩进两字） Char"/>
    <w:semiHidden/>
    <w:qFormat/>
    <w:rPr>
      <w:rFonts w:ascii="宋体" w:eastAsia="宋体" w:hAnsi="宋体" w:cs="宋体"/>
      <w:kern w:val="2"/>
      <w:sz w:val="30"/>
      <w:szCs w:val="24"/>
      <w:lang w:val="en-US" w:eastAsia="zh-CN" w:bidi="ar-SA"/>
    </w:rPr>
  </w:style>
  <w:style w:type="character" w:customStyle="1" w:styleId="Charf1">
    <w:name w:val="封面标题 Char"/>
    <w:link w:val="affffffffe"/>
    <w:qFormat/>
    <w:rPr>
      <w:rFonts w:ascii="黑体" w:eastAsia="楷体" w:hAnsi="Calibri" w:cs="黑体"/>
      <w:kern w:val="2"/>
      <w:sz w:val="28"/>
      <w:szCs w:val="24"/>
    </w:rPr>
  </w:style>
  <w:style w:type="table" w:customStyle="1" w:styleId="ljw">
    <w:name w:val="ljw"/>
    <w:basedOn w:val="affffa"/>
    <w:semiHidden/>
    <w:qFormat/>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paragraph" w:customStyle="1" w:styleId="afffffffff7">
    <w:name w:val="其他标题"/>
    <w:basedOn w:val="a7"/>
    <w:qFormat/>
    <w:pPr>
      <w:spacing w:beforeAutospacing="1" w:after="100" w:afterAutospacing="1"/>
      <w:jc w:val="center"/>
    </w:pPr>
    <w:rPr>
      <w:rFonts w:eastAsia="楷体"/>
      <w:b/>
      <w:sz w:val="72"/>
      <w:szCs w:val="24"/>
    </w:rPr>
  </w:style>
  <w:style w:type="paragraph" w:customStyle="1" w:styleId="afffffffff8">
    <w:name w:val="页眉页脚"/>
    <w:basedOn w:val="a7"/>
    <w:qFormat/>
    <w:pPr>
      <w:widowControl/>
      <w:jc w:val="center"/>
    </w:pPr>
    <w:rPr>
      <w:sz w:val="18"/>
      <w:szCs w:val="18"/>
    </w:rPr>
  </w:style>
  <w:style w:type="paragraph" w:customStyle="1" w:styleId="140">
    <w:name w:val="表格文字样式14"/>
    <w:basedOn w:val="af3"/>
    <w:uiPriority w:val="99"/>
    <w:qFormat/>
    <w:pPr>
      <w:overflowPunct w:val="0"/>
      <w:adjustRightInd w:val="0"/>
      <w:snapToGrid w:val="0"/>
      <w:spacing w:line="360" w:lineRule="exact"/>
      <w:ind w:firstLineChars="0" w:firstLine="0"/>
      <w:jc w:val="center"/>
    </w:pPr>
    <w:rPr>
      <w:rFonts w:ascii="宋体" w:eastAsia="黑体" w:hAnsi="宋体" w:cs="宋体"/>
      <w:kern w:val="0"/>
      <w:szCs w:val="21"/>
    </w:rPr>
  </w:style>
  <w:style w:type="paragraph" w:customStyle="1" w:styleId="5c">
    <w:name w:val="表格文字5号"/>
    <w:basedOn w:val="a7"/>
    <w:link w:val="5CharChar"/>
    <w:qFormat/>
    <w:pPr>
      <w:widowControl/>
      <w:spacing w:before="100" w:beforeAutospacing="1" w:after="100" w:afterAutospacing="1" w:line="280" w:lineRule="exact"/>
      <w:ind w:leftChars="-42" w:left="-81" w:hangingChars="16" w:hanging="27"/>
      <w:jc w:val="center"/>
    </w:pPr>
    <w:rPr>
      <w:rFonts w:cs="宋体"/>
      <w:spacing w:val="-10"/>
      <w:kern w:val="0"/>
      <w:sz w:val="24"/>
      <w:szCs w:val="24"/>
    </w:rPr>
  </w:style>
  <w:style w:type="paragraph" w:customStyle="1" w:styleId="220">
    <w:name w:val="图表标题22"/>
    <w:basedOn w:val="afc"/>
    <w:next w:val="afc"/>
    <w:qFormat/>
    <w:pPr>
      <w:spacing w:beforeLines="50"/>
      <w:jc w:val="center"/>
    </w:pPr>
    <w:rPr>
      <w:rFonts w:eastAsia="黑体"/>
      <w:b/>
      <w:bCs/>
      <w:sz w:val="24"/>
      <w:szCs w:val="20"/>
    </w:rPr>
  </w:style>
  <w:style w:type="character" w:customStyle="1" w:styleId="font31">
    <w:name w:val="font31"/>
    <w:qFormat/>
    <w:rPr>
      <w:rFonts w:ascii="宋体" w:eastAsia="宋体" w:hAnsi="宋体" w:hint="eastAsia"/>
      <w:color w:val="000000"/>
      <w:sz w:val="24"/>
      <w:szCs w:val="24"/>
      <w:u w:val="none"/>
    </w:rPr>
  </w:style>
  <w:style w:type="paragraph" w:customStyle="1" w:styleId="Default">
    <w:name w:val="Default"/>
    <w:link w:val="DefaultChar"/>
    <w:qFormat/>
    <w:pPr>
      <w:widowControl w:val="0"/>
      <w:autoSpaceDE w:val="0"/>
      <w:autoSpaceDN w:val="0"/>
      <w:adjustRightInd w:val="0"/>
    </w:pPr>
    <w:rPr>
      <w:rFonts w:ascii="华文中宋" w:hAnsi="华文中宋" w:cs="华文中宋"/>
      <w:color w:val="000000"/>
      <w:sz w:val="24"/>
      <w:szCs w:val="24"/>
    </w:rPr>
  </w:style>
  <w:style w:type="character" w:customStyle="1" w:styleId="153">
    <w:name w:val="15"/>
    <w:qFormat/>
    <w:rPr>
      <w:rFonts w:ascii="黑体" w:eastAsia="宋体" w:hAnsi="黑体" w:cs="Arial" w:hint="eastAsia"/>
      <w:b/>
      <w:bCs/>
      <w:sz w:val="21"/>
      <w:szCs w:val="21"/>
    </w:rPr>
  </w:style>
  <w:style w:type="paragraph" w:customStyle="1" w:styleId="afffffffff9">
    <w:name w:val="正文 楷体"/>
    <w:basedOn w:val="a7"/>
    <w:link w:val="Charf7"/>
    <w:qFormat/>
    <w:pPr>
      <w:spacing w:line="500" w:lineRule="exact"/>
      <w:ind w:firstLineChars="200" w:firstLine="200"/>
    </w:pPr>
    <w:rPr>
      <w:rFonts w:ascii="楷体_GB2312" w:eastAsia="楷体_GB2312" w:hAnsi="宋体" w:cs="宋体"/>
      <w:sz w:val="24"/>
      <w:szCs w:val="24"/>
    </w:rPr>
  </w:style>
  <w:style w:type="paragraph" w:customStyle="1" w:styleId="3f4">
    <w:name w:val="正文3"/>
    <w:link w:val="Charf8"/>
    <w:uiPriority w:val="99"/>
    <w:qFormat/>
    <w:pPr>
      <w:jc w:val="both"/>
    </w:pPr>
    <w:rPr>
      <w:kern w:val="2"/>
      <w:sz w:val="21"/>
      <w:szCs w:val="21"/>
    </w:rPr>
  </w:style>
  <w:style w:type="paragraph" w:customStyle="1" w:styleId="afffffffffa">
    <w:name w:val="兴化美联正文样式"/>
    <w:basedOn w:val="a7"/>
    <w:qFormat/>
    <w:pPr>
      <w:widowControl/>
      <w:spacing w:line="360" w:lineRule="auto"/>
      <w:ind w:firstLineChars="200" w:firstLine="480"/>
      <w:jc w:val="left"/>
    </w:pPr>
    <w:rPr>
      <w:rFonts w:ascii="宋体" w:hAnsi="宋体" w:cs="宋体"/>
      <w:kern w:val="0"/>
      <w:sz w:val="24"/>
      <w:szCs w:val="24"/>
    </w:rPr>
  </w:style>
  <w:style w:type="paragraph" w:customStyle="1" w:styleId="4c">
    <w:name w:val="正文4"/>
    <w:qFormat/>
    <w:pPr>
      <w:jc w:val="both"/>
    </w:pPr>
    <w:rPr>
      <w:kern w:val="2"/>
      <w:sz w:val="21"/>
      <w:szCs w:val="21"/>
    </w:rPr>
  </w:style>
  <w:style w:type="paragraph" w:customStyle="1" w:styleId="afffffffffb">
    <w:name w:val="表格"/>
    <w:basedOn w:val="41"/>
    <w:next w:val="a7"/>
    <w:link w:val="Charf9"/>
    <w:qFormat/>
    <w:pPr>
      <w:widowControl/>
      <w:numPr>
        <w:ilvl w:val="0"/>
        <w:numId w:val="0"/>
      </w:numPr>
      <w:tabs>
        <w:tab w:val="clear" w:pos="864"/>
        <w:tab w:val="left" w:pos="1855"/>
        <w:tab w:val="left" w:pos="2269"/>
      </w:tabs>
      <w:adjustRightInd/>
      <w:spacing w:beforeLines="0" w:before="0" w:afterLines="0" w:after="0" w:line="240" w:lineRule="auto"/>
      <w:jc w:val="center"/>
      <w:textAlignment w:val="auto"/>
      <w:outlineLvl w:val="9"/>
    </w:pPr>
    <w:rPr>
      <w:rFonts w:cs="Arial"/>
      <w:b w:val="0"/>
      <w:bCs w:val="0"/>
      <w:smallCaps/>
      <w:sz w:val="21"/>
      <w:szCs w:val="21"/>
      <w:lang w:val="en-US"/>
    </w:rPr>
  </w:style>
  <w:style w:type="character" w:styleId="afffffffffc">
    <w:name w:val="Placeholder Text"/>
    <w:uiPriority w:val="99"/>
    <w:unhideWhenUsed/>
    <w:qFormat/>
    <w:rPr>
      <w:color w:val="808080"/>
    </w:rPr>
  </w:style>
  <w:style w:type="character" w:customStyle="1" w:styleId="Chara">
    <w:name w:val="正文格式 Char"/>
    <w:link w:val="afffffff2"/>
    <w:qFormat/>
    <w:rPr>
      <w:rFonts w:ascii="宋体" w:hAnsi="Calibri" w:cs="黑体"/>
      <w:kern w:val="2"/>
      <w:sz w:val="24"/>
      <w:szCs w:val="24"/>
    </w:rPr>
  </w:style>
  <w:style w:type="paragraph" w:styleId="afffffffffd">
    <w:name w:val="No Spacing"/>
    <w:basedOn w:val="a7"/>
    <w:qFormat/>
    <w:pPr>
      <w:spacing w:line="360" w:lineRule="auto"/>
      <w:jc w:val="center"/>
    </w:pPr>
    <w:rPr>
      <w:rFonts w:eastAsia="黑体"/>
      <w:b/>
      <w:bCs/>
      <w:sz w:val="24"/>
      <w:szCs w:val="24"/>
    </w:rPr>
  </w:style>
  <w:style w:type="paragraph" w:customStyle="1" w:styleId="1f2">
    <w:name w:val="标题1"/>
    <w:next w:val="a7"/>
    <w:qFormat/>
    <w:pPr>
      <w:ind w:leftChars="50" w:left="120" w:rightChars="50" w:right="120"/>
      <w:outlineLvl w:val="0"/>
    </w:pPr>
    <w:rPr>
      <w:b/>
      <w:kern w:val="2"/>
      <w:sz w:val="28"/>
      <w:szCs w:val="32"/>
    </w:rPr>
  </w:style>
  <w:style w:type="character" w:customStyle="1" w:styleId="5CharChar">
    <w:name w:val="表格文字5号 Char Char"/>
    <w:link w:val="5c"/>
    <w:qFormat/>
    <w:rPr>
      <w:rFonts w:cs="宋体"/>
      <w:spacing w:val="-10"/>
      <w:sz w:val="24"/>
      <w:szCs w:val="24"/>
    </w:rPr>
  </w:style>
  <w:style w:type="paragraph" w:customStyle="1" w:styleId="2fc">
    <w:name w:val="标题2"/>
    <w:basedOn w:val="21"/>
    <w:qFormat/>
    <w:pPr>
      <w:numPr>
        <w:ilvl w:val="0"/>
        <w:numId w:val="0"/>
      </w:numPr>
      <w:tabs>
        <w:tab w:val="left" w:pos="2133"/>
        <w:tab w:val="left" w:pos="2269"/>
      </w:tabs>
      <w:spacing w:before="0" w:afterLines="0" w:after="0"/>
      <w:jc w:val="both"/>
    </w:pPr>
    <w:rPr>
      <w:rFonts w:ascii="黑体" w:hAnsi="黑体"/>
      <w:smallCaps w:val="0"/>
      <w:kern w:val="0"/>
      <w:sz w:val="30"/>
      <w:szCs w:val="30"/>
    </w:rPr>
  </w:style>
  <w:style w:type="paragraph" w:customStyle="1" w:styleId="3f5">
    <w:name w:val="标题3"/>
    <w:basedOn w:val="31"/>
    <w:next w:val="a7"/>
    <w:qFormat/>
    <w:pPr>
      <w:numPr>
        <w:ilvl w:val="0"/>
        <w:numId w:val="0"/>
      </w:numPr>
      <w:tabs>
        <w:tab w:val="left" w:pos="2269"/>
      </w:tabs>
      <w:adjustRightInd/>
      <w:spacing w:before="0" w:afterLines="0" w:after="0"/>
      <w:textAlignment w:val="auto"/>
    </w:pPr>
    <w:rPr>
      <w:smallCaps/>
      <w:kern w:val="0"/>
      <w:sz w:val="28"/>
      <w:szCs w:val="28"/>
      <w:lang w:val="en-US"/>
    </w:rPr>
  </w:style>
  <w:style w:type="paragraph" w:customStyle="1" w:styleId="4d">
    <w:name w:val="标题4 样式"/>
    <w:uiPriority w:val="99"/>
    <w:qFormat/>
    <w:pPr>
      <w:spacing w:line="360" w:lineRule="auto"/>
      <w:outlineLvl w:val="3"/>
    </w:pPr>
    <w:rPr>
      <w:rFonts w:ascii="宋体" w:hAnsi="宋体" w:cs="宋体"/>
      <w:b/>
      <w:bCs/>
      <w:kern w:val="2"/>
      <w:sz w:val="24"/>
    </w:rPr>
  </w:style>
  <w:style w:type="character" w:customStyle="1" w:styleId="CharChar4">
    <w:name w:val="表格后空行 Char Char"/>
    <w:link w:val="afffffffffe"/>
    <w:qFormat/>
    <w:locked/>
    <w:rPr>
      <w:rFonts w:ascii="宋体" w:hAnsi="宋体" w:cs="宋体"/>
      <w:color w:val="000000"/>
      <w:u w:color="000000"/>
    </w:rPr>
  </w:style>
  <w:style w:type="paragraph" w:customStyle="1" w:styleId="afffffffffe">
    <w:name w:val="表格后空行"/>
    <w:basedOn w:val="a7"/>
    <w:link w:val="CharChar4"/>
    <w:qFormat/>
    <w:pPr>
      <w:widowControl/>
      <w:spacing w:line="240" w:lineRule="exact"/>
      <w:textAlignment w:val="baseline"/>
    </w:pPr>
    <w:rPr>
      <w:rFonts w:ascii="宋体" w:hAnsi="宋体" w:cs="宋体"/>
      <w:color w:val="000000"/>
      <w:kern w:val="0"/>
      <w:sz w:val="20"/>
      <w:szCs w:val="20"/>
      <w:u w:color="000000"/>
    </w:rPr>
  </w:style>
  <w:style w:type="character" w:customStyle="1" w:styleId="Char18">
    <w:name w:val="图表标题 Char1"/>
    <w:link w:val="affffffffff"/>
    <w:qFormat/>
    <w:rPr>
      <w:rFonts w:eastAsia="黑体"/>
      <w:b/>
      <w:kern w:val="2"/>
      <w:sz w:val="24"/>
      <w:szCs w:val="22"/>
    </w:rPr>
  </w:style>
  <w:style w:type="paragraph" w:customStyle="1" w:styleId="affffffffff">
    <w:name w:val="图表标题"/>
    <w:basedOn w:val="a7"/>
    <w:link w:val="Char18"/>
    <w:qFormat/>
    <w:pPr>
      <w:spacing w:beforeLines="50" w:line="360" w:lineRule="auto"/>
      <w:ind w:firstLineChars="200" w:firstLine="640"/>
      <w:jc w:val="center"/>
    </w:pPr>
    <w:rPr>
      <w:rFonts w:eastAsia="黑体"/>
      <w:b/>
      <w:sz w:val="24"/>
      <w:szCs w:val="22"/>
    </w:rPr>
  </w:style>
  <w:style w:type="paragraph" w:customStyle="1" w:styleId="affffffffff0">
    <w:name w:val="正文邓"/>
    <w:basedOn w:val="a7"/>
    <w:link w:val="Charfa"/>
    <w:qFormat/>
    <w:pPr>
      <w:tabs>
        <w:tab w:val="left" w:pos="2304"/>
      </w:tabs>
      <w:adjustRightInd w:val="0"/>
      <w:snapToGrid w:val="0"/>
      <w:spacing w:line="360" w:lineRule="auto"/>
      <w:ind w:firstLineChars="250" w:firstLine="600"/>
      <w:jc w:val="left"/>
    </w:pPr>
    <w:rPr>
      <w:rFonts w:ascii="仿宋" w:eastAsia="仿宋" w:hAnsi="仿宋"/>
      <w:bCs/>
      <w:color w:val="000000"/>
      <w:kern w:val="0"/>
      <w:sz w:val="24"/>
      <w:szCs w:val="24"/>
    </w:rPr>
  </w:style>
  <w:style w:type="character" w:customStyle="1" w:styleId="Charfa">
    <w:name w:val="正文邓 Char"/>
    <w:link w:val="affffffffff0"/>
    <w:qFormat/>
    <w:rPr>
      <w:rFonts w:ascii="仿宋" w:eastAsia="仿宋" w:hAnsi="仿宋"/>
      <w:bCs/>
      <w:color w:val="000000"/>
      <w:sz w:val="24"/>
      <w:szCs w:val="24"/>
    </w:rPr>
  </w:style>
  <w:style w:type="paragraph" w:customStyle="1" w:styleId="affffffffff1">
    <w:name w:val="环评 正文"/>
    <w:basedOn w:val="27"/>
    <w:link w:val="CharChar5"/>
    <w:qFormat/>
    <w:pPr>
      <w:spacing w:after="0" w:line="360" w:lineRule="auto"/>
    </w:pPr>
    <w:rPr>
      <w:rFonts w:hAnsi="宋体" w:cs="Times New Roman"/>
      <w:bCs/>
      <w:kern w:val="0"/>
      <w:sz w:val="24"/>
    </w:rPr>
  </w:style>
  <w:style w:type="character" w:customStyle="1" w:styleId="CharChar5">
    <w:name w:val="环评 正文 Char Char"/>
    <w:link w:val="affffffffff1"/>
    <w:qFormat/>
    <w:rPr>
      <w:rFonts w:hAnsi="宋体"/>
      <w:bCs/>
      <w:sz w:val="24"/>
      <w:szCs w:val="24"/>
    </w:rPr>
  </w:style>
  <w:style w:type="paragraph" w:customStyle="1" w:styleId="affffffffff2">
    <w:name w:val="邓表后空格"/>
    <w:basedOn w:val="afffffffff9"/>
    <w:link w:val="Charfb"/>
    <w:qFormat/>
    <w:pPr>
      <w:spacing w:line="240" w:lineRule="exact"/>
      <w:ind w:firstLineChars="0" w:firstLine="0"/>
    </w:pPr>
    <w:rPr>
      <w:rFonts w:eastAsia="宋体" w:hAnsi="楷体_GB2312" w:cs="Times New Roman"/>
      <w:sz w:val="18"/>
    </w:rPr>
  </w:style>
  <w:style w:type="character" w:customStyle="1" w:styleId="Charfb">
    <w:name w:val="邓表后空格 Char"/>
    <w:link w:val="affffffffff2"/>
    <w:qFormat/>
    <w:rPr>
      <w:rFonts w:ascii="楷体_GB2312" w:hAnsi="楷体_GB2312"/>
      <w:kern w:val="2"/>
      <w:sz w:val="18"/>
      <w:szCs w:val="24"/>
    </w:rPr>
  </w:style>
  <w:style w:type="paragraph" w:customStyle="1" w:styleId="affffffffff3">
    <w:name w:val="表后空格"/>
    <w:basedOn w:val="afffffffff9"/>
    <w:link w:val="Charfc"/>
    <w:qFormat/>
    <w:pPr>
      <w:spacing w:line="240" w:lineRule="exact"/>
      <w:ind w:firstLine="480"/>
      <w:jc w:val="left"/>
    </w:pPr>
    <w:rPr>
      <w:rFonts w:hAnsi="楷体_GB2312"/>
    </w:rPr>
  </w:style>
  <w:style w:type="paragraph" w:customStyle="1" w:styleId="326">
    <w:name w:val="样式 标题 3 + 小三 加粗 行距: 固定值 26 磅"/>
    <w:basedOn w:val="31"/>
    <w:qFormat/>
    <w:pPr>
      <w:adjustRightInd/>
      <w:spacing w:before="200" w:afterLines="0" w:after="200" w:line="520" w:lineRule="exact"/>
      <w:jc w:val="both"/>
      <w:textAlignment w:val="auto"/>
    </w:pPr>
    <w:rPr>
      <w:smallCaps/>
      <w:sz w:val="28"/>
      <w:szCs w:val="20"/>
      <w:lang w:val="en-US"/>
    </w:rPr>
  </w:style>
  <w:style w:type="character" w:customStyle="1" w:styleId="Charf9">
    <w:name w:val="表格 Char"/>
    <w:link w:val="afffffffffb"/>
    <w:qFormat/>
    <w:rPr>
      <w:rFonts w:cs="Arial"/>
      <w:kern w:val="2"/>
      <w:sz w:val="21"/>
      <w:szCs w:val="21"/>
    </w:rPr>
  </w:style>
  <w:style w:type="paragraph" w:customStyle="1" w:styleId="1f3">
    <w:name w:val="正文首行缩进1"/>
    <w:basedOn w:val="aff2"/>
    <w:qFormat/>
    <w:pPr>
      <w:spacing w:before="0" w:after="120" w:line="360" w:lineRule="auto"/>
      <w:ind w:left="0" w:firstLineChars="100" w:firstLine="420"/>
      <w:jc w:val="both"/>
    </w:pPr>
    <w:rPr>
      <w:rFonts w:ascii="Times New Roman" w:hAnsi="Times New Roman"/>
      <w:kern w:val="2"/>
      <w:lang w:eastAsia="zh-CN"/>
    </w:rPr>
  </w:style>
  <w:style w:type="paragraph" w:customStyle="1" w:styleId="affffffffff4">
    <w:name w:val="标准段落"/>
    <w:basedOn w:val="a7"/>
    <w:next w:val="a7"/>
    <w:link w:val="Charfd"/>
    <w:qFormat/>
    <w:pPr>
      <w:spacing w:line="460" w:lineRule="exact"/>
      <w:ind w:firstLineChars="200" w:firstLine="520"/>
      <w:jc w:val="left"/>
    </w:pPr>
    <w:rPr>
      <w:rFonts w:hAnsi="宋体"/>
      <w:kern w:val="0"/>
      <w:sz w:val="24"/>
      <w:szCs w:val="24"/>
    </w:rPr>
  </w:style>
  <w:style w:type="paragraph" w:customStyle="1" w:styleId="affffffffff5">
    <w:name w:val="邓表格文字"/>
    <w:basedOn w:val="a7"/>
    <w:qFormat/>
    <w:pPr>
      <w:widowControl/>
      <w:snapToGrid w:val="0"/>
      <w:spacing w:line="220" w:lineRule="exact"/>
      <w:ind w:firstLineChars="200" w:firstLine="360"/>
      <w:jc w:val="center"/>
    </w:pPr>
    <w:rPr>
      <w:rFonts w:ascii="宋体" w:hAnsi="宋体"/>
      <w:color w:val="000000"/>
      <w:kern w:val="0"/>
      <w:sz w:val="15"/>
      <w:szCs w:val="15"/>
    </w:rPr>
  </w:style>
  <w:style w:type="character" w:customStyle="1" w:styleId="2fd">
    <w:name w:val="正文文本 (2)_"/>
    <w:link w:val="214"/>
    <w:qFormat/>
    <w:rPr>
      <w:rFonts w:ascii="宋体" w:cs="宋体"/>
      <w:sz w:val="31"/>
      <w:szCs w:val="31"/>
      <w:shd w:val="clear" w:color="auto" w:fill="FFFFFF"/>
    </w:rPr>
  </w:style>
  <w:style w:type="paragraph" w:customStyle="1" w:styleId="214">
    <w:name w:val="正文文本 (2)1"/>
    <w:basedOn w:val="a7"/>
    <w:link w:val="2fd"/>
    <w:qFormat/>
    <w:pPr>
      <w:shd w:val="clear" w:color="auto" w:fill="FFFFFF"/>
      <w:spacing w:before="180" w:after="180" w:line="240" w:lineRule="atLeast"/>
      <w:ind w:hanging="540"/>
      <w:jc w:val="right"/>
    </w:pPr>
    <w:rPr>
      <w:rFonts w:ascii="宋体" w:cs="宋体"/>
      <w:kern w:val="0"/>
      <w:sz w:val="31"/>
      <w:szCs w:val="31"/>
    </w:rPr>
  </w:style>
  <w:style w:type="character" w:customStyle="1" w:styleId="2BookAntiqua">
    <w:name w:val="正文文本 (2) + Book Antiqua"/>
    <w:qFormat/>
    <w:rPr>
      <w:rFonts w:ascii="Book Antiqua" w:hAnsi="Book Antiqua" w:cs="Book Antiqua"/>
      <w:sz w:val="29"/>
      <w:szCs w:val="29"/>
      <w:shd w:val="clear" w:color="auto" w:fill="FFFFFF"/>
    </w:rPr>
  </w:style>
  <w:style w:type="character" w:customStyle="1" w:styleId="4e">
    <w:name w:val="标题 #4_"/>
    <w:link w:val="4f"/>
    <w:qFormat/>
    <w:rPr>
      <w:rFonts w:ascii="宋体" w:cs="宋体"/>
      <w:sz w:val="31"/>
      <w:szCs w:val="31"/>
      <w:shd w:val="clear" w:color="auto" w:fill="FFFFFF"/>
    </w:rPr>
  </w:style>
  <w:style w:type="paragraph" w:customStyle="1" w:styleId="4f">
    <w:name w:val="标题 #4"/>
    <w:basedOn w:val="a7"/>
    <w:link w:val="4e"/>
    <w:qFormat/>
    <w:pPr>
      <w:shd w:val="clear" w:color="auto" w:fill="FFFFFF"/>
      <w:spacing w:before="660" w:line="869" w:lineRule="exact"/>
      <w:jc w:val="left"/>
      <w:outlineLvl w:val="3"/>
    </w:pPr>
    <w:rPr>
      <w:rFonts w:ascii="宋体" w:cs="宋体"/>
      <w:kern w:val="0"/>
      <w:sz w:val="31"/>
      <w:szCs w:val="31"/>
    </w:rPr>
  </w:style>
  <w:style w:type="character" w:customStyle="1" w:styleId="4BookAntiqua">
    <w:name w:val="标题 #4 + Book Antiqua"/>
    <w:qFormat/>
    <w:rPr>
      <w:rFonts w:ascii="Book Antiqua" w:hAnsi="Book Antiqua" w:cs="Book Antiqua"/>
      <w:sz w:val="29"/>
      <w:szCs w:val="29"/>
      <w:shd w:val="clear" w:color="auto" w:fill="FFFFFF"/>
    </w:rPr>
  </w:style>
  <w:style w:type="character" w:customStyle="1" w:styleId="64">
    <w:name w:val="正文文本 (6)_"/>
    <w:link w:val="610"/>
    <w:qFormat/>
    <w:rPr>
      <w:rFonts w:ascii="宋体" w:cs="宋体"/>
      <w:spacing w:val="-10"/>
      <w:sz w:val="28"/>
      <w:szCs w:val="28"/>
      <w:shd w:val="clear" w:color="auto" w:fill="FFFFFF"/>
    </w:rPr>
  </w:style>
  <w:style w:type="paragraph" w:customStyle="1" w:styleId="610">
    <w:name w:val="正文文本 (6)1"/>
    <w:basedOn w:val="a7"/>
    <w:link w:val="64"/>
    <w:qFormat/>
    <w:pPr>
      <w:shd w:val="clear" w:color="auto" w:fill="FFFFFF"/>
      <w:spacing w:line="619" w:lineRule="exact"/>
      <w:jc w:val="distribute"/>
    </w:pPr>
    <w:rPr>
      <w:rFonts w:ascii="宋体" w:cs="宋体"/>
      <w:spacing w:val="-10"/>
      <w:kern w:val="0"/>
      <w:sz w:val="28"/>
      <w:szCs w:val="28"/>
    </w:rPr>
  </w:style>
  <w:style w:type="character" w:customStyle="1" w:styleId="60pt">
    <w:name w:val="正文文本 (6) + 间距 0 pt"/>
    <w:qFormat/>
    <w:rPr>
      <w:rFonts w:ascii="宋体" w:cs="宋体"/>
      <w:spacing w:val="0"/>
      <w:sz w:val="28"/>
      <w:szCs w:val="28"/>
      <w:shd w:val="clear" w:color="auto" w:fill="FFFFFF"/>
    </w:rPr>
  </w:style>
  <w:style w:type="character" w:customStyle="1" w:styleId="214pt">
    <w:name w:val="正文文本 (2) + 14 pt"/>
    <w:qFormat/>
    <w:rPr>
      <w:rFonts w:ascii="宋体" w:cs="宋体"/>
      <w:sz w:val="28"/>
      <w:szCs w:val="28"/>
      <w:shd w:val="clear" w:color="auto" w:fill="FFFFFF"/>
    </w:rPr>
  </w:style>
  <w:style w:type="paragraph" w:customStyle="1" w:styleId="ParaChar">
    <w:name w:val="默认段落字体 Para Char"/>
    <w:basedOn w:val="a7"/>
    <w:uiPriority w:val="99"/>
    <w:qFormat/>
    <w:pPr>
      <w:spacing w:line="360" w:lineRule="auto"/>
      <w:ind w:firstLineChars="200" w:firstLine="200"/>
    </w:pPr>
    <w:rPr>
      <w:rFonts w:ascii="宋体" w:hAnsi="宋体" w:cs="宋体"/>
      <w:sz w:val="24"/>
      <w:szCs w:val="24"/>
    </w:rPr>
  </w:style>
  <w:style w:type="paragraph" w:customStyle="1" w:styleId="5d">
    <w:name w:val="正文5"/>
    <w:qFormat/>
    <w:pPr>
      <w:jc w:val="both"/>
    </w:pPr>
    <w:rPr>
      <w:kern w:val="2"/>
      <w:sz w:val="21"/>
      <w:szCs w:val="21"/>
    </w:rPr>
  </w:style>
  <w:style w:type="paragraph" w:customStyle="1" w:styleId="65">
    <w:name w:val="正文6"/>
    <w:qFormat/>
    <w:pPr>
      <w:jc w:val="both"/>
    </w:pPr>
    <w:rPr>
      <w:kern w:val="2"/>
      <w:sz w:val="21"/>
      <w:szCs w:val="21"/>
    </w:rPr>
  </w:style>
  <w:style w:type="paragraph" w:customStyle="1" w:styleId="Affffffffff6">
    <w:name w:val="正文A"/>
    <w:basedOn w:val="a7"/>
    <w:link w:val="AChar0"/>
    <w:qFormat/>
    <w:pPr>
      <w:spacing w:line="500" w:lineRule="exact"/>
      <w:ind w:firstLineChars="200" w:firstLine="480"/>
    </w:pPr>
    <w:rPr>
      <w:sz w:val="24"/>
      <w:szCs w:val="24"/>
    </w:rPr>
  </w:style>
  <w:style w:type="paragraph" w:customStyle="1" w:styleId="Affffffffff7">
    <w:name w:val="标题三A"/>
    <w:basedOn w:val="31"/>
    <w:qFormat/>
    <w:pPr>
      <w:numPr>
        <w:ilvl w:val="0"/>
        <w:numId w:val="0"/>
      </w:numPr>
      <w:tabs>
        <w:tab w:val="left" w:pos="5387"/>
      </w:tabs>
      <w:adjustRightInd/>
      <w:spacing w:beforeLines="0" w:before="0" w:afterLines="0" w:after="0" w:line="500" w:lineRule="exact"/>
      <w:ind w:left="720" w:hanging="720"/>
      <w:jc w:val="both"/>
      <w:textAlignment w:val="auto"/>
    </w:pPr>
    <w:rPr>
      <w:smallCaps/>
      <w:sz w:val="28"/>
      <w:szCs w:val="28"/>
      <w:lang w:val="en-US"/>
    </w:rPr>
  </w:style>
  <w:style w:type="paragraph" w:customStyle="1" w:styleId="Affffffffff8">
    <w:name w:val="标题四A"/>
    <w:basedOn w:val="a7"/>
    <w:link w:val="AChar1"/>
    <w:qFormat/>
    <w:pPr>
      <w:spacing w:line="500" w:lineRule="exact"/>
      <w:outlineLvl w:val="3"/>
    </w:pPr>
    <w:rPr>
      <w:b/>
      <w:bCs/>
      <w:kern w:val="0"/>
      <w:sz w:val="24"/>
      <w:szCs w:val="24"/>
    </w:rPr>
  </w:style>
  <w:style w:type="paragraph" w:customStyle="1" w:styleId="affffffffff9">
    <w:name w:val="表内字"/>
    <w:basedOn w:val="a7"/>
    <w:qFormat/>
    <w:pPr>
      <w:spacing w:line="320" w:lineRule="exact"/>
      <w:jc w:val="center"/>
    </w:pPr>
    <w:rPr>
      <w:kern w:val="0"/>
    </w:rPr>
  </w:style>
  <w:style w:type="paragraph" w:customStyle="1" w:styleId="Char40">
    <w:name w:val="Char4"/>
    <w:basedOn w:val="a7"/>
    <w:uiPriority w:val="99"/>
    <w:qFormat/>
    <w:pPr>
      <w:spacing w:line="360" w:lineRule="auto"/>
      <w:ind w:firstLineChars="200" w:firstLine="200"/>
    </w:pPr>
    <w:rPr>
      <w:rFonts w:ascii="宋体" w:hAnsi="宋体" w:cs="宋体"/>
      <w:kern w:val="0"/>
      <w:sz w:val="24"/>
      <w:szCs w:val="24"/>
    </w:rPr>
  </w:style>
  <w:style w:type="paragraph" w:customStyle="1" w:styleId="Affffffffffa">
    <w:name w:val="表头A"/>
    <w:basedOn w:val="a7"/>
    <w:link w:val="AChar2"/>
    <w:uiPriority w:val="99"/>
    <w:qFormat/>
    <w:pPr>
      <w:spacing w:line="400" w:lineRule="exact"/>
      <w:jc w:val="center"/>
    </w:pPr>
    <w:rPr>
      <w:rFonts w:eastAsia="楷体_GB2312"/>
      <w:b/>
      <w:bCs/>
      <w:sz w:val="24"/>
      <w:szCs w:val="24"/>
    </w:rPr>
  </w:style>
  <w:style w:type="paragraph" w:customStyle="1" w:styleId="Affffffffffb">
    <w:name w:val="标题二A"/>
    <w:basedOn w:val="a7"/>
    <w:qFormat/>
    <w:pPr>
      <w:spacing w:before="120" w:after="120" w:line="500" w:lineRule="exact"/>
      <w:outlineLvl w:val="1"/>
    </w:pPr>
    <w:rPr>
      <w:b/>
      <w:bCs/>
      <w:sz w:val="30"/>
      <w:szCs w:val="30"/>
    </w:rPr>
  </w:style>
  <w:style w:type="paragraph" w:customStyle="1" w:styleId="75">
    <w:name w:val="正文7"/>
    <w:qFormat/>
    <w:pPr>
      <w:jc w:val="both"/>
    </w:pPr>
    <w:rPr>
      <w:kern w:val="2"/>
      <w:sz w:val="21"/>
      <w:szCs w:val="21"/>
    </w:rPr>
  </w:style>
  <w:style w:type="paragraph" w:customStyle="1" w:styleId="affffffffffc">
    <w:name w:val="表头标题格式"/>
    <w:basedOn w:val="a7"/>
    <w:link w:val="CharChar6"/>
    <w:qFormat/>
    <w:pPr>
      <w:tabs>
        <w:tab w:val="left" w:pos="360"/>
        <w:tab w:val="left" w:pos="1620"/>
      </w:tabs>
      <w:spacing w:line="360" w:lineRule="auto"/>
      <w:jc w:val="center"/>
    </w:pPr>
    <w:rPr>
      <w:rFonts w:eastAsia="黑体"/>
      <w:b/>
      <w:bCs/>
      <w:sz w:val="24"/>
      <w:szCs w:val="20"/>
    </w:rPr>
  </w:style>
  <w:style w:type="character" w:customStyle="1" w:styleId="CharChar6">
    <w:name w:val="表头标题格式 Char Char"/>
    <w:link w:val="affffffffffc"/>
    <w:qFormat/>
    <w:rPr>
      <w:rFonts w:eastAsia="黑体"/>
      <w:b/>
      <w:bCs/>
      <w:kern w:val="2"/>
      <w:sz w:val="24"/>
    </w:rPr>
  </w:style>
  <w:style w:type="paragraph" w:customStyle="1" w:styleId="1f4">
    <w:name w:val="无间隔1"/>
    <w:basedOn w:val="a7"/>
    <w:link w:val="Charfe"/>
    <w:qFormat/>
    <w:pPr>
      <w:spacing w:before="100" w:beforeAutospacing="1" w:after="100" w:afterAutospacing="1" w:line="360" w:lineRule="auto"/>
      <w:jc w:val="center"/>
    </w:pPr>
    <w:rPr>
      <w:rFonts w:eastAsia="黑体"/>
      <w:b/>
      <w:bCs/>
      <w:sz w:val="24"/>
      <w:szCs w:val="24"/>
    </w:rPr>
  </w:style>
  <w:style w:type="character" w:customStyle="1" w:styleId="160">
    <w:name w:val="16"/>
    <w:qFormat/>
    <w:rPr>
      <w:rFonts w:ascii="Times New Roman" w:hAnsi="Times New Roman" w:cs="Times New Roman" w:hint="default"/>
      <w:i/>
      <w:iCs/>
      <w:color w:val="000000"/>
      <w:sz w:val="24"/>
      <w:szCs w:val="24"/>
    </w:rPr>
  </w:style>
  <w:style w:type="paragraph" w:customStyle="1" w:styleId="260">
    <w:name w:val="样式 (符号) 宋体 小四 行距: 固定值 26 磅"/>
    <w:basedOn w:val="a7"/>
    <w:qFormat/>
    <w:pPr>
      <w:widowControl/>
      <w:spacing w:line="280" w:lineRule="exact"/>
    </w:pPr>
    <w:rPr>
      <w:spacing w:val="-8"/>
      <w:kern w:val="0"/>
      <w:sz w:val="18"/>
      <w:szCs w:val="18"/>
    </w:rPr>
  </w:style>
  <w:style w:type="paragraph" w:customStyle="1" w:styleId="84">
    <w:name w:val="正文8"/>
    <w:qFormat/>
    <w:pPr>
      <w:jc w:val="both"/>
    </w:pPr>
    <w:rPr>
      <w:kern w:val="2"/>
      <w:sz w:val="21"/>
      <w:szCs w:val="21"/>
    </w:rPr>
  </w:style>
  <w:style w:type="paragraph" w:customStyle="1" w:styleId="affffffffffd">
    <w:name w:val="表格表题"/>
    <w:basedOn w:val="a7"/>
    <w:qFormat/>
    <w:pPr>
      <w:autoSpaceDE w:val="0"/>
      <w:autoSpaceDN w:val="0"/>
      <w:adjustRightInd w:val="0"/>
      <w:spacing w:line="480" w:lineRule="atLeast"/>
      <w:jc w:val="center"/>
      <w:textAlignment w:val="baseline"/>
    </w:pPr>
    <w:rPr>
      <w:rFonts w:ascii="黑体" w:eastAsia="黑体" w:hAnsi="黑体" w:cs="宋体"/>
      <w:kern w:val="16"/>
      <w:sz w:val="34"/>
      <w:szCs w:val="34"/>
    </w:rPr>
  </w:style>
  <w:style w:type="paragraph" w:customStyle="1" w:styleId="93">
    <w:name w:val="正文9"/>
    <w:qFormat/>
    <w:pPr>
      <w:jc w:val="both"/>
    </w:pPr>
    <w:rPr>
      <w:kern w:val="2"/>
      <w:sz w:val="21"/>
      <w:szCs w:val="21"/>
    </w:rPr>
  </w:style>
  <w:style w:type="paragraph" w:customStyle="1" w:styleId="affffffffffe">
    <w:name w:val="表格名称"/>
    <w:basedOn w:val="a7"/>
    <w:link w:val="Charff"/>
    <w:qFormat/>
    <w:pPr>
      <w:spacing w:line="480" w:lineRule="exact"/>
      <w:ind w:firstLineChars="50" w:firstLine="120"/>
      <w:jc w:val="center"/>
    </w:pPr>
    <w:rPr>
      <w:rFonts w:ascii="黑体" w:eastAsia="黑体" w:hAnsi="宋体" w:cs="宋体"/>
      <w:kern w:val="0"/>
      <w:sz w:val="24"/>
      <w:szCs w:val="24"/>
    </w:rPr>
  </w:style>
  <w:style w:type="paragraph" w:customStyle="1" w:styleId="CharChar7">
    <w:name w:val="表头 Char Char"/>
    <w:basedOn w:val="a7"/>
    <w:qFormat/>
    <w:pPr>
      <w:adjustRightInd w:val="0"/>
      <w:spacing w:line="240" w:lineRule="exact"/>
      <w:ind w:firstLineChars="200" w:firstLine="480"/>
      <w:textAlignment w:val="baseline"/>
    </w:pPr>
    <w:rPr>
      <w:rFonts w:ascii="黑体" w:eastAsia="黑体" w:hAnsi="黑体" w:cs="黑体"/>
      <w:b/>
      <w:bCs/>
      <w:kern w:val="0"/>
    </w:rPr>
  </w:style>
  <w:style w:type="paragraph" w:customStyle="1" w:styleId="1-1">
    <w:name w:val="1-表头1"/>
    <w:basedOn w:val="a7"/>
    <w:qFormat/>
    <w:pPr>
      <w:spacing w:line="360" w:lineRule="auto"/>
      <w:jc w:val="center"/>
    </w:pPr>
    <w:rPr>
      <w:rFonts w:ascii="宋体" w:eastAsia="Times New Roman" w:hAnsi="宋体" w:cs="宋体"/>
      <w:kern w:val="0"/>
      <w:sz w:val="34"/>
      <w:szCs w:val="34"/>
    </w:rPr>
  </w:style>
  <w:style w:type="paragraph" w:customStyle="1" w:styleId="310">
    <w:name w:val="列表 31"/>
    <w:basedOn w:val="a7"/>
    <w:qFormat/>
    <w:pPr>
      <w:spacing w:beforeLines="50" w:after="100" w:afterAutospacing="1"/>
      <w:jc w:val="center"/>
    </w:pPr>
    <w:rPr>
      <w:rFonts w:eastAsia="黑体"/>
      <w:sz w:val="24"/>
      <w:szCs w:val="24"/>
    </w:rPr>
  </w:style>
  <w:style w:type="paragraph" w:customStyle="1" w:styleId="afffffffffff">
    <w:name w:val="正文!!!!!!!!!!!"/>
    <w:basedOn w:val="a7"/>
    <w:qFormat/>
    <w:pPr>
      <w:spacing w:line="500" w:lineRule="exact"/>
      <w:ind w:firstLineChars="200" w:firstLine="480"/>
    </w:pPr>
    <w:rPr>
      <w:rFonts w:ascii="华文仿宋" w:eastAsia="华文仿宋" w:hAnsi="华文仿宋" w:cs="宋体"/>
      <w:sz w:val="24"/>
      <w:szCs w:val="24"/>
    </w:rPr>
  </w:style>
  <w:style w:type="paragraph" w:customStyle="1" w:styleId="101">
    <w:name w:val="正文10"/>
    <w:qFormat/>
    <w:pPr>
      <w:jc w:val="both"/>
    </w:pPr>
    <w:rPr>
      <w:kern w:val="2"/>
      <w:sz w:val="21"/>
      <w:szCs w:val="21"/>
    </w:rPr>
  </w:style>
  <w:style w:type="paragraph" w:customStyle="1" w:styleId="120">
    <w:name w:val="正文12"/>
    <w:qFormat/>
    <w:pPr>
      <w:jc w:val="both"/>
    </w:pPr>
    <w:rPr>
      <w:kern w:val="2"/>
      <w:sz w:val="21"/>
      <w:szCs w:val="21"/>
    </w:rPr>
  </w:style>
  <w:style w:type="paragraph" w:customStyle="1" w:styleId="130">
    <w:name w:val="正文13"/>
    <w:qFormat/>
    <w:pPr>
      <w:jc w:val="both"/>
    </w:pPr>
    <w:rPr>
      <w:kern w:val="2"/>
      <w:sz w:val="21"/>
      <w:szCs w:val="21"/>
    </w:rPr>
  </w:style>
  <w:style w:type="paragraph" w:customStyle="1" w:styleId="141">
    <w:name w:val="正文14"/>
    <w:qFormat/>
    <w:pPr>
      <w:jc w:val="both"/>
    </w:pPr>
    <w:rPr>
      <w:kern w:val="2"/>
      <w:sz w:val="21"/>
      <w:szCs w:val="21"/>
    </w:rPr>
  </w:style>
  <w:style w:type="paragraph" w:customStyle="1" w:styleId="2fe">
    <w:name w:val="样式 宋体 首行缩进:  2 字符"/>
    <w:basedOn w:val="a7"/>
    <w:qFormat/>
    <w:pPr>
      <w:spacing w:line="360" w:lineRule="auto"/>
      <w:ind w:firstLineChars="200" w:firstLine="200"/>
    </w:pPr>
    <w:rPr>
      <w:rFonts w:ascii="宋体" w:hAnsi="宋体" w:cs="宋体"/>
      <w:sz w:val="24"/>
      <w:szCs w:val="20"/>
    </w:rPr>
  </w:style>
  <w:style w:type="character" w:customStyle="1" w:styleId="Char19">
    <w:name w:val="表头 Char1"/>
    <w:link w:val="afffffffffff0"/>
    <w:qFormat/>
    <w:rPr>
      <w:b/>
      <w:kern w:val="2"/>
      <w:sz w:val="21"/>
      <w:szCs w:val="21"/>
    </w:rPr>
  </w:style>
  <w:style w:type="paragraph" w:customStyle="1" w:styleId="afffffffffff0">
    <w:name w:val="表头"/>
    <w:basedOn w:val="a7"/>
    <w:next w:val="a7"/>
    <w:link w:val="Char19"/>
    <w:qFormat/>
    <w:pPr>
      <w:spacing w:beforeLines="50" w:before="163"/>
      <w:jc w:val="center"/>
    </w:pPr>
    <w:rPr>
      <w:b/>
    </w:rPr>
  </w:style>
  <w:style w:type="character" w:customStyle="1" w:styleId="Charff0">
    <w:name w:val="表格正文 Char"/>
    <w:link w:val="afffffffffff1"/>
    <w:uiPriority w:val="99"/>
    <w:qFormat/>
    <w:rPr>
      <w:color w:val="000000"/>
      <w:kern w:val="2"/>
      <w:sz w:val="21"/>
      <w:szCs w:val="22"/>
    </w:rPr>
  </w:style>
  <w:style w:type="paragraph" w:customStyle="1" w:styleId="afffffffffff1">
    <w:name w:val="表格正文"/>
    <w:basedOn w:val="a7"/>
    <w:link w:val="Charff0"/>
    <w:uiPriority w:val="99"/>
    <w:qFormat/>
    <w:pPr>
      <w:adjustRightInd w:val="0"/>
      <w:snapToGrid w:val="0"/>
      <w:spacing w:line="400" w:lineRule="exact"/>
      <w:jc w:val="left"/>
    </w:pPr>
    <w:rPr>
      <w:color w:val="000000"/>
      <w:szCs w:val="22"/>
    </w:rPr>
  </w:style>
  <w:style w:type="character" w:customStyle="1" w:styleId="Charf7">
    <w:name w:val="正文 楷体 Char"/>
    <w:link w:val="afffffffff9"/>
    <w:qFormat/>
    <w:rPr>
      <w:rFonts w:ascii="楷体_GB2312" w:eastAsia="楷体_GB2312" w:hAnsi="宋体" w:cs="宋体"/>
      <w:kern w:val="2"/>
      <w:sz w:val="24"/>
      <w:szCs w:val="24"/>
    </w:rPr>
  </w:style>
  <w:style w:type="character" w:customStyle="1" w:styleId="Char1a">
    <w:name w:val="正文缩进 Char1"/>
    <w:qFormat/>
    <w:rPr>
      <w:rFonts w:eastAsia="华文中宋"/>
      <w:sz w:val="24"/>
      <w:lang w:val="en-US" w:eastAsia="zh-CN" w:bidi="ar-SA"/>
    </w:rPr>
  </w:style>
  <w:style w:type="character" w:customStyle="1" w:styleId="aff9">
    <w:name w:val="纯文本 字符"/>
    <w:link w:val="aff8"/>
    <w:qFormat/>
    <w:rPr>
      <w:rFonts w:ascii="宋体" w:hAnsi="Courier New" w:cs="Courier New"/>
      <w:kern w:val="2"/>
      <w:sz w:val="21"/>
      <w:szCs w:val="21"/>
    </w:rPr>
  </w:style>
  <w:style w:type="character" w:customStyle="1" w:styleId="Char21">
    <w:name w:val="纯文本 Char2"/>
    <w:uiPriority w:val="99"/>
    <w:semiHidden/>
    <w:qFormat/>
    <w:rPr>
      <w:rFonts w:ascii="宋体" w:hAnsi="Courier New" w:cs="Courier New"/>
      <w:kern w:val="2"/>
      <w:sz w:val="21"/>
      <w:szCs w:val="21"/>
    </w:rPr>
  </w:style>
  <w:style w:type="table" w:customStyle="1" w:styleId="afffffffffff2">
    <w:name w:val="黑框表格"/>
    <w:basedOn w:val="a9"/>
    <w:uiPriority w:val="99"/>
    <w:qFormat/>
    <w:pPr>
      <w:jc w:val="center"/>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character" w:customStyle="1" w:styleId="1Char0">
    <w:name w:val="正文1 Char"/>
    <w:link w:val="1f"/>
    <w:qFormat/>
    <w:locked/>
    <w:rPr>
      <w:rFonts w:ascii="宋体"/>
      <w:sz w:val="34"/>
    </w:rPr>
  </w:style>
  <w:style w:type="character" w:customStyle="1" w:styleId="CharCharChar">
    <w:name w:val="段落 Char Char Char"/>
    <w:link w:val="affffffff6"/>
    <w:qFormat/>
    <w:locked/>
    <w:rPr>
      <w:kern w:val="2"/>
      <w:sz w:val="24"/>
      <w:szCs w:val="24"/>
    </w:rPr>
  </w:style>
  <w:style w:type="paragraph" w:customStyle="1" w:styleId="CharChar8">
    <w:name w:val="段落 Char Char"/>
    <w:basedOn w:val="a7"/>
    <w:link w:val="CharCharCharChar0"/>
    <w:qFormat/>
    <w:pPr>
      <w:spacing w:line="500" w:lineRule="exact"/>
      <w:ind w:firstLine="578"/>
    </w:pPr>
    <w:rPr>
      <w:kern w:val="0"/>
      <w:sz w:val="28"/>
      <w:szCs w:val="28"/>
      <w:lang w:val="zh-CN"/>
    </w:rPr>
  </w:style>
  <w:style w:type="character" w:customStyle="1" w:styleId="CharCharCharChar0">
    <w:name w:val="段落 Char Char Char Char"/>
    <w:link w:val="CharChar8"/>
    <w:qFormat/>
    <w:locked/>
    <w:rPr>
      <w:sz w:val="28"/>
      <w:szCs w:val="28"/>
      <w:lang w:val="zh-CN" w:eastAsia="zh-CN"/>
    </w:rPr>
  </w:style>
  <w:style w:type="character" w:customStyle="1" w:styleId="5Char10">
    <w:name w:val="5文章(治) Char1"/>
    <w:link w:val="5e"/>
    <w:qFormat/>
    <w:locked/>
    <w:rPr>
      <w:rFonts w:ascii="宋体" w:hAnsi="宋体"/>
      <w:color w:val="000000"/>
      <w:sz w:val="24"/>
    </w:rPr>
  </w:style>
  <w:style w:type="paragraph" w:customStyle="1" w:styleId="5e">
    <w:name w:val="5文章(治)"/>
    <w:basedOn w:val="a7"/>
    <w:link w:val="5Char10"/>
    <w:qFormat/>
    <w:pPr>
      <w:spacing w:line="360" w:lineRule="auto"/>
      <w:ind w:firstLineChars="200" w:firstLine="560"/>
    </w:pPr>
    <w:rPr>
      <w:rFonts w:ascii="宋体" w:hAnsi="宋体"/>
      <w:color w:val="000000"/>
      <w:kern w:val="0"/>
      <w:sz w:val="24"/>
      <w:szCs w:val="20"/>
    </w:rPr>
  </w:style>
  <w:style w:type="paragraph" w:customStyle="1" w:styleId="afffffffffff3">
    <w:name w:val="报告表表格文字"/>
    <w:basedOn w:val="a7"/>
    <w:qFormat/>
    <w:pPr>
      <w:autoSpaceDE w:val="0"/>
      <w:autoSpaceDN w:val="0"/>
      <w:adjustRightInd w:val="0"/>
      <w:snapToGrid w:val="0"/>
      <w:spacing w:line="360" w:lineRule="exact"/>
      <w:jc w:val="center"/>
    </w:pPr>
    <w:rPr>
      <w:color w:val="000000"/>
      <w:kern w:val="0"/>
    </w:rPr>
  </w:style>
  <w:style w:type="character" w:customStyle="1" w:styleId="af6">
    <w:name w:val="题注 字符"/>
    <w:link w:val="af5"/>
    <w:qFormat/>
    <w:rPr>
      <w:rFonts w:ascii="Calibri Light" w:eastAsia="黑体" w:hAnsi="Calibri Light"/>
      <w:kern w:val="2"/>
    </w:rPr>
  </w:style>
  <w:style w:type="paragraph" w:customStyle="1" w:styleId="afffffffffff4">
    <w:name w:val="报告书表格表头"/>
    <w:basedOn w:val="a7"/>
    <w:qFormat/>
    <w:pPr>
      <w:adjustRightInd w:val="0"/>
      <w:snapToGrid w:val="0"/>
      <w:spacing w:line="520" w:lineRule="exact"/>
      <w:ind w:firstLineChars="200" w:firstLine="200"/>
    </w:pPr>
    <w:rPr>
      <w:rFonts w:eastAsia="黑体"/>
      <w:color w:val="000000"/>
      <w:sz w:val="24"/>
      <w:szCs w:val="22"/>
    </w:rPr>
  </w:style>
  <w:style w:type="character" w:customStyle="1" w:styleId="5Char">
    <w:name w:val="标题 5 Char"/>
    <w:semiHidden/>
    <w:qFormat/>
    <w:rPr>
      <w:rFonts w:ascii="Times New Roman" w:eastAsia="宋体" w:hAnsi="Times New Roman" w:cs="Times New Roman"/>
      <w:b/>
      <w:kern w:val="0"/>
      <w:sz w:val="28"/>
      <w:szCs w:val="20"/>
    </w:rPr>
  </w:style>
  <w:style w:type="paragraph" w:customStyle="1" w:styleId="afffffffffff5">
    <w:name w:val="表格内容自定"/>
    <w:basedOn w:val="a7"/>
    <w:qFormat/>
    <w:pPr>
      <w:jc w:val="center"/>
    </w:pPr>
    <w:rPr>
      <w:kern w:val="0"/>
    </w:rPr>
  </w:style>
  <w:style w:type="character" w:customStyle="1" w:styleId="5Char0">
    <w:name w:val="表格内容（5号字体版本） Char"/>
    <w:link w:val="5f"/>
    <w:qFormat/>
    <w:rPr>
      <w:color w:val="000000"/>
    </w:rPr>
  </w:style>
  <w:style w:type="paragraph" w:customStyle="1" w:styleId="5f">
    <w:name w:val="表格内容（5号字体版本）"/>
    <w:link w:val="5Char0"/>
    <w:qFormat/>
    <w:pPr>
      <w:jc w:val="center"/>
    </w:pPr>
    <w:rPr>
      <w:color w:val="000000"/>
    </w:rPr>
  </w:style>
  <w:style w:type="character" w:customStyle="1" w:styleId="5CharChar0">
    <w:name w:val="5文章(治) Char Char"/>
    <w:qFormat/>
    <w:rPr>
      <w:kern w:val="2"/>
      <w:sz w:val="24"/>
    </w:rPr>
  </w:style>
  <w:style w:type="character" w:customStyle="1" w:styleId="001Char">
    <w:name w:val="正文001 Char"/>
    <w:link w:val="001"/>
    <w:qFormat/>
    <w:rPr>
      <w:kern w:val="2"/>
      <w:sz w:val="24"/>
      <w:szCs w:val="24"/>
    </w:rPr>
  </w:style>
  <w:style w:type="paragraph" w:customStyle="1" w:styleId="001">
    <w:name w:val="正文001"/>
    <w:basedOn w:val="a7"/>
    <w:link w:val="001Char"/>
    <w:qFormat/>
    <w:pPr>
      <w:spacing w:line="360" w:lineRule="auto"/>
      <w:ind w:firstLine="482"/>
    </w:pPr>
    <w:rPr>
      <w:sz w:val="24"/>
      <w:szCs w:val="24"/>
    </w:rPr>
  </w:style>
  <w:style w:type="paragraph" w:customStyle="1" w:styleId="msonormal0">
    <w:name w:val="msonormal"/>
    <w:basedOn w:val="a7"/>
    <w:qFormat/>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7"/>
    <w:qFormat/>
    <w:pPr>
      <w:widowControl/>
      <w:spacing w:before="100" w:beforeAutospacing="1" w:after="100" w:afterAutospacing="1"/>
      <w:jc w:val="left"/>
    </w:pPr>
    <w:rPr>
      <w:rFonts w:ascii="等线" w:eastAsia="等线" w:hAnsi="等线" w:cs="宋体"/>
      <w:kern w:val="0"/>
      <w:sz w:val="18"/>
      <w:szCs w:val="18"/>
    </w:rPr>
  </w:style>
  <w:style w:type="character" w:customStyle="1" w:styleId="CharChar9">
    <w:name w:val="正文格式 Char Char"/>
    <w:basedOn w:val="a8"/>
    <w:qFormat/>
    <w:rPr>
      <w:rFonts w:ascii="宋体"/>
      <w:kern w:val="2"/>
      <w:sz w:val="24"/>
      <w:szCs w:val="24"/>
    </w:rPr>
  </w:style>
  <w:style w:type="paragraph" w:customStyle="1" w:styleId="afffffffffff6">
    <w:name w:val="维药表格文字"/>
    <w:basedOn w:val="a7"/>
    <w:qFormat/>
    <w:pPr>
      <w:tabs>
        <w:tab w:val="left" w:pos="720"/>
      </w:tabs>
      <w:spacing w:line="360" w:lineRule="exact"/>
      <w:jc w:val="center"/>
    </w:pPr>
    <w:rPr>
      <w:rFonts w:ascii="宋体" w:hAnsi="宋体" w:cstheme="minorBidi"/>
      <w:bCs/>
      <w:kern w:val="0"/>
      <w:sz w:val="28"/>
    </w:rPr>
  </w:style>
  <w:style w:type="character" w:customStyle="1" w:styleId="affff3">
    <w:name w:val="普通(网站) 字符"/>
    <w:link w:val="affff2"/>
    <w:uiPriority w:val="99"/>
    <w:qFormat/>
    <w:rPr>
      <w:rFonts w:cs="宋体"/>
      <w:sz w:val="24"/>
      <w:szCs w:val="24"/>
    </w:rPr>
  </w:style>
  <w:style w:type="paragraph" w:customStyle="1" w:styleId="CharCharCharCharCharCharCharCharChar">
    <w:name w:val="Char Char Char Char Char Char Char Char Char"/>
    <w:basedOn w:val="a7"/>
    <w:uiPriority w:val="99"/>
    <w:qFormat/>
    <w:rPr>
      <w:szCs w:val="24"/>
    </w:rPr>
  </w:style>
  <w:style w:type="paragraph" w:customStyle="1" w:styleId="p0">
    <w:name w:val="p0"/>
    <w:basedOn w:val="a7"/>
    <w:link w:val="p0CharChar"/>
    <w:uiPriority w:val="99"/>
    <w:qFormat/>
    <w:pPr>
      <w:widowControl/>
    </w:pPr>
    <w:rPr>
      <w:kern w:val="0"/>
    </w:rPr>
  </w:style>
  <w:style w:type="paragraph" w:customStyle="1" w:styleId="1f5">
    <w:name w:val="改性沥青正文1"/>
    <w:basedOn w:val="a7"/>
    <w:qFormat/>
    <w:pPr>
      <w:adjustRightInd w:val="0"/>
      <w:snapToGrid w:val="0"/>
      <w:spacing w:line="560" w:lineRule="exact"/>
      <w:ind w:firstLine="482"/>
      <w:jc w:val="left"/>
      <w:textAlignment w:val="baseline"/>
    </w:pPr>
    <w:rPr>
      <w:rFonts w:ascii="宋体" w:hAnsi="宋体"/>
      <w:color w:val="FF0000"/>
      <w:kern w:val="0"/>
      <w:sz w:val="24"/>
      <w:szCs w:val="24"/>
    </w:rPr>
  </w:style>
  <w:style w:type="paragraph" w:customStyle="1" w:styleId="afffffffffff7">
    <w:name w:val="单晶硅项目正文"/>
    <w:basedOn w:val="a7"/>
    <w:qFormat/>
    <w:pPr>
      <w:spacing w:line="560" w:lineRule="exact"/>
      <w:ind w:firstLineChars="200" w:firstLine="480"/>
    </w:pPr>
    <w:rPr>
      <w:rFonts w:ascii="宋体" w:hAnsi="宋体"/>
      <w:color w:val="000000"/>
      <w:sz w:val="24"/>
      <w:szCs w:val="24"/>
    </w:rPr>
  </w:style>
  <w:style w:type="character" w:customStyle="1" w:styleId="font41">
    <w:name w:val="font41"/>
    <w:basedOn w:val="a8"/>
    <w:qFormat/>
    <w:rPr>
      <w:rFonts w:ascii="Times New Roman" w:hAnsi="Times New Roman" w:cs="Times New Roman" w:hint="default"/>
      <w:color w:val="000000"/>
      <w:sz w:val="21"/>
      <w:szCs w:val="21"/>
      <w:u w:val="none"/>
      <w:vertAlign w:val="subscript"/>
    </w:rPr>
  </w:style>
  <w:style w:type="character" w:customStyle="1" w:styleId="-Char">
    <w:name w:val="表字-书 Char"/>
    <w:link w:val="-0"/>
    <w:qFormat/>
    <w:rPr>
      <w:rFonts w:ascii="宋体"/>
      <w:sz w:val="21"/>
      <w:szCs w:val="21"/>
      <w:lang w:val="zh-CN"/>
    </w:rPr>
  </w:style>
  <w:style w:type="paragraph" w:customStyle="1" w:styleId="-0">
    <w:name w:val="表字-书"/>
    <w:basedOn w:val="a7"/>
    <w:link w:val="-Char"/>
    <w:qFormat/>
    <w:pPr>
      <w:widowControl/>
      <w:overflowPunct w:val="0"/>
      <w:autoSpaceDE w:val="0"/>
      <w:autoSpaceDN w:val="0"/>
      <w:adjustRightInd w:val="0"/>
      <w:snapToGrid w:val="0"/>
      <w:spacing w:line="300" w:lineRule="exact"/>
      <w:jc w:val="center"/>
    </w:pPr>
    <w:rPr>
      <w:rFonts w:ascii="宋体"/>
      <w:kern w:val="0"/>
      <w:lang w:val="zh-CN"/>
    </w:rPr>
  </w:style>
  <w:style w:type="character" w:customStyle="1" w:styleId="CharChara">
    <w:name w:val="表格 Char Char"/>
    <w:qFormat/>
    <w:rPr>
      <w:kern w:val="2"/>
      <w:sz w:val="21"/>
    </w:rPr>
  </w:style>
  <w:style w:type="paragraph" w:customStyle="1" w:styleId="154">
    <w:name w:val="正文15"/>
    <w:qFormat/>
    <w:pPr>
      <w:widowControl w:val="0"/>
      <w:adjustRightInd w:val="0"/>
      <w:spacing w:line="312" w:lineRule="atLeast"/>
      <w:jc w:val="both"/>
      <w:textAlignment w:val="baseline"/>
    </w:pPr>
    <w:rPr>
      <w:rFonts w:ascii="宋体"/>
      <w:sz w:val="34"/>
    </w:rPr>
  </w:style>
  <w:style w:type="character" w:customStyle="1" w:styleId="afffffffffff8">
    <w:name w:val="表格内容 字符"/>
    <w:qFormat/>
    <w:rPr>
      <w:rFonts w:ascii="Times New Roman" w:eastAsia="宋体" w:hAnsi="Times New Roman" w:cs="Times New Roman"/>
      <w:color w:val="000000"/>
      <w:kern w:val="0"/>
      <w:sz w:val="24"/>
      <w:szCs w:val="21"/>
      <w:lang w:eastAsia="en-US" w:bidi="en-US"/>
    </w:rPr>
  </w:style>
  <w:style w:type="paragraph" w:customStyle="1" w:styleId="altD">
    <w:name w:val="表头，alt+D"/>
    <w:basedOn w:val="a7"/>
    <w:qFormat/>
    <w:pPr>
      <w:spacing w:before="60" w:after="60" w:line="240" w:lineRule="atLeast"/>
      <w:ind w:left="-113" w:right="-113"/>
      <w:jc w:val="center"/>
      <w:textAlignment w:val="center"/>
    </w:pPr>
    <w:rPr>
      <w:color w:val="808000"/>
      <w:sz w:val="24"/>
      <w:szCs w:val="24"/>
    </w:rPr>
  </w:style>
  <w:style w:type="paragraph" w:customStyle="1" w:styleId="1f6">
    <w:name w:val="表格内容1"/>
    <w:basedOn w:val="a7"/>
    <w:link w:val="1f7"/>
    <w:uiPriority w:val="99"/>
    <w:qFormat/>
    <w:pPr>
      <w:widowControl/>
      <w:spacing w:line="300" w:lineRule="exact"/>
      <w:jc w:val="center"/>
    </w:pPr>
    <w:rPr>
      <w:kern w:val="0"/>
      <w:lang w:eastAsia="en-US" w:bidi="en-US"/>
    </w:rPr>
  </w:style>
  <w:style w:type="character" w:customStyle="1" w:styleId="1f7">
    <w:name w:val="表格内容1 字符"/>
    <w:link w:val="1f6"/>
    <w:qFormat/>
    <w:rPr>
      <w:sz w:val="21"/>
      <w:szCs w:val="21"/>
      <w:lang w:eastAsia="en-US" w:bidi="en-US"/>
    </w:rPr>
  </w:style>
  <w:style w:type="paragraph" w:customStyle="1" w:styleId="afffffffffff9">
    <w:name w:val="表格新"/>
    <w:basedOn w:val="a7"/>
    <w:link w:val="afffffffffffa"/>
    <w:qFormat/>
    <w:pPr>
      <w:jc w:val="center"/>
    </w:pPr>
    <w:rPr>
      <w:rFonts w:cs="黑体"/>
      <w:bCs/>
    </w:rPr>
  </w:style>
  <w:style w:type="character" w:customStyle="1" w:styleId="afffffffffffa">
    <w:name w:val="表格新 字符"/>
    <w:link w:val="afffffffffff9"/>
    <w:qFormat/>
    <w:locked/>
    <w:rPr>
      <w:rFonts w:ascii="Calibri" w:hAnsi="Calibri" w:cs="黑体"/>
      <w:bCs/>
      <w:kern w:val="2"/>
      <w:sz w:val="21"/>
      <w:szCs w:val="21"/>
    </w:rPr>
  </w:style>
  <w:style w:type="paragraph" w:customStyle="1" w:styleId="afffffffffffb">
    <w:name w:val="！正文"/>
    <w:basedOn w:val="a7"/>
    <w:link w:val="Charff1"/>
    <w:qFormat/>
    <w:pPr>
      <w:spacing w:line="500" w:lineRule="exact"/>
      <w:ind w:firstLineChars="200" w:firstLine="200"/>
    </w:pPr>
    <w:rPr>
      <w:rFonts w:cs="黑体"/>
      <w:sz w:val="24"/>
      <w:szCs w:val="24"/>
    </w:rPr>
  </w:style>
  <w:style w:type="paragraph" w:customStyle="1" w:styleId="afffffffffffc">
    <w:name w:val="★表内文字（居中）"/>
    <w:basedOn w:val="a7"/>
    <w:qFormat/>
    <w:pPr>
      <w:pBdr>
        <w:top w:val="none" w:sz="0" w:space="2" w:color="auto"/>
        <w:left w:val="none" w:sz="0" w:space="4" w:color="auto"/>
        <w:bottom w:val="none" w:sz="0" w:space="1" w:color="auto"/>
        <w:right w:val="none" w:sz="0" w:space="4" w:color="auto"/>
      </w:pBdr>
      <w:spacing w:line="264" w:lineRule="auto"/>
      <w:jc w:val="center"/>
    </w:pPr>
    <w:rPr>
      <w:rFonts w:ascii="宋体" w:hAnsi="宋体"/>
      <w:color w:val="000000"/>
      <w:szCs w:val="24"/>
    </w:rPr>
  </w:style>
  <w:style w:type="character" w:customStyle="1" w:styleId="Charff1">
    <w:name w:val="！正文 Char"/>
    <w:link w:val="afffffffffffb"/>
    <w:qFormat/>
    <w:rPr>
      <w:rFonts w:ascii="Calibri" w:hAnsi="Calibri" w:cs="黑体"/>
      <w:kern w:val="2"/>
      <w:sz w:val="24"/>
      <w:szCs w:val="24"/>
    </w:rPr>
  </w:style>
  <w:style w:type="table" w:customStyle="1" w:styleId="TableNormal">
    <w:name w:val="Table Normal"/>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afffffffffffd">
    <w:name w:val="表格文字新"/>
    <w:basedOn w:val="afffffffffff1"/>
    <w:qFormat/>
    <w:pPr>
      <w:tabs>
        <w:tab w:val="left" w:pos="1081"/>
        <w:tab w:val="left" w:pos="6037"/>
      </w:tabs>
      <w:spacing w:line="240" w:lineRule="auto"/>
      <w:jc w:val="center"/>
    </w:pPr>
    <w:rPr>
      <w:szCs w:val="24"/>
    </w:rPr>
  </w:style>
  <w:style w:type="paragraph" w:customStyle="1" w:styleId="1f8">
    <w:name w:val="1正文段落"/>
    <w:basedOn w:val="a7"/>
    <w:link w:val="1Char4"/>
    <w:qFormat/>
    <w:pPr>
      <w:spacing w:line="360" w:lineRule="auto"/>
      <w:ind w:firstLineChars="200" w:firstLine="480"/>
      <w:jc w:val="left"/>
    </w:pPr>
    <w:rPr>
      <w:rFonts w:cs="黑体"/>
      <w:snapToGrid w:val="0"/>
      <w:sz w:val="24"/>
      <w:szCs w:val="24"/>
    </w:rPr>
  </w:style>
  <w:style w:type="character" w:customStyle="1" w:styleId="1Char4">
    <w:name w:val="1正文段落 Char"/>
    <w:link w:val="1f8"/>
    <w:qFormat/>
    <w:rPr>
      <w:rFonts w:ascii="Calibri" w:hAnsi="Calibri" w:cs="黑体"/>
      <w:snapToGrid w:val="0"/>
      <w:kern w:val="2"/>
      <w:sz w:val="24"/>
      <w:szCs w:val="24"/>
    </w:rPr>
  </w:style>
  <w:style w:type="paragraph" w:customStyle="1" w:styleId="font6">
    <w:name w:val="font6"/>
    <w:basedOn w:val="a7"/>
    <w:qFormat/>
    <w:pPr>
      <w:widowControl/>
      <w:spacing w:before="100" w:beforeAutospacing="1" w:after="100" w:afterAutospacing="1"/>
      <w:jc w:val="left"/>
    </w:pPr>
    <w:rPr>
      <w:rFonts w:ascii="宋体" w:hAnsi="宋体" w:cs="宋体"/>
      <w:color w:val="000000"/>
      <w:kern w:val="0"/>
    </w:rPr>
  </w:style>
  <w:style w:type="paragraph" w:customStyle="1" w:styleId="font7">
    <w:name w:val="font7"/>
    <w:basedOn w:val="a7"/>
    <w:qFormat/>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7"/>
    <w:qFormat/>
    <w:pPr>
      <w:widowControl/>
      <w:spacing w:before="100" w:beforeAutospacing="1" w:after="100" w:afterAutospacing="1"/>
      <w:jc w:val="left"/>
    </w:pPr>
    <w:rPr>
      <w:color w:val="000000"/>
      <w:kern w:val="0"/>
    </w:rPr>
  </w:style>
  <w:style w:type="paragraph" w:customStyle="1" w:styleId="xl74">
    <w:name w:val="xl74"/>
    <w:basedOn w:val="a7"/>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5">
    <w:name w:val="xl75"/>
    <w:basedOn w:val="a7"/>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6">
    <w:name w:val="xl76"/>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rPr>
  </w:style>
  <w:style w:type="paragraph" w:customStyle="1" w:styleId="xl77">
    <w:name w:val="xl7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rPr>
  </w:style>
  <w:style w:type="paragraph" w:customStyle="1" w:styleId="xl78">
    <w:name w:val="xl78"/>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xl79">
    <w:name w:val="xl79"/>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rPr>
  </w:style>
  <w:style w:type="paragraph" w:customStyle="1" w:styleId="xl80">
    <w:name w:val="xl80"/>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rPr>
  </w:style>
  <w:style w:type="paragraph" w:customStyle="1" w:styleId="xl81">
    <w:name w:val="xl81"/>
    <w:basedOn w:val="a7"/>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rPr>
  </w:style>
  <w:style w:type="paragraph" w:customStyle="1" w:styleId="xl82">
    <w:name w:val="xl82"/>
    <w:basedOn w:val="a7"/>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rPr>
  </w:style>
  <w:style w:type="paragraph" w:customStyle="1" w:styleId="xl83">
    <w:name w:val="xl83"/>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rPr>
  </w:style>
  <w:style w:type="paragraph" w:customStyle="1" w:styleId="xl84">
    <w:name w:val="xl84"/>
    <w:basedOn w:val="a7"/>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85">
    <w:name w:val="xl85"/>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rPr>
  </w:style>
  <w:style w:type="paragraph" w:customStyle="1" w:styleId="afffffffffffe">
    <w:name w:val="表格居中"/>
    <w:basedOn w:val="a7"/>
    <w:link w:val="Charff2"/>
    <w:qFormat/>
    <w:pPr>
      <w:jc w:val="center"/>
    </w:pPr>
    <w:rPr>
      <w:rFonts w:ascii="Arial" w:hAnsi="Arial"/>
      <w:szCs w:val="20"/>
    </w:rPr>
  </w:style>
  <w:style w:type="character" w:customStyle="1" w:styleId="Charff2">
    <w:name w:val="表格居中 Char"/>
    <w:link w:val="afffffffffffe"/>
    <w:qFormat/>
    <w:rPr>
      <w:rFonts w:ascii="Arial" w:hAnsi="Arial"/>
      <w:kern w:val="2"/>
      <w:sz w:val="21"/>
    </w:rPr>
  </w:style>
  <w:style w:type="paragraph" w:customStyle="1" w:styleId="01">
    <w:name w:val="正文01"/>
    <w:basedOn w:val="a7"/>
    <w:link w:val="01CharChar"/>
    <w:qFormat/>
    <w:pPr>
      <w:spacing w:line="480" w:lineRule="exact"/>
      <w:ind w:firstLineChars="200" w:firstLine="480"/>
    </w:pPr>
    <w:rPr>
      <w:sz w:val="24"/>
    </w:rPr>
  </w:style>
  <w:style w:type="character" w:customStyle="1" w:styleId="01CharChar">
    <w:name w:val="正文01 Char Char"/>
    <w:link w:val="01"/>
    <w:qFormat/>
    <w:rPr>
      <w:kern w:val="2"/>
      <w:sz w:val="24"/>
      <w:szCs w:val="21"/>
    </w:rPr>
  </w:style>
  <w:style w:type="character" w:customStyle="1" w:styleId="ac">
    <w:name w:val="宏文本 字符"/>
    <w:basedOn w:val="a8"/>
    <w:link w:val="ab"/>
    <w:qFormat/>
    <w:rPr>
      <w:rFonts w:ascii="Courier New" w:hAnsi="Courier New" w:cs="Courier New"/>
      <w:kern w:val="2"/>
      <w:sz w:val="24"/>
    </w:rPr>
  </w:style>
  <w:style w:type="character" w:customStyle="1" w:styleId="DefaultChar">
    <w:name w:val="Default Char"/>
    <w:link w:val="Default"/>
    <w:qFormat/>
    <w:rPr>
      <w:rFonts w:ascii="华文中宋" w:hAnsi="华文中宋" w:cs="华文中宋"/>
      <w:color w:val="000000"/>
      <w:sz w:val="24"/>
      <w:szCs w:val="24"/>
    </w:rPr>
  </w:style>
  <w:style w:type="character" w:customStyle="1" w:styleId="11Char">
    <w:name w:val="表格内容11 Char"/>
    <w:link w:val="112"/>
    <w:qFormat/>
    <w:rPr>
      <w:szCs w:val="21"/>
    </w:rPr>
  </w:style>
  <w:style w:type="paragraph" w:customStyle="1" w:styleId="112">
    <w:name w:val="表格内容11"/>
    <w:basedOn w:val="aff8"/>
    <w:link w:val="11Char"/>
    <w:qFormat/>
    <w:rPr>
      <w:rFonts w:ascii="Times New Roman" w:hAnsi="Times New Roman" w:cs="Times New Roman"/>
      <w:kern w:val="0"/>
      <w:sz w:val="20"/>
    </w:rPr>
  </w:style>
  <w:style w:type="character" w:customStyle="1" w:styleId="1f9">
    <w:name w:val="纯文本 字符1"/>
    <w:basedOn w:val="a8"/>
    <w:qFormat/>
    <w:rPr>
      <w:rFonts w:asciiTheme="minorEastAsia" w:eastAsiaTheme="minorEastAsia" w:hAnsi="Courier New" w:cs="Courier New"/>
      <w:kern w:val="2"/>
      <w:sz w:val="21"/>
      <w:szCs w:val="21"/>
    </w:rPr>
  </w:style>
  <w:style w:type="paragraph" w:customStyle="1" w:styleId="affffffffffff">
    <w:name w:val="表体"/>
    <w:basedOn w:val="a7"/>
    <w:link w:val="Charff3"/>
    <w:qFormat/>
    <w:pPr>
      <w:overflowPunct w:val="0"/>
      <w:adjustRightInd w:val="0"/>
      <w:spacing w:line="300" w:lineRule="atLeast"/>
      <w:jc w:val="center"/>
      <w:textAlignment w:val="baseline"/>
    </w:pPr>
    <w:rPr>
      <w:color w:val="000000"/>
      <w:kern w:val="24"/>
      <w:sz w:val="18"/>
      <w:szCs w:val="20"/>
    </w:rPr>
  </w:style>
  <w:style w:type="character" w:customStyle="1" w:styleId="Charff3">
    <w:name w:val="表体 Char"/>
    <w:link w:val="affffffffffff"/>
    <w:qFormat/>
    <w:rPr>
      <w:color w:val="000000"/>
      <w:kern w:val="24"/>
      <w:sz w:val="18"/>
    </w:rPr>
  </w:style>
  <w:style w:type="paragraph" w:customStyle="1" w:styleId="TOC11">
    <w:name w:val="TOC 标题11"/>
    <w:basedOn w:val="1"/>
    <w:next w:val="a7"/>
    <w:uiPriority w:val="99"/>
    <w:unhideWhenUsed/>
    <w:qFormat/>
    <w:pPr>
      <w:keepNext/>
      <w:keepLines/>
      <w:widowControl/>
      <w:numPr>
        <w:numId w:val="0"/>
      </w:numPr>
      <w:adjustRightInd w:val="0"/>
      <w:spacing w:beforeLines="0" w:before="480" w:line="276" w:lineRule="auto"/>
      <w:jc w:val="left"/>
      <w:outlineLvl w:val="9"/>
    </w:pPr>
    <w:rPr>
      <w:rFonts w:ascii="Calibri Light" w:eastAsia="宋体" w:hAnsi="Calibri Light"/>
      <w:bCs/>
      <w:color w:val="2E74B5"/>
      <w:kern w:val="0"/>
      <w:sz w:val="28"/>
      <w:szCs w:val="28"/>
    </w:rPr>
  </w:style>
  <w:style w:type="paragraph" w:customStyle="1" w:styleId="CharCharCharCharCharCharCharCharChar1Char">
    <w:name w:val="Char Char Char Char Char Char Char Char Char1 Char"/>
    <w:basedOn w:val="a7"/>
    <w:qFormat/>
    <w:pPr>
      <w:spacing w:line="360" w:lineRule="auto"/>
      <w:ind w:firstLineChars="200" w:firstLine="200"/>
    </w:pPr>
    <w:rPr>
      <w:rFonts w:hAnsi="宋体" w:cs="宋体"/>
      <w:sz w:val="24"/>
      <w:szCs w:val="24"/>
    </w:rPr>
  </w:style>
  <w:style w:type="paragraph" w:customStyle="1" w:styleId="affffffffffff0">
    <w:name w:val="@表内文字居中"/>
    <w:basedOn w:val="a7"/>
    <w:qFormat/>
    <w:pPr>
      <w:keepLines/>
      <w:pBdr>
        <w:top w:val="none" w:sz="0" w:space="1" w:color="auto"/>
        <w:left w:val="none" w:sz="0" w:space="4" w:color="auto"/>
        <w:bottom w:val="none" w:sz="0" w:space="1" w:color="auto"/>
        <w:right w:val="none" w:sz="0" w:space="4" w:color="auto"/>
      </w:pBdr>
      <w:adjustRightInd w:val="0"/>
      <w:jc w:val="center"/>
    </w:pPr>
  </w:style>
  <w:style w:type="character" w:customStyle="1" w:styleId="26-">
    <w:name w:val="正文26-模板 字符"/>
    <w:link w:val="26-0"/>
    <w:qFormat/>
    <w:rPr>
      <w:snapToGrid w:val="0"/>
    </w:rPr>
  </w:style>
  <w:style w:type="paragraph" w:customStyle="1" w:styleId="26-0">
    <w:name w:val="正文26-模板"/>
    <w:basedOn w:val="a7"/>
    <w:link w:val="26-"/>
    <w:qFormat/>
    <w:pPr>
      <w:adjustRightInd w:val="0"/>
      <w:snapToGrid w:val="0"/>
      <w:spacing w:line="520" w:lineRule="exact"/>
      <w:ind w:firstLineChars="200" w:firstLine="480"/>
      <w:textAlignment w:val="baseline"/>
    </w:pPr>
    <w:rPr>
      <w:snapToGrid w:val="0"/>
      <w:kern w:val="0"/>
      <w:sz w:val="20"/>
      <w:szCs w:val="20"/>
    </w:rPr>
  </w:style>
  <w:style w:type="character" w:customStyle="1" w:styleId="1fa">
    <w:name w:val="宏文本 字符1"/>
    <w:qFormat/>
    <w:rPr>
      <w:rFonts w:ascii="Courier New" w:hAnsi="Courier New"/>
      <w:spacing w:val="5"/>
      <w:kern w:val="2"/>
      <w:sz w:val="24"/>
      <w:szCs w:val="24"/>
    </w:rPr>
  </w:style>
  <w:style w:type="paragraph" w:customStyle="1" w:styleId="221">
    <w:name w:val="样式 正文文字缩进 2 + 首行缩进:  2 字符"/>
    <w:basedOn w:val="25"/>
    <w:qFormat/>
    <w:pPr>
      <w:spacing w:after="0" w:line="480" w:lineRule="atLeast"/>
      <w:ind w:leftChars="0" w:left="0" w:firstLine="200"/>
    </w:pPr>
    <w:rPr>
      <w:szCs w:val="24"/>
    </w:rPr>
  </w:style>
  <w:style w:type="paragraph" w:customStyle="1" w:styleId="CharCharChar2">
    <w:name w:val="正文（首行缩进两字） Char Char Char2"/>
    <w:basedOn w:val="a7"/>
    <w:next w:val="af3"/>
    <w:link w:val="CharChar1Char"/>
    <w:qFormat/>
    <w:pPr>
      <w:spacing w:line="440" w:lineRule="exact"/>
      <w:ind w:firstLineChars="200" w:firstLine="200"/>
    </w:pPr>
    <w:rPr>
      <w:rFonts w:ascii="Arial" w:hAnsi="Arial" w:cs="Arial"/>
      <w:color w:val="000000"/>
      <w:sz w:val="24"/>
      <w:szCs w:val="24"/>
    </w:rPr>
  </w:style>
  <w:style w:type="character" w:customStyle="1" w:styleId="CharChar1Char">
    <w:name w:val="正文（首行缩进两字） Char Char1 Char"/>
    <w:link w:val="CharCharChar2"/>
    <w:qFormat/>
    <w:rPr>
      <w:rFonts w:ascii="Arial" w:hAnsi="Arial" w:cs="Arial"/>
      <w:color w:val="000000"/>
      <w:kern w:val="2"/>
      <w:sz w:val="24"/>
      <w:szCs w:val="24"/>
    </w:rPr>
  </w:style>
  <w:style w:type="paragraph" w:customStyle="1" w:styleId="113">
    <w:name w:val="样式 1正文段落 + 黑色1"/>
    <w:basedOn w:val="a7"/>
    <w:link w:val="11Char0"/>
    <w:qFormat/>
    <w:pPr>
      <w:spacing w:after="160" w:line="540" w:lineRule="exact"/>
      <w:ind w:firstLineChars="200" w:firstLine="200"/>
      <w:jc w:val="left"/>
    </w:pPr>
    <w:rPr>
      <w:rFonts w:ascii="宋体" w:hAnsi="宋体"/>
      <w:snapToGrid w:val="0"/>
      <w:color w:val="000000"/>
      <w:spacing w:val="2"/>
      <w:kern w:val="0"/>
      <w:sz w:val="24"/>
    </w:rPr>
  </w:style>
  <w:style w:type="character" w:customStyle="1" w:styleId="3Char">
    <w:name w:val="样式3 Char"/>
    <w:link w:val="3f3"/>
    <w:qFormat/>
    <w:rPr>
      <w:rFonts w:eastAsia="黑体"/>
      <w:kern w:val="2"/>
      <w:sz w:val="28"/>
      <w:szCs w:val="24"/>
    </w:rPr>
  </w:style>
  <w:style w:type="character" w:customStyle="1" w:styleId="11Char0">
    <w:name w:val="样式 1正文段落 + 黑色1 Char"/>
    <w:link w:val="113"/>
    <w:qFormat/>
    <w:rPr>
      <w:rFonts w:ascii="宋体" w:hAnsi="宋体"/>
      <w:snapToGrid w:val="0"/>
      <w:color w:val="000000"/>
      <w:spacing w:val="2"/>
      <w:sz w:val="24"/>
      <w:szCs w:val="21"/>
    </w:rPr>
  </w:style>
  <w:style w:type="paragraph" w:customStyle="1" w:styleId="affffffffffff1">
    <w:name w:val="我的表格"/>
    <w:basedOn w:val="a7"/>
    <w:link w:val="Charff4"/>
    <w:qFormat/>
    <w:pPr>
      <w:autoSpaceDE w:val="0"/>
      <w:autoSpaceDN w:val="0"/>
      <w:adjustRightInd w:val="0"/>
      <w:spacing w:after="160" w:line="360" w:lineRule="auto"/>
      <w:ind w:firstLine="482"/>
      <w:jc w:val="center"/>
    </w:pPr>
    <w:rPr>
      <w:rFonts w:ascii="宋体"/>
      <w:kern w:val="0"/>
    </w:rPr>
  </w:style>
  <w:style w:type="paragraph" w:customStyle="1" w:styleId="33H3h33rdlevelReHead3WSA033">
    <w:name w:val="样式 标题 3三级标题标题3H3h33rd level第二层条ReHead 3 WSA标题03三级标题 3..."/>
    <w:basedOn w:val="a7"/>
    <w:semiHidden/>
    <w:qFormat/>
    <w:pPr>
      <w:numPr>
        <w:ilvl w:val="2"/>
        <w:numId w:val="13"/>
      </w:numPr>
      <w:tabs>
        <w:tab w:val="left" w:pos="425"/>
      </w:tabs>
      <w:adjustRightInd w:val="0"/>
      <w:snapToGrid w:val="0"/>
      <w:spacing w:after="160" w:line="278" w:lineRule="auto"/>
      <w:ind w:left="0" w:firstLine="0"/>
    </w:pPr>
  </w:style>
  <w:style w:type="character" w:customStyle="1" w:styleId="Charff4">
    <w:name w:val="我的表格 Char"/>
    <w:link w:val="affffffffffff1"/>
    <w:qFormat/>
    <w:locked/>
    <w:rPr>
      <w:rFonts w:ascii="宋体"/>
      <w:sz w:val="21"/>
      <w:szCs w:val="21"/>
    </w:rPr>
  </w:style>
  <w:style w:type="paragraph" w:customStyle="1" w:styleId="xl40">
    <w:name w:val="xl4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hangingChars="200" w:hanging="851"/>
      <w:textAlignment w:val="center"/>
    </w:pPr>
    <w:rPr>
      <w:rFonts w:ascii="宋体" w:hAnsi="宋体"/>
      <w:kern w:val="0"/>
      <w:sz w:val="20"/>
      <w:szCs w:val="20"/>
    </w:rPr>
  </w:style>
  <w:style w:type="paragraph" w:customStyle="1" w:styleId="affffffffffff2">
    <w:name w:val="表内文字"/>
    <w:basedOn w:val="A-"/>
    <w:link w:val="Charff5"/>
    <w:qFormat/>
    <w:rPr>
      <w:color w:val="000000" w:themeColor="text1"/>
    </w:rPr>
  </w:style>
  <w:style w:type="paragraph" w:customStyle="1" w:styleId="affffffffffff3">
    <w:name w:val="_正文格式"/>
    <w:basedOn w:val="a7"/>
    <w:link w:val="Charff6"/>
    <w:qFormat/>
    <w:pPr>
      <w:spacing w:after="160" w:line="500" w:lineRule="exact"/>
      <w:ind w:firstLine="567"/>
      <w:jc w:val="left"/>
    </w:pPr>
    <w:rPr>
      <w:sz w:val="24"/>
    </w:rPr>
  </w:style>
  <w:style w:type="character" w:customStyle="1" w:styleId="3f6">
    <w:name w:val="题注 字符3"/>
    <w:qFormat/>
    <w:rPr>
      <w:rFonts w:ascii="Arial" w:eastAsia="黑体" w:hAnsi="Arial"/>
      <w:kern w:val="2"/>
      <w:sz w:val="26"/>
      <w:szCs w:val="21"/>
    </w:rPr>
  </w:style>
  <w:style w:type="character" w:customStyle="1" w:styleId="Charff6">
    <w:name w:val="_正文格式 Char"/>
    <w:link w:val="affffffffffff3"/>
    <w:qFormat/>
    <w:rPr>
      <w:kern w:val="2"/>
      <w:sz w:val="24"/>
      <w:szCs w:val="21"/>
    </w:rPr>
  </w:style>
  <w:style w:type="character" w:customStyle="1" w:styleId="Charff7">
    <w:name w:val="小标题 Char"/>
    <w:qFormat/>
    <w:rPr>
      <w:rFonts w:ascii="宋体" w:hAnsi="宋体" w:cs="宋体"/>
      <w:kern w:val="2"/>
      <w:sz w:val="24"/>
      <w:shd w:val="clear" w:color="auto" w:fill="FFFFFF"/>
      <w:lang w:val="zh-CN"/>
    </w:rPr>
  </w:style>
  <w:style w:type="paragraph" w:customStyle="1" w:styleId="w">
    <w:name w:val="w三级标题"/>
    <w:basedOn w:val="a7"/>
    <w:next w:val="a7"/>
    <w:link w:val="wChar"/>
    <w:qFormat/>
    <w:pPr>
      <w:widowControl/>
      <w:spacing w:line="360" w:lineRule="auto"/>
      <w:outlineLvl w:val="2"/>
    </w:pPr>
    <w:rPr>
      <w:rFonts w:ascii="黑体" w:eastAsia="黑体" w:hAnsi="黑体" w:cs="宋体"/>
      <w:b/>
      <w:kern w:val="0"/>
      <w:sz w:val="28"/>
    </w:rPr>
  </w:style>
  <w:style w:type="paragraph" w:customStyle="1" w:styleId="w0">
    <w:name w:val="w四级标题"/>
    <w:basedOn w:val="41"/>
    <w:next w:val="a7"/>
    <w:link w:val="wChar0"/>
    <w:qFormat/>
    <w:pPr>
      <w:keepNext/>
      <w:keepLines/>
      <w:widowControl/>
      <w:numPr>
        <w:ilvl w:val="0"/>
        <w:numId w:val="0"/>
      </w:numPr>
      <w:tabs>
        <w:tab w:val="clear" w:pos="864"/>
      </w:tabs>
      <w:adjustRightInd/>
      <w:snapToGrid/>
      <w:spacing w:beforeLines="0" w:before="0" w:afterLines="0" w:after="0"/>
      <w:jc w:val="both"/>
      <w:textAlignment w:val="auto"/>
    </w:pPr>
    <w:rPr>
      <w:rFonts w:ascii="黑体" w:eastAsia="黑体" w:hAnsi="黑体"/>
      <w:color w:val="auto"/>
      <w:sz w:val="24"/>
      <w:lang w:val="en-US"/>
    </w:rPr>
  </w:style>
  <w:style w:type="character" w:customStyle="1" w:styleId="wChar">
    <w:name w:val="w三级标题 Char"/>
    <w:link w:val="w"/>
    <w:qFormat/>
    <w:rPr>
      <w:rFonts w:ascii="黑体" w:eastAsia="黑体" w:hAnsi="黑体" w:cs="宋体"/>
      <w:b/>
      <w:sz w:val="28"/>
      <w:szCs w:val="21"/>
    </w:rPr>
  </w:style>
  <w:style w:type="paragraph" w:customStyle="1" w:styleId="w1">
    <w:name w:val="w五级标题"/>
    <w:basedOn w:val="a7"/>
    <w:qFormat/>
    <w:pPr>
      <w:spacing w:line="360" w:lineRule="auto"/>
    </w:pPr>
    <w:rPr>
      <w:rFonts w:ascii="黑体" w:eastAsia="黑体" w:hAnsi="黑体"/>
      <w:b/>
      <w:kern w:val="0"/>
      <w:sz w:val="24"/>
    </w:rPr>
  </w:style>
  <w:style w:type="paragraph" w:customStyle="1" w:styleId="w2">
    <w:name w:val="w正文"/>
    <w:basedOn w:val="a7"/>
    <w:link w:val="wChar1"/>
    <w:qFormat/>
    <w:pPr>
      <w:overflowPunct w:val="0"/>
      <w:spacing w:line="360" w:lineRule="auto"/>
      <w:ind w:firstLineChars="200" w:firstLine="200"/>
    </w:pPr>
    <w:rPr>
      <w:kern w:val="0"/>
      <w:sz w:val="24"/>
    </w:rPr>
  </w:style>
  <w:style w:type="character" w:customStyle="1" w:styleId="wChar1">
    <w:name w:val="w正文 Char"/>
    <w:link w:val="w2"/>
    <w:qFormat/>
    <w:rPr>
      <w:sz w:val="24"/>
      <w:szCs w:val="21"/>
    </w:rPr>
  </w:style>
  <w:style w:type="paragraph" w:customStyle="1" w:styleId="w3">
    <w:name w:val="w表格文字"/>
    <w:basedOn w:val="a7"/>
    <w:link w:val="wChar2"/>
    <w:qFormat/>
    <w:pPr>
      <w:autoSpaceDE w:val="0"/>
      <w:autoSpaceDN w:val="0"/>
      <w:jc w:val="center"/>
    </w:pPr>
    <w:rPr>
      <w:bCs/>
      <w:snapToGrid w:val="0"/>
      <w:kern w:val="0"/>
      <w:sz w:val="18"/>
      <w:szCs w:val="18"/>
      <w:u w:color="000000"/>
      <w:lang w:bidi="en-US"/>
    </w:rPr>
  </w:style>
  <w:style w:type="character" w:customStyle="1" w:styleId="wChar2">
    <w:name w:val="w表格文字 Char"/>
    <w:link w:val="w3"/>
    <w:qFormat/>
    <w:rPr>
      <w:bCs/>
      <w:snapToGrid w:val="0"/>
      <w:sz w:val="18"/>
      <w:szCs w:val="18"/>
      <w:u w:color="000000"/>
      <w:lang w:bidi="en-US"/>
    </w:rPr>
  </w:style>
  <w:style w:type="paragraph" w:customStyle="1" w:styleId="W4">
    <w:name w:val="W表头图头"/>
    <w:basedOn w:val="a7"/>
    <w:qFormat/>
    <w:pPr>
      <w:widowControl/>
      <w:spacing w:line="360" w:lineRule="auto"/>
      <w:jc w:val="center"/>
    </w:pPr>
    <w:rPr>
      <w:rFonts w:ascii="黑体" w:eastAsia="黑体" w:hAnsi="黑体" w:cs="宋体"/>
      <w:b/>
      <w:kern w:val="0"/>
      <w:sz w:val="24"/>
      <w:szCs w:val="24"/>
    </w:rPr>
  </w:style>
  <w:style w:type="character" w:customStyle="1" w:styleId="affffff0">
    <w:name w:val="列表段落 字符"/>
    <w:link w:val="affffff"/>
    <w:uiPriority w:val="34"/>
    <w:qFormat/>
    <w:rPr>
      <w:kern w:val="2"/>
      <w:sz w:val="24"/>
    </w:rPr>
  </w:style>
  <w:style w:type="table" w:customStyle="1" w:styleId="330">
    <w:name w:val="33"/>
    <w:uiPriority w:val="99"/>
    <w:qFormat/>
    <w:pPr>
      <w:widowControl w:val="0"/>
      <w:autoSpaceDE w:val="0"/>
      <w:autoSpaceDN w:val="0"/>
      <w:adjustRightInd w:val="0"/>
    </w:pPr>
    <w:rPr>
      <w:sz w:val="24"/>
      <w:szCs w:val="24"/>
    </w:rPr>
    <w:tblP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top w:w="0" w:type="dxa"/>
        <w:left w:w="0" w:type="dxa"/>
        <w:bottom w:w="0" w:type="dxa"/>
        <w:right w:w="0" w:type="dxa"/>
      </w:tblCellMar>
    </w:tblPr>
    <w:tcPr>
      <w:vAlign w:val="center"/>
    </w:tcPr>
  </w:style>
  <w:style w:type="paragraph" w:customStyle="1" w:styleId="a2">
    <w:name w:val="巴二级标题"/>
    <w:basedOn w:val="a7"/>
    <w:uiPriority w:val="99"/>
    <w:qFormat/>
    <w:pPr>
      <w:numPr>
        <w:ilvl w:val="1"/>
        <w:numId w:val="14"/>
      </w:numPr>
      <w:spacing w:line="360" w:lineRule="auto"/>
      <w:ind w:left="0" w:firstLine="0"/>
      <w:jc w:val="left"/>
      <w:outlineLvl w:val="1"/>
    </w:pPr>
    <w:rPr>
      <w:rFonts w:eastAsia="黑体"/>
      <w:color w:val="000000"/>
      <w:kern w:val="0"/>
      <w:sz w:val="30"/>
      <w:szCs w:val="30"/>
    </w:rPr>
  </w:style>
  <w:style w:type="paragraph" w:customStyle="1" w:styleId="a3">
    <w:name w:val="巴三级标题"/>
    <w:basedOn w:val="a7"/>
    <w:uiPriority w:val="99"/>
    <w:qFormat/>
    <w:pPr>
      <w:numPr>
        <w:ilvl w:val="2"/>
        <w:numId w:val="14"/>
      </w:numPr>
      <w:spacing w:line="360" w:lineRule="auto"/>
      <w:ind w:left="0" w:firstLine="0"/>
      <w:jc w:val="left"/>
      <w:outlineLvl w:val="2"/>
    </w:pPr>
    <w:rPr>
      <w:rFonts w:eastAsia="黑体"/>
      <w:color w:val="000000"/>
      <w:kern w:val="0"/>
      <w:sz w:val="28"/>
      <w:szCs w:val="30"/>
    </w:rPr>
  </w:style>
  <w:style w:type="paragraph" w:customStyle="1" w:styleId="-">
    <w:name w:val="巴-四级标题"/>
    <w:basedOn w:val="a2"/>
    <w:uiPriority w:val="99"/>
    <w:qFormat/>
    <w:pPr>
      <w:numPr>
        <w:ilvl w:val="3"/>
      </w:numPr>
      <w:ind w:left="0" w:firstLine="0"/>
      <w:outlineLvl w:val="3"/>
    </w:pPr>
    <w:rPr>
      <w:rFonts w:eastAsia="宋体"/>
      <w:b/>
      <w:sz w:val="24"/>
    </w:rPr>
  </w:style>
  <w:style w:type="paragraph" w:customStyle="1" w:styleId="A10">
    <w:name w:val="A1表头"/>
    <w:basedOn w:val="a7"/>
    <w:uiPriority w:val="99"/>
    <w:qFormat/>
    <w:pPr>
      <w:spacing w:line="360" w:lineRule="auto"/>
      <w:jc w:val="center"/>
    </w:pPr>
    <w:rPr>
      <w:rFonts w:ascii="黑体" w:eastAsia="黑体" w:hAnsi="黑体"/>
      <w:b/>
      <w:kern w:val="0"/>
      <w:sz w:val="24"/>
      <w:szCs w:val="24"/>
    </w:rPr>
  </w:style>
  <w:style w:type="paragraph" w:customStyle="1" w:styleId="a1">
    <w:name w:val="投标文件一级标题"/>
    <w:basedOn w:val="1"/>
    <w:qFormat/>
    <w:pPr>
      <w:keepNext/>
      <w:keepLines/>
      <w:pageBreakBefore/>
      <w:numPr>
        <w:numId w:val="14"/>
      </w:numPr>
      <w:tabs>
        <w:tab w:val="left" w:pos="680"/>
      </w:tabs>
      <w:snapToGrid/>
      <w:spacing w:beforeLines="0" w:before="480" w:after="360" w:line="400" w:lineRule="exact"/>
      <w:ind w:right="33" w:firstLine="0"/>
      <w:jc w:val="center"/>
    </w:pPr>
    <w:rPr>
      <w:rFonts w:ascii="Arial" w:eastAsia="黑体" w:hAnsi="Arial"/>
      <w:b/>
      <w:sz w:val="32"/>
    </w:rPr>
  </w:style>
  <w:style w:type="character" w:customStyle="1" w:styleId="wChar0">
    <w:name w:val="w四级标题 Char"/>
    <w:link w:val="w0"/>
    <w:qFormat/>
    <w:rPr>
      <w:rFonts w:ascii="黑体" w:eastAsia="黑体" w:hAnsi="黑体"/>
      <w:b/>
      <w:bCs/>
      <w:kern w:val="2"/>
      <w:sz w:val="24"/>
      <w:szCs w:val="24"/>
    </w:rPr>
  </w:style>
  <w:style w:type="character" w:customStyle="1" w:styleId="NormalChar">
    <w:name w:val="Normal Char"/>
    <w:link w:val="161"/>
    <w:qFormat/>
    <w:rPr>
      <w:rFonts w:ascii="宋体"/>
      <w:sz w:val="24"/>
    </w:rPr>
  </w:style>
  <w:style w:type="paragraph" w:customStyle="1" w:styleId="161">
    <w:name w:val="正文16"/>
    <w:link w:val="NormalChar"/>
    <w:qFormat/>
    <w:pPr>
      <w:widowControl w:val="0"/>
      <w:adjustRightInd w:val="0"/>
      <w:spacing w:line="315" w:lineRule="atLeast"/>
      <w:textAlignment w:val="baseline"/>
    </w:pPr>
    <w:rPr>
      <w:rFonts w:ascii="宋体"/>
      <w:sz w:val="24"/>
    </w:rPr>
  </w:style>
  <w:style w:type="paragraph" w:customStyle="1" w:styleId="Charff8">
    <w:name w:val="可研正文 Char"/>
    <w:basedOn w:val="a7"/>
    <w:link w:val="CharCharb"/>
    <w:qFormat/>
    <w:pPr>
      <w:spacing w:line="500" w:lineRule="exact"/>
      <w:ind w:firstLineChars="201" w:firstLine="563"/>
      <w:jc w:val="left"/>
    </w:pPr>
    <w:rPr>
      <w:rFonts w:ascii="宋体" w:hAnsi="宋体" w:cs="宋体"/>
      <w:snapToGrid w:val="0"/>
      <w:color w:val="000000"/>
      <w:sz w:val="28"/>
      <w:szCs w:val="28"/>
    </w:rPr>
  </w:style>
  <w:style w:type="character" w:customStyle="1" w:styleId="CharCharb">
    <w:name w:val="可研正文 Char Char"/>
    <w:basedOn w:val="a8"/>
    <w:link w:val="Charff8"/>
    <w:qFormat/>
    <w:rPr>
      <w:rFonts w:ascii="宋体" w:hAnsi="宋体" w:cs="宋体"/>
      <w:snapToGrid w:val="0"/>
      <w:color w:val="000000"/>
      <w:kern w:val="2"/>
      <w:sz w:val="28"/>
      <w:szCs w:val="28"/>
    </w:rPr>
  </w:style>
  <w:style w:type="paragraph" w:customStyle="1" w:styleId="affffffffffff4">
    <w:name w:val="图表后空行"/>
    <w:next w:val="a7"/>
    <w:qFormat/>
    <w:pPr>
      <w:ind w:firstLine="200"/>
    </w:pPr>
    <w:rPr>
      <w:rFonts w:cstheme="minorBidi"/>
      <w:kern w:val="2"/>
      <w:sz w:val="18"/>
      <w:szCs w:val="24"/>
    </w:rPr>
  </w:style>
  <w:style w:type="character" w:customStyle="1" w:styleId="1fb">
    <w:name w:val="未处理的提及1"/>
    <w:basedOn w:val="a8"/>
    <w:uiPriority w:val="99"/>
    <w:unhideWhenUsed/>
    <w:qFormat/>
    <w:rPr>
      <w:color w:val="605E5C"/>
      <w:shd w:val="clear" w:color="auto" w:fill="E1DFDD"/>
    </w:rPr>
  </w:style>
  <w:style w:type="character" w:customStyle="1" w:styleId="HTML0">
    <w:name w:val="HTML 地址 字符"/>
    <w:basedOn w:val="a8"/>
    <w:link w:val="HTML"/>
    <w:qFormat/>
    <w:rPr>
      <w:rFonts w:ascii="仿宋_GB2312" w:eastAsia="仿宋_GB2312"/>
      <w:i/>
      <w:iCs/>
      <w:kern w:val="2"/>
      <w:sz w:val="28"/>
      <w:szCs w:val="21"/>
    </w:rPr>
  </w:style>
  <w:style w:type="character" w:customStyle="1" w:styleId="affd">
    <w:name w:val="尾注文本 字符"/>
    <w:basedOn w:val="a8"/>
    <w:link w:val="affc"/>
    <w:uiPriority w:val="99"/>
    <w:qFormat/>
    <w:rPr>
      <w:kern w:val="2"/>
      <w:sz w:val="18"/>
      <w:szCs w:val="18"/>
    </w:rPr>
  </w:style>
  <w:style w:type="character" w:customStyle="1" w:styleId="HTML2">
    <w:name w:val="HTML 预设格式 字符"/>
    <w:basedOn w:val="a8"/>
    <w:link w:val="HTML1"/>
    <w:uiPriority w:val="99"/>
    <w:qFormat/>
    <w:rPr>
      <w:rFonts w:ascii="Courier New" w:hAnsi="Courier New"/>
      <w:kern w:val="2"/>
    </w:rPr>
  </w:style>
  <w:style w:type="paragraph" w:customStyle="1" w:styleId="affffffffffff5">
    <w:name w:val="正文！！！！！"/>
    <w:basedOn w:val="a7"/>
    <w:link w:val="Charff9"/>
    <w:qFormat/>
    <w:pPr>
      <w:widowControl/>
      <w:spacing w:after="160" w:line="500" w:lineRule="exact"/>
      <w:ind w:firstLineChars="200" w:firstLine="504"/>
      <w:jc w:val="left"/>
    </w:pPr>
    <w:rPr>
      <w:rFonts w:ascii="宋体" w:hAnsi="宋体"/>
      <w:spacing w:val="6"/>
      <w:kern w:val="0"/>
      <w:sz w:val="24"/>
    </w:rPr>
  </w:style>
  <w:style w:type="paragraph" w:customStyle="1" w:styleId="affffffffffff6">
    <w:name w:val="表头！！！！！！！！！！"/>
    <w:basedOn w:val="25"/>
    <w:link w:val="Charffa"/>
    <w:qFormat/>
    <w:pPr>
      <w:spacing w:after="0" w:line="500" w:lineRule="exact"/>
      <w:ind w:leftChars="0" w:left="0"/>
    </w:pPr>
    <w:rPr>
      <w:rFonts w:ascii="楷体_GB2312" w:eastAsia="楷体_GB2312"/>
      <w:b/>
      <w:kern w:val="0"/>
      <w:szCs w:val="21"/>
    </w:rPr>
  </w:style>
  <w:style w:type="paragraph" w:customStyle="1" w:styleId="affffffffffff7">
    <w:name w:val="插图下标"/>
    <w:next w:val="a7"/>
    <w:link w:val="Charffb"/>
    <w:qFormat/>
    <w:pPr>
      <w:spacing w:after="160" w:line="278" w:lineRule="auto"/>
      <w:jc w:val="center"/>
    </w:pPr>
    <w:rPr>
      <w:rFonts w:eastAsia="黑体"/>
      <w:kern w:val="2"/>
      <w:sz w:val="24"/>
      <w:szCs w:val="24"/>
    </w:rPr>
  </w:style>
  <w:style w:type="paragraph" w:customStyle="1" w:styleId="a-4">
    <w:name w:val="a-图件"/>
    <w:link w:val="a-Char4"/>
    <w:qFormat/>
    <w:pPr>
      <w:adjustRightInd w:val="0"/>
      <w:snapToGrid w:val="0"/>
      <w:spacing w:after="160" w:line="360" w:lineRule="auto"/>
      <w:jc w:val="center"/>
    </w:pPr>
    <w:rPr>
      <w:b/>
      <w:color w:val="000000"/>
      <w:kern w:val="2"/>
      <w:sz w:val="24"/>
      <w:szCs w:val="21"/>
    </w:rPr>
  </w:style>
  <w:style w:type="paragraph" w:customStyle="1" w:styleId="affffffffffff8">
    <w:name w:val="表头格式"/>
    <w:basedOn w:val="a7"/>
    <w:link w:val="Charffc"/>
    <w:qFormat/>
    <w:pPr>
      <w:spacing w:after="160" w:line="360" w:lineRule="auto"/>
      <w:jc w:val="center"/>
    </w:pPr>
    <w:rPr>
      <w:rFonts w:ascii="黑体" w:eastAsia="黑体" w:hAnsi="宋体"/>
      <w:b/>
      <w:kern w:val="0"/>
      <w:sz w:val="24"/>
    </w:rPr>
  </w:style>
  <w:style w:type="paragraph" w:customStyle="1" w:styleId="affffffffffff9">
    <w:name w:val="环评正文"/>
    <w:basedOn w:val="a7"/>
    <w:link w:val="Charffd"/>
    <w:qFormat/>
    <w:pPr>
      <w:spacing w:after="160" w:line="360" w:lineRule="auto"/>
      <w:ind w:firstLineChars="200" w:firstLine="200"/>
    </w:pPr>
    <w:rPr>
      <w:sz w:val="24"/>
    </w:rPr>
  </w:style>
  <w:style w:type="paragraph" w:customStyle="1" w:styleId="affffffffffffa">
    <w:name w:val="报告正文"/>
    <w:basedOn w:val="a7"/>
    <w:link w:val="Charffe"/>
    <w:uiPriority w:val="99"/>
    <w:qFormat/>
    <w:pPr>
      <w:spacing w:after="160" w:line="360" w:lineRule="auto"/>
      <w:ind w:firstLineChars="200" w:firstLine="480"/>
    </w:pPr>
    <w:rPr>
      <w:kern w:val="0"/>
      <w:sz w:val="24"/>
      <w:szCs w:val="20"/>
    </w:rPr>
  </w:style>
  <w:style w:type="paragraph" w:customStyle="1" w:styleId="affffffffffffb">
    <w:name w:val="表格文字（居中）"/>
    <w:basedOn w:val="a7"/>
    <w:link w:val="CharCharc"/>
    <w:qFormat/>
    <w:pPr>
      <w:framePr w:hSpace="180" w:wrap="around" w:vAnchor="text" w:hAnchor="text" w:xAlign="center" w:y="1"/>
      <w:widowControl/>
      <w:adjustRightInd w:val="0"/>
      <w:snapToGrid w:val="0"/>
      <w:spacing w:after="160" w:line="278" w:lineRule="auto"/>
      <w:jc w:val="center"/>
    </w:pPr>
    <w:rPr>
      <w:bCs/>
      <w:kern w:val="0"/>
      <w:sz w:val="18"/>
      <w:szCs w:val="20"/>
    </w:rPr>
  </w:style>
  <w:style w:type="paragraph" w:customStyle="1" w:styleId="5">
    <w:name w:val="5级正文"/>
    <w:basedOn w:val="aff2"/>
    <w:next w:val="aff2"/>
    <w:link w:val="5Char2"/>
    <w:qFormat/>
    <w:pPr>
      <w:numPr>
        <w:numId w:val="15"/>
      </w:numPr>
      <w:tabs>
        <w:tab w:val="left" w:pos="420"/>
      </w:tabs>
      <w:spacing w:before="0" w:line="360" w:lineRule="auto"/>
      <w:ind w:left="0" w:firstLineChars="200" w:firstLine="200"/>
      <w:jc w:val="both"/>
      <w:outlineLvl w:val="4"/>
    </w:pPr>
    <w:rPr>
      <w:rFonts w:ascii="Times New Roman" w:hAnsi="Times New Roman"/>
      <w:b/>
      <w:kern w:val="2"/>
      <w:szCs w:val="21"/>
      <w:lang w:eastAsia="zh-CN"/>
    </w:rPr>
  </w:style>
  <w:style w:type="paragraph" w:customStyle="1" w:styleId="5f0">
    <w:name w:val="编号5"/>
    <w:link w:val="5Char3"/>
    <w:qFormat/>
    <w:pPr>
      <w:spacing w:after="160" w:line="360" w:lineRule="auto"/>
      <w:ind w:left="900"/>
      <w:jc w:val="both"/>
    </w:pPr>
    <w:rPr>
      <w:rFonts w:ascii="宋体" w:hAnsi="宋体"/>
      <w:b/>
      <w:bCs/>
      <w:szCs w:val="28"/>
    </w:rPr>
  </w:style>
  <w:style w:type="paragraph" w:customStyle="1" w:styleId="121">
    <w:name w:val="样式12"/>
    <w:basedOn w:val="41"/>
    <w:link w:val="12CharChar"/>
    <w:qFormat/>
    <w:pPr>
      <w:keepNext/>
      <w:keepLines/>
      <w:numPr>
        <w:ilvl w:val="0"/>
        <w:numId w:val="0"/>
      </w:numPr>
      <w:tabs>
        <w:tab w:val="clear" w:pos="864"/>
      </w:tabs>
      <w:spacing w:beforeLines="0" w:before="0" w:afterLines="0" w:after="50" w:line="400" w:lineRule="atLeast"/>
      <w:ind w:firstLineChars="200" w:firstLine="480"/>
      <w:textAlignment w:val="auto"/>
    </w:pPr>
    <w:rPr>
      <w:rFonts w:eastAsia="宋体"/>
      <w:b w:val="0"/>
      <w:bCs w:val="0"/>
      <w:color w:val="auto"/>
      <w:kern w:val="0"/>
      <w:sz w:val="24"/>
      <w:szCs w:val="20"/>
      <w:lang w:val="en-US"/>
    </w:rPr>
  </w:style>
  <w:style w:type="paragraph" w:customStyle="1" w:styleId="-2">
    <w:name w:val="正文首行缩进-修改"/>
    <w:basedOn w:val="a7"/>
    <w:link w:val="-Char0"/>
    <w:qFormat/>
    <w:pPr>
      <w:spacing w:after="160" w:line="360" w:lineRule="auto"/>
      <w:ind w:firstLineChars="200" w:firstLine="480"/>
    </w:pPr>
    <w:rPr>
      <w:sz w:val="24"/>
    </w:rPr>
  </w:style>
  <w:style w:type="paragraph" w:customStyle="1" w:styleId="2ff">
    <w:name w:val="2标题"/>
    <w:basedOn w:val="21"/>
    <w:link w:val="2Char3"/>
    <w:uiPriority w:val="99"/>
    <w:qFormat/>
    <w:pPr>
      <w:keepNext/>
      <w:keepLines/>
      <w:numPr>
        <w:ilvl w:val="0"/>
        <w:numId w:val="0"/>
      </w:numPr>
      <w:spacing w:beforeLines="150" w:before="468" w:after="312" w:line="480" w:lineRule="auto"/>
      <w:ind w:firstLineChars="200" w:firstLine="482"/>
    </w:pPr>
    <w:rPr>
      <w:rFonts w:eastAsia="宋体"/>
      <w:bCs w:val="0"/>
      <w:smallCaps w:val="0"/>
      <w:color w:val="auto"/>
      <w:sz w:val="24"/>
      <w:szCs w:val="20"/>
    </w:rPr>
  </w:style>
  <w:style w:type="paragraph" w:customStyle="1" w:styleId="affffffffffffc">
    <w:name w:val="金光华文本正文"/>
    <w:basedOn w:val="a7"/>
    <w:link w:val="Charfff"/>
    <w:qFormat/>
    <w:pPr>
      <w:widowControl/>
      <w:tabs>
        <w:tab w:val="left" w:pos="6840"/>
      </w:tabs>
      <w:spacing w:after="160" w:line="360" w:lineRule="auto"/>
      <w:ind w:firstLine="510"/>
      <w:jc w:val="left"/>
    </w:pPr>
    <w:rPr>
      <w:rFonts w:ascii="宋体" w:hAnsi="宋体"/>
      <w:kern w:val="0"/>
      <w:sz w:val="24"/>
    </w:rPr>
  </w:style>
  <w:style w:type="paragraph" w:customStyle="1" w:styleId="CharChard">
    <w:name w:val="注释 Char Char"/>
    <w:next w:val="a7"/>
    <w:link w:val="CharCharChar3"/>
    <w:qFormat/>
    <w:pPr>
      <w:spacing w:after="160" w:line="278" w:lineRule="auto"/>
      <w:jc w:val="center"/>
    </w:pPr>
    <w:rPr>
      <w:bCs/>
      <w:kern w:val="44"/>
      <w:sz w:val="18"/>
      <w:szCs w:val="18"/>
    </w:rPr>
  </w:style>
  <w:style w:type="paragraph" w:customStyle="1" w:styleId="666">
    <w:name w:val="666"/>
    <w:basedOn w:val="a7"/>
    <w:link w:val="666Char"/>
    <w:qFormat/>
    <w:pPr>
      <w:widowControl/>
      <w:spacing w:after="160" w:line="400" w:lineRule="exact"/>
      <w:ind w:firstLine="482"/>
      <w:jc w:val="center"/>
    </w:pPr>
    <w:rPr>
      <w:rFonts w:eastAsia="黑体" w:hAnsi="宋体"/>
      <w:kern w:val="0"/>
      <w:sz w:val="24"/>
      <w:szCs w:val="18"/>
    </w:rPr>
  </w:style>
  <w:style w:type="paragraph" w:customStyle="1" w:styleId="affffffffffffd">
    <w:name w:val="表格黑体"/>
    <w:basedOn w:val="a7"/>
    <w:link w:val="Charfff0"/>
    <w:qFormat/>
    <w:pPr>
      <w:spacing w:after="160" w:line="360" w:lineRule="auto"/>
      <w:jc w:val="center"/>
    </w:pPr>
    <w:rPr>
      <w:rFonts w:ascii="黑体" w:eastAsia="黑体" w:hAnsi="黑体"/>
      <w:b/>
      <w:kern w:val="0"/>
      <w:sz w:val="24"/>
    </w:rPr>
  </w:style>
  <w:style w:type="paragraph" w:customStyle="1" w:styleId="affffffffffffe">
    <w:name w:val="注释"/>
    <w:basedOn w:val="a7"/>
    <w:link w:val="Char1b"/>
    <w:qFormat/>
    <w:pPr>
      <w:spacing w:after="160" w:line="360" w:lineRule="auto"/>
      <w:ind w:firstLine="482"/>
      <w:jc w:val="center"/>
    </w:pPr>
    <w:rPr>
      <w:sz w:val="15"/>
    </w:rPr>
  </w:style>
  <w:style w:type="paragraph" w:customStyle="1" w:styleId="WY">
    <w:name w:val="WY表头"/>
    <w:basedOn w:val="a7"/>
    <w:link w:val="WYChar"/>
    <w:qFormat/>
    <w:pPr>
      <w:widowControl/>
      <w:spacing w:after="160" w:line="278" w:lineRule="auto"/>
      <w:contextualSpacing/>
      <w:jc w:val="center"/>
    </w:pPr>
    <w:rPr>
      <w:rFonts w:ascii="宋体" w:eastAsia="Times New Roman" w:hAnsi="宋体"/>
      <w:b/>
      <w:kern w:val="0"/>
      <w:sz w:val="24"/>
    </w:rPr>
  </w:style>
  <w:style w:type="paragraph" w:customStyle="1" w:styleId="4f0">
    <w:name w:val="何标题4"/>
    <w:link w:val="4Char0"/>
    <w:qFormat/>
    <w:pPr>
      <w:spacing w:after="160" w:line="360" w:lineRule="auto"/>
    </w:pPr>
    <w:rPr>
      <w:rFonts w:ascii="Batang" w:hAnsi="Batang"/>
      <w:bCs/>
      <w:sz w:val="28"/>
      <w:szCs w:val="28"/>
    </w:rPr>
  </w:style>
  <w:style w:type="paragraph" w:customStyle="1" w:styleId="66">
    <w:name w:val="正文文本 (6)"/>
    <w:basedOn w:val="a7"/>
    <w:qFormat/>
    <w:pPr>
      <w:shd w:val="clear" w:color="auto" w:fill="FFFFFF"/>
      <w:spacing w:before="840" w:after="160" w:line="350" w:lineRule="exact"/>
      <w:jc w:val="distribute"/>
    </w:pPr>
    <w:rPr>
      <w:rFonts w:ascii="MingLiU" w:eastAsia="MingLiU" w:hAnsi="MingLiU"/>
      <w:kern w:val="0"/>
      <w:sz w:val="20"/>
      <w:szCs w:val="20"/>
    </w:rPr>
  </w:style>
  <w:style w:type="paragraph" w:customStyle="1" w:styleId="biao">
    <w:name w:val="biao"/>
    <w:basedOn w:val="a7"/>
    <w:link w:val="biaoChar"/>
    <w:qFormat/>
    <w:pPr>
      <w:tabs>
        <w:tab w:val="left" w:pos="2340"/>
      </w:tabs>
      <w:autoSpaceDE w:val="0"/>
      <w:autoSpaceDN w:val="0"/>
      <w:adjustRightInd w:val="0"/>
      <w:spacing w:after="160" w:line="240" w:lineRule="atLeast"/>
      <w:jc w:val="center"/>
    </w:pPr>
    <w:rPr>
      <w:rFonts w:ascii="黑体" w:eastAsia="黑体" w:hAnsi="Tms Rmn"/>
      <w:kern w:val="0"/>
      <w:sz w:val="30"/>
      <w:szCs w:val="20"/>
    </w:rPr>
  </w:style>
  <w:style w:type="paragraph" w:customStyle="1" w:styleId="a-5">
    <w:name w:val="a-表内"/>
    <w:link w:val="a-Char5"/>
    <w:qFormat/>
    <w:pPr>
      <w:adjustRightInd w:val="0"/>
      <w:snapToGrid w:val="0"/>
      <w:spacing w:after="160" w:line="0" w:lineRule="atLeast"/>
      <w:jc w:val="center"/>
    </w:pPr>
    <w:rPr>
      <w:color w:val="000000"/>
      <w:kern w:val="2"/>
      <w:sz w:val="21"/>
      <w:szCs w:val="21"/>
    </w:rPr>
  </w:style>
  <w:style w:type="paragraph" w:customStyle="1" w:styleId="S">
    <w:name w:val="图号S"/>
    <w:basedOn w:val="52"/>
    <w:link w:val="SChar"/>
    <w:qFormat/>
    <w:pPr>
      <w:tabs>
        <w:tab w:val="left" w:pos="808"/>
        <w:tab w:val="left" w:pos="1008"/>
      </w:tabs>
      <w:spacing w:before="0" w:after="0" w:line="240" w:lineRule="auto"/>
      <w:ind w:left="1008" w:firstLineChars="200" w:hanging="1008"/>
      <w:jc w:val="center"/>
    </w:pPr>
    <w:rPr>
      <w:rFonts w:eastAsia="仿宋_GB2312"/>
      <w:sz w:val="24"/>
      <w:lang w:val="en-US"/>
    </w:rPr>
  </w:style>
  <w:style w:type="paragraph" w:customStyle="1" w:styleId="S0">
    <w:name w:val="正文段落S"/>
    <w:basedOn w:val="a7"/>
    <w:qFormat/>
    <w:pPr>
      <w:spacing w:after="160" w:line="360" w:lineRule="auto"/>
      <w:ind w:firstLineChars="200" w:firstLine="420"/>
    </w:pPr>
    <w:rPr>
      <w:rFonts w:eastAsia="仿宋_GB2312"/>
      <w:snapToGrid w:val="0"/>
      <w:kern w:val="0"/>
      <w:sz w:val="24"/>
      <w:szCs w:val="20"/>
    </w:rPr>
  </w:style>
  <w:style w:type="paragraph" w:customStyle="1" w:styleId="07720">
    <w:name w:val="样式 首行缩进:  0.77 厘米 行距: 固定值 20 磅"/>
    <w:basedOn w:val="a7"/>
    <w:link w:val="07720Char"/>
    <w:qFormat/>
    <w:pPr>
      <w:spacing w:after="160" w:line="360" w:lineRule="auto"/>
      <w:ind w:firstLine="435"/>
    </w:pPr>
    <w:rPr>
      <w:sz w:val="24"/>
      <w:szCs w:val="20"/>
    </w:rPr>
  </w:style>
  <w:style w:type="paragraph" w:customStyle="1" w:styleId="afffffffffffff">
    <w:name w:val="表－居中列"/>
    <w:link w:val="Charfff1"/>
    <w:qFormat/>
    <w:pPr>
      <w:spacing w:after="160" w:line="278" w:lineRule="auto"/>
      <w:jc w:val="center"/>
    </w:pPr>
  </w:style>
  <w:style w:type="paragraph" w:customStyle="1" w:styleId="afffffffffffff0">
    <w:name w:val="表－左对齐"/>
    <w:basedOn w:val="a7"/>
    <w:link w:val="Charfff2"/>
    <w:uiPriority w:val="99"/>
    <w:qFormat/>
    <w:pPr>
      <w:suppressLineNumbers/>
      <w:suppressAutoHyphens/>
      <w:snapToGrid w:val="0"/>
      <w:spacing w:before="60" w:after="60" w:line="278" w:lineRule="auto"/>
      <w:jc w:val="left"/>
    </w:pPr>
    <w:rPr>
      <w:color w:val="000000"/>
      <w:kern w:val="0"/>
      <w:sz w:val="20"/>
    </w:rPr>
  </w:style>
  <w:style w:type="paragraph" w:customStyle="1" w:styleId="afffffffffffff1">
    <w:name w:val="新正文样式"/>
    <w:basedOn w:val="a7"/>
    <w:link w:val="Charfff3"/>
    <w:qFormat/>
    <w:pPr>
      <w:tabs>
        <w:tab w:val="left" w:pos="567"/>
      </w:tabs>
      <w:spacing w:after="160" w:line="360" w:lineRule="auto"/>
      <w:ind w:firstLine="567"/>
    </w:pPr>
    <w:rPr>
      <w:spacing w:val="20"/>
      <w:kern w:val="0"/>
      <w:sz w:val="24"/>
      <w:szCs w:val="20"/>
    </w:rPr>
  </w:style>
  <w:style w:type="paragraph" w:customStyle="1" w:styleId="76">
    <w:name w:val="7表格(治)"/>
    <w:link w:val="7Char0"/>
    <w:qFormat/>
    <w:pPr>
      <w:spacing w:after="160" w:line="278" w:lineRule="auto"/>
      <w:jc w:val="center"/>
    </w:pPr>
    <w:rPr>
      <w:rFonts w:ascii="宋体" w:hAnsi="宋体"/>
      <w:color w:val="0000FF"/>
      <w:sz w:val="21"/>
    </w:rPr>
  </w:style>
  <w:style w:type="paragraph" w:customStyle="1" w:styleId="afffffffffffff2">
    <w:name w:val="样式 小四"/>
    <w:basedOn w:val="a7"/>
    <w:link w:val="Charfff4"/>
    <w:qFormat/>
    <w:pPr>
      <w:spacing w:after="160" w:line="360" w:lineRule="auto"/>
      <w:ind w:firstLineChars="200" w:firstLine="200"/>
    </w:pPr>
    <w:rPr>
      <w:spacing w:val="8"/>
      <w:sz w:val="24"/>
    </w:rPr>
  </w:style>
  <w:style w:type="paragraph" w:customStyle="1" w:styleId="A--0">
    <w:name w:val="A-题注-表"/>
    <w:basedOn w:val="af5"/>
    <w:link w:val="A--Char0"/>
    <w:qFormat/>
    <w:pPr>
      <w:snapToGrid w:val="0"/>
      <w:spacing w:beforeLines="50" w:before="50" w:after="160" w:line="360" w:lineRule="auto"/>
      <w:jc w:val="center"/>
    </w:pPr>
    <w:rPr>
      <w:rFonts w:ascii="Times New Roman" w:eastAsia="宋体" w:hAnsi="Times New Roman"/>
      <w:b/>
      <w:kern w:val="0"/>
    </w:rPr>
  </w:style>
  <w:style w:type="paragraph" w:customStyle="1" w:styleId="Arial">
    <w:name w:val="正文 + Arial"/>
    <w:basedOn w:val="a7"/>
    <w:link w:val="GB2312Char"/>
    <w:qFormat/>
    <w:pPr>
      <w:snapToGrid w:val="0"/>
      <w:spacing w:after="160" w:line="360" w:lineRule="auto"/>
      <w:ind w:right="-21" w:firstLine="600"/>
    </w:pPr>
    <w:rPr>
      <w:rFonts w:ascii="Arial" w:hAnsi="Arial"/>
      <w:spacing w:val="20"/>
      <w:kern w:val="0"/>
      <w:sz w:val="24"/>
      <w:szCs w:val="20"/>
    </w:rPr>
  </w:style>
  <w:style w:type="paragraph" w:customStyle="1" w:styleId="3CharChar">
    <w:name w:val="样式 标题 3 + 宋体 Char Char"/>
    <w:basedOn w:val="31"/>
    <w:link w:val="3CharCharChar"/>
    <w:qFormat/>
    <w:pPr>
      <w:keepNext/>
      <w:keepLines/>
      <w:numPr>
        <w:ilvl w:val="0"/>
        <w:numId w:val="0"/>
      </w:numPr>
      <w:tabs>
        <w:tab w:val="left" w:pos="454"/>
      </w:tabs>
      <w:adjustRightInd/>
      <w:snapToGrid/>
      <w:spacing w:beforeLines="0" w:before="200" w:afterLines="0" w:after="0" w:line="420" w:lineRule="auto"/>
      <w:jc w:val="both"/>
      <w:textAlignment w:val="auto"/>
    </w:pPr>
    <w:rPr>
      <w:rFonts w:eastAsia="宋体"/>
      <w:color w:val="auto"/>
      <w:kern w:val="0"/>
      <w:sz w:val="32"/>
      <w:szCs w:val="32"/>
      <w:lang w:val="en-US"/>
    </w:rPr>
  </w:style>
  <w:style w:type="paragraph" w:customStyle="1" w:styleId="afffffffffffff3">
    <w:name w:val="正文 宋体 小四"/>
    <w:basedOn w:val="a7"/>
    <w:link w:val="Charfff5"/>
    <w:qFormat/>
    <w:pPr>
      <w:spacing w:after="160" w:line="360" w:lineRule="auto"/>
      <w:ind w:firstLine="480"/>
    </w:pPr>
    <w:rPr>
      <w:rFonts w:ascii="宋体" w:hAnsi="宋体"/>
      <w:sz w:val="24"/>
      <w:szCs w:val="20"/>
    </w:rPr>
  </w:style>
  <w:style w:type="paragraph" w:customStyle="1" w:styleId="3CharChar0">
    <w:name w:val="样式 标题 3Char Char + 宋体"/>
    <w:basedOn w:val="31"/>
    <w:link w:val="3CharCharChar0"/>
    <w:semiHidden/>
    <w:qFormat/>
    <w:pPr>
      <w:keepNext/>
      <w:keepLines/>
      <w:numPr>
        <w:ilvl w:val="0"/>
        <w:numId w:val="0"/>
      </w:numPr>
      <w:adjustRightInd/>
      <w:snapToGrid/>
      <w:spacing w:beforeLines="0" w:before="100" w:afterLines="0" w:after="100" w:line="415" w:lineRule="auto"/>
      <w:jc w:val="both"/>
      <w:textAlignment w:val="auto"/>
    </w:pPr>
    <w:rPr>
      <w:rFonts w:ascii="宋体" w:eastAsia="宋体" w:hAnsi="宋体"/>
      <w:color w:val="auto"/>
      <w:sz w:val="24"/>
      <w:szCs w:val="32"/>
      <w:lang w:val="en-US"/>
    </w:rPr>
  </w:style>
  <w:style w:type="paragraph" w:customStyle="1" w:styleId="z-1">
    <w:name w:val="z-窗体顶端1"/>
    <w:basedOn w:val="a7"/>
    <w:link w:val="z-Char"/>
    <w:qFormat/>
    <w:pPr>
      <w:widowControl/>
      <w:spacing w:after="200" w:line="276" w:lineRule="auto"/>
      <w:ind w:firstLine="420"/>
      <w:jc w:val="left"/>
    </w:pPr>
    <w:rPr>
      <w:kern w:val="0"/>
      <w:sz w:val="22"/>
      <w:szCs w:val="22"/>
      <w:lang w:eastAsia="en-US" w:bidi="en-US"/>
    </w:rPr>
  </w:style>
  <w:style w:type="paragraph" w:customStyle="1" w:styleId="afffffffffffff4">
    <w:name w:val="样式 样式 报告正文 + 宋体 五号 黑色 + 五号"/>
    <w:basedOn w:val="a7"/>
    <w:link w:val="Charfff6"/>
    <w:qFormat/>
    <w:pPr>
      <w:adjustRightInd w:val="0"/>
      <w:snapToGrid w:val="0"/>
      <w:spacing w:after="160" w:line="500" w:lineRule="exact"/>
      <w:ind w:firstLineChars="200" w:firstLine="200"/>
    </w:pPr>
    <w:rPr>
      <w:rFonts w:ascii="宋体" w:hAnsi="宋体"/>
      <w:b/>
      <w:bCs/>
      <w:color w:val="000000"/>
      <w:sz w:val="24"/>
    </w:rPr>
  </w:style>
  <w:style w:type="paragraph" w:customStyle="1" w:styleId="afffffffffffff5">
    <w:name w:val="正文四号"/>
    <w:basedOn w:val="a7"/>
    <w:link w:val="Charfff7"/>
    <w:uiPriority w:val="99"/>
    <w:qFormat/>
    <w:pPr>
      <w:adjustRightInd w:val="0"/>
      <w:snapToGrid w:val="0"/>
      <w:spacing w:before="120" w:after="120" w:line="336" w:lineRule="auto"/>
      <w:jc w:val="left"/>
    </w:pPr>
    <w:rPr>
      <w:kern w:val="0"/>
      <w:sz w:val="28"/>
      <w:szCs w:val="28"/>
    </w:rPr>
  </w:style>
  <w:style w:type="paragraph" w:customStyle="1" w:styleId="3f7">
    <w:name w:val="3  级标题"/>
    <w:link w:val="3CharChar1"/>
    <w:qFormat/>
    <w:pPr>
      <w:tabs>
        <w:tab w:val="left" w:pos="1571"/>
      </w:tabs>
      <w:adjustRightInd w:val="0"/>
      <w:snapToGrid w:val="0"/>
      <w:spacing w:beforeLines="150" w:before="468" w:after="50" w:line="278" w:lineRule="auto"/>
      <w:ind w:left="1418"/>
      <w:jc w:val="both"/>
    </w:pPr>
    <w:rPr>
      <w:rFonts w:hAnsi="宋体"/>
      <w:b/>
      <w:bCs/>
      <w:szCs w:val="26"/>
    </w:rPr>
  </w:style>
  <w:style w:type="paragraph" w:customStyle="1" w:styleId="3f8">
    <w:name w:val="3级标题"/>
    <w:basedOn w:val="31"/>
    <w:link w:val="3CharChar2"/>
    <w:qFormat/>
    <w:pPr>
      <w:keepNext/>
      <w:keepLines/>
      <w:numPr>
        <w:ilvl w:val="0"/>
        <w:numId w:val="0"/>
      </w:numPr>
      <w:adjustRightInd/>
      <w:snapToGrid/>
      <w:spacing w:beforeLines="0" w:before="0" w:afterLines="0" w:after="0"/>
      <w:textAlignment w:val="auto"/>
    </w:pPr>
    <w:rPr>
      <w:rFonts w:ascii="黑体"/>
      <w:b w:val="0"/>
      <w:bCs w:val="0"/>
      <w:color w:val="auto"/>
      <w:kern w:val="0"/>
      <w:sz w:val="24"/>
      <w:szCs w:val="32"/>
      <w:lang w:val="en-US"/>
    </w:rPr>
  </w:style>
  <w:style w:type="paragraph" w:customStyle="1" w:styleId="afffffffffffff6">
    <w:name w:val="图表内容"/>
    <w:basedOn w:val="a7"/>
    <w:link w:val="Charfff8"/>
    <w:qFormat/>
    <w:pPr>
      <w:adjustRightInd w:val="0"/>
      <w:snapToGrid w:val="0"/>
      <w:spacing w:after="160" w:line="278" w:lineRule="auto"/>
      <w:jc w:val="center"/>
    </w:pPr>
    <w:rPr>
      <w:rFonts w:eastAsia="仿宋_GB2312"/>
      <w:kern w:val="0"/>
      <w:sz w:val="20"/>
      <w:szCs w:val="20"/>
    </w:rPr>
  </w:style>
  <w:style w:type="paragraph" w:customStyle="1" w:styleId="1fc">
    <w:name w:val="样式 标题 1 + 四号"/>
    <w:basedOn w:val="21"/>
    <w:link w:val="1Char5"/>
    <w:qFormat/>
    <w:pPr>
      <w:keepNext/>
      <w:keepLines/>
      <w:widowControl/>
      <w:numPr>
        <w:ilvl w:val="0"/>
        <w:numId w:val="0"/>
      </w:numPr>
      <w:snapToGrid/>
      <w:spacing w:beforeLines="50" w:before="200" w:afterLines="0" w:after="0"/>
      <w:ind w:leftChars="-2" w:left="2" w:hangingChars="2" w:hanging="6"/>
    </w:pPr>
    <w:rPr>
      <w:rFonts w:ascii="宋体" w:eastAsia="宋体" w:hAnsi="宋体"/>
      <w:smallCaps w:val="0"/>
      <w:color w:val="auto"/>
      <w:sz w:val="30"/>
      <w:szCs w:val="30"/>
    </w:rPr>
  </w:style>
  <w:style w:type="paragraph" w:customStyle="1" w:styleId="afffffffffffff7">
    <w:name w:val="电镀正文"/>
    <w:basedOn w:val="af3"/>
    <w:link w:val="Charfff9"/>
    <w:qFormat/>
    <w:pPr>
      <w:spacing w:after="160" w:line="312" w:lineRule="auto"/>
      <w:ind w:firstLine="200"/>
    </w:pPr>
    <w:rPr>
      <w:rFonts w:ascii="宋体" w:hAnsi="宋体" w:cs="Times New Roman"/>
      <w:kern w:val="0"/>
      <w:sz w:val="24"/>
    </w:rPr>
  </w:style>
  <w:style w:type="paragraph" w:customStyle="1" w:styleId="afffffffffffff8">
    <w:name w:val="图题"/>
    <w:basedOn w:val="a7"/>
    <w:link w:val="CharChare"/>
    <w:qFormat/>
    <w:pPr>
      <w:tabs>
        <w:tab w:val="center" w:pos="4153"/>
        <w:tab w:val="right" w:pos="8306"/>
      </w:tabs>
      <w:snapToGrid w:val="0"/>
      <w:spacing w:afterLines="50" w:after="156" w:line="360" w:lineRule="auto"/>
      <w:ind w:firstLine="482"/>
      <w:jc w:val="center"/>
    </w:pPr>
    <w:rPr>
      <w:rFonts w:hAnsi="宋体"/>
      <w:b/>
    </w:rPr>
  </w:style>
  <w:style w:type="paragraph" w:customStyle="1" w:styleId="4-25CharChar">
    <w:name w:val="4-25正 Char Char"/>
    <w:basedOn w:val="a7"/>
    <w:link w:val="4-25CharCharChar"/>
    <w:qFormat/>
    <w:pPr>
      <w:widowControl/>
      <w:spacing w:before="40" w:after="40" w:line="360" w:lineRule="auto"/>
      <w:ind w:firstLineChars="200" w:firstLine="480"/>
    </w:pPr>
    <w:rPr>
      <w:b/>
      <w:kern w:val="0"/>
      <w:sz w:val="24"/>
    </w:rPr>
  </w:style>
  <w:style w:type="paragraph" w:customStyle="1" w:styleId="12q">
    <w:name w:val="样式12q"/>
    <w:basedOn w:val="a7"/>
    <w:link w:val="12qChar"/>
    <w:qFormat/>
    <w:pPr>
      <w:spacing w:after="160" w:line="360" w:lineRule="auto"/>
      <w:ind w:firstLineChars="200" w:firstLine="560"/>
    </w:pPr>
    <w:rPr>
      <w:sz w:val="28"/>
      <w:szCs w:val="28"/>
    </w:rPr>
  </w:style>
  <w:style w:type="paragraph" w:customStyle="1" w:styleId="afffffffffffff9">
    <w:name w:val="俺的新正文"/>
    <w:basedOn w:val="a7"/>
    <w:link w:val="Charfffa"/>
    <w:qFormat/>
    <w:pPr>
      <w:spacing w:after="160" w:line="360" w:lineRule="auto"/>
    </w:pPr>
    <w:rPr>
      <w:sz w:val="24"/>
    </w:rPr>
  </w:style>
  <w:style w:type="paragraph" w:customStyle="1" w:styleId="afffffffffffffa">
    <w:name w:val="文字"/>
    <w:basedOn w:val="a7"/>
    <w:link w:val="CharCharf"/>
    <w:qFormat/>
    <w:pPr>
      <w:widowControl/>
      <w:spacing w:after="120" w:line="360" w:lineRule="auto"/>
      <w:ind w:firstLine="420"/>
    </w:pPr>
    <w:rPr>
      <w:kern w:val="0"/>
      <w:sz w:val="24"/>
      <w:szCs w:val="20"/>
    </w:rPr>
  </w:style>
  <w:style w:type="paragraph" w:customStyle="1" w:styleId="afffffffffffffb">
    <w:name w:val="宁联正文"/>
    <w:basedOn w:val="a7"/>
    <w:link w:val="Charfffb"/>
    <w:qFormat/>
    <w:pPr>
      <w:adjustRightInd w:val="0"/>
      <w:snapToGrid w:val="0"/>
      <w:spacing w:after="160" w:line="360" w:lineRule="auto"/>
      <w:ind w:firstLineChars="200" w:firstLine="200"/>
    </w:pPr>
    <w:rPr>
      <w:rFonts w:eastAsia="仿宋_GB2312"/>
      <w:kern w:val="0"/>
      <w:sz w:val="28"/>
      <w:szCs w:val="28"/>
    </w:rPr>
  </w:style>
  <w:style w:type="paragraph" w:customStyle="1" w:styleId="afffffffffffffc">
    <w:name w:val="陆晶 正文"/>
    <w:basedOn w:val="a7"/>
    <w:link w:val="Charfffc"/>
    <w:semiHidden/>
    <w:qFormat/>
    <w:pPr>
      <w:adjustRightInd w:val="0"/>
      <w:snapToGrid w:val="0"/>
      <w:spacing w:after="160" w:line="480" w:lineRule="exact"/>
      <w:ind w:firstLineChars="200" w:firstLine="584"/>
    </w:pPr>
    <w:rPr>
      <w:rFonts w:ascii="宋体" w:hAnsi="宋体"/>
      <w:color w:val="000000"/>
      <w:spacing w:val="6"/>
      <w:kern w:val="0"/>
      <w:sz w:val="28"/>
      <w:szCs w:val="28"/>
    </w:rPr>
  </w:style>
  <w:style w:type="paragraph" w:customStyle="1" w:styleId="afffffffffffffd">
    <w:name w:val="表文字"/>
    <w:basedOn w:val="a7"/>
    <w:link w:val="CharCharf0"/>
    <w:qFormat/>
    <w:pPr>
      <w:topLinePunct/>
      <w:adjustRightInd w:val="0"/>
      <w:spacing w:after="160" w:line="240" w:lineRule="exact"/>
      <w:textAlignment w:val="baseline"/>
    </w:pPr>
    <w:rPr>
      <w:rFonts w:ascii="Calibri" w:hAnsi="Calibri"/>
    </w:rPr>
  </w:style>
  <w:style w:type="paragraph" w:customStyle="1" w:styleId="-10">
    <w:name w:val="正文-1"/>
    <w:basedOn w:val="a7"/>
    <w:link w:val="-1Char"/>
    <w:qFormat/>
    <w:pPr>
      <w:snapToGrid w:val="0"/>
      <w:spacing w:after="160" w:line="400" w:lineRule="exact"/>
      <w:ind w:firstLineChars="200" w:firstLine="200"/>
      <w:jc w:val="left"/>
    </w:pPr>
    <w:rPr>
      <w:kern w:val="0"/>
      <w:sz w:val="24"/>
      <w:szCs w:val="20"/>
    </w:rPr>
  </w:style>
  <w:style w:type="paragraph" w:customStyle="1" w:styleId="afffffffffffffe">
    <w:name w:val="正文格式－文字"/>
    <w:basedOn w:val="a7"/>
    <w:link w:val="Char1c"/>
    <w:uiPriority w:val="99"/>
    <w:qFormat/>
    <w:pPr>
      <w:autoSpaceDE w:val="0"/>
      <w:autoSpaceDN w:val="0"/>
      <w:snapToGrid w:val="0"/>
      <w:spacing w:beforeLines="50" w:afterLines="50" w:after="160" w:line="300" w:lineRule="auto"/>
      <w:ind w:firstLine="482"/>
      <w:jc w:val="left"/>
    </w:pPr>
    <w:rPr>
      <w:bCs/>
      <w:kern w:val="0"/>
      <w:sz w:val="24"/>
    </w:rPr>
  </w:style>
  <w:style w:type="paragraph" w:customStyle="1" w:styleId="085">
    <w:name w:val="样式 首行缩进:  0.85 厘米"/>
    <w:basedOn w:val="a7"/>
    <w:link w:val="085Char1"/>
    <w:qFormat/>
    <w:pPr>
      <w:autoSpaceDE w:val="0"/>
      <w:adjustRightInd w:val="0"/>
      <w:snapToGrid w:val="0"/>
      <w:spacing w:after="160" w:line="360" w:lineRule="auto"/>
      <w:ind w:firstLineChars="200" w:firstLine="482"/>
    </w:pPr>
    <w:rPr>
      <w:kern w:val="0"/>
      <w:sz w:val="28"/>
      <w:szCs w:val="20"/>
    </w:rPr>
  </w:style>
  <w:style w:type="paragraph" w:customStyle="1" w:styleId="200173">
    <w:name w:val="样式 标题 2 + 段前: 0 磅 段后: 0 磅 行距: 多倍行距 1.73 字行"/>
    <w:basedOn w:val="21"/>
    <w:link w:val="200173Char"/>
    <w:qFormat/>
    <w:pPr>
      <w:keepNext/>
      <w:keepLines/>
      <w:numPr>
        <w:ilvl w:val="0"/>
        <w:numId w:val="0"/>
      </w:numPr>
      <w:snapToGrid/>
      <w:spacing w:beforeLines="0" w:before="240" w:afterLines="0" w:after="240"/>
    </w:pPr>
    <w:rPr>
      <w:rFonts w:ascii="Arial" w:hAnsi="Arial"/>
      <w:b w:val="0"/>
      <w:smallCaps w:val="0"/>
      <w:color w:val="auto"/>
      <w:kern w:val="0"/>
      <w:szCs w:val="20"/>
    </w:rPr>
  </w:style>
  <w:style w:type="paragraph" w:customStyle="1" w:styleId="1fd">
    <w:name w:val="标题 #1"/>
    <w:basedOn w:val="a7"/>
    <w:link w:val="1fe"/>
    <w:qFormat/>
    <w:pPr>
      <w:shd w:val="clear" w:color="auto" w:fill="FFFFFF"/>
      <w:spacing w:before="840" w:after="840" w:line="0" w:lineRule="atLeast"/>
      <w:jc w:val="center"/>
      <w:outlineLvl w:val="0"/>
    </w:pPr>
    <w:rPr>
      <w:rFonts w:ascii="MingLiU" w:eastAsia="MingLiU" w:hAnsi="MingLiU"/>
      <w:spacing w:val="100"/>
      <w:kern w:val="0"/>
      <w:sz w:val="36"/>
      <w:szCs w:val="36"/>
    </w:rPr>
  </w:style>
  <w:style w:type="paragraph" w:customStyle="1" w:styleId="3f9">
    <w:name w:val="自定义标题3"/>
    <w:next w:val="a7"/>
    <w:link w:val="3Char0"/>
    <w:uiPriority w:val="99"/>
    <w:qFormat/>
    <w:pPr>
      <w:tabs>
        <w:tab w:val="left" w:pos="1009"/>
        <w:tab w:val="left" w:pos="1249"/>
      </w:tabs>
      <w:spacing w:after="160" w:line="278" w:lineRule="auto"/>
      <w:ind w:left="1249" w:hanging="1009"/>
    </w:pPr>
  </w:style>
  <w:style w:type="paragraph" w:customStyle="1" w:styleId="2ff0">
    <w:name w:val="自定义标题2"/>
    <w:next w:val="3f9"/>
    <w:uiPriority w:val="99"/>
    <w:qFormat/>
    <w:pPr>
      <w:tabs>
        <w:tab w:val="left" w:pos="1009"/>
      </w:tabs>
      <w:spacing w:after="160" w:line="278" w:lineRule="auto"/>
    </w:pPr>
    <w:rPr>
      <w:sz w:val="24"/>
      <w:szCs w:val="24"/>
    </w:rPr>
  </w:style>
  <w:style w:type="paragraph" w:customStyle="1" w:styleId="1ff">
    <w:name w:val="自定义标题1"/>
    <w:next w:val="2ff0"/>
    <w:qFormat/>
    <w:pPr>
      <w:widowControl w:val="0"/>
      <w:tabs>
        <w:tab w:val="left" w:pos="1009"/>
      </w:tabs>
      <w:adjustRightInd w:val="0"/>
      <w:spacing w:beforeLines="100" w:before="312" w:after="120" w:line="320" w:lineRule="exact"/>
      <w:jc w:val="both"/>
      <w:textAlignment w:val="baseline"/>
    </w:pPr>
    <w:rPr>
      <w:rFonts w:ascii="Arial" w:hAnsi="Arial"/>
      <w:b/>
      <w:color w:val="0000FF"/>
      <w:sz w:val="28"/>
      <w:szCs w:val="28"/>
    </w:rPr>
  </w:style>
  <w:style w:type="paragraph" w:customStyle="1" w:styleId="affffffffffffff">
    <w:name w:val="规划页眉"/>
    <w:basedOn w:val="afff3"/>
    <w:link w:val="Charfffd"/>
    <w:qFormat/>
    <w:pPr>
      <w:pBdr>
        <w:top w:val="none" w:sz="0" w:space="1" w:color="auto"/>
        <w:left w:val="none" w:sz="0" w:space="4" w:color="auto"/>
        <w:bottom w:val="none" w:sz="0" w:space="1" w:color="auto"/>
        <w:right w:val="none" w:sz="0" w:space="4" w:color="auto"/>
      </w:pBdr>
      <w:spacing w:after="160" w:line="278" w:lineRule="auto"/>
      <w:jc w:val="left"/>
    </w:pPr>
    <w:rPr>
      <w:rFonts w:ascii="楷体" w:eastAsia="楷体" w:hAnsi="楷体"/>
      <w:szCs w:val="20"/>
    </w:rPr>
  </w:style>
  <w:style w:type="paragraph" w:customStyle="1" w:styleId="31113CharChar3CharCharCharChar">
    <w:name w:val="我的 标题 3条标题1.1.1标题 3 Char Char小标题头小节标题标题 3 Char Char Char标... Char"/>
    <w:basedOn w:val="31"/>
    <w:link w:val="31113CharChar3CharCharCharCharChar"/>
    <w:qFormat/>
    <w:pPr>
      <w:keepNext/>
      <w:keepLines/>
      <w:numPr>
        <w:ilvl w:val="0"/>
        <w:numId w:val="0"/>
      </w:numPr>
      <w:spacing w:beforeLines="0" w:before="0" w:afterLines="0" w:after="0"/>
      <w:jc w:val="both"/>
    </w:pPr>
    <w:rPr>
      <w:b w:val="0"/>
      <w:color w:val="auto"/>
      <w:sz w:val="28"/>
      <w:szCs w:val="28"/>
      <w:lang w:val="en-US"/>
    </w:rPr>
  </w:style>
  <w:style w:type="paragraph" w:customStyle="1" w:styleId="affffffffffffff0">
    <w:name w:val="内苡"/>
    <w:basedOn w:val="a7"/>
    <w:link w:val="Charfffe"/>
    <w:semiHidden/>
    <w:qFormat/>
    <w:pPr>
      <w:spacing w:after="160" w:line="360" w:lineRule="auto"/>
      <w:ind w:firstLineChars="200" w:firstLine="560"/>
    </w:pPr>
    <w:rPr>
      <w:rFonts w:ascii="宋体" w:hAnsi="宋体"/>
      <w:kern w:val="0"/>
      <w:sz w:val="28"/>
      <w:szCs w:val="28"/>
    </w:rPr>
  </w:style>
  <w:style w:type="paragraph" w:customStyle="1" w:styleId="618">
    <w:name w:val="无段前后行距6.18"/>
    <w:basedOn w:val="a7"/>
    <w:link w:val="618Char"/>
    <w:qFormat/>
    <w:pPr>
      <w:spacing w:after="160" w:line="360" w:lineRule="auto"/>
    </w:pPr>
    <w:rPr>
      <w:rFonts w:ascii="仿宋_GB2312" w:eastAsia="仿宋_GB2312" w:hAnsi="宋体"/>
      <w:kern w:val="0"/>
      <w:sz w:val="20"/>
      <w:szCs w:val="28"/>
    </w:rPr>
  </w:style>
  <w:style w:type="paragraph" w:customStyle="1" w:styleId="Charffff">
    <w:name w:val="图名 Char"/>
    <w:basedOn w:val="a7"/>
    <w:link w:val="CharCharf1"/>
    <w:qFormat/>
    <w:pPr>
      <w:widowControl/>
      <w:spacing w:afterLines="20" w:after="62" w:line="360" w:lineRule="auto"/>
      <w:ind w:firstLine="482"/>
      <w:jc w:val="center"/>
    </w:pPr>
    <w:rPr>
      <w:rFonts w:hAnsi="宋体"/>
      <w:b/>
      <w:sz w:val="18"/>
    </w:rPr>
  </w:style>
  <w:style w:type="paragraph" w:customStyle="1" w:styleId="affffffffffffff1">
    <w:name w:val="标题二！！！！！"/>
    <w:basedOn w:val="21"/>
    <w:link w:val="Charffff0"/>
    <w:qFormat/>
    <w:pPr>
      <w:keepNext/>
      <w:keepLines/>
      <w:numPr>
        <w:ilvl w:val="0"/>
        <w:numId w:val="0"/>
      </w:numPr>
      <w:tabs>
        <w:tab w:val="left" w:pos="454"/>
        <w:tab w:val="left" w:pos="851"/>
      </w:tabs>
      <w:snapToGrid/>
      <w:spacing w:beforeLines="0" w:before="120" w:afterLines="0" w:after="120" w:line="500" w:lineRule="exact"/>
      <w:jc w:val="both"/>
    </w:pPr>
    <w:rPr>
      <w:rFonts w:ascii="楷体_GB2312" w:eastAsia="楷体_GB2312" w:hAnsi="楷体_GB2312"/>
      <w:smallCaps w:val="0"/>
      <w:color w:val="auto"/>
      <w:kern w:val="0"/>
      <w:sz w:val="30"/>
      <w:szCs w:val="30"/>
    </w:rPr>
  </w:style>
  <w:style w:type="paragraph" w:customStyle="1" w:styleId="dan7-1">
    <w:name w:val="dan7-1"/>
    <w:basedOn w:val="a7"/>
    <w:link w:val="dan7-1Char"/>
    <w:qFormat/>
    <w:pPr>
      <w:spacing w:before="40" w:after="40" w:line="360" w:lineRule="auto"/>
      <w:ind w:firstLineChars="200" w:firstLine="200"/>
    </w:pPr>
    <w:rPr>
      <w:sz w:val="24"/>
    </w:rPr>
  </w:style>
  <w:style w:type="paragraph" w:customStyle="1" w:styleId="affffffffffffff2">
    <w:name w:val="段"/>
    <w:link w:val="Charffff1"/>
    <w:qFormat/>
    <w:pPr>
      <w:autoSpaceDE w:val="0"/>
      <w:autoSpaceDN w:val="0"/>
      <w:spacing w:after="160" w:line="278" w:lineRule="auto"/>
      <w:ind w:firstLineChars="200" w:firstLine="200"/>
      <w:jc w:val="both"/>
    </w:pPr>
    <w:rPr>
      <w:rFonts w:ascii="宋体" w:hAnsi="宋体"/>
      <w:sz w:val="21"/>
    </w:rPr>
  </w:style>
  <w:style w:type="paragraph" w:customStyle="1" w:styleId="a-6">
    <w:name w:val="a-备注"/>
    <w:link w:val="a-Char6"/>
    <w:qFormat/>
    <w:pPr>
      <w:adjustRightInd w:val="0"/>
      <w:snapToGrid w:val="0"/>
      <w:spacing w:after="160" w:line="360" w:lineRule="auto"/>
    </w:pPr>
    <w:rPr>
      <w:b/>
      <w:bCs/>
      <w:color w:val="000000"/>
      <w:kern w:val="2"/>
      <w:sz w:val="21"/>
      <w:szCs w:val="32"/>
    </w:rPr>
  </w:style>
  <w:style w:type="paragraph" w:customStyle="1" w:styleId="affffffffffffff3">
    <w:name w:val="标准条文"/>
    <w:link w:val="Charffff2"/>
    <w:qFormat/>
    <w:pPr>
      <w:spacing w:beforeLines="20" w:after="160" w:line="278" w:lineRule="auto"/>
      <w:ind w:firstLineChars="200" w:firstLine="200"/>
    </w:pPr>
    <w:rPr>
      <w:bCs/>
      <w:kern w:val="2"/>
      <w:sz w:val="21"/>
      <w:szCs w:val="24"/>
    </w:rPr>
  </w:style>
  <w:style w:type="paragraph" w:customStyle="1" w:styleId="affffffffffffff4">
    <w:name w:val="可研表格"/>
    <w:basedOn w:val="a7"/>
    <w:next w:val="a7"/>
    <w:link w:val="Charffff3"/>
    <w:qFormat/>
    <w:pPr>
      <w:tabs>
        <w:tab w:val="left" w:pos="3686"/>
      </w:tabs>
      <w:spacing w:after="160" w:line="440" w:lineRule="exact"/>
      <w:ind w:firstLine="482"/>
      <w:jc w:val="center"/>
    </w:pPr>
    <w:rPr>
      <w:sz w:val="24"/>
    </w:rPr>
  </w:style>
  <w:style w:type="paragraph" w:customStyle="1" w:styleId="CharCharf2">
    <w:name w:val="标准 Char Char"/>
    <w:basedOn w:val="a7"/>
    <w:link w:val="CharCharChar4"/>
    <w:qFormat/>
    <w:pPr>
      <w:adjustRightInd w:val="0"/>
      <w:spacing w:after="160" w:line="480" w:lineRule="exact"/>
      <w:ind w:firstLineChars="200" w:firstLine="420"/>
      <w:textAlignment w:val="baseline"/>
    </w:pPr>
    <w:rPr>
      <w:spacing w:val="-2"/>
      <w:kern w:val="0"/>
      <w:sz w:val="28"/>
      <w:szCs w:val="20"/>
    </w:rPr>
  </w:style>
  <w:style w:type="paragraph" w:customStyle="1" w:styleId="1ff0">
    <w:name w:val="1正文"/>
    <w:basedOn w:val="a7"/>
    <w:link w:val="1Char6"/>
    <w:uiPriority w:val="99"/>
    <w:qFormat/>
    <w:pPr>
      <w:spacing w:after="160" w:line="360" w:lineRule="auto"/>
      <w:ind w:firstLineChars="200" w:firstLine="480"/>
    </w:pPr>
    <w:rPr>
      <w:rFonts w:ascii="宋体"/>
      <w:color w:val="000000"/>
      <w:kern w:val="0"/>
      <w:sz w:val="24"/>
      <w:szCs w:val="20"/>
    </w:rPr>
  </w:style>
  <w:style w:type="paragraph" w:customStyle="1" w:styleId="affffffffffffff5">
    <w:name w:val="茂名 正文"/>
    <w:basedOn w:val="a7"/>
    <w:link w:val="Charffff4"/>
    <w:qFormat/>
    <w:pPr>
      <w:widowControl/>
      <w:topLinePunct/>
      <w:spacing w:after="160" w:line="480" w:lineRule="exact"/>
      <w:ind w:firstLine="539"/>
    </w:pPr>
    <w:rPr>
      <w:rFonts w:ascii="Symbol" w:eastAsia="微软雅黑" w:hAnsi="Symbol"/>
      <w:kern w:val="0"/>
      <w:sz w:val="20"/>
    </w:rPr>
  </w:style>
  <w:style w:type="paragraph" w:customStyle="1" w:styleId="affffffffffffff6">
    <w:name w:val="区分修改"/>
    <w:link w:val="Charffff5"/>
    <w:qFormat/>
    <w:pPr>
      <w:widowControl w:val="0"/>
      <w:spacing w:after="160" w:line="500" w:lineRule="exact"/>
      <w:ind w:firstLineChars="200" w:firstLine="200"/>
    </w:pPr>
    <w:rPr>
      <w:rFonts w:eastAsia="华文中宋"/>
      <w:snapToGrid w:val="0"/>
      <w:color w:val="000080"/>
      <w:sz w:val="24"/>
      <w:szCs w:val="24"/>
    </w:rPr>
  </w:style>
  <w:style w:type="paragraph" w:customStyle="1" w:styleId="affffffffffffff7">
    <w:name w:val="表格头"/>
    <w:link w:val="Charffff6"/>
    <w:qFormat/>
    <w:pPr>
      <w:spacing w:before="120" w:after="120" w:line="480" w:lineRule="atLeast"/>
      <w:jc w:val="center"/>
    </w:pPr>
    <w:rPr>
      <w:sz w:val="24"/>
    </w:rPr>
  </w:style>
  <w:style w:type="paragraph" w:customStyle="1" w:styleId="affffffffffffff8">
    <w:name w:val="【正文】"/>
    <w:basedOn w:val="a7"/>
    <w:link w:val="Charffff7"/>
    <w:qFormat/>
    <w:locked/>
    <w:pPr>
      <w:snapToGrid w:val="0"/>
      <w:spacing w:before="120" w:after="120" w:line="312" w:lineRule="auto"/>
      <w:ind w:firstLineChars="200" w:firstLine="200"/>
      <w:jc w:val="left"/>
    </w:pPr>
    <w:rPr>
      <w:kern w:val="0"/>
      <w:sz w:val="20"/>
      <w:szCs w:val="20"/>
    </w:rPr>
  </w:style>
  <w:style w:type="paragraph" w:customStyle="1" w:styleId="222">
    <w:name w:val="标题22"/>
    <w:basedOn w:val="a7"/>
    <w:link w:val="22Char"/>
    <w:qFormat/>
    <w:pPr>
      <w:spacing w:after="160" w:line="360" w:lineRule="auto"/>
      <w:outlineLvl w:val="1"/>
    </w:pPr>
    <w:rPr>
      <w:b/>
      <w:kern w:val="0"/>
      <w:sz w:val="24"/>
    </w:rPr>
  </w:style>
  <w:style w:type="paragraph" w:customStyle="1" w:styleId="2ff1">
    <w:name w:val="标题 #2"/>
    <w:basedOn w:val="a7"/>
    <w:link w:val="2ff2"/>
    <w:qFormat/>
    <w:pPr>
      <w:shd w:val="clear" w:color="auto" w:fill="FFFFFF"/>
      <w:spacing w:after="300" w:line="0" w:lineRule="atLeast"/>
      <w:jc w:val="center"/>
      <w:outlineLvl w:val="1"/>
    </w:pPr>
    <w:rPr>
      <w:rFonts w:ascii="宋体" w:hAnsi="宋体"/>
      <w:kern w:val="0"/>
      <w:sz w:val="30"/>
      <w:szCs w:val="30"/>
    </w:rPr>
  </w:style>
  <w:style w:type="paragraph" w:customStyle="1" w:styleId="affffffffffffff9">
    <w:name w:val="何正文"/>
    <w:basedOn w:val="a7"/>
    <w:link w:val="Charffff8"/>
    <w:qFormat/>
    <w:pPr>
      <w:topLinePunct/>
      <w:spacing w:after="160" w:line="360" w:lineRule="auto"/>
      <w:ind w:firstLineChars="192" w:firstLine="192"/>
    </w:pPr>
    <w:rPr>
      <w:kern w:val="0"/>
      <w:sz w:val="28"/>
      <w:szCs w:val="28"/>
    </w:rPr>
  </w:style>
  <w:style w:type="paragraph" w:customStyle="1" w:styleId="affffffffffffffa">
    <w:name w:val="格式表"/>
    <w:basedOn w:val="a7"/>
    <w:link w:val="Charffff9"/>
    <w:uiPriority w:val="99"/>
    <w:qFormat/>
    <w:pPr>
      <w:snapToGrid w:val="0"/>
      <w:spacing w:after="160" w:line="278" w:lineRule="auto"/>
      <w:jc w:val="center"/>
    </w:pPr>
    <w:rPr>
      <w:rFonts w:ascii="宋体" w:hAnsi="宋体"/>
      <w:kern w:val="0"/>
      <w:sz w:val="20"/>
      <w:szCs w:val="20"/>
      <w:lang w:val="zh-CN"/>
    </w:rPr>
  </w:style>
  <w:style w:type="paragraph" w:customStyle="1" w:styleId="224">
    <w:name w:val="样式 正文文字 + 首行缩进:  2 字符 行距: 最小值 24 磅"/>
    <w:basedOn w:val="a7"/>
    <w:link w:val="224Char"/>
    <w:qFormat/>
    <w:pPr>
      <w:adjustRightInd w:val="0"/>
      <w:snapToGrid w:val="0"/>
      <w:spacing w:after="160" w:line="480" w:lineRule="atLeast"/>
      <w:ind w:firstLineChars="200" w:firstLine="480"/>
    </w:pPr>
    <w:rPr>
      <w:sz w:val="24"/>
      <w:szCs w:val="20"/>
    </w:rPr>
  </w:style>
  <w:style w:type="paragraph" w:customStyle="1" w:styleId="tu">
    <w:name w:val="tu"/>
    <w:basedOn w:val="a7"/>
    <w:link w:val="tuChar1"/>
    <w:qFormat/>
    <w:pPr>
      <w:snapToGrid w:val="0"/>
      <w:spacing w:after="160" w:line="278" w:lineRule="auto"/>
      <w:jc w:val="center"/>
    </w:pPr>
    <w:rPr>
      <w:rFonts w:ascii="黑体" w:eastAsia="黑体"/>
      <w:b/>
      <w:bCs/>
      <w:kern w:val="0"/>
      <w:sz w:val="20"/>
    </w:rPr>
  </w:style>
  <w:style w:type="paragraph" w:customStyle="1" w:styleId="1ff1">
    <w:name w:val="（1）标题"/>
    <w:basedOn w:val="a7"/>
    <w:link w:val="1CharChar"/>
    <w:qFormat/>
    <w:pPr>
      <w:widowControl/>
      <w:spacing w:after="160" w:line="278" w:lineRule="auto"/>
      <w:ind w:firstLineChars="200" w:firstLine="560"/>
      <w:jc w:val="left"/>
    </w:pPr>
    <w:rPr>
      <w:kern w:val="0"/>
      <w:sz w:val="28"/>
      <w:szCs w:val="20"/>
    </w:rPr>
  </w:style>
  <w:style w:type="paragraph" w:customStyle="1" w:styleId="223">
    <w:name w:val="样式 标题 2 + 首行缩进:  2 字符"/>
    <w:basedOn w:val="21"/>
    <w:link w:val="22Char0"/>
    <w:qFormat/>
    <w:pPr>
      <w:keepNext/>
      <w:keepLines/>
      <w:numPr>
        <w:ilvl w:val="0"/>
        <w:numId w:val="0"/>
      </w:numPr>
      <w:tabs>
        <w:tab w:val="left" w:pos="360"/>
      </w:tabs>
      <w:snapToGrid/>
      <w:spacing w:beforeLines="0" w:before="120" w:afterLines="0" w:after="120" w:line="500" w:lineRule="exact"/>
      <w:ind w:left="840" w:firstLineChars="200" w:hanging="420"/>
    </w:pPr>
    <w:rPr>
      <w:rFonts w:ascii="Arial" w:eastAsia="宋体" w:hAnsi="Arial"/>
      <w:smallCaps w:val="0"/>
      <w:color w:val="auto"/>
      <w:sz w:val="21"/>
      <w:szCs w:val="20"/>
    </w:rPr>
  </w:style>
  <w:style w:type="paragraph" w:customStyle="1" w:styleId="affffffffffffffb">
    <w:name w:val="图片样式"/>
    <w:basedOn w:val="a7"/>
    <w:link w:val="Charffffa"/>
    <w:qFormat/>
    <w:pPr>
      <w:spacing w:after="160" w:line="360" w:lineRule="auto"/>
      <w:ind w:firstLineChars="200" w:firstLine="420"/>
      <w:jc w:val="center"/>
    </w:pPr>
    <w:rPr>
      <w:kern w:val="0"/>
      <w:sz w:val="24"/>
      <w:szCs w:val="20"/>
    </w:rPr>
  </w:style>
  <w:style w:type="paragraph" w:customStyle="1" w:styleId="hb3">
    <w:name w:val="hb3"/>
    <w:basedOn w:val="31"/>
    <w:link w:val="hb3Char"/>
    <w:qFormat/>
    <w:pPr>
      <w:keepNext/>
      <w:keepLines/>
      <w:numPr>
        <w:ilvl w:val="0"/>
        <w:numId w:val="0"/>
      </w:numPr>
      <w:snapToGrid/>
      <w:spacing w:beforeLines="0" w:before="360" w:afterLines="0" w:after="360" w:line="240" w:lineRule="auto"/>
    </w:pPr>
    <w:rPr>
      <w:rFonts w:ascii="宋体" w:eastAsia="宋体" w:hAnsi="宋体"/>
      <w:color w:val="auto"/>
      <w:kern w:val="0"/>
      <w:sz w:val="24"/>
      <w:szCs w:val="32"/>
      <w:lang w:val="en-US"/>
    </w:rPr>
  </w:style>
  <w:style w:type="paragraph" w:customStyle="1" w:styleId="222GB2312">
    <w:name w:val="样式 样式 样式 样式 样式 样式 首行缩进:  2 字符 + 首行缩进:  2 字符2 + 仿宋_GB2312 + 首行缩进:..."/>
    <w:basedOn w:val="a7"/>
    <w:link w:val="222GB2312Char"/>
    <w:qFormat/>
    <w:pPr>
      <w:spacing w:after="160" w:line="560" w:lineRule="exact"/>
      <w:ind w:firstLineChars="200" w:firstLine="624"/>
    </w:pPr>
    <w:rPr>
      <w:rFonts w:eastAsia="楷体_GB2312"/>
      <w:spacing w:val="12"/>
      <w:kern w:val="0"/>
      <w:sz w:val="28"/>
      <w:szCs w:val="28"/>
    </w:rPr>
  </w:style>
  <w:style w:type="paragraph" w:customStyle="1" w:styleId="affffffffffffffc">
    <w:name w:val="表格字体"/>
    <w:basedOn w:val="a7"/>
    <w:link w:val="CharCharf3"/>
    <w:qFormat/>
    <w:pPr>
      <w:spacing w:after="160" w:line="278" w:lineRule="auto"/>
      <w:jc w:val="center"/>
    </w:pPr>
    <w:rPr>
      <w:szCs w:val="20"/>
    </w:rPr>
  </w:style>
  <w:style w:type="paragraph" w:customStyle="1" w:styleId="dan7-17">
    <w:name w:val="dan7-1表头7"/>
    <w:basedOn w:val="a7"/>
    <w:link w:val="dan7-17Char"/>
    <w:qFormat/>
    <w:pPr>
      <w:tabs>
        <w:tab w:val="center" w:pos="0"/>
        <w:tab w:val="left" w:pos="840"/>
      </w:tabs>
      <w:spacing w:before="40" w:after="40" w:line="360" w:lineRule="auto"/>
      <w:ind w:left="840" w:hanging="360"/>
      <w:jc w:val="center"/>
    </w:pPr>
    <w:rPr>
      <w:rFonts w:eastAsia="黑体"/>
      <w:sz w:val="24"/>
    </w:rPr>
  </w:style>
  <w:style w:type="paragraph" w:customStyle="1" w:styleId="affffffffffffffd">
    <w:name w:val="样式 佛表 + 五号"/>
    <w:link w:val="Charffffb"/>
    <w:qFormat/>
    <w:pPr>
      <w:spacing w:after="160" w:line="278" w:lineRule="auto"/>
    </w:pPr>
    <w:rPr>
      <w:szCs w:val="18"/>
    </w:rPr>
  </w:style>
  <w:style w:type="paragraph" w:customStyle="1" w:styleId="affffffffffffffe">
    <w:name w:val="佛表"/>
    <w:basedOn w:val="afffa"/>
    <w:qFormat/>
    <w:pPr>
      <w:adjustRightInd/>
      <w:spacing w:after="160" w:line="0" w:lineRule="atLeast"/>
      <w:ind w:left="0" w:rightChars="-45" w:right="-45" w:firstLineChars="0" w:firstLine="0"/>
      <w:jc w:val="center"/>
      <w:textAlignment w:val="auto"/>
    </w:pPr>
    <w:rPr>
      <w:rFonts w:ascii="宋体" w:hAnsi="宋体"/>
      <w:kern w:val="2"/>
      <w:sz w:val="21"/>
      <w:szCs w:val="24"/>
    </w:rPr>
  </w:style>
  <w:style w:type="paragraph" w:customStyle="1" w:styleId="5f1">
    <w:name w:val="5正文"/>
    <w:basedOn w:val="a7"/>
    <w:link w:val="5Char4"/>
    <w:qFormat/>
    <w:pPr>
      <w:adjustRightInd w:val="0"/>
      <w:snapToGrid w:val="0"/>
      <w:spacing w:after="160" w:line="400" w:lineRule="exact"/>
      <w:ind w:firstLineChars="200" w:firstLine="200"/>
    </w:pPr>
    <w:rPr>
      <w:rFonts w:ascii="宋体" w:hAnsi="宋体"/>
      <w:kern w:val="0"/>
      <w:sz w:val="24"/>
      <w:szCs w:val="28"/>
    </w:rPr>
  </w:style>
  <w:style w:type="paragraph" w:customStyle="1" w:styleId="-3">
    <w:name w:val="正文-3"/>
    <w:basedOn w:val="a7"/>
    <w:link w:val="-3Char"/>
    <w:qFormat/>
    <w:pPr>
      <w:adjustRightInd w:val="0"/>
      <w:snapToGrid w:val="0"/>
      <w:spacing w:after="160" w:line="360" w:lineRule="auto"/>
      <w:ind w:firstLineChars="200" w:firstLine="560"/>
    </w:pPr>
    <w:rPr>
      <w:rFonts w:ascii="宋体" w:hAnsi="宋体"/>
      <w:kern w:val="0"/>
      <w:sz w:val="28"/>
      <w:szCs w:val="28"/>
    </w:rPr>
  </w:style>
  <w:style w:type="paragraph" w:customStyle="1" w:styleId="-6">
    <w:name w:val="表格文字-居中"/>
    <w:link w:val="-CharChar"/>
    <w:uiPriority w:val="99"/>
    <w:qFormat/>
    <w:pPr>
      <w:spacing w:after="160" w:line="360" w:lineRule="exact"/>
      <w:jc w:val="center"/>
      <w:textAlignment w:val="center"/>
    </w:pPr>
    <w:rPr>
      <w:szCs w:val="21"/>
    </w:rPr>
  </w:style>
  <w:style w:type="paragraph" w:customStyle="1" w:styleId="afffffffffffffff">
    <w:name w:val="表头文字"/>
    <w:basedOn w:val="a7"/>
    <w:link w:val="Charffffc"/>
    <w:uiPriority w:val="99"/>
    <w:qFormat/>
    <w:pPr>
      <w:keepNext/>
      <w:adjustRightInd w:val="0"/>
      <w:snapToGrid w:val="0"/>
      <w:spacing w:after="160" w:line="360" w:lineRule="auto"/>
      <w:jc w:val="left"/>
    </w:pPr>
    <w:rPr>
      <w:b/>
      <w:color w:val="FF0000"/>
      <w:kern w:val="0"/>
      <w:sz w:val="28"/>
      <w:szCs w:val="28"/>
    </w:rPr>
  </w:style>
  <w:style w:type="paragraph" w:customStyle="1" w:styleId="afffffffffffffff0">
    <w:name w:val="表注"/>
    <w:basedOn w:val="a7"/>
    <w:link w:val="Charffffd"/>
    <w:qFormat/>
    <w:pPr>
      <w:widowControl/>
      <w:autoSpaceDE w:val="0"/>
      <w:autoSpaceDN w:val="0"/>
      <w:adjustRightInd w:val="0"/>
      <w:spacing w:beforeLines="50" w:afterLines="50" w:after="200" w:line="278" w:lineRule="auto"/>
    </w:pPr>
    <w:rPr>
      <w:rFonts w:cs="Arial"/>
      <w:kern w:val="0"/>
      <w:lang w:eastAsia="en-US" w:bidi="en-US"/>
    </w:rPr>
  </w:style>
  <w:style w:type="paragraph" w:customStyle="1" w:styleId="5f2">
    <w:name w:val="标题5"/>
    <w:basedOn w:val="a7"/>
    <w:link w:val="5CharChar1"/>
    <w:qFormat/>
    <w:pPr>
      <w:spacing w:after="160" w:line="300" w:lineRule="auto"/>
      <w:ind w:firstLineChars="200" w:firstLine="480"/>
    </w:pPr>
    <w:rPr>
      <w:rFonts w:ascii="黑体" w:eastAsia="黑体" w:hAnsi="宋体"/>
      <w:kern w:val="0"/>
      <w:sz w:val="24"/>
      <w:szCs w:val="20"/>
    </w:rPr>
  </w:style>
  <w:style w:type="paragraph" w:customStyle="1" w:styleId="CharCharCharChar1Char">
    <w:name w:val="正文文本最新 Char Char Char Char1 Char"/>
    <w:basedOn w:val="a7"/>
    <w:link w:val="CharCharCharChar1CharChar"/>
    <w:qFormat/>
    <w:pPr>
      <w:spacing w:after="160" w:line="360" w:lineRule="auto"/>
      <w:ind w:firstLineChars="200" w:firstLine="200"/>
    </w:pPr>
    <w:rPr>
      <w:bCs/>
      <w:sz w:val="28"/>
    </w:rPr>
  </w:style>
  <w:style w:type="paragraph" w:customStyle="1" w:styleId="100GB2312">
    <w:name w:val="样式100仿宋_GB2312"/>
    <w:basedOn w:val="a7"/>
    <w:link w:val="100GB2312CharChar"/>
    <w:qFormat/>
    <w:pPr>
      <w:topLinePunct/>
      <w:adjustRightInd w:val="0"/>
      <w:snapToGrid w:val="0"/>
      <w:spacing w:after="160" w:line="520" w:lineRule="exact"/>
      <w:ind w:firstLineChars="200" w:firstLine="200"/>
    </w:pPr>
    <w:rPr>
      <w:rFonts w:ascii="仿宋_GB2312" w:eastAsia="仿宋_GB2312"/>
      <w:kern w:val="0"/>
      <w:sz w:val="28"/>
      <w:szCs w:val="28"/>
    </w:rPr>
  </w:style>
  <w:style w:type="paragraph" w:customStyle="1" w:styleId="afffffffffffffff1">
    <w:name w:val="公式"/>
    <w:basedOn w:val="a7"/>
    <w:link w:val="Charffffe"/>
    <w:qFormat/>
    <w:pPr>
      <w:widowControl/>
      <w:tabs>
        <w:tab w:val="left" w:pos="6720"/>
      </w:tabs>
      <w:spacing w:after="160" w:line="360" w:lineRule="auto"/>
      <w:ind w:firstLineChars="400" w:firstLine="720"/>
    </w:pPr>
    <w:rPr>
      <w:rFonts w:hAnsi="宋体"/>
      <w:kern w:val="0"/>
      <w:sz w:val="18"/>
      <w:szCs w:val="20"/>
    </w:rPr>
  </w:style>
  <w:style w:type="paragraph" w:customStyle="1" w:styleId="afffffffffffffff2">
    <w:name w:val="正文：段落格式"/>
    <w:basedOn w:val="a7"/>
    <w:link w:val="Charfffff"/>
    <w:qFormat/>
    <w:pPr>
      <w:tabs>
        <w:tab w:val="left" w:pos="1440"/>
      </w:tabs>
      <w:adjustRightInd w:val="0"/>
      <w:snapToGrid w:val="0"/>
      <w:spacing w:after="160" w:line="440" w:lineRule="atLeast"/>
      <w:ind w:left="1440" w:hanging="360"/>
    </w:pPr>
    <w:rPr>
      <w:rFonts w:ascii="宋体" w:hAnsi="宋体"/>
      <w:color w:val="000000"/>
      <w:kern w:val="15"/>
      <w:sz w:val="24"/>
    </w:rPr>
  </w:style>
  <w:style w:type="paragraph" w:customStyle="1" w:styleId="ltext">
    <w:name w:val="l_text"/>
    <w:basedOn w:val="a7"/>
    <w:link w:val="ltextChar"/>
    <w:qFormat/>
    <w:pPr>
      <w:widowControl/>
      <w:overflowPunct w:val="0"/>
      <w:autoSpaceDE w:val="0"/>
      <w:autoSpaceDN w:val="0"/>
      <w:adjustRightInd w:val="0"/>
      <w:spacing w:after="160" w:line="360" w:lineRule="auto"/>
      <w:ind w:firstLine="567"/>
      <w:textAlignment w:val="baseline"/>
    </w:pPr>
    <w:rPr>
      <w:kern w:val="0"/>
      <w:sz w:val="28"/>
      <w:szCs w:val="20"/>
    </w:rPr>
  </w:style>
  <w:style w:type="paragraph" w:customStyle="1" w:styleId="162">
    <w:name w:val="样式16"/>
    <w:basedOn w:val="a7"/>
    <w:link w:val="16Char"/>
    <w:uiPriority w:val="99"/>
    <w:qFormat/>
    <w:pPr>
      <w:keepNext/>
      <w:keepLines/>
      <w:pageBreakBefore/>
      <w:widowControl/>
      <w:spacing w:after="160" w:line="800" w:lineRule="exact"/>
      <w:outlineLvl w:val="0"/>
    </w:pPr>
    <w:rPr>
      <w:rFonts w:eastAsia="华文中宋" w:hAnsi="华文中宋"/>
      <w:b/>
      <w:kern w:val="0"/>
      <w:sz w:val="32"/>
    </w:rPr>
  </w:style>
  <w:style w:type="paragraph" w:customStyle="1" w:styleId="1ff2">
    <w:name w:val="付正文1"/>
    <w:basedOn w:val="a7"/>
    <w:next w:val="a7"/>
    <w:link w:val="1Char7"/>
    <w:qFormat/>
    <w:pPr>
      <w:spacing w:after="160" w:line="360" w:lineRule="auto"/>
      <w:ind w:firstLineChars="200" w:firstLine="200"/>
    </w:pPr>
    <w:rPr>
      <w:rFonts w:ascii="宋体" w:hAnsi="宋体"/>
      <w:color w:val="000000"/>
      <w:kern w:val="0"/>
      <w:sz w:val="24"/>
    </w:rPr>
  </w:style>
  <w:style w:type="paragraph" w:customStyle="1" w:styleId="afffffffffffffff3">
    <w:name w:val="报告 小四"/>
    <w:link w:val="Charfffff0"/>
    <w:qFormat/>
    <w:pPr>
      <w:widowControl w:val="0"/>
      <w:spacing w:after="160" w:line="360" w:lineRule="auto"/>
      <w:ind w:firstLineChars="200" w:firstLine="512"/>
      <w:jc w:val="both"/>
    </w:pPr>
    <w:rPr>
      <w:spacing w:val="8"/>
      <w:kern w:val="2"/>
      <w:sz w:val="24"/>
    </w:rPr>
  </w:style>
  <w:style w:type="paragraph" w:customStyle="1" w:styleId="a-7">
    <w:name w:val="a-表名"/>
    <w:link w:val="a-Char7"/>
    <w:qFormat/>
    <w:pPr>
      <w:adjustRightInd w:val="0"/>
      <w:snapToGrid w:val="0"/>
      <w:spacing w:after="160" w:line="360" w:lineRule="auto"/>
      <w:jc w:val="center"/>
    </w:pPr>
    <w:rPr>
      <w:rFonts w:eastAsia="仿宋_GB2312"/>
      <w:b/>
      <w:color w:val="000000"/>
      <w:kern w:val="2"/>
      <w:sz w:val="24"/>
      <w:szCs w:val="21"/>
    </w:rPr>
  </w:style>
  <w:style w:type="paragraph" w:customStyle="1" w:styleId="afffffffffffffff4">
    <w:name w:val="题注 + 居中!"/>
    <w:basedOn w:val="af5"/>
    <w:link w:val="Charfffff1"/>
    <w:qFormat/>
    <w:pPr>
      <w:adjustRightInd w:val="0"/>
      <w:snapToGrid w:val="0"/>
      <w:spacing w:after="160"/>
      <w:jc w:val="center"/>
    </w:pPr>
    <w:rPr>
      <w:rFonts w:ascii="黑体" w:hAnsi="Arial"/>
      <w:kern w:val="0"/>
      <w:sz w:val="24"/>
      <w:szCs w:val="21"/>
    </w:rPr>
  </w:style>
  <w:style w:type="paragraph" w:customStyle="1" w:styleId="afffffffffffffff5">
    <w:name w:val="表格标题（左对齐）"/>
    <w:basedOn w:val="a7"/>
    <w:link w:val="Charfffff2"/>
    <w:qFormat/>
    <w:pPr>
      <w:adjustRightInd w:val="0"/>
      <w:snapToGrid w:val="0"/>
      <w:spacing w:before="120" w:after="160" w:line="278" w:lineRule="auto"/>
      <w:ind w:firstLine="255"/>
      <w:jc w:val="center"/>
    </w:pPr>
    <w:rPr>
      <w:rFonts w:eastAsia="黑体"/>
      <w:bCs/>
      <w:sz w:val="24"/>
    </w:rPr>
  </w:style>
  <w:style w:type="paragraph" w:customStyle="1" w:styleId="afffffffffffffff6">
    <w:name w:val="新正文"/>
    <w:basedOn w:val="a7"/>
    <w:link w:val="Charfffff3"/>
    <w:qFormat/>
    <w:pPr>
      <w:spacing w:after="160" w:line="480" w:lineRule="exact"/>
      <w:ind w:firstLine="482"/>
    </w:pPr>
    <w:rPr>
      <w:rFonts w:ascii="仿宋_GB2312" w:eastAsia="仿宋_GB2312"/>
      <w:bCs/>
      <w:kern w:val="0"/>
      <w:sz w:val="28"/>
      <w:szCs w:val="20"/>
    </w:rPr>
  </w:style>
  <w:style w:type="paragraph" w:customStyle="1" w:styleId="afffffffffffffff7">
    <w:name w:val="内容"/>
    <w:basedOn w:val="a7"/>
    <w:link w:val="CharCharf4"/>
    <w:uiPriority w:val="99"/>
    <w:qFormat/>
    <w:pPr>
      <w:widowControl/>
      <w:tabs>
        <w:tab w:val="left" w:pos="0"/>
      </w:tabs>
      <w:adjustRightInd w:val="0"/>
      <w:snapToGrid w:val="0"/>
      <w:spacing w:after="200" w:line="360" w:lineRule="auto"/>
      <w:ind w:firstLineChars="200" w:firstLine="480"/>
      <w:jc w:val="left"/>
    </w:pPr>
    <w:rPr>
      <w:rFonts w:eastAsia="Times New Roman"/>
      <w:kern w:val="0"/>
      <w:sz w:val="24"/>
    </w:rPr>
  </w:style>
  <w:style w:type="paragraph" w:customStyle="1" w:styleId="L">
    <w:name w:val="L正文"/>
    <w:basedOn w:val="a7"/>
    <w:link w:val="LChar"/>
    <w:qFormat/>
    <w:pPr>
      <w:autoSpaceDE w:val="0"/>
      <w:autoSpaceDN w:val="0"/>
      <w:adjustRightInd w:val="0"/>
      <w:snapToGrid w:val="0"/>
      <w:spacing w:after="160" w:line="360" w:lineRule="auto"/>
      <w:ind w:firstLineChars="200" w:firstLine="200"/>
    </w:pPr>
    <w:rPr>
      <w:bCs/>
      <w:kern w:val="0"/>
      <w:sz w:val="26"/>
      <w:szCs w:val="26"/>
    </w:rPr>
  </w:style>
  <w:style w:type="paragraph" w:customStyle="1" w:styleId="01CharChar0">
    <w:name w:val="表格01 Char Char"/>
    <w:basedOn w:val="a7"/>
    <w:link w:val="01CharCharChar"/>
    <w:qFormat/>
    <w:pPr>
      <w:adjustRightInd w:val="0"/>
      <w:snapToGrid w:val="0"/>
      <w:spacing w:before="120" w:after="160" w:line="480" w:lineRule="exact"/>
      <w:ind w:firstLineChars="200" w:firstLine="420"/>
      <w:jc w:val="center"/>
      <w:textAlignment w:val="baseline"/>
    </w:pPr>
    <w:rPr>
      <w:snapToGrid w:val="0"/>
      <w:spacing w:val="-2"/>
      <w:kern w:val="0"/>
      <w:sz w:val="28"/>
      <w:szCs w:val="28"/>
    </w:rPr>
  </w:style>
  <w:style w:type="paragraph" w:customStyle="1" w:styleId="67">
    <w:name w:val="标题6"/>
    <w:basedOn w:val="a7"/>
    <w:link w:val="6Char"/>
    <w:uiPriority w:val="99"/>
    <w:qFormat/>
    <w:pPr>
      <w:spacing w:after="160" w:line="300" w:lineRule="auto"/>
      <w:ind w:firstLineChars="200" w:firstLine="480"/>
      <w:outlineLvl w:val="0"/>
    </w:pPr>
    <w:rPr>
      <w:rFonts w:ascii="宋体" w:hAnsi="宋体"/>
    </w:rPr>
  </w:style>
  <w:style w:type="paragraph" w:customStyle="1" w:styleId="afffffffffffffff8">
    <w:name w:val="燕山正文"/>
    <w:basedOn w:val="a7"/>
    <w:link w:val="Charfffff4"/>
    <w:qFormat/>
    <w:pPr>
      <w:tabs>
        <w:tab w:val="left" w:pos="4680"/>
      </w:tabs>
      <w:adjustRightInd w:val="0"/>
      <w:snapToGrid w:val="0"/>
      <w:spacing w:after="160" w:line="360" w:lineRule="auto"/>
      <w:ind w:firstLineChars="200" w:firstLine="560"/>
      <w:jc w:val="left"/>
    </w:pPr>
    <w:rPr>
      <w:snapToGrid w:val="0"/>
      <w:color w:val="000000"/>
      <w:spacing w:val="10"/>
      <w:kern w:val="0"/>
      <w:sz w:val="24"/>
    </w:rPr>
  </w:style>
  <w:style w:type="paragraph" w:customStyle="1" w:styleId="afffffffffffffff9">
    <w:name w:val="三级标题新"/>
    <w:basedOn w:val="31"/>
    <w:link w:val="Charfffff5"/>
    <w:qFormat/>
    <w:pPr>
      <w:keepNext/>
      <w:keepLines/>
      <w:widowControl/>
      <w:numPr>
        <w:ilvl w:val="0"/>
        <w:numId w:val="0"/>
      </w:numPr>
      <w:spacing w:beforeLines="0" w:before="0" w:afterLines="0" w:after="0"/>
      <w:jc w:val="both"/>
      <w:textAlignment w:val="auto"/>
    </w:pPr>
    <w:rPr>
      <w:rFonts w:eastAsia="宋体" w:hAnsi="宋体"/>
      <w:color w:val="auto"/>
      <w:kern w:val="0"/>
      <w:sz w:val="28"/>
      <w:szCs w:val="28"/>
      <w:lang w:val="en-US" w:eastAsia="zh-TW"/>
    </w:rPr>
  </w:style>
  <w:style w:type="paragraph" w:customStyle="1" w:styleId="afffffffffffffffa">
    <w:name w:val="环小四表题"/>
    <w:basedOn w:val="a7"/>
    <w:link w:val="Charfffff6"/>
    <w:qFormat/>
    <w:pPr>
      <w:wordWrap w:val="0"/>
      <w:snapToGrid w:val="0"/>
      <w:spacing w:after="160" w:line="400" w:lineRule="exact"/>
      <w:jc w:val="right"/>
    </w:pPr>
    <w:rPr>
      <w:rFonts w:ascii="宋体"/>
      <w:b/>
      <w:kern w:val="0"/>
      <w:sz w:val="24"/>
    </w:rPr>
  </w:style>
  <w:style w:type="paragraph" w:customStyle="1" w:styleId="2ff3">
    <w:name w:val="样式 表注 + 首行缩进:  2 字符"/>
    <w:basedOn w:val="a7"/>
    <w:link w:val="2Char4"/>
    <w:semiHidden/>
    <w:qFormat/>
    <w:pPr>
      <w:adjustRightInd w:val="0"/>
      <w:snapToGrid w:val="0"/>
      <w:spacing w:after="160" w:line="280" w:lineRule="atLeast"/>
      <w:ind w:firstLineChars="200" w:firstLine="420"/>
    </w:pPr>
    <w:rPr>
      <w:kern w:val="0"/>
      <w:sz w:val="20"/>
    </w:rPr>
  </w:style>
  <w:style w:type="paragraph" w:customStyle="1" w:styleId="NormalCharCharChar">
    <w:name w:val="Normal Char Char Char"/>
    <w:link w:val="NormalCharCharCharChar"/>
    <w:qFormat/>
    <w:pPr>
      <w:widowControl w:val="0"/>
      <w:adjustRightInd w:val="0"/>
      <w:spacing w:after="160" w:line="360" w:lineRule="atLeast"/>
      <w:textAlignment w:val="baseline"/>
    </w:pPr>
    <w:rPr>
      <w:rFonts w:ascii="宋体"/>
      <w:sz w:val="34"/>
      <w:szCs w:val="24"/>
    </w:rPr>
  </w:style>
  <w:style w:type="paragraph" w:customStyle="1" w:styleId="11-h11stlevelSectionHeadl1b1Char1">
    <w:name w:val="样式 标题 1章标题 1-*+h11st levelSection Headl1b1Char + 黑体 三号1"/>
    <w:basedOn w:val="1"/>
    <w:link w:val="11-h11stlevelSectionHeadl1b1Char1Char"/>
    <w:semiHidden/>
    <w:qFormat/>
    <w:pPr>
      <w:keepNext/>
      <w:keepLines/>
      <w:widowControl/>
      <w:numPr>
        <w:numId w:val="0"/>
      </w:numPr>
      <w:snapToGrid/>
      <w:spacing w:beforeLines="0" w:before="300" w:after="300"/>
      <w:jc w:val="center"/>
    </w:pPr>
    <w:rPr>
      <w:rFonts w:ascii="黑体" w:eastAsia="Times New Roman" w:hAnsi="黑体"/>
      <w:b/>
      <w:bCs/>
      <w:sz w:val="32"/>
      <w:szCs w:val="44"/>
    </w:rPr>
  </w:style>
  <w:style w:type="paragraph" w:customStyle="1" w:styleId="afffffffffffffffb">
    <w:name w:val="小号"/>
    <w:basedOn w:val="a7"/>
    <w:next w:val="a7"/>
    <w:link w:val="Charfffff7"/>
    <w:qFormat/>
    <w:pPr>
      <w:spacing w:after="160" w:line="400" w:lineRule="exact"/>
      <w:ind w:firstLineChars="200" w:firstLine="420"/>
    </w:pPr>
    <w:rPr>
      <w:kern w:val="0"/>
      <w:sz w:val="24"/>
      <w:szCs w:val="20"/>
    </w:rPr>
  </w:style>
  <w:style w:type="paragraph" w:customStyle="1" w:styleId="afffffffffffffffc">
    <w:name w:val="小五表格"/>
    <w:link w:val="Charfffff8"/>
    <w:qFormat/>
    <w:pPr>
      <w:snapToGrid w:val="0"/>
      <w:spacing w:after="160" w:line="278" w:lineRule="auto"/>
    </w:pPr>
    <w:rPr>
      <w:rFonts w:eastAsia="Times New Roman"/>
      <w:sz w:val="18"/>
      <w:szCs w:val="18"/>
    </w:rPr>
  </w:style>
  <w:style w:type="paragraph" w:customStyle="1" w:styleId="1ff3">
    <w:name w:val="1标题"/>
    <w:basedOn w:val="1"/>
    <w:link w:val="1Char8"/>
    <w:qFormat/>
    <w:pPr>
      <w:keepNext/>
      <w:keepLines/>
      <w:numPr>
        <w:numId w:val="0"/>
      </w:numPr>
      <w:adjustRightInd w:val="0"/>
      <w:spacing w:beforeLines="150" w:before="468" w:afterLines="100" w:after="312" w:line="480" w:lineRule="auto"/>
      <w:ind w:firstLineChars="188" w:firstLine="566"/>
      <w:jc w:val="left"/>
      <w:textAlignment w:val="baseline"/>
    </w:pPr>
    <w:rPr>
      <w:rFonts w:ascii="宋体" w:eastAsia="宋体" w:hAnsi="宋体"/>
      <w:b/>
      <w:sz w:val="30"/>
      <w:szCs w:val="30"/>
    </w:rPr>
  </w:style>
  <w:style w:type="paragraph" w:customStyle="1" w:styleId="x">
    <w:name w:val="x文"/>
    <w:basedOn w:val="a7"/>
    <w:link w:val="xCharChar"/>
    <w:qFormat/>
    <w:pPr>
      <w:spacing w:after="160" w:line="360" w:lineRule="auto"/>
      <w:ind w:firstLineChars="200" w:firstLine="480"/>
    </w:pPr>
    <w:rPr>
      <w:rFonts w:ascii="宋体" w:hAnsi="宋体"/>
      <w:sz w:val="24"/>
    </w:rPr>
  </w:style>
  <w:style w:type="paragraph" w:customStyle="1" w:styleId="afffffffffffffffd">
    <w:name w:val="表格式"/>
    <w:basedOn w:val="afffa"/>
    <w:link w:val="Charfffff9"/>
    <w:qFormat/>
    <w:pPr>
      <w:adjustRightInd/>
      <w:spacing w:after="160" w:line="240" w:lineRule="auto"/>
      <w:ind w:left="0" w:rightChars="-45" w:right="-45" w:firstLineChars="0" w:firstLine="0"/>
      <w:jc w:val="center"/>
      <w:textAlignment w:val="auto"/>
    </w:pPr>
    <w:rPr>
      <w:rFonts w:ascii="宋体" w:hAnsi="宋体"/>
      <w:color w:val="0000FF"/>
      <w:spacing w:val="-5"/>
      <w:kern w:val="2"/>
      <w:sz w:val="21"/>
      <w:szCs w:val="21"/>
      <w:lang w:val="zh-CN"/>
    </w:rPr>
  </w:style>
  <w:style w:type="paragraph" w:customStyle="1" w:styleId="afffffffffffffffe">
    <w:name w:val="报告文字"/>
    <w:basedOn w:val="a7"/>
    <w:link w:val="Charfffffa"/>
    <w:qFormat/>
    <w:pPr>
      <w:snapToGrid w:val="0"/>
      <w:spacing w:after="160" w:line="360" w:lineRule="auto"/>
      <w:ind w:firstLineChars="200" w:firstLine="200"/>
      <w:jc w:val="left"/>
    </w:pPr>
    <w:rPr>
      <w:rFonts w:eastAsia="仿宋_GB2312"/>
      <w:kern w:val="0"/>
      <w:sz w:val="28"/>
      <w:szCs w:val="20"/>
    </w:rPr>
  </w:style>
  <w:style w:type="paragraph" w:customStyle="1" w:styleId="affffffffffffffff">
    <w:name w:val="小四正文"/>
    <w:link w:val="Charfffffb"/>
    <w:qFormat/>
    <w:pPr>
      <w:widowControl w:val="0"/>
      <w:snapToGrid w:val="0"/>
      <w:spacing w:after="160" w:line="360" w:lineRule="auto"/>
      <w:ind w:firstLineChars="200" w:firstLine="200"/>
      <w:jc w:val="both"/>
    </w:pPr>
    <w:rPr>
      <w:color w:val="000000"/>
      <w:spacing w:val="-2"/>
      <w:sz w:val="24"/>
    </w:rPr>
  </w:style>
  <w:style w:type="paragraph" w:customStyle="1" w:styleId="affffffffffffffff0">
    <w:name w:val="图名表头"/>
    <w:basedOn w:val="a7"/>
    <w:link w:val="Charfffffc"/>
    <w:qFormat/>
    <w:pPr>
      <w:spacing w:beforeLines="50" w:before="156" w:after="160" w:line="278" w:lineRule="auto"/>
      <w:jc w:val="center"/>
    </w:pPr>
  </w:style>
  <w:style w:type="paragraph" w:customStyle="1" w:styleId="2ff4">
    <w:name w:val="左2"/>
    <w:basedOn w:val="a7"/>
    <w:next w:val="a7"/>
    <w:link w:val="2Char5"/>
    <w:qFormat/>
    <w:pPr>
      <w:spacing w:after="160" w:line="500" w:lineRule="exact"/>
      <w:ind w:firstLineChars="200" w:firstLine="560"/>
    </w:pPr>
    <w:rPr>
      <w:rFonts w:ascii="宋体" w:hAnsi="宋体"/>
      <w:sz w:val="28"/>
      <w:szCs w:val="28"/>
    </w:rPr>
  </w:style>
  <w:style w:type="paragraph" w:customStyle="1" w:styleId="affffffffffffffff1">
    <w:name w:val="顶格 加粗"/>
    <w:basedOn w:val="a7"/>
    <w:link w:val="Charfffffd"/>
    <w:qFormat/>
    <w:pPr>
      <w:spacing w:beforeLines="30" w:after="160" w:line="360" w:lineRule="auto"/>
    </w:pPr>
    <w:rPr>
      <w:rFonts w:ascii="宋体" w:hAnsi="宋体"/>
      <w:b/>
      <w:kern w:val="0"/>
      <w:sz w:val="20"/>
    </w:rPr>
  </w:style>
  <w:style w:type="paragraph" w:customStyle="1" w:styleId="2ff5">
    <w:name w:val="样式 正文首行缩进 2 + (符号) 宋体 + (符号) 宋体"/>
    <w:basedOn w:val="a7"/>
    <w:link w:val="2CharChar"/>
    <w:qFormat/>
    <w:pPr>
      <w:spacing w:after="160" w:line="360" w:lineRule="auto"/>
      <w:ind w:firstLineChars="200" w:firstLine="200"/>
    </w:pPr>
    <w:rPr>
      <w:kern w:val="0"/>
      <w:sz w:val="20"/>
      <w:szCs w:val="20"/>
    </w:rPr>
  </w:style>
  <w:style w:type="paragraph" w:customStyle="1" w:styleId="affffffffffffffff2">
    <w:name w:val="a)"/>
    <w:basedOn w:val="a7"/>
    <w:link w:val="aCharChar"/>
    <w:qFormat/>
    <w:pPr>
      <w:adjustRightInd w:val="0"/>
      <w:spacing w:after="160" w:line="360" w:lineRule="auto"/>
      <w:ind w:firstLine="567"/>
      <w:textAlignment w:val="baseline"/>
    </w:pPr>
    <w:rPr>
      <w:kern w:val="0"/>
      <w:sz w:val="28"/>
      <w:szCs w:val="20"/>
    </w:rPr>
  </w:style>
  <w:style w:type="paragraph" w:customStyle="1" w:styleId="affffffffffffffff3">
    <w:name w:val="新佑正文"/>
    <w:link w:val="Charfffffe"/>
    <w:qFormat/>
    <w:pPr>
      <w:spacing w:after="160" w:line="360" w:lineRule="auto"/>
      <w:ind w:firstLineChars="200" w:firstLine="480"/>
    </w:pPr>
    <w:rPr>
      <w:sz w:val="24"/>
    </w:rPr>
  </w:style>
  <w:style w:type="paragraph" w:customStyle="1" w:styleId="225">
    <w:name w:val="样式 样式 样式 正文 首行缩进 + 首行缩进:  2 字符 行距: 单倍行距 + 首行缩进:  2 字符 + 小四 首行缩进..."/>
    <w:basedOn w:val="a7"/>
    <w:link w:val="22Char1"/>
    <w:qFormat/>
    <w:pPr>
      <w:snapToGrid w:val="0"/>
      <w:spacing w:after="160" w:line="312" w:lineRule="auto"/>
      <w:ind w:firstLineChars="200" w:firstLine="200"/>
      <w:jc w:val="left"/>
    </w:pPr>
    <w:rPr>
      <w:kern w:val="0"/>
      <w:sz w:val="24"/>
      <w:szCs w:val="20"/>
    </w:rPr>
  </w:style>
  <w:style w:type="paragraph" w:customStyle="1" w:styleId="68">
    <w:name w:val="样式 标题 6"/>
    <w:basedOn w:val="6"/>
    <w:link w:val="6Char0"/>
    <w:uiPriority w:val="99"/>
    <w:qFormat/>
    <w:pPr>
      <w:tabs>
        <w:tab w:val="left" w:pos="1080"/>
      </w:tabs>
      <w:adjustRightInd w:val="0"/>
      <w:snapToGrid w:val="0"/>
      <w:spacing w:before="0" w:after="0" w:line="360" w:lineRule="auto"/>
      <w:ind w:left="1152" w:firstLineChars="200" w:firstLine="560"/>
      <w:jc w:val="left"/>
    </w:pPr>
    <w:rPr>
      <w:rFonts w:ascii="Times New Roman" w:hAnsi="Times New Roman"/>
      <w:b w:val="0"/>
      <w:bCs w:val="0"/>
      <w:sz w:val="28"/>
      <w:szCs w:val="20"/>
    </w:rPr>
  </w:style>
  <w:style w:type="paragraph" w:customStyle="1" w:styleId="1ff4">
    <w:name w:val="表格1"/>
    <w:basedOn w:val="a7"/>
    <w:link w:val="1Char9"/>
    <w:uiPriority w:val="99"/>
    <w:qFormat/>
    <w:pPr>
      <w:tabs>
        <w:tab w:val="left" w:pos="3105"/>
      </w:tabs>
      <w:spacing w:after="160" w:line="240" w:lineRule="exact"/>
      <w:jc w:val="center"/>
    </w:pPr>
    <w:rPr>
      <w:rFonts w:ascii="宋体" w:hAnsi="宋体"/>
      <w:sz w:val="18"/>
    </w:rPr>
  </w:style>
  <w:style w:type="paragraph" w:customStyle="1" w:styleId="3fa">
    <w:name w:val="封3"/>
    <w:basedOn w:val="aff8"/>
    <w:link w:val="3Char2"/>
    <w:qFormat/>
    <w:pPr>
      <w:snapToGrid w:val="0"/>
      <w:spacing w:after="160" w:line="560" w:lineRule="exact"/>
      <w:jc w:val="center"/>
    </w:pPr>
    <w:rPr>
      <w:rFonts w:ascii="Times New Roman" w:hAnsi="Times New Roman" w:cs="Times New Roman"/>
      <w:b/>
      <w:kern w:val="0"/>
      <w:sz w:val="32"/>
      <w:szCs w:val="20"/>
    </w:rPr>
  </w:style>
  <w:style w:type="paragraph" w:customStyle="1" w:styleId="201258">
    <w:name w:val="2012.5.8"/>
    <w:basedOn w:val="a7"/>
    <w:link w:val="201258Char"/>
    <w:qFormat/>
    <w:pPr>
      <w:tabs>
        <w:tab w:val="left" w:pos="1260"/>
      </w:tabs>
      <w:spacing w:after="160" w:line="360" w:lineRule="auto"/>
      <w:ind w:firstLineChars="200" w:firstLine="560"/>
    </w:pPr>
    <w:rPr>
      <w:rFonts w:ascii="幼圆" w:eastAsia="幼圆" w:hAnsi="华文细黑"/>
      <w:kern w:val="0"/>
      <w:sz w:val="28"/>
      <w:szCs w:val="28"/>
    </w:rPr>
  </w:style>
  <w:style w:type="paragraph" w:customStyle="1" w:styleId="3H3H31H32H333CharChar">
    <w:name w:val="样式 标题 3H3H31H32H33标题 3 Char Char + (中文) 宋体"/>
    <w:basedOn w:val="31"/>
    <w:link w:val="3H3H31H32H333CharCharChar"/>
    <w:qFormat/>
    <w:pPr>
      <w:keepNext/>
      <w:keepLines/>
      <w:numPr>
        <w:ilvl w:val="0"/>
        <w:numId w:val="0"/>
      </w:numPr>
      <w:tabs>
        <w:tab w:val="clear" w:pos="864"/>
        <w:tab w:val="left" w:pos="860"/>
      </w:tabs>
      <w:overflowPunct w:val="0"/>
      <w:topLinePunct/>
      <w:adjustRightInd/>
      <w:snapToGrid/>
      <w:spacing w:beforeLines="0" w:before="0" w:afterLines="0" w:after="0" w:line="348" w:lineRule="auto"/>
      <w:ind w:left="860" w:hanging="720"/>
      <w:jc w:val="center"/>
      <w:textAlignment w:val="auto"/>
    </w:pPr>
    <w:rPr>
      <w:rFonts w:ascii="Arial" w:eastAsia="宋体" w:hAnsi="Arial"/>
      <w:color w:val="auto"/>
      <w:kern w:val="0"/>
      <w:szCs w:val="28"/>
      <w:lang w:val="en-US"/>
    </w:rPr>
  </w:style>
  <w:style w:type="paragraph" w:customStyle="1" w:styleId="affffffffffffffff4">
    <w:name w:val="图表题"/>
    <w:link w:val="Charffffff"/>
    <w:qFormat/>
    <w:pPr>
      <w:spacing w:after="160" w:line="278" w:lineRule="auto"/>
      <w:jc w:val="center"/>
    </w:pPr>
    <w:rPr>
      <w:rFonts w:ascii="黑体" w:eastAsia="黑体"/>
      <w:b/>
      <w:bCs/>
    </w:rPr>
  </w:style>
  <w:style w:type="paragraph" w:customStyle="1" w:styleId="2ff6">
    <w:name w:val="表2"/>
    <w:basedOn w:val="a7"/>
    <w:link w:val="Charffffff0"/>
    <w:qFormat/>
    <w:pPr>
      <w:snapToGrid w:val="0"/>
      <w:spacing w:after="160" w:line="360" w:lineRule="auto"/>
      <w:ind w:firstLine="482"/>
      <w:jc w:val="center"/>
    </w:pPr>
    <w:rPr>
      <w:spacing w:val="2"/>
      <w:kern w:val="0"/>
      <w:sz w:val="20"/>
      <w:szCs w:val="20"/>
    </w:rPr>
  </w:style>
  <w:style w:type="paragraph" w:customStyle="1" w:styleId="CharCharCharChar1">
    <w:name w:val="热电厂正文 Char Char Char Char"/>
    <w:basedOn w:val="a7"/>
    <w:link w:val="CharCharCharCharChar"/>
    <w:qFormat/>
    <w:pPr>
      <w:spacing w:after="160" w:line="440" w:lineRule="exact"/>
      <w:ind w:firstLineChars="200" w:firstLine="480"/>
    </w:pPr>
    <w:rPr>
      <w:sz w:val="24"/>
    </w:rPr>
  </w:style>
  <w:style w:type="paragraph" w:customStyle="1" w:styleId="affffffffffffffff5">
    <w:name w:val="陈正文"/>
    <w:basedOn w:val="a7"/>
    <w:next w:val="a7"/>
    <w:link w:val="CharCharf5"/>
    <w:qFormat/>
    <w:pPr>
      <w:snapToGrid w:val="0"/>
      <w:spacing w:after="160" w:line="360" w:lineRule="auto"/>
      <w:ind w:firstLineChars="200" w:firstLine="480"/>
      <w:jc w:val="left"/>
    </w:pPr>
    <w:rPr>
      <w:rFonts w:hAnsi="宋体"/>
      <w:kern w:val="0"/>
      <w:sz w:val="24"/>
      <w:szCs w:val="20"/>
    </w:rPr>
  </w:style>
  <w:style w:type="paragraph" w:customStyle="1" w:styleId="affffffffffffffff6">
    <w:name w:val="海南化工城正文"/>
    <w:basedOn w:val="a7"/>
    <w:link w:val="Charffffff1"/>
    <w:qFormat/>
    <w:pPr>
      <w:spacing w:after="160" w:line="324" w:lineRule="auto"/>
      <w:ind w:firstLineChars="200" w:firstLine="480"/>
    </w:pPr>
    <w:rPr>
      <w:rFonts w:ascii="宋体" w:hAnsi="宋体"/>
      <w:kern w:val="0"/>
      <w:sz w:val="24"/>
      <w:szCs w:val="20"/>
    </w:rPr>
  </w:style>
  <w:style w:type="paragraph" w:customStyle="1" w:styleId="affffffffffffffff7">
    <w:name w:val="表格文字居中"/>
    <w:basedOn w:val="a7"/>
    <w:next w:val="a7"/>
    <w:link w:val="Char1d"/>
    <w:qFormat/>
    <w:pPr>
      <w:spacing w:after="160" w:line="360" w:lineRule="auto"/>
      <w:ind w:firstLine="482"/>
      <w:jc w:val="center"/>
    </w:pPr>
    <w:rPr>
      <w:rFonts w:ascii="Arial" w:hAnsi="Arial"/>
      <w:kern w:val="0"/>
      <w:sz w:val="24"/>
    </w:rPr>
  </w:style>
  <w:style w:type="paragraph" w:customStyle="1" w:styleId="affffffffffffffff8">
    <w:name w:val="表内格式"/>
    <w:basedOn w:val="a7"/>
    <w:link w:val="Char1e"/>
    <w:qFormat/>
    <w:pPr>
      <w:spacing w:after="160" w:line="278" w:lineRule="auto"/>
      <w:jc w:val="center"/>
    </w:pPr>
    <w:rPr>
      <w:kern w:val="0"/>
      <w:sz w:val="18"/>
      <w:szCs w:val="20"/>
    </w:rPr>
  </w:style>
  <w:style w:type="paragraph" w:customStyle="1" w:styleId="1H1Heading11level1Level1HeadPIM1A1">
    <w:name w:val="样式 标题 1H1Heading 11level 1Level 1 Head章章节标题PIM 1第A章第*部分...1"/>
    <w:basedOn w:val="1"/>
    <w:link w:val="1H1Heading11level1Level1HeadPIM1A1Char"/>
    <w:qFormat/>
    <w:pPr>
      <w:keepNext/>
      <w:keepLines/>
      <w:pageBreakBefore/>
      <w:numPr>
        <w:numId w:val="0"/>
      </w:numPr>
      <w:adjustRightInd w:val="0"/>
      <w:spacing w:beforeLines="150" w:before="340" w:afterLines="100" w:after="330" w:line="400" w:lineRule="atLeast"/>
      <w:ind w:left="232" w:hanging="432"/>
      <w:jc w:val="center"/>
    </w:pPr>
    <w:rPr>
      <w:rFonts w:eastAsia="宋体"/>
      <w:b/>
      <w:bCs/>
      <w:kern w:val="0"/>
      <w:sz w:val="36"/>
      <w:szCs w:val="32"/>
    </w:rPr>
  </w:style>
  <w:style w:type="paragraph" w:customStyle="1" w:styleId="dxj">
    <w:name w:val="dxj正文"/>
    <w:basedOn w:val="a7"/>
    <w:link w:val="dxjCharChar"/>
    <w:uiPriority w:val="99"/>
    <w:qFormat/>
    <w:pPr>
      <w:adjustRightInd w:val="0"/>
      <w:snapToGrid w:val="0"/>
      <w:spacing w:after="160" w:line="360" w:lineRule="auto"/>
      <w:ind w:firstLineChars="200" w:firstLine="200"/>
      <w:jc w:val="left"/>
    </w:pPr>
    <w:rPr>
      <w:kern w:val="0"/>
      <w:sz w:val="24"/>
      <w:szCs w:val="20"/>
    </w:rPr>
  </w:style>
  <w:style w:type="paragraph" w:customStyle="1" w:styleId="wsb2">
    <w:name w:val="wsb正文2"/>
    <w:basedOn w:val="a7"/>
    <w:link w:val="wsb2Char"/>
    <w:qFormat/>
    <w:pPr>
      <w:spacing w:after="160" w:line="360" w:lineRule="auto"/>
      <w:ind w:firstLineChars="200" w:firstLine="480"/>
    </w:pPr>
    <w:rPr>
      <w:sz w:val="24"/>
    </w:rPr>
  </w:style>
  <w:style w:type="paragraph" w:customStyle="1" w:styleId="2ff7">
    <w:name w:val="+标题2"/>
    <w:basedOn w:val="21"/>
    <w:link w:val="2Char6"/>
    <w:uiPriority w:val="99"/>
    <w:qFormat/>
    <w:pPr>
      <w:keepNext/>
      <w:keepLines/>
      <w:numPr>
        <w:ilvl w:val="0"/>
        <w:numId w:val="0"/>
      </w:numPr>
      <w:tabs>
        <w:tab w:val="left" w:pos="0"/>
        <w:tab w:val="left" w:pos="1400"/>
      </w:tabs>
      <w:spacing w:beforeLines="50" w:before="260" w:afterLines="50" w:after="260"/>
      <w:ind w:left="1400" w:hanging="420"/>
      <w:jc w:val="both"/>
    </w:pPr>
    <w:rPr>
      <w:rFonts w:eastAsia="宋体"/>
      <w:bCs w:val="0"/>
      <w:smallCaps w:val="0"/>
      <w:color w:val="auto"/>
      <w:kern w:val="0"/>
      <w:sz w:val="28"/>
      <w:szCs w:val="20"/>
    </w:rPr>
  </w:style>
  <w:style w:type="paragraph" w:customStyle="1" w:styleId="affffffffffffffff9">
    <w:name w:val="陈表格中内容"/>
    <w:basedOn w:val="a7"/>
    <w:next w:val="a7"/>
    <w:link w:val="CharCharf6"/>
    <w:qFormat/>
    <w:pPr>
      <w:spacing w:after="160" w:line="288" w:lineRule="auto"/>
      <w:jc w:val="center"/>
    </w:pPr>
    <w:rPr>
      <w:rFonts w:hAnsi="宋体"/>
      <w:color w:val="000000"/>
      <w:kern w:val="0"/>
      <w:sz w:val="20"/>
    </w:rPr>
  </w:style>
  <w:style w:type="paragraph" w:customStyle="1" w:styleId="affffffffffffffffa">
    <w:name w:val="表格内字体"/>
    <w:basedOn w:val="afffffff2"/>
    <w:next w:val="afffffff2"/>
    <w:link w:val="CharCharf7"/>
    <w:qFormat/>
    <w:pPr>
      <w:widowControl w:val="0"/>
      <w:spacing w:after="160" w:line="240" w:lineRule="auto"/>
      <w:ind w:leftChars="-132" w:left="-277" w:firstLineChars="132" w:firstLine="277"/>
      <w:jc w:val="center"/>
    </w:pPr>
    <w:rPr>
      <w:rFonts w:hAnsi="宋体" w:cs="Times New Roman"/>
      <w:color w:val="FF0000"/>
      <w:kern w:val="0"/>
      <w:sz w:val="21"/>
      <w:szCs w:val="21"/>
    </w:rPr>
  </w:style>
  <w:style w:type="paragraph" w:customStyle="1" w:styleId="11-h11stlevelSectionHeadl1b1Char">
    <w:name w:val="样式 标题 1章标题 1-*+h11st levelSection Headl1b1Char + 黑体 三号"/>
    <w:basedOn w:val="1"/>
    <w:link w:val="11-h11stlevelSectionHeadl1b1CharChar"/>
    <w:semiHidden/>
    <w:qFormat/>
    <w:pPr>
      <w:keepNext/>
      <w:keepLines/>
      <w:widowControl/>
      <w:numPr>
        <w:numId w:val="0"/>
      </w:numPr>
      <w:snapToGrid/>
      <w:spacing w:beforeLines="0" w:before="300" w:after="300"/>
    </w:pPr>
    <w:rPr>
      <w:rFonts w:ascii="黑体" w:eastAsia="Times New Roman" w:hAnsi="黑体"/>
      <w:b/>
      <w:bCs/>
      <w:sz w:val="32"/>
      <w:szCs w:val="44"/>
    </w:rPr>
  </w:style>
  <w:style w:type="paragraph" w:customStyle="1" w:styleId="3H31">
    <w:name w:val="样式 标题 3H3 + 黑色1"/>
    <w:basedOn w:val="31"/>
    <w:link w:val="3H31Char"/>
    <w:qFormat/>
    <w:pPr>
      <w:keepNext/>
      <w:keepLines/>
      <w:numPr>
        <w:ilvl w:val="0"/>
        <w:numId w:val="0"/>
      </w:numPr>
      <w:tabs>
        <w:tab w:val="left" w:pos="454"/>
      </w:tabs>
      <w:spacing w:beforeLines="0" w:before="0" w:afterLines="0" w:after="0" w:line="460" w:lineRule="exact"/>
      <w:ind w:left="720" w:hanging="720"/>
      <w:textAlignment w:val="auto"/>
    </w:pPr>
    <w:rPr>
      <w:rFonts w:eastAsia="宋体"/>
      <w:bCs w:val="0"/>
      <w:color w:val="000000"/>
      <w:kern w:val="0"/>
      <w:sz w:val="24"/>
      <w:lang w:val="en-US"/>
    </w:rPr>
  </w:style>
  <w:style w:type="paragraph" w:customStyle="1" w:styleId="3fb">
    <w:name w:val="3标题(治)"/>
    <w:basedOn w:val="31"/>
    <w:link w:val="3Char3"/>
    <w:qFormat/>
    <w:pPr>
      <w:keepNext/>
      <w:keepLines/>
      <w:numPr>
        <w:ilvl w:val="0"/>
        <w:numId w:val="0"/>
      </w:numPr>
      <w:adjustRightInd/>
      <w:snapToGrid/>
      <w:spacing w:before="156" w:after="156"/>
    </w:pPr>
    <w:rPr>
      <w:rFonts w:eastAsia="宋体"/>
      <w:color w:val="auto"/>
      <w:sz w:val="28"/>
      <w:szCs w:val="28"/>
      <w:lang w:val="en-US"/>
    </w:rPr>
  </w:style>
  <w:style w:type="paragraph" w:customStyle="1" w:styleId="105051">
    <w:name w:val="标题 1 + 段前: 0.5 行 段后: 0.5 行1"/>
    <w:basedOn w:val="a7"/>
    <w:link w:val="105051Char"/>
    <w:qFormat/>
    <w:pPr>
      <w:spacing w:before="600" w:after="480" w:line="460" w:lineRule="exact"/>
      <w:ind w:leftChars="-85" w:left="-178" w:rightChars="-42" w:right="-88" w:firstLine="482"/>
      <w:jc w:val="center"/>
      <w:outlineLvl w:val="0"/>
    </w:pPr>
    <w:rPr>
      <w:rFonts w:ascii="宋体" w:hAnsi="宋体"/>
      <w:kern w:val="44"/>
      <w:sz w:val="36"/>
      <w:szCs w:val="36"/>
    </w:rPr>
  </w:style>
  <w:style w:type="paragraph" w:customStyle="1" w:styleId="affffffffffffffffb">
    <w:name w:val="表上文字"/>
    <w:basedOn w:val="a7"/>
    <w:link w:val="Charffffff2"/>
    <w:qFormat/>
    <w:pPr>
      <w:spacing w:beforeLines="100" w:afterLines="100" w:after="160" w:line="360" w:lineRule="auto"/>
      <w:jc w:val="center"/>
    </w:pPr>
    <w:rPr>
      <w:color w:val="000000"/>
      <w:spacing w:val="10"/>
      <w:kern w:val="0"/>
      <w:sz w:val="32"/>
      <w:szCs w:val="32"/>
      <w:lang w:val="zh-CN"/>
    </w:rPr>
  </w:style>
  <w:style w:type="paragraph" w:customStyle="1" w:styleId="CharCharf8">
    <w:name w:val="表标题 Char Char"/>
    <w:basedOn w:val="a7"/>
    <w:link w:val="CharCharChar5"/>
    <w:qFormat/>
    <w:pPr>
      <w:adjustRightInd w:val="0"/>
      <w:snapToGrid w:val="0"/>
      <w:spacing w:before="40" w:afterLines="50" w:after="160" w:line="400" w:lineRule="atLeast"/>
      <w:jc w:val="center"/>
    </w:pPr>
    <w:rPr>
      <w:b/>
      <w:bCs/>
      <w:kern w:val="0"/>
      <w:sz w:val="24"/>
    </w:rPr>
  </w:style>
  <w:style w:type="paragraph" w:customStyle="1" w:styleId="z-10">
    <w:name w:val="z-窗体底端1"/>
    <w:basedOn w:val="a7"/>
    <w:next w:val="a7"/>
    <w:link w:val="z-"/>
    <w:qFormat/>
    <w:pPr>
      <w:widowControl/>
      <w:pBdr>
        <w:top w:val="single" w:sz="6" w:space="1" w:color="auto"/>
      </w:pBdr>
      <w:spacing w:after="160" w:line="278" w:lineRule="auto"/>
      <w:jc w:val="center"/>
    </w:pPr>
    <w:rPr>
      <w:rFonts w:ascii="Arial" w:hAnsi="Arial"/>
      <w:vanish/>
      <w:kern w:val="0"/>
      <w:sz w:val="16"/>
      <w:szCs w:val="16"/>
    </w:rPr>
  </w:style>
  <w:style w:type="paragraph" w:customStyle="1" w:styleId="affffffffffffffffc">
    <w:name w:val="+正文"/>
    <w:basedOn w:val="a7"/>
    <w:link w:val="Char1f"/>
    <w:uiPriority w:val="99"/>
    <w:qFormat/>
    <w:pPr>
      <w:spacing w:after="160" w:line="360" w:lineRule="auto"/>
      <w:ind w:firstLineChars="200" w:firstLine="200"/>
    </w:pPr>
    <w:rPr>
      <w:kern w:val="0"/>
      <w:sz w:val="28"/>
      <w:szCs w:val="28"/>
    </w:rPr>
  </w:style>
  <w:style w:type="paragraph" w:customStyle="1" w:styleId="affffffffffffffffd">
    <w:name w:val="【图片】"/>
    <w:next w:val="affff7"/>
    <w:link w:val="CharCharf9"/>
    <w:qFormat/>
    <w:pPr>
      <w:spacing w:after="160" w:line="278" w:lineRule="auto"/>
      <w:jc w:val="center"/>
    </w:pPr>
    <w:rPr>
      <w:rFonts w:ascii="宋体" w:eastAsia="Times New Roman" w:hAnsi="宋体"/>
      <w:sz w:val="24"/>
    </w:rPr>
  </w:style>
  <w:style w:type="paragraph" w:customStyle="1" w:styleId="0">
    <w:name w:val="样式 居中 首行缩进:  0 字符"/>
    <w:basedOn w:val="a7"/>
    <w:next w:val="a7"/>
    <w:link w:val="0Char"/>
    <w:qFormat/>
    <w:pPr>
      <w:adjustRightInd w:val="0"/>
      <w:snapToGrid w:val="0"/>
      <w:spacing w:after="160" w:line="278" w:lineRule="auto"/>
      <w:jc w:val="center"/>
    </w:pPr>
    <w:rPr>
      <w:color w:val="FF0000"/>
      <w:kern w:val="0"/>
      <w:sz w:val="18"/>
    </w:rPr>
  </w:style>
  <w:style w:type="paragraph" w:customStyle="1" w:styleId="hb3TimesNewRoman">
    <w:name w:val="样式 hb3 + Times New Roman"/>
    <w:basedOn w:val="hb3"/>
    <w:next w:val="af3"/>
    <w:link w:val="hb3TimesNewRomanChar"/>
    <w:qFormat/>
    <w:pPr>
      <w:tabs>
        <w:tab w:val="left" w:pos="454"/>
      </w:tabs>
    </w:pPr>
    <w:rPr>
      <w:rFonts w:eastAsia="黑体" w:hAnsi="Times New Roman"/>
    </w:rPr>
  </w:style>
  <w:style w:type="paragraph" w:customStyle="1" w:styleId="JWoo14">
    <w:name w:val="JWoo14"/>
    <w:basedOn w:val="a7"/>
    <w:link w:val="JWoo14Char"/>
    <w:uiPriority w:val="99"/>
    <w:qFormat/>
    <w:pPr>
      <w:widowControl/>
      <w:snapToGrid w:val="0"/>
      <w:spacing w:before="120" w:after="120" w:line="360" w:lineRule="auto"/>
      <w:ind w:firstLineChars="200" w:firstLine="200"/>
      <w:jc w:val="left"/>
    </w:pPr>
    <w:rPr>
      <w:w w:val="101"/>
      <w:kern w:val="0"/>
      <w:sz w:val="24"/>
      <w:szCs w:val="20"/>
      <w:lang w:val="zh-CN"/>
    </w:rPr>
  </w:style>
  <w:style w:type="paragraph" w:customStyle="1" w:styleId="2ff8">
    <w:name w:val="首行缩进2"/>
    <w:basedOn w:val="a7"/>
    <w:link w:val="2Char7"/>
    <w:qFormat/>
    <w:pPr>
      <w:adjustRightInd w:val="0"/>
      <w:snapToGrid w:val="0"/>
      <w:spacing w:after="160" w:line="360" w:lineRule="auto"/>
      <w:ind w:firstLineChars="200" w:firstLine="480"/>
    </w:pPr>
    <w:rPr>
      <w:rFonts w:ascii="仿宋_GB2312" w:eastAsia="仿宋_GB2312"/>
      <w:color w:val="000000"/>
      <w:kern w:val="0"/>
      <w:sz w:val="24"/>
    </w:rPr>
  </w:style>
  <w:style w:type="paragraph" w:customStyle="1" w:styleId="affffffffffffffffe">
    <w:name w:val="正文新"/>
    <w:basedOn w:val="af3"/>
    <w:link w:val="Char1f0"/>
    <w:qFormat/>
    <w:pPr>
      <w:widowControl/>
      <w:spacing w:after="160"/>
      <w:ind w:firstLine="880"/>
      <w:jc w:val="left"/>
    </w:pPr>
    <w:rPr>
      <w:rFonts w:cs="Times New Roman"/>
      <w:kern w:val="0"/>
      <w:sz w:val="24"/>
    </w:rPr>
  </w:style>
  <w:style w:type="paragraph" w:customStyle="1" w:styleId="afffffffffffffffff">
    <w:name w:val="图片标题"/>
    <w:basedOn w:val="a7"/>
    <w:link w:val="Charffffff3"/>
    <w:qFormat/>
    <w:pPr>
      <w:snapToGrid w:val="0"/>
      <w:spacing w:afterLines="50" w:after="50" w:line="360" w:lineRule="auto"/>
      <w:ind w:firstLineChars="200" w:firstLine="883"/>
      <w:jc w:val="center"/>
    </w:pPr>
    <w:rPr>
      <w:b/>
      <w:bCs/>
      <w:kern w:val="0"/>
      <w:sz w:val="20"/>
    </w:rPr>
  </w:style>
  <w:style w:type="paragraph" w:customStyle="1" w:styleId="afffffffffffffffff0">
    <w:name w:val="表格标题"/>
    <w:basedOn w:val="a7"/>
    <w:link w:val="afffffffffffffffff1"/>
    <w:uiPriority w:val="99"/>
    <w:qFormat/>
    <w:pPr>
      <w:shd w:val="clear" w:color="auto" w:fill="FFFFFF"/>
      <w:spacing w:after="160" w:line="0" w:lineRule="atLeast"/>
      <w:jc w:val="left"/>
    </w:pPr>
    <w:rPr>
      <w:rFonts w:ascii="Arial Unicode MS" w:eastAsia="Arial Unicode MS" w:hAnsi="Arial Unicode MS"/>
      <w:kern w:val="0"/>
      <w:sz w:val="22"/>
      <w:szCs w:val="22"/>
    </w:rPr>
  </w:style>
  <w:style w:type="paragraph" w:customStyle="1" w:styleId="yyp">
    <w:name w:val="yyp"/>
    <w:basedOn w:val="a7"/>
    <w:link w:val="yypCharChar"/>
    <w:qFormat/>
    <w:pPr>
      <w:snapToGrid w:val="0"/>
      <w:spacing w:after="120" w:line="360" w:lineRule="auto"/>
      <w:ind w:firstLineChars="200" w:firstLine="480"/>
      <w:jc w:val="left"/>
    </w:pPr>
    <w:rPr>
      <w:kern w:val="0"/>
      <w:sz w:val="24"/>
    </w:rPr>
  </w:style>
  <w:style w:type="paragraph" w:customStyle="1" w:styleId="2ff9">
    <w:name w:val="正文首行缩进2"/>
    <w:basedOn w:val="a7"/>
    <w:link w:val="2CharChar0"/>
    <w:qFormat/>
    <w:pPr>
      <w:tabs>
        <w:tab w:val="left" w:pos="0"/>
        <w:tab w:val="left" w:pos="870"/>
        <w:tab w:val="left" w:pos="3150"/>
      </w:tabs>
      <w:autoSpaceDE w:val="0"/>
      <w:autoSpaceDN w:val="0"/>
      <w:spacing w:after="160" w:line="360" w:lineRule="auto"/>
      <w:ind w:firstLineChars="200" w:firstLine="200"/>
      <w:jc w:val="left"/>
    </w:pPr>
    <w:rPr>
      <w:rFonts w:ascii="宋体"/>
      <w:kern w:val="0"/>
      <w:sz w:val="24"/>
    </w:rPr>
  </w:style>
  <w:style w:type="paragraph" w:customStyle="1" w:styleId="3fc">
    <w:name w:val="蒲标题3"/>
    <w:basedOn w:val="31"/>
    <w:link w:val="3Char4"/>
    <w:qFormat/>
    <w:pPr>
      <w:keepNext/>
      <w:keepLines/>
      <w:numPr>
        <w:ilvl w:val="0"/>
        <w:numId w:val="0"/>
      </w:numPr>
      <w:autoSpaceDE w:val="0"/>
      <w:autoSpaceDN w:val="0"/>
      <w:spacing w:beforeLines="0" w:before="0" w:afterLines="0" w:after="0"/>
      <w:textAlignment w:val="auto"/>
      <w:outlineLvl w:val="0"/>
    </w:pPr>
    <w:rPr>
      <w:rFonts w:eastAsia="宋体"/>
      <w:color w:val="000000"/>
      <w:sz w:val="24"/>
      <w:lang w:val="en-US"/>
    </w:rPr>
  </w:style>
  <w:style w:type="paragraph" w:customStyle="1" w:styleId="a-8">
    <w:name w:val="a-图名"/>
    <w:link w:val="a-Char8"/>
    <w:qFormat/>
    <w:pPr>
      <w:adjustRightInd w:val="0"/>
      <w:snapToGrid w:val="0"/>
      <w:spacing w:after="160" w:line="480" w:lineRule="auto"/>
      <w:jc w:val="center"/>
    </w:pPr>
    <w:rPr>
      <w:b/>
      <w:color w:val="000000"/>
      <w:kern w:val="2"/>
      <w:sz w:val="21"/>
      <w:szCs w:val="21"/>
    </w:rPr>
  </w:style>
  <w:style w:type="paragraph" w:customStyle="1" w:styleId="4f1">
    <w:name w:val="表小4"/>
    <w:basedOn w:val="a7"/>
    <w:link w:val="4Char2"/>
    <w:qFormat/>
    <w:pPr>
      <w:tabs>
        <w:tab w:val="left" w:pos="0"/>
        <w:tab w:val="left" w:pos="960"/>
      </w:tabs>
      <w:adjustRightInd w:val="0"/>
      <w:spacing w:after="160" w:line="0" w:lineRule="atLeast"/>
      <w:ind w:firstLine="482"/>
      <w:jc w:val="center"/>
    </w:pPr>
    <w:rPr>
      <w:rFonts w:ascii="Wingdings" w:eastAsia="Wingdings" w:hAnsi="Wingdings"/>
      <w:b/>
      <w:kern w:val="0"/>
      <w:sz w:val="28"/>
      <w:szCs w:val="20"/>
    </w:rPr>
  </w:style>
  <w:style w:type="paragraph" w:customStyle="1" w:styleId="131">
    <w:name w:val="样式13"/>
    <w:basedOn w:val="a"/>
    <w:link w:val="13Char"/>
    <w:qFormat/>
    <w:pPr>
      <w:numPr>
        <w:numId w:val="0"/>
      </w:numPr>
      <w:spacing w:line="560" w:lineRule="exact"/>
      <w:ind w:firstLine="482"/>
      <w:jc w:val="left"/>
      <w:outlineLvl w:val="2"/>
    </w:pPr>
    <w:rPr>
      <w:rFonts w:ascii="宋体" w:eastAsia="宋体" w:hAnsi="宋体" w:cs="Times New Roman"/>
      <w:b w:val="0"/>
      <w:bCs w:val="0"/>
      <w:sz w:val="28"/>
      <w:szCs w:val="28"/>
    </w:rPr>
  </w:style>
  <w:style w:type="paragraph" w:customStyle="1" w:styleId="2ffa">
    <w:name w:val="标题 2 可"/>
    <w:basedOn w:val="21"/>
    <w:next w:val="36"/>
    <w:link w:val="2Char8"/>
    <w:qFormat/>
    <w:pPr>
      <w:keepNext/>
      <w:keepLines/>
      <w:numPr>
        <w:ilvl w:val="0"/>
        <w:numId w:val="0"/>
      </w:numPr>
      <w:topLinePunct/>
      <w:snapToGrid/>
      <w:spacing w:beforeLines="0" w:before="0" w:afterLines="0" w:after="0"/>
      <w:jc w:val="both"/>
    </w:pPr>
    <w:rPr>
      <w:b w:val="0"/>
      <w:smallCaps w:val="0"/>
      <w:color w:val="auto"/>
      <w:szCs w:val="20"/>
    </w:rPr>
  </w:style>
  <w:style w:type="paragraph" w:customStyle="1" w:styleId="01CharChar1">
    <w:name w:val="表格标题01 Char Char"/>
    <w:basedOn w:val="a7"/>
    <w:link w:val="01CharCharChar0"/>
    <w:qFormat/>
    <w:pPr>
      <w:adjustRightInd w:val="0"/>
      <w:spacing w:after="160" w:line="480" w:lineRule="exact"/>
      <w:ind w:firstLineChars="200" w:firstLine="420"/>
      <w:jc w:val="center"/>
      <w:textAlignment w:val="baseline"/>
    </w:pPr>
    <w:rPr>
      <w:snapToGrid w:val="0"/>
      <w:kern w:val="0"/>
      <w:sz w:val="28"/>
      <w:szCs w:val="28"/>
    </w:rPr>
  </w:style>
  <w:style w:type="paragraph" w:customStyle="1" w:styleId="afffffffffffffffff2">
    <w:name w:val="付正文"/>
    <w:basedOn w:val="a7"/>
    <w:link w:val="CharCharfa"/>
    <w:semiHidden/>
    <w:qFormat/>
    <w:pPr>
      <w:spacing w:after="160" w:line="360" w:lineRule="auto"/>
      <w:ind w:firstLineChars="200" w:firstLine="200"/>
    </w:pPr>
    <w:rPr>
      <w:rFonts w:ascii="宋体"/>
      <w:color w:val="000000"/>
      <w:kern w:val="0"/>
      <w:sz w:val="24"/>
    </w:rPr>
  </w:style>
  <w:style w:type="paragraph" w:customStyle="1" w:styleId="211112SeBSH-2h2l22ndlevelTitre22Header">
    <w:name w:val="样式 标题 2节标题 1.11.1标题2SeBSH-2h2l22nd levelTitre22Header ..."/>
    <w:basedOn w:val="21"/>
    <w:link w:val="211112SeBSH-2h2l22ndlevelTitre22HeaderChar"/>
    <w:qFormat/>
    <w:pPr>
      <w:keepNext/>
      <w:keepLines/>
      <w:numPr>
        <w:ilvl w:val="0"/>
        <w:numId w:val="0"/>
      </w:numPr>
      <w:snapToGrid/>
      <w:spacing w:beforeLines="50" w:before="50" w:afterLines="50" w:after="50" w:line="415" w:lineRule="auto"/>
    </w:pPr>
    <w:rPr>
      <w:rFonts w:ascii="宋体" w:hAnsi="宋体"/>
      <w:b w:val="0"/>
      <w:smallCaps w:val="0"/>
      <w:color w:val="auto"/>
      <w:sz w:val="24"/>
      <w:szCs w:val="32"/>
    </w:rPr>
  </w:style>
  <w:style w:type="paragraph" w:customStyle="1" w:styleId="3fd">
    <w:name w:val="样式 标题 3"/>
    <w:basedOn w:val="31"/>
    <w:link w:val="3Char5"/>
    <w:qFormat/>
    <w:pPr>
      <w:keepNext/>
      <w:keepLines/>
      <w:numPr>
        <w:ilvl w:val="0"/>
        <w:numId w:val="0"/>
      </w:numPr>
      <w:tabs>
        <w:tab w:val="left" w:pos="709"/>
      </w:tabs>
      <w:adjustRightInd/>
      <w:snapToGrid/>
      <w:spacing w:afterLines="0" w:after="156" w:line="480" w:lineRule="exact"/>
      <w:ind w:left="709" w:hanging="709"/>
      <w:textAlignment w:val="auto"/>
    </w:pPr>
    <w:rPr>
      <w:rFonts w:eastAsia="华文楷体"/>
      <w:color w:val="auto"/>
      <w:sz w:val="28"/>
      <w:szCs w:val="20"/>
      <w:lang w:val="en-US"/>
    </w:rPr>
  </w:style>
  <w:style w:type="paragraph" w:customStyle="1" w:styleId="Charffffff4">
    <w:name w:val="正文小四 Char"/>
    <w:basedOn w:val="a7"/>
    <w:link w:val="CharCharfb"/>
    <w:qFormat/>
    <w:pPr>
      <w:spacing w:after="160" w:line="453" w:lineRule="atLeast"/>
      <w:ind w:firstLine="481"/>
    </w:pPr>
    <w:rPr>
      <w:rFonts w:ascii="宋体" w:hAnsi="宋体"/>
      <w:kern w:val="0"/>
      <w:sz w:val="24"/>
    </w:rPr>
  </w:style>
  <w:style w:type="paragraph" w:customStyle="1" w:styleId="afffffffffffffffff3">
    <w:name w:val="表蕊"/>
    <w:basedOn w:val="a7"/>
    <w:link w:val="Char1f1"/>
    <w:qFormat/>
    <w:pPr>
      <w:tabs>
        <w:tab w:val="left" w:pos="5040"/>
      </w:tabs>
      <w:adjustRightInd w:val="0"/>
      <w:snapToGrid w:val="0"/>
      <w:spacing w:after="160" w:line="280" w:lineRule="atLeast"/>
      <w:ind w:leftChars="-57" w:left="-120"/>
      <w:jc w:val="left"/>
      <w:textAlignment w:val="baseline"/>
    </w:pPr>
    <w:rPr>
      <w:rFonts w:eastAsia="楷体_GB2312"/>
      <w:spacing w:val="-10"/>
      <w:kern w:val="0"/>
    </w:rPr>
  </w:style>
  <w:style w:type="paragraph" w:customStyle="1" w:styleId="00">
    <w:name w:val="0正文"/>
    <w:basedOn w:val="a7"/>
    <w:link w:val="0CharChar"/>
    <w:qFormat/>
    <w:pPr>
      <w:snapToGrid w:val="0"/>
      <w:spacing w:after="160" w:line="360" w:lineRule="auto"/>
      <w:ind w:firstLineChars="200" w:firstLine="480"/>
      <w:jc w:val="left"/>
    </w:pPr>
    <w:rPr>
      <w:color w:val="0000FF"/>
      <w:kern w:val="0"/>
      <w:sz w:val="24"/>
    </w:rPr>
  </w:style>
  <w:style w:type="paragraph" w:customStyle="1" w:styleId="0010">
    <w:name w:val="001"/>
    <w:basedOn w:val="a7"/>
    <w:next w:val="a7"/>
    <w:link w:val="001Char0"/>
    <w:qFormat/>
    <w:pPr>
      <w:spacing w:after="160" w:line="480" w:lineRule="exact"/>
      <w:ind w:firstLineChars="200" w:firstLine="200"/>
    </w:pPr>
    <w:rPr>
      <w:rFonts w:ascii="宋体" w:hAnsi="宋体"/>
      <w:sz w:val="24"/>
    </w:rPr>
  </w:style>
  <w:style w:type="paragraph" w:customStyle="1" w:styleId="chl">
    <w:name w:val="chl"/>
    <w:basedOn w:val="a7"/>
    <w:link w:val="chlChar"/>
    <w:qFormat/>
    <w:pPr>
      <w:spacing w:before="105" w:after="105" w:line="360" w:lineRule="auto"/>
      <w:ind w:firstLineChars="200" w:firstLine="200"/>
    </w:pPr>
    <w:rPr>
      <w:color w:val="000000"/>
      <w:kern w:val="0"/>
      <w:sz w:val="24"/>
      <w:szCs w:val="28"/>
    </w:rPr>
  </w:style>
  <w:style w:type="paragraph" w:customStyle="1" w:styleId="CharCharCharChar2">
    <w:name w:val="正文样式 Char Char Char Char"/>
    <w:basedOn w:val="a7"/>
    <w:link w:val="CharCharCharCharChar0"/>
    <w:uiPriority w:val="99"/>
    <w:qFormat/>
    <w:pPr>
      <w:adjustRightInd w:val="0"/>
      <w:snapToGrid w:val="0"/>
      <w:spacing w:beforeLines="50" w:afterLines="50" w:after="160" w:line="312" w:lineRule="auto"/>
      <w:ind w:firstLineChars="200" w:firstLine="480"/>
      <w:jc w:val="left"/>
    </w:pPr>
    <w:rPr>
      <w:color w:val="000000"/>
      <w:kern w:val="0"/>
      <w:sz w:val="24"/>
    </w:rPr>
  </w:style>
  <w:style w:type="paragraph" w:customStyle="1" w:styleId="3fe">
    <w:name w:val="我的论文标题3"/>
    <w:basedOn w:val="31"/>
    <w:link w:val="3Char6"/>
    <w:qFormat/>
    <w:pPr>
      <w:keepNext/>
      <w:keepLines/>
      <w:numPr>
        <w:ilvl w:val="0"/>
        <w:numId w:val="0"/>
      </w:numPr>
      <w:adjustRightInd/>
      <w:snapToGrid/>
      <w:spacing w:beforeLines="0" w:before="240" w:afterLines="0" w:after="160" w:line="400" w:lineRule="exact"/>
      <w:textAlignment w:val="auto"/>
    </w:pPr>
    <w:rPr>
      <w:rFonts w:hAnsi="宋体"/>
      <w:b w:val="0"/>
      <w:color w:val="auto"/>
      <w:sz w:val="28"/>
      <w:szCs w:val="32"/>
      <w:lang w:val="en-US"/>
    </w:rPr>
  </w:style>
  <w:style w:type="paragraph" w:customStyle="1" w:styleId="alt7Char">
    <w:name w:val="!正文缩进_alt7 Char"/>
    <w:basedOn w:val="a7"/>
    <w:link w:val="alt7CharChar"/>
    <w:qFormat/>
    <w:pPr>
      <w:adjustRightInd w:val="0"/>
      <w:snapToGrid w:val="0"/>
      <w:spacing w:after="160" w:line="540" w:lineRule="exact"/>
      <w:ind w:firstLineChars="200" w:firstLine="200"/>
    </w:pPr>
    <w:rPr>
      <w:rFonts w:eastAsia="华文中宋"/>
      <w:spacing w:val="6"/>
      <w:kern w:val="0"/>
      <w:sz w:val="24"/>
    </w:rPr>
  </w:style>
  <w:style w:type="paragraph" w:customStyle="1" w:styleId="1110">
    <w:name w:val="表内字体111"/>
    <w:basedOn w:val="a7"/>
    <w:link w:val="111Char"/>
    <w:qFormat/>
    <w:pPr>
      <w:adjustRightInd w:val="0"/>
      <w:snapToGrid w:val="0"/>
      <w:spacing w:after="160" w:line="278" w:lineRule="auto"/>
      <w:jc w:val="center"/>
    </w:pPr>
    <w:rPr>
      <w:kern w:val="0"/>
    </w:rPr>
  </w:style>
  <w:style w:type="paragraph" w:customStyle="1" w:styleId="2ffb">
    <w:name w:val="正文文本 (2)"/>
    <w:basedOn w:val="a7"/>
    <w:qFormat/>
    <w:pPr>
      <w:shd w:val="clear" w:color="auto" w:fill="FFFFFF"/>
      <w:spacing w:before="840" w:after="160" w:line="595" w:lineRule="exact"/>
      <w:jc w:val="distribute"/>
    </w:pPr>
    <w:rPr>
      <w:rFonts w:ascii="MingLiU" w:eastAsia="MingLiU" w:hAnsi="MingLiU"/>
      <w:spacing w:val="30"/>
      <w:sz w:val="28"/>
      <w:szCs w:val="28"/>
    </w:rPr>
  </w:style>
  <w:style w:type="paragraph" w:customStyle="1" w:styleId="rpt">
    <w:name w:val="rpt_正文"/>
    <w:link w:val="rptChar"/>
    <w:qFormat/>
    <w:pPr>
      <w:spacing w:after="160" w:line="400" w:lineRule="exact"/>
      <w:ind w:firstLineChars="200" w:firstLine="480"/>
    </w:pPr>
    <w:rPr>
      <w:kern w:val="2"/>
      <w:sz w:val="24"/>
    </w:rPr>
  </w:style>
  <w:style w:type="paragraph" w:customStyle="1" w:styleId="114">
    <w:name w:val="表头11"/>
    <w:basedOn w:val="a7"/>
    <w:link w:val="11Char1"/>
    <w:qFormat/>
    <w:pPr>
      <w:adjustRightInd w:val="0"/>
      <w:snapToGrid w:val="0"/>
      <w:spacing w:beforeLines="30" w:afterLines="10" w:after="160" w:line="460" w:lineRule="exact"/>
      <w:jc w:val="center"/>
    </w:pPr>
    <w:rPr>
      <w:b/>
      <w:kern w:val="0"/>
      <w:sz w:val="24"/>
    </w:rPr>
  </w:style>
  <w:style w:type="paragraph" w:customStyle="1" w:styleId="4f2">
    <w:name w:val="正文文本 (4)"/>
    <w:basedOn w:val="a7"/>
    <w:link w:val="4f3"/>
    <w:qFormat/>
    <w:pPr>
      <w:shd w:val="clear" w:color="auto" w:fill="FFFFFF"/>
      <w:spacing w:after="160" w:line="576" w:lineRule="exact"/>
      <w:ind w:firstLine="720"/>
    </w:pPr>
    <w:rPr>
      <w:rFonts w:eastAsia="Times New Roman"/>
      <w:kern w:val="0"/>
      <w:sz w:val="30"/>
      <w:szCs w:val="30"/>
      <w:lang w:eastAsia="en-US" w:bidi="en-US"/>
    </w:rPr>
  </w:style>
  <w:style w:type="paragraph" w:customStyle="1" w:styleId="155">
    <w:name w:val="样式 宋体 小四 行距: 1.5 倍行距"/>
    <w:basedOn w:val="a7"/>
    <w:link w:val="15Char"/>
    <w:qFormat/>
    <w:pPr>
      <w:spacing w:after="160" w:line="500" w:lineRule="atLeast"/>
      <w:ind w:firstLineChars="200" w:firstLine="200"/>
    </w:pPr>
    <w:rPr>
      <w:rFonts w:ascii="宋体" w:hAnsi="宋体"/>
      <w:kern w:val="0"/>
      <w:sz w:val="28"/>
      <w:szCs w:val="20"/>
    </w:rPr>
  </w:style>
  <w:style w:type="paragraph" w:customStyle="1" w:styleId="2ffc">
    <w:name w:val="2  级标题"/>
    <w:basedOn w:val="afff8"/>
    <w:link w:val="2Char9"/>
    <w:qFormat/>
    <w:pPr>
      <w:keepNext/>
      <w:widowControl/>
      <w:adjustRightInd w:val="0"/>
      <w:snapToGrid w:val="0"/>
      <w:spacing w:before="0" w:afterLines="100" w:after="0" w:line="360" w:lineRule="auto"/>
      <w:ind w:left="425" w:firstLineChars="0" w:firstLine="0"/>
      <w:jc w:val="left"/>
    </w:pPr>
    <w:rPr>
      <w:rFonts w:ascii="黑体" w:eastAsia="黑体" w:hAnsi="Times New Roman" w:cs="Times New Roman"/>
      <w:b w:val="0"/>
      <w:iCs/>
      <w:kern w:val="0"/>
      <w:sz w:val="28"/>
      <w:szCs w:val="24"/>
    </w:rPr>
  </w:style>
  <w:style w:type="paragraph" w:customStyle="1" w:styleId="afffffffffffffffff4">
    <w:name w:val="标题四！！！！！！！！！！！！！！！！！！"/>
    <w:basedOn w:val="a7"/>
    <w:link w:val="Charffffff5"/>
    <w:qFormat/>
    <w:pPr>
      <w:spacing w:after="160" w:line="500" w:lineRule="exact"/>
    </w:pPr>
    <w:rPr>
      <w:rFonts w:ascii="楷体_GB2312" w:eastAsia="楷体_GB2312" w:hAnsi="宋体"/>
      <w:b/>
      <w:kern w:val="0"/>
      <w:sz w:val="20"/>
    </w:rPr>
  </w:style>
  <w:style w:type="paragraph" w:customStyle="1" w:styleId="85">
    <w:name w:val="正文文本 (8)"/>
    <w:basedOn w:val="a7"/>
    <w:link w:val="86"/>
    <w:qFormat/>
    <w:pPr>
      <w:shd w:val="clear" w:color="auto" w:fill="FFFFFF"/>
      <w:spacing w:after="160" w:line="0" w:lineRule="atLeast"/>
      <w:jc w:val="left"/>
    </w:pPr>
    <w:rPr>
      <w:rFonts w:ascii="Arial Unicode MS" w:eastAsia="Arial Unicode MS" w:hAnsi="Arial Unicode MS"/>
      <w:kern w:val="0"/>
      <w:sz w:val="22"/>
      <w:szCs w:val="22"/>
    </w:rPr>
  </w:style>
  <w:style w:type="paragraph" w:customStyle="1" w:styleId="5f3">
    <w:name w:val="5"/>
    <w:basedOn w:val="a7"/>
    <w:next w:val="af3"/>
    <w:link w:val="5Char5"/>
    <w:uiPriority w:val="34"/>
    <w:qFormat/>
    <w:pPr>
      <w:spacing w:after="160" w:line="360" w:lineRule="auto"/>
      <w:ind w:firstLineChars="200" w:firstLine="420"/>
    </w:pPr>
    <w:rPr>
      <w:spacing w:val="-4"/>
      <w:kern w:val="0"/>
      <w:sz w:val="24"/>
    </w:rPr>
  </w:style>
  <w:style w:type="paragraph" w:customStyle="1" w:styleId="2Chara">
    <w:name w:val="样式 纯文本 + 首行缩进:  2 字符 Char"/>
    <w:basedOn w:val="aff8"/>
    <w:link w:val="2CharChar1"/>
    <w:qFormat/>
    <w:pPr>
      <w:spacing w:after="160" w:line="300" w:lineRule="auto"/>
      <w:ind w:firstLineChars="200" w:firstLine="420"/>
    </w:pPr>
    <w:rPr>
      <w:rFonts w:cs="Times New Roman"/>
      <w:szCs w:val="20"/>
    </w:rPr>
  </w:style>
  <w:style w:type="paragraph" w:customStyle="1" w:styleId="226">
    <w:name w:val="样式 标题 2 + 宋体 小二 首行缩进:  2 字符"/>
    <w:basedOn w:val="21"/>
    <w:link w:val="22Char2"/>
    <w:qFormat/>
    <w:pPr>
      <w:keepNext/>
      <w:keepLines/>
      <w:numPr>
        <w:ilvl w:val="0"/>
        <w:numId w:val="0"/>
      </w:numPr>
      <w:snapToGrid/>
      <w:spacing w:beforeLines="50" w:before="156" w:afterLines="50" w:after="156" w:line="240" w:lineRule="auto"/>
    </w:pPr>
    <w:rPr>
      <w:rFonts w:ascii="宋体" w:eastAsia="宋体" w:hAnsi="宋体"/>
      <w:smallCaps w:val="0"/>
      <w:color w:val="auto"/>
      <w:szCs w:val="20"/>
    </w:rPr>
  </w:style>
  <w:style w:type="paragraph" w:customStyle="1" w:styleId="f">
    <w:name w:val="三级目录f"/>
    <w:basedOn w:val="a7"/>
    <w:link w:val="fChar"/>
    <w:qFormat/>
    <w:pPr>
      <w:tabs>
        <w:tab w:val="left" w:pos="1260"/>
        <w:tab w:val="right" w:leader="dot" w:pos="8296"/>
      </w:tabs>
      <w:snapToGrid w:val="0"/>
      <w:spacing w:after="160" w:line="278" w:lineRule="auto"/>
      <w:ind w:left="420"/>
      <w:jc w:val="left"/>
    </w:pPr>
    <w:rPr>
      <w:iCs/>
      <w:kern w:val="0"/>
      <w:sz w:val="20"/>
      <w:szCs w:val="20"/>
    </w:rPr>
  </w:style>
  <w:style w:type="paragraph" w:customStyle="1" w:styleId="afffffffffffffffff5">
    <w:name w:val="备注"/>
    <w:basedOn w:val="a7"/>
    <w:link w:val="Charffffff6"/>
    <w:qFormat/>
    <w:pPr>
      <w:spacing w:after="160" w:line="278" w:lineRule="auto"/>
      <w:jc w:val="left"/>
    </w:pPr>
    <w:rPr>
      <w:b/>
      <w:kern w:val="0"/>
      <w:sz w:val="18"/>
      <w:szCs w:val="18"/>
    </w:rPr>
  </w:style>
  <w:style w:type="paragraph" w:customStyle="1" w:styleId="afffffffffffffffff6">
    <w:name w:val="君邦正文"/>
    <w:basedOn w:val="a7"/>
    <w:link w:val="Char1f2"/>
    <w:qFormat/>
    <w:pPr>
      <w:spacing w:after="60" w:line="360" w:lineRule="auto"/>
      <w:ind w:firstLineChars="200" w:firstLine="200"/>
    </w:pPr>
    <w:rPr>
      <w:sz w:val="24"/>
      <w:szCs w:val="20"/>
    </w:rPr>
  </w:style>
  <w:style w:type="paragraph" w:customStyle="1" w:styleId="a30">
    <w:name w:val="a3"/>
    <w:basedOn w:val="a7"/>
    <w:link w:val="A3Char"/>
    <w:qFormat/>
    <w:pPr>
      <w:widowControl/>
      <w:spacing w:before="100" w:beforeAutospacing="1" w:after="100" w:afterAutospacing="1" w:line="360" w:lineRule="auto"/>
      <w:ind w:firstLine="482"/>
      <w:jc w:val="left"/>
    </w:pPr>
    <w:rPr>
      <w:rFonts w:ascii="宋体" w:hAnsi="宋体"/>
      <w:color w:val="000000"/>
      <w:kern w:val="0"/>
      <w:sz w:val="24"/>
    </w:rPr>
  </w:style>
  <w:style w:type="paragraph" w:customStyle="1" w:styleId="201116">
    <w:name w:val="2011.1.6正文"/>
    <w:basedOn w:val="a7"/>
    <w:link w:val="201116Char"/>
    <w:qFormat/>
    <w:pPr>
      <w:spacing w:afterLines="50" w:after="160" w:line="360" w:lineRule="auto"/>
      <w:ind w:firstLineChars="200" w:firstLine="200"/>
      <w:jc w:val="left"/>
    </w:pPr>
    <w:rPr>
      <w:rFonts w:ascii="宋体" w:hAnsi="宋体"/>
      <w:b/>
      <w:kern w:val="0"/>
      <w:sz w:val="24"/>
    </w:rPr>
  </w:style>
  <w:style w:type="paragraph" w:customStyle="1" w:styleId="afffffffffffffffff7">
    <w:name w:val="样式 表头 + 五号"/>
    <w:basedOn w:val="afffa"/>
    <w:link w:val="Charffffff7"/>
    <w:qFormat/>
    <w:pPr>
      <w:keepNext/>
      <w:adjustRightInd/>
      <w:spacing w:after="160" w:line="240" w:lineRule="auto"/>
      <w:ind w:left="0" w:rightChars="-45" w:right="-45" w:firstLineChars="0" w:firstLine="0"/>
      <w:jc w:val="center"/>
      <w:textAlignment w:val="auto"/>
    </w:pPr>
    <w:rPr>
      <w:rFonts w:ascii="黑体" w:eastAsia="黑体"/>
      <w:bCs/>
      <w:kern w:val="2"/>
      <w:sz w:val="24"/>
      <w:szCs w:val="24"/>
    </w:rPr>
  </w:style>
  <w:style w:type="paragraph" w:customStyle="1" w:styleId="2ffd">
    <w:name w:val="首行缩进2字符"/>
    <w:basedOn w:val="a7"/>
    <w:link w:val="2Charb"/>
    <w:qFormat/>
    <w:pPr>
      <w:spacing w:beforeLines="30" w:after="160" w:line="360" w:lineRule="auto"/>
      <w:ind w:firstLineChars="200" w:firstLine="480"/>
    </w:pPr>
    <w:rPr>
      <w:rFonts w:ascii="宋体" w:hAnsi="宋体"/>
      <w:kern w:val="0"/>
      <w:sz w:val="20"/>
    </w:rPr>
  </w:style>
  <w:style w:type="paragraph" w:customStyle="1" w:styleId="3BSH-3111">
    <w:name w:val="标题 3，BSH-3条标题1.1.1"/>
    <w:basedOn w:val="31"/>
    <w:link w:val="3BSH-3111CharChar"/>
    <w:qFormat/>
    <w:pPr>
      <w:keepNext/>
      <w:keepLines/>
      <w:numPr>
        <w:ilvl w:val="0"/>
        <w:numId w:val="0"/>
      </w:numPr>
      <w:adjustRightInd/>
      <w:snapToGrid/>
      <w:spacing w:beforeLines="0" w:before="0" w:afterLines="0" w:after="0"/>
      <w:textAlignment w:val="auto"/>
      <w:outlineLvl w:val="9"/>
    </w:pPr>
    <w:rPr>
      <w:rFonts w:ascii="宋体" w:eastAsia="宋体" w:hAnsi="宋体"/>
      <w:b w:val="0"/>
      <w:bCs w:val="0"/>
      <w:caps/>
      <w:color w:val="auto"/>
      <w:kern w:val="0"/>
      <w:sz w:val="24"/>
      <w:lang w:val="en-US"/>
    </w:rPr>
  </w:style>
  <w:style w:type="paragraph" w:customStyle="1" w:styleId="211112b22CharCharChar2Char2h21">
    <w:name w:val="样式 标题 2节标题 1.11.1标题2b2标题 2 Char Char Char标题 2 Char标2h2标题...1"/>
    <w:basedOn w:val="21"/>
    <w:link w:val="211112b22CharCharChar2Char2h21Char"/>
    <w:semiHidden/>
    <w:qFormat/>
    <w:pPr>
      <w:keepNext/>
      <w:keepLines/>
      <w:numPr>
        <w:ilvl w:val="0"/>
        <w:numId w:val="0"/>
      </w:numPr>
      <w:snapToGrid/>
      <w:spacing w:beforeLines="0" w:before="160" w:afterLines="0" w:after="160"/>
      <w:jc w:val="center"/>
    </w:pPr>
    <w:rPr>
      <w:rFonts w:ascii="宋体" w:eastAsia="宋体" w:hAnsi="宋体"/>
      <w:smallCaps w:val="0"/>
      <w:color w:val="auto"/>
      <w:sz w:val="30"/>
      <w:szCs w:val="32"/>
    </w:rPr>
  </w:style>
  <w:style w:type="paragraph" w:customStyle="1" w:styleId="J">
    <w:name w:val="J【表头】"/>
    <w:basedOn w:val="a7"/>
    <w:link w:val="JChar"/>
    <w:qFormat/>
    <w:pPr>
      <w:keepNext/>
      <w:tabs>
        <w:tab w:val="left" w:pos="900"/>
        <w:tab w:val="left" w:pos="1614"/>
      </w:tabs>
      <w:wordWrap w:val="0"/>
      <w:spacing w:after="160" w:line="360" w:lineRule="auto"/>
      <w:jc w:val="center"/>
    </w:pPr>
    <w:rPr>
      <w:rFonts w:hAnsi="宋体"/>
      <w:b/>
      <w:kern w:val="0"/>
      <w:sz w:val="20"/>
    </w:rPr>
  </w:style>
  <w:style w:type="paragraph" w:customStyle="1" w:styleId="1ff5">
    <w:name w:val="明显引用1"/>
    <w:basedOn w:val="a7"/>
    <w:next w:val="a7"/>
    <w:link w:val="afffffffffffffffff8"/>
    <w:qFormat/>
    <w:pPr>
      <w:widowControl/>
      <w:spacing w:after="160" w:line="360" w:lineRule="auto"/>
      <w:ind w:left="720" w:right="720" w:firstLine="482"/>
      <w:jc w:val="left"/>
    </w:pPr>
    <w:rPr>
      <w:b/>
      <w:i/>
      <w:kern w:val="0"/>
      <w:sz w:val="24"/>
      <w:szCs w:val="22"/>
      <w:lang w:eastAsia="en-US" w:bidi="en-US"/>
    </w:rPr>
  </w:style>
  <w:style w:type="paragraph" w:customStyle="1" w:styleId="TimesNewRoman">
    <w:name w:val="样式 (西文) Times New Roman (符号) 华文中宋"/>
    <w:basedOn w:val="a7"/>
    <w:link w:val="TimesNewRomanChar"/>
    <w:qFormat/>
    <w:pPr>
      <w:spacing w:after="160" w:line="500" w:lineRule="exact"/>
      <w:ind w:firstLineChars="200" w:firstLine="200"/>
    </w:pPr>
    <w:rPr>
      <w:rFonts w:ascii="Calibri" w:eastAsia="华文中宋" w:hAnsi="华文中宋"/>
      <w:kern w:val="0"/>
      <w:sz w:val="24"/>
      <w:szCs w:val="20"/>
    </w:rPr>
  </w:style>
  <w:style w:type="paragraph" w:customStyle="1" w:styleId="5f4">
    <w:name w:val="正文文本 (5)"/>
    <w:basedOn w:val="a7"/>
    <w:link w:val="5f5"/>
    <w:qFormat/>
    <w:pPr>
      <w:shd w:val="clear" w:color="auto" w:fill="FFFFFF"/>
      <w:spacing w:after="160" w:line="0" w:lineRule="atLeast"/>
      <w:jc w:val="left"/>
    </w:pPr>
    <w:rPr>
      <w:rFonts w:eastAsia="Times New Roman"/>
      <w:kern w:val="0"/>
      <w:sz w:val="20"/>
      <w:szCs w:val="20"/>
    </w:rPr>
  </w:style>
  <w:style w:type="paragraph" w:customStyle="1" w:styleId="77">
    <w:name w:val="正文文本 (7)"/>
    <w:basedOn w:val="a7"/>
    <w:link w:val="7Exact"/>
    <w:qFormat/>
    <w:pPr>
      <w:shd w:val="clear" w:color="auto" w:fill="FFFFFF"/>
      <w:spacing w:after="160" w:line="240" w:lineRule="exact"/>
      <w:jc w:val="distribute"/>
    </w:pPr>
    <w:rPr>
      <w:rFonts w:ascii="MingLiU" w:eastAsia="MingLiU" w:hAnsi="MingLiU"/>
      <w:spacing w:val="-5"/>
      <w:kern w:val="0"/>
      <w:sz w:val="17"/>
      <w:szCs w:val="17"/>
      <w:shd w:val="clear" w:color="auto" w:fill="FFFFFF"/>
    </w:rPr>
  </w:style>
  <w:style w:type="paragraph" w:customStyle="1" w:styleId="4-25">
    <w:name w:val="4-25正"/>
    <w:basedOn w:val="a7"/>
    <w:link w:val="4-25Char"/>
    <w:qFormat/>
    <w:pPr>
      <w:widowControl/>
      <w:spacing w:before="40" w:after="40" w:line="360" w:lineRule="auto"/>
      <w:ind w:firstLineChars="200" w:firstLine="480"/>
    </w:pPr>
    <w:rPr>
      <w:kern w:val="0"/>
      <w:sz w:val="24"/>
      <w:szCs w:val="20"/>
    </w:rPr>
  </w:style>
  <w:style w:type="paragraph" w:customStyle="1" w:styleId="afffffffffffffffff9">
    <w:name w:val="正文样式－文字"/>
    <w:basedOn w:val="a7"/>
    <w:link w:val="Charffffff8"/>
    <w:qFormat/>
    <w:pPr>
      <w:tabs>
        <w:tab w:val="left" w:pos="-709"/>
        <w:tab w:val="left" w:pos="284"/>
      </w:tabs>
      <w:adjustRightInd w:val="0"/>
      <w:snapToGrid w:val="0"/>
      <w:spacing w:beforeLines="50" w:afterLines="50" w:after="160" w:line="300" w:lineRule="auto"/>
      <w:ind w:firstLineChars="200" w:firstLine="200"/>
      <w:jc w:val="left"/>
      <w:textAlignment w:val="baseline"/>
    </w:pPr>
    <w:rPr>
      <w:color w:val="000000"/>
      <w:kern w:val="0"/>
      <w:sz w:val="24"/>
    </w:rPr>
  </w:style>
  <w:style w:type="paragraph" w:customStyle="1" w:styleId="afffffffffffffffffa">
    <w:name w:val="正文内容"/>
    <w:basedOn w:val="a7"/>
    <w:link w:val="Charffffff9"/>
    <w:uiPriority w:val="99"/>
    <w:qFormat/>
    <w:pPr>
      <w:spacing w:after="160" w:line="360" w:lineRule="auto"/>
      <w:ind w:firstLineChars="200" w:firstLine="200"/>
    </w:pPr>
    <w:rPr>
      <w:rFonts w:ascii="宋体"/>
      <w:kern w:val="0"/>
      <w:sz w:val="24"/>
      <w:szCs w:val="20"/>
    </w:rPr>
  </w:style>
  <w:style w:type="paragraph" w:customStyle="1" w:styleId="510">
    <w:name w:val="环 5级 1"/>
    <w:basedOn w:val="a7"/>
    <w:link w:val="51Char"/>
    <w:qFormat/>
    <w:pPr>
      <w:spacing w:after="160" w:line="360" w:lineRule="auto"/>
      <w:ind w:firstLineChars="200" w:firstLine="200"/>
    </w:pPr>
    <w:rPr>
      <w:rFonts w:ascii="宋体" w:hAnsi="宋体"/>
      <w:b/>
      <w:kern w:val="0"/>
      <w:sz w:val="28"/>
      <w:szCs w:val="28"/>
    </w:rPr>
  </w:style>
  <w:style w:type="paragraph" w:customStyle="1" w:styleId="afffffffffffffffffb">
    <w:name w:val="表文"/>
    <w:basedOn w:val="a7"/>
    <w:link w:val="Char22"/>
    <w:qFormat/>
    <w:pPr>
      <w:adjustRightInd w:val="0"/>
      <w:snapToGrid w:val="0"/>
      <w:spacing w:beforeLines="30" w:before="93" w:afterLines="10" w:after="31" w:line="360" w:lineRule="auto"/>
      <w:ind w:firstLine="482"/>
      <w:jc w:val="center"/>
      <w:textAlignment w:val="baseline"/>
    </w:pPr>
    <w:rPr>
      <w:kern w:val="0"/>
      <w:sz w:val="18"/>
      <w:szCs w:val="18"/>
    </w:rPr>
  </w:style>
  <w:style w:type="paragraph" w:customStyle="1" w:styleId="2ffe">
    <w:name w:val="表格文字2"/>
    <w:basedOn w:val="a7"/>
    <w:link w:val="2Charc"/>
    <w:uiPriority w:val="99"/>
    <w:qFormat/>
    <w:pPr>
      <w:adjustRightInd w:val="0"/>
      <w:snapToGrid w:val="0"/>
      <w:spacing w:before="20" w:after="160" w:line="360" w:lineRule="auto"/>
      <w:ind w:firstLine="482"/>
      <w:jc w:val="center"/>
      <w:textAlignment w:val="baseline"/>
    </w:pPr>
    <w:rPr>
      <w:rFonts w:ascii="Arial" w:hAnsi="Arial"/>
      <w:kern w:val="0"/>
      <w:sz w:val="24"/>
      <w:szCs w:val="20"/>
    </w:rPr>
  </w:style>
  <w:style w:type="paragraph" w:customStyle="1" w:styleId="afffffffffffffffffc">
    <w:name w:val="博宏图名"/>
    <w:basedOn w:val="af5"/>
    <w:link w:val="Charffffffa"/>
    <w:qFormat/>
    <w:pPr>
      <w:snapToGrid w:val="0"/>
      <w:spacing w:afterLines="50" w:after="156" w:line="360" w:lineRule="auto"/>
      <w:jc w:val="center"/>
    </w:pPr>
    <w:rPr>
      <w:rFonts w:ascii="Times New Roman" w:eastAsia="宋体" w:hAnsi="Times New Roman"/>
      <w:b/>
      <w:kern w:val="0"/>
    </w:rPr>
  </w:style>
  <w:style w:type="paragraph" w:customStyle="1" w:styleId="afffffffffffffffffd">
    <w:name w:val="图名"/>
    <w:basedOn w:val="a7"/>
    <w:link w:val="Char1f3"/>
    <w:qFormat/>
    <w:pPr>
      <w:widowControl/>
      <w:spacing w:afterLines="20" w:after="62" w:line="360" w:lineRule="auto"/>
      <w:ind w:firstLine="482"/>
      <w:jc w:val="center"/>
    </w:pPr>
    <w:rPr>
      <w:b/>
    </w:rPr>
  </w:style>
  <w:style w:type="paragraph" w:customStyle="1" w:styleId="3s">
    <w:name w:val="样式 标题 3s"/>
    <w:basedOn w:val="31"/>
    <w:link w:val="3sChar"/>
    <w:qFormat/>
    <w:pPr>
      <w:keepNext/>
      <w:keepLines/>
      <w:numPr>
        <w:ilvl w:val="0"/>
        <w:numId w:val="0"/>
      </w:numPr>
      <w:tabs>
        <w:tab w:val="left" w:pos="454"/>
      </w:tabs>
      <w:adjustRightInd/>
      <w:snapToGrid/>
      <w:spacing w:before="260" w:after="260"/>
      <w:jc w:val="both"/>
      <w:textAlignment w:val="auto"/>
    </w:pPr>
    <w:rPr>
      <w:rFonts w:ascii="黑体" w:hAnsi="黑体"/>
      <w:color w:val="auto"/>
      <w:kern w:val="0"/>
      <w:sz w:val="32"/>
      <w:szCs w:val="32"/>
      <w:lang w:val="en-US"/>
    </w:rPr>
  </w:style>
  <w:style w:type="paragraph" w:customStyle="1" w:styleId="TimesNewRoman0">
    <w:name w:val="样式 样式 样式 样式 报告正文 + 宋体 五号 黑色 + 五号 + (西文) Times New Roman (中文) 华文中..."/>
    <w:basedOn w:val="a7"/>
    <w:link w:val="TimesNewRomanChar0"/>
    <w:qFormat/>
    <w:pPr>
      <w:adjustRightInd w:val="0"/>
      <w:snapToGrid w:val="0"/>
      <w:spacing w:after="160" w:line="520" w:lineRule="exact"/>
      <w:ind w:firstLineChars="200" w:firstLine="200"/>
    </w:pPr>
    <w:rPr>
      <w:rFonts w:eastAsia="华文中宋" w:cs="宋体"/>
      <w:color w:val="000000"/>
      <w:sz w:val="24"/>
      <w:szCs w:val="20"/>
    </w:rPr>
  </w:style>
  <w:style w:type="paragraph" w:customStyle="1" w:styleId="010">
    <w:name w:val="表格标题01"/>
    <w:basedOn w:val="a7"/>
    <w:link w:val="01Char"/>
    <w:qFormat/>
    <w:pPr>
      <w:adjustRightInd w:val="0"/>
      <w:spacing w:after="160" w:line="480" w:lineRule="exact"/>
      <w:ind w:firstLineChars="200" w:firstLine="420"/>
      <w:jc w:val="center"/>
      <w:textAlignment w:val="baseline"/>
    </w:pPr>
    <w:rPr>
      <w:snapToGrid w:val="0"/>
      <w:kern w:val="0"/>
      <w:sz w:val="28"/>
      <w:szCs w:val="28"/>
    </w:rPr>
  </w:style>
  <w:style w:type="paragraph" w:customStyle="1" w:styleId="afffffffffffffffffe">
    <w:name w:val="样式 居中"/>
    <w:basedOn w:val="a7"/>
    <w:link w:val="Charffffffb"/>
    <w:qFormat/>
    <w:pPr>
      <w:adjustRightInd w:val="0"/>
      <w:snapToGrid w:val="0"/>
      <w:spacing w:after="160" w:line="440" w:lineRule="atLeast"/>
      <w:ind w:firstLineChars="200" w:firstLine="200"/>
      <w:jc w:val="center"/>
    </w:pPr>
    <w:rPr>
      <w:sz w:val="24"/>
      <w:szCs w:val="20"/>
    </w:rPr>
  </w:style>
  <w:style w:type="paragraph" w:customStyle="1" w:styleId="affffffffffffffffff">
    <w:name w:val="正文++++++++++"/>
    <w:basedOn w:val="a7"/>
    <w:link w:val="Charffffffc"/>
    <w:qFormat/>
    <w:pPr>
      <w:spacing w:after="160" w:line="278" w:lineRule="auto"/>
      <w:ind w:firstLineChars="200" w:firstLine="534"/>
    </w:pPr>
    <w:rPr>
      <w:kern w:val="0"/>
      <w:sz w:val="24"/>
      <w:szCs w:val="20"/>
    </w:rPr>
  </w:style>
  <w:style w:type="paragraph" w:customStyle="1" w:styleId="2fff">
    <w:name w:val="★正文缩进2字符"/>
    <w:basedOn w:val="a7"/>
    <w:link w:val="2Chard"/>
    <w:qFormat/>
    <w:pPr>
      <w:widowControl/>
      <w:spacing w:after="200" w:line="500" w:lineRule="exact"/>
      <w:ind w:firstLine="480"/>
      <w:jc w:val="left"/>
    </w:pPr>
    <w:rPr>
      <w:color w:val="000000"/>
      <w:kern w:val="0"/>
      <w:sz w:val="24"/>
      <w:lang w:eastAsia="en-US"/>
    </w:rPr>
  </w:style>
  <w:style w:type="paragraph" w:customStyle="1" w:styleId="affffffffffffffffff0">
    <w:name w:val="标准"/>
    <w:basedOn w:val="a7"/>
    <w:link w:val="Charffffffd"/>
    <w:qFormat/>
    <w:pPr>
      <w:adjustRightInd w:val="0"/>
      <w:spacing w:after="160" w:line="480" w:lineRule="exact"/>
      <w:ind w:firstLine="482"/>
      <w:textAlignment w:val="baseline"/>
    </w:pPr>
    <w:rPr>
      <w:spacing w:val="-2"/>
      <w:kern w:val="0"/>
      <w:sz w:val="28"/>
      <w:szCs w:val="20"/>
    </w:rPr>
  </w:style>
  <w:style w:type="paragraph" w:customStyle="1" w:styleId="affffffffffffffffff1">
    <w:name w:val="表内"/>
    <w:basedOn w:val="a7"/>
    <w:link w:val="Charffffffe"/>
    <w:uiPriority w:val="1"/>
    <w:qFormat/>
    <w:pPr>
      <w:spacing w:after="160" w:line="360" w:lineRule="auto"/>
      <w:ind w:firstLine="482"/>
      <w:jc w:val="center"/>
    </w:pPr>
    <w:rPr>
      <w:rFonts w:ascii="宋体"/>
      <w:kern w:val="0"/>
      <w:sz w:val="24"/>
      <w:szCs w:val="20"/>
    </w:rPr>
  </w:style>
  <w:style w:type="paragraph" w:customStyle="1" w:styleId="A-9">
    <w:name w:val="A-表格"/>
    <w:basedOn w:val="a7"/>
    <w:next w:val="A-z"/>
    <w:link w:val="A-Char9"/>
    <w:qFormat/>
    <w:pPr>
      <w:autoSpaceDE w:val="0"/>
      <w:autoSpaceDN w:val="0"/>
      <w:adjustRightInd w:val="0"/>
      <w:snapToGrid w:val="0"/>
      <w:spacing w:after="160" w:line="278" w:lineRule="auto"/>
      <w:jc w:val="center"/>
      <w:textAlignment w:val="center"/>
    </w:pPr>
    <w:rPr>
      <w:kern w:val="0"/>
      <w:sz w:val="20"/>
    </w:rPr>
  </w:style>
  <w:style w:type="paragraph" w:customStyle="1" w:styleId="cucd-TB">
    <w:name w:val="cucd-TB"/>
    <w:link w:val="cucd-TBChar"/>
    <w:uiPriority w:val="99"/>
    <w:qFormat/>
    <w:pPr>
      <w:spacing w:after="160" w:line="360" w:lineRule="auto"/>
      <w:jc w:val="center"/>
    </w:pPr>
    <w:rPr>
      <w:szCs w:val="24"/>
    </w:rPr>
  </w:style>
  <w:style w:type="paragraph" w:customStyle="1" w:styleId="affffffffffffffffff2">
    <w:name w:val="正文 缩进"/>
    <w:basedOn w:val="a7"/>
    <w:link w:val="Charfffffff"/>
    <w:qFormat/>
    <w:pPr>
      <w:adjustRightInd w:val="0"/>
      <w:snapToGrid w:val="0"/>
      <w:spacing w:after="160" w:line="360" w:lineRule="auto"/>
      <w:ind w:firstLineChars="200" w:firstLine="480"/>
    </w:pPr>
    <w:rPr>
      <w:sz w:val="24"/>
      <w:szCs w:val="20"/>
    </w:rPr>
  </w:style>
  <w:style w:type="paragraph" w:customStyle="1" w:styleId="affffffffffffffffff3">
    <w:name w:val="报告书表格"/>
    <w:basedOn w:val="a7"/>
    <w:link w:val="Charfffffff0"/>
    <w:qFormat/>
    <w:pPr>
      <w:adjustRightInd w:val="0"/>
      <w:spacing w:before="60" w:after="60" w:line="240" w:lineRule="atLeast"/>
      <w:jc w:val="center"/>
    </w:pPr>
    <w:rPr>
      <w:kern w:val="0"/>
      <w:szCs w:val="20"/>
    </w:rPr>
  </w:style>
  <w:style w:type="paragraph" w:customStyle="1" w:styleId="affffffffffffffffff4">
    <w:name w:val="文本正文"/>
    <w:basedOn w:val="a7"/>
    <w:link w:val="Charfffffff1"/>
    <w:qFormat/>
    <w:pPr>
      <w:adjustRightInd w:val="0"/>
      <w:snapToGrid w:val="0"/>
      <w:spacing w:after="160" w:line="360" w:lineRule="auto"/>
      <w:ind w:firstLineChars="200" w:firstLine="200"/>
      <w:jc w:val="left"/>
    </w:pPr>
    <w:rPr>
      <w:kern w:val="0"/>
      <w:sz w:val="24"/>
    </w:rPr>
  </w:style>
  <w:style w:type="paragraph" w:customStyle="1" w:styleId="affffffffffffffffff5">
    <w:name w:val="表题图题"/>
    <w:basedOn w:val="a7"/>
    <w:link w:val="CharCharfc"/>
    <w:qFormat/>
    <w:pPr>
      <w:spacing w:after="160" w:line="360" w:lineRule="auto"/>
      <w:ind w:firstLine="482"/>
      <w:jc w:val="center"/>
    </w:pPr>
    <w:rPr>
      <w:rFonts w:ascii="宋体" w:hAnsi="宋体"/>
      <w:b/>
      <w:kern w:val="0"/>
    </w:rPr>
  </w:style>
  <w:style w:type="paragraph" w:customStyle="1" w:styleId="000">
    <w:name w:val="000"/>
    <w:basedOn w:val="a7"/>
    <w:link w:val="000Char"/>
    <w:qFormat/>
    <w:pPr>
      <w:spacing w:after="160" w:line="360" w:lineRule="auto"/>
      <w:ind w:firstLineChars="200" w:firstLine="480"/>
    </w:pPr>
    <w:rPr>
      <w:rFonts w:ascii="宋体"/>
      <w:kern w:val="0"/>
      <w:sz w:val="24"/>
      <w:szCs w:val="20"/>
    </w:rPr>
  </w:style>
  <w:style w:type="paragraph" w:customStyle="1" w:styleId="1-">
    <w:name w:val="1-正文"/>
    <w:basedOn w:val="a7"/>
    <w:link w:val="1-Char"/>
    <w:qFormat/>
    <w:pPr>
      <w:spacing w:after="160" w:line="360" w:lineRule="auto"/>
      <w:ind w:firstLineChars="200" w:firstLine="200"/>
    </w:pPr>
    <w:rPr>
      <w:rFonts w:ascii="宋体" w:hAnsi="宋体"/>
      <w:kern w:val="0"/>
      <w:sz w:val="24"/>
    </w:rPr>
  </w:style>
  <w:style w:type="paragraph" w:customStyle="1" w:styleId="affffffffffffffffff6">
    <w:name w:val="文章正文"/>
    <w:basedOn w:val="a7"/>
    <w:link w:val="Charfffffff2"/>
    <w:qFormat/>
    <w:pPr>
      <w:snapToGrid w:val="0"/>
      <w:spacing w:after="160" w:line="360" w:lineRule="auto"/>
      <w:ind w:firstLineChars="200" w:firstLine="200"/>
      <w:jc w:val="left"/>
    </w:pPr>
    <w:rPr>
      <w:rFonts w:ascii="Calibri" w:eastAsia="Times New Roman" w:hAnsi="Calibri"/>
      <w:sz w:val="24"/>
      <w:szCs w:val="22"/>
    </w:rPr>
  </w:style>
  <w:style w:type="paragraph" w:customStyle="1" w:styleId="affffffffffffffffff7">
    <w:name w:val="样式 表格 + 黑色"/>
    <w:basedOn w:val="a7"/>
    <w:link w:val="Charfffffff3"/>
    <w:qFormat/>
    <w:pPr>
      <w:adjustRightInd w:val="0"/>
      <w:snapToGrid w:val="0"/>
      <w:spacing w:after="160" w:line="278" w:lineRule="auto"/>
      <w:jc w:val="center"/>
    </w:pPr>
    <w:rPr>
      <w:color w:val="000000"/>
      <w:spacing w:val="-4"/>
      <w:kern w:val="0"/>
      <w:sz w:val="20"/>
    </w:rPr>
  </w:style>
  <w:style w:type="paragraph" w:customStyle="1" w:styleId="5f6">
    <w:name w:val="5级项"/>
    <w:next w:val="affffffffffffffff3"/>
    <w:link w:val="5Char6"/>
    <w:qFormat/>
    <w:pPr>
      <w:spacing w:after="160" w:line="360" w:lineRule="auto"/>
      <w:ind w:firstLineChars="200" w:firstLine="480"/>
    </w:pPr>
    <w:rPr>
      <w:sz w:val="24"/>
    </w:rPr>
  </w:style>
  <w:style w:type="paragraph" w:customStyle="1" w:styleId="4f4">
    <w:name w:val="4个字符"/>
    <w:basedOn w:val="121"/>
    <w:link w:val="4Char3"/>
    <w:qFormat/>
    <w:pPr>
      <w:spacing w:after="0" w:line="360" w:lineRule="auto"/>
      <w:ind w:firstLineChars="400" w:firstLine="960"/>
      <w:outlineLvl w:val="9"/>
    </w:pPr>
    <w:rPr>
      <w:rFonts w:ascii="宋体" w:hAnsi="宋体"/>
      <w:b/>
      <w:szCs w:val="28"/>
    </w:rPr>
  </w:style>
  <w:style w:type="paragraph" w:customStyle="1" w:styleId="-40">
    <w:name w:val="正文-4"/>
    <w:basedOn w:val="-3"/>
    <w:link w:val="-4Char"/>
    <w:qFormat/>
    <w:pPr>
      <w:ind w:leftChars="150" w:left="420"/>
      <w:jc w:val="left"/>
    </w:pPr>
    <w:rPr>
      <w:b/>
      <w:sz w:val="24"/>
    </w:rPr>
  </w:style>
  <w:style w:type="paragraph" w:customStyle="1" w:styleId="4f5">
    <w:name w:val="大华农4级标题"/>
    <w:basedOn w:val="a7"/>
    <w:link w:val="4Char4"/>
    <w:qFormat/>
    <w:pPr>
      <w:spacing w:after="160" w:line="360" w:lineRule="auto"/>
    </w:pPr>
    <w:rPr>
      <w:b/>
      <w:bCs/>
      <w:kern w:val="0"/>
      <w:sz w:val="24"/>
      <w:szCs w:val="20"/>
    </w:rPr>
  </w:style>
  <w:style w:type="paragraph" w:customStyle="1" w:styleId="1ff6">
    <w:name w:val="编号1"/>
    <w:basedOn w:val="af3"/>
    <w:link w:val="1Chara"/>
    <w:qFormat/>
    <w:pPr>
      <w:tabs>
        <w:tab w:val="left" w:pos="840"/>
      </w:tabs>
      <w:spacing w:after="160" w:line="312" w:lineRule="atLeast"/>
      <w:ind w:firstLineChars="0" w:firstLine="0"/>
    </w:pPr>
    <w:rPr>
      <w:rFonts w:ascii="Calibri" w:hAnsi="Calibri" w:cs="Times New Roman"/>
      <w:sz w:val="28"/>
    </w:rPr>
  </w:style>
  <w:style w:type="paragraph" w:customStyle="1" w:styleId="cucd-0">
    <w:name w:val="cucd-0"/>
    <w:link w:val="cucd-0Char"/>
    <w:qFormat/>
    <w:pPr>
      <w:spacing w:after="160" w:line="360" w:lineRule="auto"/>
      <w:ind w:firstLineChars="200" w:firstLine="480"/>
    </w:pPr>
    <w:rPr>
      <w:sz w:val="24"/>
      <w:szCs w:val="24"/>
    </w:rPr>
  </w:style>
  <w:style w:type="paragraph" w:customStyle="1" w:styleId="4f6">
    <w:name w:val="标题4"/>
    <w:basedOn w:val="a7"/>
    <w:link w:val="4Char5"/>
    <w:qFormat/>
    <w:pPr>
      <w:spacing w:after="160" w:line="360" w:lineRule="auto"/>
    </w:pPr>
    <w:rPr>
      <w:rFonts w:ascii="宋体" w:hAnsi="宋体"/>
      <w:snapToGrid w:val="0"/>
      <w:color w:val="000000"/>
      <w:sz w:val="24"/>
    </w:rPr>
  </w:style>
  <w:style w:type="paragraph" w:customStyle="1" w:styleId="SLCON">
    <w:name w:val="表内文字 样式 五号 居中 行距: 单倍行距 SL CON"/>
    <w:basedOn w:val="a7"/>
    <w:link w:val="SLCONChar"/>
    <w:qFormat/>
    <w:pPr>
      <w:widowControl/>
      <w:tabs>
        <w:tab w:val="left" w:pos="377"/>
      </w:tabs>
      <w:snapToGrid w:val="0"/>
      <w:spacing w:after="160" w:line="278" w:lineRule="auto"/>
      <w:jc w:val="center"/>
    </w:pPr>
    <w:rPr>
      <w:kern w:val="0"/>
      <w:sz w:val="20"/>
    </w:rPr>
  </w:style>
  <w:style w:type="paragraph" w:customStyle="1" w:styleId="affffffffffffffffff8">
    <w:name w:val="中文报告书样式"/>
    <w:basedOn w:val="a7"/>
    <w:link w:val="Charfffffff4"/>
    <w:qFormat/>
    <w:pPr>
      <w:adjustRightInd w:val="0"/>
      <w:spacing w:after="160" w:line="480" w:lineRule="atLeast"/>
      <w:ind w:firstLine="482"/>
      <w:textAlignment w:val="baseline"/>
    </w:pPr>
    <w:rPr>
      <w:kern w:val="24"/>
      <w:sz w:val="24"/>
      <w:szCs w:val="20"/>
    </w:rPr>
  </w:style>
  <w:style w:type="paragraph" w:customStyle="1" w:styleId="3ff">
    <w:name w:val="正文文本 (3)"/>
    <w:basedOn w:val="a7"/>
    <w:link w:val="3ff0"/>
    <w:qFormat/>
    <w:pPr>
      <w:shd w:val="clear" w:color="auto" w:fill="FFFFFF"/>
      <w:spacing w:after="840" w:line="0" w:lineRule="atLeast"/>
      <w:jc w:val="left"/>
    </w:pPr>
    <w:rPr>
      <w:rFonts w:ascii="MingLiU" w:eastAsia="MingLiU" w:hAnsi="MingLiU"/>
      <w:spacing w:val="20"/>
      <w:kern w:val="0"/>
      <w:sz w:val="28"/>
      <w:szCs w:val="28"/>
    </w:rPr>
  </w:style>
  <w:style w:type="paragraph" w:customStyle="1" w:styleId="2fff0">
    <w:name w:val="正文样式2"/>
    <w:basedOn w:val="a7"/>
    <w:link w:val="2Chare"/>
    <w:qFormat/>
    <w:pPr>
      <w:spacing w:after="160" w:line="560" w:lineRule="exact"/>
      <w:ind w:firstLine="601"/>
    </w:pPr>
    <w:rPr>
      <w:sz w:val="28"/>
      <w:szCs w:val="20"/>
    </w:rPr>
  </w:style>
  <w:style w:type="paragraph" w:customStyle="1" w:styleId="affffffffffffffffff9">
    <w:name w:val="大纲正文"/>
    <w:basedOn w:val="a7"/>
    <w:link w:val="Charfffffff5"/>
    <w:qFormat/>
    <w:pPr>
      <w:widowControl/>
      <w:adjustRightInd w:val="0"/>
      <w:snapToGrid w:val="0"/>
      <w:spacing w:afterLines="50" w:after="160" w:line="300" w:lineRule="auto"/>
      <w:ind w:firstLineChars="200" w:firstLine="480"/>
    </w:pPr>
    <w:rPr>
      <w:rFonts w:ascii="黑体" w:hAnsi="Tahoma"/>
      <w:sz w:val="24"/>
      <w:szCs w:val="32"/>
    </w:rPr>
  </w:style>
  <w:style w:type="paragraph" w:customStyle="1" w:styleId="affffffffffffffffffa">
    <w:name w:val="图表"/>
    <w:link w:val="Charfffffff6"/>
    <w:qFormat/>
    <w:pPr>
      <w:spacing w:after="160" w:line="278" w:lineRule="auto"/>
      <w:jc w:val="center"/>
    </w:pPr>
    <w:rPr>
      <w:sz w:val="28"/>
    </w:rPr>
  </w:style>
  <w:style w:type="paragraph" w:customStyle="1" w:styleId="1ff7">
    <w:name w:val="分目录1"/>
    <w:basedOn w:val="a7"/>
    <w:link w:val="1Charb"/>
    <w:qFormat/>
    <w:pPr>
      <w:tabs>
        <w:tab w:val="right" w:leader="dot" w:pos="8304"/>
      </w:tabs>
      <w:adjustRightInd w:val="0"/>
      <w:snapToGrid w:val="0"/>
      <w:spacing w:after="160" w:line="360" w:lineRule="auto"/>
    </w:pPr>
    <w:rPr>
      <w:snapToGrid w:val="0"/>
      <w:kern w:val="0"/>
      <w:sz w:val="28"/>
      <w:szCs w:val="20"/>
    </w:rPr>
  </w:style>
  <w:style w:type="paragraph" w:customStyle="1" w:styleId="affffffffffffffffffb">
    <w:name w:val="左"/>
    <w:basedOn w:val="a7"/>
    <w:link w:val="Charfffffff7"/>
    <w:semiHidden/>
    <w:qFormat/>
    <w:pPr>
      <w:adjustRightInd w:val="0"/>
      <w:snapToGrid w:val="0"/>
      <w:spacing w:after="160" w:line="280" w:lineRule="exact"/>
      <w:jc w:val="left"/>
    </w:pPr>
    <w:rPr>
      <w:color w:val="000000"/>
      <w:kern w:val="0"/>
      <w:sz w:val="18"/>
    </w:rPr>
  </w:style>
  <w:style w:type="paragraph" w:customStyle="1" w:styleId="CharCharCharCharCharCharCharCharCharChar">
    <w:name w:val="图表名 Char Char Char Char Char Char Char Char Char Char"/>
    <w:basedOn w:val="a7"/>
    <w:link w:val="CharCharCharCharCharCharCharCharCharCharChar"/>
    <w:qFormat/>
    <w:pPr>
      <w:widowControl/>
      <w:tabs>
        <w:tab w:val="left" w:pos="4680"/>
      </w:tabs>
      <w:spacing w:beforeLines="20" w:before="62" w:afterLines="20" w:after="62" w:line="360" w:lineRule="auto"/>
      <w:ind w:firstLine="482"/>
      <w:jc w:val="center"/>
    </w:pPr>
    <w:rPr>
      <w:rFonts w:hAnsi="宋体"/>
      <w:b/>
    </w:rPr>
  </w:style>
  <w:style w:type="paragraph" w:customStyle="1" w:styleId="2fff1">
    <w:name w:val="样式 报告正文 + 首行缩进:  2 字符"/>
    <w:basedOn w:val="a7"/>
    <w:link w:val="2Charf"/>
    <w:qFormat/>
    <w:pPr>
      <w:autoSpaceDE w:val="0"/>
      <w:autoSpaceDN w:val="0"/>
      <w:spacing w:after="160" w:line="360" w:lineRule="auto"/>
      <w:ind w:firstLineChars="200" w:firstLine="200"/>
    </w:pPr>
    <w:rPr>
      <w:kern w:val="0"/>
      <w:sz w:val="24"/>
    </w:rPr>
  </w:style>
  <w:style w:type="paragraph" w:customStyle="1" w:styleId="1ff8">
    <w:name w:val="引用1"/>
    <w:basedOn w:val="a7"/>
    <w:next w:val="a7"/>
    <w:link w:val="affffffffffffffffffc"/>
    <w:uiPriority w:val="29"/>
    <w:qFormat/>
    <w:pPr>
      <w:widowControl/>
      <w:spacing w:before="200" w:after="160" w:line="480" w:lineRule="exact"/>
      <w:ind w:left="360" w:right="360" w:firstLine="482"/>
      <w:jc w:val="left"/>
    </w:pPr>
    <w:rPr>
      <w:i/>
      <w:iCs/>
      <w:kern w:val="0"/>
      <w:sz w:val="28"/>
      <w:szCs w:val="22"/>
      <w:lang w:eastAsia="en-US" w:bidi="en-US"/>
    </w:rPr>
  </w:style>
  <w:style w:type="paragraph" w:customStyle="1" w:styleId="156">
    <w:name w:val="表格15"/>
    <w:basedOn w:val="a7"/>
    <w:link w:val="15Char0"/>
    <w:qFormat/>
    <w:pPr>
      <w:adjustRightInd w:val="0"/>
      <w:snapToGrid w:val="0"/>
      <w:spacing w:after="160" w:line="300" w:lineRule="exact"/>
      <w:jc w:val="center"/>
      <w:textAlignment w:val="baseline"/>
    </w:pPr>
    <w:rPr>
      <w:rFonts w:ascii="宋体"/>
      <w:kern w:val="0"/>
      <w:sz w:val="20"/>
      <w:szCs w:val="28"/>
    </w:rPr>
  </w:style>
  <w:style w:type="paragraph" w:customStyle="1" w:styleId="affffffffffffffffffd">
    <w:name w:val="蒲正文"/>
    <w:basedOn w:val="a7"/>
    <w:link w:val="Charfffffff8"/>
    <w:qFormat/>
    <w:pPr>
      <w:adjustRightInd w:val="0"/>
      <w:snapToGrid w:val="0"/>
      <w:spacing w:after="160" w:line="360" w:lineRule="auto"/>
      <w:ind w:firstLineChars="200" w:firstLine="480"/>
    </w:pPr>
    <w:rPr>
      <w:kern w:val="0"/>
      <w:sz w:val="24"/>
    </w:rPr>
  </w:style>
  <w:style w:type="paragraph" w:customStyle="1" w:styleId="4f7">
    <w:name w:val="4"/>
    <w:basedOn w:val="a7"/>
    <w:next w:val="aff2"/>
    <w:link w:val="4Char6"/>
    <w:uiPriority w:val="34"/>
    <w:qFormat/>
    <w:pPr>
      <w:spacing w:after="160" w:line="240" w:lineRule="exact"/>
      <w:jc w:val="center"/>
    </w:pPr>
    <w:rPr>
      <w:rFonts w:eastAsia="方正仿宋简体"/>
      <w:w w:val="80"/>
    </w:rPr>
  </w:style>
  <w:style w:type="paragraph" w:customStyle="1" w:styleId="1ff9">
    <w:name w:val="段落1"/>
    <w:basedOn w:val="a7"/>
    <w:link w:val="1Char11"/>
    <w:qFormat/>
    <w:pPr>
      <w:adjustRightInd w:val="0"/>
      <w:spacing w:after="160" w:line="360" w:lineRule="auto"/>
      <w:ind w:firstLineChars="200" w:firstLine="504"/>
    </w:pPr>
    <w:rPr>
      <w:rFonts w:ascii="宋体" w:hAnsi="宋体"/>
      <w:iCs/>
      <w:color w:val="000000"/>
      <w:spacing w:val="6"/>
      <w:kern w:val="0"/>
      <w:sz w:val="24"/>
    </w:rPr>
  </w:style>
  <w:style w:type="paragraph" w:customStyle="1" w:styleId="affffffffffffffffffe">
    <w:name w:val="表、图名"/>
    <w:basedOn w:val="a7"/>
    <w:link w:val="Charfffffff9"/>
    <w:qFormat/>
    <w:pPr>
      <w:spacing w:after="160" w:line="278" w:lineRule="auto"/>
      <w:jc w:val="center"/>
    </w:pPr>
    <w:rPr>
      <w:rFonts w:ascii="黑体" w:eastAsia="黑体" w:hAnsi="宋体"/>
      <w:sz w:val="24"/>
    </w:rPr>
  </w:style>
  <w:style w:type="paragraph" w:customStyle="1" w:styleId="022">
    <w:name w:val="022"/>
    <w:basedOn w:val="a7"/>
    <w:link w:val="022CharChar"/>
    <w:qFormat/>
    <w:pPr>
      <w:spacing w:after="160" w:line="360" w:lineRule="auto"/>
      <w:ind w:firstLineChars="200" w:firstLine="480"/>
    </w:pPr>
    <w:rPr>
      <w:rFonts w:ascii="宋体" w:hAnsi="Courier New"/>
      <w:sz w:val="24"/>
    </w:rPr>
  </w:style>
  <w:style w:type="paragraph" w:customStyle="1" w:styleId="3ff1">
    <w:name w:val="+标题3"/>
    <w:basedOn w:val="31"/>
    <w:link w:val="3Char7"/>
    <w:uiPriority w:val="99"/>
    <w:qFormat/>
    <w:pPr>
      <w:keepNext/>
      <w:keepLines/>
      <w:numPr>
        <w:ilvl w:val="0"/>
        <w:numId w:val="0"/>
      </w:numPr>
      <w:tabs>
        <w:tab w:val="left" w:pos="720"/>
        <w:tab w:val="left" w:pos="1820"/>
      </w:tabs>
      <w:adjustRightInd/>
      <w:spacing w:before="120" w:after="120"/>
      <w:ind w:left="1820" w:hanging="420"/>
      <w:textAlignment w:val="auto"/>
    </w:pPr>
    <w:rPr>
      <w:rFonts w:eastAsia="宋体"/>
      <w:bCs w:val="0"/>
      <w:color w:val="auto"/>
      <w:kern w:val="0"/>
      <w:sz w:val="28"/>
      <w:szCs w:val="20"/>
      <w:lang w:val="en-US"/>
    </w:rPr>
  </w:style>
  <w:style w:type="paragraph" w:customStyle="1" w:styleId="87">
    <w:name w:val="正文文本8"/>
    <w:basedOn w:val="a7"/>
    <w:link w:val="afffffffffffffffffff"/>
    <w:qFormat/>
    <w:pPr>
      <w:shd w:val="clear" w:color="auto" w:fill="FFFFFF"/>
      <w:spacing w:before="120" w:after="160" w:line="465" w:lineRule="exact"/>
      <w:ind w:hanging="1140"/>
      <w:jc w:val="left"/>
    </w:pPr>
    <w:rPr>
      <w:rFonts w:ascii="Arial Unicode MS" w:eastAsia="Arial Unicode MS" w:hAnsi="Arial Unicode MS"/>
      <w:kern w:val="0"/>
      <w:sz w:val="23"/>
      <w:szCs w:val="23"/>
      <w:shd w:val="clear" w:color="auto" w:fill="FFFFFF"/>
    </w:rPr>
  </w:style>
  <w:style w:type="paragraph" w:customStyle="1" w:styleId="1ffa">
    <w:name w:val="正文文本缩进1"/>
    <w:basedOn w:val="a7"/>
    <w:qFormat/>
    <w:pPr>
      <w:spacing w:after="120" w:line="278" w:lineRule="auto"/>
      <w:ind w:left="420"/>
    </w:pPr>
  </w:style>
  <w:style w:type="paragraph" w:customStyle="1" w:styleId="1ffb">
    <w:name w:val="正文文字1"/>
    <w:basedOn w:val="a7"/>
    <w:qFormat/>
    <w:pPr>
      <w:snapToGrid w:val="0"/>
      <w:spacing w:after="160" w:line="324" w:lineRule="auto"/>
      <w:ind w:firstLineChars="200" w:firstLine="480"/>
    </w:pPr>
    <w:rPr>
      <w:rFonts w:eastAsia="华文中宋"/>
      <w:sz w:val="24"/>
    </w:rPr>
  </w:style>
  <w:style w:type="paragraph" w:customStyle="1" w:styleId="ST206">
    <w:name w:val="ST20_6"/>
    <w:basedOn w:val="a7"/>
    <w:qFormat/>
    <w:pPr>
      <w:keepNext/>
      <w:autoSpaceDE w:val="0"/>
      <w:autoSpaceDN w:val="0"/>
      <w:adjustRightInd w:val="0"/>
      <w:spacing w:after="160" w:line="360" w:lineRule="atLeast"/>
      <w:jc w:val="left"/>
      <w:textAlignment w:val="baseline"/>
    </w:pPr>
    <w:rPr>
      <w:rFonts w:ascii="宋体" w:hAnsi="Tms Rmn"/>
      <w:kern w:val="0"/>
      <w:sz w:val="28"/>
      <w:szCs w:val="28"/>
    </w:rPr>
  </w:style>
  <w:style w:type="paragraph" w:customStyle="1" w:styleId="List31">
    <w:name w:val="List 31"/>
    <w:basedOn w:val="a7"/>
    <w:qFormat/>
    <w:pPr>
      <w:spacing w:after="160" w:line="278" w:lineRule="auto"/>
      <w:ind w:leftChars="400" w:left="100" w:hangingChars="200" w:hanging="200"/>
    </w:pPr>
  </w:style>
  <w:style w:type="paragraph" w:customStyle="1" w:styleId="afffffffffffffffffff0">
    <w:name w:val="新标题样式"/>
    <w:basedOn w:val="a7"/>
    <w:qFormat/>
    <w:pPr>
      <w:tabs>
        <w:tab w:val="left" w:pos="567"/>
      </w:tabs>
      <w:spacing w:after="160" w:line="360" w:lineRule="auto"/>
      <w:jc w:val="left"/>
    </w:pPr>
    <w:rPr>
      <w:rFonts w:eastAsia="黑体"/>
      <w:b/>
      <w:spacing w:val="20"/>
      <w:sz w:val="24"/>
      <w:szCs w:val="20"/>
    </w:rPr>
  </w:style>
  <w:style w:type="paragraph" w:customStyle="1" w:styleId="5552">
    <w:name w:val="样式 555 + 首行缩进:  2 字符"/>
    <w:basedOn w:val="a7"/>
    <w:qFormat/>
    <w:pPr>
      <w:spacing w:after="160" w:line="400" w:lineRule="exact"/>
      <w:ind w:firstLineChars="200" w:firstLine="200"/>
    </w:pPr>
    <w:rPr>
      <w:rFonts w:hAnsi="宋体" w:cs="宋体"/>
      <w:kern w:val="0"/>
      <w:sz w:val="24"/>
      <w:szCs w:val="20"/>
    </w:rPr>
  </w:style>
  <w:style w:type="paragraph" w:customStyle="1" w:styleId="font0">
    <w:name w:val="font0"/>
    <w:basedOn w:val="a7"/>
    <w:uiPriority w:val="99"/>
    <w:qFormat/>
    <w:pPr>
      <w:widowControl/>
      <w:spacing w:before="100" w:beforeAutospacing="1" w:after="100" w:afterAutospacing="1" w:line="360" w:lineRule="auto"/>
      <w:ind w:firstLine="482"/>
      <w:jc w:val="left"/>
    </w:pPr>
    <w:rPr>
      <w:rFonts w:ascii="宋体" w:hAnsi="宋体" w:hint="eastAsia"/>
      <w:kern w:val="0"/>
      <w:sz w:val="24"/>
    </w:rPr>
  </w:style>
  <w:style w:type="paragraph" w:customStyle="1" w:styleId="whln">
    <w:name w:val="whln"/>
    <w:basedOn w:val="a7"/>
    <w:qFormat/>
    <w:pPr>
      <w:widowControl/>
      <w:shd w:val="clear" w:color="auto" w:fill="FFFFFF"/>
      <w:adjustRightInd w:val="0"/>
      <w:snapToGrid w:val="0"/>
      <w:spacing w:before="427" w:after="427" w:line="444" w:lineRule="atLeast"/>
      <w:ind w:left="267" w:right="267" w:firstLineChars="200" w:firstLine="480"/>
      <w:jc w:val="left"/>
    </w:pPr>
    <w:rPr>
      <w:rFonts w:ascii="Arial Unicode MS" w:hAnsi="Arial Unicode MS"/>
      <w:b/>
      <w:kern w:val="0"/>
      <w:sz w:val="25"/>
      <w:szCs w:val="20"/>
    </w:rPr>
  </w:style>
  <w:style w:type="paragraph" w:customStyle="1" w:styleId="1115">
    <w:name w:val="样式 标题 1章标题 1 + 黑色 行距: 1.5 倍行距"/>
    <w:basedOn w:val="1"/>
    <w:uiPriority w:val="99"/>
    <w:qFormat/>
    <w:pPr>
      <w:keepNext/>
      <w:keepLines/>
      <w:numPr>
        <w:numId w:val="0"/>
      </w:numPr>
      <w:snapToGrid/>
      <w:spacing w:beforeLines="0" w:before="340" w:after="330"/>
    </w:pPr>
    <w:rPr>
      <w:rFonts w:eastAsia="黑体" w:cs="宋体"/>
      <w:bCs/>
      <w:color w:val="000000"/>
      <w:sz w:val="36"/>
      <w:szCs w:val="20"/>
    </w:rPr>
  </w:style>
  <w:style w:type="paragraph" w:customStyle="1" w:styleId="afffffffffffffffffff1">
    <w:name w:val="本文正文"/>
    <w:basedOn w:val="a7"/>
    <w:uiPriority w:val="99"/>
    <w:qFormat/>
    <w:pPr>
      <w:autoSpaceDE w:val="0"/>
      <w:autoSpaceDN w:val="0"/>
      <w:adjustRightInd w:val="0"/>
      <w:spacing w:after="160" w:line="300" w:lineRule="auto"/>
      <w:ind w:firstLineChars="200" w:firstLine="560"/>
      <w:textAlignment w:val="baseline"/>
    </w:pPr>
    <w:rPr>
      <w:sz w:val="28"/>
      <w:szCs w:val="20"/>
    </w:rPr>
  </w:style>
  <w:style w:type="paragraph" w:customStyle="1" w:styleId="242">
    <w:name w:val="样式 小四 左 行距: 固定值 24 磅 首行缩进:  2 字符"/>
    <w:basedOn w:val="a7"/>
    <w:qFormat/>
    <w:pPr>
      <w:spacing w:after="160" w:line="360" w:lineRule="auto"/>
      <w:ind w:firstLineChars="200" w:firstLine="420"/>
    </w:pPr>
    <w:rPr>
      <w:rFonts w:ascii="宋体" w:hAnsi="宋体" w:cs="宋体"/>
      <w:color w:val="000000"/>
      <w:kern w:val="28"/>
      <w:sz w:val="28"/>
      <w:szCs w:val="28"/>
    </w:rPr>
  </w:style>
  <w:style w:type="paragraph" w:customStyle="1" w:styleId="CharCharCharCharCharCharCharCharCharCharCharCharCharCharCharCharCharChar">
    <w:name w:val="Char Char Char Char Char Char Char Char Char Char Char Char Char Char Char Char Char Char"/>
    <w:basedOn w:val="a7"/>
    <w:qFormat/>
    <w:pPr>
      <w:spacing w:after="160" w:line="360" w:lineRule="auto"/>
      <w:ind w:firstLine="482"/>
    </w:pPr>
    <w:rPr>
      <w:kern w:val="0"/>
      <w:sz w:val="24"/>
    </w:rPr>
  </w:style>
  <w:style w:type="paragraph" w:customStyle="1" w:styleId="127">
    <w:name w:val="样式 标题 1 + 首行缩进:  2.7 厘米"/>
    <w:basedOn w:val="1"/>
    <w:qFormat/>
    <w:pPr>
      <w:keepNext/>
      <w:keepLines/>
      <w:numPr>
        <w:numId w:val="0"/>
      </w:numPr>
      <w:tabs>
        <w:tab w:val="left" w:pos="210"/>
      </w:tabs>
      <w:snapToGrid/>
      <w:spacing w:beforeLines="0" w:before="0" w:after="160" w:line="600" w:lineRule="exact"/>
      <w:ind w:firstLineChars="200" w:firstLine="200"/>
      <w:jc w:val="center"/>
    </w:pPr>
    <w:rPr>
      <w:rFonts w:ascii="宋体" w:eastAsia="楷体_GB2312" w:hAnsi="宋体" w:cs="宋体"/>
      <w:b/>
      <w:color w:val="FF0000"/>
      <w:sz w:val="30"/>
      <w:szCs w:val="20"/>
    </w:rPr>
  </w:style>
  <w:style w:type="paragraph" w:customStyle="1" w:styleId="TOC12">
    <w:name w:val="TOC 标题12"/>
    <w:basedOn w:val="1"/>
    <w:next w:val="a7"/>
    <w:uiPriority w:val="39"/>
    <w:qFormat/>
    <w:pPr>
      <w:keepNext/>
      <w:keepLines/>
      <w:widowControl/>
      <w:numPr>
        <w:numId w:val="0"/>
      </w:numPr>
      <w:snapToGrid/>
      <w:spacing w:beforeLines="0" w:before="480" w:after="160" w:line="276" w:lineRule="auto"/>
      <w:jc w:val="left"/>
      <w:outlineLvl w:val="9"/>
    </w:pPr>
    <w:rPr>
      <w:rFonts w:ascii="Cambria" w:eastAsia="宋体" w:hAnsi="Cambria"/>
      <w:b/>
      <w:bCs/>
      <w:color w:val="365F91"/>
      <w:kern w:val="0"/>
      <w:sz w:val="28"/>
      <w:szCs w:val="28"/>
    </w:rPr>
  </w:style>
  <w:style w:type="paragraph" w:customStyle="1" w:styleId="ST2063">
    <w:name w:val="ST20_63"/>
    <w:qFormat/>
    <w:pPr>
      <w:spacing w:after="160" w:line="278" w:lineRule="auto"/>
    </w:pPr>
  </w:style>
  <w:style w:type="paragraph" w:customStyle="1" w:styleId="ST2054">
    <w:name w:val="ST20_54"/>
    <w:qFormat/>
    <w:pPr>
      <w:spacing w:after="160" w:line="278" w:lineRule="auto"/>
      <w:ind w:left="720" w:hanging="360"/>
    </w:pPr>
  </w:style>
  <w:style w:type="paragraph" w:customStyle="1" w:styleId="ST2019">
    <w:name w:val="ST20_19"/>
    <w:qFormat/>
    <w:pPr>
      <w:spacing w:after="160" w:line="278" w:lineRule="auto"/>
    </w:pPr>
  </w:style>
  <w:style w:type="paragraph" w:customStyle="1" w:styleId="ST202">
    <w:name w:val="ST20_2"/>
    <w:basedOn w:val="a7"/>
    <w:qFormat/>
    <w:pPr>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115">
    <w:name w:val="样式 标题 1 + 宋体1"/>
    <w:basedOn w:val="1"/>
    <w:qFormat/>
    <w:pPr>
      <w:keepNext/>
      <w:widowControl/>
      <w:numPr>
        <w:numId w:val="0"/>
      </w:numPr>
      <w:tabs>
        <w:tab w:val="left" w:pos="1260"/>
        <w:tab w:val="right" w:pos="8640"/>
      </w:tabs>
      <w:overflowPunct w:val="0"/>
      <w:autoSpaceDE w:val="0"/>
      <w:autoSpaceDN w:val="0"/>
      <w:adjustRightInd w:val="0"/>
      <w:snapToGrid/>
      <w:spacing w:beforeLines="0" w:before="120" w:after="120" w:line="440" w:lineRule="exact"/>
      <w:ind w:left="232" w:hanging="432"/>
      <w:jc w:val="left"/>
      <w:textAlignment w:val="baseline"/>
    </w:pPr>
    <w:rPr>
      <w:rFonts w:ascii="宋体" w:eastAsia="宋体" w:hAnsi="宋体"/>
      <w:b/>
      <w:bCs/>
      <w:kern w:val="28"/>
      <w:sz w:val="30"/>
      <w:szCs w:val="20"/>
    </w:rPr>
  </w:style>
  <w:style w:type="paragraph" w:customStyle="1" w:styleId="Afffffffffffffffffff2">
    <w:name w:val="A二级条标题"/>
    <w:next w:val="a7"/>
    <w:qFormat/>
    <w:pPr>
      <w:spacing w:after="160" w:line="278" w:lineRule="auto"/>
      <w:ind w:left="735"/>
      <w:outlineLvl w:val="3"/>
    </w:pPr>
  </w:style>
  <w:style w:type="paragraph" w:customStyle="1" w:styleId="Afffffffffffffffffff3">
    <w:name w:val="A一级条标题"/>
    <w:next w:val="a7"/>
    <w:qFormat/>
    <w:pPr>
      <w:spacing w:after="160" w:line="278" w:lineRule="auto"/>
      <w:ind w:left="420"/>
      <w:outlineLvl w:val="2"/>
    </w:pPr>
  </w:style>
  <w:style w:type="paragraph" w:customStyle="1" w:styleId="Afffffffffffffffffff4">
    <w:name w:val="A章标题"/>
    <w:next w:val="a7"/>
    <w:qFormat/>
    <w:pPr>
      <w:spacing w:beforeLines="50" w:afterLines="50" w:after="160" w:line="278" w:lineRule="auto"/>
      <w:ind w:left="315"/>
      <w:jc w:val="both"/>
      <w:outlineLvl w:val="1"/>
    </w:pPr>
    <w:rPr>
      <w:rFonts w:ascii="黑体" w:eastAsia="黑体"/>
      <w:sz w:val="21"/>
    </w:rPr>
  </w:style>
  <w:style w:type="paragraph" w:customStyle="1" w:styleId="afffffffffffffffffff5">
    <w:name w:val="安全设施正文"/>
    <w:basedOn w:val="afffffffffffffffffff0"/>
    <w:qFormat/>
    <w:pPr>
      <w:ind w:firstLineChars="200" w:firstLine="200"/>
    </w:pPr>
    <w:rPr>
      <w:rFonts w:ascii="宋体" w:eastAsia="宋体" w:cs="宋体"/>
      <w:b w:val="0"/>
      <w:bCs/>
      <w:spacing w:val="0"/>
      <w:szCs w:val="28"/>
    </w:rPr>
  </w:style>
  <w:style w:type="paragraph" w:customStyle="1" w:styleId="102">
    <w:name w:val="正文首行缩进10"/>
    <w:basedOn w:val="aff2"/>
    <w:qFormat/>
    <w:pPr>
      <w:adjustRightInd w:val="0"/>
      <w:spacing w:before="0" w:line="312" w:lineRule="auto"/>
      <w:ind w:left="0" w:firstLine="567"/>
      <w:jc w:val="both"/>
    </w:pPr>
    <w:rPr>
      <w:rFonts w:ascii="Times New Roman" w:hAnsi="Times New Roman"/>
      <w:sz w:val="28"/>
      <w:szCs w:val="20"/>
      <w:lang w:eastAsia="zh-CN"/>
    </w:rPr>
  </w:style>
  <w:style w:type="paragraph" w:customStyle="1" w:styleId="aa0">
    <w:name w:val="正文aa"/>
    <w:basedOn w:val="a7"/>
    <w:qFormat/>
    <w:pPr>
      <w:spacing w:after="160" w:line="360" w:lineRule="auto"/>
      <w:ind w:firstLineChars="200" w:firstLine="200"/>
    </w:pPr>
    <w:rPr>
      <w:sz w:val="24"/>
    </w:rPr>
  </w:style>
  <w:style w:type="paragraph" w:customStyle="1" w:styleId="afffffffffffffffffff6">
    <w:name w:val="块引用"/>
    <w:basedOn w:val="a7"/>
    <w:semiHidden/>
    <w:qFormat/>
    <w:pPr>
      <w:keepLines/>
      <w:widowControl/>
      <w:overflowPunct w:val="0"/>
      <w:autoSpaceDE w:val="0"/>
      <w:autoSpaceDN w:val="0"/>
      <w:adjustRightInd w:val="0"/>
      <w:spacing w:after="160" w:line="278" w:lineRule="auto"/>
      <w:ind w:left="360" w:right="360"/>
      <w:jc w:val="center"/>
      <w:textAlignment w:val="baseline"/>
    </w:pPr>
    <w:rPr>
      <w:i/>
      <w:sz w:val="20"/>
      <w:szCs w:val="20"/>
    </w:rPr>
  </w:style>
  <w:style w:type="paragraph" w:customStyle="1" w:styleId="xl148">
    <w:name w:val="xl148"/>
    <w:basedOn w:val="a7"/>
    <w:uiPriority w:val="99"/>
    <w:qFormat/>
    <w:pPr>
      <w:widowControl/>
      <w:pBdr>
        <w:left w:val="single" w:sz="4" w:space="0" w:color="auto"/>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227">
    <w:name w:val="样式 样式 表格内容 + 首行缩进:  2 字符 + 左 首行缩进:  2 字符"/>
    <w:qFormat/>
    <w:pPr>
      <w:spacing w:after="160" w:line="278" w:lineRule="auto"/>
      <w:jc w:val="both"/>
    </w:pPr>
  </w:style>
  <w:style w:type="paragraph" w:customStyle="1" w:styleId="afffffffffffffffffff7">
    <w:name w:val="样式 表格标题 + 两端对齐"/>
    <w:basedOn w:val="a7"/>
    <w:qFormat/>
    <w:pPr>
      <w:adjustRightInd w:val="0"/>
      <w:snapToGrid w:val="0"/>
      <w:spacing w:after="160" w:line="300" w:lineRule="auto"/>
      <w:ind w:firstLine="482"/>
      <w:jc w:val="center"/>
    </w:pPr>
    <w:rPr>
      <w:rFonts w:cs="宋体"/>
      <w:b/>
      <w:color w:val="000000"/>
      <w:kern w:val="0"/>
      <w:sz w:val="24"/>
      <w:szCs w:val="20"/>
    </w:rPr>
  </w:style>
  <w:style w:type="paragraph" w:customStyle="1" w:styleId="xl233">
    <w:name w:val="xl233"/>
    <w:basedOn w:val="a7"/>
    <w:qFormat/>
    <w:pPr>
      <w:widowControl/>
      <w:pBdr>
        <w:top w:val="single" w:sz="4" w:space="0" w:color="auto"/>
        <w:bottom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5f7">
    <w:name w:val="正文首行缩进5"/>
    <w:basedOn w:val="aff2"/>
    <w:qFormat/>
    <w:pPr>
      <w:adjustRightInd w:val="0"/>
      <w:spacing w:before="0" w:line="312" w:lineRule="auto"/>
      <w:ind w:left="0" w:firstLine="567"/>
      <w:jc w:val="both"/>
    </w:pPr>
    <w:rPr>
      <w:rFonts w:ascii="Times New Roman" w:hAnsi="Times New Roman"/>
      <w:sz w:val="28"/>
      <w:szCs w:val="20"/>
      <w:lang w:eastAsia="zh-CN"/>
    </w:rPr>
  </w:style>
  <w:style w:type="paragraph" w:customStyle="1" w:styleId="157">
    <w:name w:val="样式 四号 加粗 行距: 1.5 倍行距"/>
    <w:basedOn w:val="a7"/>
    <w:uiPriority w:val="99"/>
    <w:qFormat/>
    <w:pPr>
      <w:spacing w:beforeLines="50" w:afterLines="50" w:after="160" w:line="480" w:lineRule="exact"/>
    </w:pPr>
    <w:rPr>
      <w:sz w:val="28"/>
      <w:szCs w:val="20"/>
    </w:rPr>
  </w:style>
  <w:style w:type="paragraph" w:customStyle="1" w:styleId="215">
    <w:name w:val="样式 宋体 首行缩进:  2 字符 行距: 1.5 倍行距"/>
    <w:basedOn w:val="a7"/>
    <w:uiPriority w:val="99"/>
    <w:qFormat/>
    <w:pPr>
      <w:spacing w:after="160" w:line="360" w:lineRule="auto"/>
      <w:ind w:firstLineChars="200" w:firstLine="480"/>
    </w:pPr>
    <w:rPr>
      <w:sz w:val="24"/>
    </w:rPr>
  </w:style>
  <w:style w:type="paragraph" w:customStyle="1" w:styleId="afffffffffffffffffff8">
    <w:name w:val="文档卷标"/>
    <w:semiHidden/>
    <w:qFormat/>
    <w:pPr>
      <w:spacing w:after="360" w:line="278" w:lineRule="auto"/>
    </w:pPr>
  </w:style>
  <w:style w:type="paragraph" w:customStyle="1" w:styleId="afffffffffffffffffff9">
    <w:name w:val="基准篇头"/>
    <w:basedOn w:val="a7"/>
    <w:next w:val="aff2"/>
    <w:semiHidden/>
    <w:qFormat/>
    <w:pPr>
      <w:keepNext/>
      <w:widowControl/>
      <w:overflowPunct w:val="0"/>
      <w:autoSpaceDE w:val="0"/>
      <w:autoSpaceDN w:val="0"/>
      <w:adjustRightInd w:val="0"/>
      <w:spacing w:before="240" w:after="120" w:line="278" w:lineRule="auto"/>
      <w:jc w:val="left"/>
      <w:textAlignment w:val="baseline"/>
    </w:pPr>
    <w:rPr>
      <w:rFonts w:ascii="Arial" w:hAnsi="Arial"/>
      <w:b/>
      <w:kern w:val="28"/>
      <w:sz w:val="36"/>
      <w:szCs w:val="20"/>
    </w:rPr>
  </w:style>
  <w:style w:type="paragraph" w:customStyle="1" w:styleId="2fff2">
    <w:name w:val="设计封面日期中宋2"/>
    <w:basedOn w:val="a7"/>
    <w:next w:val="a7"/>
    <w:qFormat/>
    <w:pPr>
      <w:tabs>
        <w:tab w:val="left" w:pos="210"/>
      </w:tabs>
      <w:snapToGrid w:val="0"/>
      <w:spacing w:after="160" w:line="360" w:lineRule="auto"/>
      <w:ind w:firstLine="482"/>
      <w:jc w:val="center"/>
    </w:pPr>
    <w:rPr>
      <w:rFonts w:ascii="宋体" w:hAnsi="宋体"/>
      <w:b/>
      <w:bCs/>
      <w:spacing w:val="60"/>
      <w:kern w:val="0"/>
      <w:sz w:val="44"/>
      <w:szCs w:val="28"/>
    </w:rPr>
  </w:style>
  <w:style w:type="paragraph" w:customStyle="1" w:styleId="xl25">
    <w:name w:val="xl25"/>
    <w:basedOn w:val="a7"/>
    <w:uiPriority w:val="99"/>
    <w:qFormat/>
    <w:pPr>
      <w:widowControl/>
      <w:spacing w:before="100" w:beforeAutospacing="1" w:after="100" w:afterAutospacing="1" w:line="360" w:lineRule="auto"/>
      <w:ind w:firstLine="482"/>
      <w:jc w:val="left"/>
    </w:pPr>
    <w:rPr>
      <w:rFonts w:ascii="Arial Unicode MS" w:eastAsia="Arial Unicode MS" w:hAnsi="Arial Unicode MS" w:cs="Arial Unicode MS"/>
      <w:kern w:val="0"/>
      <w:sz w:val="12"/>
      <w:szCs w:val="12"/>
    </w:rPr>
  </w:style>
  <w:style w:type="paragraph" w:customStyle="1" w:styleId="Charfffffffa">
    <w:name w:val="Char 张涛"/>
    <w:basedOn w:val="a7"/>
    <w:qFormat/>
    <w:pPr>
      <w:spacing w:after="160" w:line="360" w:lineRule="auto"/>
      <w:ind w:firstLine="482"/>
    </w:pPr>
    <w:rPr>
      <w:kern w:val="0"/>
      <w:sz w:val="24"/>
    </w:rPr>
  </w:style>
  <w:style w:type="paragraph" w:customStyle="1" w:styleId="p">
    <w:name w:val="p"/>
    <w:basedOn w:val="a7"/>
    <w:uiPriority w:val="99"/>
    <w:qFormat/>
    <w:pPr>
      <w:widowControl/>
      <w:spacing w:before="100" w:beforeAutospacing="1" w:after="100" w:afterAutospacing="1" w:line="276" w:lineRule="auto"/>
      <w:ind w:firstLineChars="200" w:firstLine="420"/>
    </w:pPr>
    <w:rPr>
      <w:kern w:val="0"/>
      <w:sz w:val="24"/>
    </w:rPr>
  </w:style>
  <w:style w:type="paragraph" w:customStyle="1" w:styleId="afffffffffffffffffffa">
    <w:name w:val="正文李进喜"/>
    <w:basedOn w:val="a7"/>
    <w:qFormat/>
    <w:pPr>
      <w:adjustRightInd w:val="0"/>
      <w:snapToGrid w:val="0"/>
      <w:spacing w:before="120" w:after="100" w:line="460" w:lineRule="exact"/>
      <w:ind w:firstLineChars="200" w:firstLine="480"/>
      <w:jc w:val="left"/>
    </w:pPr>
    <w:rPr>
      <w:kern w:val="0"/>
      <w:sz w:val="24"/>
    </w:rPr>
  </w:style>
  <w:style w:type="paragraph" w:customStyle="1" w:styleId="0655125">
    <w:name w:val="样式 (符号) 宋体 首行缩进:  0.6 厘米 段前: 5 磅 段后: 5 磅 行距: 多倍行距 1.25 字行"/>
    <w:basedOn w:val="a7"/>
    <w:uiPriority w:val="99"/>
    <w:qFormat/>
    <w:pPr>
      <w:snapToGrid w:val="0"/>
      <w:spacing w:before="100" w:after="100" w:line="360" w:lineRule="auto"/>
      <w:ind w:firstLine="567"/>
      <w:jc w:val="left"/>
    </w:pPr>
    <w:rPr>
      <w:rFonts w:hAnsi="宋体" w:cs="宋体"/>
      <w:sz w:val="24"/>
      <w:szCs w:val="20"/>
    </w:rPr>
  </w:style>
  <w:style w:type="paragraph" w:customStyle="1" w:styleId="afffffffffffffffffffb">
    <w:name w:val="抚顺项目章节标题"/>
    <w:basedOn w:val="a7"/>
    <w:qFormat/>
    <w:pPr>
      <w:tabs>
        <w:tab w:val="left" w:pos="567"/>
      </w:tabs>
      <w:spacing w:after="160" w:line="360" w:lineRule="auto"/>
      <w:jc w:val="left"/>
    </w:pPr>
    <w:rPr>
      <w:rFonts w:ascii="黑体" w:eastAsia="黑体"/>
      <w:b/>
      <w:spacing w:val="20"/>
      <w:sz w:val="24"/>
      <w:szCs w:val="20"/>
    </w:rPr>
  </w:style>
  <w:style w:type="paragraph" w:customStyle="1" w:styleId="103">
    <w:name w:val="小四宋居中1.0"/>
    <w:basedOn w:val="a7"/>
    <w:next w:val="a7"/>
    <w:qFormat/>
    <w:pPr>
      <w:adjustRightInd w:val="0"/>
      <w:spacing w:after="160" w:line="278" w:lineRule="auto"/>
      <w:jc w:val="center"/>
      <w:textAlignment w:val="baseline"/>
    </w:pPr>
    <w:rPr>
      <w:rFonts w:ascii="宋体" w:hAnsi="Arial Black"/>
      <w:sz w:val="24"/>
      <w:szCs w:val="20"/>
    </w:rPr>
  </w:style>
  <w:style w:type="paragraph" w:customStyle="1" w:styleId="1520">
    <w:name w:val="淮安正文样式 小四 行距: 1.5 倍行距 首行缩进:  2 字符"/>
    <w:basedOn w:val="a7"/>
    <w:uiPriority w:val="99"/>
    <w:qFormat/>
    <w:pPr>
      <w:adjustRightInd w:val="0"/>
      <w:snapToGrid w:val="0"/>
      <w:spacing w:after="160" w:line="360" w:lineRule="auto"/>
      <w:ind w:firstLineChars="200" w:firstLine="480"/>
    </w:pPr>
    <w:rPr>
      <w:snapToGrid w:val="0"/>
      <w:kern w:val="0"/>
      <w:sz w:val="24"/>
      <w:szCs w:val="20"/>
    </w:rPr>
  </w:style>
  <w:style w:type="paragraph" w:customStyle="1" w:styleId="CharCharCharCharCharCharChar0">
    <w:name w:val="Char Char Char Char Char Char Char"/>
    <w:basedOn w:val="a7"/>
    <w:uiPriority w:val="99"/>
    <w:qFormat/>
    <w:pPr>
      <w:spacing w:after="160" w:line="360" w:lineRule="auto"/>
      <w:ind w:firstLine="482"/>
    </w:pPr>
    <w:rPr>
      <w:kern w:val="0"/>
      <w:sz w:val="24"/>
      <w:szCs w:val="20"/>
    </w:rPr>
  </w:style>
  <w:style w:type="paragraph" w:customStyle="1" w:styleId="a90">
    <w:name w:val="a9"/>
    <w:basedOn w:val="a7"/>
    <w:qFormat/>
    <w:pPr>
      <w:widowControl/>
      <w:adjustRightInd w:val="0"/>
      <w:spacing w:before="100" w:beforeAutospacing="1" w:after="100" w:afterAutospacing="1" w:line="360" w:lineRule="atLeast"/>
      <w:ind w:firstLine="482"/>
      <w:jc w:val="left"/>
      <w:textAlignment w:val="baseline"/>
    </w:pPr>
    <w:rPr>
      <w:rFonts w:ascii="宋体" w:hAnsi="宋体"/>
      <w:color w:val="000000"/>
      <w:kern w:val="0"/>
      <w:sz w:val="24"/>
      <w:szCs w:val="20"/>
    </w:rPr>
  </w:style>
  <w:style w:type="paragraph" w:customStyle="1" w:styleId="1ffc">
    <w:name w:val="我的 标题 1.."/>
    <w:basedOn w:val="1"/>
    <w:uiPriority w:val="99"/>
    <w:qFormat/>
    <w:pPr>
      <w:keepNext/>
      <w:numPr>
        <w:numId w:val="0"/>
      </w:numPr>
      <w:spacing w:beforeLines="0" w:before="156" w:after="7"/>
    </w:pPr>
    <w:rPr>
      <w:rFonts w:eastAsia="黑体"/>
      <w:kern w:val="2"/>
      <w:sz w:val="36"/>
      <w:szCs w:val="20"/>
    </w:rPr>
  </w:style>
  <w:style w:type="paragraph" w:customStyle="1" w:styleId="ST2012">
    <w:name w:val="ST20_12"/>
    <w:basedOn w:val="a7"/>
    <w:next w:val="a7"/>
    <w:qFormat/>
    <w:pPr>
      <w:autoSpaceDE w:val="0"/>
      <w:autoSpaceDN w:val="0"/>
      <w:adjustRightInd w:val="0"/>
      <w:spacing w:before="160" w:after="160" w:line="360" w:lineRule="atLeast"/>
      <w:jc w:val="left"/>
      <w:textAlignment w:val="baseline"/>
    </w:pPr>
    <w:rPr>
      <w:rFonts w:ascii="宋体" w:hAnsi="Tms Rmn"/>
      <w:b/>
      <w:i/>
      <w:kern w:val="0"/>
      <w:sz w:val="28"/>
      <w:szCs w:val="20"/>
    </w:rPr>
  </w:style>
  <w:style w:type="paragraph" w:customStyle="1" w:styleId="Sun">
    <w:name w:val="Sun"/>
    <w:basedOn w:val="a7"/>
    <w:qFormat/>
    <w:pPr>
      <w:adjustRightInd w:val="0"/>
      <w:spacing w:after="160" w:line="360" w:lineRule="auto"/>
      <w:ind w:firstLine="567"/>
      <w:textAlignment w:val="baseline"/>
    </w:pPr>
    <w:rPr>
      <w:kern w:val="28"/>
      <w:sz w:val="28"/>
      <w:szCs w:val="20"/>
    </w:rPr>
  </w:style>
  <w:style w:type="paragraph" w:customStyle="1" w:styleId="15520">
    <w:name w:val="样式 标题 1 + 宋体 四号 居中 段前: 5 磅 段后: 5 磅 行距: 最小值 20 磅"/>
    <w:basedOn w:val="1"/>
    <w:qFormat/>
    <w:pPr>
      <w:keepNext/>
      <w:keepLines/>
      <w:numPr>
        <w:numId w:val="0"/>
      </w:numPr>
      <w:tabs>
        <w:tab w:val="left" w:pos="1260"/>
      </w:tabs>
      <w:snapToGrid/>
      <w:spacing w:beforeLines="0" w:before="100" w:after="100" w:line="400" w:lineRule="atLeast"/>
      <w:jc w:val="center"/>
    </w:pPr>
    <w:rPr>
      <w:rFonts w:ascii="宋体" w:eastAsia="黑体" w:hAnsi="宋体"/>
      <w:sz w:val="36"/>
      <w:szCs w:val="20"/>
    </w:rPr>
  </w:style>
  <w:style w:type="paragraph" w:customStyle="1" w:styleId="ST2040">
    <w:name w:val="ST20_40"/>
    <w:basedOn w:val="a7"/>
    <w:next w:val="a7"/>
    <w:qFormat/>
    <w:pPr>
      <w:autoSpaceDE w:val="0"/>
      <w:autoSpaceDN w:val="0"/>
      <w:adjustRightInd w:val="0"/>
      <w:spacing w:before="80" w:after="160" w:line="360" w:lineRule="atLeast"/>
      <w:ind w:left="720" w:hanging="360"/>
      <w:jc w:val="left"/>
      <w:textAlignment w:val="baseline"/>
    </w:pPr>
    <w:rPr>
      <w:rFonts w:ascii="宋体" w:hAnsi="Tms Rmn"/>
      <w:kern w:val="0"/>
      <w:sz w:val="28"/>
      <w:szCs w:val="20"/>
    </w:rPr>
  </w:style>
  <w:style w:type="paragraph" w:customStyle="1" w:styleId="Heading31">
    <w:name w:val="Heading3(1.)"/>
    <w:basedOn w:val="a7"/>
    <w:qFormat/>
    <w:pPr>
      <w:keepLines/>
      <w:widowControl/>
      <w:tabs>
        <w:tab w:val="left" w:pos="1440"/>
      </w:tabs>
      <w:spacing w:after="160" w:line="278" w:lineRule="auto"/>
      <w:ind w:left="990"/>
      <w:jc w:val="left"/>
    </w:pPr>
    <w:rPr>
      <w:kern w:val="0"/>
      <w:sz w:val="20"/>
      <w:szCs w:val="20"/>
      <w:lang w:eastAsia="en-US"/>
    </w:rPr>
  </w:style>
  <w:style w:type="paragraph" w:customStyle="1" w:styleId="afffffffffffffffffffc">
    <w:name w:val="四级条标题"/>
    <w:next w:val="a7"/>
    <w:qFormat/>
    <w:pPr>
      <w:tabs>
        <w:tab w:val="left" w:pos="360"/>
      </w:tabs>
      <w:spacing w:after="160" w:line="278" w:lineRule="auto"/>
      <w:outlineLvl w:val="5"/>
    </w:pPr>
  </w:style>
  <w:style w:type="paragraph" w:customStyle="1" w:styleId="afffffffffffffffffffd">
    <w:name w:val="三级条标题"/>
    <w:basedOn w:val="a7"/>
    <w:next w:val="a7"/>
    <w:qFormat/>
    <w:pPr>
      <w:widowControl/>
      <w:tabs>
        <w:tab w:val="left" w:pos="360"/>
      </w:tabs>
      <w:spacing w:after="160" w:line="360" w:lineRule="auto"/>
      <w:ind w:firstLine="482"/>
      <w:outlineLvl w:val="4"/>
    </w:pPr>
    <w:rPr>
      <w:rFonts w:ascii="黑体" w:eastAsia="黑体"/>
      <w:kern w:val="0"/>
      <w:sz w:val="24"/>
      <w:szCs w:val="20"/>
    </w:rPr>
  </w:style>
  <w:style w:type="paragraph" w:customStyle="1" w:styleId="L0">
    <w:name w:val="正文文字L"/>
    <w:basedOn w:val="aff4"/>
    <w:qFormat/>
    <w:pPr>
      <w:autoSpaceDE w:val="0"/>
      <w:autoSpaceDN w:val="0"/>
      <w:adjustRightInd w:val="0"/>
      <w:spacing w:after="160"/>
      <w:ind w:leftChars="0" w:left="0" w:firstLine="200"/>
    </w:pPr>
    <w:rPr>
      <w:rFonts w:ascii="宋体" w:hAnsi="宋体"/>
      <w:kern w:val="0"/>
      <w:sz w:val="28"/>
      <w:szCs w:val="32"/>
    </w:rPr>
  </w:style>
  <w:style w:type="paragraph" w:customStyle="1" w:styleId="CharCharCharCharCharCharCharChar2Char">
    <w:name w:val="Char Char Char Char Char Char Char Char2 Char"/>
    <w:basedOn w:val="a7"/>
    <w:next w:val="a7"/>
    <w:semiHidden/>
    <w:qFormat/>
    <w:pPr>
      <w:snapToGrid w:val="0"/>
      <w:spacing w:after="160" w:line="336" w:lineRule="auto"/>
      <w:ind w:firstLineChars="200" w:firstLine="200"/>
      <w:jc w:val="left"/>
    </w:pPr>
    <w:rPr>
      <w:rFonts w:ascii="宋体" w:eastAsia="汉鼎简书宋" w:hAnsi="宋体" w:cs="宋体"/>
      <w:spacing w:val="4"/>
      <w:sz w:val="24"/>
    </w:rPr>
  </w:style>
  <w:style w:type="paragraph" w:customStyle="1" w:styleId="CharCharCharCharChar2CharCharCharChar1">
    <w:name w:val="Char Char Char Char Char2 Char Char Char Char1"/>
    <w:basedOn w:val="a7"/>
    <w:semiHidden/>
    <w:qFormat/>
    <w:pPr>
      <w:adjustRightInd w:val="0"/>
      <w:snapToGrid w:val="0"/>
      <w:spacing w:after="160" w:line="360" w:lineRule="auto"/>
      <w:ind w:firstLineChars="200" w:firstLine="200"/>
    </w:pPr>
    <w:rPr>
      <w:rFonts w:ascii="宋体" w:hAnsi="宋体" w:cs="宋体"/>
      <w:kern w:val="0"/>
      <w:sz w:val="24"/>
      <w:szCs w:val="26"/>
    </w:rPr>
  </w:style>
  <w:style w:type="paragraph" w:customStyle="1" w:styleId="-ls1">
    <w:name w:val="表格样式-ls1"/>
    <w:qFormat/>
    <w:pPr>
      <w:spacing w:after="160" w:line="278" w:lineRule="auto"/>
    </w:pPr>
  </w:style>
  <w:style w:type="paragraph" w:customStyle="1" w:styleId="150505">
    <w:name w:val="样式 样式 四号 加粗 行距: 1.5 倍行距 + 段前: 0.5 行 段后: 0.5 行"/>
    <w:basedOn w:val="157"/>
    <w:uiPriority w:val="99"/>
    <w:qFormat/>
    <w:pPr>
      <w:spacing w:beforeLines="0" w:afterLines="0"/>
    </w:pPr>
  </w:style>
  <w:style w:type="paragraph" w:customStyle="1" w:styleId="CharCharfd">
    <w:name w:val="Char Char"/>
    <w:basedOn w:val="a7"/>
    <w:qFormat/>
    <w:pPr>
      <w:spacing w:after="160" w:line="360" w:lineRule="auto"/>
      <w:ind w:firstLine="482"/>
    </w:pPr>
    <w:rPr>
      <w:rFonts w:ascii="Tahoma" w:hAnsi="Tahoma"/>
      <w:kern w:val="0"/>
      <w:sz w:val="24"/>
      <w:szCs w:val="20"/>
    </w:rPr>
  </w:style>
  <w:style w:type="paragraph" w:customStyle="1" w:styleId="511">
    <w:name w:val="标题 51"/>
    <w:basedOn w:val="a7"/>
    <w:uiPriority w:val="1"/>
    <w:qFormat/>
    <w:pPr>
      <w:autoSpaceDE w:val="0"/>
      <w:autoSpaceDN w:val="0"/>
      <w:spacing w:after="160" w:line="278" w:lineRule="auto"/>
      <w:ind w:left="899" w:hanging="661"/>
      <w:jc w:val="left"/>
      <w:outlineLvl w:val="5"/>
    </w:pPr>
    <w:rPr>
      <w:rFonts w:ascii="宋体" w:hAnsi="宋体" w:cs="宋体"/>
      <w:b/>
      <w:bCs/>
      <w:i/>
      <w:kern w:val="0"/>
      <w:sz w:val="25"/>
      <w:szCs w:val="25"/>
      <w:lang w:val="zh-CN" w:bidi="zh-CN"/>
    </w:rPr>
  </w:style>
  <w:style w:type="paragraph" w:customStyle="1" w:styleId="Style97">
    <w:name w:val="Style97"/>
    <w:basedOn w:val="a7"/>
    <w:qFormat/>
    <w:pPr>
      <w:adjustRightInd w:val="0"/>
      <w:spacing w:after="160" w:line="360" w:lineRule="auto"/>
      <w:ind w:firstLine="482"/>
      <w:jc w:val="center"/>
    </w:pPr>
    <w:rPr>
      <w:rFonts w:ascii="宋体"/>
      <w:kern w:val="0"/>
      <w:sz w:val="24"/>
    </w:rPr>
  </w:style>
  <w:style w:type="paragraph" w:customStyle="1" w:styleId="Char50">
    <w:name w:val="Char5"/>
    <w:basedOn w:val="a7"/>
    <w:qFormat/>
    <w:pPr>
      <w:widowControl/>
      <w:spacing w:after="160" w:line="240" w:lineRule="exact"/>
      <w:ind w:firstLineChars="200" w:firstLine="480"/>
      <w:jc w:val="left"/>
    </w:pPr>
    <w:rPr>
      <w:rFonts w:ascii="Verdana" w:eastAsia="黑体" w:hAnsi="Verdana"/>
      <w:kern w:val="0"/>
      <w:sz w:val="28"/>
      <w:szCs w:val="20"/>
      <w:lang w:eastAsia="en-US"/>
    </w:rPr>
  </w:style>
  <w:style w:type="paragraph" w:customStyle="1" w:styleId="afffffffffffffffffffe">
    <w:name w:val="列表标题"/>
    <w:basedOn w:val="a7"/>
    <w:next w:val="a7"/>
    <w:qFormat/>
    <w:pPr>
      <w:spacing w:after="160" w:line="360" w:lineRule="auto"/>
      <w:ind w:firstLine="482"/>
      <w:jc w:val="center"/>
    </w:pPr>
    <w:rPr>
      <w:kern w:val="0"/>
      <w:sz w:val="24"/>
      <w:szCs w:val="20"/>
    </w:rPr>
  </w:style>
  <w:style w:type="paragraph" w:customStyle="1" w:styleId="Char1CharCharChar1">
    <w:name w:val="Char1 Char Char Char1"/>
    <w:basedOn w:val="a7"/>
    <w:qFormat/>
    <w:pPr>
      <w:spacing w:after="160" w:line="360" w:lineRule="auto"/>
      <w:ind w:firstLine="482"/>
    </w:pPr>
    <w:rPr>
      <w:kern w:val="0"/>
      <w:sz w:val="24"/>
    </w:rPr>
  </w:style>
  <w:style w:type="paragraph" w:customStyle="1" w:styleId="1ffd">
    <w:name w:val="1"/>
    <w:basedOn w:val="a7"/>
    <w:next w:val="affff2"/>
    <w:uiPriority w:val="99"/>
    <w:qFormat/>
    <w:pPr>
      <w:widowControl/>
      <w:spacing w:before="100" w:beforeAutospacing="1" w:after="100" w:afterAutospacing="1" w:line="280" w:lineRule="atLeast"/>
      <w:jc w:val="left"/>
    </w:pPr>
    <w:rPr>
      <w:rFonts w:ascii="ˎ̥" w:hAnsi="ˎ̥" w:cs="宋体"/>
      <w:kern w:val="0"/>
      <w:sz w:val="20"/>
      <w:szCs w:val="20"/>
    </w:rPr>
  </w:style>
  <w:style w:type="paragraph" w:customStyle="1" w:styleId="xl49">
    <w:name w:val="xl49"/>
    <w:basedOn w:val="a7"/>
    <w:qFormat/>
    <w:pPr>
      <w:widowControl/>
      <w:pBdr>
        <w:left w:val="single" w:sz="4" w:space="0" w:color="auto"/>
        <w:bottom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BlockText1">
    <w:name w:val="Block Text1"/>
    <w:basedOn w:val="a7"/>
    <w:qFormat/>
    <w:pPr>
      <w:spacing w:after="160" w:line="278" w:lineRule="auto"/>
      <w:ind w:left="525" w:right="651"/>
      <w:jc w:val="left"/>
    </w:pPr>
    <w:rPr>
      <w:rFonts w:eastAsia="仿宋_GB2312"/>
      <w:sz w:val="32"/>
      <w:szCs w:val="20"/>
    </w:rPr>
  </w:style>
  <w:style w:type="paragraph" w:customStyle="1" w:styleId="affffffffffffffffffff">
    <w:name w:val="敏感表"/>
    <w:basedOn w:val="a7"/>
    <w:next w:val="a7"/>
    <w:uiPriority w:val="99"/>
    <w:qFormat/>
    <w:pPr>
      <w:topLinePunct/>
      <w:adjustRightInd w:val="0"/>
      <w:spacing w:after="160" w:line="240" w:lineRule="atLeast"/>
      <w:jc w:val="center"/>
      <w:textAlignment w:val="bottom"/>
    </w:pPr>
    <w:rPr>
      <w:kern w:val="0"/>
      <w:szCs w:val="20"/>
    </w:rPr>
  </w:style>
  <w:style w:type="paragraph" w:customStyle="1" w:styleId="CharCharCharCharCharCharCharChar1">
    <w:name w:val="Char Char Char Char Char Char Char Char1"/>
    <w:basedOn w:val="a7"/>
    <w:qFormat/>
    <w:pPr>
      <w:widowControl/>
      <w:spacing w:after="160" w:line="240" w:lineRule="exact"/>
      <w:ind w:firstLine="482"/>
      <w:jc w:val="left"/>
    </w:pPr>
    <w:rPr>
      <w:rFonts w:ascii="Verdana" w:hAnsi="Verdana"/>
      <w:kern w:val="0"/>
      <w:sz w:val="20"/>
      <w:szCs w:val="20"/>
      <w:lang w:eastAsia="en-US"/>
    </w:rPr>
  </w:style>
  <w:style w:type="paragraph" w:customStyle="1" w:styleId="xl89">
    <w:name w:val="xl89"/>
    <w:basedOn w:val="a7"/>
    <w:qFormat/>
    <w:pPr>
      <w:widowControl/>
      <w:pBdr>
        <w:bottom w:val="single" w:sz="8" w:space="0" w:color="000000"/>
        <w:right w:val="single" w:sz="8" w:space="0" w:color="000000"/>
      </w:pBdr>
      <w:snapToGrid w:val="0"/>
      <w:spacing w:before="100" w:beforeAutospacing="1" w:after="100" w:afterAutospacing="1" w:line="278" w:lineRule="auto"/>
      <w:jc w:val="left"/>
    </w:pPr>
    <w:rPr>
      <w:rFonts w:ascii="宋体" w:hAnsi="宋体" w:cs="宋体"/>
      <w:color w:val="000000"/>
      <w:kern w:val="0"/>
      <w:sz w:val="24"/>
    </w:rPr>
  </w:style>
  <w:style w:type="paragraph" w:customStyle="1" w:styleId="Char1Char">
    <w:name w:val="Char1 Char"/>
    <w:basedOn w:val="a7"/>
    <w:qFormat/>
    <w:pPr>
      <w:widowControl/>
      <w:adjustRightInd w:val="0"/>
      <w:spacing w:after="160" w:line="240" w:lineRule="exact"/>
      <w:ind w:firstLine="482"/>
      <w:jc w:val="left"/>
      <w:textAlignment w:val="baseline"/>
    </w:pPr>
    <w:rPr>
      <w:rFonts w:ascii="Arial" w:eastAsia="Times New Roman" w:hAnsi="Arial" w:cs="Verdana"/>
      <w:b/>
      <w:kern w:val="0"/>
      <w:sz w:val="24"/>
      <w:lang w:eastAsia="en-US"/>
    </w:rPr>
  </w:style>
  <w:style w:type="paragraph" w:customStyle="1" w:styleId="Char1CharCharCharCharCharChar">
    <w:name w:val="Char1 Char Char Char Char Char Char"/>
    <w:basedOn w:val="a7"/>
    <w:qFormat/>
    <w:pPr>
      <w:spacing w:after="160" w:line="278" w:lineRule="auto"/>
    </w:pPr>
  </w:style>
  <w:style w:type="paragraph" w:customStyle="1" w:styleId="2fff3">
    <w:name w:val="样式 样式2 +"/>
    <w:basedOn w:val="2fb"/>
    <w:semiHidden/>
    <w:qFormat/>
    <w:pPr>
      <w:keepNext/>
      <w:keepLines/>
      <w:widowControl/>
      <w:topLinePunct w:val="0"/>
      <w:adjustRightInd/>
      <w:spacing w:beforeLines="100" w:line="520" w:lineRule="exact"/>
      <w:ind w:firstLineChars="0" w:firstLine="0"/>
      <w:contextualSpacing/>
      <w:jc w:val="left"/>
      <w:textAlignment w:val="auto"/>
    </w:pPr>
    <w:rPr>
      <w:rFonts w:ascii="宋体" w:cs="Times New Roman"/>
      <w:caps/>
      <w:sz w:val="24"/>
    </w:rPr>
  </w:style>
  <w:style w:type="paragraph" w:customStyle="1" w:styleId="CharCharCharCharCharCharCharCharChar1CharCharCharCharCharChar">
    <w:name w:val="Char Char Char Char Char Char Char Char Char1 Char Char Char Char Char Char"/>
    <w:basedOn w:val="a7"/>
    <w:semiHidden/>
    <w:qFormat/>
    <w:pPr>
      <w:adjustRightInd w:val="0"/>
      <w:snapToGrid w:val="0"/>
      <w:spacing w:after="160" w:line="360" w:lineRule="auto"/>
    </w:pPr>
    <w:rPr>
      <w:kern w:val="0"/>
      <w:sz w:val="24"/>
      <w:szCs w:val="20"/>
    </w:rPr>
  </w:style>
  <w:style w:type="paragraph" w:customStyle="1" w:styleId="xl110">
    <w:name w:val="xl110"/>
    <w:basedOn w:val="a7"/>
    <w:qFormat/>
    <w:pPr>
      <w:widowControl/>
      <w:shd w:val="clear" w:color="000000" w:fill="FFFFFF"/>
      <w:snapToGrid w:val="0"/>
      <w:spacing w:before="100" w:beforeAutospacing="1" w:after="100" w:afterAutospacing="1" w:line="278" w:lineRule="auto"/>
      <w:jc w:val="center"/>
      <w:textAlignment w:val="center"/>
    </w:pPr>
    <w:rPr>
      <w:rFonts w:ascii="宋体" w:hAnsi="宋体" w:cs="宋体"/>
      <w:color w:val="C414B7"/>
      <w:kern w:val="0"/>
      <w:sz w:val="24"/>
    </w:rPr>
  </w:style>
  <w:style w:type="paragraph" w:customStyle="1" w:styleId="table1">
    <w:name w:val="table1"/>
    <w:basedOn w:val="a7"/>
    <w:qFormat/>
    <w:pPr>
      <w:adjustRightInd w:val="0"/>
      <w:spacing w:after="160" w:line="240" w:lineRule="atLeast"/>
      <w:jc w:val="center"/>
      <w:textAlignment w:val="baseline"/>
    </w:pPr>
    <w:rPr>
      <w:rFonts w:eastAsia="黑体"/>
      <w:kern w:val="0"/>
      <w:sz w:val="24"/>
      <w:szCs w:val="20"/>
    </w:rPr>
  </w:style>
  <w:style w:type="paragraph" w:customStyle="1" w:styleId="affffffffffffffffffff0">
    <w:name w:val="基准标题"/>
    <w:basedOn w:val="aff2"/>
    <w:next w:val="aff2"/>
    <w:qFormat/>
    <w:pPr>
      <w:snapToGrid w:val="0"/>
      <w:spacing w:before="0" w:line="320" w:lineRule="exact"/>
      <w:ind w:leftChars="-50" w:left="-105" w:rightChars="-50" w:right="-105" w:firstLine="482"/>
      <w:jc w:val="center"/>
    </w:pPr>
    <w:rPr>
      <w:spacing w:val="-10"/>
      <w:kern w:val="2"/>
      <w:sz w:val="21"/>
      <w:szCs w:val="21"/>
      <w:lang w:eastAsia="zh-CN"/>
    </w:rPr>
  </w:style>
  <w:style w:type="paragraph" w:customStyle="1" w:styleId="table">
    <w:name w:val="样式 table + 两端对齐"/>
    <w:qFormat/>
    <w:pPr>
      <w:widowControl w:val="0"/>
      <w:adjustRightInd w:val="0"/>
      <w:snapToGrid w:val="0"/>
      <w:spacing w:beforeLines="50" w:after="160" w:line="278" w:lineRule="auto"/>
      <w:jc w:val="both"/>
    </w:pPr>
    <w:rPr>
      <w:rFonts w:cs="宋体"/>
      <w:color w:val="000000"/>
      <w:kern w:val="2"/>
      <w:sz w:val="21"/>
    </w:rPr>
  </w:style>
  <w:style w:type="paragraph" w:customStyle="1" w:styleId="table0">
    <w:name w:val="table"/>
    <w:basedOn w:val="a7"/>
    <w:qFormat/>
    <w:pPr>
      <w:widowControl/>
      <w:spacing w:after="160" w:line="240" w:lineRule="exact"/>
      <w:jc w:val="left"/>
    </w:pPr>
    <w:rPr>
      <w:rFonts w:ascii="Arial" w:hAnsi="Arial"/>
      <w:kern w:val="0"/>
      <w:sz w:val="18"/>
      <w:lang w:eastAsia="en-US"/>
    </w:rPr>
  </w:style>
  <w:style w:type="paragraph" w:customStyle="1" w:styleId="-7">
    <w:name w:val="表格内容-巴"/>
    <w:qFormat/>
    <w:pPr>
      <w:adjustRightInd w:val="0"/>
      <w:snapToGrid w:val="0"/>
      <w:spacing w:after="160" w:line="0" w:lineRule="atLeast"/>
      <w:jc w:val="center"/>
    </w:pPr>
    <w:rPr>
      <w:rFonts w:cs="黑体"/>
      <w:color w:val="000000"/>
      <w:kern w:val="2"/>
      <w:sz w:val="21"/>
      <w:szCs w:val="22"/>
    </w:rPr>
  </w:style>
  <w:style w:type="paragraph" w:customStyle="1" w:styleId="ST204">
    <w:name w:val="ST20_4"/>
    <w:basedOn w:val="a7"/>
    <w:qFormat/>
    <w:pPr>
      <w:tabs>
        <w:tab w:val="left" w:pos="187"/>
      </w:tabs>
      <w:autoSpaceDE w:val="0"/>
      <w:autoSpaceDN w:val="0"/>
      <w:adjustRightInd w:val="0"/>
      <w:spacing w:after="160" w:line="220" w:lineRule="exact"/>
      <w:ind w:left="187" w:hanging="187"/>
      <w:jc w:val="left"/>
      <w:textAlignment w:val="baseline"/>
    </w:pPr>
    <w:rPr>
      <w:rFonts w:ascii="宋体" w:hAnsi="Tms Rmn"/>
      <w:kern w:val="0"/>
      <w:sz w:val="18"/>
      <w:szCs w:val="18"/>
    </w:rPr>
  </w:style>
  <w:style w:type="paragraph" w:customStyle="1" w:styleId="Char4CharCharChar">
    <w:name w:val="Char4 Char Char Char"/>
    <w:basedOn w:val="a7"/>
    <w:qFormat/>
    <w:pPr>
      <w:spacing w:after="160" w:line="278" w:lineRule="auto"/>
    </w:pPr>
    <w:rPr>
      <w:sz w:val="24"/>
    </w:rPr>
  </w:style>
  <w:style w:type="paragraph" w:customStyle="1" w:styleId="zwb-">
    <w:name w:val="zwb-图表标题"/>
    <w:basedOn w:val="a7"/>
    <w:qFormat/>
    <w:pPr>
      <w:spacing w:after="160" w:line="360" w:lineRule="auto"/>
      <w:jc w:val="center"/>
    </w:pPr>
    <w:rPr>
      <w:b/>
      <w:sz w:val="24"/>
    </w:rPr>
  </w:style>
  <w:style w:type="paragraph" w:customStyle="1" w:styleId="affffffffffffffffffff1">
    <w:name w:val="安全设施节标题"/>
    <w:basedOn w:val="21"/>
    <w:next w:val="a7"/>
    <w:qFormat/>
    <w:pPr>
      <w:keepNext/>
      <w:keepLines/>
      <w:numPr>
        <w:ilvl w:val="0"/>
        <w:numId w:val="0"/>
      </w:numPr>
      <w:tabs>
        <w:tab w:val="left" w:pos="454"/>
        <w:tab w:val="left" w:pos="851"/>
      </w:tabs>
      <w:snapToGrid/>
      <w:spacing w:beforeLines="0" w:before="0" w:afterLines="0" w:after="0"/>
      <w:ind w:left="576" w:firstLineChars="200" w:hanging="576"/>
      <w:jc w:val="center"/>
    </w:pPr>
    <w:rPr>
      <w:rFonts w:ascii="楷体_GB2312" w:eastAsia="楷体_GB2312"/>
      <w:b w:val="0"/>
      <w:smallCaps w:val="0"/>
      <w:color w:val="auto"/>
      <w:sz w:val="24"/>
      <w:szCs w:val="32"/>
    </w:rPr>
  </w:style>
  <w:style w:type="paragraph" w:customStyle="1" w:styleId="104">
    <w:name w:val="样式 首行缩进:  1 厘米 段后: 0 磅"/>
    <w:basedOn w:val="a7"/>
    <w:qFormat/>
    <w:pPr>
      <w:spacing w:before="60" w:after="60" w:line="520" w:lineRule="exact"/>
      <w:ind w:firstLine="567"/>
    </w:pPr>
    <w:rPr>
      <w:rFonts w:ascii="Arial" w:eastAsia="仿宋_GB2312" w:hAnsi="Arial"/>
      <w:kern w:val="0"/>
      <w:sz w:val="28"/>
      <w:szCs w:val="20"/>
    </w:rPr>
  </w:style>
  <w:style w:type="paragraph" w:customStyle="1" w:styleId="affffffffffffffffffff2">
    <w:name w:val="初设正文"/>
    <w:basedOn w:val="a7"/>
    <w:qFormat/>
    <w:pPr>
      <w:spacing w:after="120" w:line="440" w:lineRule="exact"/>
      <w:ind w:left="425" w:firstLine="425"/>
    </w:pPr>
    <w:rPr>
      <w:rFonts w:ascii="Arial" w:hAnsi="Arial"/>
      <w:kern w:val="0"/>
      <w:sz w:val="24"/>
      <w:szCs w:val="20"/>
    </w:rPr>
  </w:style>
  <w:style w:type="paragraph" w:customStyle="1" w:styleId="xl144">
    <w:name w:val="xl144"/>
    <w:basedOn w:val="a7"/>
    <w:uiPriority w:val="99"/>
    <w:qFormat/>
    <w:pPr>
      <w:widowControl/>
      <w:pBdr>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ffffffffffffffffffff3">
    <w:name w:val="征文"/>
    <w:basedOn w:val="a7"/>
    <w:qFormat/>
    <w:pPr>
      <w:spacing w:after="160" w:line="400" w:lineRule="exact"/>
      <w:ind w:firstLine="480"/>
    </w:pPr>
    <w:rPr>
      <w:rFonts w:cs="宋体"/>
      <w:kern w:val="0"/>
      <w:sz w:val="24"/>
      <w:szCs w:val="20"/>
    </w:rPr>
  </w:style>
  <w:style w:type="paragraph" w:customStyle="1" w:styleId="1021">
    <w:name w:val="加粗 缩进10.21"/>
    <w:basedOn w:val="a7"/>
    <w:qFormat/>
    <w:pPr>
      <w:tabs>
        <w:tab w:val="left" w:pos="560"/>
      </w:tabs>
      <w:spacing w:beforeLines="50" w:after="160" w:line="240" w:lineRule="exact"/>
    </w:pPr>
    <w:rPr>
      <w:rFonts w:ascii="华文细黑" w:eastAsia="华文细黑" w:hAnsi="华文细黑" w:cs="MS Mincho"/>
      <w:b/>
      <w:sz w:val="28"/>
      <w:szCs w:val="28"/>
    </w:rPr>
  </w:style>
  <w:style w:type="paragraph" w:customStyle="1" w:styleId="xl165">
    <w:name w:val="xl165"/>
    <w:basedOn w:val="a7"/>
    <w:qFormat/>
    <w:pPr>
      <w:widowControl/>
      <w:pBdr>
        <w:top w:val="single" w:sz="4" w:space="0" w:color="auto"/>
        <w:lef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1ffe">
    <w:name w:val="普通(网站)1"/>
    <w:basedOn w:val="a7"/>
    <w:qFormat/>
    <w:pPr>
      <w:adjustRightInd w:val="0"/>
      <w:spacing w:after="160" w:line="278" w:lineRule="auto"/>
      <w:textAlignment w:val="baseline"/>
    </w:pPr>
    <w:rPr>
      <w:rFonts w:hint="eastAsia"/>
      <w:sz w:val="24"/>
      <w:szCs w:val="20"/>
    </w:rPr>
  </w:style>
  <w:style w:type="paragraph" w:customStyle="1" w:styleId="122">
    <w:name w:val="样式 (符号) 宋体 行距: 最小值 12 磅"/>
    <w:basedOn w:val="a7"/>
    <w:qFormat/>
    <w:pPr>
      <w:spacing w:after="160" w:line="360" w:lineRule="auto"/>
      <w:ind w:firstLineChars="200" w:firstLine="420"/>
    </w:pPr>
    <w:rPr>
      <w:rFonts w:hAnsi="宋体" w:cs="宋体"/>
      <w:sz w:val="24"/>
      <w:szCs w:val="20"/>
    </w:rPr>
  </w:style>
  <w:style w:type="paragraph" w:customStyle="1" w:styleId="affffffffffffffffffff4">
    <w:name w:val="表格内容（中文）"/>
    <w:qFormat/>
    <w:pPr>
      <w:widowControl w:val="0"/>
      <w:adjustRightInd w:val="0"/>
      <w:spacing w:after="160" w:line="380" w:lineRule="atLeast"/>
      <w:ind w:left="113"/>
      <w:textAlignment w:val="baseline"/>
    </w:pPr>
    <w:rPr>
      <w:rFonts w:eastAsia="楷体_GB2312"/>
      <w:sz w:val="21"/>
    </w:rPr>
  </w:style>
  <w:style w:type="paragraph" w:customStyle="1" w:styleId="30505">
    <w:name w:val="样式 标题 3 + 段前: 0.5 行 段后: 0.5 行"/>
    <w:basedOn w:val="31"/>
    <w:qFormat/>
    <w:pPr>
      <w:keepNext/>
      <w:keepLines/>
      <w:numPr>
        <w:ilvl w:val="0"/>
        <w:numId w:val="0"/>
      </w:numPr>
      <w:adjustRightInd/>
      <w:snapToGrid/>
      <w:spacing w:beforeLines="0" w:before="0" w:afterLines="0" w:after="0"/>
      <w:textAlignment w:val="auto"/>
    </w:pPr>
    <w:rPr>
      <w:rFonts w:ascii="宋体" w:eastAsia="华文楷体" w:hAnsi="宋体" w:cs="宋体"/>
      <w:b w:val="0"/>
      <w:color w:val="auto"/>
      <w:szCs w:val="20"/>
      <w:lang w:val="en-US"/>
    </w:rPr>
  </w:style>
  <w:style w:type="paragraph" w:customStyle="1" w:styleId="xl94">
    <w:name w:val="xl94"/>
    <w:basedOn w:val="a7"/>
    <w:qFormat/>
    <w:pPr>
      <w:widowControl/>
      <w:pBdr>
        <w:bottom w:val="single" w:sz="8" w:space="0" w:color="000000"/>
        <w:right w:val="single" w:sz="8" w:space="0" w:color="000000"/>
      </w:pBdr>
      <w:snapToGrid w:val="0"/>
      <w:spacing w:before="100" w:beforeAutospacing="1" w:after="100" w:afterAutospacing="1" w:line="278" w:lineRule="auto"/>
      <w:jc w:val="left"/>
    </w:pPr>
    <w:rPr>
      <w:rFonts w:ascii="宋体" w:hAnsi="宋体" w:cs="宋体"/>
      <w:color w:val="000000"/>
      <w:kern w:val="0"/>
      <w:sz w:val="24"/>
    </w:rPr>
  </w:style>
  <w:style w:type="paragraph" w:customStyle="1" w:styleId="420">
    <w:name w:val="样式 标题 4 + 首行缩进:  2 字符"/>
    <w:basedOn w:val="41"/>
    <w:qFormat/>
    <w:pPr>
      <w:keepNext/>
      <w:keepLines/>
      <w:numPr>
        <w:ilvl w:val="0"/>
        <w:numId w:val="0"/>
      </w:numPr>
      <w:tabs>
        <w:tab w:val="clear" w:pos="864"/>
        <w:tab w:val="left" w:pos="360"/>
      </w:tabs>
      <w:adjustRightInd/>
      <w:snapToGrid/>
      <w:spacing w:beforeLines="0" w:before="0" w:afterLines="0" w:after="0" w:line="240" w:lineRule="auto"/>
      <w:jc w:val="both"/>
      <w:textAlignment w:val="auto"/>
    </w:pPr>
    <w:rPr>
      <w:rFonts w:ascii="仿宋_GB2312" w:eastAsia="仿宋_GB2312" w:hAnsi="Arial" w:cs="宋体"/>
      <w:bCs w:val="0"/>
      <w:color w:val="auto"/>
      <w:szCs w:val="20"/>
      <w:lang w:val="en-US"/>
    </w:rPr>
  </w:style>
  <w:style w:type="paragraph" w:customStyle="1" w:styleId="5f8">
    <w:name w:val="5号字表"/>
    <w:basedOn w:val="a7"/>
    <w:qFormat/>
    <w:pPr>
      <w:tabs>
        <w:tab w:val="left" w:pos="210"/>
      </w:tabs>
      <w:spacing w:after="160" w:line="500" w:lineRule="exact"/>
      <w:ind w:firstLineChars="200" w:firstLine="482"/>
      <w:jc w:val="left"/>
    </w:pPr>
    <w:rPr>
      <w:rFonts w:ascii="宋体" w:hAnsi="宋体" w:cs="宋体"/>
      <w:bCs/>
      <w:kern w:val="0"/>
      <w:sz w:val="28"/>
      <w:szCs w:val="20"/>
    </w:rPr>
  </w:style>
  <w:style w:type="paragraph" w:customStyle="1" w:styleId="4f8">
    <w:name w:val="样式 标题 4 + 加粗"/>
    <w:basedOn w:val="41"/>
    <w:qFormat/>
    <w:pPr>
      <w:keepNext/>
      <w:keepLines/>
      <w:numPr>
        <w:ilvl w:val="0"/>
        <w:numId w:val="0"/>
      </w:numPr>
      <w:tabs>
        <w:tab w:val="clear" w:pos="864"/>
        <w:tab w:val="left" w:pos="0"/>
      </w:tabs>
      <w:adjustRightInd/>
      <w:snapToGrid/>
      <w:spacing w:beforeLines="0" w:before="280" w:afterLines="0" w:after="290" w:line="376" w:lineRule="atLeast"/>
      <w:jc w:val="both"/>
    </w:pPr>
    <w:rPr>
      <w:rFonts w:ascii="宋体" w:eastAsia="宋体" w:hAnsi="宋体"/>
      <w:b w:val="0"/>
      <w:color w:val="auto"/>
      <w:kern w:val="0"/>
      <w:sz w:val="24"/>
      <w:szCs w:val="20"/>
      <w:lang w:val="en-US"/>
    </w:rPr>
  </w:style>
  <w:style w:type="paragraph" w:customStyle="1" w:styleId="123">
    <w:name w:val="样式 目录 1 + 首行缩进:  2 字符"/>
    <w:basedOn w:val="TOC1"/>
    <w:qFormat/>
    <w:pPr>
      <w:tabs>
        <w:tab w:val="right" w:leader="dot" w:pos="8777"/>
      </w:tabs>
      <w:spacing w:before="0" w:after="0"/>
      <w:ind w:firstLine="482"/>
      <w:jc w:val="both"/>
    </w:pPr>
    <w:rPr>
      <w:rFonts w:hAnsi="宋体" w:cs="宋体"/>
      <w:caps w:val="0"/>
      <w:kern w:val="0"/>
    </w:rPr>
  </w:style>
  <w:style w:type="paragraph" w:customStyle="1" w:styleId="xl62">
    <w:name w:val="xl62"/>
    <w:basedOn w:val="a7"/>
    <w:qFormat/>
    <w:pPr>
      <w:widowControl/>
      <w:pBdr>
        <w:top w:val="single" w:sz="8" w:space="0" w:color="auto"/>
        <w:left w:val="single" w:sz="4" w:space="0" w:color="auto"/>
      </w:pBdr>
      <w:spacing w:before="100" w:after="100" w:line="360" w:lineRule="auto"/>
      <w:ind w:firstLine="482"/>
      <w:jc w:val="center"/>
      <w:textAlignment w:val="top"/>
    </w:pPr>
    <w:rPr>
      <w:kern w:val="0"/>
      <w:sz w:val="24"/>
    </w:rPr>
  </w:style>
  <w:style w:type="paragraph" w:customStyle="1" w:styleId="affffffffffffffffffff5">
    <w:name w:val="川岛插图"/>
    <w:basedOn w:val="a7"/>
    <w:qFormat/>
    <w:pPr>
      <w:spacing w:after="160" w:line="360" w:lineRule="auto"/>
      <w:ind w:firstLineChars="200" w:firstLine="480"/>
      <w:jc w:val="center"/>
    </w:pPr>
    <w:rPr>
      <w:color w:val="000000"/>
      <w:sz w:val="24"/>
      <w:szCs w:val="20"/>
    </w:rPr>
  </w:style>
  <w:style w:type="paragraph" w:customStyle="1" w:styleId="1CharCharCharChar">
    <w:name w:val="1 Char Char Char Char"/>
    <w:basedOn w:val="a7"/>
    <w:qFormat/>
    <w:pPr>
      <w:spacing w:after="160" w:line="278" w:lineRule="auto"/>
    </w:pPr>
  </w:style>
  <w:style w:type="paragraph" w:customStyle="1" w:styleId="1fff">
    <w:name w:val="字元 字元1"/>
    <w:basedOn w:val="a7"/>
    <w:qFormat/>
    <w:pPr>
      <w:widowControl/>
      <w:spacing w:after="160" w:line="278" w:lineRule="auto"/>
      <w:jc w:val="left"/>
    </w:pPr>
    <w:rPr>
      <w:rFonts w:ascii="宋体" w:hAnsi="宋体" w:cs="宋体"/>
      <w:kern w:val="0"/>
      <w:sz w:val="24"/>
    </w:rPr>
  </w:style>
  <w:style w:type="paragraph" w:customStyle="1" w:styleId="14216">
    <w:name w:val="样式 标题 + (中文) 黑体 14 磅 左 首行缩进:  2 字符 字距调整16 磅"/>
    <w:basedOn w:val="a"/>
    <w:qFormat/>
    <w:pPr>
      <w:keepNext/>
      <w:keepLines/>
      <w:numPr>
        <w:numId w:val="0"/>
      </w:numPr>
      <w:spacing w:before="340" w:afterLines="100" w:after="330"/>
      <w:ind w:firstLineChars="200" w:firstLine="562"/>
      <w:jc w:val="left"/>
    </w:pPr>
    <w:rPr>
      <w:rFonts w:ascii="Cambria" w:hAnsi="Cambria" w:cs="宋体"/>
      <w:b w:val="0"/>
      <w:kern w:val="32"/>
      <w:sz w:val="28"/>
      <w:szCs w:val="22"/>
    </w:rPr>
  </w:style>
  <w:style w:type="paragraph" w:customStyle="1" w:styleId="affffffffffffffffffff6">
    <w:name w:val="副题封页"/>
    <w:basedOn w:val="a7"/>
    <w:next w:val="aff2"/>
    <w:semiHidden/>
    <w:qFormat/>
    <w:pPr>
      <w:keepNext/>
      <w:widowControl/>
      <w:overflowPunct w:val="0"/>
      <w:autoSpaceDE w:val="0"/>
      <w:autoSpaceDN w:val="0"/>
      <w:adjustRightInd w:val="0"/>
      <w:spacing w:before="240" w:after="480" w:line="278" w:lineRule="auto"/>
      <w:jc w:val="center"/>
      <w:textAlignment w:val="baseline"/>
    </w:pPr>
    <w:rPr>
      <w:i/>
      <w:kern w:val="28"/>
      <w:sz w:val="32"/>
      <w:szCs w:val="20"/>
    </w:rPr>
  </w:style>
  <w:style w:type="paragraph" w:customStyle="1" w:styleId="MTDisplayEquation">
    <w:name w:val="MTDisplayEquation"/>
    <w:basedOn w:val="a7"/>
    <w:next w:val="a7"/>
    <w:qFormat/>
    <w:pPr>
      <w:tabs>
        <w:tab w:val="center" w:pos="4160"/>
        <w:tab w:val="right" w:pos="8320"/>
      </w:tabs>
      <w:spacing w:after="160" w:line="460" w:lineRule="exact"/>
      <w:ind w:firstLineChars="200" w:firstLine="420"/>
    </w:pPr>
    <w:rPr>
      <w:rFonts w:ascii="方正宋三简体"/>
    </w:rPr>
  </w:style>
  <w:style w:type="paragraph" w:customStyle="1" w:styleId="affffffffffffffffffff7">
    <w:name w:val="正文报告书"/>
    <w:basedOn w:val="a7"/>
    <w:qFormat/>
    <w:pPr>
      <w:adjustRightInd w:val="0"/>
      <w:spacing w:after="160" w:line="360" w:lineRule="auto"/>
      <w:ind w:firstLineChars="200" w:firstLine="480"/>
    </w:pPr>
    <w:rPr>
      <w:rFonts w:ascii="仿宋_GB2312" w:eastAsia="仿宋_GB2312"/>
      <w:sz w:val="24"/>
    </w:rPr>
  </w:style>
  <w:style w:type="paragraph" w:customStyle="1" w:styleId="-ls2">
    <w:name w:val="表格样式-ls2"/>
    <w:qFormat/>
    <w:pPr>
      <w:spacing w:after="160" w:line="278" w:lineRule="auto"/>
    </w:pPr>
  </w:style>
  <w:style w:type="paragraph" w:customStyle="1" w:styleId="affffffffffffffffffff8">
    <w:name w:val="表格两端对齐"/>
    <w:basedOn w:val="afffffffffffe"/>
    <w:qFormat/>
    <w:pPr>
      <w:spacing w:after="160" w:line="278" w:lineRule="auto"/>
    </w:pPr>
    <w:rPr>
      <w:rFonts w:ascii="Times New Roman" w:hAnsi="Times New Roman"/>
      <w:bCs/>
      <w:snapToGrid w:val="0"/>
      <w:kern w:val="18"/>
      <w:sz w:val="20"/>
      <w:szCs w:val="21"/>
      <w:u w:color="FF0000"/>
    </w:rPr>
  </w:style>
  <w:style w:type="paragraph" w:customStyle="1" w:styleId="1112">
    <w:name w:val="样式 正文111 + 首行缩进:  2 字符"/>
    <w:basedOn w:val="a7"/>
    <w:qFormat/>
    <w:pPr>
      <w:keepNext/>
      <w:adjustRightInd w:val="0"/>
      <w:snapToGrid w:val="0"/>
      <w:spacing w:after="160" w:line="300" w:lineRule="auto"/>
      <w:ind w:firstLineChars="200" w:firstLine="560"/>
    </w:pPr>
    <w:rPr>
      <w:rFonts w:ascii="宋体" w:hAnsi="宋体" w:cs="宋体"/>
      <w:color w:val="FF0000"/>
      <w:sz w:val="28"/>
      <w:szCs w:val="20"/>
    </w:rPr>
  </w:style>
  <w:style w:type="paragraph" w:customStyle="1" w:styleId="affffffffffffffffffff9">
    <w:name w:val="标准书脚_偶数页"/>
    <w:qFormat/>
    <w:pPr>
      <w:spacing w:before="120" w:after="160" w:line="278" w:lineRule="auto"/>
    </w:pPr>
    <w:rPr>
      <w:sz w:val="18"/>
    </w:rPr>
  </w:style>
  <w:style w:type="paragraph" w:customStyle="1" w:styleId="font22">
    <w:name w:val="font22"/>
    <w:basedOn w:val="a7"/>
    <w:qFormat/>
    <w:pPr>
      <w:widowControl/>
      <w:spacing w:before="100" w:beforeAutospacing="1" w:after="100" w:afterAutospacing="1" w:line="278" w:lineRule="auto"/>
      <w:jc w:val="left"/>
    </w:pPr>
    <w:rPr>
      <w:rFonts w:ascii="宋体" w:hAnsi="宋体" w:cs="宋体"/>
      <w:color w:val="000000"/>
      <w:kern w:val="0"/>
      <w:sz w:val="20"/>
      <w:szCs w:val="20"/>
    </w:rPr>
  </w:style>
  <w:style w:type="paragraph" w:customStyle="1" w:styleId="affffffffffffffffffffa">
    <w:name w:val="封面项目名称"/>
    <w:basedOn w:val="a7"/>
    <w:qFormat/>
    <w:pPr>
      <w:spacing w:after="160" w:line="278" w:lineRule="auto"/>
      <w:jc w:val="center"/>
    </w:pPr>
    <w:rPr>
      <w:rFonts w:eastAsia="仿宋_GB2312"/>
      <w:b/>
      <w:sz w:val="44"/>
    </w:rPr>
  </w:style>
  <w:style w:type="paragraph" w:customStyle="1" w:styleId="xl58">
    <w:name w:val="xl58"/>
    <w:basedOn w:val="a7"/>
    <w:qFormat/>
    <w:pPr>
      <w:widowControl/>
      <w:pBdr>
        <w:top w:val="single" w:sz="8" w:space="0" w:color="auto"/>
        <w:bottom w:val="single" w:sz="4" w:space="0" w:color="auto"/>
        <w:right w:val="single" w:sz="8" w:space="0" w:color="auto"/>
      </w:pBdr>
      <w:spacing w:before="100" w:after="100" w:line="360" w:lineRule="auto"/>
      <w:ind w:firstLine="482"/>
      <w:jc w:val="center"/>
      <w:textAlignment w:val="center"/>
    </w:pPr>
    <w:rPr>
      <w:rFonts w:ascii="宋体" w:hAnsi="宋体"/>
      <w:kern w:val="0"/>
      <w:sz w:val="28"/>
      <w:szCs w:val="28"/>
    </w:rPr>
  </w:style>
  <w:style w:type="paragraph" w:customStyle="1" w:styleId="xl156">
    <w:name w:val="xl156"/>
    <w:basedOn w:val="a7"/>
    <w:qFormat/>
    <w:pPr>
      <w:widowControl/>
      <w:pBdr>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2fff4">
    <w:name w:val="样式 样式 样式2 + + 小四"/>
    <w:basedOn w:val="2fff3"/>
    <w:semiHidden/>
    <w:qFormat/>
    <w:rPr>
      <w:bCs w:val="0"/>
    </w:rPr>
  </w:style>
  <w:style w:type="paragraph" w:customStyle="1" w:styleId="affffffffffffffffffffb">
    <w:name w:val="仿宋体"/>
    <w:basedOn w:val="a7"/>
    <w:uiPriority w:val="99"/>
    <w:qFormat/>
    <w:pPr>
      <w:widowControl/>
      <w:spacing w:after="160" w:line="844" w:lineRule="atLeast"/>
      <w:ind w:firstLine="419"/>
      <w:textAlignment w:val="baseline"/>
    </w:pPr>
    <w:rPr>
      <w:rFonts w:eastAsia="仿宋_GB2312"/>
      <w:color w:val="000000"/>
      <w:kern w:val="0"/>
      <w:sz w:val="31"/>
      <w:szCs w:val="20"/>
      <w:u w:color="000000"/>
    </w:rPr>
  </w:style>
  <w:style w:type="paragraph" w:customStyle="1" w:styleId="xl167">
    <w:name w:val="xl167"/>
    <w:basedOn w:val="a7"/>
    <w:qFormat/>
    <w:pPr>
      <w:widowControl/>
      <w:pBdr>
        <w:left w:val="single" w:sz="4" w:space="0" w:color="auto"/>
        <w:bottom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CharCharCharCharCharCharCharCharCharCharCharCharCharCharCharCharChar1">
    <w:name w:val="Char Char Char Char Char Char Char Char Char Char Char Char Char Char Char Char Char1"/>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CharCharfe">
    <w:name w:val="批注框文本 Char Char"/>
    <w:basedOn w:val="a7"/>
    <w:qFormat/>
    <w:pPr>
      <w:spacing w:after="160" w:line="278" w:lineRule="auto"/>
    </w:pPr>
    <w:rPr>
      <w:sz w:val="18"/>
      <w:szCs w:val="20"/>
    </w:rPr>
  </w:style>
  <w:style w:type="paragraph" w:customStyle="1" w:styleId="CharCharCharCharCharChar1CharCharCharChar">
    <w:name w:val="Char Char Char Char Char Char1 Char Char Char Char"/>
    <w:basedOn w:val="a7"/>
    <w:qFormat/>
    <w:pPr>
      <w:spacing w:after="160" w:line="278" w:lineRule="auto"/>
    </w:pPr>
  </w:style>
  <w:style w:type="paragraph" w:customStyle="1" w:styleId="ParaCharCharCharCharCharCharCharCharChar1CharCharCharCharCharCharChar">
    <w:name w:val="默认段落字体 Para Char Char Char Char Char Char Char Char Char1 Char Char Char Char Char Char Char"/>
    <w:basedOn w:val="af9"/>
    <w:qFormat/>
    <w:pPr>
      <w:spacing w:after="160" w:line="278" w:lineRule="auto"/>
      <w:ind w:firstLineChars="0" w:firstLine="0"/>
    </w:pPr>
    <w:rPr>
      <w:rFonts w:ascii="Tahoma" w:hAnsi="Tahoma"/>
    </w:rPr>
  </w:style>
  <w:style w:type="paragraph" w:customStyle="1" w:styleId="520">
    <w:name w:val="样式 样式5 + 首行缩进:  2 字符"/>
    <w:basedOn w:val="a7"/>
    <w:qFormat/>
    <w:pPr>
      <w:keepNext/>
      <w:keepLines/>
      <w:spacing w:after="160" w:line="360" w:lineRule="auto"/>
      <w:ind w:firstLineChars="200" w:firstLine="560"/>
      <w:outlineLvl w:val="2"/>
    </w:pPr>
    <w:rPr>
      <w:rFonts w:ascii="宋体" w:eastAsia="Times New Roman" w:cs="宋体"/>
      <w:kern w:val="0"/>
      <w:sz w:val="28"/>
      <w:szCs w:val="20"/>
    </w:rPr>
  </w:style>
  <w:style w:type="paragraph" w:customStyle="1" w:styleId="180">
    <w:name w:val="表格18"/>
    <w:basedOn w:val="a7"/>
    <w:qFormat/>
    <w:pPr>
      <w:widowControl/>
      <w:spacing w:after="160" w:line="360" w:lineRule="exact"/>
      <w:jc w:val="center"/>
    </w:pPr>
    <w:rPr>
      <w:rFonts w:ascii="宋体"/>
      <w:color w:val="000000"/>
    </w:rPr>
  </w:style>
  <w:style w:type="paragraph" w:customStyle="1" w:styleId="2fff5">
    <w:name w:val="标题 2 蓝四号"/>
    <w:basedOn w:val="21"/>
    <w:next w:val="a7"/>
    <w:semiHidden/>
    <w:qFormat/>
    <w:pPr>
      <w:keepNext/>
      <w:keepLines/>
      <w:numPr>
        <w:ilvl w:val="0"/>
        <w:numId w:val="0"/>
      </w:numPr>
      <w:shd w:val="clear" w:color="auto" w:fill="FFFFFF"/>
      <w:tabs>
        <w:tab w:val="left" w:pos="210"/>
      </w:tabs>
      <w:kinsoku w:val="0"/>
      <w:overflowPunct w:val="0"/>
      <w:autoSpaceDE w:val="0"/>
      <w:autoSpaceDN w:val="0"/>
      <w:snapToGrid/>
      <w:spacing w:beforeLines="0" w:before="120" w:afterLines="0" w:after="120" w:line="300" w:lineRule="exact"/>
    </w:pPr>
    <w:rPr>
      <w:rFonts w:ascii="宋体" w:eastAsia="楷体_GB2312" w:hAnsi="宋体"/>
      <w:bCs w:val="0"/>
      <w:smallCaps w:val="0"/>
      <w:color w:val="0000FF"/>
      <w:sz w:val="24"/>
      <w:szCs w:val="24"/>
    </w:rPr>
  </w:style>
  <w:style w:type="paragraph" w:customStyle="1" w:styleId="11Char6">
    <w:name w:val="样式 标题 1标题 1 Char + 段前: 6 磅"/>
    <w:basedOn w:val="1"/>
    <w:qFormat/>
    <w:pPr>
      <w:keepNext/>
      <w:keepLines/>
      <w:numPr>
        <w:numId w:val="0"/>
      </w:numPr>
      <w:spacing w:beforeLines="0" w:before="0" w:after="160"/>
    </w:pPr>
    <w:rPr>
      <w:rFonts w:eastAsia="黑体"/>
      <w:b/>
      <w:bCs/>
      <w:sz w:val="28"/>
      <w:szCs w:val="28"/>
    </w:rPr>
  </w:style>
  <w:style w:type="paragraph" w:customStyle="1" w:styleId="1521">
    <w:name w:val="样式 四号 黑色 行距: 1.5 倍行距 首行缩进:  2 字符"/>
    <w:basedOn w:val="a7"/>
    <w:qFormat/>
    <w:pPr>
      <w:spacing w:after="160" w:line="360" w:lineRule="auto"/>
      <w:ind w:firstLineChars="200" w:firstLine="560"/>
    </w:pPr>
    <w:rPr>
      <w:rFonts w:eastAsia="仿宋_GB2312" w:cs="宋体"/>
      <w:bCs/>
      <w:color w:val="000000"/>
      <w:sz w:val="28"/>
      <w:szCs w:val="20"/>
    </w:rPr>
  </w:style>
  <w:style w:type="paragraph" w:customStyle="1" w:styleId="zxl2Char">
    <w:name w:val="zxl正文首行缩进  2 字符 行距: Char"/>
    <w:basedOn w:val="a7"/>
    <w:qFormat/>
    <w:pPr>
      <w:widowControl/>
      <w:tabs>
        <w:tab w:val="left" w:pos="-1843"/>
        <w:tab w:val="left" w:pos="1727"/>
        <w:tab w:val="left" w:pos="1884"/>
      </w:tabs>
      <w:spacing w:after="160" w:line="278" w:lineRule="auto"/>
      <w:ind w:firstLine="527"/>
      <w:textAlignment w:val="bottom"/>
      <w:outlineLvl w:val="0"/>
    </w:pPr>
    <w:rPr>
      <w:rFonts w:ascii="宋体" w:hAnsi="宋体"/>
      <w:sz w:val="24"/>
    </w:rPr>
  </w:style>
  <w:style w:type="paragraph" w:customStyle="1" w:styleId="CharCharCharCharCharCharCharCharCharCharChar0">
    <w:name w:val="Char Char Char Char Char Char Char Char Char Char Char"/>
    <w:basedOn w:val="a7"/>
    <w:next w:val="a7"/>
    <w:qFormat/>
    <w:pPr>
      <w:snapToGrid w:val="0"/>
      <w:spacing w:after="160" w:line="336" w:lineRule="auto"/>
      <w:ind w:firstLineChars="200" w:firstLine="200"/>
      <w:jc w:val="left"/>
    </w:pPr>
    <w:rPr>
      <w:rFonts w:ascii="宋体" w:eastAsia="汉鼎简书宋" w:hAnsi="宋体" w:cs="宋体"/>
      <w:spacing w:val="4"/>
      <w:sz w:val="24"/>
    </w:rPr>
  </w:style>
  <w:style w:type="paragraph" w:customStyle="1" w:styleId="69">
    <w:name w:val="样式6 正文"/>
    <w:qFormat/>
    <w:pPr>
      <w:widowControl w:val="0"/>
      <w:spacing w:beforeLines="50" w:before="156" w:after="160" w:line="500" w:lineRule="exact"/>
      <w:ind w:firstLineChars="200" w:firstLine="560"/>
      <w:jc w:val="both"/>
    </w:pPr>
    <w:rPr>
      <w:rFonts w:ascii="仿宋_GB2312" w:eastAsia="仿宋_GB2312"/>
      <w:sz w:val="28"/>
      <w:szCs w:val="28"/>
    </w:rPr>
  </w:style>
  <w:style w:type="paragraph" w:customStyle="1" w:styleId="s422">
    <w:name w:val="样式 样式 正文缩进s4 + 首行缩进:  2 字符 + 首行缩进:  2 字符"/>
    <w:basedOn w:val="a7"/>
    <w:qFormat/>
    <w:pPr>
      <w:adjustRightInd w:val="0"/>
      <w:snapToGrid w:val="0"/>
      <w:spacing w:after="160" w:line="336" w:lineRule="auto"/>
      <w:ind w:firstLineChars="227" w:firstLine="545"/>
    </w:pPr>
    <w:rPr>
      <w:rFonts w:ascii="宋体" w:hAnsi="宋体"/>
      <w:color w:val="000000"/>
      <w:kern w:val="0"/>
      <w:sz w:val="28"/>
      <w:szCs w:val="20"/>
    </w:rPr>
  </w:style>
  <w:style w:type="paragraph" w:customStyle="1" w:styleId="1fff0">
    <w:name w:val="样式 标题 1 + (中文) 黑体 加粗"/>
    <w:basedOn w:val="1"/>
    <w:qFormat/>
    <w:pPr>
      <w:keepNext/>
      <w:keepLines/>
      <w:numPr>
        <w:numId w:val="0"/>
      </w:numPr>
      <w:snapToGrid/>
      <w:spacing w:beforeLines="0" w:before="0" w:after="160"/>
      <w:ind w:left="735" w:hanging="450"/>
    </w:pPr>
    <w:rPr>
      <w:rFonts w:eastAsia="黑体"/>
      <w:b/>
      <w:bCs/>
      <w:kern w:val="2"/>
      <w:sz w:val="28"/>
      <w:szCs w:val="28"/>
    </w:rPr>
  </w:style>
  <w:style w:type="paragraph" w:customStyle="1" w:styleId="1fff1">
    <w:name w:val="表1"/>
    <w:next w:val="a7"/>
    <w:qFormat/>
    <w:pPr>
      <w:adjustRightInd w:val="0"/>
      <w:snapToGrid w:val="0"/>
      <w:spacing w:after="160" w:line="278" w:lineRule="auto"/>
      <w:jc w:val="center"/>
    </w:pPr>
    <w:rPr>
      <w:rFonts w:ascii="宋体"/>
      <w:sz w:val="21"/>
    </w:rPr>
  </w:style>
  <w:style w:type="paragraph" w:customStyle="1" w:styleId="Char1CharCharCharCharCharCharCharCharCharCharCharCharCharCharCharCharCharCharCharChar1Char">
    <w:name w:val="Char1 Char Char Char Char Char Char Char Char Char Char Char Char Char Char Char Char Char Char Char Char1 Char"/>
    <w:basedOn w:val="a7"/>
    <w:uiPriority w:val="99"/>
    <w:semiHidden/>
    <w:qFormat/>
    <w:pPr>
      <w:spacing w:after="160" w:line="180" w:lineRule="auto"/>
      <w:ind w:firstLineChars="200" w:firstLine="200"/>
      <w:jc w:val="left"/>
    </w:pPr>
    <w:rPr>
      <w:rFonts w:eastAsia="仿宋_GB2312"/>
      <w:sz w:val="24"/>
    </w:rPr>
  </w:style>
  <w:style w:type="paragraph" w:customStyle="1" w:styleId="132">
    <w:name w:val="1标题3级"/>
    <w:qFormat/>
    <w:pPr>
      <w:spacing w:after="160" w:line="278" w:lineRule="auto"/>
      <w:ind w:firstLineChars="225" w:firstLine="540"/>
    </w:pPr>
    <w:rPr>
      <w:sz w:val="24"/>
      <w:szCs w:val="24"/>
    </w:rPr>
  </w:style>
  <w:style w:type="paragraph" w:customStyle="1" w:styleId="124">
    <w:name w:val="1标题2级"/>
    <w:basedOn w:val="a7"/>
    <w:qFormat/>
    <w:pPr>
      <w:adjustRightInd w:val="0"/>
      <w:snapToGrid w:val="0"/>
      <w:spacing w:after="160" w:line="360" w:lineRule="auto"/>
      <w:jc w:val="left"/>
    </w:pPr>
    <w:rPr>
      <w:rFonts w:eastAsia="仿宋_GB2312"/>
      <w:b/>
      <w:sz w:val="30"/>
      <w:szCs w:val="20"/>
    </w:rPr>
  </w:style>
  <w:style w:type="paragraph" w:customStyle="1" w:styleId="CharCharCharCharCharCharCharCharCharCharChar1CharCharCharCharCharCharChar1">
    <w:name w:val="Char Char Char Char Char Char Char Char Char Char Char1 Char Char Char Char Char Char Char1"/>
    <w:basedOn w:val="a7"/>
    <w:qFormat/>
    <w:pPr>
      <w:spacing w:after="160" w:line="360" w:lineRule="auto"/>
      <w:ind w:firstLine="482"/>
    </w:pPr>
    <w:rPr>
      <w:kern w:val="0"/>
      <w:sz w:val="24"/>
    </w:rPr>
  </w:style>
  <w:style w:type="paragraph" w:customStyle="1" w:styleId="2H211lxb211h2Char4">
    <w:name w:val="样式 标题 2节H2节标题 1.1二级标题标题 lxb21.1h2第一层条二级标题 Char表标题单位名...4"/>
    <w:basedOn w:val="21"/>
    <w:qFormat/>
    <w:pPr>
      <w:keepNext/>
      <w:keepLines/>
      <w:numPr>
        <w:ilvl w:val="0"/>
        <w:numId w:val="0"/>
      </w:numPr>
      <w:tabs>
        <w:tab w:val="left" w:pos="454"/>
        <w:tab w:val="left" w:pos="851"/>
      </w:tabs>
      <w:snapToGrid/>
      <w:spacing w:beforeLines="50" w:before="260" w:afterLines="0" w:after="0"/>
      <w:ind w:left="578" w:hanging="578"/>
      <w:jc w:val="both"/>
    </w:pPr>
    <w:rPr>
      <w:rFonts w:ascii="黑体" w:hAnsi="Arial" w:cs="宋体"/>
      <w:smallCaps w:val="0"/>
      <w:color w:val="auto"/>
      <w:sz w:val="30"/>
      <w:szCs w:val="20"/>
    </w:rPr>
  </w:style>
  <w:style w:type="paragraph" w:customStyle="1" w:styleId="2fff6">
    <w:name w:val="标题样式2"/>
    <w:basedOn w:val="21"/>
    <w:qFormat/>
    <w:pPr>
      <w:keepNext/>
      <w:keepLines/>
      <w:numPr>
        <w:ilvl w:val="0"/>
        <w:numId w:val="0"/>
      </w:numPr>
      <w:tabs>
        <w:tab w:val="left" w:pos="851"/>
      </w:tabs>
      <w:adjustRightInd w:val="0"/>
      <w:snapToGrid/>
      <w:spacing w:beforeLines="0" w:before="0" w:afterLines="0" w:after="0"/>
      <w:ind w:left="851" w:hanging="567"/>
      <w:textAlignment w:val="baseline"/>
    </w:pPr>
    <w:rPr>
      <w:rFonts w:ascii="黑体" w:eastAsia="宋体" w:hAnsi="Cambria"/>
      <w:bCs w:val="0"/>
      <w:smallCaps w:val="0"/>
      <w:color w:val="auto"/>
      <w:kern w:val="0"/>
      <w:sz w:val="24"/>
      <w:szCs w:val="24"/>
    </w:rPr>
  </w:style>
  <w:style w:type="paragraph" w:customStyle="1" w:styleId="xl145">
    <w:name w:val="xl145"/>
    <w:basedOn w:val="a7"/>
    <w:uiPriority w:val="99"/>
    <w:qFormat/>
    <w:pPr>
      <w:widowControl/>
      <w:pBdr>
        <w:top w:val="single" w:sz="4" w:space="0" w:color="auto"/>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xl159">
    <w:name w:val="xl159"/>
    <w:basedOn w:val="a7"/>
    <w:qFormat/>
    <w:pPr>
      <w:widowControl/>
      <w:pBdr>
        <w:left w:val="single" w:sz="4" w:space="0" w:color="auto"/>
        <w:bottom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46">
    <w:name w:val="xl46"/>
    <w:basedOn w:val="a7"/>
    <w:uiPriority w:val="99"/>
    <w:qFormat/>
    <w:pPr>
      <w:widowControl/>
      <w:pBdr>
        <w:top w:val="single" w:sz="4" w:space="0" w:color="auto"/>
        <w:bottom w:val="single" w:sz="4" w:space="0" w:color="auto"/>
      </w:pBdr>
      <w:spacing w:before="100" w:after="100" w:line="360" w:lineRule="auto"/>
      <w:ind w:firstLine="482"/>
      <w:jc w:val="center"/>
      <w:textAlignment w:val="center"/>
    </w:pPr>
    <w:rPr>
      <w:kern w:val="0"/>
      <w:sz w:val="24"/>
    </w:rPr>
  </w:style>
  <w:style w:type="paragraph" w:customStyle="1" w:styleId="affffffffffffffffffffc">
    <w:name w:val="标题符"/>
    <w:basedOn w:val="a7"/>
    <w:qFormat/>
    <w:pPr>
      <w:tabs>
        <w:tab w:val="left" w:pos="360"/>
      </w:tabs>
      <w:overflowPunct w:val="0"/>
      <w:snapToGrid w:val="0"/>
      <w:spacing w:after="160" w:line="480" w:lineRule="exact"/>
      <w:ind w:firstLineChars="200" w:firstLine="560"/>
    </w:pPr>
    <w:rPr>
      <w:rFonts w:ascii="Arial" w:eastAsia="仿宋_GB2312" w:hAnsi="Arial"/>
      <w:kern w:val="0"/>
      <w:sz w:val="28"/>
      <w:szCs w:val="20"/>
    </w:rPr>
  </w:style>
  <w:style w:type="paragraph" w:customStyle="1" w:styleId="Style130">
    <w:name w:val="_Style 130"/>
    <w:uiPriority w:val="99"/>
    <w:qFormat/>
    <w:pPr>
      <w:widowControl w:val="0"/>
      <w:spacing w:after="160" w:line="278" w:lineRule="auto"/>
      <w:jc w:val="both"/>
    </w:pPr>
    <w:rPr>
      <w:rFonts w:cs="宋体"/>
      <w:kern w:val="2"/>
      <w:sz w:val="24"/>
    </w:rPr>
  </w:style>
  <w:style w:type="paragraph" w:customStyle="1" w:styleId="affffffffffffffffffffd">
    <w:name w:val="图文字"/>
    <w:basedOn w:val="a7"/>
    <w:uiPriority w:val="99"/>
    <w:qFormat/>
    <w:pPr>
      <w:spacing w:after="160" w:line="280" w:lineRule="exact"/>
      <w:jc w:val="center"/>
    </w:pPr>
    <w:rPr>
      <w:rFonts w:ascii="宋体" w:hAnsi="宋体"/>
    </w:rPr>
  </w:style>
  <w:style w:type="paragraph" w:customStyle="1" w:styleId="21121122Char12Heading206">
    <w:name w:val="样式 标题 21.1标题 21.1标题2标题 2 Char1节标2_Heading 2一级条 + 段前: 0....6"/>
    <w:basedOn w:val="21"/>
    <w:semiHidden/>
    <w:qFormat/>
    <w:pPr>
      <w:keepNext/>
      <w:keepLines/>
      <w:widowControl/>
      <w:numPr>
        <w:ilvl w:val="0"/>
        <w:numId w:val="0"/>
      </w:numPr>
      <w:tabs>
        <w:tab w:val="left" w:pos="851"/>
        <w:tab w:val="left" w:pos="1275"/>
      </w:tabs>
      <w:snapToGrid/>
      <w:spacing w:beforeLines="50" w:before="260" w:afterLines="50" w:after="260" w:line="240" w:lineRule="auto"/>
      <w:ind w:left="1275" w:firstLineChars="200" w:hanging="420"/>
    </w:pPr>
    <w:rPr>
      <w:rFonts w:ascii="黑体" w:eastAsia="宋体" w:hAnsi="Cambria"/>
      <w:b w:val="0"/>
      <w:smallCaps w:val="0"/>
      <w:color w:val="auto"/>
      <w:kern w:val="0"/>
      <w:sz w:val="28"/>
    </w:rPr>
  </w:style>
  <w:style w:type="paragraph" w:customStyle="1" w:styleId="affffffffffffffffffffe">
    <w:name w:val="文本文字"/>
    <w:basedOn w:val="a7"/>
    <w:uiPriority w:val="99"/>
    <w:qFormat/>
    <w:pPr>
      <w:overflowPunct w:val="0"/>
      <w:autoSpaceDE w:val="0"/>
      <w:autoSpaceDN w:val="0"/>
      <w:adjustRightInd w:val="0"/>
      <w:spacing w:after="160" w:line="240" w:lineRule="atLeast"/>
      <w:textAlignment w:val="baseline"/>
    </w:pPr>
    <w:rPr>
      <w:rFonts w:eastAsia="仿宋_GB2312"/>
      <w:kern w:val="0"/>
      <w:sz w:val="28"/>
      <w:szCs w:val="20"/>
    </w:rPr>
  </w:style>
  <w:style w:type="paragraph" w:customStyle="1" w:styleId="1fff2">
    <w:name w:val="1表格内容"/>
    <w:basedOn w:val="a7"/>
    <w:qFormat/>
    <w:pPr>
      <w:autoSpaceDE w:val="0"/>
      <w:autoSpaceDN w:val="0"/>
      <w:snapToGrid w:val="0"/>
      <w:spacing w:after="160" w:line="278" w:lineRule="auto"/>
      <w:jc w:val="center"/>
    </w:pPr>
  </w:style>
  <w:style w:type="paragraph" w:customStyle="1" w:styleId="Style44">
    <w:name w:val="_Style 44"/>
    <w:basedOn w:val="a7"/>
    <w:qFormat/>
    <w:pPr>
      <w:spacing w:after="160" w:line="278" w:lineRule="auto"/>
    </w:pPr>
    <w:rPr>
      <w:szCs w:val="20"/>
    </w:rPr>
  </w:style>
  <w:style w:type="paragraph" w:customStyle="1" w:styleId="xl21">
    <w:name w:val="xl21"/>
    <w:basedOn w:val="a7"/>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78" w:lineRule="auto"/>
      <w:jc w:val="center"/>
      <w:textAlignment w:val="center"/>
    </w:pPr>
    <w:rPr>
      <w:rFonts w:eastAsia="Arial Unicode MS"/>
      <w:kern w:val="0"/>
      <w:sz w:val="22"/>
      <w:szCs w:val="22"/>
    </w:rPr>
  </w:style>
  <w:style w:type="paragraph" w:customStyle="1" w:styleId="MFSCharChar">
    <w:name w:val="MFS正文 Char Char"/>
    <w:basedOn w:val="affff7"/>
    <w:qFormat/>
    <w:pPr>
      <w:adjustRightInd w:val="0"/>
      <w:snapToGrid w:val="0"/>
      <w:spacing w:before="93"/>
      <w:ind w:firstLineChars="200" w:firstLine="487"/>
    </w:pPr>
    <w:rPr>
      <w:rFonts w:ascii="Times New Roman" w:eastAsia="楷体_GB2312" w:hAnsi="Times New Roman" w:cs="Times New Roman"/>
      <w:szCs w:val="21"/>
    </w:rPr>
  </w:style>
  <w:style w:type="paragraph" w:customStyle="1" w:styleId="xl161">
    <w:name w:val="xl161"/>
    <w:basedOn w:val="a7"/>
    <w:qFormat/>
    <w:pPr>
      <w:widowControl/>
      <w:pBdr>
        <w:top w:val="single" w:sz="4" w:space="0" w:color="auto"/>
        <w:left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08515">
    <w:name w:val="样式 (西文) 宋体 首行缩进:  0.85 厘米 行距: 1.5 倍行距"/>
    <w:basedOn w:val="a7"/>
    <w:qFormat/>
    <w:pPr>
      <w:adjustRightInd w:val="0"/>
      <w:snapToGrid w:val="0"/>
      <w:spacing w:after="160" w:line="360" w:lineRule="auto"/>
      <w:ind w:firstLineChars="200" w:firstLine="480"/>
      <w:jc w:val="left"/>
    </w:pPr>
    <w:rPr>
      <w:rFonts w:ascii="宋体" w:hAnsi="宋体"/>
      <w:color w:val="000000"/>
      <w:sz w:val="24"/>
    </w:rPr>
  </w:style>
  <w:style w:type="paragraph" w:customStyle="1" w:styleId="320">
    <w:name w:val="表格 32"/>
    <w:basedOn w:val="a7"/>
    <w:qFormat/>
    <w:pPr>
      <w:autoSpaceDE w:val="0"/>
      <w:autoSpaceDN w:val="0"/>
      <w:adjustRightInd w:val="0"/>
      <w:snapToGrid w:val="0"/>
      <w:spacing w:after="160" w:line="324" w:lineRule="auto"/>
      <w:ind w:firstLine="454"/>
      <w:jc w:val="center"/>
    </w:pPr>
    <w:rPr>
      <w:kern w:val="0"/>
      <w:sz w:val="24"/>
      <w:szCs w:val="20"/>
    </w:rPr>
  </w:style>
  <w:style w:type="paragraph" w:customStyle="1" w:styleId="afffffffffffffffffffff">
    <w:name w:val="图文框"/>
    <w:basedOn w:val="a7"/>
    <w:qFormat/>
    <w:pPr>
      <w:adjustRightInd w:val="0"/>
      <w:snapToGrid w:val="0"/>
      <w:spacing w:after="160" w:line="360" w:lineRule="auto"/>
      <w:ind w:leftChars="-53" w:left="-111" w:rightChars="-48" w:right="-48" w:firstLine="482"/>
      <w:jc w:val="center"/>
    </w:pPr>
    <w:rPr>
      <w:snapToGrid w:val="0"/>
      <w:kern w:val="0"/>
      <w:sz w:val="24"/>
      <w:szCs w:val="20"/>
    </w:rPr>
  </w:style>
  <w:style w:type="paragraph" w:customStyle="1" w:styleId="afffffffffffffffffffff0">
    <w:name w:val="去掉蓝色底纹"/>
    <w:basedOn w:val="a7"/>
    <w:qFormat/>
    <w:pPr>
      <w:spacing w:after="160" w:line="360" w:lineRule="auto"/>
      <w:ind w:firstLine="482"/>
    </w:pPr>
    <w:rPr>
      <w:kern w:val="0"/>
      <w:sz w:val="24"/>
    </w:rPr>
  </w:style>
  <w:style w:type="paragraph" w:customStyle="1" w:styleId="declear">
    <w:name w:val="declear"/>
    <w:basedOn w:val="a7"/>
    <w:qFormat/>
    <w:pPr>
      <w:widowControl/>
      <w:spacing w:before="100" w:beforeAutospacing="1" w:after="100" w:afterAutospacing="1" w:line="278" w:lineRule="auto"/>
      <w:jc w:val="left"/>
    </w:pPr>
    <w:rPr>
      <w:rFonts w:ascii="宋体" w:hAnsi="宋体" w:cs="宋体"/>
      <w:kern w:val="0"/>
      <w:sz w:val="24"/>
    </w:rPr>
  </w:style>
  <w:style w:type="paragraph" w:customStyle="1" w:styleId="CharCharCharCharCharCharCharCharChar8">
    <w:name w:val="Char Char Char Char Char Char Char Char Char8"/>
    <w:basedOn w:val="a7"/>
    <w:qFormat/>
    <w:pPr>
      <w:spacing w:after="160" w:line="278" w:lineRule="auto"/>
    </w:pPr>
    <w:rPr>
      <w:rFonts w:ascii="Calibri" w:hAnsi="Calibri"/>
    </w:rPr>
  </w:style>
  <w:style w:type="paragraph" w:customStyle="1" w:styleId="gy">
    <w:name w:val="gy"/>
    <w:basedOn w:val="a7"/>
    <w:uiPriority w:val="99"/>
    <w:qFormat/>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20303">
    <w:name w:val="样式 报告 + 首行缩进:  2 字符 段前: 0.3 行 段后: 0.3 行"/>
    <w:basedOn w:val="a7"/>
    <w:qFormat/>
    <w:pPr>
      <w:spacing w:before="200" w:after="200" w:line="400" w:lineRule="atLeast"/>
      <w:ind w:firstLine="482"/>
    </w:pPr>
    <w:rPr>
      <w:rFonts w:ascii="宋体" w:hAnsi="宋体" w:cs="宋体"/>
      <w:sz w:val="24"/>
      <w:szCs w:val="20"/>
    </w:rPr>
  </w:style>
  <w:style w:type="paragraph" w:customStyle="1" w:styleId="4099025025">
    <w:name w:val="样式 标题 4 + 首行缩进:  0.99 厘米 段前: 0.25 行 段后: 0.25 行"/>
    <w:basedOn w:val="41"/>
    <w:next w:val="a7"/>
    <w:qFormat/>
    <w:pPr>
      <w:keepNext/>
      <w:keepLines/>
      <w:numPr>
        <w:ilvl w:val="0"/>
        <w:numId w:val="0"/>
      </w:numPr>
      <w:tabs>
        <w:tab w:val="clear" w:pos="864"/>
        <w:tab w:val="left" w:pos="360"/>
      </w:tabs>
      <w:spacing w:beforeLines="25" w:before="78" w:afterLines="25" w:after="78"/>
      <w:jc w:val="both"/>
      <w:textAlignment w:val="auto"/>
    </w:pPr>
    <w:rPr>
      <w:rFonts w:ascii="Arial" w:eastAsia="宋体" w:hAnsi="Arial" w:cs="宋体"/>
      <w:b w:val="0"/>
      <w:color w:val="auto"/>
      <w:szCs w:val="20"/>
      <w:lang w:val="en-US"/>
    </w:rPr>
  </w:style>
  <w:style w:type="paragraph" w:customStyle="1" w:styleId="SCIDI">
    <w:name w:val="SCIDI环评表格"/>
    <w:basedOn w:val="a7"/>
    <w:uiPriority w:val="99"/>
    <w:qFormat/>
    <w:pPr>
      <w:adjustRightInd w:val="0"/>
      <w:snapToGrid w:val="0"/>
      <w:spacing w:after="160" w:line="278" w:lineRule="auto"/>
      <w:jc w:val="center"/>
      <w:textAlignment w:val="baseline"/>
    </w:pPr>
    <w:rPr>
      <w:kern w:val="0"/>
    </w:rPr>
  </w:style>
  <w:style w:type="paragraph" w:customStyle="1" w:styleId="yyn">
    <w:name w:val="yyn"/>
    <w:basedOn w:val="a7"/>
    <w:qFormat/>
    <w:pPr>
      <w:keepNext/>
      <w:widowControl/>
      <w:overflowPunct w:val="0"/>
      <w:autoSpaceDE w:val="0"/>
      <w:autoSpaceDN w:val="0"/>
      <w:adjustRightInd w:val="0"/>
      <w:spacing w:after="160" w:line="360" w:lineRule="auto"/>
      <w:ind w:right="562" w:firstLine="576"/>
      <w:jc w:val="left"/>
      <w:textAlignment w:val="baseline"/>
    </w:pPr>
    <w:rPr>
      <w:rFonts w:ascii="宋体"/>
      <w:b/>
      <w:kern w:val="16"/>
      <w:sz w:val="24"/>
      <w:szCs w:val="20"/>
    </w:rPr>
  </w:style>
  <w:style w:type="paragraph" w:customStyle="1" w:styleId="170">
    <w:name w:val="样式17"/>
    <w:basedOn w:val="a7"/>
    <w:qFormat/>
    <w:pPr>
      <w:widowControl/>
      <w:spacing w:after="160" w:line="700" w:lineRule="exact"/>
      <w:outlineLvl w:val="1"/>
    </w:pPr>
    <w:rPr>
      <w:rFonts w:eastAsia="华文中宋" w:hAnsi="华文中宋"/>
      <w:b/>
      <w:snapToGrid w:val="0"/>
      <w:kern w:val="0"/>
      <w:sz w:val="28"/>
    </w:rPr>
  </w:style>
  <w:style w:type="paragraph" w:customStyle="1" w:styleId="text3">
    <w:name w:val="text3"/>
    <w:basedOn w:val="a7"/>
    <w:qFormat/>
    <w:pPr>
      <w:widowControl/>
      <w:adjustRightInd w:val="0"/>
      <w:spacing w:before="100" w:beforeAutospacing="1" w:after="100" w:afterAutospacing="1" w:line="300" w:lineRule="atLeast"/>
      <w:ind w:firstLine="482"/>
      <w:jc w:val="left"/>
      <w:textAlignment w:val="baseline"/>
    </w:pPr>
    <w:rPr>
      <w:rFonts w:ascii="宋体" w:hAnsi="宋体"/>
      <w:color w:val="000000"/>
      <w:kern w:val="0"/>
      <w:sz w:val="24"/>
      <w:szCs w:val="20"/>
    </w:rPr>
  </w:style>
  <w:style w:type="paragraph" w:customStyle="1" w:styleId="GB231212">
    <w:name w:val="样式 (中文) 楷体_GB2312 居中 行距: 固定值 12 磅"/>
    <w:basedOn w:val="a7"/>
    <w:uiPriority w:val="99"/>
    <w:qFormat/>
    <w:pPr>
      <w:spacing w:after="160" w:line="240" w:lineRule="exact"/>
      <w:jc w:val="center"/>
    </w:pPr>
    <w:rPr>
      <w:rFonts w:eastAsia="楷体_GB2312" w:cs="宋体"/>
      <w:szCs w:val="20"/>
    </w:rPr>
  </w:style>
  <w:style w:type="paragraph" w:customStyle="1" w:styleId="xl244">
    <w:name w:val="xl244"/>
    <w:basedOn w:val="a7"/>
    <w:qFormat/>
    <w:pPr>
      <w:widowControl/>
      <w:pBdr>
        <w:top w:val="single" w:sz="8" w:space="0" w:color="auto"/>
        <w:left w:val="single" w:sz="4" w:space="0" w:color="auto"/>
      </w:pBdr>
      <w:spacing w:before="100" w:beforeAutospacing="1" w:after="100" w:afterAutospacing="1" w:line="278" w:lineRule="auto"/>
      <w:jc w:val="center"/>
      <w:textAlignment w:val="center"/>
    </w:pPr>
    <w:rPr>
      <w:kern w:val="0"/>
      <w:sz w:val="20"/>
      <w:szCs w:val="20"/>
    </w:rPr>
  </w:style>
  <w:style w:type="paragraph" w:customStyle="1" w:styleId="CM8">
    <w:name w:val="CM8"/>
    <w:uiPriority w:val="99"/>
    <w:qFormat/>
    <w:pPr>
      <w:adjustRightInd w:val="0"/>
      <w:spacing w:after="160" w:line="296" w:lineRule="atLeast"/>
    </w:pPr>
    <w:rPr>
      <w:rFonts w:ascii="Arial" w:hAnsi="Arial" w:cs="Arial"/>
      <w:szCs w:val="24"/>
    </w:rPr>
  </w:style>
  <w:style w:type="paragraph" w:customStyle="1" w:styleId="CharCharCharCharCharCharCharCharCharCharCharChar1CharCharCharCharCharCharCharCharChar">
    <w:name w:val="Char Char Char Char Char Char Char Char Char Char Char Char1 Char Char Char Char Char Char Char Char Char"/>
    <w:basedOn w:val="a7"/>
    <w:next w:val="a7"/>
    <w:qFormat/>
    <w:pPr>
      <w:snapToGrid w:val="0"/>
      <w:spacing w:after="160" w:line="336" w:lineRule="auto"/>
      <w:ind w:firstLineChars="200" w:firstLine="200"/>
      <w:jc w:val="left"/>
    </w:pPr>
    <w:rPr>
      <w:rFonts w:ascii="宋体" w:eastAsia="汉鼎简书宋" w:hAnsi="宋体" w:hint="eastAsia"/>
      <w:sz w:val="24"/>
      <w:szCs w:val="20"/>
    </w:rPr>
  </w:style>
  <w:style w:type="paragraph" w:customStyle="1" w:styleId="xl36">
    <w:name w:val="xl36"/>
    <w:basedOn w:val="a7"/>
    <w:uiPriority w:val="99"/>
    <w:qFormat/>
    <w:pPr>
      <w:widowControl/>
      <w:pBdr>
        <w:top w:val="single" w:sz="4" w:space="0" w:color="auto"/>
        <w:bottom w:val="single" w:sz="4" w:space="0" w:color="auto"/>
        <w:right w:val="single" w:sz="4" w:space="0" w:color="auto"/>
      </w:pBdr>
      <w:spacing w:before="100" w:after="100" w:line="360" w:lineRule="auto"/>
      <w:ind w:firstLine="482"/>
      <w:jc w:val="center"/>
      <w:textAlignment w:val="center"/>
    </w:pPr>
    <w:rPr>
      <w:rFonts w:ascii="宋体" w:hAnsi="宋体"/>
      <w:kern w:val="0"/>
      <w:sz w:val="24"/>
    </w:rPr>
  </w:style>
  <w:style w:type="paragraph" w:customStyle="1" w:styleId="font15">
    <w:name w:val="font15"/>
    <w:basedOn w:val="a7"/>
    <w:qFormat/>
    <w:pPr>
      <w:widowControl/>
      <w:spacing w:before="100" w:beforeAutospacing="1" w:after="100" w:afterAutospacing="1" w:line="360" w:lineRule="auto"/>
      <w:jc w:val="left"/>
    </w:pPr>
    <w:rPr>
      <w:rFonts w:eastAsia="Arial Unicode MS"/>
      <w:b/>
      <w:color w:val="FF6600"/>
      <w:kern w:val="0"/>
      <w:sz w:val="24"/>
    </w:rPr>
  </w:style>
  <w:style w:type="paragraph" w:customStyle="1" w:styleId="ListContinue31">
    <w:name w:val="List Continue 31"/>
    <w:basedOn w:val="a7"/>
    <w:qFormat/>
    <w:pPr>
      <w:spacing w:after="120" w:line="278" w:lineRule="auto"/>
      <w:ind w:leftChars="600" w:left="1260"/>
    </w:pPr>
  </w:style>
  <w:style w:type="paragraph" w:customStyle="1" w:styleId="228">
    <w:name w:val="样式 首行缩进:  2 字符2"/>
    <w:basedOn w:val="a7"/>
    <w:qFormat/>
    <w:pPr>
      <w:keepNext/>
      <w:adjustRightInd w:val="0"/>
      <w:snapToGrid w:val="0"/>
      <w:spacing w:after="160" w:line="300" w:lineRule="auto"/>
      <w:ind w:firstLineChars="200" w:firstLine="200"/>
    </w:pPr>
    <w:rPr>
      <w:rFonts w:cs="宋体"/>
      <w:sz w:val="28"/>
      <w:szCs w:val="20"/>
    </w:rPr>
  </w:style>
  <w:style w:type="paragraph" w:customStyle="1" w:styleId="afffffffffffffffffffff1">
    <w:name w:val="小表格"/>
    <w:basedOn w:val="afffffffffb"/>
    <w:qFormat/>
    <w:pPr>
      <w:widowControl w:val="0"/>
      <w:tabs>
        <w:tab w:val="clear" w:pos="1855"/>
        <w:tab w:val="clear" w:pos="2269"/>
      </w:tabs>
      <w:autoSpaceDE w:val="0"/>
      <w:autoSpaceDN w:val="0"/>
      <w:adjustRightInd w:val="0"/>
      <w:spacing w:after="160"/>
    </w:pPr>
    <w:rPr>
      <w:rFonts w:ascii="仿宋_GB2312" w:eastAsia="宋体" w:cs="Times New Roman"/>
      <w:smallCaps w:val="0"/>
      <w:color w:val="auto"/>
      <w:kern w:val="0"/>
      <w:sz w:val="20"/>
      <w:szCs w:val="20"/>
    </w:rPr>
  </w:style>
  <w:style w:type="paragraph" w:customStyle="1" w:styleId="SCIDI0">
    <w:name w:val="SCIDI环评正文"/>
    <w:basedOn w:val="a7"/>
    <w:uiPriority w:val="99"/>
    <w:qFormat/>
    <w:pPr>
      <w:adjustRightInd w:val="0"/>
      <w:snapToGrid w:val="0"/>
      <w:spacing w:after="160" w:line="360" w:lineRule="auto"/>
      <w:ind w:firstLineChars="200" w:firstLine="480"/>
      <w:jc w:val="left"/>
      <w:textAlignment w:val="baseline"/>
    </w:pPr>
    <w:rPr>
      <w:kern w:val="0"/>
      <w:sz w:val="24"/>
    </w:rPr>
  </w:style>
  <w:style w:type="paragraph" w:customStyle="1" w:styleId="afffffffffffffffffffff2">
    <w:name w:val="基准页脚样式"/>
    <w:basedOn w:val="aff2"/>
    <w:qFormat/>
    <w:pPr>
      <w:widowControl/>
      <w:spacing w:before="0" w:line="320" w:lineRule="exact"/>
      <w:ind w:left="0" w:firstLine="482"/>
      <w:jc w:val="center"/>
    </w:pPr>
    <w:rPr>
      <w:rFonts w:hAnsi="Arial"/>
      <w:spacing w:val="-20"/>
      <w:sz w:val="21"/>
      <w:szCs w:val="20"/>
      <w:lang w:eastAsia="zh-CN"/>
    </w:rPr>
  </w:style>
  <w:style w:type="paragraph" w:customStyle="1" w:styleId="4f9">
    <w:name w:val="正文文本4"/>
    <w:basedOn w:val="a7"/>
    <w:qFormat/>
    <w:pPr>
      <w:shd w:val="clear" w:color="auto" w:fill="FFFFFF"/>
      <w:spacing w:after="160" w:line="274" w:lineRule="exact"/>
      <w:jc w:val="distribute"/>
    </w:pPr>
    <w:rPr>
      <w:rFonts w:ascii="Arial Unicode MS" w:eastAsia="Arial Unicode MS" w:hAnsi="Arial Unicode MS" w:cs="Arial Unicode MS"/>
      <w:color w:val="000000"/>
      <w:kern w:val="0"/>
      <w:sz w:val="16"/>
      <w:szCs w:val="16"/>
      <w:lang w:val="zh-CN"/>
    </w:rPr>
  </w:style>
  <w:style w:type="paragraph" w:customStyle="1" w:styleId="105">
    <w:name w:val="报告标题10"/>
    <w:basedOn w:val="1"/>
    <w:qFormat/>
    <w:pPr>
      <w:keepNext/>
      <w:keepLines/>
      <w:numPr>
        <w:numId w:val="0"/>
      </w:numPr>
      <w:snapToGrid/>
      <w:spacing w:beforeLines="0" w:before="340" w:after="330"/>
    </w:pPr>
    <w:rPr>
      <w:rFonts w:ascii="黑体" w:eastAsia="黑体" w:hAnsi="宋体"/>
      <w:bCs/>
      <w:spacing w:val="4"/>
      <w:kern w:val="0"/>
      <w:sz w:val="32"/>
      <w:szCs w:val="20"/>
    </w:rPr>
  </w:style>
  <w:style w:type="paragraph" w:customStyle="1" w:styleId="1111">
    <w:name w:val="1.1.1"/>
    <w:basedOn w:val="a7"/>
    <w:qFormat/>
    <w:pPr>
      <w:widowControl/>
      <w:adjustRightInd w:val="0"/>
      <w:spacing w:before="240" w:after="120" w:line="360" w:lineRule="atLeast"/>
      <w:ind w:firstLine="198"/>
      <w:jc w:val="left"/>
      <w:textAlignment w:val="baseline"/>
    </w:pPr>
    <w:rPr>
      <w:rFonts w:eastAsia="DFKai-SB"/>
      <w:kern w:val="0"/>
      <w:sz w:val="28"/>
      <w:szCs w:val="20"/>
      <w:lang w:eastAsia="zh-TW" w:bidi="en-US"/>
    </w:rPr>
  </w:style>
  <w:style w:type="paragraph" w:customStyle="1" w:styleId="xl38">
    <w:name w:val="xl38"/>
    <w:basedOn w:val="a7"/>
    <w:uiPriority w:val="99"/>
    <w:qFormat/>
    <w:pPr>
      <w:widowControl/>
      <w:pBdr>
        <w:top w:val="single" w:sz="4" w:space="0" w:color="auto"/>
        <w:bottom w:val="single" w:sz="4" w:space="0" w:color="auto"/>
      </w:pBdr>
      <w:spacing w:before="100" w:after="100" w:line="360" w:lineRule="auto"/>
      <w:ind w:firstLine="482"/>
      <w:jc w:val="center"/>
      <w:textAlignment w:val="center"/>
    </w:pPr>
    <w:rPr>
      <w:kern w:val="0"/>
      <w:sz w:val="28"/>
      <w:szCs w:val="28"/>
    </w:rPr>
  </w:style>
  <w:style w:type="paragraph" w:customStyle="1" w:styleId="1fff3">
    <w:name w:val="样式 标题 1 + 宋体"/>
    <w:basedOn w:val="1"/>
    <w:qFormat/>
    <w:pPr>
      <w:keepNext/>
      <w:widowControl/>
      <w:numPr>
        <w:numId w:val="0"/>
      </w:numPr>
      <w:tabs>
        <w:tab w:val="left" w:pos="0"/>
        <w:tab w:val="left" w:pos="1319"/>
        <w:tab w:val="right" w:pos="8640"/>
      </w:tabs>
      <w:overflowPunct w:val="0"/>
      <w:autoSpaceDE w:val="0"/>
      <w:autoSpaceDN w:val="0"/>
      <w:adjustRightInd w:val="0"/>
      <w:snapToGrid/>
      <w:spacing w:beforeLines="0" w:before="120" w:after="120" w:line="440" w:lineRule="exact"/>
      <w:ind w:left="432" w:hanging="432"/>
      <w:jc w:val="left"/>
      <w:textAlignment w:val="baseline"/>
    </w:pPr>
    <w:rPr>
      <w:rFonts w:ascii="宋体" w:eastAsia="宋体" w:hAnsi="宋体"/>
      <w:b/>
      <w:bCs/>
      <w:kern w:val="28"/>
      <w:sz w:val="30"/>
      <w:szCs w:val="20"/>
    </w:rPr>
  </w:style>
  <w:style w:type="paragraph" w:customStyle="1" w:styleId="CharCharCharCharCharChar">
    <w:name w:val="Char Char Char Char Char Char"/>
    <w:basedOn w:val="a7"/>
    <w:qFormat/>
    <w:pPr>
      <w:spacing w:after="160" w:line="278" w:lineRule="auto"/>
    </w:pPr>
    <w:rPr>
      <w:sz w:val="24"/>
    </w:rPr>
  </w:style>
  <w:style w:type="paragraph" w:customStyle="1" w:styleId="Normal1">
    <w:name w:val="Normal1"/>
    <w:uiPriority w:val="99"/>
    <w:qFormat/>
    <w:pPr>
      <w:widowControl w:val="0"/>
      <w:adjustRightInd w:val="0"/>
      <w:spacing w:after="160" w:line="315" w:lineRule="atLeast"/>
      <w:textAlignment w:val="baseline"/>
    </w:pPr>
    <w:rPr>
      <w:rFonts w:ascii="宋体"/>
      <w:sz w:val="24"/>
    </w:rPr>
  </w:style>
  <w:style w:type="paragraph" w:customStyle="1" w:styleId="afffffffffffffffffffff3">
    <w:name w:val="表头+单位"/>
    <w:basedOn w:val="afffa"/>
    <w:qFormat/>
    <w:pPr>
      <w:keepNext/>
      <w:adjustRightInd/>
      <w:spacing w:after="160" w:line="240" w:lineRule="auto"/>
      <w:ind w:left="0" w:rightChars="-45" w:right="-45" w:firstLineChars="0" w:firstLine="0"/>
      <w:jc w:val="right"/>
      <w:textAlignment w:val="auto"/>
    </w:pPr>
    <w:rPr>
      <w:rFonts w:ascii="黑体" w:eastAsia="黑体"/>
      <w:kern w:val="2"/>
      <w:szCs w:val="24"/>
    </w:rPr>
  </w:style>
  <w:style w:type="paragraph" w:customStyle="1" w:styleId="2fff7">
    <w:name w:val="题注2"/>
    <w:basedOn w:val="af5"/>
    <w:qFormat/>
    <w:pPr>
      <w:spacing w:after="160" w:line="324" w:lineRule="auto"/>
      <w:ind w:firstLineChars="200" w:firstLine="400"/>
    </w:pPr>
    <w:rPr>
      <w:rFonts w:ascii="Arial" w:eastAsia="宋体" w:hAnsi="Arial"/>
      <w:bCs/>
      <w:color w:val="000000"/>
      <w:sz w:val="21"/>
      <w:szCs w:val="21"/>
    </w:rPr>
  </w:style>
  <w:style w:type="paragraph" w:customStyle="1" w:styleId="afffffffffffffffffffff4">
    <w:name w:val="样式 题注 + 居中"/>
    <w:basedOn w:val="af5"/>
    <w:qFormat/>
    <w:pPr>
      <w:spacing w:after="160" w:line="324" w:lineRule="auto"/>
    </w:pPr>
    <w:rPr>
      <w:rFonts w:ascii="Arial" w:eastAsia="宋体" w:hAnsi="Arial"/>
      <w:b/>
      <w:bCs/>
      <w:color w:val="000000"/>
      <w:sz w:val="21"/>
      <w:szCs w:val="21"/>
    </w:rPr>
  </w:style>
  <w:style w:type="paragraph" w:customStyle="1" w:styleId="afffffffffffffffffffff5">
    <w:name w:val="久不通函，至以为念。"/>
    <w:qFormat/>
    <w:pPr>
      <w:widowControl w:val="0"/>
      <w:spacing w:after="160" w:line="278" w:lineRule="auto"/>
      <w:jc w:val="both"/>
    </w:pPr>
    <w:rPr>
      <w:kern w:val="2"/>
      <w:sz w:val="21"/>
    </w:rPr>
  </w:style>
  <w:style w:type="paragraph" w:customStyle="1" w:styleId="0007">
    <w:name w:val="0007小四 居中"/>
    <w:qFormat/>
    <w:pPr>
      <w:spacing w:after="160" w:line="278" w:lineRule="auto"/>
      <w:jc w:val="center"/>
    </w:pPr>
    <w:rPr>
      <w:sz w:val="24"/>
      <w:szCs w:val="24"/>
    </w:rPr>
  </w:style>
  <w:style w:type="paragraph" w:customStyle="1" w:styleId="0004">
    <w:name w:val="0004正文"/>
    <w:basedOn w:val="a7"/>
    <w:qFormat/>
    <w:pPr>
      <w:widowControl/>
      <w:autoSpaceDE w:val="0"/>
      <w:autoSpaceDN w:val="0"/>
      <w:adjustRightInd w:val="0"/>
      <w:spacing w:after="160" w:line="500" w:lineRule="exact"/>
      <w:ind w:firstLine="482"/>
    </w:pPr>
    <w:rPr>
      <w:rFonts w:ascii="宋体" w:hAnsi="宋体"/>
      <w:kern w:val="0"/>
      <w:sz w:val="28"/>
      <w:szCs w:val="28"/>
    </w:rPr>
  </w:style>
  <w:style w:type="paragraph" w:customStyle="1" w:styleId="afffffffffffffffffffff6">
    <w:name w:val="表－右对齐"/>
    <w:basedOn w:val="afffffffffffff"/>
    <w:uiPriority w:val="99"/>
    <w:qFormat/>
    <w:pPr>
      <w:jc w:val="right"/>
    </w:pPr>
  </w:style>
  <w:style w:type="paragraph" w:customStyle="1" w:styleId="94">
    <w:name w:val="9"/>
    <w:basedOn w:val="a7"/>
    <w:next w:val="affff2"/>
    <w:qFormat/>
    <w:pPr>
      <w:widowControl/>
      <w:snapToGrid w:val="0"/>
      <w:spacing w:before="100" w:beforeAutospacing="1" w:after="100" w:afterAutospacing="1" w:line="278" w:lineRule="auto"/>
      <w:jc w:val="left"/>
    </w:pPr>
    <w:rPr>
      <w:rFonts w:ascii="宋体" w:hAnsi="宋体"/>
      <w:color w:val="000066"/>
      <w:kern w:val="0"/>
      <w:sz w:val="24"/>
      <w:szCs w:val="20"/>
    </w:rPr>
  </w:style>
  <w:style w:type="paragraph" w:customStyle="1" w:styleId="afffffffffffffffffffff7">
    <w:name w:val="图表正文"/>
    <w:basedOn w:val="a7"/>
    <w:qFormat/>
    <w:pPr>
      <w:widowControl/>
      <w:spacing w:after="160" w:line="360" w:lineRule="atLeast"/>
      <w:ind w:firstLineChars="200" w:firstLine="420"/>
      <w:jc w:val="center"/>
    </w:pPr>
    <w:rPr>
      <w:rFonts w:ascii="宋体" w:hAnsi="宋体"/>
      <w:snapToGrid w:val="0"/>
      <w:kern w:val="0"/>
    </w:rPr>
  </w:style>
  <w:style w:type="paragraph" w:customStyle="1" w:styleId="4fa">
    <w:name w:val="陈标题4"/>
    <w:basedOn w:val="a7"/>
    <w:next w:val="a7"/>
    <w:qFormat/>
    <w:pPr>
      <w:keepNext/>
      <w:keepLines/>
      <w:spacing w:after="160" w:line="288" w:lineRule="auto"/>
      <w:outlineLvl w:val="3"/>
    </w:pPr>
    <w:rPr>
      <w:rFonts w:eastAsia="仿宋_GB2312"/>
      <w:b/>
      <w:sz w:val="28"/>
      <w:szCs w:val="28"/>
    </w:rPr>
  </w:style>
  <w:style w:type="paragraph" w:customStyle="1" w:styleId="CharCharff">
    <w:name w:val="热电厂正文 Char Char"/>
    <w:basedOn w:val="a7"/>
    <w:qFormat/>
    <w:pPr>
      <w:spacing w:after="160" w:line="440" w:lineRule="exact"/>
      <w:ind w:firstLineChars="200" w:firstLine="480"/>
    </w:pPr>
    <w:rPr>
      <w:sz w:val="24"/>
    </w:rPr>
  </w:style>
  <w:style w:type="paragraph" w:customStyle="1" w:styleId="afffffffffffffffffffff8">
    <w:name w:val="晓丹"/>
    <w:basedOn w:val="affff7"/>
    <w:uiPriority w:val="99"/>
    <w:qFormat/>
    <w:pPr>
      <w:adjustRightInd w:val="0"/>
      <w:snapToGrid w:val="0"/>
      <w:spacing w:after="0"/>
      <w:ind w:firstLineChars="200" w:firstLine="200"/>
      <w:textAlignment w:val="baseline"/>
    </w:pPr>
    <w:rPr>
      <w:rFonts w:ascii="宋体" w:hAnsi="宋体" w:cs="Times New Roman"/>
      <w:color w:val="000000"/>
      <w:spacing w:val="6"/>
      <w:szCs w:val="21"/>
    </w:rPr>
  </w:style>
  <w:style w:type="paragraph" w:customStyle="1" w:styleId="xl60">
    <w:name w:val="xl60"/>
    <w:basedOn w:val="a7"/>
    <w:qFormat/>
    <w:pPr>
      <w:widowControl/>
      <w:pBdr>
        <w:left w:val="single" w:sz="8" w:space="0" w:color="auto"/>
        <w:right w:val="single" w:sz="4" w:space="0" w:color="auto"/>
      </w:pBdr>
      <w:spacing w:before="100" w:after="100" w:line="360" w:lineRule="auto"/>
      <w:ind w:firstLine="482"/>
      <w:jc w:val="center"/>
      <w:textAlignment w:val="top"/>
    </w:pPr>
    <w:rPr>
      <w:kern w:val="0"/>
      <w:sz w:val="24"/>
    </w:rPr>
  </w:style>
  <w:style w:type="paragraph" w:customStyle="1" w:styleId="afffffffffffffffffffff9">
    <w:name w:val="二级条标题"/>
    <w:next w:val="a7"/>
    <w:qFormat/>
    <w:pPr>
      <w:tabs>
        <w:tab w:val="left" w:pos="360"/>
      </w:tabs>
      <w:spacing w:after="160" w:line="278" w:lineRule="auto"/>
      <w:outlineLvl w:val="3"/>
    </w:pPr>
  </w:style>
  <w:style w:type="paragraph" w:customStyle="1" w:styleId="afffffffffffffffffffffa">
    <w:name w:val="一级条标题"/>
    <w:basedOn w:val="1"/>
    <w:next w:val="a7"/>
    <w:qFormat/>
    <w:pPr>
      <w:keepNext/>
      <w:widowControl/>
      <w:numPr>
        <w:numId w:val="0"/>
      </w:numPr>
      <w:tabs>
        <w:tab w:val="left" w:pos="360"/>
      </w:tabs>
      <w:snapToGrid/>
      <w:spacing w:beforeLines="0" w:before="0" w:after="160" w:line="278" w:lineRule="auto"/>
      <w:jc w:val="center"/>
      <w:outlineLvl w:val="2"/>
    </w:pPr>
    <w:rPr>
      <w:rFonts w:ascii="黑体" w:eastAsia="黑体"/>
      <w:kern w:val="0"/>
      <w:sz w:val="21"/>
      <w:szCs w:val="20"/>
    </w:rPr>
  </w:style>
  <w:style w:type="paragraph" w:customStyle="1" w:styleId="15171">
    <w:name w:val="样式 行距: 1.5 倍行距 首行缩进:  1.71 字符"/>
    <w:basedOn w:val="a7"/>
    <w:qFormat/>
    <w:pPr>
      <w:spacing w:after="160" w:line="360" w:lineRule="auto"/>
      <w:ind w:firstLineChars="171" w:firstLine="359"/>
    </w:pPr>
    <w:rPr>
      <w:kern w:val="0"/>
      <w:sz w:val="24"/>
      <w:szCs w:val="20"/>
    </w:rPr>
  </w:style>
  <w:style w:type="paragraph" w:customStyle="1" w:styleId="1fff4">
    <w:name w:val="样式 标题 1 + 宋体 居中"/>
    <w:basedOn w:val="1"/>
    <w:qFormat/>
    <w:pPr>
      <w:keepNext/>
      <w:keepLines/>
      <w:numPr>
        <w:numId w:val="0"/>
      </w:numPr>
      <w:snapToGrid/>
      <w:spacing w:beforeLines="0" w:before="340" w:after="330" w:line="578" w:lineRule="auto"/>
      <w:jc w:val="center"/>
    </w:pPr>
    <w:rPr>
      <w:rFonts w:ascii="宋体" w:eastAsia="黑体" w:hAnsi="宋体"/>
      <w:bCs/>
      <w:sz w:val="36"/>
      <w:szCs w:val="20"/>
    </w:rPr>
  </w:style>
  <w:style w:type="paragraph" w:customStyle="1" w:styleId="CharCharCharCharCharCharCharCharCharCharChar1">
    <w:name w:val="Char Char Char Char Char Char Char Char Char Char Char1"/>
    <w:basedOn w:val="a7"/>
    <w:qFormat/>
    <w:pPr>
      <w:spacing w:after="160" w:line="278" w:lineRule="auto"/>
    </w:pPr>
  </w:style>
  <w:style w:type="paragraph" w:customStyle="1" w:styleId="afffffffffffffffffffffb">
    <w:name w:val="新"/>
    <w:basedOn w:val="52"/>
    <w:qFormat/>
    <w:pPr>
      <w:tabs>
        <w:tab w:val="left" w:pos="3600"/>
      </w:tabs>
      <w:spacing w:line="376" w:lineRule="auto"/>
      <w:ind w:left="3600" w:hanging="360"/>
    </w:pPr>
    <w:rPr>
      <w:kern w:val="2"/>
      <w:sz w:val="24"/>
      <w:lang w:val="en-US"/>
    </w:rPr>
  </w:style>
  <w:style w:type="paragraph" w:customStyle="1" w:styleId="1fff5">
    <w:name w:val="表格样式1"/>
    <w:basedOn w:val="a7"/>
    <w:next w:val="a7"/>
    <w:qFormat/>
    <w:pPr>
      <w:adjustRightInd w:val="0"/>
      <w:spacing w:after="160" w:line="40" w:lineRule="atLeast"/>
      <w:jc w:val="center"/>
    </w:pPr>
    <w:rPr>
      <w:rFonts w:hint="eastAsia"/>
      <w:sz w:val="24"/>
      <w:szCs w:val="20"/>
    </w:rPr>
  </w:style>
  <w:style w:type="paragraph" w:customStyle="1" w:styleId="afffffffffffffffffffffc">
    <w:name w:val="陈光的正文"/>
    <w:basedOn w:val="a7"/>
    <w:qFormat/>
    <w:pPr>
      <w:adjustRightInd w:val="0"/>
      <w:snapToGrid w:val="0"/>
      <w:spacing w:beforeLines="10" w:afterLines="10" w:after="160" w:line="360" w:lineRule="auto"/>
      <w:ind w:firstLineChars="200" w:firstLine="560"/>
    </w:pPr>
    <w:rPr>
      <w:sz w:val="28"/>
      <w:szCs w:val="20"/>
    </w:rPr>
  </w:style>
  <w:style w:type="paragraph" w:customStyle="1" w:styleId="xl171">
    <w:name w:val="xl171"/>
    <w:basedOn w:val="a7"/>
    <w:qFormat/>
    <w:pPr>
      <w:widowControl/>
      <w:pBdr>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fffffffffffffffffffffd">
    <w:name w:val="标题辞"/>
    <w:basedOn w:val="a7"/>
    <w:qFormat/>
    <w:pPr>
      <w:spacing w:after="160" w:line="360" w:lineRule="auto"/>
      <w:ind w:firstLineChars="200" w:firstLine="561"/>
    </w:pPr>
    <w:rPr>
      <w:rFonts w:ascii="楷体_GB2312" w:eastAsia="楷体_GB2312" w:cs="Courier New"/>
      <w:b/>
      <w:bCs/>
      <w:kern w:val="10"/>
      <w:sz w:val="28"/>
      <w:szCs w:val="28"/>
    </w:rPr>
  </w:style>
  <w:style w:type="paragraph" w:customStyle="1" w:styleId="xl138">
    <w:name w:val="xl138"/>
    <w:basedOn w:val="a7"/>
    <w:uiPriority w:val="99"/>
    <w:qFormat/>
    <w:pPr>
      <w:widowControl/>
      <w:pBdr>
        <w:top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CharChar7CharCharCharChar2">
    <w:name w:val="Char Char7 Char Char Char Char2"/>
    <w:basedOn w:val="a7"/>
    <w:qFormat/>
    <w:pPr>
      <w:snapToGrid w:val="0"/>
      <w:spacing w:after="160" w:line="278" w:lineRule="auto"/>
      <w:jc w:val="left"/>
    </w:pPr>
    <w:rPr>
      <w:sz w:val="24"/>
    </w:rPr>
  </w:style>
  <w:style w:type="paragraph" w:customStyle="1" w:styleId="aaaa">
    <w:name w:val="aa正文aa"/>
    <w:basedOn w:val="a7"/>
    <w:uiPriority w:val="99"/>
    <w:qFormat/>
    <w:pPr>
      <w:adjustRightInd w:val="0"/>
      <w:snapToGrid w:val="0"/>
      <w:spacing w:after="160" w:line="360" w:lineRule="auto"/>
      <w:ind w:firstLineChars="200" w:firstLine="200"/>
      <w:jc w:val="left"/>
    </w:pPr>
    <w:rPr>
      <w:rFonts w:cs="Arial"/>
      <w:sz w:val="24"/>
    </w:rPr>
  </w:style>
  <w:style w:type="paragraph" w:customStyle="1" w:styleId="afffffffffffffffffffffe">
    <w:name w:val="表格——正文"/>
    <w:basedOn w:val="a7"/>
    <w:qFormat/>
    <w:pPr>
      <w:kinsoku w:val="0"/>
      <w:wordWrap w:val="0"/>
      <w:overflowPunct w:val="0"/>
      <w:autoSpaceDE w:val="0"/>
      <w:autoSpaceDN w:val="0"/>
      <w:adjustRightInd w:val="0"/>
      <w:spacing w:after="160" w:line="280" w:lineRule="exact"/>
      <w:textAlignment w:val="baseline"/>
    </w:pPr>
    <w:rPr>
      <w:rFonts w:eastAsia="仿宋_GB2312"/>
      <w:snapToGrid w:val="0"/>
      <w:color w:val="000000"/>
      <w:kern w:val="0"/>
      <w:szCs w:val="20"/>
    </w:rPr>
  </w:style>
  <w:style w:type="paragraph" w:customStyle="1" w:styleId="affffffffffffffffffffff">
    <w:name w:val="数字编号列项（二级）"/>
    <w:qFormat/>
    <w:pPr>
      <w:spacing w:after="160" w:line="278" w:lineRule="auto"/>
      <w:ind w:leftChars="400" w:left="1260" w:hangingChars="200" w:hanging="420"/>
      <w:jc w:val="both"/>
    </w:pPr>
    <w:rPr>
      <w:rFonts w:ascii="宋体"/>
      <w:sz w:val="21"/>
    </w:rPr>
  </w:style>
  <w:style w:type="paragraph" w:customStyle="1" w:styleId="Charfffffffb">
    <w:name w:val="四 Char"/>
    <w:basedOn w:val="a7"/>
    <w:qFormat/>
    <w:pPr>
      <w:snapToGrid w:val="0"/>
      <w:spacing w:after="160" w:line="336" w:lineRule="auto"/>
      <w:ind w:firstLineChars="200" w:firstLine="200"/>
      <w:jc w:val="left"/>
    </w:pPr>
    <w:rPr>
      <w:sz w:val="28"/>
      <w:szCs w:val="20"/>
    </w:rPr>
  </w:style>
  <w:style w:type="paragraph" w:customStyle="1" w:styleId="affffffffffffffffffffff0">
    <w:name w:val="正文 + 采用"/>
    <w:basedOn w:val="a7"/>
    <w:qFormat/>
    <w:pPr>
      <w:adjustRightInd w:val="0"/>
      <w:snapToGrid w:val="0"/>
      <w:spacing w:after="160" w:line="360" w:lineRule="auto"/>
      <w:ind w:firstLineChars="200" w:firstLine="480"/>
    </w:pPr>
    <w:rPr>
      <w:sz w:val="24"/>
    </w:rPr>
  </w:style>
  <w:style w:type="paragraph" w:customStyle="1" w:styleId="88">
    <w:name w:val="样式8"/>
    <w:basedOn w:val="a7"/>
    <w:qFormat/>
    <w:pPr>
      <w:spacing w:after="160" w:line="360" w:lineRule="auto"/>
      <w:ind w:firstLine="499"/>
    </w:pPr>
    <w:rPr>
      <w:rFonts w:ascii="宋体"/>
      <w:color w:val="000000"/>
      <w:kern w:val="0"/>
      <w:sz w:val="28"/>
      <w:szCs w:val="20"/>
    </w:rPr>
  </w:style>
  <w:style w:type="paragraph" w:customStyle="1" w:styleId="1fff6">
    <w:name w:val="表体1"/>
    <w:basedOn w:val="a7"/>
    <w:qFormat/>
    <w:pPr>
      <w:adjustRightInd w:val="0"/>
      <w:snapToGrid w:val="0"/>
      <w:spacing w:after="160" w:line="360" w:lineRule="atLeast"/>
      <w:ind w:left="-96" w:right="-85"/>
      <w:jc w:val="center"/>
      <w:textAlignment w:val="baseline"/>
    </w:pPr>
    <w:rPr>
      <w:rFonts w:ascii="仿宋_GB2312" w:eastAsia="仿宋_GB2312" w:hAnsi="Courier New"/>
      <w:kern w:val="0"/>
      <w:sz w:val="24"/>
      <w:szCs w:val="20"/>
    </w:rPr>
  </w:style>
  <w:style w:type="paragraph" w:customStyle="1" w:styleId="Tblhead">
    <w:name w:val="Tblhead"/>
    <w:basedOn w:val="a7"/>
    <w:next w:val="a7"/>
    <w:uiPriority w:val="99"/>
    <w:qFormat/>
    <w:pPr>
      <w:pageBreakBefore/>
      <w:adjustRightInd w:val="0"/>
      <w:snapToGrid w:val="0"/>
      <w:spacing w:after="160" w:line="278" w:lineRule="auto"/>
      <w:jc w:val="center"/>
      <w:textAlignment w:val="baseline"/>
    </w:pPr>
    <w:rPr>
      <w:rFonts w:ascii="宋体"/>
      <w:kern w:val="0"/>
      <w:sz w:val="24"/>
      <w:szCs w:val="20"/>
    </w:rPr>
  </w:style>
  <w:style w:type="paragraph" w:customStyle="1" w:styleId="4fb">
    <w:name w:val="样式 标题 4 + 宋体 小四 非加粗"/>
    <w:basedOn w:val="41"/>
    <w:qFormat/>
    <w:pPr>
      <w:keepNext/>
      <w:keepLines/>
      <w:numPr>
        <w:ilvl w:val="0"/>
        <w:numId w:val="0"/>
      </w:numPr>
      <w:tabs>
        <w:tab w:val="clear" w:pos="864"/>
        <w:tab w:val="left" w:pos="1680"/>
      </w:tabs>
      <w:snapToGrid/>
      <w:spacing w:before="280" w:afterLines="0" w:after="170" w:line="240" w:lineRule="auto"/>
      <w:ind w:leftChars="100" w:left="1680" w:rightChars="100" w:right="100" w:hanging="420"/>
    </w:pPr>
    <w:rPr>
      <w:rFonts w:ascii="宋体" w:eastAsia="宋体" w:hAnsi="宋体"/>
      <w:b w:val="0"/>
      <w:bCs w:val="0"/>
      <w:color w:val="auto"/>
      <w:kern w:val="0"/>
      <w:sz w:val="24"/>
      <w:szCs w:val="20"/>
      <w:lang w:val="en-US"/>
    </w:rPr>
  </w:style>
  <w:style w:type="paragraph" w:customStyle="1" w:styleId="affffffffffffffffffffff1">
    <w:name w:val="中气表头"/>
    <w:basedOn w:val="a7"/>
    <w:uiPriority w:val="99"/>
    <w:qFormat/>
    <w:pPr>
      <w:spacing w:after="160" w:line="278" w:lineRule="auto"/>
      <w:jc w:val="center"/>
    </w:pPr>
    <w:rPr>
      <w:rFonts w:eastAsia="黑体"/>
      <w:b/>
      <w:szCs w:val="20"/>
    </w:rPr>
  </w:style>
  <w:style w:type="paragraph" w:customStyle="1" w:styleId="1fff7">
    <w:name w:val="尾注文本1"/>
    <w:basedOn w:val="1f"/>
    <w:qFormat/>
    <w:pPr>
      <w:spacing w:beforeLines="0" w:after="160" w:line="360" w:lineRule="atLeast"/>
      <w:jc w:val="left"/>
    </w:pPr>
    <w:rPr>
      <w:sz w:val="21"/>
    </w:rPr>
  </w:style>
  <w:style w:type="paragraph" w:customStyle="1" w:styleId="TitleCover">
    <w:name w:val="Title Cover"/>
    <w:next w:val="a7"/>
    <w:qFormat/>
    <w:pPr>
      <w:spacing w:before="720" w:after="160" w:line="278" w:lineRule="auto"/>
      <w:jc w:val="center"/>
    </w:pPr>
    <w:rPr>
      <w:sz w:val="48"/>
    </w:rPr>
  </w:style>
  <w:style w:type="paragraph" w:customStyle="1" w:styleId="HeadingBase">
    <w:name w:val="Heading Base"/>
    <w:basedOn w:val="a7"/>
    <w:next w:val="aff2"/>
    <w:qFormat/>
    <w:pPr>
      <w:keepNext/>
      <w:keepLines/>
      <w:widowControl/>
      <w:overflowPunct w:val="0"/>
      <w:autoSpaceDE w:val="0"/>
      <w:autoSpaceDN w:val="0"/>
      <w:adjustRightInd w:val="0"/>
      <w:spacing w:before="240" w:after="120" w:line="360" w:lineRule="auto"/>
      <w:ind w:firstLineChars="200" w:firstLine="420"/>
      <w:textAlignment w:val="baseline"/>
    </w:pPr>
    <w:rPr>
      <w:rFonts w:ascii="Arial" w:hAnsi="Arial"/>
      <w:b/>
      <w:kern w:val="28"/>
      <w:sz w:val="36"/>
      <w:szCs w:val="20"/>
    </w:rPr>
  </w:style>
  <w:style w:type="paragraph" w:customStyle="1" w:styleId="410">
    <w:name w:val="小4黑居中行1"/>
    <w:qFormat/>
    <w:pPr>
      <w:widowControl w:val="0"/>
      <w:spacing w:after="160" w:line="278" w:lineRule="auto"/>
      <w:jc w:val="center"/>
    </w:pPr>
    <w:rPr>
      <w:kern w:val="2"/>
      <w:sz w:val="24"/>
      <w:szCs w:val="24"/>
    </w:rPr>
  </w:style>
  <w:style w:type="paragraph" w:customStyle="1" w:styleId="11H1H11H12b11460">
    <w:name w:val="样式 标题 1章标1H1H11H12b1 + 黑体 14 磅 黑色 段前: 6 磅 段后: 0 磅 字距调..."/>
    <w:basedOn w:val="1"/>
    <w:next w:val="affff7"/>
    <w:qFormat/>
    <w:pPr>
      <w:keepNext/>
      <w:keepLines/>
      <w:numPr>
        <w:numId w:val="0"/>
      </w:numPr>
      <w:snapToGrid/>
      <w:spacing w:beforeLines="0" w:before="0" w:after="160"/>
      <w:ind w:left="432"/>
    </w:pPr>
    <w:rPr>
      <w:rFonts w:ascii="黑体" w:eastAsia="黑体" w:hAnsi="黑体" w:cs="宋体"/>
      <w:b/>
      <w:bCs/>
      <w:color w:val="000000"/>
      <w:kern w:val="32"/>
      <w:sz w:val="28"/>
      <w:szCs w:val="20"/>
    </w:rPr>
  </w:style>
  <w:style w:type="paragraph" w:customStyle="1" w:styleId="2fff8">
    <w:name w:val="首行缩进:  2 字符"/>
    <w:basedOn w:val="a7"/>
    <w:qFormat/>
    <w:pPr>
      <w:snapToGrid w:val="0"/>
      <w:spacing w:after="160" w:line="300" w:lineRule="auto"/>
      <w:ind w:firstLineChars="200" w:firstLine="480"/>
      <w:jc w:val="left"/>
    </w:pPr>
    <w:rPr>
      <w:sz w:val="24"/>
      <w:szCs w:val="20"/>
    </w:rPr>
  </w:style>
  <w:style w:type="paragraph" w:customStyle="1" w:styleId="2fff9">
    <w:name w:val="样式 五号 居中 首行缩进:  2 字符"/>
    <w:basedOn w:val="a7"/>
    <w:uiPriority w:val="99"/>
    <w:semiHidden/>
    <w:qFormat/>
    <w:pPr>
      <w:spacing w:after="160" w:line="278" w:lineRule="auto"/>
      <w:jc w:val="center"/>
    </w:pPr>
    <w:rPr>
      <w:rFonts w:cs="宋体"/>
      <w:spacing w:val="8"/>
      <w:szCs w:val="20"/>
    </w:rPr>
  </w:style>
  <w:style w:type="paragraph" w:customStyle="1" w:styleId="CharCharCharCharCharChar0">
    <w:name w:val="样式 正文缩进文本条款首行缩进两字正文（首行缩进两字） Char Char Char Char Char Char正文（..."/>
    <w:basedOn w:val="af3"/>
    <w:qFormat/>
    <w:pPr>
      <w:widowControl/>
      <w:adjustRightInd w:val="0"/>
      <w:snapToGrid w:val="0"/>
      <w:spacing w:after="160" w:line="440" w:lineRule="atLeast"/>
      <w:ind w:firstLine="200"/>
      <w:jc w:val="left"/>
    </w:pPr>
    <w:rPr>
      <w:rFonts w:ascii="Calibri" w:hAnsi="宋体" w:cs="宋体"/>
      <w:sz w:val="24"/>
      <w:szCs w:val="20"/>
    </w:rPr>
  </w:style>
  <w:style w:type="paragraph" w:customStyle="1" w:styleId="22CharTimesNewRoman">
    <w:name w:val="样式 标题 2标题 2 Char + (西文) Times New Roman (中文) 宋体 小四"/>
    <w:basedOn w:val="21"/>
    <w:qFormat/>
    <w:pPr>
      <w:keepNext/>
      <w:keepLines/>
      <w:numPr>
        <w:ilvl w:val="0"/>
        <w:numId w:val="0"/>
      </w:numPr>
      <w:snapToGrid/>
      <w:spacing w:beforeLines="50" w:before="260" w:afterLines="50" w:after="260" w:line="500" w:lineRule="exact"/>
      <w:jc w:val="both"/>
    </w:pPr>
    <w:rPr>
      <w:b w:val="0"/>
      <w:bCs w:val="0"/>
      <w:smallCaps w:val="0"/>
      <w:color w:val="auto"/>
      <w:kern w:val="0"/>
      <w:sz w:val="28"/>
      <w:szCs w:val="20"/>
    </w:rPr>
  </w:style>
  <w:style w:type="paragraph" w:customStyle="1" w:styleId="CharCharCharCharCharCharCharCharCharCharCharChar1CharCharCharCharCharCharCharCharCharCharCharChar1">
    <w:name w:val="Char Char Char Char Char Char Char Char Char Char Char Char1 Char Char Char Char Char Char Char Char Char Char Char Char1"/>
    <w:basedOn w:val="a7"/>
    <w:next w:val="a7"/>
    <w:qFormat/>
    <w:pPr>
      <w:snapToGrid w:val="0"/>
      <w:spacing w:after="160" w:line="336" w:lineRule="auto"/>
      <w:ind w:firstLineChars="200" w:firstLine="200"/>
      <w:jc w:val="left"/>
    </w:pPr>
    <w:rPr>
      <w:rFonts w:ascii="宋体" w:eastAsia="汉鼎简书宋" w:hAnsi="宋体"/>
      <w:sz w:val="24"/>
      <w:szCs w:val="20"/>
    </w:rPr>
  </w:style>
  <w:style w:type="paragraph" w:customStyle="1" w:styleId="affffffffffffffffffffff2">
    <w:name w:val="机密、页码、日期"/>
    <w:qFormat/>
    <w:pPr>
      <w:widowControl w:val="0"/>
      <w:spacing w:after="160" w:line="278" w:lineRule="auto"/>
      <w:jc w:val="both"/>
    </w:pPr>
    <w:rPr>
      <w:kern w:val="2"/>
      <w:sz w:val="21"/>
    </w:rPr>
  </w:style>
  <w:style w:type="paragraph" w:customStyle="1" w:styleId="116">
    <w:name w:val="尾注文本11"/>
    <w:basedOn w:val="110"/>
    <w:qFormat/>
    <w:pPr>
      <w:spacing w:after="160"/>
      <w:ind w:firstLineChars="0" w:firstLine="0"/>
    </w:pPr>
    <w:rPr>
      <w:rFonts w:ascii="宋体"/>
      <w:kern w:val="2"/>
      <w:sz w:val="21"/>
      <w:szCs w:val="22"/>
    </w:rPr>
  </w:style>
  <w:style w:type="paragraph" w:customStyle="1" w:styleId="11051">
    <w:name w:val="样式 1.1二级标题 + 段前: 0.5 行1"/>
    <w:basedOn w:val="a7"/>
    <w:qFormat/>
    <w:pPr>
      <w:spacing w:beforeLines="50" w:after="160" w:line="360" w:lineRule="auto"/>
      <w:ind w:left="11"/>
      <w:outlineLvl w:val="1"/>
    </w:pPr>
    <w:rPr>
      <w:rFonts w:ascii="Calibri" w:eastAsia="黑体" w:hAnsi="Calibri" w:cs="宋体"/>
      <w:sz w:val="30"/>
      <w:szCs w:val="22"/>
    </w:rPr>
  </w:style>
  <w:style w:type="paragraph" w:customStyle="1" w:styleId="xl101">
    <w:name w:val="xl101"/>
    <w:basedOn w:val="a7"/>
    <w:qFormat/>
    <w:pPr>
      <w:widowControl/>
      <w:shd w:val="clear" w:color="000000" w:fill="FFFFFF"/>
      <w:snapToGrid w:val="0"/>
      <w:spacing w:before="100" w:beforeAutospacing="1" w:after="100" w:afterAutospacing="1" w:line="278" w:lineRule="auto"/>
      <w:jc w:val="left"/>
    </w:pPr>
    <w:rPr>
      <w:kern w:val="0"/>
      <w:sz w:val="24"/>
    </w:rPr>
  </w:style>
  <w:style w:type="paragraph" w:customStyle="1" w:styleId="3099">
    <w:name w:val="样式 标题 3 + 首行缩进:  0.99 厘米"/>
    <w:basedOn w:val="31"/>
    <w:semiHidden/>
    <w:qFormat/>
    <w:pPr>
      <w:keepNext/>
      <w:keepLines/>
      <w:numPr>
        <w:ilvl w:val="0"/>
        <w:numId w:val="0"/>
      </w:numPr>
      <w:tabs>
        <w:tab w:val="left" w:pos="454"/>
      </w:tabs>
      <w:spacing w:beforeLines="0" w:before="0" w:afterLines="0" w:after="0"/>
      <w:textAlignment w:val="auto"/>
    </w:pPr>
    <w:rPr>
      <w:rFonts w:cs="宋体"/>
      <w:b w:val="0"/>
      <w:bCs w:val="0"/>
      <w:color w:val="auto"/>
      <w:sz w:val="28"/>
      <w:szCs w:val="20"/>
      <w:lang w:val="en-US"/>
    </w:rPr>
  </w:style>
  <w:style w:type="paragraph" w:customStyle="1" w:styleId="22CharChar1">
    <w:name w:val="样式 标题 2标题 2 Char Char + 宋体1"/>
    <w:basedOn w:val="21"/>
    <w:qFormat/>
    <w:pPr>
      <w:keepNext/>
      <w:keepLines/>
      <w:widowControl/>
      <w:numPr>
        <w:ilvl w:val="0"/>
        <w:numId w:val="0"/>
      </w:numPr>
      <w:tabs>
        <w:tab w:val="left" w:pos="851"/>
        <w:tab w:val="right" w:pos="8640"/>
      </w:tabs>
      <w:overflowPunct w:val="0"/>
      <w:autoSpaceDE w:val="0"/>
      <w:autoSpaceDN w:val="0"/>
      <w:adjustRightInd w:val="0"/>
      <w:snapToGrid/>
      <w:spacing w:beforeLines="0" w:before="120" w:afterLines="0" w:after="120" w:line="440" w:lineRule="exact"/>
      <w:ind w:left="576" w:hanging="576"/>
      <w:textAlignment w:val="baseline"/>
    </w:pPr>
    <w:rPr>
      <w:rFonts w:ascii="宋体" w:eastAsia="宋体" w:hAnsi="宋体"/>
      <w:bCs w:val="0"/>
      <w:smallCaps w:val="0"/>
      <w:color w:val="auto"/>
      <w:kern w:val="28"/>
      <w:sz w:val="24"/>
      <w:szCs w:val="24"/>
    </w:rPr>
  </w:style>
  <w:style w:type="paragraph" w:customStyle="1" w:styleId="s16qcsl240slmult0nowidct">
    <w:name w:val="s16qcsl240slmult0nowidct"/>
    <w:semiHidden/>
    <w:qFormat/>
    <w:pPr>
      <w:widowControl w:val="0"/>
      <w:adjustRightInd w:val="0"/>
      <w:spacing w:after="160" w:line="278" w:lineRule="auto"/>
      <w:textAlignment w:val="baseline"/>
    </w:pPr>
    <w:rPr>
      <w:sz w:val="21"/>
    </w:rPr>
  </w:style>
  <w:style w:type="paragraph" w:customStyle="1" w:styleId="tout">
    <w:name w:val="tout"/>
    <w:basedOn w:val="a7"/>
    <w:qFormat/>
    <w:pPr>
      <w:widowControl/>
      <w:shd w:val="clear" w:color="auto" w:fill="FFFFFF"/>
      <w:spacing w:before="100" w:beforeAutospacing="1" w:after="100" w:afterAutospacing="1" w:line="278" w:lineRule="auto"/>
      <w:jc w:val="left"/>
    </w:pPr>
    <w:rPr>
      <w:rFonts w:ascii="Arial Unicode MS" w:eastAsia="Arial Unicode MS" w:hAnsi="Arial Unicode MS" w:cs="Arial Unicode MS"/>
      <w:kern w:val="0"/>
      <w:sz w:val="24"/>
    </w:rPr>
  </w:style>
  <w:style w:type="paragraph" w:customStyle="1" w:styleId="142">
    <w:name w:val="标题 1红4号"/>
    <w:basedOn w:val="1"/>
    <w:qFormat/>
    <w:pPr>
      <w:keepNext/>
      <w:keepLines/>
      <w:numPr>
        <w:numId w:val="0"/>
      </w:numPr>
      <w:shd w:val="clear" w:color="auto" w:fill="FFFFFF"/>
      <w:tabs>
        <w:tab w:val="left" w:pos="210"/>
      </w:tabs>
      <w:kinsoku w:val="0"/>
      <w:overflowPunct w:val="0"/>
      <w:autoSpaceDE w:val="0"/>
      <w:autoSpaceDN w:val="0"/>
      <w:snapToGrid/>
      <w:spacing w:beforeLines="0" w:before="0" w:after="160" w:line="278" w:lineRule="auto"/>
      <w:ind w:firstLineChars="200" w:firstLine="200"/>
      <w:jc w:val="center"/>
    </w:pPr>
    <w:rPr>
      <w:rFonts w:ascii="宋体" w:eastAsia="楷体_GB2312" w:hAnsi="宋体"/>
      <w:b/>
      <w:color w:val="FF6600"/>
      <w:sz w:val="28"/>
      <w:szCs w:val="28"/>
    </w:rPr>
  </w:style>
  <w:style w:type="paragraph" w:customStyle="1" w:styleId="xl41">
    <w:name w:val="xl41"/>
    <w:basedOn w:val="a7"/>
    <w:uiPriority w:val="99"/>
    <w:qFormat/>
    <w:pPr>
      <w:widowControl/>
      <w:pBdr>
        <w:top w:val="single" w:sz="4" w:space="0" w:color="auto"/>
        <w:left w:val="single" w:sz="4" w:space="0" w:color="auto"/>
        <w:bottom w:val="single" w:sz="4" w:space="0" w:color="auto"/>
      </w:pBdr>
      <w:spacing w:before="100" w:after="100" w:line="360" w:lineRule="auto"/>
      <w:ind w:firstLine="482"/>
      <w:jc w:val="center"/>
      <w:textAlignment w:val="center"/>
    </w:pPr>
    <w:rPr>
      <w:kern w:val="0"/>
      <w:sz w:val="24"/>
    </w:rPr>
  </w:style>
  <w:style w:type="paragraph" w:customStyle="1" w:styleId="affffffffffffffffffffff3">
    <w:name w:val="表第一列"/>
    <w:basedOn w:val="affff7"/>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s="Times New Roman"/>
      <w:color w:val="000000"/>
      <w:spacing w:val="-4"/>
      <w:sz w:val="21"/>
      <w:szCs w:val="20"/>
    </w:rPr>
  </w:style>
  <w:style w:type="paragraph" w:customStyle="1" w:styleId="117">
    <w:name w:val="页脚11"/>
    <w:semiHidden/>
    <w:qFormat/>
    <w:pPr>
      <w:pBdr>
        <w:top w:val="single" w:sz="4" w:space="1" w:color="auto"/>
      </w:pBdr>
      <w:autoSpaceDE w:val="0"/>
      <w:autoSpaceDN w:val="0"/>
      <w:adjustRightInd w:val="0"/>
      <w:spacing w:after="160" w:line="278" w:lineRule="auto"/>
    </w:pPr>
    <w:rPr>
      <w:sz w:val="18"/>
      <w:lang w:val="zh-CN"/>
    </w:rPr>
  </w:style>
  <w:style w:type="paragraph" w:customStyle="1" w:styleId="affffffffffffffffffffff4">
    <w:name w:val="基准页眉样式"/>
    <w:basedOn w:val="aff2"/>
    <w:qFormat/>
    <w:pPr>
      <w:snapToGrid w:val="0"/>
      <w:spacing w:before="0" w:line="360" w:lineRule="auto"/>
      <w:ind w:left="0" w:firstLine="482"/>
      <w:jc w:val="center"/>
    </w:pPr>
    <w:rPr>
      <w:color w:val="000000"/>
      <w:kern w:val="2"/>
      <w:sz w:val="21"/>
      <w:szCs w:val="21"/>
      <w:lang w:eastAsia="zh-CN"/>
    </w:rPr>
  </w:style>
  <w:style w:type="paragraph" w:customStyle="1" w:styleId="CompanyName">
    <w:name w:val="Company Name"/>
    <w:basedOn w:val="aff2"/>
    <w:qFormat/>
    <w:pPr>
      <w:widowControl/>
      <w:overflowPunct w:val="0"/>
      <w:autoSpaceDE w:val="0"/>
      <w:autoSpaceDN w:val="0"/>
      <w:adjustRightInd w:val="0"/>
      <w:spacing w:before="0" w:line="360" w:lineRule="auto"/>
      <w:ind w:left="0" w:firstLineChars="200" w:firstLine="420"/>
      <w:jc w:val="both"/>
      <w:textAlignment w:val="baseline"/>
    </w:pPr>
    <w:rPr>
      <w:rFonts w:ascii="Times New Roman" w:hAnsi="Times New Roman"/>
      <w:caps/>
      <w:sz w:val="20"/>
      <w:szCs w:val="20"/>
      <w:lang w:eastAsia="zh-CN"/>
    </w:rPr>
  </w:style>
  <w:style w:type="paragraph" w:customStyle="1" w:styleId="-GF">
    <w:name w:val="正文-GF"/>
    <w:basedOn w:val="a7"/>
    <w:next w:val="a7"/>
    <w:qFormat/>
    <w:pPr>
      <w:widowControl/>
      <w:adjustRightInd w:val="0"/>
      <w:snapToGrid w:val="0"/>
      <w:spacing w:after="160" w:line="500" w:lineRule="exact"/>
      <w:ind w:firstLineChars="200" w:firstLine="480"/>
      <w:jc w:val="left"/>
    </w:pPr>
    <w:rPr>
      <w:rFonts w:ascii="宋体" w:cs="宋体"/>
      <w:kern w:val="0"/>
      <w:sz w:val="24"/>
    </w:rPr>
  </w:style>
  <w:style w:type="paragraph" w:customStyle="1" w:styleId="44CharCharL44Char1111Char111141">
    <w:name w:val="样式 标题 4标题 4 Char CharL4标题 4 Char1.1.1.1 Char1.1.1.1标题 4.1...."/>
    <w:basedOn w:val="41"/>
    <w:semiHidden/>
    <w:qFormat/>
    <w:pPr>
      <w:keepNext/>
      <w:keepLines/>
      <w:numPr>
        <w:ilvl w:val="0"/>
        <w:numId w:val="0"/>
      </w:numPr>
      <w:tabs>
        <w:tab w:val="clear" w:pos="864"/>
      </w:tabs>
      <w:spacing w:beforeLines="0" w:before="0" w:afterLines="0" w:after="0"/>
      <w:jc w:val="both"/>
      <w:textAlignment w:val="auto"/>
    </w:pPr>
    <w:rPr>
      <w:rFonts w:eastAsia="黑体" w:hAnsi="黑体" w:cs="宋体"/>
      <w:color w:val="auto"/>
      <w:sz w:val="24"/>
      <w:szCs w:val="20"/>
      <w:lang w:val="en-US"/>
    </w:rPr>
  </w:style>
  <w:style w:type="paragraph" w:customStyle="1" w:styleId="line20">
    <w:name w:val="line20"/>
    <w:basedOn w:val="a7"/>
    <w:qFormat/>
    <w:pPr>
      <w:widowControl/>
      <w:spacing w:before="100" w:beforeAutospacing="1" w:after="100" w:afterAutospacing="1" w:line="315" w:lineRule="atLeast"/>
      <w:ind w:firstLineChars="200" w:firstLine="482"/>
      <w:jc w:val="left"/>
    </w:pPr>
    <w:rPr>
      <w:rFonts w:ascii="仿宋_GB2312" w:eastAsia="仿宋_GB2312" w:hAnsi="宋体" w:cs="宋体"/>
      <w:kern w:val="0"/>
      <w:sz w:val="24"/>
    </w:rPr>
  </w:style>
  <w:style w:type="paragraph" w:customStyle="1" w:styleId="3SLCON">
    <w:name w:val="标题 3 SL CON"/>
    <w:basedOn w:val="a7"/>
    <w:next w:val="a7"/>
    <w:qFormat/>
    <w:pPr>
      <w:keepNext/>
      <w:keepLines/>
      <w:widowControl/>
      <w:tabs>
        <w:tab w:val="left" w:pos="850"/>
        <w:tab w:val="left" w:pos="960"/>
      </w:tabs>
      <w:snapToGrid w:val="0"/>
      <w:spacing w:before="100" w:beforeAutospacing="1" w:after="160" w:line="360" w:lineRule="auto"/>
      <w:ind w:left="850" w:hanging="681"/>
      <w:jc w:val="left"/>
      <w:outlineLvl w:val="2"/>
    </w:pPr>
    <w:rPr>
      <w:rFonts w:eastAsia="黑体" w:cs="宋体"/>
      <w:kern w:val="0"/>
      <w:sz w:val="24"/>
    </w:rPr>
  </w:style>
  <w:style w:type="paragraph" w:customStyle="1" w:styleId="a-a">
    <w:name w:val="a-图"/>
    <w:next w:val="af5"/>
    <w:qFormat/>
    <w:pPr>
      <w:autoSpaceDE w:val="0"/>
      <w:autoSpaceDN w:val="0"/>
      <w:adjustRightInd w:val="0"/>
      <w:snapToGrid w:val="0"/>
      <w:spacing w:after="160" w:line="278" w:lineRule="auto"/>
      <w:jc w:val="center"/>
    </w:pPr>
    <w:rPr>
      <w:b/>
      <w:bCs/>
      <w:color w:val="000000"/>
      <w:sz w:val="24"/>
      <w:szCs w:val="21"/>
    </w:rPr>
  </w:style>
  <w:style w:type="paragraph" w:customStyle="1" w:styleId="affffffffffffffffffffff5">
    <w:name w:val="文本框图"/>
    <w:qFormat/>
    <w:pPr>
      <w:autoSpaceDE w:val="0"/>
      <w:autoSpaceDN w:val="0"/>
      <w:spacing w:after="160" w:line="360" w:lineRule="auto"/>
      <w:ind w:firstLineChars="200" w:firstLine="420"/>
      <w:jc w:val="both"/>
    </w:pPr>
    <w:rPr>
      <w:rFonts w:ascii="宋体" w:hAnsi="宋体" w:cs="宋体"/>
      <w:color w:val="000000"/>
      <w:lang w:val="zh-CN"/>
    </w:rPr>
  </w:style>
  <w:style w:type="paragraph" w:customStyle="1" w:styleId="affffffffffffffffffffff6">
    <w:name w:val="文本框"/>
    <w:basedOn w:val="a7"/>
    <w:qFormat/>
    <w:pPr>
      <w:adjustRightInd w:val="0"/>
      <w:snapToGrid w:val="0"/>
      <w:spacing w:after="160" w:line="300" w:lineRule="exact"/>
      <w:jc w:val="center"/>
    </w:pPr>
    <w:rPr>
      <w:sz w:val="24"/>
    </w:rPr>
  </w:style>
  <w:style w:type="paragraph" w:customStyle="1" w:styleId="44H4H4141H42H411142H43H4122">
    <w:name w:val="样式 标题 4河石管道4H4H41小小节河石管道41H42H411小小节1河石管道42H43H412小小...2"/>
    <w:basedOn w:val="41"/>
    <w:qFormat/>
    <w:pPr>
      <w:keepNext/>
      <w:keepLines/>
      <w:numPr>
        <w:ilvl w:val="0"/>
        <w:numId w:val="0"/>
      </w:numPr>
      <w:tabs>
        <w:tab w:val="clear" w:pos="864"/>
      </w:tabs>
      <w:adjustRightInd/>
      <w:snapToGrid/>
      <w:spacing w:beforeLines="0" w:before="160" w:afterLines="0"/>
      <w:ind w:left="664" w:hanging="864"/>
      <w:textAlignment w:val="auto"/>
    </w:pPr>
    <w:rPr>
      <w:rFonts w:ascii="黑体" w:eastAsia="黑体" w:hAnsi="Arial"/>
      <w:color w:val="000000"/>
      <w:sz w:val="24"/>
      <w:lang w:val="en-US"/>
    </w:rPr>
  </w:style>
  <w:style w:type="paragraph" w:customStyle="1" w:styleId="1fff8">
    <w:name w:val="样式 标题 1 + 小二 居中"/>
    <w:basedOn w:val="1"/>
    <w:uiPriority w:val="99"/>
    <w:qFormat/>
    <w:pPr>
      <w:keepNext/>
      <w:keepLines/>
      <w:numPr>
        <w:numId w:val="0"/>
      </w:numPr>
      <w:tabs>
        <w:tab w:val="left" w:pos="1260"/>
      </w:tabs>
      <w:snapToGrid/>
      <w:spacing w:beforeLines="0" w:before="0" w:after="600" w:line="278" w:lineRule="auto"/>
      <w:jc w:val="center"/>
    </w:pPr>
    <w:rPr>
      <w:rFonts w:eastAsia="黑体"/>
      <w:color w:val="FF0000"/>
      <w:sz w:val="36"/>
      <w:szCs w:val="20"/>
    </w:rPr>
  </w:style>
  <w:style w:type="paragraph" w:customStyle="1" w:styleId="4A0">
    <w:name w:val="标题4A"/>
    <w:basedOn w:val="a7"/>
    <w:next w:val="a7"/>
    <w:uiPriority w:val="99"/>
    <w:qFormat/>
    <w:pPr>
      <w:snapToGrid w:val="0"/>
      <w:spacing w:after="160" w:line="300" w:lineRule="auto"/>
      <w:jc w:val="left"/>
    </w:pPr>
    <w:rPr>
      <w:sz w:val="24"/>
    </w:rPr>
  </w:style>
  <w:style w:type="paragraph" w:customStyle="1" w:styleId="1fff9">
    <w:name w:val="1表格"/>
    <w:basedOn w:val="a7"/>
    <w:uiPriority w:val="99"/>
    <w:qFormat/>
    <w:pPr>
      <w:snapToGrid w:val="0"/>
      <w:spacing w:after="160" w:line="300" w:lineRule="auto"/>
      <w:ind w:firstLine="482"/>
      <w:jc w:val="center"/>
    </w:pPr>
    <w:rPr>
      <w:color w:val="000000"/>
      <w:spacing w:val="4"/>
      <w:kern w:val="0"/>
      <w:sz w:val="24"/>
    </w:rPr>
  </w:style>
  <w:style w:type="paragraph" w:customStyle="1" w:styleId="11-h11stlevelSectionHeadl1b1Char0">
    <w:name w:val="样式 标题 1章标题 1-*+h11st levelSection Headl1b1Char + 宋体 三号"/>
    <w:basedOn w:val="1"/>
    <w:uiPriority w:val="99"/>
    <w:semiHidden/>
    <w:qFormat/>
    <w:pPr>
      <w:keepNext/>
      <w:keepLines/>
      <w:numPr>
        <w:numId w:val="0"/>
      </w:numPr>
      <w:snapToGrid/>
      <w:spacing w:beforeLines="0" w:before="340" w:after="330" w:line="578" w:lineRule="auto"/>
      <w:jc w:val="center"/>
    </w:pPr>
    <w:rPr>
      <w:rFonts w:ascii="宋体" w:eastAsia="宋体" w:hAnsi="宋体"/>
      <w:b/>
      <w:bCs/>
      <w:sz w:val="32"/>
      <w:szCs w:val="44"/>
    </w:rPr>
  </w:style>
  <w:style w:type="paragraph" w:customStyle="1" w:styleId="font10">
    <w:name w:val="font10"/>
    <w:basedOn w:val="a7"/>
    <w:qFormat/>
    <w:pPr>
      <w:widowControl/>
      <w:spacing w:before="100" w:beforeAutospacing="1" w:after="100" w:afterAutospacing="1" w:line="360" w:lineRule="auto"/>
      <w:ind w:firstLine="482"/>
      <w:jc w:val="left"/>
    </w:pPr>
    <w:rPr>
      <w:kern w:val="0"/>
      <w:sz w:val="11"/>
      <w:szCs w:val="11"/>
    </w:rPr>
  </w:style>
  <w:style w:type="paragraph" w:customStyle="1" w:styleId="158">
    <w:name w:val="样式 宋体 四号 行距: 1.5 倍行距"/>
    <w:basedOn w:val="a7"/>
    <w:qFormat/>
    <w:pPr>
      <w:tabs>
        <w:tab w:val="left" w:pos="840"/>
      </w:tabs>
      <w:snapToGrid w:val="0"/>
      <w:spacing w:after="160" w:line="360" w:lineRule="auto"/>
      <w:ind w:right="-170" w:firstLineChars="200" w:firstLine="480"/>
    </w:pPr>
    <w:rPr>
      <w:rFonts w:ascii="宋体" w:hAnsi="宋体"/>
      <w:kern w:val="0"/>
      <w:sz w:val="24"/>
    </w:rPr>
  </w:style>
  <w:style w:type="paragraph" w:customStyle="1" w:styleId="Char1CharCharCharCharCharChar11">
    <w:name w:val="Char1 Char Char Char Char Char Char11"/>
    <w:basedOn w:val="a7"/>
    <w:qFormat/>
    <w:pPr>
      <w:keepNext/>
      <w:keepLines/>
      <w:spacing w:after="160" w:line="240" w:lineRule="exact"/>
      <w:ind w:firstLine="482"/>
      <w:jc w:val="left"/>
    </w:pPr>
    <w:rPr>
      <w:rFonts w:ascii="宋体" w:hAnsi="宋体"/>
      <w:b/>
      <w:kern w:val="0"/>
      <w:sz w:val="44"/>
      <w:szCs w:val="44"/>
      <w:lang w:eastAsia="en-US"/>
    </w:rPr>
  </w:style>
  <w:style w:type="paragraph" w:customStyle="1" w:styleId="050">
    <w:name w:val="样式 第一章章节 + 段后: 0.5 行"/>
    <w:qFormat/>
    <w:pPr>
      <w:spacing w:after="160" w:line="278" w:lineRule="auto"/>
    </w:pPr>
    <w:rPr>
      <w:rFonts w:cs="宋体"/>
      <w:bCs/>
    </w:rPr>
  </w:style>
  <w:style w:type="paragraph" w:customStyle="1" w:styleId="affffffffffffffffffffff7">
    <w:name w:val="第一章章节"/>
    <w:basedOn w:val="1"/>
    <w:uiPriority w:val="99"/>
    <w:qFormat/>
    <w:pPr>
      <w:keepNext/>
      <w:numPr>
        <w:numId w:val="0"/>
      </w:numPr>
      <w:snapToGrid/>
      <w:spacing w:beforeLines="0" w:before="0" w:afterLines="50" w:after="330"/>
      <w:ind w:left="2159" w:hanging="1619"/>
      <w:jc w:val="center"/>
    </w:pPr>
    <w:rPr>
      <w:rFonts w:eastAsia="隶书"/>
      <w:b/>
      <w:color w:val="000000"/>
      <w:kern w:val="2"/>
      <w:szCs w:val="44"/>
    </w:rPr>
  </w:style>
  <w:style w:type="paragraph" w:customStyle="1" w:styleId="out">
    <w:name w:val="out"/>
    <w:basedOn w:val="a7"/>
    <w:qFormat/>
    <w:pPr>
      <w:widowControl/>
      <w:pBdr>
        <w:top w:val="single" w:sz="6" w:space="0" w:color="EFEFEF"/>
        <w:left w:val="single" w:sz="6" w:space="0" w:color="EFEFEF"/>
      </w:pBdr>
      <w:shd w:val="clear" w:color="auto" w:fill="FFFFFF"/>
      <w:spacing w:before="100" w:beforeAutospacing="1" w:after="100" w:afterAutospacing="1" w:line="278" w:lineRule="auto"/>
      <w:jc w:val="left"/>
    </w:pPr>
    <w:rPr>
      <w:rFonts w:ascii="Arial Unicode MS" w:eastAsia="Arial Unicode MS" w:hAnsi="Arial Unicode MS" w:cs="Arial Unicode MS"/>
      <w:color w:val="000000"/>
      <w:kern w:val="0"/>
      <w:sz w:val="18"/>
      <w:szCs w:val="18"/>
    </w:rPr>
  </w:style>
  <w:style w:type="paragraph" w:customStyle="1" w:styleId="Body">
    <w:name w:val="Body"/>
    <w:qFormat/>
    <w:pPr>
      <w:widowControl w:val="0"/>
      <w:tabs>
        <w:tab w:val="left" w:pos="566"/>
      </w:tabs>
      <w:autoSpaceDE w:val="0"/>
      <w:autoSpaceDN w:val="0"/>
      <w:adjustRightInd w:val="0"/>
      <w:spacing w:after="160" w:line="280" w:lineRule="exact"/>
      <w:jc w:val="both"/>
    </w:pPr>
    <w:rPr>
      <w:color w:val="808080"/>
      <w:sz w:val="24"/>
    </w:rPr>
  </w:style>
  <w:style w:type="paragraph" w:customStyle="1" w:styleId="xl215">
    <w:name w:val="xl215"/>
    <w:basedOn w:val="a7"/>
    <w:qFormat/>
    <w:pPr>
      <w:widowControl/>
      <w:pBdr>
        <w:left w:val="single" w:sz="8" w:space="0" w:color="auto"/>
        <w:bottom w:val="single" w:sz="8"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02">
    <w:name w:val="标题0"/>
    <w:basedOn w:val="a7"/>
    <w:next w:val="a7"/>
    <w:uiPriority w:val="99"/>
    <w:qFormat/>
    <w:pPr>
      <w:spacing w:beforeLines="200" w:afterLines="200" w:after="160" w:line="240" w:lineRule="atLeast"/>
      <w:jc w:val="center"/>
    </w:pPr>
    <w:rPr>
      <w:rFonts w:eastAsia="黑体"/>
      <w:sz w:val="36"/>
    </w:rPr>
  </w:style>
  <w:style w:type="paragraph" w:customStyle="1" w:styleId="affffffffffffffffffffff8">
    <w:name w:val="表样式"/>
    <w:basedOn w:val="a7"/>
    <w:qFormat/>
    <w:pPr>
      <w:spacing w:after="160" w:line="480" w:lineRule="exact"/>
      <w:ind w:firstLine="482"/>
      <w:jc w:val="center"/>
    </w:pPr>
    <w:rPr>
      <w:rFonts w:ascii="宋体" w:hAnsi="宋体"/>
      <w:kern w:val="0"/>
      <w:sz w:val="24"/>
    </w:rPr>
  </w:style>
  <w:style w:type="paragraph" w:customStyle="1" w:styleId="affffffffffffffffffffff9">
    <w:name w:val="正文排版"/>
    <w:basedOn w:val="a7"/>
    <w:qFormat/>
    <w:pPr>
      <w:spacing w:after="160" w:line="500" w:lineRule="exact"/>
      <w:ind w:firstLineChars="200" w:firstLine="560"/>
    </w:pPr>
    <w:rPr>
      <w:rFonts w:ascii="宋体" w:hAnsi="宋体"/>
      <w:color w:val="000000"/>
      <w:kern w:val="0"/>
      <w:sz w:val="28"/>
      <w:szCs w:val="28"/>
    </w:rPr>
  </w:style>
  <w:style w:type="paragraph" w:customStyle="1" w:styleId="333">
    <w:name w:val="333"/>
    <w:basedOn w:val="a7"/>
    <w:qFormat/>
    <w:pPr>
      <w:adjustRightInd w:val="0"/>
      <w:snapToGrid w:val="0"/>
      <w:spacing w:after="160" w:line="360" w:lineRule="auto"/>
      <w:ind w:firstLine="482"/>
    </w:pPr>
    <w:rPr>
      <w:rFonts w:ascii="宋体" w:hAnsi="宋体"/>
      <w:b/>
      <w:kern w:val="0"/>
      <w:sz w:val="28"/>
      <w:szCs w:val="28"/>
    </w:rPr>
  </w:style>
  <w:style w:type="paragraph" w:customStyle="1" w:styleId="1CharCharChar">
    <w:name w:val="1 Char Char Char"/>
    <w:next w:val="2b"/>
    <w:uiPriority w:val="99"/>
    <w:semiHidden/>
    <w:qFormat/>
    <w:pPr>
      <w:snapToGrid w:val="0"/>
      <w:spacing w:after="160" w:line="360" w:lineRule="auto"/>
      <w:ind w:firstLineChars="200" w:firstLine="200"/>
    </w:pPr>
    <w:rPr>
      <w:rFonts w:eastAsia="仿宋_GB2312"/>
      <w:kern w:val="2"/>
      <w:sz w:val="24"/>
      <w:szCs w:val="24"/>
    </w:rPr>
  </w:style>
  <w:style w:type="paragraph" w:customStyle="1" w:styleId="affffffffffffffffffffffa">
    <w:name w:val="常用正文格式"/>
    <w:basedOn w:val="a7"/>
    <w:qFormat/>
    <w:pPr>
      <w:spacing w:after="160" w:line="360" w:lineRule="auto"/>
      <w:ind w:firstLineChars="200" w:firstLine="420"/>
    </w:pPr>
    <w:rPr>
      <w:rFonts w:cs="宋体"/>
      <w:sz w:val="24"/>
      <w:szCs w:val="20"/>
    </w:rPr>
  </w:style>
  <w:style w:type="paragraph" w:customStyle="1" w:styleId="33H3h33rdlevel2Char3Char23Char">
    <w:name w:val="样式 标题 3标题3H3h33rd level第二层条条标2Char标题 3 Char2标题 3 Char ..."/>
    <w:basedOn w:val="31"/>
    <w:semiHidden/>
    <w:qFormat/>
    <w:pPr>
      <w:keepNext/>
      <w:keepLines/>
      <w:numPr>
        <w:ilvl w:val="0"/>
        <w:numId w:val="0"/>
      </w:numPr>
      <w:tabs>
        <w:tab w:val="left" w:pos="454"/>
        <w:tab w:val="left" w:pos="709"/>
      </w:tabs>
      <w:spacing w:beforeLines="0" w:before="0" w:afterLines="0" w:after="0"/>
      <w:ind w:left="709" w:hanging="709"/>
    </w:pPr>
    <w:rPr>
      <w:rFonts w:ascii="宋体" w:eastAsia="宋体"/>
      <w:b w:val="0"/>
      <w:bCs w:val="0"/>
      <w:color w:val="auto"/>
      <w:sz w:val="28"/>
      <w:szCs w:val="20"/>
      <w:lang w:val="en-US"/>
    </w:rPr>
  </w:style>
  <w:style w:type="paragraph" w:customStyle="1" w:styleId="247">
    <w:name w:val="样式 首行缩进:  2.47 厘米"/>
    <w:basedOn w:val="a7"/>
    <w:uiPriority w:val="99"/>
    <w:semiHidden/>
    <w:qFormat/>
    <w:pPr>
      <w:spacing w:after="160" w:line="360" w:lineRule="auto"/>
      <w:ind w:firstLineChars="200" w:firstLine="200"/>
    </w:pPr>
    <w:rPr>
      <w:rFonts w:cs="宋体"/>
      <w:spacing w:val="8"/>
      <w:sz w:val="24"/>
    </w:rPr>
  </w:style>
  <w:style w:type="paragraph" w:customStyle="1" w:styleId="00000000000000000000000">
    <w:name w:val="00000000000000000000000"/>
    <w:basedOn w:val="a7"/>
    <w:qFormat/>
    <w:pPr>
      <w:spacing w:after="160" w:line="360" w:lineRule="auto"/>
      <w:ind w:firstLine="510"/>
    </w:pPr>
    <w:rPr>
      <w:sz w:val="24"/>
      <w:szCs w:val="20"/>
    </w:rPr>
  </w:style>
  <w:style w:type="paragraph" w:customStyle="1" w:styleId="affffffffffffffffffffffb">
    <w:name w:val="条题"/>
    <w:basedOn w:val="af3"/>
    <w:next w:val="af3"/>
    <w:uiPriority w:val="99"/>
    <w:qFormat/>
    <w:pPr>
      <w:tabs>
        <w:tab w:val="left" w:pos="360"/>
      </w:tabs>
      <w:spacing w:after="160"/>
      <w:ind w:left="360" w:firstLineChars="0" w:hanging="360"/>
    </w:pPr>
    <w:rPr>
      <w:rFonts w:cs="Times New Roman"/>
      <w:bCs/>
      <w:sz w:val="24"/>
      <w:szCs w:val="20"/>
    </w:rPr>
  </w:style>
  <w:style w:type="paragraph" w:customStyle="1" w:styleId="1fffa">
    <w:name w:val="表头标题1"/>
    <w:basedOn w:val="a7"/>
    <w:qFormat/>
    <w:pPr>
      <w:spacing w:before="156" w:after="160" w:line="360" w:lineRule="auto"/>
      <w:jc w:val="center"/>
    </w:pPr>
    <w:rPr>
      <w:rFonts w:ascii="黑体" w:eastAsia="黑体" w:cs="宋体"/>
      <w:b/>
      <w:bCs/>
      <w:sz w:val="24"/>
      <w:szCs w:val="20"/>
    </w:rPr>
  </w:style>
  <w:style w:type="paragraph" w:customStyle="1" w:styleId="229">
    <w:name w:val="样式 样式 首行缩进:  2 字符 + 首行缩进:  2 字符"/>
    <w:basedOn w:val="a7"/>
    <w:qFormat/>
    <w:pPr>
      <w:spacing w:after="160" w:line="440" w:lineRule="exact"/>
      <w:ind w:firstLineChars="200" w:firstLine="560"/>
    </w:pPr>
    <w:rPr>
      <w:rFonts w:eastAsia="楷体_GB2312" w:cs="宋体"/>
      <w:sz w:val="28"/>
      <w:szCs w:val="20"/>
    </w:rPr>
  </w:style>
  <w:style w:type="paragraph" w:customStyle="1" w:styleId="affffffffffffffffffffffc">
    <w:name w:val="环评节标题后小于节的标题"/>
    <w:qFormat/>
    <w:pPr>
      <w:spacing w:after="160" w:line="278" w:lineRule="auto"/>
    </w:pPr>
  </w:style>
  <w:style w:type="paragraph" w:customStyle="1" w:styleId="affffffffffffffffffffffd">
    <w:name w:val="环评小于节的标题"/>
    <w:basedOn w:val="a7"/>
    <w:qFormat/>
    <w:pPr>
      <w:spacing w:before="200" w:after="200" w:line="360" w:lineRule="auto"/>
      <w:jc w:val="left"/>
    </w:pPr>
    <w:rPr>
      <w:rFonts w:eastAsia="黑体"/>
      <w:b/>
      <w:spacing w:val="20"/>
      <w:sz w:val="24"/>
      <w:szCs w:val="20"/>
    </w:rPr>
  </w:style>
  <w:style w:type="paragraph" w:customStyle="1" w:styleId="1fffb">
    <w:name w:val="样式（1）"/>
    <w:basedOn w:val="1ff1"/>
    <w:qFormat/>
  </w:style>
  <w:style w:type="paragraph" w:customStyle="1" w:styleId="159">
    <w:name w:val="样式 小四 行距: 1.5 倍行距"/>
    <w:basedOn w:val="a7"/>
    <w:qFormat/>
    <w:pPr>
      <w:spacing w:after="160" w:line="360" w:lineRule="auto"/>
      <w:ind w:firstLineChars="250" w:firstLine="700"/>
    </w:pPr>
    <w:rPr>
      <w:rFonts w:ascii="Adobe 仿宋 Std R" w:eastAsia="Adobe 仿宋 Std R" w:hAnsi="Adobe 仿宋 Std R" w:cs="Courier New"/>
      <w:kern w:val="0"/>
      <w:sz w:val="28"/>
    </w:rPr>
  </w:style>
  <w:style w:type="paragraph" w:customStyle="1" w:styleId="affffffffffffffffffffffe">
    <w:name w:val="表中字"/>
    <w:semiHidden/>
    <w:qFormat/>
    <w:pPr>
      <w:widowControl w:val="0"/>
      <w:adjustRightInd w:val="0"/>
      <w:snapToGrid w:val="0"/>
      <w:spacing w:after="160" w:line="278" w:lineRule="auto"/>
      <w:jc w:val="center"/>
    </w:pPr>
    <w:rPr>
      <w:w w:val="90"/>
      <w:sz w:val="21"/>
    </w:rPr>
  </w:style>
  <w:style w:type="paragraph" w:customStyle="1" w:styleId="Char1CharCharChar">
    <w:name w:val="Char1 Char Char Char"/>
    <w:basedOn w:val="a7"/>
    <w:uiPriority w:val="99"/>
    <w:qFormat/>
    <w:pPr>
      <w:spacing w:after="160" w:line="360" w:lineRule="auto"/>
      <w:ind w:firstLineChars="200" w:firstLine="200"/>
    </w:pPr>
    <w:rPr>
      <w:rFonts w:ascii="宋体" w:hAnsi="宋体" w:cs="宋体"/>
      <w:kern w:val="0"/>
      <w:sz w:val="24"/>
    </w:rPr>
  </w:style>
  <w:style w:type="paragraph" w:customStyle="1" w:styleId="3ff2">
    <w:name w:val="3字符"/>
    <w:basedOn w:val="a7"/>
    <w:qFormat/>
    <w:pPr>
      <w:spacing w:after="160" w:line="500" w:lineRule="exact"/>
      <w:ind w:left="561" w:firstLineChars="100" w:firstLine="100"/>
    </w:pPr>
    <w:rPr>
      <w:kern w:val="0"/>
      <w:sz w:val="28"/>
      <w:szCs w:val="28"/>
    </w:rPr>
  </w:style>
  <w:style w:type="paragraph" w:customStyle="1" w:styleId="666666-">
    <w:name w:val="666666-表中文字"/>
    <w:basedOn w:val="a7"/>
    <w:qFormat/>
    <w:pPr>
      <w:spacing w:after="160" w:line="360" w:lineRule="auto"/>
      <w:ind w:firstLine="482"/>
      <w:jc w:val="center"/>
    </w:pPr>
    <w:rPr>
      <w:kern w:val="0"/>
      <w:sz w:val="24"/>
      <w:szCs w:val="20"/>
    </w:rPr>
  </w:style>
  <w:style w:type="paragraph" w:customStyle="1" w:styleId="1111111111111">
    <w:name w:val="表头1111111111111"/>
    <w:basedOn w:val="a7"/>
    <w:qFormat/>
    <w:pPr>
      <w:keepNext/>
      <w:spacing w:after="160" w:line="360" w:lineRule="auto"/>
      <w:jc w:val="center"/>
    </w:pPr>
    <w:rPr>
      <w:rFonts w:ascii="黑体" w:eastAsia="黑体" w:hAnsi="Arial" w:cs="Arial"/>
      <w:b/>
      <w:sz w:val="28"/>
      <w:szCs w:val="28"/>
    </w:rPr>
  </w:style>
  <w:style w:type="paragraph" w:customStyle="1" w:styleId="4-0010010">
    <w:name w:val="样式 样式 标题 4 + 黑色 左侧:  -0.01 厘米 首行缩进:  0.01 厘米 + 左侧:  0 厘米 首行缩进: ..."/>
    <w:qFormat/>
    <w:pPr>
      <w:keepNext/>
      <w:keepLines/>
      <w:tabs>
        <w:tab w:val="left" w:pos="851"/>
        <w:tab w:val="left" w:pos="1080"/>
      </w:tabs>
      <w:spacing w:beforeLines="50" w:before="280" w:afterLines="50" w:after="290" w:line="278" w:lineRule="auto"/>
      <w:ind w:left="851" w:hanging="851"/>
      <w:jc w:val="both"/>
    </w:pPr>
    <w:rPr>
      <w:rFonts w:ascii="宋体" w:hAnsi="宋体" w:cs="宋体"/>
    </w:rPr>
  </w:style>
  <w:style w:type="paragraph" w:customStyle="1" w:styleId="4-001001">
    <w:name w:val="样式 标题 4 + 黑色 左侧:  -0.01 厘米 首行缩进:  0.01 厘米"/>
    <w:basedOn w:val="41"/>
    <w:qFormat/>
    <w:pPr>
      <w:keepNext/>
      <w:keepLines/>
      <w:numPr>
        <w:ilvl w:val="0"/>
        <w:numId w:val="0"/>
      </w:numPr>
      <w:tabs>
        <w:tab w:val="clear" w:pos="864"/>
        <w:tab w:val="left" w:pos="1080"/>
      </w:tabs>
      <w:spacing w:beforeLines="0" w:before="156" w:afterLines="0" w:after="0" w:line="312" w:lineRule="auto"/>
      <w:ind w:firstLineChars="200" w:firstLine="200"/>
      <w:textAlignment w:val="auto"/>
    </w:pPr>
    <w:rPr>
      <w:rFonts w:ascii="仿宋_GB2312" w:eastAsia="仿宋_GB2312" w:hAnsi="Arial"/>
      <w:color w:val="000000"/>
      <w:kern w:val="0"/>
      <w:szCs w:val="20"/>
      <w:lang w:val="en-US"/>
    </w:rPr>
  </w:style>
  <w:style w:type="paragraph" w:customStyle="1" w:styleId="xl44">
    <w:name w:val="xl44"/>
    <w:basedOn w:val="a7"/>
    <w:uiPriority w:val="99"/>
    <w:qFormat/>
    <w:pPr>
      <w:widowControl/>
      <w:pBdr>
        <w:top w:val="single" w:sz="4" w:space="0" w:color="auto"/>
        <w:bottom w:val="single" w:sz="4" w:space="0" w:color="auto"/>
      </w:pBdr>
      <w:spacing w:before="100" w:after="100" w:line="360" w:lineRule="auto"/>
      <w:ind w:firstLine="482"/>
      <w:jc w:val="center"/>
      <w:textAlignment w:val="center"/>
    </w:pPr>
    <w:rPr>
      <w:rFonts w:ascii="宋体" w:hAnsi="宋体"/>
      <w:kern w:val="0"/>
      <w:sz w:val="24"/>
    </w:rPr>
  </w:style>
  <w:style w:type="paragraph" w:customStyle="1" w:styleId="CharCharCharCharCharCharChar1">
    <w:name w:val="Char Char Char Char Char Char Char1"/>
    <w:basedOn w:val="a7"/>
    <w:uiPriority w:val="99"/>
    <w:qFormat/>
    <w:pPr>
      <w:spacing w:after="160" w:line="360" w:lineRule="auto"/>
      <w:ind w:firstLine="482"/>
    </w:pPr>
    <w:rPr>
      <w:kern w:val="0"/>
      <w:sz w:val="24"/>
    </w:rPr>
  </w:style>
  <w:style w:type="paragraph" w:customStyle="1" w:styleId="a6">
    <w:name w:val="一级无标题条"/>
    <w:basedOn w:val="a7"/>
    <w:qFormat/>
    <w:pPr>
      <w:numPr>
        <w:numId w:val="16"/>
      </w:numPr>
      <w:adjustRightInd w:val="0"/>
      <w:snapToGrid w:val="0"/>
      <w:spacing w:after="160" w:line="278" w:lineRule="auto"/>
      <w:ind w:left="0" w:firstLine="0"/>
    </w:pPr>
  </w:style>
  <w:style w:type="paragraph" w:customStyle="1" w:styleId="NoteHeading1">
    <w:name w:val="Note Heading1"/>
    <w:basedOn w:val="a7"/>
    <w:next w:val="a7"/>
    <w:qFormat/>
    <w:pPr>
      <w:spacing w:beforeLines="50" w:afterLines="50" w:after="160" w:line="278" w:lineRule="auto"/>
      <w:jc w:val="center"/>
    </w:pPr>
    <w:rPr>
      <w:rFonts w:eastAsia="黑体"/>
      <w:sz w:val="24"/>
    </w:rPr>
  </w:style>
  <w:style w:type="paragraph" w:customStyle="1" w:styleId="2fffa">
    <w:name w:val="样式 四号 首行缩进:  2 字符"/>
    <w:basedOn w:val="a7"/>
    <w:qFormat/>
    <w:pPr>
      <w:spacing w:after="160" w:line="480" w:lineRule="atLeast"/>
      <w:ind w:firstLineChars="200" w:firstLine="200"/>
    </w:pPr>
    <w:rPr>
      <w:kern w:val="0"/>
      <w:sz w:val="24"/>
    </w:rPr>
  </w:style>
  <w:style w:type="paragraph" w:customStyle="1" w:styleId="2412">
    <w:name w:val="样式 样式 小二 加粗 居中 段前: 24 磅 段后: 12 磅 + 小二 加粗 段前: 自动 段后: 自动"/>
    <w:qFormat/>
    <w:pPr>
      <w:widowControl w:val="0"/>
      <w:spacing w:after="160" w:line="278" w:lineRule="auto"/>
      <w:ind w:firstLine="420"/>
    </w:pPr>
    <w:rPr>
      <w:sz w:val="21"/>
    </w:rPr>
  </w:style>
  <w:style w:type="paragraph" w:customStyle="1" w:styleId="24120">
    <w:name w:val="样式 小二 加粗 居中 段前: 24 磅 段后: 12 磅"/>
    <w:basedOn w:val="a7"/>
    <w:qFormat/>
    <w:pPr>
      <w:widowControl/>
      <w:adjustRightInd w:val="0"/>
      <w:snapToGrid w:val="0"/>
      <w:spacing w:before="100" w:beforeAutospacing="1" w:after="100" w:afterAutospacing="1" w:line="240" w:lineRule="exact"/>
      <w:ind w:firstLineChars="200" w:firstLine="480"/>
      <w:jc w:val="center"/>
    </w:pPr>
    <w:rPr>
      <w:rFonts w:cs="宋体"/>
      <w:bCs/>
      <w:kern w:val="0"/>
      <w:sz w:val="24"/>
      <w:szCs w:val="20"/>
    </w:rPr>
  </w:style>
  <w:style w:type="paragraph" w:customStyle="1" w:styleId="4fc">
    <w:name w:val="文章标题4"/>
    <w:basedOn w:val="a7"/>
    <w:qFormat/>
    <w:pPr>
      <w:spacing w:after="160" w:line="440" w:lineRule="exact"/>
    </w:pPr>
    <w:rPr>
      <w:rFonts w:ascii="Calibri" w:hAnsi="Calibri"/>
      <w:b/>
      <w:sz w:val="24"/>
    </w:rPr>
  </w:style>
  <w:style w:type="paragraph" w:customStyle="1" w:styleId="afffffffffffffffffffffff">
    <w:name w:val="－列表"/>
    <w:basedOn w:val="afffa"/>
    <w:uiPriority w:val="99"/>
    <w:qFormat/>
    <w:pPr>
      <w:tabs>
        <w:tab w:val="left" w:pos="1860"/>
      </w:tabs>
      <w:snapToGrid w:val="0"/>
      <w:spacing w:after="160" w:line="360" w:lineRule="atLeast"/>
      <w:ind w:left="0" w:rightChars="-45" w:right="-45" w:firstLineChars="0" w:firstLine="0"/>
      <w:jc w:val="both"/>
    </w:pPr>
    <w:rPr>
      <w:rFonts w:ascii="宋体" w:hAnsi="宋体"/>
      <w:snapToGrid w:val="0"/>
      <w:sz w:val="22"/>
      <w:szCs w:val="22"/>
    </w:rPr>
  </w:style>
  <w:style w:type="paragraph" w:customStyle="1" w:styleId="afffffffffffffffffffffff0">
    <w:name w:val="图注"/>
    <w:basedOn w:val="aff2"/>
    <w:next w:val="aff8"/>
    <w:qFormat/>
    <w:pPr>
      <w:spacing w:before="0" w:line="360" w:lineRule="auto"/>
      <w:ind w:left="0" w:firstLineChars="200" w:firstLine="480"/>
      <w:jc w:val="both"/>
    </w:pPr>
    <w:rPr>
      <w:kern w:val="2"/>
      <w:szCs w:val="28"/>
      <w:lang w:eastAsia="zh-CN"/>
    </w:rPr>
  </w:style>
  <w:style w:type="paragraph" w:customStyle="1" w:styleId="CM31">
    <w:name w:val="CM31"/>
    <w:basedOn w:val="Default"/>
    <w:next w:val="Default"/>
    <w:qFormat/>
    <w:pPr>
      <w:spacing w:after="160" w:line="278" w:lineRule="auto"/>
    </w:pPr>
    <w:rPr>
      <w:rFonts w:ascii="ST Kaiti" w:eastAsia="ST Kaiti" w:hAnsi="Calibri" w:cs="Times New Roman"/>
      <w:color w:val="auto"/>
    </w:rPr>
  </w:style>
  <w:style w:type="paragraph" w:customStyle="1" w:styleId="xl230">
    <w:name w:val="xl230"/>
    <w:basedOn w:val="a7"/>
    <w:qFormat/>
    <w:pPr>
      <w:widowControl/>
      <w:pBdr>
        <w:left w:val="single" w:sz="4" w:space="0" w:color="auto"/>
        <w:bottom w:val="single" w:sz="8" w:space="0" w:color="auto"/>
        <w:right w:val="single" w:sz="8" w:space="0" w:color="auto"/>
      </w:pBdr>
      <w:spacing w:before="100" w:beforeAutospacing="1" w:after="100" w:afterAutospacing="1" w:line="278" w:lineRule="auto"/>
      <w:jc w:val="center"/>
      <w:textAlignment w:val="center"/>
    </w:pPr>
    <w:rPr>
      <w:kern w:val="0"/>
      <w:sz w:val="20"/>
      <w:szCs w:val="20"/>
    </w:rPr>
  </w:style>
  <w:style w:type="paragraph" w:customStyle="1" w:styleId="099">
    <w:name w:val="样式 首行缩进:  0.99 厘米"/>
    <w:basedOn w:val="a7"/>
    <w:qFormat/>
    <w:pPr>
      <w:adjustRightInd w:val="0"/>
      <w:spacing w:after="160" w:line="480" w:lineRule="exact"/>
      <w:ind w:firstLine="567"/>
      <w:textAlignment w:val="baseline"/>
    </w:pPr>
    <w:rPr>
      <w:rFonts w:cs="宋体"/>
      <w:spacing w:val="-2"/>
      <w:kern w:val="0"/>
      <w:sz w:val="28"/>
      <w:szCs w:val="20"/>
    </w:rPr>
  </w:style>
  <w:style w:type="paragraph" w:customStyle="1" w:styleId="afffffffffffffffffffffff1">
    <w:name w:val="主要条文"/>
    <w:basedOn w:val="a7"/>
    <w:uiPriority w:val="99"/>
    <w:qFormat/>
    <w:pPr>
      <w:tabs>
        <w:tab w:val="left" w:pos="1260"/>
      </w:tabs>
      <w:spacing w:after="160" w:line="278" w:lineRule="auto"/>
      <w:ind w:left="1260" w:hanging="420"/>
    </w:pPr>
    <w:rPr>
      <w:sz w:val="24"/>
    </w:rPr>
  </w:style>
  <w:style w:type="paragraph" w:customStyle="1" w:styleId="afffffffffffffffffffffff2">
    <w:name w:val="表后文"/>
    <w:basedOn w:val="a7"/>
    <w:uiPriority w:val="99"/>
    <w:qFormat/>
    <w:pPr>
      <w:tabs>
        <w:tab w:val="left" w:pos="5040"/>
      </w:tabs>
      <w:adjustRightInd w:val="0"/>
      <w:snapToGrid w:val="0"/>
      <w:spacing w:before="120" w:after="160" w:line="500" w:lineRule="exact"/>
      <w:ind w:leftChars="-57" w:left="-120"/>
      <w:jc w:val="left"/>
      <w:textAlignment w:val="baseline"/>
    </w:pPr>
    <w:rPr>
      <w:rFonts w:eastAsia="楷体_GB2312"/>
      <w:kern w:val="0"/>
    </w:rPr>
  </w:style>
  <w:style w:type="paragraph" w:customStyle="1" w:styleId="inputaa">
    <w:name w:val="inputaa"/>
    <w:basedOn w:val="a7"/>
    <w:qFormat/>
    <w:pPr>
      <w:widowControl/>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line="278" w:lineRule="auto"/>
      <w:jc w:val="left"/>
    </w:pPr>
    <w:rPr>
      <w:rFonts w:eastAsia="Arial Unicode MS" w:cs="Arial Unicode MS"/>
      <w:kern w:val="0"/>
      <w:sz w:val="18"/>
      <w:szCs w:val="18"/>
    </w:rPr>
  </w:style>
  <w:style w:type="paragraph" w:customStyle="1" w:styleId="a2Char">
    <w:name w:val="a小四宋体缩2段间无 Char"/>
    <w:basedOn w:val="a7"/>
    <w:qFormat/>
    <w:pPr>
      <w:spacing w:afterLines="50" w:after="160" w:line="360" w:lineRule="auto"/>
      <w:ind w:firstLineChars="200" w:firstLine="200"/>
    </w:pPr>
    <w:rPr>
      <w:rFonts w:ascii="宋体" w:hAnsi="宋体"/>
      <w:sz w:val="24"/>
    </w:rPr>
  </w:style>
  <w:style w:type="paragraph" w:customStyle="1" w:styleId="afffffffffffffffffffffff3">
    <w:name w:val="报告表正文"/>
    <w:basedOn w:val="a7"/>
    <w:uiPriority w:val="99"/>
    <w:qFormat/>
    <w:pPr>
      <w:adjustRightInd w:val="0"/>
      <w:spacing w:after="160" w:line="300" w:lineRule="auto"/>
      <w:ind w:left="113" w:right="113" w:firstLine="482"/>
      <w:textAlignment w:val="baseline"/>
    </w:pPr>
    <w:rPr>
      <w:kern w:val="0"/>
      <w:sz w:val="24"/>
      <w:szCs w:val="20"/>
    </w:rPr>
  </w:style>
  <w:style w:type="paragraph" w:customStyle="1" w:styleId="CharCharCharCharCharCharCharChar21">
    <w:name w:val="Char Char Char Char Char Char Char Char21"/>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TitleofTable">
    <w:name w:val="Title of Table"/>
    <w:qFormat/>
    <w:pPr>
      <w:spacing w:after="160" w:line="360" w:lineRule="auto"/>
    </w:pPr>
    <w:rPr>
      <w:rFonts w:cs="宋体"/>
      <w:b/>
      <w:color w:val="000000"/>
      <w:sz w:val="24"/>
      <w:szCs w:val="24"/>
    </w:rPr>
  </w:style>
  <w:style w:type="paragraph" w:customStyle="1" w:styleId="afffffffffffffffffffffff4">
    <w:name w:val="四级无标题条"/>
    <w:basedOn w:val="a7"/>
    <w:qFormat/>
    <w:pPr>
      <w:adjustRightInd w:val="0"/>
      <w:snapToGrid w:val="0"/>
      <w:spacing w:after="160" w:line="278" w:lineRule="auto"/>
    </w:p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7"/>
    <w:qFormat/>
    <w:pPr>
      <w:spacing w:after="160" w:line="278" w:lineRule="auto"/>
    </w:pPr>
    <w:rPr>
      <w:sz w:val="24"/>
    </w:rPr>
  </w:style>
  <w:style w:type="paragraph" w:customStyle="1" w:styleId="1fffc">
    <w:name w:val="普通表格1"/>
    <w:uiPriority w:val="99"/>
    <w:semiHidden/>
    <w:qFormat/>
    <w:pPr>
      <w:spacing w:after="160" w:line="351" w:lineRule="atLeast"/>
      <w:ind w:firstLine="419"/>
      <w:jc w:val="both"/>
      <w:textAlignment w:val="baseline"/>
    </w:pPr>
    <w:rPr>
      <w:color w:val="000000"/>
      <w:sz w:val="21"/>
      <w:u w:color="000000"/>
    </w:rPr>
  </w:style>
  <w:style w:type="paragraph" w:customStyle="1" w:styleId="xl326">
    <w:name w:val="xl326"/>
    <w:basedOn w:val="a7"/>
    <w:qFormat/>
    <w:pPr>
      <w:widowControl/>
      <w:pBdr>
        <w:lef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CharCharCharCharChar2CharCharCharChar">
    <w:name w:val="Char Char Char Char Char2 Char Char Char Char"/>
    <w:basedOn w:val="a7"/>
    <w:semiHidden/>
    <w:qFormat/>
    <w:pPr>
      <w:adjustRightInd w:val="0"/>
      <w:snapToGrid w:val="0"/>
      <w:spacing w:after="160" w:line="360" w:lineRule="auto"/>
      <w:ind w:firstLineChars="200" w:firstLine="200"/>
    </w:pPr>
    <w:rPr>
      <w:rFonts w:ascii="宋体" w:hAnsi="宋体" w:cs="宋体"/>
      <w:kern w:val="0"/>
      <w:sz w:val="24"/>
      <w:szCs w:val="26"/>
    </w:rPr>
  </w:style>
  <w:style w:type="paragraph" w:customStyle="1" w:styleId="afffffffffffffffffffffff5">
    <w:name w:val="请勿折叠！"/>
    <w:qFormat/>
    <w:pPr>
      <w:widowControl w:val="0"/>
      <w:spacing w:after="160" w:line="278" w:lineRule="auto"/>
      <w:jc w:val="both"/>
    </w:pPr>
    <w:rPr>
      <w:kern w:val="2"/>
      <w:sz w:val="21"/>
    </w:rPr>
  </w:style>
  <w:style w:type="paragraph" w:customStyle="1" w:styleId="1fffd">
    <w:name w:val="字母1"/>
    <w:basedOn w:val="a7"/>
    <w:qFormat/>
    <w:pPr>
      <w:spacing w:before="60" w:after="60" w:line="480" w:lineRule="exact"/>
      <w:ind w:firstLineChars="200" w:firstLine="420"/>
      <w:textAlignment w:val="baseline"/>
    </w:pPr>
    <w:rPr>
      <w:spacing w:val="6"/>
      <w:kern w:val="0"/>
      <w:sz w:val="24"/>
    </w:rPr>
  </w:style>
  <w:style w:type="paragraph" w:customStyle="1" w:styleId="afffffffffffffffffffffff6">
    <w:name w:val="图题表题"/>
    <w:basedOn w:val="a7"/>
    <w:qFormat/>
    <w:pPr>
      <w:spacing w:beforeLines="50" w:before="156" w:afterLines="50" w:after="156" w:line="360" w:lineRule="auto"/>
      <w:ind w:firstLine="482"/>
      <w:jc w:val="center"/>
    </w:pPr>
    <w:rPr>
      <w:b/>
      <w:bCs/>
      <w:kern w:val="0"/>
      <w:sz w:val="24"/>
    </w:rPr>
  </w:style>
  <w:style w:type="paragraph" w:customStyle="1" w:styleId="11H10505">
    <w:name w:val="样式 标题 1一级标题一级标题(章)标题1章节H1一、章 + 段前: 0.5 行 段后: 0.5 行"/>
    <w:basedOn w:val="1"/>
    <w:qFormat/>
    <w:pPr>
      <w:keepNext/>
      <w:keepLines/>
      <w:pageBreakBefore/>
      <w:numPr>
        <w:numId w:val="0"/>
      </w:numPr>
      <w:snapToGrid/>
      <w:spacing w:before="340" w:afterLines="50" w:after="330"/>
    </w:pPr>
    <w:rPr>
      <w:rFonts w:eastAsia="黑体" w:cs="宋体"/>
      <w:sz w:val="30"/>
      <w:szCs w:val="20"/>
    </w:rPr>
  </w:style>
  <w:style w:type="paragraph" w:customStyle="1" w:styleId="afffffffffffffffffffffff7">
    <w:name w:val="表中居中文字"/>
    <w:basedOn w:val="a7"/>
    <w:qFormat/>
    <w:pPr>
      <w:spacing w:after="160" w:line="278" w:lineRule="auto"/>
      <w:jc w:val="center"/>
    </w:pPr>
    <w:rPr>
      <w:rFonts w:ascii="宋体" w:hAnsi="宋体" w:cs="Arial"/>
      <w:sz w:val="24"/>
      <w:szCs w:val="18"/>
      <w:lang w:val="zh-CN"/>
    </w:rPr>
  </w:style>
  <w:style w:type="paragraph" w:customStyle="1" w:styleId="xl287">
    <w:name w:val="xl287"/>
    <w:basedOn w:val="a7"/>
    <w:qFormat/>
    <w:pPr>
      <w:widowControl/>
      <w:pBdr>
        <w:left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16"/>
      <w:szCs w:val="16"/>
    </w:rPr>
  </w:style>
  <w:style w:type="paragraph" w:customStyle="1" w:styleId="1fffe">
    <w:name w:val="项目符号1"/>
    <w:basedOn w:val="a7"/>
    <w:qFormat/>
    <w:pPr>
      <w:snapToGrid w:val="0"/>
      <w:spacing w:before="120" w:after="120" w:line="312" w:lineRule="auto"/>
      <w:ind w:firstLine="482"/>
    </w:pPr>
    <w:rPr>
      <w:rFonts w:ascii="Arial" w:eastAsia="楷体_GB2312" w:hAnsi="Arial"/>
      <w:b/>
      <w:kern w:val="0"/>
      <w:sz w:val="28"/>
      <w:szCs w:val="20"/>
    </w:rPr>
  </w:style>
  <w:style w:type="paragraph" w:customStyle="1" w:styleId="TableTitleChar1Char">
    <w:name w:val="Table Title Char1 Char"/>
    <w:basedOn w:val="a7"/>
    <w:uiPriority w:val="99"/>
    <w:qFormat/>
    <w:pPr>
      <w:widowControl/>
      <w:snapToGrid w:val="0"/>
      <w:spacing w:beforeLines="50" w:afterLines="50" w:after="160" w:line="400" w:lineRule="exact"/>
      <w:jc w:val="center"/>
    </w:pPr>
    <w:rPr>
      <w:sz w:val="24"/>
      <w:lang w:eastAsia="en-US"/>
    </w:rPr>
  </w:style>
  <w:style w:type="paragraph" w:customStyle="1" w:styleId="afffffffffffffffffffffff8">
    <w:name w:val="正文！！！"/>
    <w:basedOn w:val="a7"/>
    <w:qFormat/>
    <w:pPr>
      <w:spacing w:after="160" w:line="500" w:lineRule="exact"/>
      <w:ind w:firstLineChars="200" w:firstLine="200"/>
    </w:pPr>
    <w:rPr>
      <w:rFonts w:ascii="楷体_GB2312" w:eastAsia="楷体_GB2312" w:hAnsi="宋体"/>
      <w:sz w:val="24"/>
    </w:rPr>
  </w:style>
  <w:style w:type="paragraph" w:customStyle="1" w:styleId="Normal0li">
    <w:name w:val="Normal 0li"/>
    <w:basedOn w:val="a7"/>
    <w:uiPriority w:val="99"/>
    <w:qFormat/>
    <w:pPr>
      <w:widowControl/>
      <w:snapToGrid w:val="0"/>
      <w:spacing w:after="160" w:line="278" w:lineRule="auto"/>
      <w:jc w:val="left"/>
    </w:pPr>
    <w:rPr>
      <w:rFonts w:hAnsi="宋体"/>
      <w:kern w:val="0"/>
      <w:sz w:val="24"/>
      <w:szCs w:val="20"/>
      <w:lang w:eastAsia="en-US"/>
    </w:rPr>
  </w:style>
  <w:style w:type="paragraph" w:customStyle="1" w:styleId="CharCharCharCharCharCharCharCharCharCharCharCharChar">
    <w:name w:val="Char Char Char Char Char Char Char Char Char Char Char Char Char"/>
    <w:basedOn w:val="a7"/>
    <w:qFormat/>
    <w:pPr>
      <w:spacing w:after="160" w:line="360" w:lineRule="auto"/>
      <w:ind w:firstLineChars="200" w:firstLine="200"/>
    </w:pPr>
    <w:rPr>
      <w:rFonts w:ascii="宋体" w:hAnsi="宋体" w:cs="宋体"/>
      <w:kern w:val="0"/>
      <w:sz w:val="24"/>
    </w:rPr>
  </w:style>
  <w:style w:type="paragraph" w:customStyle="1" w:styleId="afffffffffffffffffffffff9">
    <w:name w:val="责任页"/>
    <w:basedOn w:val="a7"/>
    <w:qFormat/>
    <w:pPr>
      <w:spacing w:after="160" w:line="300" w:lineRule="auto"/>
    </w:pPr>
    <w:rPr>
      <w:sz w:val="28"/>
    </w:rPr>
  </w:style>
  <w:style w:type="paragraph" w:customStyle="1" w:styleId="ST2021">
    <w:name w:val="ST20_21"/>
    <w:basedOn w:val="ST2019"/>
    <w:qFormat/>
    <w:pPr>
      <w:ind w:left="720" w:hanging="360"/>
    </w:pPr>
  </w:style>
  <w:style w:type="paragraph" w:customStyle="1" w:styleId="xl227">
    <w:name w:val="xl227"/>
    <w:basedOn w:val="a7"/>
    <w:qFormat/>
    <w:pPr>
      <w:widowControl/>
      <w:pBdr>
        <w:top w:val="single" w:sz="4" w:space="0" w:color="auto"/>
        <w:bottom w:val="single" w:sz="4" w:space="0" w:color="auto"/>
        <w:right w:val="single" w:sz="8" w:space="0" w:color="auto"/>
      </w:pBdr>
      <w:spacing w:before="100" w:beforeAutospacing="1" w:after="100" w:afterAutospacing="1" w:line="278" w:lineRule="auto"/>
      <w:jc w:val="center"/>
      <w:textAlignment w:val="center"/>
    </w:pPr>
    <w:rPr>
      <w:rFonts w:ascii="宋体" w:hAnsi="宋体" w:cs="宋体"/>
      <w:b/>
      <w:bCs/>
      <w:kern w:val="0"/>
      <w:sz w:val="18"/>
      <w:szCs w:val="18"/>
    </w:rPr>
  </w:style>
  <w:style w:type="paragraph" w:customStyle="1" w:styleId="xl162">
    <w:name w:val="xl162"/>
    <w:basedOn w:val="a7"/>
    <w:qFormat/>
    <w:pPr>
      <w:widowControl/>
      <w:pBdr>
        <w:left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280">
    <w:name w:val="样式 黑体 四号 行距: 固定值 28 磅"/>
    <w:basedOn w:val="a7"/>
    <w:qFormat/>
    <w:pPr>
      <w:spacing w:after="160" w:line="560" w:lineRule="exact"/>
      <w:ind w:firstLine="482"/>
    </w:pPr>
    <w:rPr>
      <w:rFonts w:ascii="黑体" w:eastAsia="黑体" w:cs="宋体"/>
      <w:kern w:val="0"/>
      <w:sz w:val="30"/>
      <w:szCs w:val="20"/>
    </w:rPr>
  </w:style>
  <w:style w:type="paragraph" w:customStyle="1" w:styleId="afffffffffffffffffffffffa">
    <w:name w:val="图形标题"/>
    <w:basedOn w:val="a7"/>
    <w:next w:val="a7"/>
    <w:qFormat/>
    <w:pPr>
      <w:spacing w:after="160" w:line="288" w:lineRule="auto"/>
      <w:jc w:val="center"/>
    </w:pPr>
    <w:rPr>
      <w:rFonts w:ascii="仿宋_GB2312" w:eastAsia="仿宋_GB2312" w:hAnsi="宋体"/>
      <w:sz w:val="24"/>
    </w:rPr>
  </w:style>
  <w:style w:type="paragraph" w:customStyle="1" w:styleId="15050505">
    <w:name w:val="样式 样式 样式 四号 加粗 行距: 1.5 倍行距 + 段前: 0.5 行 段后: 0.5 行 + 段后: 0.5 行"/>
    <w:basedOn w:val="150505"/>
    <w:uiPriority w:val="99"/>
    <w:qFormat/>
    <w:pPr>
      <w:spacing w:line="240" w:lineRule="auto"/>
    </w:pPr>
  </w:style>
  <w:style w:type="paragraph" w:customStyle="1" w:styleId="afffffffffffffffffffffffb">
    <w:name w:val="表格注"/>
    <w:basedOn w:val="a7"/>
    <w:next w:val="a7"/>
    <w:qFormat/>
    <w:pPr>
      <w:spacing w:after="160" w:line="240" w:lineRule="exact"/>
      <w:ind w:firstLine="482"/>
      <w:jc w:val="left"/>
    </w:pPr>
    <w:rPr>
      <w:kern w:val="0"/>
      <w:sz w:val="18"/>
    </w:rPr>
  </w:style>
  <w:style w:type="paragraph" w:customStyle="1" w:styleId="3222">
    <w:name w:val="样式 样式 宋体 四号 行距: 固定值 32 磅 + 首行缩进:  2 字符2"/>
    <w:basedOn w:val="a7"/>
    <w:qFormat/>
    <w:pPr>
      <w:spacing w:after="160" w:line="500" w:lineRule="exact"/>
      <w:ind w:firstLineChars="200" w:firstLine="200"/>
    </w:pPr>
    <w:rPr>
      <w:rFonts w:ascii="宋体" w:hAnsi="宋体" w:cs="宋体"/>
      <w:sz w:val="24"/>
      <w:szCs w:val="20"/>
    </w:rPr>
  </w:style>
  <w:style w:type="paragraph" w:customStyle="1" w:styleId="afffffffffffffffffffffffc">
    <w:name w:val="圖"/>
    <w:basedOn w:val="aff4"/>
    <w:qFormat/>
    <w:pPr>
      <w:widowControl/>
      <w:adjustRightInd w:val="0"/>
      <w:spacing w:after="200" w:line="360" w:lineRule="exact"/>
      <w:ind w:leftChars="0" w:left="0" w:firstLineChars="0" w:firstLine="840"/>
      <w:jc w:val="center"/>
      <w:textAlignment w:val="baseline"/>
    </w:pPr>
    <w:rPr>
      <w:rFonts w:ascii="Arial" w:eastAsia="華康細圓體" w:hAnsi="Arial"/>
      <w:kern w:val="0"/>
      <w:sz w:val="22"/>
      <w:lang w:eastAsia="zh-TW" w:bidi="en-US"/>
    </w:rPr>
  </w:style>
  <w:style w:type="paragraph" w:customStyle="1" w:styleId="3ff3">
    <w:name w:val="正文格式3"/>
    <w:basedOn w:val="a7"/>
    <w:qFormat/>
    <w:pPr>
      <w:snapToGrid w:val="0"/>
      <w:spacing w:after="160" w:line="360" w:lineRule="auto"/>
      <w:ind w:firstLine="482"/>
      <w:jc w:val="left"/>
    </w:pPr>
    <w:rPr>
      <w:rFonts w:ascii="宋体" w:hAnsi="宋体"/>
      <w:sz w:val="24"/>
    </w:rPr>
  </w:style>
  <w:style w:type="paragraph" w:customStyle="1" w:styleId="xl97">
    <w:name w:val="xl97"/>
    <w:basedOn w:val="a7"/>
    <w:qFormat/>
    <w:pPr>
      <w:widowControl/>
      <w:pBdr>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32"/>
      <w:szCs w:val="32"/>
    </w:rPr>
  </w:style>
  <w:style w:type="paragraph" w:customStyle="1" w:styleId="xl193">
    <w:name w:val="xl193"/>
    <w:basedOn w:val="a7"/>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78" w:lineRule="auto"/>
      <w:jc w:val="left"/>
      <w:textAlignment w:val="center"/>
    </w:pPr>
    <w:rPr>
      <w:rFonts w:ascii="宋体" w:hAnsi="宋体" w:cs="宋体"/>
      <w:b/>
      <w:bCs/>
      <w:color w:val="000000"/>
      <w:kern w:val="0"/>
      <w:sz w:val="20"/>
      <w:szCs w:val="20"/>
    </w:rPr>
  </w:style>
  <w:style w:type="paragraph" w:customStyle="1" w:styleId="Char31">
    <w:name w:val="Char31"/>
    <w:basedOn w:val="a7"/>
    <w:qFormat/>
    <w:pPr>
      <w:tabs>
        <w:tab w:val="left" w:pos="420"/>
      </w:tabs>
      <w:spacing w:after="160" w:line="360" w:lineRule="auto"/>
      <w:ind w:left="420" w:hanging="420"/>
    </w:pPr>
    <w:rPr>
      <w:rFonts w:hAnsi="宋体"/>
      <w:kern w:val="0"/>
      <w:sz w:val="24"/>
    </w:rPr>
  </w:style>
  <w:style w:type="paragraph" w:customStyle="1" w:styleId="afffffffffffffffffffffffd">
    <w:name w:val="热电厂正文"/>
    <w:basedOn w:val="a7"/>
    <w:qFormat/>
    <w:pPr>
      <w:spacing w:after="160" w:line="440" w:lineRule="exact"/>
      <w:ind w:firstLineChars="200" w:firstLine="480"/>
    </w:pPr>
    <w:rPr>
      <w:sz w:val="24"/>
    </w:rPr>
  </w:style>
  <w:style w:type="paragraph" w:customStyle="1" w:styleId="xl155">
    <w:name w:val="xl155"/>
    <w:basedOn w:val="a7"/>
    <w:qFormat/>
    <w:pPr>
      <w:widowControl/>
      <w:pBdr>
        <w:left w:val="single" w:sz="4" w:space="0" w:color="auto"/>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234">
    <w:name w:val="xl234"/>
    <w:basedOn w:val="a7"/>
    <w:qFormat/>
    <w:pPr>
      <w:widowControl/>
      <w:pBdr>
        <w:top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xl160">
    <w:name w:val="xl160"/>
    <w:basedOn w:val="a7"/>
    <w:qFormat/>
    <w:pPr>
      <w:widowControl/>
      <w:pBdr>
        <w:bottom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lt2">
    <w:name w:val="alt+2 节"/>
    <w:basedOn w:val="21"/>
    <w:next w:val="a7"/>
    <w:qFormat/>
    <w:pPr>
      <w:keepNext/>
      <w:keepLines/>
      <w:numPr>
        <w:ilvl w:val="0"/>
        <w:numId w:val="0"/>
      </w:numPr>
      <w:snapToGrid/>
      <w:spacing w:beforeLines="0" w:before="0" w:afterLines="50" w:after="156" w:line="500" w:lineRule="exact"/>
    </w:pPr>
    <w:rPr>
      <w:rFonts w:ascii="Arial" w:eastAsia="楷体_GB2312" w:hAnsi="Arial"/>
      <w:bCs w:val="0"/>
      <w:smallCaps w:val="0"/>
      <w:color w:val="auto"/>
      <w:kern w:val="0"/>
      <w:sz w:val="36"/>
      <w:szCs w:val="20"/>
    </w:rPr>
  </w:style>
  <w:style w:type="paragraph" w:customStyle="1" w:styleId="-8">
    <w:name w:val="表格文字-左"/>
    <w:basedOn w:val="afffffffffffffff"/>
    <w:uiPriority w:val="99"/>
    <w:qFormat/>
    <w:pPr>
      <w:widowControl/>
      <w:spacing w:line="400" w:lineRule="exact"/>
      <w:textAlignment w:val="center"/>
    </w:pPr>
    <w:rPr>
      <w:b w:val="0"/>
      <w:color w:val="auto"/>
      <w:sz w:val="21"/>
      <w:szCs w:val="21"/>
    </w:rPr>
  </w:style>
  <w:style w:type="paragraph" w:customStyle="1" w:styleId="2fffb">
    <w:name w:val="样式 正文首行缩进 + 首行缩进:  2 字符"/>
    <w:basedOn w:val="a7"/>
    <w:qFormat/>
    <w:pPr>
      <w:widowControl/>
      <w:tabs>
        <w:tab w:val="left" w:pos="7020"/>
      </w:tabs>
      <w:adjustRightInd w:val="0"/>
      <w:snapToGrid w:val="0"/>
      <w:spacing w:after="160" w:line="278" w:lineRule="auto"/>
      <w:jc w:val="center"/>
      <w:textAlignment w:val="center"/>
    </w:pPr>
    <w:rPr>
      <w:rFonts w:ascii="宋体" w:hAnsi="宋体" w:cs="宋体"/>
      <w:spacing w:val="-6"/>
      <w:kern w:val="0"/>
      <w:sz w:val="24"/>
    </w:rPr>
  </w:style>
  <w:style w:type="paragraph" w:customStyle="1" w:styleId="SLCON0">
    <w:name w:val="表（或图）标题 样式 宋体 五号 居中 SL CON"/>
    <w:basedOn w:val="a7"/>
    <w:qFormat/>
    <w:pPr>
      <w:widowControl/>
      <w:tabs>
        <w:tab w:val="left" w:pos="377"/>
      </w:tabs>
      <w:snapToGrid w:val="0"/>
      <w:spacing w:after="160" w:line="278" w:lineRule="auto"/>
      <w:jc w:val="center"/>
    </w:pPr>
    <w:rPr>
      <w:rFonts w:cs="宋体"/>
      <w:b/>
      <w:kern w:val="0"/>
      <w:szCs w:val="20"/>
    </w:rPr>
  </w:style>
  <w:style w:type="paragraph" w:customStyle="1" w:styleId="760">
    <w:name w:val="样式76"/>
    <w:basedOn w:val="21"/>
    <w:uiPriority w:val="99"/>
    <w:qFormat/>
    <w:pPr>
      <w:keepNext/>
      <w:keepLines/>
      <w:numPr>
        <w:ilvl w:val="0"/>
        <w:numId w:val="0"/>
      </w:numPr>
      <w:tabs>
        <w:tab w:val="left" w:pos="0"/>
        <w:tab w:val="left" w:pos="1361"/>
      </w:tabs>
      <w:spacing w:beforeLines="50" w:before="260" w:afterLines="50" w:after="260" w:line="440" w:lineRule="exact"/>
      <w:ind w:left="1361" w:firstLineChars="200" w:hanging="420"/>
      <w:jc w:val="center"/>
    </w:pPr>
    <w:rPr>
      <w:rFonts w:ascii="宋体" w:eastAsia="宋体" w:hAnsi="宋体"/>
      <w:color w:val="auto"/>
      <w:kern w:val="0"/>
      <w:sz w:val="28"/>
      <w:lang w:val="zh-CN"/>
    </w:rPr>
  </w:style>
  <w:style w:type="paragraph" w:customStyle="1" w:styleId="2h22Header2ndPageABCh2mainh2GB23121">
    <w:name w:val="样式 样式 标题 2h22Header 2nd PageA.B.C.h2 main h标题2 + 仿宋_GB2312 行距......1"/>
    <w:qFormat/>
    <w:pPr>
      <w:spacing w:after="160" w:line="278" w:lineRule="auto"/>
      <w:ind w:firstLine="454"/>
    </w:pPr>
    <w:rPr>
      <w:b/>
    </w:rPr>
  </w:style>
  <w:style w:type="paragraph" w:customStyle="1" w:styleId="2h22Header2ndPageABCh2mainh2GB2312">
    <w:name w:val="样式 标题 2h22Header 2nd PageA.B.C.h2 main h标题2 + 仿宋_GB2312 行距..."/>
    <w:basedOn w:val="21"/>
    <w:qFormat/>
    <w:pPr>
      <w:keepNext/>
      <w:keepLines/>
      <w:widowControl/>
      <w:numPr>
        <w:ilvl w:val="0"/>
        <w:numId w:val="0"/>
      </w:numPr>
      <w:snapToGrid/>
      <w:spacing w:beforeLines="50" w:before="50" w:afterLines="50" w:after="50"/>
      <w:ind w:firstLineChars="162" w:firstLine="455"/>
    </w:pPr>
    <w:rPr>
      <w:rFonts w:ascii="仿宋_GB2312" w:eastAsia="仿宋_GB2312" w:hAnsi="ˎ̥" w:cs="宋体"/>
      <w:b w:val="0"/>
      <w:smallCaps w:val="0"/>
      <w:color w:val="auto"/>
      <w:kern w:val="0"/>
      <w:sz w:val="36"/>
      <w:szCs w:val="20"/>
    </w:rPr>
  </w:style>
  <w:style w:type="paragraph" w:customStyle="1" w:styleId="PlainText1">
    <w:name w:val="Plain Text1"/>
    <w:basedOn w:val="a7"/>
    <w:qFormat/>
    <w:pPr>
      <w:autoSpaceDE w:val="0"/>
      <w:autoSpaceDN w:val="0"/>
      <w:adjustRightInd w:val="0"/>
      <w:spacing w:after="160" w:line="278" w:lineRule="auto"/>
      <w:textAlignment w:val="baseline"/>
    </w:pPr>
    <w:rPr>
      <w:rFonts w:ascii="宋体" w:hAnsi="Tms Rmn"/>
      <w:kern w:val="0"/>
      <w:szCs w:val="20"/>
    </w:rPr>
  </w:style>
  <w:style w:type="paragraph" w:customStyle="1" w:styleId="afffffffffffffffffffffffe">
    <w:name w:val="图框"/>
    <w:basedOn w:val="a7"/>
    <w:uiPriority w:val="99"/>
    <w:qFormat/>
    <w:pPr>
      <w:spacing w:after="160" w:line="278" w:lineRule="auto"/>
      <w:jc w:val="center"/>
    </w:pPr>
    <w:rPr>
      <w:szCs w:val="15"/>
    </w:rPr>
  </w:style>
  <w:style w:type="paragraph" w:customStyle="1" w:styleId="Charfffffffc">
    <w:name w:val="正文新 Char"/>
    <w:basedOn w:val="a7"/>
    <w:uiPriority w:val="99"/>
    <w:qFormat/>
    <w:pPr>
      <w:spacing w:after="160" w:line="360" w:lineRule="auto"/>
      <w:ind w:firstLineChars="200" w:firstLine="480"/>
    </w:pPr>
    <w:rPr>
      <w:sz w:val="24"/>
      <w:szCs w:val="20"/>
    </w:rPr>
  </w:style>
  <w:style w:type="paragraph" w:customStyle="1" w:styleId="xl139">
    <w:name w:val="xl139"/>
    <w:basedOn w:val="a7"/>
    <w:uiPriority w:val="99"/>
    <w:qFormat/>
    <w:pPr>
      <w:widowControl/>
      <w:pBdr>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1110">
    <w:name w:val="1.1.1.1报告标题"/>
    <w:qFormat/>
    <w:pPr>
      <w:spacing w:after="160" w:line="360" w:lineRule="auto"/>
    </w:pPr>
    <w:rPr>
      <w:rFonts w:eastAsia="黑体"/>
      <w:spacing w:val="4"/>
      <w:kern w:val="2"/>
      <w:sz w:val="24"/>
    </w:rPr>
  </w:style>
  <w:style w:type="paragraph" w:customStyle="1" w:styleId="affffffffffffffffffffffff">
    <w:name w:val="南郊正文"/>
    <w:basedOn w:val="a7"/>
    <w:next w:val="a7"/>
    <w:qFormat/>
    <w:pPr>
      <w:spacing w:after="160" w:line="278" w:lineRule="auto"/>
    </w:pPr>
    <w:rPr>
      <w:rFonts w:eastAsia="仿宋_GB2312" w:cs="宋体"/>
    </w:rPr>
  </w:style>
  <w:style w:type="paragraph" w:customStyle="1" w:styleId="p2">
    <w:name w:val="p2"/>
    <w:basedOn w:val="a7"/>
    <w:uiPriority w:val="99"/>
    <w:qFormat/>
    <w:pPr>
      <w:widowControl/>
      <w:autoSpaceDE w:val="0"/>
      <w:autoSpaceDN w:val="0"/>
      <w:spacing w:after="160" w:line="540" w:lineRule="atLeast"/>
      <w:ind w:firstLine="596"/>
    </w:pPr>
    <w:rPr>
      <w:rFonts w:ascii="華康中楷體" w:eastAsia="華康中楷體" w:hint="eastAsia"/>
      <w:spacing w:val="20"/>
      <w:kern w:val="0"/>
      <w:sz w:val="28"/>
      <w:szCs w:val="28"/>
      <w:lang w:eastAsia="zh-TW"/>
    </w:rPr>
  </w:style>
  <w:style w:type="paragraph" w:customStyle="1" w:styleId="CharCharChar2Char">
    <w:name w:val="Char Char Char2 Char"/>
    <w:basedOn w:val="a7"/>
    <w:qFormat/>
    <w:pPr>
      <w:spacing w:after="160" w:line="360" w:lineRule="auto"/>
      <w:ind w:firstLineChars="200" w:firstLine="200"/>
    </w:pPr>
    <w:rPr>
      <w:rFonts w:ascii="宋体" w:hAnsi="宋体" w:cs="宋体"/>
      <w:kern w:val="0"/>
      <w:sz w:val="24"/>
    </w:rPr>
  </w:style>
  <w:style w:type="paragraph" w:customStyle="1" w:styleId="zjpheadline2">
    <w:name w:val="zjpheadline2"/>
    <w:basedOn w:val="a7"/>
    <w:next w:val="a7"/>
    <w:qFormat/>
    <w:pPr>
      <w:keepNext/>
      <w:autoSpaceDE w:val="0"/>
      <w:autoSpaceDN w:val="0"/>
      <w:adjustRightInd w:val="0"/>
      <w:spacing w:before="28" w:after="28" w:line="278" w:lineRule="auto"/>
      <w:jc w:val="left"/>
    </w:pPr>
    <w:rPr>
      <w:rFonts w:ascii="黑体" w:eastAsia="黑体"/>
      <w:b/>
      <w:kern w:val="0"/>
      <w:sz w:val="26"/>
      <w:szCs w:val="20"/>
    </w:rPr>
  </w:style>
  <w:style w:type="paragraph" w:customStyle="1" w:styleId="22a">
    <w:name w:val="样式 标题 2电脑标志 + 首行缩进:  2 字符"/>
    <w:basedOn w:val="21"/>
    <w:qFormat/>
    <w:pPr>
      <w:keepNext/>
      <w:keepLines/>
      <w:numPr>
        <w:ilvl w:val="0"/>
        <w:numId w:val="0"/>
      </w:numPr>
      <w:snapToGrid/>
      <w:spacing w:beforeLines="0" w:before="0" w:afterLines="0" w:after="0" w:line="240" w:lineRule="auto"/>
    </w:pPr>
    <w:rPr>
      <w:rFonts w:ascii="黑体" w:hAnsi="Arial" w:cs="宋体"/>
      <w:b w:val="0"/>
      <w:bCs w:val="0"/>
      <w:smallCaps w:val="0"/>
      <w:color w:val="auto"/>
      <w:sz w:val="36"/>
      <w:szCs w:val="20"/>
    </w:rPr>
  </w:style>
  <w:style w:type="paragraph" w:customStyle="1" w:styleId="xl35">
    <w:name w:val="xl35"/>
    <w:basedOn w:val="a7"/>
    <w:uiPriority w:val="99"/>
    <w:qFormat/>
    <w:pPr>
      <w:widowControl/>
      <w:pBdr>
        <w:top w:val="single" w:sz="4" w:space="0" w:color="auto"/>
        <w:bottom w:val="single" w:sz="4" w:space="0" w:color="auto"/>
      </w:pBdr>
      <w:spacing w:before="100" w:after="100" w:line="360" w:lineRule="auto"/>
      <w:ind w:firstLine="482"/>
      <w:jc w:val="center"/>
      <w:textAlignment w:val="center"/>
    </w:pPr>
    <w:rPr>
      <w:rFonts w:ascii="宋体" w:hAnsi="宋体"/>
      <w:kern w:val="0"/>
      <w:sz w:val="24"/>
    </w:rPr>
  </w:style>
  <w:style w:type="paragraph" w:customStyle="1" w:styleId="font14">
    <w:name w:val="font14"/>
    <w:basedOn w:val="a7"/>
    <w:qFormat/>
    <w:pPr>
      <w:widowControl/>
      <w:spacing w:before="100" w:beforeAutospacing="1" w:after="100" w:afterAutospacing="1" w:line="360" w:lineRule="auto"/>
      <w:ind w:firstLineChars="200" w:firstLine="420"/>
    </w:pPr>
    <w:rPr>
      <w:color w:val="0000FF"/>
      <w:kern w:val="0"/>
      <w:sz w:val="24"/>
    </w:rPr>
  </w:style>
  <w:style w:type="paragraph" w:customStyle="1" w:styleId="affffffffffffffffffffffff0">
    <w:name w:val="表头！！！"/>
    <w:basedOn w:val="a7"/>
    <w:uiPriority w:val="99"/>
    <w:qFormat/>
    <w:pPr>
      <w:spacing w:after="160" w:line="360" w:lineRule="auto"/>
      <w:jc w:val="center"/>
    </w:pPr>
    <w:rPr>
      <w:rFonts w:ascii="黑体" w:eastAsia="楷体_GB2312" w:cs="宋体"/>
      <w:b/>
      <w:sz w:val="24"/>
      <w:szCs w:val="20"/>
    </w:rPr>
  </w:style>
  <w:style w:type="paragraph" w:customStyle="1" w:styleId="03">
    <w:name w:val="0表格文字 五号 常规"/>
    <w:basedOn w:val="a7"/>
    <w:semiHidden/>
    <w:qFormat/>
    <w:pPr>
      <w:autoSpaceDE w:val="0"/>
      <w:autoSpaceDN w:val="0"/>
      <w:adjustRightInd w:val="0"/>
      <w:spacing w:before="60" w:after="60" w:line="324" w:lineRule="auto"/>
      <w:ind w:firstLine="454"/>
      <w:jc w:val="center"/>
    </w:pPr>
    <w:rPr>
      <w:sz w:val="24"/>
      <w:szCs w:val="20"/>
    </w:rPr>
  </w:style>
  <w:style w:type="paragraph" w:customStyle="1" w:styleId="GB23120851">
    <w:name w:val="样式 (西文) 楷体_GB2312 首行缩进:  0.85 厘米1"/>
    <w:basedOn w:val="a7"/>
    <w:uiPriority w:val="99"/>
    <w:qFormat/>
    <w:pPr>
      <w:spacing w:after="160" w:line="500" w:lineRule="exact"/>
      <w:ind w:firstLineChars="200" w:firstLine="200"/>
    </w:pPr>
    <w:rPr>
      <w:rFonts w:ascii="楷体_GB2312" w:eastAsia="楷体_GB2312" w:hAnsi="楷体_GB2312" w:cs="楷体_GB2312"/>
      <w:sz w:val="24"/>
    </w:rPr>
  </w:style>
  <w:style w:type="paragraph" w:customStyle="1" w:styleId="xl112">
    <w:name w:val="xl112"/>
    <w:basedOn w:val="a7"/>
    <w:qFormat/>
    <w:pPr>
      <w:widowControl/>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ffffffffffffffffffffffff1">
    <w:name w:val="封面标准名称"/>
    <w:uiPriority w:val="99"/>
    <w:qFormat/>
    <w:pPr>
      <w:widowControl w:val="0"/>
      <w:spacing w:after="160" w:line="680" w:lineRule="exact"/>
      <w:jc w:val="center"/>
      <w:textAlignment w:val="center"/>
    </w:pPr>
    <w:rPr>
      <w:rFonts w:ascii="黑体" w:eastAsia="黑体"/>
      <w:sz w:val="52"/>
    </w:rPr>
  </w:style>
  <w:style w:type="paragraph" w:customStyle="1" w:styleId="xl30">
    <w:name w:val="xl30"/>
    <w:basedOn w:val="a7"/>
    <w:uiPriority w:val="99"/>
    <w:qFormat/>
    <w:pPr>
      <w:widowControl/>
      <w:spacing w:before="100" w:beforeAutospacing="1" w:after="100" w:afterAutospacing="1" w:line="360" w:lineRule="auto"/>
      <w:ind w:firstLine="482"/>
      <w:jc w:val="left"/>
    </w:pPr>
    <w:rPr>
      <w:kern w:val="0"/>
      <w:sz w:val="24"/>
    </w:rPr>
  </w:style>
  <w:style w:type="paragraph" w:customStyle="1" w:styleId="xl271">
    <w:name w:val="xl271"/>
    <w:basedOn w:val="a7"/>
    <w:qFormat/>
    <w:pPr>
      <w:widowControl/>
      <w:pBdr>
        <w:top w:val="single" w:sz="4" w:space="0" w:color="auto"/>
        <w:bottom w:val="single" w:sz="4" w:space="0" w:color="auto"/>
        <w:right w:val="single" w:sz="8" w:space="0" w:color="auto"/>
      </w:pBdr>
      <w:shd w:val="clear" w:color="000000" w:fill="FFFFFF"/>
      <w:spacing w:before="100" w:beforeAutospacing="1" w:after="100" w:afterAutospacing="1" w:line="278" w:lineRule="auto"/>
      <w:jc w:val="center"/>
      <w:textAlignment w:val="center"/>
    </w:pPr>
    <w:rPr>
      <w:b/>
      <w:bCs/>
      <w:kern w:val="0"/>
      <w:sz w:val="18"/>
      <w:szCs w:val="18"/>
    </w:rPr>
  </w:style>
  <w:style w:type="paragraph" w:customStyle="1" w:styleId="2fffc">
    <w:name w:val="样式 内容样式 + 首行缩进:  2 字符"/>
    <w:qFormat/>
    <w:pPr>
      <w:spacing w:after="160" w:line="278" w:lineRule="auto"/>
      <w:ind w:firstLineChars="200" w:firstLine="480"/>
    </w:pPr>
    <w:rPr>
      <w:rFonts w:ascii="宋体"/>
      <w:szCs w:val="24"/>
    </w:rPr>
  </w:style>
  <w:style w:type="paragraph" w:customStyle="1" w:styleId="affffffffffffffffffffffff2">
    <w:name w:val="内容样式"/>
    <w:basedOn w:val="a7"/>
    <w:qFormat/>
    <w:pPr>
      <w:widowControl/>
      <w:snapToGrid w:val="0"/>
      <w:spacing w:after="160" w:line="360" w:lineRule="auto"/>
      <w:jc w:val="left"/>
    </w:pPr>
    <w:rPr>
      <w:rFonts w:cs="宋体"/>
      <w:kern w:val="0"/>
      <w:sz w:val="24"/>
      <w:szCs w:val="20"/>
    </w:rPr>
  </w:style>
  <w:style w:type="paragraph" w:customStyle="1" w:styleId="TableHead">
    <w:name w:val="Table Head"/>
    <w:basedOn w:val="a7"/>
    <w:next w:val="a7"/>
    <w:uiPriority w:val="99"/>
    <w:qFormat/>
    <w:pPr>
      <w:widowControl/>
      <w:snapToGrid w:val="0"/>
      <w:spacing w:before="80" w:after="80" w:line="278" w:lineRule="auto"/>
      <w:jc w:val="center"/>
    </w:pPr>
    <w:rPr>
      <w:rFonts w:ascii="Arial" w:eastAsia="MS Mincho" w:hAnsi="Arial"/>
      <w:b/>
      <w:kern w:val="0"/>
      <w:sz w:val="18"/>
      <w:szCs w:val="20"/>
      <w:lang w:eastAsia="ja-JP"/>
    </w:rPr>
  </w:style>
  <w:style w:type="paragraph" w:customStyle="1" w:styleId="777777777CharChar">
    <w:name w:val="777777777 Char Char"/>
    <w:basedOn w:val="a7"/>
    <w:qFormat/>
    <w:pPr>
      <w:widowControl/>
      <w:spacing w:after="160" w:line="400" w:lineRule="exact"/>
      <w:ind w:firstLineChars="200" w:firstLine="560"/>
      <w:jc w:val="left"/>
    </w:pPr>
    <w:rPr>
      <w:rFonts w:ascii="宋体" w:hAnsi="宋体" w:cs="宋体"/>
      <w:kern w:val="0"/>
      <w:sz w:val="28"/>
      <w:szCs w:val="20"/>
    </w:rPr>
  </w:style>
  <w:style w:type="paragraph" w:customStyle="1" w:styleId="360">
    <w:name w:val="36"/>
    <w:qFormat/>
    <w:pPr>
      <w:spacing w:after="160" w:line="278" w:lineRule="auto"/>
    </w:pPr>
  </w:style>
  <w:style w:type="paragraph" w:customStyle="1" w:styleId="niloCharCharCharChar">
    <w:name w:val="nilo_正文 Char Char Char Char"/>
    <w:basedOn w:val="a7"/>
    <w:qFormat/>
    <w:pPr>
      <w:spacing w:after="160" w:line="360" w:lineRule="auto"/>
      <w:ind w:left="1031" w:hanging="851"/>
    </w:pPr>
    <w:rPr>
      <w:rFonts w:ascii="Arial" w:hAnsi="Arial"/>
    </w:rPr>
  </w:style>
  <w:style w:type="paragraph" w:customStyle="1" w:styleId="xl61">
    <w:name w:val="xl61"/>
    <w:basedOn w:val="a7"/>
    <w:qFormat/>
    <w:pPr>
      <w:widowControl/>
      <w:pBdr>
        <w:left w:val="single" w:sz="8" w:space="0" w:color="auto"/>
        <w:bottom w:val="single" w:sz="8" w:space="0" w:color="auto"/>
        <w:right w:val="single" w:sz="4" w:space="0" w:color="auto"/>
      </w:pBdr>
      <w:spacing w:before="100" w:after="100" w:line="360" w:lineRule="auto"/>
      <w:ind w:firstLine="482"/>
      <w:jc w:val="center"/>
      <w:textAlignment w:val="top"/>
    </w:pPr>
    <w:rPr>
      <w:kern w:val="0"/>
      <w:sz w:val="24"/>
    </w:rPr>
  </w:style>
  <w:style w:type="paragraph" w:customStyle="1" w:styleId="211112b22CharCharChar2Char2h2">
    <w:name w:val="样式 标题 2节标题 1.11.1标题2b2标题 2 Char Char Char标题 2 Char标2h2标题..."/>
    <w:basedOn w:val="21"/>
    <w:uiPriority w:val="99"/>
    <w:semiHidden/>
    <w:qFormat/>
    <w:pPr>
      <w:keepNext/>
      <w:keepLines/>
      <w:numPr>
        <w:ilvl w:val="0"/>
        <w:numId w:val="0"/>
      </w:numPr>
      <w:snapToGrid/>
      <w:spacing w:beforeLines="0" w:before="156" w:afterLines="0" w:after="260" w:line="416" w:lineRule="auto"/>
      <w:jc w:val="center"/>
    </w:pPr>
    <w:rPr>
      <w:rFonts w:ascii="Arial" w:eastAsia="宋体" w:hAnsi="Arial"/>
      <w:smallCaps w:val="0"/>
      <w:color w:val="auto"/>
      <w:kern w:val="0"/>
      <w:sz w:val="30"/>
      <w:szCs w:val="32"/>
    </w:rPr>
  </w:style>
  <w:style w:type="paragraph" w:customStyle="1" w:styleId="affffffffffffffffffffffff3">
    <w:name w:val="文本"/>
    <w:basedOn w:val="a7"/>
    <w:qFormat/>
    <w:pPr>
      <w:adjustRightInd w:val="0"/>
      <w:snapToGrid w:val="0"/>
      <w:spacing w:after="160" w:line="520" w:lineRule="exact"/>
      <w:ind w:firstLineChars="200" w:firstLine="480"/>
      <w:jc w:val="left"/>
    </w:pPr>
    <w:rPr>
      <w:rFonts w:ascii="宋体"/>
      <w:kern w:val="0"/>
      <w:sz w:val="24"/>
      <w:szCs w:val="28"/>
    </w:rPr>
  </w:style>
  <w:style w:type="paragraph" w:customStyle="1" w:styleId="xl291">
    <w:name w:val="xl291"/>
    <w:basedOn w:val="a7"/>
    <w:qFormat/>
    <w:pPr>
      <w:widowControl/>
      <w:pBdr>
        <w:left w:val="single" w:sz="4" w:space="0" w:color="auto"/>
        <w:bottom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Charfffffffd">
    <w:name w:val="Char 姬"/>
    <w:basedOn w:val="a7"/>
    <w:qFormat/>
    <w:pPr>
      <w:spacing w:after="160" w:line="360" w:lineRule="auto"/>
      <w:ind w:firstLine="482"/>
    </w:pPr>
    <w:rPr>
      <w:kern w:val="0"/>
      <w:sz w:val="24"/>
    </w:rPr>
  </w:style>
  <w:style w:type="paragraph" w:customStyle="1" w:styleId="affffffffffffffffffffffff4">
    <w:name w:val="文本框图片"/>
    <w:basedOn w:val="a7"/>
    <w:qFormat/>
    <w:pPr>
      <w:autoSpaceDE w:val="0"/>
      <w:autoSpaceDN w:val="0"/>
      <w:adjustRightInd w:val="0"/>
      <w:spacing w:after="160" w:line="360" w:lineRule="auto"/>
      <w:ind w:firstLineChars="200" w:firstLine="420"/>
    </w:pPr>
    <w:rPr>
      <w:rFonts w:ascii="宋体" w:hAnsi="宋体" w:cs="宋体"/>
      <w:bCs/>
      <w:color w:val="000000"/>
      <w:kern w:val="0"/>
      <w:sz w:val="24"/>
      <w:lang w:val="zh-CN"/>
    </w:rPr>
  </w:style>
  <w:style w:type="paragraph" w:customStyle="1" w:styleId="41111411114Char1111Char4">
    <w:name w:val="样式 标题 41.1.1.1标题 4.1.1.1.1标题 4 Char款1.1.1.1 Char标4 + 两端对齐"/>
    <w:basedOn w:val="41"/>
    <w:semiHidden/>
    <w:qFormat/>
    <w:pPr>
      <w:keepNext/>
      <w:keepLines/>
      <w:numPr>
        <w:ilvl w:val="0"/>
        <w:numId w:val="0"/>
      </w:numPr>
      <w:tabs>
        <w:tab w:val="clear" w:pos="864"/>
        <w:tab w:val="left" w:pos="2115"/>
      </w:tabs>
      <w:adjustRightInd/>
      <w:spacing w:beforeLines="0" w:before="0" w:afterLines="0" w:after="0"/>
    </w:pPr>
    <w:rPr>
      <w:rFonts w:ascii="Cambria" w:eastAsia="宋体" w:hAnsi="Arial"/>
      <w:color w:val="auto"/>
      <w:kern w:val="0"/>
      <w:szCs w:val="28"/>
      <w:lang w:val="en-US"/>
    </w:rPr>
  </w:style>
  <w:style w:type="paragraph" w:customStyle="1" w:styleId="2099">
    <w:name w:val="样式 标题 2 + 首行缩进:  0.99 厘米"/>
    <w:basedOn w:val="21"/>
    <w:qFormat/>
    <w:pPr>
      <w:keepNext/>
      <w:keepLines/>
      <w:numPr>
        <w:ilvl w:val="0"/>
        <w:numId w:val="0"/>
      </w:numPr>
      <w:tabs>
        <w:tab w:val="left" w:pos="454"/>
        <w:tab w:val="left" w:pos="851"/>
      </w:tabs>
      <w:adjustRightInd w:val="0"/>
      <w:spacing w:beforeLines="50" w:before="260" w:afterLines="50" w:after="260" w:line="300" w:lineRule="auto"/>
      <w:jc w:val="center"/>
    </w:pPr>
    <w:rPr>
      <w:rFonts w:ascii="宋体" w:eastAsia="宋体" w:cs="宋体"/>
      <w:b w:val="0"/>
      <w:bCs w:val="0"/>
      <w:smallCaps w:val="0"/>
      <w:color w:val="auto"/>
      <w:kern w:val="0"/>
      <w:sz w:val="28"/>
      <w:szCs w:val="20"/>
    </w:rPr>
  </w:style>
  <w:style w:type="paragraph" w:customStyle="1" w:styleId="affffffffffffffffffffffff5">
    <w:name w:val="陈表格中内容，两端对齐"/>
    <w:basedOn w:val="affffffffffffffff9"/>
    <w:next w:val="affffffffffffffff9"/>
    <w:qFormat/>
  </w:style>
  <w:style w:type="paragraph" w:customStyle="1" w:styleId="CM57">
    <w:name w:val="CM57"/>
    <w:basedOn w:val="Default"/>
    <w:next w:val="Default"/>
    <w:qFormat/>
    <w:pPr>
      <w:spacing w:after="318" w:line="278" w:lineRule="auto"/>
    </w:pPr>
    <w:rPr>
      <w:rFonts w:ascii="Times New Roman" w:hAnsi="Times New Roman" w:cs="Times New Roman"/>
      <w:color w:val="auto"/>
      <w:kern w:val="2"/>
    </w:rPr>
  </w:style>
  <w:style w:type="paragraph" w:customStyle="1" w:styleId="TimesNewRoman15">
    <w:name w:val="样式 纯文本普通文字 + Times New Roman 小四 两端对齐 行距: 1.5 倍行距"/>
    <w:basedOn w:val="aff8"/>
    <w:uiPriority w:val="99"/>
    <w:qFormat/>
    <w:pPr>
      <w:widowControl/>
      <w:spacing w:after="160" w:line="360" w:lineRule="auto"/>
      <w:ind w:firstLineChars="200" w:firstLine="480"/>
    </w:pPr>
    <w:rPr>
      <w:rFonts w:ascii="Times New Roman" w:hAnsi="Times New Roman" w:cs="宋体"/>
      <w:sz w:val="24"/>
      <w:szCs w:val="20"/>
    </w:rPr>
  </w:style>
  <w:style w:type="paragraph" w:customStyle="1" w:styleId="6a">
    <w:name w:val="6"/>
    <w:basedOn w:val="a7"/>
    <w:next w:val="aff4"/>
    <w:qFormat/>
    <w:pPr>
      <w:spacing w:after="160" w:line="360" w:lineRule="auto"/>
      <w:ind w:firstLineChars="200" w:firstLine="480"/>
    </w:pPr>
    <w:rPr>
      <w:kern w:val="0"/>
      <w:sz w:val="24"/>
    </w:rPr>
  </w:style>
  <w:style w:type="paragraph" w:customStyle="1" w:styleId="affffffffffffffffffffffff6">
    <w:name w:val="叩请金安！"/>
    <w:qFormat/>
    <w:pPr>
      <w:widowControl w:val="0"/>
      <w:spacing w:after="160" w:line="278" w:lineRule="auto"/>
      <w:jc w:val="both"/>
    </w:pPr>
    <w:rPr>
      <w:kern w:val="2"/>
      <w:sz w:val="21"/>
    </w:rPr>
  </w:style>
  <w:style w:type="paragraph" w:customStyle="1" w:styleId="1113">
    <w:name w:val="列出段落111"/>
    <w:basedOn w:val="a7"/>
    <w:qFormat/>
    <w:pPr>
      <w:spacing w:after="160" w:line="360" w:lineRule="auto"/>
      <w:ind w:firstLineChars="200" w:firstLine="420"/>
    </w:pPr>
    <w:rPr>
      <w:kern w:val="0"/>
      <w:sz w:val="24"/>
      <w:szCs w:val="20"/>
    </w:rPr>
  </w:style>
  <w:style w:type="paragraph" w:customStyle="1" w:styleId="jq">
    <w:name w:val="jq"/>
    <w:basedOn w:val="1"/>
    <w:qFormat/>
    <w:pPr>
      <w:keepNext/>
      <w:keepLines/>
      <w:widowControl/>
      <w:numPr>
        <w:numId w:val="0"/>
      </w:numPr>
      <w:overflowPunct w:val="0"/>
      <w:adjustRightInd w:val="0"/>
      <w:spacing w:beforeLines="0" w:before="0" w:after="160" w:line="576" w:lineRule="auto"/>
      <w:ind w:left="425" w:hanging="425"/>
      <w:jc w:val="center"/>
      <w:textAlignment w:val="center"/>
    </w:pPr>
    <w:rPr>
      <w:rFonts w:eastAsia="宋体" w:cs="宋体"/>
      <w:b/>
      <w:bCs/>
      <w:sz w:val="32"/>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7"/>
    <w:qFormat/>
    <w:pPr>
      <w:spacing w:after="160" w:line="278" w:lineRule="auto"/>
    </w:pPr>
  </w:style>
  <w:style w:type="paragraph" w:customStyle="1" w:styleId="22b">
    <w:name w:val="样式 标题 + 两端对齐 左侧:  2.2 厘米"/>
    <w:basedOn w:val="a"/>
    <w:qFormat/>
    <w:pPr>
      <w:numPr>
        <w:numId w:val="0"/>
      </w:numPr>
      <w:tabs>
        <w:tab w:val="left" w:pos="0"/>
      </w:tabs>
      <w:spacing w:before="0" w:after="100" w:afterAutospacing="1"/>
      <w:ind w:left="1247" w:hanging="57"/>
      <w:jc w:val="left"/>
    </w:pPr>
    <w:rPr>
      <w:rFonts w:ascii="楷体_GB2312" w:eastAsia="隶书" w:cs="宋体"/>
      <w:sz w:val="44"/>
      <w:szCs w:val="22"/>
    </w:rPr>
  </w:style>
  <w:style w:type="paragraph" w:customStyle="1" w:styleId="affffffffffffffffffffffff7">
    <w:name w:val="奇数页脚"/>
    <w:basedOn w:val="afff0"/>
    <w:qFormat/>
    <w:pPr>
      <w:widowControl/>
      <w:tabs>
        <w:tab w:val="clear" w:pos="4153"/>
        <w:tab w:val="clear" w:pos="8306"/>
        <w:tab w:val="center" w:pos="4320"/>
        <w:tab w:val="right" w:pos="8640"/>
      </w:tabs>
      <w:adjustRightInd w:val="0"/>
      <w:spacing w:after="160" w:line="360" w:lineRule="auto"/>
      <w:ind w:firstLineChars="200" w:firstLine="480"/>
      <w:jc w:val="right"/>
    </w:pPr>
    <w:rPr>
      <w:rFonts w:ascii="宋体" w:hAnsi="Calibri"/>
      <w:i/>
      <w:kern w:val="0"/>
      <w:sz w:val="24"/>
    </w:rPr>
  </w:style>
  <w:style w:type="paragraph" w:customStyle="1" w:styleId="ST2011">
    <w:name w:val="ST20_11"/>
    <w:basedOn w:val="ST202"/>
    <w:qFormat/>
  </w:style>
  <w:style w:type="paragraph" w:customStyle="1" w:styleId="Normal11">
    <w:name w:val="Normal_11"/>
    <w:qFormat/>
    <w:pPr>
      <w:spacing w:before="120" w:after="240" w:line="278" w:lineRule="auto"/>
      <w:jc w:val="both"/>
    </w:pPr>
    <w:rPr>
      <w:rFonts w:ascii="Calibri" w:eastAsia="Calibri" w:hAnsi="Calibri"/>
      <w:sz w:val="22"/>
      <w:szCs w:val="22"/>
      <w:lang w:eastAsia="en-US"/>
    </w:rPr>
  </w:style>
  <w:style w:type="paragraph" w:customStyle="1" w:styleId="3ff4">
    <w:name w:val="标题  3"/>
    <w:basedOn w:val="31"/>
    <w:qFormat/>
    <w:pPr>
      <w:keepNext/>
      <w:keepLines/>
      <w:numPr>
        <w:ilvl w:val="0"/>
        <w:numId w:val="0"/>
      </w:numPr>
      <w:tabs>
        <w:tab w:val="left" w:pos="0"/>
      </w:tabs>
      <w:spacing w:beforeLines="0" w:before="0" w:afterLines="0" w:after="0"/>
      <w:ind w:firstLineChars="200" w:firstLine="564"/>
      <w:textAlignment w:val="auto"/>
    </w:pPr>
    <w:rPr>
      <w:rFonts w:cs="宋体"/>
      <w:color w:val="auto"/>
      <w:kern w:val="0"/>
      <w:sz w:val="28"/>
      <w:szCs w:val="20"/>
      <w:lang w:val="en-US"/>
    </w:rPr>
  </w:style>
  <w:style w:type="paragraph" w:customStyle="1" w:styleId="affffffffffffffffffffffff8">
    <w:name w:val="封面标准文稿编辑信息"/>
    <w:qFormat/>
    <w:pPr>
      <w:spacing w:before="180" w:after="160" w:line="180" w:lineRule="exact"/>
      <w:jc w:val="center"/>
    </w:pPr>
    <w:rPr>
      <w:rFonts w:ascii="宋体"/>
      <w:sz w:val="21"/>
    </w:rPr>
  </w:style>
  <w:style w:type="paragraph" w:customStyle="1" w:styleId="CharCharff0">
    <w:name w:val="Char Char 字元 字元"/>
    <w:basedOn w:val="a7"/>
    <w:qFormat/>
    <w:pPr>
      <w:widowControl/>
      <w:spacing w:after="160" w:line="240" w:lineRule="exact"/>
      <w:ind w:firstLine="482"/>
      <w:jc w:val="left"/>
    </w:pPr>
    <w:rPr>
      <w:rFonts w:ascii="Verdana" w:hAnsi="Verdana"/>
      <w:kern w:val="0"/>
      <w:sz w:val="20"/>
      <w:szCs w:val="20"/>
      <w:lang w:eastAsia="en-US"/>
    </w:rPr>
  </w:style>
  <w:style w:type="paragraph" w:customStyle="1" w:styleId="0001">
    <w:name w:val="0001"/>
    <w:basedOn w:val="1"/>
    <w:qFormat/>
    <w:pPr>
      <w:keepNext/>
      <w:keepLines/>
      <w:pageBreakBefore/>
      <w:widowControl/>
      <w:numPr>
        <w:numId w:val="0"/>
      </w:numPr>
      <w:snapToGrid/>
      <w:spacing w:beforeLines="200" w:before="624" w:after="160"/>
      <w:jc w:val="center"/>
    </w:pPr>
    <w:rPr>
      <w:rFonts w:ascii="宋体" w:eastAsia="楷体_GB2312"/>
      <w:b/>
      <w:kern w:val="0"/>
      <w:sz w:val="36"/>
      <w:szCs w:val="20"/>
    </w:rPr>
  </w:style>
  <w:style w:type="paragraph" w:customStyle="1" w:styleId="ST2047">
    <w:name w:val="ST20_47"/>
    <w:basedOn w:val="ST202"/>
    <w:qFormat/>
  </w:style>
  <w:style w:type="paragraph" w:customStyle="1" w:styleId="5S">
    <w:name w:val="表内5S"/>
    <w:basedOn w:val="a7"/>
    <w:qFormat/>
    <w:pPr>
      <w:spacing w:after="160" w:line="300" w:lineRule="exact"/>
      <w:jc w:val="center"/>
    </w:pPr>
    <w:rPr>
      <w:rFonts w:eastAsia="方正宋三简体"/>
      <w:szCs w:val="20"/>
    </w:rPr>
  </w:style>
  <w:style w:type="paragraph" w:customStyle="1" w:styleId="3ff5">
    <w:name w:val="样式 标题 3 + 小四 行距: 单倍行距"/>
    <w:basedOn w:val="31"/>
    <w:qFormat/>
    <w:pPr>
      <w:keepNext/>
      <w:keepLines/>
      <w:numPr>
        <w:ilvl w:val="0"/>
        <w:numId w:val="0"/>
      </w:numPr>
      <w:tabs>
        <w:tab w:val="left" w:pos="5460"/>
      </w:tabs>
      <w:adjustRightInd/>
      <w:snapToGrid/>
      <w:spacing w:afterLines="0" w:after="156" w:line="240" w:lineRule="auto"/>
      <w:textAlignment w:val="auto"/>
    </w:pPr>
    <w:rPr>
      <w:rFonts w:cs="宋体"/>
      <w:color w:val="auto"/>
      <w:sz w:val="28"/>
      <w:szCs w:val="20"/>
      <w:lang w:val="en-US"/>
    </w:rPr>
  </w:style>
  <w:style w:type="paragraph" w:customStyle="1" w:styleId="affffffffffffffffffffffff9">
    <w:name w:val="表内容"/>
    <w:basedOn w:val="a7"/>
    <w:next w:val="a7"/>
    <w:qFormat/>
    <w:pPr>
      <w:spacing w:after="160" w:line="320" w:lineRule="exact"/>
      <w:ind w:firstLine="482"/>
      <w:jc w:val="center"/>
    </w:pPr>
    <w:rPr>
      <w:kern w:val="0"/>
      <w:sz w:val="24"/>
      <w:szCs w:val="20"/>
    </w:rPr>
  </w:style>
  <w:style w:type="paragraph" w:customStyle="1" w:styleId="affffffffffffffffffffffffa">
    <w:name w:val="正文小四缩"/>
    <w:basedOn w:val="a7"/>
    <w:qFormat/>
    <w:pPr>
      <w:widowControl/>
      <w:adjustRightInd w:val="0"/>
      <w:spacing w:before="120" w:after="160" w:line="420" w:lineRule="atLeast"/>
      <w:ind w:firstLine="510"/>
      <w:jc w:val="left"/>
    </w:pPr>
    <w:rPr>
      <w:rFonts w:ascii="宋体"/>
      <w:bCs/>
      <w:kern w:val="0"/>
      <w:sz w:val="24"/>
      <w:szCs w:val="20"/>
      <w:lang w:eastAsia="en-US" w:bidi="en-US"/>
    </w:rPr>
  </w:style>
  <w:style w:type="paragraph" w:customStyle="1" w:styleId="affffffffffffffffffffffffb">
    <w:name w:val="符号说明"/>
    <w:basedOn w:val="a7"/>
    <w:qFormat/>
    <w:pPr>
      <w:tabs>
        <w:tab w:val="left" w:pos="1260"/>
        <w:tab w:val="left" w:pos="3780"/>
        <w:tab w:val="left" w:pos="4680"/>
      </w:tabs>
      <w:spacing w:after="160" w:line="360" w:lineRule="auto"/>
      <w:ind w:firstLineChars="400" w:firstLine="1120"/>
    </w:pPr>
    <w:rPr>
      <w:sz w:val="28"/>
    </w:rPr>
  </w:style>
  <w:style w:type="paragraph" w:customStyle="1" w:styleId="TT">
    <w:name w:val="TT"/>
    <w:basedOn w:val="a7"/>
    <w:qFormat/>
    <w:pPr>
      <w:adjustRightInd w:val="0"/>
      <w:snapToGrid w:val="0"/>
      <w:spacing w:before="40" w:after="40" w:line="300" w:lineRule="auto"/>
      <w:jc w:val="left"/>
    </w:pPr>
    <w:rPr>
      <w:b/>
      <w:sz w:val="24"/>
      <w:szCs w:val="20"/>
    </w:rPr>
  </w:style>
  <w:style w:type="paragraph" w:customStyle="1" w:styleId="affffffffffffffffffffffffc">
    <w:name w:val="表格单位"/>
    <w:basedOn w:val="a7"/>
    <w:qFormat/>
    <w:pPr>
      <w:spacing w:after="160" w:line="320" w:lineRule="exact"/>
      <w:ind w:firstLineChars="200" w:firstLine="482"/>
      <w:jc w:val="right"/>
    </w:pPr>
    <w:rPr>
      <w:rFonts w:ascii="仿宋_GB2312" w:eastAsia="仿宋_GB2312"/>
      <w:kern w:val="0"/>
      <w:sz w:val="24"/>
    </w:rPr>
  </w:style>
  <w:style w:type="paragraph" w:customStyle="1" w:styleId="Letter">
    <w:name w:val="Letter"/>
    <w:qFormat/>
    <w:pPr>
      <w:tabs>
        <w:tab w:val="left" w:pos="0"/>
        <w:tab w:val="left" w:pos="712"/>
      </w:tabs>
      <w:spacing w:after="120" w:line="278" w:lineRule="auto"/>
      <w:ind w:left="712" w:hanging="720"/>
    </w:pPr>
  </w:style>
  <w:style w:type="paragraph" w:customStyle="1" w:styleId="LetterList">
    <w:name w:val="Letter List"/>
    <w:basedOn w:val="a7"/>
    <w:qFormat/>
    <w:pPr>
      <w:widowControl/>
      <w:tabs>
        <w:tab w:val="left" w:pos="0"/>
      </w:tabs>
      <w:spacing w:after="160" w:line="278" w:lineRule="auto"/>
      <w:ind w:left="1080" w:hanging="360"/>
    </w:pPr>
    <w:rPr>
      <w:kern w:val="0"/>
      <w:sz w:val="22"/>
      <w:szCs w:val="20"/>
      <w:lang w:eastAsia="en-US"/>
    </w:rPr>
  </w:style>
  <w:style w:type="paragraph" w:customStyle="1" w:styleId="Style43">
    <w:name w:val="Style43"/>
    <w:basedOn w:val="a7"/>
    <w:qFormat/>
    <w:pPr>
      <w:adjustRightInd w:val="0"/>
      <w:spacing w:after="160" w:line="360" w:lineRule="auto"/>
      <w:ind w:firstLine="482"/>
      <w:jc w:val="left"/>
    </w:pPr>
    <w:rPr>
      <w:rFonts w:ascii="宋体"/>
      <w:kern w:val="0"/>
      <w:sz w:val="24"/>
    </w:rPr>
  </w:style>
  <w:style w:type="paragraph" w:customStyle="1" w:styleId="affffffffffffffffffffffffd">
    <w:name w:val="表格内"/>
    <w:basedOn w:val="a7"/>
    <w:qFormat/>
    <w:pPr>
      <w:widowControl/>
      <w:adjustRightInd w:val="0"/>
      <w:snapToGrid w:val="0"/>
      <w:spacing w:after="200" w:line="360" w:lineRule="exact"/>
      <w:ind w:firstLine="482"/>
      <w:jc w:val="center"/>
    </w:pPr>
    <w:rPr>
      <w:rFonts w:ascii="宋体" w:eastAsia="微软雅黑"/>
      <w:snapToGrid w:val="0"/>
      <w:kern w:val="0"/>
      <w:sz w:val="22"/>
    </w:rPr>
  </w:style>
  <w:style w:type="paragraph" w:customStyle="1" w:styleId="Char3CharCharCharCharCharChar">
    <w:name w:val="Char3 Char Char Char Char Char Char"/>
    <w:basedOn w:val="a7"/>
    <w:qFormat/>
    <w:pPr>
      <w:widowControl/>
      <w:spacing w:after="160" w:line="360" w:lineRule="auto"/>
      <w:ind w:firstLine="482"/>
      <w:jc w:val="left"/>
    </w:pPr>
    <w:rPr>
      <w:rFonts w:ascii="宋体" w:hAnsi="宋体" w:cs="宋体"/>
      <w:kern w:val="0"/>
      <w:sz w:val="24"/>
    </w:rPr>
  </w:style>
  <w:style w:type="paragraph" w:customStyle="1" w:styleId="411">
    <w:name w:val="样式 标题 4 + 四号 段前: 1 行"/>
    <w:basedOn w:val="41"/>
    <w:uiPriority w:val="99"/>
    <w:qFormat/>
    <w:pPr>
      <w:keepNext/>
      <w:keepLines/>
      <w:widowControl/>
      <w:numPr>
        <w:ilvl w:val="0"/>
        <w:numId w:val="0"/>
      </w:numPr>
      <w:tabs>
        <w:tab w:val="clear" w:pos="864"/>
        <w:tab w:val="left" w:pos="1680"/>
      </w:tabs>
      <w:adjustRightInd/>
      <w:snapToGrid/>
      <w:spacing w:beforeLines="100" w:before="280" w:afterLines="0" w:after="0" w:line="420" w:lineRule="exact"/>
      <w:ind w:left="560"/>
      <w:jc w:val="both"/>
      <w:textAlignment w:val="auto"/>
    </w:pPr>
    <w:rPr>
      <w:rFonts w:ascii="Arial" w:eastAsia="黑体" w:hAnsi="Arial"/>
      <w:b w:val="0"/>
      <w:bCs w:val="0"/>
      <w:color w:val="auto"/>
      <w:kern w:val="0"/>
      <w:szCs w:val="20"/>
      <w:lang w:val="en-US"/>
    </w:rPr>
  </w:style>
  <w:style w:type="paragraph" w:customStyle="1" w:styleId="CharCharCharChar3">
    <w:name w:val="Char Char Char Char"/>
    <w:basedOn w:val="a7"/>
    <w:uiPriority w:val="99"/>
    <w:qFormat/>
    <w:pPr>
      <w:spacing w:after="160" w:line="360" w:lineRule="auto"/>
      <w:ind w:firstLine="482"/>
    </w:pPr>
    <w:rPr>
      <w:rFonts w:ascii="Tahoma" w:hAnsi="Tahoma"/>
      <w:kern w:val="0"/>
      <w:sz w:val="24"/>
      <w:szCs w:val="20"/>
    </w:rPr>
  </w:style>
  <w:style w:type="paragraph" w:customStyle="1" w:styleId="2fffd">
    <w:name w:val="表格方案样式2"/>
    <w:basedOn w:val="a7"/>
    <w:qFormat/>
    <w:pPr>
      <w:tabs>
        <w:tab w:val="left" w:pos="567"/>
      </w:tabs>
      <w:spacing w:after="160" w:line="360" w:lineRule="auto"/>
      <w:ind w:firstLine="482"/>
      <w:jc w:val="center"/>
    </w:pPr>
    <w:rPr>
      <w:rFonts w:eastAsia="华文中宋"/>
      <w:kern w:val="0"/>
      <w:sz w:val="24"/>
      <w:szCs w:val="20"/>
    </w:rPr>
  </w:style>
  <w:style w:type="paragraph" w:customStyle="1" w:styleId="1ffff">
    <w:name w:val="1）"/>
    <w:basedOn w:val="a7"/>
    <w:qFormat/>
    <w:pPr>
      <w:spacing w:after="160" w:line="440" w:lineRule="exact"/>
      <w:ind w:firstLine="454"/>
    </w:pPr>
    <w:rPr>
      <w:rFonts w:ascii="宋体"/>
      <w:sz w:val="24"/>
    </w:rPr>
  </w:style>
  <w:style w:type="paragraph" w:customStyle="1" w:styleId="a4">
    <w:name w:val="带星号 编号"/>
    <w:basedOn w:val="2ffd"/>
    <w:qFormat/>
    <w:pPr>
      <w:numPr>
        <w:numId w:val="17"/>
      </w:numPr>
      <w:tabs>
        <w:tab w:val="clear" w:pos="900"/>
        <w:tab w:val="left" w:pos="540"/>
        <w:tab w:val="left" w:pos="720"/>
        <w:tab w:val="left" w:pos="780"/>
        <w:tab w:val="left" w:pos="840"/>
        <w:tab w:val="left" w:pos="1768"/>
      </w:tabs>
      <w:spacing w:before="93"/>
      <w:ind w:left="540" w:firstLineChars="0" w:hanging="540"/>
    </w:pPr>
  </w:style>
  <w:style w:type="paragraph" w:customStyle="1" w:styleId="Char120">
    <w:name w:val="Char12"/>
    <w:basedOn w:val="a7"/>
    <w:qFormat/>
    <w:pPr>
      <w:keepLines/>
      <w:pageBreakBefore/>
      <w:tabs>
        <w:tab w:val="left" w:pos="1320"/>
      </w:tabs>
      <w:spacing w:before="240" w:after="240" w:line="560" w:lineRule="exact"/>
      <w:ind w:firstLine="482"/>
      <w:outlineLvl w:val="0"/>
    </w:pPr>
    <w:rPr>
      <w:rFonts w:ascii="Arial" w:eastAsia="仿宋_GB2312" w:hAnsi="Arial"/>
      <w:bCs/>
      <w:kern w:val="44"/>
      <w:sz w:val="28"/>
      <w:szCs w:val="30"/>
    </w:rPr>
  </w:style>
  <w:style w:type="paragraph" w:customStyle="1" w:styleId="BodyText21">
    <w:name w:val="Body Text 21"/>
    <w:basedOn w:val="a7"/>
    <w:qFormat/>
    <w:pPr>
      <w:autoSpaceDE w:val="0"/>
      <w:autoSpaceDN w:val="0"/>
      <w:adjustRightInd w:val="0"/>
      <w:spacing w:after="160" w:line="500" w:lineRule="atLeast"/>
      <w:ind w:firstLine="480"/>
      <w:jc w:val="left"/>
      <w:textAlignment w:val="bottom"/>
    </w:pPr>
    <w:rPr>
      <w:kern w:val="0"/>
      <w:sz w:val="28"/>
      <w:szCs w:val="20"/>
    </w:rPr>
  </w:style>
  <w:style w:type="paragraph" w:customStyle="1" w:styleId="BodyTextFirstIndent3">
    <w:name w:val="Body Text First Indent3"/>
    <w:basedOn w:val="aff2"/>
    <w:qFormat/>
    <w:pPr>
      <w:adjustRightInd w:val="0"/>
      <w:spacing w:before="0" w:line="312" w:lineRule="auto"/>
      <w:ind w:left="0" w:firstLine="567"/>
      <w:jc w:val="both"/>
      <w:textAlignment w:val="baseline"/>
    </w:pPr>
    <w:rPr>
      <w:rFonts w:ascii="Times New Roman" w:hAnsi="Times New Roman"/>
      <w:sz w:val="28"/>
      <w:szCs w:val="20"/>
      <w:lang w:eastAsia="zh-CN"/>
    </w:rPr>
  </w:style>
  <w:style w:type="paragraph" w:customStyle="1" w:styleId="5f9">
    <w:name w:val="表内5中"/>
    <w:basedOn w:val="a7"/>
    <w:qFormat/>
    <w:pPr>
      <w:spacing w:after="160" w:line="360" w:lineRule="auto"/>
      <w:ind w:firstLine="482"/>
      <w:jc w:val="center"/>
    </w:pPr>
    <w:rPr>
      <w:rFonts w:ascii="宋体"/>
      <w:kern w:val="0"/>
      <w:sz w:val="24"/>
    </w:rPr>
  </w:style>
  <w:style w:type="paragraph" w:customStyle="1" w:styleId="1527878">
    <w:name w:val="样式 样式 宋体 小四 行距: 1.5 倍行距 + 首行缩进:  2 字符 段前: 7.8 磅 段后: 7.8 磅"/>
    <w:basedOn w:val="a7"/>
    <w:uiPriority w:val="99"/>
    <w:qFormat/>
    <w:pPr>
      <w:snapToGrid w:val="0"/>
      <w:spacing w:beforeLines="50" w:afterLines="50" w:after="160" w:line="360" w:lineRule="auto"/>
      <w:ind w:firstLineChars="200" w:firstLine="200"/>
      <w:jc w:val="left"/>
    </w:pPr>
    <w:rPr>
      <w:rFonts w:ascii="宋体" w:hAnsi="宋体"/>
      <w:sz w:val="24"/>
      <w:szCs w:val="20"/>
    </w:rPr>
  </w:style>
  <w:style w:type="paragraph" w:customStyle="1" w:styleId="4CharChar">
    <w:name w:val="字元 字元4 Char Char"/>
    <w:basedOn w:val="af9"/>
    <w:uiPriority w:val="99"/>
    <w:qFormat/>
    <w:pPr>
      <w:keepNext/>
      <w:snapToGrid w:val="0"/>
      <w:spacing w:beforeLines="100" w:after="160" w:line="278" w:lineRule="auto"/>
      <w:ind w:firstLineChars="0" w:firstLine="0"/>
      <w:jc w:val="left"/>
    </w:pPr>
    <w:rPr>
      <w:rFonts w:ascii="Tahoma" w:hAnsi="Tahoma"/>
      <w:kern w:val="0"/>
      <w:szCs w:val="21"/>
      <w:lang w:val="zh-CN"/>
    </w:rPr>
  </w:style>
  <w:style w:type="paragraph" w:customStyle="1" w:styleId="xl310">
    <w:name w:val="xl310"/>
    <w:basedOn w:val="a7"/>
    <w:qFormat/>
    <w:pPr>
      <w:widowControl/>
      <w:pBdr>
        <w:left w:val="single" w:sz="4" w:space="0" w:color="auto"/>
        <w:right w:val="single" w:sz="4" w:space="0" w:color="auto"/>
      </w:pBdr>
      <w:spacing w:before="100" w:beforeAutospacing="1" w:after="100" w:afterAutospacing="1" w:line="278" w:lineRule="auto"/>
      <w:jc w:val="center"/>
      <w:textAlignment w:val="center"/>
    </w:pPr>
    <w:rPr>
      <w:kern w:val="0"/>
      <w:sz w:val="14"/>
      <w:szCs w:val="1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7"/>
    <w:qFormat/>
    <w:pPr>
      <w:spacing w:after="160" w:line="278" w:lineRule="auto"/>
    </w:pPr>
  </w:style>
  <w:style w:type="paragraph" w:customStyle="1" w:styleId="21122">
    <w:name w:val="样式 标题 21.1标题 2 + 首行缩进:  2 字符"/>
    <w:basedOn w:val="21"/>
    <w:qFormat/>
    <w:pPr>
      <w:keepNext/>
      <w:keepLines/>
      <w:numPr>
        <w:ilvl w:val="0"/>
        <w:numId w:val="0"/>
      </w:numPr>
      <w:spacing w:beforeLines="0" w:before="0" w:afterLines="0" w:after="0" w:line="500" w:lineRule="exact"/>
      <w:ind w:firstLineChars="200" w:firstLine="602"/>
    </w:pPr>
    <w:rPr>
      <w:rFonts w:ascii="宋体" w:eastAsia="楷体_GB2312" w:hAnsi="宋体" w:cs="宋体"/>
      <w:smallCaps w:val="0"/>
      <w:color w:val="auto"/>
      <w:kern w:val="44"/>
      <w:sz w:val="30"/>
      <w:szCs w:val="30"/>
    </w:rPr>
  </w:style>
  <w:style w:type="paragraph" w:customStyle="1" w:styleId="xl284">
    <w:name w:val="xl284"/>
    <w:basedOn w:val="a7"/>
    <w:qFormat/>
    <w:pPr>
      <w:widowControl/>
      <w:pBdr>
        <w:lef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TimesNewRoman22">
    <w:name w:val="样式 样式 样式 样式 纯文本 + Times New Roman + 首行缩进:  2 字符 + 首行缩进:  2 字符 + ..."/>
    <w:basedOn w:val="a7"/>
    <w:qFormat/>
    <w:pPr>
      <w:adjustRightInd w:val="0"/>
      <w:spacing w:after="160" w:line="360" w:lineRule="auto"/>
      <w:ind w:firstLineChars="200" w:firstLine="482"/>
    </w:pPr>
    <w:rPr>
      <w:rFonts w:ascii="Arial" w:hAnsi="Arial"/>
      <w:bCs/>
      <w:sz w:val="24"/>
      <w:szCs w:val="20"/>
    </w:rPr>
  </w:style>
  <w:style w:type="paragraph" w:customStyle="1" w:styleId="1ffff0">
    <w:name w:val="表格填充1"/>
    <w:basedOn w:val="a7"/>
    <w:qFormat/>
    <w:pPr>
      <w:snapToGrid w:val="0"/>
      <w:spacing w:after="160" w:line="278" w:lineRule="auto"/>
      <w:jc w:val="center"/>
    </w:pPr>
    <w:rPr>
      <w:sz w:val="30"/>
      <w:szCs w:val="18"/>
    </w:rPr>
  </w:style>
  <w:style w:type="paragraph" w:customStyle="1" w:styleId="Style82">
    <w:name w:val="Style82"/>
    <w:basedOn w:val="a7"/>
    <w:qFormat/>
    <w:pPr>
      <w:adjustRightInd w:val="0"/>
      <w:spacing w:after="160" w:line="360" w:lineRule="auto"/>
      <w:ind w:firstLine="482"/>
      <w:jc w:val="left"/>
    </w:pPr>
    <w:rPr>
      <w:rFonts w:ascii="宋体"/>
      <w:kern w:val="0"/>
      <w:sz w:val="24"/>
    </w:rPr>
  </w:style>
  <w:style w:type="paragraph" w:customStyle="1" w:styleId="xl117">
    <w:name w:val="xl117"/>
    <w:basedOn w:val="a7"/>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181">
    <w:name w:val="样式 表格文字居中 + 五号 段前: 自动 行距: 固定值 18 磅"/>
    <w:basedOn w:val="a7"/>
    <w:qFormat/>
    <w:pPr>
      <w:keepNext/>
      <w:tabs>
        <w:tab w:val="left" w:pos="628"/>
        <w:tab w:val="left" w:pos="1727"/>
        <w:tab w:val="left" w:pos="1884"/>
      </w:tabs>
      <w:snapToGrid w:val="0"/>
      <w:spacing w:beforeAutospacing="1" w:after="160" w:line="360" w:lineRule="exact"/>
      <w:jc w:val="center"/>
    </w:pPr>
    <w:rPr>
      <w:rFonts w:cs="宋体"/>
      <w:kern w:val="0"/>
    </w:rPr>
  </w:style>
  <w:style w:type="paragraph" w:customStyle="1" w:styleId="affffffffffffffffffffffffe">
    <w:name w:val="样式 列表 + 居中"/>
    <w:basedOn w:val="afffa"/>
    <w:qFormat/>
    <w:pPr>
      <w:adjustRightInd/>
      <w:snapToGrid w:val="0"/>
      <w:spacing w:after="160" w:line="240" w:lineRule="auto"/>
      <w:ind w:left="0" w:rightChars="-45" w:right="-45" w:firstLineChars="0" w:firstLine="0"/>
      <w:jc w:val="center"/>
      <w:textAlignment w:val="auto"/>
    </w:pPr>
    <w:rPr>
      <w:sz w:val="20"/>
      <w:szCs w:val="22"/>
    </w:rPr>
  </w:style>
  <w:style w:type="paragraph" w:customStyle="1" w:styleId="xl152">
    <w:name w:val="xl152"/>
    <w:basedOn w:val="a7"/>
    <w:uiPriority w:val="99"/>
    <w:qFormat/>
    <w:pPr>
      <w:widowControl/>
      <w:pBdr>
        <w:top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InTable">
    <w:name w:val="In Table"/>
    <w:basedOn w:val="a7"/>
    <w:qFormat/>
    <w:pPr>
      <w:tabs>
        <w:tab w:val="left" w:pos="3960"/>
        <w:tab w:val="left" w:pos="5280"/>
      </w:tabs>
      <w:spacing w:before="96" w:after="96" w:line="0" w:lineRule="atLeast"/>
      <w:ind w:firstLine="482"/>
      <w:jc w:val="center"/>
    </w:pPr>
    <w:rPr>
      <w:rFonts w:ascii="Tahoma" w:eastAsia="华文中宋" w:hAnsi="Tahoma"/>
      <w:kern w:val="0"/>
      <w:sz w:val="24"/>
      <w:szCs w:val="20"/>
    </w:rPr>
  </w:style>
  <w:style w:type="paragraph" w:customStyle="1" w:styleId="Address2">
    <w:name w:val="Address 2"/>
    <w:basedOn w:val="a7"/>
    <w:qFormat/>
    <w:pPr>
      <w:framePr w:w="2405" w:wrap="notBeside" w:vAnchor="page" w:hAnchor="page" w:x="5761" w:y="1009" w:anchorLock="1"/>
      <w:widowControl/>
      <w:spacing w:after="160" w:line="200" w:lineRule="atLeast"/>
      <w:jc w:val="left"/>
    </w:pPr>
    <w:rPr>
      <w:kern w:val="0"/>
      <w:sz w:val="16"/>
      <w:szCs w:val="20"/>
    </w:rPr>
  </w:style>
  <w:style w:type="paragraph" w:customStyle="1" w:styleId="afffffffffffffffffffffffff">
    <w:name w:val="华雯"/>
    <w:basedOn w:val="a7"/>
    <w:qFormat/>
    <w:pPr>
      <w:spacing w:after="160" w:line="360" w:lineRule="auto"/>
      <w:ind w:firstLine="482"/>
    </w:pPr>
    <w:rPr>
      <w:kern w:val="0"/>
      <w:sz w:val="24"/>
    </w:rPr>
  </w:style>
  <w:style w:type="paragraph" w:customStyle="1" w:styleId="afffffffffffffffffffffffff0">
    <w:name w:val="正文段落"/>
    <w:qFormat/>
    <w:pPr>
      <w:spacing w:beforeLines="50" w:before="156" w:after="160" w:line="278" w:lineRule="auto"/>
      <w:ind w:firstLineChars="200" w:firstLine="505"/>
    </w:pPr>
    <w:rPr>
      <w:bCs/>
      <w:kern w:val="2"/>
      <w:sz w:val="24"/>
      <w:szCs w:val="24"/>
    </w:rPr>
  </w:style>
  <w:style w:type="paragraph" w:customStyle="1" w:styleId="M">
    <w:name w:val="M"/>
    <w:basedOn w:val="1"/>
    <w:qFormat/>
    <w:pPr>
      <w:keepNext/>
      <w:widowControl/>
      <w:numPr>
        <w:numId w:val="0"/>
      </w:numPr>
      <w:tabs>
        <w:tab w:val="left" w:pos="2260"/>
        <w:tab w:val="left" w:pos="2820"/>
        <w:tab w:val="left" w:pos="3420"/>
      </w:tabs>
      <w:adjustRightInd w:val="0"/>
      <w:spacing w:beforeLines="0" w:before="440" w:after="120" w:line="278" w:lineRule="auto"/>
      <w:ind w:left="851" w:right="-28" w:hanging="851"/>
    </w:pPr>
    <w:rPr>
      <w:rFonts w:ascii="Arial" w:eastAsia="宋体"/>
      <w:b/>
      <w:kern w:val="0"/>
      <w:sz w:val="22"/>
      <w:szCs w:val="20"/>
    </w:rPr>
  </w:style>
  <w:style w:type="paragraph" w:customStyle="1" w:styleId="xl86">
    <w:name w:val="xl86"/>
    <w:basedOn w:val="a7"/>
    <w:qFormat/>
    <w:pPr>
      <w:widowControl/>
      <w:pBdr>
        <w:top w:val="single" w:sz="8" w:space="0" w:color="000000"/>
        <w:bottom w:val="single" w:sz="8" w:space="0" w:color="000000"/>
        <w:right w:val="single" w:sz="8" w:space="0" w:color="000000"/>
      </w:pBdr>
      <w:snapToGrid w:val="0"/>
      <w:spacing w:before="100" w:beforeAutospacing="1" w:after="100" w:afterAutospacing="1" w:line="278" w:lineRule="auto"/>
      <w:jc w:val="left"/>
    </w:pPr>
    <w:rPr>
      <w:rFonts w:ascii="宋体" w:hAnsi="宋体" w:cs="宋体"/>
      <w:color w:val="000000"/>
      <w:kern w:val="0"/>
      <w:sz w:val="24"/>
    </w:rPr>
  </w:style>
  <w:style w:type="paragraph" w:customStyle="1" w:styleId="xl33">
    <w:name w:val="xl33"/>
    <w:basedOn w:val="a7"/>
    <w:uiPriority w:val="99"/>
    <w:qFormat/>
    <w:pPr>
      <w:widowControl/>
      <w:pBdr>
        <w:top w:val="single" w:sz="4" w:space="0" w:color="auto"/>
        <w:bottom w:val="single" w:sz="4" w:space="0" w:color="auto"/>
      </w:pBdr>
      <w:spacing w:before="100" w:after="100" w:line="360" w:lineRule="auto"/>
      <w:ind w:firstLine="482"/>
      <w:jc w:val="center"/>
      <w:textAlignment w:val="center"/>
    </w:pPr>
    <w:rPr>
      <w:rFonts w:ascii="宋体" w:hAnsi="宋体"/>
      <w:kern w:val="0"/>
      <w:sz w:val="24"/>
    </w:rPr>
  </w:style>
  <w:style w:type="paragraph" w:customStyle="1" w:styleId="xl57">
    <w:name w:val="xl57"/>
    <w:basedOn w:val="a7"/>
    <w:qFormat/>
    <w:pPr>
      <w:widowControl/>
      <w:pBdr>
        <w:top w:val="single" w:sz="8" w:space="0" w:color="auto"/>
        <w:bottom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04">
    <w:name w:val="样式 正文缩进正文（首行缩进两字）文本条款 + 段前: 0.4 行"/>
    <w:basedOn w:val="af3"/>
    <w:uiPriority w:val="99"/>
    <w:qFormat/>
    <w:pPr>
      <w:spacing w:beforeLines="30" w:after="160" w:line="288" w:lineRule="auto"/>
      <w:ind w:firstLineChars="0" w:firstLine="0"/>
      <w:outlineLvl w:val="6"/>
    </w:pPr>
    <w:rPr>
      <w:rFonts w:eastAsia="黑体" w:cs="Times New Roman"/>
      <w:b/>
      <w:sz w:val="28"/>
      <w:szCs w:val="20"/>
    </w:rPr>
  </w:style>
  <w:style w:type="paragraph" w:customStyle="1" w:styleId="xl91">
    <w:name w:val="xl91"/>
    <w:basedOn w:val="a7"/>
    <w:qFormat/>
    <w:pPr>
      <w:widowControl/>
      <w:pBdr>
        <w:bottom w:val="single" w:sz="8" w:space="0" w:color="auto"/>
        <w:right w:val="single" w:sz="8" w:space="0" w:color="auto"/>
      </w:pBdr>
      <w:snapToGrid w:val="0"/>
      <w:spacing w:before="100" w:beforeAutospacing="1" w:after="100" w:afterAutospacing="1" w:line="278" w:lineRule="auto"/>
      <w:jc w:val="center"/>
    </w:pPr>
    <w:rPr>
      <w:rFonts w:ascii="宋体" w:hAnsi="宋体" w:cs="宋体"/>
      <w:color w:val="000000"/>
      <w:kern w:val="0"/>
    </w:rPr>
  </w:style>
  <w:style w:type="paragraph" w:customStyle="1" w:styleId="afffffffffffffffffffffffff1">
    <w:name w:val="居中正文"/>
    <w:basedOn w:val="affff7"/>
    <w:qFormat/>
    <w:pPr>
      <w:spacing w:line="480" w:lineRule="exact"/>
      <w:ind w:firstLineChars="200" w:firstLine="520"/>
    </w:pPr>
    <w:rPr>
      <w:rFonts w:ascii="Times New Roman" w:hAnsi="宋体" w:cs="Times New Roman"/>
      <w:bCs/>
      <w:kern w:val="0"/>
      <w:sz w:val="26"/>
      <w:szCs w:val="26"/>
    </w:rPr>
  </w:style>
  <w:style w:type="paragraph" w:customStyle="1" w:styleId="311">
    <w:name w:val="正文文本 31"/>
    <w:basedOn w:val="a7"/>
    <w:qFormat/>
    <w:pPr>
      <w:adjustRightInd w:val="0"/>
      <w:spacing w:after="160" w:line="360" w:lineRule="atLeast"/>
      <w:ind w:firstLine="482"/>
      <w:jc w:val="center"/>
      <w:textAlignment w:val="baseline"/>
    </w:pPr>
    <w:rPr>
      <w:rFonts w:ascii="仿宋体" w:eastAsia="仿宋体" w:hAnsi="宋体"/>
      <w:kern w:val="0"/>
      <w:sz w:val="24"/>
      <w:szCs w:val="20"/>
    </w:rPr>
  </w:style>
  <w:style w:type="paragraph" w:customStyle="1" w:styleId="CharCharCharCharCharChar1">
    <w:name w:val="Char Char Char Char Char Char1"/>
    <w:basedOn w:val="a7"/>
    <w:qFormat/>
    <w:pPr>
      <w:spacing w:after="160" w:line="278" w:lineRule="auto"/>
    </w:pPr>
  </w:style>
  <w:style w:type="paragraph" w:customStyle="1" w:styleId="afffffffffffffffffffffffff2">
    <w:name w:val="奇数页眉"/>
    <w:basedOn w:val="afff3"/>
    <w:qFormat/>
    <w:pPr>
      <w:widowControl/>
      <w:adjustRightInd w:val="0"/>
      <w:spacing w:after="160" w:line="278" w:lineRule="auto"/>
      <w:ind w:firstLineChars="200" w:firstLine="480"/>
      <w:jc w:val="right"/>
    </w:pPr>
    <w:rPr>
      <w:rFonts w:ascii="宋体" w:hAnsi="Calibri"/>
      <w:i/>
      <w:iCs/>
      <w:kern w:val="0"/>
      <w:sz w:val="24"/>
    </w:rPr>
  </w:style>
  <w:style w:type="paragraph" w:customStyle="1" w:styleId="afffffffffffffffffffffffff3">
    <w:name w:val="报告节"/>
    <w:basedOn w:val="a7"/>
    <w:next w:val="a7"/>
    <w:qFormat/>
    <w:pPr>
      <w:keepNext/>
      <w:widowControl/>
      <w:tabs>
        <w:tab w:val="left" w:pos="3319"/>
        <w:tab w:val="left" w:pos="3600"/>
      </w:tabs>
      <w:spacing w:after="160" w:line="720" w:lineRule="auto"/>
      <w:jc w:val="center"/>
      <w:outlineLvl w:val="1"/>
    </w:pPr>
    <w:rPr>
      <w:rFonts w:ascii="仿宋_GB2312" w:eastAsia="仿宋_GB2312"/>
      <w:b/>
      <w:sz w:val="32"/>
      <w:szCs w:val="32"/>
    </w:rPr>
  </w:style>
  <w:style w:type="paragraph" w:customStyle="1" w:styleId="afffffffffffffffffffffffff4">
    <w:name w:val="正式文字"/>
    <w:basedOn w:val="a7"/>
    <w:qFormat/>
    <w:pPr>
      <w:spacing w:after="160" w:line="460" w:lineRule="exact"/>
      <w:ind w:firstLineChars="200" w:firstLine="200"/>
    </w:pPr>
    <w:rPr>
      <w:rFonts w:ascii="宋体" w:hAnsi="宋体" w:cs="宋体"/>
      <w:kern w:val="0"/>
      <w:sz w:val="26"/>
      <w:szCs w:val="20"/>
    </w:rPr>
  </w:style>
  <w:style w:type="paragraph" w:customStyle="1" w:styleId="051822">
    <w:name w:val="样式 样式 样式 样式 宋体 段前: 0.5 行 行距: 固定值 18 磅 + 首行缩进:  2 字符 + 首行缩进:  2 字..."/>
    <w:basedOn w:val="a7"/>
    <w:uiPriority w:val="99"/>
    <w:qFormat/>
    <w:pPr>
      <w:widowControl/>
      <w:spacing w:after="160" w:line="360" w:lineRule="exact"/>
      <w:ind w:firstLineChars="200" w:firstLine="459"/>
    </w:pPr>
    <w:rPr>
      <w:sz w:val="24"/>
      <w:szCs w:val="20"/>
      <w:lang w:val="zh-CN"/>
    </w:rPr>
  </w:style>
  <w:style w:type="paragraph" w:customStyle="1" w:styleId="Style10">
    <w:name w:val="_Style 10"/>
    <w:basedOn w:val="a7"/>
    <w:next w:val="aff2"/>
    <w:qFormat/>
    <w:pPr>
      <w:spacing w:after="160" w:line="360" w:lineRule="auto"/>
      <w:ind w:firstLine="482"/>
    </w:pPr>
    <w:rPr>
      <w:kern w:val="0"/>
      <w:sz w:val="24"/>
      <w:szCs w:val="20"/>
    </w:rPr>
  </w:style>
  <w:style w:type="paragraph" w:customStyle="1" w:styleId="album-div">
    <w:name w:val="album-div"/>
    <w:basedOn w:val="a7"/>
    <w:uiPriority w:val="99"/>
    <w:qFormat/>
    <w:pPr>
      <w:widowControl/>
      <w:spacing w:before="100" w:beforeAutospacing="1" w:after="100" w:afterAutospacing="1" w:line="278" w:lineRule="auto"/>
      <w:jc w:val="left"/>
    </w:pPr>
    <w:rPr>
      <w:rFonts w:ascii="宋体" w:hAnsi="宋体" w:cs="宋体"/>
      <w:kern w:val="0"/>
      <w:sz w:val="24"/>
    </w:rPr>
  </w:style>
  <w:style w:type="paragraph" w:customStyle="1" w:styleId="1ffff1">
    <w:name w:val="环标1"/>
    <w:basedOn w:val="1"/>
    <w:uiPriority w:val="99"/>
    <w:qFormat/>
    <w:pPr>
      <w:keepNext/>
      <w:numPr>
        <w:numId w:val="0"/>
      </w:numPr>
      <w:adjustRightInd w:val="0"/>
      <w:snapToGrid/>
      <w:spacing w:beforeLines="0" w:before="0" w:after="120" w:line="312" w:lineRule="atLeast"/>
      <w:jc w:val="left"/>
      <w:textAlignment w:val="baseline"/>
    </w:pPr>
    <w:rPr>
      <w:rFonts w:ascii="黑体" w:eastAsia="黑体" w:hAnsi="Courier New"/>
      <w:sz w:val="32"/>
      <w:szCs w:val="20"/>
    </w:rPr>
  </w:style>
  <w:style w:type="paragraph" w:customStyle="1" w:styleId="11111">
    <w:name w:val="四级标题1.1.1.1"/>
    <w:basedOn w:val="a7"/>
    <w:next w:val="a7"/>
    <w:qFormat/>
    <w:pPr>
      <w:keepNext/>
      <w:keepLines/>
      <w:widowControl/>
      <w:adjustRightInd w:val="0"/>
      <w:spacing w:before="40" w:after="40" w:line="360" w:lineRule="auto"/>
      <w:ind w:firstLine="482"/>
      <w:textAlignment w:val="baseline"/>
      <w:outlineLvl w:val="3"/>
    </w:pPr>
    <w:rPr>
      <w:rFonts w:ascii="宋体" w:hAnsi="宋体" w:cs="宋体"/>
      <w:b/>
      <w:color w:val="000000"/>
      <w:kern w:val="0"/>
      <w:sz w:val="24"/>
      <w:szCs w:val="28"/>
    </w:rPr>
  </w:style>
  <w:style w:type="paragraph" w:customStyle="1" w:styleId="2fffe">
    <w:name w:val="2级"/>
    <w:basedOn w:val="21"/>
    <w:qFormat/>
    <w:pPr>
      <w:keepNext/>
      <w:keepLines/>
      <w:numPr>
        <w:ilvl w:val="0"/>
        <w:numId w:val="0"/>
      </w:numPr>
      <w:tabs>
        <w:tab w:val="left" w:pos="851"/>
      </w:tabs>
      <w:snapToGrid/>
      <w:spacing w:beforeLines="0" w:before="120" w:afterLines="0" w:after="120"/>
      <w:ind w:left="851" w:hanging="567"/>
    </w:pPr>
    <w:rPr>
      <w:rFonts w:eastAsia="宋体"/>
      <w:smallCaps w:val="0"/>
      <w:color w:val="auto"/>
      <w:kern w:val="0"/>
      <w:sz w:val="30"/>
      <w:szCs w:val="32"/>
    </w:rPr>
  </w:style>
  <w:style w:type="paragraph" w:customStyle="1" w:styleId="1ffff2">
    <w:name w:val="列表1"/>
    <w:basedOn w:val="afffa"/>
    <w:qFormat/>
    <w:pPr>
      <w:widowControl/>
      <w:pBdr>
        <w:left w:val="single" w:sz="6" w:space="23" w:color="auto"/>
      </w:pBdr>
      <w:tabs>
        <w:tab w:val="left" w:pos="720"/>
      </w:tabs>
      <w:overflowPunct w:val="0"/>
      <w:autoSpaceDE w:val="0"/>
      <w:autoSpaceDN w:val="0"/>
      <w:spacing w:after="80"/>
      <w:ind w:left="720" w:rightChars="-45" w:right="-45" w:firstLine="0"/>
      <w:jc w:val="both"/>
    </w:pPr>
    <w:rPr>
      <w:sz w:val="20"/>
      <w:szCs w:val="22"/>
    </w:rPr>
  </w:style>
  <w:style w:type="paragraph" w:customStyle="1" w:styleId="afffffffffffffffffffffffff5">
    <w:name w:val="表格文字局中"/>
    <w:basedOn w:val="a7"/>
    <w:next w:val="a7"/>
    <w:qFormat/>
    <w:pPr>
      <w:spacing w:after="160" w:line="360" w:lineRule="auto"/>
      <w:ind w:firstLine="482"/>
      <w:jc w:val="center"/>
    </w:pPr>
    <w:rPr>
      <w:kern w:val="0"/>
      <w:sz w:val="24"/>
    </w:rPr>
  </w:style>
  <w:style w:type="paragraph" w:customStyle="1" w:styleId="1324">
    <w:name w:val="宋体 13 磅 行距: 固定值 24 磅"/>
    <w:basedOn w:val="a7"/>
    <w:qFormat/>
    <w:pPr>
      <w:spacing w:after="160" w:line="480" w:lineRule="exact"/>
      <w:ind w:firstLineChars="200" w:firstLine="520"/>
    </w:pPr>
    <w:rPr>
      <w:rFonts w:ascii="宋体" w:hAnsi="宋体" w:cs="宋体"/>
      <w:sz w:val="26"/>
      <w:szCs w:val="20"/>
    </w:rPr>
  </w:style>
  <w:style w:type="paragraph" w:customStyle="1" w:styleId="ST2026">
    <w:name w:val="ST20_26"/>
    <w:basedOn w:val="a7"/>
    <w:qFormat/>
    <w:pPr>
      <w:keepNext/>
      <w:keepLines/>
      <w:autoSpaceDE w:val="0"/>
      <w:autoSpaceDN w:val="0"/>
      <w:adjustRightInd w:val="0"/>
      <w:spacing w:after="160" w:line="360" w:lineRule="atLeast"/>
      <w:jc w:val="left"/>
      <w:textAlignment w:val="baseline"/>
    </w:pPr>
    <w:rPr>
      <w:rFonts w:ascii="宋体" w:hAnsi="Tms Rmn"/>
      <w:b/>
      <w:kern w:val="0"/>
      <w:sz w:val="28"/>
      <w:szCs w:val="20"/>
    </w:rPr>
  </w:style>
  <w:style w:type="paragraph" w:customStyle="1" w:styleId="ST2028">
    <w:name w:val="ST20_28"/>
    <w:basedOn w:val="a7"/>
    <w:qFormat/>
    <w:pPr>
      <w:keepNext/>
      <w:autoSpaceDE w:val="0"/>
      <w:autoSpaceDN w:val="0"/>
      <w:adjustRightInd w:val="0"/>
      <w:spacing w:before="720" w:after="160" w:line="360" w:lineRule="atLeast"/>
      <w:jc w:val="left"/>
      <w:textAlignment w:val="baseline"/>
    </w:pPr>
    <w:rPr>
      <w:rFonts w:ascii="宋体" w:hAnsi="Tms Rmn"/>
      <w:kern w:val="0"/>
      <w:sz w:val="28"/>
      <w:szCs w:val="20"/>
    </w:rPr>
  </w:style>
  <w:style w:type="paragraph" w:customStyle="1" w:styleId="ST2029">
    <w:name w:val="ST20_29"/>
    <w:basedOn w:val="a7"/>
    <w:qFormat/>
    <w:pPr>
      <w:keepNext/>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ST2030">
    <w:name w:val="ST20_30"/>
    <w:basedOn w:val="a7"/>
    <w:next w:val="a7"/>
    <w:qFormat/>
    <w:pPr>
      <w:keepNext/>
      <w:keepLines/>
      <w:tabs>
        <w:tab w:val="left" w:pos="360"/>
      </w:tabs>
      <w:autoSpaceDE w:val="0"/>
      <w:autoSpaceDN w:val="0"/>
      <w:adjustRightInd w:val="0"/>
      <w:spacing w:after="160" w:line="360" w:lineRule="atLeast"/>
      <w:ind w:left="360" w:hanging="360"/>
      <w:jc w:val="left"/>
      <w:textAlignment w:val="baseline"/>
    </w:pPr>
    <w:rPr>
      <w:rFonts w:ascii="宋体" w:hAnsi="Tms Rmn"/>
      <w:kern w:val="0"/>
      <w:sz w:val="28"/>
      <w:szCs w:val="20"/>
    </w:rPr>
  </w:style>
  <w:style w:type="paragraph" w:customStyle="1" w:styleId="Style13">
    <w:name w:val="Style13"/>
    <w:basedOn w:val="a7"/>
    <w:qFormat/>
    <w:pPr>
      <w:adjustRightInd w:val="0"/>
      <w:spacing w:after="160" w:line="360" w:lineRule="auto"/>
      <w:ind w:firstLine="482"/>
      <w:jc w:val="left"/>
    </w:pPr>
    <w:rPr>
      <w:rFonts w:ascii="宋体"/>
      <w:kern w:val="0"/>
      <w:sz w:val="24"/>
    </w:rPr>
  </w:style>
  <w:style w:type="paragraph" w:customStyle="1" w:styleId="xl20">
    <w:name w:val="xl20"/>
    <w:basedOn w:val="a7"/>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78" w:lineRule="auto"/>
      <w:jc w:val="center"/>
      <w:textAlignment w:val="center"/>
    </w:pPr>
    <w:rPr>
      <w:rFonts w:eastAsia="Arial Unicode MS"/>
      <w:kern w:val="0"/>
      <w:sz w:val="22"/>
      <w:szCs w:val="22"/>
    </w:rPr>
  </w:style>
  <w:style w:type="paragraph" w:customStyle="1" w:styleId="Char211">
    <w:name w:val="Char211"/>
    <w:basedOn w:val="a7"/>
    <w:qFormat/>
    <w:pPr>
      <w:spacing w:after="160" w:line="360" w:lineRule="auto"/>
      <w:ind w:firstLine="482"/>
    </w:pPr>
    <w:rPr>
      <w:kern w:val="0"/>
      <w:sz w:val="24"/>
    </w:rPr>
  </w:style>
  <w:style w:type="paragraph" w:customStyle="1" w:styleId="5fa">
    <w:name w:val="表格文字小5号"/>
    <w:qFormat/>
    <w:pPr>
      <w:widowControl w:val="0"/>
      <w:spacing w:after="160" w:line="240" w:lineRule="exact"/>
      <w:jc w:val="center"/>
    </w:pPr>
    <w:rPr>
      <w:rFonts w:ascii="宋体" w:hAnsi="宋体"/>
      <w:kern w:val="2"/>
      <w:sz w:val="18"/>
      <w:szCs w:val="18"/>
    </w:rPr>
  </w:style>
  <w:style w:type="paragraph" w:customStyle="1" w:styleId="afffffffffffffffffffffffff6">
    <w:name w:val="我的样式（正文）"/>
    <w:basedOn w:val="a7"/>
    <w:qFormat/>
    <w:pPr>
      <w:spacing w:after="160" w:line="440" w:lineRule="exact"/>
    </w:pPr>
    <w:rPr>
      <w:rFonts w:ascii="宋体"/>
      <w:sz w:val="28"/>
      <w:szCs w:val="20"/>
    </w:rPr>
  </w:style>
  <w:style w:type="paragraph" w:customStyle="1" w:styleId="CharCharCharCharCharChar1Char3">
    <w:name w:val="Char Char Char Char Char Char1 Char3"/>
    <w:basedOn w:val="a7"/>
    <w:qFormat/>
    <w:pPr>
      <w:spacing w:after="160" w:line="278" w:lineRule="auto"/>
    </w:pPr>
  </w:style>
  <w:style w:type="paragraph" w:customStyle="1" w:styleId="1ffff3">
    <w:name w:val="蒲标题1"/>
    <w:basedOn w:val="1"/>
    <w:qFormat/>
    <w:pPr>
      <w:keepNext/>
      <w:keepLines/>
      <w:numPr>
        <w:numId w:val="0"/>
      </w:numPr>
      <w:snapToGrid/>
      <w:spacing w:beforeLines="0" w:before="100" w:after="100"/>
      <w:jc w:val="center"/>
    </w:pPr>
    <w:rPr>
      <w:rFonts w:eastAsia="楷体_GB2312"/>
      <w:b/>
      <w:bCs/>
      <w:kern w:val="2"/>
      <w:sz w:val="32"/>
      <w:szCs w:val="32"/>
    </w:rPr>
  </w:style>
  <w:style w:type="paragraph" w:customStyle="1" w:styleId="pa-59">
    <w:name w:val="pa-59"/>
    <w:basedOn w:val="a7"/>
    <w:qFormat/>
    <w:pPr>
      <w:widowControl/>
      <w:spacing w:before="150" w:after="150" w:line="278" w:lineRule="auto"/>
      <w:jc w:val="left"/>
    </w:pPr>
    <w:rPr>
      <w:rFonts w:ascii="宋体" w:hAnsi="宋体" w:cs="宋体"/>
      <w:kern w:val="0"/>
      <w:sz w:val="24"/>
    </w:rPr>
  </w:style>
  <w:style w:type="paragraph" w:customStyle="1" w:styleId="020">
    <w:name w:val="表格02"/>
    <w:basedOn w:val="a7"/>
    <w:uiPriority w:val="99"/>
    <w:qFormat/>
    <w:pPr>
      <w:snapToGrid w:val="0"/>
      <w:spacing w:after="160" w:line="400" w:lineRule="exact"/>
      <w:jc w:val="center"/>
    </w:pPr>
    <w:rPr>
      <w:kern w:val="0"/>
      <w:sz w:val="24"/>
    </w:rPr>
  </w:style>
  <w:style w:type="paragraph" w:customStyle="1" w:styleId="106">
    <w:name w:val="10"/>
    <w:basedOn w:val="a7"/>
    <w:next w:val="affff2"/>
    <w:qFormat/>
    <w:pPr>
      <w:widowControl/>
      <w:snapToGrid w:val="0"/>
      <w:spacing w:before="100" w:beforeAutospacing="1" w:after="100" w:afterAutospacing="1" w:line="278" w:lineRule="auto"/>
      <w:jc w:val="left"/>
    </w:pPr>
    <w:rPr>
      <w:rFonts w:ascii="宋体" w:hAnsi="宋体"/>
      <w:color w:val="000066"/>
      <w:kern w:val="0"/>
      <w:sz w:val="24"/>
      <w:szCs w:val="20"/>
    </w:rPr>
  </w:style>
  <w:style w:type="paragraph" w:customStyle="1" w:styleId="150505050">
    <w:name w:val="样式 样式 样式 样式 四号 加粗 行距: 1.5 倍行距 + 段前: 0.5 行 段后: 0.5 行 + 段后: 0.5 行 ..."/>
    <w:basedOn w:val="15050505"/>
    <w:uiPriority w:val="99"/>
    <w:qFormat/>
    <w:pPr>
      <w:spacing w:after="120"/>
    </w:pPr>
    <w:rPr>
      <w:b/>
    </w:rPr>
  </w:style>
  <w:style w:type="paragraph" w:customStyle="1" w:styleId="afffffffffffffffffffffffff7">
    <w:name w:val="陈策次目录"/>
    <w:basedOn w:val="a7"/>
    <w:qFormat/>
    <w:pPr>
      <w:widowControl/>
      <w:adjustRightInd w:val="0"/>
      <w:snapToGrid w:val="0"/>
      <w:spacing w:after="160" w:line="360" w:lineRule="auto"/>
      <w:ind w:firstLineChars="200" w:firstLine="552"/>
    </w:pPr>
    <w:rPr>
      <w:rFonts w:ascii="Arial Narrow" w:eastAsia="华文中宋" w:hAnsi="Arial Narrow"/>
      <w:sz w:val="24"/>
    </w:rPr>
  </w:style>
  <w:style w:type="paragraph" w:customStyle="1" w:styleId="CharCharChar11">
    <w:name w:val="Char Char Char11"/>
    <w:basedOn w:val="a7"/>
    <w:qFormat/>
    <w:pPr>
      <w:spacing w:after="160" w:line="360" w:lineRule="auto"/>
      <w:ind w:firstLineChars="200" w:firstLine="200"/>
    </w:pPr>
    <w:rPr>
      <w:rFonts w:ascii="宋体" w:hAnsi="宋体" w:cs="宋体"/>
      <w:sz w:val="24"/>
    </w:rPr>
  </w:style>
  <w:style w:type="paragraph" w:customStyle="1" w:styleId="afffffffffffffffffffffffff8">
    <w:name w:val="样式 图格式"/>
    <w:basedOn w:val="21"/>
    <w:semiHidden/>
    <w:qFormat/>
    <w:pPr>
      <w:keepNext/>
      <w:keepLines/>
      <w:numPr>
        <w:ilvl w:val="0"/>
        <w:numId w:val="0"/>
      </w:numPr>
      <w:shd w:val="clear" w:color="auto" w:fill="FFFFFF"/>
      <w:kinsoku w:val="0"/>
      <w:overflowPunct w:val="0"/>
      <w:autoSpaceDE w:val="0"/>
      <w:autoSpaceDN w:val="0"/>
      <w:spacing w:beforeLines="0" w:before="0" w:afterLines="0" w:after="0" w:line="300" w:lineRule="atLeast"/>
      <w:outlineLvl w:val="9"/>
    </w:pPr>
    <w:rPr>
      <w:rFonts w:ascii="Arial" w:eastAsia="楷体_GB2312" w:hAnsi="Arial" w:cs="宋体"/>
      <w:smallCaps w:val="0"/>
      <w:color w:val="0000FF"/>
      <w:kern w:val="0"/>
      <w:sz w:val="24"/>
      <w:szCs w:val="24"/>
    </w:rPr>
  </w:style>
  <w:style w:type="paragraph" w:customStyle="1" w:styleId="118">
    <w:name w:val="（11）标题"/>
    <w:basedOn w:val="a7"/>
    <w:qFormat/>
    <w:pPr>
      <w:widowControl/>
      <w:spacing w:after="160" w:line="278" w:lineRule="auto"/>
      <w:ind w:firstLineChars="192" w:firstLine="538"/>
      <w:jc w:val="left"/>
    </w:pPr>
    <w:rPr>
      <w:rFonts w:ascii="宋体" w:hAnsi="宋体" w:cs="宋体"/>
      <w:kern w:val="0"/>
      <w:sz w:val="28"/>
      <w:szCs w:val="20"/>
    </w:rPr>
  </w:style>
  <w:style w:type="paragraph" w:customStyle="1" w:styleId="xl103">
    <w:name w:val="xl103"/>
    <w:basedOn w:val="a7"/>
    <w:qFormat/>
    <w:pPr>
      <w:widowControl/>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CM9">
    <w:name w:val="CM9"/>
    <w:basedOn w:val="Default"/>
    <w:next w:val="Default"/>
    <w:uiPriority w:val="99"/>
    <w:qFormat/>
    <w:pPr>
      <w:spacing w:after="160" w:line="540" w:lineRule="atLeast"/>
    </w:pPr>
    <w:rPr>
      <w:rFonts w:ascii="Arial" w:hAnsi="Arial" w:cs="Times New Roman"/>
      <w:color w:val="auto"/>
      <w:sz w:val="20"/>
      <w:szCs w:val="20"/>
    </w:rPr>
  </w:style>
  <w:style w:type="paragraph" w:customStyle="1" w:styleId="ST203">
    <w:name w:val="ST20_3"/>
    <w:basedOn w:val="a7"/>
    <w:qFormat/>
    <w:pPr>
      <w:keepLines/>
      <w:tabs>
        <w:tab w:val="center" w:pos="4320"/>
        <w:tab w:val="right" w:pos="8640"/>
      </w:tabs>
      <w:autoSpaceDE w:val="0"/>
      <w:autoSpaceDN w:val="0"/>
      <w:adjustRightInd w:val="0"/>
      <w:spacing w:after="160" w:line="360" w:lineRule="atLeast"/>
      <w:jc w:val="left"/>
      <w:textAlignment w:val="baseline"/>
    </w:pPr>
    <w:rPr>
      <w:rFonts w:ascii="宋体" w:hAnsi="Tms Rmn"/>
      <w:kern w:val="0"/>
      <w:sz w:val="28"/>
      <w:szCs w:val="28"/>
    </w:rPr>
  </w:style>
  <w:style w:type="paragraph" w:customStyle="1" w:styleId="051">
    <w:name w:val="样式 报告正文 + 段后: 0.5 行"/>
    <w:basedOn w:val="a7"/>
    <w:qFormat/>
    <w:pPr>
      <w:spacing w:after="160" w:line="440" w:lineRule="exact"/>
      <w:ind w:left="420" w:firstLine="482"/>
    </w:pPr>
    <w:rPr>
      <w:rFonts w:ascii="宋体" w:cs="宋体"/>
      <w:kern w:val="0"/>
      <w:sz w:val="24"/>
      <w:szCs w:val="20"/>
    </w:rPr>
  </w:style>
  <w:style w:type="paragraph" w:customStyle="1" w:styleId="afffffffffffffffffffffffff9">
    <w:name w:val="正文正文新"/>
    <w:qFormat/>
    <w:pPr>
      <w:spacing w:after="160" w:line="360" w:lineRule="auto"/>
      <w:ind w:firstLineChars="200" w:firstLine="200"/>
      <w:jc w:val="both"/>
    </w:pPr>
    <w:rPr>
      <w:kern w:val="2"/>
      <w:sz w:val="24"/>
      <w:szCs w:val="24"/>
    </w:rPr>
  </w:style>
  <w:style w:type="paragraph" w:customStyle="1" w:styleId="afffffffffffffffffffffffffa">
    <w:name w:val="大标题"/>
    <w:basedOn w:val="a7"/>
    <w:uiPriority w:val="99"/>
    <w:qFormat/>
    <w:pPr>
      <w:spacing w:after="160" w:line="500" w:lineRule="exact"/>
      <w:ind w:firstLine="482"/>
      <w:jc w:val="left"/>
    </w:pPr>
    <w:rPr>
      <w:kern w:val="0"/>
      <w:sz w:val="28"/>
      <w:szCs w:val="28"/>
    </w:rPr>
  </w:style>
  <w:style w:type="paragraph" w:customStyle="1" w:styleId="321">
    <w:name w:val="正文文本缩进 32"/>
    <w:basedOn w:val="a7"/>
    <w:qFormat/>
    <w:pPr>
      <w:adjustRightInd w:val="0"/>
      <w:spacing w:after="160" w:line="360" w:lineRule="auto"/>
      <w:ind w:firstLine="430"/>
      <w:jc w:val="center"/>
      <w:textAlignment w:val="baseline"/>
    </w:pPr>
    <w:rPr>
      <w:rFonts w:ascii="宋体" w:hAnsi="宋体"/>
      <w:sz w:val="24"/>
      <w:szCs w:val="28"/>
    </w:rPr>
  </w:style>
  <w:style w:type="paragraph" w:customStyle="1" w:styleId="1ffff4">
    <w:name w:val="样式 标题 1 + 宋体 黑色"/>
    <w:basedOn w:val="1"/>
    <w:qFormat/>
    <w:pPr>
      <w:keepNext/>
      <w:pageBreakBefore/>
      <w:numPr>
        <w:numId w:val="0"/>
      </w:numPr>
      <w:topLinePunct/>
      <w:adjustRightInd w:val="0"/>
      <w:spacing w:beforeLines="0" w:before="0" w:after="240" w:line="278" w:lineRule="auto"/>
      <w:jc w:val="center"/>
    </w:pPr>
    <w:rPr>
      <w:rFonts w:ascii="宋体" w:eastAsia="宋体" w:hAnsi="宋体"/>
      <w:b/>
      <w:bCs/>
      <w:caps/>
      <w:snapToGrid w:val="0"/>
      <w:color w:val="000000"/>
      <w:spacing w:val="20"/>
      <w:kern w:val="16"/>
      <w:sz w:val="36"/>
      <w:szCs w:val="20"/>
    </w:rPr>
  </w:style>
  <w:style w:type="paragraph" w:customStyle="1" w:styleId="262">
    <w:name w:val="样式 样式2 + 段前: 6 磅 行距: 单倍行距2"/>
    <w:basedOn w:val="2fb"/>
    <w:qFormat/>
    <w:pPr>
      <w:keepNext/>
      <w:keepLines/>
      <w:topLinePunct w:val="0"/>
      <w:autoSpaceDE w:val="0"/>
      <w:autoSpaceDN w:val="0"/>
      <w:snapToGrid w:val="0"/>
      <w:spacing w:before="120" w:line="240" w:lineRule="auto"/>
      <w:ind w:firstLineChars="0" w:firstLine="0"/>
      <w:contextualSpacing/>
      <w:textAlignment w:val="baseline"/>
    </w:pPr>
    <w:rPr>
      <w:rFonts w:cs="Times New Roman"/>
      <w:bCs w:val="0"/>
      <w:spacing w:val="-16"/>
      <w:szCs w:val="21"/>
    </w:rPr>
  </w:style>
  <w:style w:type="paragraph" w:customStyle="1" w:styleId="IDCA-Head2ndLine">
    <w:name w:val="IDC A-Head (2nd Line)"/>
    <w:basedOn w:val="a7"/>
    <w:next w:val="a7"/>
    <w:qFormat/>
    <w:pPr>
      <w:widowControl/>
      <w:spacing w:after="160" w:line="278" w:lineRule="auto"/>
      <w:jc w:val="center"/>
    </w:pPr>
    <w:rPr>
      <w:caps/>
      <w:kern w:val="0"/>
      <w:sz w:val="24"/>
      <w:szCs w:val="20"/>
    </w:rPr>
  </w:style>
  <w:style w:type="paragraph" w:customStyle="1" w:styleId="CharCharCharChar1CharChar0">
    <w:name w:val="Char Char Char Char1 字元 字元 Char Char"/>
    <w:basedOn w:val="a7"/>
    <w:uiPriority w:val="99"/>
    <w:qFormat/>
    <w:pPr>
      <w:adjustRightInd w:val="0"/>
      <w:snapToGrid w:val="0"/>
      <w:spacing w:after="160" w:line="360" w:lineRule="atLeast"/>
      <w:jc w:val="left"/>
      <w:textAlignment w:val="baseline"/>
    </w:pPr>
  </w:style>
  <w:style w:type="paragraph" w:customStyle="1" w:styleId="afffffffffffffffffffffffffb">
    <w:name w:val="表后空行"/>
    <w:basedOn w:val="a7"/>
    <w:qFormat/>
    <w:pPr>
      <w:overflowPunct w:val="0"/>
      <w:adjustRightInd w:val="0"/>
      <w:spacing w:after="160" w:line="360" w:lineRule="auto"/>
      <w:textAlignment w:val="baseline"/>
    </w:pPr>
    <w:rPr>
      <w:color w:val="000000"/>
      <w:kern w:val="28"/>
      <w:sz w:val="10"/>
      <w:szCs w:val="20"/>
    </w:rPr>
  </w:style>
  <w:style w:type="paragraph" w:customStyle="1" w:styleId="soustitre">
    <w:name w:val="soustitre"/>
    <w:basedOn w:val="a7"/>
    <w:qFormat/>
    <w:pPr>
      <w:widowControl/>
      <w:tabs>
        <w:tab w:val="left" w:pos="525"/>
      </w:tabs>
      <w:overflowPunct w:val="0"/>
      <w:autoSpaceDE w:val="0"/>
      <w:autoSpaceDN w:val="0"/>
      <w:adjustRightInd w:val="0"/>
      <w:spacing w:after="160" w:line="400" w:lineRule="exact"/>
      <w:jc w:val="center"/>
      <w:textAlignment w:val="baseline"/>
    </w:pPr>
    <w:rPr>
      <w:rFonts w:ascii="New York" w:eastAsia="楷体_GB2312" w:hAnsi="New York"/>
      <w:kern w:val="0"/>
      <w:position w:val="-6"/>
      <w:sz w:val="24"/>
      <w:szCs w:val="20"/>
    </w:rPr>
  </w:style>
  <w:style w:type="paragraph" w:customStyle="1" w:styleId="afffffffffffffffffffffffffc">
    <w:name w:val="普通文本"/>
    <w:basedOn w:val="a7"/>
    <w:qFormat/>
    <w:pPr>
      <w:overflowPunct w:val="0"/>
      <w:autoSpaceDE w:val="0"/>
      <w:autoSpaceDN w:val="0"/>
      <w:adjustRightInd w:val="0"/>
      <w:spacing w:after="160" w:line="360" w:lineRule="auto"/>
      <w:ind w:firstLineChars="200" w:firstLine="480"/>
    </w:pPr>
    <w:rPr>
      <w:rFonts w:ascii="宋体" w:hAnsi="宋体"/>
      <w:kern w:val="0"/>
      <w:sz w:val="24"/>
      <w:lang w:val="zh-CN"/>
    </w:rPr>
  </w:style>
  <w:style w:type="paragraph" w:customStyle="1" w:styleId="1ffff5">
    <w:name w:val="1说明"/>
    <w:qFormat/>
    <w:pPr>
      <w:spacing w:after="160" w:line="420" w:lineRule="auto"/>
      <w:ind w:firstLine="454"/>
      <w:outlineLvl w:val="4"/>
    </w:pPr>
    <w:rPr>
      <w:spacing w:val="4"/>
      <w:kern w:val="2"/>
      <w:sz w:val="21"/>
      <w:szCs w:val="24"/>
    </w:rPr>
  </w:style>
  <w:style w:type="paragraph" w:customStyle="1" w:styleId="1ffff6">
    <w:name w:val="1文章"/>
    <w:basedOn w:val="a7"/>
    <w:qFormat/>
    <w:pPr>
      <w:snapToGrid w:val="0"/>
      <w:spacing w:after="160" w:line="360" w:lineRule="auto"/>
      <w:ind w:firstLine="573"/>
    </w:pPr>
    <w:rPr>
      <w:rFonts w:eastAsia="仿宋_GB2312"/>
      <w:kern w:val="0"/>
      <w:sz w:val="28"/>
      <w:szCs w:val="20"/>
    </w:rPr>
  </w:style>
  <w:style w:type="paragraph" w:customStyle="1" w:styleId="232">
    <w:name w:val="样式 (符号) 宋体 小三 首行缩进:  2 字符 行距: 固定值 32 磅"/>
    <w:basedOn w:val="a7"/>
    <w:qFormat/>
    <w:pPr>
      <w:widowControl/>
      <w:spacing w:after="160" w:line="500" w:lineRule="exact"/>
      <w:ind w:firstLineChars="200" w:firstLine="200"/>
      <w:jc w:val="left"/>
    </w:pPr>
    <w:rPr>
      <w:rFonts w:ascii="宋体" w:hAnsi="宋体" w:cs="宋体"/>
      <w:kern w:val="0"/>
      <w:sz w:val="24"/>
      <w:szCs w:val="20"/>
    </w:rPr>
  </w:style>
  <w:style w:type="paragraph" w:customStyle="1" w:styleId="040">
    <w:name w:val="样式 样式 正文缩进正文（首行缩进两字）文本条款 + 段前: 0.4 行 + 非加粗"/>
    <w:basedOn w:val="04"/>
    <w:uiPriority w:val="99"/>
    <w:qFormat/>
    <w:pPr>
      <w:ind w:left="-7" w:firstLine="567"/>
    </w:pPr>
    <w:rPr>
      <w:rFonts w:eastAsia="宋体"/>
      <w:b w:val="0"/>
      <w:sz w:val="24"/>
      <w:szCs w:val="24"/>
    </w:rPr>
  </w:style>
  <w:style w:type="paragraph" w:customStyle="1" w:styleId="09">
    <w:name w:val="09点"/>
    <w:basedOn w:val="a7"/>
    <w:semiHidden/>
    <w:qFormat/>
    <w:pPr>
      <w:numPr>
        <w:numId w:val="18"/>
      </w:numPr>
      <w:tabs>
        <w:tab w:val="clear" w:pos="720"/>
        <w:tab w:val="left" w:pos="870"/>
      </w:tabs>
      <w:autoSpaceDE w:val="0"/>
      <w:autoSpaceDN w:val="0"/>
      <w:adjustRightInd w:val="0"/>
      <w:spacing w:before="60" w:after="60" w:line="288" w:lineRule="auto"/>
      <w:ind w:left="0" w:firstLine="0"/>
    </w:pPr>
    <w:rPr>
      <w:rFonts w:ascii="宋体"/>
      <w:sz w:val="24"/>
      <w:szCs w:val="20"/>
    </w:rPr>
  </w:style>
  <w:style w:type="paragraph" w:customStyle="1" w:styleId="Char51">
    <w:name w:val="Char51"/>
    <w:basedOn w:val="a7"/>
    <w:qFormat/>
    <w:pPr>
      <w:widowControl/>
      <w:spacing w:after="160" w:line="240" w:lineRule="exact"/>
      <w:ind w:firstLineChars="200" w:firstLine="480"/>
      <w:jc w:val="left"/>
    </w:pPr>
    <w:rPr>
      <w:rFonts w:ascii="Verdana" w:eastAsia="黑体" w:hAnsi="Verdana"/>
      <w:kern w:val="0"/>
      <w:sz w:val="28"/>
      <w:szCs w:val="20"/>
      <w:lang w:eastAsia="en-US"/>
    </w:rPr>
  </w:style>
  <w:style w:type="paragraph" w:customStyle="1" w:styleId="0085">
    <w:name w:val="样式 左侧:  0 厘米 首行缩进:  0.85 厘米"/>
    <w:basedOn w:val="a7"/>
    <w:qFormat/>
    <w:pPr>
      <w:spacing w:after="160" w:line="360" w:lineRule="auto"/>
      <w:ind w:firstLineChars="200" w:firstLine="480"/>
    </w:pPr>
    <w:rPr>
      <w:rFonts w:eastAsia="仿宋_GB2312"/>
      <w:kern w:val="0"/>
      <w:sz w:val="24"/>
      <w:szCs w:val="20"/>
    </w:rPr>
  </w:style>
  <w:style w:type="paragraph" w:customStyle="1" w:styleId="xl164">
    <w:name w:val="xl164"/>
    <w:basedOn w:val="a7"/>
    <w:qFormat/>
    <w:pPr>
      <w:widowControl/>
      <w:shd w:val="clear" w:color="000000" w:fill="CCE8CF"/>
      <w:snapToGrid w:val="0"/>
      <w:spacing w:before="100" w:beforeAutospacing="1" w:after="100" w:afterAutospacing="1" w:line="278" w:lineRule="auto"/>
      <w:jc w:val="center"/>
    </w:pPr>
    <w:rPr>
      <w:rFonts w:ascii="宋体" w:hAnsi="宋体" w:cs="宋体"/>
      <w:b/>
      <w:bCs/>
      <w:kern w:val="0"/>
      <w:sz w:val="24"/>
    </w:rPr>
  </w:style>
  <w:style w:type="paragraph" w:customStyle="1" w:styleId="10101">
    <w:name w:val="样式 样式 正文1 + 段前: 0.1 行 + 段前: 0.1 行"/>
    <w:basedOn w:val="a7"/>
    <w:qFormat/>
    <w:pPr>
      <w:snapToGrid w:val="0"/>
      <w:spacing w:beforeLines="10" w:after="160" w:line="440" w:lineRule="atLeast"/>
      <w:ind w:firstLine="567"/>
    </w:pPr>
    <w:rPr>
      <w:rFonts w:cs="宋体"/>
      <w:sz w:val="24"/>
      <w:szCs w:val="20"/>
    </w:rPr>
  </w:style>
  <w:style w:type="paragraph" w:customStyle="1" w:styleId="OutokumpuNormal">
    <w:name w:val="Outokumpu Normal"/>
    <w:basedOn w:val="a7"/>
    <w:qFormat/>
    <w:pPr>
      <w:widowControl/>
      <w:adjustRightInd w:val="0"/>
      <w:snapToGrid w:val="0"/>
      <w:spacing w:after="160" w:line="278" w:lineRule="auto"/>
      <w:ind w:left="1134"/>
      <w:jc w:val="left"/>
    </w:pPr>
    <w:rPr>
      <w:rFonts w:ascii="Arial" w:hAnsi="Arial"/>
      <w:kern w:val="0"/>
      <w:sz w:val="22"/>
      <w:szCs w:val="20"/>
    </w:rPr>
  </w:style>
  <w:style w:type="paragraph" w:customStyle="1" w:styleId="xl128">
    <w:name w:val="xl128"/>
    <w:basedOn w:val="a7"/>
    <w:uiPriority w:val="99"/>
    <w:qFormat/>
    <w:pPr>
      <w:widowControl/>
      <w:pBdr>
        <w:left w:val="single" w:sz="4" w:space="0" w:color="auto"/>
      </w:pBdr>
      <w:shd w:val="clear" w:color="000000" w:fill="FFFFFF"/>
      <w:snapToGrid w:val="0"/>
      <w:spacing w:before="100" w:beforeAutospacing="1" w:after="100" w:afterAutospacing="1" w:line="278" w:lineRule="auto"/>
      <w:jc w:val="left"/>
    </w:pPr>
    <w:rPr>
      <w:rFonts w:ascii="宋体" w:hAnsi="宋体" w:cs="宋体"/>
      <w:color w:val="CCE8CF"/>
      <w:kern w:val="0"/>
      <w:sz w:val="24"/>
    </w:rPr>
  </w:style>
  <w:style w:type="paragraph" w:customStyle="1" w:styleId="3ff6">
    <w:name w:val="改性沥青3级标题"/>
    <w:basedOn w:val="a7"/>
    <w:qFormat/>
    <w:pPr>
      <w:spacing w:after="160" w:line="560" w:lineRule="exact"/>
    </w:pPr>
    <w:rPr>
      <w:rFonts w:ascii="黑体" w:eastAsia="黑体"/>
      <w:sz w:val="24"/>
    </w:rPr>
  </w:style>
  <w:style w:type="paragraph" w:customStyle="1" w:styleId="afffffffffffffffffffffffffd">
    <w:name w:val="中"/>
    <w:basedOn w:val="a7"/>
    <w:semiHidden/>
    <w:qFormat/>
    <w:pPr>
      <w:shd w:val="clear" w:color="auto" w:fill="FFFFFF"/>
      <w:adjustRightInd w:val="0"/>
      <w:snapToGrid w:val="0"/>
      <w:spacing w:after="160" w:line="278" w:lineRule="auto"/>
      <w:jc w:val="center"/>
    </w:pPr>
    <w:rPr>
      <w:rFonts w:ascii="宋体" w:hAnsi="宋体"/>
      <w:color w:val="000000"/>
      <w:w w:val="90"/>
      <w:sz w:val="18"/>
      <w:szCs w:val="18"/>
    </w:rPr>
  </w:style>
  <w:style w:type="paragraph" w:customStyle="1" w:styleId="2CharCharChar">
    <w:name w:val="2 Char Char Char"/>
    <w:basedOn w:val="a7"/>
    <w:qFormat/>
    <w:pPr>
      <w:spacing w:after="160" w:line="360" w:lineRule="auto"/>
      <w:ind w:firstLine="482"/>
    </w:pPr>
    <w:rPr>
      <w:kern w:val="0"/>
      <w:sz w:val="24"/>
    </w:rPr>
  </w:style>
  <w:style w:type="paragraph" w:customStyle="1" w:styleId="11112">
    <w:name w:val="样式 四级标题1.1.1.1 + 首行缩进:  2 字符"/>
    <w:basedOn w:val="a7"/>
    <w:qFormat/>
    <w:pPr>
      <w:keepNext/>
      <w:keepLines/>
      <w:widowControl/>
      <w:adjustRightInd w:val="0"/>
      <w:spacing w:beforeLines="30" w:before="72" w:afterLines="30" w:after="72" w:line="360" w:lineRule="auto"/>
      <w:textAlignment w:val="baseline"/>
      <w:outlineLvl w:val="3"/>
    </w:pPr>
    <w:rPr>
      <w:rFonts w:eastAsia="黑体" w:cs="宋体"/>
      <w:bCs/>
      <w:kern w:val="0"/>
      <w:sz w:val="24"/>
      <w:szCs w:val="20"/>
    </w:rPr>
  </w:style>
  <w:style w:type="paragraph" w:customStyle="1" w:styleId="074">
    <w:name w:val="样式 表格文字 + (符号) 宋体 五号 首行缩进:  0.74 厘米"/>
    <w:basedOn w:val="affffff1"/>
    <w:qFormat/>
    <w:pPr>
      <w:widowControl/>
      <w:tabs>
        <w:tab w:val="clear" w:pos="5738"/>
        <w:tab w:val="clear" w:pos="5902"/>
      </w:tabs>
      <w:autoSpaceDE/>
      <w:autoSpaceDN/>
      <w:adjustRightInd/>
      <w:snapToGrid/>
      <w:spacing w:after="160" w:line="340" w:lineRule="exact"/>
    </w:pPr>
    <w:rPr>
      <w:rFonts w:ascii="仿宋_GB2312" w:eastAsia="仿宋_GB2312" w:hAnsi="宋体" w:cs="宋体"/>
      <w:kern w:val="0"/>
      <w:szCs w:val="20"/>
    </w:rPr>
  </w:style>
  <w:style w:type="paragraph" w:customStyle="1" w:styleId="Web4">
    <w:name w:val="普通(Web)4"/>
    <w:basedOn w:val="a7"/>
    <w:qFormat/>
    <w:pPr>
      <w:widowControl/>
      <w:spacing w:before="120" w:after="160" w:line="432" w:lineRule="auto"/>
      <w:ind w:firstLine="360"/>
      <w:jc w:val="left"/>
    </w:pPr>
    <w:rPr>
      <w:rFonts w:ascii="宋体" w:hAnsi="宋体" w:cs="宋体"/>
      <w:kern w:val="0"/>
      <w:sz w:val="24"/>
    </w:rPr>
  </w:style>
  <w:style w:type="paragraph" w:customStyle="1" w:styleId="afffffffffffffffffffffffffe">
    <w:name w:val="表文左对齐"/>
    <w:basedOn w:val="a7"/>
    <w:qFormat/>
    <w:pPr>
      <w:adjustRightInd w:val="0"/>
      <w:snapToGrid w:val="0"/>
      <w:spacing w:after="160" w:line="360" w:lineRule="exact"/>
      <w:ind w:firstLineChars="200" w:hanging="2"/>
      <w:jc w:val="center"/>
    </w:pPr>
    <w:rPr>
      <w:rFonts w:hAnsi="宋体"/>
      <w:sz w:val="24"/>
    </w:rPr>
  </w:style>
  <w:style w:type="paragraph" w:customStyle="1" w:styleId="affffffffffffffffffffffffff">
    <w:name w:val="正文楷体"/>
    <w:basedOn w:val="a7"/>
    <w:qFormat/>
    <w:pPr>
      <w:spacing w:after="160" w:line="278" w:lineRule="auto"/>
    </w:pPr>
    <w:rPr>
      <w:rFonts w:eastAsia="楷体_GB2312"/>
    </w:rPr>
  </w:style>
  <w:style w:type="paragraph" w:customStyle="1" w:styleId="216">
    <w:name w:val="样式 表格内容 + 首行缩进:  2 字符1"/>
    <w:basedOn w:val="afffffb"/>
    <w:qFormat/>
    <w:pPr>
      <w:overflowPunct w:val="0"/>
      <w:adjustRightInd w:val="0"/>
      <w:spacing w:line="240" w:lineRule="exact"/>
      <w:ind w:firstLine="482"/>
    </w:pPr>
    <w:rPr>
      <w:rFonts w:cs="宋体"/>
      <w:color w:val="auto"/>
      <w:kern w:val="0"/>
      <w:sz w:val="24"/>
      <w:szCs w:val="20"/>
    </w:rPr>
  </w:style>
  <w:style w:type="paragraph" w:customStyle="1" w:styleId="affffffffffffffffffffffffff0">
    <w:name w:val="湛宝正文"/>
    <w:basedOn w:val="a7"/>
    <w:qFormat/>
    <w:pPr>
      <w:spacing w:after="160" w:line="360" w:lineRule="auto"/>
      <w:ind w:firstLineChars="200" w:firstLine="200"/>
      <w:jc w:val="left"/>
    </w:pPr>
    <w:rPr>
      <w:color w:val="000000"/>
      <w:sz w:val="24"/>
    </w:rPr>
  </w:style>
  <w:style w:type="paragraph" w:customStyle="1" w:styleId="xl170">
    <w:name w:val="xl170"/>
    <w:basedOn w:val="a7"/>
    <w:qFormat/>
    <w:pPr>
      <w:widowControl/>
      <w:pBdr>
        <w:lef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ListNumber41">
    <w:name w:val="List Number 41"/>
    <w:basedOn w:val="a7"/>
    <w:qFormat/>
    <w:pPr>
      <w:tabs>
        <w:tab w:val="left" w:pos="720"/>
      </w:tabs>
      <w:spacing w:after="160" w:line="278" w:lineRule="auto"/>
      <w:ind w:left="720" w:hanging="720"/>
    </w:pPr>
    <w:rPr>
      <w:szCs w:val="20"/>
    </w:rPr>
  </w:style>
  <w:style w:type="paragraph" w:customStyle="1" w:styleId="002">
    <w:name w:val="样式 正文文本缩进 + 宋体 五号 黑色 全部大写 居中 首行缩进:  0 厘米 段前: 0 磅 行距: 单倍行距"/>
    <w:basedOn w:val="aff4"/>
    <w:qFormat/>
    <w:pPr>
      <w:adjustRightInd w:val="0"/>
      <w:spacing w:after="160" w:line="240" w:lineRule="auto"/>
      <w:ind w:leftChars="0" w:left="0" w:firstLineChars="0" w:firstLine="0"/>
      <w:jc w:val="center"/>
      <w:textAlignment w:val="baseline"/>
    </w:pPr>
    <w:rPr>
      <w:rFonts w:ascii="宋体" w:hAnsi="宋体" w:cs="宋体"/>
      <w:color w:val="000000"/>
      <w:kern w:val="28"/>
      <w:sz w:val="21"/>
      <w:szCs w:val="21"/>
    </w:rPr>
  </w:style>
  <w:style w:type="paragraph" w:customStyle="1" w:styleId="CharCharCharCharCharCharCharCharChar2">
    <w:name w:val="Char Char Char Char Char Char Char Char Char2"/>
    <w:basedOn w:val="a7"/>
    <w:qFormat/>
    <w:pPr>
      <w:spacing w:after="160" w:line="360" w:lineRule="auto"/>
      <w:ind w:firstLine="482"/>
    </w:pPr>
    <w:rPr>
      <w:kern w:val="0"/>
      <w:sz w:val="24"/>
    </w:rPr>
  </w:style>
  <w:style w:type="paragraph" w:customStyle="1" w:styleId="affffffffffffffffffffffffff1">
    <w:name w:val="法规列表"/>
    <w:basedOn w:val="a7"/>
    <w:semiHidden/>
    <w:qFormat/>
    <w:pPr>
      <w:tabs>
        <w:tab w:val="left" w:pos="420"/>
      </w:tabs>
      <w:spacing w:beforeLines="50" w:after="160" w:line="360" w:lineRule="auto"/>
      <w:ind w:left="420" w:firstLineChars="200" w:hanging="420"/>
    </w:pPr>
    <w:rPr>
      <w:rFonts w:eastAsia="仿宋_GB2312"/>
      <w:sz w:val="24"/>
    </w:rPr>
  </w:style>
  <w:style w:type="paragraph" w:customStyle="1" w:styleId="CM58">
    <w:name w:val="CM58"/>
    <w:basedOn w:val="Default"/>
    <w:next w:val="Default"/>
    <w:uiPriority w:val="99"/>
    <w:qFormat/>
    <w:pPr>
      <w:spacing w:after="155" w:line="278" w:lineRule="auto"/>
    </w:pPr>
    <w:rPr>
      <w:rFonts w:ascii="Times New Roman" w:hAnsi="Times New Roman" w:cs="Times New Roman"/>
      <w:color w:val="auto"/>
      <w:kern w:val="2"/>
    </w:rPr>
  </w:style>
  <w:style w:type="paragraph" w:customStyle="1" w:styleId="1Charc">
    <w:name w:val="段落1 Char"/>
    <w:basedOn w:val="af3"/>
    <w:uiPriority w:val="99"/>
    <w:semiHidden/>
    <w:qFormat/>
    <w:pPr>
      <w:widowControl/>
      <w:tabs>
        <w:tab w:val="right" w:pos="360"/>
      </w:tabs>
      <w:adjustRightInd w:val="0"/>
      <w:snapToGrid w:val="0"/>
      <w:spacing w:after="160"/>
      <w:ind w:firstLine="488"/>
    </w:pPr>
    <w:rPr>
      <w:rFonts w:ascii="宋体" w:hAnsi="宋体" w:cs="Times New Roman"/>
      <w:bCs/>
      <w:spacing w:val="2"/>
      <w:kern w:val="0"/>
      <w:sz w:val="24"/>
    </w:rPr>
  </w:style>
  <w:style w:type="paragraph" w:customStyle="1" w:styleId="Z">
    <w:name w:val="Z"/>
    <w:basedOn w:val="a7"/>
    <w:qFormat/>
    <w:pPr>
      <w:spacing w:after="160" w:line="460" w:lineRule="exact"/>
      <w:ind w:firstLineChars="200" w:firstLine="200"/>
    </w:pPr>
    <w:rPr>
      <w:rFonts w:ascii="宋体" w:hAnsi="宋体"/>
      <w:kern w:val="0"/>
      <w:sz w:val="25"/>
    </w:rPr>
  </w:style>
  <w:style w:type="paragraph" w:customStyle="1" w:styleId="2106">
    <w:name w:val="样式 标题 2 + 首行缩进:  1.06 厘米"/>
    <w:basedOn w:val="21"/>
    <w:semiHidden/>
    <w:qFormat/>
    <w:pPr>
      <w:keepNext/>
      <w:keepLines/>
      <w:numPr>
        <w:ilvl w:val="0"/>
        <w:numId w:val="0"/>
      </w:numPr>
      <w:tabs>
        <w:tab w:val="left" w:pos="454"/>
        <w:tab w:val="left" w:pos="851"/>
      </w:tabs>
      <w:adjustRightInd w:val="0"/>
      <w:spacing w:beforeLines="0" w:before="0" w:afterLines="0" w:after="0"/>
    </w:pPr>
    <w:rPr>
      <w:rFonts w:cs="宋体"/>
      <w:b w:val="0"/>
      <w:bCs w:val="0"/>
      <w:smallCaps w:val="0"/>
      <w:color w:val="auto"/>
      <w:sz w:val="30"/>
      <w:szCs w:val="20"/>
    </w:rPr>
  </w:style>
  <w:style w:type="paragraph" w:customStyle="1" w:styleId="21202">
    <w:name w:val="样式 样式 首行缩进:  2 字符1 + 首行缩进:  2 字符 段前: 0.2 行"/>
    <w:basedOn w:val="a7"/>
    <w:uiPriority w:val="99"/>
    <w:qFormat/>
    <w:pPr>
      <w:spacing w:after="160" w:line="440" w:lineRule="exact"/>
      <w:ind w:firstLineChars="200" w:firstLine="200"/>
    </w:pPr>
    <w:rPr>
      <w:sz w:val="24"/>
      <w:szCs w:val="20"/>
    </w:rPr>
  </w:style>
  <w:style w:type="paragraph" w:customStyle="1" w:styleId="810">
    <w:name w:val="样式81一、"/>
    <w:basedOn w:val="31"/>
    <w:uiPriority w:val="99"/>
    <w:qFormat/>
    <w:pPr>
      <w:keepNext/>
      <w:keepLines/>
      <w:numPr>
        <w:ilvl w:val="0"/>
        <w:numId w:val="0"/>
      </w:numPr>
      <w:tabs>
        <w:tab w:val="clear" w:pos="864"/>
        <w:tab w:val="left" w:pos="720"/>
        <w:tab w:val="left" w:pos="862"/>
      </w:tabs>
      <w:adjustRightInd/>
      <w:spacing w:beforeLines="100" w:before="0" w:afterLines="100" w:after="0" w:line="440" w:lineRule="exact"/>
      <w:ind w:left="167" w:firstLine="400"/>
      <w:textAlignment w:val="auto"/>
    </w:pPr>
    <w:rPr>
      <w:b w:val="0"/>
      <w:bCs w:val="0"/>
      <w:color w:val="auto"/>
      <w:sz w:val="21"/>
      <w:szCs w:val="21"/>
    </w:rPr>
  </w:style>
  <w:style w:type="paragraph" w:customStyle="1" w:styleId="08505051">
    <w:name w:val="样式 正文样式 + 首行缩进:  0.85 厘米 段前: 0.5 行 段后: 0.5 行1"/>
    <w:basedOn w:val="a7"/>
    <w:next w:val="a7"/>
    <w:uiPriority w:val="99"/>
    <w:qFormat/>
    <w:pPr>
      <w:snapToGrid w:val="0"/>
      <w:spacing w:before="120" w:after="120" w:line="360" w:lineRule="auto"/>
      <w:jc w:val="left"/>
    </w:pPr>
    <w:rPr>
      <w:rFonts w:ascii="Arial" w:hAnsi="Arial"/>
      <w:sz w:val="24"/>
      <w:szCs w:val="20"/>
    </w:rPr>
  </w:style>
  <w:style w:type="paragraph" w:customStyle="1" w:styleId="4fd">
    <w:name w:val="列表4"/>
    <w:basedOn w:val="1ffff2"/>
    <w:qFormat/>
    <w:pPr>
      <w:pBdr>
        <w:left w:val="none" w:sz="0" w:space="0" w:color="auto"/>
      </w:pBdr>
      <w:ind w:left="1080"/>
    </w:pPr>
  </w:style>
  <w:style w:type="paragraph" w:customStyle="1" w:styleId="affffffffffffffffffffffffff2">
    <w:name w:val="农业部一"/>
    <w:next w:val="aff2"/>
    <w:qFormat/>
    <w:pPr>
      <w:widowControl w:val="0"/>
      <w:topLinePunct/>
      <w:spacing w:after="160" w:line="480" w:lineRule="atLeast"/>
      <w:jc w:val="center"/>
    </w:pPr>
    <w:rPr>
      <w:kern w:val="2"/>
      <w:sz w:val="21"/>
      <w:szCs w:val="24"/>
    </w:rPr>
  </w:style>
  <w:style w:type="paragraph" w:customStyle="1" w:styleId="Style1">
    <w:name w:val="Style1"/>
    <w:basedOn w:val="yyn"/>
    <w:qFormat/>
  </w:style>
  <w:style w:type="paragraph" w:customStyle="1" w:styleId="077204">
    <w:name w:val="样式 首行缩进:  0.77 厘米 行距: 固定值 20 磅4"/>
    <w:basedOn w:val="a7"/>
    <w:qFormat/>
    <w:pPr>
      <w:spacing w:after="160" w:line="440" w:lineRule="exact"/>
      <w:ind w:firstLineChars="200" w:firstLine="480"/>
    </w:pPr>
    <w:rPr>
      <w:rFonts w:ascii="Arial" w:hAnsi="Arial" w:cs="Arial"/>
      <w:color w:val="000000"/>
      <w:kern w:val="0"/>
      <w:sz w:val="24"/>
    </w:rPr>
  </w:style>
  <w:style w:type="paragraph" w:customStyle="1" w:styleId="Style116">
    <w:name w:val="Style116"/>
    <w:basedOn w:val="a7"/>
    <w:qFormat/>
    <w:pPr>
      <w:adjustRightInd w:val="0"/>
      <w:spacing w:after="160" w:line="360" w:lineRule="auto"/>
      <w:ind w:firstLine="482"/>
      <w:jc w:val="left"/>
    </w:pPr>
    <w:rPr>
      <w:rFonts w:ascii="宋体"/>
      <w:kern w:val="0"/>
      <w:sz w:val="24"/>
    </w:rPr>
  </w:style>
  <w:style w:type="paragraph" w:customStyle="1" w:styleId="affffffffffffffffffffffffff3">
    <w:name w:val="自定义缩进"/>
    <w:basedOn w:val="a7"/>
    <w:qFormat/>
    <w:pPr>
      <w:keepNext/>
      <w:spacing w:after="160" w:line="336" w:lineRule="auto"/>
      <w:ind w:firstLineChars="200" w:firstLine="480"/>
      <w:jc w:val="left"/>
    </w:pPr>
    <w:rPr>
      <w:rFonts w:ascii="宋体" w:hAnsi="宋体"/>
      <w:kern w:val="0"/>
      <w:sz w:val="24"/>
    </w:rPr>
  </w:style>
  <w:style w:type="paragraph" w:customStyle="1" w:styleId="affffffffffffffffffffffffff4">
    <w:name w:val="表格后正文"/>
    <w:basedOn w:val="afffffffffffff1"/>
    <w:qFormat/>
    <w:pPr>
      <w:spacing w:before="200"/>
      <w:ind w:firstLineChars="200" w:firstLine="200"/>
      <w:jc w:val="left"/>
    </w:pPr>
    <w:rPr>
      <w:rFonts w:eastAsia="华文中宋"/>
      <w:b/>
      <w:kern w:val="2"/>
      <w:szCs w:val="24"/>
    </w:rPr>
  </w:style>
  <w:style w:type="paragraph" w:customStyle="1" w:styleId="1CharCharCharCharCharCharChar">
    <w:name w:val="1 Char Char Char Char Char Char Char"/>
    <w:basedOn w:val="a7"/>
    <w:qFormat/>
    <w:pPr>
      <w:spacing w:after="160" w:line="360" w:lineRule="auto"/>
      <w:ind w:firstLine="482"/>
    </w:pPr>
    <w:rPr>
      <w:kern w:val="0"/>
      <w:sz w:val="24"/>
    </w:rPr>
  </w:style>
  <w:style w:type="paragraph" w:customStyle="1" w:styleId="xl56">
    <w:name w:val="xl56"/>
    <w:basedOn w:val="a7"/>
    <w:uiPriority w:val="99"/>
    <w:qFormat/>
    <w:pPr>
      <w:widowControl/>
      <w:pBdr>
        <w:top w:val="single" w:sz="8" w:space="0" w:color="auto"/>
        <w:left w:val="single" w:sz="4" w:space="0" w:color="auto"/>
        <w:bottom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CharChar1CharCharChar">
    <w:name w:val="Char Char1 Char Char Char"/>
    <w:basedOn w:val="a7"/>
    <w:qFormat/>
    <w:pPr>
      <w:widowControl/>
      <w:snapToGrid w:val="0"/>
      <w:spacing w:after="160" w:line="240" w:lineRule="exact"/>
      <w:jc w:val="left"/>
    </w:pPr>
    <w:rPr>
      <w:rFonts w:ascii="Verdana" w:hAnsi="Verdana"/>
      <w:kern w:val="0"/>
      <w:sz w:val="20"/>
      <w:szCs w:val="20"/>
      <w:lang w:eastAsia="en-US"/>
    </w:rPr>
  </w:style>
  <w:style w:type="paragraph" w:customStyle="1" w:styleId="xl163">
    <w:name w:val="xl163"/>
    <w:basedOn w:val="a7"/>
    <w:qFormat/>
    <w:pPr>
      <w:widowControl/>
      <w:pBdr>
        <w:left w:val="single" w:sz="4" w:space="0" w:color="auto"/>
        <w:bottom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ffffffffffffffffffffffffff5">
    <w:name w:val="表头内容"/>
    <w:basedOn w:val="affffffffffffffffff4"/>
    <w:semiHidden/>
    <w:qFormat/>
    <w:pPr>
      <w:ind w:firstLineChars="0" w:firstLine="0"/>
      <w:jc w:val="center"/>
    </w:pPr>
    <w:rPr>
      <w:rFonts w:eastAsia="黑体"/>
      <w:sz w:val="21"/>
    </w:rPr>
  </w:style>
  <w:style w:type="paragraph" w:customStyle="1" w:styleId="24121">
    <w:name w:val="样式 样式 样式 小二 加粗 居中 段前: 24 磅 段后: 12 磅 + 小二 加粗 段前: 自动 段后: 自动 + 小二 ..."/>
    <w:basedOn w:val="2412"/>
    <w:qFormat/>
    <w:pPr>
      <w:keepNext/>
      <w:keepLines/>
      <w:spacing w:beforeLines="200" w:before="624" w:afterLines="100" w:after="312"/>
      <w:outlineLvl w:val="1"/>
    </w:pPr>
  </w:style>
  <w:style w:type="paragraph" w:customStyle="1" w:styleId="06">
    <w:name w:val="样式 居中 首行缩进:  0 厘米"/>
    <w:basedOn w:val="a7"/>
    <w:qFormat/>
    <w:pPr>
      <w:adjustRightInd w:val="0"/>
      <w:snapToGrid w:val="0"/>
      <w:spacing w:after="160" w:line="500" w:lineRule="exact"/>
      <w:ind w:firstLine="482"/>
      <w:jc w:val="center"/>
    </w:pPr>
    <w:rPr>
      <w:rFonts w:ascii="宋体" w:hAnsi="宋体" w:cs="宋体"/>
      <w:kern w:val="0"/>
      <w:sz w:val="28"/>
      <w:szCs w:val="20"/>
    </w:rPr>
  </w:style>
  <w:style w:type="paragraph" w:customStyle="1" w:styleId="xl114">
    <w:name w:val="xl114"/>
    <w:basedOn w:val="a7"/>
    <w:qFormat/>
    <w:pPr>
      <w:widowControl/>
      <w:shd w:val="clear" w:color="000000" w:fill="FFFFFF"/>
      <w:snapToGrid w:val="0"/>
      <w:spacing w:before="100" w:beforeAutospacing="1" w:after="100" w:afterAutospacing="1" w:line="278" w:lineRule="auto"/>
      <w:jc w:val="left"/>
      <w:textAlignment w:val="center"/>
    </w:pPr>
    <w:rPr>
      <w:rFonts w:ascii="宋体" w:hAnsi="宋体" w:cs="宋体"/>
      <w:kern w:val="0"/>
      <w:sz w:val="24"/>
    </w:rPr>
  </w:style>
  <w:style w:type="paragraph" w:customStyle="1" w:styleId="affffffffffffffffffffffffff6">
    <w:name w:val="样式 (符号) 宋体 小三 加粗"/>
    <w:basedOn w:val="a7"/>
    <w:qFormat/>
    <w:pPr>
      <w:tabs>
        <w:tab w:val="left" w:pos="720"/>
      </w:tabs>
      <w:spacing w:after="160" w:line="360" w:lineRule="auto"/>
      <w:ind w:left="720" w:hanging="720"/>
      <w:outlineLvl w:val="3"/>
    </w:pPr>
    <w:rPr>
      <w:rFonts w:hAnsi="宋体"/>
      <w:b/>
      <w:kern w:val="0"/>
      <w:sz w:val="30"/>
      <w:szCs w:val="30"/>
    </w:rPr>
  </w:style>
  <w:style w:type="paragraph" w:customStyle="1" w:styleId="CharCharChar1CharCharChar1Char">
    <w:name w:val="Char Char Char1 Char Char Char1 Char"/>
    <w:basedOn w:val="a7"/>
    <w:qFormat/>
    <w:pPr>
      <w:spacing w:after="160" w:line="360" w:lineRule="auto"/>
      <w:ind w:firstLineChars="200" w:firstLine="420"/>
    </w:pPr>
    <w:rPr>
      <w:sz w:val="24"/>
      <w:szCs w:val="20"/>
    </w:rPr>
  </w:style>
  <w:style w:type="paragraph" w:customStyle="1" w:styleId="CharCharChar1CharCharCharChar">
    <w:name w:val="Char Char Char1 Char Char Char Char"/>
    <w:basedOn w:val="a7"/>
    <w:next w:val="a7"/>
    <w:qFormat/>
    <w:pPr>
      <w:spacing w:after="160" w:line="360" w:lineRule="auto"/>
      <w:ind w:firstLineChars="200" w:firstLine="200"/>
    </w:pPr>
    <w:rPr>
      <w:kern w:val="0"/>
      <w:sz w:val="24"/>
      <w:szCs w:val="20"/>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7"/>
    <w:qFormat/>
    <w:pPr>
      <w:spacing w:after="160" w:line="278" w:lineRule="auto"/>
    </w:pPr>
  </w:style>
  <w:style w:type="paragraph" w:customStyle="1" w:styleId="xl245">
    <w:name w:val="xl245"/>
    <w:basedOn w:val="a7"/>
    <w:qFormat/>
    <w:pPr>
      <w:widowControl/>
      <w:pBdr>
        <w:top w:val="single" w:sz="8" w:space="0" w:color="auto"/>
      </w:pBdr>
      <w:spacing w:before="100" w:beforeAutospacing="1" w:after="100" w:afterAutospacing="1" w:line="278" w:lineRule="auto"/>
      <w:jc w:val="center"/>
      <w:textAlignment w:val="center"/>
    </w:pPr>
    <w:rPr>
      <w:kern w:val="0"/>
      <w:sz w:val="20"/>
      <w:szCs w:val="20"/>
    </w:rPr>
  </w:style>
  <w:style w:type="paragraph" w:customStyle="1" w:styleId="33H3h33rdlevel2Char3Char23Char1">
    <w:name w:val="样式 标题 3标题3H3h33rd level第二层条条标2Char标题 3 Char2标题 3 Char ...1"/>
    <w:basedOn w:val="31"/>
    <w:semiHidden/>
    <w:qFormat/>
    <w:pPr>
      <w:keepNext/>
      <w:keepLines/>
      <w:numPr>
        <w:ilvl w:val="0"/>
        <w:numId w:val="0"/>
      </w:numPr>
      <w:tabs>
        <w:tab w:val="left" w:pos="454"/>
        <w:tab w:val="left" w:pos="1827"/>
      </w:tabs>
      <w:spacing w:beforeLines="0" w:before="0" w:afterLines="0" w:after="0"/>
      <w:ind w:left="1827" w:hanging="420"/>
    </w:pPr>
    <w:rPr>
      <w:rFonts w:ascii="宋体" w:eastAsia="宋体" w:hAnsi="宋体"/>
      <w:b w:val="0"/>
      <w:bCs w:val="0"/>
      <w:color w:val="auto"/>
      <w:spacing w:val="10"/>
      <w:sz w:val="28"/>
      <w:lang w:val="en-US"/>
    </w:rPr>
  </w:style>
  <w:style w:type="paragraph" w:customStyle="1" w:styleId="10303">
    <w:name w:val="样式 标题 1第一标题 + 段前: 0.3 行 段后: 0.3 行"/>
    <w:basedOn w:val="1"/>
    <w:qFormat/>
    <w:pPr>
      <w:keepNext/>
      <w:numPr>
        <w:numId w:val="0"/>
      </w:numPr>
      <w:autoSpaceDE w:val="0"/>
      <w:autoSpaceDN w:val="0"/>
      <w:adjustRightInd w:val="0"/>
      <w:snapToGrid/>
      <w:spacing w:before="340" w:afterLines="30" w:after="330" w:line="278" w:lineRule="auto"/>
    </w:pPr>
    <w:rPr>
      <w:rFonts w:eastAsia="黑体" w:cs="宋体"/>
      <w:kern w:val="0"/>
      <w:sz w:val="32"/>
      <w:szCs w:val="20"/>
      <w:lang w:val="zh-CN"/>
    </w:rPr>
  </w:style>
  <w:style w:type="paragraph" w:customStyle="1" w:styleId="075">
    <w:name w:val="样式  + 首行缩进:  0.75 厘米"/>
    <w:basedOn w:val="a7"/>
    <w:qFormat/>
    <w:pPr>
      <w:spacing w:after="160" w:line="278" w:lineRule="auto"/>
      <w:ind w:firstLine="425"/>
      <w:jc w:val="left"/>
    </w:pPr>
    <w:rPr>
      <w:bCs/>
      <w:sz w:val="24"/>
    </w:rPr>
  </w:style>
  <w:style w:type="paragraph" w:customStyle="1" w:styleId="CharCharChar1CharCharCharCharCharCharCharCharCharCharCharCharCharCharCharCharChar">
    <w:name w:val="Char Char Char1 Char Char Char Char Char Char Char Char Char Char Char Char Char Char Char Char Char"/>
    <w:basedOn w:val="a7"/>
    <w:qFormat/>
    <w:pPr>
      <w:widowControl/>
      <w:spacing w:after="160" w:line="278" w:lineRule="auto"/>
      <w:jc w:val="left"/>
    </w:pPr>
    <w:rPr>
      <w:rFonts w:cs="宋体"/>
      <w:kern w:val="0"/>
      <w:sz w:val="24"/>
    </w:rPr>
  </w:style>
  <w:style w:type="paragraph" w:customStyle="1" w:styleId="CharCharCharCharCharCharCharCharCharCharCharChar1CharCharCharCharCharCharCharCharChar1">
    <w:name w:val="Char Char Char Char Char Char Char Char Char Char Char Char1 Char Char Char Char Char Char Char Char Char1"/>
    <w:basedOn w:val="a7"/>
    <w:next w:val="a7"/>
    <w:qFormat/>
    <w:pPr>
      <w:spacing w:after="160" w:line="336" w:lineRule="auto"/>
      <w:ind w:firstLineChars="200" w:firstLine="200"/>
    </w:pPr>
    <w:rPr>
      <w:rFonts w:ascii="宋体" w:eastAsia="汉鼎简书宋" w:hAnsi="宋体" w:hint="eastAsia"/>
      <w:sz w:val="24"/>
      <w:szCs w:val="20"/>
    </w:rPr>
  </w:style>
  <w:style w:type="paragraph" w:customStyle="1" w:styleId="Liu1">
    <w:name w:val="正文Liu－1"/>
    <w:basedOn w:val="a7"/>
    <w:qFormat/>
    <w:pPr>
      <w:adjustRightInd w:val="0"/>
      <w:snapToGrid w:val="0"/>
      <w:spacing w:after="160" w:line="360" w:lineRule="auto"/>
    </w:pPr>
    <w:rPr>
      <w:kern w:val="28"/>
      <w:szCs w:val="20"/>
    </w:rPr>
  </w:style>
  <w:style w:type="paragraph" w:customStyle="1" w:styleId="2ffff">
    <w:name w:val="样式 表格文字 + 首行缩进:  2 字符"/>
    <w:basedOn w:val="affffff1"/>
    <w:qFormat/>
    <w:pPr>
      <w:tabs>
        <w:tab w:val="clear" w:pos="5738"/>
        <w:tab w:val="clear" w:pos="5902"/>
        <w:tab w:val="left" w:pos="3060"/>
      </w:tabs>
      <w:autoSpaceDE/>
      <w:autoSpaceDN/>
      <w:spacing w:after="160" w:line="278" w:lineRule="auto"/>
      <w:ind w:firstLineChars="200" w:firstLine="420"/>
    </w:pPr>
    <w:rPr>
      <w:rFonts w:ascii="仿宋_GB2312" w:eastAsia="仿宋_GB2312" w:hAnsi="MS Shell Dlg" w:cs="宋体"/>
      <w:snapToGrid w:val="0"/>
      <w:sz w:val="24"/>
      <w:szCs w:val="20"/>
    </w:rPr>
  </w:style>
  <w:style w:type="paragraph" w:customStyle="1" w:styleId="affffffffffffffffffffffffff7">
    <w:name w:val="重点标记"/>
    <w:basedOn w:val="a7"/>
    <w:qFormat/>
    <w:pPr>
      <w:tabs>
        <w:tab w:val="left" w:pos="3780"/>
        <w:tab w:val="left" w:pos="4680"/>
      </w:tabs>
      <w:spacing w:before="120" w:after="120" w:line="360" w:lineRule="auto"/>
      <w:ind w:firstLineChars="200" w:firstLine="560"/>
    </w:pPr>
    <w:rPr>
      <w:rFonts w:ascii="宋体"/>
      <w:sz w:val="28"/>
    </w:rPr>
  </w:style>
  <w:style w:type="paragraph" w:customStyle="1" w:styleId="xl109">
    <w:name w:val="xl109"/>
    <w:basedOn w:val="a7"/>
    <w:qFormat/>
    <w:pPr>
      <w:widowControl/>
      <w:shd w:val="clear" w:color="000000" w:fill="FFFFFF"/>
      <w:snapToGrid w:val="0"/>
      <w:spacing w:before="100" w:beforeAutospacing="1" w:after="100" w:afterAutospacing="1" w:line="278" w:lineRule="auto"/>
      <w:jc w:val="right"/>
    </w:pPr>
    <w:rPr>
      <w:rFonts w:ascii="宋体" w:hAnsi="宋体" w:cs="宋体"/>
      <w:kern w:val="0"/>
      <w:sz w:val="24"/>
    </w:rPr>
  </w:style>
  <w:style w:type="paragraph" w:customStyle="1" w:styleId="5fb">
    <w:name w:val="正文表格5号"/>
    <w:basedOn w:val="a7"/>
    <w:qFormat/>
    <w:pPr>
      <w:adjustRightInd w:val="0"/>
      <w:spacing w:after="160" w:line="460" w:lineRule="exact"/>
      <w:textAlignment w:val="baseline"/>
    </w:pPr>
    <w:rPr>
      <w:rFonts w:ascii="宋体"/>
      <w:kern w:val="0"/>
      <w:szCs w:val="20"/>
    </w:rPr>
  </w:style>
  <w:style w:type="paragraph" w:customStyle="1" w:styleId="15a">
    <w:name w:val="样式 宋体 行距: 1.5 倍行距"/>
    <w:basedOn w:val="a7"/>
    <w:qFormat/>
    <w:pPr>
      <w:spacing w:after="160" w:line="278" w:lineRule="auto"/>
    </w:pPr>
    <w:rPr>
      <w:rFonts w:ascii="宋体" w:hAnsi="宋体"/>
    </w:rPr>
  </w:style>
  <w:style w:type="paragraph" w:customStyle="1" w:styleId="CharCharCharCharCharCharCharCharCharCharCharCharCharCharCharCharCharCharChar">
    <w:name w:val="Char Char Char Char Char Char Char Char Char Char Char Char Char Char Char Char Char Char Char"/>
    <w:basedOn w:val="a7"/>
    <w:qFormat/>
    <w:pPr>
      <w:adjustRightInd w:val="0"/>
      <w:spacing w:after="160" w:line="360" w:lineRule="auto"/>
    </w:pPr>
    <w:rPr>
      <w:kern w:val="0"/>
      <w:sz w:val="24"/>
    </w:rPr>
  </w:style>
  <w:style w:type="paragraph" w:customStyle="1" w:styleId="22c">
    <w:name w:val="样式 标题 2 可 + 首行缩进:  2 字符"/>
    <w:basedOn w:val="2ffa"/>
    <w:uiPriority w:val="99"/>
    <w:qFormat/>
    <w:pPr>
      <w:ind w:firstLineChars="200" w:firstLine="200"/>
      <w:jc w:val="left"/>
    </w:pPr>
    <w:rPr>
      <w:bCs w:val="0"/>
    </w:rPr>
  </w:style>
  <w:style w:type="paragraph" w:customStyle="1" w:styleId="affffffffffffffffffffffffff8">
    <w:name w:val="表格 标题"/>
    <w:basedOn w:val="2fb"/>
    <w:qFormat/>
    <w:pPr>
      <w:keepNext/>
      <w:keepLines/>
      <w:topLinePunct w:val="0"/>
      <w:adjustRightInd/>
      <w:spacing w:line="360" w:lineRule="auto"/>
      <w:ind w:firstLineChars="0" w:firstLine="0"/>
      <w:contextualSpacing/>
      <w:textAlignment w:val="auto"/>
    </w:pPr>
    <w:rPr>
      <w:rFonts w:cs="Times New Roman"/>
      <w:bCs w:val="0"/>
      <w:kern w:val="0"/>
      <w:sz w:val="24"/>
      <w:szCs w:val="21"/>
    </w:rPr>
  </w:style>
  <w:style w:type="paragraph" w:customStyle="1" w:styleId="2ffff0">
    <w:name w:val="正文（首行缩进两个字） + 首行缩进:  2 字符"/>
    <w:basedOn w:val="a7"/>
    <w:qFormat/>
    <w:pPr>
      <w:widowControl/>
      <w:spacing w:after="160" w:line="440" w:lineRule="exact"/>
      <w:ind w:firstLineChars="200" w:firstLine="200"/>
      <w:jc w:val="left"/>
    </w:pPr>
    <w:rPr>
      <w:rFonts w:eastAsia="仿宋_GB2312" w:cs="宋体"/>
      <w:sz w:val="24"/>
      <w:szCs w:val="20"/>
      <w:lang w:val="zh-CN"/>
    </w:rPr>
  </w:style>
  <w:style w:type="paragraph" w:customStyle="1" w:styleId="TableBody">
    <w:name w:val="Table Body"/>
    <w:basedOn w:val="TableHead"/>
    <w:uiPriority w:val="99"/>
    <w:qFormat/>
    <w:pPr>
      <w:jc w:val="left"/>
    </w:pPr>
    <w:rPr>
      <w:b w:val="0"/>
    </w:rPr>
  </w:style>
  <w:style w:type="paragraph" w:customStyle="1" w:styleId="1ffff7">
    <w:name w:val="（1）"/>
    <w:basedOn w:val="777777777CharChar"/>
    <w:qFormat/>
  </w:style>
  <w:style w:type="paragraph" w:customStyle="1" w:styleId="CharCharCharCharCharCharCharCharCharCharCharCharCharCharChar">
    <w:name w:val="Char Char Char Char Char Char Char Char Char Char Char Char Char Char Char"/>
    <w:next w:val="a7"/>
    <w:qFormat/>
    <w:pPr>
      <w:tabs>
        <w:tab w:val="left" w:pos="700"/>
      </w:tabs>
      <w:snapToGrid w:val="0"/>
      <w:spacing w:after="160" w:line="300" w:lineRule="auto"/>
    </w:pPr>
    <w:rPr>
      <w:rFonts w:ascii="仿宋_GB2312" w:eastAsia="仿宋_GB2312" w:hAnsi="Verdana"/>
      <w:b/>
      <w:bCs/>
      <w:snapToGrid w:val="0"/>
      <w:sz w:val="28"/>
      <w:szCs w:val="28"/>
      <w:lang w:eastAsia="en-US"/>
    </w:rPr>
  </w:style>
  <w:style w:type="paragraph" w:customStyle="1" w:styleId="Char70">
    <w:name w:val="Char7"/>
    <w:basedOn w:val="a7"/>
    <w:next w:val="a7"/>
    <w:qFormat/>
    <w:pPr>
      <w:spacing w:after="160" w:line="360" w:lineRule="auto"/>
      <w:ind w:firstLineChars="200" w:firstLine="200"/>
    </w:pPr>
    <w:rPr>
      <w:rFonts w:ascii="宋体" w:hAnsi="宋体" w:cs="宋体"/>
      <w:sz w:val="24"/>
    </w:rPr>
  </w:style>
  <w:style w:type="paragraph" w:customStyle="1" w:styleId="xl120">
    <w:name w:val="xl120"/>
    <w:basedOn w:val="a7"/>
    <w:uiPriority w:val="99"/>
    <w:qFormat/>
    <w:pPr>
      <w:widowControl/>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11Charmy11-1PartH1H">
    <w:name w:val="样式 标题 1标题 1 Char一级标题，黑粗，三号，序号my标题1标1第一章章可研-标题 1PartH1H..."/>
    <w:basedOn w:val="1"/>
    <w:qFormat/>
    <w:pPr>
      <w:keepNext/>
      <w:keepLines/>
      <w:pageBreakBefore/>
      <w:widowControl/>
      <w:numPr>
        <w:numId w:val="0"/>
      </w:numPr>
      <w:tabs>
        <w:tab w:val="left" w:pos="454"/>
      </w:tabs>
      <w:spacing w:beforeLines="0" w:before="0" w:after="160"/>
      <w:jc w:val="left"/>
    </w:pPr>
    <w:rPr>
      <w:rFonts w:ascii="宋体" w:eastAsia="黑体" w:hAnsi="宋体" w:cs="宋体"/>
      <w:color w:val="000000"/>
      <w:sz w:val="28"/>
      <w:szCs w:val="28"/>
    </w:rPr>
  </w:style>
  <w:style w:type="paragraph" w:customStyle="1" w:styleId="624">
    <w:name w:val="无缩进 无行距6.24"/>
    <w:basedOn w:val="27"/>
    <w:qFormat/>
    <w:pPr>
      <w:spacing w:after="0" w:line="360" w:lineRule="auto"/>
      <w:ind w:firstLineChars="0" w:firstLine="0"/>
    </w:pPr>
    <w:rPr>
      <w:rFonts w:ascii="宋体" w:hAnsi="宋体" w:cs="Times New Roman"/>
      <w:sz w:val="24"/>
    </w:rPr>
  </w:style>
  <w:style w:type="paragraph" w:customStyle="1" w:styleId="CharCharCharCharCharChar10">
    <w:name w:val="样式 样式 正文缩进文本条款首行缩进两字正文（首行缩进两字） Char Char Char Char Char Char正文（....1"/>
    <w:basedOn w:val="a7"/>
    <w:qFormat/>
    <w:pPr>
      <w:adjustRightInd w:val="0"/>
      <w:snapToGrid w:val="0"/>
      <w:spacing w:after="160" w:line="440" w:lineRule="atLeast"/>
      <w:ind w:firstLineChars="200" w:firstLine="480"/>
    </w:pPr>
    <w:rPr>
      <w:rFonts w:hAnsi="宋体" w:cs="宋体"/>
      <w:kern w:val="0"/>
      <w:sz w:val="24"/>
      <w:szCs w:val="20"/>
    </w:rPr>
  </w:style>
  <w:style w:type="paragraph" w:customStyle="1" w:styleId="affffffffffffffffffffffffff9">
    <w:name w:val="列表结尾"/>
    <w:basedOn w:val="afffa"/>
    <w:next w:val="aff2"/>
    <w:semiHidden/>
    <w:qFormat/>
    <w:pPr>
      <w:widowControl/>
      <w:tabs>
        <w:tab w:val="left" w:pos="720"/>
      </w:tabs>
      <w:overflowPunct w:val="0"/>
      <w:autoSpaceDE w:val="0"/>
      <w:autoSpaceDN w:val="0"/>
      <w:spacing w:after="240" w:line="240" w:lineRule="auto"/>
      <w:ind w:left="720" w:rightChars="-45" w:right="-45" w:firstLineChars="0" w:hanging="360"/>
    </w:pPr>
    <w:rPr>
      <w:sz w:val="20"/>
      <w:szCs w:val="22"/>
    </w:rPr>
  </w:style>
  <w:style w:type="paragraph" w:customStyle="1" w:styleId="Char2CharCharChar">
    <w:name w:val="Char2 Char Char Char"/>
    <w:basedOn w:val="a7"/>
    <w:qFormat/>
    <w:pPr>
      <w:spacing w:after="160" w:line="240" w:lineRule="exact"/>
      <w:ind w:firstLine="482"/>
    </w:pPr>
    <w:rPr>
      <w:rFonts w:ascii="Verdana" w:eastAsia="黑体" w:hAnsi="Verdana"/>
      <w:kern w:val="0"/>
      <w:sz w:val="28"/>
      <w:szCs w:val="20"/>
      <w:lang w:eastAsia="en-US"/>
    </w:rPr>
  </w:style>
  <w:style w:type="paragraph" w:customStyle="1" w:styleId="affffffffffffffffffffffffffa">
    <w:name w:val="摘要"/>
    <w:basedOn w:val="a7"/>
    <w:qFormat/>
    <w:pPr>
      <w:spacing w:after="160" w:line="360" w:lineRule="auto"/>
      <w:ind w:firstLine="482"/>
    </w:pPr>
    <w:rPr>
      <w:rFonts w:hAnsi="宋体"/>
      <w:kern w:val="0"/>
      <w:sz w:val="24"/>
    </w:rPr>
  </w:style>
  <w:style w:type="paragraph" w:customStyle="1" w:styleId="5fc">
    <w:name w:val="样式 表内5 + (符号) 宋体 两端对齐 行距: 单倍行距"/>
    <w:basedOn w:val="a7"/>
    <w:qFormat/>
    <w:pPr>
      <w:adjustRightInd w:val="0"/>
      <w:snapToGrid w:val="0"/>
      <w:spacing w:after="160" w:line="360" w:lineRule="auto"/>
      <w:ind w:firstLineChars="200" w:firstLine="420"/>
    </w:pPr>
    <w:rPr>
      <w:rFonts w:ascii="宋体" w:eastAsia="楷体_GB2312" w:hAnsi="宋体"/>
      <w:sz w:val="24"/>
      <w:szCs w:val="20"/>
    </w:rPr>
  </w:style>
  <w:style w:type="paragraph" w:customStyle="1" w:styleId="wtext">
    <w:name w:val="wtext"/>
    <w:basedOn w:val="a7"/>
    <w:qFormat/>
    <w:pPr>
      <w:widowControl/>
      <w:spacing w:before="100" w:beforeAutospacing="1" w:after="100" w:afterAutospacing="1" w:line="360" w:lineRule="auto"/>
      <w:ind w:firstLineChars="200" w:firstLine="480"/>
    </w:pPr>
    <w:rPr>
      <w:rFonts w:ascii="Arial" w:hAnsi="Arial" w:cs="Arial"/>
      <w:kern w:val="0"/>
      <w:sz w:val="24"/>
    </w:rPr>
  </w:style>
  <w:style w:type="paragraph" w:customStyle="1" w:styleId="2ffff1">
    <w:name w:val="?2"/>
    <w:basedOn w:val="a7"/>
    <w:next w:val="a7"/>
    <w:qFormat/>
    <w:pPr>
      <w:autoSpaceDE w:val="0"/>
      <w:autoSpaceDN w:val="0"/>
      <w:adjustRightInd w:val="0"/>
      <w:spacing w:after="160" w:line="360" w:lineRule="auto"/>
      <w:ind w:firstLine="482"/>
      <w:jc w:val="left"/>
    </w:pPr>
    <w:rPr>
      <w:rFonts w:ascii="五" w:eastAsia="五"/>
      <w:kern w:val="0"/>
      <w:sz w:val="20"/>
    </w:rPr>
  </w:style>
  <w:style w:type="paragraph" w:customStyle="1" w:styleId="2ffff2">
    <w:name w:val="样式 表格后正文 + 首行缩进:  2 字符"/>
    <w:basedOn w:val="affffffffffffffffffffffffff4"/>
    <w:qFormat/>
    <w:pPr>
      <w:ind w:firstLine="560"/>
    </w:pPr>
    <w:rPr>
      <w:rFonts w:cs="宋体"/>
      <w:szCs w:val="20"/>
    </w:rPr>
  </w:style>
  <w:style w:type="paragraph" w:customStyle="1" w:styleId="puce">
    <w:name w:val="puce"/>
    <w:basedOn w:val="a7"/>
    <w:uiPriority w:val="99"/>
    <w:qFormat/>
    <w:pPr>
      <w:widowControl/>
      <w:tabs>
        <w:tab w:val="left" w:pos="720"/>
        <w:tab w:val="left" w:pos="1200"/>
      </w:tabs>
      <w:adjustRightInd w:val="0"/>
      <w:snapToGrid w:val="0"/>
      <w:spacing w:before="120" w:after="160" w:line="300" w:lineRule="auto"/>
      <w:ind w:left="1200" w:hanging="480"/>
    </w:pPr>
    <w:rPr>
      <w:rFonts w:ascii="Arial" w:hAnsi="Arial"/>
      <w:kern w:val="0"/>
      <w:sz w:val="24"/>
      <w:szCs w:val="20"/>
    </w:rPr>
  </w:style>
  <w:style w:type="paragraph" w:customStyle="1" w:styleId="Achievement">
    <w:name w:val="Achievement"/>
    <w:basedOn w:val="aff2"/>
    <w:qFormat/>
    <w:pPr>
      <w:widowControl/>
      <w:tabs>
        <w:tab w:val="left" w:pos="960"/>
      </w:tabs>
      <w:spacing w:before="0" w:after="60" w:line="220" w:lineRule="atLeast"/>
      <w:ind w:left="960" w:right="-360" w:hanging="960"/>
    </w:pPr>
    <w:rPr>
      <w:rFonts w:ascii="Times New Roman" w:hAnsi="Times New Roman"/>
      <w:sz w:val="20"/>
      <w:szCs w:val="21"/>
      <w:lang w:eastAsia="zh-CN"/>
    </w:rPr>
  </w:style>
  <w:style w:type="paragraph" w:customStyle="1" w:styleId="2200">
    <w:name w:val="样式 样式 标题 2 + 首行缩进:  2 字符 + 段前: 0 磅 段后: 0 磅"/>
    <w:basedOn w:val="223"/>
    <w:qFormat/>
    <w:pPr>
      <w:tabs>
        <w:tab w:val="clear" w:pos="360"/>
      </w:tabs>
      <w:spacing w:before="0" w:after="0"/>
      <w:ind w:left="0" w:firstLine="562"/>
    </w:pPr>
    <w:rPr>
      <w:sz w:val="28"/>
    </w:rPr>
  </w:style>
  <w:style w:type="paragraph" w:customStyle="1" w:styleId="5fd">
    <w:name w:val="样式 5号表"/>
    <w:basedOn w:val="a7"/>
    <w:qFormat/>
    <w:pPr>
      <w:shd w:val="clear" w:color="auto" w:fill="FFFFFF"/>
      <w:kinsoku w:val="0"/>
      <w:overflowPunct w:val="0"/>
      <w:autoSpaceDE w:val="0"/>
      <w:autoSpaceDN w:val="0"/>
      <w:snapToGrid w:val="0"/>
      <w:spacing w:after="160" w:line="300" w:lineRule="exact"/>
      <w:ind w:firstLine="482"/>
    </w:pPr>
    <w:rPr>
      <w:rFonts w:ascii="宋体" w:hAnsi="宋体" w:cs="宋体"/>
      <w:bCs/>
      <w:kern w:val="0"/>
      <w:sz w:val="24"/>
      <w:szCs w:val="20"/>
    </w:rPr>
  </w:style>
  <w:style w:type="paragraph" w:customStyle="1" w:styleId="xl115">
    <w:name w:val="xl115"/>
    <w:basedOn w:val="a7"/>
    <w:qFormat/>
    <w:pPr>
      <w:widowControl/>
      <w:shd w:val="clear" w:color="000000" w:fill="FFFFFF"/>
      <w:snapToGrid w:val="0"/>
      <w:spacing w:before="100" w:beforeAutospacing="1" w:after="100" w:afterAutospacing="1" w:line="278" w:lineRule="auto"/>
      <w:jc w:val="center"/>
      <w:textAlignment w:val="center"/>
    </w:pPr>
    <w:rPr>
      <w:rFonts w:ascii="宋体" w:hAnsi="宋体" w:cs="宋体"/>
      <w:color w:val="C414B7"/>
      <w:kern w:val="0"/>
      <w:sz w:val="24"/>
    </w:rPr>
  </w:style>
  <w:style w:type="paragraph" w:customStyle="1" w:styleId="affffffffffffffffffffffffffb">
    <w:name w:val="表居中（中文）"/>
    <w:basedOn w:val="affffffffffffffffffff4"/>
    <w:qFormat/>
    <w:pPr>
      <w:ind w:left="0"/>
      <w:jc w:val="center"/>
    </w:pPr>
  </w:style>
  <w:style w:type="paragraph" w:customStyle="1" w:styleId="CharCharCharCharCharCharCharCharChar5">
    <w:name w:val="Char Char Char Char Char Char Char Char Char5"/>
    <w:basedOn w:val="a7"/>
    <w:qFormat/>
    <w:pPr>
      <w:spacing w:after="160" w:line="278" w:lineRule="auto"/>
    </w:pPr>
  </w:style>
  <w:style w:type="paragraph" w:customStyle="1" w:styleId="affffffffffffffffffffffffffc">
    <w:name w:val="程序"/>
    <w:basedOn w:val="a7"/>
    <w:qFormat/>
    <w:pPr>
      <w:autoSpaceDE w:val="0"/>
      <w:autoSpaceDN w:val="0"/>
      <w:adjustRightInd w:val="0"/>
      <w:spacing w:after="160" w:line="240" w:lineRule="atLeast"/>
      <w:ind w:right="238" w:firstLine="510"/>
      <w:jc w:val="left"/>
      <w:textAlignment w:val="baseline"/>
    </w:pPr>
    <w:rPr>
      <w:rFonts w:ascii="Courier New" w:hAnsi="Courier New"/>
      <w:kern w:val="0"/>
      <w:sz w:val="24"/>
      <w:szCs w:val="20"/>
    </w:rPr>
  </w:style>
  <w:style w:type="paragraph" w:customStyle="1" w:styleId="Char1CharCharCharCharCharCharCharCharCharCharCharCharCharCharCharCharCharCharCharCharChar1">
    <w:name w:val="Char1 Char Char Char Char Char Char Char Char Char Char Char Char Char Char Char Char Char Char Char Char Char1"/>
    <w:next w:val="a7"/>
    <w:uiPriority w:val="99"/>
    <w:semiHidden/>
    <w:qFormat/>
    <w:pPr>
      <w:pageBreakBefore/>
      <w:widowControl w:val="0"/>
      <w:snapToGrid w:val="0"/>
      <w:spacing w:before="340" w:after="330" w:line="360" w:lineRule="auto"/>
      <w:ind w:firstLineChars="200" w:firstLine="200"/>
    </w:pPr>
    <w:rPr>
      <w:rFonts w:eastAsia="仿宋_GB2312"/>
      <w:b/>
      <w:bCs/>
      <w:spacing w:val="10"/>
      <w:kern w:val="44"/>
      <w:sz w:val="24"/>
      <w:szCs w:val="32"/>
    </w:rPr>
  </w:style>
  <w:style w:type="paragraph" w:customStyle="1" w:styleId="2H211lxb211h2Char2">
    <w:name w:val="样式 标题 2节H2节标题 1.1二级标题标题 lxb21.1h2第一层条二级标题 Char表标题单位名...2"/>
    <w:basedOn w:val="21"/>
    <w:qFormat/>
    <w:pPr>
      <w:keepNext/>
      <w:keepLines/>
      <w:numPr>
        <w:ilvl w:val="0"/>
        <w:numId w:val="0"/>
      </w:numPr>
      <w:tabs>
        <w:tab w:val="left" w:pos="454"/>
        <w:tab w:val="left" w:pos="851"/>
      </w:tabs>
      <w:snapToGrid/>
      <w:spacing w:before="260" w:afterLines="0" w:after="0"/>
      <w:jc w:val="both"/>
    </w:pPr>
    <w:rPr>
      <w:rFonts w:ascii="黑体" w:hAnsi="Arial" w:cs="宋体"/>
      <w:smallCaps w:val="0"/>
      <w:color w:val="auto"/>
      <w:sz w:val="30"/>
      <w:szCs w:val="20"/>
    </w:rPr>
  </w:style>
  <w:style w:type="paragraph" w:customStyle="1" w:styleId="3110">
    <w:name w:val="正文文本 311"/>
    <w:basedOn w:val="a7"/>
    <w:qFormat/>
    <w:pPr>
      <w:adjustRightInd w:val="0"/>
      <w:spacing w:after="160" w:line="360" w:lineRule="atLeast"/>
      <w:ind w:firstLine="482"/>
      <w:jc w:val="center"/>
      <w:textAlignment w:val="baseline"/>
    </w:pPr>
    <w:rPr>
      <w:rFonts w:ascii="仿宋体" w:eastAsia="仿宋体" w:hAnsi="宋体"/>
      <w:kern w:val="0"/>
      <w:sz w:val="24"/>
      <w:szCs w:val="20"/>
    </w:rPr>
  </w:style>
  <w:style w:type="paragraph" w:customStyle="1" w:styleId="affffffffffffffffffffffffffd">
    <w:name w:val="公司名"/>
    <w:basedOn w:val="a7"/>
    <w:qFormat/>
    <w:pPr>
      <w:keepLines/>
      <w:framePr w:w="3552" w:h="450" w:hRule="exact" w:wrap="notBeside" w:vAnchor="page" w:hAnchor="page" w:x="7501" w:y="1009" w:anchorLock="1"/>
      <w:widowControl/>
      <w:pBdr>
        <w:top w:val="single" w:sz="6" w:space="9" w:color="auto"/>
        <w:left w:val="single" w:sz="6" w:space="9" w:color="auto"/>
        <w:bottom w:val="single" w:sz="6" w:space="9" w:color="auto"/>
        <w:right w:val="single" w:sz="6" w:space="9" w:color="auto"/>
      </w:pBdr>
      <w:shd w:val="solid" w:color="auto" w:fill="auto"/>
      <w:tabs>
        <w:tab w:val="left" w:pos="2640"/>
      </w:tabs>
      <w:spacing w:after="160" w:line="320" w:lineRule="exact"/>
      <w:jc w:val="left"/>
    </w:pPr>
    <w:rPr>
      <w:rFonts w:ascii="Arial Black" w:eastAsia="黑体" w:hAnsi="Arial Black"/>
      <w:kern w:val="0"/>
      <w:position w:val="-2"/>
      <w:sz w:val="32"/>
      <w:szCs w:val="32"/>
    </w:rPr>
  </w:style>
  <w:style w:type="paragraph" w:customStyle="1" w:styleId="TEXT">
    <w:name w:val="TEXT"/>
    <w:basedOn w:val="a7"/>
    <w:qFormat/>
    <w:pPr>
      <w:spacing w:after="160" w:line="440" w:lineRule="exact"/>
      <w:ind w:firstLineChars="200" w:firstLine="480"/>
    </w:pPr>
    <w:rPr>
      <w:rFonts w:cs="宋体"/>
      <w:kern w:val="0"/>
      <w:sz w:val="24"/>
      <w:szCs w:val="20"/>
    </w:rPr>
  </w:style>
  <w:style w:type="paragraph" w:customStyle="1" w:styleId="xl119">
    <w:name w:val="xl119"/>
    <w:basedOn w:val="a7"/>
    <w:uiPriority w:val="99"/>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right"/>
    </w:pPr>
    <w:rPr>
      <w:rFonts w:ascii="宋体" w:hAnsi="宋体" w:cs="宋体"/>
      <w:color w:val="C414B7"/>
      <w:kern w:val="0"/>
      <w:sz w:val="24"/>
    </w:rPr>
  </w:style>
  <w:style w:type="paragraph" w:customStyle="1" w:styleId="text0">
    <w:name w:val="text0"/>
    <w:basedOn w:val="a7"/>
    <w:uiPriority w:val="99"/>
    <w:qFormat/>
    <w:pPr>
      <w:widowControl/>
      <w:snapToGrid w:val="0"/>
      <w:spacing w:before="100" w:beforeAutospacing="1" w:after="100" w:afterAutospacing="1" w:line="420" w:lineRule="atLeast"/>
      <w:jc w:val="left"/>
    </w:pPr>
    <w:rPr>
      <w:rFonts w:ascii="??" w:hAnsi="??"/>
      <w:color w:val="333333"/>
      <w:kern w:val="0"/>
      <w:sz w:val="18"/>
      <w:szCs w:val="18"/>
    </w:rPr>
  </w:style>
  <w:style w:type="paragraph" w:customStyle="1" w:styleId="2ffff3">
    <w:name w:val="缩2"/>
    <w:basedOn w:val="a7"/>
    <w:qFormat/>
    <w:pPr>
      <w:spacing w:after="160" w:line="500" w:lineRule="exact"/>
      <w:ind w:firstLineChars="200" w:firstLine="560"/>
    </w:pPr>
    <w:rPr>
      <w:kern w:val="0"/>
      <w:sz w:val="28"/>
    </w:rPr>
  </w:style>
  <w:style w:type="paragraph" w:customStyle="1" w:styleId="CharCharCharCharCharCharCharCharCharCharCharCharChar1">
    <w:name w:val="Char Char Char Char Char Char Char Char Char Char Char Char Char1"/>
    <w:basedOn w:val="a7"/>
    <w:qFormat/>
    <w:pPr>
      <w:snapToGrid w:val="0"/>
      <w:spacing w:after="160" w:line="278" w:lineRule="auto"/>
      <w:jc w:val="left"/>
    </w:pPr>
  </w:style>
  <w:style w:type="paragraph" w:customStyle="1" w:styleId="xl104">
    <w:name w:val="xl104"/>
    <w:basedOn w:val="a7"/>
    <w:qFormat/>
    <w:pPr>
      <w:widowControl/>
      <w:shd w:val="clear" w:color="000000" w:fill="FFFFFF"/>
      <w:snapToGrid w:val="0"/>
      <w:spacing w:before="100" w:beforeAutospacing="1" w:after="100" w:afterAutospacing="1" w:line="278" w:lineRule="auto"/>
      <w:jc w:val="right"/>
    </w:pPr>
    <w:rPr>
      <w:rFonts w:ascii="宋体" w:hAnsi="宋体" w:cs="宋体"/>
      <w:kern w:val="0"/>
      <w:sz w:val="24"/>
    </w:rPr>
  </w:style>
  <w:style w:type="paragraph" w:customStyle="1" w:styleId="affffffffffffffffffffffffffe">
    <w:name w:val="表格字"/>
    <w:basedOn w:val="afffa"/>
    <w:qFormat/>
    <w:pPr>
      <w:adjustRightInd/>
      <w:spacing w:after="160" w:line="380" w:lineRule="exact"/>
      <w:ind w:left="0" w:rightChars="-45" w:right="-45" w:firstLineChars="0" w:firstLine="0"/>
      <w:jc w:val="center"/>
      <w:textAlignment w:val="auto"/>
    </w:pPr>
    <w:rPr>
      <w:rFonts w:ascii="宋体" w:hAnsi="宋体"/>
      <w:kern w:val="2"/>
      <w:sz w:val="21"/>
      <w:szCs w:val="21"/>
    </w:rPr>
  </w:style>
  <w:style w:type="paragraph" w:customStyle="1" w:styleId="Text1">
    <w:name w:val="Text"/>
    <w:uiPriority w:val="99"/>
    <w:qFormat/>
    <w:pPr>
      <w:suppressAutoHyphens/>
      <w:spacing w:after="160" w:line="278" w:lineRule="auto"/>
      <w:ind w:left="2268"/>
    </w:pPr>
    <w:rPr>
      <w:rFonts w:ascii="Arial" w:hAnsi="Arial"/>
      <w:color w:val="000000"/>
      <w:sz w:val="24"/>
    </w:rPr>
  </w:style>
  <w:style w:type="paragraph" w:customStyle="1" w:styleId="hb1">
    <w:name w:val="hb1"/>
    <w:basedOn w:val="1"/>
    <w:qFormat/>
    <w:pPr>
      <w:keepNext/>
      <w:numPr>
        <w:numId w:val="0"/>
      </w:numPr>
      <w:topLinePunct/>
      <w:adjustRightInd w:val="0"/>
      <w:snapToGrid/>
      <w:spacing w:beforeLines="0" w:before="480" w:after="600" w:line="578" w:lineRule="atLeast"/>
      <w:jc w:val="center"/>
      <w:textAlignment w:val="baseline"/>
    </w:pPr>
    <w:rPr>
      <w:rFonts w:ascii="Arial Narrow" w:eastAsia="宋体" w:hAnsi="Arial Narrow" w:cs="黑体"/>
      <w:kern w:val="2"/>
      <w:sz w:val="32"/>
      <w:szCs w:val="32"/>
    </w:rPr>
  </w:style>
  <w:style w:type="paragraph" w:customStyle="1" w:styleId="egl1">
    <w:name w:val="egl1"/>
    <w:basedOn w:val="a7"/>
    <w:qFormat/>
    <w:pPr>
      <w:widowControl/>
      <w:tabs>
        <w:tab w:val="left" w:pos="1247"/>
        <w:tab w:val="left" w:pos="2098"/>
        <w:tab w:val="left" w:pos="2948"/>
        <w:tab w:val="left" w:pos="3799"/>
        <w:tab w:val="left" w:pos="4990"/>
        <w:tab w:val="left" w:pos="5727"/>
        <w:tab w:val="left" w:pos="6577"/>
        <w:tab w:val="left" w:pos="8108"/>
        <w:tab w:val="left" w:pos="8959"/>
        <w:tab w:val="left" w:pos="9469"/>
        <w:tab w:val="left" w:pos="10319"/>
        <w:tab w:val="left" w:pos="11170"/>
        <w:tab w:val="left" w:pos="11737"/>
        <w:tab w:val="left" w:pos="12191"/>
        <w:tab w:val="left" w:pos="13608"/>
        <w:tab w:val="left" w:pos="15536"/>
      </w:tabs>
      <w:spacing w:after="160" w:line="242" w:lineRule="exact"/>
      <w:jc w:val="left"/>
    </w:pPr>
    <w:rPr>
      <w:kern w:val="0"/>
      <w:sz w:val="22"/>
      <w:szCs w:val="20"/>
    </w:rPr>
  </w:style>
  <w:style w:type="paragraph" w:customStyle="1" w:styleId="xl236">
    <w:name w:val="xl236"/>
    <w:basedOn w:val="a7"/>
    <w:qFormat/>
    <w:pPr>
      <w:widowControl/>
      <w:pBdr>
        <w:bottom w:val="single" w:sz="8"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40505">
    <w:name w:val="样式 4级 + 段前: 0.5 行 段后: 0.5 行"/>
    <w:basedOn w:val="a7"/>
    <w:semiHidden/>
    <w:qFormat/>
    <w:pPr>
      <w:keepNext/>
      <w:keepLines/>
      <w:spacing w:beforeLines="50" w:before="40" w:afterLines="50" w:after="40" w:line="440" w:lineRule="exact"/>
      <w:jc w:val="left"/>
      <w:outlineLvl w:val="3"/>
    </w:pPr>
    <w:rPr>
      <w:rFonts w:eastAsia="黑体" w:cs="宋体"/>
      <w:kern w:val="0"/>
      <w:sz w:val="28"/>
      <w:szCs w:val="20"/>
    </w:rPr>
  </w:style>
  <w:style w:type="paragraph" w:customStyle="1" w:styleId="afffffffffffffffffffffffffff">
    <w:name w:val="样式 安全设施表格后正文"/>
    <w:basedOn w:val="a7"/>
    <w:qFormat/>
    <w:pPr>
      <w:tabs>
        <w:tab w:val="left" w:pos="567"/>
      </w:tabs>
      <w:spacing w:beforeLines="100" w:before="240" w:after="160" w:line="360" w:lineRule="auto"/>
      <w:ind w:firstLineChars="200" w:firstLine="200"/>
      <w:jc w:val="left"/>
    </w:pPr>
    <w:rPr>
      <w:rFonts w:ascii="宋体" w:cs="宋体"/>
      <w:sz w:val="24"/>
      <w:szCs w:val="20"/>
    </w:rPr>
  </w:style>
  <w:style w:type="paragraph" w:customStyle="1" w:styleId="BodyTextIndent1">
    <w:name w:val="Body Text Indent1"/>
    <w:basedOn w:val="a7"/>
    <w:qFormat/>
    <w:pPr>
      <w:spacing w:after="120" w:line="278" w:lineRule="auto"/>
      <w:ind w:leftChars="200" w:left="420"/>
    </w:pPr>
  </w:style>
  <w:style w:type="paragraph" w:customStyle="1" w:styleId="xl87">
    <w:name w:val="xl87"/>
    <w:basedOn w:val="a7"/>
    <w:qFormat/>
    <w:pPr>
      <w:widowControl/>
      <w:pBdr>
        <w:left w:val="single" w:sz="8" w:space="0" w:color="000000"/>
        <w:bottom w:val="single" w:sz="8" w:space="0" w:color="000000"/>
        <w:right w:val="single" w:sz="8" w:space="0" w:color="000000"/>
      </w:pBdr>
      <w:snapToGrid w:val="0"/>
      <w:spacing w:before="100" w:beforeAutospacing="1" w:after="100" w:afterAutospacing="1" w:line="278" w:lineRule="auto"/>
      <w:jc w:val="left"/>
    </w:pPr>
    <w:rPr>
      <w:rFonts w:ascii="宋体" w:hAnsi="宋体" w:cs="宋体"/>
      <w:color w:val="000000"/>
      <w:kern w:val="0"/>
      <w:sz w:val="24"/>
    </w:rPr>
  </w:style>
  <w:style w:type="paragraph" w:customStyle="1" w:styleId="xl269">
    <w:name w:val="xl269"/>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8" w:lineRule="auto"/>
      <w:jc w:val="left"/>
      <w:textAlignment w:val="center"/>
    </w:pPr>
    <w:rPr>
      <w:rFonts w:ascii="宋体" w:hAnsi="宋体" w:cs="宋体"/>
      <w:b/>
      <w:bCs/>
      <w:color w:val="000000"/>
      <w:kern w:val="0"/>
      <w:sz w:val="20"/>
      <w:szCs w:val="20"/>
    </w:rPr>
  </w:style>
  <w:style w:type="paragraph" w:customStyle="1" w:styleId="580">
    <w:name w:val="加粗5.8"/>
    <w:basedOn w:val="201258"/>
    <w:qFormat/>
    <w:pPr>
      <w:spacing w:before="156"/>
      <w:ind w:firstLine="480"/>
    </w:pPr>
    <w:rPr>
      <w:b/>
    </w:rPr>
  </w:style>
  <w:style w:type="paragraph" w:customStyle="1" w:styleId="gb1">
    <w:name w:val="gb1"/>
    <w:basedOn w:val="a7"/>
    <w:qFormat/>
    <w:pPr>
      <w:widowControl/>
      <w:tabs>
        <w:tab w:val="left" w:pos="227"/>
      </w:tabs>
      <w:overflowPunct w:val="0"/>
      <w:autoSpaceDE w:val="0"/>
      <w:autoSpaceDN w:val="0"/>
      <w:adjustRightInd w:val="0"/>
      <w:spacing w:before="120" w:after="120" w:line="360" w:lineRule="auto"/>
      <w:ind w:firstLine="482"/>
      <w:textAlignment w:val="baseline"/>
    </w:pPr>
    <w:rPr>
      <w:rFonts w:ascii="Arial" w:eastAsia="仿宋体" w:hAnsi="Arial"/>
      <w:kern w:val="0"/>
      <w:sz w:val="24"/>
      <w:szCs w:val="20"/>
    </w:rPr>
  </w:style>
  <w:style w:type="paragraph" w:customStyle="1" w:styleId="afffffffffffffffffffffffffff0">
    <w:name w:val="正文格式－表格－中"/>
    <w:basedOn w:val="a7"/>
    <w:qFormat/>
    <w:pPr>
      <w:widowControl/>
      <w:snapToGrid w:val="0"/>
      <w:spacing w:after="160" w:line="360" w:lineRule="auto"/>
      <w:jc w:val="center"/>
    </w:pPr>
    <w:rPr>
      <w:sz w:val="24"/>
    </w:rPr>
  </w:style>
  <w:style w:type="paragraph" w:customStyle="1" w:styleId="xl142">
    <w:name w:val="xl142"/>
    <w:basedOn w:val="a7"/>
    <w:uiPriority w:val="99"/>
    <w:qFormat/>
    <w:pPr>
      <w:widowControl/>
      <w:pBdr>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23-II">
    <w:name w:val="文本123-II"/>
    <w:basedOn w:val="41"/>
    <w:uiPriority w:val="99"/>
    <w:qFormat/>
    <w:pPr>
      <w:keepNext/>
      <w:keepLines/>
      <w:numPr>
        <w:ilvl w:val="0"/>
        <w:numId w:val="0"/>
      </w:numPr>
      <w:tabs>
        <w:tab w:val="clear" w:pos="864"/>
        <w:tab w:val="left" w:pos="1584"/>
      </w:tabs>
      <w:adjustRightInd/>
      <w:snapToGrid/>
      <w:spacing w:before="280" w:afterLines="0" w:after="0" w:line="240" w:lineRule="auto"/>
      <w:ind w:left="1584" w:hanging="1584"/>
      <w:jc w:val="both"/>
      <w:textAlignment w:val="auto"/>
    </w:pPr>
    <w:rPr>
      <w:rFonts w:eastAsia="宋体"/>
      <w:b w:val="0"/>
      <w:bCs w:val="0"/>
      <w:color w:val="auto"/>
      <w:sz w:val="24"/>
      <w:lang w:val="en-US"/>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7"/>
    <w:qFormat/>
    <w:pPr>
      <w:spacing w:after="160" w:line="278" w:lineRule="auto"/>
    </w:pPr>
  </w:style>
  <w:style w:type="paragraph" w:customStyle="1" w:styleId="2210">
    <w:name w:val="样式 标题 2电脑标志 + 首行缩进:  2 字符1"/>
    <w:basedOn w:val="21"/>
    <w:qFormat/>
    <w:pPr>
      <w:keepNext/>
      <w:keepLines/>
      <w:numPr>
        <w:ilvl w:val="0"/>
        <w:numId w:val="0"/>
      </w:numPr>
      <w:snapToGrid/>
      <w:spacing w:beforeLines="0" w:before="0" w:afterLines="0" w:after="0" w:line="240" w:lineRule="auto"/>
    </w:pPr>
    <w:rPr>
      <w:rFonts w:ascii="黑体" w:hAnsi="Arial" w:cs="宋体"/>
      <w:b w:val="0"/>
      <w:bCs w:val="0"/>
      <w:smallCaps w:val="0"/>
      <w:color w:val="auto"/>
      <w:sz w:val="36"/>
      <w:szCs w:val="20"/>
    </w:rPr>
  </w:style>
  <w:style w:type="paragraph" w:customStyle="1" w:styleId="Indent1">
    <w:name w:val="Indent1"/>
    <w:basedOn w:val="a7"/>
    <w:qFormat/>
    <w:pPr>
      <w:overflowPunct w:val="0"/>
      <w:autoSpaceDE w:val="0"/>
      <w:autoSpaceDN w:val="0"/>
      <w:adjustRightInd w:val="0"/>
      <w:spacing w:after="160" w:line="360" w:lineRule="auto"/>
      <w:ind w:left="1440" w:firstLineChars="200" w:hanging="720"/>
      <w:textAlignment w:val="baseline"/>
    </w:pPr>
    <w:rPr>
      <w:rFonts w:ascii="Arial" w:hAnsi="Arial"/>
      <w:kern w:val="0"/>
      <w:sz w:val="22"/>
      <w:szCs w:val="20"/>
    </w:rPr>
  </w:style>
  <w:style w:type="paragraph" w:customStyle="1" w:styleId="30303">
    <w:name w:val="样式 标题 3 + 段前: 0.3 行 段后: 0.3 行"/>
    <w:basedOn w:val="31"/>
    <w:uiPriority w:val="99"/>
    <w:qFormat/>
    <w:pPr>
      <w:keepNext/>
      <w:keepLines/>
      <w:widowControl/>
      <w:numPr>
        <w:ilvl w:val="0"/>
        <w:numId w:val="0"/>
      </w:numPr>
      <w:adjustRightInd/>
      <w:snapToGrid/>
      <w:spacing w:beforeLines="0" w:before="0" w:afterLines="0" w:after="0" w:line="240" w:lineRule="auto"/>
      <w:textAlignment w:val="auto"/>
    </w:pPr>
    <w:rPr>
      <w:rFonts w:eastAsia="宋体" w:cs="宋体"/>
      <w:color w:val="auto"/>
      <w:kern w:val="0"/>
      <w:szCs w:val="20"/>
      <w:lang w:val="en-US"/>
    </w:rPr>
  </w:style>
  <w:style w:type="paragraph" w:customStyle="1" w:styleId="421">
    <w:name w:val="正文格式42"/>
    <w:basedOn w:val="a7"/>
    <w:uiPriority w:val="99"/>
    <w:qFormat/>
    <w:pPr>
      <w:spacing w:after="160" w:line="360" w:lineRule="auto"/>
      <w:ind w:firstLine="482"/>
    </w:pPr>
    <w:rPr>
      <w:sz w:val="24"/>
    </w:rPr>
  </w:style>
  <w:style w:type="paragraph" w:customStyle="1" w:styleId="CharCharCharCharCharCharCharChar2CharCharCharCharCharCharCharCharCharCharCharCharCharCharCharCharCharCharChar1">
    <w:name w:val="Char Char Char Char Char Char Char Char2 Char Char Char Char Char Char Char Char Char Char Char Char Char Char Char Char Char Char Char1"/>
    <w:basedOn w:val="a7"/>
    <w:next w:val="a7"/>
    <w:semiHidden/>
    <w:qFormat/>
    <w:pPr>
      <w:snapToGrid w:val="0"/>
      <w:spacing w:after="160" w:line="336" w:lineRule="auto"/>
      <w:ind w:firstLineChars="200" w:firstLine="200"/>
    </w:pPr>
    <w:rPr>
      <w:color w:val="000000"/>
      <w:sz w:val="24"/>
    </w:rPr>
  </w:style>
  <w:style w:type="paragraph" w:customStyle="1" w:styleId="xl19">
    <w:name w:val="xl19"/>
    <w:basedOn w:val="a7"/>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78" w:lineRule="auto"/>
      <w:jc w:val="center"/>
      <w:textAlignment w:val="center"/>
    </w:pPr>
    <w:rPr>
      <w:rFonts w:ascii="Arial Unicode MS" w:eastAsia="Arial Unicode MS" w:hAnsi="Arial Unicode MS" w:cs="Arial Unicode MS"/>
      <w:b/>
      <w:bCs/>
      <w:kern w:val="0"/>
      <w:sz w:val="22"/>
      <w:szCs w:val="22"/>
    </w:rPr>
  </w:style>
  <w:style w:type="paragraph" w:customStyle="1" w:styleId="1221">
    <w:name w:val="样式 段落1 + 首行缩进:  2 字符 行距: 固定值 21 磅"/>
    <w:basedOn w:val="1ff9"/>
    <w:qFormat/>
    <w:pPr>
      <w:spacing w:line="420" w:lineRule="exact"/>
      <w:textAlignment w:val="baseline"/>
    </w:pPr>
    <w:rPr>
      <w:rFonts w:ascii="Times New Roman" w:hAnsi="Times New Roman"/>
      <w:iCs w:val="0"/>
      <w:color w:val="auto"/>
      <w:kern w:val="2"/>
    </w:rPr>
  </w:style>
  <w:style w:type="paragraph" w:customStyle="1" w:styleId="afffffffffffffffffffffffffff1">
    <w:name w:val="蔡欣宇页脚"/>
    <w:basedOn w:val="afff0"/>
    <w:qFormat/>
    <w:pPr>
      <w:pBdr>
        <w:top w:val="single" w:sz="4" w:space="1" w:color="auto"/>
      </w:pBdr>
      <w:spacing w:after="160" w:line="360" w:lineRule="auto"/>
      <w:ind w:firstLine="482"/>
      <w:jc w:val="right"/>
    </w:pPr>
  </w:style>
  <w:style w:type="paragraph" w:customStyle="1" w:styleId="xl96">
    <w:name w:val="xl96"/>
    <w:basedOn w:val="a7"/>
    <w:qFormat/>
    <w:pPr>
      <w:widowControl/>
      <w:pBdr>
        <w:left w:val="single" w:sz="4" w:space="0" w:color="auto"/>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32"/>
      <w:szCs w:val="32"/>
    </w:rPr>
  </w:style>
  <w:style w:type="paragraph" w:customStyle="1" w:styleId="ST2017">
    <w:name w:val="ST20_17"/>
    <w:basedOn w:val="ST2011"/>
    <w:qFormat/>
    <w:pPr>
      <w:keepLines/>
      <w:spacing w:after="0"/>
      <w:ind w:right="5040"/>
    </w:pPr>
  </w:style>
  <w:style w:type="paragraph" w:customStyle="1" w:styleId="afffffffffffffffffffffffffff2">
    <w:name w:val="主题封页"/>
    <w:basedOn w:val="afffffffffffffffffff9"/>
    <w:next w:val="affffffffffffffffffff6"/>
    <w:semiHidden/>
    <w:qFormat/>
    <w:pPr>
      <w:spacing w:before="720" w:after="160"/>
      <w:jc w:val="center"/>
    </w:pPr>
    <w:rPr>
      <w:sz w:val="40"/>
    </w:rPr>
  </w:style>
  <w:style w:type="paragraph" w:customStyle="1" w:styleId="OutokumpuNumberedHeading2">
    <w:name w:val="Outokumpu Numbered Heading 2"/>
    <w:basedOn w:val="OutokumpuNormal"/>
    <w:next w:val="OutokumpuNormal"/>
    <w:qFormat/>
    <w:pPr>
      <w:tabs>
        <w:tab w:val="left" w:pos="1134"/>
        <w:tab w:val="left" w:pos="1380"/>
      </w:tabs>
      <w:ind w:left="1380" w:hanging="420"/>
    </w:pPr>
    <w:rPr>
      <w:b/>
    </w:rPr>
  </w:style>
  <w:style w:type="paragraph" w:customStyle="1" w:styleId="afffffffffffffffffffffffffff3">
    <w:name w:val="表格 内容"/>
    <w:basedOn w:val="affffffffffffffffffffffffff8"/>
    <w:qFormat/>
    <w:rPr>
      <w:sz w:val="21"/>
    </w:rPr>
  </w:style>
  <w:style w:type="paragraph" w:customStyle="1" w:styleId="2150">
    <w:name w:val="样式 首行缩进:  2 字符 行距: 1.5 倍行距"/>
    <w:basedOn w:val="a7"/>
    <w:qFormat/>
    <w:pPr>
      <w:spacing w:after="160" w:line="440" w:lineRule="exact"/>
      <w:ind w:firstLineChars="200" w:firstLine="200"/>
    </w:pPr>
    <w:rPr>
      <w:rFonts w:cs="宋体"/>
      <w:sz w:val="24"/>
      <w:szCs w:val="20"/>
    </w:rPr>
  </w:style>
  <w:style w:type="paragraph" w:customStyle="1" w:styleId="C">
    <w:name w:val="标题 C"/>
    <w:basedOn w:val="a7"/>
    <w:qFormat/>
    <w:pPr>
      <w:kinsoku w:val="0"/>
      <w:wordWrap w:val="0"/>
      <w:adjustRightInd w:val="0"/>
      <w:spacing w:before="60" w:after="60" w:line="120" w:lineRule="atLeast"/>
      <w:textAlignment w:val="baseline"/>
    </w:pPr>
    <w:rPr>
      <w:spacing w:val="32"/>
      <w:kern w:val="0"/>
      <w:sz w:val="24"/>
      <w:szCs w:val="20"/>
    </w:rPr>
  </w:style>
  <w:style w:type="paragraph" w:customStyle="1" w:styleId="WPSPlain">
    <w:name w:val="WPS Plain"/>
    <w:qFormat/>
    <w:pPr>
      <w:spacing w:after="160" w:line="278" w:lineRule="auto"/>
    </w:pPr>
  </w:style>
  <w:style w:type="paragraph" w:customStyle="1" w:styleId="Afffffffffffffffffffffffffff4">
    <w:name w:val="A五级条标题"/>
    <w:basedOn w:val="a7"/>
    <w:next w:val="a7"/>
    <w:qFormat/>
    <w:pPr>
      <w:widowControl/>
      <w:spacing w:after="160"/>
      <w:ind w:leftChars="200" w:left="200"/>
      <w:outlineLvl w:val="6"/>
    </w:pPr>
    <w:rPr>
      <w:rFonts w:ascii="黑体" w:eastAsia="黑体"/>
      <w:kern w:val="0"/>
      <w:szCs w:val="20"/>
    </w:rPr>
  </w:style>
  <w:style w:type="paragraph" w:customStyle="1" w:styleId="20022">
    <w:name w:val="样式 标题 2 + 黑体 小四 非加粗 段前: 0 磅 段后: 0 磅 行距: 固定值 22 磅"/>
    <w:basedOn w:val="21"/>
    <w:qFormat/>
    <w:pPr>
      <w:keepNext/>
      <w:keepLines/>
      <w:numPr>
        <w:ilvl w:val="0"/>
        <w:numId w:val="0"/>
      </w:numPr>
      <w:tabs>
        <w:tab w:val="left" w:pos="454"/>
        <w:tab w:val="left" w:pos="851"/>
      </w:tabs>
      <w:snapToGrid/>
      <w:spacing w:beforeLines="50" w:before="260" w:afterLines="50" w:after="260" w:line="440" w:lineRule="exact"/>
      <w:jc w:val="both"/>
    </w:pPr>
    <w:rPr>
      <w:rFonts w:ascii="黑体" w:hAnsi="Arial" w:cs="宋体"/>
      <w:b w:val="0"/>
      <w:bCs w:val="0"/>
      <w:smallCaps w:val="0"/>
      <w:color w:val="auto"/>
      <w:sz w:val="28"/>
    </w:rPr>
  </w:style>
  <w:style w:type="paragraph" w:customStyle="1" w:styleId="1ffff8">
    <w:name w:val="表文1"/>
    <w:basedOn w:val="afffffffffffffffffb"/>
    <w:qFormat/>
    <w:pPr>
      <w:adjustRightInd/>
      <w:snapToGrid/>
      <w:spacing w:beforeLines="0" w:before="0" w:afterLines="0" w:after="0" w:line="500" w:lineRule="exact"/>
      <w:ind w:firstLine="0"/>
      <w:jc w:val="both"/>
      <w:textAlignment w:val="auto"/>
    </w:pPr>
    <w:rPr>
      <w:rFonts w:ascii="CG Times" w:hAnsi="CG Times"/>
      <w:kern w:val="2"/>
      <w:sz w:val="21"/>
      <w:szCs w:val="22"/>
    </w:rPr>
  </w:style>
  <w:style w:type="paragraph" w:customStyle="1" w:styleId="xl51">
    <w:name w:val="xl51"/>
    <w:basedOn w:val="a7"/>
    <w:uiPriority w:val="99"/>
    <w:qFormat/>
    <w:pPr>
      <w:widowControl/>
      <w:pBdr>
        <w:bottom w:val="single" w:sz="4" w:space="0" w:color="auto"/>
        <w:right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afffffffffffffffffffffffffff5">
    <w:name w:val="五号表格"/>
    <w:next w:val="a7"/>
    <w:uiPriority w:val="99"/>
    <w:qFormat/>
    <w:pPr>
      <w:spacing w:after="160" w:line="278" w:lineRule="auto"/>
    </w:pPr>
    <w:rPr>
      <w:rFonts w:ascii="宋体"/>
      <w:sz w:val="21"/>
    </w:rPr>
  </w:style>
  <w:style w:type="paragraph" w:customStyle="1" w:styleId="003">
    <w:name w:val="样式 正文缩进 + 居中 首行缩进:  0 厘米 段前: 0 磅 行距: 单倍行距"/>
    <w:basedOn w:val="af3"/>
    <w:qFormat/>
    <w:pPr>
      <w:adjustRightInd w:val="0"/>
      <w:spacing w:after="160" w:line="240" w:lineRule="auto"/>
      <w:ind w:firstLineChars="0" w:firstLine="0"/>
      <w:jc w:val="center"/>
      <w:textAlignment w:val="baseline"/>
    </w:pPr>
    <w:rPr>
      <w:rFonts w:ascii="Calibri" w:hAnsi="Calibri" w:cs="宋体"/>
      <w:kern w:val="28"/>
      <w:sz w:val="24"/>
    </w:rPr>
  </w:style>
  <w:style w:type="paragraph" w:customStyle="1" w:styleId="my1">
    <w:name w:val="my1"/>
    <w:basedOn w:val="TOC1"/>
    <w:uiPriority w:val="99"/>
    <w:qFormat/>
    <w:pPr>
      <w:tabs>
        <w:tab w:val="left" w:pos="360"/>
      </w:tabs>
      <w:spacing w:line="300" w:lineRule="auto"/>
      <w:ind w:left="360" w:hangingChars="200" w:hanging="360"/>
    </w:pPr>
    <w:rPr>
      <w:bCs w:val="0"/>
      <w:caps w:val="0"/>
    </w:rPr>
  </w:style>
  <w:style w:type="paragraph" w:customStyle="1" w:styleId="125">
    <w:name w:val="列表项目符号1.缩2"/>
    <w:qFormat/>
    <w:pPr>
      <w:tabs>
        <w:tab w:val="left" w:pos="945"/>
        <w:tab w:val="left" w:pos="1992"/>
      </w:tabs>
      <w:spacing w:after="160" w:line="360" w:lineRule="auto"/>
      <w:ind w:firstLine="425"/>
    </w:pPr>
    <w:rPr>
      <w:sz w:val="24"/>
      <w:szCs w:val="24"/>
    </w:rPr>
  </w:style>
  <w:style w:type="paragraph" w:customStyle="1" w:styleId="1ffff9">
    <w:name w:val="列表项目符号1."/>
    <w:basedOn w:val="a7"/>
    <w:qFormat/>
    <w:pPr>
      <w:keepNext/>
      <w:adjustRightInd w:val="0"/>
      <w:spacing w:after="160" w:line="312" w:lineRule="atLeast"/>
      <w:ind w:left="425" w:hanging="425"/>
      <w:textAlignment w:val="baseline"/>
    </w:pPr>
    <w:rPr>
      <w:kern w:val="0"/>
    </w:rPr>
  </w:style>
  <w:style w:type="paragraph" w:customStyle="1" w:styleId="afffffffffffffffffffffffffff6">
    <w:name w:val="样式 表格内容 +"/>
    <w:basedOn w:val="aff8"/>
    <w:qFormat/>
    <w:pPr>
      <w:adjustRightInd w:val="0"/>
      <w:snapToGrid w:val="0"/>
      <w:spacing w:after="160" w:line="320" w:lineRule="exact"/>
      <w:ind w:firstLineChars="200" w:firstLine="420"/>
      <w:jc w:val="center"/>
    </w:pPr>
    <w:rPr>
      <w:rFonts w:ascii="Times New Roman" w:hAnsi="Times New Roman" w:cs="Times New Roman"/>
      <w:sz w:val="24"/>
      <w:szCs w:val="20"/>
    </w:rPr>
  </w:style>
  <w:style w:type="paragraph" w:customStyle="1" w:styleId="2220">
    <w:name w:val="表标题222"/>
    <w:basedOn w:val="2fff4"/>
    <w:semiHidden/>
    <w:qFormat/>
    <w:pPr>
      <w:adjustRightInd w:val="0"/>
      <w:snapToGrid w:val="0"/>
      <w:spacing w:line="240" w:lineRule="auto"/>
      <w:ind w:leftChars="-50" w:left="-120" w:rightChars="-50" w:right="-120"/>
    </w:pPr>
  </w:style>
  <w:style w:type="paragraph" w:customStyle="1" w:styleId="afffffffffffffffffffffffffff7">
    <w:name w:val="资金申报节标题"/>
    <w:basedOn w:val="21"/>
    <w:qFormat/>
    <w:pPr>
      <w:keepNext/>
      <w:keepLines/>
      <w:numPr>
        <w:ilvl w:val="0"/>
        <w:numId w:val="0"/>
      </w:numPr>
      <w:tabs>
        <w:tab w:val="left" w:pos="454"/>
        <w:tab w:val="left" w:pos="851"/>
      </w:tabs>
      <w:snapToGrid/>
      <w:spacing w:beforeLines="0" w:before="0" w:afterLines="0" w:after="0"/>
      <w:ind w:left="576" w:firstLineChars="200" w:hanging="576"/>
    </w:pPr>
    <w:rPr>
      <w:rFonts w:eastAsia="宋体"/>
      <w:b w:val="0"/>
      <w:smallCaps w:val="0"/>
      <w:color w:val="auto"/>
      <w:sz w:val="30"/>
      <w:szCs w:val="30"/>
    </w:rPr>
  </w:style>
  <w:style w:type="paragraph" w:customStyle="1" w:styleId="afffffffffffffffffffffffffff8">
    <w:name w:val="正文五号无缩进表格内容字"/>
    <w:basedOn w:val="a7"/>
    <w:qFormat/>
    <w:pPr>
      <w:adjustRightInd w:val="0"/>
      <w:snapToGrid w:val="0"/>
      <w:spacing w:after="160" w:line="278" w:lineRule="auto"/>
      <w:jc w:val="left"/>
    </w:pPr>
    <w:rPr>
      <w:kern w:val="0"/>
    </w:rPr>
  </w:style>
  <w:style w:type="paragraph" w:customStyle="1" w:styleId="2ffff4">
    <w:name w:val="正文，缩进2字符"/>
    <w:basedOn w:val="a7"/>
    <w:qFormat/>
    <w:pPr>
      <w:adjustRightInd w:val="0"/>
      <w:spacing w:after="160" w:line="360" w:lineRule="auto"/>
      <w:ind w:firstLineChars="200" w:firstLine="200"/>
      <w:jc w:val="left"/>
      <w:textAlignment w:val="baseline"/>
    </w:pPr>
    <w:rPr>
      <w:rFonts w:ascii="宋体"/>
      <w:kern w:val="0"/>
      <w:sz w:val="24"/>
      <w:szCs w:val="20"/>
    </w:rPr>
  </w:style>
  <w:style w:type="paragraph" w:customStyle="1" w:styleId="afffffffffffffffffffffffffff9">
    <w:name w:val="报告表格"/>
    <w:basedOn w:val="a7"/>
    <w:qFormat/>
    <w:pPr>
      <w:autoSpaceDE w:val="0"/>
      <w:autoSpaceDN w:val="0"/>
      <w:adjustRightInd w:val="0"/>
      <w:spacing w:after="160" w:line="318" w:lineRule="atLeast"/>
      <w:ind w:firstLine="482"/>
      <w:jc w:val="center"/>
      <w:textAlignment w:val="bottom"/>
    </w:pPr>
    <w:rPr>
      <w:kern w:val="0"/>
      <w:sz w:val="24"/>
      <w:szCs w:val="20"/>
    </w:rPr>
  </w:style>
  <w:style w:type="paragraph" w:customStyle="1" w:styleId="afffffffffffffffffffffffffffa">
    <w:name w:val="报告书"/>
    <w:basedOn w:val="a7"/>
    <w:qFormat/>
    <w:pPr>
      <w:autoSpaceDE w:val="0"/>
      <w:autoSpaceDN w:val="0"/>
      <w:adjustRightInd w:val="0"/>
      <w:spacing w:after="160" w:line="360" w:lineRule="auto"/>
      <w:ind w:firstLine="505"/>
      <w:jc w:val="left"/>
      <w:textAlignment w:val="bottom"/>
    </w:pPr>
    <w:rPr>
      <w:kern w:val="0"/>
      <w:sz w:val="24"/>
      <w:szCs w:val="20"/>
    </w:rPr>
  </w:style>
  <w:style w:type="paragraph" w:customStyle="1" w:styleId="C2">
    <w:name w:val="C2"/>
    <w:basedOn w:val="a7"/>
    <w:qFormat/>
    <w:pPr>
      <w:spacing w:after="160" w:line="360" w:lineRule="auto"/>
      <w:ind w:firstLine="482"/>
    </w:pPr>
    <w:rPr>
      <w:kern w:val="0"/>
      <w:sz w:val="28"/>
      <w:szCs w:val="20"/>
    </w:rPr>
  </w:style>
  <w:style w:type="paragraph" w:customStyle="1" w:styleId="2ffff5">
    <w:name w:val="2级标题"/>
    <w:basedOn w:val="21"/>
    <w:qFormat/>
    <w:pPr>
      <w:keepNext/>
      <w:keepLines/>
      <w:numPr>
        <w:ilvl w:val="0"/>
        <w:numId w:val="0"/>
      </w:numPr>
      <w:tabs>
        <w:tab w:val="left" w:pos="3564"/>
      </w:tabs>
      <w:snapToGrid/>
      <w:spacing w:beforeLines="0" w:before="0" w:afterLines="0" w:after="0"/>
      <w:jc w:val="both"/>
    </w:pPr>
    <w:rPr>
      <w:rFonts w:ascii="黑体" w:hAnsi="Arial"/>
      <w:b w:val="0"/>
      <w:bCs w:val="0"/>
      <w:smallCaps w:val="0"/>
      <w:color w:val="auto"/>
      <w:kern w:val="0"/>
      <w:sz w:val="28"/>
    </w:rPr>
  </w:style>
  <w:style w:type="paragraph" w:customStyle="1" w:styleId="ST2024">
    <w:name w:val="ST20_24"/>
    <w:basedOn w:val="ST202"/>
    <w:qFormat/>
  </w:style>
  <w:style w:type="paragraph" w:customStyle="1" w:styleId="1ffffa">
    <w:name w:val="封面1"/>
    <w:basedOn w:val="a7"/>
    <w:qFormat/>
    <w:pPr>
      <w:spacing w:after="160" w:line="300" w:lineRule="auto"/>
      <w:jc w:val="left"/>
    </w:pPr>
    <w:rPr>
      <w:b/>
      <w:bCs/>
      <w:color w:val="000000"/>
      <w:sz w:val="32"/>
      <w:bdr w:val="single" w:sz="4" w:space="0" w:color="auto"/>
    </w:rPr>
  </w:style>
  <w:style w:type="paragraph" w:customStyle="1" w:styleId="pa-14">
    <w:name w:val="pa-14"/>
    <w:basedOn w:val="a7"/>
    <w:qFormat/>
    <w:pPr>
      <w:widowControl/>
      <w:spacing w:before="150" w:after="150" w:line="278" w:lineRule="auto"/>
      <w:jc w:val="left"/>
    </w:pPr>
    <w:rPr>
      <w:rFonts w:ascii="宋体" w:hAnsi="宋体" w:cs="宋体"/>
      <w:kern w:val="0"/>
      <w:sz w:val="24"/>
    </w:rPr>
  </w:style>
  <w:style w:type="paragraph" w:customStyle="1" w:styleId="2221">
    <w:name w:val="样式 标题 2样式 2 + 首行缩进:  2 字符"/>
    <w:basedOn w:val="21"/>
    <w:next w:val="21"/>
    <w:qFormat/>
    <w:pPr>
      <w:keepNext/>
      <w:keepLines/>
      <w:numPr>
        <w:ilvl w:val="0"/>
        <w:numId w:val="0"/>
      </w:numPr>
      <w:tabs>
        <w:tab w:val="left" w:pos="540"/>
        <w:tab w:val="left" w:pos="851"/>
      </w:tabs>
      <w:autoSpaceDE w:val="0"/>
      <w:autoSpaceDN w:val="0"/>
      <w:adjustRightInd w:val="0"/>
      <w:spacing w:beforeLines="0" w:before="156" w:afterLines="0" w:after="240"/>
      <w:ind w:left="4536" w:hanging="576"/>
      <w:jc w:val="both"/>
      <w:textAlignment w:val="baseline"/>
    </w:pPr>
    <w:rPr>
      <w:rFonts w:eastAsia="宋体"/>
      <w:b w:val="0"/>
      <w:bCs w:val="0"/>
      <w:smallCaps w:val="0"/>
      <w:color w:val="auto"/>
      <w:spacing w:val="4"/>
      <w:kern w:val="0"/>
      <w:sz w:val="30"/>
      <w:szCs w:val="32"/>
    </w:rPr>
  </w:style>
  <w:style w:type="paragraph" w:customStyle="1" w:styleId="afffffffffffffffffffffffffffb">
    <w:name w:val="样式 宋体 居中"/>
    <w:basedOn w:val="a7"/>
    <w:qFormat/>
    <w:pPr>
      <w:spacing w:after="160" w:line="278" w:lineRule="auto"/>
      <w:jc w:val="center"/>
    </w:pPr>
    <w:rPr>
      <w:rFonts w:ascii="宋体" w:eastAsia="楷体_GB2312" w:hAnsi="宋体" w:cs="宋体"/>
      <w:szCs w:val="20"/>
    </w:rPr>
  </w:style>
  <w:style w:type="paragraph" w:customStyle="1" w:styleId="0000000000">
    <w:name w:val="正文0000000000"/>
    <w:basedOn w:val="a7"/>
    <w:next w:val="a7"/>
    <w:qFormat/>
    <w:pPr>
      <w:overflowPunct w:val="0"/>
      <w:autoSpaceDE w:val="0"/>
      <w:autoSpaceDN w:val="0"/>
      <w:spacing w:after="160" w:line="360" w:lineRule="auto"/>
      <w:ind w:firstLineChars="200" w:firstLine="480"/>
      <w:textAlignment w:val="baseline"/>
    </w:pPr>
    <w:rPr>
      <w:rFonts w:ascii="宋体" w:hAnsi="宋体"/>
      <w:color w:val="000000"/>
      <w:kern w:val="0"/>
      <w:sz w:val="24"/>
    </w:rPr>
  </w:style>
  <w:style w:type="paragraph" w:customStyle="1" w:styleId="3111h3H3level3PIM3Level3HeadHeading3-ol">
    <w:name w:val="样式 标题 3条标题1.1.1h3H3level_3PIM 3Level 3 HeadHeading 3 - ol..."/>
    <w:basedOn w:val="31"/>
    <w:uiPriority w:val="99"/>
    <w:qFormat/>
    <w:pPr>
      <w:keepNext/>
      <w:keepLines/>
      <w:numPr>
        <w:ilvl w:val="0"/>
        <w:numId w:val="0"/>
      </w:numPr>
      <w:adjustRightInd/>
      <w:snapToGrid/>
      <w:spacing w:beforeLines="100" w:before="260" w:afterLines="0" w:after="0"/>
      <w:jc w:val="both"/>
      <w:textAlignment w:val="auto"/>
    </w:pPr>
    <w:rPr>
      <w:rFonts w:ascii="宋体" w:eastAsia="宋体" w:hAnsi="宋体" w:cs="宋体"/>
      <w:b w:val="0"/>
      <w:color w:val="auto"/>
      <w:kern w:val="0"/>
      <w:sz w:val="28"/>
      <w:szCs w:val="20"/>
      <w:lang w:val="en-US"/>
    </w:rPr>
  </w:style>
  <w:style w:type="paragraph" w:customStyle="1" w:styleId="ListContinue51">
    <w:name w:val="List Continue 51"/>
    <w:basedOn w:val="a7"/>
    <w:qFormat/>
    <w:pPr>
      <w:spacing w:after="120" w:line="278" w:lineRule="auto"/>
      <w:ind w:leftChars="1000" w:left="2100"/>
    </w:pPr>
  </w:style>
  <w:style w:type="paragraph" w:customStyle="1" w:styleId="BG1">
    <w:name w:val="BG1"/>
    <w:basedOn w:val="a7"/>
    <w:qFormat/>
    <w:pPr>
      <w:spacing w:after="160" w:line="300" w:lineRule="exact"/>
      <w:ind w:firstLine="482"/>
      <w:jc w:val="center"/>
    </w:pPr>
    <w:rPr>
      <w:rFonts w:ascii="宋体" w:hAnsi="宋体"/>
      <w:color w:val="000000"/>
      <w:kern w:val="0"/>
      <w:sz w:val="24"/>
    </w:rPr>
  </w:style>
  <w:style w:type="paragraph" w:customStyle="1" w:styleId="66-00">
    <w:name w:val="标题66-正文00"/>
    <w:basedOn w:val="a7"/>
    <w:qFormat/>
    <w:pPr>
      <w:spacing w:after="160" w:line="360" w:lineRule="auto"/>
      <w:ind w:firstLineChars="200" w:firstLine="200"/>
    </w:pPr>
    <w:rPr>
      <w:sz w:val="24"/>
      <w:szCs w:val="32"/>
    </w:rPr>
  </w:style>
  <w:style w:type="paragraph" w:customStyle="1" w:styleId="1114">
    <w:name w:val="1.1.1标题"/>
    <w:basedOn w:val="a7"/>
    <w:qFormat/>
    <w:pPr>
      <w:tabs>
        <w:tab w:val="right" w:leader="dot" w:pos="8303"/>
      </w:tabs>
      <w:spacing w:beforeLines="50" w:afterLines="50" w:after="160" w:line="360" w:lineRule="auto"/>
      <w:jc w:val="left"/>
    </w:pPr>
    <w:rPr>
      <w:rFonts w:ascii="宋体" w:hAnsi="宋体"/>
      <w:b/>
      <w:bCs/>
      <w:sz w:val="24"/>
    </w:rPr>
  </w:style>
  <w:style w:type="paragraph" w:customStyle="1" w:styleId="444">
    <w:name w:val="444"/>
    <w:basedOn w:val="a7"/>
    <w:qFormat/>
    <w:pPr>
      <w:adjustRightInd w:val="0"/>
      <w:snapToGrid w:val="0"/>
      <w:spacing w:after="160" w:line="400" w:lineRule="exact"/>
      <w:ind w:firstLine="482"/>
    </w:pPr>
    <w:rPr>
      <w:rFonts w:ascii="宋体" w:hAnsi="宋体"/>
      <w:b/>
      <w:kern w:val="0"/>
      <w:sz w:val="24"/>
      <w:szCs w:val="28"/>
    </w:rPr>
  </w:style>
  <w:style w:type="paragraph" w:customStyle="1" w:styleId="afffffffffffffffffffffffffffc">
    <w:name w:val="研究单位"/>
    <w:basedOn w:val="aff2"/>
    <w:qFormat/>
    <w:pPr>
      <w:keepNext/>
      <w:widowControl/>
      <w:overflowPunct w:val="0"/>
      <w:autoSpaceDE w:val="0"/>
      <w:autoSpaceDN w:val="0"/>
      <w:adjustRightInd w:val="0"/>
      <w:spacing w:before="160" w:line="360" w:lineRule="auto"/>
      <w:ind w:left="0" w:firstLineChars="200" w:firstLine="420"/>
      <w:jc w:val="both"/>
      <w:textAlignment w:val="baseline"/>
    </w:pPr>
    <w:rPr>
      <w:rFonts w:ascii="Arial" w:hAnsi="Arial"/>
      <w:b/>
      <w:sz w:val="20"/>
      <w:szCs w:val="20"/>
      <w:lang w:eastAsia="zh-CN"/>
    </w:rPr>
  </w:style>
  <w:style w:type="paragraph" w:customStyle="1" w:styleId="afffffffffffffffffffffffffffd">
    <w:name w:val="??"/>
    <w:uiPriority w:val="99"/>
    <w:qFormat/>
    <w:pPr>
      <w:widowControl w:val="0"/>
      <w:autoSpaceDE w:val="0"/>
      <w:autoSpaceDN w:val="0"/>
      <w:adjustRightInd w:val="0"/>
      <w:spacing w:after="160" w:line="460" w:lineRule="exact"/>
      <w:ind w:firstLine="510"/>
      <w:textAlignment w:val="baseline"/>
    </w:pPr>
    <w:rPr>
      <w:sz w:val="24"/>
    </w:rPr>
  </w:style>
  <w:style w:type="paragraph" w:customStyle="1" w:styleId="afffffffffffffffffffffffffffe">
    <w:name w:val="表格体"/>
    <w:basedOn w:val="a7"/>
    <w:qFormat/>
    <w:pPr>
      <w:adjustRightInd w:val="0"/>
      <w:snapToGrid w:val="0"/>
      <w:spacing w:after="160" w:line="360" w:lineRule="auto"/>
      <w:ind w:firstLine="482"/>
      <w:jc w:val="center"/>
    </w:pPr>
    <w:rPr>
      <w:bCs/>
      <w:kern w:val="0"/>
      <w:sz w:val="24"/>
    </w:rPr>
  </w:style>
  <w:style w:type="paragraph" w:customStyle="1" w:styleId="affffffffffffffffffffffffffff">
    <w:name w:val="大爷"/>
    <w:basedOn w:val="a7"/>
    <w:qFormat/>
    <w:pPr>
      <w:tabs>
        <w:tab w:val="center" w:pos="4153"/>
        <w:tab w:val="right" w:pos="8306"/>
      </w:tabs>
      <w:snapToGrid w:val="0"/>
      <w:spacing w:after="160" w:line="360" w:lineRule="auto"/>
      <w:ind w:firstLine="482"/>
    </w:pPr>
    <w:rPr>
      <w:rFonts w:hAnsi="宋体"/>
      <w:kern w:val="0"/>
      <w:sz w:val="18"/>
    </w:rPr>
  </w:style>
  <w:style w:type="paragraph" w:customStyle="1" w:styleId="2ffff6">
    <w:name w:val="表标题2"/>
    <w:basedOn w:val="a7"/>
    <w:next w:val="a7"/>
    <w:qFormat/>
    <w:pPr>
      <w:spacing w:before="120" w:after="120" w:line="300" w:lineRule="auto"/>
      <w:jc w:val="center"/>
    </w:pPr>
    <w:rPr>
      <w:szCs w:val="20"/>
    </w:rPr>
  </w:style>
  <w:style w:type="paragraph" w:customStyle="1" w:styleId="Char1CharCharChar2">
    <w:name w:val="Char1 Char Char Char2"/>
    <w:basedOn w:val="a7"/>
    <w:qFormat/>
    <w:pPr>
      <w:widowControl/>
      <w:spacing w:after="160" w:line="240" w:lineRule="exact"/>
      <w:ind w:firstLine="482"/>
      <w:jc w:val="left"/>
    </w:pPr>
    <w:rPr>
      <w:rFonts w:ascii="Verdana" w:hAnsi="Verdana" w:cs="Verdana"/>
      <w:kern w:val="0"/>
      <w:sz w:val="20"/>
      <w:szCs w:val="20"/>
      <w:lang w:eastAsia="en-US"/>
    </w:rPr>
  </w:style>
  <w:style w:type="paragraph" w:customStyle="1" w:styleId="CharChar7CharCharCharChar4">
    <w:name w:val="Char Char7 Char Char Char Char4"/>
    <w:basedOn w:val="a7"/>
    <w:qFormat/>
    <w:pPr>
      <w:snapToGrid w:val="0"/>
      <w:spacing w:after="160" w:line="278" w:lineRule="auto"/>
      <w:jc w:val="left"/>
    </w:pPr>
    <w:rPr>
      <w:sz w:val="24"/>
    </w:rPr>
  </w:style>
  <w:style w:type="paragraph" w:customStyle="1" w:styleId="swone">
    <w:name w:val="sw_one"/>
    <w:basedOn w:val="a7"/>
    <w:qFormat/>
    <w:pPr>
      <w:widowControl/>
      <w:spacing w:before="100" w:beforeAutospacing="1" w:after="100" w:afterAutospacing="1" w:line="278" w:lineRule="auto"/>
      <w:ind w:firstLine="573"/>
      <w:jc w:val="left"/>
    </w:pPr>
    <w:rPr>
      <w:rFonts w:ascii="Arial Unicode MS" w:eastAsia="Arial Unicode MS" w:hAnsi="Arial Unicode MS"/>
      <w:color w:val="CE3702"/>
      <w:kern w:val="0"/>
      <w:sz w:val="24"/>
      <w:szCs w:val="28"/>
    </w:rPr>
  </w:style>
  <w:style w:type="paragraph" w:customStyle="1" w:styleId="xl268">
    <w:name w:val="xl268"/>
    <w:basedOn w:val="a7"/>
    <w:qFormat/>
    <w:pPr>
      <w:widowControl/>
      <w:pBdr>
        <w:top w:val="single" w:sz="4" w:space="0" w:color="auto"/>
        <w:bottom w:val="single" w:sz="4" w:space="0" w:color="auto"/>
        <w:right w:val="single" w:sz="4" w:space="0" w:color="auto"/>
      </w:pBdr>
      <w:spacing w:before="100" w:beforeAutospacing="1" w:after="100" w:afterAutospacing="1" w:line="278" w:lineRule="auto"/>
      <w:jc w:val="left"/>
      <w:textAlignment w:val="center"/>
    </w:pPr>
    <w:rPr>
      <w:rFonts w:ascii="宋体" w:hAnsi="宋体" w:cs="宋体"/>
      <w:b/>
      <w:bCs/>
      <w:color w:val="000000"/>
      <w:kern w:val="0"/>
      <w:sz w:val="20"/>
      <w:szCs w:val="20"/>
    </w:rPr>
  </w:style>
  <w:style w:type="paragraph" w:customStyle="1" w:styleId="2ffff7">
    <w:name w:val="样式 左侧:  2 字符"/>
    <w:basedOn w:val="a7"/>
    <w:qFormat/>
    <w:pPr>
      <w:widowControl/>
      <w:spacing w:after="200" w:line="360" w:lineRule="auto"/>
      <w:ind w:firstLineChars="192" w:firstLine="538"/>
      <w:jc w:val="left"/>
    </w:pPr>
    <w:rPr>
      <w:rFonts w:ascii="宋体" w:hAnsi="宋体" w:cs="黑体,Bold"/>
      <w:bCs/>
      <w:kern w:val="0"/>
      <w:sz w:val="28"/>
      <w:szCs w:val="28"/>
      <w:lang w:eastAsia="en-US" w:bidi="en-US"/>
    </w:rPr>
  </w:style>
  <w:style w:type="paragraph" w:customStyle="1" w:styleId="ST2035">
    <w:name w:val="ST20_35"/>
    <w:basedOn w:val="afff3"/>
    <w:qFormat/>
    <w:pPr>
      <w:keepLines/>
      <w:pBdr>
        <w:bottom w:val="none" w:sz="0" w:space="0" w:color="auto"/>
      </w:pBdr>
      <w:tabs>
        <w:tab w:val="clear" w:pos="4153"/>
        <w:tab w:val="clear" w:pos="8306"/>
        <w:tab w:val="center" w:pos="4320"/>
      </w:tabs>
      <w:autoSpaceDE w:val="0"/>
      <w:autoSpaceDN w:val="0"/>
      <w:adjustRightInd w:val="0"/>
      <w:snapToGrid/>
      <w:spacing w:after="160" w:line="360" w:lineRule="atLeast"/>
      <w:ind w:firstLineChars="200" w:firstLine="200"/>
      <w:textAlignment w:val="baseline"/>
    </w:pPr>
    <w:rPr>
      <w:rFonts w:ascii="宋体" w:hAnsi="Tms Rmn"/>
      <w:kern w:val="0"/>
      <w:sz w:val="28"/>
      <w:szCs w:val="20"/>
    </w:rPr>
  </w:style>
  <w:style w:type="paragraph" w:customStyle="1" w:styleId="affffffffffffffffffffffffffff0">
    <w:name w:val="页眉无"/>
    <w:basedOn w:val="afff3"/>
    <w:qFormat/>
    <w:pPr>
      <w:pBdr>
        <w:bottom w:val="none" w:sz="0" w:space="0" w:color="auto"/>
      </w:pBdr>
      <w:spacing w:after="160" w:line="360" w:lineRule="auto"/>
      <w:ind w:firstLine="480"/>
    </w:pPr>
    <w:rPr>
      <w:b/>
      <w:i/>
    </w:rPr>
  </w:style>
  <w:style w:type="paragraph" w:customStyle="1" w:styleId="xl93">
    <w:name w:val="xl93"/>
    <w:basedOn w:val="a7"/>
    <w:qFormat/>
    <w:pPr>
      <w:widowControl/>
      <w:pBdr>
        <w:bottom w:val="single" w:sz="8" w:space="0" w:color="000000"/>
        <w:right w:val="single" w:sz="8" w:space="0" w:color="000000"/>
      </w:pBdr>
      <w:snapToGrid w:val="0"/>
      <w:spacing w:before="100" w:beforeAutospacing="1" w:after="100" w:afterAutospacing="1" w:line="278" w:lineRule="auto"/>
      <w:jc w:val="left"/>
    </w:pPr>
    <w:rPr>
      <w:rFonts w:ascii="宋体" w:hAnsi="宋体" w:cs="宋体"/>
      <w:color w:val="000000"/>
      <w:kern w:val="0"/>
      <w:sz w:val="24"/>
    </w:rPr>
  </w:style>
  <w:style w:type="paragraph" w:customStyle="1" w:styleId="affffffffffffffffffffffffffff1">
    <w:name w:val="灯泡注释(打印无效)"/>
    <w:basedOn w:val="affff7"/>
    <w:qFormat/>
    <w:pPr>
      <w:snapToGrid w:val="0"/>
      <w:spacing w:after="0" w:line="240" w:lineRule="auto"/>
      <w:ind w:firstLineChars="0" w:firstLine="0"/>
    </w:pPr>
    <w:rPr>
      <w:rFonts w:ascii="Times New Roman" w:hAnsi="Times New Roman" w:cs="Times New Roman"/>
      <w:i/>
      <w:vanish/>
      <w:color w:val="FF0000"/>
      <w:sz w:val="21"/>
      <w:szCs w:val="21"/>
    </w:rPr>
  </w:style>
  <w:style w:type="paragraph" w:customStyle="1" w:styleId="CharCharCharCharCharCharCharCharCharChar2">
    <w:name w:val="Char Char Char Char Char Char Char Char Char Char2"/>
    <w:basedOn w:val="a7"/>
    <w:qFormat/>
    <w:pPr>
      <w:widowControl/>
      <w:spacing w:after="160" w:line="240" w:lineRule="exact"/>
      <w:ind w:firstLine="482"/>
      <w:jc w:val="left"/>
    </w:pPr>
    <w:rPr>
      <w:rFonts w:ascii="Verdana" w:hAnsi="Verdana" w:cs="Verdana"/>
      <w:kern w:val="0"/>
      <w:sz w:val="20"/>
      <w:szCs w:val="20"/>
      <w:lang w:eastAsia="en-US"/>
    </w:rPr>
  </w:style>
  <w:style w:type="paragraph" w:customStyle="1" w:styleId="2ffff8">
    <w:name w:val="样式 表格标题 + 首行缩进:  2 字符"/>
    <w:basedOn w:val="a7"/>
    <w:uiPriority w:val="99"/>
    <w:qFormat/>
    <w:pPr>
      <w:adjustRightInd w:val="0"/>
      <w:spacing w:before="120" w:after="160" w:line="360" w:lineRule="auto"/>
      <w:ind w:firstLineChars="200" w:firstLine="480"/>
      <w:jc w:val="center"/>
      <w:textAlignment w:val="baseline"/>
    </w:pPr>
    <w:rPr>
      <w:rFonts w:eastAsia="汉鼎简特宋"/>
      <w:kern w:val="0"/>
      <w:sz w:val="24"/>
      <w:szCs w:val="20"/>
    </w:rPr>
  </w:style>
  <w:style w:type="paragraph" w:customStyle="1" w:styleId="07">
    <w:name w:val="样式0表换行"/>
    <w:basedOn w:val="a7"/>
    <w:qFormat/>
    <w:pPr>
      <w:spacing w:after="160" w:line="300" w:lineRule="auto"/>
      <w:jc w:val="center"/>
    </w:pPr>
    <w:rPr>
      <w:szCs w:val="20"/>
    </w:rPr>
  </w:style>
  <w:style w:type="paragraph" w:customStyle="1" w:styleId="xl185">
    <w:name w:val="xl185"/>
    <w:basedOn w:val="a7"/>
    <w:qFormat/>
    <w:pPr>
      <w:widowControl/>
      <w:pBdr>
        <w:top w:val="single" w:sz="4" w:space="0" w:color="auto"/>
        <w:left w:val="single" w:sz="4" w:space="0" w:color="auto"/>
        <w:bottom w:val="single" w:sz="4" w:space="0" w:color="auto"/>
      </w:pBdr>
      <w:shd w:val="clear" w:color="000000" w:fill="FFFFFF"/>
      <w:spacing w:before="100" w:beforeAutospacing="1" w:after="100" w:afterAutospacing="1" w:line="278" w:lineRule="auto"/>
      <w:jc w:val="center"/>
      <w:textAlignment w:val="center"/>
    </w:pPr>
    <w:rPr>
      <w:rFonts w:ascii="宋体" w:hAnsi="宋体" w:cs="宋体"/>
      <w:b/>
      <w:bCs/>
      <w:kern w:val="0"/>
      <w:sz w:val="16"/>
      <w:szCs w:val="16"/>
    </w:rPr>
  </w:style>
  <w:style w:type="paragraph" w:customStyle="1" w:styleId="1ffffb">
    <w:name w:val="附录 1"/>
    <w:basedOn w:val="1"/>
    <w:qFormat/>
    <w:pPr>
      <w:keepNext/>
      <w:keepLines/>
      <w:pageBreakBefore/>
      <w:numPr>
        <w:numId w:val="0"/>
      </w:numPr>
      <w:adjustRightInd w:val="0"/>
      <w:spacing w:beforeLines="100" w:before="0" w:afterLines="100" w:after="160" w:line="285" w:lineRule="exact"/>
      <w:jc w:val="center"/>
    </w:pPr>
    <w:rPr>
      <w:rFonts w:ascii="Arial" w:eastAsia="黑体" w:hAnsi="Arial"/>
      <w:sz w:val="21"/>
      <w:szCs w:val="20"/>
    </w:rPr>
  </w:style>
  <w:style w:type="paragraph" w:customStyle="1" w:styleId="affffffffffffffffffffffffffff2">
    <w:name w:val="表格文字左"/>
    <w:basedOn w:val="a7"/>
    <w:next w:val="a7"/>
    <w:qFormat/>
    <w:pPr>
      <w:spacing w:after="160" w:line="360" w:lineRule="auto"/>
      <w:ind w:firstLine="482"/>
      <w:jc w:val="left"/>
    </w:pPr>
    <w:rPr>
      <w:rFonts w:ascii="Arial" w:hAnsi="Arial"/>
      <w:kern w:val="0"/>
      <w:sz w:val="24"/>
    </w:rPr>
  </w:style>
  <w:style w:type="paragraph" w:customStyle="1" w:styleId="a20">
    <w:name w:val="a2"/>
    <w:basedOn w:val="a7"/>
    <w:uiPriority w:val="99"/>
    <w:semiHidden/>
    <w:qFormat/>
    <w:pPr>
      <w:spacing w:after="160" w:line="278" w:lineRule="auto"/>
      <w:jc w:val="center"/>
    </w:pPr>
    <w:rPr>
      <w:sz w:val="18"/>
    </w:rPr>
  </w:style>
  <w:style w:type="paragraph" w:customStyle="1" w:styleId="xl275">
    <w:name w:val="xl275"/>
    <w:basedOn w:val="a7"/>
    <w:qFormat/>
    <w:pPr>
      <w:widowControl/>
      <w:pBdr>
        <w:left w:val="single" w:sz="4" w:space="0" w:color="auto"/>
        <w:bottom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3H3BHead3Char1113h33rdlevel1">
    <w:name w:val="样式 标题 3H3B Head标题 3 Char条标题1.1.1三级标题标题3h33rd level第二层条...1"/>
    <w:basedOn w:val="31"/>
    <w:qFormat/>
    <w:pPr>
      <w:keepNext/>
      <w:keepLines/>
      <w:numPr>
        <w:ilvl w:val="0"/>
        <w:numId w:val="0"/>
      </w:numPr>
      <w:tabs>
        <w:tab w:val="left" w:pos="454"/>
      </w:tabs>
      <w:adjustRightInd/>
      <w:snapToGrid/>
      <w:spacing w:beforeLines="0" w:before="0" w:afterLines="0" w:after="0"/>
      <w:ind w:left="870" w:hanging="870"/>
      <w:jc w:val="both"/>
      <w:textAlignment w:val="auto"/>
    </w:pPr>
    <w:rPr>
      <w:rFonts w:ascii="宋体" w:eastAsia="宋体" w:cs="宋体"/>
      <w:color w:val="auto"/>
      <w:sz w:val="28"/>
      <w:szCs w:val="28"/>
      <w:lang w:val="en-US"/>
    </w:rPr>
  </w:style>
  <w:style w:type="paragraph" w:customStyle="1" w:styleId="1ffffc">
    <w:name w:val="设计封面矿名魏体1"/>
    <w:basedOn w:val="a7"/>
    <w:qFormat/>
    <w:pPr>
      <w:tabs>
        <w:tab w:val="left" w:pos="210"/>
      </w:tabs>
      <w:autoSpaceDE w:val="0"/>
      <w:autoSpaceDN w:val="0"/>
      <w:spacing w:after="160" w:line="500" w:lineRule="exact"/>
      <w:ind w:firstLine="482"/>
      <w:jc w:val="center"/>
    </w:pPr>
    <w:rPr>
      <w:rFonts w:eastAsia="华文新魏"/>
      <w:bCs/>
      <w:kern w:val="0"/>
      <w:sz w:val="52"/>
      <w:szCs w:val="28"/>
    </w:rPr>
  </w:style>
  <w:style w:type="paragraph" w:customStyle="1" w:styleId="affffffffffffffffffffffffffff3">
    <w:name w:val="【表中文字】"/>
    <w:basedOn w:val="a7"/>
    <w:qFormat/>
    <w:pPr>
      <w:widowControl/>
      <w:spacing w:after="200" w:line="278" w:lineRule="auto"/>
      <w:jc w:val="center"/>
    </w:pPr>
    <w:rPr>
      <w:rFonts w:ascii="Calibri" w:hAnsi="Calibri"/>
      <w:kern w:val="0"/>
      <w:szCs w:val="22"/>
      <w:lang w:eastAsia="en-US" w:bidi="en-US"/>
    </w:rPr>
  </w:style>
  <w:style w:type="paragraph" w:customStyle="1" w:styleId="affffffffffffffffffffffffffff4">
    <w:name w:val="基准篇眉"/>
    <w:basedOn w:val="a7"/>
    <w:semiHidden/>
    <w:qFormat/>
    <w:pPr>
      <w:keepLines/>
      <w:widowControl/>
      <w:tabs>
        <w:tab w:val="center" w:pos="7200"/>
        <w:tab w:val="right" w:pos="14400"/>
      </w:tabs>
      <w:overflowPunct w:val="0"/>
      <w:autoSpaceDE w:val="0"/>
      <w:autoSpaceDN w:val="0"/>
      <w:adjustRightInd w:val="0"/>
      <w:spacing w:after="160" w:line="278" w:lineRule="auto"/>
      <w:jc w:val="center"/>
      <w:textAlignment w:val="baseline"/>
    </w:pPr>
    <w:rPr>
      <w:spacing w:val="80"/>
      <w:sz w:val="20"/>
      <w:szCs w:val="20"/>
    </w:rPr>
  </w:style>
  <w:style w:type="paragraph" w:customStyle="1" w:styleId="k">
    <w:name w:val="k正文"/>
    <w:basedOn w:val="a7"/>
    <w:qFormat/>
    <w:pPr>
      <w:adjustRightInd w:val="0"/>
      <w:snapToGrid w:val="0"/>
      <w:spacing w:after="160" w:line="360" w:lineRule="auto"/>
      <w:ind w:firstLine="539"/>
    </w:pPr>
    <w:rPr>
      <w:rFonts w:eastAsia="仿宋_GB2312"/>
      <w:sz w:val="28"/>
      <w:szCs w:val="20"/>
    </w:rPr>
  </w:style>
  <w:style w:type="paragraph" w:customStyle="1" w:styleId="TY">
    <w:name w:val="TY"/>
    <w:basedOn w:val="a7"/>
    <w:qFormat/>
    <w:pPr>
      <w:adjustRightInd w:val="0"/>
      <w:snapToGrid w:val="0"/>
      <w:spacing w:before="40" w:after="40" w:line="278" w:lineRule="auto"/>
    </w:pPr>
    <w:rPr>
      <w:szCs w:val="20"/>
    </w:rPr>
  </w:style>
  <w:style w:type="paragraph" w:customStyle="1" w:styleId="Char2CharCharCharCharCharCharCharCharCharCharCharCharCharCharChar">
    <w:name w:val="Char2 Char Char Char Char Char Char Char Char Char Char Char Char Char Char Char"/>
    <w:basedOn w:val="a7"/>
    <w:qFormat/>
    <w:pPr>
      <w:spacing w:after="160" w:line="360" w:lineRule="auto"/>
      <w:ind w:firstLine="482"/>
    </w:pPr>
    <w:rPr>
      <w:kern w:val="0"/>
      <w:sz w:val="24"/>
    </w:rPr>
  </w:style>
  <w:style w:type="paragraph" w:customStyle="1" w:styleId="affffffffffffffffffffffffffff5">
    <w:name w:val="正文(黑体)"/>
    <w:basedOn w:val="a7"/>
    <w:qFormat/>
    <w:pPr>
      <w:autoSpaceDE w:val="0"/>
      <w:autoSpaceDN w:val="0"/>
      <w:adjustRightInd w:val="0"/>
      <w:spacing w:after="160" w:line="288" w:lineRule="auto"/>
      <w:ind w:firstLine="482"/>
      <w:textAlignment w:val="baseline"/>
    </w:pPr>
    <w:rPr>
      <w:rFonts w:ascii="黑体"/>
      <w:kern w:val="0"/>
      <w:sz w:val="24"/>
      <w:szCs w:val="20"/>
    </w:rPr>
  </w:style>
  <w:style w:type="paragraph" w:customStyle="1" w:styleId="2ffff9">
    <w:name w:val="样式 小四 首行缩进:  2 字符"/>
    <w:basedOn w:val="a7"/>
    <w:qFormat/>
    <w:pPr>
      <w:spacing w:after="160" w:line="360" w:lineRule="auto"/>
    </w:pPr>
    <w:rPr>
      <w:rFonts w:cs="宋体"/>
      <w:spacing w:val="8"/>
      <w:sz w:val="24"/>
      <w:szCs w:val="20"/>
    </w:rPr>
  </w:style>
  <w:style w:type="paragraph" w:customStyle="1" w:styleId="2100">
    <w:name w:val="样式 标题 2 + 字符缩放: 100%"/>
    <w:basedOn w:val="21"/>
    <w:qFormat/>
    <w:pPr>
      <w:keepNext/>
      <w:keepLines/>
      <w:numPr>
        <w:ilvl w:val="0"/>
        <w:numId w:val="0"/>
      </w:numPr>
      <w:tabs>
        <w:tab w:val="left" w:pos="454"/>
        <w:tab w:val="left" w:pos="851"/>
      </w:tabs>
      <w:snapToGrid/>
      <w:spacing w:beforeLines="0" w:before="0" w:afterLines="0" w:after="0" w:line="500" w:lineRule="exact"/>
    </w:pPr>
    <w:rPr>
      <w:rFonts w:ascii="黑体" w:hAnsi="Arial"/>
      <w:smallCaps w:val="0"/>
      <w:color w:val="auto"/>
      <w:kern w:val="21"/>
      <w:sz w:val="24"/>
      <w:szCs w:val="32"/>
    </w:rPr>
  </w:style>
  <w:style w:type="paragraph" w:customStyle="1" w:styleId="1ffffd">
    <w:name w:val="1表格头"/>
    <w:basedOn w:val="1fff9"/>
    <w:qFormat/>
    <w:pPr>
      <w:spacing w:line="160" w:lineRule="atLeast"/>
      <w:jc w:val="both"/>
    </w:pPr>
    <w:rPr>
      <w:b/>
      <w:spacing w:val="0"/>
      <w:kern w:val="2"/>
    </w:rPr>
  </w:style>
  <w:style w:type="paragraph" w:customStyle="1" w:styleId="Textecourant">
    <w:name w:val="!Texte courant"/>
    <w:qFormat/>
    <w:pPr>
      <w:spacing w:before="120" w:after="160" w:line="280" w:lineRule="atLeast"/>
      <w:jc w:val="both"/>
    </w:pPr>
    <w:rPr>
      <w:sz w:val="24"/>
      <w:lang w:eastAsia="en-US"/>
    </w:rPr>
  </w:style>
  <w:style w:type="paragraph" w:customStyle="1" w:styleId="3GB2312310">
    <w:name w:val="样式 标题 3 + (中文) 楷体_GB2312 小四 非加粗 段前: 3.1 磅 段后: 0 磅 行距: 单倍行距"/>
    <w:basedOn w:val="21"/>
    <w:qFormat/>
    <w:pPr>
      <w:keepNext/>
      <w:keepLines/>
      <w:numPr>
        <w:ilvl w:val="0"/>
        <w:numId w:val="0"/>
      </w:numPr>
      <w:snapToGrid/>
      <w:spacing w:beforeLines="0" w:before="62" w:afterLines="0" w:after="0" w:line="240" w:lineRule="auto"/>
    </w:pPr>
    <w:rPr>
      <w:rFonts w:ascii="Arial" w:eastAsia="楷体_GB2312" w:hAnsi="Arial" w:cs="宋体"/>
      <w:b w:val="0"/>
      <w:bCs w:val="0"/>
      <w:smallCaps w:val="0"/>
      <w:color w:val="auto"/>
      <w:kern w:val="0"/>
      <w:sz w:val="24"/>
      <w:szCs w:val="20"/>
    </w:rPr>
  </w:style>
  <w:style w:type="paragraph" w:customStyle="1" w:styleId="241210">
    <w:name w:val="样式 小二 加粗 居中 段前: 24 磅 段后: 12 磅1"/>
    <w:basedOn w:val="a7"/>
    <w:next w:val="a7"/>
    <w:qFormat/>
    <w:pPr>
      <w:adjustRightInd w:val="0"/>
      <w:snapToGrid w:val="0"/>
      <w:spacing w:before="100" w:beforeAutospacing="1" w:after="100" w:afterAutospacing="1" w:line="240" w:lineRule="exact"/>
      <w:ind w:firstLineChars="200" w:firstLine="420"/>
      <w:jc w:val="center"/>
    </w:pPr>
    <w:rPr>
      <w:rFonts w:cs="宋体"/>
      <w:bCs/>
      <w:kern w:val="0"/>
      <w:sz w:val="24"/>
      <w:szCs w:val="20"/>
    </w:rPr>
  </w:style>
  <w:style w:type="paragraph" w:customStyle="1" w:styleId="0990">
    <w:name w:val="样式 表号 + 首行缩进:  0.99 厘米"/>
    <w:basedOn w:val="a7"/>
    <w:uiPriority w:val="99"/>
    <w:qFormat/>
    <w:pPr>
      <w:widowControl/>
      <w:adjustRightInd w:val="0"/>
      <w:snapToGrid w:val="0"/>
      <w:spacing w:after="160" w:line="240" w:lineRule="atLeast"/>
      <w:ind w:firstLine="420"/>
      <w:outlineLvl w:val="4"/>
    </w:pPr>
    <w:rPr>
      <w:rFonts w:ascii="宋体" w:hAnsi="宋体" w:cs="宋体"/>
      <w:kern w:val="0"/>
      <w:sz w:val="24"/>
      <w:szCs w:val="20"/>
    </w:rPr>
  </w:style>
  <w:style w:type="paragraph" w:customStyle="1" w:styleId="119">
    <w:name w:val="日期11"/>
    <w:basedOn w:val="a7"/>
    <w:next w:val="a7"/>
    <w:qFormat/>
    <w:pPr>
      <w:adjustRightInd w:val="0"/>
      <w:spacing w:after="160" w:line="360" w:lineRule="auto"/>
      <w:ind w:firstLine="482"/>
      <w:jc w:val="left"/>
      <w:textAlignment w:val="baseline"/>
    </w:pPr>
    <w:rPr>
      <w:kern w:val="0"/>
      <w:sz w:val="28"/>
      <w:szCs w:val="20"/>
    </w:rPr>
  </w:style>
  <w:style w:type="paragraph" w:customStyle="1" w:styleId="xl130">
    <w:name w:val="xl130"/>
    <w:basedOn w:val="a7"/>
    <w:uiPriority w:val="99"/>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pPr>
    <w:rPr>
      <w:rFonts w:ascii="宋体" w:hAnsi="宋体" w:cs="宋体"/>
      <w:color w:val="1A1FE0"/>
      <w:kern w:val="0"/>
      <w:sz w:val="24"/>
    </w:rPr>
  </w:style>
  <w:style w:type="paragraph" w:customStyle="1" w:styleId="xl24">
    <w:name w:val="xl24"/>
    <w:basedOn w:val="a7"/>
    <w:uiPriority w:val="99"/>
    <w:qFormat/>
    <w:pPr>
      <w:widowControl/>
      <w:spacing w:before="100" w:beforeAutospacing="1" w:after="100" w:afterAutospacing="1" w:line="360" w:lineRule="auto"/>
      <w:ind w:firstLine="482"/>
      <w:jc w:val="center"/>
    </w:pPr>
    <w:rPr>
      <w:rFonts w:ascii="Arial Unicode MS" w:eastAsia="Arial Unicode MS" w:hAnsi="Arial Unicode MS" w:cs="Arial Unicode MS"/>
      <w:kern w:val="0"/>
      <w:sz w:val="12"/>
      <w:szCs w:val="12"/>
    </w:rPr>
  </w:style>
  <w:style w:type="paragraph" w:customStyle="1" w:styleId="hb2">
    <w:name w:val="hb2"/>
    <w:basedOn w:val="21"/>
    <w:qFormat/>
    <w:pPr>
      <w:keepNext/>
      <w:keepLines/>
      <w:numPr>
        <w:ilvl w:val="0"/>
        <w:numId w:val="0"/>
      </w:numPr>
      <w:topLinePunct/>
      <w:snapToGrid/>
      <w:spacing w:beforeLines="0" w:before="480" w:afterLines="0" w:after="480" w:line="416" w:lineRule="atLeast"/>
      <w:textAlignment w:val="baseline"/>
    </w:pPr>
    <w:rPr>
      <w:rFonts w:ascii="宋体" w:eastAsia="宋体" w:hAnsi="宋体" w:cs="Arial"/>
      <w:smallCaps w:val="0"/>
      <w:color w:val="auto"/>
      <w:kern w:val="0"/>
      <w:sz w:val="28"/>
    </w:rPr>
  </w:style>
  <w:style w:type="paragraph" w:customStyle="1" w:styleId="SCIDI1">
    <w:name w:val="SCIDI图表标题"/>
    <w:basedOn w:val="a7"/>
    <w:uiPriority w:val="99"/>
    <w:qFormat/>
    <w:pPr>
      <w:adjustRightInd w:val="0"/>
      <w:snapToGrid w:val="0"/>
      <w:spacing w:after="160" w:line="360" w:lineRule="auto"/>
      <w:jc w:val="center"/>
      <w:textAlignment w:val="baseline"/>
    </w:pPr>
    <w:rPr>
      <w:b/>
      <w:kern w:val="0"/>
      <w:sz w:val="24"/>
    </w:rPr>
  </w:style>
  <w:style w:type="paragraph" w:customStyle="1" w:styleId="affffffffffffffffffffffffffff6">
    <w:name w:val="表格内容（新）"/>
    <w:basedOn w:val="a7"/>
    <w:qFormat/>
    <w:pPr>
      <w:spacing w:after="160" w:line="360" w:lineRule="auto"/>
      <w:ind w:firstLine="482"/>
      <w:jc w:val="center"/>
    </w:pPr>
    <w:rPr>
      <w:rFonts w:cs="宋体"/>
      <w:color w:val="339966"/>
      <w:kern w:val="0"/>
      <w:sz w:val="18"/>
      <w:szCs w:val="18"/>
    </w:rPr>
  </w:style>
  <w:style w:type="paragraph" w:customStyle="1" w:styleId="CharCharCharCharChar1Char">
    <w:name w:val="Char Char Char Char Char1 Char"/>
    <w:basedOn w:val="a7"/>
    <w:qFormat/>
    <w:pPr>
      <w:adjustRightInd w:val="0"/>
      <w:spacing w:after="160" w:line="360" w:lineRule="auto"/>
      <w:ind w:firstLine="482"/>
    </w:pPr>
    <w:rPr>
      <w:rFonts w:eastAsia="黑体"/>
      <w:spacing w:val="20"/>
      <w:kern w:val="0"/>
      <w:sz w:val="32"/>
      <w:szCs w:val="32"/>
    </w:rPr>
  </w:style>
  <w:style w:type="paragraph" w:customStyle="1" w:styleId="style1style2">
    <w:name w:val="style1 style2"/>
    <w:basedOn w:val="a7"/>
    <w:qFormat/>
    <w:pPr>
      <w:widowControl/>
      <w:spacing w:before="100" w:beforeAutospacing="1" w:after="100" w:afterAutospacing="1" w:line="278" w:lineRule="auto"/>
      <w:jc w:val="left"/>
    </w:pPr>
    <w:rPr>
      <w:rFonts w:ascii="宋体" w:hAnsi="宋体" w:cs="宋体"/>
      <w:kern w:val="0"/>
      <w:sz w:val="24"/>
    </w:rPr>
  </w:style>
  <w:style w:type="paragraph" w:customStyle="1" w:styleId="yl2">
    <w:name w:val="yl2"/>
    <w:basedOn w:val="a7"/>
    <w:qFormat/>
    <w:pPr>
      <w:spacing w:after="160" w:line="440" w:lineRule="exact"/>
    </w:pPr>
    <w:rPr>
      <w:rFonts w:ascii="宋体"/>
      <w:sz w:val="28"/>
      <w:szCs w:val="20"/>
    </w:rPr>
  </w:style>
  <w:style w:type="paragraph" w:customStyle="1" w:styleId="2ffffa">
    <w:name w:val="正文文字首航缩2字"/>
    <w:basedOn w:val="a7"/>
    <w:qFormat/>
    <w:pPr>
      <w:spacing w:after="160" w:line="360" w:lineRule="auto"/>
      <w:ind w:firstLineChars="200" w:firstLine="200"/>
    </w:pPr>
    <w:rPr>
      <w:sz w:val="24"/>
    </w:rPr>
  </w:style>
  <w:style w:type="paragraph" w:customStyle="1" w:styleId="affffffffffffffffffffffffffff7">
    <w:name w:val="标题三 楷体"/>
    <w:basedOn w:val="31"/>
    <w:qFormat/>
    <w:pPr>
      <w:keepNext/>
      <w:keepLines/>
      <w:numPr>
        <w:ilvl w:val="0"/>
        <w:numId w:val="0"/>
      </w:numPr>
      <w:tabs>
        <w:tab w:val="left" w:pos="454"/>
      </w:tabs>
      <w:snapToGrid/>
      <w:spacing w:beforeLines="0" w:before="0" w:afterLines="0" w:after="0" w:line="500" w:lineRule="exact"/>
      <w:jc w:val="both"/>
      <w:textAlignment w:val="auto"/>
    </w:pPr>
    <w:rPr>
      <w:rFonts w:ascii="楷体_GB2312" w:eastAsia="楷体_GB2312"/>
      <w:bCs w:val="0"/>
      <w:color w:val="auto"/>
      <w:kern w:val="0"/>
      <w:sz w:val="24"/>
      <w:lang w:val="en-US"/>
    </w:rPr>
  </w:style>
  <w:style w:type="paragraph" w:customStyle="1" w:styleId="CharChar83">
    <w:name w:val="Char Char83"/>
    <w:basedOn w:val="a7"/>
    <w:qFormat/>
    <w:pPr>
      <w:spacing w:after="160" w:line="278" w:lineRule="auto"/>
    </w:pPr>
  </w:style>
  <w:style w:type="paragraph" w:customStyle="1" w:styleId="TabC">
    <w:name w:val="TabC"/>
    <w:basedOn w:val="a7"/>
    <w:qFormat/>
    <w:pPr>
      <w:keepLines/>
      <w:widowControl/>
      <w:spacing w:before="120" w:after="120" w:line="360" w:lineRule="auto"/>
      <w:ind w:firstLine="482"/>
      <w:jc w:val="center"/>
    </w:pPr>
    <w:rPr>
      <w:rFonts w:ascii="Arial" w:hAnsi="Arial"/>
      <w:kern w:val="0"/>
      <w:sz w:val="24"/>
      <w:szCs w:val="20"/>
    </w:rPr>
  </w:style>
  <w:style w:type="paragraph" w:customStyle="1" w:styleId="xl149">
    <w:name w:val="xl149"/>
    <w:basedOn w:val="a7"/>
    <w:uiPriority w:val="99"/>
    <w:qFormat/>
    <w:pPr>
      <w:widowControl/>
      <w:pBdr>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2ffffb">
    <w:name w:val="样式 正文首行缩进 + 蓝色 首行缩进:  2 字符"/>
    <w:basedOn w:val="affff7"/>
    <w:semiHidden/>
    <w:qFormat/>
    <w:pPr>
      <w:adjustRightInd w:val="0"/>
      <w:snapToGrid w:val="0"/>
      <w:spacing w:after="0" w:line="420" w:lineRule="exact"/>
      <w:ind w:firstLineChars="200" w:firstLine="200"/>
    </w:pPr>
    <w:rPr>
      <w:rFonts w:ascii="仿宋_GB2312" w:eastAsia="仿宋_GB2312" w:hAnsi="仿宋_GB2312" w:cs="宋体"/>
      <w:color w:val="0000FF"/>
      <w:szCs w:val="21"/>
    </w:rPr>
  </w:style>
  <w:style w:type="paragraph" w:customStyle="1" w:styleId="3ff7">
    <w:name w:val="标题标题 3"/>
    <w:basedOn w:val="21"/>
    <w:qFormat/>
    <w:pPr>
      <w:keepNext/>
      <w:keepLines/>
      <w:numPr>
        <w:ilvl w:val="0"/>
        <w:numId w:val="0"/>
      </w:numPr>
      <w:tabs>
        <w:tab w:val="left" w:pos="454"/>
        <w:tab w:val="left" w:pos="851"/>
      </w:tabs>
      <w:snapToGrid/>
      <w:spacing w:beforeLines="0" w:before="0" w:afterLines="0" w:after="0"/>
      <w:jc w:val="both"/>
    </w:pPr>
    <w:rPr>
      <w:rFonts w:ascii="黑体" w:hAnsi="黑体"/>
      <w:smallCaps w:val="0"/>
      <w:color w:val="000000"/>
      <w:kern w:val="0"/>
      <w:sz w:val="24"/>
      <w:szCs w:val="32"/>
    </w:rPr>
  </w:style>
  <w:style w:type="paragraph" w:customStyle="1" w:styleId="2ffffc">
    <w:name w:val="样式 样式 首行缩进:  2 字符 + 小四 居中"/>
    <w:basedOn w:val="a7"/>
    <w:qFormat/>
    <w:pPr>
      <w:adjustRightInd w:val="0"/>
      <w:spacing w:after="160" w:line="360" w:lineRule="atLeast"/>
      <w:ind w:firstLine="482"/>
      <w:jc w:val="center"/>
      <w:textAlignment w:val="baseline"/>
    </w:pPr>
    <w:rPr>
      <w:kern w:val="0"/>
      <w:sz w:val="28"/>
      <w:szCs w:val="20"/>
    </w:rPr>
  </w:style>
  <w:style w:type="paragraph" w:customStyle="1" w:styleId="PlainText2">
    <w:name w:val="Plain Text2"/>
    <w:basedOn w:val="a7"/>
    <w:uiPriority w:val="99"/>
    <w:qFormat/>
    <w:pPr>
      <w:autoSpaceDE w:val="0"/>
      <w:autoSpaceDN w:val="0"/>
      <w:adjustRightInd w:val="0"/>
      <w:spacing w:after="160" w:line="278" w:lineRule="auto"/>
      <w:textAlignment w:val="baseline"/>
    </w:pPr>
    <w:rPr>
      <w:rFonts w:ascii="宋体" w:hAnsi="Tms Rmn"/>
      <w:kern w:val="0"/>
      <w:szCs w:val="20"/>
    </w:rPr>
  </w:style>
  <w:style w:type="paragraph" w:customStyle="1" w:styleId="CharCharCharCharCharCharCharCharCharCharCharCharCharCharCharCharCharChar11">
    <w:name w:val="Char Char Char Char Char Char Char Char Char Char Char Char Char Char Char Char Char Char11"/>
    <w:basedOn w:val="a7"/>
    <w:qFormat/>
    <w:pPr>
      <w:spacing w:after="160" w:line="360" w:lineRule="auto"/>
      <w:ind w:firstLine="482"/>
    </w:pPr>
    <w:rPr>
      <w:kern w:val="0"/>
      <w:sz w:val="24"/>
    </w:rPr>
  </w:style>
  <w:style w:type="paragraph" w:customStyle="1" w:styleId="1ffffe">
    <w:name w:val="图表目录1"/>
    <w:basedOn w:val="1f"/>
    <w:next w:val="1f"/>
    <w:qFormat/>
    <w:pPr>
      <w:tabs>
        <w:tab w:val="right" w:leader="dot" w:pos="8051"/>
      </w:tabs>
      <w:spacing w:beforeLines="0" w:after="160" w:line="360" w:lineRule="atLeast"/>
      <w:ind w:left="840" w:hanging="840"/>
      <w:jc w:val="left"/>
    </w:pPr>
    <w:rPr>
      <w:sz w:val="24"/>
    </w:rPr>
  </w:style>
  <w:style w:type="paragraph" w:customStyle="1" w:styleId="affffffffffffffffffffffffffff8">
    <w:name w:val="未确定"/>
    <w:basedOn w:val="a7"/>
    <w:qFormat/>
    <w:pPr>
      <w:spacing w:beforeLines="50" w:after="160" w:line="400" w:lineRule="exact"/>
      <w:ind w:firstLineChars="200" w:firstLine="480"/>
    </w:pPr>
    <w:rPr>
      <w:rFonts w:eastAsia="仿宋_GB2312"/>
      <w:color w:val="800080"/>
      <w:sz w:val="24"/>
    </w:rPr>
  </w:style>
  <w:style w:type="paragraph" w:customStyle="1" w:styleId="1522">
    <w:name w:val="样式 黑色 行距: 1.5 倍行距 首行缩进:  2 字符"/>
    <w:basedOn w:val="a7"/>
    <w:qFormat/>
    <w:pPr>
      <w:spacing w:after="160" w:line="360" w:lineRule="auto"/>
      <w:ind w:firstLineChars="200" w:firstLine="480"/>
    </w:pPr>
    <w:rPr>
      <w:rFonts w:eastAsia="楷体_GB2312" w:cs="宋体"/>
      <w:color w:val="000000"/>
      <w:sz w:val="24"/>
      <w:szCs w:val="20"/>
    </w:rPr>
  </w:style>
  <w:style w:type="paragraph" w:customStyle="1" w:styleId="2ffffd">
    <w:name w:val="环标2"/>
    <w:basedOn w:val="21"/>
    <w:qFormat/>
    <w:pPr>
      <w:keepNext/>
      <w:keepLines/>
      <w:numPr>
        <w:ilvl w:val="0"/>
        <w:numId w:val="0"/>
      </w:numPr>
      <w:adjustRightInd w:val="0"/>
      <w:snapToGrid/>
      <w:spacing w:beforeLines="0" w:before="60" w:afterLines="0" w:after="60" w:line="312" w:lineRule="atLeast"/>
      <w:textAlignment w:val="baseline"/>
    </w:pPr>
    <w:rPr>
      <w:rFonts w:ascii="黑体" w:hAnsi="Arial"/>
      <w:b w:val="0"/>
      <w:bCs w:val="0"/>
      <w:smallCaps w:val="0"/>
      <w:color w:val="auto"/>
      <w:kern w:val="0"/>
      <w:sz w:val="28"/>
      <w:szCs w:val="20"/>
    </w:rPr>
  </w:style>
  <w:style w:type="paragraph" w:customStyle="1" w:styleId="24123">
    <w:name w:val="居中 段前: 24 磅 段后: 12 磅3"/>
    <w:basedOn w:val="a7"/>
    <w:next w:val="a7"/>
    <w:qFormat/>
    <w:pPr>
      <w:adjustRightInd w:val="0"/>
      <w:snapToGrid w:val="0"/>
      <w:spacing w:before="480" w:after="240" w:line="300" w:lineRule="auto"/>
      <w:ind w:firstLineChars="200" w:firstLine="420"/>
      <w:jc w:val="center"/>
    </w:pPr>
    <w:rPr>
      <w:rFonts w:cs="宋体"/>
      <w:bCs/>
      <w:kern w:val="0"/>
      <w:sz w:val="24"/>
      <w:szCs w:val="20"/>
    </w:rPr>
  </w:style>
  <w:style w:type="paragraph" w:customStyle="1" w:styleId="xl197">
    <w:name w:val="xl197"/>
    <w:basedOn w:val="a7"/>
    <w:qFormat/>
    <w:pPr>
      <w:widowControl/>
      <w:pBdr>
        <w:top w:val="single" w:sz="4" w:space="0" w:color="auto"/>
        <w:bottom w:val="single" w:sz="4" w:space="0" w:color="auto"/>
      </w:pBdr>
      <w:shd w:val="clear" w:color="000000" w:fill="FFFFFF"/>
      <w:spacing w:before="100" w:beforeAutospacing="1" w:after="100" w:afterAutospacing="1" w:line="278" w:lineRule="auto"/>
      <w:jc w:val="center"/>
      <w:textAlignment w:val="center"/>
    </w:pPr>
    <w:rPr>
      <w:rFonts w:ascii="宋体" w:hAnsi="宋体" w:cs="宋体"/>
      <w:b/>
      <w:bCs/>
      <w:color w:val="000000"/>
      <w:kern w:val="0"/>
      <w:sz w:val="20"/>
      <w:szCs w:val="20"/>
    </w:rPr>
  </w:style>
  <w:style w:type="paragraph" w:customStyle="1" w:styleId="1fffff">
    <w:name w:val="表样式1"/>
    <w:basedOn w:val="a7"/>
    <w:qFormat/>
    <w:pPr>
      <w:spacing w:after="160" w:line="380" w:lineRule="exact"/>
      <w:ind w:rightChars="-131" w:right="-275"/>
    </w:pPr>
    <w:rPr>
      <w:rFonts w:ascii="宋体" w:hAnsi="宋体"/>
    </w:rPr>
  </w:style>
  <w:style w:type="paragraph" w:customStyle="1" w:styleId="xl34">
    <w:name w:val="xl34"/>
    <w:basedOn w:val="a7"/>
    <w:uiPriority w:val="99"/>
    <w:qFormat/>
    <w:pPr>
      <w:widowControl/>
      <w:pBdr>
        <w:top w:val="single" w:sz="4" w:space="0" w:color="auto"/>
        <w:bottom w:val="single" w:sz="4" w:space="0" w:color="auto"/>
        <w:right w:val="single" w:sz="4" w:space="0" w:color="auto"/>
      </w:pBdr>
      <w:spacing w:before="100" w:after="100" w:line="360" w:lineRule="auto"/>
      <w:ind w:firstLine="482"/>
      <w:jc w:val="center"/>
      <w:textAlignment w:val="center"/>
    </w:pPr>
    <w:rPr>
      <w:rFonts w:ascii="宋体" w:hAnsi="宋体"/>
      <w:kern w:val="0"/>
      <w:sz w:val="24"/>
    </w:rPr>
  </w:style>
  <w:style w:type="paragraph" w:customStyle="1" w:styleId="2222">
    <w:name w:val="样式 样式 标题 2 + 首行缩进:  2 字符 + 首行缩进:  2 字符"/>
    <w:basedOn w:val="223"/>
    <w:qFormat/>
    <w:pPr>
      <w:tabs>
        <w:tab w:val="clear" w:pos="360"/>
      </w:tabs>
      <w:spacing w:before="0" w:after="0" w:line="560" w:lineRule="exact"/>
      <w:ind w:left="0" w:firstLine="200"/>
      <w:jc w:val="both"/>
    </w:pPr>
    <w:rPr>
      <w:rFonts w:ascii="楷体_GB2312"/>
      <w:sz w:val="28"/>
    </w:rPr>
  </w:style>
  <w:style w:type="paragraph" w:customStyle="1" w:styleId="1q">
    <w:name w:val="标题1q"/>
    <w:basedOn w:val="a7"/>
    <w:next w:val="a7"/>
    <w:qFormat/>
    <w:pPr>
      <w:spacing w:after="160" w:line="360" w:lineRule="auto"/>
      <w:ind w:left="431" w:firstLineChars="200" w:firstLine="200"/>
      <w:jc w:val="center"/>
    </w:pPr>
    <w:rPr>
      <w:kern w:val="0"/>
      <w:sz w:val="24"/>
      <w:szCs w:val="20"/>
    </w:rPr>
  </w:style>
  <w:style w:type="paragraph" w:customStyle="1" w:styleId="Style11">
    <w:name w:val="_Style 1"/>
    <w:basedOn w:val="a7"/>
    <w:uiPriority w:val="34"/>
    <w:qFormat/>
    <w:pPr>
      <w:spacing w:after="160" w:line="360" w:lineRule="auto"/>
      <w:ind w:firstLineChars="200" w:firstLine="420"/>
      <w:jc w:val="left"/>
    </w:pPr>
    <w:rPr>
      <w:rFonts w:ascii="Calibri" w:hAnsi="Calibri"/>
      <w:sz w:val="24"/>
      <w:szCs w:val="22"/>
    </w:rPr>
  </w:style>
  <w:style w:type="paragraph" w:customStyle="1" w:styleId="xl55">
    <w:name w:val="xl55"/>
    <w:basedOn w:val="a7"/>
    <w:qFormat/>
    <w:pPr>
      <w:widowControl/>
      <w:pBdr>
        <w:bottom w:val="single" w:sz="4" w:space="0" w:color="auto"/>
        <w:right w:val="single" w:sz="8" w:space="0" w:color="auto"/>
      </w:pBdr>
      <w:spacing w:before="100" w:after="100" w:line="360" w:lineRule="auto"/>
      <w:ind w:firstLine="482"/>
      <w:jc w:val="center"/>
      <w:textAlignment w:val="center"/>
    </w:pPr>
    <w:rPr>
      <w:rFonts w:ascii="宋体" w:hAnsi="宋体"/>
      <w:kern w:val="0"/>
      <w:sz w:val="28"/>
      <w:szCs w:val="28"/>
    </w:rPr>
  </w:style>
  <w:style w:type="paragraph" w:customStyle="1" w:styleId="ListParagraph1">
    <w:name w:val="List Paragraph1"/>
    <w:uiPriority w:val="99"/>
    <w:qFormat/>
    <w:pPr>
      <w:spacing w:after="160" w:line="278" w:lineRule="auto"/>
      <w:ind w:firstLineChars="200" w:firstLine="420"/>
    </w:pPr>
    <w:rPr>
      <w:rFonts w:ascii="Calibri" w:hAnsi="Calibri"/>
      <w:kern w:val="2"/>
      <w:sz w:val="21"/>
      <w:szCs w:val="22"/>
    </w:rPr>
  </w:style>
  <w:style w:type="paragraph" w:customStyle="1" w:styleId="CharCharCharCharChar2CharCharCharChar2">
    <w:name w:val="Char Char Char Char Char2 Char Char Char Char2"/>
    <w:basedOn w:val="a7"/>
    <w:semiHidden/>
    <w:qFormat/>
    <w:pPr>
      <w:adjustRightInd w:val="0"/>
      <w:snapToGrid w:val="0"/>
      <w:spacing w:after="160" w:line="360" w:lineRule="auto"/>
      <w:ind w:firstLineChars="200" w:firstLine="200"/>
    </w:pPr>
    <w:rPr>
      <w:rFonts w:ascii="宋体" w:hAnsi="宋体" w:cs="宋体"/>
      <w:kern w:val="0"/>
      <w:sz w:val="24"/>
      <w:szCs w:val="26"/>
    </w:rPr>
  </w:style>
  <w:style w:type="paragraph" w:customStyle="1" w:styleId="143">
    <w:name w:val="样式14"/>
    <w:basedOn w:val="a7"/>
    <w:qFormat/>
    <w:pPr>
      <w:spacing w:before="240" w:after="60" w:line="560" w:lineRule="exact"/>
      <w:ind w:firstLine="482"/>
      <w:jc w:val="left"/>
      <w:outlineLvl w:val="3"/>
    </w:pPr>
    <w:rPr>
      <w:rFonts w:ascii="宋体" w:hAnsi="宋体"/>
      <w:kern w:val="0"/>
      <w:sz w:val="28"/>
      <w:szCs w:val="28"/>
    </w:rPr>
  </w:style>
  <w:style w:type="paragraph" w:customStyle="1" w:styleId="xl29">
    <w:name w:val="xl29"/>
    <w:basedOn w:val="a7"/>
    <w:uiPriority w:val="99"/>
    <w:qFormat/>
    <w:pPr>
      <w:widowControl/>
      <w:spacing w:before="100" w:after="100" w:line="360" w:lineRule="auto"/>
      <w:ind w:firstLine="482"/>
      <w:jc w:val="center"/>
    </w:pPr>
    <w:rPr>
      <w:kern w:val="0"/>
      <w:sz w:val="24"/>
    </w:rPr>
  </w:style>
  <w:style w:type="paragraph" w:customStyle="1" w:styleId="Char1CharCharCharCharCharChar1">
    <w:name w:val="Char1 Char Char Char Char Char Char1"/>
    <w:basedOn w:val="a7"/>
    <w:qFormat/>
    <w:pPr>
      <w:spacing w:beforeLines="100" w:afterLines="50" w:after="160" w:line="600" w:lineRule="exact"/>
      <w:ind w:firstLineChars="200" w:firstLine="200"/>
    </w:pPr>
    <w:rPr>
      <w:rFonts w:eastAsia="黑体"/>
      <w:sz w:val="28"/>
    </w:rPr>
  </w:style>
  <w:style w:type="paragraph" w:customStyle="1" w:styleId="Bulletlevel1">
    <w:name w:val="Bullet level 1"/>
    <w:basedOn w:val="a7"/>
    <w:qFormat/>
    <w:pPr>
      <w:numPr>
        <w:numId w:val="19"/>
      </w:numPr>
      <w:wordWrap w:val="0"/>
      <w:spacing w:before="120" w:after="160" w:line="278" w:lineRule="auto"/>
      <w:ind w:left="0" w:firstLine="0"/>
      <w:jc w:val="left"/>
    </w:pPr>
    <w:rPr>
      <w:rFonts w:ascii="Arial" w:hAnsi="Arial"/>
      <w:sz w:val="22"/>
      <w:szCs w:val="20"/>
    </w:rPr>
  </w:style>
  <w:style w:type="paragraph" w:customStyle="1" w:styleId="3ff8">
    <w:name w:val="样式 标题 3 + 黑体"/>
    <w:basedOn w:val="31"/>
    <w:qFormat/>
    <w:pPr>
      <w:keepNext/>
      <w:keepLines/>
      <w:widowControl/>
      <w:numPr>
        <w:ilvl w:val="0"/>
        <w:numId w:val="0"/>
      </w:numPr>
      <w:tabs>
        <w:tab w:val="left" w:pos="454"/>
      </w:tabs>
      <w:adjustRightInd/>
      <w:snapToGrid/>
      <w:spacing w:beforeLines="0" w:before="120" w:afterLines="0" w:after="120" w:line="240" w:lineRule="auto"/>
      <w:textAlignment w:val="auto"/>
    </w:pPr>
    <w:rPr>
      <w:rFonts w:ascii="黑体" w:eastAsia="宋体" w:hAnsi="黑体"/>
      <w:color w:val="auto"/>
      <w:kern w:val="0"/>
      <w:szCs w:val="32"/>
      <w:lang w:val="en-US"/>
    </w:rPr>
  </w:style>
  <w:style w:type="paragraph" w:customStyle="1" w:styleId="affffffffffffffffffffffffffff9">
    <w:name w:val="油库表"/>
    <w:basedOn w:val="afffffffffb"/>
    <w:qFormat/>
    <w:pPr>
      <w:widowControl w:val="0"/>
      <w:tabs>
        <w:tab w:val="clear" w:pos="1855"/>
        <w:tab w:val="clear" w:pos="2269"/>
      </w:tabs>
      <w:adjustRightInd w:val="0"/>
      <w:snapToGrid/>
      <w:spacing w:beforeLines="25" w:afterLines="25" w:after="160"/>
      <w:textAlignment w:val="baseline"/>
    </w:pPr>
    <w:rPr>
      <w:rFonts w:eastAsia="宋体" w:cs="Times New Roman"/>
      <w:smallCaps w:val="0"/>
      <w:color w:val="auto"/>
      <w:spacing w:val="10"/>
      <w:szCs w:val="22"/>
    </w:rPr>
  </w:style>
  <w:style w:type="paragraph" w:customStyle="1" w:styleId="affffffffffffffffffffffffffffa">
    <w:name w:val="正文＋黑体"/>
    <w:basedOn w:val="a7"/>
    <w:qFormat/>
    <w:pPr>
      <w:widowControl/>
      <w:spacing w:beforeLines="50" w:afterLines="50" w:after="200" w:line="278" w:lineRule="auto"/>
      <w:ind w:firstLine="480"/>
      <w:jc w:val="left"/>
    </w:pPr>
    <w:rPr>
      <w:rFonts w:eastAsia="黑体"/>
      <w:kern w:val="0"/>
      <w:sz w:val="22"/>
      <w:szCs w:val="22"/>
      <w:lang w:eastAsia="en-US" w:bidi="en-US"/>
    </w:rPr>
  </w:style>
  <w:style w:type="paragraph" w:customStyle="1" w:styleId="xl323">
    <w:name w:val="xl323"/>
    <w:basedOn w:val="a7"/>
    <w:qFormat/>
    <w:pPr>
      <w:widowControl/>
      <w:pBdr>
        <w:left w:val="single" w:sz="4" w:space="0" w:color="auto"/>
        <w:bottom w:val="single" w:sz="8" w:space="0" w:color="auto"/>
        <w:righ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affffffffffffffffffffffffffffb">
    <w:name w:val="图标题注"/>
    <w:basedOn w:val="af5"/>
    <w:qFormat/>
    <w:pPr>
      <w:keepNext/>
      <w:widowControl/>
      <w:spacing w:before="120" w:after="120" w:line="400" w:lineRule="exact"/>
      <w:ind w:firstLineChars="147" w:firstLine="295"/>
    </w:pPr>
    <w:rPr>
      <w:rFonts w:ascii="Times New Roman" w:eastAsia="宋体" w:hAnsi="Times New Roman" w:cs="宋体"/>
      <w:sz w:val="28"/>
      <w:szCs w:val="21"/>
    </w:rPr>
  </w:style>
  <w:style w:type="paragraph" w:customStyle="1" w:styleId="affffffffffffffffffffffffffffc">
    <w:name w:val="五级无标题条"/>
    <w:basedOn w:val="a7"/>
    <w:qFormat/>
    <w:pPr>
      <w:adjustRightInd w:val="0"/>
      <w:snapToGrid w:val="0"/>
      <w:spacing w:after="160" w:line="278" w:lineRule="auto"/>
    </w:pPr>
  </w:style>
  <w:style w:type="paragraph" w:customStyle="1" w:styleId="ArialNarrowGB23">
    <w:name w:val="样式 (西文) Arial Narrow (中文) 仿宋_GB23正文"/>
    <w:basedOn w:val="a7"/>
    <w:qFormat/>
    <w:pPr>
      <w:spacing w:after="160" w:line="300" w:lineRule="auto"/>
      <w:ind w:firstLineChars="200" w:firstLine="200"/>
    </w:pPr>
    <w:rPr>
      <w:rFonts w:ascii="Arial Narrow" w:eastAsia="仿宋_GB2312" w:hAnsi="Arial Narrow" w:cs="宋体"/>
      <w:sz w:val="24"/>
    </w:rPr>
  </w:style>
  <w:style w:type="paragraph" w:customStyle="1" w:styleId="affffffffffffffffffffffffffffd">
    <w:name w:val="表格内容格式"/>
    <w:basedOn w:val="a7"/>
    <w:qFormat/>
    <w:pPr>
      <w:adjustRightInd w:val="0"/>
      <w:spacing w:after="160" w:line="240" w:lineRule="atLeast"/>
      <w:ind w:firstLine="482"/>
      <w:textAlignment w:val="baseline"/>
    </w:pPr>
    <w:rPr>
      <w:rFonts w:ascii="宋体" w:hAnsi="宋体"/>
      <w:snapToGrid w:val="0"/>
      <w:color w:val="000000"/>
      <w:kern w:val="0"/>
      <w:sz w:val="24"/>
      <w:szCs w:val="20"/>
    </w:rPr>
  </w:style>
  <w:style w:type="paragraph" w:customStyle="1" w:styleId="4fe">
    <w:name w:val="表－4号字"/>
    <w:qFormat/>
    <w:pPr>
      <w:spacing w:after="160" w:line="278" w:lineRule="auto"/>
    </w:pPr>
  </w:style>
  <w:style w:type="paragraph" w:customStyle="1" w:styleId="affffffffffffffffffffffffffffe">
    <w:name w:val="表里文字"/>
    <w:basedOn w:val="a7"/>
    <w:qFormat/>
    <w:pPr>
      <w:adjustRightInd w:val="0"/>
      <w:snapToGrid w:val="0"/>
      <w:spacing w:after="160" w:line="240" w:lineRule="atLeast"/>
      <w:jc w:val="left"/>
    </w:pPr>
    <w:rPr>
      <w:rFonts w:ascii="宋体" w:hAnsi="宋体"/>
      <w:kern w:val="0"/>
      <w:szCs w:val="20"/>
    </w:rPr>
  </w:style>
  <w:style w:type="paragraph" w:customStyle="1" w:styleId="2ffffe">
    <w:name w:val="设计著录宋2"/>
    <w:basedOn w:val="2fff2"/>
    <w:next w:val="a7"/>
    <w:qFormat/>
    <w:pPr>
      <w:adjustRightInd w:val="0"/>
      <w:ind w:firstLineChars="300" w:firstLine="300"/>
      <w:jc w:val="both"/>
    </w:pPr>
    <w:rPr>
      <w:rFonts w:ascii="Times New Roman" w:eastAsia="华文中宋" w:hAnsi="Times New Roman"/>
      <w:kern w:val="4"/>
    </w:rPr>
  </w:style>
  <w:style w:type="paragraph" w:customStyle="1" w:styleId="afffffffffffffffffffffffffffff">
    <w:name w:val="小五表文"/>
    <w:uiPriority w:val="99"/>
    <w:qFormat/>
    <w:pPr>
      <w:widowControl w:val="0"/>
      <w:spacing w:after="160" w:line="278" w:lineRule="auto"/>
      <w:jc w:val="both"/>
    </w:pPr>
    <w:rPr>
      <w:rFonts w:ascii="宋体" w:hAnsi="宋体"/>
      <w:kern w:val="2"/>
      <w:sz w:val="21"/>
    </w:rPr>
  </w:style>
  <w:style w:type="paragraph" w:customStyle="1" w:styleId="F0">
    <w:name w:val="F正文"/>
    <w:uiPriority w:val="99"/>
    <w:qFormat/>
    <w:pPr>
      <w:widowControl w:val="0"/>
      <w:adjustRightInd w:val="0"/>
      <w:spacing w:after="160" w:line="360" w:lineRule="atLeast"/>
      <w:textAlignment w:val="baseline"/>
    </w:pPr>
    <w:rPr>
      <w:spacing w:val="12"/>
      <w:sz w:val="24"/>
    </w:rPr>
  </w:style>
  <w:style w:type="paragraph" w:customStyle="1" w:styleId="3ff9">
    <w:name w:val="大华农3级标题"/>
    <w:basedOn w:val="a7"/>
    <w:qFormat/>
    <w:pPr>
      <w:keepNext/>
      <w:keepLines/>
      <w:spacing w:before="120" w:after="120" w:line="360" w:lineRule="auto"/>
      <w:outlineLvl w:val="2"/>
    </w:pPr>
    <w:rPr>
      <w:b/>
      <w:bCs/>
      <w:sz w:val="28"/>
      <w:szCs w:val="32"/>
    </w:rPr>
  </w:style>
  <w:style w:type="paragraph" w:customStyle="1" w:styleId="xl173">
    <w:name w:val="xl173"/>
    <w:basedOn w:val="a7"/>
    <w:qFormat/>
    <w:pPr>
      <w:widowControl/>
      <w:pBdr>
        <w:bottom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1a">
    <w:name w:val="列出段落11"/>
    <w:basedOn w:val="a7"/>
    <w:uiPriority w:val="99"/>
    <w:qFormat/>
    <w:pPr>
      <w:spacing w:after="160" w:line="360" w:lineRule="auto"/>
      <w:ind w:firstLineChars="200" w:firstLine="420"/>
    </w:pPr>
    <w:rPr>
      <w:kern w:val="0"/>
      <w:sz w:val="24"/>
      <w:szCs w:val="20"/>
    </w:rPr>
  </w:style>
  <w:style w:type="paragraph" w:customStyle="1" w:styleId="afffffffffffffffffffffffffffff0">
    <w:name w:val="附录表标题"/>
    <w:basedOn w:val="a7"/>
    <w:next w:val="a7"/>
    <w:qFormat/>
    <w:pPr>
      <w:tabs>
        <w:tab w:val="left" w:pos="180"/>
        <w:tab w:val="left" w:pos="2040"/>
      </w:tabs>
      <w:spacing w:beforeLines="50" w:afterLines="50" w:after="160" w:line="278" w:lineRule="auto"/>
      <w:jc w:val="center"/>
    </w:pPr>
    <w:rPr>
      <w:rFonts w:ascii="黑体" w:eastAsia="黑体"/>
    </w:rPr>
  </w:style>
  <w:style w:type="paragraph" w:customStyle="1" w:styleId="Fu01">
    <w:name w:val="样式Fu01"/>
    <w:basedOn w:val="a7"/>
    <w:uiPriority w:val="99"/>
    <w:qFormat/>
    <w:pPr>
      <w:autoSpaceDE w:val="0"/>
      <w:autoSpaceDN w:val="0"/>
      <w:adjustRightInd w:val="0"/>
      <w:spacing w:before="40" w:after="40" w:line="0" w:lineRule="atLeast"/>
      <w:jc w:val="left"/>
    </w:pPr>
    <w:rPr>
      <w:rFonts w:ascii="幼圆" w:eastAsia="幼圆"/>
      <w:snapToGrid w:val="0"/>
      <w:kern w:val="0"/>
    </w:rPr>
  </w:style>
  <w:style w:type="paragraph" w:customStyle="1" w:styleId="1523">
    <w:name w:val="样式 样式 宋体 行距: 1.5 倍行距 + 首行缩进:  2 字符"/>
    <w:basedOn w:val="a7"/>
    <w:qFormat/>
    <w:pPr>
      <w:spacing w:after="160" w:line="278" w:lineRule="auto"/>
      <w:ind w:firstLineChars="200" w:firstLine="480"/>
    </w:pPr>
    <w:rPr>
      <w:rFonts w:ascii="宋体" w:hAnsi="宋体" w:cs="宋体"/>
      <w:szCs w:val="20"/>
    </w:rPr>
  </w:style>
  <w:style w:type="paragraph" w:customStyle="1" w:styleId="312">
    <w:name w:val="正文文本 312"/>
    <w:basedOn w:val="a7"/>
    <w:qFormat/>
    <w:pPr>
      <w:adjustRightInd w:val="0"/>
      <w:spacing w:after="160" w:line="360" w:lineRule="atLeast"/>
      <w:ind w:firstLine="482"/>
      <w:jc w:val="center"/>
      <w:textAlignment w:val="baseline"/>
    </w:pPr>
    <w:rPr>
      <w:rFonts w:ascii="仿宋体" w:eastAsia="仿宋体" w:hAnsi="宋体"/>
      <w:kern w:val="0"/>
      <w:sz w:val="24"/>
      <w:szCs w:val="20"/>
    </w:rPr>
  </w:style>
  <w:style w:type="paragraph" w:customStyle="1" w:styleId="07412">
    <w:name w:val="样式 居中 左侧:  0.74 厘米 行距: 固定值 12 磅"/>
    <w:basedOn w:val="a7"/>
    <w:next w:val="a7"/>
    <w:qFormat/>
    <w:pPr>
      <w:adjustRightInd w:val="0"/>
      <w:snapToGrid w:val="0"/>
      <w:spacing w:after="160" w:line="240" w:lineRule="exact"/>
      <w:ind w:firstLine="482"/>
      <w:jc w:val="center"/>
    </w:pPr>
    <w:rPr>
      <w:rFonts w:cs="宋体"/>
      <w:kern w:val="0"/>
      <w:sz w:val="24"/>
      <w:szCs w:val="20"/>
    </w:rPr>
  </w:style>
  <w:style w:type="paragraph" w:customStyle="1" w:styleId="NormalWeb1">
    <w:name w:val="Normal (Web)1"/>
    <w:basedOn w:val="a7"/>
    <w:uiPriority w:val="99"/>
    <w:qFormat/>
    <w:pPr>
      <w:widowControl/>
      <w:spacing w:before="100" w:beforeAutospacing="1" w:after="100" w:afterAutospacing="1" w:line="278" w:lineRule="auto"/>
      <w:jc w:val="left"/>
    </w:pPr>
    <w:rPr>
      <w:rFonts w:ascii="宋体" w:hAnsi="宋体"/>
      <w:kern w:val="0"/>
      <w:sz w:val="24"/>
      <w:szCs w:val="20"/>
    </w:rPr>
  </w:style>
  <w:style w:type="paragraph" w:customStyle="1" w:styleId="A11">
    <w:name w:val="A版式1.1"/>
    <w:basedOn w:val="a7"/>
    <w:qFormat/>
    <w:pPr>
      <w:spacing w:after="160" w:line="480" w:lineRule="auto"/>
      <w:jc w:val="left"/>
    </w:pPr>
    <w:rPr>
      <w:rFonts w:ascii="宋体" w:hAnsi="宋体"/>
      <w:b/>
      <w:sz w:val="28"/>
    </w:rPr>
  </w:style>
  <w:style w:type="paragraph" w:customStyle="1" w:styleId="xl328">
    <w:name w:val="xl328"/>
    <w:basedOn w:val="a7"/>
    <w:qFormat/>
    <w:pPr>
      <w:widowControl/>
      <w:pBdr>
        <w:left w:val="single" w:sz="4" w:space="0" w:color="auto"/>
        <w:bottom w:val="single" w:sz="8"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afffffffffffffffffffffffffffff1">
    <w:name w:val="(a)"/>
    <w:basedOn w:val="777777777CharChar"/>
    <w:qFormat/>
  </w:style>
  <w:style w:type="paragraph" w:customStyle="1" w:styleId="1GB2312">
    <w:name w:val="样式 标题 1 + 楷体_GB2312"/>
    <w:basedOn w:val="1"/>
    <w:qFormat/>
    <w:pPr>
      <w:keepNext/>
      <w:widowControl/>
      <w:numPr>
        <w:numId w:val="0"/>
      </w:numPr>
      <w:snapToGrid/>
      <w:spacing w:beforeLines="0" w:before="340" w:after="330" w:line="578" w:lineRule="auto"/>
      <w:jc w:val="center"/>
    </w:pPr>
    <w:rPr>
      <w:rFonts w:ascii="楷体_GB2312" w:eastAsia="楷体_GB2312" w:hAnsi="楷体_GB2312"/>
      <w:b/>
      <w:bCs/>
      <w:sz w:val="32"/>
      <w:szCs w:val="32"/>
      <w:lang w:val="zh-CN"/>
    </w:rPr>
  </w:style>
  <w:style w:type="paragraph" w:customStyle="1" w:styleId="2H211lxb211h2Char7">
    <w:name w:val="样式 标题 2节H2节标题 1.1二级标题标题 lxb21.1h2第一层条二级标题 Char表标题单位名...7"/>
    <w:basedOn w:val="a7"/>
    <w:qFormat/>
    <w:pPr>
      <w:tabs>
        <w:tab w:val="left" w:pos="1320"/>
      </w:tabs>
      <w:spacing w:beforeLines="50" w:after="160" w:line="360" w:lineRule="auto"/>
      <w:ind w:left="578" w:hanging="578"/>
      <w:outlineLvl w:val="1"/>
    </w:pPr>
    <w:rPr>
      <w:rFonts w:ascii="黑体" w:eastAsia="黑体" w:cs="宋体"/>
      <w:b/>
      <w:bCs/>
      <w:sz w:val="30"/>
      <w:szCs w:val="20"/>
    </w:rPr>
  </w:style>
  <w:style w:type="paragraph" w:customStyle="1" w:styleId="CharCharCharCharCharCharCharChar2CharCharCharCharCharCharCharCharCharCharCharCharCharCharCharCharCharCharChar">
    <w:name w:val="Char Char Char Char Char Char Char Char2 Char Char Char Char Char Char Char Char Char Char Char Char Char Char Char Char Char Char Char"/>
    <w:basedOn w:val="a7"/>
    <w:next w:val="a7"/>
    <w:semiHidden/>
    <w:qFormat/>
    <w:pPr>
      <w:spacing w:after="160" w:line="336" w:lineRule="auto"/>
      <w:ind w:firstLineChars="200" w:firstLine="200"/>
    </w:pPr>
    <w:rPr>
      <w:rFonts w:ascii="宋体" w:eastAsia="汉鼎简书宋" w:hAnsi="宋体" w:cs="宋体"/>
      <w:spacing w:val="4"/>
      <w:sz w:val="24"/>
    </w:rPr>
  </w:style>
  <w:style w:type="paragraph" w:customStyle="1" w:styleId="CM74">
    <w:name w:val="CM74"/>
    <w:basedOn w:val="Default"/>
    <w:next w:val="Default"/>
    <w:qFormat/>
    <w:pPr>
      <w:spacing w:after="333" w:line="278" w:lineRule="auto"/>
    </w:pPr>
    <w:rPr>
      <w:rFonts w:ascii="ST Kaiti" w:eastAsia="ST Kaiti" w:hAnsi="Calibri" w:cs="Times New Roman"/>
      <w:color w:val="auto"/>
    </w:rPr>
  </w:style>
  <w:style w:type="paragraph" w:customStyle="1" w:styleId="Level6">
    <w:name w:val="Level 6"/>
    <w:basedOn w:val="a7"/>
    <w:qFormat/>
    <w:pPr>
      <w:widowControl/>
      <w:tabs>
        <w:tab w:val="left" w:pos="3000"/>
      </w:tabs>
      <w:spacing w:after="240" w:line="264" w:lineRule="auto"/>
      <w:ind w:left="3000" w:hanging="420"/>
      <w:outlineLvl w:val="5"/>
    </w:pPr>
    <w:rPr>
      <w:rFonts w:ascii="Arial" w:hAnsi="Arial"/>
      <w:kern w:val="0"/>
      <w:sz w:val="20"/>
      <w:szCs w:val="20"/>
    </w:rPr>
  </w:style>
  <w:style w:type="paragraph" w:customStyle="1" w:styleId="afffffffffffffffffffffffffffff2">
    <w:name w:val="知尊恙复发，心甚念之。"/>
    <w:qFormat/>
    <w:pPr>
      <w:widowControl w:val="0"/>
      <w:spacing w:after="160" w:line="278" w:lineRule="auto"/>
      <w:jc w:val="both"/>
    </w:pPr>
    <w:rPr>
      <w:kern w:val="2"/>
      <w:sz w:val="21"/>
    </w:rPr>
  </w:style>
  <w:style w:type="paragraph" w:customStyle="1" w:styleId="1230">
    <w:name w:val="文本123"/>
    <w:basedOn w:val="af3"/>
    <w:uiPriority w:val="99"/>
    <w:qFormat/>
    <w:pPr>
      <w:tabs>
        <w:tab w:val="left" w:pos="3360"/>
      </w:tabs>
      <w:snapToGrid w:val="0"/>
      <w:spacing w:beforeLines="20" w:after="160" w:line="480" w:lineRule="exact"/>
      <w:ind w:left="3360" w:firstLineChars="0" w:hanging="420"/>
      <w:outlineLvl w:val="7"/>
    </w:pPr>
    <w:rPr>
      <w:rFonts w:cs="Times New Roman"/>
      <w:sz w:val="24"/>
    </w:rPr>
  </w:style>
  <w:style w:type="paragraph" w:customStyle="1" w:styleId="CharCharff1">
    <w:name w:val="首行缩进 Char Char"/>
    <w:basedOn w:val="a7"/>
    <w:uiPriority w:val="99"/>
    <w:qFormat/>
    <w:pPr>
      <w:snapToGrid w:val="0"/>
      <w:spacing w:after="160" w:line="360" w:lineRule="auto"/>
      <w:ind w:firstLine="499"/>
    </w:pPr>
    <w:rPr>
      <w:rFonts w:ascii="宋体"/>
      <w:sz w:val="24"/>
      <w:szCs w:val="20"/>
    </w:rPr>
  </w:style>
  <w:style w:type="paragraph" w:customStyle="1" w:styleId="CharCharChar1CharCharCharCharCharCharCharCharCharChar">
    <w:name w:val="Char Char Char1 Char Char Char Char Char Char Char Char Char Char"/>
    <w:basedOn w:val="a7"/>
    <w:qFormat/>
    <w:pPr>
      <w:spacing w:after="160" w:line="278" w:lineRule="auto"/>
    </w:pPr>
    <w:rPr>
      <w:sz w:val="24"/>
    </w:rPr>
  </w:style>
  <w:style w:type="paragraph" w:customStyle="1" w:styleId="00052203">
    <w:name w:val="样式 0005左缩2 + 首行缩进:  2 字符 段后: 0.3 行"/>
    <w:qFormat/>
    <w:pPr>
      <w:spacing w:after="160" w:line="278" w:lineRule="auto"/>
      <w:ind w:firstLine="560"/>
    </w:pPr>
    <w:rPr>
      <w:rFonts w:cs="宋体"/>
    </w:rPr>
  </w:style>
  <w:style w:type="paragraph" w:customStyle="1" w:styleId="00052">
    <w:name w:val="0005左缩2"/>
    <w:basedOn w:val="a7"/>
    <w:qFormat/>
    <w:pPr>
      <w:widowControl/>
      <w:autoSpaceDE w:val="0"/>
      <w:autoSpaceDN w:val="0"/>
      <w:adjustRightInd w:val="0"/>
      <w:spacing w:afterLines="30" w:after="93" w:line="500" w:lineRule="exact"/>
      <w:ind w:firstLineChars="200" w:firstLine="200"/>
    </w:pPr>
    <w:rPr>
      <w:rFonts w:ascii="宋体" w:hAnsi="宋体"/>
      <w:kern w:val="0"/>
      <w:sz w:val="28"/>
      <w:szCs w:val="28"/>
    </w:rPr>
  </w:style>
  <w:style w:type="paragraph" w:customStyle="1" w:styleId="0772044">
    <w:name w:val="样式 首行缩进:  0.77 厘米 行距: 固定值 20 磅44"/>
    <w:basedOn w:val="a7"/>
    <w:uiPriority w:val="99"/>
    <w:qFormat/>
    <w:pPr>
      <w:spacing w:after="160" w:line="360" w:lineRule="auto"/>
      <w:ind w:firstLineChars="200" w:firstLine="480"/>
    </w:pPr>
    <w:rPr>
      <w:sz w:val="24"/>
    </w:rPr>
  </w:style>
  <w:style w:type="paragraph" w:customStyle="1" w:styleId="afffffffffffffffffffffffffffff3">
    <w:name w:val="项目编号文字"/>
    <w:basedOn w:val="a7"/>
    <w:next w:val="af3"/>
    <w:qFormat/>
    <w:pPr>
      <w:spacing w:before="120" w:after="120" w:line="360" w:lineRule="auto"/>
      <w:ind w:left="1077"/>
    </w:pPr>
    <w:rPr>
      <w:sz w:val="24"/>
      <w:szCs w:val="20"/>
    </w:rPr>
  </w:style>
  <w:style w:type="paragraph" w:customStyle="1" w:styleId="unnamed3">
    <w:name w:val="unnamed3"/>
    <w:basedOn w:val="a7"/>
    <w:uiPriority w:val="99"/>
    <w:qFormat/>
    <w:pPr>
      <w:widowControl/>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0002">
    <w:name w:val="0002"/>
    <w:basedOn w:val="21"/>
    <w:qFormat/>
    <w:pPr>
      <w:keepNext/>
      <w:keepLines/>
      <w:numPr>
        <w:ilvl w:val="0"/>
        <w:numId w:val="0"/>
      </w:numPr>
      <w:snapToGrid/>
      <w:spacing w:before="312" w:afterLines="0" w:after="0"/>
    </w:pPr>
    <w:rPr>
      <w:rFonts w:ascii="宋体" w:eastAsia="楷体_GB2312" w:hAnsi="Arial"/>
      <w:smallCaps w:val="0"/>
      <w:color w:val="auto"/>
      <w:kern w:val="0"/>
      <w:szCs w:val="32"/>
    </w:rPr>
  </w:style>
  <w:style w:type="paragraph" w:customStyle="1" w:styleId="CharCharChar2CharCharCharChar">
    <w:name w:val="Char Char Char2 Char Char Char Char"/>
    <w:uiPriority w:val="99"/>
    <w:qFormat/>
    <w:pPr>
      <w:widowControl w:val="0"/>
      <w:spacing w:after="160" w:line="300" w:lineRule="auto"/>
      <w:ind w:firstLineChars="200" w:firstLine="480"/>
      <w:jc w:val="both"/>
    </w:pPr>
    <w:rPr>
      <w:rFonts w:eastAsia="仿宋_GB2312"/>
      <w:kern w:val="2"/>
      <w:sz w:val="24"/>
      <w:szCs w:val="24"/>
    </w:rPr>
  </w:style>
  <w:style w:type="paragraph" w:customStyle="1" w:styleId="AChar3">
    <w:name w:val="A版式正文 Char"/>
    <w:basedOn w:val="a7"/>
    <w:qFormat/>
    <w:pPr>
      <w:tabs>
        <w:tab w:val="left" w:pos="540"/>
      </w:tabs>
      <w:spacing w:after="160" w:line="360" w:lineRule="auto"/>
      <w:ind w:firstLineChars="200" w:firstLine="200"/>
    </w:pPr>
    <w:rPr>
      <w:rFonts w:ascii="宋体" w:hAnsi="宋体"/>
      <w:sz w:val="28"/>
    </w:rPr>
  </w:style>
  <w:style w:type="paragraph" w:customStyle="1" w:styleId="1fffff0">
    <w:name w:val="正文水资源论证1"/>
    <w:basedOn w:val="a7"/>
    <w:qFormat/>
    <w:pPr>
      <w:spacing w:after="160" w:line="520" w:lineRule="exact"/>
      <w:ind w:firstLineChars="200" w:firstLine="560"/>
    </w:pPr>
    <w:rPr>
      <w:rFonts w:ascii="宋体" w:hAnsi="宋体"/>
      <w:kern w:val="0"/>
      <w:sz w:val="28"/>
    </w:rPr>
  </w:style>
  <w:style w:type="paragraph" w:customStyle="1" w:styleId="240">
    <w:name w:val="样式 表格内容 + 行距: 固定值 24 磅"/>
    <w:basedOn w:val="afffffb"/>
    <w:next w:val="a7"/>
    <w:qFormat/>
    <w:pPr>
      <w:overflowPunct w:val="0"/>
      <w:adjustRightInd w:val="0"/>
      <w:spacing w:line="240" w:lineRule="exact"/>
      <w:ind w:firstLine="482"/>
    </w:pPr>
    <w:rPr>
      <w:rFonts w:cs="宋体"/>
      <w:color w:val="auto"/>
      <w:kern w:val="0"/>
      <w:sz w:val="24"/>
      <w:szCs w:val="20"/>
    </w:rPr>
  </w:style>
  <w:style w:type="paragraph" w:customStyle="1" w:styleId="xl172">
    <w:name w:val="xl172"/>
    <w:basedOn w:val="a7"/>
    <w:qFormat/>
    <w:pPr>
      <w:widowControl/>
      <w:pBdr>
        <w:left w:val="single" w:sz="4" w:space="0" w:color="auto"/>
        <w:bottom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5fe">
    <w:name w:val="表文5号"/>
    <w:basedOn w:val="a7"/>
    <w:qFormat/>
    <w:pPr>
      <w:snapToGrid w:val="0"/>
      <w:spacing w:after="160" w:line="360" w:lineRule="auto"/>
      <w:ind w:firstLineChars="200" w:firstLine="420"/>
      <w:jc w:val="center"/>
    </w:pPr>
    <w:rPr>
      <w:sz w:val="24"/>
    </w:rPr>
  </w:style>
  <w:style w:type="paragraph" w:customStyle="1" w:styleId="2GB231278">
    <w:name w:val="样式 标题 2 + 楷体_GB2312 四号 段前: 7.8 磅"/>
    <w:basedOn w:val="21"/>
    <w:uiPriority w:val="99"/>
    <w:qFormat/>
    <w:pPr>
      <w:keepNext/>
      <w:keepLines/>
      <w:numPr>
        <w:ilvl w:val="0"/>
        <w:numId w:val="0"/>
      </w:numPr>
      <w:tabs>
        <w:tab w:val="left" w:pos="0"/>
      </w:tabs>
      <w:spacing w:beforeLines="50" w:beforeAutospacing="1" w:afterLines="50" w:afterAutospacing="1"/>
    </w:pPr>
    <w:rPr>
      <w:rFonts w:ascii="楷体_GB2312" w:eastAsia="楷体_GB2312" w:hAnsi="Arial" w:cs="宋体"/>
      <w:b w:val="0"/>
      <w:smallCaps w:val="0"/>
      <w:color w:val="auto"/>
      <w:kern w:val="0"/>
      <w:sz w:val="28"/>
      <w:szCs w:val="20"/>
    </w:rPr>
  </w:style>
  <w:style w:type="paragraph" w:customStyle="1" w:styleId="2fffff">
    <w:name w:val="蒲标题2"/>
    <w:basedOn w:val="21"/>
    <w:qFormat/>
    <w:pPr>
      <w:keepNext/>
      <w:keepLines/>
      <w:numPr>
        <w:ilvl w:val="0"/>
        <w:numId w:val="0"/>
      </w:numPr>
      <w:autoSpaceDE w:val="0"/>
      <w:autoSpaceDN w:val="0"/>
      <w:spacing w:beforeLines="0" w:before="0" w:afterLines="0" w:after="0"/>
      <w:outlineLvl w:val="0"/>
    </w:pPr>
    <w:rPr>
      <w:rFonts w:eastAsia="楷体_GB2312"/>
      <w:smallCaps w:val="0"/>
      <w:color w:val="000000"/>
      <w:kern w:val="0"/>
      <w:sz w:val="24"/>
      <w:szCs w:val="24"/>
    </w:rPr>
  </w:style>
  <w:style w:type="paragraph" w:customStyle="1" w:styleId="afffffffffffffffffffffffffffff4">
    <w:name w:val="加粗"/>
    <w:basedOn w:val="a7"/>
    <w:qFormat/>
    <w:pPr>
      <w:spacing w:beforeLines="20" w:afterLines="20" w:after="160" w:line="360" w:lineRule="auto"/>
      <w:ind w:firstLineChars="200" w:firstLine="200"/>
    </w:pPr>
    <w:rPr>
      <w:b/>
      <w:szCs w:val="30"/>
    </w:rPr>
  </w:style>
  <w:style w:type="paragraph" w:customStyle="1" w:styleId="220505">
    <w:name w:val="样式 样式 标题 2 + 宋体 小二 首行缩进:  2 字符 + 段前: 0.5 行 段后: 0.5 行"/>
    <w:basedOn w:val="a7"/>
    <w:qFormat/>
    <w:pPr>
      <w:keepNext/>
      <w:keepLines/>
      <w:spacing w:beforeLines="50" w:before="156" w:after="160" w:line="360" w:lineRule="auto"/>
      <w:ind w:firstLine="482"/>
      <w:outlineLvl w:val="1"/>
    </w:pPr>
    <w:rPr>
      <w:rFonts w:ascii="宋体" w:hAnsi="宋体" w:cs="宋体"/>
      <w:b/>
      <w:bCs/>
      <w:kern w:val="0"/>
      <w:sz w:val="32"/>
      <w:szCs w:val="20"/>
    </w:rPr>
  </w:style>
  <w:style w:type="paragraph" w:customStyle="1" w:styleId="CharCharCharChar1CharCharCharCharCharChar">
    <w:name w:val="Char Char Char Char1 Char Char Char Char Char Char"/>
    <w:basedOn w:val="a7"/>
    <w:next w:val="a7"/>
    <w:qFormat/>
    <w:pPr>
      <w:spacing w:after="160" w:line="360" w:lineRule="auto"/>
      <w:ind w:firstLineChars="200" w:firstLine="200"/>
    </w:pPr>
    <w:rPr>
      <w:rFonts w:ascii="宋体" w:hAnsi="宋体" w:cs="宋体"/>
      <w:sz w:val="24"/>
    </w:rPr>
  </w:style>
  <w:style w:type="paragraph" w:customStyle="1" w:styleId="1fffff1">
    <w:name w:val="文本块1"/>
    <w:basedOn w:val="a7"/>
    <w:uiPriority w:val="99"/>
    <w:qFormat/>
    <w:pPr>
      <w:widowControl/>
      <w:overflowPunct w:val="0"/>
      <w:autoSpaceDE w:val="0"/>
      <w:autoSpaceDN w:val="0"/>
      <w:adjustRightInd w:val="0"/>
      <w:snapToGrid w:val="0"/>
      <w:spacing w:before="100" w:after="100" w:line="278" w:lineRule="auto"/>
      <w:jc w:val="left"/>
      <w:textAlignment w:val="baseline"/>
    </w:pPr>
    <w:rPr>
      <w:kern w:val="0"/>
      <w:sz w:val="22"/>
      <w:szCs w:val="20"/>
      <w:lang w:eastAsia="en-US"/>
    </w:rPr>
  </w:style>
  <w:style w:type="paragraph" w:customStyle="1" w:styleId="afffffffffffffffffffffffffffff5">
    <w:name w:val="文号"/>
    <w:basedOn w:val="a7"/>
    <w:qFormat/>
    <w:pPr>
      <w:adjustRightInd w:val="0"/>
      <w:spacing w:before="120" w:after="160" w:line="437" w:lineRule="atLeast"/>
      <w:jc w:val="center"/>
      <w:textAlignment w:val="baseline"/>
    </w:pPr>
    <w:rPr>
      <w:rFonts w:ascii="宋体" w:hAnsi="Arial"/>
      <w:b/>
      <w:color w:val="000000"/>
      <w:spacing w:val="20"/>
      <w:kern w:val="16"/>
      <w:sz w:val="28"/>
      <w:szCs w:val="20"/>
    </w:rPr>
  </w:style>
  <w:style w:type="paragraph" w:customStyle="1" w:styleId="afffffffffffffffffffffffffffff6">
    <w:name w:val="中文表标题"/>
    <w:basedOn w:val="a7"/>
    <w:next w:val="a7"/>
    <w:uiPriority w:val="99"/>
    <w:qFormat/>
    <w:pPr>
      <w:keepNext/>
      <w:widowControl/>
      <w:overflowPunct w:val="0"/>
      <w:adjustRightInd w:val="0"/>
      <w:snapToGrid w:val="0"/>
      <w:spacing w:before="480" w:after="360" w:line="500" w:lineRule="exact"/>
      <w:ind w:firstLineChars="200" w:firstLine="200"/>
      <w:jc w:val="center"/>
      <w:textAlignment w:val="baseline"/>
    </w:pPr>
    <w:rPr>
      <w:rFonts w:eastAsia="仿宋_GB2312"/>
      <w:kern w:val="0"/>
      <w:sz w:val="28"/>
      <w:szCs w:val="20"/>
    </w:rPr>
  </w:style>
  <w:style w:type="paragraph" w:customStyle="1" w:styleId="CharCharChar1CharCharCharCharCharCharCharCharCharCharCharCharCharCharCharChar">
    <w:name w:val="Char Char Char1 Char Char Char Char Char Char Char Char Char Char Char Char Char Char Char Char"/>
    <w:basedOn w:val="a7"/>
    <w:qFormat/>
    <w:pPr>
      <w:spacing w:after="160" w:line="360" w:lineRule="auto"/>
      <w:ind w:firstLineChars="200" w:firstLine="200"/>
    </w:pPr>
    <w:rPr>
      <w:szCs w:val="20"/>
    </w:rPr>
  </w:style>
  <w:style w:type="paragraph" w:customStyle="1" w:styleId="CM66">
    <w:name w:val="CM66"/>
    <w:basedOn w:val="Default"/>
    <w:next w:val="Default"/>
    <w:qFormat/>
    <w:pPr>
      <w:spacing w:after="830" w:line="278" w:lineRule="auto"/>
    </w:pPr>
    <w:rPr>
      <w:rFonts w:ascii="Times New Roman" w:hAnsi="Times New Roman" w:cs="Times New Roman"/>
      <w:color w:val="auto"/>
      <w:kern w:val="2"/>
    </w:rPr>
  </w:style>
  <w:style w:type="paragraph" w:customStyle="1" w:styleId="126">
    <w:name w:val="表1表2"/>
    <w:basedOn w:val="a7"/>
    <w:qFormat/>
    <w:pPr>
      <w:autoSpaceDE w:val="0"/>
      <w:autoSpaceDN w:val="0"/>
      <w:adjustRightInd w:val="0"/>
      <w:spacing w:after="160" w:line="360" w:lineRule="auto"/>
      <w:jc w:val="center"/>
      <w:textAlignment w:val="center"/>
    </w:pPr>
    <w:rPr>
      <w:rFonts w:eastAsia="仿宋体"/>
      <w:kern w:val="0"/>
      <w:sz w:val="24"/>
    </w:rPr>
  </w:style>
  <w:style w:type="paragraph" w:customStyle="1" w:styleId="218">
    <w:name w:val="样式 样式 首行缩进:  2 字符 + 居中1"/>
    <w:basedOn w:val="2f7"/>
    <w:qFormat/>
    <w:pPr>
      <w:spacing w:after="160" w:line="500" w:lineRule="exact"/>
      <w:ind w:firstLineChars="0" w:firstLine="0"/>
      <w:jc w:val="center"/>
    </w:pPr>
    <w:rPr>
      <w:rFonts w:ascii="宋体" w:hAnsi="宋体" w:cs="Times New Roman"/>
      <w:kern w:val="0"/>
      <w:sz w:val="28"/>
      <w:szCs w:val="28"/>
    </w:rPr>
  </w:style>
  <w:style w:type="paragraph" w:customStyle="1" w:styleId="afffffffffffffffffffffffffffff7">
    <w:name w:val="文章附标题"/>
    <w:basedOn w:val="a7"/>
    <w:uiPriority w:val="99"/>
    <w:qFormat/>
    <w:pPr>
      <w:widowControl/>
      <w:spacing w:before="187" w:after="175" w:line="374" w:lineRule="atLeast"/>
      <w:ind w:firstLine="482"/>
      <w:jc w:val="center"/>
      <w:textAlignment w:val="baseline"/>
    </w:pPr>
    <w:rPr>
      <w:color w:val="000000"/>
      <w:kern w:val="0"/>
      <w:sz w:val="36"/>
      <w:szCs w:val="20"/>
      <w:u w:color="000000"/>
    </w:rPr>
  </w:style>
  <w:style w:type="paragraph" w:customStyle="1" w:styleId="afffffffffffffffffffffffffffff8">
    <w:name w:val="章标题"/>
    <w:next w:val="a7"/>
    <w:qFormat/>
    <w:pPr>
      <w:tabs>
        <w:tab w:val="left" w:pos="903"/>
      </w:tabs>
      <w:spacing w:before="50" w:after="50" w:line="278" w:lineRule="auto"/>
      <w:ind w:left="903" w:hanging="315"/>
      <w:jc w:val="both"/>
      <w:outlineLvl w:val="1"/>
    </w:pPr>
    <w:rPr>
      <w:rFonts w:ascii="黑体" w:eastAsia="黑体"/>
      <w:sz w:val="21"/>
    </w:rPr>
  </w:style>
  <w:style w:type="paragraph" w:customStyle="1" w:styleId="CharCharCharCharCharCharCharCharCharChar3">
    <w:name w:val="Char Char Char Char Char Char Char Char Char Char3"/>
    <w:basedOn w:val="a7"/>
    <w:next w:val="a7"/>
    <w:qFormat/>
    <w:pPr>
      <w:spacing w:after="160" w:line="360" w:lineRule="auto"/>
      <w:ind w:firstLineChars="200" w:firstLine="200"/>
    </w:pPr>
    <w:rPr>
      <w:rFonts w:ascii="宋体" w:hAnsi="宋体" w:cs="宋体"/>
      <w:sz w:val="24"/>
    </w:rPr>
  </w:style>
  <w:style w:type="paragraph" w:customStyle="1" w:styleId="5ff">
    <w:name w:val="河石管道 表格正文5"/>
    <w:qFormat/>
    <w:pPr>
      <w:spacing w:after="160" w:line="0" w:lineRule="atLeast"/>
      <w:jc w:val="both"/>
    </w:pPr>
    <w:rPr>
      <w:kern w:val="2"/>
      <w:sz w:val="18"/>
    </w:rPr>
  </w:style>
  <w:style w:type="paragraph" w:customStyle="1" w:styleId="CharCharChar1CharCharCharCharChar">
    <w:name w:val="正文文本最新 Char Char Char1 Char Char Char Char Char"/>
    <w:qFormat/>
    <w:pPr>
      <w:spacing w:after="160" w:line="360" w:lineRule="auto"/>
      <w:ind w:firstLineChars="200" w:firstLine="200"/>
      <w:jc w:val="both"/>
    </w:pPr>
    <w:rPr>
      <w:bCs/>
      <w:kern w:val="2"/>
      <w:sz w:val="28"/>
      <w:szCs w:val="24"/>
    </w:rPr>
  </w:style>
  <w:style w:type="paragraph" w:customStyle="1" w:styleId="22H2h2SeHeadwsa2ChapterTitleChapter1">
    <w:name w:val="样式 标题 2标题2H2h2第一层条一级条SeHead wsa2Chapter TitleChapter1...."/>
    <w:basedOn w:val="21"/>
    <w:qFormat/>
    <w:pPr>
      <w:keepNext/>
      <w:keepLines/>
      <w:numPr>
        <w:ilvl w:val="0"/>
        <w:numId w:val="0"/>
      </w:numPr>
      <w:tabs>
        <w:tab w:val="left" w:pos="851"/>
      </w:tabs>
      <w:spacing w:beforeLines="0" w:before="480" w:afterLines="0" w:after="120"/>
      <w:ind w:left="576" w:hanging="576"/>
      <w:jc w:val="both"/>
    </w:pPr>
    <w:rPr>
      <w:rFonts w:ascii="宋体" w:eastAsia="宋体" w:hAnsi="宋体"/>
      <w:smallCaps w:val="0"/>
      <w:color w:val="auto"/>
    </w:rPr>
  </w:style>
  <w:style w:type="paragraph" w:customStyle="1" w:styleId="021">
    <w:name w:val="标题02"/>
    <w:basedOn w:val="a7"/>
    <w:qFormat/>
    <w:pPr>
      <w:tabs>
        <w:tab w:val="left" w:pos="480"/>
      </w:tabs>
      <w:snapToGrid w:val="0"/>
      <w:spacing w:after="160" w:line="440" w:lineRule="atLeast"/>
      <w:ind w:left="476" w:hanging="357"/>
      <w:outlineLvl w:val="1"/>
    </w:pPr>
    <w:rPr>
      <w:b/>
      <w:sz w:val="24"/>
      <w:szCs w:val="20"/>
    </w:rPr>
  </w:style>
  <w:style w:type="paragraph" w:customStyle="1" w:styleId="Style81">
    <w:name w:val="Style81"/>
    <w:basedOn w:val="a7"/>
    <w:qFormat/>
    <w:pPr>
      <w:adjustRightInd w:val="0"/>
      <w:spacing w:after="160" w:line="466" w:lineRule="exact"/>
      <w:ind w:firstLine="610"/>
      <w:jc w:val="left"/>
    </w:pPr>
    <w:rPr>
      <w:rFonts w:ascii="宋体"/>
      <w:kern w:val="0"/>
      <w:sz w:val="24"/>
    </w:rPr>
  </w:style>
  <w:style w:type="paragraph" w:customStyle="1" w:styleId="03615">
    <w:name w:val="样式 小四 黑色 首行缩进:  0.36 厘米 行距: 1.5 倍行距"/>
    <w:basedOn w:val="a7"/>
    <w:qFormat/>
    <w:pPr>
      <w:spacing w:after="160" w:line="360" w:lineRule="auto"/>
    </w:pPr>
    <w:rPr>
      <w:color w:val="000000"/>
      <w:sz w:val="24"/>
      <w:szCs w:val="2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7"/>
    <w:uiPriority w:val="99"/>
    <w:qFormat/>
    <w:pPr>
      <w:spacing w:after="160" w:line="360" w:lineRule="auto"/>
      <w:ind w:firstLineChars="200" w:firstLine="200"/>
    </w:pPr>
    <w:rPr>
      <w:rFonts w:eastAsia="黑体"/>
      <w:sz w:val="28"/>
      <w:szCs w:val="28"/>
    </w:rPr>
  </w:style>
  <w:style w:type="paragraph" w:customStyle="1" w:styleId="6180">
    <w:name w:val="有段前行距6.18加粗"/>
    <w:basedOn w:val="a7"/>
    <w:qFormat/>
    <w:pPr>
      <w:spacing w:beforeLines="50" w:after="160" w:line="360" w:lineRule="auto"/>
    </w:pPr>
    <w:rPr>
      <w:rFonts w:ascii="仿宋_GB2312" w:eastAsia="仿宋_GB2312" w:hAnsi="宋体" w:cs="Arial"/>
      <w:b/>
      <w:szCs w:val="28"/>
    </w:rPr>
  </w:style>
  <w:style w:type="paragraph" w:customStyle="1" w:styleId="afffffffffffffffffffffffffffff9">
    <w:name w:val="单元格"/>
    <w:basedOn w:val="a7"/>
    <w:qFormat/>
    <w:pPr>
      <w:spacing w:after="160" w:line="360" w:lineRule="auto"/>
      <w:ind w:firstLineChars="200" w:firstLine="420"/>
      <w:jc w:val="center"/>
    </w:pPr>
    <w:rPr>
      <w:rFonts w:ascii="楷体_GB2312" w:eastAsia="楷体_GB2312"/>
      <w:sz w:val="24"/>
      <w:szCs w:val="20"/>
    </w:rPr>
  </w:style>
  <w:style w:type="paragraph" w:customStyle="1" w:styleId="afffffffffffffffffffffffffffffa">
    <w:name w:val="我的文本"/>
    <w:qFormat/>
    <w:pPr>
      <w:adjustRightInd w:val="0"/>
      <w:snapToGrid w:val="0"/>
      <w:spacing w:after="160" w:line="360" w:lineRule="auto"/>
      <w:ind w:firstLineChars="200" w:firstLine="200"/>
      <w:jc w:val="both"/>
    </w:pPr>
    <w:rPr>
      <w:kern w:val="2"/>
      <w:sz w:val="24"/>
      <w:szCs w:val="21"/>
    </w:rPr>
  </w:style>
  <w:style w:type="paragraph" w:customStyle="1" w:styleId="nr">
    <w:name w:val="nr"/>
    <w:basedOn w:val="a7"/>
    <w:qFormat/>
    <w:pPr>
      <w:widowControl/>
      <w:spacing w:before="100" w:beforeAutospacing="1" w:after="100" w:afterAutospacing="1" w:line="320" w:lineRule="atLeast"/>
      <w:jc w:val="left"/>
    </w:pPr>
    <w:rPr>
      <w:rFonts w:ascii="宋体" w:hAnsi="宋体" w:hint="eastAsia"/>
      <w:color w:val="000000"/>
      <w:kern w:val="0"/>
      <w:sz w:val="22"/>
      <w:szCs w:val="22"/>
    </w:rPr>
  </w:style>
  <w:style w:type="paragraph" w:customStyle="1" w:styleId="0971">
    <w:name w:val="样式 表头 + 首行缩进:  0.97 厘米1"/>
    <w:basedOn w:val="afffa"/>
    <w:qFormat/>
    <w:pPr>
      <w:keepNext/>
      <w:adjustRightInd/>
      <w:spacing w:after="160" w:line="240" w:lineRule="auto"/>
      <w:ind w:left="0" w:rightChars="-45" w:right="-45" w:firstLineChars="0" w:firstLine="0"/>
      <w:jc w:val="center"/>
      <w:textAlignment w:val="auto"/>
    </w:pPr>
    <w:rPr>
      <w:rFonts w:ascii="黑体" w:eastAsia="黑体" w:cs="宋体"/>
      <w:kern w:val="2"/>
    </w:rPr>
  </w:style>
  <w:style w:type="paragraph" w:customStyle="1" w:styleId="CharCharCharCharCharChar1Char1">
    <w:name w:val="Char Char Char Char Char Char1 Char1"/>
    <w:basedOn w:val="a7"/>
    <w:qFormat/>
    <w:pPr>
      <w:spacing w:after="160" w:line="360" w:lineRule="auto"/>
      <w:ind w:firstLine="482"/>
    </w:pPr>
    <w:rPr>
      <w:kern w:val="0"/>
      <w:sz w:val="24"/>
    </w:rPr>
  </w:style>
  <w:style w:type="paragraph" w:customStyle="1" w:styleId="afffffffffffffffffffffffffffffb">
    <w:name w:val="节标题"/>
    <w:basedOn w:val="a7"/>
    <w:uiPriority w:val="99"/>
    <w:qFormat/>
    <w:pPr>
      <w:widowControl/>
      <w:spacing w:after="160" w:line="289" w:lineRule="atLeast"/>
      <w:ind w:firstLine="482"/>
      <w:jc w:val="center"/>
      <w:textAlignment w:val="baseline"/>
    </w:pPr>
    <w:rPr>
      <w:color w:val="000000"/>
      <w:kern w:val="0"/>
      <w:sz w:val="28"/>
      <w:szCs w:val="20"/>
      <w:u w:color="000000"/>
    </w:rPr>
  </w:style>
  <w:style w:type="paragraph" w:customStyle="1" w:styleId="032">
    <w:name w:val="样式 加粗 左侧:  0.32 厘米"/>
    <w:basedOn w:val="a7"/>
    <w:qFormat/>
    <w:pPr>
      <w:spacing w:after="160" w:line="500" w:lineRule="exact"/>
      <w:ind w:left="180" w:firstLine="482"/>
    </w:pPr>
    <w:rPr>
      <w:rFonts w:cs="宋体"/>
      <w:b/>
      <w:bCs/>
      <w:kern w:val="0"/>
      <w:sz w:val="28"/>
      <w:szCs w:val="20"/>
    </w:rPr>
  </w:style>
  <w:style w:type="paragraph" w:customStyle="1" w:styleId="afffffffffffffffffffffffffffffc">
    <w:name w:val="表格下方正文"/>
    <w:basedOn w:val="a7"/>
    <w:qFormat/>
    <w:pPr>
      <w:snapToGrid w:val="0"/>
      <w:spacing w:before="120" w:after="160" w:line="400" w:lineRule="exact"/>
      <w:ind w:firstLineChars="200" w:firstLine="200"/>
      <w:jc w:val="left"/>
    </w:pPr>
  </w:style>
  <w:style w:type="paragraph" w:customStyle="1" w:styleId="afffffffffffffffffffffffffffffd">
    <w:name w:val="一级"/>
    <w:basedOn w:val="a7"/>
    <w:qFormat/>
    <w:pPr>
      <w:keepNext/>
      <w:keepLines/>
      <w:spacing w:beforeLines="50" w:afterLines="50" w:after="160" w:line="360" w:lineRule="auto"/>
      <w:jc w:val="left"/>
      <w:outlineLvl w:val="0"/>
    </w:pPr>
    <w:rPr>
      <w:rFonts w:eastAsia="黑体" w:cs="宋体"/>
      <w:b/>
      <w:color w:val="000000"/>
      <w:kern w:val="44"/>
      <w:sz w:val="32"/>
      <w:szCs w:val="20"/>
    </w:rPr>
  </w:style>
  <w:style w:type="paragraph" w:customStyle="1" w:styleId="400">
    <w:name w:val="样式 标题 4 + 首行缩进:  0 字符"/>
    <w:basedOn w:val="41"/>
    <w:qFormat/>
    <w:pPr>
      <w:keepNext/>
      <w:keepLines/>
      <w:numPr>
        <w:ilvl w:val="0"/>
        <w:numId w:val="0"/>
      </w:numPr>
      <w:tabs>
        <w:tab w:val="clear" w:pos="864"/>
      </w:tabs>
      <w:spacing w:beforeLines="0" w:before="0" w:afterLines="0" w:after="0" w:line="320" w:lineRule="atLeast"/>
      <w:ind w:left="4680"/>
      <w:textAlignment w:val="auto"/>
    </w:pPr>
    <w:rPr>
      <w:rFonts w:eastAsia="宋体"/>
      <w:color w:val="auto"/>
      <w:spacing w:val="4"/>
      <w:kern w:val="0"/>
      <w:szCs w:val="20"/>
      <w:lang w:val="en-US"/>
    </w:rPr>
  </w:style>
  <w:style w:type="paragraph" w:customStyle="1" w:styleId="bt1">
    <w:name w:val="bt1"/>
    <w:basedOn w:val="a7"/>
    <w:qFormat/>
    <w:pPr>
      <w:spacing w:before="156" w:after="156" w:line="278" w:lineRule="auto"/>
    </w:pPr>
    <w:rPr>
      <w:rFonts w:ascii="宋体"/>
      <w:b/>
      <w:szCs w:val="20"/>
    </w:rPr>
  </w:style>
  <w:style w:type="paragraph" w:customStyle="1" w:styleId="xl168">
    <w:name w:val="xl168"/>
    <w:basedOn w:val="a7"/>
    <w:qFormat/>
    <w:pPr>
      <w:widowControl/>
      <w:pBdr>
        <w:bottom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xl131">
    <w:name w:val="xl131"/>
    <w:basedOn w:val="a7"/>
    <w:uiPriority w:val="99"/>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textAlignment w:val="center"/>
    </w:pPr>
    <w:rPr>
      <w:rFonts w:ascii="宋体" w:hAnsi="宋体" w:cs="宋体"/>
      <w:color w:val="1A1FE0"/>
      <w:kern w:val="0"/>
      <w:sz w:val="24"/>
    </w:rPr>
  </w:style>
  <w:style w:type="paragraph" w:customStyle="1" w:styleId="New">
    <w:name w:val="正文 New"/>
    <w:qFormat/>
    <w:pPr>
      <w:widowControl w:val="0"/>
      <w:spacing w:after="160" w:line="278" w:lineRule="auto"/>
      <w:jc w:val="both"/>
    </w:pPr>
    <w:rPr>
      <w:kern w:val="2"/>
      <w:sz w:val="21"/>
      <w:szCs w:val="24"/>
    </w:rPr>
  </w:style>
  <w:style w:type="paragraph" w:customStyle="1" w:styleId="xl207">
    <w:name w:val="xl207"/>
    <w:basedOn w:val="a7"/>
    <w:qFormat/>
    <w:pPr>
      <w:widowControl/>
      <w:pBdr>
        <w:top w:val="single" w:sz="4" w:space="0" w:color="auto"/>
        <w:bottom w:val="single" w:sz="4" w:space="0" w:color="auto"/>
        <w:right w:val="single" w:sz="8" w:space="0" w:color="auto"/>
      </w:pBdr>
      <w:shd w:val="clear" w:color="000000" w:fill="FFFFFF"/>
      <w:spacing w:before="100" w:beforeAutospacing="1" w:after="100" w:afterAutospacing="1" w:line="278" w:lineRule="auto"/>
      <w:jc w:val="left"/>
      <w:textAlignment w:val="center"/>
    </w:pPr>
    <w:rPr>
      <w:rFonts w:ascii="宋体" w:hAnsi="宋体" w:cs="宋体"/>
      <w:b/>
      <w:bCs/>
      <w:color w:val="000000"/>
      <w:kern w:val="0"/>
      <w:sz w:val="20"/>
      <w:szCs w:val="20"/>
    </w:rPr>
  </w:style>
  <w:style w:type="paragraph" w:customStyle="1" w:styleId="CharCharCharChar1CharCharCharCharCharChar1">
    <w:name w:val="Char Char Char Char1 Char Char Char Char Char Char1"/>
    <w:basedOn w:val="a7"/>
    <w:next w:val="a7"/>
    <w:semiHidden/>
    <w:qFormat/>
    <w:pPr>
      <w:spacing w:after="160" w:line="336" w:lineRule="auto"/>
      <w:ind w:firstLineChars="200" w:firstLine="200"/>
    </w:pPr>
    <w:rPr>
      <w:rFonts w:ascii="宋体" w:eastAsia="汉鼎简书宋" w:hAnsi="宋体" w:cs="宋体"/>
      <w:spacing w:val="4"/>
      <w:sz w:val="24"/>
    </w:rPr>
  </w:style>
  <w:style w:type="paragraph" w:customStyle="1" w:styleId="Style17">
    <w:name w:val="_Style 17"/>
    <w:qFormat/>
    <w:pPr>
      <w:widowControl w:val="0"/>
      <w:spacing w:after="160" w:line="278" w:lineRule="auto"/>
      <w:jc w:val="both"/>
    </w:pPr>
    <w:rPr>
      <w:rFonts w:ascii="Calibri" w:hAnsi="Calibri"/>
      <w:kern w:val="2"/>
      <w:sz w:val="21"/>
      <w:szCs w:val="22"/>
    </w:rPr>
  </w:style>
  <w:style w:type="paragraph" w:customStyle="1" w:styleId="1fffff2">
    <w:name w:val="样式 标题 1 +"/>
    <w:basedOn w:val="1"/>
    <w:qFormat/>
    <w:pPr>
      <w:keepNext/>
      <w:keepLines/>
      <w:numPr>
        <w:numId w:val="0"/>
      </w:numPr>
      <w:tabs>
        <w:tab w:val="left" w:pos="2040"/>
      </w:tabs>
      <w:snapToGrid/>
      <w:spacing w:beforeLines="0" w:before="0" w:after="160"/>
      <w:ind w:leftChars="800" w:left="2040" w:hangingChars="200" w:hanging="360"/>
    </w:pPr>
    <w:rPr>
      <w:rFonts w:eastAsia="黑体"/>
      <w:bCs/>
      <w:kern w:val="0"/>
      <w:sz w:val="32"/>
      <w:szCs w:val="20"/>
    </w:rPr>
  </w:style>
  <w:style w:type="paragraph" w:customStyle="1" w:styleId="20505">
    <w:name w:val="样式 样式 标题 2 + 段后: 0.5 行 + 段后: 0.5 行"/>
    <w:basedOn w:val="205"/>
    <w:qFormat/>
    <w:pPr>
      <w:keepNext/>
      <w:keepLines/>
      <w:numPr>
        <w:ilvl w:val="0"/>
        <w:numId w:val="0"/>
      </w:numPr>
      <w:tabs>
        <w:tab w:val="clear" w:pos="0"/>
        <w:tab w:val="clear" w:pos="630"/>
        <w:tab w:val="clear" w:pos="840"/>
        <w:tab w:val="clear" w:pos="1287"/>
        <w:tab w:val="clear" w:pos="2133"/>
        <w:tab w:val="clear" w:pos="3920"/>
        <w:tab w:val="clear" w:pos="5670"/>
        <w:tab w:val="left" w:pos="1200"/>
        <w:tab w:val="left" w:pos="4680"/>
      </w:tabs>
      <w:adjustRightInd/>
      <w:snapToGrid/>
      <w:spacing w:beforeLines="0" w:before="360" w:afterLines="100" w:after="260" w:line="415" w:lineRule="auto"/>
      <w:ind w:leftChars="800" w:left="1200" w:hangingChars="200" w:hanging="576"/>
      <w:jc w:val="center"/>
    </w:pPr>
    <w:rPr>
      <w:rFonts w:ascii="Arial" w:eastAsia="黑体" w:hAnsi="Arial"/>
      <w:bCs/>
      <w:color w:val="auto"/>
      <w:sz w:val="32"/>
      <w:szCs w:val="20"/>
    </w:rPr>
  </w:style>
  <w:style w:type="paragraph" w:customStyle="1" w:styleId="p15">
    <w:name w:val="p15"/>
    <w:basedOn w:val="a7"/>
    <w:uiPriority w:val="99"/>
    <w:qFormat/>
    <w:pPr>
      <w:widowControl/>
      <w:pBdr>
        <w:bottom w:val="single" w:sz="6" w:space="1" w:color="000000"/>
      </w:pBdr>
      <w:snapToGrid w:val="0"/>
      <w:spacing w:after="160" w:line="500" w:lineRule="atLeast"/>
      <w:ind w:firstLine="420"/>
      <w:jc w:val="center"/>
    </w:pPr>
    <w:rPr>
      <w:kern w:val="0"/>
      <w:sz w:val="18"/>
      <w:szCs w:val="18"/>
    </w:rPr>
  </w:style>
  <w:style w:type="paragraph" w:customStyle="1" w:styleId="1410">
    <w:name w:val="标题 1红4号1"/>
    <w:basedOn w:val="1"/>
    <w:qFormat/>
    <w:pPr>
      <w:keepNext/>
      <w:keepLines/>
      <w:numPr>
        <w:numId w:val="0"/>
      </w:numPr>
      <w:shd w:val="clear" w:color="auto" w:fill="FFFFFF"/>
      <w:tabs>
        <w:tab w:val="left" w:pos="210"/>
      </w:tabs>
      <w:kinsoku w:val="0"/>
      <w:overflowPunct w:val="0"/>
      <w:autoSpaceDE w:val="0"/>
      <w:autoSpaceDN w:val="0"/>
      <w:snapToGrid/>
      <w:spacing w:beforeLines="0" w:before="0" w:after="160" w:line="278" w:lineRule="auto"/>
      <w:ind w:firstLineChars="200" w:firstLine="200"/>
      <w:jc w:val="center"/>
    </w:pPr>
    <w:rPr>
      <w:rFonts w:ascii="宋体" w:eastAsia="楷体_GB2312" w:hAnsi="宋体"/>
      <w:b/>
      <w:color w:val="FF6600"/>
      <w:sz w:val="28"/>
      <w:szCs w:val="28"/>
    </w:rPr>
  </w:style>
  <w:style w:type="paragraph" w:customStyle="1" w:styleId="afffffffffffffffffffffffffffffe">
    <w:name w:val="湛江沥青表"/>
    <w:basedOn w:val="a7"/>
    <w:qFormat/>
    <w:pPr>
      <w:spacing w:after="160" w:line="278" w:lineRule="auto"/>
    </w:pPr>
    <w:rPr>
      <w:color w:val="000000"/>
    </w:rPr>
  </w:style>
  <w:style w:type="paragraph" w:customStyle="1" w:styleId="p17">
    <w:name w:val="p17"/>
    <w:basedOn w:val="a7"/>
    <w:uiPriority w:val="99"/>
    <w:qFormat/>
    <w:pPr>
      <w:widowControl/>
      <w:snapToGrid w:val="0"/>
      <w:spacing w:after="160" w:line="360" w:lineRule="auto"/>
      <w:jc w:val="center"/>
      <w:textAlignment w:val="baseline"/>
    </w:pPr>
    <w:rPr>
      <w:rFonts w:ascii="宋体" w:hAnsi="宋体"/>
      <w:kern w:val="0"/>
      <w:sz w:val="24"/>
      <w:szCs w:val="20"/>
    </w:rPr>
  </w:style>
  <w:style w:type="paragraph" w:customStyle="1" w:styleId="xl52">
    <w:name w:val="xl52"/>
    <w:basedOn w:val="a7"/>
    <w:qFormat/>
    <w:pPr>
      <w:widowControl/>
      <w:pBdr>
        <w:left w:val="single" w:sz="4" w:space="0" w:color="auto"/>
        <w:bottom w:val="single" w:sz="4" w:space="0" w:color="auto"/>
      </w:pBdr>
      <w:spacing w:before="100" w:after="100" w:line="360" w:lineRule="auto"/>
      <w:ind w:firstLine="482"/>
      <w:jc w:val="center"/>
      <w:textAlignment w:val="center"/>
    </w:pPr>
    <w:rPr>
      <w:kern w:val="0"/>
      <w:sz w:val="28"/>
      <w:szCs w:val="28"/>
    </w:rPr>
  </w:style>
  <w:style w:type="paragraph" w:customStyle="1" w:styleId="Paratitre">
    <w:name w:val="Paratitre"/>
    <w:basedOn w:val="a7"/>
    <w:qFormat/>
    <w:pPr>
      <w:widowControl/>
      <w:overflowPunct w:val="0"/>
      <w:autoSpaceDE w:val="0"/>
      <w:autoSpaceDN w:val="0"/>
      <w:adjustRightInd w:val="0"/>
      <w:spacing w:before="240" w:after="160" w:line="360" w:lineRule="auto"/>
      <w:ind w:left="700" w:firstLine="482"/>
      <w:textAlignment w:val="baseline"/>
    </w:pPr>
    <w:rPr>
      <w:rFonts w:ascii="Arial" w:hAnsi="Arial"/>
      <w:kern w:val="0"/>
      <w:sz w:val="20"/>
      <w:szCs w:val="20"/>
    </w:rPr>
  </w:style>
  <w:style w:type="paragraph" w:customStyle="1" w:styleId="xl279">
    <w:name w:val="xl279"/>
    <w:basedOn w:val="a7"/>
    <w:qFormat/>
    <w:pPr>
      <w:widowControl/>
      <w:pBdr>
        <w:top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16"/>
      <w:szCs w:val="16"/>
    </w:rPr>
  </w:style>
  <w:style w:type="paragraph" w:customStyle="1" w:styleId="CharCharCharChar11">
    <w:name w:val="Char Char Char Char11"/>
    <w:basedOn w:val="a7"/>
    <w:uiPriority w:val="99"/>
    <w:qFormat/>
    <w:pPr>
      <w:spacing w:after="160" w:line="278" w:lineRule="auto"/>
    </w:pPr>
    <w:rPr>
      <w:szCs w:val="20"/>
    </w:rPr>
  </w:style>
  <w:style w:type="paragraph" w:customStyle="1" w:styleId="ST2018">
    <w:name w:val="ST20_18"/>
    <w:basedOn w:val="ST202"/>
    <w:qFormat/>
  </w:style>
  <w:style w:type="paragraph" w:customStyle="1" w:styleId="89">
    <w:name w:val="8级"/>
    <w:basedOn w:val="a7"/>
    <w:qFormat/>
    <w:pPr>
      <w:tabs>
        <w:tab w:val="left" w:pos="407"/>
      </w:tabs>
      <w:spacing w:after="160" w:line="360" w:lineRule="auto"/>
      <w:ind w:left="180" w:firstLine="482"/>
    </w:pPr>
    <w:rPr>
      <w:kern w:val="0"/>
      <w:sz w:val="24"/>
      <w:szCs w:val="20"/>
    </w:rPr>
  </w:style>
  <w:style w:type="paragraph" w:customStyle="1" w:styleId="affffffffffffffffffffffffffffff">
    <w:name w:val="支标题 a)"/>
    <w:basedOn w:val="a7"/>
    <w:next w:val="a7"/>
    <w:uiPriority w:val="99"/>
    <w:qFormat/>
    <w:pPr>
      <w:tabs>
        <w:tab w:val="left" w:pos="510"/>
        <w:tab w:val="left" w:pos="1097"/>
      </w:tabs>
      <w:autoSpaceDE w:val="0"/>
      <w:autoSpaceDN w:val="0"/>
      <w:adjustRightInd w:val="0"/>
      <w:spacing w:before="120" w:after="120" w:line="460" w:lineRule="exact"/>
      <w:ind w:left="284" w:firstLine="453"/>
      <w:jc w:val="left"/>
    </w:pPr>
    <w:rPr>
      <w:rFonts w:ascii="ZapfDingbats BT" w:hAnsi="ZapfDingbats BT"/>
      <w:kern w:val="0"/>
      <w:sz w:val="23"/>
      <w:szCs w:val="20"/>
    </w:rPr>
  </w:style>
  <w:style w:type="paragraph" w:customStyle="1" w:styleId="affffffffffffffffffffffffffffff0">
    <w:name w:val="样式 正文文本缩进"/>
    <w:basedOn w:val="a7"/>
    <w:qFormat/>
    <w:pPr>
      <w:spacing w:after="160" w:line="360" w:lineRule="auto"/>
      <w:ind w:firstLineChars="200" w:firstLine="480"/>
    </w:pPr>
    <w:rPr>
      <w:rFonts w:hAnsi="宋体" w:cs="宋体"/>
      <w:kern w:val="0"/>
      <w:sz w:val="24"/>
    </w:rPr>
  </w:style>
  <w:style w:type="paragraph" w:customStyle="1" w:styleId="1000505">
    <w:name w:val="样式 样式 样式 标题 1 + 居中 左侧:  0 厘米 首行缩进:  0 厘米 段前: 0.5 行 段后: 0.5 行 行距:..."/>
    <w:basedOn w:val="a7"/>
    <w:qFormat/>
    <w:pPr>
      <w:keepNext/>
      <w:keepLines/>
      <w:tabs>
        <w:tab w:val="left" w:pos="360"/>
      </w:tabs>
      <w:adjustRightInd w:val="0"/>
      <w:spacing w:beforeLines="50" w:before="156" w:afterLines="50" w:after="156" w:line="500" w:lineRule="exact"/>
      <w:ind w:left="360" w:hanging="360"/>
      <w:jc w:val="center"/>
      <w:textAlignment w:val="baseline"/>
      <w:outlineLvl w:val="0"/>
    </w:pPr>
    <w:rPr>
      <w:rFonts w:cs="宋体"/>
      <w:b/>
      <w:kern w:val="44"/>
      <w:sz w:val="32"/>
      <w:szCs w:val="20"/>
    </w:rPr>
  </w:style>
  <w:style w:type="paragraph" w:customStyle="1" w:styleId="15b">
    <w:name w:val="样式 样式 宋体 四号 行距: 1.5 倍行距 +"/>
    <w:basedOn w:val="a7"/>
    <w:semiHidden/>
    <w:qFormat/>
    <w:pPr>
      <w:adjustRightInd w:val="0"/>
      <w:snapToGrid w:val="0"/>
      <w:spacing w:after="160" w:line="440" w:lineRule="exact"/>
      <w:ind w:firstLineChars="200" w:firstLine="480"/>
    </w:pPr>
    <w:rPr>
      <w:rFonts w:ascii="宋体" w:hAnsi="宋体" w:cs="宋体"/>
      <w:color w:val="000000"/>
      <w:kern w:val="0"/>
      <w:sz w:val="24"/>
    </w:rPr>
  </w:style>
  <w:style w:type="paragraph" w:customStyle="1" w:styleId="241">
    <w:name w:val="样式 小四 行距: 固定值 24 磅"/>
    <w:basedOn w:val="a7"/>
    <w:uiPriority w:val="99"/>
    <w:qFormat/>
    <w:pPr>
      <w:tabs>
        <w:tab w:val="left" w:pos="720"/>
      </w:tabs>
      <w:spacing w:after="160" w:line="440" w:lineRule="exact"/>
      <w:ind w:left="720" w:hanging="493"/>
    </w:pPr>
    <w:rPr>
      <w:sz w:val="24"/>
      <w:szCs w:val="20"/>
    </w:rPr>
  </w:style>
  <w:style w:type="paragraph" w:customStyle="1" w:styleId="CentreHeading">
    <w:name w:val="Centre Heading"/>
    <w:qFormat/>
    <w:pPr>
      <w:widowControl w:val="0"/>
      <w:tabs>
        <w:tab w:val="left" w:pos="302"/>
        <w:tab w:val="left" w:pos="1022"/>
        <w:tab w:val="left" w:pos="1742"/>
        <w:tab w:val="left" w:pos="2462"/>
        <w:tab w:val="left" w:pos="3182"/>
        <w:tab w:val="left" w:pos="3902"/>
        <w:tab w:val="left" w:pos="4622"/>
        <w:tab w:val="left" w:pos="5342"/>
        <w:tab w:val="left" w:pos="6062"/>
        <w:tab w:val="left" w:pos="6782"/>
        <w:tab w:val="left" w:pos="7502"/>
        <w:tab w:val="left" w:pos="8222"/>
        <w:tab w:val="left" w:pos="8942"/>
        <w:tab w:val="left" w:pos="9662"/>
      </w:tabs>
      <w:autoSpaceDE w:val="0"/>
      <w:autoSpaceDN w:val="0"/>
      <w:adjustRightInd w:val="0"/>
      <w:spacing w:after="439" w:line="400" w:lineRule="exact"/>
      <w:jc w:val="center"/>
    </w:pPr>
    <w:rPr>
      <w:b/>
      <w:color w:val="808080"/>
      <w:sz w:val="36"/>
    </w:rPr>
  </w:style>
  <w:style w:type="paragraph" w:customStyle="1" w:styleId="22d">
    <w:name w:val="样式 样式 样式 首行缩进:  2 字符 + 首行缩进:  2 字符 + 居中 行距: 单倍行距"/>
    <w:basedOn w:val="a7"/>
    <w:qFormat/>
    <w:pPr>
      <w:snapToGrid w:val="0"/>
      <w:spacing w:after="160" w:line="278" w:lineRule="auto"/>
      <w:jc w:val="center"/>
    </w:pPr>
    <w:rPr>
      <w:rFonts w:ascii="宋体" w:hAnsi="宋体" w:cs="宋体"/>
      <w:color w:val="000000"/>
      <w:sz w:val="24"/>
    </w:rPr>
  </w:style>
  <w:style w:type="paragraph" w:customStyle="1" w:styleId="0991">
    <w:name w:val="样式 表头 + 首行缩进:  0.99 厘米"/>
    <w:basedOn w:val="afffa"/>
    <w:qFormat/>
    <w:pPr>
      <w:keepNext/>
      <w:adjustRightInd/>
      <w:spacing w:after="160" w:line="240" w:lineRule="auto"/>
      <w:ind w:left="0" w:rightChars="-45" w:right="-45" w:firstLineChars="0" w:firstLine="0"/>
      <w:jc w:val="center"/>
      <w:textAlignment w:val="auto"/>
    </w:pPr>
    <w:rPr>
      <w:rFonts w:ascii="黑体" w:eastAsia="黑体" w:cs="宋体"/>
      <w:kern w:val="2"/>
    </w:rPr>
  </w:style>
  <w:style w:type="paragraph" w:customStyle="1" w:styleId="516">
    <w:name w:val="正文5.16"/>
    <w:basedOn w:val="a7"/>
    <w:qFormat/>
    <w:pPr>
      <w:spacing w:beforeLines="20" w:afterLines="20" w:after="160" w:line="360" w:lineRule="auto"/>
      <w:ind w:firstLineChars="200" w:firstLine="480"/>
    </w:pPr>
    <w:rPr>
      <w:rFonts w:ascii="宋体" w:hAnsi="宋体"/>
      <w:bCs/>
      <w:color w:val="000000"/>
      <w:sz w:val="24"/>
    </w:rPr>
  </w:style>
  <w:style w:type="paragraph" w:customStyle="1" w:styleId="affffffffffffffffffffffffffffff1">
    <w:name w:val="节标"/>
    <w:basedOn w:val="a7"/>
    <w:qFormat/>
    <w:pPr>
      <w:widowControl/>
      <w:autoSpaceDE w:val="0"/>
      <w:autoSpaceDN w:val="0"/>
      <w:adjustRightInd w:val="0"/>
      <w:spacing w:after="160" w:line="480" w:lineRule="exact"/>
      <w:ind w:firstLine="567"/>
      <w:jc w:val="center"/>
      <w:textAlignment w:val="bottom"/>
    </w:pPr>
    <w:rPr>
      <w:b/>
      <w:kern w:val="0"/>
      <w:sz w:val="30"/>
      <w:szCs w:val="20"/>
    </w:rPr>
  </w:style>
  <w:style w:type="paragraph" w:customStyle="1" w:styleId="097">
    <w:name w:val="样式 表头 + 首行缩进:  0.97 厘米"/>
    <w:basedOn w:val="afffa"/>
    <w:qFormat/>
    <w:pPr>
      <w:keepNext/>
      <w:adjustRightInd/>
      <w:spacing w:after="160" w:line="240" w:lineRule="auto"/>
      <w:ind w:left="0" w:rightChars="-45" w:right="-45" w:firstLineChars="0" w:firstLine="0"/>
      <w:jc w:val="center"/>
      <w:textAlignment w:val="auto"/>
    </w:pPr>
    <w:rPr>
      <w:rFonts w:ascii="黑体" w:eastAsia="黑体" w:cs="宋体"/>
      <w:kern w:val="2"/>
    </w:rPr>
  </w:style>
  <w:style w:type="paragraph" w:customStyle="1" w:styleId="affffffffffffffffffffffffffffff2">
    <w:name w:val="!正文"/>
    <w:basedOn w:val="a7"/>
    <w:qFormat/>
    <w:pPr>
      <w:adjustRightInd w:val="0"/>
      <w:snapToGrid w:val="0"/>
      <w:spacing w:after="160" w:line="360" w:lineRule="auto"/>
      <w:ind w:firstLineChars="200" w:firstLine="480"/>
    </w:pPr>
    <w:rPr>
      <w:sz w:val="24"/>
    </w:rPr>
  </w:style>
  <w:style w:type="paragraph" w:customStyle="1" w:styleId="1fffff3">
    <w:name w:val="样式1－王鹏"/>
    <w:basedOn w:val="a7"/>
    <w:semiHidden/>
    <w:qFormat/>
    <w:pPr>
      <w:adjustRightInd w:val="0"/>
      <w:snapToGrid w:val="0"/>
      <w:spacing w:beforeLines="50" w:afterLines="50" w:after="160" w:line="360" w:lineRule="auto"/>
      <w:ind w:firstLineChars="249" w:firstLine="627"/>
    </w:pPr>
    <w:rPr>
      <w:rFonts w:ascii="宋体" w:hAnsi="宋体" w:cs="Arial"/>
      <w:bCs/>
      <w:spacing w:val="6"/>
      <w:sz w:val="24"/>
      <w:szCs w:val="20"/>
    </w:rPr>
  </w:style>
  <w:style w:type="paragraph" w:customStyle="1" w:styleId="3sect123sect1231h3H3sect1232sect12311sect1">
    <w:name w:val="样式 标题 3sect1.2.3sect1.2.31h3H3sect1.2.32sect1.2.311sect1...."/>
    <w:basedOn w:val="31"/>
    <w:qFormat/>
    <w:pPr>
      <w:keepNext/>
      <w:keepLines/>
      <w:numPr>
        <w:ilvl w:val="0"/>
        <w:numId w:val="0"/>
      </w:numPr>
      <w:tabs>
        <w:tab w:val="left" w:pos="454"/>
      </w:tabs>
      <w:adjustRightInd/>
      <w:snapToGrid/>
      <w:spacing w:beforeLines="0" w:before="0" w:afterLines="0" w:after="0"/>
      <w:jc w:val="both"/>
      <w:textAlignment w:val="auto"/>
    </w:pPr>
    <w:rPr>
      <w:rFonts w:ascii="黑体" w:hAnsi="黑体" w:cs="宋体"/>
      <w:color w:val="FF0000"/>
      <w:kern w:val="0"/>
      <w:sz w:val="24"/>
      <w:szCs w:val="20"/>
      <w:lang w:val="en-US"/>
    </w:rPr>
  </w:style>
  <w:style w:type="paragraph" w:customStyle="1" w:styleId="3ffa">
    <w:name w:val="正文缩进3"/>
    <w:basedOn w:val="a7"/>
    <w:qFormat/>
    <w:pPr>
      <w:adjustRightInd w:val="0"/>
      <w:snapToGrid w:val="0"/>
      <w:spacing w:beforeLines="30" w:after="160" w:line="400" w:lineRule="exact"/>
      <w:ind w:firstLineChars="200" w:firstLine="200"/>
      <w:jc w:val="left"/>
    </w:pPr>
    <w:rPr>
      <w:rFonts w:ascii="Arial" w:hAnsi="Arial"/>
      <w:kern w:val="0"/>
      <w:sz w:val="24"/>
    </w:rPr>
  </w:style>
  <w:style w:type="paragraph" w:customStyle="1" w:styleId="xl352">
    <w:name w:val="xl352"/>
    <w:basedOn w:val="a7"/>
    <w:qFormat/>
    <w:pPr>
      <w:widowControl/>
      <w:pBdr>
        <w:bottom w:val="single" w:sz="4" w:space="0" w:color="auto"/>
        <w:right w:val="single" w:sz="4" w:space="0" w:color="auto"/>
      </w:pBdr>
      <w:spacing w:before="100" w:beforeAutospacing="1" w:after="100" w:afterAutospacing="1" w:line="278" w:lineRule="auto"/>
      <w:jc w:val="center"/>
      <w:textAlignment w:val="center"/>
    </w:pPr>
    <w:rPr>
      <w:kern w:val="0"/>
      <w:sz w:val="18"/>
      <w:szCs w:val="18"/>
    </w:rPr>
  </w:style>
  <w:style w:type="paragraph" w:customStyle="1" w:styleId="CharCharCharCharCharCharCharCharCharCharCharChar2">
    <w:name w:val="Char Char Char Char Char Char Char Char Char Char Char Char2"/>
    <w:basedOn w:val="a7"/>
    <w:next w:val="a7"/>
    <w:qFormat/>
    <w:pPr>
      <w:spacing w:after="160" w:line="360" w:lineRule="auto"/>
      <w:ind w:firstLineChars="200" w:firstLine="200"/>
    </w:pPr>
    <w:rPr>
      <w:rFonts w:ascii="宋体" w:hAnsi="宋体" w:cs="宋体"/>
      <w:sz w:val="24"/>
    </w:rPr>
  </w:style>
  <w:style w:type="paragraph" w:customStyle="1" w:styleId="041">
    <w:name w:val="04"/>
    <w:basedOn w:val="a7"/>
    <w:qFormat/>
    <w:pPr>
      <w:spacing w:after="160" w:line="312" w:lineRule="auto"/>
    </w:pPr>
    <w:rPr>
      <w:rFonts w:eastAsia="华文仿宋"/>
      <w:sz w:val="24"/>
      <w:szCs w:val="30"/>
    </w:rPr>
  </w:style>
  <w:style w:type="paragraph" w:customStyle="1" w:styleId="5ff0">
    <w:name w:val="表小5"/>
    <w:basedOn w:val="a7"/>
    <w:qFormat/>
    <w:pPr>
      <w:tabs>
        <w:tab w:val="left" w:pos="0"/>
        <w:tab w:val="left" w:pos="2619"/>
      </w:tabs>
      <w:snapToGrid w:val="0"/>
      <w:spacing w:after="160" w:line="360" w:lineRule="auto"/>
      <w:ind w:firstLine="482"/>
      <w:jc w:val="center"/>
    </w:pPr>
    <w:rPr>
      <w:rFonts w:hAnsi="宋体"/>
      <w:spacing w:val="6"/>
      <w:kern w:val="0"/>
      <w:sz w:val="24"/>
      <w:szCs w:val="20"/>
    </w:rPr>
  </w:style>
  <w:style w:type="paragraph" w:customStyle="1" w:styleId="0505">
    <w:name w:val="样式 表头 + 段前: 0.5 行 段后: 0.5 行"/>
    <w:basedOn w:val="a7"/>
    <w:uiPriority w:val="99"/>
    <w:qFormat/>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xl90">
    <w:name w:val="xl90"/>
    <w:basedOn w:val="a7"/>
    <w:qFormat/>
    <w:pPr>
      <w:widowControl/>
      <w:pBdr>
        <w:left w:val="single" w:sz="8" w:space="0" w:color="auto"/>
        <w:bottom w:val="single" w:sz="8" w:space="0" w:color="auto"/>
        <w:right w:val="single" w:sz="8" w:space="0" w:color="auto"/>
      </w:pBdr>
      <w:snapToGrid w:val="0"/>
      <w:spacing w:before="100" w:beforeAutospacing="1" w:after="100" w:afterAutospacing="1" w:line="278" w:lineRule="auto"/>
      <w:jc w:val="center"/>
    </w:pPr>
    <w:rPr>
      <w:rFonts w:ascii="宋体" w:hAnsi="宋体" w:cs="宋体"/>
      <w:color w:val="000000"/>
      <w:kern w:val="0"/>
    </w:rPr>
  </w:style>
  <w:style w:type="paragraph" w:customStyle="1" w:styleId="xl124">
    <w:name w:val="xl124"/>
    <w:basedOn w:val="a7"/>
    <w:uiPriority w:val="99"/>
    <w:qFormat/>
    <w:pPr>
      <w:widowControl/>
      <w:shd w:val="clear" w:color="000000" w:fill="FFFFFF"/>
      <w:snapToGrid w:val="0"/>
      <w:spacing w:before="100" w:beforeAutospacing="1" w:after="100" w:afterAutospacing="1" w:line="278" w:lineRule="auto"/>
      <w:jc w:val="left"/>
    </w:pPr>
    <w:rPr>
      <w:rFonts w:ascii="宋体" w:hAnsi="宋体" w:cs="宋体"/>
      <w:kern w:val="0"/>
      <w:sz w:val="24"/>
    </w:rPr>
  </w:style>
  <w:style w:type="paragraph" w:customStyle="1" w:styleId="Char111">
    <w:name w:val="Char111"/>
    <w:basedOn w:val="a7"/>
    <w:qFormat/>
    <w:locked/>
    <w:pPr>
      <w:spacing w:after="160" w:line="360" w:lineRule="auto"/>
    </w:pPr>
    <w:rPr>
      <w:rFonts w:ascii="宋体"/>
      <w:sz w:val="24"/>
    </w:rPr>
  </w:style>
  <w:style w:type="paragraph" w:customStyle="1" w:styleId="415">
    <w:name w:val="4号1.5行距"/>
    <w:basedOn w:val="a7"/>
    <w:qFormat/>
    <w:pPr>
      <w:spacing w:after="160" w:line="360" w:lineRule="auto"/>
      <w:ind w:firstLineChars="200" w:firstLine="200"/>
      <w:jc w:val="left"/>
    </w:pPr>
    <w:rPr>
      <w:sz w:val="28"/>
    </w:rPr>
  </w:style>
  <w:style w:type="paragraph" w:customStyle="1" w:styleId="2TimesNewRoman0024">
    <w:name w:val="样式 标题 2 + Times New Roman 左侧:  0 厘米 首行缩进:  0 厘米 行距: 固定值 24 磅"/>
    <w:basedOn w:val="21"/>
    <w:qFormat/>
    <w:pPr>
      <w:keepNext/>
      <w:keepLines/>
      <w:numPr>
        <w:ilvl w:val="0"/>
        <w:numId w:val="0"/>
      </w:numPr>
      <w:snapToGrid/>
      <w:spacing w:beforeLines="50" w:before="50" w:afterLines="50" w:after="50" w:line="500" w:lineRule="exact"/>
      <w:ind w:left="567" w:hanging="567"/>
    </w:pPr>
    <w:rPr>
      <w:rFonts w:cs="宋体"/>
      <w:smallCaps w:val="0"/>
      <w:color w:val="auto"/>
      <w:kern w:val="0"/>
      <w:sz w:val="36"/>
      <w:szCs w:val="20"/>
    </w:rPr>
  </w:style>
  <w:style w:type="paragraph" w:customStyle="1" w:styleId="affffffffffffffffffffffffffffff3">
    <w:name w:val="表格名和图名"/>
    <w:basedOn w:val="a7"/>
    <w:qFormat/>
    <w:pPr>
      <w:spacing w:after="160" w:line="360" w:lineRule="auto"/>
      <w:jc w:val="center"/>
    </w:pPr>
    <w:rPr>
      <w:color w:val="000000"/>
      <w:sz w:val="24"/>
    </w:rPr>
  </w:style>
  <w:style w:type="paragraph" w:customStyle="1" w:styleId="affffffffffffffffffffffffffffff4">
    <w:name w:val="环评表格后节标题"/>
    <w:qFormat/>
    <w:pPr>
      <w:spacing w:before="600" w:after="160" w:line="278" w:lineRule="auto"/>
    </w:pPr>
  </w:style>
  <w:style w:type="paragraph" w:customStyle="1" w:styleId="affffffffffffffffffffffffffffff5">
    <w:name w:val="环评节标题"/>
    <w:basedOn w:val="a7"/>
    <w:qFormat/>
    <w:pPr>
      <w:spacing w:before="400" w:after="200" w:line="360" w:lineRule="auto"/>
      <w:jc w:val="left"/>
    </w:pPr>
    <w:rPr>
      <w:rFonts w:eastAsia="黑体"/>
      <w:b/>
      <w:spacing w:val="20"/>
      <w:sz w:val="30"/>
      <w:szCs w:val="20"/>
    </w:rPr>
  </w:style>
  <w:style w:type="paragraph" w:customStyle="1" w:styleId="xl98">
    <w:name w:val="xl98"/>
    <w:basedOn w:val="a7"/>
    <w:qFormat/>
    <w:pPr>
      <w:widowControl/>
      <w:shd w:val="clear" w:color="000000" w:fill="FFFFFF"/>
      <w:snapToGrid w:val="0"/>
      <w:spacing w:before="100" w:beforeAutospacing="1" w:after="100" w:afterAutospacing="1" w:line="278" w:lineRule="auto"/>
      <w:jc w:val="center"/>
    </w:pPr>
    <w:rPr>
      <w:rFonts w:ascii="宋体" w:hAnsi="宋体" w:cs="宋体"/>
      <w:color w:val="C65911"/>
      <w:kern w:val="0"/>
      <w:sz w:val="24"/>
    </w:rPr>
  </w:style>
  <w:style w:type="paragraph" w:customStyle="1" w:styleId="xl26">
    <w:name w:val="xl26"/>
    <w:basedOn w:val="a7"/>
    <w:uiPriority w:val="99"/>
    <w:qFormat/>
    <w:pPr>
      <w:widowControl/>
      <w:spacing w:before="100" w:after="100" w:line="360" w:lineRule="auto"/>
      <w:ind w:firstLine="482"/>
      <w:jc w:val="center"/>
    </w:pPr>
    <w:rPr>
      <w:kern w:val="0"/>
      <w:sz w:val="24"/>
      <w:szCs w:val="20"/>
    </w:rPr>
  </w:style>
  <w:style w:type="paragraph" w:customStyle="1" w:styleId="2fffff0">
    <w:name w:val="已访问的超链接2"/>
    <w:uiPriority w:val="99"/>
    <w:unhideWhenUsed/>
    <w:qFormat/>
    <w:pPr>
      <w:widowControl w:val="0"/>
      <w:spacing w:after="160" w:line="278" w:lineRule="auto"/>
      <w:jc w:val="both"/>
    </w:pPr>
    <w:rPr>
      <w:rFonts w:ascii="Calibri" w:hAnsi="Calibri"/>
      <w:kern w:val="2"/>
      <w:sz w:val="21"/>
      <w:szCs w:val="22"/>
    </w:rPr>
  </w:style>
  <w:style w:type="paragraph" w:customStyle="1" w:styleId="affffffffffffffffffffffffffffff6">
    <w:name w:val="正文并立"/>
    <w:basedOn w:val="a7"/>
    <w:qFormat/>
    <w:pPr>
      <w:adjustRightInd w:val="0"/>
      <w:spacing w:after="160" w:line="408" w:lineRule="atLeast"/>
      <w:ind w:firstLine="601"/>
      <w:jc w:val="left"/>
      <w:textAlignment w:val="baseline"/>
    </w:pPr>
    <w:rPr>
      <w:kern w:val="0"/>
      <w:sz w:val="28"/>
      <w:szCs w:val="20"/>
    </w:rPr>
  </w:style>
  <w:style w:type="paragraph" w:customStyle="1" w:styleId="CharChar2CharCharCharChar">
    <w:name w:val="Char Char2 Char Char Char Char"/>
    <w:basedOn w:val="a7"/>
    <w:qFormat/>
    <w:pPr>
      <w:snapToGrid w:val="0"/>
      <w:spacing w:after="160" w:line="278" w:lineRule="auto"/>
      <w:jc w:val="left"/>
    </w:pPr>
  </w:style>
  <w:style w:type="paragraph" w:customStyle="1" w:styleId="128">
    <w:name w:val="表、图名12"/>
    <w:basedOn w:val="a7"/>
    <w:qFormat/>
    <w:pPr>
      <w:spacing w:after="160" w:line="278" w:lineRule="auto"/>
      <w:jc w:val="center"/>
    </w:pPr>
    <w:rPr>
      <w:rFonts w:eastAsia="黑体" w:cs="宋体"/>
      <w:sz w:val="24"/>
      <w:szCs w:val="20"/>
    </w:rPr>
  </w:style>
  <w:style w:type="paragraph" w:customStyle="1" w:styleId="07415">
    <w:name w:val="样式 宋体 小四 首行缩进:  0.74 厘米 行距: 1.5 倍行距"/>
    <w:basedOn w:val="a7"/>
    <w:qFormat/>
    <w:pPr>
      <w:tabs>
        <w:tab w:val="left" w:pos="885"/>
      </w:tabs>
      <w:spacing w:after="160" w:line="360" w:lineRule="auto"/>
      <w:ind w:left="885" w:hanging="405"/>
    </w:pPr>
    <w:rPr>
      <w:rFonts w:ascii="Arial" w:hAnsi="Arial"/>
      <w:sz w:val="24"/>
    </w:rPr>
  </w:style>
  <w:style w:type="paragraph" w:customStyle="1" w:styleId="xl59">
    <w:name w:val="xl59"/>
    <w:basedOn w:val="a7"/>
    <w:qFormat/>
    <w:pPr>
      <w:widowControl/>
      <w:pBdr>
        <w:bottom w:val="single" w:sz="8" w:space="0" w:color="auto"/>
        <w:right w:val="single" w:sz="8" w:space="0" w:color="000000"/>
      </w:pBdr>
      <w:spacing w:before="100" w:beforeAutospacing="1" w:after="100" w:afterAutospacing="1" w:line="360" w:lineRule="auto"/>
      <w:ind w:firstLine="482"/>
      <w:textAlignment w:val="top"/>
    </w:pPr>
    <w:rPr>
      <w:rFonts w:ascii="Arial Unicode MS" w:eastAsia="Arial Unicode MS" w:hAnsi="Arial Unicode MS" w:cs="Arial Unicode MS"/>
      <w:kern w:val="0"/>
      <w:sz w:val="24"/>
    </w:rPr>
  </w:style>
  <w:style w:type="paragraph" w:customStyle="1" w:styleId="129">
    <w:name w:val="样式 行距: 固定值 12 磅"/>
    <w:basedOn w:val="a7"/>
    <w:qFormat/>
    <w:pPr>
      <w:spacing w:after="160" w:line="240" w:lineRule="exact"/>
    </w:pPr>
    <w:rPr>
      <w:rFonts w:cs="宋体"/>
      <w:kern w:val="0"/>
      <w:szCs w:val="20"/>
    </w:rPr>
  </w:style>
  <w:style w:type="paragraph" w:customStyle="1" w:styleId="ST2059">
    <w:name w:val="ST20_59"/>
    <w:basedOn w:val="a7"/>
    <w:qFormat/>
    <w:pPr>
      <w:autoSpaceDE w:val="0"/>
      <w:autoSpaceDN w:val="0"/>
      <w:adjustRightInd w:val="0"/>
      <w:spacing w:after="160" w:line="360" w:lineRule="atLeast"/>
      <w:ind w:left="1800" w:hanging="360"/>
      <w:jc w:val="left"/>
      <w:textAlignment w:val="baseline"/>
    </w:pPr>
    <w:rPr>
      <w:rFonts w:ascii="宋体" w:hAnsi="Tms Rmn"/>
      <w:kern w:val="0"/>
      <w:sz w:val="28"/>
      <w:szCs w:val="28"/>
    </w:rPr>
  </w:style>
  <w:style w:type="paragraph" w:customStyle="1" w:styleId="affffffffffffffffffffffffffffff7">
    <w:name w:val="沥青表"/>
    <w:basedOn w:val="a7"/>
    <w:qFormat/>
    <w:pPr>
      <w:adjustRightInd w:val="0"/>
      <w:spacing w:after="160" w:line="0" w:lineRule="atLeast"/>
      <w:jc w:val="center"/>
      <w:textAlignment w:val="baseline"/>
    </w:pPr>
    <w:rPr>
      <w:bCs/>
      <w:spacing w:val="10"/>
      <w:kern w:val="0"/>
    </w:rPr>
  </w:style>
  <w:style w:type="paragraph" w:customStyle="1" w:styleId="2230">
    <w:name w:val="样式 正文首行缩进 + 蓝色 首行缩进:  2 字符 行距: 固定值 23 磅"/>
    <w:basedOn w:val="affff7"/>
    <w:semiHidden/>
    <w:qFormat/>
    <w:pPr>
      <w:adjustRightInd w:val="0"/>
      <w:snapToGrid w:val="0"/>
      <w:spacing w:after="0" w:line="420" w:lineRule="exact"/>
      <w:ind w:firstLineChars="200" w:firstLine="200"/>
    </w:pPr>
    <w:rPr>
      <w:rFonts w:ascii="仿宋_GB2312" w:eastAsia="仿宋_GB2312" w:hAnsi="仿宋_GB2312" w:cs="宋体"/>
      <w:color w:val="0000FF"/>
      <w:szCs w:val="21"/>
    </w:rPr>
  </w:style>
  <w:style w:type="paragraph" w:customStyle="1" w:styleId="1fffff4">
    <w:name w:val="正文文本1"/>
    <w:basedOn w:val="a7"/>
    <w:next w:val="a7"/>
    <w:qFormat/>
    <w:pPr>
      <w:widowControl/>
      <w:autoSpaceDE w:val="0"/>
      <w:autoSpaceDN w:val="0"/>
      <w:adjustRightInd w:val="0"/>
      <w:spacing w:before="60" w:after="60" w:line="278" w:lineRule="auto"/>
      <w:jc w:val="left"/>
    </w:pPr>
    <w:rPr>
      <w:rFonts w:ascii="宋体"/>
      <w:kern w:val="0"/>
      <w:sz w:val="24"/>
      <w:lang w:eastAsia="en-US"/>
    </w:rPr>
  </w:style>
  <w:style w:type="paragraph" w:customStyle="1" w:styleId="xl147">
    <w:name w:val="xl147"/>
    <w:basedOn w:val="a7"/>
    <w:uiPriority w:val="99"/>
    <w:qFormat/>
    <w:pPr>
      <w:widowControl/>
      <w:pBdr>
        <w:top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affffffffffffffffffffffffffffff8">
    <w:name w:val="简单回函地址"/>
    <w:basedOn w:val="a7"/>
    <w:qFormat/>
    <w:pPr>
      <w:adjustRightInd w:val="0"/>
      <w:spacing w:after="160" w:line="312" w:lineRule="atLeast"/>
      <w:ind w:firstLine="482"/>
      <w:textAlignment w:val="baseline"/>
    </w:pPr>
    <w:rPr>
      <w:kern w:val="0"/>
      <w:sz w:val="24"/>
      <w:szCs w:val="20"/>
    </w:rPr>
  </w:style>
  <w:style w:type="paragraph" w:customStyle="1" w:styleId="affffffffffffffffffffffffffffff9">
    <w:name w:val="钢铁表"/>
    <w:basedOn w:val="a7"/>
    <w:qFormat/>
    <w:pPr>
      <w:adjustRightInd w:val="0"/>
      <w:snapToGrid w:val="0"/>
      <w:spacing w:after="160" w:line="324" w:lineRule="auto"/>
      <w:ind w:firstLineChars="200" w:firstLine="200"/>
    </w:pPr>
    <w:rPr>
      <w:snapToGrid w:val="0"/>
      <w:sz w:val="24"/>
    </w:rPr>
  </w:style>
  <w:style w:type="paragraph" w:customStyle="1" w:styleId="affffffffffffffffffffffffffffffa">
    <w:name w:val="样式一"/>
    <w:basedOn w:val="a7"/>
    <w:qFormat/>
    <w:pPr>
      <w:autoSpaceDE w:val="0"/>
      <w:autoSpaceDN w:val="0"/>
      <w:adjustRightInd w:val="0"/>
      <w:spacing w:after="160" w:line="360" w:lineRule="auto"/>
      <w:ind w:firstLineChars="200" w:firstLine="480"/>
    </w:pPr>
    <w:rPr>
      <w:rFonts w:ascii="宋体" w:hAnsi="宋体"/>
      <w:kern w:val="0"/>
      <w:sz w:val="24"/>
      <w:szCs w:val="20"/>
    </w:rPr>
  </w:style>
  <w:style w:type="paragraph" w:customStyle="1" w:styleId="affffffffffffffffffffffffffffffb">
    <w:name w:val="纯正文"/>
    <w:basedOn w:val="a7"/>
    <w:semiHidden/>
    <w:qFormat/>
    <w:pPr>
      <w:tabs>
        <w:tab w:val="left" w:pos="578"/>
      </w:tabs>
      <w:adjustRightInd w:val="0"/>
      <w:snapToGrid w:val="0"/>
      <w:spacing w:after="160" w:line="460" w:lineRule="atLeast"/>
    </w:pPr>
    <w:rPr>
      <w:rFonts w:ascii="宋体" w:hAnsi="宋体"/>
      <w:sz w:val="24"/>
    </w:rPr>
  </w:style>
  <w:style w:type="paragraph" w:customStyle="1" w:styleId="Normal10">
    <w:name w:val="Normal_10"/>
    <w:qFormat/>
    <w:pPr>
      <w:spacing w:before="120" w:after="240" w:line="278" w:lineRule="auto"/>
      <w:jc w:val="both"/>
    </w:pPr>
    <w:rPr>
      <w:rFonts w:ascii="Calibri" w:eastAsia="Calibri" w:hAnsi="Calibri"/>
      <w:sz w:val="22"/>
      <w:szCs w:val="22"/>
      <w:lang w:eastAsia="en-US"/>
    </w:rPr>
  </w:style>
  <w:style w:type="paragraph" w:customStyle="1" w:styleId="zjpbodytext">
    <w:name w:val="zjpbodytext"/>
    <w:basedOn w:val="a7"/>
    <w:qFormat/>
    <w:pPr>
      <w:autoSpaceDE w:val="0"/>
      <w:autoSpaceDN w:val="0"/>
      <w:adjustRightInd w:val="0"/>
      <w:spacing w:after="160" w:line="278" w:lineRule="auto"/>
      <w:ind w:firstLine="567"/>
    </w:pPr>
    <w:rPr>
      <w:rFonts w:ascii="宋体"/>
      <w:kern w:val="0"/>
      <w:sz w:val="24"/>
      <w:szCs w:val="20"/>
    </w:rPr>
  </w:style>
  <w:style w:type="paragraph" w:customStyle="1" w:styleId="FootnoteBase">
    <w:name w:val="Footnote Base"/>
    <w:basedOn w:val="a7"/>
    <w:qFormat/>
    <w:pPr>
      <w:widowControl/>
      <w:tabs>
        <w:tab w:val="left" w:pos="187"/>
      </w:tabs>
      <w:overflowPunct w:val="0"/>
      <w:autoSpaceDE w:val="0"/>
      <w:autoSpaceDN w:val="0"/>
      <w:adjustRightInd w:val="0"/>
      <w:spacing w:after="160" w:line="220" w:lineRule="exact"/>
      <w:ind w:left="187" w:firstLineChars="200" w:hanging="187"/>
      <w:textAlignment w:val="baseline"/>
    </w:pPr>
    <w:rPr>
      <w:kern w:val="0"/>
      <w:sz w:val="18"/>
      <w:szCs w:val="20"/>
    </w:rPr>
  </w:style>
  <w:style w:type="paragraph" w:customStyle="1" w:styleId="243">
    <w:name w:val="标准文本：首行缩进2字符+小4+两端对齐+单倍行距"/>
    <w:basedOn w:val="a7"/>
    <w:uiPriority w:val="99"/>
    <w:qFormat/>
    <w:pPr>
      <w:adjustRightInd w:val="0"/>
      <w:snapToGrid w:val="0"/>
      <w:spacing w:beforeLines="50" w:after="160" w:line="278" w:lineRule="auto"/>
      <w:ind w:firstLineChars="200" w:firstLine="480"/>
      <w:jc w:val="left"/>
      <w:textAlignment w:val="center"/>
    </w:pPr>
    <w:rPr>
      <w:rFonts w:eastAsia="仿宋_GB2312"/>
      <w:kern w:val="0"/>
      <w:sz w:val="24"/>
    </w:rPr>
  </w:style>
  <w:style w:type="paragraph" w:customStyle="1" w:styleId="Char2CharCharCharCharCharChar">
    <w:name w:val="Char2 Char Char Char Char Char Char"/>
    <w:basedOn w:val="a7"/>
    <w:qFormat/>
    <w:pPr>
      <w:spacing w:after="160" w:line="278" w:lineRule="auto"/>
    </w:pPr>
    <w:rPr>
      <w:sz w:val="24"/>
    </w:rPr>
  </w:style>
  <w:style w:type="paragraph" w:customStyle="1" w:styleId="xl136">
    <w:name w:val="xl136"/>
    <w:basedOn w:val="a7"/>
    <w:uiPriority w:val="99"/>
    <w:qFormat/>
    <w:pPr>
      <w:widowControl/>
      <w:pBdr>
        <w:left w:val="single" w:sz="4" w:space="0" w:color="auto"/>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JobTitle">
    <w:name w:val="Job Title"/>
    <w:basedOn w:val="aff2"/>
    <w:qFormat/>
    <w:pPr>
      <w:keepLines/>
      <w:widowControl/>
      <w:overflowPunct w:val="0"/>
      <w:autoSpaceDE w:val="0"/>
      <w:autoSpaceDN w:val="0"/>
      <w:adjustRightInd w:val="0"/>
      <w:spacing w:before="0" w:line="360" w:lineRule="auto"/>
      <w:ind w:left="187" w:firstLineChars="200" w:firstLine="420"/>
      <w:jc w:val="both"/>
      <w:textAlignment w:val="baseline"/>
    </w:pPr>
    <w:rPr>
      <w:rFonts w:ascii="Times New Roman" w:hAnsi="Times New Roman"/>
      <w:i/>
      <w:sz w:val="20"/>
      <w:szCs w:val="20"/>
      <w:lang w:eastAsia="zh-CN"/>
    </w:rPr>
  </w:style>
  <w:style w:type="paragraph" w:customStyle="1" w:styleId="xl113">
    <w:name w:val="xl113"/>
    <w:basedOn w:val="a7"/>
    <w:qFormat/>
    <w:pPr>
      <w:widowControl/>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15c">
    <w:name w:val="正文 宋体 小四 行距: 1.5 倍行距"/>
    <w:basedOn w:val="a7"/>
    <w:uiPriority w:val="99"/>
    <w:qFormat/>
    <w:pPr>
      <w:spacing w:after="160" w:line="360" w:lineRule="auto"/>
      <w:ind w:firstLineChars="200" w:firstLine="480"/>
    </w:pPr>
    <w:rPr>
      <w:rFonts w:ascii="宋体"/>
      <w:sz w:val="24"/>
      <w:szCs w:val="20"/>
    </w:rPr>
  </w:style>
  <w:style w:type="paragraph" w:customStyle="1" w:styleId="250">
    <w:name w:val="样式 四号 行距: 固定值 25 磅"/>
    <w:basedOn w:val="a7"/>
    <w:qFormat/>
    <w:pPr>
      <w:spacing w:after="160" w:line="480" w:lineRule="atLeast"/>
      <w:ind w:firstLineChars="200" w:firstLine="200"/>
    </w:pPr>
    <w:rPr>
      <w:sz w:val="24"/>
    </w:rPr>
  </w:style>
  <w:style w:type="paragraph" w:customStyle="1" w:styleId="InTableII">
    <w:name w:val="In Table (II)"/>
    <w:basedOn w:val="InTable"/>
    <w:qFormat/>
    <w:pPr>
      <w:tabs>
        <w:tab w:val="clear" w:pos="3960"/>
        <w:tab w:val="clear" w:pos="5280"/>
        <w:tab w:val="left" w:pos="2200"/>
      </w:tabs>
      <w:spacing w:before="60" w:after="60"/>
      <w:ind w:left="52" w:firstLine="0"/>
      <w:jc w:val="left"/>
    </w:pPr>
    <w:rPr>
      <w:kern w:val="2"/>
      <w:sz w:val="21"/>
    </w:rPr>
  </w:style>
  <w:style w:type="paragraph" w:customStyle="1" w:styleId="12CharCharCharChar">
    <w:name w:val="12 Char Char Char Char"/>
    <w:basedOn w:val="a7"/>
    <w:qFormat/>
    <w:pPr>
      <w:spacing w:after="160" w:line="360" w:lineRule="auto"/>
      <w:ind w:firstLineChars="200" w:firstLine="200"/>
      <w:jc w:val="left"/>
    </w:pPr>
    <w:rPr>
      <w:rFonts w:ascii="宋体" w:hAnsi="宋体"/>
      <w:kern w:val="0"/>
      <w:position w:val="-6"/>
      <w:sz w:val="28"/>
      <w:szCs w:val="20"/>
      <w:u w:val="single"/>
    </w:rPr>
  </w:style>
  <w:style w:type="paragraph" w:customStyle="1" w:styleId="5CharChar2">
    <w:name w:val="样式5 Char Char"/>
    <w:uiPriority w:val="99"/>
    <w:semiHidden/>
    <w:qFormat/>
    <w:pPr>
      <w:spacing w:after="160" w:line="240" w:lineRule="atLeast"/>
      <w:jc w:val="center"/>
    </w:pPr>
    <w:rPr>
      <w:spacing w:val="8"/>
      <w:kern w:val="2"/>
      <w:sz w:val="21"/>
      <w:szCs w:val="21"/>
    </w:rPr>
  </w:style>
  <w:style w:type="paragraph" w:customStyle="1" w:styleId="ST2014">
    <w:name w:val="ST20_14"/>
    <w:basedOn w:val="a7"/>
    <w:next w:val="a7"/>
    <w:qFormat/>
    <w:pPr>
      <w:autoSpaceDE w:val="0"/>
      <w:autoSpaceDN w:val="0"/>
      <w:adjustRightInd w:val="0"/>
      <w:spacing w:after="160" w:line="360" w:lineRule="atLeast"/>
      <w:jc w:val="left"/>
      <w:textAlignment w:val="baseline"/>
    </w:pPr>
    <w:rPr>
      <w:rFonts w:ascii="宋体" w:hAnsi="Tms Rmn"/>
      <w:i/>
      <w:iCs/>
      <w:kern w:val="0"/>
      <w:sz w:val="28"/>
      <w:szCs w:val="28"/>
      <w:u w:val="single"/>
    </w:rPr>
  </w:style>
  <w:style w:type="paragraph" w:customStyle="1" w:styleId="CM61">
    <w:name w:val="CM61"/>
    <w:basedOn w:val="Default"/>
    <w:next w:val="Default"/>
    <w:qFormat/>
    <w:pPr>
      <w:spacing w:after="68" w:line="278" w:lineRule="auto"/>
    </w:pPr>
    <w:rPr>
      <w:rFonts w:ascii="Times New Roman" w:hAnsi="Times New Roman" w:cs="Times New Roman"/>
      <w:color w:val="auto"/>
      <w:kern w:val="2"/>
    </w:rPr>
  </w:style>
  <w:style w:type="paragraph" w:customStyle="1" w:styleId="1524">
    <w:name w:val="样式 正文 小四 行距: 1.5 倍行距 + 宋体 五号 首行缩进:  2 字符"/>
    <w:basedOn w:val="a7"/>
    <w:qFormat/>
    <w:pPr>
      <w:widowControl/>
      <w:spacing w:after="160" w:line="360" w:lineRule="auto"/>
      <w:ind w:firstLineChars="200" w:firstLine="200"/>
      <w:jc w:val="center"/>
    </w:pPr>
    <w:rPr>
      <w:rFonts w:ascii="宋体" w:hAnsi="宋体" w:cs="宋体"/>
      <w:kern w:val="0"/>
      <w:sz w:val="24"/>
      <w:szCs w:val="20"/>
    </w:rPr>
  </w:style>
  <w:style w:type="paragraph" w:customStyle="1" w:styleId="219">
    <w:name w:val="正文文本缩进 21"/>
    <w:basedOn w:val="a7"/>
    <w:qFormat/>
    <w:pPr>
      <w:overflowPunct w:val="0"/>
      <w:autoSpaceDE w:val="0"/>
      <w:autoSpaceDN w:val="0"/>
      <w:adjustRightInd w:val="0"/>
      <w:spacing w:after="160" w:line="278" w:lineRule="auto"/>
      <w:ind w:left="810"/>
      <w:jc w:val="left"/>
      <w:textAlignment w:val="baseline"/>
    </w:pPr>
    <w:rPr>
      <w:kern w:val="0"/>
      <w:sz w:val="20"/>
      <w:szCs w:val="20"/>
    </w:rPr>
  </w:style>
  <w:style w:type="paragraph" w:customStyle="1" w:styleId="2fffff1">
    <w:name w:val="表格2"/>
    <w:basedOn w:val="a7"/>
    <w:qFormat/>
    <w:pPr>
      <w:tabs>
        <w:tab w:val="left" w:pos="3105"/>
      </w:tabs>
      <w:spacing w:after="160" w:line="240" w:lineRule="atLeast"/>
      <w:ind w:leftChars="-52" w:left="-52" w:rightChars="-52" w:right="-125" w:hangingChars="59" w:hanging="124"/>
      <w:jc w:val="center"/>
    </w:pPr>
    <w:rPr>
      <w:rFonts w:ascii="华文中宋" w:eastAsia="华文中宋" w:hAnsi="华文中宋"/>
    </w:rPr>
  </w:style>
  <w:style w:type="paragraph" w:customStyle="1" w:styleId="1fffff5">
    <w:name w:val="表、图名1"/>
    <w:basedOn w:val="a7"/>
    <w:qFormat/>
    <w:pPr>
      <w:spacing w:after="160" w:line="460" w:lineRule="exact"/>
      <w:jc w:val="center"/>
    </w:pPr>
    <w:rPr>
      <w:rFonts w:eastAsia="黑体" w:cs="宋体"/>
      <w:sz w:val="24"/>
      <w:szCs w:val="20"/>
    </w:rPr>
  </w:style>
  <w:style w:type="paragraph" w:customStyle="1" w:styleId="CharChar10">
    <w:name w:val="Char Char Знак Знак1"/>
    <w:basedOn w:val="a7"/>
    <w:qFormat/>
    <w:pPr>
      <w:widowControl/>
      <w:spacing w:after="160" w:line="240" w:lineRule="exact"/>
      <w:ind w:firstLine="482"/>
      <w:jc w:val="left"/>
    </w:pPr>
    <w:rPr>
      <w:b/>
      <w:kern w:val="0"/>
      <w:sz w:val="28"/>
      <w:lang w:eastAsia="en-US"/>
    </w:rPr>
  </w:style>
  <w:style w:type="paragraph" w:customStyle="1" w:styleId="1fffff6">
    <w:name w:val="表格文字 1"/>
    <w:basedOn w:val="a7"/>
    <w:uiPriority w:val="99"/>
    <w:qFormat/>
    <w:pPr>
      <w:adjustRightInd w:val="0"/>
      <w:snapToGrid w:val="0"/>
      <w:spacing w:after="160" w:line="278" w:lineRule="auto"/>
      <w:jc w:val="center"/>
    </w:pPr>
  </w:style>
  <w:style w:type="paragraph" w:customStyle="1" w:styleId="affffffffffffffffffffffffffffffc">
    <w:name w:val="表格文字独行"/>
    <w:next w:val="a7"/>
    <w:qFormat/>
    <w:pPr>
      <w:spacing w:beforeLines="20" w:afterLines="20" w:after="160" w:line="264" w:lineRule="auto"/>
      <w:jc w:val="center"/>
    </w:pPr>
    <w:rPr>
      <w:rFonts w:eastAsia="仿宋_GB2312"/>
      <w:sz w:val="21"/>
      <w:szCs w:val="24"/>
    </w:rPr>
  </w:style>
  <w:style w:type="paragraph" w:customStyle="1" w:styleId="xl181">
    <w:name w:val="xl181"/>
    <w:basedOn w:val="a7"/>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78" w:lineRule="auto"/>
      <w:jc w:val="left"/>
      <w:textAlignment w:val="center"/>
    </w:pPr>
    <w:rPr>
      <w:rFonts w:ascii="宋体" w:hAnsi="宋体" w:cs="宋体"/>
      <w:b/>
      <w:bCs/>
      <w:kern w:val="0"/>
      <w:sz w:val="20"/>
      <w:szCs w:val="20"/>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7"/>
    <w:next w:val="a7"/>
    <w:qFormat/>
    <w:pPr>
      <w:spacing w:after="160" w:line="360" w:lineRule="auto"/>
      <w:ind w:firstLineChars="200" w:firstLine="200"/>
    </w:pPr>
    <w:rPr>
      <w:rFonts w:ascii="宋体" w:hAnsi="宋体" w:cs="宋体"/>
      <w:sz w:val="24"/>
    </w:rPr>
  </w:style>
  <w:style w:type="paragraph" w:customStyle="1" w:styleId="4ff">
    <w:name w:val="4号两端对齐"/>
    <w:qFormat/>
    <w:pPr>
      <w:widowControl w:val="0"/>
      <w:spacing w:after="160" w:line="278" w:lineRule="auto"/>
      <w:jc w:val="center"/>
    </w:pPr>
    <w:rPr>
      <w:rFonts w:ascii="宋体" w:hAnsi="宋体"/>
      <w:kern w:val="2"/>
      <w:sz w:val="21"/>
      <w:szCs w:val="24"/>
    </w:rPr>
  </w:style>
  <w:style w:type="paragraph" w:customStyle="1" w:styleId="CharChar7CharCharCharChar6">
    <w:name w:val="Char Char7 Char Char Char Char6"/>
    <w:basedOn w:val="a7"/>
    <w:qFormat/>
    <w:pPr>
      <w:snapToGrid w:val="0"/>
      <w:spacing w:after="160" w:line="278" w:lineRule="auto"/>
      <w:jc w:val="left"/>
    </w:pPr>
    <w:rPr>
      <w:sz w:val="24"/>
    </w:rPr>
  </w:style>
  <w:style w:type="paragraph" w:customStyle="1" w:styleId="1010">
    <w:name w:val="样式 首行缩进:  1.01 厘米"/>
    <w:basedOn w:val="a7"/>
    <w:qFormat/>
    <w:pPr>
      <w:spacing w:after="160" w:line="500" w:lineRule="exact"/>
      <w:ind w:firstLine="570"/>
    </w:pPr>
    <w:rPr>
      <w:rFonts w:cs="宋体"/>
      <w:kern w:val="28"/>
      <w:sz w:val="28"/>
      <w:szCs w:val="20"/>
    </w:rPr>
  </w:style>
  <w:style w:type="paragraph" w:customStyle="1" w:styleId="21112">
    <w:name w:val="样式 样式 首行缩进:  2 字符 + 左侧:  1.11 厘米 首行缩进:  2 字符"/>
    <w:basedOn w:val="2f7"/>
    <w:qFormat/>
    <w:pPr>
      <w:keepNext/>
      <w:adjustRightInd w:val="0"/>
      <w:snapToGrid w:val="0"/>
      <w:spacing w:after="160" w:line="300" w:lineRule="auto"/>
      <w:ind w:firstLine="560"/>
    </w:pPr>
    <w:rPr>
      <w:sz w:val="28"/>
    </w:rPr>
  </w:style>
  <w:style w:type="paragraph" w:customStyle="1" w:styleId="affffffffffffffffffffffffffffffd">
    <w:name w:val="样式 报告 小四 + 两端对齐"/>
    <w:basedOn w:val="afffffffffffffff3"/>
    <w:uiPriority w:val="99"/>
    <w:qFormat/>
    <w:pPr>
      <w:widowControl/>
    </w:pPr>
  </w:style>
  <w:style w:type="paragraph" w:customStyle="1" w:styleId="Z0">
    <w:name w:val="Z正文"/>
    <w:basedOn w:val="aff2"/>
    <w:qFormat/>
    <w:pPr>
      <w:spacing w:before="0" w:after="120" w:line="360" w:lineRule="auto"/>
      <w:ind w:left="0" w:firstLineChars="200" w:firstLine="480"/>
      <w:jc w:val="both"/>
    </w:pPr>
    <w:rPr>
      <w:rFonts w:ascii="Times New Roman" w:eastAsia="仿宋_GB2312" w:hAnsi="Times New Roman"/>
      <w:kern w:val="2"/>
      <w:szCs w:val="20"/>
      <w:lang w:eastAsia="zh-CN"/>
    </w:rPr>
  </w:style>
  <w:style w:type="paragraph" w:customStyle="1" w:styleId="xl205">
    <w:name w:val="xl205"/>
    <w:basedOn w:val="a7"/>
    <w:qFormat/>
    <w:pPr>
      <w:widowControl/>
      <w:pBdr>
        <w:bottom w:val="single" w:sz="4" w:space="0" w:color="auto"/>
        <w:right w:val="single" w:sz="8" w:space="0" w:color="auto"/>
      </w:pBdr>
      <w:shd w:val="clear" w:color="000000" w:fill="FFFFFF"/>
      <w:spacing w:before="100" w:beforeAutospacing="1" w:after="100" w:afterAutospacing="1" w:line="278" w:lineRule="auto"/>
      <w:jc w:val="left"/>
      <w:textAlignment w:val="center"/>
    </w:pPr>
    <w:rPr>
      <w:rFonts w:ascii="宋体" w:hAnsi="宋体" w:cs="宋体"/>
      <w:b/>
      <w:bCs/>
      <w:kern w:val="0"/>
      <w:sz w:val="18"/>
      <w:szCs w:val="18"/>
    </w:rPr>
  </w:style>
  <w:style w:type="paragraph" w:customStyle="1" w:styleId="5ff1">
    <w:name w:val="列表5"/>
    <w:basedOn w:val="1ffff2"/>
    <w:qFormat/>
    <w:pPr>
      <w:pBdr>
        <w:left w:val="none" w:sz="0" w:space="0" w:color="auto"/>
      </w:pBdr>
      <w:ind w:left="1800"/>
    </w:pPr>
  </w:style>
  <w:style w:type="paragraph" w:customStyle="1" w:styleId="xl106">
    <w:name w:val="xl106"/>
    <w:basedOn w:val="a7"/>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11H1PIM1h1111W1CharW11">
    <w:name w:val="样式 标题 1标题1H1PIM 1h1标题 1(章)一、1.标题 1封面大标题W1 CharW1标题 1 ..."/>
    <w:basedOn w:val="1"/>
    <w:next w:val="aff2"/>
    <w:qFormat/>
    <w:pPr>
      <w:keepNext/>
      <w:widowControl/>
      <w:numPr>
        <w:numId w:val="0"/>
      </w:numPr>
      <w:snapToGrid/>
      <w:spacing w:before="340" w:afterLines="50" w:after="330"/>
      <w:ind w:left="30"/>
    </w:pPr>
    <w:rPr>
      <w:rFonts w:ascii="黑体" w:eastAsia="黑体" w:cs="宋体"/>
      <w:b/>
      <w:bCs/>
      <w:kern w:val="144"/>
      <w:sz w:val="32"/>
      <w:szCs w:val="20"/>
      <w:lang w:val="zh-CN"/>
    </w:rPr>
  </w:style>
  <w:style w:type="paragraph" w:customStyle="1" w:styleId="030">
    <w:name w:val="样式 正文文本正文文字 + 加宽量  0.3 磅"/>
    <w:basedOn w:val="aff2"/>
    <w:uiPriority w:val="99"/>
    <w:qFormat/>
    <w:pPr>
      <w:adjustRightInd w:val="0"/>
      <w:snapToGrid w:val="0"/>
      <w:spacing w:before="60" w:after="60" w:line="264" w:lineRule="auto"/>
      <w:ind w:left="0" w:firstLineChars="200" w:firstLine="200"/>
      <w:textAlignment w:val="baseline"/>
    </w:pPr>
    <w:rPr>
      <w:rFonts w:ascii="Times New Roman" w:hAnsi="Times New Roman"/>
      <w:spacing w:val="6"/>
      <w:szCs w:val="21"/>
      <w:lang w:eastAsia="zh-CN"/>
    </w:rPr>
  </w:style>
  <w:style w:type="paragraph" w:customStyle="1" w:styleId="affffffffffffffffffffffffffffffe">
    <w:name w:val="图章"/>
    <w:basedOn w:val="a7"/>
    <w:qFormat/>
    <w:pPr>
      <w:keepNext/>
      <w:tabs>
        <w:tab w:val="left" w:pos="1727"/>
        <w:tab w:val="left" w:pos="1884"/>
      </w:tabs>
      <w:adjustRightInd w:val="0"/>
      <w:snapToGrid w:val="0"/>
      <w:spacing w:after="160" w:line="278" w:lineRule="auto"/>
      <w:ind w:firstLineChars="200" w:firstLine="200"/>
      <w:jc w:val="left"/>
    </w:pPr>
    <w:rPr>
      <w:rFonts w:ascii="宋体"/>
      <w:snapToGrid w:val="0"/>
      <w:kern w:val="0"/>
      <w:sz w:val="18"/>
      <w:szCs w:val="20"/>
    </w:rPr>
  </w:style>
  <w:style w:type="paragraph" w:customStyle="1" w:styleId="Fremdspracheberschrift2">
    <w:name w:val="FremdspracheÜberschrift2"/>
    <w:basedOn w:val="21"/>
    <w:qFormat/>
    <w:pPr>
      <w:keepNext/>
      <w:keepLines/>
      <w:numPr>
        <w:ilvl w:val="0"/>
        <w:numId w:val="0"/>
      </w:numPr>
      <w:tabs>
        <w:tab w:val="clear" w:pos="567"/>
        <w:tab w:val="left" w:pos="454"/>
        <w:tab w:val="left" w:pos="576"/>
        <w:tab w:val="left" w:pos="851"/>
      </w:tabs>
      <w:snapToGrid/>
      <w:spacing w:beforeLines="0" w:before="120" w:afterLines="0" w:after="60" w:line="240" w:lineRule="auto"/>
      <w:ind w:left="576" w:hanging="576"/>
    </w:pPr>
    <w:rPr>
      <w:rFonts w:ascii="Arial" w:eastAsia="宋体" w:hAnsi="Arial"/>
      <w:b w:val="0"/>
      <w:bCs w:val="0"/>
      <w:smallCaps w:val="0"/>
      <w:color w:val="auto"/>
      <w:kern w:val="0"/>
      <w:sz w:val="22"/>
      <w:szCs w:val="20"/>
    </w:rPr>
  </w:style>
  <w:style w:type="paragraph" w:customStyle="1" w:styleId="afffffffffffffffffffffffffffffff">
    <w:name w:val="表前文"/>
    <w:basedOn w:val="a7"/>
    <w:uiPriority w:val="99"/>
    <w:qFormat/>
    <w:pPr>
      <w:tabs>
        <w:tab w:val="left" w:pos="5040"/>
      </w:tabs>
      <w:adjustRightInd w:val="0"/>
      <w:snapToGrid w:val="0"/>
      <w:spacing w:after="120" w:line="500" w:lineRule="exact"/>
      <w:ind w:leftChars="-114" w:left="-239" w:firstLineChars="228" w:firstLine="479"/>
      <w:jc w:val="left"/>
      <w:textAlignment w:val="baseline"/>
    </w:pPr>
    <w:rPr>
      <w:rFonts w:eastAsia="楷体_GB2312"/>
      <w:kern w:val="0"/>
    </w:rPr>
  </w:style>
  <w:style w:type="paragraph" w:customStyle="1" w:styleId="afffffffffffffffffffffffffffffff0">
    <w:name w:val="条(三级)"/>
    <w:qFormat/>
    <w:pPr>
      <w:tabs>
        <w:tab w:val="left" w:pos="454"/>
        <w:tab w:val="left" w:pos="851"/>
      </w:tabs>
      <w:spacing w:after="160" w:line="278" w:lineRule="auto"/>
    </w:pPr>
  </w:style>
  <w:style w:type="paragraph" w:customStyle="1" w:styleId="afffffffffffffffffffffffffffffff1">
    <w:name w:val="条(二级)"/>
    <w:basedOn w:val="21"/>
    <w:next w:val="afffffffffffffffffffffffffffffff0"/>
    <w:qFormat/>
    <w:pPr>
      <w:keepNext/>
      <w:keepLines/>
      <w:numPr>
        <w:ilvl w:val="0"/>
        <w:numId w:val="0"/>
      </w:numPr>
      <w:tabs>
        <w:tab w:val="left" w:pos="454"/>
        <w:tab w:val="left" w:pos="851"/>
      </w:tabs>
      <w:adjustRightInd w:val="0"/>
      <w:snapToGrid/>
      <w:spacing w:beforeLines="0" w:before="0" w:afterLines="0" w:after="0" w:line="460" w:lineRule="exact"/>
      <w:ind w:left="576" w:firstLineChars="200" w:hanging="576"/>
      <w:textAlignment w:val="baseline"/>
      <w:outlineLvl w:val="9"/>
    </w:pPr>
    <w:rPr>
      <w:rFonts w:ascii="宋体" w:eastAsia="宋体"/>
      <w:bCs w:val="0"/>
      <w:smallCaps w:val="0"/>
      <w:color w:val="auto"/>
      <w:spacing w:val="3"/>
      <w:kern w:val="24"/>
      <w:sz w:val="24"/>
      <w:szCs w:val="20"/>
    </w:rPr>
  </w:style>
  <w:style w:type="paragraph" w:customStyle="1" w:styleId="afffffffffffffffffffffffffffffff2">
    <w:name w:val="条(四级)"/>
    <w:basedOn w:val="afffffffffffffffffffffffffffffff0"/>
    <w:next w:val="affffffffffffff2"/>
    <w:qFormat/>
  </w:style>
  <w:style w:type="paragraph" w:customStyle="1" w:styleId="Style104">
    <w:name w:val="Style104"/>
    <w:basedOn w:val="a7"/>
    <w:qFormat/>
    <w:pPr>
      <w:adjustRightInd w:val="0"/>
      <w:spacing w:after="160" w:line="360" w:lineRule="auto"/>
      <w:ind w:firstLine="482"/>
      <w:jc w:val="center"/>
    </w:pPr>
    <w:rPr>
      <w:rFonts w:ascii="宋体"/>
      <w:kern w:val="0"/>
      <w:sz w:val="24"/>
    </w:rPr>
  </w:style>
  <w:style w:type="paragraph" w:customStyle="1" w:styleId="CharCharCharCharCharCharCharCharCharCharChar1CharCharCharChar">
    <w:name w:val="Char Char Char Char Char Char Char Char Char Char Char1 Char Char Char Char"/>
    <w:basedOn w:val="a7"/>
    <w:qFormat/>
    <w:pPr>
      <w:spacing w:after="160" w:line="278" w:lineRule="auto"/>
    </w:pPr>
    <w:rPr>
      <w:sz w:val="24"/>
    </w:rPr>
  </w:style>
  <w:style w:type="paragraph" w:customStyle="1" w:styleId="PSPSPSPS">
    <w:name w:val="PSPSPSPS"/>
    <w:basedOn w:val="a7"/>
    <w:qFormat/>
    <w:pPr>
      <w:adjustRightInd w:val="0"/>
      <w:spacing w:after="160" w:line="600" w:lineRule="atLeast"/>
      <w:textAlignment w:val="baseline"/>
    </w:pPr>
    <w:rPr>
      <w:kern w:val="0"/>
      <w:sz w:val="28"/>
      <w:szCs w:val="20"/>
    </w:rPr>
  </w:style>
  <w:style w:type="paragraph" w:customStyle="1" w:styleId="afffffffffffffffffffffffffffffff3">
    <w:name w:val="正文编号"/>
    <w:basedOn w:val="a7"/>
    <w:qFormat/>
    <w:pPr>
      <w:tabs>
        <w:tab w:val="left" w:pos="720"/>
        <w:tab w:val="left" w:pos="780"/>
        <w:tab w:val="left" w:pos="5040"/>
      </w:tabs>
      <w:adjustRightInd w:val="0"/>
      <w:snapToGrid w:val="0"/>
      <w:spacing w:after="160" w:line="500" w:lineRule="exact"/>
      <w:ind w:leftChars="-114" w:left="780" w:firstLineChars="228" w:hanging="360"/>
      <w:jc w:val="left"/>
      <w:textAlignment w:val="baseline"/>
    </w:pPr>
    <w:rPr>
      <w:rFonts w:eastAsia="楷体_GB2312"/>
      <w:kern w:val="0"/>
    </w:rPr>
  </w:style>
  <w:style w:type="paragraph" w:customStyle="1" w:styleId="S1">
    <w:name w:val="二级标题S"/>
    <w:basedOn w:val="21"/>
    <w:next w:val="a7"/>
    <w:qFormat/>
    <w:pPr>
      <w:keepNext/>
      <w:keepLines/>
      <w:numPr>
        <w:ilvl w:val="0"/>
        <w:numId w:val="0"/>
      </w:numPr>
      <w:tabs>
        <w:tab w:val="clear" w:pos="567"/>
        <w:tab w:val="left" w:pos="576"/>
        <w:tab w:val="left" w:pos="851"/>
      </w:tabs>
      <w:snapToGrid/>
      <w:spacing w:beforeLines="30" w:before="260" w:afterLines="30" w:after="260"/>
      <w:jc w:val="both"/>
    </w:pPr>
    <w:rPr>
      <w:rFonts w:eastAsia="仿宋_GB2312"/>
      <w:bCs w:val="0"/>
      <w:smallCaps w:val="0"/>
      <w:color w:val="auto"/>
      <w:sz w:val="28"/>
      <w:szCs w:val="20"/>
    </w:rPr>
  </w:style>
  <w:style w:type="paragraph" w:customStyle="1" w:styleId="afffffffffffffffffffffffffffffff4">
    <w:name w:val="流程文字"/>
    <w:basedOn w:val="a7"/>
    <w:qFormat/>
    <w:pPr>
      <w:tabs>
        <w:tab w:val="left" w:pos="6480"/>
      </w:tabs>
      <w:topLinePunct/>
      <w:adjustRightInd w:val="0"/>
      <w:snapToGrid w:val="0"/>
      <w:spacing w:after="160" w:line="360" w:lineRule="atLeast"/>
      <w:jc w:val="center"/>
      <w:textAlignment w:val="baseline"/>
    </w:pPr>
    <w:rPr>
      <w:rFonts w:eastAsia="仿宋_GB2312"/>
      <w:szCs w:val="20"/>
    </w:rPr>
  </w:style>
  <w:style w:type="paragraph" w:customStyle="1" w:styleId="CharCharCharCharCharChar1Char2">
    <w:name w:val="Char Char Char Char Char Char1 Char2"/>
    <w:basedOn w:val="a7"/>
    <w:qFormat/>
    <w:pPr>
      <w:spacing w:after="160" w:line="278" w:lineRule="auto"/>
    </w:pPr>
  </w:style>
  <w:style w:type="paragraph" w:customStyle="1" w:styleId="afffffffffffffffffffffffffffffff5">
    <w:name w:val="标准书眉_偶数页"/>
    <w:basedOn w:val="a7"/>
    <w:next w:val="a7"/>
    <w:qFormat/>
    <w:pPr>
      <w:widowControl/>
      <w:tabs>
        <w:tab w:val="center" w:pos="4154"/>
        <w:tab w:val="right" w:pos="8306"/>
      </w:tabs>
      <w:spacing w:after="120" w:line="278" w:lineRule="auto"/>
      <w:jc w:val="left"/>
    </w:pPr>
    <w:rPr>
      <w:kern w:val="0"/>
      <w:szCs w:val="20"/>
    </w:rPr>
  </w:style>
  <w:style w:type="paragraph" w:customStyle="1" w:styleId="2SLCON21">
    <w:name w:val="样式 正文 首行缩进:  2 字符 SL CON + 首行缩进:  2 字符1"/>
    <w:basedOn w:val="a7"/>
    <w:qFormat/>
    <w:pPr>
      <w:widowControl/>
      <w:tabs>
        <w:tab w:val="left" w:pos="377"/>
      </w:tabs>
      <w:snapToGrid w:val="0"/>
      <w:spacing w:after="160" w:line="360" w:lineRule="auto"/>
      <w:ind w:firstLineChars="200" w:firstLine="480"/>
      <w:jc w:val="left"/>
    </w:pPr>
    <w:rPr>
      <w:rFonts w:ascii="宋体" w:cs="宋体"/>
      <w:kern w:val="0"/>
      <w:sz w:val="24"/>
      <w:szCs w:val="20"/>
    </w:rPr>
  </w:style>
  <w:style w:type="paragraph" w:customStyle="1" w:styleId="afffffffffffffffffffffffffffffff6">
    <w:name w:val="电镀表"/>
    <w:basedOn w:val="a7"/>
    <w:qFormat/>
    <w:pPr>
      <w:autoSpaceDE w:val="0"/>
      <w:autoSpaceDN w:val="0"/>
      <w:adjustRightInd w:val="0"/>
      <w:snapToGrid w:val="0"/>
      <w:spacing w:after="160" w:line="278" w:lineRule="auto"/>
      <w:textAlignment w:val="center"/>
    </w:pPr>
    <w:rPr>
      <w:kern w:val="0"/>
    </w:rPr>
  </w:style>
  <w:style w:type="paragraph" w:customStyle="1" w:styleId="4ff0">
    <w:name w:val="宏福4"/>
    <w:basedOn w:val="a7"/>
    <w:qFormat/>
    <w:pPr>
      <w:adjustRightInd w:val="0"/>
      <w:spacing w:after="160" w:line="400" w:lineRule="atLeast"/>
      <w:ind w:firstLine="567"/>
      <w:jc w:val="left"/>
      <w:textAlignment w:val="baseline"/>
    </w:pPr>
    <w:rPr>
      <w:sz w:val="28"/>
      <w:szCs w:val="28"/>
    </w:rPr>
  </w:style>
  <w:style w:type="paragraph" w:customStyle="1" w:styleId="3ffb">
    <w:name w:val="正文样式3"/>
    <w:basedOn w:val="a7"/>
    <w:qFormat/>
    <w:pPr>
      <w:adjustRightInd w:val="0"/>
      <w:spacing w:after="160" w:line="20" w:lineRule="atLeast"/>
      <w:ind w:firstLineChars="200" w:firstLine="420"/>
      <w:jc w:val="center"/>
    </w:pPr>
    <w:rPr>
      <w:kern w:val="0"/>
      <w:sz w:val="24"/>
      <w:szCs w:val="20"/>
    </w:rPr>
  </w:style>
  <w:style w:type="paragraph" w:customStyle="1" w:styleId="CharCharChar1CharCharCharChar11">
    <w:name w:val="Char Char Char1 Char Char Char Char11"/>
    <w:basedOn w:val="a7"/>
    <w:next w:val="a7"/>
    <w:qFormat/>
    <w:pPr>
      <w:spacing w:after="160" w:line="360" w:lineRule="auto"/>
      <w:ind w:firstLineChars="200" w:firstLine="200"/>
    </w:pPr>
    <w:rPr>
      <w:kern w:val="0"/>
      <w:sz w:val="24"/>
      <w:szCs w:val="20"/>
    </w:rPr>
  </w:style>
  <w:style w:type="paragraph" w:customStyle="1" w:styleId="CharCharCharCharCharCharChar2">
    <w:name w:val="样式 纯文本普通文字 Char纯文本 Char普通文字纯文本 Char Char Char Char纯文本 Char ..."/>
    <w:basedOn w:val="aff8"/>
    <w:uiPriority w:val="99"/>
    <w:qFormat/>
    <w:pPr>
      <w:spacing w:after="160" w:line="278" w:lineRule="auto"/>
      <w:jc w:val="center"/>
    </w:pPr>
    <w:rPr>
      <w:rFonts w:ascii="Times New Roman" w:hAnsi="Times New Roman" w:cs="Times New Roman"/>
      <w:szCs w:val="20"/>
    </w:rPr>
  </w:style>
  <w:style w:type="paragraph" w:customStyle="1" w:styleId="afffffffffffffffffffffffffffffff7">
    <w:name w:val="表中正文"/>
    <w:basedOn w:val="a7"/>
    <w:uiPriority w:val="99"/>
    <w:qFormat/>
    <w:pPr>
      <w:tabs>
        <w:tab w:val="left" w:pos="958"/>
        <w:tab w:val="left" w:pos="7320"/>
        <w:tab w:val="left" w:pos="8160"/>
      </w:tabs>
      <w:adjustRightInd w:val="0"/>
      <w:spacing w:after="160" w:line="360" w:lineRule="atLeast"/>
      <w:ind w:right="113" w:firstLine="482"/>
      <w:jc w:val="center"/>
      <w:textAlignment w:val="baseline"/>
    </w:pPr>
    <w:rPr>
      <w:rFonts w:ascii="宋体" w:hAnsi="宋体"/>
      <w:spacing w:val="6"/>
      <w:kern w:val="20"/>
      <w:sz w:val="24"/>
    </w:rPr>
  </w:style>
  <w:style w:type="paragraph" w:customStyle="1" w:styleId="afffffffffffffffffffffffffffffff8">
    <w:name w:val="主题:"/>
    <w:qFormat/>
    <w:pPr>
      <w:widowControl w:val="0"/>
      <w:spacing w:after="160" w:line="278" w:lineRule="auto"/>
      <w:jc w:val="both"/>
    </w:pPr>
    <w:rPr>
      <w:kern w:val="2"/>
      <w:sz w:val="21"/>
    </w:rPr>
  </w:style>
  <w:style w:type="paragraph" w:customStyle="1" w:styleId="OutokumpuNumberedHeading8">
    <w:name w:val="Outokumpu Numbered Heading 8"/>
    <w:basedOn w:val="OutokumpuNormal"/>
    <w:next w:val="OutokumpuNormal"/>
    <w:qFormat/>
    <w:pPr>
      <w:tabs>
        <w:tab w:val="left" w:pos="1134"/>
        <w:tab w:val="left" w:pos="3900"/>
      </w:tabs>
      <w:ind w:left="3900" w:hanging="420"/>
    </w:pPr>
    <w:rPr>
      <w:b/>
    </w:rPr>
  </w:style>
  <w:style w:type="paragraph" w:customStyle="1" w:styleId="afffffffffffffffffffffffffffffff9">
    <w:name w:val="正文(齐头)"/>
    <w:basedOn w:val="a7"/>
    <w:qFormat/>
    <w:pPr>
      <w:adjustRightInd w:val="0"/>
      <w:spacing w:after="180" w:line="320" w:lineRule="exact"/>
      <w:ind w:left="1009" w:hanging="1009"/>
      <w:textAlignment w:val="bottom"/>
    </w:pPr>
    <w:rPr>
      <w:rFonts w:ascii="Arial" w:hAnsi="Arial"/>
      <w:kern w:val="0"/>
      <w:sz w:val="24"/>
      <w:szCs w:val="20"/>
    </w:rPr>
  </w:style>
  <w:style w:type="paragraph" w:customStyle="1" w:styleId="afffffffffffffffffffffffffffffffa">
    <w:name w:val="首消息标题"/>
    <w:basedOn w:val="affff0"/>
    <w:next w:val="affff0"/>
    <w:qFormat/>
    <w:pPr>
      <w:spacing w:after="160"/>
    </w:pPr>
    <w:rPr>
      <w:sz w:val="21"/>
      <w:szCs w:val="21"/>
    </w:rPr>
  </w:style>
  <w:style w:type="paragraph" w:customStyle="1" w:styleId="hao01-0">
    <w:name w:val="hao01-0"/>
    <w:qFormat/>
    <w:pPr>
      <w:spacing w:after="160" w:line="278" w:lineRule="auto"/>
      <w:ind w:firstLineChars="200" w:firstLine="200"/>
    </w:pPr>
    <w:rPr>
      <w:kern w:val="2"/>
      <w:sz w:val="24"/>
      <w:szCs w:val="24"/>
    </w:rPr>
  </w:style>
  <w:style w:type="paragraph" w:customStyle="1" w:styleId="4ff1">
    <w:name w:val="页眉4"/>
    <w:basedOn w:val="a7"/>
    <w:qFormat/>
    <w:pPr>
      <w:widowControl/>
      <w:spacing w:before="100" w:beforeAutospacing="1" w:after="100" w:afterAutospacing="1" w:line="278" w:lineRule="auto"/>
      <w:jc w:val="left"/>
    </w:pPr>
    <w:rPr>
      <w:rFonts w:ascii="宋体" w:hAnsi="宋体" w:cs="宋体"/>
      <w:kern w:val="0"/>
      <w:sz w:val="24"/>
    </w:rPr>
  </w:style>
  <w:style w:type="paragraph" w:customStyle="1" w:styleId="afffffffffffffffffffffffffffffffb">
    <w:name w:val="小四表格"/>
    <w:basedOn w:val="a7"/>
    <w:uiPriority w:val="99"/>
    <w:qFormat/>
    <w:pPr>
      <w:keepNext/>
      <w:autoSpaceDE w:val="0"/>
      <w:autoSpaceDN w:val="0"/>
      <w:adjustRightInd w:val="0"/>
      <w:spacing w:after="160" w:line="480" w:lineRule="atLeast"/>
      <w:jc w:val="center"/>
    </w:pPr>
    <w:rPr>
      <w:color w:val="000000"/>
      <w:sz w:val="24"/>
      <w:szCs w:val="20"/>
    </w:rPr>
  </w:style>
  <w:style w:type="paragraph" w:customStyle="1" w:styleId="afffffffffffffffffffffffffffffffc">
    <w:name w:val="符号"/>
    <w:basedOn w:val="a7"/>
    <w:uiPriority w:val="99"/>
    <w:qFormat/>
    <w:pPr>
      <w:tabs>
        <w:tab w:val="left" w:pos="810"/>
        <w:tab w:val="left" w:pos="935"/>
      </w:tabs>
      <w:adjustRightInd w:val="0"/>
      <w:spacing w:after="160" w:line="460" w:lineRule="exact"/>
      <w:ind w:left="935" w:hanging="285"/>
      <w:jc w:val="left"/>
      <w:textAlignment w:val="baseline"/>
    </w:pPr>
    <w:rPr>
      <w:kern w:val="0"/>
      <w:sz w:val="24"/>
      <w:szCs w:val="20"/>
    </w:rPr>
  </w:style>
  <w:style w:type="paragraph" w:customStyle="1" w:styleId="xl199">
    <w:name w:val="xl199"/>
    <w:basedOn w:val="a7"/>
    <w:qFormat/>
    <w:pPr>
      <w:widowControl/>
      <w:pBdr>
        <w:top w:val="single" w:sz="4" w:space="0" w:color="auto"/>
        <w:bottom w:val="single" w:sz="4" w:space="0" w:color="auto"/>
        <w:right w:val="single" w:sz="4" w:space="0" w:color="auto"/>
      </w:pBdr>
      <w:shd w:val="clear" w:color="000000" w:fill="FFFFFF"/>
      <w:spacing w:before="100" w:beforeAutospacing="1" w:after="100" w:afterAutospacing="1" w:line="278" w:lineRule="auto"/>
      <w:jc w:val="left"/>
      <w:textAlignment w:val="center"/>
    </w:pPr>
    <w:rPr>
      <w:rFonts w:ascii="宋体" w:hAnsi="宋体" w:cs="宋体"/>
      <w:b/>
      <w:bCs/>
      <w:color w:val="000000"/>
      <w:kern w:val="0"/>
      <w:sz w:val="20"/>
      <w:szCs w:val="20"/>
    </w:rPr>
  </w:style>
  <w:style w:type="paragraph" w:customStyle="1" w:styleId="afffffffffffffffffffffffffffffffd">
    <w:name w:val="正文文"/>
    <w:basedOn w:val="a7"/>
    <w:qFormat/>
    <w:pPr>
      <w:adjustRightInd w:val="0"/>
      <w:snapToGrid w:val="0"/>
      <w:spacing w:after="160" w:line="288" w:lineRule="auto"/>
      <w:ind w:firstLineChars="200" w:firstLine="480"/>
      <w:jc w:val="left"/>
    </w:pPr>
    <w:rPr>
      <w:rFonts w:eastAsia="楷体_GB2312"/>
      <w:kern w:val="0"/>
      <w:sz w:val="24"/>
    </w:rPr>
  </w:style>
  <w:style w:type="paragraph" w:customStyle="1" w:styleId="Afffffffffffffffffffffffffffffffe">
    <w:name w:val="A三级条标题"/>
    <w:basedOn w:val="Afffffffffffffffffff2"/>
    <w:next w:val="a7"/>
    <w:qFormat/>
    <w:pPr>
      <w:outlineLvl w:val="4"/>
    </w:pPr>
  </w:style>
  <w:style w:type="paragraph" w:customStyle="1" w:styleId="5074025025">
    <w:name w:val="样式 标题 5 + 首行缩进:  0.74 厘米 段前: 0.25 行 段后: 0.25 行"/>
    <w:basedOn w:val="52"/>
    <w:qFormat/>
    <w:pPr>
      <w:adjustRightInd w:val="0"/>
      <w:snapToGrid w:val="0"/>
      <w:spacing w:beforeLines="25" w:before="78" w:afterLines="25" w:after="78" w:line="300" w:lineRule="auto"/>
      <w:ind w:firstLine="482"/>
    </w:pPr>
    <w:rPr>
      <w:rFonts w:cs="宋体"/>
      <w:bCs/>
      <w:kern w:val="2"/>
      <w:sz w:val="21"/>
      <w:lang w:val="en-US"/>
    </w:rPr>
  </w:style>
  <w:style w:type="paragraph" w:customStyle="1" w:styleId="ST2010">
    <w:name w:val="ST20_10"/>
    <w:basedOn w:val="ST2011"/>
    <w:qFormat/>
    <w:pPr>
      <w:keepLines/>
      <w:spacing w:after="0"/>
      <w:ind w:right="4320"/>
    </w:pPr>
  </w:style>
  <w:style w:type="paragraph" w:customStyle="1" w:styleId="CharCharCharCharCharCharCharChar2CharCharCharCharCharCharCharCharCharCharCharCharChar">
    <w:name w:val="Char Char Char Char Char Char Char Char2 Char Char Char Char Char Char Char Char Char Char Char Char Char"/>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xl304">
    <w:name w:val="xl304"/>
    <w:basedOn w:val="a7"/>
    <w:qFormat/>
    <w:pPr>
      <w:widowControl/>
      <w:pBdr>
        <w:left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Style60">
    <w:name w:val="Style60"/>
    <w:basedOn w:val="a7"/>
    <w:qFormat/>
    <w:pPr>
      <w:adjustRightInd w:val="0"/>
      <w:spacing w:after="160" w:line="467" w:lineRule="exact"/>
      <w:ind w:firstLine="475"/>
    </w:pPr>
    <w:rPr>
      <w:rFonts w:ascii="宋体"/>
      <w:kern w:val="0"/>
      <w:sz w:val="24"/>
    </w:rPr>
  </w:style>
  <w:style w:type="paragraph" w:customStyle="1" w:styleId="xl293">
    <w:name w:val="xl293"/>
    <w:basedOn w:val="a7"/>
    <w:qFormat/>
    <w:pPr>
      <w:widowControl/>
      <w:pBdr>
        <w:top w:val="single" w:sz="8" w:space="0" w:color="auto"/>
        <w:left w:val="single" w:sz="8"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3-ls">
    <w:name w:val="标3-ls"/>
    <w:basedOn w:val="31"/>
    <w:qFormat/>
    <w:pPr>
      <w:keepNext/>
      <w:keepLines/>
      <w:numPr>
        <w:ilvl w:val="0"/>
        <w:numId w:val="0"/>
      </w:numPr>
      <w:tabs>
        <w:tab w:val="left" w:pos="454"/>
      </w:tabs>
      <w:adjustRightInd/>
      <w:snapToGrid/>
      <w:spacing w:beforeLines="10" w:before="260" w:afterLines="10" w:after="260"/>
      <w:jc w:val="both"/>
      <w:textAlignment w:val="auto"/>
    </w:pPr>
    <w:rPr>
      <w:rFonts w:cs="宋体"/>
      <w:b w:val="0"/>
      <w:color w:val="auto"/>
      <w:sz w:val="24"/>
      <w:szCs w:val="20"/>
      <w:lang w:val="en-US"/>
    </w:rPr>
  </w:style>
  <w:style w:type="paragraph" w:customStyle="1" w:styleId="ST201">
    <w:name w:val="ST20_1"/>
    <w:basedOn w:val="a7"/>
    <w:qFormat/>
    <w:pPr>
      <w:autoSpaceDE w:val="0"/>
      <w:autoSpaceDN w:val="0"/>
      <w:adjustRightInd w:val="0"/>
      <w:spacing w:after="160" w:line="312" w:lineRule="atLeast"/>
      <w:jc w:val="center"/>
      <w:textAlignment w:val="baseline"/>
    </w:pPr>
    <w:rPr>
      <w:rFonts w:ascii="宋体" w:hAnsi="Tms Rmn"/>
      <w:kern w:val="0"/>
      <w:sz w:val="24"/>
      <w:szCs w:val="20"/>
    </w:rPr>
  </w:style>
  <w:style w:type="paragraph" w:customStyle="1" w:styleId="21121122Char12Heading202">
    <w:name w:val="样式 标题 21.1标题 21.1标题2标题 2 Char1节标2_Heading 2一级条 + 段前: 0....2"/>
    <w:basedOn w:val="a7"/>
    <w:next w:val="affff7"/>
    <w:semiHidden/>
    <w:qFormat/>
    <w:pPr>
      <w:keepNext/>
      <w:widowControl/>
      <w:spacing w:before="120" w:after="120" w:line="324" w:lineRule="auto"/>
      <w:ind w:firstLineChars="200" w:firstLine="200"/>
      <w:jc w:val="center"/>
    </w:pPr>
    <w:rPr>
      <w:rFonts w:ascii="宋体" w:hAnsi="宋体"/>
      <w:kern w:val="0"/>
      <w:sz w:val="24"/>
    </w:rPr>
  </w:style>
  <w:style w:type="paragraph" w:customStyle="1" w:styleId="Charfffffffe">
    <w:name w:val="Char 周立波"/>
    <w:basedOn w:val="a7"/>
    <w:qFormat/>
    <w:pPr>
      <w:spacing w:after="160" w:line="360" w:lineRule="auto"/>
      <w:ind w:firstLine="482"/>
    </w:pPr>
    <w:rPr>
      <w:kern w:val="0"/>
      <w:sz w:val="24"/>
    </w:rPr>
  </w:style>
  <w:style w:type="paragraph" w:customStyle="1" w:styleId="MG">
    <w:name w:val="MG"/>
    <w:basedOn w:val="1"/>
    <w:qFormat/>
    <w:pPr>
      <w:keepNext/>
      <w:widowControl/>
      <w:numPr>
        <w:numId w:val="0"/>
      </w:numPr>
      <w:tabs>
        <w:tab w:val="left" w:pos="2260"/>
        <w:tab w:val="left" w:pos="2820"/>
        <w:tab w:val="left" w:pos="3420"/>
      </w:tabs>
      <w:adjustRightInd w:val="0"/>
      <w:spacing w:beforeLines="0" w:before="440" w:after="120" w:line="278" w:lineRule="auto"/>
      <w:ind w:left="851" w:right="-28" w:hanging="851"/>
    </w:pPr>
    <w:rPr>
      <w:rFonts w:ascii="Arial" w:eastAsia="宋体"/>
      <w:kern w:val="0"/>
      <w:sz w:val="22"/>
      <w:szCs w:val="20"/>
    </w:rPr>
  </w:style>
  <w:style w:type="paragraph" w:customStyle="1" w:styleId="Char000">
    <w:name w:val="Char000"/>
    <w:basedOn w:val="a7"/>
    <w:qFormat/>
    <w:pPr>
      <w:spacing w:after="160" w:line="360" w:lineRule="auto"/>
      <w:ind w:firstLineChars="200" w:firstLine="200"/>
    </w:pPr>
    <w:rPr>
      <w:rFonts w:eastAsia="Times New Roman"/>
      <w:kern w:val="0"/>
      <w:sz w:val="20"/>
      <w:szCs w:val="20"/>
    </w:rPr>
  </w:style>
  <w:style w:type="paragraph" w:customStyle="1" w:styleId="Char23">
    <w:name w:val="Char23"/>
    <w:basedOn w:val="a7"/>
    <w:qFormat/>
    <w:pPr>
      <w:spacing w:after="160" w:line="360" w:lineRule="auto"/>
      <w:ind w:firstLineChars="200" w:firstLine="200"/>
    </w:pPr>
    <w:rPr>
      <w:color w:val="000000"/>
      <w:sz w:val="24"/>
    </w:rPr>
  </w:style>
  <w:style w:type="paragraph" w:customStyle="1" w:styleId="affffffffffffffffffffffffffffffff">
    <w:name w:val="a表格"/>
    <w:next w:val="affff7"/>
    <w:uiPriority w:val="99"/>
    <w:qFormat/>
    <w:pPr>
      <w:spacing w:after="160" w:line="278" w:lineRule="auto"/>
      <w:jc w:val="center"/>
    </w:pPr>
    <w:rPr>
      <w:sz w:val="21"/>
      <w:szCs w:val="24"/>
    </w:rPr>
  </w:style>
  <w:style w:type="paragraph" w:customStyle="1" w:styleId="313">
    <w:name w:val="表格 31"/>
    <w:qFormat/>
    <w:pPr>
      <w:widowControl w:val="0"/>
      <w:autoSpaceDE w:val="0"/>
      <w:autoSpaceDN w:val="0"/>
      <w:adjustRightInd w:val="0"/>
      <w:spacing w:after="160" w:line="278" w:lineRule="auto"/>
      <w:jc w:val="center"/>
      <w:textAlignment w:val="baseline"/>
    </w:pPr>
    <w:rPr>
      <w:rFonts w:eastAsia="楷体"/>
      <w:sz w:val="28"/>
    </w:rPr>
  </w:style>
  <w:style w:type="paragraph" w:customStyle="1" w:styleId="affffffffffffffffffffffffffffffff0">
    <w:name w:val="备注的格式"/>
    <w:basedOn w:val="afff0"/>
    <w:semiHidden/>
    <w:qFormat/>
    <w:pPr>
      <w:adjustRightInd w:val="0"/>
      <w:spacing w:after="160" w:line="278" w:lineRule="auto"/>
      <w:ind w:firstLine="360"/>
    </w:pPr>
    <w:rPr>
      <w:rFonts w:eastAsia="黑体"/>
    </w:rPr>
  </w:style>
  <w:style w:type="paragraph" w:customStyle="1" w:styleId="xl53">
    <w:name w:val="xl53"/>
    <w:basedOn w:val="a7"/>
    <w:uiPriority w:val="99"/>
    <w:qFormat/>
    <w:pPr>
      <w:widowControl/>
      <w:pBdr>
        <w:bottom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z3">
    <w:name w:val="z3"/>
    <w:basedOn w:val="31"/>
    <w:qFormat/>
    <w:pPr>
      <w:keepNext/>
      <w:keepLines/>
      <w:widowControl/>
      <w:numPr>
        <w:ilvl w:val="0"/>
        <w:numId w:val="0"/>
      </w:numPr>
      <w:adjustRightInd/>
      <w:snapToGrid/>
      <w:spacing w:beforeLines="0" w:before="0" w:afterLines="0" w:after="0" w:line="240" w:lineRule="auto"/>
      <w:textAlignment w:val="auto"/>
    </w:pPr>
    <w:rPr>
      <w:rFonts w:ascii="楷体_GB2312" w:eastAsia="楷体_GB2312" w:hAnsi="Cambria"/>
      <w:color w:val="4F81BD"/>
      <w:kern w:val="0"/>
      <w:szCs w:val="20"/>
      <w:lang w:val="en-US" w:eastAsia="en-US"/>
    </w:rPr>
  </w:style>
  <w:style w:type="paragraph" w:customStyle="1" w:styleId="21a">
    <w:name w:val="正文21"/>
    <w:qFormat/>
    <w:pPr>
      <w:widowControl w:val="0"/>
      <w:suppressAutoHyphens/>
      <w:spacing w:after="160" w:line="520" w:lineRule="atLeast"/>
      <w:ind w:firstLine="200"/>
      <w:jc w:val="both"/>
    </w:pPr>
    <w:rPr>
      <w:spacing w:val="18"/>
      <w:sz w:val="32"/>
    </w:rPr>
  </w:style>
  <w:style w:type="paragraph" w:customStyle="1" w:styleId="S2">
    <w:name w:val="一级标题S"/>
    <w:basedOn w:val="1"/>
    <w:next w:val="S1"/>
    <w:qFormat/>
    <w:pPr>
      <w:keepNext/>
      <w:keepLines/>
      <w:pageBreakBefore/>
      <w:numPr>
        <w:numId w:val="0"/>
      </w:numPr>
      <w:tabs>
        <w:tab w:val="left" w:pos="432"/>
      </w:tabs>
      <w:snapToGrid/>
      <w:spacing w:before="340" w:afterLines="50" w:after="330"/>
      <w:jc w:val="center"/>
    </w:pPr>
    <w:rPr>
      <w:rFonts w:eastAsia="仿宋_GB2312"/>
      <w:b/>
      <w:sz w:val="30"/>
      <w:szCs w:val="20"/>
    </w:rPr>
  </w:style>
  <w:style w:type="paragraph" w:customStyle="1" w:styleId="182">
    <w:name w:val="样式18"/>
    <w:basedOn w:val="a7"/>
    <w:qFormat/>
    <w:pPr>
      <w:widowControl/>
      <w:spacing w:after="160" w:line="500" w:lineRule="exact"/>
      <w:jc w:val="left"/>
      <w:outlineLvl w:val="2"/>
    </w:pPr>
    <w:rPr>
      <w:rFonts w:eastAsia="华文中宋" w:hAnsi="华文中宋"/>
      <w:b/>
      <w:smallCaps/>
      <w:sz w:val="24"/>
    </w:rPr>
  </w:style>
  <w:style w:type="paragraph" w:customStyle="1" w:styleId="xl232">
    <w:name w:val="xl232"/>
    <w:basedOn w:val="a7"/>
    <w:qFormat/>
    <w:pPr>
      <w:widowControl/>
      <w:pBdr>
        <w:top w:val="single" w:sz="8" w:space="0" w:color="auto"/>
        <w:bottom w:val="single" w:sz="4" w:space="0" w:color="auto"/>
        <w:right w:val="single" w:sz="4" w:space="0" w:color="auto"/>
      </w:pBdr>
      <w:spacing w:before="100" w:beforeAutospacing="1" w:after="100" w:afterAutospacing="1" w:line="278" w:lineRule="auto"/>
      <w:jc w:val="center"/>
      <w:textAlignment w:val="center"/>
    </w:pPr>
    <w:rPr>
      <w:kern w:val="0"/>
      <w:sz w:val="20"/>
      <w:szCs w:val="20"/>
    </w:rPr>
  </w:style>
  <w:style w:type="paragraph" w:customStyle="1" w:styleId="CharCharCharCharCharCharCharCharChar1CharCharCharCharCharCharChar">
    <w:name w:val="Char Char Char Char Char Char Char Char Char1 Char Char Char Char Char Char Char"/>
    <w:basedOn w:val="a7"/>
    <w:qFormat/>
    <w:pPr>
      <w:spacing w:after="160" w:line="278" w:lineRule="auto"/>
    </w:pPr>
  </w:style>
  <w:style w:type="paragraph" w:customStyle="1" w:styleId="5ff2">
    <w:name w:val="表内5"/>
    <w:basedOn w:val="5f9"/>
    <w:qFormat/>
    <w:pPr>
      <w:adjustRightInd w:val="0"/>
      <w:snapToGrid w:val="0"/>
      <w:ind w:firstLine="0"/>
      <w:jc w:val="both"/>
    </w:pPr>
    <w:rPr>
      <w:rFonts w:ascii="Times New Roman"/>
      <w:kern w:val="2"/>
      <w:sz w:val="21"/>
      <w:szCs w:val="20"/>
    </w:rPr>
  </w:style>
  <w:style w:type="paragraph" w:customStyle="1" w:styleId="BodyText22">
    <w:name w:val="Body Text 22"/>
    <w:basedOn w:val="a7"/>
    <w:qFormat/>
    <w:pPr>
      <w:adjustRightInd w:val="0"/>
      <w:spacing w:after="160" w:line="440" w:lineRule="atLeast"/>
      <w:ind w:firstLine="480"/>
      <w:textAlignment w:val="baseline"/>
    </w:pPr>
    <w:rPr>
      <w:rFonts w:eastAsia="仿宋_GB2312"/>
      <w:kern w:val="0"/>
      <w:sz w:val="24"/>
      <w:szCs w:val="20"/>
    </w:rPr>
  </w:style>
  <w:style w:type="paragraph" w:customStyle="1" w:styleId="ljw0">
    <w:name w:val="ljw正文"/>
    <w:basedOn w:val="a7"/>
    <w:qFormat/>
    <w:pPr>
      <w:adjustRightInd w:val="0"/>
      <w:snapToGrid w:val="0"/>
      <w:spacing w:afterLines="50" w:after="160" w:line="300" w:lineRule="auto"/>
      <w:ind w:firstLineChars="200" w:firstLine="480"/>
    </w:pPr>
    <w:rPr>
      <w:rFonts w:ascii="宋体" w:hAnsi="宋体"/>
      <w:bCs/>
      <w:sz w:val="24"/>
      <w:szCs w:val="28"/>
    </w:rPr>
  </w:style>
  <w:style w:type="paragraph" w:customStyle="1" w:styleId="affffffffffffffffffffffffffffffff1">
    <w:name w:val="新表"/>
    <w:basedOn w:val="a7"/>
    <w:qFormat/>
    <w:pPr>
      <w:spacing w:after="160" w:line="360" w:lineRule="exact"/>
    </w:pPr>
    <w:rPr>
      <w:rFonts w:eastAsia="仿宋_GB2312"/>
      <w:bCs/>
      <w:kern w:val="0"/>
      <w:sz w:val="24"/>
      <w:szCs w:val="20"/>
    </w:rPr>
  </w:style>
  <w:style w:type="paragraph" w:customStyle="1" w:styleId="affffffffffffffffffffffffffffffff2">
    <w:name w:val="上次保存者"/>
    <w:qFormat/>
    <w:pPr>
      <w:widowControl w:val="0"/>
      <w:spacing w:after="160" w:line="278" w:lineRule="auto"/>
      <w:jc w:val="both"/>
    </w:pPr>
    <w:rPr>
      <w:kern w:val="2"/>
      <w:sz w:val="21"/>
    </w:rPr>
  </w:style>
  <w:style w:type="paragraph" w:customStyle="1" w:styleId="xl102">
    <w:name w:val="xl102"/>
    <w:basedOn w:val="a7"/>
    <w:qFormat/>
    <w:pPr>
      <w:widowControl/>
      <w:pBdr>
        <w:top w:val="single" w:sz="4" w:space="0" w:color="auto"/>
      </w:pBdr>
      <w:shd w:val="clear" w:color="000000" w:fill="FFFFFF"/>
      <w:snapToGrid w:val="0"/>
      <w:spacing w:before="100" w:beforeAutospacing="1" w:after="100" w:afterAutospacing="1" w:line="278" w:lineRule="auto"/>
      <w:jc w:val="left"/>
      <w:textAlignment w:val="center"/>
    </w:pPr>
    <w:rPr>
      <w:rFonts w:ascii="宋体" w:hAnsi="宋体" w:cs="宋体"/>
      <w:b/>
      <w:bCs/>
      <w:kern w:val="0"/>
      <w:sz w:val="24"/>
    </w:rPr>
  </w:style>
  <w:style w:type="paragraph" w:customStyle="1" w:styleId="037037">
    <w:name w:val="样式 正文缩进 + 左侧:  0.37 厘米 右侧:  0.37 厘米"/>
    <w:basedOn w:val="a7"/>
    <w:next w:val="a7"/>
    <w:qFormat/>
    <w:pPr>
      <w:autoSpaceDE w:val="0"/>
      <w:autoSpaceDN w:val="0"/>
      <w:adjustRightInd w:val="0"/>
      <w:spacing w:after="160" w:line="278" w:lineRule="auto"/>
      <w:jc w:val="left"/>
    </w:pPr>
    <w:rPr>
      <w:rFonts w:ascii="黑体" w:eastAsia="黑体" w:hAnsi="Calibri"/>
      <w:kern w:val="0"/>
      <w:sz w:val="24"/>
    </w:rPr>
  </w:style>
  <w:style w:type="paragraph" w:customStyle="1" w:styleId="Char210">
    <w:name w:val="Char21"/>
    <w:basedOn w:val="a7"/>
    <w:qFormat/>
    <w:pPr>
      <w:spacing w:after="160" w:line="360" w:lineRule="auto"/>
      <w:ind w:firstLine="482"/>
    </w:pPr>
    <w:rPr>
      <w:rFonts w:ascii="宋体" w:hAnsi="宋体"/>
      <w:b/>
      <w:kern w:val="0"/>
      <w:sz w:val="24"/>
    </w:rPr>
  </w:style>
  <w:style w:type="paragraph" w:customStyle="1" w:styleId="affffffffffffffffffffffffffffffff3">
    <w:name w:val="迪阳 标一"/>
    <w:basedOn w:val="1"/>
    <w:qFormat/>
    <w:pPr>
      <w:keepNext/>
      <w:keepLines/>
      <w:numPr>
        <w:numId w:val="0"/>
      </w:numPr>
      <w:spacing w:beforeLines="100" w:before="340" w:afterLines="100" w:after="330" w:line="278" w:lineRule="auto"/>
      <w:ind w:left="232" w:hanging="432"/>
      <w:jc w:val="left"/>
    </w:pPr>
    <w:rPr>
      <w:rFonts w:eastAsia="宋体"/>
      <w:b/>
      <w:kern w:val="4"/>
      <w:sz w:val="36"/>
    </w:rPr>
  </w:style>
  <w:style w:type="paragraph" w:customStyle="1" w:styleId="005">
    <w:name w:val="表格内容005"/>
    <w:basedOn w:val="a7"/>
    <w:qFormat/>
    <w:pPr>
      <w:tabs>
        <w:tab w:val="left" w:pos="3700"/>
      </w:tabs>
      <w:spacing w:after="160" w:line="278" w:lineRule="auto"/>
      <w:jc w:val="center"/>
    </w:pPr>
    <w:rPr>
      <w:rFonts w:ascii="宋体" w:eastAsia="楷体_GB2312" w:hAnsi="Bodoni PosterCompressed"/>
      <w:color w:val="000000"/>
      <w:sz w:val="24"/>
      <w:szCs w:val="20"/>
    </w:rPr>
  </w:style>
  <w:style w:type="paragraph" w:customStyle="1" w:styleId="GM">
    <w:name w:val="GM"/>
    <w:basedOn w:val="1"/>
    <w:qFormat/>
    <w:pPr>
      <w:keepNext/>
      <w:widowControl/>
      <w:numPr>
        <w:numId w:val="0"/>
      </w:numPr>
      <w:tabs>
        <w:tab w:val="left" w:pos="2260"/>
        <w:tab w:val="left" w:pos="2820"/>
        <w:tab w:val="left" w:pos="3420"/>
      </w:tabs>
      <w:adjustRightInd w:val="0"/>
      <w:spacing w:beforeLines="0" w:before="240" w:after="120" w:line="278" w:lineRule="auto"/>
      <w:ind w:left="851" w:right="-28" w:hanging="851"/>
    </w:pPr>
    <w:rPr>
      <w:rFonts w:ascii="Arial" w:eastAsia="宋体"/>
      <w:kern w:val="0"/>
      <w:sz w:val="22"/>
      <w:szCs w:val="20"/>
    </w:rPr>
  </w:style>
  <w:style w:type="paragraph" w:customStyle="1" w:styleId="11b">
    <w:name w:val="11"/>
    <w:basedOn w:val="a7"/>
    <w:next w:val="affff2"/>
    <w:qFormat/>
    <w:pPr>
      <w:widowControl/>
      <w:snapToGrid w:val="0"/>
      <w:spacing w:before="100" w:beforeAutospacing="1" w:after="100" w:afterAutospacing="1" w:line="278" w:lineRule="auto"/>
      <w:jc w:val="left"/>
    </w:pPr>
    <w:rPr>
      <w:rFonts w:ascii="宋体" w:hAnsi="宋体"/>
      <w:color w:val="000066"/>
      <w:kern w:val="0"/>
      <w:sz w:val="24"/>
      <w:szCs w:val="20"/>
    </w:rPr>
  </w:style>
  <w:style w:type="paragraph" w:customStyle="1" w:styleId="xl146">
    <w:name w:val="xl146"/>
    <w:basedOn w:val="a7"/>
    <w:uiPriority w:val="99"/>
    <w:qFormat/>
    <w:pPr>
      <w:widowControl/>
      <w:pBdr>
        <w:top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xl54">
    <w:name w:val="xl54"/>
    <w:basedOn w:val="a7"/>
    <w:qFormat/>
    <w:pPr>
      <w:widowControl/>
      <w:pBdr>
        <w:bottom w:val="single" w:sz="4" w:space="0" w:color="auto"/>
        <w:right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1GB23120">
    <w:name w:val="样式 样式 标题 1 + 楷体_GB2312 +"/>
    <w:basedOn w:val="1GB2312"/>
    <w:qFormat/>
    <w:rPr>
      <w:kern w:val="0"/>
    </w:rPr>
  </w:style>
  <w:style w:type="paragraph" w:customStyle="1" w:styleId="3A0">
    <w:name w:val="宏福3A"/>
    <w:basedOn w:val="a7"/>
    <w:qFormat/>
    <w:pPr>
      <w:keepNext/>
      <w:keepLines/>
      <w:snapToGrid w:val="0"/>
      <w:spacing w:before="240" w:after="160" w:line="278" w:lineRule="auto"/>
      <w:outlineLvl w:val="2"/>
    </w:pPr>
    <w:rPr>
      <w:sz w:val="28"/>
      <w:szCs w:val="28"/>
    </w:rPr>
  </w:style>
  <w:style w:type="paragraph" w:customStyle="1" w:styleId="ParaCharCharCharCharCharChar1CharCharCharChar">
    <w:name w:val="默认段落字体 Para Char Char Char Char Char Char1 Char Char Char Char"/>
    <w:basedOn w:val="a7"/>
    <w:qFormat/>
    <w:pPr>
      <w:snapToGrid w:val="0"/>
      <w:spacing w:after="160" w:line="360" w:lineRule="auto"/>
      <w:ind w:firstLineChars="200" w:firstLine="200"/>
    </w:pPr>
    <w:rPr>
      <w:rFonts w:eastAsia="仿宋_GB2312"/>
      <w:sz w:val="24"/>
    </w:rPr>
  </w:style>
  <w:style w:type="paragraph" w:customStyle="1" w:styleId="font11">
    <w:name w:val="font11"/>
    <w:basedOn w:val="a7"/>
    <w:qFormat/>
    <w:pPr>
      <w:widowControl/>
      <w:spacing w:before="100" w:beforeAutospacing="1" w:after="100" w:afterAutospacing="1" w:line="360" w:lineRule="auto"/>
      <w:ind w:firstLine="482"/>
      <w:jc w:val="left"/>
    </w:pPr>
    <w:rPr>
      <w:rFonts w:ascii="Symbol" w:hAnsi="Symbol"/>
      <w:kern w:val="0"/>
      <w:sz w:val="18"/>
      <w:szCs w:val="18"/>
    </w:rPr>
  </w:style>
  <w:style w:type="paragraph" w:customStyle="1" w:styleId="Char1Char1">
    <w:name w:val="Char1 Char1"/>
    <w:basedOn w:val="a7"/>
    <w:qFormat/>
    <w:pPr>
      <w:widowControl/>
      <w:adjustRightInd w:val="0"/>
      <w:spacing w:after="160" w:line="240" w:lineRule="exact"/>
      <w:ind w:firstLine="482"/>
      <w:jc w:val="left"/>
      <w:textAlignment w:val="baseline"/>
    </w:pPr>
    <w:rPr>
      <w:rFonts w:ascii="Arial" w:eastAsia="Times New Roman" w:hAnsi="Arial" w:cs="Verdana"/>
      <w:b/>
      <w:kern w:val="0"/>
      <w:sz w:val="24"/>
      <w:lang w:eastAsia="en-US"/>
    </w:rPr>
  </w:style>
  <w:style w:type="paragraph" w:customStyle="1" w:styleId="3ffc">
    <w:name w:val="标题　3"/>
    <w:basedOn w:val="41"/>
    <w:uiPriority w:val="99"/>
    <w:qFormat/>
    <w:pPr>
      <w:keepNext/>
      <w:keepLines/>
      <w:numPr>
        <w:ilvl w:val="0"/>
        <w:numId w:val="0"/>
      </w:numPr>
      <w:tabs>
        <w:tab w:val="clear" w:pos="864"/>
      </w:tabs>
      <w:adjustRightInd/>
      <w:snapToGrid/>
      <w:spacing w:beforeLines="0" w:before="0" w:afterLines="0" w:after="0"/>
      <w:jc w:val="both"/>
      <w:textAlignment w:val="auto"/>
    </w:pPr>
    <w:rPr>
      <w:rFonts w:eastAsia="宋体"/>
      <w:color w:val="auto"/>
      <w:kern w:val="0"/>
      <w:szCs w:val="20"/>
      <w:lang w:val="en-US"/>
    </w:rPr>
  </w:style>
  <w:style w:type="paragraph" w:customStyle="1" w:styleId="CM2">
    <w:name w:val="CM2"/>
    <w:basedOn w:val="a7"/>
    <w:next w:val="a7"/>
    <w:uiPriority w:val="99"/>
    <w:qFormat/>
    <w:pPr>
      <w:autoSpaceDE w:val="0"/>
      <w:autoSpaceDN w:val="0"/>
      <w:adjustRightInd w:val="0"/>
      <w:snapToGrid w:val="0"/>
      <w:spacing w:after="160" w:line="286" w:lineRule="atLeast"/>
      <w:jc w:val="left"/>
    </w:pPr>
    <w:rPr>
      <w:rFonts w:ascii="Arial" w:hAnsi="Arial" w:cs="Arial"/>
      <w:kern w:val="0"/>
      <w:sz w:val="24"/>
    </w:rPr>
  </w:style>
  <w:style w:type="paragraph" w:customStyle="1" w:styleId="affffffffffffffffffffffffffffffff4">
    <w:name w:val="表后"/>
    <w:basedOn w:val="a7"/>
    <w:next w:val="a7"/>
    <w:uiPriority w:val="99"/>
    <w:qFormat/>
    <w:pPr>
      <w:tabs>
        <w:tab w:val="left" w:pos="5040"/>
      </w:tabs>
      <w:adjustRightInd w:val="0"/>
      <w:snapToGrid w:val="0"/>
      <w:spacing w:before="120" w:after="160" w:line="500" w:lineRule="exact"/>
      <w:ind w:leftChars="-114" w:left="-239" w:firstLineChars="228" w:firstLine="479"/>
      <w:jc w:val="left"/>
      <w:textAlignment w:val="baseline"/>
    </w:pPr>
    <w:rPr>
      <w:rFonts w:eastAsia="楷体_GB2312"/>
      <w:kern w:val="0"/>
    </w:rPr>
  </w:style>
  <w:style w:type="paragraph" w:customStyle="1" w:styleId="ST2038">
    <w:name w:val="ST20_38"/>
    <w:basedOn w:val="a7"/>
    <w:next w:val="a7"/>
    <w:qFormat/>
    <w:pPr>
      <w:keepLines/>
      <w:autoSpaceDE w:val="0"/>
      <w:autoSpaceDN w:val="0"/>
      <w:adjustRightInd w:val="0"/>
      <w:spacing w:before="120" w:after="160" w:line="360" w:lineRule="atLeast"/>
      <w:ind w:left="720" w:right="720"/>
      <w:jc w:val="left"/>
      <w:textAlignment w:val="baseline"/>
    </w:pPr>
    <w:rPr>
      <w:rFonts w:ascii="宋体" w:hAnsi="Tms Rmn"/>
      <w:i/>
      <w:kern w:val="0"/>
      <w:sz w:val="28"/>
      <w:szCs w:val="20"/>
    </w:rPr>
  </w:style>
  <w:style w:type="paragraph" w:customStyle="1" w:styleId="affffffffffffffffffffffffffffffff5">
    <w:name w:val="图编号"/>
    <w:basedOn w:val="affffff1"/>
    <w:qFormat/>
    <w:pPr>
      <w:tabs>
        <w:tab w:val="clear" w:pos="5738"/>
        <w:tab w:val="clear" w:pos="5902"/>
        <w:tab w:val="left" w:pos="1140"/>
      </w:tabs>
      <w:autoSpaceDE/>
      <w:autoSpaceDN/>
      <w:adjustRightInd/>
      <w:snapToGrid/>
      <w:spacing w:before="300" w:after="300" w:line="360" w:lineRule="auto"/>
      <w:ind w:left="1140" w:hanging="600"/>
    </w:pPr>
    <w:rPr>
      <w:rFonts w:cs="Times New Roman"/>
      <w:sz w:val="24"/>
      <w:szCs w:val="20"/>
    </w:rPr>
  </w:style>
  <w:style w:type="paragraph" w:customStyle="1" w:styleId="List1">
    <w:name w:val="List1"/>
    <w:basedOn w:val="a7"/>
    <w:qFormat/>
    <w:pPr>
      <w:adjustRightInd w:val="0"/>
      <w:spacing w:after="160" w:line="360" w:lineRule="auto"/>
      <w:ind w:left="-2" w:rightChars="-45" w:right="-108" w:firstLineChars="200" w:firstLine="420"/>
      <w:jc w:val="left"/>
      <w:textAlignment w:val="baseline"/>
    </w:pPr>
    <w:rPr>
      <w:rFonts w:ascii="黑体" w:eastAsia="黑体"/>
      <w:szCs w:val="20"/>
    </w:rPr>
  </w:style>
  <w:style w:type="paragraph" w:customStyle="1" w:styleId="Style108">
    <w:name w:val="Style108"/>
    <w:basedOn w:val="a7"/>
    <w:qFormat/>
    <w:pPr>
      <w:adjustRightInd w:val="0"/>
      <w:spacing w:after="160" w:line="360" w:lineRule="auto"/>
      <w:ind w:firstLine="482"/>
      <w:jc w:val="left"/>
    </w:pPr>
    <w:rPr>
      <w:rFonts w:ascii="宋体"/>
      <w:kern w:val="0"/>
      <w:sz w:val="24"/>
    </w:rPr>
  </w:style>
  <w:style w:type="paragraph" w:customStyle="1" w:styleId="666666-0">
    <w:name w:val="666666-正文"/>
    <w:basedOn w:val="a7"/>
    <w:qFormat/>
    <w:pPr>
      <w:spacing w:after="160" w:line="440" w:lineRule="exact"/>
      <w:ind w:firstLineChars="200" w:firstLine="200"/>
    </w:pPr>
    <w:rPr>
      <w:kern w:val="0"/>
      <w:sz w:val="24"/>
      <w:szCs w:val="20"/>
      <w:lang w:val="zh-CN"/>
    </w:rPr>
  </w:style>
  <w:style w:type="paragraph" w:customStyle="1" w:styleId="pt9">
    <w:name w:val="pt9"/>
    <w:basedOn w:val="a7"/>
    <w:qFormat/>
    <w:pPr>
      <w:widowControl/>
      <w:spacing w:before="100" w:beforeAutospacing="1" w:after="100" w:afterAutospacing="1" w:line="360" w:lineRule="auto"/>
      <w:ind w:firstLine="482"/>
      <w:jc w:val="left"/>
    </w:pPr>
    <w:rPr>
      <w:rFonts w:ascii="Calibri" w:hAnsi="Calibri"/>
      <w:color w:val="000000"/>
      <w:kern w:val="0"/>
      <w:sz w:val="18"/>
      <w:szCs w:val="18"/>
    </w:rPr>
  </w:style>
  <w:style w:type="paragraph" w:customStyle="1" w:styleId="0510">
    <w:name w:val="样式 表标题 + 段前: 0.5 行1"/>
    <w:basedOn w:val="afffffc"/>
    <w:uiPriority w:val="99"/>
    <w:qFormat/>
    <w:pPr>
      <w:tabs>
        <w:tab w:val="left" w:pos="4318"/>
      </w:tabs>
      <w:adjustRightInd w:val="0"/>
      <w:snapToGrid w:val="0"/>
      <w:spacing w:after="160" w:line="480" w:lineRule="exact"/>
    </w:pPr>
    <w:rPr>
      <w:rFonts w:eastAsia="黑体"/>
      <w:b w:val="0"/>
      <w:sz w:val="28"/>
      <w:szCs w:val="20"/>
    </w:rPr>
  </w:style>
  <w:style w:type="paragraph" w:customStyle="1" w:styleId="ST208">
    <w:name w:val="ST20_8"/>
    <w:basedOn w:val="a7"/>
    <w:next w:val="a7"/>
    <w:qFormat/>
    <w:pPr>
      <w:keepNext/>
      <w:autoSpaceDE w:val="0"/>
      <w:autoSpaceDN w:val="0"/>
      <w:adjustRightInd w:val="0"/>
      <w:spacing w:after="160" w:line="360" w:lineRule="atLeast"/>
      <w:jc w:val="left"/>
      <w:textAlignment w:val="baseline"/>
    </w:pPr>
    <w:rPr>
      <w:rFonts w:ascii="宋体" w:hAnsi="Tms Rmn"/>
      <w:kern w:val="0"/>
      <w:sz w:val="28"/>
      <w:szCs w:val="28"/>
    </w:rPr>
  </w:style>
  <w:style w:type="paragraph" w:customStyle="1" w:styleId="xl212">
    <w:name w:val="xl212"/>
    <w:basedOn w:val="a7"/>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78" w:lineRule="auto"/>
      <w:jc w:val="center"/>
      <w:textAlignment w:val="center"/>
    </w:pPr>
    <w:rPr>
      <w:rFonts w:ascii="宋体" w:hAnsi="宋体" w:cs="宋体"/>
      <w:kern w:val="0"/>
      <w:sz w:val="18"/>
      <w:szCs w:val="18"/>
    </w:rPr>
  </w:style>
  <w:style w:type="paragraph" w:customStyle="1" w:styleId="GB231222">
    <w:name w:val="样式 正文文本缩进 + (中文) 楷体_GB2312 行距: 固定值 22 磅"/>
    <w:basedOn w:val="aff4"/>
    <w:uiPriority w:val="99"/>
    <w:qFormat/>
    <w:pPr>
      <w:spacing w:after="160" w:line="440" w:lineRule="exact"/>
      <w:ind w:leftChars="0" w:left="0" w:firstLine="200"/>
    </w:pPr>
    <w:rPr>
      <w:rFonts w:eastAsia="楷体_GB2312" w:cs="宋体"/>
      <w:sz w:val="28"/>
    </w:rPr>
  </w:style>
  <w:style w:type="paragraph" w:customStyle="1" w:styleId="xl133">
    <w:name w:val="xl133"/>
    <w:basedOn w:val="a7"/>
    <w:uiPriority w:val="99"/>
    <w:qFormat/>
    <w:pPr>
      <w:widowControl/>
      <w:pBdr>
        <w:top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STD6">
    <w:name w:val="样式 正文首行缩进-STD + (符号) 宋体 段前: 6 磅"/>
    <w:basedOn w:val="a7"/>
    <w:qFormat/>
    <w:pPr>
      <w:spacing w:before="100" w:beforeAutospacing="1" w:after="160" w:line="360" w:lineRule="auto"/>
      <w:ind w:firstLineChars="200" w:firstLine="480"/>
    </w:pPr>
    <w:rPr>
      <w:rFonts w:hAnsi="宋体" w:cs="宋体"/>
      <w:sz w:val="24"/>
      <w:szCs w:val="20"/>
    </w:rPr>
  </w:style>
  <w:style w:type="paragraph" w:customStyle="1" w:styleId="xl122">
    <w:name w:val="xl122"/>
    <w:basedOn w:val="a7"/>
    <w:uiPriority w:val="99"/>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right"/>
    </w:pPr>
    <w:rPr>
      <w:rFonts w:ascii="宋体" w:hAnsi="宋体" w:cs="宋体"/>
      <w:color w:val="C414B7"/>
      <w:kern w:val="0"/>
      <w:sz w:val="24"/>
    </w:rPr>
  </w:style>
  <w:style w:type="paragraph" w:customStyle="1" w:styleId="3Arial">
    <w:name w:val="样式 标题 3 + Arial"/>
    <w:basedOn w:val="a7"/>
    <w:qFormat/>
    <w:pPr>
      <w:spacing w:after="160" w:line="278" w:lineRule="auto"/>
    </w:pPr>
    <w:rPr>
      <w:szCs w:val="20"/>
    </w:rPr>
  </w:style>
  <w:style w:type="paragraph" w:customStyle="1" w:styleId="xl107">
    <w:name w:val="xl107"/>
    <w:basedOn w:val="a7"/>
    <w:qFormat/>
    <w:pPr>
      <w:widowControl/>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CharCharChar10">
    <w:name w:val="Char Char Char1"/>
    <w:basedOn w:val="1"/>
    <w:qFormat/>
    <w:pPr>
      <w:keepNext/>
      <w:keepLines/>
      <w:pageBreakBefore/>
      <w:numPr>
        <w:numId w:val="0"/>
      </w:numPr>
      <w:spacing w:beforeLines="0" w:before="340" w:after="330"/>
      <w:ind w:firstLineChars="200" w:firstLine="200"/>
    </w:pPr>
    <w:rPr>
      <w:rFonts w:eastAsia="仿宋_GB2312"/>
      <w:b/>
      <w:bCs/>
      <w:sz w:val="24"/>
      <w:szCs w:val="44"/>
    </w:rPr>
  </w:style>
  <w:style w:type="paragraph" w:customStyle="1" w:styleId="affffffffffffffffffffffffffffffff6">
    <w:name w:val="编号引导"/>
    <w:basedOn w:val="af2"/>
    <w:next w:val="af2"/>
    <w:semiHidden/>
    <w:qFormat/>
    <w:pPr>
      <w:widowControl/>
      <w:tabs>
        <w:tab w:val="clear" w:pos="360"/>
      </w:tabs>
      <w:overflowPunct w:val="0"/>
      <w:autoSpaceDE w:val="0"/>
      <w:autoSpaceDN w:val="0"/>
      <w:adjustRightInd w:val="0"/>
      <w:spacing w:before="80" w:after="160"/>
      <w:ind w:left="720" w:firstLineChars="0" w:firstLine="0"/>
      <w:jc w:val="left"/>
      <w:textAlignment w:val="baseline"/>
    </w:pPr>
    <w:rPr>
      <w:kern w:val="0"/>
      <w:sz w:val="20"/>
      <w:szCs w:val="22"/>
    </w:rPr>
  </w:style>
  <w:style w:type="paragraph" w:customStyle="1" w:styleId="2mystyle2style2173">
    <w:name w:val="样式 标题 2mystyle2style2 + 四号 非加粗 居中 行距: 多倍行距 1.73 字行"/>
    <w:basedOn w:val="21"/>
    <w:uiPriority w:val="99"/>
    <w:qFormat/>
    <w:pPr>
      <w:keepNext/>
      <w:keepLines/>
      <w:numPr>
        <w:ilvl w:val="0"/>
        <w:numId w:val="0"/>
      </w:numPr>
      <w:snapToGrid/>
      <w:spacing w:beforeLines="0" w:before="260" w:afterLines="0" w:after="260" w:line="415" w:lineRule="auto"/>
      <w:jc w:val="center"/>
    </w:pPr>
    <w:rPr>
      <w:rFonts w:ascii="Arial" w:hAnsi="Arial" w:cs="Century"/>
      <w:b w:val="0"/>
      <w:bCs w:val="0"/>
      <w:smallCaps w:val="0"/>
      <w:color w:val="auto"/>
      <w:kern w:val="0"/>
      <w:sz w:val="28"/>
      <w:szCs w:val="20"/>
    </w:rPr>
  </w:style>
  <w:style w:type="paragraph" w:customStyle="1" w:styleId="affffffffffffffffffffffffffffffff7">
    <w:name w:val="列图"/>
    <w:basedOn w:val="afffa"/>
    <w:next w:val="a7"/>
    <w:uiPriority w:val="99"/>
    <w:qFormat/>
    <w:pPr>
      <w:tabs>
        <w:tab w:val="left" w:pos="1860"/>
        <w:tab w:val="left" w:pos="3765"/>
      </w:tabs>
      <w:adjustRightInd/>
      <w:spacing w:beforeLines="50" w:after="160"/>
      <w:ind w:left="0" w:rightChars="-45" w:right="-45" w:firstLineChars="0" w:firstLine="0"/>
      <w:jc w:val="center"/>
      <w:textAlignment w:val="auto"/>
    </w:pPr>
    <w:rPr>
      <w:rFonts w:ascii="仿宋_GB2312" w:eastAsia="仿宋_GB2312"/>
      <w:bCs/>
      <w:kern w:val="2"/>
      <w:sz w:val="24"/>
      <w:szCs w:val="24"/>
    </w:rPr>
  </w:style>
  <w:style w:type="paragraph" w:customStyle="1" w:styleId="affffffffffffffffffffffffffffffff8">
    <w:name w:val="表格文字：灌溉制度"/>
    <w:basedOn w:val="affffff1"/>
    <w:qFormat/>
    <w:pPr>
      <w:tabs>
        <w:tab w:val="clear" w:pos="5738"/>
        <w:tab w:val="clear" w:pos="5902"/>
      </w:tabs>
      <w:autoSpaceDE/>
      <w:autoSpaceDN/>
      <w:adjustRightInd/>
      <w:snapToGrid/>
      <w:spacing w:after="160" w:line="240" w:lineRule="exact"/>
    </w:pPr>
    <w:rPr>
      <w:rFonts w:ascii="仿宋_GB2312" w:eastAsia="仿宋_GB2312" w:hAnsi="宋体" w:cs="Times New Roman"/>
      <w:sz w:val="24"/>
    </w:rPr>
  </w:style>
  <w:style w:type="paragraph" w:customStyle="1" w:styleId="CharChar7CharCharCharChar1">
    <w:name w:val="Char Char7 Char Char Char Char1"/>
    <w:basedOn w:val="a7"/>
    <w:qFormat/>
    <w:pPr>
      <w:snapToGrid w:val="0"/>
      <w:spacing w:after="160" w:line="278" w:lineRule="auto"/>
      <w:jc w:val="left"/>
    </w:pPr>
    <w:rPr>
      <w:sz w:val="24"/>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1"/>
    <w:uiPriority w:val="99"/>
    <w:semiHidden/>
    <w:qFormat/>
    <w:pPr>
      <w:keepNext/>
      <w:keepLines/>
      <w:pageBreakBefore/>
      <w:widowControl/>
      <w:numPr>
        <w:numId w:val="0"/>
      </w:numPr>
      <w:spacing w:beforeLines="0" w:before="340" w:after="330"/>
      <w:ind w:firstLineChars="200" w:firstLine="200"/>
      <w:jc w:val="center"/>
    </w:pPr>
    <w:rPr>
      <w:rFonts w:ascii="黑体" w:eastAsia="仿宋_GB2312"/>
      <w:b/>
      <w:bCs/>
      <w:spacing w:val="10"/>
      <w:sz w:val="24"/>
      <w:szCs w:val="32"/>
    </w:rPr>
  </w:style>
  <w:style w:type="paragraph" w:customStyle="1" w:styleId="affffffffffffffffffffffffffffffff9">
    <w:name w:val="样式 宋体 小四 居中"/>
    <w:basedOn w:val="a7"/>
    <w:qFormat/>
    <w:pPr>
      <w:spacing w:after="160" w:line="360" w:lineRule="auto"/>
      <w:ind w:firstLine="482"/>
      <w:jc w:val="center"/>
    </w:pPr>
    <w:rPr>
      <w:rFonts w:ascii="宋体" w:hAnsi="宋体" w:cs="宋体"/>
      <w:kern w:val="0"/>
      <w:sz w:val="24"/>
      <w:szCs w:val="20"/>
    </w:rPr>
  </w:style>
  <w:style w:type="paragraph" w:customStyle="1" w:styleId="TimesNewRoman0015">
    <w:name w:val="样式 标题 + Times New Roman 四号 两端对齐 段前: 0 磅 段后: 0 磅 行距: 1.5 倍行距"/>
    <w:basedOn w:val="affff7"/>
    <w:next w:val="TOC1"/>
    <w:qFormat/>
    <w:pPr>
      <w:spacing w:after="0"/>
      <w:ind w:firstLineChars="0" w:firstLine="0"/>
      <w:outlineLvl w:val="0"/>
    </w:pPr>
    <w:rPr>
      <w:rFonts w:cs="宋体"/>
      <w:b/>
      <w:bCs/>
      <w:sz w:val="28"/>
      <w:szCs w:val="20"/>
    </w:rPr>
  </w:style>
  <w:style w:type="paragraph" w:customStyle="1" w:styleId="xl276">
    <w:name w:val="xl276"/>
    <w:basedOn w:val="a7"/>
    <w:qFormat/>
    <w:pPr>
      <w:widowControl/>
      <w:pBdr>
        <w:top w:val="single" w:sz="4" w:space="0" w:color="auto"/>
        <w:left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16"/>
      <w:szCs w:val="16"/>
    </w:rPr>
  </w:style>
  <w:style w:type="paragraph" w:customStyle="1" w:styleId="20990">
    <w:name w:val="样式 标题 2 + 宋体 四号 首行缩进:  0.99 厘米"/>
    <w:basedOn w:val="21"/>
    <w:next w:val="a7"/>
    <w:semiHidden/>
    <w:qFormat/>
    <w:pPr>
      <w:keepNext/>
      <w:keepLines/>
      <w:numPr>
        <w:ilvl w:val="0"/>
        <w:numId w:val="0"/>
      </w:numPr>
      <w:tabs>
        <w:tab w:val="left" w:pos="210"/>
      </w:tabs>
      <w:snapToGrid/>
      <w:spacing w:beforeLines="0" w:before="120" w:afterLines="0" w:after="120" w:line="500" w:lineRule="exact"/>
      <w:ind w:firstLineChars="200" w:firstLine="561"/>
    </w:pPr>
    <w:rPr>
      <w:rFonts w:ascii="宋体" w:eastAsia="楷体_GB2312" w:hAnsi="宋体"/>
      <w:bCs w:val="0"/>
      <w:smallCaps w:val="0"/>
      <w:color w:val="auto"/>
      <w:sz w:val="36"/>
    </w:rPr>
  </w:style>
  <w:style w:type="paragraph" w:customStyle="1" w:styleId="xl108">
    <w:name w:val="xl108"/>
    <w:basedOn w:val="a7"/>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center"/>
    </w:pPr>
    <w:rPr>
      <w:rFonts w:ascii="宋体" w:hAnsi="宋体" w:cs="宋体"/>
      <w:color w:val="C414B7"/>
      <w:kern w:val="0"/>
      <w:sz w:val="24"/>
    </w:rPr>
  </w:style>
  <w:style w:type="paragraph" w:customStyle="1" w:styleId="X0">
    <w:name w:val="表X"/>
    <w:basedOn w:val="aff8"/>
    <w:uiPriority w:val="99"/>
    <w:qFormat/>
    <w:pPr>
      <w:keepNext/>
      <w:tabs>
        <w:tab w:val="left" w:pos="1200"/>
      </w:tabs>
      <w:adjustRightInd w:val="0"/>
      <w:spacing w:before="240" w:after="160" w:line="278" w:lineRule="auto"/>
      <w:ind w:left="1200" w:hanging="360"/>
      <w:jc w:val="left"/>
      <w:outlineLvl w:val="8"/>
    </w:pPr>
    <w:rPr>
      <w:rFonts w:ascii="Courier New" w:cs="Times New Roman"/>
      <w:sz w:val="28"/>
      <w:szCs w:val="20"/>
    </w:rPr>
  </w:style>
  <w:style w:type="paragraph" w:customStyle="1" w:styleId="affffffffffffffffffffffffffffffffa">
    <w:name w:val="四级"/>
    <w:basedOn w:val="41"/>
    <w:qFormat/>
    <w:pPr>
      <w:keepNext/>
      <w:keepLines/>
      <w:numPr>
        <w:ilvl w:val="0"/>
        <w:numId w:val="0"/>
      </w:numPr>
      <w:tabs>
        <w:tab w:val="clear" w:pos="864"/>
      </w:tabs>
      <w:adjustRightInd/>
      <w:snapToGrid/>
      <w:spacing w:beforeLines="0" w:before="10" w:afterLines="0" w:after="10" w:line="440" w:lineRule="exact"/>
      <w:textAlignment w:val="auto"/>
    </w:pPr>
    <w:rPr>
      <w:rFonts w:eastAsia="黑体"/>
      <w:color w:val="auto"/>
      <w:kern w:val="0"/>
      <w:szCs w:val="28"/>
      <w:lang w:val="en-US"/>
    </w:rPr>
  </w:style>
  <w:style w:type="paragraph" w:customStyle="1" w:styleId="BodyTextIndent21">
    <w:name w:val="Body Text Indent 21"/>
    <w:basedOn w:val="a7"/>
    <w:qFormat/>
    <w:pPr>
      <w:adjustRightInd w:val="0"/>
      <w:spacing w:after="160" w:line="312" w:lineRule="auto"/>
      <w:ind w:firstLine="570"/>
      <w:textAlignment w:val="baseline"/>
    </w:pPr>
    <w:rPr>
      <w:sz w:val="28"/>
      <w:szCs w:val="20"/>
    </w:rPr>
  </w:style>
  <w:style w:type="paragraph" w:customStyle="1" w:styleId="xl118">
    <w:name w:val="xl118"/>
    <w:basedOn w:val="a7"/>
    <w:uiPriority w:val="99"/>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2fffff2">
    <w:name w:val="样式 表头 + 首行缩进:  2 字符"/>
    <w:basedOn w:val="afffa"/>
    <w:uiPriority w:val="99"/>
    <w:qFormat/>
    <w:pPr>
      <w:keepNext/>
      <w:adjustRightInd/>
      <w:spacing w:after="160" w:line="240" w:lineRule="auto"/>
      <w:ind w:left="0" w:rightChars="-45" w:right="-45" w:firstLineChars="0" w:firstLine="0"/>
      <w:jc w:val="center"/>
      <w:textAlignment w:val="auto"/>
    </w:pPr>
    <w:rPr>
      <w:rFonts w:ascii="黑体" w:eastAsia="黑体" w:cs="宋体"/>
      <w:kern w:val="2"/>
    </w:rPr>
  </w:style>
  <w:style w:type="paragraph" w:customStyle="1" w:styleId="c0">
    <w:name w:val="c"/>
    <w:qFormat/>
    <w:pPr>
      <w:widowControl w:val="0"/>
      <w:autoSpaceDE w:val="0"/>
      <w:autoSpaceDN w:val="0"/>
      <w:adjustRightInd w:val="0"/>
      <w:spacing w:after="160" w:line="278" w:lineRule="auto"/>
      <w:jc w:val="both"/>
    </w:pPr>
    <w:rPr>
      <w:rFonts w:ascii="Arial" w:hAnsi="Arial"/>
      <w:sz w:val="24"/>
      <w:szCs w:val="24"/>
    </w:rPr>
  </w:style>
  <w:style w:type="paragraph" w:customStyle="1" w:styleId="15220">
    <w:name w:val="样式 样式 正文 小四 行距: 1.5 倍行距 + 宋体 五号 首行缩进:  2 字符 + 首行缩进:  2 字符"/>
    <w:basedOn w:val="1524"/>
    <w:qFormat/>
    <w:pPr>
      <w:ind w:firstLineChars="0" w:firstLine="0"/>
    </w:pPr>
  </w:style>
  <w:style w:type="paragraph" w:customStyle="1" w:styleId="xl48">
    <w:name w:val="xl48"/>
    <w:basedOn w:val="a7"/>
    <w:uiPriority w:val="99"/>
    <w:qFormat/>
    <w:pPr>
      <w:widowControl/>
      <w:pBdr>
        <w:bottom w:val="single" w:sz="4" w:space="0" w:color="auto"/>
        <w:right w:val="single" w:sz="4" w:space="0" w:color="auto"/>
      </w:pBdr>
      <w:spacing w:before="100" w:beforeAutospacing="1" w:after="100" w:afterAutospacing="1" w:line="360" w:lineRule="auto"/>
      <w:ind w:firstLine="482"/>
      <w:jc w:val="center"/>
    </w:pPr>
    <w:rPr>
      <w:rFonts w:ascii="宋体" w:hAnsi="宋体"/>
      <w:kern w:val="0"/>
      <w:sz w:val="24"/>
    </w:rPr>
  </w:style>
  <w:style w:type="paragraph" w:customStyle="1" w:styleId="CharChar1Char0">
    <w:name w:val="Char Char1 Char"/>
    <w:basedOn w:val="a7"/>
    <w:uiPriority w:val="99"/>
    <w:qFormat/>
    <w:pPr>
      <w:adjustRightInd w:val="0"/>
      <w:spacing w:after="160" w:line="360" w:lineRule="atLeast"/>
      <w:ind w:firstLine="482"/>
      <w:textAlignment w:val="baseline"/>
    </w:pPr>
    <w:rPr>
      <w:rFonts w:ascii="Tahoma" w:hAnsi="Tahoma"/>
      <w:kern w:val="0"/>
      <w:sz w:val="24"/>
      <w:szCs w:val="20"/>
    </w:rPr>
  </w:style>
  <w:style w:type="paragraph" w:customStyle="1" w:styleId="myformatcontentChar">
    <w:name w:val="myformat_content Char"/>
    <w:basedOn w:val="a7"/>
    <w:qFormat/>
    <w:pPr>
      <w:spacing w:beforeLines="50" w:afterLines="50" w:after="160" w:line="360" w:lineRule="exact"/>
      <w:ind w:firstLineChars="200" w:firstLine="480"/>
    </w:pPr>
    <w:rPr>
      <w:sz w:val="24"/>
    </w:rPr>
  </w:style>
  <w:style w:type="paragraph" w:customStyle="1" w:styleId="CharCharChar6">
    <w:name w:val="报告 小四 Char Char Char"/>
    <w:uiPriority w:val="99"/>
    <w:qFormat/>
    <w:pPr>
      <w:spacing w:after="160" w:line="360" w:lineRule="auto"/>
      <w:ind w:firstLineChars="200" w:firstLine="512"/>
    </w:pPr>
    <w:rPr>
      <w:rFonts w:cs="宋体"/>
      <w:spacing w:val="8"/>
      <w:kern w:val="2"/>
      <w:sz w:val="24"/>
    </w:rPr>
  </w:style>
  <w:style w:type="paragraph" w:customStyle="1" w:styleId="2fffff3">
    <w:name w:val="样式 标题 2 + 宋体 四号"/>
    <w:basedOn w:val="21"/>
    <w:qFormat/>
    <w:pPr>
      <w:keepNext/>
      <w:keepLines/>
      <w:numPr>
        <w:ilvl w:val="0"/>
        <w:numId w:val="0"/>
      </w:numPr>
      <w:tabs>
        <w:tab w:val="left" w:pos="454"/>
        <w:tab w:val="left" w:pos="851"/>
      </w:tabs>
      <w:snapToGrid/>
      <w:spacing w:beforeLines="0" w:before="260" w:afterLines="0" w:after="260" w:line="240" w:lineRule="auto"/>
      <w:jc w:val="both"/>
    </w:pPr>
    <w:rPr>
      <w:rFonts w:ascii="宋体" w:hAnsi="宋体"/>
      <w:b w:val="0"/>
      <w:smallCaps w:val="0"/>
      <w:color w:val="auto"/>
      <w:sz w:val="28"/>
      <w:szCs w:val="32"/>
    </w:rPr>
  </w:style>
  <w:style w:type="paragraph" w:customStyle="1" w:styleId="105v">
    <w:name w:val="105v"/>
    <w:basedOn w:val="a7"/>
    <w:qFormat/>
    <w:pPr>
      <w:widowControl/>
      <w:spacing w:before="100" w:beforeAutospacing="1" w:after="100" w:afterAutospacing="1" w:line="278" w:lineRule="auto"/>
      <w:jc w:val="left"/>
    </w:pPr>
    <w:rPr>
      <w:rFonts w:ascii="宋体" w:hAnsi="宋体"/>
      <w:kern w:val="0"/>
    </w:rPr>
  </w:style>
  <w:style w:type="paragraph" w:customStyle="1" w:styleId="xl313">
    <w:name w:val="xl313"/>
    <w:basedOn w:val="a7"/>
    <w:qFormat/>
    <w:pPr>
      <w:widowControl/>
      <w:pBdr>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affffffffffffffffffffffffffffffffb">
    <w:name w:val="附录二级条标题"/>
    <w:next w:val="a7"/>
    <w:qFormat/>
    <w:pPr>
      <w:tabs>
        <w:tab w:val="left" w:pos="360"/>
        <w:tab w:val="left" w:pos="828"/>
        <w:tab w:val="left" w:pos="1260"/>
        <w:tab w:val="left" w:pos="1680"/>
      </w:tabs>
      <w:spacing w:after="160" w:line="278" w:lineRule="auto"/>
      <w:ind w:left="360" w:hanging="360"/>
      <w:outlineLvl w:val="3"/>
    </w:pPr>
  </w:style>
  <w:style w:type="paragraph" w:customStyle="1" w:styleId="affffffffffffffffffffffffffffffffc">
    <w:name w:val="附录一级条标题"/>
    <w:next w:val="a7"/>
    <w:qFormat/>
    <w:pPr>
      <w:tabs>
        <w:tab w:val="left" w:pos="828"/>
        <w:tab w:val="left" w:pos="1260"/>
      </w:tabs>
      <w:autoSpaceDN w:val="0"/>
      <w:spacing w:after="160" w:line="278" w:lineRule="auto"/>
      <w:ind w:left="828" w:hanging="240"/>
      <w:outlineLvl w:val="2"/>
    </w:pPr>
  </w:style>
  <w:style w:type="paragraph" w:customStyle="1" w:styleId="affffffffffffffffffffffffffffffffd">
    <w:name w:val="附录章标题"/>
    <w:next w:val="a7"/>
    <w:qFormat/>
    <w:pPr>
      <w:wordWrap w:val="0"/>
      <w:overflowPunct w:val="0"/>
      <w:autoSpaceDE w:val="0"/>
      <w:spacing w:beforeLines="50" w:afterLines="50" w:after="160" w:line="278" w:lineRule="auto"/>
      <w:jc w:val="both"/>
      <w:textAlignment w:val="baseline"/>
      <w:outlineLvl w:val="1"/>
    </w:pPr>
    <w:rPr>
      <w:rFonts w:ascii="黑体" w:eastAsia="黑体"/>
      <w:kern w:val="21"/>
      <w:sz w:val="21"/>
    </w:rPr>
  </w:style>
  <w:style w:type="paragraph" w:customStyle="1" w:styleId="xl301">
    <w:name w:val="xl301"/>
    <w:basedOn w:val="a7"/>
    <w:qFormat/>
    <w:pPr>
      <w:widowControl/>
      <w:pBdr>
        <w:top w:val="single" w:sz="8" w:space="0" w:color="auto"/>
        <w:left w:val="single" w:sz="4" w:space="0" w:color="auto"/>
        <w:bottom w:val="single" w:sz="4" w:space="0" w:color="auto"/>
      </w:pBdr>
      <w:spacing w:before="100" w:beforeAutospacing="1" w:after="100" w:afterAutospacing="1" w:line="278" w:lineRule="auto"/>
      <w:jc w:val="center"/>
      <w:textAlignment w:val="center"/>
    </w:pPr>
    <w:rPr>
      <w:kern w:val="0"/>
      <w:sz w:val="16"/>
      <w:szCs w:val="16"/>
    </w:rPr>
  </w:style>
  <w:style w:type="paragraph" w:customStyle="1" w:styleId="1fffff7">
    <w:name w:val="样式 标题 1 + 居中"/>
    <w:basedOn w:val="1"/>
    <w:qFormat/>
    <w:pPr>
      <w:keepNext/>
      <w:keepLines/>
      <w:numPr>
        <w:numId w:val="0"/>
      </w:numPr>
      <w:snapToGrid/>
      <w:spacing w:beforeLines="0" w:before="0" w:afterLines="50" w:after="330"/>
      <w:jc w:val="center"/>
    </w:pPr>
    <w:rPr>
      <w:rFonts w:eastAsia="宋体" w:cs="宋体"/>
      <w:b/>
      <w:bCs/>
      <w:szCs w:val="20"/>
    </w:rPr>
  </w:style>
  <w:style w:type="paragraph" w:customStyle="1" w:styleId="3ffd">
    <w:name w:val="列表3"/>
    <w:basedOn w:val="1ffff2"/>
    <w:qFormat/>
    <w:pPr>
      <w:pBdr>
        <w:left w:val="none" w:sz="0" w:space="0" w:color="auto"/>
      </w:pBdr>
      <w:ind w:left="1440"/>
    </w:pPr>
  </w:style>
  <w:style w:type="paragraph" w:customStyle="1" w:styleId="Char1CharChar">
    <w:name w:val="Char1 Char Char"/>
    <w:basedOn w:val="a7"/>
    <w:uiPriority w:val="99"/>
    <w:qFormat/>
    <w:pPr>
      <w:spacing w:after="160" w:line="278" w:lineRule="auto"/>
    </w:pPr>
  </w:style>
  <w:style w:type="paragraph" w:customStyle="1" w:styleId="1CharCharChar0">
    <w:name w:val="正文1 Char Char Char"/>
    <w:basedOn w:val="a7"/>
    <w:qFormat/>
    <w:pPr>
      <w:spacing w:after="160" w:line="560" w:lineRule="exact"/>
      <w:ind w:firstLineChars="200" w:firstLine="200"/>
    </w:pPr>
    <w:rPr>
      <w:rFonts w:ascii="宋体" w:hAnsi="宋体" w:cs="宋体"/>
      <w:kern w:val="0"/>
      <w:sz w:val="24"/>
    </w:rPr>
  </w:style>
  <w:style w:type="paragraph" w:customStyle="1" w:styleId="211112Heading212SeHeadwsa2ChapterTit">
    <w:name w:val="样式 标题 2节标题 1.11.1标题2_Heading 2标题 12SeHead wsa2Chapter Tit..."/>
    <w:basedOn w:val="21"/>
    <w:qFormat/>
    <w:pPr>
      <w:keepNext/>
      <w:keepLines/>
      <w:numPr>
        <w:ilvl w:val="0"/>
        <w:numId w:val="0"/>
      </w:numPr>
      <w:tabs>
        <w:tab w:val="left" w:pos="454"/>
        <w:tab w:val="left" w:pos="851"/>
      </w:tabs>
      <w:adjustRightInd w:val="0"/>
      <w:snapToGrid/>
      <w:spacing w:beforeLines="0" w:before="0" w:afterLines="0" w:after="0"/>
      <w:textAlignment w:val="baseline"/>
    </w:pPr>
    <w:rPr>
      <w:rFonts w:cs="宋体"/>
      <w:smallCaps w:val="0"/>
      <w:color w:val="auto"/>
      <w:kern w:val="0"/>
      <w:sz w:val="24"/>
      <w:szCs w:val="20"/>
    </w:rPr>
  </w:style>
  <w:style w:type="paragraph" w:customStyle="1" w:styleId="Char1CharCharCharCharCharCharCharCharCharCharCharCharCharCharChar">
    <w:name w:val="Char1 Char Char Char Char Char Char Char Char Char Char Char Char Char Char Char"/>
    <w:basedOn w:val="a7"/>
    <w:uiPriority w:val="99"/>
    <w:qFormat/>
    <w:pPr>
      <w:spacing w:after="160" w:line="180" w:lineRule="auto"/>
      <w:ind w:firstLineChars="200" w:firstLine="200"/>
      <w:jc w:val="left"/>
    </w:pPr>
    <w:rPr>
      <w:rFonts w:eastAsia="仿宋_GB2312"/>
      <w:sz w:val="24"/>
    </w:rPr>
  </w:style>
  <w:style w:type="paragraph" w:customStyle="1" w:styleId="xl211">
    <w:name w:val="xl211"/>
    <w:basedOn w:val="a7"/>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78" w:lineRule="auto"/>
      <w:jc w:val="center"/>
      <w:textAlignment w:val="center"/>
    </w:pPr>
    <w:rPr>
      <w:rFonts w:ascii="宋体" w:hAnsi="宋体" w:cs="宋体"/>
      <w:color w:val="000000"/>
      <w:kern w:val="0"/>
      <w:sz w:val="20"/>
      <w:szCs w:val="20"/>
    </w:rPr>
  </w:style>
  <w:style w:type="paragraph" w:customStyle="1" w:styleId="affffffffffffffffffffffffffffffffe">
    <w:name w:val="表格文字样式"/>
    <w:basedOn w:val="afffffffffffff1"/>
    <w:qFormat/>
    <w:pPr>
      <w:spacing w:line="240" w:lineRule="auto"/>
      <w:ind w:firstLine="0"/>
      <w:jc w:val="center"/>
    </w:pPr>
    <w:rPr>
      <w:rFonts w:eastAsia="华文中宋"/>
      <w:b/>
      <w:spacing w:val="0"/>
      <w:kern w:val="2"/>
      <w:szCs w:val="24"/>
    </w:rPr>
  </w:style>
  <w:style w:type="paragraph" w:customStyle="1" w:styleId="afffffffffffffffffffffffffffffffff">
    <w:name w:val="段落样式"/>
    <w:basedOn w:val="afffffffffffffffffffb"/>
    <w:qFormat/>
    <w:pPr>
      <w:ind w:firstLine="567"/>
    </w:pPr>
    <w:rPr>
      <w:rFonts w:ascii="Times New Roman" w:eastAsia="宋体"/>
      <w:b w:val="0"/>
    </w:rPr>
  </w:style>
  <w:style w:type="paragraph" w:customStyle="1" w:styleId="ST209">
    <w:name w:val="ST20_9"/>
    <w:basedOn w:val="a7"/>
    <w:next w:val="a7"/>
    <w:qFormat/>
    <w:pPr>
      <w:autoSpaceDE w:val="0"/>
      <w:autoSpaceDN w:val="0"/>
      <w:adjustRightInd w:val="0"/>
      <w:spacing w:before="480" w:after="160" w:line="360" w:lineRule="atLeast"/>
      <w:jc w:val="left"/>
      <w:textAlignment w:val="baseline"/>
    </w:pPr>
    <w:rPr>
      <w:rFonts w:ascii="宋体" w:hAnsi="Tms Rmn"/>
      <w:kern w:val="0"/>
      <w:sz w:val="28"/>
      <w:szCs w:val="28"/>
    </w:rPr>
  </w:style>
  <w:style w:type="paragraph" w:customStyle="1" w:styleId="GB2312282">
    <w:name w:val="样式 样式 正文文本缩进 + 仿宋_GB2312 蓝色 行距: 固定值 28 磅 + 首行缩进:  2 字符"/>
    <w:basedOn w:val="a7"/>
    <w:qFormat/>
    <w:pPr>
      <w:spacing w:after="160" w:line="560" w:lineRule="exact"/>
      <w:ind w:firstLineChars="200" w:firstLine="200"/>
    </w:pPr>
    <w:rPr>
      <w:rFonts w:ascii="仿宋_GB2312" w:eastAsia="仿宋_GB2312" w:cs="宋体"/>
      <w:color w:val="0000FF"/>
      <w:sz w:val="28"/>
      <w:szCs w:val="28"/>
    </w:rPr>
  </w:style>
  <w:style w:type="paragraph" w:customStyle="1" w:styleId="CM35">
    <w:name w:val="CM35"/>
    <w:basedOn w:val="Default"/>
    <w:next w:val="Default"/>
    <w:qFormat/>
    <w:pPr>
      <w:spacing w:after="160" w:line="223" w:lineRule="atLeast"/>
    </w:pPr>
    <w:rPr>
      <w:rFonts w:ascii="Times New Roman" w:hAnsi="Times New Roman" w:cs="Times New Roman"/>
      <w:color w:val="auto"/>
      <w:kern w:val="2"/>
    </w:rPr>
  </w:style>
  <w:style w:type="paragraph" w:customStyle="1" w:styleId="0903">
    <w:name w:val="正文 吴涛09.03表"/>
    <w:basedOn w:val="a7"/>
    <w:qFormat/>
    <w:pPr>
      <w:snapToGrid w:val="0"/>
      <w:spacing w:before="20" w:after="20" w:line="420" w:lineRule="auto"/>
      <w:ind w:firstLineChars="200" w:firstLine="200"/>
      <w:jc w:val="left"/>
    </w:pPr>
    <w:rPr>
      <w:color w:val="0D7AAB"/>
      <w:sz w:val="24"/>
    </w:rPr>
  </w:style>
  <w:style w:type="paragraph" w:customStyle="1" w:styleId="afffffffffffffffffffffffffffffffff0">
    <w:name w:val="图标体"/>
    <w:basedOn w:val="a7"/>
    <w:qFormat/>
    <w:pPr>
      <w:widowControl/>
      <w:tabs>
        <w:tab w:val="left" w:pos="750"/>
      </w:tabs>
      <w:spacing w:after="200" w:line="276" w:lineRule="auto"/>
      <w:ind w:left="750" w:hanging="750"/>
      <w:jc w:val="center"/>
    </w:pPr>
    <w:rPr>
      <w:kern w:val="0"/>
      <w:sz w:val="24"/>
      <w:szCs w:val="22"/>
      <w:lang w:eastAsia="en-US" w:bidi="en-US"/>
    </w:rPr>
  </w:style>
  <w:style w:type="paragraph" w:customStyle="1" w:styleId="dan6-16">
    <w:name w:val="dan6-16正文"/>
    <w:basedOn w:val="a7"/>
    <w:qFormat/>
    <w:pPr>
      <w:spacing w:before="40" w:after="40" w:line="360" w:lineRule="auto"/>
      <w:ind w:firstLineChars="200" w:firstLine="200"/>
    </w:pPr>
    <w:rPr>
      <w:sz w:val="24"/>
    </w:rPr>
  </w:style>
  <w:style w:type="paragraph" w:customStyle="1" w:styleId="c1">
    <w:name w:val="c_"/>
    <w:qFormat/>
    <w:pPr>
      <w:widowControl w:val="0"/>
      <w:autoSpaceDE w:val="0"/>
      <w:autoSpaceDN w:val="0"/>
      <w:adjustRightInd w:val="0"/>
      <w:spacing w:after="160" w:line="278" w:lineRule="auto"/>
      <w:jc w:val="both"/>
    </w:pPr>
    <w:rPr>
      <w:rFonts w:ascii="五" w:eastAsia="五"/>
      <w:sz w:val="24"/>
    </w:rPr>
  </w:style>
  <w:style w:type="paragraph" w:customStyle="1" w:styleId="2fffff4">
    <w:name w:val="访问过的超链接2"/>
    <w:uiPriority w:val="99"/>
    <w:qFormat/>
    <w:pPr>
      <w:widowControl w:val="0"/>
      <w:spacing w:after="160" w:line="278" w:lineRule="auto"/>
      <w:jc w:val="both"/>
    </w:pPr>
    <w:rPr>
      <w:rFonts w:ascii="Calibri" w:hAnsi="Calibri"/>
      <w:kern w:val="2"/>
      <w:sz w:val="21"/>
      <w:szCs w:val="22"/>
    </w:rPr>
  </w:style>
  <w:style w:type="paragraph" w:customStyle="1" w:styleId="2054">
    <w:name w:val="样式 普通段落 + 首行缩进:  2 字符 段前: 0.5 行4"/>
    <w:basedOn w:val="a7"/>
    <w:semiHidden/>
    <w:qFormat/>
    <w:pPr>
      <w:adjustRightInd w:val="0"/>
      <w:snapToGrid w:val="0"/>
      <w:spacing w:after="160" w:line="324" w:lineRule="auto"/>
      <w:ind w:leftChars="-50" w:left="-120" w:rightChars="-50" w:right="-120" w:firstLineChars="200" w:firstLine="420"/>
    </w:pPr>
  </w:style>
  <w:style w:type="paragraph" w:customStyle="1" w:styleId="ListParagraph2">
    <w:name w:val="List Paragraph2"/>
    <w:basedOn w:val="a7"/>
    <w:qFormat/>
    <w:pPr>
      <w:spacing w:after="160" w:line="360" w:lineRule="auto"/>
      <w:ind w:firstLineChars="200" w:firstLine="420"/>
    </w:pPr>
    <w:rPr>
      <w:kern w:val="0"/>
      <w:sz w:val="24"/>
      <w:szCs w:val="20"/>
    </w:rPr>
  </w:style>
  <w:style w:type="paragraph" w:customStyle="1" w:styleId="xl316">
    <w:name w:val="xl316"/>
    <w:basedOn w:val="a7"/>
    <w:qFormat/>
    <w:pPr>
      <w:widowControl/>
      <w:pBdr>
        <w:left w:val="single" w:sz="4" w:space="0" w:color="auto"/>
        <w:bottom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5ff3">
    <w:name w:val="5级"/>
    <w:basedOn w:val="52"/>
    <w:qFormat/>
    <w:pPr>
      <w:spacing w:beforeLines="50" w:before="0" w:afterLines="50" w:after="0" w:line="440" w:lineRule="exact"/>
    </w:pPr>
    <w:rPr>
      <w:rFonts w:eastAsia="黑体" w:hAnsi="宋体" w:cs="宋体"/>
      <w:bCs/>
      <w:kern w:val="2"/>
      <w:szCs w:val="28"/>
      <w:lang w:val="en-US"/>
    </w:rPr>
  </w:style>
  <w:style w:type="paragraph" w:customStyle="1" w:styleId="1fffff8">
    <w:name w:val="1表"/>
    <w:basedOn w:val="a7"/>
    <w:semiHidden/>
    <w:qFormat/>
    <w:pPr>
      <w:spacing w:beforeLines="25" w:afterLines="25" w:after="160" w:line="400" w:lineRule="exact"/>
      <w:jc w:val="center"/>
    </w:pPr>
    <w:rPr>
      <w:rFonts w:eastAsia="黑体" w:cs="宋体"/>
      <w:sz w:val="24"/>
      <w:szCs w:val="20"/>
    </w:rPr>
  </w:style>
  <w:style w:type="paragraph" w:customStyle="1" w:styleId="CharChar19CharChar">
    <w:name w:val="Char Char19 Char Char"/>
    <w:basedOn w:val="a7"/>
    <w:qFormat/>
    <w:pPr>
      <w:spacing w:after="160" w:line="278" w:lineRule="auto"/>
    </w:pPr>
  </w:style>
  <w:style w:type="paragraph" w:customStyle="1" w:styleId="font9">
    <w:name w:val="font9"/>
    <w:basedOn w:val="a7"/>
    <w:qFormat/>
    <w:pPr>
      <w:widowControl/>
      <w:spacing w:before="100" w:after="100" w:line="360" w:lineRule="auto"/>
      <w:ind w:firstLine="482"/>
      <w:jc w:val="left"/>
    </w:pPr>
    <w:rPr>
      <w:kern w:val="0"/>
      <w:sz w:val="28"/>
      <w:szCs w:val="28"/>
    </w:rPr>
  </w:style>
  <w:style w:type="paragraph" w:customStyle="1" w:styleId="afffffffffffffffffffffffffffffffff1">
    <w:name w:val="标准正文"/>
    <w:basedOn w:val="a7"/>
    <w:qFormat/>
    <w:pPr>
      <w:widowControl/>
      <w:tabs>
        <w:tab w:val="right" w:pos="8640"/>
      </w:tabs>
      <w:spacing w:afterLines="50" w:after="156" w:line="360" w:lineRule="auto"/>
      <w:ind w:firstLineChars="225" w:firstLine="531"/>
    </w:pPr>
    <w:rPr>
      <w:rFonts w:ascii="Garamond" w:eastAsia="仿宋_GB2312" w:hAnsi="Garamond"/>
      <w:spacing w:val="-2"/>
      <w:kern w:val="44"/>
      <w:sz w:val="24"/>
    </w:rPr>
  </w:style>
  <w:style w:type="paragraph" w:customStyle="1" w:styleId="afffffffffffffffffffffffffffffffff2">
    <w:name w:val="主题线"/>
    <w:basedOn w:val="a7"/>
    <w:next w:val="aff2"/>
    <w:semiHidden/>
    <w:qFormat/>
    <w:pPr>
      <w:widowControl/>
      <w:overflowPunct w:val="0"/>
      <w:autoSpaceDE w:val="0"/>
      <w:autoSpaceDN w:val="0"/>
      <w:adjustRightInd w:val="0"/>
      <w:spacing w:after="160" w:line="278" w:lineRule="auto"/>
      <w:jc w:val="left"/>
      <w:textAlignment w:val="baseline"/>
    </w:pPr>
    <w:rPr>
      <w:i/>
      <w:kern w:val="0"/>
      <w:sz w:val="20"/>
      <w:szCs w:val="20"/>
      <w:u w:val="single"/>
    </w:rPr>
  </w:style>
  <w:style w:type="paragraph" w:customStyle="1" w:styleId="GB231228">
    <w:name w:val="样式 正文文本缩进 + 仿宋_GB2312 蓝色 行距: 固定值 28 磅"/>
    <w:basedOn w:val="aff4"/>
    <w:uiPriority w:val="99"/>
    <w:qFormat/>
    <w:pPr>
      <w:spacing w:after="160" w:line="560" w:lineRule="exact"/>
      <w:ind w:leftChars="0" w:left="0" w:firstLine="200"/>
    </w:pPr>
    <w:rPr>
      <w:rFonts w:ascii="仿宋_GB2312" w:eastAsia="仿宋_GB2312" w:cs="宋体"/>
      <w:color w:val="0000FF"/>
      <w:sz w:val="28"/>
      <w:szCs w:val="28"/>
    </w:rPr>
  </w:style>
  <w:style w:type="paragraph" w:customStyle="1" w:styleId="05">
    <w:name w:val="样式 段前: 0.5 行"/>
    <w:basedOn w:val="a7"/>
    <w:qFormat/>
    <w:pPr>
      <w:numPr>
        <w:numId w:val="20"/>
      </w:numPr>
      <w:spacing w:beforeLines="100" w:after="160" w:line="278" w:lineRule="auto"/>
      <w:ind w:left="1700" w:firstLine="0"/>
    </w:pPr>
    <w:rPr>
      <w:rFonts w:cs="宋体"/>
      <w:sz w:val="24"/>
      <w:szCs w:val="20"/>
    </w:rPr>
  </w:style>
  <w:style w:type="paragraph" w:customStyle="1" w:styleId="xl235">
    <w:name w:val="xl235"/>
    <w:basedOn w:val="a7"/>
    <w:qFormat/>
    <w:pPr>
      <w:widowControl/>
      <w:pBdr>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NormalNumbered">
    <w:name w:val="Normal Numbered"/>
    <w:basedOn w:val="af3"/>
    <w:qFormat/>
    <w:pPr>
      <w:widowControl/>
      <w:spacing w:after="160"/>
      <w:ind w:firstLineChars="0" w:hanging="907"/>
      <w:jc w:val="left"/>
    </w:pPr>
    <w:rPr>
      <w:rFonts w:ascii="Arial" w:hAnsi="Arial" w:cs="Times New Roman"/>
      <w:sz w:val="28"/>
      <w:szCs w:val="20"/>
    </w:rPr>
  </w:style>
  <w:style w:type="paragraph" w:customStyle="1" w:styleId="CharCharCharCharCharCharCharCharChar1CharCharCharChar">
    <w:name w:val="Char Char Char Char Char Char Char Char Char1 Char Char Char Char"/>
    <w:basedOn w:val="a7"/>
    <w:qFormat/>
    <w:pPr>
      <w:spacing w:after="160" w:line="278" w:lineRule="auto"/>
    </w:pPr>
  </w:style>
  <w:style w:type="paragraph" w:customStyle="1" w:styleId="afffffffffffffffffffffffffffffffff3">
    <w:name w:val="设计封面"/>
    <w:basedOn w:val="21"/>
    <w:qFormat/>
    <w:pPr>
      <w:keepNext/>
      <w:keepLines/>
      <w:numPr>
        <w:ilvl w:val="0"/>
        <w:numId w:val="0"/>
      </w:numPr>
      <w:tabs>
        <w:tab w:val="left" w:pos="210"/>
      </w:tabs>
      <w:snapToGrid/>
      <w:spacing w:beforeLines="0" w:before="0" w:afterLines="0" w:after="0" w:line="500" w:lineRule="exact"/>
      <w:ind w:firstLineChars="200" w:firstLine="200"/>
      <w:jc w:val="center"/>
      <w:outlineLvl w:val="9"/>
    </w:pPr>
    <w:rPr>
      <w:rFonts w:ascii="Arial" w:eastAsia="华文中宋" w:hAnsi="Arial"/>
      <w:bCs w:val="0"/>
      <w:smallCaps w:val="0"/>
      <w:color w:val="auto"/>
      <w:sz w:val="72"/>
    </w:rPr>
  </w:style>
  <w:style w:type="paragraph" w:customStyle="1" w:styleId="afffffffffffffffffffffffffffffffff4">
    <w:name w:val="规划正文样式"/>
    <w:basedOn w:val="a7"/>
    <w:qFormat/>
    <w:pPr>
      <w:spacing w:after="160" w:line="400" w:lineRule="exact"/>
      <w:ind w:firstLineChars="200" w:firstLine="480"/>
    </w:pPr>
    <w:rPr>
      <w:sz w:val="24"/>
    </w:rPr>
  </w:style>
  <w:style w:type="paragraph" w:customStyle="1" w:styleId="BodyTextFirstIndent21">
    <w:name w:val="Body Text First Indent 21"/>
    <w:basedOn w:val="BodyTextIndent1"/>
    <w:qFormat/>
    <w:pPr>
      <w:ind w:firstLineChars="200" w:firstLine="420"/>
    </w:pPr>
  </w:style>
  <w:style w:type="paragraph" w:customStyle="1" w:styleId="1CharCharCharCharChar">
    <w:name w:val="1 Char Char Char Char Char"/>
    <w:basedOn w:val="a7"/>
    <w:qFormat/>
    <w:pPr>
      <w:spacing w:after="160" w:line="278" w:lineRule="auto"/>
    </w:pPr>
    <w:rPr>
      <w:sz w:val="24"/>
    </w:rPr>
  </w:style>
  <w:style w:type="paragraph" w:customStyle="1" w:styleId="CharCharCharCharCharCharCharCharCharChar0">
    <w:name w:val="Char Char Char Char Char Char Char Char Char Char"/>
    <w:basedOn w:val="a7"/>
    <w:uiPriority w:val="99"/>
    <w:qFormat/>
    <w:pPr>
      <w:widowControl/>
      <w:spacing w:after="160" w:line="240" w:lineRule="exact"/>
      <w:ind w:firstLine="482"/>
      <w:jc w:val="left"/>
    </w:pPr>
    <w:rPr>
      <w:rFonts w:ascii="Verdana" w:hAnsi="Verdana" w:cs="Verdana"/>
      <w:kern w:val="0"/>
      <w:sz w:val="20"/>
      <w:szCs w:val="20"/>
      <w:lang w:eastAsia="en-US"/>
    </w:rPr>
  </w:style>
  <w:style w:type="paragraph" w:customStyle="1" w:styleId="afffffffffffffffffffffffffffffffff5">
    <w:name w:val="横页眉"/>
    <w:basedOn w:val="a7"/>
    <w:next w:val="afff3"/>
    <w:qFormat/>
    <w:pPr>
      <w:pBdr>
        <w:bottom w:val="double" w:sz="6" w:space="1" w:color="auto"/>
      </w:pBdr>
      <w:tabs>
        <w:tab w:val="center" w:pos="6623"/>
        <w:tab w:val="right" w:pos="13245"/>
      </w:tabs>
      <w:autoSpaceDE w:val="0"/>
      <w:autoSpaceDN w:val="0"/>
      <w:adjustRightInd w:val="0"/>
      <w:spacing w:after="160" w:line="276" w:lineRule="auto"/>
      <w:ind w:firstLine="454"/>
      <w:jc w:val="left"/>
      <w:textAlignment w:val="baseline"/>
    </w:pPr>
    <w:rPr>
      <w:kern w:val="0"/>
      <w:sz w:val="28"/>
      <w:szCs w:val="20"/>
    </w:rPr>
  </w:style>
  <w:style w:type="paragraph" w:customStyle="1" w:styleId="afffffffffffffffffffffffffffffffff6">
    <w:name w:val="正文报告"/>
    <w:basedOn w:val="a7"/>
    <w:qFormat/>
    <w:pPr>
      <w:tabs>
        <w:tab w:val="left" w:pos="510"/>
      </w:tabs>
      <w:adjustRightInd w:val="0"/>
      <w:spacing w:after="160" w:line="460" w:lineRule="exact"/>
      <w:ind w:firstLine="482"/>
      <w:textAlignment w:val="baseline"/>
    </w:pPr>
    <w:rPr>
      <w:kern w:val="0"/>
      <w:sz w:val="24"/>
      <w:szCs w:val="20"/>
    </w:rPr>
  </w:style>
  <w:style w:type="paragraph" w:customStyle="1" w:styleId="CharCharff2">
    <w:name w:val="Char Char Знак Знак"/>
    <w:basedOn w:val="a7"/>
    <w:qFormat/>
    <w:pPr>
      <w:widowControl/>
      <w:spacing w:after="160" w:line="240" w:lineRule="exact"/>
      <w:ind w:firstLine="482"/>
      <w:jc w:val="left"/>
    </w:pPr>
    <w:rPr>
      <w:b/>
      <w:kern w:val="0"/>
      <w:sz w:val="28"/>
      <w:lang w:eastAsia="en-US"/>
    </w:rPr>
  </w:style>
  <w:style w:type="paragraph" w:customStyle="1" w:styleId="afffffffffffffffffffffffffffffffff7">
    <w:name w:val="表格编号"/>
    <w:basedOn w:val="a7"/>
    <w:next w:val="a7"/>
    <w:qFormat/>
    <w:pPr>
      <w:tabs>
        <w:tab w:val="left" w:pos="600"/>
        <w:tab w:val="left" w:pos="720"/>
      </w:tabs>
      <w:spacing w:before="300" w:after="200" w:line="278" w:lineRule="auto"/>
      <w:jc w:val="center"/>
    </w:pPr>
    <w:rPr>
      <w:sz w:val="24"/>
      <w:szCs w:val="20"/>
    </w:rPr>
  </w:style>
  <w:style w:type="paragraph" w:customStyle="1" w:styleId="xl92">
    <w:name w:val="xl92"/>
    <w:basedOn w:val="a7"/>
    <w:qFormat/>
    <w:pPr>
      <w:widowControl/>
      <w:pBdr>
        <w:left w:val="single" w:sz="8" w:space="0" w:color="000000"/>
        <w:bottom w:val="single" w:sz="8" w:space="0" w:color="000000"/>
        <w:right w:val="single" w:sz="8" w:space="0" w:color="000000"/>
      </w:pBdr>
      <w:snapToGrid w:val="0"/>
      <w:spacing w:before="100" w:beforeAutospacing="1" w:after="100" w:afterAutospacing="1" w:line="278" w:lineRule="auto"/>
      <w:jc w:val="center"/>
    </w:pPr>
    <w:rPr>
      <w:rFonts w:ascii="宋体" w:hAnsi="宋体" w:cs="宋体"/>
      <w:color w:val="000000"/>
      <w:kern w:val="0"/>
      <w:sz w:val="24"/>
    </w:rPr>
  </w:style>
  <w:style w:type="paragraph" w:customStyle="1" w:styleId="afffffffffffffffffffffffffffffffff8">
    <w:name w:val="本册报告名称"/>
    <w:qFormat/>
    <w:pPr>
      <w:spacing w:after="160" w:line="278" w:lineRule="auto"/>
    </w:pPr>
    <w:rPr>
      <w:sz w:val="48"/>
    </w:rPr>
  </w:style>
  <w:style w:type="paragraph" w:customStyle="1" w:styleId="afffffffffffffffffffffffffffffffff9">
    <w:name w:val="项目名称"/>
    <w:basedOn w:val="a7"/>
    <w:qFormat/>
    <w:pPr>
      <w:adjustRightInd w:val="0"/>
      <w:snapToGrid w:val="0"/>
      <w:spacing w:after="160" w:line="360" w:lineRule="auto"/>
      <w:jc w:val="center"/>
    </w:pPr>
    <w:rPr>
      <w:rFonts w:ascii="文鼎大标宋简" w:eastAsia="文鼎大标宋简"/>
      <w:sz w:val="56"/>
      <w:szCs w:val="20"/>
    </w:rPr>
  </w:style>
  <w:style w:type="paragraph" w:customStyle="1" w:styleId="afffffffffffffffffffffffffffffffffa">
    <w:name w:val="项目编号"/>
    <w:basedOn w:val="a7"/>
    <w:next w:val="a7"/>
    <w:qFormat/>
    <w:pPr>
      <w:spacing w:before="120" w:after="120" w:line="360" w:lineRule="auto"/>
    </w:pPr>
    <w:rPr>
      <w:sz w:val="24"/>
      <w:szCs w:val="20"/>
    </w:rPr>
  </w:style>
  <w:style w:type="paragraph" w:customStyle="1" w:styleId="yyn2">
    <w:name w:val="yyn2"/>
    <w:basedOn w:val="yyn"/>
    <w:qFormat/>
    <w:pPr>
      <w:ind w:right="0" w:firstLine="0"/>
    </w:pPr>
  </w:style>
  <w:style w:type="paragraph" w:customStyle="1" w:styleId="CharCharCharCharCharCharCharCharChar11">
    <w:name w:val="Char Char Char Char Char Char Char Char Char11"/>
    <w:basedOn w:val="a7"/>
    <w:qFormat/>
    <w:pPr>
      <w:spacing w:after="160" w:line="360" w:lineRule="auto"/>
      <w:ind w:firstLine="482"/>
    </w:pPr>
    <w:rPr>
      <w:kern w:val="0"/>
      <w:sz w:val="24"/>
    </w:rPr>
  </w:style>
  <w:style w:type="paragraph" w:customStyle="1" w:styleId="afffffffffffffffffffffffffffffffffb">
    <w:name w:val="海南燃料乙醇表"/>
    <w:basedOn w:val="a7"/>
    <w:qFormat/>
    <w:pPr>
      <w:autoSpaceDE w:val="0"/>
      <w:autoSpaceDN w:val="0"/>
      <w:adjustRightInd w:val="0"/>
      <w:spacing w:after="160" w:line="0" w:lineRule="atLeast"/>
      <w:jc w:val="center"/>
      <w:textAlignment w:val="center"/>
    </w:pPr>
    <w:rPr>
      <w:rFonts w:ascii="宋体" w:hAnsi="宋体"/>
      <w:kern w:val="0"/>
    </w:rPr>
  </w:style>
  <w:style w:type="paragraph" w:customStyle="1" w:styleId="A-b">
    <w:name w:val="A-问题已解决"/>
    <w:basedOn w:val="a7"/>
    <w:qFormat/>
    <w:pPr>
      <w:snapToGrid w:val="0"/>
      <w:spacing w:after="160" w:line="360" w:lineRule="auto"/>
      <w:ind w:firstLineChars="200" w:firstLine="444"/>
      <w:jc w:val="left"/>
    </w:pPr>
    <w:rPr>
      <w:rFonts w:ascii="宋体" w:cs="宋体"/>
      <w:strike/>
    </w:rPr>
  </w:style>
  <w:style w:type="paragraph" w:customStyle="1" w:styleId="1fffff9">
    <w:name w:val="正文 1"/>
    <w:basedOn w:val="a7"/>
    <w:qFormat/>
    <w:pPr>
      <w:spacing w:after="160" w:line="480" w:lineRule="exact"/>
      <w:ind w:firstLineChars="200" w:firstLine="567"/>
    </w:pPr>
    <w:rPr>
      <w:sz w:val="28"/>
    </w:rPr>
  </w:style>
  <w:style w:type="paragraph" w:customStyle="1" w:styleId="DowPlaqtxt">
    <w:name w:val="_DowPlaq txt"/>
    <w:basedOn w:val="a7"/>
    <w:uiPriority w:val="99"/>
    <w:qFormat/>
    <w:pPr>
      <w:widowControl/>
      <w:snapToGrid w:val="0"/>
      <w:spacing w:after="160" w:line="264" w:lineRule="auto"/>
      <w:ind w:firstLine="720"/>
      <w:jc w:val="left"/>
    </w:pPr>
    <w:rPr>
      <w:kern w:val="0"/>
      <w:sz w:val="22"/>
      <w:szCs w:val="20"/>
      <w:lang w:eastAsia="en-US"/>
    </w:rPr>
  </w:style>
  <w:style w:type="paragraph" w:customStyle="1" w:styleId="CharCharCharCharCharCharCharCharCharChar1">
    <w:name w:val="Char Char Char Char Char Char Char Char Char Char1"/>
    <w:basedOn w:val="a7"/>
    <w:uiPriority w:val="99"/>
    <w:qFormat/>
    <w:pPr>
      <w:spacing w:after="160" w:line="240" w:lineRule="exact"/>
      <w:ind w:firstLineChars="200" w:firstLine="200"/>
    </w:pPr>
    <w:rPr>
      <w:rFonts w:ascii="宋体" w:hAnsi="宋体" w:cs="宋体"/>
      <w:kern w:val="0"/>
      <w:sz w:val="24"/>
    </w:rPr>
  </w:style>
  <w:style w:type="paragraph" w:customStyle="1" w:styleId="afffffffffffffffffffffffffffffffffc">
    <w:name w:val="表的格式（小四）"/>
    <w:basedOn w:val="a7"/>
    <w:qFormat/>
    <w:pPr>
      <w:adjustRightInd w:val="0"/>
      <w:snapToGrid w:val="0"/>
      <w:spacing w:after="160" w:line="360" w:lineRule="atLeast"/>
      <w:jc w:val="center"/>
    </w:pPr>
    <w:rPr>
      <w:kern w:val="0"/>
      <w:sz w:val="24"/>
      <w:szCs w:val="20"/>
    </w:rPr>
  </w:style>
  <w:style w:type="paragraph" w:customStyle="1" w:styleId="bodyoftable">
    <w:name w:val="body of table"/>
    <w:basedOn w:val="a7"/>
    <w:qFormat/>
    <w:pPr>
      <w:widowControl/>
      <w:spacing w:after="160" w:line="300" w:lineRule="auto"/>
      <w:jc w:val="center"/>
    </w:pPr>
    <w:rPr>
      <w:rFonts w:eastAsia="仿宋_GB2312"/>
      <w:kern w:val="0"/>
      <w:sz w:val="24"/>
      <w:szCs w:val="20"/>
    </w:rPr>
  </w:style>
  <w:style w:type="paragraph" w:customStyle="1" w:styleId="331">
    <w:name w:val="表格 33"/>
    <w:basedOn w:val="a7"/>
    <w:qFormat/>
    <w:pPr>
      <w:autoSpaceDE w:val="0"/>
      <w:autoSpaceDN w:val="0"/>
      <w:adjustRightInd w:val="0"/>
      <w:spacing w:after="160" w:line="278" w:lineRule="auto"/>
      <w:jc w:val="center"/>
      <w:textAlignment w:val="baseline"/>
    </w:pPr>
    <w:rPr>
      <w:rFonts w:eastAsia="楷体"/>
      <w:kern w:val="0"/>
      <w:szCs w:val="20"/>
    </w:rPr>
  </w:style>
  <w:style w:type="paragraph" w:customStyle="1" w:styleId="Normal12">
    <w:name w:val="Normal_12"/>
    <w:qFormat/>
    <w:pPr>
      <w:spacing w:before="120" w:after="240" w:line="278" w:lineRule="auto"/>
      <w:jc w:val="both"/>
    </w:pPr>
    <w:rPr>
      <w:rFonts w:ascii="Calibri" w:eastAsia="Calibri" w:hAnsi="Calibri"/>
      <w:sz w:val="22"/>
      <w:szCs w:val="22"/>
      <w:lang w:eastAsia="en-US"/>
    </w:rPr>
  </w:style>
  <w:style w:type="paragraph" w:customStyle="1" w:styleId="BookmanOldStyle10615">
    <w:name w:val="样式 Bookman Old Style 小四 首行缩进:  1.06 厘米 行距: 1.5 倍行距"/>
    <w:basedOn w:val="a7"/>
    <w:uiPriority w:val="99"/>
    <w:qFormat/>
    <w:pPr>
      <w:spacing w:after="160" w:line="520" w:lineRule="exact"/>
      <w:ind w:firstLine="601"/>
    </w:pPr>
    <w:rPr>
      <w:rFonts w:ascii="Bookman Old Style" w:hAnsi="Bookman Old Style"/>
      <w:sz w:val="24"/>
      <w:szCs w:val="20"/>
    </w:rPr>
  </w:style>
  <w:style w:type="paragraph" w:customStyle="1" w:styleId="chuang2">
    <w:name w:val="chuang2"/>
    <w:basedOn w:val="a7"/>
    <w:qFormat/>
    <w:pPr>
      <w:widowControl/>
      <w:spacing w:after="200" w:line="276" w:lineRule="auto"/>
      <w:ind w:firstLineChars="200" w:firstLine="420"/>
    </w:pPr>
    <w:rPr>
      <w:rFonts w:ascii="Calibri" w:eastAsia="黑体" w:hAnsi="Calibri"/>
      <w:kern w:val="0"/>
      <w:sz w:val="30"/>
      <w:szCs w:val="20"/>
      <w:lang w:eastAsia="en-US" w:bidi="en-US"/>
    </w:rPr>
  </w:style>
  <w:style w:type="paragraph" w:customStyle="1" w:styleId="2fffff5">
    <w:name w:val="样式 揭大林正文 + 首行缩进:  2 字符"/>
    <w:basedOn w:val="a7"/>
    <w:uiPriority w:val="99"/>
    <w:qFormat/>
    <w:pPr>
      <w:widowControl/>
      <w:spacing w:after="160" w:line="480" w:lineRule="exact"/>
      <w:ind w:firstLineChars="200" w:firstLine="480"/>
    </w:pPr>
    <w:rPr>
      <w:rFonts w:ascii="宋体" w:hAnsi="宋体" w:cs="宋体"/>
      <w:kern w:val="0"/>
      <w:sz w:val="24"/>
      <w:szCs w:val="20"/>
    </w:rPr>
  </w:style>
  <w:style w:type="paragraph" w:customStyle="1" w:styleId="314">
    <w:name w:val="3.1"/>
    <w:basedOn w:val="a7"/>
    <w:qFormat/>
    <w:pPr>
      <w:widowControl/>
      <w:spacing w:before="240" w:after="120" w:line="360" w:lineRule="exact"/>
      <w:jc w:val="left"/>
    </w:pPr>
    <w:rPr>
      <w:rFonts w:eastAsia="DFKai-SB"/>
      <w:kern w:val="0"/>
      <w:sz w:val="28"/>
      <w:szCs w:val="20"/>
      <w:lang w:eastAsia="zh-TW" w:bidi="en-US"/>
    </w:rPr>
  </w:style>
  <w:style w:type="paragraph" w:customStyle="1" w:styleId="afffffffffffffffffffffffffffffffffd">
    <w:name w:val="文本框小四"/>
    <w:basedOn w:val="a7"/>
    <w:qFormat/>
    <w:pPr>
      <w:adjustRightInd w:val="0"/>
      <w:snapToGrid w:val="0"/>
      <w:spacing w:after="160" w:line="278" w:lineRule="auto"/>
      <w:jc w:val="center"/>
    </w:pPr>
  </w:style>
  <w:style w:type="paragraph" w:customStyle="1" w:styleId="CharCharCharCharCharCharCharCharCharCharCharCharCharCharCharCharCharChar2">
    <w:name w:val="Char Char Char Char Char Char Char Char Char Char Char Char Char Char Char Char Char Char2"/>
    <w:basedOn w:val="a7"/>
    <w:qFormat/>
    <w:pPr>
      <w:spacing w:after="160" w:line="360" w:lineRule="auto"/>
      <w:ind w:firstLine="482"/>
    </w:pPr>
    <w:rPr>
      <w:kern w:val="0"/>
      <w:sz w:val="24"/>
    </w:rPr>
  </w:style>
  <w:style w:type="paragraph" w:customStyle="1" w:styleId="af00">
    <w:name w:val="af0"/>
    <w:basedOn w:val="a7"/>
    <w:qFormat/>
    <w:pPr>
      <w:widowControl/>
      <w:spacing w:before="100" w:beforeAutospacing="1" w:after="100" w:afterAutospacing="1" w:line="360" w:lineRule="auto"/>
      <w:ind w:firstLine="482"/>
      <w:jc w:val="left"/>
    </w:pPr>
    <w:rPr>
      <w:rFonts w:ascii="宋体" w:hAnsi="宋体" w:cs="宋体"/>
      <w:kern w:val="0"/>
      <w:sz w:val="24"/>
    </w:rPr>
  </w:style>
  <w:style w:type="paragraph" w:customStyle="1" w:styleId="afffffffffffffffffffffffffffffffffe">
    <w:name w:val="图题注"/>
    <w:basedOn w:val="af5"/>
    <w:qFormat/>
    <w:pPr>
      <w:spacing w:after="160" w:line="360" w:lineRule="auto"/>
      <w:ind w:firstLineChars="147" w:firstLine="295"/>
    </w:pPr>
    <w:rPr>
      <w:rFonts w:ascii="Times New Roman" w:eastAsia="宋体" w:hAnsi="黑体" w:cs="宋体"/>
      <w:b/>
      <w:sz w:val="21"/>
      <w:szCs w:val="21"/>
    </w:rPr>
  </w:style>
  <w:style w:type="paragraph" w:customStyle="1" w:styleId="xl224">
    <w:name w:val="xl224"/>
    <w:basedOn w:val="a7"/>
    <w:qFormat/>
    <w:pPr>
      <w:widowControl/>
      <w:pBdr>
        <w:top w:val="single" w:sz="4" w:space="0" w:color="auto"/>
        <w:left w:val="single" w:sz="4" w:space="0" w:color="auto"/>
        <w:bottom w:val="single" w:sz="4" w:space="0" w:color="auto"/>
      </w:pBdr>
      <w:spacing w:before="100" w:beforeAutospacing="1" w:after="100" w:afterAutospacing="1" w:line="278" w:lineRule="auto"/>
      <w:jc w:val="center"/>
      <w:textAlignment w:val="center"/>
    </w:pPr>
    <w:rPr>
      <w:kern w:val="0"/>
      <w:sz w:val="16"/>
      <w:szCs w:val="16"/>
    </w:rPr>
  </w:style>
  <w:style w:type="paragraph" w:customStyle="1" w:styleId="1fffffa">
    <w:name w:val="表格文字1"/>
    <w:basedOn w:val="a7"/>
    <w:next w:val="a7"/>
    <w:qFormat/>
    <w:pPr>
      <w:spacing w:after="160" w:line="360" w:lineRule="auto"/>
      <w:ind w:firstLineChars="200" w:firstLine="482"/>
    </w:pPr>
    <w:rPr>
      <w:rFonts w:ascii="仿宋_GB2312" w:eastAsia="仿宋_GB2312"/>
      <w:kern w:val="0"/>
      <w:sz w:val="24"/>
    </w:rPr>
  </w:style>
  <w:style w:type="paragraph" w:customStyle="1" w:styleId="affffffffffffffffffffffffffffffffff">
    <w:name w:val="二级无标题条"/>
    <w:basedOn w:val="a7"/>
    <w:qFormat/>
    <w:pPr>
      <w:spacing w:after="160" w:line="360" w:lineRule="auto"/>
      <w:ind w:firstLine="482"/>
    </w:pPr>
    <w:rPr>
      <w:kern w:val="24"/>
      <w:sz w:val="24"/>
    </w:rPr>
  </w:style>
  <w:style w:type="paragraph" w:customStyle="1" w:styleId="affffffffffffffffffffffffffffffffff0">
    <w:name w:val="单位名称"/>
    <w:basedOn w:val="a7"/>
    <w:qFormat/>
    <w:pPr>
      <w:tabs>
        <w:tab w:val="left" w:pos="4680"/>
      </w:tabs>
      <w:spacing w:after="160" w:line="300" w:lineRule="auto"/>
      <w:ind w:firstLineChars="200" w:firstLine="420"/>
      <w:jc w:val="center"/>
    </w:pPr>
    <w:rPr>
      <w:rFonts w:cs="宋体"/>
      <w:b/>
      <w:bCs/>
      <w:kern w:val="0"/>
      <w:sz w:val="24"/>
      <w:szCs w:val="20"/>
    </w:rPr>
  </w:style>
  <w:style w:type="paragraph" w:customStyle="1" w:styleId="1fffffb">
    <w:name w:val="+标题1"/>
    <w:basedOn w:val="1"/>
    <w:uiPriority w:val="99"/>
    <w:qFormat/>
    <w:pPr>
      <w:keepNext/>
      <w:pageBreakBefore/>
      <w:numPr>
        <w:numId w:val="0"/>
      </w:numPr>
      <w:tabs>
        <w:tab w:val="left" w:pos="454"/>
        <w:tab w:val="left" w:pos="920"/>
      </w:tabs>
      <w:spacing w:before="240" w:afterLines="50" w:after="240"/>
      <w:ind w:left="920" w:hanging="360"/>
      <w:jc w:val="center"/>
    </w:pPr>
    <w:rPr>
      <w:rFonts w:eastAsia="楷体_GB2312"/>
      <w:bCs/>
      <w:szCs w:val="32"/>
    </w:rPr>
  </w:style>
  <w:style w:type="paragraph" w:customStyle="1" w:styleId="List51">
    <w:name w:val="List 51"/>
    <w:basedOn w:val="a7"/>
    <w:qFormat/>
    <w:pPr>
      <w:spacing w:after="160" w:line="278" w:lineRule="auto"/>
      <w:ind w:leftChars="800" w:left="100" w:hangingChars="200" w:hanging="200"/>
    </w:pPr>
  </w:style>
  <w:style w:type="paragraph" w:customStyle="1" w:styleId="121111111111">
    <w:name w:val="121111111111"/>
    <w:basedOn w:val="a7"/>
    <w:qFormat/>
    <w:pPr>
      <w:spacing w:after="160" w:line="460" w:lineRule="atLeast"/>
      <w:jc w:val="center"/>
    </w:pPr>
    <w:rPr>
      <w:rFonts w:eastAsia="黑体"/>
      <w:color w:val="000000"/>
      <w:spacing w:val="16"/>
      <w:sz w:val="24"/>
    </w:rPr>
  </w:style>
  <w:style w:type="paragraph" w:customStyle="1" w:styleId="4ff2">
    <w:name w:val="+标题4"/>
    <w:basedOn w:val="41"/>
    <w:uiPriority w:val="99"/>
    <w:qFormat/>
    <w:pPr>
      <w:keepNext/>
      <w:keepLines/>
      <w:numPr>
        <w:ilvl w:val="0"/>
        <w:numId w:val="0"/>
      </w:numPr>
      <w:tabs>
        <w:tab w:val="left" w:pos="2240"/>
      </w:tabs>
      <w:spacing w:before="0" w:afterLines="0" w:after="0"/>
      <w:ind w:left="2240" w:hanging="420"/>
      <w:jc w:val="both"/>
      <w:textAlignment w:val="auto"/>
    </w:pPr>
    <w:rPr>
      <w:rFonts w:eastAsia="宋体" w:hAnsi="宋体"/>
      <w:b w:val="0"/>
      <w:color w:val="auto"/>
      <w:kern w:val="0"/>
      <w:lang w:val="en-US"/>
    </w:rPr>
  </w:style>
  <w:style w:type="paragraph" w:customStyle="1" w:styleId="6b">
    <w:name w:val="样式6"/>
    <w:basedOn w:val="a7"/>
    <w:qFormat/>
    <w:pPr>
      <w:tabs>
        <w:tab w:val="center" w:pos="4153"/>
        <w:tab w:val="right" w:pos="8306"/>
      </w:tabs>
      <w:snapToGrid w:val="0"/>
      <w:spacing w:after="160" w:line="360" w:lineRule="auto"/>
      <w:ind w:firstLine="482"/>
      <w:jc w:val="center"/>
    </w:pPr>
    <w:rPr>
      <w:kern w:val="0"/>
      <w:sz w:val="18"/>
    </w:rPr>
  </w:style>
  <w:style w:type="paragraph" w:customStyle="1" w:styleId="affffffffffffffffffffffffffffffffff1">
    <w:name w:val="正文应用"/>
    <w:basedOn w:val="a7"/>
    <w:qFormat/>
    <w:pPr>
      <w:spacing w:after="160" w:line="360" w:lineRule="auto"/>
      <w:ind w:firstLineChars="200" w:firstLine="200"/>
    </w:pPr>
    <w:rPr>
      <w:sz w:val="24"/>
    </w:rPr>
  </w:style>
  <w:style w:type="paragraph" w:customStyle="1" w:styleId="PA">
    <w:name w:val="PA"/>
    <w:basedOn w:val="a7"/>
    <w:qFormat/>
    <w:pPr>
      <w:widowControl/>
      <w:spacing w:after="120" w:line="278" w:lineRule="auto"/>
      <w:ind w:left="1134"/>
    </w:pPr>
    <w:rPr>
      <w:rFonts w:ascii="Arial" w:hAnsi="Arial"/>
      <w:kern w:val="0"/>
      <w:sz w:val="22"/>
      <w:szCs w:val="20"/>
    </w:rPr>
  </w:style>
  <w:style w:type="paragraph" w:customStyle="1" w:styleId="xl204">
    <w:name w:val="xl204"/>
    <w:basedOn w:val="a7"/>
    <w:qFormat/>
    <w:pPr>
      <w:widowControl/>
      <w:pBdr>
        <w:left w:val="single" w:sz="4" w:space="0" w:color="auto"/>
        <w:bottom w:val="single" w:sz="4" w:space="0" w:color="auto"/>
      </w:pBdr>
      <w:shd w:val="clear" w:color="000000" w:fill="FFFFFF"/>
      <w:spacing w:before="100" w:beforeAutospacing="1" w:after="100" w:afterAutospacing="1" w:line="278" w:lineRule="auto"/>
      <w:jc w:val="left"/>
      <w:textAlignment w:val="center"/>
    </w:pPr>
    <w:rPr>
      <w:rFonts w:ascii="宋体" w:hAnsi="宋体" w:cs="宋体"/>
      <w:b/>
      <w:bCs/>
      <w:kern w:val="0"/>
      <w:sz w:val="18"/>
      <w:szCs w:val="18"/>
    </w:rPr>
  </w:style>
  <w:style w:type="paragraph" w:customStyle="1" w:styleId="15524">
    <w:name w:val="样式 标题 1 + 小四 加粗 非倾斜 左 段前: 5 磅 段后: 5 磅 图案: 清除 行距: 固定值 24 磅"/>
    <w:basedOn w:val="1"/>
    <w:qFormat/>
    <w:pPr>
      <w:keepNext/>
      <w:keepLines/>
      <w:widowControl/>
      <w:numPr>
        <w:numId w:val="0"/>
      </w:numPr>
      <w:tabs>
        <w:tab w:val="left" w:pos="420"/>
        <w:tab w:val="left" w:pos="454"/>
      </w:tabs>
      <w:spacing w:beforeLines="0" w:before="0" w:after="160" w:line="480" w:lineRule="exact"/>
      <w:ind w:left="420" w:hanging="420"/>
      <w:jc w:val="left"/>
    </w:pPr>
    <w:rPr>
      <w:rFonts w:ascii="Calibri" w:eastAsia="宋体" w:hAnsi="Calibri" w:cs="宋体"/>
      <w:b/>
      <w:bCs/>
      <w:kern w:val="2"/>
      <w:sz w:val="24"/>
      <w:szCs w:val="20"/>
    </w:rPr>
  </w:style>
  <w:style w:type="paragraph" w:customStyle="1" w:styleId="1-0">
    <w:name w:val="样式1-正文"/>
    <w:qFormat/>
    <w:pPr>
      <w:widowControl w:val="0"/>
      <w:spacing w:after="160" w:line="360" w:lineRule="auto"/>
      <w:ind w:firstLineChars="200" w:firstLine="200"/>
    </w:pPr>
    <w:rPr>
      <w:spacing w:val="20"/>
      <w:kern w:val="2"/>
      <w:sz w:val="24"/>
      <w:szCs w:val="24"/>
    </w:rPr>
  </w:style>
  <w:style w:type="paragraph" w:customStyle="1" w:styleId="affffffffffffffffffffffffffffffffff2">
    <w:name w:val="节以下标题样式"/>
    <w:basedOn w:val="a7"/>
    <w:qFormat/>
    <w:pPr>
      <w:tabs>
        <w:tab w:val="left" w:pos="567"/>
      </w:tabs>
      <w:spacing w:after="160" w:line="360" w:lineRule="auto"/>
      <w:jc w:val="left"/>
    </w:pPr>
    <w:rPr>
      <w:rFonts w:eastAsia="华文中宋"/>
      <w:b/>
      <w:spacing w:val="20"/>
      <w:sz w:val="24"/>
      <w:szCs w:val="20"/>
    </w:rPr>
  </w:style>
  <w:style w:type="paragraph" w:customStyle="1" w:styleId="HQ-3">
    <w:name w:val="HQ-标题 3"/>
    <w:basedOn w:val="31"/>
    <w:qFormat/>
    <w:pPr>
      <w:keepNext/>
      <w:keepLines/>
      <w:widowControl/>
      <w:numPr>
        <w:ilvl w:val="0"/>
        <w:numId w:val="0"/>
      </w:numPr>
      <w:spacing w:beforeLines="10" w:before="0" w:afterLines="10" w:after="0" w:line="312" w:lineRule="auto"/>
      <w:jc w:val="both"/>
      <w:textAlignment w:val="auto"/>
    </w:pPr>
    <w:rPr>
      <w:rFonts w:ascii="宋体" w:eastAsia="宋体" w:hAnsi="宋体" w:cs="宋体"/>
      <w:bCs w:val="0"/>
      <w:color w:val="auto"/>
      <w:kern w:val="0"/>
      <w:sz w:val="28"/>
      <w:szCs w:val="27"/>
      <w:lang w:val="en-US"/>
    </w:rPr>
  </w:style>
  <w:style w:type="paragraph" w:customStyle="1" w:styleId="1fffffc">
    <w:name w:val="纯文本1"/>
    <w:basedOn w:val="a7"/>
    <w:qFormat/>
    <w:pPr>
      <w:adjustRightInd w:val="0"/>
      <w:spacing w:after="160" w:line="278" w:lineRule="auto"/>
      <w:textAlignment w:val="baseline"/>
    </w:pPr>
    <w:rPr>
      <w:rFonts w:ascii="宋体" w:hAnsi="Courier New"/>
      <w:sz w:val="28"/>
      <w:szCs w:val="20"/>
    </w:rPr>
  </w:style>
  <w:style w:type="paragraph" w:customStyle="1" w:styleId="affffffffffffffffffffffffffffffffff3">
    <w:name w:val="表、图名宋旭峰"/>
    <w:basedOn w:val="a7"/>
    <w:qFormat/>
    <w:pPr>
      <w:spacing w:beforeLines="50" w:before="156" w:after="160" w:line="360" w:lineRule="auto"/>
      <w:ind w:firstLine="482"/>
      <w:jc w:val="center"/>
    </w:pPr>
    <w:rPr>
      <w:rFonts w:ascii="黑体" w:eastAsia="黑体" w:hAnsi="宋体"/>
      <w:kern w:val="0"/>
      <w:sz w:val="24"/>
      <w:szCs w:val="20"/>
    </w:rPr>
  </w:style>
  <w:style w:type="paragraph" w:customStyle="1" w:styleId="CharChar7CharCharCharChar3">
    <w:name w:val="Char Char7 Char Char Char Char3"/>
    <w:basedOn w:val="a7"/>
    <w:qFormat/>
    <w:pPr>
      <w:snapToGrid w:val="0"/>
      <w:spacing w:after="160" w:line="278" w:lineRule="auto"/>
      <w:jc w:val="left"/>
    </w:pPr>
    <w:rPr>
      <w:sz w:val="24"/>
    </w:rPr>
  </w:style>
  <w:style w:type="paragraph" w:customStyle="1" w:styleId="Body1">
    <w:name w:val="Body1"/>
    <w:basedOn w:val="a7"/>
    <w:qFormat/>
    <w:pPr>
      <w:keepLines/>
      <w:widowControl/>
      <w:spacing w:after="160" w:line="278" w:lineRule="auto"/>
      <w:ind w:left="360"/>
      <w:jc w:val="left"/>
    </w:pPr>
    <w:rPr>
      <w:kern w:val="0"/>
      <w:sz w:val="20"/>
      <w:szCs w:val="20"/>
      <w:lang w:eastAsia="en-US"/>
    </w:rPr>
  </w:style>
  <w:style w:type="paragraph" w:customStyle="1" w:styleId="ParaCharCharCharCharCharCharCharCharCharChar">
    <w:name w:val="默认段落字体 Para Char Char Char Char Char Char Char Char Char Char"/>
    <w:basedOn w:val="31"/>
    <w:qFormat/>
    <w:pPr>
      <w:keepNext/>
      <w:keepLines/>
      <w:numPr>
        <w:ilvl w:val="0"/>
        <w:numId w:val="0"/>
      </w:numPr>
      <w:tabs>
        <w:tab w:val="left" w:pos="360"/>
        <w:tab w:val="left" w:pos="454"/>
        <w:tab w:val="left" w:pos="900"/>
      </w:tabs>
      <w:adjustRightInd/>
      <w:spacing w:beforeLines="0" w:before="120" w:afterLines="0" w:after="120"/>
      <w:ind w:leftChars="-12" w:left="542" w:firstLineChars="200" w:firstLine="200"/>
      <w:textAlignment w:val="auto"/>
    </w:pPr>
    <w:rPr>
      <w:b w:val="0"/>
      <w:bCs w:val="0"/>
      <w:snapToGrid w:val="0"/>
      <w:color w:val="auto"/>
      <w:sz w:val="24"/>
      <w:lang w:val="en-US"/>
    </w:rPr>
  </w:style>
  <w:style w:type="paragraph" w:customStyle="1" w:styleId="CharCharCharCharCharCharChar20">
    <w:name w:val="Char Char Char Char Char Char Char2"/>
    <w:basedOn w:val="a7"/>
    <w:uiPriority w:val="99"/>
    <w:qFormat/>
    <w:pPr>
      <w:spacing w:after="160" w:line="360" w:lineRule="auto"/>
      <w:ind w:firstLine="482"/>
    </w:pPr>
    <w:rPr>
      <w:kern w:val="0"/>
      <w:sz w:val="24"/>
      <w:szCs w:val="20"/>
    </w:rPr>
  </w:style>
  <w:style w:type="paragraph" w:customStyle="1" w:styleId="22e">
    <w:name w:val="样式 样式 首行缩进:  2 字符 + 左侧:  2 字符"/>
    <w:basedOn w:val="a7"/>
    <w:qFormat/>
    <w:pPr>
      <w:adjustRightInd w:val="0"/>
      <w:spacing w:after="160" w:line="360" w:lineRule="auto"/>
      <w:ind w:firstLineChars="200" w:firstLine="560"/>
      <w:textAlignment w:val="baseline"/>
    </w:pPr>
    <w:rPr>
      <w:kern w:val="0"/>
      <w:sz w:val="28"/>
      <w:szCs w:val="20"/>
    </w:rPr>
  </w:style>
  <w:style w:type="paragraph" w:customStyle="1" w:styleId="3ffe">
    <w:name w:val="报告标题3"/>
    <w:basedOn w:val="31"/>
    <w:qFormat/>
    <w:pPr>
      <w:keepNext/>
      <w:keepLines/>
      <w:numPr>
        <w:ilvl w:val="0"/>
        <w:numId w:val="0"/>
      </w:numPr>
      <w:tabs>
        <w:tab w:val="left" w:pos="0"/>
        <w:tab w:val="left" w:pos="454"/>
      </w:tabs>
      <w:adjustRightInd/>
      <w:snapToGrid/>
      <w:spacing w:beforeLines="0" w:before="0" w:afterLines="0" w:after="0"/>
      <w:textAlignment w:val="auto"/>
    </w:pPr>
    <w:rPr>
      <w:rFonts w:ascii="Arial" w:eastAsia="宋体" w:hAnsi="Arial"/>
      <w:color w:val="000000"/>
      <w:kern w:val="0"/>
      <w:sz w:val="24"/>
      <w:szCs w:val="32"/>
      <w:lang w:val="en-US"/>
    </w:rPr>
  </w:style>
  <w:style w:type="paragraph" w:customStyle="1" w:styleId="affffffffffffffffffffffffffffffffff4">
    <w:name w:val="表序号"/>
    <w:basedOn w:val="52"/>
    <w:qFormat/>
    <w:pPr>
      <w:tabs>
        <w:tab w:val="left" w:pos="1008"/>
        <w:tab w:val="left" w:pos="1620"/>
      </w:tabs>
      <w:spacing w:before="0" w:after="0" w:line="360" w:lineRule="auto"/>
      <w:ind w:leftChars="600" w:left="1620" w:hangingChars="200" w:hanging="360"/>
      <w:jc w:val="center"/>
    </w:pPr>
    <w:rPr>
      <w:rFonts w:ascii="宋体" w:hAnsi="Arial"/>
      <w:kern w:val="2"/>
      <w:sz w:val="24"/>
      <w:lang w:val="en-US"/>
    </w:rPr>
  </w:style>
  <w:style w:type="paragraph" w:customStyle="1" w:styleId="Level1">
    <w:name w:val="Level 1"/>
    <w:qFormat/>
    <w:pPr>
      <w:tabs>
        <w:tab w:val="left" w:pos="360"/>
        <w:tab w:val="left" w:pos="851"/>
      </w:tabs>
      <w:spacing w:after="160" w:line="278" w:lineRule="auto"/>
      <w:ind w:hanging="851"/>
      <w:outlineLvl w:val="0"/>
    </w:pPr>
  </w:style>
  <w:style w:type="paragraph" w:customStyle="1" w:styleId="Body10">
    <w:name w:val="Body 1"/>
    <w:basedOn w:val="a7"/>
    <w:qFormat/>
    <w:pPr>
      <w:widowControl/>
      <w:tabs>
        <w:tab w:val="left" w:pos="360"/>
      </w:tabs>
      <w:spacing w:after="240" w:line="264" w:lineRule="auto"/>
      <w:ind w:left="851" w:hanging="360"/>
    </w:pPr>
    <w:rPr>
      <w:rFonts w:ascii="Arial" w:hAnsi="Arial"/>
      <w:kern w:val="0"/>
      <w:sz w:val="20"/>
      <w:szCs w:val="20"/>
    </w:rPr>
  </w:style>
  <w:style w:type="paragraph" w:customStyle="1" w:styleId="Normal13">
    <w:name w:val="Normal_13"/>
    <w:qFormat/>
    <w:pPr>
      <w:spacing w:before="120" w:after="240" w:line="278" w:lineRule="auto"/>
      <w:jc w:val="both"/>
    </w:pPr>
    <w:rPr>
      <w:rFonts w:ascii="Calibri" w:eastAsia="Calibri" w:hAnsi="Calibri"/>
      <w:sz w:val="22"/>
      <w:szCs w:val="22"/>
      <w:lang w:eastAsia="en-US"/>
    </w:rPr>
  </w:style>
  <w:style w:type="paragraph" w:customStyle="1" w:styleId="11Char105052">
    <w:name w:val="样式 标题 1标题 1 Char标1章 + 段前: 0.5 行 段后: 0.5 行2"/>
    <w:basedOn w:val="1"/>
    <w:semiHidden/>
    <w:qFormat/>
    <w:pPr>
      <w:keepNext/>
      <w:widowControl/>
      <w:numPr>
        <w:numId w:val="0"/>
      </w:numPr>
      <w:tabs>
        <w:tab w:val="left" w:pos="855"/>
      </w:tabs>
      <w:snapToGrid/>
      <w:spacing w:beforeLines="100" w:before="340" w:afterLines="100" w:after="330" w:line="480" w:lineRule="auto"/>
      <w:ind w:left="855" w:firstLineChars="200" w:hanging="420"/>
      <w:jc w:val="left"/>
    </w:pPr>
    <w:rPr>
      <w:rFonts w:ascii="黑体" w:eastAsia="黑体" w:hAnsi="Arial"/>
      <w:kern w:val="24"/>
      <w:sz w:val="28"/>
      <w:szCs w:val="28"/>
    </w:rPr>
  </w:style>
  <w:style w:type="paragraph" w:customStyle="1" w:styleId="12a">
    <w:name w:val="12"/>
    <w:basedOn w:val="a7"/>
    <w:next w:val="25"/>
    <w:qFormat/>
    <w:pPr>
      <w:widowControl/>
      <w:snapToGrid w:val="0"/>
      <w:spacing w:beforeLines="50" w:before="120" w:after="160" w:line="360" w:lineRule="auto"/>
      <w:ind w:firstLineChars="200" w:firstLine="480"/>
      <w:jc w:val="left"/>
    </w:pPr>
    <w:rPr>
      <w:rFonts w:ascii="Romantic" w:hAnsi="Romantic"/>
      <w:sz w:val="24"/>
      <w:szCs w:val="20"/>
    </w:rPr>
  </w:style>
  <w:style w:type="paragraph" w:customStyle="1" w:styleId="2fffff6">
    <w:name w:val="样式 四号 黑色 首行缩进:  2 字符"/>
    <w:basedOn w:val="a7"/>
    <w:qFormat/>
    <w:pPr>
      <w:spacing w:after="160" w:line="480" w:lineRule="atLeast"/>
      <w:ind w:firstLineChars="200" w:firstLine="200"/>
    </w:pPr>
    <w:rPr>
      <w:color w:val="000000"/>
      <w:kern w:val="0"/>
      <w:sz w:val="24"/>
    </w:rPr>
  </w:style>
  <w:style w:type="paragraph" w:customStyle="1" w:styleId="4ff3">
    <w:name w:val="样式 标题 4 +"/>
    <w:basedOn w:val="41"/>
    <w:qFormat/>
    <w:pPr>
      <w:keepNext/>
      <w:keepLines/>
      <w:widowControl/>
      <w:numPr>
        <w:ilvl w:val="0"/>
        <w:numId w:val="0"/>
      </w:numPr>
      <w:tabs>
        <w:tab w:val="clear" w:pos="864"/>
      </w:tabs>
      <w:snapToGrid/>
      <w:spacing w:beforeLines="0" w:before="0" w:afterLines="0" w:after="0"/>
      <w:textAlignment w:val="auto"/>
    </w:pPr>
    <w:rPr>
      <w:rFonts w:eastAsia="宋体"/>
      <w:b w:val="0"/>
      <w:bCs w:val="0"/>
      <w:i/>
      <w:iCs/>
      <w:color w:val="4F81BD"/>
      <w:kern w:val="0"/>
      <w:sz w:val="20"/>
      <w:szCs w:val="20"/>
      <w:lang w:val="en-US" w:eastAsia="en-US"/>
    </w:rPr>
  </w:style>
  <w:style w:type="paragraph" w:customStyle="1" w:styleId="xl116">
    <w:name w:val="xl116"/>
    <w:basedOn w:val="a7"/>
    <w:qFormat/>
    <w:pPr>
      <w:widowControl/>
      <w:pBdr>
        <w:top w:val="single" w:sz="4" w:space="0" w:color="auto"/>
        <w:left w:val="single" w:sz="4" w:space="0" w:color="auto"/>
        <w:bottom w:val="single" w:sz="4" w:space="0" w:color="auto"/>
        <w:right w:val="single" w:sz="4" w:space="0" w:color="auto"/>
      </w:pBdr>
      <w:shd w:val="clear" w:color="000000" w:fill="FFFFFF"/>
      <w:snapToGrid w:val="0"/>
      <w:spacing w:before="100" w:beforeAutospacing="1" w:after="100" w:afterAutospacing="1" w:line="278" w:lineRule="auto"/>
      <w:jc w:val="left"/>
    </w:pPr>
    <w:rPr>
      <w:rFonts w:ascii="宋体" w:hAnsi="宋体" w:cs="宋体"/>
      <w:color w:val="C414B7"/>
      <w:kern w:val="0"/>
      <w:sz w:val="24"/>
    </w:rPr>
  </w:style>
  <w:style w:type="paragraph" w:customStyle="1" w:styleId="affffffffffffffffffffffffffffffffff5">
    <w:name w:val="页眉，无横线"/>
    <w:basedOn w:val="afff3"/>
    <w:qFormat/>
    <w:pPr>
      <w:pBdr>
        <w:bottom w:val="none" w:sz="0" w:space="0" w:color="auto"/>
      </w:pBdr>
      <w:adjustRightInd w:val="0"/>
      <w:spacing w:after="160" w:line="278" w:lineRule="auto"/>
      <w:ind w:firstLine="567"/>
      <w:jc w:val="both"/>
    </w:pPr>
    <w:rPr>
      <w:rFonts w:ascii="宋体"/>
      <w:kern w:val="0"/>
      <w:szCs w:val="20"/>
    </w:rPr>
  </w:style>
  <w:style w:type="paragraph" w:customStyle="1" w:styleId="CharCharCharCharCharCharCharCharChar1CharCharChar">
    <w:name w:val="Char Char Char Char Char Char Char Char Char1 Char Char Char"/>
    <w:basedOn w:val="a7"/>
    <w:qFormat/>
    <w:pPr>
      <w:spacing w:after="160" w:line="278" w:lineRule="auto"/>
    </w:pPr>
  </w:style>
  <w:style w:type="paragraph" w:customStyle="1" w:styleId="affffffffffffffffffffffffffffffffff6">
    <w:name w:val="表格内正文"/>
    <w:qFormat/>
    <w:pPr>
      <w:widowControl w:val="0"/>
      <w:spacing w:after="160" w:line="360" w:lineRule="exact"/>
      <w:ind w:firstLineChars="200" w:firstLine="420"/>
      <w:jc w:val="both"/>
    </w:pPr>
    <w:rPr>
      <w:kern w:val="2"/>
      <w:sz w:val="21"/>
      <w:szCs w:val="24"/>
    </w:rPr>
  </w:style>
  <w:style w:type="paragraph" w:customStyle="1" w:styleId="xx1">
    <w:name w:val="x.x(1)"/>
    <w:basedOn w:val="a7"/>
    <w:qFormat/>
    <w:pPr>
      <w:overflowPunct w:val="0"/>
      <w:autoSpaceDE w:val="0"/>
      <w:autoSpaceDN w:val="0"/>
      <w:adjustRightInd w:val="0"/>
      <w:spacing w:after="160" w:line="300" w:lineRule="auto"/>
      <w:ind w:left="1134" w:hanging="567"/>
    </w:pPr>
    <w:rPr>
      <w:kern w:val="0"/>
      <w:sz w:val="22"/>
      <w:szCs w:val="20"/>
    </w:rPr>
  </w:style>
  <w:style w:type="paragraph" w:customStyle="1" w:styleId="affffffffffffffffffffffffffffffffff7">
    <w:name w:val="文件名"/>
    <w:qFormat/>
    <w:pPr>
      <w:widowControl w:val="0"/>
      <w:spacing w:after="160" w:line="278" w:lineRule="auto"/>
      <w:jc w:val="both"/>
    </w:pPr>
    <w:rPr>
      <w:kern w:val="2"/>
      <w:sz w:val="21"/>
    </w:rPr>
  </w:style>
  <w:style w:type="paragraph" w:customStyle="1" w:styleId="zhengwen">
    <w:name w:val="zhengwen"/>
    <w:basedOn w:val="a7"/>
    <w:qFormat/>
    <w:pPr>
      <w:spacing w:after="160" w:line="360" w:lineRule="auto"/>
      <w:ind w:firstLineChars="200" w:firstLine="200"/>
    </w:pPr>
    <w:rPr>
      <w:rFonts w:ascii="Arial" w:hAnsi="Arial" w:cs="Arial"/>
      <w:kern w:val="0"/>
      <w:sz w:val="24"/>
    </w:rPr>
  </w:style>
  <w:style w:type="paragraph" w:customStyle="1" w:styleId="12b">
    <w:name w:val="样式 标题 1 + 首行缩进:  2 字符"/>
    <w:basedOn w:val="1"/>
    <w:qFormat/>
    <w:pPr>
      <w:keepNext/>
      <w:keepLines/>
      <w:numPr>
        <w:numId w:val="0"/>
      </w:numPr>
      <w:snapToGrid/>
      <w:spacing w:beforeLines="0" w:before="120" w:after="120"/>
      <w:jc w:val="center"/>
    </w:pPr>
    <w:rPr>
      <w:rFonts w:ascii="宋体" w:eastAsia="楷体_GB2312" w:hAnsi="宋体" w:cs="宋体"/>
      <w:b/>
      <w:bCs/>
      <w:color w:val="FF0000"/>
      <w:sz w:val="36"/>
      <w:szCs w:val="20"/>
    </w:rPr>
  </w:style>
  <w:style w:type="paragraph" w:customStyle="1" w:styleId="CharChar1CharCharCharChar1">
    <w:name w:val="Char Char1 Char Char Char Char1"/>
    <w:basedOn w:val="a7"/>
    <w:qFormat/>
    <w:pPr>
      <w:spacing w:after="160" w:line="278" w:lineRule="auto"/>
    </w:pPr>
  </w:style>
  <w:style w:type="paragraph" w:customStyle="1" w:styleId="CharCharCharCharCharCharCharCharCharCharCharCharCharCharCharCharChar">
    <w:name w:val="Char Char Char Char Char Char Char Char Char Char Char Char Char Char Char Char Char"/>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107">
    <w:name w:val="表格内10"/>
    <w:basedOn w:val="a7"/>
    <w:next w:val="a7"/>
    <w:semiHidden/>
    <w:qFormat/>
    <w:pPr>
      <w:spacing w:after="160" w:line="360" w:lineRule="auto"/>
      <w:jc w:val="center"/>
    </w:pPr>
    <w:rPr>
      <w:sz w:val="20"/>
      <w:szCs w:val="20"/>
    </w:rPr>
  </w:style>
  <w:style w:type="paragraph" w:customStyle="1" w:styleId="affffffffffffffffffffffffffffffffff8">
    <w:name w:val="答复:"/>
    <w:qFormat/>
    <w:pPr>
      <w:widowControl w:val="0"/>
      <w:spacing w:after="160" w:line="278" w:lineRule="auto"/>
      <w:jc w:val="both"/>
    </w:pPr>
    <w:rPr>
      <w:kern w:val="2"/>
      <w:sz w:val="21"/>
    </w:rPr>
  </w:style>
  <w:style w:type="paragraph" w:customStyle="1" w:styleId="2fffff7">
    <w:name w:val="样式 表格内容 + 首行缩进:  2 字符"/>
    <w:basedOn w:val="afffffb"/>
    <w:qFormat/>
    <w:pPr>
      <w:overflowPunct w:val="0"/>
      <w:adjustRightInd w:val="0"/>
      <w:spacing w:line="180" w:lineRule="auto"/>
      <w:ind w:firstLineChars="200" w:firstLine="200"/>
    </w:pPr>
    <w:rPr>
      <w:rFonts w:cs="宋体"/>
      <w:color w:val="auto"/>
      <w:kern w:val="0"/>
      <w:sz w:val="24"/>
      <w:szCs w:val="20"/>
    </w:rPr>
  </w:style>
  <w:style w:type="paragraph" w:customStyle="1" w:styleId="xl266">
    <w:name w:val="xl266"/>
    <w:basedOn w:val="a7"/>
    <w:qFormat/>
    <w:pPr>
      <w:widowControl/>
      <w:pBdr>
        <w:top w:val="single" w:sz="4" w:space="0" w:color="auto"/>
        <w:bottom w:val="single" w:sz="4" w:space="0" w:color="auto"/>
        <w:right w:val="single" w:sz="4" w:space="0" w:color="auto"/>
      </w:pBdr>
      <w:spacing w:before="100" w:beforeAutospacing="1" w:after="100" w:afterAutospacing="1" w:line="278" w:lineRule="auto"/>
      <w:jc w:val="center"/>
      <w:textAlignment w:val="center"/>
    </w:pPr>
    <w:rPr>
      <w:rFonts w:ascii="宋体" w:hAnsi="宋体" w:cs="宋体"/>
      <w:b/>
      <w:bCs/>
      <w:kern w:val="0"/>
      <w:sz w:val="18"/>
      <w:szCs w:val="18"/>
    </w:rPr>
  </w:style>
  <w:style w:type="paragraph" w:customStyle="1" w:styleId="144">
    <w:name w:val="样式 五号 黑色 行距: 多倍行距 1.4 字行"/>
    <w:basedOn w:val="a7"/>
    <w:qFormat/>
    <w:pPr>
      <w:spacing w:after="160" w:line="336" w:lineRule="auto"/>
    </w:pPr>
  </w:style>
  <w:style w:type="paragraph" w:customStyle="1" w:styleId="xl126">
    <w:name w:val="xl126"/>
    <w:basedOn w:val="a7"/>
    <w:uiPriority w:val="99"/>
    <w:qFormat/>
    <w:pPr>
      <w:widowControl/>
      <w:shd w:val="clear" w:color="000000" w:fill="FFFFFF"/>
      <w:snapToGrid w:val="0"/>
      <w:spacing w:before="100" w:beforeAutospacing="1" w:after="100" w:afterAutospacing="1" w:line="278" w:lineRule="auto"/>
      <w:jc w:val="right"/>
    </w:pPr>
    <w:rPr>
      <w:rFonts w:ascii="宋体" w:hAnsi="宋体" w:cs="宋体"/>
      <w:kern w:val="0"/>
      <w:sz w:val="24"/>
    </w:rPr>
  </w:style>
  <w:style w:type="paragraph" w:customStyle="1" w:styleId="CharCharCharCharCharCharCharChar">
    <w:name w:val="Char Char Char Char Char Char Char Char"/>
    <w:basedOn w:val="a7"/>
    <w:qFormat/>
    <w:pPr>
      <w:widowControl/>
      <w:spacing w:after="160" w:line="240" w:lineRule="exact"/>
      <w:ind w:firstLine="482"/>
      <w:jc w:val="left"/>
    </w:pPr>
    <w:rPr>
      <w:rFonts w:ascii="Verdana" w:hAnsi="Verdana"/>
      <w:kern w:val="0"/>
      <w:sz w:val="20"/>
      <w:szCs w:val="20"/>
      <w:lang w:eastAsia="en-US"/>
    </w:rPr>
  </w:style>
  <w:style w:type="paragraph" w:customStyle="1" w:styleId="bg">
    <w:name w:val="bg"/>
    <w:basedOn w:val="a7"/>
    <w:qFormat/>
    <w:pPr>
      <w:widowControl/>
      <w:spacing w:after="160" w:line="278" w:lineRule="auto"/>
    </w:pPr>
    <w:rPr>
      <w:kern w:val="0"/>
      <w:sz w:val="24"/>
      <w:szCs w:val="20"/>
    </w:rPr>
  </w:style>
  <w:style w:type="paragraph" w:customStyle="1" w:styleId="2W22">
    <w:name w:val="样式 标题 2W2 +2"/>
    <w:basedOn w:val="21"/>
    <w:qFormat/>
    <w:pPr>
      <w:keepNext/>
      <w:keepLines/>
      <w:numPr>
        <w:ilvl w:val="0"/>
        <w:numId w:val="0"/>
      </w:numPr>
      <w:snapToGrid/>
      <w:spacing w:beforeLines="50" w:before="156" w:afterLines="50" w:after="156" w:line="240" w:lineRule="auto"/>
      <w:ind w:left="-288"/>
      <w:jc w:val="both"/>
    </w:pPr>
    <w:rPr>
      <w:rFonts w:ascii="黑体" w:hAnsi="宋体"/>
      <w:bCs w:val="0"/>
      <w:smallCaps w:val="0"/>
      <w:color w:val="auto"/>
      <w:spacing w:val="10"/>
      <w:sz w:val="30"/>
      <w:szCs w:val="20"/>
    </w:rPr>
  </w:style>
  <w:style w:type="paragraph" w:customStyle="1" w:styleId="7CharChar">
    <w:name w:val="目录 7 Char Char"/>
    <w:basedOn w:val="a7"/>
    <w:next w:val="a7"/>
    <w:uiPriority w:val="99"/>
    <w:qFormat/>
    <w:pPr>
      <w:spacing w:after="160" w:line="351" w:lineRule="atLeast"/>
      <w:ind w:left="1258" w:firstLine="419"/>
      <w:jc w:val="left"/>
    </w:pPr>
    <w:rPr>
      <w:rFonts w:hint="eastAsia"/>
      <w:szCs w:val="20"/>
    </w:rPr>
  </w:style>
  <w:style w:type="paragraph" w:customStyle="1" w:styleId="1fffffd">
    <w:name w:val="表中文字1"/>
    <w:qFormat/>
    <w:pPr>
      <w:widowControl w:val="0"/>
      <w:adjustRightInd w:val="0"/>
      <w:snapToGrid w:val="0"/>
      <w:spacing w:after="160" w:line="278" w:lineRule="auto"/>
      <w:jc w:val="center"/>
    </w:pPr>
    <w:rPr>
      <w:rFonts w:ascii="仿宋_GB2312" w:eastAsia="仿宋_GB2312"/>
      <w:kern w:val="2"/>
      <w:sz w:val="24"/>
      <w:szCs w:val="24"/>
    </w:rPr>
  </w:style>
  <w:style w:type="paragraph" w:customStyle="1" w:styleId="CharCharCharChar1CharCharCharCharChar">
    <w:name w:val="Char Char Char Char1 Char Char Char Char Char"/>
    <w:basedOn w:val="a7"/>
    <w:next w:val="a7"/>
    <w:semiHidden/>
    <w:qFormat/>
    <w:pPr>
      <w:spacing w:after="160" w:line="336" w:lineRule="auto"/>
      <w:ind w:firstLineChars="200" w:firstLine="200"/>
    </w:pPr>
    <w:rPr>
      <w:rFonts w:ascii="宋体" w:eastAsia="汉鼎简书宋" w:hAnsi="宋体" w:cs="宋体"/>
      <w:spacing w:val="4"/>
      <w:sz w:val="24"/>
    </w:rPr>
  </w:style>
  <w:style w:type="paragraph" w:customStyle="1" w:styleId="ParaCharCharCharCharCharCharChar">
    <w:name w:val="默认段落字体 Para Char Char Char Char Char Char Char"/>
    <w:basedOn w:val="a7"/>
    <w:qFormat/>
    <w:pPr>
      <w:spacing w:after="160" w:line="360" w:lineRule="auto"/>
      <w:ind w:firstLine="482"/>
    </w:pPr>
    <w:rPr>
      <w:rFonts w:ascii="Arial" w:hAnsi="Arial" w:cs="Arial"/>
      <w:kern w:val="0"/>
      <w:sz w:val="20"/>
      <w:szCs w:val="20"/>
    </w:rPr>
  </w:style>
  <w:style w:type="paragraph" w:customStyle="1" w:styleId="xl132">
    <w:name w:val="xl132"/>
    <w:basedOn w:val="a7"/>
    <w:uiPriority w:val="99"/>
    <w:qFormat/>
    <w:pPr>
      <w:widowControl/>
      <w:pBdr>
        <w:top w:val="single" w:sz="4" w:space="0" w:color="auto"/>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39">
    <w:name w:val="xl39"/>
    <w:basedOn w:val="a7"/>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482"/>
      <w:jc w:val="center"/>
      <w:textAlignment w:val="center"/>
    </w:pPr>
    <w:rPr>
      <w:rFonts w:ascii="宋体" w:hAnsi="宋体"/>
      <w:kern w:val="0"/>
      <w:sz w:val="20"/>
      <w:szCs w:val="20"/>
    </w:rPr>
  </w:style>
  <w:style w:type="paragraph" w:customStyle="1" w:styleId="xl239">
    <w:name w:val="xl239"/>
    <w:basedOn w:val="a7"/>
    <w:qFormat/>
    <w:pPr>
      <w:widowControl/>
      <w:pBdr>
        <w:left w:val="single" w:sz="4" w:space="0" w:color="auto"/>
        <w:bottom w:val="single" w:sz="8" w:space="0" w:color="auto"/>
      </w:pBdr>
      <w:spacing w:before="100" w:beforeAutospacing="1" w:after="100" w:afterAutospacing="1" w:line="278" w:lineRule="auto"/>
      <w:jc w:val="center"/>
      <w:textAlignment w:val="center"/>
    </w:pPr>
    <w:rPr>
      <w:kern w:val="0"/>
      <w:sz w:val="20"/>
      <w:szCs w:val="20"/>
    </w:rPr>
  </w:style>
  <w:style w:type="paragraph" w:customStyle="1" w:styleId="xl263">
    <w:name w:val="xl263"/>
    <w:basedOn w:val="a7"/>
    <w:qFormat/>
    <w:pPr>
      <w:widowControl/>
      <w:pBdr>
        <w:top w:val="single" w:sz="4" w:space="0" w:color="auto"/>
        <w:left w:val="single" w:sz="8" w:space="0" w:color="auto"/>
        <w:bottom w:val="single" w:sz="4" w:space="0" w:color="auto"/>
      </w:pBdr>
      <w:shd w:val="clear" w:color="000000" w:fill="FFFFFF"/>
      <w:spacing w:before="100" w:beforeAutospacing="1" w:after="100" w:afterAutospacing="1" w:line="278" w:lineRule="auto"/>
      <w:jc w:val="center"/>
      <w:textAlignment w:val="center"/>
    </w:pPr>
    <w:rPr>
      <w:rFonts w:ascii="宋体" w:hAnsi="宋体" w:cs="宋体"/>
      <w:b/>
      <w:bCs/>
      <w:color w:val="000000"/>
      <w:kern w:val="0"/>
      <w:sz w:val="20"/>
      <w:szCs w:val="20"/>
    </w:rPr>
  </w:style>
  <w:style w:type="paragraph" w:customStyle="1" w:styleId="ST207">
    <w:name w:val="ST20_7"/>
    <w:basedOn w:val="ST208"/>
    <w:next w:val="a7"/>
    <w:qFormat/>
    <w:pPr>
      <w:spacing w:before="120"/>
    </w:pPr>
    <w:rPr>
      <w:i/>
      <w:iCs/>
      <w:sz w:val="18"/>
      <w:szCs w:val="18"/>
    </w:rPr>
  </w:style>
  <w:style w:type="paragraph" w:customStyle="1" w:styleId="2fffff8">
    <w:name w:val="列表2"/>
    <w:basedOn w:val="1ffff2"/>
    <w:qFormat/>
    <w:pPr>
      <w:pBdr>
        <w:left w:val="none" w:sz="0" w:space="0" w:color="auto"/>
      </w:pBdr>
    </w:pPr>
  </w:style>
  <w:style w:type="paragraph" w:customStyle="1" w:styleId="figure">
    <w:name w:val="figure"/>
    <w:basedOn w:val="a7"/>
    <w:uiPriority w:val="99"/>
    <w:qFormat/>
    <w:pPr>
      <w:keepNext/>
      <w:widowControl/>
      <w:spacing w:before="120" w:after="120" w:line="360" w:lineRule="auto"/>
      <w:ind w:firstLine="482"/>
    </w:pPr>
    <w:rPr>
      <w:kern w:val="0"/>
      <w:sz w:val="24"/>
      <w:szCs w:val="20"/>
    </w:rPr>
  </w:style>
  <w:style w:type="paragraph" w:customStyle="1" w:styleId="2fffff9">
    <w:name w:val="样式 样式 表格 + 居中 + 两端对齐 首行缩进:  2 字符"/>
    <w:basedOn w:val="afffffff9"/>
    <w:qFormat/>
    <w:pPr>
      <w:spacing w:after="160" w:line="360" w:lineRule="auto"/>
      <w:ind w:firstLineChars="0" w:firstLine="0"/>
      <w:jc w:val="both"/>
    </w:pPr>
    <w:rPr>
      <w:rFonts w:cs="宋体"/>
      <w:snapToGrid/>
      <w:color w:val="auto"/>
      <w:szCs w:val="20"/>
    </w:rPr>
  </w:style>
  <w:style w:type="paragraph" w:customStyle="1" w:styleId="405051">
    <w:name w:val="样式 标题 4 + 段前: 0.5 行 段后: 0.5 行1"/>
    <w:basedOn w:val="41"/>
    <w:qFormat/>
    <w:pPr>
      <w:keepNext/>
      <w:keepLines/>
      <w:numPr>
        <w:ilvl w:val="0"/>
        <w:numId w:val="0"/>
      </w:numPr>
      <w:tabs>
        <w:tab w:val="clear" w:pos="864"/>
      </w:tabs>
      <w:spacing w:beforeLines="0" w:before="50" w:afterLines="0" w:after="50" w:line="320" w:lineRule="atLeast"/>
      <w:textAlignment w:val="auto"/>
    </w:pPr>
    <w:rPr>
      <w:rFonts w:eastAsia="宋体"/>
      <w:color w:val="auto"/>
      <w:kern w:val="0"/>
      <w:szCs w:val="28"/>
      <w:lang w:val="en-US"/>
    </w:rPr>
  </w:style>
  <w:style w:type="paragraph" w:customStyle="1" w:styleId="Style3">
    <w:name w:val="_Style 3"/>
    <w:basedOn w:val="a7"/>
    <w:qFormat/>
    <w:pPr>
      <w:spacing w:after="160" w:line="360" w:lineRule="auto"/>
      <w:ind w:firstLine="482"/>
    </w:pPr>
    <w:rPr>
      <w:kern w:val="0"/>
      <w:sz w:val="24"/>
      <w:szCs w:val="20"/>
    </w:rPr>
  </w:style>
  <w:style w:type="paragraph" w:customStyle="1" w:styleId="2025">
    <w:name w:val="样式 首行缩进:  2 字符 段前: 0.25 行"/>
    <w:basedOn w:val="Default"/>
    <w:next w:val="Default"/>
    <w:qFormat/>
    <w:pPr>
      <w:spacing w:after="160" w:line="278" w:lineRule="auto"/>
    </w:pPr>
    <w:rPr>
      <w:rFonts w:ascii="宋体" w:hAnsi="Calibri" w:cs="Times New Roman"/>
      <w:color w:val="auto"/>
    </w:rPr>
  </w:style>
  <w:style w:type="paragraph" w:customStyle="1" w:styleId="22f">
    <w:name w:val="样式 样式 正文文本 + 首行缩进:  2 字符 + 宋体 首行缩进:  2 字符"/>
    <w:basedOn w:val="a7"/>
    <w:qFormat/>
    <w:pPr>
      <w:adjustRightInd w:val="0"/>
      <w:snapToGrid w:val="0"/>
      <w:spacing w:before="120" w:after="160" w:line="300" w:lineRule="auto"/>
      <w:ind w:firstLineChars="200" w:firstLine="480"/>
      <w:textAlignment w:val="baseline"/>
    </w:pPr>
    <w:rPr>
      <w:rFonts w:cs="宋体"/>
      <w:sz w:val="24"/>
    </w:rPr>
  </w:style>
  <w:style w:type="paragraph" w:customStyle="1" w:styleId="xl154">
    <w:name w:val="xl154"/>
    <w:basedOn w:val="a7"/>
    <w:qFormat/>
    <w:pPr>
      <w:widowControl/>
      <w:pBdr>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CharCharCharCharCharChar1Char">
    <w:name w:val="Char Char Char Char Char Char1 Char"/>
    <w:basedOn w:val="a7"/>
    <w:qFormat/>
    <w:pPr>
      <w:spacing w:after="160" w:line="360" w:lineRule="auto"/>
      <w:ind w:firstLine="482"/>
    </w:pPr>
    <w:rPr>
      <w:kern w:val="0"/>
      <w:sz w:val="24"/>
    </w:rPr>
  </w:style>
  <w:style w:type="paragraph" w:customStyle="1" w:styleId="xl281">
    <w:name w:val="xl281"/>
    <w:basedOn w:val="a7"/>
    <w:qFormat/>
    <w:pPr>
      <w:widowControl/>
      <w:pBdr>
        <w:right w:val="single" w:sz="4" w:space="0" w:color="auto"/>
      </w:pBdr>
      <w:spacing w:before="100" w:beforeAutospacing="1" w:after="100" w:afterAutospacing="1" w:line="278" w:lineRule="auto"/>
      <w:jc w:val="center"/>
      <w:textAlignment w:val="center"/>
    </w:pPr>
    <w:rPr>
      <w:rFonts w:ascii="宋体" w:hAnsi="宋体" w:cs="宋体"/>
      <w:kern w:val="0"/>
      <w:sz w:val="16"/>
      <w:szCs w:val="16"/>
    </w:rPr>
  </w:style>
  <w:style w:type="paragraph" w:customStyle="1" w:styleId="540">
    <w:name w:val="表内5中4"/>
    <w:basedOn w:val="a7"/>
    <w:qFormat/>
    <w:pPr>
      <w:adjustRightInd w:val="0"/>
      <w:snapToGrid w:val="0"/>
      <w:spacing w:after="160" w:line="278" w:lineRule="auto"/>
      <w:jc w:val="center"/>
    </w:pPr>
    <w:rPr>
      <w:rFonts w:ascii="宋体"/>
      <w:bCs/>
      <w:szCs w:val="20"/>
    </w:rPr>
  </w:style>
  <w:style w:type="paragraph" w:customStyle="1" w:styleId="BulletIndent">
    <w:name w:val="Bullet_Indent"/>
    <w:basedOn w:val="a7"/>
    <w:qFormat/>
    <w:pPr>
      <w:widowControl/>
      <w:spacing w:after="240" w:line="278" w:lineRule="auto"/>
      <w:ind w:left="1440" w:hanging="720"/>
      <w:jc w:val="left"/>
    </w:pPr>
    <w:rPr>
      <w:kern w:val="0"/>
      <w:sz w:val="24"/>
      <w:szCs w:val="20"/>
    </w:rPr>
  </w:style>
  <w:style w:type="paragraph" w:customStyle="1" w:styleId="affffffffffffffffffffffffffffffffff9">
    <w:name w:val="短简表"/>
    <w:basedOn w:val="a7"/>
    <w:uiPriority w:val="99"/>
    <w:qFormat/>
    <w:pPr>
      <w:adjustRightInd w:val="0"/>
      <w:snapToGrid w:val="0"/>
      <w:spacing w:before="120" w:after="120" w:line="278" w:lineRule="auto"/>
      <w:ind w:leftChars="245" w:left="1068" w:hangingChars="200" w:hanging="480"/>
      <w:jc w:val="left"/>
    </w:pPr>
  </w:style>
  <w:style w:type="paragraph" w:customStyle="1" w:styleId="Style141">
    <w:name w:val="Style141"/>
    <w:basedOn w:val="a7"/>
    <w:qFormat/>
    <w:pPr>
      <w:adjustRightInd w:val="0"/>
      <w:spacing w:after="160" w:line="360" w:lineRule="auto"/>
      <w:ind w:firstLine="482"/>
      <w:jc w:val="left"/>
    </w:pPr>
    <w:rPr>
      <w:rFonts w:ascii="宋体"/>
      <w:kern w:val="0"/>
      <w:sz w:val="24"/>
    </w:rPr>
  </w:style>
  <w:style w:type="paragraph" w:customStyle="1" w:styleId="p19">
    <w:name w:val="p19"/>
    <w:basedOn w:val="a7"/>
    <w:qFormat/>
    <w:pPr>
      <w:widowControl/>
      <w:spacing w:after="160" w:line="278" w:lineRule="auto"/>
      <w:ind w:firstLine="420"/>
    </w:pPr>
    <w:rPr>
      <w:rFonts w:ascii="仿宋_GB2312" w:eastAsia="仿宋_GB2312" w:hAnsi="宋体" w:cs="宋体"/>
      <w:kern w:val="0"/>
      <w:sz w:val="28"/>
      <w:szCs w:val="28"/>
    </w:rPr>
  </w:style>
  <w:style w:type="paragraph" w:customStyle="1" w:styleId="xl50">
    <w:name w:val="xl50"/>
    <w:basedOn w:val="a7"/>
    <w:qFormat/>
    <w:pPr>
      <w:widowControl/>
      <w:pBdr>
        <w:bottom w:val="single" w:sz="4" w:space="0" w:color="auto"/>
      </w:pBdr>
      <w:spacing w:before="100" w:after="100" w:line="360" w:lineRule="auto"/>
      <w:ind w:firstLine="482"/>
      <w:jc w:val="center"/>
      <w:textAlignment w:val="center"/>
    </w:pPr>
    <w:rPr>
      <w:rFonts w:ascii="宋体" w:hAnsi="宋体"/>
      <w:kern w:val="0"/>
      <w:sz w:val="28"/>
      <w:szCs w:val="28"/>
    </w:rPr>
  </w:style>
  <w:style w:type="paragraph" w:customStyle="1" w:styleId="ParaCharCharCharChar">
    <w:name w:val="默认段落字体 Para Char Char Char Char"/>
    <w:basedOn w:val="a7"/>
    <w:uiPriority w:val="99"/>
    <w:qFormat/>
    <w:pPr>
      <w:spacing w:after="160" w:line="360" w:lineRule="auto"/>
      <w:ind w:firstLine="482"/>
    </w:pPr>
    <w:rPr>
      <w:kern w:val="0"/>
      <w:sz w:val="24"/>
    </w:rPr>
  </w:style>
  <w:style w:type="paragraph" w:customStyle="1" w:styleId="CM49">
    <w:name w:val="CM49"/>
    <w:basedOn w:val="Default"/>
    <w:next w:val="Default"/>
    <w:qFormat/>
    <w:pPr>
      <w:spacing w:after="160" w:line="460" w:lineRule="atLeast"/>
    </w:pPr>
    <w:rPr>
      <w:rFonts w:ascii="Times New Roman" w:hAnsi="Times New Roman" w:cs="Times New Roman"/>
      <w:color w:val="auto"/>
      <w:kern w:val="2"/>
    </w:rPr>
  </w:style>
  <w:style w:type="paragraph" w:customStyle="1" w:styleId="RIENTRO">
    <w:name w:val="RIENTRO"/>
    <w:basedOn w:val="a7"/>
    <w:uiPriority w:val="99"/>
    <w:qFormat/>
    <w:pPr>
      <w:widowControl/>
      <w:snapToGrid w:val="0"/>
      <w:spacing w:after="160" w:line="278" w:lineRule="auto"/>
      <w:ind w:left="1134"/>
      <w:jc w:val="left"/>
    </w:pPr>
    <w:rPr>
      <w:rFonts w:ascii="Arial" w:hAnsi="Arial"/>
      <w:kern w:val="0"/>
      <w:sz w:val="22"/>
      <w:szCs w:val="20"/>
    </w:rPr>
  </w:style>
  <w:style w:type="paragraph" w:customStyle="1" w:styleId="affffffffffffffffffffffffffffffffffa">
    <w:name w:val="正文一"/>
    <w:basedOn w:val="a7"/>
    <w:qFormat/>
    <w:pPr>
      <w:spacing w:after="160" w:line="300" w:lineRule="auto"/>
      <w:ind w:firstLineChars="200" w:firstLine="200"/>
    </w:pPr>
    <w:rPr>
      <w:rFonts w:ascii="仿宋_GB2312" w:hAnsi="宋体"/>
      <w:kern w:val="0"/>
      <w:sz w:val="28"/>
      <w:szCs w:val="20"/>
    </w:rPr>
  </w:style>
  <w:style w:type="paragraph" w:customStyle="1" w:styleId="GB23122820">
    <w:name w:val="样式 样式 样式 正文文本缩进 + 仿宋_GB2312 蓝色 行距: 固定值 28 磅 + 首行缩进:  2 字符 + 首行缩进..."/>
    <w:basedOn w:val="GB2312282"/>
    <w:qFormat/>
    <w:pPr>
      <w:ind w:firstLine="560"/>
    </w:pPr>
    <w:rPr>
      <w:szCs w:val="20"/>
    </w:rPr>
  </w:style>
  <w:style w:type="paragraph" w:customStyle="1" w:styleId="1111112">
    <w:name w:val="11111样式 无间隔 + 居中 行距: 多倍行距 1.2 字行"/>
    <w:basedOn w:val="a7"/>
    <w:qFormat/>
    <w:pPr>
      <w:adjustRightInd w:val="0"/>
      <w:spacing w:after="160" w:line="360" w:lineRule="auto"/>
      <w:ind w:firstLine="482"/>
      <w:jc w:val="center"/>
      <w:textAlignment w:val="baseline"/>
    </w:pPr>
    <w:rPr>
      <w:rFonts w:cs="宋体"/>
      <w:kern w:val="0"/>
      <w:sz w:val="24"/>
      <w:szCs w:val="20"/>
    </w:rPr>
  </w:style>
  <w:style w:type="paragraph" w:customStyle="1" w:styleId="CharCharCharCharCharCharCharCharCharChar2CharChar">
    <w:name w:val="Char Char Char Char Char Char Char Char Char Char2 Char Char"/>
    <w:basedOn w:val="af9"/>
    <w:uiPriority w:val="99"/>
    <w:qFormat/>
    <w:pPr>
      <w:keepNext/>
      <w:snapToGrid w:val="0"/>
      <w:spacing w:beforeLines="100" w:after="160" w:line="278" w:lineRule="auto"/>
      <w:ind w:firstLineChars="0" w:firstLine="0"/>
      <w:jc w:val="left"/>
    </w:pPr>
    <w:rPr>
      <w:rFonts w:ascii="Tahoma" w:hAnsi="Tahoma"/>
      <w:kern w:val="0"/>
      <w:szCs w:val="21"/>
      <w:lang w:val="zh-CN"/>
    </w:rPr>
  </w:style>
  <w:style w:type="paragraph" w:customStyle="1" w:styleId="315">
    <w:name w:val="样式 3字符 + 首行缩进:  1 字符"/>
    <w:basedOn w:val="3ff2"/>
    <w:qFormat/>
    <w:pPr>
      <w:ind w:firstLine="280"/>
    </w:pPr>
    <w:rPr>
      <w:rFonts w:cs="宋体"/>
      <w:szCs w:val="20"/>
    </w:rPr>
  </w:style>
  <w:style w:type="paragraph" w:customStyle="1" w:styleId="2H211lxb211h2Char5">
    <w:name w:val="样式 标题 2节H2节标题 1.1二级标题标题 lxb21.1h2第一层条二级标题 Char表标题单位名...5"/>
    <w:basedOn w:val="21"/>
    <w:qFormat/>
    <w:pPr>
      <w:keepNext/>
      <w:keepLines/>
      <w:numPr>
        <w:ilvl w:val="0"/>
        <w:numId w:val="0"/>
      </w:numPr>
      <w:tabs>
        <w:tab w:val="left" w:pos="454"/>
        <w:tab w:val="left" w:pos="851"/>
      </w:tabs>
      <w:snapToGrid/>
      <w:spacing w:beforeLines="50" w:before="260" w:afterLines="0" w:after="0"/>
      <w:ind w:left="578" w:hanging="578"/>
      <w:jc w:val="both"/>
    </w:pPr>
    <w:rPr>
      <w:rFonts w:ascii="黑体" w:hAnsi="Arial" w:cs="宋体"/>
      <w:smallCaps w:val="0"/>
      <w:color w:val="auto"/>
      <w:sz w:val="30"/>
      <w:szCs w:val="20"/>
    </w:rPr>
  </w:style>
  <w:style w:type="paragraph" w:customStyle="1" w:styleId="2fffffa">
    <w:name w:val="样式 四号2"/>
    <w:basedOn w:val="a7"/>
    <w:qFormat/>
    <w:pPr>
      <w:spacing w:after="160" w:line="440" w:lineRule="exact"/>
      <w:ind w:firstLineChars="200" w:firstLine="200"/>
    </w:pPr>
    <w:rPr>
      <w:kern w:val="0"/>
      <w:sz w:val="28"/>
    </w:rPr>
  </w:style>
  <w:style w:type="paragraph" w:customStyle="1" w:styleId="xl105">
    <w:name w:val="xl105"/>
    <w:basedOn w:val="a7"/>
    <w:qFormat/>
    <w:pPr>
      <w:widowControl/>
      <w:shd w:val="clear" w:color="000000" w:fill="FFFFFF"/>
      <w:snapToGrid w:val="0"/>
      <w:spacing w:before="100" w:beforeAutospacing="1" w:after="100" w:afterAutospacing="1" w:line="278" w:lineRule="auto"/>
      <w:jc w:val="left"/>
    </w:pPr>
    <w:rPr>
      <w:kern w:val="0"/>
      <w:sz w:val="24"/>
    </w:rPr>
  </w:style>
  <w:style w:type="paragraph" w:customStyle="1" w:styleId="affffffffffffffffffffffffffffffffffb">
    <w:name w:val="表格小"/>
    <w:basedOn w:val="a7"/>
    <w:uiPriority w:val="99"/>
    <w:qFormat/>
    <w:pPr>
      <w:spacing w:after="160" w:line="360" w:lineRule="auto"/>
      <w:ind w:firstLine="482"/>
      <w:jc w:val="center"/>
    </w:pPr>
    <w:rPr>
      <w:kern w:val="0"/>
      <w:sz w:val="18"/>
    </w:rPr>
  </w:style>
  <w:style w:type="paragraph" w:customStyle="1" w:styleId="CharCharCharCharCharCharCharCharChar1CharCharCharChar1">
    <w:name w:val="Char Char Char Char Char Char Char Char Char1 Char Char Char Char1"/>
    <w:basedOn w:val="a7"/>
    <w:qFormat/>
    <w:pPr>
      <w:spacing w:after="160" w:line="278" w:lineRule="auto"/>
    </w:pPr>
  </w:style>
  <w:style w:type="paragraph" w:customStyle="1" w:styleId="xl158">
    <w:name w:val="xl158"/>
    <w:basedOn w:val="a7"/>
    <w:qFormat/>
    <w:pPr>
      <w:widowControl/>
      <w:shd w:val="clear" w:color="000000" w:fill="FFFFFF"/>
      <w:snapToGrid w:val="0"/>
      <w:spacing w:before="100" w:beforeAutospacing="1" w:after="100" w:afterAutospacing="1" w:line="278" w:lineRule="auto"/>
      <w:jc w:val="left"/>
      <w:textAlignment w:val="center"/>
    </w:pPr>
    <w:rPr>
      <w:rFonts w:ascii="宋体" w:hAnsi="宋体" w:cs="宋体"/>
      <w:kern w:val="0"/>
      <w:sz w:val="24"/>
    </w:rPr>
  </w:style>
  <w:style w:type="paragraph" w:customStyle="1" w:styleId="Charffffffff">
    <w:name w:val="段落 Char"/>
    <w:basedOn w:val="a7"/>
    <w:qFormat/>
    <w:pPr>
      <w:spacing w:after="160" w:line="440" w:lineRule="exact"/>
      <w:ind w:firstLineChars="200" w:firstLine="504"/>
      <w:textAlignment w:val="baseline"/>
    </w:pPr>
    <w:rPr>
      <w:color w:val="000000"/>
      <w:spacing w:val="6"/>
      <w:kern w:val="24"/>
      <w:sz w:val="24"/>
    </w:rPr>
  </w:style>
  <w:style w:type="paragraph" w:customStyle="1" w:styleId="affffffffffffffffffffffffffffffffffc">
    <w:name w:val="插图"/>
    <w:basedOn w:val="a7"/>
    <w:next w:val="a7"/>
    <w:qFormat/>
    <w:pPr>
      <w:keepLines/>
      <w:autoSpaceDE w:val="0"/>
      <w:autoSpaceDN w:val="0"/>
      <w:adjustRightInd w:val="0"/>
      <w:spacing w:before="360" w:after="300" w:line="567" w:lineRule="atLeast"/>
      <w:ind w:right="238" w:firstLine="482"/>
      <w:jc w:val="center"/>
      <w:textAlignment w:val="baseline"/>
    </w:pPr>
    <w:rPr>
      <w:kern w:val="0"/>
      <w:sz w:val="24"/>
      <w:szCs w:val="20"/>
    </w:rPr>
  </w:style>
  <w:style w:type="paragraph" w:customStyle="1" w:styleId="123021">
    <w:name w:val="样式 文本123 + 段前: 0.2 行1"/>
    <w:basedOn w:val="1230"/>
    <w:uiPriority w:val="99"/>
    <w:qFormat/>
    <w:pPr>
      <w:ind w:left="0" w:firstLine="510"/>
    </w:pPr>
    <w:rPr>
      <w:szCs w:val="20"/>
    </w:rPr>
  </w:style>
  <w:style w:type="paragraph" w:customStyle="1" w:styleId="GB2312280">
    <w:name w:val="样式 楷体_GB2312 四号 加粗 行距: 固定值 28 磅"/>
    <w:basedOn w:val="a7"/>
    <w:uiPriority w:val="99"/>
    <w:qFormat/>
    <w:pPr>
      <w:snapToGrid w:val="0"/>
      <w:spacing w:before="100" w:beforeAutospacing="1" w:after="100" w:afterAutospacing="1" w:line="560" w:lineRule="exact"/>
      <w:jc w:val="left"/>
    </w:pPr>
    <w:rPr>
      <w:rFonts w:ascii="楷体_GB2312" w:eastAsia="楷体_GB2312" w:cs="宋体"/>
      <w:b/>
      <w:bCs/>
      <w:sz w:val="28"/>
      <w:szCs w:val="20"/>
    </w:rPr>
  </w:style>
  <w:style w:type="paragraph" w:customStyle="1" w:styleId="339391352">
    <w:name w:val="样式 标题 3 + 加粗 段前: 3.9 磅 段后: 3.9 磅 行距: 多倍行距 1.35 字行2"/>
    <w:basedOn w:val="31"/>
    <w:qFormat/>
    <w:pPr>
      <w:keepNext/>
      <w:keepLines/>
      <w:numPr>
        <w:ilvl w:val="0"/>
        <w:numId w:val="0"/>
      </w:numPr>
      <w:tabs>
        <w:tab w:val="left" w:pos="454"/>
        <w:tab w:val="left" w:pos="1820"/>
      </w:tabs>
      <w:spacing w:beforeLines="0" w:before="78" w:afterLines="0" w:after="78" w:line="324" w:lineRule="auto"/>
      <w:ind w:left="1820" w:hanging="420"/>
      <w:jc w:val="both"/>
      <w:textAlignment w:val="auto"/>
    </w:pPr>
    <w:rPr>
      <w:rFonts w:ascii="仿宋_GB2312" w:eastAsia="仿宋_GB2312" w:cs="宋体"/>
      <w:color w:val="auto"/>
      <w:sz w:val="28"/>
      <w:szCs w:val="20"/>
      <w:lang w:val="en-US"/>
    </w:rPr>
  </w:style>
  <w:style w:type="paragraph" w:customStyle="1" w:styleId="08524">
    <w:name w:val="样式 首行缩进:  0.85 厘米 行距: 固定值 24 磅"/>
    <w:basedOn w:val="a7"/>
    <w:qFormat/>
    <w:pPr>
      <w:spacing w:after="160" w:line="480" w:lineRule="exact"/>
      <w:ind w:firstLine="482"/>
    </w:pPr>
    <w:rPr>
      <w:rFonts w:cs="宋体"/>
      <w:sz w:val="24"/>
      <w:szCs w:val="20"/>
    </w:rPr>
  </w:style>
  <w:style w:type="paragraph" w:customStyle="1" w:styleId="affffffffffffffffffffffffffffffffffd">
    <w:name w:val="报告章标题"/>
    <w:basedOn w:val="1"/>
    <w:next w:val="a7"/>
    <w:qFormat/>
    <w:pPr>
      <w:keepNext/>
      <w:keepLines/>
      <w:numPr>
        <w:numId w:val="0"/>
      </w:numPr>
      <w:adjustRightInd w:val="0"/>
      <w:snapToGrid/>
      <w:spacing w:beforeLines="0" w:before="360" w:after="360" w:line="400" w:lineRule="exact"/>
      <w:ind w:left="482" w:hanging="194"/>
      <w:jc w:val="center"/>
    </w:pPr>
    <w:rPr>
      <w:rFonts w:eastAsia="黑体"/>
      <w:sz w:val="32"/>
      <w:szCs w:val="20"/>
    </w:rPr>
  </w:style>
  <w:style w:type="paragraph" w:customStyle="1" w:styleId="affffffffffffffffffffffffffffffffffe">
    <w:name w:val="文章总标题"/>
    <w:basedOn w:val="a7"/>
    <w:next w:val="afffffffffffffffffffffffffffff7"/>
    <w:uiPriority w:val="99"/>
    <w:qFormat/>
    <w:pPr>
      <w:widowControl/>
      <w:spacing w:before="566" w:after="544" w:line="566" w:lineRule="atLeast"/>
      <w:ind w:firstLine="482"/>
      <w:jc w:val="center"/>
      <w:textAlignment w:val="baseline"/>
    </w:pPr>
    <w:rPr>
      <w:rFonts w:ascii="Arial" w:eastAsia="黑体"/>
      <w:color w:val="000000"/>
      <w:kern w:val="0"/>
      <w:sz w:val="54"/>
      <w:szCs w:val="20"/>
      <w:u w:color="000000"/>
    </w:rPr>
  </w:style>
  <w:style w:type="paragraph" w:customStyle="1" w:styleId="22f0">
    <w:name w:val="样式 样式 正文文本 + 首行缩进:  2 字符 + 首行缩进:  2 字符"/>
    <w:basedOn w:val="a7"/>
    <w:uiPriority w:val="99"/>
    <w:qFormat/>
    <w:pPr>
      <w:adjustRightInd w:val="0"/>
      <w:snapToGrid w:val="0"/>
      <w:spacing w:before="120" w:after="120" w:line="360" w:lineRule="exact"/>
      <w:ind w:firstLineChars="200" w:firstLine="439"/>
      <w:jc w:val="left"/>
      <w:textAlignment w:val="baseline"/>
    </w:pPr>
    <w:rPr>
      <w:rFonts w:cs="宋体"/>
      <w:kern w:val="0"/>
      <w:sz w:val="24"/>
    </w:rPr>
  </w:style>
  <w:style w:type="paragraph" w:customStyle="1" w:styleId="2fffffb">
    <w:name w:val="样式 样式 首行缩进:  2 字符 + 居中"/>
    <w:basedOn w:val="2f7"/>
    <w:qFormat/>
    <w:pPr>
      <w:spacing w:after="160" w:line="500" w:lineRule="exact"/>
      <w:ind w:firstLineChars="0" w:firstLine="0"/>
      <w:jc w:val="center"/>
    </w:pPr>
    <w:rPr>
      <w:rFonts w:ascii="宋体" w:hAnsi="宋体" w:cs="Times New Roman"/>
      <w:kern w:val="0"/>
      <w:sz w:val="28"/>
    </w:rPr>
  </w:style>
  <w:style w:type="paragraph" w:customStyle="1" w:styleId="xl43">
    <w:name w:val="xl43"/>
    <w:basedOn w:val="a7"/>
    <w:uiPriority w:val="99"/>
    <w:qFormat/>
    <w:pPr>
      <w:widowControl/>
      <w:pBdr>
        <w:top w:val="single" w:sz="4" w:space="0" w:color="auto"/>
        <w:left w:val="single" w:sz="4" w:space="0" w:color="auto"/>
        <w:bottom w:val="single" w:sz="4" w:space="0" w:color="auto"/>
      </w:pBdr>
      <w:spacing w:before="100" w:after="100" w:line="360" w:lineRule="auto"/>
      <w:ind w:firstLine="482"/>
      <w:jc w:val="center"/>
      <w:textAlignment w:val="center"/>
    </w:pPr>
    <w:rPr>
      <w:kern w:val="0"/>
      <w:sz w:val="24"/>
    </w:rPr>
  </w:style>
  <w:style w:type="paragraph" w:customStyle="1" w:styleId="zmzw">
    <w:name w:val="zmzw"/>
    <w:basedOn w:val="a7"/>
    <w:qFormat/>
    <w:pPr>
      <w:widowControl/>
      <w:adjustRightInd w:val="0"/>
      <w:snapToGrid w:val="0"/>
      <w:spacing w:after="200" w:line="240" w:lineRule="atLeast"/>
      <w:jc w:val="center"/>
    </w:pPr>
    <w:rPr>
      <w:rFonts w:eastAsia="仿宋_GB2312"/>
      <w:b/>
      <w:bCs/>
      <w:spacing w:val="-40"/>
      <w:w w:val="80"/>
      <w:kern w:val="0"/>
      <w:sz w:val="24"/>
      <w:szCs w:val="22"/>
      <w:lang w:eastAsia="en-US" w:bidi="en-US"/>
    </w:rPr>
  </w:style>
  <w:style w:type="paragraph" w:customStyle="1" w:styleId="textstyle1">
    <w:name w:val="textstyle1"/>
    <w:basedOn w:val="a7"/>
    <w:qFormat/>
    <w:pPr>
      <w:widowControl/>
      <w:overflowPunct w:val="0"/>
      <w:autoSpaceDE w:val="0"/>
      <w:autoSpaceDN w:val="0"/>
      <w:adjustRightInd w:val="0"/>
      <w:spacing w:before="120" w:after="160" w:line="360" w:lineRule="auto"/>
      <w:ind w:left="288" w:firstLineChars="200" w:firstLine="432"/>
      <w:textAlignment w:val="baseline"/>
    </w:pPr>
    <w:rPr>
      <w:rFonts w:ascii="楷体" w:eastAsia="楷体"/>
      <w:kern w:val="0"/>
      <w:sz w:val="24"/>
      <w:szCs w:val="20"/>
    </w:rPr>
  </w:style>
  <w:style w:type="paragraph" w:customStyle="1" w:styleId="4444">
    <w:name w:val="4.4.4.4"/>
    <w:basedOn w:val="41"/>
    <w:qFormat/>
    <w:pPr>
      <w:keepNext/>
      <w:keepLines/>
      <w:numPr>
        <w:ilvl w:val="0"/>
        <w:numId w:val="0"/>
      </w:numPr>
      <w:tabs>
        <w:tab w:val="clear" w:pos="864"/>
        <w:tab w:val="left" w:pos="2458"/>
      </w:tabs>
      <w:spacing w:beforeLines="20" w:before="280" w:afterLines="0" w:after="0"/>
      <w:ind w:left="884"/>
      <w:jc w:val="both"/>
      <w:textAlignment w:val="auto"/>
    </w:pPr>
    <w:rPr>
      <w:rFonts w:ascii="黑体" w:eastAsia="黑体"/>
      <w:b w:val="0"/>
      <w:bCs w:val="0"/>
      <w:color w:val="auto"/>
      <w:kern w:val="0"/>
      <w:sz w:val="24"/>
      <w:lang w:val="en-US"/>
    </w:rPr>
  </w:style>
  <w:style w:type="paragraph" w:customStyle="1" w:styleId="afffffffffffffffffffffffffffffffffff">
    <w:name w:val="分目录"/>
    <w:basedOn w:val="a7"/>
    <w:qFormat/>
    <w:pPr>
      <w:adjustRightInd w:val="0"/>
      <w:snapToGrid w:val="0"/>
      <w:spacing w:after="160" w:line="500" w:lineRule="exact"/>
      <w:jc w:val="center"/>
    </w:pPr>
    <w:rPr>
      <w:b/>
      <w:snapToGrid w:val="0"/>
      <w:color w:val="000000"/>
      <w:kern w:val="0"/>
      <w:sz w:val="32"/>
      <w:szCs w:val="20"/>
    </w:rPr>
  </w:style>
  <w:style w:type="paragraph" w:customStyle="1" w:styleId="13Arial215">
    <w:name w:val="样式 正文小四首缩1.3行距 + Arial 首行缩进:  2 字符 行距: 1.5 倍行距"/>
    <w:basedOn w:val="a7"/>
    <w:uiPriority w:val="99"/>
    <w:qFormat/>
    <w:pPr>
      <w:snapToGrid w:val="0"/>
      <w:spacing w:after="160" w:line="360" w:lineRule="auto"/>
      <w:ind w:firstLineChars="200" w:firstLine="480"/>
      <w:jc w:val="left"/>
    </w:pPr>
    <w:rPr>
      <w:rFonts w:ascii="Arial" w:hAnsi="Arial" w:cs="宋体"/>
      <w:kern w:val="0"/>
      <w:sz w:val="24"/>
      <w:szCs w:val="20"/>
    </w:rPr>
  </w:style>
  <w:style w:type="paragraph" w:customStyle="1" w:styleId="afffffffffffffffffffffffffffffffffff0">
    <w:name w:val="奇数页篇眉"/>
    <w:basedOn w:val="afff3"/>
    <w:semiHidden/>
    <w:qFormat/>
    <w:pPr>
      <w:keepLines/>
      <w:widowControl/>
      <w:pBdr>
        <w:bottom w:val="none" w:sz="0" w:space="0" w:color="auto"/>
      </w:pBdr>
      <w:tabs>
        <w:tab w:val="clear" w:pos="4153"/>
        <w:tab w:val="clear" w:pos="8306"/>
        <w:tab w:val="center" w:pos="7200"/>
        <w:tab w:val="right" w:pos="14400"/>
      </w:tabs>
      <w:overflowPunct w:val="0"/>
      <w:autoSpaceDE w:val="0"/>
      <w:autoSpaceDN w:val="0"/>
      <w:adjustRightInd w:val="0"/>
      <w:snapToGrid/>
      <w:spacing w:after="160" w:line="278" w:lineRule="auto"/>
      <w:textAlignment w:val="baseline"/>
    </w:pPr>
    <w:rPr>
      <w:rFonts w:ascii="Calibri" w:hAnsi="Calibri"/>
      <w:spacing w:val="80"/>
      <w:kern w:val="0"/>
      <w:sz w:val="20"/>
      <w:szCs w:val="20"/>
    </w:rPr>
  </w:style>
  <w:style w:type="paragraph" w:customStyle="1" w:styleId="xl18">
    <w:name w:val="xl18"/>
    <w:basedOn w:val="a7"/>
    <w:uiPriority w:val="99"/>
    <w:semiHidden/>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78" w:lineRule="auto"/>
      <w:jc w:val="center"/>
      <w:textAlignment w:val="center"/>
    </w:pPr>
    <w:rPr>
      <w:rFonts w:ascii="Arial Unicode MS" w:eastAsia="Arial Unicode MS" w:hAnsi="Arial Unicode MS" w:cs="Arial Unicode MS"/>
      <w:b/>
      <w:bCs/>
      <w:kern w:val="0"/>
      <w:sz w:val="22"/>
      <w:szCs w:val="22"/>
    </w:rPr>
  </w:style>
  <w:style w:type="paragraph" w:customStyle="1" w:styleId="5152">
    <w:name w:val="样式 标题 51)项标5 + 首行缩进:  2 字符"/>
    <w:basedOn w:val="52"/>
    <w:semiHidden/>
    <w:qFormat/>
    <w:pPr>
      <w:tabs>
        <w:tab w:val="left" w:pos="360"/>
        <w:tab w:val="left" w:pos="2040"/>
      </w:tabs>
      <w:spacing w:before="0" w:after="0" w:line="360" w:lineRule="auto"/>
      <w:ind w:leftChars="800" w:left="-20" w:hangingChars="200" w:hanging="360"/>
      <w:jc w:val="left"/>
    </w:pPr>
    <w:rPr>
      <w:rFonts w:ascii="宋体"/>
      <w:bCs/>
      <w:szCs w:val="28"/>
      <w:lang w:val="en-US"/>
    </w:rPr>
  </w:style>
  <w:style w:type="paragraph" w:customStyle="1" w:styleId="031">
    <w:name w:val="表格03"/>
    <w:basedOn w:val="a7"/>
    <w:qFormat/>
    <w:pPr>
      <w:snapToGrid w:val="0"/>
      <w:spacing w:after="160" w:line="400" w:lineRule="exact"/>
      <w:jc w:val="center"/>
    </w:pPr>
  </w:style>
  <w:style w:type="paragraph" w:customStyle="1" w:styleId="xl254">
    <w:name w:val="xl254"/>
    <w:basedOn w:val="a7"/>
    <w:qFormat/>
    <w:pPr>
      <w:widowControl/>
      <w:pBdr>
        <w:top w:val="single" w:sz="4" w:space="0" w:color="auto"/>
        <w:left w:val="single" w:sz="4" w:space="0" w:color="auto"/>
        <w:bottom w:val="single" w:sz="4" w:space="0" w:color="auto"/>
      </w:pBdr>
      <w:spacing w:before="100" w:beforeAutospacing="1" w:after="100" w:afterAutospacing="1" w:line="278" w:lineRule="auto"/>
      <w:jc w:val="center"/>
      <w:textAlignment w:val="center"/>
    </w:pPr>
    <w:rPr>
      <w:b/>
      <w:bCs/>
      <w:kern w:val="0"/>
      <w:sz w:val="18"/>
      <w:szCs w:val="18"/>
    </w:rPr>
  </w:style>
  <w:style w:type="paragraph" w:customStyle="1" w:styleId="163">
    <w:name w:val="样式 居中 行距: 固定值 16 磅"/>
    <w:basedOn w:val="a7"/>
    <w:qFormat/>
    <w:pPr>
      <w:spacing w:after="160" w:line="320" w:lineRule="exact"/>
      <w:jc w:val="center"/>
    </w:pPr>
    <w:rPr>
      <w:rFonts w:cs="宋体"/>
      <w:kern w:val="0"/>
      <w:szCs w:val="20"/>
    </w:rPr>
  </w:style>
  <w:style w:type="paragraph" w:customStyle="1" w:styleId="afffffffffffffffffffffffffffffffffff1">
    <w:name w:val="a"/>
    <w:basedOn w:val="a7"/>
    <w:uiPriority w:val="99"/>
    <w:qFormat/>
    <w:pPr>
      <w:widowControl/>
      <w:spacing w:before="100" w:beforeAutospacing="1" w:after="100" w:afterAutospacing="1" w:line="360" w:lineRule="auto"/>
      <w:ind w:firstLine="482"/>
      <w:jc w:val="left"/>
    </w:pPr>
    <w:rPr>
      <w:rFonts w:ascii="宋体" w:hAnsi="宋体" w:cs="宋体"/>
      <w:kern w:val="0"/>
      <w:sz w:val="24"/>
    </w:rPr>
  </w:style>
  <w:style w:type="paragraph" w:customStyle="1" w:styleId="4ff4">
    <w:name w:val="标题　4"/>
    <w:basedOn w:val="41"/>
    <w:uiPriority w:val="99"/>
    <w:qFormat/>
    <w:pPr>
      <w:keepNext/>
      <w:keepLines/>
      <w:numPr>
        <w:ilvl w:val="0"/>
        <w:numId w:val="0"/>
      </w:numPr>
      <w:tabs>
        <w:tab w:val="clear" w:pos="864"/>
      </w:tabs>
      <w:adjustRightInd/>
      <w:snapToGrid/>
      <w:spacing w:beforeLines="0" w:before="0" w:afterLines="0" w:after="0"/>
      <w:jc w:val="both"/>
      <w:textAlignment w:val="auto"/>
    </w:pPr>
    <w:rPr>
      <w:rFonts w:eastAsia="宋体"/>
      <w:color w:val="auto"/>
      <w:kern w:val="0"/>
      <w:szCs w:val="20"/>
      <w:lang w:val="en-US"/>
    </w:rPr>
  </w:style>
  <w:style w:type="paragraph" w:customStyle="1" w:styleId="2fffffc">
    <w:name w:val="表格填充2"/>
    <w:basedOn w:val="1ffff0"/>
    <w:qFormat/>
    <w:pPr>
      <w:adjustRightInd w:val="0"/>
      <w:spacing w:line="260" w:lineRule="exact"/>
      <w:ind w:firstLineChars="200" w:firstLine="420"/>
    </w:pPr>
    <w:rPr>
      <w:rFonts w:ascii="宋体" w:hAnsi="宋体"/>
      <w:snapToGrid w:val="0"/>
      <w:color w:val="000000"/>
      <w:kern w:val="0"/>
      <w:sz w:val="21"/>
      <w:szCs w:val="20"/>
    </w:rPr>
  </w:style>
  <w:style w:type="paragraph" w:customStyle="1" w:styleId="GB2312152">
    <w:name w:val="样式 仿宋_GB2312 四号 行距: 1.5 倍行距 首行缩进:  2 字符"/>
    <w:basedOn w:val="a7"/>
    <w:qFormat/>
    <w:pPr>
      <w:spacing w:after="160" w:line="360" w:lineRule="auto"/>
      <w:ind w:firstLineChars="200" w:firstLine="560"/>
    </w:pPr>
    <w:rPr>
      <w:rFonts w:ascii="仿宋_GB2312" w:eastAsia="仿宋_GB2312" w:cs="宋体"/>
      <w:kern w:val="0"/>
      <w:sz w:val="28"/>
      <w:szCs w:val="20"/>
    </w:rPr>
  </w:style>
  <w:style w:type="paragraph" w:customStyle="1" w:styleId="afffffffffffffffffffffffffffffffffff2">
    <w:name w:val="广东表"/>
    <w:basedOn w:val="afffffffffb"/>
    <w:semiHidden/>
    <w:qFormat/>
    <w:pPr>
      <w:widowControl w:val="0"/>
      <w:tabs>
        <w:tab w:val="clear" w:pos="1855"/>
        <w:tab w:val="clear" w:pos="2269"/>
      </w:tabs>
      <w:adjustRightInd w:val="0"/>
      <w:snapToGrid/>
      <w:spacing w:after="160"/>
      <w:ind w:left="1035" w:hangingChars="450" w:hanging="1035"/>
      <w:textAlignment w:val="baseline"/>
    </w:pPr>
    <w:rPr>
      <w:rFonts w:eastAsia="宋体" w:cs="Times New Roman"/>
      <w:smallCaps w:val="0"/>
      <w:color w:val="auto"/>
      <w:spacing w:val="10"/>
      <w:szCs w:val="22"/>
    </w:rPr>
  </w:style>
  <w:style w:type="paragraph" w:customStyle="1" w:styleId="2fffffd">
    <w:name w:val="正文文本2"/>
    <w:basedOn w:val="a7"/>
    <w:qFormat/>
    <w:pPr>
      <w:shd w:val="clear" w:color="auto" w:fill="FFFFFF"/>
      <w:spacing w:after="180" w:line="0" w:lineRule="atLeast"/>
      <w:ind w:hanging="700"/>
      <w:jc w:val="left"/>
    </w:pPr>
    <w:rPr>
      <w:rFonts w:ascii="宋体" w:hAnsi="宋体" w:cs="宋体"/>
      <w:kern w:val="0"/>
      <w:sz w:val="22"/>
      <w:szCs w:val="22"/>
    </w:rPr>
  </w:style>
  <w:style w:type="paragraph" w:customStyle="1" w:styleId="Style61">
    <w:name w:val="Style61"/>
    <w:basedOn w:val="a7"/>
    <w:qFormat/>
    <w:pPr>
      <w:adjustRightInd w:val="0"/>
      <w:spacing w:after="160" w:line="360" w:lineRule="auto"/>
      <w:ind w:firstLine="482"/>
      <w:jc w:val="left"/>
    </w:pPr>
    <w:rPr>
      <w:rFonts w:ascii="宋体"/>
      <w:kern w:val="0"/>
      <w:sz w:val="24"/>
    </w:rPr>
  </w:style>
  <w:style w:type="paragraph" w:customStyle="1" w:styleId="DefinitionTerm">
    <w:name w:val="Definition Term"/>
    <w:basedOn w:val="a7"/>
    <w:next w:val="a7"/>
    <w:qFormat/>
    <w:pPr>
      <w:widowControl/>
      <w:overflowPunct w:val="0"/>
      <w:autoSpaceDE w:val="0"/>
      <w:autoSpaceDN w:val="0"/>
      <w:adjustRightInd w:val="0"/>
      <w:spacing w:after="160" w:line="278" w:lineRule="auto"/>
      <w:jc w:val="left"/>
      <w:textAlignment w:val="baseline"/>
    </w:pPr>
    <w:rPr>
      <w:kern w:val="0"/>
      <w:sz w:val="24"/>
    </w:rPr>
  </w:style>
  <w:style w:type="paragraph" w:customStyle="1" w:styleId="316">
    <w:name w:val="标题 31"/>
    <w:basedOn w:val="a7"/>
    <w:next w:val="af3"/>
    <w:qFormat/>
    <w:pPr>
      <w:keepNext/>
      <w:keepLines/>
      <w:snapToGrid w:val="0"/>
      <w:spacing w:before="120" w:after="120" w:line="336" w:lineRule="auto"/>
      <w:ind w:firstLineChars="200" w:firstLine="200"/>
      <w:jc w:val="left"/>
      <w:outlineLvl w:val="2"/>
    </w:pPr>
    <w:rPr>
      <w:rFonts w:hint="eastAsia"/>
      <w:b/>
      <w:sz w:val="26"/>
      <w:szCs w:val="20"/>
    </w:rPr>
  </w:style>
  <w:style w:type="paragraph" w:customStyle="1" w:styleId="1fffffe">
    <w:name w:val="样式 标题 1 + 小四"/>
    <w:basedOn w:val="1"/>
    <w:qFormat/>
    <w:pPr>
      <w:keepNext/>
      <w:keepLines/>
      <w:numPr>
        <w:numId w:val="0"/>
      </w:numPr>
      <w:tabs>
        <w:tab w:val="left" w:pos="840"/>
      </w:tabs>
      <w:snapToGrid/>
      <w:spacing w:beforeLines="0" w:before="120" w:after="240" w:line="0" w:lineRule="atLeast"/>
      <w:ind w:left="840" w:hanging="360"/>
      <w:jc w:val="center"/>
    </w:pPr>
    <w:rPr>
      <w:rFonts w:eastAsia="楷体_GB2312"/>
      <w:b/>
      <w:bCs/>
      <w:sz w:val="30"/>
      <w:szCs w:val="20"/>
    </w:rPr>
  </w:style>
  <w:style w:type="paragraph" w:customStyle="1" w:styleId="CharCharCharCharCharCharCharCharCharCharCharCharCharCharCharChar">
    <w:name w:val="Char Char Char Char Char Char Char Char Char Char Char Char Char Char Char Char"/>
    <w:basedOn w:val="a7"/>
    <w:qFormat/>
    <w:pPr>
      <w:widowControl/>
      <w:spacing w:after="160" w:line="240" w:lineRule="exact"/>
      <w:ind w:firstLineChars="200" w:firstLine="482"/>
      <w:jc w:val="left"/>
    </w:pPr>
    <w:rPr>
      <w:rFonts w:ascii="Verdana" w:eastAsia="仿宋_GB2312" w:hAnsi="Verdana"/>
      <w:kern w:val="0"/>
      <w:sz w:val="20"/>
      <w:szCs w:val="20"/>
      <w:lang w:eastAsia="en-US"/>
    </w:rPr>
  </w:style>
  <w:style w:type="paragraph" w:customStyle="1" w:styleId="xl95">
    <w:name w:val="xl95"/>
    <w:basedOn w:val="a7"/>
    <w:qFormat/>
    <w:pPr>
      <w:widowControl/>
      <w:pBdr>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32"/>
      <w:szCs w:val="32"/>
    </w:rPr>
  </w:style>
  <w:style w:type="paragraph" w:customStyle="1" w:styleId="xl169">
    <w:name w:val="xl169"/>
    <w:basedOn w:val="a7"/>
    <w:qFormat/>
    <w:pPr>
      <w:widowControl/>
      <w:pBdr>
        <w:top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3232">
    <w:name w:val="样式 宋体 13 磅 行距: 固定值 23 磅 首行缩进:  2 字符"/>
    <w:basedOn w:val="a7"/>
    <w:qFormat/>
    <w:pPr>
      <w:spacing w:after="160" w:line="360" w:lineRule="auto"/>
      <w:ind w:firstLineChars="200" w:firstLine="480"/>
    </w:pPr>
    <w:rPr>
      <w:rFonts w:ascii="宋体" w:hAnsi="宋体" w:cs="宋体"/>
      <w:sz w:val="24"/>
      <w:szCs w:val="20"/>
    </w:rPr>
  </w:style>
  <w:style w:type="paragraph" w:customStyle="1" w:styleId="afffffffffffffffffffffffffffffffffff3">
    <w:name w:val="分手多日，近况如何？"/>
    <w:qFormat/>
    <w:pPr>
      <w:widowControl w:val="0"/>
      <w:spacing w:after="160" w:line="278" w:lineRule="auto"/>
      <w:jc w:val="both"/>
    </w:pPr>
    <w:rPr>
      <w:kern w:val="2"/>
      <w:sz w:val="21"/>
    </w:rPr>
  </w:style>
  <w:style w:type="paragraph" w:customStyle="1" w:styleId="3311134">
    <w:name w:val="样式 标题 3标题3小标题1.1.1标题 3 + 段后: 4 磅"/>
    <w:basedOn w:val="31"/>
    <w:qFormat/>
    <w:pPr>
      <w:keepNext/>
      <w:keepLines/>
      <w:widowControl/>
      <w:numPr>
        <w:ilvl w:val="0"/>
        <w:numId w:val="0"/>
      </w:numPr>
      <w:adjustRightInd/>
      <w:snapToGrid/>
      <w:spacing w:beforeLines="0" w:before="0" w:afterLines="0" w:after="80"/>
      <w:textAlignment w:val="auto"/>
    </w:pPr>
    <w:rPr>
      <w:rFonts w:cs="宋体"/>
      <w:b w:val="0"/>
      <w:bCs w:val="0"/>
      <w:color w:val="auto"/>
      <w:spacing w:val="-5"/>
      <w:kern w:val="28"/>
      <w:sz w:val="24"/>
      <w:szCs w:val="20"/>
      <w:lang w:val="en-US"/>
    </w:rPr>
  </w:style>
  <w:style w:type="paragraph" w:customStyle="1" w:styleId="afffffffffffffffffffffffffffffffffff4">
    <w:name w:val="条文"/>
    <w:basedOn w:val="a7"/>
    <w:qFormat/>
    <w:pPr>
      <w:tabs>
        <w:tab w:val="left" w:pos="720"/>
      </w:tabs>
      <w:spacing w:after="160" w:line="278" w:lineRule="auto"/>
      <w:ind w:left="720" w:hanging="720"/>
    </w:pPr>
    <w:rPr>
      <w:sz w:val="32"/>
      <w:szCs w:val="20"/>
    </w:rPr>
  </w:style>
  <w:style w:type="paragraph" w:customStyle="1" w:styleId="666666-1">
    <w:name w:val="666666-表头儿"/>
    <w:basedOn w:val="a7"/>
    <w:qFormat/>
    <w:pPr>
      <w:spacing w:after="160" w:line="440" w:lineRule="exact"/>
      <w:ind w:firstLine="482"/>
      <w:jc w:val="center"/>
    </w:pPr>
    <w:rPr>
      <w:rFonts w:eastAsia="黑体"/>
      <w:kern w:val="0"/>
      <w:sz w:val="24"/>
      <w:szCs w:val="20"/>
    </w:rPr>
  </w:style>
  <w:style w:type="paragraph" w:customStyle="1" w:styleId="ParaCharCharChar1CharCharCharChar">
    <w:name w:val="默认段落字体 Para Char Char Char1 Char Char Char Char"/>
    <w:basedOn w:val="a7"/>
    <w:qFormat/>
    <w:pPr>
      <w:spacing w:after="160" w:line="278" w:lineRule="auto"/>
    </w:pPr>
    <w:rPr>
      <w:sz w:val="24"/>
    </w:rPr>
  </w:style>
  <w:style w:type="paragraph" w:customStyle="1" w:styleId="CharCharCharCharCharChar2">
    <w:name w:val="Char Char Char Char Char Char2"/>
    <w:basedOn w:val="a7"/>
    <w:qFormat/>
    <w:pPr>
      <w:spacing w:after="160" w:line="278" w:lineRule="auto"/>
    </w:pPr>
    <w:rPr>
      <w:sz w:val="24"/>
    </w:rPr>
  </w:style>
  <w:style w:type="paragraph" w:customStyle="1" w:styleId="Char1f4">
    <w:name w:val="Char1"/>
    <w:basedOn w:val="a7"/>
    <w:uiPriority w:val="99"/>
    <w:qFormat/>
    <w:pPr>
      <w:spacing w:after="160" w:line="278" w:lineRule="auto"/>
    </w:pPr>
    <w:rPr>
      <w:szCs w:val="20"/>
    </w:rPr>
  </w:style>
  <w:style w:type="paragraph" w:customStyle="1" w:styleId="gb">
    <w:name w:val="gb"/>
    <w:basedOn w:val="a7"/>
    <w:qFormat/>
    <w:pPr>
      <w:widowControl/>
      <w:tabs>
        <w:tab w:val="left" w:pos="227"/>
      </w:tabs>
      <w:overflowPunct w:val="0"/>
      <w:adjustRightInd w:val="0"/>
      <w:spacing w:before="120" w:after="120" w:line="278" w:lineRule="auto"/>
      <w:jc w:val="left"/>
      <w:textAlignment w:val="baseline"/>
    </w:pPr>
    <w:rPr>
      <w:rFonts w:ascii="Arial" w:eastAsia="仿宋体" w:hAnsi="Arial"/>
      <w:kern w:val="0"/>
      <w:sz w:val="24"/>
      <w:szCs w:val="20"/>
    </w:rPr>
  </w:style>
  <w:style w:type="paragraph" w:customStyle="1" w:styleId="CharCharCharChar41">
    <w:name w:val="Char Char Char Char41"/>
    <w:basedOn w:val="a7"/>
    <w:qFormat/>
    <w:pPr>
      <w:widowControl/>
      <w:spacing w:after="160" w:line="240" w:lineRule="exact"/>
      <w:jc w:val="left"/>
    </w:pPr>
  </w:style>
  <w:style w:type="paragraph" w:customStyle="1" w:styleId="afffffffffffffffffffffffffffffffffff5">
    <w:name w:val="方框文字"/>
    <w:basedOn w:val="27"/>
    <w:qFormat/>
    <w:pPr>
      <w:tabs>
        <w:tab w:val="left" w:pos="0"/>
      </w:tabs>
      <w:spacing w:after="0" w:line="240" w:lineRule="auto"/>
      <w:ind w:firstLineChars="0" w:firstLine="0"/>
      <w:jc w:val="center"/>
    </w:pPr>
    <w:rPr>
      <w:rFonts w:ascii="宋体" w:hAnsi="宋体" w:cs="Times New Roman"/>
      <w:w w:val="90"/>
      <w:szCs w:val="20"/>
    </w:rPr>
  </w:style>
  <w:style w:type="paragraph" w:customStyle="1" w:styleId="Char1CharCharCharCharCharCharCharCharChar">
    <w:name w:val="Char1 Char Char Char Char Char Char Char Char Char"/>
    <w:basedOn w:val="a7"/>
    <w:qFormat/>
    <w:pPr>
      <w:spacing w:after="160" w:line="278" w:lineRule="auto"/>
    </w:pPr>
  </w:style>
  <w:style w:type="paragraph" w:customStyle="1" w:styleId="xl121">
    <w:name w:val="xl121"/>
    <w:basedOn w:val="a7"/>
    <w:uiPriority w:val="99"/>
    <w:qFormat/>
    <w:pPr>
      <w:widowControl/>
      <w:shd w:val="clear" w:color="000000" w:fill="FFFFFF"/>
      <w:snapToGrid w:val="0"/>
      <w:spacing w:before="100" w:beforeAutospacing="1" w:after="100" w:afterAutospacing="1" w:line="278" w:lineRule="auto"/>
      <w:jc w:val="left"/>
    </w:pPr>
    <w:rPr>
      <w:rFonts w:ascii="宋体" w:hAnsi="宋体" w:cs="宋体"/>
      <w:color w:val="1A1FE0"/>
      <w:kern w:val="0"/>
      <w:sz w:val="24"/>
    </w:rPr>
  </w:style>
  <w:style w:type="paragraph" w:customStyle="1" w:styleId="xl320">
    <w:name w:val="xl320"/>
    <w:basedOn w:val="a7"/>
    <w:qFormat/>
    <w:pPr>
      <w:widowControl/>
      <w:pBdr>
        <w:bottom w:val="single" w:sz="4" w:space="0" w:color="auto"/>
        <w:right w:val="single" w:sz="4" w:space="0" w:color="auto"/>
      </w:pBdr>
      <w:spacing w:before="100" w:beforeAutospacing="1" w:after="100" w:afterAutospacing="1" w:line="278" w:lineRule="auto"/>
      <w:jc w:val="center"/>
      <w:textAlignment w:val="center"/>
    </w:pPr>
    <w:rPr>
      <w:kern w:val="0"/>
      <w:sz w:val="20"/>
      <w:szCs w:val="20"/>
    </w:rPr>
  </w:style>
  <w:style w:type="paragraph" w:customStyle="1" w:styleId="afffffffffffffffffffffffffffffffffff6">
    <w:name w:val="项目正文"/>
    <w:basedOn w:val="a7"/>
    <w:qFormat/>
    <w:pPr>
      <w:snapToGrid w:val="0"/>
      <w:spacing w:after="160" w:line="360" w:lineRule="auto"/>
      <w:ind w:firstLineChars="200" w:firstLine="200"/>
      <w:jc w:val="left"/>
    </w:pPr>
    <w:rPr>
      <w:sz w:val="24"/>
    </w:rPr>
  </w:style>
  <w:style w:type="paragraph" w:customStyle="1" w:styleId="11c">
    <w:name w:val="引用11"/>
    <w:basedOn w:val="a7"/>
    <w:next w:val="a7"/>
    <w:qFormat/>
    <w:pPr>
      <w:spacing w:before="200" w:after="160" w:line="360" w:lineRule="auto"/>
      <w:ind w:left="864" w:right="864" w:firstLineChars="200" w:firstLine="420"/>
      <w:jc w:val="center"/>
    </w:pPr>
    <w:rPr>
      <w:rFonts w:ascii="Calibri" w:hAnsi="Calibri"/>
      <w:i/>
      <w:iCs/>
      <w:color w:val="404040"/>
      <w:sz w:val="28"/>
      <w:szCs w:val="22"/>
    </w:rPr>
  </w:style>
  <w:style w:type="paragraph" w:customStyle="1" w:styleId="1116">
    <w:name w:val="标题111"/>
    <w:basedOn w:val="a7"/>
    <w:next w:val="a7"/>
    <w:qFormat/>
    <w:pPr>
      <w:tabs>
        <w:tab w:val="left" w:pos="9193"/>
        <w:tab w:val="left" w:pos="9827"/>
      </w:tabs>
      <w:autoSpaceDE w:val="0"/>
      <w:autoSpaceDN w:val="0"/>
      <w:snapToGrid w:val="0"/>
      <w:spacing w:after="160" w:line="700" w:lineRule="atLeast"/>
      <w:ind w:firstLineChars="200" w:firstLine="420"/>
      <w:jc w:val="center"/>
    </w:pPr>
    <w:rPr>
      <w:rFonts w:eastAsia="方正小标宋_GBK"/>
      <w:kern w:val="0"/>
      <w:sz w:val="44"/>
      <w:szCs w:val="20"/>
    </w:rPr>
  </w:style>
  <w:style w:type="paragraph" w:customStyle="1" w:styleId="TOC20">
    <w:name w:val="TOC 标题2"/>
    <w:basedOn w:val="1"/>
    <w:next w:val="a7"/>
    <w:uiPriority w:val="39"/>
    <w:unhideWhenUsed/>
    <w:qFormat/>
    <w:pPr>
      <w:keepNext/>
      <w:keepLines/>
      <w:widowControl/>
      <w:numPr>
        <w:numId w:val="0"/>
      </w:numPr>
      <w:snapToGrid/>
      <w:spacing w:beforeLines="0" w:before="240" w:after="160" w:line="259" w:lineRule="auto"/>
      <w:jc w:val="left"/>
      <w:outlineLvl w:val="9"/>
    </w:pPr>
    <w:rPr>
      <w:rFonts w:ascii="Cambria" w:eastAsia="宋体" w:hAnsi="Cambria"/>
      <w:color w:val="365F91"/>
      <w:kern w:val="0"/>
      <w:sz w:val="32"/>
      <w:szCs w:val="32"/>
    </w:rPr>
  </w:style>
  <w:style w:type="paragraph" w:customStyle="1" w:styleId="1ffffff">
    <w:name w:val="陈标题1"/>
    <w:basedOn w:val="a7"/>
    <w:next w:val="a7"/>
    <w:qFormat/>
    <w:pPr>
      <w:keepNext/>
      <w:keepLines/>
      <w:spacing w:after="160" w:line="288" w:lineRule="auto"/>
      <w:outlineLvl w:val="0"/>
    </w:pPr>
    <w:rPr>
      <w:rFonts w:eastAsia="黑体"/>
      <w:b/>
      <w:sz w:val="36"/>
      <w:szCs w:val="36"/>
    </w:rPr>
  </w:style>
  <w:style w:type="paragraph" w:customStyle="1" w:styleId="4ff5">
    <w:name w:val="副标题4"/>
    <w:qFormat/>
    <w:pPr>
      <w:tabs>
        <w:tab w:val="left" w:pos="672"/>
        <w:tab w:val="left" w:pos="720"/>
        <w:tab w:val="left" w:pos="1275"/>
        <w:tab w:val="left" w:pos="1575"/>
        <w:tab w:val="left" w:pos="2100"/>
      </w:tabs>
      <w:spacing w:after="160" w:line="278" w:lineRule="auto"/>
      <w:ind w:left="1275" w:hanging="705"/>
      <w:outlineLvl w:val="4"/>
    </w:pPr>
  </w:style>
  <w:style w:type="paragraph" w:customStyle="1" w:styleId="3fff">
    <w:name w:val="副标题3"/>
    <w:basedOn w:val="a7"/>
    <w:qFormat/>
    <w:pPr>
      <w:keepLines/>
      <w:tabs>
        <w:tab w:val="left" w:pos="672"/>
        <w:tab w:val="left" w:pos="720"/>
      </w:tabs>
      <w:adjustRightInd w:val="0"/>
      <w:snapToGrid w:val="0"/>
      <w:spacing w:after="160" w:line="400" w:lineRule="atLeast"/>
      <w:ind w:left="672" w:hanging="348"/>
      <w:outlineLvl w:val="3"/>
    </w:pPr>
    <w:rPr>
      <w:rFonts w:ascii="宋体"/>
      <w:snapToGrid w:val="0"/>
      <w:kern w:val="0"/>
      <w:sz w:val="24"/>
    </w:rPr>
  </w:style>
  <w:style w:type="paragraph" w:customStyle="1" w:styleId="ListBulletFirst">
    <w:name w:val="List Bullet First"/>
    <w:basedOn w:val="af7"/>
    <w:next w:val="af7"/>
    <w:qFormat/>
    <w:pPr>
      <w:widowControl/>
      <w:tabs>
        <w:tab w:val="clear" w:pos="360"/>
      </w:tabs>
      <w:overflowPunct w:val="0"/>
      <w:autoSpaceDE w:val="0"/>
      <w:autoSpaceDN w:val="0"/>
      <w:adjustRightInd w:val="0"/>
      <w:spacing w:before="80" w:after="160" w:line="360" w:lineRule="auto"/>
      <w:ind w:left="720" w:firstLine="200"/>
      <w:textAlignment w:val="baseline"/>
    </w:pPr>
    <w:rPr>
      <w:kern w:val="0"/>
      <w:sz w:val="20"/>
      <w:szCs w:val="20"/>
    </w:rPr>
  </w:style>
  <w:style w:type="paragraph" w:customStyle="1" w:styleId="formfirst">
    <w:name w:val="form_first"/>
    <w:basedOn w:val="a7"/>
    <w:qFormat/>
    <w:pPr>
      <w:autoSpaceDE w:val="0"/>
      <w:autoSpaceDN w:val="0"/>
      <w:adjustRightInd w:val="0"/>
      <w:spacing w:after="160" w:line="360" w:lineRule="auto"/>
      <w:jc w:val="center"/>
    </w:pPr>
    <w:rPr>
      <w:color w:val="000000"/>
      <w:kern w:val="0"/>
    </w:rPr>
  </w:style>
  <w:style w:type="paragraph" w:customStyle="1" w:styleId="xl135">
    <w:name w:val="xl135"/>
    <w:basedOn w:val="a7"/>
    <w:uiPriority w:val="99"/>
    <w:qFormat/>
    <w:pPr>
      <w:widowControl/>
      <w:pBdr>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NormalText3">
    <w:name w:val="Normal Text 3"/>
    <w:basedOn w:val="a7"/>
    <w:uiPriority w:val="99"/>
    <w:qFormat/>
    <w:pPr>
      <w:widowControl/>
      <w:snapToGrid w:val="0"/>
      <w:spacing w:before="60" w:after="60" w:line="278" w:lineRule="auto"/>
      <w:ind w:left="788"/>
      <w:jc w:val="left"/>
    </w:pPr>
    <w:rPr>
      <w:kern w:val="0"/>
      <w:sz w:val="20"/>
      <w:szCs w:val="20"/>
      <w:lang w:eastAsia="en-US"/>
    </w:rPr>
  </w:style>
  <w:style w:type="paragraph" w:customStyle="1" w:styleId="Style51">
    <w:name w:val="Style51"/>
    <w:basedOn w:val="a7"/>
    <w:qFormat/>
    <w:pPr>
      <w:adjustRightInd w:val="0"/>
      <w:spacing w:after="160" w:line="360" w:lineRule="auto"/>
      <w:ind w:firstLine="482"/>
      <w:jc w:val="left"/>
    </w:pPr>
    <w:rPr>
      <w:rFonts w:ascii="宋体"/>
      <w:kern w:val="0"/>
      <w:sz w:val="24"/>
    </w:rPr>
  </w:style>
  <w:style w:type="paragraph" w:customStyle="1" w:styleId="Bullet3">
    <w:name w:val="Bullet 3"/>
    <w:basedOn w:val="a7"/>
    <w:next w:val="a7"/>
    <w:qFormat/>
    <w:pPr>
      <w:widowControl/>
      <w:numPr>
        <w:numId w:val="21"/>
      </w:numPr>
      <w:tabs>
        <w:tab w:val="clear" w:pos="720"/>
        <w:tab w:val="left" w:pos="1440"/>
      </w:tabs>
      <w:spacing w:after="160" w:line="278" w:lineRule="auto"/>
      <w:ind w:left="3600" w:firstLine="0"/>
      <w:jc w:val="left"/>
    </w:pPr>
    <w:rPr>
      <w:rFonts w:ascii="Arial" w:hAnsi="Arial"/>
      <w:kern w:val="0"/>
      <w:sz w:val="20"/>
      <w:szCs w:val="20"/>
      <w:lang w:eastAsia="en-US"/>
    </w:rPr>
  </w:style>
  <w:style w:type="paragraph" w:customStyle="1" w:styleId="1024">
    <w:name w:val="内容10.24"/>
    <w:basedOn w:val="a7"/>
    <w:qFormat/>
    <w:pPr>
      <w:spacing w:beforeLines="100" w:after="160" w:line="278" w:lineRule="auto"/>
      <w:ind w:firstLineChars="200" w:firstLine="560"/>
    </w:pPr>
    <w:rPr>
      <w:rFonts w:eastAsia="仿宋_GB2312"/>
      <w:color w:val="000000"/>
      <w:sz w:val="28"/>
      <w:szCs w:val="20"/>
    </w:rPr>
  </w:style>
  <w:style w:type="paragraph" w:customStyle="1" w:styleId="0003">
    <w:name w:val="0003"/>
    <w:basedOn w:val="31"/>
    <w:qFormat/>
    <w:pPr>
      <w:keepNext/>
      <w:keepLines/>
      <w:numPr>
        <w:ilvl w:val="0"/>
        <w:numId w:val="0"/>
      </w:numPr>
      <w:adjustRightInd/>
      <w:snapToGrid/>
      <w:spacing w:beforeLines="100" w:before="312" w:afterLines="0" w:after="0"/>
      <w:textAlignment w:val="auto"/>
    </w:pPr>
    <w:rPr>
      <w:rFonts w:ascii="宋体" w:eastAsia="华文楷体"/>
      <w:color w:val="auto"/>
      <w:kern w:val="0"/>
      <w:sz w:val="28"/>
      <w:szCs w:val="32"/>
      <w:lang w:val="en-US"/>
    </w:rPr>
  </w:style>
  <w:style w:type="paragraph" w:customStyle="1" w:styleId="1050">
    <w:name w:val="样式 标题 1 + 段前: 0.5 行"/>
    <w:basedOn w:val="1"/>
    <w:qFormat/>
    <w:pPr>
      <w:keepNext/>
      <w:keepLines/>
      <w:numPr>
        <w:numId w:val="0"/>
      </w:numPr>
      <w:snapToGrid/>
      <w:spacing w:before="156" w:after="160" w:line="440" w:lineRule="exact"/>
      <w:jc w:val="center"/>
    </w:pPr>
    <w:rPr>
      <w:rFonts w:eastAsia="楷体_GB2312" w:cs="宋体"/>
      <w:sz w:val="24"/>
      <w:szCs w:val="20"/>
      <w:lang w:val="zh-CN"/>
    </w:rPr>
  </w:style>
  <w:style w:type="paragraph" w:customStyle="1" w:styleId="font1">
    <w:name w:val="font1"/>
    <w:basedOn w:val="a7"/>
    <w:uiPriority w:val="99"/>
    <w:qFormat/>
    <w:pPr>
      <w:widowControl/>
      <w:spacing w:before="100" w:beforeAutospacing="1" w:after="100" w:afterAutospacing="1" w:line="360" w:lineRule="auto"/>
      <w:ind w:firstLine="482"/>
      <w:jc w:val="left"/>
    </w:pPr>
    <w:rPr>
      <w:rFonts w:ascii="宋体" w:hAnsi="宋体" w:hint="eastAsia"/>
      <w:kern w:val="0"/>
      <w:sz w:val="24"/>
    </w:rPr>
  </w:style>
  <w:style w:type="paragraph" w:customStyle="1" w:styleId="hittop">
    <w:name w:val="hit_top"/>
    <w:basedOn w:val="a7"/>
    <w:qFormat/>
    <w:pPr>
      <w:widowControl/>
      <w:spacing w:after="150" w:line="270" w:lineRule="atLeast"/>
      <w:ind w:right="225" w:firstLine="482"/>
      <w:jc w:val="left"/>
    </w:pPr>
    <w:rPr>
      <w:rFonts w:ascii="宋体" w:hAnsi="宋体" w:cs="宋体"/>
      <w:kern w:val="0"/>
      <w:sz w:val="24"/>
    </w:rPr>
  </w:style>
  <w:style w:type="paragraph" w:customStyle="1" w:styleId="CharCharChar1Char">
    <w:name w:val="Char Char Char1 Char"/>
    <w:basedOn w:val="a7"/>
    <w:qFormat/>
    <w:pPr>
      <w:spacing w:after="160" w:line="278" w:lineRule="auto"/>
    </w:pPr>
    <w:rPr>
      <w:sz w:val="24"/>
    </w:rPr>
  </w:style>
  <w:style w:type="paragraph" w:customStyle="1" w:styleId="Char2CharCharCharCharCharCharCharCharCharCharCharCharCharCharChar11">
    <w:name w:val="Char2 Char Char Char Char Char Char Char Char Char Char Char Char Char Char Char11"/>
    <w:basedOn w:val="a7"/>
    <w:qFormat/>
    <w:pPr>
      <w:spacing w:after="160" w:line="360" w:lineRule="auto"/>
      <w:ind w:firstLine="482"/>
    </w:pPr>
    <w:rPr>
      <w:kern w:val="0"/>
      <w:sz w:val="24"/>
    </w:rPr>
  </w:style>
  <w:style w:type="paragraph" w:customStyle="1" w:styleId="xl229">
    <w:name w:val="xl229"/>
    <w:basedOn w:val="a7"/>
    <w:qFormat/>
    <w:pPr>
      <w:widowControl/>
      <w:pBdr>
        <w:left w:val="single" w:sz="4" w:space="0" w:color="auto"/>
        <w:right w:val="single" w:sz="8" w:space="0" w:color="auto"/>
      </w:pBdr>
      <w:spacing w:before="100" w:beforeAutospacing="1" w:after="100" w:afterAutospacing="1" w:line="278" w:lineRule="auto"/>
      <w:jc w:val="center"/>
      <w:textAlignment w:val="center"/>
    </w:pPr>
    <w:rPr>
      <w:kern w:val="0"/>
      <w:sz w:val="20"/>
      <w:szCs w:val="20"/>
    </w:rPr>
  </w:style>
  <w:style w:type="paragraph" w:customStyle="1" w:styleId="Style2">
    <w:name w:val="_Style 2"/>
    <w:uiPriority w:val="34"/>
    <w:qFormat/>
    <w:pPr>
      <w:widowControl w:val="0"/>
      <w:spacing w:after="160" w:line="278" w:lineRule="auto"/>
      <w:jc w:val="both"/>
    </w:pPr>
    <w:rPr>
      <w:kern w:val="2"/>
      <w:sz w:val="21"/>
      <w:szCs w:val="21"/>
    </w:rPr>
  </w:style>
  <w:style w:type="paragraph" w:customStyle="1" w:styleId="afffffffffffffffffffffffffffffffffff7">
    <w:name w:val="图片"/>
    <w:basedOn w:val="a7"/>
    <w:qFormat/>
    <w:pPr>
      <w:adjustRightInd w:val="0"/>
      <w:snapToGrid w:val="0"/>
      <w:spacing w:after="160" w:line="400" w:lineRule="atLeast"/>
      <w:jc w:val="center"/>
      <w:textAlignment w:val="baseline"/>
    </w:pPr>
    <w:rPr>
      <w:kern w:val="0"/>
      <w:sz w:val="28"/>
      <w:szCs w:val="20"/>
    </w:rPr>
  </w:style>
  <w:style w:type="paragraph" w:customStyle="1" w:styleId="xl127">
    <w:name w:val="xl127"/>
    <w:basedOn w:val="a7"/>
    <w:uiPriority w:val="99"/>
    <w:qFormat/>
    <w:pPr>
      <w:widowControl/>
      <w:shd w:val="clear" w:color="000000" w:fill="FFFFFF"/>
      <w:snapToGrid w:val="0"/>
      <w:spacing w:before="100" w:beforeAutospacing="1" w:after="100" w:afterAutospacing="1" w:line="278" w:lineRule="auto"/>
      <w:jc w:val="left"/>
    </w:pPr>
    <w:rPr>
      <w:rFonts w:ascii="宋体" w:hAnsi="宋体" w:cs="宋体"/>
      <w:color w:val="CCE8CF"/>
      <w:kern w:val="0"/>
      <w:sz w:val="24"/>
    </w:rPr>
  </w:style>
  <w:style w:type="paragraph" w:customStyle="1" w:styleId="afffffffffffffffffffffffffffffffffff8">
    <w:name w:val="参加人员"/>
    <w:basedOn w:val="a7"/>
    <w:qFormat/>
    <w:pPr>
      <w:spacing w:after="160" w:line="500" w:lineRule="atLeast"/>
    </w:pPr>
    <w:rPr>
      <w:sz w:val="24"/>
    </w:rPr>
  </w:style>
  <w:style w:type="paragraph" w:customStyle="1" w:styleId="Char1CharCharCharCharCharCharCharCharCharCharCharChar">
    <w:name w:val="Char1 Char Char Char Char Char Char Char Char Char Char Char Char"/>
    <w:basedOn w:val="a7"/>
    <w:qFormat/>
    <w:pPr>
      <w:spacing w:after="160" w:line="278" w:lineRule="auto"/>
    </w:pPr>
  </w:style>
  <w:style w:type="paragraph" w:customStyle="1" w:styleId="afffffffffffffffffffffffffffffffffff9">
    <w:name w:val="蒲表头"/>
    <w:basedOn w:val="a7"/>
    <w:qFormat/>
    <w:pPr>
      <w:adjustRightInd w:val="0"/>
      <w:snapToGrid w:val="0"/>
      <w:spacing w:after="160" w:line="360" w:lineRule="auto"/>
      <w:ind w:firstLine="482"/>
      <w:jc w:val="center"/>
    </w:pPr>
    <w:rPr>
      <w:color w:val="0000FF"/>
      <w:kern w:val="0"/>
      <w:sz w:val="24"/>
    </w:rPr>
  </w:style>
  <w:style w:type="paragraph" w:customStyle="1" w:styleId="word">
    <w:name w:val="word"/>
    <w:basedOn w:val="a7"/>
    <w:qFormat/>
    <w:pPr>
      <w:spacing w:after="160" w:line="360" w:lineRule="auto"/>
      <w:ind w:firstLineChars="200" w:firstLine="480"/>
    </w:pPr>
    <w:rPr>
      <w:rFonts w:ascii="宋体" w:hAnsi="宋体"/>
      <w:kern w:val="0"/>
      <w:sz w:val="24"/>
    </w:rPr>
  </w:style>
  <w:style w:type="paragraph" w:customStyle="1" w:styleId="xl250">
    <w:name w:val="xl250"/>
    <w:basedOn w:val="a7"/>
    <w:qFormat/>
    <w:pPr>
      <w:widowControl/>
      <w:pBdr>
        <w:top w:val="single" w:sz="4" w:space="0" w:color="auto"/>
        <w:left w:val="single" w:sz="4" w:space="0" w:color="auto"/>
        <w:bottom w:val="single" w:sz="4" w:space="0" w:color="auto"/>
      </w:pBdr>
      <w:spacing w:before="100" w:beforeAutospacing="1" w:after="100" w:afterAutospacing="1" w:line="278" w:lineRule="auto"/>
      <w:jc w:val="center"/>
      <w:textAlignment w:val="center"/>
    </w:pPr>
    <w:rPr>
      <w:rFonts w:ascii="宋体" w:hAnsi="宋体" w:cs="宋体"/>
      <w:b/>
      <w:bCs/>
      <w:kern w:val="0"/>
      <w:sz w:val="18"/>
      <w:szCs w:val="18"/>
    </w:rPr>
  </w:style>
  <w:style w:type="paragraph" w:customStyle="1" w:styleId="NumberedList1">
    <w:name w:val="Numbered List 1"/>
    <w:basedOn w:val="af3"/>
    <w:qFormat/>
    <w:pPr>
      <w:widowControl/>
      <w:tabs>
        <w:tab w:val="left" w:pos="567"/>
      </w:tabs>
      <w:spacing w:after="120" w:line="0" w:lineRule="atLeast"/>
      <w:ind w:left="567" w:firstLineChars="0" w:hanging="567"/>
      <w:jc w:val="left"/>
    </w:pPr>
    <w:rPr>
      <w:rFonts w:cs="Times New Roman"/>
      <w:sz w:val="24"/>
      <w:szCs w:val="20"/>
      <w:u w:val="single"/>
    </w:rPr>
  </w:style>
  <w:style w:type="paragraph" w:customStyle="1" w:styleId="afffffffffffffffffffffffffffffffffffa">
    <w:name w:val="目录标题"/>
    <w:basedOn w:val="a7"/>
    <w:next w:val="a7"/>
    <w:uiPriority w:val="99"/>
    <w:qFormat/>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2fffffe">
    <w:name w:val="样式 正文 + 宋体 五号 首行缩进:  2 字符"/>
    <w:basedOn w:val="a7"/>
    <w:qFormat/>
    <w:pPr>
      <w:spacing w:after="160" w:line="360" w:lineRule="auto"/>
      <w:ind w:firstLineChars="200" w:firstLine="482"/>
      <w:jc w:val="center"/>
    </w:pPr>
    <w:rPr>
      <w:rFonts w:ascii="宋体" w:hAnsi="宋体" w:cs="宋体"/>
      <w:kern w:val="0"/>
      <w:sz w:val="18"/>
      <w:szCs w:val="20"/>
    </w:rPr>
  </w:style>
  <w:style w:type="paragraph" w:customStyle="1" w:styleId="08">
    <w:name w:val="样式 正文文字缩进 + 黑色 段后: 0 磅"/>
    <w:basedOn w:val="aff4"/>
    <w:uiPriority w:val="99"/>
    <w:semiHidden/>
    <w:qFormat/>
    <w:pPr>
      <w:spacing w:after="160"/>
      <w:ind w:leftChars="0" w:left="0" w:firstLine="200"/>
    </w:pPr>
    <w:rPr>
      <w:rFonts w:cs="宋体"/>
      <w:color w:val="000000"/>
      <w:spacing w:val="8"/>
    </w:rPr>
  </w:style>
  <w:style w:type="paragraph" w:customStyle="1" w:styleId="4ff6">
    <w:name w:val="正文 4"/>
    <w:basedOn w:val="a7"/>
    <w:qFormat/>
    <w:pPr>
      <w:adjustRightInd w:val="0"/>
      <w:spacing w:after="180" w:line="320" w:lineRule="exact"/>
      <w:ind w:left="1491" w:firstLine="482"/>
      <w:textAlignment w:val="baseline"/>
    </w:pPr>
    <w:rPr>
      <w:rFonts w:ascii="Arial" w:hAnsi="Arial"/>
      <w:kern w:val="0"/>
      <w:sz w:val="24"/>
      <w:szCs w:val="20"/>
    </w:rPr>
  </w:style>
  <w:style w:type="paragraph" w:customStyle="1" w:styleId="Style34">
    <w:name w:val="Style34"/>
    <w:basedOn w:val="a7"/>
    <w:qFormat/>
    <w:pPr>
      <w:adjustRightInd w:val="0"/>
      <w:spacing w:after="160" w:line="360" w:lineRule="auto"/>
      <w:ind w:firstLine="482"/>
      <w:jc w:val="left"/>
    </w:pPr>
    <w:rPr>
      <w:rFonts w:ascii="宋体"/>
      <w:kern w:val="0"/>
      <w:sz w:val="24"/>
    </w:rPr>
  </w:style>
  <w:style w:type="paragraph" w:customStyle="1" w:styleId="zw">
    <w:name w:val="zw"/>
    <w:basedOn w:val="a7"/>
    <w:qFormat/>
    <w:pPr>
      <w:widowControl/>
      <w:spacing w:before="30" w:after="160" w:line="278" w:lineRule="auto"/>
      <w:ind w:left="100" w:right="100"/>
    </w:pPr>
    <w:rPr>
      <w:rFonts w:ascii="方正书宋简体" w:hAnsi="宋体"/>
      <w:color w:val="000000"/>
      <w:kern w:val="0"/>
    </w:rPr>
  </w:style>
  <w:style w:type="paragraph" w:customStyle="1" w:styleId="CM5">
    <w:name w:val="CM5"/>
    <w:basedOn w:val="Default"/>
    <w:next w:val="Default"/>
    <w:uiPriority w:val="99"/>
    <w:qFormat/>
    <w:pPr>
      <w:spacing w:after="160" w:line="286" w:lineRule="atLeast"/>
    </w:pPr>
    <w:rPr>
      <w:rFonts w:ascii="Arial" w:hAnsi="Arial" w:cs="Arial"/>
      <w:color w:val="auto"/>
    </w:rPr>
  </w:style>
  <w:style w:type="paragraph" w:customStyle="1" w:styleId="1ffffff0">
    <w:name w:val="样式1 + 四号 居中"/>
    <w:basedOn w:val="a7"/>
    <w:qFormat/>
    <w:pPr>
      <w:spacing w:after="160" w:line="336" w:lineRule="auto"/>
      <w:ind w:firstLine="482"/>
      <w:jc w:val="center"/>
    </w:pPr>
    <w:rPr>
      <w:kern w:val="0"/>
      <w:sz w:val="28"/>
      <w:szCs w:val="20"/>
    </w:rPr>
  </w:style>
  <w:style w:type="paragraph" w:customStyle="1" w:styleId="355173">
    <w:name w:val="样式 标题 3 + 宋体 小四 段前: 5 磅 段后: 5 磅 行距: 多倍行距 1.73 字行"/>
    <w:basedOn w:val="31"/>
    <w:uiPriority w:val="99"/>
    <w:semiHidden/>
    <w:qFormat/>
    <w:pPr>
      <w:keepNext/>
      <w:keepLines/>
      <w:numPr>
        <w:ilvl w:val="0"/>
        <w:numId w:val="0"/>
      </w:numPr>
      <w:adjustRightInd/>
      <w:snapToGrid/>
      <w:spacing w:beforeLines="0" w:before="100" w:afterLines="0" w:after="100" w:line="415" w:lineRule="auto"/>
      <w:jc w:val="both"/>
      <w:textAlignment w:val="auto"/>
    </w:pPr>
    <w:rPr>
      <w:rFonts w:ascii="宋体" w:eastAsia="宋体" w:hAnsi="宋体" w:cs="宋体"/>
      <w:color w:val="auto"/>
      <w:kern w:val="0"/>
      <w:sz w:val="24"/>
      <w:szCs w:val="20"/>
      <w:lang w:val="en-US"/>
    </w:rPr>
  </w:style>
  <w:style w:type="paragraph" w:customStyle="1" w:styleId="11d">
    <w:name w:val="纯文本11"/>
    <w:basedOn w:val="a7"/>
    <w:qFormat/>
    <w:pPr>
      <w:snapToGrid w:val="0"/>
      <w:spacing w:after="160" w:line="278" w:lineRule="auto"/>
      <w:jc w:val="left"/>
    </w:pPr>
    <w:rPr>
      <w:rFonts w:ascii="宋体" w:eastAsia="仿宋_GB2312" w:hAnsi="Courier New" w:cs="宋体"/>
      <w:sz w:val="20"/>
      <w:szCs w:val="20"/>
    </w:rPr>
  </w:style>
  <w:style w:type="paragraph" w:customStyle="1" w:styleId="1ffffff1">
    <w:name w:val="样式 标题 1 + 宋体 四号 居中"/>
    <w:basedOn w:val="1"/>
    <w:qFormat/>
    <w:pPr>
      <w:keepNext/>
      <w:keepLines/>
      <w:numPr>
        <w:numId w:val="0"/>
      </w:numPr>
      <w:snapToGrid/>
      <w:spacing w:beforeLines="0" w:before="0" w:after="160" w:line="600" w:lineRule="exact"/>
      <w:jc w:val="center"/>
    </w:pPr>
    <w:rPr>
      <w:rFonts w:eastAsia="楷体_GB2312"/>
      <w:b/>
      <w:color w:val="FF0000"/>
      <w:sz w:val="32"/>
      <w:szCs w:val="28"/>
    </w:rPr>
  </w:style>
  <w:style w:type="paragraph" w:customStyle="1" w:styleId="xl31">
    <w:name w:val="xl31"/>
    <w:basedOn w:val="a7"/>
    <w:uiPriority w:val="99"/>
    <w:qFormat/>
    <w:pPr>
      <w:widowControl/>
      <w:adjustRightInd w:val="0"/>
      <w:spacing w:before="100" w:beforeAutospacing="1" w:after="100" w:afterAutospacing="1" w:line="480" w:lineRule="exact"/>
      <w:ind w:firstLine="482"/>
      <w:jc w:val="center"/>
      <w:textAlignment w:val="baseline"/>
    </w:pPr>
    <w:rPr>
      <w:spacing w:val="-2"/>
      <w:kern w:val="0"/>
      <w:sz w:val="24"/>
      <w:szCs w:val="20"/>
    </w:rPr>
  </w:style>
  <w:style w:type="paragraph" w:customStyle="1" w:styleId="CharCharCharChar4">
    <w:name w:val="Char Char Char Char4"/>
    <w:basedOn w:val="af9"/>
    <w:qFormat/>
    <w:pPr>
      <w:widowControl/>
      <w:adjustRightInd w:val="0"/>
      <w:snapToGrid w:val="0"/>
      <w:spacing w:after="160"/>
      <w:ind w:firstLineChars="0" w:firstLine="0"/>
      <w:jc w:val="left"/>
    </w:pPr>
    <w:rPr>
      <w:rFonts w:ascii="Tahoma" w:hAnsi="Tahoma" w:cs="宋体"/>
      <w:kern w:val="0"/>
      <w:szCs w:val="21"/>
    </w:rPr>
  </w:style>
  <w:style w:type="paragraph" w:customStyle="1" w:styleId="xl123">
    <w:name w:val="xl123"/>
    <w:basedOn w:val="a7"/>
    <w:uiPriority w:val="99"/>
    <w:qFormat/>
    <w:pPr>
      <w:widowControl/>
      <w:shd w:val="clear" w:color="000000" w:fill="FFFFFF"/>
      <w:snapToGrid w:val="0"/>
      <w:spacing w:before="100" w:beforeAutospacing="1" w:after="100" w:afterAutospacing="1" w:line="278" w:lineRule="auto"/>
      <w:jc w:val="right"/>
    </w:pPr>
    <w:rPr>
      <w:rFonts w:ascii="宋体" w:hAnsi="宋体" w:cs="宋体"/>
      <w:color w:val="C414B7"/>
      <w:kern w:val="0"/>
      <w:sz w:val="24"/>
    </w:rPr>
  </w:style>
  <w:style w:type="paragraph" w:customStyle="1" w:styleId="ST2036">
    <w:name w:val="ST20_36"/>
    <w:basedOn w:val="afff3"/>
    <w:qFormat/>
    <w:pPr>
      <w:keepLines/>
      <w:pBdr>
        <w:bottom w:val="none" w:sz="0" w:space="0" w:color="auto"/>
      </w:pBdr>
      <w:tabs>
        <w:tab w:val="clear" w:pos="4153"/>
        <w:tab w:val="clear" w:pos="8306"/>
        <w:tab w:val="center" w:pos="4320"/>
        <w:tab w:val="right" w:pos="8640"/>
      </w:tabs>
      <w:autoSpaceDE w:val="0"/>
      <w:autoSpaceDN w:val="0"/>
      <w:adjustRightInd w:val="0"/>
      <w:snapToGrid/>
      <w:spacing w:after="160" w:line="360" w:lineRule="atLeast"/>
      <w:ind w:firstLineChars="200" w:firstLine="200"/>
      <w:jc w:val="left"/>
      <w:textAlignment w:val="baseline"/>
    </w:pPr>
    <w:rPr>
      <w:rFonts w:ascii="宋体" w:hAnsi="Tms Rmn"/>
      <w:kern w:val="0"/>
      <w:sz w:val="28"/>
      <w:szCs w:val="20"/>
    </w:rPr>
  </w:style>
  <w:style w:type="paragraph" w:customStyle="1" w:styleId="afffffffffffffffffffffffffffffffffffb">
    <w:name w:val="标题后正文"/>
    <w:basedOn w:val="a7"/>
    <w:qFormat/>
    <w:pPr>
      <w:adjustRightInd w:val="0"/>
      <w:spacing w:after="160" w:line="360" w:lineRule="auto"/>
      <w:ind w:firstLineChars="200" w:firstLine="200"/>
      <w:textAlignment w:val="baseline"/>
    </w:pPr>
    <w:rPr>
      <w:rFonts w:ascii="Arial" w:hAnsi="Arial"/>
      <w:snapToGrid w:val="0"/>
      <w:kern w:val="28"/>
      <w:sz w:val="24"/>
      <w:szCs w:val="20"/>
    </w:rPr>
  </w:style>
  <w:style w:type="paragraph" w:customStyle="1" w:styleId="xl141">
    <w:name w:val="xl141"/>
    <w:basedOn w:val="a7"/>
    <w:uiPriority w:val="99"/>
    <w:qFormat/>
    <w:pPr>
      <w:widowControl/>
      <w:pBdr>
        <w:left w:val="single" w:sz="4" w:space="0" w:color="auto"/>
        <w:bottom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28">
    <w:name w:val="xl2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482"/>
      <w:jc w:val="center"/>
      <w:textAlignment w:val="center"/>
    </w:pPr>
    <w:rPr>
      <w:rFonts w:ascii="Arial Unicode MS" w:hAnsi="Arial Unicode MS"/>
      <w:kern w:val="0"/>
      <w:sz w:val="24"/>
    </w:rPr>
  </w:style>
  <w:style w:type="paragraph" w:customStyle="1" w:styleId="afffffffffffffffffffffffffffffffffffc">
    <w:name w:val="表编号"/>
    <w:next w:val="a7"/>
    <w:qFormat/>
    <w:pPr>
      <w:widowControl w:val="0"/>
      <w:tabs>
        <w:tab w:val="right" w:pos="7995"/>
      </w:tabs>
      <w:adjustRightInd w:val="0"/>
      <w:spacing w:after="160" w:line="0" w:lineRule="atLeast"/>
      <w:ind w:left="227"/>
      <w:textAlignment w:val="baseline"/>
    </w:pPr>
    <w:rPr>
      <w:rFonts w:ascii="Arial" w:hAnsi="Arial"/>
      <w:sz w:val="24"/>
    </w:rPr>
  </w:style>
  <w:style w:type="paragraph" w:customStyle="1" w:styleId="afffffffffffffffffffffffffffffffffffd">
    <w:name w:val="【表格】"/>
    <w:next w:val="affff7"/>
    <w:uiPriority w:val="99"/>
    <w:qFormat/>
    <w:pPr>
      <w:spacing w:after="160" w:line="278" w:lineRule="auto"/>
      <w:jc w:val="center"/>
    </w:pPr>
    <w:rPr>
      <w:sz w:val="21"/>
      <w:szCs w:val="24"/>
    </w:rPr>
  </w:style>
  <w:style w:type="paragraph" w:customStyle="1" w:styleId="Char130">
    <w:name w:val="Char13"/>
    <w:basedOn w:val="a7"/>
    <w:qFormat/>
    <w:pPr>
      <w:spacing w:after="160" w:line="360" w:lineRule="auto"/>
      <w:ind w:firstLine="482"/>
    </w:pPr>
    <w:rPr>
      <w:kern w:val="0"/>
      <w:sz w:val="24"/>
    </w:rPr>
  </w:style>
  <w:style w:type="paragraph" w:customStyle="1" w:styleId="afffffffffffffffffffffffffffffffffffe">
    <w:name w:val="表中正文居中"/>
    <w:semiHidden/>
    <w:qFormat/>
    <w:pPr>
      <w:spacing w:before="120" w:after="120" w:line="240" w:lineRule="atLeast"/>
      <w:jc w:val="center"/>
    </w:pPr>
    <w:rPr>
      <w:rFonts w:ascii="宋体"/>
      <w:kern w:val="2"/>
      <w:sz w:val="21"/>
    </w:rPr>
  </w:style>
  <w:style w:type="paragraph" w:customStyle="1" w:styleId="affffffffffffffffffffffffffffffffffff">
    <w:name w:val="表格文字加粗"/>
    <w:basedOn w:val="a7"/>
    <w:qFormat/>
    <w:pPr>
      <w:adjustRightInd w:val="0"/>
      <w:spacing w:after="120" w:line="278" w:lineRule="auto"/>
      <w:jc w:val="center"/>
    </w:pPr>
    <w:rPr>
      <w:b/>
      <w:color w:val="0000FF"/>
      <w:lang w:val="zh-CN"/>
    </w:rPr>
  </w:style>
  <w:style w:type="paragraph" w:customStyle="1" w:styleId="4TimesNewRoman24">
    <w:name w:val="样式 标题 4 + (西文) Times New Roman (中文) 宋体 四号 行距: 固定值 24 磅"/>
    <w:basedOn w:val="41"/>
    <w:qFormat/>
    <w:pPr>
      <w:keepNext/>
      <w:keepLines/>
      <w:numPr>
        <w:ilvl w:val="0"/>
        <w:numId w:val="0"/>
      </w:numPr>
      <w:tabs>
        <w:tab w:val="clear" w:pos="864"/>
        <w:tab w:val="left" w:pos="851"/>
        <w:tab w:val="left" w:pos="1290"/>
      </w:tabs>
      <w:adjustRightInd/>
      <w:snapToGrid/>
      <w:spacing w:beforeLines="0" w:before="280" w:afterLines="0" w:after="290" w:line="500" w:lineRule="exact"/>
      <w:ind w:left="851" w:hanging="851"/>
      <w:jc w:val="both"/>
      <w:textAlignment w:val="auto"/>
    </w:pPr>
    <w:rPr>
      <w:rFonts w:eastAsia="宋体" w:cs="宋体"/>
      <w:color w:val="auto"/>
      <w:szCs w:val="20"/>
      <w:lang w:val="en-US"/>
    </w:rPr>
  </w:style>
  <w:style w:type="paragraph" w:customStyle="1" w:styleId="CharChar1Char1">
    <w:name w:val="Char Char1 Char1"/>
    <w:basedOn w:val="a7"/>
    <w:uiPriority w:val="99"/>
    <w:qFormat/>
    <w:pPr>
      <w:spacing w:after="160" w:line="360" w:lineRule="auto"/>
      <w:ind w:firstLine="482"/>
    </w:pPr>
    <w:rPr>
      <w:kern w:val="0"/>
      <w:sz w:val="24"/>
    </w:rPr>
  </w:style>
  <w:style w:type="paragraph" w:customStyle="1" w:styleId="Normal23">
    <w:name w:val="Normal_23"/>
    <w:qFormat/>
    <w:pPr>
      <w:spacing w:before="120" w:after="240" w:line="278" w:lineRule="auto"/>
      <w:jc w:val="both"/>
    </w:pPr>
    <w:rPr>
      <w:rFonts w:ascii="Calibri" w:eastAsia="Calibri" w:hAnsi="Calibri"/>
      <w:sz w:val="22"/>
      <w:szCs w:val="22"/>
      <w:lang w:eastAsia="en-US"/>
    </w:rPr>
  </w:style>
  <w:style w:type="paragraph" w:customStyle="1" w:styleId="78">
    <w:name w:val="7"/>
    <w:basedOn w:val="a7"/>
    <w:next w:val="aff8"/>
    <w:qFormat/>
    <w:pPr>
      <w:spacing w:after="160" w:line="360" w:lineRule="auto"/>
      <w:ind w:firstLine="482"/>
    </w:pPr>
    <w:rPr>
      <w:rFonts w:ascii="宋体" w:hAnsi="Courier New"/>
      <w:kern w:val="0"/>
      <w:sz w:val="24"/>
      <w:szCs w:val="20"/>
    </w:rPr>
  </w:style>
  <w:style w:type="paragraph" w:customStyle="1" w:styleId="CharChar7CharCharCharChar5">
    <w:name w:val="Char Char7 Char Char Char Char5"/>
    <w:basedOn w:val="a7"/>
    <w:qFormat/>
    <w:pPr>
      <w:snapToGrid w:val="0"/>
      <w:spacing w:after="160" w:line="278" w:lineRule="auto"/>
      <w:jc w:val="left"/>
    </w:pPr>
    <w:rPr>
      <w:sz w:val="24"/>
    </w:rPr>
  </w:style>
  <w:style w:type="paragraph" w:customStyle="1" w:styleId="affffffffffffffffffffffffffffffffffff0">
    <w:name w:val="表号文字"/>
    <w:basedOn w:val="a7"/>
    <w:qFormat/>
    <w:pPr>
      <w:adjustRightInd w:val="0"/>
      <w:snapToGrid w:val="0"/>
      <w:spacing w:before="120" w:after="160" w:line="300" w:lineRule="auto"/>
      <w:ind w:firstLine="482"/>
      <w:jc w:val="left"/>
    </w:pPr>
    <w:rPr>
      <w:rFonts w:eastAsia="黑体"/>
      <w:kern w:val="0"/>
      <w:sz w:val="24"/>
    </w:rPr>
  </w:style>
  <w:style w:type="paragraph" w:customStyle="1" w:styleId="Items">
    <w:name w:val="Items"/>
    <w:basedOn w:val="a7"/>
    <w:qFormat/>
    <w:pPr>
      <w:tabs>
        <w:tab w:val="left" w:pos="720"/>
        <w:tab w:val="left" w:pos="992"/>
      </w:tabs>
      <w:spacing w:before="10" w:after="20" w:line="460" w:lineRule="atLeast"/>
      <w:ind w:left="992" w:hanging="425"/>
    </w:pPr>
    <w:rPr>
      <w:rFonts w:ascii="Tahoma" w:eastAsia="华文中宋" w:hAnsi="Tahoma"/>
      <w:sz w:val="28"/>
      <w:szCs w:val="20"/>
    </w:rPr>
  </w:style>
  <w:style w:type="paragraph" w:customStyle="1" w:styleId="xl63">
    <w:name w:val="xl63"/>
    <w:basedOn w:val="a7"/>
    <w:uiPriority w:val="99"/>
    <w:qFormat/>
    <w:pPr>
      <w:widowControl/>
      <w:spacing w:before="100" w:after="100" w:line="360" w:lineRule="auto"/>
      <w:ind w:firstLine="482"/>
      <w:jc w:val="center"/>
      <w:textAlignment w:val="center"/>
    </w:pPr>
    <w:rPr>
      <w:rFonts w:ascii="黑体" w:eastAsia="黑体" w:hAnsi="宋体" w:hint="eastAsia"/>
      <w:kern w:val="0"/>
      <w:sz w:val="24"/>
      <w:szCs w:val="20"/>
    </w:rPr>
  </w:style>
  <w:style w:type="paragraph" w:customStyle="1" w:styleId="ST2023">
    <w:name w:val="ST20_23"/>
    <w:basedOn w:val="ST2011"/>
    <w:next w:val="ST209"/>
    <w:qFormat/>
    <w:pPr>
      <w:keepLines/>
      <w:spacing w:after="0"/>
      <w:ind w:right="4320"/>
    </w:pPr>
  </w:style>
  <w:style w:type="paragraph" w:customStyle="1" w:styleId="2ffffff">
    <w:name w:val="样式 正文文本正文文字 + 首行缩进:  2 字符 行距: 单倍行距"/>
    <w:basedOn w:val="aff2"/>
    <w:uiPriority w:val="99"/>
    <w:qFormat/>
    <w:pPr>
      <w:adjustRightInd w:val="0"/>
      <w:snapToGrid w:val="0"/>
      <w:spacing w:before="60" w:after="60" w:line="278" w:lineRule="auto"/>
      <w:ind w:left="0" w:firstLineChars="200" w:firstLine="439"/>
      <w:textAlignment w:val="baseline"/>
    </w:pPr>
    <w:rPr>
      <w:rFonts w:ascii="Times New Roman" w:hAnsi="Times New Roman" w:cs="宋体"/>
      <w:szCs w:val="21"/>
      <w:lang w:eastAsia="zh-CN"/>
    </w:rPr>
  </w:style>
  <w:style w:type="paragraph" w:customStyle="1" w:styleId="affffffffffffffffffffffffffffffffffff1">
    <w:name w:val="表头名称"/>
    <w:basedOn w:val="af3"/>
    <w:qFormat/>
    <w:pPr>
      <w:autoSpaceDE w:val="0"/>
      <w:autoSpaceDN w:val="0"/>
      <w:adjustRightInd w:val="0"/>
      <w:spacing w:after="160"/>
      <w:ind w:firstLineChars="0" w:firstLine="0"/>
      <w:jc w:val="center"/>
    </w:pPr>
    <w:rPr>
      <w:rFonts w:ascii="黑体" w:eastAsia="黑体" w:hAnsi="宋体" w:cs="Times New Roman"/>
      <w:kern w:val="0"/>
      <w:sz w:val="24"/>
      <w:szCs w:val="20"/>
    </w:rPr>
  </w:style>
  <w:style w:type="paragraph" w:customStyle="1" w:styleId="00042">
    <w:name w:val="样式 0004正文 + 首行缩进:  2 字符"/>
    <w:basedOn w:val="0004"/>
    <w:qFormat/>
    <w:pPr>
      <w:spacing w:afterLines="20" w:after="62"/>
      <w:ind w:firstLine="560"/>
    </w:pPr>
    <w:rPr>
      <w:rFonts w:cs="宋体"/>
      <w:szCs w:val="20"/>
    </w:rPr>
  </w:style>
  <w:style w:type="paragraph" w:customStyle="1" w:styleId="xl166">
    <w:name w:val="xl166"/>
    <w:basedOn w:val="a7"/>
    <w:qFormat/>
    <w:pPr>
      <w:widowControl/>
      <w:pBdr>
        <w:top w:val="single" w:sz="4" w:space="0" w:color="auto"/>
        <w:right w:val="single" w:sz="4" w:space="0" w:color="auto"/>
      </w:pBdr>
      <w:shd w:val="clear" w:color="000000" w:fill="CCE8C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affffffffffffffffffffffffffffffffffff2">
    <w:name w:val="报告"/>
    <w:basedOn w:val="a7"/>
    <w:qFormat/>
    <w:pPr>
      <w:autoSpaceDE w:val="0"/>
      <w:autoSpaceDN w:val="0"/>
      <w:adjustRightInd w:val="0"/>
      <w:spacing w:after="160" w:line="360" w:lineRule="auto"/>
      <w:ind w:firstLine="505"/>
      <w:jc w:val="left"/>
      <w:textAlignment w:val="baseline"/>
    </w:pPr>
    <w:rPr>
      <w:kern w:val="0"/>
      <w:sz w:val="24"/>
      <w:szCs w:val="20"/>
    </w:rPr>
  </w:style>
  <w:style w:type="paragraph" w:customStyle="1" w:styleId="affffffffffffffffffffffffffffffffffff3">
    <w:name w:val="自由格式"/>
    <w:basedOn w:val="a7"/>
    <w:uiPriority w:val="99"/>
    <w:qFormat/>
    <w:pPr>
      <w:spacing w:after="160" w:line="278" w:lineRule="auto"/>
      <w:ind w:firstLineChars="200" w:firstLine="600"/>
    </w:pPr>
    <w:rPr>
      <w:rFonts w:ascii="仿宋_GB2312" w:eastAsia="仿宋_GB2312"/>
      <w:sz w:val="30"/>
      <w:szCs w:val="30"/>
    </w:rPr>
  </w:style>
  <w:style w:type="paragraph" w:customStyle="1" w:styleId="8a">
    <w:name w:val="8"/>
    <w:basedOn w:val="a7"/>
    <w:next w:val="affff2"/>
    <w:qFormat/>
    <w:pPr>
      <w:widowControl/>
      <w:snapToGrid w:val="0"/>
      <w:spacing w:before="100" w:beforeAutospacing="1" w:after="100" w:afterAutospacing="1" w:line="278" w:lineRule="auto"/>
      <w:jc w:val="left"/>
    </w:pPr>
    <w:rPr>
      <w:rFonts w:ascii="宋体" w:hAnsi="宋体"/>
      <w:color w:val="000066"/>
      <w:kern w:val="0"/>
      <w:sz w:val="24"/>
      <w:szCs w:val="20"/>
    </w:rPr>
  </w:style>
  <w:style w:type="paragraph" w:customStyle="1" w:styleId="3096">
    <w:name w:val="样式 样式3 + 首行缩进:  0.96 字符"/>
    <w:basedOn w:val="3f3"/>
    <w:qFormat/>
    <w:pPr>
      <w:keepNext/>
      <w:keepLines/>
      <w:autoSpaceDE/>
      <w:autoSpaceDN/>
      <w:snapToGrid/>
      <w:spacing w:beforeLines="50" w:before="156" w:line="360" w:lineRule="auto"/>
      <w:ind w:rightChars="-42" w:right="-126" w:firstLineChars="0" w:firstLine="482"/>
    </w:pPr>
    <w:rPr>
      <w:rFonts w:eastAsia="宋体" w:cs="宋体"/>
      <w:b/>
      <w:bCs/>
      <w:color w:val="000000"/>
      <w:kern w:val="0"/>
      <w:sz w:val="88"/>
      <w:szCs w:val="84"/>
    </w:rPr>
  </w:style>
  <w:style w:type="paragraph" w:customStyle="1" w:styleId="CharCharCharCharCharCharCharCharCharCharChar1CharCharCharCharCharCharChar">
    <w:name w:val="Char Char Char Char Char Char Char Char Char Char Char1 Char Char Char Char Char Char Char"/>
    <w:basedOn w:val="a7"/>
    <w:qFormat/>
    <w:pPr>
      <w:spacing w:after="160" w:line="360" w:lineRule="auto"/>
      <w:ind w:firstLine="482"/>
    </w:pPr>
    <w:rPr>
      <w:kern w:val="0"/>
      <w:sz w:val="24"/>
    </w:rPr>
  </w:style>
  <w:style w:type="paragraph" w:customStyle="1" w:styleId="affffffffffffffffffffffffffffffffffff4">
    <w:name w:val="样式 五号 蓝色 居中 行距: 单倍行距"/>
    <w:basedOn w:val="a7"/>
    <w:qFormat/>
    <w:pPr>
      <w:adjustRightInd w:val="0"/>
      <w:spacing w:after="160" w:line="360" w:lineRule="auto"/>
      <w:ind w:firstLine="482"/>
      <w:jc w:val="center"/>
      <w:textAlignment w:val="baseline"/>
    </w:pPr>
    <w:rPr>
      <w:kern w:val="0"/>
      <w:sz w:val="24"/>
    </w:rPr>
  </w:style>
  <w:style w:type="paragraph" w:customStyle="1" w:styleId="Char110">
    <w:name w:val="Char11"/>
    <w:basedOn w:val="a7"/>
    <w:qFormat/>
    <w:pPr>
      <w:spacing w:after="160" w:line="360" w:lineRule="auto"/>
      <w:ind w:firstLine="482"/>
    </w:pPr>
    <w:rPr>
      <w:kern w:val="0"/>
      <w:sz w:val="24"/>
    </w:rPr>
  </w:style>
  <w:style w:type="paragraph" w:customStyle="1" w:styleId="24122">
    <w:name w:val="样式 小二 加粗 居中 段前: 24 磅 段后: 12 磅2"/>
    <w:basedOn w:val="a7"/>
    <w:qFormat/>
    <w:pPr>
      <w:adjustRightInd w:val="0"/>
      <w:snapToGrid w:val="0"/>
      <w:spacing w:before="480" w:after="240" w:line="300" w:lineRule="auto"/>
      <w:ind w:firstLineChars="200" w:firstLine="420"/>
      <w:jc w:val="center"/>
    </w:pPr>
    <w:rPr>
      <w:rFonts w:cs="宋体"/>
      <w:bCs/>
      <w:kern w:val="0"/>
      <w:sz w:val="24"/>
      <w:szCs w:val="20"/>
    </w:rPr>
  </w:style>
  <w:style w:type="paragraph" w:customStyle="1" w:styleId="CM14">
    <w:name w:val="CM14"/>
    <w:basedOn w:val="a7"/>
    <w:next w:val="a7"/>
    <w:uiPriority w:val="99"/>
    <w:qFormat/>
    <w:pPr>
      <w:autoSpaceDE w:val="0"/>
      <w:autoSpaceDN w:val="0"/>
      <w:adjustRightInd w:val="0"/>
      <w:snapToGrid w:val="0"/>
      <w:spacing w:after="255" w:line="278" w:lineRule="auto"/>
      <w:jc w:val="left"/>
    </w:pPr>
    <w:rPr>
      <w:rFonts w:ascii="Arial" w:hAnsi="Arial" w:cs="Arial"/>
      <w:kern w:val="0"/>
      <w:sz w:val="24"/>
    </w:rPr>
  </w:style>
  <w:style w:type="paragraph" w:customStyle="1" w:styleId="affffffffffffffffffffffffffffffffffff5">
    <w:name w:val="图表标题用字体"/>
    <w:basedOn w:val="a7"/>
    <w:next w:val="a7"/>
    <w:qFormat/>
    <w:pPr>
      <w:snapToGrid w:val="0"/>
      <w:spacing w:after="160" w:line="360" w:lineRule="auto"/>
      <w:jc w:val="center"/>
    </w:pPr>
    <w:rPr>
      <w:b/>
      <w:kern w:val="0"/>
      <w:sz w:val="24"/>
    </w:rPr>
  </w:style>
  <w:style w:type="paragraph" w:customStyle="1" w:styleId="NormalText2">
    <w:name w:val="Normal Text 2"/>
    <w:basedOn w:val="a7"/>
    <w:uiPriority w:val="99"/>
    <w:qFormat/>
    <w:pPr>
      <w:widowControl/>
      <w:snapToGrid w:val="0"/>
      <w:spacing w:before="60" w:after="60" w:line="278" w:lineRule="auto"/>
      <w:ind w:left="397"/>
      <w:jc w:val="left"/>
    </w:pPr>
    <w:rPr>
      <w:kern w:val="0"/>
      <w:sz w:val="20"/>
      <w:szCs w:val="20"/>
      <w:lang w:eastAsia="en-US"/>
    </w:rPr>
  </w:style>
  <w:style w:type="paragraph" w:customStyle="1" w:styleId="12Char">
    <w:name w:val="12 Char"/>
    <w:basedOn w:val="a7"/>
    <w:qFormat/>
    <w:pPr>
      <w:spacing w:after="160" w:line="360" w:lineRule="auto"/>
      <w:ind w:firstLineChars="200" w:firstLine="200"/>
      <w:jc w:val="left"/>
    </w:pPr>
    <w:rPr>
      <w:rFonts w:ascii="宋体" w:hAnsi="宋体"/>
      <w:kern w:val="0"/>
      <w:position w:val="-6"/>
      <w:sz w:val="28"/>
      <w:szCs w:val="20"/>
      <w:u w:val="single"/>
    </w:rPr>
  </w:style>
  <w:style w:type="paragraph" w:customStyle="1" w:styleId="2ffffff0">
    <w:name w:val="2"/>
    <w:basedOn w:val="a7"/>
    <w:next w:val="37"/>
    <w:qFormat/>
    <w:pPr>
      <w:widowControl/>
      <w:spacing w:after="200" w:line="276" w:lineRule="auto"/>
      <w:ind w:firstLine="560"/>
      <w:jc w:val="left"/>
    </w:pPr>
    <w:rPr>
      <w:kern w:val="0"/>
      <w:sz w:val="28"/>
      <w:szCs w:val="20"/>
      <w:lang w:eastAsia="en-US" w:bidi="en-US"/>
    </w:rPr>
  </w:style>
  <w:style w:type="paragraph" w:customStyle="1" w:styleId="1ffffff2">
    <w:name w:val="修订1"/>
    <w:uiPriority w:val="99"/>
    <w:unhideWhenUsed/>
    <w:qFormat/>
    <w:pPr>
      <w:spacing w:after="160" w:line="278" w:lineRule="auto"/>
    </w:pPr>
    <w:rPr>
      <w:rFonts w:ascii="宋体"/>
      <w:sz w:val="24"/>
    </w:rPr>
  </w:style>
  <w:style w:type="paragraph" w:customStyle="1" w:styleId="2ffffff1">
    <w:name w:val="设计封面编号宋2"/>
    <w:basedOn w:val="1ffffc"/>
    <w:next w:val="afffffffffffffffffffffffffffffffff3"/>
    <w:qFormat/>
    <w:rPr>
      <w:rFonts w:eastAsia="宋体"/>
      <w:sz w:val="44"/>
    </w:rPr>
  </w:style>
  <w:style w:type="paragraph" w:customStyle="1" w:styleId="xl42">
    <w:name w:val="xl42"/>
    <w:basedOn w:val="a7"/>
    <w:uiPriority w:val="99"/>
    <w:qFormat/>
    <w:pPr>
      <w:widowControl/>
      <w:pBdr>
        <w:top w:val="single" w:sz="4" w:space="0" w:color="auto"/>
        <w:left w:val="single" w:sz="4" w:space="0" w:color="auto"/>
        <w:bottom w:val="single" w:sz="4" w:space="0" w:color="auto"/>
      </w:pBdr>
      <w:spacing w:before="100" w:after="100" w:line="360" w:lineRule="auto"/>
      <w:ind w:firstLine="482"/>
      <w:jc w:val="center"/>
      <w:textAlignment w:val="center"/>
    </w:pPr>
    <w:rPr>
      <w:kern w:val="0"/>
      <w:sz w:val="28"/>
      <w:szCs w:val="28"/>
    </w:rPr>
  </w:style>
  <w:style w:type="paragraph" w:customStyle="1" w:styleId="4ff7">
    <w:name w:val="标题正4"/>
    <w:basedOn w:val="a7"/>
    <w:uiPriority w:val="99"/>
    <w:qFormat/>
    <w:pPr>
      <w:spacing w:after="160" w:line="300" w:lineRule="exact"/>
      <w:jc w:val="center"/>
    </w:pPr>
    <w:rPr>
      <w:rFonts w:ascii="宋体" w:hAnsi="宋体"/>
      <w:color w:val="000000"/>
    </w:rPr>
  </w:style>
  <w:style w:type="paragraph" w:customStyle="1" w:styleId="affffffffffffffffffffffffffffffffffff6">
    <w:name w:val="小节"/>
    <w:basedOn w:val="a7"/>
    <w:next w:val="a7"/>
    <w:qFormat/>
    <w:pPr>
      <w:autoSpaceDE w:val="0"/>
      <w:autoSpaceDN w:val="0"/>
      <w:adjustRightInd w:val="0"/>
      <w:spacing w:before="120" w:after="120" w:line="278" w:lineRule="auto"/>
      <w:outlineLvl w:val="2"/>
    </w:pPr>
    <w:rPr>
      <w:rFonts w:eastAsia="仿宋_GB2312"/>
      <w:kern w:val="0"/>
      <w:sz w:val="28"/>
      <w:szCs w:val="20"/>
    </w:rPr>
  </w:style>
  <w:style w:type="paragraph" w:customStyle="1" w:styleId="22f1">
    <w:name w:val="正文文本 22"/>
    <w:basedOn w:val="a7"/>
    <w:qFormat/>
    <w:pPr>
      <w:widowControl/>
      <w:adjustRightInd w:val="0"/>
      <w:spacing w:after="200" w:line="276" w:lineRule="auto"/>
      <w:ind w:firstLine="600"/>
      <w:jc w:val="left"/>
      <w:textAlignment w:val="baseline"/>
    </w:pPr>
    <w:rPr>
      <w:kern w:val="24"/>
      <w:sz w:val="30"/>
      <w:szCs w:val="20"/>
      <w:lang w:eastAsia="en-US" w:bidi="en-US"/>
    </w:rPr>
  </w:style>
  <w:style w:type="paragraph" w:customStyle="1" w:styleId="428">
    <w:name w:val="样式 标题 4 + 首行缩进:  28 磅"/>
    <w:basedOn w:val="41"/>
    <w:qFormat/>
    <w:pPr>
      <w:keepNext/>
      <w:keepLines/>
      <w:numPr>
        <w:ilvl w:val="0"/>
        <w:numId w:val="0"/>
      </w:numPr>
      <w:tabs>
        <w:tab w:val="clear" w:pos="864"/>
        <w:tab w:val="left" w:pos="360"/>
      </w:tabs>
      <w:adjustRightInd/>
      <w:snapToGrid/>
      <w:spacing w:beforeLines="0" w:before="0" w:afterLines="0" w:after="0" w:line="240" w:lineRule="auto"/>
      <w:jc w:val="both"/>
      <w:textAlignment w:val="auto"/>
    </w:pPr>
    <w:rPr>
      <w:rFonts w:ascii="仿宋_GB2312" w:eastAsia="仿宋_GB2312" w:hAnsi="Arial" w:cs="宋体"/>
      <w:bCs w:val="0"/>
      <w:color w:val="auto"/>
      <w:szCs w:val="20"/>
      <w:lang w:val="en-US"/>
    </w:rPr>
  </w:style>
  <w:style w:type="paragraph" w:customStyle="1" w:styleId="Style4">
    <w:name w:val="_Style 4"/>
    <w:basedOn w:val="a7"/>
    <w:qFormat/>
    <w:pPr>
      <w:widowControl/>
      <w:spacing w:after="160" w:line="240" w:lineRule="exact"/>
      <w:ind w:firstLine="482"/>
      <w:jc w:val="left"/>
    </w:pPr>
    <w:rPr>
      <w:kern w:val="0"/>
      <w:sz w:val="24"/>
    </w:rPr>
  </w:style>
  <w:style w:type="paragraph" w:customStyle="1" w:styleId="ListNumber51">
    <w:name w:val="List Number 51"/>
    <w:basedOn w:val="a7"/>
    <w:qFormat/>
    <w:pPr>
      <w:tabs>
        <w:tab w:val="left" w:pos="720"/>
      </w:tabs>
      <w:spacing w:after="160" w:line="278" w:lineRule="auto"/>
      <w:ind w:left="720" w:hanging="720"/>
    </w:pPr>
    <w:rPr>
      <w:szCs w:val="20"/>
    </w:rPr>
  </w:style>
  <w:style w:type="paragraph" w:customStyle="1" w:styleId="CharChar1CharCharCharChar">
    <w:name w:val="Char Char1 Char Char Char Char"/>
    <w:basedOn w:val="a7"/>
    <w:next w:val="a7"/>
    <w:qFormat/>
    <w:pPr>
      <w:snapToGrid w:val="0"/>
      <w:spacing w:after="160" w:line="360" w:lineRule="auto"/>
      <w:ind w:leftChars="150" w:left="150" w:firstLineChars="200" w:firstLine="200"/>
      <w:jc w:val="left"/>
    </w:pPr>
    <w:rPr>
      <w:rFonts w:ascii="宋体" w:hAnsi="宋体" w:cs="宋体"/>
      <w:sz w:val="24"/>
    </w:rPr>
  </w:style>
  <w:style w:type="paragraph" w:customStyle="1" w:styleId="xl213">
    <w:name w:val="xl213"/>
    <w:basedOn w:val="a7"/>
    <w:qFormat/>
    <w:pPr>
      <w:widowControl/>
      <w:pBdr>
        <w:left w:val="single" w:sz="4" w:space="0" w:color="auto"/>
        <w:right w:val="single" w:sz="4" w:space="0" w:color="auto"/>
      </w:pBdr>
      <w:spacing w:before="100" w:after="100" w:line="360" w:lineRule="auto"/>
      <w:jc w:val="left"/>
    </w:pPr>
    <w:rPr>
      <w:rFonts w:ascii="Arial" w:eastAsia="Arial Unicode MS" w:hAnsi="Arial"/>
      <w:b/>
      <w:kern w:val="0"/>
      <w:sz w:val="24"/>
      <w:szCs w:val="20"/>
    </w:rPr>
  </w:style>
  <w:style w:type="paragraph" w:customStyle="1" w:styleId="affffffffffffffffffffffffffffffffffff7">
    <w:name w:val="表头 + 居中"/>
    <w:basedOn w:val="a7"/>
    <w:next w:val="a7"/>
    <w:qFormat/>
    <w:pPr>
      <w:keepNext/>
      <w:keepLines/>
      <w:spacing w:beforeLines="50" w:before="156" w:afterLines="50" w:after="156" w:line="360" w:lineRule="auto"/>
      <w:ind w:firstLine="482"/>
      <w:jc w:val="center"/>
    </w:pPr>
    <w:rPr>
      <w:rFonts w:ascii="Arial" w:eastAsia="黑体" w:hAnsi="Arial"/>
      <w:kern w:val="0"/>
      <w:sz w:val="24"/>
    </w:rPr>
  </w:style>
  <w:style w:type="paragraph" w:customStyle="1" w:styleId="21b">
    <w:name w:val="标题 2 蓝四号1"/>
    <w:basedOn w:val="21"/>
    <w:next w:val="a7"/>
    <w:semiHidden/>
    <w:qFormat/>
    <w:pPr>
      <w:keepNext/>
      <w:keepLines/>
      <w:numPr>
        <w:ilvl w:val="0"/>
        <w:numId w:val="0"/>
      </w:numPr>
      <w:shd w:val="clear" w:color="auto" w:fill="FFFFFF"/>
      <w:tabs>
        <w:tab w:val="left" w:pos="210"/>
      </w:tabs>
      <w:kinsoku w:val="0"/>
      <w:overflowPunct w:val="0"/>
      <w:autoSpaceDE w:val="0"/>
      <w:autoSpaceDN w:val="0"/>
      <w:snapToGrid/>
      <w:spacing w:beforeLines="0" w:before="120" w:afterLines="0" w:after="120" w:line="300" w:lineRule="exact"/>
    </w:pPr>
    <w:rPr>
      <w:rFonts w:ascii="宋体" w:eastAsia="楷体_GB2312" w:hAnsi="宋体"/>
      <w:bCs w:val="0"/>
      <w:smallCaps w:val="0"/>
      <w:color w:val="0000FF"/>
      <w:sz w:val="24"/>
      <w:szCs w:val="24"/>
    </w:rPr>
  </w:style>
  <w:style w:type="paragraph" w:customStyle="1" w:styleId="Normal15">
    <w:name w:val="Normal_15"/>
    <w:qFormat/>
    <w:pPr>
      <w:spacing w:before="120" w:after="240" w:line="278" w:lineRule="auto"/>
      <w:jc w:val="both"/>
    </w:pPr>
    <w:rPr>
      <w:rFonts w:ascii="Calibri" w:eastAsia="Calibri" w:hAnsi="Calibri"/>
      <w:sz w:val="22"/>
      <w:szCs w:val="22"/>
      <w:lang w:eastAsia="en-US"/>
    </w:rPr>
  </w:style>
  <w:style w:type="paragraph" w:customStyle="1" w:styleId="ljw1">
    <w:name w:val="ljw表格"/>
    <w:basedOn w:val="a7"/>
    <w:next w:val="a7"/>
    <w:qFormat/>
    <w:pPr>
      <w:adjustRightInd w:val="0"/>
      <w:snapToGrid w:val="0"/>
      <w:spacing w:beforeLines="25" w:afterLines="25" w:after="160" w:line="278" w:lineRule="auto"/>
      <w:jc w:val="center"/>
    </w:pPr>
    <w:rPr>
      <w:rFonts w:ascii="宋体" w:hAnsi="宋体"/>
      <w:bCs/>
      <w:sz w:val="22"/>
      <w:szCs w:val="28"/>
    </w:rPr>
  </w:style>
  <w:style w:type="paragraph" w:customStyle="1" w:styleId="1117">
    <w:name w:val="1.1.1无标"/>
    <w:basedOn w:val="a7"/>
    <w:qFormat/>
    <w:pPr>
      <w:spacing w:after="160" w:line="360" w:lineRule="auto"/>
      <w:ind w:leftChars="300" w:left="300" w:rightChars="300" w:right="300" w:firstLineChars="200" w:firstLine="200"/>
    </w:pPr>
    <w:rPr>
      <w:rFonts w:ascii="宋体" w:hAnsi="宋体" w:cs="Century"/>
      <w:sz w:val="24"/>
    </w:rPr>
  </w:style>
  <w:style w:type="paragraph" w:customStyle="1" w:styleId="Charffffffff0">
    <w:name w:val="热电厂正文 Char"/>
    <w:basedOn w:val="a7"/>
    <w:qFormat/>
    <w:pPr>
      <w:spacing w:after="160" w:line="440" w:lineRule="exact"/>
      <w:ind w:firstLineChars="200" w:firstLine="480"/>
    </w:pPr>
    <w:rPr>
      <w:sz w:val="24"/>
    </w:rPr>
  </w:style>
  <w:style w:type="paragraph" w:customStyle="1" w:styleId="Char2CharCharChar1">
    <w:name w:val="Char2 Char Char Char1"/>
    <w:basedOn w:val="a7"/>
    <w:qFormat/>
    <w:pPr>
      <w:spacing w:after="160" w:line="240" w:lineRule="exact"/>
      <w:ind w:firstLine="482"/>
    </w:pPr>
    <w:rPr>
      <w:rFonts w:ascii="Verdana" w:eastAsia="黑体" w:hAnsi="Verdana"/>
      <w:kern w:val="0"/>
      <w:sz w:val="28"/>
      <w:szCs w:val="20"/>
      <w:lang w:eastAsia="en-US"/>
    </w:rPr>
  </w:style>
  <w:style w:type="paragraph" w:customStyle="1" w:styleId="xl129">
    <w:name w:val="xl129"/>
    <w:basedOn w:val="a7"/>
    <w:uiPriority w:val="99"/>
    <w:qFormat/>
    <w:pPr>
      <w:widowControl/>
      <w:shd w:val="clear" w:color="000000" w:fill="FFFFFF"/>
      <w:snapToGrid w:val="0"/>
      <w:spacing w:before="100" w:beforeAutospacing="1" w:after="100" w:afterAutospacing="1" w:line="278" w:lineRule="auto"/>
      <w:jc w:val="left"/>
      <w:textAlignment w:val="center"/>
    </w:pPr>
    <w:rPr>
      <w:rFonts w:ascii="宋体" w:hAnsi="宋体" w:cs="宋体"/>
      <w:kern w:val="0"/>
      <w:sz w:val="24"/>
    </w:rPr>
  </w:style>
  <w:style w:type="paragraph" w:customStyle="1" w:styleId="2Charf0">
    <w:name w:val="样式 样式2 + (符号) 宋体 Char"/>
    <w:basedOn w:val="a7"/>
    <w:qFormat/>
    <w:pPr>
      <w:adjustRightInd w:val="0"/>
      <w:snapToGrid w:val="0"/>
      <w:spacing w:after="160" w:line="480" w:lineRule="exact"/>
      <w:ind w:firstLineChars="200" w:firstLine="480"/>
    </w:pPr>
    <w:rPr>
      <w:sz w:val="24"/>
      <w:szCs w:val="28"/>
    </w:rPr>
  </w:style>
  <w:style w:type="paragraph" w:customStyle="1" w:styleId="affffffffffffffffffffffffffffffffffff8">
    <w:name w:val="样式 (符号) 宋体"/>
    <w:basedOn w:val="a7"/>
    <w:qFormat/>
    <w:pPr>
      <w:spacing w:after="160" w:line="360" w:lineRule="auto"/>
      <w:ind w:firstLineChars="200" w:firstLine="200"/>
    </w:pPr>
    <w:rPr>
      <w:rFonts w:hAnsi="宋体" w:cs="宋体"/>
      <w:kern w:val="0"/>
      <w:sz w:val="24"/>
      <w:szCs w:val="20"/>
    </w:rPr>
  </w:style>
  <w:style w:type="paragraph" w:customStyle="1" w:styleId="CharCharCharCharCharCharCharCharCharCharCharCharCharCharCharCharCharChar1">
    <w:name w:val="Char Char Char Char Char Char Char Char Char Char Char Char Char Char Char Char Char Char1"/>
    <w:basedOn w:val="a7"/>
    <w:qFormat/>
    <w:pPr>
      <w:spacing w:after="160" w:line="360" w:lineRule="auto"/>
      <w:ind w:firstLine="482"/>
    </w:pPr>
    <w:rPr>
      <w:kern w:val="0"/>
      <w:sz w:val="24"/>
    </w:rPr>
  </w:style>
  <w:style w:type="paragraph" w:customStyle="1" w:styleId="affffffffffffffffffffffffffffffffffff9">
    <w:name w:val="特殊标题３"/>
    <w:basedOn w:val="a7"/>
    <w:qFormat/>
    <w:pPr>
      <w:overflowPunct w:val="0"/>
      <w:autoSpaceDE w:val="0"/>
      <w:autoSpaceDN w:val="0"/>
      <w:adjustRightInd w:val="0"/>
      <w:spacing w:after="160" w:line="360" w:lineRule="auto"/>
      <w:textAlignment w:val="baseline"/>
    </w:pPr>
    <w:rPr>
      <w:rFonts w:eastAsia="仿宋_GB2312"/>
      <w:kern w:val="0"/>
      <w:sz w:val="28"/>
      <w:szCs w:val="20"/>
    </w:rPr>
  </w:style>
  <w:style w:type="paragraph" w:customStyle="1" w:styleId="CharCharCharCharCharCharCharCharCharCharCharChar1CharCharCharCharCharCharCharCharCharCharCharChar1Char">
    <w:name w:val="Char Char Char Char Char Char Char Char Char Char Char Char1 Char Char Char Char Char Char Char Char Char Char Char Char1 Char"/>
    <w:basedOn w:val="a7"/>
    <w:next w:val="a7"/>
    <w:semiHidden/>
    <w:qFormat/>
    <w:pPr>
      <w:snapToGrid w:val="0"/>
      <w:spacing w:after="160" w:line="336" w:lineRule="auto"/>
      <w:ind w:firstLineChars="200" w:firstLine="200"/>
      <w:jc w:val="left"/>
    </w:pPr>
    <w:rPr>
      <w:rFonts w:ascii="宋体" w:eastAsia="汉鼎简书宋" w:hAnsi="宋体" w:cs="宋体"/>
      <w:sz w:val="24"/>
    </w:rPr>
  </w:style>
  <w:style w:type="paragraph" w:customStyle="1" w:styleId="0006">
    <w:name w:val="0006"/>
    <w:basedOn w:val="0004"/>
    <w:qFormat/>
    <w:pPr>
      <w:snapToGrid w:val="0"/>
      <w:spacing w:afterLines="50" w:after="156"/>
    </w:pPr>
    <w:rPr>
      <w:b/>
      <w:bCs/>
      <w:lang w:val="zh-CN"/>
    </w:rPr>
  </w:style>
  <w:style w:type="paragraph" w:customStyle="1" w:styleId="xl157">
    <w:name w:val="xl157"/>
    <w:basedOn w:val="a7"/>
    <w:qFormat/>
    <w:pPr>
      <w:widowControl/>
      <w:pBdr>
        <w:left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ffffff3">
    <w:name w:val="列表段落1"/>
    <w:basedOn w:val="a7"/>
    <w:uiPriority w:val="34"/>
    <w:qFormat/>
    <w:pPr>
      <w:snapToGrid w:val="0"/>
      <w:spacing w:after="160" w:line="278" w:lineRule="auto"/>
      <w:ind w:firstLineChars="200" w:firstLine="420"/>
      <w:jc w:val="left"/>
    </w:pPr>
    <w:rPr>
      <w:rFonts w:ascii="Calibri" w:hAnsi="Calibri"/>
      <w:szCs w:val="22"/>
    </w:rPr>
  </w:style>
  <w:style w:type="paragraph" w:customStyle="1" w:styleId="Char1f5">
    <w:name w:val="Char 周立波1"/>
    <w:basedOn w:val="a7"/>
    <w:qFormat/>
    <w:pPr>
      <w:spacing w:after="160" w:line="360" w:lineRule="auto"/>
      <w:ind w:firstLine="482"/>
    </w:pPr>
    <w:rPr>
      <w:kern w:val="0"/>
      <w:sz w:val="24"/>
    </w:rPr>
  </w:style>
  <w:style w:type="paragraph" w:customStyle="1" w:styleId="CM12">
    <w:name w:val="CM12"/>
    <w:basedOn w:val="Default"/>
    <w:next w:val="Default"/>
    <w:uiPriority w:val="99"/>
    <w:qFormat/>
    <w:pPr>
      <w:spacing w:after="160" w:line="276" w:lineRule="atLeast"/>
    </w:pPr>
    <w:rPr>
      <w:rFonts w:ascii="Arial" w:hAnsi="Arial" w:cs="Arial"/>
      <w:color w:val="auto"/>
    </w:rPr>
  </w:style>
  <w:style w:type="paragraph" w:customStyle="1" w:styleId="CharCharCharCharCharCharCharCharCharChar4">
    <w:name w:val="Char Char Char Char Char Char Char Char Char Char4"/>
    <w:basedOn w:val="a7"/>
    <w:qFormat/>
    <w:pPr>
      <w:snapToGrid w:val="0"/>
      <w:spacing w:after="160" w:line="360" w:lineRule="auto"/>
      <w:ind w:firstLineChars="200" w:firstLine="200"/>
    </w:pPr>
    <w:rPr>
      <w:rFonts w:eastAsia="仿宋_GB2312"/>
      <w:sz w:val="24"/>
    </w:rPr>
  </w:style>
  <w:style w:type="paragraph" w:customStyle="1" w:styleId="www">
    <w:name w:val="www"/>
    <w:basedOn w:val="a7"/>
    <w:qFormat/>
    <w:pPr>
      <w:adjustRightInd w:val="0"/>
      <w:snapToGrid w:val="0"/>
      <w:spacing w:after="160" w:line="360" w:lineRule="auto"/>
      <w:ind w:firstLineChars="200" w:firstLine="560"/>
    </w:pPr>
    <w:rPr>
      <w:rFonts w:ascii="宋体"/>
      <w:sz w:val="28"/>
      <w:szCs w:val="20"/>
    </w:rPr>
  </w:style>
  <w:style w:type="paragraph" w:customStyle="1" w:styleId="CharCharCharCharCharCharCharCharCharCharCharChar3">
    <w:name w:val="Char Char Char Char Char Char Char Char Char Char Char Char3"/>
    <w:basedOn w:val="a7"/>
    <w:qFormat/>
    <w:pPr>
      <w:spacing w:after="160" w:line="360" w:lineRule="auto"/>
      <w:ind w:firstLineChars="200" w:firstLine="420"/>
    </w:pPr>
    <w:rPr>
      <w:sz w:val="24"/>
      <w:szCs w:val="20"/>
    </w:rPr>
  </w:style>
  <w:style w:type="paragraph" w:customStyle="1" w:styleId="023">
    <w:name w:val="表格02左"/>
    <w:basedOn w:val="020"/>
    <w:uiPriority w:val="99"/>
    <w:qFormat/>
    <w:pPr>
      <w:jc w:val="left"/>
    </w:pPr>
  </w:style>
  <w:style w:type="paragraph" w:customStyle="1" w:styleId="font13">
    <w:name w:val="font13"/>
    <w:basedOn w:val="a7"/>
    <w:qFormat/>
    <w:pPr>
      <w:widowControl/>
      <w:spacing w:before="100" w:beforeAutospacing="1" w:after="100" w:afterAutospacing="1" w:line="360" w:lineRule="auto"/>
      <w:ind w:firstLine="482"/>
      <w:jc w:val="left"/>
    </w:pPr>
    <w:rPr>
      <w:kern w:val="0"/>
      <w:sz w:val="24"/>
    </w:rPr>
  </w:style>
  <w:style w:type="paragraph" w:customStyle="1" w:styleId="4ff8">
    <w:name w:val="4表中文字"/>
    <w:basedOn w:val="a7"/>
    <w:qFormat/>
    <w:pPr>
      <w:tabs>
        <w:tab w:val="left" w:pos="6195"/>
      </w:tabs>
      <w:autoSpaceDE w:val="0"/>
      <w:autoSpaceDN w:val="0"/>
      <w:adjustRightInd w:val="0"/>
      <w:spacing w:after="160"/>
      <w:ind w:firstLineChars="200" w:firstLine="200"/>
      <w:jc w:val="center"/>
    </w:pPr>
    <w:rPr>
      <w:rFonts w:ascii="仿宋_GB2312" w:eastAsia="仿宋_GB2312"/>
      <w:kern w:val="0"/>
      <w:sz w:val="24"/>
    </w:rPr>
  </w:style>
  <w:style w:type="paragraph" w:customStyle="1" w:styleId="affffffffffffffffffffffffffffffffffffa">
    <w:name w:val="环评报告书"/>
    <w:basedOn w:val="41"/>
    <w:qFormat/>
    <w:pPr>
      <w:keepNext/>
      <w:keepLines/>
      <w:numPr>
        <w:ilvl w:val="0"/>
        <w:numId w:val="0"/>
      </w:numPr>
      <w:tabs>
        <w:tab w:val="clear" w:pos="864"/>
        <w:tab w:val="left" w:pos="840"/>
        <w:tab w:val="left" w:pos="1080"/>
      </w:tabs>
      <w:snapToGrid/>
      <w:spacing w:beforeLines="0" w:before="0" w:afterLines="0" w:after="0"/>
      <w:ind w:left="561" w:hanging="561"/>
      <w:jc w:val="both"/>
      <w:outlineLvl w:val="9"/>
    </w:pPr>
    <w:rPr>
      <w:rFonts w:eastAsia="长城楷体"/>
      <w:b w:val="0"/>
      <w:bCs w:val="0"/>
      <w:color w:val="auto"/>
      <w:kern w:val="0"/>
      <w:szCs w:val="20"/>
      <w:lang w:val="en-US"/>
    </w:rPr>
  </w:style>
  <w:style w:type="paragraph" w:customStyle="1" w:styleId="CharCharCharCharCharCharCharCharCharCharCharCharCharChar">
    <w:name w:val="Char Char Char Char Char Char Char Char Char Char Char Char Char Char"/>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affffffffffffffffffffffffffffffffffffb">
    <w:name w:val="条"/>
    <w:basedOn w:val="a7"/>
    <w:uiPriority w:val="99"/>
    <w:qFormat/>
    <w:pPr>
      <w:spacing w:after="160" w:line="360" w:lineRule="auto"/>
    </w:pPr>
    <w:rPr>
      <w:szCs w:val="20"/>
    </w:rPr>
  </w:style>
  <w:style w:type="paragraph" w:customStyle="1" w:styleId="xl100">
    <w:name w:val="xl100"/>
    <w:basedOn w:val="a7"/>
    <w:qFormat/>
    <w:pPr>
      <w:widowControl/>
      <w:shd w:val="clear" w:color="000000" w:fill="FFFFFF"/>
      <w:snapToGrid w:val="0"/>
      <w:spacing w:before="100" w:beforeAutospacing="1" w:after="100" w:afterAutospacing="1" w:line="278" w:lineRule="auto"/>
      <w:jc w:val="left"/>
    </w:pPr>
    <w:rPr>
      <w:rFonts w:ascii="宋体" w:hAnsi="宋体" w:cs="宋体"/>
      <w:kern w:val="0"/>
      <w:sz w:val="24"/>
    </w:rPr>
  </w:style>
  <w:style w:type="paragraph" w:customStyle="1" w:styleId="xl297">
    <w:name w:val="xl29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xl23">
    <w:name w:val="xl23"/>
    <w:basedOn w:val="a7"/>
    <w:uiPriority w:val="99"/>
    <w:qFormat/>
    <w:pPr>
      <w:widowControl/>
      <w:spacing w:before="100" w:after="100" w:line="460" w:lineRule="exact"/>
      <w:ind w:leftChars="400" w:left="400" w:firstLineChars="200" w:firstLine="200"/>
      <w:jc w:val="center"/>
    </w:pPr>
    <w:rPr>
      <w:rFonts w:ascii="宋体" w:hAnsi="宋体"/>
      <w:spacing w:val="6"/>
      <w:kern w:val="0"/>
      <w:sz w:val="24"/>
    </w:rPr>
  </w:style>
  <w:style w:type="paragraph" w:customStyle="1" w:styleId="xl22">
    <w:name w:val="xl22"/>
    <w:basedOn w:val="a7"/>
    <w:uiPriority w:val="99"/>
    <w:qFormat/>
    <w:pPr>
      <w:widowControl/>
      <w:pBdr>
        <w:bottom w:val="single" w:sz="4" w:space="0" w:color="auto"/>
        <w:right w:val="single" w:sz="4" w:space="0" w:color="auto"/>
      </w:pBdr>
      <w:spacing w:before="100" w:after="100" w:line="360" w:lineRule="auto"/>
      <w:ind w:firstLine="482"/>
      <w:jc w:val="center"/>
    </w:pPr>
    <w:rPr>
      <w:rFonts w:ascii="仿宋_GB2312" w:eastAsia="仿宋_GB2312" w:hAnsi="宋体"/>
      <w:kern w:val="0"/>
      <w:sz w:val="24"/>
      <w:szCs w:val="20"/>
    </w:rPr>
  </w:style>
  <w:style w:type="paragraph" w:customStyle="1" w:styleId="CharChar7CharCharCharChar">
    <w:name w:val="Char Char7 Char Char Char Char"/>
    <w:basedOn w:val="a7"/>
    <w:qFormat/>
    <w:pPr>
      <w:snapToGrid w:val="0"/>
      <w:spacing w:after="160" w:line="278" w:lineRule="auto"/>
      <w:jc w:val="left"/>
    </w:pPr>
    <w:rPr>
      <w:sz w:val="24"/>
    </w:rPr>
  </w:style>
  <w:style w:type="paragraph" w:customStyle="1" w:styleId="1ffffff4">
    <w:name w:val="公式样式1"/>
    <w:basedOn w:val="a7"/>
    <w:qFormat/>
    <w:pPr>
      <w:spacing w:after="160" w:line="220" w:lineRule="exact"/>
      <w:ind w:right="-51" w:firstLine="482"/>
      <w:jc w:val="center"/>
    </w:pPr>
    <w:rPr>
      <w:rFonts w:ascii="宋体" w:hAnsi="宋体"/>
      <w:kern w:val="0"/>
      <w:sz w:val="18"/>
    </w:rPr>
  </w:style>
  <w:style w:type="paragraph" w:customStyle="1" w:styleId="4ff9">
    <w:name w:val="列出段落4"/>
    <w:basedOn w:val="a7"/>
    <w:qFormat/>
    <w:pPr>
      <w:widowControl/>
      <w:spacing w:after="200" w:line="276" w:lineRule="auto"/>
      <w:ind w:firstLine="420"/>
      <w:jc w:val="left"/>
    </w:pPr>
    <w:rPr>
      <w:kern w:val="0"/>
      <w:sz w:val="22"/>
      <w:szCs w:val="22"/>
      <w:lang w:eastAsia="en-US" w:bidi="en-US"/>
    </w:rPr>
  </w:style>
  <w:style w:type="paragraph" w:customStyle="1" w:styleId="xl45">
    <w:name w:val="xl45"/>
    <w:basedOn w:val="a7"/>
    <w:uiPriority w:val="99"/>
    <w:qFormat/>
    <w:pPr>
      <w:widowControl/>
      <w:pBdr>
        <w:top w:val="single" w:sz="4" w:space="0" w:color="auto"/>
        <w:bottom w:val="single" w:sz="4" w:space="0" w:color="auto"/>
        <w:right w:val="single" w:sz="4" w:space="0" w:color="auto"/>
      </w:pBdr>
      <w:spacing w:before="100" w:after="100" w:line="360" w:lineRule="auto"/>
      <w:ind w:firstLine="482"/>
      <w:jc w:val="center"/>
      <w:textAlignment w:val="center"/>
    </w:pPr>
    <w:rPr>
      <w:rFonts w:ascii="宋体" w:hAnsi="宋体"/>
      <w:kern w:val="0"/>
      <w:sz w:val="24"/>
    </w:rPr>
  </w:style>
  <w:style w:type="paragraph" w:customStyle="1" w:styleId="1Part05">
    <w:name w:val="样式 标题 1Part + 段前: 0.5 行"/>
    <w:basedOn w:val="1"/>
    <w:qFormat/>
    <w:pPr>
      <w:keepNext/>
      <w:pageBreakBefore/>
      <w:numPr>
        <w:numId w:val="0"/>
      </w:numPr>
      <w:tabs>
        <w:tab w:val="center" w:pos="4323"/>
        <w:tab w:val="left" w:pos="7806"/>
      </w:tabs>
      <w:spacing w:beforeLines="0" w:before="0" w:after="160" w:line="300" w:lineRule="auto"/>
      <w:ind w:left="3"/>
      <w:jc w:val="center"/>
      <w:outlineLvl w:val="9"/>
    </w:pPr>
    <w:rPr>
      <w:rFonts w:eastAsia="方正小标宋简体"/>
      <w:b/>
      <w:bCs/>
      <w:spacing w:val="20"/>
      <w:kern w:val="2"/>
      <w:sz w:val="36"/>
      <w:szCs w:val="20"/>
    </w:rPr>
  </w:style>
  <w:style w:type="paragraph" w:customStyle="1" w:styleId="xl150">
    <w:name w:val="xl150"/>
    <w:basedOn w:val="a7"/>
    <w:uiPriority w:val="99"/>
    <w:qFormat/>
    <w:pPr>
      <w:widowControl/>
      <w:pBdr>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b/>
      <w:bCs/>
      <w:kern w:val="0"/>
      <w:sz w:val="24"/>
    </w:rPr>
  </w:style>
  <w:style w:type="paragraph" w:customStyle="1" w:styleId="333CharTimesNew3">
    <w:name w:val="样式 标题 3样式　标题 3　自动设置标题 3 Char章 + Times New 表题3"/>
    <w:basedOn w:val="31"/>
    <w:qFormat/>
    <w:pPr>
      <w:keepNext/>
      <w:keepLines/>
      <w:numPr>
        <w:ilvl w:val="0"/>
        <w:numId w:val="0"/>
      </w:numPr>
      <w:tabs>
        <w:tab w:val="left" w:pos="360"/>
        <w:tab w:val="left" w:pos="454"/>
        <w:tab w:val="left" w:pos="3800"/>
        <w:tab w:val="left" w:pos="5200"/>
      </w:tabs>
      <w:autoSpaceDE w:val="0"/>
      <w:autoSpaceDN w:val="0"/>
      <w:snapToGrid/>
      <w:spacing w:beforeLines="0" w:before="0" w:afterLines="0" w:after="120" w:line="240" w:lineRule="auto"/>
      <w:jc w:val="both"/>
      <w:textAlignment w:val="auto"/>
    </w:pPr>
    <w:rPr>
      <w:rFonts w:eastAsia="宋体" w:cs="宋体"/>
      <w:color w:val="auto"/>
      <w:kern w:val="0"/>
      <w:sz w:val="32"/>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7"/>
    <w:qFormat/>
    <w:pPr>
      <w:spacing w:after="160" w:line="278" w:lineRule="auto"/>
    </w:pPr>
  </w:style>
  <w:style w:type="paragraph" w:customStyle="1" w:styleId="affffffffffffffffffffffffffffffffffffc">
    <w:name w:val="小标题规定"/>
    <w:basedOn w:val="a7"/>
    <w:qFormat/>
    <w:pPr>
      <w:spacing w:before="40" w:after="40" w:line="360" w:lineRule="auto"/>
      <w:outlineLvl w:val="4"/>
    </w:pPr>
    <w:rPr>
      <w:rFonts w:ascii="仿宋_GB2312" w:eastAsia="仿宋_GB2312" w:hAnsi="宋体" w:cs="宋体"/>
      <w:b/>
      <w:bCs/>
      <w:sz w:val="24"/>
      <w:szCs w:val="20"/>
    </w:rPr>
  </w:style>
  <w:style w:type="paragraph" w:customStyle="1" w:styleId="CM1">
    <w:name w:val="CM1"/>
    <w:basedOn w:val="a7"/>
    <w:next w:val="a7"/>
    <w:uiPriority w:val="99"/>
    <w:qFormat/>
    <w:pPr>
      <w:autoSpaceDE w:val="0"/>
      <w:autoSpaceDN w:val="0"/>
      <w:adjustRightInd w:val="0"/>
      <w:snapToGrid w:val="0"/>
      <w:spacing w:after="160" w:line="280" w:lineRule="atLeast"/>
      <w:jc w:val="left"/>
    </w:pPr>
    <w:rPr>
      <w:rFonts w:ascii="Arial" w:hAnsi="Arial" w:cs="Arial"/>
      <w:kern w:val="0"/>
      <w:sz w:val="24"/>
    </w:rPr>
  </w:style>
  <w:style w:type="paragraph" w:customStyle="1" w:styleId="2ffffff2">
    <w:name w:val="样式 正文文本缩进 2 + (符号) 宋体 小四 两端对齐"/>
    <w:basedOn w:val="25"/>
    <w:qFormat/>
    <w:pPr>
      <w:adjustRightInd w:val="0"/>
      <w:snapToGrid w:val="0"/>
      <w:spacing w:after="0" w:line="360" w:lineRule="auto"/>
      <w:ind w:leftChars="0" w:left="0"/>
    </w:pPr>
    <w:rPr>
      <w:rFonts w:ascii="宋体" w:hAnsi="宋体" w:cs="宋体"/>
      <w:color w:val="FF0000"/>
      <w:spacing w:val="12"/>
    </w:rPr>
  </w:style>
  <w:style w:type="paragraph" w:customStyle="1" w:styleId="CharCharCharChar1CharCharChar">
    <w:name w:val="Char Char Char Char1 Char Char Char"/>
    <w:basedOn w:val="a7"/>
    <w:next w:val="a7"/>
    <w:semiHidden/>
    <w:qFormat/>
    <w:pPr>
      <w:spacing w:after="160" w:line="336" w:lineRule="auto"/>
      <w:ind w:firstLineChars="200" w:firstLine="200"/>
    </w:pPr>
    <w:rPr>
      <w:rFonts w:ascii="宋体" w:eastAsia="汉鼎简书宋" w:hAnsi="宋体" w:cs="宋体"/>
      <w:spacing w:val="4"/>
      <w:sz w:val="24"/>
    </w:rPr>
  </w:style>
  <w:style w:type="paragraph" w:customStyle="1" w:styleId="CM10">
    <w:name w:val="CM10"/>
    <w:basedOn w:val="Default"/>
    <w:next w:val="Default"/>
    <w:uiPriority w:val="99"/>
    <w:qFormat/>
    <w:pPr>
      <w:spacing w:after="160" w:line="303" w:lineRule="atLeast"/>
    </w:pPr>
    <w:rPr>
      <w:rFonts w:ascii="Arial" w:hAnsi="Arial" w:cs="Arial"/>
      <w:color w:val="auto"/>
    </w:rPr>
  </w:style>
  <w:style w:type="paragraph" w:customStyle="1" w:styleId="affffffffffffffffffffffffffffffffffffd">
    <w:name w:val="图表脚注说明"/>
    <w:basedOn w:val="a7"/>
    <w:qFormat/>
    <w:pPr>
      <w:tabs>
        <w:tab w:val="left" w:pos="360"/>
      </w:tabs>
      <w:spacing w:after="160" w:line="360" w:lineRule="auto"/>
      <w:ind w:left="360" w:hanging="360"/>
    </w:pPr>
    <w:rPr>
      <w:rFonts w:ascii="宋体"/>
      <w:kern w:val="0"/>
      <w:sz w:val="18"/>
      <w:szCs w:val="18"/>
    </w:rPr>
  </w:style>
  <w:style w:type="paragraph" w:customStyle="1" w:styleId="affffffffffffffffffffffffffffffffffffe">
    <w:name w:val="段标题"/>
    <w:basedOn w:val="a7"/>
    <w:next w:val="a7"/>
    <w:qFormat/>
    <w:pPr>
      <w:spacing w:after="160" w:line="278" w:lineRule="auto"/>
      <w:ind w:firstLineChars="200" w:firstLine="200"/>
      <w:jc w:val="left"/>
      <w:outlineLvl w:val="2"/>
    </w:pPr>
    <w:rPr>
      <w:rFonts w:ascii="宋体" w:hAnsi="宋体"/>
      <w:bCs/>
      <w:kern w:val="0"/>
      <w:sz w:val="28"/>
      <w:szCs w:val="28"/>
    </w:rPr>
  </w:style>
  <w:style w:type="paragraph" w:customStyle="1" w:styleId="90v">
    <w:name w:val="90v"/>
    <w:basedOn w:val="a7"/>
    <w:qFormat/>
    <w:pPr>
      <w:widowControl/>
      <w:spacing w:before="100" w:beforeAutospacing="1" w:after="100" w:afterAutospacing="1" w:line="360" w:lineRule="auto"/>
      <w:ind w:firstLine="482"/>
      <w:jc w:val="left"/>
    </w:pPr>
    <w:rPr>
      <w:rFonts w:ascii="宋体" w:hAnsi="宋体"/>
      <w:kern w:val="0"/>
      <w:sz w:val="24"/>
    </w:rPr>
  </w:style>
  <w:style w:type="paragraph" w:customStyle="1" w:styleId="afffffffffffffffffffffffffffffffffffff">
    <w:name w:val="【表格文字】"/>
    <w:qFormat/>
    <w:pPr>
      <w:spacing w:after="160" w:line="278" w:lineRule="auto"/>
      <w:jc w:val="center"/>
    </w:pPr>
    <w:rPr>
      <w:rFonts w:cs="宋体"/>
      <w:sz w:val="21"/>
    </w:rPr>
  </w:style>
  <w:style w:type="paragraph" w:customStyle="1" w:styleId="011">
    <w:name w:val="标题01"/>
    <w:basedOn w:val="a7"/>
    <w:uiPriority w:val="99"/>
    <w:qFormat/>
    <w:pPr>
      <w:spacing w:after="120" w:line="460" w:lineRule="atLeast"/>
      <w:ind w:firstLine="480"/>
      <w:jc w:val="center"/>
      <w:outlineLvl w:val="0"/>
    </w:pPr>
    <w:rPr>
      <w:b/>
      <w:sz w:val="30"/>
      <w:szCs w:val="20"/>
    </w:rPr>
  </w:style>
  <w:style w:type="paragraph" w:customStyle="1" w:styleId="xl248">
    <w:name w:val="xl248"/>
    <w:basedOn w:val="a7"/>
    <w:qFormat/>
    <w:pPr>
      <w:widowControl/>
      <w:pBdr>
        <w:top w:val="single" w:sz="8" w:space="0" w:color="auto"/>
        <w:left w:val="single" w:sz="8" w:space="0" w:color="auto"/>
        <w:right w:val="single" w:sz="4" w:space="0" w:color="auto"/>
      </w:pBdr>
      <w:spacing w:before="100" w:beforeAutospacing="1" w:after="100" w:afterAutospacing="1" w:line="278" w:lineRule="auto"/>
      <w:jc w:val="center"/>
      <w:textAlignment w:val="center"/>
    </w:pPr>
    <w:rPr>
      <w:kern w:val="0"/>
      <w:sz w:val="20"/>
      <w:szCs w:val="20"/>
    </w:rPr>
  </w:style>
  <w:style w:type="paragraph" w:customStyle="1" w:styleId="afffffffffffffffffffffffffffffffffffff0">
    <w:name w:val="首页页眉样式"/>
    <w:basedOn w:val="a7"/>
    <w:uiPriority w:val="99"/>
    <w:qFormat/>
    <w:pPr>
      <w:snapToGrid w:val="0"/>
      <w:spacing w:after="160" w:line="240" w:lineRule="atLeast"/>
      <w:jc w:val="center"/>
    </w:pPr>
    <w:rPr>
      <w:rFonts w:ascii="宋体" w:eastAsia="仿宋_GB2312" w:hAnsi="宋体"/>
      <w:b/>
      <w:kern w:val="0"/>
      <w:szCs w:val="20"/>
    </w:rPr>
  </w:style>
  <w:style w:type="paragraph" w:customStyle="1" w:styleId="afffffffffffffffffffffffffffffffffffff1">
    <w:name w:val="环表头"/>
    <w:basedOn w:val="a7"/>
    <w:next w:val="a7"/>
    <w:qFormat/>
    <w:pPr>
      <w:widowControl/>
      <w:suppressAutoHyphens/>
      <w:adjustRightInd w:val="0"/>
      <w:spacing w:before="60" w:after="60" w:line="312" w:lineRule="atLeast"/>
      <w:ind w:right="28"/>
      <w:jc w:val="center"/>
      <w:textAlignment w:val="baseline"/>
    </w:pPr>
    <w:rPr>
      <w:rFonts w:ascii="黑体" w:eastAsia="黑体" w:hAnsi="宋体"/>
      <w:kern w:val="0"/>
      <w:sz w:val="24"/>
      <w:szCs w:val="20"/>
    </w:rPr>
  </w:style>
  <w:style w:type="paragraph" w:customStyle="1" w:styleId="11CharCharCharArial">
    <w:name w:val="样式 标题 1标题 1 Char Char Char + (西文) Arial (中文) 黑体 四号 黑色 居中 段..."/>
    <w:basedOn w:val="1"/>
    <w:qFormat/>
    <w:pPr>
      <w:keepNext/>
      <w:keepLines/>
      <w:numPr>
        <w:numId w:val="0"/>
      </w:numPr>
      <w:snapToGrid/>
      <w:spacing w:beforeLines="0" w:before="0" w:after="160" w:line="720" w:lineRule="auto"/>
      <w:jc w:val="center"/>
    </w:pPr>
    <w:rPr>
      <w:rFonts w:ascii="Arial" w:eastAsia="黑体" w:hAnsi="Arial" w:cs="宋体"/>
      <w:b/>
      <w:bCs/>
      <w:color w:val="000000"/>
      <w:sz w:val="30"/>
      <w:szCs w:val="20"/>
    </w:rPr>
  </w:style>
  <w:style w:type="paragraph" w:customStyle="1" w:styleId="CharCharCharCharCharCharCharCharCharChar2CharCharCharCharCharChar">
    <w:name w:val="Char Char Char Char Char Char Char Char Char Char2 Char Char Char Char Char Char"/>
    <w:basedOn w:val="af9"/>
    <w:uiPriority w:val="99"/>
    <w:qFormat/>
    <w:pPr>
      <w:keepNext/>
      <w:snapToGrid w:val="0"/>
      <w:spacing w:beforeLines="100" w:after="160" w:line="278" w:lineRule="auto"/>
      <w:ind w:firstLineChars="0" w:firstLine="0"/>
      <w:jc w:val="left"/>
    </w:pPr>
    <w:rPr>
      <w:rFonts w:ascii="Tahoma" w:hAnsi="Tahoma"/>
      <w:kern w:val="0"/>
      <w:szCs w:val="21"/>
      <w:lang w:val="zh-CN"/>
    </w:rPr>
  </w:style>
  <w:style w:type="paragraph" w:customStyle="1" w:styleId="L-">
    <w:name w:val="L-正文"/>
    <w:basedOn w:val="a7"/>
    <w:qFormat/>
    <w:pPr>
      <w:snapToGrid w:val="0"/>
      <w:spacing w:after="160" w:line="278" w:lineRule="auto"/>
      <w:ind w:firstLineChars="192" w:firstLine="538"/>
      <w:jc w:val="left"/>
    </w:pPr>
    <w:rPr>
      <w:rFonts w:ascii="宋体" w:hAnsi="宋体"/>
      <w:color w:val="000000"/>
      <w:sz w:val="28"/>
      <w:szCs w:val="28"/>
    </w:rPr>
  </w:style>
  <w:style w:type="paragraph" w:customStyle="1" w:styleId="CharCharChar1CharCharCharCharCharCharChar">
    <w:name w:val="Char Char Char1 Char Char Char Char Char Char Char"/>
    <w:basedOn w:val="a7"/>
    <w:qFormat/>
    <w:pPr>
      <w:spacing w:after="160" w:line="360" w:lineRule="auto"/>
      <w:ind w:firstLineChars="200" w:firstLine="420"/>
    </w:pPr>
    <w:rPr>
      <w:sz w:val="24"/>
    </w:rPr>
  </w:style>
  <w:style w:type="paragraph" w:customStyle="1" w:styleId="22CharTimesNewRoman0">
    <w:name w:val="样式 标题 2标题 2 Char + (西文) Times New Roman (中文) 宋体"/>
    <w:basedOn w:val="21"/>
    <w:uiPriority w:val="99"/>
    <w:qFormat/>
    <w:pPr>
      <w:keepNext/>
      <w:keepLines/>
      <w:numPr>
        <w:ilvl w:val="0"/>
        <w:numId w:val="0"/>
      </w:numPr>
      <w:snapToGrid/>
      <w:spacing w:beforeLines="0" w:before="200" w:afterLines="0" w:after="200" w:line="480" w:lineRule="exact"/>
      <w:jc w:val="both"/>
    </w:pPr>
    <w:rPr>
      <w:rFonts w:ascii="宋体" w:eastAsia="宋体" w:hAnsi="宋体"/>
      <w:bCs w:val="0"/>
      <w:smallCaps w:val="0"/>
      <w:color w:val="000000"/>
      <w:kern w:val="0"/>
      <w:sz w:val="30"/>
      <w:szCs w:val="20"/>
    </w:rPr>
  </w:style>
  <w:style w:type="paragraph" w:customStyle="1" w:styleId="211b21122CharHeading2HiddenHeading2C2">
    <w:name w:val="样式 标题 2节标题 1.1b21.1标题2标题 2 CharHeading 2 HiddenHeading 2 C...2"/>
    <w:basedOn w:val="21"/>
    <w:qFormat/>
    <w:pPr>
      <w:keepNext/>
      <w:keepLines/>
      <w:numPr>
        <w:ilvl w:val="0"/>
        <w:numId w:val="0"/>
      </w:numPr>
      <w:tabs>
        <w:tab w:val="left" w:pos="454"/>
        <w:tab w:val="left" w:pos="851"/>
      </w:tabs>
      <w:snapToGrid/>
      <w:spacing w:beforeLines="0" w:before="156" w:afterLines="0" w:after="0" w:line="520" w:lineRule="exact"/>
      <w:jc w:val="both"/>
    </w:pPr>
    <w:rPr>
      <w:rFonts w:ascii="宋体" w:eastAsia="宋体" w:hAnsi="宋体" w:cs="宋体"/>
      <w:smallCaps w:val="0"/>
      <w:color w:val="auto"/>
      <w:sz w:val="28"/>
    </w:rPr>
  </w:style>
  <w:style w:type="paragraph" w:customStyle="1" w:styleId="2ffffff3">
    <w:name w:val="纯文本2"/>
    <w:basedOn w:val="a7"/>
    <w:qFormat/>
    <w:pPr>
      <w:adjustRightInd w:val="0"/>
      <w:spacing w:after="160" w:line="278" w:lineRule="auto"/>
      <w:textAlignment w:val="baseline"/>
    </w:pPr>
    <w:rPr>
      <w:rFonts w:ascii="宋体" w:hAnsi="Courier New"/>
      <w:szCs w:val="20"/>
    </w:rPr>
  </w:style>
  <w:style w:type="paragraph" w:customStyle="1" w:styleId="310622">
    <w:name w:val="样式 样式 样式 样式 标题 3 + 首行缩进:  1.06 厘米 + 首行缩进:  2 字符 + 首行缩进:  2 字符 + ..."/>
    <w:basedOn w:val="a7"/>
    <w:qFormat/>
    <w:pPr>
      <w:keepNext/>
      <w:keepLines/>
      <w:snapToGrid w:val="0"/>
      <w:spacing w:before="120" w:after="120" w:line="278" w:lineRule="auto"/>
      <w:ind w:firstLineChars="200" w:firstLine="600"/>
      <w:jc w:val="left"/>
      <w:outlineLvl w:val="2"/>
    </w:pPr>
    <w:rPr>
      <w:rFonts w:ascii="Calibri" w:eastAsia="黑体" w:hAnsi="Calibri" w:cs="宋体"/>
      <w:sz w:val="28"/>
      <w:szCs w:val="20"/>
    </w:rPr>
  </w:style>
  <w:style w:type="paragraph" w:customStyle="1" w:styleId="xl32">
    <w:name w:val="xl32"/>
    <w:basedOn w:val="a7"/>
    <w:uiPriority w:val="99"/>
    <w:qFormat/>
    <w:pPr>
      <w:widowControl/>
      <w:pBdr>
        <w:top w:val="single" w:sz="4" w:space="0" w:color="auto"/>
        <w:left w:val="single" w:sz="4" w:space="0" w:color="auto"/>
        <w:bottom w:val="single" w:sz="4" w:space="0" w:color="auto"/>
      </w:pBdr>
      <w:spacing w:before="100" w:after="100" w:line="360" w:lineRule="auto"/>
      <w:ind w:firstLine="482"/>
      <w:jc w:val="center"/>
      <w:textAlignment w:val="center"/>
    </w:pPr>
    <w:rPr>
      <w:rFonts w:ascii="宋体" w:hAnsi="宋体"/>
      <w:kern w:val="0"/>
      <w:sz w:val="24"/>
    </w:rPr>
  </w:style>
  <w:style w:type="paragraph" w:customStyle="1" w:styleId="xl99">
    <w:name w:val="xl99"/>
    <w:basedOn w:val="a7"/>
    <w:qFormat/>
    <w:pPr>
      <w:widowControl/>
      <w:shd w:val="clear" w:color="000000" w:fill="FFFFFF"/>
      <w:snapToGrid w:val="0"/>
      <w:spacing w:before="100" w:beforeAutospacing="1" w:after="100" w:afterAutospacing="1" w:line="278" w:lineRule="auto"/>
      <w:jc w:val="right"/>
    </w:pPr>
    <w:rPr>
      <w:kern w:val="0"/>
      <w:sz w:val="24"/>
    </w:rPr>
  </w:style>
  <w:style w:type="paragraph" w:customStyle="1" w:styleId="Bullet2">
    <w:name w:val="Bullet2"/>
    <w:basedOn w:val="a7"/>
    <w:uiPriority w:val="99"/>
    <w:qFormat/>
    <w:pPr>
      <w:widowControl/>
      <w:snapToGrid w:val="0"/>
      <w:spacing w:after="86" w:line="278" w:lineRule="auto"/>
      <w:ind w:left="360" w:hanging="187"/>
      <w:jc w:val="left"/>
    </w:pPr>
    <w:rPr>
      <w:color w:val="000000"/>
      <w:kern w:val="0"/>
      <w:sz w:val="20"/>
      <w:szCs w:val="20"/>
      <w:lang w:eastAsia="ja-JP"/>
    </w:rPr>
  </w:style>
  <w:style w:type="paragraph" w:customStyle="1" w:styleId="reader-word-layer">
    <w:name w:val="reader-word-layer"/>
    <w:basedOn w:val="a7"/>
    <w:uiPriority w:val="99"/>
    <w:qFormat/>
    <w:pPr>
      <w:widowControl/>
      <w:spacing w:before="100" w:beforeAutospacing="1" w:after="100" w:afterAutospacing="1" w:line="360" w:lineRule="auto"/>
      <w:ind w:firstLine="482"/>
      <w:jc w:val="left"/>
    </w:pPr>
    <w:rPr>
      <w:rFonts w:ascii="宋体" w:hAnsi="宋体" w:cs="宋体"/>
      <w:kern w:val="0"/>
      <w:sz w:val="24"/>
    </w:rPr>
  </w:style>
  <w:style w:type="paragraph" w:customStyle="1" w:styleId="TimesNewRoman1">
    <w:name w:val="样式 报告书正文 + Times New Roman"/>
    <w:basedOn w:val="a7"/>
    <w:uiPriority w:val="99"/>
    <w:qFormat/>
    <w:pPr>
      <w:spacing w:after="160" w:line="360" w:lineRule="auto"/>
      <w:ind w:firstLineChars="200" w:firstLine="480"/>
    </w:pPr>
    <w:rPr>
      <w:rFonts w:ascii="宋体" w:hAnsi="宋体"/>
      <w:sz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7"/>
    <w:uiPriority w:val="99"/>
    <w:qFormat/>
    <w:pPr>
      <w:spacing w:after="160" w:line="278" w:lineRule="auto"/>
    </w:pPr>
    <w:rPr>
      <w:sz w:val="24"/>
    </w:rPr>
  </w:style>
  <w:style w:type="paragraph" w:customStyle="1" w:styleId="CharCharCharCharCharCharCharCharCharCharChar1CharCharCharCharCharCharChar2">
    <w:name w:val="Char Char Char Char Char Char Char Char Char Char Char1 Char Char Char Char Char Char Char2"/>
    <w:basedOn w:val="a7"/>
    <w:qFormat/>
    <w:pPr>
      <w:spacing w:after="160" w:line="360" w:lineRule="auto"/>
      <w:ind w:firstLine="482"/>
    </w:pPr>
    <w:rPr>
      <w:kern w:val="0"/>
      <w:sz w:val="24"/>
    </w:rPr>
  </w:style>
  <w:style w:type="paragraph" w:customStyle="1" w:styleId="afffffffffffffffffffffffffffffffffffff2">
    <w:name w:val="正文首行不缩进"/>
    <w:basedOn w:val="a7"/>
    <w:uiPriority w:val="99"/>
    <w:qFormat/>
    <w:pPr>
      <w:adjustRightInd w:val="0"/>
      <w:snapToGrid w:val="0"/>
      <w:spacing w:after="160" w:line="360" w:lineRule="auto"/>
      <w:ind w:firstLineChars="200" w:firstLine="480"/>
      <w:jc w:val="left"/>
      <w:outlineLvl w:val="0"/>
    </w:pPr>
    <w:rPr>
      <w:rFonts w:ascii="宋体" w:hAnsi="宋体"/>
      <w:kern w:val="0"/>
      <w:sz w:val="24"/>
    </w:rPr>
  </w:style>
  <w:style w:type="paragraph" w:customStyle="1" w:styleId="a-20">
    <w:name w:val="a-文本缩2"/>
    <w:qFormat/>
    <w:pPr>
      <w:adjustRightInd w:val="0"/>
      <w:snapToGrid w:val="0"/>
      <w:spacing w:after="160" w:line="360" w:lineRule="auto"/>
      <w:ind w:firstLineChars="200" w:firstLine="200"/>
      <w:jc w:val="both"/>
    </w:pPr>
    <w:rPr>
      <w:color w:val="000000"/>
      <w:kern w:val="2"/>
      <w:sz w:val="24"/>
      <w:szCs w:val="21"/>
    </w:rPr>
  </w:style>
  <w:style w:type="paragraph" w:customStyle="1" w:styleId="CharCharChar1Char1">
    <w:name w:val="Char Char Char1 Char1"/>
    <w:basedOn w:val="a7"/>
    <w:qFormat/>
    <w:pPr>
      <w:widowControl/>
      <w:spacing w:after="160" w:line="360" w:lineRule="auto"/>
      <w:ind w:firstLineChars="200" w:firstLine="200"/>
      <w:jc w:val="left"/>
    </w:pPr>
    <w:rPr>
      <w:rFonts w:ascii="宋体" w:hAnsi="宋体" w:cs="宋体"/>
      <w:kern w:val="0"/>
      <w:sz w:val="24"/>
    </w:rPr>
  </w:style>
  <w:style w:type="paragraph" w:customStyle="1" w:styleId="ParaCharCharChar1CharCharCharCharCharCharCharCharCharCharCharChar1">
    <w:name w:val="默认段落字体 Para Char Char Char1 Char Char Char Char Char Char Char Char Char Char Char Char1"/>
    <w:basedOn w:val="a7"/>
    <w:uiPriority w:val="99"/>
    <w:qFormat/>
    <w:pPr>
      <w:spacing w:after="160" w:line="278" w:lineRule="auto"/>
    </w:pPr>
    <w:rPr>
      <w:sz w:val="24"/>
    </w:rPr>
  </w:style>
  <w:style w:type="paragraph" w:customStyle="1" w:styleId="xl111">
    <w:name w:val="xl111"/>
    <w:basedOn w:val="a7"/>
    <w:qFormat/>
    <w:pPr>
      <w:widowControl/>
      <w:shd w:val="clear" w:color="000000" w:fill="FFFFFF"/>
      <w:snapToGrid w:val="0"/>
      <w:spacing w:before="100" w:beforeAutospacing="1" w:after="100" w:afterAutospacing="1" w:line="278" w:lineRule="auto"/>
      <w:jc w:val="center"/>
    </w:pPr>
    <w:rPr>
      <w:rFonts w:ascii="宋体" w:hAnsi="宋体" w:cs="宋体"/>
      <w:color w:val="C414B7"/>
      <w:kern w:val="0"/>
      <w:sz w:val="24"/>
    </w:rPr>
  </w:style>
  <w:style w:type="paragraph" w:customStyle="1" w:styleId="afffffffffffffffffffffffffffffffffffff3">
    <w:name w:val="寄件人地址"/>
    <w:qFormat/>
    <w:pPr>
      <w:widowControl w:val="0"/>
      <w:adjustRightInd w:val="0"/>
      <w:spacing w:after="160" w:line="278" w:lineRule="auto"/>
      <w:ind w:left="567"/>
      <w:jc w:val="center"/>
      <w:textAlignment w:val="baseline"/>
    </w:pPr>
    <w:rPr>
      <w:rFonts w:ascii="宋体" w:eastAsia="隶书_GB2312"/>
      <w:b/>
      <w:color w:val="008000"/>
      <w:sz w:val="32"/>
    </w:rPr>
  </w:style>
  <w:style w:type="paragraph" w:customStyle="1" w:styleId="wg">
    <w:name w:val="wg"/>
    <w:basedOn w:val="a7"/>
    <w:qFormat/>
    <w:pPr>
      <w:spacing w:after="160" w:line="360" w:lineRule="auto"/>
      <w:ind w:firstLine="482"/>
    </w:pPr>
    <w:rPr>
      <w:kern w:val="0"/>
      <w:sz w:val="28"/>
      <w:szCs w:val="20"/>
    </w:rPr>
  </w:style>
  <w:style w:type="paragraph" w:customStyle="1" w:styleId="Heading7new">
    <w:name w:val="Heading 7_new"/>
    <w:basedOn w:val="a7"/>
    <w:uiPriority w:val="99"/>
    <w:qFormat/>
    <w:pPr>
      <w:tabs>
        <w:tab w:val="left" w:pos="2880"/>
      </w:tabs>
      <w:snapToGrid w:val="0"/>
      <w:spacing w:before="60" w:after="120" w:line="278" w:lineRule="auto"/>
      <w:jc w:val="left"/>
    </w:pPr>
    <w:rPr>
      <w:kern w:val="0"/>
      <w:sz w:val="24"/>
      <w:lang w:eastAsia="en-US"/>
    </w:rPr>
  </w:style>
  <w:style w:type="paragraph" w:customStyle="1" w:styleId="CharCharCharCharCharChar1Char4">
    <w:name w:val="Char Char Char Char Char Char1 Char4"/>
    <w:basedOn w:val="a7"/>
    <w:qFormat/>
    <w:pPr>
      <w:spacing w:after="160" w:line="360" w:lineRule="auto"/>
      <w:ind w:firstLine="482"/>
    </w:pPr>
    <w:rPr>
      <w:kern w:val="0"/>
      <w:sz w:val="24"/>
    </w:rPr>
  </w:style>
  <w:style w:type="paragraph" w:customStyle="1" w:styleId="Style102">
    <w:name w:val="Style102"/>
    <w:basedOn w:val="a7"/>
    <w:qFormat/>
    <w:pPr>
      <w:adjustRightInd w:val="0"/>
      <w:spacing w:after="160" w:line="466" w:lineRule="exact"/>
      <w:ind w:firstLine="482"/>
      <w:jc w:val="center"/>
    </w:pPr>
    <w:rPr>
      <w:rFonts w:ascii="宋体"/>
      <w:kern w:val="0"/>
      <w:sz w:val="24"/>
    </w:rPr>
  </w:style>
  <w:style w:type="paragraph" w:customStyle="1" w:styleId="11e">
    <w:name w:val="样式 目录 1 级别1"/>
    <w:basedOn w:val="a7"/>
    <w:next w:val="a7"/>
    <w:qFormat/>
    <w:pPr>
      <w:shd w:val="clear" w:color="auto" w:fill="FFFFFF"/>
      <w:tabs>
        <w:tab w:val="left" w:pos="210"/>
      </w:tabs>
      <w:kinsoku w:val="0"/>
      <w:overflowPunct w:val="0"/>
      <w:autoSpaceDE w:val="0"/>
      <w:autoSpaceDN w:val="0"/>
      <w:adjustRightInd w:val="0"/>
      <w:snapToGrid w:val="0"/>
      <w:spacing w:after="160" w:line="400" w:lineRule="exact"/>
      <w:ind w:firstLineChars="200" w:firstLine="200"/>
      <w:jc w:val="left"/>
    </w:pPr>
    <w:rPr>
      <w:rFonts w:ascii="宋体" w:hAnsi="宋体" w:cs="宋体"/>
      <w:b/>
      <w:bCs/>
      <w:kern w:val="0"/>
      <w:sz w:val="24"/>
      <w:szCs w:val="28"/>
    </w:rPr>
  </w:style>
  <w:style w:type="paragraph" w:customStyle="1" w:styleId="Style25">
    <w:name w:val="Style25"/>
    <w:basedOn w:val="a7"/>
    <w:qFormat/>
    <w:pPr>
      <w:adjustRightInd w:val="0"/>
      <w:spacing w:after="160" w:line="360" w:lineRule="auto"/>
      <w:ind w:firstLine="482"/>
      <w:jc w:val="center"/>
    </w:pPr>
    <w:rPr>
      <w:rFonts w:ascii="宋体"/>
      <w:kern w:val="0"/>
      <w:sz w:val="24"/>
    </w:rPr>
  </w:style>
  <w:style w:type="paragraph" w:customStyle="1" w:styleId="077200">
    <w:name w:val="样式 样式 首行缩进:  0.77 厘米 行距: 固定值 20 磅 + 居中 首行缩进:  0 厘米 行距: 单倍行距"/>
    <w:basedOn w:val="07720"/>
    <w:qFormat/>
    <w:pPr>
      <w:spacing w:line="400" w:lineRule="exact"/>
      <w:ind w:firstLine="0"/>
      <w:jc w:val="center"/>
    </w:pPr>
    <w:rPr>
      <w:rFonts w:cs="宋体"/>
    </w:rPr>
  </w:style>
  <w:style w:type="paragraph" w:customStyle="1" w:styleId="12c">
    <w:name w:val="日期12"/>
    <w:basedOn w:val="a7"/>
    <w:next w:val="a7"/>
    <w:qFormat/>
    <w:pPr>
      <w:adjustRightInd w:val="0"/>
      <w:spacing w:after="160" w:line="360" w:lineRule="auto"/>
      <w:ind w:firstLine="482"/>
      <w:jc w:val="left"/>
      <w:textAlignment w:val="baseline"/>
    </w:pPr>
    <w:rPr>
      <w:kern w:val="0"/>
      <w:sz w:val="28"/>
      <w:szCs w:val="20"/>
    </w:rPr>
  </w:style>
  <w:style w:type="paragraph" w:customStyle="1" w:styleId="font24">
    <w:name w:val="font24"/>
    <w:basedOn w:val="a7"/>
    <w:qFormat/>
    <w:pPr>
      <w:widowControl/>
      <w:spacing w:before="100" w:beforeAutospacing="1" w:after="100" w:afterAutospacing="1" w:line="278" w:lineRule="auto"/>
      <w:jc w:val="left"/>
    </w:pPr>
    <w:rPr>
      <w:rFonts w:ascii="宋体" w:hAnsi="宋体" w:cs="宋体"/>
      <w:b/>
      <w:bCs/>
      <w:color w:val="000000"/>
      <w:kern w:val="0"/>
      <w:sz w:val="20"/>
      <w:szCs w:val="20"/>
    </w:rPr>
  </w:style>
  <w:style w:type="paragraph" w:customStyle="1" w:styleId="GB231210">
    <w:name w:val="样式 (中文) 仿宋_GB2312 居中1"/>
    <w:basedOn w:val="a7"/>
    <w:qFormat/>
    <w:pPr>
      <w:spacing w:after="160" w:line="360" w:lineRule="auto"/>
      <w:ind w:firstLine="482"/>
      <w:jc w:val="center"/>
    </w:pPr>
    <w:rPr>
      <w:rFonts w:eastAsia="仿宋_GB2312" w:cs="宋体"/>
      <w:kern w:val="0"/>
      <w:sz w:val="28"/>
      <w:szCs w:val="20"/>
    </w:rPr>
  </w:style>
  <w:style w:type="paragraph" w:customStyle="1" w:styleId="sms">
    <w:name w:val="sms"/>
    <w:basedOn w:val="a7"/>
    <w:qFormat/>
    <w:pPr>
      <w:widowControl/>
      <w:overflowPunct w:val="0"/>
      <w:autoSpaceDE w:val="0"/>
      <w:autoSpaceDN w:val="0"/>
      <w:adjustRightInd w:val="0"/>
      <w:spacing w:after="160" w:line="360" w:lineRule="auto"/>
      <w:ind w:left="2126" w:right="992" w:firstLine="709"/>
      <w:jc w:val="left"/>
      <w:textAlignment w:val="baseline"/>
    </w:pPr>
    <w:rPr>
      <w:rFonts w:ascii="宋体"/>
      <w:spacing w:val="20"/>
      <w:kern w:val="0"/>
      <w:sz w:val="26"/>
      <w:szCs w:val="20"/>
    </w:rPr>
  </w:style>
  <w:style w:type="paragraph" w:customStyle="1" w:styleId="22f2">
    <w:name w:val="样式 样式 表格内容 + 首行缩进:  2 字符 + 首行缩进:  2 字符"/>
    <w:basedOn w:val="227"/>
    <w:next w:val="a7"/>
    <w:qFormat/>
    <w:pPr>
      <w:jc w:val="center"/>
    </w:pPr>
  </w:style>
  <w:style w:type="paragraph" w:customStyle="1" w:styleId="ljw2">
    <w:name w:val="ljw子标题"/>
    <w:basedOn w:val="a7"/>
    <w:next w:val="aff2"/>
    <w:qFormat/>
    <w:pPr>
      <w:adjustRightInd w:val="0"/>
      <w:snapToGrid w:val="0"/>
      <w:spacing w:beforeLines="50" w:afterLines="50" w:after="160" w:line="278" w:lineRule="auto"/>
      <w:jc w:val="left"/>
    </w:pPr>
    <w:rPr>
      <w:rFonts w:ascii="宋体" w:hAnsi="宋体"/>
      <w:b/>
      <w:sz w:val="24"/>
      <w:szCs w:val="28"/>
    </w:rPr>
  </w:style>
  <w:style w:type="paragraph" w:customStyle="1" w:styleId="afffffffffffffffffffffffffffffffffffff4">
    <w:name w:val="图表文字"/>
    <w:basedOn w:val="a7"/>
    <w:uiPriority w:val="99"/>
    <w:qFormat/>
    <w:pPr>
      <w:snapToGrid w:val="0"/>
      <w:spacing w:after="160" w:line="288" w:lineRule="auto"/>
      <w:jc w:val="center"/>
    </w:pPr>
    <w:rPr>
      <w:rFonts w:hint="eastAsia"/>
      <w:szCs w:val="20"/>
    </w:rPr>
  </w:style>
  <w:style w:type="paragraph" w:customStyle="1" w:styleId="5ff4">
    <w:name w:val="列出段落5"/>
    <w:basedOn w:val="a7"/>
    <w:uiPriority w:val="99"/>
    <w:qFormat/>
    <w:pPr>
      <w:spacing w:after="160" w:line="360" w:lineRule="auto"/>
      <w:ind w:firstLineChars="200" w:firstLine="420"/>
    </w:pPr>
    <w:rPr>
      <w:rFonts w:ascii="Calibri" w:hAnsi="Calibri"/>
      <w:sz w:val="28"/>
      <w:szCs w:val="22"/>
    </w:rPr>
  </w:style>
  <w:style w:type="paragraph" w:customStyle="1" w:styleId="xl27">
    <w:name w:val="xl27"/>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482"/>
      <w:jc w:val="left"/>
      <w:textAlignment w:val="center"/>
    </w:pPr>
    <w:rPr>
      <w:rFonts w:ascii="Arial Unicode MS" w:eastAsia="Arial Unicode MS" w:hAnsi="Arial Unicode MS" w:cs="Arial Unicode MS"/>
      <w:kern w:val="0"/>
      <w:sz w:val="20"/>
      <w:szCs w:val="20"/>
    </w:rPr>
  </w:style>
  <w:style w:type="paragraph" w:customStyle="1" w:styleId="CharCharCharCharCharCharCharChar2">
    <w:name w:val="Char Char Char Char Char Char Char Char2"/>
    <w:basedOn w:val="a7"/>
    <w:next w:val="a7"/>
    <w:qFormat/>
    <w:pPr>
      <w:spacing w:after="160" w:line="336" w:lineRule="auto"/>
      <w:ind w:firstLineChars="200" w:firstLine="200"/>
    </w:pPr>
    <w:rPr>
      <w:rFonts w:ascii="宋体" w:eastAsia="汉鼎简书宋" w:hAnsi="宋体"/>
      <w:spacing w:val="4"/>
      <w:sz w:val="24"/>
      <w:szCs w:val="20"/>
    </w:rPr>
  </w:style>
  <w:style w:type="paragraph" w:customStyle="1" w:styleId="Char30">
    <w:name w:val="Char3"/>
    <w:basedOn w:val="a7"/>
    <w:qFormat/>
    <w:pPr>
      <w:tabs>
        <w:tab w:val="left" w:pos="420"/>
      </w:tabs>
      <w:spacing w:after="160" w:line="360" w:lineRule="auto"/>
      <w:ind w:left="420" w:hanging="420"/>
    </w:pPr>
    <w:rPr>
      <w:rFonts w:hAnsi="宋体"/>
      <w:kern w:val="0"/>
      <w:sz w:val="24"/>
    </w:rPr>
  </w:style>
  <w:style w:type="paragraph" w:customStyle="1" w:styleId="afffffffffffffffffffffffffffffffffffff5">
    <w:name w:val="附录一级条"/>
    <w:next w:val="41"/>
    <w:qFormat/>
    <w:pPr>
      <w:tabs>
        <w:tab w:val="left" w:pos="1260"/>
      </w:tabs>
      <w:spacing w:after="160" w:line="440" w:lineRule="exact"/>
      <w:ind w:left="1260" w:hanging="420"/>
    </w:pPr>
    <w:rPr>
      <w:rFonts w:ascii="宋体"/>
      <w:sz w:val="24"/>
    </w:rPr>
  </w:style>
  <w:style w:type="paragraph" w:customStyle="1" w:styleId="CM63">
    <w:name w:val="CM63"/>
    <w:basedOn w:val="Default"/>
    <w:next w:val="Default"/>
    <w:qFormat/>
    <w:pPr>
      <w:spacing w:after="415" w:line="278" w:lineRule="auto"/>
    </w:pPr>
    <w:rPr>
      <w:rFonts w:ascii="Times New Roman" w:hAnsi="Times New Roman" w:cs="Times New Roman"/>
      <w:color w:val="auto"/>
      <w:kern w:val="2"/>
    </w:rPr>
  </w:style>
  <w:style w:type="paragraph" w:customStyle="1" w:styleId="afffffffffffffffffffffffffffffffffffff6">
    <w:name w:val="小四表文左齐"/>
    <w:basedOn w:val="a7"/>
    <w:qFormat/>
    <w:pPr>
      <w:spacing w:after="160" w:line="360" w:lineRule="auto"/>
      <w:ind w:firstLine="482"/>
      <w:jc w:val="center"/>
    </w:pPr>
    <w:rPr>
      <w:rFonts w:ascii="宋体" w:hAnsi="宋体"/>
      <w:kern w:val="0"/>
      <w:sz w:val="24"/>
    </w:rPr>
  </w:style>
  <w:style w:type="paragraph" w:customStyle="1" w:styleId="CM78">
    <w:name w:val="CM78"/>
    <w:basedOn w:val="Default"/>
    <w:next w:val="Default"/>
    <w:qFormat/>
    <w:pPr>
      <w:spacing w:after="178" w:line="278" w:lineRule="auto"/>
    </w:pPr>
    <w:rPr>
      <w:rFonts w:ascii="ST Kaiti" w:eastAsia="ST Kaiti" w:hAnsi="Calibri" w:cs="Times New Roman"/>
      <w:color w:val="auto"/>
    </w:rPr>
  </w:style>
  <w:style w:type="paragraph" w:customStyle="1" w:styleId="afffffffffffffffffffffffffffffffffffff7">
    <w:name w:val="行文"/>
    <w:basedOn w:val="a7"/>
    <w:uiPriority w:val="99"/>
    <w:qFormat/>
    <w:pPr>
      <w:tabs>
        <w:tab w:val="left" w:pos="5040"/>
      </w:tabs>
      <w:adjustRightInd w:val="0"/>
      <w:snapToGrid w:val="0"/>
      <w:spacing w:after="160" w:line="500" w:lineRule="exact"/>
      <w:ind w:leftChars="-114" w:left="-239" w:firstLineChars="228" w:firstLine="479"/>
      <w:jc w:val="left"/>
      <w:textAlignment w:val="baseline"/>
    </w:pPr>
    <w:rPr>
      <w:rFonts w:eastAsia="仿宋_GB2312"/>
      <w:kern w:val="0"/>
      <w:sz w:val="30"/>
      <w:szCs w:val="30"/>
    </w:rPr>
  </w:style>
  <w:style w:type="paragraph" w:customStyle="1" w:styleId="CharCharChar1CharCharChar2">
    <w:name w:val="Char Char Char1 Char Char Char2"/>
    <w:basedOn w:val="a7"/>
    <w:qFormat/>
    <w:pPr>
      <w:spacing w:after="160" w:line="360" w:lineRule="auto"/>
      <w:ind w:firstLineChars="200" w:firstLine="420"/>
    </w:pPr>
    <w:rPr>
      <w:sz w:val="24"/>
      <w:szCs w:val="20"/>
    </w:rPr>
  </w:style>
  <w:style w:type="paragraph" w:customStyle="1" w:styleId="6c">
    <w:name w:val="正文首行缩进6"/>
    <w:basedOn w:val="aff2"/>
    <w:qFormat/>
    <w:pPr>
      <w:adjustRightInd w:val="0"/>
      <w:spacing w:before="0" w:line="312" w:lineRule="auto"/>
      <w:ind w:left="0" w:firstLine="567"/>
      <w:jc w:val="both"/>
    </w:pPr>
    <w:rPr>
      <w:rFonts w:ascii="Times New Roman" w:hAnsi="Times New Roman"/>
      <w:sz w:val="28"/>
      <w:szCs w:val="20"/>
      <w:lang w:eastAsia="zh-CN"/>
    </w:rPr>
  </w:style>
  <w:style w:type="paragraph" w:customStyle="1" w:styleId="5ff5">
    <w:name w:val="自定义标题5"/>
    <w:next w:val="a7"/>
    <w:qFormat/>
    <w:pPr>
      <w:tabs>
        <w:tab w:val="left" w:pos="1442"/>
        <w:tab w:val="left" w:pos="1973"/>
      </w:tabs>
      <w:spacing w:after="160" w:line="278" w:lineRule="auto"/>
      <w:ind w:left="1973" w:hanging="482"/>
    </w:pPr>
  </w:style>
  <w:style w:type="paragraph" w:customStyle="1" w:styleId="4ffa">
    <w:name w:val="自定义标题4"/>
    <w:basedOn w:val="a7"/>
    <w:next w:val="a7"/>
    <w:uiPriority w:val="99"/>
    <w:qFormat/>
    <w:pPr>
      <w:tabs>
        <w:tab w:val="left" w:pos="1442"/>
      </w:tabs>
      <w:adjustRightInd w:val="0"/>
      <w:spacing w:after="180" w:line="320" w:lineRule="exact"/>
      <w:ind w:left="1442"/>
      <w:textAlignment w:val="bottom"/>
    </w:pPr>
    <w:rPr>
      <w:rFonts w:ascii="Arial" w:hAnsi="Arial"/>
      <w:color w:val="0000FF"/>
      <w:kern w:val="0"/>
      <w:sz w:val="24"/>
    </w:rPr>
  </w:style>
  <w:style w:type="paragraph" w:customStyle="1" w:styleId="CharCharCharCharChar2CharCharCharChar3">
    <w:name w:val="Char Char Char Char Char2 Char Char Char Char3"/>
    <w:basedOn w:val="a7"/>
    <w:semiHidden/>
    <w:qFormat/>
    <w:pPr>
      <w:adjustRightInd w:val="0"/>
      <w:snapToGrid w:val="0"/>
      <w:spacing w:after="160" w:line="360" w:lineRule="auto"/>
      <w:ind w:firstLineChars="200" w:firstLine="200"/>
    </w:pPr>
    <w:rPr>
      <w:rFonts w:ascii="宋体" w:hAnsi="宋体" w:cs="宋体"/>
      <w:kern w:val="0"/>
      <w:sz w:val="24"/>
      <w:szCs w:val="26"/>
    </w:rPr>
  </w:style>
  <w:style w:type="paragraph" w:customStyle="1" w:styleId="CharCharCharCharCharCharCharCharCharCharCharCharCharCharCharChar1">
    <w:name w:val="Char Char Char Char Char Char Char Char Char Char Char Char Char Char Char Char1"/>
    <w:basedOn w:val="a7"/>
    <w:qFormat/>
    <w:pPr>
      <w:widowControl/>
      <w:spacing w:after="160" w:line="240" w:lineRule="exact"/>
      <w:jc w:val="left"/>
    </w:pPr>
    <w:rPr>
      <w:rFonts w:ascii="Arial" w:eastAsia="Times New Roman" w:hAnsi="Arial" w:cs="Verdana"/>
      <w:b/>
      <w:kern w:val="0"/>
      <w:sz w:val="24"/>
      <w:szCs w:val="20"/>
      <w:lang w:eastAsia="en-US"/>
    </w:rPr>
  </w:style>
  <w:style w:type="paragraph" w:customStyle="1" w:styleId="GB231211">
    <w:name w:val="样式 样式 (中文) 仿宋_GB2312 居中1 + 小四"/>
    <w:basedOn w:val="GB231210"/>
    <w:qFormat/>
    <w:rPr>
      <w:rFonts w:eastAsia="宋体"/>
      <w:sz w:val="24"/>
    </w:rPr>
  </w:style>
  <w:style w:type="paragraph" w:customStyle="1" w:styleId="4275231">
    <w:name w:val="样式 标题 4 + 黑色 首行缩进:  2 字符 段前: 7.5 磅 行距: 固定值 23 磅1"/>
    <w:basedOn w:val="41"/>
    <w:qFormat/>
    <w:pPr>
      <w:keepNext/>
      <w:keepLines/>
      <w:numPr>
        <w:ilvl w:val="0"/>
        <w:numId w:val="0"/>
      </w:numPr>
      <w:tabs>
        <w:tab w:val="clear" w:pos="864"/>
        <w:tab w:val="left" w:pos="360"/>
      </w:tabs>
      <w:autoSpaceDE w:val="0"/>
      <w:autoSpaceDN w:val="0"/>
      <w:snapToGrid/>
      <w:spacing w:beforeLines="0" w:before="100" w:beforeAutospacing="1" w:afterLines="0" w:after="290"/>
      <w:ind w:firstLineChars="200" w:firstLine="480"/>
      <w:jc w:val="both"/>
      <w:textAlignment w:val="auto"/>
    </w:pPr>
    <w:rPr>
      <w:rFonts w:eastAsia="黑体"/>
      <w:color w:val="auto"/>
      <w:szCs w:val="20"/>
      <w:lang w:val="en-US"/>
    </w:rPr>
  </w:style>
  <w:style w:type="paragraph" w:customStyle="1" w:styleId="afffffffffffffffffffffffffffffffffffff8">
    <w:name w:val="表头样式"/>
    <w:basedOn w:val="a7"/>
    <w:qFormat/>
    <w:pPr>
      <w:spacing w:beforeLines="30" w:before="93" w:afterLines="20" w:after="62" w:line="360" w:lineRule="auto"/>
      <w:ind w:firstLine="482"/>
      <w:jc w:val="center"/>
    </w:pPr>
    <w:rPr>
      <w:rFonts w:eastAsia="黑体"/>
      <w:kern w:val="0"/>
      <w:sz w:val="28"/>
      <w:szCs w:val="20"/>
    </w:rPr>
  </w:style>
  <w:style w:type="paragraph" w:customStyle="1" w:styleId="charffffffff1">
    <w:name w:val="char"/>
    <w:basedOn w:val="a7"/>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TOC30">
    <w:name w:val="TOC 标题3"/>
    <w:basedOn w:val="1"/>
    <w:next w:val="a7"/>
    <w:qFormat/>
    <w:pPr>
      <w:keepNext/>
      <w:keepLines/>
      <w:widowControl/>
      <w:numPr>
        <w:numId w:val="0"/>
      </w:numPr>
      <w:snapToGrid/>
      <w:spacing w:beforeLines="0" w:before="480" w:after="160" w:line="276" w:lineRule="auto"/>
      <w:jc w:val="left"/>
      <w:outlineLvl w:val="9"/>
    </w:pPr>
    <w:rPr>
      <w:rFonts w:ascii="Cambria" w:eastAsia="楷体_GB2312" w:hAnsi="Cambria"/>
      <w:b/>
      <w:bCs/>
      <w:color w:val="365F91"/>
      <w:kern w:val="0"/>
      <w:sz w:val="28"/>
      <w:szCs w:val="28"/>
    </w:rPr>
  </w:style>
  <w:style w:type="paragraph" w:customStyle="1" w:styleId="1260">
    <w:name w:val="样式 正文文本缩进 + 首行缩进:  1 字符 行距: 固定值 26 磅"/>
    <w:basedOn w:val="a7"/>
    <w:qFormat/>
    <w:pPr>
      <w:spacing w:before="50" w:after="160" w:line="360" w:lineRule="auto"/>
      <w:ind w:firstLine="561"/>
      <w:jc w:val="left"/>
    </w:pPr>
    <w:rPr>
      <w:kern w:val="0"/>
      <w:sz w:val="24"/>
      <w:szCs w:val="20"/>
    </w:rPr>
  </w:style>
  <w:style w:type="paragraph" w:customStyle="1" w:styleId="ZW0">
    <w:name w:val="ZW"/>
    <w:basedOn w:val="a7"/>
    <w:qFormat/>
    <w:pPr>
      <w:adjustRightInd w:val="0"/>
      <w:spacing w:after="160" w:line="300" w:lineRule="auto"/>
      <w:ind w:firstLineChars="200" w:firstLine="200"/>
    </w:pPr>
    <w:rPr>
      <w:rFonts w:cs="宋体"/>
      <w:sz w:val="24"/>
    </w:rPr>
  </w:style>
  <w:style w:type="paragraph" w:customStyle="1" w:styleId="Char3CharCharCharCharCharChar1">
    <w:name w:val="Char3 Char Char Char Char Char Char1"/>
    <w:basedOn w:val="a7"/>
    <w:qFormat/>
    <w:pPr>
      <w:widowControl/>
      <w:spacing w:after="160" w:line="360" w:lineRule="auto"/>
      <w:ind w:firstLine="482"/>
      <w:jc w:val="left"/>
    </w:pPr>
    <w:rPr>
      <w:rFonts w:ascii="宋体" w:hAnsi="宋体" w:cs="宋体"/>
      <w:kern w:val="0"/>
      <w:sz w:val="24"/>
    </w:rPr>
  </w:style>
  <w:style w:type="paragraph" w:customStyle="1" w:styleId="afffffffffffffffffffffffffffffffffffff9">
    <w:name w:val="表格 左"/>
    <w:basedOn w:val="a7"/>
    <w:uiPriority w:val="99"/>
    <w:qFormat/>
    <w:pPr>
      <w:widowControl/>
      <w:snapToGrid w:val="0"/>
      <w:spacing w:after="160" w:line="300" w:lineRule="auto"/>
      <w:jc w:val="left"/>
    </w:pPr>
    <w:rPr>
      <w:color w:val="000000"/>
      <w:kern w:val="0"/>
      <w:sz w:val="24"/>
    </w:rPr>
  </w:style>
  <w:style w:type="paragraph" w:customStyle="1" w:styleId="ListContinue21">
    <w:name w:val="List Continue 21"/>
    <w:basedOn w:val="a7"/>
    <w:qFormat/>
    <w:pPr>
      <w:spacing w:after="120" w:line="278" w:lineRule="auto"/>
      <w:ind w:leftChars="400" w:left="840"/>
    </w:pPr>
  </w:style>
  <w:style w:type="paragraph" w:customStyle="1" w:styleId="05182">
    <w:name w:val="样式 样式 样式 宋体 段前: 0.5 行 行距: 固定值 18 磅 + 首行缩进:  2 字符 +"/>
    <w:basedOn w:val="a7"/>
    <w:uiPriority w:val="99"/>
    <w:qFormat/>
    <w:pPr>
      <w:widowControl/>
      <w:spacing w:after="160" w:line="360" w:lineRule="exact"/>
      <w:ind w:firstLineChars="200" w:firstLine="459"/>
    </w:pPr>
    <w:rPr>
      <w:sz w:val="24"/>
      <w:szCs w:val="20"/>
    </w:rPr>
  </w:style>
  <w:style w:type="paragraph" w:customStyle="1" w:styleId="afffffffffffffffffffffffffffffffffffffa">
    <w:name w:val="纸短情长，再祈珍重！"/>
    <w:qFormat/>
    <w:pPr>
      <w:widowControl w:val="0"/>
      <w:spacing w:after="160" w:line="278" w:lineRule="auto"/>
      <w:jc w:val="both"/>
    </w:pPr>
    <w:rPr>
      <w:kern w:val="2"/>
      <w:sz w:val="21"/>
    </w:rPr>
  </w:style>
  <w:style w:type="paragraph" w:customStyle="1" w:styleId="font12">
    <w:name w:val="font12"/>
    <w:basedOn w:val="a7"/>
    <w:qFormat/>
    <w:pPr>
      <w:widowControl/>
      <w:spacing w:before="100" w:beforeAutospacing="1" w:after="100" w:afterAutospacing="1" w:line="360" w:lineRule="auto"/>
      <w:ind w:firstLine="482"/>
      <w:jc w:val="left"/>
    </w:pPr>
    <w:rPr>
      <w:color w:val="000000"/>
      <w:kern w:val="0"/>
      <w:sz w:val="24"/>
    </w:rPr>
  </w:style>
  <w:style w:type="paragraph" w:customStyle="1" w:styleId="afffffffffffffffffffffffffffffffffffffb">
    <w:name w:val="首缩"/>
    <w:basedOn w:val="a7"/>
    <w:qFormat/>
    <w:pPr>
      <w:adjustRightInd w:val="0"/>
      <w:snapToGrid w:val="0"/>
      <w:spacing w:after="160" w:line="500" w:lineRule="exact"/>
      <w:ind w:firstLine="200"/>
    </w:pPr>
    <w:rPr>
      <w:rFonts w:eastAsia="仿宋_GB2312"/>
      <w:snapToGrid w:val="0"/>
      <w:kern w:val="0"/>
      <w:sz w:val="28"/>
      <w:szCs w:val="20"/>
    </w:rPr>
  </w:style>
  <w:style w:type="paragraph" w:customStyle="1" w:styleId="xl134">
    <w:name w:val="xl134"/>
    <w:basedOn w:val="a7"/>
    <w:uiPriority w:val="99"/>
    <w:qFormat/>
    <w:pPr>
      <w:widowControl/>
      <w:pBdr>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143">
    <w:name w:val="xl143"/>
    <w:basedOn w:val="a7"/>
    <w:uiPriority w:val="99"/>
    <w:qFormat/>
    <w:pPr>
      <w:widowControl/>
      <w:pBdr>
        <w:top w:val="single" w:sz="4" w:space="0" w:color="auto"/>
        <w:left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1420">
    <w:name w:val="样式 样式 宋体 小四 行距: 多倍行距 1.4 字行 + 首行缩进:  2 字符"/>
    <w:basedOn w:val="a7"/>
    <w:qFormat/>
    <w:pPr>
      <w:spacing w:after="160" w:line="360" w:lineRule="auto"/>
      <w:ind w:firstLineChars="200" w:firstLine="200"/>
    </w:pPr>
    <w:rPr>
      <w:rFonts w:ascii="宋体" w:hAnsi="宋体"/>
      <w:kern w:val="28"/>
      <w:sz w:val="28"/>
      <w:szCs w:val="20"/>
    </w:rPr>
  </w:style>
  <w:style w:type="paragraph" w:customStyle="1" w:styleId="0740">
    <w:name w:val="样式 表格标题 + 首行缩进:  0.74 厘米"/>
    <w:basedOn w:val="a7"/>
    <w:semiHidden/>
    <w:qFormat/>
    <w:pPr>
      <w:adjustRightInd w:val="0"/>
      <w:snapToGrid w:val="0"/>
      <w:spacing w:after="160" w:line="360" w:lineRule="auto"/>
      <w:jc w:val="center"/>
    </w:pPr>
    <w:rPr>
      <w:rFonts w:eastAsia="黑体" w:cs="宋体"/>
      <w:szCs w:val="20"/>
    </w:rPr>
  </w:style>
  <w:style w:type="paragraph" w:customStyle="1" w:styleId="20">
    <w:name w:val="标题2，第二标题"/>
    <w:basedOn w:val="affff7"/>
    <w:next w:val="affff7"/>
    <w:qFormat/>
    <w:pPr>
      <w:numPr>
        <w:ilvl w:val="1"/>
        <w:numId w:val="22"/>
      </w:numPr>
      <w:tabs>
        <w:tab w:val="left" w:pos="420"/>
        <w:tab w:val="left" w:pos="628"/>
        <w:tab w:val="left" w:pos="1727"/>
        <w:tab w:val="left" w:pos="1884"/>
        <w:tab w:val="left" w:pos="2660"/>
        <w:tab w:val="left" w:pos="5460"/>
      </w:tabs>
      <w:snapToGrid w:val="0"/>
      <w:spacing w:beforeLines="30" w:afterLines="30" w:line="440" w:lineRule="exact"/>
      <w:ind w:left="1320" w:firstLineChars="0" w:firstLine="0"/>
      <w:outlineLvl w:val="1"/>
    </w:pPr>
    <w:rPr>
      <w:rFonts w:ascii="Times New Roman" w:eastAsia="黑体" w:hAnsi="Times New Roman" w:cs="Times New Roman"/>
      <w:sz w:val="28"/>
      <w:szCs w:val="20"/>
    </w:rPr>
  </w:style>
  <w:style w:type="paragraph" w:customStyle="1" w:styleId="CM16">
    <w:name w:val="CM16"/>
    <w:basedOn w:val="Default"/>
    <w:next w:val="Default"/>
    <w:qFormat/>
    <w:pPr>
      <w:spacing w:after="240" w:line="278" w:lineRule="auto"/>
    </w:pPr>
    <w:rPr>
      <w:rFonts w:ascii="..ì." w:eastAsia="..ì." w:hAnsi="Calibri" w:cs="Times New Roman"/>
      <w:color w:val="auto"/>
    </w:rPr>
  </w:style>
  <w:style w:type="paragraph" w:customStyle="1" w:styleId="3fff0">
    <w:name w:val="3"/>
    <w:basedOn w:val="a7"/>
    <w:next w:val="aff4"/>
    <w:qFormat/>
    <w:pPr>
      <w:widowControl/>
      <w:spacing w:after="200" w:line="500" w:lineRule="exact"/>
      <w:ind w:firstLine="425"/>
      <w:jc w:val="left"/>
    </w:pPr>
    <w:rPr>
      <w:kern w:val="0"/>
      <w:sz w:val="24"/>
      <w:szCs w:val="20"/>
      <w:lang w:eastAsia="en-US" w:bidi="en-US"/>
    </w:rPr>
  </w:style>
  <w:style w:type="paragraph" w:customStyle="1" w:styleId="0a">
    <w:name w:val="0"/>
    <w:basedOn w:val="a7"/>
    <w:qFormat/>
    <w:pPr>
      <w:snapToGrid w:val="0"/>
      <w:spacing w:after="160" w:line="336" w:lineRule="auto"/>
      <w:ind w:firstLineChars="200" w:firstLine="200"/>
      <w:jc w:val="left"/>
    </w:pPr>
    <w:rPr>
      <w:rFonts w:hint="eastAsia"/>
      <w:sz w:val="24"/>
      <w:szCs w:val="20"/>
    </w:rPr>
  </w:style>
  <w:style w:type="paragraph" w:customStyle="1" w:styleId="2ffffff4">
    <w:name w:val="字元 字元2"/>
    <w:basedOn w:val="a7"/>
    <w:uiPriority w:val="99"/>
    <w:qFormat/>
    <w:pPr>
      <w:snapToGrid w:val="0"/>
      <w:spacing w:after="160" w:line="278" w:lineRule="auto"/>
      <w:jc w:val="left"/>
    </w:pPr>
  </w:style>
  <w:style w:type="paragraph" w:customStyle="1" w:styleId="2ffffff5">
    <w:name w:val="样式 样式 表格 + 居中 + 首行缩进:  2 字符"/>
    <w:basedOn w:val="afffffff9"/>
    <w:qFormat/>
    <w:pPr>
      <w:spacing w:after="160" w:line="360" w:lineRule="auto"/>
      <w:ind w:firstLineChars="0" w:firstLine="0"/>
    </w:pPr>
    <w:rPr>
      <w:rFonts w:cs="宋体"/>
      <w:snapToGrid/>
      <w:color w:val="auto"/>
      <w:szCs w:val="20"/>
    </w:rPr>
  </w:style>
  <w:style w:type="paragraph" w:customStyle="1" w:styleId="4ffb">
    <w:name w:val="4标"/>
    <w:basedOn w:val="a7"/>
    <w:qFormat/>
    <w:pPr>
      <w:keepNext/>
      <w:keepLines/>
      <w:spacing w:beforeLines="50" w:afterLines="50" w:after="160" w:line="278" w:lineRule="auto"/>
      <w:outlineLvl w:val="3"/>
    </w:pPr>
    <w:rPr>
      <w:rFonts w:eastAsia="黑体" w:cs="宋体"/>
      <w:szCs w:val="20"/>
    </w:rPr>
  </w:style>
  <w:style w:type="paragraph" w:customStyle="1" w:styleId="xl125">
    <w:name w:val="xl125"/>
    <w:basedOn w:val="a7"/>
    <w:uiPriority w:val="99"/>
    <w:qFormat/>
    <w:pPr>
      <w:widowControl/>
      <w:shd w:val="clear" w:color="000000" w:fill="FFFFFF"/>
      <w:snapToGrid w:val="0"/>
      <w:spacing w:before="100" w:beforeAutospacing="1" w:after="100" w:afterAutospacing="1" w:line="278" w:lineRule="auto"/>
      <w:jc w:val="right"/>
    </w:pPr>
    <w:rPr>
      <w:kern w:val="0"/>
      <w:sz w:val="24"/>
    </w:rPr>
  </w:style>
  <w:style w:type="paragraph" w:customStyle="1" w:styleId="afffffffffffffffffffffffffffffffffffffc">
    <w:name w:val="正文（唐）"/>
    <w:basedOn w:val="a7"/>
    <w:semiHidden/>
    <w:qFormat/>
    <w:pPr>
      <w:autoSpaceDE w:val="0"/>
      <w:autoSpaceDN w:val="0"/>
      <w:adjustRightInd w:val="0"/>
      <w:spacing w:after="160" w:line="460" w:lineRule="exact"/>
      <w:ind w:left="-45" w:firstLineChars="200" w:firstLine="480"/>
    </w:pPr>
    <w:rPr>
      <w:rFonts w:ascii="宋体" w:eastAsia="Times New Roman" w:hAnsi="宋体" w:cs="宋体"/>
      <w:b/>
      <w:kern w:val="0"/>
      <w:sz w:val="24"/>
    </w:rPr>
  </w:style>
  <w:style w:type="paragraph" w:customStyle="1" w:styleId="CharCharChar7">
    <w:name w:val="二级标题 Char Char Char"/>
    <w:basedOn w:val="a7"/>
    <w:next w:val="a7"/>
    <w:qFormat/>
    <w:pPr>
      <w:spacing w:after="160" w:line="529" w:lineRule="exact"/>
      <w:ind w:firstLineChars="200" w:firstLine="200"/>
    </w:pPr>
    <w:rPr>
      <w:rFonts w:ascii="宋体" w:hAnsi="宋体" w:cs="宋体"/>
      <w:kern w:val="0"/>
      <w:sz w:val="24"/>
    </w:rPr>
  </w:style>
  <w:style w:type="paragraph" w:customStyle="1" w:styleId="2ffffff6">
    <w:name w:val="样式 表格内容 + 加粗 首行缩进:  2 字符"/>
    <w:basedOn w:val="afffffb"/>
    <w:next w:val="a7"/>
    <w:qFormat/>
    <w:pPr>
      <w:overflowPunct w:val="0"/>
      <w:adjustRightInd w:val="0"/>
      <w:spacing w:line="240" w:lineRule="exact"/>
      <w:ind w:firstLine="482"/>
    </w:pPr>
    <w:rPr>
      <w:rFonts w:cs="宋体"/>
      <w:b/>
      <w:bCs/>
      <w:color w:val="auto"/>
      <w:kern w:val="0"/>
      <w:sz w:val="24"/>
      <w:szCs w:val="20"/>
    </w:rPr>
  </w:style>
  <w:style w:type="paragraph" w:customStyle="1" w:styleId="2ffffff7">
    <w:name w:val="样式 报告书正文 + 首行缩进:  2 字符"/>
    <w:basedOn w:val="a7"/>
    <w:qFormat/>
    <w:pPr>
      <w:spacing w:after="160" w:line="360" w:lineRule="auto"/>
      <w:ind w:firstLineChars="200" w:firstLine="504"/>
    </w:pPr>
    <w:rPr>
      <w:rFonts w:ascii="宋体" w:hAnsi="宋体"/>
      <w:color w:val="000000"/>
      <w:spacing w:val="6"/>
      <w:sz w:val="24"/>
      <w:szCs w:val="20"/>
    </w:rPr>
  </w:style>
  <w:style w:type="paragraph" w:customStyle="1" w:styleId="2ffffff8">
    <w:name w:val="正文缩进2"/>
    <w:basedOn w:val="a7"/>
    <w:uiPriority w:val="99"/>
    <w:qFormat/>
    <w:pPr>
      <w:adjustRightInd w:val="0"/>
      <w:spacing w:after="160" w:line="278" w:lineRule="auto"/>
      <w:ind w:firstLineChars="200" w:firstLine="420"/>
      <w:textAlignment w:val="baseline"/>
    </w:pPr>
    <w:rPr>
      <w:rFonts w:hAnsi="宋体" w:hint="eastAsia"/>
      <w:sz w:val="24"/>
      <w:szCs w:val="20"/>
    </w:rPr>
  </w:style>
  <w:style w:type="paragraph" w:customStyle="1" w:styleId="Char2CharCharCharCharCharCharCharCharCharCharCharCharCharCharChar1">
    <w:name w:val="Char2 Char Char Char Char Char Char Char Char Char Char Char Char Char Char Char1"/>
    <w:basedOn w:val="a7"/>
    <w:qFormat/>
    <w:pPr>
      <w:spacing w:after="160" w:line="360" w:lineRule="auto"/>
      <w:ind w:firstLine="482"/>
    </w:pPr>
    <w:rPr>
      <w:kern w:val="0"/>
      <w:sz w:val="24"/>
    </w:rPr>
  </w:style>
  <w:style w:type="paragraph" w:customStyle="1" w:styleId="GY5">
    <w:name w:val="GY5"/>
    <w:basedOn w:val="a7"/>
    <w:qFormat/>
    <w:pPr>
      <w:numPr>
        <w:numId w:val="23"/>
      </w:numPr>
      <w:tabs>
        <w:tab w:val="clear" w:pos="504"/>
        <w:tab w:val="left" w:pos="360"/>
      </w:tabs>
      <w:spacing w:after="160" w:line="278" w:lineRule="auto"/>
      <w:ind w:left="57" w:hanging="57"/>
    </w:pPr>
  </w:style>
  <w:style w:type="paragraph" w:customStyle="1" w:styleId="afffffffffffffffffffffffffffffffffffffd">
    <w:name w:val="规划院正文"/>
    <w:basedOn w:val="a7"/>
    <w:uiPriority w:val="99"/>
    <w:qFormat/>
    <w:pPr>
      <w:adjustRightInd w:val="0"/>
      <w:snapToGrid w:val="0"/>
      <w:spacing w:after="160" w:line="300" w:lineRule="auto"/>
      <w:ind w:firstLineChars="200" w:firstLine="200"/>
      <w:jc w:val="left"/>
    </w:pPr>
    <w:rPr>
      <w:rFonts w:ascii="宋体" w:hAnsi="宋体"/>
      <w:color w:val="000000"/>
      <w:sz w:val="24"/>
    </w:rPr>
  </w:style>
  <w:style w:type="paragraph" w:customStyle="1" w:styleId="15d">
    <w:name w:val="样式 四号 左 行距: 1.5 倍行距"/>
    <w:basedOn w:val="a7"/>
    <w:qFormat/>
    <w:pPr>
      <w:spacing w:after="160" w:line="360" w:lineRule="auto"/>
      <w:jc w:val="left"/>
    </w:pPr>
    <w:rPr>
      <w:sz w:val="28"/>
      <w:szCs w:val="28"/>
    </w:rPr>
  </w:style>
  <w:style w:type="paragraph" w:customStyle="1" w:styleId="CharCharChar1CharCharCharChar1">
    <w:name w:val="Char Char Char1 Char Char Char Char1"/>
    <w:basedOn w:val="a7"/>
    <w:next w:val="a7"/>
    <w:qFormat/>
    <w:pPr>
      <w:spacing w:after="160" w:line="360" w:lineRule="auto"/>
      <w:ind w:firstLineChars="200" w:firstLine="200"/>
    </w:pPr>
    <w:rPr>
      <w:kern w:val="0"/>
      <w:sz w:val="24"/>
      <w:szCs w:val="20"/>
    </w:rPr>
  </w:style>
  <w:style w:type="paragraph" w:customStyle="1" w:styleId="ENUM">
    <w:name w:val="ENUM"/>
    <w:basedOn w:val="a7"/>
    <w:qFormat/>
    <w:pPr>
      <w:widowControl/>
      <w:tabs>
        <w:tab w:val="left" w:pos="1320"/>
        <w:tab w:val="left" w:pos="1418"/>
      </w:tabs>
      <w:spacing w:before="60" w:after="60" w:line="278" w:lineRule="auto"/>
      <w:ind w:left="1418" w:firstLineChars="200" w:hanging="284"/>
    </w:pPr>
    <w:rPr>
      <w:rFonts w:ascii="Arial" w:hAnsi="Arial"/>
      <w:kern w:val="0"/>
      <w:sz w:val="22"/>
      <w:szCs w:val="20"/>
    </w:rPr>
  </w:style>
  <w:style w:type="paragraph" w:customStyle="1" w:styleId="CharCharChar20">
    <w:name w:val="Char Char Char2"/>
    <w:basedOn w:val="a7"/>
    <w:qFormat/>
    <w:pPr>
      <w:snapToGrid w:val="0"/>
      <w:spacing w:after="160" w:line="278" w:lineRule="auto"/>
      <w:jc w:val="left"/>
    </w:pPr>
    <w:rPr>
      <w:szCs w:val="20"/>
    </w:rPr>
  </w:style>
  <w:style w:type="paragraph" w:customStyle="1" w:styleId="afffffffffffffffffffffffffffffffffffffe">
    <w:name w:val="项目"/>
    <w:basedOn w:val="a7"/>
    <w:qFormat/>
    <w:pPr>
      <w:tabs>
        <w:tab w:val="left" w:pos="840"/>
      </w:tabs>
      <w:spacing w:after="160" w:line="360" w:lineRule="auto"/>
      <w:ind w:left="840" w:hanging="360"/>
    </w:pPr>
    <w:rPr>
      <w:kern w:val="0"/>
      <w:sz w:val="24"/>
    </w:rPr>
  </w:style>
  <w:style w:type="paragraph" w:customStyle="1" w:styleId="xl140">
    <w:name w:val="xl140"/>
    <w:basedOn w:val="a7"/>
    <w:uiPriority w:val="99"/>
    <w:qFormat/>
    <w:pPr>
      <w:widowControl/>
      <w:pBdr>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0020">
    <w:name w:val="样式 正文00 + 首行缩进:  2 字符"/>
    <w:basedOn w:val="a7"/>
    <w:qFormat/>
    <w:pPr>
      <w:spacing w:after="160" w:line="360" w:lineRule="auto"/>
      <w:ind w:firstLineChars="200" w:firstLine="482"/>
      <w:jc w:val="left"/>
    </w:pPr>
    <w:rPr>
      <w:rFonts w:ascii="宋体" w:hAnsi="宋体" w:cs="宋体"/>
      <w:kern w:val="0"/>
      <w:sz w:val="24"/>
      <w:szCs w:val="20"/>
    </w:rPr>
  </w:style>
  <w:style w:type="paragraph" w:customStyle="1" w:styleId="xl151">
    <w:name w:val="xl151"/>
    <w:basedOn w:val="a7"/>
    <w:uiPriority w:val="99"/>
    <w:qFormat/>
    <w:pPr>
      <w:widowControl/>
      <w:pBdr>
        <w:top w:val="single" w:sz="4" w:space="0" w:color="auto"/>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xl330">
    <w:name w:val="xl330"/>
    <w:basedOn w:val="a7"/>
    <w:qFormat/>
    <w:pPr>
      <w:widowControl/>
      <w:pBdr>
        <w:left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affffffffffffffffffffffffffffffffffffff">
    <w:name w:val="表格后"/>
    <w:basedOn w:val="a7"/>
    <w:next w:val="a7"/>
    <w:qFormat/>
    <w:pPr>
      <w:spacing w:beforeLines="50" w:before="156" w:after="160" w:line="360" w:lineRule="auto"/>
      <w:ind w:firstLineChars="200" w:firstLine="200"/>
    </w:pPr>
    <w:rPr>
      <w:kern w:val="0"/>
      <w:sz w:val="24"/>
    </w:rPr>
  </w:style>
  <w:style w:type="paragraph" w:customStyle="1" w:styleId="reader-word-layerreader-word-s6-6">
    <w:name w:val="reader-word-layer reader-word-s6-6"/>
    <w:basedOn w:val="a7"/>
    <w:uiPriority w:val="99"/>
    <w:qFormat/>
    <w:pPr>
      <w:widowControl/>
      <w:spacing w:before="100" w:beforeAutospacing="1" w:after="100" w:afterAutospacing="1" w:line="278" w:lineRule="auto"/>
      <w:jc w:val="left"/>
    </w:pPr>
    <w:rPr>
      <w:rFonts w:ascii="宋体" w:hAnsi="宋体" w:cs="宋体"/>
      <w:kern w:val="0"/>
      <w:sz w:val="24"/>
    </w:rPr>
  </w:style>
  <w:style w:type="paragraph" w:customStyle="1" w:styleId="31113Char11111113h33rdlevelH31">
    <w:name w:val="样式 标题 3条标题1.1.1标题 3 Char节标题1.1.1条标题1.1.1.13h33rd levelH3...1"/>
    <w:basedOn w:val="31"/>
    <w:qFormat/>
    <w:pPr>
      <w:keepNext/>
      <w:keepLines/>
      <w:numPr>
        <w:ilvl w:val="0"/>
        <w:numId w:val="0"/>
      </w:numPr>
      <w:tabs>
        <w:tab w:val="left" w:pos="454"/>
      </w:tabs>
      <w:adjustRightInd/>
      <w:snapToGrid/>
      <w:spacing w:beforeLines="0" w:before="0" w:afterLines="0" w:after="0" w:line="480" w:lineRule="exact"/>
      <w:ind w:left="720"/>
      <w:jc w:val="both"/>
      <w:textAlignment w:val="auto"/>
    </w:pPr>
    <w:rPr>
      <w:rFonts w:ascii="宋体" w:eastAsia="宋体" w:hAnsi="宋体"/>
      <w:b w:val="0"/>
      <w:bCs w:val="0"/>
      <w:color w:val="auto"/>
      <w:kern w:val="0"/>
      <w:sz w:val="28"/>
      <w:szCs w:val="20"/>
      <w:lang w:val="en-US"/>
    </w:rPr>
  </w:style>
  <w:style w:type="paragraph" w:customStyle="1" w:styleId="affffffffffffffffffffffffffffffffffffff0">
    <w:name w:val="样式 (中文) 汉鼎简书宋"/>
    <w:basedOn w:val="a7"/>
    <w:next w:val="a7"/>
    <w:qFormat/>
    <w:pPr>
      <w:spacing w:after="160" w:line="529" w:lineRule="exact"/>
      <w:ind w:firstLineChars="200" w:firstLine="480"/>
    </w:pPr>
    <w:rPr>
      <w:rFonts w:ascii="宋体" w:hAnsi="宋体"/>
      <w:kern w:val="24"/>
      <w:sz w:val="24"/>
      <w:szCs w:val="20"/>
    </w:rPr>
  </w:style>
  <w:style w:type="paragraph" w:customStyle="1" w:styleId="affffffffffffffffffffffffffffffffffffff1">
    <w:name w:val="字元 字元"/>
    <w:basedOn w:val="a7"/>
    <w:qFormat/>
    <w:pPr>
      <w:widowControl/>
      <w:spacing w:after="160" w:line="278" w:lineRule="auto"/>
      <w:jc w:val="left"/>
    </w:pPr>
    <w:rPr>
      <w:rFonts w:ascii="宋体" w:hAnsi="宋体" w:cs="宋体"/>
      <w:kern w:val="0"/>
      <w:sz w:val="24"/>
    </w:rPr>
  </w:style>
  <w:style w:type="paragraph" w:customStyle="1" w:styleId="affffffffffffffffffffffffffffffffffffff2">
    <w:name w:val="正文缩"/>
    <w:basedOn w:val="a7"/>
    <w:qFormat/>
    <w:pPr>
      <w:adjustRightInd w:val="0"/>
      <w:snapToGrid w:val="0"/>
      <w:spacing w:after="160" w:line="480" w:lineRule="atLeast"/>
      <w:ind w:firstLine="567"/>
      <w:textAlignment w:val="baseline"/>
    </w:pPr>
    <w:rPr>
      <w:rFonts w:ascii="宋体"/>
      <w:spacing w:val="6"/>
      <w:kern w:val="0"/>
      <w:sz w:val="28"/>
      <w:szCs w:val="20"/>
    </w:rPr>
  </w:style>
  <w:style w:type="paragraph" w:customStyle="1" w:styleId="xl37">
    <w:name w:val="xl37"/>
    <w:basedOn w:val="a7"/>
    <w:uiPriority w:val="99"/>
    <w:qFormat/>
    <w:pPr>
      <w:widowControl/>
      <w:pBdr>
        <w:top w:val="single" w:sz="4" w:space="0" w:color="auto"/>
        <w:left w:val="single" w:sz="4" w:space="0" w:color="auto"/>
        <w:bottom w:val="single" w:sz="4" w:space="0" w:color="auto"/>
      </w:pBdr>
      <w:spacing w:before="100" w:after="100" w:line="360" w:lineRule="auto"/>
      <w:ind w:firstLine="482"/>
      <w:jc w:val="center"/>
      <w:textAlignment w:val="center"/>
    </w:pPr>
    <w:rPr>
      <w:kern w:val="0"/>
      <w:sz w:val="28"/>
      <w:szCs w:val="28"/>
    </w:rPr>
  </w:style>
  <w:style w:type="paragraph" w:customStyle="1" w:styleId="a00">
    <w:name w:val="a0"/>
    <w:basedOn w:val="a7"/>
    <w:semiHidden/>
    <w:qFormat/>
    <w:pPr>
      <w:widowControl/>
      <w:spacing w:before="100" w:beforeAutospacing="1" w:after="100" w:afterAutospacing="1" w:line="278" w:lineRule="auto"/>
      <w:jc w:val="left"/>
    </w:pPr>
    <w:rPr>
      <w:rFonts w:ascii="宋体" w:hAnsi="宋体"/>
      <w:color w:val="000000"/>
      <w:kern w:val="0"/>
      <w:sz w:val="24"/>
    </w:rPr>
  </w:style>
  <w:style w:type="paragraph" w:customStyle="1" w:styleId="xl88">
    <w:name w:val="xl88"/>
    <w:basedOn w:val="a7"/>
    <w:qFormat/>
    <w:pPr>
      <w:widowControl/>
      <w:pBdr>
        <w:bottom w:val="single" w:sz="8" w:space="0" w:color="000000"/>
        <w:right w:val="single" w:sz="8" w:space="0" w:color="000000"/>
      </w:pBdr>
      <w:snapToGrid w:val="0"/>
      <w:spacing w:before="100" w:beforeAutospacing="1" w:after="100" w:afterAutospacing="1" w:line="278" w:lineRule="auto"/>
      <w:jc w:val="center"/>
    </w:pPr>
    <w:rPr>
      <w:rFonts w:ascii="宋体" w:hAnsi="宋体" w:cs="宋体"/>
      <w:color w:val="000000"/>
      <w:kern w:val="0"/>
      <w:sz w:val="24"/>
    </w:rPr>
  </w:style>
  <w:style w:type="paragraph" w:customStyle="1" w:styleId="CharCharChar2CharCharCharCharCharCharCharCharCharChar2">
    <w:name w:val="Char Char Char2 Char Char Char Char Char Char Char Char Char Char2"/>
    <w:basedOn w:val="a7"/>
    <w:qFormat/>
    <w:pPr>
      <w:spacing w:after="160" w:line="278" w:lineRule="auto"/>
    </w:pPr>
  </w:style>
  <w:style w:type="paragraph" w:customStyle="1" w:styleId="15e">
    <w:name w:val="样式 行距: 1.5 倍行距"/>
    <w:basedOn w:val="a7"/>
    <w:qFormat/>
    <w:pPr>
      <w:spacing w:after="160" w:line="360" w:lineRule="auto"/>
      <w:ind w:firstLineChars="200" w:firstLine="420"/>
    </w:pPr>
    <w:rPr>
      <w:rFonts w:cs="宋体"/>
      <w:kern w:val="0"/>
      <w:sz w:val="24"/>
      <w:szCs w:val="20"/>
    </w:rPr>
  </w:style>
  <w:style w:type="paragraph" w:customStyle="1" w:styleId="Char1CharCharCharCharCharCharCharCharChar1">
    <w:name w:val="Char1 Char Char Char Char Char Char Char Char Char1"/>
    <w:basedOn w:val="a7"/>
    <w:uiPriority w:val="99"/>
    <w:qFormat/>
    <w:pPr>
      <w:spacing w:after="160" w:line="278" w:lineRule="auto"/>
    </w:pPr>
  </w:style>
  <w:style w:type="paragraph" w:customStyle="1" w:styleId="affffffffffffffffffffffffffffffffffffff3">
    <w:name w:val="正常文"/>
    <w:basedOn w:val="afffffffffffffffffffffffffffffffffffff7"/>
    <w:uiPriority w:val="99"/>
    <w:qFormat/>
    <w:rPr>
      <w:rFonts w:eastAsia="宋体"/>
    </w:rPr>
  </w:style>
  <w:style w:type="paragraph" w:customStyle="1" w:styleId="affffffffffffffffffffffffffffffffffffff4">
    <w:name w:val="附件名"/>
    <w:qFormat/>
    <w:pPr>
      <w:spacing w:after="160" w:line="278" w:lineRule="auto"/>
      <w:jc w:val="center"/>
    </w:pPr>
    <w:rPr>
      <w:rFonts w:eastAsia="黑体"/>
      <w:sz w:val="36"/>
    </w:rPr>
  </w:style>
  <w:style w:type="paragraph" w:customStyle="1" w:styleId="affffffffffffffffffffffffffffffffffffff5">
    <w:name w:val="五级条标题"/>
    <w:basedOn w:val="afffffffffffffffffffc"/>
    <w:next w:val="a7"/>
    <w:qFormat/>
    <w:pPr>
      <w:outlineLvl w:val="6"/>
    </w:pPr>
  </w:style>
  <w:style w:type="paragraph" w:customStyle="1" w:styleId="CharCharCharCharCharCharCharCharChar1">
    <w:name w:val="Char Char Char Char Char Char Char Char Char1"/>
    <w:basedOn w:val="a7"/>
    <w:qFormat/>
    <w:pPr>
      <w:spacing w:after="160" w:line="360" w:lineRule="auto"/>
      <w:ind w:firstLine="482"/>
    </w:pPr>
    <w:rPr>
      <w:kern w:val="0"/>
      <w:sz w:val="24"/>
    </w:rPr>
  </w:style>
  <w:style w:type="paragraph" w:customStyle="1" w:styleId="2ffffff9">
    <w:name w:val="段落2"/>
    <w:basedOn w:val="a7"/>
    <w:qFormat/>
    <w:pPr>
      <w:adjustRightInd w:val="0"/>
      <w:spacing w:after="160" w:line="440" w:lineRule="atLeast"/>
      <w:ind w:firstLineChars="200" w:firstLine="420"/>
    </w:pPr>
    <w:rPr>
      <w:spacing w:val="6"/>
      <w:sz w:val="24"/>
      <w:szCs w:val="20"/>
    </w:rPr>
  </w:style>
  <w:style w:type="paragraph" w:customStyle="1" w:styleId="affffffffffffffffffffffffffffffffffffff6">
    <w:name w:val="表格文字小四号"/>
    <w:qFormat/>
    <w:pPr>
      <w:widowControl w:val="0"/>
      <w:spacing w:after="160" w:line="480" w:lineRule="exact"/>
      <w:jc w:val="center"/>
    </w:pPr>
    <w:rPr>
      <w:rFonts w:ascii="宋体"/>
      <w:sz w:val="28"/>
      <w:szCs w:val="24"/>
    </w:rPr>
  </w:style>
  <w:style w:type="paragraph" w:customStyle="1" w:styleId="xl137">
    <w:name w:val="xl137"/>
    <w:basedOn w:val="a7"/>
    <w:uiPriority w:val="99"/>
    <w:qFormat/>
    <w:pPr>
      <w:widowControl/>
      <w:pBdr>
        <w:bottom w:val="single" w:sz="4" w:space="0" w:color="auto"/>
        <w:righ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affffffffffffffffffffffffffffffffffffff7">
    <w:name w:val="段标"/>
    <w:basedOn w:val="a7"/>
    <w:qFormat/>
    <w:pPr>
      <w:adjustRightInd w:val="0"/>
      <w:spacing w:after="160" w:line="360" w:lineRule="auto"/>
      <w:ind w:firstLine="567"/>
      <w:jc w:val="left"/>
      <w:textAlignment w:val="baseline"/>
    </w:pPr>
    <w:rPr>
      <w:kern w:val="0"/>
      <w:sz w:val="28"/>
      <w:szCs w:val="20"/>
    </w:rPr>
  </w:style>
  <w:style w:type="paragraph" w:customStyle="1" w:styleId="2SLCON">
    <w:name w:val="标题 2 SL CON"/>
    <w:basedOn w:val="a7"/>
    <w:next w:val="a7"/>
    <w:qFormat/>
    <w:pPr>
      <w:widowControl/>
      <w:tabs>
        <w:tab w:val="left" w:pos="377"/>
        <w:tab w:val="left" w:pos="858"/>
      </w:tabs>
      <w:snapToGrid w:val="0"/>
      <w:spacing w:before="100" w:beforeAutospacing="1" w:after="160" w:line="360" w:lineRule="auto"/>
      <w:ind w:left="858" w:hanging="680"/>
      <w:jc w:val="left"/>
      <w:outlineLvl w:val="1"/>
    </w:pPr>
    <w:rPr>
      <w:rFonts w:eastAsia="黑体" w:cs="宋体"/>
      <w:kern w:val="0"/>
      <w:sz w:val="28"/>
      <w:szCs w:val="28"/>
    </w:rPr>
  </w:style>
  <w:style w:type="paragraph" w:customStyle="1" w:styleId="xl47">
    <w:name w:val="xl47"/>
    <w:basedOn w:val="a7"/>
    <w:uiPriority w:val="99"/>
    <w:qFormat/>
    <w:pPr>
      <w:widowControl/>
      <w:pBdr>
        <w:top w:val="single" w:sz="4" w:space="0" w:color="auto"/>
        <w:bottom w:val="single" w:sz="4" w:space="0" w:color="auto"/>
        <w:right w:val="single" w:sz="4" w:space="0" w:color="auto"/>
      </w:pBdr>
      <w:spacing w:before="100" w:after="100" w:line="360" w:lineRule="auto"/>
      <w:ind w:firstLine="482"/>
      <w:jc w:val="center"/>
      <w:textAlignment w:val="center"/>
    </w:pPr>
    <w:rPr>
      <w:kern w:val="0"/>
      <w:sz w:val="24"/>
    </w:rPr>
  </w:style>
  <w:style w:type="paragraph" w:customStyle="1" w:styleId="xl153">
    <w:name w:val="xl153"/>
    <w:basedOn w:val="a7"/>
    <w:uiPriority w:val="99"/>
    <w:qFormat/>
    <w:pPr>
      <w:widowControl/>
      <w:pBdr>
        <w:left w:val="single" w:sz="4" w:space="0" w:color="auto"/>
      </w:pBdr>
      <w:shd w:val="clear" w:color="000000" w:fill="FFFFFF"/>
      <w:snapToGrid w:val="0"/>
      <w:spacing w:before="100" w:beforeAutospacing="1" w:after="100" w:afterAutospacing="1" w:line="278" w:lineRule="auto"/>
      <w:jc w:val="center"/>
      <w:textAlignment w:val="center"/>
    </w:pPr>
    <w:rPr>
      <w:rFonts w:ascii="宋体" w:hAnsi="宋体" w:cs="宋体"/>
      <w:kern w:val="0"/>
      <w:sz w:val="24"/>
    </w:rPr>
  </w:style>
  <w:style w:type="paragraph" w:customStyle="1" w:styleId="Style50">
    <w:name w:val="Style50"/>
    <w:basedOn w:val="a7"/>
    <w:qFormat/>
    <w:pPr>
      <w:adjustRightInd w:val="0"/>
      <w:spacing w:after="160" w:line="360" w:lineRule="auto"/>
      <w:ind w:firstLine="482"/>
      <w:jc w:val="left"/>
    </w:pPr>
    <w:rPr>
      <w:rFonts w:ascii="宋体"/>
      <w:kern w:val="0"/>
      <w:sz w:val="24"/>
    </w:rPr>
  </w:style>
  <w:style w:type="paragraph" w:customStyle="1" w:styleId="Char3CharCharCharCharCharChar2">
    <w:name w:val="Char3 Char Char Char Char Char Char2"/>
    <w:basedOn w:val="a7"/>
    <w:qFormat/>
    <w:pPr>
      <w:widowControl/>
      <w:spacing w:after="160" w:line="360" w:lineRule="auto"/>
      <w:ind w:firstLine="482"/>
      <w:jc w:val="left"/>
    </w:pPr>
    <w:rPr>
      <w:rFonts w:ascii="宋体" w:hAnsi="宋体" w:cs="宋体"/>
      <w:kern w:val="0"/>
      <w:sz w:val="24"/>
    </w:rPr>
  </w:style>
  <w:style w:type="paragraph" w:customStyle="1" w:styleId="0905">
    <w:name w:val="0905正文样式"/>
    <w:basedOn w:val="a7"/>
    <w:qFormat/>
    <w:pPr>
      <w:adjustRightInd w:val="0"/>
      <w:snapToGrid w:val="0"/>
      <w:spacing w:after="160" w:line="336" w:lineRule="auto"/>
      <w:ind w:firstLineChars="200" w:firstLine="200"/>
    </w:pPr>
    <w:rPr>
      <w:kern w:val="0"/>
      <w:sz w:val="28"/>
      <w:szCs w:val="28"/>
    </w:rPr>
  </w:style>
  <w:style w:type="paragraph" w:customStyle="1" w:styleId="J0">
    <w:name w:val="J【表中文字】"/>
    <w:basedOn w:val="a7"/>
    <w:qFormat/>
    <w:pPr>
      <w:spacing w:after="160" w:line="278" w:lineRule="auto"/>
      <w:jc w:val="center"/>
      <w:textAlignment w:val="center"/>
    </w:pPr>
    <w:rPr>
      <w:rFonts w:cs="宋体"/>
    </w:rPr>
  </w:style>
  <w:style w:type="paragraph" w:customStyle="1" w:styleId="affffffffffffffffffffffffffffffffffffff8">
    <w:name w:val="前言、引言标题"/>
    <w:next w:val="a7"/>
    <w:qFormat/>
    <w:pPr>
      <w:shd w:val="clear" w:color="FFFFFF" w:fill="FFFFFF"/>
      <w:tabs>
        <w:tab w:val="left" w:pos="903"/>
      </w:tabs>
      <w:spacing w:before="640" w:after="560" w:line="278" w:lineRule="auto"/>
      <w:ind w:left="903" w:hanging="315"/>
      <w:jc w:val="center"/>
      <w:outlineLvl w:val="0"/>
    </w:pPr>
    <w:rPr>
      <w:rFonts w:ascii="黑体" w:eastAsia="黑体"/>
      <w:sz w:val="32"/>
    </w:rPr>
  </w:style>
  <w:style w:type="paragraph" w:customStyle="1" w:styleId="225TimesNewRoman2">
    <w:name w:val="样式 样式 黑色 首行缩进:  2 字符 行距: 固定值 25 磅 + Times New Roman 首行缩进:  2 字符"/>
    <w:basedOn w:val="a7"/>
    <w:qFormat/>
    <w:pPr>
      <w:spacing w:after="160" w:line="580" w:lineRule="exact"/>
      <w:ind w:firstLineChars="200" w:firstLine="200"/>
    </w:pPr>
    <w:rPr>
      <w:rFonts w:eastAsia="仿宋_GB2312" w:cs="宋体"/>
      <w:b/>
      <w:bCs/>
      <w:color w:val="000000"/>
      <w:kern w:val="0"/>
      <w:sz w:val="28"/>
      <w:szCs w:val="20"/>
    </w:rPr>
  </w:style>
  <w:style w:type="paragraph" w:customStyle="1" w:styleId="indent2">
    <w:name w:val="indent2"/>
    <w:basedOn w:val="a7"/>
    <w:uiPriority w:val="99"/>
    <w:qFormat/>
    <w:pPr>
      <w:widowControl/>
      <w:tabs>
        <w:tab w:val="left" w:pos="720"/>
      </w:tabs>
      <w:snapToGrid w:val="0"/>
      <w:spacing w:after="280" w:line="278" w:lineRule="auto"/>
      <w:ind w:left="1440"/>
      <w:jc w:val="left"/>
    </w:pPr>
    <w:rPr>
      <w:rFonts w:ascii="Arial" w:hAnsi="Arial"/>
      <w:kern w:val="0"/>
      <w:sz w:val="22"/>
      <w:szCs w:val="20"/>
      <w:lang w:eastAsia="en-US"/>
    </w:rPr>
  </w:style>
  <w:style w:type="paragraph" w:customStyle="1" w:styleId="affffffffffffffffffffffffffffffffffffff9">
    <w:name w:val="图形"/>
    <w:basedOn w:val="af3"/>
    <w:uiPriority w:val="99"/>
    <w:qFormat/>
    <w:pPr>
      <w:tabs>
        <w:tab w:val="left" w:pos="5040"/>
      </w:tabs>
      <w:adjustRightInd w:val="0"/>
      <w:snapToGrid w:val="0"/>
      <w:spacing w:after="160" w:line="240" w:lineRule="auto"/>
      <w:ind w:leftChars="-114" w:left="-239" w:firstLineChars="228" w:firstLine="0"/>
      <w:jc w:val="left"/>
      <w:textAlignment w:val="baseline"/>
    </w:pPr>
    <w:rPr>
      <w:rFonts w:ascii="Calibri" w:eastAsia="楷体_GB2312" w:hAnsi="Calibri" w:cs="Times New Roman"/>
      <w:kern w:val="0"/>
      <w:szCs w:val="21"/>
    </w:rPr>
  </w:style>
  <w:style w:type="paragraph" w:customStyle="1" w:styleId="affffffffffffffffffffffffffffffffffffffa">
    <w:name w:val="扉页文字"/>
    <w:next w:val="a7"/>
    <w:qFormat/>
    <w:pPr>
      <w:widowControl w:val="0"/>
      <w:spacing w:after="160" w:line="760" w:lineRule="exact"/>
      <w:ind w:firstLineChars="400" w:firstLine="400"/>
    </w:pPr>
    <w:rPr>
      <w:rFonts w:ascii="宋体"/>
      <w:kern w:val="2"/>
      <w:sz w:val="28"/>
      <w:szCs w:val="32"/>
    </w:rPr>
  </w:style>
  <w:style w:type="paragraph" w:customStyle="1" w:styleId="2420">
    <w:name w:val="样式 小四 行距: 固定值 24 磅 首行缩进:  2 字符"/>
    <w:basedOn w:val="a7"/>
    <w:qFormat/>
    <w:pPr>
      <w:spacing w:after="160" w:line="440" w:lineRule="exact"/>
      <w:ind w:firstLineChars="200" w:firstLine="200"/>
    </w:pPr>
    <w:rPr>
      <w:sz w:val="24"/>
    </w:rPr>
  </w:style>
  <w:style w:type="paragraph" w:customStyle="1" w:styleId="affffffffffffffffffffffffffffffffffffffb">
    <w:name w:val="参考文献"/>
    <w:basedOn w:val="a7"/>
    <w:next w:val="a7"/>
    <w:qFormat/>
    <w:pPr>
      <w:widowControl/>
      <w:tabs>
        <w:tab w:val="left" w:pos="525"/>
      </w:tabs>
      <w:spacing w:after="160" w:line="360" w:lineRule="auto"/>
      <w:ind w:left="450" w:hangingChars="250" w:hanging="450"/>
    </w:pPr>
    <w:rPr>
      <w:rFonts w:hAnsi="宋体"/>
      <w:kern w:val="0"/>
      <w:sz w:val="18"/>
    </w:rPr>
  </w:style>
  <w:style w:type="paragraph" w:customStyle="1" w:styleId="3H3BHead3Char1113h33rdlevel">
    <w:name w:val="样式 标题 3H3B Head标题 3 Char条标题1.1.1三级标题标题3h33rd level第二层条..."/>
    <w:basedOn w:val="31"/>
    <w:qFormat/>
    <w:pPr>
      <w:keepNext/>
      <w:keepLines/>
      <w:numPr>
        <w:ilvl w:val="0"/>
        <w:numId w:val="0"/>
      </w:numPr>
      <w:tabs>
        <w:tab w:val="left" w:pos="454"/>
      </w:tabs>
      <w:overflowPunct w:val="0"/>
      <w:autoSpaceDE w:val="0"/>
      <w:autoSpaceDN w:val="0"/>
      <w:spacing w:beforeLines="0" w:before="31" w:afterLines="0" w:after="31"/>
    </w:pPr>
    <w:rPr>
      <w:rFonts w:ascii="黑体" w:hAnsi="宋体" w:cs="宋体"/>
      <w:b w:val="0"/>
      <w:bCs w:val="0"/>
      <w:color w:val="000000"/>
      <w:kern w:val="0"/>
      <w:sz w:val="24"/>
      <w:lang w:val="en-US"/>
    </w:rPr>
  </w:style>
  <w:style w:type="paragraph" w:customStyle="1" w:styleId="xl347">
    <w:name w:val="xl347"/>
    <w:basedOn w:val="a7"/>
    <w:qFormat/>
    <w:pPr>
      <w:widowControl/>
      <w:pBdr>
        <w:top w:val="single" w:sz="4" w:space="0" w:color="auto"/>
        <w:left w:val="single" w:sz="4" w:space="0" w:color="auto"/>
        <w:right w:val="single" w:sz="4" w:space="0" w:color="auto"/>
      </w:pBdr>
      <w:spacing w:before="100" w:beforeAutospacing="1" w:after="100" w:afterAutospacing="1" w:line="278" w:lineRule="auto"/>
      <w:jc w:val="center"/>
      <w:textAlignment w:val="center"/>
    </w:pPr>
    <w:rPr>
      <w:rFonts w:ascii="宋体" w:hAnsi="宋体" w:cs="宋体"/>
      <w:kern w:val="0"/>
      <w:sz w:val="20"/>
      <w:szCs w:val="20"/>
    </w:rPr>
  </w:style>
  <w:style w:type="paragraph" w:customStyle="1" w:styleId="Date1">
    <w:name w:val="Date1"/>
    <w:basedOn w:val="a7"/>
    <w:next w:val="a7"/>
    <w:qFormat/>
    <w:pPr>
      <w:adjustRightInd w:val="0"/>
      <w:spacing w:after="160" w:line="278" w:lineRule="auto"/>
      <w:textAlignment w:val="baseline"/>
    </w:pPr>
    <w:rPr>
      <w:szCs w:val="20"/>
    </w:rPr>
  </w:style>
  <w:style w:type="paragraph" w:customStyle="1" w:styleId="CharCharChar1CharCharChar">
    <w:name w:val="Char Char Char1 Char Char Char"/>
    <w:basedOn w:val="a7"/>
    <w:qFormat/>
    <w:pPr>
      <w:spacing w:after="160" w:line="360" w:lineRule="auto"/>
      <w:ind w:firstLineChars="200" w:firstLine="420"/>
    </w:pPr>
    <w:rPr>
      <w:sz w:val="24"/>
      <w:szCs w:val="20"/>
    </w:rPr>
  </w:style>
  <w:style w:type="paragraph" w:customStyle="1" w:styleId="affffffffffffffffffffffffffffffffffffffc">
    <w:name w:val="尾消息标题"/>
    <w:basedOn w:val="affff0"/>
    <w:next w:val="aff2"/>
    <w:qFormat/>
    <w:pPr>
      <w:spacing w:after="160"/>
    </w:pPr>
    <w:rPr>
      <w:sz w:val="21"/>
      <w:szCs w:val="21"/>
    </w:rPr>
  </w:style>
  <w:style w:type="paragraph" w:customStyle="1" w:styleId="6d">
    <w:name w:val="6表(图)头(治)"/>
    <w:next w:val="a7"/>
    <w:qFormat/>
    <w:pPr>
      <w:widowControl w:val="0"/>
      <w:adjustRightInd w:val="0"/>
      <w:snapToGrid w:val="0"/>
      <w:spacing w:after="160" w:line="278" w:lineRule="auto"/>
      <w:jc w:val="center"/>
    </w:pPr>
    <w:rPr>
      <w:rFonts w:hAnsi="宋体"/>
      <w:sz w:val="21"/>
      <w:szCs w:val="21"/>
    </w:rPr>
  </w:style>
  <w:style w:type="paragraph" w:customStyle="1" w:styleId="CharChar11">
    <w:name w:val="Char Char 字元 字元1"/>
    <w:basedOn w:val="a7"/>
    <w:qFormat/>
    <w:pPr>
      <w:widowControl/>
      <w:spacing w:after="160" w:line="240" w:lineRule="exact"/>
      <w:ind w:firstLine="482"/>
      <w:jc w:val="left"/>
    </w:pPr>
    <w:rPr>
      <w:rFonts w:ascii="Verdana" w:hAnsi="Verdana"/>
      <w:kern w:val="0"/>
      <w:sz w:val="20"/>
      <w:szCs w:val="20"/>
      <w:lang w:eastAsia="en-US"/>
    </w:rPr>
  </w:style>
  <w:style w:type="paragraph" w:customStyle="1" w:styleId="CharCharCharCharCharCharCharChar1CharCharCharCharCharCharCharCharCharCharCharChar1Char">
    <w:name w:val="Char Char Char Char Char Char Char Char1 Char Char Char Char Char Char Char Char Char Char Char Char1 Char"/>
    <w:basedOn w:val="a7"/>
    <w:qFormat/>
    <w:pPr>
      <w:spacing w:after="160" w:line="278" w:lineRule="auto"/>
    </w:pPr>
    <w:rPr>
      <w:sz w:val="24"/>
    </w:rPr>
  </w:style>
  <w:style w:type="paragraph" w:customStyle="1" w:styleId="CharCharff3">
    <w:name w:val="正文首行缩进 Char Char"/>
    <w:basedOn w:val="a7"/>
    <w:uiPriority w:val="99"/>
    <w:qFormat/>
    <w:pPr>
      <w:spacing w:after="160" w:line="606" w:lineRule="atLeast"/>
      <w:ind w:firstLine="538"/>
    </w:pPr>
    <w:rPr>
      <w:rFonts w:hint="eastAsia"/>
      <w:sz w:val="24"/>
      <w:szCs w:val="20"/>
    </w:rPr>
  </w:style>
  <w:style w:type="paragraph" w:customStyle="1" w:styleId="12CharCharCharCharCharCharChar">
    <w:name w:val="12 Char Char Char Char Char Char Char"/>
    <w:basedOn w:val="a7"/>
    <w:qFormat/>
    <w:pPr>
      <w:spacing w:after="160" w:line="360" w:lineRule="auto"/>
      <w:ind w:firstLineChars="200" w:firstLine="200"/>
      <w:jc w:val="left"/>
    </w:pPr>
    <w:rPr>
      <w:rFonts w:ascii="宋体" w:hAnsi="宋体"/>
      <w:kern w:val="0"/>
      <w:position w:val="-6"/>
      <w:sz w:val="28"/>
      <w:szCs w:val="20"/>
      <w:u w:val="single"/>
    </w:rPr>
  </w:style>
  <w:style w:type="paragraph" w:customStyle="1" w:styleId="-9">
    <w:name w:val="表格-表头"/>
    <w:basedOn w:val="a7"/>
    <w:semiHidden/>
    <w:qFormat/>
    <w:pPr>
      <w:tabs>
        <w:tab w:val="left" w:pos="-108"/>
      </w:tabs>
      <w:adjustRightInd w:val="0"/>
      <w:snapToGrid w:val="0"/>
      <w:spacing w:after="160" w:line="360" w:lineRule="auto"/>
      <w:jc w:val="left"/>
    </w:pPr>
    <w:rPr>
      <w:rFonts w:ascii="黑体" w:eastAsia="黑体"/>
      <w:sz w:val="24"/>
      <w:szCs w:val="20"/>
    </w:rPr>
  </w:style>
  <w:style w:type="paragraph" w:customStyle="1" w:styleId="3fff1">
    <w:name w:val="样式 标题 3 + 加粗"/>
    <w:basedOn w:val="31"/>
    <w:uiPriority w:val="99"/>
    <w:qFormat/>
    <w:pPr>
      <w:keepNext/>
      <w:keepLines/>
      <w:numPr>
        <w:ilvl w:val="0"/>
        <w:numId w:val="0"/>
      </w:numPr>
      <w:adjustRightInd/>
      <w:snapToGrid/>
      <w:spacing w:beforeLines="0" w:before="0" w:afterLines="0" w:after="0"/>
      <w:jc w:val="both"/>
      <w:textAlignment w:val="auto"/>
    </w:pPr>
    <w:rPr>
      <w:rFonts w:eastAsia="宋体"/>
      <w:b w:val="0"/>
      <w:color w:val="auto"/>
      <w:kern w:val="0"/>
      <w:sz w:val="28"/>
      <w:lang w:val="en-US"/>
    </w:rPr>
  </w:style>
  <w:style w:type="paragraph" w:customStyle="1" w:styleId="352">
    <w:name w:val="样式 燕山正文 + 首行缩进:  3.5 字符2"/>
    <w:basedOn w:val="a7"/>
    <w:qFormat/>
    <w:pPr>
      <w:tabs>
        <w:tab w:val="left" w:pos="4680"/>
      </w:tabs>
      <w:adjustRightInd w:val="0"/>
      <w:snapToGrid w:val="0"/>
      <w:spacing w:after="160" w:line="360" w:lineRule="auto"/>
      <w:ind w:firstLineChars="200" w:firstLine="420"/>
    </w:pPr>
    <w:rPr>
      <w:rFonts w:ascii="楷体_GB2312" w:eastAsia="楷体_GB2312"/>
      <w:sz w:val="24"/>
    </w:rPr>
  </w:style>
  <w:style w:type="paragraph" w:customStyle="1" w:styleId="affffffffffffffffffffffffffffffffffffffd">
    <w:name w:val="首页脚注"/>
    <w:basedOn w:val="afff0"/>
    <w:qFormat/>
    <w:pPr>
      <w:keepLines/>
      <w:widowControl/>
      <w:tabs>
        <w:tab w:val="clear" w:pos="4153"/>
        <w:tab w:val="clear" w:pos="8306"/>
        <w:tab w:val="center" w:pos="4320"/>
      </w:tabs>
      <w:overflowPunct w:val="0"/>
      <w:autoSpaceDE w:val="0"/>
      <w:autoSpaceDN w:val="0"/>
      <w:adjustRightInd w:val="0"/>
      <w:snapToGrid/>
      <w:spacing w:after="160" w:line="360" w:lineRule="auto"/>
      <w:jc w:val="center"/>
      <w:textAlignment w:val="baseline"/>
    </w:pPr>
    <w:rPr>
      <w:kern w:val="0"/>
      <w:sz w:val="28"/>
      <w:szCs w:val="20"/>
    </w:rPr>
  </w:style>
  <w:style w:type="paragraph" w:customStyle="1" w:styleId="10505">
    <w:name w:val="样式 样式 标题 1 + 三号 + 段前: 0.5 行 段后: 0.5 行"/>
    <w:basedOn w:val="a7"/>
    <w:qFormat/>
    <w:pPr>
      <w:keepNext/>
      <w:keepLines/>
      <w:spacing w:beforeLines="50" w:afterLines="50" w:after="160" w:line="576" w:lineRule="auto"/>
      <w:outlineLvl w:val="0"/>
    </w:pPr>
    <w:rPr>
      <w:b/>
      <w:kern w:val="44"/>
      <w:sz w:val="32"/>
      <w:szCs w:val="20"/>
    </w:rPr>
  </w:style>
  <w:style w:type="paragraph" w:customStyle="1" w:styleId="xl242">
    <w:name w:val="xl242"/>
    <w:basedOn w:val="a7"/>
    <w:qFormat/>
    <w:pPr>
      <w:widowControl/>
      <w:pBdr>
        <w:top w:val="single" w:sz="8" w:space="0" w:color="auto"/>
        <w:left w:val="single" w:sz="8" w:space="0" w:color="auto"/>
        <w:bottom w:val="single" w:sz="4" w:space="0" w:color="auto"/>
      </w:pBdr>
      <w:spacing w:before="100" w:beforeAutospacing="1" w:after="100" w:afterAutospacing="1" w:line="278" w:lineRule="auto"/>
      <w:jc w:val="center"/>
      <w:textAlignment w:val="center"/>
    </w:pPr>
    <w:rPr>
      <w:kern w:val="0"/>
      <w:sz w:val="20"/>
      <w:szCs w:val="20"/>
    </w:rPr>
  </w:style>
  <w:style w:type="paragraph" w:customStyle="1" w:styleId="3fff2">
    <w:name w:val="正文文字缩进 3"/>
    <w:basedOn w:val="a7"/>
    <w:uiPriority w:val="99"/>
    <w:semiHidden/>
    <w:qFormat/>
    <w:pPr>
      <w:widowControl/>
      <w:spacing w:after="160" w:line="691" w:lineRule="atLeast"/>
      <w:ind w:left="481" w:firstLine="419"/>
      <w:textAlignment w:val="baseline"/>
    </w:pPr>
    <w:rPr>
      <w:color w:val="000000"/>
      <w:kern w:val="0"/>
      <w:sz w:val="28"/>
      <w:szCs w:val="20"/>
      <w:u w:color="000000"/>
    </w:rPr>
  </w:style>
  <w:style w:type="paragraph" w:customStyle="1" w:styleId="CM79">
    <w:name w:val="CM79"/>
    <w:basedOn w:val="Default"/>
    <w:next w:val="Default"/>
    <w:qFormat/>
    <w:pPr>
      <w:spacing w:after="105" w:line="278" w:lineRule="auto"/>
    </w:pPr>
    <w:rPr>
      <w:rFonts w:ascii="ST Kaiti" w:eastAsia="ST Kaiti" w:hAnsi="Calibri" w:cs="Times New Roman"/>
      <w:color w:val="auto"/>
    </w:rPr>
  </w:style>
  <w:style w:type="paragraph" w:customStyle="1" w:styleId="affffffffffffffffffffffffffffffffffffffe">
    <w:name w:val="偶数页脚注"/>
    <w:basedOn w:val="afff0"/>
    <w:semiHidden/>
    <w:qFormat/>
    <w:pPr>
      <w:keepLines/>
      <w:widowControl/>
      <w:tabs>
        <w:tab w:val="clear" w:pos="4153"/>
        <w:tab w:val="clear" w:pos="8306"/>
        <w:tab w:val="right" w:pos="0"/>
        <w:tab w:val="center" w:pos="7200"/>
        <w:tab w:val="right" w:pos="14400"/>
      </w:tabs>
      <w:overflowPunct w:val="0"/>
      <w:autoSpaceDE w:val="0"/>
      <w:autoSpaceDN w:val="0"/>
      <w:adjustRightInd w:val="0"/>
      <w:snapToGrid/>
      <w:spacing w:after="160" w:line="278" w:lineRule="auto"/>
      <w:jc w:val="right"/>
      <w:textAlignment w:val="baseline"/>
    </w:pPr>
    <w:rPr>
      <w:rFonts w:ascii="Calibri" w:hAnsi="Calibri"/>
      <w:spacing w:val="80"/>
      <w:kern w:val="0"/>
      <w:sz w:val="20"/>
      <w:szCs w:val="20"/>
    </w:rPr>
  </w:style>
  <w:style w:type="paragraph" w:customStyle="1" w:styleId="xl218">
    <w:name w:val="xl218"/>
    <w:basedOn w:val="a7"/>
    <w:qFormat/>
    <w:pPr>
      <w:widowControl/>
      <w:pBdr>
        <w:top w:val="single" w:sz="4" w:space="0" w:color="auto"/>
        <w:bottom w:val="single" w:sz="4" w:space="0" w:color="auto"/>
        <w:right w:val="single" w:sz="8" w:space="0" w:color="auto"/>
      </w:pBdr>
      <w:spacing w:before="100" w:beforeAutospacing="1" w:after="100" w:afterAutospacing="1" w:line="278" w:lineRule="auto"/>
      <w:jc w:val="center"/>
      <w:textAlignment w:val="center"/>
    </w:pPr>
    <w:rPr>
      <w:b/>
      <w:bCs/>
      <w:kern w:val="0"/>
      <w:sz w:val="18"/>
      <w:szCs w:val="18"/>
    </w:rPr>
  </w:style>
  <w:style w:type="paragraph" w:customStyle="1" w:styleId="xl298">
    <w:name w:val="xl298"/>
    <w:basedOn w:val="a7"/>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78" w:lineRule="auto"/>
      <w:jc w:val="center"/>
      <w:textAlignment w:val="center"/>
    </w:pPr>
    <w:rPr>
      <w:kern w:val="0"/>
      <w:sz w:val="16"/>
      <w:szCs w:val="16"/>
    </w:rPr>
  </w:style>
  <w:style w:type="paragraph" w:customStyle="1" w:styleId="ZWChar">
    <w:name w:val="ZW Char"/>
    <w:basedOn w:val="a7"/>
    <w:qFormat/>
    <w:pPr>
      <w:spacing w:beforeLines="20" w:before="20" w:after="160" w:line="278" w:lineRule="auto"/>
      <w:ind w:firstLineChars="200" w:firstLine="200"/>
    </w:pPr>
    <w:rPr>
      <w:sz w:val="24"/>
    </w:rPr>
  </w:style>
  <w:style w:type="character" w:customStyle="1" w:styleId="active1">
    <w:name w:val="active1"/>
    <w:qFormat/>
    <w:rPr>
      <w:shd w:val="clear" w:color="auto" w:fill="FFFFFF"/>
    </w:rPr>
  </w:style>
  <w:style w:type="character" w:customStyle="1" w:styleId="CharChar81">
    <w:name w:val="Char Char81"/>
    <w:qFormat/>
    <w:rPr>
      <w:rFonts w:ascii="Cambria" w:hAnsi="Cambria"/>
      <w:b/>
      <w:bCs/>
      <w:sz w:val="28"/>
      <w:szCs w:val="26"/>
      <w:shd w:val="clear" w:color="auto" w:fill="FFFFFF"/>
      <w:lang w:bidi="en-US"/>
    </w:rPr>
  </w:style>
  <w:style w:type="character" w:customStyle="1" w:styleId="26CharCharChar">
    <w:name w:val="样式 (符号) 宋体 小四 行距: 固定值 26 磅 Char Char Char"/>
    <w:qFormat/>
    <w:rPr>
      <w:rFonts w:ascii="Times New Roman" w:hAnsi="宋体" w:cs="宋体"/>
      <w:color w:val="000000"/>
      <w:sz w:val="28"/>
      <w:szCs w:val="28"/>
      <w:shd w:val="clear" w:color="auto" w:fill="FFFFFF"/>
    </w:rPr>
  </w:style>
  <w:style w:type="character" w:customStyle="1" w:styleId="13Char0">
    <w:name w:val="表格13 Char"/>
    <w:qFormat/>
    <w:rPr>
      <w:rFonts w:ascii="宋体" w:eastAsia="宋体" w:hAnsi="Times New Roman" w:cs="Times New Roman"/>
      <w:kern w:val="0"/>
      <w:szCs w:val="28"/>
      <w:shd w:val="clear" w:color="auto" w:fill="FFFFFF"/>
    </w:rPr>
  </w:style>
  <w:style w:type="character" w:customStyle="1" w:styleId="Charff9">
    <w:name w:val="正文！！！！！ Char"/>
    <w:link w:val="affffffffffff5"/>
    <w:qFormat/>
    <w:locked/>
    <w:rPr>
      <w:rFonts w:ascii="宋体" w:hAnsi="宋体"/>
      <w:spacing w:val="6"/>
      <w:sz w:val="24"/>
      <w:szCs w:val="21"/>
    </w:rPr>
  </w:style>
  <w:style w:type="character" w:customStyle="1" w:styleId="jjgk1">
    <w:name w:val="jjgk1"/>
    <w:qFormat/>
    <w:rPr>
      <w:color w:val="009900"/>
      <w:sz w:val="9"/>
      <w:szCs w:val="9"/>
      <w:shd w:val="clear" w:color="auto" w:fill="FFFFFF"/>
    </w:rPr>
  </w:style>
  <w:style w:type="character" w:customStyle="1" w:styleId="CharCharCharChar5">
    <w:name w:val="正文(首行缩进) Char Char Char Char"/>
    <w:qFormat/>
    <w:locked/>
    <w:rPr>
      <w:sz w:val="24"/>
      <w:szCs w:val="24"/>
      <w:shd w:val="clear" w:color="auto" w:fill="FFFFFF"/>
    </w:rPr>
  </w:style>
  <w:style w:type="character" w:customStyle="1" w:styleId="022Char">
    <w:name w:val="022 Char"/>
    <w:qFormat/>
    <w:rPr>
      <w:rFonts w:ascii="宋体" w:hAnsi="Courier New"/>
      <w:sz w:val="24"/>
      <w:szCs w:val="24"/>
      <w:shd w:val="clear" w:color="auto" w:fill="FFFFFF"/>
    </w:rPr>
  </w:style>
  <w:style w:type="character" w:customStyle="1" w:styleId="Charffa">
    <w:name w:val="表头！！！！！！！！！！ Char"/>
    <w:link w:val="affffffffffff6"/>
    <w:qFormat/>
    <w:locked/>
    <w:rPr>
      <w:rFonts w:ascii="楷体_GB2312" w:eastAsia="楷体_GB2312"/>
      <w:b/>
      <w:sz w:val="24"/>
      <w:szCs w:val="21"/>
    </w:rPr>
  </w:style>
  <w:style w:type="character" w:customStyle="1" w:styleId="1ffffff5">
    <w:name w:val="占位符文本1"/>
    <w:uiPriority w:val="99"/>
    <w:semiHidden/>
    <w:qFormat/>
    <w:rPr>
      <w:color w:val="808080"/>
      <w:shd w:val="clear" w:color="auto" w:fill="FFFFFF"/>
    </w:rPr>
  </w:style>
  <w:style w:type="character" w:customStyle="1" w:styleId="Charffb">
    <w:name w:val="插图下标 Char"/>
    <w:link w:val="affffffffffff7"/>
    <w:qFormat/>
    <w:rPr>
      <w:rFonts w:eastAsia="黑体"/>
      <w:kern w:val="2"/>
      <w:sz w:val="24"/>
      <w:szCs w:val="24"/>
    </w:rPr>
  </w:style>
  <w:style w:type="character" w:customStyle="1" w:styleId="Charffffffff2">
    <w:name w:val="表格题头 Char"/>
    <w:qFormat/>
    <w:rPr>
      <w:rFonts w:ascii="Times New Roman" w:eastAsia="仿宋_GB2312" w:hAnsi="Times New Roman" w:cs="Times New Roman"/>
      <w:sz w:val="24"/>
      <w:szCs w:val="24"/>
      <w:shd w:val="clear" w:color="auto" w:fill="FFFFFF"/>
    </w:rPr>
  </w:style>
  <w:style w:type="character" w:customStyle="1" w:styleId="yy2copy">
    <w:name w:val="yy2copy"/>
    <w:qFormat/>
    <w:rPr>
      <w:shd w:val="clear" w:color="auto" w:fill="FFFFFF"/>
    </w:rPr>
  </w:style>
  <w:style w:type="character" w:customStyle="1" w:styleId="afffffffffffffffffffffffffffffffffffffff">
    <w:name w:val="链接"/>
    <w:qFormat/>
    <w:rPr>
      <w:rFonts w:ascii="Times New Roman" w:eastAsia="宋体"/>
      <w:color w:val="0000FF"/>
      <w:sz w:val="21"/>
      <w:u w:val="single" w:color="0000FF"/>
      <w:shd w:val="clear" w:color="auto" w:fill="FFFFFF"/>
      <w:lang w:val="en-US" w:eastAsia="zh-CN"/>
    </w:rPr>
  </w:style>
  <w:style w:type="character" w:customStyle="1" w:styleId="1ffffff6">
    <w:name w:val="Основной текст1"/>
    <w:qFormat/>
    <w:rPr>
      <w:rFonts w:ascii="Times New Roman" w:hAnsi="Times New Roman"/>
      <w:sz w:val="26"/>
      <w:shd w:val="clear" w:color="auto" w:fill="FFFFFF"/>
    </w:rPr>
  </w:style>
  <w:style w:type="character" w:customStyle="1" w:styleId="33H3h33rdlevel2Char3Char23CharChar">
    <w:name w:val="样式 标题 3标题3H3h33rd level第二层条条标2Char标题 3 Char2标题 3 Char ... Char"/>
    <w:semiHidden/>
    <w:qFormat/>
    <w:rPr>
      <w:rFonts w:ascii="宋体" w:eastAsia="宋体"/>
      <w:kern w:val="2"/>
      <w:sz w:val="28"/>
      <w:shd w:val="clear" w:color="auto" w:fill="FFFFFF"/>
      <w:lang w:val="en-US" w:eastAsia="zh-CN" w:bidi="ar-SA"/>
    </w:rPr>
  </w:style>
  <w:style w:type="character" w:customStyle="1" w:styleId="3fff3">
    <w:name w:val="标题 字符3"/>
    <w:qFormat/>
    <w:rPr>
      <w:rFonts w:ascii="Cambria" w:hAnsi="Cambria" w:cs="Times New Roman"/>
      <w:b/>
      <w:bCs/>
      <w:sz w:val="32"/>
      <w:szCs w:val="32"/>
      <w:shd w:val="clear" w:color="auto" w:fill="FFFFFF"/>
    </w:rPr>
  </w:style>
  <w:style w:type="character" w:customStyle="1" w:styleId="h31">
    <w:name w:val="h31"/>
    <w:qFormat/>
    <w:rPr>
      <w:sz w:val="21"/>
      <w:szCs w:val="21"/>
      <w:shd w:val="clear" w:color="auto" w:fill="FFFFFF"/>
    </w:rPr>
  </w:style>
  <w:style w:type="character" w:customStyle="1" w:styleId="a-Char4">
    <w:name w:val="a-图件 Char"/>
    <w:link w:val="a-4"/>
    <w:qFormat/>
    <w:locked/>
    <w:rPr>
      <w:b/>
      <w:color w:val="000000"/>
      <w:kern w:val="2"/>
      <w:sz w:val="24"/>
      <w:szCs w:val="21"/>
    </w:rPr>
  </w:style>
  <w:style w:type="character" w:customStyle="1" w:styleId="Charffc">
    <w:name w:val="表头格式 Char"/>
    <w:link w:val="affffffffffff8"/>
    <w:qFormat/>
    <w:locked/>
    <w:rPr>
      <w:rFonts w:ascii="黑体" w:eastAsia="黑体" w:hAnsi="宋体"/>
      <w:b/>
      <w:sz w:val="24"/>
      <w:szCs w:val="21"/>
    </w:rPr>
  </w:style>
  <w:style w:type="character" w:customStyle="1" w:styleId="50pt">
    <w:name w:val="标题 #5 + 间距 0 pt"/>
    <w:qFormat/>
    <w:rPr>
      <w:rFonts w:ascii="Arial Unicode MS" w:eastAsia="Arial Unicode MS" w:hAnsi="Arial Unicode MS"/>
      <w:color w:val="000000"/>
      <w:spacing w:val="0"/>
      <w:w w:val="100"/>
      <w:position w:val="0"/>
      <w:sz w:val="23"/>
      <w:szCs w:val="23"/>
      <w:shd w:val="clear" w:color="auto" w:fill="FFFFFF"/>
      <w:lang w:val="zh-CN" w:bidi="ar-SA"/>
    </w:rPr>
  </w:style>
  <w:style w:type="character" w:customStyle="1" w:styleId="AChar0">
    <w:name w:val="正文A Char"/>
    <w:link w:val="Affffffffff6"/>
    <w:qFormat/>
    <w:rPr>
      <w:kern w:val="2"/>
      <w:sz w:val="24"/>
      <w:szCs w:val="24"/>
    </w:rPr>
  </w:style>
  <w:style w:type="character" w:customStyle="1" w:styleId="CharChar92">
    <w:name w:val="Char Char92"/>
    <w:qFormat/>
    <w:rPr>
      <w:rFonts w:ascii="Cambria" w:hAnsi="Cambria"/>
      <w:b/>
      <w:bCs/>
      <w:iCs/>
      <w:sz w:val="28"/>
      <w:szCs w:val="28"/>
      <w:shd w:val="clear" w:color="auto" w:fill="FFFFFF"/>
      <w:lang w:bidi="en-US"/>
    </w:rPr>
  </w:style>
  <w:style w:type="character" w:customStyle="1" w:styleId="12TimesNewRomanCharChar">
    <w:name w:val="1标题 2 + (西文) Times New Roman (中文) 宋体 四号 Char Char"/>
    <w:qFormat/>
    <w:rPr>
      <w:rFonts w:ascii="Arial" w:hAnsi="Arial" w:cs="Arial" w:hint="default"/>
      <w:b/>
      <w:sz w:val="28"/>
      <w:szCs w:val="32"/>
      <w:shd w:val="clear" w:color="auto" w:fill="FFFFFF"/>
    </w:rPr>
  </w:style>
  <w:style w:type="character" w:customStyle="1" w:styleId="Charffffffff3">
    <w:name w:val="注释 Char"/>
    <w:qFormat/>
    <w:rPr>
      <w:rFonts w:eastAsia="宋体"/>
      <w:kern w:val="2"/>
      <w:sz w:val="15"/>
      <w:szCs w:val="24"/>
      <w:shd w:val="clear" w:color="auto" w:fill="FFFFFF"/>
      <w:lang w:val="en-US" w:eastAsia="zh-CN" w:bidi="ar-SA"/>
    </w:rPr>
  </w:style>
  <w:style w:type="character" w:customStyle="1" w:styleId="zimu111">
    <w:name w:val="zimu_111"/>
    <w:qFormat/>
    <w:rPr>
      <w:rFonts w:ascii="Verdana" w:hAnsi="Verdana" w:cs="Times New Roman"/>
      <w:b/>
      <w:bCs/>
      <w:color w:val="0F54A1"/>
      <w:sz w:val="15"/>
      <w:szCs w:val="15"/>
      <w:u w:val="none"/>
      <w:shd w:val="clear" w:color="auto" w:fill="FFFFFF"/>
    </w:rPr>
  </w:style>
  <w:style w:type="character" w:customStyle="1" w:styleId="lineheigh201">
    <w:name w:val="lineheigh201"/>
    <w:qFormat/>
    <w:rPr>
      <w:shd w:val="clear" w:color="auto" w:fill="FFFFFF"/>
    </w:rPr>
  </w:style>
  <w:style w:type="character" w:customStyle="1" w:styleId="Char1f6">
    <w:name w:val="文档结构图 Char1"/>
    <w:uiPriority w:val="99"/>
    <w:qFormat/>
    <w:rPr>
      <w:rFonts w:ascii="宋体" w:eastAsia="宋体" w:hAnsi="Times New Roman" w:cs="Times New Roman" w:hint="eastAsia"/>
      <w:sz w:val="18"/>
      <w:szCs w:val="18"/>
      <w:shd w:val="clear" w:color="auto" w:fill="FFFFFF"/>
    </w:rPr>
  </w:style>
  <w:style w:type="character" w:customStyle="1" w:styleId="CharCharCharCharCharCha3Char">
    <w:name w:val="样式 纯文本表格内容纯文本 Char普通文字加粗正文普通文字 Char Char普通文字 Char Char Cha...3 Char"/>
    <w:qFormat/>
    <w:locked/>
    <w:rPr>
      <w:rFonts w:ascii="楷体_GB2312" w:eastAsia="楷体_GB2312" w:hAnsi="楷体_GB2312" w:cs="楷体_GB2312"/>
      <w:sz w:val="24"/>
      <w:szCs w:val="24"/>
      <w:shd w:val="clear" w:color="auto" w:fill="FFFFFF"/>
    </w:rPr>
  </w:style>
  <w:style w:type="character" w:customStyle="1" w:styleId="3fff4">
    <w:name w:val="纯文本 字符3"/>
    <w:qFormat/>
    <w:rPr>
      <w:rFonts w:ascii="宋体" w:eastAsia="宋体" w:hAnsi="Courier New" w:cs="Courier New"/>
      <w:szCs w:val="21"/>
      <w:shd w:val="clear" w:color="auto" w:fill="FFFFFF"/>
    </w:rPr>
  </w:style>
  <w:style w:type="character" w:customStyle="1" w:styleId="Charffd">
    <w:name w:val="环评正文 Char"/>
    <w:link w:val="affffffffffff9"/>
    <w:qFormat/>
    <w:rPr>
      <w:kern w:val="2"/>
      <w:sz w:val="24"/>
      <w:szCs w:val="21"/>
    </w:rPr>
  </w:style>
  <w:style w:type="character" w:customStyle="1" w:styleId="f1">
    <w:name w:val="f1"/>
    <w:qFormat/>
    <w:rPr>
      <w:color w:val="666666"/>
      <w:shd w:val="clear" w:color="auto" w:fill="FFFFFF"/>
    </w:rPr>
  </w:style>
  <w:style w:type="character" w:customStyle="1" w:styleId="zi2">
    <w:name w:val="zi2"/>
    <w:qFormat/>
    <w:rPr>
      <w:rFonts w:cs="Times New Roman"/>
      <w:color w:val="auto"/>
      <w:spacing w:val="0"/>
      <w:sz w:val="28"/>
      <w:shd w:val="clear" w:color="auto" w:fill="FFFFFF"/>
    </w:rPr>
  </w:style>
  <w:style w:type="character" w:customStyle="1" w:styleId="FontStyle338">
    <w:name w:val="Font Style338"/>
    <w:qFormat/>
    <w:rPr>
      <w:rFonts w:ascii="宋体" w:eastAsia="宋体" w:cs="宋体"/>
      <w:w w:val="120"/>
      <w:sz w:val="18"/>
      <w:szCs w:val="18"/>
      <w:shd w:val="clear" w:color="auto" w:fill="FFFFFF"/>
    </w:rPr>
  </w:style>
  <w:style w:type="character" w:customStyle="1" w:styleId="21pt">
    <w:name w:val="正文文本 (2) + 间距 1 pt"/>
    <w:qFormat/>
    <w:rPr>
      <w:rFonts w:ascii="MingLiU" w:eastAsia="MingLiU" w:hAnsi="MingLiU" w:cs="MingLiU"/>
      <w:color w:val="000000"/>
      <w:spacing w:val="20"/>
      <w:w w:val="100"/>
      <w:position w:val="0"/>
      <w:sz w:val="28"/>
      <w:szCs w:val="28"/>
      <w:u w:val="none"/>
      <w:shd w:val="clear" w:color="auto" w:fill="FFFFFF"/>
      <w:lang w:val="zh-TW" w:eastAsia="zh-TW" w:bidi="zh-TW"/>
    </w:rPr>
  </w:style>
  <w:style w:type="character" w:customStyle="1" w:styleId="fs">
    <w:name w:val="fs"/>
    <w:semiHidden/>
    <w:qFormat/>
    <w:rPr>
      <w:rFonts w:eastAsia="宋体"/>
      <w:color w:val="000000"/>
      <w:kern w:val="2"/>
      <w:sz w:val="21"/>
      <w:szCs w:val="21"/>
      <w:shd w:val="clear" w:color="auto" w:fill="FFFFFF"/>
      <w:lang w:val="en-US" w:eastAsia="zh-CN" w:bidi="ar-SA"/>
    </w:rPr>
  </w:style>
  <w:style w:type="character" w:customStyle="1" w:styleId="3fff5">
    <w:name w:val="未命名3"/>
    <w:qFormat/>
    <w:rPr>
      <w:shd w:val="clear" w:color="auto" w:fill="FFFFFF"/>
    </w:rPr>
  </w:style>
  <w:style w:type="character" w:customStyle="1" w:styleId="CharCharff4">
    <w:name w:val="偶的正文 Char Char"/>
    <w:qFormat/>
    <w:rPr>
      <w:rFonts w:ascii="Times New Roman" w:eastAsia="宋体" w:hAnsi="Times New Roman" w:cs="Times New Roman" w:hint="default"/>
      <w:kern w:val="0"/>
      <w:sz w:val="28"/>
      <w:szCs w:val="28"/>
      <w:shd w:val="clear" w:color="auto" w:fill="FFFFFF"/>
    </w:rPr>
  </w:style>
  <w:style w:type="character" w:customStyle="1" w:styleId="Charffe">
    <w:name w:val="报告正文 Char"/>
    <w:link w:val="affffffffffffa"/>
    <w:uiPriority w:val="74"/>
    <w:qFormat/>
    <w:rPr>
      <w:sz w:val="24"/>
    </w:rPr>
  </w:style>
  <w:style w:type="character" w:customStyle="1" w:styleId="Char24">
    <w:name w:val="副标题 Char2"/>
    <w:uiPriority w:val="11"/>
    <w:qFormat/>
    <w:rPr>
      <w:rFonts w:ascii="Cambria" w:eastAsia="宋体" w:hAnsi="Cambria" w:cs="Times New Roman"/>
      <w:b/>
      <w:bCs/>
      <w:kern w:val="28"/>
      <w:sz w:val="32"/>
      <w:szCs w:val="32"/>
      <w:shd w:val="clear" w:color="auto" w:fill="FFFFFF"/>
    </w:rPr>
  </w:style>
  <w:style w:type="character" w:customStyle="1" w:styleId="CharCharc">
    <w:name w:val="表格文字（居中） Char Char"/>
    <w:link w:val="affffffffffffb"/>
    <w:qFormat/>
    <w:rPr>
      <w:bCs/>
      <w:sz w:val="18"/>
    </w:rPr>
  </w:style>
  <w:style w:type="character" w:customStyle="1" w:styleId="ft183">
    <w:name w:val="ft183"/>
    <w:qFormat/>
    <w:rPr>
      <w:rFonts w:ascii="Times" w:hAnsi="Times" w:cs="Times" w:hint="default"/>
      <w:color w:val="000000"/>
      <w:sz w:val="24"/>
      <w:szCs w:val="24"/>
      <w:shd w:val="clear" w:color="auto" w:fill="FFFFFF"/>
    </w:rPr>
  </w:style>
  <w:style w:type="character" w:customStyle="1" w:styleId="5Char2">
    <w:name w:val="5级正文 Char"/>
    <w:link w:val="5"/>
    <w:qFormat/>
    <w:rPr>
      <w:b/>
      <w:kern w:val="2"/>
      <w:sz w:val="24"/>
      <w:szCs w:val="21"/>
    </w:rPr>
  </w:style>
  <w:style w:type="character" w:customStyle="1" w:styleId="1CharCharChar1">
    <w:name w:val="（1）标题 Char Char Char"/>
    <w:qFormat/>
    <w:rPr>
      <w:rFonts w:eastAsia="宋体" w:cs="Times New Roman"/>
      <w:sz w:val="28"/>
      <w:shd w:val="clear" w:color="auto" w:fill="FFFFFF"/>
    </w:rPr>
  </w:style>
  <w:style w:type="character" w:customStyle="1" w:styleId="Charffffffff4">
    <w:name w:val="表格表格 Char"/>
    <w:qFormat/>
    <w:rPr>
      <w:rFonts w:ascii="Times New Roman" w:eastAsia="宋体" w:hAnsi="Times New Roman" w:cs="Times New Roman" w:hint="default"/>
      <w:color w:val="000000"/>
      <w:kern w:val="0"/>
      <w:szCs w:val="21"/>
      <w:shd w:val="clear" w:color="auto" w:fill="FFFFFF"/>
    </w:rPr>
  </w:style>
  <w:style w:type="character" w:customStyle="1" w:styleId="first-child1">
    <w:name w:val="first-child1"/>
    <w:basedOn w:val="a8"/>
    <w:qFormat/>
  </w:style>
  <w:style w:type="character" w:customStyle="1" w:styleId="5Char3">
    <w:name w:val="编号5 Char"/>
    <w:link w:val="5f0"/>
    <w:qFormat/>
    <w:rPr>
      <w:rFonts w:ascii="宋体" w:hAnsi="宋体"/>
      <w:b/>
      <w:bCs/>
      <w:szCs w:val="28"/>
    </w:rPr>
  </w:style>
  <w:style w:type="character" w:customStyle="1" w:styleId="7421TimesNewRomanChar">
    <w:name w:val="样式 样式 标题 74号黑体左空2格行距1倍 + Times New Roman + Char"/>
    <w:qFormat/>
    <w:rPr>
      <w:rFonts w:eastAsia="宋体"/>
      <w:b/>
      <w:kern w:val="2"/>
      <w:sz w:val="28"/>
      <w:szCs w:val="28"/>
      <w:shd w:val="clear" w:color="auto" w:fill="FFFFFF"/>
      <w:lang w:val="en-US" w:eastAsia="zh-CN" w:bidi="ar-SA"/>
    </w:rPr>
  </w:style>
  <w:style w:type="character" w:customStyle="1" w:styleId="w81">
    <w:name w:val="w81"/>
    <w:qFormat/>
    <w:rPr>
      <w:color w:val="3A3A3A"/>
      <w:sz w:val="18"/>
      <w:szCs w:val="18"/>
      <w:u w:val="none"/>
      <w:shd w:val="clear" w:color="auto" w:fill="FFFFFF"/>
    </w:rPr>
  </w:style>
  <w:style w:type="character" w:customStyle="1" w:styleId="2ffffffa">
    <w:name w:val="题注 字符2"/>
    <w:qFormat/>
    <w:rPr>
      <w:rFonts w:ascii="Times New Roman" w:eastAsia="宋体" w:hAnsi="Times New Roman" w:cs="Arial"/>
      <w:b/>
      <w:szCs w:val="20"/>
      <w:shd w:val="clear" w:color="auto" w:fill="FFFFFF"/>
    </w:rPr>
  </w:style>
  <w:style w:type="character" w:customStyle="1" w:styleId="text10">
    <w:name w:val="text1"/>
    <w:qFormat/>
    <w:rPr>
      <w:color w:val="000000"/>
      <w:sz w:val="18"/>
      <w:szCs w:val="18"/>
      <w:shd w:val="clear" w:color="auto" w:fill="FFFFFF"/>
    </w:rPr>
  </w:style>
  <w:style w:type="character" w:customStyle="1" w:styleId="Char10">
    <w:name w:val="表 Char1"/>
    <w:link w:val="afffffe"/>
    <w:qFormat/>
    <w:rPr>
      <w:rFonts w:ascii="黑体" w:eastAsia="黑体" w:hAnsi="黑体" w:cs="黑体"/>
      <w:b/>
      <w:bCs/>
      <w:sz w:val="24"/>
      <w:szCs w:val="21"/>
    </w:rPr>
  </w:style>
  <w:style w:type="character" w:customStyle="1" w:styleId="apple-converted-space">
    <w:name w:val="apple-converted-space"/>
    <w:qFormat/>
    <w:rPr>
      <w:shd w:val="clear" w:color="auto" w:fill="FFFFFF"/>
    </w:rPr>
  </w:style>
  <w:style w:type="character" w:customStyle="1" w:styleId="style20">
    <w:name w:val="style2"/>
    <w:qFormat/>
    <w:rPr>
      <w:shd w:val="clear" w:color="auto" w:fill="FFFFFF"/>
    </w:rPr>
  </w:style>
  <w:style w:type="character" w:customStyle="1" w:styleId="777777777CharCharCharCharCharCharChar">
    <w:name w:val="777777777 Char Char Char Char Char Char Char"/>
    <w:qFormat/>
    <w:locked/>
    <w:rPr>
      <w:sz w:val="28"/>
      <w:shd w:val="clear" w:color="auto" w:fill="FFFFFF"/>
    </w:rPr>
  </w:style>
  <w:style w:type="character" w:customStyle="1" w:styleId="mainfirst1">
    <w:name w:val="mainfirst1"/>
    <w:qFormat/>
    <w:rPr>
      <w:rFonts w:ascii="宋体" w:eastAsia="黑体" w:hAnsi="宋体" w:cs="宋体"/>
      <w:b/>
      <w:bCs/>
      <w:color w:val="FF0000"/>
      <w:kern w:val="2"/>
      <w:sz w:val="36"/>
      <w:szCs w:val="36"/>
      <w:shd w:val="clear" w:color="auto" w:fill="FFFFFF"/>
      <w:lang w:val="en-US" w:eastAsia="zh-CN" w:bidi="ar-SA"/>
    </w:rPr>
  </w:style>
  <w:style w:type="character" w:customStyle="1" w:styleId="317">
    <w:name w:val="正文文本缩进 3 字符1"/>
    <w:qFormat/>
    <w:rPr>
      <w:sz w:val="16"/>
      <w:szCs w:val="16"/>
      <w:shd w:val="clear" w:color="auto" w:fill="FFFFFF"/>
    </w:rPr>
  </w:style>
  <w:style w:type="character" w:customStyle="1" w:styleId="-Char0">
    <w:name w:val="正文首行缩进-修改 Char"/>
    <w:link w:val="-2"/>
    <w:qFormat/>
    <w:rPr>
      <w:kern w:val="2"/>
      <w:sz w:val="24"/>
      <w:szCs w:val="21"/>
    </w:rPr>
  </w:style>
  <w:style w:type="character" w:customStyle="1" w:styleId="CharCharff5">
    <w:name w:val="正文 Char Char"/>
    <w:qFormat/>
    <w:rPr>
      <w:rFonts w:ascii="宋体" w:hAnsi="Times New Roman" w:cs="Calibri"/>
      <w:sz w:val="34"/>
      <w:shd w:val="clear" w:color="auto" w:fill="FFFFFF"/>
    </w:rPr>
  </w:style>
  <w:style w:type="character" w:customStyle="1" w:styleId="2Char3">
    <w:name w:val="2标题 Char"/>
    <w:link w:val="2ff"/>
    <w:qFormat/>
    <w:rPr>
      <w:b/>
      <w:kern w:val="2"/>
      <w:sz w:val="24"/>
    </w:rPr>
  </w:style>
  <w:style w:type="character" w:customStyle="1" w:styleId="2ffffffb">
    <w:name w:val="标题 字符2"/>
    <w:qFormat/>
    <w:rPr>
      <w:rFonts w:ascii="Cambria" w:hAnsi="Cambria" w:cs="Times New Roman"/>
      <w:b/>
      <w:bCs/>
      <w:sz w:val="32"/>
      <w:szCs w:val="32"/>
      <w:shd w:val="clear" w:color="auto" w:fill="FFFFFF"/>
    </w:rPr>
  </w:style>
  <w:style w:type="character" w:customStyle="1" w:styleId="5CharChar3">
    <w:name w:val="5级正文 Char Char"/>
    <w:qFormat/>
    <w:locked/>
    <w:rPr>
      <w:rFonts w:cs="Times New Roman"/>
      <w:b/>
      <w:sz w:val="24"/>
      <w:shd w:val="clear" w:color="auto" w:fill="FFFFFF"/>
    </w:rPr>
  </w:style>
  <w:style w:type="character" w:customStyle="1" w:styleId="st">
    <w:name w:val="st"/>
    <w:qFormat/>
    <w:rPr>
      <w:shd w:val="clear" w:color="auto" w:fill="FFFFFF"/>
    </w:rPr>
  </w:style>
  <w:style w:type="character" w:customStyle="1" w:styleId="Charfff">
    <w:name w:val="金光华文本正文 Char"/>
    <w:link w:val="affffffffffffc"/>
    <w:qFormat/>
    <w:rPr>
      <w:rFonts w:ascii="宋体" w:hAnsi="宋体"/>
      <w:sz w:val="24"/>
      <w:szCs w:val="21"/>
    </w:rPr>
  </w:style>
  <w:style w:type="character" w:customStyle="1" w:styleId="-2Char">
    <w:name w:val="正文-2 Char"/>
    <w:qFormat/>
    <w:rPr>
      <w:rFonts w:ascii="宋体" w:hAnsi="宋体"/>
      <w:b/>
      <w:sz w:val="24"/>
      <w:szCs w:val="24"/>
      <w:shd w:val="clear" w:color="auto" w:fill="FFFFFF"/>
      <w:lang w:val="zh-CN"/>
    </w:rPr>
  </w:style>
  <w:style w:type="character" w:customStyle="1" w:styleId="CharCharCharChar30">
    <w:name w:val="Char Char Char Char3"/>
    <w:semiHidden/>
    <w:qFormat/>
    <w:rPr>
      <w:rFonts w:ascii="宋体" w:eastAsia="宋体"/>
      <w:b/>
      <w:bCs/>
      <w:kern w:val="2"/>
      <w:sz w:val="24"/>
      <w:szCs w:val="24"/>
      <w:shd w:val="clear" w:color="auto" w:fill="FFFFFF"/>
      <w:lang w:val="en-US" w:eastAsia="zh-CN" w:bidi="ar-SA"/>
    </w:rPr>
  </w:style>
  <w:style w:type="character" w:customStyle="1" w:styleId="EmailStyle4881">
    <w:name w:val="EmailStyle4881"/>
    <w:qFormat/>
    <w:rPr>
      <w:rFonts w:ascii="Arial" w:eastAsia="宋体" w:hAnsi="Arial" w:cs="Arial"/>
      <w:color w:val="auto"/>
      <w:sz w:val="20"/>
      <w:shd w:val="clear" w:color="auto" w:fill="FFFFFF"/>
    </w:rPr>
  </w:style>
  <w:style w:type="character" w:customStyle="1" w:styleId="CharCharChar3">
    <w:name w:val="注释 Char Char Char"/>
    <w:link w:val="CharChard"/>
    <w:qFormat/>
    <w:rPr>
      <w:bCs/>
      <w:kern w:val="44"/>
      <w:sz w:val="18"/>
      <w:szCs w:val="18"/>
    </w:rPr>
  </w:style>
  <w:style w:type="character" w:customStyle="1" w:styleId="86Char">
    <w:name w:val="正文86 Char"/>
    <w:qFormat/>
    <w:locked/>
    <w:rPr>
      <w:rFonts w:ascii="楷体_GB2312" w:eastAsia="楷体_GB2312" w:hAnsi="宋体" w:cs="宋体"/>
      <w:sz w:val="24"/>
      <w:szCs w:val="24"/>
      <w:shd w:val="clear" w:color="auto" w:fill="FFFFFF"/>
    </w:rPr>
  </w:style>
  <w:style w:type="character" w:customStyle="1" w:styleId="1CharCharChar2">
    <w:name w:val="分目录1 Char Char Char"/>
    <w:qFormat/>
    <w:rPr>
      <w:rFonts w:eastAsia="宋体" w:cs="Times New Roman"/>
      <w:sz w:val="28"/>
      <w:shd w:val="clear" w:color="auto" w:fill="FFFFFF"/>
    </w:rPr>
  </w:style>
  <w:style w:type="character" w:customStyle="1" w:styleId="666Char">
    <w:name w:val="666 Char"/>
    <w:link w:val="666"/>
    <w:qFormat/>
    <w:rPr>
      <w:rFonts w:eastAsia="黑体" w:hAnsi="宋体"/>
      <w:sz w:val="24"/>
      <w:szCs w:val="18"/>
    </w:rPr>
  </w:style>
  <w:style w:type="character" w:customStyle="1" w:styleId="CharCharChar8">
    <w:name w:val="报告书正文 Char Char Char"/>
    <w:qFormat/>
    <w:rPr>
      <w:rFonts w:ascii="宋体" w:eastAsia="宋体" w:hAnsi="宋体" w:cs="宋体"/>
      <w:kern w:val="0"/>
      <w:sz w:val="24"/>
      <w:szCs w:val="24"/>
      <w:shd w:val="clear" w:color="auto" w:fill="FFFFFF"/>
    </w:rPr>
  </w:style>
  <w:style w:type="character" w:customStyle="1" w:styleId="2CharChar2">
    <w:name w:val="样式 正文首行缩进 2 + (符号) 宋体 Char Char"/>
    <w:qFormat/>
    <w:rPr>
      <w:rFonts w:ascii="宋体" w:eastAsia="宋体" w:cs="Times New Roman"/>
      <w:kern w:val="2"/>
      <w:sz w:val="24"/>
      <w:szCs w:val="24"/>
      <w:shd w:val="clear" w:color="auto" w:fill="FFFFFF"/>
      <w:lang w:val="en-US" w:eastAsia="zh-CN" w:bidi="ar-SA"/>
    </w:rPr>
  </w:style>
  <w:style w:type="character" w:customStyle="1" w:styleId="Char32">
    <w:name w:val="注释标题 Char3"/>
    <w:uiPriority w:val="99"/>
    <w:semiHidden/>
    <w:qFormat/>
    <w:rPr>
      <w:rFonts w:ascii="Times New Roman" w:eastAsia="宋体" w:hAnsi="Times New Roman" w:cs="Times New Roman"/>
      <w:szCs w:val="24"/>
      <w:shd w:val="clear" w:color="auto" w:fill="FFFFFF"/>
    </w:rPr>
  </w:style>
  <w:style w:type="character" w:customStyle="1" w:styleId="Charfff0">
    <w:name w:val="表格黑体 Char"/>
    <w:link w:val="affffffffffffd"/>
    <w:qFormat/>
    <w:rPr>
      <w:rFonts w:ascii="黑体" w:eastAsia="黑体" w:hAnsi="黑体"/>
      <w:b/>
      <w:sz w:val="24"/>
      <w:szCs w:val="21"/>
    </w:rPr>
  </w:style>
  <w:style w:type="character" w:customStyle="1" w:styleId="vctext1">
    <w:name w:val="vctext1"/>
    <w:qFormat/>
    <w:rPr>
      <w:color w:val="666666"/>
      <w:sz w:val="24"/>
      <w:szCs w:val="24"/>
      <w:shd w:val="clear" w:color="auto" w:fill="FFFFFF"/>
    </w:rPr>
  </w:style>
  <w:style w:type="character" w:customStyle="1" w:styleId="Charffffffff5">
    <w:name w:val="正文. Char"/>
    <w:semiHidden/>
    <w:qFormat/>
    <w:rPr>
      <w:rFonts w:ascii="Times New Roman" w:hAnsi="Times New Roman"/>
      <w:color w:val="008000"/>
      <w:sz w:val="24"/>
      <w:szCs w:val="24"/>
      <w:shd w:val="clear" w:color="auto" w:fill="FFFFFF"/>
    </w:rPr>
  </w:style>
  <w:style w:type="character" w:customStyle="1" w:styleId="Superscript">
    <w:name w:val="Superscript"/>
    <w:qFormat/>
    <w:rPr>
      <w:shd w:val="clear" w:color="auto" w:fill="FFFFFF"/>
      <w:vertAlign w:val="superscript"/>
    </w:rPr>
  </w:style>
  <w:style w:type="character" w:customStyle="1" w:styleId="afffffffffffffffffffffffffffffffffffffff0">
    <w:name w:val="样式 黑体 小二 黑色"/>
    <w:qFormat/>
    <w:rPr>
      <w:rFonts w:ascii="黑体" w:eastAsia="黑体" w:hAnsi="黑体"/>
      <w:color w:val="000000"/>
      <w:sz w:val="36"/>
      <w:shd w:val="clear" w:color="auto" w:fill="FFFFFF"/>
    </w:rPr>
  </w:style>
  <w:style w:type="character" w:customStyle="1" w:styleId="2Char10">
    <w:name w:val="标题2 Char1"/>
    <w:qFormat/>
    <w:rPr>
      <w:rFonts w:ascii="Arial" w:eastAsia="黑体" w:hAnsi="Arial" w:cs="Times New Roman"/>
      <w:b/>
      <w:bCs/>
      <w:kern w:val="2"/>
      <w:sz w:val="32"/>
      <w:szCs w:val="32"/>
      <w:shd w:val="clear" w:color="auto" w:fill="FFFFFF"/>
      <w:lang w:val="en-US" w:eastAsia="zh-CN" w:bidi="ar-SA"/>
    </w:rPr>
  </w:style>
  <w:style w:type="character" w:customStyle="1" w:styleId="pagedetailtitle1">
    <w:name w:val="pagedetailtitle1"/>
    <w:qFormat/>
    <w:rPr>
      <w:rFonts w:ascii="ΟGB2312" w:eastAsia="ΟGB2312" w:hint="eastAsia"/>
      <w:b/>
      <w:bCs/>
      <w:color w:val="993300"/>
      <w:sz w:val="32"/>
      <w:szCs w:val="32"/>
      <w:shd w:val="clear" w:color="auto" w:fill="FFFFFF"/>
    </w:rPr>
  </w:style>
  <w:style w:type="character" w:customStyle="1" w:styleId="0CharCharCharCharChar">
    <w:name w:val="样式 居中 首行缩进:  0 字符 Char Char Char Char Char"/>
    <w:qFormat/>
    <w:rPr>
      <w:rFonts w:eastAsia="仿宋_GB2312" w:cs="Times New Roman"/>
      <w:kern w:val="2"/>
      <w:sz w:val="21"/>
      <w:shd w:val="clear" w:color="auto" w:fill="FFFFFF"/>
      <w:lang w:bidi="ar-SA"/>
    </w:rPr>
  </w:style>
  <w:style w:type="character" w:customStyle="1" w:styleId="Char1b">
    <w:name w:val="注释 Char1"/>
    <w:link w:val="affffffffffffe"/>
    <w:qFormat/>
    <w:rPr>
      <w:kern w:val="2"/>
      <w:sz w:val="15"/>
      <w:szCs w:val="21"/>
    </w:rPr>
  </w:style>
  <w:style w:type="character" w:customStyle="1" w:styleId="CharCharChar9">
    <w:name w:val="表头标题 Char Char Char"/>
    <w:qFormat/>
    <w:rPr>
      <w:rFonts w:ascii="黑体" w:eastAsia="黑体" w:hAnsi="Times New Roman" w:cs="Times New Roman"/>
      <w:bCs/>
      <w:color w:val="FF0000"/>
      <w:sz w:val="21"/>
      <w:szCs w:val="21"/>
      <w:shd w:val="clear" w:color="auto" w:fill="FFFFFF"/>
      <w:lang w:val="zh-CN"/>
    </w:rPr>
  </w:style>
  <w:style w:type="character" w:customStyle="1" w:styleId="dan7-1CharCharChar">
    <w:name w:val="样式 dan7-1 + 宋体 Char Char Char"/>
    <w:qFormat/>
    <w:rPr>
      <w:rFonts w:ascii="宋体" w:hAnsi="宋体"/>
      <w:b/>
      <w:sz w:val="24"/>
      <w:szCs w:val="24"/>
      <w:shd w:val="clear" w:color="auto" w:fill="FFFFFF"/>
    </w:rPr>
  </w:style>
  <w:style w:type="character" w:customStyle="1" w:styleId="1111Char1">
    <w:name w:val="条标题1.1.1.1 Char1"/>
    <w:qFormat/>
    <w:rPr>
      <w:rFonts w:ascii="Arial" w:eastAsia="黑体" w:hAnsi="Arial" w:cs="Times New Roman"/>
      <w:b/>
      <w:bCs/>
      <w:kern w:val="2"/>
      <w:sz w:val="28"/>
      <w:szCs w:val="28"/>
      <w:shd w:val="clear" w:color="auto" w:fill="FFFFFF"/>
    </w:rPr>
  </w:style>
  <w:style w:type="character" w:customStyle="1" w:styleId="2Char1">
    <w:name w:val="样式 首行缩进:  2 字符 Char"/>
    <w:link w:val="2f7"/>
    <w:qFormat/>
    <w:rPr>
      <w:rFonts w:cs="宋体"/>
      <w:kern w:val="2"/>
      <w:sz w:val="21"/>
    </w:rPr>
  </w:style>
  <w:style w:type="character" w:customStyle="1" w:styleId="3fff6">
    <w:name w:val="批注文字 字符3"/>
    <w:uiPriority w:val="99"/>
    <w:qFormat/>
    <w:rPr>
      <w:shd w:val="clear" w:color="auto" w:fill="FFFFFF"/>
    </w:rPr>
  </w:style>
  <w:style w:type="character" w:customStyle="1" w:styleId="1Chard">
    <w:name w:val="样1 Char"/>
    <w:qFormat/>
    <w:rPr>
      <w:rFonts w:ascii="Times New Roman" w:hAnsi="Times New Roman"/>
      <w:sz w:val="24"/>
      <w:shd w:val="clear" w:color="auto" w:fill="FFFFFF"/>
    </w:rPr>
  </w:style>
  <w:style w:type="character" w:customStyle="1" w:styleId="ca-2">
    <w:name w:val="ca-2"/>
    <w:qFormat/>
    <w:rPr>
      <w:shd w:val="clear" w:color="auto" w:fill="FFFFFF"/>
    </w:rPr>
  </w:style>
  <w:style w:type="character" w:customStyle="1" w:styleId="duanluo2">
    <w:name w:val="duanluo2"/>
    <w:qFormat/>
    <w:rPr>
      <w:rFonts w:ascii="_x0002_ _GB2312" w:eastAsia="_x0002__GB2312" w:hAnsi="_GB2312" w:cs="_x0002__GB2312"/>
      <w:color w:val="000000"/>
      <w:sz w:val="21"/>
      <w:szCs w:val="21"/>
      <w:shd w:val="clear" w:color="auto" w:fill="FFFFFF"/>
    </w:rPr>
  </w:style>
  <w:style w:type="character" w:customStyle="1" w:styleId="01Char1">
    <w:name w:val="正文01 Char1"/>
    <w:qFormat/>
    <w:rPr>
      <w:rFonts w:ascii="Times New Roman" w:eastAsia="宋体" w:hAnsi="Times New Roman" w:cs="Times New Roman"/>
      <w:bCs/>
      <w:sz w:val="24"/>
      <w:szCs w:val="24"/>
      <w:shd w:val="clear" w:color="auto" w:fill="FFFFFF"/>
    </w:rPr>
  </w:style>
  <w:style w:type="character" w:customStyle="1" w:styleId="fontstrikethrough">
    <w:name w:val="fontstrikethrough"/>
    <w:qFormat/>
    <w:rPr>
      <w:strike/>
      <w:shd w:val="clear" w:color="auto" w:fill="FFFFFF"/>
    </w:rPr>
  </w:style>
  <w:style w:type="character" w:customStyle="1" w:styleId="11p1">
    <w:name w:val="11p1"/>
    <w:qFormat/>
    <w:rPr>
      <w:sz w:val="23"/>
      <w:szCs w:val="23"/>
      <w:shd w:val="clear" w:color="auto" w:fill="FFFFFF"/>
    </w:rPr>
  </w:style>
  <w:style w:type="character" w:customStyle="1" w:styleId="2ffffffc">
    <w:name w:val="称呼 字符2"/>
    <w:semiHidden/>
    <w:qFormat/>
    <w:rPr>
      <w:rFonts w:ascii="黑体" w:eastAsia="黑体" w:hAnsi="宋体" w:cs="Times New Roman"/>
      <w:sz w:val="24"/>
      <w:szCs w:val="24"/>
      <w:shd w:val="clear" w:color="auto" w:fill="FFFFFF"/>
    </w:rPr>
  </w:style>
  <w:style w:type="character" w:customStyle="1" w:styleId="compcontent">
    <w:name w:val="comp_content"/>
    <w:qFormat/>
    <w:rPr>
      <w:shd w:val="clear" w:color="auto" w:fill="FFFFFF"/>
    </w:rPr>
  </w:style>
  <w:style w:type="character" w:customStyle="1" w:styleId="WYChar">
    <w:name w:val="WY表头 Char"/>
    <w:link w:val="WY"/>
    <w:qFormat/>
    <w:locked/>
    <w:rPr>
      <w:rFonts w:ascii="宋体" w:eastAsia="Times New Roman" w:hAnsi="宋体"/>
      <w:b/>
      <w:sz w:val="24"/>
      <w:szCs w:val="21"/>
    </w:rPr>
  </w:style>
  <w:style w:type="character" w:customStyle="1" w:styleId="4Char0">
    <w:name w:val="何标题4 Char"/>
    <w:link w:val="4f0"/>
    <w:qFormat/>
    <w:rPr>
      <w:rFonts w:ascii="Batang" w:hAnsi="Batang"/>
      <w:bCs/>
      <w:sz w:val="28"/>
      <w:szCs w:val="28"/>
    </w:rPr>
  </w:style>
  <w:style w:type="character" w:customStyle="1" w:styleId="EmailStyle5541">
    <w:name w:val="EmailStyle5541"/>
    <w:qFormat/>
    <w:rPr>
      <w:rFonts w:ascii="Arial" w:eastAsia="宋体" w:hAnsi="Arial" w:cs="Arial"/>
      <w:color w:val="auto"/>
      <w:sz w:val="20"/>
      <w:shd w:val="clear" w:color="auto" w:fill="FFFFFF"/>
    </w:rPr>
  </w:style>
  <w:style w:type="character" w:customStyle="1" w:styleId="3CharChar3">
    <w:name w:val="样式3 Char Char"/>
    <w:qFormat/>
    <w:rPr>
      <w:rFonts w:ascii="楷体_GB2312" w:eastAsia="楷体_GB2312" w:hAnsi="Times New Roman"/>
      <w:kern w:val="2"/>
      <w:sz w:val="18"/>
      <w:shd w:val="clear" w:color="auto" w:fill="FFFFFF"/>
    </w:rPr>
  </w:style>
  <w:style w:type="character" w:customStyle="1" w:styleId="biaoChar">
    <w:name w:val="biao Char"/>
    <w:link w:val="biao"/>
    <w:qFormat/>
    <w:locked/>
    <w:rPr>
      <w:rFonts w:ascii="黑体" w:eastAsia="黑体" w:hAnsi="Tms Rmn"/>
      <w:sz w:val="30"/>
    </w:rPr>
  </w:style>
  <w:style w:type="character" w:customStyle="1" w:styleId="s10">
    <w:name w:val="s1"/>
    <w:qFormat/>
    <w:rPr>
      <w:rFonts w:cs="Times New Roman"/>
      <w:shd w:val="clear" w:color="auto" w:fill="FFFFFF"/>
    </w:rPr>
  </w:style>
  <w:style w:type="character" w:customStyle="1" w:styleId="Charffffffff6">
    <w:name w:val="环保表内字（五号） Char"/>
    <w:qFormat/>
    <w:rPr>
      <w:rFonts w:ascii="Times New Roman" w:hAnsi="Times New Roman"/>
      <w:szCs w:val="24"/>
      <w:shd w:val="clear" w:color="auto" w:fill="FFFFFF"/>
    </w:rPr>
  </w:style>
  <w:style w:type="character" w:customStyle="1" w:styleId="kt1">
    <w:name w:val="kt1"/>
    <w:semiHidden/>
    <w:qFormat/>
    <w:rPr>
      <w:rFonts w:eastAsia="仿宋_GB2312"/>
      <w:kern w:val="2"/>
      <w:sz w:val="24"/>
      <w:szCs w:val="24"/>
      <w:shd w:val="clear" w:color="auto" w:fill="FFFFFF"/>
      <w:lang w:val="en-US" w:eastAsia="zh-CN" w:bidi="ar-SA"/>
    </w:rPr>
  </w:style>
  <w:style w:type="character" w:customStyle="1" w:styleId="e011">
    <w:name w:val="e011"/>
    <w:qFormat/>
    <w:rPr>
      <w:sz w:val="21"/>
      <w:szCs w:val="21"/>
      <w:shd w:val="clear" w:color="auto" w:fill="FFFFFF"/>
    </w:rPr>
  </w:style>
  <w:style w:type="character" w:customStyle="1" w:styleId="3H3BHead3Char1113h33rdlevel1CharCharChar">
    <w:name w:val="样式 标题 3H3B Head标题 3 Char条标题1.1.1三级标题标题3h33rd level第二层条...1 Char Char Char"/>
    <w:qFormat/>
    <w:locked/>
    <w:rPr>
      <w:rFonts w:ascii="仿宋_GB2312" w:eastAsia="仿宋_GB2312" w:hAnsi="宋体"/>
      <w:bCs/>
      <w:color w:val="FF0000"/>
      <w:sz w:val="24"/>
      <w:szCs w:val="24"/>
      <w:shd w:val="clear" w:color="auto" w:fill="FFFFFF"/>
    </w:rPr>
  </w:style>
  <w:style w:type="character" w:customStyle="1" w:styleId="wen11">
    <w:name w:val="wen11"/>
    <w:qFormat/>
    <w:rPr>
      <w:color w:val="0066CC"/>
      <w:sz w:val="22"/>
      <w:szCs w:val="22"/>
      <w:shd w:val="clear" w:color="auto" w:fill="FFFFFF"/>
    </w:rPr>
  </w:style>
  <w:style w:type="character" w:customStyle="1" w:styleId="CharCharCharCharCharCharCharCharCharChar10">
    <w:name w:val="标题 Char Char Char Char Char Char Char Char Char Char1"/>
    <w:qFormat/>
    <w:rPr>
      <w:rFonts w:ascii="Arial" w:eastAsia="宋体" w:hAnsi="Arial"/>
      <w:b/>
      <w:kern w:val="2"/>
      <w:sz w:val="32"/>
      <w:shd w:val="clear" w:color="auto" w:fill="FFFFFF"/>
      <w:lang w:val="en-US" w:eastAsia="zh-CN" w:bidi="ar-SA"/>
    </w:rPr>
  </w:style>
  <w:style w:type="character" w:customStyle="1" w:styleId="230">
    <w:name w:val="正文文本缩进 2 字符3"/>
    <w:qFormat/>
    <w:rPr>
      <w:rFonts w:ascii="宋体" w:eastAsia="宋体" w:hAnsi="Times New Roman" w:cs="Times New Roman"/>
      <w:spacing w:val="-2"/>
      <w:kern w:val="0"/>
      <w:sz w:val="28"/>
      <w:szCs w:val="28"/>
      <w:shd w:val="clear" w:color="auto" w:fill="FFFFFF"/>
      <w:lang w:val="zh-CN"/>
    </w:rPr>
  </w:style>
  <w:style w:type="character" w:customStyle="1" w:styleId="1ffffff7">
    <w:name w:val="访问过的超链接1"/>
    <w:uiPriority w:val="99"/>
    <w:unhideWhenUsed/>
    <w:qFormat/>
    <w:rPr>
      <w:color w:val="954F72"/>
      <w:u w:val="single"/>
      <w:shd w:val="clear" w:color="auto" w:fill="FFFFFF"/>
    </w:rPr>
  </w:style>
  <w:style w:type="character" w:customStyle="1" w:styleId="ltextCharChar">
    <w:name w:val="l_text Char Char"/>
    <w:qFormat/>
    <w:rPr>
      <w:kern w:val="2"/>
      <w:sz w:val="28"/>
      <w:szCs w:val="21"/>
      <w:shd w:val="clear" w:color="auto" w:fill="FFFFFF"/>
    </w:rPr>
  </w:style>
  <w:style w:type="character" w:customStyle="1" w:styleId="133">
    <w:name w:val="标题 1 字符3"/>
    <w:qFormat/>
    <w:rPr>
      <w:rFonts w:ascii="Times New Roman" w:eastAsia="楷体_GB2312" w:hAnsi="Times New Roman"/>
      <w:b/>
      <w:kern w:val="44"/>
      <w:sz w:val="44"/>
      <w:szCs w:val="21"/>
      <w:shd w:val="clear" w:color="auto" w:fill="FFFFFF"/>
    </w:rPr>
  </w:style>
  <w:style w:type="character" w:customStyle="1" w:styleId="word1">
    <w:name w:val="word1"/>
    <w:qFormat/>
    <w:rPr>
      <w:color w:val="FFFFCC"/>
      <w:spacing w:val="360"/>
      <w:sz w:val="18"/>
      <w:szCs w:val="18"/>
      <w:u w:val="none"/>
      <w:shd w:val="clear" w:color="auto" w:fill="FFFFFF"/>
    </w:rPr>
  </w:style>
  <w:style w:type="character" w:customStyle="1" w:styleId="EmailStyle5551">
    <w:name w:val="EmailStyle5551"/>
    <w:qFormat/>
    <w:rPr>
      <w:rFonts w:ascii="Arial" w:eastAsia="宋体" w:hAnsi="Arial" w:cs="Arial"/>
      <w:color w:val="auto"/>
      <w:sz w:val="20"/>
      <w:shd w:val="clear" w:color="auto" w:fill="FFFFFF"/>
    </w:rPr>
  </w:style>
  <w:style w:type="character" w:customStyle="1" w:styleId="biaoti1">
    <w:name w:val="biaoti1"/>
    <w:qFormat/>
    <w:rPr>
      <w:rFonts w:eastAsia="宋体"/>
      <w:b/>
      <w:bCs/>
      <w:color w:val="000099"/>
      <w:kern w:val="2"/>
      <w:sz w:val="24"/>
      <w:szCs w:val="24"/>
      <w:shd w:val="clear" w:color="auto" w:fill="FFFFFF"/>
      <w:lang w:val="en-US" w:eastAsia="zh-CN" w:bidi="ar-SA"/>
    </w:rPr>
  </w:style>
  <w:style w:type="character" w:customStyle="1" w:styleId="CharChar60">
    <w:name w:val="Char Char6"/>
    <w:qFormat/>
    <w:locked/>
    <w:rPr>
      <w:rFonts w:ascii="宋体" w:eastAsia="宋体" w:hAnsi="宋体"/>
      <w:kern w:val="2"/>
      <w:sz w:val="18"/>
      <w:szCs w:val="18"/>
      <w:shd w:val="clear" w:color="auto" w:fill="FFFFFF"/>
      <w:lang w:val="en-US" w:eastAsia="zh-CN" w:bidi="ar-SA"/>
    </w:rPr>
  </w:style>
  <w:style w:type="character" w:customStyle="1" w:styleId="googqs-tidbitgoogqs-tidbit-0">
    <w:name w:val="goog_qs-tidbit goog_qs-tidbit-0"/>
    <w:qFormat/>
    <w:rPr>
      <w:shd w:val="clear" w:color="auto" w:fill="FFFFFF"/>
    </w:rPr>
  </w:style>
  <w:style w:type="character" w:customStyle="1" w:styleId="font51">
    <w:name w:val="font51"/>
    <w:qFormat/>
    <w:rPr>
      <w:rFonts w:ascii="Times New Roman" w:hAnsi="Times New Roman" w:cs="Times New Roman" w:hint="default"/>
      <w:color w:val="000000"/>
      <w:sz w:val="21"/>
      <w:szCs w:val="21"/>
      <w:u w:val="none"/>
      <w:shd w:val="clear" w:color="auto" w:fill="FFFFFF"/>
      <w:vertAlign w:val="superscript"/>
    </w:rPr>
  </w:style>
  <w:style w:type="character" w:customStyle="1" w:styleId="copyright1">
    <w:name w:val="copyright1"/>
    <w:qFormat/>
    <w:rPr>
      <w:rFonts w:hint="default"/>
      <w:color w:val="000000"/>
      <w:shd w:val="clear" w:color="auto" w:fill="FFFFFF"/>
    </w:rPr>
  </w:style>
  <w:style w:type="character" w:customStyle="1" w:styleId="wangChar">
    <w:name w:val="正文wang Char"/>
    <w:qFormat/>
    <w:rPr>
      <w:rFonts w:ascii="Times New Roman" w:hAnsi="宋体" w:cs="宋体"/>
      <w:szCs w:val="21"/>
      <w:shd w:val="clear" w:color="auto" w:fill="FFFFFF"/>
    </w:rPr>
  </w:style>
  <w:style w:type="character" w:customStyle="1" w:styleId="SimSun">
    <w:name w:val="正文文本 + SimSun"/>
    <w:qFormat/>
    <w:rPr>
      <w:rFonts w:ascii="宋体" w:eastAsia="宋体" w:hAnsi="宋体" w:cs="宋体"/>
      <w:i/>
      <w:iCs/>
      <w:color w:val="000000"/>
      <w:spacing w:val="0"/>
      <w:w w:val="100"/>
      <w:position w:val="0"/>
      <w:sz w:val="23"/>
      <w:szCs w:val="23"/>
      <w:shd w:val="clear" w:color="auto" w:fill="FFFFFF"/>
      <w:lang w:bidi="ar-SA"/>
    </w:rPr>
  </w:style>
  <w:style w:type="character" w:customStyle="1" w:styleId="4Char7">
    <w:name w:val="4  级标题 Char"/>
    <w:qFormat/>
    <w:rPr>
      <w:rFonts w:ascii="黑体" w:eastAsia="黑体" w:hAnsi="Times New Roman" w:cs="Times New Roman"/>
      <w:kern w:val="0"/>
      <w:sz w:val="24"/>
      <w:szCs w:val="28"/>
      <w:shd w:val="clear" w:color="auto" w:fill="FFFFFF"/>
    </w:rPr>
  </w:style>
  <w:style w:type="character" w:customStyle="1" w:styleId="jhfont121">
    <w:name w:val="jhfont121"/>
    <w:qFormat/>
    <w:rPr>
      <w:rFonts w:ascii="ˎ̥" w:eastAsia="ˎ̥" w:hAnsi="ˎ̥" w:cs="ˎ̥" w:hint="default"/>
      <w:sz w:val="18"/>
      <w:szCs w:val="18"/>
      <w:u w:val="none"/>
      <w:shd w:val="clear" w:color="auto" w:fill="FFFFFF"/>
    </w:rPr>
  </w:style>
  <w:style w:type="character" w:customStyle="1" w:styleId="4Char8">
    <w:name w:val="标题4！！！！！ Char"/>
    <w:qFormat/>
    <w:locked/>
    <w:rPr>
      <w:rFonts w:ascii="楷体_GB2312" w:eastAsia="楷体_GB2312" w:hAnsi="楷体_GB2312" w:cs="宋体"/>
      <w:b/>
      <w:sz w:val="24"/>
      <w:szCs w:val="24"/>
      <w:shd w:val="clear" w:color="auto" w:fill="FFFFFF"/>
    </w:rPr>
  </w:style>
  <w:style w:type="character" w:customStyle="1" w:styleId="1ffffff8">
    <w:name w:val="书籍标题1"/>
    <w:qFormat/>
    <w:rPr>
      <w:rFonts w:ascii="Cambria" w:eastAsia="宋体" w:hAnsi="Cambria" w:hint="default"/>
      <w:b/>
      <w:i/>
      <w:sz w:val="24"/>
      <w:szCs w:val="24"/>
      <w:shd w:val="clear" w:color="auto" w:fill="FFFFFF"/>
    </w:rPr>
  </w:style>
  <w:style w:type="character" w:customStyle="1" w:styleId="Charffffffff7">
    <w:name w:val="表头 Char"/>
    <w:qFormat/>
    <w:rPr>
      <w:rFonts w:ascii="宋体" w:eastAsia="宋体" w:hAnsi="宋体"/>
      <w:b/>
      <w:kern w:val="32"/>
      <w:sz w:val="24"/>
      <w:shd w:val="clear" w:color="auto" w:fill="FFFFFF"/>
      <w:lang w:val="en-US" w:eastAsia="zh-CN" w:bidi="ar-SA"/>
    </w:rPr>
  </w:style>
  <w:style w:type="character" w:customStyle="1" w:styleId="1ffffff9">
    <w:name w:val="不明显强调1"/>
    <w:qFormat/>
    <w:rPr>
      <w:i/>
      <w:color w:val="5A5A5A"/>
      <w:shd w:val="clear" w:color="auto" w:fill="FFFFFF"/>
    </w:rPr>
  </w:style>
  <w:style w:type="character" w:customStyle="1" w:styleId="a-Char5">
    <w:name w:val="a-表内 Char"/>
    <w:link w:val="a-5"/>
    <w:qFormat/>
    <w:locked/>
    <w:rPr>
      <w:color w:val="000000"/>
      <w:kern w:val="2"/>
      <w:sz w:val="21"/>
      <w:szCs w:val="21"/>
    </w:rPr>
  </w:style>
  <w:style w:type="character" w:customStyle="1" w:styleId="font9pt">
    <w:name w:val="font9pt"/>
    <w:qFormat/>
    <w:rPr>
      <w:shd w:val="clear" w:color="auto" w:fill="FFFFFF"/>
    </w:rPr>
  </w:style>
  <w:style w:type="character" w:customStyle="1" w:styleId="black">
    <w:name w:val="black"/>
    <w:qFormat/>
    <w:rPr>
      <w:shd w:val="clear" w:color="auto" w:fill="FFFFFF"/>
    </w:rPr>
  </w:style>
  <w:style w:type="character" w:customStyle="1" w:styleId="111Char0">
    <w:name w:val="样式1.1.1三级标题 Char"/>
    <w:qFormat/>
    <w:locked/>
    <w:rPr>
      <w:rFonts w:ascii="宋体"/>
      <w:b/>
      <w:sz w:val="24"/>
      <w:szCs w:val="24"/>
      <w:shd w:val="clear" w:color="auto" w:fill="FFFFFF"/>
    </w:rPr>
  </w:style>
  <w:style w:type="character" w:customStyle="1" w:styleId="CharCharCharChar6">
    <w:name w:val="四级标题 Char Char Char Char"/>
    <w:qFormat/>
    <w:rPr>
      <w:rFonts w:ascii="宋体" w:eastAsia="宋体" w:hAnsi="宋体" w:cs="宋体" w:hint="eastAsia"/>
      <w:kern w:val="2"/>
      <w:sz w:val="28"/>
      <w:szCs w:val="24"/>
      <w:shd w:val="clear" w:color="auto" w:fill="FFFFFF"/>
      <w:lang w:val="en-US" w:eastAsia="zh-CN"/>
    </w:rPr>
  </w:style>
  <w:style w:type="character" w:customStyle="1" w:styleId="CharCharff6">
    <w:name w:val="文本框小五 Char Char"/>
    <w:qFormat/>
    <w:locked/>
    <w:rPr>
      <w:rFonts w:eastAsia="仿宋_GB2312" w:cs="宋体"/>
      <w:szCs w:val="21"/>
      <w:shd w:val="clear" w:color="auto" w:fill="FFFFFF"/>
    </w:rPr>
  </w:style>
  <w:style w:type="character" w:customStyle="1" w:styleId="CharCharCharCharCharChar3">
    <w:name w:val="托电四级标题 Char Char Char Char Char Char"/>
    <w:qFormat/>
    <w:rPr>
      <w:rFonts w:ascii="宋体" w:eastAsia="宋体" w:hAnsi="宋体" w:cs="宋体" w:hint="eastAsia"/>
      <w:kern w:val="2"/>
      <w:sz w:val="28"/>
      <w:szCs w:val="24"/>
      <w:shd w:val="clear" w:color="auto" w:fill="FFFFFF"/>
      <w:lang w:val="en-US" w:eastAsia="zh-CN"/>
    </w:rPr>
  </w:style>
  <w:style w:type="character" w:customStyle="1" w:styleId="CharChar71">
    <w:name w:val="Char Char71"/>
    <w:qFormat/>
    <w:rPr>
      <w:b/>
      <w:bCs/>
      <w:sz w:val="28"/>
      <w:szCs w:val="28"/>
      <w:shd w:val="clear" w:color="auto" w:fill="FFFFFF"/>
      <w:lang w:bidi="en-US"/>
    </w:rPr>
  </w:style>
  <w:style w:type="character" w:customStyle="1" w:styleId="14red1">
    <w:name w:val="14red1"/>
    <w:qFormat/>
    <w:rPr>
      <w:color w:val="FF0000"/>
      <w:sz w:val="21"/>
      <w:szCs w:val="21"/>
      <w:u w:val="none"/>
      <w:shd w:val="clear" w:color="auto" w:fill="FFFFFF"/>
    </w:rPr>
  </w:style>
  <w:style w:type="character" w:customStyle="1" w:styleId="afffffffffffffffffffffffffffffffffffffff1">
    <w:name w:val="表格右"/>
    <w:qFormat/>
    <w:rPr>
      <w:rFonts w:ascii="宋体" w:eastAsia="宋体" w:hAnsi="宋体"/>
      <w:color w:val="000080"/>
      <w:kern w:val="2"/>
      <w:sz w:val="18"/>
      <w:szCs w:val="24"/>
      <w:shd w:val="clear" w:color="auto" w:fill="FFFFFF"/>
      <w:lang w:val="en-US" w:eastAsia="zh-CN"/>
    </w:rPr>
  </w:style>
  <w:style w:type="character" w:customStyle="1" w:styleId="m1">
    <w:name w:val="m1"/>
    <w:qFormat/>
    <w:rPr>
      <w:color w:val="666666"/>
      <w:shd w:val="clear" w:color="auto" w:fill="FFFFFF"/>
    </w:rPr>
  </w:style>
  <w:style w:type="character" w:customStyle="1" w:styleId="ft42">
    <w:name w:val="ft42"/>
    <w:qFormat/>
    <w:rPr>
      <w:rFonts w:ascii="Times" w:hAnsi="Times" w:cs="Times" w:hint="default"/>
      <w:color w:val="000000"/>
      <w:sz w:val="27"/>
      <w:szCs w:val="27"/>
      <w:shd w:val="clear" w:color="auto" w:fill="FFFFFF"/>
    </w:rPr>
  </w:style>
  <w:style w:type="character" w:customStyle="1" w:styleId="SChar">
    <w:name w:val="图号S Char"/>
    <w:link w:val="S"/>
    <w:qFormat/>
    <w:rPr>
      <w:rFonts w:eastAsia="仿宋_GB2312"/>
      <w:b/>
      <w:sz w:val="24"/>
    </w:rPr>
  </w:style>
  <w:style w:type="character" w:customStyle="1" w:styleId="CharCharCharCharCharCharCharCharCharCharCharCharCharCharCharCharCharCharChar0">
    <w:name w:val="普通文字 Char Char Char Char Char Char Char Char Char Char Char Char Char Char Char Char Char Char Char"/>
    <w:qFormat/>
    <w:rPr>
      <w:rFonts w:ascii="宋体" w:eastAsia="宋体" w:hAnsi="Courier New"/>
      <w:kern w:val="2"/>
      <w:sz w:val="21"/>
      <w:shd w:val="clear" w:color="auto" w:fill="FFFFFF"/>
      <w:lang w:val="en-US" w:eastAsia="zh-CN" w:bidi="ar-SA"/>
    </w:rPr>
  </w:style>
  <w:style w:type="character" w:customStyle="1" w:styleId="TOC21">
    <w:name w:val="TOC 2 字符1"/>
    <w:uiPriority w:val="39"/>
    <w:qFormat/>
    <w:rPr>
      <w:rFonts w:ascii="宋体" w:hAnsi="宋体"/>
      <w:kern w:val="2"/>
      <w:sz w:val="21"/>
      <w:szCs w:val="21"/>
      <w:shd w:val="clear" w:color="auto" w:fill="FFFFFF"/>
      <w:lang w:val="en-US" w:eastAsia="zh-CN"/>
    </w:rPr>
  </w:style>
  <w:style w:type="character" w:customStyle="1" w:styleId="Char1f7">
    <w:name w:val="引用 Char1"/>
    <w:uiPriority w:val="29"/>
    <w:qFormat/>
    <w:rPr>
      <w:rFonts w:ascii="Times New Roman" w:hAnsi="Times New Roman"/>
      <w:i/>
      <w:iCs/>
      <w:color w:val="000000"/>
      <w:kern w:val="2"/>
      <w:sz w:val="21"/>
      <w:szCs w:val="24"/>
      <w:shd w:val="clear" w:color="auto" w:fill="FFFFFF"/>
    </w:rPr>
  </w:style>
  <w:style w:type="character" w:customStyle="1" w:styleId="iiiChar1">
    <w:name w:val=". [(iii)] Char1"/>
    <w:qFormat/>
    <w:rPr>
      <w:rFonts w:ascii="Arial" w:eastAsia="黑体" w:hAnsi="Arial" w:cs="Times New Roman"/>
      <w:szCs w:val="21"/>
      <w:shd w:val="clear" w:color="auto" w:fill="FFFFFF"/>
    </w:rPr>
  </w:style>
  <w:style w:type="character" w:customStyle="1" w:styleId="421CharChar">
    <w:name w:val="4号黑体左空2格行距1倍 Char Char"/>
    <w:qFormat/>
    <w:rPr>
      <w:rFonts w:ascii="黑体" w:eastAsia="黑体" w:hAnsi="Times New Roman" w:cs="Times New Roman"/>
      <w:bCs/>
      <w:sz w:val="28"/>
      <w:shd w:val="clear" w:color="auto" w:fill="FFFFFF"/>
      <w:lang w:val="en-US" w:eastAsia="zh-CN" w:bidi="ar-SA"/>
    </w:rPr>
  </w:style>
  <w:style w:type="character" w:customStyle="1" w:styleId="xb">
    <w:name w:val="xb"/>
    <w:qFormat/>
    <w:rPr>
      <w:shd w:val="clear" w:color="auto" w:fill="FFFFFF"/>
    </w:rPr>
  </w:style>
  <w:style w:type="character" w:customStyle="1" w:styleId="07720Char">
    <w:name w:val="样式 首行缩进:  0.77 厘米 行距: 固定值 20 磅 Char"/>
    <w:link w:val="07720"/>
    <w:qFormat/>
    <w:rPr>
      <w:kern w:val="2"/>
      <w:sz w:val="24"/>
    </w:rPr>
  </w:style>
  <w:style w:type="character" w:customStyle="1" w:styleId="CharCharChara">
    <w:name w:val="海南化工城正文 Char Char Char"/>
    <w:qFormat/>
    <w:rPr>
      <w:rFonts w:ascii="宋体" w:eastAsia="宋体" w:hAnsi="宋体" w:cs="宋体"/>
      <w:sz w:val="24"/>
      <w:szCs w:val="24"/>
      <w:shd w:val="clear" w:color="auto" w:fill="FFFFFF"/>
    </w:rPr>
  </w:style>
  <w:style w:type="character" w:customStyle="1" w:styleId="ll1">
    <w:name w:val="ll1"/>
    <w:qFormat/>
    <w:rPr>
      <w:shd w:val="clear" w:color="auto" w:fill="FFFFFF"/>
    </w:rPr>
  </w:style>
  <w:style w:type="character" w:customStyle="1" w:styleId="CharChar110">
    <w:name w:val="Char Char11"/>
    <w:qFormat/>
    <w:rPr>
      <w:rFonts w:ascii="Arial" w:eastAsia="黑体" w:hAnsi="Arial"/>
      <w:b/>
      <w:bCs/>
      <w:kern w:val="2"/>
      <w:sz w:val="28"/>
      <w:szCs w:val="28"/>
      <w:shd w:val="clear" w:color="auto" w:fill="FFFFFF"/>
      <w:lang w:val="en-US" w:eastAsia="zh-CN" w:bidi="ar-SA"/>
    </w:rPr>
  </w:style>
  <w:style w:type="character" w:customStyle="1" w:styleId="CharChar20">
    <w:name w:val="Char Char20"/>
    <w:qFormat/>
    <w:rPr>
      <w:rFonts w:ascii="Times New Roman" w:hAnsi="宋体" w:cs="Times New Roman" w:hint="default"/>
      <w:b/>
      <w:bCs/>
      <w:kern w:val="2"/>
      <w:sz w:val="28"/>
      <w:szCs w:val="32"/>
      <w:shd w:val="clear" w:color="auto" w:fill="FFFFFF"/>
    </w:rPr>
  </w:style>
  <w:style w:type="character" w:customStyle="1" w:styleId="Char25">
    <w:name w:val="三级标题 Char2"/>
    <w:qFormat/>
    <w:rPr>
      <w:rFonts w:eastAsia="宋体"/>
      <w:b/>
      <w:bCs/>
      <w:kern w:val="2"/>
      <w:sz w:val="32"/>
      <w:szCs w:val="32"/>
      <w:shd w:val="clear" w:color="auto" w:fill="FFFFFF"/>
      <w:lang w:val="en-US" w:eastAsia="zh-CN" w:bidi="ar-SA"/>
    </w:rPr>
  </w:style>
  <w:style w:type="character" w:customStyle="1" w:styleId="Charfff1">
    <w:name w:val="表－居中列 Char"/>
    <w:link w:val="afffffffffffff"/>
    <w:qFormat/>
    <w:locked/>
  </w:style>
  <w:style w:type="character" w:customStyle="1" w:styleId="CharChar18">
    <w:name w:val="Char Char18"/>
    <w:qFormat/>
    <w:rPr>
      <w:b/>
      <w:bCs/>
      <w:color w:val="auto"/>
      <w:shd w:val="clear" w:color="auto" w:fill="FFFFFF"/>
    </w:rPr>
  </w:style>
  <w:style w:type="character" w:customStyle="1" w:styleId="Charfff3">
    <w:name w:val="新正文样式 Char"/>
    <w:link w:val="afffffffffffff1"/>
    <w:qFormat/>
    <w:rPr>
      <w:spacing w:val="20"/>
      <w:sz w:val="24"/>
    </w:rPr>
  </w:style>
  <w:style w:type="character" w:customStyle="1" w:styleId="Char1f8">
    <w:name w:val="表格内正文 Char1"/>
    <w:qFormat/>
    <w:rPr>
      <w:rFonts w:ascii="宋体" w:eastAsia="宋体" w:hAnsi="宋体" w:cs="Times New Roman" w:hint="eastAsia"/>
      <w:spacing w:val="4"/>
      <w:kern w:val="18"/>
      <w:sz w:val="24"/>
      <w:szCs w:val="24"/>
      <w:shd w:val="clear" w:color="auto" w:fill="FFFFFF"/>
    </w:rPr>
  </w:style>
  <w:style w:type="character" w:customStyle="1" w:styleId="7Char1">
    <w:name w:val="标题 7 表 Char1"/>
    <w:uiPriority w:val="99"/>
    <w:qFormat/>
    <w:rPr>
      <w:rFonts w:ascii="Times New Roman" w:eastAsia="宋体" w:hAnsi="Times New Roman" w:cs="Times New Roman"/>
      <w:b/>
      <w:bCs/>
      <w:sz w:val="24"/>
      <w:szCs w:val="24"/>
      <w:shd w:val="clear" w:color="auto" w:fill="FFFFFF"/>
    </w:rPr>
  </w:style>
  <w:style w:type="character" w:customStyle="1" w:styleId="01Char0">
    <w:name w:val="表格文字01 Char"/>
    <w:qFormat/>
    <w:rPr>
      <w:rFonts w:ascii="Arial" w:hAnsi="Arial"/>
      <w:color w:val="000000"/>
      <w:shd w:val="clear" w:color="auto" w:fill="FFFFFF"/>
    </w:rPr>
  </w:style>
  <w:style w:type="character" w:customStyle="1" w:styleId="112CharChar">
    <w:name w:val="1.1标题 2 Char Char"/>
    <w:qFormat/>
    <w:rPr>
      <w:rFonts w:ascii="Arial" w:eastAsia="宋体" w:hAnsi="Arial" w:cs="Times New Roman" w:hint="default"/>
      <w:b/>
      <w:kern w:val="44"/>
      <w:sz w:val="28"/>
      <w:szCs w:val="20"/>
      <w:shd w:val="clear" w:color="auto" w:fill="FFFFFF"/>
    </w:rPr>
  </w:style>
  <w:style w:type="character" w:customStyle="1" w:styleId="7Char0">
    <w:name w:val="7表格(治) Char"/>
    <w:link w:val="76"/>
    <w:qFormat/>
    <w:rPr>
      <w:rFonts w:ascii="宋体" w:hAnsi="宋体"/>
      <w:color w:val="0000FF"/>
      <w:sz w:val="21"/>
    </w:rPr>
  </w:style>
  <w:style w:type="character" w:customStyle="1" w:styleId="4pt">
    <w:name w:val="正文文本 + 间距 4 pt"/>
    <w:qFormat/>
    <w:rPr>
      <w:rFonts w:ascii="Arial Unicode MS" w:eastAsia="Arial Unicode MS" w:hAnsi="Arial Unicode MS" w:cs="Arial Unicode MS"/>
      <w:color w:val="000000"/>
      <w:spacing w:val="80"/>
      <w:w w:val="100"/>
      <w:position w:val="0"/>
      <w:sz w:val="23"/>
      <w:szCs w:val="23"/>
      <w:shd w:val="clear" w:color="auto" w:fill="FFFFFF"/>
      <w:lang w:val="zh-CN" w:bidi="ar-SA"/>
    </w:rPr>
  </w:style>
  <w:style w:type="character" w:customStyle="1" w:styleId="YHYChar">
    <w:name w:val="表格YHY Char"/>
    <w:qFormat/>
    <w:rPr>
      <w:rFonts w:ascii="Times New Roman" w:hAnsi="Times New Roman"/>
      <w:bCs/>
      <w:szCs w:val="21"/>
      <w:shd w:val="clear" w:color="auto" w:fill="FFFFFF"/>
    </w:rPr>
  </w:style>
  <w:style w:type="character" w:customStyle="1" w:styleId="2CharChar3">
    <w:name w:val="★正文缩进2字符 Char Char"/>
    <w:qFormat/>
    <w:rPr>
      <w:rFonts w:ascii="Times New Roman" w:eastAsia="宋体" w:hAnsi="Times New Roman" w:cs="Times New Roman"/>
      <w:color w:val="000000"/>
      <w:kern w:val="0"/>
      <w:sz w:val="22"/>
      <w:shd w:val="clear" w:color="auto" w:fill="FFFFFF"/>
      <w:lang w:eastAsia="en-US"/>
    </w:rPr>
  </w:style>
  <w:style w:type="character" w:customStyle="1" w:styleId="430">
    <w:name w:val="标题 4 字符3"/>
    <w:qFormat/>
    <w:rPr>
      <w:rFonts w:ascii="Times New Roman" w:hAnsi="Times New Roman"/>
      <w:b/>
      <w:bCs/>
      <w:smallCaps/>
      <w:sz w:val="28"/>
      <w:szCs w:val="24"/>
      <w:shd w:val="clear" w:color="auto" w:fill="FFFFFF"/>
    </w:rPr>
  </w:style>
  <w:style w:type="character" w:customStyle="1" w:styleId="CharChar221">
    <w:name w:val="Char Char221"/>
    <w:semiHidden/>
    <w:qFormat/>
    <w:rPr>
      <w:rFonts w:eastAsia="宋体"/>
      <w:kern w:val="2"/>
      <w:sz w:val="21"/>
      <w:szCs w:val="24"/>
      <w:shd w:val="clear" w:color="auto" w:fill="FFFFFF"/>
      <w:lang w:val="en-US" w:eastAsia="zh-CN" w:bidi="ar-SA"/>
    </w:rPr>
  </w:style>
  <w:style w:type="character" w:customStyle="1" w:styleId="apple-style-span">
    <w:name w:val="apple-style-span"/>
    <w:qFormat/>
    <w:rPr>
      <w:shd w:val="clear" w:color="auto" w:fill="FFFFFF"/>
    </w:rPr>
  </w:style>
  <w:style w:type="character" w:customStyle="1" w:styleId="HTMLCode1">
    <w:name w:val="HTML Code1"/>
    <w:qFormat/>
    <w:rPr>
      <w:rFonts w:ascii="Courier New" w:eastAsia="宋体" w:hAnsi="Courier New" w:cs="Courier New"/>
      <w:kern w:val="2"/>
      <w:sz w:val="20"/>
      <w:szCs w:val="20"/>
      <w:shd w:val="clear" w:color="auto" w:fill="FFFFFF"/>
      <w:lang w:val="en-US" w:eastAsia="zh-CN"/>
    </w:rPr>
  </w:style>
  <w:style w:type="character" w:customStyle="1" w:styleId="Charfff4">
    <w:name w:val="样式 小四 Char"/>
    <w:link w:val="afffffffffffff2"/>
    <w:qFormat/>
    <w:rPr>
      <w:spacing w:val="8"/>
      <w:kern w:val="2"/>
      <w:sz w:val="24"/>
      <w:szCs w:val="21"/>
    </w:rPr>
  </w:style>
  <w:style w:type="character" w:customStyle="1" w:styleId="EmailStyle5081">
    <w:name w:val="EmailStyle5081"/>
    <w:qFormat/>
    <w:rPr>
      <w:rFonts w:ascii="Arial" w:eastAsia="宋体" w:hAnsi="Arial" w:cs="Arial"/>
      <w:color w:val="auto"/>
      <w:sz w:val="20"/>
      <w:shd w:val="clear" w:color="auto" w:fill="FFFFFF"/>
    </w:rPr>
  </w:style>
  <w:style w:type="character" w:customStyle="1" w:styleId="1ffffffa">
    <w:name w:val="强调1"/>
    <w:qFormat/>
    <w:rPr>
      <w:i/>
      <w:shd w:val="clear" w:color="auto" w:fill="FFFFFF"/>
    </w:rPr>
  </w:style>
  <w:style w:type="character" w:customStyle="1" w:styleId="rsdesckey1">
    <w:name w:val="rsdesckey1"/>
    <w:qFormat/>
    <w:rPr>
      <w:color w:val="FF0000"/>
      <w:shd w:val="clear" w:color="auto" w:fill="FFFFFF"/>
    </w:rPr>
  </w:style>
  <w:style w:type="character" w:customStyle="1" w:styleId="afffffffffffffffffffffffffffffffffffffff2">
    <w:name w:val="上标"/>
    <w:qFormat/>
    <w:rPr>
      <w:shd w:val="clear" w:color="auto" w:fill="FFFFFF"/>
      <w:vertAlign w:val="superscript"/>
    </w:rPr>
  </w:style>
  <w:style w:type="character" w:customStyle="1" w:styleId="pr101">
    <w:name w:val="pr101"/>
    <w:qFormat/>
    <w:rPr>
      <w:shd w:val="clear" w:color="auto" w:fill="FFFFFF"/>
    </w:rPr>
  </w:style>
  <w:style w:type="character" w:customStyle="1" w:styleId="Charfd">
    <w:name w:val="标准段落 Char"/>
    <w:link w:val="affffffffff4"/>
    <w:qFormat/>
    <w:rPr>
      <w:rFonts w:hAnsi="宋体"/>
      <w:sz w:val="24"/>
      <w:szCs w:val="24"/>
    </w:rPr>
  </w:style>
  <w:style w:type="character" w:customStyle="1" w:styleId="A--Char0">
    <w:name w:val="A-题注-表 Char"/>
    <w:link w:val="A--0"/>
    <w:qFormat/>
    <w:rPr>
      <w:b/>
    </w:rPr>
  </w:style>
  <w:style w:type="character" w:customStyle="1" w:styleId="1CharCharChar3">
    <w:name w:val="1) Char Char Char"/>
    <w:qFormat/>
    <w:rPr>
      <w:shd w:val="clear" w:color="auto" w:fill="FFFFFF"/>
    </w:rPr>
  </w:style>
  <w:style w:type="character" w:customStyle="1" w:styleId="811">
    <w:name w:val="标题 8 字符1"/>
    <w:qFormat/>
    <w:rPr>
      <w:rFonts w:ascii="Cambria" w:eastAsia="宋体" w:hAnsi="Cambria" w:cs="Times New Roman"/>
      <w:sz w:val="24"/>
      <w:szCs w:val="24"/>
      <w:shd w:val="clear" w:color="auto" w:fill="FFFFFF"/>
    </w:rPr>
  </w:style>
  <w:style w:type="character" w:customStyle="1" w:styleId="Charffffffff8">
    <w:name w:val="表格文本 Char"/>
    <w:qFormat/>
    <w:rPr>
      <w:rFonts w:ascii="Times New Roman" w:hAnsi="Times New Roman"/>
      <w:shd w:val="clear" w:color="auto" w:fill="FFFFFF"/>
    </w:rPr>
  </w:style>
  <w:style w:type="character" w:customStyle="1" w:styleId="FontStyle399">
    <w:name w:val="Font Style399"/>
    <w:qFormat/>
    <w:rPr>
      <w:rFonts w:ascii="宋体" w:eastAsia="宋体" w:cs="宋体"/>
      <w:i/>
      <w:iCs/>
      <w:spacing w:val="60"/>
      <w:w w:val="200"/>
      <w:sz w:val="10"/>
      <w:szCs w:val="10"/>
      <w:shd w:val="clear" w:color="auto" w:fill="FFFFFF"/>
    </w:rPr>
  </w:style>
  <w:style w:type="character" w:customStyle="1" w:styleId="aCharChar0">
    <w:name w:val="干标题(a) Char Char"/>
    <w:qFormat/>
    <w:rPr>
      <w:rFonts w:ascii="Arial" w:eastAsia="黑体" w:hAnsi="Arial"/>
      <w:kern w:val="2"/>
      <w:sz w:val="21"/>
      <w:szCs w:val="21"/>
      <w:shd w:val="clear" w:color="auto" w:fill="FFFFFF"/>
      <w:lang w:val="en-US" w:eastAsia="zh-CN" w:bidi="ar-SA"/>
    </w:rPr>
  </w:style>
  <w:style w:type="character" w:customStyle="1" w:styleId="CharChar14">
    <w:name w:val="Char Char14"/>
    <w:qFormat/>
    <w:rPr>
      <w:rFonts w:eastAsia="宋体"/>
      <w:kern w:val="2"/>
      <w:sz w:val="21"/>
      <w:szCs w:val="24"/>
      <w:shd w:val="clear" w:color="auto" w:fill="FFFFFF"/>
      <w:lang w:val="en-US" w:eastAsia="zh-CN" w:bidi="ar-SA"/>
    </w:rPr>
  </w:style>
  <w:style w:type="character" w:customStyle="1" w:styleId="1CharChar0">
    <w:name w:val="表1 Char Char"/>
    <w:qFormat/>
    <w:rPr>
      <w:rFonts w:eastAsia="宋体"/>
      <w:color w:val="000000"/>
      <w:kern w:val="2"/>
      <w:sz w:val="21"/>
      <w:szCs w:val="21"/>
      <w:shd w:val="clear" w:color="auto" w:fill="FFFFFF"/>
      <w:lang w:val="en-US" w:eastAsia="zh-CN" w:bidi="ar-SA"/>
    </w:rPr>
  </w:style>
  <w:style w:type="character" w:customStyle="1" w:styleId="lv3">
    <w:name w:val="lv3"/>
    <w:qFormat/>
    <w:rPr>
      <w:rFonts w:hint="default"/>
      <w:color w:val="2E7713"/>
      <w:sz w:val="20"/>
      <w:szCs w:val="20"/>
      <w:u w:val="none"/>
      <w:shd w:val="clear" w:color="auto" w:fill="FFFFFF"/>
    </w:rPr>
  </w:style>
  <w:style w:type="character" w:customStyle="1" w:styleId="-CharChar0">
    <w:name w:val="可研-正文首行缩进 Char Char"/>
    <w:qFormat/>
    <w:rPr>
      <w:rFonts w:eastAsia="宋体"/>
      <w:spacing w:val="6"/>
      <w:kern w:val="2"/>
      <w:sz w:val="24"/>
      <w:szCs w:val="24"/>
      <w:shd w:val="clear" w:color="auto" w:fill="FFFFFF"/>
      <w:lang w:val="en-US" w:eastAsia="zh-CN" w:bidi="ar-SA"/>
    </w:rPr>
  </w:style>
  <w:style w:type="character" w:customStyle="1" w:styleId="GB2312Char">
    <w:name w:val="正文 + (中文) 仿宋_GB2312 Char"/>
    <w:link w:val="Arial"/>
    <w:qFormat/>
    <w:rPr>
      <w:rFonts w:ascii="Arial" w:hAnsi="Arial"/>
      <w:spacing w:val="20"/>
      <w:sz w:val="24"/>
    </w:rPr>
  </w:style>
  <w:style w:type="character" w:customStyle="1" w:styleId="font14px">
    <w:name w:val="font14px"/>
    <w:qFormat/>
    <w:rPr>
      <w:rFonts w:cs="Times New Roman"/>
      <w:shd w:val="clear" w:color="auto" w:fill="FFFFFF"/>
    </w:rPr>
  </w:style>
  <w:style w:type="character" w:customStyle="1" w:styleId="3CharCharChar">
    <w:name w:val="样式 标题 3 + 宋体 Char Char Char"/>
    <w:link w:val="3CharChar"/>
    <w:qFormat/>
    <w:rPr>
      <w:b/>
      <w:bCs/>
      <w:sz w:val="32"/>
      <w:szCs w:val="32"/>
    </w:rPr>
  </w:style>
  <w:style w:type="character" w:customStyle="1" w:styleId="afffffffffffffffffffffffffffffffffffffff3">
    <w:name w:val="表格五号"/>
    <w:uiPriority w:val="99"/>
    <w:qFormat/>
    <w:rPr>
      <w:sz w:val="21"/>
      <w:shd w:val="clear" w:color="auto" w:fill="FFFFFF"/>
    </w:rPr>
  </w:style>
  <w:style w:type="character" w:customStyle="1" w:styleId="2Char1Char1Char">
    <w:name w:val="标题 2 Char1 Char1 Char"/>
    <w:uiPriority w:val="99"/>
    <w:qFormat/>
    <w:rPr>
      <w:rFonts w:ascii="Arial" w:eastAsia="黑体" w:hAnsi="Arial"/>
      <w:b/>
      <w:kern w:val="2"/>
      <w:sz w:val="32"/>
      <w:shd w:val="clear" w:color="auto" w:fill="FFFFFF"/>
      <w:lang w:val="en-US" w:eastAsia="zh-CN"/>
    </w:rPr>
  </w:style>
  <w:style w:type="character" w:customStyle="1" w:styleId="FontStyle348">
    <w:name w:val="Font Style348"/>
    <w:qFormat/>
    <w:rPr>
      <w:rFonts w:ascii="宋体" w:eastAsia="宋体" w:cs="宋体"/>
      <w:sz w:val="14"/>
      <w:szCs w:val="14"/>
      <w:shd w:val="clear" w:color="auto" w:fill="FFFFFF"/>
    </w:rPr>
  </w:style>
  <w:style w:type="character" w:customStyle="1" w:styleId="CharCharff7">
    <w:name w:val="表、图名 Char Char"/>
    <w:qFormat/>
    <w:locked/>
    <w:rPr>
      <w:rFonts w:ascii="黑体" w:eastAsia="黑体" w:hAnsi="宋体" w:cs="Times New Roman"/>
      <w:b/>
      <w:bCs/>
      <w:sz w:val="21"/>
      <w:szCs w:val="21"/>
      <w:shd w:val="clear" w:color="auto" w:fill="FFFFFF"/>
    </w:rPr>
  </w:style>
  <w:style w:type="character" w:customStyle="1" w:styleId="CharCharff8">
    <w:name w:val="章标题(无序号) Char Char"/>
    <w:qFormat/>
    <w:rPr>
      <w:rFonts w:eastAsia="黑体"/>
      <w:b/>
      <w:kern w:val="2"/>
      <w:sz w:val="36"/>
      <w:shd w:val="clear" w:color="auto" w:fill="FFFFFF"/>
      <w:lang w:val="en-US" w:eastAsia="zh-CN" w:bidi="ar-SA"/>
    </w:rPr>
  </w:style>
  <w:style w:type="character" w:customStyle="1" w:styleId="CharCharCharCharCharCharCharCharChar10">
    <w:name w:val="正文首行缩进 Char Char Char Char Char Char Char Char Char1"/>
    <w:qFormat/>
    <w:rPr>
      <w:rFonts w:ascii="Times New Roman" w:eastAsia="宋体" w:hAnsi="Times New Roman" w:cs="Times New Roman"/>
      <w:sz w:val="24"/>
      <w:szCs w:val="24"/>
      <w:shd w:val="clear" w:color="auto" w:fill="FFFFFF"/>
      <w:vertAlign w:val="superscript"/>
    </w:rPr>
  </w:style>
  <w:style w:type="character" w:customStyle="1" w:styleId="21CharChar">
    <w:name w:val="正文文字缩进 21 Char Char"/>
    <w:qFormat/>
    <w:locked/>
    <w:rPr>
      <w:rFonts w:eastAsia="宋体"/>
      <w:kern w:val="2"/>
      <w:sz w:val="21"/>
      <w:szCs w:val="24"/>
      <w:shd w:val="clear" w:color="auto" w:fill="FFFFFF"/>
      <w:lang w:val="en-US" w:eastAsia="zh-CN" w:bidi="ar-SA"/>
    </w:rPr>
  </w:style>
  <w:style w:type="character" w:customStyle="1" w:styleId="1Char12">
    <w:name w:val="正1 Char1"/>
    <w:qFormat/>
    <w:rPr>
      <w:rFonts w:ascii="宋体" w:hAnsi="宋体" w:cs="宋体"/>
      <w:sz w:val="24"/>
      <w:szCs w:val="21"/>
      <w:shd w:val="clear" w:color="auto" w:fill="FFFFFF"/>
    </w:rPr>
  </w:style>
  <w:style w:type="character" w:customStyle="1" w:styleId="18Char">
    <w:name w:val="样式18 Char"/>
    <w:qFormat/>
    <w:rPr>
      <w:rFonts w:ascii="宋体" w:eastAsia="宋体" w:hAnsi="宋体"/>
      <w:kern w:val="2"/>
      <w:sz w:val="28"/>
      <w:szCs w:val="30"/>
      <w:shd w:val="clear" w:color="auto" w:fill="FFFFFF"/>
      <w:lang w:val="en-US" w:eastAsia="zh-CN" w:bidi="ar-SA"/>
    </w:rPr>
  </w:style>
  <w:style w:type="character" w:customStyle="1" w:styleId="CharChar161">
    <w:name w:val="Char Char161"/>
    <w:qFormat/>
    <w:rPr>
      <w:rFonts w:eastAsia="宋体"/>
      <w:kern w:val="2"/>
      <w:sz w:val="21"/>
      <w:szCs w:val="24"/>
      <w:shd w:val="clear" w:color="auto" w:fill="FFFFFF"/>
      <w:lang w:val="en-US" w:eastAsia="zh-CN" w:bidi="ar-SA"/>
    </w:rPr>
  </w:style>
  <w:style w:type="character" w:customStyle="1" w:styleId="ENFICharChar">
    <w:name w:val="ENFI正文 Char Char"/>
    <w:qFormat/>
    <w:rPr>
      <w:color w:val="000000"/>
      <w:sz w:val="24"/>
      <w:shd w:val="clear" w:color="auto" w:fill="FFFFFF"/>
    </w:rPr>
  </w:style>
  <w:style w:type="character" w:customStyle="1" w:styleId="Charfff5">
    <w:name w:val="正文 宋体 小四 Char"/>
    <w:link w:val="afffffffffffff3"/>
    <w:qFormat/>
    <w:rPr>
      <w:rFonts w:ascii="宋体" w:hAnsi="宋体"/>
      <w:kern w:val="2"/>
      <w:sz w:val="24"/>
    </w:rPr>
  </w:style>
  <w:style w:type="character" w:customStyle="1" w:styleId="-Char1">
    <w:name w:val="正文-蓝色 Char"/>
    <w:qFormat/>
    <w:rPr>
      <w:rFonts w:ascii="Courier New" w:hAnsi="Courier New" w:cs="Courier New" w:hint="default"/>
      <w:color w:val="0000FF"/>
      <w:sz w:val="24"/>
      <w:szCs w:val="21"/>
      <w:shd w:val="clear" w:color="auto" w:fill="FFFFFF"/>
    </w:rPr>
  </w:style>
  <w:style w:type="character" w:customStyle="1" w:styleId="style110">
    <w:name w:val="style11"/>
    <w:qFormat/>
    <w:rPr>
      <w:color w:val="000000"/>
      <w:shd w:val="clear" w:color="auto" w:fill="FFFFFF"/>
    </w:rPr>
  </w:style>
  <w:style w:type="character" w:customStyle="1" w:styleId="TimesNewRomanChar1">
    <w:name w:val="样式 表标题 + (西文) Times New Roman (中文) 宋体 Char"/>
    <w:qFormat/>
    <w:rPr>
      <w:rFonts w:ascii="Times New Roman" w:hAnsi="Times New Roman"/>
      <w:b/>
      <w:bCs/>
      <w:sz w:val="24"/>
      <w:shd w:val="clear" w:color="auto" w:fill="FFFFFF"/>
    </w:rPr>
  </w:style>
  <w:style w:type="character" w:customStyle="1" w:styleId="CharCharChar1CharCharChar0">
    <w:name w:val="正文（首行缩进两字） Char Char Char1 Char Char Char"/>
    <w:qFormat/>
    <w:rPr>
      <w:rFonts w:eastAsia="宋体"/>
      <w:kern w:val="2"/>
      <w:sz w:val="21"/>
      <w:szCs w:val="24"/>
      <w:shd w:val="clear" w:color="auto" w:fill="FFFFFF"/>
      <w:lang w:val="en-US" w:eastAsia="zh-CN" w:bidi="ar-SA"/>
    </w:rPr>
  </w:style>
  <w:style w:type="character" w:customStyle="1" w:styleId="bb1">
    <w:name w:val="bb1"/>
    <w:qFormat/>
    <w:rPr>
      <w:sz w:val="30"/>
      <w:szCs w:val="30"/>
      <w:shd w:val="clear" w:color="auto" w:fill="FFFFFF"/>
    </w:rPr>
  </w:style>
  <w:style w:type="character" w:customStyle="1" w:styleId="3CharCharChar0">
    <w:name w:val="样式 标题 3Char Char + 宋体 Char"/>
    <w:link w:val="3CharChar0"/>
    <w:semiHidden/>
    <w:qFormat/>
    <w:rPr>
      <w:rFonts w:ascii="宋体" w:hAnsi="宋体"/>
      <w:b/>
      <w:bCs/>
      <w:kern w:val="2"/>
      <w:sz w:val="24"/>
      <w:szCs w:val="32"/>
    </w:rPr>
  </w:style>
  <w:style w:type="character" w:customStyle="1" w:styleId="3-biao-lsChar">
    <w:name w:val="标题 3-biao-ls Char"/>
    <w:qFormat/>
    <w:rPr>
      <w:rFonts w:ascii="黑体" w:eastAsia="黑体" w:hAnsi="宋体" w:cs="Times New Roman"/>
      <w:kern w:val="2"/>
      <w:sz w:val="24"/>
      <w:szCs w:val="24"/>
      <w:shd w:val="clear" w:color="auto" w:fill="FFFFFF"/>
      <w:lang w:val="en-US" w:eastAsia="zh-CN" w:bidi="ar-SA"/>
    </w:rPr>
  </w:style>
  <w:style w:type="character" w:customStyle="1" w:styleId="530">
    <w:name w:val="标题 5 字符3"/>
    <w:uiPriority w:val="9"/>
    <w:qFormat/>
    <w:rPr>
      <w:b/>
      <w:bCs/>
      <w:sz w:val="28"/>
      <w:szCs w:val="28"/>
      <w:shd w:val="clear" w:color="auto" w:fill="FFFFFF"/>
    </w:rPr>
  </w:style>
  <w:style w:type="character" w:customStyle="1" w:styleId="z-Char">
    <w:name w:val="z-窗体顶端 Char"/>
    <w:link w:val="z-1"/>
    <w:qFormat/>
    <w:rPr>
      <w:sz w:val="22"/>
      <w:szCs w:val="22"/>
      <w:lang w:eastAsia="en-US" w:bidi="en-US"/>
    </w:rPr>
  </w:style>
  <w:style w:type="character" w:customStyle="1" w:styleId="jChar0">
    <w:name w:val="j Char"/>
    <w:qFormat/>
    <w:locked/>
    <w:rPr>
      <w:rFonts w:ascii="Arial" w:eastAsia="黑体" w:hAnsi="Arial" w:cs="宋体"/>
      <w:b/>
      <w:bCs/>
      <w:sz w:val="30"/>
      <w:shd w:val="clear" w:color="auto" w:fill="FFFFFF"/>
    </w:rPr>
  </w:style>
  <w:style w:type="character" w:customStyle="1" w:styleId="MingLiU">
    <w:name w:val="正文文本 + MingLiU"/>
    <w:qFormat/>
    <w:rPr>
      <w:rFonts w:ascii="MingLiU" w:eastAsia="MingLiU" w:hAnsi="MingLiU" w:cs="MingLiU"/>
      <w:color w:val="000000"/>
      <w:spacing w:val="0"/>
      <w:w w:val="100"/>
      <w:position w:val="0"/>
      <w:sz w:val="17"/>
      <w:szCs w:val="17"/>
      <w:u w:val="none"/>
      <w:shd w:val="clear" w:color="auto" w:fill="FFFFFF"/>
      <w:lang w:val="zh-TW"/>
    </w:rPr>
  </w:style>
  <w:style w:type="character" w:customStyle="1" w:styleId="keyword">
    <w:name w:val="keyword"/>
    <w:uiPriority w:val="99"/>
    <w:qFormat/>
    <w:rPr>
      <w:shd w:val="clear" w:color="auto" w:fill="FFFFFF"/>
    </w:rPr>
  </w:style>
  <w:style w:type="character" w:customStyle="1" w:styleId="33CharChar">
    <w:name w:val="样式 标题 3标题 3 Char + 海绿 Char"/>
    <w:qFormat/>
    <w:rPr>
      <w:rFonts w:ascii="黑体" w:eastAsia="黑体" w:hAnsi="Times New Roman"/>
      <w:szCs w:val="28"/>
      <w:shd w:val="clear" w:color="auto" w:fill="FFFFFF"/>
    </w:rPr>
  </w:style>
  <w:style w:type="character" w:customStyle="1" w:styleId="Charfff6">
    <w:name w:val="样式 样式 报告正文 + 宋体 五号 黑色 + 五号 Char"/>
    <w:link w:val="afffffffffffff4"/>
    <w:qFormat/>
    <w:rPr>
      <w:rFonts w:ascii="宋体" w:hAnsi="宋体"/>
      <w:b/>
      <w:bCs/>
      <w:color w:val="000000"/>
      <w:kern w:val="2"/>
      <w:sz w:val="24"/>
      <w:szCs w:val="21"/>
    </w:rPr>
  </w:style>
  <w:style w:type="character" w:customStyle="1" w:styleId="Char1f9">
    <w:name w:val="列表 Char1"/>
    <w:qFormat/>
    <w:rPr>
      <w:rFonts w:ascii="黑体" w:eastAsia="黑体"/>
      <w:kern w:val="2"/>
      <w:sz w:val="21"/>
      <w:shd w:val="clear" w:color="auto" w:fill="FFFFFF"/>
      <w:lang w:val="en-US" w:eastAsia="zh-CN" w:bidi="ar-SA"/>
    </w:rPr>
  </w:style>
  <w:style w:type="character" w:customStyle="1" w:styleId="Charfff7">
    <w:name w:val="正文四号 Char"/>
    <w:link w:val="afffffffffffff5"/>
    <w:uiPriority w:val="99"/>
    <w:qFormat/>
    <w:rPr>
      <w:sz w:val="28"/>
      <w:szCs w:val="28"/>
    </w:rPr>
  </w:style>
  <w:style w:type="character" w:customStyle="1" w:styleId="2CharChar20">
    <w:name w:val="标题 2 Char Char2"/>
    <w:qFormat/>
    <w:rPr>
      <w:rFonts w:ascii="Arial" w:eastAsia="黑体" w:hAnsi="Arial"/>
      <w:b/>
      <w:bCs/>
      <w:kern w:val="2"/>
      <w:sz w:val="32"/>
      <w:szCs w:val="32"/>
      <w:shd w:val="clear" w:color="auto" w:fill="FFFFFF"/>
      <w:lang w:val="en-US" w:eastAsia="zh-CN" w:bidi="ar-SA"/>
    </w:rPr>
  </w:style>
  <w:style w:type="character" w:customStyle="1" w:styleId="3CharChar1">
    <w:name w:val="3  级标题 Char Char"/>
    <w:link w:val="3f7"/>
    <w:qFormat/>
    <w:rPr>
      <w:rFonts w:hAnsi="宋体"/>
      <w:b/>
      <w:bCs/>
      <w:szCs w:val="26"/>
    </w:rPr>
  </w:style>
  <w:style w:type="character" w:customStyle="1" w:styleId="Charffffffff9">
    <w:name w:val="表格文字（居中） Char"/>
    <w:qFormat/>
    <w:rPr>
      <w:rFonts w:eastAsia="宋体"/>
      <w:kern w:val="2"/>
      <w:sz w:val="18"/>
      <w:szCs w:val="18"/>
      <w:shd w:val="clear" w:color="auto" w:fill="FFFFFF"/>
      <w:lang w:val="en-US" w:eastAsia="zh-CN" w:bidi="ar-SA"/>
    </w:rPr>
  </w:style>
  <w:style w:type="character" w:customStyle="1" w:styleId="Charfff8">
    <w:name w:val="图表内容 Char"/>
    <w:link w:val="afffffffffffff6"/>
    <w:qFormat/>
    <w:rPr>
      <w:rFonts w:eastAsia="仿宋_GB2312"/>
    </w:rPr>
  </w:style>
  <w:style w:type="character" w:customStyle="1" w:styleId="1Char5">
    <w:name w:val="样式 标题 1 + 四号 Char"/>
    <w:link w:val="1fc"/>
    <w:qFormat/>
    <w:rPr>
      <w:rFonts w:ascii="宋体" w:hAnsi="宋体"/>
      <w:b/>
      <w:bCs/>
      <w:kern w:val="2"/>
      <w:sz w:val="30"/>
      <w:szCs w:val="30"/>
    </w:rPr>
  </w:style>
  <w:style w:type="character" w:customStyle="1" w:styleId="afffffffffffffffffffffffffffffffffffffff4">
    <w:name w:val="Подзаголовок главы Знак"/>
    <w:qFormat/>
    <w:locked/>
    <w:rPr>
      <w:rFonts w:ascii="Arial Narrow" w:hAnsi="Arial Narrow"/>
      <w:b/>
      <w:sz w:val="24"/>
      <w:shd w:val="clear" w:color="auto" w:fill="FFFFFF"/>
    </w:rPr>
  </w:style>
  <w:style w:type="character" w:customStyle="1" w:styleId="CharChar13">
    <w:name w:val="Char Char13"/>
    <w:qFormat/>
    <w:rPr>
      <w:rFonts w:eastAsia="宋体"/>
      <w:kern w:val="2"/>
      <w:sz w:val="18"/>
      <w:szCs w:val="18"/>
      <w:shd w:val="clear" w:color="auto" w:fill="FFFFFF"/>
      <w:lang w:val="en-US" w:eastAsia="zh-CN" w:bidi="ar-SA"/>
    </w:rPr>
  </w:style>
  <w:style w:type="character" w:customStyle="1" w:styleId="title1">
    <w:name w:val="title1"/>
    <w:qFormat/>
    <w:rPr>
      <w:rFonts w:ascii="Verdana" w:eastAsia="Verdana" w:hAnsi="Verdana" w:cs="Verdana" w:hint="default"/>
      <w:b/>
      <w:color w:val="333333"/>
      <w:sz w:val="30"/>
      <w:szCs w:val="30"/>
      <w:shd w:val="clear" w:color="auto" w:fill="FFFFFF"/>
    </w:rPr>
  </w:style>
  <w:style w:type="character" w:customStyle="1" w:styleId="Char26">
    <w:name w:val="注释标题 Char2"/>
    <w:uiPriority w:val="99"/>
    <w:qFormat/>
    <w:rPr>
      <w:kern w:val="2"/>
      <w:sz w:val="21"/>
      <w:szCs w:val="24"/>
      <w:shd w:val="clear" w:color="auto" w:fill="FFFFFF"/>
    </w:rPr>
  </w:style>
  <w:style w:type="character" w:customStyle="1" w:styleId="ChChar">
    <w:name w:val="Ch Char"/>
    <w:qFormat/>
    <w:rPr>
      <w:rFonts w:eastAsia="宋体"/>
      <w:kern w:val="2"/>
      <w:sz w:val="28"/>
      <w:szCs w:val="24"/>
      <w:shd w:val="clear" w:color="auto" w:fill="FFFFFF"/>
      <w:lang w:val="en-US" w:eastAsia="zh-CN" w:bidi="ar-SA"/>
    </w:rPr>
  </w:style>
  <w:style w:type="character" w:customStyle="1" w:styleId="contenttext11">
    <w:name w:val="contenttext11"/>
    <w:qFormat/>
    <w:rPr>
      <w:rFonts w:ascii="宋体" w:eastAsia="宋体" w:hAnsi="宋体" w:hint="eastAsia"/>
      <w:sz w:val="20"/>
      <w:szCs w:val="20"/>
      <w:shd w:val="clear" w:color="auto" w:fill="FFFFFF"/>
    </w:rPr>
  </w:style>
  <w:style w:type="character" w:customStyle="1" w:styleId="Charfff9">
    <w:name w:val="电镀正文 Char"/>
    <w:link w:val="afffffffffffff7"/>
    <w:qFormat/>
    <w:rPr>
      <w:rFonts w:ascii="宋体" w:hAnsi="宋体"/>
      <w:sz w:val="24"/>
      <w:szCs w:val="24"/>
    </w:rPr>
  </w:style>
  <w:style w:type="character" w:customStyle="1" w:styleId="CharChare">
    <w:name w:val="图题 Char Char"/>
    <w:link w:val="afffffffffffff8"/>
    <w:qFormat/>
    <w:rPr>
      <w:rFonts w:hAnsi="宋体"/>
      <w:b/>
      <w:kern w:val="2"/>
      <w:sz w:val="21"/>
      <w:szCs w:val="21"/>
    </w:rPr>
  </w:style>
  <w:style w:type="character" w:customStyle="1" w:styleId="1Char13">
    <w:name w:val="正文样式1 Char1"/>
    <w:qFormat/>
    <w:rPr>
      <w:rFonts w:ascii="Times New Roman" w:eastAsia="宋体" w:hAnsi="Times New Roman" w:cs="Times New Roman"/>
      <w:spacing w:val="16"/>
      <w:sz w:val="24"/>
      <w:szCs w:val="24"/>
      <w:shd w:val="clear" w:color="auto" w:fill="FFFFFF"/>
    </w:rPr>
  </w:style>
  <w:style w:type="character" w:customStyle="1" w:styleId="4-25CharCharChar">
    <w:name w:val="4-25正 Char Char Char"/>
    <w:link w:val="4-25CharChar"/>
    <w:qFormat/>
    <w:rPr>
      <w:b/>
      <w:sz w:val="24"/>
      <w:szCs w:val="21"/>
    </w:rPr>
  </w:style>
  <w:style w:type="character" w:customStyle="1" w:styleId="chword">
    <w:name w:val="chword"/>
    <w:qFormat/>
    <w:rPr>
      <w:shd w:val="clear" w:color="auto" w:fill="FFFFFF"/>
    </w:rPr>
  </w:style>
  <w:style w:type="character" w:customStyle="1" w:styleId="mainfont1">
    <w:name w:val="mainfont1"/>
    <w:qFormat/>
    <w:rPr>
      <w:color w:val="666666"/>
      <w:sz w:val="18"/>
      <w:szCs w:val="18"/>
      <w:u w:val="none"/>
      <w:shd w:val="clear" w:color="auto" w:fill="FFFFFF"/>
    </w:rPr>
  </w:style>
  <w:style w:type="character" w:customStyle="1" w:styleId="theinfocontent">
    <w:name w:val="theinfocontent"/>
    <w:qFormat/>
    <w:rPr>
      <w:shd w:val="clear" w:color="auto" w:fill="FFFFFF"/>
    </w:rPr>
  </w:style>
  <w:style w:type="character" w:customStyle="1" w:styleId="12qChar">
    <w:name w:val="样式12q Char"/>
    <w:link w:val="12q"/>
    <w:qFormat/>
    <w:rPr>
      <w:kern w:val="2"/>
      <w:sz w:val="28"/>
      <w:szCs w:val="28"/>
    </w:rPr>
  </w:style>
  <w:style w:type="character" w:customStyle="1" w:styleId="Charfffa">
    <w:name w:val="俺的新正文 Char"/>
    <w:link w:val="afffffffffffff9"/>
    <w:qFormat/>
    <w:rPr>
      <w:kern w:val="2"/>
      <w:sz w:val="24"/>
      <w:szCs w:val="21"/>
    </w:rPr>
  </w:style>
  <w:style w:type="character" w:customStyle="1" w:styleId="style31">
    <w:name w:val="style31"/>
    <w:qFormat/>
    <w:rPr>
      <w:b/>
      <w:bCs/>
      <w:color w:val="3795D2"/>
      <w:sz w:val="21"/>
      <w:szCs w:val="21"/>
      <w:shd w:val="clear" w:color="auto" w:fill="FFFFFF"/>
    </w:rPr>
  </w:style>
  <w:style w:type="character" w:customStyle="1" w:styleId="4ffc">
    <w:name w:val="正文文本缩进 字符4"/>
    <w:qFormat/>
    <w:rPr>
      <w:rFonts w:ascii="Times New Roman" w:eastAsia="新宋体" w:hAnsi="Times New Roman" w:cs="Times New Roman"/>
      <w:color w:val="0000FF"/>
      <w:sz w:val="24"/>
      <w:szCs w:val="24"/>
      <w:shd w:val="clear" w:color="auto" w:fill="FFFFFF"/>
    </w:rPr>
  </w:style>
  <w:style w:type="character" w:customStyle="1" w:styleId="CharCharf">
    <w:name w:val="文字 Char Char"/>
    <w:link w:val="afffffffffffffa"/>
    <w:qFormat/>
    <w:locked/>
    <w:rPr>
      <w:sz w:val="24"/>
    </w:rPr>
  </w:style>
  <w:style w:type="character" w:customStyle="1" w:styleId="article1">
    <w:name w:val="article1"/>
    <w:qFormat/>
    <w:rPr>
      <w:sz w:val="21"/>
      <w:szCs w:val="21"/>
      <w:shd w:val="clear" w:color="auto" w:fill="FFFFFF"/>
    </w:rPr>
  </w:style>
  <w:style w:type="character" w:customStyle="1" w:styleId="wangyong1">
    <w:name w:val="wangyong1"/>
    <w:qFormat/>
    <w:rPr>
      <w:rFonts w:hint="default"/>
      <w:color w:val="000000"/>
      <w:sz w:val="18"/>
      <w:szCs w:val="18"/>
      <w:u w:val="none"/>
      <w:shd w:val="clear" w:color="auto" w:fill="FFFFFF"/>
    </w:rPr>
  </w:style>
  <w:style w:type="character" w:customStyle="1" w:styleId="listcontents1">
    <w:name w:val="listcontents1"/>
    <w:qFormat/>
    <w:rPr>
      <w:color w:val="000000"/>
      <w:spacing w:val="480"/>
      <w:sz w:val="14"/>
      <w:szCs w:val="14"/>
      <w:shd w:val="clear" w:color="auto" w:fill="FFFFFF"/>
    </w:rPr>
  </w:style>
  <w:style w:type="character" w:customStyle="1" w:styleId="Charffffffffa">
    <w:name w:val="维药表格文字 Char"/>
    <w:qFormat/>
    <w:locked/>
    <w:rPr>
      <w:rFonts w:ascii="宋体"/>
      <w:bCs/>
      <w:szCs w:val="21"/>
      <w:shd w:val="clear" w:color="auto" w:fill="FFFFFF"/>
    </w:rPr>
  </w:style>
  <w:style w:type="character" w:customStyle="1" w:styleId="line21">
    <w:name w:val="line21"/>
    <w:qFormat/>
    <w:rPr>
      <w:rFonts w:eastAsia="宋体"/>
      <w:color w:val="666666"/>
      <w:kern w:val="2"/>
      <w:sz w:val="20"/>
      <w:szCs w:val="20"/>
      <w:u w:val="none"/>
      <w:shd w:val="clear" w:color="auto" w:fill="FFFFFF"/>
      <w:lang w:val="en-US" w:eastAsia="zh-CN" w:bidi="ar-SA"/>
    </w:rPr>
  </w:style>
  <w:style w:type="character" w:customStyle="1" w:styleId="Charfffb">
    <w:name w:val="宁联正文 Char"/>
    <w:link w:val="afffffffffffffb"/>
    <w:qFormat/>
    <w:rPr>
      <w:rFonts w:eastAsia="仿宋_GB2312"/>
      <w:sz w:val="28"/>
      <w:szCs w:val="28"/>
    </w:rPr>
  </w:style>
  <w:style w:type="character" w:customStyle="1" w:styleId="Charffffffffb">
    <w:name w:val="表题 Char"/>
    <w:qFormat/>
    <w:rPr>
      <w:rFonts w:eastAsia="宋体"/>
      <w:b/>
      <w:sz w:val="21"/>
      <w:szCs w:val="21"/>
      <w:shd w:val="clear" w:color="auto" w:fill="FFFFFF"/>
      <w:lang w:val="en-US" w:eastAsia="zh-CN" w:bidi="ar-SA"/>
    </w:rPr>
  </w:style>
  <w:style w:type="character" w:customStyle="1" w:styleId="Charfffc">
    <w:name w:val="陆晶 正文 Char"/>
    <w:link w:val="afffffffffffffc"/>
    <w:semiHidden/>
    <w:qFormat/>
    <w:rPr>
      <w:rFonts w:ascii="宋体" w:hAnsi="宋体"/>
      <w:color w:val="000000"/>
      <w:spacing w:val="6"/>
      <w:sz w:val="28"/>
      <w:szCs w:val="28"/>
    </w:rPr>
  </w:style>
  <w:style w:type="character" w:customStyle="1" w:styleId="CharCharf0">
    <w:name w:val="表文字 Char Char"/>
    <w:link w:val="afffffffffffffd"/>
    <w:qFormat/>
    <w:rPr>
      <w:rFonts w:ascii="Calibri" w:hAnsi="Calibri"/>
      <w:kern w:val="2"/>
      <w:sz w:val="21"/>
      <w:szCs w:val="21"/>
    </w:rPr>
  </w:style>
  <w:style w:type="character" w:customStyle="1" w:styleId="CharCharff9">
    <w:name w:val="无间隔 Char Char"/>
    <w:qFormat/>
    <w:locked/>
    <w:rPr>
      <w:sz w:val="22"/>
      <w:shd w:val="clear" w:color="auto" w:fill="FFFFFF"/>
      <w:lang w:val="en-US" w:eastAsia="zh-CN" w:bidi="ar-SA"/>
    </w:rPr>
  </w:style>
  <w:style w:type="character" w:customStyle="1" w:styleId="f11">
    <w:name w:val="f11"/>
    <w:qFormat/>
    <w:rPr>
      <w:sz w:val="20"/>
      <w:szCs w:val="20"/>
      <w:shd w:val="clear" w:color="auto" w:fill="FFFFFF"/>
    </w:rPr>
  </w:style>
  <w:style w:type="character" w:customStyle="1" w:styleId="-1Char">
    <w:name w:val="正文-1 Char"/>
    <w:link w:val="-10"/>
    <w:qFormat/>
    <w:locked/>
    <w:rPr>
      <w:sz w:val="24"/>
    </w:rPr>
  </w:style>
  <w:style w:type="character" w:customStyle="1" w:styleId="2GB2312CharChar">
    <w:name w:val="样式 标题 2 + 楷体_GB2312 Char Char"/>
    <w:qFormat/>
    <w:locked/>
    <w:rPr>
      <w:rFonts w:ascii="楷体_GB2312" w:eastAsia="楷体_GB2312" w:hAnsi="楷体_GB2312"/>
      <w:b/>
      <w:bCs/>
      <w:sz w:val="32"/>
      <w:szCs w:val="32"/>
      <w:shd w:val="clear" w:color="auto" w:fill="FFFFFF"/>
    </w:rPr>
  </w:style>
  <w:style w:type="character" w:customStyle="1" w:styleId="3xChar">
    <w:name w:val="新标题3x Char"/>
    <w:qFormat/>
    <w:rPr>
      <w:rFonts w:ascii="黑体" w:eastAsia="黑体" w:hAnsi="Times New Roman" w:cs="宋体"/>
      <w:b/>
      <w:bCs/>
      <w:color w:val="000000"/>
      <w:sz w:val="24"/>
      <w:szCs w:val="24"/>
      <w:shd w:val="clear" w:color="auto" w:fill="FFFFFF"/>
      <w:lang w:val="zh-CN"/>
    </w:rPr>
  </w:style>
  <w:style w:type="character" w:customStyle="1" w:styleId="2Char11">
    <w:name w:val="正文文本 2 Char1"/>
    <w:uiPriority w:val="99"/>
    <w:qFormat/>
    <w:rPr>
      <w:shd w:val="clear" w:color="auto" w:fill="FFFFFF"/>
    </w:rPr>
  </w:style>
  <w:style w:type="character" w:customStyle="1" w:styleId="CharChar15">
    <w:name w:val="Char Char15"/>
    <w:qFormat/>
    <w:locked/>
    <w:rPr>
      <w:rFonts w:ascii="宋体" w:eastAsia="宋体" w:cs="宋体"/>
      <w:sz w:val="24"/>
      <w:szCs w:val="24"/>
      <w:shd w:val="clear" w:color="auto" w:fill="FFFFFF"/>
      <w:lang w:val="en-US" w:eastAsia="zh-CN" w:bidi="ar-SA"/>
    </w:rPr>
  </w:style>
  <w:style w:type="character" w:customStyle="1" w:styleId="afffffffffffffffffffffffffffffffffffffff5">
    <w:name w:val="样式 宋体"/>
    <w:qFormat/>
    <w:rPr>
      <w:rFonts w:ascii="宋体" w:hAnsi="宋体"/>
      <w:kern w:val="0"/>
      <w:sz w:val="24"/>
      <w:shd w:val="clear" w:color="auto" w:fill="FFFFFF"/>
    </w:rPr>
  </w:style>
  <w:style w:type="character" w:customStyle="1" w:styleId="Charffffffffc">
    <w:name w:val="表格内字体 Char"/>
    <w:qFormat/>
    <w:rPr>
      <w:rFonts w:ascii="宋体" w:eastAsia="宋体" w:hAnsi="宋体" w:cs="Times New Roman"/>
      <w:color w:val="000000"/>
      <w:kern w:val="0"/>
      <w:szCs w:val="21"/>
      <w:shd w:val="clear" w:color="auto" w:fill="FFFFFF"/>
    </w:rPr>
  </w:style>
  <w:style w:type="character" w:customStyle="1" w:styleId="CharCharffa">
    <w:name w:val="表格样式 Char Char"/>
    <w:qFormat/>
    <w:rPr>
      <w:rFonts w:ascii="仿宋" w:eastAsia="宋体" w:hAnsi="仿宋"/>
      <w:shd w:val="clear" w:color="auto" w:fill="FFFFFF"/>
      <w:lang w:val="zh-CN" w:bidi="ar-SA"/>
    </w:rPr>
  </w:style>
  <w:style w:type="character" w:customStyle="1" w:styleId="2Charf1">
    <w:name w:val="正文缩进2个字符 Char"/>
    <w:qFormat/>
    <w:locked/>
    <w:rPr>
      <w:rFonts w:cs="Calibri"/>
      <w:sz w:val="28"/>
      <w:szCs w:val="28"/>
      <w:shd w:val="clear" w:color="auto" w:fill="FFFFFF"/>
    </w:rPr>
  </w:style>
  <w:style w:type="character" w:customStyle="1" w:styleId="cucd-0Char1">
    <w:name w:val="cucd-0 Char1"/>
    <w:qFormat/>
    <w:rPr>
      <w:rFonts w:ascii="Times New Roman" w:hAnsi="Times New Roman"/>
      <w:sz w:val="24"/>
      <w:szCs w:val="24"/>
      <w:shd w:val="clear" w:color="auto" w:fill="FFFFFF"/>
    </w:rPr>
  </w:style>
  <w:style w:type="character" w:customStyle="1" w:styleId="1Chare">
    <w:name w:val="样式 标题1 + (西文) 宋体 小四 黑色 Char"/>
    <w:qFormat/>
    <w:locked/>
    <w:rPr>
      <w:rFonts w:ascii="宋体" w:eastAsia="黑体" w:hAnsi="宋体" w:cs="宋体"/>
      <w:b/>
      <w:bCs/>
      <w:color w:val="000000"/>
      <w:sz w:val="32"/>
      <w:szCs w:val="32"/>
      <w:shd w:val="clear" w:color="auto" w:fill="FFFFFF"/>
    </w:rPr>
  </w:style>
  <w:style w:type="character" w:customStyle="1" w:styleId="hb4Char">
    <w:name w:val="hb4 Char"/>
    <w:semiHidden/>
    <w:qFormat/>
    <w:rPr>
      <w:rFonts w:ascii="宋体" w:eastAsia="宋体" w:hAnsi="宋体"/>
      <w:sz w:val="24"/>
      <w:szCs w:val="24"/>
      <w:shd w:val="clear" w:color="auto" w:fill="FFFFFF"/>
      <w:lang w:val="en-US" w:eastAsia="zh-CN" w:bidi="ar-SA"/>
    </w:rPr>
  </w:style>
  <w:style w:type="character" w:customStyle="1" w:styleId="-CharChar1">
    <w:name w:val="可研-正文首行缩进 Char Char1"/>
    <w:qFormat/>
    <w:rPr>
      <w:rFonts w:ascii="Times New Roman" w:eastAsia="宋体" w:hAnsi="Times New Roman" w:cs="Times New Roman"/>
      <w:spacing w:val="6"/>
      <w:kern w:val="2"/>
      <w:sz w:val="24"/>
      <w:szCs w:val="24"/>
      <w:shd w:val="clear" w:color="auto" w:fill="FFFFFF"/>
      <w:lang w:val="en-US" w:eastAsia="zh-CN" w:bidi="ar-SA"/>
    </w:rPr>
  </w:style>
  <w:style w:type="character" w:customStyle="1" w:styleId="desctext1">
    <w:name w:val="desctext1"/>
    <w:qFormat/>
    <w:rPr>
      <w:spacing w:val="17"/>
      <w:sz w:val="21"/>
      <w:szCs w:val="21"/>
      <w:shd w:val="clear" w:color="auto" w:fill="FFFFFF"/>
    </w:rPr>
  </w:style>
  <w:style w:type="character" w:customStyle="1" w:styleId="b">
    <w:name w:val="b"/>
    <w:qFormat/>
    <w:rPr>
      <w:shd w:val="clear" w:color="auto" w:fill="FFFFFF"/>
    </w:rPr>
  </w:style>
  <w:style w:type="character" w:customStyle="1" w:styleId="2Char30">
    <w:name w:val="标题 2 Char3"/>
    <w:qFormat/>
    <w:rPr>
      <w:rFonts w:ascii="宋体" w:eastAsia="楷体_GB2312" w:hAnsi="宋体"/>
      <w:b/>
      <w:bCs/>
      <w:sz w:val="36"/>
      <w:szCs w:val="32"/>
      <w:shd w:val="clear" w:color="auto" w:fill="FFFFFF"/>
    </w:rPr>
  </w:style>
  <w:style w:type="character" w:customStyle="1" w:styleId="Char1fa">
    <w:name w:val="签名 Char1"/>
    <w:qFormat/>
    <w:rPr>
      <w:kern w:val="2"/>
      <w:sz w:val="21"/>
      <w:szCs w:val="24"/>
      <w:shd w:val="clear" w:color="auto" w:fill="FFFFFF"/>
    </w:rPr>
  </w:style>
  <w:style w:type="character" w:customStyle="1" w:styleId="3fff7">
    <w:name w:val="注释标题 字符3"/>
    <w:qFormat/>
    <w:rPr>
      <w:rFonts w:ascii="Times New Roman" w:eastAsia="宋体" w:hAnsi="Times New Roman" w:cs="Times New Roman"/>
      <w:szCs w:val="24"/>
      <w:shd w:val="clear" w:color="auto" w:fill="FFFFFF"/>
    </w:rPr>
  </w:style>
  <w:style w:type="character" w:customStyle="1" w:styleId="1ffffffb">
    <w:name w:val="不明显参考1"/>
    <w:qFormat/>
    <w:rPr>
      <w:sz w:val="24"/>
      <w:szCs w:val="24"/>
      <w:u w:val="single"/>
      <w:shd w:val="clear" w:color="auto" w:fill="FFFFFF"/>
    </w:rPr>
  </w:style>
  <w:style w:type="character" w:customStyle="1" w:styleId="11Char2">
    <w:name w:val="样式 1.1二级标题 Char"/>
    <w:qFormat/>
    <w:locked/>
    <w:rPr>
      <w:b/>
      <w:sz w:val="32"/>
      <w:szCs w:val="32"/>
      <w:shd w:val="clear" w:color="auto" w:fill="FFFFFF"/>
    </w:rPr>
  </w:style>
  <w:style w:type="character" w:customStyle="1" w:styleId="Char1c">
    <w:name w:val="正文格式－文字 Char1"/>
    <w:link w:val="afffffffffffffe"/>
    <w:uiPriority w:val="99"/>
    <w:qFormat/>
    <w:locked/>
    <w:rPr>
      <w:bCs/>
      <w:sz w:val="24"/>
      <w:szCs w:val="21"/>
    </w:rPr>
  </w:style>
  <w:style w:type="character" w:customStyle="1" w:styleId="3CharChar4">
    <w:name w:val="正文3 Char Char"/>
    <w:qFormat/>
    <w:locked/>
    <w:rPr>
      <w:rFonts w:ascii="楷体_GB2312" w:eastAsia="楷体_GB2312" w:hAnsi="Calibri"/>
      <w:b/>
      <w:kern w:val="2"/>
      <w:sz w:val="24"/>
      <w:shd w:val="clear" w:color="auto" w:fill="FFFFFF"/>
    </w:rPr>
  </w:style>
  <w:style w:type="character" w:customStyle="1" w:styleId="text2">
    <w:name w:val="text2"/>
    <w:qFormat/>
    <w:rPr>
      <w:shd w:val="clear" w:color="auto" w:fill="FFFFFF"/>
    </w:rPr>
  </w:style>
  <w:style w:type="character" w:customStyle="1" w:styleId="CharChar82">
    <w:name w:val="Char Char82"/>
    <w:qFormat/>
    <w:rPr>
      <w:rFonts w:ascii="Cambria" w:hAnsi="Cambria"/>
      <w:b/>
      <w:bCs/>
      <w:sz w:val="28"/>
      <w:szCs w:val="26"/>
      <w:shd w:val="clear" w:color="auto" w:fill="FFFFFF"/>
      <w:lang w:bidi="en-US"/>
    </w:rPr>
  </w:style>
  <w:style w:type="character" w:customStyle="1" w:styleId="3xi">
    <w:name w:val="3xi"/>
    <w:qFormat/>
    <w:rPr>
      <w:shd w:val="clear" w:color="auto" w:fill="FFFFFF"/>
    </w:rPr>
  </w:style>
  <w:style w:type="character" w:customStyle="1" w:styleId="p21">
    <w:name w:val="p21"/>
    <w:qFormat/>
    <w:rPr>
      <w:color w:val="996600"/>
      <w:sz w:val="18"/>
      <w:szCs w:val="18"/>
      <w:shd w:val="clear" w:color="auto" w:fill="FFFFFF"/>
    </w:rPr>
  </w:style>
  <w:style w:type="character" w:customStyle="1" w:styleId="ca-32">
    <w:name w:val="ca-32"/>
    <w:qFormat/>
    <w:rPr>
      <w:shd w:val="clear" w:color="auto" w:fill="FFFFFF"/>
    </w:rPr>
  </w:style>
  <w:style w:type="character" w:customStyle="1" w:styleId="11f">
    <w:name w:val="网格表 1 浅色1"/>
    <w:qFormat/>
    <w:rPr>
      <w:rFonts w:ascii="黑体" w:eastAsia="黑体" w:hAnsi="黑体" w:hint="eastAsia"/>
      <w:sz w:val="21"/>
      <w:szCs w:val="21"/>
      <w:shd w:val="clear" w:color="auto" w:fill="FFFFFF"/>
    </w:rPr>
  </w:style>
  <w:style w:type="character" w:customStyle="1" w:styleId="1ffffffc">
    <w:name w:val="批注主题 字符1"/>
    <w:uiPriority w:val="99"/>
    <w:qFormat/>
    <w:rPr>
      <w:b/>
      <w:bCs/>
      <w:shd w:val="clear" w:color="auto" w:fill="FFFFFF"/>
    </w:rPr>
  </w:style>
  <w:style w:type="character" w:customStyle="1" w:styleId="3fff8">
    <w:name w:val="正文文本首行缩进 字符3"/>
    <w:qFormat/>
    <w:rPr>
      <w:rFonts w:ascii="Times New Roman" w:eastAsia="宋体" w:hAnsi="Times New Roman" w:cs="Times New Roman"/>
      <w:szCs w:val="24"/>
      <w:shd w:val="clear" w:color="auto" w:fill="FFFFFF"/>
    </w:rPr>
  </w:style>
  <w:style w:type="character" w:customStyle="1" w:styleId="bt11">
    <w:name w:val="bt11"/>
    <w:qFormat/>
    <w:rPr>
      <w:rFonts w:ascii="黑体" w:eastAsia="黑体" w:hint="eastAsia"/>
      <w:color w:val="000000"/>
      <w:sz w:val="28"/>
      <w:szCs w:val="28"/>
      <w:shd w:val="clear" w:color="auto" w:fill="FFFFFF"/>
    </w:rPr>
  </w:style>
  <w:style w:type="character" w:customStyle="1" w:styleId="085Char1">
    <w:name w:val="样式 首行缩进:  0.85 厘米 Char1"/>
    <w:link w:val="085"/>
    <w:qFormat/>
    <w:locked/>
    <w:rPr>
      <w:sz w:val="28"/>
    </w:rPr>
  </w:style>
  <w:style w:type="character" w:customStyle="1" w:styleId="CharChar70">
    <w:name w:val="Char Char7"/>
    <w:uiPriority w:val="99"/>
    <w:qFormat/>
    <w:locked/>
    <w:rPr>
      <w:rFonts w:eastAsia="宋体"/>
      <w:kern w:val="2"/>
      <w:sz w:val="18"/>
      <w:szCs w:val="18"/>
      <w:shd w:val="clear" w:color="auto" w:fill="FFFFFF"/>
      <w:lang w:val="en-US" w:eastAsia="zh-CN" w:bidi="ar-SA"/>
    </w:rPr>
  </w:style>
  <w:style w:type="character" w:customStyle="1" w:styleId="3Char8">
    <w:name w:val="正文文本 3 Char"/>
    <w:qFormat/>
    <w:rPr>
      <w:rFonts w:ascii="Times New Roman" w:eastAsia="宋体" w:hAnsi="Times New Roman" w:cs="Times New Roman" w:hint="default"/>
      <w:sz w:val="24"/>
      <w:szCs w:val="20"/>
      <w:shd w:val="clear" w:color="auto" w:fill="FFFFFF"/>
    </w:rPr>
  </w:style>
  <w:style w:type="character" w:customStyle="1" w:styleId="231">
    <w:name w:val="正文文本 2 字符3"/>
    <w:uiPriority w:val="99"/>
    <w:qFormat/>
    <w:rPr>
      <w:rFonts w:ascii="Times New Roman" w:eastAsia="宋体" w:hAnsi="Times New Roman" w:cs="Times New Roman"/>
      <w:sz w:val="24"/>
      <w:szCs w:val="20"/>
      <w:shd w:val="clear" w:color="auto" w:fill="FFFFFF"/>
    </w:rPr>
  </w:style>
  <w:style w:type="character" w:customStyle="1" w:styleId="10130Char">
    <w:name w:val="样式 四号 首行缩进:  1.01 厘米 行距: 固定值 30 磅 Char"/>
    <w:qFormat/>
    <w:rPr>
      <w:rFonts w:ascii="Times New Roman" w:hAnsi="Times New Roman"/>
      <w:sz w:val="28"/>
      <w:shd w:val="clear" w:color="auto" w:fill="FFFFFF"/>
    </w:rPr>
  </w:style>
  <w:style w:type="character" w:customStyle="1" w:styleId="Heading4Char1">
    <w:name w:val="Heading 4 Char1"/>
    <w:qFormat/>
    <w:rPr>
      <w:rFonts w:eastAsia="宋体" w:cs="Times New Roman"/>
      <w:kern w:val="20"/>
      <w:sz w:val="28"/>
      <w:shd w:val="clear" w:color="auto" w:fill="FFFFFF"/>
      <w:lang w:val="en-US" w:eastAsia="zh-CN" w:bidi="ar-SA"/>
    </w:rPr>
  </w:style>
  <w:style w:type="character" w:customStyle="1" w:styleId="3fff9">
    <w:name w:val="未处理的提及3"/>
    <w:uiPriority w:val="99"/>
    <w:unhideWhenUsed/>
    <w:qFormat/>
    <w:rPr>
      <w:color w:val="605E5C"/>
      <w:shd w:val="clear" w:color="auto" w:fill="E1DFDD"/>
    </w:rPr>
  </w:style>
  <w:style w:type="character" w:customStyle="1" w:styleId="Char1fb">
    <w:name w:val="表格内容 Char1"/>
    <w:qFormat/>
    <w:rPr>
      <w:rFonts w:ascii="Arial" w:eastAsia="仿宋_GB2312" w:hAnsi="Arial"/>
      <w:sz w:val="24"/>
      <w:shd w:val="clear" w:color="auto" w:fill="FFFFFF"/>
    </w:rPr>
  </w:style>
  <w:style w:type="character" w:customStyle="1" w:styleId="3Char1CharChar1">
    <w:name w:val="标题 3 Char1 Char Char1"/>
    <w:qFormat/>
    <w:rPr>
      <w:rFonts w:eastAsia="宋体"/>
      <w:b/>
      <w:bCs/>
      <w:kern w:val="2"/>
      <w:sz w:val="32"/>
      <w:szCs w:val="32"/>
      <w:shd w:val="clear" w:color="auto" w:fill="FFFFFF"/>
      <w:lang w:val="en-US" w:eastAsia="zh-CN" w:bidi="ar-SA"/>
    </w:rPr>
  </w:style>
  <w:style w:type="character" w:customStyle="1" w:styleId="dandan6-13Char">
    <w:name w:val="样式 dandan6-13四级以下 + Char"/>
    <w:qFormat/>
    <w:rPr>
      <w:rFonts w:ascii="Times New Roman" w:eastAsia="仿宋_GB2312" w:hAnsi="Times New Roman"/>
      <w:b/>
      <w:bCs/>
      <w:sz w:val="24"/>
      <w:szCs w:val="24"/>
      <w:shd w:val="clear" w:color="auto" w:fill="FFFFFF"/>
    </w:rPr>
  </w:style>
  <w:style w:type="character" w:customStyle="1" w:styleId="p11">
    <w:name w:val="p11"/>
    <w:qFormat/>
    <w:rPr>
      <w:rFonts w:hint="default"/>
      <w:sz w:val="18"/>
      <w:szCs w:val="18"/>
      <w:shd w:val="clear" w:color="auto" w:fill="FFFFFF"/>
    </w:rPr>
  </w:style>
  <w:style w:type="character" w:customStyle="1" w:styleId="31Char">
    <w:name w:val="正文文字缩进 31 Char"/>
    <w:qFormat/>
    <w:rPr>
      <w:rFonts w:ascii="Times New Roman" w:eastAsia="宋体" w:hAnsi="Times New Roman" w:cs="Times New Roman"/>
      <w:sz w:val="16"/>
      <w:szCs w:val="16"/>
      <w:shd w:val="clear" w:color="auto" w:fill="FFFFFF"/>
      <w:vertAlign w:val="superscript"/>
    </w:rPr>
  </w:style>
  <w:style w:type="character" w:customStyle="1" w:styleId="200173Char">
    <w:name w:val="样式 标题 2 + 段前: 0 磅 段后: 0 磅 行距: 多倍行距 1.73 字行 Char"/>
    <w:link w:val="200173"/>
    <w:qFormat/>
    <w:rPr>
      <w:rFonts w:ascii="Arial" w:eastAsia="黑体" w:hAnsi="Arial"/>
      <w:bCs/>
      <w:sz w:val="32"/>
    </w:rPr>
  </w:style>
  <w:style w:type="character" w:customStyle="1" w:styleId="1pt">
    <w:name w:val="正文文本 + 间距 1 pt"/>
    <w:qFormat/>
    <w:rPr>
      <w:rFonts w:ascii="Arial Unicode MS" w:eastAsia="Arial Unicode MS" w:hAnsi="Arial Unicode MS" w:cs="Arial Unicode MS"/>
      <w:color w:val="000000"/>
      <w:spacing w:val="20"/>
      <w:w w:val="100"/>
      <w:position w:val="0"/>
      <w:sz w:val="23"/>
      <w:szCs w:val="23"/>
      <w:u w:val="none"/>
      <w:shd w:val="clear" w:color="auto" w:fill="FFFFFF"/>
      <w:lang w:val="zh-CN" w:bidi="ar-SA"/>
    </w:rPr>
  </w:style>
  <w:style w:type="character" w:customStyle="1" w:styleId="1fe">
    <w:name w:val="标题 #1_"/>
    <w:link w:val="1fd"/>
    <w:qFormat/>
    <w:rPr>
      <w:rFonts w:ascii="MingLiU" w:eastAsia="MingLiU" w:hAnsi="MingLiU"/>
      <w:spacing w:val="100"/>
      <w:sz w:val="36"/>
      <w:szCs w:val="36"/>
      <w:shd w:val="clear" w:color="auto" w:fill="FFFFFF"/>
    </w:rPr>
  </w:style>
  <w:style w:type="character" w:customStyle="1" w:styleId="Charffffffffd">
    <w:name w:val="生物质发电正文 Char"/>
    <w:qFormat/>
    <w:rPr>
      <w:rFonts w:ascii="宋体" w:hAnsi="宋体"/>
      <w:bCs/>
      <w:sz w:val="24"/>
      <w:szCs w:val="24"/>
      <w:shd w:val="clear" w:color="auto" w:fill="FFFFFF"/>
    </w:rPr>
  </w:style>
  <w:style w:type="character" w:customStyle="1" w:styleId="3Char0">
    <w:name w:val="自定义标题3 Char"/>
    <w:link w:val="3f9"/>
    <w:qFormat/>
  </w:style>
  <w:style w:type="character" w:customStyle="1" w:styleId="33-ls30101Char">
    <w:name w:val="样式 标题 3标题 3-ls标题3样式 + 段前: 0.1 行 段后: 0.1 行 Char"/>
    <w:qFormat/>
    <w:locked/>
    <w:rPr>
      <w:rFonts w:ascii="宋体" w:cs="宋体"/>
      <w:b/>
      <w:bCs/>
      <w:sz w:val="28"/>
      <w:shd w:val="clear" w:color="auto" w:fill="FFFFFF"/>
    </w:rPr>
  </w:style>
  <w:style w:type="character" w:customStyle="1" w:styleId="2ffffffd">
    <w:name w:val="批注文字 字符2"/>
    <w:uiPriority w:val="99"/>
    <w:qFormat/>
    <w:rPr>
      <w:shd w:val="clear" w:color="auto" w:fill="FFFFFF"/>
    </w:rPr>
  </w:style>
  <w:style w:type="character" w:customStyle="1" w:styleId="biaoti-61">
    <w:name w:val="biaoti-61"/>
    <w:qFormat/>
    <w:rPr>
      <w:b/>
      <w:bCs/>
      <w:color w:val="000066"/>
      <w:sz w:val="30"/>
      <w:szCs w:val="30"/>
      <w:shd w:val="clear" w:color="auto" w:fill="FFFFFF"/>
    </w:rPr>
  </w:style>
  <w:style w:type="character" w:customStyle="1" w:styleId="TOC22">
    <w:name w:val="TOC 2 字符2"/>
    <w:link w:val="TOC2"/>
    <w:uiPriority w:val="39"/>
    <w:qFormat/>
    <w:rPr>
      <w:smallCaps/>
      <w:kern w:val="2"/>
      <w:sz w:val="24"/>
    </w:rPr>
  </w:style>
  <w:style w:type="character" w:customStyle="1" w:styleId="1CharChar2">
    <w:name w:val="标题 1 Char Char2"/>
    <w:qFormat/>
    <w:rPr>
      <w:rFonts w:ascii="宋体" w:eastAsia="黑体" w:hAnsi="宋体"/>
      <w:b/>
      <w:bCs/>
      <w:kern w:val="44"/>
      <w:sz w:val="32"/>
      <w:szCs w:val="44"/>
      <w:shd w:val="clear" w:color="auto" w:fill="FFFFFF"/>
      <w:lang w:val="en-US" w:eastAsia="zh-CN" w:bidi="ar-SA"/>
    </w:rPr>
  </w:style>
  <w:style w:type="character" w:customStyle="1" w:styleId="10Char">
    <w:name w:val="正文样式10 Char"/>
    <w:qFormat/>
    <w:rPr>
      <w:rFonts w:ascii="宋体" w:eastAsia="宋体" w:hAnsi="宋体" w:cs="Arial"/>
      <w:bCs/>
      <w:color w:val="000000"/>
      <w:sz w:val="24"/>
      <w:szCs w:val="20"/>
      <w:shd w:val="clear" w:color="auto" w:fill="FFFFFF"/>
      <w:lang w:val="zh-CN"/>
    </w:rPr>
  </w:style>
  <w:style w:type="character" w:customStyle="1" w:styleId="normaltext1">
    <w:name w:val="normaltext1"/>
    <w:qFormat/>
    <w:rPr>
      <w:rFonts w:eastAsia="宋体"/>
      <w:color w:val="000000"/>
      <w:kern w:val="2"/>
      <w:sz w:val="21"/>
      <w:szCs w:val="21"/>
      <w:shd w:val="clear" w:color="auto" w:fill="FFFFFF"/>
      <w:lang w:val="en-US" w:eastAsia="zh-CN" w:bidi="ar-SA"/>
    </w:rPr>
  </w:style>
  <w:style w:type="character" w:customStyle="1" w:styleId="CharChar100">
    <w:name w:val="Char Char10"/>
    <w:qFormat/>
    <w:rPr>
      <w:rFonts w:eastAsia="宋体"/>
      <w:b/>
      <w:bCs/>
      <w:kern w:val="44"/>
      <w:sz w:val="44"/>
      <w:szCs w:val="44"/>
      <w:shd w:val="clear" w:color="auto" w:fill="FFFFFF"/>
      <w:lang w:val="en-US" w:eastAsia="zh-CN" w:bidi="ar-SA"/>
    </w:rPr>
  </w:style>
  <w:style w:type="character" w:customStyle="1" w:styleId="text11">
    <w:name w:val="text11"/>
    <w:qFormat/>
    <w:rPr>
      <w:rFonts w:ascii="宋" w:eastAsia="宋" w:hint="eastAsia"/>
      <w:color w:val="000000"/>
      <w:sz w:val="18"/>
      <w:szCs w:val="18"/>
      <w:u w:val="none"/>
      <w:shd w:val="clear" w:color="auto" w:fill="FFFFFF"/>
    </w:rPr>
  </w:style>
  <w:style w:type="character" w:customStyle="1" w:styleId="Charfffd">
    <w:name w:val="规划页眉 Char"/>
    <w:link w:val="affffffffffffff"/>
    <w:qFormat/>
    <w:rPr>
      <w:rFonts w:ascii="楷体" w:eastAsia="楷体" w:hAnsi="楷体"/>
      <w:kern w:val="2"/>
      <w:sz w:val="18"/>
    </w:rPr>
  </w:style>
  <w:style w:type="character" w:customStyle="1" w:styleId="31113CharChar3CharCharCharCharChar">
    <w:name w:val="我的 标题 3条标题1.1.1标题 3 Char Char小标题头小节标题标题 3 Char Char Char标... Char Char"/>
    <w:link w:val="31113CharChar3CharCharCharChar"/>
    <w:qFormat/>
    <w:rPr>
      <w:rFonts w:eastAsia="黑体"/>
      <w:bCs/>
      <w:kern w:val="2"/>
      <w:sz w:val="28"/>
      <w:szCs w:val="28"/>
    </w:rPr>
  </w:style>
  <w:style w:type="character" w:customStyle="1" w:styleId="Char1fc">
    <w:name w:val="宏文本 Char1"/>
    <w:qFormat/>
    <w:rPr>
      <w:rFonts w:ascii="Courier New" w:hAnsi="Courier New" w:cs="Courier New"/>
      <w:kern w:val="2"/>
      <w:sz w:val="24"/>
      <w:szCs w:val="24"/>
      <w:shd w:val="clear" w:color="auto" w:fill="FFFFFF"/>
    </w:rPr>
  </w:style>
  <w:style w:type="character" w:customStyle="1" w:styleId="Charfffe">
    <w:name w:val="内苡 Char"/>
    <w:link w:val="affffffffffffff0"/>
    <w:semiHidden/>
    <w:qFormat/>
    <w:rPr>
      <w:rFonts w:ascii="宋体" w:hAnsi="宋体"/>
      <w:sz w:val="28"/>
      <w:szCs w:val="28"/>
    </w:rPr>
  </w:style>
  <w:style w:type="character" w:customStyle="1" w:styleId="text01">
    <w:name w:val="text01"/>
    <w:uiPriority w:val="99"/>
    <w:qFormat/>
    <w:rPr>
      <w:rFonts w:ascii="??" w:hAnsi="??"/>
      <w:color w:val="333333"/>
      <w:spacing w:val="420"/>
      <w:sz w:val="18"/>
      <w:u w:val="none"/>
      <w:shd w:val="clear" w:color="auto" w:fill="FFFFFF"/>
    </w:rPr>
  </w:style>
  <w:style w:type="character" w:customStyle="1" w:styleId="ninept">
    <w:name w:val="ninept"/>
    <w:qFormat/>
    <w:rPr>
      <w:shd w:val="clear" w:color="auto" w:fill="FFFFFF"/>
    </w:rPr>
  </w:style>
  <w:style w:type="character" w:customStyle="1" w:styleId="618Char">
    <w:name w:val="无段前后行距6.18 Char"/>
    <w:link w:val="618"/>
    <w:qFormat/>
    <w:locked/>
    <w:rPr>
      <w:rFonts w:ascii="仿宋_GB2312" w:eastAsia="仿宋_GB2312" w:hAnsi="宋体"/>
      <w:szCs w:val="28"/>
    </w:rPr>
  </w:style>
  <w:style w:type="character" w:customStyle="1" w:styleId="CharCharf1">
    <w:name w:val="图名 Char Char"/>
    <w:link w:val="Charffff"/>
    <w:qFormat/>
    <w:rPr>
      <w:rFonts w:hAnsi="宋体"/>
      <w:b/>
      <w:kern w:val="2"/>
      <w:sz w:val="18"/>
      <w:szCs w:val="21"/>
    </w:rPr>
  </w:style>
  <w:style w:type="character" w:customStyle="1" w:styleId="CharCharffb">
    <w:name w:val="正文文字缩进 Char Char"/>
    <w:qFormat/>
    <w:locked/>
    <w:rPr>
      <w:szCs w:val="24"/>
      <w:shd w:val="clear" w:color="auto" w:fill="FFFFFF"/>
    </w:rPr>
  </w:style>
  <w:style w:type="character" w:customStyle="1" w:styleId="Char41">
    <w:name w:val="标题 Char4"/>
    <w:qFormat/>
    <w:rPr>
      <w:rFonts w:ascii="Cambria" w:eastAsia="宋体" w:hAnsi="Cambria" w:cs="Times New Roman"/>
      <w:b/>
      <w:bCs/>
      <w:sz w:val="32"/>
      <w:szCs w:val="32"/>
      <w:shd w:val="clear" w:color="auto" w:fill="FFFFFF"/>
    </w:rPr>
  </w:style>
  <w:style w:type="character" w:customStyle="1" w:styleId="ourfont3">
    <w:name w:val="ourfont3"/>
    <w:qFormat/>
    <w:rPr>
      <w:shd w:val="clear" w:color="auto" w:fill="FFFFFF"/>
    </w:rPr>
  </w:style>
  <w:style w:type="character" w:customStyle="1" w:styleId="Charffff0">
    <w:name w:val="标题二！！！！！ Char"/>
    <w:link w:val="affffffffffffff1"/>
    <w:qFormat/>
    <w:locked/>
    <w:rPr>
      <w:rFonts w:ascii="楷体_GB2312" w:eastAsia="楷体_GB2312" w:hAnsi="楷体_GB2312"/>
      <w:b/>
      <w:bCs/>
      <w:sz w:val="30"/>
      <w:szCs w:val="30"/>
    </w:rPr>
  </w:style>
  <w:style w:type="character" w:customStyle="1" w:styleId="CharCharChar21">
    <w:name w:val="纯文本 Char Char Char2"/>
    <w:uiPriority w:val="99"/>
    <w:qFormat/>
    <w:rPr>
      <w:rFonts w:ascii="宋体" w:eastAsia="宋体" w:hAnsi="Courier New"/>
      <w:kern w:val="2"/>
      <w:sz w:val="28"/>
      <w:shd w:val="clear" w:color="auto" w:fill="FFFFFF"/>
      <w:lang w:val="en-US" w:eastAsia="zh-CN"/>
    </w:rPr>
  </w:style>
  <w:style w:type="character" w:customStyle="1" w:styleId="CharCharCharCharCharChar4">
    <w:name w:val="纯文本 Char Char Char Char Char Char"/>
    <w:qFormat/>
    <w:rPr>
      <w:rFonts w:ascii="宋体" w:eastAsia="宋体" w:hAnsi="Courier New" w:cs="Courier New"/>
      <w:kern w:val="2"/>
      <w:sz w:val="21"/>
      <w:szCs w:val="21"/>
      <w:shd w:val="clear" w:color="auto" w:fill="FFFFFF"/>
      <w:lang w:val="en-US" w:eastAsia="zh-CN" w:bidi="ar-SA"/>
    </w:rPr>
  </w:style>
  <w:style w:type="character" w:customStyle="1" w:styleId="Char33">
    <w:name w:val="文档结构图 Char3"/>
    <w:semiHidden/>
    <w:qFormat/>
    <w:rPr>
      <w:rFonts w:ascii="宋体" w:eastAsia="宋体" w:hAnsi="Times New Roman" w:cs="Times New Roman"/>
      <w:sz w:val="18"/>
      <w:szCs w:val="18"/>
      <w:shd w:val="clear" w:color="auto" w:fill="FFFFFF"/>
    </w:rPr>
  </w:style>
  <w:style w:type="character" w:customStyle="1" w:styleId="CharChar12">
    <w:name w:val="Char Char12"/>
    <w:qFormat/>
    <w:rPr>
      <w:rFonts w:eastAsia="宋体"/>
      <w:b/>
      <w:bCs/>
      <w:kern w:val="2"/>
      <w:sz w:val="32"/>
      <w:szCs w:val="32"/>
      <w:shd w:val="clear" w:color="auto" w:fill="FFFFFF"/>
      <w:lang w:val="en-US" w:eastAsia="zh-CN" w:bidi="ar-SA"/>
    </w:rPr>
  </w:style>
  <w:style w:type="character" w:customStyle="1" w:styleId="2Charf2">
    <w:name w:val="正文文本缩进 2 Char"/>
    <w:qFormat/>
    <w:rPr>
      <w:shd w:val="clear" w:color="auto" w:fill="FFFFFF"/>
    </w:rPr>
  </w:style>
  <w:style w:type="character" w:customStyle="1" w:styleId="CharCharCharb">
    <w:name w:val="一标题 Char Char Char"/>
    <w:qFormat/>
    <w:locked/>
    <w:rPr>
      <w:sz w:val="28"/>
      <w:shd w:val="clear" w:color="auto" w:fill="FFFFFF"/>
    </w:rPr>
  </w:style>
  <w:style w:type="character" w:customStyle="1" w:styleId="Char1fd">
    <w:name w:val="批注主题 Char1"/>
    <w:uiPriority w:val="99"/>
    <w:qFormat/>
    <w:rPr>
      <w:rFonts w:ascii="Times New Roman" w:eastAsia="宋体" w:hAnsi="Times New Roman" w:cs="Times New Roman" w:hint="default"/>
      <w:b/>
      <w:kern w:val="2"/>
      <w:sz w:val="21"/>
      <w:szCs w:val="24"/>
      <w:shd w:val="clear" w:color="auto" w:fill="FFFFFF"/>
    </w:rPr>
  </w:style>
  <w:style w:type="character" w:customStyle="1" w:styleId="CharChar17">
    <w:name w:val="Char Char17"/>
    <w:qFormat/>
    <w:rPr>
      <w:rFonts w:ascii="Times New Roman" w:hAnsi="Times New Roman"/>
      <w:bCs/>
      <w:kern w:val="2"/>
      <w:sz w:val="28"/>
      <w:szCs w:val="32"/>
      <w:shd w:val="clear" w:color="auto" w:fill="FFFFFF"/>
    </w:rPr>
  </w:style>
  <w:style w:type="character" w:customStyle="1" w:styleId="CharCharffc">
    <w:name w:val="表格文字 Char Char"/>
    <w:qFormat/>
    <w:rPr>
      <w:rFonts w:ascii="宋体" w:eastAsia="宋体" w:hAnsi="Times New Roman" w:cs="宋体" w:hint="eastAsia"/>
      <w:color w:val="000000"/>
      <w:sz w:val="24"/>
      <w:szCs w:val="24"/>
      <w:shd w:val="clear" w:color="auto" w:fill="FFFFFF"/>
    </w:rPr>
  </w:style>
  <w:style w:type="character" w:customStyle="1" w:styleId="dan7-1Char">
    <w:name w:val="dan7-1 Char"/>
    <w:link w:val="dan7-1"/>
    <w:qFormat/>
    <w:rPr>
      <w:kern w:val="2"/>
      <w:sz w:val="24"/>
      <w:szCs w:val="21"/>
    </w:rPr>
  </w:style>
  <w:style w:type="character" w:customStyle="1" w:styleId="lawsitemtext1">
    <w:name w:val="lawsitemtext1"/>
    <w:qFormat/>
    <w:rPr>
      <w:color w:val="154863"/>
      <w:sz w:val="21"/>
      <w:szCs w:val="21"/>
      <w:shd w:val="clear" w:color="auto" w:fill="FFFFFF"/>
    </w:rPr>
  </w:style>
  <w:style w:type="character" w:customStyle="1" w:styleId="TimesNewRoman10">
    <w:name w:val="样式 Times New Roman1"/>
    <w:qFormat/>
    <w:rPr>
      <w:rFonts w:ascii="Times New Roman" w:hAnsi="Times New Roman" w:cs="Times New Roman" w:hint="default"/>
      <w:shd w:val="clear" w:color="auto" w:fill="FFFFFF"/>
    </w:rPr>
  </w:style>
  <w:style w:type="character" w:customStyle="1" w:styleId="10pt">
    <w:name w:val="正文文本 + 10 pt"/>
    <w:qFormat/>
    <w:rPr>
      <w:rFonts w:ascii="Arial Unicode MS" w:eastAsia="Arial Unicode MS" w:hAnsi="Arial Unicode MS"/>
      <w:color w:val="000000"/>
      <w:spacing w:val="-10"/>
      <w:w w:val="100"/>
      <w:position w:val="0"/>
      <w:sz w:val="20"/>
      <w:szCs w:val="20"/>
      <w:shd w:val="clear" w:color="auto" w:fill="FFFFFF"/>
      <w:lang w:val="zh-CN" w:bidi="ar-SA"/>
    </w:rPr>
  </w:style>
  <w:style w:type="character" w:customStyle="1" w:styleId="1CharChar1">
    <w:name w:val="段落1 Char Char"/>
    <w:qFormat/>
    <w:rPr>
      <w:rFonts w:eastAsia="宋体"/>
      <w:color w:val="000000"/>
      <w:spacing w:val="8"/>
      <w:kern w:val="2"/>
      <w:sz w:val="24"/>
      <w:szCs w:val="21"/>
      <w:shd w:val="clear" w:color="auto" w:fill="FFFFFF"/>
      <w:lang w:val="en-US" w:eastAsia="zh-CN" w:bidi="ar-SA"/>
    </w:rPr>
  </w:style>
  <w:style w:type="character" w:customStyle="1" w:styleId="CharCharffd">
    <w:name w:val="第五层条 Char Char"/>
    <w:qFormat/>
    <w:rPr>
      <w:rFonts w:ascii="Arial" w:eastAsia="黑体" w:hAnsi="Arial"/>
      <w:b/>
      <w:bCs/>
      <w:kern w:val="2"/>
      <w:sz w:val="24"/>
      <w:szCs w:val="24"/>
      <w:shd w:val="clear" w:color="auto" w:fill="FFFFFF"/>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
    <w:name w:val="样式 宋体 四号 Char Char Char Char Char Char Char Char Char Char Char Char Char Char Char Char Char Char Char Char Char Char Char Char Char Char Char Char Char Char Char Char Char Char Char Char Char Char Char Char Char Char Char Char Char Char Char Char Char"/>
    <w:semiHidden/>
    <w:qFormat/>
    <w:rPr>
      <w:rFonts w:ascii="宋体" w:eastAsia="宋体" w:hAnsi="宋体"/>
      <w:spacing w:val="8"/>
      <w:kern w:val="2"/>
      <w:sz w:val="24"/>
      <w:szCs w:val="24"/>
      <w:shd w:val="clear" w:color="auto" w:fill="FFFFFF"/>
      <w:lang w:val="en-US" w:eastAsia="zh-CN" w:bidi="ar-SA"/>
    </w:rPr>
  </w:style>
  <w:style w:type="character" w:customStyle="1" w:styleId="3Char9">
    <w:name w:val="3级标题 Char"/>
    <w:qFormat/>
    <w:rPr>
      <w:rFonts w:ascii="Times New Roman" w:eastAsia="仿宋_GB2312" w:hAnsi="Times New Roman"/>
      <w:b/>
      <w:bCs/>
      <w:sz w:val="30"/>
      <w:szCs w:val="26"/>
      <w:shd w:val="clear" w:color="auto" w:fill="FFFFFF"/>
    </w:rPr>
  </w:style>
  <w:style w:type="character" w:customStyle="1" w:styleId="318">
    <w:name w:val="标题31"/>
    <w:qFormat/>
    <w:rPr>
      <w:shd w:val="clear" w:color="auto" w:fill="FFFFFF"/>
    </w:rPr>
  </w:style>
  <w:style w:type="character" w:customStyle="1" w:styleId="Charffff1">
    <w:name w:val="段 Char"/>
    <w:link w:val="affffffffffffff2"/>
    <w:qFormat/>
    <w:locked/>
    <w:rPr>
      <w:rFonts w:ascii="宋体" w:hAnsi="宋体"/>
      <w:sz w:val="21"/>
    </w:rPr>
  </w:style>
  <w:style w:type="character" w:customStyle="1" w:styleId="k1">
    <w:name w:val="k1"/>
    <w:qFormat/>
    <w:rPr>
      <w:rFonts w:cs="Times New Roman"/>
      <w:shd w:val="clear" w:color="auto" w:fill="FFFFFF"/>
    </w:rPr>
  </w:style>
  <w:style w:type="character" w:customStyle="1" w:styleId="2Heading2HEAD2HEAD21HEAD22HEAD211HEAD23HEADChar">
    <w:name w:val="样式 标题 2_Heading 2HEAD_2HEAD_21HEAD_22HEAD_211HEAD_23HEAD_... Char"/>
    <w:qFormat/>
    <w:locked/>
    <w:rPr>
      <w:rFonts w:hAnsi="宋体"/>
      <w:b/>
      <w:color w:val="000000"/>
      <w:sz w:val="24"/>
      <w:szCs w:val="24"/>
      <w:shd w:val="clear" w:color="auto" w:fill="FFFFFF"/>
    </w:rPr>
  </w:style>
  <w:style w:type="character" w:customStyle="1" w:styleId="CharCharCharChar1CharChar1">
    <w:name w:val="Char Char Char Char1 Char Char"/>
    <w:semiHidden/>
    <w:qFormat/>
    <w:rPr>
      <w:rFonts w:ascii="楷体_GB2312" w:eastAsia="楷体_GB2312"/>
      <w:kern w:val="2"/>
      <w:sz w:val="28"/>
      <w:shd w:val="clear" w:color="auto" w:fill="FFFFFF"/>
      <w:lang w:val="en-US" w:eastAsia="zh-CN" w:bidi="ar-SA"/>
    </w:rPr>
  </w:style>
  <w:style w:type="character" w:customStyle="1" w:styleId="TimesNewRoman2">
    <w:name w:val="样式 Times New Roman"/>
    <w:qFormat/>
    <w:rPr>
      <w:rFonts w:ascii="Times New Roman" w:eastAsia="仿宋_GB2312" w:hAnsi="Times New Roman" w:cs="Times New Roman" w:hint="default"/>
      <w:sz w:val="28"/>
      <w:szCs w:val="28"/>
      <w:shd w:val="clear" w:color="auto" w:fill="FFFFFF"/>
    </w:rPr>
  </w:style>
  <w:style w:type="character" w:customStyle="1" w:styleId="CharChar1811">
    <w:name w:val="Char Char1811"/>
    <w:qFormat/>
    <w:rPr>
      <w:rFonts w:ascii="Arial" w:eastAsia="黑体" w:hAnsi="Arial"/>
      <w:b/>
      <w:bCs/>
      <w:kern w:val="2"/>
      <w:sz w:val="32"/>
      <w:szCs w:val="32"/>
      <w:shd w:val="clear" w:color="auto" w:fill="FFFFFF"/>
      <w:lang w:val="en-US" w:eastAsia="zh-CN" w:bidi="ar-SA"/>
    </w:rPr>
  </w:style>
  <w:style w:type="character" w:customStyle="1" w:styleId="1ffffffd">
    <w:name w:val="正文文本首行缩进 字符1"/>
    <w:semiHidden/>
    <w:qFormat/>
    <w:rPr>
      <w:rFonts w:ascii="Times New Roman" w:eastAsia="宋体" w:hAnsi="Times New Roman" w:cs="Times New Roman"/>
      <w:szCs w:val="24"/>
      <w:shd w:val="clear" w:color="auto" w:fill="FFFFFF"/>
    </w:rPr>
  </w:style>
  <w:style w:type="character" w:customStyle="1" w:styleId="rightwelcome1">
    <w:name w:val="right_welcome1"/>
    <w:qFormat/>
    <w:rPr>
      <w:b/>
      <w:bCs/>
      <w:color w:val="FF6508"/>
      <w:sz w:val="27"/>
      <w:szCs w:val="27"/>
      <w:shd w:val="clear" w:color="auto" w:fill="FFFFFF"/>
    </w:rPr>
  </w:style>
  <w:style w:type="character" w:customStyle="1" w:styleId="a-Char6">
    <w:name w:val="a-备注 Char"/>
    <w:link w:val="a-6"/>
    <w:qFormat/>
    <w:locked/>
    <w:rPr>
      <w:b/>
      <w:bCs/>
      <w:color w:val="000000"/>
      <w:kern w:val="2"/>
      <w:sz w:val="21"/>
      <w:szCs w:val="32"/>
    </w:rPr>
  </w:style>
  <w:style w:type="character" w:customStyle="1" w:styleId="unnamed1">
    <w:name w:val="unnamed1"/>
    <w:qFormat/>
    <w:rPr>
      <w:shd w:val="clear" w:color="auto" w:fill="FFFFFF"/>
    </w:rPr>
  </w:style>
  <w:style w:type="character" w:customStyle="1" w:styleId="Charffff2">
    <w:name w:val="标准条文 Char"/>
    <w:link w:val="affffffffffffff3"/>
    <w:qFormat/>
    <w:locked/>
    <w:rPr>
      <w:bCs/>
      <w:kern w:val="2"/>
      <w:sz w:val="21"/>
      <w:szCs w:val="24"/>
    </w:rPr>
  </w:style>
  <w:style w:type="character" w:customStyle="1" w:styleId="Charffff3">
    <w:name w:val="可研表格 Char"/>
    <w:link w:val="affffffffffffff4"/>
    <w:qFormat/>
    <w:locked/>
    <w:rPr>
      <w:kern w:val="2"/>
      <w:sz w:val="24"/>
      <w:szCs w:val="21"/>
    </w:rPr>
  </w:style>
  <w:style w:type="character" w:customStyle="1" w:styleId="CharCharCharChar7">
    <w:name w:val="表底说明 Char Char Char Char"/>
    <w:qFormat/>
    <w:rPr>
      <w:rFonts w:cs="Times New Roman"/>
      <w:sz w:val="24"/>
      <w:szCs w:val="24"/>
      <w:shd w:val="clear" w:color="auto" w:fill="FFFFFF"/>
    </w:rPr>
  </w:style>
  <w:style w:type="character" w:customStyle="1" w:styleId="style161">
    <w:name w:val="style161"/>
    <w:qFormat/>
    <w:rPr>
      <w:rFonts w:eastAsia="宋体"/>
      <w:color w:val="000000"/>
      <w:kern w:val="2"/>
      <w:sz w:val="21"/>
      <w:szCs w:val="21"/>
      <w:shd w:val="clear" w:color="auto" w:fill="FFFFFF"/>
      <w:lang w:val="en-US" w:eastAsia="zh-CN" w:bidi="ar-SA"/>
    </w:rPr>
  </w:style>
  <w:style w:type="character" w:customStyle="1" w:styleId="afffffffffffffffffffffffffffffffffffffff6">
    <w:name w:val="职业"/>
    <w:qFormat/>
    <w:rPr>
      <w:i/>
      <w:shd w:val="clear" w:color="auto" w:fill="FFFFFF"/>
    </w:rPr>
  </w:style>
  <w:style w:type="character" w:customStyle="1" w:styleId="322">
    <w:name w:val="标题 3 字符2"/>
    <w:qFormat/>
    <w:rPr>
      <w:rFonts w:ascii="Times New Roman" w:eastAsia="华文楷体" w:hAnsi="Times New Roman"/>
      <w:b/>
      <w:bCs/>
      <w:kern w:val="2"/>
      <w:sz w:val="32"/>
      <w:szCs w:val="21"/>
      <w:shd w:val="clear" w:color="auto" w:fill="FFFFFF"/>
    </w:rPr>
  </w:style>
  <w:style w:type="character" w:customStyle="1" w:styleId="temperaute1">
    <w:name w:val="temperaute1"/>
    <w:qFormat/>
    <w:rPr>
      <w:shd w:val="clear" w:color="auto" w:fill="FFFFFF"/>
    </w:rPr>
  </w:style>
  <w:style w:type="character" w:customStyle="1" w:styleId="font21">
    <w:name w:val="font21"/>
    <w:qFormat/>
    <w:rPr>
      <w:rFonts w:ascii="宋体" w:eastAsia="宋体" w:hAnsi="宋体" w:cs="宋体" w:hint="eastAsia"/>
      <w:color w:val="000000"/>
      <w:sz w:val="20"/>
      <w:szCs w:val="20"/>
      <w:u w:val="none"/>
      <w:shd w:val="clear" w:color="auto" w:fill="FFFFFF"/>
    </w:rPr>
  </w:style>
  <w:style w:type="character" w:customStyle="1" w:styleId="1Charf">
    <w:name w:val="华陆正文1 Char"/>
    <w:qFormat/>
    <w:rPr>
      <w:rFonts w:ascii="宋体" w:eastAsia="宋体" w:hAnsi="宋体" w:cs="Times New Roman" w:hint="eastAsia"/>
      <w:snapToGrid w:val="0"/>
      <w:color w:val="000000"/>
      <w:kern w:val="0"/>
      <w:szCs w:val="21"/>
      <w:shd w:val="clear" w:color="auto" w:fill="FFFFFF"/>
    </w:rPr>
  </w:style>
  <w:style w:type="character" w:customStyle="1" w:styleId="Char1fe">
    <w:name w:val="标题 Char1"/>
    <w:qFormat/>
    <w:rPr>
      <w:rFonts w:ascii="Cambria" w:eastAsia="宋体" w:hAnsi="Cambria" w:cs="Times New Roman"/>
      <w:b/>
      <w:bCs/>
      <w:sz w:val="32"/>
      <w:szCs w:val="32"/>
      <w:shd w:val="clear" w:color="auto" w:fill="FFFFFF"/>
    </w:rPr>
  </w:style>
  <w:style w:type="character" w:customStyle="1" w:styleId="Char1ff">
    <w:name w:val="项 Char1"/>
    <w:qFormat/>
    <w:rPr>
      <w:rFonts w:eastAsia="宋体"/>
      <w:b/>
      <w:sz w:val="24"/>
      <w:shd w:val="clear" w:color="auto" w:fill="FFFFFF"/>
      <w:lang w:val="en-US" w:eastAsia="zh-CN"/>
    </w:rPr>
  </w:style>
  <w:style w:type="character" w:customStyle="1" w:styleId="dandan6-13Char0">
    <w:name w:val="dandan6-13四级以下 Char"/>
    <w:qFormat/>
    <w:rPr>
      <w:rFonts w:ascii="Times New Roman" w:eastAsia="仿宋_GB2312" w:hAnsi="Times New Roman"/>
      <w:b/>
      <w:sz w:val="24"/>
      <w:szCs w:val="24"/>
      <w:shd w:val="clear" w:color="auto" w:fill="FFFFFF"/>
    </w:rPr>
  </w:style>
  <w:style w:type="character" w:customStyle="1" w:styleId="CharCharffe">
    <w:name w:val="项 Char Char"/>
    <w:uiPriority w:val="99"/>
    <w:qFormat/>
    <w:rPr>
      <w:rFonts w:eastAsia="宋体"/>
      <w:kern w:val="2"/>
      <w:sz w:val="24"/>
      <w:shd w:val="clear" w:color="auto" w:fill="FFFFFF"/>
      <w:lang w:val="en-US" w:eastAsia="zh-CN"/>
    </w:rPr>
  </w:style>
  <w:style w:type="character" w:customStyle="1" w:styleId="22Char3">
    <w:name w:val="样式 题注 + 首行缩进:  2 字符2 Char"/>
    <w:qFormat/>
    <w:rPr>
      <w:rFonts w:ascii="黑体" w:eastAsia="黑体" w:hAnsi="宋体"/>
      <w:kern w:val="2"/>
      <w:sz w:val="24"/>
      <w:shd w:val="clear" w:color="auto" w:fill="FFFFFF"/>
      <w:lang w:val="en-US" w:eastAsia="zh-CN" w:bidi="ar-SA"/>
    </w:rPr>
  </w:style>
  <w:style w:type="character" w:customStyle="1" w:styleId="unnamed11">
    <w:name w:val="unnamed11"/>
    <w:qFormat/>
    <w:rPr>
      <w:rFonts w:ascii="宋体" w:eastAsia="宋体" w:hAnsi="宋体" w:hint="eastAsia"/>
      <w:sz w:val="18"/>
      <w:szCs w:val="18"/>
      <w:shd w:val="clear" w:color="auto" w:fill="FFFFFF"/>
    </w:rPr>
  </w:style>
  <w:style w:type="character" w:customStyle="1" w:styleId="Char34">
    <w:name w:val="正文文本 Char3"/>
    <w:uiPriority w:val="99"/>
    <w:semiHidden/>
    <w:qFormat/>
    <w:rPr>
      <w:rFonts w:ascii="Times New Roman" w:eastAsia="宋体" w:hAnsi="Times New Roman" w:cs="Times New Roman"/>
      <w:szCs w:val="24"/>
      <w:shd w:val="clear" w:color="auto" w:fill="FFFFFF"/>
    </w:rPr>
  </w:style>
  <w:style w:type="character" w:customStyle="1" w:styleId="Charffffffffe">
    <w:name w:val="表正 Char"/>
    <w:qFormat/>
    <w:rPr>
      <w:rFonts w:eastAsia="宋体"/>
      <w:kern w:val="2"/>
      <w:sz w:val="21"/>
      <w:shd w:val="clear" w:color="auto" w:fill="FFFFFF"/>
      <w:lang w:val="en-US" w:eastAsia="zh-CN" w:bidi="ar-SA"/>
    </w:rPr>
  </w:style>
  <w:style w:type="character" w:customStyle="1" w:styleId="CharCharCharChar20">
    <w:name w:val="Char Char Char Char2"/>
    <w:qFormat/>
    <w:rPr>
      <w:rFonts w:eastAsia="宋体"/>
      <w:b/>
      <w:bCs/>
      <w:kern w:val="2"/>
      <w:sz w:val="24"/>
      <w:szCs w:val="32"/>
      <w:shd w:val="clear" w:color="auto" w:fill="FFFFFF"/>
      <w:lang w:val="en-US" w:eastAsia="zh-CN" w:bidi="ar-SA"/>
    </w:rPr>
  </w:style>
  <w:style w:type="character" w:customStyle="1" w:styleId="he31">
    <w:name w:val="he31"/>
    <w:qFormat/>
    <w:rPr>
      <w:rFonts w:ascii="ˎ̥" w:hAnsi="ˎ̥" w:hint="default"/>
      <w:color w:val="000000"/>
      <w:sz w:val="18"/>
      <w:szCs w:val="18"/>
      <w:u w:val="none"/>
      <w:shd w:val="clear" w:color="auto" w:fill="FFFFFF"/>
    </w:rPr>
  </w:style>
  <w:style w:type="character" w:customStyle="1" w:styleId="FontStyle328">
    <w:name w:val="Font Style328"/>
    <w:qFormat/>
    <w:rPr>
      <w:rFonts w:ascii="Georgia" w:hAnsi="Georgia" w:cs="Georgia"/>
      <w:b/>
      <w:bCs/>
      <w:spacing w:val="-20"/>
      <w:sz w:val="20"/>
      <w:szCs w:val="20"/>
      <w:shd w:val="clear" w:color="auto" w:fill="FFFFFF"/>
    </w:rPr>
  </w:style>
  <w:style w:type="character" w:customStyle="1" w:styleId="hangju1">
    <w:name w:val="hangju1"/>
    <w:qFormat/>
    <w:rPr>
      <w:spacing w:val="340"/>
      <w:shd w:val="clear" w:color="auto" w:fill="FFFFFF"/>
    </w:rPr>
  </w:style>
  <w:style w:type="character" w:customStyle="1" w:styleId="CharChar131">
    <w:name w:val="Char Char131"/>
    <w:qFormat/>
    <w:rPr>
      <w:rFonts w:eastAsia="宋体"/>
      <w:kern w:val="2"/>
      <w:sz w:val="18"/>
      <w:szCs w:val="18"/>
      <w:shd w:val="clear" w:color="auto" w:fill="FFFFFF"/>
      <w:lang w:val="en-US" w:eastAsia="zh-CN" w:bidi="ar-SA"/>
    </w:rPr>
  </w:style>
  <w:style w:type="character" w:customStyle="1" w:styleId="Char7">
    <w:name w:val="正文表格 Char"/>
    <w:link w:val="affffffb"/>
    <w:qFormat/>
    <w:locked/>
    <w:rPr>
      <w:sz w:val="28"/>
    </w:rPr>
  </w:style>
  <w:style w:type="character" w:customStyle="1" w:styleId="3Char20">
    <w:name w:val="正文文本缩进 3 Char2"/>
    <w:qFormat/>
    <w:rPr>
      <w:kern w:val="2"/>
      <w:sz w:val="16"/>
      <w:szCs w:val="16"/>
      <w:shd w:val="clear" w:color="auto" w:fill="FFFFFF"/>
    </w:rPr>
  </w:style>
  <w:style w:type="character" w:customStyle="1" w:styleId="1Charf0">
    <w:name w:val="样式1 Char"/>
    <w:qFormat/>
    <w:rPr>
      <w:rFonts w:eastAsia="华文中宋" w:hAnsi="华文中宋"/>
      <w:b/>
      <w:bCs/>
      <w:spacing w:val="2"/>
      <w:kern w:val="44"/>
      <w:sz w:val="28"/>
      <w:szCs w:val="28"/>
      <w:shd w:val="clear" w:color="auto" w:fill="FFFFFF"/>
    </w:rPr>
  </w:style>
  <w:style w:type="character" w:customStyle="1" w:styleId="2ffffffe">
    <w:name w:val="纯文本 字符2"/>
    <w:qFormat/>
    <w:rPr>
      <w:rFonts w:ascii="宋体" w:eastAsia="宋体" w:hAnsi="Courier New" w:cs="Courier New"/>
      <w:szCs w:val="21"/>
      <w:shd w:val="clear" w:color="auto" w:fill="FFFFFF"/>
    </w:rPr>
  </w:style>
  <w:style w:type="character" w:customStyle="1" w:styleId="style510">
    <w:name w:val="style51"/>
    <w:qFormat/>
    <w:rPr>
      <w:sz w:val="21"/>
      <w:szCs w:val="21"/>
      <w:shd w:val="clear" w:color="auto" w:fill="FFFFFF"/>
    </w:rPr>
  </w:style>
  <w:style w:type="character" w:customStyle="1" w:styleId="2Char12">
    <w:name w:val="正文文本缩进 2 Char1"/>
    <w:qFormat/>
    <w:rPr>
      <w:rFonts w:ascii="Times New Roman" w:eastAsia="宋体" w:hAnsi="Times New Roman" w:cs="Times New Roman" w:hint="default"/>
      <w:szCs w:val="24"/>
      <w:shd w:val="clear" w:color="auto" w:fill="FFFFFF"/>
    </w:rPr>
  </w:style>
  <w:style w:type="character" w:customStyle="1" w:styleId="CharCharChar4">
    <w:name w:val="标准 Char Char Char"/>
    <w:link w:val="CharCharf2"/>
    <w:qFormat/>
    <w:rPr>
      <w:spacing w:val="-2"/>
      <w:sz w:val="28"/>
    </w:rPr>
  </w:style>
  <w:style w:type="character" w:customStyle="1" w:styleId="googqs-tidbitgoogqs-tidbit-1">
    <w:name w:val="goog_qs-tidbit goog_qs-tidbit-1"/>
    <w:qFormat/>
    <w:rPr>
      <w:shd w:val="clear" w:color="auto" w:fill="FFFFFF"/>
    </w:rPr>
  </w:style>
  <w:style w:type="character" w:customStyle="1" w:styleId="22f3">
    <w:name w:val="标题 2 字符2"/>
    <w:qFormat/>
    <w:rPr>
      <w:rFonts w:ascii="Times New Roman" w:eastAsia="楷体_GB2312" w:hAnsi="Times New Roman"/>
      <w:b/>
      <w:bCs/>
      <w:smallCaps/>
      <w:sz w:val="36"/>
      <w:szCs w:val="28"/>
      <w:shd w:val="clear" w:color="auto" w:fill="FFFFFF"/>
    </w:rPr>
  </w:style>
  <w:style w:type="character" w:customStyle="1" w:styleId="22f4">
    <w:name w:val="正文文本缩进 2 字符2"/>
    <w:qFormat/>
    <w:rPr>
      <w:rFonts w:ascii="宋体" w:eastAsia="宋体" w:hAnsi="Times New Roman" w:cs="Times New Roman"/>
      <w:spacing w:val="-2"/>
      <w:kern w:val="0"/>
      <w:sz w:val="28"/>
      <w:szCs w:val="28"/>
      <w:shd w:val="clear" w:color="auto" w:fill="FFFFFF"/>
      <w:lang w:val="zh-CN"/>
    </w:rPr>
  </w:style>
  <w:style w:type="character" w:customStyle="1" w:styleId="1Charf1">
    <w:name w:val="顶格 样式1 Char"/>
    <w:qFormat/>
    <w:rPr>
      <w:rFonts w:ascii="宋体" w:hAnsi="宋体"/>
      <w:szCs w:val="24"/>
      <w:shd w:val="clear" w:color="auto" w:fill="FFFFFF"/>
    </w:rPr>
  </w:style>
  <w:style w:type="character" w:customStyle="1" w:styleId="Char27">
    <w:name w:val="批注文字 Char2"/>
    <w:qFormat/>
    <w:rPr>
      <w:shd w:val="clear" w:color="auto" w:fill="FFFFFF"/>
    </w:rPr>
  </w:style>
  <w:style w:type="character" w:customStyle="1" w:styleId="01Char2">
    <w:name w:val="01 Char"/>
    <w:qFormat/>
    <w:rPr>
      <w:rFonts w:ascii="Times New Roman" w:hAnsi="Times New Roman"/>
      <w:sz w:val="24"/>
      <w:szCs w:val="24"/>
      <w:shd w:val="clear" w:color="auto" w:fill="FFFFFF"/>
    </w:rPr>
  </w:style>
  <w:style w:type="character" w:customStyle="1" w:styleId="title41">
    <w:name w:val="title41"/>
    <w:qFormat/>
    <w:rPr>
      <w:rFonts w:ascii="宋体" w:eastAsia="宋体" w:hAnsi="宋体" w:hint="eastAsia"/>
      <w:color w:val="FF6600"/>
      <w:sz w:val="36"/>
      <w:szCs w:val="36"/>
      <w:shd w:val="clear" w:color="auto" w:fill="FFFFFF"/>
    </w:rPr>
  </w:style>
  <w:style w:type="character" w:customStyle="1" w:styleId="first-child">
    <w:name w:val="first-child"/>
    <w:qFormat/>
    <w:rPr>
      <w:color w:val="DF1C00"/>
    </w:rPr>
  </w:style>
  <w:style w:type="character" w:customStyle="1" w:styleId="7Char2">
    <w:name w:val="标题 7 表 Char"/>
    <w:uiPriority w:val="99"/>
    <w:qFormat/>
    <w:rPr>
      <w:rFonts w:eastAsia="宋体"/>
      <w:kern w:val="2"/>
      <w:sz w:val="24"/>
      <w:shd w:val="clear" w:color="auto" w:fill="FFFFFF"/>
      <w:lang w:val="en-US" w:eastAsia="zh-CN"/>
    </w:rPr>
  </w:style>
  <w:style w:type="character" w:customStyle="1" w:styleId="CharCharCharc">
    <w:name w:val="正文文本 Char Char Char"/>
    <w:qFormat/>
    <w:locked/>
    <w:rPr>
      <w:rFonts w:eastAsia="宋体"/>
      <w:kern w:val="2"/>
      <w:sz w:val="21"/>
      <w:szCs w:val="24"/>
      <w:shd w:val="clear" w:color="auto" w:fill="FFFFFF"/>
      <w:lang w:val="en-US" w:eastAsia="zh-CN" w:bidi="ar-SA"/>
    </w:rPr>
  </w:style>
  <w:style w:type="character" w:customStyle="1" w:styleId="afffffffffffffffffffffffffffffffffffffff7">
    <w:name w:val="篇号"/>
    <w:qFormat/>
    <w:rPr>
      <w:rFonts w:eastAsia="黑体"/>
      <w:sz w:val="32"/>
      <w:shd w:val="clear" w:color="auto" w:fill="FFFFFF"/>
    </w:rPr>
  </w:style>
  <w:style w:type="character" w:customStyle="1" w:styleId="large1">
    <w:name w:val="large1"/>
    <w:qFormat/>
    <w:rPr>
      <w:rFonts w:ascii="宋体" w:eastAsia="宋体" w:hAnsi="宋体" w:hint="eastAsia"/>
      <w:color w:val="000000"/>
      <w:kern w:val="2"/>
      <w:sz w:val="22"/>
      <w:szCs w:val="22"/>
      <w:shd w:val="clear" w:color="auto" w:fill="FFFFFF"/>
      <w:lang w:val="en-US" w:eastAsia="zh-CN" w:bidi="ar-SA"/>
    </w:rPr>
  </w:style>
  <w:style w:type="character" w:customStyle="1" w:styleId="RCharChar">
    <w:name w:val="页眉R Char Char"/>
    <w:qFormat/>
    <w:rPr>
      <w:rFonts w:eastAsia="楷体_GB2312"/>
      <w:kern w:val="2"/>
      <w:sz w:val="18"/>
      <w:szCs w:val="18"/>
      <w:shd w:val="clear" w:color="auto" w:fill="FFFFFF"/>
      <w:lang w:val="en-US" w:eastAsia="zh-CN" w:bidi="ar-SA"/>
    </w:rPr>
  </w:style>
  <w:style w:type="character" w:customStyle="1" w:styleId="CharChar30">
    <w:name w:val="Char Char3"/>
    <w:qFormat/>
    <w:rPr>
      <w:rFonts w:ascii="Arial" w:eastAsia="黑体" w:hAnsi="Arial" w:cs="Arial" w:hint="default"/>
      <w:b/>
      <w:kern w:val="2"/>
      <w:sz w:val="32"/>
      <w:szCs w:val="32"/>
      <w:shd w:val="clear" w:color="auto" w:fill="FFFFFF"/>
      <w:lang w:val="en-US" w:eastAsia="zh-CN"/>
    </w:rPr>
  </w:style>
  <w:style w:type="character" w:customStyle="1" w:styleId="004CharChar">
    <w:name w:val="004 Char Char"/>
    <w:qFormat/>
    <w:rPr>
      <w:rFonts w:ascii="黑体" w:eastAsia="黑体"/>
      <w:kern w:val="2"/>
      <w:sz w:val="24"/>
      <w:shd w:val="clear" w:color="auto" w:fill="FFFFFF"/>
      <w:lang w:val="en-US" w:eastAsia="zh-CN" w:bidi="ar-SA"/>
    </w:rPr>
  </w:style>
  <w:style w:type="character" w:customStyle="1" w:styleId="620">
    <w:name w:val="标题 6 字符2"/>
    <w:uiPriority w:val="9"/>
    <w:qFormat/>
    <w:rPr>
      <w:rFonts w:ascii="Cambria" w:eastAsia="宋体" w:hAnsi="Cambria" w:cs="Times New Roman"/>
      <w:b/>
      <w:bCs/>
      <w:sz w:val="24"/>
      <w:szCs w:val="24"/>
      <w:shd w:val="clear" w:color="auto" w:fill="FFFFFF"/>
    </w:rPr>
  </w:style>
  <w:style w:type="character" w:customStyle="1" w:styleId="1Char6">
    <w:name w:val="1正文 Char"/>
    <w:link w:val="1ff0"/>
    <w:qFormat/>
    <w:rPr>
      <w:rFonts w:ascii="宋体"/>
      <w:color w:val="000000"/>
      <w:sz w:val="24"/>
    </w:rPr>
  </w:style>
  <w:style w:type="character" w:customStyle="1" w:styleId="Charfffffffff">
    <w:name w:val="图题 Char"/>
    <w:qFormat/>
    <w:rPr>
      <w:rFonts w:eastAsia="宋体"/>
      <w:b/>
      <w:sz w:val="21"/>
      <w:szCs w:val="24"/>
      <w:shd w:val="clear" w:color="auto" w:fill="FFFFFF"/>
      <w:lang w:val="zh-CN" w:eastAsia="zh-CN" w:bidi="ar-SA"/>
    </w:rPr>
  </w:style>
  <w:style w:type="character" w:customStyle="1" w:styleId="1CharCharChar4">
    <w:name w:val="1正文段落 Char Char Char"/>
    <w:qFormat/>
    <w:rPr>
      <w:rFonts w:ascii="宋体" w:eastAsia="宋体" w:hAnsi="宋体"/>
      <w:color w:val="1F497D"/>
      <w:spacing w:val="2"/>
      <w:kern w:val="0"/>
      <w:sz w:val="24"/>
      <w:shd w:val="clear" w:color="auto" w:fill="FFFFFF"/>
    </w:rPr>
  </w:style>
  <w:style w:type="character" w:customStyle="1" w:styleId="Charfffffffff0">
    <w:name w:val="无节款 Char"/>
    <w:uiPriority w:val="99"/>
    <w:qFormat/>
    <w:rPr>
      <w:rFonts w:eastAsia="宋体"/>
      <w:kern w:val="2"/>
      <w:sz w:val="24"/>
      <w:shd w:val="clear" w:color="auto" w:fill="FFFFFF"/>
      <w:lang w:val="en-US" w:eastAsia="zh-CN"/>
    </w:rPr>
  </w:style>
  <w:style w:type="character" w:customStyle="1" w:styleId="CharCharfff">
    <w:name w:val="实德题注 Char Char"/>
    <w:qFormat/>
    <w:rPr>
      <w:rFonts w:eastAsia="仿宋_GB2312" w:cs="Arial"/>
      <w:b/>
      <w:sz w:val="24"/>
      <w:szCs w:val="21"/>
      <w:shd w:val="clear" w:color="auto" w:fill="FFFFFF"/>
      <w:lang w:val="en-US" w:eastAsia="zh-CN" w:bidi="ar-SA"/>
    </w:rPr>
  </w:style>
  <w:style w:type="character" w:customStyle="1" w:styleId="CharChar40">
    <w:name w:val="Char Char4"/>
    <w:qFormat/>
    <w:rPr>
      <w:rFonts w:ascii="宋体" w:eastAsia="宋体" w:hAnsi="宋体"/>
      <w:sz w:val="24"/>
      <w:shd w:val="clear" w:color="auto" w:fill="FFFFFF"/>
      <w:lang w:val="en-US" w:eastAsia="zh-CN" w:bidi="ar-SA"/>
    </w:rPr>
  </w:style>
  <w:style w:type="character" w:customStyle="1" w:styleId="11f0">
    <w:name w:val="标题 1 字符1"/>
    <w:uiPriority w:val="9"/>
    <w:qFormat/>
    <w:rPr>
      <w:rFonts w:ascii="Calibri" w:eastAsia="宋体" w:hAnsi="Calibri"/>
      <w:b/>
      <w:bCs/>
      <w:kern w:val="44"/>
      <w:sz w:val="44"/>
      <w:szCs w:val="44"/>
      <w:shd w:val="clear" w:color="auto" w:fill="FFFFFF"/>
    </w:rPr>
  </w:style>
  <w:style w:type="character" w:customStyle="1" w:styleId="2Charf3">
    <w:name w:val="标题2 Char"/>
    <w:qFormat/>
    <w:rPr>
      <w:rFonts w:eastAsia="黑体"/>
      <w:color w:val="000000"/>
      <w:spacing w:val="20"/>
      <w:kern w:val="44"/>
      <w:sz w:val="28"/>
      <w:szCs w:val="21"/>
      <w:shd w:val="clear" w:color="auto" w:fill="FFFFFF"/>
      <w:lang w:val="en-US" w:eastAsia="zh-CN" w:bidi="ar-SA"/>
    </w:rPr>
  </w:style>
  <w:style w:type="character" w:customStyle="1" w:styleId="CharCharCharCharCharCharChar2CharChar">
    <w:name w:val="普通文字 Char Char Char Char Char Char Char2 Char Char"/>
    <w:semiHidden/>
    <w:qFormat/>
    <w:rPr>
      <w:rFonts w:ascii="宋体" w:eastAsia="宋体" w:hAnsi="Courier New"/>
      <w:kern w:val="2"/>
      <w:sz w:val="21"/>
      <w:shd w:val="clear" w:color="auto" w:fill="FFFFFF"/>
      <w:lang w:val="en-US" w:eastAsia="zh-CN" w:bidi="ar-SA"/>
    </w:rPr>
  </w:style>
  <w:style w:type="character" w:customStyle="1" w:styleId="CharChar19">
    <w:name w:val="Char Char19"/>
    <w:qFormat/>
    <w:rPr>
      <w:rFonts w:ascii="Times New Roman" w:hAnsi="Times New Roman"/>
      <w:b/>
      <w:bCs/>
      <w:iCs/>
      <w:sz w:val="28"/>
      <w:szCs w:val="28"/>
      <w:shd w:val="clear" w:color="auto" w:fill="FFFFFF"/>
      <w:lang w:bidi="en-US"/>
    </w:rPr>
  </w:style>
  <w:style w:type="character" w:customStyle="1" w:styleId="Charfffffffff1">
    <w:name w:val="Char"/>
    <w:qFormat/>
    <w:rPr>
      <w:rFonts w:ascii="黑体" w:eastAsia="黑体"/>
      <w:kern w:val="44"/>
      <w:sz w:val="44"/>
      <w:shd w:val="clear" w:color="auto" w:fill="FFFFFF"/>
      <w:lang w:val="en-US" w:eastAsia="zh-CN" w:bidi="ar-SA"/>
    </w:rPr>
  </w:style>
  <w:style w:type="character" w:customStyle="1" w:styleId="5Char7">
    <w:name w:val="表内宋5中 Char"/>
    <w:uiPriority w:val="99"/>
    <w:qFormat/>
    <w:locked/>
    <w:rPr>
      <w:rFonts w:ascii="Times New Roman" w:hAnsi="Times New Roman"/>
      <w:color w:val="000000"/>
      <w:szCs w:val="21"/>
      <w:shd w:val="clear" w:color="auto" w:fill="FFFFFF"/>
      <w:lang w:val="en-US" w:eastAsia="zh-CN"/>
    </w:rPr>
  </w:style>
  <w:style w:type="character" w:customStyle="1" w:styleId="-2Char0">
    <w:name w:val="标题-2 Char"/>
    <w:qFormat/>
    <w:rPr>
      <w:rFonts w:ascii="Times New Roman" w:eastAsia="仿宋_GB2312" w:hAnsi="Times New Roman"/>
      <w:b/>
      <w:bCs/>
      <w:sz w:val="32"/>
      <w:szCs w:val="32"/>
      <w:shd w:val="clear" w:color="auto" w:fill="FFFFFF"/>
    </w:rPr>
  </w:style>
  <w:style w:type="character" w:customStyle="1" w:styleId="d11">
    <w:name w:val="d11"/>
    <w:semiHidden/>
    <w:qFormat/>
    <w:rPr>
      <w:spacing w:val="400"/>
      <w:sz w:val="20"/>
      <w:szCs w:val="20"/>
      <w:shd w:val="clear" w:color="auto" w:fill="FFFFFF"/>
    </w:rPr>
  </w:style>
  <w:style w:type="character" w:customStyle="1" w:styleId="Char1ff0">
    <w:name w:val="图表名 Char1"/>
    <w:qFormat/>
    <w:rPr>
      <w:rFonts w:eastAsia="黑体"/>
      <w:sz w:val="28"/>
      <w:szCs w:val="28"/>
      <w:shd w:val="clear" w:color="auto" w:fill="FFFFFF"/>
      <w:lang w:val="en-US" w:eastAsia="zh-CN" w:bidi="ar-SA"/>
    </w:rPr>
  </w:style>
  <w:style w:type="character" w:customStyle="1" w:styleId="Charfffffffff2">
    <w:name w:val="报告表格 Char"/>
    <w:qFormat/>
    <w:rPr>
      <w:shd w:val="clear" w:color="auto" w:fill="FFFFFF"/>
    </w:rPr>
  </w:style>
  <w:style w:type="character" w:customStyle="1" w:styleId="f241">
    <w:name w:val="f241"/>
    <w:qFormat/>
    <w:rPr>
      <w:sz w:val="36"/>
      <w:szCs w:val="36"/>
      <w:shd w:val="clear" w:color="auto" w:fill="FFFFFF"/>
    </w:rPr>
  </w:style>
  <w:style w:type="character" w:customStyle="1" w:styleId="mytext1">
    <w:name w:val="mytext1"/>
    <w:qFormat/>
    <w:rPr>
      <w:shd w:val="clear" w:color="auto" w:fill="FFFFFF"/>
    </w:rPr>
  </w:style>
  <w:style w:type="character" w:customStyle="1" w:styleId="Charffff4">
    <w:name w:val="茂名 正文 Char"/>
    <w:link w:val="affffffffffffff5"/>
    <w:qFormat/>
    <w:rPr>
      <w:rFonts w:ascii="Symbol" w:eastAsia="微软雅黑" w:hAnsi="Symbol"/>
      <w:szCs w:val="21"/>
    </w:rPr>
  </w:style>
  <w:style w:type="character" w:customStyle="1" w:styleId="hangju">
    <w:name w:val="hangju"/>
    <w:qFormat/>
    <w:rPr>
      <w:shd w:val="clear" w:color="auto" w:fill="FFFFFF"/>
    </w:rPr>
  </w:style>
  <w:style w:type="character" w:customStyle="1" w:styleId="docpro">
    <w:name w:val="docpro"/>
    <w:qFormat/>
    <w:rPr>
      <w:shd w:val="clear" w:color="auto" w:fill="FFFFFF"/>
    </w:rPr>
  </w:style>
  <w:style w:type="character" w:customStyle="1" w:styleId="evenCharChar">
    <w:name w:val="even Char Char"/>
    <w:qFormat/>
    <w:rPr>
      <w:rFonts w:eastAsia="宋体"/>
      <w:kern w:val="2"/>
      <w:sz w:val="18"/>
      <w:szCs w:val="18"/>
      <w:shd w:val="clear" w:color="auto" w:fill="FFFFFF"/>
      <w:lang w:val="en-US" w:eastAsia="zh-CN" w:bidi="ar-SA"/>
    </w:rPr>
  </w:style>
  <w:style w:type="character" w:customStyle="1" w:styleId="javascript">
    <w:name w:val="javascript"/>
    <w:qFormat/>
    <w:rPr>
      <w:shd w:val="clear" w:color="auto" w:fill="FFFFFF"/>
    </w:rPr>
  </w:style>
  <w:style w:type="character" w:customStyle="1" w:styleId="FontStyle302">
    <w:name w:val="Font Style302"/>
    <w:qFormat/>
    <w:rPr>
      <w:rFonts w:ascii="宋体" w:eastAsia="宋体" w:cs="宋体"/>
      <w:sz w:val="20"/>
      <w:szCs w:val="20"/>
      <w:shd w:val="clear" w:color="auto" w:fill="FFFFFF"/>
    </w:rPr>
  </w:style>
  <w:style w:type="character" w:customStyle="1" w:styleId="1ffffffe">
    <w:name w:val="正文缩进 字符1"/>
    <w:qFormat/>
    <w:rPr>
      <w:rFonts w:ascii="Arial" w:eastAsia="宋体" w:hAnsi="Arial" w:cs="Times New Roman"/>
      <w:sz w:val="24"/>
      <w:szCs w:val="24"/>
      <w:shd w:val="clear" w:color="auto" w:fill="FFFFFF"/>
    </w:rPr>
  </w:style>
  <w:style w:type="character" w:customStyle="1" w:styleId="FontStyle336">
    <w:name w:val="Font Style336"/>
    <w:qFormat/>
    <w:rPr>
      <w:rFonts w:ascii="宋体" w:eastAsia="宋体" w:cs="宋体"/>
      <w:sz w:val="16"/>
      <w:szCs w:val="16"/>
      <w:shd w:val="clear" w:color="auto" w:fill="FFFFFF"/>
    </w:rPr>
  </w:style>
  <w:style w:type="character" w:customStyle="1" w:styleId="830">
    <w:name w:val="标题 8 字符3"/>
    <w:uiPriority w:val="9"/>
    <w:qFormat/>
    <w:rPr>
      <w:rFonts w:ascii="Cambria" w:eastAsia="宋体" w:hAnsi="Cambria" w:cs="Times New Roman"/>
      <w:sz w:val="24"/>
      <w:szCs w:val="24"/>
      <w:shd w:val="clear" w:color="auto" w:fill="FFFFFF"/>
    </w:rPr>
  </w:style>
  <w:style w:type="character" w:customStyle="1" w:styleId="CharCharChar12">
    <w:name w:val="右 Char Char Char1"/>
    <w:qFormat/>
    <w:rPr>
      <w:rFonts w:cs="Times New Roman"/>
      <w:kern w:val="2"/>
      <w:sz w:val="18"/>
      <w:szCs w:val="18"/>
      <w:shd w:val="clear" w:color="auto" w:fill="FFFFFF"/>
    </w:rPr>
  </w:style>
  <w:style w:type="character" w:customStyle="1" w:styleId="1111CharChar">
    <w:name w:val="正文样式1111 Char Char"/>
    <w:semiHidden/>
    <w:qFormat/>
    <w:rPr>
      <w:rFonts w:ascii="宋体" w:eastAsia="宋体" w:hAnsi="宋体"/>
      <w:color w:val="000000"/>
      <w:kern w:val="2"/>
      <w:sz w:val="24"/>
      <w:szCs w:val="24"/>
      <w:shd w:val="clear" w:color="auto" w:fill="FFFFFF"/>
      <w:lang w:val="en-US" w:eastAsia="zh-CN" w:bidi="ar-SA"/>
    </w:rPr>
  </w:style>
  <w:style w:type="character" w:customStyle="1" w:styleId="ReChar4">
    <w:name w:val="Re Char4"/>
    <w:qFormat/>
    <w:rPr>
      <w:rFonts w:eastAsia="宋体"/>
      <w:b/>
      <w:bCs/>
      <w:kern w:val="2"/>
      <w:sz w:val="32"/>
      <w:szCs w:val="32"/>
      <w:shd w:val="clear" w:color="auto" w:fill="FFFFFF"/>
      <w:lang w:val="en-US" w:eastAsia="zh-CN" w:bidi="ar-SA"/>
    </w:rPr>
  </w:style>
  <w:style w:type="character" w:customStyle="1" w:styleId="Charfffffffff3">
    <w:name w:val="表格编号 Char"/>
    <w:qFormat/>
    <w:rPr>
      <w:rFonts w:eastAsia="宋体"/>
      <w:color w:val="000000"/>
      <w:kern w:val="2"/>
      <w:sz w:val="21"/>
      <w:szCs w:val="21"/>
      <w:shd w:val="clear" w:color="auto" w:fill="FFFFFF"/>
      <w:lang w:val="en-US" w:eastAsia="zh-CN" w:bidi="ar-SA"/>
    </w:rPr>
  </w:style>
  <w:style w:type="character" w:customStyle="1" w:styleId="Char1ff1">
    <w:name w:val="款 Char1"/>
    <w:uiPriority w:val="99"/>
    <w:qFormat/>
    <w:rPr>
      <w:rFonts w:ascii="Arial" w:eastAsia="黑体" w:hAnsi="Arial"/>
      <w:kern w:val="2"/>
      <w:sz w:val="24"/>
      <w:shd w:val="clear" w:color="auto" w:fill="FFFFFF"/>
      <w:lang w:val="en-US" w:eastAsia="zh-CN"/>
    </w:rPr>
  </w:style>
  <w:style w:type="character" w:customStyle="1" w:styleId="-lsChar0">
    <w:name w:val="标题-ls Char"/>
    <w:qFormat/>
    <w:rPr>
      <w:rFonts w:ascii="黑体" w:eastAsia="黑体" w:cs="Times New Roman"/>
      <w:bCs/>
      <w:kern w:val="2"/>
      <w:sz w:val="28"/>
      <w:szCs w:val="28"/>
      <w:shd w:val="clear" w:color="auto" w:fill="FFFFFF"/>
      <w:lang w:val="en-US" w:eastAsia="zh-CN" w:bidi="ar-SA"/>
    </w:rPr>
  </w:style>
  <w:style w:type="character" w:customStyle="1" w:styleId="st1">
    <w:name w:val="st1"/>
    <w:qFormat/>
    <w:rPr>
      <w:shd w:val="clear" w:color="auto" w:fill="FFFFFF"/>
    </w:rPr>
  </w:style>
  <w:style w:type="character" w:customStyle="1" w:styleId="CharCharfff0">
    <w:name w:val="表格名称 Char Char"/>
    <w:qFormat/>
    <w:rPr>
      <w:rFonts w:ascii="Times New Roman" w:eastAsia="黑体" w:hAnsi="Times New Roman" w:cs="Times New Roman"/>
      <w:sz w:val="24"/>
      <w:szCs w:val="24"/>
      <w:shd w:val="clear" w:color="auto" w:fill="FFFFFF"/>
    </w:rPr>
  </w:style>
  <w:style w:type="character" w:customStyle="1" w:styleId="Charfffffffff4">
    <w:name w:val="公式说明 Char"/>
    <w:qFormat/>
    <w:locked/>
    <w:rPr>
      <w:rFonts w:eastAsia="仿宋_GB2312"/>
      <w:sz w:val="22"/>
      <w:shd w:val="clear" w:color="auto" w:fill="FFFFFF"/>
    </w:rPr>
  </w:style>
  <w:style w:type="character" w:customStyle="1" w:styleId="ReChar3">
    <w:name w:val="Re Char3"/>
    <w:qFormat/>
    <w:rPr>
      <w:rFonts w:eastAsia="宋体"/>
      <w:b/>
      <w:bCs/>
      <w:kern w:val="2"/>
      <w:sz w:val="32"/>
      <w:szCs w:val="32"/>
      <w:shd w:val="clear" w:color="auto" w:fill="FFFFFF"/>
      <w:lang w:val="en-US" w:eastAsia="zh-CN" w:bidi="ar-SA"/>
    </w:rPr>
  </w:style>
  <w:style w:type="character" w:customStyle="1" w:styleId="Char28">
    <w:name w:val="正文文本 Char2"/>
    <w:qFormat/>
    <w:rPr>
      <w:rFonts w:ascii="Times New Roman" w:eastAsia="宋体" w:hAnsi="Times New Roman" w:cs="Times New Roman"/>
      <w:szCs w:val="24"/>
      <w:shd w:val="clear" w:color="auto" w:fill="FFFFFF"/>
    </w:rPr>
  </w:style>
  <w:style w:type="character" w:customStyle="1" w:styleId="Charffff5">
    <w:name w:val="区分修改 Char"/>
    <w:link w:val="affffffffffffff6"/>
    <w:qFormat/>
    <w:rPr>
      <w:rFonts w:eastAsia="华文中宋"/>
      <w:snapToGrid w:val="0"/>
      <w:color w:val="000080"/>
      <w:sz w:val="24"/>
      <w:szCs w:val="24"/>
    </w:rPr>
  </w:style>
  <w:style w:type="character" w:customStyle="1" w:styleId="GB23123">
    <w:name w:val="样式 仿宋_GB2312 四号"/>
    <w:qFormat/>
    <w:rPr>
      <w:rFonts w:ascii="仿宋_GB2312" w:eastAsia="仿宋_GB2312" w:cs="Times New Roman"/>
      <w:sz w:val="28"/>
      <w:szCs w:val="28"/>
      <w:shd w:val="clear" w:color="auto" w:fill="FFFFFF"/>
    </w:rPr>
  </w:style>
  <w:style w:type="character" w:customStyle="1" w:styleId="512">
    <w:name w:val="标题 5 字符1"/>
    <w:uiPriority w:val="9"/>
    <w:qFormat/>
    <w:rPr>
      <w:b/>
      <w:bCs/>
      <w:sz w:val="28"/>
      <w:szCs w:val="28"/>
      <w:shd w:val="clear" w:color="auto" w:fill="FFFFFF"/>
    </w:rPr>
  </w:style>
  <w:style w:type="character" w:customStyle="1" w:styleId="CharChar132">
    <w:name w:val="Char Char132"/>
    <w:qFormat/>
    <w:rPr>
      <w:rFonts w:eastAsia="宋体"/>
      <w:kern w:val="2"/>
      <w:sz w:val="18"/>
      <w:szCs w:val="18"/>
      <w:shd w:val="clear" w:color="auto" w:fill="FFFFFF"/>
      <w:lang w:val="en-US" w:eastAsia="zh-CN" w:bidi="ar-SA"/>
    </w:rPr>
  </w:style>
  <w:style w:type="character" w:customStyle="1" w:styleId="afffffffffffffffffffffffffffffffffffffff8">
    <w:name w:val="默认"/>
    <w:qFormat/>
    <w:rPr>
      <w:shd w:val="clear" w:color="auto" w:fill="FFFFFF"/>
    </w:rPr>
  </w:style>
  <w:style w:type="character" w:customStyle="1" w:styleId="Charfffffffff5">
    <w:name w:val="表头标题 Char"/>
    <w:qFormat/>
    <w:rPr>
      <w:rFonts w:ascii="黑体" w:eastAsia="黑体" w:cs="Times New Roman"/>
      <w:b/>
      <w:bCs/>
      <w:spacing w:val="8"/>
      <w:kern w:val="2"/>
      <w:sz w:val="24"/>
      <w:szCs w:val="24"/>
      <w:shd w:val="clear" w:color="auto" w:fill="FFFFFF"/>
      <w:lang w:val="zh-CN" w:eastAsia="zh-CN" w:bidi="ar-SA"/>
    </w:rPr>
  </w:style>
  <w:style w:type="character" w:customStyle="1" w:styleId="CharCharfff1">
    <w:name w:val="报告正文 Char Char"/>
    <w:qFormat/>
    <w:locked/>
    <w:rPr>
      <w:rFonts w:ascii="Times New Roman" w:eastAsia="宋体" w:hAnsi="Times New Roman" w:cs="Times New Roman"/>
      <w:sz w:val="24"/>
      <w:szCs w:val="24"/>
      <w:shd w:val="clear" w:color="auto" w:fill="FFFFFF"/>
    </w:rPr>
  </w:style>
  <w:style w:type="character" w:customStyle="1" w:styleId="t31">
    <w:name w:val="t31"/>
    <w:qFormat/>
    <w:rPr>
      <w:rFonts w:cs="Times New Roman"/>
      <w:color w:val="000000"/>
      <w:sz w:val="20"/>
      <w:szCs w:val="20"/>
      <w:shd w:val="clear" w:color="auto" w:fill="FFFFFF"/>
    </w:rPr>
  </w:style>
  <w:style w:type="character" w:customStyle="1" w:styleId="MTEquationSection">
    <w:name w:val="MTEquationSection"/>
    <w:qFormat/>
    <w:rPr>
      <w:vanish/>
      <w:color w:val="FF0000"/>
      <w:sz w:val="36"/>
      <w:shd w:val="clear" w:color="auto" w:fill="FFFFFF"/>
    </w:rPr>
  </w:style>
  <w:style w:type="character" w:customStyle="1" w:styleId="CharCharfff2">
    <w:name w:val="电脑标志 Char Char"/>
    <w:qFormat/>
    <w:rPr>
      <w:rFonts w:ascii="Arial" w:eastAsia="黑体" w:hAnsi="Arial"/>
      <w:b/>
      <w:bCs/>
      <w:kern w:val="2"/>
      <w:sz w:val="32"/>
      <w:szCs w:val="32"/>
      <w:shd w:val="clear" w:color="auto" w:fill="FFFFFF"/>
      <w:lang w:val="en-US" w:eastAsia="zh-CN" w:bidi="ar-SA"/>
    </w:rPr>
  </w:style>
  <w:style w:type="character" w:customStyle="1" w:styleId="Char1ff2">
    <w:name w:val="正文（首行缩进两字） Char1"/>
    <w:qFormat/>
    <w:rPr>
      <w:rFonts w:eastAsia="宋体" w:cs="Times New Roman"/>
      <w:shd w:val="clear" w:color="auto" w:fill="FFFFFF"/>
      <w:lang w:val="en-US" w:eastAsia="zh-CN" w:bidi="ar-SA"/>
    </w:rPr>
  </w:style>
  <w:style w:type="character" w:customStyle="1" w:styleId="Charffff6">
    <w:name w:val="表格头 Char"/>
    <w:link w:val="affffffffffffff7"/>
    <w:qFormat/>
    <w:rPr>
      <w:sz w:val="24"/>
    </w:rPr>
  </w:style>
  <w:style w:type="character" w:customStyle="1" w:styleId="Charffff7">
    <w:name w:val="【正文】 Char"/>
    <w:link w:val="affffffffffffff8"/>
    <w:qFormat/>
  </w:style>
  <w:style w:type="character" w:customStyle="1" w:styleId="nr1">
    <w:name w:val="nr1"/>
    <w:qFormat/>
    <w:rPr>
      <w:rFonts w:ascii="宋体" w:eastAsia="宋体" w:hAnsi="宋体" w:hint="eastAsia"/>
      <w:color w:val="000000"/>
      <w:spacing w:val="320"/>
      <w:sz w:val="22"/>
      <w:szCs w:val="22"/>
      <w:shd w:val="clear" w:color="auto" w:fill="FFFFFF"/>
    </w:rPr>
  </w:style>
  <w:style w:type="character" w:customStyle="1" w:styleId="1Char2">
    <w:name w:val="正文样式1 Char"/>
    <w:link w:val="1f0"/>
    <w:qFormat/>
    <w:rPr>
      <w:b/>
      <w:kern w:val="24"/>
      <w:sz w:val="24"/>
    </w:rPr>
  </w:style>
  <w:style w:type="character" w:customStyle="1" w:styleId="TimesNewRoman3">
    <w:name w:val="表格标题 + Times New Roman"/>
    <w:qFormat/>
    <w:rPr>
      <w:rFonts w:ascii="Times New Roman" w:eastAsia="Times New Roman" w:hAnsi="Times New Roman" w:cs="Times New Roman"/>
      <w:b/>
      <w:bCs/>
      <w:color w:val="000000"/>
      <w:spacing w:val="0"/>
      <w:w w:val="100"/>
      <w:position w:val="0"/>
      <w:sz w:val="21"/>
      <w:szCs w:val="21"/>
      <w:shd w:val="clear" w:color="auto" w:fill="FFFFFF"/>
      <w:lang w:val="zh-CN" w:bidi="ar-SA"/>
    </w:rPr>
  </w:style>
  <w:style w:type="character" w:customStyle="1" w:styleId="hottext">
    <w:name w:val="hottext"/>
    <w:qFormat/>
    <w:rPr>
      <w:shd w:val="clear" w:color="auto" w:fill="FFFFFF"/>
    </w:rPr>
  </w:style>
  <w:style w:type="character" w:customStyle="1" w:styleId="EmailStyle5431">
    <w:name w:val="EmailStyle5431"/>
    <w:qFormat/>
    <w:rPr>
      <w:rFonts w:ascii="Arial" w:eastAsia="宋体" w:hAnsi="Arial" w:cs="Arial"/>
      <w:color w:val="auto"/>
      <w:sz w:val="20"/>
      <w:shd w:val="clear" w:color="auto" w:fill="FFFFFF"/>
    </w:rPr>
  </w:style>
  <w:style w:type="character" w:customStyle="1" w:styleId="11Char3">
    <w:name w:val="1.1二级标题 Char"/>
    <w:qFormat/>
    <w:locked/>
    <w:rPr>
      <w:rFonts w:eastAsia="黑体"/>
      <w:b/>
      <w:sz w:val="30"/>
      <w:shd w:val="clear" w:color="auto" w:fill="FFFFFF"/>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eastAsia="宋体" w:cs="Times New Roman"/>
      <w:kern w:val="2"/>
      <w:sz w:val="24"/>
      <w:shd w:val="clear" w:color="auto" w:fill="FFFFFF"/>
      <w:lang w:val="en-US" w:eastAsia="zh-CN" w:bidi="ar-SA"/>
    </w:rPr>
  </w:style>
  <w:style w:type="character" w:customStyle="1" w:styleId="Charfffffffff6">
    <w:name w:val="表底说明 Char"/>
    <w:qFormat/>
    <w:locked/>
    <w:rPr>
      <w:sz w:val="24"/>
      <w:szCs w:val="24"/>
      <w:shd w:val="clear" w:color="auto" w:fill="FFFFFF"/>
    </w:rPr>
  </w:style>
  <w:style w:type="character" w:customStyle="1" w:styleId="1fffffff">
    <w:name w:val="明显强调1"/>
    <w:qFormat/>
    <w:rPr>
      <w:b/>
      <w:bCs/>
      <w:i/>
      <w:iCs/>
      <w:color w:val="4F81BD"/>
      <w:shd w:val="clear" w:color="auto" w:fill="FFFFFF"/>
    </w:rPr>
  </w:style>
  <w:style w:type="character" w:customStyle="1" w:styleId="Char52">
    <w:name w:val="项 Char5"/>
    <w:uiPriority w:val="99"/>
    <w:qFormat/>
    <w:rPr>
      <w:rFonts w:eastAsia="宋体"/>
      <w:kern w:val="2"/>
      <w:sz w:val="24"/>
      <w:shd w:val="clear" w:color="auto" w:fill="FFFFFF"/>
      <w:lang w:val="en-US" w:eastAsia="zh-CN"/>
    </w:rPr>
  </w:style>
  <w:style w:type="character" w:customStyle="1" w:styleId="22Char">
    <w:name w:val="标题22 Char"/>
    <w:link w:val="222"/>
    <w:qFormat/>
    <w:rPr>
      <w:b/>
      <w:sz w:val="24"/>
      <w:szCs w:val="21"/>
    </w:rPr>
  </w:style>
  <w:style w:type="character" w:customStyle="1" w:styleId="slink1">
    <w:name w:val="slink1"/>
    <w:qFormat/>
    <w:rPr>
      <w:rFonts w:ascii="??" w:hAnsi="??" w:cs="Times New Roman"/>
      <w:sz w:val="18"/>
      <w:szCs w:val="18"/>
      <w:u w:val="none"/>
      <w:shd w:val="clear" w:color="auto" w:fill="FFFFFF"/>
    </w:rPr>
  </w:style>
  <w:style w:type="character" w:customStyle="1" w:styleId="Charff5">
    <w:name w:val="表内文字 Char"/>
    <w:link w:val="affffffffffff2"/>
    <w:uiPriority w:val="99"/>
    <w:qFormat/>
    <w:locked/>
    <w:rPr>
      <w:color w:val="000000" w:themeColor="text1"/>
      <w:sz w:val="21"/>
      <w:szCs w:val="21"/>
    </w:rPr>
  </w:style>
  <w:style w:type="character" w:customStyle="1" w:styleId="21c">
    <w:name w:val="标题 21"/>
    <w:qFormat/>
    <w:rPr>
      <w:rFonts w:ascii="黑体" w:eastAsia="黑体" w:hAnsi="Arial"/>
      <w:kern w:val="2"/>
      <w:sz w:val="36"/>
      <w:szCs w:val="32"/>
      <w:shd w:val="clear" w:color="auto" w:fill="FFFFFF"/>
      <w:lang w:val="en-US" w:eastAsia="zh-CN" w:bidi="ar-SA"/>
    </w:rPr>
  </w:style>
  <w:style w:type="character" w:customStyle="1" w:styleId="CharCharfff3">
    <w:name w:val="正文内容 Char Char"/>
    <w:qFormat/>
    <w:rPr>
      <w:rFonts w:ascii="宋体" w:hAnsi="宋体"/>
      <w:spacing w:val="4"/>
      <w:sz w:val="24"/>
      <w:shd w:val="clear" w:color="auto" w:fill="FFFFFF"/>
    </w:rPr>
  </w:style>
  <w:style w:type="character" w:customStyle="1" w:styleId="Char42">
    <w:name w:val="正文首行缩进 Char4"/>
    <w:uiPriority w:val="99"/>
    <w:qFormat/>
    <w:rPr>
      <w:shd w:val="clear" w:color="auto" w:fill="FFFFFF"/>
    </w:rPr>
  </w:style>
  <w:style w:type="character" w:customStyle="1" w:styleId="2ff2">
    <w:name w:val="标题 #2_"/>
    <w:link w:val="2ff1"/>
    <w:qFormat/>
    <w:rPr>
      <w:rFonts w:ascii="宋体" w:hAnsi="宋体"/>
      <w:sz w:val="30"/>
      <w:szCs w:val="30"/>
      <w:shd w:val="clear" w:color="auto" w:fill="FFFFFF"/>
    </w:rPr>
  </w:style>
  <w:style w:type="character" w:customStyle="1" w:styleId="Charffff8">
    <w:name w:val="何正文 Char"/>
    <w:link w:val="affffffffffffff9"/>
    <w:qFormat/>
    <w:rPr>
      <w:sz w:val="28"/>
      <w:szCs w:val="28"/>
    </w:rPr>
  </w:style>
  <w:style w:type="character" w:customStyle="1" w:styleId="Charfffffffff7">
    <w:name w:val="封面 Char"/>
    <w:qFormat/>
    <w:rPr>
      <w:rFonts w:ascii="仿宋" w:eastAsia="仿宋" w:hAnsi="仿宋"/>
      <w:b/>
      <w:sz w:val="52"/>
      <w:szCs w:val="52"/>
      <w:shd w:val="clear" w:color="auto" w:fill="FFFFFF"/>
    </w:rPr>
  </w:style>
  <w:style w:type="character" w:customStyle="1" w:styleId="Charfe">
    <w:name w:val="无间隔 Char"/>
    <w:link w:val="1f4"/>
    <w:qFormat/>
    <w:rPr>
      <w:rFonts w:eastAsia="黑体"/>
      <w:b/>
      <w:bCs/>
      <w:kern w:val="2"/>
      <w:sz w:val="24"/>
      <w:szCs w:val="24"/>
    </w:rPr>
  </w:style>
  <w:style w:type="character" w:customStyle="1" w:styleId="style91">
    <w:name w:val="style91"/>
    <w:qFormat/>
    <w:rPr>
      <w:b/>
      <w:bCs/>
      <w:color w:val="333333"/>
      <w:sz w:val="19"/>
      <w:szCs w:val="19"/>
      <w:shd w:val="clear" w:color="auto" w:fill="FFFFFF"/>
    </w:rPr>
  </w:style>
  <w:style w:type="character" w:customStyle="1" w:styleId="5CharChar10">
    <w:name w:val="页眉小5号 Char Char1"/>
    <w:qFormat/>
    <w:rPr>
      <w:rFonts w:eastAsia="宋体"/>
      <w:kern w:val="2"/>
      <w:sz w:val="18"/>
      <w:szCs w:val="18"/>
      <w:shd w:val="clear" w:color="auto" w:fill="FFFFFF"/>
      <w:lang w:val="en-US" w:eastAsia="zh-CN" w:bidi="ar-SA"/>
    </w:rPr>
  </w:style>
  <w:style w:type="character" w:customStyle="1" w:styleId="CharChar29">
    <w:name w:val="Char Char29"/>
    <w:qFormat/>
    <w:rPr>
      <w:rFonts w:ascii="Times New Roman" w:eastAsia="宋体" w:hAnsi="Times New Roman" w:cs="Times New Roman"/>
      <w:szCs w:val="24"/>
      <w:shd w:val="clear" w:color="auto" w:fill="000080"/>
    </w:rPr>
  </w:style>
  <w:style w:type="character" w:customStyle="1" w:styleId="26CharCharCharCharChar">
    <w:name w:val="样式 (符号) 宋体 小四 行距: 固定值 26 磅 Char Char Char Char Char"/>
    <w:qFormat/>
    <w:rPr>
      <w:rFonts w:ascii="宋体" w:eastAsia="宋体" w:hAnsi="宋体" w:cs="宋体"/>
      <w:color w:val="000000"/>
      <w:kern w:val="0"/>
      <w:sz w:val="28"/>
      <w:szCs w:val="28"/>
      <w:shd w:val="clear" w:color="auto" w:fill="FFFFFF"/>
    </w:rPr>
  </w:style>
  <w:style w:type="character" w:customStyle="1" w:styleId="about-left1">
    <w:name w:val="about-left1"/>
    <w:qFormat/>
    <w:rPr>
      <w:rFonts w:cs="Times New Roman"/>
      <w:color w:val="3A3A3A"/>
      <w:spacing w:val="15"/>
      <w:sz w:val="18"/>
      <w:szCs w:val="18"/>
      <w:u w:val="none"/>
      <w:shd w:val="clear" w:color="auto" w:fill="FFFFFF"/>
    </w:rPr>
  </w:style>
  <w:style w:type="character" w:customStyle="1" w:styleId="2CharChar4">
    <w:name w:val="正文文字 2 Char Char"/>
    <w:qFormat/>
    <w:rPr>
      <w:rFonts w:cs="Times New Roman"/>
      <w:kern w:val="2"/>
      <w:sz w:val="24"/>
      <w:szCs w:val="24"/>
      <w:shd w:val="clear" w:color="auto" w:fill="FFFFFF"/>
    </w:rPr>
  </w:style>
  <w:style w:type="character" w:customStyle="1" w:styleId="CharCharChard">
    <w:name w:val="正文(首行缩进)宋旭峰 Char Char Char"/>
    <w:qFormat/>
    <w:rPr>
      <w:rFonts w:eastAsia="宋体" w:cs="TimesNewRomanPSMT"/>
      <w:sz w:val="24"/>
      <w:szCs w:val="24"/>
      <w:shd w:val="clear" w:color="auto" w:fill="FFFFFF"/>
      <w:lang w:val="en-US" w:eastAsia="zh-CN" w:bidi="ar-SA"/>
    </w:rPr>
  </w:style>
  <w:style w:type="character" w:customStyle="1" w:styleId="5ff6">
    <w:name w:val="批注文字 字符5"/>
    <w:uiPriority w:val="99"/>
    <w:qFormat/>
    <w:rPr>
      <w:shd w:val="clear" w:color="auto" w:fill="FFFFFF"/>
    </w:rPr>
  </w:style>
  <w:style w:type="character" w:customStyle="1" w:styleId="Char29">
    <w:name w:val="明显引用 Char2"/>
    <w:uiPriority w:val="99"/>
    <w:qFormat/>
    <w:rPr>
      <w:b/>
      <w:bCs/>
      <w:i/>
      <w:iCs/>
      <w:color w:val="4F81BD"/>
      <w:kern w:val="2"/>
      <w:sz w:val="21"/>
      <w:szCs w:val="24"/>
      <w:shd w:val="clear" w:color="auto" w:fill="FFFFFF"/>
    </w:rPr>
  </w:style>
  <w:style w:type="character" w:customStyle="1" w:styleId="Charfffffffff8">
    <w:name w:val="正文部分 Char"/>
    <w:qFormat/>
    <w:rPr>
      <w:rFonts w:ascii="宋体" w:eastAsia="宋体" w:hAnsi="宋体" w:cs="宋体"/>
      <w:bCs/>
      <w:sz w:val="28"/>
      <w:szCs w:val="32"/>
      <w:shd w:val="clear" w:color="auto" w:fill="FFFFFF"/>
      <w:lang w:val="en-US" w:eastAsia="zh-CN" w:bidi="ar-SA"/>
    </w:rPr>
  </w:style>
  <w:style w:type="character" w:customStyle="1" w:styleId="predbold1">
    <w:name w:val="p_red_bold1"/>
    <w:qFormat/>
    <w:rPr>
      <w:b/>
      <w:bCs/>
      <w:color w:val="FF3333"/>
      <w:shd w:val="clear" w:color="auto" w:fill="FFFFFF"/>
    </w:rPr>
  </w:style>
  <w:style w:type="character" w:customStyle="1" w:styleId="Charfffffffff9">
    <w:name w:val="正文(首行缩进)宋旭峰 Char"/>
    <w:qFormat/>
    <w:rPr>
      <w:rFonts w:ascii="宋体" w:eastAsia="宋体" w:cs="TimesNewRomanPSMT"/>
      <w:spacing w:val="8"/>
      <w:kern w:val="2"/>
      <w:sz w:val="24"/>
      <w:szCs w:val="24"/>
      <w:shd w:val="clear" w:color="auto" w:fill="FFFFFF"/>
      <w:lang w:val="en-US" w:eastAsia="zh-CN" w:bidi="ar-SA"/>
    </w:rPr>
  </w:style>
  <w:style w:type="character" w:customStyle="1" w:styleId="afffffffffffffffffffffffffffffffffffffff9">
    <w:name w:val="样式 宋体 三号"/>
    <w:qFormat/>
    <w:rPr>
      <w:rFonts w:ascii="宋体" w:hAnsi="宋体"/>
      <w:sz w:val="24"/>
      <w:shd w:val="clear" w:color="auto" w:fill="FFFFFF"/>
    </w:rPr>
  </w:style>
  <w:style w:type="character" w:customStyle="1" w:styleId="Charffff9">
    <w:name w:val="格式表 Char"/>
    <w:link w:val="affffffffffffffa"/>
    <w:uiPriority w:val="99"/>
    <w:qFormat/>
    <w:locked/>
    <w:rPr>
      <w:rFonts w:ascii="宋体" w:hAnsi="宋体"/>
      <w:lang w:val="zh-CN"/>
    </w:rPr>
  </w:style>
  <w:style w:type="character" w:customStyle="1" w:styleId="cauc-0Char">
    <w:name w:val="cauc-0 Char"/>
    <w:qFormat/>
    <w:locked/>
    <w:rPr>
      <w:sz w:val="24"/>
      <w:szCs w:val="24"/>
      <w:shd w:val="clear" w:color="auto" w:fill="FFFFFF"/>
      <w:lang w:eastAsia="en-US"/>
    </w:rPr>
  </w:style>
  <w:style w:type="character" w:customStyle="1" w:styleId="112Char">
    <w:name w:val="1.1标题2 Char"/>
    <w:qFormat/>
    <w:rPr>
      <w:rFonts w:ascii="Arial" w:eastAsia="黑体" w:hAnsi="Arial"/>
      <w:bCs/>
      <w:kern w:val="2"/>
      <w:sz w:val="32"/>
      <w:szCs w:val="32"/>
      <w:shd w:val="clear" w:color="auto" w:fill="FFFFFF"/>
      <w:lang w:val="en-US" w:eastAsia="zh-CN" w:bidi="ar-SA"/>
    </w:rPr>
  </w:style>
  <w:style w:type="character" w:customStyle="1" w:styleId="10Char0">
    <w:name w:val="样式10 Char"/>
    <w:qFormat/>
    <w:rPr>
      <w:rFonts w:ascii="Times New Roman" w:eastAsia="宋体" w:hAnsi="Times New Roman" w:cs="Times New Roman"/>
      <w:sz w:val="24"/>
      <w:szCs w:val="20"/>
      <w:shd w:val="clear" w:color="auto" w:fill="FFFFFF"/>
    </w:rPr>
  </w:style>
  <w:style w:type="character" w:customStyle="1" w:styleId="CharCharChare">
    <w:name w:val="右 Char Char Char"/>
    <w:qFormat/>
    <w:rPr>
      <w:rFonts w:ascii="宋体" w:eastAsia="宋体" w:cs="Times New Roman"/>
      <w:kern w:val="2"/>
      <w:sz w:val="18"/>
      <w:shd w:val="clear" w:color="auto" w:fill="FFFFFF"/>
      <w:lang w:val="en-US" w:eastAsia="zh-CN" w:bidi="ar-SA"/>
    </w:rPr>
  </w:style>
  <w:style w:type="character" w:customStyle="1" w:styleId="big1">
    <w:name w:val="big1"/>
    <w:qFormat/>
    <w:rPr>
      <w:color w:val="CC0000"/>
      <w:sz w:val="22"/>
      <w:szCs w:val="22"/>
      <w:shd w:val="clear" w:color="auto" w:fill="FFFFFF"/>
    </w:rPr>
  </w:style>
  <w:style w:type="character" w:customStyle="1" w:styleId="FontStyle337">
    <w:name w:val="Font Style337"/>
    <w:qFormat/>
    <w:rPr>
      <w:rFonts w:ascii="宋体" w:eastAsia="宋体" w:cs="宋体"/>
      <w:sz w:val="22"/>
      <w:szCs w:val="22"/>
      <w:shd w:val="clear" w:color="auto" w:fill="FFFFFF"/>
    </w:rPr>
  </w:style>
  <w:style w:type="character" w:customStyle="1" w:styleId="224Char">
    <w:name w:val="样式 正文文字 + 首行缩进:  2 字符 行距: 最小值 24 磅 Char"/>
    <w:link w:val="224"/>
    <w:qFormat/>
    <w:rPr>
      <w:kern w:val="2"/>
      <w:sz w:val="24"/>
    </w:rPr>
  </w:style>
  <w:style w:type="character" w:customStyle="1" w:styleId="Lead-inEmphasis">
    <w:name w:val="Lead-in Emphasis"/>
    <w:qFormat/>
    <w:rPr>
      <w:b/>
      <w:i/>
      <w:shd w:val="clear" w:color="auto" w:fill="FFFFFF"/>
    </w:rPr>
  </w:style>
  <w:style w:type="character" w:customStyle="1" w:styleId="Char1ff3">
    <w:name w:val="信息标题 Char1"/>
    <w:qFormat/>
    <w:rPr>
      <w:rFonts w:ascii="Cambria" w:eastAsia="宋体" w:hAnsi="Cambria" w:cs="Times New Roman"/>
      <w:kern w:val="2"/>
      <w:sz w:val="24"/>
      <w:szCs w:val="24"/>
      <w:shd w:val="pct20" w:color="auto" w:fill="auto"/>
    </w:rPr>
  </w:style>
  <w:style w:type="character" w:customStyle="1" w:styleId="title13">
    <w:name w:val="title13"/>
    <w:qFormat/>
    <w:rPr>
      <w:shd w:val="clear" w:color="auto" w:fill="FFFFFF"/>
    </w:rPr>
  </w:style>
  <w:style w:type="character" w:customStyle="1" w:styleId="FontStyle373">
    <w:name w:val="Font Style373"/>
    <w:qFormat/>
    <w:rPr>
      <w:rFonts w:ascii="宋体" w:eastAsia="宋体" w:cs="宋体"/>
      <w:spacing w:val="-20"/>
      <w:sz w:val="18"/>
      <w:szCs w:val="18"/>
      <w:shd w:val="clear" w:color="auto" w:fill="FFFFFF"/>
    </w:rPr>
  </w:style>
  <w:style w:type="character" w:customStyle="1" w:styleId="10CharChar">
    <w:name w:val="样式10 Char Char"/>
    <w:qFormat/>
    <w:rPr>
      <w:rFonts w:ascii="Times New Roman" w:eastAsia="仿宋_GB2312" w:hAnsi="Times New Roman" w:cs="Times New Roman"/>
      <w:sz w:val="24"/>
      <w:szCs w:val="24"/>
      <w:shd w:val="clear" w:color="auto" w:fill="FFFFFF"/>
    </w:rPr>
  </w:style>
  <w:style w:type="character" w:customStyle="1" w:styleId="Char1CharCharCharCharCharCharChar">
    <w:name w:val="段落 Char1 Char Char Char Char Char Char Char"/>
    <w:qFormat/>
    <w:locked/>
    <w:rPr>
      <w:color w:val="000000"/>
      <w:kern w:val="24"/>
      <w:sz w:val="24"/>
      <w:szCs w:val="24"/>
      <w:shd w:val="clear" w:color="auto" w:fill="FFFFFF"/>
    </w:rPr>
  </w:style>
  <w:style w:type="character" w:customStyle="1" w:styleId="1Charf2">
    <w:name w:val="表格文字1 Char"/>
    <w:qFormat/>
    <w:rPr>
      <w:rFonts w:ascii="宋体" w:eastAsia="宋体" w:hAnsi="Courier New" w:cs="Courier New"/>
      <w:kern w:val="2"/>
      <w:sz w:val="21"/>
      <w:szCs w:val="21"/>
      <w:shd w:val="clear" w:color="auto" w:fill="FFFFFF"/>
      <w:lang w:val="en-US" w:eastAsia="zh-CN" w:bidi="ar-SA"/>
    </w:rPr>
  </w:style>
  <w:style w:type="character" w:customStyle="1" w:styleId="info">
    <w:name w:val="info"/>
    <w:basedOn w:val="a8"/>
    <w:qFormat/>
  </w:style>
  <w:style w:type="character" w:customStyle="1" w:styleId="CharChar28">
    <w:name w:val="Char Char28"/>
    <w:qFormat/>
    <w:rPr>
      <w:rFonts w:ascii="宋体" w:eastAsia="宋体" w:hAnsi="宋体" w:cs="Times New Roman"/>
      <w:sz w:val="24"/>
      <w:szCs w:val="20"/>
      <w:shd w:val="clear" w:color="auto" w:fill="FFFFFF"/>
    </w:rPr>
  </w:style>
  <w:style w:type="character" w:customStyle="1" w:styleId="tuChar1">
    <w:name w:val="tu Char1"/>
    <w:link w:val="tu"/>
    <w:qFormat/>
    <w:locked/>
    <w:rPr>
      <w:rFonts w:ascii="黑体" w:eastAsia="黑体"/>
      <w:b/>
      <w:bCs/>
      <w:szCs w:val="21"/>
    </w:rPr>
  </w:style>
  <w:style w:type="character" w:customStyle="1" w:styleId="1CharChar">
    <w:name w:val="（1）标题 Char Char"/>
    <w:link w:val="1ff1"/>
    <w:qFormat/>
    <w:locked/>
    <w:rPr>
      <w:sz w:val="28"/>
    </w:rPr>
  </w:style>
  <w:style w:type="character" w:customStyle="1" w:styleId="22Char0">
    <w:name w:val="样式 标题 2 + 首行缩进:  2 字符 Char"/>
    <w:link w:val="223"/>
    <w:qFormat/>
    <w:locked/>
    <w:rPr>
      <w:rFonts w:ascii="Arial" w:hAnsi="Arial"/>
      <w:b/>
      <w:bCs/>
      <w:kern w:val="2"/>
      <w:sz w:val="21"/>
    </w:rPr>
  </w:style>
  <w:style w:type="character" w:customStyle="1" w:styleId="EmailStyle19371">
    <w:name w:val="EmailStyle19371"/>
    <w:qFormat/>
    <w:rPr>
      <w:rFonts w:ascii="Arial" w:eastAsia="宋体" w:hAnsi="Arial" w:cs="Arial"/>
      <w:color w:val="auto"/>
      <w:sz w:val="20"/>
      <w:shd w:val="clear" w:color="auto" w:fill="FFFFFF"/>
    </w:rPr>
  </w:style>
  <w:style w:type="character" w:customStyle="1" w:styleId="Charffffa">
    <w:name w:val="图片样式 Char"/>
    <w:link w:val="affffffffffffffb"/>
    <w:qFormat/>
    <w:rPr>
      <w:sz w:val="24"/>
    </w:rPr>
  </w:style>
  <w:style w:type="character" w:customStyle="1" w:styleId="style12">
    <w:name w:val="style1"/>
    <w:qFormat/>
    <w:rPr>
      <w:shd w:val="clear" w:color="auto" w:fill="FFFFFF"/>
    </w:rPr>
  </w:style>
  <w:style w:type="character" w:customStyle="1" w:styleId="Ch">
    <w:name w:val="图标题 Ch"/>
    <w:qFormat/>
    <w:rPr>
      <w:rFonts w:eastAsia="宋体"/>
      <w:kern w:val="2"/>
      <w:sz w:val="21"/>
      <w:szCs w:val="24"/>
      <w:shd w:val="clear" w:color="auto" w:fill="FFFFFF"/>
      <w:lang w:val="en-US" w:eastAsia="zh-CN" w:bidi="ar-SA"/>
    </w:rPr>
  </w:style>
  <w:style w:type="character" w:customStyle="1" w:styleId="Char2a">
    <w:name w:val="表头 Char2"/>
    <w:qFormat/>
    <w:rPr>
      <w:rFonts w:eastAsia="华文中宋"/>
      <w:b/>
      <w:color w:val="000000"/>
      <w:sz w:val="21"/>
      <w:szCs w:val="21"/>
      <w:shd w:val="clear" w:color="auto" w:fill="FFFFFF"/>
    </w:rPr>
  </w:style>
  <w:style w:type="character" w:customStyle="1" w:styleId="zwb-Char">
    <w:name w:val="zwb-正文 Char"/>
    <w:uiPriority w:val="99"/>
    <w:qFormat/>
    <w:rPr>
      <w:rFonts w:ascii="Times New Roman" w:hAnsi="Times New Roman"/>
      <w:sz w:val="24"/>
      <w:szCs w:val="24"/>
      <w:shd w:val="clear" w:color="auto" w:fill="FFFFFF"/>
    </w:rPr>
  </w:style>
  <w:style w:type="character" w:customStyle="1" w:styleId="hb3Char">
    <w:name w:val="hb3 Char"/>
    <w:link w:val="hb3"/>
    <w:qFormat/>
    <w:rPr>
      <w:rFonts w:ascii="宋体" w:hAnsi="宋体"/>
      <w:b/>
      <w:bCs/>
      <w:sz w:val="24"/>
      <w:szCs w:val="32"/>
    </w:rPr>
  </w:style>
  <w:style w:type="character" w:customStyle="1" w:styleId="hxtj3">
    <w:name w:val="hxtj3"/>
    <w:qFormat/>
    <w:rPr>
      <w:color w:val="000000"/>
      <w:sz w:val="18"/>
      <w:szCs w:val="18"/>
      <w:u w:val="none"/>
      <w:shd w:val="clear" w:color="auto" w:fill="FFFFFF"/>
    </w:rPr>
  </w:style>
  <w:style w:type="character" w:customStyle="1" w:styleId="222GB2312Char">
    <w:name w:val="样式 样式 样式 样式 样式 样式 首行缩进:  2 字符 + 首行缩进:  2 字符2 + 仿宋_GB2312 + 首行缩进:... Char"/>
    <w:link w:val="222GB2312"/>
    <w:qFormat/>
    <w:rPr>
      <w:rFonts w:eastAsia="楷体_GB2312"/>
      <w:spacing w:val="12"/>
      <w:sz w:val="28"/>
      <w:szCs w:val="28"/>
    </w:rPr>
  </w:style>
  <w:style w:type="character" w:customStyle="1" w:styleId="2CharCharChar0">
    <w:name w:val="分目录2 Char Char Char"/>
    <w:qFormat/>
    <w:rPr>
      <w:shd w:val="clear" w:color="auto" w:fill="FFFFFF"/>
    </w:rPr>
  </w:style>
  <w:style w:type="character" w:customStyle="1" w:styleId="style71">
    <w:name w:val="style71"/>
    <w:qFormat/>
    <w:rPr>
      <w:rFonts w:ascii="MingLiU" w:eastAsia="MingLiU" w:hAnsi="MingLiU" w:hint="eastAsia"/>
      <w:shd w:val="clear" w:color="auto" w:fill="FFFFFF"/>
    </w:rPr>
  </w:style>
  <w:style w:type="character" w:customStyle="1" w:styleId="22f5">
    <w:name w:val="正文文本缩进 22"/>
    <w:semiHidden/>
    <w:qFormat/>
    <w:rPr>
      <w:rFonts w:ascii="Arial" w:eastAsia="宋体" w:hAnsi="Arial" w:cs="Times New Roman"/>
      <w:kern w:val="2"/>
      <w:sz w:val="24"/>
      <w:szCs w:val="24"/>
      <w:shd w:val="clear" w:color="auto" w:fill="FFFFFF"/>
      <w:lang w:val="en-US" w:eastAsia="zh-CN" w:bidi="ar-SA"/>
    </w:rPr>
  </w:style>
  <w:style w:type="character" w:customStyle="1" w:styleId="Charfffffffffa">
    <w:name w:val="+正文 Char"/>
    <w:qFormat/>
    <w:locked/>
    <w:rPr>
      <w:rFonts w:ascii="Times New Roman" w:hAnsi="Times New Roman"/>
      <w:sz w:val="24"/>
      <w:szCs w:val="28"/>
      <w:shd w:val="clear" w:color="auto" w:fill="FFFFFF"/>
    </w:rPr>
  </w:style>
  <w:style w:type="character" w:customStyle="1" w:styleId="body-font">
    <w:name w:val="body-font"/>
    <w:qFormat/>
    <w:rPr>
      <w:shd w:val="clear" w:color="auto" w:fill="FFFFFF"/>
    </w:rPr>
  </w:style>
  <w:style w:type="character" w:customStyle="1" w:styleId="Charfffffffffb">
    <w:name w:val="三级标题 Char"/>
    <w:qFormat/>
    <w:rPr>
      <w:rFonts w:eastAsia="宋体"/>
      <w:b/>
      <w:bCs/>
      <w:kern w:val="2"/>
      <w:sz w:val="32"/>
      <w:szCs w:val="32"/>
      <w:shd w:val="clear" w:color="auto" w:fill="FFFFFF"/>
      <w:lang w:val="en-US" w:eastAsia="zh-CN" w:bidi="ar-SA"/>
    </w:rPr>
  </w:style>
  <w:style w:type="character" w:customStyle="1" w:styleId="hb2Char">
    <w:name w:val="hb2 Char"/>
    <w:semiHidden/>
    <w:qFormat/>
    <w:rPr>
      <w:rFonts w:ascii="宋体" w:eastAsia="宋体" w:cs="Arial"/>
      <w:b/>
      <w:bCs/>
      <w:kern w:val="2"/>
      <w:sz w:val="28"/>
      <w:szCs w:val="28"/>
      <w:shd w:val="clear" w:color="auto" w:fill="FFFFFF"/>
      <w:lang w:val="en-US" w:eastAsia="zh-CN" w:bidi="ar-SA"/>
    </w:rPr>
  </w:style>
  <w:style w:type="character" w:customStyle="1" w:styleId="cu12">
    <w:name w:val="cu12"/>
    <w:qFormat/>
    <w:rPr>
      <w:shd w:val="clear" w:color="auto" w:fill="FFFFFF"/>
    </w:rPr>
  </w:style>
  <w:style w:type="character" w:customStyle="1" w:styleId="2Char1Char1">
    <w:name w:val="标题 2 Char1 Char1"/>
    <w:qFormat/>
    <w:rPr>
      <w:rFonts w:ascii="Arial" w:eastAsia="宋体" w:hAnsi="Arial"/>
      <w:b/>
      <w:bCs/>
      <w:kern w:val="2"/>
      <w:sz w:val="28"/>
      <w:szCs w:val="32"/>
      <w:shd w:val="clear" w:color="auto" w:fill="FFFFFF"/>
      <w:lang w:val="en-US" w:eastAsia="zh-CN" w:bidi="ar-SA"/>
    </w:rPr>
  </w:style>
  <w:style w:type="character" w:customStyle="1" w:styleId="FontStyle13">
    <w:name w:val="Font Style13"/>
    <w:qFormat/>
    <w:rPr>
      <w:rFonts w:ascii="Times New Roman" w:hAnsi="Times New Roman"/>
      <w:sz w:val="26"/>
      <w:shd w:val="clear" w:color="auto" w:fill="FFFFFF"/>
    </w:rPr>
  </w:style>
  <w:style w:type="character" w:customStyle="1" w:styleId="main-11">
    <w:name w:val="main-11"/>
    <w:qFormat/>
    <w:rPr>
      <w:color w:val="FFFFFF"/>
      <w:sz w:val="21"/>
      <w:szCs w:val="21"/>
      <w:shd w:val="clear" w:color="auto" w:fill="FFFFFF"/>
    </w:rPr>
  </w:style>
  <w:style w:type="character" w:customStyle="1" w:styleId="2Charf4">
    <w:name w:val="正文（首行式样2） Char"/>
    <w:qFormat/>
    <w:locked/>
    <w:rPr>
      <w:rFonts w:ascii="宋体" w:hAnsi="宋体"/>
      <w:color w:val="000000"/>
      <w:sz w:val="24"/>
      <w:szCs w:val="24"/>
      <w:shd w:val="clear" w:color="auto" w:fill="FFFFFF"/>
    </w:rPr>
  </w:style>
  <w:style w:type="character" w:customStyle="1" w:styleId="1Charf3">
    <w:name w:val="表1 Char"/>
    <w:qFormat/>
    <w:rPr>
      <w:rFonts w:eastAsia="黑体"/>
      <w:color w:val="000000"/>
      <w:spacing w:val="10"/>
      <w:kern w:val="2"/>
      <w:sz w:val="24"/>
      <w:szCs w:val="21"/>
      <w:shd w:val="clear" w:color="auto" w:fill="FFFFFF"/>
      <w:lang w:val="en-US" w:eastAsia="zh-CN" w:bidi="ar-SA"/>
    </w:rPr>
  </w:style>
  <w:style w:type="character" w:customStyle="1" w:styleId="CharCharf3">
    <w:name w:val="表格字体 Char Char"/>
    <w:link w:val="affffffffffffffc"/>
    <w:qFormat/>
    <w:rPr>
      <w:kern w:val="2"/>
      <w:sz w:val="21"/>
    </w:rPr>
  </w:style>
  <w:style w:type="character" w:customStyle="1" w:styleId="3zw1">
    <w:name w:val="3zw1"/>
    <w:qFormat/>
    <w:rPr>
      <w:color w:val="000000"/>
      <w:spacing w:val="360"/>
      <w:sz w:val="21"/>
      <w:szCs w:val="21"/>
      <w:shd w:val="clear" w:color="auto" w:fill="FFFFFF"/>
    </w:rPr>
  </w:style>
  <w:style w:type="character" w:customStyle="1" w:styleId="1fffffff0">
    <w:name w:val="明显参考1"/>
    <w:qFormat/>
    <w:rPr>
      <w:b/>
      <w:bCs/>
      <w:smallCaps/>
      <w:color w:val="C0504D"/>
      <w:spacing w:val="5"/>
      <w:u w:val="single"/>
      <w:shd w:val="clear" w:color="auto" w:fill="FFFFFF"/>
    </w:rPr>
  </w:style>
  <w:style w:type="character" w:customStyle="1" w:styleId="3fffa">
    <w:name w:val="正文文本3"/>
    <w:qFormat/>
    <w:rPr>
      <w:rFonts w:ascii="Arial Unicode MS" w:eastAsia="Arial Unicode MS" w:hAnsi="Arial Unicode MS"/>
      <w:color w:val="000000"/>
      <w:spacing w:val="0"/>
      <w:w w:val="100"/>
      <w:position w:val="0"/>
      <w:sz w:val="23"/>
      <w:szCs w:val="23"/>
      <w:shd w:val="clear" w:color="auto" w:fill="FFFFFF"/>
      <w:lang w:val="zh-CN" w:bidi="ar-SA"/>
    </w:rPr>
  </w:style>
  <w:style w:type="character" w:customStyle="1" w:styleId="dan7-17Char">
    <w:name w:val="dan7-1表头7 Char"/>
    <w:link w:val="dan7-17"/>
    <w:qFormat/>
    <w:rPr>
      <w:rFonts w:eastAsia="黑体"/>
      <w:kern w:val="2"/>
      <w:sz w:val="24"/>
      <w:szCs w:val="21"/>
    </w:rPr>
  </w:style>
  <w:style w:type="character" w:customStyle="1" w:styleId="CharChar21">
    <w:name w:val="Char Char21"/>
    <w:qFormat/>
    <w:rPr>
      <w:rFonts w:ascii="黑体" w:eastAsia="黑体" w:hAnsi="Times New Roman" w:hint="eastAsia"/>
      <w:bCs/>
      <w:kern w:val="44"/>
      <w:sz w:val="30"/>
      <w:szCs w:val="44"/>
      <w:shd w:val="clear" w:color="auto" w:fill="FFFFFF"/>
    </w:rPr>
  </w:style>
  <w:style w:type="character" w:customStyle="1" w:styleId="kuang1">
    <w:name w:val="kuang1"/>
    <w:uiPriority w:val="99"/>
    <w:qFormat/>
    <w:rPr>
      <w:spacing w:val="0"/>
      <w:sz w:val="18"/>
      <w:shd w:val="clear" w:color="auto" w:fill="FFFFFF"/>
    </w:rPr>
  </w:style>
  <w:style w:type="character" w:customStyle="1" w:styleId="CharChar23">
    <w:name w:val="Char Char23"/>
    <w:qFormat/>
    <w:rPr>
      <w:rFonts w:ascii="宋体" w:eastAsia="宋体" w:hAnsi="Courier New"/>
      <w:kern w:val="2"/>
      <w:sz w:val="24"/>
      <w:shd w:val="clear" w:color="auto" w:fill="FFFFFF"/>
    </w:rPr>
  </w:style>
  <w:style w:type="character" w:customStyle="1" w:styleId="Charfffffffffc">
    <w:name w:val="表格后缀 Char"/>
    <w:qFormat/>
    <w:locked/>
    <w:rPr>
      <w:rFonts w:ascii="楷体_GB2312" w:eastAsia="楷体_GB2312" w:hAnsi="楷体_GB2312" w:cs="宋体"/>
      <w:sz w:val="24"/>
      <w:szCs w:val="24"/>
      <w:shd w:val="clear" w:color="auto" w:fill="FFFFFF"/>
    </w:rPr>
  </w:style>
  <w:style w:type="character" w:customStyle="1" w:styleId="afffffffffffffffffffffffffffffffffffffffa">
    <w:name w:val="下标"/>
    <w:qFormat/>
    <w:rPr>
      <w:rFonts w:ascii="Times New Roman" w:eastAsia="宋体" w:hAnsi="Times New Roman"/>
      <w:spacing w:val="0"/>
      <w:position w:val="-7"/>
      <w:sz w:val="18"/>
      <w:shd w:val="clear" w:color="auto" w:fill="FFFFFF"/>
    </w:rPr>
  </w:style>
  <w:style w:type="character" w:customStyle="1" w:styleId="221Char">
    <w:name w:val="样式 样式 样式 样式 正文 首行缩进 + 首行缩进:  2 字符 行距: 单倍行距 + 首行缩进:  2 字符 + 小四 首行...1 Char"/>
    <w:qFormat/>
    <w:rPr>
      <w:rFonts w:ascii="Times New Roman" w:hAnsi="Times New Roman" w:cs="宋体"/>
      <w:sz w:val="24"/>
      <w:shd w:val="clear" w:color="auto" w:fill="FFFFFF"/>
    </w:rPr>
  </w:style>
  <w:style w:type="character" w:customStyle="1" w:styleId="Char1ff4">
    <w:name w:val="首行缩进正文 Char1"/>
    <w:qFormat/>
    <w:rPr>
      <w:rFonts w:ascii="Times New Roman" w:eastAsia="宋体" w:hAnsi="Times New Roman" w:cs="Times New Roman"/>
      <w:sz w:val="24"/>
      <w:szCs w:val="24"/>
      <w:shd w:val="clear" w:color="auto" w:fill="FFFFFF"/>
    </w:rPr>
  </w:style>
  <w:style w:type="character" w:customStyle="1" w:styleId="55-Char">
    <w:name w:val="标题55-表标 Char"/>
    <w:qFormat/>
    <w:locked/>
    <w:rPr>
      <w:rFonts w:ascii="黑体" w:eastAsia="黑体" w:hAnsi="宋体"/>
      <w:sz w:val="24"/>
      <w:shd w:val="clear" w:color="auto" w:fill="FFFFFF"/>
    </w:rPr>
  </w:style>
  <w:style w:type="character" w:customStyle="1" w:styleId="CharChar171">
    <w:name w:val="Char Char171"/>
    <w:qFormat/>
    <w:rPr>
      <w:rFonts w:eastAsia="宋体"/>
      <w:b/>
      <w:bCs/>
      <w:kern w:val="2"/>
      <w:sz w:val="32"/>
      <w:szCs w:val="32"/>
      <w:shd w:val="clear" w:color="auto" w:fill="FFFFFF"/>
      <w:lang w:val="en-US" w:eastAsia="zh-CN" w:bidi="ar-SA"/>
    </w:rPr>
  </w:style>
  <w:style w:type="character" w:customStyle="1" w:styleId="pt14">
    <w:name w:val="pt14"/>
    <w:qFormat/>
    <w:rPr>
      <w:shd w:val="clear" w:color="auto" w:fill="FFFFFF"/>
    </w:rPr>
  </w:style>
  <w:style w:type="character" w:customStyle="1" w:styleId="afffffffffffffffffffffffffffffffffffffffb">
    <w:name w:val="超级链接"/>
    <w:qFormat/>
    <w:rPr>
      <w:rFonts w:ascii="Times New Roman" w:eastAsia="宋体"/>
      <w:color w:val="0000FF"/>
      <w:spacing w:val="0"/>
      <w:w w:val="100"/>
      <w:sz w:val="21"/>
      <w:u w:val="single" w:color="0000FF"/>
      <w:shd w:val="clear" w:color="auto" w:fill="FFFFFF"/>
      <w:lang w:val="en-US" w:eastAsia="zh-CN"/>
    </w:rPr>
  </w:style>
  <w:style w:type="character" w:customStyle="1" w:styleId="1020CharChar">
    <w:name w:val="10.20小标题 Char Char"/>
    <w:qFormat/>
    <w:rPr>
      <w:rFonts w:ascii="宋体" w:hAnsi="Times New Roman"/>
      <w:sz w:val="28"/>
      <w:szCs w:val="28"/>
      <w:shd w:val="clear" w:color="auto" w:fill="FFFFFF"/>
    </w:rPr>
  </w:style>
  <w:style w:type="character" w:customStyle="1" w:styleId="afffffffffffffffffffffffffffffffffffffffc">
    <w:name w:val="样式 楷体 小四"/>
    <w:qFormat/>
    <w:rPr>
      <w:rFonts w:ascii="Times New Roman" w:eastAsia="宋体" w:hAnsi="Times New Roman" w:cs="Times New Roman"/>
      <w:sz w:val="24"/>
      <w:szCs w:val="24"/>
      <w:shd w:val="clear" w:color="auto" w:fill="FFFFFF"/>
    </w:rPr>
  </w:style>
  <w:style w:type="character" w:customStyle="1" w:styleId="Charffffb">
    <w:name w:val="样式 佛表 + 五号 Char"/>
    <w:link w:val="affffffffffffffd"/>
    <w:qFormat/>
    <w:rPr>
      <w:szCs w:val="18"/>
    </w:rPr>
  </w:style>
  <w:style w:type="character" w:customStyle="1" w:styleId="2CharCharCharCharChar">
    <w:name w:val="标题 2 Char Char Char Char Char"/>
    <w:qFormat/>
    <w:rPr>
      <w:rFonts w:ascii="Arial" w:eastAsia="黑体" w:hAnsi="Arial"/>
      <w:b/>
      <w:bCs/>
      <w:kern w:val="2"/>
      <w:sz w:val="32"/>
      <w:szCs w:val="32"/>
      <w:shd w:val="clear" w:color="auto" w:fill="FFFFFF"/>
      <w:lang w:val="en-US" w:eastAsia="zh-CN" w:bidi="ar-SA"/>
    </w:rPr>
  </w:style>
  <w:style w:type="character" w:customStyle="1" w:styleId="20pt">
    <w:name w:val="正文文本 (2) + 间距 0 pt"/>
    <w:qFormat/>
    <w:rPr>
      <w:rFonts w:ascii="MingLiU" w:eastAsia="MingLiU" w:hAnsi="MingLiU" w:cs="MingLiU"/>
      <w:color w:val="000000"/>
      <w:spacing w:val="0"/>
      <w:w w:val="100"/>
      <w:position w:val="0"/>
      <w:sz w:val="28"/>
      <w:szCs w:val="28"/>
      <w:u w:val="none"/>
      <w:shd w:val="clear" w:color="auto" w:fill="FFFFFF"/>
      <w:lang w:val="zh-TW" w:eastAsia="zh-TW" w:bidi="zh-TW"/>
    </w:rPr>
  </w:style>
  <w:style w:type="character" w:customStyle="1" w:styleId="EmailStyle239">
    <w:name w:val="EmailStyle239"/>
    <w:qFormat/>
    <w:rPr>
      <w:rFonts w:ascii="Arial" w:eastAsia="宋体" w:hAnsi="Arial" w:cs="Arial"/>
      <w:color w:val="auto"/>
      <w:sz w:val="20"/>
      <w:shd w:val="clear" w:color="auto" w:fill="FFFFFF"/>
    </w:rPr>
  </w:style>
  <w:style w:type="character" w:customStyle="1" w:styleId="1310">
    <w:name w:val="样式 13 磅1"/>
    <w:qFormat/>
    <w:rPr>
      <w:rFonts w:eastAsia="宋体"/>
      <w:sz w:val="24"/>
      <w:shd w:val="clear" w:color="auto" w:fill="FFFFFF"/>
    </w:rPr>
  </w:style>
  <w:style w:type="character" w:customStyle="1" w:styleId="HTMLAcronym1">
    <w:name w:val="HTML Acronym1"/>
    <w:qFormat/>
    <w:rPr>
      <w:rFonts w:ascii="宋体" w:eastAsia="宋体" w:hAnsi="宋体" w:cs="Courier New"/>
      <w:kern w:val="2"/>
      <w:sz w:val="32"/>
      <w:szCs w:val="32"/>
      <w:shd w:val="clear" w:color="auto" w:fill="FFFFFF"/>
      <w:lang w:val="en-US" w:eastAsia="zh-CN"/>
    </w:rPr>
  </w:style>
  <w:style w:type="character" w:customStyle="1" w:styleId="5Char4">
    <w:name w:val="5正文 Char"/>
    <w:link w:val="5f1"/>
    <w:qFormat/>
    <w:rPr>
      <w:rFonts w:ascii="宋体" w:hAnsi="宋体"/>
      <w:sz w:val="24"/>
      <w:szCs w:val="28"/>
    </w:rPr>
  </w:style>
  <w:style w:type="character" w:customStyle="1" w:styleId="zi1">
    <w:name w:val="zi1"/>
    <w:qFormat/>
    <w:rPr>
      <w:color w:val="000000"/>
      <w:spacing w:val="480"/>
      <w:sz w:val="20"/>
      <w:szCs w:val="20"/>
      <w:u w:val="none"/>
      <w:shd w:val="clear" w:color="auto" w:fill="FFFFFF"/>
    </w:rPr>
  </w:style>
  <w:style w:type="character" w:customStyle="1" w:styleId="font91">
    <w:name w:val="font91"/>
    <w:qFormat/>
    <w:rPr>
      <w:rFonts w:ascii="Times New Roman" w:hAnsi="Times New Roman" w:cs="Times New Roman" w:hint="default"/>
      <w:color w:val="FF0000"/>
      <w:sz w:val="24"/>
      <w:szCs w:val="24"/>
      <w:u w:val="none"/>
      <w:shd w:val="clear" w:color="auto" w:fill="FFFFFF"/>
    </w:rPr>
  </w:style>
  <w:style w:type="character" w:customStyle="1" w:styleId="Charfffffffffd">
    <w:name w:val="注 Char"/>
    <w:qFormat/>
    <w:rPr>
      <w:rFonts w:ascii="Times New Roman" w:eastAsia="黑体" w:hAnsi="Times New Roman" w:cs="Times New Roman"/>
      <w:color w:val="000000"/>
      <w:kern w:val="0"/>
      <w:szCs w:val="20"/>
      <w:shd w:val="clear" w:color="auto" w:fill="FFFFFF"/>
      <w:lang w:val="en-US" w:eastAsia="zh-CN"/>
    </w:rPr>
  </w:style>
  <w:style w:type="character" w:customStyle="1" w:styleId="-3Char">
    <w:name w:val="正文-3 Char"/>
    <w:link w:val="-3"/>
    <w:qFormat/>
    <w:rPr>
      <w:rFonts w:ascii="宋体" w:hAnsi="宋体"/>
      <w:sz w:val="28"/>
      <w:szCs w:val="28"/>
    </w:rPr>
  </w:style>
  <w:style w:type="character" w:customStyle="1" w:styleId="title8">
    <w:name w:val="title8"/>
    <w:qFormat/>
    <w:rPr>
      <w:shd w:val="clear" w:color="auto" w:fill="FFFFFF"/>
    </w:rPr>
  </w:style>
  <w:style w:type="character" w:customStyle="1" w:styleId="-CharChar">
    <w:name w:val="表格文字-居中 Char Char"/>
    <w:link w:val="-6"/>
    <w:uiPriority w:val="99"/>
    <w:qFormat/>
    <w:locked/>
    <w:rPr>
      <w:szCs w:val="21"/>
    </w:rPr>
  </w:style>
  <w:style w:type="character" w:customStyle="1" w:styleId="777777777CharCharCharCharCharCharCharChar">
    <w:name w:val="777777777 Char Char Char Char Char Char Char Char"/>
    <w:qFormat/>
    <w:rPr>
      <w:rFonts w:eastAsia="宋体" w:cs="Times New Roman"/>
      <w:sz w:val="28"/>
      <w:shd w:val="clear" w:color="auto" w:fill="FFFFFF"/>
    </w:rPr>
  </w:style>
  <w:style w:type="character" w:customStyle="1" w:styleId="EmailStyle5591">
    <w:name w:val="EmailStyle5591"/>
    <w:qFormat/>
    <w:rPr>
      <w:rFonts w:ascii="Arial" w:eastAsia="宋体" w:hAnsi="Arial" w:cs="Arial"/>
      <w:color w:val="auto"/>
      <w:sz w:val="20"/>
      <w:shd w:val="clear" w:color="auto" w:fill="FFFFFF"/>
    </w:rPr>
  </w:style>
  <w:style w:type="character" w:customStyle="1" w:styleId="p161">
    <w:name w:val="p161"/>
    <w:qFormat/>
    <w:rPr>
      <w:rFonts w:ascii="ˎ̥" w:eastAsia="宋体" w:hAnsi="ˎ̥" w:hint="default"/>
      <w:b/>
      <w:bCs/>
      <w:color w:val="236D17"/>
      <w:kern w:val="2"/>
      <w:sz w:val="24"/>
      <w:szCs w:val="24"/>
      <w:shd w:val="clear" w:color="auto" w:fill="FFFFFF"/>
      <w:lang w:val="en-US" w:eastAsia="zh-CN" w:bidi="ar-SA"/>
    </w:rPr>
  </w:style>
  <w:style w:type="character" w:customStyle="1" w:styleId="Charffffd">
    <w:name w:val="表注 Char"/>
    <w:link w:val="afffffffffffffff0"/>
    <w:qFormat/>
    <w:rPr>
      <w:rFonts w:cs="Arial"/>
      <w:sz w:val="21"/>
      <w:szCs w:val="21"/>
      <w:lang w:eastAsia="en-US" w:bidi="en-US"/>
    </w:rPr>
  </w:style>
  <w:style w:type="character" w:customStyle="1" w:styleId="5CharChar1">
    <w:name w:val="标题5 Char Char1"/>
    <w:link w:val="5f2"/>
    <w:qFormat/>
    <w:locked/>
    <w:rPr>
      <w:rFonts w:ascii="黑体" w:eastAsia="黑体" w:hAnsi="宋体"/>
      <w:sz w:val="24"/>
    </w:rPr>
  </w:style>
  <w:style w:type="character" w:customStyle="1" w:styleId="2Charf5">
    <w:name w:val="编号2 Char"/>
    <w:qFormat/>
    <w:rPr>
      <w:rFonts w:ascii="Times New Roman" w:hAnsi="Times New Roman"/>
      <w:b/>
      <w:sz w:val="24"/>
      <w:szCs w:val="24"/>
      <w:shd w:val="clear" w:color="auto" w:fill="FFFFFF"/>
    </w:rPr>
  </w:style>
  <w:style w:type="character" w:customStyle="1" w:styleId="2Char20">
    <w:name w:val="正文首行缩进 2 Char2"/>
    <w:semiHidden/>
    <w:qFormat/>
    <w:rPr>
      <w:rFonts w:ascii="Times New Roman" w:eastAsia="新宋体" w:hAnsi="Times New Roman" w:cs="Times New Roman"/>
      <w:snapToGrid w:val="0"/>
      <w:color w:val="0000FF"/>
      <w:sz w:val="24"/>
      <w:szCs w:val="24"/>
      <w:shd w:val="clear" w:color="auto" w:fill="FFFFFF"/>
    </w:rPr>
  </w:style>
  <w:style w:type="character" w:customStyle="1" w:styleId="2fffffff">
    <w:name w:val="批注主题 字符2"/>
    <w:qFormat/>
    <w:rPr>
      <w:b/>
      <w:bCs/>
      <w:shd w:val="clear" w:color="auto" w:fill="FFFFFF"/>
    </w:rPr>
  </w:style>
  <w:style w:type="character" w:customStyle="1" w:styleId="220CharCharChar">
    <w:name w:val="标题 2 + 行距: 标题2+首行缩进 0倍 Char Char Char"/>
    <w:qFormat/>
    <w:rPr>
      <w:rFonts w:ascii="黑体" w:eastAsia="黑体" w:hAnsi="Times New Roman" w:cs="宋体"/>
      <w:kern w:val="0"/>
      <w:sz w:val="20"/>
      <w:szCs w:val="20"/>
      <w:shd w:val="clear" w:color="auto" w:fill="FFFFFF"/>
    </w:rPr>
  </w:style>
  <w:style w:type="character" w:customStyle="1" w:styleId="1fffffff1">
    <w:name w:val="页脚 字符1"/>
    <w:uiPriority w:val="99"/>
    <w:qFormat/>
    <w:rPr>
      <w:sz w:val="18"/>
      <w:szCs w:val="18"/>
      <w:shd w:val="clear" w:color="auto" w:fill="FFFFFF"/>
    </w:rPr>
  </w:style>
  <w:style w:type="character" w:customStyle="1" w:styleId="2Char13">
    <w:name w:val="正文首行缩进 2 Char1"/>
    <w:qFormat/>
    <w:rPr>
      <w:rFonts w:ascii="方正宋三简体" w:eastAsia="方正宋三简体" w:hAnsi="方正宋三简体" w:cs="方正宋三简体" w:hint="eastAsia"/>
      <w:kern w:val="2"/>
      <w:sz w:val="24"/>
      <w:szCs w:val="24"/>
      <w:shd w:val="clear" w:color="auto" w:fill="FFFFFF"/>
    </w:rPr>
  </w:style>
  <w:style w:type="character" w:customStyle="1" w:styleId="txt141">
    <w:name w:val="txt141"/>
    <w:qFormat/>
    <w:rPr>
      <w:sz w:val="21"/>
      <w:szCs w:val="21"/>
      <w:u w:val="none"/>
      <w:shd w:val="clear" w:color="auto" w:fill="FFFFFF"/>
    </w:rPr>
  </w:style>
  <w:style w:type="character" w:customStyle="1" w:styleId="7ArialUnicodeMS">
    <w:name w:val="正文文本 (7) + Arial Unicode MS"/>
    <w:qFormat/>
    <w:rPr>
      <w:rFonts w:ascii="Arial Unicode MS" w:eastAsia="Arial Unicode MS" w:hAnsi="Arial Unicode MS" w:cs="Arial Unicode MS"/>
      <w:color w:val="000000"/>
      <w:spacing w:val="-5"/>
      <w:w w:val="100"/>
      <w:position w:val="0"/>
      <w:sz w:val="16"/>
      <w:szCs w:val="16"/>
      <w:u w:val="none"/>
      <w:shd w:val="clear" w:color="auto" w:fill="FFFFFF"/>
      <w:lang w:val="en-US" w:bidi="ar-SA"/>
    </w:rPr>
  </w:style>
  <w:style w:type="character" w:customStyle="1" w:styleId="12CharChar">
    <w:name w:val="样式12 Char Char"/>
    <w:link w:val="121"/>
    <w:qFormat/>
    <w:rPr>
      <w:sz w:val="24"/>
    </w:rPr>
  </w:style>
  <w:style w:type="character" w:customStyle="1" w:styleId="afffffffffffffffffffffffffffffffffffffffd">
    <w:name w:val="页眉或页脚_"/>
    <w:qFormat/>
    <w:rPr>
      <w:rFonts w:ascii="MingLiU" w:eastAsia="MingLiU" w:hAnsi="MingLiU" w:cs="MingLiU"/>
      <w:spacing w:val="20"/>
      <w:sz w:val="22"/>
      <w:szCs w:val="22"/>
      <w:u w:val="none"/>
      <w:shd w:val="clear" w:color="auto" w:fill="FFFFFF"/>
    </w:rPr>
  </w:style>
  <w:style w:type="character" w:customStyle="1" w:styleId="220CharChar">
    <w:name w:val="标题 2 + 行距: 标题2+首行缩进 0倍 Char Char"/>
    <w:qFormat/>
    <w:locked/>
    <w:rPr>
      <w:rFonts w:ascii="黑体" w:eastAsia="黑体" w:cs="Times New Roman"/>
      <w:sz w:val="30"/>
      <w:shd w:val="clear" w:color="auto" w:fill="FFFFFF"/>
    </w:rPr>
  </w:style>
  <w:style w:type="character" w:customStyle="1" w:styleId="CharCharCharChar8">
    <w:name w:val="表题 Char Char Char Char"/>
    <w:qFormat/>
    <w:rPr>
      <w:rFonts w:ascii="Times New Roman" w:eastAsia="宋体" w:hAnsi="Times New Roman" w:cs="Times New Roman"/>
      <w:b/>
      <w:bCs/>
      <w:kern w:val="0"/>
      <w:sz w:val="24"/>
      <w:szCs w:val="24"/>
      <w:shd w:val="clear" w:color="auto" w:fill="FFFFFF"/>
    </w:rPr>
  </w:style>
  <w:style w:type="character" w:customStyle="1" w:styleId="p0CharChar">
    <w:name w:val="p0 Char Char"/>
    <w:link w:val="p0"/>
    <w:qFormat/>
    <w:rPr>
      <w:sz w:val="21"/>
      <w:szCs w:val="21"/>
    </w:rPr>
  </w:style>
  <w:style w:type="character" w:customStyle="1" w:styleId="4CharCharCharChar">
    <w:name w:val="标题 4 Char Char Char Char"/>
    <w:qFormat/>
    <w:rPr>
      <w:rFonts w:ascii="宋体" w:eastAsia="宋体" w:hAnsi="宋体" w:cs="宋体" w:hint="eastAsia"/>
      <w:bCs/>
      <w:kern w:val="2"/>
      <w:sz w:val="28"/>
      <w:szCs w:val="28"/>
      <w:shd w:val="clear" w:color="auto" w:fill="FFFFFF"/>
      <w:lang w:val="en-US" w:eastAsia="zh-CN"/>
    </w:rPr>
  </w:style>
  <w:style w:type="character" w:customStyle="1" w:styleId="CharCharfff4">
    <w:name w:val="表 头 Char Char"/>
    <w:qFormat/>
    <w:rPr>
      <w:rFonts w:eastAsia="黑体"/>
      <w:color w:val="000000"/>
      <w:spacing w:val="10"/>
      <w:kern w:val="2"/>
      <w:sz w:val="24"/>
      <w:szCs w:val="21"/>
      <w:shd w:val="clear" w:color="auto" w:fill="FFFFFF"/>
      <w:lang w:val="en-US" w:eastAsia="zh-CN" w:bidi="ar-SA"/>
    </w:rPr>
  </w:style>
  <w:style w:type="character" w:customStyle="1" w:styleId="CharCharCharChar1CharChar">
    <w:name w:val="正文文本最新 Char Char Char Char1 Char Char"/>
    <w:link w:val="CharCharCharChar1Char"/>
    <w:qFormat/>
    <w:rPr>
      <w:bCs/>
      <w:kern w:val="2"/>
      <w:sz w:val="28"/>
      <w:szCs w:val="21"/>
    </w:rPr>
  </w:style>
  <w:style w:type="character" w:customStyle="1" w:styleId="EmailStyle5421">
    <w:name w:val="EmailStyle5421"/>
    <w:qFormat/>
    <w:rPr>
      <w:rFonts w:ascii="Arial" w:eastAsia="宋体" w:hAnsi="Arial" w:cs="Arial"/>
      <w:color w:val="auto"/>
      <w:sz w:val="20"/>
      <w:shd w:val="clear" w:color="auto" w:fill="FFFFFF"/>
    </w:rPr>
  </w:style>
  <w:style w:type="character" w:customStyle="1" w:styleId="Charfffffffffe">
    <w:name w:val="表文 Char"/>
    <w:qFormat/>
    <w:locked/>
    <w:rPr>
      <w:rFonts w:ascii="宋体" w:hAnsi="宋体"/>
      <w:shd w:val="clear" w:color="auto" w:fill="FFFFFF"/>
    </w:rPr>
  </w:style>
  <w:style w:type="character" w:customStyle="1" w:styleId="123YJCharChar2">
    <w:name w:val="123YJ Char Char2"/>
    <w:qFormat/>
    <w:rPr>
      <w:kern w:val="2"/>
      <w:sz w:val="18"/>
      <w:szCs w:val="18"/>
      <w:shd w:val="clear" w:color="auto" w:fill="FFFFFF"/>
    </w:rPr>
  </w:style>
  <w:style w:type="character" w:customStyle="1" w:styleId="style100">
    <w:name w:val="style10"/>
    <w:qFormat/>
    <w:rPr>
      <w:shd w:val="clear" w:color="auto" w:fill="FFFFFF"/>
    </w:rPr>
  </w:style>
  <w:style w:type="character" w:customStyle="1" w:styleId="100GB2312CharChar">
    <w:name w:val="样式100仿宋_GB2312 Char Char"/>
    <w:link w:val="100GB2312"/>
    <w:qFormat/>
    <w:rPr>
      <w:rFonts w:ascii="仿宋_GB2312" w:eastAsia="仿宋_GB2312"/>
      <w:sz w:val="28"/>
      <w:szCs w:val="28"/>
    </w:rPr>
  </w:style>
  <w:style w:type="character" w:customStyle="1" w:styleId="style441">
    <w:name w:val="style441"/>
    <w:qFormat/>
    <w:rPr>
      <w:sz w:val="18"/>
      <w:szCs w:val="18"/>
      <w:shd w:val="clear" w:color="auto" w:fill="FFFFFF"/>
    </w:rPr>
  </w:style>
  <w:style w:type="character" w:customStyle="1" w:styleId="4ffd">
    <w:name w:val="未处理的提及4"/>
    <w:uiPriority w:val="99"/>
    <w:unhideWhenUsed/>
    <w:qFormat/>
    <w:rPr>
      <w:color w:val="605E5C"/>
      <w:shd w:val="clear" w:color="auto" w:fill="E1DFDD"/>
    </w:rPr>
  </w:style>
  <w:style w:type="character" w:customStyle="1" w:styleId="albumcount">
    <w:name w:val="albumcount"/>
    <w:qFormat/>
    <w:rPr>
      <w:shd w:val="clear" w:color="auto" w:fill="FFFFFF"/>
    </w:rPr>
  </w:style>
  <w:style w:type="character" w:customStyle="1" w:styleId="422">
    <w:name w:val="标题 4 字符2"/>
    <w:qFormat/>
    <w:rPr>
      <w:rFonts w:ascii="Times New Roman" w:hAnsi="Times New Roman"/>
      <w:b/>
      <w:bCs/>
      <w:smallCaps/>
      <w:sz w:val="28"/>
      <w:szCs w:val="24"/>
      <w:shd w:val="clear" w:color="auto" w:fill="FFFFFF"/>
    </w:rPr>
  </w:style>
  <w:style w:type="character" w:customStyle="1" w:styleId="Charffffe">
    <w:name w:val="公式 Char"/>
    <w:link w:val="afffffffffffffff1"/>
    <w:qFormat/>
    <w:locked/>
    <w:rPr>
      <w:rFonts w:hAnsi="宋体"/>
      <w:sz w:val="18"/>
    </w:rPr>
  </w:style>
  <w:style w:type="character" w:customStyle="1" w:styleId="6Char1">
    <w:name w:val="样式6 Char"/>
    <w:qFormat/>
    <w:rPr>
      <w:rFonts w:ascii="Times New Roman" w:eastAsia="宋体" w:hAnsi="Times New Roman" w:cs="Times New Roman" w:hint="default"/>
      <w:sz w:val="24"/>
      <w:szCs w:val="28"/>
      <w:shd w:val="clear" w:color="auto" w:fill="FFFFFF"/>
    </w:rPr>
  </w:style>
  <w:style w:type="character" w:customStyle="1" w:styleId="8175pt">
    <w:name w:val="正文文本 (8) + 17.5 pt"/>
    <w:qFormat/>
    <w:rPr>
      <w:rFonts w:ascii="Arial Unicode MS" w:eastAsia="Arial Unicode MS" w:hAnsi="Arial Unicode MS"/>
      <w:color w:val="000000"/>
      <w:spacing w:val="0"/>
      <w:w w:val="100"/>
      <w:position w:val="0"/>
      <w:sz w:val="35"/>
      <w:szCs w:val="35"/>
      <w:shd w:val="clear" w:color="auto" w:fill="FFFFFF"/>
      <w:lang w:bidi="ar-SA"/>
    </w:rPr>
  </w:style>
  <w:style w:type="character" w:customStyle="1" w:styleId="Charffffffffff">
    <w:name w:val="黑体 Char"/>
    <w:qFormat/>
    <w:rPr>
      <w:rFonts w:eastAsia="宋体"/>
      <w:b/>
      <w:kern w:val="2"/>
      <w:sz w:val="24"/>
      <w:shd w:val="clear" w:color="auto" w:fill="FFFFFF"/>
      <w:lang w:val="en-US" w:eastAsia="zh-CN" w:bidi="ar-SA"/>
    </w:rPr>
  </w:style>
  <w:style w:type="character" w:customStyle="1" w:styleId="CharCharfff5">
    <w:name w:val="无节项 Char Char"/>
    <w:uiPriority w:val="99"/>
    <w:qFormat/>
    <w:rPr>
      <w:rFonts w:eastAsia="宋体"/>
      <w:kern w:val="2"/>
      <w:sz w:val="24"/>
      <w:shd w:val="clear" w:color="auto" w:fill="FFFFFF"/>
      <w:lang w:val="en-US" w:eastAsia="zh-CN"/>
    </w:rPr>
  </w:style>
  <w:style w:type="character" w:customStyle="1" w:styleId="wbz2">
    <w:name w:val="wbz2"/>
    <w:qFormat/>
    <w:rPr>
      <w:rFonts w:hint="default"/>
      <w:color w:val="000000"/>
      <w:spacing w:val="0"/>
      <w:sz w:val="18"/>
      <w:szCs w:val="18"/>
      <w:u w:val="none"/>
      <w:shd w:val="clear" w:color="auto" w:fill="FFFFFF"/>
    </w:rPr>
  </w:style>
  <w:style w:type="character" w:customStyle="1" w:styleId="1CharChar3">
    <w:name w:val="编号1 Char Char"/>
    <w:qFormat/>
    <w:rPr>
      <w:sz w:val="24"/>
      <w:szCs w:val="24"/>
      <w:shd w:val="clear" w:color="auto" w:fill="FFFFFF"/>
      <w:lang w:bidi="en-US"/>
    </w:rPr>
  </w:style>
  <w:style w:type="character" w:customStyle="1" w:styleId="Charffffffffff0">
    <w:name w:val="表头名称 Char"/>
    <w:qFormat/>
    <w:rPr>
      <w:rFonts w:ascii="黑体" w:eastAsia="黑体" w:hAnsi="宋体"/>
      <w:kern w:val="2"/>
      <w:sz w:val="24"/>
      <w:szCs w:val="24"/>
      <w:shd w:val="clear" w:color="auto" w:fill="FFFFFF"/>
      <w:lang w:val="en-US" w:eastAsia="zh-CN" w:bidi="ar-SA"/>
    </w:rPr>
  </w:style>
  <w:style w:type="character" w:customStyle="1" w:styleId="2Charf6">
    <w:name w:val="样式 正文首行缩进 2 + (符号) 宋体 Char"/>
    <w:qFormat/>
    <w:locked/>
    <w:rPr>
      <w:rFonts w:ascii="宋体"/>
      <w:sz w:val="24"/>
      <w:szCs w:val="24"/>
      <w:shd w:val="clear" w:color="auto" w:fill="FFFFFF"/>
    </w:rPr>
  </w:style>
  <w:style w:type="character" w:customStyle="1" w:styleId="Charfffff">
    <w:name w:val="正文：段落格式 Char"/>
    <w:link w:val="afffffffffffffff2"/>
    <w:qFormat/>
    <w:rPr>
      <w:rFonts w:ascii="宋体" w:hAnsi="宋体"/>
      <w:color w:val="000000"/>
      <w:kern w:val="15"/>
      <w:sz w:val="24"/>
      <w:szCs w:val="21"/>
    </w:rPr>
  </w:style>
  <w:style w:type="character" w:customStyle="1" w:styleId="HTML10">
    <w:name w:val="HTML 地址 字符1"/>
    <w:qFormat/>
    <w:rPr>
      <w:rFonts w:ascii="Times New Roman" w:eastAsia="宋体" w:hAnsi="Times New Roman" w:cs="Times New Roman"/>
      <w:i/>
      <w:szCs w:val="24"/>
      <w:shd w:val="clear" w:color="auto" w:fill="FFFFFF"/>
    </w:rPr>
  </w:style>
  <w:style w:type="character" w:customStyle="1" w:styleId="777777777CharCharCharCharChar1">
    <w:name w:val="777777777 Char Char Char Char Char1"/>
    <w:qFormat/>
    <w:rPr>
      <w:rFonts w:eastAsia="宋体" w:cs="Times New Roman"/>
      <w:kern w:val="2"/>
      <w:sz w:val="28"/>
      <w:shd w:val="clear" w:color="auto" w:fill="FFFFFF"/>
      <w:lang w:val="en-US" w:eastAsia="zh-CN"/>
    </w:rPr>
  </w:style>
  <w:style w:type="character" w:customStyle="1" w:styleId="ltextChar">
    <w:name w:val="l_text Char"/>
    <w:link w:val="ltext"/>
    <w:qFormat/>
    <w:rPr>
      <w:sz w:val="28"/>
    </w:rPr>
  </w:style>
  <w:style w:type="character" w:customStyle="1" w:styleId="2fffffff0">
    <w:name w:val="批注框文本 字符2"/>
    <w:uiPriority w:val="99"/>
    <w:qFormat/>
    <w:rPr>
      <w:sz w:val="18"/>
      <w:szCs w:val="18"/>
      <w:shd w:val="clear" w:color="auto" w:fill="FFFFFF"/>
    </w:rPr>
  </w:style>
  <w:style w:type="character" w:customStyle="1" w:styleId="indetail1">
    <w:name w:val="indetail1"/>
    <w:uiPriority w:val="99"/>
    <w:qFormat/>
    <w:rPr>
      <w:spacing w:val="0"/>
      <w:sz w:val="18"/>
      <w:bdr w:val="single" w:sz="6" w:space="0" w:color="auto"/>
      <w:shd w:val="clear" w:color="auto" w:fill="FFFFFF"/>
    </w:rPr>
  </w:style>
  <w:style w:type="character" w:customStyle="1" w:styleId="Char2b">
    <w:name w:val="页脚 Char2"/>
    <w:qFormat/>
    <w:rPr>
      <w:rFonts w:ascii="Times New Roman" w:eastAsia="宋体" w:hAnsi="Times New Roman" w:cs="Times New Roman" w:hint="default"/>
      <w:sz w:val="18"/>
      <w:szCs w:val="18"/>
      <w:shd w:val="clear" w:color="auto" w:fill="FFFFFF"/>
    </w:rPr>
  </w:style>
  <w:style w:type="character" w:customStyle="1" w:styleId="16Char">
    <w:name w:val="样式16 Char"/>
    <w:link w:val="162"/>
    <w:uiPriority w:val="99"/>
    <w:qFormat/>
    <w:locked/>
    <w:rPr>
      <w:rFonts w:eastAsia="华文中宋" w:hAnsi="华文中宋"/>
      <w:b/>
      <w:sz w:val="32"/>
      <w:szCs w:val="21"/>
    </w:rPr>
  </w:style>
  <w:style w:type="character" w:customStyle="1" w:styleId="CharChar50">
    <w:name w:val="Char Char5"/>
    <w:qFormat/>
    <w:locked/>
    <w:rPr>
      <w:rFonts w:eastAsia="仿宋_GB2312"/>
      <w:kern w:val="2"/>
      <w:sz w:val="32"/>
      <w:szCs w:val="24"/>
      <w:shd w:val="clear" w:color="auto" w:fill="FFFFFF"/>
      <w:lang w:val="en-US" w:eastAsia="zh-CN" w:bidi="ar-SA"/>
    </w:rPr>
  </w:style>
  <w:style w:type="character" w:customStyle="1" w:styleId="px14">
    <w:name w:val="px14"/>
    <w:qFormat/>
    <w:rPr>
      <w:shd w:val="clear" w:color="auto" w:fill="FFFFFF"/>
    </w:rPr>
  </w:style>
  <w:style w:type="character" w:customStyle="1" w:styleId="2GB2312Char">
    <w:name w:val="样式 样式 标题 2 + 楷体_GB2312 + 字距调整三号 Char"/>
    <w:qFormat/>
    <w:locked/>
    <w:rPr>
      <w:rFonts w:ascii="楷体_GB2312" w:eastAsia="楷体_GB2312" w:hAnsi="楷体_GB2312"/>
      <w:b/>
      <w:bCs/>
      <w:kern w:val="32"/>
      <w:sz w:val="30"/>
      <w:szCs w:val="30"/>
      <w:shd w:val="clear" w:color="auto" w:fill="FFFFFF"/>
    </w:rPr>
  </w:style>
  <w:style w:type="character" w:customStyle="1" w:styleId="style41">
    <w:name w:val="style41"/>
    <w:qFormat/>
    <w:rPr>
      <w:color w:val="000000"/>
      <w:sz w:val="16"/>
      <w:szCs w:val="16"/>
      <w:shd w:val="clear" w:color="auto" w:fill="FFFFFF"/>
    </w:rPr>
  </w:style>
  <w:style w:type="character" w:customStyle="1" w:styleId="12d">
    <w:name w:val="未处理的提及12"/>
    <w:uiPriority w:val="99"/>
    <w:unhideWhenUsed/>
    <w:qFormat/>
    <w:rPr>
      <w:color w:val="605E5C"/>
      <w:shd w:val="clear" w:color="auto" w:fill="E1DFDD"/>
    </w:rPr>
  </w:style>
  <w:style w:type="character" w:customStyle="1" w:styleId="1Char7">
    <w:name w:val="付正文1 Char"/>
    <w:link w:val="1ff2"/>
    <w:qFormat/>
    <w:rPr>
      <w:rFonts w:ascii="宋体" w:hAnsi="宋体"/>
      <w:color w:val="000000"/>
      <w:sz w:val="24"/>
      <w:szCs w:val="21"/>
    </w:rPr>
  </w:style>
  <w:style w:type="character" w:customStyle="1" w:styleId="Charc">
    <w:name w:val="目录 Char"/>
    <w:link w:val="afffffff8"/>
    <w:qFormat/>
    <w:rPr>
      <w:sz w:val="28"/>
    </w:rPr>
  </w:style>
  <w:style w:type="character" w:customStyle="1" w:styleId="aCharChar1">
    <w:name w:val=". (a.) Char Char"/>
    <w:qFormat/>
    <w:rPr>
      <w:rFonts w:ascii="Arial" w:eastAsia="黑体" w:hAnsi="Arial"/>
      <w:b/>
      <w:bCs/>
      <w:kern w:val="2"/>
      <w:sz w:val="24"/>
      <w:szCs w:val="24"/>
      <w:shd w:val="clear" w:color="auto" w:fill="FFFFFF"/>
    </w:rPr>
  </w:style>
  <w:style w:type="character" w:customStyle="1" w:styleId="Charfffff0">
    <w:name w:val="报告 小四 Char"/>
    <w:link w:val="afffffffffffffff3"/>
    <w:qFormat/>
    <w:rPr>
      <w:spacing w:val="8"/>
      <w:kern w:val="2"/>
      <w:sz w:val="24"/>
    </w:rPr>
  </w:style>
  <w:style w:type="character" w:customStyle="1" w:styleId="Char5">
    <w:name w:val="表体宋旭峰 Char"/>
    <w:link w:val="affffff4"/>
    <w:qFormat/>
    <w:rPr>
      <w:rFonts w:cs="Courier New"/>
      <w:snapToGrid w:val="0"/>
      <w:kern w:val="24"/>
      <w:sz w:val="18"/>
    </w:rPr>
  </w:style>
  <w:style w:type="character" w:customStyle="1" w:styleId="a-Char7">
    <w:name w:val="a-表名 Char"/>
    <w:link w:val="a-7"/>
    <w:qFormat/>
    <w:locked/>
    <w:rPr>
      <w:rFonts w:eastAsia="仿宋_GB2312"/>
      <w:b/>
      <w:color w:val="000000"/>
      <w:kern w:val="2"/>
      <w:sz w:val="24"/>
      <w:szCs w:val="21"/>
    </w:rPr>
  </w:style>
  <w:style w:type="character" w:customStyle="1" w:styleId="2H211lxb211h2CharCharCharCharCharChar">
    <w:name w:val="样式 标题 2节H2节标题 1.1二级标题标题 lxb21.1h2第一层条二级标题 Char表标题单位名... Char Char Char Char Char"/>
    <w:qFormat/>
    <w:rPr>
      <w:rFonts w:ascii="黑体" w:eastAsia="黑体" w:hAnsi="宋体" w:cs="Times New Roman"/>
      <w:bCs/>
      <w:color w:val="000000"/>
      <w:kern w:val="2"/>
      <w:sz w:val="28"/>
      <w:szCs w:val="28"/>
      <w:shd w:val="clear" w:color="auto" w:fill="FFFFFF"/>
    </w:rPr>
  </w:style>
  <w:style w:type="character" w:customStyle="1" w:styleId="scc">
    <w:name w:val="s c c"/>
    <w:qFormat/>
    <w:rPr>
      <w:rFonts w:eastAsia="宋体"/>
      <w:color w:val="000000"/>
      <w:kern w:val="2"/>
      <w:sz w:val="21"/>
      <w:szCs w:val="21"/>
      <w:shd w:val="clear" w:color="auto" w:fill="FFFFFF"/>
      <w:lang w:val="en-US" w:eastAsia="zh-CN" w:bidi="ar-SA"/>
    </w:rPr>
  </w:style>
  <w:style w:type="character" w:customStyle="1" w:styleId="hb3CharChar">
    <w:name w:val="hb3 Char Char"/>
    <w:qFormat/>
    <w:rPr>
      <w:rFonts w:ascii="宋体" w:eastAsia="宋体" w:hAnsi="宋体"/>
      <w:b/>
      <w:bCs/>
      <w:sz w:val="24"/>
      <w:szCs w:val="32"/>
      <w:shd w:val="clear" w:color="auto" w:fill="FFFFFF"/>
      <w:lang w:val="en-US" w:eastAsia="zh-CN" w:bidi="ar-SA"/>
    </w:rPr>
  </w:style>
  <w:style w:type="character" w:customStyle="1" w:styleId="fuChar">
    <w:name w:val="fu正文 Char"/>
    <w:qFormat/>
    <w:rPr>
      <w:rFonts w:ascii="Times New Roman" w:eastAsia="宋体" w:hAnsi="Times New Roman" w:cs="Times New Roman"/>
      <w:color w:val="000000"/>
      <w:sz w:val="24"/>
      <w:szCs w:val="24"/>
      <w:shd w:val="clear" w:color="auto" w:fill="FFFFFF"/>
    </w:rPr>
  </w:style>
  <w:style w:type="character" w:customStyle="1" w:styleId="afffb">
    <w:name w:val="列表 字符"/>
    <w:link w:val="afffa"/>
    <w:qFormat/>
    <w:rPr>
      <w:sz w:val="28"/>
    </w:rPr>
  </w:style>
  <w:style w:type="character" w:customStyle="1" w:styleId="6CharChar">
    <w:name w:val="标题 6 Char Char"/>
    <w:uiPriority w:val="99"/>
    <w:qFormat/>
    <w:rPr>
      <w:rFonts w:eastAsia="宋体"/>
      <w:kern w:val="2"/>
      <w:sz w:val="24"/>
      <w:shd w:val="clear" w:color="auto" w:fill="FFFFFF"/>
      <w:lang w:val="en-US" w:eastAsia="zh-CN"/>
    </w:rPr>
  </w:style>
  <w:style w:type="character" w:customStyle="1" w:styleId="bold121">
    <w:name w:val="bold121"/>
    <w:qFormat/>
    <w:rPr>
      <w:b/>
      <w:bCs/>
      <w:sz w:val="18"/>
      <w:szCs w:val="18"/>
      <w:shd w:val="clear" w:color="auto" w:fill="FFFFFF"/>
    </w:rPr>
  </w:style>
  <w:style w:type="character" w:customStyle="1" w:styleId="CharCharCharChar21">
    <w:name w:val="正文首行缩进 Char Char Char Char2"/>
    <w:qFormat/>
    <w:rPr>
      <w:rFonts w:eastAsia="宋体"/>
      <w:kern w:val="2"/>
      <w:sz w:val="21"/>
      <w:szCs w:val="24"/>
      <w:shd w:val="clear" w:color="auto" w:fill="FFFFFF"/>
      <w:lang w:val="en-US" w:eastAsia="zh-CN" w:bidi="ar-SA"/>
    </w:rPr>
  </w:style>
  <w:style w:type="character" w:customStyle="1" w:styleId="c10">
    <w:name w:val="c1"/>
    <w:qFormat/>
    <w:rPr>
      <w:rFonts w:ascii="ˎ̥" w:hAnsi="ˎ̥" w:hint="default"/>
      <w:color w:val="000000"/>
      <w:sz w:val="21"/>
      <w:szCs w:val="21"/>
      <w:u w:val="none"/>
      <w:shd w:val="clear" w:color="auto" w:fill="FFFFFF"/>
    </w:rPr>
  </w:style>
  <w:style w:type="character" w:customStyle="1" w:styleId="412">
    <w:name w:val="正文缩进41"/>
    <w:semiHidden/>
    <w:qFormat/>
    <w:rPr>
      <w:rFonts w:ascii="宋体" w:eastAsia="宋体" w:cs="Times New Roman"/>
      <w:kern w:val="2"/>
      <w:sz w:val="24"/>
      <w:szCs w:val="24"/>
      <w:shd w:val="clear" w:color="auto" w:fill="FFFFFF"/>
      <w:lang w:val="en-US" w:eastAsia="zh-CN" w:bidi="ar-SA"/>
    </w:rPr>
  </w:style>
  <w:style w:type="character" w:customStyle="1" w:styleId="2fffffff1">
    <w:name w:val="日期 字符2"/>
    <w:qFormat/>
    <w:rPr>
      <w:rFonts w:ascii="宋体" w:eastAsia="宋体" w:hAnsi="Courier New" w:cs="Times New Roman"/>
      <w:sz w:val="30"/>
      <w:szCs w:val="20"/>
      <w:shd w:val="clear" w:color="auto" w:fill="FFFFFF"/>
    </w:rPr>
  </w:style>
  <w:style w:type="character" w:customStyle="1" w:styleId="hb3Char1">
    <w:name w:val="hb3 Char1"/>
    <w:semiHidden/>
    <w:qFormat/>
    <w:rPr>
      <w:rFonts w:ascii="宋体" w:eastAsia="宋体" w:hAnsi="宋体"/>
      <w:b/>
      <w:bCs/>
      <w:sz w:val="28"/>
      <w:szCs w:val="32"/>
      <w:shd w:val="clear" w:color="auto" w:fill="FFFFFF"/>
      <w:lang w:val="en-US" w:eastAsia="zh-CN" w:bidi="ar-SA"/>
    </w:rPr>
  </w:style>
  <w:style w:type="character" w:customStyle="1" w:styleId="Charfffff1">
    <w:name w:val="题注 + 居中! Char"/>
    <w:link w:val="afffffffffffffff4"/>
    <w:qFormat/>
    <w:rPr>
      <w:rFonts w:ascii="黑体" w:eastAsia="黑体" w:hAnsi="Arial"/>
      <w:sz w:val="24"/>
      <w:szCs w:val="21"/>
    </w:rPr>
  </w:style>
  <w:style w:type="character" w:customStyle="1" w:styleId="Charffffffffff1">
    <w:name w:val="亚行正文 Char"/>
    <w:qFormat/>
    <w:rPr>
      <w:rFonts w:eastAsia="Times"/>
      <w:color w:val="000000"/>
      <w:sz w:val="24"/>
      <w:szCs w:val="24"/>
      <w:shd w:val="clear" w:color="auto" w:fill="FFFFFF"/>
    </w:rPr>
  </w:style>
  <w:style w:type="character" w:customStyle="1" w:styleId="En-tte11CharChar">
    <w:name w:val="En-tête 1.1 Char Char"/>
    <w:qFormat/>
    <w:rPr>
      <w:rFonts w:ascii="宋体" w:eastAsia="宋体" w:hAnsi="宋体" w:cs="宋体" w:hint="eastAsia"/>
      <w:kern w:val="2"/>
      <w:sz w:val="18"/>
      <w:szCs w:val="18"/>
      <w:shd w:val="clear" w:color="auto" w:fill="FFFFFF"/>
      <w:lang w:val="en-US" w:eastAsia="zh-CN"/>
    </w:rPr>
  </w:style>
  <w:style w:type="character" w:customStyle="1" w:styleId="Charfffff2">
    <w:name w:val="表格标题（左对齐） Char"/>
    <w:link w:val="afffffffffffffff5"/>
    <w:qFormat/>
    <w:rPr>
      <w:rFonts w:eastAsia="黑体"/>
      <w:bCs/>
      <w:kern w:val="2"/>
      <w:sz w:val="24"/>
      <w:szCs w:val="21"/>
    </w:rPr>
  </w:style>
  <w:style w:type="character" w:customStyle="1" w:styleId="CharCharCharf">
    <w:name w:val="正文样式 Char Char Char"/>
    <w:qFormat/>
    <w:locked/>
    <w:rPr>
      <w:sz w:val="24"/>
      <w:szCs w:val="24"/>
      <w:shd w:val="clear" w:color="auto" w:fill="FFFFFF"/>
    </w:rPr>
  </w:style>
  <w:style w:type="character" w:customStyle="1" w:styleId="ldh14-01">
    <w:name w:val="ldh14-01"/>
    <w:qFormat/>
    <w:rPr>
      <w:b/>
      <w:bCs/>
      <w:color w:val="FFFFFF"/>
      <w:sz w:val="18"/>
      <w:szCs w:val="18"/>
      <w:shd w:val="clear" w:color="auto" w:fill="FFFFFF"/>
    </w:rPr>
  </w:style>
  <w:style w:type="character" w:customStyle="1" w:styleId="TimesNewRomanChar2">
    <w:name w:val="样式 纯文本 + Times New Roman 四号 Char"/>
    <w:qFormat/>
    <w:rPr>
      <w:rFonts w:ascii="Times New Roman" w:eastAsia="宋体" w:hAnsi="Times New Roman" w:cs="Courier New"/>
      <w:sz w:val="28"/>
      <w:szCs w:val="20"/>
      <w:shd w:val="clear" w:color="auto" w:fill="FFFFFF"/>
    </w:rPr>
  </w:style>
  <w:style w:type="character" w:customStyle="1" w:styleId="z-0">
    <w:name w:val="z-窗体顶端 字符"/>
    <w:qFormat/>
    <w:locked/>
    <w:rPr>
      <w:rFonts w:ascii="Arial"/>
      <w:vanish/>
      <w:sz w:val="24"/>
      <w:szCs w:val="24"/>
      <w:shd w:val="clear" w:color="auto" w:fill="FFFFFF"/>
    </w:rPr>
  </w:style>
  <w:style w:type="character" w:customStyle="1" w:styleId="CharChar2011">
    <w:name w:val="Char Char2011"/>
    <w:qFormat/>
    <w:rPr>
      <w:rFonts w:ascii="Times New Roman" w:hAnsi="宋体" w:cs="Times New Roman"/>
      <w:b/>
      <w:bCs/>
      <w:kern w:val="2"/>
      <w:sz w:val="28"/>
      <w:szCs w:val="32"/>
      <w:shd w:val="clear" w:color="auto" w:fill="FFFFFF"/>
    </w:rPr>
  </w:style>
  <w:style w:type="character" w:customStyle="1" w:styleId="CharCharCharChar9">
    <w:name w:val="一标题 Char Char Char Char"/>
    <w:qFormat/>
    <w:rPr>
      <w:rFonts w:eastAsia="宋体" w:cs="Times New Roman"/>
      <w:sz w:val="28"/>
      <w:shd w:val="clear" w:color="auto" w:fill="FFFFFF"/>
    </w:rPr>
  </w:style>
  <w:style w:type="character" w:customStyle="1" w:styleId="Char1ff5">
    <w:name w:val="注释标题 Char1"/>
    <w:uiPriority w:val="99"/>
    <w:qFormat/>
    <w:rPr>
      <w:shd w:val="clear" w:color="auto" w:fill="FFFFFF"/>
    </w:rPr>
  </w:style>
  <w:style w:type="character" w:customStyle="1" w:styleId="df11">
    <w:name w:val="df11"/>
    <w:qFormat/>
    <w:rPr>
      <w:sz w:val="18"/>
      <w:szCs w:val="18"/>
      <w:shd w:val="clear" w:color="auto" w:fill="FFFFFF"/>
    </w:rPr>
  </w:style>
  <w:style w:type="character" w:customStyle="1" w:styleId="Charfffff3">
    <w:name w:val="新正文 Char"/>
    <w:link w:val="afffffffffffffff6"/>
    <w:qFormat/>
    <w:rPr>
      <w:rFonts w:ascii="仿宋_GB2312" w:eastAsia="仿宋_GB2312"/>
      <w:bCs/>
      <w:sz w:val="28"/>
    </w:rPr>
  </w:style>
  <w:style w:type="character" w:customStyle="1" w:styleId="52CharChar">
    <w:name w:val="样式 5 + 首行缩进:  2 字符 Char Char"/>
    <w:qFormat/>
    <w:rPr>
      <w:rFonts w:ascii="楷体_GB2312" w:eastAsia="楷体_GB2312" w:hAnsi="宋体" w:cs="Times New Roman"/>
      <w:color w:val="000000"/>
      <w:spacing w:val="-2"/>
      <w:kern w:val="2"/>
      <w:sz w:val="30"/>
      <w:szCs w:val="30"/>
      <w:shd w:val="clear" w:color="auto" w:fill="FFFFFF"/>
      <w:lang w:bidi="ar-SA"/>
    </w:rPr>
  </w:style>
  <w:style w:type="character" w:customStyle="1" w:styleId="CharCharfff6">
    <w:name w:val="图名表头 Char Char"/>
    <w:qFormat/>
    <w:rPr>
      <w:rFonts w:eastAsia="宋体"/>
      <w:szCs w:val="24"/>
      <w:shd w:val="clear" w:color="auto" w:fill="FFFFFF"/>
    </w:rPr>
  </w:style>
  <w:style w:type="character" w:customStyle="1" w:styleId="3fffb">
    <w:name w:val="批注主题 字符3"/>
    <w:qFormat/>
    <w:rPr>
      <w:b/>
      <w:bCs/>
      <w:shd w:val="clear" w:color="auto" w:fill="FFFFFF"/>
    </w:rPr>
  </w:style>
  <w:style w:type="character" w:customStyle="1" w:styleId="4ffe">
    <w:name w:val="标题 字符4"/>
    <w:qFormat/>
    <w:rPr>
      <w:rFonts w:ascii="Cambria" w:hAnsi="Cambria" w:cs="Times New Roman"/>
      <w:b/>
      <w:bCs/>
      <w:sz w:val="32"/>
      <w:szCs w:val="32"/>
      <w:shd w:val="clear" w:color="auto" w:fill="FFFFFF"/>
    </w:rPr>
  </w:style>
  <w:style w:type="character" w:customStyle="1" w:styleId="0CharCharCharChar">
    <w:name w:val="样式 居中 首行缩进:  0 字符 Char Char Char Char"/>
    <w:qFormat/>
    <w:rPr>
      <w:rFonts w:ascii="宋体" w:eastAsia="宋体" w:hAnsi="宋体" w:cs="Times New Roman"/>
      <w:color w:val="FF0000"/>
      <w:kern w:val="2"/>
      <w:sz w:val="18"/>
      <w:szCs w:val="18"/>
      <w:shd w:val="clear" w:color="auto" w:fill="FFFFFF"/>
      <w:lang w:val="en-US" w:eastAsia="zh-CN" w:bidi="ar-SA"/>
    </w:rPr>
  </w:style>
  <w:style w:type="character" w:customStyle="1" w:styleId="21d">
    <w:name w:val="标题 2 字符1"/>
    <w:uiPriority w:val="9"/>
    <w:semiHidden/>
    <w:qFormat/>
    <w:rPr>
      <w:rFonts w:ascii="Cambria" w:eastAsia="宋体" w:hAnsi="Cambria" w:cs="Times New Roman"/>
      <w:b/>
      <w:bCs/>
      <w:kern w:val="2"/>
      <w:sz w:val="32"/>
      <w:szCs w:val="32"/>
      <w:shd w:val="clear" w:color="auto" w:fill="FFFFFF"/>
    </w:rPr>
  </w:style>
  <w:style w:type="character" w:customStyle="1" w:styleId="description">
    <w:name w:val="description"/>
    <w:qFormat/>
    <w:rPr>
      <w:shd w:val="clear" w:color="auto" w:fill="FFFFFF"/>
    </w:rPr>
  </w:style>
  <w:style w:type="character" w:customStyle="1" w:styleId="CharCharf4">
    <w:name w:val="内容 Char Char"/>
    <w:link w:val="afffffffffffffff7"/>
    <w:qFormat/>
    <w:locked/>
    <w:rPr>
      <w:rFonts w:eastAsia="Times New Roman"/>
      <w:sz w:val="24"/>
      <w:szCs w:val="21"/>
    </w:rPr>
  </w:style>
  <w:style w:type="character" w:customStyle="1" w:styleId="CharCharCharCharCharCharCharCharCharCharCharCharCharCharChar0">
    <w:name w:val="正文（首行缩进两字） Char Char Char Char Char Char Char Char Char Char Char Char Char Char Char"/>
    <w:qFormat/>
    <w:rPr>
      <w:rFonts w:eastAsia="宋体" w:cs="Times New Roman"/>
      <w:kern w:val="2"/>
      <w:sz w:val="30"/>
      <w:shd w:val="clear" w:color="auto" w:fill="FFFFFF"/>
      <w:lang w:val="en-US" w:eastAsia="zh-CN"/>
    </w:rPr>
  </w:style>
  <w:style w:type="character" w:customStyle="1" w:styleId="Char2c">
    <w:name w:val="电子邮件签名 Char2"/>
    <w:uiPriority w:val="99"/>
    <w:semiHidden/>
    <w:qFormat/>
    <w:rPr>
      <w:rFonts w:ascii="Times New Roman" w:eastAsia="宋体" w:hAnsi="Times New Roman" w:cs="Times New Roman"/>
      <w:szCs w:val="24"/>
      <w:shd w:val="clear" w:color="auto" w:fill="FFFFFF"/>
    </w:rPr>
  </w:style>
  <w:style w:type="character" w:customStyle="1" w:styleId="H8Char">
    <w:name w:val="H8 Char"/>
    <w:qFormat/>
    <w:rPr>
      <w:rFonts w:ascii="Arial" w:eastAsia="黑体" w:hAnsi="Arial"/>
      <w:sz w:val="24"/>
      <w:szCs w:val="24"/>
      <w:shd w:val="clear" w:color="auto" w:fill="FFFFFF"/>
      <w:lang w:val="en-US" w:eastAsia="zh-CN" w:bidi="ar-SA"/>
    </w:rPr>
  </w:style>
  <w:style w:type="character" w:customStyle="1" w:styleId="LChar">
    <w:name w:val="L正文 Char"/>
    <w:link w:val="L"/>
    <w:qFormat/>
    <w:rPr>
      <w:bCs/>
      <w:sz w:val="26"/>
      <w:szCs w:val="26"/>
    </w:rPr>
  </w:style>
  <w:style w:type="character" w:customStyle="1" w:styleId="2CharCharCharCharCharCharCharCharCharCharCharCharCharCharCharCharCharCharCharCharCharCharCharCharCharCharChar">
    <w:name w:val="标题 2 Char Char Char Char Char Char Char Char Char Char Char Char Char Char Char Char Char Char Char Char Char Char Char Char Char Char Char"/>
    <w:qFormat/>
    <w:rPr>
      <w:rFonts w:ascii="Arial" w:eastAsia="黑体" w:hAnsi="Arial"/>
      <w:b/>
      <w:bCs/>
      <w:kern w:val="2"/>
      <w:sz w:val="32"/>
      <w:szCs w:val="32"/>
      <w:shd w:val="clear" w:color="auto" w:fill="FFFFFF"/>
      <w:lang w:val="en-US" w:eastAsia="zh-CN" w:bidi="ar-SA"/>
    </w:rPr>
  </w:style>
  <w:style w:type="character" w:customStyle="1" w:styleId="2Char31">
    <w:name w:val="正文首行缩进 2 Char3"/>
    <w:qFormat/>
    <w:rPr>
      <w:rFonts w:ascii="宋体" w:eastAsia="宋体" w:cs="Times New Roman"/>
      <w:sz w:val="28"/>
      <w:shd w:val="clear" w:color="auto" w:fill="FFFFFF"/>
    </w:rPr>
  </w:style>
  <w:style w:type="character" w:customStyle="1" w:styleId="3CharChar2">
    <w:name w:val="3级标题 Char Char"/>
    <w:link w:val="3f8"/>
    <w:qFormat/>
    <w:rPr>
      <w:rFonts w:ascii="黑体" w:eastAsia="黑体"/>
      <w:sz w:val="24"/>
      <w:szCs w:val="32"/>
    </w:rPr>
  </w:style>
  <w:style w:type="character" w:customStyle="1" w:styleId="01CharCharChar">
    <w:name w:val="表格01 Char Char Char"/>
    <w:link w:val="01CharChar0"/>
    <w:qFormat/>
    <w:rPr>
      <w:snapToGrid w:val="0"/>
      <w:spacing w:val="-2"/>
      <w:sz w:val="28"/>
      <w:szCs w:val="28"/>
    </w:rPr>
  </w:style>
  <w:style w:type="character" w:customStyle="1" w:styleId="articlebody3">
    <w:name w:val="articlebody3"/>
    <w:qFormat/>
    <w:rPr>
      <w:rFonts w:cs="Times New Roman"/>
      <w:sz w:val="21"/>
      <w:szCs w:val="21"/>
      <w:shd w:val="clear" w:color="auto" w:fill="FFFFFF"/>
    </w:rPr>
  </w:style>
  <w:style w:type="character" w:customStyle="1" w:styleId="6Char">
    <w:name w:val="标题6 Char"/>
    <w:link w:val="67"/>
    <w:qFormat/>
    <w:rPr>
      <w:rFonts w:ascii="宋体" w:hAnsi="宋体"/>
      <w:kern w:val="2"/>
      <w:sz w:val="21"/>
      <w:szCs w:val="21"/>
    </w:rPr>
  </w:style>
  <w:style w:type="character" w:customStyle="1" w:styleId="Charfffff4">
    <w:name w:val="燕山正文 Char"/>
    <w:link w:val="afffffffffffffff8"/>
    <w:qFormat/>
    <w:rPr>
      <w:snapToGrid w:val="0"/>
      <w:color w:val="000000"/>
      <w:spacing w:val="10"/>
      <w:sz w:val="24"/>
      <w:szCs w:val="21"/>
    </w:rPr>
  </w:style>
  <w:style w:type="character" w:customStyle="1" w:styleId="photo">
    <w:name w:val="photo"/>
    <w:qFormat/>
    <w:rPr>
      <w:vanish/>
    </w:rPr>
  </w:style>
  <w:style w:type="character" w:customStyle="1" w:styleId="1H1Heading11level1Level1HeadPIM1AChar">
    <w:name w:val="样式 标题 1H1Heading 11level 1Level 1 Head章章节标题PIM 1第A章第*部分... Char"/>
    <w:qFormat/>
    <w:rPr>
      <w:rFonts w:ascii="Times New Roman" w:hAnsi="Times New Roman"/>
      <w:b/>
      <w:bCs/>
      <w:sz w:val="36"/>
      <w:szCs w:val="32"/>
      <w:shd w:val="clear" w:color="auto" w:fill="FFFFFF"/>
      <w:lang w:val="en-US" w:eastAsia="zh-CN"/>
    </w:rPr>
  </w:style>
  <w:style w:type="character" w:customStyle="1" w:styleId="Charfffff5">
    <w:name w:val="三级标题新 Char"/>
    <w:link w:val="afffffffffffffff9"/>
    <w:qFormat/>
    <w:rPr>
      <w:rFonts w:hAnsi="宋体"/>
      <w:b/>
      <w:bCs/>
      <w:sz w:val="28"/>
      <w:szCs w:val="28"/>
      <w:lang w:eastAsia="zh-TW"/>
    </w:rPr>
  </w:style>
  <w:style w:type="character" w:customStyle="1" w:styleId="2fffffff2">
    <w:name w:val="未处理的提及2"/>
    <w:uiPriority w:val="99"/>
    <w:unhideWhenUsed/>
    <w:qFormat/>
    <w:rPr>
      <w:color w:val="605E5C"/>
      <w:shd w:val="clear" w:color="auto" w:fill="E1DFDD"/>
    </w:rPr>
  </w:style>
  <w:style w:type="character" w:customStyle="1" w:styleId="Char35">
    <w:name w:val="脚注文本 Char3"/>
    <w:qFormat/>
    <w:rPr>
      <w:kern w:val="2"/>
      <w:sz w:val="18"/>
      <w:szCs w:val="18"/>
      <w:shd w:val="clear" w:color="auto" w:fill="FFFFFF"/>
    </w:rPr>
  </w:style>
  <w:style w:type="character" w:customStyle="1" w:styleId="3Char21">
    <w:name w:val="标题 3 Char2"/>
    <w:qFormat/>
    <w:rPr>
      <w:rFonts w:eastAsia="宋体"/>
      <w:b/>
      <w:bCs/>
      <w:kern w:val="2"/>
      <w:sz w:val="32"/>
      <w:szCs w:val="32"/>
      <w:shd w:val="clear" w:color="auto" w:fill="FFFFFF"/>
      <w:lang w:val="en-US" w:eastAsia="zh-CN" w:bidi="ar-SA"/>
    </w:rPr>
  </w:style>
  <w:style w:type="character" w:customStyle="1" w:styleId="3CharCharChar1">
    <w:name w:val="标题 3 Char Char Char1"/>
    <w:qFormat/>
    <w:rPr>
      <w:rFonts w:ascii="宋体" w:eastAsia="宋体" w:hAnsi="宋体" w:cs="宋体" w:hint="eastAsia"/>
      <w:b/>
      <w:kern w:val="2"/>
      <w:sz w:val="32"/>
      <w:szCs w:val="32"/>
      <w:shd w:val="clear" w:color="auto" w:fill="FFFFFF"/>
      <w:lang w:val="en-US" w:eastAsia="zh-CN"/>
    </w:rPr>
  </w:style>
  <w:style w:type="character" w:customStyle="1" w:styleId="112CharChar0">
    <w:name w:val="1.1标题2 Char Char"/>
    <w:qFormat/>
    <w:rPr>
      <w:rFonts w:ascii="Arial" w:eastAsia="宋体" w:hAnsi="Arial"/>
      <w:b/>
      <w:bCs/>
      <w:kern w:val="2"/>
      <w:sz w:val="28"/>
      <w:szCs w:val="32"/>
      <w:shd w:val="clear" w:color="auto" w:fill="FFFFFF"/>
      <w:lang w:val="en-US" w:eastAsia="zh-CN" w:bidi="ar-SA"/>
    </w:rPr>
  </w:style>
  <w:style w:type="character" w:customStyle="1" w:styleId="Char2d">
    <w:name w:val="脚注文本 Char2"/>
    <w:qFormat/>
    <w:rPr>
      <w:sz w:val="18"/>
      <w:szCs w:val="18"/>
      <w:shd w:val="clear" w:color="auto" w:fill="FFFFFF"/>
    </w:rPr>
  </w:style>
  <w:style w:type="character" w:customStyle="1" w:styleId="CharCharfff7">
    <w:name w:val="表中文字 Char Char"/>
    <w:qFormat/>
    <w:rPr>
      <w:rFonts w:ascii="宋体" w:eastAsia="宋体" w:hAnsi="宋体"/>
      <w:kern w:val="2"/>
      <w:sz w:val="24"/>
      <w:szCs w:val="24"/>
      <w:shd w:val="clear" w:color="auto" w:fill="FFFFFF"/>
      <w:lang w:val="en-US" w:eastAsia="zh-CN" w:bidi="ar-SA"/>
    </w:rPr>
  </w:style>
  <w:style w:type="character" w:customStyle="1" w:styleId="Charfffff6">
    <w:name w:val="环小四表题 Char"/>
    <w:link w:val="afffffffffffffffa"/>
    <w:qFormat/>
    <w:locked/>
    <w:rPr>
      <w:rFonts w:ascii="宋体"/>
      <w:b/>
      <w:sz w:val="24"/>
      <w:szCs w:val="21"/>
    </w:rPr>
  </w:style>
  <w:style w:type="character" w:customStyle="1" w:styleId="infodetail">
    <w:name w:val="infodetail"/>
    <w:qFormat/>
    <w:rPr>
      <w:shd w:val="clear" w:color="auto" w:fill="FFFFFF"/>
    </w:rPr>
  </w:style>
  <w:style w:type="character" w:customStyle="1" w:styleId="100Char">
    <w:name w:val="正文样式100 Char"/>
    <w:qFormat/>
    <w:rPr>
      <w:rFonts w:ascii="宋体" w:eastAsia="宋体" w:hAnsi="宋体" w:cs="Courier New"/>
      <w:color w:val="000000"/>
      <w:kern w:val="2"/>
      <w:sz w:val="24"/>
      <w:szCs w:val="24"/>
      <w:shd w:val="clear" w:color="auto" w:fill="FFFFFF"/>
      <w:lang w:val="en-US" w:eastAsia="zh-CN" w:bidi="ar-SA"/>
    </w:rPr>
  </w:style>
  <w:style w:type="character" w:customStyle="1" w:styleId="asg1">
    <w:name w:val="asg1"/>
    <w:qFormat/>
    <w:rPr>
      <w:spacing w:val="375"/>
      <w:sz w:val="18"/>
      <w:szCs w:val="18"/>
      <w:shd w:val="clear" w:color="auto" w:fill="FFFFFF"/>
    </w:rPr>
  </w:style>
  <w:style w:type="character" w:customStyle="1" w:styleId="413">
    <w:name w:val="标题 4 字符1"/>
    <w:uiPriority w:val="1"/>
    <w:qFormat/>
    <w:rPr>
      <w:rFonts w:ascii="Cambria" w:eastAsia="宋体" w:hAnsi="Cambria" w:cs="Times New Roman"/>
      <w:b/>
      <w:bCs/>
      <w:kern w:val="2"/>
      <w:sz w:val="28"/>
      <w:szCs w:val="28"/>
      <w:shd w:val="clear" w:color="auto" w:fill="FFFFFF"/>
    </w:rPr>
  </w:style>
  <w:style w:type="character" w:customStyle="1" w:styleId="4CharChar0">
    <w:name w:val="样式4 Char Char"/>
    <w:qFormat/>
    <w:rPr>
      <w:rFonts w:eastAsia="仿宋_GB2312" w:cs="Times New Roman"/>
      <w:kern w:val="2"/>
      <w:sz w:val="21"/>
      <w:shd w:val="clear" w:color="auto" w:fill="FFFFFF"/>
      <w:lang w:val="en-US" w:eastAsia="zh-CN" w:bidi="ar-SA"/>
    </w:rPr>
  </w:style>
  <w:style w:type="character" w:customStyle="1" w:styleId="123YJCharChar">
    <w:name w:val="123YJ Char Char"/>
    <w:qFormat/>
    <w:rPr>
      <w:rFonts w:eastAsia="宋体"/>
      <w:kern w:val="2"/>
      <w:sz w:val="18"/>
      <w:shd w:val="clear" w:color="auto" w:fill="FFFFFF"/>
      <w:lang w:val="en-US" w:eastAsia="zh-CN" w:bidi="ar-SA"/>
    </w:rPr>
  </w:style>
  <w:style w:type="character" w:customStyle="1" w:styleId="CharCharCharCharCharChar5">
    <w:name w:val="热电厂正文 Char Char Char Char Char Char"/>
    <w:qFormat/>
    <w:rPr>
      <w:rFonts w:eastAsia="宋体"/>
      <w:color w:val="000000"/>
      <w:kern w:val="2"/>
      <w:sz w:val="24"/>
      <w:szCs w:val="21"/>
      <w:shd w:val="clear" w:color="auto" w:fill="FFFFFF"/>
      <w:lang w:val="en-US" w:eastAsia="zh-CN" w:bidi="ar-SA"/>
    </w:rPr>
  </w:style>
  <w:style w:type="character" w:customStyle="1" w:styleId="CharChar151">
    <w:name w:val="Char Char151"/>
    <w:qFormat/>
    <w:locked/>
    <w:rPr>
      <w:rFonts w:ascii="宋体" w:eastAsia="宋体" w:cs="宋体"/>
      <w:sz w:val="24"/>
      <w:szCs w:val="24"/>
      <w:shd w:val="clear" w:color="auto" w:fill="FFFFFF"/>
      <w:lang w:val="en-US" w:eastAsia="zh-CN" w:bidi="ar-SA"/>
    </w:rPr>
  </w:style>
  <w:style w:type="character" w:customStyle="1" w:styleId="2Char4">
    <w:name w:val="样式 表注 + 首行缩进:  2 字符 Char"/>
    <w:link w:val="2ff3"/>
    <w:semiHidden/>
    <w:qFormat/>
    <w:rPr>
      <w:szCs w:val="21"/>
    </w:rPr>
  </w:style>
  <w:style w:type="character" w:customStyle="1" w:styleId="HTMLChar1">
    <w:name w:val="HTML 预设格式 Char1"/>
    <w:uiPriority w:val="99"/>
    <w:qFormat/>
    <w:rPr>
      <w:rFonts w:ascii="Courier New" w:hAnsi="Courier New" w:cs="Courier New"/>
      <w:kern w:val="2"/>
      <w:shd w:val="clear" w:color="auto" w:fill="FFFFFF"/>
    </w:rPr>
  </w:style>
  <w:style w:type="character" w:customStyle="1" w:styleId="NormalCharCharCharChar">
    <w:name w:val="Normal Char Char Char Char"/>
    <w:link w:val="NormalCharCharChar"/>
    <w:qFormat/>
    <w:rPr>
      <w:rFonts w:ascii="宋体"/>
      <w:sz w:val="34"/>
      <w:szCs w:val="24"/>
    </w:rPr>
  </w:style>
  <w:style w:type="character" w:customStyle="1" w:styleId="2H211lxb211h2CharCharChar">
    <w:name w:val="样式 标题 2节H2节标题 1.1二级标题标题 lxb21.1h2第一层条二级标题 Char表标题单位名... Char Char"/>
    <w:qFormat/>
    <w:locked/>
    <w:rPr>
      <w:rFonts w:ascii="黑体" w:eastAsia="黑体" w:hAnsi="宋体"/>
      <w:bCs/>
      <w:color w:val="000000"/>
      <w:sz w:val="32"/>
      <w:szCs w:val="32"/>
      <w:shd w:val="clear" w:color="auto" w:fill="FFFFFF"/>
    </w:rPr>
  </w:style>
  <w:style w:type="character" w:customStyle="1" w:styleId="521">
    <w:name w:val="标题 5 字符2"/>
    <w:uiPriority w:val="9"/>
    <w:qFormat/>
    <w:rPr>
      <w:b/>
      <w:bCs/>
      <w:sz w:val="28"/>
      <w:szCs w:val="28"/>
      <w:shd w:val="clear" w:color="auto" w:fill="FFFFFF"/>
    </w:rPr>
  </w:style>
  <w:style w:type="character" w:customStyle="1" w:styleId="323">
    <w:name w:val="正文文本缩进 3 字符2"/>
    <w:qFormat/>
    <w:rPr>
      <w:sz w:val="16"/>
      <w:szCs w:val="16"/>
      <w:shd w:val="clear" w:color="auto" w:fill="FFFFFF"/>
    </w:rPr>
  </w:style>
  <w:style w:type="character" w:customStyle="1" w:styleId="Char1ff6">
    <w:name w:val="表格标题 Char1"/>
    <w:qFormat/>
    <w:rPr>
      <w:rFonts w:ascii="Times New Roman" w:eastAsia="宋体" w:hAnsi="Times New Roman"/>
      <w:b/>
      <w:bCs/>
      <w:sz w:val="21"/>
      <w:szCs w:val="21"/>
      <w:shd w:val="clear" w:color="auto" w:fill="FFFFFF"/>
    </w:rPr>
  </w:style>
  <w:style w:type="character" w:customStyle="1" w:styleId="Charffffffffff2">
    <w:name w:val="样式 兴化美联正文样式 + 自动设置 Char"/>
    <w:qFormat/>
    <w:locked/>
    <w:rPr>
      <w:rFonts w:ascii="宋体" w:cs="宋体"/>
      <w:sz w:val="24"/>
      <w:szCs w:val="24"/>
      <w:shd w:val="clear" w:color="auto" w:fill="FFFFFF"/>
    </w:rPr>
  </w:style>
  <w:style w:type="character" w:customStyle="1" w:styleId="mw-headline">
    <w:name w:val="mw-headline"/>
    <w:qFormat/>
    <w:rPr>
      <w:shd w:val="clear" w:color="auto" w:fill="FFFFFF"/>
    </w:rPr>
  </w:style>
  <w:style w:type="character" w:customStyle="1" w:styleId="CharCharfff8">
    <w:name w:val="表号 Char Char"/>
    <w:qFormat/>
    <w:locked/>
    <w:rPr>
      <w:rFonts w:eastAsia="宋体"/>
      <w:kern w:val="32"/>
      <w:sz w:val="24"/>
      <w:shd w:val="clear" w:color="auto" w:fill="FFFFFF"/>
      <w:lang w:val="en-US" w:eastAsia="zh-CN" w:bidi="ar-SA"/>
    </w:rPr>
  </w:style>
  <w:style w:type="character" w:customStyle="1" w:styleId="11-h11stlevelSectionHeadl1b1Char1Char">
    <w:name w:val="样式 标题 1章标题 1-*+h11st levelSection Headl1b1Char + 黑体 三号1 Char"/>
    <w:link w:val="11-h11stlevelSectionHeadl1b1Char1"/>
    <w:semiHidden/>
    <w:qFormat/>
    <w:rPr>
      <w:rFonts w:ascii="黑体" w:eastAsia="Times New Roman" w:hAnsi="黑体"/>
      <w:b/>
      <w:bCs/>
      <w:kern w:val="44"/>
      <w:sz w:val="32"/>
      <w:szCs w:val="44"/>
    </w:rPr>
  </w:style>
  <w:style w:type="character" w:customStyle="1" w:styleId="0CharCharChar">
    <w:name w:val="样式 居中 首行缩进:  0 字符 Char Char Char"/>
    <w:qFormat/>
    <w:rPr>
      <w:rFonts w:ascii="宋体" w:hAnsi="宋体"/>
      <w:color w:val="000000"/>
      <w:sz w:val="18"/>
      <w:szCs w:val="18"/>
      <w:shd w:val="clear" w:color="auto" w:fill="FFFFFF"/>
    </w:rPr>
  </w:style>
  <w:style w:type="character" w:customStyle="1" w:styleId="EmailStyle443">
    <w:name w:val="EmailStyle443"/>
    <w:qFormat/>
    <w:rPr>
      <w:rFonts w:ascii="Arial" w:eastAsia="宋体" w:hAnsi="Arial" w:cs="Arial"/>
      <w:color w:val="auto"/>
      <w:sz w:val="20"/>
      <w:shd w:val="clear" w:color="auto" w:fill="FFFFFF"/>
    </w:rPr>
  </w:style>
  <w:style w:type="character" w:customStyle="1" w:styleId="ht1">
    <w:name w:val="ht1"/>
    <w:qFormat/>
    <w:rPr>
      <w:rFonts w:ascii="黑体" w:eastAsia="黑体"/>
      <w:b/>
      <w:bCs/>
      <w:shd w:val="clear" w:color="auto" w:fill="FFFFFF"/>
    </w:rPr>
  </w:style>
  <w:style w:type="character" w:customStyle="1" w:styleId="fontstyle21">
    <w:name w:val="fontstyle21"/>
    <w:qFormat/>
    <w:rPr>
      <w:rFonts w:ascii="Times New Roman" w:hAnsi="Times New Roman" w:cs="Times New Roman"/>
      <w:color w:val="000000"/>
      <w:sz w:val="18"/>
      <w:szCs w:val="18"/>
      <w:shd w:val="clear" w:color="auto" w:fill="FFFFFF"/>
    </w:rPr>
  </w:style>
  <w:style w:type="character" w:customStyle="1" w:styleId="332">
    <w:name w:val="正文文本缩进 3 字符3"/>
    <w:qFormat/>
    <w:rPr>
      <w:sz w:val="16"/>
      <w:szCs w:val="16"/>
      <w:shd w:val="clear" w:color="auto" w:fill="FFFFFF"/>
    </w:rPr>
  </w:style>
  <w:style w:type="character" w:customStyle="1" w:styleId="4Char10">
    <w:name w:val="标题4 Char1"/>
    <w:qFormat/>
    <w:rPr>
      <w:rFonts w:ascii="Times New Roman" w:eastAsia="宋体" w:hAnsi="Times New Roman" w:cs="Times New Roman" w:hint="default"/>
      <w:b/>
      <w:sz w:val="28"/>
      <w:szCs w:val="24"/>
      <w:shd w:val="clear" w:color="auto" w:fill="FFFFFF"/>
    </w:rPr>
  </w:style>
  <w:style w:type="character" w:customStyle="1" w:styleId="1Charf4">
    <w:name w:val="陈正文1 Char"/>
    <w:qFormat/>
    <w:rPr>
      <w:rFonts w:ascii="Times New Roman" w:eastAsia="宋体" w:hAnsi="Times New Roman" w:cs="Times New Roman" w:hint="default"/>
      <w:color w:val="000000"/>
      <w:kern w:val="0"/>
      <w:szCs w:val="24"/>
      <w:shd w:val="clear" w:color="auto" w:fill="FFFFFF"/>
    </w:rPr>
  </w:style>
  <w:style w:type="character" w:customStyle="1" w:styleId="3Char22">
    <w:name w:val="正文文本 3 Char2"/>
    <w:qFormat/>
    <w:rPr>
      <w:kern w:val="2"/>
      <w:sz w:val="16"/>
      <w:szCs w:val="16"/>
      <w:shd w:val="clear" w:color="auto" w:fill="FFFFFF"/>
    </w:rPr>
  </w:style>
  <w:style w:type="character" w:customStyle="1" w:styleId="2Charf7">
    <w:name w:val="标题样式2 Char"/>
    <w:qFormat/>
    <w:rPr>
      <w:rFonts w:ascii="黑体" w:eastAsia="黑体" w:hAnsi="Arial"/>
      <w:b/>
      <w:sz w:val="24"/>
      <w:szCs w:val="24"/>
      <w:shd w:val="clear" w:color="auto" w:fill="FFFFFF"/>
      <w:lang w:val="en-US" w:eastAsia="zh-CN" w:bidi="ar-SA"/>
    </w:rPr>
  </w:style>
  <w:style w:type="character" w:customStyle="1" w:styleId="Charfffff7">
    <w:name w:val="小号 Char"/>
    <w:link w:val="afffffffffffffffb"/>
    <w:qFormat/>
    <w:rPr>
      <w:sz w:val="24"/>
    </w:rPr>
  </w:style>
  <w:style w:type="character" w:customStyle="1" w:styleId="CharCharfff9">
    <w:name w:val="表 Char Char"/>
    <w:qFormat/>
    <w:rPr>
      <w:rFonts w:ascii="Times New Roman" w:eastAsia="宋体" w:hAnsi="Times New Roman" w:cs="Times New Roman" w:hint="default"/>
      <w:spacing w:val="2"/>
      <w:sz w:val="24"/>
      <w:szCs w:val="20"/>
      <w:shd w:val="clear" w:color="auto" w:fill="FFFFFF"/>
    </w:rPr>
  </w:style>
  <w:style w:type="character" w:customStyle="1" w:styleId="CharChar16">
    <w:name w:val="Char Char1"/>
    <w:qFormat/>
    <w:rPr>
      <w:rFonts w:eastAsia="宋体"/>
      <w:sz w:val="18"/>
      <w:shd w:val="clear" w:color="auto" w:fill="FFFFFF"/>
      <w:lang w:val="en-US" w:eastAsia="zh-CN" w:bidi="ar-SA"/>
    </w:rPr>
  </w:style>
  <w:style w:type="character" w:customStyle="1" w:styleId="Charfffff8">
    <w:name w:val="小五表格 Char"/>
    <w:link w:val="afffffffffffffffc"/>
    <w:qFormat/>
    <w:rPr>
      <w:rFonts w:eastAsia="Times New Roman"/>
      <w:sz w:val="18"/>
      <w:szCs w:val="18"/>
    </w:rPr>
  </w:style>
  <w:style w:type="character" w:customStyle="1" w:styleId="Char8">
    <w:name w:val="图表名 Char"/>
    <w:link w:val="affffffc"/>
    <w:qFormat/>
    <w:rPr>
      <w:rFonts w:eastAsia="黑体"/>
      <w:snapToGrid w:val="0"/>
      <w:color w:val="000000"/>
      <w:sz w:val="28"/>
      <w:szCs w:val="28"/>
    </w:rPr>
  </w:style>
  <w:style w:type="character" w:customStyle="1" w:styleId="1CharChar10">
    <w:name w:val="段落1 Char Char1"/>
    <w:qFormat/>
    <w:rPr>
      <w:rFonts w:eastAsia="宋体"/>
      <w:color w:val="000000"/>
      <w:spacing w:val="8"/>
      <w:kern w:val="2"/>
      <w:sz w:val="24"/>
      <w:szCs w:val="21"/>
      <w:shd w:val="clear" w:color="auto" w:fill="FFFFFF"/>
      <w:lang w:val="en-US" w:eastAsia="zh-CN" w:bidi="ar-SA"/>
    </w:rPr>
  </w:style>
  <w:style w:type="character" w:customStyle="1" w:styleId="1Char8">
    <w:name w:val="1标题 Char"/>
    <w:link w:val="1ff3"/>
    <w:qFormat/>
    <w:rPr>
      <w:rFonts w:ascii="宋体" w:hAnsi="宋体"/>
      <w:b/>
      <w:kern w:val="44"/>
      <w:sz w:val="30"/>
      <w:szCs w:val="30"/>
    </w:rPr>
  </w:style>
  <w:style w:type="character" w:customStyle="1" w:styleId="CharChar1a">
    <w:name w:val="正文文字缩进 Char Char1"/>
    <w:qFormat/>
    <w:locked/>
    <w:rPr>
      <w:szCs w:val="24"/>
      <w:shd w:val="clear" w:color="auto" w:fill="FFFFFF"/>
      <w:lang w:bidi="ar-SA"/>
    </w:rPr>
  </w:style>
  <w:style w:type="character" w:customStyle="1" w:styleId="21e">
    <w:name w:val="正文文本缩进 2 字符1"/>
    <w:qFormat/>
    <w:rPr>
      <w:rFonts w:ascii="宋体" w:eastAsia="宋体" w:hAnsi="Times New Roman" w:cs="Times New Roman"/>
      <w:spacing w:val="-2"/>
      <w:kern w:val="0"/>
      <w:sz w:val="28"/>
      <w:szCs w:val="28"/>
      <w:shd w:val="clear" w:color="auto" w:fill="FFFFFF"/>
      <w:lang w:val="zh-CN"/>
    </w:rPr>
  </w:style>
  <w:style w:type="character" w:customStyle="1" w:styleId="xCharChar">
    <w:name w:val="x文 Char Char"/>
    <w:link w:val="x"/>
    <w:qFormat/>
    <w:rPr>
      <w:rFonts w:ascii="宋体" w:hAnsi="宋体"/>
      <w:kern w:val="2"/>
      <w:sz w:val="24"/>
      <w:szCs w:val="21"/>
    </w:rPr>
  </w:style>
  <w:style w:type="character" w:customStyle="1" w:styleId="highlight">
    <w:name w:val="highlight"/>
    <w:qFormat/>
    <w:rPr>
      <w:rFonts w:cs="Times New Roman"/>
      <w:shd w:val="clear" w:color="auto" w:fill="FFFFFF"/>
    </w:rPr>
  </w:style>
  <w:style w:type="character" w:customStyle="1" w:styleId="Charfffff9">
    <w:name w:val="表格式 Char"/>
    <w:link w:val="afffffffffffffffd"/>
    <w:qFormat/>
    <w:rPr>
      <w:rFonts w:ascii="宋体" w:hAnsi="宋体"/>
      <w:color w:val="0000FF"/>
      <w:spacing w:val="-5"/>
      <w:kern w:val="2"/>
      <w:sz w:val="21"/>
      <w:szCs w:val="21"/>
      <w:lang w:val="zh-CN"/>
    </w:rPr>
  </w:style>
  <w:style w:type="character" w:customStyle="1" w:styleId="active">
    <w:name w:val="active"/>
    <w:qFormat/>
    <w:rPr>
      <w:color w:val="000000"/>
      <w:shd w:val="clear" w:color="auto" w:fill="F7F7F7"/>
    </w:rPr>
  </w:style>
  <w:style w:type="character" w:customStyle="1" w:styleId="Charfffffa">
    <w:name w:val="报告文字 Char"/>
    <w:link w:val="afffffffffffffffe"/>
    <w:qFormat/>
    <w:locked/>
    <w:rPr>
      <w:rFonts w:eastAsia="仿宋_GB2312"/>
      <w:sz w:val="28"/>
    </w:rPr>
  </w:style>
  <w:style w:type="character" w:customStyle="1" w:styleId="style101">
    <w:name w:val="style101"/>
    <w:qFormat/>
    <w:rPr>
      <w:color w:val="000000"/>
      <w:shd w:val="clear" w:color="auto" w:fill="FFFFFF"/>
    </w:rPr>
  </w:style>
  <w:style w:type="character" w:customStyle="1" w:styleId="c121">
    <w:name w:val="c121"/>
    <w:qFormat/>
    <w:rPr>
      <w:color w:val="666666"/>
      <w:spacing w:val="405"/>
      <w:sz w:val="18"/>
      <w:szCs w:val="18"/>
      <w:u w:val="none"/>
      <w:shd w:val="clear" w:color="auto" w:fill="FFFFFF"/>
    </w:rPr>
  </w:style>
  <w:style w:type="character" w:customStyle="1" w:styleId="Charfffffb">
    <w:name w:val="小四正文 Char"/>
    <w:link w:val="affffffffffffffff"/>
    <w:qFormat/>
    <w:rPr>
      <w:color w:val="000000"/>
      <w:spacing w:val="-2"/>
      <w:sz w:val="24"/>
    </w:rPr>
  </w:style>
  <w:style w:type="character" w:customStyle="1" w:styleId="head121">
    <w:name w:val="head121"/>
    <w:qFormat/>
    <w:rPr>
      <w:spacing w:val="450"/>
      <w:sz w:val="22"/>
      <w:szCs w:val="22"/>
      <w:shd w:val="clear" w:color="auto" w:fill="FFFFFF"/>
    </w:rPr>
  </w:style>
  <w:style w:type="character" w:customStyle="1" w:styleId="Charfffffc">
    <w:name w:val="图名表头 Char"/>
    <w:link w:val="affffffffffffffff0"/>
    <w:qFormat/>
    <w:rPr>
      <w:kern w:val="2"/>
      <w:sz w:val="21"/>
      <w:szCs w:val="21"/>
    </w:rPr>
  </w:style>
  <w:style w:type="character" w:customStyle="1" w:styleId="2Char5">
    <w:name w:val="左2 Char"/>
    <w:link w:val="2ff4"/>
    <w:qFormat/>
    <w:locked/>
    <w:rPr>
      <w:rFonts w:ascii="宋体" w:hAnsi="宋体"/>
      <w:kern w:val="2"/>
      <w:sz w:val="28"/>
      <w:szCs w:val="28"/>
    </w:rPr>
  </w:style>
  <w:style w:type="character" w:customStyle="1" w:styleId="12Char0">
    <w:name w:val="1标题2 Char"/>
    <w:qFormat/>
    <w:rPr>
      <w:rFonts w:ascii="黑体" w:eastAsia="黑体" w:hAnsi="宋体" w:cs="黑体" w:hint="eastAsia"/>
      <w:b/>
      <w:sz w:val="24"/>
      <w:szCs w:val="24"/>
      <w:shd w:val="clear" w:color="auto" w:fill="FFFFFF"/>
    </w:rPr>
  </w:style>
  <w:style w:type="character" w:customStyle="1" w:styleId="22f6">
    <w:name w:val="正文文本 2 字符2"/>
    <w:uiPriority w:val="99"/>
    <w:qFormat/>
    <w:rPr>
      <w:rFonts w:ascii="Times New Roman" w:eastAsia="宋体" w:hAnsi="Times New Roman" w:cs="Times New Roman"/>
      <w:sz w:val="24"/>
      <w:szCs w:val="20"/>
      <w:shd w:val="clear" w:color="auto" w:fill="FFFFFF"/>
    </w:rPr>
  </w:style>
  <w:style w:type="character" w:customStyle="1" w:styleId="Charffffffffff3">
    <w:name w:val="报告表正文 Char"/>
    <w:qFormat/>
    <w:rPr>
      <w:rFonts w:ascii="Times New Roman" w:eastAsia="宋体" w:hAnsi="Times New Roman" w:cs="Times New Roman" w:hint="default"/>
      <w:kern w:val="0"/>
      <w:sz w:val="24"/>
      <w:szCs w:val="20"/>
      <w:shd w:val="clear" w:color="auto" w:fill="FFFFFF"/>
    </w:rPr>
  </w:style>
  <w:style w:type="character" w:customStyle="1" w:styleId="3fffc">
    <w:name w:val="页眉 字符3"/>
    <w:uiPriority w:val="99"/>
    <w:qFormat/>
    <w:rPr>
      <w:rFonts w:ascii="Times New Roman" w:eastAsia="宋体" w:hAnsi="Times New Roman" w:cs="Times New Roman"/>
      <w:sz w:val="18"/>
      <w:szCs w:val="18"/>
      <w:shd w:val="clear" w:color="auto" w:fill="FFFFFF"/>
    </w:rPr>
  </w:style>
  <w:style w:type="character" w:customStyle="1" w:styleId="CharChar1411">
    <w:name w:val="Char Char1411"/>
    <w:qFormat/>
    <w:rPr>
      <w:rFonts w:eastAsia="宋体"/>
      <w:kern w:val="2"/>
      <w:sz w:val="18"/>
      <w:szCs w:val="18"/>
      <w:shd w:val="clear" w:color="auto" w:fill="FFFFFF"/>
      <w:lang w:val="en-US" w:eastAsia="zh-CN" w:bidi="ar-SA"/>
    </w:rPr>
  </w:style>
  <w:style w:type="character" w:customStyle="1" w:styleId="myfont">
    <w:name w:val="myfont"/>
    <w:qFormat/>
    <w:rPr>
      <w:shd w:val="clear" w:color="auto" w:fill="FFFFFF"/>
    </w:rPr>
  </w:style>
  <w:style w:type="character" w:customStyle="1" w:styleId="3Chara">
    <w:name w:val="虎3 Char"/>
    <w:qFormat/>
    <w:locked/>
    <w:rPr>
      <w:rFonts w:ascii="Cambria" w:hAnsi="Cambria"/>
      <w:b/>
      <w:bCs/>
      <w:sz w:val="32"/>
      <w:szCs w:val="32"/>
      <w:shd w:val="clear" w:color="auto" w:fill="FFFFFF"/>
    </w:rPr>
  </w:style>
  <w:style w:type="character" w:customStyle="1" w:styleId="font81">
    <w:name w:val="font81"/>
    <w:qFormat/>
    <w:rPr>
      <w:rFonts w:ascii="宋体" w:eastAsia="宋体" w:hAnsi="宋体" w:cs="宋体" w:hint="eastAsia"/>
      <w:color w:val="000000"/>
      <w:sz w:val="21"/>
      <w:szCs w:val="21"/>
      <w:u w:val="none"/>
      <w:shd w:val="clear" w:color="auto" w:fill="FFFFFF"/>
    </w:rPr>
  </w:style>
  <w:style w:type="character" w:customStyle="1" w:styleId="Charffffc">
    <w:name w:val="表头文字 Char"/>
    <w:link w:val="afffffffffffffff"/>
    <w:uiPriority w:val="99"/>
    <w:qFormat/>
    <w:locked/>
    <w:rPr>
      <w:b/>
      <w:color w:val="FF0000"/>
      <w:sz w:val="28"/>
      <w:szCs w:val="28"/>
    </w:rPr>
  </w:style>
  <w:style w:type="character" w:customStyle="1" w:styleId="CharCharfffa">
    <w:name w:val="奇数页眉 Char Char"/>
    <w:qFormat/>
    <w:rPr>
      <w:rFonts w:eastAsia="宋体"/>
      <w:kern w:val="2"/>
      <w:sz w:val="18"/>
      <w:szCs w:val="18"/>
      <w:shd w:val="clear" w:color="auto" w:fill="FFFFFF"/>
      <w:lang w:val="en-US" w:eastAsia="zh-CN" w:bidi="ar-SA"/>
    </w:rPr>
  </w:style>
  <w:style w:type="character" w:customStyle="1" w:styleId="2CharChar5">
    <w:name w:val="正文（首行式样2） Char Char"/>
    <w:qFormat/>
    <w:rPr>
      <w:rFonts w:eastAsia="仿宋_GB2312" w:cs="Times New Roman"/>
      <w:kern w:val="2"/>
      <w:sz w:val="28"/>
      <w:shd w:val="clear" w:color="auto" w:fill="FFFFFF"/>
      <w:lang w:val="en-US" w:eastAsia="zh-CN" w:bidi="ar-SA"/>
    </w:rPr>
  </w:style>
  <w:style w:type="character" w:customStyle="1" w:styleId="mainfont21">
    <w:name w:val="mainfont21"/>
    <w:qFormat/>
    <w:rPr>
      <w:color w:val="666666"/>
      <w:sz w:val="18"/>
      <w:szCs w:val="18"/>
      <w:u w:val="none"/>
      <w:shd w:val="clear" w:color="auto" w:fill="FFFFFF"/>
    </w:rPr>
  </w:style>
  <w:style w:type="character" w:customStyle="1" w:styleId="1Charf5">
    <w:name w:val="封1 Char"/>
    <w:qFormat/>
    <w:rPr>
      <w:rFonts w:ascii="宋体" w:hAnsi="宋体" w:cs="Arial"/>
      <w:sz w:val="44"/>
      <w:shd w:val="clear" w:color="auto" w:fill="FFFFFF"/>
    </w:rPr>
  </w:style>
  <w:style w:type="character" w:customStyle="1" w:styleId="EmailStyle542">
    <w:name w:val="EmailStyle542"/>
    <w:qFormat/>
    <w:rPr>
      <w:rFonts w:ascii="Arial" w:eastAsia="宋体" w:hAnsi="Arial" w:cs="Arial"/>
      <w:color w:val="auto"/>
      <w:sz w:val="20"/>
      <w:shd w:val="clear" w:color="auto" w:fill="FFFFFF"/>
    </w:rPr>
  </w:style>
  <w:style w:type="character" w:customStyle="1" w:styleId="Char2e">
    <w:name w:val="正文首行缩进 Char2"/>
    <w:uiPriority w:val="99"/>
    <w:qFormat/>
    <w:rPr>
      <w:rFonts w:ascii="Times New Roman" w:eastAsia="宋体" w:hAnsi="Times New Roman" w:cs="Times New Roman"/>
      <w:sz w:val="21"/>
      <w:szCs w:val="24"/>
      <w:shd w:val="clear" w:color="auto" w:fill="FFFFFF"/>
    </w:rPr>
  </w:style>
  <w:style w:type="character" w:customStyle="1" w:styleId="Charfffffd">
    <w:name w:val="顶格 加粗 Char"/>
    <w:link w:val="affffffffffffffff1"/>
    <w:qFormat/>
    <w:rPr>
      <w:rFonts w:ascii="宋体" w:hAnsi="宋体"/>
      <w:b/>
      <w:szCs w:val="21"/>
    </w:rPr>
  </w:style>
  <w:style w:type="character" w:customStyle="1" w:styleId="11pt">
    <w:name w:val="正文文本 + 11 pt"/>
    <w:qFormat/>
    <w:rPr>
      <w:rFonts w:ascii="Arial Unicode MS" w:eastAsia="Arial Unicode MS" w:hAnsi="Arial Unicode MS"/>
      <w:color w:val="000000"/>
      <w:spacing w:val="0"/>
      <w:w w:val="100"/>
      <w:position w:val="0"/>
      <w:sz w:val="22"/>
      <w:szCs w:val="22"/>
      <w:shd w:val="clear" w:color="auto" w:fill="FFFFFF"/>
      <w:lang w:val="zh-CN" w:bidi="ar-SA"/>
    </w:rPr>
  </w:style>
  <w:style w:type="character" w:customStyle="1" w:styleId="22f7">
    <w:name w:val="正文文本首行缩进 2 字符2"/>
    <w:qFormat/>
    <w:rPr>
      <w:rFonts w:ascii="Times New Roman" w:eastAsia="新宋体" w:hAnsi="Times New Roman" w:cs="Times New Roman"/>
      <w:snapToGrid w:val="0"/>
      <w:color w:val="0000FF"/>
      <w:sz w:val="24"/>
      <w:szCs w:val="24"/>
      <w:shd w:val="clear" w:color="auto" w:fill="FFFFFF"/>
    </w:rPr>
  </w:style>
  <w:style w:type="character" w:customStyle="1" w:styleId="2CharChar">
    <w:name w:val="样式 正文首行缩进 2 + (符号) 宋体 + (符号) 宋体 Char Char"/>
    <w:link w:val="2ff5"/>
    <w:qFormat/>
    <w:locked/>
  </w:style>
  <w:style w:type="character" w:customStyle="1" w:styleId="9Char1Char">
    <w:name w:val="标题 9 Char1 Char"/>
    <w:uiPriority w:val="99"/>
    <w:qFormat/>
    <w:rPr>
      <w:rFonts w:ascii="Arial" w:eastAsia="黑体" w:hAnsi="Arial"/>
      <w:kern w:val="2"/>
      <w:sz w:val="21"/>
      <w:shd w:val="clear" w:color="auto" w:fill="FFFFFF"/>
      <w:lang w:val="en-US" w:eastAsia="zh-CN"/>
    </w:rPr>
  </w:style>
  <w:style w:type="character" w:customStyle="1" w:styleId="3fffd">
    <w:name w:val="正文文本缩进 字符3"/>
    <w:qFormat/>
    <w:rPr>
      <w:rFonts w:ascii="Times New Roman" w:eastAsia="新宋体" w:hAnsi="Times New Roman" w:cs="Times New Roman"/>
      <w:color w:val="0000FF"/>
      <w:sz w:val="24"/>
      <w:szCs w:val="24"/>
      <w:shd w:val="clear" w:color="auto" w:fill="FFFFFF"/>
    </w:rPr>
  </w:style>
  <w:style w:type="character" w:customStyle="1" w:styleId="affff">
    <w:name w:val="图表目录 字符"/>
    <w:link w:val="afffe"/>
    <w:qFormat/>
    <w:rPr>
      <w:rFonts w:eastAsia="楷体_GB2312"/>
      <w:color w:val="000000"/>
      <w:spacing w:val="-4"/>
      <w:kern w:val="2"/>
      <w:sz w:val="21"/>
    </w:rPr>
  </w:style>
  <w:style w:type="character" w:customStyle="1" w:styleId="aCharChar">
    <w:name w:val="a) Char Char"/>
    <w:link w:val="affffffffffffffff2"/>
    <w:qFormat/>
    <w:locked/>
    <w:rPr>
      <w:sz w:val="28"/>
    </w:rPr>
  </w:style>
  <w:style w:type="character" w:customStyle="1" w:styleId="detail">
    <w:name w:val="detail"/>
    <w:qFormat/>
    <w:rPr>
      <w:shd w:val="clear" w:color="auto" w:fill="FFFFFF"/>
    </w:rPr>
  </w:style>
  <w:style w:type="character" w:customStyle="1" w:styleId="NormalCharChar">
    <w:name w:val="Normal Char Char"/>
    <w:qFormat/>
    <w:rPr>
      <w:rFonts w:ascii="宋体"/>
      <w:sz w:val="34"/>
      <w:szCs w:val="24"/>
      <w:shd w:val="clear" w:color="auto" w:fill="FFFFFF"/>
      <w:lang w:bidi="ar-SA"/>
    </w:rPr>
  </w:style>
  <w:style w:type="character" w:customStyle="1" w:styleId="HTMLSample1">
    <w:name w:val="HTML Sample1"/>
    <w:qFormat/>
    <w:rPr>
      <w:rFonts w:ascii="Courier New" w:eastAsia="宋体" w:hAnsi="Courier New" w:cs="Courier New"/>
      <w:kern w:val="2"/>
      <w:sz w:val="32"/>
      <w:szCs w:val="32"/>
      <w:shd w:val="clear" w:color="auto" w:fill="FFFFFF"/>
      <w:lang w:val="en-US" w:eastAsia="zh-CN"/>
    </w:rPr>
  </w:style>
  <w:style w:type="character" w:customStyle="1" w:styleId="Charfffffe">
    <w:name w:val="新佑正文 Char"/>
    <w:link w:val="affffffffffffffff3"/>
    <w:qFormat/>
    <w:rPr>
      <w:sz w:val="24"/>
    </w:rPr>
  </w:style>
  <w:style w:type="character" w:customStyle="1" w:styleId="GB23124">
    <w:name w:val="样式 (西文) 宋体 (中文) 仿宋_GB2312 小四"/>
    <w:qFormat/>
    <w:rPr>
      <w:rFonts w:ascii="Times New Roman" w:eastAsia="仿宋_GB2312" w:hAnsi="Times New Roman"/>
      <w:sz w:val="24"/>
      <w:shd w:val="clear" w:color="auto" w:fill="FFFFFF"/>
    </w:rPr>
  </w:style>
  <w:style w:type="character" w:customStyle="1" w:styleId="3CharCharCharChar">
    <w:name w:val="样式 标题 3Char Char + 宋体 Char Char"/>
    <w:qFormat/>
    <w:rPr>
      <w:rFonts w:ascii="宋体" w:eastAsia="宋体" w:hAnsi="宋体"/>
      <w:b/>
      <w:bCs/>
      <w:kern w:val="2"/>
      <w:sz w:val="24"/>
      <w:szCs w:val="24"/>
      <w:shd w:val="clear" w:color="auto" w:fill="FFFFFF"/>
      <w:lang w:val="en-US" w:eastAsia="zh-CN" w:bidi="ar-SA"/>
    </w:rPr>
  </w:style>
  <w:style w:type="character" w:customStyle="1" w:styleId="CharChar25">
    <w:name w:val="Char Char25"/>
    <w:qFormat/>
    <w:rPr>
      <w:kern w:val="2"/>
      <w:sz w:val="21"/>
      <w:szCs w:val="24"/>
      <w:shd w:val="clear" w:color="auto" w:fill="FFFFFF"/>
    </w:rPr>
  </w:style>
  <w:style w:type="character" w:customStyle="1" w:styleId="cityhighlight1">
    <w:name w:val="cityhighlight1"/>
    <w:qFormat/>
    <w:rPr>
      <w:b/>
      <w:bCs/>
      <w:color w:val="CC0000"/>
      <w:shd w:val="clear" w:color="auto" w:fill="FFFFFF"/>
    </w:rPr>
  </w:style>
  <w:style w:type="character" w:customStyle="1" w:styleId="2CharChar6">
    <w:name w:val="2级标题 Char Char"/>
    <w:qFormat/>
    <w:rPr>
      <w:rFonts w:ascii="Times New Roman" w:hAnsi="Times New Roman"/>
      <w:b/>
      <w:bCs/>
      <w:iCs/>
      <w:sz w:val="36"/>
      <w:szCs w:val="24"/>
      <w:shd w:val="clear" w:color="auto" w:fill="FFFFFF"/>
    </w:rPr>
  </w:style>
  <w:style w:type="character" w:customStyle="1" w:styleId="22Char1">
    <w:name w:val="样式 样式 样式 正文 首行缩进 + 首行缩进:  2 字符 行距: 单倍行距 + 首行缩进:  2 字符 + 小四 首行缩进... Char"/>
    <w:link w:val="225"/>
    <w:qFormat/>
    <w:locked/>
    <w:rPr>
      <w:sz w:val="24"/>
    </w:rPr>
  </w:style>
  <w:style w:type="character" w:customStyle="1" w:styleId="2fffffff3">
    <w:name w:val="强调2"/>
    <w:qFormat/>
    <w:rPr>
      <w:i/>
      <w:shd w:val="clear" w:color="auto" w:fill="FFFFFF"/>
    </w:rPr>
  </w:style>
  <w:style w:type="character" w:customStyle="1" w:styleId="6Char0">
    <w:name w:val="样式 标题 6 Char"/>
    <w:link w:val="68"/>
    <w:uiPriority w:val="99"/>
    <w:qFormat/>
    <w:locked/>
    <w:rPr>
      <w:sz w:val="28"/>
      <w:lang w:val="zh-CN"/>
    </w:rPr>
  </w:style>
  <w:style w:type="character" w:customStyle="1" w:styleId="1Char9">
    <w:name w:val="表格1 Char"/>
    <w:link w:val="1ff4"/>
    <w:qFormat/>
    <w:rPr>
      <w:rFonts w:ascii="宋体" w:hAnsi="宋体"/>
      <w:kern w:val="2"/>
      <w:sz w:val="18"/>
      <w:szCs w:val="21"/>
    </w:rPr>
  </w:style>
  <w:style w:type="character" w:customStyle="1" w:styleId="3Char2">
    <w:name w:val="封3 Char"/>
    <w:link w:val="3fa"/>
    <w:qFormat/>
    <w:rPr>
      <w:b/>
      <w:sz w:val="32"/>
    </w:rPr>
  </w:style>
  <w:style w:type="character" w:customStyle="1" w:styleId="Charffffffffff4">
    <w:name w:val="【表头】 Char"/>
    <w:qFormat/>
    <w:rPr>
      <w:rFonts w:ascii="Times New Roman" w:eastAsia="黑体" w:hAnsi="Times New Roman" w:cs="Times New Roman" w:hint="default"/>
      <w:kern w:val="0"/>
      <w:sz w:val="24"/>
      <w:szCs w:val="20"/>
      <w:shd w:val="clear" w:color="auto" w:fill="FFFFFF"/>
    </w:rPr>
  </w:style>
  <w:style w:type="character" w:customStyle="1" w:styleId="201258Char">
    <w:name w:val="2012.5.8 Char"/>
    <w:link w:val="201258"/>
    <w:qFormat/>
    <w:rPr>
      <w:rFonts w:ascii="幼圆" w:eastAsia="幼圆" w:hAnsi="华文细黑"/>
      <w:sz w:val="28"/>
      <w:szCs w:val="28"/>
    </w:rPr>
  </w:style>
  <w:style w:type="character" w:customStyle="1" w:styleId="m11">
    <w:name w:val="m11"/>
    <w:qFormat/>
    <w:rPr>
      <w:rFonts w:eastAsia="宋体"/>
      <w:color w:val="000000"/>
      <w:kern w:val="2"/>
      <w:sz w:val="21"/>
      <w:szCs w:val="21"/>
      <w:shd w:val="clear" w:color="auto" w:fill="FFFFFF"/>
      <w:lang w:val="en-US" w:eastAsia="zh-CN" w:bidi="ar-SA"/>
    </w:rPr>
  </w:style>
  <w:style w:type="character" w:customStyle="1" w:styleId="1020Char">
    <w:name w:val="10.20 小标题段落 Char"/>
    <w:qFormat/>
    <w:rPr>
      <w:rFonts w:ascii="宋体" w:hAnsi="Times New Roman"/>
      <w:szCs w:val="28"/>
      <w:shd w:val="clear" w:color="auto" w:fill="FFFFFF"/>
    </w:rPr>
  </w:style>
  <w:style w:type="character" w:customStyle="1" w:styleId="3H3H31H32H333CharCharChar">
    <w:name w:val="样式 标题 3H3H31H32H33标题 3 Char Char + (中文) 宋体 Char"/>
    <w:link w:val="3H3H31H32H333CharChar"/>
    <w:qFormat/>
    <w:rPr>
      <w:rFonts w:ascii="Arial" w:hAnsi="Arial"/>
      <w:b/>
      <w:bCs/>
      <w:sz w:val="30"/>
      <w:szCs w:val="28"/>
    </w:rPr>
  </w:style>
  <w:style w:type="character" w:customStyle="1" w:styleId="Charffffff">
    <w:name w:val="图表题 Char"/>
    <w:link w:val="affffffffffffffff4"/>
    <w:qFormat/>
    <w:rPr>
      <w:rFonts w:ascii="黑体" w:eastAsia="黑体"/>
      <w:b/>
      <w:bCs/>
    </w:rPr>
  </w:style>
  <w:style w:type="character" w:customStyle="1" w:styleId="Charffffffffff5">
    <w:name w:val="题注 Char"/>
    <w:qFormat/>
    <w:rPr>
      <w:rFonts w:eastAsia="黑体" w:cs="Times New Roman"/>
      <w:kern w:val="21"/>
      <w:sz w:val="21"/>
      <w:shd w:val="clear" w:color="auto" w:fill="FFFFFF"/>
    </w:rPr>
  </w:style>
  <w:style w:type="character" w:customStyle="1" w:styleId="630">
    <w:name w:val="标题 6 字符3"/>
    <w:uiPriority w:val="9"/>
    <w:qFormat/>
    <w:rPr>
      <w:rFonts w:ascii="Cambria" w:eastAsia="宋体" w:hAnsi="Cambria" w:cs="Times New Roman"/>
      <w:b/>
      <w:bCs/>
      <w:sz w:val="24"/>
      <w:szCs w:val="24"/>
      <w:shd w:val="clear" w:color="auto" w:fill="FFFFFF"/>
    </w:rPr>
  </w:style>
  <w:style w:type="character" w:customStyle="1" w:styleId="Char1ff7">
    <w:name w:val="三级标题 Char1"/>
    <w:qFormat/>
    <w:rPr>
      <w:rFonts w:ascii="Times New Roman" w:eastAsia="宋体" w:hAnsi="Times New Roman" w:cs="Times New Roman"/>
      <w:b/>
      <w:bCs/>
      <w:sz w:val="32"/>
      <w:szCs w:val="32"/>
      <w:shd w:val="clear" w:color="auto" w:fill="FFFFFF"/>
    </w:rPr>
  </w:style>
  <w:style w:type="character" w:customStyle="1" w:styleId="2Char21">
    <w:name w:val="正文文本 2 Char2"/>
    <w:qFormat/>
    <w:rPr>
      <w:kern w:val="2"/>
      <w:sz w:val="24"/>
      <w:szCs w:val="24"/>
      <w:shd w:val="clear" w:color="auto" w:fill="FFFFFF"/>
    </w:rPr>
  </w:style>
  <w:style w:type="character" w:customStyle="1" w:styleId="Charffffffffff6">
    <w:name w:val="改性沥青正文 Char"/>
    <w:qFormat/>
    <w:rPr>
      <w:rFonts w:ascii="宋体" w:hAnsi="宋体"/>
      <w:color w:val="FF0000"/>
      <w:sz w:val="24"/>
      <w:szCs w:val="24"/>
      <w:shd w:val="clear" w:color="auto" w:fill="FFFFFF"/>
    </w:rPr>
  </w:style>
  <w:style w:type="character" w:customStyle="1" w:styleId="2Char14">
    <w:name w:val="目录 2 Char1"/>
    <w:uiPriority w:val="39"/>
    <w:qFormat/>
    <w:rPr>
      <w:shd w:val="clear" w:color="auto" w:fill="FFFFFF"/>
    </w:rPr>
  </w:style>
  <w:style w:type="character" w:customStyle="1" w:styleId="1CharChar4">
    <w:name w:val="分目录1 Char Char"/>
    <w:qFormat/>
    <w:locked/>
    <w:rPr>
      <w:sz w:val="28"/>
      <w:shd w:val="clear" w:color="auto" w:fill="FFFFFF"/>
    </w:rPr>
  </w:style>
  <w:style w:type="character" w:customStyle="1" w:styleId="Charffffff0">
    <w:name w:val="表 Char"/>
    <w:link w:val="2ff6"/>
    <w:qFormat/>
    <w:rPr>
      <w:spacing w:val="2"/>
    </w:rPr>
  </w:style>
  <w:style w:type="character" w:customStyle="1" w:styleId="evenChar1">
    <w:name w:val="even Char1"/>
    <w:qFormat/>
    <w:rPr>
      <w:rFonts w:ascii="Times New Roman" w:hAnsi="Times New Roman"/>
      <w:kern w:val="2"/>
      <w:sz w:val="18"/>
      <w:szCs w:val="18"/>
      <w:shd w:val="clear" w:color="auto" w:fill="FFFFFF"/>
    </w:rPr>
  </w:style>
  <w:style w:type="character" w:customStyle="1" w:styleId="highlight1">
    <w:name w:val="highlight1"/>
    <w:qFormat/>
    <w:rPr>
      <w:sz w:val="202"/>
      <w:szCs w:val="202"/>
      <w:shd w:val="clear" w:color="auto" w:fill="FFFFFF"/>
    </w:rPr>
  </w:style>
  <w:style w:type="character" w:customStyle="1" w:styleId="CharCharfffb">
    <w:name w:val="报告书正文 Char Char"/>
    <w:qFormat/>
    <w:rPr>
      <w:rFonts w:ascii="Times New Roman" w:eastAsia="仿宋_GB2312" w:hAnsi="Times New Roman" w:cs="Times New Roman" w:hint="default"/>
      <w:sz w:val="24"/>
      <w:szCs w:val="24"/>
      <w:shd w:val="clear" w:color="auto" w:fill="FFFFFF"/>
    </w:rPr>
  </w:style>
  <w:style w:type="character" w:customStyle="1" w:styleId="2MicrosoftSansSerif">
    <w:name w:val="正文文本 (2) + Microsoft Sans Serif"/>
    <w:qFormat/>
    <w:rPr>
      <w:rFonts w:ascii="Microsoft Sans Serif" w:eastAsia="Microsoft Sans Serif" w:hAnsi="Microsoft Sans Serif" w:cs="Microsoft Sans Serif"/>
      <w:b/>
      <w:bCs/>
      <w:color w:val="000000"/>
      <w:spacing w:val="-30"/>
      <w:w w:val="100"/>
      <w:position w:val="0"/>
      <w:sz w:val="34"/>
      <w:szCs w:val="34"/>
      <w:u w:val="none"/>
      <w:shd w:val="clear" w:color="auto" w:fill="FFFFFF"/>
      <w:lang w:val="en-US" w:eastAsia="en-US" w:bidi="en-US"/>
    </w:rPr>
  </w:style>
  <w:style w:type="character" w:customStyle="1" w:styleId="EmailStyle29381">
    <w:name w:val="EmailStyle29381"/>
    <w:qFormat/>
    <w:rPr>
      <w:rFonts w:ascii="Arial" w:eastAsia="宋体" w:hAnsi="Arial" w:cs="Arial"/>
      <w:color w:val="auto"/>
      <w:sz w:val="20"/>
      <w:shd w:val="clear" w:color="auto" w:fill="FFFFFF"/>
    </w:rPr>
  </w:style>
  <w:style w:type="character" w:customStyle="1" w:styleId="CharCharfffc">
    <w:name w:val="章 Char Char"/>
    <w:qFormat/>
    <w:rPr>
      <w:rFonts w:ascii="黑体" w:eastAsia="黑体"/>
      <w:b/>
      <w:kern w:val="44"/>
      <w:sz w:val="44"/>
      <w:shd w:val="clear" w:color="auto" w:fill="FFFFFF"/>
      <w:lang w:val="en-US" w:eastAsia="zh-CN"/>
    </w:rPr>
  </w:style>
  <w:style w:type="character" w:customStyle="1" w:styleId="4CharCharCharChar0">
    <w:name w:val="标题4 Char Char Char Char"/>
    <w:qFormat/>
    <w:rPr>
      <w:rFonts w:eastAsia="宋体"/>
      <w:kern w:val="2"/>
      <w:sz w:val="21"/>
      <w:szCs w:val="24"/>
      <w:shd w:val="clear" w:color="auto" w:fill="FFFFFF"/>
      <w:lang w:val="en-US" w:eastAsia="zh-CN" w:bidi="ar-SA"/>
    </w:rPr>
  </w:style>
  <w:style w:type="character" w:customStyle="1" w:styleId="FontStyle375">
    <w:name w:val="Font Style375"/>
    <w:qFormat/>
    <w:rPr>
      <w:rFonts w:ascii="Times New Roman" w:hAnsi="Times New Roman" w:cs="Times New Roman"/>
      <w:sz w:val="22"/>
      <w:szCs w:val="22"/>
      <w:shd w:val="clear" w:color="auto" w:fill="FFFFFF"/>
    </w:rPr>
  </w:style>
  <w:style w:type="character" w:customStyle="1" w:styleId="1Char30">
    <w:name w:val="正文文字1 Char3"/>
    <w:qFormat/>
    <w:rPr>
      <w:rFonts w:eastAsia="宋体"/>
      <w:kern w:val="2"/>
      <w:sz w:val="18"/>
      <w:szCs w:val="24"/>
      <w:shd w:val="clear" w:color="auto" w:fill="FFFFFF"/>
      <w:lang w:val="en-US" w:eastAsia="zh-CN" w:bidi="ar-SA"/>
    </w:rPr>
  </w:style>
  <w:style w:type="character" w:customStyle="1" w:styleId="CharCharCharCharChar">
    <w:name w:val="热电厂正文 Char Char Char Char Char"/>
    <w:link w:val="CharCharCharChar1"/>
    <w:qFormat/>
    <w:rPr>
      <w:kern w:val="2"/>
      <w:sz w:val="24"/>
      <w:szCs w:val="21"/>
    </w:rPr>
  </w:style>
  <w:style w:type="character" w:customStyle="1" w:styleId="3Char1CharChar">
    <w:name w:val="标题 3 Char1 Char Char"/>
    <w:qFormat/>
    <w:rPr>
      <w:rFonts w:eastAsia="宋体"/>
      <w:spacing w:val="-2"/>
      <w:sz w:val="28"/>
      <w:szCs w:val="28"/>
      <w:shd w:val="clear" w:color="auto" w:fill="FFFFFF"/>
      <w:lang w:val="en-US" w:eastAsia="zh-CN" w:bidi="ar-SA"/>
    </w:rPr>
  </w:style>
  <w:style w:type="character" w:customStyle="1" w:styleId="2CharCharCharChar">
    <w:name w:val="样式 正文首行缩进 2 + (符号) 宋体 Char Char Char Char"/>
    <w:qFormat/>
    <w:rPr>
      <w:rFonts w:ascii="宋体" w:cs="Times New Roman"/>
      <w:sz w:val="24"/>
      <w:szCs w:val="24"/>
      <w:shd w:val="clear" w:color="auto" w:fill="FFFFFF"/>
    </w:rPr>
  </w:style>
  <w:style w:type="character" w:customStyle="1" w:styleId="newstopic-h1">
    <w:name w:val="newstopic-h1"/>
    <w:qFormat/>
    <w:rPr>
      <w:rFonts w:ascii="serif mso-ascii-font-family :" w:eastAsia="serif mso-ascii-font-family :" w:hAnsi="_x000B__x000C_" w:cs="serif mso-ascii-font-family :"/>
      <w:b/>
      <w:color w:val="333333"/>
      <w:spacing w:val="0"/>
      <w:sz w:val="21"/>
      <w:szCs w:val="21"/>
      <w:shd w:val="clear" w:color="auto" w:fill="FFFFFF"/>
    </w:rPr>
  </w:style>
  <w:style w:type="character" w:customStyle="1" w:styleId="CharCharf5">
    <w:name w:val="陈正文 Char Char"/>
    <w:link w:val="affffffffffffffff5"/>
    <w:qFormat/>
    <w:locked/>
    <w:rPr>
      <w:rFonts w:hAnsi="宋体"/>
      <w:sz w:val="24"/>
    </w:rPr>
  </w:style>
  <w:style w:type="character" w:customStyle="1" w:styleId="Charffffff1">
    <w:name w:val="海南化工城正文 Char"/>
    <w:link w:val="affffffffffffffff6"/>
    <w:qFormat/>
    <w:rPr>
      <w:rFonts w:ascii="宋体" w:hAnsi="宋体"/>
      <w:sz w:val="24"/>
    </w:rPr>
  </w:style>
  <w:style w:type="character" w:customStyle="1" w:styleId="CharCharfffd">
    <w:name w:val="节 Char Char"/>
    <w:qFormat/>
    <w:rPr>
      <w:rFonts w:eastAsia="宋体"/>
      <w:b/>
      <w:kern w:val="2"/>
      <w:sz w:val="28"/>
      <w:shd w:val="clear" w:color="auto" w:fill="FFFFFF"/>
      <w:lang w:val="en-US" w:eastAsia="zh-CN"/>
    </w:rPr>
  </w:style>
  <w:style w:type="character" w:customStyle="1" w:styleId="FontStyle347">
    <w:name w:val="Font Style347"/>
    <w:qFormat/>
    <w:rPr>
      <w:rFonts w:ascii="Times New Roman" w:hAnsi="Times New Roman" w:cs="Times New Roman"/>
      <w:sz w:val="14"/>
      <w:szCs w:val="14"/>
      <w:shd w:val="clear" w:color="auto" w:fill="FFFFFF"/>
    </w:rPr>
  </w:style>
  <w:style w:type="character" w:customStyle="1" w:styleId="biztel">
    <w:name w:val="biztel"/>
    <w:qFormat/>
    <w:rPr>
      <w:shd w:val="clear" w:color="auto" w:fill="FFFFFF"/>
    </w:rPr>
  </w:style>
  <w:style w:type="character" w:customStyle="1" w:styleId="Charffffffffff7">
    <w:name w:val="正文 + 宋体 Char"/>
    <w:qFormat/>
    <w:rPr>
      <w:rFonts w:ascii="宋体" w:eastAsia="宋体" w:hAnsi="宋体" w:cs="宋体"/>
      <w:sz w:val="24"/>
      <w:szCs w:val="24"/>
      <w:shd w:val="clear" w:color="auto" w:fill="FFFFFF"/>
      <w:lang w:val="en-US" w:eastAsia="zh-CN" w:bidi="ar-SA"/>
    </w:rPr>
  </w:style>
  <w:style w:type="character" w:customStyle="1" w:styleId="1fffffff2">
    <w:name w:val="注释标题 字符1"/>
    <w:qFormat/>
    <w:rPr>
      <w:rFonts w:ascii="Times New Roman" w:eastAsia="宋体" w:hAnsi="Times New Roman" w:cs="Times New Roman"/>
      <w:szCs w:val="24"/>
      <w:shd w:val="clear" w:color="auto" w:fill="FFFFFF"/>
    </w:rPr>
  </w:style>
  <w:style w:type="character" w:customStyle="1" w:styleId="295pt">
    <w:name w:val="正文文本 (2) + 9.5 pt"/>
    <w:qFormat/>
    <w:rPr>
      <w:rFonts w:ascii="MingLiU" w:eastAsia="MingLiU" w:hAnsi="MingLiU" w:cs="MingLiU"/>
      <w:color w:val="000000"/>
      <w:spacing w:val="40"/>
      <w:w w:val="100"/>
      <w:position w:val="0"/>
      <w:sz w:val="19"/>
      <w:szCs w:val="19"/>
      <w:u w:val="none"/>
      <w:shd w:val="clear" w:color="auto" w:fill="FFFFFF"/>
      <w:lang w:val="zh-TW" w:eastAsia="zh-TW" w:bidi="zh-TW"/>
    </w:rPr>
  </w:style>
  <w:style w:type="character" w:customStyle="1" w:styleId="Charffffffffff8">
    <w:name w:val="兴化美联正文样式 Char"/>
    <w:qFormat/>
    <w:locked/>
    <w:rPr>
      <w:rFonts w:ascii="宋体" w:cs="宋体"/>
      <w:color w:val="000000"/>
      <w:sz w:val="24"/>
      <w:szCs w:val="24"/>
      <w:shd w:val="clear" w:color="auto" w:fill="FFFFFF"/>
    </w:rPr>
  </w:style>
  <w:style w:type="character" w:customStyle="1" w:styleId="BCharChar">
    <w:name w:val="B Char Char"/>
    <w:qFormat/>
    <w:rPr>
      <w:rFonts w:ascii="宋体" w:eastAsia="宋体" w:hAnsi="宋体"/>
      <w:bCs/>
      <w:kern w:val="11"/>
      <w:sz w:val="24"/>
      <w:szCs w:val="24"/>
      <w:shd w:val="clear" w:color="auto" w:fill="FFFFFF"/>
      <w:lang w:val="en-US" w:eastAsia="zh-CN" w:bidi="ar-SA"/>
    </w:rPr>
  </w:style>
  <w:style w:type="character" w:customStyle="1" w:styleId="1Char14">
    <w:name w:val="表头样式1 Char1"/>
    <w:qFormat/>
    <w:rPr>
      <w:rFonts w:ascii="Times New Roman" w:eastAsia="黑体" w:hAnsi="Times New Roman" w:cs="Times New Roman"/>
      <w:b/>
      <w:sz w:val="24"/>
      <w:szCs w:val="20"/>
      <w:shd w:val="clear" w:color="auto" w:fill="FFFFFF"/>
    </w:rPr>
  </w:style>
  <w:style w:type="character" w:customStyle="1" w:styleId="Charfff2">
    <w:name w:val="表－左对齐 Char"/>
    <w:link w:val="afffffffffffff0"/>
    <w:uiPriority w:val="99"/>
    <w:qFormat/>
    <w:locked/>
    <w:rPr>
      <w:color w:val="000000"/>
      <w:szCs w:val="21"/>
    </w:rPr>
  </w:style>
  <w:style w:type="character" w:customStyle="1" w:styleId="Char1d">
    <w:name w:val="表格文字居中 Char1"/>
    <w:link w:val="affffffffffffffff7"/>
    <w:qFormat/>
    <w:locked/>
    <w:rPr>
      <w:rFonts w:ascii="Arial" w:hAnsi="Arial"/>
      <w:sz w:val="24"/>
      <w:szCs w:val="21"/>
    </w:rPr>
  </w:style>
  <w:style w:type="character" w:customStyle="1" w:styleId="SCIDICharChar">
    <w:name w:val="SCIDI图表标题 Char Char"/>
    <w:uiPriority w:val="99"/>
    <w:qFormat/>
    <w:rPr>
      <w:rFonts w:eastAsia="宋体"/>
      <w:b/>
      <w:sz w:val="24"/>
      <w:shd w:val="clear" w:color="auto" w:fill="FFFFFF"/>
      <w:lang w:val="en-US" w:eastAsia="zh-CN"/>
    </w:rPr>
  </w:style>
  <w:style w:type="character" w:customStyle="1" w:styleId="headline-content4">
    <w:name w:val="headline-content4"/>
    <w:qFormat/>
    <w:rPr>
      <w:shd w:val="clear" w:color="auto" w:fill="FFFFFF"/>
    </w:rPr>
  </w:style>
  <w:style w:type="character" w:customStyle="1" w:styleId="Char2f">
    <w:name w:val="结束语 Char2"/>
    <w:uiPriority w:val="99"/>
    <w:semiHidden/>
    <w:qFormat/>
    <w:rPr>
      <w:rFonts w:ascii="Times New Roman" w:eastAsia="宋体" w:hAnsi="Times New Roman" w:cs="Times New Roman"/>
      <w:szCs w:val="24"/>
      <w:shd w:val="clear" w:color="auto" w:fill="FFFFFF"/>
    </w:rPr>
  </w:style>
  <w:style w:type="character" w:customStyle="1" w:styleId="ca-11">
    <w:name w:val="ca-11"/>
    <w:qFormat/>
    <w:rPr>
      <w:shd w:val="clear" w:color="auto" w:fill="FFFFFF"/>
    </w:rPr>
  </w:style>
  <w:style w:type="character" w:customStyle="1" w:styleId="5Char8">
    <w:name w:val="样式5 Char"/>
    <w:qFormat/>
    <w:rPr>
      <w:kern w:val="2"/>
      <w:sz w:val="18"/>
      <w:szCs w:val="21"/>
      <w:shd w:val="clear" w:color="auto" w:fill="FFFFFF"/>
    </w:rPr>
  </w:style>
  <w:style w:type="character" w:customStyle="1" w:styleId="618Char0">
    <w:name w:val="内文6.18 Char"/>
    <w:qFormat/>
    <w:locked/>
    <w:rPr>
      <w:rFonts w:ascii="仿宋_GB2312" w:eastAsia="仿宋_GB2312" w:hAnsi="宋体" w:cs="Arial"/>
      <w:szCs w:val="28"/>
      <w:shd w:val="clear" w:color="auto" w:fill="FFFFFF"/>
    </w:rPr>
  </w:style>
  <w:style w:type="character" w:customStyle="1" w:styleId="Char2f0">
    <w:name w:val="宏文本 Char2"/>
    <w:uiPriority w:val="99"/>
    <w:qFormat/>
    <w:rPr>
      <w:rFonts w:ascii="Courier New" w:hAnsi="Courier New" w:cs="Courier New"/>
      <w:kern w:val="2"/>
      <w:sz w:val="24"/>
      <w:szCs w:val="24"/>
      <w:shd w:val="clear" w:color="auto" w:fill="FFFFFF"/>
    </w:rPr>
  </w:style>
  <w:style w:type="character" w:customStyle="1" w:styleId="font-20">
    <w:name w:val="font-20"/>
    <w:qFormat/>
    <w:rPr>
      <w:shd w:val="clear" w:color="auto" w:fill="FFFFFF"/>
    </w:rPr>
  </w:style>
  <w:style w:type="character" w:customStyle="1" w:styleId="Char1e">
    <w:name w:val="表内格式 Char1"/>
    <w:link w:val="affffffffffffffff8"/>
    <w:qFormat/>
    <w:rPr>
      <w:sz w:val="18"/>
    </w:rPr>
  </w:style>
  <w:style w:type="character" w:customStyle="1" w:styleId="EmailStyle5601">
    <w:name w:val="EmailStyle5601"/>
    <w:qFormat/>
    <w:rPr>
      <w:rFonts w:ascii="Arial" w:eastAsia="宋体" w:hAnsi="Arial" w:cs="Arial"/>
      <w:color w:val="auto"/>
      <w:sz w:val="20"/>
      <w:shd w:val="clear" w:color="auto" w:fill="FFFFFF"/>
    </w:rPr>
  </w:style>
  <w:style w:type="character" w:customStyle="1" w:styleId="3CharCharCharCharCharCharCharCharCharCharCharCharCharCharCharChar">
    <w:name w:val="标题 3 Char Char Char Char Char Char Char Char Char Char Char Char Char Char Char Char"/>
    <w:qFormat/>
    <w:rPr>
      <w:rFonts w:ascii="宋体" w:eastAsia="宋体" w:hAnsi="宋体"/>
      <w:b/>
      <w:bCs/>
      <w:sz w:val="32"/>
      <w:szCs w:val="32"/>
      <w:shd w:val="clear" w:color="auto" w:fill="FFFFFF"/>
      <w:lang w:val="en-US" w:eastAsia="zh-CN" w:bidi="ar-SA"/>
    </w:rPr>
  </w:style>
  <w:style w:type="character" w:customStyle="1" w:styleId="line41">
    <w:name w:val="line41"/>
    <w:qFormat/>
    <w:rPr>
      <w:spacing w:val="300"/>
      <w:shd w:val="clear" w:color="auto" w:fill="FFFFFF"/>
    </w:rPr>
  </w:style>
  <w:style w:type="character" w:customStyle="1" w:styleId="font241">
    <w:name w:val="font241"/>
    <w:qFormat/>
    <w:rPr>
      <w:spacing w:val="360"/>
      <w:sz w:val="21"/>
      <w:szCs w:val="21"/>
      <w:shd w:val="clear" w:color="auto" w:fill="FFFFFF"/>
    </w:rPr>
  </w:style>
  <w:style w:type="character" w:customStyle="1" w:styleId="1H1Heading11level1Level1HeadPIM1A1Char">
    <w:name w:val="样式 标题 1H1Heading 11level 1Level 1 Head章章节标题PIM 1第A章第*部分...1 Char"/>
    <w:link w:val="1H1Heading11level1Level1HeadPIM1A1"/>
    <w:qFormat/>
    <w:rPr>
      <w:b/>
      <w:bCs/>
      <w:sz w:val="36"/>
      <w:szCs w:val="32"/>
    </w:rPr>
  </w:style>
  <w:style w:type="character" w:customStyle="1" w:styleId="2PalatinoLinotype">
    <w:name w:val="标题 #2 + Palatino Linotype"/>
    <w:qFormat/>
    <w:rPr>
      <w:rFonts w:ascii="Palatino Linotype" w:eastAsia="Palatino Linotype" w:hAnsi="Palatino Linotype" w:cs="Palatino Linotype"/>
      <w:color w:val="000000"/>
      <w:spacing w:val="0"/>
      <w:w w:val="100"/>
      <w:position w:val="0"/>
      <w:sz w:val="29"/>
      <w:szCs w:val="29"/>
      <w:shd w:val="clear" w:color="auto" w:fill="FFFFFF"/>
      <w:lang w:val="zh-CN" w:bidi="ar-SA"/>
    </w:rPr>
  </w:style>
  <w:style w:type="character" w:customStyle="1" w:styleId="CharCharfffe">
    <w:name w:val="文本框五号 Char Char"/>
    <w:qFormat/>
    <w:rPr>
      <w:rFonts w:ascii="Times New Roman" w:eastAsia="仿宋_GB2312" w:hAnsi="Times New Roman" w:cs="Times New Roman"/>
      <w:kern w:val="2"/>
      <w:sz w:val="21"/>
      <w:szCs w:val="21"/>
      <w:shd w:val="clear" w:color="auto" w:fill="FFFFFF"/>
    </w:rPr>
  </w:style>
  <w:style w:type="character" w:customStyle="1" w:styleId="dxjCharChar">
    <w:name w:val="dxj正文 Char Char"/>
    <w:link w:val="dxj"/>
    <w:uiPriority w:val="99"/>
    <w:qFormat/>
    <w:locked/>
    <w:rPr>
      <w:sz w:val="24"/>
    </w:rPr>
  </w:style>
  <w:style w:type="character" w:customStyle="1" w:styleId="3H3Char">
    <w:name w:val="样式 标题 3H3 + 黑色 Char"/>
    <w:qFormat/>
    <w:locked/>
    <w:rPr>
      <w:b/>
      <w:color w:val="000000"/>
      <w:sz w:val="24"/>
      <w:szCs w:val="24"/>
      <w:shd w:val="clear" w:color="auto" w:fill="FFFFFF"/>
    </w:rPr>
  </w:style>
  <w:style w:type="character" w:customStyle="1" w:styleId="2fffffff4">
    <w:name w:val="不明显参考2"/>
    <w:qFormat/>
    <w:rPr>
      <w:smallCaps/>
      <w:color w:val="ED7D31"/>
      <w:u w:val="single"/>
      <w:shd w:val="clear" w:color="auto" w:fill="FFFFFF"/>
    </w:r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qFormat/>
    <w:rPr>
      <w:rFonts w:eastAsia="楷体_GB2312"/>
      <w:kern w:val="2"/>
      <w:sz w:val="28"/>
      <w:shd w:val="clear" w:color="auto" w:fill="FFFFFF"/>
      <w:lang w:val="en-US" w:eastAsia="zh-CN" w:bidi="ar-SA"/>
    </w:rPr>
  </w:style>
  <w:style w:type="character" w:customStyle="1" w:styleId="CharChar26">
    <w:name w:val="Char Char26"/>
    <w:qFormat/>
    <w:rPr>
      <w:rFonts w:eastAsia="宋体"/>
      <w:kern w:val="2"/>
      <w:sz w:val="21"/>
      <w:szCs w:val="24"/>
      <w:shd w:val="clear" w:color="auto" w:fill="FFFFFF"/>
      <w:lang w:val="en-US" w:eastAsia="zh-CN" w:bidi="ar-SA"/>
    </w:rPr>
  </w:style>
  <w:style w:type="character" w:customStyle="1" w:styleId="1Charf6">
    <w:name w:val="可研标题1 Char"/>
    <w:qFormat/>
    <w:locked/>
    <w:rPr>
      <w:rFonts w:eastAsia="楷体_GB2312"/>
      <w:b/>
      <w:bCs/>
      <w:sz w:val="24"/>
      <w:szCs w:val="24"/>
      <w:shd w:val="clear" w:color="auto" w:fill="FFFFFF"/>
    </w:rPr>
  </w:style>
  <w:style w:type="character" w:customStyle="1" w:styleId="5Char9">
    <w:name w:val="标题5 Char"/>
    <w:semiHidden/>
    <w:qFormat/>
    <w:rPr>
      <w:rFonts w:eastAsia="宋体"/>
      <w:kern w:val="2"/>
      <w:sz w:val="28"/>
      <w:szCs w:val="21"/>
      <w:shd w:val="clear" w:color="auto" w:fill="FFFFFF"/>
      <w:lang w:val="en-US" w:eastAsia="zh-CN" w:bidi="ar-SA"/>
    </w:rPr>
  </w:style>
  <w:style w:type="character" w:customStyle="1" w:styleId="1CharCharChar5">
    <w:name w:val="1标题 Char Char Char"/>
    <w:qFormat/>
    <w:rPr>
      <w:rFonts w:ascii="宋体" w:eastAsia="宋体" w:hAnsi="宋体" w:cs="Times New Roman"/>
      <w:sz w:val="28"/>
      <w:shd w:val="clear" w:color="auto" w:fill="FFFFFF"/>
    </w:rPr>
  </w:style>
  <w:style w:type="character" w:customStyle="1" w:styleId="HTML20">
    <w:name w:val="HTML 地址 字符2"/>
    <w:qFormat/>
    <w:rPr>
      <w:rFonts w:ascii="Times New Roman" w:eastAsia="宋体" w:hAnsi="Times New Roman" w:cs="Times New Roman"/>
      <w:i/>
      <w:szCs w:val="24"/>
      <w:shd w:val="clear" w:color="auto" w:fill="FFFFFF"/>
    </w:rPr>
  </w:style>
  <w:style w:type="character" w:customStyle="1" w:styleId="1fffffff3">
    <w:name w:val="文档结构图 字符1"/>
    <w:qFormat/>
    <w:rPr>
      <w:rFonts w:ascii="宋体" w:eastAsia="宋体" w:hAnsi="Times New Roman" w:cs="Times New Roman"/>
      <w:sz w:val="18"/>
      <w:szCs w:val="18"/>
      <w:shd w:val="clear" w:color="auto" w:fill="FFFFFF"/>
    </w:rPr>
  </w:style>
  <w:style w:type="character" w:customStyle="1" w:styleId="CharChar181">
    <w:name w:val="Char Char181"/>
    <w:qFormat/>
    <w:rPr>
      <w:rFonts w:ascii="Arial" w:eastAsia="黑体" w:hAnsi="Arial"/>
      <w:b/>
      <w:bCs/>
      <w:kern w:val="2"/>
      <w:sz w:val="32"/>
      <w:szCs w:val="32"/>
      <w:shd w:val="clear" w:color="auto" w:fill="FFFFFF"/>
      <w:lang w:val="en-US" w:eastAsia="zh-CN" w:bidi="ar-SA"/>
    </w:rPr>
  </w:style>
  <w:style w:type="character" w:customStyle="1" w:styleId="2fffffff5">
    <w:name w:val="明显参考2"/>
    <w:qFormat/>
    <w:rPr>
      <w:b/>
      <w:sz w:val="24"/>
      <w:u w:val="single"/>
      <w:shd w:val="clear" w:color="auto" w:fill="FFFFFF"/>
    </w:rPr>
  </w:style>
  <w:style w:type="character" w:customStyle="1" w:styleId="afffffffffffffffffffffffffffffffffffffffe">
    <w:name w:val="样式 宋体 四号"/>
    <w:qFormat/>
    <w:rPr>
      <w:rFonts w:ascii="宋体" w:eastAsia="宋体" w:hAnsi="宋体" w:cs="宋体" w:hint="eastAsia"/>
      <w:sz w:val="24"/>
      <w:shd w:val="clear" w:color="auto" w:fill="FFFFFF"/>
    </w:rPr>
  </w:style>
  <w:style w:type="character" w:customStyle="1" w:styleId="004">
    <w:name w:val="样式 正文表文字00 +"/>
    <w:qFormat/>
    <w:rPr>
      <w:rFonts w:eastAsia="宋体"/>
      <w:kern w:val="0"/>
      <w:sz w:val="21"/>
      <w:shd w:val="clear" w:color="auto" w:fill="FFFFFF"/>
    </w:rPr>
  </w:style>
  <w:style w:type="character" w:customStyle="1" w:styleId="2CharCharCharChar0">
    <w:name w:val="标题 2 Char Char Char Char"/>
    <w:qFormat/>
    <w:rPr>
      <w:rFonts w:ascii="宋体" w:eastAsia="宋体" w:hAnsi="宋体" w:cs="宋体" w:hint="eastAsia"/>
      <w:b/>
      <w:kern w:val="2"/>
      <w:sz w:val="18"/>
      <w:shd w:val="clear" w:color="auto" w:fill="FFFFFF"/>
      <w:lang w:val="en-US" w:eastAsia="zh-CN"/>
    </w:rPr>
  </w:style>
  <w:style w:type="character" w:customStyle="1" w:styleId="1fffffff4">
    <w:name w:val="正文文本缩进 字符1"/>
    <w:semiHidden/>
    <w:qFormat/>
    <w:rPr>
      <w:shd w:val="clear" w:color="auto" w:fill="FFFFFF"/>
    </w:rPr>
  </w:style>
  <w:style w:type="character" w:customStyle="1" w:styleId="wsb2Char">
    <w:name w:val="wsb正文2 Char"/>
    <w:link w:val="wsb2"/>
    <w:qFormat/>
    <w:rPr>
      <w:kern w:val="2"/>
      <w:sz w:val="24"/>
      <w:szCs w:val="21"/>
    </w:rPr>
  </w:style>
  <w:style w:type="character" w:customStyle="1" w:styleId="2Char6">
    <w:name w:val="+标题2 Char"/>
    <w:link w:val="2ff7"/>
    <w:uiPriority w:val="99"/>
    <w:qFormat/>
    <w:locked/>
    <w:rPr>
      <w:b/>
      <w:sz w:val="28"/>
    </w:rPr>
  </w:style>
  <w:style w:type="character" w:customStyle="1" w:styleId="affffffffffffffffffffffffffffffffffffffff">
    <w:name w:val="重点引导"/>
    <w:semiHidden/>
    <w:qFormat/>
    <w:rPr>
      <w:b/>
      <w:i/>
      <w:shd w:val="clear" w:color="auto" w:fill="FFFFFF"/>
    </w:rPr>
  </w:style>
  <w:style w:type="character" w:customStyle="1" w:styleId="FontStyle392">
    <w:name w:val="Font Style392"/>
    <w:qFormat/>
    <w:rPr>
      <w:rFonts w:ascii="宋体" w:eastAsia="宋体" w:cs="宋体"/>
      <w:w w:val="150"/>
      <w:sz w:val="16"/>
      <w:szCs w:val="16"/>
      <w:shd w:val="clear" w:color="auto" w:fill="FFFFFF"/>
    </w:rPr>
  </w:style>
  <w:style w:type="character" w:customStyle="1" w:styleId="right1">
    <w:name w:val="right1"/>
    <w:qFormat/>
    <w:rPr>
      <w:shd w:val="clear" w:color="auto" w:fill="FFFFFF"/>
    </w:rPr>
  </w:style>
  <w:style w:type="character" w:customStyle="1" w:styleId="CharCharf6">
    <w:name w:val="陈表格中内容 Char Char"/>
    <w:link w:val="affffffffffffffff9"/>
    <w:qFormat/>
    <w:rPr>
      <w:rFonts w:hAnsi="宋体"/>
      <w:color w:val="000000"/>
      <w:szCs w:val="21"/>
    </w:rPr>
  </w:style>
  <w:style w:type="character" w:customStyle="1" w:styleId="CharCharf7">
    <w:name w:val="表格内字体 Char Char"/>
    <w:link w:val="affffffffffffffffa"/>
    <w:qFormat/>
    <w:rPr>
      <w:rFonts w:ascii="宋体" w:hAnsi="宋体"/>
      <w:color w:val="FF0000"/>
      <w:sz w:val="21"/>
      <w:szCs w:val="21"/>
    </w:rPr>
  </w:style>
  <w:style w:type="character" w:customStyle="1" w:styleId="11-h11stlevelSectionHeadl1b1CharChar">
    <w:name w:val="样式 标题 1章标题 1-*+h11st levelSection Headl1b1Char + 黑体 三号 Char"/>
    <w:link w:val="11-h11stlevelSectionHeadl1b1Char"/>
    <w:semiHidden/>
    <w:qFormat/>
    <w:rPr>
      <w:rFonts w:ascii="黑体" w:eastAsia="Times New Roman" w:hAnsi="黑体"/>
      <w:b/>
      <w:bCs/>
      <w:kern w:val="44"/>
      <w:sz w:val="32"/>
      <w:szCs w:val="44"/>
    </w:rPr>
  </w:style>
  <w:style w:type="character" w:customStyle="1" w:styleId="2TimesNewRomanChar">
    <w:name w:val="正文首行缩进 2 + Times New Roman Char"/>
    <w:link w:val="2TimesNewRoman"/>
    <w:qFormat/>
    <w:locked/>
    <w:rPr>
      <w:sz w:val="24"/>
      <w:szCs w:val="24"/>
    </w:rPr>
  </w:style>
  <w:style w:type="character" w:customStyle="1" w:styleId="CharCharffff">
    <w:name w:val="紧缩文字 Char Char"/>
    <w:qFormat/>
    <w:rPr>
      <w:rFonts w:eastAsia="宋体"/>
      <w:spacing w:val="-2"/>
      <w:sz w:val="28"/>
      <w:shd w:val="clear" w:color="auto" w:fill="FFFFFF"/>
      <w:lang w:val="en-US" w:eastAsia="zh-CN" w:bidi="ar-SA"/>
    </w:rPr>
  </w:style>
  <w:style w:type="character" w:customStyle="1" w:styleId="15Char1">
    <w:name w:val="四号宋体左齐行距1.5倍 Char"/>
    <w:qFormat/>
    <w:locked/>
    <w:rPr>
      <w:rFonts w:eastAsia="宋体"/>
      <w:b/>
      <w:bCs/>
      <w:kern w:val="2"/>
      <w:sz w:val="32"/>
      <w:szCs w:val="32"/>
      <w:shd w:val="clear" w:color="auto" w:fill="FFFFFF"/>
      <w:lang w:val="en-US" w:eastAsia="zh-CN" w:bidi="ar-SA"/>
    </w:rPr>
  </w:style>
  <w:style w:type="character" w:customStyle="1" w:styleId="u-close">
    <w:name w:val="u-close"/>
    <w:basedOn w:val="a8"/>
    <w:qFormat/>
  </w:style>
  <w:style w:type="character" w:customStyle="1" w:styleId="Char2f1">
    <w:name w:val="批注框文本 Char2"/>
    <w:qFormat/>
    <w:rPr>
      <w:sz w:val="18"/>
      <w:szCs w:val="18"/>
      <w:shd w:val="clear" w:color="auto" w:fill="FFFFFF"/>
    </w:rPr>
  </w:style>
  <w:style w:type="character" w:customStyle="1" w:styleId="1118">
    <w:name w:val="不明显强调111"/>
    <w:qFormat/>
    <w:rPr>
      <w:i/>
      <w:iCs/>
      <w:color w:val="808080"/>
      <w:shd w:val="clear" w:color="auto" w:fill="FFFFFF"/>
    </w:rPr>
  </w:style>
  <w:style w:type="character" w:customStyle="1" w:styleId="21Char">
    <w:name w:val="样式 样式2 + (符号) 宋体1 Char"/>
    <w:qFormat/>
    <w:rPr>
      <w:rFonts w:ascii="宋体" w:eastAsia="宋体"/>
      <w:kern w:val="2"/>
      <w:sz w:val="28"/>
      <w:szCs w:val="28"/>
      <w:shd w:val="clear" w:color="auto" w:fill="FFFFFF"/>
      <w:lang w:val="en-US" w:eastAsia="zh-CN" w:bidi="ar-SA"/>
    </w:rPr>
  </w:style>
  <w:style w:type="character" w:customStyle="1" w:styleId="3H31Char">
    <w:name w:val="样式 标题 3H3 + 黑色1 Char"/>
    <w:link w:val="3H31"/>
    <w:qFormat/>
    <w:locked/>
    <w:rPr>
      <w:b/>
      <w:color w:val="000000"/>
      <w:sz w:val="24"/>
      <w:szCs w:val="24"/>
    </w:rPr>
  </w:style>
  <w:style w:type="character" w:customStyle="1" w:styleId="3Char3">
    <w:name w:val="3标题(治) Char"/>
    <w:link w:val="3fb"/>
    <w:qFormat/>
    <w:rPr>
      <w:b/>
      <w:bCs/>
      <w:kern w:val="2"/>
      <w:sz w:val="28"/>
      <w:szCs w:val="28"/>
    </w:rPr>
  </w:style>
  <w:style w:type="character" w:customStyle="1" w:styleId="Charffffffffff9">
    <w:name w:val="规划正文样式 Char"/>
    <w:qFormat/>
    <w:rPr>
      <w:rFonts w:eastAsia="宋体"/>
      <w:kern w:val="2"/>
      <w:sz w:val="24"/>
      <w:szCs w:val="24"/>
      <w:shd w:val="clear" w:color="auto" w:fill="FFFFFF"/>
      <w:lang w:val="en-US" w:eastAsia="zh-CN" w:bidi="ar-SA"/>
    </w:rPr>
  </w:style>
  <w:style w:type="character" w:customStyle="1" w:styleId="2CharCharChar1">
    <w:name w:val="样式 标题 2 + (西文) 宋体 四号 非加粗 Char Char Char"/>
    <w:qFormat/>
    <w:rPr>
      <w:rFonts w:ascii="Times New Roman" w:eastAsia="黑体" w:hAnsi="Times New Roman"/>
      <w:b/>
      <w:sz w:val="28"/>
      <w:szCs w:val="32"/>
      <w:shd w:val="clear" w:color="auto" w:fill="FFFFFF"/>
    </w:rPr>
  </w:style>
  <w:style w:type="character" w:customStyle="1" w:styleId="Charffffffffffa">
    <w:name w:val="正文文 Char"/>
    <w:qFormat/>
    <w:rPr>
      <w:rFonts w:eastAsia="宋体" w:cs="宋体"/>
      <w:kern w:val="2"/>
      <w:sz w:val="24"/>
      <w:shd w:val="clear" w:color="auto" w:fill="FFFFFF"/>
      <w:lang w:val="en-US" w:eastAsia="zh-CN" w:bidi="ar-SA"/>
    </w:rPr>
  </w:style>
  <w:style w:type="character" w:customStyle="1" w:styleId="button1">
    <w:name w:val="button1"/>
    <w:qFormat/>
    <w:rPr>
      <w:color w:val="FFFFFF"/>
      <w:spacing w:val="48"/>
      <w:sz w:val="18"/>
      <w:szCs w:val="18"/>
      <w:shd w:val="clear" w:color="auto" w:fill="009933"/>
    </w:rPr>
  </w:style>
  <w:style w:type="character" w:customStyle="1" w:styleId="style1410">
    <w:name w:val="style141"/>
    <w:qFormat/>
    <w:rPr>
      <w:color w:val="FF0000"/>
      <w:shd w:val="clear" w:color="auto" w:fill="FFFFFF"/>
    </w:rPr>
  </w:style>
  <w:style w:type="character" w:customStyle="1" w:styleId="105051Char">
    <w:name w:val="标题 1 + 段前: 0.5 行 段后: 0.5 行1 Char"/>
    <w:link w:val="105051"/>
    <w:qFormat/>
    <w:rPr>
      <w:rFonts w:ascii="宋体" w:hAnsi="宋体"/>
      <w:kern w:val="44"/>
      <w:sz w:val="36"/>
      <w:szCs w:val="36"/>
    </w:rPr>
  </w:style>
  <w:style w:type="character" w:customStyle="1" w:styleId="Charffffff2">
    <w:name w:val="表上文字 Char"/>
    <w:link w:val="affffffffffffffffb"/>
    <w:qFormat/>
    <w:locked/>
    <w:rPr>
      <w:color w:val="000000"/>
      <w:spacing w:val="10"/>
      <w:sz w:val="32"/>
      <w:szCs w:val="32"/>
      <w:lang w:val="zh-CN"/>
    </w:rPr>
  </w:style>
  <w:style w:type="character" w:customStyle="1" w:styleId="12Char1">
    <w:name w:val="样式 样式1 + 首行缩进:  2 字符 Char"/>
    <w:semiHidden/>
    <w:qFormat/>
    <w:rPr>
      <w:rFonts w:ascii="宋体" w:eastAsia="宋体" w:hAnsi="宋体"/>
      <w:spacing w:val="4"/>
      <w:kern w:val="2"/>
      <w:sz w:val="24"/>
      <w:szCs w:val="24"/>
      <w:shd w:val="clear" w:color="auto" w:fill="FFFFFF"/>
      <w:lang w:val="en-US" w:eastAsia="zh-CN" w:bidi="ar-SA"/>
    </w:rPr>
  </w:style>
  <w:style w:type="character" w:customStyle="1" w:styleId="CharCharChar5">
    <w:name w:val="表标题 Char Char Char"/>
    <w:link w:val="CharCharf8"/>
    <w:qFormat/>
    <w:rPr>
      <w:b/>
      <w:bCs/>
      <w:sz w:val="24"/>
      <w:szCs w:val="21"/>
    </w:rPr>
  </w:style>
  <w:style w:type="character" w:customStyle="1" w:styleId="5Chara">
    <w:name w:val="表内小5 Char"/>
    <w:qFormat/>
    <w:rPr>
      <w:rFonts w:ascii="宋体" w:hAnsi="宋体"/>
      <w:szCs w:val="21"/>
      <w:shd w:val="clear" w:color="auto" w:fill="FFFFFF"/>
    </w:rPr>
  </w:style>
  <w:style w:type="character" w:customStyle="1" w:styleId="f10wentitle">
    <w:name w:val="f10wentitle"/>
    <w:semiHidden/>
    <w:qFormat/>
    <w:rPr>
      <w:rFonts w:eastAsia="宋体"/>
      <w:color w:val="000000"/>
      <w:kern w:val="2"/>
      <w:sz w:val="21"/>
      <w:szCs w:val="21"/>
      <w:shd w:val="clear" w:color="auto" w:fill="FFFFFF"/>
      <w:lang w:val="en-US" w:eastAsia="zh-CN" w:bidi="ar-SA"/>
    </w:rPr>
  </w:style>
  <w:style w:type="character" w:customStyle="1" w:styleId="bfont1">
    <w:name w:val="bfont1"/>
    <w:qFormat/>
    <w:rPr>
      <w:rFonts w:ascii="Arial" w:hAnsi="Arial" w:cs="Arial" w:hint="default"/>
      <w:sz w:val="18"/>
      <w:szCs w:val="18"/>
      <w:shd w:val="clear" w:color="auto" w:fill="FFFFFF"/>
    </w:rPr>
  </w:style>
  <w:style w:type="character" w:customStyle="1" w:styleId="Char2f2">
    <w:name w:val="标题 Char2"/>
    <w:uiPriority w:val="10"/>
    <w:qFormat/>
    <w:rPr>
      <w:rFonts w:ascii="Cambria" w:hAnsi="Cambria" w:cs="Times New Roman"/>
      <w:b/>
      <w:bCs/>
      <w:kern w:val="2"/>
      <w:sz w:val="32"/>
      <w:szCs w:val="32"/>
      <w:shd w:val="clear" w:color="auto" w:fill="FFFFFF"/>
    </w:rPr>
  </w:style>
  <w:style w:type="character" w:customStyle="1" w:styleId="21f">
    <w:name w:val="正文文本首行缩进 2 字符1"/>
    <w:qFormat/>
    <w:rPr>
      <w:rFonts w:ascii="Times New Roman" w:eastAsia="新宋体" w:hAnsi="Times New Roman" w:cs="Times New Roman"/>
      <w:snapToGrid w:val="0"/>
      <w:color w:val="0000FF"/>
      <w:sz w:val="24"/>
      <w:szCs w:val="24"/>
      <w:shd w:val="clear" w:color="auto" w:fill="FFFFFF"/>
    </w:rPr>
  </w:style>
  <w:style w:type="character" w:customStyle="1" w:styleId="style21">
    <w:name w:val="style21"/>
    <w:qFormat/>
    <w:rPr>
      <w:b/>
      <w:color w:val="993300"/>
      <w:sz w:val="27"/>
      <w:shd w:val="clear" w:color="auto" w:fill="FFFFFF"/>
    </w:rPr>
  </w:style>
  <w:style w:type="character" w:customStyle="1" w:styleId="2fffffff6">
    <w:name w:val="正文文本首行缩进 字符2"/>
    <w:qFormat/>
    <w:rPr>
      <w:rFonts w:ascii="Times New Roman" w:eastAsia="宋体" w:hAnsi="Times New Roman" w:cs="Times New Roman"/>
      <w:szCs w:val="24"/>
      <w:shd w:val="clear" w:color="auto" w:fill="FFFFFF"/>
    </w:rPr>
  </w:style>
  <w:style w:type="character" w:customStyle="1" w:styleId="CharCharCharChara">
    <w:name w:val="环保专篇 Char Char Char Char"/>
    <w:qFormat/>
    <w:rPr>
      <w:rFonts w:cs="Times New Roman"/>
      <w:sz w:val="24"/>
      <w:szCs w:val="24"/>
      <w:shd w:val="clear" w:color="auto" w:fill="FFFFFF"/>
      <w:lang w:val="en-US" w:eastAsia="zh-CN" w:bidi="ar-SA"/>
    </w:rPr>
  </w:style>
  <w:style w:type="character" w:customStyle="1" w:styleId="CharCharffff0">
    <w:name w:val="报告 Char Char"/>
    <w:qFormat/>
    <w:rPr>
      <w:rFonts w:eastAsia="宋体"/>
      <w:kern w:val="2"/>
      <w:sz w:val="24"/>
      <w:szCs w:val="24"/>
      <w:shd w:val="clear" w:color="auto" w:fill="FFFFFF"/>
      <w:lang w:val="en-US" w:eastAsia="zh-CN" w:bidi="ar-SA"/>
    </w:rPr>
  </w:style>
  <w:style w:type="character" w:customStyle="1" w:styleId="910">
    <w:name w:val="标题 9 字符1"/>
    <w:qFormat/>
    <w:rPr>
      <w:rFonts w:ascii="Cambria" w:eastAsia="宋体" w:hAnsi="Cambria" w:cs="Times New Roman"/>
      <w:szCs w:val="21"/>
      <w:shd w:val="clear" w:color="auto" w:fill="FFFFFF"/>
    </w:rPr>
  </w:style>
  <w:style w:type="character" w:customStyle="1" w:styleId="CharCharffff1">
    <w:name w:val="正文！！！！！ Char Char"/>
    <w:qFormat/>
    <w:rPr>
      <w:rFonts w:ascii="宋体" w:eastAsia="宋体" w:cs="Times New Roman"/>
      <w:sz w:val="24"/>
      <w:szCs w:val="24"/>
      <w:shd w:val="clear" w:color="auto" w:fill="FFFFFF"/>
      <w:lang w:bidi="ar-SA"/>
    </w:rPr>
  </w:style>
  <w:style w:type="character" w:customStyle="1" w:styleId="ft610">
    <w:name w:val="ft610"/>
    <w:qFormat/>
    <w:rPr>
      <w:rFonts w:ascii="Times" w:hAnsi="Times" w:cs="Times" w:hint="default"/>
      <w:color w:val="000000"/>
      <w:sz w:val="24"/>
      <w:szCs w:val="24"/>
      <w:shd w:val="clear" w:color="auto" w:fill="FFFFFF"/>
    </w:rPr>
  </w:style>
  <w:style w:type="character" w:customStyle="1" w:styleId="FontStyle303">
    <w:name w:val="Font Style303"/>
    <w:qFormat/>
    <w:rPr>
      <w:rFonts w:ascii="宋体" w:eastAsia="宋体" w:cs="宋体"/>
      <w:sz w:val="20"/>
      <w:szCs w:val="20"/>
      <w:shd w:val="clear" w:color="auto" w:fill="FFFFFF"/>
    </w:rPr>
  </w:style>
  <w:style w:type="character" w:customStyle="1" w:styleId="z-">
    <w:name w:val="z-窗体底端 字符"/>
    <w:link w:val="z-10"/>
    <w:qFormat/>
    <w:locked/>
    <w:rPr>
      <w:rFonts w:ascii="Arial" w:hAnsi="Arial"/>
      <w:vanish/>
      <w:sz w:val="16"/>
      <w:szCs w:val="16"/>
    </w:rPr>
  </w:style>
  <w:style w:type="character" w:customStyle="1" w:styleId="11f1">
    <w:name w:val="不明显强调11"/>
    <w:qFormat/>
    <w:rPr>
      <w:i/>
      <w:color w:val="5A5A5A"/>
      <w:shd w:val="clear" w:color="auto" w:fill="FFFFFF"/>
    </w:rPr>
  </w:style>
  <w:style w:type="character" w:customStyle="1" w:styleId="2fffffff7">
    <w:name w:val="文档结构图 字符2"/>
    <w:qFormat/>
    <w:rPr>
      <w:rFonts w:ascii="宋体" w:eastAsia="宋体" w:hAnsi="Times New Roman" w:cs="Times New Roman"/>
      <w:sz w:val="18"/>
      <w:szCs w:val="18"/>
      <w:shd w:val="clear" w:color="auto" w:fill="FFFFFF"/>
    </w:rPr>
  </w:style>
  <w:style w:type="character" w:customStyle="1" w:styleId="CharChar1b">
    <w:name w:val="图表注 Char Char1"/>
    <w:qFormat/>
    <w:rPr>
      <w:rFonts w:ascii="Arial" w:eastAsia="黑体" w:hAnsi="Arial" w:cs="Arial"/>
      <w:color w:val="000000"/>
      <w:kern w:val="2"/>
      <w:sz w:val="21"/>
      <w:szCs w:val="21"/>
      <w:shd w:val="clear" w:color="auto" w:fill="FFFFFF"/>
      <w:lang w:val="en-US" w:eastAsia="zh-CN" w:bidi="ar-SA"/>
    </w:rPr>
  </w:style>
  <w:style w:type="character" w:customStyle="1" w:styleId="cauc-0CharChar">
    <w:name w:val="cauc-0 Char Char"/>
    <w:qFormat/>
    <w:rPr>
      <w:rFonts w:ascii="Times New Roman" w:hAnsi="Times New Roman" w:cs="Times New Roman"/>
      <w:sz w:val="24"/>
      <w:szCs w:val="24"/>
      <w:shd w:val="clear" w:color="auto" w:fill="FFFFFF"/>
      <w:lang w:val="en-US" w:eastAsia="en-US"/>
    </w:rPr>
  </w:style>
  <w:style w:type="character" w:customStyle="1" w:styleId="421Char">
    <w:name w:val="4号黑体左空2格行距1倍 Char"/>
    <w:qFormat/>
    <w:locked/>
    <w:rPr>
      <w:rFonts w:eastAsia="宋体"/>
      <w:b/>
      <w:kern w:val="2"/>
      <w:sz w:val="24"/>
      <w:shd w:val="clear" w:color="auto" w:fill="FFFFFF"/>
      <w:lang w:val="en-US" w:eastAsia="zh-CN" w:bidi="ar-SA"/>
    </w:rPr>
  </w:style>
  <w:style w:type="character" w:customStyle="1" w:styleId="Char2f3">
    <w:name w:val="正文文本缩进 Char2"/>
    <w:uiPriority w:val="99"/>
    <w:semiHidden/>
    <w:qFormat/>
    <w:rPr>
      <w:rFonts w:ascii="Times New Roman" w:eastAsia="宋体" w:hAnsi="Times New Roman" w:cs="Times New Roman"/>
      <w:szCs w:val="24"/>
      <w:shd w:val="clear" w:color="auto" w:fill="FFFFFF"/>
    </w:rPr>
  </w:style>
  <w:style w:type="character" w:customStyle="1" w:styleId="1CharChar5">
    <w:name w:val="1) Char Char"/>
    <w:qFormat/>
    <w:locked/>
    <w:rPr>
      <w:shd w:val="clear" w:color="auto" w:fill="FFFFFF"/>
    </w:rPr>
  </w:style>
  <w:style w:type="character" w:customStyle="1" w:styleId="Charffffffffffb">
    <w:name w:val="图表名称 Char"/>
    <w:qFormat/>
    <w:rPr>
      <w:rFonts w:ascii="Times New Roman" w:eastAsia="黑体" w:hAnsi="Times New Roman"/>
      <w:b/>
      <w:bCs/>
      <w:sz w:val="24"/>
      <w:szCs w:val="21"/>
      <w:shd w:val="clear" w:color="auto" w:fill="FFFFFF"/>
    </w:rPr>
  </w:style>
  <w:style w:type="character" w:customStyle="1" w:styleId="pix92">
    <w:name w:val="pix92"/>
    <w:qFormat/>
    <w:rPr>
      <w:color w:val="000033"/>
      <w:sz w:val="18"/>
      <w:szCs w:val="18"/>
      <w:u w:val="none"/>
      <w:shd w:val="clear" w:color="auto" w:fill="FFFFFF"/>
    </w:rPr>
  </w:style>
  <w:style w:type="character" w:customStyle="1" w:styleId="Char1f">
    <w:name w:val="+正文 Char1"/>
    <w:link w:val="affffffffffffffffc"/>
    <w:uiPriority w:val="99"/>
    <w:qFormat/>
    <w:rPr>
      <w:sz w:val="28"/>
      <w:szCs w:val="28"/>
    </w:rPr>
  </w:style>
  <w:style w:type="character" w:customStyle="1" w:styleId="CharCharf9">
    <w:name w:val="【图片】 Char Char"/>
    <w:link w:val="affffffffffffffffd"/>
    <w:qFormat/>
    <w:locked/>
    <w:rPr>
      <w:rFonts w:ascii="宋体" w:eastAsia="Times New Roman" w:hAnsi="宋体"/>
      <w:sz w:val="24"/>
    </w:rPr>
  </w:style>
  <w:style w:type="character" w:customStyle="1" w:styleId="flzxp1">
    <w:name w:val="flzx_p1"/>
    <w:qFormat/>
    <w:rPr>
      <w:rFonts w:ascii="Arial" w:hAnsi="Arial" w:cs="Arial"/>
      <w:color w:val="003483"/>
      <w:sz w:val="30"/>
      <w:szCs w:val="30"/>
      <w:u w:val="none"/>
      <w:shd w:val="clear" w:color="auto" w:fill="FFFFFF"/>
    </w:rPr>
  </w:style>
  <w:style w:type="character" w:customStyle="1" w:styleId="FontStyle322">
    <w:name w:val="Font Style322"/>
    <w:qFormat/>
    <w:rPr>
      <w:rFonts w:ascii="Times New Roman" w:hAnsi="Times New Roman" w:cs="Times New Roman"/>
      <w:i/>
      <w:iCs/>
      <w:sz w:val="22"/>
      <w:szCs w:val="22"/>
      <w:shd w:val="clear" w:color="auto" w:fill="FFFFFF"/>
    </w:rPr>
  </w:style>
  <w:style w:type="character" w:customStyle="1" w:styleId="Charffffffffffc">
    <w:name w:val="样式 题注 + 黑体 小四 加粗 Char"/>
    <w:qFormat/>
    <w:locked/>
    <w:rPr>
      <w:rFonts w:ascii="黑体" w:eastAsia="黑体" w:hAnsi="黑体" w:cs="Arial"/>
      <w:b/>
      <w:bCs/>
      <w:sz w:val="18"/>
      <w:szCs w:val="18"/>
      <w:shd w:val="clear" w:color="auto" w:fill="FFFFFF"/>
    </w:rPr>
  </w:style>
  <w:style w:type="character" w:customStyle="1" w:styleId="AChar2">
    <w:name w:val="表头A Char"/>
    <w:link w:val="Affffffffffa"/>
    <w:uiPriority w:val="99"/>
    <w:qFormat/>
    <w:rPr>
      <w:rFonts w:eastAsia="楷体_GB2312"/>
      <w:b/>
      <w:bCs/>
      <w:kern w:val="2"/>
      <w:sz w:val="24"/>
      <w:szCs w:val="24"/>
    </w:rPr>
  </w:style>
  <w:style w:type="character" w:customStyle="1" w:styleId="4Char9">
    <w:name w:val="4级项 Char"/>
    <w:qFormat/>
    <w:rPr>
      <w:rFonts w:ascii="Times New Roman" w:hAnsi="Times New Roman"/>
      <w:sz w:val="24"/>
      <w:shd w:val="clear" w:color="auto" w:fill="FFFFFF"/>
    </w:rPr>
  </w:style>
  <w:style w:type="character" w:customStyle="1" w:styleId="CharCharCharCharCharCharCharCharCharCharCharChar">
    <w:name w:val="Char Char Char Char Char Char Char Char Char Char Char Char"/>
    <w:qFormat/>
    <w:rPr>
      <w:shd w:val="clear" w:color="auto" w:fill="FFFFFF"/>
    </w:rPr>
  </w:style>
  <w:style w:type="character" w:customStyle="1" w:styleId="CharCharffff2">
    <w:name w:val="正文首行缩 Char Char"/>
    <w:qFormat/>
    <w:rPr>
      <w:rFonts w:ascii="Calibri" w:eastAsia="宋体" w:hAnsi="Calibri" w:cs="Times New Roman"/>
      <w:color w:val="FFFFCC"/>
      <w:shd w:val="clear" w:color="auto" w:fill="FFFFFF"/>
      <w:lang w:val="en-US" w:eastAsia="zh-CN" w:bidi="ar-SA"/>
    </w:rPr>
  </w:style>
  <w:style w:type="character" w:customStyle="1" w:styleId="hui141">
    <w:name w:val="hui141"/>
    <w:qFormat/>
    <w:rPr>
      <w:b/>
      <w:bCs/>
      <w:color w:val="333333"/>
      <w:sz w:val="21"/>
      <w:szCs w:val="21"/>
      <w:shd w:val="clear" w:color="auto" w:fill="FFFFFF"/>
    </w:rPr>
  </w:style>
  <w:style w:type="character" w:customStyle="1" w:styleId="CharChar24">
    <w:name w:val="Char Char24"/>
    <w:qFormat/>
    <w:rPr>
      <w:rFonts w:ascii="Times New Roman" w:eastAsia="宋体" w:hAnsi="Times New Roman" w:cs="Times New Roman"/>
      <w:sz w:val="18"/>
      <w:szCs w:val="18"/>
      <w:shd w:val="clear" w:color="auto" w:fill="FFFFFF"/>
    </w:rPr>
  </w:style>
  <w:style w:type="character" w:customStyle="1" w:styleId="CharCharffff3">
    <w:name w:val="我的正文 Char Char"/>
    <w:qFormat/>
    <w:rPr>
      <w:shd w:val="clear" w:color="auto" w:fill="FFFFFF"/>
    </w:rPr>
  </w:style>
  <w:style w:type="character" w:customStyle="1" w:styleId="affffffffffffffffffffffffffffffffffffffff0">
    <w:name w:val="样式 宋体 三号 红色"/>
    <w:qFormat/>
    <w:rPr>
      <w:rFonts w:ascii="宋体" w:hAnsi="宋体"/>
      <w:color w:val="FF0000"/>
      <w:sz w:val="24"/>
      <w:shd w:val="clear" w:color="auto" w:fill="FFFFFF"/>
    </w:rPr>
  </w:style>
  <w:style w:type="character" w:customStyle="1" w:styleId="0Char">
    <w:name w:val="样式 居中 首行缩进:  0 字符 Char"/>
    <w:link w:val="0"/>
    <w:qFormat/>
    <w:rPr>
      <w:color w:val="FF0000"/>
      <w:sz w:val="18"/>
      <w:szCs w:val="21"/>
    </w:rPr>
  </w:style>
  <w:style w:type="character" w:customStyle="1" w:styleId="affffffffffffffffffffffffffffffffffffffff1">
    <w:name w:val="个人答复风格"/>
    <w:qFormat/>
    <w:rPr>
      <w:rFonts w:ascii="Arial" w:eastAsia="宋体" w:hAnsi="Arial" w:cs="Arial"/>
      <w:color w:val="auto"/>
      <w:sz w:val="20"/>
      <w:shd w:val="clear" w:color="auto" w:fill="FFFFFF"/>
    </w:rPr>
  </w:style>
  <w:style w:type="character" w:customStyle="1" w:styleId="Charffffffffffd">
    <w:name w:val="表头单位 Char"/>
    <w:qFormat/>
    <w:rPr>
      <w:rFonts w:ascii="Times New Roman" w:eastAsia="黑体" w:hAnsi="Times New Roman"/>
      <w:sz w:val="24"/>
      <w:shd w:val="clear" w:color="auto" w:fill="FFFFFF"/>
    </w:rPr>
  </w:style>
  <w:style w:type="character" w:customStyle="1" w:styleId="MessageHeaderLabel">
    <w:name w:val="Message Header Label"/>
    <w:qFormat/>
    <w:rPr>
      <w:rFonts w:ascii="Arial" w:hAnsi="Arial" w:cs="Arial" w:hint="default"/>
      <w:shd w:val="clear" w:color="auto" w:fill="FFFFFF"/>
    </w:rPr>
  </w:style>
  <w:style w:type="character" w:customStyle="1" w:styleId="hb3TimesNewRomanChar">
    <w:name w:val="样式 hb3 + Times New Roman Char"/>
    <w:link w:val="hb3TimesNewRoman"/>
    <w:qFormat/>
    <w:rPr>
      <w:rFonts w:ascii="宋体" w:eastAsia="黑体"/>
      <w:b/>
      <w:bCs/>
      <w:sz w:val="24"/>
      <w:szCs w:val="32"/>
    </w:rPr>
  </w:style>
  <w:style w:type="character" w:customStyle="1" w:styleId="Char1ff8">
    <w:name w:val="正文文字( 首段缩进两字） Char1"/>
    <w:qFormat/>
    <w:rPr>
      <w:rFonts w:ascii="宋体" w:hAnsi="宋体"/>
      <w:sz w:val="24"/>
      <w:shd w:val="clear" w:color="auto" w:fill="FFFFFF"/>
    </w:rPr>
  </w:style>
  <w:style w:type="character" w:customStyle="1" w:styleId="JWoo14Char">
    <w:name w:val="JWoo14 Char"/>
    <w:link w:val="JWoo14"/>
    <w:uiPriority w:val="99"/>
    <w:qFormat/>
    <w:locked/>
    <w:rPr>
      <w:w w:val="101"/>
      <w:sz w:val="24"/>
      <w:lang w:val="zh-CN"/>
    </w:rPr>
  </w:style>
  <w:style w:type="character" w:customStyle="1" w:styleId="headline-content2">
    <w:name w:val="headline-content2"/>
    <w:qFormat/>
    <w:rPr>
      <w:shd w:val="clear" w:color="auto" w:fill="FFFFFF"/>
    </w:rPr>
  </w:style>
  <w:style w:type="character" w:customStyle="1" w:styleId="CharCharffff4">
    <w:name w:val="标题 Char Char"/>
    <w:qFormat/>
    <w:rPr>
      <w:rFonts w:ascii="Cambria" w:hAnsi="Cambria" w:cs="Times New Roman"/>
      <w:b/>
      <w:bCs/>
      <w:kern w:val="2"/>
      <w:sz w:val="32"/>
      <w:szCs w:val="32"/>
      <w:shd w:val="clear" w:color="auto" w:fill="FFFFFF"/>
    </w:rPr>
  </w:style>
  <w:style w:type="character" w:customStyle="1" w:styleId="2Char7">
    <w:name w:val="首行缩进2 Char"/>
    <w:link w:val="2ff8"/>
    <w:qFormat/>
    <w:rPr>
      <w:rFonts w:ascii="仿宋_GB2312" w:eastAsia="仿宋_GB2312"/>
      <w:color w:val="000000"/>
      <w:sz w:val="24"/>
      <w:szCs w:val="21"/>
    </w:rPr>
  </w:style>
  <w:style w:type="character" w:customStyle="1" w:styleId="Char1f0">
    <w:name w:val="正文新 Char1"/>
    <w:link w:val="affffffffffffffffe"/>
    <w:qFormat/>
    <w:rPr>
      <w:sz w:val="24"/>
      <w:szCs w:val="24"/>
    </w:rPr>
  </w:style>
  <w:style w:type="character" w:customStyle="1" w:styleId="google-src-text1">
    <w:name w:val="google-src-text1"/>
    <w:qFormat/>
    <w:rPr>
      <w:vanish/>
      <w:shd w:val="clear" w:color="auto" w:fill="FFFFFF"/>
    </w:rPr>
  </w:style>
  <w:style w:type="character" w:customStyle="1" w:styleId="3CharCharCharChar0">
    <w:name w:val="样式 标题 3 + 宋体 Char Char Char Char"/>
    <w:qFormat/>
    <w:locked/>
    <w:rPr>
      <w:rFonts w:ascii="宋体" w:eastAsia="宋体" w:cs="Times New Roman"/>
      <w:b/>
      <w:bCs/>
      <w:sz w:val="32"/>
      <w:szCs w:val="32"/>
      <w:shd w:val="clear" w:color="auto" w:fill="FFFFFF"/>
    </w:rPr>
  </w:style>
  <w:style w:type="character" w:customStyle="1" w:styleId="CharChar111">
    <w:name w:val="Char Char111"/>
    <w:qFormat/>
    <w:rPr>
      <w:rFonts w:ascii="Calibri" w:hAnsi="Calibri"/>
      <w:sz w:val="28"/>
      <w:szCs w:val="24"/>
      <w:shd w:val="clear" w:color="auto" w:fill="FFFFFF"/>
      <w:lang w:bidi="ar-SA"/>
    </w:rPr>
  </w:style>
  <w:style w:type="character" w:customStyle="1" w:styleId="8PalatinoLinotype">
    <w:name w:val="正文文本 (8) + Palatino Linotype"/>
    <w:qFormat/>
    <w:rPr>
      <w:rFonts w:ascii="Palatino Linotype" w:eastAsia="Palatino Linotype" w:hAnsi="Palatino Linotype" w:cs="Palatino Linotype"/>
      <w:color w:val="000000"/>
      <w:spacing w:val="0"/>
      <w:w w:val="100"/>
      <w:position w:val="0"/>
      <w:sz w:val="20"/>
      <w:szCs w:val="20"/>
      <w:shd w:val="clear" w:color="auto" w:fill="FFFFFF"/>
      <w:lang w:val="zh-CN" w:bidi="ar-SA"/>
    </w:rPr>
  </w:style>
  <w:style w:type="character" w:customStyle="1" w:styleId="FontStyle316">
    <w:name w:val="Font Style316"/>
    <w:qFormat/>
    <w:rPr>
      <w:rFonts w:ascii="宋体" w:eastAsia="宋体" w:cs="宋体"/>
      <w:b/>
      <w:bCs/>
      <w:sz w:val="20"/>
      <w:szCs w:val="20"/>
      <w:shd w:val="clear" w:color="auto" w:fill="FFFFFF"/>
    </w:rPr>
  </w:style>
  <w:style w:type="character" w:customStyle="1" w:styleId="2fffffff8">
    <w:name w:val="正文文本缩进 字符2"/>
    <w:qFormat/>
    <w:rPr>
      <w:rFonts w:ascii="Times New Roman" w:eastAsia="新宋体" w:hAnsi="Times New Roman" w:cs="Times New Roman"/>
      <w:color w:val="0000FF"/>
      <w:sz w:val="24"/>
      <w:szCs w:val="24"/>
      <w:shd w:val="clear" w:color="auto" w:fill="FFFFFF"/>
    </w:rPr>
  </w:style>
  <w:style w:type="character" w:customStyle="1" w:styleId="Charffffffffffe">
    <w:name w:val="样式 图号 + 宋体 Char"/>
    <w:semiHidden/>
    <w:qFormat/>
    <w:rPr>
      <w:rFonts w:ascii="宋体" w:eastAsia="宋体" w:hAnsi="宋体"/>
      <w:b/>
      <w:bCs/>
      <w:kern w:val="32"/>
      <w:sz w:val="24"/>
      <w:szCs w:val="24"/>
      <w:shd w:val="clear" w:color="auto" w:fill="FFFFFF"/>
      <w:lang w:val="en-US" w:eastAsia="zh-CN" w:bidi="ar-SA"/>
    </w:rPr>
  </w:style>
  <w:style w:type="character" w:customStyle="1" w:styleId="ta14">
    <w:name w:val="ta14"/>
    <w:qFormat/>
    <w:rPr>
      <w:shd w:val="clear" w:color="auto" w:fill="FFFFFF"/>
    </w:rPr>
  </w:style>
  <w:style w:type="character" w:customStyle="1" w:styleId="7Char10">
    <w:name w:val="标题 7 Char1"/>
    <w:qFormat/>
    <w:locked/>
    <w:rPr>
      <w:b/>
      <w:kern w:val="2"/>
      <w:sz w:val="24"/>
      <w:szCs w:val="24"/>
      <w:shd w:val="clear" w:color="auto" w:fill="FFFFFF"/>
    </w:rPr>
  </w:style>
  <w:style w:type="character" w:customStyle="1" w:styleId="Charfffffffffff">
    <w:name w:val="表头标题格式 Char"/>
    <w:qFormat/>
    <w:locked/>
    <w:rPr>
      <w:rFonts w:ascii="黑体" w:eastAsia="黑体" w:hAnsi="宋体" w:cs="宋体"/>
      <w:b/>
      <w:bCs/>
      <w:sz w:val="24"/>
      <w:shd w:val="clear" w:color="auto" w:fill="FFFFFF"/>
    </w:rPr>
  </w:style>
  <w:style w:type="character" w:customStyle="1" w:styleId="font141">
    <w:name w:val="font141"/>
    <w:qFormat/>
    <w:rPr>
      <w:rFonts w:ascii="宋体" w:eastAsia="宋体" w:hAnsi="宋体" w:hint="eastAsia"/>
      <w:color w:val="FF0000"/>
      <w:sz w:val="24"/>
      <w:szCs w:val="24"/>
      <w:u w:val="none"/>
      <w:shd w:val="clear" w:color="auto" w:fill="FFFFFF"/>
    </w:rPr>
  </w:style>
  <w:style w:type="character" w:customStyle="1" w:styleId="textediteditable-title">
    <w:name w:val="text_edit editable-title"/>
    <w:qFormat/>
    <w:rPr>
      <w:shd w:val="clear" w:color="auto" w:fill="FFFFFF"/>
    </w:rPr>
  </w:style>
  <w:style w:type="character" w:customStyle="1" w:styleId="duanluo1">
    <w:name w:val="duanluo1"/>
    <w:qFormat/>
    <w:rPr>
      <w:shd w:val="clear" w:color="auto" w:fill="FFFFFF"/>
    </w:rPr>
  </w:style>
  <w:style w:type="character" w:customStyle="1" w:styleId="1GB2312Char">
    <w:name w:val="样式 标题 1 + 仿宋_GB2312 加粗 Char"/>
    <w:qFormat/>
    <w:rPr>
      <w:rFonts w:ascii="仿宋_GB2312" w:eastAsia="仿宋_GB2312" w:hAnsi="仿宋_GB2312"/>
      <w:b/>
      <w:bCs/>
      <w:kern w:val="44"/>
      <w:sz w:val="28"/>
      <w:szCs w:val="28"/>
      <w:shd w:val="clear" w:color="auto" w:fill="FFFFFF"/>
      <w:lang w:val="en-US" w:eastAsia="zh-CN" w:bidi="ar-SA"/>
    </w:rPr>
  </w:style>
  <w:style w:type="character" w:customStyle="1" w:styleId="Charffffff3">
    <w:name w:val="图片标题 Char"/>
    <w:link w:val="afffffffffffffffff"/>
    <w:qFormat/>
    <w:rPr>
      <w:b/>
      <w:bCs/>
      <w:szCs w:val="21"/>
    </w:rPr>
  </w:style>
  <w:style w:type="character" w:customStyle="1" w:styleId="fontborder">
    <w:name w:val="fontborder"/>
    <w:qFormat/>
    <w:rPr>
      <w:bdr w:val="single" w:sz="6" w:space="0" w:color="000000"/>
      <w:shd w:val="clear" w:color="auto" w:fill="FFFFFF"/>
    </w:rPr>
  </w:style>
  <w:style w:type="character" w:customStyle="1" w:styleId="2Charf8">
    <w:name w:val="样式 华陆正文 + 首行缩进:  2 字符 Char"/>
    <w:qFormat/>
    <w:rPr>
      <w:rFonts w:ascii="宋体" w:eastAsia="宋体" w:hAnsi="Times New Roman" w:cs="Times New Roman" w:hint="eastAsia"/>
      <w:bCs/>
      <w:kern w:val="0"/>
      <w:sz w:val="24"/>
      <w:szCs w:val="24"/>
      <w:shd w:val="clear" w:color="auto" w:fill="FFFFFF"/>
    </w:rPr>
  </w:style>
  <w:style w:type="character" w:customStyle="1" w:styleId="2GB2312CharChar0">
    <w:name w:val="样式 样式 标题 2 + 楷体_GB2312 + 字距调整三号 Char Char"/>
    <w:qFormat/>
    <w:rPr>
      <w:rFonts w:ascii="楷体_GB2312" w:eastAsia="楷体_GB2312" w:hAnsi="楷体_GB2312"/>
      <w:b/>
      <w:bCs/>
      <w:kern w:val="32"/>
      <w:sz w:val="30"/>
      <w:szCs w:val="30"/>
      <w:shd w:val="clear" w:color="auto" w:fill="FFFFFF"/>
    </w:rPr>
  </w:style>
  <w:style w:type="character" w:customStyle="1" w:styleId="3fffe">
    <w:name w:val="Основной текст (3)"/>
    <w:qFormat/>
    <w:rPr>
      <w:rFonts w:ascii="Times New Roman" w:hAnsi="Times New Roman" w:cs="Times New Roman"/>
      <w:spacing w:val="0"/>
      <w:sz w:val="26"/>
      <w:szCs w:val="26"/>
      <w:shd w:val="clear" w:color="auto" w:fill="FFFFFF"/>
      <w:lang w:bidi="ar-SA"/>
    </w:rPr>
  </w:style>
  <w:style w:type="character" w:customStyle="1" w:styleId="3ffff">
    <w:name w:val="页脚 字符3"/>
    <w:uiPriority w:val="99"/>
    <w:qFormat/>
    <w:rPr>
      <w:rFonts w:ascii="Times New Roman" w:eastAsia="宋体" w:hAnsi="Times New Roman" w:cs="Times New Roman"/>
      <w:sz w:val="18"/>
      <w:szCs w:val="18"/>
      <w:shd w:val="clear" w:color="auto" w:fill="FFFFFF"/>
    </w:rPr>
  </w:style>
  <w:style w:type="character" w:customStyle="1" w:styleId="afffffffffffffffff1">
    <w:name w:val="表格标题_"/>
    <w:link w:val="afffffffffffffffff0"/>
    <w:qFormat/>
    <w:rPr>
      <w:rFonts w:ascii="Arial Unicode MS" w:eastAsia="Arial Unicode MS" w:hAnsi="Arial Unicode MS"/>
      <w:sz w:val="22"/>
      <w:szCs w:val="22"/>
      <w:shd w:val="clear" w:color="auto" w:fill="FFFFFF"/>
    </w:rPr>
  </w:style>
  <w:style w:type="character" w:customStyle="1" w:styleId="style501">
    <w:name w:val="style501"/>
    <w:qFormat/>
    <w:rPr>
      <w:color w:val="000000"/>
      <w:shd w:val="clear" w:color="auto" w:fill="FFFFFF"/>
    </w:rPr>
  </w:style>
  <w:style w:type="character" w:customStyle="1" w:styleId="2fffffff9">
    <w:name w:val="正文缩进 字符2"/>
    <w:qFormat/>
    <w:rPr>
      <w:rFonts w:ascii="Arial" w:eastAsia="宋体" w:hAnsi="Arial" w:cs="Times New Roman"/>
      <w:sz w:val="24"/>
      <w:szCs w:val="24"/>
      <w:shd w:val="clear" w:color="auto" w:fill="FFFFFF"/>
    </w:rPr>
  </w:style>
  <w:style w:type="character" w:customStyle="1" w:styleId="CharCharCharf0">
    <w:name w:val="燕山正文 Char Char Char"/>
    <w:semiHidden/>
    <w:qFormat/>
    <w:rPr>
      <w:rFonts w:ascii="宋体" w:eastAsia="宋体" w:hAnsi="宋体"/>
      <w:color w:val="000000"/>
      <w:sz w:val="28"/>
      <w:szCs w:val="28"/>
      <w:shd w:val="clear" w:color="auto" w:fill="FFFFFF"/>
      <w:lang w:val="en-US" w:eastAsia="zh-CN" w:bidi="ar-SA"/>
    </w:rPr>
  </w:style>
  <w:style w:type="character" w:customStyle="1" w:styleId="1fffffff5">
    <w:name w:val="称呼 字符1"/>
    <w:semiHidden/>
    <w:qFormat/>
    <w:rPr>
      <w:rFonts w:ascii="黑体" w:eastAsia="黑体" w:hAnsi="宋体" w:cs="Times New Roman"/>
      <w:sz w:val="24"/>
      <w:szCs w:val="24"/>
      <w:shd w:val="clear" w:color="auto" w:fill="FFFFFF"/>
    </w:rPr>
  </w:style>
  <w:style w:type="character" w:customStyle="1" w:styleId="Charfffffffffff0">
    <w:name w:val="默认段落字体 Char"/>
    <w:qFormat/>
    <w:rPr>
      <w:rFonts w:hint="eastAsia"/>
      <w:color w:val="000000"/>
      <w:sz w:val="21"/>
      <w:u w:val="none" w:color="000000"/>
      <w:shd w:val="clear" w:color="auto" w:fill="FFFFFF"/>
      <w:lang w:val="en-US" w:eastAsia="zh-CN"/>
    </w:rPr>
  </w:style>
  <w:style w:type="character" w:customStyle="1" w:styleId="319">
    <w:name w:val="标题 3 字符1"/>
    <w:qFormat/>
    <w:rPr>
      <w:rFonts w:ascii="Calibri" w:eastAsia="宋体" w:hAnsi="Calibri"/>
      <w:b/>
      <w:bCs/>
      <w:kern w:val="2"/>
      <w:sz w:val="32"/>
      <w:szCs w:val="32"/>
      <w:shd w:val="clear" w:color="auto" w:fill="FFFFFF"/>
    </w:rPr>
  </w:style>
  <w:style w:type="character" w:customStyle="1" w:styleId="26CharCharCharChar">
    <w:name w:val="样式 (符号) 宋体 小四 行距: 固定值 26 磅 Char Char Char Char"/>
    <w:qFormat/>
    <w:locked/>
    <w:rPr>
      <w:rFonts w:ascii="宋体" w:eastAsia="宋体" w:cs="Times New Roman"/>
      <w:color w:val="000000"/>
      <w:sz w:val="28"/>
      <w:szCs w:val="28"/>
      <w:shd w:val="clear" w:color="auto" w:fill="FFFFFF"/>
    </w:rPr>
  </w:style>
  <w:style w:type="character" w:customStyle="1" w:styleId="Charfffffffffff1">
    <w:name w:val="题注（图、表） Char"/>
    <w:qFormat/>
    <w:rPr>
      <w:rFonts w:ascii="Arial" w:eastAsia="黑体" w:hAnsi="Arial" w:cs="宋体"/>
      <w:sz w:val="24"/>
      <w:szCs w:val="24"/>
      <w:shd w:val="clear" w:color="auto" w:fill="FFFFFF"/>
    </w:rPr>
  </w:style>
  <w:style w:type="character" w:customStyle="1" w:styleId="l1201">
    <w:name w:val="l1201"/>
    <w:semiHidden/>
    <w:qFormat/>
    <w:rPr>
      <w:spacing w:val="288"/>
      <w:shd w:val="clear" w:color="auto" w:fill="FFFFFF"/>
    </w:rPr>
  </w:style>
  <w:style w:type="character" w:customStyle="1" w:styleId="Charfffffffffff2">
    <w:name w:val="样式 样式 表格 + (符号) 宋体 五号 居中 + 小五 Char"/>
    <w:qFormat/>
    <w:rPr>
      <w:rFonts w:ascii="Times New Roman" w:hAnsi="Times New Roman" w:cs="Times New Roman"/>
      <w:sz w:val="21"/>
      <w:szCs w:val="21"/>
      <w:shd w:val="clear" w:color="auto" w:fill="FFFFFF"/>
    </w:rPr>
  </w:style>
  <w:style w:type="character" w:customStyle="1" w:styleId="Charfffffffffff3">
    <w:name w:val="德胜表头 Char"/>
    <w:qFormat/>
    <w:rPr>
      <w:b/>
      <w:snapToGrid w:val="0"/>
      <w:color w:val="0000FF"/>
      <w:sz w:val="24"/>
      <w:szCs w:val="24"/>
      <w:shd w:val="clear" w:color="auto" w:fill="FFFFFF"/>
    </w:rPr>
  </w:style>
  <w:style w:type="character" w:customStyle="1" w:styleId="CharCharffff5">
    <w:name w:val="表格内容 Char Char"/>
    <w:qFormat/>
    <w:rPr>
      <w:rFonts w:hAnsi="宋体"/>
      <w:sz w:val="18"/>
      <w:szCs w:val="15"/>
      <w:shd w:val="clear" w:color="auto" w:fill="FFFFFF"/>
    </w:rPr>
  </w:style>
  <w:style w:type="character" w:customStyle="1" w:styleId="HTMLChar10">
    <w:name w:val="HTML 地址 Char1"/>
    <w:uiPriority w:val="99"/>
    <w:semiHidden/>
    <w:qFormat/>
    <w:rPr>
      <w:i/>
      <w:iCs/>
      <w:shd w:val="clear" w:color="auto" w:fill="FFFFFF"/>
    </w:rPr>
  </w:style>
  <w:style w:type="character" w:customStyle="1" w:styleId="yypCharChar">
    <w:name w:val="yyp Char Char"/>
    <w:link w:val="yyp"/>
    <w:qFormat/>
    <w:locked/>
    <w:rPr>
      <w:sz w:val="24"/>
      <w:szCs w:val="21"/>
    </w:rPr>
  </w:style>
  <w:style w:type="character" w:customStyle="1" w:styleId="EmailStyle543">
    <w:name w:val="EmailStyle543"/>
    <w:qFormat/>
    <w:rPr>
      <w:rFonts w:ascii="Arial" w:eastAsia="宋体" w:hAnsi="Arial" w:cs="Arial"/>
      <w:color w:val="auto"/>
      <w:sz w:val="20"/>
      <w:shd w:val="clear" w:color="auto" w:fill="FFFFFF"/>
    </w:rPr>
  </w:style>
  <w:style w:type="character" w:customStyle="1" w:styleId="EmailStyle4421">
    <w:name w:val="EmailStyle4421"/>
    <w:qFormat/>
    <w:rPr>
      <w:rFonts w:ascii="Arial" w:eastAsia="宋体" w:hAnsi="Arial" w:cs="Arial"/>
      <w:color w:val="auto"/>
      <w:sz w:val="20"/>
      <w:shd w:val="clear" w:color="auto" w:fill="FFFFFF"/>
    </w:rPr>
  </w:style>
  <w:style w:type="character" w:customStyle="1" w:styleId="2CharChar0">
    <w:name w:val="正文首行缩进2 Char Char"/>
    <w:link w:val="2ff9"/>
    <w:qFormat/>
    <w:rPr>
      <w:rFonts w:ascii="宋体"/>
      <w:sz w:val="24"/>
      <w:szCs w:val="21"/>
    </w:rPr>
  </w:style>
  <w:style w:type="character" w:customStyle="1" w:styleId="CharCharffff6">
    <w:name w:val="缩进 Char Char"/>
    <w:qFormat/>
    <w:rPr>
      <w:rFonts w:cs="Times New Roman"/>
      <w:kern w:val="2"/>
      <w:sz w:val="24"/>
      <w:szCs w:val="24"/>
      <w:shd w:val="clear" w:color="auto" w:fill="FFFFFF"/>
    </w:rPr>
  </w:style>
  <w:style w:type="character" w:customStyle="1" w:styleId="3Char4">
    <w:name w:val="蒲标题3 Char"/>
    <w:link w:val="3fc"/>
    <w:qFormat/>
    <w:rPr>
      <w:b/>
      <w:bCs/>
      <w:color w:val="000000"/>
      <w:kern w:val="2"/>
      <w:sz w:val="24"/>
      <w:szCs w:val="24"/>
    </w:rPr>
  </w:style>
  <w:style w:type="character" w:customStyle="1" w:styleId="affffffffffffffffffffffffffffffffffffffff2">
    <w:name w:val="消息标题号"/>
    <w:qFormat/>
    <w:rPr>
      <w:rFonts w:ascii="Arial Black" w:eastAsia="黑体" w:hAnsi="Arial Black"/>
      <w:b/>
      <w:bCs/>
      <w:sz w:val="21"/>
      <w:szCs w:val="21"/>
      <w:shd w:val="clear" w:color="auto" w:fill="FFFFFF"/>
      <w:lang w:eastAsia="zh-CN"/>
    </w:rPr>
  </w:style>
  <w:style w:type="character" w:customStyle="1" w:styleId="HTMLKeyboard1">
    <w:name w:val="HTML Keyboard1"/>
    <w:qFormat/>
    <w:rPr>
      <w:rFonts w:ascii="Courier New" w:eastAsia="宋体" w:hAnsi="Courier New" w:cs="Courier New"/>
      <w:kern w:val="2"/>
      <w:sz w:val="20"/>
      <w:szCs w:val="20"/>
      <w:shd w:val="clear" w:color="auto" w:fill="FFFFFF"/>
      <w:lang w:val="en-US" w:eastAsia="zh-CN"/>
    </w:rPr>
  </w:style>
  <w:style w:type="character" w:customStyle="1" w:styleId="111111CharChar">
    <w:name w:val="111111正文 Char Char"/>
    <w:semiHidden/>
    <w:qFormat/>
    <w:rPr>
      <w:rFonts w:ascii="Times New Roman" w:eastAsia="宋体" w:hAnsi="Times New Roman" w:cs="Times New Roman"/>
      <w:sz w:val="24"/>
      <w:szCs w:val="24"/>
      <w:shd w:val="clear" w:color="auto" w:fill="FFFFFF"/>
    </w:rPr>
  </w:style>
  <w:style w:type="character" w:customStyle="1" w:styleId="AChar4">
    <w:name w:val="标题二A Char"/>
    <w:qFormat/>
    <w:rPr>
      <w:rFonts w:ascii="Times New Roman" w:hAnsi="Times New Roman"/>
      <w:b/>
      <w:bCs/>
      <w:sz w:val="30"/>
      <w:szCs w:val="30"/>
      <w:shd w:val="clear" w:color="auto" w:fill="FFFFFF"/>
    </w:rPr>
  </w:style>
  <w:style w:type="character" w:customStyle="1" w:styleId="px141">
    <w:name w:val="px141"/>
    <w:qFormat/>
    <w:rPr>
      <w:rFonts w:ascii="ˎ̥" w:hAnsi="ˎ̥" w:hint="default"/>
      <w:sz w:val="21"/>
      <w:shd w:val="clear" w:color="auto" w:fill="FFFFFF"/>
    </w:rPr>
  </w:style>
  <w:style w:type="character" w:customStyle="1" w:styleId="CharCharCharCharCharCharCharCharChar0">
    <w:name w:val="正文（首行缩进两字） Char Char Char Char Char Char Char Char Char"/>
    <w:qFormat/>
    <w:rPr>
      <w:rFonts w:eastAsia="宋体" w:cs="Times New Roman"/>
      <w:kern w:val="2"/>
      <w:sz w:val="24"/>
      <w:szCs w:val="24"/>
      <w:shd w:val="clear" w:color="auto" w:fill="FFFFFF"/>
      <w:lang w:val="en-US" w:eastAsia="zh-CN" w:bidi="ar-SA"/>
    </w:rPr>
  </w:style>
  <w:style w:type="character" w:customStyle="1" w:styleId="text4">
    <w:name w:val="text"/>
    <w:qFormat/>
    <w:rPr>
      <w:shd w:val="clear" w:color="auto" w:fill="FFFFFF"/>
    </w:rPr>
  </w:style>
  <w:style w:type="character" w:customStyle="1" w:styleId="4CharChar1">
    <w:name w:val="标题 4 Char Char"/>
    <w:semiHidden/>
    <w:qFormat/>
    <w:rPr>
      <w:rFonts w:eastAsia="黑体"/>
      <w:bCs/>
      <w:kern w:val="2"/>
      <w:sz w:val="24"/>
      <w:szCs w:val="24"/>
      <w:shd w:val="clear" w:color="auto" w:fill="FFFFFF"/>
      <w:lang w:val="en-US" w:eastAsia="zh-CN" w:bidi="ar-SA"/>
    </w:rPr>
  </w:style>
  <w:style w:type="character" w:customStyle="1" w:styleId="a-Char8">
    <w:name w:val="a-图名 Char"/>
    <w:link w:val="a-8"/>
    <w:qFormat/>
    <w:locked/>
    <w:rPr>
      <w:b/>
      <w:color w:val="000000"/>
      <w:kern w:val="2"/>
      <w:sz w:val="21"/>
      <w:szCs w:val="21"/>
    </w:rPr>
  </w:style>
  <w:style w:type="character" w:customStyle="1" w:styleId="font101">
    <w:name w:val="font101"/>
    <w:qFormat/>
    <w:rPr>
      <w:rFonts w:ascii="宋体" w:eastAsia="宋体" w:hAnsi="宋体" w:hint="eastAsia"/>
      <w:color w:val="000000"/>
      <w:sz w:val="22"/>
      <w:szCs w:val="22"/>
      <w:u w:val="none"/>
      <w:shd w:val="clear" w:color="auto" w:fill="FFFFFF"/>
    </w:rPr>
  </w:style>
  <w:style w:type="character" w:customStyle="1" w:styleId="4Char2">
    <w:name w:val="表小4 Char"/>
    <w:link w:val="4f1"/>
    <w:qFormat/>
    <w:rPr>
      <w:rFonts w:ascii="Wingdings" w:eastAsia="Wingdings" w:hAnsi="Wingdings"/>
      <w:b/>
      <w:sz w:val="28"/>
    </w:rPr>
  </w:style>
  <w:style w:type="character" w:customStyle="1" w:styleId="affffffffffffffffffffffffffffffffffffffff3">
    <w:name w:val="个人撰写风格"/>
    <w:qFormat/>
    <w:rPr>
      <w:rFonts w:ascii="Arial" w:eastAsia="宋体" w:hAnsi="Arial" w:cs="Arial"/>
      <w:color w:val="auto"/>
      <w:sz w:val="20"/>
      <w:shd w:val="clear" w:color="auto" w:fill="FFFFFF"/>
    </w:rPr>
  </w:style>
  <w:style w:type="character" w:customStyle="1" w:styleId="1Char1Char">
    <w:name w:val="标题 1 Char1 Char"/>
    <w:qFormat/>
    <w:rPr>
      <w:rFonts w:ascii="宋体" w:hAnsi="宋体"/>
      <w:b/>
      <w:kern w:val="44"/>
      <w:sz w:val="44"/>
      <w:szCs w:val="30"/>
      <w:shd w:val="clear" w:color="auto" w:fill="FFFFFF"/>
    </w:rPr>
  </w:style>
  <w:style w:type="character" w:customStyle="1" w:styleId="9Char">
    <w:name w:val="样式9 Char"/>
    <w:qFormat/>
    <w:rPr>
      <w:rFonts w:ascii="Times New Roman" w:hAnsi="Times New Roman"/>
      <w:bCs/>
      <w:spacing w:val="4"/>
      <w:sz w:val="32"/>
      <w:szCs w:val="28"/>
      <w:shd w:val="clear" w:color="auto" w:fill="FFFFFF"/>
    </w:rPr>
  </w:style>
  <w:style w:type="character" w:customStyle="1" w:styleId="CharChar311">
    <w:name w:val="Char Char311"/>
    <w:qFormat/>
    <w:rPr>
      <w:rFonts w:eastAsia="宋体"/>
      <w:sz w:val="18"/>
      <w:shd w:val="clear" w:color="auto" w:fill="FFFFFF"/>
      <w:lang w:val="en-US" w:eastAsia="zh-CN" w:bidi="ar-SA"/>
    </w:rPr>
  </w:style>
  <w:style w:type="character" w:customStyle="1" w:styleId="13Char">
    <w:name w:val="样式13 Char"/>
    <w:link w:val="131"/>
    <w:qFormat/>
    <w:rPr>
      <w:rFonts w:ascii="宋体" w:hAnsi="宋体"/>
      <w:kern w:val="2"/>
      <w:sz w:val="28"/>
      <w:szCs w:val="28"/>
    </w:rPr>
  </w:style>
  <w:style w:type="character" w:customStyle="1" w:styleId="2Char8">
    <w:name w:val="标题 2 可 Char"/>
    <w:link w:val="2ffa"/>
    <w:qFormat/>
    <w:rPr>
      <w:rFonts w:eastAsia="黑体"/>
      <w:bCs/>
      <w:kern w:val="2"/>
      <w:sz w:val="32"/>
    </w:rPr>
  </w:style>
  <w:style w:type="character" w:customStyle="1" w:styleId="Char1ff9">
    <w:name w:val="正文文本缩进 Char1"/>
    <w:qFormat/>
    <w:rPr>
      <w:kern w:val="2"/>
      <w:sz w:val="21"/>
      <w:szCs w:val="24"/>
      <w:shd w:val="clear" w:color="auto" w:fill="FFFFFF"/>
    </w:rPr>
  </w:style>
  <w:style w:type="character" w:customStyle="1" w:styleId="CharCharCharCharCharCharChaChar">
    <w:name w:val="正文文本缩进 Char Char Char Char Char Char Cha Char"/>
    <w:qFormat/>
    <w:rPr>
      <w:rFonts w:eastAsia="宋体"/>
      <w:kern w:val="2"/>
      <w:sz w:val="28"/>
      <w:szCs w:val="24"/>
      <w:shd w:val="clear" w:color="auto" w:fill="FFFFFF"/>
      <w:lang w:val="en-US" w:eastAsia="zh-CN" w:bidi="ar-SA"/>
    </w:rPr>
  </w:style>
  <w:style w:type="character" w:customStyle="1" w:styleId="01CharCharChar0">
    <w:name w:val="表格标题01 Char Char Char"/>
    <w:link w:val="01CharChar1"/>
    <w:qFormat/>
    <w:rPr>
      <w:snapToGrid w:val="0"/>
      <w:sz w:val="28"/>
      <w:szCs w:val="28"/>
    </w:rPr>
  </w:style>
  <w:style w:type="character" w:customStyle="1" w:styleId="CharCharfa">
    <w:name w:val="付正文 Char Char"/>
    <w:link w:val="afffffffffffffffff2"/>
    <w:semiHidden/>
    <w:qFormat/>
    <w:rPr>
      <w:rFonts w:ascii="宋体"/>
      <w:color w:val="000000"/>
      <w:sz w:val="24"/>
      <w:szCs w:val="21"/>
    </w:rPr>
  </w:style>
  <w:style w:type="character" w:customStyle="1" w:styleId="211112SeBSH-2h2l22ndlevelTitre22HeaderChar">
    <w:name w:val="样式 标题 2节标题 1.11.1标题2SeBSH-2h2l22nd levelTitre22Header ... Char"/>
    <w:link w:val="211112SeBSH-2h2l22ndlevelTitre22Header"/>
    <w:qFormat/>
    <w:rPr>
      <w:rFonts w:ascii="宋体" w:eastAsia="黑体" w:hAnsi="宋体"/>
      <w:bCs/>
      <w:kern w:val="2"/>
      <w:sz w:val="24"/>
      <w:szCs w:val="32"/>
    </w:rPr>
  </w:style>
  <w:style w:type="character" w:customStyle="1" w:styleId="3223Char">
    <w:name w:val="样式 样式 宋体 四号 行距: 固定值 32 磅 + 首行缩进:  2 字符3 Char"/>
    <w:qFormat/>
    <w:rPr>
      <w:rFonts w:ascii="宋体" w:hAnsi="宋体" w:cs="宋体"/>
      <w:sz w:val="24"/>
      <w:shd w:val="clear" w:color="auto" w:fill="FFFFFF"/>
    </w:rPr>
  </w:style>
  <w:style w:type="character" w:customStyle="1" w:styleId="Charfffffffffff4">
    <w:name w:val="样式 表头 Char"/>
    <w:qFormat/>
    <w:rPr>
      <w:rFonts w:ascii="黑体" w:eastAsia="黑体" w:hAnsi="Times New Roman" w:cs="宋体"/>
      <w:shd w:val="clear" w:color="auto" w:fill="FFFFFF"/>
    </w:rPr>
  </w:style>
  <w:style w:type="character" w:customStyle="1" w:styleId="3333331">
    <w:name w:val="3333331"/>
    <w:qFormat/>
    <w:rPr>
      <w:color w:val="333333"/>
      <w:sz w:val="18"/>
      <w:szCs w:val="18"/>
      <w:u w:val="none"/>
      <w:shd w:val="clear" w:color="auto" w:fill="FFFFFF"/>
    </w:rPr>
  </w:style>
  <w:style w:type="character" w:customStyle="1" w:styleId="33H3h33rdlevel2Char3Char23Char1Char">
    <w:name w:val="样式 标题 3标题3H3h33rd level第二层条条标2Char标题 3 Char2标题 3 Char ...1 Char"/>
    <w:semiHidden/>
    <w:qFormat/>
    <w:rPr>
      <w:rFonts w:ascii="宋体" w:eastAsia="宋体" w:hAnsi="宋体"/>
      <w:spacing w:val="10"/>
      <w:kern w:val="2"/>
      <w:sz w:val="24"/>
      <w:szCs w:val="24"/>
      <w:shd w:val="clear" w:color="auto" w:fill="FFFFFF"/>
      <w:lang w:val="en-US" w:eastAsia="zh-CN" w:bidi="ar-SA"/>
    </w:rPr>
  </w:style>
  <w:style w:type="character" w:customStyle="1" w:styleId="CharChar101">
    <w:name w:val="Char Char101"/>
    <w:qFormat/>
    <w:rPr>
      <w:rFonts w:ascii="Cambria" w:hAnsi="Cambria"/>
      <w:b/>
      <w:bCs/>
      <w:kern w:val="32"/>
      <w:sz w:val="32"/>
      <w:szCs w:val="32"/>
      <w:shd w:val="clear" w:color="auto" w:fill="FFFFFF"/>
      <w:lang w:bidi="en-US"/>
    </w:rPr>
  </w:style>
  <w:style w:type="character" w:customStyle="1" w:styleId="1020Char0">
    <w:name w:val="10.20段落 Char"/>
    <w:qFormat/>
    <w:rPr>
      <w:rFonts w:ascii="宋体" w:hAnsi="Times New Roman"/>
      <w:szCs w:val="24"/>
      <w:shd w:val="clear" w:color="auto" w:fill="FFFFFF"/>
    </w:rPr>
  </w:style>
  <w:style w:type="character" w:customStyle="1" w:styleId="ourfont11">
    <w:name w:val="ourfont11"/>
    <w:qFormat/>
    <w:rPr>
      <w:sz w:val="20"/>
      <w:szCs w:val="20"/>
      <w:shd w:val="clear" w:color="auto" w:fill="FFFFFF"/>
    </w:rPr>
  </w:style>
  <w:style w:type="character" w:customStyle="1" w:styleId="3Char5">
    <w:name w:val="样式 标题 3 Char"/>
    <w:link w:val="3fd"/>
    <w:qFormat/>
    <w:locked/>
    <w:rPr>
      <w:rFonts w:eastAsia="华文楷体"/>
      <w:b/>
      <w:bCs/>
      <w:kern w:val="2"/>
      <w:sz w:val="28"/>
    </w:rPr>
  </w:style>
  <w:style w:type="character" w:customStyle="1" w:styleId="CharCharfb">
    <w:name w:val="正文小四 Char Char"/>
    <w:link w:val="Charffffff4"/>
    <w:qFormat/>
    <w:rPr>
      <w:rFonts w:ascii="宋体" w:hAnsi="宋体"/>
      <w:sz w:val="24"/>
      <w:szCs w:val="21"/>
    </w:rPr>
  </w:style>
  <w:style w:type="character" w:customStyle="1" w:styleId="Char1f1">
    <w:name w:val="表蕊 Char1"/>
    <w:link w:val="afffffffffffffffff3"/>
    <w:qFormat/>
    <w:rPr>
      <w:rFonts w:eastAsia="楷体_GB2312"/>
      <w:spacing w:val="-10"/>
      <w:sz w:val="21"/>
      <w:szCs w:val="21"/>
    </w:rPr>
  </w:style>
  <w:style w:type="character" w:customStyle="1" w:styleId="0CharChar">
    <w:name w:val="0正文 Char Char"/>
    <w:link w:val="00"/>
    <w:qFormat/>
    <w:locked/>
    <w:rPr>
      <w:color w:val="0000FF"/>
      <w:sz w:val="24"/>
      <w:szCs w:val="21"/>
    </w:rPr>
  </w:style>
  <w:style w:type="character" w:customStyle="1" w:styleId="720">
    <w:name w:val="标题 7 字符2"/>
    <w:uiPriority w:val="9"/>
    <w:qFormat/>
    <w:rPr>
      <w:b/>
      <w:bCs/>
      <w:sz w:val="24"/>
      <w:szCs w:val="24"/>
      <w:shd w:val="clear" w:color="auto" w:fill="FFFFFF"/>
    </w:rPr>
  </w:style>
  <w:style w:type="character" w:customStyle="1" w:styleId="EmailStyle554">
    <w:name w:val="EmailStyle554"/>
    <w:qFormat/>
    <w:rPr>
      <w:rFonts w:ascii="Arial" w:eastAsia="宋体" w:hAnsi="Arial" w:cs="Arial"/>
      <w:color w:val="auto"/>
      <w:sz w:val="20"/>
      <w:shd w:val="clear" w:color="auto" w:fill="FFFFFF"/>
    </w:rPr>
  </w:style>
  <w:style w:type="character" w:customStyle="1" w:styleId="1CharChar6">
    <w:name w:val="标题 1 Char Char"/>
    <w:qFormat/>
    <w:rPr>
      <w:rFonts w:eastAsia="黑体"/>
      <w:bCs/>
      <w:color w:val="000000"/>
      <w:kern w:val="44"/>
      <w:sz w:val="28"/>
      <w:shd w:val="clear" w:color="auto" w:fill="FFFFFF"/>
      <w:lang w:val="en-US" w:eastAsia="zh-CN" w:bidi="ar-SA"/>
    </w:rPr>
  </w:style>
  <w:style w:type="character" w:customStyle="1" w:styleId="4TimesNewRoman0505CharChar">
    <w:name w:val="样式 样式 标题 4 + Times New Roman + 段前: 0.5 行 段后: 0.5 行 Char Char"/>
    <w:qFormat/>
    <w:rPr>
      <w:rFonts w:ascii="Times New Roman" w:eastAsia="宋体" w:hAnsi="Times New Roman" w:cs="Times New Roman" w:hint="default"/>
      <w:sz w:val="24"/>
      <w:szCs w:val="24"/>
      <w:shd w:val="clear" w:color="auto" w:fill="FFFFFF"/>
    </w:rPr>
  </w:style>
  <w:style w:type="character" w:customStyle="1" w:styleId="affffffffffffffffffffffffffffffffffffffff4">
    <w:name w:val="重点"/>
    <w:semiHidden/>
    <w:qFormat/>
    <w:rPr>
      <w:i/>
      <w:shd w:val="clear" w:color="auto" w:fill="FFFFFF"/>
    </w:rPr>
  </w:style>
  <w:style w:type="character" w:customStyle="1" w:styleId="2Charf9">
    <w:name w:val="分目录2 Char"/>
    <w:qFormat/>
    <w:rPr>
      <w:rFonts w:cs="Times New Roman"/>
      <w:sz w:val="24"/>
      <w:shd w:val="clear" w:color="auto" w:fill="FFFFFF"/>
    </w:rPr>
  </w:style>
  <w:style w:type="character" w:customStyle="1" w:styleId="3Charb">
    <w:name w:val="样式 标题 3 + 黑色 Char"/>
    <w:qFormat/>
    <w:rPr>
      <w:b/>
      <w:color w:val="000000"/>
      <w:sz w:val="28"/>
      <w:szCs w:val="32"/>
      <w:shd w:val="clear" w:color="auto" w:fill="FFFFFF"/>
    </w:rPr>
  </w:style>
  <w:style w:type="character" w:customStyle="1" w:styleId="jc">
    <w:name w:val="jc"/>
    <w:qFormat/>
    <w:rPr>
      <w:shd w:val="clear" w:color="auto" w:fill="FFFFFF"/>
    </w:rPr>
  </w:style>
  <w:style w:type="character" w:customStyle="1" w:styleId="0012Char">
    <w:name w:val="正文001（2个空格） Char"/>
    <w:qFormat/>
    <w:locked/>
    <w:rPr>
      <w:color w:val="800080"/>
      <w:sz w:val="24"/>
      <w:shd w:val="clear" w:color="auto" w:fill="FFFFFF"/>
    </w:rPr>
  </w:style>
  <w:style w:type="character" w:customStyle="1" w:styleId="style171">
    <w:name w:val="style171"/>
    <w:qFormat/>
    <w:rPr>
      <w:rFonts w:ascii="宋体" w:eastAsia="宋体" w:hAnsi="宋体" w:hint="eastAsia"/>
      <w:color w:val="000000"/>
      <w:sz w:val="17"/>
      <w:szCs w:val="17"/>
      <w:shd w:val="clear" w:color="auto" w:fill="FFFFFF"/>
    </w:rPr>
  </w:style>
  <w:style w:type="character" w:customStyle="1" w:styleId="Char1ffa">
    <w:name w:val="副标题 Char1"/>
    <w:qFormat/>
    <w:rPr>
      <w:rFonts w:ascii="Cambria" w:hAnsi="Cambria" w:cs="Times New Roman"/>
      <w:b/>
      <w:bCs/>
      <w:kern w:val="28"/>
      <w:sz w:val="32"/>
      <w:szCs w:val="32"/>
      <w:shd w:val="clear" w:color="auto" w:fill="FFFFFF"/>
    </w:rPr>
  </w:style>
  <w:style w:type="character" w:customStyle="1" w:styleId="3ffff0">
    <w:name w:val="正文文本 字符3"/>
    <w:qFormat/>
    <w:rPr>
      <w:rFonts w:ascii="Times New Roman" w:eastAsia="宋体" w:hAnsi="Times New Roman" w:cs="Times New Roman"/>
      <w:szCs w:val="24"/>
      <w:shd w:val="clear" w:color="auto" w:fill="FFFFFF"/>
    </w:rPr>
  </w:style>
  <w:style w:type="character" w:customStyle="1" w:styleId="001Char0">
    <w:name w:val="001 Char"/>
    <w:link w:val="0010"/>
    <w:qFormat/>
    <w:rPr>
      <w:rFonts w:ascii="宋体" w:hAnsi="宋体"/>
      <w:kern w:val="2"/>
      <w:sz w:val="24"/>
      <w:szCs w:val="21"/>
    </w:rPr>
  </w:style>
  <w:style w:type="character" w:customStyle="1" w:styleId="Charfffffffffff5">
    <w:name w:val="图 Char"/>
    <w:qFormat/>
    <w:rPr>
      <w:kern w:val="2"/>
      <w:sz w:val="21"/>
      <w:szCs w:val="24"/>
      <w:shd w:val="clear" w:color="auto" w:fill="FFFFFF"/>
      <w:lang w:val="en-US" w:eastAsia="zh-CN" w:bidi="ar-SA"/>
    </w:rPr>
  </w:style>
  <w:style w:type="character" w:customStyle="1" w:styleId="4fff">
    <w:name w:val="批注文字 字符4"/>
    <w:uiPriority w:val="99"/>
    <w:qFormat/>
    <w:rPr>
      <w:shd w:val="clear" w:color="auto" w:fill="FFFFFF"/>
    </w:rPr>
  </w:style>
  <w:style w:type="character" w:customStyle="1" w:styleId="2Charfa">
    <w:name w:val="三号宋体居中行距2倍距 Char"/>
    <w:qFormat/>
    <w:locked/>
    <w:rPr>
      <w:rFonts w:ascii="Arial" w:eastAsia="黑体" w:hAnsi="Arial"/>
      <w:b/>
      <w:bCs/>
      <w:kern w:val="2"/>
      <w:sz w:val="32"/>
      <w:szCs w:val="32"/>
      <w:shd w:val="clear" w:color="auto" w:fill="FFFFFF"/>
      <w:lang w:val="en-US" w:eastAsia="zh-CN" w:bidi="ar-SA"/>
    </w:rPr>
  </w:style>
  <w:style w:type="character" w:customStyle="1" w:styleId="neiyetest1">
    <w:name w:val="neiyetest1"/>
    <w:qFormat/>
    <w:rPr>
      <w:rFonts w:ascii="??" w:hAnsi="??" w:cs="Times New Roman"/>
      <w:color w:val="000000"/>
      <w:sz w:val="20"/>
      <w:szCs w:val="20"/>
      <w:shd w:val="clear" w:color="auto" w:fill="FFFFFF"/>
    </w:rPr>
  </w:style>
  <w:style w:type="character" w:customStyle="1" w:styleId="CharCharCharf1">
    <w:name w:val="正文规定 Char Char Char"/>
    <w:qFormat/>
    <w:rPr>
      <w:rFonts w:ascii="宋体" w:hAnsi="宋体"/>
      <w:b/>
      <w:sz w:val="24"/>
      <w:szCs w:val="24"/>
      <w:shd w:val="clear" w:color="auto" w:fill="FFFFFF"/>
    </w:rPr>
  </w:style>
  <w:style w:type="character" w:customStyle="1" w:styleId="first-child2">
    <w:name w:val="first-child2"/>
    <w:basedOn w:val="a8"/>
    <w:qFormat/>
  </w:style>
  <w:style w:type="character" w:customStyle="1" w:styleId="articlebody">
    <w:name w:val="articlebody"/>
    <w:qFormat/>
    <w:rPr>
      <w:shd w:val="clear" w:color="auto" w:fill="FFFFFF"/>
    </w:rPr>
  </w:style>
  <w:style w:type="character" w:customStyle="1" w:styleId="FontStyle12">
    <w:name w:val="Font Style12"/>
    <w:qFormat/>
    <w:rPr>
      <w:rFonts w:ascii="Times New Roman" w:hAnsi="Times New Roman"/>
      <w:spacing w:val="-10"/>
      <w:sz w:val="26"/>
      <w:shd w:val="clear" w:color="auto" w:fill="FFFFFF"/>
    </w:rPr>
  </w:style>
  <w:style w:type="character" w:customStyle="1" w:styleId="unnamed51">
    <w:name w:val="unnamed51"/>
    <w:semiHidden/>
    <w:qFormat/>
    <w:rPr>
      <w:color w:val="000000"/>
      <w:spacing w:val="384"/>
      <w:sz w:val="18"/>
      <w:szCs w:val="18"/>
      <w:shd w:val="clear" w:color="auto" w:fill="FFFFFF"/>
    </w:rPr>
  </w:style>
  <w:style w:type="character" w:customStyle="1" w:styleId="SChar0">
    <w:name w:val="表头S Char"/>
    <w:qFormat/>
    <w:rPr>
      <w:rFonts w:ascii="Times New Roman" w:eastAsia="黑体" w:hAnsi="Times New Roman"/>
      <w:b/>
      <w:shd w:val="clear" w:color="auto" w:fill="FFFFFF"/>
    </w:rPr>
  </w:style>
  <w:style w:type="character" w:customStyle="1" w:styleId="zhenwen14">
    <w:name w:val="zhenwen14"/>
    <w:qFormat/>
    <w:rPr>
      <w:shd w:val="clear" w:color="auto" w:fill="FFFFFF"/>
    </w:rPr>
  </w:style>
  <w:style w:type="character" w:customStyle="1" w:styleId="dir">
    <w:name w:val="dir"/>
    <w:qFormat/>
    <w:rPr>
      <w:shd w:val="clear" w:color="auto" w:fill="FFFFFF"/>
    </w:rPr>
  </w:style>
  <w:style w:type="character" w:customStyle="1" w:styleId="Char2f4">
    <w:name w:val="题注 Char2"/>
    <w:qFormat/>
    <w:rPr>
      <w:rFonts w:ascii="Arial" w:eastAsia="黑体" w:hAnsi="Arial" w:cs="Arial"/>
      <w:kern w:val="2"/>
      <w:shd w:val="clear" w:color="auto" w:fill="FFFFFF"/>
      <w:lang w:val="en-US" w:eastAsia="zh-CN" w:bidi="ar-SA"/>
    </w:rPr>
  </w:style>
  <w:style w:type="character" w:customStyle="1" w:styleId="31Char0">
    <w:name w:val="样式 标题 3 + 宋体1 Char"/>
    <w:qFormat/>
    <w:rPr>
      <w:rFonts w:ascii="宋体" w:eastAsia="宋体" w:hAnsi="宋体"/>
      <w:kern w:val="28"/>
      <w:sz w:val="28"/>
      <w:shd w:val="clear" w:color="auto" w:fill="FFFFFF"/>
      <w:lang w:val="en-US" w:eastAsia="zh-CN" w:bidi="ar-SA"/>
    </w:rPr>
  </w:style>
  <w:style w:type="character" w:customStyle="1" w:styleId="affffffffffffffffffffffffffffffffffffffff5">
    <w:name w:val="样式 自动设置"/>
    <w:qFormat/>
    <w:rPr>
      <w:color w:val="auto"/>
      <w:shd w:val="clear" w:color="auto" w:fill="FFFFFF"/>
    </w:rPr>
  </w:style>
  <w:style w:type="character" w:customStyle="1" w:styleId="1Charf7">
    <w:name w:val="改性沥青正文1 Char"/>
    <w:qFormat/>
    <w:rPr>
      <w:shd w:val="clear" w:color="auto" w:fill="FFFFFF"/>
    </w:rPr>
  </w:style>
  <w:style w:type="character" w:customStyle="1" w:styleId="14hei1">
    <w:name w:val="14hei1"/>
    <w:qFormat/>
    <w:rPr>
      <w:color w:val="000000"/>
      <w:sz w:val="28"/>
      <w:szCs w:val="28"/>
      <w:u w:val="none"/>
      <w:shd w:val="clear" w:color="auto" w:fill="FFFFFF"/>
    </w:rPr>
  </w:style>
  <w:style w:type="character" w:customStyle="1" w:styleId="bb">
    <w:name w:val="bb"/>
    <w:qFormat/>
    <w:rPr>
      <w:rFonts w:cs="Times New Roman"/>
      <w:shd w:val="clear" w:color="auto" w:fill="FFFFFF"/>
    </w:rPr>
  </w:style>
  <w:style w:type="character" w:customStyle="1" w:styleId="CharCharCharf2">
    <w:name w:val="正文文本缩进 Char Char Char"/>
    <w:qFormat/>
    <w:locked/>
    <w:rPr>
      <w:rFonts w:ascii="宋体" w:eastAsia="宋体" w:hAnsi="宋体"/>
      <w:color w:val="000000"/>
      <w:spacing w:val="20"/>
      <w:kern w:val="2"/>
      <w:sz w:val="24"/>
      <w:szCs w:val="21"/>
      <w:shd w:val="clear" w:color="auto" w:fill="FFFFFF"/>
      <w:lang w:val="en-US" w:eastAsia="zh-CN" w:bidi="ar-SA"/>
    </w:rPr>
  </w:style>
  <w:style w:type="character" w:customStyle="1" w:styleId="12Char2">
    <w:name w:val="样式12 Char"/>
    <w:qFormat/>
    <w:rPr>
      <w:rFonts w:ascii="宋体" w:hAnsi="宋体"/>
      <w:kern w:val="2"/>
      <w:sz w:val="24"/>
      <w:szCs w:val="28"/>
      <w:shd w:val="clear" w:color="auto" w:fill="FFFFFF"/>
    </w:rPr>
  </w:style>
  <w:style w:type="character" w:customStyle="1" w:styleId="1CharChar7">
    <w:name w:val="正文1 Char Char"/>
    <w:qFormat/>
    <w:rPr>
      <w:kern w:val="21"/>
      <w:sz w:val="21"/>
      <w:shd w:val="clear" w:color="auto" w:fill="FFFFFF"/>
    </w:rPr>
  </w:style>
  <w:style w:type="character" w:customStyle="1" w:styleId="aCharCharChar">
    <w:name w:val="a) Char Char Char"/>
    <w:qFormat/>
    <w:rPr>
      <w:rFonts w:ascii="宋体" w:eastAsia="宋体" w:hAnsi="宋体" w:cs="宋体"/>
      <w:kern w:val="0"/>
      <w:sz w:val="20"/>
      <w:szCs w:val="20"/>
      <w:shd w:val="clear" w:color="auto" w:fill="FFFFFF"/>
    </w:rPr>
  </w:style>
  <w:style w:type="character" w:customStyle="1" w:styleId="EmailStyle5091">
    <w:name w:val="EmailStyle5091"/>
    <w:qFormat/>
    <w:rPr>
      <w:rFonts w:ascii="Arial" w:eastAsia="宋体" w:hAnsi="Arial" w:cs="Arial"/>
      <w:color w:val="auto"/>
      <w:sz w:val="20"/>
      <w:shd w:val="clear" w:color="auto" w:fill="FFFFFF"/>
    </w:rPr>
  </w:style>
  <w:style w:type="character" w:customStyle="1" w:styleId="grame">
    <w:name w:val="grame"/>
    <w:qFormat/>
    <w:rPr>
      <w:shd w:val="clear" w:color="auto" w:fill="FFFFFF"/>
    </w:rPr>
  </w:style>
  <w:style w:type="character" w:customStyle="1" w:styleId="redfont">
    <w:name w:val="redfont"/>
    <w:qFormat/>
    <w:rPr>
      <w:rFonts w:ascii="宋体" w:eastAsia="黑体" w:hAnsi="宋体" w:cs="宋体"/>
      <w:kern w:val="2"/>
      <w:sz w:val="28"/>
      <w:szCs w:val="24"/>
      <w:shd w:val="clear" w:color="auto" w:fill="FFFFFF"/>
      <w:lang w:val="en-US" w:eastAsia="zh-CN" w:bidi="ar-SA"/>
    </w:rPr>
  </w:style>
  <w:style w:type="character" w:customStyle="1" w:styleId="CharChar152">
    <w:name w:val="Char Char152"/>
    <w:qFormat/>
    <w:rPr>
      <w:rFonts w:eastAsia="宋体"/>
      <w:b/>
      <w:kern w:val="2"/>
      <w:sz w:val="24"/>
      <w:shd w:val="clear" w:color="auto" w:fill="FFFFFF"/>
      <w:lang w:val="en-US" w:eastAsia="zh-CN" w:bidi="ar-SA"/>
    </w:rPr>
  </w:style>
  <w:style w:type="character" w:customStyle="1" w:styleId="chlChar">
    <w:name w:val="chl Char"/>
    <w:link w:val="chl"/>
    <w:qFormat/>
    <w:rPr>
      <w:color w:val="000000"/>
      <w:sz w:val="24"/>
      <w:szCs w:val="28"/>
    </w:rPr>
  </w:style>
  <w:style w:type="character" w:customStyle="1" w:styleId="3CharCharCharCharChar">
    <w:name w:val="标题 3 Char Char Char Char Char"/>
    <w:qFormat/>
    <w:rPr>
      <w:rFonts w:ascii="宋体" w:eastAsia="宋体" w:hAnsi="宋体" w:cs="Times New Roman"/>
      <w:b/>
      <w:bCs/>
      <w:kern w:val="2"/>
      <w:sz w:val="32"/>
      <w:szCs w:val="32"/>
      <w:shd w:val="clear" w:color="auto" w:fill="FFFFFF"/>
      <w:lang w:val="en-US" w:eastAsia="zh-CN" w:bidi="ar-SA"/>
    </w:rPr>
  </w:style>
  <w:style w:type="character" w:customStyle="1" w:styleId="CharCharCharCharChar0">
    <w:name w:val="正文样式 Char Char Char Char Char"/>
    <w:link w:val="CharCharCharChar2"/>
    <w:uiPriority w:val="99"/>
    <w:qFormat/>
    <w:locked/>
    <w:rPr>
      <w:color w:val="000000"/>
      <w:sz w:val="24"/>
      <w:szCs w:val="21"/>
    </w:rPr>
  </w:style>
  <w:style w:type="character" w:customStyle="1" w:styleId="-lsCharChar">
    <w:name w:val="正文-ls Char Char"/>
    <w:qFormat/>
    <w:rPr>
      <w:rFonts w:eastAsia="宋体" w:hAnsi="宋体" w:cs="宋体"/>
      <w:kern w:val="2"/>
      <w:sz w:val="24"/>
      <w:szCs w:val="24"/>
      <w:shd w:val="clear" w:color="auto" w:fill="FFFFFF"/>
      <w:lang w:val="en-US" w:eastAsia="zh-CN" w:bidi="ar-SA"/>
    </w:rPr>
  </w:style>
  <w:style w:type="character" w:customStyle="1" w:styleId="affffffffffffffffffffffffffffffffffffffff6">
    <w:name w:val="样式 黑体"/>
    <w:semiHidden/>
    <w:qFormat/>
    <w:rPr>
      <w:rFonts w:ascii="黑体" w:eastAsia="黑体" w:hAnsi="黑体"/>
      <w:sz w:val="21"/>
      <w:shd w:val="clear" w:color="auto" w:fill="FFFFFF"/>
    </w:rPr>
  </w:style>
  <w:style w:type="character" w:customStyle="1" w:styleId="3Char6">
    <w:name w:val="我的论文标题3 Char"/>
    <w:link w:val="3fe"/>
    <w:qFormat/>
    <w:rPr>
      <w:rFonts w:eastAsia="黑体" w:hAnsi="宋体"/>
      <w:bCs/>
      <w:kern w:val="2"/>
      <w:sz w:val="28"/>
      <w:szCs w:val="32"/>
    </w:rPr>
  </w:style>
  <w:style w:type="character" w:customStyle="1" w:styleId="HTMLCite1">
    <w:name w:val="HTML Cite1"/>
    <w:qFormat/>
    <w:rPr>
      <w:rFonts w:ascii="宋体" w:eastAsia="宋体" w:hAnsi="宋体" w:cs="Courier New"/>
      <w:i/>
      <w:iCs/>
      <w:kern w:val="2"/>
      <w:sz w:val="32"/>
      <w:szCs w:val="32"/>
      <w:shd w:val="clear" w:color="auto" w:fill="FFFFFF"/>
      <w:lang w:val="en-US" w:eastAsia="zh-CN"/>
    </w:rPr>
  </w:style>
  <w:style w:type="character" w:customStyle="1" w:styleId="3ffff1">
    <w:name w:val="称呼 字符3"/>
    <w:semiHidden/>
    <w:qFormat/>
    <w:rPr>
      <w:rFonts w:ascii="黑体" w:eastAsia="黑体" w:hAnsi="宋体" w:cs="Times New Roman"/>
      <w:sz w:val="24"/>
      <w:szCs w:val="24"/>
      <w:shd w:val="clear" w:color="auto" w:fill="FFFFFF"/>
    </w:rPr>
  </w:style>
  <w:style w:type="character" w:customStyle="1" w:styleId="CharCharffff7">
    <w:name w:val="表头标题 Char Char"/>
    <w:qFormat/>
    <w:locked/>
    <w:rPr>
      <w:rFonts w:ascii="黑体" w:eastAsia="黑体"/>
      <w:bCs/>
      <w:color w:val="FF0000"/>
      <w:szCs w:val="21"/>
      <w:shd w:val="clear" w:color="auto" w:fill="FFFFFF"/>
      <w:lang w:val="zh-CN"/>
    </w:rPr>
  </w:style>
  <w:style w:type="character" w:customStyle="1" w:styleId="3H3BHead3Char1113h33rdlevel5Char">
    <w:name w:val="样式 标题 3H3B Head标题 3 Char条标题1.1.1三级标题标题3h33rd level第二层条...5 Char"/>
    <w:qFormat/>
    <w:locked/>
    <w:rPr>
      <w:rFonts w:ascii="宋体"/>
      <w:b/>
      <w:bCs/>
      <w:sz w:val="28"/>
      <w:szCs w:val="28"/>
      <w:shd w:val="clear" w:color="auto" w:fill="FFFFFF"/>
    </w:rPr>
  </w:style>
  <w:style w:type="character" w:customStyle="1" w:styleId="wenzhang">
    <w:name w:val="wenzhang"/>
    <w:qFormat/>
    <w:rPr>
      <w:rFonts w:cs="Times New Roman"/>
      <w:shd w:val="clear" w:color="auto" w:fill="FFFFFF"/>
    </w:rPr>
  </w:style>
  <w:style w:type="character" w:customStyle="1" w:styleId="14black">
    <w:name w:val="14black"/>
    <w:qFormat/>
    <w:rPr>
      <w:shd w:val="clear" w:color="auto" w:fill="FFFFFF"/>
    </w:rPr>
  </w:style>
  <w:style w:type="character" w:customStyle="1" w:styleId="20101124Char">
    <w:name w:val="内容 20101124 Char"/>
    <w:qFormat/>
    <w:rPr>
      <w:rFonts w:ascii="Times New Roman" w:hAnsi="Times New Roman"/>
      <w:szCs w:val="30"/>
      <w:shd w:val="clear" w:color="auto" w:fill="FFFFFF"/>
    </w:rPr>
  </w:style>
  <w:style w:type="character" w:customStyle="1" w:styleId="1fffffff6">
    <w:name w:val="题注 字符1"/>
    <w:qFormat/>
    <w:rPr>
      <w:rFonts w:ascii="Times New Roman" w:eastAsia="宋体" w:hAnsi="Times New Roman" w:cs="Arial"/>
      <w:b/>
      <w:szCs w:val="20"/>
      <w:shd w:val="clear" w:color="auto" w:fill="FFFFFF"/>
    </w:rPr>
  </w:style>
  <w:style w:type="character" w:customStyle="1" w:styleId="CharChar91">
    <w:name w:val="Char Char91"/>
    <w:qFormat/>
    <w:rPr>
      <w:rFonts w:ascii="Arial" w:eastAsia="黑体" w:hAnsi="Arial"/>
      <w:b/>
      <w:bCs/>
      <w:kern w:val="2"/>
      <w:sz w:val="28"/>
      <w:szCs w:val="28"/>
      <w:shd w:val="clear" w:color="auto" w:fill="FFFFFF"/>
      <w:lang w:val="en-US" w:eastAsia="zh-CN" w:bidi="ar-SA"/>
    </w:rPr>
  </w:style>
  <w:style w:type="character" w:customStyle="1" w:styleId="CharChar211">
    <w:name w:val="Char Char211"/>
    <w:qFormat/>
    <w:rPr>
      <w:rFonts w:ascii="宋体" w:eastAsia="宋体"/>
      <w:color w:val="000000"/>
      <w:sz w:val="36"/>
      <w:shd w:val="clear" w:color="auto" w:fill="FFFFFF"/>
      <w:lang w:val="en-US" w:eastAsia="zh-CN" w:bidi="ar-SA"/>
    </w:rPr>
  </w:style>
  <w:style w:type="character" w:customStyle="1" w:styleId="3CharChar5">
    <w:name w:val="正文文字缩进 3 Char Char"/>
    <w:qFormat/>
    <w:rPr>
      <w:rFonts w:eastAsia="仿宋_GB2312"/>
      <w:kern w:val="2"/>
      <w:sz w:val="24"/>
      <w:szCs w:val="24"/>
      <w:shd w:val="clear" w:color="auto" w:fill="FFFFFF"/>
    </w:rPr>
  </w:style>
  <w:style w:type="character" w:customStyle="1" w:styleId="2Char15">
    <w:name w:val="标题 2 Char1"/>
    <w:qFormat/>
    <w:rPr>
      <w:rFonts w:ascii="Times New Roman" w:eastAsia="楷体_GB2312" w:hAnsi="Times New Roman" w:cs="Times New Roman" w:hint="default"/>
      <w:b/>
      <w:bCs/>
      <w:smallCaps/>
      <w:sz w:val="36"/>
      <w:szCs w:val="28"/>
      <w:shd w:val="clear" w:color="auto" w:fill="FFFFFF"/>
    </w:rPr>
  </w:style>
  <w:style w:type="character" w:customStyle="1" w:styleId="ttag">
    <w:name w:val="t_tag"/>
    <w:qFormat/>
    <w:rPr>
      <w:shd w:val="clear" w:color="auto" w:fill="FFFFFF"/>
    </w:rPr>
  </w:style>
  <w:style w:type="character" w:customStyle="1" w:styleId="cauc-0Char1">
    <w:name w:val="cauc-0 Char1"/>
    <w:qFormat/>
    <w:rPr>
      <w:rFonts w:cs="Times New Roman"/>
      <w:kern w:val="2"/>
      <w:sz w:val="24"/>
      <w:szCs w:val="24"/>
      <w:shd w:val="clear" w:color="auto" w:fill="FFFFFF"/>
      <w:lang w:val="en-US" w:eastAsia="zh-CN" w:bidi="ar-SA"/>
    </w:rPr>
  </w:style>
  <w:style w:type="character" w:customStyle="1" w:styleId="111CharChar">
    <w:name w:val="1.1.1 Char Char"/>
    <w:semiHidden/>
    <w:qFormat/>
    <w:rPr>
      <w:rFonts w:ascii="宋体" w:eastAsia="宋体"/>
      <w:sz w:val="28"/>
      <w:shd w:val="clear" w:color="auto" w:fill="FFFFFF"/>
      <w:lang w:val="en-US" w:eastAsia="zh-CN" w:bidi="ar-SA"/>
    </w:rPr>
  </w:style>
  <w:style w:type="character" w:customStyle="1" w:styleId="Char1ffb">
    <w:name w:val="正文样式 Char1"/>
    <w:qFormat/>
    <w:rPr>
      <w:rFonts w:ascii="宋体" w:eastAsia="宋体" w:hAnsi="宋体" w:cs="Times New Roman"/>
      <w:color w:val="000000"/>
      <w:sz w:val="24"/>
      <w:szCs w:val="24"/>
      <w:shd w:val="clear" w:color="auto" w:fill="FFFFFF"/>
    </w:rPr>
  </w:style>
  <w:style w:type="character" w:customStyle="1" w:styleId="141512Char">
    <w:name w:val="样式 样式 方正宋三简体 14 磅 行距: 1.5 倍行距1 + 首行缩进:  2 字符 Char"/>
    <w:qFormat/>
    <w:rPr>
      <w:rFonts w:ascii="宋体" w:eastAsia="宋体" w:hAnsi="方正宋三简体" w:cs="宋体"/>
      <w:kern w:val="2"/>
      <w:sz w:val="27"/>
      <w:szCs w:val="27"/>
      <w:shd w:val="clear" w:color="auto" w:fill="FFFFFF"/>
      <w:lang w:val="en-US" w:eastAsia="zh-CN" w:bidi="ar-SA"/>
    </w:rPr>
  </w:style>
  <w:style w:type="character" w:customStyle="1" w:styleId="dan7-1CharCharChar0">
    <w:name w:val="dan7-1 Char Char Char"/>
    <w:qFormat/>
    <w:rPr>
      <w:rFonts w:ascii="Times New Roman" w:hAnsi="Times New Roman"/>
      <w:b/>
      <w:sz w:val="24"/>
      <w:szCs w:val="24"/>
      <w:shd w:val="clear" w:color="auto" w:fill="FFFFFF"/>
    </w:rPr>
  </w:style>
  <w:style w:type="character" w:customStyle="1" w:styleId="CharCharCharCharCharCharChar3">
    <w:name w:val="正文(首行缩进) Char Char Char Char Char Char Char"/>
    <w:qFormat/>
    <w:rPr>
      <w:rFonts w:eastAsia="宋体" w:cs="Times New Roman"/>
      <w:kern w:val="2"/>
      <w:sz w:val="24"/>
      <w:szCs w:val="24"/>
      <w:shd w:val="clear" w:color="auto" w:fill="FFFFFF"/>
      <w:lang w:val="en-US" w:eastAsia="zh-CN" w:bidi="ar-SA"/>
    </w:rPr>
  </w:style>
  <w:style w:type="character" w:customStyle="1" w:styleId="alt7CharChar">
    <w:name w:val="!正文缩进_alt7 Char Char"/>
    <w:link w:val="alt7Char"/>
    <w:qFormat/>
    <w:rPr>
      <w:rFonts w:eastAsia="华文中宋"/>
      <w:spacing w:val="6"/>
      <w:sz w:val="24"/>
      <w:szCs w:val="21"/>
    </w:rPr>
  </w:style>
  <w:style w:type="character" w:customStyle="1" w:styleId="CharChar41">
    <w:name w:val="Char Char41"/>
    <w:qFormat/>
    <w:rPr>
      <w:rFonts w:eastAsia="宋体" w:cs="Times New Roman"/>
      <w:b/>
      <w:bCs/>
      <w:kern w:val="44"/>
      <w:sz w:val="28"/>
      <w:szCs w:val="28"/>
      <w:shd w:val="clear" w:color="auto" w:fill="FFFFFF"/>
      <w:lang w:val="en-US" w:eastAsia="zh-CN" w:bidi="ar-SA"/>
    </w:rPr>
  </w:style>
  <w:style w:type="character" w:customStyle="1" w:styleId="nsbwxsm">
    <w:name w:val="_ns b w xsm"/>
    <w:qFormat/>
    <w:rPr>
      <w:shd w:val="clear" w:color="auto" w:fill="FFFFFF"/>
    </w:rPr>
  </w:style>
  <w:style w:type="character" w:customStyle="1" w:styleId="CharCharCharf3">
    <w:name w:val="报告正文 Char Char Char"/>
    <w:uiPriority w:val="99"/>
    <w:qFormat/>
    <w:locked/>
    <w:rPr>
      <w:rFonts w:cs="Times New Roman"/>
      <w:kern w:val="2"/>
      <w:sz w:val="28"/>
      <w:szCs w:val="28"/>
      <w:shd w:val="clear" w:color="auto" w:fill="FFFFFF"/>
    </w:rPr>
  </w:style>
  <w:style w:type="character" w:customStyle="1" w:styleId="nxt21">
    <w:name w:val="nxt21"/>
    <w:qFormat/>
    <w:rPr>
      <w:rFonts w:eastAsia="宋体" w:hint="default"/>
      <w:color w:val="006699"/>
      <w:spacing w:val="312"/>
      <w:sz w:val="18"/>
      <w:szCs w:val="18"/>
      <w:u w:val="none"/>
      <w:shd w:val="clear" w:color="auto" w:fill="FFFFFF"/>
    </w:rPr>
  </w:style>
  <w:style w:type="character" w:customStyle="1" w:styleId="2CharChar7">
    <w:name w:val="分目录2 Char Char"/>
    <w:qFormat/>
    <w:locked/>
    <w:rPr>
      <w:sz w:val="24"/>
      <w:shd w:val="clear" w:color="auto" w:fill="FFFFFF"/>
    </w:rPr>
  </w:style>
  <w:style w:type="character" w:customStyle="1" w:styleId="2Char32">
    <w:name w:val="正文文本 2 Char3"/>
    <w:qFormat/>
    <w:rPr>
      <w:kern w:val="2"/>
      <w:sz w:val="21"/>
      <w:szCs w:val="24"/>
      <w:shd w:val="clear" w:color="auto" w:fill="FFFFFF"/>
    </w:rPr>
  </w:style>
  <w:style w:type="character" w:customStyle="1" w:styleId="11Char4">
    <w:name w:val="标题 11 Char"/>
    <w:uiPriority w:val="99"/>
    <w:qFormat/>
    <w:rPr>
      <w:rFonts w:ascii="宋体" w:eastAsia="宋体" w:hAnsi="宋体" w:cs="Times New Roman" w:hint="eastAsia"/>
      <w:kern w:val="44"/>
      <w:sz w:val="32"/>
      <w:szCs w:val="32"/>
      <w:shd w:val="clear" w:color="auto" w:fill="FFFFFF"/>
    </w:rPr>
  </w:style>
  <w:style w:type="character" w:customStyle="1" w:styleId="111Char">
    <w:name w:val="表内字体111 Char"/>
    <w:link w:val="1110"/>
    <w:qFormat/>
    <w:rPr>
      <w:sz w:val="21"/>
      <w:szCs w:val="21"/>
    </w:rPr>
  </w:style>
  <w:style w:type="character" w:customStyle="1" w:styleId="2fffffffa">
    <w:name w:val="注释标题 字符2"/>
    <w:qFormat/>
    <w:rPr>
      <w:rFonts w:ascii="Times New Roman" w:eastAsia="宋体" w:hAnsi="Times New Roman" w:cs="Times New Roman"/>
      <w:szCs w:val="24"/>
      <w:shd w:val="clear" w:color="auto" w:fill="FFFFFF"/>
    </w:rPr>
  </w:style>
  <w:style w:type="character" w:customStyle="1" w:styleId="Char36">
    <w:name w:val="日期 Char3"/>
    <w:uiPriority w:val="99"/>
    <w:semiHidden/>
    <w:qFormat/>
    <w:rPr>
      <w:rFonts w:ascii="Times New Roman" w:eastAsia="宋体" w:hAnsi="Times New Roman" w:cs="Times New Roman"/>
      <w:szCs w:val="24"/>
      <w:shd w:val="clear" w:color="auto" w:fill="FFFFFF"/>
    </w:rPr>
  </w:style>
  <w:style w:type="character" w:customStyle="1" w:styleId="191">
    <w:name w:val="19"/>
    <w:qFormat/>
    <w:rPr>
      <w:rFonts w:ascii="Arial Unicode MS" w:eastAsia="Arial Unicode MS" w:hAnsi="Arial Unicode MS" w:cs="Arial Unicode MS" w:hint="eastAsia"/>
      <w:color w:val="000000"/>
      <w:spacing w:val="0"/>
      <w:sz w:val="8"/>
      <w:szCs w:val="8"/>
      <w:shd w:val="clear" w:color="auto" w:fill="FFFFFF"/>
    </w:rPr>
  </w:style>
  <w:style w:type="character" w:customStyle="1" w:styleId="2CharChar21">
    <w:name w:val="正文文字缩进 2 Char Char2"/>
    <w:qFormat/>
    <w:rPr>
      <w:rFonts w:eastAsia="宋体"/>
      <w:kern w:val="2"/>
      <w:sz w:val="21"/>
      <w:szCs w:val="24"/>
      <w:shd w:val="clear" w:color="auto" w:fill="FFFFFF"/>
      <w:lang w:val="en-US" w:eastAsia="zh-CN" w:bidi="ar-SA"/>
    </w:rPr>
  </w:style>
  <w:style w:type="character" w:customStyle="1" w:styleId="1CharChar8">
    <w:name w:val="标题1 Char Char"/>
    <w:qFormat/>
    <w:rPr>
      <w:rFonts w:ascii="Cambria" w:eastAsia="宋体" w:hAnsi="Cambria" w:cs="Times New Roman"/>
      <w:b/>
      <w:bCs/>
      <w:sz w:val="32"/>
      <w:szCs w:val="32"/>
      <w:shd w:val="clear" w:color="auto" w:fill="FFFFFF"/>
    </w:rPr>
  </w:style>
  <w:style w:type="character" w:customStyle="1" w:styleId="CharChar22">
    <w:name w:val="Char Char2"/>
    <w:qFormat/>
    <w:rPr>
      <w:rFonts w:ascii="Arial" w:eastAsia="黑体" w:hAnsi="Arial"/>
      <w:b/>
      <w:bCs/>
      <w:kern w:val="2"/>
      <w:sz w:val="32"/>
      <w:szCs w:val="32"/>
      <w:shd w:val="clear" w:color="auto" w:fill="FFFFFF"/>
      <w:lang w:val="en-US" w:eastAsia="zh-CN" w:bidi="ar-SA"/>
    </w:rPr>
  </w:style>
  <w:style w:type="character" w:customStyle="1" w:styleId="keywords">
    <w:name w:val="keywords"/>
    <w:qFormat/>
    <w:rPr>
      <w:b/>
      <w:bCs/>
      <w:color w:val="EE0033"/>
      <w:shd w:val="clear" w:color="auto" w:fill="FFFFFF"/>
    </w:rPr>
  </w:style>
  <w:style w:type="character" w:customStyle="1" w:styleId="infodetail1">
    <w:name w:val="infodetail1"/>
    <w:qFormat/>
    <w:rPr>
      <w:shd w:val="clear" w:color="auto" w:fill="FFFFFF"/>
    </w:rPr>
  </w:style>
  <w:style w:type="character" w:customStyle="1" w:styleId="Char11">
    <w:name w:val="表号 Char1"/>
    <w:link w:val="affffffff7"/>
    <w:qFormat/>
    <w:rPr>
      <w:snapToGrid w:val="0"/>
      <w:color w:val="000000"/>
      <w:sz w:val="24"/>
      <w:szCs w:val="24"/>
    </w:rPr>
  </w:style>
  <w:style w:type="character" w:customStyle="1" w:styleId="1Char1Char0">
    <w:name w:val="正文水资源论证1 Char1 Char"/>
    <w:qFormat/>
    <w:rPr>
      <w:rFonts w:ascii="宋体" w:eastAsia="宋体" w:hAnsi="宋体" w:cs="宋体" w:hint="eastAsia"/>
      <w:kern w:val="2"/>
      <w:sz w:val="28"/>
      <w:szCs w:val="24"/>
      <w:shd w:val="clear" w:color="auto" w:fill="FFFFFF"/>
      <w:lang w:val="en-US" w:eastAsia="zh-CN"/>
    </w:rPr>
  </w:style>
  <w:style w:type="character" w:customStyle="1" w:styleId="rptChar">
    <w:name w:val="rpt_正文 Char"/>
    <w:link w:val="rpt"/>
    <w:qFormat/>
    <w:rPr>
      <w:kern w:val="2"/>
      <w:sz w:val="24"/>
    </w:rPr>
  </w:style>
  <w:style w:type="character" w:customStyle="1" w:styleId="s3">
    <w:name w:val="s"/>
    <w:qFormat/>
    <w:rPr>
      <w:rFonts w:cs="Times New Roman"/>
      <w:shd w:val="clear" w:color="auto" w:fill="FFFFFF"/>
    </w:rPr>
  </w:style>
  <w:style w:type="character" w:customStyle="1" w:styleId="ft44">
    <w:name w:val="ft44"/>
    <w:qFormat/>
    <w:rPr>
      <w:rFonts w:ascii="Times" w:hAnsi="Times" w:cs="Times" w:hint="default"/>
      <w:color w:val="000000"/>
      <w:sz w:val="11"/>
      <w:szCs w:val="11"/>
      <w:shd w:val="clear" w:color="auto" w:fill="FFFFFF"/>
    </w:rPr>
  </w:style>
  <w:style w:type="character" w:customStyle="1" w:styleId="CharCharffff8">
    <w:name w:val="新正文样式 Char Char"/>
    <w:qFormat/>
    <w:locked/>
    <w:rPr>
      <w:rFonts w:ascii="Times New Roman" w:eastAsia="华文中宋" w:hAnsi="Times New Roman"/>
      <w:b/>
      <w:spacing w:val="20"/>
      <w:sz w:val="24"/>
      <w:shd w:val="clear" w:color="auto" w:fill="FFFFFF"/>
    </w:rPr>
  </w:style>
  <w:style w:type="character" w:customStyle="1" w:styleId="Char2f5">
    <w:name w:val="批注主题 Char2"/>
    <w:uiPriority w:val="99"/>
    <w:semiHidden/>
    <w:qFormat/>
    <w:rPr>
      <w:rFonts w:ascii="Times New Roman" w:eastAsia="宋体" w:hAnsi="Times New Roman" w:cs="Times New Roman"/>
      <w:b/>
      <w:bCs/>
      <w:sz w:val="21"/>
      <w:szCs w:val="24"/>
      <w:shd w:val="clear" w:color="auto" w:fill="FFFFFF"/>
    </w:rPr>
  </w:style>
  <w:style w:type="character" w:customStyle="1" w:styleId="1fffffff7">
    <w:name w:val="正文文本 字符1"/>
    <w:qFormat/>
    <w:rPr>
      <w:rFonts w:ascii="Times New Roman" w:eastAsia="宋体" w:hAnsi="Times New Roman" w:cs="Times New Roman"/>
      <w:szCs w:val="24"/>
      <w:shd w:val="clear" w:color="auto" w:fill="FFFFFF"/>
    </w:rPr>
  </w:style>
  <w:style w:type="character" w:customStyle="1" w:styleId="0pt">
    <w:name w:val="页眉或页脚 + 间距 0 pt"/>
    <w:qFormat/>
    <w:rPr>
      <w:rFonts w:ascii="MingLiU" w:eastAsia="MingLiU" w:hAnsi="MingLiU" w:cs="MingLiU"/>
      <w:color w:val="000000"/>
      <w:spacing w:val="0"/>
      <w:w w:val="100"/>
      <w:position w:val="0"/>
      <w:sz w:val="22"/>
      <w:szCs w:val="22"/>
      <w:u w:val="none"/>
      <w:shd w:val="clear" w:color="auto" w:fill="FFFFFF"/>
      <w:lang w:val="zh-TW" w:eastAsia="zh-TW" w:bidi="zh-TW"/>
    </w:rPr>
  </w:style>
  <w:style w:type="character" w:customStyle="1" w:styleId="2CharChar8">
    <w:name w:val="样式 首行缩进:  2 字符 Char Char"/>
    <w:qFormat/>
    <w:rPr>
      <w:rFonts w:eastAsia="仿宋_GB2312" w:cs="宋体"/>
      <w:kern w:val="2"/>
      <w:sz w:val="24"/>
      <w:shd w:val="clear" w:color="auto" w:fill="FFFFFF"/>
      <w:lang w:val="en-US" w:eastAsia="zh-CN" w:bidi="ar-SA"/>
    </w:rPr>
  </w:style>
  <w:style w:type="character" w:customStyle="1" w:styleId="xChar">
    <w:name w:val="正文x Char"/>
    <w:qFormat/>
    <w:rPr>
      <w:rFonts w:ascii="Times New Roman" w:eastAsia="宋体" w:hAnsi="Times New Roman" w:cs="Times New Roman" w:hint="default"/>
      <w:kern w:val="24"/>
      <w:sz w:val="24"/>
      <w:szCs w:val="24"/>
      <w:shd w:val="clear" w:color="auto" w:fill="FFFFFF"/>
    </w:rPr>
  </w:style>
  <w:style w:type="character" w:customStyle="1" w:styleId="0001Char">
    <w:name w:val="样式0001 Char"/>
    <w:qFormat/>
    <w:locked/>
    <w:rPr>
      <w:rFonts w:ascii="幼圆" w:hAnsi="宋体"/>
      <w:szCs w:val="21"/>
      <w:shd w:val="clear" w:color="auto" w:fill="FFFFFF"/>
    </w:rPr>
  </w:style>
  <w:style w:type="character" w:customStyle="1" w:styleId="11Char1">
    <w:name w:val="表头11 Char"/>
    <w:link w:val="114"/>
    <w:qFormat/>
    <w:rPr>
      <w:b/>
      <w:sz w:val="24"/>
      <w:szCs w:val="21"/>
    </w:rPr>
  </w:style>
  <w:style w:type="character" w:customStyle="1" w:styleId="FontStyle404">
    <w:name w:val="Font Style404"/>
    <w:qFormat/>
    <w:rPr>
      <w:rFonts w:ascii="宋体" w:eastAsia="宋体" w:cs="宋体"/>
      <w:b/>
      <w:bCs/>
      <w:w w:val="150"/>
      <w:sz w:val="14"/>
      <w:szCs w:val="14"/>
      <w:shd w:val="clear" w:color="auto" w:fill="FFFFFF"/>
    </w:rPr>
  </w:style>
  <w:style w:type="character" w:customStyle="1" w:styleId="4f3">
    <w:name w:val="正文文本 (4)_"/>
    <w:link w:val="4f2"/>
    <w:qFormat/>
    <w:rPr>
      <w:rFonts w:eastAsia="Times New Roman"/>
      <w:sz w:val="30"/>
      <w:szCs w:val="30"/>
      <w:shd w:val="clear" w:color="auto" w:fill="FFFFFF"/>
      <w:lang w:eastAsia="en-US" w:bidi="en-US"/>
    </w:rPr>
  </w:style>
  <w:style w:type="character" w:customStyle="1" w:styleId="unnamed21">
    <w:name w:val="unnamed21"/>
    <w:qFormat/>
    <w:rPr>
      <w:color w:val="330000"/>
      <w:sz w:val="21"/>
      <w:szCs w:val="21"/>
      <w:u w:val="none"/>
      <w:shd w:val="clear" w:color="auto" w:fill="FFFFFF"/>
    </w:rPr>
  </w:style>
  <w:style w:type="character" w:customStyle="1" w:styleId="GB23125">
    <w:name w:val="样式 (中文) 仿宋_GB2312 小四"/>
    <w:qFormat/>
    <w:rPr>
      <w:rFonts w:eastAsia="宋体" w:cs="Times New Roman"/>
      <w:sz w:val="24"/>
      <w:shd w:val="clear" w:color="auto" w:fill="FFFFFF"/>
    </w:rPr>
  </w:style>
  <w:style w:type="character" w:customStyle="1" w:styleId="Charfffffffffff6">
    <w:name w:val="封面一号字 Char"/>
    <w:qFormat/>
    <w:rPr>
      <w:rFonts w:ascii="Times New Roman" w:hAnsi="宋体"/>
      <w:sz w:val="24"/>
      <w:szCs w:val="24"/>
      <w:shd w:val="clear" w:color="auto" w:fill="FFFFFF"/>
    </w:rPr>
  </w:style>
  <w:style w:type="character" w:customStyle="1" w:styleId="CharChar">
    <w:name w:val="表题 Char Char"/>
    <w:link w:val="afffffffb"/>
    <w:qFormat/>
    <w:rPr>
      <w:rFonts w:ascii="黑体" w:eastAsia="黑体"/>
      <w:snapToGrid w:val="0"/>
      <w:sz w:val="21"/>
      <w:szCs w:val="21"/>
    </w:rPr>
  </w:style>
  <w:style w:type="character" w:customStyle="1" w:styleId="txt4">
    <w:name w:val="txt4"/>
    <w:qFormat/>
    <w:rPr>
      <w:shd w:val="clear" w:color="auto" w:fill="FFFFFF"/>
    </w:rPr>
  </w:style>
  <w:style w:type="character" w:customStyle="1" w:styleId="bigtt">
    <w:name w:val="bigtt"/>
    <w:qFormat/>
    <w:rPr>
      <w:shd w:val="clear" w:color="auto" w:fill="FFFFFF"/>
    </w:rPr>
  </w:style>
  <w:style w:type="character" w:customStyle="1" w:styleId="textedit1">
    <w:name w:val="text_edit1"/>
    <w:qFormat/>
    <w:rPr>
      <w:rFonts w:cs="Times New Roman"/>
      <w:color w:val="3366CC"/>
      <w:sz w:val="24"/>
      <w:szCs w:val="24"/>
      <w:shd w:val="clear" w:color="auto" w:fill="FFFFFF"/>
    </w:rPr>
  </w:style>
  <w:style w:type="character" w:customStyle="1" w:styleId="2H211lxb211h2CharCharCharChar">
    <w:name w:val="样式 样式 标题 2节H2节标题 1.1二级标题标题 lxb21.1h2第一层条二级标题 Char表标题单位名... + 宋体... Char Char Char"/>
    <w:qFormat/>
    <w:locked/>
    <w:rPr>
      <w:rFonts w:ascii="宋体"/>
      <w:b/>
      <w:color w:val="000000"/>
      <w:sz w:val="28"/>
      <w:szCs w:val="28"/>
      <w:shd w:val="clear" w:color="auto" w:fill="FFFFFF"/>
    </w:rPr>
  </w:style>
  <w:style w:type="character" w:customStyle="1" w:styleId="3ffff2">
    <w:name w:val="日期 字符3"/>
    <w:qFormat/>
    <w:rPr>
      <w:rFonts w:ascii="宋体" w:eastAsia="宋体" w:hAnsi="Courier New" w:cs="Times New Roman"/>
      <w:sz w:val="30"/>
      <w:szCs w:val="20"/>
      <w:shd w:val="clear" w:color="auto" w:fill="FFFFFF"/>
    </w:rPr>
  </w:style>
  <w:style w:type="character" w:customStyle="1" w:styleId="15Char">
    <w:name w:val="样式 宋体 小四 行距: 1.5 倍行距 Char"/>
    <w:link w:val="155"/>
    <w:qFormat/>
    <w:rPr>
      <w:rFonts w:ascii="宋体" w:hAnsi="宋体"/>
      <w:sz w:val="28"/>
    </w:rPr>
  </w:style>
  <w:style w:type="character" w:customStyle="1" w:styleId="2Char9">
    <w:name w:val="2  级标题 Char"/>
    <w:link w:val="2ffc"/>
    <w:qFormat/>
    <w:rPr>
      <w:rFonts w:ascii="黑体" w:eastAsia="黑体"/>
      <w:bCs/>
      <w:iCs/>
      <w:sz w:val="28"/>
      <w:szCs w:val="24"/>
    </w:rPr>
  </w:style>
  <w:style w:type="character" w:customStyle="1" w:styleId="Char37">
    <w:name w:val="正文首行缩进 Char3"/>
    <w:qFormat/>
    <w:rPr>
      <w:rFonts w:eastAsia="宋体" w:cs="Times New Roman"/>
      <w:kern w:val="2"/>
      <w:sz w:val="21"/>
      <w:shd w:val="clear" w:color="auto" w:fill="FFFFFF"/>
      <w:lang w:val="en-US" w:eastAsia="zh-CN" w:bidi="ar-SA"/>
    </w:rPr>
  </w:style>
  <w:style w:type="character" w:customStyle="1" w:styleId="td21">
    <w:name w:val="td21"/>
    <w:qFormat/>
    <w:rPr>
      <w:rFonts w:cs="Times New Roman"/>
      <w:sz w:val="21"/>
      <w:szCs w:val="21"/>
      <w:u w:val="none"/>
      <w:shd w:val="clear" w:color="auto" w:fill="FFFFFF"/>
    </w:rPr>
  </w:style>
  <w:style w:type="character" w:customStyle="1" w:styleId="Charffffff5">
    <w:name w:val="标题四！！！！！！！！！！！！！！！！！！ Char"/>
    <w:link w:val="afffffffffffffffff4"/>
    <w:qFormat/>
    <w:locked/>
    <w:rPr>
      <w:rFonts w:ascii="楷体_GB2312" w:eastAsia="楷体_GB2312" w:hAnsi="宋体"/>
      <w:b/>
      <w:szCs w:val="21"/>
    </w:rPr>
  </w:style>
  <w:style w:type="character" w:customStyle="1" w:styleId="CharCharCharChar10">
    <w:name w:val="Char Char Char Char1"/>
    <w:semiHidden/>
    <w:qFormat/>
    <w:rPr>
      <w:rFonts w:eastAsia="宋体"/>
      <w:b/>
      <w:bCs/>
      <w:kern w:val="2"/>
      <w:sz w:val="24"/>
      <w:szCs w:val="32"/>
      <w:shd w:val="clear" w:color="auto" w:fill="FFFFFF"/>
      <w:lang w:val="en-US" w:eastAsia="zh-CN" w:bidi="ar-SA"/>
    </w:rPr>
  </w:style>
  <w:style w:type="character" w:customStyle="1" w:styleId="Charfffffffffff7">
    <w:name w:val="德胜正文 Char"/>
    <w:qFormat/>
    <w:rPr>
      <w:rFonts w:ascii="宋体" w:eastAsia="宋体" w:hAnsi="宋体" w:cs="宋体" w:hint="eastAsia"/>
      <w:snapToGrid w:val="0"/>
      <w:color w:val="0000FF"/>
      <w:sz w:val="24"/>
      <w:szCs w:val="24"/>
      <w:shd w:val="clear" w:color="auto" w:fill="FFFFFF"/>
    </w:rPr>
  </w:style>
  <w:style w:type="character" w:customStyle="1" w:styleId="4CharChar2">
    <w:name w:val="4  级标题 Char Char"/>
    <w:qFormat/>
    <w:rPr>
      <w:rFonts w:ascii="黑体" w:eastAsia="黑体"/>
      <w:sz w:val="24"/>
      <w:szCs w:val="28"/>
      <w:shd w:val="clear" w:color="auto" w:fill="FFFFFF"/>
    </w:rPr>
  </w:style>
  <w:style w:type="character" w:customStyle="1" w:styleId="11CharChar">
    <w:name w:val="四号仿宋左空1格行距1倍 Char Char"/>
    <w:qFormat/>
    <w:locked/>
    <w:rPr>
      <w:rFonts w:ascii="Arial" w:eastAsia="黑体" w:hAnsi="Arial"/>
      <w:b/>
      <w:kern w:val="2"/>
      <w:sz w:val="28"/>
      <w:shd w:val="clear" w:color="auto" w:fill="FFFFFF"/>
      <w:lang w:val="en-US" w:eastAsia="zh-CN" w:bidi="ar-SA"/>
    </w:rPr>
  </w:style>
  <w:style w:type="character" w:customStyle="1" w:styleId="5ff7">
    <w:name w:val="正文文本5"/>
    <w:qFormat/>
    <w:rPr>
      <w:rFonts w:ascii="Arial Unicode MS" w:eastAsia="Arial Unicode MS" w:hAnsi="Arial Unicode MS"/>
      <w:color w:val="000000"/>
      <w:spacing w:val="0"/>
      <w:w w:val="100"/>
      <w:position w:val="0"/>
      <w:sz w:val="23"/>
      <w:szCs w:val="23"/>
      <w:shd w:val="clear" w:color="auto" w:fill="FFFFFF"/>
      <w:lang w:val="zh-CN" w:bidi="ar-SA"/>
    </w:rPr>
  </w:style>
  <w:style w:type="character" w:customStyle="1" w:styleId="13haozi1">
    <w:name w:val="13haozi1"/>
    <w:qFormat/>
    <w:rPr>
      <w:color w:val="000000"/>
      <w:sz w:val="26"/>
      <w:szCs w:val="26"/>
      <w:u w:val="none"/>
      <w:shd w:val="clear" w:color="auto" w:fill="FFFFFF"/>
    </w:rPr>
  </w:style>
  <w:style w:type="character" w:customStyle="1" w:styleId="CharChar160">
    <w:name w:val="Char Char16"/>
    <w:qFormat/>
    <w:rPr>
      <w:rFonts w:eastAsia="黑体"/>
      <w:b/>
      <w:kern w:val="2"/>
      <w:sz w:val="28"/>
      <w:szCs w:val="28"/>
      <w:shd w:val="clear" w:color="auto" w:fill="FFFFFF"/>
    </w:rPr>
  </w:style>
  <w:style w:type="character" w:customStyle="1" w:styleId="CharCharffff9">
    <w:name w:val="正文 楷体 Char Char"/>
    <w:qFormat/>
    <w:locked/>
    <w:rPr>
      <w:rFonts w:ascii="楷体_GB2312" w:eastAsia="楷体_GB2312" w:hAnsi="楷体_GB2312" w:cs="宋体"/>
      <w:kern w:val="2"/>
      <w:sz w:val="24"/>
      <w:szCs w:val="24"/>
      <w:shd w:val="clear" w:color="auto" w:fill="FFFFFF"/>
    </w:rPr>
  </w:style>
  <w:style w:type="character" w:customStyle="1" w:styleId="11Char5">
    <w:name w:val="样式11 Char"/>
    <w:qFormat/>
    <w:rPr>
      <w:rFonts w:ascii="Times New Roman" w:hAnsi="宋体"/>
      <w:sz w:val="24"/>
      <w:szCs w:val="24"/>
      <w:shd w:val="clear" w:color="auto" w:fill="FFFFFF"/>
    </w:rPr>
  </w:style>
  <w:style w:type="character" w:customStyle="1" w:styleId="Charfffffffffff8">
    <w:name w:val="图表说明 Char"/>
    <w:qFormat/>
    <w:rPr>
      <w:rFonts w:ascii="宋体" w:eastAsia="宋体" w:hAnsi="Courier New"/>
      <w:kern w:val="2"/>
      <w:sz w:val="21"/>
      <w:shd w:val="clear" w:color="auto" w:fill="FFFFFF"/>
      <w:lang w:val="en-US" w:eastAsia="zh-CN" w:bidi="ar-SA"/>
    </w:rPr>
  </w:style>
  <w:style w:type="character" w:customStyle="1" w:styleId="fheading1">
    <w:name w:val="f_heading1"/>
    <w:qFormat/>
    <w:rPr>
      <w:shd w:val="clear" w:color="auto" w:fill="FFFFFF"/>
    </w:rPr>
  </w:style>
  <w:style w:type="character" w:customStyle="1" w:styleId="2Charfb">
    <w:name w:val="可研标题2 Char"/>
    <w:qFormat/>
    <w:locked/>
    <w:rPr>
      <w:rFonts w:ascii="Arial" w:eastAsia="黑体" w:hAnsi="Arial" w:cs="宋体"/>
      <w:b/>
      <w:bCs/>
      <w:color w:val="000000"/>
      <w:spacing w:val="6"/>
      <w:sz w:val="32"/>
      <w:szCs w:val="32"/>
      <w:shd w:val="clear" w:color="auto" w:fill="FFFFFF"/>
      <w:lang w:val="zh-CN"/>
    </w:rPr>
  </w:style>
  <w:style w:type="character" w:customStyle="1" w:styleId="Char1ffc">
    <w:name w:val="电子邮件签名 Char1"/>
    <w:qFormat/>
    <w:rPr>
      <w:kern w:val="2"/>
      <w:sz w:val="21"/>
      <w:szCs w:val="24"/>
      <w:shd w:val="clear" w:color="auto" w:fill="FFFFFF"/>
    </w:rPr>
  </w:style>
  <w:style w:type="character" w:customStyle="1" w:styleId="86">
    <w:name w:val="正文文本 (8)_"/>
    <w:link w:val="85"/>
    <w:qFormat/>
    <w:rPr>
      <w:rFonts w:ascii="Arial Unicode MS" w:eastAsia="Arial Unicode MS" w:hAnsi="Arial Unicode MS"/>
      <w:sz w:val="22"/>
      <w:szCs w:val="22"/>
      <w:shd w:val="clear" w:color="auto" w:fill="FFFFFF"/>
    </w:rPr>
  </w:style>
  <w:style w:type="character" w:customStyle="1" w:styleId="2TimesNewRomanCharChar">
    <w:name w:val="正文首行缩进 2 + Times New Roman Char Char"/>
    <w:semiHidden/>
    <w:qFormat/>
    <w:rPr>
      <w:rFonts w:ascii="Times New Roman" w:eastAsia="宋体" w:hAnsi="Times New Roman" w:cs="Times New Roman"/>
      <w:sz w:val="24"/>
      <w:szCs w:val="24"/>
      <w:shd w:val="clear" w:color="auto" w:fill="FFFFFF"/>
    </w:rPr>
  </w:style>
  <w:style w:type="character" w:customStyle="1" w:styleId="f141">
    <w:name w:val="f141"/>
    <w:qFormat/>
    <w:rPr>
      <w:sz w:val="21"/>
      <w:szCs w:val="21"/>
      <w:shd w:val="clear" w:color="auto" w:fill="FFFFFF"/>
    </w:rPr>
  </w:style>
  <w:style w:type="character" w:customStyle="1" w:styleId="12e">
    <w:name w:val="标题 1 字符2"/>
    <w:qFormat/>
    <w:rPr>
      <w:rFonts w:ascii="Times New Roman" w:eastAsia="楷体_GB2312" w:hAnsi="Times New Roman"/>
      <w:b/>
      <w:kern w:val="44"/>
      <w:sz w:val="44"/>
      <w:szCs w:val="21"/>
      <w:shd w:val="clear" w:color="auto" w:fill="FFFFFF"/>
    </w:rPr>
  </w:style>
  <w:style w:type="character" w:customStyle="1" w:styleId="AChar5">
    <w:name w:val="标题三A Char"/>
    <w:qFormat/>
    <w:rPr>
      <w:rFonts w:ascii="Times New Roman" w:hAnsi="Times New Roman"/>
      <w:b/>
      <w:bCs/>
      <w:sz w:val="28"/>
      <w:szCs w:val="28"/>
      <w:shd w:val="clear" w:color="auto" w:fill="FFFFFF"/>
    </w:rPr>
  </w:style>
  <w:style w:type="character" w:customStyle="1" w:styleId="CharChar191">
    <w:name w:val="Char Char191"/>
    <w:qFormat/>
    <w:rPr>
      <w:rFonts w:ascii="Times New Roman" w:hAnsi="Times New Roman"/>
      <w:b/>
      <w:bCs/>
      <w:iCs/>
      <w:sz w:val="28"/>
      <w:szCs w:val="28"/>
      <w:shd w:val="clear" w:color="auto" w:fill="FFFFFF"/>
      <w:lang w:bidi="en-US"/>
    </w:rPr>
  </w:style>
  <w:style w:type="character" w:customStyle="1" w:styleId="CharChar1c">
    <w:name w:val="正文格式 Char Char1"/>
    <w:qFormat/>
    <w:locked/>
    <w:rPr>
      <w:rFonts w:ascii="宋体" w:eastAsia="宋体" w:hAnsi="宋体" w:cs="宋体"/>
      <w:color w:val="000000"/>
      <w:kern w:val="2"/>
      <w:sz w:val="24"/>
      <w:szCs w:val="24"/>
      <w:shd w:val="clear" w:color="auto" w:fill="FFFFFF"/>
      <w:lang w:val="en-US" w:eastAsia="zh-CN" w:bidi="ar-SA"/>
    </w:rPr>
  </w:style>
  <w:style w:type="character" w:customStyle="1" w:styleId="YHYChar0">
    <w:name w:val="表头YHY Char"/>
    <w:qFormat/>
    <w:rPr>
      <w:rFonts w:ascii="黑体" w:eastAsia="黑体" w:hAnsi="Times New Roman"/>
      <w:bCs/>
      <w:szCs w:val="21"/>
      <w:shd w:val="clear" w:color="auto" w:fill="FFFFFF"/>
    </w:rPr>
  </w:style>
  <w:style w:type="character" w:customStyle="1" w:styleId="4CharChar10">
    <w:name w:val="标题 4 Char Char1"/>
    <w:qFormat/>
    <w:rPr>
      <w:rFonts w:eastAsia="宋体"/>
      <w:b/>
      <w:bCs/>
      <w:kern w:val="2"/>
      <w:sz w:val="24"/>
      <w:szCs w:val="24"/>
      <w:shd w:val="clear" w:color="auto" w:fill="FFFFFF"/>
      <w:lang w:eastAsia="zh-CN" w:bidi="ar-SA"/>
    </w:rPr>
  </w:style>
  <w:style w:type="character" w:customStyle="1" w:styleId="Charfffffffffff9">
    <w:name w:val="表格文字居中 Char"/>
    <w:semiHidden/>
    <w:qFormat/>
    <w:rPr>
      <w:rFonts w:ascii="宋体" w:eastAsia="宋体" w:hAnsi="宋体" w:cs="Arial"/>
      <w:color w:val="000000"/>
      <w:sz w:val="24"/>
      <w:szCs w:val="21"/>
      <w:shd w:val="clear" w:color="auto" w:fill="FFFFFF"/>
      <w:lang w:val="en-US" w:eastAsia="zh-CN" w:bidi="ar-SA"/>
    </w:rPr>
  </w:style>
  <w:style w:type="character" w:customStyle="1" w:styleId="5Char5">
    <w:name w:val="5 Char"/>
    <w:link w:val="5f3"/>
    <w:qFormat/>
    <w:rPr>
      <w:spacing w:val="-4"/>
      <w:sz w:val="24"/>
      <w:szCs w:val="21"/>
    </w:rPr>
  </w:style>
  <w:style w:type="character" w:customStyle="1" w:styleId="affffffffffffffffffffffffffffffffffffffff7">
    <w:name w:val="无间隔 字符"/>
    <w:uiPriority w:val="1"/>
    <w:qFormat/>
    <w:rPr>
      <w:kern w:val="2"/>
      <w:sz w:val="24"/>
      <w:szCs w:val="24"/>
      <w:shd w:val="clear" w:color="auto" w:fill="FFFFFF"/>
      <w:lang w:val="en-US" w:eastAsia="zh-CN" w:bidi="ar-SA"/>
    </w:rPr>
  </w:style>
  <w:style w:type="character" w:customStyle="1" w:styleId="3ffff3">
    <w:name w:val="脚注文本 字符3"/>
    <w:uiPriority w:val="99"/>
    <w:qFormat/>
    <w:rPr>
      <w:rFonts w:ascii="Times New Roman" w:eastAsia="宋体" w:hAnsi="Times New Roman" w:cs="Times New Roman"/>
      <w:sz w:val="18"/>
      <w:szCs w:val="20"/>
      <w:shd w:val="clear" w:color="auto" w:fill="FFFFFF"/>
    </w:rPr>
  </w:style>
  <w:style w:type="character" w:customStyle="1" w:styleId="NormalCharCharCharCharChar">
    <w:name w:val="Normal Char Char Char Char Char"/>
    <w:qFormat/>
    <w:rPr>
      <w:rFonts w:ascii="宋体" w:eastAsia="宋体"/>
      <w:kern w:val="2"/>
      <w:sz w:val="34"/>
      <w:szCs w:val="24"/>
      <w:shd w:val="clear" w:color="auto" w:fill="FFFFFF"/>
      <w:lang w:val="en-US" w:eastAsia="zh-CN" w:bidi="ar-SA"/>
    </w:rPr>
  </w:style>
  <w:style w:type="character" w:customStyle="1" w:styleId="2CharChar1">
    <w:name w:val="样式 纯文本 + 首行缩进:  2 字符 Char Char"/>
    <w:link w:val="2Chara"/>
    <w:qFormat/>
    <w:rPr>
      <w:rFonts w:ascii="宋体" w:hAnsi="Courier New"/>
      <w:kern w:val="2"/>
      <w:sz w:val="21"/>
    </w:rPr>
  </w:style>
  <w:style w:type="character" w:customStyle="1" w:styleId="5Charb">
    <w:name w:val="样式 表内小5 + 黑体 加粗 倾斜 下划线 Char"/>
    <w:qFormat/>
    <w:rPr>
      <w:rFonts w:ascii="黑体" w:eastAsia="黑体" w:hAnsi="黑体"/>
      <w:b/>
      <w:bCs/>
      <w:i/>
      <w:iCs/>
      <w:szCs w:val="21"/>
      <w:u w:val="single"/>
      <w:shd w:val="clear" w:color="auto" w:fill="FFFFFF"/>
    </w:rPr>
  </w:style>
  <w:style w:type="character" w:customStyle="1" w:styleId="CharChar300">
    <w:name w:val="Char Char30"/>
    <w:qFormat/>
    <w:rPr>
      <w:rFonts w:ascii="仿宋_GB2312" w:eastAsia="仿宋_GB2312" w:hAnsi="宋体" w:cs="Times New Roman"/>
      <w:sz w:val="28"/>
      <w:szCs w:val="24"/>
      <w:shd w:val="clear" w:color="auto" w:fill="FFFFFF"/>
    </w:rPr>
  </w:style>
  <w:style w:type="character" w:customStyle="1" w:styleId="CharChar212">
    <w:name w:val="Char Char212"/>
    <w:qFormat/>
    <w:rPr>
      <w:rFonts w:ascii="黑体" w:eastAsia="黑体" w:hAnsi="Times New Roman"/>
      <w:bCs/>
      <w:kern w:val="44"/>
      <w:sz w:val="30"/>
      <w:szCs w:val="44"/>
      <w:shd w:val="clear" w:color="auto" w:fill="FFFFFF"/>
    </w:rPr>
  </w:style>
  <w:style w:type="character" w:customStyle="1" w:styleId="Charfffffffffffa">
    <w:name w:val="报告书 Char"/>
    <w:qFormat/>
    <w:rPr>
      <w:rFonts w:ascii="Times New Roman" w:eastAsia="宋体" w:hAnsi="Times New Roman" w:cs="Times New Roman" w:hint="default"/>
      <w:kern w:val="0"/>
      <w:sz w:val="24"/>
      <w:szCs w:val="20"/>
      <w:shd w:val="clear" w:color="auto" w:fill="FFFFFF"/>
    </w:rPr>
  </w:style>
  <w:style w:type="character" w:customStyle="1" w:styleId="22Char2">
    <w:name w:val="样式 标题 2 + 宋体 小二 首行缩进:  2 字符 Char"/>
    <w:link w:val="226"/>
    <w:qFormat/>
    <w:locked/>
    <w:rPr>
      <w:rFonts w:ascii="宋体" w:hAnsi="宋体"/>
      <w:b/>
      <w:bCs/>
      <w:kern w:val="2"/>
      <w:sz w:val="32"/>
    </w:rPr>
  </w:style>
  <w:style w:type="character" w:customStyle="1" w:styleId="FontStyle374">
    <w:name w:val="Font Style374"/>
    <w:qFormat/>
    <w:rPr>
      <w:rFonts w:ascii="Times New Roman" w:hAnsi="Times New Roman" w:cs="Times New Roman"/>
      <w:sz w:val="12"/>
      <w:szCs w:val="12"/>
      <w:shd w:val="clear" w:color="auto" w:fill="FFFFFF"/>
    </w:rPr>
  </w:style>
  <w:style w:type="character" w:customStyle="1" w:styleId="2TimesNewRoman0">
    <w:name w:val="正文文本 (2) + Times New Roman"/>
    <w:qFormat/>
    <w:rPr>
      <w:rFonts w:ascii="Times New Roman" w:eastAsia="Times New Roman" w:hAnsi="Times New Roman" w:cs="Times New Roman"/>
      <w:color w:val="000000"/>
      <w:spacing w:val="0"/>
      <w:w w:val="100"/>
      <w:position w:val="0"/>
      <w:sz w:val="30"/>
      <w:szCs w:val="30"/>
      <w:u w:val="none"/>
      <w:shd w:val="clear" w:color="auto" w:fill="FFFFFF"/>
      <w:lang w:val="en-US" w:eastAsia="en-US" w:bidi="en-US"/>
    </w:rPr>
  </w:style>
  <w:style w:type="character" w:customStyle="1" w:styleId="wangCharChar">
    <w:name w:val="正文wang Char Char"/>
    <w:qFormat/>
    <w:rPr>
      <w:rFonts w:eastAsia="宋体" w:cs="宋体"/>
      <w:spacing w:val="-4"/>
      <w:kern w:val="2"/>
      <w:sz w:val="24"/>
      <w:szCs w:val="24"/>
      <w:shd w:val="clear" w:color="auto" w:fill="FFFFFF"/>
      <w:lang w:val="en-US" w:eastAsia="zh-CN" w:bidi="ar-SA"/>
    </w:rPr>
  </w:style>
  <w:style w:type="character" w:customStyle="1" w:styleId="tpccontent">
    <w:name w:val="tpc_content"/>
    <w:qFormat/>
    <w:rPr>
      <w:shd w:val="clear" w:color="auto" w:fill="FFFFFF"/>
    </w:rPr>
  </w:style>
  <w:style w:type="character" w:customStyle="1" w:styleId="question-title2">
    <w:name w:val="question-title2"/>
    <w:qFormat/>
    <w:rPr>
      <w:rFonts w:cs="Times New Roman"/>
      <w:shd w:val="clear" w:color="auto" w:fill="FFFFFF"/>
    </w:rPr>
  </w:style>
  <w:style w:type="character" w:customStyle="1" w:styleId="183">
    <w:name w:val="18"/>
    <w:qFormat/>
    <w:rPr>
      <w:rFonts w:ascii="Arial Unicode MS" w:eastAsia="Arial Unicode MS" w:hAnsi="Arial Unicode MS" w:cs="Arial Unicode MS" w:hint="eastAsia"/>
      <w:color w:val="000000"/>
      <w:spacing w:val="0"/>
      <w:sz w:val="19"/>
      <w:szCs w:val="19"/>
      <w:shd w:val="clear" w:color="auto" w:fill="FFFFFF"/>
    </w:rPr>
  </w:style>
  <w:style w:type="character" w:customStyle="1" w:styleId="220Char">
    <w:name w:val="标题 2 + 行距: 标题2+首行缩进 0倍 Char"/>
    <w:qFormat/>
    <w:rPr>
      <w:rFonts w:ascii="黑体" w:eastAsia="黑体" w:hAnsi="Times New Roman"/>
      <w:sz w:val="30"/>
      <w:shd w:val="clear" w:color="auto" w:fill="FFFFFF"/>
    </w:rPr>
  </w:style>
  <w:style w:type="character" w:customStyle="1" w:styleId="2CharChar22">
    <w:name w:val="正文文字 2 Char Char2"/>
    <w:qFormat/>
    <w:rPr>
      <w:rFonts w:ascii="Times New Roman" w:eastAsia="宋体" w:hAnsi="Times New Roman" w:cs="Times New Roman"/>
      <w:sz w:val="24"/>
      <w:szCs w:val="24"/>
      <w:shd w:val="clear" w:color="auto" w:fill="FFFFFF"/>
      <w:vertAlign w:val="superscript"/>
    </w:rPr>
  </w:style>
  <w:style w:type="character" w:customStyle="1" w:styleId="Charfffffffffffb">
    <w:name w:val="陆晶  图标 Char"/>
    <w:qFormat/>
    <w:rPr>
      <w:rFonts w:eastAsia="黑体"/>
      <w:sz w:val="28"/>
      <w:szCs w:val="24"/>
      <w:shd w:val="clear" w:color="auto" w:fill="FFFFFF"/>
    </w:rPr>
  </w:style>
  <w:style w:type="character" w:customStyle="1" w:styleId="affffffffffffffffffffffffffffffffffffffff8">
    <w:name w:val="第一条"/>
    <w:qFormat/>
    <w:rPr>
      <w:rFonts w:cs="Times New Roman"/>
      <w:shd w:val="clear" w:color="auto" w:fill="FFFFFF"/>
    </w:rPr>
  </w:style>
  <w:style w:type="character" w:customStyle="1" w:styleId="oo1">
    <w:name w:val="oo1"/>
    <w:qFormat/>
    <w:rPr>
      <w:rFonts w:eastAsia="宋体"/>
      <w:color w:val="000000"/>
      <w:spacing w:val="284"/>
      <w:kern w:val="2"/>
      <w:sz w:val="21"/>
      <w:szCs w:val="21"/>
      <w:shd w:val="clear" w:color="auto" w:fill="FFFFFF"/>
      <w:lang w:val="en-US" w:eastAsia="zh-CN" w:bidi="ar-SA"/>
    </w:rPr>
  </w:style>
  <w:style w:type="character" w:customStyle="1" w:styleId="Char1ffd">
    <w:name w:val="表内文字 Char1"/>
    <w:qFormat/>
    <w:rPr>
      <w:rFonts w:ascii="宋体" w:eastAsia="宋体" w:hAnsi="Courier New"/>
      <w:kern w:val="2"/>
      <w:sz w:val="21"/>
      <w:shd w:val="clear" w:color="auto" w:fill="FFFFFF"/>
      <w:lang w:val="en-US" w:eastAsia="zh-CN" w:bidi="ar-SA"/>
    </w:rPr>
  </w:style>
  <w:style w:type="character" w:customStyle="1" w:styleId="22Char4">
    <w:name w:val="小2号宋体居中行距2倍 Char"/>
    <w:qFormat/>
    <w:locked/>
    <w:rPr>
      <w:rFonts w:eastAsia="宋体"/>
      <w:b/>
      <w:bCs/>
      <w:kern w:val="44"/>
      <w:sz w:val="44"/>
      <w:szCs w:val="44"/>
      <w:shd w:val="clear" w:color="auto" w:fill="FFFFFF"/>
      <w:lang w:val="en-US" w:eastAsia="zh-CN" w:bidi="ar-SA"/>
    </w:rPr>
  </w:style>
  <w:style w:type="character" w:customStyle="1" w:styleId="Charff">
    <w:name w:val="表格名称 Char"/>
    <w:link w:val="affffffffffe"/>
    <w:qFormat/>
    <w:rPr>
      <w:rFonts w:ascii="黑体" w:eastAsia="黑体" w:hAnsi="宋体" w:cs="宋体"/>
      <w:sz w:val="24"/>
      <w:szCs w:val="24"/>
    </w:rPr>
  </w:style>
  <w:style w:type="character" w:customStyle="1" w:styleId="sb1">
    <w:name w:val="sb1"/>
    <w:semiHidden/>
    <w:qFormat/>
    <w:rPr>
      <w:rFonts w:eastAsia="宋体"/>
      <w:color w:val="000000"/>
      <w:kern w:val="2"/>
      <w:sz w:val="15"/>
      <w:szCs w:val="15"/>
      <w:shd w:val="clear" w:color="auto" w:fill="FFFFFF"/>
      <w:vertAlign w:val="superscript"/>
      <w:lang w:val="en-US" w:eastAsia="zh-CN" w:bidi="ar-SA"/>
    </w:rPr>
  </w:style>
  <w:style w:type="character" w:customStyle="1" w:styleId="CharCharffffa">
    <w:name w:val="表头规定 Char Char"/>
    <w:qFormat/>
    <w:rPr>
      <w:rFonts w:ascii="宋体" w:eastAsia="黑体" w:hAnsi="宋体" w:cs="宋体"/>
      <w:bCs/>
      <w:sz w:val="24"/>
      <w:szCs w:val="32"/>
      <w:shd w:val="clear" w:color="auto" w:fill="FFFFFF"/>
    </w:rPr>
  </w:style>
  <w:style w:type="character" w:customStyle="1" w:styleId="0916Char">
    <w:name w:val="0916正文样式 Char"/>
    <w:qFormat/>
    <w:rPr>
      <w:rFonts w:ascii="宋体" w:hAnsi="ˎ̥"/>
      <w:sz w:val="28"/>
      <w:szCs w:val="28"/>
      <w:shd w:val="clear" w:color="auto" w:fill="FFFFFF"/>
    </w:rPr>
  </w:style>
  <w:style w:type="character" w:customStyle="1" w:styleId="Char2f6">
    <w:name w:val="日期 Char2"/>
    <w:qFormat/>
    <w:rPr>
      <w:rFonts w:eastAsia="宋体" w:cs="Times New Roman"/>
      <w:kern w:val="2"/>
      <w:sz w:val="24"/>
      <w:szCs w:val="24"/>
      <w:shd w:val="clear" w:color="auto" w:fill="FFFFFF"/>
      <w:lang w:val="en-US" w:eastAsia="zh-CN" w:bidi="ar-SA"/>
    </w:rPr>
  </w:style>
  <w:style w:type="character" w:customStyle="1" w:styleId="11f2">
    <w:name w:val="未处理的提及11"/>
    <w:uiPriority w:val="99"/>
    <w:unhideWhenUsed/>
    <w:qFormat/>
    <w:rPr>
      <w:color w:val="605E5C"/>
      <w:shd w:val="clear" w:color="auto" w:fill="E1DFDD"/>
    </w:rPr>
  </w:style>
  <w:style w:type="character" w:customStyle="1" w:styleId="222Char">
    <w:name w:val="222 Char"/>
    <w:qFormat/>
    <w:rPr>
      <w:rFonts w:ascii="宋体" w:eastAsia="黑体" w:hAnsi="宋体"/>
      <w:sz w:val="30"/>
      <w:szCs w:val="28"/>
      <w:shd w:val="clear" w:color="auto" w:fill="FFFFFF"/>
    </w:rPr>
  </w:style>
  <w:style w:type="character" w:customStyle="1" w:styleId="710">
    <w:name w:val="标题 7 字符1"/>
    <w:qFormat/>
    <w:rPr>
      <w:b/>
      <w:bCs/>
      <w:sz w:val="24"/>
      <w:szCs w:val="24"/>
      <w:shd w:val="clear" w:color="auto" w:fill="FFFFFF"/>
    </w:rPr>
  </w:style>
  <w:style w:type="character" w:customStyle="1" w:styleId="FooterChar">
    <w:name w:val="Footer Char"/>
    <w:semiHidden/>
    <w:qFormat/>
    <w:locked/>
    <w:rPr>
      <w:rFonts w:eastAsia="宋体"/>
      <w:kern w:val="2"/>
      <w:sz w:val="18"/>
      <w:szCs w:val="18"/>
      <w:shd w:val="clear" w:color="auto" w:fill="FFFFFF"/>
      <w:lang w:val="en-US" w:eastAsia="zh-CN" w:bidi="ar-SA"/>
    </w:rPr>
  </w:style>
  <w:style w:type="character" w:customStyle="1" w:styleId="15Char2">
    <w:name w:val="普通文字 + 行距: 1.5 倍行距 Char"/>
    <w:qFormat/>
    <w:rPr>
      <w:rFonts w:ascii="宋体" w:eastAsia="宋体" w:hAnsi="Courier New" w:cs="宋体" w:hint="eastAsia"/>
      <w:kern w:val="2"/>
      <w:sz w:val="24"/>
      <w:shd w:val="clear" w:color="auto" w:fill="FFFFFF"/>
      <w:lang w:val="en-US" w:eastAsia="zh-CN"/>
    </w:rPr>
  </w:style>
  <w:style w:type="character" w:customStyle="1" w:styleId="CharChar172">
    <w:name w:val="Char Char172"/>
    <w:qFormat/>
    <w:rPr>
      <w:rFonts w:eastAsia="宋体"/>
      <w:b/>
      <w:bCs/>
      <w:kern w:val="2"/>
      <w:sz w:val="32"/>
      <w:szCs w:val="32"/>
      <w:shd w:val="clear" w:color="auto" w:fill="FFFFFF"/>
      <w:lang w:val="en-US" w:eastAsia="zh-CN" w:bidi="ar-SA"/>
    </w:rPr>
  </w:style>
  <w:style w:type="character" w:customStyle="1" w:styleId="bold1">
    <w:name w:val="bold1"/>
    <w:qFormat/>
    <w:rPr>
      <w:shd w:val="clear" w:color="auto" w:fill="FFFFFF"/>
    </w:rPr>
  </w:style>
  <w:style w:type="character" w:customStyle="1" w:styleId="affffffffffffffffffffffffffffffffffffffff9">
    <w:name w:val="样式 四号"/>
    <w:qFormat/>
    <w:rPr>
      <w:sz w:val="24"/>
      <w:shd w:val="clear" w:color="auto" w:fill="FFFFFF"/>
    </w:rPr>
  </w:style>
  <w:style w:type="character" w:customStyle="1" w:styleId="2fffffffb">
    <w:name w:val="页眉 字符2"/>
    <w:uiPriority w:val="99"/>
    <w:qFormat/>
    <w:rPr>
      <w:rFonts w:ascii="Times New Roman" w:eastAsia="宋体" w:hAnsi="Times New Roman" w:cs="Times New Roman"/>
      <w:sz w:val="18"/>
      <w:szCs w:val="18"/>
      <w:shd w:val="clear" w:color="auto" w:fill="FFFFFF"/>
    </w:rPr>
  </w:style>
  <w:style w:type="character" w:customStyle="1" w:styleId="postbody1">
    <w:name w:val="postbody1"/>
    <w:qFormat/>
    <w:rPr>
      <w:sz w:val="21"/>
      <w:shd w:val="clear" w:color="auto" w:fill="FFFFFF"/>
    </w:rPr>
  </w:style>
  <w:style w:type="character" w:customStyle="1" w:styleId="Charfffffffffffc">
    <w:name w:val="!表格标题 Char"/>
    <w:qFormat/>
    <w:locked/>
    <w:rPr>
      <w:b/>
      <w:sz w:val="24"/>
      <w:shd w:val="clear" w:color="auto" w:fill="FFFFFF"/>
    </w:rPr>
  </w:style>
  <w:style w:type="character" w:customStyle="1" w:styleId="ca-30">
    <w:name w:val="ca-30"/>
    <w:qFormat/>
    <w:rPr>
      <w:shd w:val="clear" w:color="auto" w:fill="FFFFFF"/>
    </w:rPr>
  </w:style>
  <w:style w:type="character" w:customStyle="1" w:styleId="313Char123453Char2Char">
    <w:name w:val="样式 标题 3三级标题三级标题1标题 3 Char1三级标题2三级标题3三级标题4三级标题5标题 3 Char2... Char"/>
    <w:qFormat/>
    <w:rPr>
      <w:rFonts w:ascii="黑体" w:eastAsia="黑体" w:hAnsi="Times New Roman" w:cs="宋体"/>
      <w:b/>
      <w:bCs/>
      <w:color w:val="000000"/>
      <w:sz w:val="28"/>
      <w:szCs w:val="28"/>
      <w:shd w:val="clear" w:color="auto" w:fill="FFFFFF"/>
    </w:rPr>
  </w:style>
  <w:style w:type="character" w:customStyle="1" w:styleId="CharCharffffb">
    <w:name w:val="四 Char Char"/>
    <w:qFormat/>
    <w:rPr>
      <w:rFonts w:eastAsia="宋体" w:hint="default"/>
      <w:kern w:val="2"/>
      <w:sz w:val="28"/>
      <w:shd w:val="clear" w:color="auto" w:fill="FFFFFF"/>
      <w:lang w:val="en-US" w:eastAsia="zh-CN"/>
    </w:rPr>
  </w:style>
  <w:style w:type="character" w:customStyle="1" w:styleId="fontstyle01">
    <w:name w:val="fontstyle01"/>
    <w:qFormat/>
    <w:rPr>
      <w:rFonts w:ascii="宋体" w:eastAsia="宋体" w:hAnsi="宋体" w:hint="eastAsia"/>
      <w:color w:val="000000"/>
      <w:sz w:val="24"/>
      <w:szCs w:val="24"/>
      <w:shd w:val="clear" w:color="auto" w:fill="FFFFFF"/>
    </w:rPr>
  </w:style>
  <w:style w:type="character" w:customStyle="1" w:styleId="cgselectablecgselectable-over">
    <w:name w:val="cgselectable cgselectable-over"/>
    <w:qFormat/>
    <w:rPr>
      <w:shd w:val="clear" w:color="auto" w:fill="FFFFFF"/>
    </w:rPr>
  </w:style>
  <w:style w:type="character" w:customStyle="1" w:styleId="Charfffffffffffd">
    <w:name w:val="珠江啤酒正文 Char"/>
    <w:qFormat/>
    <w:rPr>
      <w:rFonts w:ascii="宋体" w:eastAsia="宋体" w:hAnsi="宋体" w:hint="eastAsia"/>
      <w:b/>
      <w:bCs/>
      <w:kern w:val="2"/>
      <w:sz w:val="21"/>
      <w:szCs w:val="21"/>
      <w:shd w:val="clear" w:color="auto" w:fill="FFFFFF"/>
      <w:lang w:val="en-US" w:eastAsia="zh-CN" w:bidi="ar-SA"/>
    </w:rPr>
  </w:style>
  <w:style w:type="character" w:customStyle="1" w:styleId="black3">
    <w:name w:val="black3"/>
    <w:qFormat/>
    <w:rPr>
      <w:rFonts w:ascii="宋体" w:eastAsia="宋体" w:hAnsi="宋体" w:hint="eastAsia"/>
      <w:color w:val="000000"/>
      <w:sz w:val="18"/>
      <w:szCs w:val="18"/>
      <w:u w:val="none"/>
      <w:shd w:val="clear" w:color="auto" w:fill="FFFFFF"/>
    </w:rPr>
  </w:style>
  <w:style w:type="character" w:customStyle="1" w:styleId="CharCharCharCharb">
    <w:name w:val="报告正文 Char Char Char Char"/>
    <w:qFormat/>
    <w:rPr>
      <w:rFonts w:eastAsia="宋体" w:cs="Times New Roman"/>
      <w:kern w:val="2"/>
      <w:sz w:val="28"/>
      <w:szCs w:val="28"/>
      <w:shd w:val="clear" w:color="auto" w:fill="FFFFFF"/>
      <w:lang w:val="en-US" w:eastAsia="zh-CN" w:bidi="ar-SA"/>
    </w:rPr>
  </w:style>
  <w:style w:type="character" w:customStyle="1" w:styleId="fChar">
    <w:name w:val="三级目录f Char"/>
    <w:link w:val="f"/>
    <w:qFormat/>
    <w:rPr>
      <w:iCs/>
    </w:rPr>
  </w:style>
  <w:style w:type="character" w:customStyle="1" w:styleId="FootnoteTextChar">
    <w:name w:val="Footnote Text Char"/>
    <w:uiPriority w:val="99"/>
    <w:qFormat/>
    <w:locked/>
    <w:rPr>
      <w:rFonts w:ascii="宋体" w:eastAsia="宋体" w:cs="Times New Roman"/>
      <w:kern w:val="2"/>
      <w:sz w:val="18"/>
      <w:shd w:val="clear" w:color="auto" w:fill="FFFFFF"/>
      <w:lang w:val="en-US" w:eastAsia="zh-CN" w:bidi="ar-SA"/>
    </w:rPr>
  </w:style>
  <w:style w:type="character" w:customStyle="1" w:styleId="CharCharCharCharCharCha3CharChar">
    <w:name w:val="样式 纯文本表格内容纯文本 Char普通文字加粗正文普通文字 Char Char普通文字 Char Char Cha...3 Char Char"/>
    <w:qFormat/>
    <w:rPr>
      <w:rFonts w:ascii="楷体_GB2312" w:eastAsia="楷体_GB2312" w:hAnsi="楷体_GB2312" w:cs="楷体_GB2312"/>
      <w:kern w:val="2"/>
      <w:sz w:val="24"/>
      <w:szCs w:val="24"/>
      <w:shd w:val="clear" w:color="auto" w:fill="FFFFFF"/>
    </w:rPr>
  </w:style>
  <w:style w:type="character" w:customStyle="1" w:styleId="134">
    <w:name w:val="样式 (符号) 宋体 13 磅"/>
    <w:qFormat/>
    <w:rPr>
      <w:rFonts w:ascii="宋体" w:eastAsia="宋体"/>
      <w:sz w:val="27"/>
      <w:szCs w:val="27"/>
      <w:shd w:val="clear" w:color="auto" w:fill="FFFFFF"/>
    </w:rPr>
  </w:style>
  <w:style w:type="character" w:customStyle="1" w:styleId="ArialCharCharChar">
    <w:name w:val="样式 题注 + (西文) Arial (中文) 黑体 小四 Char Char Char"/>
    <w:qFormat/>
    <w:rPr>
      <w:rFonts w:ascii="Arial" w:eastAsia="黑体" w:hAnsi="Arial"/>
      <w:sz w:val="24"/>
      <w:shd w:val="clear" w:color="auto" w:fill="FFFFFF"/>
    </w:rPr>
  </w:style>
  <w:style w:type="character" w:customStyle="1" w:styleId="3Char10">
    <w:name w:val="正文文本缩进 3 Char1"/>
    <w:uiPriority w:val="99"/>
    <w:qFormat/>
    <w:rPr>
      <w:rFonts w:ascii="Times New Roman" w:eastAsia="宋体" w:hAnsi="Times New Roman" w:cs="Times New Roman"/>
      <w:sz w:val="16"/>
      <w:szCs w:val="16"/>
      <w:shd w:val="clear" w:color="auto" w:fill="FFFFFF"/>
    </w:rPr>
  </w:style>
  <w:style w:type="character" w:customStyle="1" w:styleId="Char2f7">
    <w:name w:val="引用 Char2"/>
    <w:uiPriority w:val="29"/>
    <w:qFormat/>
    <w:rPr>
      <w:i/>
      <w:iCs/>
      <w:color w:val="000000"/>
      <w:kern w:val="2"/>
      <w:sz w:val="21"/>
      <w:szCs w:val="24"/>
      <w:shd w:val="clear" w:color="auto" w:fill="FFFFFF"/>
    </w:rPr>
  </w:style>
  <w:style w:type="character" w:customStyle="1" w:styleId="zy">
    <w:name w:val="zy"/>
    <w:qFormat/>
    <w:rPr>
      <w:rFonts w:eastAsia="宋体"/>
      <w:color w:val="000000"/>
      <w:kern w:val="2"/>
      <w:sz w:val="21"/>
      <w:szCs w:val="21"/>
      <w:shd w:val="clear" w:color="auto" w:fill="FFFFFF"/>
      <w:lang w:val="en-US" w:eastAsia="zh-CN" w:bidi="ar-SA"/>
    </w:rPr>
  </w:style>
  <w:style w:type="character" w:customStyle="1" w:styleId="1CharChar9">
    <w:name w:val="1正文段落 Char Char"/>
    <w:qFormat/>
    <w:rPr>
      <w:rFonts w:eastAsia="宋体"/>
      <w:sz w:val="24"/>
      <w:szCs w:val="24"/>
      <w:shd w:val="clear" w:color="auto" w:fill="FFFFFF"/>
      <w:lang w:val="en-US" w:eastAsia="zh-CN" w:bidi="ar-SA"/>
    </w:rPr>
  </w:style>
  <w:style w:type="character" w:customStyle="1" w:styleId="CharChar42">
    <w:name w:val="Char Char42"/>
    <w:qFormat/>
    <w:rPr>
      <w:rFonts w:ascii="Times New Roman" w:hAnsi="Times New Roman" w:cs="Times New Roman"/>
      <w:b/>
      <w:bCs/>
      <w:kern w:val="2"/>
      <w:sz w:val="32"/>
      <w:szCs w:val="32"/>
      <w:shd w:val="clear" w:color="auto" w:fill="FFFFFF"/>
    </w:rPr>
  </w:style>
  <w:style w:type="character" w:customStyle="1" w:styleId="affffffffffffffffffffffffffffffffffffffffa">
    <w:name w:val="样式 宋体 小四"/>
    <w:qFormat/>
    <w:rPr>
      <w:rFonts w:ascii="楷体_GB2312" w:eastAsia="楷体_GB2312" w:hAnsi="楷体_GB2312" w:cs="楷体_GB2312"/>
      <w:sz w:val="24"/>
      <w:szCs w:val="24"/>
      <w:shd w:val="clear" w:color="auto" w:fill="FFFFFF"/>
    </w:rPr>
  </w:style>
  <w:style w:type="character" w:customStyle="1" w:styleId="fs121">
    <w:name w:val="fs121"/>
    <w:qFormat/>
    <w:rPr>
      <w:sz w:val="18"/>
      <w:szCs w:val="18"/>
      <w:shd w:val="clear" w:color="auto" w:fill="FFFFFF"/>
    </w:rPr>
  </w:style>
  <w:style w:type="character" w:customStyle="1" w:styleId="Char38">
    <w:name w:val="批注文字 Char3"/>
    <w:uiPriority w:val="99"/>
    <w:qFormat/>
    <w:rPr>
      <w:rFonts w:ascii="Calibri" w:hAnsi="Calibri" w:cs="Times New Roman"/>
      <w:sz w:val="21"/>
      <w:szCs w:val="22"/>
      <w:shd w:val="clear" w:color="auto" w:fill="FFFFFF"/>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rPr>
      <w:rFonts w:eastAsia="宋体"/>
      <w:color w:val="000000"/>
      <w:kern w:val="2"/>
      <w:sz w:val="21"/>
      <w:szCs w:val="24"/>
      <w:shd w:val="clear" w:color="auto" w:fill="FFFFFF"/>
      <w:lang w:val="en-US" w:eastAsia="zh-CN" w:bidi="ar-SA"/>
    </w:rPr>
  </w:style>
  <w:style w:type="character" w:customStyle="1" w:styleId="Charfffffffffffe">
    <w:name w:val="我的正文标准样式 Char"/>
    <w:qFormat/>
    <w:rPr>
      <w:rFonts w:ascii="宋体" w:hAnsi="宋体"/>
      <w:b/>
      <w:sz w:val="24"/>
      <w:szCs w:val="24"/>
      <w:shd w:val="clear" w:color="auto" w:fill="FFFFFF"/>
    </w:rPr>
  </w:style>
  <w:style w:type="character" w:customStyle="1" w:styleId="7Char3">
    <w:name w:val="7.表中文字 Char"/>
    <w:qFormat/>
    <w:locked/>
    <w:rPr>
      <w:shd w:val="clear" w:color="auto" w:fill="FFFFFF"/>
    </w:rPr>
  </w:style>
  <w:style w:type="character" w:customStyle="1" w:styleId="Charffffff6">
    <w:name w:val="备注 Char"/>
    <w:link w:val="afffffffffffffffff5"/>
    <w:qFormat/>
    <w:rPr>
      <w:b/>
      <w:sz w:val="18"/>
      <w:szCs w:val="18"/>
    </w:rPr>
  </w:style>
  <w:style w:type="character" w:customStyle="1" w:styleId="Char1f2">
    <w:name w:val="君邦正文 Char1"/>
    <w:link w:val="afffffffffffffffff6"/>
    <w:qFormat/>
    <w:rPr>
      <w:kern w:val="2"/>
      <w:sz w:val="24"/>
    </w:rPr>
  </w:style>
  <w:style w:type="character" w:customStyle="1" w:styleId="Char39">
    <w:name w:val="标题 Char3"/>
    <w:qFormat/>
    <w:rPr>
      <w:rFonts w:ascii="Cambria" w:eastAsia="宋体" w:hAnsi="Cambria" w:cs="Times New Roman"/>
      <w:b/>
      <w:bCs/>
      <w:sz w:val="32"/>
      <w:szCs w:val="32"/>
      <w:shd w:val="clear" w:color="auto" w:fill="FFFFFF"/>
    </w:rPr>
  </w:style>
  <w:style w:type="character" w:customStyle="1" w:styleId="CharCharCharf4">
    <w:name w:val="表题 Char Char Char"/>
    <w:qFormat/>
    <w:rPr>
      <w:rFonts w:ascii="宋体" w:hAnsi="宋体"/>
      <w:bCs/>
      <w:sz w:val="24"/>
      <w:szCs w:val="24"/>
      <w:shd w:val="clear" w:color="auto" w:fill="FFFFFF"/>
    </w:rPr>
  </w:style>
  <w:style w:type="character" w:customStyle="1" w:styleId="Charffffffffffff">
    <w:name w:val="【图片名称】 Char"/>
    <w:qFormat/>
    <w:locked/>
    <w:rPr>
      <w:rFonts w:cs="黑体"/>
      <w:b/>
      <w:bCs/>
      <w:sz w:val="24"/>
      <w:szCs w:val="24"/>
      <w:shd w:val="clear" w:color="auto" w:fill="FFFFFF"/>
    </w:rPr>
  </w:style>
  <w:style w:type="character" w:customStyle="1" w:styleId="Charffffffffffff0">
    <w:name w:val="表格抬头 Char"/>
    <w:qFormat/>
    <w:rPr>
      <w:rFonts w:ascii="Times New Roman" w:eastAsia="宋体" w:hAnsi="Times New Roman" w:cs="Times New Roman" w:hint="default"/>
      <w:snapToGrid w:val="0"/>
      <w:kern w:val="0"/>
      <w:sz w:val="24"/>
      <w:szCs w:val="21"/>
      <w:shd w:val="clear" w:color="auto" w:fill="FFFFFF"/>
    </w:rPr>
  </w:style>
  <w:style w:type="character" w:customStyle="1" w:styleId="EmailStyle2761">
    <w:name w:val="EmailStyle2761"/>
    <w:qFormat/>
    <w:rPr>
      <w:rFonts w:ascii="Arial" w:eastAsia="宋体" w:hAnsi="Arial" w:cs="Arial"/>
      <w:color w:val="auto"/>
      <w:sz w:val="20"/>
      <w:shd w:val="clear" w:color="auto" w:fill="FFFFFF"/>
    </w:rPr>
  </w:style>
  <w:style w:type="character" w:customStyle="1" w:styleId="A3Char">
    <w:name w:val="A3 Char"/>
    <w:link w:val="a30"/>
    <w:qFormat/>
    <w:rPr>
      <w:rFonts w:ascii="宋体" w:hAnsi="宋体"/>
      <w:color w:val="000000"/>
      <w:sz w:val="24"/>
      <w:szCs w:val="21"/>
    </w:rPr>
  </w:style>
  <w:style w:type="character" w:customStyle="1" w:styleId="Charffffffffffff1">
    <w:name w:val="德胜表格内容 Char"/>
    <w:qFormat/>
    <w:rPr>
      <w:rFonts w:ascii="仿宋_GB2312" w:eastAsia="宋体" w:hAnsi="仿宋_GB2312" w:cs="Times New Roman" w:hint="eastAsia"/>
      <w:snapToGrid w:val="0"/>
      <w:color w:val="0000FF"/>
      <w:kern w:val="0"/>
      <w:szCs w:val="21"/>
      <w:shd w:val="clear" w:color="auto" w:fill="FFFFFF"/>
    </w:rPr>
  </w:style>
  <w:style w:type="character" w:customStyle="1" w:styleId="6Char2">
    <w:name w:val="标题 6 Char2"/>
    <w:qFormat/>
    <w:rPr>
      <w:rFonts w:ascii="Arial" w:eastAsia="仿宋_GB2312" w:hAnsi="Arial" w:cs="Times New Roman"/>
      <w:b/>
      <w:spacing w:val="-4"/>
      <w:kern w:val="20"/>
      <w:sz w:val="18"/>
      <w:shd w:val="clear" w:color="auto" w:fill="FFFFFF"/>
      <w:lang w:val="en-US" w:eastAsia="zh-CN" w:bidi="ar-SA"/>
    </w:rPr>
  </w:style>
  <w:style w:type="character" w:customStyle="1" w:styleId="Char2f8">
    <w:name w:val="文档结构图 Char2"/>
    <w:qFormat/>
    <w:rPr>
      <w:rFonts w:eastAsia="宋体" w:cs="Times New Roman"/>
      <w:kern w:val="2"/>
      <w:sz w:val="21"/>
      <w:shd w:val="clear" w:color="auto" w:fill="FFFFFF"/>
      <w:lang w:val="en-US" w:eastAsia="zh-CN" w:bidi="ar-SA"/>
    </w:rPr>
  </w:style>
  <w:style w:type="character" w:customStyle="1" w:styleId="201116Char">
    <w:name w:val="2011.1.6正文 Char"/>
    <w:link w:val="201116"/>
    <w:qFormat/>
    <w:locked/>
    <w:rPr>
      <w:rFonts w:ascii="宋体" w:hAnsi="宋体"/>
      <w:b/>
      <w:sz w:val="24"/>
      <w:szCs w:val="21"/>
    </w:rPr>
  </w:style>
  <w:style w:type="character" w:customStyle="1" w:styleId="dandan6-132Char">
    <w:name w:val="dandan6-13标题2 Char"/>
    <w:qFormat/>
    <w:rPr>
      <w:rFonts w:ascii="Times New Roman" w:eastAsia="黑体" w:hAnsi="Times New Roman"/>
      <w:b/>
      <w:sz w:val="30"/>
      <w:szCs w:val="32"/>
      <w:shd w:val="clear" w:color="auto" w:fill="FFFFFF"/>
    </w:rPr>
  </w:style>
  <w:style w:type="character" w:customStyle="1" w:styleId="4Chara">
    <w:name w:val="样式 标题 4 + Char"/>
    <w:qFormat/>
    <w:rPr>
      <w:rFonts w:eastAsia="宋体"/>
      <w:kern w:val="2"/>
      <w:sz w:val="28"/>
      <w:szCs w:val="28"/>
      <w:shd w:val="clear" w:color="auto" w:fill="FFFFFF"/>
      <w:lang w:val="en-US" w:eastAsia="zh-CN" w:bidi="ar-SA"/>
    </w:rPr>
  </w:style>
  <w:style w:type="character" w:customStyle="1" w:styleId="1CharChara">
    <w:name w:val="表格1 Char Char"/>
    <w:qFormat/>
    <w:locked/>
    <w:rPr>
      <w:rFonts w:ascii="宋体" w:cs="Times New Roman"/>
      <w:sz w:val="21"/>
      <w:shd w:val="clear" w:color="auto" w:fill="FFFFFF"/>
    </w:rPr>
  </w:style>
  <w:style w:type="character" w:customStyle="1" w:styleId="Charffffff7">
    <w:name w:val="样式 表头 + 五号 Char"/>
    <w:link w:val="afffffffffffffffff7"/>
    <w:qFormat/>
    <w:rPr>
      <w:rFonts w:ascii="黑体" w:eastAsia="黑体"/>
      <w:bCs/>
      <w:kern w:val="2"/>
      <w:sz w:val="24"/>
      <w:szCs w:val="24"/>
    </w:rPr>
  </w:style>
  <w:style w:type="character" w:customStyle="1" w:styleId="CharCharCharf5">
    <w:name w:val="正文 楷体 Char Char Char"/>
    <w:qFormat/>
    <w:rPr>
      <w:rFonts w:ascii="楷体_GB2312" w:eastAsia="楷体_GB2312" w:hAnsi="楷体_GB2312" w:cs="宋体"/>
      <w:sz w:val="24"/>
      <w:szCs w:val="24"/>
      <w:shd w:val="clear" w:color="auto" w:fill="FFFFFF"/>
    </w:rPr>
  </w:style>
  <w:style w:type="character" w:customStyle="1" w:styleId="content2">
    <w:name w:val="content2"/>
    <w:qFormat/>
    <w:rPr>
      <w:shd w:val="clear" w:color="auto" w:fill="FFFFFF"/>
    </w:rPr>
  </w:style>
  <w:style w:type="character" w:customStyle="1" w:styleId="2fffffffc">
    <w:name w:val="表格标题 (2)"/>
    <w:qFormat/>
    <w:rPr>
      <w:rFonts w:ascii="Arial Unicode MS" w:eastAsia="Arial Unicode MS" w:hAnsi="Arial Unicode MS" w:cs="Arial Unicode MS"/>
      <w:color w:val="000000"/>
      <w:spacing w:val="0"/>
      <w:w w:val="100"/>
      <w:position w:val="0"/>
      <w:sz w:val="23"/>
      <w:szCs w:val="23"/>
      <w:u w:val="none"/>
      <w:shd w:val="clear" w:color="auto" w:fill="FFFFFF"/>
      <w:lang w:val="zh-CN"/>
    </w:rPr>
  </w:style>
  <w:style w:type="character" w:customStyle="1" w:styleId="1Charf8">
    <w:name w:val="正缩1 Char"/>
    <w:qFormat/>
    <w:rPr>
      <w:rFonts w:ascii="Times New Roman" w:eastAsia="仿宋_GB2312" w:hAnsi="Times New Roman"/>
      <w:color w:val="000000"/>
      <w:sz w:val="28"/>
      <w:shd w:val="clear" w:color="auto" w:fill="FFFFFF"/>
    </w:rPr>
  </w:style>
  <w:style w:type="character" w:customStyle="1" w:styleId="aChar6">
    <w:name w:val="样式a Char"/>
    <w:qFormat/>
    <w:rPr>
      <w:rFonts w:ascii="宋体" w:hAnsi="宋体"/>
      <w:b/>
      <w:sz w:val="24"/>
      <w:szCs w:val="28"/>
      <w:shd w:val="clear" w:color="auto" w:fill="FFFFFF"/>
    </w:rPr>
  </w:style>
  <w:style w:type="character" w:customStyle="1" w:styleId="jj1">
    <w:name w:val="jj1"/>
    <w:qFormat/>
    <w:rPr>
      <w:shd w:val="clear" w:color="auto" w:fill="FFFFFF"/>
    </w:rPr>
  </w:style>
  <w:style w:type="character" w:customStyle="1" w:styleId="2Charb">
    <w:name w:val="首行缩进2字符 Char"/>
    <w:link w:val="2ffd"/>
    <w:qFormat/>
    <w:locked/>
    <w:rPr>
      <w:rFonts w:ascii="宋体" w:hAnsi="宋体"/>
      <w:szCs w:val="21"/>
    </w:rPr>
  </w:style>
  <w:style w:type="character" w:customStyle="1" w:styleId="Char2f9">
    <w:name w:val="报告正文 Char2"/>
    <w:qFormat/>
    <w:rPr>
      <w:rFonts w:eastAsia="宋体"/>
      <w:kern w:val="2"/>
      <w:sz w:val="28"/>
      <w:szCs w:val="24"/>
      <w:shd w:val="clear" w:color="auto" w:fill="FFFFFF"/>
      <w:lang w:val="en-US" w:eastAsia="zh-CN" w:bidi="ar-SA"/>
    </w:rPr>
  </w:style>
  <w:style w:type="character" w:customStyle="1" w:styleId="CharCharffffc">
    <w:name w:val="图表注 Char Char"/>
    <w:qFormat/>
    <w:rPr>
      <w:rFonts w:ascii="宋体" w:eastAsia="宋体" w:hAnsi="宋体" w:cs="Arial"/>
      <w:b/>
      <w:color w:val="000000"/>
      <w:kern w:val="2"/>
      <w:sz w:val="24"/>
      <w:szCs w:val="21"/>
      <w:shd w:val="clear" w:color="auto" w:fill="FFFFFF"/>
      <w:lang w:val="en-US" w:eastAsia="zh-CN" w:bidi="ar-SA"/>
    </w:rPr>
  </w:style>
  <w:style w:type="character" w:customStyle="1" w:styleId="z-Char1">
    <w:name w:val="z-窗体底端 Char1"/>
    <w:uiPriority w:val="99"/>
    <w:qFormat/>
    <w:rPr>
      <w:rFonts w:ascii="Arial" w:hAnsi="Arial" w:cs="Arial"/>
      <w:vanish/>
      <w:kern w:val="2"/>
      <w:sz w:val="16"/>
      <w:szCs w:val="16"/>
      <w:shd w:val="clear" w:color="auto" w:fill="FFFFFF"/>
    </w:rPr>
  </w:style>
  <w:style w:type="character" w:customStyle="1" w:styleId="3BSH-3111CharChar">
    <w:name w:val="标题 3，BSH-3条标题1.1.1 Char Char"/>
    <w:link w:val="3BSH-3111"/>
    <w:qFormat/>
    <w:rPr>
      <w:rFonts w:ascii="宋体" w:hAnsi="宋体"/>
      <w:caps/>
      <w:sz w:val="24"/>
      <w:szCs w:val="24"/>
    </w:rPr>
  </w:style>
  <w:style w:type="character" w:customStyle="1" w:styleId="1fffffff8">
    <w:name w:val="第一条1"/>
    <w:qFormat/>
    <w:rPr>
      <w:rFonts w:ascii="黑体" w:eastAsia="黑体" w:hint="eastAsia"/>
      <w:sz w:val="24"/>
      <w:szCs w:val="24"/>
      <w:shd w:val="clear" w:color="auto" w:fill="FFFFFF"/>
    </w:rPr>
  </w:style>
  <w:style w:type="character" w:customStyle="1" w:styleId="CharChar80">
    <w:name w:val="Char Char8"/>
    <w:uiPriority w:val="99"/>
    <w:qFormat/>
    <w:rPr>
      <w:rFonts w:eastAsia="宋体"/>
      <w:b/>
      <w:bCs/>
      <w:kern w:val="2"/>
      <w:sz w:val="28"/>
      <w:szCs w:val="28"/>
      <w:shd w:val="clear" w:color="auto" w:fill="FFFFFF"/>
      <w:lang w:val="en-US" w:eastAsia="zh-CN" w:bidi="ar-SA"/>
    </w:rPr>
  </w:style>
  <w:style w:type="character" w:customStyle="1" w:styleId="Charffffffffffff2">
    <w:name w:val="【表中文字】 Char"/>
    <w:qFormat/>
    <w:rPr>
      <w:rFonts w:ascii="Times New Roman" w:eastAsia="宋体" w:hAnsi="Times New Roman" w:cs="Times New Roman" w:hint="default"/>
      <w:szCs w:val="20"/>
      <w:shd w:val="clear" w:color="auto" w:fill="FFFFFF"/>
    </w:rPr>
  </w:style>
  <w:style w:type="character" w:customStyle="1" w:styleId="affffffffffffffffffffffffffffffffffffffffb">
    <w:name w:val="样式 红色"/>
    <w:qFormat/>
    <w:rPr>
      <w:color w:val="FF0000"/>
      <w:spacing w:val="8"/>
      <w:w w:val="100"/>
      <w:position w:val="0"/>
      <w:shd w:val="clear" w:color="auto" w:fill="FFFFFF"/>
    </w:rPr>
  </w:style>
  <w:style w:type="character" w:customStyle="1" w:styleId="211112b22CharCharChar2Char2h21Char">
    <w:name w:val="样式 标题 2节标题 1.11.1标题2b2标题 2 Char Char Char标题 2 Char标2h2标题...1 Char"/>
    <w:link w:val="211112b22CharCharChar2Char2h21"/>
    <w:semiHidden/>
    <w:qFormat/>
    <w:rPr>
      <w:rFonts w:ascii="宋体" w:hAnsi="宋体"/>
      <w:b/>
      <w:bCs/>
      <w:kern w:val="2"/>
      <w:sz w:val="30"/>
      <w:szCs w:val="32"/>
    </w:rPr>
  </w:style>
  <w:style w:type="character" w:customStyle="1" w:styleId="more1">
    <w:name w:val="more1"/>
    <w:qFormat/>
    <w:rPr>
      <w:color w:val="C70202"/>
      <w:shd w:val="clear" w:color="auto" w:fill="FFFFFF"/>
    </w:rPr>
  </w:style>
  <w:style w:type="character" w:customStyle="1" w:styleId="JChar">
    <w:name w:val="J【表头】 Char"/>
    <w:link w:val="J"/>
    <w:qFormat/>
    <w:rPr>
      <w:rFonts w:hAnsi="宋体"/>
      <w:b/>
      <w:szCs w:val="21"/>
    </w:rPr>
  </w:style>
  <w:style w:type="character" w:customStyle="1" w:styleId="CharCharffffd">
    <w:name w:val="批注文字 Char Char"/>
    <w:qFormat/>
    <w:rPr>
      <w:rFonts w:ascii="Times New Roman" w:eastAsia="宋体" w:hAnsi="Times New Roman" w:cs="Times New Roman"/>
      <w:kern w:val="0"/>
      <w:sz w:val="28"/>
      <w:szCs w:val="24"/>
      <w:shd w:val="clear" w:color="auto" w:fill="FFFFFF"/>
    </w:rPr>
  </w:style>
  <w:style w:type="character" w:customStyle="1" w:styleId="1CharCharb">
    <w:name w:val="样式1 Char Char"/>
    <w:qFormat/>
    <w:rPr>
      <w:rFonts w:ascii="Times New Roman" w:hAnsi="Times New Roman" w:cs="Times New Roman"/>
      <w:b/>
      <w:i/>
      <w:iCs/>
      <w:color w:val="4F81BD"/>
      <w:kern w:val="24"/>
      <w:sz w:val="22"/>
      <w:shd w:val="clear" w:color="auto" w:fill="FFFFFF"/>
      <w:lang w:eastAsia="en-US"/>
    </w:rPr>
  </w:style>
  <w:style w:type="character" w:customStyle="1" w:styleId="content21">
    <w:name w:val="content21"/>
    <w:qFormat/>
    <w:rPr>
      <w:color w:val="000000"/>
      <w:sz w:val="18"/>
      <w:szCs w:val="18"/>
      <w:shd w:val="clear" w:color="auto" w:fill="FFFFFF"/>
    </w:rPr>
  </w:style>
  <w:style w:type="character" w:customStyle="1" w:styleId="afffffffffffffffff8">
    <w:name w:val="明显引用 字符"/>
    <w:link w:val="1ff5"/>
    <w:uiPriority w:val="30"/>
    <w:qFormat/>
    <w:locked/>
    <w:rPr>
      <w:b/>
      <w:i/>
      <w:sz w:val="24"/>
      <w:szCs w:val="22"/>
      <w:lang w:eastAsia="en-US" w:bidi="en-US"/>
    </w:rPr>
  </w:style>
  <w:style w:type="character" w:customStyle="1" w:styleId="Char1ffe">
    <w:name w:val="表格正文 Char1"/>
    <w:qFormat/>
    <w:rPr>
      <w:kern w:val="2"/>
      <w:sz w:val="21"/>
      <w:szCs w:val="28"/>
      <w:shd w:val="clear" w:color="auto" w:fill="FFFFFF"/>
      <w:lang w:val="en-US" w:eastAsia="zh-CN" w:bidi="ar-SA"/>
    </w:rPr>
  </w:style>
  <w:style w:type="character" w:customStyle="1" w:styleId="TimesNewRomanChar">
    <w:name w:val="样式 (西文) Times New Roman (符号) 华文中宋 Char"/>
    <w:link w:val="TimesNewRoman"/>
    <w:qFormat/>
    <w:rPr>
      <w:rFonts w:ascii="Calibri" w:eastAsia="华文中宋" w:hAnsi="华文中宋"/>
      <w:sz w:val="24"/>
    </w:rPr>
  </w:style>
  <w:style w:type="character" w:customStyle="1" w:styleId="611">
    <w:name w:val="标题 6 字符1"/>
    <w:uiPriority w:val="9"/>
    <w:qFormat/>
    <w:rPr>
      <w:rFonts w:ascii="Cambria" w:eastAsia="宋体" w:hAnsi="Cambria" w:cs="Times New Roman"/>
      <w:b/>
      <w:bCs/>
      <w:sz w:val="24"/>
      <w:szCs w:val="24"/>
      <w:shd w:val="clear" w:color="auto" w:fill="FFFFFF"/>
    </w:rPr>
  </w:style>
  <w:style w:type="character" w:customStyle="1" w:styleId="CharCharCharCharCharCharCharChar0">
    <w:name w:val="正文(首行缩进) Char Char Char Char Char Char Char Char"/>
    <w:qFormat/>
    <w:rPr>
      <w:rFonts w:ascii="宋体" w:eastAsia="宋体" w:hAnsi="宋体" w:cs="宋体"/>
      <w:color w:val="000000"/>
      <w:kern w:val="0"/>
      <w:sz w:val="24"/>
      <w:szCs w:val="24"/>
      <w:shd w:val="clear" w:color="auto" w:fill="FFFFFF"/>
    </w:rPr>
  </w:style>
  <w:style w:type="character" w:customStyle="1" w:styleId="5f5">
    <w:name w:val="正文文本 (5)_"/>
    <w:link w:val="5f4"/>
    <w:qFormat/>
    <w:rPr>
      <w:rFonts w:eastAsia="Times New Roman"/>
      <w:shd w:val="clear" w:color="auto" w:fill="FFFFFF"/>
    </w:rPr>
  </w:style>
  <w:style w:type="character" w:customStyle="1" w:styleId="hottext1">
    <w:name w:val="hottext1"/>
    <w:qFormat/>
    <w:rPr>
      <w:rFonts w:ascii="宋体" w:eastAsia="宋体" w:hAnsi="宋体" w:hint="eastAsia"/>
      <w:color w:val="333333"/>
      <w:spacing w:val="260"/>
      <w:sz w:val="20"/>
      <w:szCs w:val="20"/>
      <w:u w:val="none"/>
      <w:shd w:val="clear" w:color="auto" w:fill="FFFFFF"/>
    </w:rPr>
  </w:style>
  <w:style w:type="character" w:customStyle="1" w:styleId="3CharChar6">
    <w:name w:val="正文文字 3 Char Char"/>
    <w:qFormat/>
    <w:rPr>
      <w:rFonts w:eastAsia="宋体" w:cs="Times New Roman"/>
      <w:kern w:val="2"/>
      <w:sz w:val="16"/>
      <w:szCs w:val="16"/>
      <w:shd w:val="clear" w:color="auto" w:fill="FFFFFF"/>
      <w:lang w:val="en-US" w:eastAsia="zh-CN" w:bidi="ar-SA"/>
    </w:rPr>
  </w:style>
  <w:style w:type="character" w:customStyle="1" w:styleId="CharCharffffe">
    <w:name w:val="款 Char Char"/>
    <w:uiPriority w:val="99"/>
    <w:qFormat/>
    <w:rPr>
      <w:rFonts w:eastAsia="宋体"/>
      <w:kern w:val="2"/>
      <w:sz w:val="24"/>
      <w:shd w:val="clear" w:color="auto" w:fill="FFFFFF"/>
      <w:lang w:val="en-US" w:eastAsia="zh-CN"/>
    </w:rPr>
  </w:style>
  <w:style w:type="character" w:customStyle="1" w:styleId="Char4Char4CharCharChar">
    <w:name w:val="样式 正文文本缩进特点标题表格标题文本条款正文（首行缩进两字） Char标题4 Char标题4 Char Char ... Char"/>
    <w:semiHidden/>
    <w:qFormat/>
    <w:rPr>
      <w:rFonts w:ascii="仿宋_GB2312" w:eastAsia="仿宋_GB2312" w:hAnsi="仿宋_GB2312"/>
      <w:sz w:val="24"/>
      <w:szCs w:val="24"/>
      <w:shd w:val="clear" w:color="auto" w:fill="FFFFFF"/>
    </w:rPr>
  </w:style>
  <w:style w:type="character" w:customStyle="1" w:styleId="line31">
    <w:name w:val="line31"/>
    <w:qFormat/>
    <w:rPr>
      <w:color w:val="993333"/>
      <w:spacing w:val="360"/>
      <w:shd w:val="clear" w:color="auto" w:fill="FFFFFF"/>
    </w:rPr>
  </w:style>
  <w:style w:type="character" w:customStyle="1" w:styleId="CharCharCharf6">
    <w:name w:val="表号 Char Char Char"/>
    <w:qFormat/>
    <w:rPr>
      <w:rFonts w:ascii="宋体" w:eastAsia="宋体" w:hAnsi="宋体" w:cs="宋体"/>
      <w:color w:val="000000"/>
      <w:kern w:val="0"/>
      <w:sz w:val="24"/>
      <w:szCs w:val="24"/>
      <w:shd w:val="clear" w:color="auto" w:fill="FFFFFF"/>
    </w:rPr>
  </w:style>
  <w:style w:type="character" w:customStyle="1" w:styleId="f151">
    <w:name w:val="f151"/>
    <w:qFormat/>
    <w:rPr>
      <w:rFonts w:eastAsia="宋体"/>
      <w:color w:val="000000"/>
      <w:kern w:val="2"/>
      <w:sz w:val="23"/>
      <w:szCs w:val="23"/>
      <w:shd w:val="clear" w:color="auto" w:fill="FFFFFF"/>
      <w:lang w:val="en-US" w:eastAsia="zh-CN" w:bidi="ar-SA"/>
    </w:rPr>
  </w:style>
  <w:style w:type="character" w:customStyle="1" w:styleId="233">
    <w:name w:val="标题 2 字符3"/>
    <w:qFormat/>
    <w:rPr>
      <w:rFonts w:ascii="Times New Roman" w:eastAsia="楷体_GB2312" w:hAnsi="Times New Roman"/>
      <w:b/>
      <w:bCs/>
      <w:smallCaps/>
      <w:sz w:val="36"/>
      <w:szCs w:val="28"/>
      <w:shd w:val="clear" w:color="auto" w:fill="FFFFFF"/>
    </w:rPr>
  </w:style>
  <w:style w:type="character" w:customStyle="1" w:styleId="11f3">
    <w:name w:val="未命名11"/>
    <w:qFormat/>
    <w:rPr>
      <w:rFonts w:ascii="宋体" w:eastAsia="宋体" w:hAnsi="宋体" w:hint="eastAsia"/>
      <w:sz w:val="18"/>
      <w:szCs w:val="18"/>
      <w:shd w:val="clear" w:color="auto" w:fill="FFFFFF"/>
    </w:rPr>
  </w:style>
  <w:style w:type="character" w:customStyle="1" w:styleId="sh141">
    <w:name w:val="sh141"/>
    <w:qFormat/>
    <w:rPr>
      <w:color w:val="2B2B2B"/>
      <w:sz w:val="23"/>
      <w:szCs w:val="23"/>
      <w:shd w:val="clear" w:color="auto" w:fill="FFFFFF"/>
    </w:rPr>
  </w:style>
  <w:style w:type="character" w:customStyle="1" w:styleId="1fffffff9">
    <w:name w:val="未命名1"/>
    <w:qFormat/>
    <w:rPr>
      <w:shd w:val="clear" w:color="auto" w:fill="FFFFFF"/>
    </w:rPr>
  </w:style>
  <w:style w:type="character" w:customStyle="1" w:styleId="7Exact">
    <w:name w:val="正文文本 (7) Exact"/>
    <w:link w:val="77"/>
    <w:qFormat/>
    <w:rPr>
      <w:rFonts w:ascii="MingLiU" w:eastAsia="MingLiU" w:hAnsi="MingLiU"/>
      <w:spacing w:val="-5"/>
      <w:sz w:val="17"/>
      <w:szCs w:val="17"/>
      <w:shd w:val="clear" w:color="auto" w:fill="FFFFFF"/>
    </w:rPr>
  </w:style>
  <w:style w:type="character" w:customStyle="1" w:styleId="2CharCharChar2">
    <w:name w:val="样式 正文首行缩进 2 + (符号) 宋体 + (符号) 宋体 Char Char Char"/>
    <w:qFormat/>
    <w:rPr>
      <w:shd w:val="clear" w:color="auto" w:fill="FFFFFF"/>
    </w:rPr>
  </w:style>
  <w:style w:type="character" w:customStyle="1" w:styleId="Char1fff">
    <w:name w:val="正文文本 Char1"/>
    <w:uiPriority w:val="99"/>
    <w:qFormat/>
    <w:rPr>
      <w:kern w:val="2"/>
      <w:sz w:val="21"/>
      <w:szCs w:val="24"/>
      <w:shd w:val="clear" w:color="auto" w:fill="FFFFFF"/>
    </w:rPr>
  </w:style>
  <w:style w:type="character" w:customStyle="1" w:styleId="Char1fff0">
    <w:name w:val="正 Char1"/>
    <w:qFormat/>
    <w:rPr>
      <w:rFonts w:ascii="宋体" w:eastAsia="宋体" w:hAnsi="宋体"/>
      <w:kern w:val="2"/>
      <w:sz w:val="28"/>
      <w:szCs w:val="28"/>
      <w:shd w:val="clear" w:color="auto" w:fill="FFFFFF"/>
      <w:lang w:val="zh-CN" w:eastAsia="zh-CN" w:bidi="ar-SA"/>
    </w:rPr>
  </w:style>
  <w:style w:type="character" w:customStyle="1" w:styleId="1fffffffa">
    <w:name w:val="脚注文本 字符1"/>
    <w:qFormat/>
    <w:rPr>
      <w:rFonts w:ascii="Times New Roman" w:eastAsia="宋体" w:hAnsi="Times New Roman" w:cs="Times New Roman"/>
      <w:sz w:val="18"/>
      <w:szCs w:val="20"/>
      <w:shd w:val="clear" w:color="auto" w:fill="FFFFFF"/>
    </w:rPr>
  </w:style>
  <w:style w:type="character" w:customStyle="1" w:styleId="CharCharfffff">
    <w:name w:val="表底说明 Char Char"/>
    <w:qFormat/>
    <w:rPr>
      <w:rFonts w:eastAsia="宋体" w:cs="Times New Roman"/>
      <w:kern w:val="2"/>
      <w:sz w:val="24"/>
      <w:szCs w:val="24"/>
      <w:shd w:val="clear" w:color="auto" w:fill="FFFFFF"/>
      <w:lang w:val="en-US" w:eastAsia="zh-CN" w:bidi="ar-SA"/>
    </w:rPr>
  </w:style>
  <w:style w:type="character" w:customStyle="1" w:styleId="style6">
    <w:name w:val="style6"/>
    <w:qFormat/>
    <w:rPr>
      <w:shd w:val="clear" w:color="auto" w:fill="FFFFFF"/>
    </w:rPr>
  </w:style>
  <w:style w:type="character" w:customStyle="1" w:styleId="cn1">
    <w:name w:val="cn1"/>
    <w:qFormat/>
    <w:rPr>
      <w:sz w:val="21"/>
      <w:szCs w:val="21"/>
      <w:shd w:val="clear" w:color="auto" w:fill="FFFFFF"/>
    </w:rPr>
  </w:style>
  <w:style w:type="character" w:customStyle="1" w:styleId="content1">
    <w:name w:val="content1"/>
    <w:qFormat/>
    <w:rPr>
      <w:sz w:val="21"/>
      <w:szCs w:val="21"/>
      <w:shd w:val="clear" w:color="auto" w:fill="FFFFFF"/>
    </w:rPr>
  </w:style>
  <w:style w:type="character" w:customStyle="1" w:styleId="ulmenu1">
    <w:name w:val="ulmenu1"/>
    <w:qFormat/>
    <w:rPr>
      <w:rFonts w:cs="Times New Roman"/>
      <w:shd w:val="clear" w:color="auto" w:fill="FFFFFF"/>
    </w:rPr>
  </w:style>
  <w:style w:type="character" w:customStyle="1" w:styleId="CharChar33">
    <w:name w:val="Char Char33"/>
    <w:semiHidden/>
    <w:qFormat/>
    <w:rPr>
      <w:rFonts w:ascii="Times New Roman" w:eastAsia="宋体" w:hAnsi="Times New Roman" w:cs="Times New Roman"/>
      <w:sz w:val="18"/>
      <w:szCs w:val="18"/>
      <w:shd w:val="clear" w:color="auto" w:fill="FFFFFF"/>
    </w:rPr>
  </w:style>
  <w:style w:type="character" w:customStyle="1" w:styleId="3Charc">
    <w:name w:val="3  级标题 Char"/>
    <w:qFormat/>
    <w:rPr>
      <w:rFonts w:ascii="黑体" w:eastAsia="黑体" w:hAnsi="宋体" w:cs="Times New Roman"/>
      <w:bCs/>
      <w:kern w:val="0"/>
      <w:sz w:val="24"/>
      <w:szCs w:val="26"/>
      <w:shd w:val="clear" w:color="auto" w:fill="FFFFFF"/>
    </w:rPr>
  </w:style>
  <w:style w:type="character" w:customStyle="1" w:styleId="CharChar192">
    <w:name w:val="Char Char192"/>
    <w:qFormat/>
    <w:rPr>
      <w:rFonts w:ascii="Times New Roman" w:hAnsi="Times New Roman"/>
      <w:b/>
      <w:bCs/>
      <w:iCs/>
      <w:sz w:val="28"/>
      <w:szCs w:val="28"/>
      <w:shd w:val="clear" w:color="auto" w:fill="FFFFFF"/>
      <w:lang w:bidi="en-US"/>
    </w:rPr>
  </w:style>
  <w:style w:type="character" w:customStyle="1" w:styleId="8Char1">
    <w:name w:val="标题 8 Char1"/>
    <w:qFormat/>
    <w:locked/>
    <w:rPr>
      <w:rFonts w:ascii="Arial" w:eastAsia="黑体" w:hAnsi="Arial"/>
      <w:kern w:val="2"/>
      <w:sz w:val="24"/>
      <w:szCs w:val="24"/>
      <w:shd w:val="clear" w:color="auto" w:fill="FFFFFF"/>
    </w:rPr>
  </w:style>
  <w:style w:type="character" w:customStyle="1" w:styleId="CharCharCharf7">
    <w:name w:val="Char Char Char"/>
    <w:qFormat/>
    <w:rPr>
      <w:rFonts w:eastAsia="宋体"/>
      <w:kern w:val="2"/>
      <w:sz w:val="24"/>
      <w:szCs w:val="24"/>
      <w:shd w:val="clear" w:color="auto" w:fill="FFFFFF"/>
      <w:lang w:val="en-US" w:eastAsia="zh-CN" w:bidi="ar-SA"/>
    </w:rPr>
  </w:style>
  <w:style w:type="character" w:customStyle="1" w:styleId="2004">
    <w:name w:val="表格文字2004"/>
    <w:qFormat/>
    <w:rPr>
      <w:rFonts w:eastAsia="宋体"/>
      <w:sz w:val="24"/>
      <w:shd w:val="clear" w:color="auto" w:fill="FFFFFF"/>
    </w:rPr>
  </w:style>
  <w:style w:type="character" w:customStyle="1" w:styleId="-lsChar">
    <w:name w:val="正文-ls Char"/>
    <w:link w:val="-ls"/>
    <w:qFormat/>
    <w:locked/>
    <w:rPr>
      <w:rFonts w:cs="宋体"/>
      <w:kern w:val="2"/>
      <w:sz w:val="24"/>
    </w:rPr>
  </w:style>
  <w:style w:type="character" w:customStyle="1" w:styleId="4-25Char">
    <w:name w:val="4-25正 Char"/>
    <w:link w:val="4-25"/>
    <w:qFormat/>
    <w:rPr>
      <w:sz w:val="24"/>
    </w:rPr>
  </w:style>
  <w:style w:type="character" w:customStyle="1" w:styleId="Charffffffffffff3">
    <w:name w:val="样式 题注 Char"/>
    <w:semiHidden/>
    <w:qFormat/>
    <w:rPr>
      <w:rFonts w:ascii="Arial" w:eastAsia="黑体" w:hAnsi="Arial" w:cs="宋体"/>
      <w:color w:val="000000"/>
      <w:kern w:val="2"/>
      <w:sz w:val="24"/>
      <w:szCs w:val="24"/>
      <w:shd w:val="clear" w:color="auto" w:fill="FFFFFF"/>
      <w:lang w:val="en-US" w:eastAsia="zh-CN" w:bidi="ar-SA"/>
    </w:rPr>
  </w:style>
  <w:style w:type="character" w:customStyle="1" w:styleId="EmailStyle70">
    <w:name w:val="EmailStyle70"/>
    <w:qFormat/>
    <w:rPr>
      <w:rFonts w:ascii="Arial" w:eastAsia="宋体" w:hAnsi="Arial" w:cs="Arial"/>
      <w:color w:val="000080"/>
      <w:sz w:val="18"/>
      <w:szCs w:val="20"/>
      <w:shd w:val="clear" w:color="auto" w:fill="FFFFFF"/>
    </w:rPr>
  </w:style>
  <w:style w:type="character" w:customStyle="1" w:styleId="2GB2312Char0">
    <w:name w:val="样式 标题 2 + 楷体_GB2312 Char"/>
    <w:qFormat/>
    <w:rPr>
      <w:rFonts w:ascii="楷体_GB2312" w:eastAsia="楷体_GB2312" w:hAnsi="楷体_GB2312" w:cs="Times New Roman"/>
      <w:b/>
      <w:bCs/>
      <w:kern w:val="2"/>
      <w:sz w:val="32"/>
      <w:szCs w:val="32"/>
      <w:shd w:val="clear" w:color="auto" w:fill="FFFFFF"/>
    </w:rPr>
  </w:style>
  <w:style w:type="character" w:customStyle="1" w:styleId="0Char0">
    <w:name w:val="正文0 Char"/>
    <w:qFormat/>
    <w:rPr>
      <w:rFonts w:ascii="宋体" w:hAnsi="宋体"/>
      <w:sz w:val="24"/>
      <w:szCs w:val="24"/>
      <w:shd w:val="clear" w:color="auto" w:fill="FFFFFF"/>
      <w:lang w:val="zh-CN"/>
    </w:rPr>
  </w:style>
  <w:style w:type="character" w:customStyle="1" w:styleId="EmailStyle555">
    <w:name w:val="EmailStyle555"/>
    <w:qFormat/>
    <w:rPr>
      <w:rFonts w:ascii="Arial" w:eastAsia="宋体" w:hAnsi="Arial" w:cs="Arial"/>
      <w:color w:val="auto"/>
      <w:sz w:val="20"/>
      <w:shd w:val="clear" w:color="auto" w:fill="FFFFFF"/>
    </w:rPr>
  </w:style>
  <w:style w:type="character" w:customStyle="1" w:styleId="description3">
    <w:name w:val="description3"/>
    <w:qFormat/>
    <w:rPr>
      <w:rFonts w:ascii="宋体" w:eastAsia="宋体" w:hAnsi="宋体" w:cs="宋体" w:hint="eastAsia"/>
      <w:color w:val="555555"/>
      <w:sz w:val="18"/>
      <w:szCs w:val="18"/>
      <w:shd w:val="clear" w:color="auto" w:fill="FFFFFF"/>
    </w:rPr>
  </w:style>
  <w:style w:type="character" w:customStyle="1" w:styleId="CharCharfffff0">
    <w:name w:val="正文样式 Char Char"/>
    <w:qFormat/>
    <w:locked/>
    <w:rPr>
      <w:szCs w:val="24"/>
      <w:shd w:val="clear" w:color="auto" w:fill="FFFFFF"/>
    </w:rPr>
  </w:style>
  <w:style w:type="character" w:customStyle="1" w:styleId="334">
    <w:name w:val="标题 3 字符3"/>
    <w:qFormat/>
    <w:rPr>
      <w:rFonts w:ascii="Times New Roman" w:eastAsia="华文楷体" w:hAnsi="Times New Roman"/>
      <w:b/>
      <w:bCs/>
      <w:kern w:val="2"/>
      <w:sz w:val="32"/>
      <w:szCs w:val="21"/>
      <w:shd w:val="clear" w:color="auto" w:fill="FFFFFF"/>
    </w:rPr>
  </w:style>
  <w:style w:type="character" w:customStyle="1" w:styleId="5CharChar4">
    <w:name w:val="页眉小5号 Char Char"/>
    <w:qFormat/>
    <w:rPr>
      <w:rFonts w:eastAsia="宋体"/>
      <w:kern w:val="2"/>
      <w:sz w:val="18"/>
      <w:szCs w:val="18"/>
      <w:shd w:val="clear" w:color="auto" w:fill="FFFFFF"/>
      <w:lang w:val="en-US" w:eastAsia="zh-CN" w:bidi="ar-SA"/>
    </w:rPr>
  </w:style>
  <w:style w:type="character" w:customStyle="1" w:styleId="tpccontent1">
    <w:name w:val="tpc_content1"/>
    <w:qFormat/>
    <w:rPr>
      <w:sz w:val="13"/>
      <w:szCs w:val="13"/>
      <w:shd w:val="clear" w:color="auto" w:fill="FFFFFF"/>
    </w:rPr>
  </w:style>
  <w:style w:type="character" w:customStyle="1" w:styleId="9dpi1">
    <w:name w:val="9dpi1"/>
    <w:qFormat/>
    <w:rPr>
      <w:spacing w:val="30"/>
      <w:sz w:val="18"/>
      <w:szCs w:val="18"/>
      <w:shd w:val="clear" w:color="auto" w:fill="FFFFFF"/>
    </w:rPr>
  </w:style>
  <w:style w:type="character" w:customStyle="1" w:styleId="newsbt2">
    <w:name w:val="newsbt2"/>
    <w:qFormat/>
    <w:rPr>
      <w:shd w:val="clear" w:color="auto" w:fill="FFFFFF"/>
    </w:rPr>
  </w:style>
  <w:style w:type="character" w:customStyle="1" w:styleId="font71">
    <w:name w:val="font71"/>
    <w:qFormat/>
    <w:rPr>
      <w:rFonts w:ascii="Times New Roman" w:hAnsi="Times New Roman" w:cs="Times New Roman" w:hint="default"/>
      <w:color w:val="000000"/>
      <w:sz w:val="21"/>
      <w:szCs w:val="21"/>
      <w:u w:val="none"/>
      <w:shd w:val="clear" w:color="auto" w:fill="FFFFFF"/>
      <w:vertAlign w:val="superscript"/>
    </w:rPr>
  </w:style>
  <w:style w:type="character" w:customStyle="1" w:styleId="Charffffff8">
    <w:name w:val="正文样式－文字 Char"/>
    <w:link w:val="afffffffffffffffff9"/>
    <w:qFormat/>
    <w:locked/>
    <w:rPr>
      <w:color w:val="000000"/>
      <w:sz w:val="24"/>
      <w:szCs w:val="21"/>
    </w:rPr>
  </w:style>
  <w:style w:type="character" w:customStyle="1" w:styleId="H9Char">
    <w:name w:val="H9 Char"/>
    <w:qFormat/>
    <w:rPr>
      <w:rFonts w:ascii="Arial" w:eastAsia="黑体" w:hAnsi="Arial"/>
      <w:sz w:val="21"/>
      <w:szCs w:val="21"/>
      <w:shd w:val="clear" w:color="auto" w:fill="FFFFFF"/>
      <w:lang w:val="en-US" w:eastAsia="zh-CN" w:bidi="ar-SA"/>
    </w:rPr>
  </w:style>
  <w:style w:type="character" w:customStyle="1" w:styleId="fbrq">
    <w:name w:val="fbrq"/>
    <w:basedOn w:val="a8"/>
    <w:qFormat/>
  </w:style>
  <w:style w:type="character" w:customStyle="1" w:styleId="1fffffffb">
    <w:name w:val="批注文字 字符1"/>
    <w:qFormat/>
    <w:rPr>
      <w:shd w:val="clear" w:color="auto" w:fill="FFFFFF"/>
    </w:rPr>
  </w:style>
  <w:style w:type="character" w:customStyle="1" w:styleId="Char2fa">
    <w:name w:val="正文小四 Char2"/>
    <w:qFormat/>
    <w:rPr>
      <w:rFonts w:ascii="宋体" w:hAnsi="宋体"/>
      <w:sz w:val="24"/>
      <w:szCs w:val="24"/>
      <w:shd w:val="clear" w:color="auto" w:fill="FFFFFF"/>
    </w:rPr>
  </w:style>
  <w:style w:type="character" w:customStyle="1" w:styleId="Charffffff9">
    <w:name w:val="正文内容 Char"/>
    <w:link w:val="afffffffffffffffffa"/>
    <w:uiPriority w:val="99"/>
    <w:qFormat/>
    <w:rPr>
      <w:rFonts w:ascii="宋体"/>
      <w:sz w:val="24"/>
    </w:rPr>
  </w:style>
  <w:style w:type="character" w:customStyle="1" w:styleId="entext1">
    <w:name w:val="entext1"/>
    <w:qFormat/>
    <w:rPr>
      <w:rFonts w:ascii="Arial" w:hAnsi="Arial" w:cs="Arial" w:hint="default"/>
      <w:color w:val="000000"/>
      <w:sz w:val="14"/>
      <w:szCs w:val="14"/>
      <w:u w:val="none"/>
      <w:shd w:val="clear" w:color="auto" w:fill="FFFFFF"/>
    </w:rPr>
  </w:style>
  <w:style w:type="character" w:customStyle="1" w:styleId="Char1fff1">
    <w:name w:val="表格式 Char1"/>
    <w:qFormat/>
    <w:rPr>
      <w:rFonts w:ascii="宋体" w:hAnsi="Times New Roman"/>
      <w:shd w:val="clear" w:color="auto" w:fill="FFFFFF"/>
    </w:rPr>
  </w:style>
  <w:style w:type="character" w:customStyle="1" w:styleId="font">
    <w:name w:val="font"/>
    <w:qFormat/>
    <w:rPr>
      <w:shd w:val="clear" w:color="auto" w:fill="FFFFFF"/>
    </w:rPr>
  </w:style>
  <w:style w:type="character" w:customStyle="1" w:styleId="affffffffffffffffffffffffffffffffffffffffc">
    <w:name w:val="样式 黑体 三号 加粗"/>
    <w:qFormat/>
    <w:rPr>
      <w:rFonts w:ascii="黑体" w:eastAsia="黑体" w:hAnsi="黑体"/>
      <w:b/>
      <w:color w:val="000000"/>
      <w:kern w:val="2"/>
      <w:sz w:val="44"/>
      <w:szCs w:val="21"/>
      <w:shd w:val="clear" w:color="auto" w:fill="FFFFFF"/>
      <w:lang w:val="en-US" w:eastAsia="zh-CN" w:bidi="ar-SA"/>
    </w:rPr>
  </w:style>
  <w:style w:type="character" w:customStyle="1" w:styleId="Char1fff2">
    <w:name w:val="无节款 Char1"/>
    <w:uiPriority w:val="99"/>
    <w:qFormat/>
    <w:rPr>
      <w:rFonts w:ascii="Arial" w:eastAsia="黑体" w:hAnsi="Arial" w:cs="Times New Roman"/>
      <w:sz w:val="24"/>
      <w:szCs w:val="24"/>
      <w:shd w:val="clear" w:color="auto" w:fill="FFFFFF"/>
    </w:rPr>
  </w:style>
  <w:style w:type="character" w:customStyle="1" w:styleId="51Char">
    <w:name w:val="环 5级 1 Char"/>
    <w:link w:val="510"/>
    <w:qFormat/>
    <w:rPr>
      <w:rFonts w:ascii="宋体" w:hAnsi="宋体"/>
      <w:b/>
      <w:sz w:val="28"/>
      <w:szCs w:val="28"/>
    </w:rPr>
  </w:style>
  <w:style w:type="character" w:customStyle="1" w:styleId="Char22">
    <w:name w:val="表文 Char2"/>
    <w:link w:val="afffffffffffffffffb"/>
    <w:qFormat/>
    <w:rPr>
      <w:sz w:val="18"/>
      <w:szCs w:val="18"/>
    </w:rPr>
  </w:style>
  <w:style w:type="character" w:customStyle="1" w:styleId="smessagecontent">
    <w:name w:val="smessage_content"/>
    <w:qFormat/>
    <w:rPr>
      <w:shd w:val="clear" w:color="auto" w:fill="FFFFFF"/>
    </w:rPr>
  </w:style>
  <w:style w:type="character" w:customStyle="1" w:styleId="2Charfc">
    <w:name w:val="样式 标题 2 Char"/>
    <w:qFormat/>
    <w:locked/>
    <w:rPr>
      <w:rFonts w:ascii="仿宋_GB2312" w:eastAsia="仿宋_GB2312" w:hAnsi="宋体"/>
      <w:b/>
      <w:bCs/>
      <w:sz w:val="30"/>
      <w:szCs w:val="32"/>
      <w:shd w:val="clear" w:color="auto" w:fill="FFFFFF"/>
    </w:rPr>
  </w:style>
  <w:style w:type="character" w:customStyle="1" w:styleId="21f0">
    <w:name w:val="正文文本 2 字符1"/>
    <w:qFormat/>
    <w:rPr>
      <w:rFonts w:ascii="Times New Roman" w:eastAsia="宋体" w:hAnsi="Times New Roman" w:cs="Times New Roman"/>
      <w:sz w:val="24"/>
      <w:szCs w:val="20"/>
      <w:shd w:val="clear" w:color="auto" w:fill="FFFFFF"/>
    </w:rPr>
  </w:style>
  <w:style w:type="character" w:customStyle="1" w:styleId="11Char7">
    <w:name w:val="1标题1 Char"/>
    <w:qFormat/>
    <w:rPr>
      <w:rFonts w:ascii="黑体" w:eastAsia="黑体" w:hAnsi="宋体" w:cs="黑体" w:hint="eastAsia"/>
      <w:b/>
      <w:sz w:val="28"/>
      <w:szCs w:val="24"/>
      <w:shd w:val="clear" w:color="auto" w:fill="FFFFFF"/>
    </w:rPr>
  </w:style>
  <w:style w:type="character" w:customStyle="1" w:styleId="1fffffffc">
    <w:name w:val="行号1"/>
    <w:qFormat/>
    <w:rPr>
      <w:rFonts w:ascii="宋体" w:eastAsia="宋体" w:hAnsi="宋体" w:cs="Courier New"/>
      <w:kern w:val="2"/>
      <w:sz w:val="32"/>
      <w:szCs w:val="32"/>
      <w:shd w:val="clear" w:color="auto" w:fill="FFFFFF"/>
      <w:lang w:val="en-US" w:eastAsia="zh-CN"/>
    </w:rPr>
  </w:style>
  <w:style w:type="character" w:customStyle="1" w:styleId="2Charc">
    <w:name w:val="表格文字2 Char"/>
    <w:link w:val="2ffe"/>
    <w:qFormat/>
    <w:rPr>
      <w:rFonts w:ascii="Arial" w:hAnsi="Arial"/>
      <w:sz w:val="24"/>
    </w:rPr>
  </w:style>
  <w:style w:type="character" w:customStyle="1" w:styleId="Charffffffa">
    <w:name w:val="博宏图名 Char"/>
    <w:link w:val="afffffffffffffffffc"/>
    <w:qFormat/>
    <w:rPr>
      <w:b/>
    </w:rPr>
  </w:style>
  <w:style w:type="character" w:customStyle="1" w:styleId="4Charb">
    <w:name w:val="4级标题 Char"/>
    <w:qFormat/>
    <w:rPr>
      <w:rFonts w:ascii="Times New Roman" w:hAnsi="Times New Roman"/>
      <w:b/>
      <w:sz w:val="28"/>
      <w:szCs w:val="28"/>
      <w:shd w:val="clear" w:color="auto" w:fill="FFFFFF"/>
    </w:rPr>
  </w:style>
  <w:style w:type="character" w:customStyle="1" w:styleId="EmailStyle488">
    <w:name w:val="EmailStyle488"/>
    <w:qFormat/>
    <w:rPr>
      <w:rFonts w:ascii="Arial" w:eastAsia="宋体" w:hAnsi="Arial" w:cs="Arial"/>
      <w:color w:val="auto"/>
      <w:sz w:val="20"/>
      <w:shd w:val="clear" w:color="auto" w:fill="FFFFFF"/>
    </w:rPr>
  </w:style>
  <w:style w:type="character" w:customStyle="1" w:styleId="EmailStyle4891">
    <w:name w:val="EmailStyle4891"/>
    <w:qFormat/>
    <w:rPr>
      <w:rFonts w:ascii="Arial" w:eastAsia="宋体" w:hAnsi="Arial" w:cs="Arial"/>
      <w:color w:val="auto"/>
      <w:sz w:val="20"/>
      <w:shd w:val="clear" w:color="auto" w:fill="FFFFFF"/>
    </w:rPr>
  </w:style>
  <w:style w:type="character" w:customStyle="1" w:styleId="920">
    <w:name w:val="标题 9 字符2"/>
    <w:uiPriority w:val="9"/>
    <w:qFormat/>
    <w:rPr>
      <w:rFonts w:ascii="Cambria" w:eastAsia="宋体" w:hAnsi="Cambria" w:cs="Times New Roman"/>
      <w:szCs w:val="21"/>
      <w:shd w:val="clear" w:color="auto" w:fill="FFFFFF"/>
    </w:rPr>
  </w:style>
  <w:style w:type="character" w:customStyle="1" w:styleId="1CharCharCharCharChar0">
    <w:name w:val="标题 1 Char Char Char Char Char"/>
    <w:qFormat/>
    <w:rPr>
      <w:rFonts w:eastAsia="黑体"/>
      <w:b/>
      <w:bCs/>
      <w:kern w:val="44"/>
      <w:sz w:val="44"/>
      <w:szCs w:val="44"/>
      <w:shd w:val="clear" w:color="auto" w:fill="FFFFFF"/>
      <w:lang w:val="en-US" w:eastAsia="zh-CN" w:bidi="ar-SA"/>
    </w:rPr>
  </w:style>
  <w:style w:type="character" w:customStyle="1" w:styleId="5CharChar5">
    <w:name w:val="5 Char Char"/>
    <w:qFormat/>
    <w:locked/>
    <w:rPr>
      <w:rFonts w:ascii="楷体_GB2312" w:eastAsia="楷体_GB2312" w:cs="Times New Roman"/>
      <w:sz w:val="30"/>
      <w:szCs w:val="30"/>
      <w:shd w:val="clear" w:color="auto" w:fill="FFFFFF"/>
    </w:rPr>
  </w:style>
  <w:style w:type="character" w:customStyle="1" w:styleId="1CharCharCharChar0">
    <w:name w:val="正文水资源论证1 Char Char Char Char"/>
    <w:qFormat/>
    <w:rPr>
      <w:rFonts w:ascii="宋体" w:eastAsia="宋体" w:hAnsi="宋体" w:cs="宋体" w:hint="eastAsia"/>
      <w:kern w:val="2"/>
      <w:sz w:val="28"/>
      <w:szCs w:val="24"/>
      <w:shd w:val="clear" w:color="auto" w:fill="FFFFFF"/>
      <w:lang w:val="en-US" w:eastAsia="zh-CN"/>
    </w:rPr>
  </w:style>
  <w:style w:type="character" w:customStyle="1" w:styleId="HTML11">
    <w:name w:val="HTML 预设格式 字符1"/>
    <w:uiPriority w:val="99"/>
    <w:qFormat/>
    <w:rPr>
      <w:rFonts w:ascii="Courier New" w:hAnsi="Courier New" w:cs="Courier New"/>
      <w:sz w:val="20"/>
      <w:szCs w:val="20"/>
      <w:shd w:val="clear" w:color="auto" w:fill="FFFFFF"/>
    </w:rPr>
  </w:style>
  <w:style w:type="character" w:customStyle="1" w:styleId="Char1f3">
    <w:name w:val="图名 Char1"/>
    <w:link w:val="afffffffffffffffffd"/>
    <w:qFormat/>
    <w:rPr>
      <w:b/>
      <w:kern w:val="2"/>
      <w:sz w:val="21"/>
      <w:szCs w:val="21"/>
    </w:rPr>
  </w:style>
  <w:style w:type="character" w:customStyle="1" w:styleId="CharCharfffff1">
    <w:name w:val="样式 样式 表格 + (符号) 宋体 五号 居中 + 小五 Char Char"/>
    <w:qFormat/>
    <w:locked/>
    <w:rPr>
      <w:rFonts w:ascii="Times New Roman" w:hAnsi="Times New Roman"/>
      <w:sz w:val="18"/>
      <w:szCs w:val="21"/>
      <w:shd w:val="clear" w:color="auto" w:fill="FFFFFF"/>
    </w:rPr>
  </w:style>
  <w:style w:type="character" w:customStyle="1" w:styleId="222Char0">
    <w:name w:val="样式 样式 样式 样式 正文 首行缩进 + 首行缩进:  2 字符 行距: 单倍行距 + 首行缩进:  2 字符 + 小四 首行...2 Char"/>
    <w:qFormat/>
    <w:rPr>
      <w:rFonts w:ascii="Arial" w:hAnsi="Arial" w:cs="宋体"/>
      <w:sz w:val="24"/>
      <w:shd w:val="clear" w:color="auto" w:fill="FFFFFF"/>
    </w:rPr>
  </w:style>
  <w:style w:type="character" w:customStyle="1" w:styleId="3sChar">
    <w:name w:val="样式 标题 3s Char"/>
    <w:link w:val="3s"/>
    <w:qFormat/>
    <w:locked/>
    <w:rPr>
      <w:rFonts w:ascii="黑体" w:eastAsia="黑体" w:hAnsi="黑体"/>
      <w:b/>
      <w:bCs/>
      <w:sz w:val="32"/>
      <w:szCs w:val="32"/>
    </w:rPr>
  </w:style>
  <w:style w:type="character" w:customStyle="1" w:styleId="digest1">
    <w:name w:val="digest1"/>
    <w:qFormat/>
    <w:rPr>
      <w:color w:val="393939"/>
      <w:sz w:val="20"/>
      <w:szCs w:val="20"/>
      <w:shd w:val="clear" w:color="auto" w:fill="FFFFFF"/>
    </w:rPr>
  </w:style>
  <w:style w:type="character" w:customStyle="1" w:styleId="aspmaker1">
    <w:name w:val="aspmaker1"/>
    <w:qFormat/>
    <w:rPr>
      <w:rFonts w:ascii="Verdana" w:hAnsi="Verdana" w:cs="Times New Roman"/>
      <w:sz w:val="20"/>
      <w:szCs w:val="20"/>
      <w:shd w:val="clear" w:color="auto" w:fill="FFFFFF"/>
    </w:rPr>
  </w:style>
  <w:style w:type="character" w:customStyle="1" w:styleId="z-Char0">
    <w:name w:val="z-窗体底端 Char"/>
    <w:qFormat/>
    <w:rPr>
      <w:rFonts w:ascii="Arial" w:eastAsia="宋体" w:hAnsi="Arial" w:cs="Arial"/>
      <w:vanish/>
      <w:sz w:val="16"/>
      <w:szCs w:val="16"/>
      <w:shd w:val="clear" w:color="auto" w:fill="FFFFFF"/>
    </w:rPr>
  </w:style>
  <w:style w:type="character" w:customStyle="1" w:styleId="CharChar1100">
    <w:name w:val="Char Char110"/>
    <w:uiPriority w:val="99"/>
    <w:qFormat/>
    <w:rPr>
      <w:rFonts w:eastAsia="宋体"/>
      <w:kern w:val="2"/>
      <w:sz w:val="18"/>
      <w:szCs w:val="18"/>
      <w:shd w:val="clear" w:color="auto" w:fill="FFFFFF"/>
      <w:lang w:val="en-US" w:eastAsia="zh-CN" w:bidi="ar-SA"/>
    </w:rPr>
  </w:style>
  <w:style w:type="character" w:customStyle="1" w:styleId="ChapterTitleCharChar">
    <w:name w:val="Chapter Title Char Char"/>
    <w:qFormat/>
    <w:rPr>
      <w:rFonts w:ascii="Times New Roman" w:hAnsi="Times New Roman"/>
      <w:b/>
      <w:bCs/>
      <w:iCs/>
      <w:sz w:val="30"/>
      <w:szCs w:val="26"/>
      <w:shd w:val="clear" w:color="auto" w:fill="FFFFFF"/>
      <w:lang w:bidi="en-US"/>
    </w:rPr>
  </w:style>
  <w:style w:type="character" w:customStyle="1" w:styleId="CharCharCharf8">
    <w:name w:val="陈正文 Char Char Char"/>
    <w:qFormat/>
    <w:rPr>
      <w:rFonts w:ascii="Times New Roman" w:eastAsia="宋体" w:hAnsi="Times New Roman" w:cs="Times New Roman" w:hint="default"/>
      <w:sz w:val="24"/>
      <w:szCs w:val="24"/>
      <w:shd w:val="clear" w:color="auto" w:fill="FFFFFF"/>
    </w:rPr>
  </w:style>
  <w:style w:type="character" w:customStyle="1" w:styleId="TimesNewRomanChar0">
    <w:name w:val="样式 样式 样式 样式 报告正文 + 宋体 五号 黑色 + 五号 + (西文) Times New Roman (中文) 华文中... Char"/>
    <w:link w:val="TimesNewRoman0"/>
    <w:qFormat/>
    <w:rPr>
      <w:rFonts w:eastAsia="华文中宋" w:cs="宋体"/>
      <w:color w:val="000000"/>
      <w:kern w:val="2"/>
      <w:sz w:val="24"/>
    </w:rPr>
  </w:style>
  <w:style w:type="character" w:customStyle="1" w:styleId="2fffffffd">
    <w:name w:val="脚注文本 字符2"/>
    <w:uiPriority w:val="99"/>
    <w:qFormat/>
    <w:rPr>
      <w:rFonts w:ascii="Times New Roman" w:eastAsia="宋体" w:hAnsi="Times New Roman" w:cs="Times New Roman"/>
      <w:sz w:val="18"/>
      <w:szCs w:val="20"/>
      <w:shd w:val="clear" w:color="auto" w:fill="FFFFFF"/>
    </w:rPr>
  </w:style>
  <w:style w:type="character" w:customStyle="1" w:styleId="01Char">
    <w:name w:val="表格标题01 Char"/>
    <w:link w:val="010"/>
    <w:qFormat/>
    <w:rPr>
      <w:snapToGrid w:val="0"/>
      <w:sz w:val="28"/>
      <w:szCs w:val="28"/>
    </w:rPr>
  </w:style>
  <w:style w:type="character" w:customStyle="1" w:styleId="8Char">
    <w:name w:val="样式8 Char"/>
    <w:qFormat/>
    <w:rPr>
      <w:rFonts w:ascii="Times New Roman" w:eastAsia="宋体" w:hAnsi="Times New Roman" w:cs="Times New Roman" w:hint="default"/>
      <w:sz w:val="24"/>
      <w:szCs w:val="20"/>
      <w:shd w:val="clear" w:color="auto" w:fill="FFFFFF"/>
    </w:rPr>
  </w:style>
  <w:style w:type="character" w:customStyle="1" w:styleId="Charffffffffffff4">
    <w:name w:val="环保专篇 Char"/>
    <w:qFormat/>
    <w:locked/>
    <w:rPr>
      <w:sz w:val="24"/>
      <w:szCs w:val="24"/>
      <w:shd w:val="clear" w:color="auto" w:fill="FFFFFF"/>
    </w:rPr>
  </w:style>
  <w:style w:type="character" w:customStyle="1" w:styleId="Charffffffb">
    <w:name w:val="样式 居中 Char"/>
    <w:link w:val="afffffffffffffffffe"/>
    <w:qFormat/>
    <w:rPr>
      <w:kern w:val="2"/>
      <w:sz w:val="24"/>
    </w:rPr>
  </w:style>
  <w:style w:type="character" w:customStyle="1" w:styleId="3CharChar7">
    <w:name w:val="标题 内蒙3 Char Char"/>
    <w:semiHidden/>
    <w:qFormat/>
    <w:rPr>
      <w:rFonts w:eastAsia="黑体"/>
      <w:b/>
      <w:bCs/>
      <w:kern w:val="2"/>
      <w:sz w:val="24"/>
      <w:szCs w:val="32"/>
      <w:shd w:val="clear" w:color="auto" w:fill="FFFFFF"/>
      <w:lang w:val="en-US" w:eastAsia="zh-CN" w:bidi="ar-SA"/>
    </w:rPr>
  </w:style>
  <w:style w:type="character" w:customStyle="1" w:styleId="CharCharCharf9">
    <w:name w:val="样式 样式 表格 + (符号) 宋体 五号 居中 + 小五 Char Char Char"/>
    <w:qFormat/>
    <w:rPr>
      <w:rFonts w:ascii="宋体" w:eastAsia="宋体" w:hAnsi="宋体" w:cs="宋体"/>
      <w:kern w:val="0"/>
      <w:sz w:val="21"/>
      <w:szCs w:val="21"/>
      <w:shd w:val="clear" w:color="auto" w:fill="FFFFFF"/>
    </w:rPr>
  </w:style>
  <w:style w:type="character" w:customStyle="1" w:styleId="Charffffffc">
    <w:name w:val="正文++++++++++ Char"/>
    <w:link w:val="affffffffffffffffff"/>
    <w:qFormat/>
    <w:rPr>
      <w:sz w:val="24"/>
    </w:rPr>
  </w:style>
  <w:style w:type="character" w:customStyle="1" w:styleId="f18bt">
    <w:name w:val="f18bt"/>
    <w:qFormat/>
    <w:rPr>
      <w:shd w:val="clear" w:color="auto" w:fill="FFFFFF"/>
    </w:rPr>
  </w:style>
  <w:style w:type="character" w:customStyle="1" w:styleId="11Char1H1h11headingHeader1stPageh1chap">
    <w:name w:val="样式 标题 1标题 1 Char标题1章节H1h11headingHeader 1st Pageh1 chap..."/>
    <w:qFormat/>
    <w:rPr>
      <w:rFonts w:ascii="Times New Roman" w:eastAsia="仿宋_GB2312"/>
      <w:sz w:val="28"/>
      <w:shd w:val="clear" w:color="auto" w:fill="FFFFFF"/>
    </w:rPr>
  </w:style>
  <w:style w:type="character" w:customStyle="1" w:styleId="2Chard">
    <w:name w:val="★正文缩进2字符 Char"/>
    <w:link w:val="2fff"/>
    <w:qFormat/>
    <w:locked/>
    <w:rPr>
      <w:color w:val="000000"/>
      <w:sz w:val="24"/>
      <w:szCs w:val="21"/>
      <w:lang w:eastAsia="en-US"/>
    </w:rPr>
  </w:style>
  <w:style w:type="character" w:customStyle="1" w:styleId="2fffffffe">
    <w:name w:val="尾注文本 字符2"/>
    <w:qFormat/>
    <w:rPr>
      <w:rFonts w:ascii="Times New Roman" w:eastAsia="宋体" w:hAnsi="Times New Roman" w:cs="Times New Roman"/>
      <w:szCs w:val="24"/>
      <w:shd w:val="clear" w:color="auto" w:fill="FFFFFF"/>
    </w:rPr>
  </w:style>
  <w:style w:type="character" w:customStyle="1" w:styleId="Char1fff3">
    <w:name w:val="表文字 Char1"/>
    <w:qFormat/>
    <w:rPr>
      <w:rFonts w:ascii="Times New Roman" w:hAnsi="Times New Roman"/>
      <w:sz w:val="24"/>
      <w:shd w:val="clear" w:color="auto" w:fill="FFFFFF"/>
    </w:rPr>
  </w:style>
  <w:style w:type="character" w:customStyle="1" w:styleId="3CharChar10">
    <w:name w:val="正文文字缩进 3 Char Char1"/>
    <w:qFormat/>
    <w:rPr>
      <w:rFonts w:ascii="宋体" w:eastAsia="宋体" w:hAnsi="宋体"/>
      <w:color w:val="FF0000"/>
      <w:kern w:val="2"/>
      <w:sz w:val="24"/>
      <w:szCs w:val="24"/>
      <w:shd w:val="clear" w:color="auto" w:fill="FFFFFF"/>
      <w:lang w:val="en-US" w:eastAsia="zh-CN" w:bidi="ar-SA"/>
    </w:rPr>
  </w:style>
  <w:style w:type="character" w:customStyle="1" w:styleId="C3">
    <w:name w:val="缩进 C"/>
    <w:qFormat/>
    <w:rPr>
      <w:rFonts w:eastAsia="宋体"/>
      <w:kern w:val="2"/>
      <w:sz w:val="21"/>
      <w:szCs w:val="24"/>
      <w:shd w:val="clear" w:color="auto" w:fill="FFFFFF"/>
      <w:lang w:val="en-US" w:eastAsia="zh-CN" w:bidi="ar-SA"/>
    </w:rPr>
  </w:style>
  <w:style w:type="character" w:customStyle="1" w:styleId="Charffffffd">
    <w:name w:val="标准 Char"/>
    <w:link w:val="affffffffffffffffff0"/>
    <w:qFormat/>
    <w:rPr>
      <w:spacing w:val="-2"/>
      <w:sz w:val="28"/>
    </w:rPr>
  </w:style>
  <w:style w:type="character" w:customStyle="1" w:styleId="Charffffffe">
    <w:name w:val="表内 Char"/>
    <w:link w:val="affffffffffffffffff1"/>
    <w:qFormat/>
    <w:locked/>
    <w:rPr>
      <w:rFonts w:ascii="宋体"/>
      <w:sz w:val="24"/>
    </w:rPr>
  </w:style>
  <w:style w:type="character" w:customStyle="1" w:styleId="Char2fb">
    <w:name w:val="尾注文本 Char2"/>
    <w:qFormat/>
    <w:rPr>
      <w:kern w:val="2"/>
      <w:sz w:val="21"/>
      <w:szCs w:val="24"/>
      <w:shd w:val="clear" w:color="auto" w:fill="FFFFFF"/>
    </w:rPr>
  </w:style>
  <w:style w:type="character" w:customStyle="1" w:styleId="2ffffffff">
    <w:name w:val="页脚 字符2"/>
    <w:uiPriority w:val="99"/>
    <w:qFormat/>
    <w:rPr>
      <w:rFonts w:ascii="Times New Roman" w:eastAsia="宋体" w:hAnsi="Times New Roman" w:cs="Times New Roman"/>
      <w:sz w:val="18"/>
      <w:szCs w:val="18"/>
      <w:shd w:val="clear" w:color="auto" w:fill="FFFFFF"/>
    </w:rPr>
  </w:style>
  <w:style w:type="character" w:customStyle="1" w:styleId="H1Char1">
    <w:name w:val="H1 Char1"/>
    <w:qFormat/>
    <w:rPr>
      <w:rFonts w:ascii="Times New Roman" w:eastAsia="宋体" w:hAnsi="Times New Roman" w:cs="Times New Roman"/>
      <w:b/>
      <w:bCs/>
      <w:kern w:val="44"/>
      <w:sz w:val="44"/>
      <w:szCs w:val="44"/>
      <w:shd w:val="clear" w:color="auto" w:fill="FFFFFF"/>
    </w:rPr>
  </w:style>
  <w:style w:type="character" w:customStyle="1" w:styleId="CharCharCharCharCharCharCharCharCharCharCharCharChar0">
    <w:name w:val="正文（首行缩进两字） Char Char Char Char Char Char Char Char Char Char Char Char Char"/>
    <w:qFormat/>
    <w:rPr>
      <w:rFonts w:ascii="仿宋_GB2312" w:eastAsia="仿宋_GB2312"/>
      <w:color w:val="000000"/>
      <w:kern w:val="2"/>
      <w:sz w:val="28"/>
      <w:szCs w:val="24"/>
      <w:shd w:val="clear" w:color="auto" w:fill="FFFFFF"/>
      <w:lang w:val="en-US" w:eastAsia="zh-CN" w:bidi="ar-SA"/>
    </w:rPr>
  </w:style>
  <w:style w:type="character" w:customStyle="1" w:styleId="3CharChar8">
    <w:name w:val="标题3 Char Char"/>
    <w:qFormat/>
    <w:rPr>
      <w:rFonts w:ascii="Times New Roman" w:eastAsia="黑体" w:hAnsi="Times New Roman" w:cs="Times New Roman"/>
      <w:b/>
      <w:bCs/>
      <w:kern w:val="2"/>
      <w:sz w:val="28"/>
      <w:szCs w:val="28"/>
      <w:shd w:val="clear" w:color="auto" w:fill="FFFFFF"/>
    </w:rPr>
  </w:style>
  <w:style w:type="character" w:customStyle="1" w:styleId="p0Char">
    <w:name w:val="p0 Char"/>
    <w:qFormat/>
    <w:locked/>
    <w:rPr>
      <w:rFonts w:ascii="Calibri" w:eastAsia="宋体" w:hAnsi="Calibri" w:cs="Times New Roman"/>
      <w:kern w:val="0"/>
      <w:sz w:val="24"/>
      <w:szCs w:val="21"/>
      <w:shd w:val="clear" w:color="auto" w:fill="FFFFFF"/>
    </w:rPr>
  </w:style>
  <w:style w:type="character" w:customStyle="1" w:styleId="wenzi">
    <w:name w:val="wenzi"/>
    <w:qFormat/>
    <w:rPr>
      <w:shd w:val="clear" w:color="auto" w:fill="FFFFFF"/>
    </w:rPr>
  </w:style>
  <w:style w:type="character" w:customStyle="1" w:styleId="Charffffffffffff5">
    <w:name w:val="表文字 Char"/>
    <w:semiHidden/>
    <w:qFormat/>
    <w:rPr>
      <w:rFonts w:eastAsia="宋体"/>
      <w:kern w:val="2"/>
      <w:sz w:val="21"/>
      <w:szCs w:val="21"/>
      <w:shd w:val="clear" w:color="auto" w:fill="FFFFFF"/>
      <w:lang w:val="en-US" w:eastAsia="zh-CN" w:bidi="ar-SA"/>
    </w:rPr>
  </w:style>
  <w:style w:type="character" w:customStyle="1" w:styleId="2ffffffff0">
    <w:name w:val="占位符文本2"/>
    <w:semiHidden/>
    <w:qFormat/>
    <w:rPr>
      <w:color w:val="808080"/>
      <w:shd w:val="clear" w:color="auto" w:fill="FFFFFF"/>
    </w:rPr>
  </w:style>
  <w:style w:type="character" w:customStyle="1" w:styleId="Charffffffffffff6">
    <w:name w:val="表格样式 Char"/>
    <w:qFormat/>
    <w:rPr>
      <w:rFonts w:ascii="宋体" w:eastAsia="宋体" w:hAnsi="宋体" w:cs="Times New Roman"/>
      <w:szCs w:val="24"/>
      <w:shd w:val="clear" w:color="auto" w:fill="FFFFFF"/>
    </w:rPr>
  </w:style>
  <w:style w:type="character" w:customStyle="1" w:styleId="Charffffffffffff7">
    <w:name w:val="二级项 Char"/>
    <w:uiPriority w:val="99"/>
    <w:qFormat/>
    <w:rPr>
      <w:rFonts w:eastAsia="宋体"/>
      <w:kern w:val="2"/>
      <w:sz w:val="24"/>
      <w:shd w:val="clear" w:color="auto" w:fill="FFFFFF"/>
      <w:lang w:val="en-US" w:eastAsia="zh-CN"/>
    </w:rPr>
  </w:style>
  <w:style w:type="character" w:customStyle="1" w:styleId="Charffffffffffff8">
    <w:name w:val="样式表 Char"/>
    <w:qFormat/>
    <w:rPr>
      <w:rFonts w:ascii="Times New Roman" w:eastAsia="黑体" w:hAnsi="Times New Roman" w:cs="Times New Roman"/>
      <w:color w:val="000000"/>
      <w:sz w:val="24"/>
      <w:szCs w:val="24"/>
      <w:shd w:val="clear" w:color="auto" w:fill="FFFFFF"/>
    </w:rPr>
  </w:style>
  <w:style w:type="character" w:customStyle="1" w:styleId="Charffffffffffff9">
    <w:name w:val="表中正文 Char"/>
    <w:qFormat/>
    <w:rPr>
      <w:rFonts w:ascii="宋体" w:eastAsia="宋体"/>
      <w:kern w:val="2"/>
      <w:sz w:val="21"/>
      <w:shd w:val="clear" w:color="auto" w:fill="FFFFFF"/>
      <w:lang w:val="en-US" w:eastAsia="zh-CN" w:bidi="ar-SA"/>
    </w:rPr>
  </w:style>
  <w:style w:type="character" w:customStyle="1" w:styleId="52Char">
    <w:name w:val="样式 5 + 首行缩进:  2 字符 Char"/>
    <w:qFormat/>
    <w:rPr>
      <w:rFonts w:ascii="楷体_GB2312" w:eastAsia="楷体_GB2312" w:hAnsi="宋体"/>
      <w:b/>
      <w:color w:val="000000"/>
      <w:spacing w:val="-2"/>
      <w:sz w:val="30"/>
      <w:szCs w:val="30"/>
      <w:shd w:val="clear" w:color="auto" w:fill="FFFFFF"/>
    </w:rPr>
  </w:style>
  <w:style w:type="character" w:customStyle="1" w:styleId="style211">
    <w:name w:val="style211"/>
    <w:qFormat/>
    <w:rPr>
      <w:sz w:val="20"/>
      <w:szCs w:val="20"/>
      <w:shd w:val="clear" w:color="auto" w:fill="FFFFFF"/>
    </w:rPr>
  </w:style>
  <w:style w:type="character" w:customStyle="1" w:styleId="4Char30">
    <w:name w:val="标题 4 Char3"/>
    <w:qFormat/>
    <w:rPr>
      <w:b/>
      <w:bCs/>
      <w:kern w:val="2"/>
      <w:sz w:val="28"/>
      <w:szCs w:val="28"/>
      <w:shd w:val="clear" w:color="auto" w:fill="FFFFFF"/>
    </w:rPr>
  </w:style>
  <w:style w:type="character" w:customStyle="1" w:styleId="A-Char9">
    <w:name w:val="A-表格 Char"/>
    <w:link w:val="A-9"/>
    <w:qFormat/>
    <w:rPr>
      <w:szCs w:val="21"/>
    </w:rPr>
  </w:style>
  <w:style w:type="character" w:customStyle="1" w:styleId="cucd-TBChar">
    <w:name w:val="cucd-TB Char"/>
    <w:link w:val="cucd-TB"/>
    <w:qFormat/>
    <w:rPr>
      <w:szCs w:val="24"/>
    </w:rPr>
  </w:style>
  <w:style w:type="character" w:customStyle="1" w:styleId="Arial0">
    <w:name w:val="样式 Arial 小四"/>
    <w:qFormat/>
    <w:rPr>
      <w:rFonts w:ascii="Arial" w:eastAsia="宋体" w:hAnsi="Arial"/>
      <w:sz w:val="24"/>
      <w:szCs w:val="24"/>
      <w:shd w:val="clear" w:color="auto" w:fill="FFFFFF"/>
    </w:rPr>
  </w:style>
  <w:style w:type="character" w:customStyle="1" w:styleId="number4">
    <w:name w:val="number4"/>
    <w:qFormat/>
    <w:rPr>
      <w:shd w:val="clear" w:color="auto" w:fill="FFFFFF"/>
    </w:rPr>
  </w:style>
  <w:style w:type="character" w:customStyle="1" w:styleId="11f4">
    <w:name w:val="书籍标题11"/>
    <w:qFormat/>
    <w:rPr>
      <w:b/>
      <w:bCs/>
      <w:smallCaps/>
      <w:spacing w:val="5"/>
      <w:shd w:val="clear" w:color="auto" w:fill="FFFFFF"/>
    </w:rPr>
  </w:style>
  <w:style w:type="character" w:customStyle="1" w:styleId="11f5">
    <w:name w:val="标题11"/>
    <w:qFormat/>
    <w:rPr>
      <w:shd w:val="clear" w:color="auto" w:fill="FFFFFF"/>
    </w:rPr>
  </w:style>
  <w:style w:type="character" w:customStyle="1" w:styleId="s4CharChar">
    <w:name w:val="s4 Char Char"/>
    <w:qFormat/>
    <w:rPr>
      <w:rFonts w:eastAsia="宋体"/>
      <w:kern w:val="2"/>
      <w:sz w:val="21"/>
      <w:szCs w:val="24"/>
      <w:shd w:val="clear" w:color="auto" w:fill="FFFFFF"/>
      <w:lang w:val="en-US" w:eastAsia="zh-CN" w:bidi="ar-SA"/>
    </w:rPr>
  </w:style>
  <w:style w:type="character" w:customStyle="1" w:styleId="30pt">
    <w:name w:val="正文文本 (3) + 间距 0 pt"/>
    <w:qFormat/>
    <w:rPr>
      <w:rFonts w:ascii="MingLiU" w:eastAsia="MingLiU" w:hAnsi="MingLiU" w:cs="MingLiU"/>
      <w:color w:val="000000"/>
      <w:spacing w:val="0"/>
      <w:w w:val="100"/>
      <w:position w:val="0"/>
      <w:sz w:val="28"/>
      <w:szCs w:val="28"/>
      <w:u w:val="none"/>
      <w:shd w:val="clear" w:color="auto" w:fill="FFFFFF"/>
      <w:lang w:val="zh-TW" w:eastAsia="zh-TW" w:bidi="zh-TW"/>
    </w:rPr>
  </w:style>
  <w:style w:type="character" w:customStyle="1" w:styleId="2ffffffff1">
    <w:name w:val="正文文本 字符2"/>
    <w:qFormat/>
    <w:rPr>
      <w:rFonts w:ascii="Times New Roman" w:eastAsia="宋体" w:hAnsi="Times New Roman" w:cs="Times New Roman"/>
      <w:szCs w:val="24"/>
      <w:shd w:val="clear" w:color="auto" w:fill="FFFFFF"/>
    </w:rPr>
  </w:style>
  <w:style w:type="character" w:customStyle="1" w:styleId="930">
    <w:name w:val="标题 9 字符3"/>
    <w:uiPriority w:val="9"/>
    <w:qFormat/>
    <w:rPr>
      <w:rFonts w:ascii="Cambria" w:eastAsia="宋体" w:hAnsi="Cambria" w:cs="Times New Roman"/>
      <w:szCs w:val="21"/>
      <w:shd w:val="clear" w:color="auto" w:fill="FFFFFF"/>
    </w:rPr>
  </w:style>
  <w:style w:type="character" w:customStyle="1" w:styleId="CharCharfffff2">
    <w:name w:val="环保专篇 Char Char"/>
    <w:qFormat/>
    <w:rPr>
      <w:rFonts w:eastAsia="Times New Roman" w:cs="Times New Roman"/>
      <w:sz w:val="24"/>
      <w:shd w:val="clear" w:color="auto" w:fill="FFFFFF"/>
    </w:rPr>
  </w:style>
  <w:style w:type="character" w:customStyle="1" w:styleId="1CharCharc">
    <w:name w:val="目标题 1) Char Char"/>
    <w:qFormat/>
    <w:rPr>
      <w:rFonts w:ascii="Arial" w:eastAsia="黑体" w:hAnsi="Arial"/>
      <w:kern w:val="2"/>
      <w:sz w:val="24"/>
      <w:szCs w:val="24"/>
      <w:shd w:val="clear" w:color="auto" w:fill="FFFFFF"/>
      <w:lang w:val="en-US" w:eastAsia="zh-CN" w:bidi="ar-SA"/>
    </w:rPr>
  </w:style>
  <w:style w:type="character" w:customStyle="1" w:styleId="FooterLine1Char2">
    <w:name w:val="Footer Line1 Char2"/>
    <w:qFormat/>
    <w:rPr>
      <w:rFonts w:eastAsia="宋体"/>
      <w:sz w:val="18"/>
      <w:szCs w:val="18"/>
      <w:shd w:val="clear" w:color="auto" w:fill="FFFFFF"/>
      <w:lang w:val="en-US" w:eastAsia="zh-CN" w:bidi="ar-SA"/>
    </w:rPr>
  </w:style>
  <w:style w:type="character" w:customStyle="1" w:styleId="Charffffffffffffa">
    <w:name w:val="封面初号字 Char"/>
    <w:qFormat/>
    <w:rPr>
      <w:rFonts w:ascii="Times New Roman" w:eastAsia="黑体" w:hAnsi="Times New Roman"/>
      <w:sz w:val="84"/>
      <w:szCs w:val="84"/>
      <w:shd w:val="clear" w:color="auto" w:fill="FFFFFF"/>
    </w:rPr>
  </w:style>
  <w:style w:type="character" w:customStyle="1" w:styleId="CharCharCharCharCharCharChar2CharChar1">
    <w:name w:val="普通文字 Char Char Char Char Char Char Char2 Char Char1"/>
    <w:semiHidden/>
    <w:qFormat/>
    <w:rPr>
      <w:rFonts w:ascii="宋体" w:eastAsia="宋体" w:hAnsi="Courier New"/>
      <w:kern w:val="2"/>
      <w:sz w:val="21"/>
      <w:shd w:val="clear" w:color="auto" w:fill="FFFFFF"/>
      <w:lang w:val="en-US" w:eastAsia="zh-CN" w:bidi="ar-SA"/>
    </w:rPr>
  </w:style>
  <w:style w:type="character" w:customStyle="1" w:styleId="CharCharfffff3">
    <w:name w:val="小四正文 Char Char"/>
    <w:qFormat/>
    <w:rPr>
      <w:rFonts w:eastAsia="Times New Roman"/>
      <w:color w:val="000000"/>
      <w:spacing w:val="8"/>
      <w:kern w:val="2"/>
      <w:sz w:val="24"/>
      <w:szCs w:val="24"/>
      <w:shd w:val="clear" w:color="auto" w:fill="FFFFFF"/>
      <w:lang w:eastAsia="zh-CN" w:bidi="ar-SA"/>
    </w:rPr>
  </w:style>
  <w:style w:type="character" w:customStyle="1" w:styleId="Charfffffff">
    <w:name w:val="正文 缩进 Char"/>
    <w:link w:val="affffffffffffffffff2"/>
    <w:qFormat/>
    <w:locked/>
    <w:rPr>
      <w:kern w:val="2"/>
      <w:sz w:val="24"/>
    </w:rPr>
  </w:style>
  <w:style w:type="character" w:customStyle="1" w:styleId="HTMLChar2">
    <w:name w:val="HTML 地址 Char2"/>
    <w:qFormat/>
    <w:rPr>
      <w:i/>
      <w:iCs/>
      <w:kern w:val="2"/>
      <w:sz w:val="21"/>
      <w:szCs w:val="24"/>
      <w:shd w:val="clear" w:color="auto" w:fill="FFFFFF"/>
    </w:rPr>
  </w:style>
  <w:style w:type="character" w:customStyle="1" w:styleId="CharCharCharfa">
    <w:name w:val="文字 Char Char Char"/>
    <w:qFormat/>
    <w:rPr>
      <w:rFonts w:ascii="宋体" w:eastAsia="宋体" w:hAnsi="宋体" w:cs="宋体"/>
      <w:kern w:val="0"/>
      <w:sz w:val="28"/>
      <w:szCs w:val="28"/>
      <w:shd w:val="clear" w:color="auto" w:fill="FFFFFF"/>
    </w:rPr>
  </w:style>
  <w:style w:type="character" w:customStyle="1" w:styleId="CharCharC0">
    <w:name w:val="正文不缩进 Char Char C"/>
    <w:qFormat/>
    <w:rPr>
      <w:rFonts w:eastAsia="宋体"/>
      <w:kern w:val="2"/>
      <w:sz w:val="21"/>
      <w:szCs w:val="24"/>
      <w:shd w:val="clear" w:color="auto" w:fill="FFFFFF"/>
      <w:lang w:val="en-US" w:eastAsia="zh-CN" w:bidi="ar-SA"/>
    </w:rPr>
  </w:style>
  <w:style w:type="character" w:customStyle="1" w:styleId="unnamed31">
    <w:name w:val="unnamed31"/>
    <w:qFormat/>
    <w:rPr>
      <w:sz w:val="18"/>
      <w:szCs w:val="18"/>
      <w:shd w:val="clear" w:color="auto" w:fill="FFFFFF"/>
    </w:rPr>
  </w:style>
  <w:style w:type="character" w:customStyle="1" w:styleId="TOC23">
    <w:name w:val="TOC 2 字符"/>
    <w:uiPriority w:val="39"/>
    <w:qFormat/>
    <w:rPr>
      <w:shd w:val="clear" w:color="auto" w:fill="FFFFFF"/>
    </w:rPr>
  </w:style>
  <w:style w:type="character" w:customStyle="1" w:styleId="spelle">
    <w:name w:val="spelle"/>
    <w:qFormat/>
    <w:rPr>
      <w:shd w:val="clear" w:color="auto" w:fill="FFFFFF"/>
    </w:rPr>
  </w:style>
  <w:style w:type="character" w:customStyle="1" w:styleId="13Char1">
    <w:name w:val="正文小四首缩1.3行距 Char"/>
    <w:qFormat/>
    <w:locked/>
    <w:rPr>
      <w:rFonts w:ascii="Times New Roman" w:hAnsi="Times New Roman"/>
      <w:sz w:val="24"/>
      <w:szCs w:val="24"/>
      <w:shd w:val="clear" w:color="auto" w:fill="FFFFFF"/>
    </w:rPr>
  </w:style>
  <w:style w:type="character" w:customStyle="1" w:styleId="EmailStyle4431">
    <w:name w:val="EmailStyle4431"/>
    <w:qFormat/>
    <w:rPr>
      <w:rFonts w:ascii="Arial" w:eastAsia="宋体" w:hAnsi="Arial" w:cs="Arial"/>
      <w:color w:val="auto"/>
      <w:sz w:val="20"/>
      <w:shd w:val="clear" w:color="auto" w:fill="FFFFFF"/>
    </w:rPr>
  </w:style>
  <w:style w:type="character" w:customStyle="1" w:styleId="-Char10">
    <w:name w:val="可研-正文 Char1"/>
    <w:qFormat/>
    <w:rPr>
      <w:rFonts w:ascii="宋体" w:eastAsia="宋体"/>
      <w:kern w:val="2"/>
      <w:sz w:val="28"/>
      <w:szCs w:val="24"/>
      <w:shd w:val="clear" w:color="auto" w:fill="FFFFFF"/>
      <w:lang w:val="en-US" w:eastAsia="zh-CN" w:bidi="ar-SA"/>
    </w:rPr>
  </w:style>
  <w:style w:type="character" w:customStyle="1" w:styleId="Char1fff4">
    <w:name w:val="尾注文本 Char1"/>
    <w:qFormat/>
    <w:rPr>
      <w:rFonts w:ascii="Times New Roman" w:hAnsi="Times New Roman"/>
      <w:kern w:val="2"/>
      <w:sz w:val="21"/>
      <w:szCs w:val="24"/>
      <w:shd w:val="clear" w:color="auto" w:fill="FFFFFF"/>
    </w:rPr>
  </w:style>
  <w:style w:type="character" w:customStyle="1" w:styleId="affffffffffffffffffffffffffffffffffffffffd">
    <w:name w:val="正文（首行缩进两字）"/>
    <w:qFormat/>
    <w:rPr>
      <w:rFonts w:eastAsia="宋体"/>
      <w:kern w:val="2"/>
      <w:sz w:val="21"/>
      <w:szCs w:val="24"/>
      <w:shd w:val="clear" w:color="auto" w:fill="FFFFFF"/>
      <w:lang w:val="en-US" w:eastAsia="zh-CN" w:bidi="ar-SA"/>
    </w:rPr>
  </w:style>
  <w:style w:type="character" w:customStyle="1" w:styleId="FontStyle339">
    <w:name w:val="Font Style339"/>
    <w:qFormat/>
    <w:rPr>
      <w:rFonts w:ascii="宋体" w:eastAsia="宋体" w:cs="宋体"/>
      <w:b/>
      <w:bCs/>
      <w:sz w:val="20"/>
      <w:szCs w:val="20"/>
      <w:shd w:val="clear" w:color="auto" w:fill="FFFFFF"/>
    </w:rPr>
  </w:style>
  <w:style w:type="character" w:customStyle="1" w:styleId="CharChar141">
    <w:name w:val="Char Char141"/>
    <w:qFormat/>
    <w:rPr>
      <w:rFonts w:eastAsia="宋体"/>
      <w:kern w:val="2"/>
      <w:sz w:val="18"/>
      <w:szCs w:val="18"/>
      <w:shd w:val="clear" w:color="auto" w:fill="FFFFFF"/>
      <w:lang w:val="en-US" w:eastAsia="zh-CN" w:bidi="ar-SA"/>
    </w:rPr>
  </w:style>
  <w:style w:type="character" w:customStyle="1" w:styleId="171">
    <w:name w:val="17"/>
    <w:qFormat/>
    <w:rPr>
      <w:rFonts w:ascii="MingLiU" w:eastAsia="MingLiU" w:hAnsi="MingLiU" w:cs="MingLiU" w:hint="eastAsia"/>
      <w:color w:val="000000"/>
      <w:spacing w:val="100"/>
      <w:sz w:val="21"/>
      <w:szCs w:val="21"/>
      <w:shd w:val="clear" w:color="auto" w:fill="FFFFFF"/>
    </w:rPr>
  </w:style>
  <w:style w:type="character" w:customStyle="1" w:styleId="CharChar102">
    <w:name w:val="Char Char102"/>
    <w:qFormat/>
    <w:rPr>
      <w:rFonts w:ascii="Cambria" w:hAnsi="Cambria"/>
      <w:b/>
      <w:bCs/>
      <w:kern w:val="32"/>
      <w:sz w:val="32"/>
      <w:szCs w:val="32"/>
      <w:shd w:val="clear" w:color="auto" w:fill="FFFFFF"/>
      <w:lang w:bidi="en-US"/>
    </w:rPr>
  </w:style>
  <w:style w:type="character" w:customStyle="1" w:styleId="1fffffffd">
    <w:name w:val="日期 字符1"/>
    <w:qFormat/>
    <w:rPr>
      <w:rFonts w:ascii="宋体" w:eastAsia="宋体" w:hAnsi="Courier New" w:cs="Times New Roman"/>
      <w:sz w:val="30"/>
      <w:szCs w:val="20"/>
      <w:shd w:val="clear" w:color="auto" w:fill="FFFFFF"/>
    </w:rPr>
  </w:style>
  <w:style w:type="character" w:customStyle="1" w:styleId="CharCharCharCharc">
    <w:name w:val="托电三级标题 Char Char Char Char"/>
    <w:qFormat/>
    <w:rPr>
      <w:rFonts w:ascii="楷体_GB2312" w:eastAsia="楷体_GB2312" w:hAnsi="华文细黑" w:cs="楷体_GB2312" w:hint="eastAsia"/>
      <w:kern w:val="2"/>
      <w:sz w:val="28"/>
      <w:szCs w:val="24"/>
      <w:shd w:val="clear" w:color="auto" w:fill="FFFFFF"/>
      <w:lang w:val="en-US" w:eastAsia="zh-CN"/>
    </w:rPr>
  </w:style>
  <w:style w:type="character" w:customStyle="1" w:styleId="z-Char10">
    <w:name w:val="z-窗体顶端 Char1"/>
    <w:uiPriority w:val="99"/>
    <w:qFormat/>
    <w:rPr>
      <w:rFonts w:ascii="Arial" w:hAnsi="Arial" w:cs="Arial"/>
      <w:vanish/>
      <w:kern w:val="2"/>
      <w:sz w:val="16"/>
      <w:szCs w:val="16"/>
      <w:shd w:val="clear" w:color="auto" w:fill="FFFFFF"/>
    </w:rPr>
  </w:style>
  <w:style w:type="character" w:customStyle="1" w:styleId="HTMLTypewriter1">
    <w:name w:val="HTML Typewriter1"/>
    <w:qFormat/>
    <w:rPr>
      <w:rFonts w:ascii="Courier New" w:eastAsia="宋体" w:hAnsi="Courier New" w:cs="Courier New"/>
      <w:kern w:val="2"/>
      <w:sz w:val="20"/>
      <w:szCs w:val="20"/>
      <w:shd w:val="clear" w:color="auto" w:fill="FFFFFF"/>
      <w:lang w:val="en-US" w:eastAsia="zh-CN"/>
    </w:rPr>
  </w:style>
  <w:style w:type="character" w:customStyle="1" w:styleId="Charfffffff0">
    <w:name w:val="报告书表格 Char"/>
    <w:link w:val="affffffffffffffffff3"/>
    <w:qFormat/>
    <w:rPr>
      <w:sz w:val="21"/>
    </w:rPr>
  </w:style>
  <w:style w:type="character" w:customStyle="1" w:styleId="Char2fc">
    <w:name w:val="页眉 Char2"/>
    <w:qFormat/>
    <w:rPr>
      <w:rFonts w:ascii="Times New Roman" w:eastAsia="宋体" w:hAnsi="Times New Roman" w:cs="Times New Roman" w:hint="default"/>
      <w:sz w:val="18"/>
      <w:szCs w:val="18"/>
      <w:shd w:val="clear" w:color="auto" w:fill="FFFFFF"/>
    </w:rPr>
  </w:style>
  <w:style w:type="character" w:customStyle="1" w:styleId="tit2">
    <w:name w:val="tit2"/>
    <w:qFormat/>
    <w:rPr>
      <w:rFonts w:eastAsia="宋体"/>
      <w:b/>
      <w:bCs/>
      <w:color w:val="000000"/>
      <w:kern w:val="2"/>
      <w:sz w:val="48"/>
      <w:szCs w:val="48"/>
      <w:shd w:val="clear" w:color="auto" w:fill="FFFFFF"/>
      <w:lang w:val="en-US" w:eastAsia="zh-CN" w:bidi="ar-SA"/>
    </w:rPr>
  </w:style>
  <w:style w:type="character" w:customStyle="1" w:styleId="Charfffffff1">
    <w:name w:val="文本正文 Char"/>
    <w:link w:val="affffffffffffffffff4"/>
    <w:semiHidden/>
    <w:qFormat/>
    <w:rPr>
      <w:sz w:val="24"/>
      <w:szCs w:val="21"/>
    </w:rPr>
  </w:style>
  <w:style w:type="character" w:customStyle="1" w:styleId="p14">
    <w:name w:val="p14"/>
    <w:qFormat/>
    <w:rPr>
      <w:shd w:val="clear" w:color="auto" w:fill="FFFFFF"/>
    </w:rPr>
  </w:style>
  <w:style w:type="character" w:customStyle="1" w:styleId="08505Char1">
    <w:name w:val="样式 样式 首行缩进:  0.85 厘米 + 段前: 0.5 行 Char1"/>
    <w:qFormat/>
    <w:locked/>
    <w:rPr>
      <w:sz w:val="24"/>
      <w:shd w:val="clear" w:color="auto" w:fill="FFFFFF"/>
    </w:rPr>
  </w:style>
  <w:style w:type="character" w:customStyle="1" w:styleId="font61">
    <w:name w:val="font61"/>
    <w:qFormat/>
    <w:rPr>
      <w:rFonts w:ascii="宋体" w:eastAsia="宋体" w:hAnsi="宋体" w:cs="宋体" w:hint="eastAsia"/>
      <w:color w:val="000000"/>
      <w:sz w:val="21"/>
      <w:szCs w:val="21"/>
      <w:u w:val="none"/>
      <w:shd w:val="clear" w:color="auto" w:fill="FFFFFF"/>
    </w:rPr>
  </w:style>
  <w:style w:type="character" w:customStyle="1" w:styleId="Charffffffffffffb">
    <w:name w:val="样式 表格文字 Char"/>
    <w:qFormat/>
    <w:rPr>
      <w:rFonts w:ascii="宋体" w:hAnsi="宋体" w:cs="宋体"/>
      <w:color w:val="000000"/>
      <w:shd w:val="clear" w:color="auto" w:fill="FFFFFF"/>
    </w:rPr>
  </w:style>
  <w:style w:type="character" w:customStyle="1" w:styleId="Char2fd">
    <w:name w:val="称呼 Char2"/>
    <w:uiPriority w:val="99"/>
    <w:qFormat/>
    <w:rPr>
      <w:kern w:val="2"/>
      <w:sz w:val="21"/>
      <w:szCs w:val="24"/>
      <w:shd w:val="clear" w:color="auto" w:fill="FFFFFF"/>
    </w:rPr>
  </w:style>
  <w:style w:type="character" w:customStyle="1" w:styleId="Charffffffffffffc">
    <w:name w:val="表格后格式 Char"/>
    <w:qFormat/>
    <w:locked/>
    <w:rPr>
      <w:rFonts w:ascii="宋体"/>
      <w:sz w:val="24"/>
      <w:szCs w:val="24"/>
      <w:shd w:val="clear" w:color="auto" w:fill="FFFFFF"/>
    </w:rPr>
  </w:style>
  <w:style w:type="character" w:customStyle="1" w:styleId="1Charf9">
    <w:name w:val="表格格式1 Char"/>
    <w:qFormat/>
    <w:locked/>
    <w:rPr>
      <w:rFonts w:ascii="宋体"/>
      <w:szCs w:val="21"/>
      <w:shd w:val="clear" w:color="auto" w:fill="FFFFFF"/>
    </w:rPr>
  </w:style>
  <w:style w:type="character" w:customStyle="1" w:styleId="Char1fff5">
    <w:name w:val="二级项 Char1"/>
    <w:uiPriority w:val="99"/>
    <w:qFormat/>
    <w:rPr>
      <w:rFonts w:ascii="Arial" w:eastAsia="黑体" w:hAnsi="Arial"/>
      <w:b/>
      <w:sz w:val="24"/>
      <w:shd w:val="clear" w:color="auto" w:fill="FFFFFF"/>
      <w:lang w:val="en-US" w:eastAsia="zh-CN"/>
    </w:rPr>
  </w:style>
  <w:style w:type="character" w:customStyle="1" w:styleId="affffffffffffffffffffffffffffffffffffffffe">
    <w:name w:val="Подпись к таблице"/>
    <w:qFormat/>
    <w:rPr>
      <w:rFonts w:ascii="Times New Roman" w:hAnsi="Times New Roman"/>
      <w:sz w:val="26"/>
      <w:shd w:val="clear" w:color="auto" w:fill="FFFFFF"/>
    </w:rPr>
  </w:style>
  <w:style w:type="character" w:customStyle="1" w:styleId="CharCharfc">
    <w:name w:val="表题图题 Char Char"/>
    <w:link w:val="affffffffffffffffff5"/>
    <w:qFormat/>
    <w:rPr>
      <w:rFonts w:ascii="宋体" w:hAnsi="宋体"/>
      <w:b/>
      <w:sz w:val="21"/>
      <w:szCs w:val="21"/>
    </w:rPr>
  </w:style>
  <w:style w:type="character" w:customStyle="1" w:styleId="HTMLCharChar">
    <w:name w:val="HTML 预先格式化 Char Char"/>
    <w:qFormat/>
    <w:rPr>
      <w:rFonts w:ascii="Arial" w:eastAsia="宋体" w:hAnsi="Arial" w:cs="Arial"/>
      <w:kern w:val="0"/>
      <w:sz w:val="24"/>
      <w:szCs w:val="24"/>
      <w:shd w:val="clear" w:color="auto" w:fill="FFFFFF"/>
    </w:rPr>
  </w:style>
  <w:style w:type="character" w:customStyle="1" w:styleId="font01">
    <w:name w:val="font01"/>
    <w:qFormat/>
    <w:rPr>
      <w:rFonts w:ascii="宋体" w:eastAsia="宋体" w:hAnsi="宋体" w:cs="宋体" w:hint="eastAsia"/>
      <w:color w:val="000000"/>
      <w:sz w:val="20"/>
      <w:szCs w:val="20"/>
      <w:u w:val="none"/>
      <w:shd w:val="clear" w:color="auto" w:fill="FFFFFF"/>
      <w:vertAlign w:val="superscript"/>
    </w:rPr>
  </w:style>
  <w:style w:type="character" w:customStyle="1" w:styleId="Charffffffffffffd">
    <w:name w:val="迪阳 标三 Char"/>
    <w:qFormat/>
    <w:rPr>
      <w:rFonts w:eastAsia="宋体"/>
      <w:b/>
      <w:kern w:val="2"/>
      <w:sz w:val="28"/>
      <w:szCs w:val="28"/>
      <w:shd w:val="clear" w:color="auto" w:fill="FFFFFF"/>
      <w:lang w:val="en-US" w:eastAsia="zh-CN" w:bidi="ar-SA"/>
    </w:rPr>
  </w:style>
  <w:style w:type="character" w:customStyle="1" w:styleId="000Char">
    <w:name w:val="000 Char"/>
    <w:link w:val="000"/>
    <w:qFormat/>
    <w:rPr>
      <w:rFonts w:ascii="宋体"/>
      <w:sz w:val="24"/>
    </w:rPr>
  </w:style>
  <w:style w:type="character" w:customStyle="1" w:styleId="145">
    <w:name w:val="标题 1 字符4"/>
    <w:qFormat/>
    <w:rPr>
      <w:rFonts w:eastAsia="宋体"/>
      <w:kern w:val="2"/>
      <w:sz w:val="28"/>
      <w:szCs w:val="24"/>
      <w:shd w:val="clear" w:color="auto" w:fill="FFFFFF"/>
      <w:lang w:val="en-US" w:eastAsia="zh-CN" w:bidi="ar-SA"/>
    </w:rPr>
  </w:style>
  <w:style w:type="character" w:customStyle="1" w:styleId="75CharChar">
    <w:name w:val="标题 7表内5号 Char Char"/>
    <w:qFormat/>
    <w:rPr>
      <w:rFonts w:eastAsia="宋体"/>
      <w:b/>
      <w:kern w:val="2"/>
      <w:sz w:val="24"/>
      <w:shd w:val="clear" w:color="auto" w:fill="FFFFFF"/>
      <w:lang w:val="en-US" w:eastAsia="zh-CN" w:bidi="ar-SA"/>
    </w:rPr>
  </w:style>
  <w:style w:type="character" w:customStyle="1" w:styleId="CharChar90">
    <w:name w:val="Char Char9"/>
    <w:qFormat/>
    <w:rPr>
      <w:rFonts w:ascii="Arial" w:eastAsia="黑体" w:hAnsi="Arial"/>
      <w:b/>
      <w:bCs/>
      <w:kern w:val="2"/>
      <w:sz w:val="28"/>
      <w:szCs w:val="28"/>
      <w:shd w:val="clear" w:color="auto" w:fill="FFFFFF"/>
      <w:lang w:val="en-US" w:eastAsia="zh-CN" w:bidi="ar-SA"/>
    </w:rPr>
  </w:style>
  <w:style w:type="character" w:customStyle="1" w:styleId="1-Char">
    <w:name w:val="1-正文 Char"/>
    <w:link w:val="1-"/>
    <w:qFormat/>
    <w:rPr>
      <w:rFonts w:ascii="宋体" w:hAnsi="宋体"/>
      <w:sz w:val="24"/>
      <w:szCs w:val="21"/>
    </w:rPr>
  </w:style>
  <w:style w:type="character" w:customStyle="1" w:styleId="d2">
    <w:name w:val="d2"/>
    <w:qFormat/>
    <w:rPr>
      <w:spacing w:val="300"/>
      <w:shd w:val="clear" w:color="auto" w:fill="FFFFFF"/>
    </w:rPr>
  </w:style>
  <w:style w:type="character" w:customStyle="1" w:styleId="2ffffffff2">
    <w:name w:val="Основной текст (2)"/>
    <w:qFormat/>
    <w:rPr>
      <w:rFonts w:ascii="Times New Roman" w:hAnsi="Times New Roman" w:cs="Times New Roman"/>
      <w:spacing w:val="0"/>
      <w:sz w:val="27"/>
      <w:szCs w:val="27"/>
      <w:shd w:val="clear" w:color="auto" w:fill="FFFFFF"/>
      <w:lang w:bidi="ar-SA"/>
    </w:rPr>
  </w:style>
  <w:style w:type="character" w:customStyle="1" w:styleId="EmailStyle2751">
    <w:name w:val="EmailStyle2751"/>
    <w:qFormat/>
    <w:rPr>
      <w:rFonts w:ascii="Arial" w:eastAsia="宋体" w:hAnsi="Arial" w:cs="Arial"/>
      <w:color w:val="auto"/>
      <w:sz w:val="20"/>
      <w:shd w:val="clear" w:color="auto" w:fill="FFFFFF"/>
    </w:rPr>
  </w:style>
  <w:style w:type="character" w:customStyle="1" w:styleId="4MingLiU">
    <w:name w:val="正文文本 (4) + MingLiU"/>
    <w:qFormat/>
    <w:rPr>
      <w:rFonts w:ascii="MingLiU" w:eastAsia="MingLiU" w:hAnsi="MingLiU" w:cs="MingLiU"/>
      <w:color w:val="000000"/>
      <w:spacing w:val="30"/>
      <w:w w:val="100"/>
      <w:position w:val="0"/>
      <w:sz w:val="28"/>
      <w:szCs w:val="28"/>
      <w:u w:val="none"/>
      <w:shd w:val="clear" w:color="auto" w:fill="FFFFFF"/>
      <w:lang w:val="zh-TW" w:eastAsia="zh-TW" w:bidi="zh-TW"/>
    </w:rPr>
  </w:style>
  <w:style w:type="character" w:customStyle="1" w:styleId="afffffffffffffffffffffffffffffffffffffffff">
    <w:name w:val="样式 五号"/>
    <w:semiHidden/>
    <w:qFormat/>
    <w:rPr>
      <w:rFonts w:ascii="宋体" w:eastAsia="宋体" w:hAnsi="宋体"/>
      <w:kern w:val="2"/>
      <w:sz w:val="24"/>
      <w:szCs w:val="24"/>
      <w:shd w:val="clear" w:color="auto" w:fill="FFFFFF"/>
      <w:lang w:val="en-US" w:eastAsia="zh-CN" w:bidi="ar-SA"/>
    </w:rPr>
  </w:style>
  <w:style w:type="character" w:customStyle="1" w:styleId="Charffffffffffffe">
    <w:name w:val="图表标题 Char"/>
    <w:qFormat/>
    <w:rPr>
      <w:rFonts w:eastAsia="黑体" w:cs="Arial"/>
      <w:sz w:val="22"/>
      <w:szCs w:val="22"/>
      <w:shd w:val="clear" w:color="auto" w:fill="FFFFFF"/>
      <w:lang w:eastAsia="en-US" w:bidi="en-US"/>
    </w:rPr>
  </w:style>
  <w:style w:type="character" w:customStyle="1" w:styleId="foChar2">
    <w:name w:val="fo Char2"/>
    <w:qFormat/>
    <w:rPr>
      <w:rFonts w:eastAsia="宋体"/>
      <w:kern w:val="2"/>
      <w:sz w:val="18"/>
      <w:szCs w:val="18"/>
      <w:shd w:val="clear" w:color="auto" w:fill="FFFFFF"/>
      <w:lang w:val="en-US" w:eastAsia="zh-CN" w:bidi="ar-SA"/>
    </w:rPr>
  </w:style>
  <w:style w:type="character" w:customStyle="1" w:styleId="2ffffffff3">
    <w:name w:val="明显强调2"/>
    <w:qFormat/>
    <w:rPr>
      <w:b/>
      <w:i/>
      <w:sz w:val="24"/>
      <w:szCs w:val="24"/>
      <w:u w:val="single"/>
      <w:shd w:val="clear" w:color="auto" w:fill="FFFFFF"/>
    </w:rPr>
  </w:style>
  <w:style w:type="character" w:customStyle="1" w:styleId="01Char3">
    <w:name w:val="正文01 Char"/>
    <w:qFormat/>
    <w:rPr>
      <w:rFonts w:ascii="Arial" w:hAnsi="Arial" w:cs="Arial"/>
      <w:sz w:val="24"/>
      <w:shd w:val="clear" w:color="auto" w:fill="FFFFFF"/>
    </w:rPr>
  </w:style>
  <w:style w:type="character" w:customStyle="1" w:styleId="Char1fff6">
    <w:name w:val="表格居中 Char1"/>
    <w:qFormat/>
    <w:rPr>
      <w:rFonts w:ascii="宋体" w:hAnsi="宋体"/>
      <w:bCs/>
      <w:szCs w:val="21"/>
      <w:shd w:val="clear" w:color="auto" w:fill="FFFFFF"/>
      <w:lang w:val="en-US" w:eastAsia="zh-CN" w:bidi="ar-SA"/>
    </w:rPr>
  </w:style>
  <w:style w:type="character" w:customStyle="1" w:styleId="4CharChar3">
    <w:name w:val="4 Char Char"/>
    <w:qFormat/>
    <w:rPr>
      <w:rFonts w:eastAsia="方正仿宋简体" w:cs="Times New Roman"/>
      <w:w w:val="80"/>
      <w:kern w:val="2"/>
      <w:sz w:val="24"/>
      <w:szCs w:val="24"/>
      <w:shd w:val="clear" w:color="auto" w:fill="FFFFFF"/>
      <w:lang w:val="en-US" w:eastAsia="zh-CN" w:bidi="ar-SA"/>
    </w:rPr>
  </w:style>
  <w:style w:type="character" w:customStyle="1" w:styleId="Char3a">
    <w:name w:val="正文文本缩进 Char3"/>
    <w:qFormat/>
    <w:rPr>
      <w:rFonts w:eastAsia="宋体" w:cs="Times New Roman"/>
      <w:kern w:val="2"/>
      <w:sz w:val="24"/>
      <w:szCs w:val="24"/>
      <w:shd w:val="clear" w:color="auto" w:fill="FFFFFF"/>
      <w:lang w:val="en-US" w:eastAsia="zh-CN" w:bidi="ar-SA"/>
    </w:rPr>
  </w:style>
  <w:style w:type="character" w:customStyle="1" w:styleId="javascript1">
    <w:name w:val="javascript1"/>
    <w:qFormat/>
    <w:rPr>
      <w:rFonts w:ascii="Tahoma" w:hAnsi="Tahoma" w:cs="Tahoma" w:hint="default"/>
      <w:sz w:val="18"/>
      <w:szCs w:val="18"/>
      <w:shd w:val="clear" w:color="auto" w:fill="FFFFFF"/>
    </w:rPr>
  </w:style>
  <w:style w:type="character" w:customStyle="1" w:styleId="wz">
    <w:name w:val="wz"/>
    <w:qFormat/>
    <w:rPr>
      <w:rFonts w:eastAsia="宋体"/>
      <w:color w:val="000000"/>
      <w:kern w:val="2"/>
      <w:sz w:val="21"/>
      <w:szCs w:val="21"/>
      <w:shd w:val="clear" w:color="auto" w:fill="FFFFFF"/>
      <w:lang w:val="en-US" w:eastAsia="zh-CN" w:bidi="ar-SA"/>
    </w:rPr>
  </w:style>
  <w:style w:type="character" w:customStyle="1" w:styleId="Charfffffff2">
    <w:name w:val="文章正文 Char"/>
    <w:link w:val="affffffffffffffffff6"/>
    <w:qFormat/>
    <w:rPr>
      <w:rFonts w:ascii="Calibri" w:eastAsia="Times New Roman" w:hAnsi="Calibri"/>
      <w:kern w:val="2"/>
      <w:sz w:val="24"/>
      <w:szCs w:val="22"/>
    </w:rPr>
  </w:style>
  <w:style w:type="character" w:customStyle="1" w:styleId="2Heading2ArialNarrowGB2312Char">
    <w:name w:val="标题 2_Heading 2 + (西文) Arial Narrow (中文) 仿宋_GB2312 四号 + (中文... Char"/>
    <w:qFormat/>
    <w:rPr>
      <w:rFonts w:ascii="Arial Narrow" w:eastAsia="仿宋_GB2312" w:hAnsi="Arial Narrow" w:hint="default"/>
      <w:b/>
      <w:bCs/>
      <w:kern w:val="2"/>
      <w:sz w:val="28"/>
      <w:szCs w:val="28"/>
      <w:shd w:val="clear" w:color="auto" w:fill="FFFFFF"/>
      <w:lang w:eastAsia="zh-CN" w:bidi="ar-SA"/>
    </w:rPr>
  </w:style>
  <w:style w:type="character" w:customStyle="1" w:styleId="2CharChar10">
    <w:name w:val="正文文字 2 Char Char1"/>
    <w:qFormat/>
    <w:rPr>
      <w:rFonts w:eastAsia="宋体"/>
      <w:kern w:val="2"/>
      <w:sz w:val="21"/>
      <w:szCs w:val="24"/>
      <w:shd w:val="clear" w:color="auto" w:fill="FFFFFF"/>
      <w:lang w:val="en-US" w:eastAsia="zh-CN" w:bidi="ar-SA"/>
    </w:rPr>
  </w:style>
  <w:style w:type="character" w:customStyle="1" w:styleId="f9wen1">
    <w:name w:val="f9wen1"/>
    <w:qFormat/>
    <w:rPr>
      <w:spacing w:val="12"/>
      <w:sz w:val="18"/>
      <w:szCs w:val="18"/>
      <w:u w:val="none"/>
      <w:shd w:val="clear" w:color="auto" w:fill="FFFFFF"/>
    </w:rPr>
  </w:style>
  <w:style w:type="character" w:customStyle="1" w:styleId="HTML21">
    <w:name w:val="HTML 预设格式 字符2"/>
    <w:uiPriority w:val="99"/>
    <w:qFormat/>
    <w:rPr>
      <w:rFonts w:ascii="Courier New" w:hAnsi="Courier New" w:cs="Courier New"/>
      <w:sz w:val="20"/>
      <w:szCs w:val="20"/>
      <w:shd w:val="clear" w:color="auto" w:fill="FFFFFF"/>
    </w:rPr>
  </w:style>
  <w:style w:type="character" w:customStyle="1" w:styleId="style810">
    <w:name w:val="style81"/>
    <w:qFormat/>
    <w:rPr>
      <w:sz w:val="24"/>
      <w:szCs w:val="24"/>
      <w:shd w:val="clear" w:color="auto" w:fill="FFFFFF"/>
    </w:rPr>
  </w:style>
  <w:style w:type="character" w:customStyle="1" w:styleId="Charfffffff3">
    <w:name w:val="样式 表格 + 黑色 Char"/>
    <w:link w:val="affffffffffffffffff7"/>
    <w:qFormat/>
    <w:rPr>
      <w:color w:val="000000"/>
      <w:spacing w:val="-4"/>
      <w:szCs w:val="21"/>
    </w:rPr>
  </w:style>
  <w:style w:type="character" w:customStyle="1" w:styleId="CharCharCharChard">
    <w:name w:val="正文格式 Char Char Char Char"/>
    <w:qFormat/>
    <w:rPr>
      <w:rFonts w:ascii="Times New Roman" w:eastAsia="宋体" w:hAnsi="Times New Roman" w:cs="宋体"/>
      <w:spacing w:val="4"/>
      <w:sz w:val="24"/>
      <w:szCs w:val="24"/>
      <w:shd w:val="clear" w:color="auto" w:fill="FFFFFF"/>
    </w:rPr>
  </w:style>
  <w:style w:type="character" w:customStyle="1" w:styleId="3CharCharCharCharChar0">
    <w:name w:val="样式 标题 3 + 宋体 Char Char Char Char Char"/>
    <w:qFormat/>
    <w:rPr>
      <w:rFonts w:ascii="宋体" w:eastAsia="宋体" w:hAnsi="宋体" w:cs="宋体"/>
      <w:b/>
      <w:bCs/>
      <w:sz w:val="32"/>
      <w:szCs w:val="32"/>
      <w:shd w:val="clear" w:color="auto" w:fill="FFFFFF"/>
    </w:rPr>
  </w:style>
  <w:style w:type="character" w:customStyle="1" w:styleId="CharChar1d">
    <w:name w:val="四 Char Char1"/>
    <w:qFormat/>
    <w:rPr>
      <w:rFonts w:eastAsia="宋体"/>
      <w:kern w:val="2"/>
      <w:sz w:val="21"/>
      <w:shd w:val="clear" w:color="auto" w:fill="FFFFFF"/>
      <w:lang w:val="en-US" w:eastAsia="zh-CN"/>
    </w:rPr>
  </w:style>
  <w:style w:type="character" w:customStyle="1" w:styleId="5Char6">
    <w:name w:val="5级项 Char"/>
    <w:link w:val="5f6"/>
    <w:qFormat/>
    <w:rPr>
      <w:sz w:val="24"/>
    </w:rPr>
  </w:style>
  <w:style w:type="character" w:customStyle="1" w:styleId="HTMLDefinition1">
    <w:name w:val="HTML Definition1"/>
    <w:qFormat/>
    <w:rPr>
      <w:rFonts w:ascii="宋体" w:eastAsia="宋体" w:hAnsi="宋体" w:cs="Courier New"/>
      <w:i/>
      <w:iCs/>
      <w:kern w:val="2"/>
      <w:sz w:val="32"/>
      <w:szCs w:val="32"/>
      <w:shd w:val="clear" w:color="auto" w:fill="FFFFFF"/>
      <w:lang w:val="en-US" w:eastAsia="zh-CN"/>
    </w:rPr>
  </w:style>
  <w:style w:type="character" w:customStyle="1" w:styleId="1CharChard">
    <w:name w:val="正文文字1 Char Char"/>
    <w:qFormat/>
    <w:rPr>
      <w:rFonts w:eastAsia="宋体"/>
      <w:kern w:val="2"/>
      <w:sz w:val="21"/>
      <w:szCs w:val="24"/>
      <w:shd w:val="clear" w:color="auto" w:fill="FFFFFF"/>
      <w:lang w:val="en-US" w:eastAsia="zh-CN" w:bidi="ar-SA"/>
    </w:rPr>
  </w:style>
  <w:style w:type="character" w:customStyle="1" w:styleId="albumcount2">
    <w:name w:val="albumcount2"/>
    <w:qFormat/>
    <w:rPr>
      <w:shd w:val="clear" w:color="auto" w:fill="FFFFFF"/>
    </w:rPr>
  </w:style>
  <w:style w:type="character" w:customStyle="1" w:styleId="4Char3">
    <w:name w:val="4个字符 Char"/>
    <w:link w:val="4f4"/>
    <w:qFormat/>
    <w:rPr>
      <w:rFonts w:ascii="宋体" w:hAnsi="宋体"/>
      <w:b/>
      <w:sz w:val="24"/>
      <w:szCs w:val="28"/>
    </w:rPr>
  </w:style>
  <w:style w:type="character" w:customStyle="1" w:styleId="-4Char">
    <w:name w:val="正文-4 Char"/>
    <w:link w:val="-40"/>
    <w:qFormat/>
    <w:rPr>
      <w:rFonts w:ascii="宋体" w:hAnsi="宋体"/>
      <w:b/>
      <w:sz w:val="24"/>
      <w:szCs w:val="28"/>
    </w:rPr>
  </w:style>
  <w:style w:type="character" w:customStyle="1" w:styleId="afffffffffffffffffffffffffffffffffffffffff0">
    <w:name w:val="消息标题标签"/>
    <w:qFormat/>
    <w:rPr>
      <w:rFonts w:ascii="Arial Black" w:eastAsia="黑体" w:hAnsi="Arial Black"/>
      <w:b/>
      <w:sz w:val="18"/>
      <w:shd w:val="clear" w:color="auto" w:fill="FFFFFF"/>
      <w:lang w:eastAsia="zh-CN"/>
    </w:rPr>
  </w:style>
  <w:style w:type="character" w:customStyle="1" w:styleId="4Char4">
    <w:name w:val="大华农4级标题 Char"/>
    <w:link w:val="4f5"/>
    <w:qFormat/>
    <w:rPr>
      <w:b/>
      <w:bCs/>
      <w:sz w:val="24"/>
    </w:rPr>
  </w:style>
  <w:style w:type="character" w:customStyle="1" w:styleId="Charfffffffffffff">
    <w:name w:val="码头正文 Char"/>
    <w:qFormat/>
    <w:rPr>
      <w:rFonts w:ascii="宋体"/>
      <w:bCs/>
      <w:sz w:val="24"/>
      <w:szCs w:val="24"/>
      <w:u w:val="none" w:color="000000"/>
      <w:shd w:val="clear" w:color="auto" w:fill="FFFFFF"/>
    </w:rPr>
  </w:style>
  <w:style w:type="character" w:customStyle="1" w:styleId="CharChar1e">
    <w:name w:val="正文缩进 Char Char1"/>
    <w:qFormat/>
    <w:rPr>
      <w:rFonts w:eastAsia="宋体"/>
      <w:color w:val="000000"/>
      <w:kern w:val="2"/>
      <w:sz w:val="28"/>
      <w:szCs w:val="21"/>
      <w:shd w:val="clear" w:color="auto" w:fill="FFFFFF"/>
      <w:lang w:val="en-US" w:eastAsia="zh-CN" w:bidi="ar-SA"/>
    </w:rPr>
  </w:style>
  <w:style w:type="character" w:customStyle="1" w:styleId="FontStyle391">
    <w:name w:val="Font Style391"/>
    <w:qFormat/>
    <w:rPr>
      <w:rFonts w:ascii="宋体" w:eastAsia="宋体" w:cs="宋体"/>
      <w:w w:val="350"/>
      <w:sz w:val="12"/>
      <w:szCs w:val="12"/>
      <w:shd w:val="clear" w:color="auto" w:fill="FFFFFF"/>
    </w:rPr>
  </w:style>
  <w:style w:type="character" w:customStyle="1" w:styleId="1Chara">
    <w:name w:val="编号1 Char"/>
    <w:link w:val="1ff6"/>
    <w:qFormat/>
    <w:rPr>
      <w:rFonts w:ascii="Calibri" w:hAnsi="Calibri"/>
      <w:kern w:val="2"/>
      <w:sz w:val="28"/>
      <w:szCs w:val="24"/>
    </w:rPr>
  </w:style>
  <w:style w:type="character" w:customStyle="1" w:styleId="ef21">
    <w:name w:val="ef21"/>
    <w:qFormat/>
    <w:rPr>
      <w:rFonts w:ascii="Verdana" w:hAnsi="Verdana" w:hint="default"/>
      <w:sz w:val="18"/>
      <w:szCs w:val="18"/>
      <w:shd w:val="clear" w:color="auto" w:fill="FFFFFF"/>
    </w:rPr>
  </w:style>
  <w:style w:type="character" w:customStyle="1" w:styleId="17pt">
    <w:name w:val="表格标题 + 17 pt"/>
    <w:qFormat/>
    <w:rPr>
      <w:rFonts w:ascii="Arial Unicode MS" w:eastAsia="Arial Unicode MS" w:hAnsi="Arial Unicode MS"/>
      <w:color w:val="000000"/>
      <w:spacing w:val="0"/>
      <w:w w:val="100"/>
      <w:position w:val="0"/>
      <w:sz w:val="34"/>
      <w:szCs w:val="34"/>
      <w:shd w:val="clear" w:color="auto" w:fill="FFFFFF"/>
      <w:lang w:bidi="ar-SA"/>
    </w:rPr>
  </w:style>
  <w:style w:type="character" w:customStyle="1" w:styleId="CharCharCharfb">
    <w:name w:val="表格文字 Char Char Char"/>
    <w:qFormat/>
    <w:rPr>
      <w:rFonts w:ascii="Times New Roman" w:hAnsi="Times New Roman"/>
      <w:spacing w:val="8"/>
      <w:sz w:val="21"/>
      <w:szCs w:val="21"/>
      <w:shd w:val="clear" w:color="auto" w:fill="FFFFFF"/>
    </w:rPr>
  </w:style>
  <w:style w:type="character" w:customStyle="1" w:styleId="f14l131">
    <w:name w:val="f14l131"/>
    <w:qFormat/>
    <w:rPr>
      <w:rFonts w:cs="Times New Roman"/>
      <w:sz w:val="21"/>
      <w:szCs w:val="21"/>
      <w:shd w:val="clear" w:color="auto" w:fill="FFFFFF"/>
    </w:rPr>
  </w:style>
  <w:style w:type="character" w:customStyle="1" w:styleId="SymbolChar">
    <w:name w:val="样式 表格文字居中 + (符号) Symbol Char"/>
    <w:qFormat/>
    <w:rPr>
      <w:rFonts w:ascii="宋体" w:eastAsia="宋体" w:hAnsi="宋体" w:cs="Times New Roman"/>
      <w:kern w:val="2"/>
      <w:sz w:val="24"/>
      <w:szCs w:val="22"/>
      <w:shd w:val="clear" w:color="auto" w:fill="FFFFFF"/>
    </w:rPr>
  </w:style>
  <w:style w:type="character" w:customStyle="1" w:styleId="03Char">
    <w:name w:val="03 Char"/>
    <w:qFormat/>
    <w:rPr>
      <w:rFonts w:ascii="宋体" w:hAnsi="Courier New"/>
      <w:sz w:val="24"/>
      <w:szCs w:val="24"/>
      <w:shd w:val="clear" w:color="auto" w:fill="FFFFFF"/>
    </w:rPr>
  </w:style>
  <w:style w:type="character" w:customStyle="1" w:styleId="CharCharfffff4">
    <w:name w:val="正文文本 Char Char"/>
    <w:qFormat/>
    <w:rPr>
      <w:rFonts w:eastAsia="宋体" w:cs="Times New Roman"/>
      <w:kern w:val="2"/>
      <w:sz w:val="21"/>
      <w:shd w:val="clear" w:color="auto" w:fill="FFFFFF"/>
      <w:lang w:val="en-US" w:eastAsia="zh-CN" w:bidi="ar-SA"/>
    </w:rPr>
  </w:style>
  <w:style w:type="character" w:customStyle="1" w:styleId="AChar1">
    <w:name w:val="标题四A Char"/>
    <w:link w:val="Affffffffff8"/>
    <w:qFormat/>
    <w:rPr>
      <w:b/>
      <w:bCs/>
      <w:sz w:val="24"/>
      <w:szCs w:val="24"/>
    </w:rPr>
  </w:style>
  <w:style w:type="character" w:customStyle="1" w:styleId="Char1fff7">
    <w:name w:val="脚注文本 Char1"/>
    <w:qFormat/>
    <w:rPr>
      <w:kern w:val="2"/>
      <w:sz w:val="18"/>
      <w:szCs w:val="18"/>
      <w:shd w:val="clear" w:color="auto" w:fill="FFFFFF"/>
    </w:rPr>
  </w:style>
  <w:style w:type="character" w:customStyle="1" w:styleId="bl91">
    <w:name w:val="bl91"/>
    <w:qFormat/>
    <w:rPr>
      <w:color w:val="000000"/>
      <w:sz w:val="18"/>
      <w:szCs w:val="18"/>
      <w:shd w:val="clear" w:color="auto" w:fill="FFFFFF"/>
    </w:rPr>
  </w:style>
  <w:style w:type="character" w:customStyle="1" w:styleId="cucd-0Char">
    <w:name w:val="cucd-0 Char"/>
    <w:link w:val="cucd-0"/>
    <w:qFormat/>
    <w:rPr>
      <w:sz w:val="24"/>
      <w:szCs w:val="24"/>
    </w:rPr>
  </w:style>
  <w:style w:type="character" w:customStyle="1" w:styleId="0pt0">
    <w:name w:val="正文文本 + 间距 0 pt"/>
    <w:qFormat/>
    <w:rPr>
      <w:rFonts w:ascii="Arial Unicode MS" w:eastAsia="Arial Unicode MS" w:hAnsi="Arial Unicode MS" w:cs="Arial Unicode MS"/>
      <w:color w:val="000000"/>
      <w:spacing w:val="-10"/>
      <w:w w:val="100"/>
      <w:position w:val="0"/>
      <w:sz w:val="23"/>
      <w:szCs w:val="23"/>
      <w:u w:val="none"/>
      <w:shd w:val="clear" w:color="auto" w:fill="FFFFFF"/>
      <w:lang w:val="zh-CN" w:bidi="ar-SA"/>
    </w:rPr>
  </w:style>
  <w:style w:type="character" w:customStyle="1" w:styleId="g1">
    <w:name w:val="g1"/>
    <w:qFormat/>
    <w:rPr>
      <w:color w:val="008000"/>
      <w:shd w:val="clear" w:color="auto" w:fill="FFFFFF"/>
    </w:rPr>
  </w:style>
  <w:style w:type="character" w:customStyle="1" w:styleId="HeaderChar">
    <w:name w:val="Header Char"/>
    <w:semiHidden/>
    <w:qFormat/>
    <w:locked/>
    <w:rPr>
      <w:rFonts w:eastAsia="宋体"/>
      <w:kern w:val="2"/>
      <w:sz w:val="18"/>
      <w:szCs w:val="18"/>
      <w:shd w:val="clear" w:color="auto" w:fill="FFFFFF"/>
      <w:lang w:val="en-US" w:eastAsia="zh-CN" w:bidi="ar-SA"/>
    </w:rPr>
  </w:style>
  <w:style w:type="character" w:customStyle="1" w:styleId="HTML30">
    <w:name w:val="HTML 预设格式 字符3"/>
    <w:uiPriority w:val="99"/>
    <w:qFormat/>
    <w:rPr>
      <w:rFonts w:ascii="Courier New" w:hAnsi="Courier New" w:cs="Courier New"/>
      <w:sz w:val="20"/>
      <w:szCs w:val="20"/>
      <w:shd w:val="clear" w:color="auto" w:fill="FFFFFF"/>
    </w:rPr>
  </w:style>
  <w:style w:type="character" w:customStyle="1" w:styleId="Char2fe">
    <w:name w:val="文本 Char2"/>
    <w:qFormat/>
    <w:rPr>
      <w:rFonts w:eastAsia="宋体"/>
      <w:sz w:val="28"/>
      <w:shd w:val="clear" w:color="auto" w:fill="FFFFFF"/>
    </w:rPr>
  </w:style>
  <w:style w:type="character" w:customStyle="1" w:styleId="3CharCharChar2">
    <w:name w:val="正文3 Char Char Char"/>
    <w:qFormat/>
    <w:rPr>
      <w:rFonts w:ascii="宋体" w:eastAsia="宋体" w:hAnsi="宋体"/>
      <w:kern w:val="0"/>
      <w:sz w:val="28"/>
      <w:shd w:val="clear" w:color="auto" w:fill="FFFFFF"/>
      <w:lang w:val="zh-CN"/>
    </w:rPr>
  </w:style>
  <w:style w:type="character" w:customStyle="1" w:styleId="1CharCharCharCharChar1">
    <w:name w:val="标题 1 Char Char Char Char Char1"/>
    <w:qFormat/>
    <w:rPr>
      <w:rFonts w:eastAsia="宋体"/>
      <w:b/>
      <w:bCs/>
      <w:kern w:val="44"/>
      <w:sz w:val="44"/>
      <w:szCs w:val="44"/>
      <w:shd w:val="clear" w:color="auto" w:fill="FFFFFF"/>
      <w:lang w:val="en-US" w:eastAsia="zh-CN" w:bidi="ar-SA"/>
    </w:rPr>
  </w:style>
  <w:style w:type="character" w:customStyle="1" w:styleId="1Charfa">
    <w:name w:val="样式 标题1 Char"/>
    <w:qFormat/>
    <w:locked/>
    <w:rPr>
      <w:rFonts w:ascii="黑体" w:eastAsia="隶书" w:cs="宋体"/>
      <w:b/>
      <w:bCs/>
      <w:sz w:val="32"/>
      <w:szCs w:val="32"/>
      <w:shd w:val="clear" w:color="auto" w:fill="FFFFFF"/>
    </w:rPr>
  </w:style>
  <w:style w:type="character" w:customStyle="1" w:styleId="Char1fff8">
    <w:name w:val="日期 Char1"/>
    <w:uiPriority w:val="99"/>
    <w:qFormat/>
    <w:rPr>
      <w:rFonts w:ascii="Times New Roman" w:eastAsia="宋体" w:hAnsi="Times New Roman" w:cs="Times New Roman" w:hint="default"/>
      <w:szCs w:val="24"/>
      <w:shd w:val="clear" w:color="auto" w:fill="FFFFFF"/>
    </w:rPr>
  </w:style>
  <w:style w:type="character" w:customStyle="1" w:styleId="Char2ff">
    <w:name w:val="第四层条 Char2"/>
    <w:qFormat/>
    <w:rPr>
      <w:rFonts w:eastAsia="宋体"/>
      <w:b/>
      <w:bCs/>
      <w:kern w:val="2"/>
      <w:sz w:val="28"/>
      <w:szCs w:val="28"/>
      <w:shd w:val="clear" w:color="auto" w:fill="FFFFFF"/>
      <w:lang w:val="en-US" w:eastAsia="zh-CN" w:bidi="ar-SA"/>
    </w:rPr>
  </w:style>
  <w:style w:type="character" w:customStyle="1" w:styleId="1fffffffe">
    <w:name w:val="批注框文本 字符1"/>
    <w:qFormat/>
    <w:rPr>
      <w:sz w:val="18"/>
      <w:szCs w:val="18"/>
      <w:shd w:val="clear" w:color="auto" w:fill="FFFFFF"/>
    </w:rPr>
  </w:style>
  <w:style w:type="character" w:customStyle="1" w:styleId="Charfc">
    <w:name w:val="表后空格 Char"/>
    <w:link w:val="affffffffff3"/>
    <w:qFormat/>
    <w:rPr>
      <w:rFonts w:ascii="楷体_GB2312" w:eastAsia="楷体_GB2312" w:hAnsi="楷体_GB2312" w:cs="宋体"/>
      <w:kern w:val="2"/>
      <w:sz w:val="24"/>
      <w:szCs w:val="24"/>
    </w:rPr>
  </w:style>
  <w:style w:type="character" w:customStyle="1" w:styleId="CharChar220">
    <w:name w:val="Char Char22"/>
    <w:semiHidden/>
    <w:qFormat/>
    <w:rPr>
      <w:rFonts w:eastAsia="宋体"/>
      <w:kern w:val="2"/>
      <w:sz w:val="21"/>
      <w:szCs w:val="24"/>
      <w:shd w:val="clear" w:color="auto" w:fill="FFFFFF"/>
      <w:lang w:val="en-US" w:eastAsia="zh-CN" w:bidi="ar-SA"/>
    </w:rPr>
  </w:style>
  <w:style w:type="character" w:customStyle="1" w:styleId="Charfffffffffffff0">
    <w:name w:val="称呼 Char"/>
    <w:qFormat/>
    <w:rPr>
      <w:shd w:val="clear" w:color="auto" w:fill="FFFFFF"/>
    </w:rPr>
  </w:style>
  <w:style w:type="character" w:customStyle="1" w:styleId="001Char1">
    <w:name w:val="正文001 Char1"/>
    <w:qFormat/>
    <w:rPr>
      <w:rFonts w:ascii="Arial" w:eastAsia="宋体" w:hAnsi="Arial" w:cs="Arial"/>
      <w:color w:val="000000"/>
      <w:kern w:val="2"/>
      <w:sz w:val="24"/>
      <w:szCs w:val="21"/>
      <w:shd w:val="clear" w:color="auto" w:fill="FFFFFF"/>
      <w:lang w:val="en-US" w:eastAsia="zh-CN" w:bidi="ar-SA"/>
    </w:rPr>
  </w:style>
  <w:style w:type="character" w:customStyle="1" w:styleId="lh131">
    <w:name w:val="lh131"/>
    <w:qFormat/>
    <w:rPr>
      <w:shd w:val="clear" w:color="auto" w:fill="FFFFFF"/>
    </w:rPr>
  </w:style>
  <w:style w:type="character" w:customStyle="1" w:styleId="6Char10">
    <w:name w:val="标题 6 Char1"/>
    <w:semiHidden/>
    <w:qFormat/>
    <w:rPr>
      <w:rFonts w:ascii="Calibri Light" w:eastAsia="宋体" w:hAnsi="Calibri Light" w:cs="Times New Roman"/>
      <w:b/>
      <w:bCs/>
      <w:kern w:val="2"/>
      <w:sz w:val="24"/>
      <w:szCs w:val="24"/>
      <w:shd w:val="clear" w:color="auto" w:fill="FFFFFF"/>
    </w:rPr>
  </w:style>
  <w:style w:type="character" w:customStyle="1" w:styleId="11f6">
    <w:name w:val="不明显参考11"/>
    <w:qFormat/>
    <w:rPr>
      <w:smallCaps/>
      <w:shd w:val="clear" w:color="auto" w:fill="FFFFFF"/>
    </w:rPr>
  </w:style>
  <w:style w:type="character" w:customStyle="1" w:styleId="41111Char">
    <w:name w:val="样式 标题4 1.1.1.1 Char"/>
    <w:qFormat/>
    <w:locked/>
    <w:rPr>
      <w:rFonts w:hAnsi="宋体" w:cs="宋体"/>
      <w:b/>
      <w:bCs/>
      <w:sz w:val="24"/>
      <w:szCs w:val="24"/>
      <w:shd w:val="clear" w:color="auto" w:fill="FFFFFF"/>
    </w:rPr>
  </w:style>
  <w:style w:type="character" w:customStyle="1" w:styleId="4Char5">
    <w:name w:val="标题4 Char"/>
    <w:link w:val="4f6"/>
    <w:qFormat/>
    <w:rPr>
      <w:rFonts w:ascii="宋体" w:hAnsi="宋体"/>
      <w:snapToGrid w:val="0"/>
      <w:color w:val="000000"/>
      <w:kern w:val="2"/>
      <w:sz w:val="24"/>
      <w:szCs w:val="21"/>
    </w:rPr>
  </w:style>
  <w:style w:type="character" w:customStyle="1" w:styleId="title11">
    <w:name w:val="title11"/>
    <w:qFormat/>
    <w:rPr>
      <w:b/>
      <w:bCs/>
      <w:spacing w:val="360"/>
      <w:sz w:val="23"/>
      <w:szCs w:val="23"/>
      <w:shd w:val="clear" w:color="auto" w:fill="FFFFFF"/>
    </w:rPr>
  </w:style>
  <w:style w:type="character" w:customStyle="1" w:styleId="nfont6">
    <w:name w:val="nfont6"/>
    <w:qFormat/>
    <w:rPr>
      <w:rFonts w:hint="default"/>
      <w:color w:val="FF0000"/>
      <w:spacing w:val="335"/>
      <w:sz w:val="27"/>
      <w:szCs w:val="27"/>
      <w:shd w:val="clear" w:color="auto" w:fill="FFFFFF"/>
    </w:rPr>
  </w:style>
  <w:style w:type="character" w:customStyle="1" w:styleId="CharChar31">
    <w:name w:val="Char Char31"/>
    <w:qFormat/>
    <w:rPr>
      <w:rFonts w:ascii="Times New Roman" w:eastAsia="宋体" w:hAnsi="Times New Roman" w:cs="Times New Roman"/>
      <w:b/>
      <w:bCs/>
      <w:szCs w:val="24"/>
      <w:shd w:val="clear" w:color="auto" w:fill="FFFFFF"/>
    </w:rPr>
  </w:style>
  <w:style w:type="character" w:customStyle="1" w:styleId="YHYChar1">
    <w:name w:val="正文YHY Char"/>
    <w:qFormat/>
    <w:rPr>
      <w:rFonts w:ascii="Times New Roman" w:hAnsi="Times New Roman"/>
      <w:sz w:val="24"/>
      <w:szCs w:val="24"/>
      <w:shd w:val="clear" w:color="auto" w:fill="FFFFFF"/>
    </w:rPr>
  </w:style>
  <w:style w:type="character" w:customStyle="1" w:styleId="SLCONChar">
    <w:name w:val="表内文字 样式 五号 居中 行距: 单倍行距 SL CON Char"/>
    <w:link w:val="SLCON"/>
    <w:qFormat/>
    <w:rPr>
      <w:szCs w:val="21"/>
    </w:rPr>
  </w:style>
  <w:style w:type="character" w:customStyle="1" w:styleId="Charfffffff4">
    <w:name w:val="中文报告书样式 Char"/>
    <w:link w:val="affffffffffffffffff8"/>
    <w:qFormat/>
    <w:rPr>
      <w:kern w:val="24"/>
      <w:sz w:val="24"/>
    </w:rPr>
  </w:style>
  <w:style w:type="character" w:customStyle="1" w:styleId="EmailStyle442">
    <w:name w:val="EmailStyle442"/>
    <w:qFormat/>
    <w:rPr>
      <w:rFonts w:ascii="Arial" w:eastAsia="宋体" w:hAnsi="Arial" w:cs="Arial"/>
      <w:color w:val="auto"/>
      <w:sz w:val="20"/>
      <w:shd w:val="clear" w:color="auto" w:fill="FFFFFF"/>
    </w:rPr>
  </w:style>
  <w:style w:type="character" w:customStyle="1" w:styleId="21Char1">
    <w:name w:val="正文文字缩进 21 Char1"/>
    <w:qFormat/>
    <w:rPr>
      <w:rFonts w:ascii="Times New Roman" w:hAnsi="Times New Roman"/>
      <w:kern w:val="2"/>
      <w:sz w:val="21"/>
      <w:szCs w:val="24"/>
      <w:shd w:val="clear" w:color="auto" w:fill="FFFFFF"/>
    </w:rPr>
  </w:style>
  <w:style w:type="character" w:customStyle="1" w:styleId="13pt">
    <w:name w:val="标题 #1 + 间距 3 pt"/>
    <w:qFormat/>
    <w:rPr>
      <w:rFonts w:ascii="MingLiU" w:eastAsia="MingLiU" w:hAnsi="MingLiU" w:cs="MingLiU"/>
      <w:color w:val="000000"/>
      <w:spacing w:val="60"/>
      <w:w w:val="100"/>
      <w:position w:val="0"/>
      <w:sz w:val="36"/>
      <w:szCs w:val="36"/>
      <w:u w:val="none"/>
      <w:shd w:val="clear" w:color="auto" w:fill="FFFFFF"/>
      <w:lang w:val="zh-TW" w:eastAsia="zh-TW" w:bidi="zh-TW"/>
    </w:rPr>
  </w:style>
  <w:style w:type="character" w:customStyle="1" w:styleId="announ-title">
    <w:name w:val="announ-title"/>
    <w:qFormat/>
    <w:rPr>
      <w:shd w:val="clear" w:color="auto" w:fill="FFFFFF"/>
    </w:rPr>
  </w:style>
  <w:style w:type="character" w:customStyle="1" w:styleId="Char2ff0">
    <w:name w:val="表号 Char2"/>
    <w:qFormat/>
    <w:rPr>
      <w:rFonts w:ascii="黑体" w:eastAsia="黑体" w:hAnsi="Times New Roman"/>
      <w:shd w:val="clear" w:color="auto" w:fill="FFFFFF"/>
    </w:rPr>
  </w:style>
  <w:style w:type="character" w:customStyle="1" w:styleId="CharChar162">
    <w:name w:val="Char Char162"/>
    <w:qFormat/>
    <w:rPr>
      <w:rFonts w:eastAsia="宋体"/>
      <w:kern w:val="2"/>
      <w:sz w:val="21"/>
      <w:szCs w:val="24"/>
      <w:shd w:val="clear" w:color="auto" w:fill="FFFFFF"/>
      <w:lang w:val="en-US" w:eastAsia="zh-CN" w:bidi="ar-SA"/>
    </w:rPr>
  </w:style>
  <w:style w:type="character" w:customStyle="1" w:styleId="1Char1">
    <w:name w:val="正文1 Char1"/>
    <w:link w:val="110"/>
    <w:qFormat/>
    <w:rPr>
      <w:sz w:val="24"/>
    </w:rPr>
  </w:style>
  <w:style w:type="character" w:customStyle="1" w:styleId="1ffffffff">
    <w:name w:val="标题 字符1"/>
    <w:qFormat/>
    <w:locked/>
    <w:rPr>
      <w:rFonts w:ascii="Cambria" w:hAnsi="Cambria" w:cs="Times New Roman" w:hint="default"/>
      <w:b/>
      <w:bCs/>
      <w:sz w:val="32"/>
      <w:szCs w:val="32"/>
      <w:shd w:val="clear" w:color="auto" w:fill="FFFFFF"/>
    </w:rPr>
  </w:style>
  <w:style w:type="character" w:customStyle="1" w:styleId="model11">
    <w:name w:val="model11"/>
    <w:qFormat/>
    <w:rPr>
      <w:rFonts w:ascii="宋体" w:eastAsia="宋体" w:hAnsi="宋体" w:hint="eastAsia"/>
      <w:sz w:val="18"/>
      <w:szCs w:val="18"/>
      <w:u w:val="none"/>
      <w:shd w:val="clear" w:color="auto" w:fill="FFFFFF"/>
    </w:rPr>
  </w:style>
  <w:style w:type="character" w:customStyle="1" w:styleId="afffffffffffffffffffffffffffffffffffffffff1">
    <w:name w:val="页眉或页脚"/>
    <w:qFormat/>
    <w:rPr>
      <w:rFonts w:ascii="MingLiU" w:eastAsia="MingLiU" w:hAnsi="MingLiU" w:cs="MingLiU"/>
      <w:color w:val="000000"/>
      <w:spacing w:val="20"/>
      <w:w w:val="100"/>
      <w:position w:val="0"/>
      <w:sz w:val="22"/>
      <w:szCs w:val="22"/>
      <w:u w:val="none"/>
      <w:shd w:val="clear" w:color="auto" w:fill="FFFFFF"/>
      <w:lang w:val="zh-TW" w:eastAsia="zh-TW" w:bidi="zh-TW"/>
    </w:rPr>
  </w:style>
  <w:style w:type="character" w:customStyle="1" w:styleId="730">
    <w:name w:val="标题 7 字符3"/>
    <w:uiPriority w:val="9"/>
    <w:qFormat/>
    <w:rPr>
      <w:b/>
      <w:bCs/>
      <w:sz w:val="24"/>
      <w:szCs w:val="24"/>
      <w:shd w:val="clear" w:color="auto" w:fill="FFFFFF"/>
    </w:rPr>
  </w:style>
  <w:style w:type="character" w:customStyle="1" w:styleId="high1">
    <w:name w:val="high1"/>
    <w:qFormat/>
    <w:rPr>
      <w:sz w:val="18"/>
      <w:szCs w:val="18"/>
      <w:shd w:val="clear" w:color="auto" w:fill="FFFFFF"/>
    </w:rPr>
  </w:style>
  <w:style w:type="character" w:customStyle="1" w:styleId="Charfffffffffffff1">
    <w:name w:val="正式表标题 Char"/>
    <w:semiHidden/>
    <w:qFormat/>
    <w:rPr>
      <w:rFonts w:ascii="黑体" w:eastAsia="黑体" w:hAnsi="黑体"/>
      <w:szCs w:val="24"/>
      <w:shd w:val="clear" w:color="auto" w:fill="FFFFFF"/>
    </w:rPr>
  </w:style>
  <w:style w:type="character" w:customStyle="1" w:styleId="CharCharCharCharCharCharCharCharCharChar5">
    <w:name w:val="标题 Char Char Char Char Char Char Char Char Char Char"/>
    <w:qFormat/>
    <w:rPr>
      <w:rFonts w:ascii="Arial" w:eastAsia="宋体" w:hAnsi="Arial" w:cs="Arial"/>
      <w:b/>
      <w:bCs/>
      <w:kern w:val="2"/>
      <w:sz w:val="32"/>
      <w:szCs w:val="32"/>
      <w:shd w:val="clear" w:color="auto" w:fill="FFFFFF"/>
      <w:lang w:val="en-US" w:eastAsia="zh-CN" w:bidi="ar-SA"/>
    </w:rPr>
  </w:style>
  <w:style w:type="character" w:customStyle="1" w:styleId="Char1fff9">
    <w:name w:val="明显引用 Char1"/>
    <w:uiPriority w:val="30"/>
    <w:qFormat/>
    <w:rPr>
      <w:b/>
      <w:bCs/>
      <w:i/>
      <w:iCs/>
      <w:color w:val="4F81BD"/>
      <w:kern w:val="2"/>
      <w:sz w:val="21"/>
      <w:szCs w:val="22"/>
      <w:shd w:val="clear" w:color="auto" w:fill="FFFFFF"/>
    </w:rPr>
  </w:style>
  <w:style w:type="character" w:customStyle="1" w:styleId="afffffffffffffffffffffffffffffffffffffffff2">
    <w:name w:val="茂名 表格内容"/>
    <w:qFormat/>
    <w:rPr>
      <w:rFonts w:ascii="Symbol" w:eastAsia="微软雅黑" w:hAnsi="Symbol"/>
      <w:sz w:val="21"/>
      <w:szCs w:val="21"/>
      <w:shd w:val="clear" w:color="auto" w:fill="FFFFFF"/>
    </w:rPr>
  </w:style>
  <w:style w:type="character" w:customStyle="1" w:styleId="CharChar231">
    <w:name w:val="Char Char231"/>
    <w:qFormat/>
    <w:rPr>
      <w:rFonts w:ascii="宋体" w:eastAsia="宋体" w:hAnsi="Times New Roman" w:cs="Times New Roman"/>
      <w:szCs w:val="20"/>
      <w:shd w:val="clear" w:color="auto" w:fill="FFFFFF"/>
    </w:rPr>
  </w:style>
  <w:style w:type="character" w:customStyle="1" w:styleId="Char2ff1">
    <w:name w:val="信息标题 Char2"/>
    <w:uiPriority w:val="99"/>
    <w:semiHidden/>
    <w:qFormat/>
    <w:rPr>
      <w:rFonts w:ascii="Cambria" w:eastAsia="宋体" w:hAnsi="Cambria" w:cs="Times New Roman"/>
      <w:sz w:val="24"/>
      <w:szCs w:val="24"/>
      <w:shd w:val="pct20" w:color="auto" w:fill="auto"/>
    </w:rPr>
  </w:style>
  <w:style w:type="character" w:customStyle="1" w:styleId="HTMLVariable1">
    <w:name w:val="HTML Variable1"/>
    <w:qFormat/>
    <w:rPr>
      <w:rFonts w:ascii="宋体" w:eastAsia="宋体" w:hAnsi="宋体" w:cs="Courier New"/>
      <w:i/>
      <w:iCs/>
      <w:kern w:val="2"/>
      <w:sz w:val="32"/>
      <w:szCs w:val="32"/>
      <w:shd w:val="clear" w:color="auto" w:fill="FFFFFF"/>
      <w:lang w:val="en-US" w:eastAsia="zh-CN"/>
    </w:rPr>
  </w:style>
  <w:style w:type="character" w:customStyle="1" w:styleId="-OPCCChar">
    <w:name w:val="图-题注（OPCC） Char"/>
    <w:qFormat/>
    <w:rPr>
      <w:rFonts w:eastAsia="黑体" w:cs="宋体"/>
      <w:sz w:val="24"/>
      <w:szCs w:val="24"/>
      <w:shd w:val="clear" w:color="auto" w:fill="FFFFFF"/>
    </w:rPr>
  </w:style>
  <w:style w:type="character" w:customStyle="1" w:styleId="CharChar32">
    <w:name w:val="Char Char32"/>
    <w:semiHidden/>
    <w:qFormat/>
    <w:rPr>
      <w:rFonts w:ascii="Times New Roman" w:eastAsia="宋体" w:hAnsi="Times New Roman" w:cs="Times New Roman"/>
      <w:szCs w:val="24"/>
      <w:shd w:val="clear" w:color="auto" w:fill="FFFFFF"/>
    </w:rPr>
  </w:style>
  <w:style w:type="character" w:customStyle="1" w:styleId="EmailStyle489">
    <w:name w:val="EmailStyle489"/>
    <w:qFormat/>
    <w:rPr>
      <w:rFonts w:ascii="Arial" w:eastAsia="宋体" w:hAnsi="Arial" w:cs="Arial"/>
      <w:color w:val="auto"/>
      <w:sz w:val="20"/>
      <w:shd w:val="clear" w:color="auto" w:fill="FFFFFF"/>
    </w:rPr>
  </w:style>
  <w:style w:type="character" w:customStyle="1" w:styleId="song241">
    <w:name w:val="song241"/>
    <w:qFormat/>
    <w:rPr>
      <w:rFonts w:cs="Times New Roman"/>
      <w:shd w:val="clear" w:color="auto" w:fill="FFFFFF"/>
    </w:rPr>
  </w:style>
  <w:style w:type="character" w:customStyle="1" w:styleId="3Chard">
    <w:name w:val="样式 标题 3 + 自动设置 Char"/>
    <w:qFormat/>
    <w:rPr>
      <w:rFonts w:ascii="Times New Roman" w:hAnsi="Times New Roman"/>
      <w:b/>
      <w:color w:val="0000FF"/>
      <w:sz w:val="28"/>
      <w:szCs w:val="28"/>
      <w:shd w:val="clear" w:color="auto" w:fill="FFFFFF"/>
    </w:rPr>
  </w:style>
  <w:style w:type="character" w:customStyle="1" w:styleId="-1pt">
    <w:name w:val="正文文本 + 间距 -1 pt"/>
    <w:qFormat/>
    <w:rPr>
      <w:rFonts w:ascii="Arial Unicode MS" w:eastAsia="Arial Unicode MS" w:hAnsi="Arial Unicode MS"/>
      <w:color w:val="000000"/>
      <w:spacing w:val="-30"/>
      <w:w w:val="100"/>
      <w:position w:val="0"/>
      <w:sz w:val="23"/>
      <w:szCs w:val="23"/>
      <w:shd w:val="clear" w:color="auto" w:fill="FFFFFF"/>
      <w:lang w:val="zh-CN" w:bidi="ar-SA"/>
    </w:rPr>
  </w:style>
  <w:style w:type="character" w:customStyle="1" w:styleId="822">
    <w:name w:val="标题 8 字符2"/>
    <w:uiPriority w:val="9"/>
    <w:qFormat/>
    <w:rPr>
      <w:rFonts w:ascii="Cambria" w:eastAsia="宋体" w:hAnsi="Cambria" w:cs="Times New Roman"/>
      <w:sz w:val="24"/>
      <w:szCs w:val="24"/>
      <w:shd w:val="clear" w:color="auto" w:fill="FFFFFF"/>
    </w:rPr>
  </w:style>
  <w:style w:type="character" w:customStyle="1" w:styleId="HTMLChar20">
    <w:name w:val="HTML 预设格式 Char2"/>
    <w:uiPriority w:val="99"/>
    <w:semiHidden/>
    <w:qFormat/>
    <w:rPr>
      <w:rFonts w:ascii="Courier New" w:eastAsia="宋体" w:hAnsi="Courier New" w:cs="Courier New"/>
      <w:sz w:val="20"/>
      <w:szCs w:val="20"/>
      <w:shd w:val="clear" w:color="auto" w:fill="FFFFFF"/>
    </w:rPr>
  </w:style>
  <w:style w:type="character" w:customStyle="1" w:styleId="pt91">
    <w:name w:val="pt91"/>
    <w:qFormat/>
    <w:rPr>
      <w:rFonts w:ascii="ˎ̥" w:hAnsi="ˎ̥" w:cs="Times New Roman" w:hint="default"/>
      <w:color w:val="000000"/>
      <w:sz w:val="18"/>
      <w:szCs w:val="18"/>
      <w:shd w:val="clear" w:color="auto" w:fill="FFFFFF"/>
    </w:rPr>
  </w:style>
  <w:style w:type="character" w:customStyle="1" w:styleId="2Char22">
    <w:name w:val="正文文本缩进 2 Char2"/>
    <w:qFormat/>
    <w:rPr>
      <w:kern w:val="2"/>
      <w:sz w:val="24"/>
      <w:szCs w:val="24"/>
      <w:shd w:val="clear" w:color="auto" w:fill="FFFFFF"/>
    </w:rPr>
  </w:style>
  <w:style w:type="character" w:customStyle="1" w:styleId="CharCharCharCharCharChar6">
    <w:name w:val="正文(首行缩进) Char Char Char Char Char Char"/>
    <w:qFormat/>
    <w:rPr>
      <w:rFonts w:cs="Times New Roman"/>
      <w:kern w:val="2"/>
      <w:sz w:val="24"/>
      <w:szCs w:val="24"/>
      <w:shd w:val="clear" w:color="auto" w:fill="FFFFFF"/>
      <w:lang w:bidi="ar-SA"/>
    </w:rPr>
  </w:style>
  <w:style w:type="character" w:customStyle="1" w:styleId="1ffffffff0">
    <w:name w:val="尾注文本 字符1"/>
    <w:uiPriority w:val="99"/>
    <w:qFormat/>
    <w:rPr>
      <w:rFonts w:ascii="Times New Roman" w:eastAsia="宋体" w:hAnsi="Times New Roman" w:cs="Times New Roman"/>
      <w:szCs w:val="24"/>
      <w:shd w:val="clear" w:color="auto" w:fill="FFFFFF"/>
    </w:rPr>
  </w:style>
  <w:style w:type="character" w:customStyle="1" w:styleId="Charfffffffffffff2">
    <w:name w:val="图号 Char"/>
    <w:semiHidden/>
    <w:qFormat/>
    <w:rPr>
      <w:rFonts w:eastAsia="宋体"/>
      <w:b/>
      <w:bCs/>
      <w:kern w:val="32"/>
      <w:sz w:val="24"/>
      <w:szCs w:val="24"/>
      <w:shd w:val="clear" w:color="auto" w:fill="FFFFFF"/>
      <w:lang w:val="en-US" w:eastAsia="zh-CN" w:bidi="ar-SA"/>
    </w:rPr>
  </w:style>
  <w:style w:type="character" w:customStyle="1" w:styleId="xin11">
    <w:name w:val="xin11"/>
    <w:semiHidden/>
    <w:qFormat/>
    <w:rPr>
      <w:rFonts w:ascii="宋体" w:eastAsia="宋体" w:hAnsi="宋体" w:hint="eastAsia"/>
      <w:color w:val="666666"/>
      <w:kern w:val="2"/>
      <w:sz w:val="18"/>
      <w:szCs w:val="18"/>
      <w:u w:val="none"/>
      <w:shd w:val="clear" w:color="auto" w:fill="FFFFFF"/>
      <w:lang w:val="en-US" w:eastAsia="zh-CN" w:bidi="ar-SA"/>
    </w:rPr>
  </w:style>
  <w:style w:type="character" w:customStyle="1" w:styleId="CharCharfffff5">
    <w:name w:val="页眉 Char Char"/>
    <w:qFormat/>
    <w:rPr>
      <w:kern w:val="2"/>
      <w:sz w:val="18"/>
      <w:szCs w:val="18"/>
      <w:shd w:val="clear" w:color="auto" w:fill="FFFFFF"/>
    </w:rPr>
  </w:style>
  <w:style w:type="character" w:customStyle="1" w:styleId="777777777CharCharCharCharCharChar">
    <w:name w:val="777777777 Char Char Char Char Char Char"/>
    <w:qFormat/>
    <w:rPr>
      <w:rFonts w:eastAsia="宋体" w:cs="Times New Roman"/>
      <w:kern w:val="2"/>
      <w:sz w:val="28"/>
      <w:shd w:val="clear" w:color="auto" w:fill="FFFFFF"/>
      <w:lang w:val="en-US" w:eastAsia="zh-CN"/>
    </w:rPr>
  </w:style>
  <w:style w:type="character" w:customStyle="1" w:styleId="3ff0">
    <w:name w:val="正文文本 (3)_"/>
    <w:link w:val="3ff"/>
    <w:qFormat/>
    <w:rPr>
      <w:rFonts w:ascii="MingLiU" w:eastAsia="MingLiU" w:hAnsi="MingLiU"/>
      <w:spacing w:val="20"/>
      <w:sz w:val="28"/>
      <w:szCs w:val="28"/>
      <w:shd w:val="clear" w:color="auto" w:fill="FFFFFF"/>
    </w:rPr>
  </w:style>
  <w:style w:type="character" w:customStyle="1" w:styleId="Charfffffffffffff3">
    <w:name w:val="表题图题 Char"/>
    <w:qFormat/>
    <w:rPr>
      <w:rFonts w:ascii="宋体" w:eastAsia="宋体" w:hAnsi="宋体" w:cs="Arial Unicode MS"/>
      <w:b/>
      <w:sz w:val="21"/>
      <w:szCs w:val="21"/>
      <w:shd w:val="clear" w:color="auto" w:fill="FFFFFF"/>
      <w:lang w:val="en-US" w:eastAsia="zh-CN" w:bidi="ar-SA"/>
    </w:rPr>
  </w:style>
  <w:style w:type="character" w:customStyle="1" w:styleId="afffffffffffffffffffffffffffffffffffffffff3">
    <w:name w:val="二级丹"/>
    <w:qFormat/>
    <w:rPr>
      <w:rFonts w:eastAsia="黑体"/>
      <w:b/>
      <w:bCs/>
      <w:sz w:val="30"/>
      <w:shd w:val="clear" w:color="auto" w:fill="FFFFFF"/>
    </w:rPr>
  </w:style>
  <w:style w:type="character" w:customStyle="1" w:styleId="zjgblk1">
    <w:name w:val="zjgblk1"/>
    <w:qFormat/>
    <w:rPr>
      <w:rFonts w:hint="default"/>
      <w:color w:val="000000"/>
      <w:spacing w:val="336"/>
      <w:sz w:val="18"/>
      <w:szCs w:val="18"/>
      <w:u w:val="none"/>
      <w:shd w:val="clear" w:color="auto" w:fill="FFFFFF"/>
    </w:rPr>
  </w:style>
  <w:style w:type="character" w:customStyle="1" w:styleId="normal14">
    <w:name w:val="normal1"/>
    <w:qFormat/>
    <w:rPr>
      <w:rFonts w:ascii="Arial" w:hAnsi="Arial" w:cs="Arial" w:hint="default"/>
      <w:color w:val="555555"/>
      <w:sz w:val="19"/>
      <w:szCs w:val="19"/>
      <w:shd w:val="clear" w:color="auto" w:fill="FFFFFF"/>
    </w:rPr>
  </w:style>
  <w:style w:type="character" w:customStyle="1" w:styleId="xz1">
    <w:name w:val="xz1"/>
    <w:qFormat/>
    <w:rPr>
      <w:color w:val="000000"/>
      <w:sz w:val="18"/>
      <w:szCs w:val="18"/>
      <w:u w:val="none"/>
      <w:shd w:val="clear" w:color="auto" w:fill="FFFFFF"/>
    </w:rPr>
  </w:style>
  <w:style w:type="character" w:customStyle="1" w:styleId="2Chare">
    <w:name w:val="正文样式2 Char"/>
    <w:link w:val="2fff0"/>
    <w:qFormat/>
    <w:rPr>
      <w:kern w:val="2"/>
      <w:sz w:val="28"/>
    </w:rPr>
  </w:style>
  <w:style w:type="character" w:customStyle="1" w:styleId="2CharChar9">
    <w:name w:val="标题2 Char Char"/>
    <w:qFormat/>
    <w:rPr>
      <w:rFonts w:ascii="Arial" w:eastAsia="黑体" w:hAnsi="Arial"/>
      <w:b/>
      <w:bCs/>
      <w:kern w:val="2"/>
      <w:sz w:val="32"/>
      <w:szCs w:val="32"/>
      <w:shd w:val="clear" w:color="auto" w:fill="FFFFFF"/>
      <w:lang w:val="en-US" w:eastAsia="zh-CN" w:bidi="ar-SA"/>
    </w:rPr>
  </w:style>
  <w:style w:type="character" w:customStyle="1" w:styleId="1Charfb">
    <w:name w:val="1  级标题 Char"/>
    <w:qFormat/>
    <w:rPr>
      <w:rFonts w:eastAsia="黑体"/>
      <w:sz w:val="32"/>
      <w:shd w:val="clear" w:color="auto" w:fill="FFFFFF"/>
    </w:rPr>
  </w:style>
  <w:style w:type="character" w:customStyle="1" w:styleId="Char2ff2">
    <w:name w:val="Char2"/>
    <w:qFormat/>
    <w:rPr>
      <w:rFonts w:ascii="黑体" w:eastAsia="黑体"/>
      <w:bCs/>
      <w:kern w:val="2"/>
      <w:sz w:val="32"/>
      <w:szCs w:val="32"/>
      <w:shd w:val="clear" w:color="auto" w:fill="FFFFFF"/>
      <w:lang w:val="en-US" w:eastAsia="zh-CN" w:bidi="ar-SA"/>
    </w:rPr>
  </w:style>
  <w:style w:type="character" w:customStyle="1" w:styleId="Charfffffff5">
    <w:name w:val="大纲正文 Char"/>
    <w:link w:val="affffffffffffffffff9"/>
    <w:qFormat/>
    <w:rPr>
      <w:rFonts w:ascii="黑体" w:hAnsi="Tahoma"/>
      <w:kern w:val="2"/>
      <w:sz w:val="24"/>
      <w:szCs w:val="32"/>
    </w:rPr>
  </w:style>
  <w:style w:type="character" w:customStyle="1" w:styleId="CharChar72">
    <w:name w:val="Char Char72"/>
    <w:qFormat/>
    <w:rPr>
      <w:b/>
      <w:bCs/>
      <w:sz w:val="28"/>
      <w:szCs w:val="28"/>
      <w:shd w:val="clear" w:color="auto" w:fill="FFFFFF"/>
      <w:lang w:bidi="en-US"/>
    </w:rPr>
  </w:style>
  <w:style w:type="character" w:customStyle="1" w:styleId="Charfffffff6">
    <w:name w:val="图表 Char"/>
    <w:link w:val="affffffffffffffffffa"/>
    <w:qFormat/>
    <w:rPr>
      <w:sz w:val="28"/>
    </w:rPr>
  </w:style>
  <w:style w:type="character" w:customStyle="1" w:styleId="1Charb">
    <w:name w:val="分目录1 Char"/>
    <w:link w:val="1ff7"/>
    <w:qFormat/>
    <w:rPr>
      <w:snapToGrid w:val="0"/>
      <w:sz w:val="28"/>
    </w:rPr>
  </w:style>
  <w:style w:type="character" w:customStyle="1" w:styleId="postbody">
    <w:name w:val="postbody"/>
    <w:qFormat/>
    <w:rPr>
      <w:shd w:val="clear" w:color="auto" w:fill="FFFFFF"/>
    </w:rPr>
  </w:style>
  <w:style w:type="character" w:customStyle="1" w:styleId="CharChar121">
    <w:name w:val="Char Char121"/>
    <w:qFormat/>
    <w:rPr>
      <w:rFonts w:eastAsia="宋体"/>
      <w:sz w:val="24"/>
      <w:shd w:val="clear" w:color="auto" w:fill="FFFFFF"/>
      <w:lang w:val="en-US" w:eastAsia="zh-CN" w:bidi="ar-SA"/>
    </w:rPr>
  </w:style>
  <w:style w:type="character" w:customStyle="1" w:styleId="Charfffffff7">
    <w:name w:val="左 Char"/>
    <w:link w:val="affffffffffffffffffb"/>
    <w:semiHidden/>
    <w:qFormat/>
    <w:rPr>
      <w:color w:val="000000"/>
      <w:sz w:val="18"/>
      <w:szCs w:val="21"/>
    </w:rPr>
  </w:style>
  <w:style w:type="character" w:customStyle="1" w:styleId="3ffff4">
    <w:name w:val="尾注文本 字符3"/>
    <w:qFormat/>
    <w:rPr>
      <w:rFonts w:ascii="Times New Roman" w:eastAsia="宋体" w:hAnsi="Times New Roman" w:cs="Times New Roman"/>
      <w:szCs w:val="24"/>
      <w:shd w:val="clear" w:color="auto" w:fill="FFFFFF"/>
    </w:rPr>
  </w:style>
  <w:style w:type="character" w:customStyle="1" w:styleId="CharCharCharCharCharCharCharCharCharCharChar">
    <w:name w:val="图表名 Char Char Char Char Char Char Char Char Char Char Char"/>
    <w:link w:val="CharCharCharCharCharCharCharCharCharChar"/>
    <w:qFormat/>
    <w:rPr>
      <w:rFonts w:hAnsi="宋体"/>
      <w:b/>
      <w:kern w:val="2"/>
      <w:sz w:val="21"/>
      <w:szCs w:val="21"/>
    </w:rPr>
  </w:style>
  <w:style w:type="character" w:customStyle="1" w:styleId="lh151">
    <w:name w:val="lh151"/>
    <w:uiPriority w:val="99"/>
    <w:qFormat/>
    <w:rPr>
      <w:spacing w:val="360"/>
      <w:shd w:val="clear" w:color="auto" w:fill="FFFFFF"/>
    </w:rPr>
  </w:style>
  <w:style w:type="character" w:customStyle="1" w:styleId="2Charf">
    <w:name w:val="样式 报告正文 + 首行缩进:  2 字符 Char"/>
    <w:link w:val="2fff1"/>
    <w:qFormat/>
    <w:rPr>
      <w:sz w:val="24"/>
      <w:szCs w:val="21"/>
    </w:rPr>
  </w:style>
  <w:style w:type="character" w:customStyle="1" w:styleId="CharChar27">
    <w:name w:val="Char Char27"/>
    <w:qFormat/>
    <w:rPr>
      <w:kern w:val="2"/>
      <w:sz w:val="21"/>
      <w:szCs w:val="24"/>
      <w:shd w:val="clear" w:color="auto" w:fill="000080"/>
    </w:rPr>
  </w:style>
  <w:style w:type="character" w:customStyle="1" w:styleId="CharCharCharCharChar1">
    <w:name w:val="题注 Char Char Char Char Char"/>
    <w:qFormat/>
    <w:rPr>
      <w:rFonts w:ascii="Arial" w:eastAsia="黑体" w:hAnsi="Arial"/>
      <w:b/>
      <w:kern w:val="2"/>
      <w:sz w:val="21"/>
      <w:shd w:val="clear" w:color="auto" w:fill="FFFFFF"/>
      <w:lang w:val="en-US" w:eastAsia="zh-CN" w:bidi="ar-SA"/>
    </w:rPr>
  </w:style>
  <w:style w:type="character" w:customStyle="1" w:styleId="Char1fffa">
    <w:name w:val="结束语 Char1"/>
    <w:qFormat/>
    <w:rPr>
      <w:kern w:val="2"/>
      <w:sz w:val="21"/>
      <w:szCs w:val="24"/>
      <w:shd w:val="clear" w:color="auto" w:fill="FFFFFF"/>
    </w:rPr>
  </w:style>
  <w:style w:type="character" w:customStyle="1" w:styleId="affffffffffffffffffc">
    <w:name w:val="引用 字符"/>
    <w:link w:val="1ff8"/>
    <w:uiPriority w:val="29"/>
    <w:qFormat/>
    <w:rPr>
      <w:i/>
      <w:iCs/>
      <w:sz w:val="28"/>
      <w:szCs w:val="22"/>
      <w:lang w:eastAsia="en-US" w:bidi="en-US"/>
    </w:rPr>
  </w:style>
  <w:style w:type="character" w:customStyle="1" w:styleId="Char1fffb">
    <w:name w:val="批注框文本 Char1"/>
    <w:uiPriority w:val="99"/>
    <w:qFormat/>
    <w:rPr>
      <w:rFonts w:ascii="Times New Roman" w:eastAsia="宋体" w:hAnsi="Times New Roman" w:cs="Times New Roman" w:hint="default"/>
      <w:sz w:val="18"/>
      <w:szCs w:val="18"/>
      <w:shd w:val="clear" w:color="auto" w:fill="FFFFFF"/>
    </w:rPr>
  </w:style>
  <w:style w:type="character" w:customStyle="1" w:styleId="jjbody1">
    <w:name w:val="jjbody1"/>
    <w:qFormat/>
    <w:rPr>
      <w:rFonts w:ascii="宋体" w:eastAsia="宋体" w:hAnsi="宋体" w:hint="eastAsia"/>
      <w:color w:val="555555"/>
      <w:sz w:val="21"/>
      <w:szCs w:val="21"/>
      <w:shd w:val="clear" w:color="auto" w:fill="FFFFFF"/>
    </w:rPr>
  </w:style>
  <w:style w:type="character" w:customStyle="1" w:styleId="15Char0">
    <w:name w:val="表格15 Char"/>
    <w:link w:val="156"/>
    <w:qFormat/>
    <w:rPr>
      <w:rFonts w:ascii="宋体"/>
      <w:szCs w:val="28"/>
    </w:rPr>
  </w:style>
  <w:style w:type="character" w:customStyle="1" w:styleId="CharCharfffff6">
    <w:name w:val="报告书 Char Char"/>
    <w:qFormat/>
    <w:rPr>
      <w:rFonts w:ascii="Times New Roman" w:hAnsi="Times New Roman" w:cs="Times New Roman" w:hint="default"/>
      <w:kern w:val="2"/>
      <w:sz w:val="24"/>
      <w:szCs w:val="24"/>
      <w:shd w:val="clear" w:color="auto" w:fill="FFFFFF"/>
    </w:rPr>
  </w:style>
  <w:style w:type="character" w:customStyle="1" w:styleId="1ffffffff1">
    <w:name w:val="页眉 字符1"/>
    <w:semiHidden/>
    <w:qFormat/>
    <w:rPr>
      <w:sz w:val="18"/>
      <w:szCs w:val="18"/>
      <w:shd w:val="clear" w:color="auto" w:fill="FFFFFF"/>
    </w:rPr>
  </w:style>
  <w:style w:type="character" w:customStyle="1" w:styleId="Charfffffff8">
    <w:name w:val="蒲正文 Char"/>
    <w:link w:val="affffffffffffffffffd"/>
    <w:qFormat/>
    <w:rPr>
      <w:sz w:val="24"/>
      <w:szCs w:val="21"/>
    </w:rPr>
  </w:style>
  <w:style w:type="character" w:customStyle="1" w:styleId="a121">
    <w:name w:val="a121"/>
    <w:qFormat/>
    <w:rPr>
      <w:sz w:val="24"/>
      <w:szCs w:val="24"/>
      <w:shd w:val="clear" w:color="auto" w:fill="FFFFFF"/>
    </w:rPr>
  </w:style>
  <w:style w:type="character" w:customStyle="1" w:styleId="afffffffffffffffffffffffffffffffffffffffff4">
    <w:name w:val="表格备注"/>
    <w:qFormat/>
    <w:rPr>
      <w:rFonts w:ascii="华文楷体" w:eastAsia="楷体_GB2312" w:hAnsi="华文楷体" w:hint="eastAsia"/>
      <w:kern w:val="0"/>
      <w:sz w:val="21"/>
      <w:shd w:val="clear" w:color="auto" w:fill="FFFFFF"/>
    </w:rPr>
  </w:style>
  <w:style w:type="character" w:customStyle="1" w:styleId="Char2ff3">
    <w:name w:val="签名 Char2"/>
    <w:uiPriority w:val="99"/>
    <w:semiHidden/>
    <w:qFormat/>
    <w:rPr>
      <w:rFonts w:ascii="Times New Roman" w:eastAsia="宋体" w:hAnsi="Times New Roman" w:cs="Times New Roman"/>
      <w:szCs w:val="24"/>
      <w:shd w:val="clear" w:color="auto" w:fill="FFFFFF"/>
    </w:rPr>
  </w:style>
  <w:style w:type="character" w:customStyle="1" w:styleId="Charfffffffffffff4">
    <w:name w:val="我的图表标题 Char"/>
    <w:qFormat/>
    <w:rPr>
      <w:rFonts w:ascii="黑体" w:eastAsia="黑体" w:hAnsi="宋体" w:cs="Times New Roman" w:hint="eastAsia"/>
      <w:bCs/>
      <w:sz w:val="24"/>
      <w:szCs w:val="20"/>
      <w:shd w:val="clear" w:color="auto" w:fill="FFFFFF"/>
    </w:rPr>
  </w:style>
  <w:style w:type="character" w:customStyle="1" w:styleId="6e">
    <w:name w:val="正文文本6"/>
    <w:qFormat/>
    <w:rPr>
      <w:rFonts w:ascii="Arial Unicode MS" w:eastAsia="Arial Unicode MS" w:hAnsi="Arial Unicode MS"/>
      <w:color w:val="000000"/>
      <w:spacing w:val="0"/>
      <w:w w:val="100"/>
      <w:position w:val="0"/>
      <w:sz w:val="23"/>
      <w:szCs w:val="23"/>
      <w:shd w:val="clear" w:color="auto" w:fill="FFFFFF"/>
      <w:lang w:val="zh-CN" w:bidi="ar-SA"/>
    </w:rPr>
  </w:style>
  <w:style w:type="character" w:customStyle="1" w:styleId="textcontents">
    <w:name w:val="textcontents"/>
    <w:qFormat/>
    <w:rPr>
      <w:shd w:val="clear" w:color="auto" w:fill="FFFFFF"/>
    </w:rPr>
  </w:style>
  <w:style w:type="character" w:customStyle="1" w:styleId="15Char3">
    <w:name w:val="标准文本 居中 行距1.5倍 Char"/>
    <w:qFormat/>
    <w:rPr>
      <w:sz w:val="24"/>
      <w:szCs w:val="24"/>
      <w:shd w:val="clear" w:color="auto" w:fill="FFFFFF"/>
    </w:rPr>
  </w:style>
  <w:style w:type="character" w:customStyle="1" w:styleId="2Charfd">
    <w:name w:val="样式 2 Char"/>
    <w:qFormat/>
    <w:rPr>
      <w:rFonts w:eastAsia="黑体"/>
      <w:color w:val="000000"/>
      <w:spacing w:val="10"/>
      <w:kern w:val="2"/>
      <w:sz w:val="30"/>
      <w:szCs w:val="21"/>
      <w:shd w:val="clear" w:color="auto" w:fill="FFFFFF"/>
      <w:lang w:val="en-US" w:eastAsia="zh-CN" w:bidi="ar-SA"/>
    </w:rPr>
  </w:style>
  <w:style w:type="character" w:customStyle="1" w:styleId="5CharChar6">
    <w:name w:val="5号宋体居中 Char Char"/>
    <w:qFormat/>
    <w:locked/>
    <w:rPr>
      <w:rFonts w:ascii="Arial" w:eastAsia="黑体" w:hAnsi="Arial"/>
      <w:kern w:val="2"/>
      <w:sz w:val="21"/>
      <w:shd w:val="clear" w:color="auto" w:fill="FFFFFF"/>
      <w:lang w:val="en-US" w:eastAsia="zh-CN" w:bidi="ar-SA"/>
    </w:rPr>
  </w:style>
  <w:style w:type="character" w:customStyle="1" w:styleId="3ffff5">
    <w:name w:val="文档结构图 字符3"/>
    <w:qFormat/>
    <w:rPr>
      <w:rFonts w:ascii="宋体" w:eastAsia="宋体" w:hAnsi="Times New Roman" w:cs="Times New Roman"/>
      <w:sz w:val="18"/>
      <w:szCs w:val="18"/>
      <w:shd w:val="clear" w:color="auto" w:fill="FFFFFF"/>
    </w:rPr>
  </w:style>
  <w:style w:type="character" w:customStyle="1" w:styleId="1CharChare">
    <w:name w:val="1标题 Char Char"/>
    <w:qFormat/>
    <w:locked/>
    <w:rPr>
      <w:rFonts w:ascii="宋体"/>
      <w:sz w:val="28"/>
      <w:shd w:val="clear" w:color="auto" w:fill="FFFFFF"/>
    </w:rPr>
  </w:style>
  <w:style w:type="character" w:customStyle="1" w:styleId="FontStyle330">
    <w:name w:val="Font Style330"/>
    <w:qFormat/>
    <w:rPr>
      <w:rFonts w:ascii="宋体" w:eastAsia="宋体" w:cs="宋体"/>
      <w:spacing w:val="-10"/>
      <w:sz w:val="12"/>
      <w:szCs w:val="12"/>
      <w:shd w:val="clear" w:color="auto" w:fill="FFFFFF"/>
    </w:rPr>
  </w:style>
  <w:style w:type="character" w:customStyle="1" w:styleId="4Char6">
    <w:name w:val="4 Char"/>
    <w:link w:val="4f7"/>
    <w:qFormat/>
    <w:rPr>
      <w:rFonts w:eastAsia="方正仿宋简体"/>
      <w:w w:val="80"/>
      <w:kern w:val="2"/>
      <w:sz w:val="21"/>
      <w:szCs w:val="21"/>
    </w:rPr>
  </w:style>
  <w:style w:type="character" w:customStyle="1" w:styleId="1CharCharChar6">
    <w:name w:val="标题 1 Char Char Char"/>
    <w:qFormat/>
    <w:rPr>
      <w:rFonts w:eastAsia="宋体"/>
      <w:b/>
      <w:kern w:val="44"/>
      <w:sz w:val="44"/>
      <w:shd w:val="clear" w:color="auto" w:fill="FFFFFF"/>
      <w:lang w:val="en-US" w:eastAsia="zh-CN"/>
    </w:rPr>
  </w:style>
  <w:style w:type="character" w:customStyle="1" w:styleId="CharChar201">
    <w:name w:val="Char Char201"/>
    <w:qFormat/>
    <w:rPr>
      <w:rFonts w:eastAsia="黑体"/>
      <w:kern w:val="2"/>
      <w:sz w:val="24"/>
      <w:szCs w:val="24"/>
      <w:shd w:val="clear" w:color="auto" w:fill="FFFFFF"/>
      <w:lang w:val="en-US" w:eastAsia="zh-CN" w:bidi="ar-SA"/>
    </w:rPr>
  </w:style>
  <w:style w:type="character" w:customStyle="1" w:styleId="da1">
    <w:name w:val="da1"/>
    <w:qFormat/>
    <w:rPr>
      <w:rFonts w:ascii="宋体" w:eastAsia="宋体" w:hAnsi="宋体"/>
      <w:color w:val="003399"/>
      <w:sz w:val="27"/>
      <w:shd w:val="clear" w:color="auto" w:fill="FFFFFF"/>
    </w:rPr>
  </w:style>
  <w:style w:type="character" w:customStyle="1" w:styleId="1113CharChar">
    <w:name w:val="1.1.1标题 3 Char Char"/>
    <w:qFormat/>
    <w:rPr>
      <w:rFonts w:ascii="Arial" w:eastAsia="宋体" w:hAnsi="Arial" w:cs="Times New Roman" w:hint="default"/>
      <w:b/>
      <w:kern w:val="44"/>
      <w:sz w:val="30"/>
      <w:szCs w:val="20"/>
      <w:shd w:val="clear" w:color="auto" w:fill="FFFFFF"/>
    </w:rPr>
  </w:style>
  <w:style w:type="character" w:customStyle="1" w:styleId="t2">
    <w:name w:val="t2"/>
    <w:qFormat/>
    <w:rPr>
      <w:shd w:val="clear" w:color="auto" w:fill="FFFFFF"/>
    </w:rPr>
  </w:style>
  <w:style w:type="character" w:customStyle="1" w:styleId="lh22px">
    <w:name w:val="lh22px"/>
    <w:semiHidden/>
    <w:qFormat/>
    <w:rPr>
      <w:shd w:val="clear" w:color="auto" w:fill="FFFFFF"/>
    </w:rPr>
  </w:style>
  <w:style w:type="character" w:customStyle="1" w:styleId="2CharCharCharCharCharCharCharChar">
    <w:name w:val="正文首行缩进 2 Char Char Char Char Char Char Char Char"/>
    <w:qFormat/>
    <w:rPr>
      <w:rFonts w:ascii="Times New Roman" w:eastAsia="宋体" w:hAnsi="Times New Roman" w:cs="Times New Roman"/>
      <w:sz w:val="24"/>
      <w:szCs w:val="24"/>
      <w:shd w:val="clear" w:color="auto" w:fill="FFFFFF"/>
      <w:vertAlign w:val="superscript"/>
    </w:rPr>
  </w:style>
  <w:style w:type="character" w:customStyle="1" w:styleId="HTML31">
    <w:name w:val="HTML 地址 字符3"/>
    <w:qFormat/>
    <w:rPr>
      <w:rFonts w:ascii="Times New Roman" w:eastAsia="宋体" w:hAnsi="Times New Roman" w:cs="Times New Roman"/>
      <w:i/>
      <w:szCs w:val="24"/>
      <w:shd w:val="clear" w:color="auto" w:fill="FFFFFF"/>
    </w:rPr>
  </w:style>
  <w:style w:type="character" w:customStyle="1" w:styleId="CharCharCharCharChar2">
    <w:name w:val="正文(首行缩进) Char Char Char Char Char"/>
    <w:qFormat/>
    <w:locked/>
    <w:rPr>
      <w:rFonts w:cs="Times New Roman"/>
      <w:kern w:val="2"/>
      <w:sz w:val="24"/>
      <w:szCs w:val="24"/>
      <w:shd w:val="clear" w:color="auto" w:fill="FFFFFF"/>
    </w:rPr>
  </w:style>
  <w:style w:type="character" w:customStyle="1" w:styleId="Char43">
    <w:name w:val="+正文 Char4"/>
    <w:qFormat/>
    <w:rPr>
      <w:rFonts w:ascii="Times New Roman" w:hAnsi="宋体"/>
      <w:kern w:val="2"/>
      <w:sz w:val="28"/>
      <w:szCs w:val="28"/>
      <w:shd w:val="clear" w:color="auto" w:fill="FFFFFF"/>
    </w:rPr>
  </w:style>
  <w:style w:type="character" w:customStyle="1" w:styleId="wen21">
    <w:name w:val="wen21"/>
    <w:qFormat/>
    <w:rPr>
      <w:color w:val="000000"/>
      <w:sz w:val="18"/>
      <w:szCs w:val="18"/>
      <w:shd w:val="clear" w:color="auto" w:fill="FFFFFF"/>
    </w:rPr>
  </w:style>
  <w:style w:type="character" w:customStyle="1" w:styleId="1Char11">
    <w:name w:val="段落1 Char1"/>
    <w:link w:val="1ff9"/>
    <w:qFormat/>
    <w:rPr>
      <w:rFonts w:ascii="宋体" w:hAnsi="宋体"/>
      <w:iCs/>
      <w:color w:val="000000"/>
      <w:spacing w:val="6"/>
      <w:sz w:val="24"/>
      <w:szCs w:val="21"/>
    </w:rPr>
  </w:style>
  <w:style w:type="character" w:customStyle="1" w:styleId="Charfffffff9">
    <w:name w:val="表、图名 Char"/>
    <w:link w:val="affffffffffffffffffe"/>
    <w:qFormat/>
    <w:rPr>
      <w:rFonts w:ascii="黑体" w:eastAsia="黑体" w:hAnsi="宋体"/>
      <w:kern w:val="2"/>
      <w:sz w:val="24"/>
      <w:szCs w:val="21"/>
    </w:rPr>
  </w:style>
  <w:style w:type="character" w:customStyle="1" w:styleId="2Charfe">
    <w:name w:val="2 级标题 Char"/>
    <w:qFormat/>
    <w:rPr>
      <w:rFonts w:ascii="黑体" w:eastAsia="黑体" w:hAnsi="黑体"/>
      <w:b/>
      <w:sz w:val="24"/>
      <w:szCs w:val="24"/>
      <w:shd w:val="clear" w:color="auto" w:fill="FFFFFF"/>
    </w:rPr>
  </w:style>
  <w:style w:type="character" w:customStyle="1" w:styleId="BChar">
    <w:name w:val="B Char"/>
    <w:qFormat/>
    <w:rPr>
      <w:rFonts w:ascii="宋体" w:hAnsi="宋体"/>
      <w:bCs/>
      <w:kern w:val="11"/>
      <w:sz w:val="24"/>
      <w:szCs w:val="24"/>
      <w:shd w:val="clear" w:color="auto" w:fill="FFFFFF"/>
    </w:rPr>
  </w:style>
  <w:style w:type="character" w:customStyle="1" w:styleId="main1">
    <w:name w:val="main1"/>
    <w:qFormat/>
    <w:rPr>
      <w:rFonts w:cs="Times New Roman"/>
      <w:color w:val="0033CC"/>
      <w:sz w:val="18"/>
      <w:szCs w:val="18"/>
      <w:shd w:val="clear" w:color="auto" w:fill="FFFFFF"/>
    </w:rPr>
  </w:style>
  <w:style w:type="character" w:customStyle="1" w:styleId="Charfffffffffffff5">
    <w:name w:val="【图片】 Char"/>
    <w:qFormat/>
    <w:rPr>
      <w:rFonts w:ascii="宋体" w:eastAsia="Times New Roman" w:hAnsi="宋体" w:hint="eastAsia"/>
      <w:sz w:val="24"/>
      <w:shd w:val="clear" w:color="auto" w:fill="FFFFFF"/>
    </w:rPr>
  </w:style>
  <w:style w:type="character" w:customStyle="1" w:styleId="123YJCharChar1">
    <w:name w:val="123YJ Char Char1"/>
    <w:qFormat/>
    <w:rPr>
      <w:rFonts w:eastAsia="宋体"/>
      <w:kern w:val="2"/>
      <w:sz w:val="18"/>
      <w:szCs w:val="18"/>
      <w:shd w:val="clear" w:color="auto" w:fill="FFFFFF"/>
      <w:lang w:val="en-US" w:eastAsia="zh-CN" w:bidi="ar-SA"/>
    </w:rPr>
  </w:style>
  <w:style w:type="character" w:customStyle="1" w:styleId="CharCharfffff7">
    <w:name w:val="表格标题 Char Char"/>
    <w:qFormat/>
    <w:locked/>
    <w:rPr>
      <w:b/>
      <w:sz w:val="24"/>
      <w:shd w:val="clear" w:color="auto" w:fill="FFFFFF"/>
    </w:rPr>
  </w:style>
  <w:style w:type="character" w:customStyle="1" w:styleId="192">
    <w:name w:val="19号令"/>
    <w:qFormat/>
    <w:rPr>
      <w:shd w:val="clear" w:color="auto" w:fill="FFFFFF"/>
    </w:rPr>
  </w:style>
  <w:style w:type="character" w:customStyle="1" w:styleId="Charfffffffffffff6">
    <w:name w:val="报告 Char"/>
    <w:qFormat/>
    <w:rPr>
      <w:rFonts w:ascii="TimesNewRoman" w:eastAsia="TimesNewRoman" w:hAnsi="TimesNewRoman" w:cs="TimesNewRoman" w:hint="default"/>
      <w:sz w:val="24"/>
      <w:shd w:val="clear" w:color="auto" w:fill="FFFFFF"/>
    </w:rPr>
  </w:style>
  <w:style w:type="character" w:customStyle="1" w:styleId="022CharChar">
    <w:name w:val="022 Char Char"/>
    <w:link w:val="022"/>
    <w:qFormat/>
    <w:rPr>
      <w:rFonts w:ascii="宋体" w:hAnsi="Courier New"/>
      <w:kern w:val="2"/>
      <w:sz w:val="24"/>
      <w:szCs w:val="21"/>
    </w:rPr>
  </w:style>
  <w:style w:type="character" w:customStyle="1" w:styleId="HBZW">
    <w:name w:val="HBZW"/>
    <w:qFormat/>
    <w:rPr>
      <w:rFonts w:ascii="宋体" w:eastAsia="宋体" w:hAnsi="宋体" w:cs="宋体" w:hint="eastAsia"/>
      <w:kern w:val="0"/>
      <w:sz w:val="24"/>
      <w:shd w:val="clear" w:color="auto" w:fill="FFFFFF"/>
      <w:lang w:val="en-US" w:eastAsia="zh-CN"/>
    </w:rPr>
  </w:style>
  <w:style w:type="character" w:customStyle="1" w:styleId="Charf8">
    <w:name w:val="正文 Char"/>
    <w:link w:val="3f4"/>
    <w:qFormat/>
    <w:rPr>
      <w:kern w:val="2"/>
      <w:sz w:val="21"/>
      <w:szCs w:val="21"/>
    </w:rPr>
  </w:style>
  <w:style w:type="character" w:customStyle="1" w:styleId="1ffffffff2">
    <w:name w:val="批注引用1"/>
    <w:qFormat/>
    <w:rPr>
      <w:rFonts w:ascii="宋体" w:eastAsia="宋体" w:hAnsi="宋体" w:cs="Courier New"/>
      <w:kern w:val="2"/>
      <w:sz w:val="21"/>
      <w:szCs w:val="21"/>
      <w:shd w:val="clear" w:color="auto" w:fill="FFFFFF"/>
      <w:lang w:val="en-US" w:eastAsia="zh-CN"/>
    </w:rPr>
  </w:style>
  <w:style w:type="character" w:customStyle="1" w:styleId="editsection">
    <w:name w:val="editsection"/>
    <w:qFormat/>
    <w:rPr>
      <w:shd w:val="clear" w:color="auto" w:fill="FFFFFF"/>
    </w:rPr>
  </w:style>
  <w:style w:type="character" w:customStyle="1" w:styleId="3Char7">
    <w:name w:val="+标题3 Char"/>
    <w:link w:val="3ff1"/>
    <w:uiPriority w:val="99"/>
    <w:qFormat/>
    <w:locked/>
    <w:rPr>
      <w:b/>
      <w:sz w:val="28"/>
    </w:rPr>
  </w:style>
  <w:style w:type="character" w:customStyle="1" w:styleId="CharCharfffff8">
    <w:name w:val="表体 Char Char"/>
    <w:qFormat/>
    <w:rPr>
      <w:sz w:val="24"/>
      <w:szCs w:val="24"/>
      <w:shd w:val="clear" w:color="auto" w:fill="FFFFFF"/>
    </w:rPr>
  </w:style>
  <w:style w:type="character" w:customStyle="1" w:styleId="afffffffffffffffffff">
    <w:name w:val="正文文本_"/>
    <w:link w:val="87"/>
    <w:qFormat/>
    <w:rPr>
      <w:rFonts w:ascii="Arial Unicode MS" w:eastAsia="Arial Unicode MS" w:hAnsi="Arial Unicode MS"/>
      <w:sz w:val="23"/>
      <w:szCs w:val="23"/>
      <w:shd w:val="clear" w:color="auto" w:fill="FFFFFF"/>
    </w:rPr>
  </w:style>
  <w:style w:type="character" w:customStyle="1" w:styleId="CharChar103">
    <w:name w:val="Char Char103"/>
    <w:qFormat/>
    <w:rPr>
      <w:rFonts w:eastAsia="宋体"/>
      <w:b/>
      <w:bCs/>
      <w:kern w:val="44"/>
      <w:sz w:val="44"/>
      <w:szCs w:val="44"/>
      <w:shd w:val="clear" w:color="auto" w:fill="FFFFFF"/>
      <w:lang w:val="en-US" w:eastAsia="zh-CN" w:bidi="ar-SA"/>
    </w:rPr>
  </w:style>
  <w:style w:type="character" w:customStyle="1" w:styleId="google-src-text">
    <w:name w:val="google-src-text"/>
    <w:qFormat/>
    <w:rPr>
      <w:shd w:val="clear" w:color="auto" w:fill="FFFFFF"/>
    </w:rPr>
  </w:style>
  <w:style w:type="table" w:customStyle="1" w:styleId="8b">
    <w:name w:val="网格型8"/>
    <w:basedOn w:val="a9"/>
    <w:unhideWhenUsed/>
    <w:qFormat/>
    <w:pPr>
      <w:widowControl w:val="0"/>
      <w:spacing w:after="160" w:line="278" w:lineRule="auto"/>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列表型 12"/>
    <w:basedOn w:val="a9"/>
    <w:qFormat/>
    <w:pPr>
      <w:widowControl w:val="0"/>
      <w:spacing w:after="160" w:line="278" w:lineRule="auto"/>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
    <w:name w:val="古典型 32"/>
    <w:basedOn w:val="a9"/>
    <w:qFormat/>
    <w:pPr>
      <w:widowControl w:val="0"/>
      <w:spacing w:after="160" w:line="278"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111">
    <w:name w:val="古典型 311"/>
    <w:basedOn w:val="a9"/>
    <w:qFormat/>
    <w:pPr>
      <w:widowControl w:val="0"/>
      <w:spacing w:after="160" w:line="278"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c11">
    <w:name w:val="网格型c1"/>
    <w:basedOn w:val="a9"/>
    <w:uiPriority w:val="39"/>
    <w:qFormat/>
    <w:pPr>
      <w:spacing w:after="160" w:line="48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立体型 23"/>
    <w:basedOn w:val="a9"/>
    <w:qFormat/>
    <w:pPr>
      <w:widowControl w:val="0"/>
      <w:spacing w:after="160" w:line="278" w:lineRule="auto"/>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10">
    <w:name w:val="列表型 82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35">
    <w:name w:val="简明型 13"/>
    <w:basedOn w:val="a9"/>
    <w:qFormat/>
    <w:pPr>
      <w:widowControl w:val="0"/>
      <w:spacing w:after="160" w:line="278" w:lineRule="auto"/>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711">
    <w:name w:val="列表型 71"/>
    <w:basedOn w:val="a9"/>
    <w:qFormat/>
    <w:pPr>
      <w:widowControl w:val="0"/>
      <w:spacing w:after="160" w:line="278" w:lineRule="auto"/>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10">
    <w:name w:val="竖列型 121"/>
    <w:basedOn w:val="a9"/>
    <w:qFormat/>
    <w:pPr>
      <w:widowControl w:val="0"/>
      <w:spacing w:after="160" w:line="278" w:lineRule="auto"/>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21">
    <w:name w:val="网格型 72"/>
    <w:basedOn w:val="a9"/>
    <w:qFormat/>
    <w:pPr>
      <w:widowControl w:val="0"/>
      <w:spacing w:after="160" w:line="278"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0">
    <w:name w:val="列表型 211"/>
    <w:basedOn w:val="a9"/>
    <w:qFormat/>
    <w:pPr>
      <w:widowControl w:val="0"/>
      <w:spacing w:after="160" w:line="278" w:lineRule="auto"/>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
    <w:name w:val="网格型 211"/>
    <w:basedOn w:val="a9"/>
    <w:qFormat/>
    <w:pPr>
      <w:widowControl w:val="0"/>
      <w:spacing w:after="160" w:line="278"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911">
    <w:name w:val="样式91"/>
    <w:basedOn w:val="a9"/>
    <w:qFormat/>
    <w:pPr>
      <w:spacing w:after="160" w:line="278" w:lineRule="auto"/>
    </w:pPr>
    <w:tblPr/>
  </w:style>
  <w:style w:type="table" w:customStyle="1" w:styleId="235">
    <w:name w:val="竖列型 23"/>
    <w:basedOn w:val="a9"/>
    <w:qFormat/>
    <w:pPr>
      <w:widowControl w:val="0"/>
      <w:spacing w:after="160" w:line="278" w:lineRule="auto"/>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
    <w:name w:val="古典型 111"/>
    <w:basedOn w:val="a9"/>
    <w:qFormat/>
    <w:pPr>
      <w:widowControl w:val="0"/>
      <w:spacing w:after="160" w:line="278" w:lineRule="auto"/>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网格型 221"/>
    <w:basedOn w:val="a9"/>
    <w:qFormat/>
    <w:pPr>
      <w:widowControl w:val="0"/>
      <w:spacing w:after="160" w:line="278"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a">
    <w:name w:val="网页型 31"/>
    <w:basedOn w:val="a9"/>
    <w:qFormat/>
    <w:pPr>
      <w:widowControl w:val="0"/>
      <w:spacing w:after="160" w:line="278"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A-21">
    <w:name w:val="A-表格属性21"/>
    <w:basedOn w:val="a9"/>
    <w:uiPriority w:val="99"/>
    <w:qFormat/>
    <w:pPr>
      <w:spacing w:after="160" w:line="278" w:lineRule="auto"/>
      <w:jc w:val="center"/>
    </w:pPr>
    <w:rPr>
      <w:rFonts w:cs="宋体"/>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4110">
    <w:name w:val="网格型 411"/>
    <w:basedOn w:val="a9"/>
    <w:qFormat/>
    <w:pPr>
      <w:widowControl w:val="0"/>
      <w:spacing w:after="160" w:line="278"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7110">
    <w:name w:val="列表型 711"/>
    <w:basedOn w:val="a9"/>
    <w:qFormat/>
    <w:pPr>
      <w:widowControl w:val="0"/>
      <w:spacing w:after="160" w:line="278" w:lineRule="auto"/>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23">
    <w:name w:val="网格型42"/>
    <w:basedOn w:val="a9"/>
    <w:uiPriority w:val="5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0">
    <w:name w:val="A-表格样式1"/>
    <w:basedOn w:val="a9"/>
    <w:uiPriority w:val="99"/>
    <w:qFormat/>
    <w:pPr>
      <w:spacing w:after="160" w:line="278" w:lineRule="auto"/>
    </w:pPr>
    <w:tblP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style>
  <w:style w:type="table" w:customStyle="1" w:styleId="2112">
    <w:name w:val="彩色型 211"/>
    <w:basedOn w:val="a9"/>
    <w:qFormat/>
    <w:pPr>
      <w:widowControl w:val="0"/>
      <w:spacing w:after="160" w:line="278" w:lineRule="auto"/>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1f7">
    <w:name w:val="典雅型11"/>
    <w:basedOn w:val="a9"/>
    <w:qFormat/>
    <w:pPr>
      <w:widowControl w:val="0"/>
      <w:spacing w:after="160" w:line="278"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11">
    <w:name w:val="A-表格样式11"/>
    <w:basedOn w:val="a9"/>
    <w:uiPriority w:val="99"/>
    <w:qFormat/>
    <w:pPr>
      <w:spacing w:after="160" w:line="278" w:lineRule="auto"/>
    </w:pPr>
    <w:tblP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style>
  <w:style w:type="table" w:customStyle="1" w:styleId="3112">
    <w:name w:val="简明型 311"/>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f8">
    <w:name w:val="简明型 11"/>
    <w:basedOn w:val="a9"/>
    <w:qFormat/>
    <w:pPr>
      <w:widowControl w:val="0"/>
      <w:spacing w:after="160" w:line="278" w:lineRule="auto"/>
      <w:jc w:val="both"/>
    </w:p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f9">
    <w:name w:val="刘文自定义表格11"/>
    <w:basedOn w:val="affffa"/>
    <w:qFormat/>
    <w:pPr>
      <w:spacing w:after="160" w:line="278" w:lineRule="auto"/>
      <w:jc w:val="center"/>
    </w:pPr>
    <w:tblPr/>
    <w:tcPr>
      <w:tcMar>
        <w:top w:w="0" w:type="dxa"/>
        <w:left w:w="28" w:type="dxa"/>
        <w:bottom w:w="0" w:type="dxa"/>
        <w:right w:w="28" w:type="dxa"/>
      </w:tcMar>
      <w:vAlign w:val="center"/>
    </w:tcPr>
  </w:style>
  <w:style w:type="table" w:customStyle="1" w:styleId="11fa">
    <w:name w:val="网格型 1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6">
    <w:name w:val="网格型23"/>
    <w:basedOn w:val="a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古典型 321"/>
    <w:basedOn w:val="a9"/>
    <w:qFormat/>
    <w:pPr>
      <w:widowControl w:val="0"/>
      <w:spacing w:after="160" w:line="278"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211">
    <w:name w:val="立体型 321"/>
    <w:basedOn w:val="a9"/>
    <w:qFormat/>
    <w:pPr>
      <w:widowControl w:val="0"/>
      <w:spacing w:after="160" w:line="278" w:lineRule="auto"/>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
    <w:name w:val="网格型 13"/>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12">
    <w:name w:val="网页型 321"/>
    <w:basedOn w:val="a9"/>
    <w:qFormat/>
    <w:pPr>
      <w:widowControl w:val="0"/>
      <w:spacing w:after="160" w:line="278"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ffffffff4">
    <w:name w:val="典雅型2"/>
    <w:basedOn w:val="a9"/>
    <w:qFormat/>
    <w:pPr>
      <w:widowControl w:val="0"/>
      <w:spacing w:after="160" w:line="278"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7">
    <w:name w:val="列表型 13"/>
    <w:basedOn w:val="a9"/>
    <w:qFormat/>
    <w:pPr>
      <w:widowControl w:val="0"/>
      <w:spacing w:after="160" w:line="278" w:lineRule="auto"/>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21">
    <w:name w:val="列表型 62"/>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b">
    <w:name w:val="列表型 11"/>
    <w:basedOn w:val="a9"/>
    <w:qFormat/>
    <w:pPr>
      <w:widowControl w:val="0"/>
      <w:spacing w:after="160" w:line="278" w:lineRule="auto"/>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
    <w:name w:val="列表型 42"/>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2221">
    <w:name w:val="灰度表格12221"/>
    <w:basedOn w:val="a9"/>
    <w:uiPriority w:val="59"/>
    <w:qFormat/>
    <w:pPr>
      <w:widowControl w:val="0"/>
      <w:spacing w:after="160" w:line="27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列表型 43"/>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31">
    <w:name w:val="网格型 53"/>
    <w:basedOn w:val="a9"/>
    <w:unhideWhenUsed/>
    <w:qFormat/>
    <w:pPr>
      <w:widowControl w:val="0"/>
      <w:spacing w:after="160" w:line="278" w:lineRule="auto"/>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样式72"/>
    <w:basedOn w:val="a9"/>
    <w:qFormat/>
    <w:pPr>
      <w:spacing w:after="160" w:line="278" w:lineRule="auto"/>
    </w:pPr>
    <w:tblPr/>
  </w:style>
  <w:style w:type="table" w:customStyle="1" w:styleId="A-22">
    <w:name w:val="A-表格样式2"/>
    <w:basedOn w:val="a9"/>
    <w:uiPriority w:val="99"/>
    <w:qFormat/>
    <w:pPr>
      <w:spacing w:after="160" w:line="278" w:lineRule="auto"/>
    </w:pPr>
    <w:tblP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style>
  <w:style w:type="table" w:customStyle="1" w:styleId="12211">
    <w:name w:val="灰度表格12211"/>
    <w:basedOn w:val="a9"/>
    <w:uiPriority w:val="59"/>
    <w:qFormat/>
    <w:pPr>
      <w:widowControl w:val="0"/>
      <w:spacing w:after="160" w:line="27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列表型 5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5110">
    <w:name w:val="网格型 511"/>
    <w:basedOn w:val="a9"/>
    <w:unhideWhenUsed/>
    <w:qFormat/>
    <w:pPr>
      <w:widowControl w:val="0"/>
      <w:spacing w:after="160" w:line="278" w:lineRule="auto"/>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5">
    <w:name w:val="简明型 32"/>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210">
    <w:name w:val="网格型 421"/>
    <w:basedOn w:val="a9"/>
    <w:qFormat/>
    <w:pPr>
      <w:widowControl w:val="0"/>
      <w:spacing w:after="160" w:line="278"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f1">
    <w:name w:val="专业型2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
    <w:name w:val="精巧型 211"/>
    <w:basedOn w:val="a9"/>
    <w:qFormat/>
    <w:pPr>
      <w:widowControl w:val="0"/>
      <w:spacing w:after="160" w:line="278" w:lineRule="auto"/>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31">
    <w:name w:val="列表型 83"/>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f6">
    <w:name w:val="网格型3"/>
    <w:basedOn w:val="a9"/>
    <w:uiPriority w:val="59"/>
    <w:qFormat/>
    <w:pPr>
      <w:spacing w:after="160" w:line="278"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
    <w:name w:val="列表型 82"/>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2f8">
    <w:name w:val="古典型 22"/>
    <w:basedOn w:val="a9"/>
    <w:qFormat/>
    <w:pPr>
      <w:widowControl w:val="0"/>
      <w:spacing w:after="160" w:line="278"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7">
    <w:name w:val="网页型 23"/>
    <w:basedOn w:val="a9"/>
    <w:qFormat/>
    <w:pPr>
      <w:widowControl w:val="0"/>
      <w:spacing w:after="160" w:line="278"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211">
    <w:name w:val="竖列型 421"/>
    <w:basedOn w:val="a9"/>
    <w:qFormat/>
    <w:pPr>
      <w:widowControl w:val="0"/>
      <w:spacing w:after="160" w:line="278" w:lineRule="auto"/>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f2">
    <w:name w:val="表格主题21"/>
    <w:basedOn w:val="a9"/>
    <w:qFormat/>
    <w:pPr>
      <w:spacing w:after="160" w:line="27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网格型 12"/>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8">
    <w:name w:val="竖列型 13"/>
    <w:basedOn w:val="a9"/>
    <w:qFormat/>
    <w:pPr>
      <w:widowControl w:val="0"/>
      <w:spacing w:after="160" w:line="278" w:lineRule="auto"/>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f9">
    <w:name w:val="立体型 22"/>
    <w:basedOn w:val="a9"/>
    <w:qFormat/>
    <w:pPr>
      <w:widowControl w:val="0"/>
      <w:spacing w:after="160" w:line="278" w:lineRule="auto"/>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网格型 811"/>
    <w:basedOn w:val="a9"/>
    <w:qFormat/>
    <w:pPr>
      <w:widowControl w:val="0"/>
      <w:spacing w:after="160" w:line="278"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335">
    <w:name w:val="网页型 33"/>
    <w:basedOn w:val="a9"/>
    <w:qFormat/>
    <w:pPr>
      <w:widowControl w:val="0"/>
      <w:spacing w:after="160" w:line="278"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3">
    <w:name w:val="列表型 21"/>
    <w:basedOn w:val="a9"/>
    <w:qFormat/>
    <w:pPr>
      <w:widowControl w:val="0"/>
      <w:spacing w:after="160" w:line="278" w:lineRule="auto"/>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8">
    <w:name w:val="简明型 23"/>
    <w:basedOn w:val="a9"/>
    <w:qFormat/>
    <w:pPr>
      <w:widowControl w:val="0"/>
      <w:spacing w:after="160" w:line="278" w:lineRule="auto"/>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彩色型 23"/>
    <w:basedOn w:val="a9"/>
    <w:qFormat/>
    <w:pPr>
      <w:widowControl w:val="0"/>
      <w:spacing w:after="160" w:line="278" w:lineRule="auto"/>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1fc">
    <w:name w:val="表格格式11"/>
    <w:basedOn w:val="a9"/>
    <w:qFormat/>
    <w:pPr>
      <w:widowControl w:val="0"/>
      <w:spacing w:after="160" w:line="278" w:lineRule="auto"/>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31b">
    <w:name w:val="网格型 31"/>
    <w:basedOn w:val="a9"/>
    <w:qFormat/>
    <w:pPr>
      <w:widowControl w:val="0"/>
      <w:spacing w:after="160" w:line="278"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2">
    <w:name w:val="列表型 6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样式112"/>
    <w:basedOn w:val="a9"/>
    <w:qFormat/>
    <w:pPr>
      <w:spacing w:after="160" w:line="278" w:lineRule="auto"/>
    </w:pPr>
    <w:tblPr/>
  </w:style>
  <w:style w:type="table" w:customStyle="1" w:styleId="22fa">
    <w:name w:val="竖列型 22"/>
    <w:basedOn w:val="a9"/>
    <w:qFormat/>
    <w:pPr>
      <w:widowControl w:val="0"/>
      <w:spacing w:after="160" w:line="278" w:lineRule="auto"/>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A-12">
    <w:name w:val="A-表格属性12"/>
    <w:basedOn w:val="a9"/>
    <w:uiPriority w:val="99"/>
    <w:qFormat/>
    <w:pPr>
      <w:spacing w:after="160" w:line="278" w:lineRule="auto"/>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1211">
    <w:name w:val="灰度表格1211"/>
    <w:basedOn w:val="a9"/>
    <w:uiPriority w:val="59"/>
    <w:qFormat/>
    <w:pPr>
      <w:spacing w:after="160" w:line="278" w:lineRule="auto"/>
      <w:jc w:val="center"/>
    </w:pPr>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TableNormal3">
    <w:name w:val="Table Normal3"/>
    <w:uiPriority w:val="2"/>
    <w:unhideWhenUsed/>
    <w:qFormat/>
    <w:pPr>
      <w:widowControl w:val="0"/>
      <w:autoSpaceDE w:val="0"/>
      <w:autoSpaceDN w:val="0"/>
      <w:spacing w:after="160" w:line="278" w:lineRule="auto"/>
    </w:pPr>
    <w:rPr>
      <w:rFonts w:ascii="Calibri" w:hAnsi="Calibri"/>
      <w:sz w:val="22"/>
      <w:szCs w:val="22"/>
      <w:lang w:eastAsia="en-US"/>
    </w:rPr>
    <w:tblPr>
      <w:tblCellMar>
        <w:top w:w="0" w:type="dxa"/>
        <w:left w:w="0" w:type="dxa"/>
        <w:bottom w:w="0" w:type="dxa"/>
        <w:right w:w="0" w:type="dxa"/>
      </w:tblCellMar>
    </w:tblPr>
  </w:style>
  <w:style w:type="table" w:customStyle="1" w:styleId="4111">
    <w:name w:val="列表型 411"/>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36">
    <w:name w:val="简明型 33"/>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c">
    <w:name w:val="简明型 31"/>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ff8">
    <w:name w:val="网格型5"/>
    <w:basedOn w:val="a9"/>
    <w:uiPriority w:val="39"/>
    <w:qFormat/>
    <w:pPr>
      <w:widowControl w:val="0"/>
      <w:spacing w:after="160" w:line="336"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立体型 311"/>
    <w:basedOn w:val="a9"/>
    <w:qFormat/>
    <w:pPr>
      <w:widowControl w:val="0"/>
      <w:spacing w:after="160" w:line="278" w:lineRule="auto"/>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fff3">
    <w:name w:val="专业型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0">
    <w:name w:val="列表型 721"/>
    <w:basedOn w:val="a9"/>
    <w:qFormat/>
    <w:pPr>
      <w:widowControl w:val="0"/>
      <w:spacing w:after="160" w:line="278" w:lineRule="auto"/>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011">
    <w:name w:val="样式1011"/>
    <w:basedOn w:val="a9"/>
    <w:qFormat/>
    <w:pPr>
      <w:spacing w:after="160" w:line="278" w:lineRule="auto"/>
    </w:pPr>
    <w:tblPr/>
  </w:style>
  <w:style w:type="table" w:customStyle="1" w:styleId="425">
    <w:name w:val="古典型 42"/>
    <w:basedOn w:val="a9"/>
    <w:qFormat/>
    <w:pPr>
      <w:widowControl w:val="0"/>
      <w:spacing w:after="160" w:line="27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13">
    <w:name w:val="列表型 321"/>
    <w:basedOn w:val="a9"/>
    <w:qFormat/>
    <w:pPr>
      <w:widowControl w:val="0"/>
      <w:spacing w:after="160" w:line="278"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ffff7">
    <w:name w:val="专业型3"/>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ffffffff5">
    <w:name w:val="流行型2"/>
    <w:basedOn w:val="a9"/>
    <w:qFormat/>
    <w:pPr>
      <w:widowControl w:val="0"/>
      <w:spacing w:after="160" w:line="278" w:lineRule="auto"/>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3a">
    <w:name w:val="精巧型 23"/>
    <w:basedOn w:val="a9"/>
    <w:qFormat/>
    <w:pPr>
      <w:widowControl w:val="0"/>
      <w:spacing w:after="160" w:line="278" w:lineRule="auto"/>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2">
    <w:name w:val="列表型 52"/>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8111">
    <w:name w:val="列表型 811"/>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2f1">
    <w:name w:val="立体型 12"/>
    <w:basedOn w:val="a9"/>
    <w:qFormat/>
    <w:pPr>
      <w:widowControl w:val="0"/>
      <w:spacing w:after="160" w:line="278" w:lineRule="auto"/>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14">
    <w:name w:val="网页型 211"/>
    <w:basedOn w:val="a9"/>
    <w:qFormat/>
    <w:pPr>
      <w:widowControl w:val="0"/>
      <w:spacing w:after="160" w:line="278"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12">
    <w:name w:val="立体型 221"/>
    <w:basedOn w:val="a9"/>
    <w:qFormat/>
    <w:pPr>
      <w:widowControl w:val="0"/>
      <w:spacing w:after="160" w:line="278" w:lineRule="auto"/>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
    <w:name w:val="古典型 121"/>
    <w:basedOn w:val="a9"/>
    <w:qFormat/>
    <w:pPr>
      <w:widowControl w:val="0"/>
      <w:spacing w:after="160" w:line="278" w:lineRule="auto"/>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3">
    <w:name w:val="简明型 221"/>
    <w:basedOn w:val="a9"/>
    <w:qFormat/>
    <w:pPr>
      <w:widowControl w:val="0"/>
      <w:spacing w:after="160" w:line="278" w:lineRule="auto"/>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3">
    <w:name w:val="网格型61"/>
    <w:basedOn w:val="a9"/>
    <w:uiPriority w:val="3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网格型13"/>
    <w:basedOn w:val="a9"/>
    <w:uiPriority w:val="39"/>
    <w:qFormat/>
    <w:pPr>
      <w:spacing w:after="160" w:line="27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网格型111"/>
    <w:basedOn w:val="a9"/>
    <w:qFormat/>
    <w:pPr>
      <w:spacing w:after="160" w:line="278"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fffff6">
    <w:name w:val="表格主题2"/>
    <w:basedOn w:val="a9"/>
    <w:qFormat/>
    <w:pPr>
      <w:widowControl w:val="0"/>
      <w:spacing w:after="160" w:line="27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网格型 21"/>
    <w:basedOn w:val="a9"/>
    <w:qFormat/>
    <w:pPr>
      <w:widowControl w:val="0"/>
      <w:spacing w:after="160" w:line="278"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414">
    <w:name w:val="竖列型 41"/>
    <w:basedOn w:val="a9"/>
    <w:qFormat/>
    <w:pPr>
      <w:widowControl w:val="0"/>
      <w:spacing w:after="160" w:line="278" w:lineRule="auto"/>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f5">
    <w:name w:val="精巧型 21"/>
    <w:basedOn w:val="a9"/>
    <w:qFormat/>
    <w:pPr>
      <w:widowControl w:val="0"/>
      <w:spacing w:after="160" w:line="278" w:lineRule="auto"/>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4">
    <w:name w:val="网格型51"/>
    <w:basedOn w:val="a9"/>
    <w:qFormat/>
    <w:pPr>
      <w:widowControl w:val="0"/>
      <w:spacing w:after="160" w:line="336"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立体型 21"/>
    <w:basedOn w:val="a9"/>
    <w:qFormat/>
    <w:pPr>
      <w:widowControl w:val="0"/>
      <w:spacing w:after="160" w:line="278" w:lineRule="auto"/>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d">
    <w:name w:val="古典型 11"/>
    <w:basedOn w:val="a9"/>
    <w:qFormat/>
    <w:pPr>
      <w:widowControl w:val="0"/>
      <w:spacing w:after="160" w:line="278" w:lineRule="auto"/>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2">
    <w:name w:val="网格型 71"/>
    <w:basedOn w:val="a9"/>
    <w:qFormat/>
    <w:pPr>
      <w:widowControl w:val="0"/>
      <w:spacing w:after="160" w:line="278"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111">
    <w:name w:val="A-表格属性111"/>
    <w:basedOn w:val="a9"/>
    <w:uiPriority w:val="99"/>
    <w:qFormat/>
    <w:pPr>
      <w:spacing w:after="160" w:line="278" w:lineRule="auto"/>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2214">
    <w:name w:val="网页型 221"/>
    <w:basedOn w:val="a9"/>
    <w:qFormat/>
    <w:pPr>
      <w:widowControl w:val="0"/>
      <w:spacing w:after="160" w:line="278"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d">
    <w:name w:val="立体型 31"/>
    <w:basedOn w:val="a9"/>
    <w:qFormat/>
    <w:pPr>
      <w:widowControl w:val="0"/>
      <w:spacing w:after="160" w:line="278" w:lineRule="auto"/>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7">
    <w:name w:val="流行型21"/>
    <w:basedOn w:val="a9"/>
    <w:qFormat/>
    <w:pPr>
      <w:widowControl w:val="0"/>
      <w:spacing w:after="160" w:line="278" w:lineRule="auto"/>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A-c">
    <w:name w:val="A-表格属性"/>
    <w:basedOn w:val="a9"/>
    <w:uiPriority w:val="99"/>
    <w:qFormat/>
    <w:pPr>
      <w:spacing w:after="160" w:line="278" w:lineRule="auto"/>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2215">
    <w:name w:val="竖列型 221"/>
    <w:basedOn w:val="a9"/>
    <w:qFormat/>
    <w:pPr>
      <w:widowControl w:val="0"/>
      <w:spacing w:after="160" w:line="278" w:lineRule="auto"/>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10">
    <w:name w:val="网格型 521"/>
    <w:basedOn w:val="a9"/>
    <w:unhideWhenUsed/>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e">
    <w:name w:val="网格型11"/>
    <w:basedOn w:val="a9"/>
    <w:qFormat/>
    <w:pPr>
      <w:spacing w:after="160" w:line="278"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
    <w:name w:val="网格型6"/>
    <w:basedOn w:val="a9"/>
    <w:uiPriority w:val="3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
    <w:basedOn w:val="a9"/>
    <w:qFormat/>
    <w:pPr>
      <w:spacing w:after="160" w:line="278"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b">
    <w:name w:val="样式111"/>
    <w:basedOn w:val="a9"/>
    <w:qFormat/>
    <w:pPr>
      <w:spacing w:after="160" w:line="278" w:lineRule="auto"/>
    </w:pPr>
    <w:tblPr/>
  </w:style>
  <w:style w:type="table" w:customStyle="1" w:styleId="79">
    <w:name w:val="网格型7"/>
    <w:basedOn w:val="a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古典型 43"/>
    <w:basedOn w:val="a9"/>
    <w:qFormat/>
    <w:pPr>
      <w:widowControl w:val="0"/>
      <w:spacing w:after="160" w:line="27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ffffffff4">
    <w:name w:val="表格格式1"/>
    <w:basedOn w:val="a9"/>
    <w:qFormat/>
    <w:pPr>
      <w:widowControl w:val="0"/>
      <w:spacing w:after="160" w:line="278" w:lineRule="auto"/>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A-23">
    <w:name w:val="A-表格属性2"/>
    <w:basedOn w:val="a9"/>
    <w:uiPriority w:val="99"/>
    <w:qFormat/>
    <w:pPr>
      <w:spacing w:after="160" w:line="278" w:lineRule="auto"/>
      <w:jc w:val="center"/>
    </w:pPr>
    <w:rPr>
      <w:rFonts w:cs="宋体"/>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3214">
    <w:name w:val="简明型 321"/>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210">
    <w:name w:val="灰度表格1221"/>
    <w:basedOn w:val="a9"/>
    <w:uiPriority w:val="59"/>
    <w:qFormat/>
    <w:pPr>
      <w:spacing w:after="160" w:line="278" w:lineRule="auto"/>
      <w:jc w:val="center"/>
    </w:pPr>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3ffff8">
    <w:name w:val="表格主题3"/>
    <w:basedOn w:val="a9"/>
    <w:qFormat/>
    <w:pPr>
      <w:spacing w:after="160" w:line="27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彩色型 11"/>
    <w:basedOn w:val="a9"/>
    <w:qFormat/>
    <w:pPr>
      <w:widowControl w:val="0"/>
      <w:spacing w:after="160" w:line="278"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212">
    <w:name w:val="古典型 421"/>
    <w:basedOn w:val="a9"/>
    <w:qFormat/>
    <w:pPr>
      <w:widowControl w:val="0"/>
      <w:spacing w:after="160" w:line="27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15">
    <w:name w:val="网格型 311"/>
    <w:basedOn w:val="a9"/>
    <w:qFormat/>
    <w:pPr>
      <w:widowControl w:val="0"/>
      <w:spacing w:after="160" w:line="278"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2">
    <w:name w:val="网格型12"/>
    <w:basedOn w:val="a9"/>
    <w:uiPriority w:val="39"/>
    <w:qFormat/>
    <w:pPr>
      <w:spacing w:after="160" w:line="278"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fb">
    <w:name w:val="网格型22"/>
    <w:basedOn w:val="a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 42"/>
    <w:basedOn w:val="a9"/>
    <w:qFormat/>
    <w:pPr>
      <w:widowControl w:val="0"/>
      <w:spacing w:after="160" w:line="278"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A-13">
    <w:name w:val="A-表格边框1"/>
    <w:basedOn w:val="a9"/>
    <w:uiPriority w:val="99"/>
    <w:qFormat/>
    <w:pPr>
      <w:spacing w:after="160" w:line="278" w:lineRule="auto"/>
      <w:jc w:val="center"/>
    </w:p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jc w:val="center"/>
    </w:trPr>
    <w:tcPr>
      <w:vAlign w:val="center"/>
    </w:tcPr>
  </w:style>
  <w:style w:type="table" w:customStyle="1" w:styleId="824">
    <w:name w:val="网格型 82"/>
    <w:basedOn w:val="a9"/>
    <w:qFormat/>
    <w:pPr>
      <w:widowControl w:val="0"/>
      <w:spacing w:after="160" w:line="278"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A-110">
    <w:name w:val="A-表格边框11"/>
    <w:basedOn w:val="a9"/>
    <w:uiPriority w:val="99"/>
    <w:qFormat/>
    <w:pPr>
      <w:spacing w:after="160" w:line="278" w:lineRule="auto"/>
      <w:jc w:val="center"/>
    </w:p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jc w:val="center"/>
    </w:trPr>
    <w:tcPr>
      <w:vAlign w:val="center"/>
    </w:tcPr>
  </w:style>
  <w:style w:type="table" w:customStyle="1" w:styleId="416">
    <w:name w:val="网格型41"/>
    <w:basedOn w:val="a9"/>
    <w:uiPriority w:val="5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样式102"/>
    <w:basedOn w:val="a9"/>
    <w:qFormat/>
    <w:pPr>
      <w:spacing w:after="160" w:line="278" w:lineRule="auto"/>
    </w:pPr>
    <w:tblPr/>
  </w:style>
  <w:style w:type="table" w:customStyle="1" w:styleId="5111">
    <w:name w:val="竖列型 511"/>
    <w:basedOn w:val="a9"/>
    <w:qFormat/>
    <w:pPr>
      <w:widowControl w:val="0"/>
      <w:spacing w:after="160" w:line="278"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0">
    <w:name w:val="网页型 11"/>
    <w:basedOn w:val="a9"/>
    <w:qFormat/>
    <w:pPr>
      <w:widowControl w:val="0"/>
      <w:spacing w:after="160" w:line="278"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6">
    <w:name w:val="竖列型 311"/>
    <w:basedOn w:val="a9"/>
    <w:qFormat/>
    <w:pPr>
      <w:widowControl w:val="0"/>
      <w:spacing w:after="160" w:line="278" w:lineRule="auto"/>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5">
    <w:name w:val="竖列型 51"/>
    <w:basedOn w:val="a9"/>
    <w:qFormat/>
    <w:pPr>
      <w:widowControl w:val="0"/>
      <w:spacing w:after="160" w:line="278"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37">
    <w:name w:val="网格型 33"/>
    <w:basedOn w:val="a9"/>
    <w:qFormat/>
    <w:pPr>
      <w:widowControl w:val="0"/>
      <w:spacing w:after="160" w:line="278"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d">
    <w:name w:val="A-表格样式"/>
    <w:basedOn w:val="a9"/>
    <w:uiPriority w:val="99"/>
    <w:qFormat/>
    <w:pPr>
      <w:spacing w:after="160" w:line="278" w:lineRule="auto"/>
    </w:pPr>
    <w:tblP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style>
  <w:style w:type="table" w:customStyle="1" w:styleId="631">
    <w:name w:val="列表型 63"/>
    <w:basedOn w:val="a9"/>
    <w:qFormat/>
    <w:pPr>
      <w:widowControl w:val="0"/>
      <w:spacing w:after="160" w:line="278" w:lineRule="auto"/>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7">
    <w:name w:val="彩色型 311"/>
    <w:basedOn w:val="a9"/>
    <w:qFormat/>
    <w:pPr>
      <w:widowControl w:val="0"/>
      <w:spacing w:after="160" w:line="278"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17">
    <w:name w:val="列表型 41"/>
    <w:basedOn w:val="a9"/>
    <w:qFormat/>
    <w:pPr>
      <w:widowControl w:val="0"/>
      <w:spacing w:after="160" w:line="27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216">
    <w:name w:val="彩色型 221"/>
    <w:basedOn w:val="a9"/>
    <w:qFormat/>
    <w:pPr>
      <w:widowControl w:val="0"/>
      <w:spacing w:after="160" w:line="278" w:lineRule="auto"/>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32">
    <w:name w:val="竖列型 53"/>
    <w:basedOn w:val="a9"/>
    <w:qFormat/>
    <w:pPr>
      <w:widowControl w:val="0"/>
      <w:spacing w:after="160" w:line="278"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713">
    <w:name w:val="样式71"/>
    <w:basedOn w:val="a9"/>
    <w:qFormat/>
    <w:pPr>
      <w:spacing w:after="160" w:line="278" w:lineRule="auto"/>
    </w:pPr>
    <w:tblPr/>
  </w:style>
  <w:style w:type="table" w:customStyle="1" w:styleId="2115">
    <w:name w:val="简明型 211"/>
    <w:basedOn w:val="a9"/>
    <w:qFormat/>
    <w:pPr>
      <w:widowControl w:val="0"/>
      <w:spacing w:after="160" w:line="278" w:lineRule="auto"/>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3">
    <w:name w:val="竖列型 52"/>
    <w:basedOn w:val="a9"/>
    <w:qFormat/>
    <w:pPr>
      <w:widowControl w:val="0"/>
      <w:spacing w:after="160" w:line="278"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1">
    <w:name w:val="表格主题11"/>
    <w:basedOn w:val="a9"/>
    <w:qFormat/>
    <w:pPr>
      <w:widowControl w:val="0"/>
      <w:spacing w:after="160" w:line="27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12">
    <w:name w:val="A-表格属性11"/>
    <w:basedOn w:val="a9"/>
    <w:uiPriority w:val="99"/>
    <w:qFormat/>
    <w:pPr>
      <w:spacing w:after="160" w:line="278" w:lineRule="auto"/>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trPr>
    <w:tcPr>
      <w:vAlign w:val="center"/>
    </w:tcPr>
  </w:style>
  <w:style w:type="table" w:customStyle="1" w:styleId="418">
    <w:name w:val="样式41"/>
    <w:basedOn w:val="a9"/>
    <w:qFormat/>
    <w:pPr>
      <w:spacing w:after="160" w:line="278" w:lineRule="auto"/>
    </w:pPr>
    <w:tblPr/>
  </w:style>
  <w:style w:type="table" w:customStyle="1" w:styleId="21f8">
    <w:name w:val="网格型21"/>
    <w:basedOn w:val="a9"/>
    <w:qFormat/>
    <w:pPr>
      <w:widowControl w:val="0"/>
      <w:spacing w:after="160" w:line="278" w:lineRule="auto"/>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3215">
    <w:name w:val="彩色型 321"/>
    <w:basedOn w:val="a9"/>
    <w:qFormat/>
    <w:pPr>
      <w:widowControl w:val="0"/>
      <w:spacing w:after="160" w:line="278"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a">
    <w:name w:val="网页型 13"/>
    <w:basedOn w:val="a9"/>
    <w:qFormat/>
    <w:pPr>
      <w:widowControl w:val="0"/>
      <w:spacing w:after="160" w:line="278"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17">
    <w:name w:val="网格型221"/>
    <w:basedOn w:val="a9"/>
    <w:uiPriority w:val="39"/>
    <w:qFormat/>
    <w:pPr>
      <w:spacing w:after="160" w:line="278"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灰度表格1222"/>
    <w:basedOn w:val="a9"/>
    <w:uiPriority w:val="59"/>
    <w:qFormat/>
    <w:pPr>
      <w:widowControl w:val="0"/>
      <w:spacing w:after="160" w:line="27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8">
    <w:name w:val="精巧型 221"/>
    <w:basedOn w:val="a9"/>
    <w:qFormat/>
    <w:pPr>
      <w:widowControl w:val="0"/>
      <w:spacing w:after="160" w:line="278" w:lineRule="auto"/>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172">
    <w:name w:val="正文17"/>
    <w:qFormat/>
    <w:pPr>
      <w:widowControl w:val="0"/>
      <w:adjustRightInd w:val="0"/>
      <w:spacing w:line="315" w:lineRule="atLeast"/>
      <w:textAlignment w:val="baseline"/>
    </w:pPr>
    <w:rPr>
      <w:rFonts w:asci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506796">
      <w:bodyDiv w:val="1"/>
      <w:marLeft w:val="0"/>
      <w:marRight w:val="0"/>
      <w:marTop w:val="0"/>
      <w:marBottom w:val="0"/>
      <w:divBdr>
        <w:top w:val="none" w:sz="0" w:space="0" w:color="auto"/>
        <w:left w:val="none" w:sz="0" w:space="0" w:color="auto"/>
        <w:bottom w:val="none" w:sz="0" w:space="0" w:color="auto"/>
        <w:right w:val="none" w:sz="0" w:space="0" w:color="auto"/>
      </w:divBdr>
      <w:divsChild>
        <w:div w:id="1725134570">
          <w:marLeft w:val="0"/>
          <w:marRight w:val="0"/>
          <w:marTop w:val="0"/>
          <w:marBottom w:val="0"/>
          <w:divBdr>
            <w:top w:val="none" w:sz="0" w:space="0" w:color="auto"/>
            <w:left w:val="none" w:sz="0" w:space="0" w:color="auto"/>
            <w:bottom w:val="none" w:sz="0" w:space="0" w:color="auto"/>
            <w:right w:val="none" w:sz="0" w:space="0" w:color="auto"/>
          </w:divBdr>
        </w:div>
      </w:divsChild>
    </w:div>
    <w:div w:id="1561014861">
      <w:bodyDiv w:val="1"/>
      <w:marLeft w:val="0"/>
      <w:marRight w:val="0"/>
      <w:marTop w:val="0"/>
      <w:marBottom w:val="0"/>
      <w:divBdr>
        <w:top w:val="none" w:sz="0" w:space="0" w:color="auto"/>
        <w:left w:val="none" w:sz="0" w:space="0" w:color="auto"/>
        <w:bottom w:val="none" w:sz="0" w:space="0" w:color="auto"/>
        <w:right w:val="none" w:sz="0" w:space="0" w:color="auto"/>
      </w:divBdr>
      <w:divsChild>
        <w:div w:id="15173098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header" Target="header4.xml"/><Relationship Id="rId42" Type="http://schemas.openxmlformats.org/officeDocument/2006/relationships/image" Target="media/image18.wmf"/><Relationship Id="rId47" Type="http://schemas.openxmlformats.org/officeDocument/2006/relationships/image" Target="media/image23.wmf"/><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header" Target="header11.xml"/><Relationship Id="rId66"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image" Target="media/image35.jpeg"/><Relationship Id="rId19" Type="http://schemas.openxmlformats.org/officeDocument/2006/relationships/image" Target="media/image5.w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0.wmf"/><Relationship Id="rId30" Type="http://schemas.openxmlformats.org/officeDocument/2006/relationships/chart" Target="charts/chart2.xml"/><Relationship Id="rId35"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4.wmf"/><Relationship Id="rId56" Type="http://schemas.openxmlformats.org/officeDocument/2006/relationships/image" Target="media/image32.wmf"/><Relationship Id="rId64" Type="http://schemas.openxmlformats.org/officeDocument/2006/relationships/image" Target="media/image38.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footer" Target="footer3.xml"/><Relationship Id="rId38" Type="http://schemas.openxmlformats.org/officeDocument/2006/relationships/image" Target="media/image14.wmf"/><Relationship Id="rId46" Type="http://schemas.openxmlformats.org/officeDocument/2006/relationships/image" Target="media/image22.wmf"/><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image" Target="media/image30.wmf"/><Relationship Id="rId62" Type="http://schemas.openxmlformats.org/officeDocument/2006/relationships/image" Target="media/image36.png"/><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image" Target="media/image12.wmf"/><Relationship Id="rId49" Type="http://schemas.openxmlformats.org/officeDocument/2006/relationships/image" Target="media/image25.wmf"/><Relationship Id="rId57" Type="http://schemas.openxmlformats.org/officeDocument/2006/relationships/header" Target="header10.xml"/><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image" Target="media/image20.wmf"/><Relationship Id="rId52" Type="http://schemas.openxmlformats.org/officeDocument/2006/relationships/image" Target="media/image28.wmf"/><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15.wmf"/><Relationship Id="rId34" Type="http://schemas.openxmlformats.org/officeDocument/2006/relationships/header" Target="header9.xml"/><Relationship Id="rId50" Type="http://schemas.openxmlformats.org/officeDocument/2006/relationships/image" Target="media/image26.wmf"/><Relationship Id="rId55" Type="http://schemas.openxmlformats.org/officeDocument/2006/relationships/image" Target="media/image31.wmf"/></Relationships>
</file>

<file path=word/charts/_rels/chart1.xml.rels><?xml version="1.0" encoding="UTF-8" standalone="yes"?>
<Relationships xmlns="http://schemas.openxmlformats.org/package/2006/relationships"><Relationship Id="rId1" Type="http://schemas.openxmlformats.org/officeDocument/2006/relationships/oleObject" Target="file:///D:\&#30005;&#30707;&#28195;&#21046;&#27700;&#27877;&#29087;&#26009;&#29983;&#20135;&#32447;&#21327;&#21516;&#22788;&#32622;&#21361;&#38505;&#24223;&#29289;&#39033;&#30446;\&#20013;&#38388;&#20869;&#23481;\&#22823;&#27668;&#39044;&#27979;&#25991;&#20214;\&#25176;&#20811;&#36874;2024&#27668;&#35937;&#36164;&#26009;\&#32479;&#35745;&#32467;&#26524;&#23567;&#3246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0005;&#30707;&#28195;&#21046;&#27700;&#27877;&#29087;&#26009;&#29983;&#20135;&#32447;&#21327;&#21516;&#22788;&#32622;&#21361;&#38505;&#24223;&#29289;&#39033;&#30446;\&#20013;&#38388;&#20869;&#23481;\&#22823;&#27668;&#39044;&#27979;&#25991;&#20214;\&#25176;&#20811;&#36874;2024&#27668;&#35937;&#36164;&#26009;\&#32479;&#35745;&#32467;&#26524;&#23567;&#324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0005;&#30707;&#28195;&#21046;&#27700;&#27877;&#29087;&#26009;&#29983;&#20135;&#32447;&#21327;&#21516;&#22788;&#32622;&#21361;&#38505;&#24223;&#29289;&#39033;&#30446;\&#20013;&#38388;&#20869;&#23481;\&#22823;&#27668;&#39044;&#27979;&#25991;&#20214;\&#25176;&#20811;&#36874;2024&#27668;&#35937;&#36164;&#26009;\&#32479;&#35745;&#32467;&#26524;&#23567;&#324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0000000000001"/>
          <c:y val="0.20225000000000001"/>
          <c:w val="0.84375"/>
          <c:h val="0.63975000000000004"/>
        </c:manualLayout>
      </c:layout>
      <c:lineChart>
        <c:grouping val="standard"/>
        <c:varyColors val="0"/>
        <c:ser>
          <c:idx val="0"/>
          <c:order val="0"/>
          <c:tx>
            <c:strRef>
              <c:f>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cat>
            <c:strRef>
              <c:f>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数据!$B$3:$M$3</c:f>
              <c:numCache>
                <c:formatCode>0.00_ </c:formatCode>
                <c:ptCount val="12"/>
                <c:pt idx="0">
                  <c:v>-4.6900000572204599</c:v>
                </c:pt>
                <c:pt idx="1">
                  <c:v>0.93000000715255704</c:v>
                </c:pt>
                <c:pt idx="2">
                  <c:v>13.1499996185303</c:v>
                </c:pt>
                <c:pt idx="3">
                  <c:v>22.290000915527301</c:v>
                </c:pt>
                <c:pt idx="4">
                  <c:v>30.920000076293899</c:v>
                </c:pt>
                <c:pt idx="5">
                  <c:v>34.7700004577637</c:v>
                </c:pt>
                <c:pt idx="6">
                  <c:v>35.889999389648402</c:v>
                </c:pt>
                <c:pt idx="7">
                  <c:v>34.560001373291001</c:v>
                </c:pt>
                <c:pt idx="8">
                  <c:v>26.180000305175799</c:v>
                </c:pt>
                <c:pt idx="9">
                  <c:v>18.329999923706101</c:v>
                </c:pt>
                <c:pt idx="10">
                  <c:v>7.1700000762939498</c:v>
                </c:pt>
                <c:pt idx="11">
                  <c:v>-4.7399997711181596</c:v>
                </c:pt>
              </c:numCache>
            </c:numRef>
          </c:val>
          <c:smooth val="0"/>
          <c:extLst>
            <c:ext xmlns:c16="http://schemas.microsoft.com/office/drawing/2014/chart" uri="{C3380CC4-5D6E-409C-BE32-E72D297353CC}">
              <c16:uniqueId val="{00000000-A95C-4966-A762-00F2BAFEC3FB}"/>
            </c:ext>
          </c:extLst>
        </c:ser>
        <c:dLbls>
          <c:showLegendKey val="0"/>
          <c:showVal val="0"/>
          <c:showCatName val="0"/>
          <c:showSerName val="0"/>
          <c:showPercent val="0"/>
          <c:showBubbleSize val="0"/>
        </c:dLbls>
        <c:marker val="1"/>
        <c:smooth val="0"/>
        <c:axId val="719210032"/>
        <c:axId val="1"/>
      </c:lineChart>
      <c:catAx>
        <c:axId val="719210032"/>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温度</a:t>
                </a:r>
                <a:r>
                  <a:rPr lang="en-US" altLang="zh-CN"/>
                  <a:t>(℃) </a:t>
                </a:r>
              </a:p>
            </c:rich>
          </c:tx>
          <c:layout>
            <c:manualLayout>
              <c:xMode val="edge"/>
              <c:yMode val="edge"/>
              <c:x val="0"/>
              <c:y val="0.41158560705812602"/>
            </c:manualLayout>
          </c:layout>
          <c:overlay val="0"/>
          <c:spPr>
            <a:noFill/>
            <a:ln w="25400">
              <a:noFill/>
            </a:ln>
          </c:spPr>
        </c:title>
        <c:numFmt formatCode="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719210032"/>
        <c:crosses val="autoZero"/>
        <c:crossBetween val="between"/>
      </c:valAx>
      <c:spPr>
        <a:solidFill>
          <a:srgbClr val="C0C0C0"/>
        </a:solidFill>
        <a:ln w="12700">
          <a:solidFill>
            <a:srgbClr val="808080"/>
          </a:solidFill>
          <a:prstDash val="solid"/>
        </a:ln>
      </c:spPr>
    </c:plotArea>
    <c:plotVisOnly val="1"/>
    <c:dispBlanksAs val="gap"/>
    <c:showDLblsOverMax val="0"/>
    <c:extLst>
      <c:ext uri="{0b15fc19-7d7d-44ad-8c2d-2c3a37ce22c3}">
        <chartProps xmlns="https://web.wps.cn/et/2018/main" chartId="{89bf6964-1da1-4305-b37f-48fd3b5ad89c}"/>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
          <c:y val="0.20225000000000001"/>
          <c:w val="0.83074999999999999"/>
          <c:h val="0.63975000000000004"/>
        </c:manualLayout>
      </c:layout>
      <c:lineChart>
        <c:grouping val="standard"/>
        <c:varyColors val="0"/>
        <c:ser>
          <c:idx val="0"/>
          <c:order val="0"/>
          <c:tx>
            <c:strRef>
              <c:f>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cat>
            <c:strRef>
              <c:f>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数据!$B$7:$M$7</c:f>
              <c:numCache>
                <c:formatCode>0.00_ </c:formatCode>
                <c:ptCount val="12"/>
                <c:pt idx="0">
                  <c:v>1.20000004768372</c:v>
                </c:pt>
                <c:pt idx="1">
                  <c:v>1.66999995708466</c:v>
                </c:pt>
                <c:pt idx="2">
                  <c:v>1.8899999856948899</c:v>
                </c:pt>
                <c:pt idx="3">
                  <c:v>2.4700000286102299</c:v>
                </c:pt>
                <c:pt idx="4">
                  <c:v>2.4200000762939502</c:v>
                </c:pt>
                <c:pt idx="5">
                  <c:v>2.6199998855590798</c:v>
                </c:pt>
                <c:pt idx="6">
                  <c:v>2.4900000095367401</c:v>
                </c:pt>
                <c:pt idx="7">
                  <c:v>2.3399999141693102</c:v>
                </c:pt>
                <c:pt idx="8">
                  <c:v>2.1300001144409202</c:v>
                </c:pt>
                <c:pt idx="9">
                  <c:v>1.78999996185303</c:v>
                </c:pt>
                <c:pt idx="10">
                  <c:v>1.5</c:v>
                </c:pt>
                <c:pt idx="11">
                  <c:v>1.20000004768372</c:v>
                </c:pt>
              </c:numCache>
            </c:numRef>
          </c:val>
          <c:smooth val="0"/>
          <c:extLst>
            <c:ext xmlns:c16="http://schemas.microsoft.com/office/drawing/2014/chart" uri="{C3380CC4-5D6E-409C-BE32-E72D297353CC}">
              <c16:uniqueId val="{00000000-E724-4D95-B718-C28A6747705C}"/>
            </c:ext>
          </c:extLst>
        </c:ser>
        <c:dLbls>
          <c:showLegendKey val="0"/>
          <c:showVal val="0"/>
          <c:showCatName val="0"/>
          <c:showSerName val="0"/>
          <c:showPercent val="0"/>
          <c:showBubbleSize val="0"/>
        </c:dLbls>
        <c:marker val="1"/>
        <c:smooth val="0"/>
        <c:axId val="719423344"/>
        <c:axId val="1"/>
      </c:lineChart>
      <c:catAx>
        <c:axId val="719423344"/>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(m/s) </a:t>
                </a:r>
              </a:p>
            </c:rich>
          </c:tx>
          <c:layout>
            <c:manualLayout>
              <c:xMode val="edge"/>
              <c:yMode val="edge"/>
              <c:x val="0"/>
              <c:y val="0.37448010705812601"/>
            </c:manualLayout>
          </c:layout>
          <c:overlay val="0"/>
          <c:spPr>
            <a:noFill/>
            <a:ln w="25400">
              <a:noFill/>
            </a:ln>
          </c:spPr>
        </c:title>
        <c:numFmt formatCode="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719423344"/>
        <c:crosses val="autoZero"/>
        <c:crossBetween val="between"/>
      </c:valAx>
      <c:spPr>
        <a:solidFill>
          <a:srgbClr val="C0C0C0"/>
        </a:solidFill>
        <a:ln w="12700">
          <a:solidFill>
            <a:srgbClr val="808080"/>
          </a:solidFill>
          <a:prstDash val="solid"/>
        </a:ln>
      </c:spPr>
    </c:plotArea>
    <c:plotVisOnly val="1"/>
    <c:dispBlanksAs val="gap"/>
    <c:showDLblsOverMax val="0"/>
    <c:extLst>
      <c:ext uri="{0b15fc19-7d7d-44ad-8c2d-2c3a37ce22c3}">
        <chartProps xmlns="https://web.wps.cn/et/2018/main" chartId="{be56daf7-9c1f-43d1-bbf8-13ee9f4db2c0}"/>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
          <c:y val="0.14199999999999999"/>
          <c:w val="0.72850000000000004"/>
          <c:h val="0.71274999999999999"/>
        </c:manualLayout>
      </c:layout>
      <c:lineChart>
        <c:grouping val="standard"/>
        <c:varyColors val="0"/>
        <c:ser>
          <c:idx val="0"/>
          <c:order val="0"/>
          <c:tx>
            <c:strRef>
              <c:f>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val>
            <c:numRef>
              <c:f>图形!$B$167:$Y$167</c:f>
              <c:numCache>
                <c:formatCode>General</c:formatCode>
                <c:ptCount val="24"/>
                <c:pt idx="0">
                  <c:v>2.7000000476837198</c:v>
                </c:pt>
                <c:pt idx="1">
                  <c:v>2.8299999237060498</c:v>
                </c:pt>
                <c:pt idx="2">
                  <c:v>2.4900000095367401</c:v>
                </c:pt>
                <c:pt idx="3">
                  <c:v>2.3499999046325701</c:v>
                </c:pt>
                <c:pt idx="4">
                  <c:v>2.2300000190734899</c:v>
                </c:pt>
                <c:pt idx="5">
                  <c:v>2.0499999523162802</c:v>
                </c:pt>
                <c:pt idx="6">
                  <c:v>1.9700000286102299</c:v>
                </c:pt>
                <c:pt idx="7">
                  <c:v>1.9400000572204601</c:v>
                </c:pt>
                <c:pt idx="8">
                  <c:v>2.0499999523162802</c:v>
                </c:pt>
                <c:pt idx="9">
                  <c:v>2.1500000953674299</c:v>
                </c:pt>
                <c:pt idx="10">
                  <c:v>2.3800001144409202</c:v>
                </c:pt>
                <c:pt idx="11">
                  <c:v>2.3499999046325701</c:v>
                </c:pt>
                <c:pt idx="12">
                  <c:v>2.1900000572204599</c:v>
                </c:pt>
                <c:pt idx="13">
                  <c:v>2.1400001049041699</c:v>
                </c:pt>
                <c:pt idx="14">
                  <c:v>2.2200000286102299</c:v>
                </c:pt>
                <c:pt idx="15">
                  <c:v>2.2200000286102299</c:v>
                </c:pt>
                <c:pt idx="16">
                  <c:v>2.1800000667571999</c:v>
                </c:pt>
                <c:pt idx="17">
                  <c:v>2.2000000476837198</c:v>
                </c:pt>
                <c:pt idx="18">
                  <c:v>2.1300001144409202</c:v>
                </c:pt>
                <c:pt idx="19">
                  <c:v>2.0799999237060498</c:v>
                </c:pt>
                <c:pt idx="20">
                  <c:v>1.9299999475479099</c:v>
                </c:pt>
                <c:pt idx="21">
                  <c:v>2.3099999427795401</c:v>
                </c:pt>
                <c:pt idx="22">
                  <c:v>2.4700000286102299</c:v>
                </c:pt>
                <c:pt idx="23">
                  <c:v>2.6500000953674299</c:v>
                </c:pt>
              </c:numCache>
            </c:numRef>
          </c:val>
          <c:smooth val="0"/>
          <c:extLst>
            <c:ext xmlns:c16="http://schemas.microsoft.com/office/drawing/2014/chart" uri="{C3380CC4-5D6E-409C-BE32-E72D297353CC}">
              <c16:uniqueId val="{00000000-3C91-45F0-AA08-6BDFC5817B89}"/>
            </c:ext>
          </c:extLst>
        </c:ser>
        <c:ser>
          <c:idx val="1"/>
          <c:order val="1"/>
          <c:tx>
            <c:strRef>
              <c:f>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val>
            <c:numRef>
              <c:f>图形!$B$168:$Y$168</c:f>
              <c:numCache>
                <c:formatCode>General</c:formatCode>
                <c:ptCount val="24"/>
                <c:pt idx="0">
                  <c:v>2.53999996185303</c:v>
                </c:pt>
                <c:pt idx="1">
                  <c:v>2.46000003814697</c:v>
                </c:pt>
                <c:pt idx="2">
                  <c:v>2.8399999141693102</c:v>
                </c:pt>
                <c:pt idx="3">
                  <c:v>2.78999996185303</c:v>
                </c:pt>
                <c:pt idx="4">
                  <c:v>2.5799999237060498</c:v>
                </c:pt>
                <c:pt idx="5">
                  <c:v>2.3499999046325701</c:v>
                </c:pt>
                <c:pt idx="6">
                  <c:v>2.25</c:v>
                </c:pt>
                <c:pt idx="7">
                  <c:v>2.0499999523162802</c:v>
                </c:pt>
                <c:pt idx="8">
                  <c:v>2.3099999427795401</c:v>
                </c:pt>
                <c:pt idx="9">
                  <c:v>2.6300001144409202</c:v>
                </c:pt>
                <c:pt idx="10">
                  <c:v>2.5899999141693102</c:v>
                </c:pt>
                <c:pt idx="11">
                  <c:v>2.4500000476837198</c:v>
                </c:pt>
                <c:pt idx="12">
                  <c:v>2.4100000858306898</c:v>
                </c:pt>
                <c:pt idx="13">
                  <c:v>2.4300000667571999</c:v>
                </c:pt>
                <c:pt idx="14">
                  <c:v>2.3599998950958301</c:v>
                </c:pt>
                <c:pt idx="15">
                  <c:v>2.5699999332428001</c:v>
                </c:pt>
                <c:pt idx="16">
                  <c:v>2.6800000667571999</c:v>
                </c:pt>
                <c:pt idx="17">
                  <c:v>2.9500000476837198</c:v>
                </c:pt>
                <c:pt idx="18">
                  <c:v>2.5499999523162802</c:v>
                </c:pt>
                <c:pt idx="19">
                  <c:v>2.4400000572204599</c:v>
                </c:pt>
                <c:pt idx="20">
                  <c:v>2.1900000572204599</c:v>
                </c:pt>
                <c:pt idx="21">
                  <c:v>2.3099999427795401</c:v>
                </c:pt>
                <c:pt idx="22">
                  <c:v>2.3199999332428001</c:v>
                </c:pt>
                <c:pt idx="23">
                  <c:v>2.4900000095367401</c:v>
                </c:pt>
              </c:numCache>
            </c:numRef>
          </c:val>
          <c:smooth val="0"/>
          <c:extLst>
            <c:ext xmlns:c16="http://schemas.microsoft.com/office/drawing/2014/chart" uri="{C3380CC4-5D6E-409C-BE32-E72D297353CC}">
              <c16:uniqueId val="{00000001-3C91-45F0-AA08-6BDFC5817B89}"/>
            </c:ext>
          </c:extLst>
        </c:ser>
        <c:ser>
          <c:idx val="2"/>
          <c:order val="2"/>
          <c:tx>
            <c:strRef>
              <c:f>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val>
            <c:numRef>
              <c:f>图形!$B$169:$Y$169</c:f>
              <c:numCache>
                <c:formatCode>General</c:formatCode>
                <c:ptCount val="24"/>
                <c:pt idx="0">
                  <c:v>2.03999996185303</c:v>
                </c:pt>
                <c:pt idx="1">
                  <c:v>1.9800000190734901</c:v>
                </c:pt>
                <c:pt idx="2">
                  <c:v>1.9900000095367401</c:v>
                </c:pt>
                <c:pt idx="3">
                  <c:v>1.79999995231628</c:v>
                </c:pt>
                <c:pt idx="4">
                  <c:v>1.8400000333786</c:v>
                </c:pt>
                <c:pt idx="5">
                  <c:v>1.7699999809265099</c:v>
                </c:pt>
                <c:pt idx="6">
                  <c:v>1.7699999809265099</c:v>
                </c:pt>
                <c:pt idx="7">
                  <c:v>1.66999995708466</c:v>
                </c:pt>
                <c:pt idx="8">
                  <c:v>1.5599999427795399</c:v>
                </c:pt>
                <c:pt idx="9">
                  <c:v>1.62999999523163</c:v>
                </c:pt>
                <c:pt idx="10">
                  <c:v>1.7699999809265099</c:v>
                </c:pt>
                <c:pt idx="11">
                  <c:v>1.95000004768372</c:v>
                </c:pt>
                <c:pt idx="12">
                  <c:v>1.96000003814697</c:v>
                </c:pt>
                <c:pt idx="13">
                  <c:v>1.9299999475479099</c:v>
                </c:pt>
                <c:pt idx="14">
                  <c:v>1.8400000333786</c:v>
                </c:pt>
                <c:pt idx="15">
                  <c:v>1.7799999713897701</c:v>
                </c:pt>
                <c:pt idx="16">
                  <c:v>1.8200000524520901</c:v>
                </c:pt>
                <c:pt idx="17">
                  <c:v>1.79999995231628</c:v>
                </c:pt>
                <c:pt idx="18">
                  <c:v>1.5099999904632599</c:v>
                </c:pt>
                <c:pt idx="19">
                  <c:v>1.4099999666214</c:v>
                </c:pt>
                <c:pt idx="20">
                  <c:v>1.6799999475479099</c:v>
                </c:pt>
                <c:pt idx="21">
                  <c:v>1.9099999666214</c:v>
                </c:pt>
                <c:pt idx="22">
                  <c:v>2.0099999904632599</c:v>
                </c:pt>
                <c:pt idx="23">
                  <c:v>1.8600000143051101</c:v>
                </c:pt>
              </c:numCache>
            </c:numRef>
          </c:val>
          <c:smooth val="0"/>
          <c:extLst>
            <c:ext xmlns:c16="http://schemas.microsoft.com/office/drawing/2014/chart" uri="{C3380CC4-5D6E-409C-BE32-E72D297353CC}">
              <c16:uniqueId val="{00000002-3C91-45F0-AA08-6BDFC5817B89}"/>
            </c:ext>
          </c:extLst>
        </c:ser>
        <c:ser>
          <c:idx val="3"/>
          <c:order val="3"/>
          <c:tx>
            <c:strRef>
              <c:f>图形!$A$170</c:f>
              <c:strCache>
                <c:ptCount val="1"/>
                <c:pt idx="0">
                  <c:v>冬季                </c:v>
                </c:pt>
              </c:strCache>
            </c:strRef>
          </c:tx>
          <c:spPr>
            <a:ln w="12700" cap="rnd" cmpd="sng" algn="ctr">
              <a:solidFill>
                <a:srgbClr val="00FFFF"/>
              </a:solidFill>
              <a:prstDash val="solid"/>
              <a:round/>
            </a:ln>
          </c:spPr>
          <c:marker>
            <c:symbol val="x"/>
            <c:size val="5"/>
            <c:spPr>
              <a:noFill/>
              <a:ln w="9525" cap="flat" cmpd="sng" algn="ctr">
                <a:solidFill>
                  <a:srgbClr val="00FFFF"/>
                </a:solidFill>
                <a:prstDash val="solid"/>
                <a:round/>
              </a:ln>
            </c:spPr>
          </c:marker>
          <c:val>
            <c:numRef>
              <c:f>图形!$B$170:$Y$170</c:f>
              <c:numCache>
                <c:formatCode>General</c:formatCode>
                <c:ptCount val="24"/>
                <c:pt idx="0">
                  <c:v>1.4800000190734901</c:v>
                </c:pt>
                <c:pt idx="1">
                  <c:v>1.4800000190734901</c:v>
                </c:pt>
                <c:pt idx="2">
                  <c:v>1.4700000286102299</c:v>
                </c:pt>
                <c:pt idx="3">
                  <c:v>1.45000004768372</c:v>
                </c:pt>
                <c:pt idx="4">
                  <c:v>1.5</c:v>
                </c:pt>
                <c:pt idx="5">
                  <c:v>1.3999999761581401</c:v>
                </c:pt>
                <c:pt idx="6">
                  <c:v>1.46000003814697</c:v>
                </c:pt>
                <c:pt idx="7">
                  <c:v>1.3600000143051101</c:v>
                </c:pt>
                <c:pt idx="8">
                  <c:v>1.37000000476837</c:v>
                </c:pt>
                <c:pt idx="9">
                  <c:v>1.3099999427795399</c:v>
                </c:pt>
                <c:pt idx="10">
                  <c:v>1.1499999761581401</c:v>
                </c:pt>
                <c:pt idx="11">
                  <c:v>1.41999995708466</c:v>
                </c:pt>
                <c:pt idx="12">
                  <c:v>1.58000004291534</c:v>
                </c:pt>
                <c:pt idx="13">
                  <c:v>1.5099999904632599</c:v>
                </c:pt>
                <c:pt idx="14">
                  <c:v>1.41999995708466</c:v>
                </c:pt>
                <c:pt idx="15">
                  <c:v>1.4299999475479099</c:v>
                </c:pt>
                <c:pt idx="16">
                  <c:v>1.33000004291534</c:v>
                </c:pt>
                <c:pt idx="17">
                  <c:v>1.2699999809265099</c:v>
                </c:pt>
                <c:pt idx="18">
                  <c:v>1.1000000238418599</c:v>
                </c:pt>
                <c:pt idx="19">
                  <c:v>0.91000002622604403</c:v>
                </c:pt>
                <c:pt idx="20">
                  <c:v>1.0900000333786</c:v>
                </c:pt>
                <c:pt idx="21">
                  <c:v>1.1900000572204601</c:v>
                </c:pt>
                <c:pt idx="22">
                  <c:v>1.33000004291534</c:v>
                </c:pt>
                <c:pt idx="23">
                  <c:v>1.4099999666214</c:v>
                </c:pt>
              </c:numCache>
            </c:numRef>
          </c:val>
          <c:smooth val="0"/>
          <c:extLst>
            <c:ext xmlns:c16="http://schemas.microsoft.com/office/drawing/2014/chart" uri="{C3380CC4-5D6E-409C-BE32-E72D297353CC}">
              <c16:uniqueId val="{00000003-3C91-45F0-AA08-6BDFC5817B89}"/>
            </c:ext>
          </c:extLst>
        </c:ser>
        <c:dLbls>
          <c:showLegendKey val="0"/>
          <c:showVal val="0"/>
          <c:showCatName val="0"/>
          <c:showSerName val="0"/>
          <c:showPercent val="0"/>
          <c:showBubbleSize val="0"/>
        </c:dLbls>
        <c:marker val="1"/>
        <c:smooth val="0"/>
        <c:axId val="719560528"/>
        <c:axId val="1"/>
      </c:lineChart>
      <c:catAx>
        <c:axId val="719560528"/>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(m/s)</a:t>
                </a:r>
              </a:p>
            </c:rich>
          </c:tx>
          <c:overlay val="0"/>
          <c:spPr>
            <a:noFill/>
            <a:ln w="25400">
              <a:noFill/>
            </a:ln>
          </c:spPr>
        </c:title>
        <c:numFmt formatCode="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719560528"/>
        <c:crosses val="autoZero"/>
        <c:crossBetween val="between"/>
      </c:valAx>
      <c:spPr>
        <a:solidFill>
          <a:srgbClr val="C0C0C0"/>
        </a:solidFill>
        <a:ln w="12700">
          <a:solidFill>
            <a:srgbClr val="808080"/>
          </a:solidFill>
          <a:prstDash val="solid"/>
        </a:ln>
      </c:spPr>
    </c:plotArea>
    <c:legend>
      <c:legendPos val="r"/>
      <c:layout>
        <c:manualLayout>
          <c:xMode val="edge"/>
          <c:yMode val="edge"/>
          <c:x val="0.85975000000000001"/>
          <c:y val="0.18475"/>
          <c:w val="0.1255"/>
          <c:h val="0.50524999999999998"/>
        </c:manualLayout>
      </c:layout>
      <c:overlay val="0"/>
      <c:spPr>
        <a:solidFill>
          <a:srgbClr val="FFFFFF"/>
        </a:solidFill>
        <a:ln w="3175">
          <a:solidFill>
            <a:srgbClr val="000000"/>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extLst>
      <c:ext uri="{0b15fc19-7d7d-44ad-8c2d-2c3a37ce22c3}">
        <chartProps xmlns="https://web.wps.cn/et/2018/main" chartId="{0fc0c004-9b59-410c-8e74-35eb28dfa96d}"/>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B388525-99BE-45B5-92D1-AF11FDBCA1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182618</Words>
  <Characters>215491</Characters>
  <Application>Microsoft Office Word</Application>
  <DocSecurity>0</DocSecurity>
  <Lines>19590</Lines>
  <Paragraphs>20953</Paragraphs>
  <ScaleCrop>false</ScaleCrop>
  <LinksUpToDate>false</LinksUpToDate>
  <CharactersWithSpaces>377156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2023-02-06T04:39:00Z</dcterms:created>
  <dcterms:modified xsi:type="dcterms:W3CDTF">2026-07-03T09:28:00Z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560B4579C727408C834533AAC5EF9745</vt:lpwstr>
  </property>
  <property fmtid="{D5CDD505-2E9C-101B-9397-08002B2CF9AE}" pid="4" name="KSOTemplateDocerSaveRecord">
    <vt:lpwstr>eyJoZGlkIjoiYjhlOTk4Y2M5NmJhNGZhOTQwNGRkODNiNjBlNjlmZDMiLCJ1c2VySWQiOiI0MzkzNTIyNDUifQ==</vt:lpwstr>
  </property>
</Properties>
</file>